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788" w:lineRule="exact" w:before="0"/>
        <w:ind w:left="114" w:right="0" w:firstLine="0"/>
        <w:jc w:val="left"/>
        <w:rPr>
          <w:rFonts w:ascii="Raleway ExtraBold"/>
          <w:b/>
          <w:sz w:val="59"/>
        </w:rPr>
      </w:pPr>
      <w:r>
        <w:rPr/>
        <w:pict>
          <v:group style="position:absolute;margin-left:0pt;margin-top:0pt;width:596.5pt;height:844.95pt;mso-position-horizontal-relative:page;mso-position-vertical-relative:page;z-index:-359272" coordorigin="0,0" coordsize="11930,16899">
            <v:shape style="position:absolute;left:0;top:0;width:11930;height:16899" type="#_x0000_t75" stroked="false">
              <v:imagedata r:id="rId6" o:title=""/>
            </v:shape>
            <v:shape style="position:absolute;left:201;top:123;width:11521;height:16554" type="#_x0000_t75" stroked="false">
              <v:imagedata r:id="rId7" o:title=""/>
            </v:shape>
            <w10:wrap type="none"/>
          </v:group>
        </w:pict>
      </w:r>
      <w:r>
        <w:rPr>
          <w:rFonts w:ascii="Raleway ExtraBold"/>
          <w:b/>
          <w:color w:val="FFFFFF"/>
          <w:sz w:val="59"/>
        </w:rPr>
        <w:t>Inclusive Juries</w:t>
      </w:r>
    </w:p>
    <w:p>
      <w:pPr>
        <w:spacing w:line="249" w:lineRule="auto" w:before="25"/>
        <w:ind w:left="114" w:right="29" w:firstLine="0"/>
        <w:jc w:val="left"/>
        <w:rPr>
          <w:rFonts w:ascii="Raleway Light" w:hAnsi="Raleway Light"/>
          <w:b w:val="0"/>
          <w:sz w:val="59"/>
        </w:rPr>
      </w:pPr>
      <w:r>
        <w:rPr>
          <w:rFonts w:ascii="Trebuchet MS" w:hAnsi="Trebuchet MS"/>
          <w:color w:val="FFFFFF"/>
          <w:spacing w:val="-10"/>
          <w:w w:val="110"/>
          <w:sz w:val="59"/>
        </w:rPr>
        <w:t>—Access </w:t>
      </w:r>
      <w:r>
        <w:rPr>
          <w:rFonts w:ascii="Trebuchet MS" w:hAnsi="Trebuchet MS"/>
          <w:color w:val="FFFFFF"/>
          <w:spacing w:val="-15"/>
          <w:w w:val="110"/>
          <w:sz w:val="59"/>
        </w:rPr>
        <w:t>for </w:t>
      </w:r>
      <w:r>
        <w:rPr>
          <w:rFonts w:ascii="Trebuchet MS" w:hAnsi="Trebuchet MS"/>
          <w:color w:val="FFFFFF"/>
          <w:spacing w:val="-16"/>
          <w:w w:val="110"/>
          <w:sz w:val="59"/>
        </w:rPr>
        <w:t>People </w:t>
      </w:r>
      <w:r>
        <w:rPr>
          <w:rFonts w:ascii="Trebuchet MS" w:hAnsi="Trebuchet MS"/>
          <w:color w:val="FFFFFF"/>
          <w:spacing w:val="-18"/>
          <w:w w:val="110"/>
          <w:sz w:val="59"/>
        </w:rPr>
        <w:t>Who </w:t>
      </w:r>
      <w:r>
        <w:rPr>
          <w:rFonts w:ascii="Trebuchet MS" w:hAnsi="Trebuchet MS"/>
          <w:color w:val="FFFFFF"/>
          <w:spacing w:val="-15"/>
          <w:w w:val="105"/>
          <w:sz w:val="59"/>
        </w:rPr>
        <w:t>Are</w:t>
      </w:r>
      <w:r>
        <w:rPr>
          <w:rFonts w:ascii="Trebuchet MS" w:hAnsi="Trebuchet MS"/>
          <w:color w:val="FFFFFF"/>
          <w:spacing w:val="-72"/>
          <w:w w:val="105"/>
          <w:sz w:val="59"/>
        </w:rPr>
        <w:t> </w:t>
      </w:r>
      <w:r>
        <w:rPr>
          <w:rFonts w:ascii="Trebuchet MS" w:hAnsi="Trebuchet MS"/>
          <w:color w:val="FFFFFF"/>
          <w:spacing w:val="-20"/>
          <w:w w:val="105"/>
          <w:sz w:val="59"/>
        </w:rPr>
        <w:t>Deaf,</w:t>
      </w:r>
      <w:r>
        <w:rPr>
          <w:rFonts w:ascii="Trebuchet MS" w:hAnsi="Trebuchet MS"/>
          <w:color w:val="FFFFFF"/>
          <w:spacing w:val="-71"/>
          <w:w w:val="105"/>
          <w:sz w:val="59"/>
        </w:rPr>
        <w:t> </w:t>
      </w:r>
      <w:r>
        <w:rPr>
          <w:rFonts w:ascii="Trebuchet MS" w:hAnsi="Trebuchet MS"/>
          <w:color w:val="FFFFFF"/>
          <w:spacing w:val="-16"/>
          <w:w w:val="105"/>
          <w:sz w:val="59"/>
        </w:rPr>
        <w:t>Hard</w:t>
      </w:r>
      <w:r>
        <w:rPr>
          <w:rFonts w:ascii="Trebuchet MS" w:hAnsi="Trebuchet MS"/>
          <w:color w:val="FFFFFF"/>
          <w:spacing w:val="-71"/>
          <w:w w:val="105"/>
          <w:sz w:val="59"/>
        </w:rPr>
        <w:t> </w:t>
      </w:r>
      <w:r>
        <w:rPr>
          <w:rFonts w:ascii="Trebuchet MS" w:hAnsi="Trebuchet MS"/>
          <w:color w:val="FFFFFF"/>
          <w:spacing w:val="-12"/>
          <w:w w:val="105"/>
          <w:sz w:val="59"/>
        </w:rPr>
        <w:t>of</w:t>
      </w:r>
      <w:r>
        <w:rPr>
          <w:rFonts w:ascii="Trebuchet MS" w:hAnsi="Trebuchet MS"/>
          <w:color w:val="FFFFFF"/>
          <w:spacing w:val="-84"/>
          <w:w w:val="105"/>
          <w:sz w:val="59"/>
        </w:rPr>
        <w:t> </w:t>
      </w:r>
      <w:r>
        <w:rPr>
          <w:rFonts w:ascii="Trebuchet MS" w:hAnsi="Trebuchet MS"/>
          <w:color w:val="FFFFFF"/>
          <w:spacing w:val="-19"/>
          <w:w w:val="105"/>
          <w:sz w:val="59"/>
        </w:rPr>
        <w:t>Hearing, </w:t>
      </w:r>
      <w:r>
        <w:rPr>
          <w:rFonts w:ascii="Trebuchet MS" w:hAnsi="Trebuchet MS"/>
          <w:color w:val="FFFFFF"/>
          <w:spacing w:val="-15"/>
          <w:w w:val="110"/>
          <w:sz w:val="59"/>
        </w:rPr>
        <w:t>Blind</w:t>
      </w:r>
      <w:r>
        <w:rPr>
          <w:rFonts w:ascii="Trebuchet MS" w:hAnsi="Trebuchet MS"/>
          <w:color w:val="FFFFFF"/>
          <w:spacing w:val="-85"/>
          <w:w w:val="110"/>
          <w:sz w:val="59"/>
        </w:rPr>
        <w:t> </w:t>
      </w:r>
      <w:r>
        <w:rPr>
          <w:rFonts w:ascii="Trebuchet MS" w:hAnsi="Trebuchet MS"/>
          <w:color w:val="FFFFFF"/>
          <w:spacing w:val="-9"/>
          <w:w w:val="110"/>
          <w:sz w:val="59"/>
        </w:rPr>
        <w:t>or</w:t>
      </w:r>
      <w:r>
        <w:rPr>
          <w:rFonts w:ascii="Trebuchet MS" w:hAnsi="Trebuchet MS"/>
          <w:color w:val="FFFFFF"/>
          <w:spacing w:val="-98"/>
          <w:w w:val="110"/>
          <w:sz w:val="59"/>
        </w:rPr>
        <w:t> </w:t>
      </w:r>
      <w:r>
        <w:rPr>
          <w:rFonts w:ascii="Trebuchet MS" w:hAnsi="Trebuchet MS"/>
          <w:color w:val="FFFFFF"/>
          <w:spacing w:val="-20"/>
          <w:w w:val="110"/>
          <w:sz w:val="59"/>
        </w:rPr>
        <w:t>Have</w:t>
      </w:r>
      <w:r>
        <w:rPr>
          <w:rFonts w:ascii="Trebuchet MS" w:hAnsi="Trebuchet MS"/>
          <w:color w:val="FFFFFF"/>
          <w:spacing w:val="-84"/>
          <w:w w:val="110"/>
          <w:sz w:val="59"/>
        </w:rPr>
        <w:t> </w:t>
      </w:r>
      <w:r>
        <w:rPr>
          <w:rFonts w:ascii="Trebuchet MS" w:hAnsi="Trebuchet MS"/>
          <w:color w:val="FFFFFF"/>
          <w:spacing w:val="-18"/>
          <w:w w:val="110"/>
          <w:sz w:val="59"/>
        </w:rPr>
        <w:t>Low</w:t>
      </w:r>
      <w:r>
        <w:rPr>
          <w:rFonts w:ascii="Trebuchet MS" w:hAnsi="Trebuchet MS"/>
          <w:color w:val="FFFFFF"/>
          <w:spacing w:val="-121"/>
          <w:w w:val="110"/>
          <w:sz w:val="59"/>
        </w:rPr>
        <w:t> </w:t>
      </w:r>
      <w:r>
        <w:rPr>
          <w:rFonts w:ascii="Trebuchet MS" w:hAnsi="Trebuchet MS"/>
          <w:color w:val="FFFFFF"/>
          <w:spacing w:val="-18"/>
          <w:w w:val="110"/>
          <w:sz w:val="59"/>
        </w:rPr>
        <w:t>Vision </w:t>
      </w:r>
      <w:r>
        <w:rPr>
          <w:rFonts w:ascii="Raleway Light" w:hAnsi="Raleway Light"/>
          <w:b w:val="0"/>
          <w:color w:val="FFFFFF"/>
          <w:spacing w:val="-20"/>
          <w:w w:val="110"/>
          <w:sz w:val="59"/>
        </w:rPr>
        <w:t>Report</w:t>
      </w:r>
    </w:p>
    <w:p>
      <w:pPr>
        <w:pStyle w:val="BodyText"/>
        <w:rPr>
          <w:rFonts w:ascii="Raleway Light"/>
          <w:b w:val="0"/>
          <w:sz w:val="28"/>
        </w:rPr>
      </w:pPr>
      <w:r>
        <w:rPr/>
        <w:br w:type="column"/>
      </w:r>
      <w:r>
        <w:rPr>
          <w:rFonts w:ascii="Raleway Light"/>
          <w:b w:val="0"/>
          <w:sz w:val="28"/>
        </w:rPr>
      </w:r>
    </w:p>
    <w:p>
      <w:pPr>
        <w:pStyle w:val="BodyText"/>
        <w:rPr>
          <w:rFonts w:ascii="Raleway Light"/>
          <w:b w:val="0"/>
          <w:sz w:val="28"/>
        </w:rPr>
      </w:pPr>
    </w:p>
    <w:p>
      <w:pPr>
        <w:pStyle w:val="BodyText"/>
        <w:spacing w:before="8"/>
        <w:rPr>
          <w:rFonts w:ascii="Raleway Light"/>
          <w:b w:val="0"/>
          <w:sz w:val="39"/>
        </w:rPr>
      </w:pPr>
    </w:p>
    <w:p>
      <w:pPr>
        <w:pStyle w:val="Heading4"/>
        <w:rPr>
          <w:b w:val="0"/>
        </w:rPr>
      </w:pPr>
      <w:r>
        <w:rPr>
          <w:b w:val="0"/>
          <w:color w:val="FFFFFF"/>
          <w:spacing w:val="-7"/>
          <w:w w:val="105"/>
        </w:rPr>
        <w:t>July</w:t>
      </w:r>
      <w:r>
        <w:rPr>
          <w:b w:val="0"/>
          <w:color w:val="FFFFFF"/>
          <w:spacing w:val="-8"/>
          <w:w w:val="105"/>
        </w:rPr>
        <w:t> 2022</w:t>
      </w: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rPr>
          <w:rFonts w:ascii="Raleway Light"/>
          <w:b w:val="0"/>
          <w:sz w:val="28"/>
        </w:rPr>
      </w:pPr>
    </w:p>
    <w:p>
      <w:pPr>
        <w:pStyle w:val="BodyText"/>
        <w:spacing w:before="13"/>
        <w:rPr>
          <w:rFonts w:ascii="Raleway Light"/>
          <w:b w:val="0"/>
          <w:sz w:val="18"/>
        </w:rPr>
      </w:pPr>
    </w:p>
    <w:p>
      <w:pPr>
        <w:spacing w:line="216" w:lineRule="auto" w:before="0"/>
        <w:ind w:left="114" w:right="0" w:firstLine="0"/>
        <w:jc w:val="left"/>
        <w:rPr>
          <w:rFonts w:ascii="Raleway ExtraBold"/>
          <w:b/>
          <w:sz w:val="32"/>
        </w:rPr>
      </w:pPr>
      <w:r>
        <w:rPr>
          <w:rFonts w:ascii="Raleway ExtraBold"/>
          <w:b/>
          <w:color w:val="FFFFFF"/>
          <w:sz w:val="32"/>
        </w:rPr>
        <w:t>A</w:t>
      </w:r>
      <w:r>
        <w:rPr>
          <w:rFonts w:ascii="Raleway ExtraBold"/>
          <w:b/>
          <w:color w:val="FFFFFF"/>
          <w:spacing w:val="-27"/>
          <w:sz w:val="32"/>
        </w:rPr>
        <w:t> </w:t>
      </w:r>
      <w:r>
        <w:rPr>
          <w:rFonts w:ascii="Raleway ExtraBold"/>
          <w:b/>
          <w:color w:val="FFFFFF"/>
          <w:spacing w:val="-12"/>
          <w:sz w:val="32"/>
        </w:rPr>
        <w:t>Community </w:t>
      </w:r>
      <w:r>
        <w:rPr>
          <w:rFonts w:ascii="Raleway ExtraBold"/>
          <w:b/>
          <w:color w:val="FFFFFF"/>
          <w:spacing w:val="-9"/>
          <w:sz w:val="32"/>
        </w:rPr>
        <w:t>Law </w:t>
      </w:r>
      <w:r>
        <w:rPr>
          <w:rFonts w:ascii="Raleway ExtraBold"/>
          <w:b/>
          <w:color w:val="FFFFFF"/>
          <w:spacing w:val="-12"/>
          <w:sz w:val="32"/>
        </w:rPr>
        <w:t>Reform </w:t>
      </w:r>
      <w:r>
        <w:rPr>
          <w:rFonts w:ascii="Raleway ExtraBold"/>
          <w:b/>
          <w:color w:val="FFFFFF"/>
          <w:spacing w:val="-11"/>
          <w:sz w:val="32"/>
        </w:rPr>
        <w:t>Project</w:t>
      </w:r>
    </w:p>
    <w:p>
      <w:pPr>
        <w:spacing w:after="0" w:line="216" w:lineRule="auto"/>
        <w:jc w:val="left"/>
        <w:rPr>
          <w:rFonts w:ascii="Raleway ExtraBold"/>
          <w:sz w:val="32"/>
        </w:rPr>
        <w:sectPr>
          <w:headerReference w:type="default" r:id="rId5"/>
          <w:type w:val="continuous"/>
          <w:pgSz w:w="11930" w:h="16900"/>
          <w:pgMar w:header="0" w:top="620" w:bottom="280" w:left="520" w:right="460"/>
          <w:cols w:num="2" w:equalWidth="0">
            <w:col w:w="6912" w:space="1845"/>
            <w:col w:w="2193"/>
          </w:cols>
        </w:sectPr>
      </w:pPr>
    </w:p>
    <w:p>
      <w:pPr>
        <w:pStyle w:val="BodyText"/>
        <w:ind w:left="4999"/>
        <w:rPr>
          <w:rFonts w:ascii="Raleway ExtraBold"/>
        </w:rPr>
      </w:pPr>
      <w:r>
        <w:rPr>
          <w:rFonts w:ascii="Raleway ExtraBold"/>
        </w:rPr>
        <w:drawing>
          <wp:inline distT="0" distB="0" distL="0" distR="0">
            <wp:extent cx="990491" cy="504825"/>
            <wp:effectExtent l="0" t="0" r="0" b="0"/>
            <wp:docPr id="1" name="image3.png" descr=""/>
            <wp:cNvGraphicFramePr>
              <a:graphicFrameLocks noChangeAspect="1"/>
            </wp:cNvGraphicFramePr>
            <a:graphic>
              <a:graphicData uri="http://schemas.openxmlformats.org/drawingml/2006/picture">
                <pic:pic>
                  <pic:nvPicPr>
                    <pic:cNvPr id="2" name="image3.png"/>
                    <pic:cNvPicPr/>
                  </pic:nvPicPr>
                  <pic:blipFill>
                    <a:blip r:embed="rId9" cstate="print"/>
                    <a:stretch>
                      <a:fillRect/>
                    </a:stretch>
                  </pic:blipFill>
                  <pic:spPr>
                    <a:xfrm>
                      <a:off x="0" y="0"/>
                      <a:ext cx="990491" cy="504825"/>
                    </a:xfrm>
                    <a:prstGeom prst="rect">
                      <a:avLst/>
                    </a:prstGeom>
                  </pic:spPr>
                </pic:pic>
              </a:graphicData>
            </a:graphic>
          </wp:inline>
        </w:drawing>
      </w:r>
      <w:r>
        <w:rPr>
          <w:rFonts w:ascii="Raleway ExtraBold"/>
        </w:rPr>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2"/>
        <w:rPr>
          <w:rFonts w:ascii="Raleway ExtraBold"/>
          <w:b/>
          <w:sz w:val="28"/>
        </w:rPr>
      </w:pPr>
    </w:p>
    <w:p>
      <w:pPr>
        <w:spacing w:after="0"/>
        <w:rPr>
          <w:rFonts w:ascii="Raleway ExtraBold"/>
          <w:sz w:val="28"/>
        </w:rPr>
        <w:sectPr>
          <w:headerReference w:type="even" r:id="rId8"/>
          <w:pgSz w:w="12460" w:h="16830"/>
          <w:pgMar w:header="0" w:footer="0" w:top="700" w:bottom="280" w:left="1020" w:right="1760"/>
        </w:sectPr>
      </w:pPr>
    </w:p>
    <w:p>
      <w:pPr>
        <w:spacing w:before="61"/>
        <w:ind w:left="103" w:right="30" w:firstLine="0"/>
        <w:jc w:val="left"/>
        <w:rPr>
          <w:sz w:val="18"/>
        </w:rPr>
      </w:pPr>
      <w:r>
        <w:rPr>
          <w:b/>
          <w:color w:val="231F20"/>
          <w:spacing w:val="-6"/>
          <w:sz w:val="18"/>
        </w:rPr>
        <w:t>Published </w:t>
      </w:r>
      <w:r>
        <w:rPr>
          <w:b/>
          <w:color w:val="231F20"/>
          <w:spacing w:val="-5"/>
          <w:sz w:val="18"/>
        </w:rPr>
        <w:t>by </w:t>
      </w:r>
      <w:r>
        <w:rPr>
          <w:b/>
          <w:color w:val="231F20"/>
          <w:spacing w:val="-4"/>
          <w:sz w:val="18"/>
        </w:rPr>
        <w:t>the </w:t>
      </w:r>
      <w:r>
        <w:rPr>
          <w:b/>
          <w:color w:val="231F20"/>
          <w:spacing w:val="-6"/>
          <w:sz w:val="18"/>
        </w:rPr>
        <w:t>Victorian </w:t>
      </w:r>
      <w:r>
        <w:rPr>
          <w:b/>
          <w:color w:val="231F20"/>
          <w:spacing w:val="-5"/>
          <w:sz w:val="18"/>
        </w:rPr>
        <w:t>Law </w:t>
      </w:r>
      <w:r>
        <w:rPr>
          <w:b/>
          <w:color w:val="231F20"/>
          <w:spacing w:val="-6"/>
          <w:sz w:val="18"/>
        </w:rPr>
        <w:t>Reform Commission </w:t>
      </w:r>
      <w:r>
        <w:rPr>
          <w:color w:val="231F20"/>
          <w:spacing w:val="-4"/>
          <w:sz w:val="18"/>
        </w:rPr>
        <w:t>The </w:t>
      </w:r>
      <w:r>
        <w:rPr>
          <w:color w:val="231F20"/>
          <w:spacing w:val="-6"/>
          <w:sz w:val="18"/>
        </w:rPr>
        <w:t>Victorian </w:t>
      </w:r>
      <w:r>
        <w:rPr>
          <w:color w:val="231F20"/>
          <w:spacing w:val="-5"/>
          <w:sz w:val="18"/>
        </w:rPr>
        <w:t>Law </w:t>
      </w:r>
      <w:r>
        <w:rPr>
          <w:color w:val="231F20"/>
          <w:spacing w:val="-7"/>
          <w:sz w:val="18"/>
        </w:rPr>
        <w:t>Reform </w:t>
      </w:r>
      <w:r>
        <w:rPr>
          <w:color w:val="231F20"/>
          <w:spacing w:val="-6"/>
          <w:sz w:val="18"/>
        </w:rPr>
        <w:t>Commission </w:t>
      </w:r>
      <w:r>
        <w:rPr>
          <w:color w:val="231F20"/>
          <w:spacing w:val="-5"/>
          <w:sz w:val="18"/>
        </w:rPr>
        <w:t>was </w:t>
      </w:r>
      <w:r>
        <w:rPr>
          <w:color w:val="231F20"/>
          <w:spacing w:val="-6"/>
          <w:sz w:val="18"/>
        </w:rPr>
        <w:t>established </w:t>
      </w:r>
      <w:r>
        <w:rPr>
          <w:color w:val="231F20"/>
          <w:spacing w:val="-5"/>
          <w:sz w:val="18"/>
        </w:rPr>
        <w:t>under</w:t>
      </w:r>
      <w:r>
        <w:rPr>
          <w:color w:val="231F20"/>
          <w:spacing w:val="-16"/>
          <w:sz w:val="18"/>
        </w:rPr>
        <w:t> </w:t>
      </w:r>
      <w:r>
        <w:rPr>
          <w:color w:val="231F20"/>
          <w:spacing w:val="-4"/>
          <w:sz w:val="18"/>
        </w:rPr>
        <w:t>the</w:t>
      </w:r>
      <w:r>
        <w:rPr>
          <w:color w:val="231F20"/>
          <w:spacing w:val="-11"/>
          <w:sz w:val="18"/>
        </w:rPr>
        <w:t> </w:t>
      </w:r>
      <w:r>
        <w:rPr>
          <w:i/>
          <w:color w:val="231F20"/>
          <w:spacing w:val="-6"/>
          <w:sz w:val="18"/>
        </w:rPr>
        <w:t>Victorian</w:t>
      </w:r>
      <w:r>
        <w:rPr>
          <w:i/>
          <w:color w:val="231F20"/>
          <w:spacing w:val="-11"/>
          <w:sz w:val="18"/>
        </w:rPr>
        <w:t> </w:t>
      </w:r>
      <w:r>
        <w:rPr>
          <w:i/>
          <w:color w:val="231F20"/>
          <w:spacing w:val="-6"/>
          <w:sz w:val="18"/>
        </w:rPr>
        <w:t>Law</w:t>
      </w:r>
      <w:r>
        <w:rPr>
          <w:i/>
          <w:color w:val="231F20"/>
          <w:spacing w:val="-15"/>
          <w:sz w:val="18"/>
        </w:rPr>
        <w:t> </w:t>
      </w:r>
      <w:r>
        <w:rPr>
          <w:i/>
          <w:color w:val="231F20"/>
          <w:spacing w:val="-6"/>
          <w:sz w:val="18"/>
        </w:rPr>
        <w:t>Reform</w:t>
      </w:r>
      <w:r>
        <w:rPr>
          <w:i/>
          <w:color w:val="231F20"/>
          <w:spacing w:val="-11"/>
          <w:sz w:val="18"/>
        </w:rPr>
        <w:t> </w:t>
      </w:r>
      <w:r>
        <w:rPr>
          <w:i/>
          <w:color w:val="231F20"/>
          <w:spacing w:val="-6"/>
          <w:sz w:val="18"/>
        </w:rPr>
        <w:t>Commission</w:t>
      </w:r>
      <w:r>
        <w:rPr>
          <w:i/>
          <w:color w:val="231F20"/>
          <w:spacing w:val="-16"/>
          <w:sz w:val="18"/>
        </w:rPr>
        <w:t> </w:t>
      </w:r>
      <w:r>
        <w:rPr>
          <w:i/>
          <w:color w:val="231F20"/>
          <w:spacing w:val="-5"/>
          <w:sz w:val="18"/>
        </w:rPr>
        <w:t>Act</w:t>
      </w:r>
      <w:r>
        <w:rPr>
          <w:i/>
          <w:color w:val="231F20"/>
          <w:spacing w:val="-11"/>
          <w:sz w:val="18"/>
        </w:rPr>
        <w:t> </w:t>
      </w:r>
      <w:r>
        <w:rPr>
          <w:i/>
          <w:color w:val="231F20"/>
          <w:spacing w:val="-5"/>
          <w:sz w:val="18"/>
        </w:rPr>
        <w:t>2000</w:t>
      </w:r>
      <w:r>
        <w:rPr>
          <w:i/>
          <w:color w:val="231F20"/>
          <w:spacing w:val="-10"/>
          <w:sz w:val="18"/>
        </w:rPr>
        <w:t> </w:t>
      </w:r>
      <w:r>
        <w:rPr>
          <w:color w:val="231F20"/>
          <w:spacing w:val="-6"/>
          <w:sz w:val="18"/>
        </w:rPr>
        <w:t>(Vic) </w:t>
      </w:r>
      <w:r>
        <w:rPr>
          <w:color w:val="231F20"/>
          <w:spacing w:val="-3"/>
          <w:sz w:val="18"/>
        </w:rPr>
        <w:t>as</w:t>
      </w:r>
      <w:r>
        <w:rPr>
          <w:color w:val="231F20"/>
          <w:spacing w:val="-12"/>
          <w:sz w:val="18"/>
        </w:rPr>
        <w:t> </w:t>
      </w:r>
      <w:r>
        <w:rPr>
          <w:color w:val="231F20"/>
          <w:sz w:val="18"/>
        </w:rPr>
        <w:t>a</w:t>
      </w:r>
      <w:r>
        <w:rPr>
          <w:color w:val="231F20"/>
          <w:spacing w:val="-11"/>
          <w:sz w:val="18"/>
        </w:rPr>
        <w:t> </w:t>
      </w:r>
      <w:r>
        <w:rPr>
          <w:color w:val="231F20"/>
          <w:spacing w:val="-6"/>
          <w:sz w:val="18"/>
        </w:rPr>
        <w:t>central</w:t>
      </w:r>
      <w:r>
        <w:rPr>
          <w:color w:val="231F20"/>
          <w:spacing w:val="-18"/>
          <w:sz w:val="18"/>
        </w:rPr>
        <w:t> </w:t>
      </w:r>
      <w:r>
        <w:rPr>
          <w:color w:val="231F20"/>
          <w:spacing w:val="-5"/>
          <w:sz w:val="18"/>
        </w:rPr>
        <w:t>agency</w:t>
      </w:r>
      <w:r>
        <w:rPr>
          <w:color w:val="231F20"/>
          <w:spacing w:val="-16"/>
          <w:sz w:val="18"/>
        </w:rPr>
        <w:t> </w:t>
      </w:r>
      <w:r>
        <w:rPr>
          <w:color w:val="231F20"/>
          <w:spacing w:val="-4"/>
          <w:sz w:val="18"/>
        </w:rPr>
        <w:t>for</w:t>
      </w:r>
      <w:r>
        <w:rPr>
          <w:color w:val="231F20"/>
          <w:spacing w:val="-16"/>
          <w:sz w:val="18"/>
        </w:rPr>
        <w:t> </w:t>
      </w:r>
      <w:r>
        <w:rPr>
          <w:color w:val="231F20"/>
          <w:spacing w:val="-6"/>
          <w:sz w:val="18"/>
        </w:rPr>
        <w:t>developing</w:t>
      </w:r>
      <w:r>
        <w:rPr>
          <w:color w:val="231F20"/>
          <w:spacing w:val="-12"/>
          <w:sz w:val="18"/>
        </w:rPr>
        <w:t> </w:t>
      </w:r>
      <w:r>
        <w:rPr>
          <w:color w:val="231F20"/>
          <w:spacing w:val="-4"/>
          <w:sz w:val="18"/>
        </w:rPr>
        <w:t>law</w:t>
      </w:r>
      <w:r>
        <w:rPr>
          <w:color w:val="231F20"/>
          <w:spacing w:val="-16"/>
          <w:sz w:val="18"/>
        </w:rPr>
        <w:t> </w:t>
      </w:r>
      <w:r>
        <w:rPr>
          <w:color w:val="231F20"/>
          <w:spacing w:val="-5"/>
          <w:sz w:val="18"/>
        </w:rPr>
        <w:t>reform</w:t>
      </w:r>
      <w:r>
        <w:rPr>
          <w:color w:val="231F20"/>
          <w:spacing w:val="-11"/>
          <w:sz w:val="18"/>
        </w:rPr>
        <w:t> </w:t>
      </w:r>
      <w:r>
        <w:rPr>
          <w:color w:val="231F20"/>
          <w:spacing w:val="-3"/>
          <w:sz w:val="18"/>
        </w:rPr>
        <w:t>in</w:t>
      </w:r>
      <w:r>
        <w:rPr>
          <w:color w:val="231F20"/>
          <w:spacing w:val="-19"/>
          <w:sz w:val="18"/>
        </w:rPr>
        <w:t> </w:t>
      </w:r>
      <w:r>
        <w:rPr>
          <w:color w:val="231F20"/>
          <w:spacing w:val="-6"/>
          <w:sz w:val="18"/>
        </w:rPr>
        <w:t>Victoria.</w:t>
      </w:r>
    </w:p>
    <w:p>
      <w:pPr>
        <w:spacing w:before="70"/>
        <w:ind w:left="103" w:right="0" w:firstLine="0"/>
        <w:jc w:val="left"/>
        <w:rPr>
          <w:sz w:val="18"/>
        </w:rPr>
      </w:pPr>
      <w:r>
        <w:rPr>
          <w:color w:val="231F20"/>
          <w:sz w:val="18"/>
        </w:rPr>
        <w:t>© Victorian Law Reform Commission 2023</w:t>
      </w:r>
    </w:p>
    <w:p>
      <w:pPr>
        <w:spacing w:before="0"/>
        <w:ind w:left="103" w:right="53" w:firstLine="0"/>
        <w:jc w:val="both"/>
        <w:rPr>
          <w:sz w:val="18"/>
        </w:rPr>
      </w:pPr>
      <w:r>
        <w:rPr>
          <w:color w:val="231F20"/>
          <w:spacing w:val="-5"/>
          <w:sz w:val="18"/>
        </w:rPr>
        <w:t>This </w:t>
      </w:r>
      <w:r>
        <w:rPr>
          <w:color w:val="231F20"/>
          <w:spacing w:val="-6"/>
          <w:sz w:val="18"/>
        </w:rPr>
        <w:t>publication </w:t>
      </w:r>
      <w:r>
        <w:rPr>
          <w:color w:val="231F20"/>
          <w:spacing w:val="-4"/>
          <w:sz w:val="18"/>
        </w:rPr>
        <w:t>of the </w:t>
      </w:r>
      <w:r>
        <w:rPr>
          <w:color w:val="231F20"/>
          <w:spacing w:val="-6"/>
          <w:sz w:val="18"/>
        </w:rPr>
        <w:t>Victorian </w:t>
      </w:r>
      <w:r>
        <w:rPr>
          <w:color w:val="231F20"/>
          <w:spacing w:val="-5"/>
          <w:sz w:val="18"/>
        </w:rPr>
        <w:t>Law </w:t>
      </w:r>
      <w:r>
        <w:rPr>
          <w:color w:val="231F20"/>
          <w:spacing w:val="-7"/>
          <w:sz w:val="18"/>
        </w:rPr>
        <w:t>Reform </w:t>
      </w:r>
      <w:r>
        <w:rPr>
          <w:color w:val="231F20"/>
          <w:spacing w:val="-6"/>
          <w:sz w:val="18"/>
        </w:rPr>
        <w:t>Commission </w:t>
      </w:r>
      <w:r>
        <w:rPr>
          <w:color w:val="231F20"/>
          <w:spacing w:val="-7"/>
          <w:sz w:val="18"/>
        </w:rPr>
        <w:t>follows</w:t>
      </w:r>
      <w:r>
        <w:rPr>
          <w:color w:val="231F20"/>
          <w:spacing w:val="-10"/>
          <w:sz w:val="18"/>
        </w:rPr>
        <w:t> </w:t>
      </w:r>
      <w:r>
        <w:rPr>
          <w:color w:val="231F20"/>
          <w:spacing w:val="-4"/>
          <w:sz w:val="18"/>
        </w:rPr>
        <w:t>the</w:t>
      </w:r>
      <w:r>
        <w:rPr>
          <w:color w:val="231F20"/>
          <w:spacing w:val="-10"/>
          <w:sz w:val="18"/>
        </w:rPr>
        <w:t> </w:t>
      </w:r>
      <w:r>
        <w:rPr>
          <w:color w:val="231F20"/>
          <w:spacing w:val="-6"/>
          <w:sz w:val="18"/>
        </w:rPr>
        <w:t>Melbourne</w:t>
      </w:r>
      <w:r>
        <w:rPr>
          <w:color w:val="231F20"/>
          <w:spacing w:val="-9"/>
          <w:sz w:val="18"/>
        </w:rPr>
        <w:t> </w:t>
      </w:r>
      <w:r>
        <w:rPr>
          <w:color w:val="231F20"/>
          <w:spacing w:val="-6"/>
          <w:sz w:val="18"/>
        </w:rPr>
        <w:t>University</w:t>
      </w:r>
      <w:r>
        <w:rPr>
          <w:color w:val="231F20"/>
          <w:spacing w:val="-15"/>
          <w:sz w:val="18"/>
        </w:rPr>
        <w:t> </w:t>
      </w:r>
      <w:r>
        <w:rPr>
          <w:color w:val="231F20"/>
          <w:spacing w:val="-5"/>
          <w:sz w:val="18"/>
        </w:rPr>
        <w:t>Law</w:t>
      </w:r>
      <w:r>
        <w:rPr>
          <w:color w:val="231F20"/>
          <w:spacing w:val="-15"/>
          <w:sz w:val="18"/>
        </w:rPr>
        <w:t> </w:t>
      </w:r>
      <w:r>
        <w:rPr>
          <w:color w:val="231F20"/>
          <w:spacing w:val="-7"/>
          <w:sz w:val="18"/>
        </w:rPr>
        <w:t>Review</w:t>
      </w:r>
      <w:r>
        <w:rPr>
          <w:color w:val="231F20"/>
          <w:spacing w:val="-21"/>
          <w:sz w:val="18"/>
        </w:rPr>
        <w:t> </w:t>
      </w:r>
      <w:r>
        <w:rPr>
          <w:color w:val="231F20"/>
          <w:spacing w:val="-7"/>
          <w:sz w:val="18"/>
        </w:rPr>
        <w:t>Association </w:t>
      </w:r>
      <w:r>
        <w:rPr>
          <w:i/>
          <w:color w:val="231F20"/>
          <w:spacing w:val="-6"/>
          <w:sz w:val="18"/>
        </w:rPr>
        <w:t>Australian</w:t>
      </w:r>
      <w:r>
        <w:rPr>
          <w:i/>
          <w:color w:val="231F20"/>
          <w:spacing w:val="-11"/>
          <w:sz w:val="18"/>
        </w:rPr>
        <w:t> </w:t>
      </w:r>
      <w:r>
        <w:rPr>
          <w:i/>
          <w:color w:val="231F20"/>
          <w:spacing w:val="-5"/>
          <w:sz w:val="18"/>
        </w:rPr>
        <w:t>Guide</w:t>
      </w:r>
      <w:r>
        <w:rPr>
          <w:i/>
          <w:color w:val="231F20"/>
          <w:spacing w:val="-10"/>
          <w:sz w:val="18"/>
        </w:rPr>
        <w:t> </w:t>
      </w:r>
      <w:r>
        <w:rPr>
          <w:i/>
          <w:color w:val="231F20"/>
          <w:spacing w:val="-4"/>
          <w:sz w:val="18"/>
        </w:rPr>
        <w:t>to</w:t>
      </w:r>
      <w:r>
        <w:rPr>
          <w:i/>
          <w:color w:val="231F20"/>
          <w:spacing w:val="-10"/>
          <w:sz w:val="18"/>
        </w:rPr>
        <w:t> </w:t>
      </w:r>
      <w:r>
        <w:rPr>
          <w:i/>
          <w:color w:val="231F20"/>
          <w:spacing w:val="-6"/>
          <w:sz w:val="18"/>
        </w:rPr>
        <w:t>Legal</w:t>
      </w:r>
      <w:r>
        <w:rPr>
          <w:i/>
          <w:color w:val="231F20"/>
          <w:spacing w:val="-16"/>
          <w:sz w:val="18"/>
        </w:rPr>
        <w:t> </w:t>
      </w:r>
      <w:r>
        <w:rPr>
          <w:i/>
          <w:color w:val="231F20"/>
          <w:spacing w:val="-6"/>
          <w:sz w:val="18"/>
        </w:rPr>
        <w:t>Citation</w:t>
      </w:r>
      <w:r>
        <w:rPr>
          <w:i/>
          <w:color w:val="231F20"/>
          <w:spacing w:val="-9"/>
          <w:sz w:val="18"/>
        </w:rPr>
        <w:t> </w:t>
      </w:r>
      <w:r>
        <w:rPr>
          <w:color w:val="231F20"/>
          <w:spacing w:val="-6"/>
          <w:sz w:val="18"/>
        </w:rPr>
        <w:t>(4th</w:t>
      </w:r>
      <w:r>
        <w:rPr>
          <w:color w:val="231F20"/>
          <w:spacing w:val="-10"/>
          <w:sz w:val="18"/>
        </w:rPr>
        <w:t> </w:t>
      </w:r>
      <w:r>
        <w:rPr>
          <w:color w:val="231F20"/>
          <w:spacing w:val="-4"/>
          <w:sz w:val="18"/>
        </w:rPr>
        <w:t>ed,</w:t>
      </w:r>
      <w:r>
        <w:rPr>
          <w:color w:val="231F20"/>
          <w:spacing w:val="-10"/>
          <w:sz w:val="18"/>
        </w:rPr>
        <w:t> </w:t>
      </w:r>
      <w:r>
        <w:rPr>
          <w:color w:val="231F20"/>
          <w:spacing w:val="-6"/>
          <w:sz w:val="18"/>
        </w:rPr>
        <w:t>2017).</w:t>
      </w:r>
    </w:p>
    <w:p>
      <w:pPr>
        <w:spacing w:before="46"/>
        <w:ind w:left="103" w:right="0" w:firstLine="0"/>
        <w:jc w:val="left"/>
        <w:rPr>
          <w:sz w:val="18"/>
        </w:rPr>
      </w:pPr>
      <w:r>
        <w:rPr>
          <w:color w:val="231F20"/>
          <w:sz w:val="18"/>
        </w:rPr>
        <w:t>This report reflects the law at 30 April 2022.</w:t>
      </w:r>
    </w:p>
    <w:p>
      <w:pPr>
        <w:pStyle w:val="BodyText"/>
        <w:spacing w:before="9"/>
        <w:rPr>
          <w:sz w:val="16"/>
        </w:rPr>
      </w:pPr>
      <w:r>
        <w:rPr/>
        <w:pict>
          <v:line style="position:absolute;mso-position-horizontal-relative:page;mso-position-vertical-relative:paragraph;z-index:-1000;mso-wrap-distance-left:0;mso-wrap-distance-right:0" from="56.448002pt,13.6849pt" to="279.818002pt,13.6849pt" stroked="true" strokeweight=".25pt" strokecolor="#231f20">
            <v:stroke dashstyle="solid"/>
            <w10:wrap type="topAndBottom"/>
          </v:line>
        </w:pict>
      </w:r>
    </w:p>
    <w:p>
      <w:pPr>
        <w:spacing w:before="91"/>
        <w:ind w:left="103" w:right="0" w:firstLine="0"/>
        <w:jc w:val="left"/>
        <w:rPr>
          <w:b/>
          <w:sz w:val="18"/>
        </w:rPr>
      </w:pPr>
      <w:r>
        <w:rPr>
          <w:b/>
          <w:color w:val="231F20"/>
          <w:sz w:val="18"/>
        </w:rPr>
        <w:t>Title: Inclusive Juries: Report</w:t>
      </w:r>
    </w:p>
    <w:p>
      <w:pPr>
        <w:spacing w:line="283" w:lineRule="auto" w:before="46"/>
        <w:ind w:left="103" w:right="352" w:firstLine="0"/>
        <w:jc w:val="left"/>
        <w:rPr>
          <w:sz w:val="18"/>
        </w:rPr>
      </w:pPr>
      <w:r>
        <w:rPr>
          <w:rFonts w:ascii="Raleway SemiBold"/>
          <w:b/>
          <w:color w:val="231F20"/>
          <w:spacing w:val="-6"/>
          <w:sz w:val="18"/>
        </w:rPr>
        <w:t>Series: </w:t>
      </w:r>
      <w:r>
        <w:rPr>
          <w:color w:val="231F20"/>
          <w:spacing w:val="-6"/>
          <w:sz w:val="18"/>
        </w:rPr>
        <w:t>Report (Victorian </w:t>
      </w:r>
      <w:r>
        <w:rPr>
          <w:color w:val="231F20"/>
          <w:spacing w:val="-5"/>
          <w:sz w:val="18"/>
        </w:rPr>
        <w:t>Law </w:t>
      </w:r>
      <w:r>
        <w:rPr>
          <w:color w:val="231F20"/>
          <w:spacing w:val="-7"/>
          <w:sz w:val="18"/>
        </w:rPr>
        <w:t>Reform </w:t>
      </w:r>
      <w:r>
        <w:rPr>
          <w:color w:val="231F20"/>
          <w:spacing w:val="-6"/>
          <w:sz w:val="18"/>
        </w:rPr>
        <w:t>Commission) 46 </w:t>
      </w:r>
      <w:r>
        <w:rPr>
          <w:color w:val="231F20"/>
          <w:spacing w:val="-5"/>
          <w:sz w:val="18"/>
        </w:rPr>
        <w:t>ISBN: </w:t>
      </w:r>
      <w:r>
        <w:rPr>
          <w:color w:val="231F20"/>
          <w:spacing w:val="-6"/>
          <w:sz w:val="18"/>
        </w:rPr>
        <w:t>978-0-6452812-5-5</w:t>
      </w:r>
    </w:p>
    <w:p>
      <w:pPr>
        <w:pStyle w:val="BodyText"/>
        <w:spacing w:before="4"/>
        <w:rPr>
          <w:sz w:val="16"/>
        </w:rPr>
      </w:pPr>
    </w:p>
    <w:p>
      <w:pPr>
        <w:spacing w:line="230" w:lineRule="auto" w:before="0"/>
        <w:ind w:left="103" w:right="30" w:firstLine="0"/>
        <w:jc w:val="left"/>
        <w:rPr>
          <w:rFonts w:ascii="Raleway SemiBold"/>
          <w:b/>
          <w:sz w:val="18"/>
        </w:rPr>
      </w:pPr>
      <w:r>
        <w:rPr>
          <w:rFonts w:ascii="Raleway SemiBold"/>
          <w:b/>
          <w:color w:val="231F20"/>
          <w:spacing w:val="-6"/>
          <w:sz w:val="18"/>
        </w:rPr>
        <w:t>Published </w:t>
      </w:r>
      <w:r>
        <w:rPr>
          <w:rFonts w:ascii="Raleway SemiBold"/>
          <w:b/>
          <w:color w:val="231F20"/>
          <w:spacing w:val="-3"/>
          <w:sz w:val="18"/>
        </w:rPr>
        <w:t>by </w:t>
      </w:r>
      <w:r>
        <w:rPr>
          <w:rFonts w:ascii="Raleway SemiBold"/>
          <w:b/>
          <w:color w:val="231F20"/>
          <w:spacing w:val="-5"/>
          <w:sz w:val="18"/>
        </w:rPr>
        <w:t>order, </w:t>
      </w:r>
      <w:r>
        <w:rPr>
          <w:rFonts w:ascii="Raleway SemiBold"/>
          <w:b/>
          <w:color w:val="231F20"/>
          <w:spacing w:val="-3"/>
          <w:sz w:val="18"/>
        </w:rPr>
        <w:t>or </w:t>
      </w:r>
      <w:r>
        <w:rPr>
          <w:rFonts w:ascii="Raleway SemiBold"/>
          <w:b/>
          <w:color w:val="231F20"/>
          <w:spacing w:val="-5"/>
          <w:sz w:val="18"/>
        </w:rPr>
        <w:t>under </w:t>
      </w:r>
      <w:r>
        <w:rPr>
          <w:rFonts w:ascii="Raleway SemiBold"/>
          <w:b/>
          <w:color w:val="231F20"/>
          <w:spacing w:val="-4"/>
          <w:sz w:val="18"/>
        </w:rPr>
        <w:t>the </w:t>
      </w:r>
      <w:r>
        <w:rPr>
          <w:rFonts w:ascii="Raleway SemiBold"/>
          <w:b/>
          <w:color w:val="231F20"/>
          <w:spacing w:val="-6"/>
          <w:sz w:val="18"/>
        </w:rPr>
        <w:t>authority, </w:t>
      </w:r>
      <w:r>
        <w:rPr>
          <w:rFonts w:ascii="Raleway SemiBold"/>
          <w:b/>
          <w:color w:val="231F20"/>
          <w:spacing w:val="-3"/>
          <w:sz w:val="18"/>
        </w:rPr>
        <w:t>of </w:t>
      </w:r>
      <w:r>
        <w:rPr>
          <w:rFonts w:ascii="Raleway SemiBold"/>
          <w:b/>
          <w:color w:val="231F20"/>
          <w:spacing w:val="-6"/>
          <w:sz w:val="18"/>
        </w:rPr>
        <w:t>the Parliament </w:t>
      </w:r>
      <w:r>
        <w:rPr>
          <w:rFonts w:ascii="Raleway SemiBold"/>
          <w:b/>
          <w:color w:val="231F20"/>
          <w:spacing w:val="-3"/>
          <w:sz w:val="18"/>
        </w:rPr>
        <w:t>of </w:t>
      </w:r>
      <w:r>
        <w:rPr>
          <w:rFonts w:ascii="Raleway SemiBold"/>
          <w:b/>
          <w:color w:val="231F20"/>
          <w:spacing w:val="-6"/>
          <w:sz w:val="18"/>
        </w:rPr>
        <w:t>Victoria</w:t>
      </w:r>
    </w:p>
    <w:p>
      <w:pPr>
        <w:spacing w:line="240" w:lineRule="exact" w:before="0"/>
        <w:ind w:left="103" w:right="0" w:firstLine="0"/>
        <w:jc w:val="left"/>
        <w:rPr>
          <w:rFonts w:ascii="Raleway SemiBold"/>
          <w:b/>
          <w:sz w:val="18"/>
        </w:rPr>
      </w:pPr>
      <w:r>
        <w:rPr>
          <w:rFonts w:ascii="Raleway SemiBold"/>
          <w:b/>
          <w:color w:val="231F20"/>
          <w:sz w:val="18"/>
        </w:rPr>
        <w:t>May 2023</w:t>
      </w:r>
    </w:p>
    <w:p>
      <w:pPr>
        <w:pStyle w:val="BodyText"/>
        <w:spacing w:before="8"/>
        <w:rPr>
          <w:rFonts w:ascii="Raleway SemiBold"/>
          <w:b/>
          <w:sz w:val="10"/>
        </w:rPr>
      </w:pPr>
      <w:r>
        <w:rPr/>
        <w:pict>
          <v:line style="position:absolute;mso-position-horizontal-relative:page;mso-position-vertical-relative:paragraph;z-index:-976;mso-wrap-distance-left:0;mso-wrap-distance-right:0" from="56.448002pt,9.441829pt" to="279.818002pt,9.441829pt" stroked="true" strokeweight=".25pt" strokecolor="#231f20">
            <v:stroke dashstyle="solid"/>
            <w10:wrap type="topAndBottom"/>
          </v:line>
        </w:pict>
      </w:r>
    </w:p>
    <w:p>
      <w:pPr>
        <w:spacing w:before="145"/>
        <w:ind w:left="103" w:right="0" w:firstLine="0"/>
        <w:jc w:val="left"/>
        <w:rPr>
          <w:rFonts w:ascii="Raleway SemiBold"/>
          <w:b/>
          <w:sz w:val="18"/>
        </w:rPr>
      </w:pPr>
      <w:r>
        <w:rPr>
          <w:rFonts w:ascii="Raleway SemiBold"/>
          <w:b/>
          <w:color w:val="231F20"/>
          <w:sz w:val="18"/>
        </w:rPr>
        <w:t>A note on the cover design</w:t>
      </w:r>
    </w:p>
    <w:p>
      <w:pPr>
        <w:spacing w:line="244" w:lineRule="exact" w:before="46"/>
        <w:ind w:left="103" w:right="0" w:firstLine="0"/>
        <w:jc w:val="left"/>
        <w:rPr>
          <w:sz w:val="18"/>
        </w:rPr>
      </w:pPr>
      <w:r>
        <w:rPr>
          <w:color w:val="231F20"/>
          <w:spacing w:val="-4"/>
          <w:sz w:val="18"/>
        </w:rPr>
        <w:t>The </w:t>
      </w:r>
      <w:r>
        <w:rPr>
          <w:color w:val="231F20"/>
          <w:spacing w:val="-7"/>
          <w:sz w:val="18"/>
        </w:rPr>
        <w:t>cover </w:t>
      </w:r>
      <w:r>
        <w:rPr>
          <w:color w:val="231F20"/>
          <w:spacing w:val="-5"/>
          <w:sz w:val="18"/>
        </w:rPr>
        <w:t>design </w:t>
      </w:r>
      <w:r>
        <w:rPr>
          <w:color w:val="231F20"/>
          <w:spacing w:val="-7"/>
          <w:sz w:val="18"/>
        </w:rPr>
        <w:t>represents </w:t>
      </w:r>
      <w:r>
        <w:rPr>
          <w:color w:val="231F20"/>
          <w:spacing w:val="-4"/>
          <w:sz w:val="18"/>
        </w:rPr>
        <w:t>the </w:t>
      </w:r>
      <w:r>
        <w:rPr>
          <w:color w:val="231F20"/>
          <w:spacing w:val="-5"/>
          <w:sz w:val="18"/>
        </w:rPr>
        <w:t>wider</w:t>
      </w:r>
      <w:r>
        <w:rPr>
          <w:color w:val="231F20"/>
          <w:spacing w:val="-7"/>
          <w:sz w:val="18"/>
        </w:rPr>
        <w:t> community</w:t>
      </w:r>
    </w:p>
    <w:p>
      <w:pPr>
        <w:spacing w:line="230" w:lineRule="auto" w:before="3"/>
        <w:ind w:left="103" w:right="30" w:firstLine="0"/>
        <w:jc w:val="left"/>
        <w:rPr>
          <w:sz w:val="18"/>
        </w:rPr>
      </w:pPr>
      <w:r>
        <w:rPr>
          <w:color w:val="231F20"/>
          <w:spacing w:val="-3"/>
          <w:sz w:val="18"/>
        </w:rPr>
        <w:t>in</w:t>
      </w:r>
      <w:r>
        <w:rPr>
          <w:color w:val="231F20"/>
          <w:spacing w:val="-11"/>
          <w:sz w:val="18"/>
        </w:rPr>
        <w:t> </w:t>
      </w:r>
      <w:r>
        <w:rPr>
          <w:color w:val="231F20"/>
          <w:spacing w:val="-6"/>
          <w:sz w:val="18"/>
        </w:rPr>
        <w:t>relation</w:t>
      </w:r>
      <w:r>
        <w:rPr>
          <w:color w:val="231F20"/>
          <w:spacing w:val="-11"/>
          <w:sz w:val="18"/>
        </w:rPr>
        <w:t> </w:t>
      </w:r>
      <w:r>
        <w:rPr>
          <w:color w:val="231F20"/>
          <w:spacing w:val="-4"/>
          <w:sz w:val="18"/>
        </w:rPr>
        <w:t>to</w:t>
      </w:r>
      <w:r>
        <w:rPr>
          <w:color w:val="231F20"/>
          <w:spacing w:val="-11"/>
          <w:sz w:val="18"/>
        </w:rPr>
        <w:t> </w:t>
      </w:r>
      <w:r>
        <w:rPr>
          <w:color w:val="231F20"/>
          <w:spacing w:val="-4"/>
          <w:sz w:val="18"/>
        </w:rPr>
        <w:t>the</w:t>
      </w:r>
      <w:r>
        <w:rPr>
          <w:color w:val="231F20"/>
          <w:spacing w:val="-11"/>
          <w:sz w:val="18"/>
        </w:rPr>
        <w:t> </w:t>
      </w:r>
      <w:r>
        <w:rPr>
          <w:color w:val="231F20"/>
          <w:spacing w:val="-6"/>
          <w:sz w:val="18"/>
        </w:rPr>
        <w:t>central</w:t>
      </w:r>
      <w:r>
        <w:rPr>
          <w:color w:val="231F20"/>
          <w:spacing w:val="-16"/>
          <w:sz w:val="18"/>
        </w:rPr>
        <w:t> </w:t>
      </w:r>
      <w:r>
        <w:rPr>
          <w:color w:val="231F20"/>
          <w:spacing w:val="-5"/>
          <w:sz w:val="18"/>
        </w:rPr>
        <w:t>set</w:t>
      </w:r>
      <w:r>
        <w:rPr>
          <w:color w:val="231F20"/>
          <w:spacing w:val="-11"/>
          <w:sz w:val="18"/>
        </w:rPr>
        <w:t> </w:t>
      </w:r>
      <w:r>
        <w:rPr>
          <w:color w:val="231F20"/>
          <w:spacing w:val="-4"/>
          <w:sz w:val="18"/>
        </w:rPr>
        <w:t>of</w:t>
      </w:r>
      <w:r>
        <w:rPr>
          <w:color w:val="231F20"/>
          <w:spacing w:val="-15"/>
          <w:sz w:val="18"/>
        </w:rPr>
        <w:t> </w:t>
      </w:r>
      <w:r>
        <w:rPr>
          <w:color w:val="231F20"/>
          <w:spacing w:val="-7"/>
          <w:sz w:val="18"/>
        </w:rPr>
        <w:t>twelve</w:t>
      </w:r>
      <w:r>
        <w:rPr>
          <w:color w:val="231F20"/>
          <w:spacing w:val="-11"/>
          <w:sz w:val="18"/>
        </w:rPr>
        <w:t> </w:t>
      </w:r>
      <w:r>
        <w:rPr>
          <w:color w:val="231F20"/>
          <w:spacing w:val="-6"/>
          <w:sz w:val="18"/>
        </w:rPr>
        <w:t>selected</w:t>
      </w:r>
      <w:r>
        <w:rPr>
          <w:color w:val="231F20"/>
          <w:spacing w:val="-11"/>
          <w:sz w:val="18"/>
        </w:rPr>
        <w:t> </w:t>
      </w:r>
      <w:r>
        <w:rPr>
          <w:color w:val="231F20"/>
          <w:spacing w:val="-6"/>
          <w:sz w:val="18"/>
        </w:rPr>
        <w:t>members </w:t>
      </w:r>
      <w:r>
        <w:rPr>
          <w:color w:val="231F20"/>
          <w:spacing w:val="-4"/>
          <w:sz w:val="18"/>
        </w:rPr>
        <w:t>of </w:t>
      </w:r>
      <w:r>
        <w:rPr>
          <w:color w:val="231F20"/>
          <w:sz w:val="18"/>
        </w:rPr>
        <w:t>a </w:t>
      </w:r>
      <w:r>
        <w:rPr>
          <w:color w:val="231F20"/>
          <w:spacing w:val="-8"/>
          <w:sz w:val="18"/>
        </w:rPr>
        <w:t>jury. </w:t>
      </w:r>
      <w:r>
        <w:rPr>
          <w:color w:val="231F20"/>
          <w:spacing w:val="-6"/>
          <w:sz w:val="18"/>
        </w:rPr>
        <w:t>Highlighted throughout </w:t>
      </w:r>
      <w:r>
        <w:rPr>
          <w:color w:val="231F20"/>
          <w:spacing w:val="-4"/>
          <w:sz w:val="18"/>
        </w:rPr>
        <w:t>the </w:t>
      </w:r>
      <w:r>
        <w:rPr>
          <w:color w:val="231F20"/>
          <w:spacing w:val="-6"/>
          <w:sz w:val="18"/>
        </w:rPr>
        <w:t>community and </w:t>
      </w:r>
      <w:r>
        <w:rPr>
          <w:color w:val="231F20"/>
          <w:spacing w:val="-5"/>
          <w:sz w:val="18"/>
        </w:rPr>
        <w:t>within</w:t>
      </w:r>
      <w:r>
        <w:rPr>
          <w:color w:val="231F20"/>
          <w:spacing w:val="-12"/>
          <w:sz w:val="18"/>
        </w:rPr>
        <w:t> </w:t>
      </w:r>
      <w:r>
        <w:rPr>
          <w:color w:val="231F20"/>
          <w:spacing w:val="-4"/>
          <w:sz w:val="18"/>
        </w:rPr>
        <w:t>the</w:t>
      </w:r>
      <w:r>
        <w:rPr>
          <w:color w:val="231F20"/>
          <w:spacing w:val="-11"/>
          <w:sz w:val="18"/>
        </w:rPr>
        <w:t> </w:t>
      </w:r>
      <w:r>
        <w:rPr>
          <w:color w:val="231F20"/>
          <w:spacing w:val="-5"/>
          <w:sz w:val="18"/>
        </w:rPr>
        <w:t>jury</w:t>
      </w:r>
      <w:r>
        <w:rPr>
          <w:color w:val="231F20"/>
          <w:spacing w:val="-16"/>
          <w:sz w:val="18"/>
        </w:rPr>
        <w:t> </w:t>
      </w:r>
      <w:r>
        <w:rPr>
          <w:color w:val="231F20"/>
          <w:spacing w:val="-5"/>
          <w:sz w:val="18"/>
        </w:rPr>
        <w:t>itself</w:t>
      </w:r>
      <w:r>
        <w:rPr>
          <w:color w:val="231F20"/>
          <w:spacing w:val="-15"/>
          <w:sz w:val="18"/>
        </w:rPr>
        <w:t> </w:t>
      </w:r>
      <w:r>
        <w:rPr>
          <w:color w:val="231F20"/>
          <w:spacing w:val="-5"/>
          <w:sz w:val="18"/>
        </w:rPr>
        <w:t>are</w:t>
      </w:r>
      <w:r>
        <w:rPr>
          <w:color w:val="231F20"/>
          <w:spacing w:val="-11"/>
          <w:sz w:val="18"/>
        </w:rPr>
        <w:t> </w:t>
      </w:r>
      <w:r>
        <w:rPr>
          <w:color w:val="231F20"/>
          <w:spacing w:val="-6"/>
          <w:sz w:val="18"/>
        </w:rPr>
        <w:t>community</w:t>
      </w:r>
      <w:r>
        <w:rPr>
          <w:color w:val="231F20"/>
          <w:spacing w:val="-16"/>
          <w:sz w:val="18"/>
        </w:rPr>
        <w:t> </w:t>
      </w:r>
      <w:r>
        <w:rPr>
          <w:color w:val="231F20"/>
          <w:spacing w:val="-6"/>
          <w:sz w:val="18"/>
        </w:rPr>
        <w:t>members</w:t>
      </w:r>
      <w:r>
        <w:rPr>
          <w:color w:val="231F20"/>
          <w:spacing w:val="-11"/>
          <w:sz w:val="18"/>
        </w:rPr>
        <w:t> </w:t>
      </w:r>
      <w:r>
        <w:rPr>
          <w:color w:val="231F20"/>
          <w:spacing w:val="-7"/>
          <w:sz w:val="18"/>
        </w:rPr>
        <w:t>from</w:t>
      </w:r>
    </w:p>
    <w:p>
      <w:pPr>
        <w:spacing w:line="239" w:lineRule="exact" w:before="0"/>
        <w:ind w:left="103" w:right="0" w:firstLine="0"/>
        <w:jc w:val="left"/>
        <w:rPr>
          <w:sz w:val="18"/>
        </w:rPr>
      </w:pPr>
      <w:r>
        <w:rPr>
          <w:color w:val="231F20"/>
          <w:sz w:val="18"/>
        </w:rPr>
        <w:t>the groups who are the subject of this inquiry.</w:t>
      </w:r>
    </w:p>
    <w:p>
      <w:pPr>
        <w:pStyle w:val="BodyText"/>
        <w:spacing w:before="13"/>
        <w:rPr>
          <w:sz w:val="8"/>
        </w:rPr>
      </w:pPr>
      <w:r>
        <w:rPr/>
        <w:pict>
          <v:line style="position:absolute;mso-position-horizontal-relative:page;mso-position-vertical-relative:paragraph;z-index:-952;mso-wrap-distance-left:0;mso-wrap-distance-right:0" from="56.448002pt,8.302463pt" to="279.818002pt,8.302463pt" stroked="true" strokeweight=".25pt" strokecolor="#231f20">
            <v:stroke dashstyle="solid"/>
            <w10:wrap type="topAndBottom"/>
          </v:line>
        </w:pict>
      </w:r>
    </w:p>
    <w:p>
      <w:pPr>
        <w:spacing w:line="244" w:lineRule="exact" w:before="144"/>
        <w:ind w:left="103" w:right="0" w:firstLine="0"/>
        <w:jc w:val="left"/>
        <w:rPr>
          <w:sz w:val="18"/>
        </w:rPr>
      </w:pPr>
      <w:r>
        <w:rPr>
          <w:color w:val="231F20"/>
          <w:sz w:val="18"/>
        </w:rPr>
        <w:t>This office is located on the land of the Traditional</w:t>
      </w:r>
    </w:p>
    <w:p>
      <w:pPr>
        <w:spacing w:line="244" w:lineRule="exact" w:before="0"/>
        <w:ind w:left="103" w:right="0" w:firstLine="0"/>
        <w:jc w:val="left"/>
        <w:rPr>
          <w:sz w:val="18"/>
        </w:rPr>
      </w:pPr>
      <w:r>
        <w:rPr>
          <w:color w:val="231F20"/>
          <w:sz w:val="18"/>
        </w:rPr>
        <w:t>Custodians, the people of the Kulin Nations.</w:t>
      </w:r>
    </w:p>
    <w:p>
      <w:pPr>
        <w:spacing w:line="230" w:lineRule="auto" w:before="54"/>
        <w:ind w:left="103" w:right="352" w:firstLine="0"/>
        <w:jc w:val="left"/>
        <w:rPr>
          <w:sz w:val="18"/>
        </w:rPr>
      </w:pPr>
      <w:r>
        <w:rPr>
          <w:color w:val="231F20"/>
          <w:spacing w:val="-9"/>
          <w:sz w:val="18"/>
        </w:rPr>
        <w:t>We </w:t>
      </w:r>
      <w:r>
        <w:rPr>
          <w:color w:val="231F20"/>
          <w:spacing w:val="-6"/>
          <w:sz w:val="18"/>
        </w:rPr>
        <w:t>acknowledge </w:t>
      </w:r>
      <w:r>
        <w:rPr>
          <w:color w:val="231F20"/>
          <w:spacing w:val="-5"/>
          <w:sz w:val="18"/>
        </w:rPr>
        <w:t>their </w:t>
      </w:r>
      <w:r>
        <w:rPr>
          <w:color w:val="231F20"/>
          <w:spacing w:val="-7"/>
          <w:sz w:val="18"/>
        </w:rPr>
        <w:t>history, </w:t>
      </w:r>
      <w:r>
        <w:rPr>
          <w:color w:val="231F20"/>
          <w:spacing w:val="-6"/>
          <w:sz w:val="18"/>
        </w:rPr>
        <w:t>culture </w:t>
      </w:r>
      <w:r>
        <w:rPr>
          <w:color w:val="231F20"/>
          <w:spacing w:val="-4"/>
          <w:sz w:val="18"/>
        </w:rPr>
        <w:t>and </w:t>
      </w:r>
      <w:r>
        <w:rPr>
          <w:color w:val="231F20"/>
          <w:spacing w:val="-6"/>
          <w:sz w:val="18"/>
        </w:rPr>
        <w:t>Elders </w:t>
      </w:r>
      <w:r>
        <w:rPr>
          <w:color w:val="231F20"/>
          <w:spacing w:val="-5"/>
          <w:sz w:val="18"/>
        </w:rPr>
        <w:t>both past </w:t>
      </w:r>
      <w:r>
        <w:rPr>
          <w:color w:val="231F20"/>
          <w:spacing w:val="-4"/>
          <w:sz w:val="18"/>
        </w:rPr>
        <w:t>and </w:t>
      </w:r>
      <w:r>
        <w:rPr>
          <w:color w:val="231F20"/>
          <w:spacing w:val="-7"/>
          <w:sz w:val="18"/>
        </w:rPr>
        <w:t>present.</w:t>
      </w:r>
    </w:p>
    <w:p>
      <w:pPr>
        <w:spacing w:line="244" w:lineRule="exact" w:before="92"/>
        <w:ind w:left="103" w:right="0" w:firstLine="0"/>
        <w:jc w:val="left"/>
        <w:rPr>
          <w:b/>
          <w:sz w:val="18"/>
        </w:rPr>
      </w:pPr>
      <w:r>
        <w:rPr/>
        <w:br w:type="column"/>
      </w:r>
      <w:r>
        <w:rPr>
          <w:b/>
          <w:color w:val="D91921"/>
          <w:sz w:val="18"/>
        </w:rPr>
        <w:t>Chair</w:t>
      </w:r>
    </w:p>
    <w:p>
      <w:pPr>
        <w:spacing w:line="244" w:lineRule="exact" w:before="0"/>
        <w:ind w:left="103" w:right="0" w:firstLine="0"/>
        <w:jc w:val="left"/>
        <w:rPr>
          <w:sz w:val="18"/>
        </w:rPr>
      </w:pPr>
      <w:r>
        <w:rPr>
          <w:color w:val="231F20"/>
          <w:sz w:val="18"/>
        </w:rPr>
        <w:t>The Hon. Anthony North QC</w:t>
      </w:r>
    </w:p>
    <w:p>
      <w:pPr>
        <w:spacing w:line="244" w:lineRule="exact" w:before="103"/>
        <w:ind w:left="103" w:right="0" w:firstLine="0"/>
        <w:jc w:val="left"/>
        <w:rPr>
          <w:b/>
          <w:sz w:val="18"/>
        </w:rPr>
      </w:pPr>
      <w:r>
        <w:rPr>
          <w:b/>
          <w:color w:val="D91921"/>
          <w:spacing w:val="-6"/>
          <w:sz w:val="18"/>
        </w:rPr>
        <w:t>Commissioners</w:t>
      </w:r>
    </w:p>
    <w:p>
      <w:pPr>
        <w:spacing w:line="239" w:lineRule="exact" w:before="0"/>
        <w:ind w:left="103" w:right="0" w:firstLine="0"/>
        <w:jc w:val="left"/>
        <w:rPr>
          <w:sz w:val="18"/>
        </w:rPr>
      </w:pPr>
      <w:r>
        <w:rPr>
          <w:color w:val="231F20"/>
          <w:spacing w:val="-5"/>
          <w:sz w:val="18"/>
        </w:rPr>
        <w:t>Liana</w:t>
      </w:r>
      <w:r>
        <w:rPr>
          <w:color w:val="231F20"/>
          <w:spacing w:val="-15"/>
          <w:sz w:val="18"/>
        </w:rPr>
        <w:t> </w:t>
      </w:r>
      <w:r>
        <w:rPr>
          <w:color w:val="231F20"/>
          <w:spacing w:val="-6"/>
          <w:sz w:val="18"/>
        </w:rPr>
        <w:t>Buchanan</w:t>
      </w:r>
    </w:p>
    <w:p>
      <w:pPr>
        <w:spacing w:line="230" w:lineRule="auto" w:before="3"/>
        <w:ind w:left="103" w:right="2310" w:firstLine="0"/>
        <w:jc w:val="left"/>
        <w:rPr>
          <w:sz w:val="18"/>
        </w:rPr>
      </w:pPr>
      <w:r>
        <w:rPr>
          <w:color w:val="231F20"/>
          <w:spacing w:val="-4"/>
          <w:sz w:val="18"/>
        </w:rPr>
        <w:t>The </w:t>
      </w:r>
      <w:r>
        <w:rPr>
          <w:color w:val="231F20"/>
          <w:spacing w:val="-5"/>
          <w:sz w:val="18"/>
        </w:rPr>
        <w:t>Hon. </w:t>
      </w:r>
      <w:r>
        <w:rPr>
          <w:color w:val="231F20"/>
          <w:spacing w:val="-6"/>
          <w:sz w:val="18"/>
        </w:rPr>
        <w:t>Jennifer Coate AO Kathleen </w:t>
      </w:r>
      <w:r>
        <w:rPr>
          <w:color w:val="231F20"/>
          <w:spacing w:val="-7"/>
          <w:sz w:val="18"/>
        </w:rPr>
        <w:t>Foley </w:t>
      </w:r>
      <w:r>
        <w:rPr>
          <w:color w:val="231F20"/>
          <w:spacing w:val="-6"/>
          <w:sz w:val="18"/>
        </w:rPr>
        <w:t>SC</w:t>
      </w:r>
    </w:p>
    <w:p>
      <w:pPr>
        <w:spacing w:line="235" w:lineRule="exact" w:before="0"/>
        <w:ind w:left="103" w:right="0" w:firstLine="0"/>
        <w:jc w:val="left"/>
        <w:rPr>
          <w:sz w:val="18"/>
        </w:rPr>
      </w:pPr>
      <w:r>
        <w:rPr>
          <w:color w:val="231F20"/>
          <w:sz w:val="18"/>
        </w:rPr>
        <w:t>Bruce Gardner PSM</w:t>
      </w:r>
    </w:p>
    <w:p>
      <w:pPr>
        <w:spacing w:line="230" w:lineRule="auto" w:before="2"/>
        <w:ind w:left="103" w:right="2310" w:firstLine="0"/>
        <w:jc w:val="left"/>
        <w:rPr>
          <w:sz w:val="18"/>
        </w:rPr>
      </w:pPr>
      <w:r>
        <w:rPr>
          <w:color w:val="231F20"/>
          <w:spacing w:val="-7"/>
          <w:sz w:val="18"/>
        </w:rPr>
        <w:t>Professor </w:t>
      </w:r>
      <w:r>
        <w:rPr>
          <w:color w:val="231F20"/>
          <w:spacing w:val="-6"/>
          <w:sz w:val="18"/>
        </w:rPr>
        <w:t>Bernadette </w:t>
      </w:r>
      <w:r>
        <w:rPr>
          <w:color w:val="231F20"/>
          <w:spacing w:val="-7"/>
          <w:sz w:val="18"/>
        </w:rPr>
        <w:t>McSherry </w:t>
      </w:r>
      <w:r>
        <w:rPr>
          <w:color w:val="231F20"/>
          <w:spacing w:val="-5"/>
          <w:sz w:val="18"/>
        </w:rPr>
        <w:t>Dan </w:t>
      </w:r>
      <w:r>
        <w:rPr>
          <w:color w:val="231F20"/>
          <w:spacing w:val="-6"/>
          <w:sz w:val="18"/>
        </w:rPr>
        <w:t>Nicholson</w:t>
      </w:r>
    </w:p>
    <w:p>
      <w:pPr>
        <w:spacing w:line="230" w:lineRule="auto" w:before="0"/>
        <w:ind w:left="103" w:right="3190" w:firstLine="0"/>
        <w:jc w:val="left"/>
        <w:rPr>
          <w:sz w:val="18"/>
        </w:rPr>
      </w:pPr>
      <w:r>
        <w:rPr>
          <w:color w:val="231F20"/>
          <w:spacing w:val="-5"/>
          <w:sz w:val="18"/>
        </w:rPr>
        <w:t>Gemma </w:t>
      </w:r>
      <w:r>
        <w:rPr>
          <w:color w:val="231F20"/>
          <w:spacing w:val="-7"/>
          <w:sz w:val="18"/>
        </w:rPr>
        <w:t>Varley</w:t>
      </w:r>
      <w:r>
        <w:rPr>
          <w:color w:val="231F20"/>
          <w:spacing w:val="-33"/>
          <w:sz w:val="18"/>
        </w:rPr>
        <w:t> </w:t>
      </w:r>
      <w:r>
        <w:rPr>
          <w:color w:val="231F20"/>
          <w:spacing w:val="-6"/>
          <w:sz w:val="18"/>
        </w:rPr>
        <w:t>PSM </w:t>
      </w:r>
      <w:r>
        <w:rPr>
          <w:color w:val="231F20"/>
          <w:spacing w:val="-3"/>
          <w:sz w:val="18"/>
        </w:rPr>
        <w:t>Dr </w:t>
      </w:r>
      <w:r>
        <w:rPr>
          <w:color w:val="231F20"/>
          <w:spacing w:val="-5"/>
          <w:sz w:val="18"/>
        </w:rPr>
        <w:t>Vivian</w:t>
      </w:r>
      <w:r>
        <w:rPr>
          <w:color w:val="231F20"/>
          <w:spacing w:val="-38"/>
          <w:sz w:val="18"/>
        </w:rPr>
        <w:t> </w:t>
      </w:r>
      <w:r>
        <w:rPr>
          <w:color w:val="231F20"/>
          <w:spacing w:val="-8"/>
          <w:sz w:val="18"/>
        </w:rPr>
        <w:t>Waller</w:t>
      </w:r>
    </w:p>
    <w:p>
      <w:pPr>
        <w:spacing w:line="244" w:lineRule="exact" w:before="103"/>
        <w:ind w:left="103" w:right="0" w:firstLine="0"/>
        <w:jc w:val="left"/>
        <w:rPr>
          <w:b/>
          <w:sz w:val="18"/>
        </w:rPr>
      </w:pPr>
      <w:r>
        <w:rPr>
          <w:b/>
          <w:color w:val="D91921"/>
          <w:spacing w:val="-6"/>
          <w:sz w:val="18"/>
        </w:rPr>
        <w:t>Special</w:t>
      </w:r>
      <w:r>
        <w:rPr>
          <w:b/>
          <w:color w:val="D91921"/>
          <w:spacing w:val="-15"/>
          <w:sz w:val="18"/>
        </w:rPr>
        <w:t> </w:t>
      </w:r>
      <w:r>
        <w:rPr>
          <w:b/>
          <w:color w:val="D91921"/>
          <w:spacing w:val="-6"/>
          <w:sz w:val="18"/>
        </w:rPr>
        <w:t>advisor</w:t>
      </w:r>
    </w:p>
    <w:p>
      <w:pPr>
        <w:spacing w:line="244" w:lineRule="exact" w:before="0"/>
        <w:ind w:left="103" w:right="0" w:firstLine="0"/>
        <w:jc w:val="left"/>
        <w:rPr>
          <w:sz w:val="18"/>
        </w:rPr>
      </w:pPr>
      <w:r>
        <w:rPr>
          <w:color w:val="231F20"/>
          <w:sz w:val="18"/>
        </w:rPr>
        <w:t>Professor Emeritus Ron McCallum AO</w:t>
      </w:r>
    </w:p>
    <w:p>
      <w:pPr>
        <w:spacing w:line="244" w:lineRule="exact" w:before="103"/>
        <w:ind w:left="103" w:right="0" w:firstLine="0"/>
        <w:jc w:val="left"/>
        <w:rPr>
          <w:b/>
          <w:sz w:val="18"/>
        </w:rPr>
      </w:pPr>
      <w:r>
        <w:rPr>
          <w:b/>
          <w:color w:val="D91921"/>
          <w:sz w:val="18"/>
        </w:rPr>
        <w:t>Chief executive officer</w:t>
      </w:r>
    </w:p>
    <w:p>
      <w:pPr>
        <w:spacing w:line="244" w:lineRule="exact" w:before="0"/>
        <w:ind w:left="103" w:right="0" w:firstLine="0"/>
        <w:jc w:val="left"/>
        <w:rPr>
          <w:sz w:val="18"/>
        </w:rPr>
      </w:pPr>
      <w:r>
        <w:rPr>
          <w:color w:val="231F20"/>
          <w:sz w:val="18"/>
        </w:rPr>
        <w:t>Merrin Mason PSM</w:t>
      </w:r>
    </w:p>
    <w:p>
      <w:pPr>
        <w:spacing w:line="230" w:lineRule="auto" w:before="54"/>
        <w:ind w:left="103" w:right="3449" w:firstLine="0"/>
        <w:jc w:val="left"/>
        <w:rPr>
          <w:i/>
          <w:sz w:val="18"/>
        </w:rPr>
      </w:pPr>
      <w:r>
        <w:rPr>
          <w:b/>
          <w:color w:val="D91921"/>
          <w:spacing w:val="-6"/>
          <w:sz w:val="18"/>
        </w:rPr>
        <w:t>Reference </w:t>
      </w:r>
      <w:r>
        <w:rPr>
          <w:b/>
          <w:color w:val="D91921"/>
          <w:spacing w:val="-10"/>
          <w:sz w:val="18"/>
        </w:rPr>
        <w:t>team </w:t>
      </w:r>
      <w:r>
        <w:rPr>
          <w:color w:val="231F20"/>
          <w:spacing w:val="-5"/>
          <w:sz w:val="18"/>
        </w:rPr>
        <w:t>Emma </w:t>
      </w:r>
      <w:r>
        <w:rPr>
          <w:color w:val="231F20"/>
          <w:spacing w:val="-6"/>
          <w:sz w:val="18"/>
        </w:rPr>
        <w:t>Cashen </w:t>
      </w:r>
      <w:r>
        <w:rPr>
          <w:i/>
          <w:color w:val="231F20"/>
          <w:spacing w:val="-5"/>
          <w:sz w:val="18"/>
        </w:rPr>
        <w:t>(team </w:t>
      </w:r>
      <w:r>
        <w:rPr>
          <w:i/>
          <w:color w:val="231F20"/>
          <w:spacing w:val="-6"/>
          <w:sz w:val="18"/>
        </w:rPr>
        <w:t>leader)</w:t>
      </w:r>
    </w:p>
    <w:p>
      <w:pPr>
        <w:spacing w:line="244" w:lineRule="exact" w:before="46"/>
        <w:ind w:left="103" w:right="0" w:firstLine="0"/>
        <w:jc w:val="left"/>
        <w:rPr>
          <w:sz w:val="18"/>
        </w:rPr>
      </w:pPr>
      <w:r>
        <w:rPr>
          <w:color w:val="231F20"/>
          <w:sz w:val="18"/>
        </w:rPr>
        <w:t>Phoebe Irving Lindner</w:t>
      </w:r>
    </w:p>
    <w:p>
      <w:pPr>
        <w:spacing w:line="244" w:lineRule="exact" w:before="0"/>
        <w:ind w:left="103" w:right="0" w:firstLine="0"/>
        <w:jc w:val="left"/>
        <w:rPr>
          <w:i/>
          <w:sz w:val="18"/>
        </w:rPr>
      </w:pPr>
      <w:r>
        <w:rPr>
          <w:i/>
          <w:color w:val="231F20"/>
          <w:sz w:val="18"/>
        </w:rPr>
        <w:t>(research and policy officer)</w:t>
      </w:r>
    </w:p>
    <w:p>
      <w:pPr>
        <w:spacing w:line="244" w:lineRule="exact" w:before="103"/>
        <w:ind w:left="103" w:right="0" w:firstLine="0"/>
        <w:jc w:val="left"/>
        <w:rPr>
          <w:sz w:val="18"/>
        </w:rPr>
      </w:pPr>
      <w:r>
        <w:rPr>
          <w:color w:val="D91921"/>
          <w:sz w:val="18"/>
        </w:rPr>
        <w:t>Cover design</w:t>
      </w:r>
    </w:p>
    <w:p>
      <w:pPr>
        <w:spacing w:line="244" w:lineRule="exact" w:before="0"/>
        <w:ind w:left="103" w:right="0" w:firstLine="0"/>
        <w:jc w:val="left"/>
        <w:rPr>
          <w:sz w:val="18"/>
        </w:rPr>
      </w:pPr>
      <w:r>
        <w:rPr>
          <w:color w:val="231F20"/>
          <w:sz w:val="18"/>
        </w:rPr>
        <w:t>Stephen Banham, Letterbox</w:t>
      </w:r>
    </w:p>
    <w:p>
      <w:pPr>
        <w:spacing w:line="244" w:lineRule="exact" w:before="103"/>
        <w:ind w:left="103" w:right="0" w:firstLine="0"/>
        <w:jc w:val="left"/>
        <w:rPr>
          <w:sz w:val="18"/>
        </w:rPr>
      </w:pPr>
      <w:r>
        <w:rPr>
          <w:color w:val="D91921"/>
          <w:sz w:val="18"/>
        </w:rPr>
        <w:t>Text layout</w:t>
      </w:r>
    </w:p>
    <w:p>
      <w:pPr>
        <w:spacing w:line="244" w:lineRule="exact" w:before="0"/>
        <w:ind w:left="103" w:right="0" w:firstLine="0"/>
        <w:jc w:val="left"/>
        <w:rPr>
          <w:sz w:val="18"/>
        </w:rPr>
      </w:pPr>
      <w:r>
        <w:rPr>
          <w:color w:val="231F20"/>
          <w:sz w:val="18"/>
        </w:rPr>
        <w:t>Georgie Hollins, GH2 Design</w:t>
      </w:r>
    </w:p>
    <w:p>
      <w:pPr>
        <w:spacing w:line="230" w:lineRule="auto" w:before="111"/>
        <w:ind w:left="103" w:right="3330" w:firstLine="0"/>
        <w:jc w:val="left"/>
        <w:rPr>
          <w:sz w:val="18"/>
        </w:rPr>
      </w:pPr>
      <w:r>
        <w:rPr>
          <w:color w:val="D91921"/>
          <w:sz w:val="18"/>
        </w:rPr>
        <w:t>Communications </w:t>
      </w:r>
      <w:r>
        <w:rPr>
          <w:color w:val="231F20"/>
          <w:sz w:val="18"/>
        </w:rPr>
        <w:t>Nick Gadd Gemma Walsh</w:t>
      </w:r>
    </w:p>
    <w:p>
      <w:pPr>
        <w:spacing w:after="0" w:line="230" w:lineRule="auto"/>
        <w:jc w:val="left"/>
        <w:rPr>
          <w:sz w:val="18"/>
        </w:rPr>
        <w:sectPr>
          <w:type w:val="continuous"/>
          <w:pgSz w:w="12460" w:h="16830"/>
          <w:pgMar w:top="620" w:bottom="280" w:left="1020" w:right="1760"/>
          <w:cols w:num="2" w:equalWidth="0">
            <w:col w:w="4599" w:space="220"/>
            <w:col w:w="4861"/>
          </w:cols>
        </w:sectPr>
      </w:pPr>
    </w:p>
    <w:p>
      <w:pPr>
        <w:spacing w:line="777" w:lineRule="exact" w:before="0"/>
        <w:ind w:left="160" w:right="0" w:firstLine="0"/>
        <w:jc w:val="left"/>
        <w:rPr>
          <w:rFonts w:ascii="Raleway ExtraBold"/>
          <w:b/>
          <w:sz w:val="59"/>
        </w:rPr>
      </w:pPr>
      <w:r>
        <w:rPr>
          <w:rFonts w:ascii="Raleway ExtraBold"/>
          <w:b/>
          <w:color w:val="005B85"/>
          <w:sz w:val="59"/>
        </w:rPr>
        <w:t>Inclusive Juries</w:t>
      </w:r>
    </w:p>
    <w:p>
      <w:pPr>
        <w:spacing w:line="247" w:lineRule="auto" w:before="18"/>
        <w:ind w:left="160" w:right="29" w:firstLine="0"/>
        <w:jc w:val="left"/>
        <w:rPr>
          <w:rFonts w:ascii="Raleway Light" w:hAnsi="Raleway Light"/>
          <w:b w:val="0"/>
          <w:sz w:val="59"/>
        </w:rPr>
      </w:pPr>
      <w:r>
        <w:rPr>
          <w:rFonts w:ascii="Trebuchet MS" w:hAnsi="Trebuchet MS"/>
          <w:color w:val="005B85"/>
          <w:spacing w:val="-10"/>
          <w:w w:val="105"/>
          <w:sz w:val="59"/>
        </w:rPr>
        <w:t>—Access </w:t>
      </w:r>
      <w:r>
        <w:rPr>
          <w:rFonts w:ascii="Trebuchet MS" w:hAnsi="Trebuchet MS"/>
          <w:color w:val="005B85"/>
          <w:spacing w:val="-15"/>
          <w:w w:val="105"/>
          <w:sz w:val="59"/>
        </w:rPr>
        <w:t>for </w:t>
      </w:r>
      <w:r>
        <w:rPr>
          <w:rFonts w:ascii="Trebuchet MS" w:hAnsi="Trebuchet MS"/>
          <w:color w:val="005B85"/>
          <w:spacing w:val="-16"/>
          <w:w w:val="105"/>
          <w:sz w:val="59"/>
        </w:rPr>
        <w:t>People </w:t>
      </w:r>
      <w:r>
        <w:rPr>
          <w:rFonts w:ascii="Trebuchet MS" w:hAnsi="Trebuchet MS"/>
          <w:color w:val="005B85"/>
          <w:spacing w:val="-18"/>
          <w:w w:val="105"/>
          <w:sz w:val="59"/>
        </w:rPr>
        <w:t>Who </w:t>
      </w:r>
      <w:r>
        <w:rPr>
          <w:rFonts w:ascii="Trebuchet MS" w:hAnsi="Trebuchet MS"/>
          <w:color w:val="005B85"/>
          <w:spacing w:val="-15"/>
          <w:w w:val="105"/>
          <w:sz w:val="59"/>
        </w:rPr>
        <w:t>Are</w:t>
      </w:r>
      <w:r>
        <w:rPr>
          <w:rFonts w:ascii="Trebuchet MS" w:hAnsi="Trebuchet MS"/>
          <w:color w:val="005B85"/>
          <w:spacing w:val="-89"/>
          <w:w w:val="105"/>
          <w:sz w:val="59"/>
        </w:rPr>
        <w:t> </w:t>
      </w:r>
      <w:r>
        <w:rPr>
          <w:rFonts w:ascii="Trebuchet MS" w:hAnsi="Trebuchet MS"/>
          <w:color w:val="005B85"/>
          <w:spacing w:val="-20"/>
          <w:w w:val="105"/>
          <w:sz w:val="59"/>
        </w:rPr>
        <w:t>Deaf,</w:t>
      </w:r>
      <w:r>
        <w:rPr>
          <w:rFonts w:ascii="Trebuchet MS" w:hAnsi="Trebuchet MS"/>
          <w:color w:val="005B85"/>
          <w:spacing w:val="-88"/>
          <w:w w:val="105"/>
          <w:sz w:val="59"/>
        </w:rPr>
        <w:t> </w:t>
      </w:r>
      <w:r>
        <w:rPr>
          <w:rFonts w:ascii="Trebuchet MS" w:hAnsi="Trebuchet MS"/>
          <w:color w:val="005B85"/>
          <w:spacing w:val="-16"/>
          <w:w w:val="105"/>
          <w:sz w:val="59"/>
        </w:rPr>
        <w:t>Hard</w:t>
      </w:r>
      <w:r>
        <w:rPr>
          <w:rFonts w:ascii="Trebuchet MS" w:hAnsi="Trebuchet MS"/>
          <w:color w:val="005B85"/>
          <w:spacing w:val="-88"/>
          <w:w w:val="105"/>
          <w:sz w:val="59"/>
        </w:rPr>
        <w:t> </w:t>
      </w:r>
      <w:r>
        <w:rPr>
          <w:rFonts w:ascii="Trebuchet MS" w:hAnsi="Trebuchet MS"/>
          <w:color w:val="005B85"/>
          <w:spacing w:val="-12"/>
          <w:w w:val="105"/>
          <w:sz w:val="59"/>
        </w:rPr>
        <w:t>of</w:t>
      </w:r>
      <w:r>
        <w:rPr>
          <w:rFonts w:ascii="Trebuchet MS" w:hAnsi="Trebuchet MS"/>
          <w:color w:val="005B85"/>
          <w:spacing w:val="-100"/>
          <w:w w:val="105"/>
          <w:sz w:val="59"/>
        </w:rPr>
        <w:t> </w:t>
      </w:r>
      <w:r>
        <w:rPr>
          <w:rFonts w:ascii="Trebuchet MS" w:hAnsi="Trebuchet MS"/>
          <w:color w:val="005B85"/>
          <w:spacing w:val="-19"/>
          <w:w w:val="105"/>
          <w:sz w:val="59"/>
        </w:rPr>
        <w:t>Hearing, </w:t>
      </w:r>
      <w:r>
        <w:rPr>
          <w:rFonts w:ascii="Trebuchet MS" w:hAnsi="Trebuchet MS"/>
          <w:color w:val="005B85"/>
          <w:spacing w:val="-15"/>
          <w:w w:val="105"/>
          <w:sz w:val="59"/>
        </w:rPr>
        <w:t>Blind </w:t>
      </w:r>
      <w:r>
        <w:rPr>
          <w:rFonts w:ascii="Trebuchet MS" w:hAnsi="Trebuchet MS"/>
          <w:color w:val="005B85"/>
          <w:spacing w:val="-9"/>
          <w:w w:val="105"/>
          <w:sz w:val="59"/>
        </w:rPr>
        <w:t>or </w:t>
      </w:r>
      <w:r>
        <w:rPr>
          <w:rFonts w:ascii="Trebuchet MS" w:hAnsi="Trebuchet MS"/>
          <w:color w:val="005B85"/>
          <w:spacing w:val="-20"/>
          <w:w w:val="105"/>
          <w:sz w:val="59"/>
        </w:rPr>
        <w:t>Have </w:t>
      </w:r>
      <w:r>
        <w:rPr>
          <w:rFonts w:ascii="Trebuchet MS" w:hAnsi="Trebuchet MS"/>
          <w:color w:val="005B85"/>
          <w:spacing w:val="-17"/>
          <w:w w:val="105"/>
          <w:sz w:val="59"/>
        </w:rPr>
        <w:t>Low </w:t>
      </w:r>
      <w:r>
        <w:rPr>
          <w:rFonts w:ascii="Trebuchet MS" w:hAnsi="Trebuchet MS"/>
          <w:color w:val="005B85"/>
          <w:spacing w:val="-18"/>
          <w:w w:val="105"/>
          <w:sz w:val="59"/>
        </w:rPr>
        <w:t>Vision </w:t>
      </w:r>
      <w:r>
        <w:rPr>
          <w:rFonts w:ascii="Raleway Light" w:hAnsi="Raleway Light"/>
          <w:b w:val="0"/>
          <w:color w:val="005B85"/>
          <w:spacing w:val="-20"/>
          <w:w w:val="105"/>
          <w:sz w:val="59"/>
        </w:rPr>
        <w:t>Report</w:t>
      </w:r>
    </w:p>
    <w:p>
      <w:pPr>
        <w:pStyle w:val="BodyText"/>
        <w:spacing w:before="12"/>
        <w:rPr>
          <w:rFonts w:ascii="Raleway Light"/>
          <w:b w:val="0"/>
          <w:sz w:val="2"/>
        </w:rPr>
      </w:pPr>
      <w:r>
        <w:rPr/>
        <w:br w:type="column"/>
      </w:r>
      <w:r>
        <w:rPr>
          <w:rFonts w:ascii="Raleway Light"/>
          <w:b w:val="0"/>
          <w:sz w:val="2"/>
        </w:rPr>
      </w:r>
    </w:p>
    <w:p>
      <w:pPr>
        <w:pStyle w:val="BodyText"/>
        <w:ind w:left="160"/>
        <w:rPr>
          <w:rFonts w:ascii="Raleway Light"/>
        </w:rPr>
      </w:pPr>
      <w:r>
        <w:rPr>
          <w:rFonts w:ascii="Raleway Light"/>
        </w:rPr>
        <w:drawing>
          <wp:inline distT="0" distB="0" distL="0" distR="0">
            <wp:extent cx="981158" cy="500062"/>
            <wp:effectExtent l="0" t="0" r="0" b="0"/>
            <wp:docPr id="3" name="image4.png" descr=""/>
            <wp:cNvGraphicFramePr>
              <a:graphicFrameLocks noChangeAspect="1"/>
            </wp:cNvGraphicFramePr>
            <a:graphic>
              <a:graphicData uri="http://schemas.openxmlformats.org/drawingml/2006/picture">
                <pic:pic>
                  <pic:nvPicPr>
                    <pic:cNvPr id="4" name="image4.png"/>
                    <pic:cNvPicPr/>
                  </pic:nvPicPr>
                  <pic:blipFill>
                    <a:blip r:embed="rId11" cstate="print"/>
                    <a:stretch>
                      <a:fillRect/>
                    </a:stretch>
                  </pic:blipFill>
                  <pic:spPr>
                    <a:xfrm>
                      <a:off x="0" y="0"/>
                      <a:ext cx="981158" cy="500062"/>
                    </a:xfrm>
                    <a:prstGeom prst="rect">
                      <a:avLst/>
                    </a:prstGeom>
                  </pic:spPr>
                </pic:pic>
              </a:graphicData>
            </a:graphic>
          </wp:inline>
        </w:drawing>
      </w:r>
      <w:r>
        <w:rPr>
          <w:rFonts w:ascii="Raleway Light"/>
        </w:rPr>
      </w:r>
    </w:p>
    <w:p>
      <w:pPr>
        <w:pStyle w:val="BodyText"/>
        <w:spacing w:before="3"/>
        <w:rPr>
          <w:rFonts w:ascii="Raleway Light"/>
          <w:b w:val="0"/>
          <w:sz w:val="35"/>
        </w:rPr>
      </w:pPr>
    </w:p>
    <w:p>
      <w:pPr>
        <w:pStyle w:val="Heading5"/>
        <w:rPr>
          <w:b w:val="0"/>
        </w:rPr>
      </w:pPr>
      <w:r>
        <w:rPr>
          <w:b w:val="0"/>
          <w:color w:val="005B85"/>
          <w:w w:val="110"/>
        </w:rPr>
        <w:t>July 2022</w:t>
      </w:r>
    </w:p>
    <w:p>
      <w:pPr>
        <w:pStyle w:val="BodyText"/>
        <w:spacing w:before="8"/>
        <w:rPr>
          <w:rFonts w:ascii="Raleway Light"/>
          <w:b w:val="0"/>
          <w:sz w:val="32"/>
        </w:rPr>
      </w:pPr>
    </w:p>
    <w:p>
      <w:pPr>
        <w:spacing w:line="220" w:lineRule="auto" w:before="0"/>
        <w:ind w:left="162" w:right="23" w:firstLine="0"/>
        <w:jc w:val="left"/>
        <w:rPr>
          <w:rFonts w:ascii="Raleway ExtraBold"/>
          <w:b/>
          <w:sz w:val="31"/>
        </w:rPr>
      </w:pPr>
      <w:r>
        <w:rPr>
          <w:rFonts w:ascii="Raleway ExtraBold"/>
          <w:b/>
          <w:color w:val="005B85"/>
          <w:sz w:val="31"/>
        </w:rPr>
        <w:t>A Community Law Reform Project</w:t>
      </w:r>
    </w:p>
    <w:p>
      <w:pPr>
        <w:spacing w:after="0" w:line="220" w:lineRule="auto"/>
        <w:jc w:val="left"/>
        <w:rPr>
          <w:rFonts w:ascii="Raleway ExtraBold"/>
          <w:sz w:val="31"/>
        </w:rPr>
        <w:sectPr>
          <w:headerReference w:type="default" r:id="rId10"/>
          <w:pgSz w:w="11910" w:h="16840"/>
          <w:pgMar w:header="0" w:footer="0" w:top="1180" w:bottom="280" w:left="620" w:right="380"/>
          <w:cols w:num="2" w:equalWidth="0">
            <w:col w:w="6891" w:space="1788"/>
            <w:col w:w="2231"/>
          </w:cols>
        </w:sect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3"/>
        <w:rPr>
          <w:rFonts w:ascii="Raleway ExtraBold"/>
          <w:b/>
          <w:sz w:val="29"/>
        </w:rPr>
      </w:pPr>
    </w:p>
    <w:p>
      <w:pPr>
        <w:spacing w:line="220" w:lineRule="auto" w:before="68"/>
        <w:ind w:left="160" w:right="3129" w:firstLine="0"/>
        <w:jc w:val="left"/>
        <w:rPr>
          <w:sz w:val="31"/>
        </w:rPr>
      </w:pPr>
      <w:r>
        <w:rPr>
          <w:rFonts w:ascii="Raleway ExtraBold" w:hAnsi="Raleway ExtraBold"/>
          <w:b/>
          <w:color w:val="005B85"/>
          <w:spacing w:val="-10"/>
          <w:sz w:val="31"/>
        </w:rPr>
        <w:t>Inclusive </w:t>
      </w:r>
      <w:r>
        <w:rPr>
          <w:rFonts w:ascii="Raleway ExtraBold" w:hAnsi="Raleway ExtraBold"/>
          <w:b/>
          <w:color w:val="005B85"/>
          <w:spacing w:val="-9"/>
          <w:sz w:val="31"/>
        </w:rPr>
        <w:t>Juries </w:t>
      </w:r>
      <w:r>
        <w:rPr>
          <w:rFonts w:ascii="Lucida Sans" w:hAnsi="Lucida Sans"/>
          <w:color w:val="005B85"/>
          <w:spacing w:val="-5"/>
          <w:sz w:val="31"/>
        </w:rPr>
        <w:t>—</w:t>
      </w:r>
      <w:r>
        <w:rPr>
          <w:color w:val="005B85"/>
          <w:spacing w:val="-5"/>
          <w:sz w:val="31"/>
        </w:rPr>
        <w:t>Access </w:t>
      </w:r>
      <w:r>
        <w:rPr>
          <w:color w:val="005B85"/>
          <w:spacing w:val="-9"/>
          <w:sz w:val="31"/>
        </w:rPr>
        <w:t>for People </w:t>
      </w:r>
      <w:r>
        <w:rPr>
          <w:color w:val="005B85"/>
          <w:spacing w:val="-7"/>
          <w:sz w:val="31"/>
        </w:rPr>
        <w:t>Who </w:t>
      </w:r>
      <w:r>
        <w:rPr>
          <w:color w:val="005B85"/>
          <w:spacing w:val="-9"/>
          <w:sz w:val="31"/>
        </w:rPr>
        <w:t>Are </w:t>
      </w:r>
      <w:r>
        <w:rPr>
          <w:color w:val="005B85"/>
          <w:spacing w:val="-11"/>
          <w:sz w:val="31"/>
        </w:rPr>
        <w:t>Deaf, </w:t>
      </w:r>
      <w:r>
        <w:rPr>
          <w:color w:val="005B85"/>
          <w:spacing w:val="-9"/>
          <w:sz w:val="31"/>
        </w:rPr>
        <w:t>Hard </w:t>
      </w:r>
      <w:r>
        <w:rPr>
          <w:color w:val="005B85"/>
          <w:spacing w:val="-7"/>
          <w:sz w:val="31"/>
        </w:rPr>
        <w:t>of </w:t>
      </w:r>
      <w:r>
        <w:rPr>
          <w:color w:val="005B85"/>
          <w:spacing w:val="-9"/>
          <w:sz w:val="31"/>
        </w:rPr>
        <w:t>Hearing, </w:t>
      </w:r>
      <w:r>
        <w:rPr>
          <w:color w:val="005B85"/>
          <w:spacing w:val="-8"/>
          <w:sz w:val="31"/>
        </w:rPr>
        <w:t>Blind </w:t>
      </w:r>
      <w:r>
        <w:rPr>
          <w:color w:val="005B85"/>
          <w:spacing w:val="-5"/>
          <w:sz w:val="31"/>
        </w:rPr>
        <w:t>or </w:t>
      </w:r>
      <w:r>
        <w:rPr>
          <w:color w:val="005B85"/>
          <w:spacing w:val="-11"/>
          <w:sz w:val="31"/>
        </w:rPr>
        <w:t>Have </w:t>
      </w:r>
      <w:r>
        <w:rPr>
          <w:color w:val="005B85"/>
          <w:spacing w:val="-10"/>
          <w:sz w:val="31"/>
        </w:rPr>
        <w:t>Low Vision</w:t>
      </w:r>
    </w:p>
    <w:p>
      <w:pPr>
        <w:spacing w:before="91"/>
        <w:ind w:left="160" w:right="0" w:firstLine="0"/>
        <w:jc w:val="left"/>
        <w:rPr>
          <w:rFonts w:ascii="Cambria"/>
          <w:i/>
          <w:sz w:val="18"/>
        </w:rPr>
      </w:pPr>
      <w:r>
        <w:rPr>
          <w:rFonts w:ascii="Cambria"/>
          <w:i/>
          <w:color w:val="005B85"/>
          <w:w w:val="105"/>
          <w:sz w:val="18"/>
        </w:rPr>
        <w:t>Report</w:t>
      </w:r>
    </w:p>
    <w:p>
      <w:pPr>
        <w:pStyle w:val="BodyText"/>
        <w:spacing w:before="10"/>
        <w:rPr>
          <w:rFonts w:ascii="Cambria"/>
          <w:i/>
          <w:sz w:val="12"/>
        </w:rPr>
      </w:pPr>
      <w:r>
        <w:rPr/>
        <w:pict>
          <v:line style="position:absolute;mso-position-horizontal-relative:page;mso-position-vertical-relative:paragraph;z-index:-928;mso-wrap-distance-left:0;mso-wrap-distance-right:0" from="502.048701pt,9.781449pt" to="39.008701pt,9.781449pt" stroked="true" strokeweight=".495pt" strokecolor="#005b85">
            <v:stroke dashstyle="solid"/>
            <w10:wrap type="topAndBottom"/>
          </v:line>
        </w:pict>
      </w:r>
    </w:p>
    <w:p>
      <w:pPr>
        <w:pStyle w:val="BodyText"/>
        <w:rPr>
          <w:rFonts w:ascii="Cambria"/>
          <w:i/>
          <w:sz w:val="7"/>
        </w:rPr>
      </w:pPr>
    </w:p>
    <w:p>
      <w:pPr>
        <w:spacing w:after="0"/>
        <w:rPr>
          <w:rFonts w:ascii="Cambria"/>
          <w:sz w:val="7"/>
        </w:rPr>
        <w:sectPr>
          <w:type w:val="continuous"/>
          <w:pgSz w:w="11910" w:h="16840"/>
          <w:pgMar w:top="620" w:bottom="280" w:left="620" w:right="380"/>
        </w:sectPr>
      </w:pPr>
    </w:p>
    <w:p>
      <w:pPr>
        <w:spacing w:before="99"/>
        <w:ind w:left="167" w:right="0" w:firstLine="0"/>
        <w:jc w:val="left"/>
        <w:rPr>
          <w:rFonts w:ascii="Trebuchet MS"/>
          <w:sz w:val="18"/>
        </w:rPr>
      </w:pPr>
      <w:r>
        <w:rPr>
          <w:rFonts w:ascii="Trebuchet MS"/>
          <w:color w:val="005B85"/>
          <w:spacing w:val="-4"/>
          <w:w w:val="110"/>
          <w:sz w:val="18"/>
        </w:rPr>
        <w:t>GPO</w:t>
      </w:r>
      <w:r>
        <w:rPr>
          <w:rFonts w:ascii="Trebuchet MS"/>
          <w:color w:val="005B85"/>
          <w:spacing w:val="-29"/>
          <w:w w:val="110"/>
          <w:sz w:val="18"/>
        </w:rPr>
        <w:t> </w:t>
      </w:r>
      <w:r>
        <w:rPr>
          <w:rFonts w:ascii="Trebuchet MS"/>
          <w:color w:val="005B85"/>
          <w:spacing w:val="-6"/>
          <w:w w:val="110"/>
          <w:sz w:val="18"/>
        </w:rPr>
        <w:t>Box</w:t>
      </w:r>
      <w:r>
        <w:rPr>
          <w:rFonts w:ascii="Trebuchet MS"/>
          <w:color w:val="005B85"/>
          <w:spacing w:val="-28"/>
          <w:w w:val="110"/>
          <w:sz w:val="18"/>
        </w:rPr>
        <w:t> </w:t>
      </w:r>
      <w:r>
        <w:rPr>
          <w:rFonts w:ascii="Trebuchet MS"/>
          <w:color w:val="005B85"/>
          <w:spacing w:val="-6"/>
          <w:w w:val="110"/>
          <w:sz w:val="18"/>
        </w:rPr>
        <w:t>4637</w:t>
      </w:r>
    </w:p>
    <w:p>
      <w:pPr>
        <w:spacing w:line="249" w:lineRule="auto" w:before="9"/>
        <w:ind w:left="167" w:right="27" w:firstLine="0"/>
        <w:jc w:val="left"/>
        <w:rPr>
          <w:rFonts w:ascii="Trebuchet MS"/>
          <w:sz w:val="18"/>
        </w:rPr>
      </w:pPr>
      <w:r>
        <w:rPr>
          <w:rFonts w:ascii="Trebuchet MS"/>
          <w:color w:val="005B85"/>
          <w:w w:val="105"/>
          <w:sz w:val="18"/>
        </w:rPr>
        <w:t>Melbourne Victoria 3001 Australia</w:t>
      </w:r>
    </w:p>
    <w:p>
      <w:pPr>
        <w:spacing w:before="99"/>
        <w:ind w:left="167" w:right="0" w:firstLine="0"/>
        <w:jc w:val="left"/>
        <w:rPr>
          <w:rFonts w:ascii="Trebuchet MS"/>
          <w:sz w:val="18"/>
        </w:rPr>
      </w:pPr>
      <w:r>
        <w:rPr/>
        <w:br w:type="column"/>
      </w:r>
      <w:r>
        <w:rPr>
          <w:rFonts w:ascii="Trebuchet MS"/>
          <w:color w:val="005B85"/>
          <w:w w:val="110"/>
          <w:sz w:val="18"/>
        </w:rPr>
        <w:t>Level 3</w:t>
      </w:r>
    </w:p>
    <w:p>
      <w:pPr>
        <w:spacing w:line="249" w:lineRule="auto" w:before="9"/>
        <w:ind w:left="167" w:right="23" w:firstLine="0"/>
        <w:jc w:val="left"/>
        <w:rPr>
          <w:rFonts w:ascii="Trebuchet MS"/>
          <w:sz w:val="18"/>
        </w:rPr>
      </w:pPr>
      <w:r>
        <w:rPr>
          <w:rFonts w:ascii="Trebuchet MS"/>
          <w:color w:val="005B85"/>
          <w:spacing w:val="-4"/>
          <w:w w:val="110"/>
          <w:sz w:val="18"/>
        </w:rPr>
        <w:t>333</w:t>
      </w:r>
      <w:r>
        <w:rPr>
          <w:rFonts w:ascii="Trebuchet MS"/>
          <w:color w:val="005B85"/>
          <w:spacing w:val="-45"/>
          <w:w w:val="110"/>
          <w:sz w:val="18"/>
        </w:rPr>
        <w:t> </w:t>
      </w:r>
      <w:r>
        <w:rPr>
          <w:rFonts w:ascii="Trebuchet MS"/>
          <w:color w:val="005B85"/>
          <w:spacing w:val="-5"/>
          <w:w w:val="110"/>
          <w:sz w:val="18"/>
        </w:rPr>
        <w:t>Queen</w:t>
      </w:r>
      <w:r>
        <w:rPr>
          <w:rFonts w:ascii="Trebuchet MS"/>
          <w:color w:val="005B85"/>
          <w:spacing w:val="-44"/>
          <w:w w:val="110"/>
          <w:sz w:val="18"/>
        </w:rPr>
        <w:t> </w:t>
      </w:r>
      <w:r>
        <w:rPr>
          <w:rFonts w:ascii="Trebuchet MS"/>
          <w:color w:val="005B85"/>
          <w:spacing w:val="-6"/>
          <w:w w:val="110"/>
          <w:sz w:val="18"/>
        </w:rPr>
        <w:t>Street </w:t>
      </w:r>
      <w:r>
        <w:rPr>
          <w:rFonts w:ascii="Trebuchet MS"/>
          <w:color w:val="005B85"/>
          <w:spacing w:val="-7"/>
          <w:w w:val="110"/>
          <w:sz w:val="18"/>
        </w:rPr>
        <w:t>Melbourne </w:t>
      </w:r>
      <w:r>
        <w:rPr>
          <w:rFonts w:ascii="Trebuchet MS"/>
          <w:color w:val="005B85"/>
          <w:spacing w:val="-6"/>
          <w:w w:val="110"/>
          <w:sz w:val="18"/>
        </w:rPr>
        <w:t>Victoria 3000 </w:t>
      </w:r>
      <w:r>
        <w:rPr>
          <w:rFonts w:ascii="Trebuchet MS"/>
          <w:color w:val="005B85"/>
          <w:spacing w:val="-7"/>
          <w:w w:val="110"/>
          <w:sz w:val="18"/>
        </w:rPr>
        <w:t>Australia</w:t>
      </w:r>
    </w:p>
    <w:p>
      <w:pPr>
        <w:spacing w:before="61"/>
        <w:ind w:left="167" w:right="0" w:firstLine="0"/>
        <w:jc w:val="left"/>
        <w:rPr>
          <w:b/>
          <w:sz w:val="18"/>
        </w:rPr>
      </w:pPr>
      <w:r>
        <w:rPr/>
        <w:br w:type="column"/>
      </w:r>
      <w:r>
        <w:rPr>
          <w:b/>
          <w:color w:val="005B85"/>
          <w:sz w:val="18"/>
        </w:rPr>
        <w:t>Telephone</w:t>
      </w:r>
    </w:p>
    <w:p>
      <w:pPr>
        <w:spacing w:before="6"/>
        <w:ind w:left="167" w:right="0" w:firstLine="0"/>
        <w:jc w:val="left"/>
        <w:rPr>
          <w:rFonts w:ascii="Trebuchet MS"/>
          <w:sz w:val="18"/>
        </w:rPr>
      </w:pPr>
      <w:r>
        <w:rPr>
          <w:rFonts w:ascii="Trebuchet MS"/>
          <w:color w:val="005B85"/>
          <w:spacing w:val="-4"/>
          <w:w w:val="110"/>
          <w:sz w:val="18"/>
        </w:rPr>
        <w:t>+61</w:t>
      </w:r>
      <w:r>
        <w:rPr>
          <w:rFonts w:ascii="Trebuchet MS"/>
          <w:color w:val="005B85"/>
          <w:spacing w:val="-23"/>
          <w:w w:val="110"/>
          <w:sz w:val="18"/>
        </w:rPr>
        <w:t> </w:t>
      </w:r>
      <w:r>
        <w:rPr>
          <w:rFonts w:ascii="Trebuchet MS"/>
          <w:color w:val="005B85"/>
          <w:w w:val="110"/>
          <w:sz w:val="18"/>
        </w:rPr>
        <w:t>3</w:t>
      </w:r>
      <w:r>
        <w:rPr>
          <w:rFonts w:ascii="Trebuchet MS"/>
          <w:color w:val="005B85"/>
          <w:spacing w:val="-23"/>
          <w:w w:val="110"/>
          <w:sz w:val="18"/>
        </w:rPr>
        <w:t> </w:t>
      </w:r>
      <w:r>
        <w:rPr>
          <w:rFonts w:ascii="Trebuchet MS"/>
          <w:color w:val="005B85"/>
          <w:spacing w:val="-5"/>
          <w:w w:val="110"/>
          <w:sz w:val="18"/>
        </w:rPr>
        <w:t>8608</w:t>
      </w:r>
      <w:r>
        <w:rPr>
          <w:rFonts w:ascii="Trebuchet MS"/>
          <w:color w:val="005B85"/>
          <w:spacing w:val="-22"/>
          <w:w w:val="110"/>
          <w:sz w:val="18"/>
        </w:rPr>
        <w:t> </w:t>
      </w:r>
      <w:r>
        <w:rPr>
          <w:rFonts w:ascii="Trebuchet MS"/>
          <w:color w:val="005B85"/>
          <w:spacing w:val="-6"/>
          <w:w w:val="110"/>
          <w:sz w:val="18"/>
        </w:rPr>
        <w:t>7800</w:t>
      </w:r>
    </w:p>
    <w:p>
      <w:pPr>
        <w:spacing w:before="83"/>
        <w:ind w:left="167" w:right="0" w:firstLine="0"/>
        <w:jc w:val="left"/>
        <w:rPr>
          <w:b/>
          <w:sz w:val="18"/>
        </w:rPr>
      </w:pPr>
      <w:r>
        <w:rPr>
          <w:b/>
          <w:color w:val="005B85"/>
          <w:sz w:val="18"/>
        </w:rPr>
        <w:t>Freecall</w:t>
      </w:r>
    </w:p>
    <w:p>
      <w:pPr>
        <w:spacing w:before="6"/>
        <w:ind w:left="167" w:right="0" w:firstLine="0"/>
        <w:jc w:val="left"/>
        <w:rPr>
          <w:rFonts w:ascii="Trebuchet MS"/>
          <w:sz w:val="18"/>
        </w:rPr>
      </w:pPr>
      <w:r>
        <w:rPr>
          <w:rFonts w:ascii="Trebuchet MS"/>
          <w:color w:val="005B85"/>
          <w:w w:val="110"/>
          <w:sz w:val="18"/>
        </w:rPr>
        <w:t>1300 666 555</w:t>
      </w:r>
    </w:p>
    <w:p>
      <w:pPr>
        <w:spacing w:before="9"/>
        <w:ind w:left="167" w:right="0" w:firstLine="0"/>
        <w:jc w:val="left"/>
        <w:rPr>
          <w:rFonts w:ascii="Trebuchet MS"/>
          <w:sz w:val="18"/>
        </w:rPr>
      </w:pPr>
      <w:r>
        <w:rPr>
          <w:rFonts w:ascii="Trebuchet MS"/>
          <w:color w:val="005B85"/>
          <w:sz w:val="18"/>
        </w:rPr>
        <w:t>(within Victoria)</w:t>
      </w:r>
    </w:p>
    <w:p>
      <w:pPr>
        <w:spacing w:before="82"/>
        <w:ind w:left="167" w:right="0" w:firstLine="0"/>
        <w:jc w:val="left"/>
        <w:rPr>
          <w:b/>
          <w:sz w:val="18"/>
        </w:rPr>
      </w:pPr>
      <w:r>
        <w:rPr>
          <w:b/>
          <w:color w:val="005B85"/>
          <w:sz w:val="18"/>
        </w:rPr>
        <w:t>Fax</w:t>
      </w:r>
    </w:p>
    <w:p>
      <w:pPr>
        <w:spacing w:before="7"/>
        <w:ind w:left="167" w:right="0" w:firstLine="0"/>
        <w:jc w:val="left"/>
        <w:rPr>
          <w:rFonts w:ascii="Trebuchet MS"/>
          <w:sz w:val="18"/>
        </w:rPr>
      </w:pPr>
      <w:r>
        <w:rPr>
          <w:rFonts w:ascii="Trebuchet MS"/>
          <w:color w:val="005B85"/>
          <w:spacing w:val="-4"/>
          <w:w w:val="110"/>
          <w:sz w:val="18"/>
        </w:rPr>
        <w:t>+61</w:t>
      </w:r>
      <w:r>
        <w:rPr>
          <w:rFonts w:ascii="Trebuchet MS"/>
          <w:color w:val="005B85"/>
          <w:spacing w:val="-30"/>
          <w:w w:val="110"/>
          <w:sz w:val="18"/>
        </w:rPr>
        <w:t> </w:t>
      </w:r>
      <w:r>
        <w:rPr>
          <w:rFonts w:ascii="Trebuchet MS"/>
          <w:color w:val="005B85"/>
          <w:w w:val="110"/>
          <w:sz w:val="18"/>
        </w:rPr>
        <w:t>3</w:t>
      </w:r>
      <w:r>
        <w:rPr>
          <w:rFonts w:ascii="Trebuchet MS"/>
          <w:color w:val="005B85"/>
          <w:spacing w:val="-29"/>
          <w:w w:val="110"/>
          <w:sz w:val="18"/>
        </w:rPr>
        <w:t> </w:t>
      </w:r>
      <w:r>
        <w:rPr>
          <w:rFonts w:ascii="Trebuchet MS"/>
          <w:color w:val="005B85"/>
          <w:spacing w:val="-5"/>
          <w:w w:val="110"/>
          <w:sz w:val="18"/>
        </w:rPr>
        <w:t>8608</w:t>
      </w:r>
      <w:r>
        <w:rPr>
          <w:rFonts w:ascii="Trebuchet MS"/>
          <w:color w:val="005B85"/>
          <w:spacing w:val="-29"/>
          <w:w w:val="110"/>
          <w:sz w:val="18"/>
        </w:rPr>
        <w:t> </w:t>
      </w:r>
      <w:r>
        <w:rPr>
          <w:rFonts w:ascii="Trebuchet MS"/>
          <w:color w:val="005B85"/>
          <w:spacing w:val="-6"/>
          <w:w w:val="110"/>
          <w:sz w:val="18"/>
        </w:rPr>
        <w:t>7888</w:t>
      </w:r>
    </w:p>
    <w:p>
      <w:pPr>
        <w:spacing w:before="60"/>
        <w:ind w:left="167" w:right="0" w:firstLine="0"/>
        <w:jc w:val="left"/>
        <w:rPr>
          <w:b/>
          <w:sz w:val="18"/>
        </w:rPr>
      </w:pPr>
      <w:r>
        <w:rPr/>
        <w:br w:type="column"/>
      </w:r>
      <w:r>
        <w:rPr>
          <w:b/>
          <w:color w:val="005B85"/>
          <w:sz w:val="18"/>
        </w:rPr>
        <w:t>Email</w:t>
      </w:r>
    </w:p>
    <w:p>
      <w:pPr>
        <w:spacing w:before="7"/>
        <w:ind w:left="167" w:right="0" w:firstLine="0"/>
        <w:jc w:val="left"/>
        <w:rPr>
          <w:rFonts w:ascii="Trebuchet MS"/>
          <w:sz w:val="18"/>
        </w:rPr>
      </w:pPr>
      <w:hyperlink r:id="rId12">
        <w:r>
          <w:rPr>
            <w:rFonts w:ascii="Trebuchet MS"/>
            <w:color w:val="005B85"/>
            <w:sz w:val="18"/>
          </w:rPr>
          <w:t>law.reform@lawreform.vic.gov.au</w:t>
        </w:r>
      </w:hyperlink>
    </w:p>
    <w:p>
      <w:pPr>
        <w:spacing w:before="125"/>
        <w:ind w:left="167" w:right="0" w:firstLine="0"/>
        <w:jc w:val="left"/>
        <w:rPr>
          <w:rFonts w:ascii="Trebuchet MS"/>
          <w:sz w:val="31"/>
        </w:rPr>
      </w:pPr>
      <w:r>
        <w:rPr>
          <w:rFonts w:ascii="Trebuchet MS"/>
          <w:color w:val="005B85"/>
          <w:spacing w:val="-10"/>
          <w:w w:val="104"/>
          <w:sz w:val="31"/>
        </w:rPr>
        <w:t>l</w:t>
      </w:r>
      <w:r>
        <w:rPr>
          <w:rFonts w:ascii="Trebuchet MS"/>
          <w:color w:val="005B85"/>
          <w:spacing w:val="-15"/>
          <w:w w:val="104"/>
          <w:sz w:val="31"/>
        </w:rPr>
        <w:t>a</w:t>
      </w:r>
      <w:r>
        <w:rPr>
          <w:rFonts w:ascii="Trebuchet MS"/>
          <w:color w:val="005B85"/>
          <w:spacing w:val="-10"/>
          <w:w w:val="106"/>
          <w:sz w:val="31"/>
        </w:rPr>
        <w:t>w</w:t>
      </w:r>
      <w:r>
        <w:rPr>
          <w:rFonts w:ascii="Trebuchet MS"/>
          <w:color w:val="005B85"/>
          <w:spacing w:val="-14"/>
          <w:w w:val="106"/>
          <w:sz w:val="31"/>
        </w:rPr>
        <w:t>r</w:t>
      </w:r>
      <w:r>
        <w:rPr>
          <w:rFonts w:ascii="Trebuchet MS"/>
          <w:color w:val="005B85"/>
          <w:spacing w:val="-12"/>
          <w:w w:val="110"/>
          <w:sz w:val="31"/>
        </w:rPr>
        <w:t>e</w:t>
      </w:r>
      <w:r>
        <w:rPr>
          <w:rFonts w:ascii="Trebuchet MS"/>
          <w:color w:val="005B85"/>
          <w:spacing w:val="-14"/>
          <w:w w:val="94"/>
          <w:sz w:val="31"/>
        </w:rPr>
        <w:t>f</w:t>
      </w:r>
      <w:r>
        <w:rPr>
          <w:rFonts w:ascii="Trebuchet MS"/>
          <w:color w:val="005B85"/>
          <w:spacing w:val="-10"/>
          <w:w w:val="109"/>
          <w:sz w:val="31"/>
        </w:rPr>
        <w:t>orm</w:t>
      </w:r>
      <w:r>
        <w:rPr>
          <w:rFonts w:ascii="Trebuchet MS"/>
          <w:color w:val="005B85"/>
          <w:spacing w:val="-32"/>
          <w:w w:val="56"/>
          <w:sz w:val="31"/>
        </w:rPr>
        <w:t>.</w:t>
      </w:r>
      <w:r>
        <w:rPr>
          <w:rFonts w:ascii="Trebuchet MS"/>
          <w:color w:val="005B85"/>
          <w:spacing w:val="-10"/>
          <w:w w:val="104"/>
          <w:sz w:val="31"/>
        </w:rPr>
        <w:t>vic.g</w:t>
      </w:r>
      <w:r>
        <w:rPr>
          <w:rFonts w:ascii="Trebuchet MS"/>
          <w:color w:val="005B85"/>
          <w:spacing w:val="-16"/>
          <w:w w:val="104"/>
          <w:sz w:val="31"/>
        </w:rPr>
        <w:t>o</w:t>
      </w:r>
      <w:r>
        <w:rPr>
          <w:rFonts w:ascii="Trebuchet MS"/>
          <w:color w:val="005B85"/>
          <w:spacing w:val="-32"/>
          <w:w w:val="112"/>
          <w:sz w:val="31"/>
        </w:rPr>
        <w:t>v</w:t>
      </w:r>
      <w:r>
        <w:rPr>
          <w:rFonts w:ascii="Trebuchet MS"/>
          <w:color w:val="005B85"/>
          <w:spacing w:val="-10"/>
          <w:w w:val="96"/>
          <w:sz w:val="31"/>
        </w:rPr>
        <w:t>.au</w:t>
      </w:r>
    </w:p>
    <w:p>
      <w:pPr>
        <w:spacing w:before="148"/>
        <w:ind w:left="167" w:right="0" w:firstLine="0"/>
        <w:jc w:val="left"/>
        <w:rPr>
          <w:rFonts w:ascii="Trebuchet MS"/>
          <w:sz w:val="12"/>
        </w:rPr>
      </w:pPr>
      <w:r>
        <w:rPr>
          <w:rFonts w:ascii="Trebuchet MS"/>
          <w:color w:val="005B85"/>
          <w:w w:val="105"/>
          <w:sz w:val="12"/>
        </w:rPr>
        <w:t>Printed on 100% recycled paper</w:t>
      </w:r>
    </w:p>
    <w:p>
      <w:pPr>
        <w:spacing w:after="0"/>
        <w:jc w:val="left"/>
        <w:rPr>
          <w:rFonts w:ascii="Trebuchet MS"/>
          <w:sz w:val="12"/>
        </w:rPr>
        <w:sectPr>
          <w:type w:val="continuous"/>
          <w:pgSz w:w="11910" w:h="16840"/>
          <w:pgMar w:top="620" w:bottom="280" w:left="620" w:right="380"/>
          <w:cols w:num="4" w:equalWidth="0">
            <w:col w:w="1329" w:space="448"/>
            <w:col w:w="1591" w:space="331"/>
            <w:col w:w="1520" w:space="438"/>
            <w:col w:w="5253"/>
          </w:cols>
        </w:sect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5"/>
        <w:rPr>
          <w:rFonts w:ascii="Trebuchet MS"/>
          <w:sz w:val="17"/>
        </w:rPr>
      </w:pPr>
    </w:p>
    <w:p>
      <w:pPr>
        <w:spacing w:before="49"/>
        <w:ind w:left="100" w:right="0" w:firstLine="0"/>
        <w:jc w:val="left"/>
        <w:rPr>
          <w:b/>
          <w:sz w:val="24"/>
        </w:rPr>
      </w:pPr>
      <w:r>
        <w:rPr>
          <w:b/>
          <w:color w:val="37617A"/>
          <w:sz w:val="24"/>
        </w:rPr>
        <w:t>ii</w:t>
      </w:r>
    </w:p>
    <w:p>
      <w:pPr>
        <w:spacing w:after="0"/>
        <w:jc w:val="left"/>
        <w:rPr>
          <w:sz w:val="24"/>
        </w:rPr>
        <w:sectPr>
          <w:headerReference w:type="even" r:id="rId13"/>
          <w:headerReference w:type="default" r:id="rId14"/>
          <w:pgSz w:w="11910" w:h="16840"/>
          <w:pgMar w:header="567" w:footer="0" w:top="860" w:bottom="280" w:left="620" w:right="380"/>
        </w:sectPr>
      </w:pPr>
    </w:p>
    <w:p>
      <w:pPr>
        <w:pStyle w:val="BodyText"/>
        <w:rPr>
          <w:b/>
        </w:rPr>
      </w:pPr>
      <w:r>
        <w:rPr/>
        <w:pict>
          <v:rect style="position:absolute;margin-left:0pt;margin-top:99.213013pt;width:14.173pt;height:85.748pt;mso-position-horizontal-relative:page;mso-position-vertical-relative:page;z-index:1144" filled="true" fillcolor="#37617a" stroked="false">
            <v:fill type="solid"/>
            <w10:wrap type="none"/>
          </v:rect>
        </w:pict>
      </w:r>
    </w:p>
    <w:p>
      <w:pPr>
        <w:pStyle w:val="BodyText"/>
        <w:rPr>
          <w:b/>
        </w:rPr>
      </w:pPr>
    </w:p>
    <w:p>
      <w:pPr>
        <w:pStyle w:val="BodyText"/>
        <w:spacing w:before="11"/>
        <w:rPr>
          <w:b/>
          <w:sz w:val="26"/>
        </w:rPr>
      </w:pPr>
    </w:p>
    <w:p>
      <w:pPr>
        <w:spacing w:line="758" w:lineRule="exact" w:before="0"/>
        <w:ind w:left="206" w:right="8184" w:firstLine="0"/>
        <w:jc w:val="center"/>
        <w:rPr>
          <w:rFonts w:ascii="Raleway ExtraBold"/>
          <w:b/>
          <w:sz w:val="56"/>
        </w:rPr>
      </w:pPr>
      <w:bookmarkStart w:name="Contents" w:id="1"/>
      <w:bookmarkEnd w:id="1"/>
      <w:r>
        <w:rPr/>
      </w:r>
      <w:r>
        <w:rPr>
          <w:rFonts w:ascii="Raleway ExtraBold"/>
          <w:b/>
          <w:color w:val="37617A"/>
          <w:sz w:val="56"/>
        </w:rPr>
        <w:t>Contents</w:t>
      </w:r>
    </w:p>
    <w:p>
      <w:pPr>
        <w:pStyle w:val="BodyText"/>
        <w:rPr>
          <w:rFonts w:ascii="Raleway ExtraBold"/>
          <w:b/>
          <w:sz w:val="66"/>
        </w:rPr>
      </w:pPr>
    </w:p>
    <w:p>
      <w:pPr>
        <w:pStyle w:val="BodyText"/>
        <w:rPr>
          <w:rFonts w:ascii="Raleway ExtraBold"/>
          <w:b/>
          <w:sz w:val="66"/>
        </w:rPr>
      </w:pPr>
    </w:p>
    <w:p>
      <w:pPr>
        <w:pStyle w:val="BodyText"/>
        <w:spacing w:before="8"/>
        <w:rPr>
          <w:rFonts w:ascii="Raleway ExtraBold"/>
          <w:b/>
          <w:sz w:val="86"/>
        </w:rPr>
      </w:pPr>
    </w:p>
    <w:p>
      <w:pPr>
        <w:pStyle w:val="Heading8"/>
        <w:tabs>
          <w:tab w:pos="9661" w:val="right" w:leader="dot"/>
        </w:tabs>
        <w:spacing w:line="240" w:lineRule="auto"/>
        <w:ind w:left="981"/>
      </w:pPr>
      <w:hyperlink w:history="true" w:anchor="_bookmark0">
        <w:r>
          <w:rPr/>
          <w:t>Preface</w:t>
          <w:tab/>
          <w:t>xi</w:t>
        </w:r>
      </w:hyperlink>
    </w:p>
    <w:p>
      <w:pPr>
        <w:pStyle w:val="Heading8"/>
        <w:tabs>
          <w:tab w:pos="9661" w:val="right" w:leader="dot"/>
        </w:tabs>
        <w:spacing w:line="240" w:lineRule="auto" w:before="41"/>
        <w:ind w:left="981"/>
      </w:pPr>
      <w:hyperlink w:history="true" w:anchor="_bookmark1">
        <w:r>
          <w:rPr>
            <w:spacing w:val="-4"/>
          </w:rPr>
          <w:t>Terms</w:t>
        </w:r>
        <w:r>
          <w:rPr>
            <w:spacing w:val="-3"/>
          </w:rPr>
          <w:t> </w:t>
        </w:r>
        <w:r>
          <w:rPr/>
          <w:t>of</w:t>
        </w:r>
        <w:r>
          <w:rPr>
            <w:spacing w:val="-2"/>
          </w:rPr>
          <w:t> </w:t>
        </w:r>
        <w:r>
          <w:rPr/>
          <w:t>reference</w:t>
          <w:tab/>
          <w:t>xiii</w:t>
        </w:r>
      </w:hyperlink>
    </w:p>
    <w:p>
      <w:pPr>
        <w:pStyle w:val="Heading8"/>
        <w:tabs>
          <w:tab w:pos="9661" w:val="right" w:leader="dot"/>
        </w:tabs>
        <w:spacing w:line="240" w:lineRule="auto" w:before="42"/>
        <w:ind w:left="981"/>
      </w:pPr>
      <w:hyperlink w:history="true" w:anchor="_bookmark2">
        <w:r>
          <w:rPr/>
          <w:t>Glossary</w:t>
          <w:tab/>
          <w:t>xiv</w:t>
        </w:r>
      </w:hyperlink>
    </w:p>
    <w:p>
      <w:pPr>
        <w:pStyle w:val="Heading8"/>
        <w:tabs>
          <w:tab w:pos="9661" w:val="right" w:leader="dot"/>
        </w:tabs>
        <w:spacing w:line="240" w:lineRule="auto" w:before="41"/>
        <w:ind w:left="981"/>
      </w:pPr>
      <w:hyperlink w:history="true" w:anchor="_bookmark3">
        <w:r>
          <w:rPr/>
          <w:t>Executive</w:t>
        </w:r>
        <w:r>
          <w:rPr>
            <w:spacing w:val="-3"/>
          </w:rPr>
          <w:t> </w:t>
        </w:r>
        <w:r>
          <w:rPr/>
          <w:t>summary</w:t>
          <w:tab/>
          <w:t>xvii</w:t>
        </w:r>
      </w:hyperlink>
    </w:p>
    <w:p>
      <w:pPr>
        <w:pStyle w:val="Heading8"/>
        <w:tabs>
          <w:tab w:pos="9661" w:val="right" w:leader="dot"/>
        </w:tabs>
        <w:spacing w:line="240" w:lineRule="auto" w:before="42"/>
        <w:ind w:left="981"/>
      </w:pPr>
      <w:hyperlink w:history="true" w:anchor="_bookmark4">
        <w:r>
          <w:rPr/>
          <w:t>Recommendations</w:t>
          <w:tab/>
          <w:t>xxiii</w:t>
        </w:r>
      </w:hyperlink>
    </w:p>
    <w:p>
      <w:pPr>
        <w:pStyle w:val="Heading8"/>
        <w:spacing w:line="240" w:lineRule="auto" w:before="366"/>
        <w:ind w:left="981"/>
      </w:pPr>
      <w:hyperlink w:history="true" w:anchor="_bookmark5">
        <w:r>
          <w:rPr>
            <w:color w:val="37617A"/>
          </w:rPr>
          <w:t>PART ONE</w:t>
        </w:r>
      </w:hyperlink>
    </w:p>
    <w:p>
      <w:pPr>
        <w:pStyle w:val="Heading8"/>
        <w:numPr>
          <w:ilvl w:val="0"/>
          <w:numId w:val="1"/>
        </w:numPr>
        <w:tabs>
          <w:tab w:pos="1322" w:val="left" w:leader="none"/>
          <w:tab w:pos="9661" w:val="right" w:leader="dot"/>
        </w:tabs>
        <w:spacing w:line="240" w:lineRule="auto" w:before="41" w:after="0"/>
        <w:ind w:left="1321" w:right="0" w:hanging="340"/>
        <w:jc w:val="left"/>
      </w:pPr>
      <w:hyperlink w:history="true" w:anchor="_bookmark6">
        <w:r>
          <w:rPr>
            <w:color w:val="37617A"/>
          </w:rPr>
          <w:t>Introduction</w:t>
          <w:tab/>
          <w:t>2</w:t>
        </w:r>
      </w:hyperlink>
    </w:p>
    <w:p>
      <w:pPr>
        <w:pStyle w:val="BodyText"/>
        <w:tabs>
          <w:tab w:pos="9661" w:val="right" w:leader="dot"/>
        </w:tabs>
        <w:spacing w:before="48"/>
        <w:ind w:left="1548"/>
      </w:pPr>
      <w:hyperlink w:history="true" w:anchor="_bookmark7">
        <w:r>
          <w:rPr/>
          <w:t>Our terms</w:t>
        </w:r>
        <w:r>
          <w:rPr>
            <w:spacing w:val="-5"/>
          </w:rPr>
          <w:t> </w:t>
        </w:r>
        <w:r>
          <w:rPr/>
          <w:t>of</w:t>
        </w:r>
        <w:r>
          <w:rPr>
            <w:spacing w:val="-2"/>
          </w:rPr>
          <w:t> </w:t>
        </w:r>
        <w:r>
          <w:rPr/>
          <w:t>reference</w:t>
          <w:tab/>
          <w:t>3</w:t>
        </w:r>
      </w:hyperlink>
    </w:p>
    <w:p>
      <w:pPr>
        <w:pStyle w:val="BodyText"/>
        <w:tabs>
          <w:tab w:pos="9661" w:val="right" w:leader="dot"/>
        </w:tabs>
        <w:spacing w:before="47"/>
        <w:ind w:left="1548"/>
      </w:pPr>
      <w:hyperlink w:history="true" w:anchor="_bookmark7">
        <w:r>
          <w:rPr/>
          <w:t>The structure of</w:t>
        </w:r>
        <w:r>
          <w:rPr>
            <w:spacing w:val="-7"/>
          </w:rPr>
          <w:t> </w:t>
        </w:r>
        <w:r>
          <w:rPr/>
          <w:t>this</w:t>
        </w:r>
        <w:r>
          <w:rPr>
            <w:spacing w:val="-2"/>
          </w:rPr>
          <w:t> </w:t>
        </w:r>
        <w:r>
          <w:rPr/>
          <w:t>report</w:t>
          <w:tab/>
          <w:t>3</w:t>
        </w:r>
      </w:hyperlink>
    </w:p>
    <w:p>
      <w:pPr>
        <w:pStyle w:val="BodyText"/>
        <w:tabs>
          <w:tab w:pos="9661" w:val="right" w:leader="dot"/>
        </w:tabs>
        <w:spacing w:before="48"/>
        <w:ind w:left="1548"/>
      </w:pPr>
      <w:hyperlink w:history="true" w:anchor="_bookmark7">
        <w:r>
          <w:rPr/>
          <w:t>Why are these</w:t>
        </w:r>
        <w:r>
          <w:rPr>
            <w:spacing w:val="-7"/>
          </w:rPr>
          <w:t> </w:t>
        </w:r>
        <w:r>
          <w:rPr/>
          <w:t>reforms</w:t>
        </w:r>
        <w:r>
          <w:rPr>
            <w:spacing w:val="-2"/>
          </w:rPr>
          <w:t> </w:t>
        </w:r>
        <w:r>
          <w:rPr/>
          <w:t>necessary?</w:t>
          <w:tab/>
          <w:t>3</w:t>
        </w:r>
      </w:hyperlink>
    </w:p>
    <w:p>
      <w:pPr>
        <w:pStyle w:val="BodyText"/>
        <w:tabs>
          <w:tab w:pos="9661" w:val="right" w:leader="dot"/>
        </w:tabs>
        <w:spacing w:before="47"/>
        <w:ind w:left="1548"/>
      </w:pPr>
      <w:hyperlink w:history="true" w:anchor="_bookmark8">
        <w:r>
          <w:rPr/>
          <w:t>Our approach</w:t>
        </w:r>
        <w:r>
          <w:rPr>
            <w:spacing w:val="-5"/>
          </w:rPr>
          <w:t> </w:t>
        </w:r>
        <w:r>
          <w:rPr/>
          <w:t>to</w:t>
        </w:r>
        <w:r>
          <w:rPr>
            <w:spacing w:val="-2"/>
          </w:rPr>
          <w:t> </w:t>
        </w:r>
        <w:r>
          <w:rPr/>
          <w:t>reform</w:t>
          <w:tab/>
          <w:t>4</w:t>
        </w:r>
      </w:hyperlink>
    </w:p>
    <w:p>
      <w:pPr>
        <w:pStyle w:val="BodyText"/>
        <w:tabs>
          <w:tab w:pos="9661" w:val="right" w:leader="dot"/>
        </w:tabs>
        <w:spacing w:before="42"/>
        <w:ind w:left="1831"/>
      </w:pPr>
      <w:hyperlink w:history="true" w:anchor="_bookmark8">
        <w:r>
          <w:rPr/>
          <w:t>The social model</w:t>
        </w:r>
        <w:r>
          <w:rPr>
            <w:spacing w:val="-7"/>
          </w:rPr>
          <w:t> </w:t>
        </w:r>
        <w:r>
          <w:rPr/>
          <w:t>of</w:t>
        </w:r>
        <w:r>
          <w:rPr>
            <w:spacing w:val="-2"/>
          </w:rPr>
          <w:t> </w:t>
        </w:r>
        <w:r>
          <w:rPr/>
          <w:t>disability</w:t>
          <w:tab/>
          <w:t>4</w:t>
        </w:r>
      </w:hyperlink>
    </w:p>
    <w:p>
      <w:pPr>
        <w:pStyle w:val="BodyText"/>
        <w:tabs>
          <w:tab w:pos="9661" w:val="right" w:leader="dot"/>
        </w:tabs>
        <w:spacing w:before="41"/>
        <w:ind w:left="1831"/>
      </w:pPr>
      <w:hyperlink w:history="true" w:anchor="_bookmark8">
        <w:r>
          <w:rPr/>
          <w:t>Building on other</w:t>
        </w:r>
        <w:r>
          <w:rPr>
            <w:spacing w:val="-7"/>
          </w:rPr>
          <w:t> </w:t>
        </w:r>
        <w:r>
          <w:rPr/>
          <w:t>reform</w:t>
        </w:r>
        <w:r>
          <w:rPr>
            <w:spacing w:val="-2"/>
          </w:rPr>
          <w:t> </w:t>
        </w:r>
        <w:r>
          <w:rPr/>
          <w:t>ideas</w:t>
          <w:tab/>
          <w:t>4</w:t>
        </w:r>
      </w:hyperlink>
    </w:p>
    <w:p>
      <w:pPr>
        <w:pStyle w:val="BodyText"/>
        <w:tabs>
          <w:tab w:pos="9661" w:val="right" w:leader="dot"/>
        </w:tabs>
        <w:spacing w:before="42"/>
        <w:ind w:left="1831"/>
      </w:pPr>
      <w:hyperlink w:history="true" w:anchor="_bookmark9">
        <w:r>
          <w:rPr/>
          <w:t>Working with the existing jury</w:t>
        </w:r>
        <w:r>
          <w:rPr>
            <w:spacing w:val="-13"/>
          </w:rPr>
          <w:t> </w:t>
        </w:r>
        <w:r>
          <w:rPr/>
          <w:t>selection</w:t>
        </w:r>
        <w:r>
          <w:rPr>
            <w:spacing w:val="-3"/>
          </w:rPr>
          <w:t> </w:t>
        </w:r>
        <w:r>
          <w:rPr/>
          <w:t>process</w:t>
          <w:tab/>
          <w:t>5</w:t>
        </w:r>
      </w:hyperlink>
    </w:p>
    <w:p>
      <w:pPr>
        <w:pStyle w:val="BodyText"/>
        <w:tabs>
          <w:tab w:pos="9661" w:val="right" w:leader="dot"/>
        </w:tabs>
        <w:spacing w:before="47"/>
        <w:ind w:left="1548"/>
      </w:pPr>
      <w:hyperlink w:history="true" w:anchor="_bookmark9">
        <w:r>
          <w:rPr/>
          <w:t>A note</w:t>
        </w:r>
        <w:r>
          <w:rPr>
            <w:spacing w:val="-5"/>
          </w:rPr>
          <w:t> </w:t>
        </w:r>
        <w:r>
          <w:rPr/>
          <w:t>on</w:t>
        </w:r>
        <w:r>
          <w:rPr>
            <w:spacing w:val="-2"/>
          </w:rPr>
          <w:t> </w:t>
        </w:r>
        <w:r>
          <w:rPr/>
          <w:t>language</w:t>
          <w:tab/>
          <w:t>5</w:t>
        </w:r>
      </w:hyperlink>
    </w:p>
    <w:p>
      <w:pPr>
        <w:pStyle w:val="BodyText"/>
        <w:tabs>
          <w:tab w:pos="9661" w:val="right" w:leader="dot"/>
        </w:tabs>
        <w:spacing w:before="47"/>
        <w:ind w:left="1548"/>
      </w:pPr>
      <w:hyperlink w:history="true" w:anchor="_bookmark10">
        <w:r>
          <w:rPr/>
          <w:t>Our</w:t>
        </w:r>
        <w:r>
          <w:rPr>
            <w:spacing w:val="-3"/>
          </w:rPr>
          <w:t> </w:t>
        </w:r>
        <w:r>
          <w:rPr/>
          <w:t>process</w:t>
          <w:tab/>
          <w:t>6</w:t>
        </w:r>
      </w:hyperlink>
    </w:p>
    <w:p>
      <w:pPr>
        <w:pStyle w:val="BodyText"/>
        <w:tabs>
          <w:tab w:pos="9661" w:val="right" w:leader="dot"/>
        </w:tabs>
        <w:spacing w:before="42"/>
        <w:ind w:left="1831"/>
      </w:pPr>
      <w:hyperlink w:history="true" w:anchor="_bookmark10">
        <w:r>
          <w:rPr/>
          <w:t>Our</w:t>
        </w:r>
        <w:r>
          <w:rPr>
            <w:spacing w:val="-3"/>
          </w:rPr>
          <w:t> </w:t>
        </w:r>
        <w:r>
          <w:rPr/>
          <w:t>leadership</w:t>
          <w:tab/>
          <w:t>6</w:t>
        </w:r>
      </w:hyperlink>
    </w:p>
    <w:p>
      <w:pPr>
        <w:pStyle w:val="BodyText"/>
        <w:tabs>
          <w:tab w:pos="9661" w:val="right" w:leader="dot"/>
        </w:tabs>
        <w:spacing w:before="41"/>
        <w:ind w:left="1831"/>
      </w:pPr>
      <w:hyperlink w:history="true" w:anchor="_bookmark10">
        <w:r>
          <w:rPr/>
          <w:t>Community</w:t>
        </w:r>
        <w:r>
          <w:rPr>
            <w:spacing w:val="-3"/>
          </w:rPr>
          <w:t> </w:t>
        </w:r>
        <w:r>
          <w:rPr/>
          <w:t>responses</w:t>
          <w:tab/>
          <w:t>6</w:t>
        </w:r>
      </w:hyperlink>
    </w:p>
    <w:p>
      <w:pPr>
        <w:pStyle w:val="BodyText"/>
        <w:tabs>
          <w:tab w:pos="9661" w:val="right" w:leader="dot"/>
        </w:tabs>
        <w:spacing w:before="42"/>
        <w:ind w:left="1831"/>
      </w:pPr>
      <w:hyperlink w:history="true" w:anchor="_bookmark11">
        <w:r>
          <w:rPr/>
          <w:t>What was out</w:t>
        </w:r>
        <w:r>
          <w:rPr>
            <w:spacing w:val="-7"/>
          </w:rPr>
          <w:t> </w:t>
        </w:r>
        <w:r>
          <w:rPr/>
          <w:t>of</w:t>
        </w:r>
        <w:r>
          <w:rPr>
            <w:spacing w:val="-2"/>
          </w:rPr>
          <w:t> </w:t>
        </w:r>
        <w:r>
          <w:rPr/>
          <w:t>scope</w:t>
          <w:tab/>
          <w:t>7</w:t>
        </w:r>
      </w:hyperlink>
    </w:p>
    <w:p>
      <w:pPr>
        <w:pStyle w:val="BodyText"/>
        <w:tabs>
          <w:tab w:pos="9661" w:val="right" w:leader="dot"/>
        </w:tabs>
        <w:spacing w:before="41"/>
        <w:ind w:left="1831"/>
      </w:pPr>
      <w:hyperlink w:history="true" w:anchor="_bookmark11">
        <w:r>
          <w:rPr/>
          <w:t>Data in</w:t>
        </w:r>
        <w:r>
          <w:rPr>
            <w:spacing w:val="-5"/>
          </w:rPr>
          <w:t> </w:t>
        </w:r>
        <w:r>
          <w:rPr/>
          <w:t>our</w:t>
        </w:r>
        <w:r>
          <w:rPr>
            <w:spacing w:val="-2"/>
          </w:rPr>
          <w:t> </w:t>
        </w:r>
        <w:r>
          <w:rPr/>
          <w:t>report</w:t>
          <w:tab/>
          <w:t>7</w:t>
        </w:r>
      </w:hyperlink>
    </w:p>
    <w:p>
      <w:pPr>
        <w:pStyle w:val="BodyText"/>
        <w:tabs>
          <w:tab w:pos="9661" w:val="right" w:leader="dot"/>
        </w:tabs>
        <w:spacing w:before="48"/>
        <w:ind w:left="1548"/>
      </w:pPr>
      <w:hyperlink w:history="true" w:anchor="_bookmark11">
        <w:r>
          <w:rPr/>
          <w:t>Reform in coronavirus</w:t>
        </w:r>
        <w:r>
          <w:rPr>
            <w:spacing w:val="-8"/>
          </w:rPr>
          <w:t> </w:t>
        </w:r>
        <w:r>
          <w:rPr/>
          <w:t>(COVID-19)</w:t>
        </w:r>
        <w:r>
          <w:rPr>
            <w:spacing w:val="-2"/>
          </w:rPr>
          <w:t> </w:t>
        </w:r>
        <w:r>
          <w:rPr/>
          <w:t>times</w:t>
          <w:tab/>
          <w:t>7</w:t>
        </w:r>
      </w:hyperlink>
    </w:p>
    <w:p>
      <w:pPr>
        <w:pStyle w:val="Heading8"/>
        <w:numPr>
          <w:ilvl w:val="0"/>
          <w:numId w:val="1"/>
        </w:numPr>
        <w:tabs>
          <w:tab w:pos="1322" w:val="left" w:leader="none"/>
          <w:tab w:pos="9658" w:val="right" w:leader="dot"/>
        </w:tabs>
        <w:spacing w:line="240" w:lineRule="auto" w:before="41" w:after="0"/>
        <w:ind w:left="1321" w:right="0" w:hanging="340"/>
        <w:jc w:val="left"/>
      </w:pPr>
      <w:hyperlink w:history="true" w:anchor="_bookmark12">
        <w:r>
          <w:rPr>
            <w:color w:val="37617A"/>
          </w:rPr>
          <w:t>What is a jury and how is</w:t>
        </w:r>
        <w:r>
          <w:rPr>
            <w:color w:val="37617A"/>
            <w:spacing w:val="-15"/>
          </w:rPr>
          <w:t> </w:t>
        </w:r>
        <w:r>
          <w:rPr>
            <w:color w:val="37617A"/>
          </w:rPr>
          <w:t>it</w:t>
        </w:r>
        <w:r>
          <w:rPr>
            <w:color w:val="37617A"/>
            <w:spacing w:val="-2"/>
          </w:rPr>
          <w:t> </w:t>
        </w:r>
        <w:r>
          <w:rPr>
            <w:color w:val="37617A"/>
          </w:rPr>
          <w:t>selected?</w:t>
          <w:tab/>
        </w:r>
        <w:r>
          <w:rPr>
            <w:color w:val="37617A"/>
            <w:spacing w:val="-3"/>
          </w:rPr>
          <w:t>10</w:t>
        </w:r>
      </w:hyperlink>
    </w:p>
    <w:p>
      <w:pPr>
        <w:pStyle w:val="BodyText"/>
        <w:tabs>
          <w:tab w:pos="9657" w:val="right" w:leader="dot"/>
        </w:tabs>
        <w:spacing w:before="47"/>
        <w:ind w:left="1548"/>
      </w:pPr>
      <w:hyperlink w:history="true" w:anchor="_bookmark12">
        <w:r>
          <w:rPr/>
          <w:t>Overview</w:t>
          <w:tab/>
        </w:r>
        <w:r>
          <w:rPr>
            <w:spacing w:val="-4"/>
          </w:rPr>
          <w:t>10</w:t>
        </w:r>
      </w:hyperlink>
    </w:p>
    <w:p>
      <w:pPr>
        <w:pStyle w:val="BodyText"/>
        <w:tabs>
          <w:tab w:pos="9657" w:val="right" w:leader="dot"/>
        </w:tabs>
        <w:spacing w:before="48"/>
        <w:ind w:left="1548"/>
      </w:pPr>
      <w:hyperlink w:history="true" w:anchor="_bookmark12">
        <w:r>
          <w:rPr/>
          <w:t>What is the role of</w:t>
        </w:r>
        <w:r>
          <w:rPr>
            <w:spacing w:val="-11"/>
          </w:rPr>
          <w:t> </w:t>
        </w:r>
        <w:r>
          <w:rPr/>
          <w:t>a</w:t>
        </w:r>
        <w:r>
          <w:rPr>
            <w:spacing w:val="-2"/>
          </w:rPr>
          <w:t> </w:t>
        </w:r>
        <w:r>
          <w:rPr/>
          <w:t>jury?</w:t>
          <w:tab/>
        </w:r>
        <w:r>
          <w:rPr>
            <w:spacing w:val="-4"/>
          </w:rPr>
          <w:t>10</w:t>
        </w:r>
      </w:hyperlink>
    </w:p>
    <w:p>
      <w:pPr>
        <w:pStyle w:val="BodyText"/>
        <w:tabs>
          <w:tab w:pos="9662" w:val="right" w:leader="dot"/>
        </w:tabs>
        <w:spacing w:before="41"/>
        <w:ind w:left="1831"/>
      </w:pPr>
      <w:hyperlink w:history="true" w:anchor="_bookmark13">
        <w:r>
          <w:rPr/>
          <w:t>Jury</w:t>
        </w:r>
        <w:r>
          <w:rPr>
            <w:spacing w:val="-3"/>
          </w:rPr>
          <w:t> </w:t>
        </w:r>
        <w:r>
          <w:rPr/>
          <w:t>administration</w:t>
          <w:tab/>
          <w:t>11</w:t>
        </w:r>
      </w:hyperlink>
    </w:p>
    <w:p>
      <w:pPr>
        <w:pStyle w:val="BodyText"/>
        <w:tabs>
          <w:tab w:pos="9662" w:val="right" w:leader="dot"/>
        </w:tabs>
        <w:spacing w:before="42"/>
        <w:ind w:left="1832"/>
      </w:pPr>
      <w:hyperlink w:history="true" w:anchor="_bookmark13">
        <w:r>
          <w:rPr/>
          <w:t>The number of jury trials</w:t>
        </w:r>
        <w:r>
          <w:rPr>
            <w:spacing w:val="-11"/>
          </w:rPr>
          <w:t> </w:t>
        </w:r>
        <w:r>
          <w:rPr/>
          <w:t>in</w:t>
        </w:r>
        <w:r>
          <w:rPr>
            <w:spacing w:val="-2"/>
          </w:rPr>
          <w:t> </w:t>
        </w:r>
        <w:r>
          <w:rPr/>
          <w:t>Victoria</w:t>
          <w:tab/>
          <w:t>11</w:t>
        </w:r>
      </w:hyperlink>
    </w:p>
    <w:p>
      <w:pPr>
        <w:pStyle w:val="BodyText"/>
        <w:tabs>
          <w:tab w:pos="9661" w:val="right" w:leader="dot"/>
        </w:tabs>
        <w:spacing w:before="47"/>
        <w:ind w:left="1548"/>
      </w:pPr>
      <w:hyperlink w:history="true" w:anchor="_bookmark14">
        <w:r>
          <w:rPr/>
          <w:t>How is a</w:t>
        </w:r>
        <w:r>
          <w:rPr>
            <w:spacing w:val="-7"/>
          </w:rPr>
          <w:t> </w:t>
        </w:r>
        <w:r>
          <w:rPr/>
          <w:t>jury</w:t>
        </w:r>
        <w:r>
          <w:rPr>
            <w:spacing w:val="-2"/>
          </w:rPr>
          <w:t> </w:t>
        </w:r>
        <w:r>
          <w:rPr/>
          <w:t>selected?</w:t>
          <w:tab/>
          <w:t>12</w:t>
        </w:r>
      </w:hyperlink>
    </w:p>
    <w:p>
      <w:pPr>
        <w:pStyle w:val="BodyText"/>
        <w:tabs>
          <w:tab w:pos="9661" w:val="right" w:leader="dot"/>
        </w:tabs>
        <w:spacing w:before="42"/>
        <w:ind w:left="1831"/>
      </w:pPr>
      <w:hyperlink w:history="true" w:anchor="_bookmark15">
        <w:r>
          <w:rPr/>
          <w:t>Random selection from the</w:t>
        </w:r>
        <w:r>
          <w:rPr>
            <w:spacing w:val="-10"/>
          </w:rPr>
          <w:t> </w:t>
        </w:r>
        <w:r>
          <w:rPr/>
          <w:t>electoral</w:t>
        </w:r>
        <w:r>
          <w:rPr>
            <w:spacing w:val="-3"/>
          </w:rPr>
          <w:t> </w:t>
        </w:r>
        <w:r>
          <w:rPr/>
          <w:t>roll</w:t>
          <w:tab/>
          <w:t>13</w:t>
        </w:r>
      </w:hyperlink>
    </w:p>
    <w:p>
      <w:pPr>
        <w:pStyle w:val="BodyText"/>
        <w:tabs>
          <w:tab w:pos="9661" w:val="right" w:leader="dot"/>
        </w:tabs>
        <w:spacing w:before="41"/>
        <w:ind w:left="1831"/>
      </w:pPr>
      <w:hyperlink w:history="true" w:anchor="_bookmark15">
        <w:r>
          <w:rPr/>
          <w:t>Determination of liability for</w:t>
        </w:r>
        <w:r>
          <w:rPr>
            <w:spacing w:val="-9"/>
          </w:rPr>
          <w:t> </w:t>
        </w:r>
        <w:r>
          <w:rPr/>
          <w:t>jury</w:t>
        </w:r>
        <w:r>
          <w:rPr>
            <w:spacing w:val="-2"/>
          </w:rPr>
          <w:t> </w:t>
        </w:r>
        <w:r>
          <w:rPr/>
          <w:t>service</w:t>
          <w:tab/>
          <w:t>13</w:t>
        </w:r>
      </w:hyperlink>
    </w:p>
    <w:p>
      <w:pPr>
        <w:pStyle w:val="BodyText"/>
        <w:tabs>
          <w:tab w:pos="9666" w:val="right" w:leader="dot"/>
        </w:tabs>
        <w:spacing w:before="42"/>
        <w:ind w:left="1831"/>
      </w:pPr>
      <w:hyperlink w:history="true" w:anchor="_bookmark16">
        <w:r>
          <w:rPr/>
          <w:t>Summons</w:t>
          <w:tab/>
        </w:r>
        <w:r>
          <w:rPr>
            <w:spacing w:val="5"/>
          </w:rPr>
          <w:t>14</w:t>
        </w:r>
      </w:hyperlink>
    </w:p>
    <w:p>
      <w:pPr>
        <w:spacing w:before="509"/>
        <w:ind w:left="0" w:right="321" w:firstLine="0"/>
        <w:jc w:val="right"/>
        <w:rPr>
          <w:b/>
          <w:sz w:val="24"/>
        </w:rPr>
      </w:pPr>
      <w:r>
        <w:rPr>
          <w:b/>
          <w:color w:val="37617A"/>
          <w:sz w:val="24"/>
        </w:rPr>
        <w:t>iii</w:t>
      </w:r>
    </w:p>
    <w:p>
      <w:pPr>
        <w:spacing w:after="0"/>
        <w:jc w:val="right"/>
        <w:rPr>
          <w:sz w:val="24"/>
        </w:rPr>
        <w:sectPr>
          <w:pgSz w:w="11910" w:h="16840"/>
          <w:pgMar w:header="0" w:footer="0" w:top="840" w:bottom="280" w:left="620" w:right="380"/>
        </w:sectPr>
      </w:pPr>
    </w:p>
    <w:p>
      <w:pPr>
        <w:pStyle w:val="BodyText"/>
        <w:rPr>
          <w:b/>
          <w:sz w:val="22"/>
        </w:rPr>
      </w:pPr>
    </w:p>
    <w:p>
      <w:pPr>
        <w:pStyle w:val="BodyText"/>
        <w:rPr>
          <w:b/>
          <w:sz w:val="22"/>
        </w:rPr>
      </w:pPr>
    </w:p>
    <w:p>
      <w:pPr>
        <w:pStyle w:val="BodyText"/>
        <w:spacing w:before="12"/>
        <w:rPr>
          <w:b/>
          <w:sz w:val="31"/>
        </w:rPr>
      </w:pPr>
    </w:p>
    <w:p>
      <w:pPr>
        <w:pStyle w:val="BodyText"/>
        <w:tabs>
          <w:tab w:pos="9462" w:val="left" w:leader="dot"/>
        </w:tabs>
        <w:ind w:left="1831"/>
      </w:pPr>
      <w:hyperlink w:history="true" w:anchor="_bookmark16">
        <w:r>
          <w:rPr/>
          <w:t>The</w:t>
        </w:r>
        <w:r>
          <w:rPr>
            <w:spacing w:val="-2"/>
          </w:rPr>
          <w:t> </w:t>
        </w:r>
        <w:r>
          <w:rPr/>
          <w:t>jury</w:t>
        </w:r>
        <w:r>
          <w:rPr>
            <w:spacing w:val="-2"/>
          </w:rPr>
          <w:t> </w:t>
        </w:r>
        <w:r>
          <w:rPr/>
          <w:t>pool</w:t>
          <w:tab/>
        </w:r>
        <w:r>
          <w:rPr>
            <w:spacing w:val="5"/>
          </w:rPr>
          <w:t>14</w:t>
        </w:r>
      </w:hyperlink>
    </w:p>
    <w:p>
      <w:pPr>
        <w:pStyle w:val="BodyText"/>
        <w:tabs>
          <w:tab w:pos="9664" w:val="right" w:leader="dot"/>
        </w:tabs>
        <w:spacing w:before="42"/>
        <w:ind w:left="1831"/>
      </w:pPr>
      <w:hyperlink w:history="true" w:anchor="_bookmark17">
        <w:r>
          <w:rPr/>
          <w:t>Random selection from the</w:t>
        </w:r>
        <w:r>
          <w:rPr>
            <w:spacing w:val="-9"/>
          </w:rPr>
          <w:t> </w:t>
        </w:r>
        <w:r>
          <w:rPr/>
          <w:t>jury</w:t>
        </w:r>
        <w:r>
          <w:rPr>
            <w:spacing w:val="-2"/>
          </w:rPr>
          <w:t> </w:t>
        </w:r>
        <w:r>
          <w:rPr/>
          <w:t>panel</w:t>
          <w:tab/>
          <w:t>15</w:t>
        </w:r>
      </w:hyperlink>
    </w:p>
    <w:p>
      <w:pPr>
        <w:pStyle w:val="BodyText"/>
        <w:tabs>
          <w:tab w:pos="9659" w:val="right" w:leader="dot"/>
        </w:tabs>
        <w:spacing w:before="41"/>
        <w:ind w:left="1831"/>
      </w:pPr>
      <w:hyperlink w:history="true" w:anchor="_bookmark18">
        <w:r>
          <w:rPr/>
          <w:t>People who are</w:t>
        </w:r>
        <w:r>
          <w:rPr>
            <w:spacing w:val="-7"/>
          </w:rPr>
          <w:t> </w:t>
        </w:r>
        <w:r>
          <w:rPr/>
          <w:t>not</w:t>
        </w:r>
        <w:r>
          <w:rPr>
            <w:spacing w:val="-2"/>
          </w:rPr>
          <w:t> </w:t>
        </w:r>
        <w:r>
          <w:rPr/>
          <w:t>selected</w:t>
          <w:tab/>
        </w:r>
        <w:r>
          <w:rPr>
            <w:spacing w:val="-3"/>
          </w:rPr>
          <w:t>16</w:t>
        </w:r>
      </w:hyperlink>
    </w:p>
    <w:p>
      <w:pPr>
        <w:pStyle w:val="BodyText"/>
        <w:tabs>
          <w:tab w:pos="9659" w:val="right" w:leader="dot"/>
        </w:tabs>
        <w:spacing w:before="42"/>
        <w:ind w:left="1832"/>
      </w:pPr>
      <w:hyperlink w:history="true" w:anchor="_bookmark18">
        <w:r>
          <w:rPr/>
          <w:t>People in the</w:t>
        </w:r>
        <w:r>
          <w:rPr>
            <w:spacing w:val="-7"/>
          </w:rPr>
          <w:t> </w:t>
        </w:r>
        <w:r>
          <w:rPr/>
          <w:t>subject</w:t>
        </w:r>
        <w:r>
          <w:rPr>
            <w:spacing w:val="-2"/>
          </w:rPr>
          <w:t> </w:t>
        </w:r>
        <w:r>
          <w:rPr/>
          <w:t>groups</w:t>
          <w:tab/>
        </w:r>
        <w:r>
          <w:rPr>
            <w:spacing w:val="-3"/>
          </w:rPr>
          <w:t>16</w:t>
        </w:r>
      </w:hyperlink>
    </w:p>
    <w:p>
      <w:pPr>
        <w:pStyle w:val="Heading8"/>
        <w:numPr>
          <w:ilvl w:val="0"/>
          <w:numId w:val="1"/>
        </w:numPr>
        <w:tabs>
          <w:tab w:pos="1322" w:val="left" w:leader="none"/>
          <w:tab w:pos="9660" w:val="right" w:leader="dot"/>
        </w:tabs>
        <w:spacing w:line="240" w:lineRule="auto" w:before="41" w:after="0"/>
        <w:ind w:left="1321" w:right="0" w:hanging="340"/>
        <w:jc w:val="left"/>
      </w:pPr>
      <w:hyperlink w:history="true" w:anchor="_bookmark19">
        <w:r>
          <w:rPr>
            <w:color w:val="37617A"/>
          </w:rPr>
          <w:t>People who are </w:t>
        </w:r>
        <w:r>
          <w:rPr>
            <w:color w:val="37617A"/>
            <w:spacing w:val="-3"/>
          </w:rPr>
          <w:t>deaf, </w:t>
        </w:r>
        <w:r>
          <w:rPr>
            <w:color w:val="37617A"/>
          </w:rPr>
          <w:t>hard of hearing, blind or </w:t>
        </w:r>
        <w:r>
          <w:rPr>
            <w:color w:val="37617A"/>
            <w:spacing w:val="-3"/>
          </w:rPr>
          <w:t>have </w:t>
        </w:r>
        <w:r>
          <w:rPr>
            <w:color w:val="37617A"/>
          </w:rPr>
          <w:t>low vision in</w:t>
        </w:r>
        <w:r>
          <w:rPr>
            <w:color w:val="37617A"/>
            <w:spacing w:val="-29"/>
          </w:rPr>
          <w:t> </w:t>
        </w:r>
        <w:r>
          <w:rPr>
            <w:color w:val="37617A"/>
          </w:rPr>
          <w:t>our</w:t>
        </w:r>
        <w:r>
          <w:rPr>
            <w:color w:val="37617A"/>
            <w:spacing w:val="-3"/>
          </w:rPr>
          <w:t> </w:t>
        </w:r>
        <w:r>
          <w:rPr>
            <w:color w:val="37617A"/>
          </w:rPr>
          <w:t>community</w:t>
          <w:tab/>
          <w:t>18</w:t>
        </w:r>
      </w:hyperlink>
    </w:p>
    <w:p>
      <w:pPr>
        <w:pStyle w:val="BodyText"/>
        <w:tabs>
          <w:tab w:pos="9659" w:val="right" w:leader="dot"/>
        </w:tabs>
        <w:spacing w:before="47"/>
        <w:ind w:left="1548"/>
      </w:pPr>
      <w:hyperlink w:history="true" w:anchor="_bookmark19">
        <w:r>
          <w:rPr/>
          <w:t>Overview</w:t>
          <w:tab/>
          <w:t>18</w:t>
        </w:r>
      </w:hyperlink>
    </w:p>
    <w:p>
      <w:pPr>
        <w:pStyle w:val="BodyText"/>
        <w:tabs>
          <w:tab w:pos="9659" w:val="right" w:leader="dot"/>
        </w:tabs>
        <w:spacing w:before="48"/>
        <w:ind w:left="1548"/>
      </w:pPr>
      <w:hyperlink w:history="true" w:anchor="_bookmark19">
        <w:r>
          <w:rPr/>
          <w:t>A note on</w:t>
        </w:r>
        <w:r>
          <w:rPr>
            <w:spacing w:val="-7"/>
          </w:rPr>
          <w:t> </w:t>
        </w:r>
        <w:r>
          <w:rPr/>
          <w:t>population</w:t>
        </w:r>
        <w:r>
          <w:rPr>
            <w:spacing w:val="-2"/>
          </w:rPr>
          <w:t> </w:t>
        </w:r>
        <w:r>
          <w:rPr/>
          <w:t>data</w:t>
          <w:tab/>
          <w:t>18</w:t>
        </w:r>
      </w:hyperlink>
    </w:p>
    <w:p>
      <w:pPr>
        <w:pStyle w:val="BodyText"/>
        <w:tabs>
          <w:tab w:pos="9659" w:val="right" w:leader="dot"/>
        </w:tabs>
        <w:spacing w:before="47"/>
        <w:ind w:left="1548"/>
      </w:pPr>
      <w:hyperlink w:history="true" w:anchor="_bookmark19">
        <w:r>
          <w:rPr/>
          <w:t>People who are blind or </w:t>
        </w:r>
        <w:r>
          <w:rPr>
            <w:spacing w:val="-3"/>
          </w:rPr>
          <w:t>have</w:t>
        </w:r>
        <w:r>
          <w:rPr>
            <w:spacing w:val="-14"/>
          </w:rPr>
          <w:t> </w:t>
        </w:r>
        <w:r>
          <w:rPr>
            <w:spacing w:val="-3"/>
          </w:rPr>
          <w:t>low</w:t>
        </w:r>
        <w:r>
          <w:rPr>
            <w:spacing w:val="-2"/>
          </w:rPr>
          <w:t> </w:t>
        </w:r>
        <w:r>
          <w:rPr/>
          <w:t>vision</w:t>
          <w:tab/>
          <w:t>18</w:t>
        </w:r>
      </w:hyperlink>
    </w:p>
    <w:p>
      <w:pPr>
        <w:pStyle w:val="BodyText"/>
        <w:tabs>
          <w:tab w:pos="9659" w:val="right" w:leader="dot"/>
        </w:tabs>
        <w:spacing w:before="48"/>
        <w:ind w:left="1548"/>
      </w:pPr>
      <w:hyperlink w:history="true" w:anchor="_bookmark20">
        <w:r>
          <w:rPr/>
          <w:t>People who are deaf or hard</w:t>
        </w:r>
        <w:r>
          <w:rPr>
            <w:spacing w:val="-14"/>
          </w:rPr>
          <w:t> </w:t>
        </w:r>
        <w:r>
          <w:rPr/>
          <w:t>of</w:t>
        </w:r>
        <w:r>
          <w:rPr>
            <w:spacing w:val="-2"/>
          </w:rPr>
          <w:t> </w:t>
        </w:r>
        <w:r>
          <w:rPr/>
          <w:t>hearing</w:t>
          <w:tab/>
          <w:t>19</w:t>
        </w:r>
      </w:hyperlink>
    </w:p>
    <w:p>
      <w:pPr>
        <w:pStyle w:val="BodyText"/>
        <w:tabs>
          <w:tab w:pos="9659" w:val="right" w:leader="dot"/>
        </w:tabs>
        <w:spacing w:before="41"/>
        <w:ind w:left="1831"/>
      </w:pPr>
      <w:hyperlink w:history="true" w:anchor="_bookmark20">
        <w:r>
          <w:rPr/>
          <w:t>Australian Sign</w:t>
        </w:r>
        <w:r>
          <w:rPr>
            <w:spacing w:val="-5"/>
          </w:rPr>
          <w:t> </w:t>
        </w:r>
        <w:r>
          <w:rPr/>
          <w:t>Language</w:t>
        </w:r>
        <w:r>
          <w:rPr>
            <w:spacing w:val="-2"/>
          </w:rPr>
          <w:t> </w:t>
        </w:r>
        <w:r>
          <w:rPr/>
          <w:t>(Auslan)</w:t>
          <w:tab/>
          <w:t>19</w:t>
        </w:r>
      </w:hyperlink>
    </w:p>
    <w:p>
      <w:pPr>
        <w:pStyle w:val="BodyText"/>
        <w:tabs>
          <w:tab w:pos="9658" w:val="right" w:leader="dot"/>
        </w:tabs>
        <w:spacing w:before="42"/>
        <w:ind w:left="1831"/>
      </w:pPr>
      <w:hyperlink w:history="true" w:anchor="_bookmark21">
        <w:r>
          <w:rPr/>
          <w:t>Deaf</w:t>
        </w:r>
        <w:r>
          <w:rPr>
            <w:spacing w:val="-3"/>
          </w:rPr>
          <w:t> </w:t>
        </w:r>
        <w:r>
          <w:rPr/>
          <w:t>Interpreters</w:t>
          <w:tab/>
        </w:r>
        <w:r>
          <w:rPr>
            <w:spacing w:val="-3"/>
          </w:rPr>
          <w:t>20</w:t>
        </w:r>
      </w:hyperlink>
    </w:p>
    <w:p>
      <w:pPr>
        <w:pStyle w:val="BodyText"/>
        <w:tabs>
          <w:tab w:pos="9658" w:val="right" w:leader="dot"/>
        </w:tabs>
        <w:spacing w:before="47"/>
        <w:ind w:left="1548"/>
      </w:pPr>
      <w:hyperlink w:history="true" w:anchor="_bookmark21">
        <w:r>
          <w:rPr/>
          <w:t>Aboriginal people in the</w:t>
        </w:r>
        <w:r>
          <w:rPr>
            <w:spacing w:val="-9"/>
          </w:rPr>
          <w:t> </w:t>
        </w:r>
        <w:r>
          <w:rPr/>
          <w:t>subject</w:t>
        </w:r>
        <w:r>
          <w:rPr>
            <w:spacing w:val="-3"/>
          </w:rPr>
          <w:t> </w:t>
        </w:r>
        <w:r>
          <w:rPr/>
          <w:t>groups</w:t>
          <w:tab/>
        </w:r>
        <w:r>
          <w:rPr>
            <w:spacing w:val="-3"/>
          </w:rPr>
          <w:t>20</w:t>
        </w:r>
      </w:hyperlink>
    </w:p>
    <w:p>
      <w:pPr>
        <w:pStyle w:val="Heading8"/>
        <w:numPr>
          <w:ilvl w:val="0"/>
          <w:numId w:val="1"/>
        </w:numPr>
        <w:tabs>
          <w:tab w:pos="1322" w:val="left" w:leader="none"/>
          <w:tab w:pos="9661" w:val="right" w:leader="dot"/>
        </w:tabs>
        <w:spacing w:line="240" w:lineRule="auto" w:before="41" w:after="0"/>
        <w:ind w:left="1321" w:right="0" w:hanging="340"/>
        <w:jc w:val="left"/>
      </w:pPr>
      <w:hyperlink w:history="true" w:anchor="_bookmark22">
        <w:r>
          <w:rPr>
            <w:color w:val="37617A"/>
          </w:rPr>
          <w:t>Barriers to</w:t>
        </w:r>
        <w:r>
          <w:rPr>
            <w:color w:val="37617A"/>
            <w:spacing w:val="-5"/>
          </w:rPr>
          <w:t> </w:t>
        </w:r>
        <w:r>
          <w:rPr>
            <w:color w:val="37617A"/>
          </w:rPr>
          <w:t>inclusive</w:t>
        </w:r>
        <w:r>
          <w:rPr>
            <w:color w:val="37617A"/>
            <w:spacing w:val="-2"/>
          </w:rPr>
          <w:t> </w:t>
        </w:r>
        <w:r>
          <w:rPr>
            <w:color w:val="37617A"/>
          </w:rPr>
          <w:t>juries</w:t>
          <w:tab/>
          <w:t>22</w:t>
        </w:r>
      </w:hyperlink>
    </w:p>
    <w:p>
      <w:pPr>
        <w:pStyle w:val="BodyText"/>
        <w:tabs>
          <w:tab w:pos="9661" w:val="right" w:leader="dot"/>
        </w:tabs>
        <w:spacing w:before="48"/>
        <w:ind w:left="1548"/>
      </w:pPr>
      <w:hyperlink w:history="true" w:anchor="_bookmark22">
        <w:r>
          <w:rPr/>
          <w:t>Overview</w:t>
          <w:tab/>
          <w:t>22</w:t>
        </w:r>
      </w:hyperlink>
    </w:p>
    <w:p>
      <w:pPr>
        <w:pStyle w:val="BodyText"/>
        <w:tabs>
          <w:tab w:pos="9661" w:val="right" w:leader="dot"/>
        </w:tabs>
        <w:spacing w:before="47"/>
        <w:ind w:left="1548"/>
      </w:pPr>
      <w:hyperlink w:history="true" w:anchor="_bookmark22">
        <w:r>
          <w:rPr/>
          <w:t>How the law and practices</w:t>
        </w:r>
        <w:r>
          <w:rPr>
            <w:spacing w:val="-12"/>
          </w:rPr>
          <w:t> </w:t>
        </w:r>
        <w:r>
          <w:rPr/>
          <w:t>exclude</w:t>
        </w:r>
        <w:r>
          <w:rPr>
            <w:spacing w:val="-3"/>
          </w:rPr>
          <w:t> </w:t>
        </w:r>
        <w:r>
          <w:rPr/>
          <w:t>people</w:t>
          <w:tab/>
          <w:t>22</w:t>
        </w:r>
      </w:hyperlink>
    </w:p>
    <w:p>
      <w:pPr>
        <w:pStyle w:val="BodyText"/>
        <w:tabs>
          <w:tab w:pos="9661" w:val="right" w:leader="dot"/>
        </w:tabs>
        <w:spacing w:before="42"/>
        <w:ind w:left="1831"/>
      </w:pPr>
      <w:hyperlink w:history="true" w:anchor="_bookmark22">
        <w:r>
          <w:rPr/>
          <w:t>Limitations in the</w:t>
        </w:r>
        <w:r>
          <w:rPr>
            <w:spacing w:val="-7"/>
          </w:rPr>
          <w:t> </w:t>
        </w:r>
        <w:r>
          <w:rPr/>
          <w:t>Juries</w:t>
        </w:r>
        <w:r>
          <w:rPr>
            <w:spacing w:val="-2"/>
          </w:rPr>
          <w:t> </w:t>
        </w:r>
        <w:r>
          <w:rPr/>
          <w:t>Act</w:t>
          <w:tab/>
          <w:t>22</w:t>
        </w:r>
      </w:hyperlink>
    </w:p>
    <w:p>
      <w:pPr>
        <w:pStyle w:val="BodyText"/>
        <w:tabs>
          <w:tab w:pos="9659" w:val="right" w:leader="dot"/>
        </w:tabs>
        <w:spacing w:before="41"/>
        <w:ind w:left="1831"/>
      </w:pPr>
      <w:hyperlink w:history="true" w:anchor="_bookmark23">
        <w:r>
          <w:rPr/>
          <w:t>The ‘13th</w:t>
        </w:r>
        <w:r>
          <w:rPr>
            <w:spacing w:val="-5"/>
          </w:rPr>
          <w:t> </w:t>
        </w:r>
        <w:r>
          <w:rPr/>
          <w:t>person</w:t>
        </w:r>
        <w:r>
          <w:rPr>
            <w:spacing w:val="-2"/>
          </w:rPr>
          <w:t> </w:t>
        </w:r>
        <w:r>
          <w:rPr/>
          <w:t>rule’</w:t>
          <w:tab/>
          <w:t>23</w:t>
        </w:r>
      </w:hyperlink>
    </w:p>
    <w:p>
      <w:pPr>
        <w:pStyle w:val="BodyText"/>
        <w:tabs>
          <w:tab w:pos="9661" w:val="right" w:leader="dot"/>
        </w:tabs>
        <w:spacing w:before="42"/>
        <w:ind w:left="1831"/>
      </w:pPr>
      <w:hyperlink w:history="true" w:anchor="_bookmark24">
        <w:r>
          <w:rPr/>
          <w:t>There are too many barriers to</w:t>
        </w:r>
        <w:r>
          <w:rPr>
            <w:spacing w:val="-14"/>
          </w:rPr>
          <w:t> </w:t>
        </w:r>
        <w:r>
          <w:rPr/>
          <w:t>jury</w:t>
        </w:r>
        <w:r>
          <w:rPr>
            <w:spacing w:val="-3"/>
          </w:rPr>
          <w:t> </w:t>
        </w:r>
        <w:r>
          <w:rPr/>
          <w:t>service</w:t>
          <w:tab/>
          <w:t>25</w:t>
        </w:r>
      </w:hyperlink>
    </w:p>
    <w:p>
      <w:pPr>
        <w:pStyle w:val="BodyText"/>
        <w:tabs>
          <w:tab w:pos="9661" w:val="right" w:leader="dot"/>
        </w:tabs>
        <w:spacing w:before="47"/>
        <w:ind w:left="1548"/>
      </w:pPr>
      <w:hyperlink w:history="true" w:anchor="_bookmark24">
        <w:r>
          <w:rPr/>
          <w:t>Removing potential jurors</w:t>
        </w:r>
        <w:r>
          <w:rPr>
            <w:spacing w:val="-8"/>
          </w:rPr>
          <w:t> </w:t>
        </w:r>
        <w:r>
          <w:rPr/>
          <w:t>through</w:t>
        </w:r>
        <w:r>
          <w:rPr>
            <w:spacing w:val="-3"/>
          </w:rPr>
          <w:t> </w:t>
        </w:r>
        <w:r>
          <w:rPr/>
          <w:t>challenges</w:t>
          <w:tab/>
          <w:t>25</w:t>
        </w:r>
      </w:hyperlink>
    </w:p>
    <w:p>
      <w:pPr>
        <w:pStyle w:val="BodyText"/>
        <w:tabs>
          <w:tab w:pos="9660" w:val="right" w:leader="dot"/>
        </w:tabs>
        <w:spacing w:before="48"/>
        <w:ind w:left="1548"/>
      </w:pPr>
      <w:hyperlink w:history="true" w:anchor="_bookmark25">
        <w:r>
          <w:rPr/>
          <w:t>Additional barriers to jury service for</w:t>
        </w:r>
        <w:r>
          <w:rPr>
            <w:spacing w:val="-15"/>
          </w:rPr>
          <w:t> </w:t>
        </w:r>
        <w:r>
          <w:rPr/>
          <w:t>Aboriginal</w:t>
        </w:r>
        <w:r>
          <w:rPr>
            <w:spacing w:val="-2"/>
          </w:rPr>
          <w:t> </w:t>
        </w:r>
        <w:r>
          <w:rPr/>
          <w:t>people</w:t>
          <w:tab/>
          <w:t>26</w:t>
        </w:r>
      </w:hyperlink>
    </w:p>
    <w:p>
      <w:pPr>
        <w:pStyle w:val="BodyText"/>
        <w:tabs>
          <w:tab w:pos="9660" w:val="right" w:leader="dot"/>
        </w:tabs>
        <w:spacing w:before="41"/>
        <w:ind w:left="1832"/>
      </w:pPr>
      <w:hyperlink w:history="true" w:anchor="_bookmark25">
        <w:r>
          <w:rPr/>
          <w:t>Aboriginal people’s access to</w:t>
        </w:r>
        <w:r>
          <w:rPr>
            <w:spacing w:val="-10"/>
          </w:rPr>
          <w:t> </w:t>
        </w:r>
        <w:r>
          <w:rPr/>
          <w:t>disability</w:t>
        </w:r>
        <w:r>
          <w:rPr>
            <w:spacing w:val="-2"/>
          </w:rPr>
          <w:t> </w:t>
        </w:r>
        <w:r>
          <w:rPr/>
          <w:t>services</w:t>
          <w:tab/>
          <w:t>26</w:t>
        </w:r>
      </w:hyperlink>
    </w:p>
    <w:p>
      <w:pPr>
        <w:pStyle w:val="BodyText"/>
        <w:spacing w:line="256" w:lineRule="exact" w:before="41"/>
        <w:ind w:left="1832"/>
      </w:pPr>
      <w:hyperlink w:history="true" w:anchor="_bookmark25">
        <w:r>
          <w:rPr/>
          <w:t>Higher rates of incarceration may mean that fewer Aboriginal people</w:t>
        </w:r>
      </w:hyperlink>
    </w:p>
    <w:p>
      <w:pPr>
        <w:pStyle w:val="BodyText"/>
        <w:tabs>
          <w:tab w:pos="9660" w:val="right" w:leader="dot"/>
        </w:tabs>
        <w:spacing w:line="256" w:lineRule="exact"/>
        <w:ind w:left="1832"/>
      </w:pPr>
      <w:hyperlink w:history="true" w:anchor="_bookmark25">
        <w:r>
          <w:rPr/>
          <w:t>are eligible to</w:t>
        </w:r>
        <w:r>
          <w:rPr>
            <w:spacing w:val="-7"/>
          </w:rPr>
          <w:t> </w:t>
        </w:r>
        <w:r>
          <w:rPr/>
          <w:t>be</w:t>
        </w:r>
        <w:r>
          <w:rPr>
            <w:spacing w:val="-2"/>
          </w:rPr>
          <w:t> </w:t>
        </w:r>
        <w:r>
          <w:rPr/>
          <w:t>jurors</w:t>
          <w:tab/>
          <w:t>26</w:t>
        </w:r>
      </w:hyperlink>
    </w:p>
    <w:p>
      <w:pPr>
        <w:pStyle w:val="BodyText"/>
        <w:tabs>
          <w:tab w:pos="9657" w:val="right" w:leader="dot"/>
        </w:tabs>
        <w:spacing w:before="42"/>
        <w:ind w:left="1832"/>
      </w:pPr>
      <w:hyperlink w:history="true" w:anchor="_bookmark26">
        <w:r>
          <w:rPr/>
          <w:t>Aboriginal people may be wary about participating in the</w:t>
        </w:r>
        <w:r>
          <w:rPr>
            <w:spacing w:val="-28"/>
          </w:rPr>
          <w:t> </w:t>
        </w:r>
        <w:r>
          <w:rPr/>
          <w:t>justice</w:t>
        </w:r>
        <w:r>
          <w:rPr>
            <w:spacing w:val="-4"/>
          </w:rPr>
          <w:t> </w:t>
        </w:r>
        <w:r>
          <w:rPr/>
          <w:t>system</w:t>
          <w:tab/>
        </w:r>
        <w:r>
          <w:rPr>
            <w:spacing w:val="-4"/>
          </w:rPr>
          <w:t>27</w:t>
        </w:r>
      </w:hyperlink>
    </w:p>
    <w:p>
      <w:pPr>
        <w:pStyle w:val="Heading8"/>
        <w:numPr>
          <w:ilvl w:val="0"/>
          <w:numId w:val="1"/>
        </w:numPr>
        <w:tabs>
          <w:tab w:pos="1322" w:val="left" w:leader="none"/>
          <w:tab w:pos="9661" w:val="right" w:leader="dot"/>
        </w:tabs>
        <w:spacing w:line="240" w:lineRule="auto" w:before="41" w:after="0"/>
        <w:ind w:left="1321" w:right="0" w:hanging="340"/>
        <w:jc w:val="left"/>
      </w:pPr>
      <w:hyperlink w:history="true" w:anchor="_bookmark27">
        <w:r>
          <w:rPr>
            <w:color w:val="37617A"/>
          </w:rPr>
          <w:t>The slow road to</w:t>
        </w:r>
        <w:r>
          <w:rPr>
            <w:color w:val="37617A"/>
            <w:spacing w:val="-9"/>
          </w:rPr>
          <w:t> </w:t>
        </w:r>
        <w:r>
          <w:rPr>
            <w:color w:val="37617A"/>
          </w:rPr>
          <w:t>inclusive</w:t>
        </w:r>
        <w:r>
          <w:rPr>
            <w:color w:val="37617A"/>
            <w:spacing w:val="-2"/>
          </w:rPr>
          <w:t> </w:t>
        </w:r>
        <w:r>
          <w:rPr>
            <w:color w:val="37617A"/>
          </w:rPr>
          <w:t>juries</w:t>
          <w:tab/>
          <w:t>30</w:t>
        </w:r>
      </w:hyperlink>
    </w:p>
    <w:p>
      <w:pPr>
        <w:pStyle w:val="BodyText"/>
        <w:tabs>
          <w:tab w:pos="9661" w:val="right" w:leader="dot"/>
        </w:tabs>
        <w:spacing w:before="48"/>
        <w:ind w:left="1548"/>
      </w:pPr>
      <w:hyperlink w:history="true" w:anchor="_bookmark27">
        <w:r>
          <w:rPr/>
          <w:t>Overview</w:t>
          <w:tab/>
          <w:t>30</w:t>
        </w:r>
      </w:hyperlink>
    </w:p>
    <w:p>
      <w:pPr>
        <w:pStyle w:val="BodyText"/>
        <w:tabs>
          <w:tab w:pos="9661" w:val="right" w:leader="dot"/>
        </w:tabs>
        <w:spacing w:before="47"/>
        <w:ind w:left="1548"/>
      </w:pPr>
      <w:hyperlink w:history="true" w:anchor="_bookmark27">
        <w:r>
          <w:rPr/>
          <w:t>The evolution of</w:t>
        </w:r>
        <w:r>
          <w:rPr>
            <w:spacing w:val="-7"/>
          </w:rPr>
          <w:t> </w:t>
        </w:r>
        <w:r>
          <w:rPr/>
          <w:t>the</w:t>
        </w:r>
        <w:r>
          <w:rPr>
            <w:spacing w:val="-2"/>
          </w:rPr>
          <w:t> </w:t>
        </w:r>
        <w:r>
          <w:rPr/>
          <w:t>jury</w:t>
          <w:tab/>
          <w:t>30</w:t>
        </w:r>
      </w:hyperlink>
    </w:p>
    <w:p>
      <w:pPr>
        <w:pStyle w:val="BodyText"/>
        <w:tabs>
          <w:tab w:pos="9660" w:val="right" w:leader="dot"/>
        </w:tabs>
        <w:spacing w:before="42"/>
        <w:ind w:left="1831"/>
      </w:pPr>
      <w:hyperlink w:history="true" w:anchor="_bookmark28">
        <w:r>
          <w:rPr/>
          <w:t>Australia’s</w:t>
        </w:r>
        <w:r>
          <w:rPr>
            <w:spacing w:val="-3"/>
          </w:rPr>
          <w:t> </w:t>
        </w:r>
        <w:r>
          <w:rPr/>
          <w:t>first</w:t>
        </w:r>
        <w:r>
          <w:rPr>
            <w:spacing w:val="-2"/>
          </w:rPr>
          <w:t> </w:t>
        </w:r>
        <w:r>
          <w:rPr/>
          <w:t>juries</w:t>
          <w:tab/>
          <w:t>31</w:t>
        </w:r>
      </w:hyperlink>
    </w:p>
    <w:p>
      <w:pPr>
        <w:pStyle w:val="BodyText"/>
        <w:tabs>
          <w:tab w:pos="9661" w:val="right" w:leader="dot"/>
        </w:tabs>
        <w:spacing w:before="47"/>
        <w:ind w:left="1548"/>
      </w:pPr>
      <w:hyperlink w:history="true" w:anchor="_bookmark29">
        <w:r>
          <w:rPr/>
          <w:t>Eligibility to serve on a</w:t>
        </w:r>
        <w:r>
          <w:rPr>
            <w:spacing w:val="-11"/>
          </w:rPr>
          <w:t> </w:t>
        </w:r>
        <w:r>
          <w:rPr/>
          <w:t>Victorian</w:t>
        </w:r>
        <w:r>
          <w:rPr>
            <w:spacing w:val="-3"/>
          </w:rPr>
          <w:t> </w:t>
        </w:r>
        <w:r>
          <w:rPr/>
          <w:t>jury</w:t>
          <w:tab/>
          <w:t>32</w:t>
        </w:r>
      </w:hyperlink>
    </w:p>
    <w:p>
      <w:pPr>
        <w:pStyle w:val="BodyText"/>
        <w:tabs>
          <w:tab w:pos="9661" w:val="right" w:leader="dot"/>
        </w:tabs>
        <w:spacing w:before="41"/>
        <w:ind w:left="1831"/>
      </w:pPr>
      <w:hyperlink w:history="true" w:anchor="_bookmark30">
        <w:r>
          <w:rPr/>
          <w:t>The exclusion of</w:t>
        </w:r>
        <w:r>
          <w:rPr>
            <w:spacing w:val="-7"/>
          </w:rPr>
          <w:t> </w:t>
        </w:r>
        <w:r>
          <w:rPr/>
          <w:t>Aboriginal</w:t>
        </w:r>
        <w:r>
          <w:rPr>
            <w:spacing w:val="-3"/>
          </w:rPr>
          <w:t> </w:t>
        </w:r>
        <w:r>
          <w:rPr/>
          <w:t>people</w:t>
          <w:tab/>
          <w:t>33</w:t>
        </w:r>
      </w:hyperlink>
    </w:p>
    <w:p>
      <w:pPr>
        <w:pStyle w:val="BodyText"/>
        <w:tabs>
          <w:tab w:pos="9661" w:val="right" w:leader="dot"/>
        </w:tabs>
        <w:spacing w:before="48"/>
        <w:ind w:left="1548"/>
      </w:pPr>
      <w:hyperlink w:history="true" w:anchor="_bookmark30">
        <w:r>
          <w:rPr/>
          <w:t>A comparable reform: the inclusion</w:t>
        </w:r>
        <w:r>
          <w:rPr>
            <w:spacing w:val="-12"/>
          </w:rPr>
          <w:t> </w:t>
        </w:r>
        <w:r>
          <w:rPr/>
          <w:t>of</w:t>
        </w:r>
        <w:r>
          <w:rPr>
            <w:spacing w:val="-3"/>
          </w:rPr>
          <w:t> </w:t>
        </w:r>
        <w:r>
          <w:rPr/>
          <w:t>women</w:t>
          <w:tab/>
          <w:t>33</w:t>
        </w:r>
      </w:hyperlink>
    </w:p>
    <w:p>
      <w:pPr>
        <w:pStyle w:val="BodyText"/>
        <w:tabs>
          <w:tab w:pos="9664" w:val="right" w:leader="dot"/>
        </w:tabs>
        <w:spacing w:before="41"/>
        <w:ind w:left="1831"/>
      </w:pPr>
      <w:hyperlink w:history="true" w:anchor="_bookmark31">
        <w:r>
          <w:rPr/>
          <w:t>Generalisations and assumptions</w:t>
        </w:r>
        <w:r>
          <w:rPr>
            <w:spacing w:val="-7"/>
          </w:rPr>
          <w:t> </w:t>
        </w:r>
        <w:r>
          <w:rPr/>
          <w:t>about</w:t>
        </w:r>
        <w:r>
          <w:rPr>
            <w:spacing w:val="-2"/>
          </w:rPr>
          <w:t> </w:t>
        </w:r>
        <w:r>
          <w:rPr/>
          <w:t>abilities</w:t>
          <w:tab/>
        </w:r>
        <w:r>
          <w:rPr>
            <w:spacing w:val="3"/>
          </w:rPr>
          <w:t>34</w:t>
        </w:r>
      </w:hyperlink>
    </w:p>
    <w:p>
      <w:pPr>
        <w:pStyle w:val="BodyText"/>
        <w:tabs>
          <w:tab w:pos="9662" w:val="right" w:leader="dot"/>
        </w:tabs>
        <w:spacing w:before="42"/>
        <w:ind w:left="1831"/>
      </w:pPr>
      <w:hyperlink w:history="true" w:anchor="_bookmark32">
        <w:r>
          <w:rPr>
            <w:spacing w:val="-8"/>
          </w:rPr>
          <w:t>‘A </w:t>
        </w:r>
        <w:r>
          <w:rPr/>
          <w:t>lot of rot!’: logistical issues</w:t>
        </w:r>
        <w:r>
          <w:rPr>
            <w:spacing w:val="-6"/>
          </w:rPr>
          <w:t> </w:t>
        </w:r>
        <w:r>
          <w:rPr/>
          <w:t>and</w:t>
        </w:r>
        <w:r>
          <w:rPr>
            <w:spacing w:val="-2"/>
          </w:rPr>
          <w:t> </w:t>
        </w:r>
        <w:r>
          <w:rPr/>
          <w:t>costs</w:t>
          <w:tab/>
          <w:t>35</w:t>
        </w:r>
      </w:hyperlink>
    </w:p>
    <w:p>
      <w:pPr>
        <w:pStyle w:val="BodyText"/>
        <w:tabs>
          <w:tab w:pos="9664" w:val="right" w:leader="dot"/>
        </w:tabs>
        <w:spacing w:before="41"/>
        <w:ind w:left="1832"/>
      </w:pPr>
      <w:hyperlink w:history="true" w:anchor="_bookmark33">
        <w:r>
          <w:rPr/>
          <w:t>Voluntary or</w:t>
        </w:r>
        <w:r>
          <w:rPr>
            <w:spacing w:val="-5"/>
          </w:rPr>
          <w:t> </w:t>
        </w:r>
        <w:r>
          <w:rPr/>
          <w:t>compulsory</w:t>
        </w:r>
        <w:r>
          <w:rPr>
            <w:spacing w:val="-2"/>
          </w:rPr>
          <w:t> </w:t>
        </w:r>
        <w:r>
          <w:rPr/>
          <w:t>participation</w:t>
          <w:tab/>
          <w:t>36</w:t>
        </w:r>
      </w:hyperlink>
    </w:p>
    <w:p>
      <w:pPr>
        <w:pStyle w:val="BodyText"/>
        <w:tabs>
          <w:tab w:pos="9656" w:val="right" w:leader="dot"/>
        </w:tabs>
        <w:spacing w:before="48"/>
        <w:ind w:left="1548"/>
      </w:pPr>
      <w:hyperlink w:history="true" w:anchor="_bookmark34">
        <w:r>
          <w:rPr/>
          <w:t>The exclusion of people in the</w:t>
        </w:r>
        <w:r>
          <w:rPr>
            <w:spacing w:val="-15"/>
          </w:rPr>
          <w:t> </w:t>
        </w:r>
        <w:r>
          <w:rPr/>
          <w:t>subject</w:t>
        </w:r>
        <w:r>
          <w:rPr>
            <w:spacing w:val="-2"/>
          </w:rPr>
          <w:t> </w:t>
        </w:r>
        <w:r>
          <w:rPr/>
          <w:t>groups</w:t>
          <w:tab/>
        </w:r>
        <w:r>
          <w:rPr>
            <w:spacing w:val="-5"/>
          </w:rPr>
          <w:t>37</w:t>
        </w:r>
      </w:hyperlink>
    </w:p>
    <w:p>
      <w:pPr>
        <w:pStyle w:val="BodyText"/>
        <w:tabs>
          <w:tab w:pos="9656" w:val="right" w:leader="dot"/>
        </w:tabs>
        <w:spacing w:before="47"/>
        <w:ind w:left="1548"/>
      </w:pPr>
      <w:hyperlink w:history="true" w:anchor="_bookmark34">
        <w:r>
          <w:rPr/>
          <w:t>Community responses: support</w:t>
        </w:r>
        <w:r>
          <w:rPr>
            <w:spacing w:val="-7"/>
          </w:rPr>
          <w:t> </w:t>
        </w:r>
        <w:r>
          <w:rPr/>
          <w:t>for</w:t>
        </w:r>
        <w:r>
          <w:rPr>
            <w:spacing w:val="-2"/>
          </w:rPr>
          <w:t> </w:t>
        </w:r>
        <w:r>
          <w:rPr/>
          <w:t>reform</w:t>
          <w:tab/>
        </w:r>
        <w:r>
          <w:rPr>
            <w:spacing w:val="-5"/>
          </w:rPr>
          <w:t>37</w:t>
        </w:r>
      </w:hyperlink>
    </w:p>
    <w:p>
      <w:pPr>
        <w:pStyle w:val="BodyText"/>
        <w:tabs>
          <w:tab w:pos="9661" w:val="right" w:leader="dot"/>
        </w:tabs>
        <w:spacing w:before="48"/>
        <w:ind w:left="1548"/>
      </w:pPr>
      <w:hyperlink w:history="true" w:anchor="_bookmark35">
        <w:r>
          <w:rPr/>
          <w:t>Reform</w:t>
        </w:r>
        <w:r>
          <w:rPr>
            <w:spacing w:val="-2"/>
          </w:rPr>
          <w:t> </w:t>
        </w:r>
        <w:r>
          <w:rPr/>
          <w:t>is</w:t>
        </w:r>
        <w:r>
          <w:rPr>
            <w:spacing w:val="-2"/>
          </w:rPr>
          <w:t> </w:t>
        </w:r>
        <w:r>
          <w:rPr>
            <w:spacing w:val="-3"/>
          </w:rPr>
          <w:t>overdue</w:t>
          <w:tab/>
        </w:r>
        <w:r>
          <w:rPr/>
          <w:t>39</w:t>
        </w:r>
      </w:hyperlink>
    </w:p>
    <w:p>
      <w:pPr>
        <w:pStyle w:val="Heading8"/>
        <w:numPr>
          <w:ilvl w:val="0"/>
          <w:numId w:val="1"/>
        </w:numPr>
        <w:tabs>
          <w:tab w:pos="1322" w:val="left" w:leader="none"/>
          <w:tab w:pos="9660" w:val="right" w:leader="dot"/>
        </w:tabs>
        <w:spacing w:line="240" w:lineRule="auto" w:before="41" w:after="0"/>
        <w:ind w:left="1321" w:right="0" w:hanging="340"/>
        <w:jc w:val="left"/>
      </w:pPr>
      <w:hyperlink w:history="true" w:anchor="_bookmark36">
        <w:r>
          <w:rPr>
            <w:color w:val="37617A"/>
          </w:rPr>
          <w:t>International obligations about the rights of people</w:t>
        </w:r>
        <w:r>
          <w:rPr>
            <w:color w:val="37617A"/>
            <w:spacing w:val="-18"/>
          </w:rPr>
          <w:t> </w:t>
        </w:r>
        <w:r>
          <w:rPr>
            <w:color w:val="37617A"/>
          </w:rPr>
          <w:t>with</w:t>
        </w:r>
        <w:r>
          <w:rPr>
            <w:color w:val="37617A"/>
            <w:spacing w:val="-3"/>
          </w:rPr>
          <w:t> </w:t>
        </w:r>
        <w:r>
          <w:rPr>
            <w:color w:val="37617A"/>
          </w:rPr>
          <w:t>disabilities</w:t>
          <w:tab/>
          <w:t>42</w:t>
        </w:r>
      </w:hyperlink>
    </w:p>
    <w:p>
      <w:pPr>
        <w:pStyle w:val="BodyText"/>
        <w:tabs>
          <w:tab w:pos="9663" w:val="right" w:leader="dot"/>
        </w:tabs>
        <w:spacing w:before="47"/>
        <w:ind w:left="1548"/>
      </w:pPr>
      <w:hyperlink w:history="true" w:anchor="_bookmark36">
        <w:r>
          <w:rPr/>
          <w:t>Overview</w:t>
          <w:tab/>
          <w:t>42</w:t>
        </w:r>
      </w:hyperlink>
    </w:p>
    <w:p>
      <w:pPr>
        <w:pStyle w:val="BodyText"/>
        <w:tabs>
          <w:tab w:pos="9663" w:val="right" w:leader="dot"/>
        </w:tabs>
        <w:spacing w:before="48"/>
        <w:ind w:left="1548"/>
      </w:pPr>
      <w:hyperlink w:history="true" w:anchor="_bookmark36">
        <w:r>
          <w:rPr/>
          <w:t>Australia’s obligations under</w:t>
        </w:r>
        <w:r>
          <w:rPr>
            <w:spacing w:val="-8"/>
          </w:rPr>
          <w:t> </w:t>
        </w:r>
        <w:r>
          <w:rPr/>
          <w:t>international</w:t>
        </w:r>
        <w:r>
          <w:rPr>
            <w:spacing w:val="-2"/>
          </w:rPr>
          <w:t> </w:t>
        </w:r>
        <w:r>
          <w:rPr/>
          <w:t>law</w:t>
          <w:tab/>
          <w:t>42</w:t>
        </w:r>
      </w:hyperlink>
    </w:p>
    <w:p>
      <w:pPr>
        <w:pStyle w:val="BodyText"/>
        <w:tabs>
          <w:tab w:pos="9658" w:val="right" w:leader="dot"/>
        </w:tabs>
        <w:spacing w:before="47"/>
        <w:ind w:left="1548"/>
      </w:pPr>
      <w:hyperlink w:history="true" w:anchor="_bookmark37">
        <w:r>
          <w:rPr/>
          <w:t>Implementation of the CRPD</w:t>
        </w:r>
        <w:r>
          <w:rPr>
            <w:spacing w:val="-10"/>
          </w:rPr>
          <w:t> </w:t>
        </w:r>
        <w:r>
          <w:rPr/>
          <w:t>in</w:t>
        </w:r>
        <w:r>
          <w:rPr>
            <w:spacing w:val="-2"/>
          </w:rPr>
          <w:t> </w:t>
        </w:r>
        <w:r>
          <w:rPr/>
          <w:t>Australia</w:t>
          <w:tab/>
        </w:r>
        <w:r>
          <w:rPr>
            <w:spacing w:val="-4"/>
          </w:rPr>
          <w:t>43</w:t>
        </w:r>
      </w:hyperlink>
    </w:p>
    <w:p>
      <w:pPr>
        <w:pStyle w:val="BodyText"/>
        <w:tabs>
          <w:tab w:pos="9666" w:val="right" w:leader="dot"/>
        </w:tabs>
        <w:spacing w:before="42"/>
        <w:ind w:left="1832"/>
      </w:pPr>
      <w:hyperlink w:history="true" w:anchor="_bookmark38">
        <w:r>
          <w:rPr/>
          <w:t>CRPD rights </w:t>
        </w:r>
        <w:r>
          <w:rPr>
            <w:spacing w:val="-3"/>
          </w:rPr>
          <w:t>relevant </w:t>
        </w:r>
        <w:r>
          <w:rPr/>
          <w:t>to</w:t>
        </w:r>
        <w:r>
          <w:rPr>
            <w:spacing w:val="-7"/>
          </w:rPr>
          <w:t> </w:t>
        </w:r>
        <w:r>
          <w:rPr/>
          <w:t>inclusive</w:t>
        </w:r>
        <w:r>
          <w:rPr>
            <w:spacing w:val="-2"/>
          </w:rPr>
          <w:t> </w:t>
        </w:r>
        <w:r>
          <w:rPr/>
          <w:t>juries</w:t>
          <w:tab/>
        </w:r>
        <w:r>
          <w:rPr>
            <w:spacing w:val="4"/>
          </w:rPr>
          <w:t>44</w:t>
        </w:r>
      </w:hyperlink>
    </w:p>
    <w:p>
      <w:pPr>
        <w:spacing w:before="673"/>
        <w:ind w:left="100" w:right="0" w:firstLine="0"/>
        <w:jc w:val="left"/>
        <w:rPr>
          <w:b/>
          <w:sz w:val="24"/>
        </w:rPr>
      </w:pPr>
      <w:r>
        <w:rPr>
          <w:b/>
          <w:color w:val="37617A"/>
          <w:sz w:val="24"/>
        </w:rPr>
        <w:t>iv</w:t>
      </w:r>
    </w:p>
    <w:p>
      <w:pPr>
        <w:spacing w:after="0"/>
        <w:jc w:val="left"/>
        <w:rPr>
          <w:sz w:val="24"/>
        </w:rPr>
        <w:sectPr>
          <w:pgSz w:w="11910" w:h="16840"/>
          <w:pgMar w:header="567" w:footer="0" w:top="860" w:bottom="280" w:left="620" w:right="380"/>
        </w:sectPr>
      </w:pPr>
    </w:p>
    <w:p>
      <w:pPr>
        <w:pStyle w:val="BodyText"/>
        <w:rPr>
          <w:b/>
          <w:sz w:val="22"/>
        </w:rPr>
      </w:pPr>
    </w:p>
    <w:p>
      <w:pPr>
        <w:pStyle w:val="BodyText"/>
        <w:rPr>
          <w:b/>
          <w:sz w:val="22"/>
        </w:rPr>
      </w:pPr>
    </w:p>
    <w:p>
      <w:pPr>
        <w:pStyle w:val="BodyText"/>
        <w:rPr>
          <w:b/>
          <w:sz w:val="22"/>
        </w:rPr>
      </w:pPr>
    </w:p>
    <w:p>
      <w:pPr>
        <w:pStyle w:val="BodyText"/>
        <w:spacing w:before="9"/>
        <w:rPr>
          <w:b/>
          <w:sz w:val="14"/>
        </w:rPr>
      </w:pPr>
    </w:p>
    <w:p>
      <w:pPr>
        <w:pStyle w:val="BodyText"/>
        <w:tabs>
          <w:tab w:pos="9428" w:val="left" w:leader="dot"/>
        </w:tabs>
        <w:ind w:left="1534"/>
      </w:pPr>
      <w:hyperlink w:history="true" w:anchor="_bookmark39">
        <w:r>
          <w:rPr/>
          <w:t>Australia is in breach of</w:t>
        </w:r>
        <w:r>
          <w:rPr>
            <w:spacing w:val="-20"/>
          </w:rPr>
          <w:t> </w:t>
        </w:r>
        <w:r>
          <w:rPr/>
          <w:t>the</w:t>
        </w:r>
        <w:r>
          <w:rPr>
            <w:spacing w:val="-3"/>
          </w:rPr>
          <w:t> </w:t>
        </w:r>
        <w:r>
          <w:rPr/>
          <w:t>CRPD</w:t>
          <w:tab/>
          <w:t>45</w:t>
        </w:r>
      </w:hyperlink>
    </w:p>
    <w:sdt>
      <w:sdtPr>
        <w:docPartObj>
          <w:docPartGallery w:val="Table of Contents"/>
          <w:docPartUnique/>
        </w:docPartObj>
      </w:sdtPr>
      <w:sdtEndPr/>
      <w:sdtContent>
        <w:p>
          <w:pPr>
            <w:pStyle w:val="TOC4"/>
            <w:tabs>
              <w:tab w:pos="9428" w:val="left" w:leader="dot"/>
            </w:tabs>
            <w:rPr>
              <w:b w:val="0"/>
              <w:i w:val="0"/>
              <w:sz w:val="20"/>
            </w:rPr>
          </w:pPr>
          <w:hyperlink w:history="true" w:anchor="_bookmark39">
            <w:r>
              <w:rPr>
                <w:b w:val="0"/>
                <w:i w:val="0"/>
                <w:sz w:val="20"/>
              </w:rPr>
              <w:t>The cases of </w:t>
            </w:r>
            <w:r>
              <w:rPr>
                <w:b w:val="0"/>
                <w:i/>
                <w:sz w:val="20"/>
              </w:rPr>
              <w:t>Beasley</w:t>
            </w:r>
            <w:r>
              <w:rPr>
                <w:b w:val="0"/>
                <w:i/>
                <w:spacing w:val="-17"/>
                <w:sz w:val="20"/>
              </w:rPr>
              <w:t> </w:t>
            </w:r>
            <w:r>
              <w:rPr>
                <w:b w:val="0"/>
                <w:i w:val="0"/>
                <w:sz w:val="20"/>
              </w:rPr>
              <w:t>and</w:t>
            </w:r>
            <w:r>
              <w:rPr>
                <w:b w:val="0"/>
                <w:i w:val="0"/>
                <w:spacing w:val="-4"/>
                <w:sz w:val="20"/>
              </w:rPr>
              <w:t> </w:t>
            </w:r>
            <w:r>
              <w:rPr>
                <w:b w:val="0"/>
                <w:i/>
                <w:sz w:val="20"/>
              </w:rPr>
              <w:t>Lockrey</w:t>
              <w:tab/>
            </w:r>
            <w:r>
              <w:rPr>
                <w:b w:val="0"/>
                <w:i w:val="0"/>
                <w:sz w:val="20"/>
              </w:rPr>
              <w:t>45</w:t>
            </w:r>
          </w:hyperlink>
        </w:p>
        <w:p>
          <w:pPr>
            <w:pStyle w:val="TOC3"/>
            <w:tabs>
              <w:tab w:pos="9417" w:val="left" w:leader="dot"/>
            </w:tabs>
            <w:spacing w:before="42"/>
          </w:pPr>
          <w:hyperlink w:history="true" w:anchor="_bookmark40">
            <w:r>
              <w:rPr/>
              <w:t>The case</w:t>
            </w:r>
            <w:r>
              <w:rPr>
                <w:spacing w:val="-4"/>
              </w:rPr>
              <w:t> </w:t>
            </w:r>
            <w:r>
              <w:rPr/>
              <w:t>of</w:t>
            </w:r>
            <w:r>
              <w:rPr>
                <w:spacing w:val="-1"/>
              </w:rPr>
              <w:t> </w:t>
            </w:r>
            <w:r>
              <w:rPr>
                <w:i/>
              </w:rPr>
              <w:t>JH</w:t>
              <w:tab/>
            </w:r>
            <w:r>
              <w:rPr/>
              <w:t>46</w:t>
            </w:r>
          </w:hyperlink>
        </w:p>
        <w:p>
          <w:pPr>
            <w:pStyle w:val="TOC3"/>
            <w:tabs>
              <w:tab w:pos="9435" w:val="left" w:leader="dot"/>
            </w:tabs>
          </w:pPr>
          <w:hyperlink w:history="true" w:anchor="_bookmark41">
            <w:r>
              <w:rPr/>
              <w:t>Australia’s responses to the</w:t>
            </w:r>
            <w:r>
              <w:rPr>
                <w:spacing w:val="-21"/>
              </w:rPr>
              <w:t> </w:t>
            </w:r>
            <w:r>
              <w:rPr/>
              <w:t>UN</w:t>
            </w:r>
            <w:r>
              <w:rPr>
                <w:spacing w:val="-5"/>
              </w:rPr>
              <w:t> </w:t>
            </w:r>
            <w:r>
              <w:rPr/>
              <w:t>decisions</w:t>
              <w:tab/>
            </w:r>
            <w:r>
              <w:rPr>
                <w:spacing w:val="-7"/>
              </w:rPr>
              <w:t>47</w:t>
            </w:r>
          </w:hyperlink>
        </w:p>
        <w:p>
          <w:pPr>
            <w:pStyle w:val="TOC3"/>
            <w:tabs>
              <w:tab w:pos="9421" w:val="left" w:leader="dot"/>
            </w:tabs>
          </w:pPr>
          <w:hyperlink w:history="true" w:anchor="_bookmark42">
            <w:r>
              <w:rPr/>
              <w:t>Australia’s report to the</w:t>
            </w:r>
            <w:r>
              <w:rPr>
                <w:spacing w:val="-29"/>
              </w:rPr>
              <w:t> </w:t>
            </w:r>
            <w:r>
              <w:rPr/>
              <w:t>Convention</w:t>
            </w:r>
            <w:r>
              <w:rPr>
                <w:spacing w:val="-7"/>
              </w:rPr>
              <w:t> </w:t>
            </w:r>
            <w:r>
              <w:rPr/>
              <w:t>Committee</w:t>
              <w:tab/>
              <w:t>49</w:t>
            </w:r>
          </w:hyperlink>
        </w:p>
        <w:p>
          <w:pPr>
            <w:pStyle w:val="TOC2"/>
            <w:tabs>
              <w:tab w:pos="9421" w:val="left" w:leader="dot"/>
            </w:tabs>
            <w:spacing w:before="48"/>
          </w:pPr>
          <w:hyperlink w:history="true" w:anchor="_bookmark42">
            <w:r>
              <w:rPr/>
              <w:t>United</w:t>
            </w:r>
            <w:r>
              <w:rPr>
                <w:spacing w:val="-6"/>
              </w:rPr>
              <w:t> </w:t>
            </w:r>
            <w:r>
              <w:rPr/>
              <w:t>Nations</w:t>
            </w:r>
            <w:r>
              <w:rPr>
                <w:spacing w:val="-5"/>
              </w:rPr>
              <w:t> </w:t>
            </w:r>
            <w:r>
              <w:rPr/>
              <w:t>principles</w:t>
            </w:r>
            <w:r>
              <w:rPr>
                <w:spacing w:val="-5"/>
              </w:rPr>
              <w:t> </w:t>
            </w:r>
            <w:r>
              <w:rPr/>
              <w:t>and</w:t>
            </w:r>
            <w:r>
              <w:rPr>
                <w:spacing w:val="-5"/>
              </w:rPr>
              <w:t> </w:t>
            </w:r>
            <w:r>
              <w:rPr/>
              <w:t>guidelines</w:t>
            </w:r>
            <w:r>
              <w:rPr>
                <w:spacing w:val="-5"/>
              </w:rPr>
              <w:t> </w:t>
            </w:r>
            <w:r>
              <w:rPr/>
              <w:t>on</w:t>
            </w:r>
            <w:r>
              <w:rPr>
                <w:spacing w:val="-5"/>
              </w:rPr>
              <w:t> </w:t>
            </w:r>
            <w:r>
              <w:rPr/>
              <w:t>the</w:t>
            </w:r>
            <w:r>
              <w:rPr>
                <w:spacing w:val="-5"/>
              </w:rPr>
              <w:t> </w:t>
            </w:r>
            <w:r>
              <w:rPr/>
              <w:t>rights</w:t>
            </w:r>
            <w:r>
              <w:rPr>
                <w:spacing w:val="-5"/>
              </w:rPr>
              <w:t> </w:t>
            </w:r>
            <w:r>
              <w:rPr/>
              <w:t>of</w:t>
            </w:r>
            <w:r>
              <w:rPr>
                <w:spacing w:val="-5"/>
              </w:rPr>
              <w:t> </w:t>
            </w:r>
            <w:r>
              <w:rPr/>
              <w:t>persons</w:t>
            </w:r>
            <w:r>
              <w:rPr>
                <w:spacing w:val="-5"/>
              </w:rPr>
              <w:t> </w:t>
            </w:r>
            <w:r>
              <w:rPr/>
              <w:t>with</w:t>
            </w:r>
            <w:r>
              <w:rPr>
                <w:spacing w:val="-5"/>
              </w:rPr>
              <w:t> </w:t>
            </w:r>
            <w:r>
              <w:rPr/>
              <w:t>disabilities</w:t>
              <w:tab/>
              <w:t>49</w:t>
            </w:r>
          </w:hyperlink>
        </w:p>
        <w:p>
          <w:pPr>
            <w:pStyle w:val="TOC2"/>
            <w:tabs>
              <w:tab w:pos="9415" w:val="left" w:leader="dot"/>
            </w:tabs>
            <w:spacing w:line="206" w:lineRule="auto" w:before="80"/>
            <w:ind w:right="1257"/>
          </w:pPr>
          <w:hyperlink w:history="true" w:anchor="_bookmark43">
            <w:r>
              <w:rPr/>
              <w:t>Community responses: Victorian laws should be reformed to respond to the</w:t>
            </w:r>
          </w:hyperlink>
          <w:r>
            <w:rPr/>
            <w:t> </w:t>
          </w:r>
          <w:hyperlink w:history="true" w:anchor="_bookmark43">
            <w:r>
              <w:rPr/>
              <w:t>recommendations of the</w:t>
            </w:r>
            <w:r>
              <w:rPr>
                <w:spacing w:val="-21"/>
              </w:rPr>
              <w:t> </w:t>
            </w:r>
            <w:r>
              <w:rPr/>
              <w:t>Convention</w:t>
            </w:r>
            <w:r>
              <w:rPr>
                <w:spacing w:val="-6"/>
              </w:rPr>
              <w:t> </w:t>
            </w:r>
            <w:r>
              <w:rPr/>
              <w:t>Committee</w:t>
              <w:tab/>
            </w:r>
            <w:r>
              <w:rPr>
                <w:spacing w:val="-10"/>
              </w:rPr>
              <w:t>50</w:t>
            </w:r>
          </w:hyperlink>
        </w:p>
        <w:p>
          <w:pPr>
            <w:pStyle w:val="TOC2"/>
            <w:tabs>
              <w:tab w:pos="9452" w:val="left" w:leader="dot"/>
            </w:tabs>
            <w:spacing w:before="55"/>
          </w:pPr>
          <w:hyperlink w:history="true" w:anchor="_bookmark44">
            <w:r>
              <w:rPr/>
              <w:t>Reforms would </w:t>
            </w:r>
            <w:r>
              <w:rPr>
                <w:spacing w:val="-3"/>
              </w:rPr>
              <w:t>improve </w:t>
            </w:r>
            <w:r>
              <w:rPr/>
              <w:t>compliance with the CRPD</w:t>
            </w:r>
            <w:r>
              <w:rPr>
                <w:spacing w:val="-33"/>
              </w:rPr>
              <w:t> </w:t>
            </w:r>
            <w:r>
              <w:rPr/>
              <w:t>in</w:t>
            </w:r>
            <w:r>
              <w:rPr>
                <w:spacing w:val="-5"/>
              </w:rPr>
              <w:t> </w:t>
            </w:r>
            <w:r>
              <w:rPr/>
              <w:t>Victoria</w:t>
              <w:tab/>
              <w:t>51</w:t>
            </w:r>
          </w:hyperlink>
        </w:p>
        <w:p>
          <w:pPr>
            <w:pStyle w:val="TOC1"/>
            <w:numPr>
              <w:ilvl w:val="0"/>
              <w:numId w:val="1"/>
            </w:numPr>
            <w:tabs>
              <w:tab w:pos="1308" w:val="left" w:leader="none"/>
              <w:tab w:pos="9420" w:val="left" w:leader="dot"/>
            </w:tabs>
            <w:spacing w:line="240" w:lineRule="auto" w:before="41" w:after="0"/>
            <w:ind w:left="1307" w:right="0" w:hanging="340"/>
            <w:jc w:val="left"/>
          </w:pPr>
          <w:hyperlink w:history="true" w:anchor="_bookmark45">
            <w:r>
              <w:rPr>
                <w:color w:val="37617A"/>
              </w:rPr>
              <w:t>Jury selection should meet </w:t>
            </w:r>
            <w:r>
              <w:rPr>
                <w:color w:val="37617A"/>
                <w:spacing w:val="-3"/>
              </w:rPr>
              <w:t>today’s </w:t>
            </w:r>
            <w:r>
              <w:rPr>
                <w:color w:val="37617A"/>
              </w:rPr>
              <w:t>standards</w:t>
            </w:r>
            <w:r>
              <w:rPr>
                <w:color w:val="37617A"/>
                <w:spacing w:val="-8"/>
              </w:rPr>
              <w:t> </w:t>
            </w:r>
            <w:r>
              <w:rPr>
                <w:color w:val="37617A"/>
              </w:rPr>
              <w:t>of</w:t>
            </w:r>
            <w:r>
              <w:rPr>
                <w:color w:val="37617A"/>
                <w:spacing w:val="-2"/>
              </w:rPr>
              <w:t> </w:t>
            </w:r>
            <w:r>
              <w:rPr>
                <w:color w:val="37617A"/>
              </w:rPr>
              <w:t>inclusion</w:t>
              <w:tab/>
              <w:t>54</w:t>
            </w:r>
          </w:hyperlink>
        </w:p>
        <w:p>
          <w:pPr>
            <w:pStyle w:val="TOC2"/>
            <w:tabs>
              <w:tab w:pos="9425" w:val="left" w:leader="dot"/>
            </w:tabs>
            <w:spacing w:before="48"/>
          </w:pPr>
          <w:hyperlink w:history="true" w:anchor="_bookmark45">
            <w:r>
              <w:rPr/>
              <w:t>Overview</w:t>
              <w:tab/>
            </w:r>
            <w:r>
              <w:rPr>
                <w:spacing w:val="3"/>
              </w:rPr>
              <w:t>54</w:t>
            </w:r>
          </w:hyperlink>
        </w:p>
        <w:p>
          <w:pPr>
            <w:pStyle w:val="TOC2"/>
            <w:tabs>
              <w:tab w:pos="9425" w:val="left" w:leader="dot"/>
            </w:tabs>
          </w:pPr>
          <w:hyperlink w:history="true" w:anchor="_bookmark45">
            <w:r>
              <w:rPr/>
              <w:t>Community</w:t>
            </w:r>
            <w:r>
              <w:rPr>
                <w:spacing w:val="-5"/>
              </w:rPr>
              <w:t> </w:t>
            </w:r>
            <w:r>
              <w:rPr/>
              <w:t>expectations</w:t>
              <w:tab/>
            </w:r>
            <w:r>
              <w:rPr>
                <w:spacing w:val="3"/>
              </w:rPr>
              <w:t>54</w:t>
            </w:r>
          </w:hyperlink>
        </w:p>
        <w:p>
          <w:pPr>
            <w:pStyle w:val="TOC2"/>
            <w:tabs>
              <w:tab w:pos="9426" w:val="left" w:leader="dot"/>
            </w:tabs>
            <w:spacing w:before="48"/>
          </w:pPr>
          <w:hyperlink w:history="true" w:anchor="_bookmark46">
            <w:r>
              <w:rPr/>
              <w:t>Equality and non-discrimination in</w:t>
            </w:r>
            <w:r>
              <w:rPr>
                <w:spacing w:val="-17"/>
              </w:rPr>
              <w:t> </w:t>
            </w:r>
            <w:r>
              <w:rPr>
                <w:spacing w:val="-3"/>
              </w:rPr>
              <w:t>today’s</w:t>
            </w:r>
            <w:r>
              <w:rPr>
                <w:spacing w:val="-4"/>
              </w:rPr>
              <w:t> </w:t>
            </w:r>
            <w:r>
              <w:rPr/>
              <w:t>society</w:t>
              <w:tab/>
              <w:t>55</w:t>
            </w:r>
          </w:hyperlink>
        </w:p>
        <w:p>
          <w:pPr>
            <w:pStyle w:val="TOC3"/>
            <w:tabs>
              <w:tab w:pos="9416" w:val="left" w:leader="dot"/>
            </w:tabs>
          </w:pPr>
          <w:hyperlink w:history="true" w:anchor="_bookmark47">
            <w:r>
              <w:rPr/>
              <w:t>Government</w:t>
            </w:r>
            <w:r>
              <w:rPr>
                <w:spacing w:val="-9"/>
              </w:rPr>
              <w:t> </w:t>
            </w:r>
            <w:r>
              <w:rPr/>
              <w:t>inclusion</w:t>
            </w:r>
            <w:r>
              <w:rPr>
                <w:spacing w:val="-8"/>
              </w:rPr>
              <w:t> </w:t>
            </w:r>
            <w:r>
              <w:rPr/>
              <w:t>strategies</w:t>
              <w:tab/>
              <w:t>56</w:t>
            </w:r>
          </w:hyperlink>
        </w:p>
        <w:p>
          <w:pPr>
            <w:pStyle w:val="TOC3"/>
            <w:tabs>
              <w:tab w:pos="9429" w:val="left" w:leader="dot"/>
            </w:tabs>
          </w:pPr>
          <w:hyperlink w:history="true" w:anchor="_bookmark48">
            <w:r>
              <w:rPr/>
              <w:t>Laws about equality</w:t>
            </w:r>
            <w:r>
              <w:rPr>
                <w:spacing w:val="-15"/>
              </w:rPr>
              <w:t> </w:t>
            </w:r>
            <w:r>
              <w:rPr/>
              <w:t>and</w:t>
            </w:r>
            <w:r>
              <w:rPr>
                <w:spacing w:val="-4"/>
              </w:rPr>
              <w:t> </w:t>
            </w:r>
            <w:r>
              <w:rPr/>
              <w:t>inclusion</w:t>
              <w:tab/>
            </w:r>
            <w:r>
              <w:rPr>
                <w:spacing w:val="-3"/>
              </w:rPr>
              <w:t>57</w:t>
            </w:r>
          </w:hyperlink>
        </w:p>
        <w:p>
          <w:pPr>
            <w:pStyle w:val="TOC2"/>
            <w:tabs>
              <w:tab w:pos="9421" w:val="left" w:leader="dot"/>
            </w:tabs>
            <w:spacing w:before="48"/>
          </w:pPr>
          <w:hyperlink w:history="true" w:anchor="_bookmark49">
            <w:r>
              <w:rPr/>
              <w:t>Human rights </w:t>
            </w:r>
            <w:r>
              <w:rPr>
                <w:spacing w:val="-4"/>
              </w:rPr>
              <w:t>law, </w:t>
            </w:r>
            <w:r>
              <w:rPr/>
              <w:t>the Charter and</w:t>
            </w:r>
            <w:r>
              <w:rPr>
                <w:spacing w:val="-19"/>
              </w:rPr>
              <w:t> </w:t>
            </w:r>
            <w:r>
              <w:rPr/>
              <w:t>jury</w:t>
            </w:r>
            <w:r>
              <w:rPr>
                <w:spacing w:val="-3"/>
              </w:rPr>
              <w:t> </w:t>
            </w:r>
            <w:r>
              <w:rPr/>
              <w:t>selection</w:t>
              <w:tab/>
              <w:t>59</w:t>
            </w:r>
          </w:hyperlink>
        </w:p>
        <w:p>
          <w:pPr>
            <w:pStyle w:val="TOC3"/>
            <w:tabs>
              <w:tab w:pos="9421" w:val="left" w:leader="dot"/>
            </w:tabs>
          </w:pPr>
          <w:hyperlink w:history="true" w:anchor="_bookmark49">
            <w:r>
              <w:rPr/>
              <w:t>Jury selection falls outside the Equal</w:t>
            </w:r>
            <w:r>
              <w:rPr>
                <w:spacing w:val="-19"/>
              </w:rPr>
              <w:t> </w:t>
            </w:r>
            <w:r>
              <w:rPr/>
              <w:t>Opportunity</w:t>
            </w:r>
            <w:r>
              <w:rPr>
                <w:spacing w:val="-4"/>
              </w:rPr>
              <w:t> </w:t>
            </w:r>
            <w:r>
              <w:rPr/>
              <w:t>Act</w:t>
              <w:tab/>
              <w:t>59</w:t>
            </w:r>
          </w:hyperlink>
        </w:p>
        <w:p>
          <w:pPr>
            <w:pStyle w:val="TOC3"/>
            <w:tabs>
              <w:tab w:pos="9421" w:val="left" w:leader="dot"/>
            </w:tabs>
            <w:spacing w:before="42"/>
          </w:pPr>
          <w:hyperlink w:history="true" w:anchor="_bookmark49">
            <w:r>
              <w:rPr/>
              <w:t>The</w:t>
            </w:r>
            <w:r>
              <w:rPr>
                <w:spacing w:val="-4"/>
              </w:rPr>
              <w:t> </w:t>
            </w:r>
            <w:r>
              <w:rPr/>
              <w:t>Charter</w:t>
              <w:tab/>
              <w:t>59</w:t>
            </w:r>
          </w:hyperlink>
        </w:p>
        <w:p>
          <w:pPr>
            <w:pStyle w:val="TOC2"/>
            <w:tabs>
              <w:tab w:pos="9402" w:val="left" w:leader="dot"/>
            </w:tabs>
          </w:pPr>
          <w:hyperlink w:history="true" w:anchor="_bookmark50">
            <w:r>
              <w:rPr/>
              <w:t>Jury</w:t>
            </w:r>
            <w:r>
              <w:rPr>
                <w:spacing w:val="-7"/>
              </w:rPr>
              <w:t> </w:t>
            </w:r>
            <w:r>
              <w:rPr/>
              <w:t>selection</w:t>
            </w:r>
            <w:r>
              <w:rPr>
                <w:spacing w:val="-6"/>
              </w:rPr>
              <w:t> </w:t>
            </w:r>
            <w:r>
              <w:rPr/>
              <w:t>should</w:t>
            </w:r>
            <w:r>
              <w:rPr>
                <w:spacing w:val="-6"/>
              </w:rPr>
              <w:t> </w:t>
            </w:r>
            <w:r>
              <w:rPr/>
              <w:t>reflect</w:t>
            </w:r>
            <w:r>
              <w:rPr>
                <w:spacing w:val="-6"/>
              </w:rPr>
              <w:t> </w:t>
            </w:r>
            <w:r>
              <w:rPr/>
              <w:t>principles</w:t>
            </w:r>
            <w:r>
              <w:rPr>
                <w:spacing w:val="-6"/>
              </w:rPr>
              <w:t> </w:t>
            </w:r>
            <w:r>
              <w:rPr/>
              <w:t>of</w:t>
            </w:r>
            <w:r>
              <w:rPr>
                <w:spacing w:val="-6"/>
              </w:rPr>
              <w:t> </w:t>
            </w:r>
            <w:r>
              <w:rPr/>
              <w:t>equality</w:t>
            </w:r>
            <w:r>
              <w:rPr>
                <w:spacing w:val="-6"/>
              </w:rPr>
              <w:t> </w:t>
            </w:r>
            <w:r>
              <w:rPr/>
              <w:t>and</w:t>
            </w:r>
            <w:r>
              <w:rPr>
                <w:spacing w:val="-7"/>
              </w:rPr>
              <w:t> </w:t>
            </w:r>
            <w:r>
              <w:rPr/>
              <w:t>non-discrimination</w:t>
              <w:tab/>
              <w:t>60</w:t>
            </w:r>
          </w:hyperlink>
        </w:p>
        <w:p>
          <w:pPr>
            <w:pStyle w:val="TOC1"/>
            <w:numPr>
              <w:ilvl w:val="0"/>
              <w:numId w:val="1"/>
            </w:numPr>
            <w:tabs>
              <w:tab w:pos="1308" w:val="left" w:leader="none"/>
              <w:tab w:pos="9412" w:val="left" w:leader="dot"/>
            </w:tabs>
            <w:spacing w:line="240" w:lineRule="auto" w:before="42" w:after="0"/>
            <w:ind w:left="1307" w:right="0" w:hanging="340"/>
            <w:jc w:val="left"/>
          </w:pPr>
          <w:hyperlink w:history="true" w:anchor="_bookmark51">
            <w:r>
              <w:rPr>
                <w:color w:val="37617A"/>
              </w:rPr>
              <w:t>The importance of</w:t>
            </w:r>
            <w:r>
              <w:rPr>
                <w:color w:val="37617A"/>
                <w:spacing w:val="-15"/>
              </w:rPr>
              <w:t> </w:t>
            </w:r>
            <w:r>
              <w:rPr>
                <w:color w:val="37617A"/>
              </w:rPr>
              <w:t>representative</w:t>
            </w:r>
            <w:r>
              <w:rPr>
                <w:color w:val="37617A"/>
                <w:spacing w:val="-5"/>
              </w:rPr>
              <w:t> </w:t>
            </w:r>
            <w:r>
              <w:rPr>
                <w:color w:val="37617A"/>
              </w:rPr>
              <w:t>juries</w:t>
              <w:tab/>
              <w:t>64</w:t>
            </w:r>
          </w:hyperlink>
        </w:p>
        <w:p>
          <w:pPr>
            <w:pStyle w:val="TOC2"/>
            <w:tabs>
              <w:tab w:pos="9416" w:val="left" w:leader="dot"/>
            </w:tabs>
          </w:pPr>
          <w:hyperlink w:history="true" w:anchor="_bookmark51">
            <w:r>
              <w:rPr/>
              <w:t>Overview</w:t>
              <w:tab/>
              <w:t>64</w:t>
            </w:r>
          </w:hyperlink>
        </w:p>
        <w:p>
          <w:pPr>
            <w:pStyle w:val="TOC2"/>
            <w:tabs>
              <w:tab w:pos="9416" w:val="left" w:leader="dot"/>
            </w:tabs>
            <w:spacing w:before="48"/>
          </w:pPr>
          <w:hyperlink w:history="true" w:anchor="_bookmark51">
            <w:r>
              <w:rPr/>
              <w:t>Improving</w:t>
            </w:r>
            <w:r>
              <w:rPr>
                <w:spacing w:val="-6"/>
              </w:rPr>
              <w:t> </w:t>
            </w:r>
            <w:r>
              <w:rPr/>
              <w:t>representativeness</w:t>
            </w:r>
            <w:r>
              <w:rPr>
                <w:spacing w:val="-6"/>
              </w:rPr>
              <w:t> </w:t>
            </w:r>
            <w:r>
              <w:rPr/>
              <w:t>is</w:t>
            </w:r>
            <w:r>
              <w:rPr>
                <w:spacing w:val="-6"/>
              </w:rPr>
              <w:t> </w:t>
            </w:r>
            <w:r>
              <w:rPr/>
              <w:t>a</w:t>
            </w:r>
            <w:r>
              <w:rPr>
                <w:spacing w:val="-6"/>
              </w:rPr>
              <w:t> </w:t>
            </w:r>
            <w:r>
              <w:rPr>
                <w:spacing w:val="-3"/>
              </w:rPr>
              <w:t>key</w:t>
            </w:r>
            <w:r>
              <w:rPr>
                <w:spacing w:val="-6"/>
              </w:rPr>
              <w:t> </w:t>
            </w:r>
            <w:r>
              <w:rPr/>
              <w:t>purpose</w:t>
            </w:r>
            <w:r>
              <w:rPr>
                <w:spacing w:val="-6"/>
              </w:rPr>
              <w:t> </w:t>
            </w:r>
            <w:r>
              <w:rPr/>
              <w:t>of</w:t>
            </w:r>
            <w:r>
              <w:rPr>
                <w:spacing w:val="-6"/>
              </w:rPr>
              <w:t> </w:t>
            </w:r>
            <w:r>
              <w:rPr/>
              <w:t>the</w:t>
            </w:r>
            <w:r>
              <w:rPr>
                <w:spacing w:val="-6"/>
              </w:rPr>
              <w:t> </w:t>
            </w:r>
            <w:r>
              <w:rPr/>
              <w:t>Juries</w:t>
            </w:r>
            <w:r>
              <w:rPr>
                <w:spacing w:val="-6"/>
              </w:rPr>
              <w:t> </w:t>
            </w:r>
            <w:r>
              <w:rPr/>
              <w:t>Act</w:t>
              <w:tab/>
              <w:t>64</w:t>
            </w:r>
          </w:hyperlink>
        </w:p>
        <w:p>
          <w:pPr>
            <w:pStyle w:val="TOC2"/>
            <w:tabs>
              <w:tab w:pos="9415" w:val="left" w:leader="dot"/>
            </w:tabs>
          </w:pPr>
          <w:hyperlink w:history="true" w:anchor="_bookmark52">
            <w:r>
              <w:rPr/>
              <w:t>The advantages of</w:t>
            </w:r>
            <w:r>
              <w:rPr>
                <w:spacing w:val="-23"/>
              </w:rPr>
              <w:t> </w:t>
            </w:r>
            <w:r>
              <w:rPr/>
              <w:t>representative</w:t>
            </w:r>
            <w:r>
              <w:rPr>
                <w:spacing w:val="-7"/>
              </w:rPr>
              <w:t> </w:t>
            </w:r>
            <w:r>
              <w:rPr/>
              <w:t>juries</w:t>
              <w:tab/>
              <w:t>65</w:t>
            </w:r>
          </w:hyperlink>
        </w:p>
        <w:p>
          <w:pPr>
            <w:pStyle w:val="TOC3"/>
            <w:tabs>
              <w:tab w:pos="9415" w:val="left" w:leader="dot"/>
            </w:tabs>
          </w:pPr>
          <w:hyperlink w:history="true" w:anchor="_bookmark52">
            <w:r>
              <w:rPr/>
              <w:t>Decision-making processes in</w:t>
            </w:r>
            <w:r>
              <w:rPr>
                <w:spacing w:val="-18"/>
              </w:rPr>
              <w:t> </w:t>
            </w:r>
            <w:r>
              <w:rPr/>
              <w:t>diverse</w:t>
            </w:r>
            <w:r>
              <w:rPr>
                <w:spacing w:val="-6"/>
              </w:rPr>
              <w:t> </w:t>
            </w:r>
            <w:r>
              <w:rPr/>
              <w:t>juries</w:t>
              <w:tab/>
              <w:t>65</w:t>
            </w:r>
          </w:hyperlink>
        </w:p>
        <w:p>
          <w:pPr>
            <w:pStyle w:val="TOC3"/>
            <w:tabs>
              <w:tab w:pos="9403" w:val="left" w:leader="dot"/>
            </w:tabs>
            <w:spacing w:before="42"/>
          </w:pPr>
          <w:hyperlink w:history="true" w:anchor="_bookmark53">
            <w:r>
              <w:rPr/>
              <w:t>Jury participation encourages confidence in the</w:t>
            </w:r>
            <w:r>
              <w:rPr>
                <w:spacing w:val="-35"/>
              </w:rPr>
              <w:t> </w:t>
            </w:r>
            <w:r>
              <w:rPr/>
              <w:t>justice</w:t>
            </w:r>
            <w:r>
              <w:rPr>
                <w:spacing w:val="-5"/>
              </w:rPr>
              <w:t> </w:t>
            </w:r>
            <w:r>
              <w:rPr/>
              <w:t>system</w:t>
              <w:tab/>
              <w:t>66</w:t>
            </w:r>
          </w:hyperlink>
        </w:p>
        <w:p>
          <w:pPr>
            <w:pStyle w:val="TOC3"/>
            <w:tabs>
              <w:tab w:pos="9418" w:val="left" w:leader="dot"/>
            </w:tabs>
          </w:pPr>
          <w:hyperlink w:history="true" w:anchor="_bookmark54">
            <w:r>
              <w:rPr>
                <w:spacing w:val="-4"/>
              </w:rPr>
              <w:t>Trial </w:t>
            </w:r>
            <w:r>
              <w:rPr>
                <w:spacing w:val="-3"/>
              </w:rPr>
              <w:t>by</w:t>
            </w:r>
            <w:r>
              <w:rPr>
                <w:spacing w:val="-2"/>
              </w:rPr>
              <w:t> </w:t>
            </w:r>
            <w:r>
              <w:rPr/>
              <w:t>one’s</w:t>
            </w:r>
            <w:r>
              <w:rPr>
                <w:spacing w:val="-3"/>
              </w:rPr>
              <w:t> </w:t>
            </w:r>
            <w:r>
              <w:rPr/>
              <w:t>peers</w:t>
              <w:tab/>
            </w:r>
            <w:r>
              <w:rPr>
                <w:spacing w:val="-3"/>
              </w:rPr>
              <w:t>67</w:t>
            </w:r>
          </w:hyperlink>
        </w:p>
        <w:p>
          <w:pPr>
            <w:pStyle w:val="TOC2"/>
            <w:tabs>
              <w:tab w:pos="9418" w:val="left" w:leader="dot"/>
            </w:tabs>
            <w:spacing w:before="48"/>
          </w:pPr>
          <w:hyperlink w:history="true" w:anchor="_bookmark54">
            <w:r>
              <w:rPr/>
              <w:t>Community responses:</w:t>
            </w:r>
            <w:r>
              <w:rPr>
                <w:spacing w:val="-18"/>
              </w:rPr>
              <w:t> </w:t>
            </w:r>
            <w:r>
              <w:rPr/>
              <w:t>representative</w:t>
            </w:r>
            <w:r>
              <w:rPr>
                <w:spacing w:val="-8"/>
              </w:rPr>
              <w:t> </w:t>
            </w:r>
            <w:r>
              <w:rPr/>
              <w:t>juries</w:t>
              <w:tab/>
            </w:r>
            <w:r>
              <w:rPr>
                <w:spacing w:val="-3"/>
              </w:rPr>
              <w:t>67</w:t>
            </w:r>
          </w:hyperlink>
        </w:p>
        <w:p>
          <w:pPr>
            <w:pStyle w:val="TOC2"/>
            <w:tabs>
              <w:tab w:pos="9406" w:val="left" w:leader="dot"/>
            </w:tabs>
          </w:pPr>
          <w:hyperlink w:history="true" w:anchor="_bookmark55">
            <w:r>
              <w:rPr/>
              <w:t>Sharing the obligation of jury service among</w:t>
            </w:r>
            <w:r>
              <w:rPr>
                <w:spacing w:val="-25"/>
              </w:rPr>
              <w:t> </w:t>
            </w:r>
            <w:r>
              <w:rPr/>
              <w:t>the</w:t>
            </w:r>
            <w:r>
              <w:rPr>
                <w:spacing w:val="-4"/>
              </w:rPr>
              <w:t> </w:t>
            </w:r>
            <w:r>
              <w:rPr/>
              <w:t>community</w:t>
              <w:tab/>
              <w:t>68</w:t>
            </w:r>
          </w:hyperlink>
        </w:p>
        <w:p>
          <w:pPr>
            <w:pStyle w:val="TOC1"/>
            <w:numPr>
              <w:ilvl w:val="0"/>
              <w:numId w:val="1"/>
            </w:numPr>
            <w:tabs>
              <w:tab w:pos="1308" w:val="left" w:leader="none"/>
              <w:tab w:pos="9417" w:val="left" w:leader="dot"/>
            </w:tabs>
            <w:spacing w:line="240" w:lineRule="auto" w:before="42" w:after="0"/>
            <w:ind w:left="1307" w:right="0" w:hanging="340"/>
            <w:jc w:val="left"/>
          </w:pPr>
          <w:hyperlink w:history="true" w:anchor="_bookmark56">
            <w:r>
              <w:rPr>
                <w:color w:val="37617A"/>
              </w:rPr>
              <w:t>Inclusive juries and the right to a</w:t>
            </w:r>
            <w:r>
              <w:rPr>
                <w:color w:val="37617A"/>
                <w:spacing w:val="-28"/>
              </w:rPr>
              <w:t> </w:t>
            </w:r>
            <w:r>
              <w:rPr>
                <w:color w:val="37617A"/>
              </w:rPr>
              <w:t>fair</w:t>
            </w:r>
            <w:r>
              <w:rPr>
                <w:color w:val="37617A"/>
                <w:spacing w:val="-4"/>
              </w:rPr>
              <w:t> </w:t>
            </w:r>
            <w:r>
              <w:rPr>
                <w:color w:val="37617A"/>
              </w:rPr>
              <w:t>trial</w:t>
              <w:tab/>
            </w:r>
            <w:r>
              <w:rPr>
                <w:color w:val="37617A"/>
                <w:spacing w:val="-6"/>
              </w:rPr>
              <w:t>70</w:t>
            </w:r>
          </w:hyperlink>
        </w:p>
        <w:p>
          <w:pPr>
            <w:pStyle w:val="TOC2"/>
            <w:tabs>
              <w:tab w:pos="9420" w:val="left" w:leader="dot"/>
            </w:tabs>
          </w:pPr>
          <w:hyperlink w:history="true" w:anchor="_bookmark56">
            <w:r>
              <w:rPr/>
              <w:t>Overview</w:t>
              <w:tab/>
            </w:r>
            <w:r>
              <w:rPr>
                <w:spacing w:val="-6"/>
              </w:rPr>
              <w:t>70</w:t>
            </w:r>
          </w:hyperlink>
        </w:p>
        <w:p>
          <w:pPr>
            <w:pStyle w:val="TOC2"/>
            <w:tabs>
              <w:tab w:pos="9420" w:val="left" w:leader="dot"/>
            </w:tabs>
          </w:pPr>
          <w:hyperlink w:history="true" w:anchor="_bookmark56">
            <w:r>
              <w:rPr/>
              <w:t>The right to a</w:t>
            </w:r>
            <w:r>
              <w:rPr>
                <w:spacing w:val="-16"/>
              </w:rPr>
              <w:t> </w:t>
            </w:r>
            <w:r>
              <w:rPr/>
              <w:t>fair</w:t>
            </w:r>
            <w:r>
              <w:rPr>
                <w:spacing w:val="-4"/>
              </w:rPr>
              <w:t> </w:t>
            </w:r>
            <w:r>
              <w:rPr/>
              <w:t>trial</w:t>
              <w:tab/>
            </w:r>
            <w:r>
              <w:rPr>
                <w:spacing w:val="-6"/>
              </w:rPr>
              <w:t>70</w:t>
            </w:r>
          </w:hyperlink>
        </w:p>
        <w:p>
          <w:pPr>
            <w:pStyle w:val="TOC3"/>
            <w:tabs>
              <w:tab w:pos="9452" w:val="left" w:leader="dot"/>
            </w:tabs>
            <w:spacing w:before="42"/>
          </w:pPr>
          <w:hyperlink w:history="true" w:anchor="_bookmark57">
            <w:r>
              <w:rPr/>
              <w:t>How do jury laws promote a</w:t>
            </w:r>
            <w:r>
              <w:rPr>
                <w:spacing w:val="-30"/>
              </w:rPr>
              <w:t> </w:t>
            </w:r>
            <w:r>
              <w:rPr/>
              <w:t>fair</w:t>
            </w:r>
            <w:r>
              <w:rPr>
                <w:spacing w:val="-5"/>
              </w:rPr>
              <w:t> </w:t>
            </w:r>
            <w:r>
              <w:rPr/>
              <w:t>trial?</w:t>
              <w:tab/>
              <w:t>71</w:t>
            </w:r>
          </w:hyperlink>
        </w:p>
        <w:p>
          <w:pPr>
            <w:pStyle w:val="TOC3"/>
            <w:tabs>
              <w:tab w:pos="9432" w:val="left" w:leader="dot"/>
            </w:tabs>
          </w:pPr>
          <w:hyperlink w:history="true" w:anchor="_bookmark58">
            <w:r>
              <w:rPr/>
              <w:t>The right to a fair trial is a</w:t>
            </w:r>
            <w:r>
              <w:rPr>
                <w:spacing w:val="-36"/>
              </w:rPr>
              <w:t> </w:t>
            </w:r>
            <w:r>
              <w:rPr/>
              <w:t>paramount</w:t>
            </w:r>
            <w:r>
              <w:rPr>
                <w:spacing w:val="-4"/>
              </w:rPr>
              <w:t> </w:t>
            </w:r>
            <w:r>
              <w:rPr/>
              <w:t>consideration</w:t>
              <w:tab/>
              <w:t>72</w:t>
            </w:r>
          </w:hyperlink>
        </w:p>
        <w:p>
          <w:pPr>
            <w:pStyle w:val="TOC2"/>
            <w:tabs>
              <w:tab w:pos="9431" w:val="left" w:leader="dot"/>
            </w:tabs>
            <w:spacing w:before="48"/>
          </w:pPr>
          <w:hyperlink w:history="true" w:anchor="_bookmark58">
            <w:r>
              <w:rPr/>
              <w:t>Concerns</w:t>
            </w:r>
            <w:r>
              <w:rPr>
                <w:spacing w:val="-5"/>
              </w:rPr>
              <w:t> </w:t>
            </w:r>
            <w:r>
              <w:rPr/>
              <w:t>about</w:t>
            </w:r>
            <w:r>
              <w:rPr>
                <w:spacing w:val="-5"/>
              </w:rPr>
              <w:t> </w:t>
            </w:r>
            <w:r>
              <w:rPr/>
              <w:t>competency</w:t>
            </w:r>
            <w:r>
              <w:rPr>
                <w:spacing w:val="-5"/>
              </w:rPr>
              <w:t> </w:t>
            </w:r>
            <w:r>
              <w:rPr/>
              <w:t>and</w:t>
            </w:r>
            <w:r>
              <w:rPr>
                <w:spacing w:val="-5"/>
              </w:rPr>
              <w:t> </w:t>
            </w:r>
            <w:r>
              <w:rPr/>
              <w:t>the</w:t>
            </w:r>
            <w:r>
              <w:rPr>
                <w:spacing w:val="-5"/>
              </w:rPr>
              <w:t> </w:t>
            </w:r>
            <w:r>
              <w:rPr/>
              <w:t>impact</w:t>
            </w:r>
            <w:r>
              <w:rPr>
                <w:spacing w:val="-5"/>
              </w:rPr>
              <w:t> </w:t>
            </w:r>
            <w:r>
              <w:rPr/>
              <w:t>of</w:t>
            </w:r>
            <w:r>
              <w:rPr>
                <w:spacing w:val="-5"/>
              </w:rPr>
              <w:t> </w:t>
            </w:r>
            <w:r>
              <w:rPr/>
              <w:t>inclusive</w:t>
            </w:r>
            <w:r>
              <w:rPr>
                <w:spacing w:val="-4"/>
              </w:rPr>
              <w:t> </w:t>
            </w:r>
            <w:r>
              <w:rPr/>
              <w:t>juries</w:t>
            </w:r>
            <w:r>
              <w:rPr>
                <w:spacing w:val="-5"/>
              </w:rPr>
              <w:t> </w:t>
            </w:r>
            <w:r>
              <w:rPr/>
              <w:t>on</w:t>
            </w:r>
            <w:r>
              <w:rPr>
                <w:spacing w:val="-5"/>
              </w:rPr>
              <w:t> </w:t>
            </w:r>
            <w:r>
              <w:rPr/>
              <w:t>fair</w:t>
            </w:r>
            <w:r>
              <w:rPr>
                <w:spacing w:val="-5"/>
              </w:rPr>
              <w:t> </w:t>
            </w:r>
            <w:r>
              <w:rPr/>
              <w:t>trials</w:t>
              <w:tab/>
              <w:t>72</w:t>
            </w:r>
          </w:hyperlink>
        </w:p>
        <w:p>
          <w:pPr>
            <w:pStyle w:val="TOC3"/>
            <w:tabs>
              <w:tab w:pos="9431" w:val="left" w:leader="dot"/>
            </w:tabs>
          </w:pPr>
          <w:hyperlink w:history="true" w:anchor="_bookmark59">
            <w:r>
              <w:rPr/>
              <w:t>Deaf jurors and</w:t>
            </w:r>
            <w:r>
              <w:rPr>
                <w:spacing w:val="-19"/>
              </w:rPr>
              <w:t> </w:t>
            </w:r>
            <w:r>
              <w:rPr/>
              <w:t>Auslan</w:t>
            </w:r>
            <w:r>
              <w:rPr>
                <w:spacing w:val="-6"/>
              </w:rPr>
              <w:t> </w:t>
            </w:r>
            <w:r>
              <w:rPr/>
              <w:t>interpreters</w:t>
              <w:tab/>
              <w:t>73</w:t>
            </w:r>
          </w:hyperlink>
        </w:p>
        <w:p>
          <w:pPr>
            <w:pStyle w:val="TOC3"/>
            <w:tabs>
              <w:tab w:pos="9423" w:val="left" w:leader="dot"/>
            </w:tabs>
            <w:spacing w:before="42"/>
          </w:pPr>
          <w:hyperlink w:history="true" w:anchor="_bookmark60">
            <w:r>
              <w:rPr/>
              <w:t>Jurors who are blind or </w:t>
            </w:r>
            <w:r>
              <w:rPr>
                <w:spacing w:val="-3"/>
              </w:rPr>
              <w:t>have</w:t>
            </w:r>
            <w:r>
              <w:rPr>
                <w:spacing w:val="-24"/>
              </w:rPr>
              <w:t> </w:t>
            </w:r>
            <w:r>
              <w:rPr>
                <w:spacing w:val="-3"/>
              </w:rPr>
              <w:t>low</w:t>
            </w:r>
            <w:r>
              <w:rPr>
                <w:spacing w:val="-4"/>
              </w:rPr>
              <w:t> </w:t>
            </w:r>
            <w:r>
              <w:rPr/>
              <w:t>vision</w:t>
              <w:tab/>
            </w:r>
            <w:r>
              <w:rPr>
                <w:spacing w:val="3"/>
              </w:rPr>
              <w:t>77</w:t>
            </w:r>
          </w:hyperlink>
        </w:p>
        <w:p>
          <w:pPr>
            <w:pStyle w:val="TOC3"/>
            <w:tabs>
              <w:tab w:pos="9417" w:val="left" w:leader="dot"/>
            </w:tabs>
          </w:pPr>
          <w:hyperlink w:history="true" w:anchor="_bookmark61">
            <w:r>
              <w:rPr/>
              <w:t>Assessing the demeanour</w:t>
            </w:r>
            <w:r>
              <w:rPr>
                <w:spacing w:val="-9"/>
              </w:rPr>
              <w:t> </w:t>
            </w:r>
            <w:r>
              <w:rPr/>
              <w:t>of</w:t>
            </w:r>
            <w:r>
              <w:rPr>
                <w:spacing w:val="-3"/>
              </w:rPr>
              <w:t> </w:t>
            </w:r>
            <w:r>
              <w:rPr/>
              <w:t>witnesses</w:t>
              <w:tab/>
              <w:t>78</w:t>
            </w:r>
          </w:hyperlink>
        </w:p>
        <w:p>
          <w:pPr>
            <w:pStyle w:val="TOC2"/>
            <w:tabs>
              <w:tab w:pos="9404" w:val="left" w:leader="dot"/>
            </w:tabs>
            <w:spacing w:before="48"/>
          </w:pPr>
          <w:hyperlink w:history="true" w:anchor="_bookmark62">
            <w:r>
              <w:rPr/>
              <w:t>Addressing misconceptions</w:t>
            </w:r>
            <w:r>
              <w:rPr>
                <w:spacing w:val="-16"/>
              </w:rPr>
              <w:t> </w:t>
            </w:r>
            <w:r>
              <w:rPr/>
              <w:t>about</w:t>
            </w:r>
            <w:r>
              <w:rPr>
                <w:spacing w:val="-7"/>
              </w:rPr>
              <w:t> </w:t>
            </w:r>
            <w:r>
              <w:rPr/>
              <w:t>competency</w:t>
              <w:tab/>
              <w:t>80</w:t>
            </w:r>
          </w:hyperlink>
        </w:p>
        <w:p>
          <w:pPr>
            <w:pStyle w:val="TOC3"/>
            <w:tabs>
              <w:tab w:pos="9445" w:val="left" w:leader="dot"/>
            </w:tabs>
          </w:pPr>
          <w:hyperlink w:history="true" w:anchor="_bookmark63">
            <w:r>
              <w:rPr/>
              <w:t>Why do</w:t>
            </w:r>
            <w:r>
              <w:rPr>
                <w:spacing w:val="-13"/>
              </w:rPr>
              <w:t> </w:t>
            </w:r>
            <w:r>
              <w:rPr/>
              <w:t>misconceptions</w:t>
            </w:r>
            <w:r>
              <w:rPr>
                <w:spacing w:val="-7"/>
              </w:rPr>
              <w:t> </w:t>
            </w:r>
            <w:r>
              <w:rPr/>
              <w:t>arise?</w:t>
              <w:tab/>
              <w:t>81</w:t>
            </w:r>
          </w:hyperlink>
        </w:p>
        <w:p>
          <w:pPr>
            <w:pStyle w:val="TOC2"/>
            <w:tabs>
              <w:tab w:pos="9423" w:val="left" w:leader="dot"/>
            </w:tabs>
          </w:pPr>
          <w:hyperlink w:history="true" w:anchor="_bookmark64">
            <w:r>
              <w:rPr/>
              <w:t>When might jury service not</w:t>
            </w:r>
            <w:r>
              <w:rPr>
                <w:spacing w:val="-23"/>
              </w:rPr>
              <w:t> </w:t>
            </w:r>
            <w:r>
              <w:rPr/>
              <w:t>be</w:t>
            </w:r>
            <w:r>
              <w:rPr>
                <w:spacing w:val="-4"/>
              </w:rPr>
              <w:t> </w:t>
            </w:r>
            <w:r>
              <w:rPr/>
              <w:t>possible?</w:t>
              <w:tab/>
            </w:r>
            <w:r>
              <w:rPr>
                <w:spacing w:val="-3"/>
              </w:rPr>
              <w:t>82</w:t>
            </w:r>
          </w:hyperlink>
        </w:p>
        <w:p>
          <w:pPr>
            <w:pStyle w:val="TOC3"/>
            <w:tabs>
              <w:tab w:pos="9423" w:val="left" w:leader="dot"/>
            </w:tabs>
            <w:spacing w:before="42"/>
          </w:pPr>
          <w:hyperlink w:history="true" w:anchor="_bookmark64">
            <w:r>
              <w:rPr/>
              <w:t>Community responses: when jury service is</w:t>
            </w:r>
            <w:r>
              <w:rPr>
                <w:spacing w:val="-24"/>
              </w:rPr>
              <w:t> </w:t>
            </w:r>
            <w:r>
              <w:rPr/>
              <w:t>not</w:t>
            </w:r>
            <w:r>
              <w:rPr>
                <w:spacing w:val="-4"/>
              </w:rPr>
              <w:t> </w:t>
            </w:r>
            <w:r>
              <w:rPr/>
              <w:t>possible</w:t>
              <w:tab/>
            </w:r>
            <w:r>
              <w:rPr>
                <w:spacing w:val="-3"/>
              </w:rPr>
              <w:t>82</w:t>
            </w:r>
          </w:hyperlink>
        </w:p>
        <w:p>
          <w:pPr>
            <w:pStyle w:val="TOC2"/>
            <w:tabs>
              <w:tab w:pos="9417" w:val="left" w:leader="dot"/>
            </w:tabs>
          </w:pPr>
          <w:hyperlink w:history="true" w:anchor="_bookmark65">
            <w:r>
              <w:rPr/>
              <w:t>Safeguards can protect the right to a</w:t>
            </w:r>
            <w:r>
              <w:rPr>
                <w:spacing w:val="-33"/>
              </w:rPr>
              <w:t> </w:t>
            </w:r>
            <w:r>
              <w:rPr/>
              <w:t>fair</w:t>
            </w:r>
            <w:r>
              <w:rPr>
                <w:spacing w:val="-5"/>
              </w:rPr>
              <w:t> </w:t>
            </w:r>
            <w:r>
              <w:rPr/>
              <w:t>trial</w:t>
              <w:tab/>
              <w:t>85</w:t>
            </w:r>
          </w:hyperlink>
        </w:p>
        <w:p>
          <w:pPr>
            <w:pStyle w:val="TOC3"/>
            <w:tabs>
              <w:tab w:pos="9417" w:val="left" w:leader="dot"/>
            </w:tabs>
            <w:spacing w:before="42"/>
          </w:pPr>
          <w:hyperlink w:history="true" w:anchor="_bookmark65">
            <w:r>
              <w:rPr/>
              <w:t>A cautious approach to</w:t>
            </w:r>
            <w:r>
              <w:rPr>
                <w:spacing w:val="-21"/>
              </w:rPr>
              <w:t> </w:t>
            </w:r>
            <w:r>
              <w:rPr/>
              <w:t>additional</w:t>
            </w:r>
            <w:r>
              <w:rPr>
                <w:spacing w:val="-5"/>
              </w:rPr>
              <w:t> </w:t>
            </w:r>
            <w:r>
              <w:rPr/>
              <w:t>safeguards</w:t>
              <w:tab/>
              <w:t>85</w:t>
            </w:r>
          </w:hyperlink>
        </w:p>
        <w:p>
          <w:pPr>
            <w:pStyle w:val="TOC3"/>
            <w:tabs>
              <w:tab w:pos="9420" w:val="left" w:leader="dot"/>
            </w:tabs>
            <w:spacing w:line="274" w:lineRule="exact"/>
          </w:pPr>
          <w:hyperlink w:history="true" w:anchor="_bookmark66">
            <w:r>
              <w:rPr/>
              <w:t>Steps to safeguard the right to a</w:t>
            </w:r>
            <w:r>
              <w:rPr>
                <w:spacing w:val="-32"/>
              </w:rPr>
              <w:t> </w:t>
            </w:r>
            <w:r>
              <w:rPr/>
              <w:t>fair</w:t>
            </w:r>
            <w:r>
              <w:rPr>
                <w:spacing w:val="-5"/>
              </w:rPr>
              <w:t> </w:t>
            </w:r>
            <w:r>
              <w:rPr/>
              <w:t>trial</w:t>
              <w:tab/>
            </w:r>
            <w:r>
              <w:rPr>
                <w:spacing w:val="-3"/>
              </w:rPr>
              <w:t>87</w:t>
            </w:r>
          </w:hyperlink>
        </w:p>
      </w:sdtContent>
    </w:sdt>
    <w:p>
      <w:pPr>
        <w:spacing w:line="330" w:lineRule="exact" w:before="0"/>
        <w:ind w:left="0" w:right="345" w:firstLine="0"/>
        <w:jc w:val="right"/>
        <w:rPr>
          <w:b/>
          <w:sz w:val="24"/>
        </w:rPr>
      </w:pPr>
      <w:r>
        <w:rPr>
          <w:b/>
          <w:color w:val="37617A"/>
          <w:w w:val="99"/>
          <w:sz w:val="24"/>
        </w:rPr>
        <w:t>v</w:t>
      </w:r>
    </w:p>
    <w:p>
      <w:pPr>
        <w:spacing w:after="0" w:line="330" w:lineRule="exact"/>
        <w:jc w:val="right"/>
        <w:rPr>
          <w:sz w:val="24"/>
        </w:rPr>
        <w:sectPr>
          <w:pgSz w:w="11910" w:h="16840"/>
          <w:pgMar w:header="0" w:footer="0" w:top="840" w:bottom="280" w:left="620" w:right="380"/>
        </w:sectPr>
      </w:pPr>
    </w:p>
    <w:p>
      <w:pPr>
        <w:pStyle w:val="BodyText"/>
        <w:rPr>
          <w:b/>
          <w:sz w:val="22"/>
        </w:rPr>
      </w:pPr>
    </w:p>
    <w:p>
      <w:pPr>
        <w:pStyle w:val="BodyText"/>
        <w:rPr>
          <w:b/>
          <w:sz w:val="22"/>
        </w:rPr>
      </w:pPr>
    </w:p>
    <w:p>
      <w:pPr>
        <w:pStyle w:val="BodyText"/>
        <w:spacing w:before="7"/>
        <w:rPr>
          <w:b/>
          <w:sz w:val="32"/>
        </w:rPr>
      </w:pPr>
    </w:p>
    <w:p>
      <w:pPr>
        <w:pStyle w:val="Heading8"/>
        <w:numPr>
          <w:ilvl w:val="0"/>
          <w:numId w:val="1"/>
        </w:numPr>
        <w:tabs>
          <w:tab w:pos="1308" w:val="left" w:leader="none"/>
          <w:tab w:pos="9404" w:val="left" w:leader="dot"/>
        </w:tabs>
        <w:spacing w:line="240" w:lineRule="auto" w:before="0" w:after="0"/>
        <w:ind w:left="1307" w:right="0" w:hanging="340"/>
        <w:jc w:val="left"/>
      </w:pPr>
      <w:hyperlink w:history="true" w:anchor="_bookmark67">
        <w:r>
          <w:rPr>
            <w:color w:val="37617A"/>
          </w:rPr>
          <w:t>Inclusive juries in</w:t>
        </w:r>
        <w:r>
          <w:rPr>
            <w:color w:val="37617A"/>
            <w:spacing w:val="-12"/>
          </w:rPr>
          <w:t> </w:t>
        </w:r>
        <w:r>
          <w:rPr>
            <w:color w:val="37617A"/>
          </w:rPr>
          <w:t>other</w:t>
        </w:r>
        <w:r>
          <w:rPr>
            <w:color w:val="37617A"/>
            <w:spacing w:val="-4"/>
          </w:rPr>
          <w:t> </w:t>
        </w:r>
        <w:r>
          <w:rPr>
            <w:color w:val="37617A"/>
          </w:rPr>
          <w:t>jurisdictions</w:t>
          <w:tab/>
          <w:t>90</w:t>
        </w:r>
      </w:hyperlink>
    </w:p>
    <w:p>
      <w:pPr>
        <w:pStyle w:val="BodyText"/>
        <w:tabs>
          <w:tab w:pos="9650" w:val="right" w:leader="dot"/>
        </w:tabs>
        <w:spacing w:before="47"/>
        <w:ind w:left="1534"/>
      </w:pPr>
      <w:hyperlink w:history="true" w:anchor="_bookmark67">
        <w:r>
          <w:rPr/>
          <w:t>Overview</w:t>
          <w:tab/>
        </w:r>
        <w:r>
          <w:rPr>
            <w:spacing w:val="3"/>
          </w:rPr>
          <w:t>90</w:t>
        </w:r>
      </w:hyperlink>
    </w:p>
    <w:p>
      <w:pPr>
        <w:pStyle w:val="BodyText"/>
        <w:tabs>
          <w:tab w:pos="9650" w:val="right" w:leader="dot"/>
        </w:tabs>
        <w:spacing w:before="48"/>
        <w:ind w:left="1534"/>
      </w:pPr>
      <w:hyperlink w:history="true" w:anchor="_bookmark67">
        <w:r>
          <w:rPr/>
          <w:t>Changes to jury selection</w:t>
        </w:r>
        <w:r>
          <w:rPr>
            <w:spacing w:val="-9"/>
          </w:rPr>
          <w:t> </w:t>
        </w:r>
        <w:r>
          <w:rPr/>
          <w:t>in</w:t>
        </w:r>
        <w:r>
          <w:rPr>
            <w:spacing w:val="-2"/>
          </w:rPr>
          <w:t> </w:t>
        </w:r>
        <w:r>
          <w:rPr/>
          <w:t>Australia</w:t>
          <w:tab/>
        </w:r>
        <w:r>
          <w:rPr>
            <w:spacing w:val="3"/>
          </w:rPr>
          <w:t>90</w:t>
        </w:r>
      </w:hyperlink>
    </w:p>
    <w:p>
      <w:pPr>
        <w:pStyle w:val="BodyText"/>
        <w:tabs>
          <w:tab w:pos="9650" w:val="right" w:leader="dot"/>
        </w:tabs>
        <w:spacing w:before="41"/>
        <w:ind w:left="1817"/>
      </w:pPr>
      <w:hyperlink w:history="true" w:anchor="_bookmark67">
        <w:r>
          <w:rPr/>
          <w:t>Reform in the Australian</w:t>
        </w:r>
        <w:r>
          <w:rPr>
            <w:spacing w:val="-9"/>
          </w:rPr>
          <w:t> </w:t>
        </w:r>
        <w:r>
          <w:rPr/>
          <w:t>Capital</w:t>
        </w:r>
        <w:r>
          <w:rPr>
            <w:spacing w:val="-2"/>
          </w:rPr>
          <w:t> </w:t>
        </w:r>
        <w:r>
          <w:rPr>
            <w:spacing w:val="-3"/>
          </w:rPr>
          <w:t>Territory</w:t>
          <w:tab/>
        </w:r>
        <w:r>
          <w:rPr>
            <w:spacing w:val="3"/>
          </w:rPr>
          <w:t>90</w:t>
        </w:r>
      </w:hyperlink>
    </w:p>
    <w:p>
      <w:pPr>
        <w:pStyle w:val="BodyText"/>
        <w:tabs>
          <w:tab w:pos="9646" w:val="right" w:leader="dot"/>
        </w:tabs>
        <w:spacing w:before="41"/>
        <w:ind w:left="1817"/>
      </w:pPr>
      <w:hyperlink w:history="true" w:anchor="_bookmark68">
        <w:r>
          <w:rPr/>
          <w:t>Reform in the</w:t>
        </w:r>
        <w:r>
          <w:rPr>
            <w:spacing w:val="-7"/>
          </w:rPr>
          <w:t> </w:t>
        </w:r>
        <w:r>
          <w:rPr/>
          <w:t>Federal</w:t>
        </w:r>
        <w:r>
          <w:rPr>
            <w:spacing w:val="-3"/>
          </w:rPr>
          <w:t> </w:t>
        </w:r>
        <w:r>
          <w:rPr/>
          <w:t>jurisdiction</w:t>
          <w:tab/>
          <w:t>91</w:t>
        </w:r>
      </w:hyperlink>
    </w:p>
    <w:p>
      <w:pPr>
        <w:pStyle w:val="BodyText"/>
        <w:tabs>
          <w:tab w:pos="9646" w:val="right" w:leader="dot"/>
        </w:tabs>
        <w:spacing w:before="42"/>
        <w:ind w:left="1817"/>
      </w:pPr>
      <w:hyperlink w:history="true" w:anchor="_bookmark69">
        <w:r>
          <w:rPr/>
          <w:t>Status of reforms in other Australian states</w:t>
        </w:r>
        <w:r>
          <w:rPr>
            <w:spacing w:val="-20"/>
          </w:rPr>
          <w:t> </w:t>
        </w:r>
        <w:r>
          <w:rPr/>
          <w:t>and</w:t>
        </w:r>
        <w:r>
          <w:rPr>
            <w:spacing w:val="-2"/>
          </w:rPr>
          <w:t> </w:t>
        </w:r>
        <w:r>
          <w:rPr/>
          <w:t>territories</w:t>
          <w:tab/>
          <w:t>92</w:t>
        </w:r>
      </w:hyperlink>
    </w:p>
    <w:p>
      <w:pPr>
        <w:pStyle w:val="BodyText"/>
        <w:tabs>
          <w:tab w:pos="9644" w:val="right" w:leader="dot"/>
        </w:tabs>
        <w:spacing w:before="47"/>
        <w:ind w:left="1534"/>
      </w:pPr>
      <w:hyperlink w:history="true" w:anchor="_bookmark70">
        <w:r>
          <w:rPr/>
          <w:t>Inclusive juries in the</w:t>
        </w:r>
        <w:r>
          <w:rPr>
            <w:spacing w:val="-10"/>
          </w:rPr>
          <w:t> </w:t>
        </w:r>
        <w:r>
          <w:rPr/>
          <w:t>United</w:t>
        </w:r>
        <w:r>
          <w:rPr>
            <w:spacing w:val="-2"/>
          </w:rPr>
          <w:t> </w:t>
        </w:r>
        <w:r>
          <w:rPr/>
          <w:t>States</w:t>
          <w:tab/>
        </w:r>
        <w:r>
          <w:rPr>
            <w:spacing w:val="-4"/>
          </w:rPr>
          <w:t>93</w:t>
        </w:r>
      </w:hyperlink>
    </w:p>
    <w:p>
      <w:pPr>
        <w:pStyle w:val="BodyText"/>
        <w:tabs>
          <w:tab w:pos="9650" w:val="right" w:leader="dot"/>
        </w:tabs>
        <w:spacing w:before="48"/>
        <w:ind w:left="1534"/>
      </w:pPr>
      <w:hyperlink w:history="true" w:anchor="_bookmark71">
        <w:r>
          <w:rPr/>
          <w:t>Inclusive juries in England</w:t>
        </w:r>
        <w:r>
          <w:rPr>
            <w:spacing w:val="-9"/>
          </w:rPr>
          <w:t> </w:t>
        </w:r>
        <w:r>
          <w:rPr/>
          <w:t>and</w:t>
        </w:r>
        <w:r>
          <w:rPr>
            <w:spacing w:val="-3"/>
          </w:rPr>
          <w:t> Wales</w:t>
          <w:tab/>
        </w:r>
        <w:r>
          <w:rPr>
            <w:spacing w:val="3"/>
          </w:rPr>
          <w:t>98</w:t>
        </w:r>
      </w:hyperlink>
    </w:p>
    <w:p>
      <w:pPr>
        <w:pStyle w:val="BodyText"/>
        <w:tabs>
          <w:tab w:pos="9647" w:val="right" w:leader="dot"/>
        </w:tabs>
        <w:spacing w:before="47"/>
        <w:ind w:left="1534"/>
      </w:pPr>
      <w:hyperlink w:history="true" w:anchor="_bookmark72">
        <w:r>
          <w:rPr/>
          <w:t>Inclusive juries in</w:t>
        </w:r>
        <w:r>
          <w:rPr>
            <w:spacing w:val="-7"/>
          </w:rPr>
          <w:t> </w:t>
        </w:r>
        <w:r>
          <w:rPr/>
          <w:t>New</w:t>
        </w:r>
        <w:r>
          <w:rPr>
            <w:spacing w:val="-3"/>
          </w:rPr>
          <w:t> </w:t>
        </w:r>
        <w:r>
          <w:rPr/>
          <w:t>Zealand</w:t>
          <w:tab/>
        </w:r>
        <w:r>
          <w:rPr>
            <w:spacing w:val="-2"/>
          </w:rPr>
          <w:t>101</w:t>
        </w:r>
      </w:hyperlink>
    </w:p>
    <w:p>
      <w:pPr>
        <w:pStyle w:val="BodyText"/>
        <w:tabs>
          <w:tab w:pos="9647" w:val="right" w:leader="dot"/>
        </w:tabs>
        <w:spacing w:before="48"/>
        <w:ind w:left="1534"/>
      </w:pPr>
      <w:hyperlink w:history="true" w:anchor="_bookmark73">
        <w:r>
          <w:rPr/>
          <w:t>Inclusive juries</w:t>
        </w:r>
        <w:r>
          <w:rPr>
            <w:spacing w:val="-5"/>
          </w:rPr>
          <w:t> </w:t>
        </w:r>
        <w:r>
          <w:rPr/>
          <w:t>in</w:t>
        </w:r>
        <w:r>
          <w:rPr>
            <w:spacing w:val="-2"/>
          </w:rPr>
          <w:t> </w:t>
        </w:r>
        <w:r>
          <w:rPr/>
          <w:t>Ireland</w:t>
          <w:tab/>
        </w:r>
        <w:r>
          <w:rPr>
            <w:spacing w:val="-3"/>
          </w:rPr>
          <w:t>103</w:t>
        </w:r>
      </w:hyperlink>
    </w:p>
    <w:p>
      <w:pPr>
        <w:pStyle w:val="BodyText"/>
        <w:tabs>
          <w:tab w:pos="9647" w:val="right" w:leader="dot"/>
        </w:tabs>
        <w:spacing w:before="47"/>
        <w:ind w:left="1534"/>
      </w:pPr>
      <w:hyperlink w:history="true" w:anchor="_bookmark74">
        <w:r>
          <w:rPr/>
          <w:t>Victoria is lagging behind</w:t>
        </w:r>
        <w:r>
          <w:rPr>
            <w:spacing w:val="-10"/>
          </w:rPr>
          <w:t> </w:t>
        </w:r>
        <w:r>
          <w:rPr/>
          <w:t>other</w:t>
        </w:r>
        <w:r>
          <w:rPr>
            <w:spacing w:val="-2"/>
          </w:rPr>
          <w:t> </w:t>
        </w:r>
        <w:r>
          <w:rPr/>
          <w:t>jurisdictions</w:t>
          <w:tab/>
        </w:r>
        <w:r>
          <w:rPr>
            <w:spacing w:val="-2"/>
          </w:rPr>
          <w:t>104</w:t>
        </w:r>
      </w:hyperlink>
    </w:p>
    <w:p>
      <w:pPr>
        <w:pStyle w:val="Heading8"/>
        <w:spacing w:line="240" w:lineRule="auto" w:before="360"/>
        <w:ind w:left="967"/>
      </w:pPr>
      <w:hyperlink w:history="true" w:anchor="_bookmark75">
        <w:r>
          <w:rPr>
            <w:color w:val="37617A"/>
          </w:rPr>
          <w:t>PART TWo</w:t>
        </w:r>
      </w:hyperlink>
    </w:p>
    <w:p>
      <w:pPr>
        <w:pStyle w:val="Heading8"/>
        <w:numPr>
          <w:ilvl w:val="0"/>
          <w:numId w:val="1"/>
        </w:numPr>
        <w:tabs>
          <w:tab w:pos="1308" w:val="left" w:leader="none"/>
          <w:tab w:pos="9305" w:val="left" w:leader="dot"/>
        </w:tabs>
        <w:spacing w:line="240" w:lineRule="auto" w:before="42" w:after="0"/>
        <w:ind w:left="1307" w:right="0" w:hanging="340"/>
        <w:jc w:val="left"/>
      </w:pPr>
      <w:hyperlink w:history="true" w:anchor="_bookmark76">
        <w:r>
          <w:rPr>
            <w:color w:val="37617A"/>
          </w:rPr>
          <w:t>Reforming the Juries Act to enable</w:t>
        </w:r>
        <w:r>
          <w:rPr>
            <w:color w:val="37617A"/>
            <w:spacing w:val="-28"/>
          </w:rPr>
          <w:t> </w:t>
        </w:r>
        <w:r>
          <w:rPr>
            <w:color w:val="37617A"/>
          </w:rPr>
          <w:t>inclusive</w:t>
        </w:r>
        <w:r>
          <w:rPr>
            <w:color w:val="37617A"/>
            <w:spacing w:val="-4"/>
          </w:rPr>
          <w:t> </w:t>
        </w:r>
        <w:r>
          <w:rPr>
            <w:color w:val="37617A"/>
          </w:rPr>
          <w:t>juries</w:t>
          <w:tab/>
          <w:t>106</w:t>
        </w:r>
      </w:hyperlink>
    </w:p>
    <w:p>
      <w:pPr>
        <w:pStyle w:val="BodyText"/>
        <w:tabs>
          <w:tab w:pos="9319" w:val="left" w:leader="dot"/>
        </w:tabs>
        <w:spacing w:before="47"/>
        <w:ind w:left="1534"/>
      </w:pPr>
      <w:hyperlink w:history="true" w:anchor="_bookmark76">
        <w:r>
          <w:rPr/>
          <w:t>Overview</w:t>
          <w:tab/>
          <w:t>106</w:t>
        </w:r>
      </w:hyperlink>
    </w:p>
    <w:p>
      <w:pPr>
        <w:pStyle w:val="BodyText"/>
        <w:tabs>
          <w:tab w:pos="9319" w:val="left" w:leader="dot"/>
        </w:tabs>
        <w:spacing w:before="48"/>
        <w:ind w:left="1534"/>
      </w:pPr>
      <w:hyperlink w:history="true" w:anchor="_bookmark76">
        <w:r>
          <w:rPr/>
          <w:t>Legislative change</w:t>
        </w:r>
        <w:r>
          <w:rPr>
            <w:spacing w:val="-9"/>
          </w:rPr>
          <w:t> </w:t>
        </w:r>
        <w:r>
          <w:rPr/>
          <w:t>is</w:t>
        </w:r>
        <w:r>
          <w:rPr>
            <w:spacing w:val="-4"/>
          </w:rPr>
          <w:t> </w:t>
        </w:r>
        <w:r>
          <w:rPr/>
          <w:t>needed</w:t>
          <w:tab/>
          <w:t>106</w:t>
        </w:r>
      </w:hyperlink>
    </w:p>
    <w:p>
      <w:pPr>
        <w:pStyle w:val="BodyText"/>
        <w:spacing w:line="259" w:lineRule="exact" w:before="47"/>
        <w:ind w:left="1534"/>
      </w:pPr>
      <w:hyperlink w:history="true" w:anchor="_bookmark77">
        <w:r>
          <w:rPr/>
          <w:t>The legislative approach in the Australian Capital Territory and England</w:t>
        </w:r>
      </w:hyperlink>
    </w:p>
    <w:p>
      <w:pPr>
        <w:pStyle w:val="BodyText"/>
        <w:tabs>
          <w:tab w:pos="9339" w:val="left" w:leader="dot"/>
        </w:tabs>
        <w:spacing w:line="259" w:lineRule="exact"/>
        <w:ind w:left="1534"/>
      </w:pPr>
      <w:hyperlink w:history="true" w:anchor="_bookmark77">
        <w:r>
          <w:rPr/>
          <w:t>and</w:t>
        </w:r>
        <w:r>
          <w:rPr>
            <w:spacing w:val="-3"/>
          </w:rPr>
          <w:t> Wales</w:t>
          <w:tab/>
        </w:r>
        <w:r>
          <w:rPr>
            <w:spacing w:val="-7"/>
          </w:rPr>
          <w:t>107</w:t>
        </w:r>
      </w:hyperlink>
    </w:p>
    <w:p>
      <w:pPr>
        <w:pStyle w:val="BodyText"/>
        <w:tabs>
          <w:tab w:pos="9339" w:val="left" w:leader="dot"/>
        </w:tabs>
        <w:spacing w:before="42"/>
        <w:ind w:left="1817"/>
      </w:pPr>
      <w:hyperlink w:history="true" w:anchor="_bookmark77">
        <w:r>
          <w:rPr/>
          <w:t>Australian</w:t>
        </w:r>
        <w:r>
          <w:rPr>
            <w:spacing w:val="-3"/>
          </w:rPr>
          <w:t> </w:t>
        </w:r>
        <w:r>
          <w:rPr/>
          <w:t>Capital</w:t>
        </w:r>
        <w:r>
          <w:rPr>
            <w:spacing w:val="-2"/>
          </w:rPr>
          <w:t> </w:t>
        </w:r>
        <w:r>
          <w:rPr>
            <w:spacing w:val="-3"/>
          </w:rPr>
          <w:t>Territory</w:t>
          <w:tab/>
        </w:r>
        <w:r>
          <w:rPr>
            <w:spacing w:val="-7"/>
          </w:rPr>
          <w:t>107</w:t>
        </w:r>
      </w:hyperlink>
    </w:p>
    <w:p>
      <w:pPr>
        <w:pStyle w:val="BodyText"/>
        <w:tabs>
          <w:tab w:pos="9322" w:val="left" w:leader="dot"/>
        </w:tabs>
        <w:spacing w:before="41"/>
        <w:ind w:left="1817"/>
      </w:pPr>
      <w:hyperlink w:history="true" w:anchor="_bookmark78">
        <w:r>
          <w:rPr/>
          <w:t>The approach in England</w:t>
        </w:r>
        <w:r>
          <w:rPr>
            <w:spacing w:val="-17"/>
          </w:rPr>
          <w:t> </w:t>
        </w:r>
        <w:r>
          <w:rPr/>
          <w:t>and</w:t>
        </w:r>
        <w:r>
          <w:rPr>
            <w:spacing w:val="-4"/>
          </w:rPr>
          <w:t> </w:t>
        </w:r>
        <w:r>
          <w:rPr>
            <w:spacing w:val="-3"/>
          </w:rPr>
          <w:t>Wales</w:t>
          <w:tab/>
        </w:r>
        <w:r>
          <w:rPr/>
          <w:t>108</w:t>
        </w:r>
      </w:hyperlink>
    </w:p>
    <w:p>
      <w:pPr>
        <w:pStyle w:val="BodyText"/>
        <w:tabs>
          <w:tab w:pos="9322" w:val="left" w:leader="dot"/>
        </w:tabs>
        <w:spacing w:before="48"/>
        <w:ind w:left="1534"/>
      </w:pPr>
      <w:hyperlink w:history="true" w:anchor="_bookmark79">
        <w:r>
          <w:rPr/>
          <w:t>How should the Juries Act</w:t>
        </w:r>
        <w:r>
          <w:rPr>
            <w:spacing w:val="-22"/>
          </w:rPr>
          <w:t> </w:t>
        </w:r>
        <w:r>
          <w:rPr/>
          <w:t>be</w:t>
        </w:r>
        <w:r>
          <w:rPr>
            <w:spacing w:val="-5"/>
          </w:rPr>
          <w:t> </w:t>
        </w:r>
        <w:r>
          <w:rPr/>
          <w:t>amended?</w:t>
          <w:tab/>
          <w:t>109</w:t>
        </w:r>
      </w:hyperlink>
    </w:p>
    <w:p>
      <w:pPr>
        <w:pStyle w:val="BodyText"/>
        <w:tabs>
          <w:tab w:pos="9322" w:val="left" w:leader="dot"/>
        </w:tabs>
        <w:spacing w:before="41"/>
        <w:ind w:left="1817"/>
      </w:pPr>
      <w:hyperlink w:history="true" w:anchor="_bookmark79">
        <w:r>
          <w:rPr/>
          <w:t>A</w:t>
        </w:r>
        <w:r>
          <w:rPr>
            <w:spacing w:val="-6"/>
          </w:rPr>
          <w:t> </w:t>
        </w:r>
        <w:r>
          <w:rPr/>
          <w:t>new</w:t>
        </w:r>
        <w:r>
          <w:rPr>
            <w:spacing w:val="-5"/>
          </w:rPr>
          <w:t> </w:t>
        </w:r>
        <w:r>
          <w:rPr/>
          <w:t>obligation</w:t>
        </w:r>
        <w:r>
          <w:rPr>
            <w:spacing w:val="-6"/>
          </w:rPr>
          <w:t> </w:t>
        </w:r>
        <w:r>
          <w:rPr/>
          <w:t>on</w:t>
        </w:r>
        <w:r>
          <w:rPr>
            <w:spacing w:val="-5"/>
          </w:rPr>
          <w:t> </w:t>
        </w:r>
        <w:r>
          <w:rPr/>
          <w:t>the</w:t>
        </w:r>
        <w:r>
          <w:rPr>
            <w:spacing w:val="-6"/>
          </w:rPr>
          <w:t> </w:t>
        </w:r>
        <w:r>
          <w:rPr/>
          <w:t>courts</w:t>
        </w:r>
        <w:r>
          <w:rPr>
            <w:spacing w:val="-5"/>
          </w:rPr>
          <w:t> </w:t>
        </w:r>
        <w:r>
          <w:rPr/>
          <w:t>to</w:t>
        </w:r>
        <w:r>
          <w:rPr>
            <w:spacing w:val="-6"/>
          </w:rPr>
          <w:t> </w:t>
        </w:r>
        <w:r>
          <w:rPr/>
          <w:t>provide</w:t>
        </w:r>
        <w:r>
          <w:rPr>
            <w:spacing w:val="-5"/>
          </w:rPr>
          <w:t> </w:t>
        </w:r>
        <w:r>
          <w:rPr/>
          <w:t>reasonable</w:t>
        </w:r>
        <w:r>
          <w:rPr>
            <w:spacing w:val="-6"/>
          </w:rPr>
          <w:t> </w:t>
        </w:r>
        <w:r>
          <w:rPr/>
          <w:t>adjustments</w:t>
          <w:tab/>
          <w:t>109</w:t>
        </w:r>
      </w:hyperlink>
    </w:p>
    <w:p>
      <w:pPr>
        <w:pStyle w:val="BodyText"/>
        <w:tabs>
          <w:tab w:pos="9322" w:val="left" w:leader="dot"/>
        </w:tabs>
        <w:spacing w:before="41"/>
        <w:ind w:left="1817"/>
      </w:pPr>
      <w:hyperlink w:history="true" w:anchor="_bookmark79">
        <w:r>
          <w:rPr>
            <w:spacing w:val="-3"/>
          </w:rPr>
          <w:t>Fair</w:t>
        </w:r>
        <w:r>
          <w:rPr>
            <w:spacing w:val="-6"/>
          </w:rPr>
          <w:t> </w:t>
        </w:r>
        <w:r>
          <w:rPr/>
          <w:t>trial</w:t>
        </w:r>
        <w:r>
          <w:rPr>
            <w:spacing w:val="-5"/>
          </w:rPr>
          <w:t> </w:t>
        </w:r>
        <w:r>
          <w:rPr/>
          <w:t>considerations</w:t>
          <w:tab/>
          <w:t>109</w:t>
        </w:r>
      </w:hyperlink>
    </w:p>
    <w:p>
      <w:pPr>
        <w:pStyle w:val="BodyText"/>
        <w:tabs>
          <w:tab w:pos="9356" w:val="left" w:leader="dot"/>
        </w:tabs>
        <w:spacing w:before="42"/>
        <w:ind w:left="1817"/>
      </w:pPr>
      <w:hyperlink w:history="true" w:anchor="_bookmark80">
        <w:r>
          <w:rPr/>
          <w:t>The 13th person rule should</w:t>
        </w:r>
        <w:r>
          <w:rPr>
            <w:spacing w:val="-24"/>
          </w:rPr>
          <w:t> </w:t>
        </w:r>
        <w:r>
          <w:rPr/>
          <w:t>be</w:t>
        </w:r>
        <w:r>
          <w:rPr>
            <w:spacing w:val="-5"/>
          </w:rPr>
          <w:t> </w:t>
        </w:r>
        <w:r>
          <w:rPr/>
          <w:t>limited</w:t>
          <w:tab/>
        </w:r>
        <w:r>
          <w:rPr>
            <w:spacing w:val="-3"/>
          </w:rPr>
          <w:t>110</w:t>
        </w:r>
      </w:hyperlink>
    </w:p>
    <w:p>
      <w:pPr>
        <w:pStyle w:val="BodyText"/>
        <w:spacing w:line="256" w:lineRule="exact" w:before="41"/>
        <w:ind w:left="1817"/>
      </w:pPr>
      <w:hyperlink w:history="true" w:anchor="_bookmark81">
        <w:r>
          <w:rPr/>
          <w:t>A judge should make the final decision about the use of reasonable</w:t>
        </w:r>
      </w:hyperlink>
    </w:p>
    <w:p>
      <w:pPr>
        <w:pStyle w:val="BodyText"/>
        <w:tabs>
          <w:tab w:pos="9388" w:val="left" w:leader="dot"/>
        </w:tabs>
        <w:spacing w:line="256" w:lineRule="exact"/>
        <w:ind w:left="1817"/>
      </w:pPr>
      <w:hyperlink w:history="true" w:anchor="_bookmark81">
        <w:r>
          <w:rPr/>
          <w:t>adjustments</w:t>
          <w:tab/>
          <w:t>111</w:t>
        </w:r>
      </w:hyperlink>
    </w:p>
    <w:p>
      <w:pPr>
        <w:pStyle w:val="BodyText"/>
        <w:tabs>
          <w:tab w:pos="9366" w:val="left" w:leader="dot"/>
        </w:tabs>
        <w:spacing w:before="42"/>
        <w:ind w:left="1817"/>
      </w:pPr>
      <w:hyperlink w:history="true" w:anchor="_bookmark82">
        <w:r>
          <w:rPr/>
          <w:t>The operation of Schedule 2 should</w:t>
        </w:r>
        <w:r>
          <w:rPr>
            <w:spacing w:val="-26"/>
          </w:rPr>
          <w:t> </w:t>
        </w:r>
        <w:r>
          <w:rPr/>
          <w:t>be</w:t>
        </w:r>
        <w:r>
          <w:rPr>
            <w:spacing w:val="-4"/>
          </w:rPr>
          <w:t> </w:t>
        </w:r>
        <w:r>
          <w:rPr/>
          <w:t>limited</w:t>
          <w:tab/>
          <w:t>112</w:t>
        </w:r>
      </w:hyperlink>
    </w:p>
    <w:p>
      <w:pPr>
        <w:pStyle w:val="BodyText"/>
        <w:tabs>
          <w:tab w:pos="9366" w:val="left" w:leader="dot"/>
        </w:tabs>
        <w:spacing w:before="47"/>
        <w:ind w:left="1534"/>
      </w:pPr>
      <w:hyperlink w:history="true" w:anchor="_bookmark82">
        <w:r>
          <w:rPr>
            <w:spacing w:val="-6"/>
          </w:rPr>
          <w:t>We </w:t>
        </w:r>
        <w:r>
          <w:rPr/>
          <w:t>recommend modifications to the </w:t>
        </w:r>
        <w:r>
          <w:rPr>
            <w:spacing w:val="-3"/>
          </w:rPr>
          <w:t>ACT </w:t>
        </w:r>
        <w:r>
          <w:rPr/>
          <w:t>approach</w:t>
        </w:r>
        <w:r>
          <w:rPr>
            <w:spacing w:val="-29"/>
          </w:rPr>
          <w:t> </w:t>
        </w:r>
        <w:r>
          <w:rPr/>
          <w:t>for</w:t>
        </w:r>
        <w:r>
          <w:rPr>
            <w:spacing w:val="-5"/>
          </w:rPr>
          <w:t> </w:t>
        </w:r>
        <w:r>
          <w:rPr/>
          <w:t>Victoria</w:t>
          <w:tab/>
          <w:t>112</w:t>
        </w:r>
      </w:hyperlink>
    </w:p>
    <w:p>
      <w:pPr>
        <w:pStyle w:val="BodyText"/>
        <w:tabs>
          <w:tab w:pos="9366" w:val="left" w:leader="dot"/>
        </w:tabs>
        <w:spacing w:before="42"/>
        <w:ind w:left="1817"/>
      </w:pPr>
      <w:hyperlink w:history="true" w:anchor="_bookmark82">
        <w:r>
          <w:rPr/>
          <w:t>Improving</w:t>
        </w:r>
        <w:r>
          <w:rPr>
            <w:spacing w:val="-7"/>
          </w:rPr>
          <w:t> </w:t>
        </w:r>
        <w:r>
          <w:rPr/>
          <w:t>language</w:t>
          <w:tab/>
          <w:t>112</w:t>
        </w:r>
      </w:hyperlink>
    </w:p>
    <w:p>
      <w:pPr>
        <w:pStyle w:val="BodyText"/>
        <w:tabs>
          <w:tab w:pos="9367" w:val="left" w:leader="dot"/>
        </w:tabs>
        <w:spacing w:before="41"/>
        <w:ind w:left="1817"/>
      </w:pPr>
      <w:hyperlink w:history="true" w:anchor="_bookmark83">
        <w:r>
          <w:rPr/>
          <w:t>Including more examples</w:t>
        </w:r>
        <w:r>
          <w:rPr>
            <w:spacing w:val="-20"/>
          </w:rPr>
          <w:t> </w:t>
        </w:r>
        <w:r>
          <w:rPr/>
          <w:t>of</w:t>
        </w:r>
        <w:r>
          <w:rPr>
            <w:spacing w:val="-7"/>
          </w:rPr>
          <w:t> </w:t>
        </w:r>
        <w:r>
          <w:rPr/>
          <w:t>adjustments</w:t>
          <w:tab/>
          <w:t>113</w:t>
        </w:r>
      </w:hyperlink>
    </w:p>
    <w:p>
      <w:pPr>
        <w:pStyle w:val="BodyText"/>
        <w:tabs>
          <w:tab w:pos="9361" w:val="left" w:leader="dot"/>
        </w:tabs>
        <w:spacing w:before="42"/>
        <w:ind w:left="1817"/>
      </w:pPr>
      <w:hyperlink w:history="true" w:anchor="_bookmark84">
        <w:r>
          <w:rPr/>
          <w:t>Refining</w:t>
        </w:r>
        <w:r>
          <w:rPr>
            <w:spacing w:val="-5"/>
          </w:rPr>
          <w:t> </w:t>
        </w:r>
        <w:r>
          <w:rPr/>
          <w:t>the</w:t>
        </w:r>
        <w:r>
          <w:rPr>
            <w:spacing w:val="-5"/>
          </w:rPr>
          <w:t> </w:t>
        </w:r>
        <w:r>
          <w:rPr/>
          <w:t>list</w:t>
        </w:r>
        <w:r>
          <w:rPr>
            <w:spacing w:val="-4"/>
          </w:rPr>
          <w:t> </w:t>
        </w:r>
        <w:r>
          <w:rPr/>
          <w:t>of</w:t>
        </w:r>
        <w:r>
          <w:rPr>
            <w:spacing w:val="-5"/>
          </w:rPr>
          <w:t> </w:t>
        </w:r>
        <w:r>
          <w:rPr/>
          <w:t>factors</w:t>
        </w:r>
        <w:r>
          <w:rPr>
            <w:spacing w:val="-4"/>
          </w:rPr>
          <w:t> </w:t>
        </w:r>
        <w:r>
          <w:rPr/>
          <w:t>to</w:t>
        </w:r>
        <w:r>
          <w:rPr>
            <w:spacing w:val="-5"/>
          </w:rPr>
          <w:t> </w:t>
        </w:r>
        <w:r>
          <w:rPr/>
          <w:t>be</w:t>
        </w:r>
        <w:r>
          <w:rPr>
            <w:spacing w:val="-4"/>
          </w:rPr>
          <w:t> </w:t>
        </w:r>
        <w:r>
          <w:rPr/>
          <w:t>considered</w:t>
        </w:r>
        <w:r>
          <w:rPr>
            <w:spacing w:val="-5"/>
          </w:rPr>
          <w:t> </w:t>
        </w:r>
        <w:r>
          <w:rPr>
            <w:spacing w:val="-3"/>
          </w:rPr>
          <w:t>by</w:t>
        </w:r>
        <w:r>
          <w:rPr>
            <w:spacing w:val="-5"/>
          </w:rPr>
          <w:t> </w:t>
        </w:r>
        <w:r>
          <w:rPr/>
          <w:t>a</w:t>
        </w:r>
        <w:r>
          <w:rPr>
            <w:spacing w:val="-4"/>
          </w:rPr>
          <w:t> </w:t>
        </w:r>
        <w:r>
          <w:rPr/>
          <w:t>judge</w:t>
          <w:tab/>
          <w:t>114</w:t>
        </w:r>
      </w:hyperlink>
    </w:p>
    <w:p>
      <w:pPr>
        <w:pStyle w:val="BodyText"/>
        <w:tabs>
          <w:tab w:pos="9358" w:val="left" w:leader="dot"/>
        </w:tabs>
        <w:spacing w:before="41"/>
        <w:ind w:left="1817"/>
      </w:pPr>
      <w:hyperlink w:history="true" w:anchor="_bookmark85">
        <w:r>
          <w:rPr/>
          <w:t>What evidence should the</w:t>
        </w:r>
        <w:r>
          <w:rPr>
            <w:spacing w:val="-24"/>
          </w:rPr>
          <w:t> </w:t>
        </w:r>
        <w:r>
          <w:rPr/>
          <w:t>judge</w:t>
        </w:r>
        <w:r>
          <w:rPr>
            <w:spacing w:val="-6"/>
          </w:rPr>
          <w:t> </w:t>
        </w:r>
        <w:r>
          <w:rPr/>
          <w:t>consider?</w:t>
          <w:tab/>
          <w:t>119</w:t>
        </w:r>
      </w:hyperlink>
    </w:p>
    <w:p>
      <w:pPr>
        <w:pStyle w:val="BodyText"/>
        <w:tabs>
          <w:tab w:pos="9358" w:val="left" w:leader="dot"/>
        </w:tabs>
        <w:spacing w:before="47"/>
        <w:ind w:left="1534"/>
      </w:pPr>
      <w:hyperlink w:history="true" w:anchor="_bookmark85">
        <w:r>
          <w:rPr/>
          <w:t>What</w:t>
        </w:r>
        <w:r>
          <w:rPr>
            <w:spacing w:val="-6"/>
          </w:rPr>
          <w:t> </w:t>
        </w:r>
        <w:r>
          <w:rPr/>
          <w:t>should</w:t>
        </w:r>
        <w:r>
          <w:rPr>
            <w:spacing w:val="-5"/>
          </w:rPr>
          <w:t> </w:t>
        </w:r>
        <w:r>
          <w:rPr/>
          <w:t>happen</w:t>
        </w:r>
        <w:r>
          <w:rPr>
            <w:spacing w:val="-5"/>
          </w:rPr>
          <w:t> </w:t>
        </w:r>
        <w:r>
          <w:rPr/>
          <w:t>if</w:t>
        </w:r>
        <w:r>
          <w:rPr>
            <w:spacing w:val="-5"/>
          </w:rPr>
          <w:t> </w:t>
        </w:r>
        <w:r>
          <w:rPr/>
          <w:t>a</w:t>
        </w:r>
        <w:r>
          <w:rPr>
            <w:spacing w:val="-5"/>
          </w:rPr>
          <w:t> </w:t>
        </w:r>
        <w:r>
          <w:rPr/>
          <w:t>judge</w:t>
        </w:r>
        <w:r>
          <w:rPr>
            <w:spacing w:val="-5"/>
          </w:rPr>
          <w:t> </w:t>
        </w:r>
        <w:r>
          <w:rPr/>
          <w:t>decides</w:t>
        </w:r>
        <w:r>
          <w:rPr>
            <w:spacing w:val="-5"/>
          </w:rPr>
          <w:t> </w:t>
        </w:r>
        <w:r>
          <w:rPr/>
          <w:t>that</w:t>
        </w:r>
        <w:r>
          <w:rPr>
            <w:spacing w:val="-5"/>
          </w:rPr>
          <w:t> </w:t>
        </w:r>
        <w:r>
          <w:rPr/>
          <w:t>adjustments</w:t>
        </w:r>
        <w:r>
          <w:rPr>
            <w:spacing w:val="-6"/>
          </w:rPr>
          <w:t> </w:t>
        </w:r>
        <w:r>
          <w:rPr/>
          <w:t>cannot</w:t>
        </w:r>
        <w:r>
          <w:rPr>
            <w:spacing w:val="-5"/>
          </w:rPr>
          <w:t> </w:t>
        </w:r>
        <w:r>
          <w:rPr/>
          <w:t>be</w:t>
        </w:r>
        <w:r>
          <w:rPr>
            <w:spacing w:val="-5"/>
          </w:rPr>
          <w:t> </w:t>
        </w:r>
        <w:r>
          <w:rPr/>
          <w:t>provided?</w:t>
          <w:tab/>
          <w:t>119</w:t>
        </w:r>
      </w:hyperlink>
    </w:p>
    <w:p>
      <w:pPr>
        <w:pStyle w:val="Heading8"/>
        <w:numPr>
          <w:ilvl w:val="0"/>
          <w:numId w:val="1"/>
        </w:numPr>
        <w:tabs>
          <w:tab w:pos="1308" w:val="left" w:leader="none"/>
        </w:tabs>
        <w:spacing w:line="256" w:lineRule="exact" w:before="42" w:after="0"/>
        <w:ind w:left="1307" w:right="0" w:hanging="340"/>
        <w:jc w:val="left"/>
      </w:pPr>
      <w:hyperlink w:history="true" w:anchor="_bookmark86">
        <w:r>
          <w:rPr>
            <w:color w:val="37617A"/>
          </w:rPr>
          <w:t>Reforming court and Juries Victoria processes to remove barriers</w:t>
        </w:r>
        <w:r>
          <w:rPr>
            <w:color w:val="37617A"/>
            <w:spacing w:val="-22"/>
          </w:rPr>
          <w:t> </w:t>
        </w:r>
        <w:r>
          <w:rPr>
            <w:color w:val="37617A"/>
          </w:rPr>
          <w:t>to</w:t>
        </w:r>
      </w:hyperlink>
    </w:p>
    <w:p>
      <w:pPr>
        <w:pStyle w:val="Heading8"/>
        <w:tabs>
          <w:tab w:pos="9321" w:val="left" w:leader="dot"/>
        </w:tabs>
        <w:spacing w:line="256" w:lineRule="exact"/>
        <w:ind w:left="1307"/>
      </w:pPr>
      <w:hyperlink w:history="true" w:anchor="_bookmark86">
        <w:r>
          <w:rPr>
            <w:color w:val="37617A"/>
          </w:rPr>
          <w:t>inclusive</w:t>
        </w:r>
        <w:r>
          <w:rPr>
            <w:color w:val="37617A"/>
            <w:spacing w:val="-5"/>
          </w:rPr>
          <w:t> </w:t>
        </w:r>
        <w:r>
          <w:rPr>
            <w:color w:val="37617A"/>
          </w:rPr>
          <w:t>juries</w:t>
          <w:tab/>
          <w:t>122</w:t>
        </w:r>
      </w:hyperlink>
    </w:p>
    <w:p>
      <w:pPr>
        <w:pStyle w:val="BodyText"/>
        <w:tabs>
          <w:tab w:pos="9346" w:val="left" w:leader="dot"/>
        </w:tabs>
        <w:spacing w:before="47"/>
        <w:ind w:left="1534"/>
      </w:pPr>
      <w:hyperlink w:history="true" w:anchor="_bookmark86">
        <w:r>
          <w:rPr/>
          <w:t>Overview</w:t>
          <w:tab/>
          <w:t>122</w:t>
        </w:r>
      </w:hyperlink>
    </w:p>
    <w:p>
      <w:pPr>
        <w:pStyle w:val="BodyText"/>
        <w:tabs>
          <w:tab w:pos="9346" w:val="left" w:leader="dot"/>
        </w:tabs>
        <w:spacing w:before="48"/>
        <w:ind w:left="1534"/>
      </w:pPr>
      <w:hyperlink w:history="true" w:anchor="_bookmark86">
        <w:r>
          <w:rPr/>
          <w:t>Introduction</w:t>
          <w:tab/>
          <w:t>122</w:t>
        </w:r>
      </w:hyperlink>
    </w:p>
    <w:p>
      <w:pPr>
        <w:pStyle w:val="BodyText"/>
        <w:tabs>
          <w:tab w:pos="9346" w:val="left" w:leader="dot"/>
        </w:tabs>
        <w:spacing w:before="47"/>
        <w:ind w:left="1534"/>
      </w:pPr>
      <w:hyperlink w:history="true" w:anchor="_bookmark87">
        <w:r>
          <w:rPr/>
          <w:t>The Victorian jury selection process: challenges</w:t>
        </w:r>
        <w:r>
          <w:rPr>
            <w:spacing w:val="-35"/>
          </w:rPr>
          <w:t> </w:t>
        </w:r>
        <w:r>
          <w:rPr/>
          <w:t>for</w:t>
        </w:r>
        <w:r>
          <w:rPr>
            <w:spacing w:val="-6"/>
          </w:rPr>
          <w:t> </w:t>
        </w:r>
        <w:r>
          <w:rPr/>
          <w:t>reform</w:t>
          <w:tab/>
          <w:t>123</w:t>
        </w:r>
      </w:hyperlink>
    </w:p>
    <w:p>
      <w:pPr>
        <w:pStyle w:val="BodyText"/>
        <w:tabs>
          <w:tab w:pos="9346" w:val="left" w:leader="dot"/>
        </w:tabs>
        <w:spacing w:before="42"/>
        <w:ind w:left="1817"/>
      </w:pPr>
      <w:hyperlink w:history="true" w:anchor="_bookmark87">
        <w:r>
          <w:rPr/>
          <w:t>It</w:t>
        </w:r>
        <w:r>
          <w:rPr>
            <w:spacing w:val="-8"/>
          </w:rPr>
          <w:t> </w:t>
        </w:r>
        <w:r>
          <w:rPr/>
          <w:t>is</w:t>
        </w:r>
        <w:r>
          <w:rPr>
            <w:spacing w:val="-8"/>
          </w:rPr>
          <w:t> </w:t>
        </w:r>
        <w:r>
          <w:rPr/>
          <w:t>difficult</w:t>
        </w:r>
        <w:r>
          <w:rPr>
            <w:spacing w:val="-8"/>
          </w:rPr>
          <w:t> </w:t>
        </w:r>
        <w:r>
          <w:rPr/>
          <w:t>to</w:t>
        </w:r>
        <w:r>
          <w:rPr>
            <w:spacing w:val="-8"/>
          </w:rPr>
          <w:t> </w:t>
        </w:r>
        <w:r>
          <w:rPr/>
          <w:t>plan</w:t>
        </w:r>
        <w:r>
          <w:rPr>
            <w:spacing w:val="-8"/>
          </w:rPr>
          <w:t> </w:t>
        </w:r>
        <w:r>
          <w:rPr/>
          <w:t>in</w:t>
        </w:r>
        <w:r>
          <w:rPr>
            <w:spacing w:val="-8"/>
          </w:rPr>
          <w:t> </w:t>
        </w:r>
        <w:r>
          <w:rPr/>
          <w:t>advance</w:t>
          <w:tab/>
          <w:t>123</w:t>
        </w:r>
      </w:hyperlink>
    </w:p>
    <w:p>
      <w:pPr>
        <w:pStyle w:val="BodyText"/>
        <w:tabs>
          <w:tab w:pos="9341" w:val="left" w:leader="dot"/>
        </w:tabs>
        <w:spacing w:before="41"/>
        <w:ind w:left="1817"/>
      </w:pPr>
      <w:hyperlink w:history="true" w:anchor="_bookmark88">
        <w:r>
          <w:rPr/>
          <w:t>Victorian courts</w:t>
        </w:r>
        <w:r>
          <w:rPr>
            <w:spacing w:val="-8"/>
          </w:rPr>
          <w:t> </w:t>
        </w:r>
        <w:r>
          <w:rPr/>
          <w:t>are</w:t>
        </w:r>
        <w:r>
          <w:rPr>
            <w:spacing w:val="-4"/>
          </w:rPr>
          <w:t> </w:t>
        </w:r>
        <w:r>
          <w:rPr/>
          <w:t>busy</w:t>
          <w:tab/>
        </w:r>
        <w:r>
          <w:rPr>
            <w:spacing w:val="2"/>
          </w:rPr>
          <w:t>124</w:t>
        </w:r>
      </w:hyperlink>
    </w:p>
    <w:p>
      <w:pPr>
        <w:pStyle w:val="BodyText"/>
        <w:tabs>
          <w:tab w:pos="9341" w:val="left" w:leader="dot"/>
        </w:tabs>
        <w:spacing w:before="42"/>
        <w:ind w:left="1817"/>
      </w:pPr>
      <w:hyperlink w:history="true" w:anchor="_bookmark88">
        <w:r>
          <w:rPr/>
          <w:t>The Supreme and County Courts</w:t>
        </w:r>
        <w:r>
          <w:rPr>
            <w:spacing w:val="-32"/>
          </w:rPr>
          <w:t> </w:t>
        </w:r>
        <w:r>
          <w:rPr/>
          <w:t>operate</w:t>
        </w:r>
        <w:r>
          <w:rPr>
            <w:spacing w:val="-6"/>
          </w:rPr>
          <w:t> </w:t>
        </w:r>
        <w:r>
          <w:rPr/>
          <w:t>differently</w:t>
          <w:tab/>
        </w:r>
        <w:r>
          <w:rPr>
            <w:spacing w:val="2"/>
          </w:rPr>
          <w:t>124</w:t>
        </w:r>
      </w:hyperlink>
    </w:p>
    <w:p>
      <w:pPr>
        <w:pStyle w:val="BodyText"/>
        <w:tabs>
          <w:tab w:pos="9342" w:val="left" w:leader="dot"/>
        </w:tabs>
        <w:spacing w:before="47"/>
        <w:ind w:left="1534"/>
      </w:pPr>
      <w:hyperlink w:history="true" w:anchor="_bookmark89">
        <w:r>
          <w:rPr/>
          <w:t>How other jurisdictions provide</w:t>
        </w:r>
        <w:r>
          <w:rPr>
            <w:spacing w:val="-31"/>
          </w:rPr>
          <w:t> </w:t>
        </w:r>
        <w:r>
          <w:rPr/>
          <w:t>reasonable</w:t>
        </w:r>
        <w:r>
          <w:rPr>
            <w:spacing w:val="-7"/>
          </w:rPr>
          <w:t> </w:t>
        </w:r>
        <w:r>
          <w:rPr/>
          <w:t>adjustments</w:t>
          <w:tab/>
          <w:t>125</w:t>
        </w:r>
      </w:hyperlink>
    </w:p>
    <w:p>
      <w:pPr>
        <w:pStyle w:val="BodyText"/>
        <w:tabs>
          <w:tab w:pos="9342" w:val="left" w:leader="dot"/>
        </w:tabs>
        <w:spacing w:before="41"/>
        <w:ind w:left="1817"/>
      </w:pPr>
      <w:hyperlink w:history="true" w:anchor="_bookmark89">
        <w:r>
          <w:rPr>
            <w:spacing w:val="-4"/>
          </w:rPr>
          <w:t>Key </w:t>
        </w:r>
        <w:r>
          <w:rPr/>
          <w:t>elements of the</w:t>
        </w:r>
        <w:r>
          <w:rPr>
            <w:spacing w:val="-9"/>
          </w:rPr>
          <w:t> </w:t>
        </w:r>
        <w:r>
          <w:rPr>
            <w:spacing w:val="-3"/>
          </w:rPr>
          <w:t>ACT</w:t>
        </w:r>
        <w:r>
          <w:rPr>
            <w:spacing w:val="-4"/>
          </w:rPr>
          <w:t> </w:t>
        </w:r>
        <w:r>
          <w:rPr/>
          <w:t>approach</w:t>
          <w:tab/>
          <w:t>125</w:t>
        </w:r>
      </w:hyperlink>
    </w:p>
    <w:p>
      <w:pPr>
        <w:pStyle w:val="BodyText"/>
        <w:tabs>
          <w:tab w:pos="9332" w:val="left" w:leader="dot"/>
        </w:tabs>
        <w:spacing w:before="42"/>
        <w:ind w:left="1817"/>
      </w:pPr>
      <w:hyperlink w:history="true" w:anchor="_bookmark90">
        <w:r>
          <w:rPr/>
          <w:t>The approach in England</w:t>
        </w:r>
        <w:r>
          <w:rPr>
            <w:spacing w:val="-17"/>
          </w:rPr>
          <w:t> </w:t>
        </w:r>
        <w:r>
          <w:rPr/>
          <w:t>and</w:t>
        </w:r>
        <w:r>
          <w:rPr>
            <w:spacing w:val="-4"/>
          </w:rPr>
          <w:t> </w:t>
        </w:r>
        <w:r>
          <w:rPr>
            <w:spacing w:val="-3"/>
          </w:rPr>
          <w:t>Wales</w:t>
          <w:tab/>
        </w:r>
        <w:r>
          <w:rPr/>
          <w:t>126</w:t>
        </w:r>
      </w:hyperlink>
    </w:p>
    <w:p>
      <w:pPr>
        <w:spacing w:before="203"/>
        <w:ind w:left="100" w:right="0" w:firstLine="0"/>
        <w:jc w:val="left"/>
        <w:rPr>
          <w:b/>
          <w:sz w:val="24"/>
        </w:rPr>
      </w:pPr>
      <w:r>
        <w:rPr>
          <w:b/>
          <w:color w:val="37617A"/>
          <w:sz w:val="24"/>
        </w:rPr>
        <w:t>vi</w:t>
      </w:r>
    </w:p>
    <w:p>
      <w:pPr>
        <w:spacing w:after="0"/>
        <w:jc w:val="left"/>
        <w:rPr>
          <w:sz w:val="24"/>
        </w:rPr>
        <w:sectPr>
          <w:pgSz w:w="11910" w:h="16840"/>
          <w:pgMar w:header="567" w:footer="0" w:top="860" w:bottom="280" w:left="620" w:right="380"/>
        </w:sectPr>
      </w:pPr>
    </w:p>
    <w:p>
      <w:pPr>
        <w:pStyle w:val="BodyText"/>
        <w:rPr>
          <w:b/>
          <w:sz w:val="22"/>
        </w:rPr>
      </w:pPr>
    </w:p>
    <w:p>
      <w:pPr>
        <w:pStyle w:val="BodyText"/>
        <w:rPr>
          <w:b/>
          <w:sz w:val="22"/>
        </w:rPr>
      </w:pPr>
    </w:p>
    <w:p>
      <w:pPr>
        <w:pStyle w:val="BodyText"/>
        <w:rPr>
          <w:b/>
          <w:sz w:val="22"/>
        </w:rPr>
      </w:pPr>
    </w:p>
    <w:p>
      <w:pPr>
        <w:pStyle w:val="BodyText"/>
        <w:tabs>
          <w:tab w:pos="9346" w:val="left" w:leader="dot"/>
        </w:tabs>
        <w:spacing w:before="175"/>
        <w:ind w:left="1534"/>
      </w:pPr>
      <w:hyperlink w:history="true" w:anchor="_bookmark91">
        <w:r>
          <w:rPr/>
          <w:t>Different approaches proposed</w:t>
        </w:r>
        <w:r>
          <w:rPr>
            <w:spacing w:val="-24"/>
          </w:rPr>
          <w:t> </w:t>
        </w:r>
        <w:r>
          <w:rPr/>
          <w:t>for</w:t>
        </w:r>
        <w:r>
          <w:rPr>
            <w:spacing w:val="-8"/>
          </w:rPr>
          <w:t> </w:t>
        </w:r>
        <w:r>
          <w:rPr/>
          <w:t>Victoria</w:t>
          <w:tab/>
        </w:r>
        <w:r>
          <w:rPr>
            <w:spacing w:val="-2"/>
          </w:rPr>
          <w:t>127</w:t>
        </w:r>
      </w:hyperlink>
    </w:p>
    <w:p>
      <w:pPr>
        <w:pStyle w:val="BodyText"/>
        <w:tabs>
          <w:tab w:pos="9643" w:val="right" w:leader="dot"/>
        </w:tabs>
        <w:spacing w:before="41"/>
        <w:ind w:left="1817"/>
      </w:pPr>
      <w:hyperlink w:history="true" w:anchor="_bookmark91">
        <w:r>
          <w:rPr/>
          <w:t>The County Court’s</w:t>
        </w:r>
        <w:r>
          <w:rPr>
            <w:spacing w:val="-7"/>
          </w:rPr>
          <w:t> </w:t>
        </w:r>
        <w:r>
          <w:rPr/>
          <w:t>proposed</w:t>
        </w:r>
        <w:r>
          <w:rPr>
            <w:spacing w:val="-2"/>
          </w:rPr>
          <w:t> </w:t>
        </w:r>
        <w:r>
          <w:rPr/>
          <w:t>approach</w:t>
          <w:tab/>
        </w:r>
        <w:r>
          <w:rPr>
            <w:spacing w:val="-2"/>
          </w:rPr>
          <w:t>127</w:t>
        </w:r>
      </w:hyperlink>
    </w:p>
    <w:p>
      <w:pPr>
        <w:pStyle w:val="BodyText"/>
        <w:tabs>
          <w:tab w:pos="9647" w:val="right" w:leader="dot"/>
        </w:tabs>
        <w:spacing w:before="41"/>
        <w:ind w:left="1817"/>
      </w:pPr>
      <w:hyperlink w:history="true" w:anchor="_bookmark92">
        <w:r>
          <w:rPr/>
          <w:t>The Supreme Court’s</w:t>
        </w:r>
        <w:r>
          <w:rPr>
            <w:spacing w:val="-7"/>
          </w:rPr>
          <w:t> </w:t>
        </w:r>
        <w:r>
          <w:rPr/>
          <w:t>proposed</w:t>
        </w:r>
        <w:r>
          <w:rPr>
            <w:spacing w:val="-2"/>
          </w:rPr>
          <w:t> </w:t>
        </w:r>
        <w:r>
          <w:rPr/>
          <w:t>approach</w:t>
          <w:tab/>
          <w:t>128</w:t>
        </w:r>
      </w:hyperlink>
    </w:p>
    <w:p>
      <w:pPr>
        <w:pStyle w:val="BodyText"/>
        <w:tabs>
          <w:tab w:pos="9646" w:val="right" w:leader="dot"/>
        </w:tabs>
        <w:spacing w:before="42"/>
        <w:ind w:left="1817"/>
      </w:pPr>
      <w:hyperlink w:history="true" w:anchor="_bookmark93">
        <w:r>
          <w:rPr/>
          <w:t>Juries Victoria’s</w:t>
        </w:r>
        <w:r>
          <w:rPr>
            <w:spacing w:val="-5"/>
          </w:rPr>
          <w:t> </w:t>
        </w:r>
        <w:r>
          <w:rPr/>
          <w:t>proposed</w:t>
        </w:r>
        <w:r>
          <w:rPr>
            <w:spacing w:val="-2"/>
          </w:rPr>
          <w:t> </w:t>
        </w:r>
        <w:r>
          <w:rPr/>
          <w:t>approach</w:t>
          <w:tab/>
          <w:t>129</w:t>
        </w:r>
      </w:hyperlink>
    </w:p>
    <w:p>
      <w:pPr>
        <w:pStyle w:val="BodyText"/>
        <w:tabs>
          <w:tab w:pos="9647" w:val="right" w:leader="dot"/>
        </w:tabs>
        <w:spacing w:before="41"/>
        <w:ind w:left="1817"/>
      </w:pPr>
      <w:hyperlink w:history="true" w:anchor="_bookmark94">
        <w:r>
          <w:rPr/>
          <w:t>Other</w:t>
        </w:r>
        <w:r>
          <w:rPr>
            <w:spacing w:val="-2"/>
          </w:rPr>
          <w:t> </w:t>
        </w:r>
        <w:r>
          <w:rPr/>
          <w:t>proposals</w:t>
          <w:tab/>
          <w:t>130</w:t>
        </w:r>
      </w:hyperlink>
    </w:p>
    <w:p>
      <w:pPr>
        <w:pStyle w:val="BodyText"/>
        <w:tabs>
          <w:tab w:pos="9646" w:val="right" w:leader="dot"/>
        </w:tabs>
        <w:spacing w:before="48"/>
        <w:ind w:left="1534"/>
      </w:pPr>
      <w:hyperlink w:history="true" w:anchor="_bookmark95">
        <w:r>
          <w:rPr/>
          <w:t>The Commission’s conclusions:</w:t>
        </w:r>
        <w:r>
          <w:rPr>
            <w:spacing w:val="-8"/>
          </w:rPr>
          <w:t> </w:t>
        </w:r>
        <w:r>
          <w:rPr/>
          <w:t>procedural</w:t>
        </w:r>
        <w:r>
          <w:rPr>
            <w:spacing w:val="-2"/>
          </w:rPr>
          <w:t> </w:t>
        </w:r>
        <w:r>
          <w:rPr/>
          <w:t>reform</w:t>
          <w:tab/>
          <w:t>131</w:t>
        </w:r>
      </w:hyperlink>
    </w:p>
    <w:p>
      <w:pPr>
        <w:pStyle w:val="BodyText"/>
        <w:spacing w:line="256" w:lineRule="exact" w:before="41"/>
        <w:ind w:left="1817"/>
      </w:pPr>
      <w:hyperlink w:history="true" w:anchor="_bookmark95">
        <w:r>
          <w:rPr/>
          <w:t>Juries Victoria should request information from potential jurors</w:t>
        </w:r>
      </w:hyperlink>
    </w:p>
    <w:p>
      <w:pPr>
        <w:pStyle w:val="BodyText"/>
        <w:tabs>
          <w:tab w:pos="9646" w:val="right" w:leader="dot"/>
        </w:tabs>
        <w:spacing w:line="256" w:lineRule="exact"/>
        <w:ind w:left="1817"/>
      </w:pPr>
      <w:hyperlink w:history="true" w:anchor="_bookmark95">
        <w:r>
          <w:rPr/>
          <w:t>about</w:t>
        </w:r>
        <w:r>
          <w:rPr>
            <w:spacing w:val="-3"/>
          </w:rPr>
          <w:t> </w:t>
        </w:r>
        <w:r>
          <w:rPr/>
          <w:t>adjustments</w:t>
          <w:tab/>
          <w:t>131</w:t>
        </w:r>
      </w:hyperlink>
    </w:p>
    <w:p>
      <w:pPr>
        <w:pStyle w:val="BodyText"/>
        <w:spacing w:line="256" w:lineRule="exact" w:before="42"/>
        <w:ind w:left="1817"/>
      </w:pPr>
      <w:hyperlink w:history="true" w:anchor="_bookmark96">
        <w:r>
          <w:rPr/>
          <w:t>Juries Victoria should discuss the provision of adjustments with the</w:t>
        </w:r>
      </w:hyperlink>
    </w:p>
    <w:p>
      <w:pPr>
        <w:pStyle w:val="BodyText"/>
        <w:tabs>
          <w:tab w:pos="9647" w:val="right" w:leader="dot"/>
        </w:tabs>
        <w:spacing w:line="256" w:lineRule="exact"/>
        <w:ind w:left="1817"/>
      </w:pPr>
      <w:hyperlink w:history="true" w:anchor="_bookmark96">
        <w:r>
          <w:rPr/>
          <w:t>potential</w:t>
        </w:r>
        <w:r>
          <w:rPr>
            <w:spacing w:val="-3"/>
          </w:rPr>
          <w:t> </w:t>
        </w:r>
        <w:r>
          <w:rPr/>
          <w:t>juror</w:t>
          <w:tab/>
          <w:t>132</w:t>
        </w:r>
      </w:hyperlink>
    </w:p>
    <w:p>
      <w:pPr>
        <w:pStyle w:val="BodyText"/>
        <w:tabs>
          <w:tab w:pos="9647" w:val="right" w:leader="dot"/>
        </w:tabs>
        <w:spacing w:before="41"/>
        <w:ind w:left="1817"/>
      </w:pPr>
      <w:hyperlink w:history="true" w:anchor="_bookmark97">
        <w:r>
          <w:rPr/>
          <w:t>Pre-empanelment court visits should</w:t>
        </w:r>
        <w:r>
          <w:rPr>
            <w:spacing w:val="-10"/>
          </w:rPr>
          <w:t> </w:t>
        </w:r>
        <w:r>
          <w:rPr/>
          <w:t>be</w:t>
        </w:r>
        <w:r>
          <w:rPr>
            <w:spacing w:val="-2"/>
          </w:rPr>
          <w:t> </w:t>
        </w:r>
        <w:r>
          <w:rPr/>
          <w:t>permitted</w:t>
          <w:tab/>
          <w:t>133</w:t>
        </w:r>
      </w:hyperlink>
    </w:p>
    <w:p>
      <w:pPr>
        <w:pStyle w:val="BodyText"/>
        <w:tabs>
          <w:tab w:pos="9647" w:val="right" w:leader="dot"/>
        </w:tabs>
        <w:spacing w:before="42"/>
        <w:ind w:left="1817"/>
      </w:pPr>
      <w:hyperlink w:history="true" w:anchor="_bookmark97">
        <w:r>
          <w:rPr/>
          <w:t>Juries Victoria should coordinate the provision</w:t>
        </w:r>
        <w:r>
          <w:rPr>
            <w:spacing w:val="-18"/>
          </w:rPr>
          <w:t> </w:t>
        </w:r>
        <w:r>
          <w:rPr/>
          <w:t>of</w:t>
        </w:r>
        <w:r>
          <w:rPr>
            <w:spacing w:val="-3"/>
          </w:rPr>
          <w:t> </w:t>
        </w:r>
        <w:r>
          <w:rPr/>
          <w:t>adjustments</w:t>
          <w:tab/>
          <w:t>133</w:t>
        </w:r>
      </w:hyperlink>
    </w:p>
    <w:p>
      <w:pPr>
        <w:pStyle w:val="BodyText"/>
        <w:tabs>
          <w:tab w:pos="9647" w:val="right" w:leader="dot"/>
        </w:tabs>
        <w:spacing w:before="41"/>
        <w:ind w:left="1817"/>
      </w:pPr>
      <w:r>
        <w:rPr/>
        <w:t>The Juries Commissioner </w:t>
      </w:r>
      <w:hyperlink w:history="true" w:anchor="_bookmark98">
        <w:r>
          <w:rPr/>
          <w:t>should make a recommendation to</w:t>
        </w:r>
        <w:r>
          <w:rPr>
            <w:spacing w:val="-25"/>
          </w:rPr>
          <w:t> </w:t>
        </w:r>
        <w:r>
          <w:rPr/>
          <w:t>the</w:t>
        </w:r>
        <w:r>
          <w:rPr>
            <w:spacing w:val="-3"/>
          </w:rPr>
          <w:t> </w:t>
        </w:r>
        <w:r>
          <w:rPr/>
          <w:t>court</w:t>
          <w:tab/>
          <w:t>134</w:t>
        </w:r>
      </w:hyperlink>
    </w:p>
    <w:p>
      <w:pPr>
        <w:pStyle w:val="BodyText"/>
        <w:tabs>
          <w:tab w:pos="9647" w:val="right" w:leader="dot"/>
        </w:tabs>
        <w:spacing w:before="41"/>
        <w:ind w:left="1817"/>
      </w:pPr>
      <w:hyperlink w:history="true" w:anchor="_bookmark99">
        <w:r>
          <w:rPr/>
          <w:t>The trial judge should make the</w:t>
        </w:r>
        <w:r>
          <w:rPr>
            <w:spacing w:val="-15"/>
          </w:rPr>
          <w:t> </w:t>
        </w:r>
        <w:r>
          <w:rPr/>
          <w:t>final</w:t>
        </w:r>
        <w:r>
          <w:rPr>
            <w:spacing w:val="-3"/>
          </w:rPr>
          <w:t> </w:t>
        </w:r>
        <w:r>
          <w:rPr/>
          <w:t>decision</w:t>
          <w:tab/>
          <w:t>136</w:t>
        </w:r>
      </w:hyperlink>
    </w:p>
    <w:p>
      <w:pPr>
        <w:pStyle w:val="BodyText"/>
        <w:tabs>
          <w:tab w:pos="9647" w:val="right" w:leader="dot"/>
        </w:tabs>
        <w:spacing w:before="42"/>
        <w:ind w:left="1817"/>
      </w:pPr>
      <w:hyperlink w:history="true" w:anchor="_bookmark99">
        <w:r>
          <w:rPr/>
          <w:t>The court should provide information about the use</w:t>
        </w:r>
        <w:r>
          <w:rPr>
            <w:spacing w:val="-24"/>
          </w:rPr>
          <w:t> </w:t>
        </w:r>
        <w:r>
          <w:rPr/>
          <w:t>of</w:t>
        </w:r>
        <w:r>
          <w:rPr>
            <w:spacing w:val="-3"/>
          </w:rPr>
          <w:t> </w:t>
        </w:r>
        <w:r>
          <w:rPr/>
          <w:t>adjustments</w:t>
          <w:tab/>
          <w:t>136</w:t>
        </w:r>
      </w:hyperlink>
    </w:p>
    <w:p>
      <w:pPr>
        <w:pStyle w:val="Heading8"/>
        <w:numPr>
          <w:ilvl w:val="0"/>
          <w:numId w:val="1"/>
        </w:numPr>
        <w:tabs>
          <w:tab w:pos="1308" w:val="left" w:leader="none"/>
          <w:tab w:pos="9646" w:val="right" w:leader="dot"/>
        </w:tabs>
        <w:spacing w:line="240" w:lineRule="auto" w:before="41" w:after="0"/>
        <w:ind w:left="1307" w:right="0" w:hanging="340"/>
        <w:jc w:val="left"/>
      </w:pPr>
      <w:hyperlink w:history="true" w:anchor="_bookmark100">
        <w:r>
          <w:rPr>
            <w:color w:val="37617A"/>
          </w:rPr>
          <w:t>Adjustments to enable</w:t>
        </w:r>
        <w:r>
          <w:rPr>
            <w:color w:val="37617A"/>
            <w:spacing w:val="-7"/>
          </w:rPr>
          <w:t> </w:t>
        </w:r>
        <w:r>
          <w:rPr>
            <w:color w:val="37617A"/>
          </w:rPr>
          <w:t>jury</w:t>
        </w:r>
        <w:r>
          <w:rPr>
            <w:color w:val="37617A"/>
            <w:spacing w:val="-2"/>
          </w:rPr>
          <w:t> </w:t>
        </w:r>
        <w:r>
          <w:rPr>
            <w:color w:val="37617A"/>
          </w:rPr>
          <w:t>service</w:t>
          <w:tab/>
          <w:t>142</w:t>
        </w:r>
      </w:hyperlink>
    </w:p>
    <w:p>
      <w:pPr>
        <w:pStyle w:val="BodyText"/>
        <w:tabs>
          <w:tab w:pos="9648" w:val="right" w:leader="dot"/>
        </w:tabs>
        <w:spacing w:before="48"/>
        <w:ind w:left="1534"/>
      </w:pPr>
      <w:hyperlink w:history="true" w:anchor="_bookmark100">
        <w:r>
          <w:rPr/>
          <w:t>Overview</w:t>
          <w:tab/>
        </w:r>
        <w:r>
          <w:rPr>
            <w:spacing w:val="2"/>
          </w:rPr>
          <w:t>142</w:t>
        </w:r>
      </w:hyperlink>
    </w:p>
    <w:p>
      <w:pPr>
        <w:pStyle w:val="BodyText"/>
        <w:tabs>
          <w:tab w:pos="9648" w:val="right" w:leader="dot"/>
        </w:tabs>
        <w:spacing w:before="47"/>
        <w:ind w:left="1534"/>
      </w:pPr>
      <w:hyperlink w:history="true" w:anchor="_bookmark100">
        <w:r>
          <w:rPr/>
          <w:t>What types of adjustments might people use to serve on</w:t>
        </w:r>
        <w:r>
          <w:rPr>
            <w:spacing w:val="-24"/>
          </w:rPr>
          <w:t> </w:t>
        </w:r>
        <w:r>
          <w:rPr/>
          <w:t>a</w:t>
        </w:r>
        <w:r>
          <w:rPr>
            <w:spacing w:val="-2"/>
          </w:rPr>
          <w:t> </w:t>
        </w:r>
        <w:r>
          <w:rPr/>
          <w:t>jury?</w:t>
          <w:tab/>
        </w:r>
        <w:r>
          <w:rPr>
            <w:spacing w:val="2"/>
          </w:rPr>
          <w:t>142</w:t>
        </w:r>
      </w:hyperlink>
    </w:p>
    <w:p>
      <w:pPr>
        <w:pStyle w:val="BodyText"/>
        <w:tabs>
          <w:tab w:pos="9643" w:val="right" w:leader="dot"/>
        </w:tabs>
        <w:spacing w:before="48"/>
        <w:ind w:left="1534"/>
      </w:pPr>
      <w:hyperlink w:history="true" w:anchor="_bookmark101">
        <w:r>
          <w:rPr/>
          <w:t>Adjustments for people who are deaf or hard</w:t>
        </w:r>
        <w:r>
          <w:rPr>
            <w:spacing w:val="-20"/>
          </w:rPr>
          <w:t> </w:t>
        </w:r>
        <w:r>
          <w:rPr/>
          <w:t>of</w:t>
        </w:r>
        <w:r>
          <w:rPr>
            <w:spacing w:val="-2"/>
          </w:rPr>
          <w:t> </w:t>
        </w:r>
        <w:r>
          <w:rPr/>
          <w:t>hearing</w:t>
          <w:tab/>
          <w:t>143</w:t>
        </w:r>
      </w:hyperlink>
    </w:p>
    <w:p>
      <w:pPr>
        <w:pStyle w:val="BodyText"/>
        <w:tabs>
          <w:tab w:pos="9643" w:val="right" w:leader="dot"/>
        </w:tabs>
        <w:spacing w:before="41"/>
        <w:ind w:left="1817"/>
      </w:pPr>
      <w:hyperlink w:history="true" w:anchor="_bookmark101">
        <w:r>
          <w:rPr/>
          <w:t>Lip-reading</w:t>
          <w:tab/>
          <w:t>143</w:t>
        </w:r>
      </w:hyperlink>
    </w:p>
    <w:p>
      <w:pPr>
        <w:pStyle w:val="BodyText"/>
        <w:tabs>
          <w:tab w:pos="9643" w:val="right" w:leader="dot"/>
        </w:tabs>
        <w:spacing w:before="42"/>
        <w:ind w:left="1817"/>
      </w:pPr>
      <w:hyperlink w:history="true" w:anchor="_bookmark101">
        <w:r>
          <w:rPr/>
          <w:t>Auslan</w:t>
        </w:r>
        <w:r>
          <w:rPr>
            <w:spacing w:val="-3"/>
          </w:rPr>
          <w:t> </w:t>
        </w:r>
        <w:r>
          <w:rPr/>
          <w:t>interpreters</w:t>
          <w:tab/>
          <w:t>143</w:t>
        </w:r>
      </w:hyperlink>
    </w:p>
    <w:p>
      <w:pPr>
        <w:pStyle w:val="BodyText"/>
        <w:tabs>
          <w:tab w:pos="9643" w:val="right" w:leader="dot"/>
        </w:tabs>
        <w:spacing w:before="41"/>
        <w:ind w:left="1817"/>
      </w:pPr>
      <w:hyperlink w:history="true" w:anchor="_bookmark101">
        <w:r>
          <w:rPr/>
          <w:t>Hearing</w:t>
        </w:r>
        <w:r>
          <w:rPr>
            <w:spacing w:val="-3"/>
          </w:rPr>
          <w:t> </w:t>
        </w:r>
        <w:r>
          <w:rPr/>
          <w:t>loops</w:t>
          <w:tab/>
          <w:t>143</w:t>
        </w:r>
      </w:hyperlink>
    </w:p>
    <w:p>
      <w:pPr>
        <w:pStyle w:val="BodyText"/>
        <w:spacing w:line="256" w:lineRule="exact" w:before="41"/>
        <w:ind w:left="1817"/>
      </w:pPr>
      <w:hyperlink w:history="true" w:anchor="_bookmark102">
        <w:r>
          <w:rPr/>
          <w:t>Captioning, Communication Access Real Time Translation (CART)</w:t>
        </w:r>
      </w:hyperlink>
    </w:p>
    <w:p>
      <w:pPr>
        <w:pStyle w:val="BodyText"/>
        <w:tabs>
          <w:tab w:pos="9651" w:val="right" w:leader="dot"/>
        </w:tabs>
        <w:spacing w:line="256" w:lineRule="exact"/>
        <w:ind w:left="1817"/>
      </w:pPr>
      <w:hyperlink w:history="true" w:anchor="_bookmark102">
        <w:r>
          <w:rPr/>
          <w:t>and</w:t>
        </w:r>
        <w:r>
          <w:rPr>
            <w:spacing w:val="-3"/>
          </w:rPr>
          <w:t> </w:t>
        </w:r>
        <w:r>
          <w:rPr/>
          <w:t>stenographers</w:t>
          <w:tab/>
        </w:r>
        <w:r>
          <w:rPr>
            <w:spacing w:val="4"/>
          </w:rPr>
          <w:t>144</w:t>
        </w:r>
      </w:hyperlink>
    </w:p>
    <w:p>
      <w:pPr>
        <w:pStyle w:val="BodyText"/>
        <w:tabs>
          <w:tab w:pos="9651" w:val="right" w:leader="dot"/>
        </w:tabs>
        <w:spacing w:before="42"/>
        <w:ind w:left="1817"/>
      </w:pPr>
      <w:hyperlink w:history="true" w:anchor="_bookmark102">
        <w:r>
          <w:rPr/>
          <w:t>Special materials and formats</w:t>
        </w:r>
        <w:r>
          <w:rPr>
            <w:spacing w:val="-9"/>
          </w:rPr>
          <w:t> </w:t>
        </w:r>
        <w:r>
          <w:rPr/>
          <w:t>of</w:t>
        </w:r>
        <w:r>
          <w:rPr>
            <w:spacing w:val="-2"/>
          </w:rPr>
          <w:t> </w:t>
        </w:r>
        <w:r>
          <w:rPr/>
          <w:t>evidence</w:t>
          <w:tab/>
        </w:r>
        <w:r>
          <w:rPr>
            <w:spacing w:val="4"/>
          </w:rPr>
          <w:t>144</w:t>
        </w:r>
      </w:hyperlink>
    </w:p>
    <w:p>
      <w:pPr>
        <w:pStyle w:val="BodyText"/>
        <w:tabs>
          <w:tab w:pos="9651" w:val="right" w:leader="dot"/>
        </w:tabs>
        <w:spacing w:before="41"/>
        <w:ind w:left="1817"/>
      </w:pPr>
      <w:hyperlink w:history="true" w:anchor="_bookmark102">
        <w:r>
          <w:rPr/>
          <w:t>Emerging</w:t>
        </w:r>
        <w:r>
          <w:rPr>
            <w:spacing w:val="-3"/>
          </w:rPr>
          <w:t> </w:t>
        </w:r>
        <w:r>
          <w:rPr/>
          <w:t>technological</w:t>
        </w:r>
        <w:r>
          <w:rPr>
            <w:spacing w:val="-2"/>
          </w:rPr>
          <w:t> </w:t>
        </w:r>
        <w:r>
          <w:rPr/>
          <w:t>supports</w:t>
          <w:tab/>
        </w:r>
        <w:r>
          <w:rPr>
            <w:spacing w:val="4"/>
          </w:rPr>
          <w:t>144</w:t>
        </w:r>
      </w:hyperlink>
    </w:p>
    <w:p>
      <w:pPr>
        <w:pStyle w:val="BodyText"/>
        <w:tabs>
          <w:tab w:pos="9647" w:val="right" w:leader="dot"/>
        </w:tabs>
        <w:spacing w:before="48"/>
        <w:ind w:left="1534"/>
      </w:pPr>
      <w:hyperlink w:history="true" w:anchor="_bookmark103">
        <w:r>
          <w:rPr/>
          <w:t>Adjustments for people who are blind or </w:t>
        </w:r>
        <w:r>
          <w:rPr>
            <w:spacing w:val="-3"/>
          </w:rPr>
          <w:t>have</w:t>
        </w:r>
        <w:r>
          <w:rPr>
            <w:spacing w:val="-19"/>
          </w:rPr>
          <w:t> </w:t>
        </w:r>
        <w:r>
          <w:rPr>
            <w:spacing w:val="-3"/>
          </w:rPr>
          <w:t>low</w:t>
        </w:r>
        <w:r>
          <w:rPr>
            <w:spacing w:val="-2"/>
          </w:rPr>
          <w:t> </w:t>
        </w:r>
        <w:r>
          <w:rPr/>
          <w:t>vision</w:t>
          <w:tab/>
          <w:t>145</w:t>
        </w:r>
      </w:hyperlink>
    </w:p>
    <w:p>
      <w:pPr>
        <w:pStyle w:val="BodyText"/>
        <w:tabs>
          <w:tab w:pos="9647" w:val="right" w:leader="dot"/>
        </w:tabs>
        <w:spacing w:before="41"/>
        <w:ind w:left="1817"/>
      </w:pPr>
      <w:hyperlink w:history="true" w:anchor="_bookmark104">
        <w:r>
          <w:rPr/>
          <w:t>Support</w:t>
        </w:r>
        <w:r>
          <w:rPr>
            <w:spacing w:val="-2"/>
          </w:rPr>
          <w:t> </w:t>
        </w:r>
        <w:r>
          <w:rPr/>
          <w:t>persons</w:t>
          <w:tab/>
          <w:t>146</w:t>
        </w:r>
      </w:hyperlink>
    </w:p>
    <w:p>
      <w:pPr>
        <w:pStyle w:val="BodyText"/>
        <w:tabs>
          <w:tab w:pos="9647" w:val="right" w:leader="dot"/>
        </w:tabs>
        <w:spacing w:before="42"/>
        <w:ind w:left="1817"/>
      </w:pPr>
      <w:hyperlink w:history="true" w:anchor="_bookmark104">
        <w:r>
          <w:rPr/>
          <w:t>Special materials and format</w:t>
        </w:r>
        <w:r>
          <w:rPr>
            <w:spacing w:val="-9"/>
          </w:rPr>
          <w:t> </w:t>
        </w:r>
        <w:r>
          <w:rPr/>
          <w:t>of</w:t>
        </w:r>
        <w:r>
          <w:rPr>
            <w:spacing w:val="-2"/>
          </w:rPr>
          <w:t> </w:t>
        </w:r>
        <w:r>
          <w:rPr/>
          <w:t>evidence</w:t>
          <w:tab/>
          <w:t>146</w:t>
        </w:r>
      </w:hyperlink>
    </w:p>
    <w:p>
      <w:pPr>
        <w:pStyle w:val="BodyText"/>
        <w:tabs>
          <w:tab w:pos="9647" w:val="right" w:leader="dot"/>
        </w:tabs>
        <w:spacing w:before="41"/>
        <w:ind w:left="1817"/>
      </w:pPr>
      <w:hyperlink w:history="true" w:anchor="_bookmark104">
        <w:r>
          <w:rPr/>
          <w:t>Reading</w:t>
        </w:r>
        <w:r>
          <w:rPr>
            <w:spacing w:val="-3"/>
          </w:rPr>
          <w:t> </w:t>
        </w:r>
        <w:r>
          <w:rPr/>
          <w:t>assistance</w:t>
        </w:r>
        <w:r>
          <w:rPr>
            <w:spacing w:val="-2"/>
          </w:rPr>
          <w:t> </w:t>
        </w:r>
        <w:r>
          <w:rPr/>
          <w:t>software</w:t>
          <w:tab/>
          <w:t>146</w:t>
        </w:r>
      </w:hyperlink>
    </w:p>
    <w:p>
      <w:pPr>
        <w:pStyle w:val="BodyText"/>
        <w:tabs>
          <w:tab w:pos="9647" w:val="right" w:leader="dot"/>
        </w:tabs>
        <w:spacing w:before="41"/>
        <w:ind w:left="1817"/>
      </w:pPr>
      <w:hyperlink w:history="true" w:anchor="_bookmark104">
        <w:r>
          <w:rPr/>
          <w:t>Magnifiers</w:t>
          <w:tab/>
          <w:t>146</w:t>
        </w:r>
      </w:hyperlink>
    </w:p>
    <w:p>
      <w:pPr>
        <w:pStyle w:val="BodyText"/>
        <w:tabs>
          <w:tab w:pos="9640" w:val="right" w:leader="dot"/>
        </w:tabs>
        <w:spacing w:before="42"/>
        <w:ind w:left="1817"/>
      </w:pPr>
      <w:hyperlink w:history="true" w:anchor="_bookmark105">
        <w:r>
          <w:rPr/>
          <w:t>Braille</w:t>
        </w:r>
        <w:r>
          <w:rPr>
            <w:spacing w:val="-3"/>
          </w:rPr>
          <w:t> </w:t>
        </w:r>
        <w:r>
          <w:rPr/>
          <w:t>material</w:t>
          <w:tab/>
        </w:r>
        <w:r>
          <w:rPr>
            <w:spacing w:val="-3"/>
          </w:rPr>
          <w:t>147</w:t>
        </w:r>
      </w:hyperlink>
    </w:p>
    <w:p>
      <w:pPr>
        <w:pStyle w:val="BodyText"/>
        <w:tabs>
          <w:tab w:pos="9640" w:val="right" w:leader="dot"/>
        </w:tabs>
        <w:spacing w:before="41"/>
        <w:ind w:left="1817"/>
      </w:pPr>
      <w:hyperlink w:history="true" w:anchor="_bookmark105">
        <w:r>
          <w:rPr/>
          <w:t>Mobility canes and</w:t>
        </w:r>
        <w:r>
          <w:rPr>
            <w:spacing w:val="-7"/>
          </w:rPr>
          <w:t> </w:t>
        </w:r>
        <w:r>
          <w:rPr/>
          <w:t>assistance</w:t>
        </w:r>
        <w:r>
          <w:rPr>
            <w:spacing w:val="-2"/>
          </w:rPr>
          <w:t> </w:t>
        </w:r>
        <w:r>
          <w:rPr/>
          <w:t>animals</w:t>
          <w:tab/>
        </w:r>
        <w:r>
          <w:rPr>
            <w:spacing w:val="-3"/>
          </w:rPr>
          <w:t>147</w:t>
        </w:r>
      </w:hyperlink>
    </w:p>
    <w:p>
      <w:pPr>
        <w:pStyle w:val="BodyText"/>
        <w:tabs>
          <w:tab w:pos="9647" w:val="right" w:leader="dot"/>
        </w:tabs>
        <w:spacing w:before="42"/>
        <w:ind w:left="1817"/>
      </w:pPr>
      <w:hyperlink w:history="true" w:anchor="_bookmark106">
        <w:r>
          <w:rPr/>
          <w:t>Emerging</w:t>
        </w:r>
        <w:r>
          <w:rPr>
            <w:spacing w:val="-3"/>
          </w:rPr>
          <w:t> </w:t>
        </w:r>
        <w:r>
          <w:rPr/>
          <w:t>technology</w:t>
          <w:tab/>
          <w:t>148</w:t>
        </w:r>
      </w:hyperlink>
    </w:p>
    <w:p>
      <w:pPr>
        <w:pStyle w:val="BodyText"/>
        <w:tabs>
          <w:tab w:pos="9647" w:val="right" w:leader="dot"/>
        </w:tabs>
        <w:spacing w:before="47"/>
        <w:ind w:left="1534"/>
      </w:pPr>
      <w:hyperlink w:history="true" w:anchor="_bookmark106">
        <w:r>
          <w:rPr/>
          <w:t>Possible changes to courtroom organisation and how a trial</w:t>
        </w:r>
        <w:r>
          <w:rPr>
            <w:spacing w:val="-26"/>
          </w:rPr>
          <w:t> </w:t>
        </w:r>
        <w:r>
          <w:rPr/>
          <w:t>is</w:t>
        </w:r>
        <w:r>
          <w:rPr>
            <w:spacing w:val="-3"/>
          </w:rPr>
          <w:t> </w:t>
        </w:r>
        <w:r>
          <w:rPr/>
          <w:t>run</w:t>
          <w:tab/>
          <w:t>148</w:t>
        </w:r>
      </w:hyperlink>
    </w:p>
    <w:p>
      <w:pPr>
        <w:pStyle w:val="BodyText"/>
        <w:tabs>
          <w:tab w:pos="9647" w:val="right" w:leader="dot"/>
        </w:tabs>
        <w:spacing w:before="42"/>
        <w:ind w:left="1817"/>
      </w:pPr>
      <w:hyperlink w:history="true" w:anchor="_bookmark106">
        <w:r>
          <w:rPr/>
          <w:t>Courtroom</w:t>
        </w:r>
        <w:r>
          <w:rPr>
            <w:spacing w:val="-3"/>
          </w:rPr>
          <w:t> </w:t>
        </w:r>
        <w:r>
          <w:rPr/>
          <w:t>organisation</w:t>
          <w:tab/>
          <w:t>148</w:t>
        </w:r>
      </w:hyperlink>
    </w:p>
    <w:p>
      <w:pPr>
        <w:pStyle w:val="BodyText"/>
        <w:tabs>
          <w:tab w:pos="9647" w:val="right" w:leader="dot"/>
        </w:tabs>
        <w:spacing w:before="41"/>
        <w:ind w:left="1817"/>
      </w:pPr>
      <w:hyperlink w:history="true" w:anchor="_bookmark107">
        <w:r>
          <w:rPr>
            <w:spacing w:val="-4"/>
          </w:rPr>
          <w:t>Trial</w:t>
        </w:r>
        <w:r>
          <w:rPr>
            <w:spacing w:val="-3"/>
          </w:rPr>
          <w:t> </w:t>
        </w:r>
        <w:r>
          <w:rPr/>
          <w:t>adjustments</w:t>
          <w:tab/>
          <w:t>149</w:t>
        </w:r>
      </w:hyperlink>
    </w:p>
    <w:p>
      <w:pPr>
        <w:pStyle w:val="BodyText"/>
        <w:tabs>
          <w:tab w:pos="9645" w:val="right" w:leader="dot"/>
        </w:tabs>
        <w:spacing w:before="42"/>
        <w:ind w:left="1817"/>
      </w:pPr>
      <w:hyperlink w:history="true" w:anchor="_bookmark108">
        <w:r>
          <w:rPr/>
          <w:t>Court documents in</w:t>
        </w:r>
        <w:r>
          <w:rPr>
            <w:spacing w:val="-7"/>
          </w:rPr>
          <w:t> </w:t>
        </w:r>
        <w:r>
          <w:rPr/>
          <w:t>different</w:t>
        </w:r>
        <w:r>
          <w:rPr>
            <w:spacing w:val="-3"/>
          </w:rPr>
          <w:t> </w:t>
        </w:r>
        <w:r>
          <w:rPr/>
          <w:t>formats</w:t>
          <w:tab/>
          <w:t>150</w:t>
        </w:r>
      </w:hyperlink>
    </w:p>
    <w:p>
      <w:pPr>
        <w:pStyle w:val="BodyText"/>
        <w:tabs>
          <w:tab w:pos="9645" w:val="right" w:leader="dot"/>
        </w:tabs>
        <w:spacing w:before="47"/>
        <w:ind w:left="1534"/>
      </w:pPr>
      <w:hyperlink w:history="true" w:anchor="_bookmark108">
        <w:r>
          <w:rPr/>
          <w:t>Bringing personal technology</w:t>
        </w:r>
        <w:r>
          <w:rPr>
            <w:spacing w:val="-7"/>
          </w:rPr>
          <w:t> </w:t>
        </w:r>
        <w:r>
          <w:rPr/>
          <w:t>to</w:t>
        </w:r>
        <w:r>
          <w:rPr>
            <w:spacing w:val="-2"/>
          </w:rPr>
          <w:t> </w:t>
        </w:r>
        <w:r>
          <w:rPr/>
          <w:t>court</w:t>
          <w:tab/>
          <w:t>150</w:t>
        </w:r>
      </w:hyperlink>
    </w:p>
    <w:p>
      <w:pPr>
        <w:pStyle w:val="BodyText"/>
        <w:tabs>
          <w:tab w:pos="9645" w:val="right" w:leader="dot"/>
        </w:tabs>
        <w:spacing w:before="41"/>
        <w:ind w:left="1817"/>
      </w:pPr>
      <w:hyperlink w:history="true" w:anchor="_bookmark108">
        <w:r>
          <w:rPr/>
          <w:t>The Courts </w:t>
        </w:r>
        <w:r>
          <w:rPr>
            <w:spacing w:val="-3"/>
          </w:rPr>
          <w:t>have</w:t>
        </w:r>
        <w:r>
          <w:rPr>
            <w:spacing w:val="-7"/>
          </w:rPr>
          <w:t> </w:t>
        </w:r>
        <w:r>
          <w:rPr/>
          <w:t>confidentiality</w:t>
        </w:r>
        <w:r>
          <w:rPr>
            <w:spacing w:val="-2"/>
          </w:rPr>
          <w:t> </w:t>
        </w:r>
        <w:r>
          <w:rPr/>
          <w:t>concerns</w:t>
          <w:tab/>
          <w:t>150</w:t>
        </w:r>
      </w:hyperlink>
    </w:p>
    <w:p>
      <w:pPr>
        <w:pStyle w:val="BodyText"/>
        <w:tabs>
          <w:tab w:pos="9646" w:val="right" w:leader="dot"/>
        </w:tabs>
        <w:spacing w:before="48"/>
        <w:ind w:left="1534"/>
      </w:pPr>
      <w:hyperlink w:history="true" w:anchor="_bookmark109">
        <w:r>
          <w:rPr>
            <w:spacing w:val="-3"/>
          </w:rPr>
          <w:t>Talking </w:t>
        </w:r>
        <w:r>
          <w:rPr/>
          <w:t>to people in the subject groups about</w:t>
        </w:r>
        <w:r>
          <w:rPr>
            <w:spacing w:val="-22"/>
          </w:rPr>
          <w:t> </w:t>
        </w:r>
        <w:r>
          <w:rPr/>
          <w:t>reasonable</w:t>
        </w:r>
        <w:r>
          <w:rPr>
            <w:spacing w:val="-3"/>
          </w:rPr>
          <w:t> </w:t>
        </w:r>
        <w:r>
          <w:rPr/>
          <w:t>adjustments</w:t>
          <w:tab/>
          <w:t>151</w:t>
        </w:r>
      </w:hyperlink>
    </w:p>
    <w:p>
      <w:pPr>
        <w:pStyle w:val="BodyText"/>
        <w:rPr>
          <w:sz w:val="28"/>
        </w:rPr>
      </w:pPr>
    </w:p>
    <w:p>
      <w:pPr>
        <w:pStyle w:val="BodyText"/>
        <w:rPr>
          <w:sz w:val="28"/>
        </w:rPr>
      </w:pPr>
    </w:p>
    <w:p>
      <w:pPr>
        <w:pStyle w:val="BodyText"/>
        <w:spacing w:before="13"/>
        <w:rPr>
          <w:sz w:val="31"/>
        </w:rPr>
      </w:pPr>
    </w:p>
    <w:p>
      <w:pPr>
        <w:spacing w:before="0"/>
        <w:ind w:left="0" w:right="285" w:firstLine="0"/>
        <w:jc w:val="right"/>
        <w:rPr>
          <w:b/>
          <w:sz w:val="24"/>
        </w:rPr>
      </w:pPr>
      <w:r>
        <w:rPr>
          <w:b/>
          <w:color w:val="37617A"/>
          <w:sz w:val="24"/>
        </w:rPr>
        <w:t>vii</w:t>
      </w:r>
    </w:p>
    <w:p>
      <w:pPr>
        <w:spacing w:after="0"/>
        <w:jc w:val="right"/>
        <w:rPr>
          <w:sz w:val="24"/>
        </w:rPr>
        <w:sectPr>
          <w:pgSz w:w="11910" w:h="16840"/>
          <w:pgMar w:header="0" w:footer="0" w:top="840" w:bottom="280" w:left="620" w:right="380"/>
        </w:sectPr>
      </w:pPr>
    </w:p>
    <w:p>
      <w:pPr>
        <w:pStyle w:val="BodyText"/>
        <w:rPr>
          <w:b/>
        </w:rPr>
      </w:pPr>
    </w:p>
    <w:p>
      <w:pPr>
        <w:pStyle w:val="BodyText"/>
        <w:rPr>
          <w:b/>
        </w:rPr>
      </w:pPr>
    </w:p>
    <w:p>
      <w:pPr>
        <w:pStyle w:val="BodyText"/>
        <w:rPr>
          <w:b/>
        </w:rPr>
      </w:pPr>
    </w:p>
    <w:p>
      <w:pPr>
        <w:pStyle w:val="BodyText"/>
        <w:spacing w:before="5"/>
        <w:rPr>
          <w:b/>
          <w:sz w:val="14"/>
        </w:rPr>
      </w:pPr>
    </w:p>
    <w:p>
      <w:pPr>
        <w:pStyle w:val="Heading8"/>
        <w:numPr>
          <w:ilvl w:val="0"/>
          <w:numId w:val="1"/>
        </w:numPr>
        <w:tabs>
          <w:tab w:pos="1308" w:val="left" w:leader="none"/>
          <w:tab w:pos="9647" w:val="right" w:leader="dot"/>
        </w:tabs>
        <w:spacing w:line="240" w:lineRule="auto" w:before="58" w:after="0"/>
        <w:ind w:left="1307" w:right="0" w:hanging="340"/>
        <w:jc w:val="left"/>
      </w:pPr>
      <w:hyperlink w:history="true" w:anchor="_bookmark110">
        <w:r>
          <w:rPr>
            <w:color w:val="37617A"/>
          </w:rPr>
          <w:t>Auslan interpreters and</w:t>
        </w:r>
        <w:r>
          <w:rPr>
            <w:color w:val="37617A"/>
            <w:spacing w:val="-7"/>
          </w:rPr>
          <w:t> </w:t>
        </w:r>
        <w:r>
          <w:rPr>
            <w:color w:val="37617A"/>
          </w:rPr>
          <w:t>jury</w:t>
        </w:r>
        <w:r>
          <w:rPr>
            <w:color w:val="37617A"/>
            <w:spacing w:val="-2"/>
          </w:rPr>
          <w:t> </w:t>
        </w:r>
        <w:r>
          <w:rPr>
            <w:color w:val="37617A"/>
          </w:rPr>
          <w:t>service</w:t>
          <w:tab/>
          <w:t>154</w:t>
        </w:r>
      </w:hyperlink>
    </w:p>
    <w:p>
      <w:pPr>
        <w:pStyle w:val="BodyText"/>
        <w:tabs>
          <w:tab w:pos="9647" w:val="right" w:leader="dot"/>
        </w:tabs>
        <w:spacing w:before="47"/>
        <w:ind w:left="1534"/>
      </w:pPr>
      <w:hyperlink w:history="true" w:anchor="_bookmark110">
        <w:r>
          <w:rPr/>
          <w:t>Overview</w:t>
          <w:tab/>
          <w:t>154</w:t>
        </w:r>
      </w:hyperlink>
    </w:p>
    <w:p>
      <w:pPr>
        <w:pStyle w:val="BodyText"/>
        <w:tabs>
          <w:tab w:pos="9647" w:val="right" w:leader="dot"/>
        </w:tabs>
        <w:spacing w:before="48"/>
        <w:ind w:left="1534"/>
      </w:pPr>
      <w:hyperlink w:history="true" w:anchor="_bookmark110">
        <w:r>
          <w:rPr/>
          <w:t>The role of an</w:t>
        </w:r>
        <w:r>
          <w:rPr>
            <w:spacing w:val="-10"/>
          </w:rPr>
          <w:t> </w:t>
        </w:r>
        <w:r>
          <w:rPr/>
          <w:t>Auslan</w:t>
        </w:r>
        <w:r>
          <w:rPr>
            <w:spacing w:val="-2"/>
          </w:rPr>
          <w:t> </w:t>
        </w:r>
        <w:r>
          <w:rPr/>
          <w:t>interpreter</w:t>
          <w:tab/>
          <w:t>154</w:t>
        </w:r>
      </w:hyperlink>
    </w:p>
    <w:p>
      <w:pPr>
        <w:pStyle w:val="BodyText"/>
        <w:tabs>
          <w:tab w:pos="9647" w:val="right" w:leader="dot"/>
        </w:tabs>
        <w:spacing w:before="47"/>
        <w:ind w:left="1534"/>
      </w:pPr>
      <w:hyperlink w:history="true" w:anchor="_bookmark110">
        <w:r>
          <w:rPr/>
          <w:t>Ability to communicate</w:t>
        </w:r>
        <w:r>
          <w:rPr>
            <w:spacing w:val="-7"/>
          </w:rPr>
          <w:t> </w:t>
        </w:r>
        <w:r>
          <w:rPr/>
          <w:t>in</w:t>
        </w:r>
        <w:r>
          <w:rPr>
            <w:spacing w:val="-2"/>
          </w:rPr>
          <w:t> </w:t>
        </w:r>
        <w:r>
          <w:rPr/>
          <w:t>English</w:t>
          <w:tab/>
          <w:t>154</w:t>
        </w:r>
      </w:hyperlink>
    </w:p>
    <w:p>
      <w:pPr>
        <w:pStyle w:val="BodyText"/>
        <w:spacing w:line="259" w:lineRule="exact" w:before="48"/>
        <w:ind w:left="1534"/>
      </w:pPr>
      <w:hyperlink w:history="true" w:anchor="_bookmark111">
        <w:r>
          <w:rPr/>
          <w:t>Recommended National Standards for Working with Interpreters in Courts</w:t>
        </w:r>
      </w:hyperlink>
    </w:p>
    <w:p>
      <w:pPr>
        <w:pStyle w:val="BodyText"/>
        <w:tabs>
          <w:tab w:pos="9647" w:val="right" w:leader="dot"/>
        </w:tabs>
        <w:spacing w:line="259" w:lineRule="exact"/>
        <w:ind w:left="1534"/>
      </w:pPr>
      <w:hyperlink w:history="true" w:anchor="_bookmark111">
        <w:r>
          <w:rPr/>
          <w:t>and</w:t>
        </w:r>
        <w:r>
          <w:rPr>
            <w:spacing w:val="-3"/>
          </w:rPr>
          <w:t> </w:t>
        </w:r>
        <w:r>
          <w:rPr/>
          <w:t>Tribunals</w:t>
          <w:tab/>
          <w:t>156</w:t>
        </w:r>
      </w:hyperlink>
    </w:p>
    <w:p>
      <w:pPr>
        <w:pStyle w:val="BodyText"/>
        <w:tabs>
          <w:tab w:pos="9647" w:val="right" w:leader="dot"/>
        </w:tabs>
        <w:spacing w:before="41"/>
        <w:ind w:left="1817"/>
      </w:pPr>
      <w:hyperlink w:history="true" w:anchor="_bookmark111">
        <w:r>
          <w:rPr/>
          <w:t>Auslan interpreters should work in tandem for</w:t>
        </w:r>
        <w:r>
          <w:rPr>
            <w:spacing w:val="-19"/>
          </w:rPr>
          <w:t> </w:t>
        </w:r>
        <w:r>
          <w:rPr/>
          <w:t>jury</w:t>
        </w:r>
        <w:r>
          <w:rPr>
            <w:spacing w:val="-3"/>
          </w:rPr>
          <w:t> </w:t>
        </w:r>
        <w:r>
          <w:rPr/>
          <w:t>work</w:t>
          <w:tab/>
          <w:t>156</w:t>
        </w:r>
      </w:hyperlink>
    </w:p>
    <w:p>
      <w:pPr>
        <w:pStyle w:val="BodyText"/>
        <w:tabs>
          <w:tab w:pos="9645" w:val="right" w:leader="dot"/>
        </w:tabs>
        <w:spacing w:before="41"/>
        <w:ind w:left="1817"/>
      </w:pPr>
      <w:hyperlink w:history="true" w:anchor="_bookmark112">
        <w:r>
          <w:rPr/>
          <w:t>Auslan interpreters should</w:t>
        </w:r>
        <w:r>
          <w:rPr>
            <w:spacing w:val="-8"/>
          </w:rPr>
          <w:t> </w:t>
        </w:r>
        <w:r>
          <w:rPr/>
          <w:t>be</w:t>
        </w:r>
        <w:r>
          <w:rPr>
            <w:spacing w:val="-2"/>
          </w:rPr>
          <w:t> </w:t>
        </w:r>
        <w:r>
          <w:rPr/>
          <w:t>independent</w:t>
          <w:tab/>
          <w:t>157</w:t>
        </w:r>
      </w:hyperlink>
    </w:p>
    <w:p>
      <w:pPr>
        <w:pStyle w:val="BodyText"/>
        <w:tabs>
          <w:tab w:pos="9647" w:val="right" w:leader="dot"/>
        </w:tabs>
        <w:spacing w:before="42"/>
        <w:ind w:left="1817"/>
      </w:pPr>
      <w:hyperlink w:history="true" w:anchor="_bookmark113">
        <w:r>
          <w:rPr/>
          <w:t>Interpretation should happen </w:t>
        </w:r>
        <w:r>
          <w:rPr>
            <w:spacing w:val="-3"/>
          </w:rPr>
          <w:t>over</w:t>
        </w:r>
        <w:r>
          <w:rPr>
            <w:spacing w:val="-10"/>
          </w:rPr>
          <w:t> </w:t>
        </w:r>
        <w:r>
          <w:rPr/>
          <w:t>lunch</w:t>
        </w:r>
        <w:r>
          <w:rPr>
            <w:spacing w:val="-3"/>
          </w:rPr>
          <w:t> </w:t>
        </w:r>
        <w:r>
          <w:rPr/>
          <w:t>breaks</w:t>
          <w:tab/>
          <w:t>158</w:t>
        </w:r>
      </w:hyperlink>
    </w:p>
    <w:p>
      <w:pPr>
        <w:pStyle w:val="BodyText"/>
        <w:tabs>
          <w:tab w:pos="9647" w:val="right" w:leader="dot"/>
        </w:tabs>
        <w:spacing w:before="47"/>
        <w:ind w:left="1534"/>
      </w:pPr>
      <w:hyperlink w:history="true" w:anchor="_bookmark113">
        <w:r>
          <w:rPr>
            <w:spacing w:val="-3"/>
          </w:rPr>
          <w:t>Training </w:t>
        </w:r>
        <w:r>
          <w:rPr/>
          <w:t>and certification requirements for</w:t>
        </w:r>
        <w:r>
          <w:rPr>
            <w:spacing w:val="-12"/>
          </w:rPr>
          <w:t> </w:t>
        </w:r>
        <w:r>
          <w:rPr/>
          <w:t>Auslan</w:t>
        </w:r>
        <w:r>
          <w:rPr>
            <w:spacing w:val="-3"/>
          </w:rPr>
          <w:t> </w:t>
        </w:r>
        <w:r>
          <w:rPr/>
          <w:t>interpreters</w:t>
          <w:tab/>
          <w:t>158</w:t>
        </w:r>
      </w:hyperlink>
    </w:p>
    <w:p>
      <w:pPr>
        <w:pStyle w:val="BodyText"/>
        <w:tabs>
          <w:tab w:pos="9647" w:val="right" w:leader="dot"/>
        </w:tabs>
        <w:spacing w:before="42"/>
        <w:ind w:left="1817"/>
      </w:pPr>
      <w:hyperlink w:history="true" w:anchor="_bookmark114">
        <w:r>
          <w:rPr/>
          <w:t>What</w:t>
        </w:r>
        <w:r>
          <w:rPr>
            <w:spacing w:val="-5"/>
          </w:rPr>
          <w:t> </w:t>
        </w:r>
        <w:r>
          <w:rPr/>
          <w:t>qualifications</w:t>
        </w:r>
        <w:r>
          <w:rPr>
            <w:spacing w:val="-4"/>
          </w:rPr>
          <w:t> </w:t>
        </w:r>
        <w:r>
          <w:rPr/>
          <w:t>do</w:t>
        </w:r>
        <w:r>
          <w:rPr>
            <w:spacing w:val="-4"/>
          </w:rPr>
          <w:t> </w:t>
        </w:r>
        <w:r>
          <w:rPr/>
          <w:t>Auslan</w:t>
        </w:r>
        <w:r>
          <w:rPr>
            <w:spacing w:val="-5"/>
          </w:rPr>
          <w:t> </w:t>
        </w:r>
        <w:r>
          <w:rPr/>
          <w:t>interpreters</w:t>
        </w:r>
        <w:r>
          <w:rPr>
            <w:spacing w:val="-4"/>
          </w:rPr>
          <w:t> </w:t>
        </w:r>
        <w:r>
          <w:rPr/>
          <w:t>need</w:t>
        </w:r>
        <w:r>
          <w:rPr>
            <w:spacing w:val="-4"/>
          </w:rPr>
          <w:t> </w:t>
        </w:r>
        <w:r>
          <w:rPr/>
          <w:t>to</w:t>
        </w:r>
        <w:r>
          <w:rPr>
            <w:spacing w:val="-5"/>
          </w:rPr>
          <w:t> </w:t>
        </w:r>
        <w:r>
          <w:rPr/>
          <w:t>work</w:t>
        </w:r>
        <w:r>
          <w:rPr>
            <w:spacing w:val="-4"/>
          </w:rPr>
          <w:t> </w:t>
        </w:r>
        <w:r>
          <w:rPr/>
          <w:t>in</w:t>
        </w:r>
        <w:r>
          <w:rPr>
            <w:spacing w:val="-4"/>
          </w:rPr>
          <w:t> </w:t>
        </w:r>
        <w:r>
          <w:rPr/>
          <w:t>a</w:t>
        </w:r>
        <w:r>
          <w:rPr>
            <w:spacing w:val="-5"/>
          </w:rPr>
          <w:t> </w:t>
        </w:r>
        <w:r>
          <w:rPr/>
          <w:t>court</w:t>
        </w:r>
        <w:r>
          <w:rPr>
            <w:spacing w:val="-4"/>
          </w:rPr>
          <w:t> </w:t>
        </w:r>
        <w:r>
          <w:rPr/>
          <w:t>setting?</w:t>
          <w:tab/>
          <w:t>159</w:t>
        </w:r>
      </w:hyperlink>
    </w:p>
    <w:p>
      <w:pPr>
        <w:pStyle w:val="BodyText"/>
        <w:tabs>
          <w:tab w:pos="9647" w:val="right" w:leader="dot"/>
        </w:tabs>
        <w:spacing w:before="41"/>
        <w:ind w:left="1817"/>
      </w:pPr>
      <w:hyperlink w:history="true" w:anchor="_bookmark115">
        <w:r>
          <w:rPr/>
          <w:t>Additional training for Auslan interpreters working</w:t>
        </w:r>
        <w:r>
          <w:rPr>
            <w:spacing w:val="-20"/>
          </w:rPr>
          <w:t> </w:t>
        </w:r>
        <w:r>
          <w:rPr/>
          <w:t>with</w:t>
        </w:r>
        <w:r>
          <w:rPr>
            <w:spacing w:val="-3"/>
          </w:rPr>
          <w:t> </w:t>
        </w:r>
        <w:r>
          <w:rPr/>
          <w:t>jurors</w:t>
          <w:tab/>
          <w:t>160</w:t>
        </w:r>
      </w:hyperlink>
    </w:p>
    <w:p>
      <w:pPr>
        <w:pStyle w:val="BodyText"/>
        <w:tabs>
          <w:tab w:pos="9642" w:val="right" w:leader="dot"/>
        </w:tabs>
        <w:spacing w:before="48"/>
        <w:ind w:left="1534"/>
      </w:pPr>
      <w:hyperlink w:history="true" w:anchor="_bookmark116">
        <w:r>
          <w:rPr/>
          <w:t>Standards for Auslan interpreters working</w:t>
        </w:r>
        <w:r>
          <w:rPr>
            <w:spacing w:val="-14"/>
          </w:rPr>
          <w:t> </w:t>
        </w:r>
        <w:r>
          <w:rPr/>
          <w:t>with</w:t>
        </w:r>
        <w:r>
          <w:rPr>
            <w:spacing w:val="-3"/>
          </w:rPr>
          <w:t> </w:t>
        </w:r>
        <w:r>
          <w:rPr/>
          <w:t>jurors</w:t>
          <w:tab/>
        </w:r>
        <w:r>
          <w:rPr>
            <w:spacing w:val="-5"/>
          </w:rPr>
          <w:t>161</w:t>
        </w:r>
      </w:hyperlink>
    </w:p>
    <w:p>
      <w:pPr>
        <w:pStyle w:val="BodyText"/>
        <w:tabs>
          <w:tab w:pos="9638" w:val="right" w:leader="dot"/>
        </w:tabs>
        <w:spacing w:before="47"/>
        <w:ind w:left="1534"/>
      </w:pPr>
      <w:hyperlink w:history="true" w:anchor="_bookmark117">
        <w:r>
          <w:rPr/>
          <w:t>A new code of conduct for</w:t>
        </w:r>
        <w:r>
          <w:rPr>
            <w:spacing w:val="-15"/>
          </w:rPr>
          <w:t> </w:t>
        </w:r>
        <w:r>
          <w:rPr/>
          <w:t>Auslan</w:t>
        </w:r>
        <w:r>
          <w:rPr>
            <w:spacing w:val="-2"/>
          </w:rPr>
          <w:t> </w:t>
        </w:r>
        <w:r>
          <w:rPr/>
          <w:t>interpreters</w:t>
          <w:tab/>
        </w:r>
        <w:r>
          <w:rPr>
            <w:spacing w:val="-8"/>
          </w:rPr>
          <w:t>163</w:t>
        </w:r>
      </w:hyperlink>
    </w:p>
    <w:p>
      <w:pPr>
        <w:pStyle w:val="BodyText"/>
        <w:tabs>
          <w:tab w:pos="9638" w:val="right" w:leader="dot"/>
        </w:tabs>
        <w:spacing w:before="41"/>
        <w:ind w:left="1817"/>
      </w:pPr>
      <w:hyperlink w:history="true" w:anchor="_bookmark117">
        <w:r>
          <w:rPr/>
          <w:t>Auslan interpreters are already subject to a code</w:t>
        </w:r>
        <w:r>
          <w:rPr>
            <w:spacing w:val="-23"/>
          </w:rPr>
          <w:t> </w:t>
        </w:r>
        <w:r>
          <w:rPr/>
          <w:t>of</w:t>
        </w:r>
        <w:r>
          <w:rPr>
            <w:spacing w:val="-3"/>
          </w:rPr>
          <w:t> </w:t>
        </w:r>
        <w:r>
          <w:rPr/>
          <w:t>ethics</w:t>
          <w:tab/>
        </w:r>
        <w:r>
          <w:rPr>
            <w:spacing w:val="-8"/>
          </w:rPr>
          <w:t>163</w:t>
        </w:r>
      </w:hyperlink>
    </w:p>
    <w:p>
      <w:pPr>
        <w:pStyle w:val="BodyText"/>
        <w:tabs>
          <w:tab w:pos="9638" w:val="right" w:leader="dot"/>
        </w:tabs>
        <w:spacing w:before="42"/>
        <w:ind w:left="1817"/>
      </w:pPr>
      <w:hyperlink w:history="true" w:anchor="_bookmark117">
        <w:r>
          <w:rPr/>
          <w:t>A separate code of conduct for</w:t>
        </w:r>
        <w:r>
          <w:rPr>
            <w:spacing w:val="-14"/>
          </w:rPr>
          <w:t> </w:t>
        </w:r>
        <w:r>
          <w:rPr/>
          <w:t>jury</w:t>
        </w:r>
        <w:r>
          <w:rPr>
            <w:spacing w:val="-2"/>
          </w:rPr>
          <w:t> </w:t>
        </w:r>
        <w:r>
          <w:rPr/>
          <w:t>work</w:t>
          <w:tab/>
        </w:r>
        <w:r>
          <w:rPr>
            <w:spacing w:val="-8"/>
          </w:rPr>
          <w:t>163</w:t>
        </w:r>
      </w:hyperlink>
    </w:p>
    <w:p>
      <w:pPr>
        <w:pStyle w:val="BodyText"/>
        <w:tabs>
          <w:tab w:pos="9647" w:val="right" w:leader="dot"/>
        </w:tabs>
        <w:spacing w:before="47"/>
        <w:ind w:left="1534"/>
      </w:pPr>
      <w:hyperlink w:history="true" w:anchor="_bookmark118">
        <w:r>
          <w:rPr/>
          <w:t>Auslan</w:t>
        </w:r>
        <w:r>
          <w:rPr>
            <w:spacing w:val="-5"/>
          </w:rPr>
          <w:t> </w:t>
        </w:r>
        <w:r>
          <w:rPr/>
          <w:t>interpreters</w:t>
        </w:r>
        <w:r>
          <w:rPr>
            <w:spacing w:val="-4"/>
          </w:rPr>
          <w:t> </w:t>
        </w:r>
        <w:r>
          <w:rPr/>
          <w:t>should</w:t>
        </w:r>
        <w:r>
          <w:rPr>
            <w:spacing w:val="-4"/>
          </w:rPr>
          <w:t> </w:t>
        </w:r>
        <w:r>
          <w:rPr/>
          <w:t>provide</w:t>
        </w:r>
        <w:r>
          <w:rPr>
            <w:spacing w:val="-4"/>
          </w:rPr>
          <w:t> </w:t>
        </w:r>
        <w:r>
          <w:rPr/>
          <w:t>an</w:t>
        </w:r>
        <w:r>
          <w:rPr>
            <w:spacing w:val="-4"/>
          </w:rPr>
          <w:t> </w:t>
        </w:r>
        <w:r>
          <w:rPr/>
          <w:t>oath</w:t>
        </w:r>
        <w:r>
          <w:rPr>
            <w:spacing w:val="-5"/>
          </w:rPr>
          <w:t> </w:t>
        </w:r>
        <w:r>
          <w:rPr/>
          <w:t>or</w:t>
        </w:r>
        <w:r>
          <w:rPr>
            <w:spacing w:val="-4"/>
          </w:rPr>
          <w:t> </w:t>
        </w:r>
        <w:r>
          <w:rPr/>
          <w:t>affirmation</w:t>
        </w:r>
        <w:r>
          <w:rPr>
            <w:spacing w:val="-4"/>
          </w:rPr>
          <w:t> </w:t>
        </w:r>
        <w:r>
          <w:rPr/>
          <w:t>to</w:t>
        </w:r>
        <w:r>
          <w:rPr>
            <w:spacing w:val="-4"/>
          </w:rPr>
          <w:t> </w:t>
        </w:r>
        <w:r>
          <w:rPr/>
          <w:t>the</w:t>
        </w:r>
        <w:r>
          <w:rPr>
            <w:spacing w:val="-4"/>
          </w:rPr>
          <w:t> </w:t>
        </w:r>
        <w:r>
          <w:rPr/>
          <w:t>court</w:t>
          <w:tab/>
          <w:t>164</w:t>
        </w:r>
      </w:hyperlink>
    </w:p>
    <w:p>
      <w:pPr>
        <w:pStyle w:val="BodyText"/>
        <w:tabs>
          <w:tab w:pos="9647" w:val="right" w:leader="dot"/>
        </w:tabs>
        <w:spacing w:before="42"/>
        <w:ind w:left="1817"/>
      </w:pPr>
      <w:hyperlink w:history="true" w:anchor="_bookmark118">
        <w:r>
          <w:rPr/>
          <w:t>The community supports the provision of</w:t>
        </w:r>
        <w:r>
          <w:rPr>
            <w:spacing w:val="-14"/>
          </w:rPr>
          <w:t> </w:t>
        </w:r>
        <w:r>
          <w:rPr/>
          <w:t>an</w:t>
        </w:r>
        <w:r>
          <w:rPr>
            <w:spacing w:val="-3"/>
          </w:rPr>
          <w:t> </w:t>
        </w:r>
        <w:r>
          <w:rPr/>
          <w:t>oath</w:t>
          <w:tab/>
          <w:t>164</w:t>
        </w:r>
      </w:hyperlink>
    </w:p>
    <w:p>
      <w:pPr>
        <w:pStyle w:val="BodyText"/>
        <w:tabs>
          <w:tab w:pos="9647" w:val="right" w:leader="dot"/>
        </w:tabs>
        <w:spacing w:before="41"/>
        <w:ind w:left="1817"/>
      </w:pPr>
      <w:hyperlink w:history="true" w:anchor="_bookmark119">
        <w:r>
          <w:rPr/>
          <w:t>Oaths in</w:t>
        </w:r>
        <w:r>
          <w:rPr>
            <w:spacing w:val="-5"/>
          </w:rPr>
          <w:t> </w:t>
        </w:r>
        <w:r>
          <w:rPr/>
          <w:t>other</w:t>
        </w:r>
        <w:r>
          <w:rPr>
            <w:spacing w:val="-2"/>
          </w:rPr>
          <w:t> </w:t>
        </w:r>
        <w:r>
          <w:rPr/>
          <w:t>jurisdictions</w:t>
          <w:tab/>
          <w:t>165</w:t>
        </w:r>
      </w:hyperlink>
    </w:p>
    <w:p>
      <w:pPr>
        <w:pStyle w:val="BodyText"/>
        <w:tabs>
          <w:tab w:pos="9647" w:val="right" w:leader="dot"/>
        </w:tabs>
        <w:spacing w:before="48"/>
        <w:ind w:left="1534"/>
      </w:pPr>
      <w:hyperlink w:history="true" w:anchor="_bookmark120">
        <w:r>
          <w:rPr/>
          <w:t>Addressing the shortage of Auslan interpreters in</w:t>
        </w:r>
        <w:r>
          <w:rPr>
            <w:spacing w:val="-19"/>
          </w:rPr>
          <w:t> </w:t>
        </w:r>
        <w:r>
          <w:rPr/>
          <w:t>the</w:t>
        </w:r>
        <w:r>
          <w:rPr>
            <w:spacing w:val="-2"/>
          </w:rPr>
          <w:t> </w:t>
        </w:r>
        <w:r>
          <w:rPr/>
          <w:t>courts</w:t>
          <w:tab/>
          <w:t>166</w:t>
        </w:r>
      </w:hyperlink>
    </w:p>
    <w:p>
      <w:pPr>
        <w:pStyle w:val="BodyText"/>
        <w:tabs>
          <w:tab w:pos="9647" w:val="right" w:leader="dot"/>
        </w:tabs>
        <w:spacing w:before="41"/>
        <w:ind w:left="1817"/>
      </w:pPr>
      <w:hyperlink w:history="true" w:anchor="_bookmark120">
        <w:r>
          <w:rPr/>
          <w:t>Not many Auslan interpreters do</w:t>
        </w:r>
        <w:r>
          <w:rPr>
            <w:spacing w:val="-13"/>
          </w:rPr>
          <w:t> </w:t>
        </w:r>
        <w:r>
          <w:rPr/>
          <w:t>court</w:t>
        </w:r>
        <w:r>
          <w:rPr>
            <w:spacing w:val="-3"/>
          </w:rPr>
          <w:t> </w:t>
        </w:r>
        <w:r>
          <w:rPr/>
          <w:t>work</w:t>
          <w:tab/>
          <w:t>166</w:t>
        </w:r>
      </w:hyperlink>
    </w:p>
    <w:p>
      <w:pPr>
        <w:pStyle w:val="BodyText"/>
        <w:tabs>
          <w:tab w:pos="9644" w:val="right" w:leader="dot"/>
        </w:tabs>
        <w:spacing w:before="42"/>
        <w:ind w:left="1817"/>
      </w:pPr>
      <w:hyperlink w:history="true" w:anchor="_bookmark121">
        <w:r>
          <w:rPr/>
          <w:t>Unpredictability of court timing and the need for consistency</w:t>
        </w:r>
        <w:r>
          <w:rPr>
            <w:spacing w:val="-34"/>
          </w:rPr>
          <w:t> </w:t>
        </w:r>
        <w:r>
          <w:rPr/>
          <w:t>of</w:t>
        </w:r>
        <w:r>
          <w:rPr>
            <w:spacing w:val="-3"/>
          </w:rPr>
          <w:t> </w:t>
        </w:r>
        <w:r>
          <w:rPr/>
          <w:t>interpreters</w:t>
          <w:tab/>
        </w:r>
        <w:r>
          <w:rPr>
            <w:spacing w:val="-3"/>
          </w:rPr>
          <w:t>167</w:t>
        </w:r>
      </w:hyperlink>
    </w:p>
    <w:p>
      <w:pPr>
        <w:pStyle w:val="BodyText"/>
        <w:tabs>
          <w:tab w:pos="9644" w:val="right" w:leader="dot"/>
        </w:tabs>
        <w:spacing w:before="41"/>
        <w:ind w:left="1817"/>
      </w:pPr>
      <w:hyperlink w:history="true" w:anchor="_bookmark121">
        <w:r>
          <w:rPr/>
          <w:t>The need to</w:t>
        </w:r>
        <w:r>
          <w:rPr>
            <w:spacing w:val="-7"/>
          </w:rPr>
          <w:t> </w:t>
        </w:r>
        <w:r>
          <w:rPr/>
          <w:t>book</w:t>
        </w:r>
        <w:r>
          <w:rPr>
            <w:spacing w:val="-2"/>
          </w:rPr>
          <w:t> </w:t>
        </w:r>
        <w:r>
          <w:rPr/>
          <w:t>early</w:t>
          <w:tab/>
        </w:r>
        <w:r>
          <w:rPr>
            <w:spacing w:val="-3"/>
          </w:rPr>
          <w:t>167</w:t>
        </w:r>
      </w:hyperlink>
    </w:p>
    <w:p>
      <w:pPr>
        <w:pStyle w:val="BodyText"/>
        <w:tabs>
          <w:tab w:pos="9647" w:val="right" w:leader="dot"/>
        </w:tabs>
        <w:spacing w:before="41"/>
        <w:ind w:left="1817"/>
      </w:pPr>
      <w:hyperlink w:history="true" w:anchor="_bookmark122">
        <w:r>
          <w:rPr/>
          <w:t>Keeping records of</w:t>
        </w:r>
        <w:r>
          <w:rPr>
            <w:spacing w:val="-7"/>
          </w:rPr>
          <w:t> </w:t>
        </w:r>
        <w:r>
          <w:rPr/>
          <w:t>Auslan</w:t>
        </w:r>
        <w:r>
          <w:rPr>
            <w:spacing w:val="-3"/>
          </w:rPr>
          <w:t> </w:t>
        </w:r>
        <w:r>
          <w:rPr/>
          <w:t>bookings</w:t>
          <w:tab/>
          <w:t>168</w:t>
        </w:r>
      </w:hyperlink>
    </w:p>
    <w:p>
      <w:pPr>
        <w:pStyle w:val="BodyText"/>
        <w:tabs>
          <w:tab w:pos="9647" w:val="right" w:leader="dot"/>
        </w:tabs>
        <w:spacing w:before="42"/>
        <w:ind w:left="1817"/>
      </w:pPr>
      <w:hyperlink w:history="true" w:anchor="_bookmark122">
        <w:r>
          <w:rPr/>
          <w:t>Surveying</w:t>
        </w:r>
        <w:r>
          <w:rPr>
            <w:spacing w:val="-3"/>
          </w:rPr>
          <w:t> </w:t>
        </w:r>
        <w:r>
          <w:rPr/>
          <w:t>staff</w:t>
          <w:tab/>
          <w:t>168</w:t>
        </w:r>
      </w:hyperlink>
    </w:p>
    <w:p>
      <w:pPr>
        <w:pStyle w:val="Heading8"/>
        <w:numPr>
          <w:ilvl w:val="0"/>
          <w:numId w:val="1"/>
        </w:numPr>
        <w:tabs>
          <w:tab w:pos="1308" w:val="left" w:leader="none"/>
          <w:tab w:pos="9647" w:val="right" w:leader="dot"/>
        </w:tabs>
        <w:spacing w:line="240" w:lineRule="auto" w:before="41" w:after="0"/>
        <w:ind w:left="1307" w:right="0" w:hanging="340"/>
        <w:jc w:val="left"/>
      </w:pPr>
      <w:hyperlink w:history="true" w:anchor="_bookmark123">
        <w:r>
          <w:rPr>
            <w:color w:val="37617A"/>
          </w:rPr>
          <w:t>Accessibility officers and</w:t>
        </w:r>
        <w:r>
          <w:rPr>
            <w:color w:val="37617A"/>
            <w:spacing w:val="-8"/>
          </w:rPr>
          <w:t> </w:t>
        </w:r>
        <w:r>
          <w:rPr>
            <w:color w:val="37617A"/>
          </w:rPr>
          <w:t>support</w:t>
        </w:r>
        <w:r>
          <w:rPr>
            <w:color w:val="37617A"/>
            <w:spacing w:val="-2"/>
          </w:rPr>
          <w:t> </w:t>
        </w:r>
        <w:r>
          <w:rPr>
            <w:color w:val="37617A"/>
          </w:rPr>
          <w:t>persons</w:t>
          <w:tab/>
        </w:r>
        <w:r>
          <w:rPr>
            <w:color w:val="37617A"/>
            <w:spacing w:val="-5"/>
          </w:rPr>
          <w:t>170</w:t>
        </w:r>
      </w:hyperlink>
    </w:p>
    <w:p>
      <w:pPr>
        <w:pStyle w:val="BodyText"/>
        <w:tabs>
          <w:tab w:pos="9647" w:val="right" w:leader="dot"/>
        </w:tabs>
        <w:spacing w:before="48"/>
        <w:ind w:left="1534"/>
      </w:pPr>
      <w:hyperlink w:history="true" w:anchor="_bookmark123">
        <w:r>
          <w:rPr/>
          <w:t>Overview</w:t>
          <w:tab/>
        </w:r>
        <w:r>
          <w:rPr>
            <w:spacing w:val="-5"/>
          </w:rPr>
          <w:t>170</w:t>
        </w:r>
      </w:hyperlink>
    </w:p>
    <w:p>
      <w:pPr>
        <w:pStyle w:val="BodyText"/>
        <w:tabs>
          <w:tab w:pos="9647" w:val="right" w:leader="dot"/>
        </w:tabs>
        <w:spacing w:before="47"/>
        <w:ind w:left="1534"/>
      </w:pPr>
      <w:hyperlink w:history="true" w:anchor="_bookmark123">
        <w:r>
          <w:rPr/>
          <w:t>A new accessibility</w:t>
        </w:r>
        <w:r>
          <w:rPr>
            <w:spacing w:val="-8"/>
          </w:rPr>
          <w:t> </w:t>
        </w:r>
        <w:r>
          <w:rPr/>
          <w:t>officer</w:t>
        </w:r>
        <w:r>
          <w:rPr>
            <w:spacing w:val="-2"/>
          </w:rPr>
          <w:t> </w:t>
        </w:r>
        <w:r>
          <w:rPr/>
          <w:t>role</w:t>
          <w:tab/>
        </w:r>
        <w:r>
          <w:rPr>
            <w:spacing w:val="-5"/>
          </w:rPr>
          <w:t>170</w:t>
        </w:r>
      </w:hyperlink>
    </w:p>
    <w:p>
      <w:pPr>
        <w:pStyle w:val="BodyText"/>
        <w:tabs>
          <w:tab w:pos="9647" w:val="right" w:leader="dot"/>
        </w:tabs>
        <w:spacing w:before="42"/>
        <w:ind w:left="1817"/>
      </w:pPr>
      <w:hyperlink w:history="true" w:anchor="_bookmark124">
        <w:r>
          <w:rPr/>
          <w:t>What would an accessibility</w:t>
        </w:r>
        <w:r>
          <w:rPr>
            <w:spacing w:val="-11"/>
          </w:rPr>
          <w:t> </w:t>
        </w:r>
        <w:r>
          <w:rPr/>
          <w:t>officer</w:t>
        </w:r>
        <w:r>
          <w:rPr>
            <w:spacing w:val="-2"/>
          </w:rPr>
          <w:t> </w:t>
        </w:r>
        <w:r>
          <w:rPr>
            <w:spacing w:val="-4"/>
          </w:rPr>
          <w:t>do?</w:t>
          <w:tab/>
          <w:t>171</w:t>
        </w:r>
      </w:hyperlink>
    </w:p>
    <w:p>
      <w:pPr>
        <w:pStyle w:val="BodyText"/>
        <w:tabs>
          <w:tab w:pos="9647" w:val="right" w:leader="dot"/>
        </w:tabs>
        <w:spacing w:before="41"/>
        <w:ind w:left="1817"/>
      </w:pPr>
      <w:hyperlink w:history="true" w:anchor="_bookmark124">
        <w:r>
          <w:rPr/>
          <w:t>Who should be an</w:t>
        </w:r>
        <w:r>
          <w:rPr>
            <w:spacing w:val="-11"/>
          </w:rPr>
          <w:t> </w:t>
        </w:r>
        <w:r>
          <w:rPr/>
          <w:t>accessibility</w:t>
        </w:r>
        <w:r>
          <w:rPr>
            <w:spacing w:val="-2"/>
          </w:rPr>
          <w:t> </w:t>
        </w:r>
        <w:r>
          <w:rPr/>
          <w:t>officer?</w:t>
          <w:tab/>
        </w:r>
        <w:r>
          <w:rPr>
            <w:spacing w:val="-4"/>
          </w:rPr>
          <w:t>171</w:t>
        </w:r>
      </w:hyperlink>
    </w:p>
    <w:p>
      <w:pPr>
        <w:pStyle w:val="BodyText"/>
        <w:tabs>
          <w:tab w:pos="9647" w:val="right" w:leader="dot"/>
        </w:tabs>
        <w:spacing w:before="47"/>
        <w:ind w:left="1534"/>
      </w:pPr>
      <w:hyperlink w:history="true" w:anchor="_bookmark125">
        <w:r>
          <w:rPr/>
          <w:t>Support</w:t>
        </w:r>
        <w:r>
          <w:rPr>
            <w:spacing w:val="-2"/>
          </w:rPr>
          <w:t> </w:t>
        </w:r>
        <w:r>
          <w:rPr/>
          <w:t>persons</w:t>
          <w:tab/>
        </w:r>
        <w:r>
          <w:rPr>
            <w:spacing w:val="-4"/>
          </w:rPr>
          <w:t>172</w:t>
        </w:r>
      </w:hyperlink>
    </w:p>
    <w:p>
      <w:pPr>
        <w:pStyle w:val="BodyText"/>
        <w:tabs>
          <w:tab w:pos="9647" w:val="right" w:leader="dot"/>
        </w:tabs>
        <w:spacing w:before="42"/>
        <w:ind w:left="1817"/>
      </w:pPr>
      <w:hyperlink w:history="true" w:anchor="_bookmark126">
        <w:r>
          <w:rPr/>
          <w:t>Community ideas about the support</w:t>
        </w:r>
        <w:r>
          <w:rPr>
            <w:spacing w:val="-11"/>
          </w:rPr>
          <w:t> </w:t>
        </w:r>
        <w:r>
          <w:rPr/>
          <w:t>person</w:t>
        </w:r>
        <w:r>
          <w:rPr>
            <w:spacing w:val="-2"/>
          </w:rPr>
          <w:t> </w:t>
        </w:r>
        <w:r>
          <w:rPr/>
          <w:t>role</w:t>
          <w:tab/>
        </w:r>
        <w:r>
          <w:rPr>
            <w:spacing w:val="-4"/>
          </w:rPr>
          <w:t>173</w:t>
        </w:r>
      </w:hyperlink>
    </w:p>
    <w:p>
      <w:pPr>
        <w:pStyle w:val="BodyText"/>
        <w:tabs>
          <w:tab w:pos="9647" w:val="right" w:leader="dot"/>
        </w:tabs>
        <w:spacing w:before="41"/>
        <w:ind w:left="1817"/>
      </w:pPr>
      <w:hyperlink w:history="true" w:anchor="_bookmark126">
        <w:r>
          <w:rPr/>
          <w:t>Readers and</w:t>
        </w:r>
        <w:r>
          <w:rPr>
            <w:spacing w:val="-5"/>
          </w:rPr>
          <w:t> </w:t>
        </w:r>
        <w:r>
          <w:rPr/>
          <w:t>audio</w:t>
        </w:r>
        <w:r>
          <w:rPr>
            <w:spacing w:val="-2"/>
          </w:rPr>
          <w:t> </w:t>
        </w:r>
        <w:r>
          <w:rPr/>
          <w:t>describers</w:t>
          <w:tab/>
        </w:r>
        <w:r>
          <w:rPr>
            <w:spacing w:val="-4"/>
          </w:rPr>
          <w:t>173</w:t>
        </w:r>
      </w:hyperlink>
    </w:p>
    <w:p>
      <w:pPr>
        <w:pStyle w:val="BodyText"/>
        <w:tabs>
          <w:tab w:pos="9647" w:val="right" w:leader="dot"/>
        </w:tabs>
        <w:spacing w:before="48"/>
        <w:ind w:left="1534"/>
      </w:pPr>
      <w:hyperlink w:history="true" w:anchor="_bookmark127">
        <w:r>
          <w:rPr/>
          <w:t>The Act should allow for the appointment of a</w:t>
        </w:r>
        <w:r>
          <w:rPr>
            <w:spacing w:val="-23"/>
          </w:rPr>
          <w:t> </w:t>
        </w:r>
        <w:r>
          <w:rPr/>
          <w:t>support</w:t>
        </w:r>
        <w:r>
          <w:rPr>
            <w:spacing w:val="-2"/>
          </w:rPr>
          <w:t> </w:t>
        </w:r>
        <w:r>
          <w:rPr/>
          <w:t>person</w:t>
          <w:tab/>
        </w:r>
        <w:r>
          <w:rPr>
            <w:spacing w:val="-5"/>
          </w:rPr>
          <w:t>175</w:t>
        </w:r>
      </w:hyperlink>
    </w:p>
    <w:p>
      <w:pPr>
        <w:pStyle w:val="BodyText"/>
        <w:tabs>
          <w:tab w:pos="9647" w:val="right" w:leader="dot"/>
        </w:tabs>
        <w:spacing w:before="41"/>
        <w:ind w:left="1817"/>
      </w:pPr>
      <w:hyperlink w:history="true" w:anchor="_bookmark127">
        <w:r>
          <w:rPr>
            <w:spacing w:val="-3"/>
          </w:rPr>
          <w:t>Training </w:t>
        </w:r>
        <w:r>
          <w:rPr/>
          <w:t>for the specific role of working</w:t>
        </w:r>
        <w:r>
          <w:rPr>
            <w:spacing w:val="-15"/>
          </w:rPr>
          <w:t> </w:t>
        </w:r>
        <w:r>
          <w:rPr/>
          <w:t>with</w:t>
        </w:r>
        <w:r>
          <w:rPr>
            <w:spacing w:val="-2"/>
          </w:rPr>
          <w:t> </w:t>
        </w:r>
        <w:r>
          <w:rPr/>
          <w:t>jurors</w:t>
          <w:tab/>
        </w:r>
        <w:r>
          <w:rPr>
            <w:spacing w:val="-5"/>
          </w:rPr>
          <w:t>175</w:t>
        </w:r>
      </w:hyperlink>
    </w:p>
    <w:p>
      <w:pPr>
        <w:pStyle w:val="BodyText"/>
        <w:tabs>
          <w:tab w:pos="9647" w:val="right" w:leader="dot"/>
        </w:tabs>
        <w:spacing w:before="42"/>
        <w:ind w:left="1817"/>
      </w:pPr>
      <w:hyperlink w:history="true" w:anchor="_bookmark127">
        <w:r>
          <w:rPr/>
          <w:t>Standards and a code of conduct for</w:t>
        </w:r>
        <w:r>
          <w:rPr>
            <w:spacing w:val="-15"/>
          </w:rPr>
          <w:t> </w:t>
        </w:r>
        <w:r>
          <w:rPr/>
          <w:t>support</w:t>
        </w:r>
        <w:r>
          <w:rPr>
            <w:spacing w:val="-2"/>
          </w:rPr>
          <w:t> </w:t>
        </w:r>
        <w:r>
          <w:rPr/>
          <w:t>persons</w:t>
          <w:tab/>
        </w:r>
        <w:r>
          <w:rPr>
            <w:spacing w:val="-5"/>
          </w:rPr>
          <w:t>175</w:t>
        </w:r>
      </w:hyperlink>
    </w:p>
    <w:p>
      <w:pPr>
        <w:pStyle w:val="BodyText"/>
        <w:tabs>
          <w:tab w:pos="9647" w:val="right" w:leader="dot"/>
        </w:tabs>
        <w:spacing w:before="41"/>
        <w:ind w:left="1817"/>
      </w:pPr>
      <w:hyperlink w:history="true" w:anchor="_bookmark128">
        <w:r>
          <w:rPr/>
          <w:t>Support persons should provide an oath to</w:t>
        </w:r>
        <w:r>
          <w:rPr>
            <w:spacing w:val="-17"/>
          </w:rPr>
          <w:t> </w:t>
        </w:r>
        <w:r>
          <w:rPr/>
          <w:t>the</w:t>
        </w:r>
        <w:r>
          <w:rPr>
            <w:spacing w:val="-2"/>
          </w:rPr>
          <w:t> </w:t>
        </w:r>
        <w:r>
          <w:rPr/>
          <w:t>court</w:t>
          <w:tab/>
        </w:r>
        <w:r>
          <w:rPr>
            <w:spacing w:val="-4"/>
          </w:rPr>
          <w:t>176</w:t>
        </w:r>
      </w:hyperlink>
    </w:p>
    <w:p>
      <w:pPr>
        <w:pStyle w:val="BodyText"/>
        <w:spacing w:line="259" w:lineRule="exact" w:before="48"/>
        <w:ind w:left="1534"/>
      </w:pPr>
      <w:hyperlink w:history="true" w:anchor="_bookmark129">
        <w:r>
          <w:rPr/>
          <w:t>New offences should exist for Auslan interpreters or support persons who</w:t>
        </w:r>
      </w:hyperlink>
    </w:p>
    <w:p>
      <w:pPr>
        <w:pStyle w:val="BodyText"/>
        <w:tabs>
          <w:tab w:pos="9647" w:val="right" w:leader="dot"/>
        </w:tabs>
        <w:spacing w:line="259" w:lineRule="exact"/>
        <w:ind w:left="1534"/>
      </w:pPr>
      <w:hyperlink w:history="true" w:anchor="_bookmark129">
        <w:r>
          <w:rPr/>
          <w:t>breach their duties to</w:t>
        </w:r>
        <w:r>
          <w:rPr>
            <w:spacing w:val="-9"/>
          </w:rPr>
          <w:t> </w:t>
        </w:r>
        <w:r>
          <w:rPr/>
          <w:t>the</w:t>
        </w:r>
        <w:r>
          <w:rPr>
            <w:spacing w:val="-2"/>
          </w:rPr>
          <w:t> </w:t>
        </w:r>
        <w:r>
          <w:rPr/>
          <w:t>court</w:t>
          <w:tab/>
        </w:r>
        <w:r>
          <w:rPr>
            <w:spacing w:val="-2"/>
          </w:rPr>
          <w:t>177</w:t>
        </w:r>
      </w:hyperlink>
    </w:p>
    <w:p>
      <w:pPr>
        <w:pStyle w:val="BodyText"/>
        <w:rPr>
          <w:sz w:val="28"/>
        </w:rPr>
      </w:pPr>
    </w:p>
    <w:p>
      <w:pPr>
        <w:pStyle w:val="BodyText"/>
        <w:rPr>
          <w:sz w:val="28"/>
        </w:rPr>
      </w:pPr>
    </w:p>
    <w:p>
      <w:pPr>
        <w:pStyle w:val="BodyText"/>
        <w:rPr>
          <w:sz w:val="28"/>
        </w:rPr>
      </w:pPr>
    </w:p>
    <w:p>
      <w:pPr>
        <w:pStyle w:val="BodyText"/>
        <w:spacing w:before="3"/>
        <w:rPr>
          <w:sz w:val="38"/>
        </w:rPr>
      </w:pPr>
    </w:p>
    <w:p>
      <w:pPr>
        <w:spacing w:before="0"/>
        <w:ind w:left="100" w:right="0" w:firstLine="0"/>
        <w:jc w:val="left"/>
        <w:rPr>
          <w:b/>
          <w:sz w:val="24"/>
        </w:rPr>
      </w:pPr>
      <w:r>
        <w:rPr>
          <w:b/>
          <w:color w:val="37617A"/>
          <w:sz w:val="24"/>
        </w:rPr>
        <w:t>viii</w:t>
      </w:r>
    </w:p>
    <w:p>
      <w:pPr>
        <w:spacing w:after="0"/>
        <w:jc w:val="left"/>
        <w:rPr>
          <w:sz w:val="24"/>
        </w:rPr>
        <w:sectPr>
          <w:pgSz w:w="11910" w:h="16840"/>
          <w:pgMar w:header="567" w:footer="0" w:top="860" w:bottom="280" w:left="620" w:right="380"/>
        </w:sectPr>
      </w:pPr>
    </w:p>
    <w:p>
      <w:pPr>
        <w:pStyle w:val="BodyText"/>
        <w:rPr>
          <w:b/>
        </w:rPr>
      </w:pPr>
    </w:p>
    <w:p>
      <w:pPr>
        <w:pStyle w:val="BodyText"/>
        <w:rPr>
          <w:b/>
        </w:rPr>
      </w:pPr>
    </w:p>
    <w:p>
      <w:pPr>
        <w:pStyle w:val="BodyText"/>
        <w:rPr>
          <w:b/>
        </w:rPr>
      </w:pPr>
    </w:p>
    <w:p>
      <w:pPr>
        <w:pStyle w:val="BodyText"/>
        <w:spacing w:before="7"/>
        <w:rPr>
          <w:b/>
          <w:sz w:val="16"/>
        </w:rPr>
      </w:pPr>
    </w:p>
    <w:p>
      <w:pPr>
        <w:pStyle w:val="Heading8"/>
        <w:numPr>
          <w:ilvl w:val="0"/>
          <w:numId w:val="1"/>
        </w:numPr>
        <w:tabs>
          <w:tab w:pos="1308" w:val="left" w:leader="none"/>
          <w:tab w:pos="9647" w:val="right" w:leader="dot"/>
        </w:tabs>
        <w:spacing w:line="240" w:lineRule="auto" w:before="57" w:after="0"/>
        <w:ind w:left="1307" w:right="0" w:hanging="340"/>
        <w:jc w:val="left"/>
      </w:pPr>
      <w:hyperlink w:history="true" w:anchor="_bookmark130">
        <w:r>
          <w:rPr>
            <w:color w:val="37617A"/>
          </w:rPr>
          <w:t>Excuse from</w:t>
        </w:r>
        <w:r>
          <w:rPr>
            <w:color w:val="37617A"/>
            <w:spacing w:val="-5"/>
          </w:rPr>
          <w:t> </w:t>
        </w:r>
        <w:r>
          <w:rPr>
            <w:color w:val="37617A"/>
          </w:rPr>
          <w:t>jury</w:t>
        </w:r>
        <w:r>
          <w:rPr>
            <w:color w:val="37617A"/>
            <w:spacing w:val="-2"/>
          </w:rPr>
          <w:t> </w:t>
        </w:r>
        <w:r>
          <w:rPr>
            <w:color w:val="37617A"/>
          </w:rPr>
          <w:t>service</w:t>
          <w:tab/>
          <w:t>180</w:t>
        </w:r>
      </w:hyperlink>
    </w:p>
    <w:p>
      <w:pPr>
        <w:pStyle w:val="BodyText"/>
        <w:tabs>
          <w:tab w:pos="9647" w:val="right" w:leader="dot"/>
        </w:tabs>
        <w:spacing w:before="48"/>
        <w:ind w:left="1534"/>
      </w:pPr>
      <w:hyperlink w:history="true" w:anchor="_bookmark130">
        <w:r>
          <w:rPr/>
          <w:t>Overview</w:t>
          <w:tab/>
          <w:t>180</w:t>
        </w:r>
      </w:hyperlink>
    </w:p>
    <w:p>
      <w:pPr>
        <w:pStyle w:val="BodyText"/>
        <w:tabs>
          <w:tab w:pos="9647" w:val="right" w:leader="dot"/>
        </w:tabs>
        <w:spacing w:before="47"/>
        <w:ind w:left="1534"/>
      </w:pPr>
      <w:hyperlink w:history="true" w:anchor="_bookmark130">
        <w:r>
          <w:rPr/>
          <w:t>When should a person be able to</w:t>
        </w:r>
        <w:r>
          <w:rPr>
            <w:spacing w:val="-17"/>
          </w:rPr>
          <w:t> </w:t>
        </w:r>
        <w:r>
          <w:rPr/>
          <w:t>be</w:t>
        </w:r>
        <w:r>
          <w:rPr>
            <w:spacing w:val="-3"/>
          </w:rPr>
          <w:t> </w:t>
        </w:r>
        <w:r>
          <w:rPr/>
          <w:t>excused?</w:t>
          <w:tab/>
          <w:t>180</w:t>
        </w:r>
      </w:hyperlink>
    </w:p>
    <w:p>
      <w:pPr>
        <w:pStyle w:val="BodyText"/>
        <w:tabs>
          <w:tab w:pos="9647" w:val="right" w:leader="dot"/>
        </w:tabs>
        <w:spacing w:before="41"/>
        <w:ind w:left="1817"/>
      </w:pPr>
      <w:hyperlink w:history="true" w:anchor="_bookmark131">
        <w:r>
          <w:rPr/>
          <w:t>When can a person currently seek to</w:t>
        </w:r>
        <w:r>
          <w:rPr>
            <w:spacing w:val="-19"/>
          </w:rPr>
          <w:t> </w:t>
        </w:r>
        <w:r>
          <w:rPr/>
          <w:t>be</w:t>
        </w:r>
        <w:r>
          <w:rPr>
            <w:spacing w:val="-3"/>
          </w:rPr>
          <w:t> </w:t>
        </w:r>
        <w:r>
          <w:rPr/>
          <w:t>excused?</w:t>
          <w:tab/>
          <w:t>181</w:t>
        </w:r>
      </w:hyperlink>
    </w:p>
    <w:p>
      <w:pPr>
        <w:pStyle w:val="BodyText"/>
        <w:tabs>
          <w:tab w:pos="9647" w:val="right" w:leader="dot"/>
        </w:tabs>
        <w:spacing w:before="48"/>
        <w:ind w:left="1534"/>
      </w:pPr>
      <w:hyperlink w:history="true" w:anchor="_bookmark131">
        <w:r>
          <w:rPr/>
          <w:t>Excuses from jury service in</w:t>
        </w:r>
        <w:r>
          <w:rPr>
            <w:spacing w:val="-12"/>
          </w:rPr>
          <w:t> </w:t>
        </w:r>
        <w:r>
          <w:rPr/>
          <w:t>other</w:t>
        </w:r>
        <w:r>
          <w:rPr>
            <w:spacing w:val="-2"/>
          </w:rPr>
          <w:t> </w:t>
        </w:r>
        <w:r>
          <w:rPr/>
          <w:t>jurisdictions</w:t>
          <w:tab/>
          <w:t>181</w:t>
        </w:r>
      </w:hyperlink>
    </w:p>
    <w:p>
      <w:pPr>
        <w:pStyle w:val="BodyText"/>
        <w:tabs>
          <w:tab w:pos="9645" w:val="right" w:leader="dot"/>
        </w:tabs>
        <w:spacing w:before="41"/>
        <w:ind w:left="1817"/>
      </w:pPr>
      <w:hyperlink w:history="true" w:anchor="_bookmark132">
        <w:r>
          <w:rPr/>
          <w:t>Australian</w:t>
        </w:r>
        <w:r>
          <w:rPr>
            <w:spacing w:val="-2"/>
          </w:rPr>
          <w:t> </w:t>
        </w:r>
        <w:r>
          <w:rPr/>
          <w:t>Capital</w:t>
        </w:r>
        <w:r>
          <w:rPr>
            <w:spacing w:val="-2"/>
          </w:rPr>
          <w:t> </w:t>
        </w:r>
        <w:r>
          <w:rPr>
            <w:spacing w:val="-3"/>
          </w:rPr>
          <w:t>Territory</w:t>
          <w:tab/>
          <w:t>182</w:t>
        </w:r>
      </w:hyperlink>
    </w:p>
    <w:p>
      <w:pPr>
        <w:pStyle w:val="BodyText"/>
        <w:tabs>
          <w:tab w:pos="9645" w:val="right" w:leader="dot"/>
        </w:tabs>
        <w:spacing w:before="42"/>
        <w:ind w:left="1817"/>
      </w:pPr>
      <w:hyperlink w:history="true" w:anchor="_bookmark132">
        <w:r>
          <w:rPr/>
          <w:t>England</w:t>
        </w:r>
        <w:r>
          <w:rPr>
            <w:spacing w:val="-2"/>
          </w:rPr>
          <w:t> </w:t>
        </w:r>
        <w:r>
          <w:rPr/>
          <w:t>and</w:t>
        </w:r>
        <w:r>
          <w:rPr>
            <w:spacing w:val="-2"/>
          </w:rPr>
          <w:t> </w:t>
        </w:r>
        <w:r>
          <w:rPr>
            <w:spacing w:val="-3"/>
          </w:rPr>
          <w:t>Wales</w:t>
          <w:tab/>
          <w:t>182</w:t>
        </w:r>
      </w:hyperlink>
    </w:p>
    <w:p>
      <w:pPr>
        <w:pStyle w:val="BodyText"/>
        <w:tabs>
          <w:tab w:pos="9645" w:val="right" w:leader="dot"/>
        </w:tabs>
        <w:spacing w:before="41"/>
        <w:ind w:left="1817"/>
      </w:pPr>
      <w:hyperlink w:history="true" w:anchor="_bookmark132">
        <w:r>
          <w:rPr/>
          <w:t>Monroe County, New </w:t>
        </w:r>
        <w:r>
          <w:rPr>
            <w:spacing w:val="-4"/>
          </w:rPr>
          <w:t>York </w:t>
        </w:r>
        <w:r>
          <w:rPr/>
          <w:t>State,</w:t>
        </w:r>
        <w:r>
          <w:rPr>
            <w:spacing w:val="-10"/>
          </w:rPr>
          <w:t> </w:t>
        </w:r>
        <w:r>
          <w:rPr/>
          <w:t>United</w:t>
        </w:r>
        <w:r>
          <w:rPr>
            <w:spacing w:val="-3"/>
          </w:rPr>
          <w:t> </w:t>
        </w:r>
        <w:r>
          <w:rPr/>
          <w:t>States</w:t>
          <w:tab/>
        </w:r>
        <w:r>
          <w:rPr>
            <w:spacing w:val="-3"/>
          </w:rPr>
          <w:t>182</w:t>
        </w:r>
      </w:hyperlink>
    </w:p>
    <w:p>
      <w:pPr>
        <w:pStyle w:val="BodyText"/>
        <w:tabs>
          <w:tab w:pos="9643" w:val="right" w:leader="dot"/>
        </w:tabs>
        <w:spacing w:before="42"/>
        <w:ind w:left="1817"/>
      </w:pPr>
      <w:hyperlink w:history="true" w:anchor="_bookmark133">
        <w:r>
          <w:rPr/>
          <w:t>New</w:t>
        </w:r>
        <w:r>
          <w:rPr>
            <w:spacing w:val="-3"/>
          </w:rPr>
          <w:t> </w:t>
        </w:r>
        <w:r>
          <w:rPr/>
          <w:t>Zealand</w:t>
          <w:tab/>
        </w:r>
        <w:r>
          <w:rPr>
            <w:spacing w:val="-4"/>
          </w:rPr>
          <w:t>183</w:t>
        </w:r>
      </w:hyperlink>
    </w:p>
    <w:p>
      <w:pPr>
        <w:pStyle w:val="BodyText"/>
        <w:tabs>
          <w:tab w:pos="9643" w:val="right" w:leader="dot"/>
        </w:tabs>
        <w:spacing w:before="47"/>
        <w:ind w:left="1534"/>
      </w:pPr>
      <w:hyperlink w:history="true" w:anchor="_bookmark133">
        <w:r>
          <w:rPr/>
          <w:t>What did other law reform bodies say about </w:t>
        </w:r>
        <w:r>
          <w:rPr>
            <w:spacing w:val="-3"/>
          </w:rPr>
          <w:t>excuse </w:t>
        </w:r>
        <w:r>
          <w:rPr/>
          <w:t>from</w:t>
        </w:r>
        <w:r>
          <w:rPr>
            <w:spacing w:val="-25"/>
          </w:rPr>
          <w:t> </w:t>
        </w:r>
        <w:r>
          <w:rPr/>
          <w:t>jury</w:t>
        </w:r>
        <w:r>
          <w:rPr>
            <w:spacing w:val="-2"/>
          </w:rPr>
          <w:t> </w:t>
        </w:r>
        <w:r>
          <w:rPr/>
          <w:t>service?</w:t>
          <w:tab/>
        </w:r>
        <w:r>
          <w:rPr>
            <w:spacing w:val="-4"/>
          </w:rPr>
          <w:t>183</w:t>
        </w:r>
      </w:hyperlink>
    </w:p>
    <w:p>
      <w:pPr>
        <w:pStyle w:val="BodyText"/>
        <w:tabs>
          <w:tab w:pos="9647" w:val="right" w:leader="dot"/>
        </w:tabs>
        <w:spacing w:before="48"/>
        <w:ind w:left="1534"/>
      </w:pPr>
      <w:hyperlink w:history="true" w:anchor="_bookmark134">
        <w:r>
          <w:rPr/>
          <w:t>Community responses: </w:t>
        </w:r>
        <w:r>
          <w:rPr>
            <w:spacing w:val="-2"/>
          </w:rPr>
          <w:t>excuse </w:t>
        </w:r>
        <w:r>
          <w:rPr/>
          <w:t>from</w:t>
        </w:r>
        <w:r>
          <w:rPr>
            <w:spacing w:val="-7"/>
          </w:rPr>
          <w:t> </w:t>
        </w:r>
        <w:r>
          <w:rPr/>
          <w:t>jury</w:t>
        </w:r>
        <w:r>
          <w:rPr>
            <w:spacing w:val="-2"/>
          </w:rPr>
          <w:t> </w:t>
        </w:r>
        <w:r>
          <w:rPr/>
          <w:t>service</w:t>
          <w:tab/>
          <w:t>184</w:t>
        </w:r>
      </w:hyperlink>
    </w:p>
    <w:p>
      <w:pPr>
        <w:pStyle w:val="BodyText"/>
        <w:tabs>
          <w:tab w:pos="9647" w:val="right" w:leader="dot"/>
        </w:tabs>
        <w:spacing w:before="41"/>
        <w:ind w:left="1817"/>
      </w:pPr>
      <w:hyperlink w:history="true" w:anchor="_bookmark134">
        <w:r>
          <w:rPr/>
          <w:t>Advocacy</w:t>
        </w:r>
        <w:r>
          <w:rPr>
            <w:spacing w:val="-3"/>
          </w:rPr>
          <w:t> </w:t>
        </w:r>
        <w:r>
          <w:rPr/>
          <w:t>groups</w:t>
          <w:tab/>
          <w:t>184</w:t>
        </w:r>
      </w:hyperlink>
    </w:p>
    <w:p>
      <w:pPr>
        <w:pStyle w:val="BodyText"/>
        <w:tabs>
          <w:tab w:pos="9647" w:val="right" w:leader="dot"/>
        </w:tabs>
        <w:spacing w:before="41"/>
        <w:ind w:left="1817"/>
      </w:pPr>
      <w:hyperlink w:history="true" w:anchor="_bookmark135">
        <w:r>
          <w:rPr/>
          <w:t>Responses </w:t>
        </w:r>
        <w:r>
          <w:rPr>
            <w:spacing w:val="-3"/>
          </w:rPr>
          <w:t>by </w:t>
        </w:r>
        <w:r>
          <w:rPr/>
          <w:t>people from the</w:t>
        </w:r>
        <w:r>
          <w:rPr>
            <w:spacing w:val="-9"/>
          </w:rPr>
          <w:t> </w:t>
        </w:r>
        <w:r>
          <w:rPr/>
          <w:t>subject</w:t>
        </w:r>
        <w:r>
          <w:rPr>
            <w:spacing w:val="-2"/>
          </w:rPr>
          <w:t> </w:t>
        </w:r>
        <w:r>
          <w:rPr/>
          <w:t>groups</w:t>
          <w:tab/>
          <w:t>185</w:t>
        </w:r>
      </w:hyperlink>
    </w:p>
    <w:p>
      <w:pPr>
        <w:pStyle w:val="BodyText"/>
        <w:tabs>
          <w:tab w:pos="9647" w:val="right" w:leader="dot"/>
        </w:tabs>
        <w:spacing w:before="42"/>
        <w:ind w:left="1817"/>
      </w:pPr>
      <w:hyperlink w:history="true" w:anchor="_bookmark136">
        <w:r>
          <w:rPr/>
          <w:t>Legal</w:t>
        </w:r>
        <w:r>
          <w:rPr>
            <w:spacing w:val="-3"/>
          </w:rPr>
          <w:t> </w:t>
        </w:r>
        <w:r>
          <w:rPr/>
          <w:t>representatives</w:t>
          <w:tab/>
          <w:t>186</w:t>
        </w:r>
      </w:hyperlink>
    </w:p>
    <w:p>
      <w:pPr>
        <w:pStyle w:val="BodyText"/>
        <w:tabs>
          <w:tab w:pos="9647" w:val="right" w:leader="dot"/>
        </w:tabs>
        <w:spacing w:before="47"/>
        <w:ind w:left="1534"/>
      </w:pPr>
      <w:hyperlink w:history="true" w:anchor="_bookmark136">
        <w:r>
          <w:rPr/>
          <w:t>Reasons why a person with disability might want to</w:t>
        </w:r>
        <w:r>
          <w:rPr>
            <w:spacing w:val="-26"/>
          </w:rPr>
          <w:t> </w:t>
        </w:r>
        <w:r>
          <w:rPr/>
          <w:t>be</w:t>
        </w:r>
        <w:r>
          <w:rPr>
            <w:spacing w:val="-2"/>
          </w:rPr>
          <w:t> </w:t>
        </w:r>
        <w:r>
          <w:rPr/>
          <w:t>excused</w:t>
          <w:tab/>
          <w:t>186</w:t>
        </w:r>
      </w:hyperlink>
    </w:p>
    <w:p>
      <w:pPr>
        <w:pStyle w:val="BodyText"/>
        <w:tabs>
          <w:tab w:pos="9645" w:val="right" w:leader="dot"/>
        </w:tabs>
        <w:spacing w:before="48"/>
        <w:ind w:left="1534"/>
      </w:pPr>
      <w:hyperlink w:history="true" w:anchor="_bookmark137">
        <w:r>
          <w:rPr/>
          <w:t>Excuses should only be available for the consequences</w:t>
        </w:r>
        <w:r>
          <w:rPr>
            <w:spacing w:val="-24"/>
          </w:rPr>
          <w:t> </w:t>
        </w:r>
        <w:r>
          <w:rPr/>
          <w:t>of</w:t>
        </w:r>
        <w:r>
          <w:rPr>
            <w:spacing w:val="-2"/>
          </w:rPr>
          <w:t> </w:t>
        </w:r>
        <w:r>
          <w:rPr/>
          <w:t>disability</w:t>
          <w:tab/>
        </w:r>
        <w:r>
          <w:rPr>
            <w:spacing w:val="-3"/>
          </w:rPr>
          <w:t>187</w:t>
        </w:r>
      </w:hyperlink>
    </w:p>
    <w:p>
      <w:pPr>
        <w:pStyle w:val="BodyText"/>
        <w:tabs>
          <w:tab w:pos="9647" w:val="right" w:leader="dot"/>
        </w:tabs>
        <w:spacing w:before="41"/>
        <w:ind w:left="1817"/>
      </w:pPr>
      <w:hyperlink w:history="true" w:anchor="_bookmark138">
        <w:r>
          <w:rPr/>
          <w:t>Data should be collected about the reasons</w:t>
        </w:r>
        <w:r>
          <w:rPr>
            <w:spacing w:val="-17"/>
          </w:rPr>
          <w:t> </w:t>
        </w:r>
        <w:r>
          <w:rPr/>
          <w:t>for</w:t>
        </w:r>
        <w:r>
          <w:rPr>
            <w:spacing w:val="-3"/>
          </w:rPr>
          <w:t> excuse</w:t>
          <w:tab/>
        </w:r>
        <w:r>
          <w:rPr/>
          <w:t>188</w:t>
        </w:r>
      </w:hyperlink>
    </w:p>
    <w:p>
      <w:pPr>
        <w:pStyle w:val="BodyText"/>
        <w:tabs>
          <w:tab w:pos="9647" w:val="right" w:leader="dot"/>
        </w:tabs>
        <w:spacing w:before="48"/>
        <w:ind w:left="1534"/>
      </w:pPr>
      <w:hyperlink w:history="true" w:anchor="_bookmark138">
        <w:r>
          <w:rPr/>
          <w:t>The </w:t>
        </w:r>
        <w:r>
          <w:rPr>
            <w:spacing w:val="-3"/>
          </w:rPr>
          <w:t>excuse </w:t>
        </w:r>
        <w:r>
          <w:rPr/>
          <w:t>process should not</w:t>
        </w:r>
        <w:r>
          <w:rPr>
            <w:spacing w:val="-10"/>
          </w:rPr>
          <w:t> </w:t>
        </w:r>
        <w:r>
          <w:rPr/>
          <w:t>be</w:t>
        </w:r>
        <w:r>
          <w:rPr>
            <w:spacing w:val="-3"/>
          </w:rPr>
          <w:t> </w:t>
        </w:r>
        <w:r>
          <w:rPr/>
          <w:t>difficult</w:t>
          <w:tab/>
          <w:t>188</w:t>
        </w:r>
      </w:hyperlink>
    </w:p>
    <w:p>
      <w:pPr>
        <w:pStyle w:val="BodyText"/>
        <w:tabs>
          <w:tab w:pos="9647" w:val="right" w:leader="dot"/>
        </w:tabs>
        <w:spacing w:before="41"/>
        <w:ind w:left="1817"/>
      </w:pPr>
      <w:hyperlink w:history="true" w:anchor="_bookmark138">
        <w:r>
          <w:rPr/>
          <w:t>Juries Victoria should provide information about the</w:t>
        </w:r>
        <w:r>
          <w:rPr>
            <w:spacing w:val="-23"/>
          </w:rPr>
          <w:t> </w:t>
        </w:r>
        <w:r>
          <w:rPr>
            <w:spacing w:val="-3"/>
          </w:rPr>
          <w:t>excuse</w:t>
        </w:r>
        <w:r>
          <w:rPr>
            <w:spacing w:val="-4"/>
          </w:rPr>
          <w:t> </w:t>
        </w:r>
        <w:r>
          <w:rPr/>
          <w:t>process</w:t>
          <w:tab/>
          <w:t>188</w:t>
        </w:r>
      </w:hyperlink>
    </w:p>
    <w:p>
      <w:pPr>
        <w:pStyle w:val="BodyText"/>
        <w:tabs>
          <w:tab w:pos="9647" w:val="right" w:leader="dot"/>
        </w:tabs>
        <w:spacing w:before="48"/>
        <w:ind w:left="1534"/>
      </w:pPr>
      <w:hyperlink w:history="true" w:anchor="_bookmark139">
        <w:r>
          <w:rPr/>
          <w:t>Clarifying the courts’ power to </w:t>
        </w:r>
        <w:r>
          <w:rPr>
            <w:spacing w:val="-3"/>
          </w:rPr>
          <w:t>excuse </w:t>
        </w:r>
        <w:r>
          <w:rPr/>
          <w:t>in the</w:t>
        </w:r>
        <w:r>
          <w:rPr>
            <w:spacing w:val="-16"/>
          </w:rPr>
          <w:t> </w:t>
        </w:r>
        <w:r>
          <w:rPr/>
          <w:t>Juries</w:t>
        </w:r>
        <w:r>
          <w:rPr>
            <w:spacing w:val="-2"/>
          </w:rPr>
          <w:t> </w:t>
        </w:r>
        <w:r>
          <w:rPr/>
          <w:t>Act</w:t>
          <w:tab/>
          <w:t>189</w:t>
        </w:r>
      </w:hyperlink>
    </w:p>
    <w:p>
      <w:pPr>
        <w:pStyle w:val="Heading8"/>
        <w:numPr>
          <w:ilvl w:val="0"/>
          <w:numId w:val="1"/>
        </w:numPr>
        <w:tabs>
          <w:tab w:pos="1308" w:val="left" w:leader="none"/>
          <w:tab w:pos="9647" w:val="right" w:leader="dot"/>
        </w:tabs>
        <w:spacing w:line="240" w:lineRule="auto" w:before="41" w:after="0"/>
        <w:ind w:left="1307" w:right="0" w:hanging="340"/>
        <w:jc w:val="left"/>
      </w:pPr>
      <w:hyperlink w:history="true" w:anchor="_bookmark140">
        <w:r>
          <w:rPr>
            <w:color w:val="37617A"/>
          </w:rPr>
          <w:t>Peremptory challenges and</w:t>
        </w:r>
        <w:r>
          <w:rPr>
            <w:color w:val="37617A"/>
            <w:spacing w:val="-7"/>
          </w:rPr>
          <w:t> </w:t>
        </w:r>
        <w:r>
          <w:rPr>
            <w:color w:val="37617A"/>
          </w:rPr>
          <w:t>stand</w:t>
        </w:r>
        <w:r>
          <w:rPr>
            <w:color w:val="37617A"/>
            <w:spacing w:val="-2"/>
          </w:rPr>
          <w:t> </w:t>
        </w:r>
        <w:r>
          <w:rPr>
            <w:color w:val="37617A"/>
          </w:rPr>
          <w:t>asides</w:t>
          <w:tab/>
          <w:t>192</w:t>
        </w:r>
      </w:hyperlink>
    </w:p>
    <w:p>
      <w:pPr>
        <w:pStyle w:val="BodyText"/>
        <w:tabs>
          <w:tab w:pos="9647" w:val="right" w:leader="dot"/>
        </w:tabs>
        <w:spacing w:before="47"/>
        <w:ind w:left="1534"/>
      </w:pPr>
      <w:hyperlink w:history="true" w:anchor="_bookmark140">
        <w:r>
          <w:rPr/>
          <w:t>Overview</w:t>
          <w:tab/>
          <w:t>192</w:t>
        </w:r>
      </w:hyperlink>
    </w:p>
    <w:p>
      <w:pPr>
        <w:pStyle w:val="BodyText"/>
        <w:tabs>
          <w:tab w:pos="9647" w:val="right" w:leader="dot"/>
        </w:tabs>
        <w:spacing w:before="48"/>
        <w:ind w:left="1534"/>
      </w:pPr>
      <w:hyperlink w:history="true" w:anchor="_bookmark140">
        <w:r>
          <w:rPr/>
          <w:t>Challenging</w:t>
        </w:r>
        <w:r>
          <w:rPr>
            <w:spacing w:val="-3"/>
          </w:rPr>
          <w:t> </w:t>
        </w:r>
        <w:r>
          <w:rPr/>
          <w:t>potential</w:t>
        </w:r>
        <w:r>
          <w:rPr>
            <w:spacing w:val="-2"/>
          </w:rPr>
          <w:t> </w:t>
        </w:r>
        <w:r>
          <w:rPr/>
          <w:t>jurors</w:t>
          <w:tab/>
          <w:t>192</w:t>
        </w:r>
      </w:hyperlink>
    </w:p>
    <w:p>
      <w:pPr>
        <w:pStyle w:val="BodyText"/>
        <w:tabs>
          <w:tab w:pos="9644" w:val="right" w:leader="dot"/>
        </w:tabs>
        <w:spacing w:before="47"/>
        <w:ind w:left="1534"/>
      </w:pPr>
      <w:hyperlink w:history="true" w:anchor="_bookmark141">
        <w:r>
          <w:rPr/>
          <w:t>Peremptory</w:t>
        </w:r>
        <w:r>
          <w:rPr>
            <w:spacing w:val="-3"/>
          </w:rPr>
          <w:t> </w:t>
        </w:r>
        <w:r>
          <w:rPr/>
          <w:t>challenges</w:t>
          <w:tab/>
        </w:r>
        <w:r>
          <w:rPr>
            <w:spacing w:val="-4"/>
          </w:rPr>
          <w:t>193</w:t>
        </w:r>
      </w:hyperlink>
    </w:p>
    <w:p>
      <w:pPr>
        <w:pStyle w:val="BodyText"/>
        <w:tabs>
          <w:tab w:pos="9644" w:val="right" w:leader="dot"/>
        </w:tabs>
        <w:spacing w:before="42"/>
        <w:ind w:left="1817"/>
      </w:pPr>
      <w:hyperlink w:history="true" w:anchor="_bookmark141">
        <w:r>
          <w:rPr/>
          <w:t>What is the purpose of</w:t>
        </w:r>
        <w:r>
          <w:rPr>
            <w:spacing w:val="-12"/>
          </w:rPr>
          <w:t> </w:t>
        </w:r>
        <w:r>
          <w:rPr/>
          <w:t>peremptory</w:t>
        </w:r>
        <w:r>
          <w:rPr>
            <w:spacing w:val="-3"/>
          </w:rPr>
          <w:t> </w:t>
        </w:r>
        <w:r>
          <w:rPr/>
          <w:t>challenges?</w:t>
          <w:tab/>
        </w:r>
        <w:r>
          <w:rPr>
            <w:spacing w:val="-4"/>
          </w:rPr>
          <w:t>193</w:t>
        </w:r>
      </w:hyperlink>
    </w:p>
    <w:p>
      <w:pPr>
        <w:pStyle w:val="BodyText"/>
        <w:tabs>
          <w:tab w:pos="9647" w:val="right" w:leader="dot"/>
        </w:tabs>
        <w:spacing w:before="41"/>
        <w:ind w:left="1817"/>
      </w:pPr>
      <w:hyperlink w:history="true" w:anchor="_bookmark142">
        <w:r>
          <w:rPr/>
          <w:t>The flaws of</w:t>
        </w:r>
        <w:r>
          <w:rPr>
            <w:spacing w:val="-7"/>
          </w:rPr>
          <w:t> </w:t>
        </w:r>
        <w:r>
          <w:rPr/>
          <w:t>peremptory</w:t>
        </w:r>
        <w:r>
          <w:rPr>
            <w:spacing w:val="-3"/>
          </w:rPr>
          <w:t> </w:t>
        </w:r>
        <w:r>
          <w:rPr/>
          <w:t>challenges</w:t>
          <w:tab/>
          <w:t>194</w:t>
        </w:r>
      </w:hyperlink>
    </w:p>
    <w:p>
      <w:pPr>
        <w:pStyle w:val="BodyText"/>
        <w:tabs>
          <w:tab w:pos="9647" w:val="right" w:leader="dot"/>
        </w:tabs>
        <w:spacing w:before="42"/>
        <w:ind w:left="1817"/>
      </w:pPr>
      <w:hyperlink w:history="true" w:anchor="_bookmark143">
        <w:r>
          <w:rPr/>
          <w:t>The approach of other law reform agencies to disability</w:t>
        </w:r>
        <w:r>
          <w:rPr>
            <w:spacing w:val="-30"/>
          </w:rPr>
          <w:t> </w:t>
        </w:r>
        <w:r>
          <w:rPr/>
          <w:t>and</w:t>
        </w:r>
        <w:r>
          <w:rPr>
            <w:spacing w:val="-3"/>
          </w:rPr>
          <w:t> </w:t>
        </w:r>
        <w:r>
          <w:rPr/>
          <w:t>challenges</w:t>
          <w:tab/>
          <w:t>196</w:t>
        </w:r>
      </w:hyperlink>
    </w:p>
    <w:p>
      <w:pPr>
        <w:pStyle w:val="BodyText"/>
        <w:spacing w:line="256" w:lineRule="exact" w:before="41"/>
        <w:ind w:left="1817"/>
      </w:pPr>
      <w:hyperlink w:history="true" w:anchor="_bookmark143">
        <w:r>
          <w:rPr/>
          <w:t>Community responses: peremptory challenges exercised on</w:t>
        </w:r>
      </w:hyperlink>
    </w:p>
    <w:p>
      <w:pPr>
        <w:pStyle w:val="BodyText"/>
        <w:tabs>
          <w:tab w:pos="9647" w:val="right" w:leader="dot"/>
        </w:tabs>
        <w:spacing w:line="256" w:lineRule="exact"/>
        <w:ind w:left="1817"/>
      </w:pPr>
      <w:hyperlink w:history="true" w:anchor="_bookmark143">
        <w:r>
          <w:rPr/>
          <w:t>discriminatory</w:t>
        </w:r>
        <w:r>
          <w:rPr>
            <w:spacing w:val="-3"/>
          </w:rPr>
          <w:t> </w:t>
        </w:r>
        <w:r>
          <w:rPr/>
          <w:t>grounds</w:t>
          <w:tab/>
          <w:t>196</w:t>
        </w:r>
      </w:hyperlink>
    </w:p>
    <w:p>
      <w:pPr>
        <w:pStyle w:val="BodyText"/>
        <w:tabs>
          <w:tab w:pos="9647" w:val="right" w:leader="dot"/>
        </w:tabs>
        <w:spacing w:before="41"/>
        <w:ind w:left="1817"/>
      </w:pPr>
      <w:hyperlink w:history="true" w:anchor="_bookmark144">
        <w:r>
          <w:rPr/>
          <w:t>The law about peremptory challenges should not</w:t>
        </w:r>
        <w:r>
          <w:rPr>
            <w:spacing w:val="-20"/>
          </w:rPr>
          <w:t> </w:t>
        </w:r>
        <w:r>
          <w:rPr/>
          <w:t>be</w:t>
        </w:r>
        <w:r>
          <w:rPr>
            <w:spacing w:val="-2"/>
          </w:rPr>
          <w:t> </w:t>
        </w:r>
        <w:r>
          <w:rPr/>
          <w:t>changed</w:t>
          <w:tab/>
          <w:t>198</w:t>
        </w:r>
      </w:hyperlink>
    </w:p>
    <w:p>
      <w:pPr>
        <w:pStyle w:val="BodyText"/>
        <w:tabs>
          <w:tab w:pos="9647" w:val="right" w:leader="dot"/>
        </w:tabs>
        <w:spacing w:before="42"/>
        <w:ind w:left="1817"/>
      </w:pPr>
      <w:hyperlink w:history="true" w:anchor="_bookmark145">
        <w:r>
          <w:rPr/>
          <w:t>The judge should give a</w:t>
        </w:r>
        <w:r>
          <w:rPr>
            <w:spacing w:val="-12"/>
          </w:rPr>
          <w:t> </w:t>
        </w:r>
        <w:r>
          <w:rPr/>
          <w:t>simple</w:t>
        </w:r>
        <w:r>
          <w:rPr>
            <w:spacing w:val="-3"/>
          </w:rPr>
          <w:t> </w:t>
        </w:r>
        <w:r>
          <w:rPr/>
          <w:t>direction</w:t>
          <w:tab/>
          <w:t>199</w:t>
        </w:r>
      </w:hyperlink>
    </w:p>
    <w:p>
      <w:pPr>
        <w:pStyle w:val="BodyText"/>
        <w:tabs>
          <w:tab w:pos="9647" w:val="right" w:leader="dot"/>
        </w:tabs>
        <w:spacing w:before="41"/>
        <w:ind w:left="1817"/>
      </w:pPr>
      <w:hyperlink w:history="true" w:anchor="_bookmark145">
        <w:r>
          <w:rPr/>
          <w:t>The legal profession should be educated</w:t>
        </w:r>
        <w:r>
          <w:rPr>
            <w:spacing w:val="-16"/>
          </w:rPr>
          <w:t> </w:t>
        </w:r>
        <w:r>
          <w:rPr/>
          <w:t>about</w:t>
        </w:r>
        <w:r>
          <w:rPr>
            <w:spacing w:val="-3"/>
          </w:rPr>
          <w:t> </w:t>
        </w:r>
        <w:r>
          <w:rPr/>
          <w:t>reforms</w:t>
          <w:tab/>
          <w:t>199</w:t>
        </w:r>
      </w:hyperlink>
    </w:p>
    <w:p>
      <w:pPr>
        <w:pStyle w:val="BodyText"/>
        <w:tabs>
          <w:tab w:pos="9647" w:val="right" w:leader="dot"/>
        </w:tabs>
        <w:spacing w:before="42"/>
        <w:ind w:left="1817"/>
      </w:pPr>
      <w:hyperlink w:history="true" w:anchor="_bookmark146">
        <w:r>
          <w:rPr/>
          <w:t>Collecting data about</w:t>
        </w:r>
        <w:r>
          <w:rPr>
            <w:spacing w:val="-8"/>
          </w:rPr>
          <w:t> </w:t>
        </w:r>
        <w:r>
          <w:rPr/>
          <w:t>peremptory</w:t>
        </w:r>
        <w:r>
          <w:rPr>
            <w:spacing w:val="-2"/>
          </w:rPr>
          <w:t> </w:t>
        </w:r>
        <w:r>
          <w:rPr/>
          <w:t>challenges</w:t>
          <w:tab/>
          <w:t>200</w:t>
        </w:r>
      </w:hyperlink>
    </w:p>
    <w:p>
      <w:pPr>
        <w:pStyle w:val="BodyText"/>
        <w:tabs>
          <w:tab w:pos="9647" w:val="right" w:leader="dot"/>
        </w:tabs>
        <w:spacing w:before="47"/>
        <w:ind w:left="1534"/>
      </w:pPr>
      <w:hyperlink w:history="true" w:anchor="_bookmark147">
        <w:r>
          <w:rPr/>
          <w:t>Stand</w:t>
        </w:r>
        <w:r>
          <w:rPr>
            <w:spacing w:val="-3"/>
          </w:rPr>
          <w:t> </w:t>
        </w:r>
        <w:r>
          <w:rPr/>
          <w:t>asides</w:t>
          <w:tab/>
          <w:t>201</w:t>
        </w:r>
      </w:hyperlink>
    </w:p>
    <w:p>
      <w:pPr>
        <w:pStyle w:val="BodyText"/>
        <w:tabs>
          <w:tab w:pos="9647" w:val="right" w:leader="dot"/>
        </w:tabs>
        <w:spacing w:before="42"/>
        <w:ind w:left="1817"/>
      </w:pPr>
      <w:hyperlink w:history="true" w:anchor="_bookmark147">
        <w:r>
          <w:rPr>
            <w:spacing w:val="-3"/>
          </w:rPr>
          <w:t>Crown </w:t>
        </w:r>
        <w:r>
          <w:rPr/>
          <w:t>policy guides the exercise of</w:t>
        </w:r>
        <w:r>
          <w:rPr>
            <w:spacing w:val="-11"/>
          </w:rPr>
          <w:t> </w:t>
        </w:r>
        <w:r>
          <w:rPr/>
          <w:t>stand</w:t>
        </w:r>
        <w:r>
          <w:rPr>
            <w:spacing w:val="-3"/>
          </w:rPr>
          <w:t> </w:t>
        </w:r>
        <w:r>
          <w:rPr/>
          <w:t>asides</w:t>
          <w:tab/>
          <w:t>201</w:t>
        </w:r>
      </w:hyperlink>
    </w:p>
    <w:p>
      <w:pPr>
        <w:pStyle w:val="BodyText"/>
        <w:tabs>
          <w:tab w:pos="9643" w:val="right" w:leader="dot"/>
        </w:tabs>
        <w:spacing w:before="41"/>
        <w:ind w:left="1817"/>
      </w:pPr>
      <w:hyperlink w:history="true" w:anchor="_bookmark148">
        <w:r>
          <w:rPr/>
          <w:t>The legal profession’s view:</w:t>
        </w:r>
        <w:r>
          <w:rPr>
            <w:spacing w:val="-9"/>
          </w:rPr>
          <w:t> </w:t>
        </w:r>
        <w:r>
          <w:rPr/>
          <w:t>stand</w:t>
        </w:r>
        <w:r>
          <w:rPr>
            <w:spacing w:val="-3"/>
          </w:rPr>
          <w:t> </w:t>
        </w:r>
        <w:r>
          <w:rPr/>
          <w:t>asides</w:t>
          <w:tab/>
        </w:r>
        <w:r>
          <w:rPr>
            <w:spacing w:val="-4"/>
          </w:rPr>
          <w:t>202</w:t>
        </w:r>
      </w:hyperlink>
    </w:p>
    <w:p>
      <w:pPr>
        <w:pStyle w:val="BodyText"/>
        <w:tabs>
          <w:tab w:pos="9643" w:val="right" w:leader="dot"/>
        </w:tabs>
        <w:spacing w:before="42"/>
        <w:ind w:left="1817"/>
      </w:pPr>
      <w:hyperlink w:history="true" w:anchor="_bookmark148">
        <w:r>
          <w:rPr/>
          <w:t>The Commission’s conclusion: the DPP’s guiding policy</w:t>
        </w:r>
        <w:r>
          <w:rPr>
            <w:spacing w:val="-21"/>
          </w:rPr>
          <w:t> </w:t>
        </w:r>
        <w:r>
          <w:rPr/>
          <w:t>should</w:t>
        </w:r>
        <w:r>
          <w:rPr>
            <w:spacing w:val="-3"/>
          </w:rPr>
          <w:t> </w:t>
        </w:r>
        <w:r>
          <w:rPr/>
          <w:t>change</w:t>
          <w:tab/>
        </w:r>
        <w:r>
          <w:rPr>
            <w:spacing w:val="-4"/>
          </w:rPr>
          <w:t>202</w:t>
        </w:r>
      </w:hyperlink>
    </w:p>
    <w:p>
      <w:pPr>
        <w:pStyle w:val="BodyText"/>
        <w:tabs>
          <w:tab w:pos="9647" w:val="right" w:leader="dot"/>
        </w:tabs>
        <w:spacing w:before="41"/>
        <w:ind w:left="1817"/>
      </w:pPr>
      <w:hyperlink w:history="true" w:anchor="_bookmark149">
        <w:r>
          <w:rPr/>
          <w:t>The importance of education in</w:t>
        </w:r>
        <w:r>
          <w:rPr>
            <w:spacing w:val="-13"/>
          </w:rPr>
          <w:t> </w:t>
        </w:r>
        <w:r>
          <w:rPr/>
          <w:t>addressing</w:t>
        </w:r>
        <w:r>
          <w:rPr>
            <w:spacing w:val="-2"/>
          </w:rPr>
          <w:t> </w:t>
        </w:r>
        <w:r>
          <w:rPr/>
          <w:t>discrimination</w:t>
          <w:tab/>
        </w:r>
        <w:r>
          <w:rPr>
            <w:spacing w:val="-3"/>
          </w:rPr>
          <w:t>203</w:t>
        </w:r>
      </w:hyperlink>
    </w:p>
    <w:p>
      <w:pPr>
        <w:pStyle w:val="BodyText"/>
        <w:tabs>
          <w:tab w:pos="9647" w:val="right" w:leader="dot"/>
        </w:tabs>
        <w:spacing w:before="41"/>
        <w:ind w:left="1817"/>
      </w:pPr>
      <w:hyperlink w:history="true" w:anchor="_bookmark149">
        <w:r>
          <w:rPr/>
          <w:t>Collecting data about stand asides and people in the</w:t>
        </w:r>
        <w:r>
          <w:rPr>
            <w:spacing w:val="-25"/>
          </w:rPr>
          <w:t> </w:t>
        </w:r>
        <w:r>
          <w:rPr/>
          <w:t>subject</w:t>
        </w:r>
        <w:r>
          <w:rPr>
            <w:spacing w:val="-3"/>
          </w:rPr>
          <w:t> </w:t>
        </w:r>
        <w:r>
          <w:rPr/>
          <w:t>groups</w:t>
          <w:tab/>
        </w:r>
        <w:r>
          <w:rPr>
            <w:spacing w:val="-3"/>
          </w:rPr>
          <w:t>203</w:t>
        </w:r>
      </w:hyperlink>
    </w:p>
    <w:p>
      <w:pPr>
        <w:pStyle w:val="BodyText"/>
        <w:rPr>
          <w:sz w:val="28"/>
        </w:rPr>
      </w:pPr>
    </w:p>
    <w:p>
      <w:pPr>
        <w:pStyle w:val="BodyText"/>
        <w:rPr>
          <w:sz w:val="28"/>
        </w:rPr>
      </w:pPr>
    </w:p>
    <w:p>
      <w:pPr>
        <w:pStyle w:val="BodyText"/>
        <w:rPr>
          <w:sz w:val="28"/>
        </w:rPr>
      </w:pPr>
    </w:p>
    <w:p>
      <w:pPr>
        <w:pStyle w:val="BodyText"/>
        <w:spacing w:before="6"/>
        <w:rPr>
          <w:sz w:val="33"/>
        </w:rPr>
      </w:pPr>
    </w:p>
    <w:p>
      <w:pPr>
        <w:spacing w:before="1"/>
        <w:ind w:left="0" w:right="318" w:firstLine="0"/>
        <w:jc w:val="right"/>
        <w:rPr>
          <w:b/>
          <w:sz w:val="24"/>
        </w:rPr>
      </w:pPr>
      <w:r>
        <w:rPr>
          <w:b/>
          <w:color w:val="37617A"/>
          <w:sz w:val="24"/>
        </w:rPr>
        <w:t>ix</w:t>
      </w:r>
    </w:p>
    <w:p>
      <w:pPr>
        <w:spacing w:after="0"/>
        <w:jc w:val="right"/>
        <w:rPr>
          <w:sz w:val="24"/>
        </w:rPr>
        <w:sectPr>
          <w:pgSz w:w="11910" w:h="16840"/>
          <w:pgMar w:header="0" w:footer="0" w:top="840" w:bottom="280" w:left="620" w:right="380"/>
        </w:sectPr>
      </w:pPr>
    </w:p>
    <w:p>
      <w:pPr>
        <w:pStyle w:val="BodyText"/>
        <w:rPr>
          <w:b/>
        </w:rPr>
      </w:pPr>
    </w:p>
    <w:p>
      <w:pPr>
        <w:pStyle w:val="BodyText"/>
        <w:rPr>
          <w:b/>
        </w:rPr>
      </w:pPr>
    </w:p>
    <w:p>
      <w:pPr>
        <w:pStyle w:val="BodyText"/>
        <w:rPr>
          <w:b/>
        </w:rPr>
      </w:pPr>
    </w:p>
    <w:p>
      <w:pPr>
        <w:pStyle w:val="BodyText"/>
        <w:spacing w:before="5"/>
        <w:rPr>
          <w:b/>
          <w:sz w:val="14"/>
        </w:rPr>
      </w:pPr>
    </w:p>
    <w:p>
      <w:pPr>
        <w:pStyle w:val="Heading8"/>
        <w:numPr>
          <w:ilvl w:val="0"/>
          <w:numId w:val="1"/>
        </w:numPr>
        <w:tabs>
          <w:tab w:pos="1308" w:val="left" w:leader="none"/>
          <w:tab w:pos="9647" w:val="right" w:leader="dot"/>
        </w:tabs>
        <w:spacing w:line="240" w:lineRule="auto" w:before="58" w:after="0"/>
        <w:ind w:left="1307" w:right="0" w:hanging="340"/>
        <w:jc w:val="left"/>
      </w:pPr>
      <w:hyperlink w:history="true" w:anchor="_bookmark150">
        <w:r>
          <w:rPr>
            <w:color w:val="37617A"/>
          </w:rPr>
          <w:t>Encouraging change in the legal profession and</w:t>
        </w:r>
        <w:r>
          <w:rPr>
            <w:color w:val="37617A"/>
            <w:spacing w:val="-17"/>
          </w:rPr>
          <w:t> </w:t>
        </w:r>
        <w:r>
          <w:rPr>
            <w:color w:val="37617A"/>
          </w:rPr>
          <w:t>the</w:t>
        </w:r>
        <w:r>
          <w:rPr>
            <w:color w:val="37617A"/>
            <w:spacing w:val="-2"/>
          </w:rPr>
          <w:t> </w:t>
        </w:r>
        <w:r>
          <w:rPr>
            <w:color w:val="37617A"/>
          </w:rPr>
          <w:t>community</w:t>
          <w:tab/>
          <w:t>206</w:t>
        </w:r>
      </w:hyperlink>
    </w:p>
    <w:p>
      <w:pPr>
        <w:pStyle w:val="BodyText"/>
        <w:tabs>
          <w:tab w:pos="9647" w:val="right" w:leader="dot"/>
        </w:tabs>
        <w:spacing w:before="47"/>
        <w:ind w:left="1534"/>
      </w:pPr>
      <w:hyperlink w:history="true" w:anchor="_bookmark150">
        <w:r>
          <w:rPr/>
          <w:t>Overview</w:t>
          <w:tab/>
          <w:t>206</w:t>
        </w:r>
      </w:hyperlink>
    </w:p>
    <w:p>
      <w:pPr>
        <w:pStyle w:val="BodyText"/>
        <w:tabs>
          <w:tab w:pos="9647" w:val="right" w:leader="dot"/>
        </w:tabs>
        <w:spacing w:before="48"/>
        <w:ind w:left="1534"/>
      </w:pPr>
      <w:hyperlink w:history="true" w:anchor="_bookmark150">
        <w:r>
          <w:rPr/>
          <w:t>Cultural change is needed for legal reform to</w:t>
        </w:r>
        <w:r>
          <w:rPr>
            <w:spacing w:val="-23"/>
          </w:rPr>
          <w:t> </w:t>
        </w:r>
        <w:r>
          <w:rPr/>
          <w:t>be</w:t>
        </w:r>
        <w:r>
          <w:rPr>
            <w:spacing w:val="-3"/>
          </w:rPr>
          <w:t> </w:t>
        </w:r>
        <w:r>
          <w:rPr/>
          <w:t>effective</w:t>
          <w:tab/>
          <w:t>206</w:t>
        </w:r>
      </w:hyperlink>
    </w:p>
    <w:p>
      <w:pPr>
        <w:pStyle w:val="BodyText"/>
        <w:tabs>
          <w:tab w:pos="9640" w:val="right" w:leader="dot"/>
        </w:tabs>
        <w:spacing w:before="47"/>
        <w:ind w:left="1534"/>
      </w:pPr>
      <w:hyperlink w:history="true" w:anchor="_bookmark151">
        <w:r>
          <w:rPr/>
          <w:t>Disability awareness training for the</w:t>
        </w:r>
        <w:r>
          <w:rPr>
            <w:spacing w:val="-12"/>
          </w:rPr>
          <w:t> </w:t>
        </w:r>
        <w:r>
          <w:rPr/>
          <w:t>legal</w:t>
        </w:r>
        <w:r>
          <w:rPr>
            <w:spacing w:val="-3"/>
          </w:rPr>
          <w:t> </w:t>
        </w:r>
        <w:r>
          <w:rPr/>
          <w:t>profession</w:t>
          <w:tab/>
        </w:r>
        <w:r>
          <w:rPr>
            <w:spacing w:val="-7"/>
          </w:rPr>
          <w:t>207</w:t>
        </w:r>
      </w:hyperlink>
    </w:p>
    <w:p>
      <w:pPr>
        <w:pStyle w:val="BodyText"/>
        <w:tabs>
          <w:tab w:pos="9647" w:val="right" w:leader="dot"/>
        </w:tabs>
        <w:spacing w:before="42"/>
        <w:ind w:left="1817"/>
      </w:pPr>
      <w:hyperlink w:history="true" w:anchor="_bookmark152">
        <w:r>
          <w:rPr/>
          <w:t>Community responses: disability awareness training</w:t>
        </w:r>
        <w:r>
          <w:rPr>
            <w:spacing w:val="-14"/>
          </w:rPr>
          <w:t> </w:t>
        </w:r>
        <w:r>
          <w:rPr/>
          <w:t>is</w:t>
        </w:r>
        <w:r>
          <w:rPr>
            <w:spacing w:val="-3"/>
          </w:rPr>
          <w:t> </w:t>
        </w:r>
        <w:r>
          <w:rPr/>
          <w:t>important</w:t>
          <w:tab/>
          <w:t>208</w:t>
        </w:r>
      </w:hyperlink>
    </w:p>
    <w:p>
      <w:pPr>
        <w:pStyle w:val="BodyText"/>
        <w:tabs>
          <w:tab w:pos="9647" w:val="right" w:leader="dot"/>
        </w:tabs>
        <w:spacing w:before="41"/>
        <w:ind w:left="1817"/>
      </w:pPr>
      <w:hyperlink w:history="true" w:anchor="_bookmark153">
        <w:r>
          <w:rPr/>
          <w:t>Other calls for</w:t>
        </w:r>
        <w:r>
          <w:rPr>
            <w:spacing w:val="-7"/>
          </w:rPr>
          <w:t> </w:t>
        </w:r>
        <w:r>
          <w:rPr/>
          <w:t>awareness</w:t>
        </w:r>
        <w:r>
          <w:rPr>
            <w:spacing w:val="-2"/>
          </w:rPr>
          <w:t> </w:t>
        </w:r>
        <w:r>
          <w:rPr/>
          <w:t>training</w:t>
          <w:tab/>
          <w:t>209</w:t>
        </w:r>
      </w:hyperlink>
    </w:p>
    <w:p>
      <w:pPr>
        <w:pStyle w:val="BodyText"/>
        <w:tabs>
          <w:tab w:pos="9643" w:val="right" w:leader="dot"/>
        </w:tabs>
        <w:spacing w:before="41"/>
        <w:ind w:left="1817"/>
      </w:pPr>
      <w:hyperlink w:history="true" w:anchor="_bookmark154">
        <w:r>
          <w:rPr/>
          <w:t>Conclusion: disability awareness training should</w:t>
        </w:r>
        <w:r>
          <w:rPr>
            <w:spacing w:val="-15"/>
          </w:rPr>
          <w:t> </w:t>
        </w:r>
        <w:r>
          <w:rPr/>
          <w:t>be</w:t>
        </w:r>
        <w:r>
          <w:rPr>
            <w:spacing w:val="-2"/>
          </w:rPr>
          <w:t> </w:t>
        </w:r>
        <w:r>
          <w:rPr/>
          <w:t>required</w:t>
          <w:tab/>
        </w:r>
        <w:r>
          <w:rPr>
            <w:spacing w:val="-4"/>
          </w:rPr>
          <w:t>210</w:t>
        </w:r>
      </w:hyperlink>
    </w:p>
    <w:p>
      <w:pPr>
        <w:pStyle w:val="BodyText"/>
        <w:tabs>
          <w:tab w:pos="9647" w:val="right" w:leader="dot"/>
        </w:tabs>
        <w:spacing w:before="48"/>
        <w:ind w:left="1534"/>
      </w:pPr>
      <w:hyperlink w:history="true" w:anchor="_bookmark155">
        <w:r>
          <w:rPr/>
          <w:t>Professional development about the new laws for the</w:t>
        </w:r>
        <w:r>
          <w:rPr>
            <w:spacing w:val="-29"/>
          </w:rPr>
          <w:t> </w:t>
        </w:r>
        <w:r>
          <w:rPr/>
          <w:t>legal</w:t>
        </w:r>
        <w:r>
          <w:rPr>
            <w:spacing w:val="-3"/>
          </w:rPr>
          <w:t> </w:t>
        </w:r>
        <w:r>
          <w:rPr/>
          <w:t>profession</w:t>
          <w:tab/>
          <w:t>211</w:t>
        </w:r>
      </w:hyperlink>
    </w:p>
    <w:p>
      <w:pPr>
        <w:pStyle w:val="BodyText"/>
        <w:tabs>
          <w:tab w:pos="9647" w:val="right" w:leader="dot"/>
        </w:tabs>
        <w:spacing w:before="47"/>
        <w:ind w:left="1534"/>
      </w:pPr>
      <w:hyperlink w:history="true" w:anchor="_bookmark156">
        <w:r>
          <w:rPr/>
          <w:t>Internal protocols should be developed about the</w:t>
        </w:r>
        <w:r>
          <w:rPr>
            <w:spacing w:val="-21"/>
          </w:rPr>
          <w:t> </w:t>
        </w:r>
        <w:r>
          <w:rPr/>
          <w:t>new</w:t>
        </w:r>
        <w:r>
          <w:rPr>
            <w:spacing w:val="-2"/>
          </w:rPr>
          <w:t> </w:t>
        </w:r>
        <w:r>
          <w:rPr/>
          <w:t>laws</w:t>
          <w:tab/>
          <w:t>212</w:t>
        </w:r>
      </w:hyperlink>
    </w:p>
    <w:p>
      <w:pPr>
        <w:pStyle w:val="BodyText"/>
        <w:tabs>
          <w:tab w:pos="9647" w:val="right" w:leader="dot"/>
        </w:tabs>
        <w:spacing w:before="48"/>
        <w:ind w:left="1534"/>
      </w:pPr>
      <w:hyperlink w:history="true" w:anchor="_bookmark157">
        <w:r>
          <w:rPr/>
          <w:t>Information for the community</w:t>
        </w:r>
        <w:r>
          <w:rPr>
            <w:spacing w:val="-10"/>
          </w:rPr>
          <w:t> </w:t>
        </w:r>
        <w:r>
          <w:rPr/>
          <w:t>about</w:t>
        </w:r>
        <w:r>
          <w:rPr>
            <w:spacing w:val="-2"/>
          </w:rPr>
          <w:t> </w:t>
        </w:r>
        <w:r>
          <w:rPr/>
          <w:t>reforms</w:t>
          <w:tab/>
          <w:t>213</w:t>
        </w:r>
      </w:hyperlink>
    </w:p>
    <w:p>
      <w:pPr>
        <w:pStyle w:val="BodyText"/>
        <w:tabs>
          <w:tab w:pos="9647" w:val="right" w:leader="dot"/>
        </w:tabs>
        <w:spacing w:before="41"/>
        <w:ind w:left="1817"/>
      </w:pPr>
      <w:hyperlink w:history="true" w:anchor="_bookmark158">
        <w:r>
          <w:rPr/>
          <w:t>Improving community knowledge</w:t>
        </w:r>
        <w:r>
          <w:rPr>
            <w:spacing w:val="-8"/>
          </w:rPr>
          <w:t> </w:t>
        </w:r>
        <w:r>
          <w:rPr/>
          <w:t>of</w:t>
        </w:r>
        <w:r>
          <w:rPr>
            <w:spacing w:val="-2"/>
          </w:rPr>
          <w:t> </w:t>
        </w:r>
        <w:r>
          <w:rPr/>
          <w:t>disability</w:t>
          <w:tab/>
          <w:t>214</w:t>
        </w:r>
      </w:hyperlink>
    </w:p>
    <w:p>
      <w:pPr>
        <w:pStyle w:val="BodyText"/>
        <w:tabs>
          <w:tab w:pos="9647" w:val="right" w:leader="dot"/>
        </w:tabs>
        <w:spacing w:before="42"/>
        <w:ind w:left="1817"/>
      </w:pPr>
      <w:hyperlink w:history="true" w:anchor="_bookmark159">
        <w:r>
          <w:rPr/>
          <w:t>Encouraging people in the subject groups to participate</w:t>
        </w:r>
        <w:r>
          <w:rPr>
            <w:spacing w:val="-24"/>
          </w:rPr>
          <w:t> </w:t>
        </w:r>
        <w:r>
          <w:rPr/>
          <w:t>on</w:t>
        </w:r>
        <w:r>
          <w:rPr>
            <w:spacing w:val="-3"/>
          </w:rPr>
          <w:t> </w:t>
        </w:r>
        <w:r>
          <w:rPr/>
          <w:t>juries</w:t>
          <w:tab/>
          <w:t>215</w:t>
        </w:r>
      </w:hyperlink>
    </w:p>
    <w:p>
      <w:pPr>
        <w:pStyle w:val="Heading8"/>
        <w:numPr>
          <w:ilvl w:val="0"/>
          <w:numId w:val="1"/>
        </w:numPr>
        <w:tabs>
          <w:tab w:pos="1308" w:val="left" w:leader="none"/>
          <w:tab w:pos="9647" w:val="right" w:leader="dot"/>
        </w:tabs>
        <w:spacing w:line="240" w:lineRule="auto" w:before="41" w:after="0"/>
        <w:ind w:left="1307" w:right="0" w:hanging="340"/>
        <w:jc w:val="left"/>
      </w:pPr>
      <w:hyperlink w:history="true" w:anchor="_bookmark160">
        <w:r>
          <w:rPr>
            <w:color w:val="37617A"/>
          </w:rPr>
          <w:t>Funding reforms and</w:t>
        </w:r>
        <w:r>
          <w:rPr>
            <w:color w:val="37617A"/>
            <w:spacing w:val="-8"/>
          </w:rPr>
          <w:t> </w:t>
        </w:r>
        <w:r>
          <w:rPr>
            <w:color w:val="37617A"/>
          </w:rPr>
          <w:t>monitoring</w:t>
        </w:r>
        <w:r>
          <w:rPr>
            <w:color w:val="37617A"/>
            <w:spacing w:val="-2"/>
          </w:rPr>
          <w:t> </w:t>
        </w:r>
        <w:r>
          <w:rPr>
            <w:color w:val="37617A"/>
          </w:rPr>
          <w:t>implementation</w:t>
          <w:tab/>
          <w:t>220</w:t>
        </w:r>
      </w:hyperlink>
    </w:p>
    <w:p>
      <w:pPr>
        <w:pStyle w:val="BodyText"/>
        <w:tabs>
          <w:tab w:pos="9644" w:val="right" w:leader="dot"/>
        </w:tabs>
        <w:spacing w:before="47"/>
        <w:ind w:left="1534"/>
      </w:pPr>
      <w:hyperlink w:history="true" w:anchor="_bookmark160">
        <w:r>
          <w:rPr/>
          <w:t>Overview</w:t>
          <w:tab/>
        </w:r>
        <w:r>
          <w:rPr>
            <w:spacing w:val="-3"/>
          </w:rPr>
          <w:t>220</w:t>
        </w:r>
      </w:hyperlink>
    </w:p>
    <w:p>
      <w:pPr>
        <w:pStyle w:val="BodyText"/>
        <w:tabs>
          <w:tab w:pos="9644" w:val="right" w:leader="dot"/>
        </w:tabs>
        <w:spacing w:before="48"/>
        <w:ind w:left="1534"/>
      </w:pPr>
      <w:hyperlink w:history="true" w:anchor="_bookmark160">
        <w:r>
          <w:rPr/>
          <w:t>Funding</w:t>
        </w:r>
        <w:r>
          <w:rPr>
            <w:spacing w:val="-3"/>
          </w:rPr>
          <w:t> </w:t>
        </w:r>
        <w:r>
          <w:rPr/>
          <w:t>reforms</w:t>
          <w:tab/>
        </w:r>
        <w:r>
          <w:rPr>
            <w:spacing w:val="-3"/>
          </w:rPr>
          <w:t>220</w:t>
        </w:r>
      </w:hyperlink>
    </w:p>
    <w:p>
      <w:pPr>
        <w:pStyle w:val="BodyText"/>
        <w:tabs>
          <w:tab w:pos="9644" w:val="right" w:leader="dot"/>
        </w:tabs>
        <w:spacing w:before="41"/>
        <w:ind w:left="1817"/>
      </w:pPr>
      <w:hyperlink w:history="true" w:anchor="_bookmark160">
        <w:r>
          <w:rPr/>
          <w:t>Likely costs associated</w:t>
        </w:r>
        <w:r>
          <w:rPr>
            <w:spacing w:val="-7"/>
          </w:rPr>
          <w:t> </w:t>
        </w:r>
        <w:r>
          <w:rPr/>
          <w:t>with</w:t>
        </w:r>
        <w:r>
          <w:rPr>
            <w:spacing w:val="-2"/>
          </w:rPr>
          <w:t> </w:t>
        </w:r>
        <w:r>
          <w:rPr/>
          <w:t>reform</w:t>
          <w:tab/>
        </w:r>
        <w:r>
          <w:rPr>
            <w:spacing w:val="-3"/>
          </w:rPr>
          <w:t>220</w:t>
        </w:r>
      </w:hyperlink>
    </w:p>
    <w:p>
      <w:pPr>
        <w:pStyle w:val="BodyText"/>
        <w:tabs>
          <w:tab w:pos="9646" w:val="right" w:leader="dot"/>
        </w:tabs>
        <w:spacing w:before="42"/>
        <w:ind w:left="1817"/>
      </w:pPr>
      <w:hyperlink w:history="true" w:anchor="_bookmark161">
        <w:r>
          <w:rPr/>
          <w:t>Concerns expressed about the cost</w:t>
        </w:r>
        <w:r>
          <w:rPr>
            <w:spacing w:val="-12"/>
          </w:rPr>
          <w:t> </w:t>
        </w:r>
        <w:r>
          <w:rPr/>
          <w:t>of</w:t>
        </w:r>
        <w:r>
          <w:rPr>
            <w:spacing w:val="-3"/>
          </w:rPr>
          <w:t> </w:t>
        </w:r>
        <w:r>
          <w:rPr/>
          <w:t>reform</w:t>
          <w:tab/>
          <w:t>221</w:t>
        </w:r>
      </w:hyperlink>
    </w:p>
    <w:p>
      <w:pPr>
        <w:pStyle w:val="BodyText"/>
        <w:tabs>
          <w:tab w:pos="9647" w:val="right" w:leader="dot"/>
        </w:tabs>
        <w:spacing w:before="41"/>
        <w:ind w:left="1817"/>
      </w:pPr>
      <w:hyperlink w:history="true" w:anchor="_bookmark162">
        <w:r>
          <w:rPr/>
          <w:t>The benefits outweigh the costs</w:t>
        </w:r>
        <w:r>
          <w:rPr>
            <w:spacing w:val="-12"/>
          </w:rPr>
          <w:t> </w:t>
        </w:r>
        <w:r>
          <w:rPr/>
          <w:t>of</w:t>
        </w:r>
        <w:r>
          <w:rPr>
            <w:spacing w:val="-2"/>
          </w:rPr>
          <w:t> </w:t>
        </w:r>
        <w:r>
          <w:rPr/>
          <w:t>reform</w:t>
          <w:tab/>
          <w:t>222</w:t>
        </w:r>
      </w:hyperlink>
    </w:p>
    <w:p>
      <w:pPr>
        <w:pStyle w:val="BodyText"/>
        <w:tabs>
          <w:tab w:pos="9645" w:val="right" w:leader="dot"/>
        </w:tabs>
        <w:spacing w:before="48"/>
        <w:ind w:left="1534"/>
      </w:pPr>
      <w:hyperlink w:history="true" w:anchor="_bookmark163">
        <w:r>
          <w:rPr/>
          <w:t>Monitoring the implementation</w:t>
        </w:r>
        <w:r>
          <w:rPr>
            <w:spacing w:val="-8"/>
          </w:rPr>
          <w:t> </w:t>
        </w:r>
        <w:r>
          <w:rPr/>
          <w:t>of</w:t>
        </w:r>
        <w:r>
          <w:rPr>
            <w:spacing w:val="-2"/>
          </w:rPr>
          <w:t> </w:t>
        </w:r>
        <w:r>
          <w:rPr/>
          <w:t>reforms</w:t>
          <w:tab/>
          <w:t>223</w:t>
        </w:r>
      </w:hyperlink>
    </w:p>
    <w:p>
      <w:pPr>
        <w:pStyle w:val="BodyText"/>
        <w:tabs>
          <w:tab w:pos="9645" w:val="right" w:leader="dot"/>
        </w:tabs>
        <w:spacing w:before="41"/>
        <w:ind w:left="1817"/>
      </w:pPr>
      <w:hyperlink w:history="true" w:anchor="_bookmark163">
        <w:r>
          <w:rPr/>
          <w:t>Community support</w:t>
        </w:r>
        <w:r>
          <w:rPr>
            <w:spacing w:val="-5"/>
          </w:rPr>
          <w:t> </w:t>
        </w:r>
        <w:r>
          <w:rPr/>
          <w:t>for</w:t>
        </w:r>
        <w:r>
          <w:rPr>
            <w:spacing w:val="-2"/>
          </w:rPr>
          <w:t> </w:t>
        </w:r>
        <w:r>
          <w:rPr/>
          <w:t>evaluation</w:t>
          <w:tab/>
          <w:t>223</w:t>
        </w:r>
      </w:hyperlink>
    </w:p>
    <w:p>
      <w:pPr>
        <w:pStyle w:val="BodyText"/>
        <w:tabs>
          <w:tab w:pos="9647" w:val="right" w:leader="dot"/>
        </w:tabs>
        <w:spacing w:before="48"/>
        <w:ind w:left="1534"/>
      </w:pPr>
      <w:hyperlink w:history="true" w:anchor="_bookmark164">
        <w:r>
          <w:rPr/>
          <w:t>Collecting and publishing data about the operation of</w:t>
        </w:r>
        <w:r>
          <w:rPr>
            <w:spacing w:val="-22"/>
          </w:rPr>
          <w:t> </w:t>
        </w:r>
        <w:r>
          <w:rPr/>
          <w:t>new</w:t>
        </w:r>
        <w:r>
          <w:rPr>
            <w:spacing w:val="-2"/>
          </w:rPr>
          <w:t> </w:t>
        </w:r>
        <w:r>
          <w:rPr/>
          <w:t>laws</w:t>
          <w:tab/>
          <w:t>224</w:t>
        </w:r>
      </w:hyperlink>
    </w:p>
    <w:p>
      <w:pPr>
        <w:pStyle w:val="BodyText"/>
        <w:tabs>
          <w:tab w:pos="9645" w:val="right" w:leader="dot"/>
        </w:tabs>
        <w:spacing w:before="47"/>
        <w:ind w:left="1534"/>
      </w:pPr>
      <w:hyperlink w:history="true" w:anchor="_bookmark165">
        <w:r>
          <w:rPr/>
          <w:t>Juries Victoria should survey jurors about</w:t>
        </w:r>
        <w:r>
          <w:rPr>
            <w:spacing w:val="-17"/>
          </w:rPr>
          <w:t> </w:t>
        </w:r>
        <w:r>
          <w:rPr/>
          <w:t>their</w:t>
        </w:r>
        <w:r>
          <w:rPr>
            <w:spacing w:val="-3"/>
          </w:rPr>
          <w:t> </w:t>
        </w:r>
        <w:r>
          <w:rPr/>
          <w:t>experiences</w:t>
          <w:tab/>
          <w:t>226</w:t>
        </w:r>
      </w:hyperlink>
    </w:p>
    <w:p>
      <w:pPr>
        <w:pStyle w:val="BodyText"/>
        <w:tabs>
          <w:tab w:pos="9645" w:val="right" w:leader="dot"/>
        </w:tabs>
        <w:spacing w:before="47"/>
        <w:ind w:left="1534"/>
      </w:pPr>
      <w:hyperlink w:history="true" w:anchor="_bookmark165">
        <w:r>
          <w:rPr/>
          <w:t>Reviewing new laws after five years</w:t>
        </w:r>
        <w:r>
          <w:rPr>
            <w:spacing w:val="-16"/>
          </w:rPr>
          <w:t> </w:t>
        </w:r>
        <w:r>
          <w:rPr/>
          <w:t>of</w:t>
        </w:r>
        <w:r>
          <w:rPr>
            <w:spacing w:val="-3"/>
          </w:rPr>
          <w:t> </w:t>
        </w:r>
        <w:r>
          <w:rPr/>
          <w:t>operation</w:t>
          <w:tab/>
          <w:t>226</w:t>
        </w:r>
      </w:hyperlink>
    </w:p>
    <w:p>
      <w:pPr>
        <w:pStyle w:val="Heading8"/>
        <w:tabs>
          <w:tab w:pos="9647" w:val="right" w:leader="dot"/>
        </w:tabs>
        <w:spacing w:line="240" w:lineRule="auto" w:before="42"/>
        <w:ind w:left="967"/>
      </w:pPr>
      <w:hyperlink w:history="true" w:anchor="_bookmark166">
        <w:r>
          <w:rPr/>
          <w:t>Appendix</w:t>
        </w:r>
        <w:r>
          <w:rPr>
            <w:spacing w:val="-3"/>
          </w:rPr>
          <w:t> </w:t>
        </w:r>
        <w:r>
          <w:rPr/>
          <w:t>A:</w:t>
        </w:r>
        <w:r>
          <w:rPr>
            <w:spacing w:val="-2"/>
          </w:rPr>
          <w:t> </w:t>
        </w:r>
        <w:r>
          <w:rPr/>
          <w:t>Submissions</w:t>
          <w:tab/>
          <w:t>230</w:t>
        </w:r>
      </w:hyperlink>
    </w:p>
    <w:p>
      <w:pPr>
        <w:pStyle w:val="Heading8"/>
        <w:tabs>
          <w:tab w:pos="9647" w:val="right" w:leader="dot"/>
        </w:tabs>
        <w:spacing w:line="240" w:lineRule="auto" w:before="41"/>
        <w:ind w:left="967"/>
      </w:pPr>
      <w:hyperlink w:history="true" w:anchor="_bookmark167">
        <w:r>
          <w:rPr/>
          <w:t>Appendix</w:t>
        </w:r>
        <w:r>
          <w:rPr>
            <w:spacing w:val="-3"/>
          </w:rPr>
          <w:t> </w:t>
        </w:r>
        <w:r>
          <w:rPr/>
          <w:t>B:</w:t>
        </w:r>
        <w:r>
          <w:rPr>
            <w:spacing w:val="-2"/>
          </w:rPr>
          <w:t> </w:t>
        </w:r>
        <w:r>
          <w:rPr/>
          <w:t>Consultations</w:t>
          <w:tab/>
          <w:t>231</w:t>
        </w:r>
      </w:hyperlink>
    </w:p>
    <w:p>
      <w:pPr>
        <w:pStyle w:val="Heading8"/>
        <w:tabs>
          <w:tab w:pos="9647" w:val="right" w:leader="dot"/>
        </w:tabs>
        <w:spacing w:line="240" w:lineRule="auto" w:before="42"/>
        <w:ind w:left="967"/>
      </w:pPr>
      <w:hyperlink w:history="true" w:anchor="_bookmark168">
        <w:r>
          <w:rPr/>
          <w:t>Bibliography</w:t>
          <w:tab/>
          <w:t>234</w:t>
        </w:r>
      </w:hyperlink>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7"/>
        <w:rPr>
          <w:b/>
          <w:sz w:val="18"/>
        </w:rPr>
      </w:pPr>
    </w:p>
    <w:p>
      <w:pPr>
        <w:spacing w:before="1"/>
        <w:ind w:left="100" w:right="0" w:firstLine="0"/>
        <w:jc w:val="left"/>
        <w:rPr>
          <w:b/>
          <w:sz w:val="24"/>
        </w:rPr>
      </w:pPr>
      <w:r>
        <w:rPr>
          <w:b/>
          <w:color w:val="37617A"/>
          <w:sz w:val="24"/>
        </w:rPr>
        <w:t>x</w:t>
      </w:r>
    </w:p>
    <w:p>
      <w:pPr>
        <w:spacing w:after="0"/>
        <w:jc w:val="left"/>
        <w:rPr>
          <w:sz w:val="24"/>
        </w:rPr>
        <w:sectPr>
          <w:pgSz w:w="11910" w:h="16840"/>
          <w:pgMar w:header="567" w:footer="0" w:top="860" w:bottom="280" w:left="620" w:right="380"/>
        </w:sectPr>
      </w:pPr>
    </w:p>
    <w:p>
      <w:pPr>
        <w:pStyle w:val="BodyText"/>
        <w:rPr>
          <w:b/>
        </w:rPr>
      </w:pPr>
      <w:r>
        <w:rPr/>
        <w:pict>
          <v:rect style="position:absolute;margin-left:0pt;margin-top:99.213013pt;width:14.173pt;height:85.748pt;mso-position-horizontal-relative:page;mso-position-vertical-relative:page;z-index:1168" filled="true" fillcolor="#37617a" stroked="false">
            <v:fill type="solid"/>
            <w10:wrap type="none"/>
          </v:rect>
        </w:pict>
      </w:r>
    </w:p>
    <w:p>
      <w:pPr>
        <w:pStyle w:val="BodyText"/>
        <w:rPr>
          <w:b/>
        </w:rPr>
      </w:pPr>
    </w:p>
    <w:p>
      <w:pPr>
        <w:pStyle w:val="BodyText"/>
        <w:spacing w:before="11"/>
        <w:rPr>
          <w:b/>
          <w:sz w:val="27"/>
        </w:rPr>
      </w:pPr>
    </w:p>
    <w:p>
      <w:pPr>
        <w:spacing w:line="758" w:lineRule="exact" w:before="0"/>
        <w:ind w:left="230" w:right="0" w:firstLine="0"/>
        <w:jc w:val="left"/>
        <w:rPr>
          <w:rFonts w:ascii="Raleway ExtraBold"/>
          <w:b/>
          <w:sz w:val="56"/>
        </w:rPr>
      </w:pPr>
      <w:bookmarkStart w:name="Preface" w:id="2"/>
      <w:bookmarkEnd w:id="2"/>
      <w:r>
        <w:rPr/>
      </w:r>
      <w:bookmarkStart w:name="_bookmark0" w:id="3"/>
      <w:bookmarkEnd w:id="3"/>
      <w:r>
        <w:rPr/>
      </w:r>
      <w:r>
        <w:rPr>
          <w:rFonts w:ascii="Raleway ExtraBold"/>
          <w:b/>
          <w:color w:val="37617A"/>
          <w:sz w:val="56"/>
        </w:rPr>
        <w:t>Preface</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6"/>
        <w:rPr>
          <w:rFonts w:ascii="Raleway ExtraBold"/>
          <w:b/>
          <w:sz w:val="13"/>
        </w:rPr>
      </w:pPr>
    </w:p>
    <w:p>
      <w:pPr>
        <w:pStyle w:val="BodyText"/>
        <w:spacing w:line="206" w:lineRule="auto" w:before="90"/>
        <w:ind w:left="967" w:right="1335"/>
      </w:pPr>
      <w:r>
        <w:rPr/>
        <w:t>The clear message which has emerged from this enquiry is that enabling people who are </w:t>
      </w:r>
      <w:r>
        <w:rPr>
          <w:spacing w:val="-3"/>
        </w:rPr>
        <w:t>deaf, </w:t>
      </w:r>
      <w:r>
        <w:rPr/>
        <w:t>hard of hearing, blind or </w:t>
      </w:r>
      <w:r>
        <w:rPr>
          <w:spacing w:val="-3"/>
        </w:rPr>
        <w:t>have low </w:t>
      </w:r>
      <w:r>
        <w:rPr/>
        <w:t>vision to serve on juries is well </w:t>
      </w:r>
      <w:r>
        <w:rPr>
          <w:spacing w:val="-3"/>
        </w:rPr>
        <w:t>overdue. </w:t>
      </w:r>
      <w:r>
        <w:rPr/>
        <w:t>Victorians can be proud that the laws of their state are generally up to date and reflect the outlook of the community. </w:t>
      </w:r>
      <w:r>
        <w:rPr>
          <w:spacing w:val="-4"/>
        </w:rPr>
        <w:t>However, </w:t>
      </w:r>
      <w:r>
        <w:rPr/>
        <w:t>the research set out in this report shows that </w:t>
      </w:r>
      <w:r>
        <w:rPr>
          <w:spacing w:val="-3"/>
        </w:rPr>
        <w:t>by </w:t>
      </w:r>
      <w:r>
        <w:rPr/>
        <w:t>effectively excluding those who are </w:t>
      </w:r>
      <w:r>
        <w:rPr>
          <w:spacing w:val="-3"/>
        </w:rPr>
        <w:t>deaf, </w:t>
      </w:r>
      <w:r>
        <w:rPr/>
        <w:t>hard of hearing, blind or </w:t>
      </w:r>
      <w:r>
        <w:rPr>
          <w:spacing w:val="-3"/>
        </w:rPr>
        <w:t>have low </w:t>
      </w:r>
      <w:r>
        <w:rPr/>
        <w:t>vision from jury service, the law in Victoria is out of step with local community expectations, is inconsistent with international standards, and lags behind many countries in which inclusive juries </w:t>
      </w:r>
      <w:r>
        <w:rPr>
          <w:spacing w:val="-3"/>
        </w:rPr>
        <w:t>have </w:t>
      </w:r>
      <w:r>
        <w:rPr/>
        <w:t>been a reality for many years.</w:t>
      </w:r>
    </w:p>
    <w:p>
      <w:pPr>
        <w:pStyle w:val="BodyText"/>
        <w:spacing w:line="206" w:lineRule="auto" w:before="130"/>
        <w:ind w:left="967" w:right="1548"/>
      </w:pPr>
      <w:r>
        <w:rPr/>
        <w:t>This report was generated </w:t>
      </w:r>
      <w:r>
        <w:rPr>
          <w:spacing w:val="-3"/>
        </w:rPr>
        <w:t>by </w:t>
      </w:r>
      <w:r>
        <w:rPr/>
        <w:t>the Commission itself as a community law reform project pursuant</w:t>
      </w:r>
      <w:r>
        <w:rPr>
          <w:spacing w:val="-7"/>
        </w:rPr>
        <w:t> </w:t>
      </w:r>
      <w:r>
        <w:rPr/>
        <w:t>to</w:t>
      </w:r>
      <w:r>
        <w:rPr>
          <w:spacing w:val="-6"/>
        </w:rPr>
        <w:t> </w:t>
      </w:r>
      <w:r>
        <w:rPr/>
        <w:t>section</w:t>
      </w:r>
      <w:r>
        <w:rPr>
          <w:spacing w:val="-7"/>
        </w:rPr>
        <w:t> </w:t>
      </w:r>
      <w:r>
        <w:rPr/>
        <w:t>5(1)(b)</w:t>
      </w:r>
      <w:r>
        <w:rPr>
          <w:spacing w:val="-6"/>
        </w:rPr>
        <w:t> </w:t>
      </w:r>
      <w:r>
        <w:rPr/>
        <w:t>of</w:t>
      </w:r>
      <w:r>
        <w:rPr>
          <w:spacing w:val="-6"/>
        </w:rPr>
        <w:t> </w:t>
      </w:r>
      <w:r>
        <w:rPr/>
        <w:t>the</w:t>
      </w:r>
      <w:r>
        <w:rPr>
          <w:spacing w:val="-7"/>
        </w:rPr>
        <w:t> </w:t>
      </w:r>
      <w:r>
        <w:rPr>
          <w:i/>
        </w:rPr>
        <w:t>Victorian</w:t>
      </w:r>
      <w:r>
        <w:rPr>
          <w:i/>
          <w:spacing w:val="-6"/>
        </w:rPr>
        <w:t> </w:t>
      </w:r>
      <w:r>
        <w:rPr>
          <w:i/>
          <w:spacing w:val="-3"/>
        </w:rPr>
        <w:t>Law</w:t>
      </w:r>
      <w:r>
        <w:rPr>
          <w:i/>
          <w:spacing w:val="-6"/>
        </w:rPr>
        <w:t> </w:t>
      </w:r>
      <w:r>
        <w:rPr>
          <w:i/>
        </w:rPr>
        <w:t>Reform</w:t>
      </w:r>
      <w:r>
        <w:rPr>
          <w:i/>
          <w:spacing w:val="-7"/>
        </w:rPr>
        <w:t> </w:t>
      </w:r>
      <w:r>
        <w:rPr>
          <w:i/>
        </w:rPr>
        <w:t>Commission</w:t>
      </w:r>
      <w:r>
        <w:rPr>
          <w:i/>
          <w:spacing w:val="-6"/>
        </w:rPr>
        <w:t> </w:t>
      </w:r>
      <w:r>
        <w:rPr>
          <w:i/>
        </w:rPr>
        <w:t>Act</w:t>
      </w:r>
      <w:r>
        <w:rPr>
          <w:i/>
          <w:spacing w:val="-6"/>
        </w:rPr>
        <w:t> </w:t>
      </w:r>
      <w:r>
        <w:rPr>
          <w:i/>
        </w:rPr>
        <w:t>2000</w:t>
      </w:r>
      <w:r>
        <w:rPr/>
        <w:t>.</w:t>
      </w:r>
      <w:r>
        <w:rPr>
          <w:spacing w:val="-7"/>
        </w:rPr>
        <w:t> </w:t>
      </w:r>
      <w:r>
        <w:rPr/>
        <w:t>The</w:t>
      </w:r>
      <w:r>
        <w:rPr>
          <w:spacing w:val="-6"/>
        </w:rPr>
        <w:t> </w:t>
      </w:r>
      <w:r>
        <w:rPr/>
        <w:t>reader</w:t>
      </w:r>
      <w:r>
        <w:rPr>
          <w:spacing w:val="-7"/>
        </w:rPr>
        <w:t> </w:t>
      </w:r>
      <w:r>
        <w:rPr/>
        <w:t>will, I</w:t>
      </w:r>
      <w:r>
        <w:rPr>
          <w:spacing w:val="-6"/>
        </w:rPr>
        <w:t> </w:t>
      </w:r>
      <w:r>
        <w:rPr/>
        <w:t>am</w:t>
      </w:r>
      <w:r>
        <w:rPr>
          <w:spacing w:val="-5"/>
        </w:rPr>
        <w:t> </w:t>
      </w:r>
      <w:r>
        <w:rPr/>
        <w:t>sure,</w:t>
      </w:r>
      <w:r>
        <w:rPr>
          <w:spacing w:val="-6"/>
        </w:rPr>
        <w:t> </w:t>
      </w:r>
      <w:r>
        <w:rPr/>
        <w:t>be</w:t>
      </w:r>
      <w:r>
        <w:rPr>
          <w:spacing w:val="-5"/>
        </w:rPr>
        <w:t> </w:t>
      </w:r>
      <w:r>
        <w:rPr/>
        <w:t>struck</w:t>
      </w:r>
      <w:r>
        <w:rPr>
          <w:spacing w:val="-6"/>
        </w:rPr>
        <w:t> </w:t>
      </w:r>
      <w:r>
        <w:rPr>
          <w:spacing w:val="-3"/>
        </w:rPr>
        <w:t>by</w:t>
      </w:r>
      <w:r>
        <w:rPr>
          <w:spacing w:val="-5"/>
        </w:rPr>
        <w:t> </w:t>
      </w:r>
      <w:r>
        <w:rPr/>
        <w:t>the</w:t>
      </w:r>
      <w:r>
        <w:rPr>
          <w:spacing w:val="-6"/>
        </w:rPr>
        <w:t> </w:t>
      </w:r>
      <w:r>
        <w:rPr/>
        <w:t>depth</w:t>
      </w:r>
      <w:r>
        <w:rPr>
          <w:spacing w:val="-5"/>
        </w:rPr>
        <w:t> </w:t>
      </w:r>
      <w:r>
        <w:rPr/>
        <w:t>of</w:t>
      </w:r>
      <w:r>
        <w:rPr>
          <w:spacing w:val="-6"/>
        </w:rPr>
        <w:t> </w:t>
      </w:r>
      <w:r>
        <w:rPr/>
        <w:t>research</w:t>
      </w:r>
      <w:r>
        <w:rPr>
          <w:spacing w:val="-5"/>
        </w:rPr>
        <w:t> </w:t>
      </w:r>
      <w:r>
        <w:rPr/>
        <w:t>and</w:t>
      </w:r>
      <w:r>
        <w:rPr>
          <w:spacing w:val="-6"/>
        </w:rPr>
        <w:t> </w:t>
      </w:r>
      <w:r>
        <w:rPr/>
        <w:t>the</w:t>
      </w:r>
      <w:r>
        <w:rPr>
          <w:spacing w:val="-5"/>
        </w:rPr>
        <w:t> </w:t>
      </w:r>
      <w:r>
        <w:rPr/>
        <w:t>comprehensiveness</w:t>
      </w:r>
      <w:r>
        <w:rPr>
          <w:spacing w:val="-6"/>
        </w:rPr>
        <w:t> </w:t>
      </w:r>
      <w:r>
        <w:rPr/>
        <w:t>of</w:t>
      </w:r>
      <w:r>
        <w:rPr>
          <w:spacing w:val="-5"/>
        </w:rPr>
        <w:t> </w:t>
      </w:r>
      <w:r>
        <w:rPr/>
        <w:t>the</w:t>
      </w:r>
      <w:r>
        <w:rPr>
          <w:spacing w:val="-6"/>
        </w:rPr>
        <w:t> </w:t>
      </w:r>
      <w:r>
        <w:rPr/>
        <w:t>discussion.</w:t>
      </w:r>
    </w:p>
    <w:p>
      <w:pPr>
        <w:pStyle w:val="BodyText"/>
        <w:spacing w:line="206" w:lineRule="auto" w:before="4"/>
        <w:ind w:left="967" w:right="1277"/>
      </w:pPr>
      <w:r>
        <w:rPr/>
        <w:t>Whilst this subject has been investigated </w:t>
      </w:r>
      <w:r>
        <w:rPr>
          <w:spacing w:val="-3"/>
        </w:rPr>
        <w:t>by </w:t>
      </w:r>
      <w:r>
        <w:rPr/>
        <w:t>other law reform agencies, none has provided as wide-ranging</w:t>
      </w:r>
      <w:r>
        <w:rPr>
          <w:spacing w:val="-6"/>
        </w:rPr>
        <w:t> </w:t>
      </w:r>
      <w:r>
        <w:rPr/>
        <w:t>a</w:t>
      </w:r>
      <w:r>
        <w:rPr>
          <w:spacing w:val="-5"/>
        </w:rPr>
        <w:t> </w:t>
      </w:r>
      <w:r>
        <w:rPr/>
        <w:t>survey</w:t>
      </w:r>
      <w:r>
        <w:rPr>
          <w:spacing w:val="-5"/>
        </w:rPr>
        <w:t> </w:t>
      </w:r>
      <w:r>
        <w:rPr/>
        <w:t>as</w:t>
      </w:r>
      <w:r>
        <w:rPr>
          <w:spacing w:val="-5"/>
        </w:rPr>
        <w:t> </w:t>
      </w:r>
      <w:r>
        <w:rPr/>
        <w:t>this</w:t>
      </w:r>
      <w:r>
        <w:rPr>
          <w:spacing w:val="-5"/>
        </w:rPr>
        <w:t> </w:t>
      </w:r>
      <w:r>
        <w:rPr/>
        <w:t>report.</w:t>
      </w:r>
      <w:r>
        <w:rPr>
          <w:spacing w:val="-5"/>
        </w:rPr>
        <w:t> </w:t>
      </w:r>
      <w:r>
        <w:rPr/>
        <w:t>That</w:t>
      </w:r>
      <w:r>
        <w:rPr>
          <w:spacing w:val="-6"/>
        </w:rPr>
        <w:t> </w:t>
      </w:r>
      <w:r>
        <w:rPr/>
        <w:t>is</w:t>
      </w:r>
      <w:r>
        <w:rPr>
          <w:spacing w:val="-5"/>
        </w:rPr>
        <w:t> </w:t>
      </w:r>
      <w:r>
        <w:rPr/>
        <w:t>primarily</w:t>
      </w:r>
      <w:r>
        <w:rPr>
          <w:spacing w:val="-5"/>
        </w:rPr>
        <w:t> </w:t>
      </w:r>
      <w:r>
        <w:rPr/>
        <w:t>the</w:t>
      </w:r>
      <w:r>
        <w:rPr>
          <w:spacing w:val="-5"/>
        </w:rPr>
        <w:t> </w:t>
      </w:r>
      <w:r>
        <w:rPr/>
        <w:t>result</w:t>
      </w:r>
      <w:r>
        <w:rPr>
          <w:spacing w:val="-5"/>
        </w:rPr>
        <w:t> </w:t>
      </w:r>
      <w:r>
        <w:rPr/>
        <w:t>of</w:t>
      </w:r>
      <w:r>
        <w:rPr>
          <w:spacing w:val="-5"/>
        </w:rPr>
        <w:t> </w:t>
      </w:r>
      <w:r>
        <w:rPr/>
        <w:t>the</w:t>
      </w:r>
      <w:r>
        <w:rPr>
          <w:spacing w:val="-5"/>
        </w:rPr>
        <w:t> </w:t>
      </w:r>
      <w:r>
        <w:rPr/>
        <w:t>efforts</w:t>
      </w:r>
      <w:r>
        <w:rPr>
          <w:spacing w:val="-6"/>
        </w:rPr>
        <w:t> </w:t>
      </w:r>
      <w:r>
        <w:rPr/>
        <w:t>of</w:t>
      </w:r>
      <w:r>
        <w:rPr>
          <w:spacing w:val="-5"/>
        </w:rPr>
        <w:t> </w:t>
      </w:r>
      <w:r>
        <w:rPr/>
        <w:t>Emma</w:t>
      </w:r>
      <w:r>
        <w:rPr>
          <w:spacing w:val="-5"/>
        </w:rPr>
        <w:t> </w:t>
      </w:r>
      <w:r>
        <w:rPr/>
        <w:t>Cashen, team </w:t>
      </w:r>
      <w:r>
        <w:rPr>
          <w:spacing w:val="-3"/>
        </w:rPr>
        <w:t>leader, </w:t>
      </w:r>
      <w:r>
        <w:rPr/>
        <w:t>and Phoebe Lindner, research and policy officer. Not only </w:t>
      </w:r>
      <w:r>
        <w:rPr>
          <w:spacing w:val="-3"/>
        </w:rPr>
        <w:t>have </w:t>
      </w:r>
      <w:r>
        <w:rPr/>
        <w:t>they worked particularly hard, but they </w:t>
      </w:r>
      <w:r>
        <w:rPr>
          <w:spacing w:val="-3"/>
        </w:rPr>
        <w:t>have </w:t>
      </w:r>
      <w:r>
        <w:rPr/>
        <w:t>had to contend with the adverse conditions produced </w:t>
      </w:r>
      <w:r>
        <w:rPr>
          <w:spacing w:val="-3"/>
        </w:rPr>
        <w:t>by </w:t>
      </w:r>
      <w:r>
        <w:rPr/>
        <w:t>the coronavirus (COVID-19) pandemic, including home schooling and conducting consultations </w:t>
      </w:r>
      <w:r>
        <w:rPr>
          <w:spacing w:val="-3"/>
        </w:rPr>
        <w:t>remotely. </w:t>
      </w:r>
      <w:r>
        <w:rPr/>
        <w:t>Despite these challenges, nothing deterred Emma and Phoebe from chasing down every piece of </w:t>
      </w:r>
      <w:r>
        <w:rPr>
          <w:spacing w:val="-3"/>
        </w:rPr>
        <w:t>relevant </w:t>
      </w:r>
      <w:r>
        <w:rPr/>
        <w:t>information and crafting it into this first-rate work. I also thank Sarah Sacher,</w:t>
      </w:r>
      <w:r>
        <w:rPr>
          <w:spacing w:val="-10"/>
        </w:rPr>
        <w:t> </w:t>
      </w:r>
      <w:r>
        <w:rPr/>
        <w:t>research</w:t>
      </w:r>
      <w:r>
        <w:rPr>
          <w:spacing w:val="-10"/>
        </w:rPr>
        <w:t> </w:t>
      </w:r>
      <w:r>
        <w:rPr/>
        <w:t>and</w:t>
      </w:r>
      <w:r>
        <w:rPr>
          <w:spacing w:val="-10"/>
        </w:rPr>
        <w:t> </w:t>
      </w:r>
      <w:r>
        <w:rPr/>
        <w:t>policy</w:t>
      </w:r>
      <w:r>
        <w:rPr>
          <w:spacing w:val="-10"/>
        </w:rPr>
        <w:t> </w:t>
      </w:r>
      <w:r>
        <w:rPr/>
        <w:t>officer,</w:t>
      </w:r>
      <w:r>
        <w:rPr>
          <w:spacing w:val="-10"/>
        </w:rPr>
        <w:t> </w:t>
      </w:r>
      <w:r>
        <w:rPr/>
        <w:t>and</w:t>
      </w:r>
      <w:r>
        <w:rPr>
          <w:spacing w:val="-10"/>
        </w:rPr>
        <w:t> </w:t>
      </w:r>
      <w:r>
        <w:rPr/>
        <w:t>Grace</w:t>
      </w:r>
      <w:r>
        <w:rPr>
          <w:spacing w:val="-10"/>
        </w:rPr>
        <w:t> </w:t>
      </w:r>
      <w:r>
        <w:rPr/>
        <w:t>Bramwell,</w:t>
      </w:r>
      <w:r>
        <w:rPr>
          <w:spacing w:val="-10"/>
        </w:rPr>
        <w:t> </w:t>
      </w:r>
      <w:r>
        <w:rPr>
          <w:spacing w:val="-3"/>
        </w:rPr>
        <w:t>researcher,</w:t>
      </w:r>
      <w:r>
        <w:rPr>
          <w:spacing w:val="-10"/>
        </w:rPr>
        <w:t> </w:t>
      </w:r>
      <w:r>
        <w:rPr/>
        <w:t>who</w:t>
      </w:r>
      <w:r>
        <w:rPr>
          <w:spacing w:val="-10"/>
        </w:rPr>
        <w:t> </w:t>
      </w:r>
      <w:r>
        <w:rPr/>
        <w:t>worked</w:t>
      </w:r>
      <w:r>
        <w:rPr>
          <w:spacing w:val="-10"/>
        </w:rPr>
        <w:t> </w:t>
      </w:r>
      <w:r>
        <w:rPr/>
        <w:t>on</w:t>
      </w:r>
      <w:r>
        <w:rPr>
          <w:spacing w:val="-10"/>
        </w:rPr>
        <w:t> </w:t>
      </w:r>
      <w:r>
        <w:rPr/>
        <w:t>the</w:t>
      </w:r>
      <w:r>
        <w:rPr>
          <w:spacing w:val="-10"/>
        </w:rPr>
        <w:t> </w:t>
      </w:r>
      <w:r>
        <w:rPr/>
        <w:t>earlier consultation</w:t>
      </w:r>
      <w:r>
        <w:rPr>
          <w:spacing w:val="-3"/>
        </w:rPr>
        <w:t> paper.</w:t>
      </w:r>
    </w:p>
    <w:p>
      <w:pPr>
        <w:pStyle w:val="BodyText"/>
        <w:spacing w:line="206" w:lineRule="auto" w:before="131"/>
        <w:ind w:left="967" w:right="1202"/>
      </w:pPr>
      <w:r>
        <w:rPr/>
        <w:t>Until the final stage, the progress of the report was overseen by a Division of the Commission which I constituted under section 13(1)(b) of the </w:t>
      </w:r>
      <w:r>
        <w:rPr>
          <w:i/>
        </w:rPr>
        <w:t>Victorian Law Reform Commission Act 2000</w:t>
      </w:r>
      <w:r>
        <w:rPr/>
        <w:t>, comprising Liana Buchanan, the Hon. Jennifer Coate AO, Bruce Gardner PSM, Gemma Varley PSM and me. Upon their appointments Kathleen Foley SC and Dr Vivian Waller joined the Division. In the end, the report is the work of all nine Commissioners. Those who were not part of the Division—Professor Bernadette McSherry and Dan Nicholson—nonetheless commented on the final draft and made extensive and valuable suggestions. The work of the Division, and the other Commissioners, on this reference turned out to be particularly onerous because</w:t>
      </w:r>
    </w:p>
    <w:p>
      <w:pPr>
        <w:pStyle w:val="BodyText"/>
        <w:spacing w:line="206" w:lineRule="auto" w:before="10"/>
        <w:ind w:left="967" w:right="1243"/>
      </w:pPr>
      <w:r>
        <w:rPr/>
        <w:t>the timing of critical moments intersected with heavy workloads relating to concurrent references. Despite this, they engaged closely with this report and made many thoughtful and detailed comments on the drafts. Their contributions were all made in a spirit of collegiality, cooperation, and good humour.</w:t>
      </w:r>
    </w:p>
    <w:p>
      <w:pPr>
        <w:pStyle w:val="BodyText"/>
        <w:spacing w:line="206" w:lineRule="auto" w:before="125"/>
        <w:ind w:left="967" w:right="1202"/>
      </w:pPr>
      <w:r>
        <w:rPr/>
        <w:t>Professor Emeritus Ron McCallum</w:t>
      </w:r>
      <w:r>
        <w:rPr>
          <w:spacing w:val="-4"/>
        </w:rPr>
        <w:t> AO </w:t>
      </w:r>
      <w:r>
        <w:rPr/>
        <w:t>was a Special Advisor for the report. His contribution has been very significant. Not only has he devoted much time and energy to commenting on the various drafts, but he has brought a distinctive and critical perspective to the work of the team and the Commission because of his own life experience as a person blind from birth who has achieved so much. He is the first totally blind person to be appointed a professor in Australia and to be the Dean of the Law School, University of </w:t>
      </w:r>
      <w:r>
        <w:rPr>
          <w:spacing w:val="-4"/>
        </w:rPr>
        <w:t>Sydney. </w:t>
      </w:r>
      <w:r>
        <w:rPr/>
        <w:t>For many years he was the Chair of the United Nations Committee on the Rights of Persons with Disabilities. I thank him for his generosity, wisdom, and guidance. It is fitting that his voice is reflected in this report because he has been such a prominent advocate for the rights of people with disabilities for a very</w:t>
      </w:r>
    </w:p>
    <w:p>
      <w:pPr>
        <w:pStyle w:val="BodyText"/>
        <w:spacing w:line="230" w:lineRule="exact"/>
        <w:ind w:left="967"/>
      </w:pPr>
      <w:r>
        <w:rPr/>
        <w:t>long time.</w:t>
      </w:r>
    </w:p>
    <w:p>
      <w:pPr>
        <w:spacing w:line="306" w:lineRule="exact" w:before="0"/>
        <w:ind w:left="0" w:right="318" w:firstLine="0"/>
        <w:jc w:val="right"/>
        <w:rPr>
          <w:b/>
          <w:sz w:val="24"/>
        </w:rPr>
      </w:pPr>
      <w:r>
        <w:rPr>
          <w:b/>
          <w:color w:val="37617A"/>
          <w:sz w:val="24"/>
        </w:rPr>
        <w:t>xi</w:t>
      </w:r>
    </w:p>
    <w:p>
      <w:pPr>
        <w:spacing w:after="0" w:line="306" w:lineRule="exact"/>
        <w:jc w:val="right"/>
        <w:rPr>
          <w:sz w:val="24"/>
        </w:rPr>
        <w:sectPr>
          <w:pgSz w:w="11910" w:h="16840"/>
          <w:pgMar w:header="0" w:footer="0" w:top="840" w:bottom="280" w:left="620" w:right="380"/>
        </w:sectPr>
      </w:pPr>
    </w:p>
    <w:p>
      <w:pPr>
        <w:pStyle w:val="BodyText"/>
        <w:rPr>
          <w:b/>
        </w:rPr>
      </w:pPr>
    </w:p>
    <w:p>
      <w:pPr>
        <w:pStyle w:val="BodyText"/>
        <w:rPr>
          <w:b/>
        </w:rPr>
      </w:pPr>
    </w:p>
    <w:p>
      <w:pPr>
        <w:pStyle w:val="BodyText"/>
        <w:rPr>
          <w:b/>
        </w:rPr>
      </w:pPr>
    </w:p>
    <w:p>
      <w:pPr>
        <w:pStyle w:val="BodyText"/>
        <w:spacing w:before="10"/>
        <w:rPr>
          <w:b/>
          <w:sz w:val="16"/>
        </w:rPr>
      </w:pPr>
    </w:p>
    <w:p>
      <w:pPr>
        <w:pStyle w:val="BodyText"/>
        <w:spacing w:line="206" w:lineRule="auto" w:before="1"/>
        <w:ind w:left="967" w:right="1252"/>
      </w:pPr>
      <w:r>
        <w:rPr/>
        <w:t>This report is built on the foundation of the contributions made by all those people with whom we consulted. Foremost among them were the organisations which advocate for people</w:t>
      </w:r>
    </w:p>
    <w:p>
      <w:pPr>
        <w:pStyle w:val="BodyText"/>
        <w:spacing w:line="206" w:lineRule="auto" w:before="2"/>
        <w:ind w:left="967" w:right="1343"/>
      </w:pPr>
      <w:r>
        <w:rPr/>
        <w:t>who are deaf or hard of hearing, blind or who have low vision. I hope their sense of frustration about the current inequitable position comes through clearly in this report. We again called</w:t>
      </w:r>
    </w:p>
    <w:p>
      <w:pPr>
        <w:pStyle w:val="BodyText"/>
        <w:spacing w:line="206" w:lineRule="auto" w:before="3"/>
        <w:ind w:left="967" w:right="1202"/>
      </w:pPr>
      <w:r>
        <w:rPr/>
        <w:t>for assistance from representatives of the courts and lawyers who deal with juries on a regular basis. I acknowledge their generosity in spending time with us after their workday duties were finished. We also leant heavily on the experience of the Victorian Juries Commissioner who provided much important information.</w:t>
      </w:r>
    </w:p>
    <w:p>
      <w:pPr>
        <w:pStyle w:val="BodyText"/>
        <w:spacing w:line="206" w:lineRule="auto" w:before="125"/>
        <w:ind w:left="967" w:right="1110"/>
      </w:pPr>
      <w:r>
        <w:rPr/>
        <w:t>The administration of the Commission continues behind the scenes whilst the consultation and research for the report proceeds. The CEO, Merrin Mason PSM, provided that steady hand and wise counsel which is essential for the proper working of the system. She was assisted by the administrative staff: Jeniffer Joyner, Monika George, and Janis Dunk.</w:t>
      </w:r>
    </w:p>
    <w:p>
      <w:pPr>
        <w:pStyle w:val="BodyText"/>
        <w:spacing w:line="206" w:lineRule="auto" w:before="125"/>
        <w:ind w:left="967" w:right="1110"/>
      </w:pPr>
      <w:r>
        <w:rPr/>
        <w:t>The final processes in the production of the report, including editing, proofreading and arranging for layout and printing, are extremely labour-intensive and the team could not have completed this phase without the assistance of Nick Gadd, Communications Manager and Gemma Walsh, Information and Communications officer. Other staff of the Commission—Emma Larking, Madeleine Ulbrick, Natalie Lilford and Marcus Hickleton, who had just finalised the report into stalking, were of great assistance at this final stage.</w:t>
      </w:r>
    </w:p>
    <w:p>
      <w:pPr>
        <w:pStyle w:val="BodyText"/>
        <w:spacing w:before="95"/>
        <w:ind w:left="967"/>
      </w:pPr>
      <w:r>
        <w:rPr/>
        <w:drawing>
          <wp:anchor distT="0" distB="0" distL="0" distR="0" allowOverlap="1" layoutInCell="1" locked="0" behindDoc="1" simplePos="0" relativeHeight="268076351">
            <wp:simplePos x="0" y="0"/>
            <wp:positionH relativeFrom="page">
              <wp:posOffset>763360</wp:posOffset>
            </wp:positionH>
            <wp:positionV relativeFrom="paragraph">
              <wp:posOffset>132005</wp:posOffset>
            </wp:positionV>
            <wp:extent cx="2389833" cy="1524121"/>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15" cstate="print"/>
                    <a:stretch>
                      <a:fillRect/>
                    </a:stretch>
                  </pic:blipFill>
                  <pic:spPr>
                    <a:xfrm>
                      <a:off x="0" y="0"/>
                      <a:ext cx="2389833" cy="1524121"/>
                    </a:xfrm>
                    <a:prstGeom prst="rect">
                      <a:avLst/>
                    </a:prstGeom>
                  </pic:spPr>
                </pic:pic>
              </a:graphicData>
            </a:graphic>
          </wp:anchor>
        </w:drawing>
      </w:r>
      <w:r>
        <w:rPr/>
        <w:t>I trust that you will take the strong human rights message from this report and enjoy reading it.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29"/>
        </w:rPr>
      </w:pPr>
    </w:p>
    <w:p>
      <w:pPr>
        <w:pStyle w:val="Heading8"/>
        <w:spacing w:line="312" w:lineRule="auto"/>
        <w:ind w:left="967" w:right="7738"/>
      </w:pPr>
      <w:r>
        <w:rPr/>
        <w:t>The Hon. A M North QC Chairperson</w:t>
      </w:r>
    </w:p>
    <w:p>
      <w:pPr>
        <w:pStyle w:val="Heading8"/>
        <w:spacing w:line="276" w:lineRule="exact"/>
        <w:ind w:left="967"/>
      </w:pPr>
      <w:r>
        <w:rPr/>
        <w:t>Victorian Law Reform Commission</w:t>
      </w:r>
    </w:p>
    <w:p>
      <w:pPr>
        <w:pStyle w:val="BodyText"/>
        <w:spacing w:before="82"/>
        <w:ind w:left="967"/>
      </w:pPr>
      <w:r>
        <w:rPr/>
        <w:t>July 2022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4"/>
        </w:rPr>
      </w:pPr>
    </w:p>
    <w:p>
      <w:pPr>
        <w:spacing w:before="49"/>
        <w:ind w:left="100" w:right="0" w:firstLine="0"/>
        <w:jc w:val="left"/>
        <w:rPr>
          <w:b/>
          <w:sz w:val="24"/>
        </w:rPr>
      </w:pPr>
      <w:r>
        <w:rPr>
          <w:b/>
          <w:color w:val="37617A"/>
          <w:sz w:val="24"/>
        </w:rPr>
        <w:t>xii</w:t>
      </w:r>
    </w:p>
    <w:p>
      <w:pPr>
        <w:spacing w:after="0"/>
        <w:jc w:val="left"/>
        <w:rPr>
          <w:sz w:val="24"/>
        </w:rPr>
        <w:sectPr>
          <w:pgSz w:w="11910" w:h="16840"/>
          <w:pgMar w:header="567" w:footer="0" w:top="860" w:bottom="280" w:left="620" w:right="38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7"/>
        </w:rPr>
      </w:pPr>
    </w:p>
    <w:p>
      <w:pPr>
        <w:pStyle w:val="BodyText"/>
        <w:spacing w:line="206" w:lineRule="auto"/>
        <w:ind w:left="967" w:right="1266"/>
        <w:jc w:val="both"/>
      </w:pPr>
      <w:bookmarkStart w:name="Terms of reference" w:id="4"/>
      <w:bookmarkEnd w:id="4"/>
      <w:r>
        <w:rPr/>
      </w:r>
      <w:bookmarkStart w:name="_bookmark1" w:id="5"/>
      <w:bookmarkEnd w:id="5"/>
      <w:r>
        <w:rPr/>
      </w:r>
      <w:r>
        <w:rPr/>
        <w:t>The</w:t>
      </w:r>
      <w:r>
        <w:rPr>
          <w:spacing w:val="-6"/>
        </w:rPr>
        <w:t> </w:t>
      </w:r>
      <w:r>
        <w:rPr/>
        <w:t>Victorian</w:t>
      </w:r>
      <w:r>
        <w:rPr>
          <w:spacing w:val="-6"/>
        </w:rPr>
        <w:t> </w:t>
      </w:r>
      <w:r>
        <w:rPr/>
        <w:t>Law</w:t>
      </w:r>
      <w:r>
        <w:rPr>
          <w:spacing w:val="-6"/>
        </w:rPr>
        <w:t> </w:t>
      </w:r>
      <w:r>
        <w:rPr/>
        <w:t>Reform</w:t>
      </w:r>
      <w:r>
        <w:rPr>
          <w:spacing w:val="-6"/>
        </w:rPr>
        <w:t> </w:t>
      </w:r>
      <w:r>
        <w:rPr/>
        <w:t>Commission</w:t>
      </w:r>
      <w:r>
        <w:rPr>
          <w:spacing w:val="-5"/>
        </w:rPr>
        <w:t> </w:t>
      </w:r>
      <w:r>
        <w:rPr/>
        <w:t>will</w:t>
      </w:r>
      <w:r>
        <w:rPr>
          <w:spacing w:val="-6"/>
        </w:rPr>
        <w:t> </w:t>
      </w:r>
      <w:r>
        <w:rPr/>
        <w:t>consider</w:t>
      </w:r>
      <w:r>
        <w:rPr>
          <w:spacing w:val="-6"/>
        </w:rPr>
        <w:t> </w:t>
      </w:r>
      <w:r>
        <w:rPr/>
        <w:t>what</w:t>
      </w:r>
      <w:r>
        <w:rPr>
          <w:spacing w:val="-6"/>
        </w:rPr>
        <w:t> </w:t>
      </w:r>
      <w:r>
        <w:rPr/>
        <w:t>changes</w:t>
      </w:r>
      <w:r>
        <w:rPr>
          <w:spacing w:val="-5"/>
        </w:rPr>
        <w:t> </w:t>
      </w:r>
      <w:r>
        <w:rPr/>
        <w:t>to</w:t>
      </w:r>
      <w:r>
        <w:rPr>
          <w:spacing w:val="-6"/>
        </w:rPr>
        <w:t> </w:t>
      </w:r>
      <w:r>
        <w:rPr/>
        <w:t>legislation</w:t>
      </w:r>
      <w:r>
        <w:rPr>
          <w:spacing w:val="-6"/>
        </w:rPr>
        <w:t> </w:t>
      </w:r>
      <w:r>
        <w:rPr/>
        <w:t>and</w:t>
      </w:r>
      <w:r>
        <w:rPr>
          <w:spacing w:val="-6"/>
        </w:rPr>
        <w:t> </w:t>
      </w:r>
      <w:r>
        <w:rPr/>
        <w:t>practices should</w:t>
      </w:r>
      <w:r>
        <w:rPr>
          <w:spacing w:val="-5"/>
        </w:rPr>
        <w:t> </w:t>
      </w:r>
      <w:r>
        <w:rPr/>
        <w:t>be</w:t>
      </w:r>
      <w:r>
        <w:rPr>
          <w:spacing w:val="-5"/>
        </w:rPr>
        <w:t> </w:t>
      </w:r>
      <w:r>
        <w:rPr/>
        <w:t>made</w:t>
      </w:r>
      <w:r>
        <w:rPr>
          <w:spacing w:val="-4"/>
        </w:rPr>
        <w:t> </w:t>
      </w:r>
      <w:r>
        <w:rPr/>
        <w:t>to</w:t>
      </w:r>
      <w:r>
        <w:rPr>
          <w:spacing w:val="-5"/>
        </w:rPr>
        <w:t> </w:t>
      </w:r>
      <w:r>
        <w:rPr/>
        <w:t>enhance</w:t>
      </w:r>
      <w:r>
        <w:rPr>
          <w:spacing w:val="-4"/>
        </w:rPr>
        <w:t> </w:t>
      </w:r>
      <w:r>
        <w:rPr/>
        <w:t>access</w:t>
      </w:r>
      <w:r>
        <w:rPr>
          <w:spacing w:val="-5"/>
        </w:rPr>
        <w:t> </w:t>
      </w:r>
      <w:r>
        <w:rPr/>
        <w:t>for</w:t>
      </w:r>
      <w:r>
        <w:rPr>
          <w:spacing w:val="-4"/>
        </w:rPr>
        <w:t> </w:t>
      </w:r>
      <w:r>
        <w:rPr/>
        <w:t>people</w:t>
      </w:r>
      <w:r>
        <w:rPr>
          <w:spacing w:val="-5"/>
        </w:rPr>
        <w:t> </w:t>
      </w:r>
      <w:r>
        <w:rPr/>
        <w:t>who</w:t>
      </w:r>
      <w:r>
        <w:rPr>
          <w:spacing w:val="-5"/>
        </w:rPr>
        <w:t> </w:t>
      </w:r>
      <w:r>
        <w:rPr/>
        <w:t>are</w:t>
      </w:r>
      <w:r>
        <w:rPr>
          <w:spacing w:val="-4"/>
        </w:rPr>
        <w:t> </w:t>
      </w:r>
      <w:r>
        <w:rPr>
          <w:spacing w:val="-3"/>
        </w:rPr>
        <w:t>deaf,</w:t>
      </w:r>
      <w:r>
        <w:rPr>
          <w:spacing w:val="-5"/>
        </w:rPr>
        <w:t> </w:t>
      </w:r>
      <w:r>
        <w:rPr/>
        <w:t>hard</w:t>
      </w:r>
      <w:r>
        <w:rPr>
          <w:spacing w:val="-4"/>
        </w:rPr>
        <w:t> </w:t>
      </w:r>
      <w:r>
        <w:rPr/>
        <w:t>of</w:t>
      </w:r>
      <w:r>
        <w:rPr>
          <w:spacing w:val="-5"/>
        </w:rPr>
        <w:t> </w:t>
      </w:r>
      <w:r>
        <w:rPr/>
        <w:t>hearing,</w:t>
      </w:r>
      <w:r>
        <w:rPr>
          <w:spacing w:val="-4"/>
        </w:rPr>
        <w:t> </w:t>
      </w:r>
      <w:r>
        <w:rPr/>
        <w:t>blind</w:t>
      </w:r>
      <w:r>
        <w:rPr>
          <w:spacing w:val="-5"/>
        </w:rPr>
        <w:t> </w:t>
      </w:r>
      <w:r>
        <w:rPr/>
        <w:t>or</w:t>
      </w:r>
      <w:r>
        <w:rPr>
          <w:spacing w:val="-5"/>
        </w:rPr>
        <w:t> </w:t>
      </w:r>
      <w:r>
        <w:rPr>
          <w:spacing w:val="-3"/>
        </w:rPr>
        <w:t>have</w:t>
      </w:r>
      <w:r>
        <w:rPr>
          <w:spacing w:val="-4"/>
        </w:rPr>
        <w:t> </w:t>
      </w:r>
      <w:r>
        <w:rPr>
          <w:spacing w:val="-3"/>
        </w:rPr>
        <w:t>low </w:t>
      </w:r>
      <w:r>
        <w:rPr/>
        <w:t>vision who wish to serve as jurors in</w:t>
      </w:r>
      <w:r>
        <w:rPr>
          <w:spacing w:val="-18"/>
        </w:rPr>
        <w:t> </w:t>
      </w:r>
      <w:r>
        <w:rPr/>
        <w:t>Victoria.</w:t>
      </w:r>
    </w:p>
    <w:p>
      <w:pPr>
        <w:pStyle w:val="BodyText"/>
        <w:spacing w:line="206" w:lineRule="auto" w:before="124"/>
        <w:ind w:left="967" w:right="1531" w:hanging="1"/>
      </w:pPr>
      <w:r>
        <w:rPr/>
        <w:t>The </w:t>
      </w:r>
      <w:r>
        <w:rPr>
          <w:i/>
        </w:rPr>
        <w:t>Juries Act 2000 </w:t>
      </w:r>
      <w:r>
        <w:rPr/>
        <w:t>(Vic) provides a list of people who are ineligible to serve as jurors. Among those excluded are persons with ‘a physical disability that renders [them] incapable of performing the duties of jury service’, and those who are ‘unable to communicate in or understand the English language adequately’.</w:t>
      </w:r>
    </w:p>
    <w:p>
      <w:pPr>
        <w:pStyle w:val="BodyText"/>
        <w:spacing w:line="206" w:lineRule="auto" w:before="125"/>
        <w:ind w:left="967" w:right="1258"/>
      </w:pPr>
      <w:r>
        <w:rPr/>
        <w:t>Although people who are deaf, hard or hearing, blind or have low vision are not expressly precluded from jury service, prohibitions on allowing interpreters or communication assistants into the jury room mean that, for many, such service would not be possible.</w:t>
      </w:r>
    </w:p>
    <w:p>
      <w:pPr>
        <w:pStyle w:val="BodyText"/>
        <w:spacing w:line="206" w:lineRule="auto" w:before="123"/>
        <w:ind w:left="967" w:right="1387"/>
      </w:pPr>
      <w:r>
        <w:rPr/>
        <w:t>The project will examine the current legal framework to consider whether legislative change is required, what practical supports would be necessary, and whether there are specific circumstances in which such jury service should be limited.</w:t>
      </w:r>
    </w:p>
    <w:p>
      <w:pPr>
        <w:pStyle w:val="BodyText"/>
        <w:spacing w:before="92"/>
        <w:ind w:left="967"/>
      </w:pPr>
      <w:r>
        <w:rPr/>
        <w:t>In conducting this review, the Commission will have regard to:</w:t>
      </w:r>
    </w:p>
    <w:p>
      <w:pPr>
        <w:pStyle w:val="ListParagraph"/>
        <w:numPr>
          <w:ilvl w:val="0"/>
          <w:numId w:val="2"/>
        </w:numPr>
        <w:tabs>
          <w:tab w:pos="2157" w:val="left" w:leader="none"/>
          <w:tab w:pos="2158" w:val="left" w:leader="none"/>
        </w:tabs>
        <w:spacing w:line="206" w:lineRule="auto" w:before="115" w:after="0"/>
        <w:ind w:left="2157" w:right="2220" w:hanging="396"/>
        <w:jc w:val="left"/>
        <w:rPr>
          <w:sz w:val="20"/>
        </w:rPr>
      </w:pPr>
      <w:r>
        <w:rPr>
          <w:spacing w:val="-3"/>
          <w:sz w:val="20"/>
        </w:rPr>
        <w:t>Relevant</w:t>
      </w:r>
      <w:r>
        <w:rPr>
          <w:spacing w:val="-16"/>
          <w:sz w:val="20"/>
        </w:rPr>
        <w:t> </w:t>
      </w:r>
      <w:r>
        <w:rPr>
          <w:sz w:val="20"/>
        </w:rPr>
        <w:t>legal</w:t>
      </w:r>
      <w:r>
        <w:rPr>
          <w:spacing w:val="-15"/>
          <w:sz w:val="20"/>
        </w:rPr>
        <w:t> </w:t>
      </w:r>
      <w:r>
        <w:rPr>
          <w:sz w:val="20"/>
        </w:rPr>
        <w:t>and</w:t>
      </w:r>
      <w:r>
        <w:rPr>
          <w:spacing w:val="-15"/>
          <w:sz w:val="20"/>
        </w:rPr>
        <w:t> </w:t>
      </w:r>
      <w:r>
        <w:rPr>
          <w:sz w:val="20"/>
        </w:rPr>
        <w:t>practice</w:t>
      </w:r>
      <w:r>
        <w:rPr>
          <w:spacing w:val="-15"/>
          <w:sz w:val="20"/>
        </w:rPr>
        <w:t> </w:t>
      </w:r>
      <w:r>
        <w:rPr>
          <w:sz w:val="20"/>
        </w:rPr>
        <w:t>developments</w:t>
      </w:r>
      <w:r>
        <w:rPr>
          <w:spacing w:val="-15"/>
          <w:sz w:val="20"/>
        </w:rPr>
        <w:t> </w:t>
      </w:r>
      <w:r>
        <w:rPr>
          <w:sz w:val="20"/>
        </w:rPr>
        <w:t>in</w:t>
      </w:r>
      <w:r>
        <w:rPr>
          <w:spacing w:val="-16"/>
          <w:sz w:val="20"/>
        </w:rPr>
        <w:t> </w:t>
      </w:r>
      <w:r>
        <w:rPr>
          <w:sz w:val="20"/>
        </w:rPr>
        <w:t>domestic</w:t>
      </w:r>
      <w:r>
        <w:rPr>
          <w:spacing w:val="-15"/>
          <w:sz w:val="20"/>
        </w:rPr>
        <w:t> </w:t>
      </w:r>
      <w:r>
        <w:rPr>
          <w:sz w:val="20"/>
        </w:rPr>
        <w:t>and</w:t>
      </w:r>
      <w:r>
        <w:rPr>
          <w:spacing w:val="-15"/>
          <w:sz w:val="20"/>
        </w:rPr>
        <w:t> </w:t>
      </w:r>
      <w:r>
        <w:rPr>
          <w:sz w:val="20"/>
        </w:rPr>
        <w:t>international jurisdictions.</w:t>
      </w:r>
    </w:p>
    <w:p>
      <w:pPr>
        <w:pStyle w:val="ListParagraph"/>
        <w:numPr>
          <w:ilvl w:val="0"/>
          <w:numId w:val="2"/>
        </w:numPr>
        <w:tabs>
          <w:tab w:pos="2157" w:val="left" w:leader="none"/>
          <w:tab w:pos="2158" w:val="left" w:leader="none"/>
        </w:tabs>
        <w:spacing w:line="259" w:lineRule="exact" w:before="55" w:after="0"/>
        <w:ind w:left="2157" w:right="0" w:hanging="396"/>
        <w:jc w:val="left"/>
        <w:rPr>
          <w:sz w:val="20"/>
        </w:rPr>
      </w:pPr>
      <w:r>
        <w:rPr>
          <w:spacing w:val="-3"/>
          <w:sz w:val="20"/>
        </w:rPr>
        <w:t>Current</w:t>
      </w:r>
      <w:r>
        <w:rPr>
          <w:spacing w:val="-7"/>
          <w:sz w:val="20"/>
        </w:rPr>
        <w:t> </w:t>
      </w:r>
      <w:r>
        <w:rPr>
          <w:sz w:val="20"/>
        </w:rPr>
        <w:t>practice</w:t>
      </w:r>
      <w:r>
        <w:rPr>
          <w:spacing w:val="-6"/>
          <w:sz w:val="20"/>
        </w:rPr>
        <w:t> </w:t>
      </w:r>
      <w:r>
        <w:rPr>
          <w:sz w:val="20"/>
        </w:rPr>
        <w:t>and</w:t>
      </w:r>
      <w:r>
        <w:rPr>
          <w:spacing w:val="-6"/>
          <w:sz w:val="20"/>
        </w:rPr>
        <w:t> </w:t>
      </w:r>
      <w:r>
        <w:rPr>
          <w:sz w:val="20"/>
        </w:rPr>
        <w:t>statistics</w:t>
      </w:r>
      <w:r>
        <w:rPr>
          <w:spacing w:val="-6"/>
          <w:sz w:val="20"/>
        </w:rPr>
        <w:t> </w:t>
      </w:r>
      <w:r>
        <w:rPr>
          <w:sz w:val="20"/>
        </w:rPr>
        <w:t>in</w:t>
      </w:r>
      <w:r>
        <w:rPr>
          <w:spacing w:val="-7"/>
          <w:sz w:val="20"/>
        </w:rPr>
        <w:t> </w:t>
      </w:r>
      <w:r>
        <w:rPr>
          <w:sz w:val="20"/>
        </w:rPr>
        <w:t>Victoria</w:t>
      </w:r>
      <w:r>
        <w:rPr>
          <w:spacing w:val="-6"/>
          <w:sz w:val="20"/>
        </w:rPr>
        <w:t> </w:t>
      </w:r>
      <w:r>
        <w:rPr>
          <w:sz w:val="20"/>
        </w:rPr>
        <w:t>relating</w:t>
      </w:r>
      <w:r>
        <w:rPr>
          <w:spacing w:val="-6"/>
          <w:sz w:val="20"/>
        </w:rPr>
        <w:t> </w:t>
      </w:r>
      <w:r>
        <w:rPr>
          <w:sz w:val="20"/>
        </w:rPr>
        <w:t>to</w:t>
      </w:r>
      <w:r>
        <w:rPr>
          <w:spacing w:val="-6"/>
          <w:sz w:val="20"/>
        </w:rPr>
        <w:t> </w:t>
      </w:r>
      <w:r>
        <w:rPr>
          <w:spacing w:val="-3"/>
          <w:sz w:val="20"/>
        </w:rPr>
        <w:t>excusal</w:t>
      </w:r>
      <w:r>
        <w:rPr>
          <w:spacing w:val="-7"/>
          <w:sz w:val="20"/>
        </w:rPr>
        <w:t> </w:t>
      </w:r>
      <w:r>
        <w:rPr>
          <w:sz w:val="20"/>
        </w:rPr>
        <w:t>and</w:t>
      </w:r>
      <w:r>
        <w:rPr>
          <w:spacing w:val="-6"/>
          <w:sz w:val="20"/>
        </w:rPr>
        <w:t> </w:t>
      </w:r>
      <w:r>
        <w:rPr>
          <w:sz w:val="20"/>
        </w:rPr>
        <w:t>disqualification</w:t>
      </w:r>
      <w:r>
        <w:rPr>
          <w:spacing w:val="-6"/>
          <w:sz w:val="20"/>
        </w:rPr>
        <w:t> </w:t>
      </w:r>
      <w:r>
        <w:rPr>
          <w:sz w:val="20"/>
        </w:rPr>
        <w:t>of</w:t>
      </w:r>
    </w:p>
    <w:p>
      <w:pPr>
        <w:pStyle w:val="BodyText"/>
        <w:spacing w:line="259" w:lineRule="exact"/>
        <w:ind w:left="2157"/>
      </w:pPr>
      <w:r>
        <w:rPr/>
        <w:t>people who are deaf, hard or hearing, blind or have low vision as jurors.</w:t>
      </w:r>
    </w:p>
    <w:p>
      <w:pPr>
        <w:pStyle w:val="ListParagraph"/>
        <w:numPr>
          <w:ilvl w:val="0"/>
          <w:numId w:val="2"/>
        </w:numPr>
        <w:tabs>
          <w:tab w:pos="2157" w:val="left" w:leader="none"/>
          <w:tab w:pos="2158" w:val="left" w:leader="none"/>
        </w:tabs>
        <w:spacing w:line="206" w:lineRule="auto" w:before="80" w:after="0"/>
        <w:ind w:left="2157" w:right="1982" w:hanging="396"/>
        <w:jc w:val="left"/>
        <w:rPr>
          <w:sz w:val="20"/>
        </w:rPr>
      </w:pPr>
      <w:r>
        <w:rPr>
          <w:sz w:val="20"/>
        </w:rPr>
        <w:t>The</w:t>
      </w:r>
      <w:r>
        <w:rPr>
          <w:spacing w:val="-10"/>
          <w:sz w:val="20"/>
        </w:rPr>
        <w:t> </w:t>
      </w:r>
      <w:r>
        <w:rPr>
          <w:sz w:val="20"/>
        </w:rPr>
        <w:t>common</w:t>
      </w:r>
      <w:r>
        <w:rPr>
          <w:spacing w:val="-10"/>
          <w:sz w:val="20"/>
        </w:rPr>
        <w:t> </w:t>
      </w:r>
      <w:r>
        <w:rPr>
          <w:sz w:val="20"/>
        </w:rPr>
        <w:t>law</w:t>
      </w:r>
      <w:r>
        <w:rPr>
          <w:spacing w:val="-10"/>
          <w:sz w:val="20"/>
        </w:rPr>
        <w:t> </w:t>
      </w:r>
      <w:r>
        <w:rPr>
          <w:sz w:val="20"/>
        </w:rPr>
        <w:t>rule</w:t>
      </w:r>
      <w:r>
        <w:rPr>
          <w:spacing w:val="-10"/>
          <w:sz w:val="20"/>
        </w:rPr>
        <w:t> </w:t>
      </w:r>
      <w:r>
        <w:rPr>
          <w:sz w:val="20"/>
        </w:rPr>
        <w:t>prohibiting</w:t>
      </w:r>
      <w:r>
        <w:rPr>
          <w:spacing w:val="-10"/>
          <w:sz w:val="20"/>
        </w:rPr>
        <w:t> </w:t>
      </w:r>
      <w:r>
        <w:rPr>
          <w:spacing w:val="-3"/>
          <w:sz w:val="20"/>
        </w:rPr>
        <w:t>any</w:t>
      </w:r>
      <w:r>
        <w:rPr>
          <w:spacing w:val="-10"/>
          <w:sz w:val="20"/>
        </w:rPr>
        <w:t> </w:t>
      </w:r>
      <w:r>
        <w:rPr>
          <w:sz w:val="20"/>
        </w:rPr>
        <w:t>non-jurors</w:t>
      </w:r>
      <w:r>
        <w:rPr>
          <w:spacing w:val="-10"/>
          <w:sz w:val="20"/>
        </w:rPr>
        <w:t> </w:t>
      </w:r>
      <w:r>
        <w:rPr>
          <w:spacing w:val="-3"/>
          <w:sz w:val="20"/>
        </w:rPr>
        <w:t>from</w:t>
      </w:r>
      <w:r>
        <w:rPr>
          <w:spacing w:val="-10"/>
          <w:sz w:val="20"/>
        </w:rPr>
        <w:t> </w:t>
      </w:r>
      <w:r>
        <w:rPr>
          <w:sz w:val="20"/>
        </w:rPr>
        <w:t>being</w:t>
      </w:r>
      <w:r>
        <w:rPr>
          <w:spacing w:val="-10"/>
          <w:sz w:val="20"/>
        </w:rPr>
        <w:t> </w:t>
      </w:r>
      <w:r>
        <w:rPr>
          <w:spacing w:val="-3"/>
          <w:sz w:val="20"/>
        </w:rPr>
        <w:t>present</w:t>
      </w:r>
      <w:r>
        <w:rPr>
          <w:spacing w:val="-10"/>
          <w:sz w:val="20"/>
        </w:rPr>
        <w:t> </w:t>
      </w:r>
      <w:r>
        <w:rPr>
          <w:sz w:val="20"/>
        </w:rPr>
        <w:t>in</w:t>
      </w:r>
      <w:r>
        <w:rPr>
          <w:spacing w:val="-10"/>
          <w:sz w:val="20"/>
        </w:rPr>
        <w:t> </w:t>
      </w:r>
      <w:r>
        <w:rPr>
          <w:sz w:val="20"/>
        </w:rPr>
        <w:t>jury deliberations (the ‘thirteenth person’</w:t>
      </w:r>
      <w:r>
        <w:rPr>
          <w:spacing w:val="-20"/>
          <w:sz w:val="20"/>
        </w:rPr>
        <w:t> </w:t>
      </w:r>
      <w:r>
        <w:rPr>
          <w:spacing w:val="-4"/>
          <w:sz w:val="20"/>
        </w:rPr>
        <w:t>rule).</w:t>
      </w:r>
    </w:p>
    <w:p>
      <w:pPr>
        <w:pStyle w:val="ListParagraph"/>
        <w:numPr>
          <w:ilvl w:val="0"/>
          <w:numId w:val="2"/>
        </w:numPr>
        <w:tabs>
          <w:tab w:pos="2157" w:val="left" w:leader="none"/>
          <w:tab w:pos="2158" w:val="left" w:leader="none"/>
        </w:tabs>
        <w:spacing w:line="240" w:lineRule="auto" w:before="55" w:after="0"/>
        <w:ind w:left="2157" w:right="0" w:hanging="396"/>
        <w:jc w:val="left"/>
        <w:rPr>
          <w:sz w:val="20"/>
        </w:rPr>
      </w:pPr>
      <w:r>
        <w:rPr>
          <w:sz w:val="20"/>
        </w:rPr>
        <w:t>The</w:t>
      </w:r>
      <w:r>
        <w:rPr>
          <w:spacing w:val="-6"/>
          <w:sz w:val="20"/>
        </w:rPr>
        <w:t> </w:t>
      </w:r>
      <w:r>
        <w:rPr>
          <w:sz w:val="20"/>
        </w:rPr>
        <w:t>interaction</w:t>
      </w:r>
      <w:r>
        <w:rPr>
          <w:spacing w:val="-5"/>
          <w:sz w:val="20"/>
        </w:rPr>
        <w:t> </w:t>
      </w:r>
      <w:r>
        <w:rPr>
          <w:sz w:val="20"/>
        </w:rPr>
        <w:t>with</w:t>
      </w:r>
      <w:r>
        <w:rPr>
          <w:spacing w:val="-6"/>
          <w:sz w:val="20"/>
        </w:rPr>
        <w:t> </w:t>
      </w:r>
      <w:r>
        <w:rPr>
          <w:sz w:val="20"/>
        </w:rPr>
        <w:t>discrimination</w:t>
      </w:r>
      <w:r>
        <w:rPr>
          <w:spacing w:val="-5"/>
          <w:sz w:val="20"/>
        </w:rPr>
        <w:t> </w:t>
      </w:r>
      <w:r>
        <w:rPr>
          <w:sz w:val="20"/>
        </w:rPr>
        <w:t>law</w:t>
      </w:r>
      <w:r>
        <w:rPr>
          <w:spacing w:val="-6"/>
          <w:sz w:val="20"/>
        </w:rPr>
        <w:t> </w:t>
      </w:r>
      <w:r>
        <w:rPr>
          <w:sz w:val="20"/>
        </w:rPr>
        <w:t>and</w:t>
      </w:r>
      <w:r>
        <w:rPr>
          <w:spacing w:val="-5"/>
          <w:sz w:val="20"/>
        </w:rPr>
        <w:t> </w:t>
      </w:r>
      <w:r>
        <w:rPr>
          <w:sz w:val="20"/>
        </w:rPr>
        <w:t>human</w:t>
      </w:r>
      <w:r>
        <w:rPr>
          <w:spacing w:val="-6"/>
          <w:sz w:val="20"/>
        </w:rPr>
        <w:t> </w:t>
      </w:r>
      <w:r>
        <w:rPr>
          <w:sz w:val="20"/>
        </w:rPr>
        <w:t>rights</w:t>
      </w:r>
      <w:r>
        <w:rPr>
          <w:spacing w:val="-5"/>
          <w:sz w:val="20"/>
        </w:rPr>
        <w:t> </w:t>
      </w:r>
      <w:r>
        <w:rPr>
          <w:sz w:val="20"/>
        </w:rPr>
        <w:t>in</w:t>
      </w:r>
      <w:r>
        <w:rPr>
          <w:spacing w:val="-5"/>
          <w:sz w:val="20"/>
        </w:rPr>
        <w:t> </w:t>
      </w:r>
      <w:r>
        <w:rPr>
          <w:sz w:val="20"/>
        </w:rPr>
        <w:t>Victoria.</w:t>
      </w:r>
    </w:p>
    <w:p>
      <w:pPr>
        <w:pStyle w:val="ListParagraph"/>
        <w:numPr>
          <w:ilvl w:val="0"/>
          <w:numId w:val="2"/>
        </w:numPr>
        <w:tabs>
          <w:tab w:pos="2157" w:val="left" w:leader="none"/>
          <w:tab w:pos="2158" w:val="left" w:leader="none"/>
        </w:tabs>
        <w:spacing w:line="240" w:lineRule="auto" w:before="47" w:after="0"/>
        <w:ind w:left="2157" w:right="0" w:hanging="396"/>
        <w:jc w:val="left"/>
        <w:rPr>
          <w:sz w:val="20"/>
        </w:rPr>
      </w:pPr>
      <w:r>
        <w:rPr>
          <w:sz w:val="20"/>
        </w:rPr>
        <w:t>The interaction with peremptory challenges and </w:t>
      </w:r>
      <w:r>
        <w:rPr>
          <w:spacing w:val="-4"/>
          <w:sz w:val="20"/>
        </w:rPr>
        <w:t>crown</w:t>
      </w:r>
      <w:r>
        <w:rPr>
          <w:spacing w:val="-37"/>
          <w:sz w:val="20"/>
        </w:rPr>
        <w:t> </w:t>
      </w:r>
      <w:r>
        <w:rPr>
          <w:sz w:val="20"/>
        </w:rPr>
        <w:t>stand-asides.</w:t>
      </w:r>
    </w:p>
    <w:p>
      <w:pPr>
        <w:pStyle w:val="ListParagraph"/>
        <w:numPr>
          <w:ilvl w:val="0"/>
          <w:numId w:val="2"/>
        </w:numPr>
        <w:tabs>
          <w:tab w:pos="2157" w:val="left" w:leader="none"/>
          <w:tab w:pos="2158" w:val="left" w:leader="none"/>
        </w:tabs>
        <w:spacing w:line="206" w:lineRule="auto" w:before="80" w:after="0"/>
        <w:ind w:left="2157" w:right="1341" w:hanging="396"/>
        <w:jc w:val="left"/>
        <w:rPr>
          <w:sz w:val="20"/>
        </w:rPr>
      </w:pPr>
      <w:r>
        <w:rPr>
          <w:sz w:val="20"/>
        </w:rPr>
        <w:t>The</w:t>
      </w:r>
      <w:r>
        <w:rPr>
          <w:spacing w:val="-13"/>
          <w:sz w:val="20"/>
        </w:rPr>
        <w:t> </w:t>
      </w:r>
      <w:r>
        <w:rPr>
          <w:spacing w:val="-3"/>
          <w:sz w:val="20"/>
        </w:rPr>
        <w:t>resourcing</w:t>
      </w:r>
      <w:r>
        <w:rPr>
          <w:spacing w:val="-13"/>
          <w:sz w:val="20"/>
        </w:rPr>
        <w:t> </w:t>
      </w:r>
      <w:r>
        <w:rPr>
          <w:sz w:val="20"/>
        </w:rPr>
        <w:t>and</w:t>
      </w:r>
      <w:r>
        <w:rPr>
          <w:spacing w:val="-12"/>
          <w:sz w:val="20"/>
        </w:rPr>
        <w:t> </w:t>
      </w:r>
      <w:r>
        <w:rPr>
          <w:sz w:val="20"/>
        </w:rPr>
        <w:t>training</w:t>
      </w:r>
      <w:r>
        <w:rPr>
          <w:spacing w:val="-13"/>
          <w:sz w:val="20"/>
        </w:rPr>
        <w:t> </w:t>
      </w:r>
      <w:r>
        <w:rPr>
          <w:sz w:val="20"/>
        </w:rPr>
        <w:t>implications</w:t>
      </w:r>
      <w:r>
        <w:rPr>
          <w:spacing w:val="-12"/>
          <w:sz w:val="20"/>
        </w:rPr>
        <w:t> </w:t>
      </w:r>
      <w:r>
        <w:rPr>
          <w:sz w:val="20"/>
        </w:rPr>
        <w:t>for</w:t>
      </w:r>
      <w:r>
        <w:rPr>
          <w:spacing w:val="-13"/>
          <w:sz w:val="20"/>
        </w:rPr>
        <w:t> </w:t>
      </w:r>
      <w:r>
        <w:rPr>
          <w:sz w:val="20"/>
        </w:rPr>
        <w:t>court</w:t>
      </w:r>
      <w:r>
        <w:rPr>
          <w:spacing w:val="-12"/>
          <w:sz w:val="20"/>
        </w:rPr>
        <w:t> </w:t>
      </w:r>
      <w:r>
        <w:rPr>
          <w:sz w:val="20"/>
        </w:rPr>
        <w:t>and</w:t>
      </w:r>
      <w:r>
        <w:rPr>
          <w:spacing w:val="-13"/>
          <w:sz w:val="20"/>
        </w:rPr>
        <w:t> </w:t>
      </w:r>
      <w:r>
        <w:rPr>
          <w:sz w:val="20"/>
        </w:rPr>
        <w:t>jury</w:t>
      </w:r>
      <w:r>
        <w:rPr>
          <w:spacing w:val="-12"/>
          <w:sz w:val="20"/>
        </w:rPr>
        <w:t> </w:t>
      </w:r>
      <w:r>
        <w:rPr>
          <w:sz w:val="20"/>
        </w:rPr>
        <w:t>offices</w:t>
      </w:r>
      <w:r>
        <w:rPr>
          <w:spacing w:val="-13"/>
          <w:sz w:val="20"/>
        </w:rPr>
        <w:t> </w:t>
      </w:r>
      <w:r>
        <w:rPr>
          <w:sz w:val="20"/>
        </w:rPr>
        <w:t>staff</w:t>
      </w:r>
      <w:r>
        <w:rPr>
          <w:spacing w:val="-12"/>
          <w:sz w:val="20"/>
        </w:rPr>
        <w:t> </w:t>
      </w:r>
      <w:r>
        <w:rPr>
          <w:sz w:val="20"/>
        </w:rPr>
        <w:t>and</w:t>
      </w:r>
      <w:r>
        <w:rPr>
          <w:spacing w:val="-13"/>
          <w:sz w:val="20"/>
        </w:rPr>
        <w:t> </w:t>
      </w:r>
      <w:r>
        <w:rPr>
          <w:sz w:val="20"/>
        </w:rPr>
        <w:t>judicial officers.</w:t>
      </w:r>
    </w:p>
    <w:p>
      <w:pPr>
        <w:pStyle w:val="ListParagraph"/>
        <w:numPr>
          <w:ilvl w:val="0"/>
          <w:numId w:val="2"/>
        </w:numPr>
        <w:tabs>
          <w:tab w:pos="2157" w:val="left" w:leader="none"/>
          <w:tab w:pos="2158" w:val="left" w:leader="none"/>
        </w:tabs>
        <w:spacing w:line="240" w:lineRule="auto" w:before="55" w:after="0"/>
        <w:ind w:left="2157" w:right="0" w:hanging="396"/>
        <w:jc w:val="left"/>
        <w:rPr>
          <w:sz w:val="20"/>
        </w:rPr>
      </w:pPr>
      <w:r>
        <w:rPr>
          <w:sz w:val="20"/>
        </w:rPr>
        <w:t>The</w:t>
      </w:r>
      <w:r>
        <w:rPr>
          <w:spacing w:val="-5"/>
          <w:sz w:val="20"/>
        </w:rPr>
        <w:t> </w:t>
      </w:r>
      <w:r>
        <w:rPr>
          <w:sz w:val="20"/>
        </w:rPr>
        <w:t>importance</w:t>
      </w:r>
      <w:r>
        <w:rPr>
          <w:spacing w:val="-5"/>
          <w:sz w:val="20"/>
        </w:rPr>
        <w:t> </w:t>
      </w:r>
      <w:r>
        <w:rPr>
          <w:sz w:val="20"/>
        </w:rPr>
        <w:t>of</w:t>
      </w:r>
      <w:r>
        <w:rPr>
          <w:spacing w:val="-5"/>
          <w:sz w:val="20"/>
        </w:rPr>
        <w:t> </w:t>
      </w:r>
      <w:r>
        <w:rPr>
          <w:sz w:val="20"/>
        </w:rPr>
        <w:t>a</w:t>
      </w:r>
      <w:r>
        <w:rPr>
          <w:spacing w:val="-5"/>
          <w:sz w:val="20"/>
        </w:rPr>
        <w:t> </w:t>
      </w:r>
      <w:r>
        <w:rPr>
          <w:sz w:val="20"/>
        </w:rPr>
        <w:t>fair</w:t>
      </w:r>
      <w:r>
        <w:rPr>
          <w:spacing w:val="-5"/>
          <w:sz w:val="20"/>
        </w:rPr>
        <w:t> </w:t>
      </w:r>
      <w:r>
        <w:rPr>
          <w:sz w:val="20"/>
        </w:rPr>
        <w:t>trial</w:t>
      </w:r>
      <w:r>
        <w:rPr>
          <w:spacing w:val="-5"/>
          <w:sz w:val="20"/>
        </w:rPr>
        <w:t> </w:t>
      </w:r>
      <w:r>
        <w:rPr>
          <w:sz w:val="20"/>
        </w:rPr>
        <w:t>and</w:t>
      </w:r>
      <w:r>
        <w:rPr>
          <w:spacing w:val="-5"/>
          <w:sz w:val="20"/>
        </w:rPr>
        <w:t> </w:t>
      </w:r>
      <w:r>
        <w:rPr>
          <w:sz w:val="20"/>
        </w:rPr>
        <w:t>confidence</w:t>
      </w:r>
      <w:r>
        <w:rPr>
          <w:spacing w:val="-5"/>
          <w:sz w:val="20"/>
        </w:rPr>
        <w:t> </w:t>
      </w:r>
      <w:r>
        <w:rPr>
          <w:sz w:val="20"/>
        </w:rPr>
        <w:t>in</w:t>
      </w:r>
      <w:r>
        <w:rPr>
          <w:spacing w:val="-5"/>
          <w:sz w:val="20"/>
        </w:rPr>
        <w:t> </w:t>
      </w:r>
      <w:r>
        <w:rPr>
          <w:sz w:val="20"/>
        </w:rPr>
        <w:t>the</w:t>
      </w:r>
      <w:r>
        <w:rPr>
          <w:spacing w:val="-5"/>
          <w:sz w:val="20"/>
        </w:rPr>
        <w:t> </w:t>
      </w:r>
      <w:r>
        <w:rPr>
          <w:sz w:val="20"/>
        </w:rPr>
        <w:t>jury</w:t>
      </w:r>
      <w:r>
        <w:rPr>
          <w:spacing w:val="-4"/>
          <w:sz w:val="20"/>
        </w:rPr>
        <w:t> </w:t>
      </w:r>
      <w:r>
        <w:rPr>
          <w:sz w:val="20"/>
        </w:rPr>
        <w:t>system.</w:t>
      </w:r>
    </w:p>
    <w:p>
      <w:pPr>
        <w:pStyle w:val="BodyText"/>
        <w:spacing w:before="48"/>
        <w:ind w:left="967"/>
      </w:pPr>
      <w:r>
        <w:rPr/>
        <w:t>The Commission will not consider:</w:t>
      </w:r>
    </w:p>
    <w:p>
      <w:pPr>
        <w:pStyle w:val="ListParagraph"/>
        <w:numPr>
          <w:ilvl w:val="0"/>
          <w:numId w:val="2"/>
        </w:numPr>
        <w:tabs>
          <w:tab w:pos="2157" w:val="left" w:leader="none"/>
          <w:tab w:pos="2158" w:val="left" w:leader="none"/>
        </w:tabs>
        <w:spacing w:line="206" w:lineRule="auto" w:before="115" w:after="0"/>
        <w:ind w:left="2157" w:right="1409" w:hanging="396"/>
        <w:jc w:val="left"/>
        <w:rPr>
          <w:sz w:val="20"/>
        </w:rPr>
      </w:pPr>
      <w:r>
        <w:rPr>
          <w:sz w:val="20"/>
        </w:rPr>
        <w:t>Whether</w:t>
      </w:r>
      <w:r>
        <w:rPr>
          <w:spacing w:val="-13"/>
          <w:sz w:val="20"/>
        </w:rPr>
        <w:t> </w:t>
      </w:r>
      <w:r>
        <w:rPr>
          <w:sz w:val="20"/>
        </w:rPr>
        <w:t>people</w:t>
      </w:r>
      <w:r>
        <w:rPr>
          <w:spacing w:val="-13"/>
          <w:sz w:val="20"/>
        </w:rPr>
        <w:t> </w:t>
      </w:r>
      <w:r>
        <w:rPr>
          <w:sz w:val="20"/>
        </w:rPr>
        <w:t>who</w:t>
      </w:r>
      <w:r>
        <w:rPr>
          <w:spacing w:val="-12"/>
          <w:sz w:val="20"/>
        </w:rPr>
        <w:t> </w:t>
      </w:r>
      <w:r>
        <w:rPr>
          <w:sz w:val="20"/>
        </w:rPr>
        <w:t>cannot</w:t>
      </w:r>
      <w:r>
        <w:rPr>
          <w:spacing w:val="-13"/>
          <w:sz w:val="20"/>
        </w:rPr>
        <w:t> </w:t>
      </w:r>
      <w:r>
        <w:rPr>
          <w:sz w:val="20"/>
        </w:rPr>
        <w:t>understand</w:t>
      </w:r>
      <w:r>
        <w:rPr>
          <w:spacing w:val="-12"/>
          <w:sz w:val="20"/>
        </w:rPr>
        <w:t> </w:t>
      </w:r>
      <w:r>
        <w:rPr>
          <w:sz w:val="20"/>
        </w:rPr>
        <w:t>or</w:t>
      </w:r>
      <w:r>
        <w:rPr>
          <w:spacing w:val="-13"/>
          <w:sz w:val="20"/>
        </w:rPr>
        <w:t> </w:t>
      </w:r>
      <w:r>
        <w:rPr>
          <w:sz w:val="20"/>
        </w:rPr>
        <w:t>communicate</w:t>
      </w:r>
      <w:r>
        <w:rPr>
          <w:spacing w:val="-12"/>
          <w:sz w:val="20"/>
        </w:rPr>
        <w:t> </w:t>
      </w:r>
      <w:r>
        <w:rPr>
          <w:sz w:val="20"/>
        </w:rPr>
        <w:t>in</w:t>
      </w:r>
      <w:r>
        <w:rPr>
          <w:spacing w:val="-13"/>
          <w:sz w:val="20"/>
        </w:rPr>
        <w:t> </w:t>
      </w:r>
      <w:r>
        <w:rPr>
          <w:sz w:val="20"/>
        </w:rPr>
        <w:t>English</w:t>
      </w:r>
      <w:r>
        <w:rPr>
          <w:spacing w:val="-12"/>
          <w:sz w:val="20"/>
        </w:rPr>
        <w:t> </w:t>
      </w:r>
      <w:r>
        <w:rPr>
          <w:sz w:val="20"/>
        </w:rPr>
        <w:t>at</w:t>
      </w:r>
      <w:r>
        <w:rPr>
          <w:spacing w:val="-13"/>
          <w:sz w:val="20"/>
        </w:rPr>
        <w:t> </w:t>
      </w:r>
      <w:r>
        <w:rPr>
          <w:sz w:val="20"/>
        </w:rPr>
        <w:t>all</w:t>
      </w:r>
      <w:r>
        <w:rPr>
          <w:spacing w:val="-13"/>
          <w:sz w:val="20"/>
        </w:rPr>
        <w:t> </w:t>
      </w:r>
      <w:r>
        <w:rPr>
          <w:sz w:val="20"/>
        </w:rPr>
        <w:t>should be able to serve on</w:t>
      </w:r>
      <w:r>
        <w:rPr>
          <w:spacing w:val="-22"/>
          <w:sz w:val="20"/>
        </w:rPr>
        <w:t> </w:t>
      </w:r>
      <w:r>
        <w:rPr>
          <w:sz w:val="20"/>
        </w:rPr>
        <w:t>juries.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5"/>
        </w:rPr>
      </w:pPr>
    </w:p>
    <w:p>
      <w:pPr>
        <w:spacing w:before="49"/>
        <w:ind w:left="0" w:right="257" w:firstLine="0"/>
        <w:jc w:val="right"/>
        <w:rPr>
          <w:b/>
          <w:sz w:val="24"/>
        </w:rPr>
      </w:pPr>
      <w:r>
        <w:rPr>
          <w:b/>
          <w:color w:val="37617A"/>
          <w:sz w:val="24"/>
        </w:rPr>
        <w:t>xiii</w:t>
      </w:r>
    </w:p>
    <w:p>
      <w:pPr>
        <w:spacing w:after="0"/>
        <w:jc w:val="right"/>
        <w:rPr>
          <w:sz w:val="24"/>
        </w:rPr>
        <w:sectPr>
          <w:headerReference w:type="default" r:id="rId16"/>
          <w:headerReference w:type="even" r:id="rId17"/>
          <w:pgSz w:w="11910" w:h="16840"/>
          <w:pgMar w:header="0" w:footer="0" w:top="3680" w:bottom="280" w:left="620" w:right="380"/>
        </w:sectPr>
      </w:pPr>
    </w:p>
    <w:p>
      <w:pPr>
        <w:pStyle w:val="BodyText"/>
        <w:rPr>
          <w:b/>
        </w:rPr>
      </w:pPr>
    </w:p>
    <w:p>
      <w:pPr>
        <w:pStyle w:val="BodyText"/>
        <w:rPr>
          <w:b/>
        </w:rPr>
      </w:pPr>
    </w:p>
    <w:p>
      <w:pPr>
        <w:pStyle w:val="BodyText"/>
        <w:spacing w:before="10"/>
        <w:rPr>
          <w:b/>
          <w:sz w:val="23"/>
        </w:rPr>
      </w:pPr>
    </w:p>
    <w:p>
      <w:pPr>
        <w:spacing w:line="758" w:lineRule="exact" w:before="0"/>
        <w:ind w:left="230" w:right="0" w:firstLine="0"/>
        <w:jc w:val="left"/>
        <w:rPr>
          <w:rFonts w:ascii="Raleway ExtraBold"/>
          <w:b/>
          <w:sz w:val="56"/>
        </w:rPr>
      </w:pPr>
      <w:bookmarkStart w:name="Glossary" w:id="6"/>
      <w:bookmarkEnd w:id="6"/>
      <w:r>
        <w:rPr/>
      </w:r>
      <w:bookmarkStart w:name="_bookmark2" w:id="7"/>
      <w:bookmarkEnd w:id="7"/>
      <w:r>
        <w:rPr/>
      </w:r>
      <w:r>
        <w:rPr>
          <w:rFonts w:ascii="Raleway ExtraBold"/>
          <w:b/>
          <w:color w:val="37617A"/>
          <w:sz w:val="56"/>
        </w:rPr>
        <w:t>Glossary</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2" w:after="1"/>
        <w:rPr>
          <w:rFonts w:ascii="Raleway ExtraBold"/>
          <w:b/>
          <w:sz w:val="23"/>
        </w:rPr>
      </w:pPr>
    </w:p>
    <w:tbl>
      <w:tblPr>
        <w:tblW w:w="0" w:type="auto"/>
        <w:jc w:val="left"/>
        <w:tblInd w:w="996" w:type="dxa"/>
        <w:tblBorders>
          <w:top w:val="single" w:sz="4" w:space="0" w:color="37617A"/>
          <w:left w:val="single" w:sz="4" w:space="0" w:color="37617A"/>
          <w:bottom w:val="single" w:sz="4" w:space="0" w:color="37617A"/>
          <w:right w:val="single" w:sz="4" w:space="0" w:color="37617A"/>
          <w:insideH w:val="single" w:sz="4" w:space="0" w:color="37617A"/>
          <w:insideV w:val="single" w:sz="4" w:space="0" w:color="37617A"/>
        </w:tblBorders>
        <w:tblLayout w:type="fixed"/>
        <w:tblCellMar>
          <w:top w:w="0" w:type="dxa"/>
          <w:left w:w="0" w:type="dxa"/>
          <w:bottom w:w="0" w:type="dxa"/>
          <w:right w:w="0" w:type="dxa"/>
        </w:tblCellMar>
        <w:tblLook w:val="01E0"/>
      </w:tblPr>
      <w:tblGrid>
        <w:gridCol w:w="2546"/>
        <w:gridCol w:w="6179"/>
      </w:tblGrid>
      <w:tr>
        <w:trPr>
          <w:trHeight w:val="644" w:hRule="atLeast"/>
        </w:trPr>
        <w:tc>
          <w:tcPr>
            <w:tcW w:w="2546" w:type="dxa"/>
          </w:tcPr>
          <w:p>
            <w:pPr>
              <w:pStyle w:val="TableParagraph"/>
              <w:spacing w:before="65"/>
              <w:rPr>
                <w:b/>
                <w:sz w:val="20"/>
              </w:rPr>
            </w:pPr>
            <w:r>
              <w:rPr>
                <w:b/>
                <w:sz w:val="20"/>
              </w:rPr>
              <w:t>Accused</w:t>
            </w:r>
          </w:p>
        </w:tc>
        <w:tc>
          <w:tcPr>
            <w:tcW w:w="6179" w:type="dxa"/>
          </w:tcPr>
          <w:p>
            <w:pPr>
              <w:pStyle w:val="TableParagraph"/>
              <w:spacing w:line="206" w:lineRule="auto" w:before="98"/>
              <w:ind w:right="269"/>
              <w:rPr>
                <w:sz w:val="20"/>
              </w:rPr>
            </w:pPr>
            <w:r>
              <w:rPr>
                <w:sz w:val="20"/>
              </w:rPr>
              <w:t>A person charged with a crime is called an accused in the Supreme and County Courts.</w:t>
            </w:r>
          </w:p>
        </w:tc>
      </w:tr>
      <w:tr>
        <w:trPr>
          <w:trHeight w:val="644" w:hRule="atLeast"/>
        </w:trPr>
        <w:tc>
          <w:tcPr>
            <w:tcW w:w="2546" w:type="dxa"/>
          </w:tcPr>
          <w:p>
            <w:pPr>
              <w:pStyle w:val="TableParagraph"/>
              <w:spacing w:before="65"/>
              <w:rPr>
                <w:b/>
                <w:sz w:val="20"/>
              </w:rPr>
            </w:pPr>
            <w:r>
              <w:rPr>
                <w:b/>
                <w:sz w:val="20"/>
              </w:rPr>
              <w:t>Affirmation</w:t>
            </w:r>
          </w:p>
        </w:tc>
        <w:tc>
          <w:tcPr>
            <w:tcW w:w="6179" w:type="dxa"/>
          </w:tcPr>
          <w:p>
            <w:pPr>
              <w:pStyle w:val="TableParagraph"/>
              <w:spacing w:line="206" w:lineRule="auto" w:before="98"/>
              <w:ind w:right="269"/>
              <w:rPr>
                <w:sz w:val="20"/>
              </w:rPr>
            </w:pPr>
            <w:r>
              <w:rPr>
                <w:sz w:val="20"/>
              </w:rPr>
              <w:t>A secular verbal, solemn and formal declaration that can be made rather than taking an </w:t>
            </w:r>
            <w:r>
              <w:rPr>
                <w:b/>
                <w:sz w:val="20"/>
              </w:rPr>
              <w:t>oath</w:t>
            </w:r>
            <w:r>
              <w:rPr>
                <w:sz w:val="20"/>
              </w:rPr>
              <w:t>.</w:t>
            </w:r>
          </w:p>
        </w:tc>
      </w:tr>
      <w:tr>
        <w:trPr>
          <w:trHeight w:val="644" w:hRule="atLeast"/>
        </w:trPr>
        <w:tc>
          <w:tcPr>
            <w:tcW w:w="2546" w:type="dxa"/>
          </w:tcPr>
          <w:p>
            <w:pPr>
              <w:pStyle w:val="TableParagraph"/>
              <w:spacing w:before="65"/>
              <w:rPr>
                <w:b/>
                <w:sz w:val="20"/>
              </w:rPr>
            </w:pPr>
            <w:r>
              <w:rPr>
                <w:b/>
                <w:sz w:val="20"/>
              </w:rPr>
              <w:t>Audio description</w:t>
            </w:r>
          </w:p>
        </w:tc>
        <w:tc>
          <w:tcPr>
            <w:tcW w:w="6179" w:type="dxa"/>
          </w:tcPr>
          <w:p>
            <w:pPr>
              <w:pStyle w:val="TableParagraph"/>
              <w:spacing w:line="206" w:lineRule="auto" w:before="98"/>
              <w:ind w:right="269"/>
              <w:rPr>
                <w:sz w:val="20"/>
              </w:rPr>
            </w:pPr>
            <w:r>
              <w:rPr>
                <w:sz w:val="20"/>
              </w:rPr>
              <w:t>A form of narration used to provide information about visual images for people who are blind or have low vision.</w:t>
            </w:r>
          </w:p>
        </w:tc>
      </w:tr>
      <w:tr>
        <w:trPr>
          <w:trHeight w:val="1124" w:hRule="atLeast"/>
        </w:trPr>
        <w:tc>
          <w:tcPr>
            <w:tcW w:w="2546" w:type="dxa"/>
          </w:tcPr>
          <w:p>
            <w:pPr>
              <w:pStyle w:val="TableParagraph"/>
              <w:spacing w:line="206" w:lineRule="auto" w:before="98"/>
              <w:ind w:right="192"/>
              <w:rPr>
                <w:b/>
                <w:sz w:val="20"/>
              </w:rPr>
            </w:pPr>
            <w:r>
              <w:rPr>
                <w:b/>
                <w:sz w:val="20"/>
              </w:rPr>
              <w:t>Auslan (Australian Sign Language)</w:t>
            </w:r>
          </w:p>
        </w:tc>
        <w:tc>
          <w:tcPr>
            <w:tcW w:w="6179" w:type="dxa"/>
          </w:tcPr>
          <w:p>
            <w:pPr>
              <w:pStyle w:val="TableParagraph"/>
              <w:spacing w:line="206" w:lineRule="auto" w:before="98"/>
              <w:ind w:right="269"/>
              <w:rPr>
                <w:sz w:val="11"/>
              </w:rPr>
            </w:pPr>
            <w:r>
              <w:rPr>
                <w:sz w:val="20"/>
              </w:rPr>
              <w:t>A language developed by, and for, Australians who are deaf or hard of hearing. It is composed of precise hand shapes, facial expressions, and body movements, with its own syntax and grammar.</w:t>
            </w:r>
            <w:r>
              <w:rPr>
                <w:position w:val="7"/>
                <w:sz w:val="11"/>
              </w:rPr>
              <w:t>1</w:t>
            </w:r>
          </w:p>
        </w:tc>
      </w:tr>
      <w:tr>
        <w:trPr>
          <w:trHeight w:val="884" w:hRule="atLeast"/>
        </w:trPr>
        <w:tc>
          <w:tcPr>
            <w:tcW w:w="2546" w:type="dxa"/>
          </w:tcPr>
          <w:p>
            <w:pPr>
              <w:pStyle w:val="TableParagraph"/>
              <w:spacing w:before="65"/>
              <w:rPr>
                <w:b/>
                <w:sz w:val="20"/>
              </w:rPr>
            </w:pPr>
            <w:r>
              <w:rPr>
                <w:b/>
                <w:sz w:val="20"/>
              </w:rPr>
              <w:t>Auslan interpreter</w:t>
            </w:r>
          </w:p>
        </w:tc>
        <w:tc>
          <w:tcPr>
            <w:tcW w:w="6179" w:type="dxa"/>
          </w:tcPr>
          <w:p>
            <w:pPr>
              <w:pStyle w:val="TableParagraph"/>
              <w:spacing w:line="206" w:lineRule="auto" w:before="98"/>
              <w:rPr>
                <w:sz w:val="20"/>
              </w:rPr>
            </w:pPr>
            <w:r>
              <w:rPr>
                <w:sz w:val="20"/>
              </w:rPr>
              <w:t>An interpreter who translates spoken and written English into </w:t>
            </w:r>
            <w:r>
              <w:rPr>
                <w:b/>
                <w:sz w:val="20"/>
              </w:rPr>
              <w:t>Auslan </w:t>
            </w:r>
            <w:r>
              <w:rPr>
                <w:sz w:val="20"/>
              </w:rPr>
              <w:t>and vice versa. They abide by a strict code of ethics and are obliged to respect confidentiality.</w:t>
            </w:r>
          </w:p>
        </w:tc>
      </w:tr>
      <w:tr>
        <w:trPr>
          <w:trHeight w:val="644" w:hRule="atLeast"/>
        </w:trPr>
        <w:tc>
          <w:tcPr>
            <w:tcW w:w="2546" w:type="dxa"/>
          </w:tcPr>
          <w:p>
            <w:pPr>
              <w:pStyle w:val="TableParagraph"/>
              <w:spacing w:before="65"/>
              <w:rPr>
                <w:b/>
                <w:sz w:val="20"/>
              </w:rPr>
            </w:pPr>
            <w:r>
              <w:rPr>
                <w:b/>
                <w:sz w:val="20"/>
              </w:rPr>
              <w:t>Ballot/random ballot</w:t>
            </w:r>
          </w:p>
        </w:tc>
        <w:tc>
          <w:tcPr>
            <w:tcW w:w="6179" w:type="dxa"/>
          </w:tcPr>
          <w:p>
            <w:pPr>
              <w:pStyle w:val="TableParagraph"/>
              <w:spacing w:line="259" w:lineRule="exact" w:before="65"/>
              <w:rPr>
                <w:sz w:val="20"/>
              </w:rPr>
            </w:pPr>
            <w:r>
              <w:rPr>
                <w:sz w:val="20"/>
              </w:rPr>
              <w:t>The random selection of prospective </w:t>
            </w:r>
            <w:r>
              <w:rPr>
                <w:b/>
                <w:sz w:val="20"/>
              </w:rPr>
              <w:t>jurors </w:t>
            </w:r>
            <w:r>
              <w:rPr>
                <w:sz w:val="20"/>
              </w:rPr>
              <w:t>by drawing cards</w:t>
            </w:r>
          </w:p>
          <w:p>
            <w:pPr>
              <w:pStyle w:val="TableParagraph"/>
              <w:spacing w:line="259" w:lineRule="exact" w:before="0"/>
              <w:rPr>
                <w:sz w:val="20"/>
              </w:rPr>
            </w:pPr>
            <w:r>
              <w:rPr>
                <w:sz w:val="20"/>
              </w:rPr>
              <w:t>out of a box. Prospective jurors are usually identified by number.</w:t>
            </w:r>
          </w:p>
        </w:tc>
      </w:tr>
      <w:tr>
        <w:trPr>
          <w:trHeight w:val="644" w:hRule="atLeast"/>
        </w:trPr>
        <w:tc>
          <w:tcPr>
            <w:tcW w:w="2546" w:type="dxa"/>
          </w:tcPr>
          <w:p>
            <w:pPr>
              <w:pStyle w:val="TableParagraph"/>
              <w:spacing w:before="65"/>
              <w:rPr>
                <w:b/>
                <w:sz w:val="20"/>
              </w:rPr>
            </w:pPr>
            <w:r>
              <w:rPr>
                <w:b/>
                <w:sz w:val="20"/>
              </w:rPr>
              <w:t>Braille</w:t>
            </w:r>
          </w:p>
        </w:tc>
        <w:tc>
          <w:tcPr>
            <w:tcW w:w="6179" w:type="dxa"/>
          </w:tcPr>
          <w:p>
            <w:pPr>
              <w:pStyle w:val="TableParagraph"/>
              <w:spacing w:line="259" w:lineRule="exact" w:before="65"/>
              <w:rPr>
                <w:sz w:val="20"/>
              </w:rPr>
            </w:pPr>
            <w:r>
              <w:rPr>
                <w:sz w:val="20"/>
              </w:rPr>
              <w:t>A form of written language for people who are blind,</w:t>
            </w:r>
          </w:p>
          <w:p>
            <w:pPr>
              <w:pStyle w:val="TableParagraph"/>
              <w:spacing w:line="259" w:lineRule="exact" w:before="0"/>
              <w:rPr>
                <w:sz w:val="20"/>
              </w:rPr>
            </w:pPr>
            <w:r>
              <w:rPr>
                <w:sz w:val="20"/>
              </w:rPr>
              <w:t>characterised by raised dots that can be felt with the fingertips.</w:t>
            </w:r>
          </w:p>
        </w:tc>
      </w:tr>
      <w:tr>
        <w:trPr>
          <w:trHeight w:val="644" w:hRule="atLeast"/>
        </w:trPr>
        <w:tc>
          <w:tcPr>
            <w:tcW w:w="2546" w:type="dxa"/>
          </w:tcPr>
          <w:p>
            <w:pPr>
              <w:pStyle w:val="TableParagraph"/>
              <w:spacing w:before="65"/>
              <w:rPr>
                <w:b/>
                <w:sz w:val="20"/>
              </w:rPr>
            </w:pPr>
            <w:r>
              <w:rPr>
                <w:b/>
                <w:sz w:val="20"/>
              </w:rPr>
              <w:t>Chambers</w:t>
            </w:r>
          </w:p>
        </w:tc>
        <w:tc>
          <w:tcPr>
            <w:tcW w:w="6179" w:type="dxa"/>
          </w:tcPr>
          <w:p>
            <w:pPr>
              <w:pStyle w:val="TableParagraph"/>
              <w:spacing w:line="259" w:lineRule="exact" w:before="65"/>
              <w:rPr>
                <w:sz w:val="20"/>
              </w:rPr>
            </w:pPr>
            <w:r>
              <w:rPr>
                <w:sz w:val="20"/>
              </w:rPr>
              <w:t>A judge’s official office, often staffed by people assisting the</w:t>
            </w:r>
          </w:p>
          <w:p>
            <w:pPr>
              <w:pStyle w:val="TableParagraph"/>
              <w:spacing w:line="259" w:lineRule="exact" w:before="0"/>
              <w:rPr>
                <w:b/>
                <w:sz w:val="20"/>
              </w:rPr>
            </w:pPr>
            <w:r>
              <w:rPr>
                <w:sz w:val="20"/>
              </w:rPr>
              <w:t>judge, including the </w:t>
            </w:r>
            <w:r>
              <w:rPr>
                <w:b/>
                <w:sz w:val="20"/>
              </w:rPr>
              <w:t>Judge’s Associate.</w:t>
            </w:r>
          </w:p>
        </w:tc>
      </w:tr>
      <w:tr>
        <w:trPr>
          <w:trHeight w:val="884" w:hRule="atLeast"/>
        </w:trPr>
        <w:tc>
          <w:tcPr>
            <w:tcW w:w="2546" w:type="dxa"/>
          </w:tcPr>
          <w:p>
            <w:pPr>
              <w:pStyle w:val="TableParagraph"/>
              <w:spacing w:before="65"/>
              <w:rPr>
                <w:b/>
                <w:sz w:val="20"/>
              </w:rPr>
            </w:pPr>
            <w:r>
              <w:rPr>
                <w:b/>
                <w:sz w:val="20"/>
              </w:rPr>
              <w:t>Crown prosecutor</w:t>
            </w:r>
          </w:p>
        </w:tc>
        <w:tc>
          <w:tcPr>
            <w:tcW w:w="6179" w:type="dxa"/>
          </w:tcPr>
          <w:p>
            <w:pPr>
              <w:pStyle w:val="TableParagraph"/>
              <w:spacing w:line="206" w:lineRule="auto" w:before="98"/>
              <w:ind w:right="269"/>
              <w:rPr>
                <w:sz w:val="20"/>
              </w:rPr>
            </w:pPr>
            <w:r>
              <w:rPr>
                <w:sz w:val="20"/>
              </w:rPr>
              <w:t>A representative of the Victorian or Director of Public Prosecutions (Cth) responsible for prosecuting indictable offences.</w:t>
            </w:r>
          </w:p>
        </w:tc>
      </w:tr>
      <w:tr>
        <w:trPr>
          <w:trHeight w:val="1364" w:hRule="atLeast"/>
        </w:trPr>
        <w:tc>
          <w:tcPr>
            <w:tcW w:w="2546" w:type="dxa"/>
          </w:tcPr>
          <w:p>
            <w:pPr>
              <w:pStyle w:val="TableParagraph"/>
              <w:spacing w:before="65"/>
              <w:rPr>
                <w:b/>
                <w:sz w:val="20"/>
              </w:rPr>
            </w:pPr>
            <w:r>
              <w:rPr>
                <w:b/>
                <w:sz w:val="20"/>
              </w:rPr>
              <w:t>Demeanour evidence</w:t>
            </w:r>
          </w:p>
        </w:tc>
        <w:tc>
          <w:tcPr>
            <w:tcW w:w="6179" w:type="dxa"/>
          </w:tcPr>
          <w:p>
            <w:pPr>
              <w:pStyle w:val="TableParagraph"/>
              <w:spacing w:line="206" w:lineRule="auto" w:before="98"/>
              <w:rPr>
                <w:sz w:val="20"/>
              </w:rPr>
            </w:pPr>
            <w:r>
              <w:rPr>
                <w:sz w:val="20"/>
              </w:rPr>
              <w:t>The outward physical behaviour and appearance of a defendant or witness. Demeanour is not merely what someone says</w:t>
            </w:r>
          </w:p>
          <w:p>
            <w:pPr>
              <w:pStyle w:val="TableParagraph"/>
              <w:spacing w:line="206" w:lineRule="auto" w:before="2"/>
              <w:ind w:right="283"/>
              <w:rPr>
                <w:sz w:val="20"/>
              </w:rPr>
            </w:pPr>
            <w:r>
              <w:rPr>
                <w:sz w:val="20"/>
              </w:rPr>
              <w:t>but the way it is said. Factors that contribute to an individual’s demeanour include tone of voice, facial expressions, gestures, and carriage.</w:t>
            </w:r>
          </w:p>
        </w:tc>
      </w:tr>
      <w:tr>
        <w:trPr>
          <w:trHeight w:val="1124" w:hRule="atLeast"/>
        </w:trPr>
        <w:tc>
          <w:tcPr>
            <w:tcW w:w="2546" w:type="dxa"/>
          </w:tcPr>
          <w:p>
            <w:pPr>
              <w:pStyle w:val="TableParagraph"/>
              <w:spacing w:line="206" w:lineRule="auto" w:before="98"/>
              <w:ind w:right="435"/>
              <w:rPr>
                <w:b/>
                <w:sz w:val="20"/>
              </w:rPr>
            </w:pPr>
            <w:r>
              <w:rPr>
                <w:b/>
                <w:sz w:val="20"/>
              </w:rPr>
              <w:t>Disability awareness training</w:t>
            </w:r>
          </w:p>
        </w:tc>
        <w:tc>
          <w:tcPr>
            <w:tcW w:w="6179" w:type="dxa"/>
          </w:tcPr>
          <w:p>
            <w:pPr>
              <w:pStyle w:val="TableParagraph"/>
              <w:spacing w:line="206" w:lineRule="auto" w:before="98"/>
              <w:ind w:right="46"/>
              <w:rPr>
                <w:sz w:val="11"/>
              </w:rPr>
            </w:pPr>
            <w:r>
              <w:rPr>
                <w:sz w:val="20"/>
              </w:rPr>
              <w:t>Training that seeks to challenge ingrained cultural and attitudinal barriers which perpetuate discrimination, and to provide participants with a general overview of the legislative framework that supports the inclusion of people with disability in Australia.</w:t>
            </w:r>
            <w:r>
              <w:rPr>
                <w:position w:val="7"/>
                <w:sz w:val="11"/>
              </w:rPr>
              <w:t>2</w:t>
            </w:r>
          </w:p>
        </w:tc>
      </w:tr>
    </w:tbl>
    <w:p>
      <w:pPr>
        <w:pStyle w:val="BodyText"/>
        <w:rPr>
          <w:rFonts w:ascii="Raleway ExtraBold"/>
          <w:b/>
        </w:rPr>
      </w:pPr>
    </w:p>
    <w:p>
      <w:pPr>
        <w:pStyle w:val="BodyText"/>
        <w:spacing w:before="11"/>
        <w:rPr>
          <w:rFonts w:ascii="Raleway ExtraBold"/>
          <w:b/>
          <w:sz w:val="13"/>
        </w:rPr>
      </w:pPr>
      <w:r>
        <w:rPr/>
        <w:pict>
          <v:line style="position:absolute;mso-position-horizontal-relative:page;mso-position-vertical-relative:paragraph;z-index:-832;mso-wrap-distance-left:0;mso-wrap-distance-right:0" from="80.314903pt,12.0472pt" to="516.849903pt,12.0472pt" stroked="true" strokeweight="1pt" strokecolor="#b6bdc8">
            <v:stroke dashstyle="solid"/>
            <w10:wrap type="topAndBottom"/>
          </v:line>
        </w:pict>
      </w:r>
    </w:p>
    <w:p>
      <w:pPr>
        <w:pStyle w:val="BodyText"/>
        <w:rPr>
          <w:rFonts w:ascii="Raleway ExtraBold"/>
          <w:b/>
          <w:sz w:val="5"/>
        </w:rPr>
      </w:pPr>
    </w:p>
    <w:p>
      <w:pPr>
        <w:spacing w:after="0"/>
        <w:rPr>
          <w:rFonts w:ascii="Raleway ExtraBold"/>
          <w:sz w:val="5"/>
        </w:rPr>
        <w:sectPr>
          <w:pgSz w:w="11910" w:h="16840"/>
          <w:pgMar w:header="567" w:footer="0" w:top="860" w:bottom="280" w:left="620" w:right="380"/>
        </w:sectPr>
      </w:pPr>
    </w:p>
    <w:p>
      <w:pPr>
        <w:pStyle w:val="BodyText"/>
        <w:spacing w:before="13"/>
        <w:rPr>
          <w:rFonts w:ascii="Raleway ExtraBold"/>
          <w:b/>
          <w:sz w:val="26"/>
        </w:rPr>
      </w:pPr>
      <w:r>
        <w:rPr/>
        <w:pict>
          <v:rect style="position:absolute;margin-left:0pt;margin-top:99.213013pt;width:14.173pt;height:85.748pt;mso-position-horizontal-relative:page;mso-position-vertical-relative:page;z-index:1240" filled="true" fillcolor="#37617a" stroked="false">
            <v:fill type="solid"/>
            <w10:wrap type="none"/>
          </v:rect>
        </w:pict>
      </w:r>
    </w:p>
    <w:p>
      <w:pPr>
        <w:spacing w:before="0"/>
        <w:ind w:left="100" w:right="0" w:firstLine="0"/>
        <w:jc w:val="left"/>
        <w:rPr>
          <w:b/>
          <w:sz w:val="24"/>
        </w:rPr>
      </w:pPr>
      <w:r>
        <w:rPr>
          <w:b/>
          <w:color w:val="37617A"/>
          <w:sz w:val="24"/>
        </w:rPr>
        <w:t>xiv</w:t>
      </w:r>
    </w:p>
    <w:p>
      <w:pPr>
        <w:pStyle w:val="ListParagraph"/>
        <w:numPr>
          <w:ilvl w:val="0"/>
          <w:numId w:val="3"/>
        </w:numPr>
        <w:tabs>
          <w:tab w:pos="893" w:val="left" w:leader="none"/>
          <w:tab w:pos="894" w:val="left" w:leader="none"/>
        </w:tabs>
        <w:spacing w:line="213" w:lineRule="auto" w:before="38" w:after="0"/>
        <w:ind w:left="893" w:right="1455" w:hanging="793"/>
        <w:jc w:val="left"/>
        <w:rPr>
          <w:sz w:val="13"/>
        </w:rPr>
      </w:pPr>
      <w:r>
        <w:rPr>
          <w:spacing w:val="3"/>
          <w:w w:val="101"/>
          <w:sz w:val="13"/>
        </w:rPr>
        <w:br w:type="column"/>
      </w:r>
      <w:r>
        <w:rPr>
          <w:sz w:val="13"/>
        </w:rPr>
        <w:t>Judicial College of Victoria, </w:t>
      </w:r>
      <w:r>
        <w:rPr>
          <w:i/>
          <w:sz w:val="13"/>
        </w:rPr>
        <w:t>Disability Access Bench Book </w:t>
      </w:r>
      <w:r>
        <w:rPr>
          <w:sz w:val="13"/>
        </w:rPr>
        <w:t>(Online Manual, 2016) 10, </w:t>
      </w:r>
      <w:r>
        <w:rPr>
          <w:spacing w:val="2"/>
          <w:sz w:val="13"/>
        </w:rPr>
        <w:t>Glossary </w:t>
      </w:r>
      <w:r>
        <w:rPr>
          <w:sz w:val="13"/>
        </w:rPr>
        <w:t>&lt;</w:t>
      </w:r>
      <w:hyperlink r:id="rId18">
        <w:r>
          <w:rPr>
            <w:sz w:val="13"/>
          </w:rPr>
          <w:t>https://www.judicialcollege.vic.</w:t>
        </w:r>
      </w:hyperlink>
      <w:hyperlink r:id="rId18">
        <w:r>
          <w:rPr>
            <w:sz w:val="13"/>
          </w:rPr>
          <w:t> edu.au/eManuals/DABB/index.htm#59523.htm</w:t>
        </w:r>
      </w:hyperlink>
      <w:r>
        <w:rPr>
          <w:sz w:val="13"/>
        </w:rPr>
        <w:t>&gt;.</w:t>
      </w:r>
    </w:p>
    <w:p>
      <w:pPr>
        <w:pStyle w:val="ListParagraph"/>
        <w:numPr>
          <w:ilvl w:val="0"/>
          <w:numId w:val="3"/>
        </w:numPr>
        <w:tabs>
          <w:tab w:pos="893" w:val="left" w:leader="none"/>
          <w:tab w:pos="894" w:val="left" w:leader="none"/>
        </w:tabs>
        <w:spacing w:line="213" w:lineRule="auto" w:before="0" w:after="0"/>
        <w:ind w:left="893" w:right="1875" w:hanging="793"/>
        <w:jc w:val="left"/>
        <w:rPr>
          <w:sz w:val="13"/>
        </w:rPr>
      </w:pPr>
      <w:r>
        <w:rPr>
          <w:sz w:val="13"/>
        </w:rPr>
        <w:t>‘Introduction to </w:t>
      </w:r>
      <w:r>
        <w:rPr>
          <w:spacing w:val="2"/>
          <w:sz w:val="13"/>
        </w:rPr>
        <w:t>Disability </w:t>
      </w:r>
      <w:r>
        <w:rPr>
          <w:sz w:val="13"/>
        </w:rPr>
        <w:t>Awareness’, </w:t>
      </w:r>
      <w:r>
        <w:rPr>
          <w:i/>
          <w:sz w:val="13"/>
        </w:rPr>
        <w:t>Disability Awareness </w:t>
      </w:r>
      <w:r>
        <w:rPr>
          <w:sz w:val="13"/>
        </w:rPr>
        <w:t>(Web Page) &lt;</w:t>
      </w:r>
      <w:hyperlink r:id="rId19">
        <w:r>
          <w:rPr>
            <w:sz w:val="13"/>
          </w:rPr>
          <w:t>https://disabilityawareness.com.au/courses/</w:t>
        </w:r>
      </w:hyperlink>
      <w:hyperlink r:id="rId19">
        <w:r>
          <w:rPr>
            <w:sz w:val="13"/>
          </w:rPr>
          <w:t> introduction-to-disability-awareness/</w:t>
        </w:r>
      </w:hyperlink>
      <w:r>
        <w:rPr>
          <w:sz w:val="13"/>
        </w:rPr>
        <w:t>&gt;.</w:t>
      </w:r>
    </w:p>
    <w:p>
      <w:pPr>
        <w:spacing w:after="0" w:line="213" w:lineRule="auto"/>
        <w:jc w:val="left"/>
        <w:rPr>
          <w:sz w:val="13"/>
        </w:rPr>
        <w:sectPr>
          <w:type w:val="continuous"/>
          <w:pgSz w:w="11910" w:h="16840"/>
          <w:pgMar w:top="620" w:bottom="280" w:left="620" w:right="380"/>
          <w:cols w:num="2" w:equalWidth="0">
            <w:col w:w="458" w:space="429"/>
            <w:col w:w="10023"/>
          </w:cols>
        </w:sectPr>
      </w:pPr>
    </w:p>
    <w:p>
      <w:pPr>
        <w:pStyle w:val="BodyText"/>
      </w:pPr>
    </w:p>
    <w:p>
      <w:pPr>
        <w:pStyle w:val="BodyText"/>
      </w:pPr>
    </w:p>
    <w:p>
      <w:pPr>
        <w:pStyle w:val="BodyText"/>
      </w:pPr>
    </w:p>
    <w:p>
      <w:pPr>
        <w:pStyle w:val="BodyText"/>
        <w:spacing w:before="9"/>
        <w:rPr>
          <w:sz w:val="21"/>
        </w:rPr>
      </w:pPr>
    </w:p>
    <w:tbl>
      <w:tblPr>
        <w:tblW w:w="0" w:type="auto"/>
        <w:jc w:val="left"/>
        <w:tblInd w:w="977" w:type="dxa"/>
        <w:tblBorders>
          <w:top w:val="single" w:sz="4" w:space="0" w:color="37617A"/>
          <w:left w:val="single" w:sz="4" w:space="0" w:color="37617A"/>
          <w:bottom w:val="single" w:sz="4" w:space="0" w:color="37617A"/>
          <w:right w:val="single" w:sz="4" w:space="0" w:color="37617A"/>
          <w:insideH w:val="single" w:sz="4" w:space="0" w:color="37617A"/>
          <w:insideV w:val="single" w:sz="4" w:space="0" w:color="37617A"/>
        </w:tblBorders>
        <w:tblLayout w:type="fixed"/>
        <w:tblCellMar>
          <w:top w:w="0" w:type="dxa"/>
          <w:left w:w="0" w:type="dxa"/>
          <w:bottom w:w="0" w:type="dxa"/>
          <w:right w:w="0" w:type="dxa"/>
        </w:tblCellMar>
        <w:tblLook w:val="01E0"/>
      </w:tblPr>
      <w:tblGrid>
        <w:gridCol w:w="2546"/>
        <w:gridCol w:w="6179"/>
      </w:tblGrid>
      <w:tr>
        <w:trPr>
          <w:trHeight w:val="404" w:hRule="atLeast"/>
        </w:trPr>
        <w:tc>
          <w:tcPr>
            <w:tcW w:w="2546" w:type="dxa"/>
          </w:tcPr>
          <w:p>
            <w:pPr>
              <w:pStyle w:val="TableParagraph"/>
              <w:spacing w:before="65"/>
              <w:rPr>
                <w:b/>
                <w:sz w:val="20"/>
              </w:rPr>
            </w:pPr>
            <w:r>
              <w:rPr>
                <w:b/>
                <w:sz w:val="20"/>
              </w:rPr>
              <w:t>Discharge a juror</w:t>
            </w:r>
          </w:p>
        </w:tc>
        <w:tc>
          <w:tcPr>
            <w:tcW w:w="6179" w:type="dxa"/>
          </w:tcPr>
          <w:p>
            <w:pPr>
              <w:pStyle w:val="TableParagraph"/>
              <w:spacing w:before="65"/>
              <w:rPr>
                <w:sz w:val="20"/>
              </w:rPr>
            </w:pPr>
            <w:r>
              <w:rPr>
                <w:sz w:val="20"/>
              </w:rPr>
              <w:t>To release a </w:t>
            </w:r>
            <w:r>
              <w:rPr>
                <w:b/>
                <w:sz w:val="20"/>
              </w:rPr>
              <w:t>juror </w:t>
            </w:r>
            <w:r>
              <w:rPr>
                <w:sz w:val="20"/>
              </w:rPr>
              <w:t>from the </w:t>
            </w:r>
            <w:r>
              <w:rPr>
                <w:b/>
                <w:sz w:val="20"/>
              </w:rPr>
              <w:t>jury </w:t>
            </w:r>
            <w:r>
              <w:rPr>
                <w:sz w:val="20"/>
              </w:rPr>
              <w:t>after the jury has been sworn in.</w:t>
            </w:r>
          </w:p>
        </w:tc>
      </w:tr>
      <w:tr>
        <w:trPr>
          <w:trHeight w:val="644" w:hRule="atLeast"/>
        </w:trPr>
        <w:tc>
          <w:tcPr>
            <w:tcW w:w="2546" w:type="dxa"/>
          </w:tcPr>
          <w:p>
            <w:pPr>
              <w:pStyle w:val="TableParagraph"/>
              <w:spacing w:line="206" w:lineRule="auto" w:before="98"/>
              <w:ind w:right="783"/>
              <w:rPr>
                <w:b/>
                <w:sz w:val="20"/>
              </w:rPr>
            </w:pPr>
            <w:r>
              <w:rPr>
                <w:b/>
                <w:sz w:val="20"/>
              </w:rPr>
              <w:t>Discharge of jury summons</w:t>
            </w:r>
          </w:p>
        </w:tc>
        <w:tc>
          <w:tcPr>
            <w:tcW w:w="6179" w:type="dxa"/>
          </w:tcPr>
          <w:p>
            <w:pPr>
              <w:pStyle w:val="TableParagraph"/>
              <w:spacing w:line="206" w:lineRule="auto" w:before="98"/>
              <w:ind w:right="839"/>
              <w:rPr>
                <w:sz w:val="20"/>
              </w:rPr>
            </w:pPr>
            <w:r>
              <w:rPr>
                <w:sz w:val="20"/>
              </w:rPr>
              <w:t>To release a </w:t>
            </w:r>
            <w:r>
              <w:rPr>
                <w:b/>
                <w:sz w:val="20"/>
              </w:rPr>
              <w:t>juror </w:t>
            </w:r>
            <w:r>
              <w:rPr>
                <w:sz w:val="20"/>
              </w:rPr>
              <w:t>from their obligation to attend court in response to a summons.</w:t>
            </w:r>
          </w:p>
        </w:tc>
      </w:tr>
      <w:tr>
        <w:trPr>
          <w:trHeight w:val="644" w:hRule="atLeast"/>
        </w:trPr>
        <w:tc>
          <w:tcPr>
            <w:tcW w:w="2546" w:type="dxa"/>
          </w:tcPr>
          <w:p>
            <w:pPr>
              <w:pStyle w:val="TableParagraph"/>
              <w:spacing w:before="65"/>
              <w:rPr>
                <w:b/>
                <w:sz w:val="20"/>
              </w:rPr>
            </w:pPr>
            <w:r>
              <w:rPr>
                <w:b/>
                <w:sz w:val="20"/>
              </w:rPr>
              <w:t>Excuse</w:t>
            </w:r>
          </w:p>
        </w:tc>
        <w:tc>
          <w:tcPr>
            <w:tcW w:w="6179" w:type="dxa"/>
          </w:tcPr>
          <w:p>
            <w:pPr>
              <w:pStyle w:val="TableParagraph"/>
              <w:spacing w:line="206" w:lineRule="auto" w:before="98"/>
              <w:rPr>
                <w:sz w:val="20"/>
              </w:rPr>
            </w:pPr>
            <w:r>
              <w:rPr>
                <w:sz w:val="20"/>
              </w:rPr>
              <w:t>A reason for not being able to attend for </w:t>
            </w:r>
            <w:r>
              <w:rPr>
                <w:b/>
                <w:sz w:val="20"/>
              </w:rPr>
              <w:t>jury </w:t>
            </w:r>
            <w:r>
              <w:rPr>
                <w:sz w:val="20"/>
              </w:rPr>
              <w:t>service or to sit on the jury for a particular trial.</w:t>
            </w:r>
          </w:p>
        </w:tc>
      </w:tr>
      <w:tr>
        <w:trPr>
          <w:trHeight w:val="644" w:hRule="atLeast"/>
        </w:trPr>
        <w:tc>
          <w:tcPr>
            <w:tcW w:w="2546" w:type="dxa"/>
          </w:tcPr>
          <w:p>
            <w:pPr>
              <w:pStyle w:val="TableParagraph"/>
              <w:spacing w:before="65"/>
              <w:rPr>
                <w:b/>
                <w:sz w:val="20"/>
              </w:rPr>
            </w:pPr>
            <w:r>
              <w:rPr>
                <w:b/>
                <w:sz w:val="20"/>
              </w:rPr>
              <w:t>Foreperson</w:t>
            </w:r>
          </w:p>
        </w:tc>
        <w:tc>
          <w:tcPr>
            <w:tcW w:w="6179" w:type="dxa"/>
          </w:tcPr>
          <w:p>
            <w:pPr>
              <w:pStyle w:val="TableParagraph"/>
              <w:spacing w:line="206" w:lineRule="auto" w:before="98"/>
              <w:ind w:right="269"/>
              <w:rPr>
                <w:sz w:val="20"/>
              </w:rPr>
            </w:pPr>
            <w:r>
              <w:rPr>
                <w:sz w:val="20"/>
              </w:rPr>
              <w:t>A foreperson is selected by the </w:t>
            </w:r>
            <w:r>
              <w:rPr>
                <w:b/>
                <w:sz w:val="20"/>
              </w:rPr>
              <w:t>jury </w:t>
            </w:r>
            <w:r>
              <w:rPr>
                <w:sz w:val="20"/>
              </w:rPr>
              <w:t>to communicate between the jury and the judge and to announce the verdict.</w:t>
            </w:r>
          </w:p>
        </w:tc>
      </w:tr>
      <w:tr>
        <w:trPr>
          <w:trHeight w:val="1364" w:hRule="atLeast"/>
        </w:trPr>
        <w:tc>
          <w:tcPr>
            <w:tcW w:w="2546" w:type="dxa"/>
          </w:tcPr>
          <w:p>
            <w:pPr>
              <w:pStyle w:val="TableParagraph"/>
              <w:spacing w:before="65"/>
              <w:rPr>
                <w:b/>
                <w:sz w:val="20"/>
              </w:rPr>
            </w:pPr>
            <w:r>
              <w:rPr>
                <w:b/>
                <w:sz w:val="20"/>
              </w:rPr>
              <w:t>Hearing loop</w:t>
            </w:r>
          </w:p>
        </w:tc>
        <w:tc>
          <w:tcPr>
            <w:tcW w:w="6179" w:type="dxa"/>
          </w:tcPr>
          <w:p>
            <w:pPr>
              <w:pStyle w:val="TableParagraph"/>
              <w:spacing w:line="206" w:lineRule="auto" w:before="98"/>
              <w:ind w:right="416"/>
              <w:rPr>
                <w:sz w:val="20"/>
              </w:rPr>
            </w:pPr>
            <w:r>
              <w:rPr>
                <w:sz w:val="20"/>
              </w:rPr>
              <w:t>Sound technology that produces a magnetic wireless signal which is picked up by a hearing aid to deliver sound without background noise and distortion directly to a person’s ears. It is commonly used in public premises and buildings to assist people who are hard of hearing.</w:t>
            </w:r>
          </w:p>
        </w:tc>
      </w:tr>
      <w:tr>
        <w:trPr>
          <w:trHeight w:val="404" w:hRule="atLeast"/>
        </w:trPr>
        <w:tc>
          <w:tcPr>
            <w:tcW w:w="2546" w:type="dxa"/>
          </w:tcPr>
          <w:p>
            <w:pPr>
              <w:pStyle w:val="TableParagraph"/>
              <w:spacing w:before="65"/>
              <w:rPr>
                <w:b/>
                <w:sz w:val="20"/>
              </w:rPr>
            </w:pPr>
            <w:r>
              <w:rPr>
                <w:b/>
                <w:sz w:val="20"/>
              </w:rPr>
              <w:t>Impartiality</w:t>
            </w:r>
          </w:p>
        </w:tc>
        <w:tc>
          <w:tcPr>
            <w:tcW w:w="6179" w:type="dxa"/>
          </w:tcPr>
          <w:p>
            <w:pPr>
              <w:pStyle w:val="TableParagraph"/>
              <w:spacing w:before="65"/>
              <w:rPr>
                <w:sz w:val="20"/>
              </w:rPr>
            </w:pPr>
            <w:r>
              <w:rPr>
                <w:sz w:val="20"/>
              </w:rPr>
              <w:t>Without bias or prejudice.</w:t>
            </w:r>
          </w:p>
        </w:tc>
      </w:tr>
      <w:tr>
        <w:trPr>
          <w:trHeight w:val="884" w:hRule="atLeast"/>
        </w:trPr>
        <w:tc>
          <w:tcPr>
            <w:tcW w:w="2546" w:type="dxa"/>
          </w:tcPr>
          <w:p>
            <w:pPr>
              <w:pStyle w:val="TableParagraph"/>
              <w:spacing w:before="65"/>
              <w:rPr>
                <w:b/>
                <w:sz w:val="20"/>
              </w:rPr>
            </w:pPr>
            <w:r>
              <w:rPr>
                <w:b/>
                <w:sz w:val="20"/>
              </w:rPr>
              <w:t>Judge’s Associate</w:t>
            </w:r>
          </w:p>
        </w:tc>
        <w:tc>
          <w:tcPr>
            <w:tcW w:w="6179" w:type="dxa"/>
          </w:tcPr>
          <w:p>
            <w:pPr>
              <w:pStyle w:val="TableParagraph"/>
              <w:spacing w:line="206" w:lineRule="auto" w:before="98"/>
              <w:rPr>
                <w:sz w:val="20"/>
              </w:rPr>
            </w:pPr>
            <w:r>
              <w:rPr>
                <w:sz w:val="20"/>
              </w:rPr>
              <w:t>A person employed to assist the judge in court and in </w:t>
            </w:r>
            <w:r>
              <w:rPr>
                <w:b/>
                <w:sz w:val="20"/>
              </w:rPr>
              <w:t>chambers </w:t>
            </w:r>
            <w:r>
              <w:rPr>
                <w:sz w:val="20"/>
              </w:rPr>
              <w:t>on legal matters and with case management, by acting as an intermediary between parties and the judge.</w:t>
            </w:r>
          </w:p>
        </w:tc>
      </w:tr>
      <w:tr>
        <w:trPr>
          <w:trHeight w:val="404" w:hRule="atLeast"/>
        </w:trPr>
        <w:tc>
          <w:tcPr>
            <w:tcW w:w="2546" w:type="dxa"/>
          </w:tcPr>
          <w:p>
            <w:pPr>
              <w:pStyle w:val="TableParagraph"/>
              <w:spacing w:before="66"/>
              <w:rPr>
                <w:b/>
                <w:sz w:val="20"/>
              </w:rPr>
            </w:pPr>
            <w:r>
              <w:rPr>
                <w:b/>
                <w:sz w:val="20"/>
              </w:rPr>
              <w:t>Juries Victoria</w:t>
            </w:r>
          </w:p>
        </w:tc>
        <w:tc>
          <w:tcPr>
            <w:tcW w:w="6179" w:type="dxa"/>
          </w:tcPr>
          <w:p>
            <w:pPr>
              <w:pStyle w:val="TableParagraph"/>
              <w:spacing w:before="66"/>
              <w:rPr>
                <w:sz w:val="20"/>
              </w:rPr>
            </w:pPr>
            <w:r>
              <w:rPr>
                <w:sz w:val="20"/>
              </w:rPr>
              <w:t>The organisation responsible for </w:t>
            </w:r>
            <w:r>
              <w:rPr>
                <w:b/>
                <w:sz w:val="20"/>
              </w:rPr>
              <w:t>jury </w:t>
            </w:r>
            <w:r>
              <w:rPr>
                <w:sz w:val="20"/>
              </w:rPr>
              <w:t>administration in Victoria.</w:t>
            </w:r>
          </w:p>
        </w:tc>
      </w:tr>
      <w:tr>
        <w:trPr>
          <w:trHeight w:val="404" w:hRule="atLeast"/>
        </w:trPr>
        <w:tc>
          <w:tcPr>
            <w:tcW w:w="2546" w:type="dxa"/>
          </w:tcPr>
          <w:p>
            <w:pPr>
              <w:pStyle w:val="TableParagraph"/>
              <w:spacing w:before="66"/>
              <w:rPr>
                <w:b/>
                <w:sz w:val="20"/>
              </w:rPr>
            </w:pPr>
            <w:r>
              <w:rPr>
                <w:b/>
                <w:sz w:val="20"/>
              </w:rPr>
              <w:t>Juror</w:t>
            </w:r>
          </w:p>
        </w:tc>
        <w:tc>
          <w:tcPr>
            <w:tcW w:w="6179" w:type="dxa"/>
          </w:tcPr>
          <w:p>
            <w:pPr>
              <w:pStyle w:val="TableParagraph"/>
              <w:spacing w:before="66"/>
              <w:rPr>
                <w:sz w:val="20"/>
              </w:rPr>
            </w:pPr>
            <w:r>
              <w:rPr>
                <w:sz w:val="20"/>
              </w:rPr>
              <w:t>A member of the </w:t>
            </w:r>
            <w:r>
              <w:rPr>
                <w:b/>
                <w:sz w:val="20"/>
              </w:rPr>
              <w:t>jury</w:t>
            </w:r>
            <w:r>
              <w:rPr>
                <w:sz w:val="20"/>
              </w:rPr>
              <w:t>.</w:t>
            </w:r>
          </w:p>
        </w:tc>
      </w:tr>
      <w:tr>
        <w:trPr>
          <w:trHeight w:val="884" w:hRule="atLeast"/>
        </w:trPr>
        <w:tc>
          <w:tcPr>
            <w:tcW w:w="2546" w:type="dxa"/>
          </w:tcPr>
          <w:p>
            <w:pPr>
              <w:pStyle w:val="TableParagraph"/>
              <w:spacing w:before="66"/>
              <w:rPr>
                <w:b/>
                <w:sz w:val="20"/>
              </w:rPr>
            </w:pPr>
            <w:r>
              <w:rPr>
                <w:b/>
                <w:sz w:val="20"/>
              </w:rPr>
              <w:t>Jury</w:t>
            </w:r>
          </w:p>
        </w:tc>
        <w:tc>
          <w:tcPr>
            <w:tcW w:w="6179" w:type="dxa"/>
          </w:tcPr>
          <w:p>
            <w:pPr>
              <w:pStyle w:val="TableParagraph"/>
              <w:spacing w:line="206" w:lineRule="auto" w:before="98"/>
              <w:ind w:right="416"/>
              <w:rPr>
                <w:sz w:val="20"/>
              </w:rPr>
            </w:pPr>
            <w:r>
              <w:rPr>
                <w:sz w:val="20"/>
              </w:rPr>
              <w:t>A group of people from the community, selected as </w:t>
            </w:r>
            <w:r>
              <w:rPr>
                <w:b/>
                <w:sz w:val="20"/>
              </w:rPr>
              <w:t>jurors </w:t>
            </w:r>
            <w:r>
              <w:rPr>
                <w:sz w:val="20"/>
              </w:rPr>
              <w:t>to deliver verdicts. The </w:t>
            </w:r>
            <w:r>
              <w:rPr>
                <w:b/>
                <w:sz w:val="20"/>
              </w:rPr>
              <w:t>jury </w:t>
            </w:r>
            <w:r>
              <w:rPr>
                <w:sz w:val="20"/>
              </w:rPr>
              <w:t>is randomly selected from the jury </w:t>
            </w:r>
            <w:r>
              <w:rPr>
                <w:b/>
                <w:sz w:val="20"/>
              </w:rPr>
              <w:t>panel</w:t>
            </w:r>
            <w:r>
              <w:rPr>
                <w:sz w:val="20"/>
              </w:rPr>
              <w:t>.</w:t>
            </w:r>
          </w:p>
        </w:tc>
      </w:tr>
      <w:tr>
        <w:trPr>
          <w:trHeight w:val="644" w:hRule="atLeast"/>
        </w:trPr>
        <w:tc>
          <w:tcPr>
            <w:tcW w:w="2546" w:type="dxa"/>
          </w:tcPr>
          <w:p>
            <w:pPr>
              <w:pStyle w:val="TableParagraph"/>
              <w:spacing w:before="66"/>
              <w:rPr>
                <w:b/>
                <w:sz w:val="20"/>
              </w:rPr>
            </w:pPr>
            <w:r>
              <w:rPr>
                <w:b/>
                <w:sz w:val="20"/>
              </w:rPr>
              <w:t>Jury empanelment</w:t>
            </w:r>
          </w:p>
        </w:tc>
        <w:tc>
          <w:tcPr>
            <w:tcW w:w="6179" w:type="dxa"/>
          </w:tcPr>
          <w:p>
            <w:pPr>
              <w:pStyle w:val="TableParagraph"/>
              <w:spacing w:line="206" w:lineRule="auto" w:before="98"/>
              <w:ind w:right="269"/>
              <w:rPr>
                <w:sz w:val="20"/>
              </w:rPr>
            </w:pPr>
            <w:r>
              <w:rPr>
                <w:sz w:val="20"/>
              </w:rPr>
              <w:t>The process of selecting the </w:t>
            </w:r>
            <w:r>
              <w:rPr>
                <w:b/>
                <w:sz w:val="20"/>
              </w:rPr>
              <w:t>jury </w:t>
            </w:r>
            <w:r>
              <w:rPr>
                <w:sz w:val="20"/>
              </w:rPr>
              <w:t>for a trial from the </w:t>
            </w:r>
            <w:r>
              <w:rPr>
                <w:b/>
                <w:sz w:val="20"/>
              </w:rPr>
              <w:t>pool </w:t>
            </w:r>
            <w:r>
              <w:rPr>
                <w:sz w:val="20"/>
              </w:rPr>
              <w:t>of persons summonsed for jury duty.</w:t>
            </w:r>
          </w:p>
        </w:tc>
      </w:tr>
      <w:tr>
        <w:trPr>
          <w:trHeight w:val="1604" w:hRule="atLeast"/>
        </w:trPr>
        <w:tc>
          <w:tcPr>
            <w:tcW w:w="2546" w:type="dxa"/>
          </w:tcPr>
          <w:p>
            <w:pPr>
              <w:pStyle w:val="TableParagraph"/>
              <w:spacing w:before="66"/>
              <w:rPr>
                <w:b/>
                <w:sz w:val="20"/>
              </w:rPr>
            </w:pPr>
            <w:r>
              <w:rPr>
                <w:b/>
                <w:sz w:val="20"/>
              </w:rPr>
              <w:t>Jurykeeper</w:t>
            </w:r>
          </w:p>
        </w:tc>
        <w:tc>
          <w:tcPr>
            <w:tcW w:w="6179" w:type="dxa"/>
          </w:tcPr>
          <w:p>
            <w:pPr>
              <w:pStyle w:val="TableParagraph"/>
              <w:spacing w:line="206" w:lineRule="auto" w:before="98"/>
              <w:ind w:right="416"/>
              <w:rPr>
                <w:sz w:val="20"/>
              </w:rPr>
            </w:pPr>
            <w:r>
              <w:rPr>
                <w:sz w:val="20"/>
              </w:rPr>
              <w:t>A person appointed by the court to accompany </w:t>
            </w:r>
            <w:r>
              <w:rPr>
                <w:b/>
                <w:sz w:val="20"/>
              </w:rPr>
              <w:t>jurors </w:t>
            </w:r>
            <w:r>
              <w:rPr>
                <w:sz w:val="20"/>
              </w:rPr>
              <w:t>where it is necessary to prevent people having access to the jurors or the jurors having access to others. The jurykeeper’s role is to ensure there is no attempt to influence </w:t>
            </w:r>
            <w:r>
              <w:rPr>
                <w:b/>
                <w:sz w:val="20"/>
              </w:rPr>
              <w:t>jury deliberations</w:t>
            </w:r>
            <w:r>
              <w:rPr>
                <w:sz w:val="20"/>
              </w:rPr>
              <w:t>.</w:t>
            </w:r>
          </w:p>
          <w:p>
            <w:pPr>
              <w:pStyle w:val="TableParagraph"/>
              <w:spacing w:line="206" w:lineRule="auto" w:before="5"/>
              <w:ind w:right="241"/>
              <w:rPr>
                <w:sz w:val="20"/>
              </w:rPr>
            </w:pPr>
            <w:r>
              <w:rPr>
                <w:sz w:val="20"/>
              </w:rPr>
              <w:t>They must take an </w:t>
            </w:r>
            <w:r>
              <w:rPr>
                <w:b/>
                <w:sz w:val="20"/>
              </w:rPr>
              <w:t>oath </w:t>
            </w:r>
            <w:r>
              <w:rPr>
                <w:sz w:val="20"/>
              </w:rPr>
              <w:t>or make an </w:t>
            </w:r>
            <w:r>
              <w:rPr>
                <w:b/>
                <w:sz w:val="20"/>
              </w:rPr>
              <w:t>affirmation </w:t>
            </w:r>
            <w:r>
              <w:rPr>
                <w:sz w:val="20"/>
              </w:rPr>
              <w:t>to uphold their responsibilities.</w:t>
            </w:r>
          </w:p>
        </w:tc>
      </w:tr>
      <w:tr>
        <w:trPr>
          <w:trHeight w:val="644" w:hRule="atLeast"/>
        </w:trPr>
        <w:tc>
          <w:tcPr>
            <w:tcW w:w="2546" w:type="dxa"/>
          </w:tcPr>
          <w:p>
            <w:pPr>
              <w:pStyle w:val="TableParagraph"/>
              <w:spacing w:before="66"/>
              <w:rPr>
                <w:b/>
                <w:sz w:val="20"/>
              </w:rPr>
            </w:pPr>
            <w:r>
              <w:rPr>
                <w:b/>
                <w:sz w:val="20"/>
              </w:rPr>
              <w:t>Jury deliberations</w:t>
            </w:r>
          </w:p>
        </w:tc>
        <w:tc>
          <w:tcPr>
            <w:tcW w:w="6179" w:type="dxa"/>
          </w:tcPr>
          <w:p>
            <w:pPr>
              <w:pStyle w:val="TableParagraph"/>
              <w:spacing w:line="206" w:lineRule="auto" w:before="98"/>
              <w:ind w:right="269"/>
              <w:rPr>
                <w:sz w:val="20"/>
              </w:rPr>
            </w:pPr>
            <w:r>
              <w:rPr>
                <w:sz w:val="20"/>
              </w:rPr>
              <w:t>The process by which </w:t>
            </w:r>
            <w:r>
              <w:rPr>
                <w:b/>
                <w:sz w:val="20"/>
              </w:rPr>
              <w:t>jurors </w:t>
            </w:r>
            <w:r>
              <w:rPr>
                <w:sz w:val="20"/>
              </w:rPr>
              <w:t>discuss the case to arrive at a verdict in a trial.</w:t>
            </w:r>
          </w:p>
        </w:tc>
      </w:tr>
      <w:tr>
        <w:trPr>
          <w:trHeight w:val="884" w:hRule="atLeast"/>
        </w:trPr>
        <w:tc>
          <w:tcPr>
            <w:tcW w:w="2546" w:type="dxa"/>
          </w:tcPr>
          <w:p>
            <w:pPr>
              <w:pStyle w:val="TableParagraph"/>
              <w:spacing w:before="66"/>
              <w:rPr>
                <w:b/>
                <w:sz w:val="20"/>
              </w:rPr>
            </w:pPr>
            <w:r>
              <w:rPr>
                <w:b/>
                <w:sz w:val="20"/>
              </w:rPr>
              <w:t>Jury directions</w:t>
            </w:r>
          </w:p>
        </w:tc>
        <w:tc>
          <w:tcPr>
            <w:tcW w:w="6179" w:type="dxa"/>
          </w:tcPr>
          <w:p>
            <w:pPr>
              <w:pStyle w:val="TableParagraph"/>
              <w:spacing w:line="206" w:lineRule="auto" w:before="98"/>
              <w:ind w:right="475"/>
              <w:jc w:val="both"/>
              <w:rPr>
                <w:sz w:val="20"/>
              </w:rPr>
            </w:pPr>
            <w:r>
              <w:rPr>
                <w:sz w:val="20"/>
              </w:rPr>
              <w:t>Instructions</w:t>
            </w:r>
            <w:r>
              <w:rPr>
                <w:spacing w:val="-6"/>
                <w:sz w:val="20"/>
              </w:rPr>
              <w:t> </w:t>
            </w:r>
            <w:r>
              <w:rPr>
                <w:sz w:val="20"/>
              </w:rPr>
              <w:t>provided</w:t>
            </w:r>
            <w:r>
              <w:rPr>
                <w:spacing w:val="-5"/>
                <w:sz w:val="20"/>
              </w:rPr>
              <w:t> </w:t>
            </w:r>
            <w:r>
              <w:rPr>
                <w:spacing w:val="-3"/>
                <w:sz w:val="20"/>
              </w:rPr>
              <w:t>by</w:t>
            </w:r>
            <w:r>
              <w:rPr>
                <w:spacing w:val="-5"/>
                <w:sz w:val="20"/>
              </w:rPr>
              <w:t> </w:t>
            </w:r>
            <w:r>
              <w:rPr>
                <w:sz w:val="20"/>
              </w:rPr>
              <w:t>the</w:t>
            </w:r>
            <w:r>
              <w:rPr>
                <w:spacing w:val="-6"/>
                <w:sz w:val="20"/>
              </w:rPr>
              <w:t> </w:t>
            </w:r>
            <w:r>
              <w:rPr>
                <w:sz w:val="20"/>
              </w:rPr>
              <w:t>judge</w:t>
            </w:r>
            <w:r>
              <w:rPr>
                <w:spacing w:val="-5"/>
                <w:sz w:val="20"/>
              </w:rPr>
              <w:t> </w:t>
            </w:r>
            <w:r>
              <w:rPr>
                <w:sz w:val="20"/>
              </w:rPr>
              <w:t>to</w:t>
            </w:r>
            <w:r>
              <w:rPr>
                <w:spacing w:val="-5"/>
                <w:sz w:val="20"/>
              </w:rPr>
              <w:t> </w:t>
            </w:r>
            <w:r>
              <w:rPr>
                <w:sz w:val="20"/>
              </w:rPr>
              <w:t>the</w:t>
            </w:r>
            <w:r>
              <w:rPr>
                <w:spacing w:val="-6"/>
                <w:sz w:val="20"/>
              </w:rPr>
              <w:t> </w:t>
            </w:r>
            <w:r>
              <w:rPr>
                <w:b/>
                <w:sz w:val="20"/>
              </w:rPr>
              <w:t>jury</w:t>
            </w:r>
            <w:r>
              <w:rPr>
                <w:b/>
                <w:spacing w:val="-2"/>
                <w:sz w:val="20"/>
              </w:rPr>
              <w:t> </w:t>
            </w:r>
            <w:r>
              <w:rPr>
                <w:sz w:val="20"/>
              </w:rPr>
              <w:t>about</w:t>
            </w:r>
            <w:r>
              <w:rPr>
                <w:spacing w:val="-5"/>
                <w:sz w:val="20"/>
              </w:rPr>
              <w:t> </w:t>
            </w:r>
            <w:r>
              <w:rPr>
                <w:sz w:val="20"/>
              </w:rPr>
              <w:t>the</w:t>
            </w:r>
            <w:r>
              <w:rPr>
                <w:spacing w:val="-6"/>
                <w:sz w:val="20"/>
              </w:rPr>
              <w:t> </w:t>
            </w:r>
            <w:r>
              <w:rPr>
                <w:sz w:val="20"/>
              </w:rPr>
              <w:t>legal principles</w:t>
            </w:r>
            <w:r>
              <w:rPr>
                <w:spacing w:val="-6"/>
                <w:sz w:val="20"/>
              </w:rPr>
              <w:t> </w:t>
            </w:r>
            <w:r>
              <w:rPr>
                <w:sz w:val="20"/>
              </w:rPr>
              <w:t>which</w:t>
            </w:r>
            <w:r>
              <w:rPr>
                <w:spacing w:val="-5"/>
                <w:sz w:val="20"/>
              </w:rPr>
              <w:t> </w:t>
            </w:r>
            <w:r>
              <w:rPr>
                <w:sz w:val="20"/>
              </w:rPr>
              <w:t>the</w:t>
            </w:r>
            <w:r>
              <w:rPr>
                <w:spacing w:val="-6"/>
                <w:sz w:val="20"/>
              </w:rPr>
              <w:t> </w:t>
            </w:r>
            <w:r>
              <w:rPr>
                <w:sz w:val="20"/>
              </w:rPr>
              <w:t>jury</w:t>
            </w:r>
            <w:r>
              <w:rPr>
                <w:spacing w:val="-5"/>
                <w:sz w:val="20"/>
              </w:rPr>
              <w:t> </w:t>
            </w:r>
            <w:r>
              <w:rPr>
                <w:sz w:val="20"/>
              </w:rPr>
              <w:t>is</w:t>
            </w:r>
            <w:r>
              <w:rPr>
                <w:spacing w:val="-5"/>
                <w:sz w:val="20"/>
              </w:rPr>
              <w:t> </w:t>
            </w:r>
            <w:r>
              <w:rPr>
                <w:sz w:val="20"/>
              </w:rPr>
              <w:t>obliged</w:t>
            </w:r>
            <w:r>
              <w:rPr>
                <w:spacing w:val="-6"/>
                <w:sz w:val="20"/>
              </w:rPr>
              <w:t> </w:t>
            </w:r>
            <w:r>
              <w:rPr>
                <w:sz w:val="20"/>
              </w:rPr>
              <w:t>to</w:t>
            </w:r>
            <w:r>
              <w:rPr>
                <w:spacing w:val="-5"/>
                <w:sz w:val="20"/>
              </w:rPr>
              <w:t> </w:t>
            </w:r>
            <w:r>
              <w:rPr>
                <w:spacing w:val="-3"/>
                <w:sz w:val="20"/>
              </w:rPr>
              <w:t>apply.</w:t>
            </w:r>
            <w:r>
              <w:rPr>
                <w:spacing w:val="-5"/>
                <w:sz w:val="20"/>
              </w:rPr>
              <w:t> </w:t>
            </w:r>
            <w:r>
              <w:rPr>
                <w:sz w:val="20"/>
              </w:rPr>
              <w:t>These</w:t>
            </w:r>
            <w:r>
              <w:rPr>
                <w:spacing w:val="-6"/>
                <w:sz w:val="20"/>
              </w:rPr>
              <w:t> </w:t>
            </w:r>
            <w:r>
              <w:rPr>
                <w:sz w:val="20"/>
              </w:rPr>
              <w:t>directions guide the conduct of </w:t>
            </w:r>
            <w:r>
              <w:rPr>
                <w:b/>
                <w:sz w:val="20"/>
              </w:rPr>
              <w:t>jurors </w:t>
            </w:r>
            <w:r>
              <w:rPr>
                <w:sz w:val="20"/>
              </w:rPr>
              <w:t>in reaching a</w:t>
            </w:r>
            <w:r>
              <w:rPr>
                <w:spacing w:val="-21"/>
                <w:sz w:val="20"/>
              </w:rPr>
              <w:t> </w:t>
            </w:r>
            <w:r>
              <w:rPr>
                <w:sz w:val="20"/>
              </w:rPr>
              <w:t>verdict.</w:t>
            </w:r>
          </w:p>
        </w:tc>
      </w:tr>
      <w:tr>
        <w:trPr>
          <w:trHeight w:val="644" w:hRule="atLeast"/>
        </w:trPr>
        <w:tc>
          <w:tcPr>
            <w:tcW w:w="2546" w:type="dxa"/>
          </w:tcPr>
          <w:p>
            <w:pPr>
              <w:pStyle w:val="TableParagraph"/>
              <w:spacing w:before="66"/>
              <w:rPr>
                <w:b/>
                <w:sz w:val="20"/>
              </w:rPr>
            </w:pPr>
            <w:r>
              <w:rPr>
                <w:b/>
                <w:sz w:val="20"/>
              </w:rPr>
              <w:t>Jury panel</w:t>
            </w:r>
          </w:p>
        </w:tc>
        <w:tc>
          <w:tcPr>
            <w:tcW w:w="6179" w:type="dxa"/>
          </w:tcPr>
          <w:p>
            <w:pPr>
              <w:pStyle w:val="TableParagraph"/>
              <w:spacing w:line="259" w:lineRule="exact" w:before="66"/>
              <w:rPr>
                <w:b/>
                <w:sz w:val="20"/>
              </w:rPr>
            </w:pPr>
            <w:r>
              <w:rPr>
                <w:sz w:val="20"/>
              </w:rPr>
              <w:t>The small group of people randomly chosen from the </w:t>
            </w:r>
            <w:r>
              <w:rPr>
                <w:b/>
                <w:sz w:val="20"/>
              </w:rPr>
              <w:t>jury pool</w:t>
            </w:r>
          </w:p>
          <w:p>
            <w:pPr>
              <w:pStyle w:val="TableParagraph"/>
              <w:spacing w:line="259" w:lineRule="exact" w:before="0"/>
              <w:rPr>
                <w:sz w:val="20"/>
              </w:rPr>
            </w:pPr>
            <w:r>
              <w:rPr>
                <w:sz w:val="20"/>
              </w:rPr>
              <w:t>from which a jury is selected.</w:t>
            </w:r>
          </w:p>
        </w:tc>
      </w:tr>
      <w:tr>
        <w:trPr>
          <w:trHeight w:val="644" w:hRule="atLeast"/>
        </w:trPr>
        <w:tc>
          <w:tcPr>
            <w:tcW w:w="2546" w:type="dxa"/>
          </w:tcPr>
          <w:p>
            <w:pPr>
              <w:pStyle w:val="TableParagraph"/>
              <w:spacing w:before="66"/>
              <w:rPr>
                <w:b/>
                <w:sz w:val="20"/>
              </w:rPr>
            </w:pPr>
            <w:r>
              <w:rPr>
                <w:b/>
                <w:sz w:val="20"/>
              </w:rPr>
              <w:t>Jury pool</w:t>
            </w:r>
          </w:p>
        </w:tc>
        <w:tc>
          <w:tcPr>
            <w:tcW w:w="6179" w:type="dxa"/>
          </w:tcPr>
          <w:p>
            <w:pPr>
              <w:pStyle w:val="TableParagraph"/>
              <w:spacing w:line="259" w:lineRule="exact" w:before="66"/>
              <w:rPr>
                <w:b/>
                <w:sz w:val="20"/>
              </w:rPr>
            </w:pPr>
            <w:r>
              <w:rPr>
                <w:sz w:val="20"/>
              </w:rPr>
              <w:t>The collective name for everybody attending the court for </w:t>
            </w:r>
            <w:r>
              <w:rPr>
                <w:b/>
                <w:sz w:val="20"/>
              </w:rPr>
              <w:t>jury</w:t>
            </w:r>
          </w:p>
          <w:p>
            <w:pPr>
              <w:pStyle w:val="TableParagraph"/>
              <w:spacing w:line="259" w:lineRule="exact" w:before="0"/>
              <w:rPr>
                <w:sz w:val="20"/>
              </w:rPr>
            </w:pPr>
            <w:r>
              <w:rPr>
                <w:sz w:val="20"/>
              </w:rPr>
              <w:t>service on a given day.</w:t>
            </w:r>
          </w:p>
        </w:tc>
      </w:tr>
      <w:tr>
        <w:trPr>
          <w:trHeight w:val="884" w:hRule="atLeast"/>
        </w:trPr>
        <w:tc>
          <w:tcPr>
            <w:tcW w:w="2546" w:type="dxa"/>
          </w:tcPr>
          <w:p>
            <w:pPr>
              <w:pStyle w:val="TableParagraph"/>
              <w:spacing w:before="66"/>
              <w:rPr>
                <w:b/>
                <w:sz w:val="20"/>
              </w:rPr>
            </w:pPr>
            <w:r>
              <w:rPr>
                <w:b/>
                <w:sz w:val="20"/>
              </w:rPr>
              <w:t>Jury Summons</w:t>
            </w:r>
          </w:p>
        </w:tc>
        <w:tc>
          <w:tcPr>
            <w:tcW w:w="6179" w:type="dxa"/>
          </w:tcPr>
          <w:p>
            <w:pPr>
              <w:pStyle w:val="TableParagraph"/>
              <w:spacing w:line="206" w:lineRule="auto" w:before="98"/>
              <w:ind w:right="215"/>
              <w:rPr>
                <w:sz w:val="20"/>
              </w:rPr>
            </w:pPr>
            <w:r>
              <w:rPr>
                <w:sz w:val="20"/>
              </w:rPr>
              <w:t>An official notification from </w:t>
            </w:r>
            <w:r>
              <w:rPr>
                <w:b/>
                <w:sz w:val="20"/>
              </w:rPr>
              <w:t>Juries Victoria </w:t>
            </w:r>
            <w:r>
              <w:rPr>
                <w:sz w:val="20"/>
              </w:rPr>
              <w:t>stating that a person is required to attend a specific court on a specific date to undertake jury service.</w:t>
            </w:r>
          </w:p>
        </w:tc>
      </w:tr>
      <w:tr>
        <w:trPr>
          <w:trHeight w:val="644" w:hRule="atLeast"/>
        </w:trPr>
        <w:tc>
          <w:tcPr>
            <w:tcW w:w="2546" w:type="dxa"/>
          </w:tcPr>
          <w:p>
            <w:pPr>
              <w:pStyle w:val="TableParagraph"/>
              <w:spacing w:before="66"/>
              <w:rPr>
                <w:b/>
                <w:sz w:val="20"/>
              </w:rPr>
            </w:pPr>
            <w:r>
              <w:rPr>
                <w:b/>
                <w:sz w:val="20"/>
              </w:rPr>
              <w:t>Oath</w:t>
            </w:r>
          </w:p>
        </w:tc>
        <w:tc>
          <w:tcPr>
            <w:tcW w:w="6179" w:type="dxa"/>
          </w:tcPr>
          <w:p>
            <w:pPr>
              <w:pStyle w:val="TableParagraph"/>
              <w:spacing w:line="206" w:lineRule="auto" w:before="98"/>
              <w:ind w:right="243"/>
              <w:rPr>
                <w:sz w:val="20"/>
              </w:rPr>
            </w:pPr>
            <w:r>
              <w:rPr>
                <w:sz w:val="20"/>
              </w:rPr>
              <w:t>A verbal promise to tell the truth, usually made while holding a religious text (though this is not a necessity).</w:t>
            </w:r>
          </w:p>
        </w:tc>
      </w:tr>
    </w:tbl>
    <w:p>
      <w:pPr>
        <w:pStyle w:val="BodyText"/>
      </w:pPr>
    </w:p>
    <w:p>
      <w:pPr>
        <w:pStyle w:val="BodyText"/>
        <w:spacing w:before="13"/>
        <w:rPr>
          <w:sz w:val="14"/>
        </w:rPr>
      </w:pPr>
    </w:p>
    <w:p>
      <w:pPr>
        <w:spacing w:before="49"/>
        <w:ind w:left="0" w:right="274" w:firstLine="0"/>
        <w:jc w:val="right"/>
        <w:rPr>
          <w:b/>
          <w:sz w:val="24"/>
        </w:rPr>
      </w:pPr>
      <w:r>
        <w:rPr>
          <w:b/>
          <w:color w:val="37617A"/>
          <w:w w:val="95"/>
          <w:sz w:val="24"/>
        </w:rPr>
        <w:t>xv</w:t>
      </w:r>
    </w:p>
    <w:p>
      <w:pPr>
        <w:spacing w:after="0"/>
        <w:jc w:val="right"/>
        <w:rPr>
          <w:sz w:val="24"/>
        </w:rPr>
        <w:sectPr>
          <w:headerReference w:type="default" r:id="rId20"/>
          <w:headerReference w:type="even" r:id="rId21"/>
          <w:pgSz w:w="11910" w:h="16840"/>
          <w:pgMar w:header="0" w:footer="0" w:top="840" w:bottom="280" w:left="620" w:right="380"/>
        </w:sectPr>
      </w:pPr>
    </w:p>
    <w:p>
      <w:pPr>
        <w:pStyle w:val="BodyText"/>
        <w:rPr>
          <w:b/>
        </w:rPr>
      </w:pPr>
    </w:p>
    <w:p>
      <w:pPr>
        <w:pStyle w:val="BodyText"/>
        <w:rPr>
          <w:b/>
        </w:rPr>
      </w:pPr>
    </w:p>
    <w:p>
      <w:pPr>
        <w:pStyle w:val="BodyText"/>
        <w:rPr>
          <w:b/>
        </w:rPr>
      </w:pPr>
    </w:p>
    <w:p>
      <w:pPr>
        <w:pStyle w:val="BodyText"/>
        <w:spacing w:before="13"/>
        <w:rPr>
          <w:b/>
          <w:sz w:val="18"/>
        </w:rPr>
      </w:pPr>
    </w:p>
    <w:tbl>
      <w:tblPr>
        <w:tblW w:w="0" w:type="auto"/>
        <w:jc w:val="left"/>
        <w:tblInd w:w="983" w:type="dxa"/>
        <w:tblBorders>
          <w:top w:val="single" w:sz="4" w:space="0" w:color="37617A"/>
          <w:left w:val="single" w:sz="4" w:space="0" w:color="37617A"/>
          <w:bottom w:val="single" w:sz="4" w:space="0" w:color="37617A"/>
          <w:right w:val="single" w:sz="4" w:space="0" w:color="37617A"/>
          <w:insideH w:val="single" w:sz="4" w:space="0" w:color="37617A"/>
          <w:insideV w:val="single" w:sz="4" w:space="0" w:color="37617A"/>
        </w:tblBorders>
        <w:tblLayout w:type="fixed"/>
        <w:tblCellMar>
          <w:top w:w="0" w:type="dxa"/>
          <w:left w:w="0" w:type="dxa"/>
          <w:bottom w:w="0" w:type="dxa"/>
          <w:right w:w="0" w:type="dxa"/>
        </w:tblCellMar>
        <w:tblLook w:val="01E0"/>
      </w:tblPr>
      <w:tblGrid>
        <w:gridCol w:w="2546"/>
        <w:gridCol w:w="6179"/>
      </w:tblGrid>
      <w:tr>
        <w:trPr>
          <w:trHeight w:val="644" w:hRule="atLeast"/>
        </w:trPr>
        <w:tc>
          <w:tcPr>
            <w:tcW w:w="2546" w:type="dxa"/>
          </w:tcPr>
          <w:p>
            <w:pPr>
              <w:pStyle w:val="TableParagraph"/>
              <w:spacing w:before="65"/>
              <w:rPr>
                <w:b/>
                <w:sz w:val="20"/>
              </w:rPr>
            </w:pPr>
            <w:r>
              <w:rPr>
                <w:b/>
                <w:sz w:val="20"/>
              </w:rPr>
              <w:t>Order</w:t>
            </w:r>
          </w:p>
        </w:tc>
        <w:tc>
          <w:tcPr>
            <w:tcW w:w="6179" w:type="dxa"/>
          </w:tcPr>
          <w:p>
            <w:pPr>
              <w:pStyle w:val="TableParagraph"/>
              <w:spacing w:line="259" w:lineRule="exact" w:before="65"/>
              <w:rPr>
                <w:sz w:val="20"/>
              </w:rPr>
            </w:pPr>
            <w:r>
              <w:rPr>
                <w:sz w:val="20"/>
              </w:rPr>
              <w:t>A direction by a court or tribunal that is final and binding unless</w:t>
            </w:r>
          </w:p>
          <w:p>
            <w:pPr>
              <w:pStyle w:val="TableParagraph"/>
              <w:spacing w:line="259" w:lineRule="exact" w:before="0"/>
              <w:rPr>
                <w:sz w:val="20"/>
              </w:rPr>
            </w:pPr>
            <w:r>
              <w:rPr>
                <w:sz w:val="20"/>
              </w:rPr>
              <w:t>overturned on appeal.</w:t>
            </w:r>
          </w:p>
        </w:tc>
      </w:tr>
      <w:tr>
        <w:trPr>
          <w:trHeight w:val="884" w:hRule="atLeast"/>
        </w:trPr>
        <w:tc>
          <w:tcPr>
            <w:tcW w:w="2546" w:type="dxa"/>
          </w:tcPr>
          <w:p>
            <w:pPr>
              <w:pStyle w:val="TableParagraph"/>
              <w:spacing w:before="65"/>
              <w:rPr>
                <w:b/>
                <w:sz w:val="20"/>
              </w:rPr>
            </w:pPr>
            <w:r>
              <w:rPr>
                <w:b/>
                <w:sz w:val="20"/>
              </w:rPr>
              <w:t>Peremptory challenge</w:t>
            </w:r>
          </w:p>
        </w:tc>
        <w:tc>
          <w:tcPr>
            <w:tcW w:w="6179" w:type="dxa"/>
          </w:tcPr>
          <w:p>
            <w:pPr>
              <w:pStyle w:val="TableParagraph"/>
              <w:spacing w:line="206" w:lineRule="auto" w:before="98"/>
              <w:ind w:right="85"/>
              <w:rPr>
                <w:sz w:val="20"/>
              </w:rPr>
            </w:pPr>
            <w:r>
              <w:rPr>
                <w:sz w:val="20"/>
              </w:rPr>
              <w:t>A challenge made by a party to a prospective </w:t>
            </w:r>
            <w:r>
              <w:rPr>
                <w:b/>
                <w:sz w:val="20"/>
              </w:rPr>
              <w:t>juror </w:t>
            </w:r>
            <w:r>
              <w:rPr>
                <w:sz w:val="20"/>
              </w:rPr>
              <w:t>to exclude them from the </w:t>
            </w:r>
            <w:r>
              <w:rPr>
                <w:b/>
                <w:sz w:val="20"/>
              </w:rPr>
              <w:t>jury</w:t>
            </w:r>
            <w:r>
              <w:rPr>
                <w:sz w:val="20"/>
              </w:rPr>
              <w:t>. A party is not required to provide reasons for making a peremptory challenge.</w:t>
            </w:r>
          </w:p>
        </w:tc>
      </w:tr>
      <w:tr>
        <w:trPr>
          <w:trHeight w:val="1124" w:hRule="atLeast"/>
        </w:trPr>
        <w:tc>
          <w:tcPr>
            <w:tcW w:w="2546" w:type="dxa"/>
          </w:tcPr>
          <w:p>
            <w:pPr>
              <w:pStyle w:val="TableParagraph"/>
              <w:spacing w:before="65"/>
              <w:rPr>
                <w:b/>
                <w:sz w:val="20"/>
              </w:rPr>
            </w:pPr>
            <w:r>
              <w:rPr>
                <w:b/>
                <w:sz w:val="20"/>
              </w:rPr>
              <w:t>Procedural fairness</w:t>
            </w:r>
          </w:p>
        </w:tc>
        <w:tc>
          <w:tcPr>
            <w:tcW w:w="6179" w:type="dxa"/>
          </w:tcPr>
          <w:p>
            <w:pPr>
              <w:pStyle w:val="TableParagraph"/>
              <w:spacing w:line="206" w:lineRule="auto" w:before="98"/>
              <w:ind w:right="304"/>
              <w:rPr>
                <w:sz w:val="20"/>
              </w:rPr>
            </w:pPr>
            <w:r>
              <w:rPr>
                <w:sz w:val="20"/>
              </w:rPr>
              <w:t>The requirement that legal proceedings are conducted in a fair manner. Procedural fairness requires that parties have the opportunity to be heard before a competent tribunal and have their disputes determined by an impartial decision maker.</w:t>
            </w:r>
          </w:p>
        </w:tc>
      </w:tr>
      <w:tr>
        <w:trPr>
          <w:trHeight w:val="644" w:hRule="atLeast"/>
        </w:trPr>
        <w:tc>
          <w:tcPr>
            <w:tcW w:w="2546" w:type="dxa"/>
          </w:tcPr>
          <w:p>
            <w:pPr>
              <w:pStyle w:val="TableParagraph"/>
              <w:spacing w:line="206" w:lineRule="auto" w:before="98"/>
              <w:rPr>
                <w:b/>
                <w:sz w:val="20"/>
              </w:rPr>
            </w:pPr>
            <w:r>
              <w:rPr>
                <w:b/>
                <w:sz w:val="20"/>
              </w:rPr>
              <w:t>Prospective juror/ potential juror</w:t>
            </w:r>
          </w:p>
        </w:tc>
        <w:tc>
          <w:tcPr>
            <w:tcW w:w="6179" w:type="dxa"/>
          </w:tcPr>
          <w:p>
            <w:pPr>
              <w:pStyle w:val="TableParagraph"/>
              <w:spacing w:line="206" w:lineRule="auto" w:before="98"/>
              <w:ind w:right="269"/>
              <w:rPr>
                <w:sz w:val="20"/>
              </w:rPr>
            </w:pPr>
            <w:r>
              <w:rPr>
                <w:sz w:val="20"/>
              </w:rPr>
              <w:t>A person who has been summonsed to attend for jury service, but not yet selected for a jury.</w:t>
            </w:r>
          </w:p>
        </w:tc>
      </w:tr>
      <w:tr>
        <w:trPr>
          <w:trHeight w:val="1364" w:hRule="atLeast"/>
        </w:trPr>
        <w:tc>
          <w:tcPr>
            <w:tcW w:w="2546" w:type="dxa"/>
          </w:tcPr>
          <w:p>
            <w:pPr>
              <w:pStyle w:val="TableParagraph"/>
              <w:spacing w:line="206" w:lineRule="auto" w:before="98"/>
              <w:ind w:right="1205"/>
              <w:rPr>
                <w:b/>
                <w:sz w:val="20"/>
              </w:rPr>
            </w:pPr>
            <w:r>
              <w:rPr>
                <w:b/>
                <w:sz w:val="20"/>
              </w:rPr>
              <w:t>Reasonable adjustments</w:t>
            </w:r>
          </w:p>
        </w:tc>
        <w:tc>
          <w:tcPr>
            <w:tcW w:w="6179" w:type="dxa"/>
          </w:tcPr>
          <w:p>
            <w:pPr>
              <w:pStyle w:val="TableParagraph"/>
              <w:spacing w:line="206" w:lineRule="auto" w:before="98"/>
              <w:ind w:right="136"/>
              <w:rPr>
                <w:sz w:val="20"/>
              </w:rPr>
            </w:pPr>
            <w:r>
              <w:rPr>
                <w:sz w:val="20"/>
              </w:rPr>
              <w:t>In this report, this term means reasonable modifications employed to facilitate </w:t>
            </w:r>
            <w:r>
              <w:rPr>
                <w:b/>
                <w:sz w:val="20"/>
              </w:rPr>
              <w:t>jury service </w:t>
            </w:r>
            <w:r>
              <w:rPr>
                <w:sz w:val="20"/>
              </w:rPr>
              <w:t>by persons who are deaf, hard of hearing, blind or who have low vision. An example might be an </w:t>
            </w:r>
            <w:r>
              <w:rPr>
                <w:b/>
                <w:sz w:val="20"/>
              </w:rPr>
              <w:t>Auslan interpreter</w:t>
            </w:r>
            <w:r>
              <w:rPr>
                <w:sz w:val="20"/>
              </w:rPr>
              <w:t>, a disability aid, or changes to the way a courtroom is organised. See Chapter 13.</w:t>
            </w:r>
          </w:p>
        </w:tc>
      </w:tr>
      <w:tr>
        <w:trPr>
          <w:trHeight w:val="884" w:hRule="atLeast"/>
        </w:trPr>
        <w:tc>
          <w:tcPr>
            <w:tcW w:w="2546" w:type="dxa"/>
          </w:tcPr>
          <w:p>
            <w:pPr>
              <w:pStyle w:val="TableParagraph"/>
              <w:spacing w:before="65"/>
              <w:rPr>
                <w:b/>
                <w:sz w:val="20"/>
              </w:rPr>
            </w:pPr>
            <w:r>
              <w:rPr>
                <w:b/>
                <w:sz w:val="20"/>
              </w:rPr>
              <w:t>Stand aside</w:t>
            </w:r>
          </w:p>
        </w:tc>
        <w:tc>
          <w:tcPr>
            <w:tcW w:w="6179" w:type="dxa"/>
          </w:tcPr>
          <w:p>
            <w:pPr>
              <w:pStyle w:val="TableParagraph"/>
              <w:spacing w:line="206" w:lineRule="auto" w:before="98"/>
              <w:ind w:right="273"/>
              <w:jc w:val="both"/>
              <w:rPr>
                <w:sz w:val="20"/>
              </w:rPr>
            </w:pPr>
            <w:r>
              <w:rPr>
                <w:sz w:val="20"/>
              </w:rPr>
              <w:t>A</w:t>
            </w:r>
            <w:r>
              <w:rPr>
                <w:spacing w:val="-8"/>
                <w:sz w:val="20"/>
              </w:rPr>
              <w:t> </w:t>
            </w:r>
            <w:r>
              <w:rPr>
                <w:sz w:val="20"/>
              </w:rPr>
              <w:t>challenge</w:t>
            </w:r>
            <w:r>
              <w:rPr>
                <w:spacing w:val="-7"/>
                <w:sz w:val="20"/>
              </w:rPr>
              <w:t> </w:t>
            </w:r>
            <w:r>
              <w:rPr>
                <w:sz w:val="20"/>
              </w:rPr>
              <w:t>made</w:t>
            </w:r>
            <w:r>
              <w:rPr>
                <w:spacing w:val="-7"/>
                <w:sz w:val="20"/>
              </w:rPr>
              <w:t> </w:t>
            </w:r>
            <w:r>
              <w:rPr>
                <w:spacing w:val="-3"/>
                <w:sz w:val="20"/>
              </w:rPr>
              <w:t>by</w:t>
            </w:r>
            <w:r>
              <w:rPr>
                <w:spacing w:val="-7"/>
                <w:sz w:val="20"/>
              </w:rPr>
              <w:t> </w:t>
            </w:r>
            <w:r>
              <w:rPr>
                <w:sz w:val="20"/>
              </w:rPr>
              <w:t>the</w:t>
            </w:r>
            <w:r>
              <w:rPr>
                <w:spacing w:val="-7"/>
                <w:sz w:val="20"/>
              </w:rPr>
              <w:t> </w:t>
            </w:r>
            <w:r>
              <w:rPr>
                <w:b/>
                <w:sz w:val="20"/>
              </w:rPr>
              <w:t>Crown</w:t>
            </w:r>
            <w:r>
              <w:rPr>
                <w:b/>
                <w:spacing w:val="-4"/>
                <w:sz w:val="20"/>
              </w:rPr>
              <w:t> </w:t>
            </w:r>
            <w:r>
              <w:rPr>
                <w:sz w:val="20"/>
              </w:rPr>
              <w:t>to</w:t>
            </w:r>
            <w:r>
              <w:rPr>
                <w:spacing w:val="-7"/>
                <w:sz w:val="20"/>
              </w:rPr>
              <w:t> </w:t>
            </w:r>
            <w:r>
              <w:rPr>
                <w:sz w:val="20"/>
              </w:rPr>
              <w:t>exclude</w:t>
            </w:r>
            <w:r>
              <w:rPr>
                <w:spacing w:val="-7"/>
                <w:sz w:val="20"/>
              </w:rPr>
              <w:t> </w:t>
            </w:r>
            <w:r>
              <w:rPr>
                <w:sz w:val="20"/>
              </w:rPr>
              <w:t>a</w:t>
            </w:r>
            <w:r>
              <w:rPr>
                <w:spacing w:val="-7"/>
                <w:sz w:val="20"/>
              </w:rPr>
              <w:t> </w:t>
            </w:r>
            <w:r>
              <w:rPr>
                <w:sz w:val="20"/>
              </w:rPr>
              <w:t>prospective</w:t>
            </w:r>
            <w:r>
              <w:rPr>
                <w:spacing w:val="-7"/>
                <w:sz w:val="20"/>
              </w:rPr>
              <w:t> </w:t>
            </w:r>
            <w:r>
              <w:rPr>
                <w:b/>
                <w:sz w:val="20"/>
              </w:rPr>
              <w:t>juror </w:t>
            </w:r>
            <w:r>
              <w:rPr>
                <w:sz w:val="20"/>
              </w:rPr>
              <w:t>from</w:t>
            </w:r>
            <w:r>
              <w:rPr>
                <w:spacing w:val="-5"/>
                <w:sz w:val="20"/>
              </w:rPr>
              <w:t> </w:t>
            </w:r>
            <w:r>
              <w:rPr>
                <w:sz w:val="20"/>
              </w:rPr>
              <w:t>the</w:t>
            </w:r>
            <w:r>
              <w:rPr>
                <w:spacing w:val="-5"/>
                <w:sz w:val="20"/>
              </w:rPr>
              <w:t> </w:t>
            </w:r>
            <w:r>
              <w:rPr>
                <w:b/>
                <w:sz w:val="20"/>
              </w:rPr>
              <w:t>jury</w:t>
            </w:r>
            <w:r>
              <w:rPr>
                <w:sz w:val="20"/>
              </w:rPr>
              <w:t>.</w:t>
            </w:r>
            <w:r>
              <w:rPr>
                <w:spacing w:val="-5"/>
                <w:sz w:val="20"/>
              </w:rPr>
              <w:t> </w:t>
            </w:r>
            <w:r>
              <w:rPr>
                <w:sz w:val="20"/>
              </w:rPr>
              <w:t>No</w:t>
            </w:r>
            <w:r>
              <w:rPr>
                <w:spacing w:val="-5"/>
                <w:sz w:val="20"/>
              </w:rPr>
              <w:t> </w:t>
            </w:r>
            <w:r>
              <w:rPr>
                <w:sz w:val="20"/>
              </w:rPr>
              <w:t>reasons</w:t>
            </w:r>
            <w:r>
              <w:rPr>
                <w:spacing w:val="-5"/>
                <w:sz w:val="20"/>
              </w:rPr>
              <w:t> </w:t>
            </w:r>
            <w:r>
              <w:rPr>
                <w:sz w:val="20"/>
              </w:rPr>
              <w:t>for</w:t>
            </w:r>
            <w:r>
              <w:rPr>
                <w:spacing w:val="-5"/>
                <w:sz w:val="20"/>
              </w:rPr>
              <w:t> </w:t>
            </w:r>
            <w:r>
              <w:rPr>
                <w:sz w:val="20"/>
              </w:rPr>
              <w:t>making</w:t>
            </w:r>
            <w:r>
              <w:rPr>
                <w:spacing w:val="-5"/>
                <w:sz w:val="20"/>
              </w:rPr>
              <w:t> </w:t>
            </w:r>
            <w:r>
              <w:rPr>
                <w:sz w:val="20"/>
              </w:rPr>
              <w:t>this</w:t>
            </w:r>
            <w:r>
              <w:rPr>
                <w:spacing w:val="-5"/>
                <w:sz w:val="20"/>
              </w:rPr>
              <w:t> </w:t>
            </w:r>
            <w:r>
              <w:rPr>
                <w:sz w:val="20"/>
              </w:rPr>
              <w:t>challenge</w:t>
            </w:r>
            <w:r>
              <w:rPr>
                <w:spacing w:val="-5"/>
                <w:sz w:val="20"/>
              </w:rPr>
              <w:t> </w:t>
            </w:r>
            <w:r>
              <w:rPr>
                <w:sz w:val="20"/>
              </w:rPr>
              <w:t>need</w:t>
            </w:r>
            <w:r>
              <w:rPr>
                <w:spacing w:val="-5"/>
                <w:sz w:val="20"/>
              </w:rPr>
              <w:t> </w:t>
            </w:r>
            <w:r>
              <w:rPr>
                <w:sz w:val="20"/>
              </w:rPr>
              <w:t>to</w:t>
            </w:r>
            <w:r>
              <w:rPr>
                <w:spacing w:val="-5"/>
                <w:sz w:val="20"/>
              </w:rPr>
              <w:t> </w:t>
            </w:r>
            <w:r>
              <w:rPr>
                <w:sz w:val="20"/>
              </w:rPr>
              <w:t>be provided.</w:t>
            </w:r>
          </w:p>
        </w:tc>
      </w:tr>
      <w:tr>
        <w:trPr>
          <w:trHeight w:val="884" w:hRule="atLeast"/>
        </w:trPr>
        <w:tc>
          <w:tcPr>
            <w:tcW w:w="2546" w:type="dxa"/>
          </w:tcPr>
          <w:p>
            <w:pPr>
              <w:pStyle w:val="TableParagraph"/>
              <w:spacing w:before="65"/>
              <w:rPr>
                <w:b/>
                <w:sz w:val="20"/>
              </w:rPr>
            </w:pPr>
            <w:r>
              <w:rPr>
                <w:b/>
                <w:sz w:val="20"/>
              </w:rPr>
              <w:t>Subject groups</w:t>
            </w:r>
          </w:p>
        </w:tc>
        <w:tc>
          <w:tcPr>
            <w:tcW w:w="6179" w:type="dxa"/>
          </w:tcPr>
          <w:p>
            <w:pPr>
              <w:pStyle w:val="TableParagraph"/>
              <w:spacing w:line="206" w:lineRule="auto" w:before="98"/>
              <w:ind w:right="74"/>
              <w:rPr>
                <w:sz w:val="20"/>
              </w:rPr>
            </w:pPr>
            <w:r>
              <w:rPr>
                <w:sz w:val="20"/>
              </w:rPr>
              <w:t>In this report, the Commission refers to people who are deaf, hard of hearing, blind or have low vision as people in the ‘subject groups’.</w:t>
            </w:r>
          </w:p>
        </w:tc>
      </w:tr>
      <w:tr>
        <w:trPr>
          <w:trHeight w:val="1604" w:hRule="atLeast"/>
        </w:trPr>
        <w:tc>
          <w:tcPr>
            <w:tcW w:w="2546" w:type="dxa"/>
          </w:tcPr>
          <w:p>
            <w:pPr>
              <w:pStyle w:val="TableParagraph"/>
              <w:spacing w:before="65"/>
              <w:rPr>
                <w:b/>
                <w:sz w:val="20"/>
              </w:rPr>
            </w:pPr>
            <w:r>
              <w:rPr>
                <w:b/>
                <w:sz w:val="20"/>
              </w:rPr>
              <w:t>Thirteenth person rule</w:t>
            </w:r>
          </w:p>
        </w:tc>
        <w:tc>
          <w:tcPr>
            <w:tcW w:w="6179" w:type="dxa"/>
          </w:tcPr>
          <w:p>
            <w:pPr>
              <w:pStyle w:val="TableParagraph"/>
              <w:spacing w:line="206" w:lineRule="auto" w:before="98"/>
              <w:ind w:right="385"/>
              <w:rPr>
                <w:sz w:val="20"/>
              </w:rPr>
            </w:pPr>
            <w:r>
              <w:rPr>
                <w:sz w:val="20"/>
              </w:rPr>
              <w:t>The common law rule that only </w:t>
            </w:r>
            <w:r>
              <w:rPr>
                <w:b/>
                <w:sz w:val="20"/>
              </w:rPr>
              <w:t>jurors </w:t>
            </w:r>
            <w:r>
              <w:rPr>
                <w:sz w:val="20"/>
              </w:rPr>
              <w:t>(usually 12) may be present in a </w:t>
            </w:r>
            <w:r>
              <w:rPr>
                <w:b/>
                <w:sz w:val="20"/>
              </w:rPr>
              <w:t>jury </w:t>
            </w:r>
            <w:r>
              <w:rPr>
                <w:sz w:val="20"/>
              </w:rPr>
              <w:t>deliberation (in the jury room). A non-juror or ‘13th person’ is not permitted in the jury room. This rule was re-affirmed by the High Court in 2016.</w:t>
            </w:r>
            <w:r>
              <w:rPr>
                <w:position w:val="7"/>
                <w:sz w:val="11"/>
              </w:rPr>
              <w:t>3 </w:t>
            </w:r>
            <w:r>
              <w:rPr>
                <w:sz w:val="20"/>
              </w:rPr>
              <w:t>This rule is intended to keep the jury separate to preserve the confidentiality of the deliberation process.</w:t>
            </w:r>
          </w:p>
        </w:tc>
      </w:tr>
      <w:tr>
        <w:trPr>
          <w:trHeight w:val="884" w:hRule="atLeast"/>
        </w:trPr>
        <w:tc>
          <w:tcPr>
            <w:tcW w:w="2546" w:type="dxa"/>
          </w:tcPr>
          <w:p>
            <w:pPr>
              <w:pStyle w:val="TableParagraph"/>
              <w:spacing w:before="65"/>
              <w:rPr>
                <w:b/>
                <w:sz w:val="20"/>
              </w:rPr>
            </w:pPr>
            <w:r>
              <w:rPr>
                <w:b/>
                <w:sz w:val="20"/>
              </w:rPr>
              <w:t>Tipstaff</w:t>
            </w:r>
          </w:p>
        </w:tc>
        <w:tc>
          <w:tcPr>
            <w:tcW w:w="6179" w:type="dxa"/>
          </w:tcPr>
          <w:p>
            <w:pPr>
              <w:pStyle w:val="TableParagraph"/>
              <w:spacing w:line="206" w:lineRule="auto" w:before="98"/>
              <w:ind w:right="243"/>
              <w:jc w:val="both"/>
              <w:rPr>
                <w:sz w:val="20"/>
              </w:rPr>
            </w:pPr>
            <w:r>
              <w:rPr>
                <w:sz w:val="20"/>
              </w:rPr>
              <w:t>An</w:t>
            </w:r>
            <w:r>
              <w:rPr>
                <w:spacing w:val="-4"/>
                <w:sz w:val="20"/>
              </w:rPr>
              <w:t> </w:t>
            </w:r>
            <w:r>
              <w:rPr>
                <w:sz w:val="20"/>
              </w:rPr>
              <w:t>assistant</w:t>
            </w:r>
            <w:r>
              <w:rPr>
                <w:spacing w:val="-4"/>
                <w:sz w:val="20"/>
              </w:rPr>
              <w:t> </w:t>
            </w:r>
            <w:r>
              <w:rPr>
                <w:sz w:val="20"/>
              </w:rPr>
              <w:t>to</w:t>
            </w:r>
            <w:r>
              <w:rPr>
                <w:spacing w:val="-4"/>
                <w:sz w:val="20"/>
              </w:rPr>
              <w:t> </w:t>
            </w:r>
            <w:r>
              <w:rPr>
                <w:sz w:val="20"/>
              </w:rPr>
              <w:t>a</w:t>
            </w:r>
            <w:r>
              <w:rPr>
                <w:spacing w:val="-4"/>
                <w:sz w:val="20"/>
              </w:rPr>
              <w:t> </w:t>
            </w:r>
            <w:r>
              <w:rPr>
                <w:sz w:val="20"/>
              </w:rPr>
              <w:t>judge,</w:t>
            </w:r>
            <w:r>
              <w:rPr>
                <w:spacing w:val="-4"/>
                <w:sz w:val="20"/>
              </w:rPr>
              <w:t> </w:t>
            </w:r>
            <w:r>
              <w:rPr>
                <w:sz w:val="20"/>
              </w:rPr>
              <w:t>who</w:t>
            </w:r>
            <w:r>
              <w:rPr>
                <w:spacing w:val="-4"/>
                <w:sz w:val="20"/>
              </w:rPr>
              <w:t> </w:t>
            </w:r>
            <w:r>
              <w:rPr>
                <w:sz w:val="20"/>
              </w:rPr>
              <w:t>conducts</w:t>
            </w:r>
            <w:r>
              <w:rPr>
                <w:spacing w:val="-4"/>
                <w:sz w:val="20"/>
              </w:rPr>
              <w:t> </w:t>
            </w:r>
            <w:r>
              <w:rPr>
                <w:sz w:val="20"/>
              </w:rPr>
              <w:t>some</w:t>
            </w:r>
            <w:r>
              <w:rPr>
                <w:spacing w:val="-4"/>
                <w:sz w:val="20"/>
              </w:rPr>
              <w:t> </w:t>
            </w:r>
            <w:r>
              <w:rPr>
                <w:sz w:val="20"/>
              </w:rPr>
              <w:t>of</w:t>
            </w:r>
            <w:r>
              <w:rPr>
                <w:spacing w:val="-4"/>
                <w:sz w:val="20"/>
              </w:rPr>
              <w:t> </w:t>
            </w:r>
            <w:r>
              <w:rPr>
                <w:sz w:val="20"/>
              </w:rPr>
              <w:t>the</w:t>
            </w:r>
            <w:r>
              <w:rPr>
                <w:spacing w:val="-4"/>
                <w:sz w:val="20"/>
              </w:rPr>
              <w:t> </w:t>
            </w:r>
            <w:r>
              <w:rPr>
                <w:sz w:val="20"/>
              </w:rPr>
              <w:t>formal</w:t>
            </w:r>
            <w:r>
              <w:rPr>
                <w:spacing w:val="-4"/>
                <w:sz w:val="20"/>
              </w:rPr>
              <w:t> </w:t>
            </w:r>
            <w:r>
              <w:rPr>
                <w:sz w:val="20"/>
              </w:rPr>
              <w:t>court processes</w:t>
            </w:r>
            <w:r>
              <w:rPr>
                <w:spacing w:val="-5"/>
                <w:sz w:val="20"/>
              </w:rPr>
              <w:t> </w:t>
            </w:r>
            <w:r>
              <w:rPr>
                <w:sz w:val="20"/>
              </w:rPr>
              <w:t>and</w:t>
            </w:r>
            <w:r>
              <w:rPr>
                <w:spacing w:val="-5"/>
                <w:sz w:val="20"/>
              </w:rPr>
              <w:t> </w:t>
            </w:r>
            <w:r>
              <w:rPr>
                <w:sz w:val="20"/>
              </w:rPr>
              <w:t>looks</w:t>
            </w:r>
            <w:r>
              <w:rPr>
                <w:spacing w:val="-5"/>
                <w:sz w:val="20"/>
              </w:rPr>
              <w:t> </w:t>
            </w:r>
            <w:r>
              <w:rPr>
                <w:sz w:val="20"/>
              </w:rPr>
              <w:t>after</w:t>
            </w:r>
            <w:r>
              <w:rPr>
                <w:spacing w:val="-4"/>
                <w:sz w:val="20"/>
              </w:rPr>
              <w:t> </w:t>
            </w:r>
            <w:r>
              <w:rPr>
                <w:sz w:val="20"/>
              </w:rPr>
              <w:t>the</w:t>
            </w:r>
            <w:r>
              <w:rPr>
                <w:spacing w:val="-5"/>
                <w:sz w:val="20"/>
              </w:rPr>
              <w:t> </w:t>
            </w:r>
            <w:r>
              <w:rPr>
                <w:b/>
                <w:sz w:val="20"/>
              </w:rPr>
              <w:t>jury</w:t>
            </w:r>
            <w:r>
              <w:rPr>
                <w:b/>
                <w:spacing w:val="-2"/>
                <w:sz w:val="20"/>
              </w:rPr>
              <w:t> </w:t>
            </w:r>
            <w:r>
              <w:rPr>
                <w:sz w:val="20"/>
              </w:rPr>
              <w:t>during</w:t>
            </w:r>
            <w:r>
              <w:rPr>
                <w:spacing w:val="-5"/>
                <w:sz w:val="20"/>
              </w:rPr>
              <w:t> </w:t>
            </w:r>
            <w:r>
              <w:rPr>
                <w:sz w:val="20"/>
              </w:rPr>
              <w:t>the</w:t>
            </w:r>
            <w:r>
              <w:rPr>
                <w:spacing w:val="-4"/>
                <w:sz w:val="20"/>
              </w:rPr>
              <w:t> </w:t>
            </w:r>
            <w:r>
              <w:rPr>
                <w:sz w:val="20"/>
              </w:rPr>
              <w:t>trial.</w:t>
            </w:r>
            <w:r>
              <w:rPr>
                <w:spacing w:val="-5"/>
                <w:sz w:val="20"/>
              </w:rPr>
              <w:t> </w:t>
            </w:r>
            <w:r>
              <w:rPr>
                <w:sz w:val="20"/>
              </w:rPr>
              <w:t>A</w:t>
            </w:r>
            <w:r>
              <w:rPr>
                <w:spacing w:val="-5"/>
                <w:sz w:val="20"/>
              </w:rPr>
              <w:t> </w:t>
            </w:r>
            <w:r>
              <w:rPr>
                <w:sz w:val="20"/>
              </w:rPr>
              <w:t>tipstaff</w:t>
            </w:r>
            <w:r>
              <w:rPr>
                <w:spacing w:val="-5"/>
                <w:sz w:val="20"/>
              </w:rPr>
              <w:t> </w:t>
            </w:r>
            <w:r>
              <w:rPr>
                <w:sz w:val="20"/>
              </w:rPr>
              <w:t>can be sworn in as a </w:t>
            </w:r>
            <w:r>
              <w:rPr>
                <w:b/>
                <w:sz w:val="20"/>
              </w:rPr>
              <w:t>jury</w:t>
            </w:r>
            <w:r>
              <w:rPr>
                <w:b/>
                <w:spacing w:val="-14"/>
                <w:sz w:val="20"/>
              </w:rPr>
              <w:t> </w:t>
            </w:r>
            <w:r>
              <w:rPr>
                <w:b/>
                <w:spacing w:val="-3"/>
                <w:sz w:val="20"/>
              </w:rPr>
              <w:t>keeper</w:t>
            </w:r>
            <w:r>
              <w:rPr>
                <w:spacing w:val="-3"/>
                <w:sz w:val="20"/>
              </w:rPr>
              <w:t>.</w:t>
            </w:r>
          </w:p>
        </w:tc>
      </w:tr>
      <w:tr>
        <w:trPr>
          <w:trHeight w:val="1604" w:hRule="atLeast"/>
        </w:trPr>
        <w:tc>
          <w:tcPr>
            <w:tcW w:w="2546" w:type="dxa"/>
          </w:tcPr>
          <w:p>
            <w:pPr>
              <w:pStyle w:val="TableParagraph"/>
              <w:spacing w:line="206" w:lineRule="auto" w:before="98"/>
              <w:ind w:right="192"/>
              <w:rPr>
                <w:b/>
                <w:sz w:val="20"/>
              </w:rPr>
            </w:pPr>
            <w:r>
              <w:rPr>
                <w:b/>
                <w:sz w:val="20"/>
              </w:rPr>
              <w:t>United Nations Convention on the Rights of Persons with Disabilities</w:t>
            </w:r>
          </w:p>
        </w:tc>
        <w:tc>
          <w:tcPr>
            <w:tcW w:w="6179" w:type="dxa"/>
          </w:tcPr>
          <w:p>
            <w:pPr>
              <w:pStyle w:val="TableParagraph"/>
              <w:spacing w:line="206" w:lineRule="auto" w:before="98"/>
              <w:ind w:right="85"/>
              <w:rPr>
                <w:sz w:val="20"/>
              </w:rPr>
            </w:pPr>
            <w:r>
              <w:rPr>
                <w:sz w:val="20"/>
              </w:rPr>
              <w:t>The UN Convention on the Rights of Persons with Disabilities (CRPD) and its Optional Protocol (A/RES/61/106) was adopted on 13 December 2006 and entered into force on 3 May 2008. Ratified in Australia in July 2008, the CRPD sets out obligations for equality and non-discrimination, accessibility, and the right to live independently and be included in the community.</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
        <w:rPr>
          <w:b/>
          <w:sz w:val="18"/>
        </w:rPr>
      </w:pPr>
      <w:r>
        <w:rPr/>
        <w:pict>
          <v:line style="position:absolute;mso-position-horizontal-relative:page;mso-position-vertical-relative:paragraph;z-index:-784;mso-wrap-distance-left:0;mso-wrap-distance-right:0" from="79.661301pt,15.5959pt" to="516.196301pt,15.5959pt" stroked="true" strokeweight="1pt" strokecolor="#b6bdc8">
            <v:stroke dashstyle="solid"/>
            <w10:wrap type="topAndBottom"/>
          </v:line>
        </w:pict>
      </w:r>
    </w:p>
    <w:p>
      <w:pPr>
        <w:pStyle w:val="ListParagraph"/>
        <w:numPr>
          <w:ilvl w:val="0"/>
          <w:numId w:val="3"/>
        </w:numPr>
        <w:tabs>
          <w:tab w:pos="1766" w:val="left" w:leader="none"/>
          <w:tab w:pos="1767" w:val="left" w:leader="none"/>
        </w:tabs>
        <w:spacing w:line="240" w:lineRule="auto" w:before="91" w:after="0"/>
        <w:ind w:left="1766" w:right="0" w:hanging="793"/>
        <w:jc w:val="left"/>
        <w:rPr>
          <w:sz w:val="13"/>
        </w:rPr>
      </w:pPr>
      <w:r>
        <w:rPr>
          <w:i/>
          <w:sz w:val="13"/>
        </w:rPr>
        <w:t>Lyons v State of Queensland </w:t>
      </w:r>
      <w:r>
        <w:rPr>
          <w:sz w:val="13"/>
        </w:rPr>
        <w:t>[2016] HCA 38, [33]; 259 CLR</w:t>
      </w:r>
      <w:r>
        <w:rPr>
          <w:spacing w:val="4"/>
          <w:sz w:val="13"/>
        </w:rPr>
        <w:t> </w:t>
      </w:r>
      <w:r>
        <w:rPr>
          <w:sz w:val="13"/>
        </w:rPr>
        <w:t>518.</w:t>
      </w:r>
    </w:p>
    <w:p>
      <w:pPr>
        <w:pStyle w:val="BodyText"/>
        <w:spacing w:before="2"/>
        <w:rPr>
          <w:sz w:val="15"/>
        </w:rPr>
      </w:pPr>
    </w:p>
    <w:p>
      <w:pPr>
        <w:spacing w:before="49"/>
        <w:ind w:left="100" w:right="0" w:firstLine="0"/>
        <w:jc w:val="left"/>
        <w:rPr>
          <w:b/>
          <w:sz w:val="24"/>
        </w:rPr>
      </w:pPr>
      <w:r>
        <w:rPr>
          <w:b/>
          <w:color w:val="37617A"/>
          <w:sz w:val="24"/>
        </w:rPr>
        <w:t>xvi</w:t>
      </w:r>
    </w:p>
    <w:p>
      <w:pPr>
        <w:spacing w:after="0"/>
        <w:jc w:val="left"/>
        <w:rPr>
          <w:sz w:val="24"/>
        </w:rPr>
        <w:sectPr>
          <w:pgSz w:w="11910" w:h="16840"/>
          <w:pgMar w:header="567" w:footer="0" w:top="860" w:bottom="280" w:left="620" w:right="380"/>
        </w:sectPr>
      </w:pPr>
    </w:p>
    <w:p>
      <w:pPr>
        <w:pStyle w:val="BodyText"/>
        <w:rPr>
          <w:b/>
        </w:rPr>
      </w:pPr>
    </w:p>
    <w:p>
      <w:pPr>
        <w:pStyle w:val="BodyText"/>
        <w:rPr>
          <w:b/>
        </w:rPr>
      </w:pPr>
    </w:p>
    <w:p>
      <w:pPr>
        <w:pStyle w:val="BodyText"/>
        <w:spacing w:before="11"/>
        <w:rPr>
          <w:b/>
          <w:sz w:val="25"/>
        </w:rPr>
      </w:pPr>
    </w:p>
    <w:p>
      <w:pPr>
        <w:spacing w:line="758" w:lineRule="exact" w:before="0"/>
        <w:ind w:left="230" w:right="0" w:firstLine="0"/>
        <w:jc w:val="left"/>
        <w:rPr>
          <w:rFonts w:ascii="Raleway ExtraBold"/>
          <w:b/>
          <w:sz w:val="56"/>
        </w:rPr>
      </w:pPr>
      <w:bookmarkStart w:name="Executive summary" w:id="8"/>
      <w:bookmarkEnd w:id="8"/>
      <w:r>
        <w:rPr/>
      </w:r>
      <w:bookmarkStart w:name="_bookmark3" w:id="9"/>
      <w:bookmarkEnd w:id="9"/>
      <w:r>
        <w:rPr/>
      </w:r>
      <w:r>
        <w:rPr>
          <w:rFonts w:ascii="Raleway ExtraBold"/>
          <w:b/>
          <w:color w:val="37617A"/>
          <w:sz w:val="56"/>
        </w:rPr>
        <w:t>Executive summary</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3"/>
        <w:rPr>
          <w:rFonts w:ascii="Raleway ExtraBold"/>
          <w:b/>
          <w:sz w:val="18"/>
        </w:rPr>
      </w:pPr>
      <w:r>
        <w:rPr/>
        <w:pict>
          <v:line style="position:absolute;mso-position-horizontal-relative:page;mso-position-vertical-relative:paragraph;z-index:-760;mso-wrap-distance-left:0;mso-wrap-distance-right:0" from="79.370102pt,15.358183pt" to="515.905102pt,15.358183pt" stroked="true" strokeweight=".5pt" strokecolor="#8f9dad">
            <v:stroke dashstyle="solid"/>
            <w10:wrap type="topAndBottom"/>
          </v:line>
        </w:pict>
      </w:r>
    </w:p>
    <w:p>
      <w:pPr>
        <w:pStyle w:val="BodyText"/>
        <w:spacing w:before="11"/>
        <w:rPr>
          <w:rFonts w:ascii="Raleway ExtraBold"/>
          <w:b/>
          <w:sz w:val="8"/>
        </w:rPr>
      </w:pPr>
    </w:p>
    <w:p>
      <w:pPr>
        <w:spacing w:before="101"/>
        <w:ind w:left="2182" w:right="0" w:firstLine="0"/>
        <w:jc w:val="left"/>
        <w:rPr>
          <w:rFonts w:ascii="Trebuchet MS" w:hAnsi="Trebuchet MS"/>
          <w:i/>
          <w:sz w:val="20"/>
        </w:rPr>
      </w:pPr>
      <w:r>
        <w:rPr>
          <w:rFonts w:ascii="Trebuchet MS" w:hAnsi="Trebuchet MS"/>
          <w:i/>
          <w:color w:val="37617A"/>
          <w:spacing w:val="-2"/>
          <w:w w:val="110"/>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5"/>
          <w:w w:val="80"/>
          <w:sz w:val="20"/>
        </w:rPr>
        <w:t>t</w:t>
      </w:r>
      <w:r>
        <w:rPr>
          <w:rFonts w:ascii="Trebuchet MS" w:hAnsi="Trebuchet MS"/>
          <w:i/>
          <w:color w:val="37617A"/>
          <w:w w:val="100"/>
          <w:sz w:val="20"/>
        </w:rPr>
        <w:t>e</w:t>
      </w:r>
      <w:r>
        <w:rPr>
          <w:rFonts w:ascii="Trebuchet MS" w:hAnsi="Trebuchet MS"/>
          <w:i/>
          <w:color w:val="37617A"/>
          <w:spacing w:val="-2"/>
          <w:w w:val="87"/>
          <w:sz w:val="20"/>
        </w:rPr>
        <w:t>l</w:t>
      </w:r>
      <w:r>
        <w:rPr>
          <w:rFonts w:ascii="Trebuchet MS" w:hAnsi="Trebuchet MS"/>
          <w:i/>
          <w:color w:val="37617A"/>
          <w:w w:val="87"/>
          <w:sz w:val="20"/>
        </w:rPr>
        <w:t>l</w:t>
      </w:r>
      <w:r>
        <w:rPr>
          <w:rFonts w:ascii="Trebuchet MS" w:hAnsi="Trebuchet MS"/>
          <w:i/>
          <w:color w:val="37617A"/>
          <w:spacing w:val="-13"/>
          <w:sz w:val="20"/>
        </w:rPr>
        <w:t> </w:t>
      </w:r>
      <w:r>
        <w:rPr>
          <w:rFonts w:ascii="Trebuchet MS" w:hAnsi="Trebuchet MS"/>
          <w:i/>
          <w:color w:val="37617A"/>
          <w:w w:val="103"/>
          <w:sz w:val="20"/>
        </w:rPr>
        <w:t>u</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1"/>
          <w:w w:val="117"/>
          <w:sz w:val="20"/>
        </w:rPr>
        <w:t>s</w:t>
      </w:r>
      <w:r>
        <w:rPr>
          <w:rFonts w:ascii="Trebuchet MS" w:hAnsi="Trebuchet MS"/>
          <w:i/>
          <w:color w:val="37617A"/>
          <w:spacing w:val="-4"/>
          <w:w w:val="80"/>
          <w:sz w:val="20"/>
        </w:rPr>
        <w:t>t</w:t>
      </w:r>
      <w:r>
        <w:rPr>
          <w:rFonts w:ascii="Trebuchet MS" w:hAnsi="Trebuchet MS"/>
          <w:i/>
          <w:color w:val="37617A"/>
          <w:w w:val="115"/>
          <w:sz w:val="20"/>
        </w:rPr>
        <w:t>a</w:t>
      </w:r>
      <w:r>
        <w:rPr>
          <w:rFonts w:ascii="Trebuchet MS" w:hAnsi="Trebuchet MS"/>
          <w:i/>
          <w:color w:val="37617A"/>
          <w:spacing w:val="-2"/>
          <w:w w:val="103"/>
          <w:sz w:val="20"/>
        </w:rPr>
        <w:t>n</w:t>
      </w:r>
      <w:r>
        <w:rPr>
          <w:rFonts w:ascii="Trebuchet MS" w:hAnsi="Trebuchet MS"/>
          <w:i/>
          <w:color w:val="37617A"/>
          <w:spacing w:val="-3"/>
          <w:w w:val="80"/>
          <w:sz w:val="20"/>
        </w:rPr>
        <w:t>t</w:t>
      </w:r>
      <w:r>
        <w:rPr>
          <w:rFonts w:ascii="Trebuchet MS" w:hAnsi="Trebuchet MS"/>
          <w:i/>
          <w:color w:val="37617A"/>
          <w:spacing w:val="-6"/>
          <w:w w:val="87"/>
          <w:sz w:val="20"/>
        </w:rPr>
        <w:t>l</w:t>
      </w:r>
      <w:r>
        <w:rPr>
          <w:rFonts w:ascii="Trebuchet MS" w:hAnsi="Trebuchet MS"/>
          <w:i/>
          <w:color w:val="37617A"/>
          <w:spacing w:val="-2"/>
          <w:w w:val="101"/>
          <w:sz w:val="20"/>
        </w:rPr>
        <w:t>y</w:t>
      </w:r>
      <w:r>
        <w:rPr>
          <w:rFonts w:ascii="Trebuchet MS" w:hAnsi="Trebuchet MS"/>
          <w:i/>
          <w:color w:val="37617A"/>
          <w:w w:val="53"/>
          <w:sz w:val="20"/>
        </w:rPr>
        <w:t>:</w:t>
      </w:r>
      <w:r>
        <w:rPr>
          <w:rFonts w:ascii="Trebuchet MS" w:hAnsi="Trebuchet MS"/>
          <w:i/>
          <w:color w:val="37617A"/>
          <w:spacing w:val="-13"/>
          <w:sz w:val="20"/>
        </w:rPr>
        <w:t> </w:t>
      </w:r>
      <w:r>
        <w:rPr>
          <w:rFonts w:ascii="Trebuchet MS" w:hAnsi="Trebuchet MS"/>
          <w:i/>
          <w:color w:val="37617A"/>
          <w:spacing w:val="4"/>
          <w:w w:val="56"/>
          <w:sz w:val="20"/>
        </w:rPr>
        <w:t>‘</w:t>
      </w:r>
      <w:r>
        <w:rPr>
          <w:rFonts w:ascii="Trebuchet MS" w:hAnsi="Trebuchet MS"/>
          <w:i/>
          <w:color w:val="37617A"/>
          <w:spacing w:val="-13"/>
          <w:w w:val="107"/>
          <w:sz w:val="20"/>
        </w:rPr>
        <w:t>Y</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15"/>
          <w:sz w:val="20"/>
        </w:rPr>
        <w:t>a</w:t>
      </w:r>
      <w:r>
        <w:rPr>
          <w:rFonts w:ascii="Trebuchet MS" w:hAnsi="Trebuchet MS"/>
          <w:i/>
          <w:color w:val="37617A"/>
          <w:spacing w:val="-7"/>
          <w:w w:val="103"/>
          <w:sz w:val="20"/>
        </w:rPr>
        <w:t>n</w:t>
      </w:r>
      <w:r>
        <w:rPr>
          <w:rFonts w:ascii="Trebuchet MS" w:hAnsi="Trebuchet MS"/>
          <w:i/>
          <w:color w:val="37617A"/>
          <w:spacing w:val="3"/>
          <w:w w:val="54"/>
          <w:sz w:val="20"/>
        </w:rPr>
        <w:t>’</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1"/>
          <w:w w:val="108"/>
          <w:sz w:val="20"/>
        </w:rPr>
        <w:t>d</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73"/>
          <w:sz w:val="20"/>
        </w:rPr>
        <w:t>i</w:t>
      </w:r>
      <w:r>
        <w:rPr>
          <w:rFonts w:ascii="Trebuchet MS" w:hAnsi="Trebuchet MS"/>
          <w:i/>
          <w:color w:val="37617A"/>
          <w:spacing w:val="-2"/>
          <w:w w:val="117"/>
          <w:sz w:val="20"/>
        </w:rPr>
        <w:t>s</w:t>
      </w:r>
      <w:r>
        <w:rPr>
          <w:rFonts w:ascii="Trebuchet MS" w:hAnsi="Trebuchet MS"/>
          <w:i/>
          <w:color w:val="37617A"/>
          <w:w w:val="55"/>
          <w:sz w:val="20"/>
        </w:rPr>
        <w:t>;</w:t>
      </w:r>
      <w:r>
        <w:rPr>
          <w:rFonts w:ascii="Trebuchet MS" w:hAnsi="Trebuchet MS"/>
          <w:i/>
          <w:color w:val="37617A"/>
          <w:spacing w:val="-13"/>
          <w:sz w:val="20"/>
        </w:rPr>
        <w:t> </w:t>
      </w:r>
      <w:r>
        <w:rPr>
          <w:rFonts w:ascii="Trebuchet MS" w:hAnsi="Trebuchet MS"/>
          <w:i/>
          <w:color w:val="37617A"/>
          <w:spacing w:val="-2"/>
          <w:w w:val="101"/>
          <w:sz w:val="20"/>
        </w:rPr>
        <w:t>y</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15"/>
          <w:sz w:val="20"/>
        </w:rPr>
        <w:t>a</w:t>
      </w:r>
      <w:r>
        <w:rPr>
          <w:rFonts w:ascii="Trebuchet MS" w:hAnsi="Trebuchet MS"/>
          <w:i/>
          <w:color w:val="37617A"/>
          <w:spacing w:val="-7"/>
          <w:w w:val="103"/>
          <w:sz w:val="20"/>
        </w:rPr>
        <w:t>n</w:t>
      </w:r>
      <w:r>
        <w:rPr>
          <w:rFonts w:ascii="Trebuchet MS" w:hAnsi="Trebuchet MS"/>
          <w:i/>
          <w:color w:val="37617A"/>
          <w:spacing w:val="3"/>
          <w:w w:val="54"/>
          <w:sz w:val="20"/>
        </w:rPr>
        <w:t>’</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spacing w:val="-1"/>
          <w:w w:val="107"/>
          <w:sz w:val="20"/>
        </w:rPr>
        <w:t>o</w:t>
      </w:r>
      <w:r>
        <w:rPr>
          <w:rFonts w:ascii="Trebuchet MS" w:hAnsi="Trebuchet MS"/>
          <w:i/>
          <w:color w:val="37617A"/>
          <w:w w:val="117"/>
          <w:sz w:val="20"/>
        </w:rPr>
        <w:t>s</w:t>
      </w:r>
      <w:r>
        <w:rPr>
          <w:rFonts w:ascii="Trebuchet MS" w:hAnsi="Trebuchet MS"/>
          <w:i/>
          <w:color w:val="37617A"/>
          <w:spacing w:val="-1"/>
          <w:w w:val="117"/>
          <w:sz w:val="20"/>
        </w:rPr>
        <w:t>s</w:t>
      </w:r>
      <w:r>
        <w:rPr>
          <w:rFonts w:ascii="Trebuchet MS" w:hAnsi="Trebuchet MS"/>
          <w:i/>
          <w:color w:val="37617A"/>
          <w:w w:val="73"/>
          <w:sz w:val="20"/>
        </w:rPr>
        <w:t>i</w:t>
      </w:r>
      <w:r>
        <w:rPr>
          <w:rFonts w:ascii="Trebuchet MS" w:hAnsi="Trebuchet MS"/>
          <w:i/>
          <w:color w:val="37617A"/>
          <w:w w:val="107"/>
          <w:sz w:val="20"/>
        </w:rPr>
        <w:t>b</w:t>
      </w:r>
      <w:r>
        <w:rPr>
          <w:rFonts w:ascii="Trebuchet MS" w:hAnsi="Trebuchet MS"/>
          <w:i/>
          <w:color w:val="37617A"/>
          <w:spacing w:val="-6"/>
          <w:w w:val="87"/>
          <w:sz w:val="20"/>
        </w:rPr>
        <w:t>l</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spacing w:val="-1"/>
          <w:w w:val="108"/>
          <w:sz w:val="20"/>
        </w:rPr>
        <w:t>d</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99"/>
          <w:sz w:val="20"/>
        </w:rPr>
        <w:t>a</w:t>
      </w:r>
      <w:r>
        <w:rPr>
          <w:rFonts w:ascii="Trebuchet MS" w:hAnsi="Trebuchet MS"/>
          <w:i/>
          <w:color w:val="37617A"/>
          <w:spacing w:val="2"/>
          <w:w w:val="99"/>
          <w:sz w:val="20"/>
        </w:rPr>
        <w:t>t</w:t>
      </w:r>
      <w:r>
        <w:rPr>
          <w:rFonts w:ascii="Trebuchet MS" w:hAnsi="Trebuchet MS"/>
          <w:i/>
          <w:color w:val="37617A"/>
          <w:spacing w:val="1"/>
          <w:w w:val="54"/>
          <w:sz w:val="20"/>
        </w:rPr>
        <w:t>’</w:t>
      </w:r>
      <w:r>
        <w:rPr>
          <w:rFonts w:ascii="Trebuchet MS" w:hAnsi="Trebuchet MS"/>
          <w:i/>
          <w:color w:val="37617A"/>
          <w:w w:val="54"/>
          <w:sz w:val="20"/>
        </w:rPr>
        <w:t>.</w:t>
      </w:r>
    </w:p>
    <w:p>
      <w:pPr>
        <w:spacing w:line="247" w:lineRule="auto" w:before="8"/>
        <w:ind w:left="1898" w:right="2136" w:firstLine="1"/>
        <w:jc w:val="center"/>
        <w:rPr>
          <w:rFonts w:ascii="Trebuchet MS" w:hAnsi="Trebuchet MS"/>
          <w:sz w:val="19"/>
        </w:rPr>
      </w:pPr>
      <w:r>
        <w:rPr>
          <w:rFonts w:ascii="Trebuchet MS" w:hAnsi="Trebuchet MS"/>
          <w:i/>
          <w:color w:val="37617A"/>
          <w:sz w:val="20"/>
        </w:rPr>
        <w:t>But</w:t>
      </w:r>
      <w:r>
        <w:rPr>
          <w:rFonts w:ascii="Trebuchet MS" w:hAnsi="Trebuchet MS"/>
          <w:i/>
          <w:color w:val="37617A"/>
          <w:spacing w:val="-23"/>
          <w:sz w:val="20"/>
        </w:rPr>
        <w:t> </w:t>
      </w:r>
      <w:r>
        <w:rPr>
          <w:rFonts w:ascii="Trebuchet MS" w:hAnsi="Trebuchet MS"/>
          <w:i/>
          <w:color w:val="37617A"/>
          <w:sz w:val="20"/>
        </w:rPr>
        <w:t>we</w:t>
      </w:r>
      <w:r>
        <w:rPr>
          <w:rFonts w:ascii="Trebuchet MS" w:hAnsi="Trebuchet MS"/>
          <w:i/>
          <w:color w:val="37617A"/>
          <w:spacing w:val="-22"/>
          <w:sz w:val="20"/>
        </w:rPr>
        <w:t> </w:t>
      </w:r>
      <w:r>
        <w:rPr>
          <w:rFonts w:ascii="Trebuchet MS" w:hAnsi="Trebuchet MS"/>
          <w:i/>
          <w:color w:val="37617A"/>
          <w:sz w:val="20"/>
        </w:rPr>
        <w:t>are</w:t>
      </w:r>
      <w:r>
        <w:rPr>
          <w:rFonts w:ascii="Trebuchet MS" w:hAnsi="Trebuchet MS"/>
          <w:i/>
          <w:color w:val="37617A"/>
          <w:spacing w:val="-22"/>
          <w:sz w:val="20"/>
        </w:rPr>
        <w:t> </w:t>
      </w:r>
      <w:r>
        <w:rPr>
          <w:rFonts w:ascii="Trebuchet MS" w:hAnsi="Trebuchet MS"/>
          <w:i/>
          <w:color w:val="37617A"/>
          <w:sz w:val="20"/>
        </w:rPr>
        <w:t>not</w:t>
      </w:r>
      <w:r>
        <w:rPr>
          <w:rFonts w:ascii="Trebuchet MS" w:hAnsi="Trebuchet MS"/>
          <w:i/>
          <w:color w:val="37617A"/>
          <w:spacing w:val="-22"/>
          <w:sz w:val="20"/>
        </w:rPr>
        <w:t> </w:t>
      </w:r>
      <w:r>
        <w:rPr>
          <w:rFonts w:ascii="Trebuchet MS" w:hAnsi="Trebuchet MS"/>
          <w:i/>
          <w:color w:val="37617A"/>
          <w:sz w:val="20"/>
        </w:rPr>
        <w:t>offered</w:t>
      </w:r>
      <w:r>
        <w:rPr>
          <w:rFonts w:ascii="Trebuchet MS" w:hAnsi="Trebuchet MS"/>
          <w:i/>
          <w:color w:val="37617A"/>
          <w:spacing w:val="-22"/>
          <w:sz w:val="20"/>
        </w:rPr>
        <w:t> </w:t>
      </w:r>
      <w:r>
        <w:rPr>
          <w:rFonts w:ascii="Trebuchet MS" w:hAnsi="Trebuchet MS"/>
          <w:i/>
          <w:color w:val="37617A"/>
          <w:sz w:val="20"/>
        </w:rPr>
        <w:t>the</w:t>
      </w:r>
      <w:r>
        <w:rPr>
          <w:rFonts w:ascii="Trebuchet MS" w:hAnsi="Trebuchet MS"/>
          <w:i/>
          <w:color w:val="37617A"/>
          <w:spacing w:val="-22"/>
          <w:sz w:val="20"/>
        </w:rPr>
        <w:t> </w:t>
      </w:r>
      <w:r>
        <w:rPr>
          <w:rFonts w:ascii="Trebuchet MS" w:hAnsi="Trebuchet MS"/>
          <w:i/>
          <w:color w:val="37617A"/>
          <w:sz w:val="20"/>
        </w:rPr>
        <w:t>opportunity</w:t>
      </w:r>
      <w:r>
        <w:rPr>
          <w:rFonts w:ascii="Trebuchet MS" w:hAnsi="Trebuchet MS"/>
          <w:i/>
          <w:color w:val="37617A"/>
          <w:spacing w:val="-22"/>
          <w:sz w:val="20"/>
        </w:rPr>
        <w:t> </w:t>
      </w:r>
      <w:r>
        <w:rPr>
          <w:rFonts w:ascii="Trebuchet MS" w:hAnsi="Trebuchet MS"/>
          <w:i/>
          <w:color w:val="37617A"/>
          <w:sz w:val="20"/>
        </w:rPr>
        <w:t>to</w:t>
      </w:r>
      <w:r>
        <w:rPr>
          <w:rFonts w:ascii="Trebuchet MS" w:hAnsi="Trebuchet MS"/>
          <w:i/>
          <w:color w:val="37617A"/>
          <w:spacing w:val="-22"/>
          <w:sz w:val="20"/>
        </w:rPr>
        <w:t> </w:t>
      </w:r>
      <w:r>
        <w:rPr>
          <w:rFonts w:ascii="Trebuchet MS" w:hAnsi="Trebuchet MS"/>
          <w:i/>
          <w:color w:val="37617A"/>
          <w:sz w:val="20"/>
        </w:rPr>
        <w:t>try</w:t>
      </w:r>
      <w:r>
        <w:rPr>
          <w:rFonts w:ascii="Trebuchet MS" w:hAnsi="Trebuchet MS"/>
          <w:i/>
          <w:color w:val="37617A"/>
          <w:spacing w:val="-22"/>
          <w:sz w:val="20"/>
        </w:rPr>
        <w:t> </w:t>
      </w:r>
      <w:r>
        <w:rPr>
          <w:rFonts w:ascii="Trebuchet MS" w:hAnsi="Trebuchet MS"/>
          <w:i/>
          <w:color w:val="37617A"/>
          <w:sz w:val="20"/>
        </w:rPr>
        <w:t>because</w:t>
      </w:r>
      <w:r>
        <w:rPr>
          <w:rFonts w:ascii="Trebuchet MS" w:hAnsi="Trebuchet MS"/>
          <w:i/>
          <w:color w:val="37617A"/>
          <w:spacing w:val="-22"/>
          <w:sz w:val="20"/>
        </w:rPr>
        <w:t> </w:t>
      </w:r>
      <w:r>
        <w:rPr>
          <w:rFonts w:ascii="Trebuchet MS" w:hAnsi="Trebuchet MS"/>
          <w:i/>
          <w:color w:val="37617A"/>
          <w:sz w:val="20"/>
        </w:rPr>
        <w:t>of</w:t>
      </w:r>
      <w:r>
        <w:rPr>
          <w:rFonts w:ascii="Trebuchet MS" w:hAnsi="Trebuchet MS"/>
          <w:i/>
          <w:color w:val="37617A"/>
          <w:spacing w:val="-22"/>
          <w:sz w:val="20"/>
        </w:rPr>
        <w:t> </w:t>
      </w:r>
      <w:r>
        <w:rPr>
          <w:rFonts w:ascii="Trebuchet MS" w:hAnsi="Trebuchet MS"/>
          <w:i/>
          <w:color w:val="37617A"/>
          <w:sz w:val="20"/>
        </w:rPr>
        <w:t>the</w:t>
      </w:r>
      <w:r>
        <w:rPr>
          <w:rFonts w:ascii="Trebuchet MS" w:hAnsi="Trebuchet MS"/>
          <w:i/>
          <w:color w:val="37617A"/>
          <w:spacing w:val="-22"/>
          <w:sz w:val="20"/>
        </w:rPr>
        <w:t> </w:t>
      </w:r>
      <w:r>
        <w:rPr>
          <w:rFonts w:ascii="Trebuchet MS" w:hAnsi="Trebuchet MS"/>
          <w:i/>
          <w:color w:val="37617A"/>
          <w:sz w:val="20"/>
        </w:rPr>
        <w:t>current</w:t>
      </w:r>
      <w:r>
        <w:rPr>
          <w:rFonts w:ascii="Trebuchet MS" w:hAnsi="Trebuchet MS"/>
          <w:i/>
          <w:color w:val="37617A"/>
          <w:spacing w:val="-22"/>
          <w:sz w:val="20"/>
        </w:rPr>
        <w:t> </w:t>
      </w:r>
      <w:r>
        <w:rPr>
          <w:rFonts w:ascii="Trebuchet MS" w:hAnsi="Trebuchet MS"/>
          <w:i/>
          <w:color w:val="37617A"/>
          <w:sz w:val="20"/>
        </w:rPr>
        <w:t>barriers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w w:val="115"/>
          <w:sz w:val="20"/>
        </w:rPr>
        <w:t>a</w:t>
      </w:r>
      <w:r>
        <w:rPr>
          <w:rFonts w:ascii="Trebuchet MS" w:hAnsi="Trebuchet MS"/>
          <w:i/>
          <w:color w:val="37617A"/>
          <w:spacing w:val="2"/>
          <w:w w:val="84"/>
          <w:sz w:val="20"/>
        </w:rPr>
        <w:t>r</w:t>
      </w:r>
      <w:r>
        <w:rPr>
          <w:rFonts w:ascii="Trebuchet MS" w:hAnsi="Trebuchet MS"/>
          <w:i/>
          <w:color w:val="37617A"/>
          <w:spacing w:val="-1"/>
          <w:w w:val="80"/>
          <w:sz w:val="20"/>
        </w:rPr>
        <w:t>t</w:t>
      </w:r>
      <w:r>
        <w:rPr>
          <w:rFonts w:ascii="Trebuchet MS" w:hAnsi="Trebuchet MS"/>
          <w:i/>
          <w:color w:val="37617A"/>
          <w:w w:val="73"/>
          <w:sz w:val="20"/>
        </w:rPr>
        <w:t>i</w:t>
      </w:r>
      <w:r>
        <w:rPr>
          <w:rFonts w:ascii="Trebuchet MS" w:hAnsi="Trebuchet MS"/>
          <w:i/>
          <w:color w:val="37617A"/>
          <w:w w:val="115"/>
          <w:sz w:val="20"/>
        </w:rPr>
        <w:t>c</w:t>
      </w:r>
      <w:r>
        <w:rPr>
          <w:rFonts w:ascii="Trebuchet MS" w:hAnsi="Trebuchet MS"/>
          <w:i/>
          <w:color w:val="37617A"/>
          <w:w w:val="73"/>
          <w:sz w:val="20"/>
        </w:rPr>
        <w:t>i</w:t>
      </w:r>
      <w:r>
        <w:rPr>
          <w:rFonts w:ascii="Trebuchet MS" w:hAnsi="Trebuchet MS"/>
          <w:i/>
          <w:color w:val="37617A"/>
          <w:w w:val="107"/>
          <w:sz w:val="20"/>
        </w:rPr>
        <w:t>p</w:t>
      </w:r>
      <w:r>
        <w:rPr>
          <w:rFonts w:ascii="Trebuchet MS" w:hAnsi="Trebuchet MS"/>
          <w:i/>
          <w:color w:val="37617A"/>
          <w:spacing w:val="-1"/>
          <w:w w:val="99"/>
          <w:sz w:val="20"/>
        </w:rPr>
        <w:t>at</w:t>
      </w:r>
      <w:r>
        <w:rPr>
          <w:rFonts w:ascii="Trebuchet MS" w:hAnsi="Trebuchet MS"/>
          <w:i/>
          <w:color w:val="37617A"/>
          <w:w w:val="73"/>
          <w:sz w:val="20"/>
        </w:rPr>
        <w:t>i</w:t>
      </w:r>
      <w:r>
        <w:rPr>
          <w:rFonts w:ascii="Trebuchet MS" w:hAnsi="Trebuchet MS"/>
          <w:i/>
          <w:color w:val="37617A"/>
          <w:w w:val="107"/>
          <w:sz w:val="20"/>
        </w:rPr>
        <w:t>o</w:t>
      </w:r>
      <w:r>
        <w:rPr>
          <w:rFonts w:ascii="Trebuchet MS" w:hAnsi="Trebuchet MS"/>
          <w:i/>
          <w:color w:val="37617A"/>
          <w:spacing w:val="1"/>
          <w:w w:val="103"/>
          <w:sz w:val="20"/>
        </w:rPr>
        <w:t>n</w:t>
      </w:r>
      <w:r>
        <w:rPr>
          <w:rFonts w:ascii="Trebuchet MS" w:hAnsi="Trebuchet MS"/>
          <w:i/>
          <w:color w:val="37617A"/>
          <w:w w:val="54"/>
          <w:sz w:val="20"/>
        </w:rPr>
        <w:t>.</w:t>
      </w:r>
      <w:r>
        <w:rPr>
          <w:rFonts w:ascii="Trebuchet MS" w:hAnsi="Trebuchet MS"/>
          <w:i/>
          <w:color w:val="37617A"/>
          <w:spacing w:val="-13"/>
          <w:sz w:val="20"/>
        </w:rPr>
        <w:t> </w:t>
      </w:r>
      <w:r>
        <w:rPr>
          <w:rFonts w:ascii="Trebuchet MS" w:hAnsi="Trebuchet MS"/>
          <w:i/>
          <w:color w:val="37617A"/>
          <w:spacing w:val="-11"/>
          <w:w w:val="117"/>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spacing w:val="-3"/>
          <w:w w:val="87"/>
          <w:sz w:val="20"/>
        </w:rPr>
        <w:t>l</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3"/>
          <w:sz w:val="20"/>
        </w:rPr>
        <w:t> </w:t>
      </w:r>
      <w:r>
        <w:rPr>
          <w:rFonts w:ascii="Trebuchet MS" w:hAnsi="Trebuchet MS"/>
          <w:i/>
          <w:color w:val="37617A"/>
          <w:w w:val="108"/>
          <w:sz w:val="20"/>
        </w:rPr>
        <w:t>d</w:t>
      </w:r>
      <w:r>
        <w:rPr>
          <w:rFonts w:ascii="Trebuchet MS" w:hAnsi="Trebuchet MS"/>
          <w:i/>
          <w:color w:val="37617A"/>
          <w:spacing w:val="-1"/>
          <w:w w:val="73"/>
          <w:sz w:val="20"/>
        </w:rPr>
        <w:t>i</w:t>
      </w:r>
      <w:r>
        <w:rPr>
          <w:rFonts w:ascii="Trebuchet MS" w:hAnsi="Trebuchet MS"/>
          <w:i/>
          <w:color w:val="37617A"/>
          <w:w w:val="72"/>
          <w:sz w:val="20"/>
        </w:rPr>
        <w:t>f</w:t>
      </w:r>
      <w:r>
        <w:rPr>
          <w:rFonts w:ascii="Trebuchet MS" w:hAnsi="Trebuchet MS"/>
          <w:i/>
          <w:color w:val="37617A"/>
          <w:spacing w:val="-3"/>
          <w:w w:val="72"/>
          <w:sz w:val="20"/>
        </w:rPr>
        <w:t>f</w:t>
      </w:r>
      <w:r>
        <w:rPr>
          <w:rFonts w:ascii="Trebuchet MS" w:hAnsi="Trebuchet MS"/>
          <w:i/>
          <w:color w:val="37617A"/>
          <w:spacing w:val="1"/>
          <w:w w:val="100"/>
          <w:sz w:val="20"/>
        </w:rPr>
        <w:t>e</w:t>
      </w:r>
      <w:r>
        <w:rPr>
          <w:rFonts w:ascii="Trebuchet MS" w:hAnsi="Trebuchet MS"/>
          <w:i/>
          <w:color w:val="37617A"/>
          <w:spacing w:val="-4"/>
          <w:w w:val="84"/>
          <w:sz w:val="20"/>
        </w:rPr>
        <w:t>r</w:t>
      </w:r>
      <w:r>
        <w:rPr>
          <w:rFonts w:ascii="Trebuchet MS" w:hAnsi="Trebuchet MS"/>
          <w:i/>
          <w:color w:val="37617A"/>
          <w:spacing w:val="1"/>
          <w:w w:val="100"/>
          <w:sz w:val="20"/>
        </w:rPr>
        <w:t>e</w:t>
      </w:r>
      <w:r>
        <w:rPr>
          <w:rFonts w:ascii="Trebuchet MS" w:hAnsi="Trebuchet MS"/>
          <w:i/>
          <w:color w:val="37617A"/>
          <w:spacing w:val="-2"/>
          <w:w w:val="103"/>
          <w:sz w:val="20"/>
        </w:rPr>
        <w:t>n</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spacing w:val="1"/>
          <w:w w:val="100"/>
          <w:sz w:val="20"/>
        </w:rPr>
        <w:t>e</w:t>
      </w:r>
      <w:r>
        <w:rPr>
          <w:rFonts w:ascii="Trebuchet MS" w:hAnsi="Trebuchet MS"/>
          <w:i/>
          <w:color w:val="37617A"/>
          <w:spacing w:val="-1"/>
          <w:w w:val="84"/>
          <w:sz w:val="20"/>
        </w:rPr>
        <w:t>r</w:t>
      </w:r>
      <w:r>
        <w:rPr>
          <w:rFonts w:ascii="Trebuchet MS" w:hAnsi="Trebuchet MS"/>
          <w:i/>
          <w:color w:val="37617A"/>
          <w:spacing w:val="-1"/>
          <w:w w:val="117"/>
          <w:sz w:val="20"/>
        </w:rPr>
        <w:t>s</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spacing w:val="-2"/>
          <w:w w:val="115"/>
          <w:sz w:val="20"/>
        </w:rPr>
        <w:t>c</w:t>
      </w:r>
      <w:r>
        <w:rPr>
          <w:rFonts w:ascii="Trebuchet MS" w:hAnsi="Trebuchet MS"/>
          <w:i/>
          <w:color w:val="37617A"/>
          <w:spacing w:val="-1"/>
          <w:w w:val="80"/>
          <w:sz w:val="20"/>
        </w:rPr>
        <w:t>t</w:t>
      </w:r>
      <w:r>
        <w:rPr>
          <w:rFonts w:ascii="Trebuchet MS" w:hAnsi="Trebuchet MS"/>
          <w:i/>
          <w:color w:val="37617A"/>
          <w:spacing w:val="-2"/>
          <w:w w:val="73"/>
          <w:sz w:val="20"/>
        </w:rPr>
        <w:t>i</w:t>
      </w:r>
      <w:r>
        <w:rPr>
          <w:rFonts w:ascii="Trebuchet MS" w:hAnsi="Trebuchet MS"/>
          <w:i/>
          <w:color w:val="37617A"/>
          <w:spacing w:val="-3"/>
          <w:w w:val="103"/>
          <w:sz w:val="20"/>
        </w:rPr>
        <w:t>v</w:t>
      </w:r>
      <w:r>
        <w:rPr>
          <w:rFonts w:ascii="Trebuchet MS" w:hAnsi="Trebuchet MS"/>
          <w:i/>
          <w:color w:val="37617A"/>
          <w:spacing w:val="1"/>
          <w:w w:val="100"/>
          <w:sz w:val="20"/>
        </w:rPr>
        <w:t>e</w:t>
      </w:r>
      <w:r>
        <w:rPr>
          <w:rFonts w:ascii="Trebuchet MS" w:hAnsi="Trebuchet MS"/>
          <w:i/>
          <w:color w:val="37617A"/>
          <w:w w:val="54"/>
          <w:sz w:val="20"/>
        </w:rPr>
        <w:t>.</w:t>
      </w:r>
      <w:r>
        <w:rPr>
          <w:rFonts w:ascii="Trebuchet MS" w:hAnsi="Trebuchet MS"/>
          <w:i/>
          <w:color w:val="37617A"/>
          <w:spacing w:val="-13"/>
          <w:sz w:val="20"/>
        </w:rPr>
        <w:t> </w:t>
      </w:r>
      <w:r>
        <w:rPr>
          <w:rFonts w:ascii="Trebuchet MS" w:hAnsi="Trebuchet MS"/>
          <w:i/>
          <w:color w:val="37617A"/>
          <w:w w:val="115"/>
          <w:sz w:val="20"/>
        </w:rPr>
        <w:t>N</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
          <w:w w:val="117"/>
          <w:sz w:val="20"/>
        </w:rPr>
        <w:t>s</w:t>
      </w:r>
      <w:r>
        <w:rPr>
          <w:rFonts w:ascii="Trebuchet MS" w:hAnsi="Trebuchet MS"/>
          <w:i/>
          <w:color w:val="37617A"/>
          <w:spacing w:val="-1"/>
          <w:w w:val="107"/>
          <w:sz w:val="20"/>
        </w:rPr>
        <w:t>k</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03"/>
          <w:sz w:val="20"/>
        </w:rPr>
        <w:t>u</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1"/>
          <w:sz w:val="20"/>
        </w:rPr>
        <w:t>h</w:t>
      </w:r>
      <w:r>
        <w:rPr>
          <w:rFonts w:ascii="Trebuchet MS" w:hAnsi="Trebuchet MS"/>
          <w:i/>
          <w:color w:val="37617A"/>
          <w:spacing w:val="-1"/>
          <w:w w:val="99"/>
          <w:sz w:val="20"/>
        </w:rPr>
        <w:t>at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1"/>
          <w:w w:val="108"/>
          <w:sz w:val="20"/>
        </w:rPr>
        <w:t>d</w:t>
      </w:r>
      <w:r>
        <w:rPr>
          <w:rFonts w:ascii="Trebuchet MS" w:hAnsi="Trebuchet MS"/>
          <w:i/>
          <w:color w:val="37617A"/>
          <w:w w:val="107"/>
          <w:sz w:val="20"/>
        </w:rPr>
        <w:t>o</w:t>
      </w:r>
      <w:r>
        <w:rPr>
          <w:rFonts w:ascii="Trebuchet MS" w:hAnsi="Trebuchet MS"/>
          <w:i/>
          <w:color w:val="37617A"/>
          <w:w w:val="54"/>
          <w:sz w:val="20"/>
        </w:rPr>
        <w:t>.</w:t>
      </w:r>
      <w:r>
        <w:rPr>
          <w:rFonts w:ascii="Trebuchet MS" w:hAnsi="Trebuchet MS"/>
          <w:i/>
          <w:color w:val="37617A"/>
          <w:spacing w:val="4"/>
          <w:w w:val="87"/>
          <w:position w:val="7"/>
          <w:sz w:val="11"/>
        </w:rPr>
        <w:t>1</w:t>
      </w:r>
      <w:r>
        <w:rPr>
          <w:rFonts w:ascii="Trebuchet MS" w:hAnsi="Trebuchet MS"/>
          <w:color w:val="37617A"/>
          <w:spacing w:val="1"/>
          <w:w w:val="124"/>
          <w:sz w:val="19"/>
        </w:rPr>
        <w:t>—</w:t>
      </w:r>
      <w:r>
        <w:rPr>
          <w:rFonts w:ascii="Trebuchet MS" w:hAnsi="Trebuchet MS"/>
          <w:color w:val="37617A"/>
          <w:spacing w:val="-1"/>
          <w:w w:val="111"/>
          <w:sz w:val="19"/>
        </w:rPr>
        <w:t>P</w:t>
      </w:r>
      <w:r>
        <w:rPr>
          <w:rFonts w:ascii="Trebuchet MS" w:hAnsi="Trebuchet MS"/>
          <w:color w:val="37617A"/>
          <w:w w:val="100"/>
          <w:sz w:val="19"/>
        </w:rPr>
        <w:t>a</w:t>
      </w:r>
      <w:r>
        <w:rPr>
          <w:rFonts w:ascii="Trebuchet MS" w:hAnsi="Trebuchet MS"/>
          <w:color w:val="37617A"/>
          <w:spacing w:val="3"/>
          <w:w w:val="100"/>
          <w:sz w:val="19"/>
        </w:rPr>
        <w:t>r</w:t>
      </w:r>
      <w:r>
        <w:rPr>
          <w:rFonts w:ascii="Trebuchet MS" w:hAnsi="Trebuchet MS"/>
          <w:color w:val="37617A"/>
          <w:w w:val="85"/>
          <w:sz w:val="19"/>
        </w:rPr>
        <w:t>ti</w:t>
      </w:r>
      <w:r>
        <w:rPr>
          <w:rFonts w:ascii="Trebuchet MS" w:hAnsi="Trebuchet MS"/>
          <w:color w:val="37617A"/>
          <w:spacing w:val="-1"/>
          <w:w w:val="111"/>
          <w:sz w:val="19"/>
        </w:rPr>
        <w:t>c</w:t>
      </w:r>
      <w:r>
        <w:rPr>
          <w:rFonts w:ascii="Trebuchet MS" w:hAnsi="Trebuchet MS"/>
          <w:color w:val="37617A"/>
          <w:spacing w:val="-1"/>
          <w:w w:val="80"/>
          <w:sz w:val="19"/>
        </w:rPr>
        <w:t>i</w:t>
      </w:r>
      <w:r>
        <w:rPr>
          <w:rFonts w:ascii="Trebuchet MS" w:hAnsi="Trebuchet MS"/>
          <w:color w:val="37617A"/>
          <w:w w:val="111"/>
          <w:sz w:val="19"/>
        </w:rPr>
        <w:t>p</w:t>
      </w:r>
      <w:r>
        <w:rPr>
          <w:rFonts w:ascii="Trebuchet MS" w:hAnsi="Trebuchet MS"/>
          <w:color w:val="37617A"/>
          <w:w w:val="106"/>
          <w:sz w:val="19"/>
        </w:rPr>
        <w:t>a</w:t>
      </w:r>
      <w:r>
        <w:rPr>
          <w:rFonts w:ascii="Trebuchet MS" w:hAnsi="Trebuchet MS"/>
          <w:color w:val="37617A"/>
          <w:spacing w:val="-2"/>
          <w:w w:val="106"/>
          <w:sz w:val="19"/>
        </w:rPr>
        <w:t>n</w:t>
      </w:r>
      <w:r>
        <w:rPr>
          <w:rFonts w:ascii="Trebuchet MS" w:hAnsi="Trebuchet MS"/>
          <w:color w:val="37617A"/>
          <w:w w:val="88"/>
          <w:sz w:val="19"/>
        </w:rPr>
        <w:t>t</w:t>
      </w:r>
      <w:r>
        <w:rPr>
          <w:rFonts w:ascii="Trebuchet MS" w:hAnsi="Trebuchet MS"/>
          <w:color w:val="37617A"/>
          <w:spacing w:val="-12"/>
          <w:sz w:val="19"/>
        </w:rPr>
        <w:t> </w:t>
      </w:r>
      <w:r>
        <w:rPr>
          <w:rFonts w:ascii="Trebuchet MS" w:hAnsi="Trebuchet MS"/>
          <w:color w:val="37617A"/>
          <w:spacing w:val="-1"/>
          <w:w w:val="80"/>
          <w:sz w:val="19"/>
        </w:rPr>
        <w:t>i</w:t>
      </w:r>
      <w:r>
        <w:rPr>
          <w:rFonts w:ascii="Trebuchet MS" w:hAnsi="Trebuchet MS"/>
          <w:color w:val="37617A"/>
          <w:w w:val="107"/>
          <w:sz w:val="19"/>
        </w:rPr>
        <w:t>n</w:t>
      </w:r>
      <w:r>
        <w:rPr>
          <w:rFonts w:ascii="Trebuchet MS" w:hAnsi="Trebuchet MS"/>
          <w:color w:val="37617A"/>
          <w:spacing w:val="-12"/>
          <w:sz w:val="19"/>
        </w:rPr>
        <w:t> </w:t>
      </w:r>
      <w:r>
        <w:rPr>
          <w:rFonts w:ascii="Trebuchet MS" w:hAnsi="Trebuchet MS"/>
          <w:color w:val="37617A"/>
          <w:w w:val="99"/>
          <w:sz w:val="19"/>
        </w:rPr>
        <w:t>th</w:t>
      </w:r>
      <w:r>
        <w:rPr>
          <w:rFonts w:ascii="Trebuchet MS" w:hAnsi="Trebuchet MS"/>
          <w:color w:val="37617A"/>
          <w:w w:val="108"/>
          <w:sz w:val="19"/>
        </w:rPr>
        <w:t>e</w:t>
      </w:r>
      <w:r>
        <w:rPr>
          <w:rFonts w:ascii="Trebuchet MS" w:hAnsi="Trebuchet MS"/>
          <w:color w:val="37617A"/>
          <w:spacing w:val="-12"/>
          <w:sz w:val="19"/>
        </w:rPr>
        <w:t> </w:t>
      </w:r>
      <w:r>
        <w:rPr>
          <w:rFonts w:ascii="Trebuchet MS" w:hAnsi="Trebuchet MS"/>
          <w:color w:val="37617A"/>
          <w:spacing w:val="1"/>
          <w:w w:val="116"/>
          <w:sz w:val="19"/>
        </w:rPr>
        <w:t>D</w:t>
      </w:r>
      <w:r>
        <w:rPr>
          <w:rFonts w:ascii="Trebuchet MS" w:hAnsi="Trebuchet MS"/>
          <w:color w:val="37617A"/>
          <w:w w:val="108"/>
          <w:sz w:val="19"/>
        </w:rPr>
        <w:t>e</w:t>
      </w:r>
      <w:r>
        <w:rPr>
          <w:rFonts w:ascii="Trebuchet MS" w:hAnsi="Trebuchet MS"/>
          <w:color w:val="37617A"/>
          <w:spacing w:val="-2"/>
          <w:w w:val="105"/>
          <w:sz w:val="19"/>
        </w:rPr>
        <w:t>a</w:t>
      </w:r>
      <w:r>
        <w:rPr>
          <w:rFonts w:ascii="Trebuchet MS" w:hAnsi="Trebuchet MS"/>
          <w:color w:val="37617A"/>
          <w:w w:val="92"/>
          <w:sz w:val="19"/>
        </w:rPr>
        <w:t>f</w:t>
      </w:r>
      <w:r>
        <w:rPr>
          <w:rFonts w:ascii="Trebuchet MS" w:hAnsi="Trebuchet MS"/>
          <w:color w:val="37617A"/>
          <w:spacing w:val="-12"/>
          <w:sz w:val="19"/>
        </w:rPr>
        <w:t> </w:t>
      </w:r>
      <w:r>
        <w:rPr>
          <w:rFonts w:ascii="Trebuchet MS" w:hAnsi="Trebuchet MS"/>
          <w:color w:val="37617A"/>
          <w:w w:val="115"/>
          <w:sz w:val="19"/>
        </w:rPr>
        <w:t>V</w:t>
      </w:r>
      <w:r>
        <w:rPr>
          <w:rFonts w:ascii="Trebuchet MS" w:hAnsi="Trebuchet MS"/>
          <w:color w:val="37617A"/>
          <w:w w:val="80"/>
          <w:sz w:val="19"/>
        </w:rPr>
        <w:t>i</w:t>
      </w:r>
      <w:r>
        <w:rPr>
          <w:rFonts w:ascii="Trebuchet MS" w:hAnsi="Trebuchet MS"/>
          <w:color w:val="37617A"/>
          <w:w w:val="101"/>
          <w:sz w:val="19"/>
        </w:rPr>
        <w:t>c</w:t>
      </w:r>
      <w:r>
        <w:rPr>
          <w:rFonts w:ascii="Trebuchet MS" w:hAnsi="Trebuchet MS"/>
          <w:color w:val="37617A"/>
          <w:spacing w:val="-3"/>
          <w:w w:val="101"/>
          <w:sz w:val="19"/>
        </w:rPr>
        <w:t>t</w:t>
      </w:r>
      <w:r>
        <w:rPr>
          <w:rFonts w:ascii="Trebuchet MS" w:hAnsi="Trebuchet MS"/>
          <w:color w:val="37617A"/>
          <w:w w:val="111"/>
          <w:sz w:val="19"/>
        </w:rPr>
        <w:t>o</w:t>
      </w:r>
      <w:r>
        <w:rPr>
          <w:rFonts w:ascii="Trebuchet MS" w:hAnsi="Trebuchet MS"/>
          <w:color w:val="37617A"/>
          <w:spacing w:val="-1"/>
          <w:w w:val="93"/>
          <w:sz w:val="19"/>
        </w:rPr>
        <w:t>r</w:t>
      </w:r>
      <w:r>
        <w:rPr>
          <w:rFonts w:ascii="Trebuchet MS" w:hAnsi="Trebuchet MS"/>
          <w:color w:val="37617A"/>
          <w:w w:val="80"/>
          <w:sz w:val="19"/>
        </w:rPr>
        <w:t>i</w:t>
      </w:r>
      <w:r>
        <w:rPr>
          <w:rFonts w:ascii="Trebuchet MS" w:hAnsi="Trebuchet MS"/>
          <w:color w:val="37617A"/>
          <w:w w:val="105"/>
          <w:sz w:val="19"/>
        </w:rPr>
        <w:t>a</w:t>
      </w:r>
      <w:r>
        <w:rPr>
          <w:rFonts w:ascii="Trebuchet MS" w:hAnsi="Trebuchet MS"/>
          <w:color w:val="37617A"/>
          <w:spacing w:val="-12"/>
          <w:sz w:val="19"/>
        </w:rPr>
        <w:t> </w:t>
      </w:r>
      <w:r>
        <w:rPr>
          <w:rFonts w:ascii="Trebuchet MS" w:hAnsi="Trebuchet MS"/>
          <w:color w:val="37617A"/>
          <w:spacing w:val="-1"/>
          <w:w w:val="111"/>
          <w:sz w:val="19"/>
        </w:rPr>
        <w:t>c</w:t>
      </w:r>
      <w:r>
        <w:rPr>
          <w:rFonts w:ascii="Trebuchet MS" w:hAnsi="Trebuchet MS"/>
          <w:color w:val="37617A"/>
          <w:w w:val="111"/>
          <w:sz w:val="19"/>
        </w:rPr>
        <w:t>o</w:t>
      </w:r>
      <w:r>
        <w:rPr>
          <w:rFonts w:ascii="Trebuchet MS" w:hAnsi="Trebuchet MS"/>
          <w:color w:val="37617A"/>
          <w:w w:val="113"/>
          <w:sz w:val="19"/>
        </w:rPr>
        <w:t>n</w:t>
      </w:r>
      <w:r>
        <w:rPr>
          <w:rFonts w:ascii="Trebuchet MS" w:hAnsi="Trebuchet MS"/>
          <w:color w:val="37617A"/>
          <w:spacing w:val="-1"/>
          <w:w w:val="113"/>
          <w:sz w:val="19"/>
        </w:rPr>
        <w:t>s</w:t>
      </w:r>
      <w:r>
        <w:rPr>
          <w:rFonts w:ascii="Trebuchet MS" w:hAnsi="Trebuchet MS"/>
          <w:color w:val="37617A"/>
          <w:spacing w:val="-1"/>
          <w:w w:val="109"/>
          <w:sz w:val="19"/>
        </w:rPr>
        <w:t>u</w:t>
      </w:r>
      <w:r>
        <w:rPr>
          <w:rFonts w:ascii="Trebuchet MS" w:hAnsi="Trebuchet MS"/>
          <w:color w:val="37617A"/>
          <w:spacing w:val="-2"/>
          <w:w w:val="96"/>
          <w:sz w:val="19"/>
        </w:rPr>
        <w:t>l</w:t>
      </w:r>
      <w:r>
        <w:rPr>
          <w:rFonts w:ascii="Trebuchet MS" w:hAnsi="Trebuchet MS"/>
          <w:color w:val="37617A"/>
          <w:spacing w:val="1"/>
          <w:w w:val="88"/>
          <w:sz w:val="19"/>
        </w:rPr>
        <w:t>t</w:t>
      </w:r>
      <w:r>
        <w:rPr>
          <w:rFonts w:ascii="Trebuchet MS" w:hAnsi="Trebuchet MS"/>
          <w:color w:val="37617A"/>
          <w:spacing w:val="-3"/>
          <w:w w:val="105"/>
          <w:sz w:val="19"/>
        </w:rPr>
        <w:t>a</w:t>
      </w:r>
      <w:r>
        <w:rPr>
          <w:rFonts w:ascii="Trebuchet MS" w:hAnsi="Trebuchet MS"/>
          <w:color w:val="37617A"/>
          <w:w w:val="85"/>
          <w:sz w:val="19"/>
        </w:rPr>
        <w:t>ti</w:t>
      </w:r>
      <w:r>
        <w:rPr>
          <w:rFonts w:ascii="Trebuchet MS" w:hAnsi="Trebuchet MS"/>
          <w:color w:val="37617A"/>
          <w:w w:val="111"/>
          <w:sz w:val="19"/>
        </w:rPr>
        <w:t>o</w:t>
      </w:r>
      <w:r>
        <w:rPr>
          <w:rFonts w:ascii="Trebuchet MS" w:hAnsi="Trebuchet MS"/>
          <w:color w:val="37617A"/>
          <w:w w:val="107"/>
          <w:sz w:val="19"/>
        </w:rPr>
        <w:t>n</w:t>
      </w:r>
    </w:p>
    <w:p>
      <w:pPr>
        <w:pStyle w:val="BodyText"/>
        <w:spacing w:before="6"/>
        <w:rPr>
          <w:rFonts w:ascii="Trebuchet MS"/>
          <w:sz w:val="9"/>
        </w:rPr>
      </w:pPr>
      <w:r>
        <w:rPr/>
        <w:pict>
          <v:line style="position:absolute;mso-position-horizontal-relative:page;mso-position-vertical-relative:paragraph;z-index:-736;mso-wrap-distance-left:0;mso-wrap-distance-right:0" from="79.370102pt,7.757668pt" to="515.905102pt,7.757668pt" stroked="true" strokeweight=".5pt" strokecolor="#8f9dad">
            <v:stroke dashstyle="solid"/>
            <w10:wrap type="topAndBottom"/>
          </v:line>
        </w:pict>
      </w:r>
    </w:p>
    <w:p>
      <w:pPr>
        <w:pStyle w:val="BodyText"/>
        <w:spacing w:before="9"/>
        <w:rPr>
          <w:rFonts w:ascii="Trebuchet MS"/>
          <w:sz w:val="31"/>
        </w:rPr>
      </w:pPr>
    </w:p>
    <w:p>
      <w:pPr>
        <w:pStyle w:val="ListParagraph"/>
        <w:numPr>
          <w:ilvl w:val="0"/>
          <w:numId w:val="4"/>
        </w:numPr>
        <w:tabs>
          <w:tab w:pos="1761" w:val="left" w:leader="none"/>
          <w:tab w:pos="1762" w:val="left" w:leader="none"/>
        </w:tabs>
        <w:spacing w:line="206" w:lineRule="auto" w:before="0" w:after="0"/>
        <w:ind w:left="1761" w:right="1443" w:hanging="794"/>
        <w:jc w:val="left"/>
        <w:rPr>
          <w:sz w:val="20"/>
        </w:rPr>
      </w:pPr>
      <w:r>
        <w:rPr>
          <w:sz w:val="20"/>
        </w:rPr>
        <w:t>This</w:t>
      </w:r>
      <w:r>
        <w:rPr>
          <w:spacing w:val="-6"/>
          <w:sz w:val="20"/>
        </w:rPr>
        <w:t> </w:t>
      </w:r>
      <w:r>
        <w:rPr>
          <w:sz w:val="20"/>
        </w:rPr>
        <w:t>report</w:t>
      </w:r>
      <w:r>
        <w:rPr>
          <w:spacing w:val="-6"/>
          <w:sz w:val="20"/>
        </w:rPr>
        <w:t> </w:t>
      </w:r>
      <w:r>
        <w:rPr>
          <w:sz w:val="20"/>
        </w:rPr>
        <w:t>recommends</w:t>
      </w:r>
      <w:r>
        <w:rPr>
          <w:spacing w:val="-5"/>
          <w:sz w:val="20"/>
        </w:rPr>
        <w:t> </w:t>
      </w:r>
      <w:r>
        <w:rPr>
          <w:spacing w:val="-3"/>
          <w:sz w:val="20"/>
        </w:rPr>
        <w:t>ways</w:t>
      </w:r>
      <w:r>
        <w:rPr>
          <w:spacing w:val="-6"/>
          <w:sz w:val="20"/>
        </w:rPr>
        <w:t> </w:t>
      </w:r>
      <w:r>
        <w:rPr>
          <w:sz w:val="20"/>
        </w:rPr>
        <w:t>to</w:t>
      </w:r>
      <w:r>
        <w:rPr>
          <w:spacing w:val="-5"/>
          <w:sz w:val="20"/>
        </w:rPr>
        <w:t> </w:t>
      </w:r>
      <w:r>
        <w:rPr>
          <w:spacing w:val="-3"/>
          <w:sz w:val="20"/>
        </w:rPr>
        <w:t>remove</w:t>
      </w:r>
      <w:r>
        <w:rPr>
          <w:spacing w:val="-6"/>
          <w:sz w:val="20"/>
        </w:rPr>
        <w:t> </w:t>
      </w:r>
      <w:r>
        <w:rPr>
          <w:sz w:val="20"/>
        </w:rPr>
        <w:t>barriers</w:t>
      </w:r>
      <w:r>
        <w:rPr>
          <w:spacing w:val="-5"/>
          <w:sz w:val="20"/>
        </w:rPr>
        <w:t> </w:t>
      </w:r>
      <w:r>
        <w:rPr>
          <w:sz w:val="20"/>
        </w:rPr>
        <w:t>from</w:t>
      </w:r>
      <w:r>
        <w:rPr>
          <w:spacing w:val="-6"/>
          <w:sz w:val="20"/>
        </w:rPr>
        <w:t> </w:t>
      </w:r>
      <w:r>
        <w:rPr>
          <w:sz w:val="20"/>
        </w:rPr>
        <w:t>current</w:t>
      </w:r>
      <w:r>
        <w:rPr>
          <w:spacing w:val="-5"/>
          <w:sz w:val="20"/>
        </w:rPr>
        <w:t> </w:t>
      </w:r>
      <w:r>
        <w:rPr>
          <w:sz w:val="20"/>
        </w:rPr>
        <w:t>law</w:t>
      </w:r>
      <w:r>
        <w:rPr>
          <w:spacing w:val="-6"/>
          <w:sz w:val="20"/>
        </w:rPr>
        <w:t> </w:t>
      </w:r>
      <w:r>
        <w:rPr>
          <w:sz w:val="20"/>
        </w:rPr>
        <w:t>and</w:t>
      </w:r>
      <w:r>
        <w:rPr>
          <w:spacing w:val="-5"/>
          <w:sz w:val="20"/>
        </w:rPr>
        <w:t> </w:t>
      </w:r>
      <w:r>
        <w:rPr>
          <w:sz w:val="20"/>
        </w:rPr>
        <w:t>practice</w:t>
      </w:r>
      <w:r>
        <w:rPr>
          <w:spacing w:val="-6"/>
          <w:sz w:val="20"/>
        </w:rPr>
        <w:t> </w:t>
      </w:r>
      <w:r>
        <w:rPr>
          <w:sz w:val="20"/>
        </w:rPr>
        <w:t>that </w:t>
      </w:r>
      <w:r>
        <w:rPr>
          <w:spacing w:val="-3"/>
          <w:sz w:val="20"/>
        </w:rPr>
        <w:t>prevent </w:t>
      </w:r>
      <w:r>
        <w:rPr>
          <w:sz w:val="20"/>
        </w:rPr>
        <w:t>Victorians who are </w:t>
      </w:r>
      <w:r>
        <w:rPr>
          <w:spacing w:val="-3"/>
          <w:sz w:val="20"/>
        </w:rPr>
        <w:t>deaf, </w:t>
      </w:r>
      <w:r>
        <w:rPr>
          <w:sz w:val="20"/>
        </w:rPr>
        <w:t>hard of hearing, blind or </w:t>
      </w:r>
      <w:r>
        <w:rPr>
          <w:spacing w:val="-3"/>
          <w:sz w:val="20"/>
        </w:rPr>
        <w:t>have low </w:t>
      </w:r>
      <w:r>
        <w:rPr>
          <w:sz w:val="20"/>
        </w:rPr>
        <w:t>vision (whom </w:t>
      </w:r>
      <w:r>
        <w:rPr>
          <w:spacing w:val="-3"/>
          <w:sz w:val="20"/>
        </w:rPr>
        <w:t>we </w:t>
      </w:r>
      <w:r>
        <w:rPr>
          <w:sz w:val="20"/>
        </w:rPr>
        <w:t>refer to in our report as ‘the subject groups’) from serving as</w:t>
      </w:r>
      <w:r>
        <w:rPr>
          <w:spacing w:val="-33"/>
          <w:sz w:val="20"/>
        </w:rPr>
        <w:t> </w:t>
      </w:r>
      <w:r>
        <w:rPr>
          <w:sz w:val="20"/>
        </w:rPr>
        <w:t>jurors.</w:t>
      </w:r>
    </w:p>
    <w:p>
      <w:pPr>
        <w:pStyle w:val="ListParagraph"/>
        <w:numPr>
          <w:ilvl w:val="0"/>
          <w:numId w:val="4"/>
        </w:numPr>
        <w:tabs>
          <w:tab w:pos="1761" w:val="left" w:leader="none"/>
          <w:tab w:pos="1762" w:val="left" w:leader="none"/>
        </w:tabs>
        <w:spacing w:line="206" w:lineRule="auto" w:before="117" w:after="0"/>
        <w:ind w:left="1761" w:right="1432" w:hanging="794"/>
        <w:jc w:val="left"/>
        <w:rPr>
          <w:sz w:val="20"/>
        </w:rPr>
      </w:pPr>
      <w:r>
        <w:rPr>
          <w:sz w:val="20"/>
        </w:rPr>
        <w:t>In the first part of the report, </w:t>
      </w:r>
      <w:r>
        <w:rPr>
          <w:spacing w:val="-3"/>
          <w:sz w:val="20"/>
        </w:rPr>
        <w:t>we </w:t>
      </w:r>
      <w:r>
        <w:rPr>
          <w:sz w:val="20"/>
        </w:rPr>
        <w:t>set the scene for reform </w:t>
      </w:r>
      <w:r>
        <w:rPr>
          <w:spacing w:val="-3"/>
          <w:sz w:val="20"/>
        </w:rPr>
        <w:t>by </w:t>
      </w:r>
      <w:r>
        <w:rPr>
          <w:sz w:val="20"/>
        </w:rPr>
        <w:t>explaining the barriers to service that people currently face and the international legal obligations that </w:t>
      </w:r>
      <w:r>
        <w:rPr>
          <w:spacing w:val="-3"/>
          <w:sz w:val="20"/>
        </w:rPr>
        <w:t>we </w:t>
      </w:r>
      <w:r>
        <w:rPr>
          <w:sz w:val="20"/>
        </w:rPr>
        <w:t>should abide </w:t>
      </w:r>
      <w:r>
        <w:rPr>
          <w:spacing w:val="-6"/>
          <w:sz w:val="20"/>
        </w:rPr>
        <w:t>by. We </w:t>
      </w:r>
      <w:r>
        <w:rPr>
          <w:sz w:val="20"/>
        </w:rPr>
        <w:t>consider how things are done overseas, where people who are </w:t>
      </w:r>
      <w:r>
        <w:rPr>
          <w:spacing w:val="-3"/>
          <w:sz w:val="20"/>
        </w:rPr>
        <w:t>deaf,</w:t>
      </w:r>
      <w:r>
        <w:rPr>
          <w:spacing w:val="-4"/>
          <w:sz w:val="20"/>
        </w:rPr>
        <w:t> </w:t>
      </w:r>
      <w:r>
        <w:rPr>
          <w:sz w:val="20"/>
        </w:rPr>
        <w:t>hard</w:t>
      </w:r>
      <w:r>
        <w:rPr>
          <w:spacing w:val="-4"/>
          <w:sz w:val="20"/>
        </w:rPr>
        <w:t> </w:t>
      </w:r>
      <w:r>
        <w:rPr>
          <w:sz w:val="20"/>
        </w:rPr>
        <w:t>of</w:t>
      </w:r>
      <w:r>
        <w:rPr>
          <w:spacing w:val="-3"/>
          <w:sz w:val="20"/>
        </w:rPr>
        <w:t> </w:t>
      </w:r>
      <w:r>
        <w:rPr>
          <w:sz w:val="20"/>
        </w:rPr>
        <w:t>hearing,</w:t>
      </w:r>
      <w:r>
        <w:rPr>
          <w:spacing w:val="-4"/>
          <w:sz w:val="20"/>
        </w:rPr>
        <w:t> </w:t>
      </w:r>
      <w:r>
        <w:rPr>
          <w:sz w:val="20"/>
        </w:rPr>
        <w:t>blind</w:t>
      </w:r>
      <w:r>
        <w:rPr>
          <w:spacing w:val="-4"/>
          <w:sz w:val="20"/>
        </w:rPr>
        <w:t> </w:t>
      </w:r>
      <w:r>
        <w:rPr>
          <w:sz w:val="20"/>
        </w:rPr>
        <w:t>or</w:t>
      </w:r>
      <w:r>
        <w:rPr>
          <w:spacing w:val="-3"/>
          <w:sz w:val="20"/>
        </w:rPr>
        <w:t> have</w:t>
      </w:r>
      <w:r>
        <w:rPr>
          <w:spacing w:val="-4"/>
          <w:sz w:val="20"/>
        </w:rPr>
        <w:t> </w:t>
      </w:r>
      <w:r>
        <w:rPr>
          <w:spacing w:val="-3"/>
          <w:sz w:val="20"/>
        </w:rPr>
        <w:t>low</w:t>
      </w:r>
      <w:r>
        <w:rPr>
          <w:spacing w:val="-4"/>
          <w:sz w:val="20"/>
        </w:rPr>
        <w:t> </w:t>
      </w:r>
      <w:r>
        <w:rPr>
          <w:sz w:val="20"/>
        </w:rPr>
        <w:t>vision</w:t>
      </w:r>
      <w:r>
        <w:rPr>
          <w:spacing w:val="-3"/>
          <w:sz w:val="20"/>
        </w:rPr>
        <w:t> have</w:t>
      </w:r>
      <w:r>
        <w:rPr>
          <w:spacing w:val="-4"/>
          <w:sz w:val="20"/>
        </w:rPr>
        <w:t> </w:t>
      </w:r>
      <w:r>
        <w:rPr>
          <w:sz w:val="20"/>
        </w:rPr>
        <w:t>served</w:t>
      </w:r>
      <w:r>
        <w:rPr>
          <w:spacing w:val="-4"/>
          <w:sz w:val="20"/>
        </w:rPr>
        <w:t> </w:t>
      </w:r>
      <w:r>
        <w:rPr>
          <w:sz w:val="20"/>
        </w:rPr>
        <w:t>on</w:t>
      </w:r>
      <w:r>
        <w:rPr>
          <w:spacing w:val="-3"/>
          <w:sz w:val="20"/>
        </w:rPr>
        <w:t> </w:t>
      </w:r>
      <w:r>
        <w:rPr>
          <w:sz w:val="20"/>
        </w:rPr>
        <w:t>juries</w:t>
      </w:r>
      <w:r>
        <w:rPr>
          <w:spacing w:val="-4"/>
          <w:sz w:val="20"/>
        </w:rPr>
        <w:t> </w:t>
      </w:r>
      <w:r>
        <w:rPr>
          <w:sz w:val="20"/>
        </w:rPr>
        <w:t>for</w:t>
      </w:r>
      <w:r>
        <w:rPr>
          <w:spacing w:val="-4"/>
          <w:sz w:val="20"/>
        </w:rPr>
        <w:t> </w:t>
      </w:r>
      <w:r>
        <w:rPr>
          <w:sz w:val="20"/>
        </w:rPr>
        <w:t>years.</w:t>
      </w:r>
      <w:r>
        <w:rPr>
          <w:spacing w:val="-3"/>
          <w:sz w:val="20"/>
        </w:rPr>
        <w:t> </w:t>
      </w:r>
      <w:r>
        <w:rPr>
          <w:spacing w:val="-6"/>
          <w:sz w:val="20"/>
        </w:rPr>
        <w:t>We</w:t>
      </w:r>
      <w:r>
        <w:rPr>
          <w:spacing w:val="-4"/>
          <w:sz w:val="20"/>
        </w:rPr>
        <w:t> </w:t>
      </w:r>
      <w:r>
        <w:rPr>
          <w:sz w:val="20"/>
        </w:rPr>
        <w:t>set out what people told us about wanting to serve as</w:t>
      </w:r>
      <w:r>
        <w:rPr>
          <w:spacing w:val="-27"/>
          <w:sz w:val="20"/>
        </w:rPr>
        <w:t> </w:t>
      </w:r>
      <w:r>
        <w:rPr>
          <w:sz w:val="20"/>
        </w:rPr>
        <w:t>jurors.</w:t>
      </w:r>
    </w:p>
    <w:p>
      <w:pPr>
        <w:pStyle w:val="ListParagraph"/>
        <w:numPr>
          <w:ilvl w:val="0"/>
          <w:numId w:val="4"/>
        </w:numPr>
        <w:tabs>
          <w:tab w:pos="1761" w:val="left" w:leader="none"/>
          <w:tab w:pos="1762" w:val="left" w:leader="none"/>
        </w:tabs>
        <w:spacing w:line="206" w:lineRule="auto" w:before="120" w:after="0"/>
        <w:ind w:left="1761" w:right="1498" w:hanging="794"/>
        <w:jc w:val="left"/>
        <w:rPr>
          <w:sz w:val="20"/>
        </w:rPr>
      </w:pPr>
      <w:r>
        <w:rPr>
          <w:sz w:val="20"/>
        </w:rPr>
        <w:t>The second part of the report </w:t>
      </w:r>
      <w:r>
        <w:rPr>
          <w:spacing w:val="-3"/>
          <w:sz w:val="20"/>
        </w:rPr>
        <w:t>(from </w:t>
      </w:r>
      <w:r>
        <w:rPr>
          <w:sz w:val="20"/>
        </w:rPr>
        <w:t>Chapter 11) contains the Commission’s recommendations</w:t>
      </w:r>
      <w:r>
        <w:rPr>
          <w:spacing w:val="-9"/>
          <w:sz w:val="20"/>
        </w:rPr>
        <w:t> </w:t>
      </w:r>
      <w:r>
        <w:rPr>
          <w:sz w:val="20"/>
        </w:rPr>
        <w:t>for</w:t>
      </w:r>
      <w:r>
        <w:rPr>
          <w:spacing w:val="-8"/>
          <w:sz w:val="20"/>
        </w:rPr>
        <w:t> </w:t>
      </w:r>
      <w:r>
        <w:rPr>
          <w:sz w:val="20"/>
        </w:rPr>
        <w:t>reform,</w:t>
      </w:r>
      <w:r>
        <w:rPr>
          <w:spacing w:val="-8"/>
          <w:sz w:val="20"/>
        </w:rPr>
        <w:t> </w:t>
      </w:r>
      <w:r>
        <w:rPr>
          <w:sz w:val="20"/>
        </w:rPr>
        <w:t>and</w:t>
      </w:r>
      <w:r>
        <w:rPr>
          <w:spacing w:val="-8"/>
          <w:sz w:val="20"/>
        </w:rPr>
        <w:t> </w:t>
      </w:r>
      <w:r>
        <w:rPr>
          <w:sz w:val="20"/>
        </w:rPr>
        <w:t>provides</w:t>
      </w:r>
      <w:r>
        <w:rPr>
          <w:spacing w:val="-9"/>
          <w:sz w:val="20"/>
        </w:rPr>
        <w:t> </w:t>
      </w:r>
      <w:r>
        <w:rPr>
          <w:sz w:val="20"/>
        </w:rPr>
        <w:t>examples</w:t>
      </w:r>
      <w:r>
        <w:rPr>
          <w:spacing w:val="-8"/>
          <w:sz w:val="20"/>
        </w:rPr>
        <w:t> </w:t>
      </w:r>
      <w:r>
        <w:rPr>
          <w:sz w:val="20"/>
        </w:rPr>
        <w:t>of</w:t>
      </w:r>
      <w:r>
        <w:rPr>
          <w:spacing w:val="-8"/>
          <w:sz w:val="20"/>
        </w:rPr>
        <w:t> </w:t>
      </w:r>
      <w:r>
        <w:rPr>
          <w:sz w:val="20"/>
        </w:rPr>
        <w:t>the</w:t>
      </w:r>
      <w:r>
        <w:rPr>
          <w:spacing w:val="-8"/>
          <w:sz w:val="20"/>
        </w:rPr>
        <w:t> </w:t>
      </w:r>
      <w:r>
        <w:rPr>
          <w:sz w:val="20"/>
        </w:rPr>
        <w:t>adjustments</w:t>
      </w:r>
      <w:r>
        <w:rPr>
          <w:spacing w:val="-9"/>
          <w:sz w:val="20"/>
        </w:rPr>
        <w:t> </w:t>
      </w:r>
      <w:r>
        <w:rPr>
          <w:sz w:val="20"/>
        </w:rPr>
        <w:t>that</w:t>
      </w:r>
      <w:r>
        <w:rPr>
          <w:spacing w:val="-8"/>
          <w:sz w:val="20"/>
        </w:rPr>
        <w:t> </w:t>
      </w:r>
      <w:r>
        <w:rPr>
          <w:sz w:val="20"/>
        </w:rPr>
        <w:t>could enable people in the subject groups to</w:t>
      </w:r>
      <w:r>
        <w:rPr>
          <w:spacing w:val="-17"/>
          <w:sz w:val="20"/>
        </w:rPr>
        <w:t> </w:t>
      </w:r>
      <w:r>
        <w:rPr>
          <w:sz w:val="20"/>
        </w:rPr>
        <w:t>serve.</w:t>
      </w:r>
    </w:p>
    <w:p>
      <w:pPr>
        <w:pStyle w:val="BodyText"/>
        <w:rPr>
          <w:sz w:val="16"/>
        </w:rPr>
      </w:pPr>
    </w:p>
    <w:p>
      <w:pPr>
        <w:spacing w:before="1"/>
        <w:ind w:left="967" w:right="0" w:firstLine="0"/>
        <w:jc w:val="left"/>
        <w:rPr>
          <w:rFonts w:ascii="Raleway ExtraBold"/>
          <w:b/>
          <w:sz w:val="28"/>
        </w:rPr>
      </w:pPr>
      <w:r>
        <w:rPr>
          <w:rFonts w:ascii="Raleway ExtraBold"/>
          <w:b/>
          <w:color w:val="37617A"/>
          <w:sz w:val="28"/>
        </w:rPr>
        <w:t>What is the problem with current law and practice?</w:t>
      </w:r>
    </w:p>
    <w:p>
      <w:pPr>
        <w:pStyle w:val="BodyText"/>
        <w:spacing w:before="7"/>
        <w:rPr>
          <w:rFonts w:ascii="Raleway ExtraBold"/>
          <w:b/>
          <w:sz w:val="15"/>
        </w:rPr>
      </w:pPr>
      <w:r>
        <w:rPr/>
        <w:pict>
          <v:line style="position:absolute;mso-position-horizontal-relative:page;mso-position-vertical-relative:paragraph;z-index:-712;mso-wrap-distance-left:0;mso-wrap-distance-right:0" from="79.370102pt,12.973742pt" to="515.905102pt,12.973742pt" stroked="true" strokeweight=".5pt" strokecolor="#8f9dad">
            <v:stroke dashstyle="solid"/>
            <w10:wrap type="topAndBottom"/>
          </v:line>
        </w:pict>
      </w:r>
    </w:p>
    <w:p>
      <w:pPr>
        <w:spacing w:line="247" w:lineRule="auto" w:before="223"/>
        <w:ind w:left="1806" w:right="2044" w:firstLine="0"/>
        <w:jc w:val="center"/>
        <w:rPr>
          <w:rFonts w:ascii="Trebuchet MS" w:hAnsi="Trebuchet MS"/>
          <w:i/>
          <w:sz w:val="11"/>
        </w:rPr>
      </w:pPr>
      <w:r>
        <w:rPr>
          <w:rFonts w:ascii="Trebuchet MS" w:hAnsi="Trebuchet MS"/>
          <w:i/>
          <w:color w:val="37617A"/>
          <w:sz w:val="20"/>
        </w:rPr>
        <w:t>The</w:t>
      </w:r>
      <w:r>
        <w:rPr>
          <w:rFonts w:ascii="Trebuchet MS" w:hAnsi="Trebuchet MS"/>
          <w:i/>
          <w:color w:val="37617A"/>
          <w:spacing w:val="-9"/>
          <w:sz w:val="20"/>
        </w:rPr>
        <w:t> </w:t>
      </w:r>
      <w:r>
        <w:rPr>
          <w:rFonts w:ascii="Trebuchet MS" w:hAnsi="Trebuchet MS"/>
          <w:i/>
          <w:color w:val="37617A"/>
          <w:sz w:val="20"/>
        </w:rPr>
        <w:t>public</w:t>
      </w:r>
      <w:r>
        <w:rPr>
          <w:rFonts w:ascii="Trebuchet MS" w:hAnsi="Trebuchet MS"/>
          <w:i/>
          <w:color w:val="37617A"/>
          <w:spacing w:val="-8"/>
          <w:sz w:val="20"/>
        </w:rPr>
        <w:t> </w:t>
      </w:r>
      <w:r>
        <w:rPr>
          <w:rFonts w:ascii="Trebuchet MS" w:hAnsi="Trebuchet MS"/>
          <w:i/>
          <w:color w:val="37617A"/>
          <w:sz w:val="20"/>
        </w:rPr>
        <w:t>will</w:t>
      </w:r>
      <w:r>
        <w:rPr>
          <w:rFonts w:ascii="Trebuchet MS" w:hAnsi="Trebuchet MS"/>
          <w:i/>
          <w:color w:val="37617A"/>
          <w:spacing w:val="-8"/>
          <w:sz w:val="20"/>
        </w:rPr>
        <w:t> </w:t>
      </w:r>
      <w:r>
        <w:rPr>
          <w:rFonts w:ascii="Trebuchet MS" w:hAnsi="Trebuchet MS"/>
          <w:i/>
          <w:color w:val="37617A"/>
          <w:sz w:val="20"/>
        </w:rPr>
        <w:t>only</w:t>
      </w:r>
      <w:r>
        <w:rPr>
          <w:rFonts w:ascii="Trebuchet MS" w:hAnsi="Trebuchet MS"/>
          <w:i/>
          <w:color w:val="37617A"/>
          <w:spacing w:val="-8"/>
          <w:sz w:val="20"/>
        </w:rPr>
        <w:t> </w:t>
      </w:r>
      <w:r>
        <w:rPr>
          <w:rFonts w:ascii="Trebuchet MS" w:hAnsi="Trebuchet MS"/>
          <w:i/>
          <w:color w:val="37617A"/>
          <w:sz w:val="20"/>
        </w:rPr>
        <w:t>know</w:t>
      </w:r>
      <w:r>
        <w:rPr>
          <w:rFonts w:ascii="Trebuchet MS" w:hAnsi="Trebuchet MS"/>
          <w:i/>
          <w:color w:val="37617A"/>
          <w:spacing w:val="-9"/>
          <w:sz w:val="20"/>
        </w:rPr>
        <w:t> </w:t>
      </w:r>
      <w:r>
        <w:rPr>
          <w:rFonts w:ascii="Trebuchet MS" w:hAnsi="Trebuchet MS"/>
          <w:i/>
          <w:color w:val="37617A"/>
          <w:sz w:val="20"/>
        </w:rPr>
        <w:t>what</w:t>
      </w:r>
      <w:r>
        <w:rPr>
          <w:rFonts w:ascii="Trebuchet MS" w:hAnsi="Trebuchet MS"/>
          <w:i/>
          <w:color w:val="37617A"/>
          <w:spacing w:val="-8"/>
          <w:sz w:val="20"/>
        </w:rPr>
        <w:t> </w:t>
      </w:r>
      <w:r>
        <w:rPr>
          <w:rFonts w:ascii="Trebuchet MS" w:hAnsi="Trebuchet MS"/>
          <w:i/>
          <w:color w:val="37617A"/>
          <w:sz w:val="20"/>
        </w:rPr>
        <w:t>blind/visually</w:t>
      </w:r>
      <w:r>
        <w:rPr>
          <w:rFonts w:ascii="Trebuchet MS" w:hAnsi="Trebuchet MS"/>
          <w:i/>
          <w:color w:val="37617A"/>
          <w:spacing w:val="-8"/>
          <w:sz w:val="20"/>
        </w:rPr>
        <w:t> </w:t>
      </w:r>
      <w:r>
        <w:rPr>
          <w:rFonts w:ascii="Trebuchet MS" w:hAnsi="Trebuchet MS"/>
          <w:i/>
          <w:color w:val="37617A"/>
          <w:sz w:val="20"/>
        </w:rPr>
        <w:t>impaired</w:t>
      </w:r>
      <w:r>
        <w:rPr>
          <w:rFonts w:ascii="Trebuchet MS" w:hAnsi="Trebuchet MS"/>
          <w:i/>
          <w:color w:val="37617A"/>
          <w:spacing w:val="-8"/>
          <w:sz w:val="20"/>
        </w:rPr>
        <w:t> </w:t>
      </w:r>
      <w:r>
        <w:rPr>
          <w:rFonts w:ascii="Trebuchet MS" w:hAnsi="Trebuchet MS"/>
          <w:i/>
          <w:color w:val="37617A"/>
          <w:sz w:val="20"/>
        </w:rPr>
        <w:t>people</w:t>
      </w:r>
      <w:r>
        <w:rPr>
          <w:rFonts w:ascii="Trebuchet MS" w:hAnsi="Trebuchet MS"/>
          <w:i/>
          <w:color w:val="37617A"/>
          <w:spacing w:val="-9"/>
          <w:sz w:val="20"/>
        </w:rPr>
        <w:t> </w:t>
      </w:r>
      <w:r>
        <w:rPr>
          <w:rFonts w:ascii="Trebuchet MS" w:hAnsi="Trebuchet MS"/>
          <w:i/>
          <w:color w:val="37617A"/>
          <w:sz w:val="20"/>
        </w:rPr>
        <w:t>are</w:t>
      </w:r>
      <w:r>
        <w:rPr>
          <w:rFonts w:ascii="Trebuchet MS" w:hAnsi="Trebuchet MS"/>
          <w:i/>
          <w:color w:val="37617A"/>
          <w:spacing w:val="-8"/>
          <w:sz w:val="20"/>
        </w:rPr>
        <w:t> </w:t>
      </w:r>
      <w:r>
        <w:rPr>
          <w:rFonts w:ascii="Trebuchet MS" w:hAnsi="Trebuchet MS"/>
          <w:i/>
          <w:color w:val="37617A"/>
          <w:sz w:val="20"/>
        </w:rPr>
        <w:t>capable</w:t>
      </w:r>
      <w:r>
        <w:rPr>
          <w:rFonts w:ascii="Trebuchet MS" w:hAnsi="Trebuchet MS"/>
          <w:i/>
          <w:color w:val="37617A"/>
          <w:spacing w:val="-8"/>
          <w:sz w:val="20"/>
        </w:rPr>
        <w:t> </w:t>
      </w:r>
      <w:r>
        <w:rPr>
          <w:rFonts w:ascii="Trebuchet MS" w:hAnsi="Trebuchet MS"/>
          <w:i/>
          <w:color w:val="37617A"/>
          <w:sz w:val="20"/>
        </w:rPr>
        <w:t>of </w:t>
      </w:r>
      <w:r>
        <w:rPr>
          <w:rFonts w:ascii="Trebuchet MS" w:hAnsi="Trebuchet MS"/>
          <w:i/>
          <w:color w:val="37617A"/>
          <w:sz w:val="20"/>
        </w:rPr>
        <w:t>when</w:t>
      </w:r>
      <w:r>
        <w:rPr>
          <w:rFonts w:ascii="Trebuchet MS" w:hAnsi="Trebuchet MS"/>
          <w:i/>
          <w:color w:val="37617A"/>
          <w:spacing w:val="-13"/>
          <w:sz w:val="20"/>
        </w:rPr>
        <w:t> </w:t>
      </w:r>
      <w:r>
        <w:rPr>
          <w:rFonts w:ascii="Trebuchet MS" w:hAnsi="Trebuchet MS"/>
          <w:i/>
          <w:color w:val="37617A"/>
          <w:sz w:val="20"/>
        </w:rPr>
        <w:t>we</w:t>
      </w:r>
      <w:r>
        <w:rPr>
          <w:rFonts w:ascii="Trebuchet MS" w:hAnsi="Trebuchet MS"/>
          <w:i/>
          <w:color w:val="37617A"/>
          <w:spacing w:val="-12"/>
          <w:sz w:val="20"/>
        </w:rPr>
        <w:t> </w:t>
      </w:r>
      <w:r>
        <w:rPr>
          <w:rFonts w:ascii="Trebuchet MS" w:hAnsi="Trebuchet MS"/>
          <w:i/>
          <w:color w:val="37617A"/>
          <w:sz w:val="20"/>
        </w:rPr>
        <w:t>show</w:t>
      </w:r>
      <w:r>
        <w:rPr>
          <w:rFonts w:ascii="Trebuchet MS" w:hAnsi="Trebuchet MS"/>
          <w:i/>
          <w:color w:val="37617A"/>
          <w:spacing w:val="-12"/>
          <w:sz w:val="20"/>
        </w:rPr>
        <w:t> </w:t>
      </w:r>
      <w:r>
        <w:rPr>
          <w:rFonts w:ascii="Trebuchet MS" w:hAnsi="Trebuchet MS"/>
          <w:i/>
          <w:color w:val="37617A"/>
          <w:sz w:val="20"/>
        </w:rPr>
        <w:t>them</w:t>
      </w:r>
      <w:r>
        <w:rPr>
          <w:rFonts w:ascii="Trebuchet MS" w:hAnsi="Trebuchet MS"/>
          <w:i/>
          <w:color w:val="37617A"/>
          <w:spacing w:val="-12"/>
          <w:sz w:val="20"/>
        </w:rPr>
        <w:t> </w:t>
      </w:r>
      <w:r>
        <w:rPr>
          <w:rFonts w:ascii="Trebuchet MS" w:hAnsi="Trebuchet MS"/>
          <w:i/>
          <w:color w:val="37617A"/>
          <w:sz w:val="20"/>
        </w:rPr>
        <w:t>what</w:t>
      </w:r>
      <w:r>
        <w:rPr>
          <w:rFonts w:ascii="Trebuchet MS" w:hAnsi="Trebuchet MS"/>
          <w:i/>
          <w:color w:val="37617A"/>
          <w:spacing w:val="-12"/>
          <w:sz w:val="20"/>
        </w:rPr>
        <w:t> </w:t>
      </w:r>
      <w:r>
        <w:rPr>
          <w:rFonts w:ascii="Trebuchet MS" w:hAnsi="Trebuchet MS"/>
          <w:i/>
          <w:color w:val="37617A"/>
          <w:sz w:val="20"/>
        </w:rPr>
        <w:t>we</w:t>
      </w:r>
      <w:r>
        <w:rPr>
          <w:rFonts w:ascii="Trebuchet MS" w:hAnsi="Trebuchet MS"/>
          <w:i/>
          <w:color w:val="37617A"/>
          <w:spacing w:val="-12"/>
          <w:sz w:val="20"/>
        </w:rPr>
        <w:t> </w:t>
      </w:r>
      <w:r>
        <w:rPr>
          <w:rFonts w:ascii="Trebuchet MS" w:hAnsi="Trebuchet MS"/>
          <w:i/>
          <w:color w:val="37617A"/>
          <w:sz w:val="20"/>
        </w:rPr>
        <w:t>can</w:t>
      </w:r>
      <w:r>
        <w:rPr>
          <w:rFonts w:ascii="Trebuchet MS" w:hAnsi="Trebuchet MS"/>
          <w:i/>
          <w:color w:val="37617A"/>
          <w:spacing w:val="-12"/>
          <w:sz w:val="20"/>
        </w:rPr>
        <w:t> </w:t>
      </w:r>
      <w:r>
        <w:rPr>
          <w:rFonts w:ascii="Trebuchet MS" w:hAnsi="Trebuchet MS"/>
          <w:i/>
          <w:color w:val="37617A"/>
          <w:sz w:val="20"/>
        </w:rPr>
        <w:t>do.</w:t>
      </w:r>
      <w:r>
        <w:rPr>
          <w:rFonts w:ascii="Trebuchet MS" w:hAnsi="Trebuchet MS"/>
          <w:i/>
          <w:color w:val="37617A"/>
          <w:spacing w:val="-12"/>
          <w:sz w:val="20"/>
        </w:rPr>
        <w:t> </w:t>
      </w:r>
      <w:r>
        <w:rPr>
          <w:rFonts w:ascii="Trebuchet MS" w:hAnsi="Trebuchet MS"/>
          <w:i/>
          <w:color w:val="37617A"/>
          <w:sz w:val="20"/>
        </w:rPr>
        <w:t>If</w:t>
      </w:r>
      <w:r>
        <w:rPr>
          <w:rFonts w:ascii="Trebuchet MS" w:hAnsi="Trebuchet MS"/>
          <w:i/>
          <w:color w:val="37617A"/>
          <w:spacing w:val="-12"/>
          <w:sz w:val="20"/>
        </w:rPr>
        <w:t> </w:t>
      </w:r>
      <w:r>
        <w:rPr>
          <w:rFonts w:ascii="Trebuchet MS" w:hAnsi="Trebuchet MS"/>
          <w:i/>
          <w:color w:val="37617A"/>
          <w:sz w:val="20"/>
        </w:rPr>
        <w:t>the</w:t>
      </w:r>
      <w:r>
        <w:rPr>
          <w:rFonts w:ascii="Trebuchet MS" w:hAnsi="Trebuchet MS"/>
          <w:i/>
          <w:color w:val="37617A"/>
          <w:spacing w:val="-12"/>
          <w:sz w:val="20"/>
        </w:rPr>
        <w:t> </w:t>
      </w:r>
      <w:r>
        <w:rPr>
          <w:rFonts w:ascii="Trebuchet MS" w:hAnsi="Trebuchet MS"/>
          <w:i/>
          <w:color w:val="37617A"/>
          <w:sz w:val="20"/>
        </w:rPr>
        <w:t>public</w:t>
      </w:r>
      <w:r>
        <w:rPr>
          <w:rFonts w:ascii="Trebuchet MS" w:hAnsi="Trebuchet MS"/>
          <w:i/>
          <w:color w:val="37617A"/>
          <w:spacing w:val="-12"/>
          <w:sz w:val="20"/>
        </w:rPr>
        <w:t> </w:t>
      </w:r>
      <w:r>
        <w:rPr>
          <w:rFonts w:ascii="Trebuchet MS" w:hAnsi="Trebuchet MS"/>
          <w:i/>
          <w:color w:val="37617A"/>
          <w:sz w:val="20"/>
        </w:rPr>
        <w:t>don’t</w:t>
      </w:r>
      <w:r>
        <w:rPr>
          <w:rFonts w:ascii="Trebuchet MS" w:hAnsi="Trebuchet MS"/>
          <w:i/>
          <w:color w:val="37617A"/>
          <w:spacing w:val="-12"/>
          <w:sz w:val="20"/>
        </w:rPr>
        <w:t> </w:t>
      </w:r>
      <w:r>
        <w:rPr>
          <w:rFonts w:ascii="Trebuchet MS" w:hAnsi="Trebuchet MS"/>
          <w:i/>
          <w:color w:val="37617A"/>
          <w:sz w:val="20"/>
        </w:rPr>
        <w:t>have</w:t>
      </w:r>
      <w:r>
        <w:rPr>
          <w:rFonts w:ascii="Trebuchet MS" w:hAnsi="Trebuchet MS"/>
          <w:i/>
          <w:color w:val="37617A"/>
          <w:spacing w:val="-12"/>
          <w:sz w:val="20"/>
        </w:rPr>
        <w:t> </w:t>
      </w:r>
      <w:r>
        <w:rPr>
          <w:rFonts w:ascii="Trebuchet MS" w:hAnsi="Trebuchet MS"/>
          <w:i/>
          <w:color w:val="37617A"/>
          <w:sz w:val="20"/>
        </w:rPr>
        <w:t>any</w:t>
      </w:r>
      <w:r>
        <w:rPr>
          <w:rFonts w:ascii="Trebuchet MS" w:hAnsi="Trebuchet MS"/>
          <w:i/>
          <w:color w:val="37617A"/>
          <w:spacing w:val="-12"/>
          <w:sz w:val="20"/>
        </w:rPr>
        <w:t> </w:t>
      </w:r>
      <w:r>
        <w:rPr>
          <w:rFonts w:ascii="Trebuchet MS" w:hAnsi="Trebuchet MS"/>
          <w:i/>
          <w:color w:val="37617A"/>
          <w:sz w:val="20"/>
        </w:rPr>
        <w:t>contact</w:t>
      </w:r>
      <w:r>
        <w:rPr>
          <w:rFonts w:ascii="Trebuchet MS" w:hAnsi="Trebuchet MS"/>
          <w:i/>
          <w:color w:val="37617A"/>
          <w:spacing w:val="-13"/>
          <w:sz w:val="20"/>
        </w:rPr>
        <w:t> </w:t>
      </w:r>
      <w:r>
        <w:rPr>
          <w:rFonts w:ascii="Trebuchet MS" w:hAnsi="Trebuchet MS"/>
          <w:i/>
          <w:color w:val="37617A"/>
          <w:sz w:val="20"/>
        </w:rPr>
        <w:t>with blind/visually</w:t>
      </w:r>
      <w:r>
        <w:rPr>
          <w:rFonts w:ascii="Trebuchet MS" w:hAnsi="Trebuchet MS"/>
          <w:i/>
          <w:color w:val="37617A"/>
          <w:spacing w:val="-16"/>
          <w:sz w:val="20"/>
        </w:rPr>
        <w:t> </w:t>
      </w:r>
      <w:r>
        <w:rPr>
          <w:rFonts w:ascii="Trebuchet MS" w:hAnsi="Trebuchet MS"/>
          <w:i/>
          <w:color w:val="37617A"/>
          <w:sz w:val="20"/>
        </w:rPr>
        <w:t>impaired</w:t>
      </w:r>
      <w:r>
        <w:rPr>
          <w:rFonts w:ascii="Trebuchet MS" w:hAnsi="Trebuchet MS"/>
          <w:i/>
          <w:color w:val="37617A"/>
          <w:spacing w:val="-16"/>
          <w:sz w:val="20"/>
        </w:rPr>
        <w:t> </w:t>
      </w:r>
      <w:r>
        <w:rPr>
          <w:rFonts w:ascii="Trebuchet MS" w:hAnsi="Trebuchet MS"/>
          <w:i/>
          <w:color w:val="37617A"/>
          <w:sz w:val="20"/>
        </w:rPr>
        <w:t>people,</w:t>
      </w:r>
      <w:r>
        <w:rPr>
          <w:rFonts w:ascii="Trebuchet MS" w:hAnsi="Trebuchet MS"/>
          <w:i/>
          <w:color w:val="37617A"/>
          <w:spacing w:val="-15"/>
          <w:sz w:val="20"/>
        </w:rPr>
        <w:t> </w:t>
      </w:r>
      <w:r>
        <w:rPr>
          <w:rFonts w:ascii="Trebuchet MS" w:hAnsi="Trebuchet MS"/>
          <w:i/>
          <w:color w:val="37617A"/>
          <w:sz w:val="20"/>
        </w:rPr>
        <w:t>they</w:t>
      </w:r>
      <w:r>
        <w:rPr>
          <w:rFonts w:ascii="Trebuchet MS" w:hAnsi="Trebuchet MS"/>
          <w:i/>
          <w:color w:val="37617A"/>
          <w:spacing w:val="-16"/>
          <w:sz w:val="20"/>
        </w:rPr>
        <w:t> </w:t>
      </w:r>
      <w:r>
        <w:rPr>
          <w:rFonts w:ascii="Trebuchet MS" w:hAnsi="Trebuchet MS"/>
          <w:i/>
          <w:color w:val="37617A"/>
          <w:sz w:val="20"/>
        </w:rPr>
        <w:t>don’t</w:t>
      </w:r>
      <w:r>
        <w:rPr>
          <w:rFonts w:ascii="Trebuchet MS" w:hAnsi="Trebuchet MS"/>
          <w:i/>
          <w:color w:val="37617A"/>
          <w:spacing w:val="-16"/>
          <w:sz w:val="20"/>
        </w:rPr>
        <w:t> </w:t>
      </w:r>
      <w:r>
        <w:rPr>
          <w:rFonts w:ascii="Trebuchet MS" w:hAnsi="Trebuchet MS"/>
          <w:i/>
          <w:color w:val="37617A"/>
          <w:sz w:val="20"/>
        </w:rPr>
        <w:t>know</w:t>
      </w:r>
      <w:r>
        <w:rPr>
          <w:rFonts w:ascii="Trebuchet MS" w:hAnsi="Trebuchet MS"/>
          <w:i/>
          <w:color w:val="37617A"/>
          <w:spacing w:val="-15"/>
          <w:sz w:val="20"/>
        </w:rPr>
        <w:t> </w:t>
      </w:r>
      <w:r>
        <w:rPr>
          <w:rFonts w:ascii="Trebuchet MS" w:hAnsi="Trebuchet MS"/>
          <w:i/>
          <w:color w:val="37617A"/>
          <w:sz w:val="20"/>
        </w:rPr>
        <w:t>what</w:t>
      </w:r>
      <w:r>
        <w:rPr>
          <w:rFonts w:ascii="Trebuchet MS" w:hAnsi="Trebuchet MS"/>
          <w:i/>
          <w:color w:val="37617A"/>
          <w:spacing w:val="-16"/>
          <w:sz w:val="20"/>
        </w:rPr>
        <w:t> </w:t>
      </w:r>
      <w:r>
        <w:rPr>
          <w:rFonts w:ascii="Trebuchet MS" w:hAnsi="Trebuchet MS"/>
          <w:i/>
          <w:color w:val="37617A"/>
          <w:sz w:val="20"/>
        </w:rPr>
        <w:t>tools</w:t>
      </w:r>
      <w:r>
        <w:rPr>
          <w:rFonts w:ascii="Trebuchet MS" w:hAnsi="Trebuchet MS"/>
          <w:i/>
          <w:color w:val="37617A"/>
          <w:spacing w:val="-15"/>
          <w:sz w:val="20"/>
        </w:rPr>
        <w:t> </w:t>
      </w:r>
      <w:r>
        <w:rPr>
          <w:rFonts w:ascii="Trebuchet MS" w:hAnsi="Trebuchet MS"/>
          <w:i/>
          <w:color w:val="37617A"/>
          <w:sz w:val="20"/>
        </w:rPr>
        <w:t>are</w:t>
      </w:r>
      <w:r>
        <w:rPr>
          <w:rFonts w:ascii="Trebuchet MS" w:hAnsi="Trebuchet MS"/>
          <w:i/>
          <w:color w:val="37617A"/>
          <w:spacing w:val="-16"/>
          <w:sz w:val="20"/>
        </w:rPr>
        <w:t> </w:t>
      </w:r>
      <w:r>
        <w:rPr>
          <w:rFonts w:ascii="Trebuchet MS" w:hAnsi="Trebuchet MS"/>
          <w:i/>
          <w:color w:val="37617A"/>
          <w:sz w:val="20"/>
        </w:rPr>
        <w:t>available</w:t>
      </w:r>
      <w:r>
        <w:rPr>
          <w:rFonts w:ascii="Trebuchet MS" w:hAnsi="Trebuchet MS"/>
          <w:i/>
          <w:color w:val="37617A"/>
          <w:spacing w:val="-16"/>
          <w:sz w:val="20"/>
        </w:rPr>
        <w:t> </w:t>
      </w:r>
      <w:r>
        <w:rPr>
          <w:rFonts w:ascii="Trebuchet MS" w:hAnsi="Trebuchet MS"/>
          <w:i/>
          <w:color w:val="37617A"/>
          <w:sz w:val="20"/>
        </w:rPr>
        <w:t>to </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
          <w:w w:val="87"/>
          <w:sz w:val="20"/>
        </w:rPr>
        <w:t>l</w:t>
      </w:r>
      <w:r>
        <w:rPr>
          <w:rFonts w:ascii="Trebuchet MS" w:hAnsi="Trebuchet MS"/>
          <w:i/>
          <w:color w:val="37617A"/>
          <w:w w:val="107"/>
          <w:sz w:val="20"/>
        </w:rPr>
        <w:t>p</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spacing w:val="-1"/>
          <w:w w:val="87"/>
          <w:sz w:val="20"/>
        </w:rPr>
        <w:t>l</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3"/>
          <w:sz w:val="20"/>
        </w:rPr>
        <w:t>u</w:t>
      </w:r>
      <w:r>
        <w:rPr>
          <w:rFonts w:ascii="Trebuchet MS" w:hAnsi="Trebuchet MS"/>
          <w:i/>
          <w:color w:val="37617A"/>
          <w:w w:val="103"/>
          <w:sz w:val="20"/>
        </w:rPr>
        <w:t>n</w:t>
      </w:r>
      <w:r>
        <w:rPr>
          <w:rFonts w:ascii="Trebuchet MS" w:hAnsi="Trebuchet MS"/>
          <w:i/>
          <w:color w:val="37617A"/>
          <w:spacing w:val="-1"/>
          <w:w w:val="108"/>
          <w:sz w:val="20"/>
        </w:rPr>
        <w:t>d</w:t>
      </w:r>
      <w:r>
        <w:rPr>
          <w:rFonts w:ascii="Trebuchet MS" w:hAnsi="Trebuchet MS"/>
          <w:i/>
          <w:color w:val="37617A"/>
          <w:spacing w:val="1"/>
          <w:w w:val="100"/>
          <w:sz w:val="20"/>
        </w:rPr>
        <w:t>e</w:t>
      </w:r>
      <w:r>
        <w:rPr>
          <w:rFonts w:ascii="Trebuchet MS" w:hAnsi="Trebuchet MS"/>
          <w:i/>
          <w:color w:val="37617A"/>
          <w:spacing w:val="2"/>
          <w:w w:val="84"/>
          <w:sz w:val="20"/>
        </w:rPr>
        <w:t>r</w:t>
      </w:r>
      <w:r>
        <w:rPr>
          <w:rFonts w:ascii="Trebuchet MS" w:hAnsi="Trebuchet MS"/>
          <w:i/>
          <w:color w:val="37617A"/>
          <w:spacing w:val="-4"/>
          <w:w w:val="80"/>
          <w:sz w:val="20"/>
        </w:rPr>
        <w:t>t</w:t>
      </w:r>
      <w:r>
        <w:rPr>
          <w:rFonts w:ascii="Trebuchet MS" w:hAnsi="Trebuchet MS"/>
          <w:i/>
          <w:color w:val="37617A"/>
          <w:w w:val="115"/>
          <w:sz w:val="20"/>
        </w:rPr>
        <w:t>a</w:t>
      </w:r>
      <w:r>
        <w:rPr>
          <w:rFonts w:ascii="Trebuchet MS" w:hAnsi="Trebuchet MS"/>
          <w:i/>
          <w:color w:val="37617A"/>
          <w:spacing w:val="-1"/>
          <w:w w:val="103"/>
          <w:sz w:val="20"/>
        </w:rPr>
        <w:t>k</w:t>
      </w:r>
      <w:r>
        <w:rPr>
          <w:rFonts w:ascii="Trebuchet MS" w:hAnsi="Trebuchet MS"/>
          <w:i/>
          <w:color w:val="37617A"/>
          <w:w w:val="103"/>
          <w:sz w:val="20"/>
        </w:rPr>
        <w:t>e</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w w:val="115"/>
          <w:sz w:val="20"/>
        </w:rPr>
        <w:t>a</w:t>
      </w:r>
      <w:r>
        <w:rPr>
          <w:rFonts w:ascii="Trebuchet MS" w:hAnsi="Trebuchet MS"/>
          <w:i/>
          <w:color w:val="37617A"/>
          <w:spacing w:val="-1"/>
          <w:w w:val="106"/>
          <w:sz w:val="20"/>
        </w:rPr>
        <w:t>m</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15"/>
          <w:sz w:val="20"/>
        </w:rPr>
        <w:t>a</w:t>
      </w:r>
      <w:r>
        <w:rPr>
          <w:rFonts w:ascii="Trebuchet MS" w:hAnsi="Trebuchet MS"/>
          <w:i/>
          <w:color w:val="37617A"/>
          <w:spacing w:val="-1"/>
          <w:w w:val="117"/>
          <w:sz w:val="20"/>
        </w:rPr>
        <w:t>s</w:t>
      </w:r>
      <w:r>
        <w:rPr>
          <w:rFonts w:ascii="Trebuchet MS" w:hAnsi="Trebuchet MS"/>
          <w:i/>
          <w:color w:val="37617A"/>
          <w:spacing w:val="-1"/>
          <w:w w:val="107"/>
          <w:sz w:val="20"/>
        </w:rPr>
        <w:t>k</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spacing w:val="-1"/>
          <w:w w:val="73"/>
          <w:sz w:val="20"/>
        </w:rPr>
        <w:t>i</w:t>
      </w:r>
      <w:r>
        <w:rPr>
          <w:rFonts w:ascii="Trebuchet MS" w:hAnsi="Trebuchet MS"/>
          <w:i/>
          <w:color w:val="37617A"/>
          <w:w w:val="119"/>
          <w:sz w:val="20"/>
        </w:rPr>
        <w:t>g</w:t>
      </w:r>
      <w:r>
        <w:rPr>
          <w:rFonts w:ascii="Trebuchet MS" w:hAnsi="Trebuchet MS"/>
          <w:i/>
          <w:color w:val="37617A"/>
          <w:spacing w:val="-2"/>
          <w:w w:val="101"/>
          <w:sz w:val="20"/>
        </w:rPr>
        <w:t>h</w:t>
      </w:r>
      <w:r>
        <w:rPr>
          <w:rFonts w:ascii="Trebuchet MS" w:hAnsi="Trebuchet MS"/>
          <w:i/>
          <w:color w:val="37617A"/>
          <w:spacing w:val="-5"/>
          <w:w w:val="80"/>
          <w:sz w:val="20"/>
        </w:rPr>
        <w:t>t</w:t>
      </w:r>
      <w:r>
        <w:rPr>
          <w:rFonts w:ascii="Trebuchet MS" w:hAnsi="Trebuchet MS"/>
          <w:i/>
          <w:color w:val="37617A"/>
          <w:w w:val="100"/>
          <w:sz w:val="20"/>
        </w:rPr>
        <w:t>e</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spacing w:val="1"/>
          <w:w w:val="100"/>
          <w:sz w:val="20"/>
        </w:rPr>
        <w:t>e</w:t>
      </w:r>
      <w:r>
        <w:rPr>
          <w:rFonts w:ascii="Trebuchet MS" w:hAnsi="Trebuchet MS"/>
          <w:i/>
          <w:color w:val="37617A"/>
          <w:w w:val="54"/>
          <w:sz w:val="20"/>
        </w:rPr>
        <w:t>.</w:t>
      </w:r>
      <w:r>
        <w:rPr>
          <w:rFonts w:ascii="Trebuchet MS" w:hAnsi="Trebuchet MS"/>
          <w:i/>
          <w:color w:val="37617A"/>
          <w:spacing w:val="-13"/>
          <w:sz w:val="20"/>
        </w:rPr>
        <w:t> </w:t>
      </w:r>
      <w:r>
        <w:rPr>
          <w:rFonts w:ascii="Trebuchet MS" w:hAnsi="Trebuchet MS"/>
          <w:i/>
          <w:color w:val="37617A"/>
          <w:w w:val="92"/>
          <w:sz w:val="20"/>
        </w:rPr>
        <w:t>I</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6"/>
          <w:w w:val="87"/>
          <w:sz w:val="20"/>
        </w:rPr>
        <w:t>l</w:t>
      </w:r>
      <w:r>
        <w:rPr>
          <w:rFonts w:ascii="Trebuchet MS" w:hAnsi="Trebuchet MS"/>
          <w:i/>
          <w:color w:val="37617A"/>
          <w:spacing w:val="-3"/>
          <w:w w:val="103"/>
          <w:sz w:val="20"/>
        </w:rPr>
        <w:t>w</w:t>
      </w:r>
      <w:r>
        <w:rPr>
          <w:rFonts w:ascii="Trebuchet MS" w:hAnsi="Trebuchet MS"/>
          <w:i/>
          <w:color w:val="37617A"/>
          <w:spacing w:val="-2"/>
          <w:w w:val="115"/>
          <w:sz w:val="20"/>
        </w:rPr>
        <w:t>a</w:t>
      </w:r>
      <w:r>
        <w:rPr>
          <w:rFonts w:ascii="Trebuchet MS" w:hAnsi="Trebuchet MS"/>
          <w:i/>
          <w:color w:val="37617A"/>
          <w:spacing w:val="-2"/>
          <w:w w:val="101"/>
          <w:sz w:val="20"/>
        </w:rPr>
        <w:t>y</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spacing w:val="-2"/>
          <w:w w:val="115"/>
          <w:sz w:val="20"/>
        </w:rPr>
        <w:t>a</w:t>
      </w:r>
      <w:r>
        <w:rPr>
          <w:rFonts w:ascii="Trebuchet MS" w:hAnsi="Trebuchet MS"/>
          <w:i/>
          <w:color w:val="37617A"/>
          <w:spacing w:val="-2"/>
          <w:w w:val="101"/>
          <w:sz w:val="20"/>
        </w:rPr>
        <w:t>y</w:t>
      </w:r>
      <w:r>
        <w:rPr>
          <w:rFonts w:ascii="Trebuchet MS" w:hAnsi="Trebuchet MS"/>
          <w:i/>
          <w:color w:val="37617A"/>
          <w:w w:val="53"/>
          <w:sz w:val="20"/>
        </w:rPr>
        <w:t>:</w:t>
      </w:r>
      <w:r>
        <w:rPr>
          <w:rFonts w:ascii="Trebuchet MS" w:hAnsi="Trebuchet MS"/>
          <w:i/>
          <w:color w:val="37617A"/>
          <w:spacing w:val="-13"/>
          <w:sz w:val="20"/>
        </w:rPr>
        <w:t> </w:t>
      </w:r>
      <w:r>
        <w:rPr>
          <w:rFonts w:ascii="Trebuchet MS" w:hAnsi="Trebuchet MS"/>
          <w:i/>
          <w:color w:val="37617A"/>
          <w:spacing w:val="2"/>
          <w:w w:val="56"/>
          <w:sz w:val="20"/>
        </w:rPr>
        <w:t>‘</w:t>
      </w:r>
      <w:r>
        <w:rPr>
          <w:rFonts w:ascii="Trebuchet MS" w:hAnsi="Trebuchet MS"/>
          <w:i/>
          <w:color w:val="37617A"/>
          <w:spacing w:val="-1"/>
          <w:w w:val="92"/>
          <w:sz w:val="20"/>
        </w:rPr>
        <w:t>I</w:t>
      </w:r>
      <w:r>
        <w:rPr>
          <w:rFonts w:ascii="Trebuchet MS" w:hAnsi="Trebuchet MS"/>
          <w:i/>
          <w:color w:val="37617A"/>
          <w:w w:val="83"/>
          <w:sz w:val="20"/>
        </w:rPr>
        <w:t>f </w:t>
      </w:r>
      <w:r>
        <w:rPr>
          <w:rFonts w:ascii="Trebuchet MS" w:hAnsi="Trebuchet MS"/>
          <w:i/>
          <w:color w:val="37617A"/>
          <w:spacing w:val="-2"/>
          <w:w w:val="101"/>
          <w:sz w:val="20"/>
        </w:rPr>
        <w:t>y</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15"/>
          <w:sz w:val="20"/>
        </w:rPr>
        <w:t>a</w:t>
      </w:r>
      <w:r>
        <w:rPr>
          <w:rFonts w:ascii="Trebuchet MS" w:hAnsi="Trebuchet MS"/>
          <w:i/>
          <w:color w:val="37617A"/>
          <w:spacing w:val="-2"/>
          <w:w w:val="103"/>
          <w:sz w:val="20"/>
        </w:rPr>
        <w:t>n</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w w:val="107"/>
          <w:sz w:val="20"/>
        </w:rPr>
        <w:t>k</w:t>
      </w:r>
      <w:r>
        <w:rPr>
          <w:rFonts w:ascii="Trebuchet MS" w:hAnsi="Trebuchet MS"/>
          <w:i/>
          <w:color w:val="37617A"/>
          <w:spacing w:val="-1"/>
          <w:w w:val="103"/>
          <w:sz w:val="20"/>
        </w:rPr>
        <w:t>n</w:t>
      </w:r>
      <w:r>
        <w:rPr>
          <w:rFonts w:ascii="Trebuchet MS" w:hAnsi="Trebuchet MS"/>
          <w:i/>
          <w:color w:val="37617A"/>
          <w:spacing w:val="-4"/>
          <w:w w:val="107"/>
          <w:sz w:val="20"/>
        </w:rPr>
        <w:t>o</w:t>
      </w:r>
      <w:r>
        <w:rPr>
          <w:rFonts w:ascii="Trebuchet MS" w:hAnsi="Trebuchet MS"/>
          <w:i/>
          <w:color w:val="37617A"/>
          <w:w w:val="103"/>
          <w:sz w:val="20"/>
        </w:rPr>
        <w:t>w</w:t>
      </w:r>
      <w:r>
        <w:rPr>
          <w:rFonts w:ascii="Trebuchet MS" w:hAnsi="Trebuchet MS"/>
          <w:i/>
          <w:color w:val="37617A"/>
          <w:spacing w:val="-13"/>
          <w:sz w:val="20"/>
        </w:rPr>
        <w:t> </w:t>
      </w:r>
      <w:r>
        <w:rPr>
          <w:rFonts w:ascii="Trebuchet MS" w:hAnsi="Trebuchet MS"/>
          <w:i/>
          <w:color w:val="37617A"/>
          <w:spacing w:val="-1"/>
          <w:w w:val="101"/>
          <w:sz w:val="20"/>
        </w:rPr>
        <w:t>h</w:t>
      </w:r>
      <w:r>
        <w:rPr>
          <w:rFonts w:ascii="Trebuchet MS" w:hAnsi="Trebuchet MS"/>
          <w:i/>
          <w:color w:val="37617A"/>
          <w:spacing w:val="-4"/>
          <w:w w:val="107"/>
          <w:sz w:val="20"/>
        </w:rPr>
        <w:t>o</w:t>
      </w:r>
      <w:r>
        <w:rPr>
          <w:rFonts w:ascii="Trebuchet MS" w:hAnsi="Trebuchet MS"/>
          <w:i/>
          <w:color w:val="37617A"/>
          <w:w w:val="103"/>
          <w:sz w:val="20"/>
        </w:rPr>
        <w:t>w</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7"/>
          <w:sz w:val="20"/>
        </w:rPr>
        <w:t>o</w:t>
      </w:r>
      <w:r>
        <w:rPr>
          <w:rFonts w:ascii="Trebuchet MS" w:hAnsi="Trebuchet MS"/>
          <w:i/>
          <w:color w:val="37617A"/>
          <w:spacing w:val="-2"/>
          <w:w w:val="84"/>
          <w:sz w:val="20"/>
        </w:rPr>
        <w:t>r</w:t>
      </w:r>
      <w:r>
        <w:rPr>
          <w:rFonts w:ascii="Trebuchet MS" w:hAnsi="Trebuchet MS"/>
          <w:i/>
          <w:color w:val="37617A"/>
          <w:w w:val="107"/>
          <w:sz w:val="20"/>
        </w:rPr>
        <w:t>k</w:t>
      </w:r>
      <w:r>
        <w:rPr>
          <w:rFonts w:ascii="Trebuchet MS" w:hAnsi="Trebuchet MS"/>
          <w:i/>
          <w:color w:val="37617A"/>
          <w:spacing w:val="-13"/>
          <w:sz w:val="20"/>
        </w:rPr>
        <w:t> </w:t>
      </w:r>
      <w:r>
        <w:rPr>
          <w:rFonts w:ascii="Trebuchet MS" w:hAnsi="Trebuchet MS"/>
          <w:i/>
          <w:color w:val="37617A"/>
          <w:spacing w:val="-4"/>
          <w:w w:val="72"/>
          <w:sz w:val="20"/>
        </w:rPr>
        <w:t>[</w:t>
      </w:r>
      <w:r>
        <w:rPr>
          <w:rFonts w:ascii="Trebuchet MS" w:hAnsi="Trebuchet MS"/>
          <w:i/>
          <w:color w:val="37617A"/>
          <w:spacing w:val="-5"/>
          <w:w w:val="83"/>
          <w:sz w:val="20"/>
        </w:rPr>
        <w:t>f</w:t>
      </w:r>
      <w:r>
        <w:rPr>
          <w:rFonts w:ascii="Trebuchet MS" w:hAnsi="Trebuchet MS"/>
          <w:i/>
          <w:color w:val="37617A"/>
          <w:w w:val="107"/>
          <w:sz w:val="20"/>
        </w:rPr>
        <w:t>o</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spacing w:val="-1"/>
          <w:w w:val="87"/>
          <w:sz w:val="20"/>
        </w:rPr>
        <w:t>l</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spacing w:val="1"/>
          <w:w w:val="100"/>
          <w:sz w:val="20"/>
        </w:rPr>
        <w:t>e</w:t>
      </w:r>
      <w:r>
        <w:rPr>
          <w:rFonts w:ascii="Trebuchet MS" w:hAnsi="Trebuchet MS"/>
          <w:i/>
          <w:color w:val="37617A"/>
          <w:spacing w:val="-1"/>
          <w:w w:val="84"/>
          <w:sz w:val="20"/>
        </w:rPr>
        <w:t>r</w:t>
      </w:r>
      <w:r>
        <w:rPr>
          <w:rFonts w:ascii="Trebuchet MS" w:hAnsi="Trebuchet MS"/>
          <w:i/>
          <w:color w:val="37617A"/>
          <w:spacing w:val="-2"/>
          <w:w w:val="117"/>
          <w:sz w:val="20"/>
        </w:rPr>
        <w:t>s</w:t>
      </w:r>
      <w:r>
        <w:rPr>
          <w:rFonts w:ascii="Trebuchet MS" w:hAnsi="Trebuchet MS"/>
          <w:i/>
          <w:color w:val="37617A"/>
          <w:w w:val="107"/>
          <w:sz w:val="20"/>
        </w:rPr>
        <w:t>o</w:t>
      </w:r>
      <w:r>
        <w:rPr>
          <w:rFonts w:ascii="Trebuchet MS" w:hAnsi="Trebuchet MS"/>
          <w:i/>
          <w:color w:val="37617A"/>
          <w:spacing w:val="-2"/>
          <w:w w:val="103"/>
          <w:sz w:val="20"/>
        </w:rPr>
        <w:t>n</w:t>
      </w:r>
      <w:r>
        <w:rPr>
          <w:rFonts w:ascii="Trebuchet MS" w:hAnsi="Trebuchet MS"/>
          <w:i/>
          <w:color w:val="37617A"/>
          <w:spacing w:val="-1"/>
          <w:w w:val="72"/>
          <w:sz w:val="20"/>
        </w:rPr>
        <w:t>]</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
          <w:w w:val="117"/>
          <w:sz w:val="20"/>
        </w:rPr>
        <w:t>s</w:t>
      </w:r>
      <w:r>
        <w:rPr>
          <w:rFonts w:ascii="Trebuchet MS" w:hAnsi="Trebuchet MS"/>
          <w:i/>
          <w:color w:val="37617A"/>
          <w:w w:val="107"/>
          <w:sz w:val="20"/>
        </w:rPr>
        <w:t>k</w:t>
      </w:r>
      <w:r>
        <w:rPr>
          <w:rFonts w:ascii="Trebuchet MS" w:hAnsi="Trebuchet MS"/>
          <w:i/>
          <w:color w:val="37617A"/>
          <w:spacing w:val="-13"/>
          <w:sz w:val="20"/>
        </w:rPr>
        <w:t> </w:t>
      </w:r>
      <w:r>
        <w:rPr>
          <w:rFonts w:ascii="Trebuchet MS" w:hAnsi="Trebuchet MS"/>
          <w:i/>
          <w:color w:val="37617A"/>
          <w:spacing w:val="-1"/>
          <w:w w:val="106"/>
          <w:sz w:val="20"/>
        </w:rPr>
        <w:t>m</w:t>
      </w:r>
      <w:r>
        <w:rPr>
          <w:rFonts w:ascii="Trebuchet MS" w:hAnsi="Trebuchet MS"/>
          <w:i/>
          <w:color w:val="37617A"/>
          <w:spacing w:val="1"/>
          <w:w w:val="100"/>
          <w:sz w:val="20"/>
        </w:rPr>
        <w:t>e</w:t>
      </w:r>
      <w:r>
        <w:rPr>
          <w:rFonts w:ascii="Trebuchet MS" w:hAnsi="Trebuchet MS"/>
          <w:i/>
          <w:color w:val="37617A"/>
          <w:spacing w:val="-14"/>
          <w:w w:val="54"/>
          <w:sz w:val="20"/>
        </w:rPr>
        <w:t>.</w:t>
      </w:r>
      <w:r>
        <w:rPr>
          <w:rFonts w:ascii="Trebuchet MS" w:hAnsi="Trebuchet MS"/>
          <w:i/>
          <w:color w:val="37617A"/>
          <w:w w:val="54"/>
          <w:sz w:val="20"/>
        </w:rPr>
        <w:t>’</w:t>
      </w:r>
      <w:r>
        <w:rPr>
          <w:rFonts w:ascii="Trebuchet MS" w:hAnsi="Trebuchet MS"/>
          <w:i/>
          <w:color w:val="37617A"/>
          <w:spacing w:val="-13"/>
          <w:sz w:val="20"/>
        </w:rPr>
        <w:t> </w:t>
      </w:r>
      <w:r>
        <w:rPr>
          <w:rFonts w:ascii="Trebuchet MS" w:hAnsi="Trebuchet MS"/>
          <w:i/>
          <w:color w:val="37617A"/>
          <w:w w:val="103"/>
          <w:position w:val="7"/>
          <w:sz w:val="11"/>
        </w:rPr>
        <w:t>2</w:t>
      </w:r>
    </w:p>
    <w:p>
      <w:pPr>
        <w:spacing w:before="3"/>
        <w:ind w:left="2887" w:right="0" w:firstLine="0"/>
        <w:jc w:val="left"/>
        <w:rPr>
          <w:rFonts w:ascii="Trebuchet MS" w:hAnsi="Trebuchet MS"/>
          <w:sz w:val="19"/>
        </w:rPr>
      </w:pPr>
      <w:r>
        <w:rPr>
          <w:rFonts w:ascii="Trebuchet MS" w:hAnsi="Trebuchet MS"/>
          <w:color w:val="37617A"/>
          <w:sz w:val="19"/>
        </w:rPr>
        <w:t>—Participant in the Blind Citizens Australia consultation</w:t>
      </w:r>
    </w:p>
    <w:p>
      <w:pPr>
        <w:pStyle w:val="BodyText"/>
        <w:spacing w:before="3"/>
        <w:rPr>
          <w:rFonts w:ascii="Trebuchet MS"/>
          <w:sz w:val="10"/>
        </w:rPr>
      </w:pPr>
      <w:r>
        <w:rPr/>
        <w:pict>
          <v:line style="position:absolute;mso-position-horizontal-relative:page;mso-position-vertical-relative:paragraph;z-index:-688;mso-wrap-distance-left:0;mso-wrap-distance-right:0" from="79.370102pt,8.170898pt" to="515.905102pt,8.170898pt" stroked="true" strokeweight=".5pt" strokecolor="#8f9dad">
            <v:stroke dashstyle="solid"/>
            <w10:wrap type="topAndBottom"/>
          </v:line>
        </w:pict>
      </w:r>
    </w:p>
    <w:p>
      <w:pPr>
        <w:pStyle w:val="BodyText"/>
        <w:spacing w:before="9"/>
        <w:rPr>
          <w:rFonts w:ascii="Trebuchet MS"/>
          <w:sz w:val="31"/>
        </w:rPr>
      </w:pPr>
    </w:p>
    <w:p>
      <w:pPr>
        <w:pStyle w:val="ListParagraph"/>
        <w:numPr>
          <w:ilvl w:val="0"/>
          <w:numId w:val="4"/>
        </w:numPr>
        <w:tabs>
          <w:tab w:pos="1761" w:val="left" w:leader="none"/>
          <w:tab w:pos="1762" w:val="left" w:leader="none"/>
        </w:tabs>
        <w:spacing w:line="206" w:lineRule="auto" w:before="0" w:after="0"/>
        <w:ind w:left="1761" w:right="1447" w:hanging="794"/>
        <w:jc w:val="left"/>
        <w:rPr>
          <w:sz w:val="20"/>
        </w:rPr>
      </w:pPr>
      <w:r>
        <w:rPr>
          <w:sz w:val="20"/>
        </w:rPr>
        <w:t>Jury</w:t>
      </w:r>
      <w:r>
        <w:rPr>
          <w:spacing w:val="-6"/>
          <w:sz w:val="20"/>
        </w:rPr>
        <w:t> </w:t>
      </w:r>
      <w:r>
        <w:rPr>
          <w:sz w:val="20"/>
        </w:rPr>
        <w:t>service</w:t>
      </w:r>
      <w:r>
        <w:rPr>
          <w:spacing w:val="-5"/>
          <w:sz w:val="20"/>
        </w:rPr>
        <w:t> </w:t>
      </w:r>
      <w:r>
        <w:rPr>
          <w:sz w:val="20"/>
        </w:rPr>
        <w:t>is</w:t>
      </w:r>
      <w:r>
        <w:rPr>
          <w:spacing w:val="-6"/>
          <w:sz w:val="20"/>
        </w:rPr>
        <w:t> </w:t>
      </w:r>
      <w:r>
        <w:rPr>
          <w:sz w:val="20"/>
        </w:rPr>
        <w:t>currently</w:t>
      </w:r>
      <w:r>
        <w:rPr>
          <w:spacing w:val="-5"/>
          <w:sz w:val="20"/>
        </w:rPr>
        <w:t> </w:t>
      </w:r>
      <w:r>
        <w:rPr>
          <w:sz w:val="20"/>
        </w:rPr>
        <w:t>inaccessible</w:t>
      </w:r>
      <w:r>
        <w:rPr>
          <w:spacing w:val="-6"/>
          <w:sz w:val="20"/>
        </w:rPr>
        <w:t> </w:t>
      </w:r>
      <w:r>
        <w:rPr>
          <w:sz w:val="20"/>
        </w:rPr>
        <w:t>because</w:t>
      </w:r>
      <w:r>
        <w:rPr>
          <w:spacing w:val="-5"/>
          <w:sz w:val="20"/>
        </w:rPr>
        <w:t> </w:t>
      </w:r>
      <w:r>
        <w:rPr>
          <w:sz w:val="20"/>
        </w:rPr>
        <w:t>of</w:t>
      </w:r>
      <w:r>
        <w:rPr>
          <w:spacing w:val="-6"/>
          <w:sz w:val="20"/>
        </w:rPr>
        <w:t> </w:t>
      </w:r>
      <w:r>
        <w:rPr>
          <w:sz w:val="20"/>
        </w:rPr>
        <w:t>a</w:t>
      </w:r>
      <w:r>
        <w:rPr>
          <w:spacing w:val="-5"/>
          <w:sz w:val="20"/>
        </w:rPr>
        <w:t> </w:t>
      </w:r>
      <w:r>
        <w:rPr>
          <w:sz w:val="20"/>
        </w:rPr>
        <w:t>combination</w:t>
      </w:r>
      <w:r>
        <w:rPr>
          <w:spacing w:val="-6"/>
          <w:sz w:val="20"/>
        </w:rPr>
        <w:t> </w:t>
      </w:r>
      <w:r>
        <w:rPr>
          <w:sz w:val="20"/>
        </w:rPr>
        <w:t>of</w:t>
      </w:r>
      <w:r>
        <w:rPr>
          <w:spacing w:val="-5"/>
          <w:sz w:val="20"/>
        </w:rPr>
        <w:t> </w:t>
      </w:r>
      <w:r>
        <w:rPr>
          <w:sz w:val="20"/>
        </w:rPr>
        <w:t>two</w:t>
      </w:r>
      <w:r>
        <w:rPr>
          <w:spacing w:val="-6"/>
          <w:sz w:val="20"/>
        </w:rPr>
        <w:t> </w:t>
      </w:r>
      <w:r>
        <w:rPr>
          <w:sz w:val="20"/>
        </w:rPr>
        <w:t>things.</w:t>
      </w:r>
      <w:r>
        <w:rPr>
          <w:spacing w:val="-5"/>
          <w:sz w:val="20"/>
        </w:rPr>
        <w:t> </w:t>
      </w:r>
      <w:r>
        <w:rPr>
          <w:spacing w:val="-3"/>
          <w:sz w:val="20"/>
        </w:rPr>
        <w:t>Firstly, </w:t>
      </w:r>
      <w:r>
        <w:rPr>
          <w:sz w:val="20"/>
        </w:rPr>
        <w:t>there</w:t>
      </w:r>
      <w:r>
        <w:rPr>
          <w:spacing w:val="-4"/>
          <w:sz w:val="20"/>
        </w:rPr>
        <w:t> </w:t>
      </w:r>
      <w:r>
        <w:rPr>
          <w:sz w:val="20"/>
        </w:rPr>
        <w:t>is</w:t>
      </w:r>
      <w:r>
        <w:rPr>
          <w:spacing w:val="-4"/>
          <w:sz w:val="20"/>
        </w:rPr>
        <w:t> </w:t>
      </w:r>
      <w:r>
        <w:rPr>
          <w:sz w:val="20"/>
        </w:rPr>
        <w:t>no</w:t>
      </w:r>
      <w:r>
        <w:rPr>
          <w:spacing w:val="-4"/>
          <w:sz w:val="20"/>
        </w:rPr>
        <w:t> </w:t>
      </w:r>
      <w:r>
        <w:rPr>
          <w:sz w:val="20"/>
        </w:rPr>
        <w:t>obligation</w:t>
      </w:r>
      <w:r>
        <w:rPr>
          <w:spacing w:val="-4"/>
          <w:sz w:val="20"/>
        </w:rPr>
        <w:t> </w:t>
      </w:r>
      <w:r>
        <w:rPr>
          <w:sz w:val="20"/>
        </w:rPr>
        <w:t>in</w:t>
      </w:r>
      <w:r>
        <w:rPr>
          <w:spacing w:val="-4"/>
          <w:sz w:val="20"/>
        </w:rPr>
        <w:t> </w:t>
      </w:r>
      <w:r>
        <w:rPr>
          <w:sz w:val="20"/>
        </w:rPr>
        <w:t>the</w:t>
      </w:r>
      <w:r>
        <w:rPr>
          <w:spacing w:val="-4"/>
          <w:sz w:val="20"/>
        </w:rPr>
        <w:t> </w:t>
      </w:r>
      <w:r>
        <w:rPr>
          <w:i/>
          <w:sz w:val="20"/>
        </w:rPr>
        <w:t>Juries</w:t>
      </w:r>
      <w:r>
        <w:rPr>
          <w:i/>
          <w:spacing w:val="-4"/>
          <w:sz w:val="20"/>
        </w:rPr>
        <w:t> </w:t>
      </w:r>
      <w:r>
        <w:rPr>
          <w:i/>
          <w:sz w:val="20"/>
        </w:rPr>
        <w:t>Act</w:t>
      </w:r>
      <w:r>
        <w:rPr>
          <w:i/>
          <w:spacing w:val="-4"/>
          <w:sz w:val="20"/>
        </w:rPr>
        <w:t> </w:t>
      </w:r>
      <w:r>
        <w:rPr>
          <w:i/>
          <w:sz w:val="20"/>
        </w:rPr>
        <w:t>2000</w:t>
      </w:r>
      <w:r>
        <w:rPr>
          <w:i/>
          <w:spacing w:val="-3"/>
          <w:sz w:val="20"/>
        </w:rPr>
        <w:t> </w:t>
      </w:r>
      <w:r>
        <w:rPr>
          <w:sz w:val="20"/>
        </w:rPr>
        <w:t>(Vic)</w:t>
      </w:r>
      <w:r>
        <w:rPr>
          <w:spacing w:val="-3"/>
          <w:sz w:val="20"/>
        </w:rPr>
        <w:t> </w:t>
      </w:r>
      <w:r>
        <w:rPr>
          <w:sz w:val="20"/>
        </w:rPr>
        <w:t>(the</w:t>
      </w:r>
      <w:r>
        <w:rPr>
          <w:spacing w:val="-4"/>
          <w:sz w:val="20"/>
        </w:rPr>
        <w:t> </w:t>
      </w:r>
      <w:r>
        <w:rPr>
          <w:sz w:val="20"/>
        </w:rPr>
        <w:t>Act)</w:t>
      </w:r>
      <w:r>
        <w:rPr>
          <w:spacing w:val="-4"/>
          <w:sz w:val="20"/>
        </w:rPr>
        <w:t> </w:t>
      </w:r>
      <w:r>
        <w:rPr>
          <w:sz w:val="20"/>
        </w:rPr>
        <w:t>to</w:t>
      </w:r>
      <w:r>
        <w:rPr>
          <w:spacing w:val="-4"/>
          <w:sz w:val="20"/>
        </w:rPr>
        <w:t> </w:t>
      </w:r>
      <w:r>
        <w:rPr>
          <w:sz w:val="20"/>
        </w:rPr>
        <w:t>require</w:t>
      </w:r>
      <w:r>
        <w:rPr>
          <w:spacing w:val="-4"/>
          <w:sz w:val="20"/>
        </w:rPr>
        <w:t> </w:t>
      </w:r>
      <w:r>
        <w:rPr>
          <w:sz w:val="20"/>
        </w:rPr>
        <w:t>the</w:t>
      </w:r>
      <w:r>
        <w:rPr>
          <w:spacing w:val="-4"/>
          <w:sz w:val="20"/>
        </w:rPr>
        <w:t> </w:t>
      </w:r>
      <w:r>
        <w:rPr>
          <w:sz w:val="20"/>
        </w:rPr>
        <w:t>courts</w:t>
      </w:r>
      <w:r>
        <w:rPr>
          <w:spacing w:val="-4"/>
          <w:sz w:val="20"/>
        </w:rPr>
        <w:t> </w:t>
      </w:r>
      <w:r>
        <w:rPr>
          <w:sz w:val="20"/>
        </w:rPr>
        <w:t>or</w:t>
      </w:r>
    </w:p>
    <w:p>
      <w:pPr>
        <w:pStyle w:val="BodyText"/>
        <w:spacing w:line="206" w:lineRule="auto" w:before="3"/>
        <w:ind w:left="1761" w:right="1335"/>
      </w:pPr>
      <w:r>
        <w:rPr/>
        <w:t>the Juries Commissioner, responsible for administering the jury system through Juries Victoria, to provide adjustments. Those adjustments might include an Auslan interpreter, or a device that enables speech-to-text translations, or screen reading. Jury service might be accessible with adjustments, but they are generally not provided.</w:t>
      </w:r>
    </w:p>
    <w:p>
      <w:pPr>
        <w:pStyle w:val="BodyText"/>
      </w:pPr>
    </w:p>
    <w:p>
      <w:pPr>
        <w:pStyle w:val="BodyText"/>
      </w:pPr>
    </w:p>
    <w:p>
      <w:pPr>
        <w:pStyle w:val="BodyText"/>
      </w:pPr>
    </w:p>
    <w:p>
      <w:pPr>
        <w:pStyle w:val="BodyText"/>
        <w:spacing w:before="3"/>
        <w:rPr>
          <w:sz w:val="14"/>
        </w:rPr>
      </w:pPr>
      <w:r>
        <w:rPr/>
        <w:pict>
          <v:line style="position:absolute;mso-position-horizontal-relative:page;mso-position-vertical-relative:paragraph;z-index:-664;mso-wrap-distance-left:0;mso-wrap-distance-right:0" from="79.370102pt,12.322341pt" to="515.905102pt,12.322341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5"/>
        </w:numPr>
        <w:tabs>
          <w:tab w:pos="1760" w:val="left" w:leader="none"/>
          <w:tab w:pos="1762" w:val="left" w:leader="none"/>
        </w:tabs>
        <w:spacing w:line="170" w:lineRule="exact" w:before="21" w:after="0"/>
        <w:ind w:left="1761" w:right="0" w:hanging="794"/>
        <w:jc w:val="left"/>
        <w:rPr>
          <w:sz w:val="13"/>
        </w:rPr>
      </w:pPr>
      <w:r>
        <w:rPr/>
        <w:pict>
          <v:rect style="position:absolute;margin-left:0pt;margin-top:99.213013pt;width:14.173pt;height:85.748pt;mso-position-horizontal-relative:page;mso-position-vertical-relative:page;z-index:1408" filled="true" fillcolor="#37617a" stroked="false">
            <v:fill type="solid"/>
            <w10:wrap type="none"/>
          </v:rect>
        </w:pict>
      </w:r>
      <w:r>
        <w:rPr>
          <w:sz w:val="13"/>
        </w:rPr>
        <w:t>Consultation</w:t>
      </w:r>
      <w:r>
        <w:rPr>
          <w:spacing w:val="11"/>
          <w:sz w:val="13"/>
        </w:rPr>
        <w:t> </w:t>
      </w:r>
      <w:r>
        <w:rPr>
          <w:sz w:val="13"/>
        </w:rPr>
        <w:t>6</w:t>
      </w:r>
      <w:r>
        <w:rPr>
          <w:spacing w:val="11"/>
          <w:sz w:val="13"/>
        </w:rPr>
        <w:t> </w:t>
      </w:r>
      <w:r>
        <w:rPr>
          <w:sz w:val="13"/>
        </w:rPr>
        <w:t>(Deaf</w:t>
      </w:r>
      <w:r>
        <w:rPr>
          <w:spacing w:val="11"/>
          <w:sz w:val="13"/>
        </w:rPr>
        <w:t> </w:t>
      </w:r>
      <w:r>
        <w:rPr>
          <w:sz w:val="13"/>
        </w:rPr>
        <w:t>Victoria</w:t>
      </w:r>
      <w:r>
        <w:rPr>
          <w:spacing w:val="12"/>
          <w:sz w:val="13"/>
        </w:rPr>
        <w:t> </w:t>
      </w:r>
      <w:r>
        <w:rPr>
          <w:sz w:val="13"/>
        </w:rPr>
        <w:t>and</w:t>
      </w:r>
      <w:r>
        <w:rPr>
          <w:spacing w:val="11"/>
          <w:sz w:val="13"/>
        </w:rPr>
        <w:t> </w:t>
      </w:r>
      <w:r>
        <w:rPr>
          <w:sz w:val="13"/>
        </w:rPr>
        <w:t>community</w:t>
      </w:r>
      <w:r>
        <w:rPr>
          <w:spacing w:val="11"/>
          <w:sz w:val="13"/>
        </w:rPr>
        <w:t> </w:t>
      </w:r>
      <w:r>
        <w:rPr>
          <w:sz w:val="13"/>
        </w:rPr>
        <w:t>participants).</w:t>
      </w:r>
    </w:p>
    <w:p>
      <w:pPr>
        <w:pStyle w:val="ListParagraph"/>
        <w:numPr>
          <w:ilvl w:val="0"/>
          <w:numId w:val="5"/>
        </w:numPr>
        <w:tabs>
          <w:tab w:pos="1760" w:val="left" w:leader="none"/>
          <w:tab w:pos="1762" w:val="left" w:leader="none"/>
        </w:tabs>
        <w:spacing w:line="170" w:lineRule="exact" w:before="0" w:after="0"/>
        <w:ind w:left="1761" w:right="0" w:hanging="794"/>
        <w:jc w:val="left"/>
        <w:rPr>
          <w:sz w:val="13"/>
        </w:rPr>
      </w:pPr>
      <w:r>
        <w:rPr>
          <w:sz w:val="13"/>
        </w:rPr>
        <w:t>Consultation 1 </w:t>
      </w:r>
      <w:r>
        <w:rPr>
          <w:spacing w:val="2"/>
          <w:sz w:val="13"/>
        </w:rPr>
        <w:t>(Blind </w:t>
      </w:r>
      <w:r>
        <w:rPr>
          <w:sz w:val="13"/>
        </w:rPr>
        <w:t>Citizens</w:t>
      </w:r>
      <w:r>
        <w:rPr>
          <w:spacing w:val="2"/>
          <w:sz w:val="13"/>
        </w:rPr>
        <w:t> </w:t>
      </w:r>
      <w:r>
        <w:rPr>
          <w:sz w:val="13"/>
        </w:rPr>
        <w:t>Australia).</w:t>
      </w:r>
    </w:p>
    <w:p>
      <w:pPr>
        <w:spacing w:before="54"/>
        <w:ind w:left="967" w:right="0" w:firstLine="0"/>
        <w:jc w:val="left"/>
        <w:rPr>
          <w:b/>
          <w:sz w:val="24"/>
        </w:rPr>
      </w:pPr>
      <w:r>
        <w:rPr/>
        <w:br w:type="column"/>
      </w:r>
      <w:r>
        <w:rPr>
          <w:b/>
          <w:color w:val="37617A"/>
          <w:sz w:val="24"/>
        </w:rPr>
        <w:t>xvii</w:t>
      </w:r>
    </w:p>
    <w:p>
      <w:pPr>
        <w:spacing w:after="0"/>
        <w:jc w:val="left"/>
        <w:rPr>
          <w:sz w:val="24"/>
        </w:rPr>
        <w:sectPr>
          <w:type w:val="continuous"/>
          <w:pgSz w:w="11910" w:h="16840"/>
          <w:pgMar w:top="620" w:bottom="280" w:left="620" w:right="380"/>
          <w:cols w:num="2" w:equalWidth="0">
            <w:col w:w="5394" w:space="3938"/>
            <w:col w:w="1578"/>
          </w:cols>
        </w:sectPr>
      </w:pPr>
    </w:p>
    <w:p>
      <w:pPr>
        <w:pStyle w:val="BodyText"/>
        <w:rPr>
          <w:b/>
        </w:rPr>
      </w:pPr>
    </w:p>
    <w:p>
      <w:pPr>
        <w:pStyle w:val="BodyText"/>
        <w:rPr>
          <w:b/>
        </w:rPr>
      </w:pPr>
    </w:p>
    <w:p>
      <w:pPr>
        <w:pStyle w:val="BodyText"/>
        <w:rPr>
          <w:b/>
        </w:rPr>
      </w:pPr>
    </w:p>
    <w:p>
      <w:pPr>
        <w:pStyle w:val="BodyText"/>
        <w:spacing w:before="8"/>
        <w:rPr>
          <w:b/>
          <w:sz w:val="18"/>
        </w:rPr>
      </w:pPr>
    </w:p>
    <w:p>
      <w:pPr>
        <w:pStyle w:val="ListParagraph"/>
        <w:numPr>
          <w:ilvl w:val="0"/>
          <w:numId w:val="6"/>
        </w:numPr>
        <w:tabs>
          <w:tab w:pos="1761" w:val="left" w:leader="none"/>
          <w:tab w:pos="1762" w:val="left" w:leader="none"/>
        </w:tabs>
        <w:spacing w:line="206" w:lineRule="auto" w:before="0" w:after="0"/>
        <w:ind w:left="1761" w:right="1217" w:hanging="794"/>
        <w:jc w:val="left"/>
        <w:rPr>
          <w:sz w:val="20"/>
        </w:rPr>
      </w:pPr>
      <w:r>
        <w:rPr>
          <w:spacing w:val="-3"/>
          <w:sz w:val="20"/>
        </w:rPr>
        <w:t>Secondly,</w:t>
      </w:r>
      <w:r>
        <w:rPr>
          <w:spacing w:val="-6"/>
          <w:sz w:val="20"/>
        </w:rPr>
        <w:t> </w:t>
      </w:r>
      <w:r>
        <w:rPr>
          <w:sz w:val="20"/>
        </w:rPr>
        <w:t>a</w:t>
      </w:r>
      <w:r>
        <w:rPr>
          <w:spacing w:val="-6"/>
          <w:sz w:val="20"/>
        </w:rPr>
        <w:t> </w:t>
      </w:r>
      <w:r>
        <w:rPr>
          <w:sz w:val="20"/>
        </w:rPr>
        <w:t>long-standing</w:t>
      </w:r>
      <w:r>
        <w:rPr>
          <w:spacing w:val="-6"/>
          <w:sz w:val="20"/>
        </w:rPr>
        <w:t> </w:t>
      </w:r>
      <w:r>
        <w:rPr>
          <w:sz w:val="20"/>
        </w:rPr>
        <w:t>common</w:t>
      </w:r>
      <w:r>
        <w:rPr>
          <w:spacing w:val="-5"/>
          <w:sz w:val="20"/>
        </w:rPr>
        <w:t> </w:t>
      </w:r>
      <w:r>
        <w:rPr>
          <w:sz w:val="20"/>
        </w:rPr>
        <w:t>law</w:t>
      </w:r>
      <w:r>
        <w:rPr>
          <w:spacing w:val="-6"/>
          <w:sz w:val="20"/>
        </w:rPr>
        <w:t> </w:t>
      </w:r>
      <w:r>
        <w:rPr>
          <w:sz w:val="20"/>
        </w:rPr>
        <w:t>rule</w:t>
      </w:r>
      <w:r>
        <w:rPr>
          <w:spacing w:val="-6"/>
          <w:sz w:val="20"/>
        </w:rPr>
        <w:t> </w:t>
      </w:r>
      <w:r>
        <w:rPr>
          <w:sz w:val="20"/>
        </w:rPr>
        <w:t>known</w:t>
      </w:r>
      <w:r>
        <w:rPr>
          <w:spacing w:val="-5"/>
          <w:sz w:val="20"/>
        </w:rPr>
        <w:t> </w:t>
      </w:r>
      <w:r>
        <w:rPr>
          <w:sz w:val="20"/>
        </w:rPr>
        <w:t>as</w:t>
      </w:r>
      <w:r>
        <w:rPr>
          <w:spacing w:val="-6"/>
          <w:sz w:val="20"/>
        </w:rPr>
        <w:t> </w:t>
      </w:r>
      <w:r>
        <w:rPr>
          <w:sz w:val="20"/>
        </w:rPr>
        <w:t>the</w:t>
      </w:r>
      <w:r>
        <w:rPr>
          <w:spacing w:val="-6"/>
          <w:sz w:val="20"/>
        </w:rPr>
        <w:t> </w:t>
      </w:r>
      <w:r>
        <w:rPr>
          <w:sz w:val="20"/>
        </w:rPr>
        <w:t>‘13th</w:t>
      </w:r>
      <w:r>
        <w:rPr>
          <w:spacing w:val="-6"/>
          <w:sz w:val="20"/>
        </w:rPr>
        <w:t> </w:t>
      </w:r>
      <w:r>
        <w:rPr>
          <w:sz w:val="20"/>
        </w:rPr>
        <w:t>person</w:t>
      </w:r>
      <w:r>
        <w:rPr>
          <w:spacing w:val="-5"/>
          <w:sz w:val="20"/>
        </w:rPr>
        <w:t> </w:t>
      </w:r>
      <w:r>
        <w:rPr>
          <w:sz w:val="20"/>
        </w:rPr>
        <w:t>rule’</w:t>
      </w:r>
      <w:r>
        <w:rPr>
          <w:spacing w:val="-6"/>
          <w:sz w:val="20"/>
        </w:rPr>
        <w:t> </w:t>
      </w:r>
      <w:r>
        <w:rPr>
          <w:sz w:val="20"/>
        </w:rPr>
        <w:t>states</w:t>
      </w:r>
      <w:r>
        <w:rPr>
          <w:spacing w:val="-6"/>
          <w:sz w:val="20"/>
        </w:rPr>
        <w:t> </w:t>
      </w:r>
      <w:r>
        <w:rPr>
          <w:sz w:val="20"/>
        </w:rPr>
        <w:t>that only jurors (usually 12 in a criminal case) may be present in the jury room. Therefore, a non-juror</w:t>
      </w:r>
      <w:r>
        <w:rPr>
          <w:spacing w:val="-6"/>
          <w:sz w:val="20"/>
        </w:rPr>
        <w:t> </w:t>
      </w:r>
      <w:r>
        <w:rPr>
          <w:sz w:val="20"/>
        </w:rPr>
        <w:t>or</w:t>
      </w:r>
      <w:r>
        <w:rPr>
          <w:spacing w:val="-6"/>
          <w:sz w:val="20"/>
        </w:rPr>
        <w:t> </w:t>
      </w:r>
      <w:r>
        <w:rPr>
          <w:sz w:val="20"/>
        </w:rPr>
        <w:t>‘13th</w:t>
      </w:r>
      <w:r>
        <w:rPr>
          <w:spacing w:val="-6"/>
          <w:sz w:val="20"/>
        </w:rPr>
        <w:t> </w:t>
      </w:r>
      <w:r>
        <w:rPr>
          <w:sz w:val="20"/>
        </w:rPr>
        <w:t>person’,</w:t>
      </w:r>
      <w:r>
        <w:rPr>
          <w:spacing w:val="-6"/>
          <w:sz w:val="20"/>
        </w:rPr>
        <w:t> </w:t>
      </w:r>
      <w:r>
        <w:rPr>
          <w:sz w:val="20"/>
        </w:rPr>
        <w:t>for</w:t>
      </w:r>
      <w:r>
        <w:rPr>
          <w:spacing w:val="-6"/>
          <w:sz w:val="20"/>
        </w:rPr>
        <w:t> </w:t>
      </w:r>
      <w:r>
        <w:rPr>
          <w:sz w:val="20"/>
        </w:rPr>
        <w:t>example</w:t>
      </w:r>
      <w:r>
        <w:rPr>
          <w:spacing w:val="-5"/>
          <w:sz w:val="20"/>
        </w:rPr>
        <w:t> </w:t>
      </w:r>
      <w:r>
        <w:rPr>
          <w:sz w:val="20"/>
        </w:rPr>
        <w:t>an</w:t>
      </w:r>
      <w:r>
        <w:rPr>
          <w:spacing w:val="-6"/>
          <w:sz w:val="20"/>
        </w:rPr>
        <w:t> </w:t>
      </w:r>
      <w:r>
        <w:rPr>
          <w:sz w:val="20"/>
        </w:rPr>
        <w:t>Auslan</w:t>
      </w:r>
      <w:r>
        <w:rPr>
          <w:spacing w:val="-6"/>
          <w:sz w:val="20"/>
        </w:rPr>
        <w:t> </w:t>
      </w:r>
      <w:r>
        <w:rPr>
          <w:spacing w:val="-3"/>
          <w:sz w:val="20"/>
        </w:rPr>
        <w:t>interpreter,</w:t>
      </w:r>
      <w:r>
        <w:rPr>
          <w:spacing w:val="-6"/>
          <w:sz w:val="20"/>
        </w:rPr>
        <w:t> </w:t>
      </w:r>
      <w:r>
        <w:rPr>
          <w:sz w:val="20"/>
        </w:rPr>
        <w:t>is</w:t>
      </w:r>
      <w:r>
        <w:rPr>
          <w:spacing w:val="-6"/>
          <w:sz w:val="20"/>
        </w:rPr>
        <w:t> </w:t>
      </w:r>
      <w:r>
        <w:rPr>
          <w:sz w:val="20"/>
        </w:rPr>
        <w:t>not</w:t>
      </w:r>
      <w:r>
        <w:rPr>
          <w:spacing w:val="-6"/>
          <w:sz w:val="20"/>
        </w:rPr>
        <w:t> </w:t>
      </w:r>
      <w:r>
        <w:rPr>
          <w:sz w:val="20"/>
        </w:rPr>
        <w:t>permitted</w:t>
      </w:r>
      <w:r>
        <w:rPr>
          <w:spacing w:val="-5"/>
          <w:sz w:val="20"/>
        </w:rPr>
        <w:t> </w:t>
      </w:r>
      <w:r>
        <w:rPr>
          <w:sz w:val="20"/>
        </w:rPr>
        <w:t>in</w:t>
      </w:r>
      <w:r>
        <w:rPr>
          <w:spacing w:val="-6"/>
          <w:sz w:val="20"/>
        </w:rPr>
        <w:t> </w:t>
      </w:r>
      <w:r>
        <w:rPr>
          <w:sz w:val="20"/>
        </w:rPr>
        <w:t>the</w:t>
      </w:r>
      <w:r>
        <w:rPr>
          <w:spacing w:val="-6"/>
          <w:sz w:val="20"/>
        </w:rPr>
        <w:t> </w:t>
      </w:r>
      <w:r>
        <w:rPr>
          <w:sz w:val="20"/>
        </w:rPr>
        <w:t>jury room during deliberations.</w:t>
      </w:r>
      <w:r>
        <w:rPr>
          <w:position w:val="7"/>
          <w:sz w:val="11"/>
        </w:rPr>
        <w:t>3 </w:t>
      </w:r>
      <w:r>
        <w:rPr>
          <w:sz w:val="20"/>
        </w:rPr>
        <w:t>This rule is intended to keep the jury separate to preserve the confidentiality of the deliberation</w:t>
      </w:r>
      <w:r>
        <w:rPr>
          <w:spacing w:val="-13"/>
          <w:sz w:val="20"/>
        </w:rPr>
        <w:t> </w:t>
      </w:r>
      <w:r>
        <w:rPr>
          <w:sz w:val="20"/>
        </w:rPr>
        <w:t>process.</w:t>
      </w:r>
    </w:p>
    <w:p>
      <w:pPr>
        <w:pStyle w:val="ListParagraph"/>
        <w:numPr>
          <w:ilvl w:val="0"/>
          <w:numId w:val="6"/>
        </w:numPr>
        <w:tabs>
          <w:tab w:pos="1761" w:val="left" w:leader="none"/>
          <w:tab w:pos="1762" w:val="left" w:leader="none"/>
        </w:tabs>
        <w:spacing w:line="206" w:lineRule="auto" w:before="120" w:after="0"/>
        <w:ind w:left="1761" w:right="1213" w:hanging="794"/>
        <w:jc w:val="left"/>
        <w:rPr>
          <w:sz w:val="20"/>
        </w:rPr>
      </w:pPr>
      <w:r>
        <w:rPr>
          <w:sz w:val="20"/>
        </w:rPr>
        <w:t>This often </w:t>
      </w:r>
      <w:r>
        <w:rPr>
          <w:spacing w:val="-3"/>
          <w:sz w:val="20"/>
        </w:rPr>
        <w:t>leaves </w:t>
      </w:r>
      <w:r>
        <w:rPr>
          <w:sz w:val="20"/>
        </w:rPr>
        <w:t>people who are </w:t>
      </w:r>
      <w:r>
        <w:rPr>
          <w:spacing w:val="-3"/>
          <w:sz w:val="20"/>
        </w:rPr>
        <w:t>deaf, </w:t>
      </w:r>
      <w:r>
        <w:rPr>
          <w:sz w:val="20"/>
        </w:rPr>
        <w:t>hard of hearing, blind or </w:t>
      </w:r>
      <w:r>
        <w:rPr>
          <w:spacing w:val="-3"/>
          <w:sz w:val="20"/>
        </w:rPr>
        <w:t>have low </w:t>
      </w:r>
      <w:r>
        <w:rPr>
          <w:sz w:val="20"/>
        </w:rPr>
        <w:t>vision with no option but to seek to be excused from jury service; </w:t>
      </w:r>
      <w:r>
        <w:rPr>
          <w:spacing w:val="-5"/>
          <w:sz w:val="20"/>
        </w:rPr>
        <w:t>or, </w:t>
      </w:r>
      <w:r>
        <w:rPr>
          <w:sz w:val="20"/>
        </w:rPr>
        <w:t>they are deemed ineligible to</w:t>
      </w:r>
      <w:r>
        <w:rPr>
          <w:spacing w:val="-7"/>
          <w:sz w:val="20"/>
        </w:rPr>
        <w:t> </w:t>
      </w:r>
      <w:r>
        <w:rPr>
          <w:sz w:val="20"/>
        </w:rPr>
        <w:t>serve</w:t>
      </w:r>
      <w:r>
        <w:rPr>
          <w:spacing w:val="-7"/>
          <w:sz w:val="20"/>
        </w:rPr>
        <w:t> </w:t>
      </w:r>
      <w:r>
        <w:rPr>
          <w:spacing w:val="-3"/>
          <w:sz w:val="20"/>
        </w:rPr>
        <w:t>by</w:t>
      </w:r>
      <w:r>
        <w:rPr>
          <w:spacing w:val="-7"/>
          <w:sz w:val="20"/>
        </w:rPr>
        <w:t> </w:t>
      </w:r>
      <w:r>
        <w:rPr>
          <w:sz w:val="20"/>
        </w:rPr>
        <w:t>the</w:t>
      </w:r>
      <w:r>
        <w:rPr>
          <w:spacing w:val="-7"/>
          <w:sz w:val="20"/>
        </w:rPr>
        <w:t> </w:t>
      </w:r>
      <w:r>
        <w:rPr>
          <w:sz w:val="20"/>
        </w:rPr>
        <w:t>Juries</w:t>
      </w:r>
      <w:r>
        <w:rPr>
          <w:spacing w:val="-7"/>
          <w:sz w:val="20"/>
        </w:rPr>
        <w:t> </w:t>
      </w:r>
      <w:r>
        <w:rPr>
          <w:sz w:val="20"/>
        </w:rPr>
        <w:t>Commissioner.</w:t>
      </w:r>
      <w:r>
        <w:rPr>
          <w:spacing w:val="-7"/>
          <w:sz w:val="20"/>
        </w:rPr>
        <w:t> </w:t>
      </w:r>
      <w:r>
        <w:rPr>
          <w:sz w:val="20"/>
        </w:rPr>
        <w:t>Additional</w:t>
      </w:r>
      <w:r>
        <w:rPr>
          <w:spacing w:val="-7"/>
          <w:sz w:val="20"/>
        </w:rPr>
        <w:t> </w:t>
      </w:r>
      <w:r>
        <w:rPr>
          <w:sz w:val="20"/>
        </w:rPr>
        <w:t>barriers</w:t>
      </w:r>
      <w:r>
        <w:rPr>
          <w:spacing w:val="-6"/>
          <w:sz w:val="20"/>
        </w:rPr>
        <w:t> </w:t>
      </w:r>
      <w:r>
        <w:rPr>
          <w:sz w:val="20"/>
        </w:rPr>
        <w:t>are</w:t>
      </w:r>
      <w:r>
        <w:rPr>
          <w:spacing w:val="-7"/>
          <w:sz w:val="20"/>
        </w:rPr>
        <w:t> </w:t>
      </w:r>
      <w:r>
        <w:rPr>
          <w:sz w:val="20"/>
        </w:rPr>
        <w:t>likely</w:t>
      </w:r>
      <w:r>
        <w:rPr>
          <w:spacing w:val="-7"/>
          <w:sz w:val="20"/>
        </w:rPr>
        <w:t> </w:t>
      </w:r>
      <w:r>
        <w:rPr>
          <w:sz w:val="20"/>
        </w:rPr>
        <w:t>to</w:t>
      </w:r>
      <w:r>
        <w:rPr>
          <w:spacing w:val="-7"/>
          <w:sz w:val="20"/>
        </w:rPr>
        <w:t> </w:t>
      </w:r>
      <w:r>
        <w:rPr>
          <w:spacing w:val="-3"/>
          <w:sz w:val="20"/>
        </w:rPr>
        <w:t>prevent</w:t>
      </w:r>
      <w:r>
        <w:rPr>
          <w:spacing w:val="-7"/>
          <w:sz w:val="20"/>
        </w:rPr>
        <w:t> </w:t>
      </w:r>
      <w:r>
        <w:rPr>
          <w:sz w:val="20"/>
        </w:rPr>
        <w:t>Aboriginal people</w:t>
      </w:r>
      <w:r>
        <w:rPr>
          <w:spacing w:val="-4"/>
          <w:sz w:val="20"/>
        </w:rPr>
        <w:t> </w:t>
      </w:r>
      <w:r>
        <w:rPr>
          <w:sz w:val="20"/>
        </w:rPr>
        <w:t>who</w:t>
      </w:r>
      <w:r>
        <w:rPr>
          <w:spacing w:val="-4"/>
          <w:sz w:val="20"/>
        </w:rPr>
        <w:t> </w:t>
      </w:r>
      <w:r>
        <w:rPr>
          <w:sz w:val="20"/>
        </w:rPr>
        <w:t>are</w:t>
      </w:r>
      <w:r>
        <w:rPr>
          <w:spacing w:val="-4"/>
          <w:sz w:val="20"/>
        </w:rPr>
        <w:t> </w:t>
      </w:r>
      <w:r>
        <w:rPr>
          <w:spacing w:val="-3"/>
          <w:sz w:val="20"/>
        </w:rPr>
        <w:t>deaf,</w:t>
      </w:r>
      <w:r>
        <w:rPr>
          <w:spacing w:val="-4"/>
          <w:sz w:val="20"/>
        </w:rPr>
        <w:t> </w:t>
      </w:r>
      <w:r>
        <w:rPr>
          <w:sz w:val="20"/>
        </w:rPr>
        <w:t>hard</w:t>
      </w:r>
      <w:r>
        <w:rPr>
          <w:spacing w:val="-4"/>
          <w:sz w:val="20"/>
        </w:rPr>
        <w:t> </w:t>
      </w:r>
      <w:r>
        <w:rPr>
          <w:sz w:val="20"/>
        </w:rPr>
        <w:t>or</w:t>
      </w:r>
      <w:r>
        <w:rPr>
          <w:spacing w:val="-4"/>
          <w:sz w:val="20"/>
        </w:rPr>
        <w:t> </w:t>
      </w:r>
      <w:r>
        <w:rPr>
          <w:sz w:val="20"/>
        </w:rPr>
        <w:t>hearing,</w:t>
      </w:r>
      <w:r>
        <w:rPr>
          <w:spacing w:val="-4"/>
          <w:sz w:val="20"/>
        </w:rPr>
        <w:t> </w:t>
      </w:r>
      <w:r>
        <w:rPr>
          <w:sz w:val="20"/>
        </w:rPr>
        <w:t>blind</w:t>
      </w:r>
      <w:r>
        <w:rPr>
          <w:spacing w:val="-4"/>
          <w:sz w:val="20"/>
        </w:rPr>
        <w:t> </w:t>
      </w:r>
      <w:r>
        <w:rPr>
          <w:sz w:val="20"/>
        </w:rPr>
        <w:t>or</w:t>
      </w:r>
      <w:r>
        <w:rPr>
          <w:spacing w:val="-4"/>
          <w:sz w:val="20"/>
        </w:rPr>
        <w:t> </w:t>
      </w:r>
      <w:r>
        <w:rPr>
          <w:spacing w:val="-3"/>
          <w:sz w:val="20"/>
        </w:rPr>
        <w:t>have</w:t>
      </w:r>
      <w:r>
        <w:rPr>
          <w:spacing w:val="-4"/>
          <w:sz w:val="20"/>
        </w:rPr>
        <w:t> </w:t>
      </w:r>
      <w:r>
        <w:rPr>
          <w:spacing w:val="-3"/>
          <w:sz w:val="20"/>
        </w:rPr>
        <w:t>low</w:t>
      </w:r>
      <w:r>
        <w:rPr>
          <w:spacing w:val="-4"/>
          <w:sz w:val="20"/>
        </w:rPr>
        <w:t> </w:t>
      </w:r>
      <w:r>
        <w:rPr>
          <w:sz w:val="20"/>
        </w:rPr>
        <w:t>vision</w:t>
      </w:r>
      <w:r>
        <w:rPr>
          <w:spacing w:val="-4"/>
          <w:sz w:val="20"/>
        </w:rPr>
        <w:t> </w:t>
      </w:r>
      <w:r>
        <w:rPr>
          <w:sz w:val="20"/>
        </w:rPr>
        <w:t>from</w:t>
      </w:r>
      <w:r>
        <w:rPr>
          <w:spacing w:val="-4"/>
          <w:sz w:val="20"/>
        </w:rPr>
        <w:t> </w:t>
      </w:r>
      <w:r>
        <w:rPr>
          <w:sz w:val="20"/>
        </w:rPr>
        <w:t>serving</w:t>
      </w:r>
      <w:r>
        <w:rPr>
          <w:spacing w:val="-4"/>
          <w:sz w:val="20"/>
        </w:rPr>
        <w:t> </w:t>
      </w:r>
      <w:r>
        <w:rPr>
          <w:sz w:val="20"/>
        </w:rPr>
        <w:t>as</w:t>
      </w:r>
      <w:r>
        <w:rPr>
          <w:spacing w:val="-4"/>
          <w:sz w:val="20"/>
        </w:rPr>
        <w:t> </w:t>
      </w:r>
      <w:r>
        <w:rPr>
          <w:sz w:val="20"/>
        </w:rPr>
        <w:t>jurors.</w:t>
      </w:r>
    </w:p>
    <w:p>
      <w:pPr>
        <w:pStyle w:val="BodyText"/>
        <w:spacing w:before="1"/>
        <w:rPr>
          <w:sz w:val="16"/>
        </w:rPr>
      </w:pPr>
    </w:p>
    <w:p>
      <w:pPr>
        <w:spacing w:before="0"/>
        <w:ind w:left="967" w:right="0" w:firstLine="0"/>
        <w:jc w:val="left"/>
        <w:rPr>
          <w:rFonts w:ascii="Raleway ExtraBold"/>
          <w:b/>
          <w:sz w:val="28"/>
        </w:rPr>
      </w:pPr>
      <w:r>
        <w:rPr>
          <w:rFonts w:ascii="Raleway ExtraBold"/>
          <w:b/>
          <w:color w:val="37617A"/>
          <w:sz w:val="28"/>
        </w:rPr>
        <w:t>Why does the law need to change?</w:t>
      </w:r>
    </w:p>
    <w:p>
      <w:pPr>
        <w:pStyle w:val="BodyText"/>
        <w:spacing w:before="8"/>
        <w:rPr>
          <w:rFonts w:ascii="Raleway ExtraBold"/>
          <w:b/>
          <w:sz w:val="15"/>
        </w:rPr>
      </w:pPr>
      <w:r>
        <w:rPr/>
        <w:pict>
          <v:line style="position:absolute;mso-position-horizontal-relative:page;mso-position-vertical-relative:paragraph;z-index:-616;mso-wrap-distance-left:0;mso-wrap-distance-right:0" from="79.370102pt,13.0154pt" to="515.905102pt,13.0154pt" stroked="true" strokeweight=".5pt" strokecolor="#8f9dad">
            <v:stroke dashstyle="solid"/>
            <w10:wrap type="topAndBottom"/>
          </v:line>
        </w:pict>
      </w:r>
    </w:p>
    <w:p>
      <w:pPr>
        <w:spacing w:line="247" w:lineRule="auto" w:before="223"/>
        <w:ind w:left="2189" w:right="2427" w:hanging="1"/>
        <w:jc w:val="center"/>
        <w:rPr>
          <w:rFonts w:ascii="Trebuchet MS" w:hAnsi="Trebuchet MS"/>
          <w:sz w:val="19"/>
        </w:rPr>
      </w:pPr>
      <w:r>
        <w:rPr>
          <w:rFonts w:ascii="Trebuchet MS" w:hAnsi="Trebuchet MS"/>
          <w:i/>
          <w:color w:val="37617A"/>
          <w:sz w:val="20"/>
        </w:rPr>
        <w:t>The Court considers that supporting people in the subject groups to </w:t>
      </w:r>
      <w:r>
        <w:rPr>
          <w:rFonts w:ascii="Trebuchet MS" w:hAnsi="Trebuchet MS"/>
          <w:i/>
          <w:color w:val="37617A"/>
          <w:spacing w:val="-2"/>
          <w:w w:val="117"/>
          <w:sz w:val="20"/>
        </w:rPr>
        <w:t>s</w:t>
      </w:r>
      <w:r>
        <w:rPr>
          <w:rFonts w:ascii="Trebuchet MS" w:hAnsi="Trebuchet MS"/>
          <w:i/>
          <w:color w:val="37617A"/>
          <w:spacing w:val="1"/>
          <w:w w:val="100"/>
          <w:sz w:val="20"/>
        </w:rPr>
        <w:t>e</w:t>
      </w:r>
      <w:r>
        <w:rPr>
          <w:rFonts w:ascii="Trebuchet MS" w:hAnsi="Trebuchet MS"/>
          <w:i/>
          <w:color w:val="37617A"/>
          <w:spacing w:val="3"/>
          <w:w w:val="84"/>
          <w:sz w:val="20"/>
        </w:rPr>
        <w:t>r</w:t>
      </w:r>
      <w:r>
        <w:rPr>
          <w:rFonts w:ascii="Trebuchet MS" w:hAnsi="Trebuchet MS"/>
          <w:i/>
          <w:color w:val="37617A"/>
          <w:spacing w:val="-3"/>
          <w:w w:val="103"/>
          <w:sz w:val="20"/>
        </w:rPr>
        <w:t>v</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4"/>
          <w:w w:val="84"/>
          <w:sz w:val="20"/>
        </w:rPr>
        <w:t>r</w:t>
      </w:r>
      <w:r>
        <w:rPr>
          <w:rFonts w:ascii="Trebuchet MS" w:hAnsi="Trebuchet MS"/>
          <w:i/>
          <w:color w:val="37617A"/>
          <w:w w:val="107"/>
          <w:sz w:val="20"/>
        </w:rPr>
        <w:t>o</w:t>
      </w:r>
      <w:r>
        <w:rPr>
          <w:rFonts w:ascii="Trebuchet MS" w:hAnsi="Trebuchet MS"/>
          <w:i/>
          <w:color w:val="37617A"/>
          <w:spacing w:val="-1"/>
          <w:w w:val="84"/>
          <w:sz w:val="20"/>
        </w:rPr>
        <w:t>r</w:t>
      </w:r>
      <w:r>
        <w:rPr>
          <w:rFonts w:ascii="Trebuchet MS" w:hAnsi="Trebuchet MS"/>
          <w:i/>
          <w:color w:val="37617A"/>
          <w:spacing w:val="3"/>
          <w:w w:val="117"/>
          <w:sz w:val="20"/>
        </w:rPr>
        <w:t>s</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1"/>
          <w:w w:val="117"/>
          <w:sz w:val="20"/>
        </w:rPr>
        <w:t>s</w:t>
      </w:r>
      <w:r>
        <w:rPr>
          <w:rFonts w:ascii="Trebuchet MS" w:hAnsi="Trebuchet MS"/>
          <w:i/>
          <w:color w:val="37617A"/>
          <w:w w:val="73"/>
          <w:sz w:val="20"/>
        </w:rPr>
        <w:t>i</w:t>
      </w:r>
      <w:r>
        <w:rPr>
          <w:rFonts w:ascii="Trebuchet MS" w:hAnsi="Trebuchet MS"/>
          <w:i/>
          <w:color w:val="37617A"/>
          <w:spacing w:val="-1"/>
          <w:w w:val="117"/>
          <w:sz w:val="20"/>
        </w:rPr>
        <w:t>s</w:t>
      </w:r>
      <w:r>
        <w:rPr>
          <w:rFonts w:ascii="Trebuchet MS" w:hAnsi="Trebuchet MS"/>
          <w:i/>
          <w:color w:val="37617A"/>
          <w:spacing w:val="-5"/>
          <w:w w:val="80"/>
          <w:sz w:val="20"/>
        </w:rPr>
        <w:t>t</w:t>
      </w:r>
      <w:r>
        <w:rPr>
          <w:rFonts w:ascii="Trebuchet MS" w:hAnsi="Trebuchet MS"/>
          <w:i/>
          <w:color w:val="37617A"/>
          <w:spacing w:val="1"/>
          <w:w w:val="100"/>
          <w:sz w:val="20"/>
        </w:rPr>
        <w:t>e</w:t>
      </w:r>
      <w:r>
        <w:rPr>
          <w:rFonts w:ascii="Trebuchet MS" w:hAnsi="Trebuchet MS"/>
          <w:i/>
          <w:color w:val="37617A"/>
          <w:spacing w:val="-2"/>
          <w:w w:val="103"/>
          <w:sz w:val="20"/>
        </w:rPr>
        <w:t>n</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spacing w:val="-1"/>
          <w:w w:val="73"/>
          <w:sz w:val="20"/>
        </w:rPr>
        <w:t>i</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a</w:t>
      </w:r>
      <w:r>
        <w:rPr>
          <w:rFonts w:ascii="Trebuchet MS" w:hAnsi="Trebuchet MS"/>
          <w:i/>
          <w:color w:val="37617A"/>
          <w:spacing w:val="-1"/>
          <w:w w:val="115"/>
          <w:sz w:val="20"/>
        </w:rPr>
        <w:t>c</w:t>
      </w:r>
      <w:r>
        <w:rPr>
          <w:rFonts w:ascii="Trebuchet MS" w:hAnsi="Trebuchet MS"/>
          <w:i/>
          <w:color w:val="37617A"/>
          <w:w w:val="115"/>
          <w:sz w:val="20"/>
        </w:rPr>
        <w:t>c</w:t>
      </w:r>
      <w:r>
        <w:rPr>
          <w:rFonts w:ascii="Trebuchet MS" w:hAnsi="Trebuchet MS"/>
          <w:i/>
          <w:color w:val="37617A"/>
          <w:w w:val="103"/>
          <w:sz w:val="20"/>
        </w:rPr>
        <w:t>u</w:t>
      </w:r>
      <w:r>
        <w:rPr>
          <w:rFonts w:ascii="Trebuchet MS" w:hAnsi="Trebuchet MS"/>
          <w:i/>
          <w:color w:val="37617A"/>
          <w:spacing w:val="-2"/>
          <w:w w:val="117"/>
          <w:sz w:val="20"/>
        </w:rPr>
        <w:t>s</w:t>
      </w:r>
      <w:r>
        <w:rPr>
          <w:rFonts w:ascii="Trebuchet MS" w:hAnsi="Trebuchet MS"/>
          <w:i/>
          <w:color w:val="37617A"/>
          <w:w w:val="100"/>
          <w:sz w:val="20"/>
        </w:rPr>
        <w:t>e</w:t>
      </w:r>
      <w:r>
        <w:rPr>
          <w:rFonts w:ascii="Trebuchet MS" w:hAnsi="Trebuchet MS"/>
          <w:i/>
          <w:color w:val="37617A"/>
          <w:spacing w:val="-1"/>
          <w:w w:val="108"/>
          <w:sz w:val="20"/>
        </w:rPr>
        <w:t>d</w:t>
      </w:r>
      <w:r>
        <w:rPr>
          <w:rFonts w:ascii="Trebuchet MS" w:hAnsi="Trebuchet MS"/>
          <w:i/>
          <w:color w:val="37617A"/>
          <w:spacing w:val="-1"/>
          <w:w w:val="54"/>
          <w:sz w:val="20"/>
        </w:rPr>
        <w:t>’</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2"/>
          <w:w w:val="84"/>
          <w:sz w:val="20"/>
        </w:rPr>
        <w:t>r</w:t>
      </w:r>
      <w:r>
        <w:rPr>
          <w:rFonts w:ascii="Trebuchet MS" w:hAnsi="Trebuchet MS"/>
          <w:i/>
          <w:color w:val="37617A"/>
          <w:spacing w:val="-1"/>
          <w:w w:val="73"/>
          <w:sz w:val="20"/>
        </w:rPr>
        <w:t>i</w:t>
      </w:r>
      <w:r>
        <w:rPr>
          <w:rFonts w:ascii="Trebuchet MS" w:hAnsi="Trebuchet MS"/>
          <w:i/>
          <w:color w:val="37617A"/>
          <w:w w:val="119"/>
          <w:sz w:val="20"/>
        </w:rPr>
        <w:t>g</w:t>
      </w:r>
      <w:r>
        <w:rPr>
          <w:rFonts w:ascii="Trebuchet MS" w:hAnsi="Trebuchet MS"/>
          <w:i/>
          <w:color w:val="37617A"/>
          <w:spacing w:val="-2"/>
          <w:w w:val="101"/>
          <w:sz w:val="20"/>
        </w:rPr>
        <w:t>h</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3"/>
          <w:sz w:val="20"/>
        </w:rPr>
        <w:t> </w:t>
      </w:r>
      <w:r>
        <w:rPr>
          <w:rFonts w:ascii="Trebuchet MS" w:hAnsi="Trebuchet MS"/>
          <w:i/>
          <w:color w:val="37617A"/>
          <w:spacing w:val="-4"/>
          <w:w w:val="83"/>
          <w:sz w:val="20"/>
        </w:rPr>
        <w:t>f</w:t>
      </w:r>
      <w:r>
        <w:rPr>
          <w:rFonts w:ascii="Trebuchet MS" w:hAnsi="Trebuchet MS"/>
          <w:i/>
          <w:color w:val="37617A"/>
          <w:w w:val="115"/>
          <w:sz w:val="20"/>
        </w:rPr>
        <w:t>a</w:t>
      </w:r>
      <w:r>
        <w:rPr>
          <w:rFonts w:ascii="Trebuchet MS" w:hAnsi="Trebuchet MS"/>
          <w:i/>
          <w:color w:val="37617A"/>
          <w:w w:val="73"/>
          <w:sz w:val="20"/>
        </w:rPr>
        <w:t>i</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w w:val="115"/>
          <w:sz w:val="20"/>
        </w:rPr>
        <w:t>a</w:t>
      </w:r>
      <w:r>
        <w:rPr>
          <w:rFonts w:ascii="Trebuchet MS" w:hAnsi="Trebuchet MS"/>
          <w:i/>
          <w:color w:val="37617A"/>
          <w:spacing w:val="3"/>
          <w:w w:val="87"/>
          <w:sz w:val="20"/>
        </w:rPr>
        <w:t>l</w:t>
      </w:r>
      <w:r>
        <w:rPr>
          <w:rFonts w:ascii="Trebuchet MS" w:hAnsi="Trebuchet MS"/>
          <w:i/>
          <w:color w:val="37617A"/>
          <w:w w:val="56"/>
          <w:sz w:val="20"/>
        </w:rPr>
        <w:t>, </w:t>
      </w:r>
      <w:r>
        <w:rPr>
          <w:rFonts w:ascii="Trebuchet MS" w:hAnsi="Trebuchet MS"/>
          <w:i/>
          <w:color w:val="37617A"/>
          <w:spacing w:val="-3"/>
          <w:w w:val="103"/>
          <w:sz w:val="20"/>
        </w:rPr>
        <w:t>w</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spacing w:val="-3"/>
          <w:w w:val="87"/>
          <w:sz w:val="20"/>
        </w:rPr>
        <w:t>l</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spacing w:val="-1"/>
          <w:w w:val="115"/>
          <w:sz w:val="20"/>
        </w:rPr>
        <w:t>a</w:t>
      </w:r>
      <w:r>
        <w:rPr>
          <w:rFonts w:ascii="Trebuchet MS" w:hAnsi="Trebuchet MS"/>
          <w:i/>
          <w:color w:val="37617A"/>
          <w:spacing w:val="-2"/>
          <w:w w:val="108"/>
          <w:sz w:val="20"/>
        </w:rPr>
        <w:t>d</w:t>
      </w:r>
      <w:r>
        <w:rPr>
          <w:rFonts w:ascii="Trebuchet MS" w:hAnsi="Trebuchet MS"/>
          <w:i/>
          <w:color w:val="37617A"/>
          <w:spacing w:val="-3"/>
          <w:w w:val="103"/>
          <w:sz w:val="20"/>
        </w:rPr>
        <w:t>v</w:t>
      </w:r>
      <w:r>
        <w:rPr>
          <w:rFonts w:ascii="Trebuchet MS" w:hAnsi="Trebuchet MS"/>
          <w:i/>
          <w:color w:val="37617A"/>
          <w:w w:val="115"/>
          <w:sz w:val="20"/>
        </w:rPr>
        <w:t>a</w:t>
      </w:r>
      <w:r>
        <w:rPr>
          <w:rFonts w:ascii="Trebuchet MS" w:hAnsi="Trebuchet MS"/>
          <w:i/>
          <w:color w:val="37617A"/>
          <w:spacing w:val="-1"/>
          <w:w w:val="103"/>
          <w:sz w:val="20"/>
        </w:rPr>
        <w:t>n</w:t>
      </w:r>
      <w:r>
        <w:rPr>
          <w:rFonts w:ascii="Trebuchet MS" w:hAnsi="Trebuchet MS"/>
          <w:i/>
          <w:color w:val="37617A"/>
          <w:spacing w:val="-1"/>
          <w:w w:val="115"/>
          <w:sz w:val="20"/>
        </w:rPr>
        <w:t>c</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w w:val="107"/>
          <w:sz w:val="20"/>
        </w:rPr>
        <w:t>p</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2"/>
          <w:w w:val="117"/>
          <w:sz w:val="20"/>
        </w:rPr>
        <w:t>s</w:t>
      </w:r>
      <w:r>
        <w:rPr>
          <w:rFonts w:ascii="Trebuchet MS" w:hAnsi="Trebuchet MS"/>
          <w:i/>
          <w:color w:val="37617A"/>
          <w:spacing w:val="1"/>
          <w:w w:val="100"/>
          <w:sz w:val="20"/>
        </w:rPr>
        <w:t>e</w:t>
      </w:r>
      <w:r>
        <w:rPr>
          <w:rFonts w:ascii="Trebuchet MS" w:hAnsi="Trebuchet MS"/>
          <w:i/>
          <w:color w:val="37617A"/>
          <w:spacing w:val="-2"/>
          <w:w w:val="103"/>
          <w:sz w:val="20"/>
        </w:rPr>
        <w:t>n</w:t>
      </w:r>
      <w:r>
        <w:rPr>
          <w:rFonts w:ascii="Trebuchet MS" w:hAnsi="Trebuchet MS"/>
          <w:i/>
          <w:color w:val="37617A"/>
          <w:spacing w:val="-4"/>
          <w:w w:val="80"/>
          <w:sz w:val="20"/>
        </w:rPr>
        <w:t>t</w:t>
      </w:r>
      <w:r>
        <w:rPr>
          <w:rFonts w:ascii="Trebuchet MS" w:hAnsi="Trebuchet MS"/>
          <w:i/>
          <w:color w:val="37617A"/>
          <w:spacing w:val="-1"/>
          <w:w w:val="99"/>
          <w:sz w:val="20"/>
        </w:rPr>
        <w:t>at</w:t>
      </w:r>
      <w:r>
        <w:rPr>
          <w:rFonts w:ascii="Trebuchet MS" w:hAnsi="Trebuchet MS"/>
          <w:i/>
          <w:color w:val="37617A"/>
          <w:spacing w:val="-2"/>
          <w:w w:val="73"/>
          <w:sz w:val="20"/>
        </w:rPr>
        <w:t>i</w:t>
      </w:r>
      <w:r>
        <w:rPr>
          <w:rFonts w:ascii="Trebuchet MS" w:hAnsi="Trebuchet MS"/>
          <w:i/>
          <w:color w:val="37617A"/>
          <w:spacing w:val="-3"/>
          <w:w w:val="103"/>
          <w:sz w:val="20"/>
        </w:rPr>
        <w:t>v</w:t>
      </w:r>
      <w:r>
        <w:rPr>
          <w:rFonts w:ascii="Trebuchet MS" w:hAnsi="Trebuchet MS"/>
          <w:i/>
          <w:color w:val="37617A"/>
          <w:spacing w:val="1"/>
          <w:w w:val="100"/>
          <w:sz w:val="20"/>
        </w:rPr>
        <w:t>e</w:t>
      </w:r>
      <w:r>
        <w:rPr>
          <w:rFonts w:ascii="Trebuchet MS" w:hAnsi="Trebuchet MS"/>
          <w:i/>
          <w:color w:val="37617A"/>
          <w:w w:val="103"/>
          <w:sz w:val="20"/>
        </w:rPr>
        <w:t>n</w:t>
      </w:r>
      <w:r>
        <w:rPr>
          <w:rFonts w:ascii="Trebuchet MS" w:hAnsi="Trebuchet MS"/>
          <w:i/>
          <w:color w:val="37617A"/>
          <w:w w:val="100"/>
          <w:sz w:val="20"/>
        </w:rPr>
        <w:t>e</w:t>
      </w:r>
      <w:r>
        <w:rPr>
          <w:rFonts w:ascii="Trebuchet MS" w:hAnsi="Trebuchet MS"/>
          <w:i/>
          <w:color w:val="37617A"/>
          <w:w w:val="117"/>
          <w:sz w:val="20"/>
        </w:rPr>
        <w:t>ss</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w w:val="100"/>
          <w:sz w:val="20"/>
        </w:rPr>
        <w:t>e</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6"/>
          <w:sz w:val="20"/>
        </w:rPr>
        <w:t>m</w:t>
      </w:r>
      <w:r>
        <w:rPr>
          <w:rFonts w:ascii="Trebuchet MS" w:hAnsi="Trebuchet MS"/>
          <w:i/>
          <w:color w:val="37617A"/>
          <w:spacing w:val="-1"/>
          <w:w w:val="106"/>
          <w:sz w:val="20"/>
        </w:rPr>
        <w:t>m</w:t>
      </w:r>
      <w:r>
        <w:rPr>
          <w:rFonts w:ascii="Trebuchet MS" w:hAnsi="Trebuchet MS"/>
          <w:i/>
          <w:color w:val="37617A"/>
          <w:w w:val="103"/>
          <w:sz w:val="20"/>
        </w:rPr>
        <w:t>u</w:t>
      </w:r>
      <w:r>
        <w:rPr>
          <w:rFonts w:ascii="Trebuchet MS" w:hAnsi="Trebuchet MS"/>
          <w:i/>
          <w:color w:val="37617A"/>
          <w:w w:val="103"/>
          <w:sz w:val="20"/>
        </w:rPr>
        <w:t>n</w:t>
      </w:r>
      <w:r>
        <w:rPr>
          <w:rFonts w:ascii="Trebuchet MS" w:hAnsi="Trebuchet MS"/>
          <w:i/>
          <w:color w:val="37617A"/>
          <w:spacing w:val="-1"/>
          <w:w w:val="77"/>
          <w:sz w:val="20"/>
        </w:rPr>
        <w:t>i</w:t>
      </w:r>
      <w:r>
        <w:rPr>
          <w:rFonts w:ascii="Trebuchet MS" w:hAnsi="Trebuchet MS"/>
          <w:i/>
          <w:color w:val="37617A"/>
          <w:spacing w:val="1"/>
          <w:w w:val="77"/>
          <w:sz w:val="20"/>
        </w:rPr>
        <w:t>t</w:t>
      </w:r>
      <w:r>
        <w:rPr>
          <w:rFonts w:ascii="Trebuchet MS" w:hAnsi="Trebuchet MS"/>
          <w:i/>
          <w:color w:val="37617A"/>
          <w:spacing w:val="-3"/>
          <w:w w:val="101"/>
          <w:sz w:val="20"/>
        </w:rPr>
        <w:t>y</w:t>
      </w:r>
      <w:r>
        <w:rPr>
          <w:rFonts w:ascii="Trebuchet MS" w:hAnsi="Trebuchet MS"/>
          <w:i/>
          <w:color w:val="37617A"/>
          <w:spacing w:val="-1"/>
          <w:w w:val="54"/>
          <w:sz w:val="20"/>
        </w:rPr>
        <w:t>’</w:t>
      </w:r>
      <w:r>
        <w:rPr>
          <w:rFonts w:ascii="Trebuchet MS" w:hAnsi="Trebuchet MS"/>
          <w:i/>
          <w:color w:val="37617A"/>
          <w:w w:val="117"/>
          <w:sz w:val="20"/>
        </w:rPr>
        <w:t>s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spacing w:val="-1"/>
          <w:w w:val="103"/>
          <w:sz w:val="20"/>
        </w:rPr>
        <w:t>n</w:t>
      </w:r>
      <w:r>
        <w:rPr>
          <w:rFonts w:ascii="Trebuchet MS" w:hAnsi="Trebuchet MS"/>
          <w:i/>
          <w:color w:val="37617A"/>
          <w:w w:val="71"/>
          <w:sz w:val="20"/>
        </w:rPr>
        <w:t>fi</w:t>
      </w:r>
      <w:r>
        <w:rPr>
          <w:rFonts w:ascii="Trebuchet MS" w:hAnsi="Trebuchet MS"/>
          <w:i/>
          <w:color w:val="37617A"/>
          <w:spacing w:val="-1"/>
          <w:w w:val="108"/>
          <w:sz w:val="20"/>
        </w:rPr>
        <w:t>d</w:t>
      </w:r>
      <w:r>
        <w:rPr>
          <w:rFonts w:ascii="Trebuchet MS" w:hAnsi="Trebuchet MS"/>
          <w:i/>
          <w:color w:val="37617A"/>
          <w:spacing w:val="1"/>
          <w:w w:val="100"/>
          <w:sz w:val="20"/>
        </w:rPr>
        <w:t>e</w:t>
      </w:r>
      <w:r>
        <w:rPr>
          <w:rFonts w:ascii="Trebuchet MS" w:hAnsi="Trebuchet MS"/>
          <w:i/>
          <w:color w:val="37617A"/>
          <w:spacing w:val="-1"/>
          <w:w w:val="103"/>
          <w:sz w:val="20"/>
        </w:rPr>
        <w:t>n</w:t>
      </w:r>
      <w:r>
        <w:rPr>
          <w:rFonts w:ascii="Trebuchet MS" w:hAnsi="Trebuchet MS"/>
          <w:i/>
          <w:color w:val="37617A"/>
          <w:spacing w:val="-1"/>
          <w:w w:val="115"/>
          <w:sz w:val="20"/>
        </w:rPr>
        <w:t>c</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4"/>
          <w:w w:val="84"/>
          <w:sz w:val="20"/>
        </w:rPr>
        <w:t>r</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spacing w:val="-2"/>
          <w:w w:val="101"/>
          <w:sz w:val="20"/>
        </w:rPr>
        <w:t>y</w:t>
      </w:r>
      <w:r>
        <w:rPr>
          <w:rFonts w:ascii="Trebuchet MS" w:hAnsi="Trebuchet MS"/>
          <w:i/>
          <w:color w:val="37617A"/>
          <w:spacing w:val="-1"/>
          <w:w w:val="117"/>
          <w:sz w:val="20"/>
        </w:rPr>
        <w:t>s</w:t>
      </w:r>
      <w:r>
        <w:rPr>
          <w:rFonts w:ascii="Trebuchet MS" w:hAnsi="Trebuchet MS"/>
          <w:i/>
          <w:color w:val="37617A"/>
          <w:spacing w:val="-5"/>
          <w:w w:val="80"/>
          <w:sz w:val="20"/>
        </w:rPr>
        <w:t>t</w:t>
      </w:r>
      <w:r>
        <w:rPr>
          <w:rFonts w:ascii="Trebuchet MS" w:hAnsi="Trebuchet MS"/>
          <w:i/>
          <w:color w:val="37617A"/>
          <w:spacing w:val="1"/>
          <w:w w:val="100"/>
          <w:sz w:val="20"/>
        </w:rPr>
        <w:t>e</w:t>
      </w:r>
      <w:r>
        <w:rPr>
          <w:rFonts w:ascii="Trebuchet MS" w:hAnsi="Trebuchet MS"/>
          <w:i/>
          <w:color w:val="37617A"/>
          <w:spacing w:val="1"/>
          <w:w w:val="106"/>
          <w:sz w:val="20"/>
        </w:rPr>
        <w:t>m</w:t>
      </w:r>
      <w:r>
        <w:rPr>
          <w:rFonts w:ascii="Trebuchet MS" w:hAnsi="Trebuchet MS"/>
          <w:i/>
          <w:color w:val="37617A"/>
          <w:spacing w:val="7"/>
          <w:w w:val="54"/>
          <w:sz w:val="20"/>
        </w:rPr>
        <w:t>.</w:t>
      </w:r>
      <w:r>
        <w:rPr>
          <w:rFonts w:ascii="Trebuchet MS" w:hAnsi="Trebuchet MS"/>
          <w:i/>
          <w:color w:val="37617A"/>
          <w:spacing w:val="6"/>
          <w:w w:val="108"/>
          <w:position w:val="7"/>
          <w:sz w:val="11"/>
        </w:rPr>
        <w:t>4</w:t>
      </w:r>
      <w:r>
        <w:rPr>
          <w:rFonts w:ascii="Trebuchet MS" w:hAnsi="Trebuchet MS"/>
          <w:color w:val="37617A"/>
          <w:spacing w:val="-2"/>
          <w:w w:val="124"/>
          <w:sz w:val="19"/>
        </w:rPr>
        <w:t>—</w:t>
      </w:r>
      <w:r>
        <w:rPr>
          <w:rFonts w:ascii="Trebuchet MS" w:hAnsi="Trebuchet MS"/>
          <w:color w:val="37617A"/>
          <w:w w:val="111"/>
          <w:sz w:val="19"/>
        </w:rPr>
        <w:t>Sup</w:t>
      </w:r>
      <w:r>
        <w:rPr>
          <w:rFonts w:ascii="Trebuchet MS" w:hAnsi="Trebuchet MS"/>
          <w:color w:val="37617A"/>
          <w:spacing w:val="-3"/>
          <w:w w:val="111"/>
          <w:sz w:val="19"/>
        </w:rPr>
        <w:t>r</w:t>
      </w:r>
      <w:r>
        <w:rPr>
          <w:rFonts w:ascii="Trebuchet MS" w:hAnsi="Trebuchet MS"/>
          <w:color w:val="37617A"/>
          <w:w w:val="108"/>
          <w:sz w:val="19"/>
        </w:rPr>
        <w:t>e</w:t>
      </w:r>
      <w:r>
        <w:rPr>
          <w:rFonts w:ascii="Trebuchet MS" w:hAnsi="Trebuchet MS"/>
          <w:color w:val="37617A"/>
          <w:w w:val="110"/>
          <w:sz w:val="19"/>
        </w:rPr>
        <w:t>me</w:t>
      </w:r>
      <w:r>
        <w:rPr>
          <w:rFonts w:ascii="Trebuchet MS" w:hAnsi="Trebuchet MS"/>
          <w:color w:val="37617A"/>
          <w:spacing w:val="-12"/>
          <w:sz w:val="19"/>
        </w:rPr>
        <w:t> </w:t>
      </w:r>
      <w:r>
        <w:rPr>
          <w:rFonts w:ascii="Trebuchet MS" w:hAnsi="Trebuchet MS"/>
          <w:color w:val="37617A"/>
          <w:w w:val="114"/>
          <w:sz w:val="19"/>
        </w:rPr>
        <w:t>C</w:t>
      </w:r>
      <w:r>
        <w:rPr>
          <w:rFonts w:ascii="Trebuchet MS" w:hAnsi="Trebuchet MS"/>
          <w:color w:val="37617A"/>
          <w:w w:val="106"/>
          <w:sz w:val="19"/>
        </w:rPr>
        <w:t>ou</w:t>
      </w:r>
      <w:r>
        <w:rPr>
          <w:rFonts w:ascii="Trebuchet MS" w:hAnsi="Trebuchet MS"/>
          <w:color w:val="37617A"/>
          <w:spacing w:val="3"/>
          <w:w w:val="106"/>
          <w:sz w:val="19"/>
        </w:rPr>
        <w:t>r</w:t>
      </w:r>
      <w:r>
        <w:rPr>
          <w:rFonts w:ascii="Trebuchet MS" w:hAnsi="Trebuchet MS"/>
          <w:color w:val="37617A"/>
          <w:w w:val="88"/>
          <w:sz w:val="19"/>
        </w:rPr>
        <w:t>t</w:t>
      </w:r>
      <w:r>
        <w:rPr>
          <w:rFonts w:ascii="Trebuchet MS" w:hAnsi="Trebuchet MS"/>
          <w:color w:val="37617A"/>
          <w:spacing w:val="-12"/>
          <w:sz w:val="19"/>
        </w:rPr>
        <w:t> </w:t>
      </w:r>
      <w:r>
        <w:rPr>
          <w:rFonts w:ascii="Trebuchet MS" w:hAnsi="Trebuchet MS"/>
          <w:color w:val="37617A"/>
          <w:spacing w:val="-2"/>
          <w:w w:val="111"/>
          <w:sz w:val="19"/>
        </w:rPr>
        <w:t>o</w:t>
      </w:r>
      <w:r>
        <w:rPr>
          <w:rFonts w:ascii="Trebuchet MS" w:hAnsi="Trebuchet MS"/>
          <w:color w:val="37617A"/>
          <w:w w:val="92"/>
          <w:sz w:val="19"/>
        </w:rPr>
        <w:t>f</w:t>
      </w:r>
      <w:r>
        <w:rPr>
          <w:rFonts w:ascii="Trebuchet MS" w:hAnsi="Trebuchet MS"/>
          <w:color w:val="37617A"/>
          <w:spacing w:val="-12"/>
          <w:sz w:val="19"/>
        </w:rPr>
        <w:t> </w:t>
      </w:r>
      <w:r>
        <w:rPr>
          <w:rFonts w:ascii="Trebuchet MS" w:hAnsi="Trebuchet MS"/>
          <w:color w:val="37617A"/>
          <w:w w:val="115"/>
          <w:sz w:val="19"/>
        </w:rPr>
        <w:t>V</w:t>
      </w:r>
      <w:r>
        <w:rPr>
          <w:rFonts w:ascii="Trebuchet MS" w:hAnsi="Trebuchet MS"/>
          <w:color w:val="37617A"/>
          <w:w w:val="80"/>
          <w:sz w:val="19"/>
        </w:rPr>
        <w:t>i</w:t>
      </w:r>
      <w:r>
        <w:rPr>
          <w:rFonts w:ascii="Trebuchet MS" w:hAnsi="Trebuchet MS"/>
          <w:color w:val="37617A"/>
          <w:w w:val="111"/>
          <w:sz w:val="19"/>
        </w:rPr>
        <w:t>c</w:t>
      </w:r>
      <w:r>
        <w:rPr>
          <w:rFonts w:ascii="Trebuchet MS" w:hAnsi="Trebuchet MS"/>
          <w:color w:val="37617A"/>
          <w:spacing w:val="-3"/>
          <w:w w:val="88"/>
          <w:sz w:val="19"/>
        </w:rPr>
        <w:t>t</w:t>
      </w:r>
      <w:r>
        <w:rPr>
          <w:rFonts w:ascii="Trebuchet MS" w:hAnsi="Trebuchet MS"/>
          <w:color w:val="37617A"/>
          <w:w w:val="111"/>
          <w:sz w:val="19"/>
        </w:rPr>
        <w:t>o</w:t>
      </w:r>
      <w:r>
        <w:rPr>
          <w:rFonts w:ascii="Trebuchet MS" w:hAnsi="Trebuchet MS"/>
          <w:color w:val="37617A"/>
          <w:spacing w:val="-1"/>
          <w:w w:val="93"/>
          <w:sz w:val="19"/>
        </w:rPr>
        <w:t>r</w:t>
      </w:r>
      <w:r>
        <w:rPr>
          <w:rFonts w:ascii="Trebuchet MS" w:hAnsi="Trebuchet MS"/>
          <w:color w:val="37617A"/>
          <w:w w:val="96"/>
          <w:sz w:val="19"/>
        </w:rPr>
        <w:t>ia</w:t>
      </w:r>
    </w:p>
    <w:p>
      <w:pPr>
        <w:pStyle w:val="BodyText"/>
        <w:spacing w:before="7"/>
        <w:rPr>
          <w:rFonts w:ascii="Trebuchet MS"/>
          <w:sz w:val="9"/>
        </w:rPr>
      </w:pPr>
      <w:r>
        <w:rPr/>
        <w:pict>
          <v:line style="position:absolute;mso-position-horizontal-relative:page;mso-position-vertical-relative:paragraph;z-index:-592;mso-wrap-distance-left:0;mso-wrap-distance-right:0" from="79.370102pt,7.811328pt" to="515.905102pt,7.811328pt" stroked="true" strokeweight=".5pt" strokecolor="#8f9dad">
            <v:stroke dashstyle="solid"/>
            <w10:wrap type="topAndBottom"/>
          </v:line>
        </w:pict>
      </w:r>
    </w:p>
    <w:p>
      <w:pPr>
        <w:pStyle w:val="BodyText"/>
        <w:spacing w:before="9"/>
        <w:rPr>
          <w:rFonts w:ascii="Trebuchet MS"/>
          <w:sz w:val="31"/>
        </w:rPr>
      </w:pPr>
    </w:p>
    <w:p>
      <w:pPr>
        <w:pStyle w:val="ListParagraph"/>
        <w:numPr>
          <w:ilvl w:val="0"/>
          <w:numId w:val="6"/>
        </w:numPr>
        <w:tabs>
          <w:tab w:pos="1761" w:val="left" w:leader="none"/>
          <w:tab w:pos="1762" w:val="left" w:leader="none"/>
        </w:tabs>
        <w:spacing w:line="206" w:lineRule="auto" w:before="0" w:after="0"/>
        <w:ind w:left="1761" w:right="1208" w:hanging="794"/>
        <w:jc w:val="left"/>
        <w:rPr>
          <w:sz w:val="20"/>
        </w:rPr>
      </w:pPr>
      <w:r>
        <w:rPr>
          <w:sz w:val="20"/>
        </w:rPr>
        <w:t>Jury duty is an important civic duty associated with active citizenship. Barriers to jury service</w:t>
      </w:r>
      <w:r>
        <w:rPr>
          <w:spacing w:val="-7"/>
          <w:sz w:val="20"/>
        </w:rPr>
        <w:t> </w:t>
      </w:r>
      <w:r>
        <w:rPr>
          <w:sz w:val="20"/>
        </w:rPr>
        <w:t>in</w:t>
      </w:r>
      <w:r>
        <w:rPr>
          <w:spacing w:val="-7"/>
          <w:sz w:val="20"/>
        </w:rPr>
        <w:t> </w:t>
      </w:r>
      <w:r>
        <w:rPr>
          <w:sz w:val="20"/>
        </w:rPr>
        <w:t>current</w:t>
      </w:r>
      <w:r>
        <w:rPr>
          <w:spacing w:val="-6"/>
          <w:sz w:val="20"/>
        </w:rPr>
        <w:t> </w:t>
      </w:r>
      <w:r>
        <w:rPr>
          <w:sz w:val="20"/>
        </w:rPr>
        <w:t>law</w:t>
      </w:r>
      <w:r>
        <w:rPr>
          <w:spacing w:val="-7"/>
          <w:sz w:val="20"/>
        </w:rPr>
        <w:t> </w:t>
      </w:r>
      <w:r>
        <w:rPr>
          <w:sz w:val="20"/>
        </w:rPr>
        <w:t>and</w:t>
      </w:r>
      <w:r>
        <w:rPr>
          <w:spacing w:val="-6"/>
          <w:sz w:val="20"/>
        </w:rPr>
        <w:t> </w:t>
      </w:r>
      <w:r>
        <w:rPr>
          <w:sz w:val="20"/>
        </w:rPr>
        <w:t>practice</w:t>
      </w:r>
      <w:r>
        <w:rPr>
          <w:spacing w:val="-7"/>
          <w:sz w:val="20"/>
        </w:rPr>
        <w:t> </w:t>
      </w:r>
      <w:r>
        <w:rPr>
          <w:sz w:val="20"/>
        </w:rPr>
        <w:t>are</w:t>
      </w:r>
      <w:r>
        <w:rPr>
          <w:spacing w:val="-7"/>
          <w:sz w:val="20"/>
        </w:rPr>
        <w:t> </w:t>
      </w:r>
      <w:r>
        <w:rPr>
          <w:sz w:val="20"/>
        </w:rPr>
        <w:t>out</w:t>
      </w:r>
      <w:r>
        <w:rPr>
          <w:spacing w:val="-6"/>
          <w:sz w:val="20"/>
        </w:rPr>
        <w:t> </w:t>
      </w:r>
      <w:r>
        <w:rPr>
          <w:sz w:val="20"/>
        </w:rPr>
        <w:t>of</w:t>
      </w:r>
      <w:r>
        <w:rPr>
          <w:spacing w:val="-7"/>
          <w:sz w:val="20"/>
        </w:rPr>
        <w:t> </w:t>
      </w:r>
      <w:r>
        <w:rPr>
          <w:sz w:val="20"/>
        </w:rPr>
        <w:t>touch</w:t>
      </w:r>
      <w:r>
        <w:rPr>
          <w:spacing w:val="-6"/>
          <w:sz w:val="20"/>
        </w:rPr>
        <w:t> </w:t>
      </w:r>
      <w:r>
        <w:rPr>
          <w:sz w:val="20"/>
        </w:rPr>
        <w:t>with</w:t>
      </w:r>
      <w:r>
        <w:rPr>
          <w:spacing w:val="-7"/>
          <w:sz w:val="20"/>
        </w:rPr>
        <w:t> </w:t>
      </w:r>
      <w:r>
        <w:rPr>
          <w:sz w:val="20"/>
        </w:rPr>
        <w:t>community</w:t>
      </w:r>
      <w:r>
        <w:rPr>
          <w:spacing w:val="-7"/>
          <w:sz w:val="20"/>
        </w:rPr>
        <w:t> </w:t>
      </w:r>
      <w:r>
        <w:rPr>
          <w:sz w:val="20"/>
        </w:rPr>
        <w:t>expectations,</w:t>
      </w:r>
      <w:r>
        <w:rPr>
          <w:spacing w:val="-6"/>
          <w:sz w:val="20"/>
        </w:rPr>
        <w:t> </w:t>
      </w:r>
      <w:r>
        <w:rPr>
          <w:sz w:val="20"/>
        </w:rPr>
        <w:t>laws and policies about non-discrimination and the inclusion of people with disabilities in public</w:t>
      </w:r>
      <w:r>
        <w:rPr>
          <w:spacing w:val="-3"/>
          <w:sz w:val="20"/>
        </w:rPr>
        <w:t> </w:t>
      </w:r>
      <w:r>
        <w:rPr>
          <w:sz w:val="20"/>
        </w:rPr>
        <w:t>life.</w:t>
      </w:r>
    </w:p>
    <w:p>
      <w:pPr>
        <w:pStyle w:val="ListParagraph"/>
        <w:numPr>
          <w:ilvl w:val="0"/>
          <w:numId w:val="6"/>
        </w:numPr>
        <w:tabs>
          <w:tab w:pos="1761" w:val="left" w:leader="none"/>
          <w:tab w:pos="1762" w:val="left" w:leader="none"/>
        </w:tabs>
        <w:spacing w:line="206" w:lineRule="auto" w:before="119" w:after="0"/>
        <w:ind w:left="1761" w:right="1256" w:hanging="794"/>
        <w:jc w:val="left"/>
        <w:rPr>
          <w:sz w:val="11"/>
        </w:rPr>
      </w:pPr>
      <w:r>
        <w:rPr>
          <w:sz w:val="20"/>
        </w:rPr>
        <w:t>A broad cross-section of our community should be represented on our juries, with members</w:t>
      </w:r>
      <w:r>
        <w:rPr>
          <w:spacing w:val="-9"/>
          <w:sz w:val="20"/>
        </w:rPr>
        <w:t> </w:t>
      </w:r>
      <w:r>
        <w:rPr>
          <w:sz w:val="20"/>
        </w:rPr>
        <w:t>bringing</w:t>
      </w:r>
      <w:r>
        <w:rPr>
          <w:spacing w:val="-9"/>
          <w:sz w:val="20"/>
        </w:rPr>
        <w:t> </w:t>
      </w:r>
      <w:r>
        <w:rPr>
          <w:sz w:val="20"/>
        </w:rPr>
        <w:t>different</w:t>
      </w:r>
      <w:r>
        <w:rPr>
          <w:spacing w:val="-9"/>
          <w:sz w:val="20"/>
        </w:rPr>
        <w:t> </w:t>
      </w:r>
      <w:r>
        <w:rPr>
          <w:sz w:val="20"/>
        </w:rPr>
        <w:t>views</w:t>
      </w:r>
      <w:r>
        <w:rPr>
          <w:spacing w:val="-9"/>
          <w:sz w:val="20"/>
        </w:rPr>
        <w:t> </w:t>
      </w:r>
      <w:r>
        <w:rPr>
          <w:sz w:val="20"/>
        </w:rPr>
        <w:t>and</w:t>
      </w:r>
      <w:r>
        <w:rPr>
          <w:spacing w:val="-9"/>
          <w:sz w:val="20"/>
        </w:rPr>
        <w:t> </w:t>
      </w:r>
      <w:r>
        <w:rPr>
          <w:sz w:val="20"/>
        </w:rPr>
        <w:t>experiences</w:t>
      </w:r>
      <w:r>
        <w:rPr>
          <w:spacing w:val="-9"/>
          <w:sz w:val="20"/>
        </w:rPr>
        <w:t> </w:t>
      </w:r>
      <w:r>
        <w:rPr>
          <w:sz w:val="20"/>
        </w:rPr>
        <w:t>to</w:t>
      </w:r>
      <w:r>
        <w:rPr>
          <w:spacing w:val="-9"/>
          <w:sz w:val="20"/>
        </w:rPr>
        <w:t> </w:t>
      </w:r>
      <w:r>
        <w:rPr>
          <w:sz w:val="20"/>
        </w:rPr>
        <w:t>deliberation.</w:t>
      </w:r>
      <w:r>
        <w:rPr>
          <w:spacing w:val="-9"/>
          <w:sz w:val="20"/>
        </w:rPr>
        <w:t> </w:t>
      </w:r>
      <w:r>
        <w:rPr>
          <w:sz w:val="20"/>
        </w:rPr>
        <w:t>Making</w:t>
      </w:r>
      <w:r>
        <w:rPr>
          <w:spacing w:val="-9"/>
          <w:sz w:val="20"/>
        </w:rPr>
        <w:t> </w:t>
      </w:r>
      <w:r>
        <w:rPr>
          <w:sz w:val="20"/>
        </w:rPr>
        <w:t>juries</w:t>
      </w:r>
      <w:r>
        <w:rPr>
          <w:spacing w:val="-9"/>
          <w:sz w:val="20"/>
        </w:rPr>
        <w:t> </w:t>
      </w:r>
      <w:r>
        <w:rPr>
          <w:sz w:val="20"/>
        </w:rPr>
        <w:t>more representative is a </w:t>
      </w:r>
      <w:r>
        <w:rPr>
          <w:spacing w:val="-3"/>
          <w:sz w:val="20"/>
        </w:rPr>
        <w:t>key </w:t>
      </w:r>
      <w:r>
        <w:rPr>
          <w:sz w:val="20"/>
        </w:rPr>
        <w:t>purpose of the</w:t>
      </w:r>
      <w:r>
        <w:rPr>
          <w:spacing w:val="-13"/>
          <w:sz w:val="20"/>
        </w:rPr>
        <w:t> </w:t>
      </w:r>
      <w:r>
        <w:rPr>
          <w:sz w:val="20"/>
        </w:rPr>
        <w:t>Act.</w:t>
      </w:r>
      <w:r>
        <w:rPr>
          <w:position w:val="7"/>
          <w:sz w:val="11"/>
        </w:rPr>
        <w:t>5</w:t>
      </w:r>
    </w:p>
    <w:p>
      <w:pPr>
        <w:pStyle w:val="ListParagraph"/>
        <w:numPr>
          <w:ilvl w:val="0"/>
          <w:numId w:val="6"/>
        </w:numPr>
        <w:tabs>
          <w:tab w:pos="1761" w:val="left" w:leader="none"/>
          <w:tab w:pos="1762" w:val="left" w:leader="none"/>
        </w:tabs>
        <w:spacing w:line="206" w:lineRule="auto" w:before="117" w:after="0"/>
        <w:ind w:left="1761" w:right="1526" w:hanging="794"/>
        <w:jc w:val="left"/>
        <w:rPr>
          <w:sz w:val="20"/>
        </w:rPr>
      </w:pPr>
      <w:r>
        <w:rPr>
          <w:sz w:val="20"/>
        </w:rPr>
        <w:t>People who are </w:t>
      </w:r>
      <w:r>
        <w:rPr>
          <w:spacing w:val="-3"/>
          <w:sz w:val="20"/>
        </w:rPr>
        <w:t>deaf, </w:t>
      </w:r>
      <w:r>
        <w:rPr>
          <w:sz w:val="20"/>
        </w:rPr>
        <w:t>hard of hearing, blind or </w:t>
      </w:r>
      <w:r>
        <w:rPr>
          <w:spacing w:val="-3"/>
          <w:sz w:val="20"/>
        </w:rPr>
        <w:t>have low </w:t>
      </w:r>
      <w:r>
        <w:rPr>
          <w:sz w:val="20"/>
        </w:rPr>
        <w:t>vision want barriers to jury service</w:t>
      </w:r>
      <w:r>
        <w:rPr>
          <w:spacing w:val="-8"/>
          <w:sz w:val="20"/>
        </w:rPr>
        <w:t> </w:t>
      </w:r>
      <w:r>
        <w:rPr>
          <w:sz w:val="20"/>
        </w:rPr>
        <w:t>removed.</w:t>
      </w:r>
      <w:r>
        <w:rPr>
          <w:spacing w:val="-8"/>
          <w:sz w:val="20"/>
        </w:rPr>
        <w:t> </w:t>
      </w:r>
      <w:r>
        <w:rPr>
          <w:sz w:val="20"/>
        </w:rPr>
        <w:t>They</w:t>
      </w:r>
      <w:r>
        <w:rPr>
          <w:spacing w:val="-7"/>
          <w:sz w:val="20"/>
        </w:rPr>
        <w:t> </w:t>
      </w:r>
      <w:r>
        <w:rPr>
          <w:sz w:val="20"/>
        </w:rPr>
        <w:t>want</w:t>
      </w:r>
      <w:r>
        <w:rPr>
          <w:spacing w:val="-8"/>
          <w:sz w:val="20"/>
        </w:rPr>
        <w:t> </w:t>
      </w:r>
      <w:r>
        <w:rPr>
          <w:sz w:val="20"/>
        </w:rPr>
        <w:t>to</w:t>
      </w:r>
      <w:r>
        <w:rPr>
          <w:spacing w:val="-8"/>
          <w:sz w:val="20"/>
        </w:rPr>
        <w:t> </w:t>
      </w:r>
      <w:r>
        <w:rPr>
          <w:sz w:val="20"/>
        </w:rPr>
        <w:t>be</w:t>
      </w:r>
      <w:r>
        <w:rPr>
          <w:spacing w:val="-7"/>
          <w:sz w:val="20"/>
        </w:rPr>
        <w:t> </w:t>
      </w:r>
      <w:r>
        <w:rPr>
          <w:sz w:val="20"/>
        </w:rPr>
        <w:t>able</w:t>
      </w:r>
      <w:r>
        <w:rPr>
          <w:spacing w:val="-8"/>
          <w:sz w:val="20"/>
        </w:rPr>
        <w:t> </w:t>
      </w:r>
      <w:r>
        <w:rPr>
          <w:sz w:val="20"/>
        </w:rPr>
        <w:t>to</w:t>
      </w:r>
      <w:r>
        <w:rPr>
          <w:spacing w:val="-7"/>
          <w:sz w:val="20"/>
        </w:rPr>
        <w:t> </w:t>
      </w:r>
      <w:r>
        <w:rPr>
          <w:sz w:val="20"/>
        </w:rPr>
        <w:t>discuss</w:t>
      </w:r>
      <w:r>
        <w:rPr>
          <w:spacing w:val="-8"/>
          <w:sz w:val="20"/>
        </w:rPr>
        <w:t> </w:t>
      </w:r>
      <w:r>
        <w:rPr>
          <w:sz w:val="20"/>
        </w:rPr>
        <w:t>with</w:t>
      </w:r>
      <w:r>
        <w:rPr>
          <w:spacing w:val="-8"/>
          <w:sz w:val="20"/>
        </w:rPr>
        <w:t> </w:t>
      </w:r>
      <w:r>
        <w:rPr>
          <w:sz w:val="20"/>
        </w:rPr>
        <w:t>an</w:t>
      </w:r>
      <w:r>
        <w:rPr>
          <w:spacing w:val="-7"/>
          <w:sz w:val="20"/>
        </w:rPr>
        <w:t> </w:t>
      </w:r>
      <w:r>
        <w:rPr>
          <w:sz w:val="20"/>
        </w:rPr>
        <w:t>official</w:t>
      </w:r>
      <w:r>
        <w:rPr>
          <w:spacing w:val="-8"/>
          <w:sz w:val="20"/>
        </w:rPr>
        <w:t> </w:t>
      </w:r>
      <w:r>
        <w:rPr>
          <w:sz w:val="20"/>
        </w:rPr>
        <w:t>what</w:t>
      </w:r>
      <w:r>
        <w:rPr>
          <w:spacing w:val="-8"/>
          <w:sz w:val="20"/>
        </w:rPr>
        <w:t> </w:t>
      </w:r>
      <w:r>
        <w:rPr>
          <w:sz w:val="20"/>
        </w:rPr>
        <w:t>they</w:t>
      </w:r>
      <w:r>
        <w:rPr>
          <w:spacing w:val="-7"/>
          <w:sz w:val="20"/>
        </w:rPr>
        <w:t> </w:t>
      </w:r>
      <w:r>
        <w:rPr>
          <w:sz w:val="20"/>
        </w:rPr>
        <w:t>can</w:t>
      </w:r>
      <w:r>
        <w:rPr>
          <w:spacing w:val="-8"/>
          <w:sz w:val="20"/>
        </w:rPr>
        <w:t> </w:t>
      </w:r>
      <w:r>
        <w:rPr>
          <w:sz w:val="20"/>
        </w:rPr>
        <w:t>and cannot do, and what adjustments they require to</w:t>
      </w:r>
      <w:r>
        <w:rPr>
          <w:spacing w:val="-22"/>
          <w:sz w:val="20"/>
        </w:rPr>
        <w:t> </w:t>
      </w:r>
      <w:r>
        <w:rPr>
          <w:sz w:val="20"/>
        </w:rPr>
        <w:t>serve.</w:t>
      </w:r>
    </w:p>
    <w:p>
      <w:pPr>
        <w:pStyle w:val="ListParagraph"/>
        <w:numPr>
          <w:ilvl w:val="0"/>
          <w:numId w:val="6"/>
        </w:numPr>
        <w:tabs>
          <w:tab w:pos="1761" w:val="left" w:leader="none"/>
          <w:tab w:pos="1762" w:val="left" w:leader="none"/>
        </w:tabs>
        <w:spacing w:line="206" w:lineRule="auto" w:before="117" w:after="0"/>
        <w:ind w:left="1761" w:right="1534" w:hanging="794"/>
        <w:jc w:val="left"/>
        <w:rPr>
          <w:sz w:val="11"/>
        </w:rPr>
      </w:pPr>
      <w:r>
        <w:rPr>
          <w:sz w:val="20"/>
        </w:rPr>
        <w:t>Australia has ratified the United Nations Convention on the Rights of Persons with Disabilities.</w:t>
      </w:r>
      <w:r>
        <w:rPr>
          <w:spacing w:val="-8"/>
          <w:sz w:val="20"/>
        </w:rPr>
        <w:t> </w:t>
      </w:r>
      <w:r>
        <w:rPr>
          <w:sz w:val="20"/>
        </w:rPr>
        <w:t>Article</w:t>
      </w:r>
      <w:r>
        <w:rPr>
          <w:spacing w:val="-7"/>
          <w:sz w:val="20"/>
        </w:rPr>
        <w:t> </w:t>
      </w:r>
      <w:r>
        <w:rPr>
          <w:sz w:val="20"/>
        </w:rPr>
        <w:t>3(c)</w:t>
      </w:r>
      <w:r>
        <w:rPr>
          <w:spacing w:val="-7"/>
          <w:sz w:val="20"/>
        </w:rPr>
        <w:t> </w:t>
      </w:r>
      <w:r>
        <w:rPr>
          <w:sz w:val="20"/>
        </w:rPr>
        <w:t>refers</w:t>
      </w:r>
      <w:r>
        <w:rPr>
          <w:spacing w:val="-7"/>
          <w:sz w:val="20"/>
        </w:rPr>
        <w:t> </w:t>
      </w:r>
      <w:r>
        <w:rPr>
          <w:sz w:val="20"/>
        </w:rPr>
        <w:t>to</w:t>
      </w:r>
      <w:r>
        <w:rPr>
          <w:spacing w:val="-7"/>
          <w:sz w:val="20"/>
        </w:rPr>
        <w:t> </w:t>
      </w:r>
      <w:r>
        <w:rPr>
          <w:sz w:val="20"/>
        </w:rPr>
        <w:t>the</w:t>
      </w:r>
      <w:r>
        <w:rPr>
          <w:spacing w:val="-7"/>
          <w:sz w:val="20"/>
        </w:rPr>
        <w:t> </w:t>
      </w:r>
      <w:r>
        <w:rPr>
          <w:sz w:val="20"/>
        </w:rPr>
        <w:t>principle</w:t>
      </w:r>
      <w:r>
        <w:rPr>
          <w:spacing w:val="-7"/>
          <w:sz w:val="20"/>
        </w:rPr>
        <w:t> </w:t>
      </w:r>
      <w:r>
        <w:rPr>
          <w:sz w:val="20"/>
        </w:rPr>
        <w:t>of</w:t>
      </w:r>
      <w:r>
        <w:rPr>
          <w:spacing w:val="-7"/>
          <w:sz w:val="20"/>
        </w:rPr>
        <w:t> </w:t>
      </w:r>
      <w:r>
        <w:rPr>
          <w:sz w:val="20"/>
        </w:rPr>
        <w:t>‘[f]ull</w:t>
      </w:r>
      <w:r>
        <w:rPr>
          <w:spacing w:val="-7"/>
          <w:sz w:val="20"/>
        </w:rPr>
        <w:t> </w:t>
      </w:r>
      <w:r>
        <w:rPr>
          <w:sz w:val="20"/>
        </w:rPr>
        <w:t>and</w:t>
      </w:r>
      <w:r>
        <w:rPr>
          <w:spacing w:val="-7"/>
          <w:sz w:val="20"/>
        </w:rPr>
        <w:t> </w:t>
      </w:r>
      <w:r>
        <w:rPr>
          <w:sz w:val="20"/>
        </w:rPr>
        <w:t>effective</w:t>
      </w:r>
      <w:r>
        <w:rPr>
          <w:spacing w:val="-7"/>
          <w:sz w:val="20"/>
        </w:rPr>
        <w:t> </w:t>
      </w:r>
      <w:r>
        <w:rPr>
          <w:sz w:val="20"/>
        </w:rPr>
        <w:t>participation</w:t>
      </w:r>
      <w:r>
        <w:rPr>
          <w:spacing w:val="-8"/>
          <w:sz w:val="20"/>
        </w:rPr>
        <w:t> </w:t>
      </w:r>
      <w:r>
        <w:rPr>
          <w:sz w:val="20"/>
        </w:rPr>
        <w:t>and inclusion in society’ of people with</w:t>
      </w:r>
      <w:r>
        <w:rPr>
          <w:spacing w:val="-14"/>
          <w:sz w:val="20"/>
        </w:rPr>
        <w:t> </w:t>
      </w:r>
      <w:r>
        <w:rPr>
          <w:sz w:val="20"/>
        </w:rPr>
        <w:t>disabilities.</w:t>
      </w:r>
      <w:r>
        <w:rPr>
          <w:position w:val="7"/>
          <w:sz w:val="11"/>
        </w:rPr>
        <w:t>6</w:t>
      </w:r>
    </w:p>
    <w:p>
      <w:pPr>
        <w:pStyle w:val="ListParagraph"/>
        <w:numPr>
          <w:ilvl w:val="0"/>
          <w:numId w:val="6"/>
        </w:numPr>
        <w:tabs>
          <w:tab w:pos="1761" w:val="left" w:leader="none"/>
          <w:tab w:pos="1762" w:val="left" w:leader="none"/>
        </w:tabs>
        <w:spacing w:line="206" w:lineRule="auto" w:before="117" w:after="0"/>
        <w:ind w:left="1761" w:right="1257" w:hanging="794"/>
        <w:jc w:val="left"/>
        <w:rPr>
          <w:sz w:val="11"/>
        </w:rPr>
      </w:pPr>
      <w:r>
        <w:rPr>
          <w:sz w:val="20"/>
        </w:rPr>
        <w:t>The United Nations Committee on the Rights of Persons with Disabilities (the Convention</w:t>
      </w:r>
      <w:r>
        <w:rPr>
          <w:spacing w:val="-8"/>
          <w:sz w:val="20"/>
        </w:rPr>
        <w:t> </w:t>
      </w:r>
      <w:r>
        <w:rPr>
          <w:sz w:val="20"/>
        </w:rPr>
        <w:t>Committee)</w:t>
      </w:r>
      <w:r>
        <w:rPr>
          <w:spacing w:val="-7"/>
          <w:sz w:val="20"/>
        </w:rPr>
        <w:t> </w:t>
      </w:r>
      <w:r>
        <w:rPr>
          <w:sz w:val="20"/>
        </w:rPr>
        <w:t>has</w:t>
      </w:r>
      <w:r>
        <w:rPr>
          <w:spacing w:val="-7"/>
          <w:sz w:val="20"/>
        </w:rPr>
        <w:t> </w:t>
      </w:r>
      <w:r>
        <w:rPr>
          <w:sz w:val="20"/>
        </w:rPr>
        <w:t>found</w:t>
      </w:r>
      <w:r>
        <w:rPr>
          <w:spacing w:val="-7"/>
          <w:sz w:val="20"/>
        </w:rPr>
        <w:t> </w:t>
      </w:r>
      <w:r>
        <w:rPr>
          <w:sz w:val="20"/>
        </w:rPr>
        <w:t>that</w:t>
      </w:r>
      <w:r>
        <w:rPr>
          <w:spacing w:val="-7"/>
          <w:sz w:val="20"/>
        </w:rPr>
        <w:t> </w:t>
      </w:r>
      <w:r>
        <w:rPr>
          <w:spacing w:val="-3"/>
          <w:sz w:val="20"/>
        </w:rPr>
        <w:t>by</w:t>
      </w:r>
      <w:r>
        <w:rPr>
          <w:spacing w:val="-8"/>
          <w:sz w:val="20"/>
        </w:rPr>
        <w:t> </w:t>
      </w:r>
      <w:r>
        <w:rPr>
          <w:sz w:val="20"/>
        </w:rPr>
        <w:t>failing</w:t>
      </w:r>
      <w:r>
        <w:rPr>
          <w:spacing w:val="-7"/>
          <w:sz w:val="20"/>
        </w:rPr>
        <w:t> </w:t>
      </w:r>
      <w:r>
        <w:rPr>
          <w:sz w:val="20"/>
        </w:rPr>
        <w:t>to</w:t>
      </w:r>
      <w:r>
        <w:rPr>
          <w:spacing w:val="-7"/>
          <w:sz w:val="20"/>
        </w:rPr>
        <w:t> </w:t>
      </w:r>
      <w:r>
        <w:rPr>
          <w:sz w:val="20"/>
        </w:rPr>
        <w:t>comprehensively</w:t>
      </w:r>
      <w:r>
        <w:rPr>
          <w:spacing w:val="-7"/>
          <w:sz w:val="20"/>
        </w:rPr>
        <w:t> </w:t>
      </w:r>
      <w:r>
        <w:rPr>
          <w:sz w:val="20"/>
        </w:rPr>
        <w:t>assess</w:t>
      </w:r>
      <w:r>
        <w:rPr>
          <w:spacing w:val="-7"/>
          <w:sz w:val="20"/>
        </w:rPr>
        <w:t> </w:t>
      </w:r>
      <w:r>
        <w:rPr>
          <w:sz w:val="20"/>
        </w:rPr>
        <w:t>a</w:t>
      </w:r>
      <w:r>
        <w:rPr>
          <w:spacing w:val="-8"/>
          <w:sz w:val="20"/>
        </w:rPr>
        <w:t> </w:t>
      </w:r>
      <w:r>
        <w:rPr>
          <w:sz w:val="20"/>
        </w:rPr>
        <w:t>request for adjustments to facilitate jury service, Australia is breaching its obligations under international</w:t>
      </w:r>
      <w:r>
        <w:rPr>
          <w:spacing w:val="-3"/>
          <w:sz w:val="20"/>
        </w:rPr>
        <w:t> </w:t>
      </w:r>
      <w:r>
        <w:rPr>
          <w:spacing w:val="-5"/>
          <w:sz w:val="20"/>
        </w:rPr>
        <w:t>law.</w:t>
      </w:r>
      <w:r>
        <w:rPr>
          <w:spacing w:val="-5"/>
          <w:position w:val="7"/>
          <w:sz w:val="11"/>
        </w:rPr>
        <w:t>7</w:t>
      </w:r>
    </w:p>
    <w:p>
      <w:pPr>
        <w:pStyle w:val="ListParagraph"/>
        <w:numPr>
          <w:ilvl w:val="0"/>
          <w:numId w:val="6"/>
        </w:numPr>
        <w:tabs>
          <w:tab w:pos="1761" w:val="left" w:leader="none"/>
          <w:tab w:pos="1762" w:val="left" w:leader="none"/>
        </w:tabs>
        <w:spacing w:line="206" w:lineRule="auto" w:before="119" w:after="0"/>
        <w:ind w:left="1761" w:right="1356" w:hanging="794"/>
        <w:jc w:val="left"/>
        <w:rPr>
          <w:sz w:val="20"/>
        </w:rPr>
      </w:pPr>
      <w:r>
        <w:rPr>
          <w:sz w:val="20"/>
        </w:rPr>
        <w:t>Victoria</w:t>
      </w:r>
      <w:r>
        <w:rPr>
          <w:spacing w:val="-8"/>
          <w:sz w:val="20"/>
        </w:rPr>
        <w:t> </w:t>
      </w:r>
      <w:r>
        <w:rPr>
          <w:sz w:val="20"/>
        </w:rPr>
        <w:t>is</w:t>
      </w:r>
      <w:r>
        <w:rPr>
          <w:spacing w:val="-7"/>
          <w:sz w:val="20"/>
        </w:rPr>
        <w:t> </w:t>
      </w:r>
      <w:r>
        <w:rPr>
          <w:sz w:val="20"/>
        </w:rPr>
        <w:t>lagging</w:t>
      </w:r>
      <w:r>
        <w:rPr>
          <w:spacing w:val="-7"/>
          <w:sz w:val="20"/>
        </w:rPr>
        <w:t> </w:t>
      </w:r>
      <w:r>
        <w:rPr>
          <w:sz w:val="20"/>
        </w:rPr>
        <w:t>behind</w:t>
      </w:r>
      <w:r>
        <w:rPr>
          <w:spacing w:val="-7"/>
          <w:sz w:val="20"/>
        </w:rPr>
        <w:t> </w:t>
      </w:r>
      <w:r>
        <w:rPr>
          <w:sz w:val="20"/>
        </w:rPr>
        <w:t>other</w:t>
      </w:r>
      <w:r>
        <w:rPr>
          <w:spacing w:val="-7"/>
          <w:sz w:val="20"/>
        </w:rPr>
        <w:t> </w:t>
      </w:r>
      <w:r>
        <w:rPr>
          <w:sz w:val="20"/>
        </w:rPr>
        <w:t>comparable</w:t>
      </w:r>
      <w:r>
        <w:rPr>
          <w:spacing w:val="-7"/>
          <w:sz w:val="20"/>
        </w:rPr>
        <w:t> </w:t>
      </w:r>
      <w:r>
        <w:rPr>
          <w:sz w:val="20"/>
        </w:rPr>
        <w:t>common</w:t>
      </w:r>
      <w:r>
        <w:rPr>
          <w:spacing w:val="-7"/>
          <w:sz w:val="20"/>
        </w:rPr>
        <w:t> </w:t>
      </w:r>
      <w:r>
        <w:rPr>
          <w:sz w:val="20"/>
        </w:rPr>
        <w:t>law</w:t>
      </w:r>
      <w:r>
        <w:rPr>
          <w:spacing w:val="-7"/>
          <w:sz w:val="20"/>
        </w:rPr>
        <w:t> </w:t>
      </w:r>
      <w:r>
        <w:rPr>
          <w:sz w:val="20"/>
        </w:rPr>
        <w:t>jurisdictions,</w:t>
      </w:r>
      <w:r>
        <w:rPr>
          <w:spacing w:val="-8"/>
          <w:sz w:val="20"/>
        </w:rPr>
        <w:t> </w:t>
      </w:r>
      <w:r>
        <w:rPr>
          <w:sz w:val="20"/>
        </w:rPr>
        <w:t>where</w:t>
      </w:r>
      <w:r>
        <w:rPr>
          <w:spacing w:val="-7"/>
          <w:sz w:val="20"/>
        </w:rPr>
        <w:t> </w:t>
      </w:r>
      <w:r>
        <w:rPr>
          <w:sz w:val="20"/>
        </w:rPr>
        <w:t>people </w:t>
      </w:r>
      <w:r>
        <w:rPr>
          <w:spacing w:val="-3"/>
          <w:sz w:val="20"/>
        </w:rPr>
        <w:t>have </w:t>
      </w:r>
      <w:r>
        <w:rPr>
          <w:sz w:val="20"/>
        </w:rPr>
        <w:t>been serving as jurors with adjustments for many</w:t>
      </w:r>
      <w:r>
        <w:rPr>
          <w:spacing w:val="-19"/>
          <w:sz w:val="20"/>
        </w:rPr>
        <w:t> </w:t>
      </w:r>
      <w:r>
        <w:rPr>
          <w:sz w:val="20"/>
        </w:rPr>
        <w:t>years.</w:t>
      </w:r>
    </w:p>
    <w:p>
      <w:pPr>
        <w:pStyle w:val="ListParagraph"/>
        <w:numPr>
          <w:ilvl w:val="0"/>
          <w:numId w:val="6"/>
        </w:numPr>
        <w:tabs>
          <w:tab w:pos="1761" w:val="left" w:leader="none"/>
          <w:tab w:pos="1762" w:val="left" w:leader="none"/>
        </w:tabs>
        <w:spacing w:line="206" w:lineRule="auto" w:before="116" w:after="0"/>
        <w:ind w:left="1761" w:right="1279" w:hanging="794"/>
        <w:jc w:val="left"/>
        <w:rPr>
          <w:sz w:val="20"/>
        </w:rPr>
      </w:pPr>
      <w:r>
        <w:rPr>
          <w:sz w:val="20"/>
        </w:rPr>
        <w:t>In</w:t>
      </w:r>
      <w:r>
        <w:rPr>
          <w:spacing w:val="-8"/>
          <w:sz w:val="20"/>
        </w:rPr>
        <w:t> </w:t>
      </w:r>
      <w:r>
        <w:rPr>
          <w:sz w:val="20"/>
        </w:rPr>
        <w:t>the</w:t>
      </w:r>
      <w:r>
        <w:rPr>
          <w:spacing w:val="-7"/>
          <w:sz w:val="20"/>
        </w:rPr>
        <w:t> </w:t>
      </w:r>
      <w:r>
        <w:rPr>
          <w:sz w:val="20"/>
        </w:rPr>
        <w:t>United</w:t>
      </w:r>
      <w:r>
        <w:rPr>
          <w:spacing w:val="-7"/>
          <w:sz w:val="20"/>
        </w:rPr>
        <w:t> </w:t>
      </w:r>
      <w:r>
        <w:rPr>
          <w:sz w:val="20"/>
        </w:rPr>
        <w:t>States,</w:t>
      </w:r>
      <w:r>
        <w:rPr>
          <w:spacing w:val="-7"/>
          <w:sz w:val="20"/>
        </w:rPr>
        <w:t> </w:t>
      </w:r>
      <w:r>
        <w:rPr>
          <w:sz w:val="20"/>
        </w:rPr>
        <w:t>people</w:t>
      </w:r>
      <w:r>
        <w:rPr>
          <w:spacing w:val="-7"/>
          <w:sz w:val="20"/>
        </w:rPr>
        <w:t> </w:t>
      </w:r>
      <w:r>
        <w:rPr>
          <w:sz w:val="20"/>
        </w:rPr>
        <w:t>with</w:t>
      </w:r>
      <w:r>
        <w:rPr>
          <w:spacing w:val="-7"/>
          <w:sz w:val="20"/>
        </w:rPr>
        <w:t> </w:t>
      </w:r>
      <w:r>
        <w:rPr>
          <w:sz w:val="20"/>
        </w:rPr>
        <w:t>disabilities</w:t>
      </w:r>
      <w:r>
        <w:rPr>
          <w:spacing w:val="-7"/>
          <w:sz w:val="20"/>
        </w:rPr>
        <w:t> </w:t>
      </w:r>
      <w:r>
        <w:rPr>
          <w:spacing w:val="-3"/>
          <w:sz w:val="20"/>
        </w:rPr>
        <w:t>have</w:t>
      </w:r>
      <w:r>
        <w:rPr>
          <w:spacing w:val="-7"/>
          <w:sz w:val="20"/>
        </w:rPr>
        <w:t> </w:t>
      </w:r>
      <w:r>
        <w:rPr>
          <w:sz w:val="20"/>
        </w:rPr>
        <w:t>served</w:t>
      </w:r>
      <w:r>
        <w:rPr>
          <w:spacing w:val="-7"/>
          <w:sz w:val="20"/>
        </w:rPr>
        <w:t> </w:t>
      </w:r>
      <w:r>
        <w:rPr>
          <w:sz w:val="20"/>
        </w:rPr>
        <w:t>as</w:t>
      </w:r>
      <w:r>
        <w:rPr>
          <w:spacing w:val="-7"/>
          <w:sz w:val="20"/>
        </w:rPr>
        <w:t> </w:t>
      </w:r>
      <w:r>
        <w:rPr>
          <w:sz w:val="20"/>
        </w:rPr>
        <w:t>jurors</w:t>
      </w:r>
      <w:r>
        <w:rPr>
          <w:spacing w:val="-8"/>
          <w:sz w:val="20"/>
        </w:rPr>
        <w:t> </w:t>
      </w:r>
      <w:r>
        <w:rPr>
          <w:sz w:val="20"/>
        </w:rPr>
        <w:t>without</w:t>
      </w:r>
      <w:r>
        <w:rPr>
          <w:spacing w:val="-7"/>
          <w:sz w:val="20"/>
        </w:rPr>
        <w:t> </w:t>
      </w:r>
      <w:r>
        <w:rPr>
          <w:sz w:val="20"/>
        </w:rPr>
        <w:t>controversy for </w:t>
      </w:r>
      <w:r>
        <w:rPr>
          <w:spacing w:val="-3"/>
          <w:sz w:val="20"/>
        </w:rPr>
        <w:t>over </w:t>
      </w:r>
      <w:r>
        <w:rPr>
          <w:sz w:val="20"/>
        </w:rPr>
        <w:t>30 years. In England and </w:t>
      </w:r>
      <w:r>
        <w:rPr>
          <w:spacing w:val="-3"/>
          <w:sz w:val="20"/>
        </w:rPr>
        <w:t>Wales, </w:t>
      </w:r>
      <w:r>
        <w:rPr>
          <w:sz w:val="20"/>
        </w:rPr>
        <w:t>the courts </w:t>
      </w:r>
      <w:r>
        <w:rPr>
          <w:spacing w:val="-3"/>
          <w:sz w:val="20"/>
        </w:rPr>
        <w:t>have </w:t>
      </w:r>
      <w:r>
        <w:rPr>
          <w:sz w:val="20"/>
        </w:rPr>
        <w:t>long had processes in place to provide reasonable adjustments for jurors in court (as long as a non-juror was not needed in the jury room in deliberations). A new law was introduced in April 2022 which limits the operation of the 13th person rule in England and </w:t>
      </w:r>
      <w:r>
        <w:rPr>
          <w:spacing w:val="-3"/>
          <w:sz w:val="20"/>
        </w:rPr>
        <w:t>Wales, </w:t>
      </w:r>
      <w:r>
        <w:rPr>
          <w:sz w:val="20"/>
        </w:rPr>
        <w:t>and allows British</w:t>
      </w:r>
      <w:r>
        <w:rPr>
          <w:spacing w:val="-5"/>
          <w:sz w:val="20"/>
        </w:rPr>
        <w:t> </w:t>
      </w:r>
      <w:r>
        <w:rPr>
          <w:sz w:val="20"/>
        </w:rPr>
        <w:t>Sign</w:t>
      </w:r>
      <w:r>
        <w:rPr>
          <w:spacing w:val="-4"/>
          <w:sz w:val="20"/>
        </w:rPr>
        <w:t> </w:t>
      </w:r>
      <w:r>
        <w:rPr>
          <w:sz w:val="20"/>
        </w:rPr>
        <w:t>Language</w:t>
      </w:r>
      <w:r>
        <w:rPr>
          <w:spacing w:val="-5"/>
          <w:sz w:val="20"/>
        </w:rPr>
        <w:t> </w:t>
      </w:r>
      <w:r>
        <w:rPr>
          <w:sz w:val="20"/>
        </w:rPr>
        <w:t>interpreters</w:t>
      </w:r>
      <w:r>
        <w:rPr>
          <w:spacing w:val="-4"/>
          <w:sz w:val="20"/>
        </w:rPr>
        <w:t> </w:t>
      </w:r>
      <w:r>
        <w:rPr>
          <w:sz w:val="20"/>
        </w:rPr>
        <w:t>to</w:t>
      </w:r>
      <w:r>
        <w:rPr>
          <w:spacing w:val="-4"/>
          <w:sz w:val="20"/>
        </w:rPr>
        <w:t> </w:t>
      </w:r>
      <w:r>
        <w:rPr>
          <w:sz w:val="20"/>
        </w:rPr>
        <w:t>work</w:t>
      </w:r>
      <w:r>
        <w:rPr>
          <w:spacing w:val="-5"/>
          <w:sz w:val="20"/>
        </w:rPr>
        <w:t> </w:t>
      </w:r>
      <w:r>
        <w:rPr>
          <w:sz w:val="20"/>
        </w:rPr>
        <w:t>alongside</w:t>
      </w:r>
      <w:r>
        <w:rPr>
          <w:spacing w:val="-4"/>
          <w:sz w:val="20"/>
        </w:rPr>
        <w:t> </w:t>
      </w:r>
      <w:r>
        <w:rPr>
          <w:sz w:val="20"/>
        </w:rPr>
        <w:t>deaf</w:t>
      </w:r>
      <w:r>
        <w:rPr>
          <w:spacing w:val="-5"/>
          <w:sz w:val="20"/>
        </w:rPr>
        <w:t> </w:t>
      </w:r>
      <w:r>
        <w:rPr>
          <w:sz w:val="20"/>
        </w:rPr>
        <w:t>jurors</w:t>
      </w:r>
      <w:r>
        <w:rPr>
          <w:spacing w:val="-4"/>
          <w:sz w:val="20"/>
        </w:rPr>
        <w:t> </w:t>
      </w:r>
      <w:r>
        <w:rPr>
          <w:sz w:val="20"/>
        </w:rPr>
        <w:t>in</w:t>
      </w:r>
      <w:r>
        <w:rPr>
          <w:spacing w:val="-4"/>
          <w:sz w:val="20"/>
        </w:rPr>
        <w:t> </w:t>
      </w:r>
      <w:r>
        <w:rPr>
          <w:sz w:val="20"/>
        </w:rPr>
        <w:t>the</w:t>
      </w:r>
      <w:r>
        <w:rPr>
          <w:spacing w:val="-5"/>
          <w:sz w:val="20"/>
        </w:rPr>
        <w:t> </w:t>
      </w:r>
      <w:r>
        <w:rPr>
          <w:sz w:val="20"/>
        </w:rPr>
        <w:t>jury</w:t>
      </w:r>
      <w:r>
        <w:rPr>
          <w:spacing w:val="-4"/>
          <w:sz w:val="20"/>
        </w:rPr>
        <w:t> </w:t>
      </w:r>
      <w:r>
        <w:rPr>
          <w:sz w:val="20"/>
        </w:rPr>
        <w:t>room.</w:t>
      </w:r>
    </w:p>
    <w:p>
      <w:pPr>
        <w:pStyle w:val="ListParagraph"/>
        <w:numPr>
          <w:ilvl w:val="0"/>
          <w:numId w:val="6"/>
        </w:numPr>
        <w:tabs>
          <w:tab w:pos="1761" w:val="left" w:leader="none"/>
          <w:tab w:pos="1762" w:val="left" w:leader="none"/>
        </w:tabs>
        <w:spacing w:line="206" w:lineRule="auto" w:before="120" w:after="0"/>
        <w:ind w:left="1761" w:right="1557" w:hanging="794"/>
        <w:jc w:val="left"/>
        <w:rPr>
          <w:sz w:val="20"/>
        </w:rPr>
      </w:pPr>
      <w:r>
        <w:rPr>
          <w:sz w:val="20"/>
        </w:rPr>
        <w:t>In 2018 the Australian Capital </w:t>
      </w:r>
      <w:r>
        <w:rPr>
          <w:spacing w:val="-3"/>
          <w:sz w:val="20"/>
        </w:rPr>
        <w:t>Territory </w:t>
      </w:r>
      <w:r>
        <w:rPr>
          <w:sz w:val="20"/>
        </w:rPr>
        <w:t>became the first, and </w:t>
      </w:r>
      <w:r>
        <w:rPr>
          <w:spacing w:val="-4"/>
          <w:sz w:val="20"/>
        </w:rPr>
        <w:t>only, </w:t>
      </w:r>
      <w:r>
        <w:rPr>
          <w:sz w:val="20"/>
        </w:rPr>
        <w:t>Australian jurisdiction</w:t>
      </w:r>
      <w:r>
        <w:rPr>
          <w:spacing w:val="-6"/>
          <w:sz w:val="20"/>
        </w:rPr>
        <w:t> </w:t>
      </w:r>
      <w:r>
        <w:rPr>
          <w:sz w:val="20"/>
        </w:rPr>
        <w:t>to</w:t>
      </w:r>
      <w:r>
        <w:rPr>
          <w:spacing w:val="-6"/>
          <w:sz w:val="20"/>
        </w:rPr>
        <w:t> </w:t>
      </w:r>
      <w:r>
        <w:rPr>
          <w:sz w:val="20"/>
        </w:rPr>
        <w:t>change</w:t>
      </w:r>
      <w:r>
        <w:rPr>
          <w:spacing w:val="-6"/>
          <w:sz w:val="20"/>
        </w:rPr>
        <w:t> </w:t>
      </w:r>
      <w:r>
        <w:rPr>
          <w:sz w:val="20"/>
        </w:rPr>
        <w:t>its</w:t>
      </w:r>
      <w:r>
        <w:rPr>
          <w:spacing w:val="-6"/>
          <w:sz w:val="20"/>
        </w:rPr>
        <w:t> </w:t>
      </w:r>
      <w:r>
        <w:rPr>
          <w:sz w:val="20"/>
        </w:rPr>
        <w:t>laws</w:t>
      </w:r>
      <w:r>
        <w:rPr>
          <w:spacing w:val="-6"/>
          <w:sz w:val="20"/>
        </w:rPr>
        <w:t> </w:t>
      </w:r>
      <w:r>
        <w:rPr>
          <w:sz w:val="20"/>
        </w:rPr>
        <w:t>and</w:t>
      </w:r>
      <w:r>
        <w:rPr>
          <w:spacing w:val="-6"/>
          <w:sz w:val="20"/>
        </w:rPr>
        <w:t> </w:t>
      </w:r>
      <w:r>
        <w:rPr>
          <w:sz w:val="20"/>
        </w:rPr>
        <w:t>practices</w:t>
      </w:r>
      <w:r>
        <w:rPr>
          <w:spacing w:val="-6"/>
          <w:sz w:val="20"/>
        </w:rPr>
        <w:t> </w:t>
      </w:r>
      <w:r>
        <w:rPr>
          <w:sz w:val="20"/>
        </w:rPr>
        <w:t>to</w:t>
      </w:r>
      <w:r>
        <w:rPr>
          <w:spacing w:val="-6"/>
          <w:sz w:val="20"/>
        </w:rPr>
        <w:t> </w:t>
      </w:r>
      <w:r>
        <w:rPr>
          <w:sz w:val="20"/>
        </w:rPr>
        <w:t>enable</w:t>
      </w:r>
      <w:r>
        <w:rPr>
          <w:spacing w:val="-6"/>
          <w:sz w:val="20"/>
        </w:rPr>
        <w:t> </w:t>
      </w:r>
      <w:r>
        <w:rPr>
          <w:sz w:val="20"/>
        </w:rPr>
        <w:t>people</w:t>
      </w:r>
      <w:r>
        <w:rPr>
          <w:spacing w:val="-6"/>
          <w:sz w:val="20"/>
        </w:rPr>
        <w:t> </w:t>
      </w:r>
      <w:r>
        <w:rPr>
          <w:sz w:val="20"/>
        </w:rPr>
        <w:t>in</w:t>
      </w:r>
      <w:r>
        <w:rPr>
          <w:spacing w:val="-6"/>
          <w:sz w:val="20"/>
        </w:rPr>
        <w:t> </w:t>
      </w:r>
      <w:r>
        <w:rPr>
          <w:sz w:val="20"/>
        </w:rPr>
        <w:t>the</w:t>
      </w:r>
      <w:r>
        <w:rPr>
          <w:spacing w:val="-6"/>
          <w:sz w:val="20"/>
        </w:rPr>
        <w:t> </w:t>
      </w:r>
      <w:r>
        <w:rPr>
          <w:sz w:val="20"/>
        </w:rPr>
        <w:t>subject</w:t>
      </w:r>
      <w:r>
        <w:rPr>
          <w:spacing w:val="-6"/>
          <w:sz w:val="20"/>
        </w:rPr>
        <w:t> </w:t>
      </w:r>
      <w:r>
        <w:rPr>
          <w:sz w:val="20"/>
        </w:rPr>
        <w:t>groups (and others) to serve as jurors with reasonable</w:t>
      </w:r>
      <w:r>
        <w:rPr>
          <w:spacing w:val="-23"/>
          <w:sz w:val="20"/>
        </w:rPr>
        <w:t> </w:t>
      </w:r>
      <w:r>
        <w:rPr>
          <w:sz w:val="20"/>
        </w:rPr>
        <w:t>adjustments.</w:t>
      </w:r>
    </w:p>
    <w:p>
      <w:pPr>
        <w:pStyle w:val="BodyText"/>
      </w:pPr>
    </w:p>
    <w:p>
      <w:pPr>
        <w:pStyle w:val="BodyText"/>
        <w:spacing w:before="12"/>
        <w:rPr>
          <w:sz w:val="10"/>
        </w:rPr>
      </w:pPr>
      <w:r>
        <w:rPr/>
        <w:pict>
          <v:line style="position:absolute;mso-position-horizontal-relative:page;mso-position-vertical-relative:paragraph;z-index:-568;mso-wrap-distance-left:0;mso-wrap-distance-right:0" from="79.370102pt,9.990341pt" to="515.905102pt,9.990341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spacing w:before="237"/>
        <w:ind w:left="100" w:right="0" w:firstLine="0"/>
        <w:jc w:val="left"/>
        <w:rPr>
          <w:b/>
          <w:sz w:val="24"/>
        </w:rPr>
      </w:pPr>
      <w:r>
        <w:rPr>
          <w:b/>
          <w:color w:val="37617A"/>
          <w:sz w:val="24"/>
        </w:rPr>
        <w:t>xviii</w:t>
      </w:r>
    </w:p>
    <w:p>
      <w:pPr>
        <w:tabs>
          <w:tab w:pos="893" w:val="left" w:leader="none"/>
        </w:tabs>
        <w:spacing w:line="170" w:lineRule="exact" w:before="21"/>
        <w:ind w:left="100" w:right="0" w:firstLine="0"/>
        <w:jc w:val="left"/>
        <w:rPr>
          <w:sz w:val="13"/>
        </w:rPr>
      </w:pPr>
      <w:r>
        <w:rPr/>
        <w:br w:type="column"/>
      </w:r>
      <w:r>
        <w:rPr>
          <w:sz w:val="13"/>
        </w:rPr>
        <w:t>3</w:t>
        <w:tab/>
      </w:r>
      <w:r>
        <w:rPr>
          <w:i/>
          <w:sz w:val="13"/>
        </w:rPr>
        <w:t>Lyons v State of Queensland </w:t>
      </w:r>
      <w:r>
        <w:rPr>
          <w:sz w:val="13"/>
        </w:rPr>
        <w:t>[2016] HCA 38, 10-11 </w:t>
      </w:r>
      <w:r>
        <w:rPr>
          <w:spacing w:val="2"/>
          <w:sz w:val="13"/>
        </w:rPr>
        <w:t>[33], </w:t>
      </w:r>
      <w:r>
        <w:rPr>
          <w:sz w:val="13"/>
        </w:rPr>
        <w:t>(2016) 259 CLR 518, </w:t>
      </w:r>
      <w:r>
        <w:rPr>
          <w:spacing w:val="2"/>
          <w:sz w:val="13"/>
        </w:rPr>
        <w:t>529-30</w:t>
      </w:r>
      <w:r>
        <w:rPr>
          <w:spacing w:val="6"/>
          <w:sz w:val="13"/>
        </w:rPr>
        <w:t> </w:t>
      </w:r>
      <w:r>
        <w:rPr>
          <w:sz w:val="13"/>
        </w:rPr>
        <w:t>[33].</w:t>
      </w:r>
    </w:p>
    <w:p>
      <w:pPr>
        <w:pStyle w:val="ListParagraph"/>
        <w:numPr>
          <w:ilvl w:val="0"/>
          <w:numId w:val="7"/>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pStyle w:val="ListParagraph"/>
        <w:numPr>
          <w:ilvl w:val="0"/>
          <w:numId w:val="7"/>
        </w:numPr>
        <w:tabs>
          <w:tab w:pos="893" w:val="left" w:leader="none"/>
          <w:tab w:pos="894" w:val="left" w:leader="none"/>
        </w:tabs>
        <w:spacing w:line="160" w:lineRule="exact" w:before="0" w:after="0"/>
        <w:ind w:left="893" w:right="0" w:hanging="793"/>
        <w:jc w:val="left"/>
        <w:rPr>
          <w:sz w:val="13"/>
        </w:rPr>
      </w:pPr>
      <w:r>
        <w:rPr>
          <w:i/>
          <w:sz w:val="13"/>
        </w:rPr>
        <w:t>Juries Act 2000 </w:t>
      </w:r>
      <w:r>
        <w:rPr>
          <w:spacing w:val="2"/>
          <w:sz w:val="13"/>
        </w:rPr>
        <w:t>(Vic) </w:t>
      </w:r>
      <w:r>
        <w:rPr>
          <w:sz w:val="13"/>
        </w:rPr>
        <w:t>s</w:t>
      </w:r>
      <w:r>
        <w:rPr>
          <w:spacing w:val="-2"/>
          <w:sz w:val="13"/>
        </w:rPr>
        <w:t> </w:t>
      </w:r>
      <w:r>
        <w:rPr>
          <w:sz w:val="13"/>
        </w:rPr>
        <w:t>1(b).</w:t>
      </w:r>
    </w:p>
    <w:p>
      <w:pPr>
        <w:pStyle w:val="ListParagraph"/>
        <w:numPr>
          <w:ilvl w:val="0"/>
          <w:numId w:val="7"/>
        </w:numPr>
        <w:tabs>
          <w:tab w:pos="893" w:val="left" w:leader="none"/>
          <w:tab w:pos="894" w:val="left" w:leader="none"/>
        </w:tabs>
        <w:spacing w:line="213" w:lineRule="auto" w:before="7" w:after="0"/>
        <w:ind w:left="893" w:right="1265" w:hanging="793"/>
        <w:jc w:val="left"/>
        <w:rPr>
          <w:sz w:val="13"/>
        </w:rPr>
      </w:pP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 </w:t>
      </w:r>
      <w:r>
        <w:rPr>
          <w:spacing w:val="2"/>
          <w:sz w:val="13"/>
        </w:rPr>
        <w:t>art </w:t>
      </w:r>
      <w:r>
        <w:rPr>
          <w:sz w:val="13"/>
        </w:rPr>
        <w:t>3(c). Australia ratified the treaty on 17 July 2008: United Nations, ‘Chapter IV 15 Human Rights: Convention on the Rights   of Persons with Disabilities’, </w:t>
      </w:r>
      <w:r>
        <w:rPr>
          <w:i/>
          <w:sz w:val="13"/>
        </w:rPr>
        <w:t>United Nations Treaty Collection </w:t>
      </w:r>
      <w:r>
        <w:rPr>
          <w:sz w:val="13"/>
        </w:rPr>
        <w:t>(Online </w:t>
      </w:r>
      <w:r>
        <w:rPr>
          <w:spacing w:val="2"/>
          <w:sz w:val="13"/>
        </w:rPr>
        <w:t>Collection, </w:t>
      </w:r>
      <w:r>
        <w:rPr>
          <w:spacing w:val="3"/>
          <w:sz w:val="13"/>
        </w:rPr>
        <w:t>14 </w:t>
      </w:r>
      <w:r>
        <w:rPr>
          <w:sz w:val="13"/>
        </w:rPr>
        <w:t>June 2022) &lt;</w:t>
      </w:r>
      <w:hyperlink r:id="rId22">
        <w:r>
          <w:rPr>
            <w:sz w:val="13"/>
          </w:rPr>
          <w:t>https://treaties.un.org/Pages/</w:t>
        </w:r>
      </w:hyperlink>
      <w:hyperlink r:id="rId22">
        <w:r>
          <w:rPr>
            <w:sz w:val="13"/>
          </w:rPr>
          <w:t> ViewDetails.aspx?src=TREATY&amp;mtdsg_no=IV-15&amp;chapter=4&amp;clang=_en</w:t>
        </w:r>
      </w:hyperlink>
      <w:r>
        <w:rPr>
          <w:sz w:val="13"/>
        </w:rPr>
        <w:t>&gt;.</w:t>
      </w:r>
    </w:p>
    <w:p>
      <w:pPr>
        <w:pStyle w:val="ListParagraph"/>
        <w:numPr>
          <w:ilvl w:val="0"/>
          <w:numId w:val="7"/>
        </w:numPr>
        <w:tabs>
          <w:tab w:pos="893" w:val="left" w:leader="none"/>
          <w:tab w:pos="894" w:val="left" w:leader="none"/>
        </w:tabs>
        <w:spacing w:line="162" w:lineRule="exact" w:before="0" w:after="0"/>
        <w:ind w:left="893" w:right="0" w:hanging="793"/>
        <w:jc w:val="left"/>
        <w:rPr>
          <w:sz w:val="13"/>
        </w:rPr>
      </w:pPr>
      <w:r>
        <w:rPr>
          <w:sz w:val="13"/>
        </w:rPr>
        <w:t>See discussion in Chapter 6.</w:t>
      </w:r>
    </w:p>
    <w:p>
      <w:pPr>
        <w:spacing w:after="0" w:line="162" w:lineRule="exact"/>
        <w:jc w:val="left"/>
        <w:rPr>
          <w:sz w:val="13"/>
        </w:rPr>
        <w:sectPr>
          <w:type w:val="continuous"/>
          <w:pgSz w:w="11910" w:h="16840"/>
          <w:pgMar w:top="620" w:bottom="280" w:left="620" w:right="380"/>
          <w:cols w:num="2" w:equalWidth="0">
            <w:col w:w="585" w:space="283"/>
            <w:col w:w="10042"/>
          </w:cols>
        </w:sectPr>
      </w:pPr>
    </w:p>
    <w:p>
      <w:pPr>
        <w:pStyle w:val="BodyText"/>
      </w:pPr>
    </w:p>
    <w:p>
      <w:pPr>
        <w:pStyle w:val="BodyText"/>
      </w:pPr>
    </w:p>
    <w:p>
      <w:pPr>
        <w:pStyle w:val="BodyText"/>
      </w:pPr>
    </w:p>
    <w:p>
      <w:pPr>
        <w:pStyle w:val="BodyText"/>
        <w:spacing w:before="3"/>
        <w:rPr>
          <w:sz w:val="14"/>
        </w:rPr>
      </w:pPr>
    </w:p>
    <w:p>
      <w:pPr>
        <w:spacing w:before="49"/>
        <w:ind w:left="967" w:right="0" w:firstLine="0"/>
        <w:jc w:val="left"/>
        <w:rPr>
          <w:b/>
          <w:sz w:val="24"/>
        </w:rPr>
      </w:pPr>
      <w:r>
        <w:rPr>
          <w:b/>
          <w:sz w:val="24"/>
        </w:rPr>
        <w:t>Upholding the right to a fair trial</w:t>
      </w:r>
    </w:p>
    <w:p>
      <w:pPr>
        <w:pStyle w:val="ListParagraph"/>
        <w:numPr>
          <w:ilvl w:val="1"/>
          <w:numId w:val="7"/>
        </w:numPr>
        <w:tabs>
          <w:tab w:pos="1761" w:val="left" w:leader="none"/>
          <w:tab w:pos="1762" w:val="left" w:leader="none"/>
        </w:tabs>
        <w:spacing w:line="206" w:lineRule="auto" w:before="127" w:after="0"/>
        <w:ind w:left="1761" w:right="1628" w:hanging="794"/>
        <w:jc w:val="left"/>
        <w:rPr>
          <w:sz w:val="20"/>
        </w:rPr>
      </w:pPr>
      <w:r>
        <w:rPr>
          <w:sz w:val="20"/>
        </w:rPr>
        <w:t>While</w:t>
      </w:r>
      <w:r>
        <w:rPr>
          <w:spacing w:val="-7"/>
          <w:sz w:val="20"/>
        </w:rPr>
        <w:t> </w:t>
      </w:r>
      <w:r>
        <w:rPr>
          <w:sz w:val="20"/>
        </w:rPr>
        <w:t>supporting</w:t>
      </w:r>
      <w:r>
        <w:rPr>
          <w:spacing w:val="-7"/>
          <w:sz w:val="20"/>
        </w:rPr>
        <w:t> </w:t>
      </w:r>
      <w:r>
        <w:rPr>
          <w:sz w:val="20"/>
        </w:rPr>
        <w:t>reform,</w:t>
      </w:r>
      <w:r>
        <w:rPr>
          <w:spacing w:val="-7"/>
          <w:sz w:val="20"/>
        </w:rPr>
        <w:t> </w:t>
      </w:r>
      <w:r>
        <w:rPr>
          <w:sz w:val="20"/>
        </w:rPr>
        <w:t>many</w:t>
      </w:r>
      <w:r>
        <w:rPr>
          <w:spacing w:val="-7"/>
          <w:sz w:val="20"/>
        </w:rPr>
        <w:t> </w:t>
      </w:r>
      <w:r>
        <w:rPr>
          <w:sz w:val="20"/>
        </w:rPr>
        <w:t>people</w:t>
      </w:r>
      <w:r>
        <w:rPr>
          <w:spacing w:val="-7"/>
          <w:sz w:val="20"/>
        </w:rPr>
        <w:t> </w:t>
      </w:r>
      <w:r>
        <w:rPr>
          <w:sz w:val="20"/>
        </w:rPr>
        <w:t>told</w:t>
      </w:r>
      <w:r>
        <w:rPr>
          <w:spacing w:val="-7"/>
          <w:sz w:val="20"/>
        </w:rPr>
        <w:t> </w:t>
      </w:r>
      <w:r>
        <w:rPr>
          <w:sz w:val="20"/>
        </w:rPr>
        <w:t>us</w:t>
      </w:r>
      <w:r>
        <w:rPr>
          <w:spacing w:val="-7"/>
          <w:sz w:val="20"/>
        </w:rPr>
        <w:t> </w:t>
      </w:r>
      <w:r>
        <w:rPr>
          <w:sz w:val="20"/>
        </w:rPr>
        <w:t>that</w:t>
      </w:r>
      <w:r>
        <w:rPr>
          <w:spacing w:val="-7"/>
          <w:sz w:val="20"/>
        </w:rPr>
        <w:t> </w:t>
      </w:r>
      <w:r>
        <w:rPr>
          <w:sz w:val="20"/>
        </w:rPr>
        <w:t>change</w:t>
      </w:r>
      <w:r>
        <w:rPr>
          <w:spacing w:val="-7"/>
          <w:sz w:val="20"/>
        </w:rPr>
        <w:t> </w:t>
      </w:r>
      <w:r>
        <w:rPr>
          <w:sz w:val="20"/>
        </w:rPr>
        <w:t>must</w:t>
      </w:r>
      <w:r>
        <w:rPr>
          <w:spacing w:val="-7"/>
          <w:sz w:val="20"/>
        </w:rPr>
        <w:t> </w:t>
      </w:r>
      <w:r>
        <w:rPr>
          <w:sz w:val="20"/>
        </w:rPr>
        <w:t>not</w:t>
      </w:r>
      <w:r>
        <w:rPr>
          <w:spacing w:val="-7"/>
          <w:sz w:val="20"/>
        </w:rPr>
        <w:t> </w:t>
      </w:r>
      <w:r>
        <w:rPr>
          <w:sz w:val="20"/>
        </w:rPr>
        <w:t>prejudice</w:t>
      </w:r>
      <w:r>
        <w:rPr>
          <w:spacing w:val="-7"/>
          <w:sz w:val="20"/>
        </w:rPr>
        <w:t> </w:t>
      </w:r>
      <w:r>
        <w:rPr>
          <w:sz w:val="20"/>
        </w:rPr>
        <w:t>the right to a fair trial. The Commission</w:t>
      </w:r>
      <w:r>
        <w:rPr>
          <w:spacing w:val="-16"/>
          <w:sz w:val="20"/>
        </w:rPr>
        <w:t> </w:t>
      </w:r>
      <w:r>
        <w:rPr>
          <w:sz w:val="20"/>
        </w:rPr>
        <w:t>agrees.</w:t>
      </w:r>
    </w:p>
    <w:p>
      <w:pPr>
        <w:pStyle w:val="ListParagraph"/>
        <w:numPr>
          <w:ilvl w:val="1"/>
          <w:numId w:val="7"/>
        </w:numPr>
        <w:tabs>
          <w:tab w:pos="1761" w:val="left" w:leader="none"/>
          <w:tab w:pos="1762" w:val="left" w:leader="none"/>
        </w:tabs>
        <w:spacing w:line="206" w:lineRule="auto" w:before="116" w:after="0"/>
        <w:ind w:left="1761" w:right="1677" w:hanging="794"/>
        <w:jc w:val="left"/>
        <w:rPr>
          <w:sz w:val="20"/>
        </w:rPr>
      </w:pPr>
      <w:r>
        <w:rPr>
          <w:sz w:val="20"/>
        </w:rPr>
        <w:t>In</w:t>
      </w:r>
      <w:r>
        <w:rPr>
          <w:spacing w:val="-7"/>
          <w:sz w:val="20"/>
        </w:rPr>
        <w:t> </w:t>
      </w:r>
      <w:r>
        <w:rPr>
          <w:sz w:val="20"/>
        </w:rPr>
        <w:t>many</w:t>
      </w:r>
      <w:r>
        <w:rPr>
          <w:spacing w:val="-6"/>
          <w:sz w:val="20"/>
        </w:rPr>
        <w:t> </w:t>
      </w:r>
      <w:r>
        <w:rPr>
          <w:sz w:val="20"/>
        </w:rPr>
        <w:t>circumstances,</w:t>
      </w:r>
      <w:r>
        <w:rPr>
          <w:spacing w:val="-6"/>
          <w:sz w:val="20"/>
        </w:rPr>
        <w:t> </w:t>
      </w:r>
      <w:r>
        <w:rPr>
          <w:sz w:val="20"/>
        </w:rPr>
        <w:t>reasonable</w:t>
      </w:r>
      <w:r>
        <w:rPr>
          <w:spacing w:val="-7"/>
          <w:sz w:val="20"/>
        </w:rPr>
        <w:t> </w:t>
      </w:r>
      <w:r>
        <w:rPr>
          <w:sz w:val="20"/>
        </w:rPr>
        <w:t>adjustments</w:t>
      </w:r>
      <w:r>
        <w:rPr>
          <w:spacing w:val="-6"/>
          <w:sz w:val="20"/>
        </w:rPr>
        <w:t> </w:t>
      </w:r>
      <w:r>
        <w:rPr>
          <w:sz w:val="20"/>
        </w:rPr>
        <w:t>will</w:t>
      </w:r>
      <w:r>
        <w:rPr>
          <w:spacing w:val="-6"/>
          <w:sz w:val="20"/>
        </w:rPr>
        <w:t> </w:t>
      </w:r>
      <w:r>
        <w:rPr>
          <w:sz w:val="20"/>
        </w:rPr>
        <w:t>enable</w:t>
      </w:r>
      <w:r>
        <w:rPr>
          <w:spacing w:val="-6"/>
          <w:sz w:val="20"/>
        </w:rPr>
        <w:t> </w:t>
      </w:r>
      <w:r>
        <w:rPr>
          <w:sz w:val="20"/>
        </w:rPr>
        <w:t>a</w:t>
      </w:r>
      <w:r>
        <w:rPr>
          <w:spacing w:val="-7"/>
          <w:sz w:val="20"/>
        </w:rPr>
        <w:t> </w:t>
      </w:r>
      <w:r>
        <w:rPr>
          <w:sz w:val="20"/>
        </w:rPr>
        <w:t>person</w:t>
      </w:r>
      <w:r>
        <w:rPr>
          <w:spacing w:val="-6"/>
          <w:sz w:val="20"/>
        </w:rPr>
        <w:t> </w:t>
      </w:r>
      <w:r>
        <w:rPr>
          <w:sz w:val="20"/>
        </w:rPr>
        <w:t>who</w:t>
      </w:r>
      <w:r>
        <w:rPr>
          <w:spacing w:val="-6"/>
          <w:sz w:val="20"/>
        </w:rPr>
        <w:t> </w:t>
      </w:r>
      <w:r>
        <w:rPr>
          <w:sz w:val="20"/>
        </w:rPr>
        <w:t>is</w:t>
      </w:r>
      <w:r>
        <w:rPr>
          <w:spacing w:val="-6"/>
          <w:sz w:val="20"/>
        </w:rPr>
        <w:t> </w:t>
      </w:r>
      <w:r>
        <w:rPr>
          <w:spacing w:val="-3"/>
          <w:sz w:val="20"/>
        </w:rPr>
        <w:t>deaf, </w:t>
      </w:r>
      <w:r>
        <w:rPr>
          <w:sz w:val="20"/>
        </w:rPr>
        <w:t>hard of hearing, blind or has </w:t>
      </w:r>
      <w:r>
        <w:rPr>
          <w:spacing w:val="-3"/>
          <w:sz w:val="20"/>
        </w:rPr>
        <w:t>low </w:t>
      </w:r>
      <w:r>
        <w:rPr>
          <w:sz w:val="20"/>
        </w:rPr>
        <w:t>vision to perform the </w:t>
      </w:r>
      <w:r>
        <w:rPr>
          <w:spacing w:val="-3"/>
          <w:sz w:val="20"/>
        </w:rPr>
        <w:t>role </w:t>
      </w:r>
      <w:r>
        <w:rPr>
          <w:sz w:val="20"/>
        </w:rPr>
        <w:t>of </w:t>
      </w:r>
      <w:r>
        <w:rPr>
          <w:spacing w:val="-3"/>
          <w:sz w:val="20"/>
        </w:rPr>
        <w:t>juror. </w:t>
      </w:r>
      <w:r>
        <w:rPr>
          <w:sz w:val="20"/>
        </w:rPr>
        <w:t>This has been demonstrated in overseas practice and academic</w:t>
      </w:r>
      <w:r>
        <w:rPr>
          <w:spacing w:val="-16"/>
          <w:sz w:val="20"/>
        </w:rPr>
        <w:t> </w:t>
      </w:r>
      <w:r>
        <w:rPr>
          <w:sz w:val="20"/>
        </w:rPr>
        <w:t>studies.</w:t>
      </w:r>
    </w:p>
    <w:p>
      <w:pPr>
        <w:pStyle w:val="ListParagraph"/>
        <w:numPr>
          <w:ilvl w:val="1"/>
          <w:numId w:val="7"/>
        </w:numPr>
        <w:tabs>
          <w:tab w:pos="1761" w:val="left" w:leader="none"/>
          <w:tab w:pos="1762" w:val="left" w:leader="none"/>
        </w:tabs>
        <w:spacing w:line="206" w:lineRule="auto" w:before="117" w:after="0"/>
        <w:ind w:left="1761" w:right="1246" w:hanging="794"/>
        <w:jc w:val="left"/>
        <w:rPr>
          <w:sz w:val="20"/>
        </w:rPr>
      </w:pPr>
      <w:r>
        <w:rPr>
          <w:sz w:val="20"/>
        </w:rPr>
        <w:t>In</w:t>
      </w:r>
      <w:r>
        <w:rPr>
          <w:spacing w:val="-7"/>
          <w:sz w:val="20"/>
        </w:rPr>
        <w:t> </w:t>
      </w:r>
      <w:r>
        <w:rPr>
          <w:sz w:val="20"/>
        </w:rPr>
        <w:t>rare</w:t>
      </w:r>
      <w:r>
        <w:rPr>
          <w:spacing w:val="-6"/>
          <w:sz w:val="20"/>
        </w:rPr>
        <w:t> </w:t>
      </w:r>
      <w:r>
        <w:rPr>
          <w:sz w:val="20"/>
        </w:rPr>
        <w:t>situations,</w:t>
      </w:r>
      <w:r>
        <w:rPr>
          <w:spacing w:val="-7"/>
          <w:sz w:val="20"/>
        </w:rPr>
        <w:t> </w:t>
      </w:r>
      <w:r>
        <w:rPr>
          <w:spacing w:val="-3"/>
          <w:sz w:val="20"/>
        </w:rPr>
        <w:t>even</w:t>
      </w:r>
      <w:r>
        <w:rPr>
          <w:spacing w:val="-6"/>
          <w:sz w:val="20"/>
        </w:rPr>
        <w:t> </w:t>
      </w:r>
      <w:r>
        <w:rPr>
          <w:sz w:val="20"/>
        </w:rPr>
        <w:t>with</w:t>
      </w:r>
      <w:r>
        <w:rPr>
          <w:spacing w:val="-7"/>
          <w:sz w:val="20"/>
        </w:rPr>
        <w:t> </w:t>
      </w:r>
      <w:r>
        <w:rPr>
          <w:sz w:val="20"/>
        </w:rPr>
        <w:t>reasonable</w:t>
      </w:r>
      <w:r>
        <w:rPr>
          <w:spacing w:val="-6"/>
          <w:sz w:val="20"/>
        </w:rPr>
        <w:t> </w:t>
      </w:r>
      <w:r>
        <w:rPr>
          <w:sz w:val="20"/>
        </w:rPr>
        <w:t>adjustments,</w:t>
      </w:r>
      <w:r>
        <w:rPr>
          <w:spacing w:val="-6"/>
          <w:sz w:val="20"/>
        </w:rPr>
        <w:t> </w:t>
      </w:r>
      <w:r>
        <w:rPr>
          <w:sz w:val="20"/>
        </w:rPr>
        <w:t>a</w:t>
      </w:r>
      <w:r>
        <w:rPr>
          <w:spacing w:val="-7"/>
          <w:sz w:val="20"/>
        </w:rPr>
        <w:t> </w:t>
      </w:r>
      <w:r>
        <w:rPr>
          <w:sz w:val="20"/>
        </w:rPr>
        <w:t>person</w:t>
      </w:r>
      <w:r>
        <w:rPr>
          <w:spacing w:val="-6"/>
          <w:sz w:val="20"/>
        </w:rPr>
        <w:t> </w:t>
      </w:r>
      <w:r>
        <w:rPr>
          <w:sz w:val="20"/>
        </w:rPr>
        <w:t>from</w:t>
      </w:r>
      <w:r>
        <w:rPr>
          <w:spacing w:val="-7"/>
          <w:sz w:val="20"/>
        </w:rPr>
        <w:t> </w:t>
      </w:r>
      <w:r>
        <w:rPr>
          <w:sz w:val="20"/>
        </w:rPr>
        <w:t>the</w:t>
      </w:r>
      <w:r>
        <w:rPr>
          <w:spacing w:val="-6"/>
          <w:sz w:val="20"/>
        </w:rPr>
        <w:t> </w:t>
      </w:r>
      <w:r>
        <w:rPr>
          <w:sz w:val="20"/>
        </w:rPr>
        <w:t>subject</w:t>
      </w:r>
      <w:r>
        <w:rPr>
          <w:spacing w:val="-6"/>
          <w:sz w:val="20"/>
        </w:rPr>
        <w:t> </w:t>
      </w:r>
      <w:r>
        <w:rPr>
          <w:sz w:val="20"/>
        </w:rPr>
        <w:t>groups may not be able to perform jury </w:t>
      </w:r>
      <w:r>
        <w:rPr>
          <w:spacing w:val="-3"/>
          <w:sz w:val="20"/>
        </w:rPr>
        <w:t>duty. </w:t>
      </w:r>
      <w:r>
        <w:rPr>
          <w:sz w:val="20"/>
        </w:rPr>
        <w:t>This might happen because of the intersection between</w:t>
      </w:r>
      <w:r>
        <w:rPr>
          <w:spacing w:val="-6"/>
          <w:sz w:val="20"/>
        </w:rPr>
        <w:t> </w:t>
      </w:r>
      <w:r>
        <w:rPr>
          <w:sz w:val="20"/>
        </w:rPr>
        <w:t>their</w:t>
      </w:r>
      <w:r>
        <w:rPr>
          <w:spacing w:val="-6"/>
          <w:sz w:val="20"/>
        </w:rPr>
        <w:t> </w:t>
      </w:r>
      <w:r>
        <w:rPr>
          <w:sz w:val="20"/>
        </w:rPr>
        <w:t>disability,</w:t>
      </w:r>
      <w:r>
        <w:rPr>
          <w:spacing w:val="-6"/>
          <w:sz w:val="20"/>
        </w:rPr>
        <w:t> </w:t>
      </w:r>
      <w:r>
        <w:rPr>
          <w:sz w:val="20"/>
        </w:rPr>
        <w:t>the</w:t>
      </w:r>
      <w:r>
        <w:rPr>
          <w:spacing w:val="-6"/>
          <w:sz w:val="20"/>
        </w:rPr>
        <w:t> </w:t>
      </w:r>
      <w:r>
        <w:rPr>
          <w:sz w:val="20"/>
        </w:rPr>
        <w:t>adjustments</w:t>
      </w:r>
      <w:r>
        <w:rPr>
          <w:spacing w:val="-6"/>
          <w:sz w:val="20"/>
        </w:rPr>
        <w:t> </w:t>
      </w:r>
      <w:r>
        <w:rPr>
          <w:sz w:val="20"/>
        </w:rPr>
        <w:t>they</w:t>
      </w:r>
      <w:r>
        <w:rPr>
          <w:spacing w:val="-5"/>
          <w:sz w:val="20"/>
        </w:rPr>
        <w:t> </w:t>
      </w:r>
      <w:r>
        <w:rPr>
          <w:sz w:val="20"/>
        </w:rPr>
        <w:t>require,</w:t>
      </w:r>
      <w:r>
        <w:rPr>
          <w:spacing w:val="-6"/>
          <w:sz w:val="20"/>
        </w:rPr>
        <w:t> </w:t>
      </w:r>
      <w:r>
        <w:rPr>
          <w:sz w:val="20"/>
        </w:rPr>
        <w:t>and</w:t>
      </w:r>
      <w:r>
        <w:rPr>
          <w:spacing w:val="-6"/>
          <w:sz w:val="20"/>
        </w:rPr>
        <w:t> </w:t>
      </w:r>
      <w:r>
        <w:rPr>
          <w:sz w:val="20"/>
        </w:rPr>
        <w:t>the</w:t>
      </w:r>
      <w:r>
        <w:rPr>
          <w:spacing w:val="-6"/>
          <w:sz w:val="20"/>
        </w:rPr>
        <w:t> </w:t>
      </w:r>
      <w:r>
        <w:rPr>
          <w:sz w:val="20"/>
        </w:rPr>
        <w:t>nature</w:t>
      </w:r>
      <w:r>
        <w:rPr>
          <w:spacing w:val="-6"/>
          <w:sz w:val="20"/>
        </w:rPr>
        <w:t> </w:t>
      </w:r>
      <w:r>
        <w:rPr>
          <w:sz w:val="20"/>
        </w:rPr>
        <w:t>of</w:t>
      </w:r>
      <w:r>
        <w:rPr>
          <w:spacing w:val="-5"/>
          <w:sz w:val="20"/>
        </w:rPr>
        <w:t> </w:t>
      </w:r>
      <w:r>
        <w:rPr>
          <w:sz w:val="20"/>
        </w:rPr>
        <w:t>evidence</w:t>
      </w:r>
    </w:p>
    <w:p>
      <w:pPr>
        <w:pStyle w:val="BodyText"/>
        <w:spacing w:line="230" w:lineRule="exact"/>
        <w:ind w:left="1761"/>
      </w:pPr>
      <w:r>
        <w:rPr/>
        <w:t>that is material to the outcome of a particular trial. We recommend that the trial judge</w:t>
      </w:r>
    </w:p>
    <w:p>
      <w:pPr>
        <w:pStyle w:val="BodyText"/>
        <w:spacing w:line="259" w:lineRule="exact"/>
        <w:ind w:left="1761"/>
      </w:pPr>
      <w:r>
        <w:rPr/>
        <w:t>make the final decision about whether a person can serve on the jury.</w:t>
      </w:r>
    </w:p>
    <w:p>
      <w:pPr>
        <w:spacing w:before="146"/>
        <w:ind w:left="967" w:right="0" w:firstLine="0"/>
        <w:jc w:val="left"/>
        <w:rPr>
          <w:b/>
          <w:sz w:val="24"/>
        </w:rPr>
      </w:pPr>
      <w:r>
        <w:rPr>
          <w:b/>
          <w:sz w:val="24"/>
        </w:rPr>
        <w:t>A new obligation in the Juries Act to provide reasonable adjustments</w:t>
      </w:r>
    </w:p>
    <w:p>
      <w:pPr>
        <w:pStyle w:val="ListParagraph"/>
        <w:numPr>
          <w:ilvl w:val="1"/>
          <w:numId w:val="7"/>
        </w:numPr>
        <w:tabs>
          <w:tab w:pos="1761" w:val="left" w:leader="none"/>
          <w:tab w:pos="1762" w:val="left" w:leader="none"/>
        </w:tabs>
        <w:spacing w:line="206" w:lineRule="auto" w:before="127" w:after="0"/>
        <w:ind w:left="1761" w:right="1395" w:hanging="794"/>
        <w:jc w:val="left"/>
        <w:rPr>
          <w:sz w:val="20"/>
        </w:rPr>
      </w:pPr>
      <w:r>
        <w:rPr>
          <w:spacing w:val="-9"/>
          <w:sz w:val="20"/>
        </w:rPr>
        <w:t>To</w:t>
      </w:r>
      <w:r>
        <w:rPr>
          <w:spacing w:val="-8"/>
          <w:sz w:val="20"/>
        </w:rPr>
        <w:t> </w:t>
      </w:r>
      <w:r>
        <w:rPr>
          <w:sz w:val="20"/>
        </w:rPr>
        <w:t>ensure</w:t>
      </w:r>
      <w:r>
        <w:rPr>
          <w:spacing w:val="-7"/>
          <w:sz w:val="20"/>
        </w:rPr>
        <w:t> </w:t>
      </w:r>
      <w:r>
        <w:rPr>
          <w:sz w:val="20"/>
        </w:rPr>
        <w:t>that</w:t>
      </w:r>
      <w:r>
        <w:rPr>
          <w:spacing w:val="-7"/>
          <w:sz w:val="20"/>
        </w:rPr>
        <w:t> </w:t>
      </w:r>
      <w:r>
        <w:rPr>
          <w:sz w:val="20"/>
        </w:rPr>
        <w:t>reasonable</w:t>
      </w:r>
      <w:r>
        <w:rPr>
          <w:spacing w:val="-7"/>
          <w:sz w:val="20"/>
        </w:rPr>
        <w:t> </w:t>
      </w:r>
      <w:r>
        <w:rPr>
          <w:sz w:val="20"/>
        </w:rPr>
        <w:t>adjustments</w:t>
      </w:r>
      <w:r>
        <w:rPr>
          <w:spacing w:val="-8"/>
          <w:sz w:val="20"/>
        </w:rPr>
        <w:t> </w:t>
      </w:r>
      <w:r>
        <w:rPr>
          <w:sz w:val="20"/>
        </w:rPr>
        <w:t>are</w:t>
      </w:r>
      <w:r>
        <w:rPr>
          <w:spacing w:val="-7"/>
          <w:sz w:val="20"/>
        </w:rPr>
        <w:t> </w:t>
      </w:r>
      <w:r>
        <w:rPr>
          <w:sz w:val="20"/>
        </w:rPr>
        <w:t>provided</w:t>
      </w:r>
      <w:r>
        <w:rPr>
          <w:spacing w:val="-7"/>
          <w:sz w:val="20"/>
        </w:rPr>
        <w:t> </w:t>
      </w:r>
      <w:r>
        <w:rPr>
          <w:sz w:val="20"/>
        </w:rPr>
        <w:t>to</w:t>
      </w:r>
      <w:r>
        <w:rPr>
          <w:spacing w:val="-7"/>
          <w:sz w:val="20"/>
        </w:rPr>
        <w:t> </w:t>
      </w:r>
      <w:r>
        <w:rPr>
          <w:sz w:val="20"/>
        </w:rPr>
        <w:t>people</w:t>
      </w:r>
      <w:r>
        <w:rPr>
          <w:spacing w:val="-7"/>
          <w:sz w:val="20"/>
        </w:rPr>
        <w:t> </w:t>
      </w:r>
      <w:r>
        <w:rPr>
          <w:sz w:val="20"/>
        </w:rPr>
        <w:t>in</w:t>
      </w:r>
      <w:r>
        <w:rPr>
          <w:spacing w:val="-8"/>
          <w:sz w:val="20"/>
        </w:rPr>
        <w:t> </w:t>
      </w:r>
      <w:r>
        <w:rPr>
          <w:sz w:val="20"/>
        </w:rPr>
        <w:t>the</w:t>
      </w:r>
      <w:r>
        <w:rPr>
          <w:spacing w:val="-7"/>
          <w:sz w:val="20"/>
        </w:rPr>
        <w:t> </w:t>
      </w:r>
      <w:r>
        <w:rPr>
          <w:sz w:val="20"/>
        </w:rPr>
        <w:t>subject</w:t>
      </w:r>
      <w:r>
        <w:rPr>
          <w:spacing w:val="-7"/>
          <w:sz w:val="20"/>
        </w:rPr>
        <w:t> </w:t>
      </w:r>
      <w:r>
        <w:rPr>
          <w:sz w:val="20"/>
        </w:rPr>
        <w:t>groups, the Act needs to be</w:t>
      </w:r>
      <w:r>
        <w:rPr>
          <w:spacing w:val="-11"/>
          <w:sz w:val="20"/>
        </w:rPr>
        <w:t> </w:t>
      </w:r>
      <w:r>
        <w:rPr>
          <w:sz w:val="20"/>
        </w:rPr>
        <w:t>changed.</w:t>
      </w:r>
    </w:p>
    <w:p>
      <w:pPr>
        <w:pStyle w:val="ListParagraph"/>
        <w:numPr>
          <w:ilvl w:val="1"/>
          <w:numId w:val="7"/>
        </w:numPr>
        <w:tabs>
          <w:tab w:pos="1761" w:val="left" w:leader="none"/>
          <w:tab w:pos="1762" w:val="left" w:leader="none"/>
        </w:tabs>
        <w:spacing w:line="206" w:lineRule="auto" w:before="116" w:after="0"/>
        <w:ind w:left="1761" w:right="1420" w:hanging="794"/>
        <w:jc w:val="left"/>
        <w:rPr>
          <w:sz w:val="20"/>
        </w:rPr>
      </w:pPr>
      <w:r>
        <w:rPr>
          <w:sz w:val="20"/>
        </w:rPr>
        <w:t>The</w:t>
      </w:r>
      <w:r>
        <w:rPr>
          <w:spacing w:val="-7"/>
          <w:sz w:val="20"/>
        </w:rPr>
        <w:t> </w:t>
      </w:r>
      <w:r>
        <w:rPr>
          <w:sz w:val="20"/>
        </w:rPr>
        <w:t>Act</w:t>
      </w:r>
      <w:r>
        <w:rPr>
          <w:spacing w:val="-7"/>
          <w:sz w:val="20"/>
        </w:rPr>
        <w:t> </w:t>
      </w:r>
      <w:r>
        <w:rPr>
          <w:sz w:val="20"/>
        </w:rPr>
        <w:t>should</w:t>
      </w:r>
      <w:r>
        <w:rPr>
          <w:spacing w:val="-7"/>
          <w:sz w:val="20"/>
        </w:rPr>
        <w:t> </w:t>
      </w:r>
      <w:r>
        <w:rPr>
          <w:sz w:val="20"/>
        </w:rPr>
        <w:t>require</w:t>
      </w:r>
      <w:r>
        <w:rPr>
          <w:spacing w:val="-7"/>
          <w:sz w:val="20"/>
        </w:rPr>
        <w:t> </w:t>
      </w:r>
      <w:r>
        <w:rPr>
          <w:sz w:val="20"/>
        </w:rPr>
        <w:t>the</w:t>
      </w:r>
      <w:r>
        <w:rPr>
          <w:spacing w:val="-7"/>
          <w:sz w:val="20"/>
        </w:rPr>
        <w:t> </w:t>
      </w:r>
      <w:r>
        <w:rPr>
          <w:sz w:val="20"/>
        </w:rPr>
        <w:t>courts</w:t>
      </w:r>
      <w:r>
        <w:rPr>
          <w:spacing w:val="-7"/>
          <w:sz w:val="20"/>
        </w:rPr>
        <w:t> </w:t>
      </w:r>
      <w:r>
        <w:rPr>
          <w:sz w:val="20"/>
        </w:rPr>
        <w:t>to</w:t>
      </w:r>
      <w:r>
        <w:rPr>
          <w:spacing w:val="-7"/>
          <w:sz w:val="20"/>
        </w:rPr>
        <w:t> </w:t>
      </w:r>
      <w:r>
        <w:rPr>
          <w:sz w:val="20"/>
        </w:rPr>
        <w:t>direct</w:t>
      </w:r>
      <w:r>
        <w:rPr>
          <w:spacing w:val="-7"/>
          <w:sz w:val="20"/>
        </w:rPr>
        <w:t> </w:t>
      </w:r>
      <w:r>
        <w:rPr>
          <w:sz w:val="20"/>
        </w:rPr>
        <w:t>that</w:t>
      </w:r>
      <w:r>
        <w:rPr>
          <w:spacing w:val="-7"/>
          <w:sz w:val="20"/>
        </w:rPr>
        <w:t> </w:t>
      </w:r>
      <w:r>
        <w:rPr>
          <w:sz w:val="20"/>
        </w:rPr>
        <w:t>reasonable</w:t>
      </w:r>
      <w:r>
        <w:rPr>
          <w:spacing w:val="-7"/>
          <w:sz w:val="20"/>
        </w:rPr>
        <w:t> </w:t>
      </w:r>
      <w:r>
        <w:rPr>
          <w:sz w:val="20"/>
        </w:rPr>
        <w:t>adjustments</w:t>
      </w:r>
      <w:r>
        <w:rPr>
          <w:spacing w:val="-7"/>
          <w:sz w:val="20"/>
        </w:rPr>
        <w:t> </w:t>
      </w:r>
      <w:r>
        <w:rPr>
          <w:sz w:val="20"/>
        </w:rPr>
        <w:t>be</w:t>
      </w:r>
      <w:r>
        <w:rPr>
          <w:spacing w:val="-6"/>
          <w:sz w:val="20"/>
        </w:rPr>
        <w:t> </w:t>
      </w:r>
      <w:r>
        <w:rPr>
          <w:sz w:val="20"/>
        </w:rPr>
        <w:t>provided where the court considers that the provision of those adjustments would enable a person to serve as a</w:t>
      </w:r>
      <w:r>
        <w:rPr>
          <w:spacing w:val="-11"/>
          <w:sz w:val="20"/>
        </w:rPr>
        <w:t> </w:t>
      </w:r>
      <w:r>
        <w:rPr>
          <w:spacing w:val="-3"/>
          <w:sz w:val="20"/>
        </w:rPr>
        <w:t>juror.</w:t>
      </w:r>
    </w:p>
    <w:p>
      <w:pPr>
        <w:pStyle w:val="ListParagraph"/>
        <w:numPr>
          <w:ilvl w:val="1"/>
          <w:numId w:val="7"/>
        </w:numPr>
        <w:tabs>
          <w:tab w:pos="1761" w:val="left" w:leader="none"/>
          <w:tab w:pos="1762" w:val="left" w:leader="none"/>
        </w:tabs>
        <w:spacing w:line="206" w:lineRule="auto" w:before="117" w:after="0"/>
        <w:ind w:left="1761" w:right="1318" w:hanging="794"/>
        <w:jc w:val="left"/>
        <w:rPr>
          <w:sz w:val="20"/>
        </w:rPr>
      </w:pPr>
      <w:r>
        <w:rPr>
          <w:sz w:val="20"/>
        </w:rPr>
        <w:t>The factors the judge may consider in deciding whether reasonable adjustments can be</w:t>
      </w:r>
      <w:r>
        <w:rPr>
          <w:spacing w:val="-7"/>
          <w:sz w:val="20"/>
        </w:rPr>
        <w:t> </w:t>
      </w:r>
      <w:r>
        <w:rPr>
          <w:sz w:val="20"/>
        </w:rPr>
        <w:t>provided</w:t>
      </w:r>
      <w:r>
        <w:rPr>
          <w:spacing w:val="-7"/>
          <w:sz w:val="20"/>
        </w:rPr>
        <w:t> </w:t>
      </w:r>
      <w:r>
        <w:rPr>
          <w:sz w:val="20"/>
        </w:rPr>
        <w:t>should</w:t>
      </w:r>
      <w:r>
        <w:rPr>
          <w:spacing w:val="-6"/>
          <w:sz w:val="20"/>
        </w:rPr>
        <w:t> </w:t>
      </w:r>
      <w:r>
        <w:rPr>
          <w:sz w:val="20"/>
        </w:rPr>
        <w:t>be</w:t>
      </w:r>
      <w:r>
        <w:rPr>
          <w:spacing w:val="-7"/>
          <w:sz w:val="20"/>
        </w:rPr>
        <w:t> </w:t>
      </w:r>
      <w:r>
        <w:rPr>
          <w:sz w:val="20"/>
        </w:rPr>
        <w:t>listed</w:t>
      </w:r>
      <w:r>
        <w:rPr>
          <w:spacing w:val="-7"/>
          <w:sz w:val="20"/>
        </w:rPr>
        <w:t> </w:t>
      </w:r>
      <w:r>
        <w:rPr>
          <w:sz w:val="20"/>
        </w:rPr>
        <w:t>in</w:t>
      </w:r>
      <w:r>
        <w:rPr>
          <w:spacing w:val="-6"/>
          <w:sz w:val="20"/>
        </w:rPr>
        <w:t> </w:t>
      </w:r>
      <w:r>
        <w:rPr>
          <w:sz w:val="20"/>
        </w:rPr>
        <w:t>the</w:t>
      </w:r>
      <w:r>
        <w:rPr>
          <w:spacing w:val="-7"/>
          <w:sz w:val="20"/>
        </w:rPr>
        <w:t> </w:t>
      </w:r>
      <w:r>
        <w:rPr>
          <w:sz w:val="20"/>
        </w:rPr>
        <w:t>Act,</w:t>
      </w:r>
      <w:r>
        <w:rPr>
          <w:spacing w:val="-6"/>
          <w:sz w:val="20"/>
        </w:rPr>
        <w:t> </w:t>
      </w:r>
      <w:r>
        <w:rPr>
          <w:sz w:val="20"/>
        </w:rPr>
        <w:t>along</w:t>
      </w:r>
      <w:r>
        <w:rPr>
          <w:spacing w:val="-7"/>
          <w:sz w:val="20"/>
        </w:rPr>
        <w:t> </w:t>
      </w:r>
      <w:r>
        <w:rPr>
          <w:sz w:val="20"/>
        </w:rPr>
        <w:t>with</w:t>
      </w:r>
      <w:r>
        <w:rPr>
          <w:spacing w:val="-7"/>
          <w:sz w:val="20"/>
        </w:rPr>
        <w:t> </w:t>
      </w:r>
      <w:r>
        <w:rPr>
          <w:sz w:val="20"/>
        </w:rPr>
        <w:t>examples</w:t>
      </w:r>
      <w:r>
        <w:rPr>
          <w:spacing w:val="-6"/>
          <w:sz w:val="20"/>
        </w:rPr>
        <w:t> </w:t>
      </w:r>
      <w:r>
        <w:rPr>
          <w:sz w:val="20"/>
        </w:rPr>
        <w:t>of</w:t>
      </w:r>
      <w:r>
        <w:rPr>
          <w:spacing w:val="-7"/>
          <w:sz w:val="20"/>
        </w:rPr>
        <w:t> </w:t>
      </w:r>
      <w:r>
        <w:rPr>
          <w:sz w:val="20"/>
        </w:rPr>
        <w:t>possible</w:t>
      </w:r>
      <w:r>
        <w:rPr>
          <w:spacing w:val="-6"/>
          <w:sz w:val="20"/>
        </w:rPr>
        <w:t> </w:t>
      </w:r>
      <w:r>
        <w:rPr>
          <w:sz w:val="20"/>
        </w:rPr>
        <w:t>adjustments.</w:t>
      </w:r>
    </w:p>
    <w:p>
      <w:pPr>
        <w:pStyle w:val="ListParagraph"/>
        <w:numPr>
          <w:ilvl w:val="1"/>
          <w:numId w:val="7"/>
        </w:numPr>
        <w:tabs>
          <w:tab w:pos="1761" w:val="left" w:leader="none"/>
          <w:tab w:pos="1762" w:val="left" w:leader="none"/>
        </w:tabs>
        <w:spacing w:line="206" w:lineRule="auto" w:before="116" w:after="0"/>
        <w:ind w:left="1761" w:right="1354" w:hanging="794"/>
        <w:jc w:val="left"/>
        <w:rPr>
          <w:sz w:val="20"/>
        </w:rPr>
      </w:pPr>
      <w:r>
        <w:rPr>
          <w:sz w:val="20"/>
        </w:rPr>
        <w:t>The Act should limit the 13th person rule to enable Auslan interpreters and support persons</w:t>
      </w:r>
      <w:r>
        <w:rPr>
          <w:spacing w:val="-6"/>
          <w:sz w:val="20"/>
        </w:rPr>
        <w:t> </w:t>
      </w:r>
      <w:r>
        <w:rPr>
          <w:sz w:val="20"/>
        </w:rPr>
        <w:t>to</w:t>
      </w:r>
      <w:r>
        <w:rPr>
          <w:spacing w:val="-6"/>
          <w:sz w:val="20"/>
        </w:rPr>
        <w:t> </w:t>
      </w:r>
      <w:r>
        <w:rPr>
          <w:sz w:val="20"/>
        </w:rPr>
        <w:t>work</w:t>
      </w:r>
      <w:r>
        <w:rPr>
          <w:spacing w:val="-6"/>
          <w:sz w:val="20"/>
        </w:rPr>
        <w:t> </w:t>
      </w:r>
      <w:r>
        <w:rPr>
          <w:sz w:val="20"/>
        </w:rPr>
        <w:t>alongside</w:t>
      </w:r>
      <w:r>
        <w:rPr>
          <w:spacing w:val="-6"/>
          <w:sz w:val="20"/>
        </w:rPr>
        <w:t> </w:t>
      </w:r>
      <w:r>
        <w:rPr>
          <w:sz w:val="20"/>
        </w:rPr>
        <w:t>a</w:t>
      </w:r>
      <w:r>
        <w:rPr>
          <w:spacing w:val="-6"/>
          <w:sz w:val="20"/>
        </w:rPr>
        <w:t> </w:t>
      </w:r>
      <w:r>
        <w:rPr>
          <w:sz w:val="20"/>
        </w:rPr>
        <w:t>juror</w:t>
      </w:r>
      <w:r>
        <w:rPr>
          <w:spacing w:val="-6"/>
          <w:sz w:val="20"/>
        </w:rPr>
        <w:t> </w:t>
      </w:r>
      <w:r>
        <w:rPr>
          <w:sz w:val="20"/>
        </w:rPr>
        <w:t>in</w:t>
      </w:r>
      <w:r>
        <w:rPr>
          <w:spacing w:val="-6"/>
          <w:sz w:val="20"/>
        </w:rPr>
        <w:t> </w:t>
      </w:r>
      <w:r>
        <w:rPr>
          <w:sz w:val="20"/>
        </w:rPr>
        <w:t>the</w:t>
      </w:r>
      <w:r>
        <w:rPr>
          <w:spacing w:val="-5"/>
          <w:sz w:val="20"/>
        </w:rPr>
        <w:t> </w:t>
      </w:r>
      <w:r>
        <w:rPr>
          <w:sz w:val="20"/>
        </w:rPr>
        <w:t>jury</w:t>
      </w:r>
      <w:r>
        <w:rPr>
          <w:spacing w:val="-6"/>
          <w:sz w:val="20"/>
        </w:rPr>
        <w:t> </w:t>
      </w:r>
      <w:r>
        <w:rPr>
          <w:sz w:val="20"/>
        </w:rPr>
        <w:t>room,</w:t>
      </w:r>
      <w:r>
        <w:rPr>
          <w:spacing w:val="-6"/>
          <w:sz w:val="20"/>
        </w:rPr>
        <w:t> </w:t>
      </w:r>
      <w:r>
        <w:rPr>
          <w:sz w:val="20"/>
        </w:rPr>
        <w:t>subject</w:t>
      </w:r>
      <w:r>
        <w:rPr>
          <w:spacing w:val="-6"/>
          <w:sz w:val="20"/>
        </w:rPr>
        <w:t> </w:t>
      </w:r>
      <w:r>
        <w:rPr>
          <w:sz w:val="20"/>
        </w:rPr>
        <w:t>to</w:t>
      </w:r>
      <w:r>
        <w:rPr>
          <w:spacing w:val="-6"/>
          <w:sz w:val="20"/>
        </w:rPr>
        <w:t> </w:t>
      </w:r>
      <w:r>
        <w:rPr>
          <w:sz w:val="20"/>
        </w:rPr>
        <w:t>safeguards</w:t>
      </w:r>
      <w:r>
        <w:rPr>
          <w:spacing w:val="-6"/>
          <w:sz w:val="20"/>
        </w:rPr>
        <w:t> </w:t>
      </w:r>
      <w:r>
        <w:rPr>
          <w:sz w:val="20"/>
        </w:rPr>
        <w:t>including</w:t>
      </w:r>
      <w:r>
        <w:rPr>
          <w:spacing w:val="-6"/>
          <w:sz w:val="20"/>
        </w:rPr>
        <w:t> </w:t>
      </w:r>
      <w:r>
        <w:rPr>
          <w:sz w:val="20"/>
        </w:rPr>
        <w:t>an oath taken </w:t>
      </w:r>
      <w:r>
        <w:rPr>
          <w:spacing w:val="-3"/>
          <w:sz w:val="20"/>
        </w:rPr>
        <w:t>by </w:t>
      </w:r>
      <w:r>
        <w:rPr>
          <w:sz w:val="20"/>
        </w:rPr>
        <w:t>Auslan interpreters or a support person to maintain confidentiality, not participate in or disclose deliberations and to interpret</w:t>
      </w:r>
      <w:r>
        <w:rPr>
          <w:spacing w:val="-24"/>
          <w:sz w:val="20"/>
        </w:rPr>
        <w:t> </w:t>
      </w:r>
      <w:r>
        <w:rPr>
          <w:spacing w:val="-3"/>
          <w:sz w:val="20"/>
        </w:rPr>
        <w:t>truthfully.</w:t>
      </w:r>
    </w:p>
    <w:p>
      <w:pPr>
        <w:spacing w:before="157"/>
        <w:ind w:left="967" w:right="0" w:firstLine="0"/>
        <w:jc w:val="left"/>
        <w:rPr>
          <w:b/>
          <w:sz w:val="24"/>
        </w:rPr>
      </w:pPr>
      <w:r>
        <w:rPr>
          <w:b/>
          <w:sz w:val="24"/>
        </w:rPr>
        <w:t>Changes to the practices and procedures of Juries Victoria and the courts</w:t>
      </w:r>
    </w:p>
    <w:p>
      <w:pPr>
        <w:pStyle w:val="ListParagraph"/>
        <w:numPr>
          <w:ilvl w:val="1"/>
          <w:numId w:val="7"/>
        </w:numPr>
        <w:tabs>
          <w:tab w:pos="1761" w:val="left" w:leader="none"/>
          <w:tab w:pos="1762" w:val="left" w:leader="none"/>
        </w:tabs>
        <w:spacing w:line="206" w:lineRule="auto" w:before="127" w:after="0"/>
        <w:ind w:left="1761" w:right="1232" w:hanging="794"/>
        <w:jc w:val="left"/>
        <w:rPr>
          <w:sz w:val="20"/>
        </w:rPr>
      </w:pPr>
      <w:r>
        <w:rPr>
          <w:spacing w:val="-6"/>
          <w:sz w:val="20"/>
        </w:rPr>
        <w:t>We </w:t>
      </w:r>
      <w:r>
        <w:rPr>
          <w:spacing w:val="-3"/>
          <w:sz w:val="20"/>
        </w:rPr>
        <w:t>have </w:t>
      </w:r>
      <w:r>
        <w:rPr>
          <w:sz w:val="20"/>
        </w:rPr>
        <w:t>accepted the suggestion that the Commission should ‘outline </w:t>
      </w:r>
      <w:r>
        <w:rPr>
          <w:spacing w:val="-4"/>
          <w:sz w:val="20"/>
        </w:rPr>
        <w:t>clearly, </w:t>
      </w:r>
      <w:r>
        <w:rPr>
          <w:sz w:val="20"/>
        </w:rPr>
        <w:t>in a very</w:t>
      </w:r>
      <w:r>
        <w:rPr>
          <w:spacing w:val="-4"/>
          <w:sz w:val="20"/>
        </w:rPr>
        <w:t> </w:t>
      </w:r>
      <w:r>
        <w:rPr>
          <w:sz w:val="20"/>
        </w:rPr>
        <w:t>practical</w:t>
      </w:r>
      <w:r>
        <w:rPr>
          <w:spacing w:val="-4"/>
          <w:sz w:val="20"/>
        </w:rPr>
        <w:t> </w:t>
      </w:r>
      <w:r>
        <w:rPr>
          <w:spacing w:val="-3"/>
          <w:sz w:val="20"/>
        </w:rPr>
        <w:t>way’</w:t>
      </w:r>
      <w:r>
        <w:rPr>
          <w:spacing w:val="-4"/>
          <w:sz w:val="20"/>
        </w:rPr>
        <w:t> </w:t>
      </w:r>
      <w:r>
        <w:rPr>
          <w:sz w:val="20"/>
        </w:rPr>
        <w:t>how</w:t>
      </w:r>
      <w:r>
        <w:rPr>
          <w:spacing w:val="-3"/>
          <w:sz w:val="20"/>
        </w:rPr>
        <w:t> </w:t>
      </w:r>
      <w:r>
        <w:rPr>
          <w:sz w:val="20"/>
        </w:rPr>
        <w:t>change</w:t>
      </w:r>
      <w:r>
        <w:rPr>
          <w:spacing w:val="-4"/>
          <w:sz w:val="20"/>
        </w:rPr>
        <w:t> </w:t>
      </w:r>
      <w:r>
        <w:rPr>
          <w:sz w:val="20"/>
        </w:rPr>
        <w:t>can</w:t>
      </w:r>
      <w:r>
        <w:rPr>
          <w:spacing w:val="-4"/>
          <w:sz w:val="20"/>
        </w:rPr>
        <w:t> </w:t>
      </w:r>
      <w:r>
        <w:rPr>
          <w:spacing w:val="-3"/>
          <w:sz w:val="20"/>
        </w:rPr>
        <w:t>occur.</w:t>
      </w:r>
      <w:r>
        <w:rPr>
          <w:spacing w:val="-3"/>
          <w:position w:val="7"/>
          <w:sz w:val="11"/>
        </w:rPr>
        <w:t>8</w:t>
      </w:r>
      <w:r>
        <w:rPr>
          <w:spacing w:val="21"/>
          <w:position w:val="7"/>
          <w:sz w:val="11"/>
        </w:rPr>
        <w:t> </w:t>
      </w:r>
      <w:r>
        <w:rPr>
          <w:sz w:val="20"/>
        </w:rPr>
        <w:t>The</w:t>
      </w:r>
      <w:r>
        <w:rPr>
          <w:spacing w:val="-4"/>
          <w:sz w:val="20"/>
        </w:rPr>
        <w:t> </w:t>
      </w:r>
      <w:r>
        <w:rPr>
          <w:sz w:val="20"/>
        </w:rPr>
        <w:t>recommendations</w:t>
      </w:r>
      <w:r>
        <w:rPr>
          <w:spacing w:val="-4"/>
          <w:sz w:val="20"/>
        </w:rPr>
        <w:t> </w:t>
      </w:r>
      <w:r>
        <w:rPr>
          <w:sz w:val="20"/>
        </w:rPr>
        <w:t>in</w:t>
      </w:r>
      <w:r>
        <w:rPr>
          <w:spacing w:val="-4"/>
          <w:sz w:val="20"/>
        </w:rPr>
        <w:t> </w:t>
      </w:r>
      <w:r>
        <w:rPr>
          <w:sz w:val="20"/>
        </w:rPr>
        <w:t>this</w:t>
      </w:r>
      <w:r>
        <w:rPr>
          <w:spacing w:val="-3"/>
          <w:sz w:val="20"/>
        </w:rPr>
        <w:t> </w:t>
      </w:r>
      <w:r>
        <w:rPr>
          <w:sz w:val="20"/>
        </w:rPr>
        <w:t>report</w:t>
      </w:r>
      <w:r>
        <w:rPr>
          <w:spacing w:val="-4"/>
          <w:sz w:val="20"/>
        </w:rPr>
        <w:t> </w:t>
      </w:r>
      <w:r>
        <w:rPr>
          <w:sz w:val="20"/>
        </w:rPr>
        <w:t>aim</w:t>
      </w:r>
      <w:r>
        <w:rPr>
          <w:spacing w:val="-4"/>
          <w:sz w:val="20"/>
        </w:rPr>
        <w:t> </w:t>
      </w:r>
      <w:r>
        <w:rPr>
          <w:sz w:val="20"/>
        </w:rPr>
        <w:t>to provide a practical road map for change from the start of the jury selection process to trial.</w:t>
      </w:r>
    </w:p>
    <w:p>
      <w:pPr>
        <w:pStyle w:val="ListParagraph"/>
        <w:numPr>
          <w:ilvl w:val="1"/>
          <w:numId w:val="7"/>
        </w:numPr>
        <w:tabs>
          <w:tab w:pos="1761" w:val="left" w:leader="none"/>
          <w:tab w:pos="1762" w:val="left" w:leader="none"/>
        </w:tabs>
        <w:spacing w:line="206" w:lineRule="auto" w:before="119" w:after="0"/>
        <w:ind w:left="1761" w:right="1484" w:hanging="794"/>
        <w:jc w:val="left"/>
        <w:rPr>
          <w:sz w:val="20"/>
        </w:rPr>
      </w:pPr>
      <w:r>
        <w:rPr>
          <w:sz w:val="20"/>
        </w:rPr>
        <w:t>The finer details of implementation will need to be settled </w:t>
      </w:r>
      <w:r>
        <w:rPr>
          <w:spacing w:val="-3"/>
          <w:sz w:val="20"/>
        </w:rPr>
        <w:t>by </w:t>
      </w:r>
      <w:r>
        <w:rPr>
          <w:sz w:val="20"/>
        </w:rPr>
        <w:t>the courts and Juries Victoria. They will need to work together to put the new provisions of the Act into practice.</w:t>
      </w:r>
      <w:r>
        <w:rPr>
          <w:spacing w:val="-7"/>
          <w:sz w:val="20"/>
        </w:rPr>
        <w:t> </w:t>
      </w:r>
      <w:r>
        <w:rPr>
          <w:sz w:val="20"/>
        </w:rPr>
        <w:t>The</w:t>
      </w:r>
      <w:r>
        <w:rPr>
          <w:spacing w:val="-6"/>
          <w:sz w:val="20"/>
        </w:rPr>
        <w:t> </w:t>
      </w:r>
      <w:r>
        <w:rPr>
          <w:sz w:val="20"/>
        </w:rPr>
        <w:t>aim</w:t>
      </w:r>
      <w:r>
        <w:rPr>
          <w:spacing w:val="-6"/>
          <w:sz w:val="20"/>
        </w:rPr>
        <w:t> </w:t>
      </w:r>
      <w:r>
        <w:rPr>
          <w:sz w:val="20"/>
        </w:rPr>
        <w:t>is</w:t>
      </w:r>
      <w:r>
        <w:rPr>
          <w:spacing w:val="-6"/>
          <w:sz w:val="20"/>
        </w:rPr>
        <w:t> </w:t>
      </w:r>
      <w:r>
        <w:rPr>
          <w:sz w:val="20"/>
        </w:rPr>
        <w:t>to</w:t>
      </w:r>
      <w:r>
        <w:rPr>
          <w:spacing w:val="-7"/>
          <w:sz w:val="20"/>
        </w:rPr>
        <w:t> </w:t>
      </w:r>
      <w:r>
        <w:rPr>
          <w:sz w:val="20"/>
        </w:rPr>
        <w:t>ensure</w:t>
      </w:r>
      <w:r>
        <w:rPr>
          <w:spacing w:val="-6"/>
          <w:sz w:val="20"/>
        </w:rPr>
        <w:t> </w:t>
      </w:r>
      <w:r>
        <w:rPr>
          <w:sz w:val="20"/>
        </w:rPr>
        <w:t>that,</w:t>
      </w:r>
      <w:r>
        <w:rPr>
          <w:spacing w:val="-6"/>
          <w:sz w:val="20"/>
        </w:rPr>
        <w:t> </w:t>
      </w:r>
      <w:r>
        <w:rPr>
          <w:sz w:val="20"/>
        </w:rPr>
        <w:t>as</w:t>
      </w:r>
      <w:r>
        <w:rPr>
          <w:spacing w:val="-6"/>
          <w:sz w:val="20"/>
        </w:rPr>
        <w:t> </w:t>
      </w:r>
      <w:r>
        <w:rPr>
          <w:sz w:val="20"/>
        </w:rPr>
        <w:t>recommended</w:t>
      </w:r>
      <w:r>
        <w:rPr>
          <w:spacing w:val="-7"/>
          <w:sz w:val="20"/>
        </w:rPr>
        <w:t> </w:t>
      </w:r>
      <w:r>
        <w:rPr>
          <w:spacing w:val="-3"/>
          <w:sz w:val="20"/>
        </w:rPr>
        <w:t>by</w:t>
      </w:r>
      <w:r>
        <w:rPr>
          <w:spacing w:val="-6"/>
          <w:sz w:val="20"/>
        </w:rPr>
        <w:t> </w:t>
      </w:r>
      <w:r>
        <w:rPr>
          <w:sz w:val="20"/>
        </w:rPr>
        <w:t>the</w:t>
      </w:r>
      <w:r>
        <w:rPr>
          <w:spacing w:val="-6"/>
          <w:sz w:val="20"/>
        </w:rPr>
        <w:t> </w:t>
      </w:r>
      <w:r>
        <w:rPr>
          <w:sz w:val="20"/>
        </w:rPr>
        <w:t>Convention</w:t>
      </w:r>
      <w:r>
        <w:rPr>
          <w:spacing w:val="-6"/>
          <w:sz w:val="20"/>
        </w:rPr>
        <w:t> </w:t>
      </w:r>
      <w:r>
        <w:rPr>
          <w:sz w:val="20"/>
        </w:rPr>
        <w:t>Committee:</w:t>
      </w:r>
    </w:p>
    <w:p>
      <w:pPr>
        <w:spacing w:line="208" w:lineRule="auto" w:before="114"/>
        <w:ind w:left="2157" w:right="1444" w:firstLine="0"/>
        <w:jc w:val="left"/>
        <w:rPr>
          <w:sz w:val="11"/>
        </w:rPr>
      </w:pPr>
      <w:r>
        <w:rPr>
          <w:sz w:val="19"/>
        </w:rPr>
        <w:t>every time a person with disabilities is summoned to perform jury duty, a thorough, objective and comprehensive assessment of [their] request for adjustment is carried out and all reasonable accommodation is duly provided to enable [their] full participation.</w:t>
      </w:r>
      <w:r>
        <w:rPr>
          <w:position w:val="6"/>
          <w:sz w:val="11"/>
        </w:rPr>
        <w:t>9</w:t>
      </w:r>
    </w:p>
    <w:p>
      <w:pPr>
        <w:pStyle w:val="Heading6"/>
        <w:rPr>
          <w:b/>
        </w:rPr>
      </w:pPr>
      <w:r>
        <w:rPr>
          <w:b/>
        </w:rPr>
        <w:t>The role of Juries Victoria</w:t>
      </w:r>
    </w:p>
    <w:p>
      <w:pPr>
        <w:pStyle w:val="ListParagraph"/>
        <w:numPr>
          <w:ilvl w:val="1"/>
          <w:numId w:val="7"/>
        </w:numPr>
        <w:tabs>
          <w:tab w:pos="1761" w:val="left" w:leader="none"/>
          <w:tab w:pos="1762" w:val="left" w:leader="none"/>
        </w:tabs>
        <w:spacing w:line="206" w:lineRule="auto" w:before="131" w:after="0"/>
        <w:ind w:left="1761" w:right="2258" w:hanging="794"/>
        <w:jc w:val="left"/>
        <w:rPr>
          <w:sz w:val="20"/>
        </w:rPr>
      </w:pPr>
      <w:r>
        <w:rPr>
          <w:sz w:val="20"/>
        </w:rPr>
        <w:t>Juries</w:t>
      </w:r>
      <w:r>
        <w:rPr>
          <w:spacing w:val="-8"/>
          <w:sz w:val="20"/>
        </w:rPr>
        <w:t> </w:t>
      </w:r>
      <w:r>
        <w:rPr>
          <w:sz w:val="20"/>
        </w:rPr>
        <w:t>Victoria</w:t>
      </w:r>
      <w:r>
        <w:rPr>
          <w:spacing w:val="-7"/>
          <w:sz w:val="20"/>
        </w:rPr>
        <w:t> </w:t>
      </w:r>
      <w:r>
        <w:rPr>
          <w:sz w:val="20"/>
        </w:rPr>
        <w:t>should</w:t>
      </w:r>
      <w:r>
        <w:rPr>
          <w:spacing w:val="-7"/>
          <w:sz w:val="20"/>
        </w:rPr>
        <w:t> </w:t>
      </w:r>
      <w:r>
        <w:rPr>
          <w:sz w:val="20"/>
        </w:rPr>
        <w:t>take</w:t>
      </w:r>
      <w:r>
        <w:rPr>
          <w:spacing w:val="-7"/>
          <w:sz w:val="20"/>
        </w:rPr>
        <w:t> </w:t>
      </w:r>
      <w:r>
        <w:rPr>
          <w:sz w:val="20"/>
        </w:rPr>
        <w:t>the</w:t>
      </w:r>
      <w:r>
        <w:rPr>
          <w:spacing w:val="-8"/>
          <w:sz w:val="20"/>
        </w:rPr>
        <w:t> </w:t>
      </w:r>
      <w:r>
        <w:rPr>
          <w:sz w:val="20"/>
        </w:rPr>
        <w:t>lead</w:t>
      </w:r>
      <w:r>
        <w:rPr>
          <w:spacing w:val="-7"/>
          <w:sz w:val="20"/>
        </w:rPr>
        <w:t> </w:t>
      </w:r>
      <w:r>
        <w:rPr>
          <w:sz w:val="20"/>
        </w:rPr>
        <w:t>in</w:t>
      </w:r>
      <w:r>
        <w:rPr>
          <w:spacing w:val="-7"/>
          <w:sz w:val="20"/>
        </w:rPr>
        <w:t> </w:t>
      </w:r>
      <w:r>
        <w:rPr>
          <w:sz w:val="20"/>
        </w:rPr>
        <w:t>arranging</w:t>
      </w:r>
      <w:r>
        <w:rPr>
          <w:spacing w:val="-7"/>
          <w:sz w:val="20"/>
        </w:rPr>
        <w:t> </w:t>
      </w:r>
      <w:r>
        <w:rPr>
          <w:sz w:val="20"/>
        </w:rPr>
        <w:t>the</w:t>
      </w:r>
      <w:r>
        <w:rPr>
          <w:spacing w:val="-7"/>
          <w:sz w:val="20"/>
        </w:rPr>
        <w:t> </w:t>
      </w:r>
      <w:r>
        <w:rPr>
          <w:sz w:val="20"/>
        </w:rPr>
        <w:t>provision</w:t>
      </w:r>
      <w:r>
        <w:rPr>
          <w:spacing w:val="-8"/>
          <w:sz w:val="20"/>
        </w:rPr>
        <w:t> </w:t>
      </w:r>
      <w:r>
        <w:rPr>
          <w:sz w:val="20"/>
        </w:rPr>
        <w:t>of</w:t>
      </w:r>
      <w:r>
        <w:rPr>
          <w:spacing w:val="-7"/>
          <w:sz w:val="20"/>
        </w:rPr>
        <w:t> </w:t>
      </w:r>
      <w:r>
        <w:rPr>
          <w:sz w:val="20"/>
        </w:rPr>
        <w:t>reasonable adjustments.</w:t>
      </w:r>
    </w:p>
    <w:p>
      <w:pPr>
        <w:pStyle w:val="ListParagraph"/>
        <w:numPr>
          <w:ilvl w:val="1"/>
          <w:numId w:val="7"/>
        </w:numPr>
        <w:tabs>
          <w:tab w:pos="1761" w:val="left" w:leader="none"/>
          <w:tab w:pos="1762" w:val="left" w:leader="none"/>
        </w:tabs>
        <w:spacing w:line="206" w:lineRule="auto" w:before="116" w:after="0"/>
        <w:ind w:left="1761" w:right="1430" w:hanging="794"/>
        <w:jc w:val="left"/>
        <w:rPr>
          <w:sz w:val="20"/>
        </w:rPr>
      </w:pPr>
      <w:r>
        <w:rPr>
          <w:sz w:val="20"/>
        </w:rPr>
        <w:t>The jury eligibility form should ask people to identify if they require reasonable adjustments</w:t>
      </w:r>
      <w:r>
        <w:rPr>
          <w:spacing w:val="-5"/>
          <w:sz w:val="20"/>
        </w:rPr>
        <w:t> </w:t>
      </w:r>
      <w:r>
        <w:rPr>
          <w:sz w:val="20"/>
        </w:rPr>
        <w:t>in</w:t>
      </w:r>
      <w:r>
        <w:rPr>
          <w:spacing w:val="-5"/>
          <w:sz w:val="20"/>
        </w:rPr>
        <w:t> </w:t>
      </w:r>
      <w:r>
        <w:rPr>
          <w:sz w:val="20"/>
        </w:rPr>
        <w:t>order</w:t>
      </w:r>
      <w:r>
        <w:rPr>
          <w:spacing w:val="-5"/>
          <w:sz w:val="20"/>
        </w:rPr>
        <w:t> </w:t>
      </w:r>
      <w:r>
        <w:rPr>
          <w:sz w:val="20"/>
        </w:rPr>
        <w:t>to</w:t>
      </w:r>
      <w:r>
        <w:rPr>
          <w:spacing w:val="-5"/>
          <w:sz w:val="20"/>
        </w:rPr>
        <w:t> </w:t>
      </w:r>
      <w:r>
        <w:rPr>
          <w:sz w:val="20"/>
        </w:rPr>
        <w:t>serve</w:t>
      </w:r>
      <w:r>
        <w:rPr>
          <w:spacing w:val="-5"/>
          <w:sz w:val="20"/>
        </w:rPr>
        <w:t> </w:t>
      </w:r>
      <w:r>
        <w:rPr>
          <w:sz w:val="20"/>
        </w:rPr>
        <w:t>as</w:t>
      </w:r>
      <w:r>
        <w:rPr>
          <w:spacing w:val="-5"/>
          <w:sz w:val="20"/>
        </w:rPr>
        <w:t> </w:t>
      </w:r>
      <w:r>
        <w:rPr>
          <w:sz w:val="20"/>
        </w:rPr>
        <w:t>a</w:t>
      </w:r>
      <w:r>
        <w:rPr>
          <w:spacing w:val="-5"/>
          <w:sz w:val="20"/>
        </w:rPr>
        <w:t> </w:t>
      </w:r>
      <w:r>
        <w:rPr>
          <w:spacing w:val="-3"/>
          <w:sz w:val="20"/>
        </w:rPr>
        <w:t>juror.</w:t>
      </w:r>
      <w:r>
        <w:rPr>
          <w:spacing w:val="-5"/>
          <w:sz w:val="20"/>
        </w:rPr>
        <w:t> </w:t>
      </w:r>
      <w:r>
        <w:rPr>
          <w:sz w:val="20"/>
        </w:rPr>
        <w:t>Juries</w:t>
      </w:r>
      <w:r>
        <w:rPr>
          <w:spacing w:val="-5"/>
          <w:sz w:val="20"/>
        </w:rPr>
        <w:t> </w:t>
      </w:r>
      <w:r>
        <w:rPr>
          <w:sz w:val="20"/>
        </w:rPr>
        <w:t>Victoria</w:t>
      </w:r>
      <w:r>
        <w:rPr>
          <w:spacing w:val="-5"/>
          <w:sz w:val="20"/>
        </w:rPr>
        <w:t> </w:t>
      </w:r>
      <w:r>
        <w:rPr>
          <w:sz w:val="20"/>
        </w:rPr>
        <w:t>should</w:t>
      </w:r>
      <w:r>
        <w:rPr>
          <w:spacing w:val="-5"/>
          <w:sz w:val="20"/>
        </w:rPr>
        <w:t> </w:t>
      </w:r>
      <w:r>
        <w:rPr>
          <w:spacing w:val="-3"/>
          <w:sz w:val="20"/>
        </w:rPr>
        <w:t>have</w:t>
      </w:r>
      <w:r>
        <w:rPr>
          <w:spacing w:val="-5"/>
          <w:sz w:val="20"/>
        </w:rPr>
        <w:t> </w:t>
      </w:r>
      <w:r>
        <w:rPr>
          <w:sz w:val="20"/>
        </w:rPr>
        <w:t>early</w:t>
      </w:r>
      <w:r>
        <w:rPr>
          <w:spacing w:val="-5"/>
          <w:sz w:val="20"/>
        </w:rPr>
        <w:t> </w:t>
      </w:r>
      <w:r>
        <w:rPr>
          <w:sz w:val="20"/>
        </w:rPr>
        <w:t>discussions with the potential juror about these adjustments and what will be expected of them as a </w:t>
      </w:r>
      <w:r>
        <w:rPr>
          <w:spacing w:val="-3"/>
          <w:sz w:val="20"/>
        </w:rPr>
        <w:t>juror. </w:t>
      </w:r>
      <w:r>
        <w:rPr>
          <w:sz w:val="20"/>
        </w:rPr>
        <w:t>Potential jurors should be able to visit the court ahead of the summons date to discuss adjustments and to familiarise themselves with the court layout and accessibility.</w:t>
      </w:r>
    </w:p>
    <w:p>
      <w:pPr>
        <w:pStyle w:val="BodyText"/>
      </w:pPr>
    </w:p>
    <w:p>
      <w:pPr>
        <w:pStyle w:val="BodyText"/>
      </w:pPr>
    </w:p>
    <w:p>
      <w:pPr>
        <w:pStyle w:val="BodyText"/>
      </w:pPr>
    </w:p>
    <w:p>
      <w:pPr>
        <w:pStyle w:val="BodyText"/>
        <w:spacing w:before="12"/>
        <w:rPr>
          <w:sz w:val="10"/>
        </w:rPr>
      </w:pPr>
      <w:r>
        <w:rPr/>
        <w:pict>
          <v:line style="position:absolute;mso-position-horizontal-relative:page;mso-position-vertical-relative:paragraph;z-index:-544;mso-wrap-distance-left:0;mso-wrap-distance-right:0" from="79.370102pt,10.03262pt" to="515.905102pt,10.03262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8"/>
        </w:numPr>
        <w:tabs>
          <w:tab w:pos="1760" w:val="left" w:leader="none"/>
          <w:tab w:pos="1762" w:val="left" w:leader="none"/>
        </w:tabs>
        <w:spacing w:line="170" w:lineRule="exact" w:before="21" w:after="0"/>
        <w:ind w:left="1761" w:right="0" w:hanging="794"/>
        <w:jc w:val="left"/>
        <w:rPr>
          <w:sz w:val="13"/>
        </w:rPr>
      </w:pPr>
      <w:r>
        <w:rPr>
          <w:sz w:val="13"/>
        </w:rPr>
        <w:t>Consultation</w:t>
      </w:r>
      <w:r>
        <w:rPr>
          <w:spacing w:val="4"/>
          <w:sz w:val="13"/>
        </w:rPr>
        <w:t> </w:t>
      </w:r>
      <w:r>
        <w:rPr>
          <w:sz w:val="13"/>
        </w:rPr>
        <w:t>9</w:t>
      </w:r>
      <w:r>
        <w:rPr>
          <w:spacing w:val="3"/>
          <w:sz w:val="13"/>
        </w:rPr>
        <w:t> </w:t>
      </w:r>
      <w:r>
        <w:rPr>
          <w:sz w:val="13"/>
        </w:rPr>
        <w:t>(Consultation</w:t>
      </w:r>
      <w:r>
        <w:rPr>
          <w:spacing w:val="4"/>
          <w:sz w:val="13"/>
        </w:rPr>
        <w:t> </w:t>
      </w:r>
      <w:r>
        <w:rPr>
          <w:sz w:val="13"/>
        </w:rPr>
        <w:t>with</w:t>
      </w:r>
      <w:r>
        <w:rPr>
          <w:spacing w:val="4"/>
          <w:sz w:val="13"/>
        </w:rPr>
        <w:t> </w:t>
      </w:r>
      <w:r>
        <w:rPr>
          <w:sz w:val="13"/>
        </w:rPr>
        <w:t>two</w:t>
      </w:r>
      <w:r>
        <w:rPr>
          <w:spacing w:val="4"/>
          <w:sz w:val="13"/>
        </w:rPr>
        <w:t> </w:t>
      </w:r>
      <w:r>
        <w:rPr>
          <w:sz w:val="13"/>
        </w:rPr>
        <w:t>Victorian</w:t>
      </w:r>
      <w:r>
        <w:rPr>
          <w:spacing w:val="4"/>
          <w:sz w:val="13"/>
        </w:rPr>
        <w:t> </w:t>
      </w:r>
      <w:r>
        <w:rPr>
          <w:sz w:val="13"/>
        </w:rPr>
        <w:t>County</w:t>
      </w:r>
      <w:r>
        <w:rPr>
          <w:spacing w:val="4"/>
          <w:sz w:val="13"/>
        </w:rPr>
        <w:t> </w:t>
      </w:r>
      <w:r>
        <w:rPr>
          <w:spacing w:val="2"/>
          <w:sz w:val="13"/>
        </w:rPr>
        <w:t>Court</w:t>
      </w:r>
      <w:r>
        <w:rPr>
          <w:spacing w:val="4"/>
          <w:sz w:val="13"/>
        </w:rPr>
        <w:t> </w:t>
      </w:r>
      <w:r>
        <w:rPr>
          <w:spacing w:val="2"/>
          <w:sz w:val="13"/>
        </w:rPr>
        <w:t>Judges,</w:t>
      </w:r>
      <w:r>
        <w:rPr>
          <w:spacing w:val="4"/>
          <w:sz w:val="13"/>
        </w:rPr>
        <w:t> </w:t>
      </w:r>
      <w:r>
        <w:rPr>
          <w:spacing w:val="2"/>
          <w:sz w:val="13"/>
        </w:rPr>
        <w:t>Court</w:t>
      </w:r>
      <w:r>
        <w:rPr>
          <w:spacing w:val="4"/>
          <w:sz w:val="13"/>
        </w:rPr>
        <w:t> </w:t>
      </w:r>
      <w:r>
        <w:rPr>
          <w:spacing w:val="2"/>
          <w:sz w:val="13"/>
        </w:rPr>
        <w:t>policy</w:t>
      </w:r>
      <w:r>
        <w:rPr>
          <w:spacing w:val="4"/>
          <w:sz w:val="13"/>
        </w:rPr>
        <w:t> </w:t>
      </w:r>
      <w:r>
        <w:rPr>
          <w:sz w:val="13"/>
        </w:rPr>
        <w:t>staff</w:t>
      </w:r>
      <w:r>
        <w:rPr>
          <w:spacing w:val="4"/>
          <w:sz w:val="13"/>
        </w:rPr>
        <w:t> </w:t>
      </w:r>
      <w:r>
        <w:rPr>
          <w:sz w:val="13"/>
        </w:rPr>
        <w:t>and</w:t>
      </w:r>
      <w:r>
        <w:rPr>
          <w:spacing w:val="4"/>
          <w:sz w:val="13"/>
        </w:rPr>
        <w:t> </w:t>
      </w:r>
      <w:r>
        <w:rPr>
          <w:sz w:val="13"/>
        </w:rPr>
        <w:t>two</w:t>
      </w:r>
      <w:r>
        <w:rPr>
          <w:spacing w:val="4"/>
          <w:sz w:val="13"/>
        </w:rPr>
        <w:t> </w:t>
      </w:r>
      <w:r>
        <w:rPr>
          <w:sz w:val="13"/>
        </w:rPr>
        <w:t>Associates).</w:t>
      </w:r>
    </w:p>
    <w:p>
      <w:pPr>
        <w:pStyle w:val="ListParagraph"/>
        <w:numPr>
          <w:ilvl w:val="0"/>
          <w:numId w:val="8"/>
        </w:numPr>
        <w:tabs>
          <w:tab w:pos="1760" w:val="left" w:leader="none"/>
          <w:tab w:pos="1762" w:val="left" w:leader="none"/>
        </w:tabs>
        <w:spacing w:line="213" w:lineRule="auto" w:before="7" w:after="0"/>
        <w:ind w:left="1761" w:right="38" w:hanging="794"/>
        <w:jc w:val="left"/>
        <w:rPr>
          <w:sz w:val="13"/>
        </w:rPr>
      </w:pPr>
      <w:r>
        <w:rPr>
          <w:sz w:val="13"/>
        </w:rPr>
        <w:t>Committee on the Rights of Persons with </w:t>
      </w:r>
      <w:r>
        <w:rPr>
          <w:spacing w:val="2"/>
          <w:sz w:val="13"/>
        </w:rPr>
        <w:t>Disabilities, </w:t>
      </w:r>
      <w:r>
        <w:rPr>
          <w:i/>
          <w:sz w:val="13"/>
        </w:rPr>
        <w:t>Views: Communication No 11/2013, </w:t>
      </w:r>
      <w:r>
        <w:rPr>
          <w:sz w:val="13"/>
        </w:rPr>
        <w:t>15th sess, UN Doc CRPD/ C/15/D/11/2013 (25 May 2016) [9(b)(i)] </w:t>
      </w:r>
      <w:r>
        <w:rPr>
          <w:i/>
          <w:sz w:val="13"/>
        </w:rPr>
        <w:t>(‘Beasley v</w:t>
      </w:r>
      <w:r>
        <w:rPr>
          <w:i/>
          <w:spacing w:val="2"/>
          <w:sz w:val="13"/>
        </w:rPr>
        <w:t> </w:t>
      </w:r>
      <w:r>
        <w:rPr>
          <w:i/>
          <w:sz w:val="13"/>
        </w:rPr>
        <w:t>Australia’)</w:t>
      </w:r>
      <w:r>
        <w:rPr>
          <w:sz w:val="13"/>
        </w:rPr>
        <w:t>.</w:t>
      </w:r>
    </w:p>
    <w:p>
      <w:pPr>
        <w:spacing w:before="218"/>
        <w:ind w:left="967" w:right="0" w:firstLine="0"/>
        <w:jc w:val="left"/>
        <w:rPr>
          <w:b/>
          <w:sz w:val="24"/>
        </w:rPr>
      </w:pPr>
      <w:r>
        <w:rPr/>
        <w:br w:type="column"/>
      </w:r>
      <w:r>
        <w:rPr>
          <w:b/>
          <w:color w:val="37617A"/>
          <w:sz w:val="24"/>
        </w:rPr>
        <w:t>xix</w:t>
      </w:r>
    </w:p>
    <w:p>
      <w:pPr>
        <w:spacing w:after="0"/>
        <w:jc w:val="left"/>
        <w:rPr>
          <w:sz w:val="24"/>
        </w:rPr>
        <w:sectPr>
          <w:type w:val="continuous"/>
          <w:pgSz w:w="11910" w:h="16840"/>
          <w:pgMar w:top="620" w:bottom="280" w:left="620" w:right="380"/>
          <w:cols w:num="2" w:equalWidth="0">
            <w:col w:w="8784" w:space="583"/>
            <w:col w:w="1543"/>
          </w:cols>
        </w:sectPr>
      </w:pPr>
    </w:p>
    <w:p>
      <w:pPr>
        <w:pStyle w:val="BodyText"/>
        <w:rPr>
          <w:b/>
        </w:rPr>
      </w:pPr>
    </w:p>
    <w:p>
      <w:pPr>
        <w:pStyle w:val="BodyText"/>
        <w:rPr>
          <w:b/>
        </w:rPr>
      </w:pPr>
    </w:p>
    <w:p>
      <w:pPr>
        <w:pStyle w:val="BodyText"/>
        <w:rPr>
          <w:b/>
        </w:rPr>
      </w:pPr>
    </w:p>
    <w:p>
      <w:pPr>
        <w:pStyle w:val="BodyText"/>
        <w:spacing w:before="13"/>
        <w:rPr>
          <w:b/>
          <w:sz w:val="12"/>
        </w:rPr>
      </w:pPr>
    </w:p>
    <w:p>
      <w:pPr>
        <w:pStyle w:val="ListParagraph"/>
        <w:numPr>
          <w:ilvl w:val="0"/>
          <w:numId w:val="9"/>
        </w:numPr>
        <w:tabs>
          <w:tab w:pos="1771" w:val="left" w:leader="none"/>
          <w:tab w:pos="1772" w:val="left" w:leader="none"/>
        </w:tabs>
        <w:spacing w:line="206" w:lineRule="auto" w:before="90" w:after="0"/>
        <w:ind w:left="1771" w:right="1271" w:hanging="793"/>
        <w:jc w:val="left"/>
        <w:rPr>
          <w:sz w:val="20"/>
        </w:rPr>
      </w:pPr>
      <w:r>
        <w:rPr>
          <w:sz w:val="20"/>
        </w:rPr>
        <w:t>The Juries Commissioner should make a recommendation to the court as early as practicable about the provision of reasonable adjustments. This recommendation will be</w:t>
      </w:r>
      <w:r>
        <w:rPr>
          <w:spacing w:val="-7"/>
          <w:sz w:val="20"/>
        </w:rPr>
        <w:t> </w:t>
      </w:r>
      <w:r>
        <w:rPr>
          <w:sz w:val="20"/>
        </w:rPr>
        <w:t>guided</w:t>
      </w:r>
      <w:r>
        <w:rPr>
          <w:spacing w:val="-6"/>
          <w:sz w:val="20"/>
        </w:rPr>
        <w:t> </w:t>
      </w:r>
      <w:r>
        <w:rPr>
          <w:spacing w:val="-3"/>
          <w:sz w:val="20"/>
        </w:rPr>
        <w:t>by</w:t>
      </w:r>
      <w:r>
        <w:rPr>
          <w:spacing w:val="-6"/>
          <w:sz w:val="20"/>
        </w:rPr>
        <w:t> </w:t>
      </w:r>
      <w:r>
        <w:rPr>
          <w:sz w:val="20"/>
        </w:rPr>
        <w:t>legislation,</w:t>
      </w:r>
      <w:r>
        <w:rPr>
          <w:spacing w:val="-6"/>
          <w:sz w:val="20"/>
        </w:rPr>
        <w:t> </w:t>
      </w:r>
      <w:r>
        <w:rPr>
          <w:sz w:val="20"/>
        </w:rPr>
        <w:t>and</w:t>
      </w:r>
      <w:r>
        <w:rPr>
          <w:spacing w:val="-6"/>
          <w:sz w:val="20"/>
        </w:rPr>
        <w:t> </w:t>
      </w:r>
      <w:r>
        <w:rPr>
          <w:spacing w:val="-3"/>
          <w:sz w:val="20"/>
        </w:rPr>
        <w:t>by</w:t>
      </w:r>
      <w:r>
        <w:rPr>
          <w:spacing w:val="-6"/>
          <w:sz w:val="20"/>
        </w:rPr>
        <w:t> </w:t>
      </w:r>
      <w:r>
        <w:rPr>
          <w:sz w:val="20"/>
        </w:rPr>
        <w:t>information</w:t>
      </w:r>
      <w:r>
        <w:rPr>
          <w:spacing w:val="-6"/>
          <w:sz w:val="20"/>
        </w:rPr>
        <w:t> </w:t>
      </w:r>
      <w:r>
        <w:rPr>
          <w:sz w:val="20"/>
        </w:rPr>
        <w:t>gathered</w:t>
      </w:r>
      <w:r>
        <w:rPr>
          <w:spacing w:val="-6"/>
          <w:sz w:val="20"/>
        </w:rPr>
        <w:t> </w:t>
      </w:r>
      <w:r>
        <w:rPr>
          <w:sz w:val="20"/>
        </w:rPr>
        <w:t>from</w:t>
      </w:r>
      <w:r>
        <w:rPr>
          <w:spacing w:val="-6"/>
          <w:sz w:val="20"/>
        </w:rPr>
        <w:t> </w:t>
      </w:r>
      <w:r>
        <w:rPr>
          <w:sz w:val="20"/>
        </w:rPr>
        <w:t>the</w:t>
      </w:r>
      <w:r>
        <w:rPr>
          <w:spacing w:val="-6"/>
          <w:sz w:val="20"/>
        </w:rPr>
        <w:t> </w:t>
      </w:r>
      <w:r>
        <w:rPr>
          <w:sz w:val="20"/>
        </w:rPr>
        <w:t>potential</w:t>
      </w:r>
      <w:r>
        <w:rPr>
          <w:spacing w:val="-6"/>
          <w:sz w:val="20"/>
        </w:rPr>
        <w:t> </w:t>
      </w:r>
      <w:r>
        <w:rPr>
          <w:sz w:val="20"/>
        </w:rPr>
        <w:t>juror</w:t>
      </w:r>
      <w:r>
        <w:rPr>
          <w:spacing w:val="-6"/>
          <w:sz w:val="20"/>
        </w:rPr>
        <w:t> </w:t>
      </w:r>
      <w:r>
        <w:rPr>
          <w:sz w:val="20"/>
        </w:rPr>
        <w:t>and</w:t>
      </w:r>
      <w:r>
        <w:rPr>
          <w:spacing w:val="-7"/>
          <w:sz w:val="20"/>
        </w:rPr>
        <w:t> </w:t>
      </w:r>
      <w:r>
        <w:rPr>
          <w:sz w:val="20"/>
        </w:rPr>
        <w:t>the court,</w:t>
      </w:r>
      <w:r>
        <w:rPr>
          <w:spacing w:val="-7"/>
          <w:sz w:val="20"/>
        </w:rPr>
        <w:t> </w:t>
      </w:r>
      <w:r>
        <w:rPr>
          <w:sz w:val="20"/>
        </w:rPr>
        <w:t>as</w:t>
      </w:r>
      <w:r>
        <w:rPr>
          <w:spacing w:val="-7"/>
          <w:sz w:val="20"/>
        </w:rPr>
        <w:t> </w:t>
      </w:r>
      <w:r>
        <w:rPr>
          <w:sz w:val="20"/>
        </w:rPr>
        <w:t>well</w:t>
      </w:r>
      <w:r>
        <w:rPr>
          <w:spacing w:val="-7"/>
          <w:sz w:val="20"/>
        </w:rPr>
        <w:t> </w:t>
      </w:r>
      <w:r>
        <w:rPr>
          <w:sz w:val="20"/>
        </w:rPr>
        <w:t>as</w:t>
      </w:r>
      <w:r>
        <w:rPr>
          <w:spacing w:val="-7"/>
          <w:sz w:val="20"/>
        </w:rPr>
        <w:t> </w:t>
      </w:r>
      <w:r>
        <w:rPr>
          <w:sz w:val="20"/>
        </w:rPr>
        <w:t>information</w:t>
      </w:r>
      <w:r>
        <w:rPr>
          <w:spacing w:val="-7"/>
          <w:sz w:val="20"/>
        </w:rPr>
        <w:t> </w:t>
      </w:r>
      <w:r>
        <w:rPr>
          <w:sz w:val="20"/>
        </w:rPr>
        <w:t>from</w:t>
      </w:r>
      <w:r>
        <w:rPr>
          <w:spacing w:val="-7"/>
          <w:sz w:val="20"/>
        </w:rPr>
        <w:t> </w:t>
      </w:r>
      <w:r>
        <w:rPr>
          <w:sz w:val="20"/>
        </w:rPr>
        <w:t>judges’</w:t>
      </w:r>
      <w:r>
        <w:rPr>
          <w:spacing w:val="-6"/>
          <w:sz w:val="20"/>
        </w:rPr>
        <w:t> </w:t>
      </w:r>
      <w:r>
        <w:rPr>
          <w:sz w:val="20"/>
        </w:rPr>
        <w:t>chambers</w:t>
      </w:r>
      <w:r>
        <w:rPr>
          <w:spacing w:val="-7"/>
          <w:sz w:val="20"/>
        </w:rPr>
        <w:t> </w:t>
      </w:r>
      <w:r>
        <w:rPr>
          <w:sz w:val="20"/>
        </w:rPr>
        <w:t>about</w:t>
      </w:r>
      <w:r>
        <w:rPr>
          <w:spacing w:val="-7"/>
          <w:sz w:val="20"/>
        </w:rPr>
        <w:t> </w:t>
      </w:r>
      <w:r>
        <w:rPr>
          <w:sz w:val="20"/>
        </w:rPr>
        <w:t>evidence</w:t>
      </w:r>
      <w:r>
        <w:rPr>
          <w:spacing w:val="-7"/>
          <w:sz w:val="20"/>
        </w:rPr>
        <w:t> </w:t>
      </w:r>
      <w:r>
        <w:rPr>
          <w:sz w:val="20"/>
        </w:rPr>
        <w:t>that</w:t>
      </w:r>
      <w:r>
        <w:rPr>
          <w:spacing w:val="-7"/>
          <w:sz w:val="20"/>
        </w:rPr>
        <w:t> </w:t>
      </w:r>
      <w:r>
        <w:rPr>
          <w:sz w:val="20"/>
        </w:rPr>
        <w:t>is</w:t>
      </w:r>
      <w:r>
        <w:rPr>
          <w:spacing w:val="-7"/>
          <w:sz w:val="20"/>
        </w:rPr>
        <w:t> </w:t>
      </w:r>
      <w:r>
        <w:rPr>
          <w:sz w:val="20"/>
        </w:rPr>
        <w:t>likely</w:t>
      </w:r>
      <w:r>
        <w:rPr>
          <w:spacing w:val="-6"/>
          <w:sz w:val="20"/>
        </w:rPr>
        <w:t> </w:t>
      </w:r>
      <w:r>
        <w:rPr>
          <w:sz w:val="20"/>
        </w:rPr>
        <w:t>to</w:t>
      </w:r>
      <w:r>
        <w:rPr>
          <w:spacing w:val="-7"/>
          <w:sz w:val="20"/>
        </w:rPr>
        <w:t> </w:t>
      </w:r>
      <w:r>
        <w:rPr>
          <w:sz w:val="20"/>
        </w:rPr>
        <w:t>be material to the outcome of the upcoming</w:t>
      </w:r>
      <w:r>
        <w:rPr>
          <w:spacing w:val="-17"/>
          <w:sz w:val="20"/>
        </w:rPr>
        <w:t> </w:t>
      </w:r>
      <w:r>
        <w:rPr>
          <w:sz w:val="20"/>
        </w:rPr>
        <w:t>trial.</w:t>
      </w:r>
    </w:p>
    <w:p>
      <w:pPr>
        <w:pStyle w:val="ListParagraph"/>
        <w:numPr>
          <w:ilvl w:val="0"/>
          <w:numId w:val="9"/>
        </w:numPr>
        <w:tabs>
          <w:tab w:pos="1771" w:val="left" w:leader="none"/>
          <w:tab w:pos="1772" w:val="left" w:leader="none"/>
        </w:tabs>
        <w:spacing w:line="206" w:lineRule="auto" w:before="120" w:after="0"/>
        <w:ind w:left="1771" w:right="1505" w:hanging="793"/>
        <w:jc w:val="left"/>
        <w:rPr>
          <w:sz w:val="20"/>
        </w:rPr>
      </w:pPr>
      <w:r>
        <w:rPr>
          <w:sz w:val="20"/>
        </w:rPr>
        <w:t>The</w:t>
      </w:r>
      <w:r>
        <w:rPr>
          <w:spacing w:val="-6"/>
          <w:sz w:val="20"/>
        </w:rPr>
        <w:t> </w:t>
      </w:r>
      <w:r>
        <w:rPr>
          <w:sz w:val="20"/>
        </w:rPr>
        <w:t>Juries</w:t>
      </w:r>
      <w:r>
        <w:rPr>
          <w:spacing w:val="-5"/>
          <w:sz w:val="20"/>
        </w:rPr>
        <w:t> </w:t>
      </w:r>
      <w:r>
        <w:rPr>
          <w:sz w:val="20"/>
        </w:rPr>
        <w:t>Commissioner</w:t>
      </w:r>
      <w:r>
        <w:rPr>
          <w:spacing w:val="-5"/>
          <w:sz w:val="20"/>
        </w:rPr>
        <w:t> </w:t>
      </w:r>
      <w:r>
        <w:rPr>
          <w:sz w:val="20"/>
        </w:rPr>
        <w:t>should</w:t>
      </w:r>
      <w:r>
        <w:rPr>
          <w:spacing w:val="-5"/>
          <w:sz w:val="20"/>
        </w:rPr>
        <w:t> </w:t>
      </w:r>
      <w:r>
        <w:rPr>
          <w:spacing w:val="-3"/>
          <w:sz w:val="20"/>
        </w:rPr>
        <w:t>have</w:t>
      </w:r>
      <w:r>
        <w:rPr>
          <w:spacing w:val="-6"/>
          <w:sz w:val="20"/>
        </w:rPr>
        <w:t> </w:t>
      </w:r>
      <w:r>
        <w:rPr>
          <w:sz w:val="20"/>
        </w:rPr>
        <w:t>a</w:t>
      </w:r>
      <w:r>
        <w:rPr>
          <w:spacing w:val="-5"/>
          <w:sz w:val="20"/>
        </w:rPr>
        <w:t> </w:t>
      </w:r>
      <w:r>
        <w:rPr>
          <w:sz w:val="20"/>
        </w:rPr>
        <w:t>new</w:t>
      </w:r>
      <w:r>
        <w:rPr>
          <w:spacing w:val="-5"/>
          <w:sz w:val="20"/>
        </w:rPr>
        <w:t> </w:t>
      </w:r>
      <w:r>
        <w:rPr>
          <w:sz w:val="20"/>
        </w:rPr>
        <w:t>own</w:t>
      </w:r>
      <w:r>
        <w:rPr>
          <w:spacing w:val="-5"/>
          <w:sz w:val="20"/>
        </w:rPr>
        <w:t> </w:t>
      </w:r>
      <w:r>
        <w:rPr>
          <w:sz w:val="20"/>
        </w:rPr>
        <w:t>motion</w:t>
      </w:r>
      <w:r>
        <w:rPr>
          <w:spacing w:val="-6"/>
          <w:sz w:val="20"/>
        </w:rPr>
        <w:t> </w:t>
      </w:r>
      <w:r>
        <w:rPr>
          <w:sz w:val="20"/>
        </w:rPr>
        <w:t>power</w:t>
      </w:r>
      <w:r>
        <w:rPr>
          <w:spacing w:val="-5"/>
          <w:sz w:val="20"/>
        </w:rPr>
        <w:t> </w:t>
      </w:r>
      <w:r>
        <w:rPr>
          <w:sz w:val="20"/>
        </w:rPr>
        <w:t>to</w:t>
      </w:r>
      <w:r>
        <w:rPr>
          <w:spacing w:val="-5"/>
          <w:sz w:val="20"/>
        </w:rPr>
        <w:t> </w:t>
      </w:r>
      <w:r>
        <w:rPr>
          <w:sz w:val="20"/>
        </w:rPr>
        <w:t>defer</w:t>
      </w:r>
      <w:r>
        <w:rPr>
          <w:spacing w:val="-5"/>
          <w:sz w:val="20"/>
        </w:rPr>
        <w:t> </w:t>
      </w:r>
      <w:r>
        <w:rPr>
          <w:sz w:val="20"/>
        </w:rPr>
        <w:t>a</w:t>
      </w:r>
      <w:r>
        <w:rPr>
          <w:spacing w:val="-6"/>
          <w:sz w:val="20"/>
        </w:rPr>
        <w:t> </w:t>
      </w:r>
      <w:r>
        <w:rPr>
          <w:sz w:val="20"/>
        </w:rPr>
        <w:t>person’s jury service, giving Juries Victoria more time to arrange adjustments if needed. </w:t>
      </w:r>
      <w:r>
        <w:rPr>
          <w:spacing w:val="-6"/>
          <w:sz w:val="20"/>
        </w:rPr>
        <w:t>We </w:t>
      </w:r>
      <w:r>
        <w:rPr>
          <w:sz w:val="20"/>
        </w:rPr>
        <w:t>also recommend two new powers for the Juries Commissioner to hold a potential juror’s ballot card out of the pool from which a jury panel is being drawn for a trial, where:</w:t>
      </w:r>
    </w:p>
    <w:p>
      <w:pPr>
        <w:pStyle w:val="ListParagraph"/>
        <w:numPr>
          <w:ilvl w:val="1"/>
          <w:numId w:val="9"/>
        </w:numPr>
        <w:tabs>
          <w:tab w:pos="2168" w:val="left" w:leader="none"/>
          <w:tab w:pos="2169" w:val="left" w:leader="none"/>
        </w:tabs>
        <w:spacing w:line="240" w:lineRule="auto" w:before="87" w:after="0"/>
        <w:ind w:left="2168" w:right="0" w:hanging="397"/>
        <w:jc w:val="left"/>
        <w:rPr>
          <w:sz w:val="20"/>
        </w:rPr>
      </w:pPr>
      <w:r>
        <w:rPr>
          <w:sz w:val="20"/>
        </w:rPr>
        <w:t>the</w:t>
      </w:r>
      <w:r>
        <w:rPr>
          <w:spacing w:val="-5"/>
          <w:sz w:val="20"/>
        </w:rPr>
        <w:t> </w:t>
      </w:r>
      <w:r>
        <w:rPr>
          <w:sz w:val="20"/>
        </w:rPr>
        <w:t>trial</w:t>
      </w:r>
      <w:r>
        <w:rPr>
          <w:spacing w:val="-5"/>
          <w:sz w:val="20"/>
        </w:rPr>
        <w:t> </w:t>
      </w:r>
      <w:r>
        <w:rPr>
          <w:sz w:val="20"/>
        </w:rPr>
        <w:t>will</w:t>
      </w:r>
      <w:r>
        <w:rPr>
          <w:spacing w:val="-5"/>
          <w:sz w:val="20"/>
        </w:rPr>
        <w:t> </w:t>
      </w:r>
      <w:r>
        <w:rPr>
          <w:sz w:val="20"/>
        </w:rPr>
        <w:t>be</w:t>
      </w:r>
      <w:r>
        <w:rPr>
          <w:spacing w:val="-5"/>
          <w:sz w:val="20"/>
        </w:rPr>
        <w:t> </w:t>
      </w:r>
      <w:r>
        <w:rPr>
          <w:sz w:val="20"/>
        </w:rPr>
        <w:t>heard</w:t>
      </w:r>
      <w:r>
        <w:rPr>
          <w:spacing w:val="-4"/>
          <w:sz w:val="20"/>
        </w:rPr>
        <w:t> </w:t>
      </w:r>
      <w:r>
        <w:rPr>
          <w:sz w:val="20"/>
        </w:rPr>
        <w:t>in</w:t>
      </w:r>
      <w:r>
        <w:rPr>
          <w:spacing w:val="-5"/>
          <w:sz w:val="20"/>
        </w:rPr>
        <w:t> </w:t>
      </w:r>
      <w:r>
        <w:rPr>
          <w:sz w:val="20"/>
        </w:rPr>
        <w:t>an</w:t>
      </w:r>
      <w:r>
        <w:rPr>
          <w:spacing w:val="-5"/>
          <w:sz w:val="20"/>
        </w:rPr>
        <w:t> </w:t>
      </w:r>
      <w:r>
        <w:rPr>
          <w:sz w:val="20"/>
        </w:rPr>
        <w:t>inaccessible</w:t>
      </w:r>
      <w:r>
        <w:rPr>
          <w:spacing w:val="-5"/>
          <w:sz w:val="20"/>
        </w:rPr>
        <w:t> </w:t>
      </w:r>
      <w:r>
        <w:rPr>
          <w:sz w:val="20"/>
        </w:rPr>
        <w:t>courtroom</w:t>
      </w:r>
    </w:p>
    <w:p>
      <w:pPr>
        <w:pStyle w:val="ListParagraph"/>
        <w:numPr>
          <w:ilvl w:val="1"/>
          <w:numId w:val="9"/>
        </w:numPr>
        <w:tabs>
          <w:tab w:pos="2168" w:val="left" w:leader="none"/>
          <w:tab w:pos="2169" w:val="left" w:leader="none"/>
        </w:tabs>
        <w:spacing w:line="259" w:lineRule="exact" w:before="47" w:after="0"/>
        <w:ind w:left="2168" w:right="0" w:hanging="397"/>
        <w:jc w:val="left"/>
        <w:rPr>
          <w:sz w:val="20"/>
        </w:rPr>
      </w:pPr>
      <w:r>
        <w:rPr>
          <w:sz w:val="20"/>
        </w:rPr>
        <w:t>fair</w:t>
      </w:r>
      <w:r>
        <w:rPr>
          <w:spacing w:val="-7"/>
          <w:sz w:val="20"/>
        </w:rPr>
        <w:t> </w:t>
      </w:r>
      <w:r>
        <w:rPr>
          <w:sz w:val="20"/>
        </w:rPr>
        <w:t>trial</w:t>
      </w:r>
      <w:r>
        <w:rPr>
          <w:spacing w:val="-6"/>
          <w:sz w:val="20"/>
        </w:rPr>
        <w:t> </w:t>
      </w:r>
      <w:r>
        <w:rPr>
          <w:sz w:val="20"/>
        </w:rPr>
        <w:t>concerns</w:t>
      </w:r>
      <w:r>
        <w:rPr>
          <w:spacing w:val="-7"/>
          <w:sz w:val="20"/>
        </w:rPr>
        <w:t> </w:t>
      </w:r>
      <w:r>
        <w:rPr>
          <w:sz w:val="20"/>
        </w:rPr>
        <w:t>arise</w:t>
      </w:r>
      <w:r>
        <w:rPr>
          <w:spacing w:val="-6"/>
          <w:sz w:val="20"/>
        </w:rPr>
        <w:t> </w:t>
      </w:r>
      <w:r>
        <w:rPr>
          <w:sz w:val="20"/>
        </w:rPr>
        <w:t>because</w:t>
      </w:r>
      <w:r>
        <w:rPr>
          <w:spacing w:val="-7"/>
          <w:sz w:val="20"/>
        </w:rPr>
        <w:t> </w:t>
      </w:r>
      <w:r>
        <w:rPr>
          <w:sz w:val="20"/>
        </w:rPr>
        <w:t>of</w:t>
      </w:r>
      <w:r>
        <w:rPr>
          <w:spacing w:val="-6"/>
          <w:sz w:val="20"/>
        </w:rPr>
        <w:t> </w:t>
      </w:r>
      <w:r>
        <w:rPr>
          <w:sz w:val="20"/>
        </w:rPr>
        <w:t>the</w:t>
      </w:r>
      <w:r>
        <w:rPr>
          <w:spacing w:val="-6"/>
          <w:sz w:val="20"/>
        </w:rPr>
        <w:t> </w:t>
      </w:r>
      <w:r>
        <w:rPr>
          <w:sz w:val="20"/>
        </w:rPr>
        <w:t>evidence</w:t>
      </w:r>
      <w:r>
        <w:rPr>
          <w:spacing w:val="-7"/>
          <w:sz w:val="20"/>
        </w:rPr>
        <w:t> </w:t>
      </w:r>
      <w:r>
        <w:rPr>
          <w:sz w:val="20"/>
        </w:rPr>
        <w:t>that</w:t>
      </w:r>
      <w:r>
        <w:rPr>
          <w:spacing w:val="-6"/>
          <w:sz w:val="20"/>
        </w:rPr>
        <w:t> </w:t>
      </w:r>
      <w:r>
        <w:rPr>
          <w:sz w:val="20"/>
        </w:rPr>
        <w:t>is</w:t>
      </w:r>
      <w:r>
        <w:rPr>
          <w:spacing w:val="-7"/>
          <w:sz w:val="20"/>
        </w:rPr>
        <w:t> </w:t>
      </w:r>
      <w:r>
        <w:rPr>
          <w:sz w:val="20"/>
        </w:rPr>
        <w:t>material</w:t>
      </w:r>
      <w:r>
        <w:rPr>
          <w:spacing w:val="-6"/>
          <w:sz w:val="20"/>
        </w:rPr>
        <w:t> </w:t>
      </w:r>
      <w:r>
        <w:rPr>
          <w:sz w:val="20"/>
        </w:rPr>
        <w:t>to</w:t>
      </w:r>
      <w:r>
        <w:rPr>
          <w:spacing w:val="-6"/>
          <w:sz w:val="20"/>
        </w:rPr>
        <w:t> </w:t>
      </w:r>
      <w:r>
        <w:rPr>
          <w:sz w:val="20"/>
        </w:rPr>
        <w:t>the</w:t>
      </w:r>
      <w:r>
        <w:rPr>
          <w:spacing w:val="-7"/>
          <w:sz w:val="20"/>
        </w:rPr>
        <w:t> </w:t>
      </w:r>
      <w:r>
        <w:rPr>
          <w:sz w:val="20"/>
        </w:rPr>
        <w:t>outcome</w:t>
      </w:r>
      <w:r>
        <w:rPr>
          <w:spacing w:val="-6"/>
          <w:sz w:val="20"/>
        </w:rPr>
        <w:t> </w:t>
      </w:r>
      <w:r>
        <w:rPr>
          <w:sz w:val="20"/>
        </w:rPr>
        <w:t>of</w:t>
      </w:r>
    </w:p>
    <w:p>
      <w:pPr>
        <w:pStyle w:val="BodyText"/>
        <w:spacing w:line="259" w:lineRule="exact"/>
        <w:ind w:left="2168"/>
      </w:pPr>
      <w:r>
        <w:rPr/>
        <w:t>the specific trial.</w:t>
      </w:r>
    </w:p>
    <w:p>
      <w:pPr>
        <w:pStyle w:val="ListParagraph"/>
        <w:numPr>
          <w:ilvl w:val="0"/>
          <w:numId w:val="9"/>
        </w:numPr>
        <w:tabs>
          <w:tab w:pos="1771" w:val="left" w:leader="none"/>
          <w:tab w:pos="1772" w:val="left" w:leader="none"/>
        </w:tabs>
        <w:spacing w:line="206" w:lineRule="auto" w:before="80" w:after="0"/>
        <w:ind w:left="1771" w:right="1216" w:hanging="793"/>
        <w:jc w:val="left"/>
        <w:rPr>
          <w:sz w:val="20"/>
        </w:rPr>
      </w:pPr>
      <w:r>
        <w:rPr>
          <w:sz w:val="20"/>
        </w:rPr>
        <w:t>In</w:t>
      </w:r>
      <w:r>
        <w:rPr>
          <w:spacing w:val="-7"/>
          <w:sz w:val="20"/>
        </w:rPr>
        <w:t> </w:t>
      </w:r>
      <w:r>
        <w:rPr>
          <w:sz w:val="20"/>
        </w:rPr>
        <w:t>either</w:t>
      </w:r>
      <w:r>
        <w:rPr>
          <w:spacing w:val="-6"/>
          <w:sz w:val="20"/>
        </w:rPr>
        <w:t> </w:t>
      </w:r>
      <w:r>
        <w:rPr>
          <w:sz w:val="20"/>
        </w:rPr>
        <w:t>of</w:t>
      </w:r>
      <w:r>
        <w:rPr>
          <w:spacing w:val="-6"/>
          <w:sz w:val="20"/>
        </w:rPr>
        <w:t> </w:t>
      </w:r>
      <w:r>
        <w:rPr>
          <w:sz w:val="20"/>
        </w:rPr>
        <w:t>these</w:t>
      </w:r>
      <w:r>
        <w:rPr>
          <w:spacing w:val="-6"/>
          <w:sz w:val="20"/>
        </w:rPr>
        <w:t> </w:t>
      </w:r>
      <w:r>
        <w:rPr>
          <w:sz w:val="20"/>
        </w:rPr>
        <w:t>situations,</w:t>
      </w:r>
      <w:r>
        <w:rPr>
          <w:spacing w:val="-6"/>
          <w:sz w:val="20"/>
        </w:rPr>
        <w:t> </w:t>
      </w:r>
      <w:r>
        <w:rPr>
          <w:sz w:val="20"/>
        </w:rPr>
        <w:t>the</w:t>
      </w:r>
      <w:r>
        <w:rPr>
          <w:spacing w:val="-6"/>
          <w:sz w:val="20"/>
        </w:rPr>
        <w:t> </w:t>
      </w:r>
      <w:r>
        <w:rPr>
          <w:sz w:val="20"/>
        </w:rPr>
        <w:t>person’s</w:t>
      </w:r>
      <w:r>
        <w:rPr>
          <w:spacing w:val="-6"/>
          <w:sz w:val="20"/>
        </w:rPr>
        <w:t> </w:t>
      </w:r>
      <w:r>
        <w:rPr>
          <w:sz w:val="20"/>
        </w:rPr>
        <w:t>ballot</w:t>
      </w:r>
      <w:r>
        <w:rPr>
          <w:spacing w:val="-6"/>
          <w:sz w:val="20"/>
        </w:rPr>
        <w:t> </w:t>
      </w:r>
      <w:r>
        <w:rPr>
          <w:sz w:val="20"/>
        </w:rPr>
        <w:t>card</w:t>
      </w:r>
      <w:r>
        <w:rPr>
          <w:spacing w:val="-6"/>
          <w:sz w:val="20"/>
        </w:rPr>
        <w:t> </w:t>
      </w:r>
      <w:r>
        <w:rPr>
          <w:sz w:val="20"/>
        </w:rPr>
        <w:t>would</w:t>
      </w:r>
      <w:r>
        <w:rPr>
          <w:spacing w:val="-6"/>
          <w:sz w:val="20"/>
        </w:rPr>
        <w:t> </w:t>
      </w:r>
      <w:r>
        <w:rPr>
          <w:sz w:val="20"/>
        </w:rPr>
        <w:t>remain</w:t>
      </w:r>
      <w:r>
        <w:rPr>
          <w:spacing w:val="-6"/>
          <w:sz w:val="20"/>
        </w:rPr>
        <w:t> </w:t>
      </w:r>
      <w:r>
        <w:rPr>
          <w:sz w:val="20"/>
        </w:rPr>
        <w:t>in</w:t>
      </w:r>
      <w:r>
        <w:rPr>
          <w:spacing w:val="-6"/>
          <w:sz w:val="20"/>
        </w:rPr>
        <w:t> </w:t>
      </w:r>
      <w:r>
        <w:rPr>
          <w:sz w:val="20"/>
        </w:rPr>
        <w:t>the</w:t>
      </w:r>
      <w:r>
        <w:rPr>
          <w:spacing w:val="-6"/>
          <w:sz w:val="20"/>
        </w:rPr>
        <w:t> </w:t>
      </w:r>
      <w:r>
        <w:rPr>
          <w:sz w:val="20"/>
        </w:rPr>
        <w:t>pool</w:t>
      </w:r>
      <w:r>
        <w:rPr>
          <w:spacing w:val="-6"/>
          <w:sz w:val="20"/>
        </w:rPr>
        <w:t> </w:t>
      </w:r>
      <w:r>
        <w:rPr>
          <w:sz w:val="20"/>
        </w:rPr>
        <w:t>for</w:t>
      </w:r>
      <w:r>
        <w:rPr>
          <w:spacing w:val="-6"/>
          <w:sz w:val="20"/>
        </w:rPr>
        <w:t> </w:t>
      </w:r>
      <w:r>
        <w:rPr>
          <w:sz w:val="20"/>
        </w:rPr>
        <w:t>panel ballots for other trials. The aim is to </w:t>
      </w:r>
      <w:r>
        <w:rPr>
          <w:spacing w:val="-3"/>
          <w:sz w:val="20"/>
        </w:rPr>
        <w:t>remove </w:t>
      </w:r>
      <w:r>
        <w:rPr>
          <w:sz w:val="20"/>
        </w:rPr>
        <w:t>the barriers that </w:t>
      </w:r>
      <w:r>
        <w:rPr>
          <w:spacing w:val="-3"/>
          <w:sz w:val="20"/>
        </w:rPr>
        <w:t>prevent </w:t>
      </w:r>
      <w:r>
        <w:rPr>
          <w:sz w:val="20"/>
        </w:rPr>
        <w:t>a person in the subject groups from advancing through the early steps of the jury selection process and reduce the likelihood that a judge will need to determine the matter in a hearing on the </w:t>
      </w:r>
      <w:r>
        <w:rPr>
          <w:spacing w:val="-3"/>
          <w:sz w:val="20"/>
        </w:rPr>
        <w:t>day </w:t>
      </w:r>
      <w:r>
        <w:rPr>
          <w:sz w:val="20"/>
        </w:rPr>
        <w:t>of empanelment. These decisions </w:t>
      </w:r>
      <w:r>
        <w:rPr>
          <w:spacing w:val="-3"/>
          <w:sz w:val="20"/>
        </w:rPr>
        <w:t>by </w:t>
      </w:r>
      <w:r>
        <w:rPr>
          <w:sz w:val="20"/>
        </w:rPr>
        <w:t>the Juries Commissioner should be appealable to the</w:t>
      </w:r>
      <w:r>
        <w:rPr>
          <w:spacing w:val="-7"/>
          <w:sz w:val="20"/>
        </w:rPr>
        <w:t> </w:t>
      </w:r>
      <w:r>
        <w:rPr>
          <w:sz w:val="20"/>
        </w:rPr>
        <w:t>court.</w:t>
      </w:r>
    </w:p>
    <w:p>
      <w:pPr>
        <w:pStyle w:val="ListParagraph"/>
        <w:numPr>
          <w:ilvl w:val="0"/>
          <w:numId w:val="9"/>
        </w:numPr>
        <w:tabs>
          <w:tab w:pos="1771" w:val="left" w:leader="none"/>
          <w:tab w:pos="1772" w:val="left" w:leader="none"/>
        </w:tabs>
        <w:spacing w:line="206" w:lineRule="auto" w:before="121" w:after="0"/>
        <w:ind w:left="1771" w:right="1294" w:hanging="793"/>
        <w:jc w:val="left"/>
        <w:rPr>
          <w:sz w:val="20"/>
        </w:rPr>
      </w:pPr>
      <w:r>
        <w:rPr>
          <w:sz w:val="20"/>
        </w:rPr>
        <w:t>If</w:t>
      </w:r>
      <w:r>
        <w:rPr>
          <w:spacing w:val="-5"/>
          <w:sz w:val="20"/>
        </w:rPr>
        <w:t> </w:t>
      </w:r>
      <w:r>
        <w:rPr>
          <w:sz w:val="20"/>
        </w:rPr>
        <w:t>there</w:t>
      </w:r>
      <w:r>
        <w:rPr>
          <w:spacing w:val="-5"/>
          <w:sz w:val="20"/>
        </w:rPr>
        <w:t> </w:t>
      </w:r>
      <w:r>
        <w:rPr>
          <w:sz w:val="20"/>
        </w:rPr>
        <w:t>are</w:t>
      </w:r>
      <w:r>
        <w:rPr>
          <w:spacing w:val="-5"/>
          <w:sz w:val="20"/>
        </w:rPr>
        <w:t> </w:t>
      </w:r>
      <w:r>
        <w:rPr>
          <w:sz w:val="20"/>
        </w:rPr>
        <w:t>no</w:t>
      </w:r>
      <w:r>
        <w:rPr>
          <w:spacing w:val="-5"/>
          <w:sz w:val="20"/>
        </w:rPr>
        <w:t> </w:t>
      </w:r>
      <w:r>
        <w:rPr>
          <w:sz w:val="20"/>
        </w:rPr>
        <w:t>concerns,</w:t>
      </w:r>
      <w:r>
        <w:rPr>
          <w:spacing w:val="-4"/>
          <w:sz w:val="20"/>
        </w:rPr>
        <w:t> </w:t>
      </w:r>
      <w:r>
        <w:rPr>
          <w:sz w:val="20"/>
        </w:rPr>
        <w:t>the</w:t>
      </w:r>
      <w:r>
        <w:rPr>
          <w:spacing w:val="-5"/>
          <w:sz w:val="20"/>
        </w:rPr>
        <w:t> </w:t>
      </w:r>
      <w:r>
        <w:rPr>
          <w:sz w:val="20"/>
        </w:rPr>
        <w:t>Juries</w:t>
      </w:r>
      <w:r>
        <w:rPr>
          <w:spacing w:val="-5"/>
          <w:sz w:val="20"/>
        </w:rPr>
        <w:t> </w:t>
      </w:r>
      <w:r>
        <w:rPr>
          <w:sz w:val="20"/>
        </w:rPr>
        <w:t>Commissioner</w:t>
      </w:r>
      <w:r>
        <w:rPr>
          <w:spacing w:val="-5"/>
          <w:sz w:val="20"/>
        </w:rPr>
        <w:t> </w:t>
      </w:r>
      <w:r>
        <w:rPr>
          <w:sz w:val="20"/>
        </w:rPr>
        <w:t>should</w:t>
      </w:r>
      <w:r>
        <w:rPr>
          <w:spacing w:val="-5"/>
          <w:sz w:val="20"/>
        </w:rPr>
        <w:t> </w:t>
      </w:r>
      <w:r>
        <w:rPr>
          <w:sz w:val="20"/>
        </w:rPr>
        <w:t>arrange</w:t>
      </w:r>
      <w:r>
        <w:rPr>
          <w:spacing w:val="-4"/>
          <w:sz w:val="20"/>
        </w:rPr>
        <w:t> </w:t>
      </w:r>
      <w:r>
        <w:rPr>
          <w:sz w:val="20"/>
        </w:rPr>
        <w:t>adjustments</w:t>
      </w:r>
      <w:r>
        <w:rPr>
          <w:spacing w:val="-5"/>
          <w:sz w:val="20"/>
        </w:rPr>
        <w:t> </w:t>
      </w:r>
      <w:r>
        <w:rPr>
          <w:sz w:val="20"/>
        </w:rPr>
        <w:t>for</w:t>
      </w:r>
      <w:r>
        <w:rPr>
          <w:spacing w:val="-5"/>
          <w:sz w:val="20"/>
        </w:rPr>
        <w:t> </w:t>
      </w:r>
      <w:r>
        <w:rPr>
          <w:sz w:val="20"/>
        </w:rPr>
        <w:t>the jury selection process and in readiness for</w:t>
      </w:r>
      <w:r>
        <w:rPr>
          <w:spacing w:val="-16"/>
          <w:sz w:val="20"/>
        </w:rPr>
        <w:t> </w:t>
      </w:r>
      <w:r>
        <w:rPr>
          <w:sz w:val="20"/>
        </w:rPr>
        <w:t>trial.</w:t>
      </w:r>
    </w:p>
    <w:p>
      <w:pPr>
        <w:pStyle w:val="Heading6"/>
        <w:spacing w:before="121"/>
        <w:ind w:left="978"/>
        <w:rPr>
          <w:b/>
        </w:rPr>
      </w:pPr>
      <w:r>
        <w:rPr>
          <w:b/>
        </w:rPr>
        <w:t>The role of the trial judge</w:t>
      </w:r>
    </w:p>
    <w:p>
      <w:pPr>
        <w:pStyle w:val="ListParagraph"/>
        <w:numPr>
          <w:ilvl w:val="0"/>
          <w:numId w:val="9"/>
        </w:numPr>
        <w:tabs>
          <w:tab w:pos="1771" w:val="left" w:leader="none"/>
          <w:tab w:pos="1772" w:val="left" w:leader="none"/>
        </w:tabs>
        <w:spacing w:line="206" w:lineRule="auto" w:before="131" w:after="0"/>
        <w:ind w:left="1771" w:right="1301" w:hanging="793"/>
        <w:jc w:val="left"/>
        <w:rPr>
          <w:sz w:val="20"/>
        </w:rPr>
      </w:pPr>
      <w:r>
        <w:rPr>
          <w:sz w:val="20"/>
        </w:rPr>
        <w:t>The</w:t>
      </w:r>
      <w:r>
        <w:rPr>
          <w:spacing w:val="-6"/>
          <w:sz w:val="20"/>
        </w:rPr>
        <w:t> </w:t>
      </w:r>
      <w:r>
        <w:rPr>
          <w:sz w:val="20"/>
        </w:rPr>
        <w:t>final</w:t>
      </w:r>
      <w:r>
        <w:rPr>
          <w:spacing w:val="-5"/>
          <w:sz w:val="20"/>
        </w:rPr>
        <w:t> </w:t>
      </w:r>
      <w:r>
        <w:rPr>
          <w:sz w:val="20"/>
        </w:rPr>
        <w:t>decision</w:t>
      </w:r>
      <w:r>
        <w:rPr>
          <w:spacing w:val="-5"/>
          <w:sz w:val="20"/>
        </w:rPr>
        <w:t> </w:t>
      </w:r>
      <w:r>
        <w:rPr>
          <w:sz w:val="20"/>
        </w:rPr>
        <w:t>about</w:t>
      </w:r>
      <w:r>
        <w:rPr>
          <w:spacing w:val="-6"/>
          <w:sz w:val="20"/>
        </w:rPr>
        <w:t> </w:t>
      </w:r>
      <w:r>
        <w:rPr>
          <w:sz w:val="20"/>
        </w:rPr>
        <w:t>jury</w:t>
      </w:r>
      <w:r>
        <w:rPr>
          <w:spacing w:val="-5"/>
          <w:sz w:val="20"/>
        </w:rPr>
        <w:t> </w:t>
      </w:r>
      <w:r>
        <w:rPr>
          <w:sz w:val="20"/>
        </w:rPr>
        <w:t>service</w:t>
      </w:r>
      <w:r>
        <w:rPr>
          <w:spacing w:val="-5"/>
          <w:sz w:val="20"/>
        </w:rPr>
        <w:t> </w:t>
      </w:r>
      <w:r>
        <w:rPr>
          <w:sz w:val="20"/>
        </w:rPr>
        <w:t>with</w:t>
      </w:r>
      <w:r>
        <w:rPr>
          <w:spacing w:val="-6"/>
          <w:sz w:val="20"/>
        </w:rPr>
        <w:t> </w:t>
      </w:r>
      <w:r>
        <w:rPr>
          <w:sz w:val="20"/>
        </w:rPr>
        <w:t>reasonable</w:t>
      </w:r>
      <w:r>
        <w:rPr>
          <w:spacing w:val="-5"/>
          <w:sz w:val="20"/>
        </w:rPr>
        <w:t> </w:t>
      </w:r>
      <w:r>
        <w:rPr>
          <w:sz w:val="20"/>
        </w:rPr>
        <w:t>adjustments</w:t>
      </w:r>
      <w:r>
        <w:rPr>
          <w:spacing w:val="-5"/>
          <w:sz w:val="20"/>
        </w:rPr>
        <w:t> </w:t>
      </w:r>
      <w:r>
        <w:rPr>
          <w:sz w:val="20"/>
        </w:rPr>
        <w:t>should</w:t>
      </w:r>
      <w:r>
        <w:rPr>
          <w:spacing w:val="-6"/>
          <w:sz w:val="20"/>
        </w:rPr>
        <w:t> </w:t>
      </w:r>
      <w:r>
        <w:rPr>
          <w:sz w:val="20"/>
        </w:rPr>
        <w:t>be</w:t>
      </w:r>
      <w:r>
        <w:rPr>
          <w:spacing w:val="-5"/>
          <w:sz w:val="20"/>
        </w:rPr>
        <w:t> </w:t>
      </w:r>
      <w:r>
        <w:rPr>
          <w:sz w:val="20"/>
        </w:rPr>
        <w:t>made</w:t>
      </w:r>
      <w:r>
        <w:rPr>
          <w:spacing w:val="-5"/>
          <w:sz w:val="20"/>
        </w:rPr>
        <w:t> </w:t>
      </w:r>
      <w:r>
        <w:rPr>
          <w:spacing w:val="-3"/>
          <w:sz w:val="20"/>
        </w:rPr>
        <w:t>by </w:t>
      </w:r>
      <w:r>
        <w:rPr>
          <w:sz w:val="20"/>
        </w:rPr>
        <w:t>the trial judge, when the potential juror attends court on their summons date, and is balloted to a panel for a specific</w:t>
      </w:r>
      <w:r>
        <w:rPr>
          <w:spacing w:val="-16"/>
          <w:sz w:val="20"/>
        </w:rPr>
        <w:t> </w:t>
      </w:r>
      <w:r>
        <w:rPr>
          <w:sz w:val="20"/>
        </w:rPr>
        <w:t>trial.</w:t>
      </w:r>
    </w:p>
    <w:p>
      <w:pPr>
        <w:pStyle w:val="ListParagraph"/>
        <w:numPr>
          <w:ilvl w:val="0"/>
          <w:numId w:val="9"/>
        </w:numPr>
        <w:tabs>
          <w:tab w:pos="1771" w:val="left" w:leader="none"/>
          <w:tab w:pos="1772" w:val="left" w:leader="none"/>
        </w:tabs>
        <w:spacing w:line="206" w:lineRule="auto" w:before="118" w:after="0"/>
        <w:ind w:left="1771" w:right="1366" w:hanging="793"/>
        <w:jc w:val="left"/>
        <w:rPr>
          <w:sz w:val="20"/>
        </w:rPr>
      </w:pPr>
      <w:r>
        <w:rPr>
          <w:sz w:val="20"/>
        </w:rPr>
        <w:t>In some situations, jury selection processes may need to be put on hold while the judge</w:t>
      </w:r>
      <w:r>
        <w:rPr>
          <w:spacing w:val="-6"/>
          <w:sz w:val="20"/>
        </w:rPr>
        <w:t> </w:t>
      </w:r>
      <w:r>
        <w:rPr>
          <w:sz w:val="20"/>
        </w:rPr>
        <w:t>determines</w:t>
      </w:r>
      <w:r>
        <w:rPr>
          <w:spacing w:val="-6"/>
          <w:sz w:val="20"/>
        </w:rPr>
        <w:t> </w:t>
      </w:r>
      <w:r>
        <w:rPr>
          <w:sz w:val="20"/>
        </w:rPr>
        <w:t>the</w:t>
      </w:r>
      <w:r>
        <w:rPr>
          <w:spacing w:val="-6"/>
          <w:sz w:val="20"/>
        </w:rPr>
        <w:t> </w:t>
      </w:r>
      <w:r>
        <w:rPr>
          <w:sz w:val="20"/>
        </w:rPr>
        <w:t>matter</w:t>
      </w:r>
      <w:r>
        <w:rPr>
          <w:spacing w:val="-6"/>
          <w:sz w:val="20"/>
        </w:rPr>
        <w:t> </w:t>
      </w:r>
      <w:r>
        <w:rPr>
          <w:sz w:val="20"/>
        </w:rPr>
        <w:t>in</w:t>
      </w:r>
      <w:r>
        <w:rPr>
          <w:spacing w:val="-6"/>
          <w:sz w:val="20"/>
        </w:rPr>
        <w:t> </w:t>
      </w:r>
      <w:r>
        <w:rPr>
          <w:sz w:val="20"/>
        </w:rPr>
        <w:t>a</w:t>
      </w:r>
      <w:r>
        <w:rPr>
          <w:spacing w:val="-6"/>
          <w:sz w:val="20"/>
        </w:rPr>
        <w:t> </w:t>
      </w:r>
      <w:r>
        <w:rPr>
          <w:sz w:val="20"/>
        </w:rPr>
        <w:t>short</w:t>
      </w:r>
      <w:r>
        <w:rPr>
          <w:spacing w:val="-6"/>
          <w:sz w:val="20"/>
        </w:rPr>
        <w:t> </w:t>
      </w:r>
      <w:r>
        <w:rPr>
          <w:sz w:val="20"/>
        </w:rPr>
        <w:t>hearing</w:t>
      </w:r>
      <w:r>
        <w:rPr>
          <w:spacing w:val="-6"/>
          <w:sz w:val="20"/>
        </w:rPr>
        <w:t> </w:t>
      </w:r>
      <w:r>
        <w:rPr>
          <w:sz w:val="20"/>
        </w:rPr>
        <w:t>with</w:t>
      </w:r>
      <w:r>
        <w:rPr>
          <w:spacing w:val="-5"/>
          <w:sz w:val="20"/>
        </w:rPr>
        <w:t> </w:t>
      </w:r>
      <w:r>
        <w:rPr>
          <w:sz w:val="20"/>
        </w:rPr>
        <w:t>the</w:t>
      </w:r>
      <w:r>
        <w:rPr>
          <w:spacing w:val="-6"/>
          <w:sz w:val="20"/>
        </w:rPr>
        <w:t> </w:t>
      </w:r>
      <w:r>
        <w:rPr>
          <w:sz w:val="20"/>
        </w:rPr>
        <w:t>potential</w:t>
      </w:r>
      <w:r>
        <w:rPr>
          <w:spacing w:val="-6"/>
          <w:sz w:val="20"/>
        </w:rPr>
        <w:t> </w:t>
      </w:r>
      <w:r>
        <w:rPr>
          <w:spacing w:val="-3"/>
          <w:sz w:val="20"/>
        </w:rPr>
        <w:t>juror.</w:t>
      </w:r>
      <w:r>
        <w:rPr>
          <w:spacing w:val="-6"/>
          <w:sz w:val="20"/>
        </w:rPr>
        <w:t> </w:t>
      </w:r>
      <w:r>
        <w:rPr>
          <w:sz w:val="20"/>
        </w:rPr>
        <w:t>This</w:t>
      </w:r>
      <w:r>
        <w:rPr>
          <w:spacing w:val="-6"/>
          <w:sz w:val="20"/>
        </w:rPr>
        <w:t> </w:t>
      </w:r>
      <w:r>
        <w:rPr>
          <w:sz w:val="20"/>
        </w:rPr>
        <w:t>will</w:t>
      </w:r>
      <w:r>
        <w:rPr>
          <w:spacing w:val="-6"/>
          <w:sz w:val="20"/>
        </w:rPr>
        <w:t> </w:t>
      </w:r>
      <w:r>
        <w:rPr>
          <w:sz w:val="20"/>
        </w:rPr>
        <w:t>occur before the jury panel is brought into the</w:t>
      </w:r>
      <w:r>
        <w:rPr>
          <w:spacing w:val="-20"/>
          <w:sz w:val="20"/>
        </w:rPr>
        <w:t> </w:t>
      </w:r>
      <w:r>
        <w:rPr>
          <w:sz w:val="20"/>
        </w:rPr>
        <w:t>courtroom.</w:t>
      </w:r>
    </w:p>
    <w:p>
      <w:pPr>
        <w:pStyle w:val="ListParagraph"/>
        <w:numPr>
          <w:ilvl w:val="0"/>
          <w:numId w:val="9"/>
        </w:numPr>
        <w:tabs>
          <w:tab w:pos="1771" w:val="left" w:leader="none"/>
          <w:tab w:pos="1772" w:val="left" w:leader="none"/>
        </w:tabs>
        <w:spacing w:line="206" w:lineRule="auto" w:before="117" w:after="0"/>
        <w:ind w:left="1771" w:right="1347" w:hanging="793"/>
        <w:jc w:val="left"/>
        <w:rPr>
          <w:sz w:val="20"/>
        </w:rPr>
      </w:pPr>
      <w:r>
        <w:rPr>
          <w:sz w:val="20"/>
        </w:rPr>
        <w:t>If the judge decides that the potential juror will not be able to serve in that trial </w:t>
      </w:r>
      <w:r>
        <w:rPr>
          <w:spacing w:val="-3"/>
          <w:sz w:val="20"/>
        </w:rPr>
        <w:t>even </w:t>
      </w:r>
      <w:r>
        <w:rPr>
          <w:sz w:val="20"/>
        </w:rPr>
        <w:t>with reasonable adjustments, the person should be returned to the jury pool to potentially serve on a different trial. The judge could also </w:t>
      </w:r>
      <w:r>
        <w:rPr>
          <w:spacing w:val="-3"/>
          <w:sz w:val="20"/>
        </w:rPr>
        <w:t>excuse </w:t>
      </w:r>
      <w:r>
        <w:rPr>
          <w:sz w:val="20"/>
        </w:rPr>
        <w:t>a person under their</w:t>
      </w:r>
      <w:r>
        <w:rPr>
          <w:spacing w:val="-5"/>
          <w:sz w:val="20"/>
        </w:rPr>
        <w:t> </w:t>
      </w:r>
      <w:r>
        <w:rPr>
          <w:sz w:val="20"/>
        </w:rPr>
        <w:t>summons</w:t>
      </w:r>
      <w:r>
        <w:rPr>
          <w:spacing w:val="-5"/>
          <w:sz w:val="20"/>
        </w:rPr>
        <w:t> </w:t>
      </w:r>
      <w:r>
        <w:rPr>
          <w:sz w:val="20"/>
        </w:rPr>
        <w:t>if</w:t>
      </w:r>
      <w:r>
        <w:rPr>
          <w:spacing w:val="-5"/>
          <w:sz w:val="20"/>
        </w:rPr>
        <w:t> </w:t>
      </w:r>
      <w:r>
        <w:rPr>
          <w:sz w:val="20"/>
        </w:rPr>
        <w:t>that</w:t>
      </w:r>
      <w:r>
        <w:rPr>
          <w:spacing w:val="-4"/>
          <w:sz w:val="20"/>
        </w:rPr>
        <w:t> </w:t>
      </w:r>
      <w:r>
        <w:rPr>
          <w:sz w:val="20"/>
        </w:rPr>
        <w:t>is</w:t>
      </w:r>
      <w:r>
        <w:rPr>
          <w:spacing w:val="-5"/>
          <w:sz w:val="20"/>
        </w:rPr>
        <w:t> </w:t>
      </w:r>
      <w:r>
        <w:rPr>
          <w:sz w:val="20"/>
        </w:rPr>
        <w:t>more</w:t>
      </w:r>
      <w:r>
        <w:rPr>
          <w:spacing w:val="-5"/>
          <w:sz w:val="20"/>
        </w:rPr>
        <w:t> </w:t>
      </w:r>
      <w:r>
        <w:rPr>
          <w:sz w:val="20"/>
        </w:rPr>
        <w:t>appropriate.</w:t>
      </w:r>
      <w:r>
        <w:rPr>
          <w:spacing w:val="-4"/>
          <w:sz w:val="20"/>
        </w:rPr>
        <w:t> </w:t>
      </w:r>
      <w:r>
        <w:rPr>
          <w:sz w:val="20"/>
        </w:rPr>
        <w:t>If</w:t>
      </w:r>
      <w:r>
        <w:rPr>
          <w:spacing w:val="-5"/>
          <w:sz w:val="20"/>
        </w:rPr>
        <w:t> </w:t>
      </w:r>
      <w:r>
        <w:rPr>
          <w:sz w:val="20"/>
        </w:rPr>
        <w:t>a</w:t>
      </w:r>
      <w:r>
        <w:rPr>
          <w:spacing w:val="-5"/>
          <w:sz w:val="20"/>
        </w:rPr>
        <w:t> </w:t>
      </w:r>
      <w:r>
        <w:rPr>
          <w:sz w:val="20"/>
        </w:rPr>
        <w:t>judge</w:t>
      </w:r>
      <w:r>
        <w:rPr>
          <w:spacing w:val="-4"/>
          <w:sz w:val="20"/>
        </w:rPr>
        <w:t> </w:t>
      </w:r>
      <w:r>
        <w:rPr>
          <w:sz w:val="20"/>
        </w:rPr>
        <w:t>decides</w:t>
      </w:r>
      <w:r>
        <w:rPr>
          <w:spacing w:val="-5"/>
          <w:sz w:val="20"/>
        </w:rPr>
        <w:t> </w:t>
      </w:r>
      <w:r>
        <w:rPr>
          <w:sz w:val="20"/>
        </w:rPr>
        <w:t>that</w:t>
      </w:r>
      <w:r>
        <w:rPr>
          <w:spacing w:val="-5"/>
          <w:sz w:val="20"/>
        </w:rPr>
        <w:t> </w:t>
      </w:r>
      <w:r>
        <w:rPr>
          <w:sz w:val="20"/>
        </w:rPr>
        <w:t>adjustments</w:t>
      </w:r>
      <w:r>
        <w:rPr>
          <w:spacing w:val="-5"/>
          <w:sz w:val="20"/>
        </w:rPr>
        <w:t> </w:t>
      </w:r>
      <w:r>
        <w:rPr>
          <w:sz w:val="20"/>
        </w:rPr>
        <w:t>can</w:t>
      </w:r>
      <w:r>
        <w:rPr>
          <w:spacing w:val="-4"/>
          <w:sz w:val="20"/>
        </w:rPr>
        <w:t> </w:t>
      </w:r>
      <w:r>
        <w:rPr>
          <w:sz w:val="20"/>
        </w:rPr>
        <w:t>be provided,</w:t>
      </w:r>
      <w:r>
        <w:rPr>
          <w:spacing w:val="-5"/>
          <w:sz w:val="20"/>
        </w:rPr>
        <w:t> </w:t>
      </w:r>
      <w:r>
        <w:rPr>
          <w:sz w:val="20"/>
        </w:rPr>
        <w:t>then</w:t>
      </w:r>
      <w:r>
        <w:rPr>
          <w:spacing w:val="-5"/>
          <w:sz w:val="20"/>
        </w:rPr>
        <w:t> </w:t>
      </w:r>
      <w:r>
        <w:rPr>
          <w:sz w:val="20"/>
        </w:rPr>
        <w:t>the</w:t>
      </w:r>
      <w:r>
        <w:rPr>
          <w:spacing w:val="-4"/>
          <w:sz w:val="20"/>
        </w:rPr>
        <w:t> </w:t>
      </w:r>
      <w:r>
        <w:rPr>
          <w:sz w:val="20"/>
        </w:rPr>
        <w:t>arrangements</w:t>
      </w:r>
      <w:r>
        <w:rPr>
          <w:spacing w:val="-5"/>
          <w:sz w:val="20"/>
        </w:rPr>
        <w:t> </w:t>
      </w:r>
      <w:r>
        <w:rPr>
          <w:sz w:val="20"/>
        </w:rPr>
        <w:t>made</w:t>
      </w:r>
      <w:r>
        <w:rPr>
          <w:spacing w:val="-4"/>
          <w:sz w:val="20"/>
        </w:rPr>
        <w:t> </w:t>
      </w:r>
      <w:r>
        <w:rPr>
          <w:spacing w:val="-3"/>
          <w:sz w:val="20"/>
        </w:rPr>
        <w:t>by</w:t>
      </w:r>
      <w:r>
        <w:rPr>
          <w:spacing w:val="-5"/>
          <w:sz w:val="20"/>
        </w:rPr>
        <w:t> </w:t>
      </w:r>
      <w:r>
        <w:rPr>
          <w:sz w:val="20"/>
        </w:rPr>
        <w:t>the</w:t>
      </w:r>
      <w:r>
        <w:rPr>
          <w:spacing w:val="-4"/>
          <w:sz w:val="20"/>
        </w:rPr>
        <w:t> </w:t>
      </w:r>
      <w:r>
        <w:rPr>
          <w:sz w:val="20"/>
        </w:rPr>
        <w:t>Juries</w:t>
      </w:r>
      <w:r>
        <w:rPr>
          <w:spacing w:val="-5"/>
          <w:sz w:val="20"/>
        </w:rPr>
        <w:t> </w:t>
      </w:r>
      <w:r>
        <w:rPr>
          <w:sz w:val="20"/>
        </w:rPr>
        <w:t>Commissioner</w:t>
      </w:r>
      <w:r>
        <w:rPr>
          <w:spacing w:val="-4"/>
          <w:sz w:val="20"/>
        </w:rPr>
        <w:t> </w:t>
      </w:r>
      <w:r>
        <w:rPr>
          <w:sz w:val="20"/>
        </w:rPr>
        <w:t>will</w:t>
      </w:r>
      <w:r>
        <w:rPr>
          <w:spacing w:val="-5"/>
          <w:sz w:val="20"/>
        </w:rPr>
        <w:t> </w:t>
      </w:r>
      <w:r>
        <w:rPr>
          <w:sz w:val="20"/>
        </w:rPr>
        <w:t>continue.</w:t>
      </w:r>
    </w:p>
    <w:p>
      <w:pPr>
        <w:pStyle w:val="ListParagraph"/>
        <w:numPr>
          <w:ilvl w:val="0"/>
          <w:numId w:val="9"/>
        </w:numPr>
        <w:tabs>
          <w:tab w:pos="1771" w:val="left" w:leader="none"/>
          <w:tab w:pos="1772" w:val="left" w:leader="none"/>
        </w:tabs>
        <w:spacing w:line="259" w:lineRule="exact" w:before="87" w:after="0"/>
        <w:ind w:left="1771" w:right="0" w:hanging="793"/>
        <w:jc w:val="left"/>
        <w:rPr>
          <w:sz w:val="20"/>
        </w:rPr>
      </w:pPr>
      <w:r>
        <w:rPr>
          <w:sz w:val="20"/>
        </w:rPr>
        <w:t>Information</w:t>
      </w:r>
      <w:r>
        <w:rPr>
          <w:spacing w:val="-4"/>
          <w:sz w:val="20"/>
        </w:rPr>
        <w:t> </w:t>
      </w:r>
      <w:r>
        <w:rPr>
          <w:sz w:val="20"/>
        </w:rPr>
        <w:t>about</w:t>
      </w:r>
      <w:r>
        <w:rPr>
          <w:spacing w:val="-3"/>
          <w:sz w:val="20"/>
        </w:rPr>
        <w:t> </w:t>
      </w:r>
      <w:r>
        <w:rPr>
          <w:sz w:val="20"/>
        </w:rPr>
        <w:t>the</w:t>
      </w:r>
      <w:r>
        <w:rPr>
          <w:spacing w:val="-4"/>
          <w:sz w:val="20"/>
        </w:rPr>
        <w:t> </w:t>
      </w:r>
      <w:r>
        <w:rPr>
          <w:sz w:val="20"/>
        </w:rPr>
        <w:t>use</w:t>
      </w:r>
      <w:r>
        <w:rPr>
          <w:spacing w:val="-3"/>
          <w:sz w:val="20"/>
        </w:rPr>
        <w:t> </w:t>
      </w:r>
      <w:r>
        <w:rPr>
          <w:sz w:val="20"/>
        </w:rPr>
        <w:t>of</w:t>
      </w:r>
      <w:r>
        <w:rPr>
          <w:spacing w:val="-3"/>
          <w:sz w:val="20"/>
        </w:rPr>
        <w:t> </w:t>
      </w:r>
      <w:r>
        <w:rPr>
          <w:sz w:val="20"/>
        </w:rPr>
        <w:t>reasonable</w:t>
      </w:r>
      <w:r>
        <w:rPr>
          <w:spacing w:val="-4"/>
          <w:sz w:val="20"/>
        </w:rPr>
        <w:t> </w:t>
      </w:r>
      <w:r>
        <w:rPr>
          <w:sz w:val="20"/>
        </w:rPr>
        <w:t>adjustments</w:t>
      </w:r>
      <w:r>
        <w:rPr>
          <w:spacing w:val="-3"/>
          <w:sz w:val="20"/>
        </w:rPr>
        <w:t> </w:t>
      </w:r>
      <w:r>
        <w:rPr>
          <w:sz w:val="20"/>
        </w:rPr>
        <w:t>should</w:t>
      </w:r>
      <w:r>
        <w:rPr>
          <w:spacing w:val="-3"/>
          <w:sz w:val="20"/>
        </w:rPr>
        <w:t> </w:t>
      </w:r>
      <w:r>
        <w:rPr>
          <w:sz w:val="20"/>
        </w:rPr>
        <w:t>be</w:t>
      </w:r>
      <w:r>
        <w:rPr>
          <w:spacing w:val="-4"/>
          <w:sz w:val="20"/>
        </w:rPr>
        <w:t> </w:t>
      </w:r>
      <w:r>
        <w:rPr>
          <w:sz w:val="20"/>
        </w:rPr>
        <w:t>provided</w:t>
      </w:r>
      <w:r>
        <w:rPr>
          <w:spacing w:val="-3"/>
          <w:sz w:val="20"/>
        </w:rPr>
        <w:t> by</w:t>
      </w:r>
      <w:r>
        <w:rPr>
          <w:spacing w:val="-4"/>
          <w:sz w:val="20"/>
        </w:rPr>
        <w:t> </w:t>
      </w:r>
      <w:r>
        <w:rPr>
          <w:sz w:val="20"/>
        </w:rPr>
        <w:t>the</w:t>
      </w:r>
      <w:r>
        <w:rPr>
          <w:spacing w:val="-3"/>
          <w:sz w:val="20"/>
        </w:rPr>
        <w:t> </w:t>
      </w:r>
      <w:r>
        <w:rPr>
          <w:sz w:val="20"/>
        </w:rPr>
        <w:t>judge</w:t>
      </w:r>
    </w:p>
    <w:p>
      <w:pPr>
        <w:pStyle w:val="BodyText"/>
        <w:spacing w:line="259" w:lineRule="exact"/>
        <w:ind w:left="1771"/>
      </w:pPr>
      <w:r>
        <w:rPr/>
        <w:t>at different stages of the jury selection process to counsel, the court and the jury.</w:t>
      </w:r>
    </w:p>
    <w:p>
      <w:pPr>
        <w:pStyle w:val="BodyText"/>
        <w:spacing w:before="5"/>
        <w:rPr>
          <w:sz w:val="15"/>
        </w:rPr>
      </w:pPr>
    </w:p>
    <w:p>
      <w:pPr>
        <w:spacing w:before="1"/>
        <w:ind w:left="978" w:right="0" w:firstLine="0"/>
        <w:jc w:val="left"/>
        <w:rPr>
          <w:rFonts w:ascii="Raleway ExtraBold"/>
          <w:b/>
          <w:sz w:val="28"/>
        </w:rPr>
      </w:pPr>
      <w:r>
        <w:rPr>
          <w:rFonts w:ascii="Raleway ExtraBold"/>
          <w:b/>
          <w:color w:val="37617A"/>
          <w:sz w:val="28"/>
        </w:rPr>
        <w:t>Accessibility officers, Auslan interpreters and support persons</w:t>
      </w:r>
    </w:p>
    <w:p>
      <w:pPr>
        <w:pStyle w:val="ListParagraph"/>
        <w:numPr>
          <w:ilvl w:val="0"/>
          <w:numId w:val="9"/>
        </w:numPr>
        <w:tabs>
          <w:tab w:pos="1771" w:val="left" w:leader="none"/>
          <w:tab w:pos="1772" w:val="left" w:leader="none"/>
        </w:tabs>
        <w:spacing w:line="259" w:lineRule="exact" w:before="113" w:after="0"/>
        <w:ind w:left="1771" w:right="0" w:hanging="793"/>
        <w:jc w:val="left"/>
        <w:rPr>
          <w:sz w:val="20"/>
        </w:rPr>
      </w:pPr>
      <w:r>
        <w:rPr>
          <w:sz w:val="20"/>
        </w:rPr>
        <w:t>Accessibility</w:t>
      </w:r>
      <w:r>
        <w:rPr>
          <w:spacing w:val="-6"/>
          <w:sz w:val="20"/>
        </w:rPr>
        <w:t> </w:t>
      </w:r>
      <w:r>
        <w:rPr>
          <w:sz w:val="20"/>
        </w:rPr>
        <w:t>officer</w:t>
      </w:r>
      <w:r>
        <w:rPr>
          <w:spacing w:val="-5"/>
          <w:sz w:val="20"/>
        </w:rPr>
        <w:t> </w:t>
      </w:r>
      <w:r>
        <w:rPr>
          <w:sz w:val="20"/>
        </w:rPr>
        <w:t>roles</w:t>
      </w:r>
      <w:r>
        <w:rPr>
          <w:spacing w:val="-5"/>
          <w:sz w:val="20"/>
        </w:rPr>
        <w:t> </w:t>
      </w:r>
      <w:r>
        <w:rPr>
          <w:sz w:val="20"/>
        </w:rPr>
        <w:t>should</w:t>
      </w:r>
      <w:r>
        <w:rPr>
          <w:spacing w:val="-5"/>
          <w:sz w:val="20"/>
        </w:rPr>
        <w:t> </w:t>
      </w:r>
      <w:r>
        <w:rPr>
          <w:sz w:val="20"/>
        </w:rPr>
        <w:t>be</w:t>
      </w:r>
      <w:r>
        <w:rPr>
          <w:spacing w:val="-5"/>
          <w:sz w:val="20"/>
        </w:rPr>
        <w:t> </w:t>
      </w:r>
      <w:r>
        <w:rPr>
          <w:sz w:val="20"/>
        </w:rPr>
        <w:t>created</w:t>
      </w:r>
      <w:r>
        <w:rPr>
          <w:spacing w:val="-5"/>
          <w:sz w:val="20"/>
        </w:rPr>
        <w:t> </w:t>
      </w:r>
      <w:r>
        <w:rPr>
          <w:sz w:val="20"/>
        </w:rPr>
        <w:t>to</w:t>
      </w:r>
      <w:r>
        <w:rPr>
          <w:spacing w:val="-5"/>
          <w:sz w:val="20"/>
        </w:rPr>
        <w:t> </w:t>
      </w:r>
      <w:r>
        <w:rPr>
          <w:sz w:val="20"/>
        </w:rPr>
        <w:t>provide</w:t>
      </w:r>
      <w:r>
        <w:rPr>
          <w:spacing w:val="-5"/>
          <w:sz w:val="20"/>
        </w:rPr>
        <w:t> </w:t>
      </w:r>
      <w:r>
        <w:rPr>
          <w:sz w:val="20"/>
        </w:rPr>
        <w:t>a</w:t>
      </w:r>
      <w:r>
        <w:rPr>
          <w:spacing w:val="-5"/>
          <w:sz w:val="20"/>
        </w:rPr>
        <w:t> </w:t>
      </w:r>
      <w:r>
        <w:rPr>
          <w:sz w:val="20"/>
        </w:rPr>
        <w:t>potential</w:t>
      </w:r>
      <w:r>
        <w:rPr>
          <w:spacing w:val="-5"/>
          <w:sz w:val="20"/>
        </w:rPr>
        <w:t> </w:t>
      </w:r>
      <w:r>
        <w:rPr>
          <w:sz w:val="20"/>
        </w:rPr>
        <w:t>juror</w:t>
      </w:r>
      <w:r>
        <w:rPr>
          <w:spacing w:val="-5"/>
          <w:sz w:val="20"/>
        </w:rPr>
        <w:t> </w:t>
      </w:r>
      <w:r>
        <w:rPr>
          <w:sz w:val="20"/>
        </w:rPr>
        <w:t>with</w:t>
      </w:r>
      <w:r>
        <w:rPr>
          <w:spacing w:val="-5"/>
          <w:sz w:val="20"/>
        </w:rPr>
        <w:t> </w:t>
      </w:r>
      <w:r>
        <w:rPr>
          <w:sz w:val="20"/>
        </w:rPr>
        <w:t>assistance,</w:t>
      </w:r>
    </w:p>
    <w:p>
      <w:pPr>
        <w:pStyle w:val="BodyText"/>
        <w:spacing w:line="259" w:lineRule="exact"/>
        <w:ind w:left="1771"/>
      </w:pPr>
      <w:r>
        <w:rPr/>
        <w:t>if they need it, to navigate the court building during the selection process and trial.</w:t>
      </w:r>
    </w:p>
    <w:p>
      <w:pPr>
        <w:pStyle w:val="ListParagraph"/>
        <w:numPr>
          <w:ilvl w:val="0"/>
          <w:numId w:val="9"/>
        </w:numPr>
        <w:tabs>
          <w:tab w:pos="1771" w:val="left" w:leader="none"/>
          <w:tab w:pos="1772" w:val="left" w:leader="none"/>
        </w:tabs>
        <w:spacing w:line="206" w:lineRule="auto" w:before="108" w:after="0"/>
        <w:ind w:left="1771" w:right="1369" w:hanging="793"/>
        <w:jc w:val="left"/>
        <w:rPr>
          <w:sz w:val="20"/>
        </w:rPr>
      </w:pPr>
      <w:r>
        <w:rPr>
          <w:sz w:val="20"/>
        </w:rPr>
        <w:t>Auslan interpreters should undergo specialised training to interpret for a </w:t>
      </w:r>
      <w:r>
        <w:rPr>
          <w:spacing w:val="-3"/>
          <w:sz w:val="20"/>
        </w:rPr>
        <w:t>juror. </w:t>
      </w:r>
      <w:r>
        <w:rPr>
          <w:sz w:val="20"/>
        </w:rPr>
        <w:t>Because</w:t>
      </w:r>
      <w:r>
        <w:rPr>
          <w:spacing w:val="-9"/>
          <w:sz w:val="20"/>
        </w:rPr>
        <w:t> </w:t>
      </w:r>
      <w:r>
        <w:rPr>
          <w:sz w:val="20"/>
        </w:rPr>
        <w:t>Auslan</w:t>
      </w:r>
      <w:r>
        <w:rPr>
          <w:spacing w:val="-9"/>
          <w:sz w:val="20"/>
        </w:rPr>
        <w:t> </w:t>
      </w:r>
      <w:r>
        <w:rPr>
          <w:sz w:val="20"/>
        </w:rPr>
        <w:t>interpreters</w:t>
      </w:r>
      <w:r>
        <w:rPr>
          <w:spacing w:val="-8"/>
          <w:sz w:val="20"/>
        </w:rPr>
        <w:t> </w:t>
      </w:r>
      <w:r>
        <w:rPr>
          <w:sz w:val="20"/>
        </w:rPr>
        <w:t>are</w:t>
      </w:r>
      <w:r>
        <w:rPr>
          <w:spacing w:val="-9"/>
          <w:sz w:val="20"/>
        </w:rPr>
        <w:t> </w:t>
      </w:r>
      <w:r>
        <w:rPr>
          <w:sz w:val="20"/>
        </w:rPr>
        <w:t>already</w:t>
      </w:r>
      <w:r>
        <w:rPr>
          <w:spacing w:val="-9"/>
          <w:sz w:val="20"/>
        </w:rPr>
        <w:t> </w:t>
      </w:r>
      <w:r>
        <w:rPr>
          <w:sz w:val="20"/>
        </w:rPr>
        <w:t>highly</w:t>
      </w:r>
      <w:r>
        <w:rPr>
          <w:spacing w:val="-8"/>
          <w:sz w:val="20"/>
        </w:rPr>
        <w:t> </w:t>
      </w:r>
      <w:r>
        <w:rPr>
          <w:sz w:val="20"/>
        </w:rPr>
        <w:t>trained,</w:t>
      </w:r>
      <w:r>
        <w:rPr>
          <w:spacing w:val="-9"/>
          <w:sz w:val="20"/>
        </w:rPr>
        <w:t> </w:t>
      </w:r>
      <w:r>
        <w:rPr>
          <w:sz w:val="20"/>
        </w:rPr>
        <w:t>this</w:t>
      </w:r>
      <w:r>
        <w:rPr>
          <w:spacing w:val="-8"/>
          <w:sz w:val="20"/>
        </w:rPr>
        <w:t> </w:t>
      </w:r>
      <w:r>
        <w:rPr>
          <w:sz w:val="20"/>
        </w:rPr>
        <w:t>additional</w:t>
      </w:r>
      <w:r>
        <w:rPr>
          <w:spacing w:val="-9"/>
          <w:sz w:val="20"/>
        </w:rPr>
        <w:t> </w:t>
      </w:r>
      <w:r>
        <w:rPr>
          <w:sz w:val="20"/>
        </w:rPr>
        <w:t>training</w:t>
      </w:r>
      <w:r>
        <w:rPr>
          <w:spacing w:val="-9"/>
          <w:sz w:val="20"/>
        </w:rPr>
        <w:t> </w:t>
      </w:r>
      <w:r>
        <w:rPr>
          <w:sz w:val="20"/>
        </w:rPr>
        <w:t>should not be</w:t>
      </w:r>
      <w:r>
        <w:rPr>
          <w:spacing w:val="-5"/>
          <w:sz w:val="20"/>
        </w:rPr>
        <w:t> </w:t>
      </w:r>
      <w:r>
        <w:rPr>
          <w:sz w:val="20"/>
        </w:rPr>
        <w:t>onerous.</w:t>
      </w:r>
    </w:p>
    <w:p>
      <w:pPr>
        <w:pStyle w:val="ListParagraph"/>
        <w:numPr>
          <w:ilvl w:val="0"/>
          <w:numId w:val="9"/>
        </w:numPr>
        <w:tabs>
          <w:tab w:pos="1771" w:val="left" w:leader="none"/>
          <w:tab w:pos="1772" w:val="left" w:leader="none"/>
        </w:tabs>
        <w:spacing w:line="206" w:lineRule="auto" w:before="118" w:after="0"/>
        <w:ind w:left="1771" w:right="1387" w:hanging="793"/>
        <w:jc w:val="left"/>
        <w:rPr>
          <w:sz w:val="20"/>
        </w:rPr>
      </w:pPr>
      <w:r>
        <w:rPr>
          <w:sz w:val="20"/>
        </w:rPr>
        <w:t>A</w:t>
      </w:r>
      <w:r>
        <w:rPr>
          <w:spacing w:val="-6"/>
          <w:sz w:val="20"/>
        </w:rPr>
        <w:t> </w:t>
      </w:r>
      <w:r>
        <w:rPr>
          <w:sz w:val="20"/>
        </w:rPr>
        <w:t>person</w:t>
      </w:r>
      <w:r>
        <w:rPr>
          <w:spacing w:val="-5"/>
          <w:sz w:val="20"/>
        </w:rPr>
        <w:t> </w:t>
      </w:r>
      <w:r>
        <w:rPr>
          <w:sz w:val="20"/>
        </w:rPr>
        <w:t>who</w:t>
      </w:r>
      <w:r>
        <w:rPr>
          <w:spacing w:val="-5"/>
          <w:sz w:val="20"/>
        </w:rPr>
        <w:t> </w:t>
      </w:r>
      <w:r>
        <w:rPr>
          <w:sz w:val="20"/>
        </w:rPr>
        <w:t>is</w:t>
      </w:r>
      <w:r>
        <w:rPr>
          <w:spacing w:val="-5"/>
          <w:sz w:val="20"/>
        </w:rPr>
        <w:t> </w:t>
      </w:r>
      <w:r>
        <w:rPr>
          <w:sz w:val="20"/>
        </w:rPr>
        <w:t>blind</w:t>
      </w:r>
      <w:r>
        <w:rPr>
          <w:spacing w:val="-5"/>
          <w:sz w:val="20"/>
        </w:rPr>
        <w:t> </w:t>
      </w:r>
      <w:r>
        <w:rPr>
          <w:sz w:val="20"/>
        </w:rPr>
        <w:t>or</w:t>
      </w:r>
      <w:r>
        <w:rPr>
          <w:spacing w:val="-5"/>
          <w:sz w:val="20"/>
        </w:rPr>
        <w:t> </w:t>
      </w:r>
      <w:r>
        <w:rPr>
          <w:sz w:val="20"/>
        </w:rPr>
        <w:t>has</w:t>
      </w:r>
      <w:r>
        <w:rPr>
          <w:spacing w:val="-5"/>
          <w:sz w:val="20"/>
        </w:rPr>
        <w:t> </w:t>
      </w:r>
      <w:r>
        <w:rPr>
          <w:spacing w:val="-3"/>
          <w:sz w:val="20"/>
        </w:rPr>
        <w:t>low</w:t>
      </w:r>
      <w:r>
        <w:rPr>
          <w:spacing w:val="-5"/>
          <w:sz w:val="20"/>
        </w:rPr>
        <w:t> </w:t>
      </w:r>
      <w:r>
        <w:rPr>
          <w:sz w:val="20"/>
        </w:rPr>
        <w:t>vision</w:t>
      </w:r>
      <w:r>
        <w:rPr>
          <w:spacing w:val="-6"/>
          <w:sz w:val="20"/>
        </w:rPr>
        <w:t> </w:t>
      </w:r>
      <w:r>
        <w:rPr>
          <w:sz w:val="20"/>
        </w:rPr>
        <w:t>may</w:t>
      </w:r>
      <w:r>
        <w:rPr>
          <w:spacing w:val="-5"/>
          <w:sz w:val="20"/>
        </w:rPr>
        <w:t> </w:t>
      </w:r>
      <w:r>
        <w:rPr>
          <w:sz w:val="20"/>
        </w:rPr>
        <w:t>require</w:t>
      </w:r>
      <w:r>
        <w:rPr>
          <w:spacing w:val="-5"/>
          <w:sz w:val="20"/>
        </w:rPr>
        <w:t> </w:t>
      </w:r>
      <w:r>
        <w:rPr>
          <w:sz w:val="20"/>
        </w:rPr>
        <w:t>support</w:t>
      </w:r>
      <w:r>
        <w:rPr>
          <w:spacing w:val="-5"/>
          <w:sz w:val="20"/>
        </w:rPr>
        <w:t> </w:t>
      </w:r>
      <w:r>
        <w:rPr>
          <w:sz w:val="20"/>
        </w:rPr>
        <w:t>to</w:t>
      </w:r>
      <w:r>
        <w:rPr>
          <w:spacing w:val="-5"/>
          <w:sz w:val="20"/>
        </w:rPr>
        <w:t> </w:t>
      </w:r>
      <w:r>
        <w:rPr>
          <w:sz w:val="20"/>
        </w:rPr>
        <w:t>access</w:t>
      </w:r>
      <w:r>
        <w:rPr>
          <w:spacing w:val="-5"/>
          <w:sz w:val="20"/>
        </w:rPr>
        <w:t> </w:t>
      </w:r>
      <w:r>
        <w:rPr>
          <w:sz w:val="20"/>
        </w:rPr>
        <w:t>visual</w:t>
      </w:r>
      <w:r>
        <w:rPr>
          <w:spacing w:val="-5"/>
          <w:sz w:val="20"/>
        </w:rPr>
        <w:t> </w:t>
      </w:r>
      <w:r>
        <w:rPr>
          <w:sz w:val="20"/>
        </w:rPr>
        <w:t>material in a trial. When audio description becomes more professionalised and regulated in Australia, audio describers may take on the support person </w:t>
      </w:r>
      <w:r>
        <w:rPr>
          <w:spacing w:val="-3"/>
          <w:sz w:val="20"/>
        </w:rPr>
        <w:t>role, </w:t>
      </w:r>
      <w:r>
        <w:rPr>
          <w:sz w:val="20"/>
        </w:rPr>
        <w:t>with appropriate training.</w:t>
      </w:r>
    </w:p>
    <w:p>
      <w:pPr>
        <w:pStyle w:val="ListParagraph"/>
        <w:numPr>
          <w:ilvl w:val="0"/>
          <w:numId w:val="9"/>
        </w:numPr>
        <w:tabs>
          <w:tab w:pos="1771" w:val="left" w:leader="none"/>
          <w:tab w:pos="1772" w:val="left" w:leader="none"/>
        </w:tabs>
        <w:spacing w:line="206" w:lineRule="auto" w:before="118" w:after="0"/>
        <w:ind w:left="1771" w:right="1372" w:hanging="793"/>
        <w:jc w:val="left"/>
        <w:rPr>
          <w:sz w:val="20"/>
        </w:rPr>
      </w:pPr>
      <w:r>
        <w:rPr>
          <w:sz w:val="20"/>
        </w:rPr>
        <w:t>Auslan interpreters and support persons should sign up to standards and a code of conduct, to be developed </w:t>
      </w:r>
      <w:r>
        <w:rPr>
          <w:spacing w:val="-3"/>
          <w:sz w:val="20"/>
        </w:rPr>
        <w:t>by </w:t>
      </w:r>
      <w:r>
        <w:rPr>
          <w:sz w:val="20"/>
        </w:rPr>
        <w:t>the courts, outlining their role and responsibilities in jury</w:t>
      </w:r>
      <w:r>
        <w:rPr>
          <w:spacing w:val="-6"/>
          <w:sz w:val="20"/>
        </w:rPr>
        <w:t> </w:t>
      </w:r>
      <w:r>
        <w:rPr>
          <w:sz w:val="20"/>
        </w:rPr>
        <w:t>work.</w:t>
      </w:r>
      <w:r>
        <w:rPr>
          <w:spacing w:val="-5"/>
          <w:sz w:val="20"/>
        </w:rPr>
        <w:t> </w:t>
      </w:r>
      <w:r>
        <w:rPr>
          <w:sz w:val="20"/>
        </w:rPr>
        <w:t>They</w:t>
      </w:r>
      <w:r>
        <w:rPr>
          <w:spacing w:val="-6"/>
          <w:sz w:val="20"/>
        </w:rPr>
        <w:t> </w:t>
      </w:r>
      <w:r>
        <w:rPr>
          <w:sz w:val="20"/>
        </w:rPr>
        <w:t>should</w:t>
      </w:r>
      <w:r>
        <w:rPr>
          <w:spacing w:val="-5"/>
          <w:sz w:val="20"/>
        </w:rPr>
        <w:t> </w:t>
      </w:r>
      <w:r>
        <w:rPr>
          <w:sz w:val="20"/>
        </w:rPr>
        <w:t>also</w:t>
      </w:r>
      <w:r>
        <w:rPr>
          <w:spacing w:val="-5"/>
          <w:sz w:val="20"/>
        </w:rPr>
        <w:t> </w:t>
      </w:r>
      <w:r>
        <w:rPr>
          <w:sz w:val="20"/>
        </w:rPr>
        <w:t>provide</w:t>
      </w:r>
      <w:r>
        <w:rPr>
          <w:spacing w:val="-6"/>
          <w:sz w:val="20"/>
        </w:rPr>
        <w:t> </w:t>
      </w:r>
      <w:r>
        <w:rPr>
          <w:sz w:val="20"/>
        </w:rPr>
        <w:t>an</w:t>
      </w:r>
      <w:r>
        <w:rPr>
          <w:spacing w:val="-5"/>
          <w:sz w:val="20"/>
        </w:rPr>
        <w:t> </w:t>
      </w:r>
      <w:r>
        <w:rPr>
          <w:sz w:val="20"/>
        </w:rPr>
        <w:t>oath</w:t>
      </w:r>
      <w:r>
        <w:rPr>
          <w:spacing w:val="-5"/>
          <w:sz w:val="20"/>
        </w:rPr>
        <w:t> </w:t>
      </w:r>
      <w:r>
        <w:rPr>
          <w:sz w:val="20"/>
        </w:rPr>
        <w:t>to</w:t>
      </w:r>
      <w:r>
        <w:rPr>
          <w:spacing w:val="-6"/>
          <w:sz w:val="20"/>
        </w:rPr>
        <w:t> </w:t>
      </w:r>
      <w:r>
        <w:rPr>
          <w:sz w:val="20"/>
        </w:rPr>
        <w:t>the</w:t>
      </w:r>
      <w:r>
        <w:rPr>
          <w:spacing w:val="-5"/>
          <w:sz w:val="20"/>
        </w:rPr>
        <w:t> </w:t>
      </w:r>
      <w:r>
        <w:rPr>
          <w:sz w:val="20"/>
        </w:rPr>
        <w:t>court</w:t>
      </w:r>
      <w:r>
        <w:rPr>
          <w:spacing w:val="-5"/>
          <w:sz w:val="20"/>
        </w:rPr>
        <w:t> </w:t>
      </w:r>
      <w:r>
        <w:rPr>
          <w:sz w:val="20"/>
        </w:rPr>
        <w:t>in</w:t>
      </w:r>
      <w:r>
        <w:rPr>
          <w:spacing w:val="-6"/>
          <w:sz w:val="20"/>
        </w:rPr>
        <w:t> </w:t>
      </w:r>
      <w:r>
        <w:rPr>
          <w:sz w:val="20"/>
        </w:rPr>
        <w:t>relation</w:t>
      </w:r>
      <w:r>
        <w:rPr>
          <w:spacing w:val="-5"/>
          <w:sz w:val="20"/>
        </w:rPr>
        <w:t> </w:t>
      </w:r>
      <w:r>
        <w:rPr>
          <w:sz w:val="20"/>
        </w:rPr>
        <w:t>to</w:t>
      </w:r>
      <w:r>
        <w:rPr>
          <w:spacing w:val="-5"/>
          <w:sz w:val="20"/>
        </w:rPr>
        <w:t> </w:t>
      </w:r>
      <w:r>
        <w:rPr>
          <w:sz w:val="20"/>
        </w:rPr>
        <w:t>their</w:t>
      </w:r>
      <w:r>
        <w:rPr>
          <w:spacing w:val="-6"/>
          <w:sz w:val="20"/>
        </w:rPr>
        <w:t> </w:t>
      </w:r>
      <w:r>
        <w:rPr>
          <w:sz w:val="20"/>
        </w:rPr>
        <w:t>duties</w:t>
      </w:r>
      <w:r>
        <w:rPr>
          <w:spacing w:val="-5"/>
          <w:sz w:val="20"/>
        </w:rPr>
        <w:t> </w:t>
      </w:r>
      <w:r>
        <w:rPr>
          <w:sz w:val="20"/>
        </w:rPr>
        <w:t>and responsibilities and be liable to new penalties for breach of those</w:t>
      </w:r>
      <w:r>
        <w:rPr>
          <w:spacing w:val="-37"/>
          <w:sz w:val="20"/>
        </w:rPr>
        <w:t> </w:t>
      </w:r>
      <w:r>
        <w:rPr>
          <w:sz w:val="20"/>
        </w:rPr>
        <w:t>duties.</w:t>
      </w:r>
    </w:p>
    <w:p>
      <w:pPr>
        <w:pStyle w:val="BodyText"/>
        <w:spacing w:before="1"/>
        <w:rPr>
          <w:sz w:val="17"/>
        </w:rPr>
      </w:pPr>
    </w:p>
    <w:p>
      <w:pPr>
        <w:spacing w:before="1"/>
        <w:ind w:left="100" w:right="0" w:firstLine="0"/>
        <w:jc w:val="left"/>
        <w:rPr>
          <w:b/>
          <w:sz w:val="24"/>
        </w:rPr>
      </w:pPr>
      <w:r>
        <w:rPr>
          <w:b/>
          <w:color w:val="37617A"/>
          <w:sz w:val="24"/>
        </w:rPr>
        <w:t>xx</w:t>
      </w:r>
    </w:p>
    <w:p>
      <w:pPr>
        <w:spacing w:after="0"/>
        <w:jc w:val="left"/>
        <w:rPr>
          <w:sz w:val="24"/>
        </w:rPr>
        <w:sectPr>
          <w:pgSz w:w="11910" w:h="16840"/>
          <w:pgMar w:header="567" w:footer="0" w:top="860" w:bottom="280" w:left="620" w:right="380"/>
        </w:sectPr>
      </w:pPr>
    </w:p>
    <w:p>
      <w:pPr>
        <w:pStyle w:val="BodyText"/>
        <w:rPr>
          <w:b/>
        </w:rPr>
      </w:pPr>
    </w:p>
    <w:p>
      <w:pPr>
        <w:pStyle w:val="BodyText"/>
        <w:rPr>
          <w:b/>
        </w:rPr>
      </w:pPr>
    </w:p>
    <w:p>
      <w:pPr>
        <w:pStyle w:val="BodyText"/>
        <w:rPr>
          <w:b/>
        </w:rPr>
      </w:pPr>
    </w:p>
    <w:p>
      <w:pPr>
        <w:pStyle w:val="BodyText"/>
        <w:spacing w:before="1"/>
        <w:rPr>
          <w:b/>
          <w:sz w:val="15"/>
        </w:rPr>
      </w:pPr>
    </w:p>
    <w:p>
      <w:pPr>
        <w:pStyle w:val="ListParagraph"/>
        <w:numPr>
          <w:ilvl w:val="0"/>
          <w:numId w:val="9"/>
        </w:numPr>
        <w:tabs>
          <w:tab w:pos="1755" w:val="left" w:leader="none"/>
          <w:tab w:pos="1756" w:val="left" w:leader="none"/>
        </w:tabs>
        <w:spacing w:line="206" w:lineRule="auto" w:before="89" w:after="0"/>
        <w:ind w:left="1755" w:right="1238" w:hanging="794"/>
        <w:jc w:val="left"/>
        <w:rPr>
          <w:sz w:val="20"/>
        </w:rPr>
      </w:pPr>
      <w:r>
        <w:rPr>
          <w:sz w:val="20"/>
        </w:rPr>
        <w:t>Change</w:t>
      </w:r>
      <w:r>
        <w:rPr>
          <w:spacing w:val="-5"/>
          <w:sz w:val="20"/>
        </w:rPr>
        <w:t> </w:t>
      </w:r>
      <w:r>
        <w:rPr>
          <w:sz w:val="20"/>
        </w:rPr>
        <w:t>may</w:t>
      </w:r>
      <w:r>
        <w:rPr>
          <w:spacing w:val="-4"/>
          <w:sz w:val="20"/>
        </w:rPr>
        <w:t> </w:t>
      </w:r>
      <w:r>
        <w:rPr>
          <w:sz w:val="20"/>
        </w:rPr>
        <w:t>also</w:t>
      </w:r>
      <w:r>
        <w:rPr>
          <w:spacing w:val="-5"/>
          <w:sz w:val="20"/>
        </w:rPr>
        <w:t> </w:t>
      </w:r>
      <w:r>
        <w:rPr>
          <w:sz w:val="20"/>
        </w:rPr>
        <w:t>be</w:t>
      </w:r>
      <w:r>
        <w:rPr>
          <w:spacing w:val="-4"/>
          <w:sz w:val="20"/>
        </w:rPr>
        <w:t> </w:t>
      </w:r>
      <w:r>
        <w:rPr>
          <w:sz w:val="20"/>
        </w:rPr>
        <w:t>needed</w:t>
      </w:r>
      <w:r>
        <w:rPr>
          <w:spacing w:val="-5"/>
          <w:sz w:val="20"/>
        </w:rPr>
        <w:t> </w:t>
      </w:r>
      <w:r>
        <w:rPr>
          <w:sz w:val="20"/>
        </w:rPr>
        <w:t>to</w:t>
      </w:r>
      <w:r>
        <w:rPr>
          <w:spacing w:val="-4"/>
          <w:sz w:val="20"/>
        </w:rPr>
        <w:t> </w:t>
      </w:r>
      <w:r>
        <w:rPr>
          <w:sz w:val="20"/>
        </w:rPr>
        <w:t>the</w:t>
      </w:r>
      <w:r>
        <w:rPr>
          <w:spacing w:val="-5"/>
          <w:sz w:val="20"/>
        </w:rPr>
        <w:t> </w:t>
      </w:r>
      <w:r>
        <w:rPr>
          <w:spacing w:val="-3"/>
          <w:sz w:val="20"/>
        </w:rPr>
        <w:t>way</w:t>
      </w:r>
      <w:r>
        <w:rPr>
          <w:spacing w:val="-4"/>
          <w:sz w:val="20"/>
        </w:rPr>
        <w:t> </w:t>
      </w:r>
      <w:r>
        <w:rPr>
          <w:sz w:val="20"/>
        </w:rPr>
        <w:t>that</w:t>
      </w:r>
      <w:r>
        <w:rPr>
          <w:spacing w:val="-5"/>
          <w:sz w:val="20"/>
        </w:rPr>
        <w:t> </w:t>
      </w:r>
      <w:r>
        <w:rPr>
          <w:sz w:val="20"/>
        </w:rPr>
        <w:t>courtrooms</w:t>
      </w:r>
      <w:r>
        <w:rPr>
          <w:spacing w:val="-4"/>
          <w:sz w:val="20"/>
        </w:rPr>
        <w:t> </w:t>
      </w:r>
      <w:r>
        <w:rPr>
          <w:sz w:val="20"/>
        </w:rPr>
        <w:t>are</w:t>
      </w:r>
      <w:r>
        <w:rPr>
          <w:spacing w:val="-5"/>
          <w:sz w:val="20"/>
        </w:rPr>
        <w:t> </w:t>
      </w:r>
      <w:r>
        <w:rPr>
          <w:sz w:val="20"/>
        </w:rPr>
        <w:t>organised</w:t>
      </w:r>
      <w:r>
        <w:rPr>
          <w:spacing w:val="-4"/>
          <w:sz w:val="20"/>
        </w:rPr>
        <w:t> </w:t>
      </w:r>
      <w:r>
        <w:rPr>
          <w:sz w:val="20"/>
        </w:rPr>
        <w:t>and</w:t>
      </w:r>
      <w:r>
        <w:rPr>
          <w:spacing w:val="-4"/>
          <w:sz w:val="20"/>
        </w:rPr>
        <w:t> </w:t>
      </w:r>
      <w:r>
        <w:rPr>
          <w:sz w:val="20"/>
        </w:rPr>
        <w:t>how</w:t>
      </w:r>
      <w:r>
        <w:rPr>
          <w:spacing w:val="-5"/>
          <w:sz w:val="20"/>
        </w:rPr>
        <w:t> </w:t>
      </w:r>
      <w:r>
        <w:rPr>
          <w:sz w:val="20"/>
        </w:rPr>
        <w:t>some trials are run to accommodate the use of reasonable adjustments. </w:t>
      </w:r>
      <w:r>
        <w:rPr>
          <w:spacing w:val="-6"/>
          <w:sz w:val="20"/>
        </w:rPr>
        <w:t>We </w:t>
      </w:r>
      <w:r>
        <w:rPr>
          <w:sz w:val="20"/>
        </w:rPr>
        <w:t>recommend that there should be training for the judiciary and profession and protocols to ensure that this happens</w:t>
      </w:r>
      <w:r>
        <w:rPr>
          <w:spacing w:val="-7"/>
          <w:sz w:val="20"/>
        </w:rPr>
        <w:t> </w:t>
      </w:r>
      <w:r>
        <w:rPr>
          <w:spacing w:val="-3"/>
          <w:sz w:val="20"/>
        </w:rPr>
        <w:t>smoothly.</w:t>
      </w:r>
    </w:p>
    <w:p>
      <w:pPr>
        <w:pStyle w:val="BodyText"/>
        <w:spacing w:before="2"/>
        <w:rPr>
          <w:sz w:val="16"/>
        </w:rPr>
      </w:pPr>
    </w:p>
    <w:p>
      <w:pPr>
        <w:spacing w:before="0"/>
        <w:ind w:left="961" w:right="0" w:firstLine="0"/>
        <w:jc w:val="left"/>
        <w:rPr>
          <w:rFonts w:ascii="Raleway ExtraBold"/>
          <w:b/>
          <w:sz w:val="28"/>
        </w:rPr>
      </w:pPr>
      <w:r>
        <w:rPr>
          <w:rFonts w:ascii="Raleway ExtraBold"/>
          <w:b/>
          <w:color w:val="37617A"/>
          <w:sz w:val="28"/>
        </w:rPr>
        <w:t>Challenges during the juror selection process</w:t>
      </w:r>
    </w:p>
    <w:p>
      <w:pPr>
        <w:pStyle w:val="ListParagraph"/>
        <w:numPr>
          <w:ilvl w:val="0"/>
          <w:numId w:val="9"/>
        </w:numPr>
        <w:tabs>
          <w:tab w:pos="1755" w:val="left" w:leader="none"/>
          <w:tab w:pos="1756" w:val="left" w:leader="none"/>
        </w:tabs>
        <w:spacing w:line="206" w:lineRule="auto" w:before="146" w:after="0"/>
        <w:ind w:left="1755" w:right="1542" w:hanging="794"/>
        <w:jc w:val="left"/>
        <w:rPr>
          <w:sz w:val="20"/>
        </w:rPr>
      </w:pPr>
      <w:r>
        <w:rPr>
          <w:sz w:val="20"/>
        </w:rPr>
        <w:t>Parties and the </w:t>
      </w:r>
      <w:r>
        <w:rPr>
          <w:spacing w:val="-3"/>
          <w:sz w:val="20"/>
        </w:rPr>
        <w:t>Crown have </w:t>
      </w:r>
      <w:r>
        <w:rPr>
          <w:sz w:val="20"/>
        </w:rPr>
        <w:t>a right to challenge the selection of a potential juror without giving reasons, </w:t>
      </w:r>
      <w:r>
        <w:rPr>
          <w:spacing w:val="-3"/>
          <w:sz w:val="20"/>
        </w:rPr>
        <w:t>by </w:t>
      </w:r>
      <w:r>
        <w:rPr>
          <w:sz w:val="20"/>
        </w:rPr>
        <w:t>exercising respectively ‘peremptory challenges’ and ‘stand </w:t>
      </w:r>
      <w:r>
        <w:rPr>
          <w:spacing w:val="-3"/>
          <w:sz w:val="20"/>
        </w:rPr>
        <w:t>asides’. </w:t>
      </w:r>
      <w:r>
        <w:rPr>
          <w:sz w:val="20"/>
        </w:rPr>
        <w:t>These challenges aim to ensure that the accused receives a fair trial and to allow the accused to exercise some influence </w:t>
      </w:r>
      <w:r>
        <w:rPr>
          <w:spacing w:val="-3"/>
          <w:sz w:val="20"/>
        </w:rPr>
        <w:t>over </w:t>
      </w:r>
      <w:r>
        <w:rPr>
          <w:sz w:val="20"/>
        </w:rPr>
        <w:t>the composition of the jury.</w:t>
      </w:r>
      <w:r>
        <w:rPr>
          <w:spacing w:val="-6"/>
          <w:sz w:val="20"/>
        </w:rPr>
        <w:t> </w:t>
      </w:r>
      <w:r>
        <w:rPr>
          <w:sz w:val="20"/>
        </w:rPr>
        <w:t>While</w:t>
      </w:r>
      <w:r>
        <w:rPr>
          <w:spacing w:val="-6"/>
          <w:sz w:val="20"/>
        </w:rPr>
        <w:t> </w:t>
      </w:r>
      <w:r>
        <w:rPr>
          <w:spacing w:val="-3"/>
          <w:sz w:val="20"/>
        </w:rPr>
        <w:t>we</w:t>
      </w:r>
      <w:r>
        <w:rPr>
          <w:spacing w:val="-6"/>
          <w:sz w:val="20"/>
        </w:rPr>
        <w:t> </w:t>
      </w:r>
      <w:r>
        <w:rPr>
          <w:sz w:val="20"/>
        </w:rPr>
        <w:t>hold</w:t>
      </w:r>
      <w:r>
        <w:rPr>
          <w:spacing w:val="-6"/>
          <w:sz w:val="20"/>
        </w:rPr>
        <w:t> </w:t>
      </w:r>
      <w:r>
        <w:rPr>
          <w:sz w:val="20"/>
        </w:rPr>
        <w:t>concerns</w:t>
      </w:r>
      <w:r>
        <w:rPr>
          <w:spacing w:val="-6"/>
          <w:sz w:val="20"/>
        </w:rPr>
        <w:t> </w:t>
      </w:r>
      <w:r>
        <w:rPr>
          <w:sz w:val="20"/>
        </w:rPr>
        <w:t>that</w:t>
      </w:r>
      <w:r>
        <w:rPr>
          <w:spacing w:val="-6"/>
          <w:sz w:val="20"/>
        </w:rPr>
        <w:t> </w:t>
      </w:r>
      <w:r>
        <w:rPr>
          <w:sz w:val="20"/>
        </w:rPr>
        <w:t>these</w:t>
      </w:r>
      <w:r>
        <w:rPr>
          <w:spacing w:val="-5"/>
          <w:sz w:val="20"/>
        </w:rPr>
        <w:t> </w:t>
      </w:r>
      <w:r>
        <w:rPr>
          <w:sz w:val="20"/>
        </w:rPr>
        <w:t>challenges</w:t>
      </w:r>
      <w:r>
        <w:rPr>
          <w:spacing w:val="-6"/>
          <w:sz w:val="20"/>
        </w:rPr>
        <w:t> </w:t>
      </w:r>
      <w:r>
        <w:rPr>
          <w:sz w:val="20"/>
        </w:rPr>
        <w:t>may</w:t>
      </w:r>
      <w:r>
        <w:rPr>
          <w:spacing w:val="-6"/>
          <w:sz w:val="20"/>
        </w:rPr>
        <w:t> </w:t>
      </w:r>
      <w:r>
        <w:rPr>
          <w:sz w:val="20"/>
        </w:rPr>
        <w:t>be</w:t>
      </w:r>
      <w:r>
        <w:rPr>
          <w:spacing w:val="-6"/>
          <w:sz w:val="20"/>
        </w:rPr>
        <w:t> </w:t>
      </w:r>
      <w:r>
        <w:rPr>
          <w:sz w:val="20"/>
        </w:rPr>
        <w:t>used</w:t>
      </w:r>
      <w:r>
        <w:rPr>
          <w:spacing w:val="-6"/>
          <w:sz w:val="20"/>
        </w:rPr>
        <w:t> </w:t>
      </w:r>
      <w:r>
        <w:rPr>
          <w:sz w:val="20"/>
        </w:rPr>
        <w:t>to</w:t>
      </w:r>
      <w:r>
        <w:rPr>
          <w:spacing w:val="-6"/>
          <w:sz w:val="20"/>
        </w:rPr>
        <w:t> </w:t>
      </w:r>
      <w:r>
        <w:rPr>
          <w:spacing w:val="-3"/>
          <w:sz w:val="20"/>
        </w:rPr>
        <w:t>prevent</w:t>
      </w:r>
      <w:r>
        <w:rPr>
          <w:spacing w:val="-6"/>
          <w:sz w:val="20"/>
        </w:rPr>
        <w:t> </w:t>
      </w:r>
      <w:r>
        <w:rPr>
          <w:sz w:val="20"/>
        </w:rPr>
        <w:t>people from the subject groups from serving, </w:t>
      </w:r>
      <w:r>
        <w:rPr>
          <w:spacing w:val="-3"/>
          <w:sz w:val="20"/>
        </w:rPr>
        <w:t>we </w:t>
      </w:r>
      <w:r>
        <w:rPr>
          <w:sz w:val="20"/>
        </w:rPr>
        <w:t>conclude that the best </w:t>
      </w:r>
      <w:r>
        <w:rPr>
          <w:spacing w:val="-3"/>
          <w:sz w:val="20"/>
        </w:rPr>
        <w:t>way </w:t>
      </w:r>
      <w:r>
        <w:rPr>
          <w:sz w:val="20"/>
        </w:rPr>
        <w:t>to </w:t>
      </w:r>
      <w:r>
        <w:rPr>
          <w:spacing w:val="-3"/>
          <w:sz w:val="20"/>
        </w:rPr>
        <w:t>avoid </w:t>
      </w:r>
      <w:r>
        <w:rPr>
          <w:sz w:val="20"/>
        </w:rPr>
        <w:t>the discriminatory</w:t>
      </w:r>
      <w:r>
        <w:rPr>
          <w:spacing w:val="-6"/>
          <w:sz w:val="20"/>
        </w:rPr>
        <w:t> </w:t>
      </w:r>
      <w:r>
        <w:rPr>
          <w:sz w:val="20"/>
        </w:rPr>
        <w:t>use</w:t>
      </w:r>
      <w:r>
        <w:rPr>
          <w:spacing w:val="-6"/>
          <w:sz w:val="20"/>
        </w:rPr>
        <w:t> </w:t>
      </w:r>
      <w:r>
        <w:rPr>
          <w:sz w:val="20"/>
        </w:rPr>
        <w:t>of</w:t>
      </w:r>
      <w:r>
        <w:rPr>
          <w:spacing w:val="-6"/>
          <w:sz w:val="20"/>
        </w:rPr>
        <w:t> </w:t>
      </w:r>
      <w:r>
        <w:rPr>
          <w:sz w:val="20"/>
        </w:rPr>
        <w:t>these</w:t>
      </w:r>
      <w:r>
        <w:rPr>
          <w:spacing w:val="-6"/>
          <w:sz w:val="20"/>
        </w:rPr>
        <w:t> </w:t>
      </w:r>
      <w:r>
        <w:rPr>
          <w:sz w:val="20"/>
        </w:rPr>
        <w:t>challenges</w:t>
      </w:r>
      <w:r>
        <w:rPr>
          <w:spacing w:val="-6"/>
          <w:sz w:val="20"/>
        </w:rPr>
        <w:t> </w:t>
      </w:r>
      <w:r>
        <w:rPr>
          <w:sz w:val="20"/>
        </w:rPr>
        <w:t>is</w:t>
      </w:r>
      <w:r>
        <w:rPr>
          <w:spacing w:val="-6"/>
          <w:sz w:val="20"/>
        </w:rPr>
        <w:t> </w:t>
      </w:r>
      <w:r>
        <w:rPr>
          <w:sz w:val="20"/>
        </w:rPr>
        <w:t>to</w:t>
      </w:r>
      <w:r>
        <w:rPr>
          <w:spacing w:val="-6"/>
          <w:sz w:val="20"/>
        </w:rPr>
        <w:t> </w:t>
      </w:r>
      <w:r>
        <w:rPr>
          <w:sz w:val="20"/>
        </w:rPr>
        <w:t>educate</w:t>
      </w:r>
      <w:r>
        <w:rPr>
          <w:spacing w:val="-6"/>
          <w:sz w:val="20"/>
        </w:rPr>
        <w:t> </w:t>
      </w:r>
      <w:r>
        <w:rPr>
          <w:sz w:val="20"/>
        </w:rPr>
        <w:t>legal</w:t>
      </w:r>
      <w:r>
        <w:rPr>
          <w:spacing w:val="-6"/>
          <w:sz w:val="20"/>
        </w:rPr>
        <w:t> </w:t>
      </w:r>
      <w:r>
        <w:rPr>
          <w:sz w:val="20"/>
        </w:rPr>
        <w:t>professionals</w:t>
      </w:r>
      <w:r>
        <w:rPr>
          <w:spacing w:val="-6"/>
          <w:sz w:val="20"/>
        </w:rPr>
        <w:t> </w:t>
      </w:r>
      <w:r>
        <w:rPr>
          <w:sz w:val="20"/>
        </w:rPr>
        <w:t>about</w:t>
      </w:r>
      <w:r>
        <w:rPr>
          <w:spacing w:val="-6"/>
          <w:sz w:val="20"/>
        </w:rPr>
        <w:t> </w:t>
      </w:r>
      <w:r>
        <w:rPr>
          <w:sz w:val="20"/>
        </w:rPr>
        <w:t>how people</w:t>
      </w:r>
      <w:r>
        <w:rPr>
          <w:spacing w:val="-9"/>
          <w:sz w:val="20"/>
        </w:rPr>
        <w:t> </w:t>
      </w:r>
      <w:r>
        <w:rPr>
          <w:sz w:val="20"/>
        </w:rPr>
        <w:t>from</w:t>
      </w:r>
      <w:r>
        <w:rPr>
          <w:spacing w:val="-8"/>
          <w:sz w:val="20"/>
        </w:rPr>
        <w:t> </w:t>
      </w:r>
      <w:r>
        <w:rPr>
          <w:sz w:val="20"/>
        </w:rPr>
        <w:t>the</w:t>
      </w:r>
      <w:r>
        <w:rPr>
          <w:spacing w:val="-8"/>
          <w:sz w:val="20"/>
        </w:rPr>
        <w:t> </w:t>
      </w:r>
      <w:r>
        <w:rPr>
          <w:sz w:val="20"/>
        </w:rPr>
        <w:t>subject</w:t>
      </w:r>
      <w:r>
        <w:rPr>
          <w:spacing w:val="-8"/>
          <w:sz w:val="20"/>
        </w:rPr>
        <w:t> </w:t>
      </w:r>
      <w:r>
        <w:rPr>
          <w:sz w:val="20"/>
        </w:rPr>
        <w:t>groups</w:t>
      </w:r>
      <w:r>
        <w:rPr>
          <w:spacing w:val="-8"/>
          <w:sz w:val="20"/>
        </w:rPr>
        <w:t> </w:t>
      </w:r>
      <w:r>
        <w:rPr>
          <w:sz w:val="20"/>
        </w:rPr>
        <w:t>can</w:t>
      </w:r>
      <w:r>
        <w:rPr>
          <w:spacing w:val="-8"/>
          <w:sz w:val="20"/>
        </w:rPr>
        <w:t> </w:t>
      </w:r>
      <w:r>
        <w:rPr>
          <w:sz w:val="20"/>
        </w:rPr>
        <w:t>serve</w:t>
      </w:r>
      <w:r>
        <w:rPr>
          <w:spacing w:val="-8"/>
          <w:sz w:val="20"/>
        </w:rPr>
        <w:t> </w:t>
      </w:r>
      <w:r>
        <w:rPr>
          <w:sz w:val="20"/>
        </w:rPr>
        <w:t>effectively</w:t>
      </w:r>
      <w:r>
        <w:rPr>
          <w:spacing w:val="-8"/>
          <w:sz w:val="20"/>
        </w:rPr>
        <w:t> </w:t>
      </w:r>
      <w:r>
        <w:rPr>
          <w:sz w:val="20"/>
        </w:rPr>
        <w:t>with</w:t>
      </w:r>
      <w:r>
        <w:rPr>
          <w:spacing w:val="-8"/>
          <w:sz w:val="20"/>
        </w:rPr>
        <w:t> </w:t>
      </w:r>
      <w:r>
        <w:rPr>
          <w:sz w:val="20"/>
        </w:rPr>
        <w:t>reasonable</w:t>
      </w:r>
      <w:r>
        <w:rPr>
          <w:spacing w:val="-9"/>
          <w:sz w:val="20"/>
        </w:rPr>
        <w:t> </w:t>
      </w:r>
      <w:r>
        <w:rPr>
          <w:sz w:val="20"/>
        </w:rPr>
        <w:t>adjustments.</w:t>
      </w:r>
    </w:p>
    <w:p>
      <w:pPr>
        <w:pStyle w:val="BodyText"/>
        <w:spacing w:before="7"/>
        <w:rPr>
          <w:sz w:val="16"/>
        </w:rPr>
      </w:pPr>
    </w:p>
    <w:p>
      <w:pPr>
        <w:spacing w:before="0"/>
        <w:ind w:left="961" w:right="0" w:firstLine="0"/>
        <w:jc w:val="left"/>
        <w:rPr>
          <w:rFonts w:ascii="Raleway ExtraBold"/>
          <w:b/>
          <w:sz w:val="28"/>
        </w:rPr>
      </w:pPr>
      <w:r>
        <w:rPr>
          <w:rFonts w:ascii="Raleway ExtraBold"/>
          <w:b/>
          <w:color w:val="37617A"/>
          <w:sz w:val="28"/>
        </w:rPr>
        <w:t>Excuse</w:t>
      </w:r>
    </w:p>
    <w:p>
      <w:pPr>
        <w:pStyle w:val="ListParagraph"/>
        <w:numPr>
          <w:ilvl w:val="0"/>
          <w:numId w:val="9"/>
        </w:numPr>
        <w:tabs>
          <w:tab w:pos="1755" w:val="left" w:leader="none"/>
          <w:tab w:pos="1756" w:val="left" w:leader="none"/>
        </w:tabs>
        <w:spacing w:line="206" w:lineRule="auto" w:before="146" w:after="0"/>
        <w:ind w:left="1755" w:right="1477" w:hanging="794"/>
        <w:jc w:val="left"/>
        <w:rPr>
          <w:sz w:val="20"/>
        </w:rPr>
      </w:pPr>
      <w:r>
        <w:rPr>
          <w:sz w:val="20"/>
        </w:rPr>
        <w:t>People in the subject groups should continue to be able to be excused from jury duty</w:t>
      </w:r>
      <w:r>
        <w:rPr>
          <w:spacing w:val="-5"/>
          <w:sz w:val="20"/>
        </w:rPr>
        <w:t> </w:t>
      </w:r>
      <w:r>
        <w:rPr>
          <w:sz w:val="20"/>
        </w:rPr>
        <w:t>for</w:t>
      </w:r>
      <w:r>
        <w:rPr>
          <w:spacing w:val="-5"/>
          <w:sz w:val="20"/>
        </w:rPr>
        <w:t> </w:t>
      </w:r>
      <w:r>
        <w:rPr>
          <w:sz w:val="20"/>
        </w:rPr>
        <w:t>reasons</w:t>
      </w:r>
      <w:r>
        <w:rPr>
          <w:spacing w:val="-5"/>
          <w:sz w:val="20"/>
        </w:rPr>
        <w:t> </w:t>
      </w:r>
      <w:r>
        <w:rPr>
          <w:sz w:val="20"/>
        </w:rPr>
        <w:t>connected</w:t>
      </w:r>
      <w:r>
        <w:rPr>
          <w:spacing w:val="-5"/>
          <w:sz w:val="20"/>
        </w:rPr>
        <w:t> </w:t>
      </w:r>
      <w:r>
        <w:rPr>
          <w:sz w:val="20"/>
        </w:rPr>
        <w:t>to</w:t>
      </w:r>
      <w:r>
        <w:rPr>
          <w:spacing w:val="-5"/>
          <w:sz w:val="20"/>
        </w:rPr>
        <w:t> </w:t>
      </w:r>
      <w:r>
        <w:rPr>
          <w:sz w:val="20"/>
        </w:rPr>
        <w:t>their</w:t>
      </w:r>
      <w:r>
        <w:rPr>
          <w:spacing w:val="-5"/>
          <w:sz w:val="20"/>
        </w:rPr>
        <w:t> </w:t>
      </w:r>
      <w:r>
        <w:rPr>
          <w:sz w:val="20"/>
        </w:rPr>
        <w:t>disability.</w:t>
      </w:r>
      <w:r>
        <w:rPr>
          <w:spacing w:val="-5"/>
          <w:sz w:val="20"/>
        </w:rPr>
        <w:t> </w:t>
      </w:r>
      <w:r>
        <w:rPr>
          <w:sz w:val="20"/>
        </w:rPr>
        <w:t>Disability</w:t>
      </w:r>
      <w:r>
        <w:rPr>
          <w:spacing w:val="-5"/>
          <w:sz w:val="20"/>
        </w:rPr>
        <w:t> </w:t>
      </w:r>
      <w:r>
        <w:rPr>
          <w:sz w:val="20"/>
        </w:rPr>
        <w:t>in</w:t>
      </w:r>
      <w:r>
        <w:rPr>
          <w:spacing w:val="-5"/>
          <w:sz w:val="20"/>
        </w:rPr>
        <w:t> </w:t>
      </w:r>
      <w:r>
        <w:rPr>
          <w:sz w:val="20"/>
        </w:rPr>
        <w:t>and</w:t>
      </w:r>
      <w:r>
        <w:rPr>
          <w:spacing w:val="-5"/>
          <w:sz w:val="20"/>
        </w:rPr>
        <w:t> </w:t>
      </w:r>
      <w:r>
        <w:rPr>
          <w:sz w:val="20"/>
        </w:rPr>
        <w:t>of</w:t>
      </w:r>
      <w:r>
        <w:rPr>
          <w:spacing w:val="-5"/>
          <w:sz w:val="20"/>
        </w:rPr>
        <w:t> </w:t>
      </w:r>
      <w:r>
        <w:rPr>
          <w:sz w:val="20"/>
        </w:rPr>
        <w:t>itself</w:t>
      </w:r>
      <w:r>
        <w:rPr>
          <w:spacing w:val="-5"/>
          <w:sz w:val="20"/>
        </w:rPr>
        <w:t> </w:t>
      </w:r>
      <w:r>
        <w:rPr>
          <w:sz w:val="20"/>
        </w:rPr>
        <w:t>should</w:t>
      </w:r>
      <w:r>
        <w:rPr>
          <w:spacing w:val="-4"/>
          <w:sz w:val="20"/>
        </w:rPr>
        <w:t> </w:t>
      </w:r>
      <w:r>
        <w:rPr>
          <w:sz w:val="20"/>
        </w:rPr>
        <w:t>not</w:t>
      </w:r>
      <w:r>
        <w:rPr>
          <w:spacing w:val="-5"/>
          <w:sz w:val="20"/>
        </w:rPr>
        <w:t> </w:t>
      </w:r>
      <w:r>
        <w:rPr>
          <w:sz w:val="20"/>
        </w:rPr>
        <w:t>be a ground for </w:t>
      </w:r>
      <w:r>
        <w:rPr>
          <w:spacing w:val="-3"/>
          <w:sz w:val="20"/>
        </w:rPr>
        <w:t>excuse </w:t>
      </w:r>
      <w:r>
        <w:rPr>
          <w:sz w:val="20"/>
        </w:rPr>
        <w:t>from service, unless the Juries Commissioner is satisfied that permanent </w:t>
      </w:r>
      <w:r>
        <w:rPr>
          <w:spacing w:val="-2"/>
          <w:sz w:val="20"/>
        </w:rPr>
        <w:t>excuse </w:t>
      </w:r>
      <w:r>
        <w:rPr>
          <w:sz w:val="20"/>
        </w:rPr>
        <w:t>is</w:t>
      </w:r>
      <w:r>
        <w:rPr>
          <w:spacing w:val="-5"/>
          <w:sz w:val="20"/>
        </w:rPr>
        <w:t> </w:t>
      </w:r>
      <w:r>
        <w:rPr>
          <w:sz w:val="20"/>
        </w:rPr>
        <w:t>appropriate.</w:t>
      </w:r>
    </w:p>
    <w:p>
      <w:pPr>
        <w:pStyle w:val="ListParagraph"/>
        <w:numPr>
          <w:ilvl w:val="0"/>
          <w:numId w:val="9"/>
        </w:numPr>
        <w:tabs>
          <w:tab w:pos="1755" w:val="left" w:leader="none"/>
          <w:tab w:pos="1756" w:val="left" w:leader="none"/>
        </w:tabs>
        <w:spacing w:line="206" w:lineRule="auto" w:before="119" w:after="0"/>
        <w:ind w:left="1755" w:right="1362" w:hanging="794"/>
        <w:jc w:val="left"/>
        <w:rPr>
          <w:sz w:val="20"/>
        </w:rPr>
      </w:pPr>
      <w:r>
        <w:rPr>
          <w:sz w:val="20"/>
        </w:rPr>
        <w:t>The</w:t>
      </w:r>
      <w:r>
        <w:rPr>
          <w:spacing w:val="-7"/>
          <w:sz w:val="20"/>
        </w:rPr>
        <w:t> </w:t>
      </w:r>
      <w:r>
        <w:rPr>
          <w:spacing w:val="-3"/>
          <w:sz w:val="20"/>
        </w:rPr>
        <w:t>excuse</w:t>
      </w:r>
      <w:r>
        <w:rPr>
          <w:spacing w:val="-6"/>
          <w:sz w:val="20"/>
        </w:rPr>
        <w:t> </w:t>
      </w:r>
      <w:r>
        <w:rPr>
          <w:sz w:val="20"/>
        </w:rPr>
        <w:t>process</w:t>
      </w:r>
      <w:r>
        <w:rPr>
          <w:spacing w:val="-6"/>
          <w:sz w:val="20"/>
        </w:rPr>
        <w:t> </w:t>
      </w:r>
      <w:r>
        <w:rPr>
          <w:sz w:val="20"/>
        </w:rPr>
        <w:t>should</w:t>
      </w:r>
      <w:r>
        <w:rPr>
          <w:spacing w:val="-6"/>
          <w:sz w:val="20"/>
        </w:rPr>
        <w:t> </w:t>
      </w:r>
      <w:r>
        <w:rPr>
          <w:sz w:val="20"/>
        </w:rPr>
        <w:t>not</w:t>
      </w:r>
      <w:r>
        <w:rPr>
          <w:spacing w:val="-7"/>
          <w:sz w:val="20"/>
        </w:rPr>
        <w:t> </w:t>
      </w:r>
      <w:r>
        <w:rPr>
          <w:sz w:val="20"/>
        </w:rPr>
        <w:t>be</w:t>
      </w:r>
      <w:r>
        <w:rPr>
          <w:spacing w:val="-6"/>
          <w:sz w:val="20"/>
        </w:rPr>
        <w:t> </w:t>
      </w:r>
      <w:r>
        <w:rPr>
          <w:spacing w:val="-3"/>
          <w:sz w:val="20"/>
        </w:rPr>
        <w:t>overly</w:t>
      </w:r>
      <w:r>
        <w:rPr>
          <w:spacing w:val="-6"/>
          <w:sz w:val="20"/>
        </w:rPr>
        <w:t> </w:t>
      </w:r>
      <w:r>
        <w:rPr>
          <w:sz w:val="20"/>
        </w:rPr>
        <w:t>burdensome.</w:t>
      </w:r>
      <w:r>
        <w:rPr>
          <w:spacing w:val="-6"/>
          <w:sz w:val="20"/>
        </w:rPr>
        <w:t> </w:t>
      </w:r>
      <w:r>
        <w:rPr>
          <w:sz w:val="20"/>
        </w:rPr>
        <w:t>Juries</w:t>
      </w:r>
      <w:r>
        <w:rPr>
          <w:spacing w:val="-7"/>
          <w:sz w:val="20"/>
        </w:rPr>
        <w:t> </w:t>
      </w:r>
      <w:r>
        <w:rPr>
          <w:sz w:val="20"/>
        </w:rPr>
        <w:t>Victoria</w:t>
      </w:r>
      <w:r>
        <w:rPr>
          <w:spacing w:val="-6"/>
          <w:sz w:val="20"/>
        </w:rPr>
        <w:t> </w:t>
      </w:r>
      <w:r>
        <w:rPr>
          <w:sz w:val="20"/>
        </w:rPr>
        <w:t>should</w:t>
      </w:r>
      <w:r>
        <w:rPr>
          <w:spacing w:val="-6"/>
          <w:sz w:val="20"/>
        </w:rPr>
        <w:t> </w:t>
      </w:r>
      <w:r>
        <w:rPr>
          <w:sz w:val="20"/>
        </w:rPr>
        <w:t>provide clear and accessible information about the </w:t>
      </w:r>
      <w:r>
        <w:rPr>
          <w:spacing w:val="-2"/>
          <w:sz w:val="20"/>
        </w:rPr>
        <w:t>excuse</w:t>
      </w:r>
      <w:r>
        <w:rPr>
          <w:spacing w:val="-19"/>
          <w:sz w:val="20"/>
        </w:rPr>
        <w:t> </w:t>
      </w:r>
      <w:r>
        <w:rPr>
          <w:sz w:val="20"/>
        </w:rPr>
        <w:t>process.</w:t>
      </w:r>
    </w:p>
    <w:p>
      <w:pPr>
        <w:pStyle w:val="BodyText"/>
        <w:spacing w:before="13"/>
        <w:rPr>
          <w:sz w:val="15"/>
        </w:rPr>
      </w:pPr>
    </w:p>
    <w:p>
      <w:pPr>
        <w:spacing w:before="0"/>
        <w:ind w:left="961" w:right="0" w:firstLine="0"/>
        <w:jc w:val="left"/>
        <w:rPr>
          <w:rFonts w:ascii="Raleway ExtraBold"/>
          <w:b/>
          <w:sz w:val="28"/>
        </w:rPr>
      </w:pPr>
      <w:r>
        <w:rPr>
          <w:rFonts w:ascii="Raleway ExtraBold"/>
          <w:b/>
          <w:color w:val="37617A"/>
          <w:sz w:val="28"/>
        </w:rPr>
        <w:t>Cultural change and education</w:t>
      </w:r>
    </w:p>
    <w:p>
      <w:pPr>
        <w:pStyle w:val="ListParagraph"/>
        <w:numPr>
          <w:ilvl w:val="0"/>
          <w:numId w:val="9"/>
        </w:numPr>
        <w:tabs>
          <w:tab w:pos="1755" w:val="left" w:leader="none"/>
          <w:tab w:pos="1756" w:val="left" w:leader="none"/>
        </w:tabs>
        <w:spacing w:line="206" w:lineRule="auto" w:before="146" w:after="0"/>
        <w:ind w:left="1755" w:right="1212" w:hanging="794"/>
        <w:jc w:val="left"/>
        <w:rPr>
          <w:sz w:val="20"/>
        </w:rPr>
      </w:pPr>
      <w:r>
        <w:rPr>
          <w:sz w:val="20"/>
        </w:rPr>
        <w:t>Research indicates that some legal professionals may be apprehensive about reform and</w:t>
      </w:r>
      <w:r>
        <w:rPr>
          <w:spacing w:val="-9"/>
          <w:sz w:val="20"/>
        </w:rPr>
        <w:t> </w:t>
      </w:r>
      <w:r>
        <w:rPr>
          <w:sz w:val="20"/>
        </w:rPr>
        <w:t>how</w:t>
      </w:r>
      <w:r>
        <w:rPr>
          <w:spacing w:val="-8"/>
          <w:sz w:val="20"/>
        </w:rPr>
        <w:t> </w:t>
      </w:r>
      <w:r>
        <w:rPr>
          <w:sz w:val="20"/>
        </w:rPr>
        <w:t>change</w:t>
      </w:r>
      <w:r>
        <w:rPr>
          <w:spacing w:val="-9"/>
          <w:sz w:val="20"/>
        </w:rPr>
        <w:t> </w:t>
      </w:r>
      <w:r>
        <w:rPr>
          <w:sz w:val="20"/>
        </w:rPr>
        <w:t>will</w:t>
      </w:r>
      <w:r>
        <w:rPr>
          <w:spacing w:val="-8"/>
          <w:sz w:val="20"/>
        </w:rPr>
        <w:t> </w:t>
      </w:r>
      <w:r>
        <w:rPr>
          <w:sz w:val="20"/>
        </w:rPr>
        <w:t>work</w:t>
      </w:r>
      <w:r>
        <w:rPr>
          <w:spacing w:val="-9"/>
          <w:sz w:val="20"/>
        </w:rPr>
        <w:t> </w:t>
      </w:r>
      <w:r>
        <w:rPr>
          <w:sz w:val="20"/>
        </w:rPr>
        <w:t>in</w:t>
      </w:r>
      <w:r>
        <w:rPr>
          <w:spacing w:val="-8"/>
          <w:sz w:val="20"/>
        </w:rPr>
        <w:t> </w:t>
      </w:r>
      <w:r>
        <w:rPr>
          <w:sz w:val="20"/>
        </w:rPr>
        <w:t>practice.</w:t>
      </w:r>
      <w:r>
        <w:rPr>
          <w:spacing w:val="-9"/>
          <w:sz w:val="20"/>
        </w:rPr>
        <w:t> </w:t>
      </w:r>
      <w:r>
        <w:rPr>
          <w:sz w:val="20"/>
        </w:rPr>
        <w:t>For</w:t>
      </w:r>
      <w:r>
        <w:rPr>
          <w:spacing w:val="-8"/>
          <w:sz w:val="20"/>
        </w:rPr>
        <w:t> </w:t>
      </w:r>
      <w:r>
        <w:rPr>
          <w:sz w:val="20"/>
        </w:rPr>
        <w:t>reforms</w:t>
      </w:r>
      <w:r>
        <w:rPr>
          <w:spacing w:val="-8"/>
          <w:sz w:val="20"/>
        </w:rPr>
        <w:t> </w:t>
      </w:r>
      <w:r>
        <w:rPr>
          <w:sz w:val="20"/>
        </w:rPr>
        <w:t>to</w:t>
      </w:r>
      <w:r>
        <w:rPr>
          <w:spacing w:val="-9"/>
          <w:sz w:val="20"/>
        </w:rPr>
        <w:t> </w:t>
      </w:r>
      <w:r>
        <w:rPr>
          <w:sz w:val="20"/>
        </w:rPr>
        <w:t>be</w:t>
      </w:r>
      <w:r>
        <w:rPr>
          <w:spacing w:val="-9"/>
          <w:sz w:val="20"/>
        </w:rPr>
        <w:t> </w:t>
      </w:r>
      <w:r>
        <w:rPr>
          <w:sz w:val="20"/>
        </w:rPr>
        <w:t>effective,</w:t>
      </w:r>
      <w:r>
        <w:rPr>
          <w:spacing w:val="-9"/>
          <w:sz w:val="20"/>
        </w:rPr>
        <w:t> </w:t>
      </w:r>
      <w:r>
        <w:rPr>
          <w:sz w:val="20"/>
        </w:rPr>
        <w:t>these</w:t>
      </w:r>
      <w:r>
        <w:rPr>
          <w:spacing w:val="-8"/>
          <w:sz w:val="20"/>
        </w:rPr>
        <w:t> </w:t>
      </w:r>
      <w:r>
        <w:rPr>
          <w:sz w:val="20"/>
        </w:rPr>
        <w:t>apprehensions will need to be</w:t>
      </w:r>
      <w:r>
        <w:rPr>
          <w:spacing w:val="-9"/>
          <w:sz w:val="20"/>
        </w:rPr>
        <w:t> </w:t>
      </w:r>
      <w:r>
        <w:rPr>
          <w:sz w:val="20"/>
        </w:rPr>
        <w:t>addressed.</w:t>
      </w:r>
    </w:p>
    <w:p>
      <w:pPr>
        <w:pStyle w:val="ListParagraph"/>
        <w:numPr>
          <w:ilvl w:val="0"/>
          <w:numId w:val="9"/>
        </w:numPr>
        <w:tabs>
          <w:tab w:pos="1755" w:val="left" w:leader="none"/>
          <w:tab w:pos="1756" w:val="left" w:leader="none"/>
        </w:tabs>
        <w:spacing w:line="206" w:lineRule="auto" w:before="117" w:after="0"/>
        <w:ind w:left="1755" w:right="1424" w:hanging="794"/>
        <w:jc w:val="left"/>
        <w:rPr>
          <w:sz w:val="20"/>
        </w:rPr>
      </w:pPr>
      <w:r>
        <w:rPr>
          <w:sz w:val="20"/>
        </w:rPr>
        <w:t>Legal professionals may </w:t>
      </w:r>
      <w:r>
        <w:rPr>
          <w:spacing w:val="-3"/>
          <w:sz w:val="20"/>
        </w:rPr>
        <w:t>have </w:t>
      </w:r>
      <w:r>
        <w:rPr>
          <w:sz w:val="20"/>
        </w:rPr>
        <w:t>little contact or first-hand experience of working with or</w:t>
      </w:r>
      <w:r>
        <w:rPr>
          <w:spacing w:val="-6"/>
          <w:sz w:val="20"/>
        </w:rPr>
        <w:t> </w:t>
      </w:r>
      <w:r>
        <w:rPr>
          <w:sz w:val="20"/>
        </w:rPr>
        <w:t>interacting</w:t>
      </w:r>
      <w:r>
        <w:rPr>
          <w:spacing w:val="-5"/>
          <w:sz w:val="20"/>
        </w:rPr>
        <w:t> </w:t>
      </w:r>
      <w:r>
        <w:rPr>
          <w:sz w:val="20"/>
        </w:rPr>
        <w:t>with</w:t>
      </w:r>
      <w:r>
        <w:rPr>
          <w:spacing w:val="-6"/>
          <w:sz w:val="20"/>
        </w:rPr>
        <w:t> </w:t>
      </w:r>
      <w:r>
        <w:rPr>
          <w:sz w:val="20"/>
        </w:rPr>
        <w:t>people</w:t>
      </w:r>
      <w:r>
        <w:rPr>
          <w:spacing w:val="-5"/>
          <w:sz w:val="20"/>
        </w:rPr>
        <w:t> </w:t>
      </w:r>
      <w:r>
        <w:rPr>
          <w:sz w:val="20"/>
        </w:rPr>
        <w:t>from</w:t>
      </w:r>
      <w:r>
        <w:rPr>
          <w:spacing w:val="-6"/>
          <w:sz w:val="20"/>
        </w:rPr>
        <w:t> </w:t>
      </w:r>
      <w:r>
        <w:rPr>
          <w:sz w:val="20"/>
        </w:rPr>
        <w:t>the</w:t>
      </w:r>
      <w:r>
        <w:rPr>
          <w:spacing w:val="-5"/>
          <w:sz w:val="20"/>
        </w:rPr>
        <w:t> </w:t>
      </w:r>
      <w:r>
        <w:rPr>
          <w:sz w:val="20"/>
        </w:rPr>
        <w:t>subject</w:t>
      </w:r>
      <w:r>
        <w:rPr>
          <w:spacing w:val="-6"/>
          <w:sz w:val="20"/>
        </w:rPr>
        <w:t> </w:t>
      </w:r>
      <w:r>
        <w:rPr>
          <w:sz w:val="20"/>
        </w:rPr>
        <w:t>groups</w:t>
      </w:r>
      <w:r>
        <w:rPr>
          <w:spacing w:val="-5"/>
          <w:sz w:val="20"/>
        </w:rPr>
        <w:t> </w:t>
      </w:r>
      <w:r>
        <w:rPr>
          <w:sz w:val="20"/>
        </w:rPr>
        <w:t>and</w:t>
      </w:r>
      <w:r>
        <w:rPr>
          <w:spacing w:val="-6"/>
          <w:sz w:val="20"/>
        </w:rPr>
        <w:t> </w:t>
      </w:r>
      <w:r>
        <w:rPr>
          <w:sz w:val="20"/>
        </w:rPr>
        <w:t>a</w:t>
      </w:r>
      <w:r>
        <w:rPr>
          <w:spacing w:val="-5"/>
          <w:sz w:val="20"/>
        </w:rPr>
        <w:t> </w:t>
      </w:r>
      <w:r>
        <w:rPr>
          <w:sz w:val="20"/>
        </w:rPr>
        <w:t>poor</w:t>
      </w:r>
      <w:r>
        <w:rPr>
          <w:spacing w:val="-6"/>
          <w:sz w:val="20"/>
        </w:rPr>
        <w:t> </w:t>
      </w:r>
      <w:r>
        <w:rPr>
          <w:sz w:val="20"/>
        </w:rPr>
        <w:t>understanding</w:t>
      </w:r>
      <w:r>
        <w:rPr>
          <w:spacing w:val="-5"/>
          <w:sz w:val="20"/>
        </w:rPr>
        <w:t> </w:t>
      </w:r>
      <w:r>
        <w:rPr>
          <w:sz w:val="20"/>
        </w:rPr>
        <w:t>of</w:t>
      </w:r>
      <w:r>
        <w:rPr>
          <w:spacing w:val="-6"/>
          <w:sz w:val="20"/>
        </w:rPr>
        <w:t> </w:t>
      </w:r>
      <w:r>
        <w:rPr>
          <w:sz w:val="20"/>
        </w:rPr>
        <w:t>how adjustments work in practice. Academic research examining competency to serve with</w:t>
      </w:r>
      <w:r>
        <w:rPr>
          <w:spacing w:val="-7"/>
          <w:sz w:val="20"/>
        </w:rPr>
        <w:t> </w:t>
      </w:r>
      <w:r>
        <w:rPr>
          <w:sz w:val="20"/>
        </w:rPr>
        <w:t>adjustments</w:t>
      </w:r>
      <w:r>
        <w:rPr>
          <w:spacing w:val="-6"/>
          <w:sz w:val="20"/>
        </w:rPr>
        <w:t> </w:t>
      </w:r>
      <w:r>
        <w:rPr>
          <w:sz w:val="20"/>
        </w:rPr>
        <w:t>and</w:t>
      </w:r>
      <w:r>
        <w:rPr>
          <w:spacing w:val="-6"/>
          <w:sz w:val="20"/>
        </w:rPr>
        <w:t> </w:t>
      </w:r>
      <w:r>
        <w:rPr>
          <w:sz w:val="20"/>
        </w:rPr>
        <w:t>overseas</w:t>
      </w:r>
      <w:r>
        <w:rPr>
          <w:spacing w:val="-6"/>
          <w:sz w:val="20"/>
        </w:rPr>
        <w:t> </w:t>
      </w:r>
      <w:r>
        <w:rPr>
          <w:sz w:val="20"/>
        </w:rPr>
        <w:t>practice</w:t>
      </w:r>
      <w:r>
        <w:rPr>
          <w:spacing w:val="-7"/>
          <w:sz w:val="20"/>
        </w:rPr>
        <w:t> </w:t>
      </w:r>
      <w:r>
        <w:rPr>
          <w:sz w:val="20"/>
        </w:rPr>
        <w:t>may</w:t>
      </w:r>
      <w:r>
        <w:rPr>
          <w:spacing w:val="-6"/>
          <w:sz w:val="20"/>
        </w:rPr>
        <w:t> </w:t>
      </w:r>
      <w:r>
        <w:rPr>
          <w:sz w:val="20"/>
        </w:rPr>
        <w:t>not</w:t>
      </w:r>
      <w:r>
        <w:rPr>
          <w:spacing w:val="-6"/>
          <w:sz w:val="20"/>
        </w:rPr>
        <w:t> </w:t>
      </w:r>
      <w:r>
        <w:rPr>
          <w:sz w:val="20"/>
        </w:rPr>
        <w:t>be</w:t>
      </w:r>
      <w:r>
        <w:rPr>
          <w:spacing w:val="-6"/>
          <w:sz w:val="20"/>
        </w:rPr>
        <w:t> </w:t>
      </w:r>
      <w:r>
        <w:rPr>
          <w:sz w:val="20"/>
        </w:rPr>
        <w:t>well</w:t>
      </w:r>
      <w:r>
        <w:rPr>
          <w:spacing w:val="-7"/>
          <w:sz w:val="20"/>
        </w:rPr>
        <w:t> </w:t>
      </w:r>
      <w:r>
        <w:rPr>
          <w:sz w:val="20"/>
        </w:rPr>
        <w:t>known.</w:t>
      </w:r>
      <w:r>
        <w:rPr>
          <w:spacing w:val="-6"/>
          <w:sz w:val="20"/>
        </w:rPr>
        <w:t> </w:t>
      </w:r>
      <w:r>
        <w:rPr>
          <w:spacing w:val="-3"/>
          <w:sz w:val="20"/>
        </w:rPr>
        <w:t>Together</w:t>
      </w:r>
      <w:r>
        <w:rPr>
          <w:spacing w:val="-6"/>
          <w:sz w:val="20"/>
        </w:rPr>
        <w:t> </w:t>
      </w:r>
      <w:r>
        <w:rPr>
          <w:sz w:val="20"/>
        </w:rPr>
        <w:t>with</w:t>
      </w:r>
      <w:r>
        <w:rPr>
          <w:spacing w:val="-6"/>
          <w:sz w:val="20"/>
        </w:rPr>
        <w:t> </w:t>
      </w:r>
      <w:r>
        <w:rPr>
          <w:sz w:val="20"/>
        </w:rPr>
        <w:t>clear legislative guidance and a judicial assessment process for reasonable adjustments, </w:t>
      </w:r>
      <w:r>
        <w:rPr>
          <w:spacing w:val="-3"/>
          <w:sz w:val="20"/>
        </w:rPr>
        <w:t>we </w:t>
      </w:r>
      <w:r>
        <w:rPr>
          <w:sz w:val="20"/>
        </w:rPr>
        <w:t>recommend:</w:t>
      </w:r>
    </w:p>
    <w:p>
      <w:pPr>
        <w:pStyle w:val="ListParagraph"/>
        <w:numPr>
          <w:ilvl w:val="1"/>
          <w:numId w:val="9"/>
        </w:numPr>
        <w:tabs>
          <w:tab w:pos="2152" w:val="left" w:leader="none"/>
          <w:tab w:pos="2153" w:val="left" w:leader="none"/>
        </w:tabs>
        <w:spacing w:line="206" w:lineRule="auto" w:before="121" w:after="0"/>
        <w:ind w:left="2152" w:right="1992" w:hanging="397"/>
        <w:jc w:val="left"/>
        <w:rPr>
          <w:sz w:val="20"/>
        </w:rPr>
      </w:pPr>
      <w:r>
        <w:rPr>
          <w:sz w:val="20"/>
        </w:rPr>
        <w:t>There</w:t>
      </w:r>
      <w:r>
        <w:rPr>
          <w:spacing w:val="-11"/>
          <w:sz w:val="20"/>
        </w:rPr>
        <w:t> </w:t>
      </w:r>
      <w:r>
        <w:rPr>
          <w:sz w:val="20"/>
        </w:rPr>
        <w:t>should</w:t>
      </w:r>
      <w:r>
        <w:rPr>
          <w:spacing w:val="-11"/>
          <w:sz w:val="20"/>
        </w:rPr>
        <w:t> </w:t>
      </w:r>
      <w:r>
        <w:rPr>
          <w:sz w:val="20"/>
        </w:rPr>
        <w:t>be</w:t>
      </w:r>
      <w:r>
        <w:rPr>
          <w:spacing w:val="-11"/>
          <w:sz w:val="20"/>
        </w:rPr>
        <w:t> </w:t>
      </w:r>
      <w:r>
        <w:rPr>
          <w:sz w:val="20"/>
        </w:rPr>
        <w:t>disability</w:t>
      </w:r>
      <w:r>
        <w:rPr>
          <w:spacing w:val="-11"/>
          <w:sz w:val="20"/>
        </w:rPr>
        <w:t> </w:t>
      </w:r>
      <w:r>
        <w:rPr>
          <w:spacing w:val="-3"/>
          <w:sz w:val="20"/>
        </w:rPr>
        <w:t>awareness</w:t>
      </w:r>
      <w:r>
        <w:rPr>
          <w:spacing w:val="-11"/>
          <w:sz w:val="20"/>
        </w:rPr>
        <w:t> </w:t>
      </w:r>
      <w:r>
        <w:rPr>
          <w:sz w:val="20"/>
        </w:rPr>
        <w:t>training</w:t>
      </w:r>
      <w:r>
        <w:rPr>
          <w:spacing w:val="-11"/>
          <w:sz w:val="20"/>
        </w:rPr>
        <w:t> </w:t>
      </w:r>
      <w:r>
        <w:rPr>
          <w:sz w:val="20"/>
        </w:rPr>
        <w:t>for</w:t>
      </w:r>
      <w:r>
        <w:rPr>
          <w:spacing w:val="-11"/>
          <w:sz w:val="20"/>
        </w:rPr>
        <w:t> </w:t>
      </w:r>
      <w:r>
        <w:rPr>
          <w:sz w:val="20"/>
        </w:rPr>
        <w:t>judges,</w:t>
      </w:r>
      <w:r>
        <w:rPr>
          <w:spacing w:val="-11"/>
          <w:sz w:val="20"/>
        </w:rPr>
        <w:t> </w:t>
      </w:r>
      <w:r>
        <w:rPr>
          <w:sz w:val="20"/>
        </w:rPr>
        <w:t>lawyers,</w:t>
      </w:r>
      <w:r>
        <w:rPr>
          <w:spacing w:val="-11"/>
          <w:sz w:val="20"/>
        </w:rPr>
        <w:t> </w:t>
      </w:r>
      <w:r>
        <w:rPr>
          <w:sz w:val="20"/>
        </w:rPr>
        <w:t>counsel and</w:t>
      </w:r>
      <w:r>
        <w:rPr>
          <w:spacing w:val="-9"/>
          <w:sz w:val="20"/>
        </w:rPr>
        <w:t> </w:t>
      </w:r>
      <w:r>
        <w:rPr>
          <w:sz w:val="20"/>
        </w:rPr>
        <w:t>Juries</w:t>
      </w:r>
      <w:r>
        <w:rPr>
          <w:spacing w:val="-8"/>
          <w:sz w:val="20"/>
        </w:rPr>
        <w:t> </w:t>
      </w:r>
      <w:r>
        <w:rPr>
          <w:sz w:val="20"/>
        </w:rPr>
        <w:t>Victoria.</w:t>
      </w:r>
      <w:r>
        <w:rPr>
          <w:spacing w:val="-9"/>
          <w:sz w:val="20"/>
        </w:rPr>
        <w:t> </w:t>
      </w:r>
      <w:r>
        <w:rPr>
          <w:spacing w:val="-4"/>
          <w:sz w:val="20"/>
        </w:rPr>
        <w:t>Training</w:t>
      </w:r>
      <w:r>
        <w:rPr>
          <w:spacing w:val="-8"/>
          <w:sz w:val="20"/>
        </w:rPr>
        <w:t> </w:t>
      </w:r>
      <w:r>
        <w:rPr>
          <w:spacing w:val="-3"/>
          <w:sz w:val="20"/>
        </w:rPr>
        <w:t>developed</w:t>
      </w:r>
      <w:r>
        <w:rPr>
          <w:spacing w:val="-8"/>
          <w:sz w:val="20"/>
        </w:rPr>
        <w:t> </w:t>
      </w:r>
      <w:r>
        <w:rPr>
          <w:sz w:val="20"/>
        </w:rPr>
        <w:t>in</w:t>
      </w:r>
      <w:r>
        <w:rPr>
          <w:spacing w:val="-9"/>
          <w:sz w:val="20"/>
        </w:rPr>
        <w:t> </w:t>
      </w:r>
      <w:r>
        <w:rPr>
          <w:sz w:val="20"/>
        </w:rPr>
        <w:t>partnership</w:t>
      </w:r>
      <w:r>
        <w:rPr>
          <w:spacing w:val="-8"/>
          <w:sz w:val="20"/>
        </w:rPr>
        <w:t> </w:t>
      </w:r>
      <w:r>
        <w:rPr>
          <w:sz w:val="20"/>
        </w:rPr>
        <w:t>with</w:t>
      </w:r>
      <w:r>
        <w:rPr>
          <w:spacing w:val="-9"/>
          <w:sz w:val="20"/>
        </w:rPr>
        <w:t> </w:t>
      </w:r>
      <w:r>
        <w:rPr>
          <w:sz w:val="20"/>
        </w:rPr>
        <w:t>people</w:t>
      </w:r>
      <w:r>
        <w:rPr>
          <w:spacing w:val="-8"/>
          <w:sz w:val="20"/>
        </w:rPr>
        <w:t> </w:t>
      </w:r>
      <w:r>
        <w:rPr>
          <w:spacing w:val="-3"/>
          <w:sz w:val="20"/>
        </w:rPr>
        <w:t>from</w:t>
      </w:r>
      <w:r>
        <w:rPr>
          <w:spacing w:val="-8"/>
          <w:sz w:val="20"/>
        </w:rPr>
        <w:t> </w:t>
      </w:r>
      <w:r>
        <w:rPr>
          <w:sz w:val="20"/>
        </w:rPr>
        <w:t>the</w:t>
      </w:r>
    </w:p>
    <w:p>
      <w:pPr>
        <w:pStyle w:val="BodyText"/>
        <w:spacing w:line="206" w:lineRule="auto" w:before="3"/>
        <w:ind w:left="2152" w:right="1335"/>
      </w:pPr>
      <w:r>
        <w:rPr/>
        <w:t>subject</w:t>
      </w:r>
      <w:r>
        <w:rPr>
          <w:spacing w:val="-11"/>
        </w:rPr>
        <w:t> </w:t>
      </w:r>
      <w:r>
        <w:rPr/>
        <w:t>groups</w:t>
      </w:r>
      <w:r>
        <w:rPr>
          <w:spacing w:val="-10"/>
        </w:rPr>
        <w:t> </w:t>
      </w:r>
      <w:r>
        <w:rPr/>
        <w:t>should</w:t>
      </w:r>
      <w:r>
        <w:rPr>
          <w:spacing w:val="-10"/>
        </w:rPr>
        <w:t> </w:t>
      </w:r>
      <w:r>
        <w:rPr>
          <w:spacing w:val="-4"/>
        </w:rPr>
        <w:t>have</w:t>
      </w:r>
      <w:r>
        <w:rPr>
          <w:spacing w:val="-10"/>
        </w:rPr>
        <w:t> </w:t>
      </w:r>
      <w:r>
        <w:rPr/>
        <w:t>a</w:t>
      </w:r>
      <w:r>
        <w:rPr>
          <w:spacing w:val="-10"/>
        </w:rPr>
        <w:t> </w:t>
      </w:r>
      <w:r>
        <w:rPr/>
        <w:t>practical</w:t>
      </w:r>
      <w:r>
        <w:rPr>
          <w:spacing w:val="-10"/>
        </w:rPr>
        <w:t> </w:t>
      </w:r>
      <w:r>
        <w:rPr/>
        <w:t>focus</w:t>
      </w:r>
      <w:r>
        <w:rPr>
          <w:spacing w:val="-10"/>
        </w:rPr>
        <w:t> </w:t>
      </w:r>
      <w:r>
        <w:rPr/>
        <w:t>and</w:t>
      </w:r>
      <w:r>
        <w:rPr>
          <w:spacing w:val="-10"/>
        </w:rPr>
        <w:t> </w:t>
      </w:r>
      <w:r>
        <w:rPr>
          <w:spacing w:val="-4"/>
        </w:rPr>
        <w:t>cover</w:t>
      </w:r>
      <w:r>
        <w:rPr>
          <w:spacing w:val="-10"/>
        </w:rPr>
        <w:t> </w:t>
      </w:r>
      <w:r>
        <w:rPr/>
        <w:t>the</w:t>
      </w:r>
      <w:r>
        <w:rPr>
          <w:spacing w:val="-10"/>
        </w:rPr>
        <w:t> </w:t>
      </w:r>
      <w:r>
        <w:rPr/>
        <w:t>range</w:t>
      </w:r>
      <w:r>
        <w:rPr>
          <w:spacing w:val="-10"/>
        </w:rPr>
        <w:t> </w:t>
      </w:r>
      <w:r>
        <w:rPr/>
        <w:t>of</w:t>
      </w:r>
      <w:r>
        <w:rPr>
          <w:spacing w:val="-10"/>
        </w:rPr>
        <w:t> </w:t>
      </w:r>
      <w:r>
        <w:rPr/>
        <w:t>reasonable adjustments and </w:t>
      </w:r>
      <w:r>
        <w:rPr>
          <w:spacing w:val="-3"/>
        </w:rPr>
        <w:t>how </w:t>
      </w:r>
      <w:r>
        <w:rPr/>
        <w:t>they </w:t>
      </w:r>
      <w:r>
        <w:rPr>
          <w:spacing w:val="-3"/>
        </w:rPr>
        <w:t>work </w:t>
      </w:r>
      <w:r>
        <w:rPr/>
        <w:t>in</w:t>
      </w:r>
      <w:r>
        <w:rPr>
          <w:spacing w:val="-22"/>
        </w:rPr>
        <w:t> </w:t>
      </w:r>
      <w:r>
        <w:rPr/>
        <w:t>practice.</w:t>
      </w:r>
    </w:p>
    <w:p>
      <w:pPr>
        <w:pStyle w:val="ListParagraph"/>
        <w:numPr>
          <w:ilvl w:val="1"/>
          <w:numId w:val="9"/>
        </w:numPr>
        <w:tabs>
          <w:tab w:pos="2152" w:val="left" w:leader="none"/>
          <w:tab w:pos="2153" w:val="left" w:leader="none"/>
        </w:tabs>
        <w:spacing w:line="206" w:lineRule="auto" w:before="87" w:after="0"/>
        <w:ind w:left="2152" w:right="1859" w:hanging="397"/>
        <w:jc w:val="left"/>
        <w:rPr>
          <w:sz w:val="20"/>
        </w:rPr>
      </w:pPr>
      <w:r>
        <w:rPr>
          <w:sz w:val="20"/>
        </w:rPr>
        <w:t>There</w:t>
      </w:r>
      <w:r>
        <w:rPr>
          <w:spacing w:val="-9"/>
          <w:sz w:val="20"/>
        </w:rPr>
        <w:t> </w:t>
      </w:r>
      <w:r>
        <w:rPr>
          <w:sz w:val="20"/>
        </w:rPr>
        <w:t>should</w:t>
      </w:r>
      <w:r>
        <w:rPr>
          <w:spacing w:val="-8"/>
          <w:sz w:val="20"/>
        </w:rPr>
        <w:t> </w:t>
      </w:r>
      <w:r>
        <w:rPr>
          <w:sz w:val="20"/>
        </w:rPr>
        <w:t>be</w:t>
      </w:r>
      <w:r>
        <w:rPr>
          <w:spacing w:val="-9"/>
          <w:sz w:val="20"/>
        </w:rPr>
        <w:t> </w:t>
      </w:r>
      <w:r>
        <w:rPr>
          <w:sz w:val="20"/>
        </w:rPr>
        <w:t>professional</w:t>
      </w:r>
      <w:r>
        <w:rPr>
          <w:spacing w:val="-8"/>
          <w:sz w:val="20"/>
        </w:rPr>
        <w:t> </w:t>
      </w:r>
      <w:r>
        <w:rPr>
          <w:spacing w:val="-3"/>
          <w:sz w:val="20"/>
        </w:rPr>
        <w:t>development</w:t>
      </w:r>
      <w:r>
        <w:rPr>
          <w:spacing w:val="-9"/>
          <w:sz w:val="20"/>
        </w:rPr>
        <w:t> </w:t>
      </w:r>
      <w:r>
        <w:rPr>
          <w:sz w:val="20"/>
        </w:rPr>
        <w:t>about</w:t>
      </w:r>
      <w:r>
        <w:rPr>
          <w:spacing w:val="-8"/>
          <w:sz w:val="20"/>
        </w:rPr>
        <w:t> </w:t>
      </w:r>
      <w:r>
        <w:rPr>
          <w:spacing w:val="-3"/>
          <w:sz w:val="20"/>
        </w:rPr>
        <w:t>how</w:t>
      </w:r>
      <w:r>
        <w:rPr>
          <w:spacing w:val="-9"/>
          <w:sz w:val="20"/>
        </w:rPr>
        <w:t> </w:t>
      </w:r>
      <w:r>
        <w:rPr>
          <w:sz w:val="20"/>
        </w:rPr>
        <w:t>the</w:t>
      </w:r>
      <w:r>
        <w:rPr>
          <w:spacing w:val="-8"/>
          <w:sz w:val="20"/>
        </w:rPr>
        <w:t> </w:t>
      </w:r>
      <w:r>
        <w:rPr>
          <w:sz w:val="20"/>
        </w:rPr>
        <w:t>new</w:t>
      </w:r>
      <w:r>
        <w:rPr>
          <w:spacing w:val="-9"/>
          <w:sz w:val="20"/>
        </w:rPr>
        <w:t> </w:t>
      </w:r>
      <w:r>
        <w:rPr>
          <w:spacing w:val="-3"/>
          <w:sz w:val="20"/>
        </w:rPr>
        <w:t>laws</w:t>
      </w:r>
      <w:r>
        <w:rPr>
          <w:spacing w:val="-8"/>
          <w:sz w:val="20"/>
        </w:rPr>
        <w:t> </w:t>
      </w:r>
      <w:r>
        <w:rPr>
          <w:spacing w:val="-3"/>
          <w:sz w:val="20"/>
        </w:rPr>
        <w:t>work</w:t>
      </w:r>
      <w:r>
        <w:rPr>
          <w:spacing w:val="-9"/>
          <w:sz w:val="20"/>
        </w:rPr>
        <w:t> </w:t>
      </w:r>
      <w:r>
        <w:rPr>
          <w:sz w:val="20"/>
        </w:rPr>
        <w:t>in practice.</w:t>
      </w:r>
    </w:p>
    <w:p>
      <w:pPr>
        <w:pStyle w:val="ListParagraph"/>
        <w:numPr>
          <w:ilvl w:val="1"/>
          <w:numId w:val="9"/>
        </w:numPr>
        <w:tabs>
          <w:tab w:pos="2152" w:val="left" w:leader="none"/>
          <w:tab w:pos="2153" w:val="left" w:leader="none"/>
        </w:tabs>
        <w:spacing w:line="259" w:lineRule="exact" w:before="55" w:after="0"/>
        <w:ind w:left="2152" w:right="0" w:hanging="397"/>
        <w:jc w:val="left"/>
        <w:rPr>
          <w:sz w:val="20"/>
        </w:rPr>
      </w:pPr>
      <w:r>
        <w:rPr>
          <w:sz w:val="20"/>
        </w:rPr>
        <w:t>The</w:t>
      </w:r>
      <w:r>
        <w:rPr>
          <w:spacing w:val="-7"/>
          <w:sz w:val="20"/>
        </w:rPr>
        <w:t> </w:t>
      </w:r>
      <w:r>
        <w:rPr>
          <w:sz w:val="20"/>
        </w:rPr>
        <w:t>courts</w:t>
      </w:r>
      <w:r>
        <w:rPr>
          <w:spacing w:val="-6"/>
          <w:sz w:val="20"/>
        </w:rPr>
        <w:t> </w:t>
      </w:r>
      <w:r>
        <w:rPr>
          <w:sz w:val="20"/>
        </w:rPr>
        <w:t>and</w:t>
      </w:r>
      <w:r>
        <w:rPr>
          <w:spacing w:val="-7"/>
          <w:sz w:val="20"/>
        </w:rPr>
        <w:t> </w:t>
      </w:r>
      <w:r>
        <w:rPr>
          <w:sz w:val="20"/>
        </w:rPr>
        <w:t>Juries</w:t>
      </w:r>
      <w:r>
        <w:rPr>
          <w:spacing w:val="-6"/>
          <w:sz w:val="20"/>
        </w:rPr>
        <w:t> </w:t>
      </w:r>
      <w:r>
        <w:rPr>
          <w:sz w:val="20"/>
        </w:rPr>
        <w:t>Victoria</w:t>
      </w:r>
      <w:r>
        <w:rPr>
          <w:spacing w:val="-6"/>
          <w:sz w:val="20"/>
        </w:rPr>
        <w:t> </w:t>
      </w:r>
      <w:r>
        <w:rPr>
          <w:sz w:val="20"/>
        </w:rPr>
        <w:t>should</w:t>
      </w:r>
      <w:r>
        <w:rPr>
          <w:spacing w:val="-7"/>
          <w:sz w:val="20"/>
        </w:rPr>
        <w:t> </w:t>
      </w:r>
      <w:r>
        <w:rPr>
          <w:spacing w:val="-3"/>
          <w:sz w:val="20"/>
        </w:rPr>
        <w:t>develop</w:t>
      </w:r>
      <w:r>
        <w:rPr>
          <w:spacing w:val="-6"/>
          <w:sz w:val="20"/>
        </w:rPr>
        <w:t> </w:t>
      </w:r>
      <w:r>
        <w:rPr>
          <w:sz w:val="20"/>
        </w:rPr>
        <w:t>internal</w:t>
      </w:r>
      <w:r>
        <w:rPr>
          <w:spacing w:val="-6"/>
          <w:sz w:val="20"/>
        </w:rPr>
        <w:t> </w:t>
      </w:r>
      <w:r>
        <w:rPr>
          <w:sz w:val="20"/>
        </w:rPr>
        <w:t>protocols</w:t>
      </w:r>
      <w:r>
        <w:rPr>
          <w:spacing w:val="-7"/>
          <w:sz w:val="20"/>
        </w:rPr>
        <w:t> </w:t>
      </w:r>
      <w:r>
        <w:rPr>
          <w:sz w:val="20"/>
        </w:rPr>
        <w:t>to</w:t>
      </w:r>
      <w:r>
        <w:rPr>
          <w:spacing w:val="-6"/>
          <w:sz w:val="20"/>
        </w:rPr>
        <w:t> </w:t>
      </w:r>
      <w:r>
        <w:rPr>
          <w:sz w:val="20"/>
        </w:rPr>
        <w:t>guide</w:t>
      </w:r>
      <w:r>
        <w:rPr>
          <w:spacing w:val="-7"/>
          <w:sz w:val="20"/>
        </w:rPr>
        <w:t> </w:t>
      </w:r>
      <w:r>
        <w:rPr>
          <w:sz w:val="20"/>
        </w:rPr>
        <w:t>staff</w:t>
      </w:r>
      <w:r>
        <w:rPr>
          <w:spacing w:val="-6"/>
          <w:sz w:val="20"/>
        </w:rPr>
        <w:t> </w:t>
      </w:r>
      <w:r>
        <w:rPr>
          <w:sz w:val="20"/>
        </w:rPr>
        <w:t>on</w:t>
      </w:r>
    </w:p>
    <w:p>
      <w:pPr>
        <w:pStyle w:val="BodyText"/>
        <w:spacing w:line="259" w:lineRule="exact"/>
        <w:ind w:left="2152"/>
      </w:pPr>
      <w:r>
        <w:rPr/>
        <w:t>the implementation of new laws.</w:t>
      </w:r>
    </w:p>
    <w:p>
      <w:pPr>
        <w:pStyle w:val="ListParagraph"/>
        <w:numPr>
          <w:ilvl w:val="0"/>
          <w:numId w:val="9"/>
        </w:numPr>
        <w:tabs>
          <w:tab w:pos="1755" w:val="left" w:leader="none"/>
          <w:tab w:pos="1756" w:val="left" w:leader="none"/>
        </w:tabs>
        <w:spacing w:line="206" w:lineRule="auto" w:before="80" w:after="0"/>
        <w:ind w:left="1755" w:right="1417" w:hanging="794"/>
        <w:jc w:val="left"/>
        <w:rPr>
          <w:sz w:val="20"/>
        </w:rPr>
      </w:pPr>
      <w:r>
        <w:rPr>
          <w:sz w:val="20"/>
        </w:rPr>
        <w:t>Clear and practical information should be provided to the community about the operation</w:t>
      </w:r>
      <w:r>
        <w:rPr>
          <w:spacing w:val="-6"/>
          <w:sz w:val="20"/>
        </w:rPr>
        <w:t> </w:t>
      </w:r>
      <w:r>
        <w:rPr>
          <w:sz w:val="20"/>
        </w:rPr>
        <w:t>of</w:t>
      </w:r>
      <w:r>
        <w:rPr>
          <w:spacing w:val="-5"/>
          <w:sz w:val="20"/>
        </w:rPr>
        <w:t> </w:t>
      </w:r>
      <w:r>
        <w:rPr>
          <w:sz w:val="20"/>
        </w:rPr>
        <w:t>the</w:t>
      </w:r>
      <w:r>
        <w:rPr>
          <w:spacing w:val="-5"/>
          <w:sz w:val="20"/>
        </w:rPr>
        <w:t> </w:t>
      </w:r>
      <w:r>
        <w:rPr>
          <w:sz w:val="20"/>
        </w:rPr>
        <w:t>new</w:t>
      </w:r>
      <w:r>
        <w:rPr>
          <w:spacing w:val="-5"/>
          <w:sz w:val="20"/>
        </w:rPr>
        <w:t> </w:t>
      </w:r>
      <w:r>
        <w:rPr>
          <w:sz w:val="20"/>
        </w:rPr>
        <w:t>laws.</w:t>
      </w:r>
      <w:r>
        <w:rPr>
          <w:spacing w:val="-5"/>
          <w:sz w:val="20"/>
        </w:rPr>
        <w:t> </w:t>
      </w:r>
      <w:r>
        <w:rPr>
          <w:sz w:val="20"/>
        </w:rPr>
        <w:t>This</w:t>
      </w:r>
      <w:r>
        <w:rPr>
          <w:spacing w:val="-5"/>
          <w:sz w:val="20"/>
        </w:rPr>
        <w:t> </w:t>
      </w:r>
      <w:r>
        <w:rPr>
          <w:sz w:val="20"/>
        </w:rPr>
        <w:t>will</w:t>
      </w:r>
      <w:r>
        <w:rPr>
          <w:spacing w:val="-6"/>
          <w:sz w:val="20"/>
        </w:rPr>
        <w:t> </w:t>
      </w:r>
      <w:r>
        <w:rPr>
          <w:sz w:val="20"/>
        </w:rPr>
        <w:t>encourage</w:t>
      </w:r>
      <w:r>
        <w:rPr>
          <w:spacing w:val="-5"/>
          <w:sz w:val="20"/>
        </w:rPr>
        <w:t> </w:t>
      </w:r>
      <w:r>
        <w:rPr>
          <w:sz w:val="20"/>
        </w:rPr>
        <w:t>people</w:t>
      </w:r>
      <w:r>
        <w:rPr>
          <w:spacing w:val="-5"/>
          <w:sz w:val="20"/>
        </w:rPr>
        <w:t> </w:t>
      </w:r>
      <w:r>
        <w:rPr>
          <w:sz w:val="20"/>
        </w:rPr>
        <w:t>in</w:t>
      </w:r>
      <w:r>
        <w:rPr>
          <w:spacing w:val="-5"/>
          <w:sz w:val="20"/>
        </w:rPr>
        <w:t> </w:t>
      </w:r>
      <w:r>
        <w:rPr>
          <w:sz w:val="20"/>
        </w:rPr>
        <w:t>the</w:t>
      </w:r>
      <w:r>
        <w:rPr>
          <w:spacing w:val="-5"/>
          <w:sz w:val="20"/>
        </w:rPr>
        <w:t> </w:t>
      </w:r>
      <w:r>
        <w:rPr>
          <w:sz w:val="20"/>
        </w:rPr>
        <w:t>subject</w:t>
      </w:r>
      <w:r>
        <w:rPr>
          <w:spacing w:val="-5"/>
          <w:sz w:val="20"/>
        </w:rPr>
        <w:t> </w:t>
      </w:r>
      <w:r>
        <w:rPr>
          <w:sz w:val="20"/>
        </w:rPr>
        <w:t>groups</w:t>
      </w:r>
      <w:r>
        <w:rPr>
          <w:spacing w:val="-6"/>
          <w:sz w:val="20"/>
        </w:rPr>
        <w:t> </w:t>
      </w:r>
      <w:r>
        <w:rPr>
          <w:sz w:val="20"/>
        </w:rPr>
        <w:t>to</w:t>
      </w:r>
      <w:r>
        <w:rPr>
          <w:spacing w:val="-5"/>
          <w:sz w:val="20"/>
        </w:rPr>
        <w:t> </w:t>
      </w:r>
      <w:r>
        <w:rPr>
          <w:sz w:val="20"/>
        </w:rPr>
        <w:t>serve and reassure them about the process. </w:t>
      </w:r>
      <w:r>
        <w:rPr>
          <w:spacing w:val="-4"/>
          <w:sz w:val="20"/>
        </w:rPr>
        <w:t>Targeted </w:t>
      </w:r>
      <w:r>
        <w:rPr>
          <w:sz w:val="20"/>
        </w:rPr>
        <w:t>information encouraging Aboriginal Victorians from the subject groups to serve is particularly</w:t>
      </w:r>
      <w:r>
        <w:rPr>
          <w:spacing w:val="-27"/>
          <w:sz w:val="20"/>
        </w:rPr>
        <w:t> </w:t>
      </w:r>
      <w:r>
        <w:rPr>
          <w:sz w:val="20"/>
        </w:rPr>
        <w:t>important.</w:t>
      </w:r>
    </w:p>
    <w:p>
      <w:pPr>
        <w:pStyle w:val="BodyText"/>
      </w:pPr>
    </w:p>
    <w:p>
      <w:pPr>
        <w:pStyle w:val="BodyText"/>
      </w:pPr>
    </w:p>
    <w:p>
      <w:pPr>
        <w:pStyle w:val="BodyText"/>
      </w:pPr>
    </w:p>
    <w:p>
      <w:pPr>
        <w:pStyle w:val="BodyText"/>
      </w:pPr>
    </w:p>
    <w:p>
      <w:pPr>
        <w:pStyle w:val="BodyText"/>
      </w:pPr>
    </w:p>
    <w:p>
      <w:pPr>
        <w:pStyle w:val="BodyText"/>
        <w:spacing w:before="3"/>
        <w:rPr>
          <w:sz w:val="26"/>
        </w:rPr>
      </w:pPr>
    </w:p>
    <w:p>
      <w:pPr>
        <w:spacing w:before="49"/>
        <w:ind w:left="0" w:right="251" w:firstLine="0"/>
        <w:jc w:val="right"/>
        <w:rPr>
          <w:b/>
          <w:sz w:val="24"/>
        </w:rPr>
      </w:pPr>
      <w:r>
        <w:rPr>
          <w:b/>
          <w:color w:val="37617A"/>
          <w:sz w:val="24"/>
        </w:rPr>
        <w:t>xxi</w:t>
      </w:r>
    </w:p>
    <w:p>
      <w:pPr>
        <w:spacing w:after="0"/>
        <w:jc w:val="right"/>
        <w:rPr>
          <w:sz w:val="24"/>
        </w:rPr>
        <w:sectPr>
          <w:pgSz w:w="11910" w:h="16840"/>
          <w:pgMar w:header="0" w:footer="0" w:top="840" w:bottom="280" w:left="620" w:right="380"/>
        </w:sectPr>
      </w:pPr>
    </w:p>
    <w:p>
      <w:pPr>
        <w:pStyle w:val="BodyText"/>
        <w:rPr>
          <w:b/>
        </w:rPr>
      </w:pPr>
    </w:p>
    <w:p>
      <w:pPr>
        <w:pStyle w:val="BodyText"/>
        <w:rPr>
          <w:b/>
        </w:rPr>
      </w:pPr>
    </w:p>
    <w:p>
      <w:pPr>
        <w:pStyle w:val="BodyText"/>
        <w:rPr>
          <w:b/>
        </w:rPr>
      </w:pPr>
    </w:p>
    <w:p>
      <w:pPr>
        <w:spacing w:before="212"/>
        <w:ind w:left="981" w:right="0" w:firstLine="0"/>
        <w:jc w:val="left"/>
        <w:rPr>
          <w:rFonts w:ascii="Raleway ExtraBold"/>
          <w:b/>
          <w:sz w:val="28"/>
        </w:rPr>
      </w:pPr>
      <w:r>
        <w:rPr>
          <w:rFonts w:ascii="Raleway ExtraBold"/>
          <w:b/>
          <w:color w:val="37617A"/>
          <w:sz w:val="28"/>
        </w:rPr>
        <w:t>Funding these reforms and monitoring progress</w:t>
      </w:r>
    </w:p>
    <w:p>
      <w:pPr>
        <w:pStyle w:val="ListParagraph"/>
        <w:numPr>
          <w:ilvl w:val="0"/>
          <w:numId w:val="9"/>
        </w:numPr>
        <w:tabs>
          <w:tab w:pos="1775" w:val="left" w:leader="none"/>
          <w:tab w:pos="1776" w:val="left" w:leader="none"/>
        </w:tabs>
        <w:spacing w:line="206" w:lineRule="auto" w:before="146" w:after="0"/>
        <w:ind w:left="1775" w:right="1259" w:hanging="794"/>
        <w:jc w:val="left"/>
        <w:rPr>
          <w:sz w:val="20"/>
        </w:rPr>
      </w:pPr>
      <w:r>
        <w:rPr>
          <w:sz w:val="20"/>
        </w:rPr>
        <w:t>There</w:t>
      </w:r>
      <w:r>
        <w:rPr>
          <w:spacing w:val="-7"/>
          <w:sz w:val="20"/>
        </w:rPr>
        <w:t> </w:t>
      </w:r>
      <w:r>
        <w:rPr>
          <w:sz w:val="20"/>
        </w:rPr>
        <w:t>will</w:t>
      </w:r>
      <w:r>
        <w:rPr>
          <w:spacing w:val="-7"/>
          <w:sz w:val="20"/>
        </w:rPr>
        <w:t> </w:t>
      </w:r>
      <w:r>
        <w:rPr>
          <w:sz w:val="20"/>
        </w:rPr>
        <w:t>be</w:t>
      </w:r>
      <w:r>
        <w:rPr>
          <w:spacing w:val="-7"/>
          <w:sz w:val="20"/>
        </w:rPr>
        <w:t> </w:t>
      </w:r>
      <w:r>
        <w:rPr>
          <w:sz w:val="20"/>
        </w:rPr>
        <w:t>costs</w:t>
      </w:r>
      <w:r>
        <w:rPr>
          <w:spacing w:val="-7"/>
          <w:sz w:val="20"/>
        </w:rPr>
        <w:t> </w:t>
      </w:r>
      <w:r>
        <w:rPr>
          <w:sz w:val="20"/>
        </w:rPr>
        <w:t>associated</w:t>
      </w:r>
      <w:r>
        <w:rPr>
          <w:spacing w:val="-7"/>
          <w:sz w:val="20"/>
        </w:rPr>
        <w:t> </w:t>
      </w:r>
      <w:r>
        <w:rPr>
          <w:sz w:val="20"/>
        </w:rPr>
        <w:t>with</w:t>
      </w:r>
      <w:r>
        <w:rPr>
          <w:spacing w:val="-7"/>
          <w:sz w:val="20"/>
        </w:rPr>
        <w:t> </w:t>
      </w:r>
      <w:r>
        <w:rPr>
          <w:sz w:val="20"/>
        </w:rPr>
        <w:t>implementing</w:t>
      </w:r>
      <w:r>
        <w:rPr>
          <w:spacing w:val="-7"/>
          <w:sz w:val="20"/>
        </w:rPr>
        <w:t> </w:t>
      </w:r>
      <w:r>
        <w:rPr>
          <w:sz w:val="20"/>
        </w:rPr>
        <w:t>the</w:t>
      </w:r>
      <w:r>
        <w:rPr>
          <w:spacing w:val="-7"/>
          <w:sz w:val="20"/>
        </w:rPr>
        <w:t> </w:t>
      </w:r>
      <w:r>
        <w:rPr>
          <w:sz w:val="20"/>
        </w:rPr>
        <w:t>recommendations</w:t>
      </w:r>
      <w:r>
        <w:rPr>
          <w:spacing w:val="-6"/>
          <w:sz w:val="20"/>
        </w:rPr>
        <w:t> </w:t>
      </w:r>
      <w:r>
        <w:rPr>
          <w:sz w:val="20"/>
        </w:rPr>
        <w:t>in</w:t>
      </w:r>
      <w:r>
        <w:rPr>
          <w:spacing w:val="-7"/>
          <w:sz w:val="20"/>
        </w:rPr>
        <w:t> </w:t>
      </w:r>
      <w:r>
        <w:rPr>
          <w:sz w:val="20"/>
        </w:rPr>
        <w:t>this</w:t>
      </w:r>
      <w:r>
        <w:rPr>
          <w:spacing w:val="-7"/>
          <w:sz w:val="20"/>
        </w:rPr>
        <w:t> </w:t>
      </w:r>
      <w:r>
        <w:rPr>
          <w:sz w:val="20"/>
        </w:rPr>
        <w:t>report, but these costs are outweighed </w:t>
      </w:r>
      <w:r>
        <w:rPr>
          <w:spacing w:val="-3"/>
          <w:sz w:val="20"/>
        </w:rPr>
        <w:t>by </w:t>
      </w:r>
      <w:r>
        <w:rPr>
          <w:sz w:val="20"/>
        </w:rPr>
        <w:t>the benefits of reform. Only a small number of trials are likely to be impacted, so </w:t>
      </w:r>
      <w:r>
        <w:rPr>
          <w:spacing w:val="-3"/>
          <w:sz w:val="20"/>
        </w:rPr>
        <w:t>we </w:t>
      </w:r>
      <w:r>
        <w:rPr>
          <w:sz w:val="20"/>
        </w:rPr>
        <w:t>are confident that reforms can be implemented reasonably </w:t>
      </w:r>
      <w:r>
        <w:rPr>
          <w:spacing w:val="-3"/>
          <w:sz w:val="20"/>
        </w:rPr>
        <w:t>easily, </w:t>
      </w:r>
      <w:r>
        <w:rPr>
          <w:sz w:val="20"/>
        </w:rPr>
        <w:t>without placing a large ongoing burden on the courts or Juries Victoria.</w:t>
      </w:r>
    </w:p>
    <w:p>
      <w:pPr>
        <w:pStyle w:val="ListParagraph"/>
        <w:numPr>
          <w:ilvl w:val="0"/>
          <w:numId w:val="9"/>
        </w:numPr>
        <w:tabs>
          <w:tab w:pos="1775" w:val="left" w:leader="none"/>
          <w:tab w:pos="1776" w:val="left" w:leader="none"/>
        </w:tabs>
        <w:spacing w:line="206" w:lineRule="auto" w:before="119" w:after="0"/>
        <w:ind w:left="1775" w:right="1296" w:hanging="794"/>
        <w:jc w:val="left"/>
        <w:rPr>
          <w:sz w:val="20"/>
        </w:rPr>
      </w:pPr>
      <w:r>
        <w:rPr>
          <w:sz w:val="20"/>
        </w:rPr>
        <w:t>If</w:t>
      </w:r>
      <w:r>
        <w:rPr>
          <w:spacing w:val="-6"/>
          <w:sz w:val="20"/>
        </w:rPr>
        <w:t> </w:t>
      </w:r>
      <w:r>
        <w:rPr>
          <w:sz w:val="20"/>
        </w:rPr>
        <w:t>the</w:t>
      </w:r>
      <w:r>
        <w:rPr>
          <w:spacing w:val="-5"/>
          <w:sz w:val="20"/>
        </w:rPr>
        <w:t> </w:t>
      </w:r>
      <w:r>
        <w:rPr>
          <w:sz w:val="20"/>
        </w:rPr>
        <w:t>law</w:t>
      </w:r>
      <w:r>
        <w:rPr>
          <w:spacing w:val="-5"/>
          <w:sz w:val="20"/>
        </w:rPr>
        <w:t> </w:t>
      </w:r>
      <w:r>
        <w:rPr>
          <w:sz w:val="20"/>
        </w:rPr>
        <w:t>is</w:t>
      </w:r>
      <w:r>
        <w:rPr>
          <w:spacing w:val="-5"/>
          <w:sz w:val="20"/>
        </w:rPr>
        <w:t> </w:t>
      </w:r>
      <w:r>
        <w:rPr>
          <w:sz w:val="20"/>
        </w:rPr>
        <w:t>changed,</w:t>
      </w:r>
      <w:r>
        <w:rPr>
          <w:spacing w:val="-5"/>
          <w:sz w:val="20"/>
        </w:rPr>
        <w:t> </w:t>
      </w:r>
      <w:r>
        <w:rPr>
          <w:sz w:val="20"/>
        </w:rPr>
        <w:t>data</w:t>
      </w:r>
      <w:r>
        <w:rPr>
          <w:spacing w:val="-5"/>
          <w:sz w:val="20"/>
        </w:rPr>
        <w:t> </w:t>
      </w:r>
      <w:r>
        <w:rPr>
          <w:sz w:val="20"/>
        </w:rPr>
        <w:t>should</w:t>
      </w:r>
      <w:r>
        <w:rPr>
          <w:spacing w:val="-5"/>
          <w:sz w:val="20"/>
        </w:rPr>
        <w:t> </w:t>
      </w:r>
      <w:r>
        <w:rPr>
          <w:sz w:val="20"/>
        </w:rPr>
        <w:t>be</w:t>
      </w:r>
      <w:r>
        <w:rPr>
          <w:spacing w:val="-6"/>
          <w:sz w:val="20"/>
        </w:rPr>
        <w:t> </w:t>
      </w:r>
      <w:r>
        <w:rPr>
          <w:sz w:val="20"/>
        </w:rPr>
        <w:t>collected</w:t>
      </w:r>
      <w:r>
        <w:rPr>
          <w:spacing w:val="-5"/>
          <w:sz w:val="20"/>
        </w:rPr>
        <w:t> </w:t>
      </w:r>
      <w:r>
        <w:rPr>
          <w:sz w:val="20"/>
        </w:rPr>
        <w:t>about</w:t>
      </w:r>
      <w:r>
        <w:rPr>
          <w:spacing w:val="-5"/>
          <w:sz w:val="20"/>
        </w:rPr>
        <w:t> </w:t>
      </w:r>
      <w:r>
        <w:rPr>
          <w:sz w:val="20"/>
        </w:rPr>
        <w:t>the</w:t>
      </w:r>
      <w:r>
        <w:rPr>
          <w:spacing w:val="-5"/>
          <w:sz w:val="20"/>
        </w:rPr>
        <w:t> </w:t>
      </w:r>
      <w:r>
        <w:rPr>
          <w:sz w:val="20"/>
        </w:rPr>
        <w:t>participation</w:t>
      </w:r>
      <w:r>
        <w:rPr>
          <w:spacing w:val="-5"/>
          <w:sz w:val="20"/>
        </w:rPr>
        <w:t> </w:t>
      </w:r>
      <w:r>
        <w:rPr>
          <w:sz w:val="20"/>
        </w:rPr>
        <w:t>of</w:t>
      </w:r>
      <w:r>
        <w:rPr>
          <w:spacing w:val="-5"/>
          <w:sz w:val="20"/>
        </w:rPr>
        <w:t> </w:t>
      </w:r>
      <w:r>
        <w:rPr>
          <w:sz w:val="20"/>
        </w:rPr>
        <w:t>people</w:t>
      </w:r>
      <w:r>
        <w:rPr>
          <w:spacing w:val="-5"/>
          <w:sz w:val="20"/>
        </w:rPr>
        <w:t> </w:t>
      </w:r>
      <w:r>
        <w:rPr>
          <w:sz w:val="20"/>
        </w:rPr>
        <w:t>from the subject groups at all stages of the jury selection process, and published in the Supreme Court’s annual</w:t>
      </w:r>
      <w:r>
        <w:rPr>
          <w:spacing w:val="-7"/>
          <w:sz w:val="20"/>
        </w:rPr>
        <w:t> </w:t>
      </w:r>
      <w:r>
        <w:rPr>
          <w:sz w:val="20"/>
        </w:rPr>
        <w:t>report.</w:t>
      </w:r>
    </w:p>
    <w:p>
      <w:pPr>
        <w:pStyle w:val="ListParagraph"/>
        <w:numPr>
          <w:ilvl w:val="0"/>
          <w:numId w:val="9"/>
        </w:numPr>
        <w:tabs>
          <w:tab w:pos="1775" w:val="left" w:leader="none"/>
          <w:tab w:pos="1776" w:val="left" w:leader="none"/>
        </w:tabs>
        <w:spacing w:line="259" w:lineRule="exact" w:before="85" w:after="0"/>
        <w:ind w:left="1775" w:right="0" w:hanging="794"/>
        <w:jc w:val="left"/>
        <w:rPr>
          <w:sz w:val="20"/>
        </w:rPr>
      </w:pPr>
      <w:r>
        <w:rPr>
          <w:sz w:val="20"/>
        </w:rPr>
        <w:t>Subject</w:t>
      </w:r>
      <w:r>
        <w:rPr>
          <w:spacing w:val="-4"/>
          <w:sz w:val="20"/>
        </w:rPr>
        <w:t> </w:t>
      </w:r>
      <w:r>
        <w:rPr>
          <w:sz w:val="20"/>
        </w:rPr>
        <w:t>to</w:t>
      </w:r>
      <w:r>
        <w:rPr>
          <w:spacing w:val="-4"/>
          <w:sz w:val="20"/>
        </w:rPr>
        <w:t> </w:t>
      </w:r>
      <w:r>
        <w:rPr>
          <w:sz w:val="20"/>
        </w:rPr>
        <w:t>juror</w:t>
      </w:r>
      <w:r>
        <w:rPr>
          <w:spacing w:val="-3"/>
          <w:sz w:val="20"/>
        </w:rPr>
        <w:t> </w:t>
      </w:r>
      <w:r>
        <w:rPr>
          <w:sz w:val="20"/>
        </w:rPr>
        <w:t>confidentiality</w:t>
      </w:r>
      <w:r>
        <w:rPr>
          <w:spacing w:val="-4"/>
          <w:sz w:val="20"/>
        </w:rPr>
        <w:t> </w:t>
      </w:r>
      <w:r>
        <w:rPr>
          <w:sz w:val="20"/>
        </w:rPr>
        <w:t>requirements</w:t>
      </w:r>
      <w:r>
        <w:rPr>
          <w:spacing w:val="-3"/>
          <w:sz w:val="20"/>
        </w:rPr>
        <w:t> </w:t>
      </w:r>
      <w:r>
        <w:rPr>
          <w:sz w:val="20"/>
        </w:rPr>
        <w:t>in</w:t>
      </w:r>
      <w:r>
        <w:rPr>
          <w:spacing w:val="-4"/>
          <w:sz w:val="20"/>
        </w:rPr>
        <w:t> </w:t>
      </w:r>
      <w:r>
        <w:rPr>
          <w:sz w:val="20"/>
        </w:rPr>
        <w:t>the</w:t>
      </w:r>
      <w:r>
        <w:rPr>
          <w:spacing w:val="-3"/>
          <w:sz w:val="20"/>
        </w:rPr>
        <w:t> </w:t>
      </w:r>
      <w:r>
        <w:rPr>
          <w:sz w:val="20"/>
        </w:rPr>
        <w:t>Act,</w:t>
      </w:r>
      <w:r>
        <w:rPr>
          <w:spacing w:val="-4"/>
          <w:sz w:val="20"/>
        </w:rPr>
        <w:t> </w:t>
      </w:r>
      <w:r>
        <w:rPr>
          <w:sz w:val="20"/>
        </w:rPr>
        <w:t>information</w:t>
      </w:r>
      <w:r>
        <w:rPr>
          <w:spacing w:val="-3"/>
          <w:sz w:val="20"/>
        </w:rPr>
        <w:t> </w:t>
      </w:r>
      <w:r>
        <w:rPr>
          <w:sz w:val="20"/>
        </w:rPr>
        <w:t>should</w:t>
      </w:r>
      <w:r>
        <w:rPr>
          <w:spacing w:val="-4"/>
          <w:sz w:val="20"/>
        </w:rPr>
        <w:t> </w:t>
      </w:r>
      <w:r>
        <w:rPr>
          <w:sz w:val="20"/>
        </w:rPr>
        <w:t>also</w:t>
      </w:r>
      <w:r>
        <w:rPr>
          <w:spacing w:val="-3"/>
          <w:sz w:val="20"/>
        </w:rPr>
        <w:t> </w:t>
      </w:r>
      <w:r>
        <w:rPr>
          <w:sz w:val="20"/>
        </w:rPr>
        <w:t>be</w:t>
      </w:r>
    </w:p>
    <w:p>
      <w:pPr>
        <w:pStyle w:val="BodyText"/>
        <w:spacing w:line="259" w:lineRule="exact"/>
        <w:ind w:left="1775"/>
      </w:pPr>
      <w:r>
        <w:rPr/>
        <w:t>collected about the experiences of people from the subject groups.</w:t>
      </w:r>
    </w:p>
    <w:p>
      <w:pPr>
        <w:pStyle w:val="ListParagraph"/>
        <w:numPr>
          <w:ilvl w:val="0"/>
          <w:numId w:val="9"/>
        </w:numPr>
        <w:tabs>
          <w:tab w:pos="1775" w:val="left" w:leader="none"/>
          <w:tab w:pos="1776" w:val="left" w:leader="none"/>
        </w:tabs>
        <w:spacing w:line="206" w:lineRule="auto" w:before="108" w:after="0"/>
        <w:ind w:left="1775" w:right="1737" w:hanging="794"/>
        <w:jc w:val="both"/>
        <w:rPr>
          <w:sz w:val="20"/>
        </w:rPr>
      </w:pPr>
      <w:r>
        <w:rPr>
          <w:sz w:val="20"/>
        </w:rPr>
        <w:t>Information about the new laws and policies should be widely distributed to the Victorian community in accessible formats, including videos, printed information </w:t>
      </w:r>
      <w:r>
        <w:rPr>
          <w:spacing w:val="-3"/>
          <w:sz w:val="20"/>
        </w:rPr>
        <w:t>by</w:t>
      </w:r>
      <w:r>
        <w:rPr>
          <w:spacing w:val="-6"/>
          <w:sz w:val="20"/>
        </w:rPr>
        <w:t> </w:t>
      </w:r>
      <w:r>
        <w:rPr>
          <w:sz w:val="20"/>
        </w:rPr>
        <w:t>Government</w:t>
      </w:r>
      <w:r>
        <w:rPr>
          <w:spacing w:val="-6"/>
          <w:sz w:val="20"/>
        </w:rPr>
        <w:t> </w:t>
      </w:r>
      <w:r>
        <w:rPr>
          <w:sz w:val="20"/>
        </w:rPr>
        <w:t>and</w:t>
      </w:r>
      <w:r>
        <w:rPr>
          <w:spacing w:val="-6"/>
          <w:sz w:val="20"/>
        </w:rPr>
        <w:t> </w:t>
      </w:r>
      <w:r>
        <w:rPr>
          <w:sz w:val="20"/>
        </w:rPr>
        <w:t>advocacy</w:t>
      </w:r>
      <w:r>
        <w:rPr>
          <w:spacing w:val="-6"/>
          <w:sz w:val="20"/>
        </w:rPr>
        <w:t> </w:t>
      </w:r>
      <w:r>
        <w:rPr>
          <w:sz w:val="20"/>
        </w:rPr>
        <w:t>organisations,</w:t>
      </w:r>
      <w:r>
        <w:rPr>
          <w:spacing w:val="-6"/>
          <w:sz w:val="20"/>
        </w:rPr>
        <w:t> </w:t>
      </w:r>
      <w:r>
        <w:rPr>
          <w:sz w:val="20"/>
        </w:rPr>
        <w:t>and</w:t>
      </w:r>
      <w:r>
        <w:rPr>
          <w:spacing w:val="-5"/>
          <w:sz w:val="20"/>
        </w:rPr>
        <w:t> </w:t>
      </w:r>
      <w:r>
        <w:rPr>
          <w:sz w:val="20"/>
        </w:rPr>
        <w:t>on</w:t>
      </w:r>
      <w:r>
        <w:rPr>
          <w:spacing w:val="-6"/>
          <w:sz w:val="20"/>
        </w:rPr>
        <w:t> </w:t>
      </w:r>
      <w:r>
        <w:rPr>
          <w:sz w:val="20"/>
        </w:rPr>
        <w:t>the</w:t>
      </w:r>
      <w:r>
        <w:rPr>
          <w:spacing w:val="-6"/>
          <w:sz w:val="20"/>
        </w:rPr>
        <w:t> </w:t>
      </w:r>
      <w:r>
        <w:rPr>
          <w:sz w:val="20"/>
        </w:rPr>
        <w:t>Juries</w:t>
      </w:r>
      <w:r>
        <w:rPr>
          <w:spacing w:val="-6"/>
          <w:sz w:val="20"/>
        </w:rPr>
        <w:t> </w:t>
      </w:r>
      <w:r>
        <w:rPr>
          <w:sz w:val="20"/>
        </w:rPr>
        <w:t>Victoria</w:t>
      </w:r>
      <w:r>
        <w:rPr>
          <w:spacing w:val="-6"/>
          <w:sz w:val="20"/>
        </w:rPr>
        <w:t> </w:t>
      </w:r>
      <w:r>
        <w:rPr>
          <w:sz w:val="20"/>
        </w:rPr>
        <w:t>and</w:t>
      </w:r>
      <w:r>
        <w:rPr>
          <w:spacing w:val="-6"/>
          <w:sz w:val="20"/>
        </w:rPr>
        <w:t> </w:t>
      </w:r>
      <w:r>
        <w:rPr>
          <w:sz w:val="20"/>
        </w:rPr>
        <w:t>court websites.</w:t>
      </w:r>
    </w:p>
    <w:p>
      <w:pPr>
        <w:pStyle w:val="ListParagraph"/>
        <w:numPr>
          <w:ilvl w:val="0"/>
          <w:numId w:val="9"/>
        </w:numPr>
        <w:tabs>
          <w:tab w:pos="1775" w:val="left" w:leader="none"/>
          <w:tab w:pos="1776" w:val="left" w:leader="none"/>
        </w:tabs>
        <w:spacing w:line="240" w:lineRule="auto" w:before="87" w:after="0"/>
        <w:ind w:left="1775" w:right="0" w:hanging="794"/>
        <w:jc w:val="left"/>
        <w:rPr>
          <w:sz w:val="20"/>
        </w:rPr>
      </w:pPr>
      <w:r>
        <w:rPr>
          <w:sz w:val="20"/>
        </w:rPr>
        <w:t>The new laws should be </w:t>
      </w:r>
      <w:r>
        <w:rPr>
          <w:spacing w:val="-3"/>
          <w:sz w:val="20"/>
        </w:rPr>
        <w:t>reviewed </w:t>
      </w:r>
      <w:r>
        <w:rPr>
          <w:sz w:val="20"/>
        </w:rPr>
        <w:t>after five years of</w:t>
      </w:r>
      <w:r>
        <w:rPr>
          <w:spacing w:val="-22"/>
          <w:sz w:val="20"/>
        </w:rPr>
        <w:t> </w:t>
      </w:r>
      <w:r>
        <w:rPr>
          <w:sz w:val="20"/>
        </w:rPr>
        <w:t>operation.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p>
    <w:p>
      <w:pPr>
        <w:spacing w:before="49"/>
        <w:ind w:left="100" w:right="0" w:firstLine="0"/>
        <w:jc w:val="left"/>
        <w:rPr>
          <w:b/>
          <w:sz w:val="24"/>
        </w:rPr>
      </w:pPr>
      <w:r>
        <w:rPr>
          <w:b/>
          <w:color w:val="37617A"/>
          <w:sz w:val="24"/>
        </w:rPr>
        <w:t>xxii</w:t>
      </w:r>
    </w:p>
    <w:p>
      <w:pPr>
        <w:spacing w:after="0"/>
        <w:jc w:val="left"/>
        <w:rPr>
          <w:sz w:val="24"/>
        </w:rPr>
        <w:sectPr>
          <w:pgSz w:w="11910" w:h="16840"/>
          <w:pgMar w:header="567" w:footer="0" w:top="860" w:bottom="280" w:left="620" w:right="380"/>
        </w:sectPr>
      </w:pPr>
    </w:p>
    <w:p>
      <w:pPr>
        <w:pStyle w:val="BodyText"/>
        <w:rPr>
          <w:b/>
        </w:rPr>
      </w:pPr>
      <w:r>
        <w:rPr/>
        <w:pict>
          <v:rect style="position:absolute;margin-left:0pt;margin-top:99.213013pt;width:14.173pt;height:85.748pt;mso-position-horizontal-relative:page;mso-position-vertical-relative:page;z-index:1528" filled="true" fillcolor="#37617a" stroked="false">
            <v:fill type="solid"/>
            <w10:wrap type="none"/>
          </v:rect>
        </w:pict>
      </w:r>
    </w:p>
    <w:p>
      <w:pPr>
        <w:pStyle w:val="BodyText"/>
        <w:rPr>
          <w:b/>
        </w:rPr>
      </w:pPr>
    </w:p>
    <w:p>
      <w:pPr>
        <w:pStyle w:val="BodyText"/>
        <w:spacing w:before="13"/>
        <w:rPr>
          <w:b/>
          <w:sz w:val="24"/>
        </w:rPr>
      </w:pPr>
    </w:p>
    <w:p>
      <w:pPr>
        <w:spacing w:line="758" w:lineRule="exact" w:before="0"/>
        <w:ind w:left="187" w:right="0" w:firstLine="0"/>
        <w:jc w:val="left"/>
        <w:rPr>
          <w:rFonts w:ascii="Raleway ExtraBold"/>
          <w:b/>
          <w:sz w:val="56"/>
        </w:rPr>
      </w:pPr>
      <w:bookmarkStart w:name="Recommendations" w:id="10"/>
      <w:bookmarkEnd w:id="10"/>
      <w:r>
        <w:rPr/>
      </w:r>
      <w:bookmarkStart w:name="_bookmark4" w:id="11"/>
      <w:bookmarkEnd w:id="11"/>
      <w:r>
        <w:rPr/>
      </w:r>
      <w:r>
        <w:rPr>
          <w:rFonts w:ascii="Raleway ExtraBold"/>
          <w:b/>
          <w:color w:val="37617A"/>
          <w:sz w:val="56"/>
        </w:rPr>
        <w:t>Recommendations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9"/>
        <w:rPr>
          <w:rFonts w:ascii="Raleway ExtraBold"/>
          <w:b/>
          <w:sz w:val="16"/>
        </w:rPr>
      </w:pPr>
    </w:p>
    <w:p>
      <w:pPr>
        <w:spacing w:before="40"/>
        <w:ind w:left="980" w:right="0" w:firstLine="0"/>
        <w:jc w:val="left"/>
        <w:rPr>
          <w:rFonts w:ascii="Raleway ExtraBold"/>
          <w:b/>
          <w:sz w:val="28"/>
        </w:rPr>
      </w:pPr>
      <w:r>
        <w:rPr>
          <w:rFonts w:ascii="Raleway ExtraBold"/>
          <w:b/>
          <w:color w:val="37617A"/>
          <w:sz w:val="28"/>
        </w:rPr>
        <w:t>Chapter 11</w:t>
      </w:r>
    </w:p>
    <w:p>
      <w:pPr>
        <w:pStyle w:val="ListParagraph"/>
        <w:numPr>
          <w:ilvl w:val="0"/>
          <w:numId w:val="10"/>
        </w:numPr>
        <w:tabs>
          <w:tab w:pos="1774" w:val="left" w:leader="none"/>
          <w:tab w:pos="1775" w:val="left" w:leader="none"/>
        </w:tabs>
        <w:spacing w:line="206" w:lineRule="auto" w:before="146" w:after="0"/>
        <w:ind w:left="1774" w:right="1310" w:hanging="794"/>
        <w:jc w:val="left"/>
        <w:rPr>
          <w:sz w:val="20"/>
        </w:rPr>
      </w:pPr>
      <w:r>
        <w:rPr>
          <w:sz w:val="20"/>
        </w:rPr>
        <w:t>The </w:t>
      </w:r>
      <w:r>
        <w:rPr>
          <w:i/>
          <w:sz w:val="20"/>
        </w:rPr>
        <w:t>Juries Act 2000 </w:t>
      </w:r>
      <w:r>
        <w:rPr>
          <w:sz w:val="20"/>
        </w:rPr>
        <w:t>(Vic) (the Juries Act) should be amended to </w:t>
      </w:r>
      <w:r>
        <w:rPr>
          <w:spacing w:val="-3"/>
          <w:sz w:val="20"/>
        </w:rPr>
        <w:t>require </w:t>
      </w:r>
      <w:r>
        <w:rPr>
          <w:sz w:val="20"/>
        </w:rPr>
        <w:t>that where a judge</w:t>
      </w:r>
      <w:r>
        <w:rPr>
          <w:spacing w:val="-11"/>
          <w:sz w:val="20"/>
        </w:rPr>
        <w:t> </w:t>
      </w:r>
      <w:r>
        <w:rPr>
          <w:sz w:val="20"/>
        </w:rPr>
        <w:t>considers</w:t>
      </w:r>
      <w:r>
        <w:rPr>
          <w:spacing w:val="-11"/>
          <w:sz w:val="20"/>
        </w:rPr>
        <w:t> </w:t>
      </w:r>
      <w:r>
        <w:rPr>
          <w:sz w:val="20"/>
        </w:rPr>
        <w:t>that</w:t>
      </w:r>
      <w:r>
        <w:rPr>
          <w:spacing w:val="-11"/>
          <w:sz w:val="20"/>
        </w:rPr>
        <w:t> </w:t>
      </w:r>
      <w:r>
        <w:rPr>
          <w:sz w:val="20"/>
        </w:rPr>
        <w:t>reasonable</w:t>
      </w:r>
      <w:r>
        <w:rPr>
          <w:spacing w:val="-11"/>
          <w:sz w:val="20"/>
        </w:rPr>
        <w:t> </w:t>
      </w:r>
      <w:r>
        <w:rPr>
          <w:sz w:val="20"/>
        </w:rPr>
        <w:t>adjustments</w:t>
      </w:r>
      <w:r>
        <w:rPr>
          <w:spacing w:val="-11"/>
          <w:sz w:val="20"/>
        </w:rPr>
        <w:t> </w:t>
      </w:r>
      <w:r>
        <w:rPr>
          <w:spacing w:val="-3"/>
          <w:sz w:val="20"/>
        </w:rPr>
        <w:t>would</w:t>
      </w:r>
      <w:r>
        <w:rPr>
          <w:spacing w:val="-11"/>
          <w:sz w:val="20"/>
        </w:rPr>
        <w:t> </w:t>
      </w:r>
      <w:r>
        <w:rPr>
          <w:sz w:val="20"/>
        </w:rPr>
        <w:t>enable</w:t>
      </w:r>
      <w:r>
        <w:rPr>
          <w:spacing w:val="-11"/>
          <w:sz w:val="20"/>
        </w:rPr>
        <w:t> </w:t>
      </w:r>
      <w:r>
        <w:rPr>
          <w:sz w:val="20"/>
        </w:rPr>
        <w:t>a</w:t>
      </w:r>
      <w:r>
        <w:rPr>
          <w:spacing w:val="-10"/>
          <w:sz w:val="20"/>
        </w:rPr>
        <w:t> </w:t>
      </w:r>
      <w:r>
        <w:rPr>
          <w:sz w:val="20"/>
        </w:rPr>
        <w:t>person</w:t>
      </w:r>
      <w:r>
        <w:rPr>
          <w:spacing w:val="-11"/>
          <w:sz w:val="20"/>
        </w:rPr>
        <w:t> </w:t>
      </w:r>
      <w:r>
        <w:rPr>
          <w:sz w:val="20"/>
        </w:rPr>
        <w:t>who</w:t>
      </w:r>
      <w:r>
        <w:rPr>
          <w:spacing w:val="-11"/>
          <w:sz w:val="20"/>
        </w:rPr>
        <w:t> </w:t>
      </w:r>
      <w:r>
        <w:rPr>
          <w:sz w:val="20"/>
        </w:rPr>
        <w:t>is</w:t>
      </w:r>
      <w:r>
        <w:rPr>
          <w:spacing w:val="-11"/>
          <w:sz w:val="20"/>
        </w:rPr>
        <w:t> </w:t>
      </w:r>
      <w:r>
        <w:rPr>
          <w:spacing w:val="-4"/>
          <w:sz w:val="20"/>
        </w:rPr>
        <w:t>deaf,</w:t>
      </w:r>
      <w:r>
        <w:rPr>
          <w:spacing w:val="-11"/>
          <w:sz w:val="20"/>
        </w:rPr>
        <w:t> </w:t>
      </w:r>
      <w:r>
        <w:rPr>
          <w:sz w:val="20"/>
        </w:rPr>
        <w:t>hard of hearing, blind or has </w:t>
      </w:r>
      <w:r>
        <w:rPr>
          <w:spacing w:val="-4"/>
          <w:sz w:val="20"/>
        </w:rPr>
        <w:t>low </w:t>
      </w:r>
      <w:r>
        <w:rPr>
          <w:sz w:val="20"/>
        </w:rPr>
        <w:t>vision to serve as a </w:t>
      </w:r>
      <w:r>
        <w:rPr>
          <w:spacing w:val="-4"/>
          <w:sz w:val="20"/>
        </w:rPr>
        <w:t>juror, </w:t>
      </w:r>
      <w:r>
        <w:rPr>
          <w:sz w:val="20"/>
        </w:rPr>
        <w:t>the judge must direct that those adjustments</w:t>
      </w:r>
      <w:r>
        <w:rPr>
          <w:spacing w:val="-7"/>
          <w:sz w:val="20"/>
        </w:rPr>
        <w:t> </w:t>
      </w:r>
      <w:r>
        <w:rPr>
          <w:sz w:val="20"/>
        </w:rPr>
        <w:t>be</w:t>
      </w:r>
      <w:r>
        <w:rPr>
          <w:spacing w:val="-6"/>
          <w:sz w:val="20"/>
        </w:rPr>
        <w:t> </w:t>
      </w:r>
      <w:r>
        <w:rPr>
          <w:spacing w:val="-3"/>
          <w:sz w:val="20"/>
        </w:rPr>
        <w:t>provided</w:t>
      </w:r>
      <w:r>
        <w:rPr>
          <w:spacing w:val="-6"/>
          <w:sz w:val="20"/>
        </w:rPr>
        <w:t> </w:t>
      </w:r>
      <w:r>
        <w:rPr>
          <w:sz w:val="20"/>
        </w:rPr>
        <w:t>or</w:t>
      </w:r>
      <w:r>
        <w:rPr>
          <w:spacing w:val="-6"/>
          <w:sz w:val="20"/>
        </w:rPr>
        <w:t> </w:t>
      </w:r>
      <w:r>
        <w:rPr>
          <w:sz w:val="20"/>
        </w:rPr>
        <w:t>direct</w:t>
      </w:r>
      <w:r>
        <w:rPr>
          <w:spacing w:val="-6"/>
          <w:sz w:val="20"/>
        </w:rPr>
        <w:t> </w:t>
      </w:r>
      <w:r>
        <w:rPr>
          <w:sz w:val="20"/>
        </w:rPr>
        <w:t>that</w:t>
      </w:r>
      <w:r>
        <w:rPr>
          <w:spacing w:val="-6"/>
          <w:sz w:val="20"/>
        </w:rPr>
        <w:t> </w:t>
      </w:r>
      <w:r>
        <w:rPr>
          <w:sz w:val="20"/>
        </w:rPr>
        <w:t>the</w:t>
      </w:r>
      <w:r>
        <w:rPr>
          <w:spacing w:val="-6"/>
          <w:sz w:val="20"/>
        </w:rPr>
        <w:t> </w:t>
      </w:r>
      <w:r>
        <w:rPr>
          <w:sz w:val="20"/>
        </w:rPr>
        <w:t>Juries</w:t>
      </w:r>
      <w:r>
        <w:rPr>
          <w:spacing w:val="-6"/>
          <w:sz w:val="20"/>
        </w:rPr>
        <w:t> </w:t>
      </w:r>
      <w:r>
        <w:rPr>
          <w:sz w:val="20"/>
        </w:rPr>
        <w:t>Commissioner</w:t>
      </w:r>
      <w:r>
        <w:rPr>
          <w:spacing w:val="-7"/>
          <w:sz w:val="20"/>
        </w:rPr>
        <w:t> </w:t>
      </w:r>
      <w:r>
        <w:rPr>
          <w:spacing w:val="-3"/>
          <w:sz w:val="20"/>
        </w:rPr>
        <w:t>provide</w:t>
      </w:r>
      <w:r>
        <w:rPr>
          <w:spacing w:val="-6"/>
          <w:sz w:val="20"/>
        </w:rPr>
        <w:t> </w:t>
      </w:r>
      <w:r>
        <w:rPr>
          <w:sz w:val="20"/>
        </w:rPr>
        <w:t>them.</w:t>
      </w:r>
    </w:p>
    <w:p>
      <w:pPr>
        <w:pStyle w:val="ListParagraph"/>
        <w:numPr>
          <w:ilvl w:val="0"/>
          <w:numId w:val="10"/>
        </w:numPr>
        <w:tabs>
          <w:tab w:pos="1774" w:val="left" w:leader="none"/>
          <w:tab w:pos="1775" w:val="left" w:leader="none"/>
        </w:tabs>
        <w:spacing w:line="206" w:lineRule="auto" w:before="90" w:after="0"/>
        <w:ind w:left="1774" w:right="1469" w:hanging="794"/>
        <w:jc w:val="left"/>
        <w:rPr>
          <w:sz w:val="20"/>
        </w:rPr>
      </w:pPr>
      <w:r>
        <w:rPr>
          <w:sz w:val="20"/>
        </w:rPr>
        <w:t>The Juries </w:t>
      </w:r>
      <w:r>
        <w:rPr>
          <w:spacing w:val="-2"/>
          <w:sz w:val="20"/>
        </w:rPr>
        <w:t>Act </w:t>
      </w:r>
      <w:r>
        <w:rPr>
          <w:sz w:val="20"/>
        </w:rPr>
        <w:t>should be amended to </w:t>
      </w:r>
      <w:r>
        <w:rPr>
          <w:spacing w:val="-3"/>
          <w:sz w:val="20"/>
        </w:rPr>
        <w:t>provide </w:t>
      </w:r>
      <w:r>
        <w:rPr>
          <w:sz w:val="20"/>
        </w:rPr>
        <w:t>that, in making a decision about the </w:t>
      </w:r>
      <w:r>
        <w:rPr>
          <w:spacing w:val="-3"/>
          <w:sz w:val="20"/>
        </w:rPr>
        <w:t>provision </w:t>
      </w:r>
      <w:r>
        <w:rPr>
          <w:sz w:val="20"/>
        </w:rPr>
        <w:t>of reasonable adjustments, the judge </w:t>
      </w:r>
      <w:r>
        <w:rPr>
          <w:spacing w:val="-3"/>
          <w:sz w:val="20"/>
        </w:rPr>
        <w:t>may </w:t>
      </w:r>
      <w:r>
        <w:rPr>
          <w:sz w:val="20"/>
        </w:rPr>
        <w:t>consider </w:t>
      </w:r>
      <w:r>
        <w:rPr>
          <w:spacing w:val="-3"/>
          <w:sz w:val="20"/>
        </w:rPr>
        <w:t>how </w:t>
      </w:r>
      <w:r>
        <w:rPr>
          <w:sz w:val="20"/>
        </w:rPr>
        <w:t>the adjustments </w:t>
      </w:r>
      <w:r>
        <w:rPr>
          <w:spacing w:val="-3"/>
          <w:sz w:val="20"/>
        </w:rPr>
        <w:t>may</w:t>
      </w:r>
      <w:r>
        <w:rPr>
          <w:spacing w:val="-9"/>
          <w:sz w:val="20"/>
        </w:rPr>
        <w:t> </w:t>
      </w:r>
      <w:r>
        <w:rPr>
          <w:sz w:val="20"/>
        </w:rPr>
        <w:t>affect</w:t>
      </w:r>
      <w:r>
        <w:rPr>
          <w:spacing w:val="-9"/>
          <w:sz w:val="20"/>
        </w:rPr>
        <w:t> </w:t>
      </w:r>
      <w:r>
        <w:rPr>
          <w:sz w:val="20"/>
        </w:rPr>
        <w:t>the</w:t>
      </w:r>
      <w:r>
        <w:rPr>
          <w:spacing w:val="-9"/>
          <w:sz w:val="20"/>
        </w:rPr>
        <w:t> </w:t>
      </w:r>
      <w:r>
        <w:rPr>
          <w:sz w:val="20"/>
        </w:rPr>
        <w:t>trial,</w:t>
      </w:r>
      <w:r>
        <w:rPr>
          <w:spacing w:val="-9"/>
          <w:sz w:val="20"/>
        </w:rPr>
        <w:t> </w:t>
      </w:r>
      <w:r>
        <w:rPr>
          <w:sz w:val="20"/>
        </w:rPr>
        <w:t>the</w:t>
      </w:r>
      <w:r>
        <w:rPr>
          <w:spacing w:val="-9"/>
          <w:sz w:val="20"/>
        </w:rPr>
        <w:t> </w:t>
      </w:r>
      <w:r>
        <w:rPr>
          <w:sz w:val="20"/>
        </w:rPr>
        <w:t>impact</w:t>
      </w:r>
      <w:r>
        <w:rPr>
          <w:spacing w:val="-9"/>
          <w:sz w:val="20"/>
        </w:rPr>
        <w:t> </w:t>
      </w:r>
      <w:r>
        <w:rPr>
          <w:sz w:val="20"/>
        </w:rPr>
        <w:t>on</w:t>
      </w:r>
      <w:r>
        <w:rPr>
          <w:spacing w:val="-9"/>
          <w:sz w:val="20"/>
        </w:rPr>
        <w:t> </w:t>
      </w:r>
      <w:r>
        <w:rPr>
          <w:sz w:val="20"/>
        </w:rPr>
        <w:t>court</w:t>
      </w:r>
      <w:r>
        <w:rPr>
          <w:spacing w:val="-9"/>
          <w:sz w:val="20"/>
        </w:rPr>
        <w:t> </w:t>
      </w:r>
      <w:r>
        <w:rPr>
          <w:spacing w:val="-3"/>
          <w:sz w:val="20"/>
        </w:rPr>
        <w:t>resources</w:t>
      </w:r>
      <w:r>
        <w:rPr>
          <w:spacing w:val="-9"/>
          <w:sz w:val="20"/>
        </w:rPr>
        <w:t> </w:t>
      </w:r>
      <w:r>
        <w:rPr>
          <w:sz w:val="20"/>
        </w:rPr>
        <w:t>and</w:t>
      </w:r>
      <w:r>
        <w:rPr>
          <w:spacing w:val="-9"/>
          <w:sz w:val="20"/>
        </w:rPr>
        <w:t> </w:t>
      </w:r>
      <w:r>
        <w:rPr>
          <w:spacing w:val="-3"/>
          <w:sz w:val="20"/>
        </w:rPr>
        <w:t>any</w:t>
      </w:r>
      <w:r>
        <w:rPr>
          <w:spacing w:val="-9"/>
          <w:sz w:val="20"/>
        </w:rPr>
        <w:t> </w:t>
      </w:r>
      <w:r>
        <w:rPr>
          <w:sz w:val="20"/>
        </w:rPr>
        <w:t>other</w:t>
      </w:r>
      <w:r>
        <w:rPr>
          <w:spacing w:val="-9"/>
          <w:sz w:val="20"/>
        </w:rPr>
        <w:t> </w:t>
      </w:r>
      <w:r>
        <w:rPr>
          <w:sz w:val="20"/>
        </w:rPr>
        <w:t>issue</w:t>
      </w:r>
      <w:r>
        <w:rPr>
          <w:spacing w:val="-9"/>
          <w:sz w:val="20"/>
        </w:rPr>
        <w:t> </w:t>
      </w:r>
      <w:r>
        <w:rPr>
          <w:sz w:val="20"/>
        </w:rPr>
        <w:t>that</w:t>
      </w:r>
      <w:r>
        <w:rPr>
          <w:spacing w:val="-9"/>
          <w:sz w:val="20"/>
        </w:rPr>
        <w:t> </w:t>
      </w:r>
      <w:r>
        <w:rPr>
          <w:sz w:val="20"/>
        </w:rPr>
        <w:t>the</w:t>
      </w:r>
      <w:r>
        <w:rPr>
          <w:spacing w:val="-9"/>
          <w:sz w:val="20"/>
        </w:rPr>
        <w:t> </w:t>
      </w:r>
      <w:r>
        <w:rPr>
          <w:sz w:val="20"/>
        </w:rPr>
        <w:t>judge considers</w:t>
      </w:r>
      <w:r>
        <w:rPr>
          <w:spacing w:val="-8"/>
          <w:sz w:val="20"/>
        </w:rPr>
        <w:t> </w:t>
      </w:r>
      <w:r>
        <w:rPr>
          <w:spacing w:val="-3"/>
          <w:sz w:val="20"/>
        </w:rPr>
        <w:t>relevant.</w:t>
      </w:r>
      <w:r>
        <w:rPr>
          <w:spacing w:val="-8"/>
          <w:sz w:val="20"/>
        </w:rPr>
        <w:t> </w:t>
      </w:r>
      <w:r>
        <w:rPr>
          <w:sz w:val="20"/>
        </w:rPr>
        <w:t>The</w:t>
      </w:r>
      <w:r>
        <w:rPr>
          <w:spacing w:val="-7"/>
          <w:sz w:val="20"/>
        </w:rPr>
        <w:t> </w:t>
      </w:r>
      <w:r>
        <w:rPr>
          <w:spacing w:val="-2"/>
          <w:sz w:val="20"/>
        </w:rPr>
        <w:t>Act</w:t>
      </w:r>
      <w:r>
        <w:rPr>
          <w:spacing w:val="-8"/>
          <w:sz w:val="20"/>
        </w:rPr>
        <w:t> </w:t>
      </w:r>
      <w:r>
        <w:rPr>
          <w:sz w:val="20"/>
        </w:rPr>
        <w:t>should</w:t>
      </w:r>
      <w:r>
        <w:rPr>
          <w:spacing w:val="-7"/>
          <w:sz w:val="20"/>
        </w:rPr>
        <w:t> </w:t>
      </w:r>
      <w:r>
        <w:rPr>
          <w:sz w:val="20"/>
        </w:rPr>
        <w:t>also</w:t>
      </w:r>
      <w:r>
        <w:rPr>
          <w:spacing w:val="-8"/>
          <w:sz w:val="20"/>
        </w:rPr>
        <w:t> </w:t>
      </w:r>
      <w:r>
        <w:rPr>
          <w:sz w:val="20"/>
        </w:rPr>
        <w:t>specify</w:t>
      </w:r>
      <w:r>
        <w:rPr>
          <w:spacing w:val="-8"/>
          <w:sz w:val="20"/>
        </w:rPr>
        <w:t> </w:t>
      </w:r>
      <w:r>
        <w:rPr>
          <w:sz w:val="20"/>
        </w:rPr>
        <w:t>that</w:t>
      </w:r>
      <w:r>
        <w:rPr>
          <w:spacing w:val="-7"/>
          <w:sz w:val="20"/>
        </w:rPr>
        <w:t> </w:t>
      </w:r>
      <w:r>
        <w:rPr>
          <w:sz w:val="20"/>
        </w:rPr>
        <w:t>the</w:t>
      </w:r>
      <w:r>
        <w:rPr>
          <w:spacing w:val="-8"/>
          <w:sz w:val="20"/>
        </w:rPr>
        <w:t> </w:t>
      </w:r>
      <w:r>
        <w:rPr>
          <w:sz w:val="20"/>
        </w:rPr>
        <w:t>judge</w:t>
      </w:r>
      <w:r>
        <w:rPr>
          <w:spacing w:val="-7"/>
          <w:sz w:val="20"/>
        </w:rPr>
        <w:t> </w:t>
      </w:r>
      <w:r>
        <w:rPr>
          <w:spacing w:val="-3"/>
          <w:sz w:val="20"/>
        </w:rPr>
        <w:t>may</w:t>
      </w:r>
      <w:r>
        <w:rPr>
          <w:spacing w:val="-8"/>
          <w:sz w:val="20"/>
        </w:rPr>
        <w:t> </w:t>
      </w:r>
      <w:r>
        <w:rPr>
          <w:sz w:val="20"/>
        </w:rPr>
        <w:t>be</w:t>
      </w:r>
      <w:r>
        <w:rPr>
          <w:spacing w:val="-7"/>
          <w:sz w:val="20"/>
        </w:rPr>
        <w:t> </w:t>
      </w:r>
      <w:r>
        <w:rPr>
          <w:sz w:val="20"/>
        </w:rPr>
        <w:t>guided</w:t>
      </w:r>
      <w:r>
        <w:rPr>
          <w:spacing w:val="-8"/>
          <w:sz w:val="20"/>
        </w:rPr>
        <w:t> </w:t>
      </w:r>
      <w:r>
        <w:rPr>
          <w:spacing w:val="-3"/>
          <w:sz w:val="20"/>
        </w:rPr>
        <w:t>by</w:t>
      </w:r>
      <w:r>
        <w:rPr>
          <w:spacing w:val="-8"/>
          <w:sz w:val="20"/>
        </w:rPr>
        <w:t> </w:t>
      </w:r>
      <w:r>
        <w:rPr>
          <w:spacing w:val="-3"/>
          <w:sz w:val="20"/>
        </w:rPr>
        <w:t>any </w:t>
      </w:r>
      <w:r>
        <w:rPr>
          <w:sz w:val="20"/>
        </w:rPr>
        <w:t>evidence</w:t>
      </w:r>
      <w:r>
        <w:rPr>
          <w:spacing w:val="-6"/>
          <w:sz w:val="20"/>
        </w:rPr>
        <w:t> </w:t>
      </w:r>
      <w:r>
        <w:rPr>
          <w:sz w:val="20"/>
        </w:rPr>
        <w:t>that</w:t>
      </w:r>
      <w:r>
        <w:rPr>
          <w:spacing w:val="-5"/>
          <w:sz w:val="20"/>
        </w:rPr>
        <w:t> </w:t>
      </w:r>
      <w:r>
        <w:rPr>
          <w:sz w:val="20"/>
        </w:rPr>
        <w:t>they</w:t>
      </w:r>
      <w:r>
        <w:rPr>
          <w:spacing w:val="-6"/>
          <w:sz w:val="20"/>
        </w:rPr>
        <w:t> </w:t>
      </w:r>
      <w:r>
        <w:rPr>
          <w:sz w:val="20"/>
        </w:rPr>
        <w:t>consider</w:t>
      </w:r>
      <w:r>
        <w:rPr>
          <w:spacing w:val="-5"/>
          <w:sz w:val="20"/>
        </w:rPr>
        <w:t> </w:t>
      </w:r>
      <w:r>
        <w:rPr>
          <w:spacing w:val="-3"/>
          <w:sz w:val="20"/>
        </w:rPr>
        <w:t>relevant</w:t>
      </w:r>
      <w:r>
        <w:rPr>
          <w:spacing w:val="-6"/>
          <w:sz w:val="20"/>
        </w:rPr>
        <w:t> </w:t>
      </w:r>
      <w:r>
        <w:rPr>
          <w:sz w:val="20"/>
        </w:rPr>
        <w:t>in</w:t>
      </w:r>
      <w:r>
        <w:rPr>
          <w:spacing w:val="-5"/>
          <w:sz w:val="20"/>
        </w:rPr>
        <w:t> </w:t>
      </w:r>
      <w:r>
        <w:rPr>
          <w:sz w:val="20"/>
        </w:rPr>
        <w:t>making</w:t>
      </w:r>
      <w:r>
        <w:rPr>
          <w:spacing w:val="-5"/>
          <w:sz w:val="20"/>
        </w:rPr>
        <w:t> </w:t>
      </w:r>
      <w:r>
        <w:rPr>
          <w:sz w:val="20"/>
        </w:rPr>
        <w:t>their</w:t>
      </w:r>
      <w:r>
        <w:rPr>
          <w:spacing w:val="-6"/>
          <w:sz w:val="20"/>
        </w:rPr>
        <w:t> </w:t>
      </w:r>
      <w:r>
        <w:rPr>
          <w:sz w:val="20"/>
        </w:rPr>
        <w:t>decision.</w:t>
      </w:r>
    </w:p>
    <w:p>
      <w:pPr>
        <w:pStyle w:val="ListParagraph"/>
        <w:numPr>
          <w:ilvl w:val="0"/>
          <w:numId w:val="10"/>
        </w:numPr>
        <w:tabs>
          <w:tab w:pos="1774" w:val="left" w:leader="none"/>
          <w:tab w:pos="1775" w:val="left" w:leader="none"/>
        </w:tabs>
        <w:spacing w:line="206" w:lineRule="auto" w:before="92" w:after="0"/>
        <w:ind w:left="1774" w:right="1253" w:hanging="794"/>
        <w:jc w:val="left"/>
        <w:rPr>
          <w:sz w:val="20"/>
        </w:rPr>
      </w:pPr>
      <w:r>
        <w:rPr>
          <w:sz w:val="20"/>
        </w:rPr>
        <w:t>The Juries </w:t>
      </w:r>
      <w:r>
        <w:rPr>
          <w:spacing w:val="-2"/>
          <w:sz w:val="20"/>
        </w:rPr>
        <w:t>Act </w:t>
      </w:r>
      <w:r>
        <w:rPr>
          <w:sz w:val="20"/>
        </w:rPr>
        <w:t>should include a non-exhaustive list of possible adjustments that can be supplemented </w:t>
      </w:r>
      <w:r>
        <w:rPr>
          <w:spacing w:val="-3"/>
          <w:sz w:val="20"/>
        </w:rPr>
        <w:t>by </w:t>
      </w:r>
      <w:r>
        <w:rPr>
          <w:sz w:val="20"/>
        </w:rPr>
        <w:t>regulation. The list of possible adjustments should include: Auslan</w:t>
      </w:r>
      <w:r>
        <w:rPr>
          <w:spacing w:val="-11"/>
          <w:sz w:val="20"/>
        </w:rPr>
        <w:t> </w:t>
      </w:r>
      <w:r>
        <w:rPr>
          <w:spacing w:val="-3"/>
          <w:sz w:val="20"/>
        </w:rPr>
        <w:t>interpreters;</w:t>
      </w:r>
      <w:r>
        <w:rPr>
          <w:spacing w:val="-11"/>
          <w:sz w:val="20"/>
        </w:rPr>
        <w:t> </w:t>
      </w:r>
      <w:r>
        <w:rPr>
          <w:sz w:val="20"/>
        </w:rPr>
        <w:t>support</w:t>
      </w:r>
      <w:r>
        <w:rPr>
          <w:spacing w:val="-10"/>
          <w:sz w:val="20"/>
        </w:rPr>
        <w:t> </w:t>
      </w:r>
      <w:r>
        <w:rPr>
          <w:sz w:val="20"/>
        </w:rPr>
        <w:t>persons;</w:t>
      </w:r>
      <w:r>
        <w:rPr>
          <w:spacing w:val="-11"/>
          <w:sz w:val="20"/>
        </w:rPr>
        <w:t> </w:t>
      </w:r>
      <w:r>
        <w:rPr>
          <w:sz w:val="20"/>
        </w:rPr>
        <w:t>an</w:t>
      </w:r>
      <w:r>
        <w:rPr>
          <w:spacing w:val="-11"/>
          <w:sz w:val="20"/>
        </w:rPr>
        <w:t> </w:t>
      </w:r>
      <w:r>
        <w:rPr>
          <w:sz w:val="20"/>
        </w:rPr>
        <w:t>assistance</w:t>
      </w:r>
      <w:r>
        <w:rPr>
          <w:spacing w:val="-10"/>
          <w:sz w:val="20"/>
        </w:rPr>
        <w:t> </w:t>
      </w:r>
      <w:r>
        <w:rPr>
          <w:sz w:val="20"/>
        </w:rPr>
        <w:t>animal;</w:t>
      </w:r>
      <w:r>
        <w:rPr>
          <w:spacing w:val="-11"/>
          <w:sz w:val="20"/>
        </w:rPr>
        <w:t> </w:t>
      </w:r>
      <w:r>
        <w:rPr>
          <w:sz w:val="20"/>
        </w:rPr>
        <w:t>and</w:t>
      </w:r>
      <w:r>
        <w:rPr>
          <w:spacing w:val="-10"/>
          <w:sz w:val="20"/>
        </w:rPr>
        <w:t> </w:t>
      </w:r>
      <w:r>
        <w:rPr>
          <w:sz w:val="20"/>
        </w:rPr>
        <w:t>disability</w:t>
      </w:r>
      <w:r>
        <w:rPr>
          <w:spacing w:val="-11"/>
          <w:sz w:val="20"/>
        </w:rPr>
        <w:t> </w:t>
      </w:r>
      <w:r>
        <w:rPr>
          <w:sz w:val="20"/>
        </w:rPr>
        <w:t>aids</w:t>
      </w:r>
      <w:r>
        <w:rPr>
          <w:spacing w:val="-11"/>
          <w:sz w:val="20"/>
        </w:rPr>
        <w:t> </w:t>
      </w:r>
      <w:r>
        <w:rPr>
          <w:sz w:val="20"/>
        </w:rPr>
        <w:t>including technological aids that facilitate communication, for </w:t>
      </w:r>
      <w:r>
        <w:rPr>
          <w:spacing w:val="-3"/>
          <w:sz w:val="20"/>
        </w:rPr>
        <w:t>example, </w:t>
      </w:r>
      <w:r>
        <w:rPr>
          <w:sz w:val="20"/>
        </w:rPr>
        <w:t>with speech-to-text software and screen reading</w:t>
      </w:r>
      <w:r>
        <w:rPr>
          <w:spacing w:val="-19"/>
          <w:sz w:val="20"/>
        </w:rPr>
        <w:t> </w:t>
      </w:r>
      <w:r>
        <w:rPr>
          <w:sz w:val="20"/>
        </w:rPr>
        <w:t>programs.</w:t>
      </w:r>
    </w:p>
    <w:p>
      <w:pPr>
        <w:pStyle w:val="ListParagraph"/>
        <w:numPr>
          <w:ilvl w:val="0"/>
          <w:numId w:val="10"/>
        </w:numPr>
        <w:tabs>
          <w:tab w:pos="1774" w:val="left" w:leader="none"/>
          <w:tab w:pos="1775" w:val="left" w:leader="none"/>
        </w:tabs>
        <w:spacing w:line="206" w:lineRule="auto" w:before="91" w:after="0"/>
        <w:ind w:left="1774" w:right="1346" w:hanging="794"/>
        <w:jc w:val="both"/>
        <w:rPr>
          <w:sz w:val="20"/>
        </w:rPr>
      </w:pPr>
      <w:r>
        <w:rPr>
          <w:sz w:val="20"/>
        </w:rPr>
        <w:t>The</w:t>
      </w:r>
      <w:r>
        <w:rPr>
          <w:spacing w:val="-10"/>
          <w:sz w:val="20"/>
        </w:rPr>
        <w:t> </w:t>
      </w:r>
      <w:r>
        <w:rPr>
          <w:sz w:val="20"/>
        </w:rPr>
        <w:t>Juries</w:t>
      </w:r>
      <w:r>
        <w:rPr>
          <w:spacing w:val="-9"/>
          <w:sz w:val="20"/>
        </w:rPr>
        <w:t> </w:t>
      </w:r>
      <w:r>
        <w:rPr>
          <w:spacing w:val="-2"/>
          <w:sz w:val="20"/>
        </w:rPr>
        <w:t>Act</w:t>
      </w:r>
      <w:r>
        <w:rPr>
          <w:spacing w:val="-10"/>
          <w:sz w:val="20"/>
        </w:rPr>
        <w:t> </w:t>
      </w:r>
      <w:r>
        <w:rPr>
          <w:sz w:val="20"/>
        </w:rPr>
        <w:t>should</w:t>
      </w:r>
      <w:r>
        <w:rPr>
          <w:spacing w:val="-9"/>
          <w:sz w:val="20"/>
        </w:rPr>
        <w:t> </w:t>
      </w:r>
      <w:r>
        <w:rPr>
          <w:sz w:val="20"/>
        </w:rPr>
        <w:t>be</w:t>
      </w:r>
      <w:r>
        <w:rPr>
          <w:spacing w:val="-9"/>
          <w:sz w:val="20"/>
        </w:rPr>
        <w:t> </w:t>
      </w:r>
      <w:r>
        <w:rPr>
          <w:sz w:val="20"/>
        </w:rPr>
        <w:t>amended</w:t>
      </w:r>
      <w:r>
        <w:rPr>
          <w:spacing w:val="-10"/>
          <w:sz w:val="20"/>
        </w:rPr>
        <w:t> </w:t>
      </w:r>
      <w:r>
        <w:rPr>
          <w:sz w:val="20"/>
        </w:rPr>
        <w:t>to</w:t>
      </w:r>
      <w:r>
        <w:rPr>
          <w:spacing w:val="-9"/>
          <w:sz w:val="20"/>
        </w:rPr>
        <w:t> </w:t>
      </w:r>
      <w:r>
        <w:rPr>
          <w:sz w:val="20"/>
        </w:rPr>
        <w:t>limit</w:t>
      </w:r>
      <w:r>
        <w:rPr>
          <w:spacing w:val="-9"/>
          <w:sz w:val="20"/>
        </w:rPr>
        <w:t> </w:t>
      </w:r>
      <w:r>
        <w:rPr>
          <w:sz w:val="20"/>
        </w:rPr>
        <w:t>the</w:t>
      </w:r>
      <w:r>
        <w:rPr>
          <w:spacing w:val="-10"/>
          <w:sz w:val="20"/>
        </w:rPr>
        <w:t> </w:t>
      </w:r>
      <w:r>
        <w:rPr>
          <w:sz w:val="20"/>
        </w:rPr>
        <w:t>operation</w:t>
      </w:r>
      <w:r>
        <w:rPr>
          <w:spacing w:val="-9"/>
          <w:sz w:val="20"/>
        </w:rPr>
        <w:t> </w:t>
      </w:r>
      <w:r>
        <w:rPr>
          <w:sz w:val="20"/>
        </w:rPr>
        <w:t>of</w:t>
      </w:r>
      <w:r>
        <w:rPr>
          <w:spacing w:val="-9"/>
          <w:sz w:val="20"/>
        </w:rPr>
        <w:t> </w:t>
      </w:r>
      <w:r>
        <w:rPr>
          <w:sz w:val="20"/>
        </w:rPr>
        <w:t>the</w:t>
      </w:r>
      <w:r>
        <w:rPr>
          <w:spacing w:val="-10"/>
          <w:sz w:val="20"/>
        </w:rPr>
        <w:t> </w:t>
      </w:r>
      <w:r>
        <w:rPr>
          <w:sz w:val="20"/>
        </w:rPr>
        <w:t>13th</w:t>
      </w:r>
      <w:r>
        <w:rPr>
          <w:spacing w:val="-9"/>
          <w:sz w:val="20"/>
        </w:rPr>
        <w:t> </w:t>
      </w:r>
      <w:r>
        <w:rPr>
          <w:sz w:val="20"/>
        </w:rPr>
        <w:t>person</w:t>
      </w:r>
      <w:r>
        <w:rPr>
          <w:spacing w:val="-10"/>
          <w:sz w:val="20"/>
        </w:rPr>
        <w:t> </w:t>
      </w:r>
      <w:r>
        <w:rPr>
          <w:sz w:val="20"/>
        </w:rPr>
        <w:t>rule</w:t>
      </w:r>
      <w:r>
        <w:rPr>
          <w:spacing w:val="-9"/>
          <w:sz w:val="20"/>
        </w:rPr>
        <w:t> </w:t>
      </w:r>
      <w:r>
        <w:rPr>
          <w:sz w:val="20"/>
        </w:rPr>
        <w:t>to</w:t>
      </w:r>
      <w:r>
        <w:rPr>
          <w:spacing w:val="-9"/>
          <w:sz w:val="20"/>
        </w:rPr>
        <w:t> </w:t>
      </w:r>
      <w:r>
        <w:rPr>
          <w:sz w:val="20"/>
        </w:rPr>
        <w:t>the extent</w:t>
      </w:r>
      <w:r>
        <w:rPr>
          <w:spacing w:val="-9"/>
          <w:sz w:val="20"/>
        </w:rPr>
        <w:t> </w:t>
      </w:r>
      <w:r>
        <w:rPr>
          <w:sz w:val="20"/>
        </w:rPr>
        <w:t>necessary</w:t>
      </w:r>
      <w:r>
        <w:rPr>
          <w:spacing w:val="-9"/>
          <w:sz w:val="20"/>
        </w:rPr>
        <w:t> </w:t>
      </w:r>
      <w:r>
        <w:rPr>
          <w:sz w:val="20"/>
        </w:rPr>
        <w:t>to</w:t>
      </w:r>
      <w:r>
        <w:rPr>
          <w:spacing w:val="-8"/>
          <w:sz w:val="20"/>
        </w:rPr>
        <w:t> </w:t>
      </w:r>
      <w:r>
        <w:rPr>
          <w:spacing w:val="-3"/>
          <w:sz w:val="20"/>
        </w:rPr>
        <w:t>allow</w:t>
      </w:r>
      <w:r>
        <w:rPr>
          <w:spacing w:val="-9"/>
          <w:sz w:val="20"/>
        </w:rPr>
        <w:t> </w:t>
      </w:r>
      <w:r>
        <w:rPr>
          <w:spacing w:val="-3"/>
          <w:sz w:val="20"/>
        </w:rPr>
        <w:t>interpreters</w:t>
      </w:r>
      <w:r>
        <w:rPr>
          <w:spacing w:val="-9"/>
          <w:sz w:val="20"/>
        </w:rPr>
        <w:t> </w:t>
      </w:r>
      <w:r>
        <w:rPr>
          <w:sz w:val="20"/>
        </w:rPr>
        <w:t>or</w:t>
      </w:r>
      <w:r>
        <w:rPr>
          <w:spacing w:val="-8"/>
          <w:sz w:val="20"/>
        </w:rPr>
        <w:t> </w:t>
      </w:r>
      <w:r>
        <w:rPr>
          <w:sz w:val="20"/>
        </w:rPr>
        <w:t>support</w:t>
      </w:r>
      <w:r>
        <w:rPr>
          <w:spacing w:val="-9"/>
          <w:sz w:val="20"/>
        </w:rPr>
        <w:t> </w:t>
      </w:r>
      <w:r>
        <w:rPr>
          <w:sz w:val="20"/>
        </w:rPr>
        <w:t>persons</w:t>
      </w:r>
      <w:r>
        <w:rPr>
          <w:spacing w:val="-9"/>
          <w:sz w:val="20"/>
        </w:rPr>
        <w:t> </w:t>
      </w:r>
      <w:r>
        <w:rPr>
          <w:sz w:val="20"/>
        </w:rPr>
        <w:t>in</w:t>
      </w:r>
      <w:r>
        <w:rPr>
          <w:spacing w:val="-8"/>
          <w:sz w:val="20"/>
        </w:rPr>
        <w:t> </w:t>
      </w:r>
      <w:r>
        <w:rPr>
          <w:sz w:val="20"/>
        </w:rPr>
        <w:t>the</w:t>
      </w:r>
      <w:r>
        <w:rPr>
          <w:spacing w:val="-9"/>
          <w:sz w:val="20"/>
        </w:rPr>
        <w:t> </w:t>
      </w:r>
      <w:r>
        <w:rPr>
          <w:sz w:val="20"/>
        </w:rPr>
        <w:t>jury</w:t>
      </w:r>
      <w:r>
        <w:rPr>
          <w:spacing w:val="-9"/>
          <w:sz w:val="20"/>
        </w:rPr>
        <w:t> </w:t>
      </w:r>
      <w:r>
        <w:rPr>
          <w:sz w:val="20"/>
        </w:rPr>
        <w:t>room,</w:t>
      </w:r>
      <w:r>
        <w:rPr>
          <w:spacing w:val="-8"/>
          <w:sz w:val="20"/>
        </w:rPr>
        <w:t> </w:t>
      </w:r>
      <w:r>
        <w:rPr>
          <w:sz w:val="20"/>
        </w:rPr>
        <w:t>as</w:t>
      </w:r>
      <w:r>
        <w:rPr>
          <w:spacing w:val="-9"/>
          <w:sz w:val="20"/>
        </w:rPr>
        <w:t> </w:t>
      </w:r>
      <w:r>
        <w:rPr>
          <w:sz w:val="20"/>
        </w:rPr>
        <w:t>directed </w:t>
      </w:r>
      <w:r>
        <w:rPr>
          <w:spacing w:val="-3"/>
          <w:sz w:val="20"/>
        </w:rPr>
        <w:t>by </w:t>
      </w:r>
      <w:r>
        <w:rPr>
          <w:sz w:val="20"/>
        </w:rPr>
        <w:t>the</w:t>
      </w:r>
      <w:r>
        <w:rPr>
          <w:spacing w:val="-6"/>
          <w:sz w:val="20"/>
        </w:rPr>
        <w:t> </w:t>
      </w:r>
      <w:r>
        <w:rPr>
          <w:sz w:val="20"/>
        </w:rPr>
        <w:t>court.</w:t>
      </w:r>
    </w:p>
    <w:p>
      <w:pPr>
        <w:pStyle w:val="ListParagraph"/>
        <w:numPr>
          <w:ilvl w:val="0"/>
          <w:numId w:val="10"/>
        </w:numPr>
        <w:tabs>
          <w:tab w:pos="1774" w:val="left" w:leader="none"/>
          <w:tab w:pos="1775" w:val="left" w:leader="none"/>
        </w:tabs>
        <w:spacing w:line="206" w:lineRule="auto" w:before="89" w:after="0"/>
        <w:ind w:left="1774" w:right="1465" w:hanging="794"/>
        <w:jc w:val="left"/>
        <w:rPr>
          <w:sz w:val="20"/>
        </w:rPr>
      </w:pPr>
      <w:r>
        <w:rPr>
          <w:sz w:val="20"/>
        </w:rPr>
        <w:t>Schedule 2 clause 3(a) of the Juries </w:t>
      </w:r>
      <w:r>
        <w:rPr>
          <w:spacing w:val="-2"/>
          <w:sz w:val="20"/>
        </w:rPr>
        <w:t>Act </w:t>
      </w:r>
      <w:r>
        <w:rPr>
          <w:sz w:val="20"/>
        </w:rPr>
        <w:t>should not </w:t>
      </w:r>
      <w:r>
        <w:rPr>
          <w:spacing w:val="-3"/>
          <w:sz w:val="20"/>
        </w:rPr>
        <w:t>apply </w:t>
      </w:r>
      <w:r>
        <w:rPr>
          <w:sz w:val="20"/>
        </w:rPr>
        <w:t>if a judge rules that reasonable</w:t>
      </w:r>
      <w:r>
        <w:rPr>
          <w:spacing w:val="-11"/>
          <w:sz w:val="20"/>
        </w:rPr>
        <w:t> </w:t>
      </w:r>
      <w:r>
        <w:rPr>
          <w:sz w:val="20"/>
        </w:rPr>
        <w:t>adjustments</w:t>
      </w:r>
      <w:r>
        <w:rPr>
          <w:spacing w:val="-10"/>
          <w:sz w:val="20"/>
        </w:rPr>
        <w:t> </w:t>
      </w:r>
      <w:r>
        <w:rPr>
          <w:sz w:val="20"/>
        </w:rPr>
        <w:t>can</w:t>
      </w:r>
      <w:r>
        <w:rPr>
          <w:spacing w:val="-10"/>
          <w:sz w:val="20"/>
        </w:rPr>
        <w:t> </w:t>
      </w:r>
      <w:r>
        <w:rPr>
          <w:sz w:val="20"/>
        </w:rPr>
        <w:t>be</w:t>
      </w:r>
      <w:r>
        <w:rPr>
          <w:spacing w:val="-11"/>
          <w:sz w:val="20"/>
        </w:rPr>
        <w:t> </w:t>
      </w:r>
      <w:r>
        <w:rPr>
          <w:spacing w:val="-3"/>
          <w:sz w:val="20"/>
        </w:rPr>
        <w:t>provided</w:t>
      </w:r>
      <w:r>
        <w:rPr>
          <w:spacing w:val="-10"/>
          <w:sz w:val="20"/>
        </w:rPr>
        <w:t> </w:t>
      </w:r>
      <w:r>
        <w:rPr>
          <w:sz w:val="20"/>
        </w:rPr>
        <w:t>to</w:t>
      </w:r>
      <w:r>
        <w:rPr>
          <w:spacing w:val="-10"/>
          <w:sz w:val="20"/>
        </w:rPr>
        <w:t> </w:t>
      </w:r>
      <w:r>
        <w:rPr>
          <w:sz w:val="20"/>
        </w:rPr>
        <w:t>enable</w:t>
      </w:r>
      <w:r>
        <w:rPr>
          <w:spacing w:val="-10"/>
          <w:sz w:val="20"/>
        </w:rPr>
        <w:t> </w:t>
      </w:r>
      <w:r>
        <w:rPr>
          <w:sz w:val="20"/>
        </w:rPr>
        <w:t>a</w:t>
      </w:r>
      <w:r>
        <w:rPr>
          <w:spacing w:val="-11"/>
          <w:sz w:val="20"/>
        </w:rPr>
        <w:t> </w:t>
      </w:r>
      <w:r>
        <w:rPr>
          <w:sz w:val="20"/>
        </w:rPr>
        <w:t>person</w:t>
      </w:r>
      <w:r>
        <w:rPr>
          <w:spacing w:val="-10"/>
          <w:sz w:val="20"/>
        </w:rPr>
        <w:t> </w:t>
      </w:r>
      <w:r>
        <w:rPr>
          <w:sz w:val="20"/>
        </w:rPr>
        <w:t>in</w:t>
      </w:r>
      <w:r>
        <w:rPr>
          <w:spacing w:val="-10"/>
          <w:sz w:val="20"/>
        </w:rPr>
        <w:t> </w:t>
      </w:r>
      <w:r>
        <w:rPr>
          <w:sz w:val="20"/>
        </w:rPr>
        <w:t>the</w:t>
      </w:r>
      <w:r>
        <w:rPr>
          <w:spacing w:val="-11"/>
          <w:sz w:val="20"/>
        </w:rPr>
        <w:t> </w:t>
      </w:r>
      <w:r>
        <w:rPr>
          <w:sz w:val="20"/>
        </w:rPr>
        <w:t>subject</w:t>
      </w:r>
      <w:r>
        <w:rPr>
          <w:spacing w:val="-10"/>
          <w:sz w:val="20"/>
        </w:rPr>
        <w:t> </w:t>
      </w:r>
      <w:r>
        <w:rPr>
          <w:sz w:val="20"/>
        </w:rPr>
        <w:t>groups</w:t>
      </w:r>
      <w:r>
        <w:rPr>
          <w:spacing w:val="-10"/>
          <w:sz w:val="20"/>
        </w:rPr>
        <w:t> </w:t>
      </w:r>
      <w:r>
        <w:rPr>
          <w:sz w:val="20"/>
        </w:rPr>
        <w:t>to serve as a</w:t>
      </w:r>
      <w:r>
        <w:rPr>
          <w:spacing w:val="-13"/>
          <w:sz w:val="20"/>
        </w:rPr>
        <w:t> </w:t>
      </w:r>
      <w:r>
        <w:rPr>
          <w:spacing w:val="-4"/>
          <w:sz w:val="20"/>
        </w:rPr>
        <w:t>juror.</w:t>
      </w:r>
    </w:p>
    <w:p>
      <w:pPr>
        <w:pStyle w:val="ListParagraph"/>
        <w:numPr>
          <w:ilvl w:val="0"/>
          <w:numId w:val="10"/>
        </w:numPr>
        <w:tabs>
          <w:tab w:pos="1774" w:val="left" w:leader="none"/>
          <w:tab w:pos="1775" w:val="left" w:leader="none"/>
        </w:tabs>
        <w:spacing w:line="206" w:lineRule="auto" w:before="89" w:after="0"/>
        <w:ind w:left="1774" w:right="1256" w:hanging="794"/>
        <w:jc w:val="left"/>
        <w:rPr>
          <w:sz w:val="20"/>
        </w:rPr>
      </w:pPr>
      <w:r>
        <w:rPr>
          <w:sz w:val="20"/>
        </w:rPr>
        <w:t>The Juries Commissioner should be given a new </w:t>
      </w:r>
      <w:r>
        <w:rPr>
          <w:spacing w:val="-3"/>
          <w:sz w:val="20"/>
        </w:rPr>
        <w:t>own </w:t>
      </w:r>
      <w:r>
        <w:rPr>
          <w:sz w:val="20"/>
        </w:rPr>
        <w:t>motion </w:t>
      </w:r>
      <w:r>
        <w:rPr>
          <w:spacing w:val="-3"/>
          <w:sz w:val="20"/>
        </w:rPr>
        <w:t>power </w:t>
      </w:r>
      <w:r>
        <w:rPr>
          <w:sz w:val="20"/>
        </w:rPr>
        <w:t>in the Juries </w:t>
      </w:r>
      <w:r>
        <w:rPr>
          <w:spacing w:val="-2"/>
          <w:sz w:val="20"/>
        </w:rPr>
        <w:t>Act </w:t>
      </w:r>
      <w:r>
        <w:rPr>
          <w:sz w:val="20"/>
        </w:rPr>
        <w:t>to</w:t>
      </w:r>
      <w:r>
        <w:rPr>
          <w:spacing w:val="-9"/>
          <w:sz w:val="20"/>
        </w:rPr>
        <w:t> </w:t>
      </w:r>
      <w:r>
        <w:rPr>
          <w:sz w:val="20"/>
        </w:rPr>
        <w:t>defer</w:t>
      </w:r>
      <w:r>
        <w:rPr>
          <w:spacing w:val="-8"/>
          <w:sz w:val="20"/>
        </w:rPr>
        <w:t> </w:t>
      </w:r>
      <w:r>
        <w:rPr>
          <w:sz w:val="20"/>
        </w:rPr>
        <w:t>jury</w:t>
      </w:r>
      <w:r>
        <w:rPr>
          <w:spacing w:val="-9"/>
          <w:sz w:val="20"/>
        </w:rPr>
        <w:t> </w:t>
      </w:r>
      <w:r>
        <w:rPr>
          <w:sz w:val="20"/>
        </w:rPr>
        <w:t>service</w:t>
      </w:r>
      <w:r>
        <w:rPr>
          <w:spacing w:val="-8"/>
          <w:sz w:val="20"/>
        </w:rPr>
        <w:t> </w:t>
      </w:r>
      <w:r>
        <w:rPr>
          <w:sz w:val="20"/>
        </w:rPr>
        <w:t>for</w:t>
      </w:r>
      <w:r>
        <w:rPr>
          <w:spacing w:val="-9"/>
          <w:sz w:val="20"/>
        </w:rPr>
        <w:t> </w:t>
      </w:r>
      <w:r>
        <w:rPr>
          <w:sz w:val="20"/>
        </w:rPr>
        <w:t>a</w:t>
      </w:r>
      <w:r>
        <w:rPr>
          <w:spacing w:val="-8"/>
          <w:sz w:val="20"/>
        </w:rPr>
        <w:t> </w:t>
      </w:r>
      <w:r>
        <w:rPr>
          <w:sz w:val="20"/>
        </w:rPr>
        <w:t>person</w:t>
      </w:r>
      <w:r>
        <w:rPr>
          <w:spacing w:val="-9"/>
          <w:sz w:val="20"/>
        </w:rPr>
        <w:t> </w:t>
      </w:r>
      <w:r>
        <w:rPr>
          <w:sz w:val="20"/>
        </w:rPr>
        <w:t>in</w:t>
      </w:r>
      <w:r>
        <w:rPr>
          <w:spacing w:val="-8"/>
          <w:sz w:val="20"/>
        </w:rPr>
        <w:t> </w:t>
      </w:r>
      <w:r>
        <w:rPr>
          <w:sz w:val="20"/>
        </w:rPr>
        <w:t>the</w:t>
      </w:r>
      <w:r>
        <w:rPr>
          <w:spacing w:val="-9"/>
          <w:sz w:val="20"/>
        </w:rPr>
        <w:t> </w:t>
      </w:r>
      <w:r>
        <w:rPr>
          <w:sz w:val="20"/>
        </w:rPr>
        <w:t>subject</w:t>
      </w:r>
      <w:r>
        <w:rPr>
          <w:spacing w:val="-8"/>
          <w:sz w:val="20"/>
        </w:rPr>
        <w:t> </w:t>
      </w:r>
      <w:r>
        <w:rPr>
          <w:sz w:val="20"/>
        </w:rPr>
        <w:t>groups</w:t>
      </w:r>
      <w:r>
        <w:rPr>
          <w:spacing w:val="-9"/>
          <w:sz w:val="20"/>
        </w:rPr>
        <w:t> </w:t>
      </w:r>
      <w:r>
        <w:rPr>
          <w:sz w:val="20"/>
        </w:rPr>
        <w:t>to</w:t>
      </w:r>
      <w:r>
        <w:rPr>
          <w:spacing w:val="-8"/>
          <w:sz w:val="20"/>
        </w:rPr>
        <w:t> </w:t>
      </w:r>
      <w:r>
        <w:rPr>
          <w:sz w:val="20"/>
        </w:rPr>
        <w:t>better</w:t>
      </w:r>
      <w:r>
        <w:rPr>
          <w:spacing w:val="-9"/>
          <w:sz w:val="20"/>
        </w:rPr>
        <w:t> </w:t>
      </w:r>
      <w:r>
        <w:rPr>
          <w:sz w:val="20"/>
        </w:rPr>
        <w:t>enable</w:t>
      </w:r>
      <w:r>
        <w:rPr>
          <w:spacing w:val="-8"/>
          <w:sz w:val="20"/>
        </w:rPr>
        <w:t> </w:t>
      </w:r>
      <w:r>
        <w:rPr>
          <w:sz w:val="20"/>
        </w:rPr>
        <w:t>the</w:t>
      </w:r>
      <w:r>
        <w:rPr>
          <w:spacing w:val="-8"/>
          <w:sz w:val="20"/>
        </w:rPr>
        <w:t> </w:t>
      </w:r>
      <w:r>
        <w:rPr>
          <w:spacing w:val="-3"/>
          <w:sz w:val="20"/>
        </w:rPr>
        <w:t>provision</w:t>
      </w:r>
      <w:r>
        <w:rPr>
          <w:spacing w:val="-9"/>
          <w:sz w:val="20"/>
        </w:rPr>
        <w:t> </w:t>
      </w:r>
      <w:r>
        <w:rPr>
          <w:sz w:val="20"/>
        </w:rPr>
        <w:t>of reasonable</w:t>
      </w:r>
      <w:r>
        <w:rPr>
          <w:spacing w:val="-5"/>
          <w:sz w:val="20"/>
        </w:rPr>
        <w:t> </w:t>
      </w:r>
      <w:r>
        <w:rPr>
          <w:sz w:val="20"/>
        </w:rPr>
        <w:t>adjustments.</w:t>
      </w:r>
    </w:p>
    <w:p>
      <w:pPr>
        <w:pStyle w:val="ListParagraph"/>
        <w:numPr>
          <w:ilvl w:val="0"/>
          <w:numId w:val="10"/>
        </w:numPr>
        <w:tabs>
          <w:tab w:pos="1774" w:val="left" w:leader="none"/>
          <w:tab w:pos="1775" w:val="left" w:leader="none"/>
        </w:tabs>
        <w:spacing w:line="206" w:lineRule="auto" w:before="89" w:after="0"/>
        <w:ind w:left="1774" w:right="1267" w:hanging="794"/>
        <w:jc w:val="left"/>
        <w:rPr>
          <w:sz w:val="20"/>
        </w:rPr>
      </w:pPr>
      <w:r>
        <w:rPr>
          <w:sz w:val="20"/>
        </w:rPr>
        <w:t>The Juries Commissioner should be given a new </w:t>
      </w:r>
      <w:r>
        <w:rPr>
          <w:spacing w:val="-3"/>
          <w:sz w:val="20"/>
        </w:rPr>
        <w:t>power </w:t>
      </w:r>
      <w:r>
        <w:rPr>
          <w:sz w:val="20"/>
        </w:rPr>
        <w:t>in the Juries </w:t>
      </w:r>
      <w:r>
        <w:rPr>
          <w:spacing w:val="-2"/>
          <w:sz w:val="20"/>
        </w:rPr>
        <w:t>Act </w:t>
      </w:r>
      <w:r>
        <w:rPr>
          <w:sz w:val="20"/>
        </w:rPr>
        <w:t>to hold a person</w:t>
      </w:r>
      <w:r>
        <w:rPr>
          <w:spacing w:val="-9"/>
          <w:sz w:val="20"/>
        </w:rPr>
        <w:t> </w:t>
      </w:r>
      <w:r>
        <w:rPr>
          <w:sz w:val="20"/>
        </w:rPr>
        <w:t>out</w:t>
      </w:r>
      <w:r>
        <w:rPr>
          <w:spacing w:val="-9"/>
          <w:sz w:val="20"/>
        </w:rPr>
        <w:t> </w:t>
      </w:r>
      <w:r>
        <w:rPr>
          <w:sz w:val="20"/>
        </w:rPr>
        <w:t>of</w:t>
      </w:r>
      <w:r>
        <w:rPr>
          <w:spacing w:val="-9"/>
          <w:sz w:val="20"/>
        </w:rPr>
        <w:t> </w:t>
      </w:r>
      <w:r>
        <w:rPr>
          <w:sz w:val="20"/>
        </w:rPr>
        <w:t>a</w:t>
      </w:r>
      <w:r>
        <w:rPr>
          <w:spacing w:val="-9"/>
          <w:sz w:val="20"/>
        </w:rPr>
        <w:t> </w:t>
      </w:r>
      <w:r>
        <w:rPr>
          <w:sz w:val="20"/>
        </w:rPr>
        <w:t>ballot</w:t>
      </w:r>
      <w:r>
        <w:rPr>
          <w:spacing w:val="-9"/>
          <w:sz w:val="20"/>
        </w:rPr>
        <w:t> </w:t>
      </w:r>
      <w:r>
        <w:rPr>
          <w:sz w:val="20"/>
        </w:rPr>
        <w:t>for</w:t>
      </w:r>
      <w:r>
        <w:rPr>
          <w:spacing w:val="-9"/>
          <w:sz w:val="20"/>
        </w:rPr>
        <w:t> </w:t>
      </w:r>
      <w:r>
        <w:rPr>
          <w:sz w:val="20"/>
        </w:rPr>
        <w:t>a</w:t>
      </w:r>
      <w:r>
        <w:rPr>
          <w:spacing w:val="-9"/>
          <w:sz w:val="20"/>
        </w:rPr>
        <w:t> </w:t>
      </w:r>
      <w:r>
        <w:rPr>
          <w:sz w:val="20"/>
        </w:rPr>
        <w:t>panel</w:t>
      </w:r>
      <w:r>
        <w:rPr>
          <w:spacing w:val="-9"/>
          <w:sz w:val="20"/>
        </w:rPr>
        <w:t> </w:t>
      </w:r>
      <w:r>
        <w:rPr>
          <w:sz w:val="20"/>
        </w:rPr>
        <w:t>where</w:t>
      </w:r>
      <w:r>
        <w:rPr>
          <w:spacing w:val="-9"/>
          <w:sz w:val="20"/>
        </w:rPr>
        <w:t> </w:t>
      </w:r>
      <w:r>
        <w:rPr>
          <w:sz w:val="20"/>
        </w:rPr>
        <w:t>a</w:t>
      </w:r>
      <w:r>
        <w:rPr>
          <w:spacing w:val="-9"/>
          <w:sz w:val="20"/>
        </w:rPr>
        <w:t> </w:t>
      </w:r>
      <w:r>
        <w:rPr>
          <w:sz w:val="20"/>
        </w:rPr>
        <w:t>trial</w:t>
      </w:r>
      <w:r>
        <w:rPr>
          <w:spacing w:val="-9"/>
          <w:sz w:val="20"/>
        </w:rPr>
        <w:t> </w:t>
      </w:r>
      <w:r>
        <w:rPr>
          <w:sz w:val="20"/>
        </w:rPr>
        <w:t>is</w:t>
      </w:r>
      <w:r>
        <w:rPr>
          <w:spacing w:val="-9"/>
          <w:sz w:val="20"/>
        </w:rPr>
        <w:t> </w:t>
      </w:r>
      <w:r>
        <w:rPr>
          <w:sz w:val="20"/>
        </w:rPr>
        <w:t>to</w:t>
      </w:r>
      <w:r>
        <w:rPr>
          <w:spacing w:val="-9"/>
          <w:sz w:val="20"/>
        </w:rPr>
        <w:t> </w:t>
      </w:r>
      <w:r>
        <w:rPr>
          <w:sz w:val="20"/>
        </w:rPr>
        <w:t>be</w:t>
      </w:r>
      <w:r>
        <w:rPr>
          <w:spacing w:val="-9"/>
          <w:sz w:val="20"/>
        </w:rPr>
        <w:t> </w:t>
      </w:r>
      <w:r>
        <w:rPr>
          <w:sz w:val="20"/>
        </w:rPr>
        <w:t>heard</w:t>
      </w:r>
      <w:r>
        <w:rPr>
          <w:spacing w:val="-9"/>
          <w:sz w:val="20"/>
        </w:rPr>
        <w:t> </w:t>
      </w:r>
      <w:r>
        <w:rPr>
          <w:sz w:val="20"/>
        </w:rPr>
        <w:t>in</w:t>
      </w:r>
      <w:r>
        <w:rPr>
          <w:spacing w:val="-9"/>
          <w:sz w:val="20"/>
        </w:rPr>
        <w:t> </w:t>
      </w:r>
      <w:r>
        <w:rPr>
          <w:sz w:val="20"/>
        </w:rPr>
        <w:t>a</w:t>
      </w:r>
      <w:r>
        <w:rPr>
          <w:spacing w:val="-9"/>
          <w:sz w:val="20"/>
        </w:rPr>
        <w:t> </w:t>
      </w:r>
      <w:r>
        <w:rPr>
          <w:sz w:val="20"/>
        </w:rPr>
        <w:t>courtroom</w:t>
      </w:r>
      <w:r>
        <w:rPr>
          <w:spacing w:val="-9"/>
          <w:sz w:val="20"/>
        </w:rPr>
        <w:t> </w:t>
      </w:r>
      <w:r>
        <w:rPr>
          <w:sz w:val="20"/>
        </w:rPr>
        <w:t>that</w:t>
      </w:r>
      <w:r>
        <w:rPr>
          <w:spacing w:val="-9"/>
          <w:sz w:val="20"/>
        </w:rPr>
        <w:t> </w:t>
      </w:r>
      <w:r>
        <w:rPr>
          <w:sz w:val="20"/>
        </w:rPr>
        <w:t>cannot accommodate reasonable adjustments that </w:t>
      </w:r>
      <w:r>
        <w:rPr>
          <w:spacing w:val="-3"/>
          <w:sz w:val="20"/>
        </w:rPr>
        <w:t>would </w:t>
      </w:r>
      <w:r>
        <w:rPr>
          <w:sz w:val="20"/>
        </w:rPr>
        <w:t>enable that person to serve as a </w:t>
      </w:r>
      <w:r>
        <w:rPr>
          <w:spacing w:val="-7"/>
          <w:sz w:val="20"/>
        </w:rPr>
        <w:t>juror.</w:t>
      </w:r>
    </w:p>
    <w:p>
      <w:pPr>
        <w:pStyle w:val="ListParagraph"/>
        <w:numPr>
          <w:ilvl w:val="0"/>
          <w:numId w:val="10"/>
        </w:numPr>
        <w:tabs>
          <w:tab w:pos="1774" w:val="left" w:leader="none"/>
          <w:tab w:pos="1775" w:val="left" w:leader="none"/>
        </w:tabs>
        <w:spacing w:line="206" w:lineRule="auto" w:before="90" w:after="0"/>
        <w:ind w:left="1774" w:right="1605" w:hanging="794"/>
        <w:jc w:val="left"/>
        <w:rPr>
          <w:sz w:val="20"/>
        </w:rPr>
      </w:pPr>
      <w:r>
        <w:rPr>
          <w:sz w:val="20"/>
        </w:rPr>
        <w:t>A decision </w:t>
      </w:r>
      <w:r>
        <w:rPr>
          <w:spacing w:val="-3"/>
          <w:sz w:val="20"/>
        </w:rPr>
        <w:t>by </w:t>
      </w:r>
      <w:r>
        <w:rPr>
          <w:sz w:val="20"/>
        </w:rPr>
        <w:t>the Juries Commissioner to hold a person out of a ballot should be appealable under section </w:t>
      </w:r>
      <w:r>
        <w:rPr>
          <w:spacing w:val="-3"/>
          <w:sz w:val="20"/>
        </w:rPr>
        <w:t>10 </w:t>
      </w:r>
      <w:r>
        <w:rPr>
          <w:sz w:val="20"/>
        </w:rPr>
        <w:t>of the Juries </w:t>
      </w:r>
      <w:r>
        <w:rPr>
          <w:spacing w:val="-2"/>
          <w:sz w:val="20"/>
        </w:rPr>
        <w:t>Act </w:t>
      </w:r>
      <w:r>
        <w:rPr>
          <w:sz w:val="20"/>
        </w:rPr>
        <w:t>to either the County Court or the Supreme</w:t>
      </w:r>
      <w:r>
        <w:rPr>
          <w:spacing w:val="-13"/>
          <w:sz w:val="20"/>
        </w:rPr>
        <w:t> </w:t>
      </w:r>
      <w:r>
        <w:rPr>
          <w:sz w:val="20"/>
        </w:rPr>
        <w:t>Court.</w:t>
      </w:r>
      <w:r>
        <w:rPr>
          <w:spacing w:val="-13"/>
          <w:sz w:val="20"/>
        </w:rPr>
        <w:t> </w:t>
      </w:r>
      <w:r>
        <w:rPr>
          <w:sz w:val="20"/>
        </w:rPr>
        <w:t>This</w:t>
      </w:r>
      <w:r>
        <w:rPr>
          <w:spacing w:val="-13"/>
          <w:sz w:val="20"/>
        </w:rPr>
        <w:t> </w:t>
      </w:r>
      <w:r>
        <w:rPr>
          <w:sz w:val="20"/>
        </w:rPr>
        <w:t>matter</w:t>
      </w:r>
      <w:r>
        <w:rPr>
          <w:spacing w:val="-13"/>
          <w:sz w:val="20"/>
        </w:rPr>
        <w:t> </w:t>
      </w:r>
      <w:r>
        <w:rPr>
          <w:sz w:val="20"/>
        </w:rPr>
        <w:t>should</w:t>
      </w:r>
      <w:r>
        <w:rPr>
          <w:spacing w:val="-13"/>
          <w:sz w:val="20"/>
        </w:rPr>
        <w:t> </w:t>
      </w:r>
      <w:r>
        <w:rPr>
          <w:sz w:val="20"/>
        </w:rPr>
        <w:t>be</w:t>
      </w:r>
      <w:r>
        <w:rPr>
          <w:spacing w:val="-13"/>
          <w:sz w:val="20"/>
        </w:rPr>
        <w:t> </w:t>
      </w:r>
      <w:r>
        <w:rPr>
          <w:sz w:val="20"/>
        </w:rPr>
        <w:t>dealt</w:t>
      </w:r>
      <w:r>
        <w:rPr>
          <w:spacing w:val="-13"/>
          <w:sz w:val="20"/>
        </w:rPr>
        <w:t> </w:t>
      </w:r>
      <w:r>
        <w:rPr>
          <w:sz w:val="20"/>
        </w:rPr>
        <w:t>with</w:t>
      </w:r>
      <w:r>
        <w:rPr>
          <w:spacing w:val="-13"/>
          <w:sz w:val="20"/>
        </w:rPr>
        <w:t> </w:t>
      </w:r>
      <w:r>
        <w:rPr>
          <w:sz w:val="20"/>
        </w:rPr>
        <w:t>in</w:t>
      </w:r>
      <w:r>
        <w:rPr>
          <w:spacing w:val="-13"/>
          <w:sz w:val="20"/>
        </w:rPr>
        <w:t> </w:t>
      </w:r>
      <w:r>
        <w:rPr>
          <w:sz w:val="20"/>
        </w:rPr>
        <w:t>an</w:t>
      </w:r>
      <w:r>
        <w:rPr>
          <w:spacing w:val="-13"/>
          <w:sz w:val="20"/>
        </w:rPr>
        <w:t> </w:t>
      </w:r>
      <w:r>
        <w:rPr>
          <w:sz w:val="20"/>
        </w:rPr>
        <w:t>urgent</w:t>
      </w:r>
      <w:r>
        <w:rPr>
          <w:spacing w:val="-13"/>
          <w:sz w:val="20"/>
        </w:rPr>
        <w:t> </w:t>
      </w:r>
      <w:r>
        <w:rPr>
          <w:sz w:val="20"/>
        </w:rPr>
        <w:t>interlocutory</w:t>
      </w:r>
      <w:r>
        <w:rPr>
          <w:spacing w:val="-12"/>
          <w:sz w:val="20"/>
        </w:rPr>
        <w:t> </w:t>
      </w:r>
      <w:r>
        <w:rPr>
          <w:sz w:val="20"/>
        </w:rPr>
        <w:t>hearing.</w:t>
      </w:r>
    </w:p>
    <w:p>
      <w:pPr>
        <w:pStyle w:val="ListParagraph"/>
        <w:numPr>
          <w:ilvl w:val="0"/>
          <w:numId w:val="10"/>
        </w:numPr>
        <w:tabs>
          <w:tab w:pos="1774" w:val="left" w:leader="none"/>
          <w:tab w:pos="1775" w:val="left" w:leader="none"/>
        </w:tabs>
        <w:spacing w:line="206" w:lineRule="auto" w:before="89" w:after="0"/>
        <w:ind w:left="1774" w:right="1301" w:hanging="794"/>
        <w:jc w:val="left"/>
        <w:rPr>
          <w:sz w:val="20"/>
        </w:rPr>
      </w:pPr>
      <w:r>
        <w:rPr>
          <w:sz w:val="20"/>
        </w:rPr>
        <w:t>The Juries </w:t>
      </w:r>
      <w:r>
        <w:rPr>
          <w:spacing w:val="-2"/>
          <w:sz w:val="20"/>
        </w:rPr>
        <w:t>Act </w:t>
      </w:r>
      <w:r>
        <w:rPr>
          <w:sz w:val="20"/>
        </w:rPr>
        <w:t>should be amended to </w:t>
      </w:r>
      <w:r>
        <w:rPr>
          <w:spacing w:val="-3"/>
          <w:sz w:val="20"/>
        </w:rPr>
        <w:t>provide </w:t>
      </w:r>
      <w:r>
        <w:rPr>
          <w:sz w:val="20"/>
        </w:rPr>
        <w:t>that if a judge determines that reasonable</w:t>
      </w:r>
      <w:r>
        <w:rPr>
          <w:spacing w:val="-11"/>
          <w:sz w:val="20"/>
        </w:rPr>
        <w:t> </w:t>
      </w:r>
      <w:r>
        <w:rPr>
          <w:sz w:val="20"/>
        </w:rPr>
        <w:t>adjustments</w:t>
      </w:r>
      <w:r>
        <w:rPr>
          <w:spacing w:val="-11"/>
          <w:sz w:val="20"/>
        </w:rPr>
        <w:t> </w:t>
      </w:r>
      <w:r>
        <w:rPr>
          <w:sz w:val="20"/>
        </w:rPr>
        <w:t>should</w:t>
      </w:r>
      <w:r>
        <w:rPr>
          <w:spacing w:val="-10"/>
          <w:sz w:val="20"/>
        </w:rPr>
        <w:t> </w:t>
      </w:r>
      <w:r>
        <w:rPr>
          <w:sz w:val="20"/>
        </w:rPr>
        <w:t>not</w:t>
      </w:r>
      <w:r>
        <w:rPr>
          <w:spacing w:val="-11"/>
          <w:sz w:val="20"/>
        </w:rPr>
        <w:t> </w:t>
      </w:r>
      <w:r>
        <w:rPr>
          <w:sz w:val="20"/>
        </w:rPr>
        <w:t>be</w:t>
      </w:r>
      <w:r>
        <w:rPr>
          <w:spacing w:val="-11"/>
          <w:sz w:val="20"/>
        </w:rPr>
        <w:t> </w:t>
      </w:r>
      <w:r>
        <w:rPr>
          <w:spacing w:val="-3"/>
          <w:sz w:val="20"/>
        </w:rPr>
        <w:t>provided</w:t>
      </w:r>
      <w:r>
        <w:rPr>
          <w:spacing w:val="-10"/>
          <w:sz w:val="20"/>
        </w:rPr>
        <w:t> </w:t>
      </w:r>
      <w:r>
        <w:rPr>
          <w:sz w:val="20"/>
        </w:rPr>
        <w:t>to</w:t>
      </w:r>
      <w:r>
        <w:rPr>
          <w:spacing w:val="-11"/>
          <w:sz w:val="20"/>
        </w:rPr>
        <w:t> </w:t>
      </w:r>
      <w:r>
        <w:rPr>
          <w:sz w:val="20"/>
        </w:rPr>
        <w:t>a</w:t>
      </w:r>
      <w:r>
        <w:rPr>
          <w:spacing w:val="-11"/>
          <w:sz w:val="20"/>
        </w:rPr>
        <w:t> </w:t>
      </w:r>
      <w:r>
        <w:rPr>
          <w:sz w:val="20"/>
        </w:rPr>
        <w:t>juror</w:t>
      </w:r>
      <w:r>
        <w:rPr>
          <w:spacing w:val="-10"/>
          <w:sz w:val="20"/>
        </w:rPr>
        <w:t> </w:t>
      </w:r>
      <w:r>
        <w:rPr>
          <w:sz w:val="20"/>
        </w:rPr>
        <w:t>in</w:t>
      </w:r>
      <w:r>
        <w:rPr>
          <w:spacing w:val="-11"/>
          <w:sz w:val="20"/>
        </w:rPr>
        <w:t> </w:t>
      </w:r>
      <w:r>
        <w:rPr>
          <w:sz w:val="20"/>
        </w:rPr>
        <w:t>a</w:t>
      </w:r>
      <w:r>
        <w:rPr>
          <w:spacing w:val="-11"/>
          <w:sz w:val="20"/>
        </w:rPr>
        <w:t> </w:t>
      </w:r>
      <w:r>
        <w:rPr>
          <w:sz w:val="20"/>
        </w:rPr>
        <w:t>particular</w:t>
      </w:r>
      <w:r>
        <w:rPr>
          <w:spacing w:val="-10"/>
          <w:sz w:val="20"/>
        </w:rPr>
        <w:t> </w:t>
      </w:r>
      <w:r>
        <w:rPr>
          <w:sz w:val="20"/>
        </w:rPr>
        <w:t>trial,</w:t>
      </w:r>
      <w:r>
        <w:rPr>
          <w:spacing w:val="-11"/>
          <w:sz w:val="20"/>
        </w:rPr>
        <w:t> </w:t>
      </w:r>
      <w:r>
        <w:rPr>
          <w:sz w:val="20"/>
        </w:rPr>
        <w:t>the</w:t>
      </w:r>
      <w:r>
        <w:rPr>
          <w:spacing w:val="-11"/>
          <w:sz w:val="20"/>
        </w:rPr>
        <w:t> </w:t>
      </w:r>
      <w:r>
        <w:rPr>
          <w:sz w:val="20"/>
        </w:rPr>
        <w:t>judge </w:t>
      </w:r>
      <w:r>
        <w:rPr>
          <w:spacing w:val="-3"/>
          <w:sz w:val="20"/>
        </w:rPr>
        <w:t>may </w:t>
      </w:r>
      <w:r>
        <w:rPr>
          <w:sz w:val="20"/>
        </w:rPr>
        <w:t>either </w:t>
      </w:r>
      <w:r>
        <w:rPr>
          <w:spacing w:val="-3"/>
          <w:sz w:val="20"/>
        </w:rPr>
        <w:t>return </w:t>
      </w:r>
      <w:r>
        <w:rPr>
          <w:sz w:val="20"/>
        </w:rPr>
        <w:t>the person to the jury pool to potentially serve as a juror on another trial or </w:t>
      </w:r>
      <w:r>
        <w:rPr>
          <w:spacing w:val="-3"/>
          <w:sz w:val="20"/>
        </w:rPr>
        <w:t>excuse </w:t>
      </w:r>
      <w:r>
        <w:rPr>
          <w:sz w:val="20"/>
        </w:rPr>
        <w:t>the person </w:t>
      </w:r>
      <w:r>
        <w:rPr>
          <w:spacing w:val="-3"/>
          <w:sz w:val="20"/>
        </w:rPr>
        <w:t>from </w:t>
      </w:r>
      <w:r>
        <w:rPr>
          <w:sz w:val="20"/>
        </w:rPr>
        <w:t>their summons. In determining whether to </w:t>
      </w:r>
      <w:r>
        <w:rPr>
          <w:spacing w:val="-3"/>
          <w:sz w:val="20"/>
        </w:rPr>
        <w:t>excuse </w:t>
      </w:r>
      <w:r>
        <w:rPr>
          <w:sz w:val="20"/>
        </w:rPr>
        <w:t>a person</w:t>
      </w:r>
      <w:r>
        <w:rPr>
          <w:spacing w:val="-7"/>
          <w:sz w:val="20"/>
        </w:rPr>
        <w:t> </w:t>
      </w:r>
      <w:r>
        <w:rPr>
          <w:spacing w:val="-3"/>
          <w:sz w:val="20"/>
        </w:rPr>
        <w:t>from</w:t>
      </w:r>
      <w:r>
        <w:rPr>
          <w:spacing w:val="-6"/>
          <w:sz w:val="20"/>
        </w:rPr>
        <w:t> </w:t>
      </w:r>
      <w:r>
        <w:rPr>
          <w:sz w:val="20"/>
        </w:rPr>
        <w:t>their</w:t>
      </w:r>
      <w:r>
        <w:rPr>
          <w:spacing w:val="-6"/>
          <w:sz w:val="20"/>
        </w:rPr>
        <w:t> </w:t>
      </w:r>
      <w:r>
        <w:rPr>
          <w:sz w:val="20"/>
        </w:rPr>
        <w:t>summons</w:t>
      </w:r>
      <w:r>
        <w:rPr>
          <w:spacing w:val="-6"/>
          <w:sz w:val="20"/>
        </w:rPr>
        <w:t> </w:t>
      </w:r>
      <w:r>
        <w:rPr>
          <w:sz w:val="20"/>
        </w:rPr>
        <w:t>the</w:t>
      </w:r>
      <w:r>
        <w:rPr>
          <w:spacing w:val="-6"/>
          <w:sz w:val="20"/>
        </w:rPr>
        <w:t> </w:t>
      </w:r>
      <w:r>
        <w:rPr>
          <w:sz w:val="20"/>
        </w:rPr>
        <w:t>judge</w:t>
      </w:r>
      <w:r>
        <w:rPr>
          <w:spacing w:val="-6"/>
          <w:sz w:val="20"/>
        </w:rPr>
        <w:t> </w:t>
      </w:r>
      <w:r>
        <w:rPr>
          <w:spacing w:val="-3"/>
          <w:sz w:val="20"/>
        </w:rPr>
        <w:t>may</w:t>
      </w:r>
      <w:r>
        <w:rPr>
          <w:spacing w:val="-6"/>
          <w:sz w:val="20"/>
        </w:rPr>
        <w:t> </w:t>
      </w:r>
      <w:r>
        <w:rPr>
          <w:sz w:val="20"/>
        </w:rPr>
        <w:t>consider</w:t>
      </w:r>
      <w:r>
        <w:rPr>
          <w:spacing w:val="-6"/>
          <w:sz w:val="20"/>
        </w:rPr>
        <w:t> </w:t>
      </w:r>
      <w:r>
        <w:rPr>
          <w:sz w:val="20"/>
        </w:rPr>
        <w:t>the</w:t>
      </w:r>
      <w:r>
        <w:rPr>
          <w:spacing w:val="-6"/>
          <w:sz w:val="20"/>
        </w:rPr>
        <w:t> </w:t>
      </w:r>
      <w:r>
        <w:rPr>
          <w:sz w:val="20"/>
        </w:rPr>
        <w:t>wishes</w:t>
      </w:r>
      <w:r>
        <w:rPr>
          <w:spacing w:val="-6"/>
          <w:sz w:val="20"/>
        </w:rPr>
        <w:t> </w:t>
      </w:r>
      <w:r>
        <w:rPr>
          <w:sz w:val="20"/>
        </w:rPr>
        <w:t>of</w:t>
      </w:r>
      <w:r>
        <w:rPr>
          <w:spacing w:val="-6"/>
          <w:sz w:val="20"/>
        </w:rPr>
        <w:t> </w:t>
      </w:r>
      <w:r>
        <w:rPr>
          <w:sz w:val="20"/>
        </w:rPr>
        <w:t>the</w:t>
      </w:r>
      <w:r>
        <w:rPr>
          <w:spacing w:val="-6"/>
          <w:sz w:val="20"/>
        </w:rPr>
        <w:t> </w:t>
      </w:r>
      <w:r>
        <w:rPr>
          <w:sz w:val="20"/>
        </w:rPr>
        <w:t>person.</w:t>
      </w:r>
    </w:p>
    <w:p>
      <w:pPr>
        <w:pStyle w:val="ListParagraph"/>
        <w:numPr>
          <w:ilvl w:val="0"/>
          <w:numId w:val="10"/>
        </w:numPr>
        <w:tabs>
          <w:tab w:pos="1774" w:val="left" w:leader="none"/>
          <w:tab w:pos="1775" w:val="left" w:leader="none"/>
        </w:tabs>
        <w:spacing w:line="206" w:lineRule="auto" w:before="91" w:after="0"/>
        <w:ind w:left="1774" w:right="1614" w:hanging="794"/>
        <w:jc w:val="left"/>
        <w:rPr>
          <w:sz w:val="20"/>
        </w:rPr>
      </w:pPr>
      <w:r>
        <w:rPr>
          <w:sz w:val="20"/>
        </w:rPr>
        <w:t>The Victorian courts should build on existing building </w:t>
      </w:r>
      <w:r>
        <w:rPr>
          <w:spacing w:val="-3"/>
          <w:sz w:val="20"/>
        </w:rPr>
        <w:t>improvement </w:t>
      </w:r>
      <w:r>
        <w:rPr>
          <w:sz w:val="20"/>
        </w:rPr>
        <w:t>programs to </w:t>
      </w:r>
      <w:r>
        <w:rPr>
          <w:spacing w:val="-4"/>
          <w:sz w:val="20"/>
        </w:rPr>
        <w:t>improve</w:t>
      </w:r>
      <w:r>
        <w:rPr>
          <w:spacing w:val="-10"/>
          <w:sz w:val="20"/>
        </w:rPr>
        <w:t> </w:t>
      </w:r>
      <w:r>
        <w:rPr>
          <w:sz w:val="20"/>
        </w:rPr>
        <w:t>court</w:t>
      </w:r>
      <w:r>
        <w:rPr>
          <w:spacing w:val="-10"/>
          <w:sz w:val="20"/>
        </w:rPr>
        <w:t> </w:t>
      </w:r>
      <w:r>
        <w:rPr>
          <w:sz w:val="20"/>
        </w:rPr>
        <w:t>accessibility</w:t>
      </w:r>
      <w:r>
        <w:rPr>
          <w:spacing w:val="-9"/>
          <w:sz w:val="20"/>
        </w:rPr>
        <w:t> </w:t>
      </w:r>
      <w:r>
        <w:rPr>
          <w:sz w:val="20"/>
        </w:rPr>
        <w:t>to</w:t>
      </w:r>
      <w:r>
        <w:rPr>
          <w:spacing w:val="-10"/>
          <w:sz w:val="20"/>
        </w:rPr>
        <w:t> </w:t>
      </w:r>
      <w:r>
        <w:rPr>
          <w:sz w:val="20"/>
        </w:rPr>
        <w:t>enable</w:t>
      </w:r>
      <w:r>
        <w:rPr>
          <w:spacing w:val="-10"/>
          <w:sz w:val="20"/>
        </w:rPr>
        <w:t> </w:t>
      </w:r>
      <w:r>
        <w:rPr>
          <w:sz w:val="20"/>
        </w:rPr>
        <w:t>people</w:t>
      </w:r>
      <w:r>
        <w:rPr>
          <w:spacing w:val="-9"/>
          <w:sz w:val="20"/>
        </w:rPr>
        <w:t> </w:t>
      </w:r>
      <w:r>
        <w:rPr>
          <w:sz w:val="20"/>
        </w:rPr>
        <w:t>who</w:t>
      </w:r>
      <w:r>
        <w:rPr>
          <w:spacing w:val="-10"/>
          <w:sz w:val="20"/>
        </w:rPr>
        <w:t> </w:t>
      </w:r>
      <w:r>
        <w:rPr>
          <w:spacing w:val="-3"/>
          <w:sz w:val="20"/>
        </w:rPr>
        <w:t>are</w:t>
      </w:r>
      <w:r>
        <w:rPr>
          <w:spacing w:val="-10"/>
          <w:sz w:val="20"/>
        </w:rPr>
        <w:t> </w:t>
      </w:r>
      <w:r>
        <w:rPr>
          <w:spacing w:val="-4"/>
          <w:sz w:val="20"/>
        </w:rPr>
        <w:t>deaf,</w:t>
      </w:r>
      <w:r>
        <w:rPr>
          <w:spacing w:val="-9"/>
          <w:sz w:val="20"/>
        </w:rPr>
        <w:t> </w:t>
      </w:r>
      <w:r>
        <w:rPr>
          <w:sz w:val="20"/>
        </w:rPr>
        <w:t>hard</w:t>
      </w:r>
      <w:r>
        <w:rPr>
          <w:spacing w:val="-10"/>
          <w:sz w:val="20"/>
        </w:rPr>
        <w:t> </w:t>
      </w:r>
      <w:r>
        <w:rPr>
          <w:sz w:val="20"/>
        </w:rPr>
        <w:t>of</w:t>
      </w:r>
      <w:r>
        <w:rPr>
          <w:spacing w:val="-10"/>
          <w:sz w:val="20"/>
        </w:rPr>
        <w:t> </w:t>
      </w:r>
      <w:r>
        <w:rPr>
          <w:sz w:val="20"/>
        </w:rPr>
        <w:t>hearing,</w:t>
      </w:r>
      <w:r>
        <w:rPr>
          <w:spacing w:val="-9"/>
          <w:sz w:val="20"/>
        </w:rPr>
        <w:t> </w:t>
      </w:r>
      <w:r>
        <w:rPr>
          <w:sz w:val="20"/>
        </w:rPr>
        <w:t>blind</w:t>
      </w:r>
      <w:r>
        <w:rPr>
          <w:spacing w:val="-10"/>
          <w:sz w:val="20"/>
        </w:rPr>
        <w:t> </w:t>
      </w:r>
      <w:r>
        <w:rPr>
          <w:sz w:val="20"/>
        </w:rPr>
        <w:t>or </w:t>
      </w:r>
      <w:r>
        <w:rPr>
          <w:spacing w:val="-4"/>
          <w:sz w:val="20"/>
        </w:rPr>
        <w:t>have low </w:t>
      </w:r>
      <w:r>
        <w:rPr>
          <w:sz w:val="20"/>
        </w:rPr>
        <w:t>vision to serve as</w:t>
      </w:r>
      <w:r>
        <w:rPr>
          <w:spacing w:val="-18"/>
          <w:sz w:val="20"/>
        </w:rPr>
        <w:t> </w:t>
      </w:r>
      <w:r>
        <w:rPr>
          <w:sz w:val="20"/>
        </w:rPr>
        <w:t>jurors.</w:t>
      </w:r>
    </w:p>
    <w:p>
      <w:pPr>
        <w:spacing w:before="20"/>
        <w:ind w:left="0" w:right="191" w:firstLine="0"/>
        <w:jc w:val="right"/>
        <w:rPr>
          <w:b/>
          <w:sz w:val="24"/>
        </w:rPr>
      </w:pPr>
      <w:r>
        <w:rPr>
          <w:b/>
          <w:color w:val="37617A"/>
          <w:sz w:val="24"/>
        </w:rPr>
        <w:t>xxiii</w:t>
      </w:r>
    </w:p>
    <w:p>
      <w:pPr>
        <w:spacing w:after="0"/>
        <w:jc w:val="right"/>
        <w:rPr>
          <w:sz w:val="24"/>
        </w:rPr>
        <w:sectPr>
          <w:pgSz w:w="11910" w:h="16840"/>
          <w:pgMar w:header="0" w:footer="0" w:top="840" w:bottom="280" w:left="620" w:right="380"/>
        </w:sectPr>
      </w:pPr>
    </w:p>
    <w:p>
      <w:pPr>
        <w:pStyle w:val="BodyText"/>
        <w:rPr>
          <w:b/>
        </w:rPr>
      </w:pPr>
    </w:p>
    <w:p>
      <w:pPr>
        <w:pStyle w:val="BodyText"/>
        <w:rPr>
          <w:b/>
        </w:rPr>
      </w:pPr>
    </w:p>
    <w:p>
      <w:pPr>
        <w:pStyle w:val="BodyText"/>
        <w:rPr>
          <w:b/>
        </w:rPr>
      </w:pPr>
    </w:p>
    <w:p>
      <w:pPr>
        <w:spacing w:after="0"/>
        <w:sectPr>
          <w:pgSz w:w="11910" w:h="16840"/>
          <w:pgMar w:header="567" w:footer="0" w:top="860" w:bottom="280" w:left="620" w:right="380"/>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2"/>
        <w:rPr>
          <w:b/>
        </w:rPr>
      </w:pPr>
    </w:p>
    <w:p>
      <w:pPr>
        <w:spacing w:before="1"/>
        <w:ind w:left="100" w:right="0" w:firstLine="0"/>
        <w:jc w:val="left"/>
        <w:rPr>
          <w:b/>
          <w:sz w:val="24"/>
        </w:rPr>
      </w:pPr>
      <w:r>
        <w:rPr>
          <w:b/>
          <w:color w:val="37617A"/>
          <w:sz w:val="24"/>
        </w:rPr>
        <w:t>xxiv</w:t>
      </w:r>
    </w:p>
    <w:p>
      <w:pPr>
        <w:spacing w:before="212"/>
        <w:ind w:left="100" w:right="0" w:firstLine="0"/>
        <w:jc w:val="left"/>
        <w:rPr>
          <w:rFonts w:ascii="Raleway ExtraBold"/>
          <w:b/>
          <w:sz w:val="28"/>
        </w:rPr>
      </w:pPr>
      <w:r>
        <w:rPr/>
        <w:br w:type="column"/>
      </w:r>
      <w:r>
        <w:rPr>
          <w:rFonts w:ascii="Raleway ExtraBold"/>
          <w:b/>
          <w:color w:val="37617A"/>
          <w:sz w:val="28"/>
        </w:rPr>
        <w:t>Chapter 12</w:t>
      </w:r>
    </w:p>
    <w:p>
      <w:pPr>
        <w:pStyle w:val="ListParagraph"/>
        <w:numPr>
          <w:ilvl w:val="0"/>
          <w:numId w:val="10"/>
        </w:numPr>
        <w:tabs>
          <w:tab w:pos="893" w:val="left" w:leader="none"/>
          <w:tab w:pos="894" w:val="left" w:leader="none"/>
        </w:tabs>
        <w:spacing w:line="240" w:lineRule="auto" w:before="113" w:after="0"/>
        <w:ind w:left="893" w:right="0" w:hanging="793"/>
        <w:jc w:val="left"/>
        <w:rPr>
          <w:sz w:val="20"/>
        </w:rPr>
      </w:pPr>
      <w:r>
        <w:rPr>
          <w:sz w:val="20"/>
        </w:rPr>
        <w:t>Juries Victoria should </w:t>
      </w:r>
      <w:r>
        <w:rPr>
          <w:spacing w:val="-3"/>
          <w:sz w:val="20"/>
        </w:rPr>
        <w:t>coordinate </w:t>
      </w:r>
      <w:r>
        <w:rPr>
          <w:sz w:val="20"/>
        </w:rPr>
        <w:t>the </w:t>
      </w:r>
      <w:r>
        <w:rPr>
          <w:spacing w:val="-3"/>
          <w:sz w:val="20"/>
        </w:rPr>
        <w:t>provision </w:t>
      </w:r>
      <w:r>
        <w:rPr>
          <w:sz w:val="20"/>
        </w:rPr>
        <w:t>of reasonable</w:t>
      </w:r>
      <w:r>
        <w:rPr>
          <w:spacing w:val="-34"/>
          <w:sz w:val="20"/>
        </w:rPr>
        <w:t> </w:t>
      </w:r>
      <w:r>
        <w:rPr>
          <w:sz w:val="20"/>
        </w:rPr>
        <w:t>adjustments.</w:t>
      </w:r>
    </w:p>
    <w:p>
      <w:pPr>
        <w:pStyle w:val="ListParagraph"/>
        <w:numPr>
          <w:ilvl w:val="0"/>
          <w:numId w:val="10"/>
        </w:numPr>
        <w:tabs>
          <w:tab w:pos="893" w:val="left" w:leader="none"/>
          <w:tab w:pos="894" w:val="left" w:leader="none"/>
        </w:tabs>
        <w:spacing w:line="206" w:lineRule="auto" w:before="80" w:after="0"/>
        <w:ind w:left="893" w:right="1265" w:hanging="793"/>
        <w:jc w:val="left"/>
        <w:rPr>
          <w:sz w:val="20"/>
        </w:rPr>
      </w:pPr>
      <w:r>
        <w:rPr>
          <w:sz w:val="20"/>
        </w:rPr>
        <w:t>Juries</w:t>
      </w:r>
      <w:r>
        <w:rPr>
          <w:spacing w:val="-14"/>
          <w:sz w:val="20"/>
        </w:rPr>
        <w:t> </w:t>
      </w:r>
      <w:r>
        <w:rPr>
          <w:sz w:val="20"/>
        </w:rPr>
        <w:t>Victoria</w:t>
      </w:r>
      <w:r>
        <w:rPr>
          <w:spacing w:val="-13"/>
          <w:sz w:val="20"/>
        </w:rPr>
        <w:t> </w:t>
      </w:r>
      <w:r>
        <w:rPr>
          <w:sz w:val="20"/>
        </w:rPr>
        <w:t>should</w:t>
      </w:r>
      <w:r>
        <w:rPr>
          <w:spacing w:val="-14"/>
          <w:sz w:val="20"/>
        </w:rPr>
        <w:t> </w:t>
      </w:r>
      <w:r>
        <w:rPr>
          <w:sz w:val="20"/>
        </w:rPr>
        <w:t>change</w:t>
      </w:r>
      <w:r>
        <w:rPr>
          <w:spacing w:val="-13"/>
          <w:sz w:val="20"/>
        </w:rPr>
        <w:t> </w:t>
      </w:r>
      <w:r>
        <w:rPr>
          <w:sz w:val="20"/>
        </w:rPr>
        <w:t>the</w:t>
      </w:r>
      <w:r>
        <w:rPr>
          <w:spacing w:val="-13"/>
          <w:sz w:val="20"/>
        </w:rPr>
        <w:t> </w:t>
      </w:r>
      <w:r>
        <w:rPr>
          <w:sz w:val="20"/>
        </w:rPr>
        <w:t>juror</w:t>
      </w:r>
      <w:r>
        <w:rPr>
          <w:spacing w:val="-14"/>
          <w:sz w:val="20"/>
        </w:rPr>
        <w:t> </w:t>
      </w:r>
      <w:r>
        <w:rPr>
          <w:sz w:val="20"/>
        </w:rPr>
        <w:t>questionnaire</w:t>
      </w:r>
      <w:r>
        <w:rPr>
          <w:spacing w:val="-13"/>
          <w:sz w:val="20"/>
        </w:rPr>
        <w:t> </w:t>
      </w:r>
      <w:r>
        <w:rPr>
          <w:spacing w:val="-2"/>
          <w:sz w:val="20"/>
        </w:rPr>
        <w:t>(juror</w:t>
      </w:r>
      <w:r>
        <w:rPr>
          <w:spacing w:val="-13"/>
          <w:sz w:val="20"/>
        </w:rPr>
        <w:t> </w:t>
      </w:r>
      <w:r>
        <w:rPr>
          <w:sz w:val="20"/>
        </w:rPr>
        <w:t>eligibility</w:t>
      </w:r>
      <w:r>
        <w:rPr>
          <w:spacing w:val="-14"/>
          <w:sz w:val="20"/>
        </w:rPr>
        <w:t> </w:t>
      </w:r>
      <w:r>
        <w:rPr>
          <w:sz w:val="20"/>
        </w:rPr>
        <w:t>form)</w:t>
      </w:r>
      <w:r>
        <w:rPr>
          <w:spacing w:val="-13"/>
          <w:sz w:val="20"/>
        </w:rPr>
        <w:t> </w:t>
      </w:r>
      <w:r>
        <w:rPr>
          <w:sz w:val="20"/>
        </w:rPr>
        <w:t>and</w:t>
      </w:r>
      <w:r>
        <w:rPr>
          <w:spacing w:val="-13"/>
          <w:sz w:val="20"/>
        </w:rPr>
        <w:t> </w:t>
      </w:r>
      <w:r>
        <w:rPr>
          <w:sz w:val="20"/>
        </w:rPr>
        <w:t>the</w:t>
      </w:r>
      <w:r>
        <w:rPr>
          <w:spacing w:val="-14"/>
          <w:sz w:val="20"/>
        </w:rPr>
        <w:t> </w:t>
      </w:r>
      <w:r>
        <w:rPr>
          <w:sz w:val="20"/>
        </w:rPr>
        <w:t>juror summons form to request information about the need for adjustments for a person who</w:t>
      </w:r>
      <w:r>
        <w:rPr>
          <w:spacing w:val="-5"/>
          <w:sz w:val="20"/>
        </w:rPr>
        <w:t> </w:t>
      </w:r>
      <w:r>
        <w:rPr>
          <w:sz w:val="20"/>
        </w:rPr>
        <w:t>is</w:t>
      </w:r>
      <w:r>
        <w:rPr>
          <w:spacing w:val="-5"/>
          <w:sz w:val="20"/>
        </w:rPr>
        <w:t> </w:t>
      </w:r>
      <w:r>
        <w:rPr>
          <w:spacing w:val="-4"/>
          <w:sz w:val="20"/>
        </w:rPr>
        <w:t>deaf, </w:t>
      </w:r>
      <w:r>
        <w:rPr>
          <w:sz w:val="20"/>
        </w:rPr>
        <w:t>hard</w:t>
      </w:r>
      <w:r>
        <w:rPr>
          <w:spacing w:val="-5"/>
          <w:sz w:val="20"/>
        </w:rPr>
        <w:t> </w:t>
      </w:r>
      <w:r>
        <w:rPr>
          <w:sz w:val="20"/>
        </w:rPr>
        <w:t>of</w:t>
      </w:r>
      <w:r>
        <w:rPr>
          <w:spacing w:val="-4"/>
          <w:sz w:val="20"/>
        </w:rPr>
        <w:t> </w:t>
      </w:r>
      <w:r>
        <w:rPr>
          <w:sz w:val="20"/>
        </w:rPr>
        <w:t>hearing,</w:t>
      </w:r>
      <w:r>
        <w:rPr>
          <w:spacing w:val="-5"/>
          <w:sz w:val="20"/>
        </w:rPr>
        <w:t> </w:t>
      </w:r>
      <w:r>
        <w:rPr>
          <w:sz w:val="20"/>
        </w:rPr>
        <w:t>blind</w:t>
      </w:r>
      <w:r>
        <w:rPr>
          <w:spacing w:val="-4"/>
          <w:sz w:val="20"/>
        </w:rPr>
        <w:t> </w:t>
      </w:r>
      <w:r>
        <w:rPr>
          <w:sz w:val="20"/>
        </w:rPr>
        <w:t>or</w:t>
      </w:r>
      <w:r>
        <w:rPr>
          <w:spacing w:val="-5"/>
          <w:sz w:val="20"/>
        </w:rPr>
        <w:t> </w:t>
      </w:r>
      <w:r>
        <w:rPr>
          <w:sz w:val="20"/>
        </w:rPr>
        <w:t>has</w:t>
      </w:r>
      <w:r>
        <w:rPr>
          <w:spacing w:val="-4"/>
          <w:sz w:val="20"/>
        </w:rPr>
        <w:t> low</w:t>
      </w:r>
      <w:r>
        <w:rPr>
          <w:spacing w:val="-5"/>
          <w:sz w:val="20"/>
        </w:rPr>
        <w:t> </w:t>
      </w:r>
      <w:r>
        <w:rPr>
          <w:sz w:val="20"/>
        </w:rPr>
        <w:t>vision.</w:t>
      </w:r>
    </w:p>
    <w:p>
      <w:pPr>
        <w:pStyle w:val="ListParagraph"/>
        <w:numPr>
          <w:ilvl w:val="0"/>
          <w:numId w:val="10"/>
        </w:numPr>
        <w:tabs>
          <w:tab w:pos="893" w:val="left" w:leader="none"/>
          <w:tab w:pos="894" w:val="left" w:leader="none"/>
        </w:tabs>
        <w:spacing w:line="259" w:lineRule="exact" w:before="57" w:after="0"/>
        <w:ind w:left="893" w:right="0" w:hanging="793"/>
        <w:jc w:val="left"/>
        <w:rPr>
          <w:sz w:val="20"/>
        </w:rPr>
      </w:pPr>
      <w:r>
        <w:rPr>
          <w:sz w:val="20"/>
        </w:rPr>
        <w:t>Juries</w:t>
      </w:r>
      <w:r>
        <w:rPr>
          <w:spacing w:val="-7"/>
          <w:sz w:val="20"/>
        </w:rPr>
        <w:t> </w:t>
      </w:r>
      <w:r>
        <w:rPr>
          <w:sz w:val="20"/>
        </w:rPr>
        <w:t>Victoria</w:t>
      </w:r>
      <w:r>
        <w:rPr>
          <w:spacing w:val="-7"/>
          <w:sz w:val="20"/>
        </w:rPr>
        <w:t> </w:t>
      </w:r>
      <w:r>
        <w:rPr>
          <w:sz w:val="20"/>
        </w:rPr>
        <w:t>should</w:t>
      </w:r>
      <w:r>
        <w:rPr>
          <w:spacing w:val="-6"/>
          <w:sz w:val="20"/>
        </w:rPr>
        <w:t> </w:t>
      </w:r>
      <w:r>
        <w:rPr>
          <w:sz w:val="20"/>
        </w:rPr>
        <w:t>contact</w:t>
      </w:r>
      <w:r>
        <w:rPr>
          <w:spacing w:val="-7"/>
          <w:sz w:val="20"/>
        </w:rPr>
        <w:t> </w:t>
      </w:r>
      <w:r>
        <w:rPr>
          <w:sz w:val="20"/>
        </w:rPr>
        <w:t>a</w:t>
      </w:r>
      <w:r>
        <w:rPr>
          <w:spacing w:val="-7"/>
          <w:sz w:val="20"/>
        </w:rPr>
        <w:t> </w:t>
      </w:r>
      <w:r>
        <w:rPr>
          <w:sz w:val="20"/>
        </w:rPr>
        <w:t>potential</w:t>
      </w:r>
      <w:r>
        <w:rPr>
          <w:spacing w:val="-6"/>
          <w:sz w:val="20"/>
        </w:rPr>
        <w:t> </w:t>
      </w:r>
      <w:r>
        <w:rPr>
          <w:sz w:val="20"/>
        </w:rPr>
        <w:t>juror</w:t>
      </w:r>
      <w:r>
        <w:rPr>
          <w:spacing w:val="-7"/>
          <w:sz w:val="20"/>
        </w:rPr>
        <w:t> </w:t>
      </w:r>
      <w:r>
        <w:rPr>
          <w:spacing w:val="-3"/>
          <w:sz w:val="20"/>
        </w:rPr>
        <w:t>from</w:t>
      </w:r>
      <w:r>
        <w:rPr>
          <w:spacing w:val="-7"/>
          <w:sz w:val="20"/>
        </w:rPr>
        <w:t> </w:t>
      </w:r>
      <w:r>
        <w:rPr>
          <w:sz w:val="20"/>
        </w:rPr>
        <w:t>the</w:t>
      </w:r>
      <w:r>
        <w:rPr>
          <w:spacing w:val="-6"/>
          <w:sz w:val="20"/>
        </w:rPr>
        <w:t> </w:t>
      </w:r>
      <w:r>
        <w:rPr>
          <w:sz w:val="20"/>
        </w:rPr>
        <w:t>subject</w:t>
      </w:r>
      <w:r>
        <w:rPr>
          <w:spacing w:val="-7"/>
          <w:sz w:val="20"/>
        </w:rPr>
        <w:t> </w:t>
      </w:r>
      <w:r>
        <w:rPr>
          <w:sz w:val="20"/>
        </w:rPr>
        <w:t>groups</w:t>
      </w:r>
      <w:r>
        <w:rPr>
          <w:spacing w:val="-7"/>
          <w:sz w:val="20"/>
        </w:rPr>
        <w:t> </w:t>
      </w:r>
      <w:r>
        <w:rPr>
          <w:sz w:val="20"/>
        </w:rPr>
        <w:t>to</w:t>
      </w:r>
      <w:r>
        <w:rPr>
          <w:spacing w:val="-6"/>
          <w:sz w:val="20"/>
        </w:rPr>
        <w:t> </w:t>
      </w:r>
      <w:r>
        <w:rPr>
          <w:sz w:val="20"/>
        </w:rPr>
        <w:t>discuss</w:t>
      </w:r>
      <w:r>
        <w:rPr>
          <w:spacing w:val="-7"/>
          <w:sz w:val="20"/>
        </w:rPr>
        <w:t> </w:t>
      </w:r>
      <w:r>
        <w:rPr>
          <w:sz w:val="20"/>
        </w:rPr>
        <w:t>their</w:t>
      </w:r>
    </w:p>
    <w:p>
      <w:pPr>
        <w:pStyle w:val="BodyText"/>
        <w:spacing w:line="259" w:lineRule="exact"/>
        <w:ind w:left="893"/>
      </w:pPr>
      <w:r>
        <w:rPr/>
        <w:t>needs and to offer a pre-empanelment visit to the court.</w:t>
      </w:r>
    </w:p>
    <w:p>
      <w:pPr>
        <w:pStyle w:val="ListParagraph"/>
        <w:numPr>
          <w:ilvl w:val="0"/>
          <w:numId w:val="10"/>
        </w:numPr>
        <w:tabs>
          <w:tab w:pos="893" w:val="left" w:leader="none"/>
          <w:tab w:pos="894" w:val="left" w:leader="none"/>
        </w:tabs>
        <w:spacing w:line="206" w:lineRule="auto" w:before="79" w:after="0"/>
        <w:ind w:left="893" w:right="1409" w:hanging="793"/>
        <w:jc w:val="left"/>
        <w:rPr>
          <w:sz w:val="20"/>
        </w:rPr>
      </w:pPr>
      <w:r>
        <w:rPr>
          <w:spacing w:val="-10"/>
          <w:sz w:val="20"/>
        </w:rPr>
        <w:t>To</w:t>
      </w:r>
      <w:r>
        <w:rPr>
          <w:spacing w:val="-9"/>
          <w:sz w:val="20"/>
        </w:rPr>
        <w:t> </w:t>
      </w:r>
      <w:r>
        <w:rPr>
          <w:sz w:val="20"/>
        </w:rPr>
        <w:t>assist</w:t>
      </w:r>
      <w:r>
        <w:rPr>
          <w:spacing w:val="-9"/>
          <w:sz w:val="20"/>
        </w:rPr>
        <w:t> </w:t>
      </w:r>
      <w:r>
        <w:rPr>
          <w:sz w:val="20"/>
        </w:rPr>
        <w:t>the</w:t>
      </w:r>
      <w:r>
        <w:rPr>
          <w:spacing w:val="-9"/>
          <w:sz w:val="20"/>
        </w:rPr>
        <w:t> </w:t>
      </w:r>
      <w:r>
        <w:rPr>
          <w:sz w:val="20"/>
        </w:rPr>
        <w:t>Juries</w:t>
      </w:r>
      <w:r>
        <w:rPr>
          <w:spacing w:val="-9"/>
          <w:sz w:val="20"/>
        </w:rPr>
        <w:t> </w:t>
      </w:r>
      <w:r>
        <w:rPr>
          <w:sz w:val="20"/>
        </w:rPr>
        <w:t>Commissioner</w:t>
      </w:r>
      <w:r>
        <w:rPr>
          <w:spacing w:val="-9"/>
          <w:sz w:val="20"/>
        </w:rPr>
        <w:t> </w:t>
      </w:r>
      <w:r>
        <w:rPr>
          <w:sz w:val="20"/>
        </w:rPr>
        <w:t>to</w:t>
      </w:r>
      <w:r>
        <w:rPr>
          <w:spacing w:val="-9"/>
          <w:sz w:val="20"/>
        </w:rPr>
        <w:t> </w:t>
      </w:r>
      <w:r>
        <w:rPr>
          <w:spacing w:val="-3"/>
          <w:sz w:val="20"/>
        </w:rPr>
        <w:t>make</w:t>
      </w:r>
      <w:r>
        <w:rPr>
          <w:spacing w:val="-9"/>
          <w:sz w:val="20"/>
        </w:rPr>
        <w:t> </w:t>
      </w:r>
      <w:r>
        <w:rPr>
          <w:sz w:val="20"/>
        </w:rPr>
        <w:t>a</w:t>
      </w:r>
      <w:r>
        <w:rPr>
          <w:spacing w:val="-8"/>
          <w:sz w:val="20"/>
        </w:rPr>
        <w:t> </w:t>
      </w:r>
      <w:r>
        <w:rPr>
          <w:sz w:val="20"/>
        </w:rPr>
        <w:t>recommendation</w:t>
      </w:r>
      <w:r>
        <w:rPr>
          <w:spacing w:val="-9"/>
          <w:sz w:val="20"/>
        </w:rPr>
        <w:t> </w:t>
      </w:r>
      <w:r>
        <w:rPr>
          <w:sz w:val="20"/>
        </w:rPr>
        <w:t>to</w:t>
      </w:r>
      <w:r>
        <w:rPr>
          <w:spacing w:val="-9"/>
          <w:sz w:val="20"/>
        </w:rPr>
        <w:t> </w:t>
      </w:r>
      <w:r>
        <w:rPr>
          <w:sz w:val="20"/>
        </w:rPr>
        <w:t>the</w:t>
      </w:r>
      <w:r>
        <w:rPr>
          <w:spacing w:val="-9"/>
          <w:sz w:val="20"/>
        </w:rPr>
        <w:t> </w:t>
      </w:r>
      <w:r>
        <w:rPr>
          <w:sz w:val="20"/>
        </w:rPr>
        <w:t>court</w:t>
      </w:r>
      <w:r>
        <w:rPr>
          <w:spacing w:val="-9"/>
          <w:sz w:val="20"/>
        </w:rPr>
        <w:t> </w:t>
      </w:r>
      <w:r>
        <w:rPr>
          <w:sz w:val="20"/>
        </w:rPr>
        <w:t>about</w:t>
      </w:r>
      <w:r>
        <w:rPr>
          <w:spacing w:val="-9"/>
          <w:sz w:val="20"/>
        </w:rPr>
        <w:t> </w:t>
      </w:r>
      <w:r>
        <w:rPr>
          <w:sz w:val="20"/>
        </w:rPr>
        <w:t>the </w:t>
      </w:r>
      <w:r>
        <w:rPr>
          <w:spacing w:val="-3"/>
          <w:sz w:val="20"/>
        </w:rPr>
        <w:t>provision </w:t>
      </w:r>
      <w:r>
        <w:rPr>
          <w:sz w:val="20"/>
        </w:rPr>
        <w:t>of reasonable adjustments, </w:t>
      </w:r>
      <w:r>
        <w:rPr>
          <w:spacing w:val="-3"/>
          <w:sz w:val="20"/>
        </w:rPr>
        <w:t>judges’ </w:t>
      </w:r>
      <w:r>
        <w:rPr>
          <w:sz w:val="20"/>
        </w:rPr>
        <w:t>chambers shall </w:t>
      </w:r>
      <w:r>
        <w:rPr>
          <w:spacing w:val="-3"/>
          <w:sz w:val="20"/>
        </w:rPr>
        <w:t>provide </w:t>
      </w:r>
      <w:r>
        <w:rPr>
          <w:sz w:val="20"/>
        </w:rPr>
        <w:t>Juries Victoria with</w:t>
      </w:r>
      <w:r>
        <w:rPr>
          <w:spacing w:val="-13"/>
          <w:sz w:val="20"/>
        </w:rPr>
        <w:t> </w:t>
      </w:r>
      <w:r>
        <w:rPr>
          <w:sz w:val="20"/>
        </w:rPr>
        <w:t>additional</w:t>
      </w:r>
      <w:r>
        <w:rPr>
          <w:spacing w:val="-13"/>
          <w:sz w:val="20"/>
        </w:rPr>
        <w:t> </w:t>
      </w:r>
      <w:r>
        <w:rPr>
          <w:sz w:val="20"/>
        </w:rPr>
        <w:t>information</w:t>
      </w:r>
      <w:r>
        <w:rPr>
          <w:spacing w:val="-13"/>
          <w:sz w:val="20"/>
        </w:rPr>
        <w:t> </w:t>
      </w:r>
      <w:r>
        <w:rPr>
          <w:sz w:val="20"/>
        </w:rPr>
        <w:t>about</w:t>
      </w:r>
      <w:r>
        <w:rPr>
          <w:spacing w:val="-13"/>
          <w:sz w:val="20"/>
        </w:rPr>
        <w:t> </w:t>
      </w:r>
      <w:r>
        <w:rPr>
          <w:sz w:val="20"/>
        </w:rPr>
        <w:t>evidence</w:t>
      </w:r>
      <w:r>
        <w:rPr>
          <w:spacing w:val="-13"/>
          <w:sz w:val="20"/>
        </w:rPr>
        <w:t> </w:t>
      </w:r>
      <w:r>
        <w:rPr>
          <w:sz w:val="20"/>
        </w:rPr>
        <w:t>that</w:t>
      </w:r>
      <w:r>
        <w:rPr>
          <w:spacing w:val="-12"/>
          <w:sz w:val="20"/>
        </w:rPr>
        <w:t> </w:t>
      </w:r>
      <w:r>
        <w:rPr>
          <w:sz w:val="20"/>
        </w:rPr>
        <w:t>is</w:t>
      </w:r>
      <w:r>
        <w:rPr>
          <w:spacing w:val="-13"/>
          <w:sz w:val="20"/>
        </w:rPr>
        <w:t> </w:t>
      </w:r>
      <w:r>
        <w:rPr>
          <w:spacing w:val="-3"/>
          <w:sz w:val="20"/>
        </w:rPr>
        <w:t>likely</w:t>
      </w:r>
      <w:r>
        <w:rPr>
          <w:spacing w:val="-13"/>
          <w:sz w:val="20"/>
        </w:rPr>
        <w:t> </w:t>
      </w:r>
      <w:r>
        <w:rPr>
          <w:sz w:val="20"/>
        </w:rPr>
        <w:t>to</w:t>
      </w:r>
      <w:r>
        <w:rPr>
          <w:spacing w:val="-13"/>
          <w:sz w:val="20"/>
        </w:rPr>
        <w:t> </w:t>
      </w:r>
      <w:r>
        <w:rPr>
          <w:sz w:val="20"/>
        </w:rPr>
        <w:t>be</w:t>
      </w:r>
      <w:r>
        <w:rPr>
          <w:spacing w:val="-13"/>
          <w:sz w:val="20"/>
        </w:rPr>
        <w:t> </w:t>
      </w:r>
      <w:r>
        <w:rPr>
          <w:sz w:val="20"/>
        </w:rPr>
        <w:t>material</w:t>
      </w:r>
      <w:r>
        <w:rPr>
          <w:spacing w:val="-13"/>
          <w:sz w:val="20"/>
        </w:rPr>
        <w:t> </w:t>
      </w:r>
      <w:r>
        <w:rPr>
          <w:sz w:val="20"/>
        </w:rPr>
        <w:t>to</w:t>
      </w:r>
      <w:r>
        <w:rPr>
          <w:spacing w:val="-12"/>
          <w:sz w:val="20"/>
        </w:rPr>
        <w:t> </w:t>
      </w:r>
      <w:r>
        <w:rPr>
          <w:sz w:val="20"/>
        </w:rPr>
        <w:t>the</w:t>
      </w:r>
      <w:r>
        <w:rPr>
          <w:spacing w:val="-13"/>
          <w:sz w:val="20"/>
        </w:rPr>
        <w:t> </w:t>
      </w:r>
      <w:r>
        <w:rPr>
          <w:sz w:val="20"/>
        </w:rPr>
        <w:t>outcome of</w:t>
      </w:r>
      <w:r>
        <w:rPr>
          <w:spacing w:val="-9"/>
          <w:sz w:val="20"/>
        </w:rPr>
        <w:t> </w:t>
      </w:r>
      <w:r>
        <w:rPr>
          <w:sz w:val="20"/>
        </w:rPr>
        <w:t>the</w:t>
      </w:r>
      <w:r>
        <w:rPr>
          <w:spacing w:val="-9"/>
          <w:sz w:val="20"/>
        </w:rPr>
        <w:t> </w:t>
      </w:r>
      <w:r>
        <w:rPr>
          <w:sz w:val="20"/>
        </w:rPr>
        <w:t>trial</w:t>
      </w:r>
      <w:r>
        <w:rPr>
          <w:spacing w:val="-8"/>
          <w:sz w:val="20"/>
        </w:rPr>
        <w:t> </w:t>
      </w:r>
      <w:r>
        <w:rPr>
          <w:sz w:val="20"/>
        </w:rPr>
        <w:t>that</w:t>
      </w:r>
      <w:r>
        <w:rPr>
          <w:spacing w:val="-9"/>
          <w:sz w:val="20"/>
        </w:rPr>
        <w:t> </w:t>
      </w:r>
      <w:r>
        <w:rPr>
          <w:sz w:val="20"/>
        </w:rPr>
        <w:t>might</w:t>
      </w:r>
      <w:r>
        <w:rPr>
          <w:spacing w:val="-8"/>
          <w:sz w:val="20"/>
        </w:rPr>
        <w:t> </w:t>
      </w:r>
      <w:r>
        <w:rPr>
          <w:spacing w:val="-3"/>
          <w:sz w:val="20"/>
        </w:rPr>
        <w:t>make</w:t>
      </w:r>
      <w:r>
        <w:rPr>
          <w:spacing w:val="-9"/>
          <w:sz w:val="20"/>
        </w:rPr>
        <w:t> </w:t>
      </w:r>
      <w:r>
        <w:rPr>
          <w:sz w:val="20"/>
        </w:rPr>
        <w:t>it</w:t>
      </w:r>
      <w:r>
        <w:rPr>
          <w:spacing w:val="-8"/>
          <w:sz w:val="20"/>
        </w:rPr>
        <w:t> </w:t>
      </w:r>
      <w:r>
        <w:rPr>
          <w:sz w:val="20"/>
        </w:rPr>
        <w:t>difficult</w:t>
      </w:r>
      <w:r>
        <w:rPr>
          <w:spacing w:val="-9"/>
          <w:sz w:val="20"/>
        </w:rPr>
        <w:t> </w:t>
      </w:r>
      <w:r>
        <w:rPr>
          <w:sz w:val="20"/>
        </w:rPr>
        <w:t>for</w:t>
      </w:r>
      <w:r>
        <w:rPr>
          <w:spacing w:val="-8"/>
          <w:sz w:val="20"/>
        </w:rPr>
        <w:t> </w:t>
      </w:r>
      <w:r>
        <w:rPr>
          <w:sz w:val="20"/>
        </w:rPr>
        <w:t>the</w:t>
      </w:r>
      <w:r>
        <w:rPr>
          <w:spacing w:val="-9"/>
          <w:sz w:val="20"/>
        </w:rPr>
        <w:t> </w:t>
      </w:r>
      <w:r>
        <w:rPr>
          <w:sz w:val="20"/>
        </w:rPr>
        <w:t>potential</w:t>
      </w:r>
      <w:r>
        <w:rPr>
          <w:spacing w:val="-9"/>
          <w:sz w:val="20"/>
        </w:rPr>
        <w:t> </w:t>
      </w:r>
      <w:r>
        <w:rPr>
          <w:sz w:val="20"/>
        </w:rPr>
        <w:t>juror</w:t>
      </w:r>
      <w:r>
        <w:rPr>
          <w:spacing w:val="-8"/>
          <w:sz w:val="20"/>
        </w:rPr>
        <w:t> </w:t>
      </w:r>
      <w:r>
        <w:rPr>
          <w:sz w:val="20"/>
        </w:rPr>
        <w:t>to</w:t>
      </w:r>
      <w:r>
        <w:rPr>
          <w:spacing w:val="-9"/>
          <w:sz w:val="20"/>
        </w:rPr>
        <w:t> </w:t>
      </w:r>
      <w:r>
        <w:rPr>
          <w:sz w:val="20"/>
        </w:rPr>
        <w:t>serve</w:t>
      </w:r>
      <w:r>
        <w:rPr>
          <w:spacing w:val="-8"/>
          <w:sz w:val="20"/>
        </w:rPr>
        <w:t> </w:t>
      </w:r>
      <w:r>
        <w:rPr>
          <w:sz w:val="20"/>
        </w:rPr>
        <w:t>on</w:t>
      </w:r>
      <w:r>
        <w:rPr>
          <w:spacing w:val="-9"/>
          <w:sz w:val="20"/>
        </w:rPr>
        <w:t> </w:t>
      </w:r>
      <w:r>
        <w:rPr>
          <w:sz w:val="20"/>
        </w:rPr>
        <w:t>that</w:t>
      </w:r>
      <w:r>
        <w:rPr>
          <w:spacing w:val="-8"/>
          <w:sz w:val="20"/>
        </w:rPr>
        <w:t> </w:t>
      </w:r>
      <w:r>
        <w:rPr>
          <w:sz w:val="20"/>
        </w:rPr>
        <w:t>trial.</w:t>
      </w:r>
    </w:p>
    <w:p>
      <w:pPr>
        <w:pStyle w:val="ListParagraph"/>
        <w:numPr>
          <w:ilvl w:val="0"/>
          <w:numId w:val="10"/>
        </w:numPr>
        <w:tabs>
          <w:tab w:pos="893" w:val="left" w:leader="none"/>
          <w:tab w:pos="894" w:val="left" w:leader="none"/>
        </w:tabs>
        <w:spacing w:line="206" w:lineRule="auto" w:before="91" w:after="0"/>
        <w:ind w:left="893" w:right="1750" w:hanging="793"/>
        <w:jc w:val="left"/>
        <w:rPr>
          <w:sz w:val="20"/>
        </w:rPr>
      </w:pPr>
      <w:r>
        <w:rPr>
          <w:sz w:val="20"/>
        </w:rPr>
        <w:t>The Juries Commissioner must </w:t>
      </w:r>
      <w:r>
        <w:rPr>
          <w:spacing w:val="-3"/>
          <w:sz w:val="20"/>
        </w:rPr>
        <w:t>make </w:t>
      </w:r>
      <w:r>
        <w:rPr>
          <w:sz w:val="20"/>
        </w:rPr>
        <w:t>a recommendation to the Court about the </w:t>
      </w:r>
      <w:r>
        <w:rPr>
          <w:spacing w:val="-3"/>
          <w:sz w:val="20"/>
        </w:rPr>
        <w:t>provision </w:t>
      </w:r>
      <w:r>
        <w:rPr>
          <w:sz w:val="20"/>
        </w:rPr>
        <w:t>of reasonable adjustments. This should be done as </w:t>
      </w:r>
      <w:r>
        <w:rPr>
          <w:spacing w:val="-3"/>
          <w:sz w:val="20"/>
        </w:rPr>
        <w:t>early </w:t>
      </w:r>
      <w:r>
        <w:rPr>
          <w:sz w:val="20"/>
        </w:rPr>
        <w:t>as possible, </w:t>
      </w:r>
      <w:r>
        <w:rPr>
          <w:spacing w:val="-3"/>
          <w:sz w:val="20"/>
        </w:rPr>
        <w:t>preferably</w:t>
      </w:r>
      <w:r>
        <w:rPr>
          <w:spacing w:val="-8"/>
          <w:sz w:val="20"/>
        </w:rPr>
        <w:t> </w:t>
      </w:r>
      <w:r>
        <w:rPr>
          <w:spacing w:val="-3"/>
          <w:sz w:val="20"/>
        </w:rPr>
        <w:t>before</w:t>
      </w:r>
      <w:r>
        <w:rPr>
          <w:spacing w:val="-7"/>
          <w:sz w:val="20"/>
        </w:rPr>
        <w:t> </w:t>
      </w:r>
      <w:r>
        <w:rPr>
          <w:sz w:val="20"/>
        </w:rPr>
        <w:t>the</w:t>
      </w:r>
      <w:r>
        <w:rPr>
          <w:spacing w:val="-7"/>
          <w:sz w:val="20"/>
        </w:rPr>
        <w:t> </w:t>
      </w:r>
      <w:r>
        <w:rPr>
          <w:spacing w:val="-3"/>
          <w:sz w:val="20"/>
        </w:rPr>
        <w:t>date</w:t>
      </w:r>
      <w:r>
        <w:rPr>
          <w:spacing w:val="-7"/>
          <w:sz w:val="20"/>
        </w:rPr>
        <w:t> </w:t>
      </w:r>
      <w:r>
        <w:rPr>
          <w:sz w:val="20"/>
        </w:rPr>
        <w:t>the</w:t>
      </w:r>
      <w:r>
        <w:rPr>
          <w:spacing w:val="-7"/>
          <w:sz w:val="20"/>
        </w:rPr>
        <w:t> </w:t>
      </w:r>
      <w:r>
        <w:rPr>
          <w:sz w:val="20"/>
        </w:rPr>
        <w:t>juror</w:t>
      </w:r>
      <w:r>
        <w:rPr>
          <w:spacing w:val="-7"/>
          <w:sz w:val="20"/>
        </w:rPr>
        <w:t> </w:t>
      </w:r>
      <w:r>
        <w:rPr>
          <w:sz w:val="20"/>
        </w:rPr>
        <w:t>is</w:t>
      </w:r>
      <w:r>
        <w:rPr>
          <w:spacing w:val="-7"/>
          <w:sz w:val="20"/>
        </w:rPr>
        <w:t> </w:t>
      </w:r>
      <w:r>
        <w:rPr>
          <w:spacing w:val="-3"/>
          <w:sz w:val="20"/>
        </w:rPr>
        <w:t>required</w:t>
      </w:r>
      <w:r>
        <w:rPr>
          <w:spacing w:val="-7"/>
          <w:sz w:val="20"/>
        </w:rPr>
        <w:t> </w:t>
      </w:r>
      <w:r>
        <w:rPr>
          <w:sz w:val="20"/>
        </w:rPr>
        <w:t>to</w:t>
      </w:r>
      <w:r>
        <w:rPr>
          <w:spacing w:val="-7"/>
          <w:sz w:val="20"/>
        </w:rPr>
        <w:t> </w:t>
      </w:r>
      <w:r>
        <w:rPr>
          <w:sz w:val="20"/>
        </w:rPr>
        <w:t>attend</w:t>
      </w:r>
      <w:r>
        <w:rPr>
          <w:spacing w:val="-7"/>
          <w:sz w:val="20"/>
        </w:rPr>
        <w:t> </w:t>
      </w:r>
      <w:r>
        <w:rPr>
          <w:sz w:val="20"/>
        </w:rPr>
        <w:t>court</w:t>
      </w:r>
      <w:r>
        <w:rPr>
          <w:spacing w:val="-7"/>
          <w:sz w:val="20"/>
        </w:rPr>
        <w:t> </w:t>
      </w:r>
      <w:r>
        <w:rPr>
          <w:sz w:val="20"/>
        </w:rPr>
        <w:t>in</w:t>
      </w:r>
      <w:r>
        <w:rPr>
          <w:spacing w:val="-7"/>
          <w:sz w:val="20"/>
        </w:rPr>
        <w:t> </w:t>
      </w:r>
      <w:r>
        <w:rPr>
          <w:sz w:val="20"/>
        </w:rPr>
        <w:t>response</w:t>
      </w:r>
      <w:r>
        <w:rPr>
          <w:spacing w:val="-7"/>
          <w:sz w:val="20"/>
        </w:rPr>
        <w:t> </w:t>
      </w:r>
      <w:r>
        <w:rPr>
          <w:sz w:val="20"/>
        </w:rPr>
        <w:t>to</w:t>
      </w:r>
      <w:r>
        <w:rPr>
          <w:spacing w:val="-7"/>
          <w:sz w:val="20"/>
        </w:rPr>
        <w:t> </w:t>
      </w:r>
      <w:r>
        <w:rPr>
          <w:sz w:val="20"/>
        </w:rPr>
        <w:t>their summons.</w:t>
      </w:r>
    </w:p>
    <w:p>
      <w:pPr>
        <w:pStyle w:val="ListParagraph"/>
        <w:numPr>
          <w:ilvl w:val="0"/>
          <w:numId w:val="10"/>
        </w:numPr>
        <w:tabs>
          <w:tab w:pos="893" w:val="left" w:leader="none"/>
          <w:tab w:pos="894" w:val="left" w:leader="none"/>
        </w:tabs>
        <w:spacing w:line="206" w:lineRule="auto" w:before="90" w:after="0"/>
        <w:ind w:left="893" w:right="1750" w:hanging="793"/>
        <w:jc w:val="left"/>
        <w:rPr>
          <w:sz w:val="20"/>
        </w:rPr>
      </w:pPr>
      <w:r>
        <w:rPr>
          <w:sz w:val="20"/>
        </w:rPr>
        <w:t>The</w:t>
      </w:r>
      <w:r>
        <w:rPr>
          <w:spacing w:val="-9"/>
          <w:sz w:val="20"/>
        </w:rPr>
        <w:t> </w:t>
      </w:r>
      <w:r>
        <w:rPr>
          <w:sz w:val="20"/>
        </w:rPr>
        <w:t>Juries</w:t>
      </w:r>
      <w:r>
        <w:rPr>
          <w:spacing w:val="-8"/>
          <w:sz w:val="20"/>
        </w:rPr>
        <w:t> </w:t>
      </w:r>
      <w:r>
        <w:rPr>
          <w:spacing w:val="-2"/>
          <w:sz w:val="20"/>
        </w:rPr>
        <w:t>Act</w:t>
      </w:r>
      <w:r>
        <w:rPr>
          <w:spacing w:val="-8"/>
          <w:sz w:val="20"/>
        </w:rPr>
        <w:t> </w:t>
      </w:r>
      <w:r>
        <w:rPr>
          <w:sz w:val="20"/>
        </w:rPr>
        <w:t>should</w:t>
      </w:r>
      <w:r>
        <w:rPr>
          <w:spacing w:val="-8"/>
          <w:sz w:val="20"/>
        </w:rPr>
        <w:t> </w:t>
      </w:r>
      <w:r>
        <w:rPr>
          <w:sz w:val="20"/>
        </w:rPr>
        <w:t>be</w:t>
      </w:r>
      <w:r>
        <w:rPr>
          <w:spacing w:val="-8"/>
          <w:sz w:val="20"/>
        </w:rPr>
        <w:t> </w:t>
      </w:r>
      <w:r>
        <w:rPr>
          <w:sz w:val="20"/>
        </w:rPr>
        <w:t>amended</w:t>
      </w:r>
      <w:r>
        <w:rPr>
          <w:spacing w:val="-8"/>
          <w:sz w:val="20"/>
        </w:rPr>
        <w:t> </w:t>
      </w:r>
      <w:r>
        <w:rPr>
          <w:sz w:val="20"/>
        </w:rPr>
        <w:t>to</w:t>
      </w:r>
      <w:r>
        <w:rPr>
          <w:spacing w:val="-8"/>
          <w:sz w:val="20"/>
        </w:rPr>
        <w:t> </w:t>
      </w:r>
      <w:r>
        <w:rPr>
          <w:spacing w:val="-3"/>
          <w:sz w:val="20"/>
        </w:rPr>
        <w:t>give</w:t>
      </w:r>
      <w:r>
        <w:rPr>
          <w:spacing w:val="-8"/>
          <w:sz w:val="20"/>
        </w:rPr>
        <w:t> </w:t>
      </w:r>
      <w:r>
        <w:rPr>
          <w:sz w:val="20"/>
        </w:rPr>
        <w:t>the</w:t>
      </w:r>
      <w:r>
        <w:rPr>
          <w:spacing w:val="-8"/>
          <w:sz w:val="20"/>
        </w:rPr>
        <w:t> </w:t>
      </w:r>
      <w:r>
        <w:rPr>
          <w:sz w:val="20"/>
        </w:rPr>
        <w:t>Juries</w:t>
      </w:r>
      <w:r>
        <w:rPr>
          <w:spacing w:val="-8"/>
          <w:sz w:val="20"/>
        </w:rPr>
        <w:t> </w:t>
      </w:r>
      <w:r>
        <w:rPr>
          <w:sz w:val="20"/>
        </w:rPr>
        <w:t>Commissioner</w:t>
      </w:r>
      <w:r>
        <w:rPr>
          <w:spacing w:val="-8"/>
          <w:sz w:val="20"/>
        </w:rPr>
        <w:t> </w:t>
      </w:r>
      <w:r>
        <w:rPr>
          <w:sz w:val="20"/>
        </w:rPr>
        <w:t>a</w:t>
      </w:r>
      <w:r>
        <w:rPr>
          <w:spacing w:val="-8"/>
          <w:sz w:val="20"/>
        </w:rPr>
        <w:t> </w:t>
      </w:r>
      <w:r>
        <w:rPr>
          <w:sz w:val="20"/>
        </w:rPr>
        <w:t>new</w:t>
      </w:r>
      <w:r>
        <w:rPr>
          <w:spacing w:val="-8"/>
          <w:sz w:val="20"/>
        </w:rPr>
        <w:t> </w:t>
      </w:r>
      <w:r>
        <w:rPr>
          <w:spacing w:val="-3"/>
          <w:sz w:val="20"/>
        </w:rPr>
        <w:t>power </w:t>
      </w:r>
      <w:r>
        <w:rPr>
          <w:sz w:val="20"/>
        </w:rPr>
        <w:t>to hold a person out of a ballot for a panel for a trial if the Juries Commissioner determines</w:t>
      </w:r>
      <w:r>
        <w:rPr>
          <w:spacing w:val="-12"/>
          <w:sz w:val="20"/>
        </w:rPr>
        <w:t> </w:t>
      </w:r>
      <w:r>
        <w:rPr>
          <w:sz w:val="20"/>
        </w:rPr>
        <w:t>that</w:t>
      </w:r>
      <w:r>
        <w:rPr>
          <w:spacing w:val="-12"/>
          <w:sz w:val="20"/>
        </w:rPr>
        <w:t> </w:t>
      </w:r>
      <w:r>
        <w:rPr>
          <w:sz w:val="20"/>
        </w:rPr>
        <w:t>the</w:t>
      </w:r>
      <w:r>
        <w:rPr>
          <w:spacing w:val="-11"/>
          <w:sz w:val="20"/>
        </w:rPr>
        <w:t> </w:t>
      </w:r>
      <w:r>
        <w:rPr>
          <w:sz w:val="20"/>
        </w:rPr>
        <w:t>trial</w:t>
      </w:r>
      <w:r>
        <w:rPr>
          <w:spacing w:val="-12"/>
          <w:sz w:val="20"/>
        </w:rPr>
        <w:t> </w:t>
      </w:r>
      <w:r>
        <w:rPr>
          <w:sz w:val="20"/>
        </w:rPr>
        <w:t>is</w:t>
      </w:r>
      <w:r>
        <w:rPr>
          <w:spacing w:val="-11"/>
          <w:sz w:val="20"/>
        </w:rPr>
        <w:t> </w:t>
      </w:r>
      <w:r>
        <w:rPr>
          <w:sz w:val="20"/>
        </w:rPr>
        <w:t>not</w:t>
      </w:r>
      <w:r>
        <w:rPr>
          <w:spacing w:val="-12"/>
          <w:sz w:val="20"/>
        </w:rPr>
        <w:t> </w:t>
      </w:r>
      <w:r>
        <w:rPr>
          <w:sz w:val="20"/>
        </w:rPr>
        <w:t>suitable</w:t>
      </w:r>
      <w:r>
        <w:rPr>
          <w:spacing w:val="-11"/>
          <w:sz w:val="20"/>
        </w:rPr>
        <w:t> </w:t>
      </w:r>
      <w:r>
        <w:rPr>
          <w:sz w:val="20"/>
        </w:rPr>
        <w:t>for</w:t>
      </w:r>
      <w:r>
        <w:rPr>
          <w:spacing w:val="-12"/>
          <w:sz w:val="20"/>
        </w:rPr>
        <w:t> </w:t>
      </w:r>
      <w:r>
        <w:rPr>
          <w:sz w:val="20"/>
        </w:rPr>
        <w:t>the</w:t>
      </w:r>
      <w:r>
        <w:rPr>
          <w:spacing w:val="-11"/>
          <w:sz w:val="20"/>
        </w:rPr>
        <w:t> </w:t>
      </w:r>
      <w:r>
        <w:rPr>
          <w:sz w:val="20"/>
        </w:rPr>
        <w:t>potential</w:t>
      </w:r>
      <w:r>
        <w:rPr>
          <w:spacing w:val="-12"/>
          <w:sz w:val="20"/>
        </w:rPr>
        <w:t> </w:t>
      </w:r>
      <w:r>
        <w:rPr>
          <w:spacing w:val="-4"/>
          <w:sz w:val="20"/>
        </w:rPr>
        <w:t>juror.</w:t>
      </w:r>
      <w:r>
        <w:rPr>
          <w:spacing w:val="-12"/>
          <w:sz w:val="20"/>
        </w:rPr>
        <w:t> </w:t>
      </w:r>
      <w:r>
        <w:rPr>
          <w:sz w:val="20"/>
        </w:rPr>
        <w:t>This</w:t>
      </w:r>
      <w:r>
        <w:rPr>
          <w:spacing w:val="-11"/>
          <w:sz w:val="20"/>
        </w:rPr>
        <w:t> </w:t>
      </w:r>
      <w:r>
        <w:rPr>
          <w:sz w:val="20"/>
        </w:rPr>
        <w:t>decision</w:t>
      </w:r>
      <w:r>
        <w:rPr>
          <w:spacing w:val="-12"/>
          <w:sz w:val="20"/>
        </w:rPr>
        <w:t> </w:t>
      </w:r>
      <w:r>
        <w:rPr>
          <w:sz w:val="20"/>
        </w:rPr>
        <w:t>should be</w:t>
      </w:r>
      <w:r>
        <w:rPr>
          <w:spacing w:val="-9"/>
          <w:sz w:val="20"/>
        </w:rPr>
        <w:t> </w:t>
      </w:r>
      <w:r>
        <w:rPr>
          <w:sz w:val="20"/>
        </w:rPr>
        <w:t>appealable</w:t>
      </w:r>
      <w:r>
        <w:rPr>
          <w:spacing w:val="-8"/>
          <w:sz w:val="20"/>
        </w:rPr>
        <w:t> </w:t>
      </w:r>
      <w:r>
        <w:rPr>
          <w:sz w:val="20"/>
        </w:rPr>
        <w:t>under</w:t>
      </w:r>
      <w:r>
        <w:rPr>
          <w:spacing w:val="-8"/>
          <w:sz w:val="20"/>
        </w:rPr>
        <w:t> </w:t>
      </w:r>
      <w:r>
        <w:rPr>
          <w:sz w:val="20"/>
        </w:rPr>
        <w:t>section</w:t>
      </w:r>
      <w:r>
        <w:rPr>
          <w:spacing w:val="-8"/>
          <w:sz w:val="20"/>
        </w:rPr>
        <w:t> </w:t>
      </w:r>
      <w:r>
        <w:rPr>
          <w:spacing w:val="-3"/>
          <w:sz w:val="20"/>
        </w:rPr>
        <w:t>10</w:t>
      </w:r>
      <w:r>
        <w:rPr>
          <w:spacing w:val="-8"/>
          <w:sz w:val="20"/>
        </w:rPr>
        <w:t> </w:t>
      </w:r>
      <w:r>
        <w:rPr>
          <w:sz w:val="20"/>
        </w:rPr>
        <w:t>of</w:t>
      </w:r>
      <w:r>
        <w:rPr>
          <w:spacing w:val="-8"/>
          <w:sz w:val="20"/>
        </w:rPr>
        <w:t> </w:t>
      </w:r>
      <w:r>
        <w:rPr>
          <w:sz w:val="20"/>
        </w:rPr>
        <w:t>the</w:t>
      </w:r>
      <w:r>
        <w:rPr>
          <w:spacing w:val="-8"/>
          <w:sz w:val="20"/>
        </w:rPr>
        <w:t> </w:t>
      </w:r>
      <w:r>
        <w:rPr>
          <w:sz w:val="20"/>
        </w:rPr>
        <w:t>Juries</w:t>
      </w:r>
      <w:r>
        <w:rPr>
          <w:spacing w:val="-8"/>
          <w:sz w:val="20"/>
        </w:rPr>
        <w:t> </w:t>
      </w:r>
      <w:r>
        <w:rPr>
          <w:spacing w:val="-2"/>
          <w:sz w:val="20"/>
        </w:rPr>
        <w:t>Act</w:t>
      </w:r>
      <w:r>
        <w:rPr>
          <w:spacing w:val="-8"/>
          <w:sz w:val="20"/>
        </w:rPr>
        <w:t> </w:t>
      </w:r>
      <w:r>
        <w:rPr>
          <w:sz w:val="20"/>
        </w:rPr>
        <w:t>to</w:t>
      </w:r>
      <w:r>
        <w:rPr>
          <w:spacing w:val="-8"/>
          <w:sz w:val="20"/>
        </w:rPr>
        <w:t> </w:t>
      </w:r>
      <w:r>
        <w:rPr>
          <w:sz w:val="20"/>
        </w:rPr>
        <w:t>either</w:t>
      </w:r>
      <w:r>
        <w:rPr>
          <w:spacing w:val="-8"/>
          <w:sz w:val="20"/>
        </w:rPr>
        <w:t> </w:t>
      </w:r>
      <w:r>
        <w:rPr>
          <w:sz w:val="20"/>
        </w:rPr>
        <w:t>the</w:t>
      </w:r>
      <w:r>
        <w:rPr>
          <w:spacing w:val="-9"/>
          <w:sz w:val="20"/>
        </w:rPr>
        <w:t> </w:t>
      </w:r>
      <w:r>
        <w:rPr>
          <w:sz w:val="20"/>
        </w:rPr>
        <w:t>County</w:t>
      </w:r>
      <w:r>
        <w:rPr>
          <w:spacing w:val="-8"/>
          <w:sz w:val="20"/>
        </w:rPr>
        <w:t> </w:t>
      </w:r>
      <w:r>
        <w:rPr>
          <w:sz w:val="20"/>
        </w:rPr>
        <w:t>Court</w:t>
      </w:r>
      <w:r>
        <w:rPr>
          <w:spacing w:val="-8"/>
          <w:sz w:val="20"/>
        </w:rPr>
        <w:t> </w:t>
      </w:r>
      <w:r>
        <w:rPr>
          <w:sz w:val="20"/>
        </w:rPr>
        <w:t>or</w:t>
      </w:r>
      <w:r>
        <w:rPr>
          <w:spacing w:val="-8"/>
          <w:sz w:val="20"/>
        </w:rPr>
        <w:t> </w:t>
      </w:r>
      <w:r>
        <w:rPr>
          <w:sz w:val="20"/>
        </w:rPr>
        <w:t>the Supreme</w:t>
      </w:r>
      <w:r>
        <w:rPr>
          <w:spacing w:val="-5"/>
          <w:sz w:val="20"/>
        </w:rPr>
        <w:t> </w:t>
      </w:r>
      <w:r>
        <w:rPr>
          <w:sz w:val="20"/>
        </w:rPr>
        <w:t>Court.</w:t>
      </w:r>
    </w:p>
    <w:p>
      <w:pPr>
        <w:pStyle w:val="ListParagraph"/>
        <w:numPr>
          <w:ilvl w:val="0"/>
          <w:numId w:val="10"/>
        </w:numPr>
        <w:tabs>
          <w:tab w:pos="893" w:val="left" w:leader="none"/>
          <w:tab w:pos="894" w:val="left" w:leader="none"/>
        </w:tabs>
        <w:spacing w:line="259" w:lineRule="exact" w:before="59" w:after="0"/>
        <w:ind w:left="893" w:right="0" w:hanging="793"/>
        <w:jc w:val="left"/>
        <w:rPr>
          <w:sz w:val="20"/>
        </w:rPr>
      </w:pPr>
      <w:r>
        <w:rPr>
          <w:sz w:val="20"/>
        </w:rPr>
        <w:t>The</w:t>
      </w:r>
      <w:r>
        <w:rPr>
          <w:spacing w:val="-6"/>
          <w:sz w:val="20"/>
        </w:rPr>
        <w:t> </w:t>
      </w:r>
      <w:r>
        <w:rPr>
          <w:sz w:val="20"/>
        </w:rPr>
        <w:t>final</w:t>
      </w:r>
      <w:r>
        <w:rPr>
          <w:spacing w:val="-6"/>
          <w:sz w:val="20"/>
        </w:rPr>
        <w:t> </w:t>
      </w:r>
      <w:r>
        <w:rPr>
          <w:sz w:val="20"/>
        </w:rPr>
        <w:t>decision</w:t>
      </w:r>
      <w:r>
        <w:rPr>
          <w:spacing w:val="-6"/>
          <w:sz w:val="20"/>
        </w:rPr>
        <w:t> </w:t>
      </w:r>
      <w:r>
        <w:rPr>
          <w:sz w:val="20"/>
        </w:rPr>
        <w:t>about</w:t>
      </w:r>
      <w:r>
        <w:rPr>
          <w:spacing w:val="-5"/>
          <w:sz w:val="20"/>
        </w:rPr>
        <w:t> </w:t>
      </w:r>
      <w:r>
        <w:rPr>
          <w:sz w:val="20"/>
        </w:rPr>
        <w:t>whether</w:t>
      </w:r>
      <w:r>
        <w:rPr>
          <w:spacing w:val="-6"/>
          <w:sz w:val="20"/>
        </w:rPr>
        <w:t> </w:t>
      </w:r>
      <w:r>
        <w:rPr>
          <w:sz w:val="20"/>
        </w:rPr>
        <w:t>a</w:t>
      </w:r>
      <w:r>
        <w:rPr>
          <w:spacing w:val="-6"/>
          <w:sz w:val="20"/>
        </w:rPr>
        <w:t> </w:t>
      </w:r>
      <w:r>
        <w:rPr>
          <w:sz w:val="20"/>
        </w:rPr>
        <w:t>person</w:t>
      </w:r>
      <w:r>
        <w:rPr>
          <w:spacing w:val="-6"/>
          <w:sz w:val="20"/>
        </w:rPr>
        <w:t> </w:t>
      </w:r>
      <w:r>
        <w:rPr>
          <w:sz w:val="20"/>
        </w:rPr>
        <w:t>in</w:t>
      </w:r>
      <w:r>
        <w:rPr>
          <w:spacing w:val="-5"/>
          <w:sz w:val="20"/>
        </w:rPr>
        <w:t> </w:t>
      </w:r>
      <w:r>
        <w:rPr>
          <w:sz w:val="20"/>
        </w:rPr>
        <w:t>the</w:t>
      </w:r>
      <w:r>
        <w:rPr>
          <w:spacing w:val="-6"/>
          <w:sz w:val="20"/>
        </w:rPr>
        <w:t> </w:t>
      </w:r>
      <w:r>
        <w:rPr>
          <w:sz w:val="20"/>
        </w:rPr>
        <w:t>subject</w:t>
      </w:r>
      <w:r>
        <w:rPr>
          <w:spacing w:val="-6"/>
          <w:sz w:val="20"/>
        </w:rPr>
        <w:t> </w:t>
      </w:r>
      <w:r>
        <w:rPr>
          <w:sz w:val="20"/>
        </w:rPr>
        <w:t>groups</w:t>
      </w:r>
      <w:r>
        <w:rPr>
          <w:spacing w:val="-6"/>
          <w:sz w:val="20"/>
        </w:rPr>
        <w:t> </w:t>
      </w:r>
      <w:r>
        <w:rPr>
          <w:sz w:val="20"/>
        </w:rPr>
        <w:t>can</w:t>
      </w:r>
      <w:r>
        <w:rPr>
          <w:spacing w:val="-5"/>
          <w:sz w:val="20"/>
        </w:rPr>
        <w:t> </w:t>
      </w:r>
      <w:r>
        <w:rPr>
          <w:sz w:val="20"/>
        </w:rPr>
        <w:t>serve</w:t>
      </w:r>
      <w:r>
        <w:rPr>
          <w:spacing w:val="-6"/>
          <w:sz w:val="20"/>
        </w:rPr>
        <w:t> </w:t>
      </w:r>
      <w:r>
        <w:rPr>
          <w:sz w:val="20"/>
        </w:rPr>
        <w:t>on</w:t>
      </w:r>
      <w:r>
        <w:rPr>
          <w:spacing w:val="-6"/>
          <w:sz w:val="20"/>
        </w:rPr>
        <w:t> </w:t>
      </w:r>
      <w:r>
        <w:rPr>
          <w:sz w:val="20"/>
        </w:rPr>
        <w:t>a</w:t>
      </w:r>
      <w:r>
        <w:rPr>
          <w:spacing w:val="-6"/>
          <w:sz w:val="20"/>
        </w:rPr>
        <w:t> </w:t>
      </w:r>
      <w:r>
        <w:rPr>
          <w:sz w:val="20"/>
        </w:rPr>
        <w:t>jury</w:t>
      </w:r>
    </w:p>
    <w:p>
      <w:pPr>
        <w:pStyle w:val="BodyText"/>
        <w:spacing w:line="259" w:lineRule="exact"/>
        <w:ind w:left="893"/>
      </w:pPr>
      <w:r>
        <w:rPr/>
        <w:t>should be made by a trial judge on the day of empanelment.</w:t>
      </w:r>
    </w:p>
    <w:p>
      <w:pPr>
        <w:pStyle w:val="ListParagraph"/>
        <w:numPr>
          <w:ilvl w:val="0"/>
          <w:numId w:val="10"/>
        </w:numPr>
        <w:tabs>
          <w:tab w:pos="893" w:val="left" w:leader="none"/>
          <w:tab w:pos="894" w:val="left" w:leader="none"/>
        </w:tabs>
        <w:spacing w:line="206" w:lineRule="auto" w:before="79" w:after="0"/>
        <w:ind w:left="893" w:right="1405" w:hanging="793"/>
        <w:jc w:val="left"/>
        <w:rPr>
          <w:sz w:val="20"/>
        </w:rPr>
      </w:pPr>
      <w:r>
        <w:rPr>
          <w:sz w:val="20"/>
        </w:rPr>
        <w:t>The County and Supreme Courts should </w:t>
      </w:r>
      <w:r>
        <w:rPr>
          <w:spacing w:val="-3"/>
          <w:sz w:val="20"/>
        </w:rPr>
        <w:t>develop </w:t>
      </w:r>
      <w:r>
        <w:rPr>
          <w:sz w:val="20"/>
        </w:rPr>
        <w:t>guidance and suggested standard directions</w:t>
      </w:r>
      <w:r>
        <w:rPr>
          <w:spacing w:val="-11"/>
          <w:sz w:val="20"/>
        </w:rPr>
        <w:t> </w:t>
      </w:r>
      <w:r>
        <w:rPr>
          <w:sz w:val="20"/>
        </w:rPr>
        <w:t>to</w:t>
      </w:r>
      <w:r>
        <w:rPr>
          <w:spacing w:val="-10"/>
          <w:sz w:val="20"/>
        </w:rPr>
        <w:t> </w:t>
      </w:r>
      <w:r>
        <w:rPr>
          <w:sz w:val="20"/>
        </w:rPr>
        <w:t>use</w:t>
      </w:r>
      <w:r>
        <w:rPr>
          <w:spacing w:val="-10"/>
          <w:sz w:val="20"/>
        </w:rPr>
        <w:t> </w:t>
      </w:r>
      <w:r>
        <w:rPr>
          <w:sz w:val="20"/>
        </w:rPr>
        <w:t>at</w:t>
      </w:r>
      <w:r>
        <w:rPr>
          <w:spacing w:val="-10"/>
          <w:sz w:val="20"/>
        </w:rPr>
        <w:t> </w:t>
      </w:r>
      <w:r>
        <w:rPr>
          <w:sz w:val="20"/>
        </w:rPr>
        <w:t>the</w:t>
      </w:r>
      <w:r>
        <w:rPr>
          <w:spacing w:val="-10"/>
          <w:sz w:val="20"/>
        </w:rPr>
        <w:t> </w:t>
      </w:r>
      <w:r>
        <w:rPr>
          <w:sz w:val="20"/>
        </w:rPr>
        <w:t>time</w:t>
      </w:r>
      <w:r>
        <w:rPr>
          <w:spacing w:val="-10"/>
          <w:sz w:val="20"/>
        </w:rPr>
        <w:t> </w:t>
      </w:r>
      <w:r>
        <w:rPr>
          <w:sz w:val="20"/>
        </w:rPr>
        <w:t>of</w:t>
      </w:r>
      <w:r>
        <w:rPr>
          <w:spacing w:val="-10"/>
          <w:sz w:val="20"/>
        </w:rPr>
        <w:t> </w:t>
      </w:r>
      <w:r>
        <w:rPr>
          <w:sz w:val="20"/>
        </w:rPr>
        <w:t>empanelment,</w:t>
      </w:r>
      <w:r>
        <w:rPr>
          <w:spacing w:val="-10"/>
          <w:sz w:val="20"/>
        </w:rPr>
        <w:t> </w:t>
      </w:r>
      <w:r>
        <w:rPr>
          <w:sz w:val="20"/>
        </w:rPr>
        <w:t>after</w:t>
      </w:r>
      <w:r>
        <w:rPr>
          <w:spacing w:val="-10"/>
          <w:sz w:val="20"/>
        </w:rPr>
        <w:t> </w:t>
      </w:r>
      <w:r>
        <w:rPr>
          <w:sz w:val="20"/>
        </w:rPr>
        <w:t>the</w:t>
      </w:r>
      <w:r>
        <w:rPr>
          <w:spacing w:val="-10"/>
          <w:sz w:val="20"/>
        </w:rPr>
        <w:t> </w:t>
      </w:r>
      <w:r>
        <w:rPr>
          <w:sz w:val="20"/>
        </w:rPr>
        <w:t>jury</w:t>
      </w:r>
      <w:r>
        <w:rPr>
          <w:spacing w:val="-10"/>
          <w:sz w:val="20"/>
        </w:rPr>
        <w:t> </w:t>
      </w:r>
      <w:r>
        <w:rPr>
          <w:sz w:val="20"/>
        </w:rPr>
        <w:t>has</w:t>
      </w:r>
      <w:r>
        <w:rPr>
          <w:spacing w:val="-10"/>
          <w:sz w:val="20"/>
        </w:rPr>
        <w:t> </w:t>
      </w:r>
      <w:r>
        <w:rPr>
          <w:sz w:val="20"/>
        </w:rPr>
        <w:t>been</w:t>
      </w:r>
      <w:r>
        <w:rPr>
          <w:spacing w:val="-10"/>
          <w:sz w:val="20"/>
        </w:rPr>
        <w:t> </w:t>
      </w:r>
      <w:r>
        <w:rPr>
          <w:sz w:val="20"/>
        </w:rPr>
        <w:t>selected,</w:t>
      </w:r>
      <w:r>
        <w:rPr>
          <w:spacing w:val="-10"/>
          <w:sz w:val="20"/>
        </w:rPr>
        <w:t> </w:t>
      </w:r>
      <w:r>
        <w:rPr>
          <w:sz w:val="20"/>
        </w:rPr>
        <w:t>and</w:t>
      </w:r>
      <w:r>
        <w:rPr>
          <w:spacing w:val="-10"/>
          <w:sz w:val="20"/>
        </w:rPr>
        <w:t> </w:t>
      </w:r>
      <w:r>
        <w:rPr>
          <w:sz w:val="20"/>
        </w:rPr>
        <w:t>at the</w:t>
      </w:r>
      <w:r>
        <w:rPr>
          <w:spacing w:val="-12"/>
          <w:sz w:val="20"/>
        </w:rPr>
        <w:t> </w:t>
      </w:r>
      <w:r>
        <w:rPr>
          <w:sz w:val="20"/>
        </w:rPr>
        <w:t>commencement</w:t>
      </w:r>
      <w:r>
        <w:rPr>
          <w:spacing w:val="-11"/>
          <w:sz w:val="20"/>
        </w:rPr>
        <w:t> </w:t>
      </w:r>
      <w:r>
        <w:rPr>
          <w:sz w:val="20"/>
        </w:rPr>
        <w:t>of</w:t>
      </w:r>
      <w:r>
        <w:rPr>
          <w:spacing w:val="-11"/>
          <w:sz w:val="20"/>
        </w:rPr>
        <w:t> </w:t>
      </w:r>
      <w:r>
        <w:rPr>
          <w:sz w:val="20"/>
        </w:rPr>
        <w:t>formal</w:t>
      </w:r>
      <w:r>
        <w:rPr>
          <w:spacing w:val="-12"/>
          <w:sz w:val="20"/>
        </w:rPr>
        <w:t> </w:t>
      </w:r>
      <w:r>
        <w:rPr>
          <w:sz w:val="20"/>
        </w:rPr>
        <w:t>deliberations,</w:t>
      </w:r>
      <w:r>
        <w:rPr>
          <w:spacing w:val="-11"/>
          <w:sz w:val="20"/>
        </w:rPr>
        <w:t> </w:t>
      </w:r>
      <w:r>
        <w:rPr>
          <w:sz w:val="20"/>
        </w:rPr>
        <w:t>to</w:t>
      </w:r>
      <w:r>
        <w:rPr>
          <w:spacing w:val="-12"/>
          <w:sz w:val="20"/>
        </w:rPr>
        <w:t> </w:t>
      </w:r>
      <w:r>
        <w:rPr>
          <w:sz w:val="20"/>
        </w:rPr>
        <w:t>explain</w:t>
      </w:r>
      <w:r>
        <w:rPr>
          <w:spacing w:val="-11"/>
          <w:sz w:val="20"/>
        </w:rPr>
        <w:t> </w:t>
      </w:r>
      <w:r>
        <w:rPr>
          <w:sz w:val="20"/>
        </w:rPr>
        <w:t>the</w:t>
      </w:r>
      <w:r>
        <w:rPr>
          <w:spacing w:val="-11"/>
          <w:sz w:val="20"/>
        </w:rPr>
        <w:t> </w:t>
      </w:r>
      <w:r>
        <w:rPr>
          <w:spacing w:val="-3"/>
          <w:sz w:val="20"/>
        </w:rPr>
        <w:t>nature</w:t>
      </w:r>
      <w:r>
        <w:rPr>
          <w:spacing w:val="-12"/>
          <w:sz w:val="20"/>
        </w:rPr>
        <w:t> </w:t>
      </w:r>
      <w:r>
        <w:rPr>
          <w:sz w:val="20"/>
        </w:rPr>
        <w:t>of</w:t>
      </w:r>
      <w:r>
        <w:rPr>
          <w:spacing w:val="-11"/>
          <w:sz w:val="20"/>
        </w:rPr>
        <w:t> </w:t>
      </w:r>
      <w:r>
        <w:rPr>
          <w:spacing w:val="-3"/>
          <w:sz w:val="20"/>
        </w:rPr>
        <w:t>any</w:t>
      </w:r>
      <w:r>
        <w:rPr>
          <w:spacing w:val="-11"/>
          <w:sz w:val="20"/>
        </w:rPr>
        <w:t> </w:t>
      </w:r>
      <w:r>
        <w:rPr>
          <w:sz w:val="20"/>
        </w:rPr>
        <w:t>adjustments that </w:t>
      </w:r>
      <w:r>
        <w:rPr>
          <w:spacing w:val="-4"/>
          <w:sz w:val="20"/>
        </w:rPr>
        <w:t>have </w:t>
      </w:r>
      <w:r>
        <w:rPr>
          <w:sz w:val="20"/>
        </w:rPr>
        <w:t>been made and </w:t>
      </w:r>
      <w:r>
        <w:rPr>
          <w:spacing w:val="-3"/>
          <w:sz w:val="20"/>
        </w:rPr>
        <w:t>how </w:t>
      </w:r>
      <w:r>
        <w:rPr>
          <w:sz w:val="20"/>
        </w:rPr>
        <w:t>they will</w:t>
      </w:r>
      <w:r>
        <w:rPr>
          <w:spacing w:val="-29"/>
          <w:sz w:val="20"/>
        </w:rPr>
        <w:t> </w:t>
      </w:r>
      <w:r>
        <w:rPr>
          <w:sz w:val="20"/>
        </w:rPr>
        <w:t>work.</w:t>
      </w:r>
    </w:p>
    <w:p>
      <w:pPr>
        <w:spacing w:before="196"/>
        <w:ind w:left="100" w:right="0" w:firstLine="0"/>
        <w:jc w:val="left"/>
        <w:rPr>
          <w:rFonts w:ascii="Raleway ExtraBold"/>
          <w:b/>
          <w:sz w:val="28"/>
        </w:rPr>
      </w:pPr>
      <w:r>
        <w:rPr>
          <w:rFonts w:ascii="Raleway ExtraBold"/>
          <w:b/>
          <w:color w:val="37617A"/>
          <w:sz w:val="28"/>
        </w:rPr>
        <w:t>Chapter 14</w:t>
      </w:r>
    </w:p>
    <w:p>
      <w:pPr>
        <w:pStyle w:val="ListParagraph"/>
        <w:numPr>
          <w:ilvl w:val="0"/>
          <w:numId w:val="10"/>
        </w:numPr>
        <w:tabs>
          <w:tab w:pos="893" w:val="left" w:leader="none"/>
          <w:tab w:pos="894" w:val="left" w:leader="none"/>
        </w:tabs>
        <w:spacing w:line="206" w:lineRule="auto" w:before="146" w:after="0"/>
        <w:ind w:left="893" w:right="1518" w:hanging="793"/>
        <w:jc w:val="left"/>
        <w:rPr>
          <w:sz w:val="20"/>
        </w:rPr>
      </w:pPr>
      <w:r>
        <w:rPr>
          <w:sz w:val="20"/>
        </w:rPr>
        <w:t>The communication </w:t>
      </w:r>
      <w:r>
        <w:rPr>
          <w:spacing w:val="-3"/>
          <w:sz w:val="20"/>
        </w:rPr>
        <w:t>requirement </w:t>
      </w:r>
      <w:r>
        <w:rPr>
          <w:sz w:val="20"/>
        </w:rPr>
        <w:t>in Schedule 2(3)(f) of the Juries </w:t>
      </w:r>
      <w:r>
        <w:rPr>
          <w:spacing w:val="-2"/>
          <w:sz w:val="20"/>
        </w:rPr>
        <w:t>Act </w:t>
      </w:r>
      <w:r>
        <w:rPr>
          <w:sz w:val="20"/>
        </w:rPr>
        <w:t>should be modified</w:t>
      </w:r>
      <w:r>
        <w:rPr>
          <w:spacing w:val="-10"/>
          <w:sz w:val="20"/>
        </w:rPr>
        <w:t> </w:t>
      </w:r>
      <w:r>
        <w:rPr>
          <w:sz w:val="20"/>
        </w:rPr>
        <w:t>so</w:t>
      </w:r>
      <w:r>
        <w:rPr>
          <w:spacing w:val="-9"/>
          <w:sz w:val="20"/>
        </w:rPr>
        <w:t> </w:t>
      </w:r>
      <w:r>
        <w:rPr>
          <w:sz w:val="20"/>
        </w:rPr>
        <w:t>that</w:t>
      </w:r>
      <w:r>
        <w:rPr>
          <w:spacing w:val="-9"/>
          <w:sz w:val="20"/>
        </w:rPr>
        <w:t> </w:t>
      </w:r>
      <w:r>
        <w:rPr>
          <w:sz w:val="20"/>
        </w:rPr>
        <w:t>the</w:t>
      </w:r>
      <w:r>
        <w:rPr>
          <w:spacing w:val="-10"/>
          <w:sz w:val="20"/>
        </w:rPr>
        <w:t> </w:t>
      </w:r>
      <w:r>
        <w:rPr>
          <w:spacing w:val="-3"/>
          <w:sz w:val="20"/>
        </w:rPr>
        <w:t>requirement</w:t>
      </w:r>
      <w:r>
        <w:rPr>
          <w:spacing w:val="-9"/>
          <w:sz w:val="20"/>
        </w:rPr>
        <w:t> </w:t>
      </w:r>
      <w:r>
        <w:rPr>
          <w:sz w:val="20"/>
        </w:rPr>
        <w:t>to</w:t>
      </w:r>
      <w:r>
        <w:rPr>
          <w:spacing w:val="-9"/>
          <w:sz w:val="20"/>
        </w:rPr>
        <w:t> </w:t>
      </w:r>
      <w:r>
        <w:rPr>
          <w:sz w:val="20"/>
        </w:rPr>
        <w:t>communicate</w:t>
      </w:r>
      <w:r>
        <w:rPr>
          <w:spacing w:val="-9"/>
          <w:sz w:val="20"/>
        </w:rPr>
        <w:t> </w:t>
      </w:r>
      <w:r>
        <w:rPr>
          <w:sz w:val="20"/>
        </w:rPr>
        <w:t>in</w:t>
      </w:r>
      <w:r>
        <w:rPr>
          <w:spacing w:val="-10"/>
          <w:sz w:val="20"/>
        </w:rPr>
        <w:t> </w:t>
      </w:r>
      <w:r>
        <w:rPr>
          <w:sz w:val="20"/>
        </w:rPr>
        <w:t>English</w:t>
      </w:r>
      <w:r>
        <w:rPr>
          <w:spacing w:val="-9"/>
          <w:sz w:val="20"/>
        </w:rPr>
        <w:t> </w:t>
      </w:r>
      <w:r>
        <w:rPr>
          <w:sz w:val="20"/>
        </w:rPr>
        <w:t>does</w:t>
      </w:r>
      <w:r>
        <w:rPr>
          <w:spacing w:val="-9"/>
          <w:sz w:val="20"/>
        </w:rPr>
        <w:t> </w:t>
      </w:r>
      <w:r>
        <w:rPr>
          <w:sz w:val="20"/>
        </w:rPr>
        <w:t>not</w:t>
      </w:r>
      <w:r>
        <w:rPr>
          <w:spacing w:val="-10"/>
          <w:sz w:val="20"/>
        </w:rPr>
        <w:t> </w:t>
      </w:r>
      <w:r>
        <w:rPr>
          <w:spacing w:val="-3"/>
          <w:sz w:val="20"/>
        </w:rPr>
        <w:t>apply</w:t>
      </w:r>
      <w:r>
        <w:rPr>
          <w:spacing w:val="-9"/>
          <w:sz w:val="20"/>
        </w:rPr>
        <w:t> </w:t>
      </w:r>
      <w:r>
        <w:rPr>
          <w:sz w:val="20"/>
        </w:rPr>
        <w:t>if</w:t>
      </w:r>
      <w:r>
        <w:rPr>
          <w:spacing w:val="-9"/>
          <w:sz w:val="20"/>
        </w:rPr>
        <w:t> </w:t>
      </w:r>
      <w:r>
        <w:rPr>
          <w:sz w:val="20"/>
        </w:rPr>
        <w:t>a</w:t>
      </w:r>
      <w:r>
        <w:rPr>
          <w:spacing w:val="-9"/>
          <w:sz w:val="20"/>
        </w:rPr>
        <w:t> </w:t>
      </w:r>
      <w:r>
        <w:rPr>
          <w:sz w:val="20"/>
        </w:rPr>
        <w:t>juror can communicate in</w:t>
      </w:r>
      <w:r>
        <w:rPr>
          <w:spacing w:val="-13"/>
          <w:sz w:val="20"/>
        </w:rPr>
        <w:t> </w:t>
      </w:r>
      <w:r>
        <w:rPr>
          <w:sz w:val="20"/>
        </w:rPr>
        <w:t>Auslan.</w:t>
      </w:r>
    </w:p>
    <w:p>
      <w:pPr>
        <w:pStyle w:val="ListParagraph"/>
        <w:numPr>
          <w:ilvl w:val="0"/>
          <w:numId w:val="10"/>
        </w:numPr>
        <w:tabs>
          <w:tab w:pos="893" w:val="left" w:leader="none"/>
          <w:tab w:pos="894" w:val="left" w:leader="none"/>
        </w:tabs>
        <w:spacing w:line="206" w:lineRule="auto" w:before="89" w:after="0"/>
        <w:ind w:left="893" w:right="1434" w:hanging="793"/>
        <w:jc w:val="left"/>
        <w:rPr>
          <w:sz w:val="20"/>
        </w:rPr>
      </w:pPr>
      <w:r>
        <w:rPr>
          <w:sz w:val="20"/>
        </w:rPr>
        <w:t>Juries Victoria and the courts should </w:t>
      </w:r>
      <w:r>
        <w:rPr>
          <w:spacing w:val="-3"/>
          <w:sz w:val="20"/>
        </w:rPr>
        <w:t>make </w:t>
      </w:r>
      <w:r>
        <w:rPr>
          <w:sz w:val="20"/>
        </w:rPr>
        <w:t>it clear in public information about the new</w:t>
      </w:r>
      <w:r>
        <w:rPr>
          <w:spacing w:val="-9"/>
          <w:sz w:val="20"/>
        </w:rPr>
        <w:t> </w:t>
      </w:r>
      <w:r>
        <w:rPr>
          <w:spacing w:val="-3"/>
          <w:sz w:val="20"/>
        </w:rPr>
        <w:t>laws</w:t>
      </w:r>
      <w:r>
        <w:rPr>
          <w:spacing w:val="-9"/>
          <w:sz w:val="20"/>
        </w:rPr>
        <w:t> </w:t>
      </w:r>
      <w:r>
        <w:rPr>
          <w:sz w:val="20"/>
        </w:rPr>
        <w:t>that</w:t>
      </w:r>
      <w:r>
        <w:rPr>
          <w:spacing w:val="-8"/>
          <w:sz w:val="20"/>
        </w:rPr>
        <w:t> </w:t>
      </w:r>
      <w:r>
        <w:rPr>
          <w:sz w:val="20"/>
        </w:rPr>
        <w:t>the</w:t>
      </w:r>
      <w:r>
        <w:rPr>
          <w:spacing w:val="-9"/>
          <w:sz w:val="20"/>
        </w:rPr>
        <w:t> </w:t>
      </w:r>
      <w:r>
        <w:rPr>
          <w:sz w:val="20"/>
        </w:rPr>
        <w:t>ability</w:t>
      </w:r>
      <w:r>
        <w:rPr>
          <w:spacing w:val="-9"/>
          <w:sz w:val="20"/>
        </w:rPr>
        <w:t> </w:t>
      </w:r>
      <w:r>
        <w:rPr>
          <w:sz w:val="20"/>
        </w:rPr>
        <w:t>to</w:t>
      </w:r>
      <w:r>
        <w:rPr>
          <w:spacing w:val="-8"/>
          <w:sz w:val="20"/>
        </w:rPr>
        <w:t> </w:t>
      </w:r>
      <w:r>
        <w:rPr>
          <w:sz w:val="20"/>
        </w:rPr>
        <w:t>understand</w:t>
      </w:r>
      <w:r>
        <w:rPr>
          <w:spacing w:val="-9"/>
          <w:sz w:val="20"/>
        </w:rPr>
        <w:t> </w:t>
      </w:r>
      <w:r>
        <w:rPr>
          <w:sz w:val="20"/>
        </w:rPr>
        <w:t>English</w:t>
      </w:r>
      <w:r>
        <w:rPr>
          <w:spacing w:val="-9"/>
          <w:sz w:val="20"/>
        </w:rPr>
        <w:t> </w:t>
      </w:r>
      <w:r>
        <w:rPr>
          <w:sz w:val="20"/>
        </w:rPr>
        <w:t>continues</w:t>
      </w:r>
      <w:r>
        <w:rPr>
          <w:spacing w:val="-8"/>
          <w:sz w:val="20"/>
        </w:rPr>
        <w:t> </w:t>
      </w:r>
      <w:r>
        <w:rPr>
          <w:sz w:val="20"/>
        </w:rPr>
        <w:t>to</w:t>
      </w:r>
      <w:r>
        <w:rPr>
          <w:spacing w:val="-9"/>
          <w:sz w:val="20"/>
        </w:rPr>
        <w:t> </w:t>
      </w:r>
      <w:r>
        <w:rPr>
          <w:sz w:val="20"/>
        </w:rPr>
        <w:t>be</w:t>
      </w:r>
      <w:r>
        <w:rPr>
          <w:spacing w:val="-9"/>
          <w:sz w:val="20"/>
        </w:rPr>
        <w:t> </w:t>
      </w:r>
      <w:r>
        <w:rPr>
          <w:sz w:val="20"/>
        </w:rPr>
        <w:t>a</w:t>
      </w:r>
      <w:r>
        <w:rPr>
          <w:spacing w:val="-8"/>
          <w:sz w:val="20"/>
        </w:rPr>
        <w:t> </w:t>
      </w:r>
      <w:r>
        <w:rPr>
          <w:spacing w:val="-3"/>
          <w:sz w:val="20"/>
        </w:rPr>
        <w:t>requirement</w:t>
      </w:r>
      <w:r>
        <w:rPr>
          <w:spacing w:val="-9"/>
          <w:sz w:val="20"/>
        </w:rPr>
        <w:t> </w:t>
      </w:r>
      <w:r>
        <w:rPr>
          <w:sz w:val="20"/>
        </w:rPr>
        <w:t>for</w:t>
      </w:r>
      <w:r>
        <w:rPr>
          <w:spacing w:val="-9"/>
          <w:sz w:val="20"/>
        </w:rPr>
        <w:t> </w:t>
      </w:r>
      <w:r>
        <w:rPr>
          <w:sz w:val="20"/>
        </w:rPr>
        <w:t>jury service.</w:t>
      </w:r>
    </w:p>
    <w:p>
      <w:pPr>
        <w:pStyle w:val="ListParagraph"/>
        <w:numPr>
          <w:ilvl w:val="0"/>
          <w:numId w:val="10"/>
        </w:numPr>
        <w:tabs>
          <w:tab w:pos="893" w:val="left" w:leader="none"/>
          <w:tab w:pos="894" w:val="left" w:leader="none"/>
        </w:tabs>
        <w:spacing w:line="206" w:lineRule="auto" w:before="89" w:after="0"/>
        <w:ind w:left="893" w:right="1368" w:hanging="793"/>
        <w:jc w:val="left"/>
        <w:rPr>
          <w:sz w:val="20"/>
        </w:rPr>
      </w:pPr>
      <w:r>
        <w:rPr>
          <w:sz w:val="20"/>
        </w:rPr>
        <w:t>The</w:t>
      </w:r>
      <w:r>
        <w:rPr>
          <w:spacing w:val="-11"/>
          <w:sz w:val="20"/>
        </w:rPr>
        <w:t> </w:t>
      </w:r>
      <w:r>
        <w:rPr>
          <w:sz w:val="20"/>
        </w:rPr>
        <w:t>Judicial</w:t>
      </w:r>
      <w:r>
        <w:rPr>
          <w:spacing w:val="-11"/>
          <w:sz w:val="20"/>
        </w:rPr>
        <w:t> </w:t>
      </w:r>
      <w:r>
        <w:rPr>
          <w:sz w:val="20"/>
        </w:rPr>
        <w:t>College</w:t>
      </w:r>
      <w:r>
        <w:rPr>
          <w:spacing w:val="-11"/>
          <w:sz w:val="20"/>
        </w:rPr>
        <w:t> </w:t>
      </w:r>
      <w:r>
        <w:rPr>
          <w:sz w:val="20"/>
        </w:rPr>
        <w:t>of</w:t>
      </w:r>
      <w:r>
        <w:rPr>
          <w:spacing w:val="-11"/>
          <w:sz w:val="20"/>
        </w:rPr>
        <w:t> </w:t>
      </w:r>
      <w:r>
        <w:rPr>
          <w:sz w:val="20"/>
        </w:rPr>
        <w:t>Victoria</w:t>
      </w:r>
      <w:r>
        <w:rPr>
          <w:spacing w:val="-11"/>
          <w:sz w:val="20"/>
        </w:rPr>
        <w:t> </w:t>
      </w:r>
      <w:r>
        <w:rPr>
          <w:sz w:val="20"/>
        </w:rPr>
        <w:t>should</w:t>
      </w:r>
      <w:r>
        <w:rPr>
          <w:spacing w:val="-11"/>
          <w:sz w:val="20"/>
        </w:rPr>
        <w:t> </w:t>
      </w:r>
      <w:r>
        <w:rPr>
          <w:spacing w:val="-3"/>
          <w:sz w:val="20"/>
        </w:rPr>
        <w:t>develop</w:t>
      </w:r>
      <w:r>
        <w:rPr>
          <w:spacing w:val="-11"/>
          <w:sz w:val="20"/>
        </w:rPr>
        <w:t> </w:t>
      </w:r>
      <w:r>
        <w:rPr>
          <w:sz w:val="20"/>
        </w:rPr>
        <w:t>and</w:t>
      </w:r>
      <w:r>
        <w:rPr>
          <w:spacing w:val="-11"/>
          <w:sz w:val="20"/>
        </w:rPr>
        <w:t> </w:t>
      </w:r>
      <w:r>
        <w:rPr>
          <w:sz w:val="20"/>
        </w:rPr>
        <w:t>deliver</w:t>
      </w:r>
      <w:r>
        <w:rPr>
          <w:spacing w:val="-11"/>
          <w:sz w:val="20"/>
        </w:rPr>
        <w:t> </w:t>
      </w:r>
      <w:r>
        <w:rPr>
          <w:sz w:val="20"/>
        </w:rPr>
        <w:t>training</w:t>
      </w:r>
      <w:r>
        <w:rPr>
          <w:spacing w:val="-11"/>
          <w:sz w:val="20"/>
        </w:rPr>
        <w:t> </w:t>
      </w:r>
      <w:r>
        <w:rPr>
          <w:sz w:val="20"/>
        </w:rPr>
        <w:t>to</w:t>
      </w:r>
      <w:r>
        <w:rPr>
          <w:spacing w:val="-11"/>
          <w:sz w:val="20"/>
        </w:rPr>
        <w:t> </w:t>
      </w:r>
      <w:r>
        <w:rPr>
          <w:sz w:val="20"/>
        </w:rPr>
        <w:t>the</w:t>
      </w:r>
      <w:r>
        <w:rPr>
          <w:spacing w:val="-11"/>
          <w:sz w:val="20"/>
        </w:rPr>
        <w:t> </w:t>
      </w:r>
      <w:r>
        <w:rPr>
          <w:sz w:val="20"/>
        </w:rPr>
        <w:t>judiciary</w:t>
      </w:r>
      <w:r>
        <w:rPr>
          <w:spacing w:val="-11"/>
          <w:sz w:val="20"/>
        </w:rPr>
        <w:t> </w:t>
      </w:r>
      <w:r>
        <w:rPr>
          <w:sz w:val="20"/>
        </w:rPr>
        <w:t>on the Recommended National Standards for </w:t>
      </w:r>
      <w:r>
        <w:rPr>
          <w:spacing w:val="-3"/>
          <w:sz w:val="20"/>
        </w:rPr>
        <w:t>Working </w:t>
      </w:r>
      <w:r>
        <w:rPr>
          <w:sz w:val="20"/>
        </w:rPr>
        <w:t>with </w:t>
      </w:r>
      <w:r>
        <w:rPr>
          <w:spacing w:val="-3"/>
          <w:sz w:val="20"/>
        </w:rPr>
        <w:t>Interpreters </w:t>
      </w:r>
      <w:r>
        <w:rPr>
          <w:sz w:val="20"/>
        </w:rPr>
        <w:t>in Courts and </w:t>
      </w:r>
      <w:r>
        <w:rPr>
          <w:spacing w:val="-3"/>
          <w:sz w:val="20"/>
        </w:rPr>
        <w:t>Tribunals</w:t>
      </w:r>
      <w:r>
        <w:rPr>
          <w:spacing w:val="-11"/>
          <w:sz w:val="20"/>
        </w:rPr>
        <w:t> </w:t>
      </w:r>
      <w:r>
        <w:rPr>
          <w:sz w:val="20"/>
        </w:rPr>
        <w:t>and</w:t>
      </w:r>
      <w:r>
        <w:rPr>
          <w:spacing w:val="-11"/>
          <w:sz w:val="20"/>
        </w:rPr>
        <w:t> </w:t>
      </w:r>
      <w:r>
        <w:rPr>
          <w:sz w:val="20"/>
        </w:rPr>
        <w:t>about</w:t>
      </w:r>
      <w:r>
        <w:rPr>
          <w:spacing w:val="-11"/>
          <w:sz w:val="20"/>
        </w:rPr>
        <w:t> </w:t>
      </w:r>
      <w:r>
        <w:rPr>
          <w:sz w:val="20"/>
        </w:rPr>
        <w:t>the</w:t>
      </w:r>
      <w:r>
        <w:rPr>
          <w:spacing w:val="-11"/>
          <w:sz w:val="20"/>
        </w:rPr>
        <w:t> </w:t>
      </w:r>
      <w:r>
        <w:rPr>
          <w:sz w:val="20"/>
        </w:rPr>
        <w:t>training</w:t>
      </w:r>
      <w:r>
        <w:rPr>
          <w:spacing w:val="-10"/>
          <w:sz w:val="20"/>
        </w:rPr>
        <w:t> </w:t>
      </w:r>
      <w:r>
        <w:rPr>
          <w:sz w:val="20"/>
        </w:rPr>
        <w:t>and</w:t>
      </w:r>
      <w:r>
        <w:rPr>
          <w:spacing w:val="-11"/>
          <w:sz w:val="20"/>
        </w:rPr>
        <w:t> </w:t>
      </w:r>
      <w:r>
        <w:rPr>
          <w:sz w:val="20"/>
        </w:rPr>
        <w:t>certification</w:t>
      </w:r>
      <w:r>
        <w:rPr>
          <w:spacing w:val="-11"/>
          <w:sz w:val="20"/>
        </w:rPr>
        <w:t> </w:t>
      </w:r>
      <w:r>
        <w:rPr>
          <w:sz w:val="20"/>
        </w:rPr>
        <w:t>requirements</w:t>
      </w:r>
      <w:r>
        <w:rPr>
          <w:spacing w:val="-11"/>
          <w:sz w:val="20"/>
        </w:rPr>
        <w:t> </w:t>
      </w:r>
      <w:r>
        <w:rPr>
          <w:sz w:val="20"/>
        </w:rPr>
        <w:t>for</w:t>
      </w:r>
      <w:r>
        <w:rPr>
          <w:spacing w:val="-11"/>
          <w:sz w:val="20"/>
        </w:rPr>
        <w:t> </w:t>
      </w:r>
      <w:r>
        <w:rPr>
          <w:sz w:val="20"/>
        </w:rPr>
        <w:t>Auslan</w:t>
      </w:r>
      <w:r>
        <w:rPr>
          <w:spacing w:val="-10"/>
          <w:sz w:val="20"/>
        </w:rPr>
        <w:t> </w:t>
      </w:r>
      <w:r>
        <w:rPr>
          <w:spacing w:val="-3"/>
          <w:sz w:val="20"/>
        </w:rPr>
        <w:t>interpreters.</w:t>
      </w:r>
    </w:p>
    <w:p>
      <w:pPr>
        <w:pStyle w:val="ListParagraph"/>
        <w:numPr>
          <w:ilvl w:val="0"/>
          <w:numId w:val="10"/>
        </w:numPr>
        <w:tabs>
          <w:tab w:pos="893" w:val="left" w:leader="none"/>
          <w:tab w:pos="894" w:val="left" w:leader="none"/>
        </w:tabs>
        <w:spacing w:line="240" w:lineRule="auto" w:before="56" w:after="0"/>
        <w:ind w:left="893" w:right="0" w:hanging="793"/>
        <w:jc w:val="left"/>
        <w:rPr>
          <w:sz w:val="20"/>
        </w:rPr>
      </w:pPr>
      <w:r>
        <w:rPr>
          <w:sz w:val="20"/>
        </w:rPr>
        <w:t>Auslan</w:t>
      </w:r>
      <w:r>
        <w:rPr>
          <w:spacing w:val="-5"/>
          <w:sz w:val="20"/>
        </w:rPr>
        <w:t> </w:t>
      </w:r>
      <w:r>
        <w:rPr>
          <w:spacing w:val="-3"/>
          <w:sz w:val="20"/>
        </w:rPr>
        <w:t>interpreters</w:t>
      </w:r>
      <w:r>
        <w:rPr>
          <w:spacing w:val="-5"/>
          <w:sz w:val="20"/>
        </w:rPr>
        <w:t> </w:t>
      </w:r>
      <w:r>
        <w:rPr>
          <w:sz w:val="20"/>
        </w:rPr>
        <w:t>should</w:t>
      </w:r>
      <w:r>
        <w:rPr>
          <w:spacing w:val="-5"/>
          <w:sz w:val="20"/>
        </w:rPr>
        <w:t> </w:t>
      </w:r>
      <w:r>
        <w:rPr>
          <w:spacing w:val="-3"/>
          <w:sz w:val="20"/>
        </w:rPr>
        <w:t>work</w:t>
      </w:r>
      <w:r>
        <w:rPr>
          <w:spacing w:val="-5"/>
          <w:sz w:val="20"/>
        </w:rPr>
        <w:t> </w:t>
      </w:r>
      <w:r>
        <w:rPr>
          <w:sz w:val="20"/>
        </w:rPr>
        <w:t>in</w:t>
      </w:r>
      <w:r>
        <w:rPr>
          <w:spacing w:val="-5"/>
          <w:sz w:val="20"/>
        </w:rPr>
        <w:t> </w:t>
      </w:r>
      <w:r>
        <w:rPr>
          <w:sz w:val="20"/>
        </w:rPr>
        <w:t>pairs</w:t>
      </w:r>
      <w:r>
        <w:rPr>
          <w:spacing w:val="-5"/>
          <w:sz w:val="20"/>
        </w:rPr>
        <w:t> </w:t>
      </w:r>
      <w:r>
        <w:rPr>
          <w:sz w:val="20"/>
        </w:rPr>
        <w:t>and</w:t>
      </w:r>
      <w:r>
        <w:rPr>
          <w:spacing w:val="-5"/>
          <w:sz w:val="20"/>
        </w:rPr>
        <w:t> </w:t>
      </w:r>
      <w:r>
        <w:rPr>
          <w:sz w:val="20"/>
        </w:rPr>
        <w:t>must</w:t>
      </w:r>
      <w:r>
        <w:rPr>
          <w:spacing w:val="-5"/>
          <w:sz w:val="20"/>
        </w:rPr>
        <w:t> </w:t>
      </w:r>
      <w:r>
        <w:rPr>
          <w:sz w:val="20"/>
        </w:rPr>
        <w:t>be</w:t>
      </w:r>
      <w:r>
        <w:rPr>
          <w:spacing w:val="-5"/>
          <w:sz w:val="20"/>
        </w:rPr>
        <w:t> </w:t>
      </w:r>
      <w:r>
        <w:rPr>
          <w:sz w:val="20"/>
        </w:rPr>
        <w:t>independent</w:t>
      </w:r>
      <w:r>
        <w:rPr>
          <w:spacing w:val="-5"/>
          <w:sz w:val="20"/>
        </w:rPr>
        <w:t> </w:t>
      </w:r>
      <w:r>
        <w:rPr>
          <w:sz w:val="20"/>
        </w:rPr>
        <w:t>of</w:t>
      </w:r>
      <w:r>
        <w:rPr>
          <w:spacing w:val="-4"/>
          <w:sz w:val="20"/>
        </w:rPr>
        <w:t> </w:t>
      </w:r>
      <w:r>
        <w:rPr>
          <w:sz w:val="20"/>
        </w:rPr>
        <w:t>the</w:t>
      </w:r>
      <w:r>
        <w:rPr>
          <w:spacing w:val="-5"/>
          <w:sz w:val="20"/>
        </w:rPr>
        <w:t> </w:t>
      </w:r>
      <w:r>
        <w:rPr>
          <w:spacing w:val="-4"/>
          <w:sz w:val="20"/>
        </w:rPr>
        <w:t>juror.</w:t>
      </w:r>
    </w:p>
    <w:p>
      <w:pPr>
        <w:pStyle w:val="ListParagraph"/>
        <w:numPr>
          <w:ilvl w:val="0"/>
          <w:numId w:val="10"/>
        </w:numPr>
        <w:tabs>
          <w:tab w:pos="893" w:val="left" w:leader="none"/>
          <w:tab w:pos="894" w:val="left" w:leader="none"/>
        </w:tabs>
        <w:spacing w:line="206" w:lineRule="auto" w:before="80" w:after="0"/>
        <w:ind w:left="893" w:right="1380" w:hanging="793"/>
        <w:jc w:val="left"/>
        <w:rPr>
          <w:sz w:val="20"/>
        </w:rPr>
      </w:pPr>
      <w:r>
        <w:rPr>
          <w:sz w:val="20"/>
        </w:rPr>
        <w:t>Auslan</w:t>
      </w:r>
      <w:r>
        <w:rPr>
          <w:spacing w:val="-10"/>
          <w:sz w:val="20"/>
        </w:rPr>
        <w:t> </w:t>
      </w:r>
      <w:r>
        <w:rPr>
          <w:spacing w:val="-3"/>
          <w:sz w:val="20"/>
        </w:rPr>
        <w:t>interpreters</w:t>
      </w:r>
      <w:r>
        <w:rPr>
          <w:spacing w:val="-10"/>
          <w:sz w:val="20"/>
        </w:rPr>
        <w:t> </w:t>
      </w:r>
      <w:r>
        <w:rPr>
          <w:sz w:val="20"/>
        </w:rPr>
        <w:t>who</w:t>
      </w:r>
      <w:r>
        <w:rPr>
          <w:spacing w:val="-10"/>
          <w:sz w:val="20"/>
        </w:rPr>
        <w:t> </w:t>
      </w:r>
      <w:r>
        <w:rPr>
          <w:spacing w:val="-3"/>
          <w:sz w:val="20"/>
        </w:rPr>
        <w:t>interpret</w:t>
      </w:r>
      <w:r>
        <w:rPr>
          <w:spacing w:val="-9"/>
          <w:sz w:val="20"/>
        </w:rPr>
        <w:t> </w:t>
      </w:r>
      <w:r>
        <w:rPr>
          <w:sz w:val="20"/>
        </w:rPr>
        <w:t>for</w:t>
      </w:r>
      <w:r>
        <w:rPr>
          <w:spacing w:val="-10"/>
          <w:sz w:val="20"/>
        </w:rPr>
        <w:t> </w:t>
      </w:r>
      <w:r>
        <w:rPr>
          <w:sz w:val="20"/>
        </w:rPr>
        <w:t>jurors</w:t>
      </w:r>
      <w:r>
        <w:rPr>
          <w:spacing w:val="-10"/>
          <w:sz w:val="20"/>
        </w:rPr>
        <w:t> </w:t>
      </w:r>
      <w:r>
        <w:rPr>
          <w:sz w:val="20"/>
        </w:rPr>
        <w:t>should</w:t>
      </w:r>
      <w:r>
        <w:rPr>
          <w:spacing w:val="-9"/>
          <w:sz w:val="20"/>
        </w:rPr>
        <w:t> </w:t>
      </w:r>
      <w:r>
        <w:rPr>
          <w:sz w:val="20"/>
        </w:rPr>
        <w:t>be</w:t>
      </w:r>
      <w:r>
        <w:rPr>
          <w:spacing w:val="-10"/>
          <w:sz w:val="20"/>
        </w:rPr>
        <w:t> </w:t>
      </w:r>
      <w:r>
        <w:rPr>
          <w:sz w:val="20"/>
        </w:rPr>
        <w:t>qualified</w:t>
      </w:r>
      <w:r>
        <w:rPr>
          <w:spacing w:val="-10"/>
          <w:sz w:val="20"/>
        </w:rPr>
        <w:t> </w:t>
      </w:r>
      <w:r>
        <w:rPr>
          <w:sz w:val="20"/>
        </w:rPr>
        <w:t>at</w:t>
      </w:r>
      <w:r>
        <w:rPr>
          <w:spacing w:val="-9"/>
          <w:sz w:val="20"/>
        </w:rPr>
        <w:t> </w:t>
      </w:r>
      <w:r>
        <w:rPr>
          <w:sz w:val="20"/>
        </w:rPr>
        <w:t>a</w:t>
      </w:r>
      <w:r>
        <w:rPr>
          <w:spacing w:val="-10"/>
          <w:sz w:val="20"/>
        </w:rPr>
        <w:t> </w:t>
      </w:r>
      <w:r>
        <w:rPr>
          <w:sz w:val="20"/>
        </w:rPr>
        <w:t>Certified</w:t>
      </w:r>
      <w:r>
        <w:rPr>
          <w:spacing w:val="-10"/>
          <w:sz w:val="20"/>
        </w:rPr>
        <w:t> </w:t>
      </w:r>
      <w:r>
        <w:rPr>
          <w:sz w:val="20"/>
        </w:rPr>
        <w:t>Specialist Legal</w:t>
      </w:r>
      <w:r>
        <w:rPr>
          <w:spacing w:val="-5"/>
          <w:sz w:val="20"/>
        </w:rPr>
        <w:t> </w:t>
      </w:r>
      <w:r>
        <w:rPr>
          <w:spacing w:val="-3"/>
          <w:sz w:val="20"/>
        </w:rPr>
        <w:t>Interpreter</w:t>
      </w:r>
      <w:r>
        <w:rPr>
          <w:spacing w:val="-5"/>
          <w:sz w:val="20"/>
        </w:rPr>
        <w:t> </w:t>
      </w:r>
      <w:r>
        <w:rPr>
          <w:spacing w:val="-3"/>
          <w:sz w:val="20"/>
        </w:rPr>
        <w:t>level,</w:t>
      </w:r>
      <w:r>
        <w:rPr>
          <w:spacing w:val="-4"/>
          <w:sz w:val="20"/>
        </w:rPr>
        <w:t> </w:t>
      </w:r>
      <w:r>
        <w:rPr>
          <w:sz w:val="20"/>
        </w:rPr>
        <w:t>or</w:t>
      </w:r>
      <w:r>
        <w:rPr>
          <w:spacing w:val="-5"/>
          <w:sz w:val="20"/>
        </w:rPr>
        <w:t> </w:t>
      </w:r>
      <w:r>
        <w:rPr>
          <w:sz w:val="20"/>
        </w:rPr>
        <w:t>if</w:t>
      </w:r>
      <w:r>
        <w:rPr>
          <w:spacing w:val="-5"/>
          <w:sz w:val="20"/>
        </w:rPr>
        <w:t> </w:t>
      </w:r>
      <w:r>
        <w:rPr>
          <w:sz w:val="20"/>
        </w:rPr>
        <w:t>not</w:t>
      </w:r>
      <w:r>
        <w:rPr>
          <w:spacing w:val="-4"/>
          <w:sz w:val="20"/>
        </w:rPr>
        <w:t> </w:t>
      </w:r>
      <w:r>
        <w:rPr>
          <w:spacing w:val="-3"/>
          <w:sz w:val="20"/>
        </w:rPr>
        <w:t>available,</w:t>
      </w:r>
      <w:r>
        <w:rPr>
          <w:spacing w:val="-5"/>
          <w:sz w:val="20"/>
        </w:rPr>
        <w:t> </w:t>
      </w:r>
      <w:r>
        <w:rPr>
          <w:sz w:val="20"/>
        </w:rPr>
        <w:t>at</w:t>
      </w:r>
      <w:r>
        <w:rPr>
          <w:spacing w:val="-4"/>
          <w:sz w:val="20"/>
        </w:rPr>
        <w:t> </w:t>
      </w:r>
      <w:r>
        <w:rPr>
          <w:sz w:val="20"/>
        </w:rPr>
        <w:t>a</w:t>
      </w:r>
      <w:r>
        <w:rPr>
          <w:spacing w:val="-5"/>
          <w:sz w:val="20"/>
        </w:rPr>
        <w:t> </w:t>
      </w:r>
      <w:r>
        <w:rPr>
          <w:sz w:val="20"/>
        </w:rPr>
        <w:t>Certified</w:t>
      </w:r>
      <w:r>
        <w:rPr>
          <w:spacing w:val="-5"/>
          <w:sz w:val="20"/>
        </w:rPr>
        <w:t> </w:t>
      </w:r>
      <w:r>
        <w:rPr>
          <w:spacing w:val="-3"/>
          <w:sz w:val="20"/>
        </w:rPr>
        <w:t>Interpreter</w:t>
      </w:r>
      <w:r>
        <w:rPr>
          <w:spacing w:val="-4"/>
          <w:sz w:val="20"/>
        </w:rPr>
        <w:t> </w:t>
      </w:r>
      <w:r>
        <w:rPr>
          <w:spacing w:val="-3"/>
          <w:sz w:val="20"/>
        </w:rPr>
        <w:t>level.</w:t>
      </w:r>
    </w:p>
    <w:p>
      <w:pPr>
        <w:pStyle w:val="ListParagraph"/>
        <w:numPr>
          <w:ilvl w:val="0"/>
          <w:numId w:val="10"/>
        </w:numPr>
        <w:tabs>
          <w:tab w:pos="893" w:val="left" w:leader="none"/>
          <w:tab w:pos="894" w:val="left" w:leader="none"/>
        </w:tabs>
        <w:spacing w:line="206" w:lineRule="auto" w:before="88" w:after="0"/>
        <w:ind w:left="893" w:right="2107" w:hanging="793"/>
        <w:jc w:val="left"/>
        <w:rPr>
          <w:sz w:val="20"/>
        </w:rPr>
      </w:pPr>
      <w:r>
        <w:rPr>
          <w:sz w:val="20"/>
        </w:rPr>
        <w:t>All</w:t>
      </w:r>
      <w:r>
        <w:rPr>
          <w:spacing w:val="-7"/>
          <w:sz w:val="20"/>
        </w:rPr>
        <w:t> </w:t>
      </w:r>
      <w:r>
        <w:rPr>
          <w:sz w:val="20"/>
        </w:rPr>
        <w:t>Auslan</w:t>
      </w:r>
      <w:r>
        <w:rPr>
          <w:spacing w:val="-7"/>
          <w:sz w:val="20"/>
        </w:rPr>
        <w:t> </w:t>
      </w:r>
      <w:r>
        <w:rPr>
          <w:spacing w:val="-3"/>
          <w:sz w:val="20"/>
        </w:rPr>
        <w:t>interpreters</w:t>
      </w:r>
      <w:r>
        <w:rPr>
          <w:spacing w:val="-7"/>
          <w:sz w:val="20"/>
        </w:rPr>
        <w:t> </w:t>
      </w:r>
      <w:r>
        <w:rPr>
          <w:sz w:val="20"/>
        </w:rPr>
        <w:t>who</w:t>
      </w:r>
      <w:r>
        <w:rPr>
          <w:spacing w:val="-7"/>
          <w:sz w:val="20"/>
        </w:rPr>
        <w:t> </w:t>
      </w:r>
      <w:r>
        <w:rPr>
          <w:spacing w:val="-3"/>
          <w:sz w:val="20"/>
        </w:rPr>
        <w:t>interpret</w:t>
      </w:r>
      <w:r>
        <w:rPr>
          <w:spacing w:val="-7"/>
          <w:sz w:val="20"/>
        </w:rPr>
        <w:t> </w:t>
      </w:r>
      <w:r>
        <w:rPr>
          <w:sz w:val="20"/>
        </w:rPr>
        <w:t>for</w:t>
      </w:r>
      <w:r>
        <w:rPr>
          <w:spacing w:val="-7"/>
          <w:sz w:val="20"/>
        </w:rPr>
        <w:t> </w:t>
      </w:r>
      <w:r>
        <w:rPr>
          <w:sz w:val="20"/>
        </w:rPr>
        <w:t>jurors</w:t>
      </w:r>
      <w:r>
        <w:rPr>
          <w:spacing w:val="-6"/>
          <w:sz w:val="20"/>
        </w:rPr>
        <w:t> </w:t>
      </w:r>
      <w:r>
        <w:rPr>
          <w:sz w:val="20"/>
        </w:rPr>
        <w:t>should</w:t>
      </w:r>
      <w:r>
        <w:rPr>
          <w:spacing w:val="-7"/>
          <w:sz w:val="20"/>
        </w:rPr>
        <w:t> </w:t>
      </w:r>
      <w:r>
        <w:rPr>
          <w:spacing w:val="-3"/>
          <w:sz w:val="20"/>
        </w:rPr>
        <w:t>complete</w:t>
      </w:r>
      <w:r>
        <w:rPr>
          <w:spacing w:val="-7"/>
          <w:sz w:val="20"/>
        </w:rPr>
        <w:t> </w:t>
      </w:r>
      <w:r>
        <w:rPr>
          <w:sz w:val="20"/>
        </w:rPr>
        <w:t>a</w:t>
      </w:r>
      <w:r>
        <w:rPr>
          <w:spacing w:val="-7"/>
          <w:sz w:val="20"/>
        </w:rPr>
        <w:t> </w:t>
      </w:r>
      <w:r>
        <w:rPr>
          <w:spacing w:val="-2"/>
          <w:sz w:val="20"/>
        </w:rPr>
        <w:t>professional </w:t>
      </w:r>
      <w:r>
        <w:rPr>
          <w:spacing w:val="-3"/>
          <w:sz w:val="20"/>
        </w:rPr>
        <w:t>development </w:t>
      </w:r>
      <w:r>
        <w:rPr>
          <w:sz w:val="20"/>
        </w:rPr>
        <w:t>unit about the</w:t>
      </w:r>
      <w:r>
        <w:rPr>
          <w:spacing w:val="-14"/>
          <w:sz w:val="20"/>
        </w:rPr>
        <w:t> </w:t>
      </w:r>
      <w:r>
        <w:rPr>
          <w:spacing w:val="-3"/>
          <w:sz w:val="20"/>
        </w:rPr>
        <w:t>role.</w:t>
      </w:r>
    </w:p>
    <w:p>
      <w:pPr>
        <w:pStyle w:val="ListParagraph"/>
        <w:numPr>
          <w:ilvl w:val="0"/>
          <w:numId w:val="10"/>
        </w:numPr>
        <w:tabs>
          <w:tab w:pos="893" w:val="left" w:leader="none"/>
          <w:tab w:pos="894" w:val="left" w:leader="none"/>
        </w:tabs>
        <w:spacing w:line="206" w:lineRule="auto" w:before="87" w:after="0"/>
        <w:ind w:left="893" w:right="1329" w:hanging="793"/>
        <w:jc w:val="left"/>
        <w:rPr>
          <w:sz w:val="20"/>
        </w:rPr>
      </w:pPr>
      <w:r>
        <w:rPr>
          <w:sz w:val="20"/>
        </w:rPr>
        <w:t>The courts should </w:t>
      </w:r>
      <w:r>
        <w:rPr>
          <w:spacing w:val="-3"/>
          <w:sz w:val="20"/>
        </w:rPr>
        <w:t>develop </w:t>
      </w:r>
      <w:r>
        <w:rPr>
          <w:sz w:val="20"/>
        </w:rPr>
        <w:t>standards and a code of conduct for Auslan </w:t>
      </w:r>
      <w:r>
        <w:rPr>
          <w:spacing w:val="-3"/>
          <w:sz w:val="20"/>
        </w:rPr>
        <w:t>interpreters, </w:t>
      </w:r>
      <w:r>
        <w:rPr>
          <w:sz w:val="20"/>
        </w:rPr>
        <w:t>which</w:t>
      </w:r>
      <w:r>
        <w:rPr>
          <w:spacing w:val="-11"/>
          <w:sz w:val="20"/>
        </w:rPr>
        <w:t> </w:t>
      </w:r>
      <w:r>
        <w:rPr>
          <w:sz w:val="20"/>
        </w:rPr>
        <w:t>outlines</w:t>
      </w:r>
      <w:r>
        <w:rPr>
          <w:spacing w:val="-11"/>
          <w:sz w:val="20"/>
        </w:rPr>
        <w:t> </w:t>
      </w:r>
      <w:r>
        <w:rPr>
          <w:sz w:val="20"/>
        </w:rPr>
        <w:t>their</w:t>
      </w:r>
      <w:r>
        <w:rPr>
          <w:spacing w:val="-11"/>
          <w:sz w:val="20"/>
        </w:rPr>
        <w:t> </w:t>
      </w:r>
      <w:r>
        <w:rPr>
          <w:spacing w:val="-3"/>
          <w:sz w:val="20"/>
        </w:rPr>
        <w:t>role</w:t>
      </w:r>
      <w:r>
        <w:rPr>
          <w:spacing w:val="-11"/>
          <w:sz w:val="20"/>
        </w:rPr>
        <w:t> </w:t>
      </w:r>
      <w:r>
        <w:rPr>
          <w:sz w:val="20"/>
        </w:rPr>
        <w:t>and</w:t>
      </w:r>
      <w:r>
        <w:rPr>
          <w:spacing w:val="-11"/>
          <w:sz w:val="20"/>
        </w:rPr>
        <w:t> </w:t>
      </w:r>
      <w:r>
        <w:rPr>
          <w:sz w:val="20"/>
        </w:rPr>
        <w:t>responsibilities.</w:t>
      </w:r>
      <w:r>
        <w:rPr>
          <w:spacing w:val="-11"/>
          <w:sz w:val="20"/>
        </w:rPr>
        <w:t> </w:t>
      </w:r>
      <w:r>
        <w:rPr>
          <w:sz w:val="20"/>
        </w:rPr>
        <w:t>Amendments</w:t>
      </w:r>
      <w:r>
        <w:rPr>
          <w:spacing w:val="-11"/>
          <w:sz w:val="20"/>
        </w:rPr>
        <w:t> </w:t>
      </w:r>
      <w:r>
        <w:rPr>
          <w:sz w:val="20"/>
        </w:rPr>
        <w:t>to</w:t>
      </w:r>
      <w:r>
        <w:rPr>
          <w:spacing w:val="-11"/>
          <w:sz w:val="20"/>
        </w:rPr>
        <w:t> </w:t>
      </w:r>
      <w:r>
        <w:rPr>
          <w:sz w:val="20"/>
        </w:rPr>
        <w:t>the</w:t>
      </w:r>
      <w:r>
        <w:rPr>
          <w:spacing w:val="-11"/>
          <w:sz w:val="20"/>
        </w:rPr>
        <w:t> </w:t>
      </w:r>
      <w:r>
        <w:rPr>
          <w:sz w:val="20"/>
        </w:rPr>
        <w:t>Juries</w:t>
      </w:r>
      <w:r>
        <w:rPr>
          <w:spacing w:val="-11"/>
          <w:sz w:val="20"/>
        </w:rPr>
        <w:t> </w:t>
      </w:r>
      <w:r>
        <w:rPr>
          <w:spacing w:val="-2"/>
          <w:sz w:val="20"/>
        </w:rPr>
        <w:t>Act</w:t>
      </w:r>
      <w:r>
        <w:rPr>
          <w:spacing w:val="-11"/>
          <w:sz w:val="20"/>
        </w:rPr>
        <w:t> </w:t>
      </w:r>
      <w:r>
        <w:rPr>
          <w:sz w:val="20"/>
        </w:rPr>
        <w:t>should</w:t>
      </w:r>
      <w:r>
        <w:rPr>
          <w:spacing w:val="-11"/>
          <w:sz w:val="20"/>
        </w:rPr>
        <w:t> </w:t>
      </w:r>
      <w:r>
        <w:rPr>
          <w:sz w:val="20"/>
        </w:rPr>
        <w:t>be accompanied</w:t>
      </w:r>
      <w:r>
        <w:rPr>
          <w:spacing w:val="-17"/>
          <w:sz w:val="20"/>
        </w:rPr>
        <w:t> </w:t>
      </w:r>
      <w:r>
        <w:rPr>
          <w:spacing w:val="-3"/>
          <w:sz w:val="20"/>
        </w:rPr>
        <w:t>by</w:t>
      </w:r>
      <w:r>
        <w:rPr>
          <w:spacing w:val="-17"/>
          <w:sz w:val="20"/>
        </w:rPr>
        <w:t> </w:t>
      </w:r>
      <w:r>
        <w:rPr>
          <w:sz w:val="20"/>
        </w:rPr>
        <w:t>regulation</w:t>
      </w:r>
      <w:r>
        <w:rPr>
          <w:spacing w:val="-17"/>
          <w:sz w:val="20"/>
        </w:rPr>
        <w:t> </w:t>
      </w:r>
      <w:r>
        <w:rPr>
          <w:sz w:val="20"/>
        </w:rPr>
        <w:t>that</w:t>
      </w:r>
      <w:r>
        <w:rPr>
          <w:spacing w:val="-17"/>
          <w:sz w:val="20"/>
        </w:rPr>
        <w:t> </w:t>
      </w:r>
      <w:r>
        <w:rPr>
          <w:sz w:val="20"/>
        </w:rPr>
        <w:t>includes</w:t>
      </w:r>
      <w:r>
        <w:rPr>
          <w:spacing w:val="-17"/>
          <w:sz w:val="20"/>
        </w:rPr>
        <w:t> </w:t>
      </w:r>
      <w:r>
        <w:rPr>
          <w:sz w:val="20"/>
        </w:rPr>
        <w:t>accreditation</w:t>
      </w:r>
      <w:r>
        <w:rPr>
          <w:spacing w:val="-17"/>
          <w:sz w:val="20"/>
        </w:rPr>
        <w:t> </w:t>
      </w:r>
      <w:r>
        <w:rPr>
          <w:sz w:val="20"/>
        </w:rPr>
        <w:t>requirements,</w:t>
      </w:r>
      <w:r>
        <w:rPr>
          <w:spacing w:val="-17"/>
          <w:sz w:val="20"/>
        </w:rPr>
        <w:t> </w:t>
      </w:r>
      <w:r>
        <w:rPr>
          <w:sz w:val="20"/>
        </w:rPr>
        <w:t>standards,</w:t>
      </w:r>
      <w:r>
        <w:rPr>
          <w:spacing w:val="-17"/>
          <w:sz w:val="20"/>
        </w:rPr>
        <w:t> </w:t>
      </w:r>
      <w:r>
        <w:rPr>
          <w:sz w:val="20"/>
        </w:rPr>
        <w:t>and</w:t>
      </w:r>
      <w:r>
        <w:rPr>
          <w:spacing w:val="-17"/>
          <w:sz w:val="20"/>
        </w:rPr>
        <w:t> </w:t>
      </w:r>
      <w:r>
        <w:rPr>
          <w:sz w:val="20"/>
        </w:rPr>
        <w:t>a code of conduct for Auslan</w:t>
      </w:r>
      <w:r>
        <w:rPr>
          <w:spacing w:val="-21"/>
          <w:sz w:val="20"/>
        </w:rPr>
        <w:t> </w:t>
      </w:r>
      <w:r>
        <w:rPr>
          <w:spacing w:val="-3"/>
          <w:sz w:val="20"/>
        </w:rPr>
        <w:t>interpreters.</w:t>
      </w:r>
    </w:p>
    <w:p>
      <w:pPr>
        <w:pStyle w:val="ListParagraph"/>
        <w:numPr>
          <w:ilvl w:val="0"/>
          <w:numId w:val="10"/>
        </w:numPr>
        <w:tabs>
          <w:tab w:pos="893" w:val="left" w:leader="none"/>
          <w:tab w:pos="894" w:val="left" w:leader="none"/>
        </w:tabs>
        <w:spacing w:line="206" w:lineRule="auto" w:before="90" w:after="0"/>
        <w:ind w:left="893" w:right="1973" w:hanging="793"/>
        <w:jc w:val="left"/>
        <w:rPr>
          <w:sz w:val="20"/>
        </w:rPr>
      </w:pPr>
      <w:r>
        <w:rPr>
          <w:sz w:val="20"/>
        </w:rPr>
        <w:t>An oath or affirmation for Auslan </w:t>
      </w:r>
      <w:r>
        <w:rPr>
          <w:spacing w:val="-3"/>
          <w:sz w:val="20"/>
        </w:rPr>
        <w:t>interpreters </w:t>
      </w:r>
      <w:r>
        <w:rPr>
          <w:sz w:val="20"/>
        </w:rPr>
        <w:t>should be included in the Juries </w:t>
      </w:r>
      <w:r>
        <w:rPr>
          <w:spacing w:val="-2"/>
          <w:sz w:val="20"/>
        </w:rPr>
        <w:t>Act</w:t>
      </w:r>
      <w:r>
        <w:rPr>
          <w:spacing w:val="-16"/>
          <w:sz w:val="20"/>
        </w:rPr>
        <w:t> </w:t>
      </w:r>
      <w:r>
        <w:rPr>
          <w:sz w:val="20"/>
        </w:rPr>
        <w:t>regarding</w:t>
      </w:r>
      <w:r>
        <w:rPr>
          <w:spacing w:val="-16"/>
          <w:sz w:val="20"/>
        </w:rPr>
        <w:t> </w:t>
      </w:r>
      <w:r>
        <w:rPr>
          <w:sz w:val="20"/>
        </w:rPr>
        <w:t>their</w:t>
      </w:r>
      <w:r>
        <w:rPr>
          <w:spacing w:val="-16"/>
          <w:sz w:val="20"/>
        </w:rPr>
        <w:t> </w:t>
      </w:r>
      <w:r>
        <w:rPr>
          <w:sz w:val="20"/>
        </w:rPr>
        <w:t>duty</w:t>
      </w:r>
      <w:r>
        <w:rPr>
          <w:spacing w:val="-17"/>
          <w:sz w:val="20"/>
        </w:rPr>
        <w:t> </w:t>
      </w:r>
      <w:r>
        <w:rPr>
          <w:sz w:val="20"/>
        </w:rPr>
        <w:t>to</w:t>
      </w:r>
      <w:r>
        <w:rPr>
          <w:spacing w:val="-16"/>
          <w:sz w:val="20"/>
        </w:rPr>
        <w:t> </w:t>
      </w:r>
      <w:r>
        <w:rPr>
          <w:sz w:val="20"/>
        </w:rPr>
        <w:t>maintain</w:t>
      </w:r>
      <w:r>
        <w:rPr>
          <w:spacing w:val="-16"/>
          <w:sz w:val="20"/>
        </w:rPr>
        <w:t> </w:t>
      </w:r>
      <w:r>
        <w:rPr>
          <w:sz w:val="20"/>
        </w:rPr>
        <w:t>confidentiality,</w:t>
      </w:r>
      <w:r>
        <w:rPr>
          <w:spacing w:val="-16"/>
          <w:sz w:val="20"/>
        </w:rPr>
        <w:t> </w:t>
      </w:r>
      <w:r>
        <w:rPr>
          <w:sz w:val="20"/>
        </w:rPr>
        <w:t>not</w:t>
      </w:r>
      <w:r>
        <w:rPr>
          <w:spacing w:val="-16"/>
          <w:sz w:val="20"/>
        </w:rPr>
        <w:t> </w:t>
      </w:r>
      <w:r>
        <w:rPr>
          <w:sz w:val="20"/>
        </w:rPr>
        <w:t>participate</w:t>
      </w:r>
      <w:r>
        <w:rPr>
          <w:spacing w:val="-16"/>
          <w:sz w:val="20"/>
        </w:rPr>
        <w:t> </w:t>
      </w:r>
      <w:r>
        <w:rPr>
          <w:sz w:val="20"/>
        </w:rPr>
        <w:t>in</w:t>
      </w:r>
      <w:r>
        <w:rPr>
          <w:spacing w:val="-16"/>
          <w:sz w:val="20"/>
        </w:rPr>
        <w:t> </w:t>
      </w:r>
      <w:r>
        <w:rPr>
          <w:sz w:val="20"/>
        </w:rPr>
        <w:t>or</w:t>
      </w:r>
      <w:r>
        <w:rPr>
          <w:spacing w:val="-16"/>
          <w:sz w:val="20"/>
        </w:rPr>
        <w:t> </w:t>
      </w:r>
      <w:r>
        <w:rPr>
          <w:sz w:val="20"/>
        </w:rPr>
        <w:t>disclose deliberations and </w:t>
      </w:r>
      <w:r>
        <w:rPr>
          <w:spacing w:val="-3"/>
          <w:sz w:val="20"/>
        </w:rPr>
        <w:t>interpret</w:t>
      </w:r>
      <w:r>
        <w:rPr>
          <w:spacing w:val="-13"/>
          <w:sz w:val="20"/>
        </w:rPr>
        <w:t> </w:t>
      </w:r>
      <w:r>
        <w:rPr>
          <w:spacing w:val="-4"/>
          <w:sz w:val="20"/>
        </w:rPr>
        <w:t>truthfully.</w:t>
      </w:r>
    </w:p>
    <w:p>
      <w:pPr>
        <w:pStyle w:val="ListParagraph"/>
        <w:numPr>
          <w:ilvl w:val="0"/>
          <w:numId w:val="10"/>
        </w:numPr>
        <w:tabs>
          <w:tab w:pos="893" w:val="left" w:leader="none"/>
          <w:tab w:pos="894" w:val="left" w:leader="none"/>
        </w:tabs>
        <w:spacing w:line="206" w:lineRule="auto" w:before="89" w:after="0"/>
        <w:ind w:left="893" w:right="1205" w:hanging="793"/>
        <w:jc w:val="left"/>
        <w:rPr>
          <w:sz w:val="20"/>
        </w:rPr>
      </w:pPr>
      <w:r>
        <w:rPr>
          <w:sz w:val="20"/>
        </w:rPr>
        <w:t>When</w:t>
      </w:r>
      <w:r>
        <w:rPr>
          <w:spacing w:val="-13"/>
          <w:sz w:val="20"/>
        </w:rPr>
        <w:t> </w:t>
      </w:r>
      <w:r>
        <w:rPr>
          <w:sz w:val="20"/>
        </w:rPr>
        <w:t>booking</w:t>
      </w:r>
      <w:r>
        <w:rPr>
          <w:spacing w:val="-12"/>
          <w:sz w:val="20"/>
        </w:rPr>
        <w:t> </w:t>
      </w:r>
      <w:r>
        <w:rPr>
          <w:sz w:val="20"/>
        </w:rPr>
        <w:t>Auslan</w:t>
      </w:r>
      <w:r>
        <w:rPr>
          <w:spacing w:val="-12"/>
          <w:sz w:val="20"/>
        </w:rPr>
        <w:t> </w:t>
      </w:r>
      <w:r>
        <w:rPr>
          <w:spacing w:val="-3"/>
          <w:sz w:val="20"/>
        </w:rPr>
        <w:t>interpreters,</w:t>
      </w:r>
      <w:r>
        <w:rPr>
          <w:spacing w:val="-13"/>
          <w:sz w:val="20"/>
        </w:rPr>
        <w:t> </w:t>
      </w:r>
      <w:r>
        <w:rPr>
          <w:sz w:val="20"/>
        </w:rPr>
        <w:t>Juries</w:t>
      </w:r>
      <w:r>
        <w:rPr>
          <w:spacing w:val="-12"/>
          <w:sz w:val="20"/>
        </w:rPr>
        <w:t> </w:t>
      </w:r>
      <w:r>
        <w:rPr>
          <w:sz w:val="20"/>
        </w:rPr>
        <w:t>Victoria</w:t>
      </w:r>
      <w:r>
        <w:rPr>
          <w:spacing w:val="-12"/>
          <w:sz w:val="20"/>
        </w:rPr>
        <w:t> </w:t>
      </w:r>
      <w:r>
        <w:rPr>
          <w:sz w:val="20"/>
        </w:rPr>
        <w:t>should</w:t>
      </w:r>
      <w:r>
        <w:rPr>
          <w:spacing w:val="-13"/>
          <w:sz w:val="20"/>
        </w:rPr>
        <w:t> </w:t>
      </w:r>
      <w:r>
        <w:rPr>
          <w:sz w:val="20"/>
        </w:rPr>
        <w:t>ensure</w:t>
      </w:r>
      <w:r>
        <w:rPr>
          <w:spacing w:val="-12"/>
          <w:sz w:val="20"/>
        </w:rPr>
        <w:t> </w:t>
      </w:r>
      <w:r>
        <w:rPr>
          <w:sz w:val="20"/>
        </w:rPr>
        <w:t>that</w:t>
      </w:r>
      <w:r>
        <w:rPr>
          <w:spacing w:val="-12"/>
          <w:sz w:val="20"/>
        </w:rPr>
        <w:t> </w:t>
      </w:r>
      <w:r>
        <w:rPr>
          <w:spacing w:val="-3"/>
          <w:sz w:val="20"/>
        </w:rPr>
        <w:t>wherever</w:t>
      </w:r>
      <w:r>
        <w:rPr>
          <w:spacing w:val="-13"/>
          <w:sz w:val="20"/>
        </w:rPr>
        <w:t> </w:t>
      </w:r>
      <w:r>
        <w:rPr>
          <w:sz w:val="20"/>
        </w:rPr>
        <w:t>possible the same </w:t>
      </w:r>
      <w:r>
        <w:rPr>
          <w:spacing w:val="-3"/>
          <w:sz w:val="20"/>
        </w:rPr>
        <w:t>interpreters are available </w:t>
      </w:r>
      <w:r>
        <w:rPr>
          <w:sz w:val="20"/>
        </w:rPr>
        <w:t>for the duration of the trial to maintain consistency in</w:t>
      </w:r>
      <w:r>
        <w:rPr>
          <w:spacing w:val="-5"/>
          <w:sz w:val="20"/>
        </w:rPr>
        <w:t> </w:t>
      </w:r>
      <w:r>
        <w:rPr>
          <w:sz w:val="20"/>
        </w:rPr>
        <w:t>interpreting.</w:t>
      </w:r>
    </w:p>
    <w:p>
      <w:pPr>
        <w:spacing w:after="0" w:line="206" w:lineRule="auto"/>
        <w:jc w:val="left"/>
        <w:rPr>
          <w:sz w:val="20"/>
        </w:rPr>
        <w:sectPr>
          <w:type w:val="continuous"/>
          <w:pgSz w:w="11910" w:h="16840"/>
          <w:pgMar w:top="620" w:bottom="280" w:left="620" w:right="380"/>
          <w:cols w:num="2" w:equalWidth="0">
            <w:col w:w="591" w:space="276"/>
            <w:col w:w="10043"/>
          </w:cols>
        </w:sectPr>
      </w:pPr>
    </w:p>
    <w:p>
      <w:pPr>
        <w:pStyle w:val="BodyText"/>
      </w:pPr>
    </w:p>
    <w:p>
      <w:pPr>
        <w:pStyle w:val="BodyText"/>
      </w:pPr>
    </w:p>
    <w:p>
      <w:pPr>
        <w:pStyle w:val="BodyText"/>
      </w:pPr>
    </w:p>
    <w:p>
      <w:pPr>
        <w:pStyle w:val="BodyText"/>
        <w:spacing w:before="6"/>
        <w:rPr>
          <w:sz w:val="14"/>
        </w:rPr>
      </w:pPr>
    </w:p>
    <w:p>
      <w:pPr>
        <w:pStyle w:val="ListParagraph"/>
        <w:numPr>
          <w:ilvl w:val="0"/>
          <w:numId w:val="10"/>
        </w:numPr>
        <w:tabs>
          <w:tab w:pos="1761" w:val="left" w:leader="none"/>
          <w:tab w:pos="1762" w:val="left" w:leader="none"/>
        </w:tabs>
        <w:spacing w:line="206" w:lineRule="auto" w:before="90" w:after="0"/>
        <w:ind w:left="1761" w:right="1586" w:hanging="794"/>
        <w:jc w:val="left"/>
        <w:rPr>
          <w:sz w:val="20"/>
        </w:rPr>
      </w:pPr>
      <w:r>
        <w:rPr>
          <w:sz w:val="20"/>
        </w:rPr>
        <w:t>Juries</w:t>
      </w:r>
      <w:r>
        <w:rPr>
          <w:spacing w:val="-11"/>
          <w:sz w:val="20"/>
        </w:rPr>
        <w:t> </w:t>
      </w:r>
      <w:r>
        <w:rPr>
          <w:sz w:val="20"/>
        </w:rPr>
        <w:t>Victoria</w:t>
      </w:r>
      <w:r>
        <w:rPr>
          <w:spacing w:val="-10"/>
          <w:sz w:val="20"/>
        </w:rPr>
        <w:t> </w:t>
      </w:r>
      <w:r>
        <w:rPr>
          <w:sz w:val="20"/>
        </w:rPr>
        <w:t>should</w:t>
      </w:r>
      <w:r>
        <w:rPr>
          <w:spacing w:val="-10"/>
          <w:sz w:val="20"/>
        </w:rPr>
        <w:t> </w:t>
      </w:r>
      <w:r>
        <w:rPr>
          <w:sz w:val="20"/>
        </w:rPr>
        <w:t>retain</w:t>
      </w:r>
      <w:r>
        <w:rPr>
          <w:spacing w:val="-10"/>
          <w:sz w:val="20"/>
        </w:rPr>
        <w:t> </w:t>
      </w:r>
      <w:r>
        <w:rPr>
          <w:sz w:val="20"/>
        </w:rPr>
        <w:t>data</w:t>
      </w:r>
      <w:r>
        <w:rPr>
          <w:spacing w:val="-10"/>
          <w:sz w:val="20"/>
        </w:rPr>
        <w:t> </w:t>
      </w:r>
      <w:r>
        <w:rPr>
          <w:sz w:val="20"/>
        </w:rPr>
        <w:t>about</w:t>
      </w:r>
      <w:r>
        <w:rPr>
          <w:spacing w:val="-10"/>
          <w:sz w:val="20"/>
        </w:rPr>
        <w:t> </w:t>
      </w:r>
      <w:r>
        <w:rPr>
          <w:sz w:val="20"/>
        </w:rPr>
        <w:t>the</w:t>
      </w:r>
      <w:r>
        <w:rPr>
          <w:spacing w:val="-11"/>
          <w:sz w:val="20"/>
        </w:rPr>
        <w:t> </w:t>
      </w:r>
      <w:r>
        <w:rPr>
          <w:sz w:val="20"/>
        </w:rPr>
        <w:t>number</w:t>
      </w:r>
      <w:r>
        <w:rPr>
          <w:spacing w:val="-10"/>
          <w:sz w:val="20"/>
        </w:rPr>
        <w:t> </w:t>
      </w:r>
      <w:r>
        <w:rPr>
          <w:sz w:val="20"/>
        </w:rPr>
        <w:t>of</w:t>
      </w:r>
      <w:r>
        <w:rPr>
          <w:spacing w:val="-10"/>
          <w:sz w:val="20"/>
        </w:rPr>
        <w:t> </w:t>
      </w:r>
      <w:r>
        <w:rPr>
          <w:sz w:val="20"/>
        </w:rPr>
        <w:t>bookings</w:t>
      </w:r>
      <w:r>
        <w:rPr>
          <w:spacing w:val="-10"/>
          <w:sz w:val="20"/>
        </w:rPr>
        <w:t> </w:t>
      </w:r>
      <w:r>
        <w:rPr>
          <w:sz w:val="20"/>
        </w:rPr>
        <w:t>it</w:t>
      </w:r>
      <w:r>
        <w:rPr>
          <w:spacing w:val="-10"/>
          <w:sz w:val="20"/>
        </w:rPr>
        <w:t> </w:t>
      </w:r>
      <w:r>
        <w:rPr>
          <w:spacing w:val="-3"/>
          <w:sz w:val="20"/>
        </w:rPr>
        <w:t>makes</w:t>
      </w:r>
      <w:r>
        <w:rPr>
          <w:spacing w:val="-10"/>
          <w:sz w:val="20"/>
        </w:rPr>
        <w:t> </w:t>
      </w:r>
      <w:r>
        <w:rPr>
          <w:sz w:val="20"/>
        </w:rPr>
        <w:t>for</w:t>
      </w:r>
      <w:r>
        <w:rPr>
          <w:spacing w:val="-10"/>
          <w:sz w:val="20"/>
        </w:rPr>
        <w:t> </w:t>
      </w:r>
      <w:r>
        <w:rPr>
          <w:sz w:val="20"/>
        </w:rPr>
        <w:t>Auslan </w:t>
      </w:r>
      <w:r>
        <w:rPr>
          <w:spacing w:val="-3"/>
          <w:sz w:val="20"/>
        </w:rPr>
        <w:t>interpreters,</w:t>
      </w:r>
      <w:r>
        <w:rPr>
          <w:spacing w:val="-7"/>
          <w:sz w:val="20"/>
        </w:rPr>
        <w:t> </w:t>
      </w:r>
      <w:r>
        <w:rPr>
          <w:sz w:val="20"/>
        </w:rPr>
        <w:t>including</w:t>
      </w:r>
      <w:r>
        <w:rPr>
          <w:spacing w:val="-6"/>
          <w:sz w:val="20"/>
        </w:rPr>
        <w:t> </w:t>
      </w:r>
      <w:r>
        <w:rPr>
          <w:sz w:val="20"/>
        </w:rPr>
        <w:t>the</w:t>
      </w:r>
      <w:r>
        <w:rPr>
          <w:spacing w:val="-6"/>
          <w:sz w:val="20"/>
        </w:rPr>
        <w:t> </w:t>
      </w:r>
      <w:r>
        <w:rPr>
          <w:sz w:val="20"/>
        </w:rPr>
        <w:t>number</w:t>
      </w:r>
      <w:r>
        <w:rPr>
          <w:spacing w:val="-7"/>
          <w:sz w:val="20"/>
        </w:rPr>
        <w:t> </w:t>
      </w:r>
      <w:r>
        <w:rPr>
          <w:sz w:val="20"/>
        </w:rPr>
        <w:t>of</w:t>
      </w:r>
      <w:r>
        <w:rPr>
          <w:spacing w:val="-6"/>
          <w:sz w:val="20"/>
        </w:rPr>
        <w:t> </w:t>
      </w:r>
      <w:r>
        <w:rPr>
          <w:spacing w:val="-3"/>
          <w:sz w:val="20"/>
        </w:rPr>
        <w:t>interpreters</w:t>
      </w:r>
      <w:r>
        <w:rPr>
          <w:spacing w:val="-6"/>
          <w:sz w:val="20"/>
        </w:rPr>
        <w:t> </w:t>
      </w:r>
      <w:r>
        <w:rPr>
          <w:sz w:val="20"/>
        </w:rPr>
        <w:t>and</w:t>
      </w:r>
      <w:r>
        <w:rPr>
          <w:spacing w:val="-7"/>
          <w:sz w:val="20"/>
        </w:rPr>
        <w:t> </w:t>
      </w:r>
      <w:r>
        <w:rPr>
          <w:spacing w:val="-3"/>
          <w:sz w:val="20"/>
        </w:rPr>
        <w:t>how</w:t>
      </w:r>
      <w:r>
        <w:rPr>
          <w:spacing w:val="-6"/>
          <w:sz w:val="20"/>
        </w:rPr>
        <w:t> </w:t>
      </w:r>
      <w:r>
        <w:rPr>
          <w:sz w:val="20"/>
        </w:rPr>
        <w:t>long</w:t>
      </w:r>
      <w:r>
        <w:rPr>
          <w:spacing w:val="-6"/>
          <w:sz w:val="20"/>
        </w:rPr>
        <w:t> </w:t>
      </w:r>
      <w:r>
        <w:rPr>
          <w:sz w:val="20"/>
        </w:rPr>
        <w:t>they</w:t>
      </w:r>
      <w:r>
        <w:rPr>
          <w:spacing w:val="-7"/>
          <w:sz w:val="20"/>
        </w:rPr>
        <w:t> </w:t>
      </w:r>
      <w:r>
        <w:rPr>
          <w:spacing w:val="-3"/>
          <w:sz w:val="20"/>
        </w:rPr>
        <w:t>are</w:t>
      </w:r>
      <w:r>
        <w:rPr>
          <w:spacing w:val="-6"/>
          <w:sz w:val="20"/>
        </w:rPr>
        <w:t> </w:t>
      </w:r>
      <w:r>
        <w:rPr>
          <w:sz w:val="20"/>
        </w:rPr>
        <w:t>needed.</w:t>
      </w:r>
    </w:p>
    <w:p>
      <w:pPr>
        <w:pStyle w:val="ListParagraph"/>
        <w:numPr>
          <w:ilvl w:val="0"/>
          <w:numId w:val="10"/>
        </w:numPr>
        <w:tabs>
          <w:tab w:pos="1761" w:val="left" w:leader="none"/>
          <w:tab w:pos="1762" w:val="left" w:leader="none"/>
        </w:tabs>
        <w:spacing w:line="206" w:lineRule="auto" w:before="88" w:after="0"/>
        <w:ind w:left="1761" w:right="1305" w:hanging="794"/>
        <w:jc w:val="left"/>
        <w:rPr>
          <w:sz w:val="20"/>
        </w:rPr>
      </w:pPr>
      <w:r>
        <w:rPr>
          <w:sz w:val="20"/>
        </w:rPr>
        <w:t>The</w:t>
      </w:r>
      <w:r>
        <w:rPr>
          <w:spacing w:val="-9"/>
          <w:sz w:val="20"/>
        </w:rPr>
        <w:t> </w:t>
      </w:r>
      <w:r>
        <w:rPr>
          <w:sz w:val="20"/>
        </w:rPr>
        <w:t>courts</w:t>
      </w:r>
      <w:r>
        <w:rPr>
          <w:spacing w:val="-8"/>
          <w:sz w:val="20"/>
        </w:rPr>
        <w:t> </w:t>
      </w:r>
      <w:r>
        <w:rPr>
          <w:sz w:val="20"/>
        </w:rPr>
        <w:t>and</w:t>
      </w:r>
      <w:r>
        <w:rPr>
          <w:spacing w:val="-8"/>
          <w:sz w:val="20"/>
        </w:rPr>
        <w:t> </w:t>
      </w:r>
      <w:r>
        <w:rPr>
          <w:sz w:val="20"/>
        </w:rPr>
        <w:t>Juries</w:t>
      </w:r>
      <w:r>
        <w:rPr>
          <w:spacing w:val="-8"/>
          <w:sz w:val="20"/>
        </w:rPr>
        <w:t> </w:t>
      </w:r>
      <w:r>
        <w:rPr>
          <w:sz w:val="20"/>
        </w:rPr>
        <w:t>Victoria</w:t>
      </w:r>
      <w:r>
        <w:rPr>
          <w:spacing w:val="-8"/>
          <w:sz w:val="20"/>
        </w:rPr>
        <w:t> </w:t>
      </w:r>
      <w:r>
        <w:rPr>
          <w:sz w:val="20"/>
        </w:rPr>
        <w:t>should</w:t>
      </w:r>
      <w:r>
        <w:rPr>
          <w:spacing w:val="-8"/>
          <w:sz w:val="20"/>
        </w:rPr>
        <w:t> </w:t>
      </w:r>
      <w:r>
        <w:rPr>
          <w:spacing w:val="-3"/>
          <w:sz w:val="20"/>
        </w:rPr>
        <w:t>pay</w:t>
      </w:r>
      <w:r>
        <w:rPr>
          <w:spacing w:val="-8"/>
          <w:sz w:val="20"/>
        </w:rPr>
        <w:t> </w:t>
      </w:r>
      <w:r>
        <w:rPr>
          <w:sz w:val="20"/>
        </w:rPr>
        <w:t>Auslan</w:t>
      </w:r>
      <w:r>
        <w:rPr>
          <w:spacing w:val="-8"/>
          <w:sz w:val="20"/>
        </w:rPr>
        <w:t> </w:t>
      </w:r>
      <w:r>
        <w:rPr>
          <w:spacing w:val="-3"/>
          <w:sz w:val="20"/>
        </w:rPr>
        <w:t>interpreters</w:t>
      </w:r>
      <w:r>
        <w:rPr>
          <w:spacing w:val="-8"/>
          <w:sz w:val="20"/>
        </w:rPr>
        <w:t> </w:t>
      </w:r>
      <w:r>
        <w:rPr>
          <w:sz w:val="20"/>
        </w:rPr>
        <w:t>who</w:t>
      </w:r>
      <w:r>
        <w:rPr>
          <w:spacing w:val="-8"/>
          <w:sz w:val="20"/>
        </w:rPr>
        <w:t> </w:t>
      </w:r>
      <w:r>
        <w:rPr>
          <w:sz w:val="20"/>
        </w:rPr>
        <w:t>undertake</w:t>
      </w:r>
      <w:r>
        <w:rPr>
          <w:spacing w:val="-9"/>
          <w:sz w:val="20"/>
        </w:rPr>
        <w:t> </w:t>
      </w:r>
      <w:r>
        <w:rPr>
          <w:sz w:val="20"/>
        </w:rPr>
        <w:t>jury</w:t>
      </w:r>
      <w:r>
        <w:rPr>
          <w:spacing w:val="-8"/>
          <w:sz w:val="20"/>
        </w:rPr>
        <w:t> </w:t>
      </w:r>
      <w:r>
        <w:rPr>
          <w:spacing w:val="-3"/>
          <w:sz w:val="20"/>
        </w:rPr>
        <w:t>work </w:t>
      </w:r>
      <w:r>
        <w:rPr>
          <w:sz w:val="20"/>
        </w:rPr>
        <w:t>a </w:t>
      </w:r>
      <w:r>
        <w:rPr>
          <w:spacing w:val="-3"/>
          <w:sz w:val="20"/>
        </w:rPr>
        <w:t>rate </w:t>
      </w:r>
      <w:r>
        <w:rPr>
          <w:sz w:val="20"/>
        </w:rPr>
        <w:t>that is commensurate of the skill </w:t>
      </w:r>
      <w:r>
        <w:rPr>
          <w:spacing w:val="-3"/>
          <w:sz w:val="20"/>
        </w:rPr>
        <w:t>required </w:t>
      </w:r>
      <w:r>
        <w:rPr>
          <w:sz w:val="20"/>
        </w:rPr>
        <w:t>to perform the </w:t>
      </w:r>
      <w:r>
        <w:rPr>
          <w:spacing w:val="-3"/>
          <w:sz w:val="20"/>
        </w:rPr>
        <w:t>role </w:t>
      </w:r>
      <w:r>
        <w:rPr>
          <w:sz w:val="20"/>
        </w:rPr>
        <w:t>and at a </w:t>
      </w:r>
      <w:r>
        <w:rPr>
          <w:spacing w:val="-4"/>
          <w:sz w:val="20"/>
        </w:rPr>
        <w:t>level </w:t>
      </w:r>
      <w:r>
        <w:rPr>
          <w:sz w:val="20"/>
        </w:rPr>
        <w:t>that will</w:t>
      </w:r>
      <w:r>
        <w:rPr>
          <w:spacing w:val="-6"/>
          <w:sz w:val="20"/>
        </w:rPr>
        <w:t> </w:t>
      </w:r>
      <w:r>
        <w:rPr>
          <w:sz w:val="20"/>
        </w:rPr>
        <w:t>retain</w:t>
      </w:r>
      <w:r>
        <w:rPr>
          <w:spacing w:val="-5"/>
          <w:sz w:val="20"/>
        </w:rPr>
        <w:t> </w:t>
      </w:r>
      <w:r>
        <w:rPr>
          <w:sz w:val="20"/>
        </w:rPr>
        <w:t>and</w:t>
      </w:r>
      <w:r>
        <w:rPr>
          <w:spacing w:val="-5"/>
          <w:sz w:val="20"/>
        </w:rPr>
        <w:t> </w:t>
      </w:r>
      <w:r>
        <w:rPr>
          <w:sz w:val="20"/>
        </w:rPr>
        <w:t>attract</w:t>
      </w:r>
      <w:r>
        <w:rPr>
          <w:spacing w:val="-5"/>
          <w:sz w:val="20"/>
        </w:rPr>
        <w:t> </w:t>
      </w:r>
      <w:r>
        <w:rPr>
          <w:sz w:val="20"/>
        </w:rPr>
        <w:t>Auslan</w:t>
      </w:r>
      <w:r>
        <w:rPr>
          <w:spacing w:val="-5"/>
          <w:sz w:val="20"/>
        </w:rPr>
        <w:t> </w:t>
      </w:r>
      <w:r>
        <w:rPr>
          <w:spacing w:val="-3"/>
          <w:sz w:val="20"/>
        </w:rPr>
        <w:t>interpreters</w:t>
      </w:r>
      <w:r>
        <w:rPr>
          <w:spacing w:val="-5"/>
          <w:sz w:val="20"/>
        </w:rPr>
        <w:t> </w:t>
      </w:r>
      <w:r>
        <w:rPr>
          <w:sz w:val="20"/>
        </w:rPr>
        <w:t>to</w:t>
      </w:r>
      <w:r>
        <w:rPr>
          <w:spacing w:val="-5"/>
          <w:sz w:val="20"/>
        </w:rPr>
        <w:t> </w:t>
      </w:r>
      <w:r>
        <w:rPr>
          <w:sz w:val="20"/>
        </w:rPr>
        <w:t>do</w:t>
      </w:r>
      <w:r>
        <w:rPr>
          <w:spacing w:val="-5"/>
          <w:sz w:val="20"/>
        </w:rPr>
        <w:t> </w:t>
      </w:r>
      <w:r>
        <w:rPr>
          <w:sz w:val="20"/>
        </w:rPr>
        <w:t>this</w:t>
      </w:r>
      <w:r>
        <w:rPr>
          <w:spacing w:val="-5"/>
          <w:sz w:val="20"/>
        </w:rPr>
        <w:t> </w:t>
      </w:r>
      <w:r>
        <w:rPr>
          <w:sz w:val="20"/>
        </w:rPr>
        <w:t>type</w:t>
      </w:r>
      <w:r>
        <w:rPr>
          <w:spacing w:val="-5"/>
          <w:sz w:val="20"/>
        </w:rPr>
        <w:t> </w:t>
      </w:r>
      <w:r>
        <w:rPr>
          <w:sz w:val="20"/>
        </w:rPr>
        <w:t>of</w:t>
      </w:r>
      <w:r>
        <w:rPr>
          <w:spacing w:val="-6"/>
          <w:sz w:val="20"/>
        </w:rPr>
        <w:t> </w:t>
      </w:r>
      <w:r>
        <w:rPr>
          <w:sz w:val="20"/>
        </w:rPr>
        <w:t>work.</w:t>
      </w:r>
    </w:p>
    <w:p>
      <w:pPr>
        <w:spacing w:before="194"/>
        <w:ind w:left="967" w:right="0" w:firstLine="0"/>
        <w:jc w:val="left"/>
        <w:rPr>
          <w:rFonts w:ascii="Raleway ExtraBold"/>
          <w:b/>
          <w:sz w:val="28"/>
        </w:rPr>
      </w:pPr>
      <w:r>
        <w:rPr>
          <w:rFonts w:ascii="Raleway ExtraBold"/>
          <w:b/>
          <w:color w:val="37617A"/>
          <w:sz w:val="28"/>
        </w:rPr>
        <w:t>Chapter 15</w:t>
      </w:r>
    </w:p>
    <w:p>
      <w:pPr>
        <w:pStyle w:val="ListParagraph"/>
        <w:numPr>
          <w:ilvl w:val="0"/>
          <w:numId w:val="10"/>
        </w:numPr>
        <w:tabs>
          <w:tab w:pos="1761" w:val="left" w:leader="none"/>
          <w:tab w:pos="1762" w:val="left" w:leader="none"/>
        </w:tabs>
        <w:spacing w:line="206" w:lineRule="auto" w:before="146" w:after="0"/>
        <w:ind w:left="1761" w:right="1391" w:hanging="794"/>
        <w:jc w:val="left"/>
        <w:rPr>
          <w:sz w:val="20"/>
        </w:rPr>
      </w:pPr>
      <w:r>
        <w:rPr>
          <w:sz w:val="20"/>
        </w:rPr>
        <w:t>The</w:t>
      </w:r>
      <w:r>
        <w:rPr>
          <w:spacing w:val="-13"/>
          <w:sz w:val="20"/>
        </w:rPr>
        <w:t> </w:t>
      </w:r>
      <w:r>
        <w:rPr>
          <w:sz w:val="20"/>
        </w:rPr>
        <w:t>courts</w:t>
      </w:r>
      <w:r>
        <w:rPr>
          <w:spacing w:val="-12"/>
          <w:sz w:val="20"/>
        </w:rPr>
        <w:t> </w:t>
      </w:r>
      <w:r>
        <w:rPr>
          <w:sz w:val="20"/>
        </w:rPr>
        <w:t>and</w:t>
      </w:r>
      <w:r>
        <w:rPr>
          <w:spacing w:val="-12"/>
          <w:sz w:val="20"/>
        </w:rPr>
        <w:t> </w:t>
      </w:r>
      <w:r>
        <w:rPr>
          <w:sz w:val="20"/>
        </w:rPr>
        <w:t>Juries</w:t>
      </w:r>
      <w:r>
        <w:rPr>
          <w:spacing w:val="-13"/>
          <w:sz w:val="20"/>
        </w:rPr>
        <w:t> </w:t>
      </w:r>
      <w:r>
        <w:rPr>
          <w:sz w:val="20"/>
        </w:rPr>
        <w:t>Victoria</w:t>
      </w:r>
      <w:r>
        <w:rPr>
          <w:spacing w:val="-12"/>
          <w:sz w:val="20"/>
        </w:rPr>
        <w:t> </w:t>
      </w:r>
      <w:r>
        <w:rPr>
          <w:sz w:val="20"/>
        </w:rPr>
        <w:t>should</w:t>
      </w:r>
      <w:r>
        <w:rPr>
          <w:spacing w:val="-12"/>
          <w:sz w:val="20"/>
        </w:rPr>
        <w:t> </w:t>
      </w:r>
      <w:r>
        <w:rPr>
          <w:sz w:val="20"/>
        </w:rPr>
        <w:t>ensure</w:t>
      </w:r>
      <w:r>
        <w:rPr>
          <w:spacing w:val="-13"/>
          <w:sz w:val="20"/>
        </w:rPr>
        <w:t> </w:t>
      </w:r>
      <w:r>
        <w:rPr>
          <w:sz w:val="20"/>
        </w:rPr>
        <w:t>that</w:t>
      </w:r>
      <w:r>
        <w:rPr>
          <w:spacing w:val="-12"/>
          <w:sz w:val="20"/>
        </w:rPr>
        <w:t> </w:t>
      </w:r>
      <w:r>
        <w:rPr>
          <w:sz w:val="20"/>
        </w:rPr>
        <w:t>an</w:t>
      </w:r>
      <w:r>
        <w:rPr>
          <w:spacing w:val="-12"/>
          <w:sz w:val="20"/>
        </w:rPr>
        <w:t> </w:t>
      </w:r>
      <w:r>
        <w:rPr>
          <w:sz w:val="20"/>
        </w:rPr>
        <w:t>accessibility</w:t>
      </w:r>
      <w:r>
        <w:rPr>
          <w:spacing w:val="-12"/>
          <w:sz w:val="20"/>
        </w:rPr>
        <w:t> </w:t>
      </w:r>
      <w:r>
        <w:rPr>
          <w:sz w:val="20"/>
        </w:rPr>
        <w:t>officer</w:t>
      </w:r>
      <w:r>
        <w:rPr>
          <w:spacing w:val="-13"/>
          <w:sz w:val="20"/>
        </w:rPr>
        <w:t> </w:t>
      </w:r>
      <w:r>
        <w:rPr>
          <w:sz w:val="20"/>
        </w:rPr>
        <w:t>is</w:t>
      </w:r>
      <w:r>
        <w:rPr>
          <w:spacing w:val="-12"/>
          <w:sz w:val="20"/>
        </w:rPr>
        <w:t> </w:t>
      </w:r>
      <w:r>
        <w:rPr>
          <w:spacing w:val="-3"/>
          <w:sz w:val="20"/>
        </w:rPr>
        <w:t>available</w:t>
      </w:r>
      <w:r>
        <w:rPr>
          <w:spacing w:val="-12"/>
          <w:sz w:val="20"/>
        </w:rPr>
        <w:t> </w:t>
      </w:r>
      <w:r>
        <w:rPr>
          <w:sz w:val="20"/>
        </w:rPr>
        <w:t>to assist a person </w:t>
      </w:r>
      <w:r>
        <w:rPr>
          <w:spacing w:val="-3"/>
          <w:sz w:val="20"/>
        </w:rPr>
        <w:t>from </w:t>
      </w:r>
      <w:r>
        <w:rPr>
          <w:sz w:val="20"/>
        </w:rPr>
        <w:t>the subject groups, where needed, with practical and logistical issues throughout the jury selection process and the trial. This person </w:t>
      </w:r>
      <w:r>
        <w:rPr>
          <w:spacing w:val="-3"/>
          <w:sz w:val="20"/>
        </w:rPr>
        <w:t>would </w:t>
      </w:r>
      <w:r>
        <w:rPr>
          <w:sz w:val="20"/>
        </w:rPr>
        <w:t>not be permitted to enter the jury deliberation</w:t>
      </w:r>
      <w:r>
        <w:rPr>
          <w:spacing w:val="-29"/>
          <w:sz w:val="20"/>
        </w:rPr>
        <w:t> </w:t>
      </w:r>
      <w:r>
        <w:rPr>
          <w:sz w:val="20"/>
        </w:rPr>
        <w:t>room.</w:t>
      </w:r>
    </w:p>
    <w:p>
      <w:pPr>
        <w:pStyle w:val="ListParagraph"/>
        <w:numPr>
          <w:ilvl w:val="0"/>
          <w:numId w:val="10"/>
        </w:numPr>
        <w:tabs>
          <w:tab w:pos="1761" w:val="left" w:leader="none"/>
          <w:tab w:pos="1762" w:val="left" w:leader="none"/>
        </w:tabs>
        <w:spacing w:line="206" w:lineRule="auto" w:before="90" w:after="0"/>
        <w:ind w:left="1761" w:right="1348" w:hanging="794"/>
        <w:jc w:val="both"/>
        <w:rPr>
          <w:sz w:val="20"/>
        </w:rPr>
      </w:pPr>
      <w:r>
        <w:rPr>
          <w:sz w:val="20"/>
        </w:rPr>
        <w:t>The</w:t>
      </w:r>
      <w:r>
        <w:rPr>
          <w:spacing w:val="-10"/>
          <w:sz w:val="20"/>
        </w:rPr>
        <w:t> </w:t>
      </w:r>
      <w:r>
        <w:rPr>
          <w:sz w:val="20"/>
        </w:rPr>
        <w:t>Juries</w:t>
      </w:r>
      <w:r>
        <w:rPr>
          <w:spacing w:val="-9"/>
          <w:sz w:val="20"/>
        </w:rPr>
        <w:t> </w:t>
      </w:r>
      <w:r>
        <w:rPr>
          <w:spacing w:val="-2"/>
          <w:sz w:val="20"/>
        </w:rPr>
        <w:t>Act</w:t>
      </w:r>
      <w:r>
        <w:rPr>
          <w:spacing w:val="-9"/>
          <w:sz w:val="20"/>
        </w:rPr>
        <w:t> </w:t>
      </w:r>
      <w:r>
        <w:rPr>
          <w:sz w:val="20"/>
        </w:rPr>
        <w:t>should</w:t>
      </w:r>
      <w:r>
        <w:rPr>
          <w:spacing w:val="-9"/>
          <w:sz w:val="20"/>
        </w:rPr>
        <w:t> </w:t>
      </w:r>
      <w:r>
        <w:rPr>
          <w:sz w:val="20"/>
        </w:rPr>
        <w:t>be</w:t>
      </w:r>
      <w:r>
        <w:rPr>
          <w:spacing w:val="-9"/>
          <w:sz w:val="20"/>
        </w:rPr>
        <w:t> </w:t>
      </w:r>
      <w:r>
        <w:rPr>
          <w:sz w:val="20"/>
        </w:rPr>
        <w:t>amended</w:t>
      </w:r>
      <w:r>
        <w:rPr>
          <w:spacing w:val="-9"/>
          <w:sz w:val="20"/>
        </w:rPr>
        <w:t> </w:t>
      </w:r>
      <w:r>
        <w:rPr>
          <w:sz w:val="20"/>
        </w:rPr>
        <w:t>to</w:t>
      </w:r>
      <w:r>
        <w:rPr>
          <w:spacing w:val="-9"/>
          <w:sz w:val="20"/>
        </w:rPr>
        <w:t> </w:t>
      </w:r>
      <w:r>
        <w:rPr>
          <w:spacing w:val="-3"/>
          <w:sz w:val="20"/>
        </w:rPr>
        <w:t>provide</w:t>
      </w:r>
      <w:r>
        <w:rPr>
          <w:spacing w:val="-9"/>
          <w:sz w:val="20"/>
        </w:rPr>
        <w:t> </w:t>
      </w:r>
      <w:r>
        <w:rPr>
          <w:sz w:val="20"/>
        </w:rPr>
        <w:t>for</w:t>
      </w:r>
      <w:r>
        <w:rPr>
          <w:spacing w:val="-9"/>
          <w:sz w:val="20"/>
        </w:rPr>
        <w:t> </w:t>
      </w:r>
      <w:r>
        <w:rPr>
          <w:sz w:val="20"/>
        </w:rPr>
        <w:t>the</w:t>
      </w:r>
      <w:r>
        <w:rPr>
          <w:spacing w:val="-9"/>
          <w:sz w:val="20"/>
        </w:rPr>
        <w:t> </w:t>
      </w:r>
      <w:r>
        <w:rPr>
          <w:sz w:val="20"/>
        </w:rPr>
        <w:t>appointment</w:t>
      </w:r>
      <w:r>
        <w:rPr>
          <w:spacing w:val="-9"/>
          <w:sz w:val="20"/>
        </w:rPr>
        <w:t> </w:t>
      </w:r>
      <w:r>
        <w:rPr>
          <w:sz w:val="20"/>
        </w:rPr>
        <w:t>of</w:t>
      </w:r>
      <w:r>
        <w:rPr>
          <w:spacing w:val="-10"/>
          <w:sz w:val="20"/>
        </w:rPr>
        <w:t> </w:t>
      </w:r>
      <w:r>
        <w:rPr>
          <w:sz w:val="20"/>
        </w:rPr>
        <w:t>an</w:t>
      </w:r>
      <w:r>
        <w:rPr>
          <w:spacing w:val="-9"/>
          <w:sz w:val="20"/>
        </w:rPr>
        <w:t> </w:t>
      </w:r>
      <w:r>
        <w:rPr>
          <w:sz w:val="20"/>
        </w:rPr>
        <w:t>independent support</w:t>
      </w:r>
      <w:r>
        <w:rPr>
          <w:spacing w:val="-9"/>
          <w:sz w:val="20"/>
        </w:rPr>
        <w:t> </w:t>
      </w:r>
      <w:r>
        <w:rPr>
          <w:sz w:val="20"/>
        </w:rPr>
        <w:t>person</w:t>
      </w:r>
      <w:r>
        <w:rPr>
          <w:spacing w:val="-9"/>
          <w:sz w:val="20"/>
        </w:rPr>
        <w:t> </w:t>
      </w:r>
      <w:r>
        <w:rPr>
          <w:sz w:val="20"/>
        </w:rPr>
        <w:t>to</w:t>
      </w:r>
      <w:r>
        <w:rPr>
          <w:spacing w:val="-8"/>
          <w:sz w:val="20"/>
        </w:rPr>
        <w:t> </w:t>
      </w:r>
      <w:r>
        <w:rPr>
          <w:sz w:val="20"/>
        </w:rPr>
        <w:t>enable</w:t>
      </w:r>
      <w:r>
        <w:rPr>
          <w:spacing w:val="-9"/>
          <w:sz w:val="20"/>
        </w:rPr>
        <w:t> </w:t>
      </w:r>
      <w:r>
        <w:rPr>
          <w:sz w:val="20"/>
        </w:rPr>
        <w:t>a</w:t>
      </w:r>
      <w:r>
        <w:rPr>
          <w:spacing w:val="-8"/>
          <w:sz w:val="20"/>
        </w:rPr>
        <w:t> </w:t>
      </w:r>
      <w:r>
        <w:rPr>
          <w:sz w:val="20"/>
        </w:rPr>
        <w:t>person</w:t>
      </w:r>
      <w:r>
        <w:rPr>
          <w:spacing w:val="-9"/>
          <w:sz w:val="20"/>
        </w:rPr>
        <w:t> </w:t>
      </w:r>
      <w:r>
        <w:rPr>
          <w:sz w:val="20"/>
        </w:rPr>
        <w:t>who</w:t>
      </w:r>
      <w:r>
        <w:rPr>
          <w:spacing w:val="-8"/>
          <w:sz w:val="20"/>
        </w:rPr>
        <w:t> </w:t>
      </w:r>
      <w:r>
        <w:rPr>
          <w:sz w:val="20"/>
        </w:rPr>
        <w:t>is</w:t>
      </w:r>
      <w:r>
        <w:rPr>
          <w:spacing w:val="-9"/>
          <w:sz w:val="20"/>
        </w:rPr>
        <w:t> </w:t>
      </w:r>
      <w:r>
        <w:rPr>
          <w:spacing w:val="-4"/>
          <w:sz w:val="20"/>
        </w:rPr>
        <w:t>deaf,</w:t>
      </w:r>
      <w:r>
        <w:rPr>
          <w:spacing w:val="-8"/>
          <w:sz w:val="20"/>
        </w:rPr>
        <w:t> </w:t>
      </w:r>
      <w:r>
        <w:rPr>
          <w:sz w:val="20"/>
        </w:rPr>
        <w:t>hard</w:t>
      </w:r>
      <w:r>
        <w:rPr>
          <w:spacing w:val="-9"/>
          <w:sz w:val="20"/>
        </w:rPr>
        <w:t> </w:t>
      </w:r>
      <w:r>
        <w:rPr>
          <w:sz w:val="20"/>
        </w:rPr>
        <w:t>of</w:t>
      </w:r>
      <w:r>
        <w:rPr>
          <w:spacing w:val="-8"/>
          <w:sz w:val="20"/>
        </w:rPr>
        <w:t> </w:t>
      </w:r>
      <w:r>
        <w:rPr>
          <w:sz w:val="20"/>
        </w:rPr>
        <w:t>hearing,</w:t>
      </w:r>
      <w:r>
        <w:rPr>
          <w:spacing w:val="-9"/>
          <w:sz w:val="20"/>
        </w:rPr>
        <w:t> </w:t>
      </w:r>
      <w:r>
        <w:rPr>
          <w:sz w:val="20"/>
        </w:rPr>
        <w:t>blind</w:t>
      </w:r>
      <w:r>
        <w:rPr>
          <w:spacing w:val="-9"/>
          <w:sz w:val="20"/>
        </w:rPr>
        <w:t> </w:t>
      </w:r>
      <w:r>
        <w:rPr>
          <w:sz w:val="20"/>
        </w:rPr>
        <w:t>or</w:t>
      </w:r>
      <w:r>
        <w:rPr>
          <w:spacing w:val="-8"/>
          <w:sz w:val="20"/>
        </w:rPr>
        <w:t> </w:t>
      </w:r>
      <w:r>
        <w:rPr>
          <w:sz w:val="20"/>
        </w:rPr>
        <w:t>has</w:t>
      </w:r>
      <w:r>
        <w:rPr>
          <w:spacing w:val="-9"/>
          <w:sz w:val="20"/>
        </w:rPr>
        <w:t> </w:t>
      </w:r>
      <w:r>
        <w:rPr>
          <w:spacing w:val="-4"/>
          <w:sz w:val="20"/>
        </w:rPr>
        <w:t>low</w:t>
      </w:r>
      <w:r>
        <w:rPr>
          <w:spacing w:val="-8"/>
          <w:sz w:val="20"/>
        </w:rPr>
        <w:t> </w:t>
      </w:r>
      <w:r>
        <w:rPr>
          <w:sz w:val="20"/>
        </w:rPr>
        <w:t>vision to perform the </w:t>
      </w:r>
      <w:r>
        <w:rPr>
          <w:spacing w:val="-3"/>
          <w:sz w:val="20"/>
        </w:rPr>
        <w:t>role </w:t>
      </w:r>
      <w:r>
        <w:rPr>
          <w:sz w:val="20"/>
        </w:rPr>
        <w:t>of</w:t>
      </w:r>
      <w:r>
        <w:rPr>
          <w:spacing w:val="-18"/>
          <w:sz w:val="20"/>
        </w:rPr>
        <w:t> </w:t>
      </w:r>
      <w:r>
        <w:rPr>
          <w:spacing w:val="-4"/>
          <w:sz w:val="20"/>
        </w:rPr>
        <w:t>juror.</w:t>
      </w:r>
    </w:p>
    <w:p>
      <w:pPr>
        <w:pStyle w:val="ListParagraph"/>
        <w:numPr>
          <w:ilvl w:val="0"/>
          <w:numId w:val="10"/>
        </w:numPr>
        <w:tabs>
          <w:tab w:pos="1761" w:val="left" w:leader="none"/>
          <w:tab w:pos="1762" w:val="left" w:leader="none"/>
        </w:tabs>
        <w:spacing w:line="206" w:lineRule="auto" w:before="89" w:after="0"/>
        <w:ind w:left="1761" w:right="1601" w:hanging="794"/>
        <w:jc w:val="left"/>
        <w:rPr>
          <w:sz w:val="20"/>
        </w:rPr>
      </w:pPr>
      <w:r>
        <w:rPr>
          <w:sz w:val="20"/>
        </w:rPr>
        <w:t>The</w:t>
      </w:r>
      <w:r>
        <w:rPr>
          <w:spacing w:val="-9"/>
          <w:sz w:val="20"/>
        </w:rPr>
        <w:t> </w:t>
      </w:r>
      <w:r>
        <w:rPr>
          <w:spacing w:val="-3"/>
          <w:sz w:val="20"/>
        </w:rPr>
        <w:t>nature</w:t>
      </w:r>
      <w:r>
        <w:rPr>
          <w:spacing w:val="-8"/>
          <w:sz w:val="20"/>
        </w:rPr>
        <w:t> </w:t>
      </w:r>
      <w:r>
        <w:rPr>
          <w:sz w:val="20"/>
        </w:rPr>
        <w:t>of</w:t>
      </w:r>
      <w:r>
        <w:rPr>
          <w:spacing w:val="-8"/>
          <w:sz w:val="20"/>
        </w:rPr>
        <w:t> </w:t>
      </w:r>
      <w:r>
        <w:rPr>
          <w:sz w:val="20"/>
        </w:rPr>
        <w:t>the</w:t>
      </w:r>
      <w:r>
        <w:rPr>
          <w:spacing w:val="-8"/>
          <w:sz w:val="20"/>
        </w:rPr>
        <w:t> </w:t>
      </w:r>
      <w:r>
        <w:rPr>
          <w:sz w:val="20"/>
        </w:rPr>
        <w:t>support</w:t>
      </w:r>
      <w:r>
        <w:rPr>
          <w:spacing w:val="-8"/>
          <w:sz w:val="20"/>
        </w:rPr>
        <w:t> </w:t>
      </w:r>
      <w:r>
        <w:rPr>
          <w:sz w:val="20"/>
        </w:rPr>
        <w:t>person’s</w:t>
      </w:r>
      <w:r>
        <w:rPr>
          <w:spacing w:val="-9"/>
          <w:sz w:val="20"/>
        </w:rPr>
        <w:t> </w:t>
      </w:r>
      <w:r>
        <w:rPr>
          <w:spacing w:val="-3"/>
          <w:sz w:val="20"/>
        </w:rPr>
        <w:t>role</w:t>
      </w:r>
      <w:r>
        <w:rPr>
          <w:spacing w:val="-8"/>
          <w:sz w:val="20"/>
        </w:rPr>
        <w:t> </w:t>
      </w:r>
      <w:r>
        <w:rPr>
          <w:sz w:val="20"/>
        </w:rPr>
        <w:t>and</w:t>
      </w:r>
      <w:r>
        <w:rPr>
          <w:spacing w:val="-8"/>
          <w:sz w:val="20"/>
        </w:rPr>
        <w:t> </w:t>
      </w:r>
      <w:r>
        <w:rPr>
          <w:sz w:val="20"/>
        </w:rPr>
        <w:t>who</w:t>
      </w:r>
      <w:r>
        <w:rPr>
          <w:spacing w:val="-8"/>
          <w:sz w:val="20"/>
        </w:rPr>
        <w:t> </w:t>
      </w:r>
      <w:r>
        <w:rPr>
          <w:sz w:val="20"/>
        </w:rPr>
        <w:t>should</w:t>
      </w:r>
      <w:r>
        <w:rPr>
          <w:spacing w:val="-8"/>
          <w:sz w:val="20"/>
        </w:rPr>
        <w:t> </w:t>
      </w:r>
      <w:r>
        <w:rPr>
          <w:sz w:val="20"/>
        </w:rPr>
        <w:t>perform</w:t>
      </w:r>
      <w:r>
        <w:rPr>
          <w:spacing w:val="-9"/>
          <w:sz w:val="20"/>
        </w:rPr>
        <w:t> </w:t>
      </w:r>
      <w:r>
        <w:rPr>
          <w:sz w:val="20"/>
        </w:rPr>
        <w:t>the</w:t>
      </w:r>
      <w:r>
        <w:rPr>
          <w:spacing w:val="-8"/>
          <w:sz w:val="20"/>
        </w:rPr>
        <w:t> </w:t>
      </w:r>
      <w:r>
        <w:rPr>
          <w:spacing w:val="-3"/>
          <w:sz w:val="20"/>
        </w:rPr>
        <w:t>role</w:t>
      </w:r>
      <w:r>
        <w:rPr>
          <w:spacing w:val="-8"/>
          <w:sz w:val="20"/>
        </w:rPr>
        <w:t> </w:t>
      </w:r>
      <w:r>
        <w:rPr>
          <w:sz w:val="20"/>
        </w:rPr>
        <w:t>should</w:t>
      </w:r>
      <w:r>
        <w:rPr>
          <w:spacing w:val="-8"/>
          <w:sz w:val="20"/>
        </w:rPr>
        <w:t> </w:t>
      </w:r>
      <w:r>
        <w:rPr>
          <w:sz w:val="20"/>
        </w:rPr>
        <w:t>be determined </w:t>
      </w:r>
      <w:r>
        <w:rPr>
          <w:spacing w:val="-3"/>
          <w:sz w:val="20"/>
        </w:rPr>
        <w:t>by </w:t>
      </w:r>
      <w:r>
        <w:rPr>
          <w:sz w:val="20"/>
        </w:rPr>
        <w:t>the</w:t>
      </w:r>
      <w:r>
        <w:rPr>
          <w:spacing w:val="-10"/>
          <w:sz w:val="20"/>
        </w:rPr>
        <w:t> </w:t>
      </w:r>
      <w:r>
        <w:rPr>
          <w:sz w:val="20"/>
        </w:rPr>
        <w:t>judge.</w:t>
      </w:r>
    </w:p>
    <w:p>
      <w:pPr>
        <w:pStyle w:val="ListParagraph"/>
        <w:numPr>
          <w:ilvl w:val="0"/>
          <w:numId w:val="10"/>
        </w:numPr>
        <w:tabs>
          <w:tab w:pos="1761" w:val="left" w:leader="none"/>
          <w:tab w:pos="1762" w:val="left" w:leader="none"/>
        </w:tabs>
        <w:spacing w:line="206" w:lineRule="auto" w:before="87" w:after="0"/>
        <w:ind w:left="1761" w:right="1303" w:hanging="794"/>
        <w:jc w:val="left"/>
        <w:rPr>
          <w:sz w:val="20"/>
        </w:rPr>
      </w:pPr>
      <w:r>
        <w:rPr>
          <w:sz w:val="20"/>
        </w:rPr>
        <w:t>The courts should </w:t>
      </w:r>
      <w:r>
        <w:rPr>
          <w:spacing w:val="-3"/>
          <w:sz w:val="20"/>
        </w:rPr>
        <w:t>develop </w:t>
      </w:r>
      <w:r>
        <w:rPr>
          <w:sz w:val="20"/>
        </w:rPr>
        <w:t>standards and a code of conduct for support persons, which outline their </w:t>
      </w:r>
      <w:r>
        <w:rPr>
          <w:spacing w:val="-3"/>
          <w:sz w:val="20"/>
        </w:rPr>
        <w:t>role </w:t>
      </w:r>
      <w:r>
        <w:rPr>
          <w:sz w:val="20"/>
        </w:rPr>
        <w:t>and responsibilities. Amendments to the Juries </w:t>
      </w:r>
      <w:r>
        <w:rPr>
          <w:spacing w:val="-2"/>
          <w:sz w:val="20"/>
        </w:rPr>
        <w:t>Act </w:t>
      </w:r>
      <w:r>
        <w:rPr>
          <w:sz w:val="20"/>
        </w:rPr>
        <w:t>should be accompanied</w:t>
      </w:r>
      <w:r>
        <w:rPr>
          <w:spacing w:val="-12"/>
          <w:sz w:val="20"/>
        </w:rPr>
        <w:t> </w:t>
      </w:r>
      <w:r>
        <w:rPr>
          <w:spacing w:val="-3"/>
          <w:sz w:val="20"/>
        </w:rPr>
        <w:t>by</w:t>
      </w:r>
      <w:r>
        <w:rPr>
          <w:spacing w:val="-11"/>
          <w:sz w:val="20"/>
        </w:rPr>
        <w:t> </w:t>
      </w:r>
      <w:r>
        <w:rPr>
          <w:sz w:val="20"/>
        </w:rPr>
        <w:t>regulation</w:t>
      </w:r>
      <w:r>
        <w:rPr>
          <w:spacing w:val="-12"/>
          <w:sz w:val="20"/>
        </w:rPr>
        <w:t> </w:t>
      </w:r>
      <w:r>
        <w:rPr>
          <w:sz w:val="20"/>
        </w:rPr>
        <w:t>that</w:t>
      </w:r>
      <w:r>
        <w:rPr>
          <w:spacing w:val="-11"/>
          <w:sz w:val="20"/>
        </w:rPr>
        <w:t> </w:t>
      </w:r>
      <w:r>
        <w:rPr>
          <w:sz w:val="20"/>
        </w:rPr>
        <w:t>includes</w:t>
      </w:r>
      <w:r>
        <w:rPr>
          <w:spacing w:val="-11"/>
          <w:sz w:val="20"/>
        </w:rPr>
        <w:t> </w:t>
      </w:r>
      <w:r>
        <w:rPr>
          <w:sz w:val="20"/>
        </w:rPr>
        <w:t>standards</w:t>
      </w:r>
      <w:r>
        <w:rPr>
          <w:spacing w:val="-12"/>
          <w:sz w:val="20"/>
        </w:rPr>
        <w:t> </w:t>
      </w:r>
      <w:r>
        <w:rPr>
          <w:sz w:val="20"/>
        </w:rPr>
        <w:t>and</w:t>
      </w:r>
      <w:r>
        <w:rPr>
          <w:spacing w:val="-11"/>
          <w:sz w:val="20"/>
        </w:rPr>
        <w:t> </w:t>
      </w:r>
      <w:r>
        <w:rPr>
          <w:sz w:val="20"/>
        </w:rPr>
        <w:t>a</w:t>
      </w:r>
      <w:r>
        <w:rPr>
          <w:spacing w:val="-12"/>
          <w:sz w:val="20"/>
        </w:rPr>
        <w:t> </w:t>
      </w:r>
      <w:r>
        <w:rPr>
          <w:sz w:val="20"/>
        </w:rPr>
        <w:t>code</w:t>
      </w:r>
      <w:r>
        <w:rPr>
          <w:spacing w:val="-11"/>
          <w:sz w:val="20"/>
        </w:rPr>
        <w:t> </w:t>
      </w:r>
      <w:r>
        <w:rPr>
          <w:sz w:val="20"/>
        </w:rPr>
        <w:t>of</w:t>
      </w:r>
      <w:r>
        <w:rPr>
          <w:spacing w:val="-11"/>
          <w:sz w:val="20"/>
        </w:rPr>
        <w:t> </w:t>
      </w:r>
      <w:r>
        <w:rPr>
          <w:sz w:val="20"/>
        </w:rPr>
        <w:t>conduct</w:t>
      </w:r>
      <w:r>
        <w:rPr>
          <w:spacing w:val="-12"/>
          <w:sz w:val="20"/>
        </w:rPr>
        <w:t> </w:t>
      </w:r>
      <w:r>
        <w:rPr>
          <w:sz w:val="20"/>
        </w:rPr>
        <w:t>for</w:t>
      </w:r>
      <w:r>
        <w:rPr>
          <w:spacing w:val="-11"/>
          <w:sz w:val="20"/>
        </w:rPr>
        <w:t> </w:t>
      </w:r>
      <w:r>
        <w:rPr>
          <w:sz w:val="20"/>
        </w:rPr>
        <w:t>support persons,</w:t>
      </w:r>
      <w:r>
        <w:rPr>
          <w:spacing w:val="-6"/>
          <w:sz w:val="20"/>
        </w:rPr>
        <w:t> </w:t>
      </w:r>
      <w:r>
        <w:rPr>
          <w:sz w:val="20"/>
        </w:rPr>
        <w:t>and</w:t>
      </w:r>
      <w:r>
        <w:rPr>
          <w:spacing w:val="-6"/>
          <w:sz w:val="20"/>
        </w:rPr>
        <w:t> </w:t>
      </w:r>
      <w:r>
        <w:rPr>
          <w:spacing w:val="-3"/>
          <w:sz w:val="20"/>
        </w:rPr>
        <w:t>may</w:t>
      </w:r>
      <w:r>
        <w:rPr>
          <w:spacing w:val="-6"/>
          <w:sz w:val="20"/>
        </w:rPr>
        <w:t> </w:t>
      </w:r>
      <w:r>
        <w:rPr>
          <w:sz w:val="20"/>
        </w:rPr>
        <w:t>include</w:t>
      </w:r>
      <w:r>
        <w:rPr>
          <w:spacing w:val="-5"/>
          <w:sz w:val="20"/>
        </w:rPr>
        <w:t> </w:t>
      </w:r>
      <w:r>
        <w:rPr>
          <w:sz w:val="20"/>
        </w:rPr>
        <w:t>accreditation</w:t>
      </w:r>
      <w:r>
        <w:rPr>
          <w:spacing w:val="-6"/>
          <w:sz w:val="20"/>
        </w:rPr>
        <w:t> </w:t>
      </w:r>
      <w:r>
        <w:rPr>
          <w:sz w:val="20"/>
        </w:rPr>
        <w:t>requirements</w:t>
      </w:r>
      <w:r>
        <w:rPr>
          <w:spacing w:val="-6"/>
          <w:sz w:val="20"/>
        </w:rPr>
        <w:t> </w:t>
      </w:r>
      <w:r>
        <w:rPr>
          <w:sz w:val="20"/>
        </w:rPr>
        <w:t>in</w:t>
      </w:r>
      <w:r>
        <w:rPr>
          <w:spacing w:val="-5"/>
          <w:sz w:val="20"/>
        </w:rPr>
        <w:t> </w:t>
      </w:r>
      <w:r>
        <w:rPr>
          <w:sz w:val="20"/>
        </w:rPr>
        <w:t>the</w:t>
      </w:r>
      <w:r>
        <w:rPr>
          <w:spacing w:val="-6"/>
          <w:sz w:val="20"/>
        </w:rPr>
        <w:t> </w:t>
      </w:r>
      <w:r>
        <w:rPr>
          <w:spacing w:val="-3"/>
          <w:sz w:val="20"/>
        </w:rPr>
        <w:t>future.</w:t>
      </w:r>
    </w:p>
    <w:p>
      <w:pPr>
        <w:pStyle w:val="ListParagraph"/>
        <w:numPr>
          <w:ilvl w:val="0"/>
          <w:numId w:val="10"/>
        </w:numPr>
        <w:tabs>
          <w:tab w:pos="1761" w:val="left" w:leader="none"/>
          <w:tab w:pos="1762" w:val="left" w:leader="none"/>
        </w:tabs>
        <w:spacing w:line="206" w:lineRule="auto" w:before="90" w:after="0"/>
        <w:ind w:left="1761" w:right="1227" w:hanging="794"/>
        <w:jc w:val="left"/>
        <w:rPr>
          <w:sz w:val="20"/>
        </w:rPr>
      </w:pPr>
      <w:r>
        <w:rPr>
          <w:sz w:val="20"/>
        </w:rPr>
        <w:t>An oath or affirmation should be included in the Juries </w:t>
      </w:r>
      <w:r>
        <w:rPr>
          <w:spacing w:val="-2"/>
          <w:sz w:val="20"/>
        </w:rPr>
        <w:t>Act </w:t>
      </w:r>
      <w:r>
        <w:rPr>
          <w:sz w:val="20"/>
        </w:rPr>
        <w:t>regarding the support person’s</w:t>
      </w:r>
      <w:r>
        <w:rPr>
          <w:spacing w:val="-18"/>
          <w:sz w:val="20"/>
        </w:rPr>
        <w:t> </w:t>
      </w:r>
      <w:r>
        <w:rPr>
          <w:sz w:val="20"/>
        </w:rPr>
        <w:t>duty</w:t>
      </w:r>
      <w:r>
        <w:rPr>
          <w:spacing w:val="-17"/>
          <w:sz w:val="20"/>
        </w:rPr>
        <w:t> </w:t>
      </w:r>
      <w:r>
        <w:rPr>
          <w:sz w:val="20"/>
        </w:rPr>
        <w:t>to</w:t>
      </w:r>
      <w:r>
        <w:rPr>
          <w:spacing w:val="-17"/>
          <w:sz w:val="20"/>
        </w:rPr>
        <w:t> </w:t>
      </w:r>
      <w:r>
        <w:rPr>
          <w:sz w:val="20"/>
        </w:rPr>
        <w:t>maintain</w:t>
      </w:r>
      <w:r>
        <w:rPr>
          <w:spacing w:val="-17"/>
          <w:sz w:val="20"/>
        </w:rPr>
        <w:t> </w:t>
      </w:r>
      <w:r>
        <w:rPr>
          <w:sz w:val="20"/>
        </w:rPr>
        <w:t>confidentiality,</w:t>
      </w:r>
      <w:r>
        <w:rPr>
          <w:spacing w:val="-17"/>
          <w:sz w:val="20"/>
        </w:rPr>
        <w:t> </w:t>
      </w:r>
      <w:r>
        <w:rPr>
          <w:sz w:val="20"/>
        </w:rPr>
        <w:t>not</w:t>
      </w:r>
      <w:r>
        <w:rPr>
          <w:spacing w:val="-17"/>
          <w:sz w:val="20"/>
        </w:rPr>
        <w:t> </w:t>
      </w:r>
      <w:r>
        <w:rPr>
          <w:sz w:val="20"/>
        </w:rPr>
        <w:t>participate</w:t>
      </w:r>
      <w:r>
        <w:rPr>
          <w:spacing w:val="-18"/>
          <w:sz w:val="20"/>
        </w:rPr>
        <w:t> </w:t>
      </w:r>
      <w:r>
        <w:rPr>
          <w:sz w:val="20"/>
        </w:rPr>
        <w:t>in</w:t>
      </w:r>
      <w:r>
        <w:rPr>
          <w:spacing w:val="-17"/>
          <w:sz w:val="20"/>
        </w:rPr>
        <w:t> </w:t>
      </w:r>
      <w:r>
        <w:rPr>
          <w:sz w:val="20"/>
        </w:rPr>
        <w:t>or</w:t>
      </w:r>
      <w:r>
        <w:rPr>
          <w:spacing w:val="-17"/>
          <w:sz w:val="20"/>
        </w:rPr>
        <w:t> </w:t>
      </w:r>
      <w:r>
        <w:rPr>
          <w:sz w:val="20"/>
        </w:rPr>
        <w:t>disclose</w:t>
      </w:r>
      <w:r>
        <w:rPr>
          <w:spacing w:val="-17"/>
          <w:sz w:val="20"/>
        </w:rPr>
        <w:t> </w:t>
      </w:r>
      <w:r>
        <w:rPr>
          <w:sz w:val="20"/>
        </w:rPr>
        <w:t>deliberations,</w:t>
      </w:r>
      <w:r>
        <w:rPr>
          <w:spacing w:val="-17"/>
          <w:sz w:val="20"/>
        </w:rPr>
        <w:t> </w:t>
      </w:r>
      <w:r>
        <w:rPr>
          <w:sz w:val="20"/>
        </w:rPr>
        <w:t>and to well and </w:t>
      </w:r>
      <w:r>
        <w:rPr>
          <w:spacing w:val="-3"/>
          <w:sz w:val="20"/>
        </w:rPr>
        <w:t>truly </w:t>
      </w:r>
      <w:r>
        <w:rPr>
          <w:sz w:val="20"/>
        </w:rPr>
        <w:t>support the</w:t>
      </w:r>
      <w:r>
        <w:rPr>
          <w:spacing w:val="-23"/>
          <w:sz w:val="20"/>
        </w:rPr>
        <w:t> </w:t>
      </w:r>
      <w:r>
        <w:rPr>
          <w:spacing w:val="-4"/>
          <w:sz w:val="20"/>
        </w:rPr>
        <w:t>juror.</w:t>
      </w:r>
    </w:p>
    <w:p>
      <w:pPr>
        <w:pStyle w:val="ListParagraph"/>
        <w:numPr>
          <w:ilvl w:val="0"/>
          <w:numId w:val="10"/>
        </w:numPr>
        <w:tabs>
          <w:tab w:pos="1761" w:val="left" w:leader="none"/>
          <w:tab w:pos="1762" w:val="left" w:leader="none"/>
        </w:tabs>
        <w:spacing w:line="259" w:lineRule="exact" w:before="57" w:after="0"/>
        <w:ind w:left="1761" w:right="0" w:hanging="794"/>
        <w:jc w:val="left"/>
        <w:rPr>
          <w:sz w:val="20"/>
        </w:rPr>
      </w:pPr>
      <w:r>
        <w:rPr>
          <w:sz w:val="20"/>
        </w:rPr>
        <w:t>The</w:t>
      </w:r>
      <w:r>
        <w:rPr>
          <w:spacing w:val="-6"/>
          <w:sz w:val="20"/>
        </w:rPr>
        <w:t> </w:t>
      </w:r>
      <w:r>
        <w:rPr>
          <w:sz w:val="20"/>
        </w:rPr>
        <w:t>offences</w:t>
      </w:r>
      <w:r>
        <w:rPr>
          <w:spacing w:val="-6"/>
          <w:sz w:val="20"/>
        </w:rPr>
        <w:t> </w:t>
      </w:r>
      <w:r>
        <w:rPr>
          <w:sz w:val="20"/>
        </w:rPr>
        <w:t>in</w:t>
      </w:r>
      <w:r>
        <w:rPr>
          <w:spacing w:val="-6"/>
          <w:sz w:val="20"/>
        </w:rPr>
        <w:t> </w:t>
      </w:r>
      <w:r>
        <w:rPr>
          <w:sz w:val="20"/>
        </w:rPr>
        <w:t>sections</w:t>
      </w:r>
      <w:r>
        <w:rPr>
          <w:spacing w:val="-6"/>
          <w:sz w:val="20"/>
        </w:rPr>
        <w:t> 77, </w:t>
      </w:r>
      <w:r>
        <w:rPr>
          <w:sz w:val="20"/>
        </w:rPr>
        <w:t>78</w:t>
      </w:r>
      <w:r>
        <w:rPr>
          <w:spacing w:val="-6"/>
          <w:sz w:val="20"/>
        </w:rPr>
        <w:t> </w:t>
      </w:r>
      <w:r>
        <w:rPr>
          <w:sz w:val="20"/>
        </w:rPr>
        <w:t>and</w:t>
      </w:r>
      <w:r>
        <w:rPr>
          <w:spacing w:val="-6"/>
          <w:sz w:val="20"/>
        </w:rPr>
        <w:t> </w:t>
      </w:r>
      <w:r>
        <w:rPr>
          <w:sz w:val="20"/>
        </w:rPr>
        <w:t>78A</w:t>
      </w:r>
      <w:r>
        <w:rPr>
          <w:spacing w:val="-5"/>
          <w:sz w:val="20"/>
        </w:rPr>
        <w:t> </w:t>
      </w:r>
      <w:r>
        <w:rPr>
          <w:sz w:val="20"/>
        </w:rPr>
        <w:t>of</w:t>
      </w:r>
      <w:r>
        <w:rPr>
          <w:spacing w:val="-6"/>
          <w:sz w:val="20"/>
        </w:rPr>
        <w:t> </w:t>
      </w:r>
      <w:r>
        <w:rPr>
          <w:sz w:val="20"/>
        </w:rPr>
        <w:t>the</w:t>
      </w:r>
      <w:r>
        <w:rPr>
          <w:spacing w:val="-6"/>
          <w:sz w:val="20"/>
        </w:rPr>
        <w:t> </w:t>
      </w:r>
      <w:r>
        <w:rPr>
          <w:sz w:val="20"/>
        </w:rPr>
        <w:t>Juries</w:t>
      </w:r>
      <w:r>
        <w:rPr>
          <w:spacing w:val="-6"/>
          <w:sz w:val="20"/>
        </w:rPr>
        <w:t> </w:t>
      </w:r>
      <w:r>
        <w:rPr>
          <w:spacing w:val="-2"/>
          <w:sz w:val="20"/>
        </w:rPr>
        <w:t>Act</w:t>
      </w:r>
      <w:r>
        <w:rPr>
          <w:spacing w:val="-6"/>
          <w:sz w:val="20"/>
        </w:rPr>
        <w:t> </w:t>
      </w:r>
      <w:r>
        <w:rPr>
          <w:sz w:val="20"/>
        </w:rPr>
        <w:t>should</w:t>
      </w:r>
      <w:r>
        <w:rPr>
          <w:spacing w:val="-6"/>
          <w:sz w:val="20"/>
        </w:rPr>
        <w:t> </w:t>
      </w:r>
      <w:r>
        <w:rPr>
          <w:sz w:val="20"/>
        </w:rPr>
        <w:t>be</w:t>
      </w:r>
      <w:r>
        <w:rPr>
          <w:spacing w:val="-6"/>
          <w:sz w:val="20"/>
        </w:rPr>
        <w:t> </w:t>
      </w:r>
      <w:r>
        <w:rPr>
          <w:sz w:val="20"/>
        </w:rPr>
        <w:t>extended</w:t>
      </w:r>
      <w:r>
        <w:rPr>
          <w:spacing w:val="-6"/>
          <w:sz w:val="20"/>
        </w:rPr>
        <w:t> </w:t>
      </w:r>
      <w:r>
        <w:rPr>
          <w:sz w:val="20"/>
        </w:rPr>
        <w:t>to</w:t>
      </w:r>
      <w:r>
        <w:rPr>
          <w:spacing w:val="-5"/>
          <w:sz w:val="20"/>
        </w:rPr>
        <w:t> </w:t>
      </w:r>
      <w:r>
        <w:rPr>
          <w:sz w:val="20"/>
        </w:rPr>
        <w:t>Auslan</w:t>
      </w:r>
    </w:p>
    <w:p>
      <w:pPr>
        <w:pStyle w:val="BodyText"/>
        <w:spacing w:line="259" w:lineRule="exact"/>
        <w:ind w:left="1761"/>
      </w:pPr>
      <w:r>
        <w:rPr/>
        <w:t>interpreters and support persons appointed under the Act.</w:t>
      </w:r>
    </w:p>
    <w:p>
      <w:pPr>
        <w:pStyle w:val="ListParagraph"/>
        <w:numPr>
          <w:ilvl w:val="0"/>
          <w:numId w:val="10"/>
        </w:numPr>
        <w:tabs>
          <w:tab w:pos="1761" w:val="left" w:leader="none"/>
          <w:tab w:pos="1762" w:val="left" w:leader="none"/>
        </w:tabs>
        <w:spacing w:line="206" w:lineRule="auto" w:before="80" w:after="0"/>
        <w:ind w:left="1761" w:right="1343" w:hanging="794"/>
        <w:jc w:val="left"/>
        <w:rPr>
          <w:sz w:val="20"/>
        </w:rPr>
      </w:pPr>
      <w:r>
        <w:rPr>
          <w:sz w:val="20"/>
        </w:rPr>
        <w:t>A new offence should be introduced to prohibit Auslan </w:t>
      </w:r>
      <w:r>
        <w:rPr>
          <w:spacing w:val="-3"/>
          <w:sz w:val="20"/>
        </w:rPr>
        <w:t>interpreters </w:t>
      </w:r>
      <w:r>
        <w:rPr>
          <w:sz w:val="20"/>
        </w:rPr>
        <w:t>and support persons</w:t>
      </w:r>
      <w:r>
        <w:rPr>
          <w:spacing w:val="-13"/>
          <w:sz w:val="20"/>
        </w:rPr>
        <w:t> </w:t>
      </w:r>
      <w:r>
        <w:rPr>
          <w:spacing w:val="-3"/>
          <w:sz w:val="20"/>
        </w:rPr>
        <w:t>from</w:t>
      </w:r>
      <w:r>
        <w:rPr>
          <w:spacing w:val="-13"/>
          <w:sz w:val="20"/>
        </w:rPr>
        <w:t> </w:t>
      </w:r>
      <w:r>
        <w:rPr>
          <w:sz w:val="20"/>
        </w:rPr>
        <w:t>interfering</w:t>
      </w:r>
      <w:r>
        <w:rPr>
          <w:spacing w:val="-12"/>
          <w:sz w:val="20"/>
        </w:rPr>
        <w:t> </w:t>
      </w:r>
      <w:r>
        <w:rPr>
          <w:sz w:val="20"/>
        </w:rPr>
        <w:t>with</w:t>
      </w:r>
      <w:r>
        <w:rPr>
          <w:spacing w:val="-13"/>
          <w:sz w:val="20"/>
        </w:rPr>
        <w:t> </w:t>
      </w:r>
      <w:r>
        <w:rPr>
          <w:sz w:val="20"/>
        </w:rPr>
        <w:t>or</w:t>
      </w:r>
      <w:r>
        <w:rPr>
          <w:spacing w:val="-12"/>
          <w:sz w:val="20"/>
        </w:rPr>
        <w:t> </w:t>
      </w:r>
      <w:r>
        <w:rPr>
          <w:sz w:val="20"/>
        </w:rPr>
        <w:t>influencing</w:t>
      </w:r>
      <w:r>
        <w:rPr>
          <w:spacing w:val="-13"/>
          <w:sz w:val="20"/>
        </w:rPr>
        <w:t> </w:t>
      </w:r>
      <w:r>
        <w:rPr>
          <w:sz w:val="20"/>
        </w:rPr>
        <w:t>jury</w:t>
      </w:r>
      <w:r>
        <w:rPr>
          <w:spacing w:val="-12"/>
          <w:sz w:val="20"/>
        </w:rPr>
        <w:t> </w:t>
      </w:r>
      <w:r>
        <w:rPr>
          <w:sz w:val="20"/>
        </w:rPr>
        <w:t>deliberations.</w:t>
      </w:r>
      <w:r>
        <w:rPr>
          <w:spacing w:val="-13"/>
          <w:sz w:val="20"/>
        </w:rPr>
        <w:t> </w:t>
      </w:r>
      <w:r>
        <w:rPr>
          <w:sz w:val="20"/>
        </w:rPr>
        <w:t>This</w:t>
      </w:r>
      <w:r>
        <w:rPr>
          <w:spacing w:val="-12"/>
          <w:sz w:val="20"/>
        </w:rPr>
        <w:t> </w:t>
      </w:r>
      <w:r>
        <w:rPr>
          <w:sz w:val="20"/>
        </w:rPr>
        <w:t>could</w:t>
      </w:r>
      <w:r>
        <w:rPr>
          <w:spacing w:val="-13"/>
          <w:sz w:val="20"/>
        </w:rPr>
        <w:t> </w:t>
      </w:r>
      <w:r>
        <w:rPr>
          <w:sz w:val="20"/>
        </w:rPr>
        <w:t>be</w:t>
      </w:r>
      <w:r>
        <w:rPr>
          <w:spacing w:val="-12"/>
          <w:sz w:val="20"/>
        </w:rPr>
        <w:t> </w:t>
      </w:r>
      <w:r>
        <w:rPr>
          <w:sz w:val="20"/>
        </w:rPr>
        <w:t>modelled on the approach in England and</w:t>
      </w:r>
      <w:r>
        <w:rPr>
          <w:spacing w:val="-27"/>
          <w:sz w:val="20"/>
        </w:rPr>
        <w:t> </w:t>
      </w:r>
      <w:r>
        <w:rPr>
          <w:spacing w:val="-3"/>
          <w:sz w:val="20"/>
        </w:rPr>
        <w:t>Wales.</w:t>
      </w:r>
    </w:p>
    <w:p>
      <w:pPr>
        <w:spacing w:before="194"/>
        <w:ind w:left="967" w:right="0" w:firstLine="0"/>
        <w:jc w:val="left"/>
        <w:rPr>
          <w:rFonts w:ascii="Raleway ExtraBold"/>
          <w:b/>
          <w:sz w:val="28"/>
        </w:rPr>
      </w:pPr>
      <w:r>
        <w:rPr>
          <w:rFonts w:ascii="Raleway ExtraBold"/>
          <w:b/>
          <w:color w:val="37617A"/>
          <w:sz w:val="28"/>
        </w:rPr>
        <w:t>Chapter 16</w:t>
      </w:r>
    </w:p>
    <w:p>
      <w:pPr>
        <w:pStyle w:val="ListParagraph"/>
        <w:numPr>
          <w:ilvl w:val="0"/>
          <w:numId w:val="10"/>
        </w:numPr>
        <w:tabs>
          <w:tab w:pos="1761" w:val="left" w:leader="none"/>
          <w:tab w:pos="1762" w:val="left" w:leader="none"/>
        </w:tabs>
        <w:spacing w:line="206" w:lineRule="auto" w:before="146" w:after="0"/>
        <w:ind w:left="1761" w:right="1431" w:hanging="794"/>
        <w:jc w:val="left"/>
        <w:rPr>
          <w:sz w:val="20"/>
        </w:rPr>
      </w:pPr>
      <w:r>
        <w:rPr>
          <w:sz w:val="20"/>
        </w:rPr>
        <w:t>The</w:t>
      </w:r>
      <w:r>
        <w:rPr>
          <w:spacing w:val="-11"/>
          <w:sz w:val="20"/>
        </w:rPr>
        <w:t> </w:t>
      </w:r>
      <w:r>
        <w:rPr>
          <w:sz w:val="20"/>
        </w:rPr>
        <w:t>Juries</w:t>
      </w:r>
      <w:r>
        <w:rPr>
          <w:spacing w:val="-10"/>
          <w:sz w:val="20"/>
        </w:rPr>
        <w:t> </w:t>
      </w:r>
      <w:r>
        <w:rPr>
          <w:sz w:val="20"/>
        </w:rPr>
        <w:t>Victoria</w:t>
      </w:r>
      <w:r>
        <w:rPr>
          <w:spacing w:val="-10"/>
          <w:sz w:val="20"/>
        </w:rPr>
        <w:t> </w:t>
      </w:r>
      <w:r>
        <w:rPr>
          <w:spacing w:val="-3"/>
          <w:sz w:val="20"/>
        </w:rPr>
        <w:t>website</w:t>
      </w:r>
      <w:r>
        <w:rPr>
          <w:spacing w:val="-11"/>
          <w:sz w:val="20"/>
        </w:rPr>
        <w:t> </w:t>
      </w:r>
      <w:r>
        <w:rPr>
          <w:sz w:val="20"/>
        </w:rPr>
        <w:t>should</w:t>
      </w:r>
      <w:r>
        <w:rPr>
          <w:spacing w:val="-10"/>
          <w:sz w:val="20"/>
        </w:rPr>
        <w:t> </w:t>
      </w:r>
      <w:r>
        <w:rPr>
          <w:spacing w:val="-3"/>
          <w:sz w:val="20"/>
        </w:rPr>
        <w:t>provide</w:t>
      </w:r>
      <w:r>
        <w:rPr>
          <w:spacing w:val="-10"/>
          <w:sz w:val="20"/>
        </w:rPr>
        <w:t> </w:t>
      </w:r>
      <w:r>
        <w:rPr>
          <w:sz w:val="20"/>
        </w:rPr>
        <w:t>information</w:t>
      </w:r>
      <w:r>
        <w:rPr>
          <w:spacing w:val="-11"/>
          <w:sz w:val="20"/>
        </w:rPr>
        <w:t> </w:t>
      </w:r>
      <w:r>
        <w:rPr>
          <w:sz w:val="20"/>
        </w:rPr>
        <w:t>about</w:t>
      </w:r>
      <w:r>
        <w:rPr>
          <w:spacing w:val="-10"/>
          <w:sz w:val="20"/>
        </w:rPr>
        <w:t> </w:t>
      </w:r>
      <w:r>
        <w:rPr>
          <w:sz w:val="20"/>
        </w:rPr>
        <w:t>the</w:t>
      </w:r>
      <w:r>
        <w:rPr>
          <w:spacing w:val="-10"/>
          <w:sz w:val="20"/>
        </w:rPr>
        <w:t> </w:t>
      </w:r>
      <w:r>
        <w:rPr>
          <w:spacing w:val="-3"/>
          <w:sz w:val="20"/>
        </w:rPr>
        <w:t>excuse</w:t>
      </w:r>
      <w:r>
        <w:rPr>
          <w:spacing w:val="-11"/>
          <w:sz w:val="20"/>
        </w:rPr>
        <w:t> </w:t>
      </w:r>
      <w:r>
        <w:rPr>
          <w:sz w:val="20"/>
        </w:rPr>
        <w:t>process</w:t>
      </w:r>
      <w:r>
        <w:rPr>
          <w:spacing w:val="-10"/>
          <w:sz w:val="20"/>
        </w:rPr>
        <w:t> </w:t>
      </w:r>
      <w:r>
        <w:rPr>
          <w:sz w:val="20"/>
        </w:rPr>
        <w:t>and </w:t>
      </w:r>
      <w:r>
        <w:rPr>
          <w:spacing w:val="-3"/>
          <w:sz w:val="20"/>
        </w:rPr>
        <w:t>provide examples </w:t>
      </w:r>
      <w:r>
        <w:rPr>
          <w:sz w:val="20"/>
        </w:rPr>
        <w:t>for people </w:t>
      </w:r>
      <w:r>
        <w:rPr>
          <w:spacing w:val="-3"/>
          <w:sz w:val="20"/>
        </w:rPr>
        <w:t>from </w:t>
      </w:r>
      <w:r>
        <w:rPr>
          <w:sz w:val="20"/>
        </w:rPr>
        <w:t>the subject</w:t>
      </w:r>
      <w:r>
        <w:rPr>
          <w:spacing w:val="-22"/>
          <w:sz w:val="20"/>
        </w:rPr>
        <w:t> </w:t>
      </w:r>
      <w:r>
        <w:rPr>
          <w:sz w:val="20"/>
        </w:rPr>
        <w:t>groups.</w:t>
      </w:r>
    </w:p>
    <w:p>
      <w:pPr>
        <w:pStyle w:val="ListParagraph"/>
        <w:numPr>
          <w:ilvl w:val="0"/>
          <w:numId w:val="10"/>
        </w:numPr>
        <w:tabs>
          <w:tab w:pos="1761" w:val="left" w:leader="none"/>
          <w:tab w:pos="1762" w:val="left" w:leader="none"/>
        </w:tabs>
        <w:spacing w:line="206" w:lineRule="auto" w:before="88" w:after="0"/>
        <w:ind w:left="1761" w:right="1256" w:hanging="794"/>
        <w:jc w:val="left"/>
        <w:rPr>
          <w:sz w:val="20"/>
        </w:rPr>
      </w:pPr>
      <w:r>
        <w:rPr>
          <w:sz w:val="20"/>
        </w:rPr>
        <w:t>The</w:t>
      </w:r>
      <w:r>
        <w:rPr>
          <w:spacing w:val="-8"/>
          <w:sz w:val="20"/>
        </w:rPr>
        <w:t> </w:t>
      </w:r>
      <w:r>
        <w:rPr>
          <w:sz w:val="20"/>
        </w:rPr>
        <w:t>Juries</w:t>
      </w:r>
      <w:r>
        <w:rPr>
          <w:spacing w:val="-7"/>
          <w:sz w:val="20"/>
        </w:rPr>
        <w:t> </w:t>
      </w:r>
      <w:r>
        <w:rPr>
          <w:spacing w:val="-2"/>
          <w:sz w:val="20"/>
        </w:rPr>
        <w:t>Act</w:t>
      </w:r>
      <w:r>
        <w:rPr>
          <w:spacing w:val="-8"/>
          <w:sz w:val="20"/>
        </w:rPr>
        <w:t> </w:t>
      </w:r>
      <w:r>
        <w:rPr>
          <w:sz w:val="20"/>
        </w:rPr>
        <w:t>should</w:t>
      </w:r>
      <w:r>
        <w:rPr>
          <w:spacing w:val="-7"/>
          <w:sz w:val="20"/>
        </w:rPr>
        <w:t> </w:t>
      </w:r>
      <w:r>
        <w:rPr>
          <w:sz w:val="20"/>
        </w:rPr>
        <w:t>be</w:t>
      </w:r>
      <w:r>
        <w:rPr>
          <w:spacing w:val="-7"/>
          <w:sz w:val="20"/>
        </w:rPr>
        <w:t> </w:t>
      </w:r>
      <w:r>
        <w:rPr>
          <w:sz w:val="20"/>
        </w:rPr>
        <w:t>amended</w:t>
      </w:r>
      <w:r>
        <w:rPr>
          <w:spacing w:val="-8"/>
          <w:sz w:val="20"/>
        </w:rPr>
        <w:t> </w:t>
      </w:r>
      <w:r>
        <w:rPr>
          <w:sz w:val="20"/>
        </w:rPr>
        <w:t>to</w:t>
      </w:r>
      <w:r>
        <w:rPr>
          <w:spacing w:val="-7"/>
          <w:sz w:val="20"/>
        </w:rPr>
        <w:t> </w:t>
      </w:r>
      <w:r>
        <w:rPr>
          <w:sz w:val="20"/>
        </w:rPr>
        <w:t>clarify</w:t>
      </w:r>
      <w:r>
        <w:rPr>
          <w:spacing w:val="-8"/>
          <w:sz w:val="20"/>
        </w:rPr>
        <w:t> </w:t>
      </w:r>
      <w:r>
        <w:rPr>
          <w:sz w:val="20"/>
        </w:rPr>
        <w:t>that</w:t>
      </w:r>
      <w:r>
        <w:rPr>
          <w:spacing w:val="-7"/>
          <w:sz w:val="20"/>
        </w:rPr>
        <w:t> </w:t>
      </w:r>
      <w:r>
        <w:rPr>
          <w:sz w:val="20"/>
        </w:rPr>
        <w:t>section</w:t>
      </w:r>
      <w:r>
        <w:rPr>
          <w:spacing w:val="-7"/>
          <w:sz w:val="20"/>
        </w:rPr>
        <w:t> </w:t>
      </w:r>
      <w:r>
        <w:rPr>
          <w:sz w:val="20"/>
        </w:rPr>
        <w:t>32(3)</w:t>
      </w:r>
      <w:r>
        <w:rPr>
          <w:spacing w:val="-8"/>
          <w:sz w:val="20"/>
        </w:rPr>
        <w:t> </w:t>
      </w:r>
      <w:r>
        <w:rPr>
          <w:spacing w:val="-3"/>
          <w:sz w:val="20"/>
        </w:rPr>
        <w:t>may</w:t>
      </w:r>
      <w:r>
        <w:rPr>
          <w:spacing w:val="-7"/>
          <w:sz w:val="20"/>
        </w:rPr>
        <w:t> </w:t>
      </w:r>
      <w:r>
        <w:rPr>
          <w:sz w:val="20"/>
        </w:rPr>
        <w:t>be</w:t>
      </w:r>
      <w:r>
        <w:rPr>
          <w:spacing w:val="-8"/>
          <w:sz w:val="20"/>
        </w:rPr>
        <w:t> </w:t>
      </w:r>
      <w:r>
        <w:rPr>
          <w:spacing w:val="-3"/>
          <w:sz w:val="20"/>
        </w:rPr>
        <w:t>exercised</w:t>
      </w:r>
      <w:r>
        <w:rPr>
          <w:spacing w:val="-7"/>
          <w:sz w:val="20"/>
        </w:rPr>
        <w:t> </w:t>
      </w:r>
      <w:r>
        <w:rPr>
          <w:spacing w:val="-3"/>
          <w:sz w:val="20"/>
        </w:rPr>
        <w:t>by</w:t>
      </w:r>
      <w:r>
        <w:rPr>
          <w:spacing w:val="-7"/>
          <w:sz w:val="20"/>
        </w:rPr>
        <w:t> </w:t>
      </w:r>
      <w:r>
        <w:rPr>
          <w:sz w:val="20"/>
        </w:rPr>
        <w:t>the courts on their </w:t>
      </w:r>
      <w:r>
        <w:rPr>
          <w:spacing w:val="-3"/>
          <w:sz w:val="20"/>
        </w:rPr>
        <w:t>own </w:t>
      </w:r>
      <w:r>
        <w:rPr>
          <w:sz w:val="20"/>
        </w:rPr>
        <w:t>motion to </w:t>
      </w:r>
      <w:r>
        <w:rPr>
          <w:spacing w:val="-3"/>
          <w:sz w:val="20"/>
        </w:rPr>
        <w:t>excuse </w:t>
      </w:r>
      <w:r>
        <w:rPr>
          <w:sz w:val="20"/>
        </w:rPr>
        <w:t>a person </w:t>
      </w:r>
      <w:r>
        <w:rPr>
          <w:spacing w:val="-3"/>
          <w:sz w:val="20"/>
        </w:rPr>
        <w:t>from </w:t>
      </w:r>
      <w:r>
        <w:rPr>
          <w:sz w:val="20"/>
        </w:rPr>
        <w:t>the empanelment process for a trial.</w:t>
      </w:r>
    </w:p>
    <w:p>
      <w:pPr>
        <w:spacing w:before="194"/>
        <w:ind w:left="967" w:right="0" w:firstLine="0"/>
        <w:jc w:val="left"/>
        <w:rPr>
          <w:rFonts w:ascii="Raleway ExtraBold"/>
          <w:b/>
          <w:sz w:val="28"/>
        </w:rPr>
      </w:pPr>
      <w:r>
        <w:rPr>
          <w:rFonts w:ascii="Raleway ExtraBold"/>
          <w:b/>
          <w:color w:val="37617A"/>
          <w:sz w:val="28"/>
        </w:rPr>
        <w:t>Chapter 17</w:t>
      </w:r>
    </w:p>
    <w:p>
      <w:pPr>
        <w:pStyle w:val="ListParagraph"/>
        <w:numPr>
          <w:ilvl w:val="0"/>
          <w:numId w:val="10"/>
        </w:numPr>
        <w:tabs>
          <w:tab w:pos="1761" w:val="left" w:leader="none"/>
          <w:tab w:pos="1762" w:val="left" w:leader="none"/>
        </w:tabs>
        <w:spacing w:line="206" w:lineRule="auto" w:before="146" w:after="0"/>
        <w:ind w:left="1761" w:right="1321" w:hanging="794"/>
        <w:jc w:val="left"/>
        <w:rPr>
          <w:sz w:val="20"/>
        </w:rPr>
      </w:pPr>
      <w:r>
        <w:rPr>
          <w:sz w:val="20"/>
        </w:rPr>
        <w:t>When</w:t>
      </w:r>
      <w:r>
        <w:rPr>
          <w:spacing w:val="-9"/>
          <w:sz w:val="20"/>
        </w:rPr>
        <w:t> </w:t>
      </w:r>
      <w:r>
        <w:rPr>
          <w:sz w:val="20"/>
        </w:rPr>
        <w:t>a</w:t>
      </w:r>
      <w:r>
        <w:rPr>
          <w:spacing w:val="-9"/>
          <w:sz w:val="20"/>
        </w:rPr>
        <w:t> </w:t>
      </w:r>
      <w:r>
        <w:rPr>
          <w:sz w:val="20"/>
        </w:rPr>
        <w:t>person</w:t>
      </w:r>
      <w:r>
        <w:rPr>
          <w:spacing w:val="-9"/>
          <w:sz w:val="20"/>
        </w:rPr>
        <w:t> </w:t>
      </w:r>
      <w:r>
        <w:rPr>
          <w:spacing w:val="-3"/>
          <w:sz w:val="20"/>
        </w:rPr>
        <w:t>from</w:t>
      </w:r>
      <w:r>
        <w:rPr>
          <w:spacing w:val="-9"/>
          <w:sz w:val="20"/>
        </w:rPr>
        <w:t> </w:t>
      </w:r>
      <w:r>
        <w:rPr>
          <w:sz w:val="20"/>
        </w:rPr>
        <w:t>the</w:t>
      </w:r>
      <w:r>
        <w:rPr>
          <w:spacing w:val="-8"/>
          <w:sz w:val="20"/>
        </w:rPr>
        <w:t> </w:t>
      </w:r>
      <w:r>
        <w:rPr>
          <w:sz w:val="20"/>
        </w:rPr>
        <w:t>subject</w:t>
      </w:r>
      <w:r>
        <w:rPr>
          <w:spacing w:val="-9"/>
          <w:sz w:val="20"/>
        </w:rPr>
        <w:t> </w:t>
      </w:r>
      <w:r>
        <w:rPr>
          <w:sz w:val="20"/>
        </w:rPr>
        <w:t>groups</w:t>
      </w:r>
      <w:r>
        <w:rPr>
          <w:spacing w:val="-9"/>
          <w:sz w:val="20"/>
        </w:rPr>
        <w:t> </w:t>
      </w:r>
      <w:r>
        <w:rPr>
          <w:sz w:val="20"/>
        </w:rPr>
        <w:t>is</w:t>
      </w:r>
      <w:r>
        <w:rPr>
          <w:spacing w:val="-9"/>
          <w:sz w:val="20"/>
        </w:rPr>
        <w:t> </w:t>
      </w:r>
      <w:r>
        <w:rPr>
          <w:sz w:val="20"/>
        </w:rPr>
        <w:t>on</w:t>
      </w:r>
      <w:r>
        <w:rPr>
          <w:spacing w:val="-8"/>
          <w:sz w:val="20"/>
        </w:rPr>
        <w:t> </w:t>
      </w:r>
      <w:r>
        <w:rPr>
          <w:sz w:val="20"/>
        </w:rPr>
        <w:t>a</w:t>
      </w:r>
      <w:r>
        <w:rPr>
          <w:spacing w:val="-9"/>
          <w:sz w:val="20"/>
        </w:rPr>
        <w:t> </w:t>
      </w:r>
      <w:r>
        <w:rPr>
          <w:sz w:val="20"/>
        </w:rPr>
        <w:t>jury</w:t>
      </w:r>
      <w:r>
        <w:rPr>
          <w:spacing w:val="-9"/>
          <w:sz w:val="20"/>
        </w:rPr>
        <w:t> </w:t>
      </w:r>
      <w:r>
        <w:rPr>
          <w:sz w:val="20"/>
        </w:rPr>
        <w:t>panel,</w:t>
      </w:r>
      <w:r>
        <w:rPr>
          <w:spacing w:val="-9"/>
          <w:sz w:val="20"/>
        </w:rPr>
        <w:t> </w:t>
      </w:r>
      <w:r>
        <w:rPr>
          <w:sz w:val="20"/>
        </w:rPr>
        <w:t>the</w:t>
      </w:r>
      <w:r>
        <w:rPr>
          <w:spacing w:val="-9"/>
          <w:sz w:val="20"/>
        </w:rPr>
        <w:t> </w:t>
      </w:r>
      <w:r>
        <w:rPr>
          <w:sz w:val="20"/>
        </w:rPr>
        <w:t>judge</w:t>
      </w:r>
      <w:r>
        <w:rPr>
          <w:spacing w:val="-8"/>
          <w:sz w:val="20"/>
        </w:rPr>
        <w:t> </w:t>
      </w:r>
      <w:r>
        <w:rPr>
          <w:sz w:val="20"/>
        </w:rPr>
        <w:t>should</w:t>
      </w:r>
      <w:r>
        <w:rPr>
          <w:spacing w:val="-9"/>
          <w:sz w:val="20"/>
        </w:rPr>
        <w:t> </w:t>
      </w:r>
      <w:r>
        <w:rPr>
          <w:sz w:val="20"/>
        </w:rPr>
        <w:t>inform</w:t>
      </w:r>
      <w:r>
        <w:rPr>
          <w:spacing w:val="-9"/>
          <w:sz w:val="20"/>
        </w:rPr>
        <w:t> </w:t>
      </w:r>
      <w:r>
        <w:rPr>
          <w:sz w:val="20"/>
        </w:rPr>
        <w:t>the court, in the presence of the accused and counsel, but </w:t>
      </w:r>
      <w:r>
        <w:rPr>
          <w:spacing w:val="-3"/>
          <w:sz w:val="20"/>
        </w:rPr>
        <w:t>before </w:t>
      </w:r>
      <w:r>
        <w:rPr>
          <w:sz w:val="20"/>
        </w:rPr>
        <w:t>the jury panel enters, that it is permissible for a person </w:t>
      </w:r>
      <w:r>
        <w:rPr>
          <w:spacing w:val="-3"/>
          <w:sz w:val="20"/>
        </w:rPr>
        <w:t>from </w:t>
      </w:r>
      <w:r>
        <w:rPr>
          <w:sz w:val="20"/>
        </w:rPr>
        <w:t>the subject groups to serve and necessary adjustments</w:t>
      </w:r>
      <w:r>
        <w:rPr>
          <w:spacing w:val="-5"/>
          <w:sz w:val="20"/>
        </w:rPr>
        <w:t> </w:t>
      </w:r>
      <w:r>
        <w:rPr>
          <w:spacing w:val="-4"/>
          <w:sz w:val="20"/>
        </w:rPr>
        <w:t>have</w:t>
      </w:r>
      <w:r>
        <w:rPr>
          <w:spacing w:val="-5"/>
          <w:sz w:val="20"/>
        </w:rPr>
        <w:t> </w:t>
      </w:r>
      <w:r>
        <w:rPr>
          <w:sz w:val="20"/>
        </w:rPr>
        <w:t>been</w:t>
      </w:r>
      <w:r>
        <w:rPr>
          <w:spacing w:val="-5"/>
          <w:sz w:val="20"/>
        </w:rPr>
        <w:t> </w:t>
      </w:r>
      <w:r>
        <w:rPr>
          <w:sz w:val="20"/>
        </w:rPr>
        <w:t>made</w:t>
      </w:r>
      <w:r>
        <w:rPr>
          <w:spacing w:val="-4"/>
          <w:sz w:val="20"/>
        </w:rPr>
        <w:t> </w:t>
      </w:r>
      <w:r>
        <w:rPr>
          <w:sz w:val="20"/>
        </w:rPr>
        <w:t>to</w:t>
      </w:r>
      <w:r>
        <w:rPr>
          <w:spacing w:val="-5"/>
          <w:sz w:val="20"/>
        </w:rPr>
        <w:t> </w:t>
      </w:r>
      <w:r>
        <w:rPr>
          <w:sz w:val="20"/>
        </w:rPr>
        <w:t>enable</w:t>
      </w:r>
      <w:r>
        <w:rPr>
          <w:spacing w:val="-5"/>
          <w:sz w:val="20"/>
        </w:rPr>
        <w:t> </w:t>
      </w:r>
      <w:r>
        <w:rPr>
          <w:sz w:val="20"/>
        </w:rPr>
        <w:t>them</w:t>
      </w:r>
      <w:r>
        <w:rPr>
          <w:spacing w:val="-5"/>
          <w:sz w:val="20"/>
        </w:rPr>
        <w:t> </w:t>
      </w:r>
      <w:r>
        <w:rPr>
          <w:sz w:val="20"/>
        </w:rPr>
        <w:t>to</w:t>
      </w:r>
      <w:r>
        <w:rPr>
          <w:spacing w:val="-4"/>
          <w:sz w:val="20"/>
        </w:rPr>
        <w:t> </w:t>
      </w:r>
      <w:r>
        <w:rPr>
          <w:sz w:val="20"/>
        </w:rPr>
        <w:t>do</w:t>
      </w:r>
      <w:r>
        <w:rPr>
          <w:spacing w:val="-5"/>
          <w:sz w:val="20"/>
        </w:rPr>
        <w:t> </w:t>
      </w:r>
      <w:r>
        <w:rPr>
          <w:sz w:val="20"/>
        </w:rPr>
        <w:t>so.</w:t>
      </w:r>
    </w:p>
    <w:p>
      <w:pPr>
        <w:pStyle w:val="ListParagraph"/>
        <w:numPr>
          <w:ilvl w:val="0"/>
          <w:numId w:val="10"/>
        </w:numPr>
        <w:tabs>
          <w:tab w:pos="1761" w:val="left" w:leader="none"/>
          <w:tab w:pos="1762" w:val="left" w:leader="none"/>
        </w:tabs>
        <w:spacing w:line="206" w:lineRule="auto" w:before="90" w:after="0"/>
        <w:ind w:left="1761" w:right="1257" w:hanging="794"/>
        <w:jc w:val="left"/>
        <w:rPr>
          <w:sz w:val="20"/>
        </w:rPr>
      </w:pPr>
      <w:r>
        <w:rPr>
          <w:sz w:val="20"/>
        </w:rPr>
        <w:t>Juries</w:t>
      </w:r>
      <w:r>
        <w:rPr>
          <w:spacing w:val="-12"/>
          <w:sz w:val="20"/>
        </w:rPr>
        <w:t> </w:t>
      </w:r>
      <w:r>
        <w:rPr>
          <w:sz w:val="20"/>
        </w:rPr>
        <w:t>Victoria</w:t>
      </w:r>
      <w:r>
        <w:rPr>
          <w:spacing w:val="-12"/>
          <w:sz w:val="20"/>
        </w:rPr>
        <w:t> </w:t>
      </w:r>
      <w:r>
        <w:rPr>
          <w:sz w:val="20"/>
        </w:rPr>
        <w:t>should</w:t>
      </w:r>
      <w:r>
        <w:rPr>
          <w:spacing w:val="-11"/>
          <w:sz w:val="20"/>
        </w:rPr>
        <w:t> </w:t>
      </w:r>
      <w:r>
        <w:rPr>
          <w:sz w:val="20"/>
        </w:rPr>
        <w:t>retain</w:t>
      </w:r>
      <w:r>
        <w:rPr>
          <w:spacing w:val="-12"/>
          <w:sz w:val="20"/>
        </w:rPr>
        <w:t> </w:t>
      </w:r>
      <w:r>
        <w:rPr>
          <w:sz w:val="20"/>
        </w:rPr>
        <w:t>data</w:t>
      </w:r>
      <w:r>
        <w:rPr>
          <w:spacing w:val="-11"/>
          <w:sz w:val="20"/>
        </w:rPr>
        <w:t> </w:t>
      </w:r>
      <w:r>
        <w:rPr>
          <w:sz w:val="20"/>
        </w:rPr>
        <w:t>on</w:t>
      </w:r>
      <w:r>
        <w:rPr>
          <w:spacing w:val="-12"/>
          <w:sz w:val="20"/>
        </w:rPr>
        <w:t> </w:t>
      </w:r>
      <w:r>
        <w:rPr>
          <w:sz w:val="20"/>
        </w:rPr>
        <w:t>the</w:t>
      </w:r>
      <w:r>
        <w:rPr>
          <w:spacing w:val="-12"/>
          <w:sz w:val="20"/>
        </w:rPr>
        <w:t> </w:t>
      </w:r>
      <w:r>
        <w:rPr>
          <w:sz w:val="20"/>
        </w:rPr>
        <w:t>number</w:t>
      </w:r>
      <w:r>
        <w:rPr>
          <w:spacing w:val="-11"/>
          <w:sz w:val="20"/>
        </w:rPr>
        <w:t> </w:t>
      </w:r>
      <w:r>
        <w:rPr>
          <w:sz w:val="20"/>
        </w:rPr>
        <w:t>of</w:t>
      </w:r>
      <w:r>
        <w:rPr>
          <w:spacing w:val="-12"/>
          <w:sz w:val="20"/>
        </w:rPr>
        <w:t> </w:t>
      </w:r>
      <w:r>
        <w:rPr>
          <w:sz w:val="20"/>
        </w:rPr>
        <w:t>people</w:t>
      </w:r>
      <w:r>
        <w:rPr>
          <w:spacing w:val="-11"/>
          <w:sz w:val="20"/>
        </w:rPr>
        <w:t> </w:t>
      </w:r>
      <w:r>
        <w:rPr>
          <w:sz w:val="20"/>
        </w:rPr>
        <w:t>who</w:t>
      </w:r>
      <w:r>
        <w:rPr>
          <w:spacing w:val="-12"/>
          <w:sz w:val="20"/>
        </w:rPr>
        <w:t> </w:t>
      </w:r>
      <w:r>
        <w:rPr>
          <w:sz w:val="20"/>
        </w:rPr>
        <w:t>request</w:t>
      </w:r>
      <w:r>
        <w:rPr>
          <w:spacing w:val="-12"/>
          <w:sz w:val="20"/>
        </w:rPr>
        <w:t> </w:t>
      </w:r>
      <w:r>
        <w:rPr>
          <w:sz w:val="20"/>
        </w:rPr>
        <w:t>adjustments</w:t>
      </w:r>
      <w:r>
        <w:rPr>
          <w:spacing w:val="-11"/>
          <w:sz w:val="20"/>
        </w:rPr>
        <w:t> </w:t>
      </w:r>
      <w:r>
        <w:rPr>
          <w:sz w:val="20"/>
        </w:rPr>
        <w:t>to serve and the number who </w:t>
      </w:r>
      <w:r>
        <w:rPr>
          <w:spacing w:val="-3"/>
          <w:sz w:val="20"/>
        </w:rPr>
        <w:t>are provided </w:t>
      </w:r>
      <w:r>
        <w:rPr>
          <w:sz w:val="20"/>
        </w:rPr>
        <w:t>with those adjustments but </w:t>
      </w:r>
      <w:r>
        <w:rPr>
          <w:spacing w:val="-3"/>
          <w:sz w:val="20"/>
        </w:rPr>
        <w:t>are peremptorily </w:t>
      </w:r>
      <w:r>
        <w:rPr>
          <w:sz w:val="20"/>
        </w:rPr>
        <w:t>challenged during the empanelment</w:t>
      </w:r>
      <w:r>
        <w:rPr>
          <w:spacing w:val="-19"/>
          <w:sz w:val="20"/>
        </w:rPr>
        <w:t> </w:t>
      </w:r>
      <w:r>
        <w:rPr>
          <w:sz w:val="20"/>
        </w:rPr>
        <w:t>process.</w:t>
      </w:r>
    </w:p>
    <w:p>
      <w:pPr>
        <w:pStyle w:val="ListParagraph"/>
        <w:numPr>
          <w:ilvl w:val="0"/>
          <w:numId w:val="10"/>
        </w:numPr>
        <w:tabs>
          <w:tab w:pos="1761" w:val="left" w:leader="none"/>
          <w:tab w:pos="1762" w:val="left" w:leader="none"/>
        </w:tabs>
        <w:spacing w:line="206" w:lineRule="auto" w:before="89" w:after="0"/>
        <w:ind w:left="1761" w:right="1416" w:hanging="794"/>
        <w:jc w:val="left"/>
        <w:rPr>
          <w:sz w:val="20"/>
        </w:rPr>
      </w:pPr>
      <w:r>
        <w:rPr>
          <w:sz w:val="20"/>
        </w:rPr>
        <w:t>The Department of Public </w:t>
      </w:r>
      <w:r>
        <w:rPr>
          <w:spacing w:val="-3"/>
          <w:sz w:val="20"/>
        </w:rPr>
        <w:t>Prosecutions’ </w:t>
      </w:r>
      <w:r>
        <w:rPr>
          <w:sz w:val="20"/>
        </w:rPr>
        <w:t>policy should be amended to specifically </w:t>
      </w:r>
      <w:r>
        <w:rPr>
          <w:spacing w:val="-3"/>
          <w:sz w:val="20"/>
        </w:rPr>
        <w:t>provide</w:t>
      </w:r>
      <w:r>
        <w:rPr>
          <w:spacing w:val="-10"/>
          <w:sz w:val="20"/>
        </w:rPr>
        <w:t> </w:t>
      </w:r>
      <w:r>
        <w:rPr>
          <w:sz w:val="20"/>
        </w:rPr>
        <w:t>that</w:t>
      </w:r>
      <w:r>
        <w:rPr>
          <w:spacing w:val="-10"/>
          <w:sz w:val="20"/>
        </w:rPr>
        <w:t> </w:t>
      </w:r>
      <w:r>
        <w:rPr>
          <w:sz w:val="20"/>
        </w:rPr>
        <w:t>stand</w:t>
      </w:r>
      <w:r>
        <w:rPr>
          <w:spacing w:val="-9"/>
          <w:sz w:val="20"/>
        </w:rPr>
        <w:t> </w:t>
      </w:r>
      <w:r>
        <w:rPr>
          <w:sz w:val="20"/>
        </w:rPr>
        <w:t>asides</w:t>
      </w:r>
      <w:r>
        <w:rPr>
          <w:spacing w:val="-10"/>
          <w:sz w:val="20"/>
        </w:rPr>
        <w:t> </w:t>
      </w:r>
      <w:r>
        <w:rPr>
          <w:sz w:val="20"/>
        </w:rPr>
        <w:t>should</w:t>
      </w:r>
      <w:r>
        <w:rPr>
          <w:spacing w:val="-10"/>
          <w:sz w:val="20"/>
        </w:rPr>
        <w:t> </w:t>
      </w:r>
      <w:r>
        <w:rPr>
          <w:sz w:val="20"/>
        </w:rPr>
        <w:t>not</w:t>
      </w:r>
      <w:r>
        <w:rPr>
          <w:spacing w:val="-9"/>
          <w:sz w:val="20"/>
        </w:rPr>
        <w:t> </w:t>
      </w:r>
      <w:r>
        <w:rPr>
          <w:sz w:val="20"/>
        </w:rPr>
        <w:t>be</w:t>
      </w:r>
      <w:r>
        <w:rPr>
          <w:spacing w:val="-10"/>
          <w:sz w:val="20"/>
        </w:rPr>
        <w:t> </w:t>
      </w:r>
      <w:r>
        <w:rPr>
          <w:sz w:val="20"/>
        </w:rPr>
        <w:t>used</w:t>
      </w:r>
      <w:r>
        <w:rPr>
          <w:spacing w:val="-9"/>
          <w:sz w:val="20"/>
        </w:rPr>
        <w:t> </w:t>
      </w:r>
      <w:r>
        <w:rPr>
          <w:sz w:val="20"/>
        </w:rPr>
        <w:t>against</w:t>
      </w:r>
      <w:r>
        <w:rPr>
          <w:spacing w:val="-10"/>
          <w:sz w:val="20"/>
        </w:rPr>
        <w:t> </w:t>
      </w:r>
      <w:r>
        <w:rPr>
          <w:sz w:val="20"/>
        </w:rPr>
        <w:t>people</w:t>
      </w:r>
      <w:r>
        <w:rPr>
          <w:spacing w:val="-10"/>
          <w:sz w:val="20"/>
        </w:rPr>
        <w:t> </w:t>
      </w:r>
      <w:r>
        <w:rPr>
          <w:sz w:val="20"/>
        </w:rPr>
        <w:t>in</w:t>
      </w:r>
      <w:r>
        <w:rPr>
          <w:spacing w:val="-9"/>
          <w:sz w:val="20"/>
        </w:rPr>
        <w:t> </w:t>
      </w:r>
      <w:r>
        <w:rPr>
          <w:sz w:val="20"/>
        </w:rPr>
        <w:t>the</w:t>
      </w:r>
      <w:r>
        <w:rPr>
          <w:spacing w:val="-10"/>
          <w:sz w:val="20"/>
        </w:rPr>
        <w:t> </w:t>
      </w:r>
      <w:r>
        <w:rPr>
          <w:sz w:val="20"/>
        </w:rPr>
        <w:t>subject</w:t>
      </w:r>
      <w:r>
        <w:rPr>
          <w:spacing w:val="-10"/>
          <w:sz w:val="20"/>
        </w:rPr>
        <w:t> </w:t>
      </w:r>
      <w:r>
        <w:rPr>
          <w:sz w:val="20"/>
        </w:rPr>
        <w:t>groups</w:t>
      </w:r>
      <w:r>
        <w:rPr>
          <w:spacing w:val="-9"/>
          <w:sz w:val="20"/>
        </w:rPr>
        <w:t> </w:t>
      </w:r>
      <w:r>
        <w:rPr>
          <w:sz w:val="20"/>
        </w:rPr>
        <w:t>on the basis of</w:t>
      </w:r>
      <w:r>
        <w:rPr>
          <w:spacing w:val="-13"/>
          <w:sz w:val="20"/>
        </w:rPr>
        <w:t> </w:t>
      </w:r>
      <w:r>
        <w:rPr>
          <w:sz w:val="20"/>
        </w:rPr>
        <w:t>disability.</w:t>
      </w:r>
    </w:p>
    <w:p>
      <w:pPr>
        <w:pStyle w:val="ListParagraph"/>
        <w:numPr>
          <w:ilvl w:val="0"/>
          <w:numId w:val="10"/>
        </w:numPr>
        <w:tabs>
          <w:tab w:pos="1761" w:val="left" w:leader="none"/>
          <w:tab w:pos="1762" w:val="left" w:leader="none"/>
        </w:tabs>
        <w:spacing w:line="206" w:lineRule="auto" w:before="89" w:after="0"/>
        <w:ind w:left="1761" w:right="1286" w:hanging="794"/>
        <w:jc w:val="left"/>
        <w:rPr>
          <w:sz w:val="20"/>
        </w:rPr>
      </w:pPr>
      <w:r>
        <w:rPr>
          <w:sz w:val="20"/>
        </w:rPr>
        <w:t>Juries Victoria should retain data on the number of people who request adjustments to</w:t>
      </w:r>
      <w:r>
        <w:rPr>
          <w:spacing w:val="-9"/>
          <w:sz w:val="20"/>
        </w:rPr>
        <w:t> </w:t>
      </w:r>
      <w:r>
        <w:rPr>
          <w:sz w:val="20"/>
        </w:rPr>
        <w:t>serve</w:t>
      </w:r>
      <w:r>
        <w:rPr>
          <w:spacing w:val="-8"/>
          <w:sz w:val="20"/>
        </w:rPr>
        <w:t> </w:t>
      </w:r>
      <w:r>
        <w:rPr>
          <w:sz w:val="20"/>
        </w:rPr>
        <w:t>and</w:t>
      </w:r>
      <w:r>
        <w:rPr>
          <w:spacing w:val="-8"/>
          <w:sz w:val="20"/>
        </w:rPr>
        <w:t> </w:t>
      </w:r>
      <w:r>
        <w:rPr>
          <w:sz w:val="20"/>
        </w:rPr>
        <w:t>the</w:t>
      </w:r>
      <w:r>
        <w:rPr>
          <w:spacing w:val="-8"/>
          <w:sz w:val="20"/>
        </w:rPr>
        <w:t> </w:t>
      </w:r>
      <w:r>
        <w:rPr>
          <w:sz w:val="20"/>
        </w:rPr>
        <w:t>number</w:t>
      </w:r>
      <w:r>
        <w:rPr>
          <w:spacing w:val="-8"/>
          <w:sz w:val="20"/>
        </w:rPr>
        <w:t> </w:t>
      </w:r>
      <w:r>
        <w:rPr>
          <w:sz w:val="20"/>
        </w:rPr>
        <w:t>who</w:t>
      </w:r>
      <w:r>
        <w:rPr>
          <w:spacing w:val="-8"/>
          <w:sz w:val="20"/>
        </w:rPr>
        <w:t> </w:t>
      </w:r>
      <w:r>
        <w:rPr>
          <w:spacing w:val="-3"/>
          <w:sz w:val="20"/>
        </w:rPr>
        <w:t>are</w:t>
      </w:r>
      <w:r>
        <w:rPr>
          <w:spacing w:val="-9"/>
          <w:sz w:val="20"/>
        </w:rPr>
        <w:t> </w:t>
      </w:r>
      <w:r>
        <w:rPr>
          <w:spacing w:val="-3"/>
          <w:sz w:val="20"/>
        </w:rPr>
        <w:t>provided</w:t>
      </w:r>
      <w:r>
        <w:rPr>
          <w:spacing w:val="-8"/>
          <w:sz w:val="20"/>
        </w:rPr>
        <w:t> </w:t>
      </w:r>
      <w:r>
        <w:rPr>
          <w:sz w:val="20"/>
        </w:rPr>
        <w:t>with</w:t>
      </w:r>
      <w:r>
        <w:rPr>
          <w:spacing w:val="-8"/>
          <w:sz w:val="20"/>
        </w:rPr>
        <w:t> </w:t>
      </w:r>
      <w:r>
        <w:rPr>
          <w:sz w:val="20"/>
        </w:rPr>
        <w:t>those</w:t>
      </w:r>
      <w:r>
        <w:rPr>
          <w:spacing w:val="-8"/>
          <w:sz w:val="20"/>
        </w:rPr>
        <w:t> </w:t>
      </w:r>
      <w:r>
        <w:rPr>
          <w:sz w:val="20"/>
        </w:rPr>
        <w:t>adjustments</w:t>
      </w:r>
      <w:r>
        <w:rPr>
          <w:spacing w:val="-8"/>
          <w:sz w:val="20"/>
        </w:rPr>
        <w:t> </w:t>
      </w:r>
      <w:r>
        <w:rPr>
          <w:sz w:val="20"/>
        </w:rPr>
        <w:t>but</w:t>
      </w:r>
      <w:r>
        <w:rPr>
          <w:spacing w:val="-8"/>
          <w:sz w:val="20"/>
        </w:rPr>
        <w:t> </w:t>
      </w:r>
      <w:r>
        <w:rPr>
          <w:spacing w:val="-3"/>
          <w:sz w:val="20"/>
        </w:rPr>
        <w:t>are</w:t>
      </w:r>
      <w:r>
        <w:rPr>
          <w:spacing w:val="-8"/>
          <w:sz w:val="20"/>
        </w:rPr>
        <w:t> </w:t>
      </w:r>
      <w:r>
        <w:rPr>
          <w:sz w:val="20"/>
        </w:rPr>
        <w:t>stood</w:t>
      </w:r>
      <w:r>
        <w:rPr>
          <w:spacing w:val="-9"/>
          <w:sz w:val="20"/>
        </w:rPr>
        <w:t> </w:t>
      </w:r>
      <w:r>
        <w:rPr>
          <w:sz w:val="20"/>
        </w:rPr>
        <w:t>aside during the empanelment</w:t>
      </w:r>
      <w:r>
        <w:rPr>
          <w:spacing w:val="-14"/>
          <w:sz w:val="20"/>
        </w:rPr>
        <w:t> </w:t>
      </w:r>
      <w:r>
        <w:rPr>
          <w:sz w:val="20"/>
        </w:rPr>
        <w:t>process.</w:t>
      </w:r>
    </w:p>
    <w:p>
      <w:pPr>
        <w:pStyle w:val="BodyText"/>
        <w:spacing w:before="12"/>
        <w:rPr>
          <w:sz w:val="21"/>
        </w:rPr>
      </w:pPr>
    </w:p>
    <w:p>
      <w:pPr>
        <w:spacing w:before="49"/>
        <w:ind w:left="0" w:right="207" w:firstLine="0"/>
        <w:jc w:val="right"/>
        <w:rPr>
          <w:b/>
          <w:sz w:val="24"/>
        </w:rPr>
      </w:pPr>
      <w:r>
        <w:rPr>
          <w:b/>
          <w:color w:val="37617A"/>
          <w:sz w:val="24"/>
        </w:rPr>
        <w:t>xxv</w:t>
      </w:r>
    </w:p>
    <w:p>
      <w:pPr>
        <w:spacing w:after="0"/>
        <w:jc w:val="right"/>
        <w:rPr>
          <w:sz w:val="24"/>
        </w:rPr>
        <w:sectPr>
          <w:pgSz w:w="11910" w:h="16840"/>
          <w:pgMar w:header="0" w:footer="0" w:top="840" w:bottom="280" w:left="620" w:right="380"/>
        </w:sectPr>
      </w:pPr>
    </w:p>
    <w:p>
      <w:pPr>
        <w:pStyle w:val="BodyText"/>
        <w:rPr>
          <w:b/>
        </w:rPr>
      </w:pPr>
      <w:r>
        <w:rPr/>
        <w:pict>
          <v:rect style="position:absolute;margin-left:0pt;margin-top:99.213013pt;width:14.173pt;height:85.748pt;mso-position-horizontal-relative:page;mso-position-vertical-relative:page;z-index:1552" filled="true" fillcolor="#37617a" stroked="false">
            <v:fill type="solid"/>
            <w10:wrap type="none"/>
          </v:rect>
        </w:pict>
      </w:r>
    </w:p>
    <w:p>
      <w:pPr>
        <w:pStyle w:val="BodyText"/>
        <w:rPr>
          <w:b/>
        </w:rPr>
      </w:pPr>
    </w:p>
    <w:p>
      <w:pPr>
        <w:pStyle w:val="BodyText"/>
        <w:rPr>
          <w:b/>
        </w:rPr>
      </w:pPr>
    </w:p>
    <w:p>
      <w:pPr>
        <w:spacing w:before="212"/>
        <w:ind w:left="967" w:right="0" w:firstLine="0"/>
        <w:jc w:val="left"/>
        <w:rPr>
          <w:rFonts w:ascii="Raleway ExtraBold"/>
          <w:b/>
          <w:sz w:val="28"/>
        </w:rPr>
      </w:pPr>
      <w:r>
        <w:rPr>
          <w:rFonts w:ascii="Raleway ExtraBold"/>
          <w:b/>
          <w:color w:val="37617A"/>
          <w:sz w:val="28"/>
        </w:rPr>
        <w:t>Chapter 18</w:t>
      </w:r>
    </w:p>
    <w:p>
      <w:pPr>
        <w:pStyle w:val="ListParagraph"/>
        <w:numPr>
          <w:ilvl w:val="0"/>
          <w:numId w:val="10"/>
        </w:numPr>
        <w:tabs>
          <w:tab w:pos="1761" w:val="left" w:leader="none"/>
          <w:tab w:pos="1762" w:val="left" w:leader="none"/>
        </w:tabs>
        <w:spacing w:line="206" w:lineRule="auto" w:before="146" w:after="0"/>
        <w:ind w:left="1761" w:right="1323" w:hanging="794"/>
        <w:jc w:val="left"/>
        <w:rPr>
          <w:sz w:val="20"/>
        </w:rPr>
      </w:pPr>
      <w:r>
        <w:rPr>
          <w:sz w:val="20"/>
        </w:rPr>
        <w:t>Disability</w:t>
      </w:r>
      <w:r>
        <w:rPr>
          <w:spacing w:val="-12"/>
          <w:sz w:val="20"/>
        </w:rPr>
        <w:t> </w:t>
      </w:r>
      <w:r>
        <w:rPr>
          <w:spacing w:val="-3"/>
          <w:sz w:val="20"/>
        </w:rPr>
        <w:t>awareness</w:t>
      </w:r>
      <w:r>
        <w:rPr>
          <w:spacing w:val="-11"/>
          <w:sz w:val="20"/>
        </w:rPr>
        <w:t> </w:t>
      </w:r>
      <w:r>
        <w:rPr>
          <w:sz w:val="20"/>
        </w:rPr>
        <w:t>training</w:t>
      </w:r>
      <w:r>
        <w:rPr>
          <w:spacing w:val="-12"/>
          <w:sz w:val="20"/>
        </w:rPr>
        <w:t> </w:t>
      </w:r>
      <w:r>
        <w:rPr>
          <w:sz w:val="20"/>
        </w:rPr>
        <w:t>should</w:t>
      </w:r>
      <w:r>
        <w:rPr>
          <w:spacing w:val="-11"/>
          <w:sz w:val="20"/>
        </w:rPr>
        <w:t> </w:t>
      </w:r>
      <w:r>
        <w:rPr>
          <w:sz w:val="20"/>
        </w:rPr>
        <w:t>be</w:t>
      </w:r>
      <w:r>
        <w:rPr>
          <w:spacing w:val="-12"/>
          <w:sz w:val="20"/>
        </w:rPr>
        <w:t> </w:t>
      </w:r>
      <w:r>
        <w:rPr>
          <w:spacing w:val="-3"/>
          <w:sz w:val="20"/>
        </w:rPr>
        <w:t>required</w:t>
      </w:r>
      <w:r>
        <w:rPr>
          <w:spacing w:val="-11"/>
          <w:sz w:val="20"/>
        </w:rPr>
        <w:t> </w:t>
      </w:r>
      <w:r>
        <w:rPr>
          <w:sz w:val="20"/>
        </w:rPr>
        <w:t>for</w:t>
      </w:r>
      <w:r>
        <w:rPr>
          <w:spacing w:val="-12"/>
          <w:sz w:val="20"/>
        </w:rPr>
        <w:t> </w:t>
      </w:r>
      <w:r>
        <w:rPr>
          <w:sz w:val="20"/>
        </w:rPr>
        <w:t>judiciary,</w:t>
      </w:r>
      <w:r>
        <w:rPr>
          <w:spacing w:val="-11"/>
          <w:sz w:val="20"/>
        </w:rPr>
        <w:t> </w:t>
      </w:r>
      <w:r>
        <w:rPr>
          <w:sz w:val="20"/>
        </w:rPr>
        <w:t>Juries</w:t>
      </w:r>
      <w:r>
        <w:rPr>
          <w:spacing w:val="-12"/>
          <w:sz w:val="20"/>
        </w:rPr>
        <w:t> </w:t>
      </w:r>
      <w:r>
        <w:rPr>
          <w:sz w:val="20"/>
        </w:rPr>
        <w:t>Victoria</w:t>
      </w:r>
      <w:r>
        <w:rPr>
          <w:spacing w:val="-11"/>
          <w:sz w:val="20"/>
        </w:rPr>
        <w:t> </w:t>
      </w:r>
      <w:r>
        <w:rPr>
          <w:spacing w:val="-3"/>
          <w:sz w:val="20"/>
        </w:rPr>
        <w:t>staff,</w:t>
      </w:r>
      <w:r>
        <w:rPr>
          <w:spacing w:val="-11"/>
          <w:sz w:val="20"/>
        </w:rPr>
        <w:t> </w:t>
      </w:r>
      <w:r>
        <w:rPr>
          <w:sz w:val="20"/>
        </w:rPr>
        <w:t>court </w:t>
      </w:r>
      <w:r>
        <w:rPr>
          <w:spacing w:val="-3"/>
          <w:sz w:val="20"/>
        </w:rPr>
        <w:t>staff, </w:t>
      </w:r>
      <w:r>
        <w:rPr>
          <w:sz w:val="20"/>
        </w:rPr>
        <w:t>counsel and lawyers </w:t>
      </w:r>
      <w:r>
        <w:rPr>
          <w:spacing w:val="-3"/>
          <w:sz w:val="20"/>
        </w:rPr>
        <w:t>likely </w:t>
      </w:r>
      <w:r>
        <w:rPr>
          <w:sz w:val="20"/>
        </w:rPr>
        <w:t>to </w:t>
      </w:r>
      <w:r>
        <w:rPr>
          <w:spacing w:val="-3"/>
          <w:sz w:val="20"/>
        </w:rPr>
        <w:t>work </w:t>
      </w:r>
      <w:r>
        <w:rPr>
          <w:sz w:val="20"/>
        </w:rPr>
        <w:t>with</w:t>
      </w:r>
      <w:r>
        <w:rPr>
          <w:spacing w:val="-29"/>
          <w:sz w:val="20"/>
        </w:rPr>
        <w:t> </w:t>
      </w:r>
      <w:r>
        <w:rPr>
          <w:sz w:val="20"/>
        </w:rPr>
        <w:t>juries.</w:t>
      </w:r>
    </w:p>
    <w:p>
      <w:pPr>
        <w:pStyle w:val="ListParagraph"/>
        <w:numPr>
          <w:ilvl w:val="0"/>
          <w:numId w:val="10"/>
        </w:numPr>
        <w:tabs>
          <w:tab w:pos="1761" w:val="left" w:leader="none"/>
          <w:tab w:pos="1762" w:val="left" w:leader="none"/>
        </w:tabs>
        <w:spacing w:line="206" w:lineRule="auto" w:before="87" w:after="0"/>
        <w:ind w:left="1761" w:right="1326" w:hanging="794"/>
        <w:jc w:val="left"/>
        <w:rPr>
          <w:sz w:val="20"/>
        </w:rPr>
      </w:pPr>
      <w:r>
        <w:rPr>
          <w:sz w:val="20"/>
        </w:rPr>
        <w:t>Disability </w:t>
      </w:r>
      <w:r>
        <w:rPr>
          <w:spacing w:val="-3"/>
          <w:sz w:val="20"/>
        </w:rPr>
        <w:t>awareness </w:t>
      </w:r>
      <w:r>
        <w:rPr>
          <w:sz w:val="20"/>
        </w:rPr>
        <w:t>training should </w:t>
      </w:r>
      <w:r>
        <w:rPr>
          <w:spacing w:val="-4"/>
          <w:sz w:val="20"/>
        </w:rPr>
        <w:t>have </w:t>
      </w:r>
      <w:r>
        <w:rPr>
          <w:sz w:val="20"/>
        </w:rPr>
        <w:t>a practical focus and be </w:t>
      </w:r>
      <w:r>
        <w:rPr>
          <w:spacing w:val="-3"/>
          <w:sz w:val="20"/>
        </w:rPr>
        <w:t>developed </w:t>
      </w:r>
      <w:r>
        <w:rPr>
          <w:sz w:val="20"/>
        </w:rPr>
        <w:t>and </w:t>
      </w:r>
      <w:r>
        <w:rPr>
          <w:spacing w:val="-2"/>
          <w:sz w:val="20"/>
        </w:rPr>
        <w:t>delivered</w:t>
      </w:r>
      <w:r>
        <w:rPr>
          <w:spacing w:val="-12"/>
          <w:sz w:val="20"/>
        </w:rPr>
        <w:t> </w:t>
      </w:r>
      <w:r>
        <w:rPr>
          <w:sz w:val="20"/>
        </w:rPr>
        <w:t>in</w:t>
      </w:r>
      <w:r>
        <w:rPr>
          <w:spacing w:val="-11"/>
          <w:sz w:val="20"/>
        </w:rPr>
        <w:t> </w:t>
      </w:r>
      <w:r>
        <w:rPr>
          <w:sz w:val="20"/>
        </w:rPr>
        <w:t>collaboration</w:t>
      </w:r>
      <w:r>
        <w:rPr>
          <w:spacing w:val="-11"/>
          <w:sz w:val="20"/>
        </w:rPr>
        <w:t> </w:t>
      </w:r>
      <w:r>
        <w:rPr>
          <w:sz w:val="20"/>
        </w:rPr>
        <w:t>with</w:t>
      </w:r>
      <w:r>
        <w:rPr>
          <w:spacing w:val="-12"/>
          <w:sz w:val="20"/>
        </w:rPr>
        <w:t> </w:t>
      </w:r>
      <w:r>
        <w:rPr>
          <w:sz w:val="20"/>
        </w:rPr>
        <w:t>peak</w:t>
      </w:r>
      <w:r>
        <w:rPr>
          <w:spacing w:val="-11"/>
          <w:sz w:val="20"/>
        </w:rPr>
        <w:t> </w:t>
      </w:r>
      <w:r>
        <w:rPr>
          <w:sz w:val="20"/>
        </w:rPr>
        <w:t>advocacy</w:t>
      </w:r>
      <w:r>
        <w:rPr>
          <w:spacing w:val="-11"/>
          <w:sz w:val="20"/>
        </w:rPr>
        <w:t> </w:t>
      </w:r>
      <w:r>
        <w:rPr>
          <w:sz w:val="20"/>
        </w:rPr>
        <w:t>organisations</w:t>
      </w:r>
      <w:r>
        <w:rPr>
          <w:spacing w:val="-11"/>
          <w:sz w:val="20"/>
        </w:rPr>
        <w:t> </w:t>
      </w:r>
      <w:r>
        <w:rPr>
          <w:spacing w:val="-3"/>
          <w:sz w:val="20"/>
        </w:rPr>
        <w:t>representing</w:t>
      </w:r>
      <w:r>
        <w:rPr>
          <w:spacing w:val="-12"/>
          <w:sz w:val="20"/>
        </w:rPr>
        <w:t> </w:t>
      </w:r>
      <w:r>
        <w:rPr>
          <w:sz w:val="20"/>
        </w:rPr>
        <w:t>people</w:t>
      </w:r>
      <w:r>
        <w:rPr>
          <w:spacing w:val="-11"/>
          <w:sz w:val="20"/>
        </w:rPr>
        <w:t> </w:t>
      </w:r>
      <w:r>
        <w:rPr>
          <w:spacing w:val="-3"/>
          <w:sz w:val="20"/>
        </w:rPr>
        <w:t>from </w:t>
      </w:r>
      <w:r>
        <w:rPr>
          <w:sz w:val="20"/>
        </w:rPr>
        <w:t>the subject</w:t>
      </w:r>
      <w:r>
        <w:rPr>
          <w:spacing w:val="-9"/>
          <w:sz w:val="20"/>
        </w:rPr>
        <w:t> </w:t>
      </w:r>
      <w:r>
        <w:rPr>
          <w:sz w:val="20"/>
        </w:rPr>
        <w:t>groups.</w:t>
      </w:r>
    </w:p>
    <w:p>
      <w:pPr>
        <w:pStyle w:val="ListParagraph"/>
        <w:numPr>
          <w:ilvl w:val="0"/>
          <w:numId w:val="10"/>
        </w:numPr>
        <w:tabs>
          <w:tab w:pos="1761" w:val="left" w:leader="none"/>
          <w:tab w:pos="1762" w:val="left" w:leader="none"/>
        </w:tabs>
        <w:spacing w:line="206" w:lineRule="auto" w:before="89" w:after="0"/>
        <w:ind w:left="1761" w:right="1685" w:hanging="794"/>
        <w:jc w:val="left"/>
        <w:rPr>
          <w:sz w:val="20"/>
        </w:rPr>
      </w:pPr>
      <w:r>
        <w:rPr>
          <w:sz w:val="20"/>
        </w:rPr>
        <w:t>Professional </w:t>
      </w:r>
      <w:r>
        <w:rPr>
          <w:spacing w:val="-3"/>
          <w:sz w:val="20"/>
        </w:rPr>
        <w:t>development </w:t>
      </w:r>
      <w:r>
        <w:rPr>
          <w:sz w:val="20"/>
        </w:rPr>
        <w:t>training should be </w:t>
      </w:r>
      <w:r>
        <w:rPr>
          <w:spacing w:val="-3"/>
          <w:sz w:val="20"/>
        </w:rPr>
        <w:t>provided </w:t>
      </w:r>
      <w:r>
        <w:rPr>
          <w:sz w:val="20"/>
        </w:rPr>
        <w:t>to the judiciary, legal professionals</w:t>
      </w:r>
      <w:r>
        <w:rPr>
          <w:spacing w:val="-11"/>
          <w:sz w:val="20"/>
        </w:rPr>
        <w:t> </w:t>
      </w:r>
      <w:r>
        <w:rPr>
          <w:sz w:val="20"/>
        </w:rPr>
        <w:t>and</w:t>
      </w:r>
      <w:r>
        <w:rPr>
          <w:spacing w:val="-10"/>
          <w:sz w:val="20"/>
        </w:rPr>
        <w:t> </w:t>
      </w:r>
      <w:r>
        <w:rPr>
          <w:sz w:val="20"/>
        </w:rPr>
        <w:t>Juries</w:t>
      </w:r>
      <w:r>
        <w:rPr>
          <w:spacing w:val="-10"/>
          <w:sz w:val="20"/>
        </w:rPr>
        <w:t> </w:t>
      </w:r>
      <w:r>
        <w:rPr>
          <w:sz w:val="20"/>
        </w:rPr>
        <w:t>Victoria</w:t>
      </w:r>
      <w:r>
        <w:rPr>
          <w:spacing w:val="-10"/>
          <w:sz w:val="20"/>
        </w:rPr>
        <w:t> </w:t>
      </w:r>
      <w:r>
        <w:rPr>
          <w:sz w:val="20"/>
        </w:rPr>
        <w:t>about</w:t>
      </w:r>
      <w:r>
        <w:rPr>
          <w:spacing w:val="-10"/>
          <w:sz w:val="20"/>
        </w:rPr>
        <w:t> </w:t>
      </w:r>
      <w:r>
        <w:rPr>
          <w:sz w:val="20"/>
        </w:rPr>
        <w:t>the</w:t>
      </w:r>
      <w:r>
        <w:rPr>
          <w:spacing w:val="-10"/>
          <w:sz w:val="20"/>
        </w:rPr>
        <w:t> </w:t>
      </w:r>
      <w:r>
        <w:rPr>
          <w:spacing w:val="-4"/>
          <w:sz w:val="20"/>
        </w:rPr>
        <w:t>way</w:t>
      </w:r>
      <w:r>
        <w:rPr>
          <w:spacing w:val="-10"/>
          <w:sz w:val="20"/>
        </w:rPr>
        <w:t> </w:t>
      </w:r>
      <w:r>
        <w:rPr>
          <w:sz w:val="20"/>
        </w:rPr>
        <w:t>that</w:t>
      </w:r>
      <w:r>
        <w:rPr>
          <w:spacing w:val="-10"/>
          <w:sz w:val="20"/>
        </w:rPr>
        <w:t> </w:t>
      </w:r>
      <w:r>
        <w:rPr>
          <w:sz w:val="20"/>
        </w:rPr>
        <w:t>new</w:t>
      </w:r>
      <w:r>
        <w:rPr>
          <w:spacing w:val="-10"/>
          <w:sz w:val="20"/>
        </w:rPr>
        <w:t> </w:t>
      </w:r>
      <w:r>
        <w:rPr>
          <w:spacing w:val="-3"/>
          <w:sz w:val="20"/>
        </w:rPr>
        <w:t>laws</w:t>
      </w:r>
      <w:r>
        <w:rPr>
          <w:spacing w:val="-10"/>
          <w:sz w:val="20"/>
        </w:rPr>
        <w:t> </w:t>
      </w:r>
      <w:r>
        <w:rPr>
          <w:sz w:val="20"/>
        </w:rPr>
        <w:t>will</w:t>
      </w:r>
      <w:r>
        <w:rPr>
          <w:spacing w:val="-10"/>
          <w:sz w:val="20"/>
        </w:rPr>
        <w:t> </w:t>
      </w:r>
      <w:r>
        <w:rPr>
          <w:spacing w:val="-3"/>
          <w:sz w:val="20"/>
        </w:rPr>
        <w:t>work</w:t>
      </w:r>
      <w:r>
        <w:rPr>
          <w:spacing w:val="-10"/>
          <w:sz w:val="20"/>
        </w:rPr>
        <w:t> </w:t>
      </w:r>
      <w:r>
        <w:rPr>
          <w:sz w:val="20"/>
        </w:rPr>
        <w:t>in</w:t>
      </w:r>
      <w:r>
        <w:rPr>
          <w:spacing w:val="-10"/>
          <w:sz w:val="20"/>
        </w:rPr>
        <w:t> </w:t>
      </w:r>
      <w:r>
        <w:rPr>
          <w:sz w:val="20"/>
        </w:rPr>
        <w:t>practice.</w:t>
      </w:r>
    </w:p>
    <w:p>
      <w:pPr>
        <w:pStyle w:val="ListParagraph"/>
        <w:numPr>
          <w:ilvl w:val="0"/>
          <w:numId w:val="10"/>
        </w:numPr>
        <w:tabs>
          <w:tab w:pos="1761" w:val="left" w:leader="none"/>
          <w:tab w:pos="1762" w:val="left" w:leader="none"/>
        </w:tabs>
        <w:spacing w:line="206" w:lineRule="auto" w:before="88" w:after="0"/>
        <w:ind w:left="1761" w:right="1691" w:hanging="794"/>
        <w:jc w:val="left"/>
        <w:rPr>
          <w:sz w:val="20"/>
        </w:rPr>
      </w:pPr>
      <w:r>
        <w:rPr>
          <w:sz w:val="20"/>
        </w:rPr>
        <w:t>Juries Victoria, in consultation with the courts, should </w:t>
      </w:r>
      <w:r>
        <w:rPr>
          <w:spacing w:val="-3"/>
          <w:sz w:val="20"/>
        </w:rPr>
        <w:t>develop </w:t>
      </w:r>
      <w:r>
        <w:rPr>
          <w:sz w:val="20"/>
        </w:rPr>
        <w:t>internal protocols to</w:t>
      </w:r>
      <w:r>
        <w:rPr>
          <w:spacing w:val="-12"/>
          <w:sz w:val="20"/>
        </w:rPr>
        <w:t> </w:t>
      </w:r>
      <w:r>
        <w:rPr>
          <w:sz w:val="20"/>
        </w:rPr>
        <w:t>guide</w:t>
      </w:r>
      <w:r>
        <w:rPr>
          <w:spacing w:val="-11"/>
          <w:sz w:val="20"/>
        </w:rPr>
        <w:t> </w:t>
      </w:r>
      <w:r>
        <w:rPr>
          <w:sz w:val="20"/>
        </w:rPr>
        <w:t>its</w:t>
      </w:r>
      <w:r>
        <w:rPr>
          <w:spacing w:val="-11"/>
          <w:sz w:val="20"/>
        </w:rPr>
        <w:t> </w:t>
      </w:r>
      <w:r>
        <w:rPr>
          <w:spacing w:val="-3"/>
          <w:sz w:val="20"/>
        </w:rPr>
        <w:t>own</w:t>
      </w:r>
      <w:r>
        <w:rPr>
          <w:spacing w:val="-11"/>
          <w:sz w:val="20"/>
        </w:rPr>
        <w:t> </w:t>
      </w:r>
      <w:r>
        <w:rPr>
          <w:sz w:val="20"/>
        </w:rPr>
        <w:t>staff</w:t>
      </w:r>
      <w:r>
        <w:rPr>
          <w:spacing w:val="-11"/>
          <w:sz w:val="20"/>
        </w:rPr>
        <w:t> </w:t>
      </w:r>
      <w:r>
        <w:rPr>
          <w:sz w:val="20"/>
        </w:rPr>
        <w:t>and</w:t>
      </w:r>
      <w:r>
        <w:rPr>
          <w:spacing w:val="-11"/>
          <w:sz w:val="20"/>
        </w:rPr>
        <w:t> </w:t>
      </w:r>
      <w:r>
        <w:rPr>
          <w:sz w:val="20"/>
        </w:rPr>
        <w:t>court</w:t>
      </w:r>
      <w:r>
        <w:rPr>
          <w:spacing w:val="-11"/>
          <w:sz w:val="20"/>
        </w:rPr>
        <w:t> </w:t>
      </w:r>
      <w:r>
        <w:rPr>
          <w:sz w:val="20"/>
        </w:rPr>
        <w:t>staff</w:t>
      </w:r>
      <w:r>
        <w:rPr>
          <w:spacing w:val="-12"/>
          <w:sz w:val="20"/>
        </w:rPr>
        <w:t> </w:t>
      </w:r>
      <w:r>
        <w:rPr>
          <w:sz w:val="20"/>
        </w:rPr>
        <w:t>about</w:t>
      </w:r>
      <w:r>
        <w:rPr>
          <w:spacing w:val="-11"/>
          <w:sz w:val="20"/>
        </w:rPr>
        <w:t> </w:t>
      </w:r>
      <w:r>
        <w:rPr>
          <w:sz w:val="20"/>
        </w:rPr>
        <w:t>the</w:t>
      </w:r>
      <w:r>
        <w:rPr>
          <w:spacing w:val="-11"/>
          <w:sz w:val="20"/>
        </w:rPr>
        <w:t> </w:t>
      </w:r>
      <w:r>
        <w:rPr>
          <w:sz w:val="20"/>
        </w:rPr>
        <w:t>implementation</w:t>
      </w:r>
      <w:r>
        <w:rPr>
          <w:spacing w:val="-11"/>
          <w:sz w:val="20"/>
        </w:rPr>
        <w:t> </w:t>
      </w:r>
      <w:r>
        <w:rPr>
          <w:sz w:val="20"/>
        </w:rPr>
        <w:t>of</w:t>
      </w:r>
      <w:r>
        <w:rPr>
          <w:spacing w:val="-11"/>
          <w:sz w:val="20"/>
        </w:rPr>
        <w:t> </w:t>
      </w:r>
      <w:r>
        <w:rPr>
          <w:sz w:val="20"/>
        </w:rPr>
        <w:t>new</w:t>
      </w:r>
      <w:r>
        <w:rPr>
          <w:spacing w:val="-11"/>
          <w:sz w:val="20"/>
        </w:rPr>
        <w:t> </w:t>
      </w:r>
      <w:r>
        <w:rPr>
          <w:sz w:val="20"/>
        </w:rPr>
        <w:t>laws.</w:t>
      </w:r>
      <w:r>
        <w:rPr>
          <w:spacing w:val="-11"/>
          <w:sz w:val="20"/>
        </w:rPr>
        <w:t> </w:t>
      </w:r>
      <w:r>
        <w:rPr>
          <w:sz w:val="20"/>
        </w:rPr>
        <w:t>These protocols should include practical</w:t>
      </w:r>
      <w:r>
        <w:rPr>
          <w:spacing w:val="-19"/>
          <w:sz w:val="20"/>
        </w:rPr>
        <w:t> </w:t>
      </w:r>
      <w:r>
        <w:rPr>
          <w:spacing w:val="-2"/>
          <w:sz w:val="20"/>
        </w:rPr>
        <w:t>examples.</w:t>
      </w:r>
    </w:p>
    <w:p>
      <w:pPr>
        <w:pStyle w:val="ListParagraph"/>
        <w:numPr>
          <w:ilvl w:val="0"/>
          <w:numId w:val="10"/>
        </w:numPr>
        <w:tabs>
          <w:tab w:pos="1761" w:val="left" w:leader="none"/>
          <w:tab w:pos="1762" w:val="left" w:leader="none"/>
        </w:tabs>
        <w:spacing w:line="206" w:lineRule="auto" w:before="89" w:after="0"/>
        <w:ind w:left="1761" w:right="1310" w:hanging="794"/>
        <w:jc w:val="left"/>
        <w:rPr>
          <w:sz w:val="20"/>
        </w:rPr>
      </w:pPr>
      <w:r>
        <w:rPr>
          <w:sz w:val="20"/>
        </w:rPr>
        <w:t>The</w:t>
      </w:r>
      <w:r>
        <w:rPr>
          <w:spacing w:val="-13"/>
          <w:sz w:val="20"/>
        </w:rPr>
        <w:t> </w:t>
      </w:r>
      <w:r>
        <w:rPr>
          <w:i/>
          <w:sz w:val="20"/>
        </w:rPr>
        <w:t>Disability</w:t>
      </w:r>
      <w:r>
        <w:rPr>
          <w:i/>
          <w:spacing w:val="-11"/>
          <w:sz w:val="20"/>
        </w:rPr>
        <w:t> </w:t>
      </w:r>
      <w:r>
        <w:rPr>
          <w:i/>
          <w:sz w:val="20"/>
        </w:rPr>
        <w:t>Access</w:t>
      </w:r>
      <w:r>
        <w:rPr>
          <w:i/>
          <w:spacing w:val="-12"/>
          <w:sz w:val="20"/>
        </w:rPr>
        <w:t> </w:t>
      </w:r>
      <w:r>
        <w:rPr>
          <w:i/>
          <w:sz w:val="20"/>
        </w:rPr>
        <w:t>Bench</w:t>
      </w:r>
      <w:r>
        <w:rPr>
          <w:i/>
          <w:spacing w:val="-12"/>
          <w:sz w:val="20"/>
        </w:rPr>
        <w:t> </w:t>
      </w:r>
      <w:r>
        <w:rPr>
          <w:i/>
          <w:sz w:val="20"/>
        </w:rPr>
        <w:t>Book</w:t>
      </w:r>
      <w:r>
        <w:rPr>
          <w:i/>
          <w:spacing w:val="-11"/>
          <w:sz w:val="20"/>
        </w:rPr>
        <w:t> </w:t>
      </w:r>
      <w:r>
        <w:rPr>
          <w:sz w:val="20"/>
        </w:rPr>
        <w:t>should</w:t>
      </w:r>
      <w:r>
        <w:rPr>
          <w:spacing w:val="-12"/>
          <w:sz w:val="20"/>
        </w:rPr>
        <w:t> </w:t>
      </w:r>
      <w:r>
        <w:rPr>
          <w:sz w:val="20"/>
        </w:rPr>
        <w:t>be</w:t>
      </w:r>
      <w:r>
        <w:rPr>
          <w:spacing w:val="-12"/>
          <w:sz w:val="20"/>
        </w:rPr>
        <w:t> </w:t>
      </w:r>
      <w:r>
        <w:rPr>
          <w:sz w:val="20"/>
        </w:rPr>
        <w:t>updated</w:t>
      </w:r>
      <w:r>
        <w:rPr>
          <w:spacing w:val="-12"/>
          <w:sz w:val="20"/>
        </w:rPr>
        <w:t> </w:t>
      </w:r>
      <w:r>
        <w:rPr>
          <w:sz w:val="20"/>
        </w:rPr>
        <w:t>to</w:t>
      </w:r>
      <w:r>
        <w:rPr>
          <w:spacing w:val="-12"/>
          <w:sz w:val="20"/>
        </w:rPr>
        <w:t> </w:t>
      </w:r>
      <w:r>
        <w:rPr>
          <w:sz w:val="20"/>
        </w:rPr>
        <w:t>include</w:t>
      </w:r>
      <w:r>
        <w:rPr>
          <w:spacing w:val="-12"/>
          <w:sz w:val="20"/>
        </w:rPr>
        <w:t> </w:t>
      </w:r>
      <w:r>
        <w:rPr>
          <w:sz w:val="20"/>
        </w:rPr>
        <w:t>information</w:t>
      </w:r>
      <w:r>
        <w:rPr>
          <w:spacing w:val="-12"/>
          <w:sz w:val="20"/>
        </w:rPr>
        <w:t> </w:t>
      </w:r>
      <w:r>
        <w:rPr>
          <w:sz w:val="20"/>
        </w:rPr>
        <w:t>about</w:t>
      </w:r>
      <w:r>
        <w:rPr>
          <w:spacing w:val="-12"/>
          <w:sz w:val="20"/>
        </w:rPr>
        <w:t> </w:t>
      </w:r>
      <w:r>
        <w:rPr>
          <w:sz w:val="20"/>
        </w:rPr>
        <w:t>new laws.</w:t>
      </w:r>
    </w:p>
    <w:p>
      <w:pPr>
        <w:pStyle w:val="ListParagraph"/>
        <w:numPr>
          <w:ilvl w:val="0"/>
          <w:numId w:val="10"/>
        </w:numPr>
        <w:tabs>
          <w:tab w:pos="1761" w:val="left" w:leader="none"/>
          <w:tab w:pos="1762" w:val="left" w:leader="none"/>
        </w:tabs>
        <w:spacing w:line="206" w:lineRule="auto" w:before="87" w:after="0"/>
        <w:ind w:left="1761" w:right="1205" w:hanging="794"/>
        <w:jc w:val="left"/>
        <w:rPr>
          <w:sz w:val="20"/>
        </w:rPr>
      </w:pPr>
      <w:r>
        <w:rPr>
          <w:sz w:val="20"/>
        </w:rPr>
        <w:t>Information about the new </w:t>
      </w:r>
      <w:r>
        <w:rPr>
          <w:spacing w:val="-3"/>
          <w:sz w:val="20"/>
        </w:rPr>
        <w:t>laws </w:t>
      </w:r>
      <w:r>
        <w:rPr>
          <w:sz w:val="20"/>
        </w:rPr>
        <w:t>and policies should be widely distributed to the Victorian community in accessible formats, including videos, printed information </w:t>
      </w:r>
      <w:r>
        <w:rPr>
          <w:spacing w:val="-3"/>
          <w:sz w:val="20"/>
        </w:rPr>
        <w:t>by </w:t>
      </w:r>
      <w:r>
        <w:rPr>
          <w:spacing w:val="-2"/>
          <w:sz w:val="20"/>
        </w:rPr>
        <w:t>Government</w:t>
      </w:r>
      <w:r>
        <w:rPr>
          <w:spacing w:val="-13"/>
          <w:sz w:val="20"/>
        </w:rPr>
        <w:t> </w:t>
      </w:r>
      <w:r>
        <w:rPr>
          <w:sz w:val="20"/>
        </w:rPr>
        <w:t>and</w:t>
      </w:r>
      <w:r>
        <w:rPr>
          <w:spacing w:val="-12"/>
          <w:sz w:val="20"/>
        </w:rPr>
        <w:t> </w:t>
      </w:r>
      <w:r>
        <w:rPr>
          <w:sz w:val="20"/>
        </w:rPr>
        <w:t>advocacy</w:t>
      </w:r>
      <w:r>
        <w:rPr>
          <w:spacing w:val="-12"/>
          <w:sz w:val="20"/>
        </w:rPr>
        <w:t> </w:t>
      </w:r>
      <w:r>
        <w:rPr>
          <w:sz w:val="20"/>
        </w:rPr>
        <w:t>organisations,</w:t>
      </w:r>
      <w:r>
        <w:rPr>
          <w:spacing w:val="-12"/>
          <w:sz w:val="20"/>
        </w:rPr>
        <w:t> </w:t>
      </w:r>
      <w:r>
        <w:rPr>
          <w:sz w:val="20"/>
        </w:rPr>
        <w:t>and</w:t>
      </w:r>
      <w:r>
        <w:rPr>
          <w:spacing w:val="-12"/>
          <w:sz w:val="20"/>
        </w:rPr>
        <w:t> </w:t>
      </w:r>
      <w:r>
        <w:rPr>
          <w:sz w:val="20"/>
        </w:rPr>
        <w:t>on</w:t>
      </w:r>
      <w:r>
        <w:rPr>
          <w:spacing w:val="-12"/>
          <w:sz w:val="20"/>
        </w:rPr>
        <w:t> </w:t>
      </w:r>
      <w:r>
        <w:rPr>
          <w:sz w:val="20"/>
        </w:rPr>
        <w:t>the</w:t>
      </w:r>
      <w:r>
        <w:rPr>
          <w:spacing w:val="-12"/>
          <w:sz w:val="20"/>
        </w:rPr>
        <w:t> </w:t>
      </w:r>
      <w:r>
        <w:rPr>
          <w:sz w:val="20"/>
        </w:rPr>
        <w:t>Juries</w:t>
      </w:r>
      <w:r>
        <w:rPr>
          <w:spacing w:val="-12"/>
          <w:sz w:val="20"/>
        </w:rPr>
        <w:t> </w:t>
      </w:r>
      <w:r>
        <w:rPr>
          <w:sz w:val="20"/>
        </w:rPr>
        <w:t>Victoria</w:t>
      </w:r>
      <w:r>
        <w:rPr>
          <w:spacing w:val="-12"/>
          <w:sz w:val="20"/>
        </w:rPr>
        <w:t> </w:t>
      </w:r>
      <w:r>
        <w:rPr>
          <w:sz w:val="20"/>
        </w:rPr>
        <w:t>and</w:t>
      </w:r>
      <w:r>
        <w:rPr>
          <w:spacing w:val="-12"/>
          <w:sz w:val="20"/>
        </w:rPr>
        <w:t> </w:t>
      </w:r>
      <w:r>
        <w:rPr>
          <w:sz w:val="20"/>
        </w:rPr>
        <w:t>court</w:t>
      </w:r>
      <w:r>
        <w:rPr>
          <w:spacing w:val="-12"/>
          <w:sz w:val="20"/>
        </w:rPr>
        <w:t> </w:t>
      </w:r>
      <w:r>
        <w:rPr>
          <w:sz w:val="20"/>
        </w:rPr>
        <w:t>websites.</w:t>
      </w:r>
    </w:p>
    <w:p>
      <w:pPr>
        <w:pStyle w:val="ListParagraph"/>
        <w:numPr>
          <w:ilvl w:val="0"/>
          <w:numId w:val="10"/>
        </w:numPr>
        <w:tabs>
          <w:tab w:pos="1761" w:val="left" w:leader="none"/>
          <w:tab w:pos="1762" w:val="left" w:leader="none"/>
        </w:tabs>
        <w:spacing w:line="206" w:lineRule="auto" w:before="89" w:after="0"/>
        <w:ind w:left="1761" w:right="1298" w:hanging="794"/>
        <w:jc w:val="left"/>
        <w:rPr>
          <w:sz w:val="20"/>
        </w:rPr>
      </w:pPr>
      <w:r>
        <w:rPr>
          <w:sz w:val="20"/>
        </w:rPr>
        <w:t>The</w:t>
      </w:r>
      <w:r>
        <w:rPr>
          <w:spacing w:val="-14"/>
          <w:sz w:val="20"/>
        </w:rPr>
        <w:t> </w:t>
      </w:r>
      <w:r>
        <w:rPr>
          <w:sz w:val="20"/>
        </w:rPr>
        <w:t>Victorian</w:t>
      </w:r>
      <w:r>
        <w:rPr>
          <w:spacing w:val="-14"/>
          <w:sz w:val="20"/>
        </w:rPr>
        <w:t> </w:t>
      </w:r>
      <w:r>
        <w:rPr>
          <w:spacing w:val="-2"/>
          <w:sz w:val="20"/>
        </w:rPr>
        <w:t>Government</w:t>
      </w:r>
      <w:r>
        <w:rPr>
          <w:spacing w:val="-14"/>
          <w:sz w:val="20"/>
        </w:rPr>
        <w:t> </w:t>
      </w:r>
      <w:r>
        <w:rPr>
          <w:sz w:val="20"/>
        </w:rPr>
        <w:t>should</w:t>
      </w:r>
      <w:r>
        <w:rPr>
          <w:spacing w:val="-14"/>
          <w:sz w:val="20"/>
        </w:rPr>
        <w:t> </w:t>
      </w:r>
      <w:r>
        <w:rPr>
          <w:sz w:val="20"/>
        </w:rPr>
        <w:t>consult</w:t>
      </w:r>
      <w:r>
        <w:rPr>
          <w:spacing w:val="-14"/>
          <w:sz w:val="20"/>
        </w:rPr>
        <w:t> </w:t>
      </w:r>
      <w:r>
        <w:rPr>
          <w:sz w:val="20"/>
        </w:rPr>
        <w:t>with</w:t>
      </w:r>
      <w:r>
        <w:rPr>
          <w:spacing w:val="-14"/>
          <w:sz w:val="20"/>
        </w:rPr>
        <w:t> </w:t>
      </w:r>
      <w:r>
        <w:rPr>
          <w:sz w:val="20"/>
        </w:rPr>
        <w:t>the</w:t>
      </w:r>
      <w:r>
        <w:rPr>
          <w:spacing w:val="-14"/>
          <w:sz w:val="20"/>
        </w:rPr>
        <w:t> </w:t>
      </w:r>
      <w:r>
        <w:rPr>
          <w:sz w:val="20"/>
        </w:rPr>
        <w:t>Aboriginal</w:t>
      </w:r>
      <w:r>
        <w:rPr>
          <w:spacing w:val="-14"/>
          <w:sz w:val="20"/>
        </w:rPr>
        <w:t> </w:t>
      </w:r>
      <w:r>
        <w:rPr>
          <w:sz w:val="20"/>
        </w:rPr>
        <w:t>Justice</w:t>
      </w:r>
      <w:r>
        <w:rPr>
          <w:spacing w:val="-14"/>
          <w:sz w:val="20"/>
        </w:rPr>
        <w:t> </w:t>
      </w:r>
      <w:r>
        <w:rPr>
          <w:sz w:val="20"/>
        </w:rPr>
        <w:t>Caucus,</w:t>
      </w:r>
      <w:r>
        <w:rPr>
          <w:spacing w:val="-14"/>
          <w:sz w:val="20"/>
        </w:rPr>
        <w:t> </w:t>
      </w:r>
      <w:r>
        <w:rPr>
          <w:sz w:val="20"/>
        </w:rPr>
        <w:t>Victorian Aboriginal Community Controlled Health Organisation and Victorian Aboriginal Legal Service about the best </w:t>
      </w:r>
      <w:r>
        <w:rPr>
          <w:spacing w:val="-4"/>
          <w:sz w:val="20"/>
        </w:rPr>
        <w:t>way </w:t>
      </w:r>
      <w:r>
        <w:rPr>
          <w:sz w:val="20"/>
        </w:rPr>
        <w:t>of ensuring </w:t>
      </w:r>
      <w:r>
        <w:rPr>
          <w:spacing w:val="-3"/>
          <w:sz w:val="20"/>
        </w:rPr>
        <w:t>culturally appropriate </w:t>
      </w:r>
      <w:r>
        <w:rPr>
          <w:sz w:val="20"/>
        </w:rPr>
        <w:t>information reaches the Aboriginal community to encourage Aboriginal people </w:t>
      </w:r>
      <w:r>
        <w:rPr>
          <w:spacing w:val="-3"/>
          <w:sz w:val="20"/>
        </w:rPr>
        <w:t>from </w:t>
      </w:r>
      <w:r>
        <w:rPr>
          <w:sz w:val="20"/>
        </w:rPr>
        <w:t>the subject groups to serve on Victorian</w:t>
      </w:r>
      <w:r>
        <w:rPr>
          <w:spacing w:val="-13"/>
          <w:sz w:val="20"/>
        </w:rPr>
        <w:t> </w:t>
      </w:r>
      <w:r>
        <w:rPr>
          <w:sz w:val="20"/>
        </w:rPr>
        <w:t>juries.</w:t>
      </w:r>
    </w:p>
    <w:p>
      <w:pPr>
        <w:spacing w:before="197"/>
        <w:ind w:left="967" w:right="0" w:firstLine="0"/>
        <w:jc w:val="left"/>
        <w:rPr>
          <w:rFonts w:ascii="Raleway ExtraBold"/>
          <w:b/>
          <w:sz w:val="28"/>
        </w:rPr>
      </w:pPr>
      <w:r>
        <w:rPr>
          <w:rFonts w:ascii="Raleway ExtraBold"/>
          <w:b/>
          <w:color w:val="37617A"/>
          <w:sz w:val="28"/>
        </w:rPr>
        <w:t>Chapter 19</w:t>
      </w:r>
    </w:p>
    <w:p>
      <w:pPr>
        <w:pStyle w:val="ListParagraph"/>
        <w:numPr>
          <w:ilvl w:val="0"/>
          <w:numId w:val="10"/>
        </w:numPr>
        <w:tabs>
          <w:tab w:pos="1762" w:val="left" w:leader="none"/>
        </w:tabs>
        <w:spacing w:line="206" w:lineRule="auto" w:before="146" w:after="0"/>
        <w:ind w:left="1761" w:right="1545" w:hanging="794"/>
        <w:jc w:val="both"/>
        <w:rPr>
          <w:sz w:val="20"/>
        </w:rPr>
      </w:pPr>
      <w:r>
        <w:rPr>
          <w:sz w:val="20"/>
        </w:rPr>
        <w:t>Juries</w:t>
      </w:r>
      <w:r>
        <w:rPr>
          <w:spacing w:val="-12"/>
          <w:sz w:val="20"/>
        </w:rPr>
        <w:t> </w:t>
      </w:r>
      <w:r>
        <w:rPr>
          <w:sz w:val="20"/>
        </w:rPr>
        <w:t>Victoria</w:t>
      </w:r>
      <w:r>
        <w:rPr>
          <w:spacing w:val="-11"/>
          <w:sz w:val="20"/>
        </w:rPr>
        <w:t> </w:t>
      </w:r>
      <w:r>
        <w:rPr>
          <w:sz w:val="20"/>
        </w:rPr>
        <w:t>and</w:t>
      </w:r>
      <w:r>
        <w:rPr>
          <w:spacing w:val="-12"/>
          <w:sz w:val="20"/>
        </w:rPr>
        <w:t> </w:t>
      </w:r>
      <w:r>
        <w:rPr>
          <w:sz w:val="20"/>
        </w:rPr>
        <w:t>the</w:t>
      </w:r>
      <w:r>
        <w:rPr>
          <w:spacing w:val="-11"/>
          <w:sz w:val="20"/>
        </w:rPr>
        <w:t> </w:t>
      </w:r>
      <w:r>
        <w:rPr>
          <w:sz w:val="20"/>
        </w:rPr>
        <w:t>courts</w:t>
      </w:r>
      <w:r>
        <w:rPr>
          <w:spacing w:val="-12"/>
          <w:sz w:val="20"/>
        </w:rPr>
        <w:t> </w:t>
      </w:r>
      <w:r>
        <w:rPr>
          <w:sz w:val="20"/>
        </w:rPr>
        <w:t>should</w:t>
      </w:r>
      <w:r>
        <w:rPr>
          <w:spacing w:val="-11"/>
          <w:sz w:val="20"/>
        </w:rPr>
        <w:t> </w:t>
      </w:r>
      <w:r>
        <w:rPr>
          <w:sz w:val="20"/>
        </w:rPr>
        <w:t>collect</w:t>
      </w:r>
      <w:r>
        <w:rPr>
          <w:spacing w:val="-12"/>
          <w:sz w:val="20"/>
        </w:rPr>
        <w:t> </w:t>
      </w:r>
      <w:r>
        <w:rPr>
          <w:sz w:val="20"/>
        </w:rPr>
        <w:t>disaggregated</w:t>
      </w:r>
      <w:r>
        <w:rPr>
          <w:spacing w:val="-11"/>
          <w:sz w:val="20"/>
        </w:rPr>
        <w:t> </w:t>
      </w:r>
      <w:r>
        <w:rPr>
          <w:sz w:val="20"/>
        </w:rPr>
        <w:t>data</w:t>
      </w:r>
      <w:r>
        <w:rPr>
          <w:spacing w:val="-11"/>
          <w:sz w:val="20"/>
        </w:rPr>
        <w:t> </w:t>
      </w:r>
      <w:r>
        <w:rPr>
          <w:sz w:val="20"/>
        </w:rPr>
        <w:t>about</w:t>
      </w:r>
      <w:r>
        <w:rPr>
          <w:spacing w:val="-12"/>
          <w:sz w:val="20"/>
        </w:rPr>
        <w:t> </w:t>
      </w:r>
      <w:r>
        <w:rPr>
          <w:sz w:val="20"/>
        </w:rPr>
        <w:t>people</w:t>
      </w:r>
      <w:r>
        <w:rPr>
          <w:spacing w:val="-11"/>
          <w:sz w:val="20"/>
        </w:rPr>
        <w:t> </w:t>
      </w:r>
      <w:r>
        <w:rPr>
          <w:spacing w:val="-3"/>
          <w:sz w:val="20"/>
        </w:rPr>
        <w:t>from </w:t>
      </w:r>
      <w:r>
        <w:rPr>
          <w:sz w:val="20"/>
        </w:rPr>
        <w:t>the</w:t>
      </w:r>
      <w:r>
        <w:rPr>
          <w:spacing w:val="-8"/>
          <w:sz w:val="20"/>
        </w:rPr>
        <w:t> </w:t>
      </w:r>
      <w:r>
        <w:rPr>
          <w:sz w:val="20"/>
        </w:rPr>
        <w:t>subject</w:t>
      </w:r>
      <w:r>
        <w:rPr>
          <w:spacing w:val="-8"/>
          <w:sz w:val="20"/>
        </w:rPr>
        <w:t> </w:t>
      </w:r>
      <w:r>
        <w:rPr>
          <w:sz w:val="20"/>
        </w:rPr>
        <w:t>groups</w:t>
      </w:r>
      <w:r>
        <w:rPr>
          <w:spacing w:val="-8"/>
          <w:sz w:val="20"/>
        </w:rPr>
        <w:t> </w:t>
      </w:r>
      <w:r>
        <w:rPr>
          <w:sz w:val="20"/>
        </w:rPr>
        <w:t>who</w:t>
      </w:r>
      <w:r>
        <w:rPr>
          <w:spacing w:val="-8"/>
          <w:sz w:val="20"/>
        </w:rPr>
        <w:t> </w:t>
      </w:r>
      <w:r>
        <w:rPr>
          <w:spacing w:val="-3"/>
          <w:sz w:val="20"/>
        </w:rPr>
        <w:t>are</w:t>
      </w:r>
      <w:r>
        <w:rPr>
          <w:spacing w:val="-8"/>
          <w:sz w:val="20"/>
        </w:rPr>
        <w:t> </w:t>
      </w:r>
      <w:r>
        <w:rPr>
          <w:sz w:val="20"/>
        </w:rPr>
        <w:t>summonsed</w:t>
      </w:r>
      <w:r>
        <w:rPr>
          <w:spacing w:val="-8"/>
          <w:sz w:val="20"/>
        </w:rPr>
        <w:t> </w:t>
      </w:r>
      <w:r>
        <w:rPr>
          <w:sz w:val="20"/>
        </w:rPr>
        <w:t>to</w:t>
      </w:r>
      <w:r>
        <w:rPr>
          <w:spacing w:val="-8"/>
          <w:sz w:val="20"/>
        </w:rPr>
        <w:t> </w:t>
      </w:r>
      <w:r>
        <w:rPr>
          <w:sz w:val="20"/>
        </w:rPr>
        <w:t>be</w:t>
      </w:r>
      <w:r>
        <w:rPr>
          <w:spacing w:val="-8"/>
          <w:sz w:val="20"/>
        </w:rPr>
        <w:t> </w:t>
      </w:r>
      <w:r>
        <w:rPr>
          <w:sz w:val="20"/>
        </w:rPr>
        <w:t>in</w:t>
      </w:r>
      <w:r>
        <w:rPr>
          <w:spacing w:val="-8"/>
          <w:sz w:val="20"/>
        </w:rPr>
        <w:t> </w:t>
      </w:r>
      <w:r>
        <w:rPr>
          <w:sz w:val="20"/>
        </w:rPr>
        <w:t>the</w:t>
      </w:r>
      <w:r>
        <w:rPr>
          <w:spacing w:val="-8"/>
          <w:sz w:val="20"/>
        </w:rPr>
        <w:t> </w:t>
      </w:r>
      <w:r>
        <w:rPr>
          <w:sz w:val="20"/>
        </w:rPr>
        <w:t>jury</w:t>
      </w:r>
      <w:r>
        <w:rPr>
          <w:spacing w:val="-8"/>
          <w:sz w:val="20"/>
        </w:rPr>
        <w:t> </w:t>
      </w:r>
      <w:r>
        <w:rPr>
          <w:sz w:val="20"/>
        </w:rPr>
        <w:t>pool</w:t>
      </w:r>
      <w:r>
        <w:rPr>
          <w:spacing w:val="-8"/>
          <w:sz w:val="20"/>
        </w:rPr>
        <w:t> </w:t>
      </w:r>
      <w:r>
        <w:rPr>
          <w:sz w:val="20"/>
        </w:rPr>
        <w:t>and</w:t>
      </w:r>
      <w:r>
        <w:rPr>
          <w:spacing w:val="-8"/>
          <w:sz w:val="20"/>
        </w:rPr>
        <w:t> </w:t>
      </w:r>
      <w:r>
        <w:rPr>
          <w:sz w:val="20"/>
        </w:rPr>
        <w:t>those</w:t>
      </w:r>
      <w:r>
        <w:rPr>
          <w:spacing w:val="-8"/>
          <w:sz w:val="20"/>
        </w:rPr>
        <w:t> </w:t>
      </w:r>
      <w:r>
        <w:rPr>
          <w:sz w:val="20"/>
        </w:rPr>
        <w:t>who</w:t>
      </w:r>
      <w:r>
        <w:rPr>
          <w:spacing w:val="-8"/>
          <w:sz w:val="20"/>
        </w:rPr>
        <w:t> </w:t>
      </w:r>
      <w:r>
        <w:rPr>
          <w:sz w:val="20"/>
        </w:rPr>
        <w:t>go</w:t>
      </w:r>
      <w:r>
        <w:rPr>
          <w:spacing w:val="-8"/>
          <w:sz w:val="20"/>
        </w:rPr>
        <w:t> </w:t>
      </w:r>
      <w:r>
        <w:rPr>
          <w:sz w:val="20"/>
        </w:rPr>
        <w:t>on to</w:t>
      </w:r>
      <w:r>
        <w:rPr>
          <w:spacing w:val="-11"/>
          <w:sz w:val="20"/>
        </w:rPr>
        <w:t> </w:t>
      </w:r>
      <w:r>
        <w:rPr>
          <w:sz w:val="20"/>
        </w:rPr>
        <w:t>serve.</w:t>
      </w:r>
      <w:r>
        <w:rPr>
          <w:spacing w:val="-10"/>
          <w:sz w:val="20"/>
        </w:rPr>
        <w:t> </w:t>
      </w:r>
      <w:r>
        <w:rPr>
          <w:sz w:val="20"/>
        </w:rPr>
        <w:t>Data</w:t>
      </w:r>
      <w:r>
        <w:rPr>
          <w:spacing w:val="-10"/>
          <w:sz w:val="20"/>
        </w:rPr>
        <w:t> </w:t>
      </w:r>
      <w:r>
        <w:rPr>
          <w:sz w:val="20"/>
        </w:rPr>
        <w:t>should</w:t>
      </w:r>
      <w:r>
        <w:rPr>
          <w:spacing w:val="-11"/>
          <w:sz w:val="20"/>
        </w:rPr>
        <w:t> </w:t>
      </w:r>
      <w:r>
        <w:rPr>
          <w:sz w:val="20"/>
        </w:rPr>
        <w:t>be</w:t>
      </w:r>
      <w:r>
        <w:rPr>
          <w:spacing w:val="-10"/>
          <w:sz w:val="20"/>
        </w:rPr>
        <w:t> </w:t>
      </w:r>
      <w:r>
        <w:rPr>
          <w:sz w:val="20"/>
        </w:rPr>
        <w:t>collected</w:t>
      </w:r>
      <w:r>
        <w:rPr>
          <w:spacing w:val="-10"/>
          <w:sz w:val="20"/>
        </w:rPr>
        <w:t> </w:t>
      </w:r>
      <w:r>
        <w:rPr>
          <w:sz w:val="20"/>
        </w:rPr>
        <w:t>at</w:t>
      </w:r>
      <w:r>
        <w:rPr>
          <w:spacing w:val="-10"/>
          <w:sz w:val="20"/>
        </w:rPr>
        <w:t> </w:t>
      </w:r>
      <w:r>
        <w:rPr>
          <w:sz w:val="20"/>
        </w:rPr>
        <w:t>each</w:t>
      </w:r>
      <w:r>
        <w:rPr>
          <w:spacing w:val="-11"/>
          <w:sz w:val="20"/>
        </w:rPr>
        <w:t> </w:t>
      </w:r>
      <w:r>
        <w:rPr>
          <w:sz w:val="20"/>
        </w:rPr>
        <w:t>stage</w:t>
      </w:r>
      <w:r>
        <w:rPr>
          <w:spacing w:val="-10"/>
          <w:sz w:val="20"/>
        </w:rPr>
        <w:t> </w:t>
      </w:r>
      <w:r>
        <w:rPr>
          <w:sz w:val="20"/>
        </w:rPr>
        <w:t>of</w:t>
      </w:r>
      <w:r>
        <w:rPr>
          <w:spacing w:val="-10"/>
          <w:sz w:val="20"/>
        </w:rPr>
        <w:t> </w:t>
      </w:r>
      <w:r>
        <w:rPr>
          <w:sz w:val="20"/>
        </w:rPr>
        <w:t>the</w:t>
      </w:r>
      <w:r>
        <w:rPr>
          <w:spacing w:val="-11"/>
          <w:sz w:val="20"/>
        </w:rPr>
        <w:t> </w:t>
      </w:r>
      <w:r>
        <w:rPr>
          <w:sz w:val="20"/>
        </w:rPr>
        <w:t>jury</w:t>
      </w:r>
      <w:r>
        <w:rPr>
          <w:spacing w:val="-10"/>
          <w:sz w:val="20"/>
        </w:rPr>
        <w:t> </w:t>
      </w:r>
      <w:r>
        <w:rPr>
          <w:sz w:val="20"/>
        </w:rPr>
        <w:t>selection</w:t>
      </w:r>
      <w:r>
        <w:rPr>
          <w:spacing w:val="-10"/>
          <w:sz w:val="20"/>
        </w:rPr>
        <w:t> </w:t>
      </w:r>
      <w:r>
        <w:rPr>
          <w:sz w:val="20"/>
        </w:rPr>
        <w:t>process</w:t>
      </w:r>
      <w:r>
        <w:rPr>
          <w:spacing w:val="-10"/>
          <w:sz w:val="20"/>
        </w:rPr>
        <w:t> </w:t>
      </w:r>
      <w:r>
        <w:rPr>
          <w:sz w:val="20"/>
        </w:rPr>
        <w:t>and</w:t>
      </w:r>
      <w:r>
        <w:rPr>
          <w:spacing w:val="-11"/>
          <w:sz w:val="20"/>
        </w:rPr>
        <w:t> </w:t>
      </w:r>
      <w:r>
        <w:rPr>
          <w:sz w:val="20"/>
        </w:rPr>
        <w:t>in relation</w:t>
      </w:r>
      <w:r>
        <w:rPr>
          <w:spacing w:val="-6"/>
          <w:sz w:val="20"/>
        </w:rPr>
        <w:t> </w:t>
      </w:r>
      <w:r>
        <w:rPr>
          <w:sz w:val="20"/>
        </w:rPr>
        <w:t>to</w:t>
      </w:r>
      <w:r>
        <w:rPr>
          <w:spacing w:val="-5"/>
          <w:sz w:val="20"/>
        </w:rPr>
        <w:t> </w:t>
      </w:r>
      <w:r>
        <w:rPr>
          <w:spacing w:val="-3"/>
          <w:sz w:val="20"/>
        </w:rPr>
        <w:t>relevant</w:t>
      </w:r>
      <w:r>
        <w:rPr>
          <w:spacing w:val="-5"/>
          <w:sz w:val="20"/>
        </w:rPr>
        <w:t> </w:t>
      </w:r>
      <w:r>
        <w:rPr>
          <w:sz w:val="20"/>
        </w:rPr>
        <w:t>aspects</w:t>
      </w:r>
      <w:r>
        <w:rPr>
          <w:spacing w:val="-5"/>
          <w:sz w:val="20"/>
        </w:rPr>
        <w:t> </w:t>
      </w:r>
      <w:r>
        <w:rPr>
          <w:sz w:val="20"/>
        </w:rPr>
        <w:t>of</w:t>
      </w:r>
      <w:r>
        <w:rPr>
          <w:spacing w:val="-5"/>
          <w:sz w:val="20"/>
        </w:rPr>
        <w:t> </w:t>
      </w:r>
      <w:r>
        <w:rPr>
          <w:sz w:val="20"/>
        </w:rPr>
        <w:t>trials.</w:t>
      </w:r>
      <w:r>
        <w:rPr>
          <w:spacing w:val="-5"/>
          <w:sz w:val="20"/>
        </w:rPr>
        <w:t> </w:t>
      </w:r>
      <w:r>
        <w:rPr>
          <w:sz w:val="20"/>
        </w:rPr>
        <w:t>It</w:t>
      </w:r>
      <w:r>
        <w:rPr>
          <w:spacing w:val="-5"/>
          <w:sz w:val="20"/>
        </w:rPr>
        <w:t> </w:t>
      </w:r>
      <w:r>
        <w:rPr>
          <w:sz w:val="20"/>
        </w:rPr>
        <w:t>should</w:t>
      </w:r>
      <w:r>
        <w:rPr>
          <w:spacing w:val="-6"/>
          <w:sz w:val="20"/>
        </w:rPr>
        <w:t> </w:t>
      </w:r>
      <w:r>
        <w:rPr>
          <w:spacing w:val="-4"/>
          <w:sz w:val="20"/>
        </w:rPr>
        <w:t>cover</w:t>
      </w:r>
      <w:r>
        <w:rPr>
          <w:spacing w:val="-5"/>
          <w:sz w:val="20"/>
        </w:rPr>
        <w:t> </w:t>
      </w:r>
      <w:r>
        <w:rPr>
          <w:sz w:val="20"/>
        </w:rPr>
        <w:t>at</w:t>
      </w:r>
      <w:r>
        <w:rPr>
          <w:spacing w:val="-5"/>
          <w:sz w:val="20"/>
        </w:rPr>
        <w:t> </w:t>
      </w:r>
      <w:r>
        <w:rPr>
          <w:sz w:val="20"/>
        </w:rPr>
        <w:t>a</w:t>
      </w:r>
      <w:r>
        <w:rPr>
          <w:spacing w:val="-5"/>
          <w:sz w:val="20"/>
        </w:rPr>
        <w:t> </w:t>
      </w:r>
      <w:r>
        <w:rPr>
          <w:sz w:val="20"/>
        </w:rPr>
        <w:t>minimum:</w:t>
      </w:r>
    </w:p>
    <w:p>
      <w:pPr>
        <w:pStyle w:val="ListParagraph"/>
        <w:numPr>
          <w:ilvl w:val="1"/>
          <w:numId w:val="10"/>
        </w:numPr>
        <w:tabs>
          <w:tab w:pos="2157" w:val="left" w:leader="none"/>
          <w:tab w:pos="2158" w:val="left" w:leader="none"/>
        </w:tabs>
        <w:spacing w:line="240" w:lineRule="auto" w:before="58" w:after="0"/>
        <w:ind w:left="2157" w:right="0" w:hanging="396"/>
        <w:jc w:val="left"/>
        <w:rPr>
          <w:sz w:val="20"/>
        </w:rPr>
      </w:pPr>
      <w:r>
        <w:rPr>
          <w:sz w:val="20"/>
        </w:rPr>
        <w:t>types of</w:t>
      </w:r>
      <w:r>
        <w:rPr>
          <w:spacing w:val="-9"/>
          <w:sz w:val="20"/>
        </w:rPr>
        <w:t> </w:t>
      </w:r>
      <w:r>
        <w:rPr>
          <w:sz w:val="20"/>
        </w:rPr>
        <w:t>disability</w:t>
      </w:r>
    </w:p>
    <w:p>
      <w:pPr>
        <w:pStyle w:val="ListParagraph"/>
        <w:numPr>
          <w:ilvl w:val="1"/>
          <w:numId w:val="10"/>
        </w:numPr>
        <w:tabs>
          <w:tab w:pos="2157" w:val="left" w:leader="none"/>
          <w:tab w:pos="2158" w:val="left" w:leader="none"/>
        </w:tabs>
        <w:spacing w:line="240" w:lineRule="auto" w:before="47" w:after="0"/>
        <w:ind w:left="2157" w:right="0" w:hanging="396"/>
        <w:jc w:val="left"/>
        <w:rPr>
          <w:sz w:val="20"/>
        </w:rPr>
      </w:pPr>
      <w:r>
        <w:rPr>
          <w:sz w:val="20"/>
        </w:rPr>
        <w:t>whether</w:t>
      </w:r>
      <w:r>
        <w:rPr>
          <w:spacing w:val="-6"/>
          <w:sz w:val="20"/>
        </w:rPr>
        <w:t> </w:t>
      </w:r>
      <w:r>
        <w:rPr>
          <w:sz w:val="20"/>
        </w:rPr>
        <w:t>potential</w:t>
      </w:r>
      <w:r>
        <w:rPr>
          <w:spacing w:val="-5"/>
          <w:sz w:val="20"/>
        </w:rPr>
        <w:t> </w:t>
      </w:r>
      <w:r>
        <w:rPr>
          <w:sz w:val="20"/>
        </w:rPr>
        <w:t>jurors</w:t>
      </w:r>
      <w:r>
        <w:rPr>
          <w:spacing w:val="-6"/>
          <w:sz w:val="20"/>
        </w:rPr>
        <w:t> </w:t>
      </w:r>
      <w:r>
        <w:rPr>
          <w:sz w:val="20"/>
        </w:rPr>
        <w:t>identify</w:t>
      </w:r>
      <w:r>
        <w:rPr>
          <w:spacing w:val="-5"/>
          <w:sz w:val="20"/>
        </w:rPr>
        <w:t> </w:t>
      </w:r>
      <w:r>
        <w:rPr>
          <w:sz w:val="20"/>
        </w:rPr>
        <w:t>as</w:t>
      </w:r>
      <w:r>
        <w:rPr>
          <w:spacing w:val="-5"/>
          <w:sz w:val="20"/>
        </w:rPr>
        <w:t> </w:t>
      </w:r>
      <w:r>
        <w:rPr>
          <w:sz w:val="20"/>
        </w:rPr>
        <w:t>Aboriginal</w:t>
      </w:r>
      <w:r>
        <w:rPr>
          <w:spacing w:val="-6"/>
          <w:sz w:val="20"/>
        </w:rPr>
        <w:t> </w:t>
      </w:r>
      <w:r>
        <w:rPr>
          <w:sz w:val="20"/>
        </w:rPr>
        <w:t>or</w:t>
      </w:r>
      <w:r>
        <w:rPr>
          <w:spacing w:val="-5"/>
          <w:sz w:val="20"/>
        </w:rPr>
        <w:t> Torres </w:t>
      </w:r>
      <w:r>
        <w:rPr>
          <w:sz w:val="20"/>
        </w:rPr>
        <w:t>Strait</w:t>
      </w:r>
      <w:r>
        <w:rPr>
          <w:spacing w:val="-6"/>
          <w:sz w:val="20"/>
        </w:rPr>
        <w:t> </w:t>
      </w:r>
      <w:r>
        <w:rPr>
          <w:sz w:val="20"/>
        </w:rPr>
        <w:t>Islander</w:t>
      </w:r>
    </w:p>
    <w:p>
      <w:pPr>
        <w:pStyle w:val="ListParagraph"/>
        <w:numPr>
          <w:ilvl w:val="1"/>
          <w:numId w:val="10"/>
        </w:numPr>
        <w:tabs>
          <w:tab w:pos="2157" w:val="left" w:leader="none"/>
          <w:tab w:pos="2158" w:val="left" w:leader="none"/>
        </w:tabs>
        <w:spacing w:line="240" w:lineRule="auto" w:before="47" w:after="0"/>
        <w:ind w:left="2157" w:right="0" w:hanging="396"/>
        <w:jc w:val="left"/>
        <w:rPr>
          <w:sz w:val="20"/>
        </w:rPr>
      </w:pPr>
      <w:r>
        <w:rPr>
          <w:sz w:val="20"/>
        </w:rPr>
        <w:t>adjustments</w:t>
      </w:r>
      <w:r>
        <w:rPr>
          <w:spacing w:val="-5"/>
          <w:sz w:val="20"/>
        </w:rPr>
        <w:t> </w:t>
      </w:r>
      <w:r>
        <w:rPr>
          <w:sz w:val="20"/>
        </w:rPr>
        <w:t>sought</w:t>
      </w:r>
    </w:p>
    <w:p>
      <w:pPr>
        <w:pStyle w:val="ListParagraph"/>
        <w:numPr>
          <w:ilvl w:val="1"/>
          <w:numId w:val="10"/>
        </w:numPr>
        <w:tabs>
          <w:tab w:pos="2157" w:val="left" w:leader="none"/>
          <w:tab w:pos="2158" w:val="left" w:leader="none"/>
        </w:tabs>
        <w:spacing w:line="240" w:lineRule="auto" w:before="48" w:after="0"/>
        <w:ind w:left="2157" w:right="0" w:hanging="396"/>
        <w:jc w:val="left"/>
        <w:rPr>
          <w:sz w:val="20"/>
        </w:rPr>
      </w:pPr>
      <w:r>
        <w:rPr>
          <w:sz w:val="20"/>
        </w:rPr>
        <w:t>adjustments </w:t>
      </w:r>
      <w:r>
        <w:rPr>
          <w:spacing w:val="-3"/>
          <w:sz w:val="20"/>
        </w:rPr>
        <w:t>provided </w:t>
      </w:r>
      <w:r>
        <w:rPr>
          <w:sz w:val="20"/>
        </w:rPr>
        <w:t>including duration of Auslan</w:t>
      </w:r>
      <w:r>
        <w:rPr>
          <w:spacing w:val="-25"/>
          <w:sz w:val="20"/>
        </w:rPr>
        <w:t> </w:t>
      </w:r>
      <w:r>
        <w:rPr>
          <w:spacing w:val="-3"/>
          <w:sz w:val="20"/>
        </w:rPr>
        <w:t>interpreting</w:t>
      </w:r>
    </w:p>
    <w:p>
      <w:pPr>
        <w:pStyle w:val="ListParagraph"/>
        <w:numPr>
          <w:ilvl w:val="1"/>
          <w:numId w:val="10"/>
        </w:numPr>
        <w:tabs>
          <w:tab w:pos="2157" w:val="left" w:leader="none"/>
          <w:tab w:pos="2158" w:val="left" w:leader="none"/>
        </w:tabs>
        <w:spacing w:line="206" w:lineRule="auto" w:before="80" w:after="0"/>
        <w:ind w:left="2157" w:right="1344" w:hanging="396"/>
        <w:jc w:val="left"/>
        <w:rPr>
          <w:sz w:val="20"/>
        </w:rPr>
      </w:pPr>
      <w:r>
        <w:rPr>
          <w:sz w:val="20"/>
        </w:rPr>
        <w:t>the</w:t>
      </w:r>
      <w:r>
        <w:rPr>
          <w:spacing w:val="-8"/>
          <w:sz w:val="20"/>
        </w:rPr>
        <w:t> </w:t>
      </w:r>
      <w:r>
        <w:rPr>
          <w:sz w:val="20"/>
        </w:rPr>
        <w:t>number</w:t>
      </w:r>
      <w:r>
        <w:rPr>
          <w:spacing w:val="-8"/>
          <w:sz w:val="20"/>
        </w:rPr>
        <w:t> </w:t>
      </w:r>
      <w:r>
        <w:rPr>
          <w:sz w:val="20"/>
        </w:rPr>
        <w:t>of</w:t>
      </w:r>
      <w:r>
        <w:rPr>
          <w:spacing w:val="-8"/>
          <w:sz w:val="20"/>
        </w:rPr>
        <w:t> </w:t>
      </w:r>
      <w:r>
        <w:rPr>
          <w:sz w:val="20"/>
        </w:rPr>
        <w:t>times</w:t>
      </w:r>
      <w:r>
        <w:rPr>
          <w:spacing w:val="-8"/>
          <w:sz w:val="20"/>
        </w:rPr>
        <w:t> </w:t>
      </w:r>
      <w:r>
        <w:rPr>
          <w:sz w:val="20"/>
        </w:rPr>
        <w:t>the</w:t>
      </w:r>
      <w:r>
        <w:rPr>
          <w:spacing w:val="-8"/>
          <w:sz w:val="20"/>
        </w:rPr>
        <w:t> </w:t>
      </w:r>
      <w:r>
        <w:rPr>
          <w:sz w:val="20"/>
        </w:rPr>
        <w:t>Juries</w:t>
      </w:r>
      <w:r>
        <w:rPr>
          <w:spacing w:val="-8"/>
          <w:sz w:val="20"/>
        </w:rPr>
        <w:t> </w:t>
      </w:r>
      <w:r>
        <w:rPr>
          <w:sz w:val="20"/>
        </w:rPr>
        <w:t>Commissioner</w:t>
      </w:r>
      <w:r>
        <w:rPr>
          <w:spacing w:val="-8"/>
          <w:sz w:val="20"/>
        </w:rPr>
        <w:t> </w:t>
      </w:r>
      <w:r>
        <w:rPr>
          <w:spacing w:val="-3"/>
          <w:sz w:val="20"/>
        </w:rPr>
        <w:t>exercises</w:t>
      </w:r>
      <w:r>
        <w:rPr>
          <w:spacing w:val="-8"/>
          <w:sz w:val="20"/>
        </w:rPr>
        <w:t> </w:t>
      </w:r>
      <w:r>
        <w:rPr>
          <w:sz w:val="20"/>
        </w:rPr>
        <w:t>the</w:t>
      </w:r>
      <w:r>
        <w:rPr>
          <w:spacing w:val="-8"/>
          <w:sz w:val="20"/>
        </w:rPr>
        <w:t> </w:t>
      </w:r>
      <w:r>
        <w:rPr>
          <w:sz w:val="20"/>
        </w:rPr>
        <w:t>new</w:t>
      </w:r>
      <w:r>
        <w:rPr>
          <w:spacing w:val="-8"/>
          <w:sz w:val="20"/>
        </w:rPr>
        <w:t> </w:t>
      </w:r>
      <w:r>
        <w:rPr>
          <w:spacing w:val="-3"/>
          <w:sz w:val="20"/>
        </w:rPr>
        <w:t>powers</w:t>
      </w:r>
      <w:r>
        <w:rPr>
          <w:spacing w:val="-8"/>
          <w:sz w:val="20"/>
        </w:rPr>
        <w:t> </w:t>
      </w:r>
      <w:r>
        <w:rPr>
          <w:sz w:val="20"/>
        </w:rPr>
        <w:t>to</w:t>
      </w:r>
      <w:r>
        <w:rPr>
          <w:spacing w:val="-8"/>
          <w:sz w:val="20"/>
        </w:rPr>
        <w:t> </w:t>
      </w:r>
      <w:r>
        <w:rPr>
          <w:sz w:val="20"/>
        </w:rPr>
        <w:t>hold</w:t>
      </w:r>
      <w:r>
        <w:rPr>
          <w:spacing w:val="-8"/>
          <w:sz w:val="20"/>
        </w:rPr>
        <w:t> </w:t>
      </w:r>
      <w:r>
        <w:rPr>
          <w:sz w:val="20"/>
        </w:rPr>
        <w:t>a person’s card out of a</w:t>
      </w:r>
      <w:r>
        <w:rPr>
          <w:spacing w:val="-22"/>
          <w:sz w:val="20"/>
        </w:rPr>
        <w:t> </w:t>
      </w:r>
      <w:r>
        <w:rPr>
          <w:sz w:val="20"/>
        </w:rPr>
        <w:t>ballot</w:t>
      </w:r>
    </w:p>
    <w:p>
      <w:pPr>
        <w:pStyle w:val="ListParagraph"/>
        <w:numPr>
          <w:ilvl w:val="1"/>
          <w:numId w:val="10"/>
        </w:numPr>
        <w:tabs>
          <w:tab w:pos="2157" w:val="left" w:leader="none"/>
          <w:tab w:pos="2158" w:val="left" w:leader="none"/>
        </w:tabs>
        <w:spacing w:line="206" w:lineRule="auto" w:before="87" w:after="0"/>
        <w:ind w:left="2157" w:right="1416" w:hanging="396"/>
        <w:jc w:val="left"/>
        <w:rPr>
          <w:sz w:val="20"/>
        </w:rPr>
      </w:pPr>
      <w:r>
        <w:rPr>
          <w:sz w:val="20"/>
        </w:rPr>
        <w:t>the</w:t>
      </w:r>
      <w:r>
        <w:rPr>
          <w:spacing w:val="-9"/>
          <w:sz w:val="20"/>
        </w:rPr>
        <w:t> </w:t>
      </w:r>
      <w:r>
        <w:rPr>
          <w:sz w:val="20"/>
        </w:rPr>
        <w:t>number</w:t>
      </w:r>
      <w:r>
        <w:rPr>
          <w:spacing w:val="-8"/>
          <w:sz w:val="20"/>
        </w:rPr>
        <w:t> </w:t>
      </w:r>
      <w:r>
        <w:rPr>
          <w:sz w:val="20"/>
        </w:rPr>
        <w:t>of</w:t>
      </w:r>
      <w:r>
        <w:rPr>
          <w:spacing w:val="-8"/>
          <w:sz w:val="20"/>
        </w:rPr>
        <w:t> </w:t>
      </w:r>
      <w:r>
        <w:rPr>
          <w:sz w:val="20"/>
        </w:rPr>
        <w:t>times</w:t>
      </w:r>
      <w:r>
        <w:rPr>
          <w:spacing w:val="-8"/>
          <w:sz w:val="20"/>
        </w:rPr>
        <w:t> </w:t>
      </w:r>
      <w:r>
        <w:rPr>
          <w:sz w:val="20"/>
        </w:rPr>
        <w:t>the</w:t>
      </w:r>
      <w:r>
        <w:rPr>
          <w:spacing w:val="-8"/>
          <w:sz w:val="20"/>
        </w:rPr>
        <w:t> </w:t>
      </w:r>
      <w:r>
        <w:rPr>
          <w:sz w:val="20"/>
        </w:rPr>
        <w:t>Juries</w:t>
      </w:r>
      <w:r>
        <w:rPr>
          <w:spacing w:val="-8"/>
          <w:sz w:val="20"/>
        </w:rPr>
        <w:t> </w:t>
      </w:r>
      <w:r>
        <w:rPr>
          <w:sz w:val="20"/>
        </w:rPr>
        <w:t>Commissioner</w:t>
      </w:r>
      <w:r>
        <w:rPr>
          <w:spacing w:val="-8"/>
          <w:sz w:val="20"/>
        </w:rPr>
        <w:t> </w:t>
      </w:r>
      <w:r>
        <w:rPr>
          <w:spacing w:val="-3"/>
          <w:sz w:val="20"/>
        </w:rPr>
        <w:t>exercises</w:t>
      </w:r>
      <w:r>
        <w:rPr>
          <w:spacing w:val="-8"/>
          <w:sz w:val="20"/>
        </w:rPr>
        <w:t> </w:t>
      </w:r>
      <w:r>
        <w:rPr>
          <w:sz w:val="20"/>
        </w:rPr>
        <w:t>the</w:t>
      </w:r>
      <w:r>
        <w:rPr>
          <w:spacing w:val="-8"/>
          <w:sz w:val="20"/>
        </w:rPr>
        <w:t> </w:t>
      </w:r>
      <w:r>
        <w:rPr>
          <w:sz w:val="20"/>
        </w:rPr>
        <w:t>new</w:t>
      </w:r>
      <w:r>
        <w:rPr>
          <w:spacing w:val="-8"/>
          <w:sz w:val="20"/>
        </w:rPr>
        <w:t> </w:t>
      </w:r>
      <w:r>
        <w:rPr>
          <w:spacing w:val="-3"/>
          <w:sz w:val="20"/>
        </w:rPr>
        <w:t>powers</w:t>
      </w:r>
      <w:r>
        <w:rPr>
          <w:spacing w:val="-8"/>
          <w:sz w:val="20"/>
        </w:rPr>
        <w:t> </w:t>
      </w:r>
      <w:r>
        <w:rPr>
          <w:sz w:val="20"/>
        </w:rPr>
        <w:t>to</w:t>
      </w:r>
      <w:r>
        <w:rPr>
          <w:spacing w:val="-9"/>
          <w:sz w:val="20"/>
        </w:rPr>
        <w:t> </w:t>
      </w:r>
      <w:r>
        <w:rPr>
          <w:sz w:val="20"/>
        </w:rPr>
        <w:t>defer jury</w:t>
      </w:r>
      <w:r>
        <w:rPr>
          <w:spacing w:val="-7"/>
          <w:sz w:val="20"/>
        </w:rPr>
        <w:t> </w:t>
      </w:r>
      <w:r>
        <w:rPr>
          <w:sz w:val="20"/>
        </w:rPr>
        <w:t>service</w:t>
      </w:r>
      <w:r>
        <w:rPr>
          <w:spacing w:val="-6"/>
          <w:sz w:val="20"/>
        </w:rPr>
        <w:t> </w:t>
      </w:r>
      <w:r>
        <w:rPr>
          <w:sz w:val="20"/>
        </w:rPr>
        <w:t>for</w:t>
      </w:r>
      <w:r>
        <w:rPr>
          <w:spacing w:val="-6"/>
          <w:sz w:val="20"/>
        </w:rPr>
        <w:t> </w:t>
      </w:r>
      <w:r>
        <w:rPr>
          <w:sz w:val="20"/>
        </w:rPr>
        <w:t>a</w:t>
      </w:r>
      <w:r>
        <w:rPr>
          <w:spacing w:val="-6"/>
          <w:sz w:val="20"/>
        </w:rPr>
        <w:t> </w:t>
      </w:r>
      <w:r>
        <w:rPr>
          <w:sz w:val="20"/>
        </w:rPr>
        <w:t>person</w:t>
      </w:r>
      <w:r>
        <w:rPr>
          <w:spacing w:val="-6"/>
          <w:sz w:val="20"/>
        </w:rPr>
        <w:t> </w:t>
      </w:r>
      <w:r>
        <w:rPr>
          <w:sz w:val="20"/>
        </w:rPr>
        <w:t>in</w:t>
      </w:r>
      <w:r>
        <w:rPr>
          <w:spacing w:val="-6"/>
          <w:sz w:val="20"/>
        </w:rPr>
        <w:t> </w:t>
      </w:r>
      <w:r>
        <w:rPr>
          <w:sz w:val="20"/>
        </w:rPr>
        <w:t>the</w:t>
      </w:r>
      <w:r>
        <w:rPr>
          <w:spacing w:val="-6"/>
          <w:sz w:val="20"/>
        </w:rPr>
        <w:t> </w:t>
      </w:r>
      <w:r>
        <w:rPr>
          <w:sz w:val="20"/>
        </w:rPr>
        <w:t>subject</w:t>
      </w:r>
      <w:r>
        <w:rPr>
          <w:spacing w:val="-6"/>
          <w:sz w:val="20"/>
        </w:rPr>
        <w:t> </w:t>
      </w:r>
      <w:r>
        <w:rPr>
          <w:sz w:val="20"/>
        </w:rPr>
        <w:t>groups</w:t>
      </w:r>
      <w:r>
        <w:rPr>
          <w:spacing w:val="-6"/>
          <w:sz w:val="20"/>
        </w:rPr>
        <w:t> </w:t>
      </w:r>
      <w:r>
        <w:rPr>
          <w:sz w:val="20"/>
        </w:rPr>
        <w:t>to</w:t>
      </w:r>
      <w:r>
        <w:rPr>
          <w:spacing w:val="-6"/>
          <w:sz w:val="20"/>
        </w:rPr>
        <w:t> </w:t>
      </w:r>
      <w:r>
        <w:rPr>
          <w:sz w:val="20"/>
        </w:rPr>
        <w:t>arrange</w:t>
      </w:r>
      <w:r>
        <w:rPr>
          <w:spacing w:val="-6"/>
          <w:sz w:val="20"/>
        </w:rPr>
        <w:t> </w:t>
      </w:r>
      <w:r>
        <w:rPr>
          <w:sz w:val="20"/>
        </w:rPr>
        <w:t>adjustments</w:t>
      </w:r>
    </w:p>
    <w:p>
      <w:pPr>
        <w:pStyle w:val="ListParagraph"/>
        <w:numPr>
          <w:ilvl w:val="1"/>
          <w:numId w:val="10"/>
        </w:numPr>
        <w:tabs>
          <w:tab w:pos="2157" w:val="left" w:leader="none"/>
          <w:tab w:pos="2158" w:val="left" w:leader="none"/>
        </w:tabs>
        <w:spacing w:line="240" w:lineRule="auto" w:before="55" w:after="0"/>
        <w:ind w:left="2157" w:right="0" w:hanging="396"/>
        <w:jc w:val="left"/>
        <w:rPr>
          <w:sz w:val="20"/>
        </w:rPr>
      </w:pPr>
      <w:r>
        <w:rPr>
          <w:spacing w:val="-3"/>
          <w:sz w:val="20"/>
        </w:rPr>
        <w:t>why </w:t>
      </w:r>
      <w:r>
        <w:rPr>
          <w:sz w:val="20"/>
        </w:rPr>
        <w:t>people </w:t>
      </w:r>
      <w:r>
        <w:rPr>
          <w:spacing w:val="-3"/>
          <w:sz w:val="20"/>
        </w:rPr>
        <w:t>excused from </w:t>
      </w:r>
      <w:r>
        <w:rPr>
          <w:sz w:val="20"/>
        </w:rPr>
        <w:t>jury duty could not</w:t>
      </w:r>
      <w:r>
        <w:rPr>
          <w:spacing w:val="-26"/>
          <w:sz w:val="20"/>
        </w:rPr>
        <w:t> </w:t>
      </w:r>
      <w:r>
        <w:rPr>
          <w:sz w:val="20"/>
        </w:rPr>
        <w:t>serve</w:t>
      </w:r>
    </w:p>
    <w:p>
      <w:pPr>
        <w:pStyle w:val="ListParagraph"/>
        <w:numPr>
          <w:ilvl w:val="1"/>
          <w:numId w:val="10"/>
        </w:numPr>
        <w:tabs>
          <w:tab w:pos="2157" w:val="left" w:leader="none"/>
          <w:tab w:pos="2158" w:val="left" w:leader="none"/>
        </w:tabs>
        <w:spacing w:line="206" w:lineRule="auto" w:before="80" w:after="0"/>
        <w:ind w:left="2157" w:right="1294" w:hanging="396"/>
        <w:jc w:val="left"/>
        <w:rPr>
          <w:sz w:val="20"/>
        </w:rPr>
      </w:pPr>
      <w:r>
        <w:rPr>
          <w:sz w:val="20"/>
        </w:rPr>
        <w:t>the</w:t>
      </w:r>
      <w:r>
        <w:rPr>
          <w:spacing w:val="-10"/>
          <w:sz w:val="20"/>
        </w:rPr>
        <w:t> </w:t>
      </w:r>
      <w:r>
        <w:rPr>
          <w:sz w:val="20"/>
        </w:rPr>
        <w:t>number</w:t>
      </w:r>
      <w:r>
        <w:rPr>
          <w:spacing w:val="-9"/>
          <w:sz w:val="20"/>
        </w:rPr>
        <w:t> </w:t>
      </w:r>
      <w:r>
        <w:rPr>
          <w:sz w:val="20"/>
        </w:rPr>
        <w:t>of</w:t>
      </w:r>
      <w:r>
        <w:rPr>
          <w:spacing w:val="-10"/>
          <w:sz w:val="20"/>
        </w:rPr>
        <w:t> </w:t>
      </w:r>
      <w:r>
        <w:rPr>
          <w:sz w:val="20"/>
        </w:rPr>
        <w:t>times</w:t>
      </w:r>
      <w:r>
        <w:rPr>
          <w:spacing w:val="-9"/>
          <w:sz w:val="20"/>
        </w:rPr>
        <w:t> </w:t>
      </w:r>
      <w:r>
        <w:rPr>
          <w:sz w:val="20"/>
        </w:rPr>
        <w:t>judges</w:t>
      </w:r>
      <w:r>
        <w:rPr>
          <w:spacing w:val="-9"/>
          <w:sz w:val="20"/>
        </w:rPr>
        <w:t> </w:t>
      </w:r>
      <w:r>
        <w:rPr>
          <w:spacing w:val="-3"/>
          <w:sz w:val="20"/>
        </w:rPr>
        <w:t>exercise</w:t>
      </w:r>
      <w:r>
        <w:rPr>
          <w:spacing w:val="-10"/>
          <w:sz w:val="20"/>
        </w:rPr>
        <w:t> </w:t>
      </w:r>
      <w:r>
        <w:rPr>
          <w:sz w:val="20"/>
        </w:rPr>
        <w:t>their</w:t>
      </w:r>
      <w:r>
        <w:rPr>
          <w:spacing w:val="-9"/>
          <w:sz w:val="20"/>
        </w:rPr>
        <w:t> </w:t>
      </w:r>
      <w:r>
        <w:rPr>
          <w:sz w:val="20"/>
        </w:rPr>
        <w:t>discretion</w:t>
      </w:r>
      <w:r>
        <w:rPr>
          <w:spacing w:val="-10"/>
          <w:sz w:val="20"/>
        </w:rPr>
        <w:t> </w:t>
      </w:r>
      <w:r>
        <w:rPr>
          <w:sz w:val="20"/>
        </w:rPr>
        <w:t>not</w:t>
      </w:r>
      <w:r>
        <w:rPr>
          <w:spacing w:val="-9"/>
          <w:sz w:val="20"/>
        </w:rPr>
        <w:t> </w:t>
      </w:r>
      <w:r>
        <w:rPr>
          <w:sz w:val="20"/>
        </w:rPr>
        <w:t>to</w:t>
      </w:r>
      <w:r>
        <w:rPr>
          <w:spacing w:val="-9"/>
          <w:sz w:val="20"/>
        </w:rPr>
        <w:t> </w:t>
      </w:r>
      <w:r>
        <w:rPr>
          <w:spacing w:val="-3"/>
          <w:sz w:val="20"/>
        </w:rPr>
        <w:t>allow</w:t>
      </w:r>
      <w:r>
        <w:rPr>
          <w:spacing w:val="-10"/>
          <w:sz w:val="20"/>
        </w:rPr>
        <w:t> </w:t>
      </w:r>
      <w:r>
        <w:rPr>
          <w:sz w:val="20"/>
        </w:rPr>
        <w:t>a</w:t>
      </w:r>
      <w:r>
        <w:rPr>
          <w:spacing w:val="-9"/>
          <w:sz w:val="20"/>
        </w:rPr>
        <w:t> </w:t>
      </w:r>
      <w:r>
        <w:rPr>
          <w:sz w:val="20"/>
        </w:rPr>
        <w:t>person</w:t>
      </w:r>
      <w:r>
        <w:rPr>
          <w:spacing w:val="-9"/>
          <w:sz w:val="20"/>
        </w:rPr>
        <w:t> </w:t>
      </w:r>
      <w:r>
        <w:rPr>
          <w:sz w:val="20"/>
        </w:rPr>
        <w:t>to</w:t>
      </w:r>
      <w:r>
        <w:rPr>
          <w:spacing w:val="-10"/>
          <w:sz w:val="20"/>
        </w:rPr>
        <w:t> </w:t>
      </w:r>
      <w:r>
        <w:rPr>
          <w:sz w:val="20"/>
        </w:rPr>
        <w:t>serve on a </w:t>
      </w:r>
      <w:r>
        <w:rPr>
          <w:spacing w:val="-3"/>
          <w:sz w:val="20"/>
        </w:rPr>
        <w:t>jury, </w:t>
      </w:r>
      <w:r>
        <w:rPr>
          <w:sz w:val="20"/>
        </w:rPr>
        <w:t>or otherwise </w:t>
      </w:r>
      <w:r>
        <w:rPr>
          <w:spacing w:val="-3"/>
          <w:sz w:val="20"/>
        </w:rPr>
        <w:t>exclude</w:t>
      </w:r>
      <w:r>
        <w:rPr>
          <w:spacing w:val="-23"/>
          <w:sz w:val="20"/>
        </w:rPr>
        <w:t> </w:t>
      </w:r>
      <w:r>
        <w:rPr>
          <w:sz w:val="20"/>
        </w:rPr>
        <w:t>them</w:t>
      </w:r>
    </w:p>
    <w:p>
      <w:pPr>
        <w:pStyle w:val="ListParagraph"/>
        <w:numPr>
          <w:ilvl w:val="1"/>
          <w:numId w:val="10"/>
        </w:numPr>
        <w:tabs>
          <w:tab w:pos="2157" w:val="left" w:leader="none"/>
          <w:tab w:pos="2158" w:val="left" w:leader="none"/>
        </w:tabs>
        <w:spacing w:line="206" w:lineRule="auto" w:before="88" w:after="0"/>
        <w:ind w:left="2157" w:right="1537" w:hanging="396"/>
        <w:jc w:val="left"/>
        <w:rPr>
          <w:sz w:val="20"/>
        </w:rPr>
      </w:pPr>
      <w:r>
        <w:rPr>
          <w:sz w:val="20"/>
        </w:rPr>
        <w:t>the</w:t>
      </w:r>
      <w:r>
        <w:rPr>
          <w:spacing w:val="-10"/>
          <w:sz w:val="20"/>
        </w:rPr>
        <w:t> </w:t>
      </w:r>
      <w:r>
        <w:rPr>
          <w:sz w:val="20"/>
        </w:rPr>
        <w:t>number</w:t>
      </w:r>
      <w:r>
        <w:rPr>
          <w:spacing w:val="-10"/>
          <w:sz w:val="20"/>
        </w:rPr>
        <w:t> </w:t>
      </w:r>
      <w:r>
        <w:rPr>
          <w:sz w:val="20"/>
        </w:rPr>
        <w:t>of</w:t>
      </w:r>
      <w:r>
        <w:rPr>
          <w:spacing w:val="-10"/>
          <w:sz w:val="20"/>
        </w:rPr>
        <w:t> </w:t>
      </w:r>
      <w:r>
        <w:rPr>
          <w:sz w:val="20"/>
        </w:rPr>
        <w:t>times</w:t>
      </w:r>
      <w:r>
        <w:rPr>
          <w:spacing w:val="-10"/>
          <w:sz w:val="20"/>
        </w:rPr>
        <w:t> </w:t>
      </w:r>
      <w:r>
        <w:rPr>
          <w:sz w:val="20"/>
        </w:rPr>
        <w:t>people</w:t>
      </w:r>
      <w:r>
        <w:rPr>
          <w:spacing w:val="-9"/>
          <w:sz w:val="20"/>
        </w:rPr>
        <w:t> </w:t>
      </w:r>
      <w:r>
        <w:rPr>
          <w:sz w:val="20"/>
        </w:rPr>
        <w:t>who</w:t>
      </w:r>
      <w:r>
        <w:rPr>
          <w:spacing w:val="-10"/>
          <w:sz w:val="20"/>
        </w:rPr>
        <w:t> </w:t>
      </w:r>
      <w:r>
        <w:rPr>
          <w:sz w:val="20"/>
        </w:rPr>
        <w:t>request</w:t>
      </w:r>
      <w:r>
        <w:rPr>
          <w:spacing w:val="-10"/>
          <w:sz w:val="20"/>
        </w:rPr>
        <w:t> </w:t>
      </w:r>
      <w:r>
        <w:rPr>
          <w:sz w:val="20"/>
        </w:rPr>
        <w:t>adjustments</w:t>
      </w:r>
      <w:r>
        <w:rPr>
          <w:spacing w:val="-10"/>
          <w:sz w:val="20"/>
        </w:rPr>
        <w:t> </w:t>
      </w:r>
      <w:r>
        <w:rPr>
          <w:spacing w:val="-3"/>
          <w:sz w:val="20"/>
        </w:rPr>
        <w:t>are</w:t>
      </w:r>
      <w:r>
        <w:rPr>
          <w:spacing w:val="-10"/>
          <w:sz w:val="20"/>
        </w:rPr>
        <w:t> </w:t>
      </w:r>
      <w:r>
        <w:rPr>
          <w:sz w:val="20"/>
        </w:rPr>
        <w:t>challenged</w:t>
      </w:r>
      <w:r>
        <w:rPr>
          <w:spacing w:val="-9"/>
          <w:sz w:val="20"/>
        </w:rPr>
        <w:t> </w:t>
      </w:r>
      <w:r>
        <w:rPr>
          <w:spacing w:val="-3"/>
          <w:sz w:val="20"/>
        </w:rPr>
        <w:t>from</w:t>
      </w:r>
      <w:r>
        <w:rPr>
          <w:spacing w:val="-10"/>
          <w:sz w:val="20"/>
        </w:rPr>
        <w:t> </w:t>
      </w:r>
      <w:r>
        <w:rPr>
          <w:sz w:val="20"/>
        </w:rPr>
        <w:t>jury selection</w:t>
      </w:r>
    </w:p>
    <w:p>
      <w:pPr>
        <w:pStyle w:val="ListParagraph"/>
        <w:numPr>
          <w:ilvl w:val="1"/>
          <w:numId w:val="10"/>
        </w:numPr>
        <w:tabs>
          <w:tab w:pos="2157" w:val="left" w:leader="none"/>
          <w:tab w:pos="2158" w:val="left" w:leader="none"/>
        </w:tabs>
        <w:spacing w:line="240" w:lineRule="auto" w:before="55" w:after="0"/>
        <w:ind w:left="2157" w:right="0" w:hanging="396"/>
        <w:jc w:val="left"/>
        <w:rPr>
          <w:sz w:val="20"/>
        </w:rPr>
      </w:pPr>
      <w:r>
        <w:rPr>
          <w:sz w:val="20"/>
        </w:rPr>
        <w:t>length and </w:t>
      </w:r>
      <w:r>
        <w:rPr>
          <w:spacing w:val="-3"/>
          <w:sz w:val="20"/>
        </w:rPr>
        <w:t>nature </w:t>
      </w:r>
      <w:r>
        <w:rPr>
          <w:sz w:val="20"/>
        </w:rPr>
        <w:t>of</w:t>
      </w:r>
      <w:r>
        <w:rPr>
          <w:spacing w:val="-14"/>
          <w:sz w:val="20"/>
        </w:rPr>
        <w:t> </w:t>
      </w:r>
      <w:r>
        <w:rPr>
          <w:sz w:val="20"/>
        </w:rPr>
        <w:t>trials</w:t>
      </w:r>
    </w:p>
    <w:p>
      <w:pPr>
        <w:pStyle w:val="ListParagraph"/>
        <w:numPr>
          <w:ilvl w:val="1"/>
          <w:numId w:val="10"/>
        </w:numPr>
        <w:tabs>
          <w:tab w:pos="2157" w:val="left" w:leader="none"/>
          <w:tab w:pos="2158" w:val="left" w:leader="none"/>
        </w:tabs>
        <w:spacing w:line="240" w:lineRule="auto" w:before="47" w:after="0"/>
        <w:ind w:left="2157" w:right="0" w:hanging="396"/>
        <w:jc w:val="left"/>
        <w:rPr>
          <w:sz w:val="20"/>
        </w:rPr>
      </w:pPr>
      <w:r>
        <w:rPr>
          <w:sz w:val="20"/>
        </w:rPr>
        <w:t>experiences</w:t>
      </w:r>
      <w:r>
        <w:rPr>
          <w:spacing w:val="-7"/>
          <w:sz w:val="20"/>
        </w:rPr>
        <w:t> </w:t>
      </w:r>
      <w:r>
        <w:rPr>
          <w:sz w:val="20"/>
        </w:rPr>
        <w:t>of</w:t>
      </w:r>
      <w:r>
        <w:rPr>
          <w:spacing w:val="-6"/>
          <w:sz w:val="20"/>
        </w:rPr>
        <w:t> </w:t>
      </w:r>
      <w:r>
        <w:rPr>
          <w:sz w:val="20"/>
        </w:rPr>
        <w:t>the</w:t>
      </w:r>
      <w:r>
        <w:rPr>
          <w:spacing w:val="-6"/>
          <w:sz w:val="20"/>
        </w:rPr>
        <w:t> </w:t>
      </w:r>
      <w:r>
        <w:rPr>
          <w:sz w:val="20"/>
        </w:rPr>
        <w:t>jury</w:t>
      </w:r>
      <w:r>
        <w:rPr>
          <w:spacing w:val="-6"/>
          <w:sz w:val="20"/>
        </w:rPr>
        <w:t> </w:t>
      </w:r>
      <w:r>
        <w:rPr>
          <w:sz w:val="20"/>
        </w:rPr>
        <w:t>selection</w:t>
      </w:r>
      <w:r>
        <w:rPr>
          <w:spacing w:val="-6"/>
          <w:sz w:val="20"/>
        </w:rPr>
        <w:t> </w:t>
      </w:r>
      <w:r>
        <w:rPr>
          <w:sz w:val="20"/>
        </w:rPr>
        <w:t>process</w:t>
      </w:r>
      <w:r>
        <w:rPr>
          <w:spacing w:val="-6"/>
          <w:sz w:val="20"/>
        </w:rPr>
        <w:t> </w:t>
      </w:r>
      <w:r>
        <w:rPr>
          <w:sz w:val="20"/>
        </w:rPr>
        <w:t>and</w:t>
      </w:r>
      <w:r>
        <w:rPr>
          <w:spacing w:val="-7"/>
          <w:sz w:val="20"/>
        </w:rPr>
        <w:t> </w:t>
      </w:r>
      <w:r>
        <w:rPr>
          <w:sz w:val="20"/>
        </w:rPr>
        <w:t>serving</w:t>
      </w:r>
      <w:r>
        <w:rPr>
          <w:spacing w:val="-6"/>
          <w:sz w:val="20"/>
        </w:rPr>
        <w:t> </w:t>
      </w:r>
      <w:r>
        <w:rPr>
          <w:sz w:val="20"/>
        </w:rPr>
        <w:t>as</w:t>
      </w:r>
      <w:r>
        <w:rPr>
          <w:spacing w:val="-6"/>
          <w:sz w:val="20"/>
        </w:rPr>
        <w:t> </w:t>
      </w:r>
      <w:r>
        <w:rPr>
          <w:sz w:val="20"/>
        </w:rPr>
        <w:t>jurors</w:t>
      </w:r>
      <w:r>
        <w:rPr>
          <w:spacing w:val="-6"/>
          <w:sz w:val="20"/>
        </w:rPr>
        <w:t> </w:t>
      </w:r>
      <w:r>
        <w:rPr>
          <w:sz w:val="20"/>
        </w:rPr>
        <w:t>with</w:t>
      </w:r>
      <w:r>
        <w:rPr>
          <w:spacing w:val="-6"/>
          <w:sz w:val="20"/>
        </w:rPr>
        <w:t> </w:t>
      </w:r>
      <w:r>
        <w:rPr>
          <w:sz w:val="20"/>
        </w:rPr>
        <w:t>adjustments.</w:t>
      </w:r>
    </w:p>
    <w:p>
      <w:pPr>
        <w:pStyle w:val="ListParagraph"/>
        <w:numPr>
          <w:ilvl w:val="0"/>
          <w:numId w:val="10"/>
        </w:numPr>
        <w:tabs>
          <w:tab w:pos="1761" w:val="left" w:leader="none"/>
          <w:tab w:pos="1762" w:val="left" w:leader="none"/>
        </w:tabs>
        <w:spacing w:line="206" w:lineRule="auto" w:before="80" w:after="0"/>
        <w:ind w:left="1761" w:right="1732" w:hanging="794"/>
        <w:jc w:val="left"/>
        <w:rPr>
          <w:sz w:val="20"/>
        </w:rPr>
      </w:pPr>
      <w:r>
        <w:rPr>
          <w:sz w:val="20"/>
        </w:rPr>
        <w:t>Subject to the confidentiality requirements of section 78 of the Juries Act</w:t>
      </w:r>
      <w:r>
        <w:rPr>
          <w:i/>
          <w:sz w:val="20"/>
        </w:rPr>
        <w:t>, </w:t>
      </w:r>
      <w:r>
        <w:rPr>
          <w:sz w:val="20"/>
        </w:rPr>
        <w:t>Juries Victoria</w:t>
      </w:r>
      <w:r>
        <w:rPr>
          <w:spacing w:val="-14"/>
          <w:sz w:val="20"/>
        </w:rPr>
        <w:t> </w:t>
      </w:r>
      <w:r>
        <w:rPr>
          <w:sz w:val="20"/>
        </w:rPr>
        <w:t>should</w:t>
      </w:r>
      <w:r>
        <w:rPr>
          <w:spacing w:val="-14"/>
          <w:sz w:val="20"/>
        </w:rPr>
        <w:t> </w:t>
      </w:r>
      <w:r>
        <w:rPr>
          <w:sz w:val="20"/>
        </w:rPr>
        <w:t>obtain</w:t>
      </w:r>
      <w:r>
        <w:rPr>
          <w:spacing w:val="-14"/>
          <w:sz w:val="20"/>
        </w:rPr>
        <w:t> </w:t>
      </w:r>
      <w:r>
        <w:rPr>
          <w:sz w:val="20"/>
        </w:rPr>
        <w:t>qualitative</w:t>
      </w:r>
      <w:r>
        <w:rPr>
          <w:spacing w:val="-14"/>
          <w:sz w:val="20"/>
        </w:rPr>
        <w:t> </w:t>
      </w:r>
      <w:r>
        <w:rPr>
          <w:sz w:val="20"/>
        </w:rPr>
        <w:t>data</w:t>
      </w:r>
      <w:r>
        <w:rPr>
          <w:spacing w:val="-13"/>
          <w:sz w:val="20"/>
        </w:rPr>
        <w:t> </w:t>
      </w:r>
      <w:r>
        <w:rPr>
          <w:spacing w:val="-3"/>
          <w:sz w:val="20"/>
        </w:rPr>
        <w:t>by</w:t>
      </w:r>
      <w:r>
        <w:rPr>
          <w:spacing w:val="-14"/>
          <w:sz w:val="20"/>
        </w:rPr>
        <w:t> </w:t>
      </w:r>
      <w:r>
        <w:rPr>
          <w:sz w:val="20"/>
        </w:rPr>
        <w:t>surveying</w:t>
      </w:r>
      <w:r>
        <w:rPr>
          <w:spacing w:val="-14"/>
          <w:sz w:val="20"/>
        </w:rPr>
        <w:t> </w:t>
      </w:r>
      <w:r>
        <w:rPr>
          <w:sz w:val="20"/>
        </w:rPr>
        <w:t>jurors</w:t>
      </w:r>
      <w:r>
        <w:rPr>
          <w:spacing w:val="-14"/>
          <w:sz w:val="20"/>
        </w:rPr>
        <w:t> </w:t>
      </w:r>
      <w:r>
        <w:rPr>
          <w:spacing w:val="-3"/>
          <w:sz w:val="20"/>
        </w:rPr>
        <w:t>from</w:t>
      </w:r>
      <w:r>
        <w:rPr>
          <w:spacing w:val="-14"/>
          <w:sz w:val="20"/>
        </w:rPr>
        <w:t> </w:t>
      </w:r>
      <w:r>
        <w:rPr>
          <w:sz w:val="20"/>
        </w:rPr>
        <w:t>the</w:t>
      </w:r>
      <w:r>
        <w:rPr>
          <w:spacing w:val="-13"/>
          <w:sz w:val="20"/>
        </w:rPr>
        <w:t> </w:t>
      </w:r>
      <w:r>
        <w:rPr>
          <w:sz w:val="20"/>
        </w:rPr>
        <w:t>subject</w:t>
      </w:r>
      <w:r>
        <w:rPr>
          <w:spacing w:val="-14"/>
          <w:sz w:val="20"/>
        </w:rPr>
        <w:t> </w:t>
      </w:r>
      <w:r>
        <w:rPr>
          <w:sz w:val="20"/>
        </w:rPr>
        <w:t>groups about their</w:t>
      </w:r>
      <w:r>
        <w:rPr>
          <w:spacing w:val="-9"/>
          <w:sz w:val="20"/>
        </w:rPr>
        <w:t> </w:t>
      </w:r>
      <w:r>
        <w:rPr>
          <w:sz w:val="20"/>
        </w:rPr>
        <w:t>experiences.</w:t>
      </w:r>
    </w:p>
    <w:p>
      <w:pPr>
        <w:pStyle w:val="BodyText"/>
      </w:pPr>
    </w:p>
    <w:p>
      <w:pPr>
        <w:pStyle w:val="BodyText"/>
      </w:pPr>
    </w:p>
    <w:p>
      <w:pPr>
        <w:pStyle w:val="BodyText"/>
      </w:pPr>
    </w:p>
    <w:p>
      <w:pPr>
        <w:pStyle w:val="BodyText"/>
        <w:spacing w:before="2"/>
        <w:rPr>
          <w:sz w:val="23"/>
        </w:rPr>
      </w:pPr>
    </w:p>
    <w:p>
      <w:pPr>
        <w:spacing w:before="49"/>
        <w:ind w:left="100" w:right="0" w:firstLine="0"/>
        <w:jc w:val="left"/>
        <w:rPr>
          <w:b/>
          <w:sz w:val="24"/>
        </w:rPr>
      </w:pPr>
      <w:r>
        <w:rPr>
          <w:b/>
          <w:color w:val="37617A"/>
          <w:sz w:val="24"/>
        </w:rPr>
        <w:t>xxvi</w:t>
      </w:r>
    </w:p>
    <w:p>
      <w:pPr>
        <w:spacing w:after="0"/>
        <w:jc w:val="left"/>
        <w:rPr>
          <w:sz w:val="24"/>
        </w:rPr>
        <w:sectPr>
          <w:pgSz w:w="11910" w:h="16840"/>
          <w:pgMar w:header="567" w:footer="0" w:top="860" w:bottom="280" w:left="620" w:right="380"/>
        </w:sectPr>
      </w:pPr>
    </w:p>
    <w:p>
      <w:pPr>
        <w:pStyle w:val="BodyText"/>
        <w:rPr>
          <w:b/>
        </w:rPr>
      </w:pPr>
    </w:p>
    <w:p>
      <w:pPr>
        <w:pStyle w:val="BodyText"/>
        <w:rPr>
          <w:b/>
        </w:rPr>
      </w:pPr>
    </w:p>
    <w:p>
      <w:pPr>
        <w:pStyle w:val="BodyText"/>
        <w:rPr>
          <w:b/>
        </w:rPr>
      </w:pPr>
    </w:p>
    <w:p>
      <w:pPr>
        <w:pStyle w:val="BodyText"/>
        <w:spacing w:before="3"/>
        <w:rPr>
          <w:b/>
          <w:sz w:val="14"/>
        </w:rPr>
      </w:pPr>
    </w:p>
    <w:p>
      <w:pPr>
        <w:pStyle w:val="ListParagraph"/>
        <w:numPr>
          <w:ilvl w:val="0"/>
          <w:numId w:val="10"/>
        </w:numPr>
        <w:tabs>
          <w:tab w:pos="1761" w:val="left" w:leader="none"/>
          <w:tab w:pos="1762" w:val="left" w:leader="none"/>
        </w:tabs>
        <w:spacing w:line="206" w:lineRule="auto" w:before="90" w:after="0"/>
        <w:ind w:left="1761" w:right="1546" w:hanging="794"/>
        <w:jc w:val="left"/>
        <w:rPr>
          <w:sz w:val="20"/>
        </w:rPr>
      </w:pPr>
      <w:r>
        <w:rPr>
          <w:sz w:val="20"/>
        </w:rPr>
        <w:t>Juries</w:t>
      </w:r>
      <w:r>
        <w:rPr>
          <w:spacing w:val="-11"/>
          <w:sz w:val="20"/>
        </w:rPr>
        <w:t> </w:t>
      </w:r>
      <w:r>
        <w:rPr>
          <w:sz w:val="20"/>
        </w:rPr>
        <w:t>Victoria</w:t>
      </w:r>
      <w:r>
        <w:rPr>
          <w:spacing w:val="-10"/>
          <w:sz w:val="20"/>
        </w:rPr>
        <w:t> </w:t>
      </w:r>
      <w:r>
        <w:rPr>
          <w:sz w:val="20"/>
        </w:rPr>
        <w:t>should</w:t>
      </w:r>
      <w:r>
        <w:rPr>
          <w:spacing w:val="-11"/>
          <w:sz w:val="20"/>
        </w:rPr>
        <w:t> </w:t>
      </w:r>
      <w:r>
        <w:rPr>
          <w:sz w:val="20"/>
        </w:rPr>
        <w:t>collate,</w:t>
      </w:r>
      <w:r>
        <w:rPr>
          <w:spacing w:val="-10"/>
          <w:sz w:val="20"/>
        </w:rPr>
        <w:t> </w:t>
      </w:r>
      <w:r>
        <w:rPr>
          <w:spacing w:val="-3"/>
          <w:sz w:val="20"/>
        </w:rPr>
        <w:t>analyse</w:t>
      </w:r>
      <w:r>
        <w:rPr>
          <w:spacing w:val="-11"/>
          <w:sz w:val="20"/>
        </w:rPr>
        <w:t> </w:t>
      </w:r>
      <w:r>
        <w:rPr>
          <w:sz w:val="20"/>
        </w:rPr>
        <w:t>and</w:t>
      </w:r>
      <w:r>
        <w:rPr>
          <w:spacing w:val="-10"/>
          <w:sz w:val="20"/>
        </w:rPr>
        <w:t> </w:t>
      </w:r>
      <w:r>
        <w:rPr>
          <w:sz w:val="20"/>
        </w:rPr>
        <w:t>report</w:t>
      </w:r>
      <w:r>
        <w:rPr>
          <w:spacing w:val="-11"/>
          <w:sz w:val="20"/>
        </w:rPr>
        <w:t> </w:t>
      </w:r>
      <w:r>
        <w:rPr>
          <w:sz w:val="20"/>
        </w:rPr>
        <w:t>the</w:t>
      </w:r>
      <w:r>
        <w:rPr>
          <w:spacing w:val="-10"/>
          <w:sz w:val="20"/>
        </w:rPr>
        <w:t> </w:t>
      </w:r>
      <w:r>
        <w:rPr>
          <w:sz w:val="20"/>
        </w:rPr>
        <w:t>data</w:t>
      </w:r>
      <w:r>
        <w:rPr>
          <w:spacing w:val="-11"/>
          <w:sz w:val="20"/>
        </w:rPr>
        <w:t> </w:t>
      </w:r>
      <w:r>
        <w:rPr>
          <w:sz w:val="20"/>
        </w:rPr>
        <w:t>in</w:t>
      </w:r>
      <w:r>
        <w:rPr>
          <w:spacing w:val="-10"/>
          <w:sz w:val="20"/>
        </w:rPr>
        <w:t> </w:t>
      </w:r>
      <w:r>
        <w:rPr>
          <w:sz w:val="20"/>
        </w:rPr>
        <w:t>the</w:t>
      </w:r>
      <w:r>
        <w:rPr>
          <w:spacing w:val="-11"/>
          <w:sz w:val="20"/>
        </w:rPr>
        <w:t> </w:t>
      </w:r>
      <w:r>
        <w:rPr>
          <w:sz w:val="20"/>
        </w:rPr>
        <w:t>annual</w:t>
      </w:r>
      <w:r>
        <w:rPr>
          <w:spacing w:val="-10"/>
          <w:sz w:val="20"/>
        </w:rPr>
        <w:t> </w:t>
      </w:r>
      <w:r>
        <w:rPr>
          <w:sz w:val="20"/>
        </w:rPr>
        <w:t>report</w:t>
      </w:r>
      <w:r>
        <w:rPr>
          <w:spacing w:val="-11"/>
          <w:sz w:val="20"/>
        </w:rPr>
        <w:t> </w:t>
      </w:r>
      <w:r>
        <w:rPr>
          <w:sz w:val="20"/>
        </w:rPr>
        <w:t>of</w:t>
      </w:r>
      <w:r>
        <w:rPr>
          <w:spacing w:val="-10"/>
          <w:sz w:val="20"/>
        </w:rPr>
        <w:t> </w:t>
      </w:r>
      <w:r>
        <w:rPr>
          <w:sz w:val="20"/>
        </w:rPr>
        <w:t>the Supreme</w:t>
      </w:r>
      <w:r>
        <w:rPr>
          <w:spacing w:val="-5"/>
          <w:sz w:val="20"/>
        </w:rPr>
        <w:t> </w:t>
      </w:r>
      <w:r>
        <w:rPr>
          <w:sz w:val="20"/>
        </w:rPr>
        <w:t>Court.</w:t>
      </w:r>
    </w:p>
    <w:p>
      <w:pPr>
        <w:pStyle w:val="ListParagraph"/>
        <w:numPr>
          <w:ilvl w:val="0"/>
          <w:numId w:val="10"/>
        </w:numPr>
        <w:tabs>
          <w:tab w:pos="1761" w:val="left" w:leader="none"/>
          <w:tab w:pos="1762" w:val="left" w:leader="none"/>
        </w:tabs>
        <w:spacing w:line="206" w:lineRule="auto" w:before="87" w:after="0"/>
        <w:ind w:left="1761" w:right="1472" w:hanging="794"/>
        <w:jc w:val="left"/>
        <w:rPr>
          <w:sz w:val="20"/>
        </w:rPr>
      </w:pPr>
      <w:r>
        <w:rPr>
          <w:sz w:val="20"/>
        </w:rPr>
        <w:t>The Attorney-General should </w:t>
      </w:r>
      <w:r>
        <w:rPr>
          <w:spacing w:val="-4"/>
          <w:sz w:val="20"/>
        </w:rPr>
        <w:t>review </w:t>
      </w:r>
      <w:r>
        <w:rPr>
          <w:sz w:val="20"/>
        </w:rPr>
        <w:t>the new provisions in the Juries </w:t>
      </w:r>
      <w:r>
        <w:rPr>
          <w:spacing w:val="-2"/>
          <w:sz w:val="20"/>
        </w:rPr>
        <w:t>Act </w:t>
      </w:r>
      <w:r>
        <w:rPr>
          <w:spacing w:val="-3"/>
          <w:sz w:val="20"/>
        </w:rPr>
        <w:t>five years from</w:t>
      </w:r>
      <w:r>
        <w:rPr>
          <w:spacing w:val="-11"/>
          <w:sz w:val="20"/>
        </w:rPr>
        <w:t> </w:t>
      </w:r>
      <w:r>
        <w:rPr>
          <w:sz w:val="20"/>
        </w:rPr>
        <w:t>the</w:t>
      </w:r>
      <w:r>
        <w:rPr>
          <w:spacing w:val="-10"/>
          <w:sz w:val="20"/>
        </w:rPr>
        <w:t> </w:t>
      </w:r>
      <w:r>
        <w:rPr>
          <w:spacing w:val="-3"/>
          <w:sz w:val="20"/>
        </w:rPr>
        <w:t>date</w:t>
      </w:r>
      <w:r>
        <w:rPr>
          <w:spacing w:val="-11"/>
          <w:sz w:val="20"/>
        </w:rPr>
        <w:t> </w:t>
      </w:r>
      <w:r>
        <w:rPr>
          <w:sz w:val="20"/>
        </w:rPr>
        <w:t>of</w:t>
      </w:r>
      <w:r>
        <w:rPr>
          <w:spacing w:val="-10"/>
          <w:sz w:val="20"/>
        </w:rPr>
        <w:t> </w:t>
      </w:r>
      <w:r>
        <w:rPr>
          <w:sz w:val="20"/>
        </w:rPr>
        <w:t>commencement,</w:t>
      </w:r>
      <w:r>
        <w:rPr>
          <w:spacing w:val="-10"/>
          <w:sz w:val="20"/>
        </w:rPr>
        <w:t> </w:t>
      </w:r>
      <w:r>
        <w:rPr>
          <w:sz w:val="20"/>
        </w:rPr>
        <w:t>to</w:t>
      </w:r>
      <w:r>
        <w:rPr>
          <w:spacing w:val="-11"/>
          <w:sz w:val="20"/>
        </w:rPr>
        <w:t> </w:t>
      </w:r>
      <w:r>
        <w:rPr>
          <w:sz w:val="20"/>
        </w:rPr>
        <w:t>determine</w:t>
      </w:r>
      <w:r>
        <w:rPr>
          <w:spacing w:val="-10"/>
          <w:sz w:val="20"/>
        </w:rPr>
        <w:t> </w:t>
      </w:r>
      <w:r>
        <w:rPr>
          <w:sz w:val="20"/>
        </w:rPr>
        <w:t>whether</w:t>
      </w:r>
      <w:r>
        <w:rPr>
          <w:spacing w:val="-11"/>
          <w:sz w:val="20"/>
        </w:rPr>
        <w:t> </w:t>
      </w:r>
      <w:r>
        <w:rPr>
          <w:sz w:val="20"/>
        </w:rPr>
        <w:t>the</w:t>
      </w:r>
      <w:r>
        <w:rPr>
          <w:spacing w:val="-10"/>
          <w:sz w:val="20"/>
        </w:rPr>
        <w:t> </w:t>
      </w:r>
      <w:r>
        <w:rPr>
          <w:sz w:val="20"/>
        </w:rPr>
        <w:t>policy</w:t>
      </w:r>
      <w:r>
        <w:rPr>
          <w:spacing w:val="-10"/>
          <w:sz w:val="20"/>
        </w:rPr>
        <w:t> </w:t>
      </w:r>
      <w:r>
        <w:rPr>
          <w:sz w:val="20"/>
        </w:rPr>
        <w:t>objectives</w:t>
      </w:r>
      <w:r>
        <w:rPr>
          <w:spacing w:val="-11"/>
          <w:sz w:val="20"/>
        </w:rPr>
        <w:t> </w:t>
      </w:r>
      <w:r>
        <w:rPr>
          <w:sz w:val="20"/>
        </w:rPr>
        <w:t>of</w:t>
      </w:r>
      <w:r>
        <w:rPr>
          <w:spacing w:val="-10"/>
          <w:sz w:val="20"/>
        </w:rPr>
        <w:t> </w:t>
      </w:r>
      <w:r>
        <w:rPr>
          <w:sz w:val="20"/>
        </w:rPr>
        <w:t>the new</w:t>
      </w:r>
      <w:r>
        <w:rPr>
          <w:spacing w:val="-9"/>
          <w:sz w:val="20"/>
        </w:rPr>
        <w:t> </w:t>
      </w:r>
      <w:r>
        <w:rPr>
          <w:sz w:val="20"/>
        </w:rPr>
        <w:t>provisions</w:t>
      </w:r>
      <w:r>
        <w:rPr>
          <w:spacing w:val="-9"/>
          <w:sz w:val="20"/>
        </w:rPr>
        <w:t> </w:t>
      </w:r>
      <w:r>
        <w:rPr>
          <w:spacing w:val="-3"/>
          <w:sz w:val="20"/>
        </w:rPr>
        <w:t>are</w:t>
      </w:r>
      <w:r>
        <w:rPr>
          <w:spacing w:val="-8"/>
          <w:sz w:val="20"/>
        </w:rPr>
        <w:t> </w:t>
      </w:r>
      <w:r>
        <w:rPr>
          <w:sz w:val="20"/>
        </w:rPr>
        <w:t>being</w:t>
      </w:r>
      <w:r>
        <w:rPr>
          <w:spacing w:val="-9"/>
          <w:sz w:val="20"/>
        </w:rPr>
        <w:t> </w:t>
      </w:r>
      <w:r>
        <w:rPr>
          <w:sz w:val="20"/>
        </w:rPr>
        <w:t>met</w:t>
      </w:r>
      <w:r>
        <w:rPr>
          <w:spacing w:val="-9"/>
          <w:sz w:val="20"/>
        </w:rPr>
        <w:t> </w:t>
      </w:r>
      <w:r>
        <w:rPr>
          <w:sz w:val="20"/>
        </w:rPr>
        <w:t>and</w:t>
      </w:r>
      <w:r>
        <w:rPr>
          <w:spacing w:val="-8"/>
          <w:sz w:val="20"/>
        </w:rPr>
        <w:t> </w:t>
      </w:r>
      <w:r>
        <w:rPr>
          <w:sz w:val="20"/>
        </w:rPr>
        <w:t>whether</w:t>
      </w:r>
      <w:r>
        <w:rPr>
          <w:spacing w:val="-9"/>
          <w:sz w:val="20"/>
        </w:rPr>
        <w:t> </w:t>
      </w:r>
      <w:r>
        <w:rPr>
          <w:spacing w:val="-3"/>
          <w:sz w:val="20"/>
        </w:rPr>
        <w:t>any</w:t>
      </w:r>
      <w:r>
        <w:rPr>
          <w:spacing w:val="-9"/>
          <w:sz w:val="20"/>
        </w:rPr>
        <w:t> </w:t>
      </w:r>
      <w:r>
        <w:rPr>
          <w:sz w:val="20"/>
        </w:rPr>
        <w:t>amendments</w:t>
      </w:r>
      <w:r>
        <w:rPr>
          <w:spacing w:val="-8"/>
          <w:sz w:val="20"/>
        </w:rPr>
        <w:t> </w:t>
      </w:r>
      <w:r>
        <w:rPr>
          <w:sz w:val="20"/>
        </w:rPr>
        <w:t>to</w:t>
      </w:r>
      <w:r>
        <w:rPr>
          <w:spacing w:val="-9"/>
          <w:sz w:val="20"/>
        </w:rPr>
        <w:t> </w:t>
      </w:r>
      <w:r>
        <w:rPr>
          <w:sz w:val="20"/>
        </w:rPr>
        <w:t>the</w:t>
      </w:r>
      <w:r>
        <w:rPr>
          <w:spacing w:val="-8"/>
          <w:sz w:val="20"/>
        </w:rPr>
        <w:t> </w:t>
      </w:r>
      <w:r>
        <w:rPr>
          <w:spacing w:val="-2"/>
          <w:sz w:val="20"/>
        </w:rPr>
        <w:t>Act</w:t>
      </w:r>
      <w:r>
        <w:rPr>
          <w:spacing w:val="-9"/>
          <w:sz w:val="20"/>
        </w:rPr>
        <w:t> </w:t>
      </w:r>
      <w:r>
        <w:rPr>
          <w:spacing w:val="-3"/>
          <w:sz w:val="20"/>
        </w:rPr>
        <w:t>are</w:t>
      </w:r>
      <w:r>
        <w:rPr>
          <w:spacing w:val="-9"/>
          <w:sz w:val="20"/>
        </w:rPr>
        <w:t> </w:t>
      </w:r>
      <w:r>
        <w:rPr>
          <w:sz w:val="20"/>
        </w:rPr>
        <w:t>needed. A</w:t>
      </w:r>
      <w:r>
        <w:rPr>
          <w:spacing w:val="-9"/>
          <w:sz w:val="20"/>
        </w:rPr>
        <w:t> </w:t>
      </w:r>
      <w:r>
        <w:rPr>
          <w:sz w:val="20"/>
        </w:rPr>
        <w:t>report</w:t>
      </w:r>
      <w:r>
        <w:rPr>
          <w:spacing w:val="-9"/>
          <w:sz w:val="20"/>
        </w:rPr>
        <w:t> </w:t>
      </w:r>
      <w:r>
        <w:rPr>
          <w:sz w:val="20"/>
        </w:rPr>
        <w:t>on</w:t>
      </w:r>
      <w:r>
        <w:rPr>
          <w:spacing w:val="-9"/>
          <w:sz w:val="20"/>
        </w:rPr>
        <w:t> </w:t>
      </w:r>
      <w:r>
        <w:rPr>
          <w:sz w:val="20"/>
        </w:rPr>
        <w:t>the</w:t>
      </w:r>
      <w:r>
        <w:rPr>
          <w:spacing w:val="-9"/>
          <w:sz w:val="20"/>
        </w:rPr>
        <w:t> </w:t>
      </w:r>
      <w:r>
        <w:rPr>
          <w:sz w:val="20"/>
        </w:rPr>
        <w:t>outcome</w:t>
      </w:r>
      <w:r>
        <w:rPr>
          <w:spacing w:val="-9"/>
          <w:sz w:val="20"/>
        </w:rPr>
        <w:t> </w:t>
      </w:r>
      <w:r>
        <w:rPr>
          <w:sz w:val="20"/>
        </w:rPr>
        <w:t>of</w:t>
      </w:r>
      <w:r>
        <w:rPr>
          <w:spacing w:val="-9"/>
          <w:sz w:val="20"/>
        </w:rPr>
        <w:t> </w:t>
      </w:r>
      <w:r>
        <w:rPr>
          <w:sz w:val="20"/>
        </w:rPr>
        <w:t>the</w:t>
      </w:r>
      <w:r>
        <w:rPr>
          <w:spacing w:val="-9"/>
          <w:sz w:val="20"/>
        </w:rPr>
        <w:t> </w:t>
      </w:r>
      <w:r>
        <w:rPr>
          <w:spacing w:val="-4"/>
          <w:sz w:val="20"/>
        </w:rPr>
        <w:t>review</w:t>
      </w:r>
      <w:r>
        <w:rPr>
          <w:spacing w:val="-9"/>
          <w:sz w:val="20"/>
        </w:rPr>
        <w:t> </w:t>
      </w:r>
      <w:r>
        <w:rPr>
          <w:sz w:val="20"/>
        </w:rPr>
        <w:t>should</w:t>
      </w:r>
      <w:r>
        <w:rPr>
          <w:spacing w:val="-9"/>
          <w:sz w:val="20"/>
        </w:rPr>
        <w:t> </w:t>
      </w:r>
      <w:r>
        <w:rPr>
          <w:sz w:val="20"/>
        </w:rPr>
        <w:t>be</w:t>
      </w:r>
      <w:r>
        <w:rPr>
          <w:spacing w:val="-9"/>
          <w:sz w:val="20"/>
        </w:rPr>
        <w:t> </w:t>
      </w:r>
      <w:r>
        <w:rPr>
          <w:sz w:val="20"/>
        </w:rPr>
        <w:t>tabled</w:t>
      </w:r>
      <w:r>
        <w:rPr>
          <w:spacing w:val="-9"/>
          <w:sz w:val="20"/>
        </w:rPr>
        <w:t> </w:t>
      </w:r>
      <w:r>
        <w:rPr>
          <w:sz w:val="20"/>
        </w:rPr>
        <w:t>in</w:t>
      </w:r>
      <w:r>
        <w:rPr>
          <w:spacing w:val="-9"/>
          <w:sz w:val="20"/>
        </w:rPr>
        <w:t> </w:t>
      </w:r>
      <w:r>
        <w:rPr>
          <w:sz w:val="20"/>
        </w:rPr>
        <w:t>each</w:t>
      </w:r>
      <w:r>
        <w:rPr>
          <w:spacing w:val="-9"/>
          <w:sz w:val="20"/>
        </w:rPr>
        <w:t> </w:t>
      </w:r>
      <w:r>
        <w:rPr>
          <w:sz w:val="20"/>
        </w:rPr>
        <w:t>House</w:t>
      </w:r>
      <w:r>
        <w:rPr>
          <w:spacing w:val="-9"/>
          <w:sz w:val="20"/>
        </w:rPr>
        <w:t> </w:t>
      </w:r>
      <w:r>
        <w:rPr>
          <w:sz w:val="20"/>
        </w:rPr>
        <w:t>of</w:t>
      </w:r>
      <w:r>
        <w:rPr>
          <w:spacing w:val="-9"/>
          <w:sz w:val="20"/>
        </w:rPr>
        <w:t> </w:t>
      </w:r>
      <w:r>
        <w:rPr>
          <w:sz w:val="20"/>
        </w:rPr>
        <w:t>Parliament within 12 months of the</w:t>
      </w:r>
      <w:r>
        <w:rPr>
          <w:spacing w:val="-21"/>
          <w:sz w:val="20"/>
        </w:rPr>
        <w:t> </w:t>
      </w:r>
      <w:r>
        <w:rPr>
          <w:spacing w:val="-5"/>
          <w:sz w:val="20"/>
        </w:rPr>
        <w:t>review.</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spacing w:before="49"/>
        <w:ind w:left="0" w:right="152" w:firstLine="0"/>
        <w:jc w:val="right"/>
        <w:rPr>
          <w:b/>
          <w:sz w:val="24"/>
        </w:rPr>
      </w:pPr>
      <w:r>
        <w:rPr>
          <w:b/>
          <w:color w:val="37617A"/>
          <w:sz w:val="24"/>
        </w:rPr>
        <w:t>xxvii</w:t>
      </w:r>
    </w:p>
    <w:p>
      <w:pPr>
        <w:spacing w:after="0"/>
        <w:jc w:val="right"/>
        <w:rPr>
          <w:sz w:val="24"/>
        </w:rPr>
        <w:sectPr>
          <w:pgSz w:w="11910" w:h="16840"/>
          <w:pgMar w:header="0" w:footer="0" w:top="840" w:bottom="280" w:left="620" w:right="380"/>
        </w:sectPr>
      </w:pPr>
    </w:p>
    <w:p>
      <w:pPr>
        <w:pStyle w:val="BodyText"/>
        <w:rPr>
          <w:b/>
        </w:rPr>
      </w:pPr>
      <w:r>
        <w:rPr/>
        <w:pict>
          <v:rect style="position:absolute;margin-left:79.370003pt;margin-top:0pt;width:515.906000pt;height:841.890015pt;mso-position-horizontal-relative:page;mso-position-vertical-relative:page;z-index:1576" filled="true" fillcolor="#37617a" stroked="false">
            <v:fill type="solid"/>
            <w10:wrap type="none"/>
          </v:rect>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4"/>
        </w:rPr>
      </w:pPr>
    </w:p>
    <w:p>
      <w:pPr>
        <w:spacing w:before="49"/>
        <w:ind w:left="100" w:right="0" w:firstLine="0"/>
        <w:jc w:val="left"/>
        <w:rPr>
          <w:b/>
          <w:sz w:val="24"/>
        </w:rPr>
      </w:pPr>
      <w:r>
        <w:rPr>
          <w:b/>
          <w:color w:val="37617A"/>
          <w:sz w:val="24"/>
        </w:rPr>
        <w:t>xxviii</w:t>
      </w:r>
    </w:p>
    <w:p>
      <w:pPr>
        <w:spacing w:after="0"/>
        <w:jc w:val="left"/>
        <w:rPr>
          <w:sz w:val="24"/>
        </w:rPr>
        <w:sectPr>
          <w:headerReference w:type="even" r:id="rId23"/>
          <w:pgSz w:w="11910" w:h="16840"/>
          <w:pgMar w:header="0" w:footer="0" w:top="1580" w:bottom="280" w:left="620" w:right="380"/>
        </w:sectPr>
      </w:pPr>
    </w:p>
    <w:p>
      <w:pPr>
        <w:pStyle w:val="BodyText"/>
        <w:rPr>
          <w:b/>
        </w:rPr>
      </w:pPr>
      <w:r>
        <w:rPr/>
        <w:pict>
          <v:rect style="position:absolute;margin-left:0pt;margin-top:0pt;width:595.276001pt;height:841.890015pt;mso-position-horizontal-relative:page;mso-position-vertical-relative:page;z-index:-358528" filled="true" fillcolor="#37617a" stroked="false">
            <v:fill type="solid"/>
            <w10:wrap type="none"/>
          </v:rect>
        </w:pict>
      </w:r>
    </w:p>
    <w:p>
      <w:pPr>
        <w:pStyle w:val="BodyText"/>
        <w:spacing w:before="8"/>
        <w:rPr>
          <w:b/>
          <w:sz w:val="25"/>
        </w:rPr>
      </w:pPr>
    </w:p>
    <w:p>
      <w:pPr>
        <w:spacing w:line="688" w:lineRule="exact" w:before="0"/>
        <w:ind w:left="0" w:right="745" w:firstLine="0"/>
        <w:jc w:val="right"/>
        <w:rPr>
          <w:rFonts w:ascii="Raleway SemiBold"/>
          <w:b/>
          <w:sz w:val="50"/>
        </w:rPr>
      </w:pPr>
      <w:r>
        <w:rPr/>
        <w:pict>
          <v:group style="position:absolute;margin-left:79.370102pt;margin-top:-32.519978pt;width:141.75pt;height:70.9pt;mso-position-horizontal-relative:page;mso-position-vertical-relative:paragraph;z-index:-358480" coordorigin="1587,-650" coordsize="2835,1418">
            <v:shape style="position:absolute;left:1587;top:-651;width:2835;height:1418" coordorigin="1587,-650" coordsize="2835,1418" path="m4422,-650l1587,-650,1587,682,1594,715,1612,742,1639,760,1672,767,4337,767,4370,760,4397,742,4415,715,4422,682,4422,-650xe" filled="true" fillcolor="#5c768c" stroked="false">
              <v:path arrowok="t"/>
              <v:fill type="solid"/>
            </v:shape>
            <v:shape style="position:absolute;left:1587;top:-651;width:2835;height:1418" type="#_x0000_t202" filled="false" stroked="false">
              <v:textbox inset="0,0,0,0">
                <w:txbxContent>
                  <w:p>
                    <w:pPr>
                      <w:spacing w:line="240" w:lineRule="auto" w:before="7"/>
                      <w:rPr>
                        <w:b/>
                        <w:sz w:val="48"/>
                      </w:rPr>
                    </w:pPr>
                  </w:p>
                  <w:p>
                    <w:pPr>
                      <w:spacing w:before="1"/>
                      <w:ind w:left="353" w:right="0" w:firstLine="0"/>
                      <w:jc w:val="left"/>
                      <w:rPr>
                        <w:b/>
                        <w:sz w:val="36"/>
                      </w:rPr>
                    </w:pPr>
                    <w:r>
                      <w:rPr>
                        <w:b/>
                        <w:color w:val="FFFFFF"/>
                        <w:sz w:val="36"/>
                      </w:rPr>
                      <w:t>PA R T ONE </w:t>
                    </w:r>
                  </w:p>
                </w:txbxContent>
              </v:textbox>
              <w10:wrap type="none"/>
            </v:shape>
            <w10:wrap type="none"/>
          </v:group>
        </w:pict>
      </w:r>
      <w:r>
        <w:rPr/>
        <w:pict>
          <v:shape style="position:absolute;margin-left:414.444885pt;margin-top:-3.3103pt;width:129.5pt;height:152.65pt;mso-position-horizontal-relative:page;mso-position-vertical-relative:paragraph;z-index:-358456" type="#_x0000_t202" filled="false" stroked="false">
            <v:textbox inset="0,0,0,0">
              <w:txbxContent>
                <w:p>
                  <w:pPr>
                    <w:spacing w:line="3052" w:lineRule="exact" w:before="0"/>
                    <w:ind w:left="0" w:right="0" w:firstLine="0"/>
                    <w:jc w:val="left"/>
                    <w:rPr>
                      <w:b/>
                      <w:sz w:val="260"/>
                    </w:rPr>
                  </w:pPr>
                  <w:r>
                    <w:rPr>
                      <w:b/>
                      <w:color w:val="FFFFFF"/>
                      <w:spacing w:val="-146"/>
                      <w:sz w:val="260"/>
                    </w:rPr>
                    <w:t>01</w:t>
                  </w:r>
                </w:p>
              </w:txbxContent>
            </v:textbox>
            <w10:wrap type="none"/>
          </v:shape>
        </w:pict>
      </w:r>
      <w:bookmarkStart w:name="_bookmark5" w:id="12"/>
      <w:bookmarkEnd w:id="12"/>
      <w:r>
        <w:rPr/>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9"/>
        <w:rPr>
          <w:rFonts w:ascii="Raleway SemiBold"/>
          <w:b/>
          <w:sz w:val="23"/>
        </w:rPr>
      </w:pPr>
    </w:p>
    <w:p>
      <w:pPr>
        <w:spacing w:line="1134" w:lineRule="exact" w:before="0"/>
        <w:ind w:left="967" w:right="0" w:firstLine="0"/>
        <w:jc w:val="left"/>
        <w:rPr>
          <w:rFonts w:ascii="Raleway ExtraBold"/>
          <w:b/>
          <w:sz w:val="88"/>
        </w:rPr>
      </w:pPr>
      <w:r>
        <w:rPr>
          <w:rFonts w:ascii="Raleway ExtraBold"/>
          <w:b/>
          <w:color w:val="FFFFFF"/>
          <w:sz w:val="88"/>
        </w:rPr>
        <w:t>Introduction</w:t>
      </w:r>
    </w:p>
    <w:p>
      <w:pPr>
        <w:pStyle w:val="BodyText"/>
        <w:rPr>
          <w:rFonts w:ascii="Raleway ExtraBold"/>
          <w:b/>
        </w:rPr>
      </w:pPr>
    </w:p>
    <w:p>
      <w:pPr>
        <w:pStyle w:val="BodyText"/>
        <w:rPr>
          <w:rFonts w:ascii="Raleway ExtraBold"/>
          <w:b/>
        </w:rPr>
      </w:pPr>
    </w:p>
    <w:p>
      <w:pPr>
        <w:pStyle w:val="BodyText"/>
        <w:spacing w:before="4"/>
        <w:rPr>
          <w:rFonts w:ascii="Raleway ExtraBold"/>
          <w:b/>
          <w:sz w:val="23"/>
        </w:rPr>
      </w:pPr>
    </w:p>
    <w:p>
      <w:pPr>
        <w:tabs>
          <w:tab w:pos="1534" w:val="left" w:leader="none"/>
        </w:tabs>
        <w:spacing w:before="49"/>
        <w:ind w:left="967" w:right="0" w:firstLine="0"/>
        <w:jc w:val="left"/>
        <w:rPr>
          <w:b/>
          <w:sz w:val="24"/>
        </w:rPr>
      </w:pPr>
      <w:r>
        <w:rPr/>
        <w:pict>
          <v:line style="position:absolute;mso-position-horizontal-relative:page;mso-position-vertical-relative:paragraph;z-index:-448;mso-wrap-distance-left:0;mso-wrap-distance-right:0" from="79.370102pt,22.967304pt" to="104.882102pt,22.967304pt" stroked="true" strokeweight="2pt" strokecolor="#8f9dad">
            <v:stroke dashstyle="solid"/>
            <w10:wrap type="topAndBottom"/>
          </v:line>
        </w:pict>
      </w:r>
      <w:hyperlink w:history="true" w:anchor="_bookmark7">
        <w:r>
          <w:rPr>
            <w:b/>
            <w:color w:val="FFFFFF"/>
            <w:sz w:val="24"/>
          </w:rPr>
          <w:t>3</w:t>
          <w:tab/>
          <w:t>Our terms of</w:t>
        </w:r>
        <w:r>
          <w:rPr>
            <w:b/>
            <w:color w:val="FFFFFF"/>
            <w:spacing w:val="-1"/>
            <w:sz w:val="24"/>
          </w:rPr>
          <w:t> </w:t>
        </w:r>
        <w:r>
          <w:rPr>
            <w:b/>
            <w:color w:val="FFFFFF"/>
            <w:sz w:val="24"/>
          </w:rPr>
          <w:t>reference</w:t>
        </w:r>
      </w:hyperlink>
    </w:p>
    <w:p>
      <w:pPr>
        <w:tabs>
          <w:tab w:pos="1534" w:val="left" w:leader="none"/>
        </w:tabs>
        <w:spacing w:before="14" w:after="57"/>
        <w:ind w:left="967" w:right="0" w:firstLine="0"/>
        <w:jc w:val="left"/>
        <w:rPr>
          <w:b/>
          <w:sz w:val="24"/>
        </w:rPr>
      </w:pPr>
      <w:hyperlink w:history="true" w:anchor="_bookmark7">
        <w:r>
          <w:rPr>
            <w:b/>
            <w:color w:val="FFFFFF"/>
            <w:sz w:val="24"/>
          </w:rPr>
          <w:t>3</w:t>
          <w:tab/>
          <w:t>The structure of this</w:t>
        </w:r>
        <w:r>
          <w:rPr>
            <w:b/>
            <w:color w:val="FFFFFF"/>
            <w:spacing w:val="-1"/>
            <w:sz w:val="24"/>
          </w:rPr>
          <w:t> </w:t>
        </w:r>
        <w:r>
          <w:rPr>
            <w:b/>
            <w:color w:val="FFFFFF"/>
            <w:sz w:val="24"/>
          </w:rPr>
          <w:t>report</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pStyle w:val="ListParagraph"/>
        <w:numPr>
          <w:ilvl w:val="0"/>
          <w:numId w:val="11"/>
        </w:numPr>
        <w:tabs>
          <w:tab w:pos="1534" w:val="left" w:leader="none"/>
          <w:tab w:pos="1535" w:val="left" w:leader="none"/>
        </w:tabs>
        <w:spacing w:line="240" w:lineRule="auto" w:before="43" w:after="0"/>
        <w:ind w:left="1534" w:right="0" w:hanging="567"/>
        <w:jc w:val="left"/>
        <w:rPr>
          <w:b/>
          <w:sz w:val="24"/>
        </w:rPr>
      </w:pPr>
      <w:r>
        <w:rPr/>
        <w:pict>
          <v:line style="position:absolute;mso-position-horizontal-relative:page;mso-position-vertical-relative:paragraph;z-index:-400;mso-wrap-distance-left:0;mso-wrap-distance-right:0" from="79.370102pt,22.667311pt" to="104.882102pt,22.667311pt" stroked="true" strokeweight="2pt" strokecolor="#8f9dad">
            <v:stroke dashstyle="solid"/>
            <w10:wrap type="topAndBottom"/>
          </v:line>
        </w:pict>
      </w:r>
      <w:hyperlink w:history="true" w:anchor="_bookmark7">
        <w:r>
          <w:rPr>
            <w:b/>
            <w:color w:val="FFFFFF"/>
            <w:sz w:val="24"/>
          </w:rPr>
          <w:t>Why are these reforms</w:t>
        </w:r>
        <w:r>
          <w:rPr>
            <w:b/>
            <w:color w:val="FFFFFF"/>
            <w:spacing w:val="-2"/>
            <w:sz w:val="24"/>
          </w:rPr>
          <w:t> </w:t>
        </w:r>
        <w:r>
          <w:rPr>
            <w:b/>
            <w:color w:val="FFFFFF"/>
            <w:sz w:val="24"/>
          </w:rPr>
          <w:t>necessary?</w:t>
        </w:r>
      </w:hyperlink>
    </w:p>
    <w:p>
      <w:pPr>
        <w:pStyle w:val="ListParagraph"/>
        <w:numPr>
          <w:ilvl w:val="0"/>
          <w:numId w:val="11"/>
        </w:numPr>
        <w:tabs>
          <w:tab w:pos="1534" w:val="left" w:leader="none"/>
          <w:tab w:pos="1535" w:val="left" w:leader="none"/>
        </w:tabs>
        <w:spacing w:line="240" w:lineRule="auto" w:before="14" w:after="57"/>
        <w:ind w:left="1534" w:right="0" w:hanging="567"/>
        <w:jc w:val="left"/>
        <w:rPr>
          <w:b/>
          <w:sz w:val="24"/>
        </w:rPr>
      </w:pPr>
      <w:hyperlink w:history="true" w:anchor="_bookmark8">
        <w:r>
          <w:rPr>
            <w:b/>
            <w:color w:val="FFFFFF"/>
            <w:sz w:val="24"/>
          </w:rPr>
          <w:t>Our approach to</w:t>
        </w:r>
        <w:r>
          <w:rPr>
            <w:b/>
            <w:color w:val="FFFFFF"/>
            <w:spacing w:val="-1"/>
            <w:sz w:val="24"/>
          </w:rPr>
          <w:t> </w:t>
        </w:r>
        <w:r>
          <w:rPr>
            <w:b/>
            <w:color w:val="FFFFFF"/>
            <w:sz w:val="24"/>
          </w:rPr>
          <w:t>reform</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pStyle w:val="ListParagraph"/>
        <w:numPr>
          <w:ilvl w:val="0"/>
          <w:numId w:val="11"/>
        </w:numPr>
        <w:tabs>
          <w:tab w:pos="1534" w:val="left" w:leader="none"/>
          <w:tab w:pos="1535" w:val="left" w:leader="none"/>
        </w:tabs>
        <w:spacing w:line="240" w:lineRule="auto" w:before="43" w:after="0"/>
        <w:ind w:left="1534" w:right="0" w:hanging="567"/>
        <w:jc w:val="left"/>
        <w:rPr>
          <w:b/>
          <w:sz w:val="24"/>
        </w:rPr>
      </w:pPr>
      <w:r>
        <w:rPr/>
        <w:pict>
          <v:line style="position:absolute;mso-position-horizontal-relative:page;mso-position-vertical-relative:paragraph;z-index:-352;mso-wrap-distance-left:0;mso-wrap-distance-right:0" from="79.370102pt,22.667189pt" to="104.882102pt,22.667189pt" stroked="true" strokeweight="2pt" strokecolor="#8f9dad">
            <v:stroke dashstyle="solid"/>
            <w10:wrap type="topAndBottom"/>
          </v:line>
        </w:pict>
      </w:r>
      <w:hyperlink w:history="true" w:anchor="_bookmark9">
        <w:r>
          <w:rPr>
            <w:b/>
            <w:color w:val="FFFFFF"/>
            <w:sz w:val="24"/>
          </w:rPr>
          <w:t>A note on</w:t>
        </w:r>
        <w:r>
          <w:rPr>
            <w:b/>
            <w:color w:val="FFFFFF"/>
            <w:spacing w:val="-1"/>
            <w:sz w:val="24"/>
          </w:rPr>
          <w:t> </w:t>
        </w:r>
        <w:r>
          <w:rPr>
            <w:b/>
            <w:color w:val="FFFFFF"/>
            <w:sz w:val="24"/>
          </w:rPr>
          <w:t>language</w:t>
        </w:r>
      </w:hyperlink>
    </w:p>
    <w:p>
      <w:pPr>
        <w:pStyle w:val="ListParagraph"/>
        <w:numPr>
          <w:ilvl w:val="0"/>
          <w:numId w:val="11"/>
        </w:numPr>
        <w:tabs>
          <w:tab w:pos="1534" w:val="left" w:leader="none"/>
          <w:tab w:pos="1535" w:val="left" w:leader="none"/>
        </w:tabs>
        <w:spacing w:line="240" w:lineRule="auto" w:before="14" w:after="57"/>
        <w:ind w:left="1534" w:right="0" w:hanging="567"/>
        <w:jc w:val="left"/>
        <w:rPr>
          <w:b/>
          <w:sz w:val="24"/>
        </w:rPr>
      </w:pPr>
      <w:hyperlink w:history="true" w:anchor="_bookmark10">
        <w:r>
          <w:rPr>
            <w:b/>
            <w:color w:val="FFFFFF"/>
            <w:sz w:val="24"/>
          </w:rPr>
          <w:t>Our</w:t>
        </w:r>
        <w:r>
          <w:rPr>
            <w:b/>
            <w:color w:val="FFFFFF"/>
            <w:spacing w:val="-1"/>
            <w:sz w:val="24"/>
          </w:rPr>
          <w:t> </w:t>
        </w:r>
        <w:r>
          <w:rPr>
            <w:b/>
            <w:color w:val="FFFFFF"/>
            <w:sz w:val="24"/>
          </w:rPr>
          <w:t>process</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pStyle w:val="ListParagraph"/>
        <w:numPr>
          <w:ilvl w:val="0"/>
          <w:numId w:val="11"/>
        </w:numPr>
        <w:tabs>
          <w:tab w:pos="1534" w:val="left" w:leader="none"/>
          <w:tab w:pos="1535" w:val="left" w:leader="none"/>
        </w:tabs>
        <w:spacing w:line="240" w:lineRule="auto" w:before="43" w:after="0"/>
        <w:ind w:left="1534" w:right="0" w:hanging="567"/>
        <w:jc w:val="left"/>
        <w:rPr>
          <w:b/>
          <w:sz w:val="24"/>
        </w:rPr>
      </w:pPr>
      <w:r>
        <w:rPr/>
        <w:pict>
          <v:line style="position:absolute;mso-position-horizontal-relative:page;mso-position-vertical-relative:paragraph;z-index:-304;mso-wrap-distance-left:0;mso-wrap-distance-right:0" from="79.370102pt,22.667288pt" to="104.882102pt,22.667288pt" stroked="true" strokeweight="2pt" strokecolor="#8f9dad">
            <v:stroke dashstyle="solid"/>
            <w10:wrap type="topAndBottom"/>
          </v:line>
        </w:pict>
      </w:r>
      <w:hyperlink w:history="true" w:anchor="_bookmark11">
        <w:r>
          <w:rPr>
            <w:b/>
            <w:color w:val="FFFFFF"/>
            <w:sz w:val="24"/>
          </w:rPr>
          <w:t>Reform in coronavirus </w:t>
        </w:r>
        <w:r>
          <w:rPr>
            <w:b/>
            <w:color w:val="FFFFFF"/>
            <w:spacing w:val="-3"/>
            <w:sz w:val="24"/>
          </w:rPr>
          <w:t>(COVID-19)</w:t>
        </w:r>
        <w:r>
          <w:rPr>
            <w:b/>
            <w:color w:val="FFFFFF"/>
            <w:spacing w:val="-2"/>
            <w:sz w:val="24"/>
          </w:rPr>
          <w:t> </w:t>
        </w:r>
        <w:r>
          <w:rPr>
            <w:b/>
            <w:color w:val="FFFFFF"/>
            <w:sz w:val="24"/>
          </w:rPr>
          <w:t>times</w:t>
        </w:r>
      </w:hyperlink>
    </w:p>
    <w:p>
      <w:pPr>
        <w:spacing w:after="0" w:line="240" w:lineRule="auto"/>
        <w:jc w:val="left"/>
        <w:rPr>
          <w:sz w:val="24"/>
        </w:rPr>
        <w:sectPr>
          <w:headerReference w:type="default" r:id="rId24"/>
          <w:headerReference w:type="even" r:id="rId25"/>
          <w:pgSz w:w="11910" w:h="16840"/>
          <w:pgMar w:header="0" w:footer="0" w:top="0" w:bottom="280" w:left="620" w:right="380"/>
        </w:sectPr>
      </w:pPr>
    </w:p>
    <w:p>
      <w:pPr>
        <w:pStyle w:val="BodyText"/>
        <w:rPr>
          <w:b/>
        </w:rPr>
      </w:pPr>
      <w:r>
        <w:rPr/>
        <w:pict>
          <v:rect style="position:absolute;margin-left:0pt;margin-top:99.213013pt;width:14.173pt;height:85.748pt;mso-position-horizontal-relative:page;mso-position-vertical-relative:page;z-index:1936" filled="true" fillcolor="#37617a" stroked="false">
            <v:fill type="solid"/>
            <w10:wrap type="none"/>
          </v:rect>
        </w:pict>
      </w:r>
    </w:p>
    <w:p>
      <w:pPr>
        <w:pStyle w:val="BodyText"/>
        <w:rPr>
          <w:b/>
        </w:rPr>
      </w:pPr>
    </w:p>
    <w:p>
      <w:pPr>
        <w:pStyle w:val="BodyText"/>
        <w:spacing w:before="2"/>
        <w:rPr>
          <w:b/>
          <w:sz w:val="25"/>
        </w:rPr>
      </w:pPr>
    </w:p>
    <w:p>
      <w:pPr>
        <w:pStyle w:val="ListParagraph"/>
        <w:numPr>
          <w:ilvl w:val="0"/>
          <w:numId w:val="12"/>
        </w:numPr>
        <w:tabs>
          <w:tab w:pos="773" w:val="left" w:leader="none"/>
        </w:tabs>
        <w:spacing w:line="758" w:lineRule="exact" w:before="0" w:after="0"/>
        <w:ind w:left="772" w:right="0" w:hanging="570"/>
        <w:jc w:val="left"/>
        <w:rPr>
          <w:rFonts w:ascii="Raleway ExtraBold"/>
          <w:b/>
          <w:sz w:val="56"/>
        </w:rPr>
      </w:pPr>
      <w:bookmarkStart w:name="1. Introduction" w:id="13"/>
      <w:bookmarkEnd w:id="13"/>
      <w:r>
        <w:rPr/>
      </w:r>
      <w:bookmarkStart w:name="_bookmark6" w:id="14"/>
      <w:bookmarkEnd w:id="14"/>
      <w:r>
        <w:rPr/>
      </w:r>
      <w:bookmarkStart w:name="_bookmark6" w:id="15"/>
      <w:bookmarkEnd w:id="15"/>
      <w:r>
        <w:rPr>
          <w:rFonts w:ascii="Raleway ExtraBold"/>
          <w:b/>
          <w:color w:val="37617A"/>
          <w:spacing w:val="-4"/>
          <w:sz w:val="56"/>
        </w:rPr>
        <w:t>I</w:t>
      </w:r>
      <w:r>
        <w:rPr>
          <w:rFonts w:ascii="Raleway ExtraBold"/>
          <w:b/>
          <w:color w:val="37617A"/>
          <w:spacing w:val="-4"/>
          <w:sz w:val="56"/>
        </w:rPr>
        <w:t>ntroduction</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2"/>
        <w:rPr>
          <w:rFonts w:ascii="Raleway ExtraBold"/>
          <w:b/>
          <w:sz w:val="14"/>
        </w:rPr>
      </w:pPr>
      <w:r>
        <w:rPr/>
        <w:pict>
          <v:line style="position:absolute;mso-position-horizontal-relative:page;mso-position-vertical-relative:paragraph;z-index:-184;mso-wrap-distance-left:0;mso-wrap-distance-right:0" from="79.370102pt,12.525483pt" to="515.905102pt,12.525483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1796" w:right="2033" w:hanging="1"/>
        <w:jc w:val="center"/>
        <w:rPr>
          <w:rFonts w:ascii="Trebuchet MS" w:hAnsi="Trebuchet MS"/>
          <w:i/>
          <w:sz w:val="11"/>
        </w:rPr>
      </w:pPr>
      <w:r>
        <w:rPr>
          <w:rFonts w:ascii="Trebuchet MS" w:hAnsi="Trebuchet MS"/>
          <w:i/>
          <w:color w:val="37617A"/>
          <w:spacing w:val="-11"/>
          <w:w w:val="117"/>
          <w:sz w:val="20"/>
        </w:rPr>
        <w:t>W</w:t>
      </w:r>
      <w:r>
        <w:rPr>
          <w:rFonts w:ascii="Trebuchet MS" w:hAnsi="Trebuchet MS"/>
          <w:i/>
          <w:color w:val="37617A"/>
          <w:spacing w:val="-6"/>
          <w:w w:val="100"/>
          <w:sz w:val="20"/>
        </w:rPr>
        <w:t>e</w:t>
      </w:r>
      <w:r>
        <w:rPr>
          <w:rFonts w:ascii="Trebuchet MS" w:hAnsi="Trebuchet MS"/>
          <w:i/>
          <w:color w:val="37617A"/>
          <w:spacing w:val="-1"/>
          <w:w w:val="54"/>
          <w:sz w:val="20"/>
        </w:rPr>
        <w:t>’</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03"/>
          <w:sz w:val="20"/>
        </w:rPr>
        <w:t>n</w:t>
      </w:r>
      <w:r>
        <w:rPr>
          <w:rFonts w:ascii="Trebuchet MS" w:hAnsi="Trebuchet MS"/>
          <w:i/>
          <w:color w:val="37617A"/>
          <w:spacing w:val="-2"/>
          <w:w w:val="107"/>
          <w:sz w:val="20"/>
        </w:rPr>
        <w:t>o</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1"/>
          <w:w w:val="117"/>
          <w:sz w:val="20"/>
        </w:rPr>
        <w:t>s</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1"/>
          <w:w w:val="99"/>
          <w:sz w:val="20"/>
        </w:rPr>
        <w:t>a</w:t>
      </w:r>
      <w:r>
        <w:rPr>
          <w:rFonts w:ascii="Trebuchet MS" w:hAnsi="Trebuchet MS"/>
          <w:i/>
          <w:color w:val="37617A"/>
          <w:w w:val="99"/>
          <w:sz w:val="20"/>
        </w:rPr>
        <w:t>t</w:t>
      </w:r>
      <w:r>
        <w:rPr>
          <w:rFonts w:ascii="Trebuchet MS" w:hAnsi="Trebuchet MS"/>
          <w:i/>
          <w:color w:val="37617A"/>
          <w:spacing w:val="-13"/>
          <w:sz w:val="20"/>
        </w:rPr>
        <w:t> </w:t>
      </w:r>
      <w:r>
        <w:rPr>
          <w:rFonts w:ascii="Trebuchet MS" w:hAnsi="Trebuchet MS"/>
          <w:i/>
          <w:color w:val="37617A"/>
          <w:spacing w:val="-1"/>
          <w:w w:val="101"/>
          <w:sz w:val="20"/>
        </w:rPr>
        <w:t>h</w:t>
      </w:r>
      <w:r>
        <w:rPr>
          <w:rFonts w:ascii="Trebuchet MS" w:hAnsi="Trebuchet MS"/>
          <w:i/>
          <w:color w:val="37617A"/>
          <w:w w:val="107"/>
          <w:sz w:val="20"/>
        </w:rPr>
        <w:t>o</w:t>
      </w:r>
      <w:r>
        <w:rPr>
          <w:rFonts w:ascii="Trebuchet MS" w:hAnsi="Trebuchet MS"/>
          <w:i/>
          <w:color w:val="37617A"/>
          <w:spacing w:val="-1"/>
          <w:w w:val="106"/>
          <w:sz w:val="20"/>
        </w:rPr>
        <w:t>m</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spacing w:val="1"/>
          <w:w w:val="100"/>
          <w:sz w:val="20"/>
        </w:rPr>
        <w:t>e</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spacing w:val="-13"/>
          <w:sz w:val="20"/>
        </w:rPr>
        <w:t> </w:t>
      </w:r>
      <w:r>
        <w:rPr>
          <w:rFonts w:ascii="Trebuchet MS" w:hAnsi="Trebuchet MS"/>
          <w:i/>
          <w:color w:val="37617A"/>
          <w:w w:val="106"/>
          <w:sz w:val="20"/>
        </w:rPr>
        <w:t>m</w:t>
      </w:r>
      <w:r>
        <w:rPr>
          <w:rFonts w:ascii="Trebuchet MS" w:hAnsi="Trebuchet MS"/>
          <w:i/>
          <w:color w:val="37617A"/>
          <w:spacing w:val="-2"/>
          <w:w w:val="107"/>
          <w:sz w:val="20"/>
        </w:rPr>
        <w:t>o</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3"/>
          <w:w w:val="108"/>
          <w:sz w:val="20"/>
        </w:rPr>
        <w:t>d</w:t>
      </w:r>
      <w:r>
        <w:rPr>
          <w:rFonts w:ascii="Trebuchet MS" w:hAnsi="Trebuchet MS"/>
          <w:i/>
          <w:color w:val="37617A"/>
          <w:w w:val="55"/>
          <w:sz w:val="20"/>
        </w:rPr>
        <w: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6"/>
          <w:sz w:val="20"/>
        </w:rPr>
        <w:t>m</w:t>
      </w:r>
      <w:r>
        <w:rPr>
          <w:rFonts w:ascii="Trebuchet MS" w:hAnsi="Trebuchet MS"/>
          <w:i/>
          <w:color w:val="37617A"/>
          <w:spacing w:val="-2"/>
          <w:w w:val="107"/>
          <w:sz w:val="20"/>
        </w:rPr>
        <w:t>o</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spacing w:val="-1"/>
          <w:w w:val="84"/>
          <w:sz w:val="20"/>
        </w:rPr>
        <w:t>r</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spacing w:val="-1"/>
          <w:w w:val="84"/>
          <w:sz w:val="20"/>
        </w:rPr>
        <w:t>r</w:t>
      </w:r>
      <w:r>
        <w:rPr>
          <w:rFonts w:ascii="Trebuchet MS" w:hAnsi="Trebuchet MS"/>
          <w:i/>
          <w:color w:val="37617A"/>
          <w:spacing w:val="-2"/>
          <w:w w:val="117"/>
          <w:sz w:val="20"/>
        </w:rPr>
        <w:t>s</w:t>
      </w:r>
      <w:r>
        <w:rPr>
          <w:rFonts w:ascii="Trebuchet MS" w:hAnsi="Trebuchet MS"/>
          <w:i/>
          <w:color w:val="37617A"/>
          <w:w w:val="100"/>
          <w:sz w:val="20"/>
        </w:rPr>
        <w:t>e</w:t>
      </w:r>
      <w:r>
        <w:rPr>
          <w:rFonts w:ascii="Trebuchet MS" w:hAnsi="Trebuchet MS"/>
          <w:i/>
          <w:color w:val="37617A"/>
          <w:spacing w:val="-6"/>
          <w:w w:val="87"/>
          <w:sz w:val="20"/>
        </w:rPr>
        <w:t>l</w:t>
      </w:r>
      <w:r>
        <w:rPr>
          <w:rFonts w:ascii="Trebuchet MS" w:hAnsi="Trebuchet MS"/>
          <w:i/>
          <w:color w:val="37617A"/>
          <w:spacing w:val="-3"/>
          <w:w w:val="103"/>
          <w:sz w:val="20"/>
        </w:rPr>
        <w:t>v</w:t>
      </w:r>
      <w:r>
        <w:rPr>
          <w:rFonts w:ascii="Trebuchet MS" w:hAnsi="Trebuchet MS"/>
          <w:i/>
          <w:color w:val="37617A"/>
          <w:w w:val="100"/>
          <w:sz w:val="20"/>
        </w:rPr>
        <w:t>e</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w w:val="100"/>
          <w:sz w:val="20"/>
        </w:rPr>
        <w:t> </w:t>
      </w:r>
      <w:r>
        <w:rPr>
          <w:rFonts w:ascii="Trebuchet MS" w:hAnsi="Trebuchet MS"/>
          <w:i/>
          <w:color w:val="37617A"/>
          <w:spacing w:val="-1"/>
          <w:w w:val="87"/>
          <w:sz w:val="20"/>
        </w:rPr>
        <w:t>l</w:t>
      </w:r>
      <w:r>
        <w:rPr>
          <w:rFonts w:ascii="Trebuchet MS" w:hAnsi="Trebuchet MS"/>
          <w:i/>
          <w:color w:val="37617A"/>
          <w:spacing w:val="-2"/>
          <w:w w:val="73"/>
          <w:sz w:val="20"/>
        </w:rPr>
        <w:t>i</w:t>
      </w:r>
      <w:r>
        <w:rPr>
          <w:rFonts w:ascii="Trebuchet MS" w:hAnsi="Trebuchet MS"/>
          <w:i/>
          <w:color w:val="37617A"/>
          <w:spacing w:val="-3"/>
          <w:w w:val="103"/>
          <w:sz w:val="20"/>
        </w:rPr>
        <w:t>v</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73"/>
          <w:sz w:val="20"/>
        </w:rPr>
        <w:t>i</w:t>
      </w:r>
      <w:r>
        <w:rPr>
          <w:rFonts w:ascii="Trebuchet MS" w:hAnsi="Trebuchet MS"/>
          <w:i/>
          <w:color w:val="37617A"/>
          <w:spacing w:val="-1"/>
          <w:w w:val="108"/>
          <w:sz w:val="20"/>
        </w:rPr>
        <w:t>d</w:t>
      </w:r>
      <w:r>
        <w:rPr>
          <w:rFonts w:ascii="Trebuchet MS" w:hAnsi="Trebuchet MS"/>
          <w:i/>
          <w:color w:val="37617A"/>
          <w:spacing w:val="1"/>
          <w:w w:val="100"/>
          <w:sz w:val="20"/>
        </w:rPr>
        <w:t>e</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w w:val="115"/>
          <w:sz w:val="20"/>
        </w:rPr>
        <w:t>a</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6"/>
          <w:sz w:val="20"/>
        </w:rPr>
        <w:t>m</w:t>
      </w:r>
      <w:r>
        <w:rPr>
          <w:rFonts w:ascii="Trebuchet MS" w:hAnsi="Trebuchet MS"/>
          <w:i/>
          <w:color w:val="37617A"/>
          <w:spacing w:val="-1"/>
          <w:w w:val="106"/>
          <w:sz w:val="20"/>
        </w:rPr>
        <w:t>m</w:t>
      </w:r>
      <w:r>
        <w:rPr>
          <w:rFonts w:ascii="Trebuchet MS" w:hAnsi="Trebuchet MS"/>
          <w:i/>
          <w:color w:val="37617A"/>
          <w:w w:val="103"/>
          <w:sz w:val="20"/>
        </w:rPr>
        <w:t>u</w:t>
      </w:r>
      <w:r>
        <w:rPr>
          <w:rFonts w:ascii="Trebuchet MS" w:hAnsi="Trebuchet MS"/>
          <w:i/>
          <w:color w:val="37617A"/>
          <w:w w:val="103"/>
          <w:sz w:val="20"/>
        </w:rPr>
        <w:t>n</w:t>
      </w:r>
      <w:r>
        <w:rPr>
          <w:rFonts w:ascii="Trebuchet MS" w:hAnsi="Trebuchet MS"/>
          <w:i/>
          <w:color w:val="37617A"/>
          <w:spacing w:val="-1"/>
          <w:w w:val="73"/>
          <w:sz w:val="20"/>
        </w:rPr>
        <w:t>i</w:t>
      </w:r>
      <w:r>
        <w:rPr>
          <w:rFonts w:ascii="Trebuchet MS" w:hAnsi="Trebuchet MS"/>
          <w:i/>
          <w:color w:val="37617A"/>
          <w:spacing w:val="1"/>
          <w:w w:val="80"/>
          <w:sz w:val="20"/>
        </w:rPr>
        <w:t>t</w:t>
      </w:r>
      <w:r>
        <w:rPr>
          <w:rFonts w:ascii="Trebuchet MS" w:hAnsi="Trebuchet MS"/>
          <w:i/>
          <w:color w:val="37617A"/>
          <w:spacing w:val="-8"/>
          <w:w w:val="101"/>
          <w:sz w:val="20"/>
        </w:rPr>
        <w:t>y</w:t>
      </w:r>
      <w:r>
        <w:rPr>
          <w:rFonts w:ascii="Trebuchet MS" w:hAnsi="Trebuchet MS"/>
          <w:i/>
          <w:color w:val="37617A"/>
          <w:w w:val="54"/>
          <w:sz w:val="20"/>
        </w:rPr>
        <w:t>.</w:t>
      </w:r>
      <w:r>
        <w:rPr>
          <w:rFonts w:ascii="Trebuchet MS" w:hAnsi="Trebuchet MS"/>
          <w:i/>
          <w:color w:val="37617A"/>
          <w:spacing w:val="-13"/>
          <w:sz w:val="20"/>
        </w:rPr>
        <w:t> </w:t>
      </w:r>
      <w:r>
        <w:rPr>
          <w:rFonts w:ascii="Trebuchet MS" w:hAnsi="Trebuchet MS"/>
          <w:i/>
          <w:color w:val="37617A"/>
          <w:spacing w:val="-11"/>
          <w:w w:val="117"/>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9"/>
          <w:sz w:val="20"/>
        </w:rPr>
        <w:t>g</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spacing w:val="-2"/>
          <w:w w:val="117"/>
          <w:sz w:val="20"/>
        </w:rPr>
        <w:t>s</w:t>
      </w:r>
      <w:r>
        <w:rPr>
          <w:rFonts w:ascii="Trebuchet MS" w:hAnsi="Trebuchet MS"/>
          <w:i/>
          <w:color w:val="37617A"/>
          <w:w w:val="115"/>
          <w:sz w:val="20"/>
        </w:rPr>
        <w:t>c</w:t>
      </w:r>
      <w:r>
        <w:rPr>
          <w:rFonts w:ascii="Trebuchet MS" w:hAnsi="Trebuchet MS"/>
          <w:i/>
          <w:color w:val="37617A"/>
          <w:spacing w:val="-1"/>
          <w:w w:val="101"/>
          <w:sz w:val="20"/>
        </w:rPr>
        <w:t>h</w:t>
      </w:r>
      <w:r>
        <w:rPr>
          <w:rFonts w:ascii="Trebuchet MS" w:hAnsi="Trebuchet MS"/>
          <w:i/>
          <w:color w:val="37617A"/>
          <w:w w:val="107"/>
          <w:sz w:val="20"/>
        </w:rPr>
        <w:t>o</w:t>
      </w:r>
      <w:r>
        <w:rPr>
          <w:rFonts w:ascii="Trebuchet MS" w:hAnsi="Trebuchet MS"/>
          <w:i/>
          <w:color w:val="37617A"/>
          <w:spacing w:val="-1"/>
          <w:w w:val="107"/>
          <w:sz w:val="20"/>
        </w:rPr>
        <w:t>o</w:t>
      </w:r>
      <w:r>
        <w:rPr>
          <w:rFonts w:ascii="Trebuchet MS" w:hAnsi="Trebuchet MS"/>
          <w:i/>
          <w:color w:val="37617A"/>
          <w:spacing w:val="3"/>
          <w:w w:val="87"/>
          <w:sz w:val="20"/>
        </w:rPr>
        <w:t>l</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spacing w:val="-2"/>
          <w:w w:val="115"/>
          <w:sz w:val="20"/>
        </w:rPr>
        <w:t>a</w:t>
      </w:r>
      <w:r>
        <w:rPr>
          <w:rFonts w:ascii="Trebuchet MS" w:hAnsi="Trebuchet MS"/>
          <w:i/>
          <w:color w:val="37617A"/>
          <w:spacing w:val="-3"/>
          <w:w w:val="103"/>
          <w:sz w:val="20"/>
        </w:rPr>
        <w:t>v</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15"/>
          <w:sz w:val="20"/>
        </w:rPr>
        <w:t>c</w:t>
      </w:r>
      <w:r>
        <w:rPr>
          <w:rFonts w:ascii="Trebuchet MS" w:hAnsi="Trebuchet MS"/>
          <w:i/>
          <w:color w:val="37617A"/>
          <w:w w:val="101"/>
          <w:sz w:val="20"/>
        </w:rPr>
        <w:t>h</w:t>
      </w:r>
      <w:r>
        <w:rPr>
          <w:rFonts w:ascii="Trebuchet MS" w:hAnsi="Trebuchet MS"/>
          <w:i/>
          <w:color w:val="37617A"/>
          <w:spacing w:val="-1"/>
          <w:w w:val="73"/>
          <w:sz w:val="20"/>
        </w:rPr>
        <w:t>i</w:t>
      </w:r>
      <w:r>
        <w:rPr>
          <w:rFonts w:ascii="Trebuchet MS" w:hAnsi="Trebuchet MS"/>
          <w:i/>
          <w:color w:val="37617A"/>
          <w:spacing w:val="-3"/>
          <w:w w:val="87"/>
          <w:sz w:val="20"/>
        </w:rPr>
        <w:t>l</w:t>
      </w:r>
      <w:r>
        <w:rPr>
          <w:rFonts w:ascii="Trebuchet MS" w:hAnsi="Trebuchet MS"/>
          <w:i/>
          <w:color w:val="37617A"/>
          <w:w w:val="108"/>
          <w:sz w:val="20"/>
        </w:rPr>
        <w:t>d</w:t>
      </w:r>
      <w:r>
        <w:rPr>
          <w:rFonts w:ascii="Trebuchet MS" w:hAnsi="Trebuchet MS"/>
          <w:i/>
          <w:color w:val="37617A"/>
          <w:spacing w:val="-4"/>
          <w:w w:val="84"/>
          <w:sz w:val="20"/>
        </w:rPr>
        <w:t>r</w:t>
      </w:r>
      <w:r>
        <w:rPr>
          <w:rFonts w:ascii="Trebuchet MS" w:hAnsi="Trebuchet MS"/>
          <w:i/>
          <w:color w:val="37617A"/>
          <w:spacing w:val="1"/>
          <w:w w:val="100"/>
          <w:sz w:val="20"/>
        </w:rPr>
        <w:t>e</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w w:val="103"/>
          <w:sz w:val="20"/>
        </w:rPr>
        <w:t>n </w:t>
      </w:r>
      <w:r>
        <w:rPr>
          <w:rFonts w:ascii="Trebuchet MS" w:hAnsi="Trebuchet MS"/>
          <w:i/>
          <w:color w:val="37617A"/>
          <w:spacing w:val="-2"/>
          <w:w w:val="117"/>
          <w:sz w:val="20"/>
        </w:rPr>
        <w:t>s</w:t>
      </w:r>
      <w:r>
        <w:rPr>
          <w:rFonts w:ascii="Trebuchet MS" w:hAnsi="Trebuchet MS"/>
          <w:i/>
          <w:color w:val="37617A"/>
          <w:w w:val="115"/>
          <w:sz w:val="20"/>
        </w:rPr>
        <w:t>c</w:t>
      </w:r>
      <w:r>
        <w:rPr>
          <w:rFonts w:ascii="Trebuchet MS" w:hAnsi="Trebuchet MS"/>
          <w:i/>
          <w:color w:val="37617A"/>
          <w:spacing w:val="-1"/>
          <w:w w:val="101"/>
          <w:sz w:val="20"/>
        </w:rPr>
        <w:t>h</w:t>
      </w:r>
      <w:r>
        <w:rPr>
          <w:rFonts w:ascii="Trebuchet MS" w:hAnsi="Trebuchet MS"/>
          <w:i/>
          <w:color w:val="37617A"/>
          <w:w w:val="107"/>
          <w:sz w:val="20"/>
        </w:rPr>
        <w:t>o</w:t>
      </w:r>
      <w:r>
        <w:rPr>
          <w:rFonts w:ascii="Trebuchet MS" w:hAnsi="Trebuchet MS"/>
          <w:i/>
          <w:color w:val="37617A"/>
          <w:spacing w:val="-1"/>
          <w:w w:val="107"/>
          <w:sz w:val="20"/>
        </w:rPr>
        <w:t>o</w:t>
      </w:r>
      <w:r>
        <w:rPr>
          <w:rFonts w:ascii="Trebuchet MS" w:hAnsi="Trebuchet MS"/>
          <w:i/>
          <w:color w:val="37617A"/>
          <w:spacing w:val="3"/>
          <w:w w:val="87"/>
          <w:sz w:val="20"/>
        </w:rPr>
        <w:t>l</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spacing w:val="-1"/>
          <w:w w:val="106"/>
          <w:sz w:val="20"/>
        </w:rPr>
        <w:t>m</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2"/>
          <w:w w:val="83"/>
          <w:sz w:val="20"/>
        </w:rPr>
        <w:t>f</w:t>
      </w:r>
      <w:r>
        <w:rPr>
          <w:rFonts w:ascii="Trebuchet MS" w:hAnsi="Trebuchet MS"/>
          <w:i/>
          <w:color w:val="37617A"/>
          <w:spacing w:val="-4"/>
          <w:w w:val="84"/>
          <w:sz w:val="20"/>
        </w:rPr>
        <w:t>r</w:t>
      </w:r>
      <w:r>
        <w:rPr>
          <w:rFonts w:ascii="Trebuchet MS" w:hAnsi="Trebuchet MS"/>
          <w:i/>
          <w:color w:val="37617A"/>
          <w:w w:val="107"/>
          <w:sz w:val="20"/>
        </w:rPr>
        <w:t>o</w:t>
      </w:r>
      <w:r>
        <w:rPr>
          <w:rFonts w:ascii="Trebuchet MS" w:hAnsi="Trebuchet MS"/>
          <w:i/>
          <w:color w:val="37617A"/>
          <w:w w:val="106"/>
          <w:sz w:val="20"/>
        </w:rPr>
        <w:t>m</w:t>
      </w:r>
      <w:r>
        <w:rPr>
          <w:rFonts w:ascii="Trebuchet MS" w:hAnsi="Trebuchet MS"/>
          <w:i/>
          <w:color w:val="37617A"/>
          <w:spacing w:val="-13"/>
          <w:sz w:val="20"/>
        </w:rPr>
        <w:t> </w:t>
      </w:r>
      <w:r>
        <w:rPr>
          <w:rFonts w:ascii="Trebuchet MS" w:hAnsi="Trebuchet MS"/>
          <w:i/>
          <w:color w:val="37617A"/>
          <w:spacing w:val="-3"/>
          <w:w w:val="103"/>
          <w:sz w:val="20"/>
        </w:rPr>
        <w:t>v</w:t>
      </w:r>
      <w:r>
        <w:rPr>
          <w:rFonts w:ascii="Trebuchet MS" w:hAnsi="Trebuchet MS"/>
          <w:i/>
          <w:color w:val="37617A"/>
          <w:w w:val="115"/>
          <w:sz w:val="20"/>
        </w:rPr>
        <w:t>a</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spacing w:val="-1"/>
          <w:w w:val="115"/>
          <w:sz w:val="20"/>
        </w:rPr>
        <w:t>a</w:t>
      </w:r>
      <w:r>
        <w:rPr>
          <w:rFonts w:ascii="Trebuchet MS" w:hAnsi="Trebuchet MS"/>
          <w:i/>
          <w:color w:val="37617A"/>
          <w:w w:val="115"/>
          <w:sz w:val="20"/>
        </w:rPr>
        <w:t>c</w:t>
      </w:r>
      <w:r>
        <w:rPr>
          <w:rFonts w:ascii="Trebuchet MS" w:hAnsi="Trebuchet MS"/>
          <w:i/>
          <w:color w:val="37617A"/>
          <w:spacing w:val="-2"/>
          <w:w w:val="107"/>
          <w:sz w:val="20"/>
        </w:rPr>
        <w:t>k</w:t>
      </w:r>
      <w:r>
        <w:rPr>
          <w:rFonts w:ascii="Trebuchet MS" w:hAnsi="Trebuchet MS"/>
          <w:i/>
          <w:color w:val="37617A"/>
          <w:w w:val="119"/>
          <w:sz w:val="20"/>
        </w:rPr>
        <w:t>g</w:t>
      </w:r>
      <w:r>
        <w:rPr>
          <w:rFonts w:ascii="Trebuchet MS" w:hAnsi="Trebuchet MS"/>
          <w:i/>
          <w:color w:val="37617A"/>
          <w:spacing w:val="-4"/>
          <w:w w:val="84"/>
          <w:sz w:val="20"/>
        </w:rPr>
        <w:t>r</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spacing w:val="-1"/>
          <w:w w:val="103"/>
          <w:sz w:val="20"/>
        </w:rPr>
        <w:t>u</w:t>
      </w:r>
      <w:r>
        <w:rPr>
          <w:rFonts w:ascii="Trebuchet MS" w:hAnsi="Trebuchet MS"/>
          <w:i/>
          <w:color w:val="37617A"/>
          <w:spacing w:val="-1"/>
          <w:w w:val="119"/>
          <w:sz w:val="20"/>
        </w:rPr>
        <w:t>g</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w w:val="115"/>
          <w:sz w:val="20"/>
        </w:rPr>
        <w:t>c</w:t>
      </w:r>
      <w:r>
        <w:rPr>
          <w:rFonts w:ascii="Trebuchet MS" w:hAnsi="Trebuchet MS"/>
          <w:i/>
          <w:color w:val="37617A"/>
          <w:w w:val="101"/>
          <w:sz w:val="20"/>
        </w:rPr>
        <w:t>h</w:t>
      </w:r>
      <w:r>
        <w:rPr>
          <w:rFonts w:ascii="Trebuchet MS" w:hAnsi="Trebuchet MS"/>
          <w:i/>
          <w:color w:val="37617A"/>
          <w:w w:val="103"/>
          <w:sz w:val="20"/>
        </w:rPr>
        <w:t>n</w:t>
      </w:r>
      <w:r>
        <w:rPr>
          <w:rFonts w:ascii="Trebuchet MS" w:hAnsi="Trebuchet MS"/>
          <w:i/>
          <w:color w:val="37617A"/>
          <w:w w:val="100"/>
          <w:sz w:val="20"/>
        </w:rPr>
        <w:t>e</w:t>
      </w:r>
      <w:r>
        <w:rPr>
          <w:rFonts w:ascii="Trebuchet MS" w:hAnsi="Trebuchet MS"/>
          <w:i/>
          <w:color w:val="37617A"/>
          <w:w w:val="117"/>
          <w:sz w:val="20"/>
        </w:rPr>
        <w:t>ss</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 </w:t>
      </w:r>
      <w:r>
        <w:rPr>
          <w:rFonts w:ascii="Trebuchet MS" w:hAnsi="Trebuchet MS"/>
          <w:i/>
          <w:color w:val="37617A"/>
          <w:spacing w:val="-2"/>
          <w:w w:val="100"/>
          <w:sz w:val="20"/>
        </w:rPr>
        <w:t>e</w:t>
      </w:r>
      <w:r>
        <w:rPr>
          <w:rFonts w:ascii="Trebuchet MS" w:hAnsi="Trebuchet MS"/>
          <w:i/>
          <w:color w:val="37617A"/>
          <w:spacing w:val="-2"/>
          <w:w w:val="98"/>
          <w:sz w:val="20"/>
        </w:rPr>
        <w:t>x</w:t>
      </w:r>
      <w:r>
        <w:rPr>
          <w:rFonts w:ascii="Trebuchet MS" w:hAnsi="Trebuchet MS"/>
          <w:i/>
          <w:color w:val="37617A"/>
          <w:w w:val="107"/>
          <w:sz w:val="20"/>
        </w:rPr>
        <w:t>p</w:t>
      </w:r>
      <w:r>
        <w:rPr>
          <w:rFonts w:ascii="Trebuchet MS" w:hAnsi="Trebuchet MS"/>
          <w:i/>
          <w:color w:val="37617A"/>
          <w:spacing w:val="1"/>
          <w:w w:val="100"/>
          <w:sz w:val="20"/>
        </w:rPr>
        <w:t>e</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spacing w:val="1"/>
          <w:w w:val="100"/>
          <w:sz w:val="20"/>
        </w:rPr>
        <w:t>e</w:t>
      </w:r>
      <w:r>
        <w:rPr>
          <w:rFonts w:ascii="Trebuchet MS" w:hAnsi="Trebuchet MS"/>
          <w:i/>
          <w:color w:val="37617A"/>
          <w:spacing w:val="-1"/>
          <w:w w:val="103"/>
          <w:sz w:val="20"/>
        </w:rPr>
        <w:t>n</w:t>
      </w:r>
      <w:r>
        <w:rPr>
          <w:rFonts w:ascii="Trebuchet MS" w:hAnsi="Trebuchet MS"/>
          <w:i/>
          <w:color w:val="37617A"/>
          <w:spacing w:val="-1"/>
          <w:w w:val="115"/>
          <w:sz w:val="20"/>
        </w:rPr>
        <w:t>c</w:t>
      </w:r>
      <w:r>
        <w:rPr>
          <w:rFonts w:ascii="Trebuchet MS" w:hAnsi="Trebuchet MS"/>
          <w:i/>
          <w:color w:val="37617A"/>
          <w:w w:val="100"/>
          <w:sz w:val="20"/>
        </w:rPr>
        <w:t>e</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99"/>
          <w:sz w:val="20"/>
        </w:rPr>
        <w:t>a</w:t>
      </w:r>
      <w:r>
        <w:rPr>
          <w:rFonts w:ascii="Trebuchet MS" w:hAnsi="Trebuchet MS"/>
          <w:i/>
          <w:color w:val="37617A"/>
          <w:w w:val="99"/>
          <w:sz w:val="20"/>
        </w:rPr>
        <w:t>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spacing w:val="-1"/>
          <w:w w:val="119"/>
          <w:sz w:val="20"/>
        </w:rPr>
        <w:t>g</w:t>
      </w:r>
      <w:r>
        <w:rPr>
          <w:rFonts w:ascii="Trebuchet MS" w:hAnsi="Trebuchet MS"/>
          <w:i/>
          <w:color w:val="37617A"/>
          <w:spacing w:val="-3"/>
          <w:w w:val="118"/>
          <w:sz w:val="20"/>
        </w:rPr>
        <w:t>—</w:t>
      </w:r>
      <w:r>
        <w:rPr>
          <w:rFonts w:ascii="Trebuchet MS" w:hAnsi="Trebuchet MS"/>
          <w:i/>
          <w:color w:val="37617A"/>
          <w:spacing w:val="-3"/>
          <w:w w:val="103"/>
          <w:sz w:val="20"/>
        </w:rPr>
        <w:t>w</w:t>
      </w:r>
      <w:r>
        <w:rPr>
          <w:rFonts w:ascii="Trebuchet MS" w:hAnsi="Trebuchet MS"/>
          <w:i/>
          <w:color w:val="37617A"/>
          <w:spacing w:val="-6"/>
          <w:w w:val="100"/>
          <w:sz w:val="20"/>
        </w:rPr>
        <w:t>e</w:t>
      </w:r>
      <w:r>
        <w:rPr>
          <w:rFonts w:ascii="Trebuchet MS" w:hAnsi="Trebuchet MS"/>
          <w:i/>
          <w:color w:val="37617A"/>
          <w:spacing w:val="-1"/>
          <w:w w:val="54"/>
          <w:sz w:val="20"/>
        </w:rPr>
        <w:t>’</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03"/>
          <w:sz w:val="20"/>
        </w:rPr>
        <w:t>n</w:t>
      </w:r>
      <w:r>
        <w:rPr>
          <w:rFonts w:ascii="Trebuchet MS" w:hAnsi="Trebuchet MS"/>
          <w:i/>
          <w:color w:val="37617A"/>
          <w:spacing w:val="-2"/>
          <w:w w:val="107"/>
          <w:sz w:val="20"/>
        </w:rPr>
        <w:t>o</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1"/>
          <w:w w:val="117"/>
          <w:sz w:val="20"/>
        </w:rPr>
        <w:t>s</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w w:val="73"/>
          <w:sz w:val="20"/>
        </w:rPr>
        <w:t>i</w:t>
      </w:r>
      <w:r>
        <w:rPr>
          <w:rFonts w:ascii="Trebuchet MS" w:hAnsi="Trebuchet MS"/>
          <w:i/>
          <w:color w:val="37617A"/>
          <w:w w:val="106"/>
          <w:sz w:val="20"/>
        </w:rPr>
        <w:t>m</w:t>
      </w:r>
      <w:r>
        <w:rPr>
          <w:rFonts w:ascii="Trebuchet MS" w:hAnsi="Trebuchet MS"/>
          <w:i/>
          <w:color w:val="37617A"/>
          <w:w w:val="107"/>
          <w:sz w:val="20"/>
        </w:rPr>
        <w:t>p</w:t>
      </w:r>
      <w:r>
        <w:rPr>
          <w:rFonts w:ascii="Trebuchet MS" w:hAnsi="Trebuchet MS"/>
          <w:i/>
          <w:color w:val="37617A"/>
          <w:spacing w:val="-6"/>
          <w:w w:val="87"/>
          <w:sz w:val="20"/>
        </w:rPr>
        <w:t>l</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spacing w:val="-1"/>
          <w:w w:val="101"/>
          <w:sz w:val="20"/>
        </w:rPr>
        <w:t>h</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15"/>
          <w:sz w:val="20"/>
        </w:rPr>
        <w:t>a</w:t>
      </w:r>
      <w:r>
        <w:rPr>
          <w:rFonts w:ascii="Trebuchet MS" w:hAnsi="Trebuchet MS"/>
          <w:i/>
          <w:color w:val="37617A"/>
          <w:spacing w:val="-7"/>
          <w:w w:val="103"/>
          <w:sz w:val="20"/>
        </w:rPr>
        <w:t>n</w:t>
      </w:r>
      <w:r>
        <w:rPr>
          <w:rFonts w:ascii="Trebuchet MS" w:hAnsi="Trebuchet MS"/>
          <w:i/>
          <w:color w:val="37617A"/>
          <w:spacing w:val="3"/>
          <w:w w:val="54"/>
          <w:sz w:val="20"/>
        </w:rPr>
        <w:t>’</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w w:val="115"/>
          <w:sz w:val="20"/>
        </w:rPr>
        <w:t>a</w:t>
      </w:r>
      <w:r>
        <w:rPr>
          <w:rFonts w:ascii="Trebuchet MS" w:hAnsi="Trebuchet MS"/>
          <w:i/>
          <w:color w:val="37617A"/>
          <w:spacing w:val="-11"/>
          <w:w w:val="84"/>
          <w:sz w:val="20"/>
        </w:rPr>
        <w:t>r</w:t>
      </w:r>
      <w:r>
        <w:rPr>
          <w:rFonts w:ascii="Trebuchet MS" w:hAnsi="Trebuchet MS"/>
          <w:i/>
          <w:color w:val="37617A"/>
          <w:w w:val="54"/>
          <w:sz w:val="20"/>
        </w:rPr>
        <w:t>.</w:t>
      </w:r>
      <w:r>
        <w:rPr>
          <w:rFonts w:ascii="Trebuchet MS" w:hAnsi="Trebuchet MS"/>
          <w:i/>
          <w:color w:val="37617A"/>
          <w:w w:val="87"/>
          <w:position w:val="7"/>
          <w:sz w:val="11"/>
        </w:rPr>
        <w:t>1</w:t>
      </w:r>
    </w:p>
    <w:p>
      <w:pPr>
        <w:spacing w:before="12"/>
        <w:ind w:left="3328" w:right="0" w:firstLine="0"/>
        <w:jc w:val="left"/>
        <w:rPr>
          <w:rFonts w:ascii="Trebuchet MS" w:hAnsi="Trebuchet MS"/>
          <w:sz w:val="19"/>
        </w:rPr>
      </w:pPr>
      <w:r>
        <w:rPr>
          <w:rFonts w:ascii="Trebuchet MS" w:hAnsi="Trebuchet MS"/>
          <w:color w:val="37617A"/>
          <w:sz w:val="19"/>
        </w:rPr>
        <w:t>—Participant in the Deaf Victoria consultation</w:t>
      </w:r>
    </w:p>
    <w:p>
      <w:pPr>
        <w:pStyle w:val="BodyText"/>
        <w:spacing w:before="3"/>
        <w:rPr>
          <w:rFonts w:ascii="Trebuchet MS"/>
          <w:sz w:val="10"/>
        </w:rPr>
      </w:pPr>
      <w:r>
        <w:rPr/>
        <w:pict>
          <v:line style="position:absolute;mso-position-horizontal-relative:page;mso-position-vertical-relative:paragraph;z-index:-160;mso-wrap-distance-left:0;mso-wrap-distance-right:0" from="79.370102pt,8.178566pt" to="515.905102pt,8.178566pt" stroked="true" strokeweight=".5pt" strokecolor="#8f9dad">
            <v:stroke dashstyle="solid"/>
            <w10:wrap type="topAndBottom"/>
          </v:line>
        </w:pict>
      </w:r>
    </w:p>
    <w:p>
      <w:pPr>
        <w:pStyle w:val="BodyText"/>
        <w:spacing w:before="9"/>
        <w:rPr>
          <w:rFonts w:ascii="Trebuchet MS"/>
          <w:sz w:val="31"/>
        </w:rPr>
      </w:pPr>
    </w:p>
    <w:p>
      <w:pPr>
        <w:pStyle w:val="ListParagraph"/>
        <w:numPr>
          <w:ilvl w:val="1"/>
          <w:numId w:val="12"/>
        </w:numPr>
        <w:tabs>
          <w:tab w:pos="1761" w:val="left" w:leader="none"/>
          <w:tab w:pos="1762" w:val="left" w:leader="none"/>
        </w:tabs>
        <w:spacing w:line="206" w:lineRule="auto" w:before="0" w:after="0"/>
        <w:ind w:left="1761" w:right="1211" w:hanging="794"/>
        <w:jc w:val="left"/>
        <w:rPr>
          <w:sz w:val="20"/>
        </w:rPr>
      </w:pPr>
      <w:r>
        <w:rPr>
          <w:sz w:val="20"/>
        </w:rPr>
        <w:t>This</w:t>
      </w:r>
      <w:r>
        <w:rPr>
          <w:spacing w:val="-10"/>
          <w:sz w:val="20"/>
        </w:rPr>
        <w:t> </w:t>
      </w:r>
      <w:r>
        <w:rPr>
          <w:sz w:val="20"/>
        </w:rPr>
        <w:t>report</w:t>
      </w:r>
      <w:r>
        <w:rPr>
          <w:spacing w:val="-10"/>
          <w:sz w:val="20"/>
        </w:rPr>
        <w:t> </w:t>
      </w:r>
      <w:r>
        <w:rPr>
          <w:spacing w:val="-3"/>
          <w:sz w:val="20"/>
        </w:rPr>
        <w:t>makes</w:t>
      </w:r>
      <w:r>
        <w:rPr>
          <w:spacing w:val="-10"/>
          <w:sz w:val="20"/>
        </w:rPr>
        <w:t> </w:t>
      </w:r>
      <w:r>
        <w:rPr>
          <w:sz w:val="20"/>
        </w:rPr>
        <w:t>recommendations</w:t>
      </w:r>
      <w:r>
        <w:rPr>
          <w:spacing w:val="-10"/>
          <w:sz w:val="20"/>
        </w:rPr>
        <w:t> </w:t>
      </w:r>
      <w:r>
        <w:rPr>
          <w:sz w:val="20"/>
        </w:rPr>
        <w:t>to</w:t>
      </w:r>
      <w:r>
        <w:rPr>
          <w:spacing w:val="-9"/>
          <w:sz w:val="20"/>
        </w:rPr>
        <w:t> </w:t>
      </w:r>
      <w:r>
        <w:rPr>
          <w:spacing w:val="-4"/>
          <w:sz w:val="20"/>
        </w:rPr>
        <w:t>remove</w:t>
      </w:r>
      <w:r>
        <w:rPr>
          <w:spacing w:val="-10"/>
          <w:sz w:val="20"/>
        </w:rPr>
        <w:t> </w:t>
      </w:r>
      <w:r>
        <w:rPr>
          <w:sz w:val="20"/>
        </w:rPr>
        <w:t>barriers</w:t>
      </w:r>
      <w:r>
        <w:rPr>
          <w:spacing w:val="-10"/>
          <w:sz w:val="20"/>
        </w:rPr>
        <w:t> </w:t>
      </w:r>
      <w:r>
        <w:rPr>
          <w:sz w:val="20"/>
        </w:rPr>
        <w:t>in</w:t>
      </w:r>
      <w:r>
        <w:rPr>
          <w:spacing w:val="-10"/>
          <w:sz w:val="20"/>
        </w:rPr>
        <w:t> </w:t>
      </w:r>
      <w:r>
        <w:rPr>
          <w:spacing w:val="-3"/>
          <w:sz w:val="20"/>
        </w:rPr>
        <w:t>current</w:t>
      </w:r>
      <w:r>
        <w:rPr>
          <w:spacing w:val="-10"/>
          <w:sz w:val="20"/>
        </w:rPr>
        <w:t> </w:t>
      </w:r>
      <w:r>
        <w:rPr>
          <w:sz w:val="20"/>
        </w:rPr>
        <w:t>law</w:t>
      </w:r>
      <w:r>
        <w:rPr>
          <w:spacing w:val="-9"/>
          <w:sz w:val="20"/>
        </w:rPr>
        <w:t> </w:t>
      </w:r>
      <w:r>
        <w:rPr>
          <w:sz w:val="20"/>
        </w:rPr>
        <w:t>and</w:t>
      </w:r>
      <w:r>
        <w:rPr>
          <w:spacing w:val="-10"/>
          <w:sz w:val="20"/>
        </w:rPr>
        <w:t> </w:t>
      </w:r>
      <w:r>
        <w:rPr>
          <w:sz w:val="20"/>
        </w:rPr>
        <w:t>practice</w:t>
      </w:r>
      <w:r>
        <w:rPr>
          <w:spacing w:val="-10"/>
          <w:sz w:val="20"/>
        </w:rPr>
        <w:t> </w:t>
      </w:r>
      <w:r>
        <w:rPr>
          <w:sz w:val="20"/>
        </w:rPr>
        <w:t>that </w:t>
      </w:r>
      <w:r>
        <w:rPr>
          <w:spacing w:val="-4"/>
          <w:sz w:val="20"/>
        </w:rPr>
        <w:t>prevent </w:t>
      </w:r>
      <w:r>
        <w:rPr>
          <w:sz w:val="20"/>
        </w:rPr>
        <w:t>Victorians who </w:t>
      </w:r>
      <w:r>
        <w:rPr>
          <w:spacing w:val="-3"/>
          <w:sz w:val="20"/>
        </w:rPr>
        <w:t>are </w:t>
      </w:r>
      <w:r>
        <w:rPr>
          <w:spacing w:val="-4"/>
          <w:sz w:val="20"/>
        </w:rPr>
        <w:t>deaf, </w:t>
      </w:r>
      <w:r>
        <w:rPr>
          <w:sz w:val="20"/>
        </w:rPr>
        <w:t>hard of hearing, blind or </w:t>
      </w:r>
      <w:r>
        <w:rPr>
          <w:spacing w:val="-4"/>
          <w:sz w:val="20"/>
        </w:rPr>
        <w:t>have low </w:t>
      </w:r>
      <w:r>
        <w:rPr>
          <w:sz w:val="20"/>
        </w:rPr>
        <w:t>vision </w:t>
      </w:r>
      <w:r>
        <w:rPr>
          <w:spacing w:val="-3"/>
          <w:sz w:val="20"/>
        </w:rPr>
        <w:t>from </w:t>
      </w:r>
      <w:r>
        <w:rPr>
          <w:sz w:val="20"/>
        </w:rPr>
        <w:t>serving as</w:t>
      </w:r>
      <w:r>
        <w:rPr>
          <w:spacing w:val="-5"/>
          <w:sz w:val="20"/>
        </w:rPr>
        <w:t> </w:t>
      </w:r>
      <w:r>
        <w:rPr>
          <w:sz w:val="20"/>
        </w:rPr>
        <w:t>jurors,</w:t>
      </w:r>
      <w:r>
        <w:rPr>
          <w:spacing w:val="-5"/>
          <w:sz w:val="20"/>
        </w:rPr>
        <w:t> </w:t>
      </w:r>
      <w:r>
        <w:rPr>
          <w:sz w:val="20"/>
        </w:rPr>
        <w:t>while</w:t>
      </w:r>
      <w:r>
        <w:rPr>
          <w:spacing w:val="-5"/>
          <w:sz w:val="20"/>
        </w:rPr>
        <w:t> </w:t>
      </w:r>
      <w:r>
        <w:rPr>
          <w:sz w:val="20"/>
        </w:rPr>
        <w:t>ensuring</w:t>
      </w:r>
      <w:r>
        <w:rPr>
          <w:spacing w:val="-4"/>
          <w:sz w:val="20"/>
        </w:rPr>
        <w:t> </w:t>
      </w:r>
      <w:r>
        <w:rPr>
          <w:sz w:val="20"/>
        </w:rPr>
        <w:t>the</w:t>
      </w:r>
      <w:r>
        <w:rPr>
          <w:spacing w:val="-5"/>
          <w:sz w:val="20"/>
        </w:rPr>
        <w:t> </w:t>
      </w:r>
      <w:r>
        <w:rPr>
          <w:sz w:val="20"/>
        </w:rPr>
        <w:t>right</w:t>
      </w:r>
      <w:r>
        <w:rPr>
          <w:spacing w:val="-5"/>
          <w:sz w:val="20"/>
        </w:rPr>
        <w:t> </w:t>
      </w:r>
      <w:r>
        <w:rPr>
          <w:sz w:val="20"/>
        </w:rPr>
        <w:t>to</w:t>
      </w:r>
      <w:r>
        <w:rPr>
          <w:spacing w:val="-5"/>
          <w:sz w:val="20"/>
        </w:rPr>
        <w:t> </w:t>
      </w:r>
      <w:r>
        <w:rPr>
          <w:sz w:val="20"/>
        </w:rPr>
        <w:t>a</w:t>
      </w:r>
      <w:r>
        <w:rPr>
          <w:spacing w:val="-4"/>
          <w:sz w:val="20"/>
        </w:rPr>
        <w:t> </w:t>
      </w:r>
      <w:r>
        <w:rPr>
          <w:sz w:val="20"/>
        </w:rPr>
        <w:t>fair</w:t>
      </w:r>
      <w:r>
        <w:rPr>
          <w:spacing w:val="-5"/>
          <w:sz w:val="20"/>
        </w:rPr>
        <w:t> </w:t>
      </w:r>
      <w:r>
        <w:rPr>
          <w:sz w:val="20"/>
        </w:rPr>
        <w:t>trial.</w:t>
      </w:r>
    </w:p>
    <w:p>
      <w:pPr>
        <w:pStyle w:val="ListParagraph"/>
        <w:numPr>
          <w:ilvl w:val="1"/>
          <w:numId w:val="12"/>
        </w:numPr>
        <w:tabs>
          <w:tab w:pos="1761" w:val="left" w:leader="none"/>
          <w:tab w:pos="1762" w:val="left" w:leader="none"/>
        </w:tabs>
        <w:spacing w:line="206" w:lineRule="auto" w:before="124" w:after="0"/>
        <w:ind w:left="1761" w:right="1438" w:hanging="794"/>
        <w:jc w:val="left"/>
        <w:rPr>
          <w:sz w:val="20"/>
        </w:rPr>
      </w:pPr>
      <w:r>
        <w:rPr>
          <w:spacing w:val="-6"/>
          <w:sz w:val="20"/>
        </w:rPr>
        <w:t>We</w:t>
      </w:r>
      <w:r>
        <w:rPr>
          <w:spacing w:val="-10"/>
          <w:sz w:val="20"/>
        </w:rPr>
        <w:t> </w:t>
      </w:r>
      <w:r>
        <w:rPr>
          <w:sz w:val="20"/>
        </w:rPr>
        <w:t>contemplate</w:t>
      </w:r>
      <w:r>
        <w:rPr>
          <w:spacing w:val="-10"/>
          <w:sz w:val="20"/>
        </w:rPr>
        <w:t> </w:t>
      </w:r>
      <w:r>
        <w:rPr>
          <w:spacing w:val="-3"/>
          <w:sz w:val="20"/>
        </w:rPr>
        <w:t>reform</w:t>
      </w:r>
      <w:r>
        <w:rPr>
          <w:spacing w:val="-9"/>
          <w:sz w:val="20"/>
        </w:rPr>
        <w:t> </w:t>
      </w:r>
      <w:r>
        <w:rPr>
          <w:spacing w:val="-3"/>
          <w:sz w:val="20"/>
        </w:rPr>
        <w:t>from</w:t>
      </w:r>
      <w:r>
        <w:rPr>
          <w:spacing w:val="-10"/>
          <w:sz w:val="20"/>
        </w:rPr>
        <w:t> </w:t>
      </w:r>
      <w:r>
        <w:rPr>
          <w:sz w:val="20"/>
        </w:rPr>
        <w:t>the</w:t>
      </w:r>
      <w:r>
        <w:rPr>
          <w:spacing w:val="-9"/>
          <w:sz w:val="20"/>
        </w:rPr>
        <w:t> </w:t>
      </w:r>
      <w:r>
        <w:rPr>
          <w:sz w:val="20"/>
        </w:rPr>
        <w:t>start</w:t>
      </w:r>
      <w:r>
        <w:rPr>
          <w:spacing w:val="-10"/>
          <w:sz w:val="20"/>
        </w:rPr>
        <w:t> </w:t>
      </w:r>
      <w:r>
        <w:rPr>
          <w:sz w:val="20"/>
        </w:rPr>
        <w:t>of</w:t>
      </w:r>
      <w:r>
        <w:rPr>
          <w:spacing w:val="-9"/>
          <w:sz w:val="20"/>
        </w:rPr>
        <w:t> </w:t>
      </w:r>
      <w:r>
        <w:rPr>
          <w:sz w:val="20"/>
        </w:rPr>
        <w:t>the</w:t>
      </w:r>
      <w:r>
        <w:rPr>
          <w:spacing w:val="-10"/>
          <w:sz w:val="20"/>
        </w:rPr>
        <w:t> </w:t>
      </w:r>
      <w:r>
        <w:rPr>
          <w:sz w:val="20"/>
        </w:rPr>
        <w:t>jury</w:t>
      </w:r>
      <w:r>
        <w:rPr>
          <w:spacing w:val="-9"/>
          <w:sz w:val="20"/>
        </w:rPr>
        <w:t> </w:t>
      </w:r>
      <w:r>
        <w:rPr>
          <w:sz w:val="20"/>
        </w:rPr>
        <w:t>selection</w:t>
      </w:r>
      <w:r>
        <w:rPr>
          <w:spacing w:val="-10"/>
          <w:sz w:val="20"/>
        </w:rPr>
        <w:t> </w:t>
      </w:r>
      <w:r>
        <w:rPr>
          <w:sz w:val="20"/>
        </w:rPr>
        <w:t>process</w:t>
      </w:r>
      <w:r>
        <w:rPr>
          <w:spacing w:val="-9"/>
          <w:sz w:val="20"/>
        </w:rPr>
        <w:t> </w:t>
      </w:r>
      <w:r>
        <w:rPr>
          <w:sz w:val="20"/>
        </w:rPr>
        <w:t>to</w:t>
      </w:r>
      <w:r>
        <w:rPr>
          <w:spacing w:val="-10"/>
          <w:sz w:val="20"/>
        </w:rPr>
        <w:t> </w:t>
      </w:r>
      <w:r>
        <w:rPr>
          <w:sz w:val="20"/>
        </w:rPr>
        <w:t>the</w:t>
      </w:r>
      <w:r>
        <w:rPr>
          <w:spacing w:val="-9"/>
          <w:sz w:val="20"/>
        </w:rPr>
        <w:t> </w:t>
      </w:r>
      <w:r>
        <w:rPr>
          <w:sz w:val="20"/>
        </w:rPr>
        <w:t>conclusion of</w:t>
      </w:r>
      <w:r>
        <w:rPr>
          <w:spacing w:val="-8"/>
          <w:sz w:val="20"/>
        </w:rPr>
        <w:t> </w:t>
      </w:r>
      <w:r>
        <w:rPr>
          <w:sz w:val="20"/>
        </w:rPr>
        <w:t>the</w:t>
      </w:r>
      <w:r>
        <w:rPr>
          <w:spacing w:val="-8"/>
          <w:sz w:val="20"/>
        </w:rPr>
        <w:t> </w:t>
      </w:r>
      <w:r>
        <w:rPr>
          <w:sz w:val="20"/>
        </w:rPr>
        <w:t>trial.</w:t>
      </w:r>
      <w:r>
        <w:rPr>
          <w:spacing w:val="-8"/>
          <w:sz w:val="20"/>
        </w:rPr>
        <w:t> </w:t>
      </w:r>
      <w:r>
        <w:rPr>
          <w:sz w:val="20"/>
        </w:rPr>
        <w:t>Our</w:t>
      </w:r>
      <w:r>
        <w:rPr>
          <w:spacing w:val="-8"/>
          <w:sz w:val="20"/>
        </w:rPr>
        <w:t> </w:t>
      </w:r>
      <w:r>
        <w:rPr>
          <w:spacing w:val="-4"/>
          <w:sz w:val="20"/>
        </w:rPr>
        <w:t>key</w:t>
      </w:r>
      <w:r>
        <w:rPr>
          <w:spacing w:val="-8"/>
          <w:sz w:val="20"/>
        </w:rPr>
        <w:t> </w:t>
      </w:r>
      <w:r>
        <w:rPr>
          <w:sz w:val="20"/>
        </w:rPr>
        <w:t>recommendation</w:t>
      </w:r>
      <w:r>
        <w:rPr>
          <w:spacing w:val="-8"/>
          <w:sz w:val="20"/>
        </w:rPr>
        <w:t> </w:t>
      </w:r>
      <w:r>
        <w:rPr>
          <w:sz w:val="20"/>
        </w:rPr>
        <w:t>is</w:t>
      </w:r>
      <w:r>
        <w:rPr>
          <w:spacing w:val="-8"/>
          <w:sz w:val="20"/>
        </w:rPr>
        <w:t> </w:t>
      </w:r>
      <w:r>
        <w:rPr>
          <w:sz w:val="20"/>
        </w:rPr>
        <w:t>to</w:t>
      </w:r>
      <w:r>
        <w:rPr>
          <w:spacing w:val="-8"/>
          <w:sz w:val="20"/>
        </w:rPr>
        <w:t> </w:t>
      </w:r>
      <w:r>
        <w:rPr>
          <w:sz w:val="20"/>
        </w:rPr>
        <w:t>amend</w:t>
      </w:r>
      <w:r>
        <w:rPr>
          <w:spacing w:val="-8"/>
          <w:sz w:val="20"/>
        </w:rPr>
        <w:t> </w:t>
      </w:r>
      <w:r>
        <w:rPr>
          <w:sz w:val="20"/>
        </w:rPr>
        <w:t>the</w:t>
      </w:r>
      <w:r>
        <w:rPr>
          <w:spacing w:val="-8"/>
          <w:sz w:val="20"/>
        </w:rPr>
        <w:t> </w:t>
      </w:r>
      <w:r>
        <w:rPr>
          <w:i/>
          <w:sz w:val="20"/>
        </w:rPr>
        <w:t>Juries</w:t>
      </w:r>
      <w:r>
        <w:rPr>
          <w:i/>
          <w:spacing w:val="-8"/>
          <w:sz w:val="20"/>
        </w:rPr>
        <w:t> </w:t>
      </w:r>
      <w:r>
        <w:rPr>
          <w:i/>
          <w:sz w:val="20"/>
        </w:rPr>
        <w:t>Act</w:t>
      </w:r>
      <w:r>
        <w:rPr>
          <w:i/>
          <w:spacing w:val="-8"/>
          <w:sz w:val="20"/>
        </w:rPr>
        <w:t> </w:t>
      </w:r>
      <w:r>
        <w:rPr>
          <w:i/>
          <w:sz w:val="20"/>
        </w:rPr>
        <w:t>2000</w:t>
      </w:r>
      <w:r>
        <w:rPr>
          <w:i/>
          <w:spacing w:val="-7"/>
          <w:sz w:val="20"/>
        </w:rPr>
        <w:t> </w:t>
      </w:r>
      <w:r>
        <w:rPr>
          <w:sz w:val="20"/>
        </w:rPr>
        <w:t>(Vic)</w:t>
      </w:r>
      <w:r>
        <w:rPr>
          <w:spacing w:val="-8"/>
          <w:sz w:val="20"/>
        </w:rPr>
        <w:t> </w:t>
      </w:r>
      <w:r>
        <w:rPr>
          <w:sz w:val="20"/>
        </w:rPr>
        <w:t>(the</w:t>
      </w:r>
      <w:r>
        <w:rPr>
          <w:spacing w:val="-8"/>
          <w:sz w:val="20"/>
        </w:rPr>
        <w:t> </w:t>
      </w:r>
      <w:r>
        <w:rPr>
          <w:sz w:val="20"/>
        </w:rPr>
        <w:t>Act)</w:t>
      </w:r>
    </w:p>
    <w:p>
      <w:pPr>
        <w:pStyle w:val="BodyText"/>
        <w:spacing w:line="206" w:lineRule="auto" w:before="3"/>
        <w:ind w:left="1761" w:right="1202"/>
      </w:pPr>
      <w:r>
        <w:rPr/>
        <w:t>to </w:t>
      </w:r>
      <w:r>
        <w:rPr>
          <w:spacing w:val="-3"/>
        </w:rPr>
        <w:t>require </w:t>
      </w:r>
      <w:r>
        <w:rPr/>
        <w:t>that where a judge considers that reasonable adjustments </w:t>
      </w:r>
      <w:r>
        <w:rPr>
          <w:spacing w:val="-3"/>
        </w:rPr>
        <w:t>would </w:t>
      </w:r>
      <w:r>
        <w:rPr/>
        <w:t>enable a person</w:t>
      </w:r>
      <w:r>
        <w:rPr>
          <w:spacing w:val="-9"/>
        </w:rPr>
        <w:t> </w:t>
      </w:r>
      <w:r>
        <w:rPr/>
        <w:t>who</w:t>
      </w:r>
      <w:r>
        <w:rPr>
          <w:spacing w:val="-8"/>
        </w:rPr>
        <w:t> </w:t>
      </w:r>
      <w:r>
        <w:rPr/>
        <w:t>is</w:t>
      </w:r>
      <w:r>
        <w:rPr>
          <w:spacing w:val="-8"/>
        </w:rPr>
        <w:t> </w:t>
      </w:r>
      <w:r>
        <w:rPr>
          <w:spacing w:val="-4"/>
        </w:rPr>
        <w:t>deaf,</w:t>
      </w:r>
      <w:r>
        <w:rPr>
          <w:spacing w:val="-8"/>
        </w:rPr>
        <w:t> </w:t>
      </w:r>
      <w:r>
        <w:rPr/>
        <w:t>hard</w:t>
      </w:r>
      <w:r>
        <w:rPr>
          <w:spacing w:val="-8"/>
        </w:rPr>
        <w:t> </w:t>
      </w:r>
      <w:r>
        <w:rPr/>
        <w:t>of</w:t>
      </w:r>
      <w:r>
        <w:rPr>
          <w:spacing w:val="-8"/>
        </w:rPr>
        <w:t> </w:t>
      </w:r>
      <w:r>
        <w:rPr/>
        <w:t>hearing,</w:t>
      </w:r>
      <w:r>
        <w:rPr>
          <w:spacing w:val="-8"/>
        </w:rPr>
        <w:t> </w:t>
      </w:r>
      <w:r>
        <w:rPr/>
        <w:t>blind</w:t>
      </w:r>
      <w:r>
        <w:rPr>
          <w:spacing w:val="-8"/>
        </w:rPr>
        <w:t> </w:t>
      </w:r>
      <w:r>
        <w:rPr/>
        <w:t>or</w:t>
      </w:r>
      <w:r>
        <w:rPr>
          <w:spacing w:val="-8"/>
        </w:rPr>
        <w:t> </w:t>
      </w:r>
      <w:r>
        <w:rPr/>
        <w:t>has</w:t>
      </w:r>
      <w:r>
        <w:rPr>
          <w:spacing w:val="-8"/>
        </w:rPr>
        <w:t> </w:t>
      </w:r>
      <w:r>
        <w:rPr>
          <w:spacing w:val="-4"/>
        </w:rPr>
        <w:t>low</w:t>
      </w:r>
      <w:r>
        <w:rPr>
          <w:spacing w:val="-8"/>
        </w:rPr>
        <w:t> </w:t>
      </w:r>
      <w:r>
        <w:rPr/>
        <w:t>vision</w:t>
      </w:r>
      <w:r>
        <w:rPr>
          <w:spacing w:val="-9"/>
        </w:rPr>
        <w:t> </w:t>
      </w:r>
      <w:r>
        <w:rPr/>
        <w:t>to</w:t>
      </w:r>
      <w:r>
        <w:rPr>
          <w:spacing w:val="-8"/>
        </w:rPr>
        <w:t> </w:t>
      </w:r>
      <w:r>
        <w:rPr/>
        <w:t>serve</w:t>
      </w:r>
      <w:r>
        <w:rPr>
          <w:spacing w:val="-8"/>
        </w:rPr>
        <w:t> </w:t>
      </w:r>
      <w:r>
        <w:rPr/>
        <w:t>as</w:t>
      </w:r>
      <w:r>
        <w:rPr>
          <w:spacing w:val="-8"/>
        </w:rPr>
        <w:t> </w:t>
      </w:r>
      <w:r>
        <w:rPr/>
        <w:t>a</w:t>
      </w:r>
      <w:r>
        <w:rPr>
          <w:spacing w:val="-8"/>
        </w:rPr>
        <w:t> </w:t>
      </w:r>
      <w:r>
        <w:rPr>
          <w:spacing w:val="-4"/>
        </w:rPr>
        <w:t>juror,</w:t>
      </w:r>
      <w:r>
        <w:rPr>
          <w:spacing w:val="-8"/>
        </w:rPr>
        <w:t> </w:t>
      </w:r>
      <w:r>
        <w:rPr/>
        <w:t>the</w:t>
      </w:r>
      <w:r>
        <w:rPr>
          <w:spacing w:val="-8"/>
        </w:rPr>
        <w:t> </w:t>
      </w:r>
      <w:r>
        <w:rPr/>
        <w:t>judge must direct that they </w:t>
      </w:r>
      <w:r>
        <w:rPr>
          <w:spacing w:val="-3"/>
        </w:rPr>
        <w:t>are</w:t>
      </w:r>
      <w:r>
        <w:rPr>
          <w:spacing w:val="-23"/>
        </w:rPr>
        <w:t> </w:t>
      </w:r>
      <w:r>
        <w:rPr/>
        <w:t>provided.</w:t>
      </w:r>
    </w:p>
    <w:p>
      <w:pPr>
        <w:pStyle w:val="ListParagraph"/>
        <w:numPr>
          <w:ilvl w:val="1"/>
          <w:numId w:val="12"/>
        </w:numPr>
        <w:tabs>
          <w:tab w:pos="1761" w:val="left" w:leader="none"/>
          <w:tab w:pos="1762" w:val="left" w:leader="none"/>
        </w:tabs>
        <w:spacing w:line="206" w:lineRule="auto" w:before="123" w:after="0"/>
        <w:ind w:left="1761" w:right="1456" w:hanging="794"/>
        <w:jc w:val="left"/>
        <w:rPr>
          <w:sz w:val="20"/>
        </w:rPr>
      </w:pPr>
      <w:r>
        <w:rPr>
          <w:sz w:val="20"/>
        </w:rPr>
        <w:t>By </w:t>
      </w:r>
      <w:r>
        <w:rPr>
          <w:spacing w:val="-3"/>
          <w:sz w:val="20"/>
        </w:rPr>
        <w:t>‘reasonable </w:t>
      </w:r>
      <w:r>
        <w:rPr>
          <w:sz w:val="20"/>
        </w:rPr>
        <w:t>adjustments’ </w:t>
      </w:r>
      <w:r>
        <w:rPr>
          <w:spacing w:val="-3"/>
          <w:sz w:val="20"/>
        </w:rPr>
        <w:t>we </w:t>
      </w:r>
      <w:r>
        <w:rPr>
          <w:sz w:val="20"/>
        </w:rPr>
        <w:t>mean modifications that will facilitate access to jury service on equal terms with others, for </w:t>
      </w:r>
      <w:r>
        <w:rPr>
          <w:spacing w:val="-3"/>
          <w:sz w:val="20"/>
        </w:rPr>
        <w:t>example </w:t>
      </w:r>
      <w:r>
        <w:rPr>
          <w:sz w:val="20"/>
        </w:rPr>
        <w:t>an Auslan </w:t>
      </w:r>
      <w:r>
        <w:rPr>
          <w:spacing w:val="-3"/>
          <w:sz w:val="20"/>
        </w:rPr>
        <w:t>interpreter </w:t>
      </w:r>
      <w:r>
        <w:rPr>
          <w:sz w:val="20"/>
        </w:rPr>
        <w:t>or a </w:t>
      </w:r>
      <w:r>
        <w:rPr>
          <w:spacing w:val="-3"/>
          <w:sz w:val="20"/>
        </w:rPr>
        <w:t>device </w:t>
      </w:r>
      <w:r>
        <w:rPr>
          <w:sz w:val="20"/>
        </w:rPr>
        <w:t>with</w:t>
      </w:r>
      <w:r>
        <w:rPr>
          <w:spacing w:val="-11"/>
          <w:sz w:val="20"/>
        </w:rPr>
        <w:t> </w:t>
      </w:r>
      <w:r>
        <w:rPr>
          <w:sz w:val="20"/>
        </w:rPr>
        <w:t>software</w:t>
      </w:r>
      <w:r>
        <w:rPr>
          <w:spacing w:val="-11"/>
          <w:sz w:val="20"/>
        </w:rPr>
        <w:t> </w:t>
      </w:r>
      <w:r>
        <w:rPr>
          <w:sz w:val="20"/>
        </w:rPr>
        <w:t>that</w:t>
      </w:r>
      <w:r>
        <w:rPr>
          <w:spacing w:val="-11"/>
          <w:sz w:val="20"/>
        </w:rPr>
        <w:t> </w:t>
      </w:r>
      <w:r>
        <w:rPr>
          <w:sz w:val="20"/>
        </w:rPr>
        <w:t>converts</w:t>
      </w:r>
      <w:r>
        <w:rPr>
          <w:spacing w:val="-10"/>
          <w:sz w:val="20"/>
        </w:rPr>
        <w:t> </w:t>
      </w:r>
      <w:r>
        <w:rPr>
          <w:sz w:val="20"/>
        </w:rPr>
        <w:t>written</w:t>
      </w:r>
      <w:r>
        <w:rPr>
          <w:spacing w:val="-11"/>
          <w:sz w:val="20"/>
        </w:rPr>
        <w:t> </w:t>
      </w:r>
      <w:r>
        <w:rPr>
          <w:sz w:val="20"/>
        </w:rPr>
        <w:t>text</w:t>
      </w:r>
      <w:r>
        <w:rPr>
          <w:spacing w:val="-11"/>
          <w:sz w:val="20"/>
        </w:rPr>
        <w:t> </w:t>
      </w:r>
      <w:r>
        <w:rPr>
          <w:sz w:val="20"/>
        </w:rPr>
        <w:t>to</w:t>
      </w:r>
      <w:r>
        <w:rPr>
          <w:spacing w:val="-10"/>
          <w:sz w:val="20"/>
        </w:rPr>
        <w:t> </w:t>
      </w:r>
      <w:r>
        <w:rPr>
          <w:sz w:val="20"/>
        </w:rPr>
        <w:t>speech.</w:t>
      </w:r>
      <w:r>
        <w:rPr>
          <w:position w:val="7"/>
          <w:sz w:val="11"/>
        </w:rPr>
        <w:t>2</w:t>
      </w:r>
      <w:r>
        <w:rPr>
          <w:spacing w:val="14"/>
          <w:position w:val="7"/>
          <w:sz w:val="11"/>
        </w:rPr>
        <w:t> </w:t>
      </w:r>
      <w:r>
        <w:rPr>
          <w:sz w:val="20"/>
        </w:rPr>
        <w:t>Other</w:t>
      </w:r>
      <w:r>
        <w:rPr>
          <w:spacing w:val="-11"/>
          <w:sz w:val="20"/>
        </w:rPr>
        <w:t> </w:t>
      </w:r>
      <w:r>
        <w:rPr>
          <w:sz w:val="20"/>
        </w:rPr>
        <w:t>adjustments</w:t>
      </w:r>
      <w:r>
        <w:rPr>
          <w:spacing w:val="-11"/>
          <w:sz w:val="20"/>
        </w:rPr>
        <w:t> </w:t>
      </w:r>
      <w:r>
        <w:rPr>
          <w:sz w:val="20"/>
        </w:rPr>
        <w:t>might</w:t>
      </w:r>
      <w:r>
        <w:rPr>
          <w:spacing w:val="-11"/>
          <w:sz w:val="20"/>
        </w:rPr>
        <w:t> </w:t>
      </w:r>
      <w:r>
        <w:rPr>
          <w:spacing w:val="-4"/>
          <w:sz w:val="20"/>
        </w:rPr>
        <w:t>involve </w:t>
      </w:r>
      <w:r>
        <w:rPr>
          <w:sz w:val="20"/>
        </w:rPr>
        <w:t>changing the physical </w:t>
      </w:r>
      <w:r>
        <w:rPr>
          <w:spacing w:val="-3"/>
          <w:sz w:val="20"/>
        </w:rPr>
        <w:t>layout </w:t>
      </w:r>
      <w:r>
        <w:rPr>
          <w:sz w:val="20"/>
        </w:rPr>
        <w:t>of a courtroom or </w:t>
      </w:r>
      <w:r>
        <w:rPr>
          <w:spacing w:val="-3"/>
          <w:sz w:val="20"/>
        </w:rPr>
        <w:t>providing </w:t>
      </w:r>
      <w:r>
        <w:rPr>
          <w:sz w:val="20"/>
        </w:rPr>
        <w:t>a juror with a transcript of proceedings</w:t>
      </w:r>
      <w:r>
        <w:rPr>
          <w:spacing w:val="-14"/>
          <w:sz w:val="20"/>
        </w:rPr>
        <w:t> </w:t>
      </w:r>
      <w:r>
        <w:rPr>
          <w:sz w:val="20"/>
        </w:rPr>
        <w:t>and</w:t>
      </w:r>
      <w:r>
        <w:rPr>
          <w:spacing w:val="-13"/>
          <w:sz w:val="20"/>
        </w:rPr>
        <w:t> </w:t>
      </w:r>
      <w:r>
        <w:rPr>
          <w:sz w:val="20"/>
        </w:rPr>
        <w:t>additional</w:t>
      </w:r>
      <w:r>
        <w:rPr>
          <w:spacing w:val="-14"/>
          <w:sz w:val="20"/>
        </w:rPr>
        <w:t> </w:t>
      </w:r>
      <w:r>
        <w:rPr>
          <w:sz w:val="20"/>
        </w:rPr>
        <w:t>reading</w:t>
      </w:r>
      <w:r>
        <w:rPr>
          <w:spacing w:val="-13"/>
          <w:sz w:val="20"/>
        </w:rPr>
        <w:t> </w:t>
      </w:r>
      <w:r>
        <w:rPr>
          <w:sz w:val="20"/>
        </w:rPr>
        <w:t>time.</w:t>
      </w:r>
      <w:r>
        <w:rPr>
          <w:spacing w:val="-14"/>
          <w:sz w:val="20"/>
        </w:rPr>
        <w:t> </w:t>
      </w:r>
      <w:r>
        <w:rPr>
          <w:sz w:val="20"/>
        </w:rPr>
        <w:t>Some</w:t>
      </w:r>
      <w:r>
        <w:rPr>
          <w:spacing w:val="-13"/>
          <w:sz w:val="20"/>
        </w:rPr>
        <w:t> </w:t>
      </w:r>
      <w:r>
        <w:rPr>
          <w:sz w:val="20"/>
        </w:rPr>
        <w:t>reasonable</w:t>
      </w:r>
      <w:r>
        <w:rPr>
          <w:spacing w:val="-13"/>
          <w:sz w:val="20"/>
        </w:rPr>
        <w:t> </w:t>
      </w:r>
      <w:r>
        <w:rPr>
          <w:sz w:val="20"/>
        </w:rPr>
        <w:t>adjustments</w:t>
      </w:r>
      <w:r>
        <w:rPr>
          <w:spacing w:val="-14"/>
          <w:sz w:val="20"/>
        </w:rPr>
        <w:t> </w:t>
      </w:r>
      <w:r>
        <w:rPr>
          <w:sz w:val="20"/>
        </w:rPr>
        <w:t>that</w:t>
      </w:r>
      <w:r>
        <w:rPr>
          <w:spacing w:val="-13"/>
          <w:sz w:val="20"/>
        </w:rPr>
        <w:t> </w:t>
      </w:r>
      <w:r>
        <w:rPr>
          <w:spacing w:val="-3"/>
          <w:sz w:val="20"/>
        </w:rPr>
        <w:t>may</w:t>
      </w:r>
      <w:r>
        <w:rPr>
          <w:spacing w:val="-14"/>
          <w:sz w:val="20"/>
        </w:rPr>
        <w:t> </w:t>
      </w:r>
      <w:r>
        <w:rPr>
          <w:sz w:val="20"/>
        </w:rPr>
        <w:t>be needed </w:t>
      </w:r>
      <w:r>
        <w:rPr>
          <w:spacing w:val="-3"/>
          <w:sz w:val="20"/>
        </w:rPr>
        <w:t>are </w:t>
      </w:r>
      <w:r>
        <w:rPr>
          <w:sz w:val="20"/>
        </w:rPr>
        <w:t>considered in </w:t>
      </w:r>
      <w:r>
        <w:rPr>
          <w:spacing w:val="-2"/>
          <w:sz w:val="20"/>
        </w:rPr>
        <w:t>Chapter</w:t>
      </w:r>
      <w:r>
        <w:rPr>
          <w:spacing w:val="-18"/>
          <w:sz w:val="20"/>
        </w:rPr>
        <w:t> </w:t>
      </w:r>
      <w:r>
        <w:rPr>
          <w:sz w:val="20"/>
        </w:rPr>
        <w:t>13.</w:t>
      </w:r>
    </w:p>
    <w:p>
      <w:pPr>
        <w:pStyle w:val="ListParagraph"/>
        <w:numPr>
          <w:ilvl w:val="1"/>
          <w:numId w:val="12"/>
        </w:numPr>
        <w:tabs>
          <w:tab w:pos="1761" w:val="left" w:leader="none"/>
          <w:tab w:pos="1762" w:val="left" w:leader="none"/>
        </w:tabs>
        <w:spacing w:line="206" w:lineRule="auto" w:before="128" w:after="0"/>
        <w:ind w:left="1761" w:right="1295" w:hanging="794"/>
        <w:jc w:val="left"/>
        <w:rPr>
          <w:sz w:val="20"/>
        </w:rPr>
      </w:pPr>
      <w:r>
        <w:rPr>
          <w:spacing w:val="-3"/>
          <w:sz w:val="20"/>
        </w:rPr>
        <w:t>For reform </w:t>
      </w:r>
      <w:r>
        <w:rPr>
          <w:sz w:val="20"/>
        </w:rPr>
        <w:t>to be effective, both legislative and </w:t>
      </w:r>
      <w:r>
        <w:rPr>
          <w:spacing w:val="-3"/>
          <w:sz w:val="20"/>
        </w:rPr>
        <w:t>cultural </w:t>
      </w:r>
      <w:r>
        <w:rPr>
          <w:sz w:val="20"/>
        </w:rPr>
        <w:t>change </w:t>
      </w:r>
      <w:r>
        <w:rPr>
          <w:spacing w:val="-3"/>
          <w:sz w:val="20"/>
        </w:rPr>
        <w:t>are </w:t>
      </w:r>
      <w:r>
        <w:rPr>
          <w:sz w:val="20"/>
        </w:rPr>
        <w:t>necessary. </w:t>
      </w:r>
      <w:r>
        <w:rPr>
          <w:spacing w:val="-3"/>
          <w:sz w:val="20"/>
        </w:rPr>
        <w:t>For </w:t>
      </w:r>
      <w:r>
        <w:rPr>
          <w:sz w:val="20"/>
        </w:rPr>
        <w:t>professionals</w:t>
      </w:r>
      <w:r>
        <w:rPr>
          <w:spacing w:val="-10"/>
          <w:sz w:val="20"/>
        </w:rPr>
        <w:t> </w:t>
      </w:r>
      <w:r>
        <w:rPr>
          <w:spacing w:val="-4"/>
          <w:sz w:val="20"/>
        </w:rPr>
        <w:t>involved</w:t>
      </w:r>
      <w:r>
        <w:rPr>
          <w:spacing w:val="-9"/>
          <w:sz w:val="20"/>
        </w:rPr>
        <w:t> </w:t>
      </w:r>
      <w:r>
        <w:rPr>
          <w:sz w:val="20"/>
        </w:rPr>
        <w:t>with</w:t>
      </w:r>
      <w:r>
        <w:rPr>
          <w:spacing w:val="-9"/>
          <w:sz w:val="20"/>
        </w:rPr>
        <w:t> </w:t>
      </w:r>
      <w:r>
        <w:rPr>
          <w:sz w:val="20"/>
        </w:rPr>
        <w:t>jury</w:t>
      </w:r>
      <w:r>
        <w:rPr>
          <w:spacing w:val="-9"/>
          <w:sz w:val="20"/>
        </w:rPr>
        <w:t> </w:t>
      </w:r>
      <w:r>
        <w:rPr>
          <w:spacing w:val="-3"/>
          <w:sz w:val="20"/>
        </w:rPr>
        <w:t>work</w:t>
      </w:r>
      <w:r>
        <w:rPr>
          <w:spacing w:val="-9"/>
          <w:sz w:val="20"/>
        </w:rPr>
        <w:t> </w:t>
      </w:r>
      <w:r>
        <w:rPr>
          <w:spacing w:val="-3"/>
          <w:sz w:val="20"/>
        </w:rPr>
        <w:t>we</w:t>
      </w:r>
      <w:r>
        <w:rPr>
          <w:spacing w:val="-9"/>
          <w:sz w:val="20"/>
        </w:rPr>
        <w:t> </w:t>
      </w:r>
      <w:r>
        <w:rPr>
          <w:sz w:val="20"/>
        </w:rPr>
        <w:t>recommend</w:t>
      </w:r>
      <w:r>
        <w:rPr>
          <w:spacing w:val="-10"/>
          <w:sz w:val="20"/>
        </w:rPr>
        <w:t> </w:t>
      </w:r>
      <w:r>
        <w:rPr>
          <w:sz w:val="20"/>
        </w:rPr>
        <w:t>disability</w:t>
      </w:r>
      <w:r>
        <w:rPr>
          <w:spacing w:val="-9"/>
          <w:sz w:val="20"/>
        </w:rPr>
        <w:t> </w:t>
      </w:r>
      <w:r>
        <w:rPr>
          <w:spacing w:val="-3"/>
          <w:sz w:val="20"/>
        </w:rPr>
        <w:t>awareness</w:t>
      </w:r>
      <w:r>
        <w:rPr>
          <w:spacing w:val="-9"/>
          <w:sz w:val="20"/>
        </w:rPr>
        <w:t> </w:t>
      </w:r>
      <w:r>
        <w:rPr>
          <w:sz w:val="20"/>
        </w:rPr>
        <w:t>training</w:t>
      </w:r>
      <w:r>
        <w:rPr>
          <w:spacing w:val="-9"/>
          <w:sz w:val="20"/>
        </w:rPr>
        <w:t> </w:t>
      </w:r>
      <w:r>
        <w:rPr>
          <w:sz w:val="20"/>
        </w:rPr>
        <w:t>and education</w:t>
      </w:r>
      <w:r>
        <w:rPr>
          <w:spacing w:val="-11"/>
          <w:sz w:val="20"/>
        </w:rPr>
        <w:t> </w:t>
      </w:r>
      <w:r>
        <w:rPr>
          <w:sz w:val="20"/>
        </w:rPr>
        <w:t>about</w:t>
      </w:r>
      <w:r>
        <w:rPr>
          <w:spacing w:val="-10"/>
          <w:sz w:val="20"/>
        </w:rPr>
        <w:t> </w:t>
      </w:r>
      <w:r>
        <w:rPr>
          <w:sz w:val="20"/>
        </w:rPr>
        <w:t>new</w:t>
      </w:r>
      <w:r>
        <w:rPr>
          <w:spacing w:val="-11"/>
          <w:sz w:val="20"/>
        </w:rPr>
        <w:t> </w:t>
      </w:r>
      <w:r>
        <w:rPr>
          <w:spacing w:val="-3"/>
          <w:sz w:val="20"/>
        </w:rPr>
        <w:t>laws</w:t>
      </w:r>
      <w:r>
        <w:rPr>
          <w:spacing w:val="-10"/>
          <w:sz w:val="20"/>
        </w:rPr>
        <w:t> </w:t>
      </w:r>
      <w:r>
        <w:rPr>
          <w:sz w:val="20"/>
        </w:rPr>
        <w:t>and</w:t>
      </w:r>
      <w:r>
        <w:rPr>
          <w:spacing w:val="-10"/>
          <w:sz w:val="20"/>
        </w:rPr>
        <w:t> </w:t>
      </w:r>
      <w:r>
        <w:rPr>
          <w:sz w:val="20"/>
        </w:rPr>
        <w:t>processes</w:t>
      </w:r>
      <w:r>
        <w:rPr>
          <w:spacing w:val="-11"/>
          <w:sz w:val="20"/>
        </w:rPr>
        <w:t> </w:t>
      </w:r>
      <w:r>
        <w:rPr>
          <w:sz w:val="20"/>
        </w:rPr>
        <w:t>and</w:t>
      </w:r>
      <w:r>
        <w:rPr>
          <w:spacing w:val="-10"/>
          <w:sz w:val="20"/>
        </w:rPr>
        <w:t> </w:t>
      </w:r>
      <w:r>
        <w:rPr>
          <w:sz w:val="20"/>
        </w:rPr>
        <w:t>the</w:t>
      </w:r>
      <w:r>
        <w:rPr>
          <w:spacing w:val="-11"/>
          <w:sz w:val="20"/>
        </w:rPr>
        <w:t> </w:t>
      </w:r>
      <w:r>
        <w:rPr>
          <w:sz w:val="20"/>
        </w:rPr>
        <w:t>reasonable</w:t>
      </w:r>
      <w:r>
        <w:rPr>
          <w:spacing w:val="-10"/>
          <w:sz w:val="20"/>
        </w:rPr>
        <w:t> </w:t>
      </w:r>
      <w:r>
        <w:rPr>
          <w:sz w:val="20"/>
        </w:rPr>
        <w:t>adjustments</w:t>
      </w:r>
      <w:r>
        <w:rPr>
          <w:spacing w:val="-10"/>
          <w:sz w:val="20"/>
        </w:rPr>
        <w:t> </w:t>
      </w:r>
      <w:r>
        <w:rPr>
          <w:spacing w:val="-3"/>
          <w:sz w:val="20"/>
        </w:rPr>
        <w:t>likely</w:t>
      </w:r>
      <w:r>
        <w:rPr>
          <w:spacing w:val="-11"/>
          <w:sz w:val="20"/>
        </w:rPr>
        <w:t> </w:t>
      </w:r>
      <w:r>
        <w:rPr>
          <w:sz w:val="20"/>
        </w:rPr>
        <w:t>to</w:t>
      </w:r>
      <w:r>
        <w:rPr>
          <w:spacing w:val="-10"/>
          <w:sz w:val="20"/>
        </w:rPr>
        <w:t> </w:t>
      </w:r>
      <w:r>
        <w:rPr>
          <w:sz w:val="20"/>
        </w:rPr>
        <w:t>be required.</w:t>
      </w:r>
      <w:r>
        <w:rPr>
          <w:spacing w:val="-11"/>
          <w:sz w:val="20"/>
        </w:rPr>
        <w:t> </w:t>
      </w:r>
      <w:r>
        <w:rPr>
          <w:sz w:val="20"/>
        </w:rPr>
        <w:t>The</w:t>
      </w:r>
      <w:r>
        <w:rPr>
          <w:spacing w:val="-10"/>
          <w:sz w:val="20"/>
        </w:rPr>
        <w:t> </w:t>
      </w:r>
      <w:r>
        <w:rPr>
          <w:sz w:val="20"/>
        </w:rPr>
        <w:t>public</w:t>
      </w:r>
      <w:r>
        <w:rPr>
          <w:spacing w:val="-10"/>
          <w:sz w:val="20"/>
        </w:rPr>
        <w:t> </w:t>
      </w:r>
      <w:r>
        <w:rPr>
          <w:sz w:val="20"/>
        </w:rPr>
        <w:t>needs</w:t>
      </w:r>
      <w:r>
        <w:rPr>
          <w:spacing w:val="-10"/>
          <w:sz w:val="20"/>
        </w:rPr>
        <w:t> </w:t>
      </w:r>
      <w:r>
        <w:rPr>
          <w:sz w:val="20"/>
        </w:rPr>
        <w:t>accessible</w:t>
      </w:r>
      <w:r>
        <w:rPr>
          <w:spacing w:val="-10"/>
          <w:sz w:val="20"/>
        </w:rPr>
        <w:t> </w:t>
      </w:r>
      <w:r>
        <w:rPr>
          <w:sz w:val="20"/>
        </w:rPr>
        <w:t>information</w:t>
      </w:r>
      <w:r>
        <w:rPr>
          <w:spacing w:val="-11"/>
          <w:sz w:val="20"/>
        </w:rPr>
        <w:t> </w:t>
      </w:r>
      <w:r>
        <w:rPr>
          <w:sz w:val="20"/>
        </w:rPr>
        <w:t>about</w:t>
      </w:r>
      <w:r>
        <w:rPr>
          <w:spacing w:val="-10"/>
          <w:sz w:val="20"/>
        </w:rPr>
        <w:t> </w:t>
      </w:r>
      <w:r>
        <w:rPr>
          <w:spacing w:val="-3"/>
          <w:sz w:val="20"/>
        </w:rPr>
        <w:t>how</w:t>
      </w:r>
      <w:r>
        <w:rPr>
          <w:spacing w:val="-10"/>
          <w:sz w:val="20"/>
        </w:rPr>
        <w:t> </w:t>
      </w:r>
      <w:r>
        <w:rPr>
          <w:sz w:val="20"/>
        </w:rPr>
        <w:t>new</w:t>
      </w:r>
      <w:r>
        <w:rPr>
          <w:spacing w:val="-10"/>
          <w:sz w:val="20"/>
        </w:rPr>
        <w:t> </w:t>
      </w:r>
      <w:r>
        <w:rPr>
          <w:spacing w:val="-3"/>
          <w:sz w:val="20"/>
        </w:rPr>
        <w:t>laws</w:t>
      </w:r>
      <w:r>
        <w:rPr>
          <w:spacing w:val="-10"/>
          <w:sz w:val="20"/>
        </w:rPr>
        <w:t> </w:t>
      </w:r>
      <w:r>
        <w:rPr>
          <w:sz w:val="20"/>
        </w:rPr>
        <w:t>will</w:t>
      </w:r>
      <w:r>
        <w:rPr>
          <w:spacing w:val="-11"/>
          <w:sz w:val="20"/>
        </w:rPr>
        <w:t> </w:t>
      </w:r>
      <w:r>
        <w:rPr>
          <w:sz w:val="20"/>
        </w:rPr>
        <w:t>operate.</w:t>
      </w:r>
    </w:p>
    <w:p>
      <w:pPr>
        <w:pStyle w:val="BodyText"/>
        <w:spacing w:line="206" w:lineRule="auto" w:before="5"/>
        <w:ind w:left="1761" w:right="1335"/>
      </w:pPr>
      <w:r>
        <w:rPr/>
        <w:t>Data about the participation of people who </w:t>
      </w:r>
      <w:r>
        <w:rPr>
          <w:spacing w:val="-3"/>
        </w:rPr>
        <w:t>are </w:t>
      </w:r>
      <w:r>
        <w:rPr>
          <w:spacing w:val="-4"/>
        </w:rPr>
        <w:t>deaf, </w:t>
      </w:r>
      <w:r>
        <w:rPr/>
        <w:t>hard of hearing, blind or </w:t>
      </w:r>
      <w:r>
        <w:rPr>
          <w:spacing w:val="-4"/>
        </w:rPr>
        <w:t>have low</w:t>
      </w:r>
      <w:r>
        <w:rPr>
          <w:spacing w:val="-10"/>
        </w:rPr>
        <w:t> </w:t>
      </w:r>
      <w:r>
        <w:rPr/>
        <w:t>vision</w:t>
      </w:r>
      <w:r>
        <w:rPr>
          <w:spacing w:val="-10"/>
        </w:rPr>
        <w:t> </w:t>
      </w:r>
      <w:r>
        <w:rPr/>
        <w:t>in</w:t>
      </w:r>
      <w:r>
        <w:rPr>
          <w:spacing w:val="-10"/>
        </w:rPr>
        <w:t> </w:t>
      </w:r>
      <w:r>
        <w:rPr/>
        <w:t>the</w:t>
      </w:r>
      <w:r>
        <w:rPr>
          <w:spacing w:val="-9"/>
        </w:rPr>
        <w:t> </w:t>
      </w:r>
      <w:r>
        <w:rPr/>
        <w:t>jury</w:t>
      </w:r>
      <w:r>
        <w:rPr>
          <w:spacing w:val="-10"/>
        </w:rPr>
        <w:t> </w:t>
      </w:r>
      <w:r>
        <w:rPr/>
        <w:t>system</w:t>
      </w:r>
      <w:r>
        <w:rPr>
          <w:spacing w:val="-10"/>
        </w:rPr>
        <w:t> </w:t>
      </w:r>
      <w:r>
        <w:rPr/>
        <w:t>should</w:t>
      </w:r>
      <w:r>
        <w:rPr>
          <w:spacing w:val="-9"/>
        </w:rPr>
        <w:t> </w:t>
      </w:r>
      <w:r>
        <w:rPr/>
        <w:t>be</w:t>
      </w:r>
      <w:r>
        <w:rPr>
          <w:spacing w:val="-10"/>
        </w:rPr>
        <w:t> </w:t>
      </w:r>
      <w:r>
        <w:rPr/>
        <w:t>collected</w:t>
      </w:r>
      <w:r>
        <w:rPr>
          <w:spacing w:val="-10"/>
        </w:rPr>
        <w:t> </w:t>
      </w:r>
      <w:r>
        <w:rPr/>
        <w:t>and</w:t>
      </w:r>
      <w:r>
        <w:rPr>
          <w:spacing w:val="-9"/>
        </w:rPr>
        <w:t> </w:t>
      </w:r>
      <w:r>
        <w:rPr/>
        <w:t>reported.</w:t>
      </w:r>
      <w:r>
        <w:rPr>
          <w:spacing w:val="-10"/>
        </w:rPr>
        <w:t> </w:t>
      </w:r>
      <w:r>
        <w:rPr/>
        <w:t>New</w:t>
      </w:r>
      <w:r>
        <w:rPr>
          <w:spacing w:val="-10"/>
        </w:rPr>
        <w:t> </w:t>
      </w:r>
      <w:r>
        <w:rPr>
          <w:spacing w:val="-3"/>
        </w:rPr>
        <w:t>laws</w:t>
      </w:r>
      <w:r>
        <w:rPr>
          <w:spacing w:val="-9"/>
        </w:rPr>
        <w:t> </w:t>
      </w:r>
      <w:r>
        <w:rPr/>
        <w:t>should</w:t>
      </w:r>
      <w:r>
        <w:rPr>
          <w:spacing w:val="-10"/>
        </w:rPr>
        <w:t> </w:t>
      </w:r>
      <w:r>
        <w:rPr/>
        <w:t>be </w:t>
      </w:r>
      <w:r>
        <w:rPr>
          <w:spacing w:val="-4"/>
        </w:rPr>
        <w:t>reviewed</w:t>
      </w:r>
      <w:r>
        <w:rPr>
          <w:spacing w:val="-9"/>
        </w:rPr>
        <w:t> </w:t>
      </w:r>
      <w:r>
        <w:rPr>
          <w:spacing w:val="-3"/>
        </w:rPr>
        <w:t>five</w:t>
      </w:r>
      <w:r>
        <w:rPr>
          <w:spacing w:val="-9"/>
        </w:rPr>
        <w:t> </w:t>
      </w:r>
      <w:r>
        <w:rPr>
          <w:spacing w:val="-3"/>
        </w:rPr>
        <w:t>years</w:t>
      </w:r>
      <w:r>
        <w:rPr>
          <w:spacing w:val="-9"/>
        </w:rPr>
        <w:t> </w:t>
      </w:r>
      <w:r>
        <w:rPr/>
        <w:t>after</w:t>
      </w:r>
      <w:r>
        <w:rPr>
          <w:spacing w:val="-9"/>
        </w:rPr>
        <w:t> </w:t>
      </w:r>
      <w:r>
        <w:rPr/>
        <w:t>commencement</w:t>
      </w:r>
      <w:r>
        <w:rPr>
          <w:spacing w:val="-9"/>
        </w:rPr>
        <w:t> </w:t>
      </w:r>
      <w:r>
        <w:rPr/>
        <w:t>to</w:t>
      </w:r>
      <w:r>
        <w:rPr>
          <w:spacing w:val="-9"/>
        </w:rPr>
        <w:t> </w:t>
      </w:r>
      <w:r>
        <w:rPr/>
        <w:t>assess</w:t>
      </w:r>
      <w:r>
        <w:rPr>
          <w:spacing w:val="-10"/>
        </w:rPr>
        <w:t> </w:t>
      </w:r>
      <w:r>
        <w:rPr/>
        <w:t>whether</w:t>
      </w:r>
      <w:r>
        <w:rPr>
          <w:spacing w:val="-9"/>
        </w:rPr>
        <w:t> </w:t>
      </w:r>
      <w:r>
        <w:rPr/>
        <w:t>they</w:t>
      </w:r>
      <w:r>
        <w:rPr>
          <w:spacing w:val="-9"/>
        </w:rPr>
        <w:t> </w:t>
      </w:r>
      <w:r>
        <w:rPr>
          <w:spacing w:val="-3"/>
        </w:rPr>
        <w:t>are</w:t>
      </w:r>
      <w:r>
        <w:rPr>
          <w:spacing w:val="-9"/>
        </w:rPr>
        <w:t> </w:t>
      </w:r>
      <w:r>
        <w:rPr/>
        <w:t>meeting</w:t>
      </w:r>
      <w:r>
        <w:rPr>
          <w:spacing w:val="-9"/>
        </w:rPr>
        <w:t> </w:t>
      </w:r>
      <w:r>
        <w:rPr/>
        <w:t>their policy</w:t>
      </w:r>
      <w:r>
        <w:rPr>
          <w:spacing w:val="-5"/>
        </w:rPr>
        <w:t> </w:t>
      </w:r>
      <w:r>
        <w:rPr/>
        <w:t>objectives.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3"/>
        </w:rPr>
      </w:pPr>
      <w:r>
        <w:rPr/>
        <w:pict>
          <v:line style="position:absolute;mso-position-horizontal-relative:page;mso-position-vertical-relative:paragraph;z-index:-136;mso-wrap-distance-left:0;mso-wrap-distance-right:0" from="79.370102pt,11.685242pt" to="515.905102pt,11.685242pt" stroked="true" strokeweight="1pt" strokecolor="#b6bdc8">
            <v:stroke dashstyle="solid"/>
            <w10:wrap type="topAndBottom"/>
          </v:line>
        </w:pict>
      </w:r>
    </w:p>
    <w:p>
      <w:pPr>
        <w:pStyle w:val="ListParagraph"/>
        <w:numPr>
          <w:ilvl w:val="0"/>
          <w:numId w:val="13"/>
        </w:numPr>
        <w:tabs>
          <w:tab w:pos="1760" w:val="left" w:leader="none"/>
          <w:tab w:pos="1762" w:val="left" w:leader="none"/>
        </w:tabs>
        <w:spacing w:line="170" w:lineRule="exact" w:before="91" w:after="0"/>
        <w:ind w:left="1761" w:right="0" w:hanging="794"/>
        <w:jc w:val="left"/>
        <w:rPr>
          <w:sz w:val="13"/>
        </w:rPr>
      </w:pPr>
      <w:r>
        <w:rPr>
          <w:sz w:val="13"/>
        </w:rPr>
        <w:t>Consultation 6 (Deaf Victoria and community</w:t>
      </w:r>
      <w:r>
        <w:rPr>
          <w:spacing w:val="3"/>
          <w:sz w:val="13"/>
        </w:rPr>
        <w:t> </w:t>
      </w:r>
      <w:r>
        <w:rPr>
          <w:sz w:val="13"/>
        </w:rPr>
        <w:t>participants).</w:t>
      </w:r>
    </w:p>
    <w:p>
      <w:pPr>
        <w:pStyle w:val="ListParagraph"/>
        <w:numPr>
          <w:ilvl w:val="0"/>
          <w:numId w:val="13"/>
        </w:numPr>
        <w:tabs>
          <w:tab w:pos="1760" w:val="left" w:leader="none"/>
          <w:tab w:pos="1762" w:val="left" w:leader="none"/>
        </w:tabs>
        <w:spacing w:line="160" w:lineRule="exact" w:before="0" w:after="0"/>
        <w:ind w:left="1761" w:right="0" w:hanging="794"/>
        <w:jc w:val="left"/>
        <w:rPr>
          <w:i/>
          <w:sz w:val="13"/>
        </w:rPr>
      </w:pPr>
      <w:r>
        <w:rPr/>
        <w:pict>
          <v:shape style="position:absolute;margin-left:36pt;margin-top:3.71015pt;width:6.8pt;height:14.1pt;mso-position-horizontal-relative:page;mso-position-vertical-relative:paragraph;z-index:1960" type="#_x0000_t202" filled="false" stroked="false">
            <v:textbox inset="0,0,0,0">
              <w:txbxContent>
                <w:p>
                  <w:pPr>
                    <w:spacing w:line="282" w:lineRule="exact" w:before="0"/>
                    <w:ind w:left="0" w:right="0" w:firstLine="0"/>
                    <w:jc w:val="left"/>
                    <w:rPr>
                      <w:b/>
                      <w:sz w:val="24"/>
                    </w:rPr>
                  </w:pPr>
                  <w:r>
                    <w:rPr>
                      <w:b/>
                      <w:color w:val="37617A"/>
                      <w:sz w:val="24"/>
                    </w:rPr>
                    <w:t>2</w:t>
                  </w:r>
                </w:p>
              </w:txbxContent>
            </v:textbox>
            <w10:wrap type="none"/>
          </v:shape>
        </w:pict>
      </w:r>
      <w:r>
        <w:rPr>
          <w:sz w:val="13"/>
        </w:rPr>
        <w:t>For a definition of the analogous term ‘reasonable accommodations’ see</w:t>
      </w:r>
      <w:r>
        <w:rPr>
          <w:spacing w:val="3"/>
          <w:sz w:val="13"/>
        </w:rPr>
        <w:t> </w:t>
      </w:r>
      <w:r>
        <w:rPr>
          <w:i/>
          <w:sz w:val="13"/>
        </w:rPr>
        <w:t>Convention on the </w:t>
      </w:r>
      <w:r>
        <w:rPr>
          <w:i/>
          <w:spacing w:val="2"/>
          <w:sz w:val="13"/>
        </w:rPr>
        <w:t>Rights </w:t>
      </w:r>
      <w:r>
        <w:rPr>
          <w:i/>
          <w:sz w:val="13"/>
        </w:rPr>
        <w:t>of Persons with Disabilities,</w:t>
      </w:r>
    </w:p>
    <w:p>
      <w:pPr>
        <w:spacing w:line="170" w:lineRule="exact" w:before="0"/>
        <w:ind w:left="1761" w:right="0" w:firstLine="0"/>
        <w:jc w:val="left"/>
        <w:rPr>
          <w:sz w:val="13"/>
        </w:rPr>
      </w:pPr>
      <w:r>
        <w:rPr>
          <w:sz w:val="13"/>
        </w:rPr>
        <w:t>opened for signature 30 March 2007, 2515 UNTS 3 (entered into force 3 May 2008) art 2.</w:t>
      </w:r>
    </w:p>
    <w:p>
      <w:pPr>
        <w:spacing w:after="0" w:line="170"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spacing w:before="41"/>
        <w:ind w:left="967" w:right="0" w:firstLine="0"/>
        <w:jc w:val="left"/>
        <w:rPr>
          <w:rFonts w:ascii="Raleway ExtraBold"/>
          <w:b/>
          <w:sz w:val="28"/>
        </w:rPr>
      </w:pPr>
      <w:bookmarkStart w:name="Our terms of reference" w:id="16"/>
      <w:bookmarkEnd w:id="16"/>
      <w:r>
        <w:rPr/>
      </w:r>
      <w:bookmarkStart w:name="The structure of this report" w:id="17"/>
      <w:bookmarkEnd w:id="17"/>
      <w:r>
        <w:rPr/>
      </w:r>
      <w:bookmarkStart w:name="Why are these reforms necessary?" w:id="18"/>
      <w:bookmarkEnd w:id="18"/>
      <w:r>
        <w:rPr/>
      </w:r>
      <w:bookmarkStart w:name="_bookmark7" w:id="19"/>
      <w:bookmarkEnd w:id="19"/>
      <w:r>
        <w:rPr/>
      </w:r>
      <w:r>
        <w:rPr>
          <w:rFonts w:ascii="Raleway ExtraBold"/>
          <w:b/>
          <w:color w:val="37617A"/>
          <w:sz w:val="28"/>
        </w:rPr>
        <w:t>Our terms of reference</w:t>
      </w:r>
    </w:p>
    <w:p>
      <w:pPr>
        <w:pStyle w:val="ListParagraph"/>
        <w:numPr>
          <w:ilvl w:val="1"/>
          <w:numId w:val="12"/>
        </w:numPr>
        <w:tabs>
          <w:tab w:pos="1761" w:val="left" w:leader="none"/>
          <w:tab w:pos="1762" w:val="left" w:leader="none"/>
        </w:tabs>
        <w:spacing w:line="206" w:lineRule="auto" w:before="146" w:after="0"/>
        <w:ind w:left="1761" w:right="1240" w:hanging="794"/>
        <w:jc w:val="left"/>
        <w:rPr>
          <w:sz w:val="20"/>
        </w:rPr>
      </w:pPr>
      <w:r>
        <w:rPr>
          <w:sz w:val="20"/>
        </w:rPr>
        <w:t>The inquiry was guided </w:t>
      </w:r>
      <w:r>
        <w:rPr>
          <w:spacing w:val="-3"/>
          <w:sz w:val="20"/>
        </w:rPr>
        <w:t>by </w:t>
      </w:r>
      <w:r>
        <w:rPr>
          <w:sz w:val="20"/>
        </w:rPr>
        <w:t>our terms of </w:t>
      </w:r>
      <w:r>
        <w:rPr>
          <w:spacing w:val="-3"/>
          <w:sz w:val="20"/>
        </w:rPr>
        <w:t>reference </w:t>
      </w:r>
      <w:r>
        <w:rPr>
          <w:sz w:val="20"/>
        </w:rPr>
        <w:t>(see page xiii) which state that the Commission</w:t>
      </w:r>
      <w:r>
        <w:rPr>
          <w:spacing w:val="-13"/>
          <w:sz w:val="20"/>
        </w:rPr>
        <w:t> </w:t>
      </w:r>
      <w:r>
        <w:rPr>
          <w:sz w:val="20"/>
        </w:rPr>
        <w:t>will</w:t>
      </w:r>
      <w:r>
        <w:rPr>
          <w:spacing w:val="-12"/>
          <w:sz w:val="20"/>
        </w:rPr>
        <w:t> </w:t>
      </w:r>
      <w:r>
        <w:rPr>
          <w:sz w:val="20"/>
        </w:rPr>
        <w:t>consider</w:t>
      </w:r>
      <w:r>
        <w:rPr>
          <w:spacing w:val="-13"/>
          <w:sz w:val="20"/>
        </w:rPr>
        <w:t> </w:t>
      </w:r>
      <w:r>
        <w:rPr>
          <w:sz w:val="20"/>
        </w:rPr>
        <w:t>what</w:t>
      </w:r>
      <w:r>
        <w:rPr>
          <w:spacing w:val="-12"/>
          <w:sz w:val="20"/>
        </w:rPr>
        <w:t> </w:t>
      </w:r>
      <w:r>
        <w:rPr>
          <w:sz w:val="20"/>
        </w:rPr>
        <w:t>changes</w:t>
      </w:r>
      <w:r>
        <w:rPr>
          <w:spacing w:val="-13"/>
          <w:sz w:val="20"/>
        </w:rPr>
        <w:t> </w:t>
      </w:r>
      <w:r>
        <w:rPr>
          <w:sz w:val="20"/>
        </w:rPr>
        <w:t>to</w:t>
      </w:r>
      <w:r>
        <w:rPr>
          <w:spacing w:val="-12"/>
          <w:sz w:val="20"/>
        </w:rPr>
        <w:t> </w:t>
      </w:r>
      <w:r>
        <w:rPr>
          <w:sz w:val="20"/>
        </w:rPr>
        <w:t>legislation</w:t>
      </w:r>
      <w:r>
        <w:rPr>
          <w:spacing w:val="-13"/>
          <w:sz w:val="20"/>
        </w:rPr>
        <w:t> </w:t>
      </w:r>
      <w:r>
        <w:rPr>
          <w:sz w:val="20"/>
        </w:rPr>
        <w:t>and</w:t>
      </w:r>
      <w:r>
        <w:rPr>
          <w:spacing w:val="-12"/>
          <w:sz w:val="20"/>
        </w:rPr>
        <w:t> </w:t>
      </w:r>
      <w:r>
        <w:rPr>
          <w:sz w:val="20"/>
        </w:rPr>
        <w:t>practices</w:t>
      </w:r>
      <w:r>
        <w:rPr>
          <w:spacing w:val="-13"/>
          <w:sz w:val="20"/>
        </w:rPr>
        <w:t> </w:t>
      </w:r>
      <w:r>
        <w:rPr>
          <w:sz w:val="20"/>
        </w:rPr>
        <w:t>should</w:t>
      </w:r>
      <w:r>
        <w:rPr>
          <w:spacing w:val="-12"/>
          <w:sz w:val="20"/>
        </w:rPr>
        <w:t> </w:t>
      </w:r>
      <w:r>
        <w:rPr>
          <w:sz w:val="20"/>
        </w:rPr>
        <w:t>be</w:t>
      </w:r>
      <w:r>
        <w:rPr>
          <w:spacing w:val="-12"/>
          <w:sz w:val="20"/>
        </w:rPr>
        <w:t> </w:t>
      </w:r>
      <w:r>
        <w:rPr>
          <w:sz w:val="20"/>
        </w:rPr>
        <w:t>made</w:t>
      </w:r>
      <w:r>
        <w:rPr>
          <w:spacing w:val="-13"/>
          <w:sz w:val="20"/>
        </w:rPr>
        <w:t> </w:t>
      </w:r>
      <w:r>
        <w:rPr>
          <w:sz w:val="20"/>
        </w:rPr>
        <w:t>to enhance</w:t>
      </w:r>
      <w:r>
        <w:rPr>
          <w:spacing w:val="-9"/>
          <w:sz w:val="20"/>
        </w:rPr>
        <w:t> </w:t>
      </w:r>
      <w:r>
        <w:rPr>
          <w:sz w:val="20"/>
        </w:rPr>
        <w:t>access</w:t>
      </w:r>
      <w:r>
        <w:rPr>
          <w:spacing w:val="-8"/>
          <w:sz w:val="20"/>
        </w:rPr>
        <w:t> </w:t>
      </w:r>
      <w:r>
        <w:rPr>
          <w:sz w:val="20"/>
        </w:rPr>
        <w:t>for</w:t>
      </w:r>
      <w:r>
        <w:rPr>
          <w:spacing w:val="-8"/>
          <w:sz w:val="20"/>
        </w:rPr>
        <w:t> </w:t>
      </w:r>
      <w:r>
        <w:rPr>
          <w:sz w:val="20"/>
        </w:rPr>
        <w:t>people</w:t>
      </w:r>
      <w:r>
        <w:rPr>
          <w:spacing w:val="-8"/>
          <w:sz w:val="20"/>
        </w:rPr>
        <w:t> </w:t>
      </w:r>
      <w:r>
        <w:rPr>
          <w:sz w:val="20"/>
        </w:rPr>
        <w:t>who</w:t>
      </w:r>
      <w:r>
        <w:rPr>
          <w:spacing w:val="-8"/>
          <w:sz w:val="20"/>
        </w:rPr>
        <w:t> </w:t>
      </w:r>
      <w:r>
        <w:rPr>
          <w:spacing w:val="-3"/>
          <w:sz w:val="20"/>
        </w:rPr>
        <w:t>are</w:t>
      </w:r>
      <w:r>
        <w:rPr>
          <w:spacing w:val="-8"/>
          <w:sz w:val="20"/>
        </w:rPr>
        <w:t> </w:t>
      </w:r>
      <w:r>
        <w:rPr>
          <w:spacing w:val="-4"/>
          <w:sz w:val="20"/>
        </w:rPr>
        <w:t>deaf,</w:t>
      </w:r>
      <w:r>
        <w:rPr>
          <w:spacing w:val="-8"/>
          <w:sz w:val="20"/>
        </w:rPr>
        <w:t> </w:t>
      </w:r>
      <w:r>
        <w:rPr>
          <w:sz w:val="20"/>
        </w:rPr>
        <w:t>hard</w:t>
      </w:r>
      <w:r>
        <w:rPr>
          <w:spacing w:val="-8"/>
          <w:sz w:val="20"/>
        </w:rPr>
        <w:t> </w:t>
      </w:r>
      <w:r>
        <w:rPr>
          <w:sz w:val="20"/>
        </w:rPr>
        <w:t>of</w:t>
      </w:r>
      <w:r>
        <w:rPr>
          <w:spacing w:val="-8"/>
          <w:sz w:val="20"/>
        </w:rPr>
        <w:t> </w:t>
      </w:r>
      <w:r>
        <w:rPr>
          <w:sz w:val="20"/>
        </w:rPr>
        <w:t>hearing,</w:t>
      </w:r>
      <w:r>
        <w:rPr>
          <w:spacing w:val="-8"/>
          <w:sz w:val="20"/>
        </w:rPr>
        <w:t> </w:t>
      </w:r>
      <w:r>
        <w:rPr>
          <w:sz w:val="20"/>
        </w:rPr>
        <w:t>blind</w:t>
      </w:r>
      <w:r>
        <w:rPr>
          <w:spacing w:val="-9"/>
          <w:sz w:val="20"/>
        </w:rPr>
        <w:t> </w:t>
      </w:r>
      <w:r>
        <w:rPr>
          <w:sz w:val="20"/>
        </w:rPr>
        <w:t>or</w:t>
      </w:r>
      <w:r>
        <w:rPr>
          <w:spacing w:val="-8"/>
          <w:sz w:val="20"/>
        </w:rPr>
        <w:t> </w:t>
      </w:r>
      <w:r>
        <w:rPr>
          <w:spacing w:val="-4"/>
          <w:sz w:val="20"/>
        </w:rPr>
        <w:t>have</w:t>
      </w:r>
      <w:r>
        <w:rPr>
          <w:spacing w:val="-8"/>
          <w:sz w:val="20"/>
        </w:rPr>
        <w:t> </w:t>
      </w:r>
      <w:r>
        <w:rPr>
          <w:spacing w:val="-4"/>
          <w:sz w:val="20"/>
        </w:rPr>
        <w:t>low</w:t>
      </w:r>
      <w:r>
        <w:rPr>
          <w:spacing w:val="-8"/>
          <w:sz w:val="20"/>
        </w:rPr>
        <w:t> </w:t>
      </w:r>
      <w:r>
        <w:rPr>
          <w:sz w:val="20"/>
        </w:rPr>
        <w:t>vision</w:t>
      </w:r>
      <w:r>
        <w:rPr>
          <w:spacing w:val="-8"/>
          <w:sz w:val="20"/>
        </w:rPr>
        <w:t> </w:t>
      </w:r>
      <w:r>
        <w:rPr>
          <w:sz w:val="20"/>
        </w:rPr>
        <w:t>who wish to serve as jurors in</w:t>
      </w:r>
      <w:r>
        <w:rPr>
          <w:spacing w:val="-27"/>
          <w:sz w:val="20"/>
        </w:rPr>
        <w:t> </w:t>
      </w:r>
      <w:r>
        <w:rPr>
          <w:sz w:val="20"/>
        </w:rPr>
        <w:t>Victoria.</w:t>
      </w:r>
    </w:p>
    <w:p>
      <w:pPr>
        <w:pStyle w:val="BodyText"/>
        <w:spacing w:before="8"/>
        <w:rPr>
          <w:sz w:val="16"/>
        </w:rPr>
      </w:pPr>
    </w:p>
    <w:p>
      <w:pPr>
        <w:spacing w:before="0"/>
        <w:ind w:left="967" w:right="0" w:firstLine="0"/>
        <w:jc w:val="left"/>
        <w:rPr>
          <w:rFonts w:ascii="Raleway ExtraBold"/>
          <w:b/>
          <w:sz w:val="28"/>
        </w:rPr>
      </w:pPr>
      <w:r>
        <w:rPr>
          <w:rFonts w:ascii="Raleway ExtraBold"/>
          <w:b/>
          <w:color w:val="37617A"/>
          <w:sz w:val="28"/>
        </w:rPr>
        <w:t>The structure of this report</w:t>
      </w:r>
    </w:p>
    <w:p>
      <w:pPr>
        <w:pStyle w:val="ListParagraph"/>
        <w:numPr>
          <w:ilvl w:val="1"/>
          <w:numId w:val="12"/>
        </w:numPr>
        <w:tabs>
          <w:tab w:pos="1761" w:val="left" w:leader="none"/>
          <w:tab w:pos="1762" w:val="left" w:leader="none"/>
        </w:tabs>
        <w:spacing w:line="206" w:lineRule="auto" w:before="146" w:after="0"/>
        <w:ind w:left="1761" w:right="1225" w:hanging="794"/>
        <w:jc w:val="left"/>
        <w:rPr>
          <w:sz w:val="20"/>
        </w:rPr>
      </w:pPr>
      <w:r>
        <w:rPr>
          <w:sz w:val="20"/>
        </w:rPr>
        <w:t>Part 1 </w:t>
      </w:r>
      <w:r>
        <w:rPr>
          <w:spacing w:val="-3"/>
          <w:sz w:val="20"/>
        </w:rPr>
        <w:t>(Chapters </w:t>
      </w:r>
      <w:r>
        <w:rPr>
          <w:spacing w:val="-5"/>
          <w:sz w:val="20"/>
        </w:rPr>
        <w:t>1-10) </w:t>
      </w:r>
      <w:r>
        <w:rPr>
          <w:spacing w:val="-3"/>
          <w:sz w:val="20"/>
        </w:rPr>
        <w:t>explores </w:t>
      </w:r>
      <w:r>
        <w:rPr>
          <w:sz w:val="20"/>
        </w:rPr>
        <w:t>the </w:t>
      </w:r>
      <w:r>
        <w:rPr>
          <w:spacing w:val="-3"/>
          <w:sz w:val="20"/>
        </w:rPr>
        <w:t>current </w:t>
      </w:r>
      <w:r>
        <w:rPr>
          <w:sz w:val="20"/>
        </w:rPr>
        <w:t>jury selection process in Victoria. </w:t>
      </w:r>
      <w:r>
        <w:rPr>
          <w:spacing w:val="-6"/>
          <w:sz w:val="20"/>
        </w:rPr>
        <w:t>We </w:t>
      </w:r>
      <w:r>
        <w:rPr>
          <w:sz w:val="20"/>
        </w:rPr>
        <w:t>consider</w:t>
      </w:r>
      <w:r>
        <w:rPr>
          <w:spacing w:val="-10"/>
          <w:sz w:val="20"/>
        </w:rPr>
        <w:t> </w:t>
      </w:r>
      <w:r>
        <w:rPr>
          <w:sz w:val="20"/>
        </w:rPr>
        <w:t>the</w:t>
      </w:r>
      <w:r>
        <w:rPr>
          <w:spacing w:val="-9"/>
          <w:sz w:val="20"/>
        </w:rPr>
        <w:t> </w:t>
      </w:r>
      <w:r>
        <w:rPr>
          <w:sz w:val="20"/>
        </w:rPr>
        <w:t>benefits</w:t>
      </w:r>
      <w:r>
        <w:rPr>
          <w:spacing w:val="-9"/>
          <w:sz w:val="20"/>
        </w:rPr>
        <w:t> </w:t>
      </w:r>
      <w:r>
        <w:rPr>
          <w:spacing w:val="-3"/>
          <w:sz w:val="20"/>
        </w:rPr>
        <w:t>reform</w:t>
      </w:r>
      <w:r>
        <w:rPr>
          <w:spacing w:val="-10"/>
          <w:sz w:val="20"/>
        </w:rPr>
        <w:t> </w:t>
      </w:r>
      <w:r>
        <w:rPr>
          <w:sz w:val="20"/>
        </w:rPr>
        <w:t>will</w:t>
      </w:r>
      <w:r>
        <w:rPr>
          <w:spacing w:val="-9"/>
          <w:sz w:val="20"/>
        </w:rPr>
        <w:t> </w:t>
      </w:r>
      <w:r>
        <w:rPr>
          <w:spacing w:val="-3"/>
          <w:sz w:val="20"/>
        </w:rPr>
        <w:t>provide</w:t>
      </w:r>
      <w:r>
        <w:rPr>
          <w:spacing w:val="-9"/>
          <w:sz w:val="20"/>
        </w:rPr>
        <w:t> </w:t>
      </w:r>
      <w:r>
        <w:rPr>
          <w:sz w:val="20"/>
        </w:rPr>
        <w:t>and</w:t>
      </w:r>
      <w:r>
        <w:rPr>
          <w:spacing w:val="-10"/>
          <w:sz w:val="20"/>
        </w:rPr>
        <w:t> </w:t>
      </w:r>
      <w:r>
        <w:rPr>
          <w:sz w:val="20"/>
        </w:rPr>
        <w:t>the</w:t>
      </w:r>
      <w:r>
        <w:rPr>
          <w:spacing w:val="-9"/>
          <w:sz w:val="20"/>
        </w:rPr>
        <w:t> </w:t>
      </w:r>
      <w:r>
        <w:rPr>
          <w:sz w:val="20"/>
        </w:rPr>
        <w:t>importance</w:t>
      </w:r>
      <w:r>
        <w:rPr>
          <w:spacing w:val="-9"/>
          <w:sz w:val="20"/>
        </w:rPr>
        <w:t> </w:t>
      </w:r>
      <w:r>
        <w:rPr>
          <w:sz w:val="20"/>
        </w:rPr>
        <w:t>of</w:t>
      </w:r>
      <w:r>
        <w:rPr>
          <w:spacing w:val="-10"/>
          <w:sz w:val="20"/>
        </w:rPr>
        <w:t> </w:t>
      </w:r>
      <w:r>
        <w:rPr>
          <w:sz w:val="20"/>
        </w:rPr>
        <w:t>upholding</w:t>
      </w:r>
      <w:r>
        <w:rPr>
          <w:spacing w:val="-9"/>
          <w:sz w:val="20"/>
        </w:rPr>
        <w:t> </w:t>
      </w:r>
      <w:r>
        <w:rPr>
          <w:sz w:val="20"/>
        </w:rPr>
        <w:t>the</w:t>
      </w:r>
      <w:r>
        <w:rPr>
          <w:spacing w:val="-9"/>
          <w:sz w:val="20"/>
        </w:rPr>
        <w:t> </w:t>
      </w:r>
      <w:r>
        <w:rPr>
          <w:sz w:val="20"/>
        </w:rPr>
        <w:t>right</w:t>
      </w:r>
      <w:r>
        <w:rPr>
          <w:spacing w:val="-10"/>
          <w:sz w:val="20"/>
        </w:rPr>
        <w:t> </w:t>
      </w:r>
      <w:r>
        <w:rPr>
          <w:sz w:val="20"/>
        </w:rPr>
        <w:t>to</w:t>
      </w:r>
      <w:r>
        <w:rPr>
          <w:spacing w:val="-9"/>
          <w:sz w:val="20"/>
        </w:rPr>
        <w:t> </w:t>
      </w:r>
      <w:r>
        <w:rPr>
          <w:sz w:val="20"/>
        </w:rPr>
        <w:t>a fair</w:t>
      </w:r>
      <w:r>
        <w:rPr>
          <w:spacing w:val="-9"/>
          <w:sz w:val="20"/>
        </w:rPr>
        <w:t> </w:t>
      </w:r>
      <w:r>
        <w:rPr>
          <w:sz w:val="20"/>
        </w:rPr>
        <w:t>trial.</w:t>
      </w:r>
      <w:r>
        <w:rPr>
          <w:spacing w:val="-8"/>
          <w:sz w:val="20"/>
        </w:rPr>
        <w:t> </w:t>
      </w:r>
      <w:r>
        <w:rPr>
          <w:spacing w:val="-6"/>
          <w:sz w:val="20"/>
        </w:rPr>
        <w:t>We</w:t>
      </w:r>
      <w:r>
        <w:rPr>
          <w:spacing w:val="-8"/>
          <w:sz w:val="20"/>
        </w:rPr>
        <w:t> </w:t>
      </w:r>
      <w:r>
        <w:rPr>
          <w:sz w:val="20"/>
        </w:rPr>
        <w:t>also</w:t>
      </w:r>
      <w:r>
        <w:rPr>
          <w:spacing w:val="-9"/>
          <w:sz w:val="20"/>
        </w:rPr>
        <w:t> </w:t>
      </w:r>
      <w:r>
        <w:rPr>
          <w:spacing w:val="-3"/>
          <w:sz w:val="20"/>
        </w:rPr>
        <w:t>examine</w:t>
      </w:r>
      <w:r>
        <w:rPr>
          <w:spacing w:val="-8"/>
          <w:sz w:val="20"/>
        </w:rPr>
        <w:t> </w:t>
      </w:r>
      <w:r>
        <w:rPr>
          <w:spacing w:val="-3"/>
          <w:sz w:val="20"/>
        </w:rPr>
        <w:t>overseas</w:t>
      </w:r>
      <w:r>
        <w:rPr>
          <w:spacing w:val="-8"/>
          <w:sz w:val="20"/>
        </w:rPr>
        <w:t> </w:t>
      </w:r>
      <w:r>
        <w:rPr>
          <w:sz w:val="20"/>
        </w:rPr>
        <w:t>practices,</w:t>
      </w:r>
      <w:r>
        <w:rPr>
          <w:spacing w:val="-9"/>
          <w:sz w:val="20"/>
        </w:rPr>
        <w:t> </w:t>
      </w:r>
      <w:r>
        <w:rPr>
          <w:sz w:val="20"/>
        </w:rPr>
        <w:t>where</w:t>
      </w:r>
      <w:r>
        <w:rPr>
          <w:spacing w:val="-8"/>
          <w:sz w:val="20"/>
        </w:rPr>
        <w:t> </w:t>
      </w:r>
      <w:r>
        <w:rPr>
          <w:sz w:val="20"/>
        </w:rPr>
        <w:t>people</w:t>
      </w:r>
      <w:r>
        <w:rPr>
          <w:spacing w:val="-8"/>
          <w:sz w:val="20"/>
        </w:rPr>
        <w:t> </w:t>
      </w:r>
      <w:r>
        <w:rPr>
          <w:sz w:val="20"/>
        </w:rPr>
        <w:t>in</w:t>
      </w:r>
      <w:r>
        <w:rPr>
          <w:spacing w:val="-8"/>
          <w:sz w:val="20"/>
        </w:rPr>
        <w:t> </w:t>
      </w:r>
      <w:r>
        <w:rPr>
          <w:sz w:val="20"/>
        </w:rPr>
        <w:t>the</w:t>
      </w:r>
      <w:r>
        <w:rPr>
          <w:spacing w:val="-9"/>
          <w:sz w:val="20"/>
        </w:rPr>
        <w:t> </w:t>
      </w:r>
      <w:r>
        <w:rPr>
          <w:sz w:val="20"/>
        </w:rPr>
        <w:t>subject</w:t>
      </w:r>
      <w:r>
        <w:rPr>
          <w:spacing w:val="-8"/>
          <w:sz w:val="20"/>
        </w:rPr>
        <w:t> </w:t>
      </w:r>
      <w:r>
        <w:rPr>
          <w:sz w:val="20"/>
        </w:rPr>
        <w:t>groups</w:t>
      </w:r>
      <w:r>
        <w:rPr>
          <w:spacing w:val="-8"/>
          <w:sz w:val="20"/>
        </w:rPr>
        <w:t> </w:t>
      </w:r>
      <w:r>
        <w:rPr>
          <w:spacing w:val="-4"/>
          <w:sz w:val="20"/>
        </w:rPr>
        <w:t>have </w:t>
      </w:r>
      <w:r>
        <w:rPr>
          <w:sz w:val="20"/>
        </w:rPr>
        <w:t>already served as jurors for </w:t>
      </w:r>
      <w:r>
        <w:rPr>
          <w:spacing w:val="-3"/>
          <w:sz w:val="20"/>
        </w:rPr>
        <w:t>many</w:t>
      </w:r>
      <w:r>
        <w:rPr>
          <w:spacing w:val="-27"/>
          <w:sz w:val="20"/>
        </w:rPr>
        <w:t> </w:t>
      </w:r>
      <w:r>
        <w:rPr>
          <w:sz w:val="20"/>
        </w:rPr>
        <w:t>years.</w:t>
      </w:r>
    </w:p>
    <w:p>
      <w:pPr>
        <w:pStyle w:val="ListParagraph"/>
        <w:numPr>
          <w:ilvl w:val="1"/>
          <w:numId w:val="12"/>
        </w:numPr>
        <w:tabs>
          <w:tab w:pos="1761" w:val="left" w:leader="none"/>
          <w:tab w:pos="1762" w:val="left" w:leader="none"/>
        </w:tabs>
        <w:spacing w:line="206" w:lineRule="auto" w:before="125" w:after="0"/>
        <w:ind w:left="1761" w:right="1947" w:hanging="794"/>
        <w:jc w:val="left"/>
        <w:rPr>
          <w:sz w:val="20"/>
        </w:rPr>
      </w:pPr>
      <w:r>
        <w:rPr>
          <w:sz w:val="20"/>
        </w:rPr>
        <w:t>Part</w:t>
      </w:r>
      <w:r>
        <w:rPr>
          <w:spacing w:val="-11"/>
          <w:sz w:val="20"/>
        </w:rPr>
        <w:t> </w:t>
      </w:r>
      <w:r>
        <w:rPr>
          <w:sz w:val="20"/>
        </w:rPr>
        <w:t>2</w:t>
      </w:r>
      <w:r>
        <w:rPr>
          <w:spacing w:val="-10"/>
          <w:sz w:val="20"/>
        </w:rPr>
        <w:t> </w:t>
      </w:r>
      <w:r>
        <w:rPr>
          <w:spacing w:val="-3"/>
          <w:sz w:val="20"/>
        </w:rPr>
        <w:t>(Chapters</w:t>
      </w:r>
      <w:r>
        <w:rPr>
          <w:spacing w:val="-11"/>
          <w:sz w:val="20"/>
        </w:rPr>
        <w:t> </w:t>
      </w:r>
      <w:r>
        <w:rPr>
          <w:spacing w:val="-3"/>
          <w:sz w:val="20"/>
        </w:rPr>
        <w:t>11–19)</w:t>
      </w:r>
      <w:r>
        <w:rPr>
          <w:spacing w:val="-10"/>
          <w:sz w:val="20"/>
        </w:rPr>
        <w:t> </w:t>
      </w:r>
      <w:r>
        <w:rPr>
          <w:sz w:val="20"/>
        </w:rPr>
        <w:t>contains</w:t>
      </w:r>
      <w:r>
        <w:rPr>
          <w:spacing w:val="-11"/>
          <w:sz w:val="20"/>
        </w:rPr>
        <w:t> </w:t>
      </w:r>
      <w:r>
        <w:rPr>
          <w:sz w:val="20"/>
        </w:rPr>
        <w:t>our</w:t>
      </w:r>
      <w:r>
        <w:rPr>
          <w:spacing w:val="-10"/>
          <w:sz w:val="20"/>
        </w:rPr>
        <w:t> </w:t>
      </w:r>
      <w:r>
        <w:rPr>
          <w:sz w:val="20"/>
        </w:rPr>
        <w:t>recommendations</w:t>
      </w:r>
      <w:r>
        <w:rPr>
          <w:spacing w:val="-11"/>
          <w:sz w:val="20"/>
        </w:rPr>
        <w:t> </w:t>
      </w:r>
      <w:r>
        <w:rPr>
          <w:sz w:val="20"/>
        </w:rPr>
        <w:t>for</w:t>
      </w:r>
      <w:r>
        <w:rPr>
          <w:spacing w:val="-10"/>
          <w:sz w:val="20"/>
        </w:rPr>
        <w:t> </w:t>
      </w:r>
      <w:r>
        <w:rPr>
          <w:sz w:val="20"/>
        </w:rPr>
        <w:t>change</w:t>
      </w:r>
      <w:r>
        <w:rPr>
          <w:spacing w:val="-10"/>
          <w:sz w:val="20"/>
        </w:rPr>
        <w:t> </w:t>
      </w:r>
      <w:r>
        <w:rPr>
          <w:sz w:val="20"/>
        </w:rPr>
        <w:t>to</w:t>
      </w:r>
      <w:r>
        <w:rPr>
          <w:spacing w:val="-11"/>
          <w:sz w:val="20"/>
        </w:rPr>
        <w:t> </w:t>
      </w:r>
      <w:r>
        <w:rPr>
          <w:sz w:val="20"/>
        </w:rPr>
        <w:t>legislation, practice and</w:t>
      </w:r>
      <w:r>
        <w:rPr>
          <w:spacing w:val="-9"/>
          <w:sz w:val="20"/>
        </w:rPr>
        <w:t> </w:t>
      </w:r>
      <w:r>
        <w:rPr>
          <w:spacing w:val="-3"/>
          <w:sz w:val="20"/>
        </w:rPr>
        <w:t>procedure.</w:t>
      </w:r>
    </w:p>
    <w:p>
      <w:pPr>
        <w:pStyle w:val="BodyText"/>
        <w:spacing w:before="6"/>
        <w:rPr>
          <w:sz w:val="16"/>
        </w:rPr>
      </w:pPr>
    </w:p>
    <w:p>
      <w:pPr>
        <w:spacing w:before="0"/>
        <w:ind w:left="967" w:right="0" w:firstLine="0"/>
        <w:jc w:val="left"/>
        <w:rPr>
          <w:rFonts w:ascii="Raleway ExtraBold"/>
          <w:b/>
          <w:sz w:val="28"/>
        </w:rPr>
      </w:pPr>
      <w:r>
        <w:rPr>
          <w:rFonts w:ascii="Raleway ExtraBold"/>
          <w:b/>
          <w:color w:val="37617A"/>
          <w:sz w:val="28"/>
        </w:rPr>
        <w:t>Why are these reforms necessary?</w:t>
      </w:r>
    </w:p>
    <w:p>
      <w:pPr>
        <w:pStyle w:val="ListParagraph"/>
        <w:numPr>
          <w:ilvl w:val="1"/>
          <w:numId w:val="12"/>
        </w:numPr>
        <w:tabs>
          <w:tab w:pos="1761" w:val="left" w:leader="none"/>
          <w:tab w:pos="1762" w:val="left" w:leader="none"/>
        </w:tabs>
        <w:spacing w:line="240" w:lineRule="auto" w:before="114" w:after="0"/>
        <w:ind w:left="1761" w:right="0" w:hanging="794"/>
        <w:jc w:val="left"/>
        <w:rPr>
          <w:sz w:val="20"/>
        </w:rPr>
      </w:pPr>
      <w:r>
        <w:rPr>
          <w:sz w:val="20"/>
        </w:rPr>
        <w:t>In </w:t>
      </w:r>
      <w:r>
        <w:rPr>
          <w:spacing w:val="-3"/>
          <w:sz w:val="20"/>
        </w:rPr>
        <w:t>developing </w:t>
      </w:r>
      <w:r>
        <w:rPr>
          <w:sz w:val="20"/>
        </w:rPr>
        <w:t>our recommendations </w:t>
      </w:r>
      <w:r>
        <w:rPr>
          <w:spacing w:val="-3"/>
          <w:sz w:val="20"/>
        </w:rPr>
        <w:t>we </w:t>
      </w:r>
      <w:r>
        <w:rPr>
          <w:spacing w:val="-4"/>
          <w:sz w:val="20"/>
        </w:rPr>
        <w:t>have </w:t>
      </w:r>
      <w:r>
        <w:rPr>
          <w:sz w:val="20"/>
        </w:rPr>
        <w:t>been guided</w:t>
      </w:r>
      <w:r>
        <w:rPr>
          <w:spacing w:val="-36"/>
          <w:sz w:val="20"/>
        </w:rPr>
        <w:t> </w:t>
      </w:r>
      <w:r>
        <w:rPr>
          <w:spacing w:val="-3"/>
          <w:sz w:val="20"/>
        </w:rPr>
        <w:t>by </w:t>
      </w:r>
      <w:r>
        <w:rPr>
          <w:spacing w:val="-4"/>
          <w:sz w:val="20"/>
        </w:rPr>
        <w:t>key </w:t>
      </w:r>
      <w:r>
        <w:rPr>
          <w:sz w:val="20"/>
        </w:rPr>
        <w:t>considerations:</w:t>
      </w:r>
    </w:p>
    <w:p>
      <w:pPr>
        <w:pStyle w:val="ListParagraph"/>
        <w:numPr>
          <w:ilvl w:val="2"/>
          <w:numId w:val="12"/>
        </w:numPr>
        <w:tabs>
          <w:tab w:pos="2157" w:val="left" w:leader="none"/>
          <w:tab w:pos="2158" w:val="left" w:leader="none"/>
        </w:tabs>
        <w:spacing w:line="206" w:lineRule="auto" w:before="115" w:after="0"/>
        <w:ind w:left="2157" w:right="1239" w:hanging="396"/>
        <w:jc w:val="left"/>
        <w:rPr>
          <w:sz w:val="20"/>
        </w:rPr>
      </w:pPr>
      <w:r>
        <w:rPr>
          <w:sz w:val="20"/>
        </w:rPr>
        <w:t>The</w:t>
      </w:r>
      <w:r>
        <w:rPr>
          <w:spacing w:val="-11"/>
          <w:sz w:val="20"/>
        </w:rPr>
        <w:t> </w:t>
      </w:r>
      <w:r>
        <w:rPr>
          <w:sz w:val="20"/>
        </w:rPr>
        <w:t>United</w:t>
      </w:r>
      <w:r>
        <w:rPr>
          <w:spacing w:val="-10"/>
          <w:sz w:val="20"/>
        </w:rPr>
        <w:t> </w:t>
      </w:r>
      <w:r>
        <w:rPr>
          <w:sz w:val="20"/>
        </w:rPr>
        <w:t>Nations</w:t>
      </w:r>
      <w:r>
        <w:rPr>
          <w:spacing w:val="-11"/>
          <w:sz w:val="20"/>
        </w:rPr>
        <w:t> </w:t>
      </w:r>
      <w:r>
        <w:rPr>
          <w:sz w:val="20"/>
        </w:rPr>
        <w:t>Committee</w:t>
      </w:r>
      <w:r>
        <w:rPr>
          <w:spacing w:val="-10"/>
          <w:sz w:val="20"/>
        </w:rPr>
        <w:t> </w:t>
      </w:r>
      <w:r>
        <w:rPr>
          <w:sz w:val="20"/>
        </w:rPr>
        <w:t>on</w:t>
      </w:r>
      <w:r>
        <w:rPr>
          <w:spacing w:val="-11"/>
          <w:sz w:val="20"/>
        </w:rPr>
        <w:t> </w:t>
      </w:r>
      <w:r>
        <w:rPr>
          <w:sz w:val="20"/>
        </w:rPr>
        <w:t>the</w:t>
      </w:r>
      <w:r>
        <w:rPr>
          <w:spacing w:val="-10"/>
          <w:sz w:val="20"/>
        </w:rPr>
        <w:t> </w:t>
      </w:r>
      <w:r>
        <w:rPr>
          <w:sz w:val="20"/>
        </w:rPr>
        <w:t>Rights</w:t>
      </w:r>
      <w:r>
        <w:rPr>
          <w:spacing w:val="-11"/>
          <w:sz w:val="20"/>
        </w:rPr>
        <w:t> </w:t>
      </w:r>
      <w:r>
        <w:rPr>
          <w:sz w:val="20"/>
        </w:rPr>
        <w:t>of</w:t>
      </w:r>
      <w:r>
        <w:rPr>
          <w:spacing w:val="-10"/>
          <w:sz w:val="20"/>
        </w:rPr>
        <w:t> </w:t>
      </w:r>
      <w:r>
        <w:rPr>
          <w:sz w:val="20"/>
        </w:rPr>
        <w:t>Persons</w:t>
      </w:r>
      <w:r>
        <w:rPr>
          <w:spacing w:val="-11"/>
          <w:sz w:val="20"/>
        </w:rPr>
        <w:t> </w:t>
      </w:r>
      <w:r>
        <w:rPr>
          <w:sz w:val="20"/>
        </w:rPr>
        <w:t>with</w:t>
      </w:r>
      <w:r>
        <w:rPr>
          <w:spacing w:val="-10"/>
          <w:sz w:val="20"/>
        </w:rPr>
        <w:t> </w:t>
      </w:r>
      <w:r>
        <w:rPr>
          <w:sz w:val="20"/>
        </w:rPr>
        <w:t>Disabilities</w:t>
      </w:r>
      <w:r>
        <w:rPr>
          <w:spacing w:val="-11"/>
          <w:sz w:val="20"/>
        </w:rPr>
        <w:t> </w:t>
      </w:r>
      <w:r>
        <w:rPr>
          <w:sz w:val="20"/>
        </w:rPr>
        <w:t>has</w:t>
      </w:r>
      <w:r>
        <w:rPr>
          <w:spacing w:val="-10"/>
          <w:sz w:val="20"/>
        </w:rPr>
        <w:t> </w:t>
      </w:r>
      <w:r>
        <w:rPr>
          <w:sz w:val="20"/>
        </w:rPr>
        <w:t>found that</w:t>
      </w:r>
      <w:r>
        <w:rPr>
          <w:spacing w:val="-9"/>
          <w:sz w:val="20"/>
        </w:rPr>
        <w:t> </w:t>
      </w:r>
      <w:r>
        <w:rPr>
          <w:sz w:val="20"/>
        </w:rPr>
        <w:t>Australia</w:t>
      </w:r>
      <w:r>
        <w:rPr>
          <w:spacing w:val="-8"/>
          <w:sz w:val="20"/>
        </w:rPr>
        <w:t> </w:t>
      </w:r>
      <w:r>
        <w:rPr>
          <w:sz w:val="20"/>
        </w:rPr>
        <w:t>is</w:t>
      </w:r>
      <w:r>
        <w:rPr>
          <w:spacing w:val="-8"/>
          <w:sz w:val="20"/>
        </w:rPr>
        <w:t> </w:t>
      </w:r>
      <w:r>
        <w:rPr>
          <w:sz w:val="20"/>
        </w:rPr>
        <w:t>in</w:t>
      </w:r>
      <w:r>
        <w:rPr>
          <w:spacing w:val="-9"/>
          <w:sz w:val="20"/>
        </w:rPr>
        <w:t> </w:t>
      </w:r>
      <w:r>
        <w:rPr>
          <w:sz w:val="20"/>
        </w:rPr>
        <w:t>breach</w:t>
      </w:r>
      <w:r>
        <w:rPr>
          <w:spacing w:val="-8"/>
          <w:sz w:val="20"/>
        </w:rPr>
        <w:t> </w:t>
      </w:r>
      <w:r>
        <w:rPr>
          <w:sz w:val="20"/>
        </w:rPr>
        <w:t>of</w:t>
      </w:r>
      <w:r>
        <w:rPr>
          <w:spacing w:val="-8"/>
          <w:sz w:val="20"/>
        </w:rPr>
        <w:t> </w:t>
      </w:r>
      <w:r>
        <w:rPr>
          <w:sz w:val="20"/>
        </w:rPr>
        <w:t>its</w:t>
      </w:r>
      <w:r>
        <w:rPr>
          <w:spacing w:val="-8"/>
          <w:sz w:val="20"/>
        </w:rPr>
        <w:t> </w:t>
      </w:r>
      <w:r>
        <w:rPr>
          <w:sz w:val="20"/>
        </w:rPr>
        <w:t>obligations</w:t>
      </w:r>
      <w:r>
        <w:rPr>
          <w:spacing w:val="-9"/>
          <w:sz w:val="20"/>
        </w:rPr>
        <w:t> </w:t>
      </w:r>
      <w:r>
        <w:rPr>
          <w:sz w:val="20"/>
        </w:rPr>
        <w:t>under</w:t>
      </w:r>
      <w:r>
        <w:rPr>
          <w:spacing w:val="-8"/>
          <w:sz w:val="20"/>
        </w:rPr>
        <w:t> </w:t>
      </w:r>
      <w:r>
        <w:rPr>
          <w:sz w:val="20"/>
        </w:rPr>
        <w:t>the</w:t>
      </w:r>
      <w:r>
        <w:rPr>
          <w:spacing w:val="-8"/>
          <w:sz w:val="20"/>
        </w:rPr>
        <w:t> </w:t>
      </w:r>
      <w:r>
        <w:rPr>
          <w:sz w:val="20"/>
        </w:rPr>
        <w:t>Convention</w:t>
      </w:r>
      <w:r>
        <w:rPr>
          <w:spacing w:val="-9"/>
          <w:sz w:val="20"/>
        </w:rPr>
        <w:t> </w:t>
      </w:r>
      <w:r>
        <w:rPr>
          <w:sz w:val="20"/>
        </w:rPr>
        <w:t>on</w:t>
      </w:r>
      <w:r>
        <w:rPr>
          <w:spacing w:val="-8"/>
          <w:sz w:val="20"/>
        </w:rPr>
        <w:t> </w:t>
      </w:r>
      <w:r>
        <w:rPr>
          <w:sz w:val="20"/>
        </w:rPr>
        <w:t>the</w:t>
      </w:r>
      <w:r>
        <w:rPr>
          <w:spacing w:val="-8"/>
          <w:sz w:val="20"/>
        </w:rPr>
        <w:t> </w:t>
      </w:r>
      <w:r>
        <w:rPr>
          <w:sz w:val="20"/>
        </w:rPr>
        <w:t>Rights</w:t>
      </w:r>
    </w:p>
    <w:p>
      <w:pPr>
        <w:pStyle w:val="BodyText"/>
        <w:spacing w:line="206" w:lineRule="auto" w:before="2"/>
        <w:ind w:left="2157" w:right="1515"/>
        <w:jc w:val="both"/>
      </w:pPr>
      <w:r>
        <w:rPr/>
        <w:t>of</w:t>
      </w:r>
      <w:r>
        <w:rPr>
          <w:spacing w:val="-11"/>
        </w:rPr>
        <w:t> </w:t>
      </w:r>
      <w:r>
        <w:rPr/>
        <w:t>Persons</w:t>
      </w:r>
      <w:r>
        <w:rPr>
          <w:spacing w:val="-11"/>
        </w:rPr>
        <w:t> </w:t>
      </w:r>
      <w:r>
        <w:rPr/>
        <w:t>with</w:t>
      </w:r>
      <w:r>
        <w:rPr>
          <w:spacing w:val="-11"/>
        </w:rPr>
        <w:t> </w:t>
      </w:r>
      <w:r>
        <w:rPr/>
        <w:t>Disabilities</w:t>
      </w:r>
      <w:r>
        <w:rPr>
          <w:spacing w:val="-11"/>
        </w:rPr>
        <w:t> </w:t>
      </w:r>
      <w:r>
        <w:rPr>
          <w:spacing w:val="-3"/>
        </w:rPr>
        <w:t>(CRPD)</w:t>
      </w:r>
      <w:r>
        <w:rPr>
          <w:spacing w:val="-11"/>
        </w:rPr>
        <w:t> </w:t>
      </w:r>
      <w:r>
        <w:rPr>
          <w:spacing w:val="-3"/>
        </w:rPr>
        <w:t>by</w:t>
      </w:r>
      <w:r>
        <w:rPr>
          <w:spacing w:val="-11"/>
        </w:rPr>
        <w:t> </w:t>
      </w:r>
      <w:r>
        <w:rPr/>
        <w:t>failing</w:t>
      </w:r>
      <w:r>
        <w:rPr>
          <w:spacing w:val="-11"/>
        </w:rPr>
        <w:t> </w:t>
      </w:r>
      <w:r>
        <w:rPr/>
        <w:t>to</w:t>
      </w:r>
      <w:r>
        <w:rPr>
          <w:spacing w:val="-11"/>
        </w:rPr>
        <w:t> </w:t>
      </w:r>
      <w:r>
        <w:rPr/>
        <w:t>enable</w:t>
      </w:r>
      <w:r>
        <w:rPr>
          <w:spacing w:val="-11"/>
        </w:rPr>
        <w:t> </w:t>
      </w:r>
      <w:r>
        <w:rPr/>
        <w:t>people</w:t>
      </w:r>
      <w:r>
        <w:rPr>
          <w:spacing w:val="-11"/>
        </w:rPr>
        <w:t> </w:t>
      </w:r>
      <w:r>
        <w:rPr/>
        <w:t>with</w:t>
      </w:r>
      <w:r>
        <w:rPr>
          <w:spacing w:val="-11"/>
        </w:rPr>
        <w:t> </w:t>
      </w:r>
      <w:r>
        <w:rPr/>
        <w:t>disabilities</w:t>
      </w:r>
      <w:r>
        <w:rPr>
          <w:spacing w:val="-11"/>
        </w:rPr>
        <w:t> </w:t>
      </w:r>
      <w:r>
        <w:rPr/>
        <w:t>to serve</w:t>
      </w:r>
      <w:r>
        <w:rPr>
          <w:spacing w:val="-11"/>
        </w:rPr>
        <w:t> </w:t>
      </w:r>
      <w:r>
        <w:rPr/>
        <w:t>on</w:t>
      </w:r>
      <w:r>
        <w:rPr>
          <w:spacing w:val="-11"/>
        </w:rPr>
        <w:t> </w:t>
      </w:r>
      <w:r>
        <w:rPr/>
        <w:t>juries</w:t>
      </w:r>
      <w:r>
        <w:rPr>
          <w:spacing w:val="-11"/>
        </w:rPr>
        <w:t> </w:t>
      </w:r>
      <w:r>
        <w:rPr/>
        <w:t>with</w:t>
      </w:r>
      <w:r>
        <w:rPr>
          <w:spacing w:val="-10"/>
        </w:rPr>
        <w:t> </w:t>
      </w:r>
      <w:r>
        <w:rPr/>
        <w:t>reasonable</w:t>
      </w:r>
      <w:r>
        <w:rPr>
          <w:spacing w:val="-11"/>
        </w:rPr>
        <w:t> </w:t>
      </w:r>
      <w:r>
        <w:rPr/>
        <w:t>adjustments.</w:t>
      </w:r>
      <w:r>
        <w:rPr>
          <w:position w:val="7"/>
          <w:sz w:val="11"/>
        </w:rPr>
        <w:t>3</w:t>
      </w:r>
      <w:r>
        <w:rPr>
          <w:spacing w:val="14"/>
          <w:position w:val="7"/>
          <w:sz w:val="11"/>
        </w:rPr>
        <w:t> </w:t>
      </w:r>
      <w:r>
        <w:rPr/>
        <w:t>Victoria</w:t>
      </w:r>
      <w:r>
        <w:rPr>
          <w:spacing w:val="-11"/>
        </w:rPr>
        <w:t> </w:t>
      </w:r>
      <w:r>
        <w:rPr/>
        <w:t>should</w:t>
      </w:r>
      <w:r>
        <w:rPr>
          <w:spacing w:val="-11"/>
        </w:rPr>
        <w:t> </w:t>
      </w:r>
      <w:r>
        <w:rPr>
          <w:spacing w:val="-3"/>
        </w:rPr>
        <w:t>urgently</w:t>
      </w:r>
      <w:r>
        <w:rPr>
          <w:spacing w:val="-10"/>
        </w:rPr>
        <w:t> </w:t>
      </w:r>
      <w:r>
        <w:rPr>
          <w:spacing w:val="-3"/>
        </w:rPr>
        <w:t>reform</w:t>
      </w:r>
      <w:r>
        <w:rPr>
          <w:spacing w:val="-11"/>
        </w:rPr>
        <w:t> </w:t>
      </w:r>
      <w:r>
        <w:rPr/>
        <w:t>its </w:t>
      </w:r>
      <w:r>
        <w:rPr>
          <w:spacing w:val="-3"/>
        </w:rPr>
        <w:t>laws </w:t>
      </w:r>
      <w:r>
        <w:rPr/>
        <w:t>to </w:t>
      </w:r>
      <w:r>
        <w:rPr>
          <w:spacing w:val="-3"/>
        </w:rPr>
        <w:t>comply </w:t>
      </w:r>
      <w:r>
        <w:rPr/>
        <w:t>with the recommendations of the</w:t>
      </w:r>
      <w:r>
        <w:rPr>
          <w:spacing w:val="-36"/>
        </w:rPr>
        <w:t> </w:t>
      </w:r>
      <w:r>
        <w:rPr/>
        <w:t>Committee.</w:t>
      </w:r>
    </w:p>
    <w:p>
      <w:pPr>
        <w:pStyle w:val="ListParagraph"/>
        <w:numPr>
          <w:ilvl w:val="2"/>
          <w:numId w:val="12"/>
        </w:numPr>
        <w:tabs>
          <w:tab w:pos="2157" w:val="left" w:leader="none"/>
          <w:tab w:pos="2158" w:val="left" w:leader="none"/>
        </w:tabs>
        <w:spacing w:line="206" w:lineRule="auto" w:before="89" w:after="0"/>
        <w:ind w:left="2157" w:right="1547" w:hanging="396"/>
        <w:jc w:val="left"/>
        <w:rPr>
          <w:sz w:val="20"/>
        </w:rPr>
      </w:pPr>
      <w:r>
        <w:rPr>
          <w:sz w:val="20"/>
        </w:rPr>
        <w:t>Reform is needed to align jury service with community expectations, </w:t>
      </w:r>
      <w:r>
        <w:rPr>
          <w:spacing w:val="-3"/>
          <w:sz w:val="20"/>
        </w:rPr>
        <w:t>laws </w:t>
      </w:r>
      <w:r>
        <w:rPr>
          <w:sz w:val="20"/>
        </w:rPr>
        <w:t>and policies</w:t>
      </w:r>
      <w:r>
        <w:rPr>
          <w:spacing w:val="-12"/>
          <w:sz w:val="20"/>
        </w:rPr>
        <w:t> </w:t>
      </w:r>
      <w:r>
        <w:rPr>
          <w:sz w:val="20"/>
        </w:rPr>
        <w:t>about</w:t>
      </w:r>
      <w:r>
        <w:rPr>
          <w:spacing w:val="-12"/>
          <w:sz w:val="20"/>
        </w:rPr>
        <w:t> </w:t>
      </w:r>
      <w:r>
        <w:rPr>
          <w:sz w:val="20"/>
        </w:rPr>
        <w:t>equality</w:t>
      </w:r>
      <w:r>
        <w:rPr>
          <w:spacing w:val="-12"/>
          <w:sz w:val="20"/>
        </w:rPr>
        <w:t> </w:t>
      </w:r>
      <w:r>
        <w:rPr>
          <w:sz w:val="20"/>
        </w:rPr>
        <w:t>and</w:t>
      </w:r>
      <w:r>
        <w:rPr>
          <w:spacing w:val="-12"/>
          <w:sz w:val="20"/>
        </w:rPr>
        <w:t> </w:t>
      </w:r>
      <w:r>
        <w:rPr>
          <w:sz w:val="20"/>
        </w:rPr>
        <w:t>the</w:t>
      </w:r>
      <w:r>
        <w:rPr>
          <w:spacing w:val="-12"/>
          <w:sz w:val="20"/>
        </w:rPr>
        <w:t> </w:t>
      </w:r>
      <w:r>
        <w:rPr>
          <w:sz w:val="20"/>
        </w:rPr>
        <w:t>inclusion</w:t>
      </w:r>
      <w:r>
        <w:rPr>
          <w:spacing w:val="-12"/>
          <w:sz w:val="20"/>
        </w:rPr>
        <w:t> </w:t>
      </w:r>
      <w:r>
        <w:rPr>
          <w:sz w:val="20"/>
        </w:rPr>
        <w:t>of</w:t>
      </w:r>
      <w:r>
        <w:rPr>
          <w:spacing w:val="-11"/>
          <w:sz w:val="20"/>
        </w:rPr>
        <w:t> </w:t>
      </w:r>
      <w:r>
        <w:rPr>
          <w:sz w:val="20"/>
        </w:rPr>
        <w:t>people</w:t>
      </w:r>
      <w:r>
        <w:rPr>
          <w:spacing w:val="-12"/>
          <w:sz w:val="20"/>
        </w:rPr>
        <w:t> </w:t>
      </w:r>
      <w:r>
        <w:rPr>
          <w:sz w:val="20"/>
        </w:rPr>
        <w:t>with</w:t>
      </w:r>
      <w:r>
        <w:rPr>
          <w:spacing w:val="-12"/>
          <w:sz w:val="20"/>
        </w:rPr>
        <w:t> </w:t>
      </w:r>
      <w:r>
        <w:rPr>
          <w:sz w:val="20"/>
        </w:rPr>
        <w:t>disabilities</w:t>
      </w:r>
      <w:r>
        <w:rPr>
          <w:spacing w:val="-12"/>
          <w:sz w:val="20"/>
        </w:rPr>
        <w:t> </w:t>
      </w:r>
      <w:r>
        <w:rPr>
          <w:sz w:val="20"/>
        </w:rPr>
        <w:t>in</w:t>
      </w:r>
      <w:r>
        <w:rPr>
          <w:spacing w:val="-12"/>
          <w:sz w:val="20"/>
        </w:rPr>
        <w:t> </w:t>
      </w:r>
      <w:r>
        <w:rPr>
          <w:sz w:val="20"/>
        </w:rPr>
        <w:t>public</w:t>
      </w:r>
      <w:r>
        <w:rPr>
          <w:spacing w:val="-12"/>
          <w:sz w:val="20"/>
        </w:rPr>
        <w:t> </w:t>
      </w:r>
      <w:r>
        <w:rPr>
          <w:sz w:val="20"/>
        </w:rPr>
        <w:t>life. People</w:t>
      </w:r>
      <w:r>
        <w:rPr>
          <w:spacing w:val="-11"/>
          <w:sz w:val="20"/>
        </w:rPr>
        <w:t> </w:t>
      </w:r>
      <w:r>
        <w:rPr>
          <w:sz w:val="20"/>
        </w:rPr>
        <w:t>in</w:t>
      </w:r>
      <w:r>
        <w:rPr>
          <w:spacing w:val="-10"/>
          <w:sz w:val="20"/>
        </w:rPr>
        <w:t> </w:t>
      </w:r>
      <w:r>
        <w:rPr>
          <w:sz w:val="20"/>
        </w:rPr>
        <w:t>the</w:t>
      </w:r>
      <w:r>
        <w:rPr>
          <w:spacing w:val="-11"/>
          <w:sz w:val="20"/>
        </w:rPr>
        <w:t> </w:t>
      </w:r>
      <w:r>
        <w:rPr>
          <w:sz w:val="20"/>
        </w:rPr>
        <w:t>subject</w:t>
      </w:r>
      <w:r>
        <w:rPr>
          <w:spacing w:val="-10"/>
          <w:sz w:val="20"/>
        </w:rPr>
        <w:t> </w:t>
      </w:r>
      <w:r>
        <w:rPr>
          <w:sz w:val="20"/>
        </w:rPr>
        <w:t>groups</w:t>
      </w:r>
      <w:r>
        <w:rPr>
          <w:spacing w:val="-11"/>
          <w:sz w:val="20"/>
        </w:rPr>
        <w:t> </w:t>
      </w:r>
      <w:r>
        <w:rPr>
          <w:sz w:val="20"/>
        </w:rPr>
        <w:t>should</w:t>
      </w:r>
      <w:r>
        <w:rPr>
          <w:spacing w:val="-10"/>
          <w:sz w:val="20"/>
        </w:rPr>
        <w:t> </w:t>
      </w:r>
      <w:r>
        <w:rPr>
          <w:spacing w:val="-4"/>
          <w:sz w:val="20"/>
        </w:rPr>
        <w:t>have</w:t>
      </w:r>
      <w:r>
        <w:rPr>
          <w:spacing w:val="-11"/>
          <w:sz w:val="20"/>
        </w:rPr>
        <w:t> </w:t>
      </w:r>
      <w:r>
        <w:rPr>
          <w:sz w:val="20"/>
        </w:rPr>
        <w:t>the</w:t>
      </w:r>
      <w:r>
        <w:rPr>
          <w:spacing w:val="-10"/>
          <w:sz w:val="20"/>
        </w:rPr>
        <w:t> </w:t>
      </w:r>
      <w:r>
        <w:rPr>
          <w:sz w:val="20"/>
        </w:rPr>
        <w:t>opportunity</w:t>
      </w:r>
      <w:r>
        <w:rPr>
          <w:spacing w:val="-10"/>
          <w:sz w:val="20"/>
        </w:rPr>
        <w:t> </w:t>
      </w:r>
      <w:r>
        <w:rPr>
          <w:sz w:val="20"/>
        </w:rPr>
        <w:t>to</w:t>
      </w:r>
      <w:r>
        <w:rPr>
          <w:spacing w:val="-11"/>
          <w:sz w:val="20"/>
        </w:rPr>
        <w:t> </w:t>
      </w:r>
      <w:r>
        <w:rPr>
          <w:sz w:val="20"/>
        </w:rPr>
        <w:t>perform</w:t>
      </w:r>
      <w:r>
        <w:rPr>
          <w:spacing w:val="-10"/>
          <w:sz w:val="20"/>
        </w:rPr>
        <w:t> </w:t>
      </w:r>
      <w:r>
        <w:rPr>
          <w:sz w:val="20"/>
        </w:rPr>
        <w:t>their</w:t>
      </w:r>
      <w:r>
        <w:rPr>
          <w:spacing w:val="-11"/>
          <w:sz w:val="20"/>
        </w:rPr>
        <w:t> </w:t>
      </w:r>
      <w:r>
        <w:rPr>
          <w:sz w:val="20"/>
        </w:rPr>
        <w:t>civic responsibility like other members of the</w:t>
      </w:r>
      <w:r>
        <w:rPr>
          <w:spacing w:val="-29"/>
          <w:sz w:val="20"/>
        </w:rPr>
        <w:t> </w:t>
      </w:r>
      <w:r>
        <w:rPr>
          <w:spacing w:val="-3"/>
          <w:sz w:val="20"/>
        </w:rPr>
        <w:t>community.</w:t>
      </w:r>
    </w:p>
    <w:p>
      <w:pPr>
        <w:pStyle w:val="ListParagraph"/>
        <w:numPr>
          <w:ilvl w:val="2"/>
          <w:numId w:val="12"/>
        </w:numPr>
        <w:tabs>
          <w:tab w:pos="2157" w:val="left" w:leader="none"/>
          <w:tab w:pos="2158" w:val="left" w:leader="none"/>
        </w:tabs>
        <w:spacing w:line="206" w:lineRule="auto" w:before="90" w:after="0"/>
        <w:ind w:left="2157" w:right="1303" w:hanging="396"/>
        <w:jc w:val="left"/>
        <w:rPr>
          <w:sz w:val="20"/>
        </w:rPr>
      </w:pPr>
      <w:r>
        <w:rPr>
          <w:sz w:val="20"/>
        </w:rPr>
        <w:t>A</w:t>
      </w:r>
      <w:r>
        <w:rPr>
          <w:spacing w:val="-8"/>
          <w:sz w:val="20"/>
        </w:rPr>
        <w:t> </w:t>
      </w:r>
      <w:r>
        <w:rPr>
          <w:spacing w:val="-4"/>
          <w:sz w:val="20"/>
        </w:rPr>
        <w:t>key</w:t>
      </w:r>
      <w:r>
        <w:rPr>
          <w:spacing w:val="-8"/>
          <w:sz w:val="20"/>
        </w:rPr>
        <w:t> </w:t>
      </w:r>
      <w:r>
        <w:rPr>
          <w:sz w:val="20"/>
        </w:rPr>
        <w:t>purpose</w:t>
      </w:r>
      <w:r>
        <w:rPr>
          <w:spacing w:val="-7"/>
          <w:sz w:val="20"/>
        </w:rPr>
        <w:t> </w:t>
      </w:r>
      <w:r>
        <w:rPr>
          <w:sz w:val="20"/>
        </w:rPr>
        <w:t>of</w:t>
      </w:r>
      <w:r>
        <w:rPr>
          <w:spacing w:val="-8"/>
          <w:sz w:val="20"/>
        </w:rPr>
        <w:t> </w:t>
      </w:r>
      <w:r>
        <w:rPr>
          <w:sz w:val="20"/>
        </w:rPr>
        <w:t>the</w:t>
      </w:r>
      <w:r>
        <w:rPr>
          <w:spacing w:val="-8"/>
          <w:sz w:val="20"/>
        </w:rPr>
        <w:t> </w:t>
      </w:r>
      <w:r>
        <w:rPr>
          <w:spacing w:val="-2"/>
          <w:sz w:val="20"/>
        </w:rPr>
        <w:t>Act</w:t>
      </w:r>
      <w:r>
        <w:rPr>
          <w:spacing w:val="-7"/>
          <w:sz w:val="20"/>
        </w:rPr>
        <w:t> </w:t>
      </w:r>
      <w:r>
        <w:rPr>
          <w:sz w:val="20"/>
        </w:rPr>
        <w:t>is</w:t>
      </w:r>
      <w:r>
        <w:rPr>
          <w:spacing w:val="-8"/>
          <w:sz w:val="20"/>
        </w:rPr>
        <w:t> </w:t>
      </w:r>
      <w:r>
        <w:rPr>
          <w:sz w:val="20"/>
        </w:rPr>
        <w:t>that</w:t>
      </w:r>
      <w:r>
        <w:rPr>
          <w:spacing w:val="-7"/>
          <w:sz w:val="20"/>
        </w:rPr>
        <w:t> </w:t>
      </w:r>
      <w:r>
        <w:rPr>
          <w:sz w:val="20"/>
        </w:rPr>
        <w:t>juries</w:t>
      </w:r>
      <w:r>
        <w:rPr>
          <w:spacing w:val="-8"/>
          <w:sz w:val="20"/>
        </w:rPr>
        <w:t> </w:t>
      </w:r>
      <w:r>
        <w:rPr>
          <w:sz w:val="20"/>
        </w:rPr>
        <w:t>should</w:t>
      </w:r>
      <w:r>
        <w:rPr>
          <w:spacing w:val="-8"/>
          <w:sz w:val="20"/>
        </w:rPr>
        <w:t> </w:t>
      </w:r>
      <w:r>
        <w:rPr>
          <w:sz w:val="20"/>
        </w:rPr>
        <w:t>be</w:t>
      </w:r>
      <w:r>
        <w:rPr>
          <w:spacing w:val="-7"/>
          <w:sz w:val="20"/>
        </w:rPr>
        <w:t> </w:t>
      </w:r>
      <w:r>
        <w:rPr>
          <w:spacing w:val="-3"/>
          <w:sz w:val="20"/>
        </w:rPr>
        <w:t>representative</w:t>
      </w:r>
      <w:r>
        <w:rPr>
          <w:spacing w:val="-8"/>
          <w:sz w:val="20"/>
        </w:rPr>
        <w:t> </w:t>
      </w:r>
      <w:r>
        <w:rPr>
          <w:sz w:val="20"/>
        </w:rPr>
        <w:t>of</w:t>
      </w:r>
      <w:r>
        <w:rPr>
          <w:spacing w:val="-7"/>
          <w:sz w:val="20"/>
        </w:rPr>
        <w:t> </w:t>
      </w:r>
      <w:r>
        <w:rPr>
          <w:sz w:val="20"/>
        </w:rPr>
        <w:t>the</w:t>
      </w:r>
      <w:r>
        <w:rPr>
          <w:spacing w:val="-8"/>
          <w:sz w:val="20"/>
        </w:rPr>
        <w:t> </w:t>
      </w:r>
      <w:r>
        <w:rPr>
          <w:sz w:val="20"/>
        </w:rPr>
        <w:t>community.</w:t>
      </w:r>
      <w:r>
        <w:rPr>
          <w:position w:val="7"/>
          <w:sz w:val="11"/>
        </w:rPr>
        <w:t>4</w:t>
      </w:r>
      <w:r>
        <w:rPr>
          <w:sz w:val="11"/>
        </w:rPr>
        <w:t> </w:t>
      </w:r>
      <w:r>
        <w:rPr>
          <w:spacing w:val="-3"/>
          <w:sz w:val="20"/>
        </w:rPr>
        <w:t>Therefore </w:t>
      </w:r>
      <w:r>
        <w:rPr>
          <w:sz w:val="20"/>
        </w:rPr>
        <w:t>they should include people in the subject groups. </w:t>
      </w:r>
      <w:r>
        <w:rPr>
          <w:spacing w:val="-3"/>
          <w:sz w:val="20"/>
        </w:rPr>
        <w:t>Representativeness </w:t>
      </w:r>
      <w:r>
        <w:rPr>
          <w:sz w:val="20"/>
        </w:rPr>
        <w:t>ensures that a diverse range of </w:t>
      </w:r>
      <w:r>
        <w:rPr>
          <w:spacing w:val="-3"/>
          <w:sz w:val="20"/>
        </w:rPr>
        <w:t>views </w:t>
      </w:r>
      <w:r>
        <w:rPr>
          <w:sz w:val="20"/>
        </w:rPr>
        <w:t>and experiences </w:t>
      </w:r>
      <w:r>
        <w:rPr>
          <w:spacing w:val="-3"/>
          <w:sz w:val="20"/>
        </w:rPr>
        <w:t>are </w:t>
      </w:r>
      <w:r>
        <w:rPr>
          <w:sz w:val="20"/>
        </w:rPr>
        <w:t>offered in the jury deliberation process. More </w:t>
      </w:r>
      <w:r>
        <w:rPr>
          <w:spacing w:val="-3"/>
          <w:sz w:val="20"/>
        </w:rPr>
        <w:t>inclusive </w:t>
      </w:r>
      <w:r>
        <w:rPr>
          <w:sz w:val="20"/>
        </w:rPr>
        <w:t>juries mean that the obligation of jury duty is shared more </w:t>
      </w:r>
      <w:r>
        <w:rPr>
          <w:spacing w:val="-3"/>
          <w:sz w:val="20"/>
        </w:rPr>
        <w:t>broadly across </w:t>
      </w:r>
      <w:r>
        <w:rPr>
          <w:sz w:val="20"/>
        </w:rPr>
        <w:t>the</w:t>
      </w:r>
      <w:r>
        <w:rPr>
          <w:spacing w:val="-15"/>
          <w:sz w:val="20"/>
        </w:rPr>
        <w:t> </w:t>
      </w:r>
      <w:r>
        <w:rPr>
          <w:spacing w:val="-3"/>
          <w:sz w:val="20"/>
        </w:rPr>
        <w:t>community.</w:t>
      </w:r>
    </w:p>
    <w:p>
      <w:pPr>
        <w:pStyle w:val="ListParagraph"/>
        <w:numPr>
          <w:ilvl w:val="2"/>
          <w:numId w:val="12"/>
        </w:numPr>
        <w:tabs>
          <w:tab w:pos="2157" w:val="left" w:leader="none"/>
          <w:tab w:pos="2158" w:val="left" w:leader="none"/>
        </w:tabs>
        <w:spacing w:line="206" w:lineRule="auto" w:before="91" w:after="0"/>
        <w:ind w:left="2157" w:right="1379" w:hanging="396"/>
        <w:jc w:val="left"/>
        <w:rPr>
          <w:sz w:val="20"/>
        </w:rPr>
      </w:pPr>
      <w:r>
        <w:rPr>
          <w:sz w:val="20"/>
        </w:rPr>
        <w:t>Reform</w:t>
      </w:r>
      <w:r>
        <w:rPr>
          <w:spacing w:val="-13"/>
          <w:sz w:val="20"/>
        </w:rPr>
        <w:t> </w:t>
      </w:r>
      <w:r>
        <w:rPr>
          <w:sz w:val="20"/>
        </w:rPr>
        <w:t>should</w:t>
      </w:r>
      <w:r>
        <w:rPr>
          <w:spacing w:val="-13"/>
          <w:sz w:val="20"/>
        </w:rPr>
        <w:t> </w:t>
      </w:r>
      <w:r>
        <w:rPr>
          <w:sz w:val="20"/>
        </w:rPr>
        <w:t>ensure</w:t>
      </w:r>
      <w:r>
        <w:rPr>
          <w:spacing w:val="-12"/>
          <w:sz w:val="20"/>
        </w:rPr>
        <w:t> </w:t>
      </w:r>
      <w:r>
        <w:rPr>
          <w:spacing w:val="-3"/>
          <w:sz w:val="20"/>
        </w:rPr>
        <w:t>representativeness</w:t>
      </w:r>
      <w:r>
        <w:rPr>
          <w:spacing w:val="-13"/>
          <w:sz w:val="20"/>
        </w:rPr>
        <w:t> </w:t>
      </w:r>
      <w:r>
        <w:rPr>
          <w:sz w:val="20"/>
        </w:rPr>
        <w:t>and</w:t>
      </w:r>
      <w:r>
        <w:rPr>
          <w:spacing w:val="-12"/>
          <w:sz w:val="20"/>
        </w:rPr>
        <w:t> </w:t>
      </w:r>
      <w:r>
        <w:rPr>
          <w:sz w:val="20"/>
        </w:rPr>
        <w:t>inclusivity</w:t>
      </w:r>
      <w:r>
        <w:rPr>
          <w:spacing w:val="-13"/>
          <w:sz w:val="20"/>
        </w:rPr>
        <w:t> </w:t>
      </w:r>
      <w:r>
        <w:rPr>
          <w:sz w:val="20"/>
        </w:rPr>
        <w:t>while</w:t>
      </w:r>
      <w:r>
        <w:rPr>
          <w:spacing w:val="-12"/>
          <w:sz w:val="20"/>
        </w:rPr>
        <w:t> </w:t>
      </w:r>
      <w:r>
        <w:rPr>
          <w:sz w:val="20"/>
        </w:rPr>
        <w:t>upholding</w:t>
      </w:r>
      <w:r>
        <w:rPr>
          <w:spacing w:val="-13"/>
          <w:sz w:val="20"/>
        </w:rPr>
        <w:t> </w:t>
      </w:r>
      <w:r>
        <w:rPr>
          <w:sz w:val="20"/>
        </w:rPr>
        <w:t>fair</w:t>
      </w:r>
      <w:r>
        <w:rPr>
          <w:spacing w:val="-12"/>
          <w:sz w:val="20"/>
        </w:rPr>
        <w:t> </w:t>
      </w:r>
      <w:r>
        <w:rPr>
          <w:sz w:val="20"/>
        </w:rPr>
        <w:t>trial rights.</w:t>
      </w:r>
      <w:r>
        <w:rPr>
          <w:position w:val="7"/>
          <w:sz w:val="11"/>
        </w:rPr>
        <w:t>5 </w:t>
      </w:r>
      <w:r>
        <w:rPr>
          <w:sz w:val="20"/>
        </w:rPr>
        <w:t>People </w:t>
      </w:r>
      <w:r>
        <w:rPr>
          <w:spacing w:val="-3"/>
          <w:sz w:val="20"/>
        </w:rPr>
        <w:t>from </w:t>
      </w:r>
      <w:r>
        <w:rPr>
          <w:sz w:val="20"/>
        </w:rPr>
        <w:t>the subject groups must be able to perform the duties of a juror and trials </w:t>
      </w:r>
      <w:r>
        <w:rPr>
          <w:spacing w:val="-3"/>
          <w:sz w:val="20"/>
        </w:rPr>
        <w:t>involving </w:t>
      </w:r>
      <w:r>
        <w:rPr>
          <w:sz w:val="20"/>
        </w:rPr>
        <w:t>jurors </w:t>
      </w:r>
      <w:r>
        <w:rPr>
          <w:spacing w:val="-3"/>
          <w:sz w:val="20"/>
        </w:rPr>
        <w:t>from </w:t>
      </w:r>
      <w:r>
        <w:rPr>
          <w:sz w:val="20"/>
        </w:rPr>
        <w:t>the subject groups must not be prejudiced because of their participation. It is possible for people to serve with reasonable adjustments and to maintain a fair trial. Other jurisdictions </w:t>
      </w:r>
      <w:r>
        <w:rPr>
          <w:spacing w:val="-4"/>
          <w:sz w:val="20"/>
        </w:rPr>
        <w:t>have </w:t>
      </w:r>
      <w:r>
        <w:rPr>
          <w:spacing w:val="-3"/>
          <w:sz w:val="20"/>
        </w:rPr>
        <w:t>successfully achieved </w:t>
      </w:r>
      <w:r>
        <w:rPr>
          <w:sz w:val="20"/>
        </w:rPr>
        <w:t>this for</w:t>
      </w:r>
      <w:r>
        <w:rPr>
          <w:spacing w:val="-10"/>
          <w:sz w:val="20"/>
        </w:rPr>
        <w:t> </w:t>
      </w:r>
      <w:r>
        <w:rPr>
          <w:sz w:val="20"/>
        </w:rPr>
        <w:t>decades.</w:t>
      </w:r>
    </w:p>
    <w:p>
      <w:pPr>
        <w:pStyle w:val="ListParagraph"/>
        <w:numPr>
          <w:ilvl w:val="2"/>
          <w:numId w:val="12"/>
        </w:numPr>
        <w:tabs>
          <w:tab w:pos="2158" w:val="left" w:leader="none"/>
        </w:tabs>
        <w:spacing w:line="206" w:lineRule="auto" w:before="93" w:after="0"/>
        <w:ind w:left="2157" w:right="1440" w:hanging="396"/>
        <w:jc w:val="both"/>
        <w:rPr>
          <w:sz w:val="20"/>
        </w:rPr>
      </w:pPr>
      <w:r>
        <w:rPr>
          <w:sz w:val="20"/>
        </w:rPr>
        <w:t>Flexibility</w:t>
      </w:r>
      <w:r>
        <w:rPr>
          <w:spacing w:val="-12"/>
          <w:sz w:val="20"/>
        </w:rPr>
        <w:t> </w:t>
      </w:r>
      <w:r>
        <w:rPr>
          <w:sz w:val="20"/>
        </w:rPr>
        <w:t>will</w:t>
      </w:r>
      <w:r>
        <w:rPr>
          <w:spacing w:val="-12"/>
          <w:sz w:val="20"/>
        </w:rPr>
        <w:t> </w:t>
      </w:r>
      <w:r>
        <w:rPr>
          <w:sz w:val="20"/>
        </w:rPr>
        <w:t>be</w:t>
      </w:r>
      <w:r>
        <w:rPr>
          <w:spacing w:val="-12"/>
          <w:sz w:val="20"/>
        </w:rPr>
        <w:t> </w:t>
      </w:r>
      <w:r>
        <w:rPr>
          <w:sz w:val="20"/>
        </w:rPr>
        <w:t>needed</w:t>
      </w:r>
      <w:r>
        <w:rPr>
          <w:spacing w:val="-11"/>
          <w:sz w:val="20"/>
        </w:rPr>
        <w:t> </w:t>
      </w:r>
      <w:r>
        <w:rPr>
          <w:sz w:val="20"/>
        </w:rPr>
        <w:t>about</w:t>
      </w:r>
      <w:r>
        <w:rPr>
          <w:spacing w:val="-12"/>
          <w:sz w:val="20"/>
        </w:rPr>
        <w:t> </w:t>
      </w:r>
      <w:r>
        <w:rPr>
          <w:sz w:val="20"/>
        </w:rPr>
        <w:t>the</w:t>
      </w:r>
      <w:r>
        <w:rPr>
          <w:spacing w:val="-12"/>
          <w:sz w:val="20"/>
        </w:rPr>
        <w:t> </w:t>
      </w:r>
      <w:r>
        <w:rPr>
          <w:spacing w:val="-3"/>
          <w:sz w:val="20"/>
        </w:rPr>
        <w:t>provision</w:t>
      </w:r>
      <w:r>
        <w:rPr>
          <w:spacing w:val="-11"/>
          <w:sz w:val="20"/>
        </w:rPr>
        <w:t> </w:t>
      </w:r>
      <w:r>
        <w:rPr>
          <w:sz w:val="20"/>
        </w:rPr>
        <w:t>of</w:t>
      </w:r>
      <w:r>
        <w:rPr>
          <w:spacing w:val="-12"/>
          <w:sz w:val="20"/>
        </w:rPr>
        <w:t> </w:t>
      </w:r>
      <w:r>
        <w:rPr>
          <w:sz w:val="20"/>
        </w:rPr>
        <w:t>reasonable</w:t>
      </w:r>
      <w:r>
        <w:rPr>
          <w:spacing w:val="-12"/>
          <w:sz w:val="20"/>
        </w:rPr>
        <w:t> </w:t>
      </w:r>
      <w:r>
        <w:rPr>
          <w:sz w:val="20"/>
        </w:rPr>
        <w:t>adjustments.</w:t>
      </w:r>
      <w:r>
        <w:rPr>
          <w:spacing w:val="-12"/>
          <w:sz w:val="20"/>
        </w:rPr>
        <w:t> </w:t>
      </w:r>
      <w:r>
        <w:rPr>
          <w:sz w:val="20"/>
        </w:rPr>
        <w:t>People in</w:t>
      </w:r>
      <w:r>
        <w:rPr>
          <w:spacing w:val="-10"/>
          <w:sz w:val="20"/>
        </w:rPr>
        <w:t> </w:t>
      </w:r>
      <w:r>
        <w:rPr>
          <w:sz w:val="20"/>
        </w:rPr>
        <w:t>the</w:t>
      </w:r>
      <w:r>
        <w:rPr>
          <w:spacing w:val="-10"/>
          <w:sz w:val="20"/>
        </w:rPr>
        <w:t> </w:t>
      </w:r>
      <w:r>
        <w:rPr>
          <w:sz w:val="20"/>
        </w:rPr>
        <w:t>subject</w:t>
      </w:r>
      <w:r>
        <w:rPr>
          <w:spacing w:val="-10"/>
          <w:sz w:val="20"/>
        </w:rPr>
        <w:t> </w:t>
      </w:r>
      <w:r>
        <w:rPr>
          <w:sz w:val="20"/>
        </w:rPr>
        <w:t>groups</w:t>
      </w:r>
      <w:r>
        <w:rPr>
          <w:spacing w:val="-10"/>
          <w:sz w:val="20"/>
        </w:rPr>
        <w:t> </w:t>
      </w:r>
      <w:r>
        <w:rPr>
          <w:sz w:val="20"/>
        </w:rPr>
        <w:t>should</w:t>
      </w:r>
      <w:r>
        <w:rPr>
          <w:spacing w:val="-10"/>
          <w:sz w:val="20"/>
        </w:rPr>
        <w:t> </w:t>
      </w:r>
      <w:r>
        <w:rPr>
          <w:sz w:val="20"/>
        </w:rPr>
        <w:t>be</w:t>
      </w:r>
      <w:r>
        <w:rPr>
          <w:spacing w:val="-10"/>
          <w:sz w:val="20"/>
        </w:rPr>
        <w:t> </w:t>
      </w:r>
      <w:r>
        <w:rPr>
          <w:sz w:val="20"/>
        </w:rPr>
        <w:t>consulted</w:t>
      </w:r>
      <w:r>
        <w:rPr>
          <w:spacing w:val="-10"/>
          <w:sz w:val="20"/>
        </w:rPr>
        <w:t> </w:t>
      </w:r>
      <w:r>
        <w:rPr>
          <w:sz w:val="20"/>
        </w:rPr>
        <w:t>about</w:t>
      </w:r>
      <w:r>
        <w:rPr>
          <w:spacing w:val="-10"/>
          <w:sz w:val="20"/>
        </w:rPr>
        <w:t> </w:t>
      </w:r>
      <w:r>
        <w:rPr>
          <w:sz w:val="20"/>
        </w:rPr>
        <w:t>what</w:t>
      </w:r>
      <w:r>
        <w:rPr>
          <w:spacing w:val="-9"/>
          <w:sz w:val="20"/>
        </w:rPr>
        <w:t> </w:t>
      </w:r>
      <w:r>
        <w:rPr>
          <w:sz w:val="20"/>
        </w:rPr>
        <w:t>adjustments</w:t>
      </w:r>
      <w:r>
        <w:rPr>
          <w:spacing w:val="-10"/>
          <w:sz w:val="20"/>
        </w:rPr>
        <w:t> </w:t>
      </w:r>
      <w:r>
        <w:rPr>
          <w:spacing w:val="-3"/>
          <w:sz w:val="20"/>
        </w:rPr>
        <w:t>are</w:t>
      </w:r>
      <w:r>
        <w:rPr>
          <w:spacing w:val="-10"/>
          <w:sz w:val="20"/>
        </w:rPr>
        <w:t> </w:t>
      </w:r>
      <w:r>
        <w:rPr>
          <w:spacing w:val="-3"/>
          <w:sz w:val="20"/>
        </w:rPr>
        <w:t>required </w:t>
      </w:r>
      <w:r>
        <w:rPr>
          <w:sz w:val="20"/>
        </w:rPr>
        <w:t>to</w:t>
      </w:r>
      <w:r>
        <w:rPr>
          <w:spacing w:val="-11"/>
          <w:sz w:val="20"/>
        </w:rPr>
        <w:t> </w:t>
      </w:r>
      <w:r>
        <w:rPr>
          <w:sz w:val="20"/>
        </w:rPr>
        <w:t>enable</w:t>
      </w:r>
      <w:r>
        <w:rPr>
          <w:spacing w:val="-10"/>
          <w:sz w:val="20"/>
        </w:rPr>
        <w:t> </w:t>
      </w:r>
      <w:r>
        <w:rPr>
          <w:sz w:val="20"/>
        </w:rPr>
        <w:t>them</w:t>
      </w:r>
      <w:r>
        <w:rPr>
          <w:spacing w:val="-11"/>
          <w:sz w:val="20"/>
        </w:rPr>
        <w:t> </w:t>
      </w:r>
      <w:r>
        <w:rPr>
          <w:sz w:val="20"/>
        </w:rPr>
        <w:t>to</w:t>
      </w:r>
      <w:r>
        <w:rPr>
          <w:spacing w:val="-10"/>
          <w:sz w:val="20"/>
        </w:rPr>
        <w:t> </w:t>
      </w:r>
      <w:r>
        <w:rPr>
          <w:sz w:val="20"/>
        </w:rPr>
        <w:t>serve.</w:t>
      </w:r>
      <w:r>
        <w:rPr>
          <w:spacing w:val="-11"/>
          <w:sz w:val="20"/>
        </w:rPr>
        <w:t> </w:t>
      </w:r>
      <w:r>
        <w:rPr>
          <w:sz w:val="20"/>
        </w:rPr>
        <w:t>A</w:t>
      </w:r>
      <w:r>
        <w:rPr>
          <w:spacing w:val="-10"/>
          <w:sz w:val="20"/>
        </w:rPr>
        <w:t> </w:t>
      </w:r>
      <w:r>
        <w:rPr>
          <w:sz w:val="20"/>
        </w:rPr>
        <w:t>judge</w:t>
      </w:r>
      <w:r>
        <w:rPr>
          <w:spacing w:val="-11"/>
          <w:sz w:val="20"/>
        </w:rPr>
        <w:t> </w:t>
      </w:r>
      <w:r>
        <w:rPr>
          <w:sz w:val="20"/>
        </w:rPr>
        <w:t>should</w:t>
      </w:r>
      <w:r>
        <w:rPr>
          <w:spacing w:val="-10"/>
          <w:sz w:val="20"/>
        </w:rPr>
        <w:t> </w:t>
      </w:r>
      <w:r>
        <w:rPr>
          <w:spacing w:val="-3"/>
          <w:sz w:val="20"/>
        </w:rPr>
        <w:t>make</w:t>
      </w:r>
      <w:r>
        <w:rPr>
          <w:spacing w:val="-11"/>
          <w:sz w:val="20"/>
        </w:rPr>
        <w:t> </w:t>
      </w:r>
      <w:r>
        <w:rPr>
          <w:sz w:val="20"/>
        </w:rPr>
        <w:t>the</w:t>
      </w:r>
      <w:r>
        <w:rPr>
          <w:spacing w:val="-10"/>
          <w:sz w:val="20"/>
        </w:rPr>
        <w:t> </w:t>
      </w:r>
      <w:r>
        <w:rPr>
          <w:sz w:val="20"/>
        </w:rPr>
        <w:t>final</w:t>
      </w:r>
      <w:r>
        <w:rPr>
          <w:spacing w:val="-11"/>
          <w:sz w:val="20"/>
        </w:rPr>
        <w:t> </w:t>
      </w:r>
      <w:r>
        <w:rPr>
          <w:sz w:val="20"/>
        </w:rPr>
        <w:t>decision</w:t>
      </w:r>
      <w:r>
        <w:rPr>
          <w:spacing w:val="-10"/>
          <w:sz w:val="20"/>
        </w:rPr>
        <w:t> </w:t>
      </w:r>
      <w:r>
        <w:rPr>
          <w:sz w:val="20"/>
        </w:rPr>
        <w:t>about</w:t>
      </w:r>
      <w:r>
        <w:rPr>
          <w:spacing w:val="-11"/>
          <w:sz w:val="20"/>
        </w:rPr>
        <w:t> </w:t>
      </w:r>
      <w:r>
        <w:rPr>
          <w:sz w:val="20"/>
        </w:rPr>
        <w:t>whether</w:t>
      </w:r>
      <w:r>
        <w:rPr>
          <w:spacing w:val="-10"/>
          <w:sz w:val="20"/>
        </w:rPr>
        <w:t> </w:t>
      </w:r>
      <w:r>
        <w:rPr>
          <w:sz w:val="20"/>
        </w:rPr>
        <w:t>a person</w:t>
      </w:r>
      <w:r>
        <w:rPr>
          <w:spacing w:val="-6"/>
          <w:sz w:val="20"/>
        </w:rPr>
        <w:t> </w:t>
      </w:r>
      <w:r>
        <w:rPr>
          <w:spacing w:val="-3"/>
          <w:sz w:val="20"/>
        </w:rPr>
        <w:t>from</w:t>
      </w:r>
      <w:r>
        <w:rPr>
          <w:spacing w:val="-6"/>
          <w:sz w:val="20"/>
        </w:rPr>
        <w:t> </w:t>
      </w:r>
      <w:r>
        <w:rPr>
          <w:sz w:val="20"/>
        </w:rPr>
        <w:t>the</w:t>
      </w:r>
      <w:r>
        <w:rPr>
          <w:spacing w:val="-6"/>
          <w:sz w:val="20"/>
        </w:rPr>
        <w:t> </w:t>
      </w:r>
      <w:r>
        <w:rPr>
          <w:sz w:val="20"/>
        </w:rPr>
        <w:t>subject</w:t>
      </w:r>
      <w:r>
        <w:rPr>
          <w:spacing w:val="-6"/>
          <w:sz w:val="20"/>
        </w:rPr>
        <w:t> </w:t>
      </w:r>
      <w:r>
        <w:rPr>
          <w:sz w:val="20"/>
        </w:rPr>
        <w:t>groups</w:t>
      </w:r>
      <w:r>
        <w:rPr>
          <w:spacing w:val="-6"/>
          <w:sz w:val="20"/>
        </w:rPr>
        <w:t> </w:t>
      </w:r>
      <w:r>
        <w:rPr>
          <w:sz w:val="20"/>
        </w:rPr>
        <w:t>can</w:t>
      </w:r>
      <w:r>
        <w:rPr>
          <w:spacing w:val="-6"/>
          <w:sz w:val="20"/>
        </w:rPr>
        <w:t> </w:t>
      </w:r>
      <w:r>
        <w:rPr>
          <w:sz w:val="20"/>
        </w:rPr>
        <w:t>serve</w:t>
      </w:r>
      <w:r>
        <w:rPr>
          <w:spacing w:val="-6"/>
          <w:sz w:val="20"/>
        </w:rPr>
        <w:t> </w:t>
      </w:r>
      <w:r>
        <w:rPr>
          <w:sz w:val="20"/>
        </w:rPr>
        <w:t>as</w:t>
      </w:r>
      <w:r>
        <w:rPr>
          <w:spacing w:val="-6"/>
          <w:sz w:val="20"/>
        </w:rPr>
        <w:t> </w:t>
      </w:r>
      <w:r>
        <w:rPr>
          <w:sz w:val="20"/>
        </w:rPr>
        <w:t>a</w:t>
      </w:r>
      <w:r>
        <w:rPr>
          <w:spacing w:val="-6"/>
          <w:sz w:val="20"/>
        </w:rPr>
        <w:t> </w:t>
      </w:r>
      <w:r>
        <w:rPr>
          <w:sz w:val="20"/>
        </w:rPr>
        <w:t>juror</w:t>
      </w:r>
      <w:r>
        <w:rPr>
          <w:spacing w:val="-6"/>
          <w:sz w:val="20"/>
        </w:rPr>
        <w:t> </w:t>
      </w:r>
      <w:r>
        <w:rPr>
          <w:sz w:val="20"/>
        </w:rPr>
        <w:t>on</w:t>
      </w:r>
      <w:r>
        <w:rPr>
          <w:spacing w:val="-6"/>
          <w:sz w:val="20"/>
        </w:rPr>
        <w:t> </w:t>
      </w:r>
      <w:r>
        <w:rPr>
          <w:sz w:val="20"/>
        </w:rPr>
        <w:t>a</w:t>
      </w:r>
      <w:r>
        <w:rPr>
          <w:spacing w:val="-6"/>
          <w:sz w:val="20"/>
        </w:rPr>
        <w:t> </w:t>
      </w:r>
      <w:r>
        <w:rPr>
          <w:sz w:val="20"/>
        </w:rPr>
        <w:t>particular</w:t>
      </w:r>
      <w:r>
        <w:rPr>
          <w:spacing w:val="-6"/>
          <w:sz w:val="20"/>
        </w:rPr>
        <w:t> </w:t>
      </w:r>
      <w:r>
        <w:rPr>
          <w:sz w:val="20"/>
        </w:rPr>
        <w:t>trial.</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6"/>
        </w:rPr>
      </w:pPr>
      <w:r>
        <w:rPr/>
        <w:pict>
          <v:line style="position:absolute;mso-position-horizontal-relative:page;mso-position-vertical-relative:paragraph;z-index:-64;mso-wrap-distance-left:0;mso-wrap-distance-right:0" from="79.370102pt,20.551100pt" to="515.905102pt,20.551100pt" stroked="true" strokeweight="1pt" strokecolor="#b6bdc8">
            <v:stroke dashstyle="solid"/>
            <w10:wrap type="topAndBottom"/>
          </v:line>
        </w:pict>
      </w:r>
    </w:p>
    <w:p>
      <w:pPr>
        <w:pStyle w:val="ListParagraph"/>
        <w:numPr>
          <w:ilvl w:val="0"/>
          <w:numId w:val="13"/>
        </w:numPr>
        <w:tabs>
          <w:tab w:pos="1760" w:val="left" w:leader="none"/>
          <w:tab w:pos="1762" w:val="left" w:leader="none"/>
        </w:tabs>
        <w:spacing w:line="213" w:lineRule="auto" w:before="107" w:after="0"/>
        <w:ind w:left="1760" w:right="1216" w:hanging="793"/>
        <w:jc w:val="left"/>
        <w:rPr>
          <w:sz w:val="13"/>
        </w:rPr>
      </w:pPr>
      <w:r>
        <w:rPr>
          <w:sz w:val="13"/>
        </w:rPr>
        <w:t>Committee on the Rights of Persons with </w:t>
      </w:r>
      <w:r>
        <w:rPr>
          <w:spacing w:val="2"/>
          <w:sz w:val="13"/>
        </w:rPr>
        <w:t>Disabilitie</w:t>
      </w:r>
      <w:r>
        <w:rPr>
          <w:i/>
          <w:spacing w:val="2"/>
          <w:sz w:val="13"/>
        </w:rPr>
        <w:t>s, </w:t>
      </w:r>
      <w:r>
        <w:rPr>
          <w:i/>
          <w:sz w:val="13"/>
        </w:rPr>
        <w:t>Views: Communication No 11/2013, </w:t>
      </w:r>
      <w:r>
        <w:rPr>
          <w:sz w:val="13"/>
        </w:rPr>
        <w:t>15th sess, UN Doc CRPD/    C/15/D/13/2013 </w:t>
      </w:r>
      <w:r>
        <w:rPr>
          <w:spacing w:val="2"/>
          <w:sz w:val="13"/>
        </w:rPr>
        <w:t>(30 </w:t>
      </w:r>
      <w:r>
        <w:rPr>
          <w:sz w:val="13"/>
        </w:rPr>
        <w:t>May 2016) (</w:t>
      </w:r>
      <w:r>
        <w:rPr>
          <w:i/>
          <w:sz w:val="13"/>
        </w:rPr>
        <w:t>‘Lockrey v Australia’</w:t>
      </w:r>
      <w:r>
        <w:rPr>
          <w:sz w:val="13"/>
        </w:rPr>
        <w:t>); Committee on the Rights of Persons with </w:t>
      </w:r>
      <w:r>
        <w:rPr>
          <w:spacing w:val="2"/>
          <w:sz w:val="13"/>
        </w:rPr>
        <w:t>Disabilities</w:t>
      </w:r>
      <w:r>
        <w:rPr>
          <w:i/>
          <w:spacing w:val="2"/>
          <w:sz w:val="13"/>
        </w:rPr>
        <w:t>, </w:t>
      </w:r>
      <w:r>
        <w:rPr>
          <w:i/>
          <w:sz w:val="13"/>
        </w:rPr>
        <w:t>Views: Communication </w:t>
      </w:r>
      <w:r>
        <w:rPr>
          <w:i/>
          <w:sz w:val="13"/>
        </w:rPr>
        <w:t>No 11/2013, </w:t>
      </w:r>
      <w:r>
        <w:rPr>
          <w:sz w:val="13"/>
        </w:rPr>
        <w:t>15th sess, UN Doc CRPD/C/15/D/11/2013 (25 May 2016) (</w:t>
      </w:r>
      <w:r>
        <w:rPr>
          <w:i/>
          <w:sz w:val="13"/>
        </w:rPr>
        <w:t>‘Beasley v Australia’</w:t>
      </w:r>
      <w:r>
        <w:rPr>
          <w:sz w:val="13"/>
        </w:rPr>
        <w:t>); Committee on the Rights of Persons   with </w:t>
      </w:r>
      <w:r>
        <w:rPr>
          <w:spacing w:val="2"/>
          <w:sz w:val="13"/>
        </w:rPr>
        <w:t>Disabilities, </w:t>
      </w:r>
      <w:r>
        <w:rPr>
          <w:i/>
          <w:sz w:val="13"/>
        </w:rPr>
        <w:t>Views: Communication No 35/2016, </w:t>
      </w:r>
      <w:r>
        <w:rPr>
          <w:sz w:val="13"/>
        </w:rPr>
        <w:t>20th sess, UN Doc CRPD/C/20/D/35/2016 </w:t>
      </w:r>
      <w:r>
        <w:rPr>
          <w:spacing w:val="2"/>
          <w:sz w:val="13"/>
        </w:rPr>
        <w:t>(31 </w:t>
      </w:r>
      <w:r>
        <w:rPr>
          <w:sz w:val="13"/>
        </w:rPr>
        <w:t>August 2018) (‘</w:t>
      </w:r>
      <w:r>
        <w:rPr>
          <w:i/>
          <w:sz w:val="13"/>
        </w:rPr>
        <w:t>JH v Australia</w:t>
      </w:r>
      <w:r>
        <w:rPr>
          <w:sz w:val="13"/>
        </w:rPr>
        <w:t>’). See </w:t>
      </w:r>
      <w:r>
        <w:rPr>
          <w:spacing w:val="2"/>
          <w:sz w:val="13"/>
        </w:rPr>
        <w:t>further </w:t>
      </w:r>
      <w:r>
        <w:rPr>
          <w:sz w:val="13"/>
        </w:rPr>
        <w:t>discussion about the CRPD and these cases in Chapter</w:t>
      </w:r>
      <w:r>
        <w:rPr>
          <w:spacing w:val="5"/>
          <w:sz w:val="13"/>
        </w:rPr>
        <w:t> </w:t>
      </w:r>
      <w:r>
        <w:rPr>
          <w:sz w:val="13"/>
        </w:rPr>
        <w:t>6.</w:t>
      </w:r>
    </w:p>
    <w:p>
      <w:pPr>
        <w:pStyle w:val="ListParagraph"/>
        <w:numPr>
          <w:ilvl w:val="0"/>
          <w:numId w:val="13"/>
        </w:numPr>
        <w:tabs>
          <w:tab w:pos="1761" w:val="left" w:leader="none"/>
          <w:tab w:pos="1762" w:val="left" w:leader="none"/>
        </w:tabs>
        <w:spacing w:line="151" w:lineRule="exact" w:before="0" w:after="0"/>
        <w:ind w:left="1761" w:right="0" w:hanging="794"/>
        <w:jc w:val="left"/>
        <w:rPr>
          <w:sz w:val="13"/>
        </w:rPr>
      </w:pPr>
      <w:r>
        <w:rPr/>
        <w:pict>
          <v:shape style="position:absolute;margin-left:552.242493pt;margin-top:3.248293pt;width:6.7pt;height:14.1pt;mso-position-horizontal-relative:page;mso-position-vertical-relative:paragraph;z-index:2008" type="#_x0000_t202" filled="false" stroked="false">
            <v:textbox inset="0,0,0,0">
              <w:txbxContent>
                <w:p>
                  <w:pPr>
                    <w:spacing w:line="282" w:lineRule="exact" w:before="0"/>
                    <w:ind w:left="0" w:right="0" w:firstLine="0"/>
                    <w:jc w:val="left"/>
                    <w:rPr>
                      <w:b/>
                      <w:sz w:val="24"/>
                    </w:rPr>
                  </w:pPr>
                  <w:r>
                    <w:rPr>
                      <w:b/>
                      <w:color w:val="37617A"/>
                      <w:sz w:val="24"/>
                    </w:rPr>
                    <w:t>3</w:t>
                  </w:r>
                </w:p>
              </w:txbxContent>
            </v:textbox>
            <w10:wrap type="none"/>
          </v:shape>
        </w:pict>
      </w:r>
      <w:r>
        <w:rPr>
          <w:i/>
          <w:sz w:val="13"/>
        </w:rPr>
        <w:t>Juries Act 2000 </w:t>
      </w:r>
      <w:r>
        <w:rPr>
          <w:spacing w:val="2"/>
          <w:sz w:val="13"/>
        </w:rPr>
        <w:t>(Vic) </w:t>
      </w:r>
      <w:r>
        <w:rPr>
          <w:sz w:val="13"/>
        </w:rPr>
        <w:t>s</w:t>
      </w:r>
      <w:r>
        <w:rPr>
          <w:spacing w:val="-2"/>
          <w:sz w:val="13"/>
        </w:rPr>
        <w:t> </w:t>
      </w:r>
      <w:r>
        <w:rPr>
          <w:spacing w:val="3"/>
          <w:sz w:val="13"/>
        </w:rPr>
        <w:t>1.</w:t>
      </w:r>
    </w:p>
    <w:p>
      <w:pPr>
        <w:pStyle w:val="ListParagraph"/>
        <w:numPr>
          <w:ilvl w:val="0"/>
          <w:numId w:val="13"/>
        </w:numPr>
        <w:tabs>
          <w:tab w:pos="1760" w:val="left" w:leader="none"/>
          <w:tab w:pos="1762" w:val="left" w:leader="none"/>
        </w:tabs>
        <w:spacing w:line="170" w:lineRule="exact" w:before="0" w:after="0"/>
        <w:ind w:left="1761" w:right="0" w:hanging="794"/>
        <w:jc w:val="left"/>
        <w:rPr>
          <w:sz w:val="13"/>
        </w:rPr>
      </w:pPr>
      <w:r>
        <w:rPr>
          <w:sz w:val="13"/>
        </w:rPr>
        <w:t>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 11</w:t>
      </w:r>
      <w:r>
        <w:rPr>
          <w:spacing w:val="7"/>
          <w:sz w:val="13"/>
        </w:rPr>
        <w:t> </w:t>
      </w:r>
      <w:r>
        <w:rPr>
          <w:spacing w:val="2"/>
          <w:sz w:val="13"/>
        </w:rPr>
        <w:t>[1.20].</w:t>
      </w:r>
    </w:p>
    <w:p>
      <w:pPr>
        <w:spacing w:after="0" w:line="170" w:lineRule="exact"/>
        <w:jc w:val="left"/>
        <w:rPr>
          <w:sz w:val="13"/>
        </w:rPr>
        <w:sectPr>
          <w:headerReference w:type="default" r:id="rId26"/>
          <w:headerReference w:type="even" r:id="rId27"/>
          <w:pgSz w:w="11910" w:h="16840"/>
          <w:pgMar w:header="0" w:footer="0" w:top="840" w:bottom="280" w:left="620" w:right="380"/>
        </w:sectPr>
      </w:pPr>
    </w:p>
    <w:p>
      <w:pPr>
        <w:pStyle w:val="BodyText"/>
      </w:pPr>
    </w:p>
    <w:p>
      <w:pPr>
        <w:pStyle w:val="BodyText"/>
      </w:pPr>
    </w:p>
    <w:p>
      <w:pPr>
        <w:pStyle w:val="BodyText"/>
      </w:pPr>
    </w:p>
    <w:p>
      <w:pPr>
        <w:spacing w:before="212"/>
        <w:ind w:left="967" w:right="0" w:firstLine="0"/>
        <w:jc w:val="left"/>
        <w:rPr>
          <w:rFonts w:ascii="Raleway ExtraBold"/>
          <w:b/>
          <w:sz w:val="28"/>
        </w:rPr>
      </w:pPr>
      <w:bookmarkStart w:name="Our approach to reform" w:id="20"/>
      <w:bookmarkEnd w:id="20"/>
      <w:r>
        <w:rPr/>
      </w:r>
      <w:bookmarkStart w:name="_bookmark8" w:id="21"/>
      <w:bookmarkEnd w:id="21"/>
      <w:r>
        <w:rPr/>
      </w:r>
      <w:r>
        <w:rPr>
          <w:rFonts w:ascii="Raleway ExtraBold"/>
          <w:b/>
          <w:color w:val="37617A"/>
          <w:sz w:val="28"/>
        </w:rPr>
        <w:t>Our approach to reform</w:t>
      </w:r>
    </w:p>
    <w:p>
      <w:pPr>
        <w:spacing w:before="184"/>
        <w:ind w:left="967" w:right="0" w:firstLine="0"/>
        <w:jc w:val="left"/>
        <w:rPr>
          <w:b/>
          <w:sz w:val="24"/>
        </w:rPr>
      </w:pPr>
      <w:r>
        <w:rPr>
          <w:b/>
          <w:sz w:val="24"/>
        </w:rPr>
        <w:t>The social model of disability</w:t>
      </w:r>
    </w:p>
    <w:p>
      <w:pPr>
        <w:pStyle w:val="ListParagraph"/>
        <w:numPr>
          <w:ilvl w:val="1"/>
          <w:numId w:val="12"/>
        </w:numPr>
        <w:tabs>
          <w:tab w:pos="1761" w:val="left" w:leader="none"/>
          <w:tab w:pos="1762" w:val="left" w:leader="none"/>
        </w:tabs>
        <w:spacing w:line="206" w:lineRule="auto" w:before="127" w:after="0"/>
        <w:ind w:left="1761" w:right="1629" w:hanging="794"/>
        <w:jc w:val="left"/>
        <w:rPr>
          <w:sz w:val="20"/>
        </w:rPr>
      </w:pPr>
      <w:r>
        <w:rPr>
          <w:sz w:val="20"/>
        </w:rPr>
        <w:t>The</w:t>
      </w:r>
      <w:r>
        <w:rPr>
          <w:spacing w:val="-12"/>
          <w:sz w:val="20"/>
        </w:rPr>
        <w:t> </w:t>
      </w:r>
      <w:r>
        <w:rPr>
          <w:sz w:val="20"/>
        </w:rPr>
        <w:t>CRPD</w:t>
      </w:r>
      <w:r>
        <w:rPr>
          <w:spacing w:val="-12"/>
          <w:sz w:val="20"/>
        </w:rPr>
        <w:t> </w:t>
      </w:r>
      <w:r>
        <w:rPr>
          <w:sz w:val="20"/>
        </w:rPr>
        <w:t>adopts</w:t>
      </w:r>
      <w:r>
        <w:rPr>
          <w:spacing w:val="-11"/>
          <w:sz w:val="20"/>
        </w:rPr>
        <w:t> </w:t>
      </w:r>
      <w:r>
        <w:rPr>
          <w:sz w:val="20"/>
        </w:rPr>
        <w:t>a</w:t>
      </w:r>
      <w:r>
        <w:rPr>
          <w:spacing w:val="-12"/>
          <w:sz w:val="20"/>
        </w:rPr>
        <w:t> </w:t>
      </w:r>
      <w:r>
        <w:rPr>
          <w:sz w:val="20"/>
        </w:rPr>
        <w:t>‘social</w:t>
      </w:r>
      <w:r>
        <w:rPr>
          <w:spacing w:val="-11"/>
          <w:sz w:val="20"/>
        </w:rPr>
        <w:t> </w:t>
      </w:r>
      <w:r>
        <w:rPr>
          <w:sz w:val="20"/>
        </w:rPr>
        <w:t>model’</w:t>
      </w:r>
      <w:r>
        <w:rPr>
          <w:spacing w:val="-12"/>
          <w:sz w:val="20"/>
        </w:rPr>
        <w:t> </w:t>
      </w:r>
      <w:r>
        <w:rPr>
          <w:sz w:val="20"/>
        </w:rPr>
        <w:t>of</w:t>
      </w:r>
      <w:r>
        <w:rPr>
          <w:spacing w:val="-11"/>
          <w:sz w:val="20"/>
        </w:rPr>
        <w:t> </w:t>
      </w:r>
      <w:r>
        <w:rPr>
          <w:sz w:val="20"/>
        </w:rPr>
        <w:t>disability,</w:t>
      </w:r>
      <w:r>
        <w:rPr>
          <w:spacing w:val="-12"/>
          <w:sz w:val="20"/>
        </w:rPr>
        <w:t> </w:t>
      </w:r>
      <w:r>
        <w:rPr>
          <w:sz w:val="20"/>
        </w:rPr>
        <w:t>which</w:t>
      </w:r>
      <w:r>
        <w:rPr>
          <w:spacing w:val="-11"/>
          <w:sz w:val="20"/>
        </w:rPr>
        <w:t> </w:t>
      </w:r>
      <w:r>
        <w:rPr>
          <w:sz w:val="20"/>
        </w:rPr>
        <w:t>proposes</w:t>
      </w:r>
      <w:r>
        <w:rPr>
          <w:spacing w:val="-12"/>
          <w:sz w:val="20"/>
        </w:rPr>
        <w:t> </w:t>
      </w:r>
      <w:r>
        <w:rPr>
          <w:sz w:val="20"/>
        </w:rPr>
        <w:t>that</w:t>
      </w:r>
      <w:r>
        <w:rPr>
          <w:spacing w:val="-11"/>
          <w:sz w:val="20"/>
        </w:rPr>
        <w:t> </w:t>
      </w:r>
      <w:r>
        <w:rPr>
          <w:sz w:val="20"/>
        </w:rPr>
        <w:t>disability</w:t>
      </w:r>
      <w:r>
        <w:rPr>
          <w:spacing w:val="-12"/>
          <w:sz w:val="20"/>
        </w:rPr>
        <w:t> </w:t>
      </w:r>
      <w:r>
        <w:rPr>
          <w:sz w:val="20"/>
        </w:rPr>
        <w:t>arises </w:t>
      </w:r>
      <w:r>
        <w:rPr>
          <w:spacing w:val="-3"/>
          <w:sz w:val="20"/>
        </w:rPr>
        <w:t>from</w:t>
      </w:r>
      <w:r>
        <w:rPr>
          <w:spacing w:val="-6"/>
          <w:sz w:val="20"/>
        </w:rPr>
        <w:t> </w:t>
      </w:r>
      <w:r>
        <w:rPr>
          <w:sz w:val="20"/>
        </w:rPr>
        <w:t>certain</w:t>
      </w:r>
      <w:r>
        <w:rPr>
          <w:spacing w:val="-6"/>
          <w:sz w:val="20"/>
        </w:rPr>
        <w:t> </w:t>
      </w:r>
      <w:r>
        <w:rPr>
          <w:sz w:val="20"/>
        </w:rPr>
        <w:t>barriers</w:t>
      </w:r>
      <w:r>
        <w:rPr>
          <w:spacing w:val="-5"/>
          <w:sz w:val="20"/>
        </w:rPr>
        <w:t> </w:t>
      </w:r>
      <w:r>
        <w:rPr>
          <w:sz w:val="20"/>
        </w:rPr>
        <w:t>in</w:t>
      </w:r>
      <w:r>
        <w:rPr>
          <w:spacing w:val="-6"/>
          <w:sz w:val="20"/>
        </w:rPr>
        <w:t> </w:t>
      </w:r>
      <w:r>
        <w:rPr>
          <w:spacing w:val="-3"/>
          <w:sz w:val="20"/>
        </w:rPr>
        <w:t>society.</w:t>
      </w:r>
      <w:r>
        <w:rPr>
          <w:spacing w:val="-5"/>
          <w:sz w:val="20"/>
        </w:rPr>
        <w:t> </w:t>
      </w:r>
      <w:r>
        <w:rPr>
          <w:sz w:val="20"/>
        </w:rPr>
        <w:t>The</w:t>
      </w:r>
      <w:r>
        <w:rPr>
          <w:spacing w:val="-6"/>
          <w:sz w:val="20"/>
        </w:rPr>
        <w:t> </w:t>
      </w:r>
      <w:r>
        <w:rPr>
          <w:spacing w:val="-3"/>
          <w:sz w:val="20"/>
        </w:rPr>
        <w:t>preamble</w:t>
      </w:r>
      <w:r>
        <w:rPr>
          <w:spacing w:val="-5"/>
          <w:sz w:val="20"/>
        </w:rPr>
        <w:t> </w:t>
      </w:r>
      <w:r>
        <w:rPr>
          <w:sz w:val="20"/>
        </w:rPr>
        <w:t>of</w:t>
      </w:r>
      <w:r>
        <w:rPr>
          <w:spacing w:val="-6"/>
          <w:sz w:val="20"/>
        </w:rPr>
        <w:t> </w:t>
      </w:r>
      <w:r>
        <w:rPr>
          <w:sz w:val="20"/>
        </w:rPr>
        <w:t>the</w:t>
      </w:r>
      <w:r>
        <w:rPr>
          <w:spacing w:val="-5"/>
          <w:sz w:val="20"/>
        </w:rPr>
        <w:t> </w:t>
      </w:r>
      <w:r>
        <w:rPr>
          <w:sz w:val="20"/>
        </w:rPr>
        <w:t>CRPD</w:t>
      </w:r>
      <w:r>
        <w:rPr>
          <w:spacing w:val="-6"/>
          <w:sz w:val="20"/>
        </w:rPr>
        <w:t> </w:t>
      </w:r>
      <w:r>
        <w:rPr>
          <w:sz w:val="20"/>
        </w:rPr>
        <w:t>recognises</w:t>
      </w:r>
      <w:r>
        <w:rPr>
          <w:spacing w:val="-5"/>
          <w:sz w:val="20"/>
        </w:rPr>
        <w:t> </w:t>
      </w:r>
      <w:r>
        <w:rPr>
          <w:sz w:val="20"/>
        </w:rPr>
        <w:t>that:</w:t>
      </w:r>
    </w:p>
    <w:p>
      <w:pPr>
        <w:spacing w:line="208" w:lineRule="auto" w:before="120"/>
        <w:ind w:left="2157" w:right="1335" w:firstLine="0"/>
        <w:jc w:val="left"/>
        <w:rPr>
          <w:sz w:val="11"/>
        </w:rPr>
      </w:pPr>
      <w:r>
        <w:rPr>
          <w:sz w:val="19"/>
        </w:rPr>
        <w:t>disability is an evolving concept and that disability results from the interaction between persons with impairments and attitudinal and environmental barriers that hinders their full and effective participation in society on an equal basis with others.</w:t>
      </w:r>
      <w:r>
        <w:rPr>
          <w:position w:val="6"/>
          <w:sz w:val="11"/>
        </w:rPr>
        <w:t>6</w:t>
      </w:r>
    </w:p>
    <w:p>
      <w:pPr>
        <w:pStyle w:val="ListParagraph"/>
        <w:numPr>
          <w:ilvl w:val="1"/>
          <w:numId w:val="12"/>
        </w:numPr>
        <w:tabs>
          <w:tab w:pos="1761" w:val="left" w:leader="none"/>
          <w:tab w:pos="1762" w:val="left" w:leader="none"/>
        </w:tabs>
        <w:spacing w:line="206" w:lineRule="auto" w:before="124" w:after="0"/>
        <w:ind w:left="1761" w:right="1342" w:hanging="794"/>
        <w:jc w:val="left"/>
        <w:rPr>
          <w:sz w:val="11"/>
        </w:rPr>
      </w:pPr>
      <w:r>
        <w:rPr>
          <w:sz w:val="20"/>
        </w:rPr>
        <w:t>In other </w:t>
      </w:r>
      <w:r>
        <w:rPr>
          <w:spacing w:val="-3"/>
          <w:sz w:val="20"/>
        </w:rPr>
        <w:t>words, </w:t>
      </w:r>
      <w:r>
        <w:rPr>
          <w:sz w:val="20"/>
        </w:rPr>
        <w:t>as </w:t>
      </w:r>
      <w:r>
        <w:rPr>
          <w:spacing w:val="-3"/>
          <w:sz w:val="20"/>
        </w:rPr>
        <w:t>Victoria’s </w:t>
      </w:r>
      <w:r>
        <w:rPr>
          <w:sz w:val="20"/>
        </w:rPr>
        <w:t>new </w:t>
      </w:r>
      <w:r>
        <w:rPr>
          <w:spacing w:val="-3"/>
          <w:sz w:val="20"/>
        </w:rPr>
        <w:t>State </w:t>
      </w:r>
      <w:r>
        <w:rPr>
          <w:sz w:val="20"/>
        </w:rPr>
        <w:t>Disability Plan </w:t>
      </w:r>
      <w:r>
        <w:rPr>
          <w:spacing w:val="-4"/>
          <w:sz w:val="20"/>
        </w:rPr>
        <w:t>2022–2026 </w:t>
      </w:r>
      <w:r>
        <w:rPr>
          <w:sz w:val="20"/>
        </w:rPr>
        <w:t>notes, ‘it is society that places limits on a person, not their </w:t>
      </w:r>
      <w:r>
        <w:rPr>
          <w:spacing w:val="-3"/>
          <w:sz w:val="20"/>
        </w:rPr>
        <w:t>disability’.</w:t>
      </w:r>
      <w:r>
        <w:rPr>
          <w:spacing w:val="-3"/>
          <w:position w:val="7"/>
          <w:sz w:val="11"/>
        </w:rPr>
        <w:t>7 </w:t>
      </w:r>
      <w:r>
        <w:rPr>
          <w:sz w:val="20"/>
        </w:rPr>
        <w:t>The social model of disability shifts the</w:t>
      </w:r>
      <w:r>
        <w:rPr>
          <w:spacing w:val="-9"/>
          <w:sz w:val="20"/>
        </w:rPr>
        <w:t> </w:t>
      </w:r>
      <w:r>
        <w:rPr>
          <w:sz w:val="20"/>
        </w:rPr>
        <w:t>focus</w:t>
      </w:r>
      <w:r>
        <w:rPr>
          <w:spacing w:val="-8"/>
          <w:sz w:val="20"/>
        </w:rPr>
        <w:t> </w:t>
      </w:r>
      <w:r>
        <w:rPr>
          <w:spacing w:val="-3"/>
          <w:sz w:val="20"/>
        </w:rPr>
        <w:t>from</w:t>
      </w:r>
      <w:r>
        <w:rPr>
          <w:spacing w:val="-8"/>
          <w:sz w:val="20"/>
        </w:rPr>
        <w:t> </w:t>
      </w:r>
      <w:r>
        <w:rPr>
          <w:sz w:val="20"/>
        </w:rPr>
        <w:t>an</w:t>
      </w:r>
      <w:r>
        <w:rPr>
          <w:spacing w:val="-8"/>
          <w:sz w:val="20"/>
        </w:rPr>
        <w:t> </w:t>
      </w:r>
      <w:r>
        <w:rPr>
          <w:sz w:val="20"/>
        </w:rPr>
        <w:t>individual’s</w:t>
      </w:r>
      <w:r>
        <w:rPr>
          <w:spacing w:val="-9"/>
          <w:sz w:val="20"/>
        </w:rPr>
        <w:t> </w:t>
      </w:r>
      <w:r>
        <w:rPr>
          <w:sz w:val="20"/>
        </w:rPr>
        <w:t>disability</w:t>
      </w:r>
      <w:r>
        <w:rPr>
          <w:spacing w:val="-8"/>
          <w:sz w:val="20"/>
        </w:rPr>
        <w:t> </w:t>
      </w:r>
      <w:r>
        <w:rPr>
          <w:sz w:val="20"/>
        </w:rPr>
        <w:t>to</w:t>
      </w:r>
      <w:r>
        <w:rPr>
          <w:spacing w:val="-8"/>
          <w:sz w:val="20"/>
        </w:rPr>
        <w:t> </w:t>
      </w:r>
      <w:r>
        <w:rPr>
          <w:sz w:val="20"/>
        </w:rPr>
        <w:t>the</w:t>
      </w:r>
      <w:r>
        <w:rPr>
          <w:spacing w:val="-8"/>
          <w:sz w:val="20"/>
        </w:rPr>
        <w:t> </w:t>
      </w:r>
      <w:r>
        <w:rPr>
          <w:sz w:val="20"/>
        </w:rPr>
        <w:t>social</w:t>
      </w:r>
      <w:r>
        <w:rPr>
          <w:spacing w:val="-8"/>
          <w:sz w:val="20"/>
        </w:rPr>
        <w:t> </w:t>
      </w:r>
      <w:r>
        <w:rPr>
          <w:spacing w:val="-3"/>
          <w:sz w:val="20"/>
        </w:rPr>
        <w:t>environment</w:t>
      </w:r>
      <w:r>
        <w:rPr>
          <w:spacing w:val="-9"/>
          <w:sz w:val="20"/>
        </w:rPr>
        <w:t> </w:t>
      </w:r>
      <w:r>
        <w:rPr>
          <w:sz w:val="20"/>
        </w:rPr>
        <w:t>in</w:t>
      </w:r>
      <w:r>
        <w:rPr>
          <w:spacing w:val="-8"/>
          <w:sz w:val="20"/>
        </w:rPr>
        <w:t> </w:t>
      </w:r>
      <w:r>
        <w:rPr>
          <w:sz w:val="20"/>
        </w:rPr>
        <w:t>which</w:t>
      </w:r>
      <w:r>
        <w:rPr>
          <w:spacing w:val="-8"/>
          <w:sz w:val="20"/>
        </w:rPr>
        <w:t> </w:t>
      </w:r>
      <w:r>
        <w:rPr>
          <w:sz w:val="20"/>
        </w:rPr>
        <w:t>people</w:t>
      </w:r>
      <w:r>
        <w:rPr>
          <w:spacing w:val="-8"/>
          <w:sz w:val="20"/>
        </w:rPr>
        <w:t> </w:t>
      </w:r>
      <w:r>
        <w:rPr>
          <w:spacing w:val="-3"/>
          <w:sz w:val="20"/>
        </w:rPr>
        <w:t>live. According </w:t>
      </w:r>
      <w:r>
        <w:rPr>
          <w:sz w:val="20"/>
        </w:rPr>
        <w:t>to this model, disability arises when people encounter physical barriers, digital barriers and barriers of attitudes and communication, which impede their participation</w:t>
      </w:r>
      <w:r>
        <w:rPr>
          <w:spacing w:val="-10"/>
          <w:sz w:val="20"/>
        </w:rPr>
        <w:t> </w:t>
      </w:r>
      <w:r>
        <w:rPr>
          <w:sz w:val="20"/>
        </w:rPr>
        <w:t>in</w:t>
      </w:r>
      <w:r>
        <w:rPr>
          <w:spacing w:val="-10"/>
          <w:sz w:val="20"/>
        </w:rPr>
        <w:t> </w:t>
      </w:r>
      <w:r>
        <w:rPr>
          <w:spacing w:val="-3"/>
          <w:sz w:val="20"/>
        </w:rPr>
        <w:t>society.</w:t>
      </w:r>
      <w:r>
        <w:rPr>
          <w:spacing w:val="-10"/>
          <w:sz w:val="20"/>
        </w:rPr>
        <w:t> </w:t>
      </w:r>
      <w:r>
        <w:rPr>
          <w:sz w:val="20"/>
        </w:rPr>
        <w:t>By</w:t>
      </w:r>
      <w:r>
        <w:rPr>
          <w:spacing w:val="-10"/>
          <w:sz w:val="20"/>
        </w:rPr>
        <w:t> </w:t>
      </w:r>
      <w:r>
        <w:rPr>
          <w:sz w:val="20"/>
        </w:rPr>
        <w:t>contrast,</w:t>
      </w:r>
      <w:r>
        <w:rPr>
          <w:spacing w:val="-10"/>
          <w:sz w:val="20"/>
        </w:rPr>
        <w:t> </w:t>
      </w:r>
      <w:r>
        <w:rPr>
          <w:sz w:val="20"/>
        </w:rPr>
        <w:t>the</w:t>
      </w:r>
      <w:r>
        <w:rPr>
          <w:spacing w:val="-10"/>
          <w:sz w:val="20"/>
        </w:rPr>
        <w:t> </w:t>
      </w:r>
      <w:r>
        <w:rPr>
          <w:sz w:val="20"/>
        </w:rPr>
        <w:t>medical</w:t>
      </w:r>
      <w:r>
        <w:rPr>
          <w:spacing w:val="-10"/>
          <w:sz w:val="20"/>
        </w:rPr>
        <w:t> </w:t>
      </w:r>
      <w:r>
        <w:rPr>
          <w:sz w:val="20"/>
        </w:rPr>
        <w:t>model</w:t>
      </w:r>
      <w:r>
        <w:rPr>
          <w:spacing w:val="-10"/>
          <w:sz w:val="20"/>
        </w:rPr>
        <w:t> </w:t>
      </w:r>
      <w:r>
        <w:rPr>
          <w:sz w:val="20"/>
        </w:rPr>
        <w:t>looks</w:t>
      </w:r>
      <w:r>
        <w:rPr>
          <w:spacing w:val="-10"/>
          <w:sz w:val="20"/>
        </w:rPr>
        <w:t> </w:t>
      </w:r>
      <w:r>
        <w:rPr>
          <w:sz w:val="20"/>
        </w:rPr>
        <w:t>at</w:t>
      </w:r>
      <w:r>
        <w:rPr>
          <w:spacing w:val="-10"/>
          <w:sz w:val="20"/>
        </w:rPr>
        <w:t> </w:t>
      </w:r>
      <w:r>
        <w:rPr>
          <w:sz w:val="20"/>
        </w:rPr>
        <w:t>disability</w:t>
      </w:r>
      <w:r>
        <w:rPr>
          <w:spacing w:val="-10"/>
          <w:sz w:val="20"/>
        </w:rPr>
        <w:t> </w:t>
      </w:r>
      <w:r>
        <w:rPr>
          <w:sz w:val="20"/>
        </w:rPr>
        <w:t>as</w:t>
      </w:r>
      <w:r>
        <w:rPr>
          <w:spacing w:val="-10"/>
          <w:sz w:val="20"/>
        </w:rPr>
        <w:t> </w:t>
      </w:r>
      <w:r>
        <w:rPr>
          <w:spacing w:val="-4"/>
          <w:sz w:val="20"/>
        </w:rPr>
        <w:t>‘a</w:t>
      </w:r>
      <w:r>
        <w:rPr>
          <w:spacing w:val="-10"/>
          <w:sz w:val="20"/>
        </w:rPr>
        <w:t> </w:t>
      </w:r>
      <w:r>
        <w:rPr>
          <w:sz w:val="20"/>
        </w:rPr>
        <w:t>medical condition</w:t>
      </w:r>
      <w:r>
        <w:rPr>
          <w:spacing w:val="-5"/>
          <w:sz w:val="20"/>
        </w:rPr>
        <w:t> </w:t>
      </w:r>
      <w:r>
        <w:rPr>
          <w:sz w:val="20"/>
        </w:rPr>
        <w:t>…</w:t>
      </w:r>
      <w:r>
        <w:rPr>
          <w:spacing w:val="-5"/>
          <w:sz w:val="20"/>
        </w:rPr>
        <w:t> </w:t>
      </w:r>
      <w:r>
        <w:rPr>
          <w:sz w:val="20"/>
        </w:rPr>
        <w:t>for</w:t>
      </w:r>
      <w:r>
        <w:rPr>
          <w:spacing w:val="-5"/>
          <w:sz w:val="20"/>
        </w:rPr>
        <w:t> </w:t>
      </w:r>
      <w:r>
        <w:rPr>
          <w:sz w:val="20"/>
        </w:rPr>
        <w:t>health</w:t>
      </w:r>
      <w:r>
        <w:rPr>
          <w:spacing w:val="-5"/>
          <w:sz w:val="20"/>
        </w:rPr>
        <w:t> </w:t>
      </w:r>
      <w:r>
        <w:rPr>
          <w:sz w:val="20"/>
        </w:rPr>
        <w:t>professionals</w:t>
      </w:r>
      <w:r>
        <w:rPr>
          <w:spacing w:val="-5"/>
          <w:sz w:val="20"/>
        </w:rPr>
        <w:t> </w:t>
      </w:r>
      <w:r>
        <w:rPr>
          <w:sz w:val="20"/>
        </w:rPr>
        <w:t>to</w:t>
      </w:r>
      <w:r>
        <w:rPr>
          <w:spacing w:val="-5"/>
          <w:sz w:val="20"/>
        </w:rPr>
        <w:t> </w:t>
      </w:r>
      <w:r>
        <w:rPr>
          <w:sz w:val="20"/>
        </w:rPr>
        <w:t>treat,</w:t>
      </w:r>
      <w:r>
        <w:rPr>
          <w:spacing w:val="-5"/>
          <w:sz w:val="20"/>
        </w:rPr>
        <w:t> </w:t>
      </w:r>
      <w:r>
        <w:rPr>
          <w:sz w:val="20"/>
        </w:rPr>
        <w:t>fix</w:t>
      </w:r>
      <w:r>
        <w:rPr>
          <w:spacing w:val="-5"/>
          <w:sz w:val="20"/>
        </w:rPr>
        <w:t> </w:t>
      </w:r>
      <w:r>
        <w:rPr>
          <w:sz w:val="20"/>
        </w:rPr>
        <w:t>or</w:t>
      </w:r>
      <w:r>
        <w:rPr>
          <w:spacing w:val="-5"/>
          <w:sz w:val="20"/>
        </w:rPr>
        <w:t> </w:t>
      </w:r>
      <w:r>
        <w:rPr>
          <w:spacing w:val="-4"/>
          <w:sz w:val="20"/>
        </w:rPr>
        <w:t>cure’.</w:t>
      </w:r>
      <w:r>
        <w:rPr>
          <w:spacing w:val="-4"/>
          <w:position w:val="7"/>
          <w:sz w:val="11"/>
        </w:rPr>
        <w:t>8</w:t>
      </w:r>
    </w:p>
    <w:p>
      <w:pPr>
        <w:pStyle w:val="ListParagraph"/>
        <w:numPr>
          <w:ilvl w:val="1"/>
          <w:numId w:val="12"/>
        </w:numPr>
        <w:tabs>
          <w:tab w:pos="1761" w:val="left" w:leader="none"/>
          <w:tab w:pos="1762" w:val="left" w:leader="none"/>
        </w:tabs>
        <w:spacing w:line="206" w:lineRule="auto" w:before="129" w:after="0"/>
        <w:ind w:left="1761" w:right="1268" w:hanging="794"/>
        <w:jc w:val="left"/>
        <w:rPr>
          <w:sz w:val="20"/>
        </w:rPr>
      </w:pPr>
      <w:r>
        <w:rPr>
          <w:sz w:val="20"/>
        </w:rPr>
        <w:t>Applying this social model to jury </w:t>
      </w:r>
      <w:r>
        <w:rPr>
          <w:spacing w:val="-4"/>
          <w:sz w:val="20"/>
        </w:rPr>
        <w:t>duty, </w:t>
      </w:r>
      <w:r>
        <w:rPr>
          <w:sz w:val="20"/>
        </w:rPr>
        <w:t>the Commission’s </w:t>
      </w:r>
      <w:r>
        <w:rPr>
          <w:spacing w:val="-3"/>
          <w:sz w:val="20"/>
        </w:rPr>
        <w:t>reforms </w:t>
      </w:r>
      <w:r>
        <w:rPr>
          <w:sz w:val="20"/>
        </w:rPr>
        <w:t>focus on the interaction between the potential juror and the demands of the particular trial on which</w:t>
      </w:r>
      <w:r>
        <w:rPr>
          <w:spacing w:val="-9"/>
          <w:sz w:val="20"/>
        </w:rPr>
        <w:t> </w:t>
      </w:r>
      <w:r>
        <w:rPr>
          <w:sz w:val="20"/>
        </w:rPr>
        <w:t>they</w:t>
      </w:r>
      <w:r>
        <w:rPr>
          <w:spacing w:val="-9"/>
          <w:sz w:val="20"/>
        </w:rPr>
        <w:t> </w:t>
      </w:r>
      <w:r>
        <w:rPr>
          <w:spacing w:val="-3"/>
          <w:sz w:val="20"/>
        </w:rPr>
        <w:t>are</w:t>
      </w:r>
      <w:r>
        <w:rPr>
          <w:spacing w:val="-9"/>
          <w:sz w:val="20"/>
        </w:rPr>
        <w:t> </w:t>
      </w:r>
      <w:r>
        <w:rPr>
          <w:sz w:val="20"/>
        </w:rPr>
        <w:t>called</w:t>
      </w:r>
      <w:r>
        <w:rPr>
          <w:spacing w:val="-9"/>
          <w:sz w:val="20"/>
        </w:rPr>
        <w:t> </w:t>
      </w:r>
      <w:r>
        <w:rPr>
          <w:sz w:val="20"/>
        </w:rPr>
        <w:t>to</w:t>
      </w:r>
      <w:r>
        <w:rPr>
          <w:spacing w:val="-8"/>
          <w:sz w:val="20"/>
        </w:rPr>
        <w:t> </w:t>
      </w:r>
      <w:r>
        <w:rPr>
          <w:sz w:val="20"/>
        </w:rPr>
        <w:t>serve.</w:t>
      </w:r>
      <w:r>
        <w:rPr>
          <w:spacing w:val="-9"/>
          <w:sz w:val="20"/>
        </w:rPr>
        <w:t> </w:t>
      </w:r>
      <w:r>
        <w:rPr>
          <w:sz w:val="20"/>
        </w:rPr>
        <w:t>This</w:t>
      </w:r>
      <w:r>
        <w:rPr>
          <w:spacing w:val="-9"/>
          <w:sz w:val="20"/>
        </w:rPr>
        <w:t> </w:t>
      </w:r>
      <w:r>
        <w:rPr>
          <w:sz w:val="20"/>
        </w:rPr>
        <w:t>approach</w:t>
      </w:r>
      <w:r>
        <w:rPr>
          <w:spacing w:val="-9"/>
          <w:sz w:val="20"/>
        </w:rPr>
        <w:t> </w:t>
      </w:r>
      <w:r>
        <w:rPr>
          <w:spacing w:val="-3"/>
          <w:sz w:val="20"/>
        </w:rPr>
        <w:t>provides</w:t>
      </w:r>
      <w:r>
        <w:rPr>
          <w:spacing w:val="-9"/>
          <w:sz w:val="20"/>
        </w:rPr>
        <w:t> </w:t>
      </w:r>
      <w:r>
        <w:rPr>
          <w:sz w:val="20"/>
        </w:rPr>
        <w:t>a</w:t>
      </w:r>
      <w:r>
        <w:rPr>
          <w:spacing w:val="-8"/>
          <w:sz w:val="20"/>
        </w:rPr>
        <w:t> </w:t>
      </w:r>
      <w:r>
        <w:rPr>
          <w:spacing w:val="-3"/>
          <w:sz w:val="20"/>
        </w:rPr>
        <w:t>framework</w:t>
      </w:r>
      <w:r>
        <w:rPr>
          <w:spacing w:val="-9"/>
          <w:sz w:val="20"/>
        </w:rPr>
        <w:t> </w:t>
      </w:r>
      <w:r>
        <w:rPr>
          <w:sz w:val="20"/>
        </w:rPr>
        <w:t>for</w:t>
      </w:r>
      <w:r>
        <w:rPr>
          <w:spacing w:val="-9"/>
          <w:sz w:val="20"/>
        </w:rPr>
        <w:t> </w:t>
      </w:r>
      <w:r>
        <w:rPr>
          <w:sz w:val="20"/>
        </w:rPr>
        <w:t>addressing</w:t>
      </w:r>
      <w:r>
        <w:rPr>
          <w:spacing w:val="-9"/>
          <w:sz w:val="20"/>
        </w:rPr>
        <w:t> </w:t>
      </w:r>
      <w:r>
        <w:rPr>
          <w:sz w:val="20"/>
        </w:rPr>
        <w:t>and </w:t>
      </w:r>
      <w:r>
        <w:rPr>
          <w:spacing w:val="-3"/>
          <w:sz w:val="20"/>
        </w:rPr>
        <w:t>removing</w:t>
      </w:r>
      <w:r>
        <w:rPr>
          <w:spacing w:val="-7"/>
          <w:sz w:val="20"/>
        </w:rPr>
        <w:t> </w:t>
      </w:r>
      <w:r>
        <w:rPr>
          <w:sz w:val="20"/>
        </w:rPr>
        <w:t>barriers</w:t>
      </w:r>
      <w:r>
        <w:rPr>
          <w:spacing w:val="-7"/>
          <w:sz w:val="20"/>
        </w:rPr>
        <w:t> </w:t>
      </w:r>
      <w:r>
        <w:rPr>
          <w:sz w:val="20"/>
        </w:rPr>
        <w:t>to</w:t>
      </w:r>
      <w:r>
        <w:rPr>
          <w:spacing w:val="-6"/>
          <w:sz w:val="20"/>
        </w:rPr>
        <w:t> </w:t>
      </w:r>
      <w:r>
        <w:rPr>
          <w:sz w:val="20"/>
        </w:rPr>
        <w:t>participation,</w:t>
      </w:r>
      <w:r>
        <w:rPr>
          <w:spacing w:val="-7"/>
          <w:sz w:val="20"/>
        </w:rPr>
        <w:t> </w:t>
      </w:r>
      <w:r>
        <w:rPr>
          <w:sz w:val="20"/>
        </w:rPr>
        <w:t>while</w:t>
      </w:r>
      <w:r>
        <w:rPr>
          <w:spacing w:val="-7"/>
          <w:sz w:val="20"/>
        </w:rPr>
        <w:t> </w:t>
      </w:r>
      <w:r>
        <w:rPr>
          <w:sz w:val="20"/>
        </w:rPr>
        <w:t>safeguarding</w:t>
      </w:r>
      <w:r>
        <w:rPr>
          <w:spacing w:val="-6"/>
          <w:sz w:val="20"/>
        </w:rPr>
        <w:t> </w:t>
      </w:r>
      <w:r>
        <w:rPr>
          <w:sz w:val="20"/>
        </w:rPr>
        <w:t>the</w:t>
      </w:r>
      <w:r>
        <w:rPr>
          <w:spacing w:val="-7"/>
          <w:sz w:val="20"/>
        </w:rPr>
        <w:t> </w:t>
      </w:r>
      <w:r>
        <w:rPr>
          <w:sz w:val="20"/>
        </w:rPr>
        <w:t>right</w:t>
      </w:r>
      <w:r>
        <w:rPr>
          <w:spacing w:val="-7"/>
          <w:sz w:val="20"/>
        </w:rPr>
        <w:t> </w:t>
      </w:r>
      <w:r>
        <w:rPr>
          <w:sz w:val="20"/>
        </w:rPr>
        <w:t>to</w:t>
      </w:r>
      <w:r>
        <w:rPr>
          <w:spacing w:val="-6"/>
          <w:sz w:val="20"/>
        </w:rPr>
        <w:t> </w:t>
      </w:r>
      <w:r>
        <w:rPr>
          <w:sz w:val="20"/>
        </w:rPr>
        <w:t>a</w:t>
      </w:r>
      <w:r>
        <w:rPr>
          <w:spacing w:val="-7"/>
          <w:sz w:val="20"/>
        </w:rPr>
        <w:t> </w:t>
      </w:r>
      <w:r>
        <w:rPr>
          <w:sz w:val="20"/>
        </w:rPr>
        <w:t>fair</w:t>
      </w:r>
      <w:r>
        <w:rPr>
          <w:spacing w:val="-7"/>
          <w:sz w:val="20"/>
        </w:rPr>
        <w:t> </w:t>
      </w:r>
      <w:r>
        <w:rPr>
          <w:sz w:val="20"/>
        </w:rPr>
        <w:t>trial.</w:t>
      </w:r>
    </w:p>
    <w:p>
      <w:pPr>
        <w:spacing w:before="163"/>
        <w:ind w:left="967" w:right="0" w:firstLine="0"/>
        <w:jc w:val="left"/>
        <w:rPr>
          <w:b/>
          <w:sz w:val="24"/>
        </w:rPr>
      </w:pPr>
      <w:r>
        <w:rPr>
          <w:b/>
          <w:sz w:val="24"/>
        </w:rPr>
        <w:t>Building on other reform ideas</w:t>
      </w:r>
    </w:p>
    <w:p>
      <w:pPr>
        <w:pStyle w:val="ListParagraph"/>
        <w:numPr>
          <w:ilvl w:val="1"/>
          <w:numId w:val="12"/>
        </w:numPr>
        <w:tabs>
          <w:tab w:pos="1761" w:val="left" w:leader="none"/>
          <w:tab w:pos="1762" w:val="left" w:leader="none"/>
        </w:tabs>
        <w:spacing w:line="206" w:lineRule="auto" w:before="127" w:after="0"/>
        <w:ind w:left="1761" w:right="1398" w:hanging="794"/>
        <w:jc w:val="left"/>
        <w:rPr>
          <w:sz w:val="20"/>
        </w:rPr>
      </w:pPr>
      <w:r>
        <w:rPr>
          <w:sz w:val="20"/>
        </w:rPr>
        <w:t>This project responds to ongoing calls for change </w:t>
      </w:r>
      <w:r>
        <w:rPr>
          <w:spacing w:val="-3"/>
          <w:sz w:val="20"/>
        </w:rPr>
        <w:t>from </w:t>
      </w:r>
      <w:r>
        <w:rPr>
          <w:sz w:val="20"/>
        </w:rPr>
        <w:t>the community and </w:t>
      </w:r>
      <w:r>
        <w:rPr>
          <w:spacing w:val="-3"/>
          <w:sz w:val="20"/>
        </w:rPr>
        <w:t>recent </w:t>
      </w:r>
      <w:r>
        <w:rPr>
          <w:sz w:val="20"/>
        </w:rPr>
        <w:t>challenges to the </w:t>
      </w:r>
      <w:r>
        <w:rPr>
          <w:spacing w:val="-5"/>
          <w:sz w:val="20"/>
        </w:rPr>
        <w:t>law.</w:t>
      </w:r>
      <w:r>
        <w:rPr>
          <w:spacing w:val="-5"/>
          <w:position w:val="7"/>
          <w:sz w:val="11"/>
        </w:rPr>
        <w:t>9 </w:t>
      </w:r>
      <w:r>
        <w:rPr>
          <w:sz w:val="20"/>
        </w:rPr>
        <w:t>Other Australian and international law </w:t>
      </w:r>
      <w:r>
        <w:rPr>
          <w:spacing w:val="-3"/>
          <w:sz w:val="20"/>
        </w:rPr>
        <w:t>reform </w:t>
      </w:r>
      <w:r>
        <w:rPr>
          <w:sz w:val="20"/>
        </w:rPr>
        <w:t>agencies and various</w:t>
      </w:r>
      <w:r>
        <w:rPr>
          <w:spacing w:val="-8"/>
          <w:sz w:val="20"/>
        </w:rPr>
        <w:t> </w:t>
      </w:r>
      <w:r>
        <w:rPr>
          <w:sz w:val="20"/>
        </w:rPr>
        <w:t>reports</w:t>
      </w:r>
      <w:r>
        <w:rPr>
          <w:spacing w:val="-7"/>
          <w:sz w:val="20"/>
        </w:rPr>
        <w:t> </w:t>
      </w:r>
      <w:r>
        <w:rPr>
          <w:spacing w:val="-4"/>
          <w:sz w:val="20"/>
        </w:rPr>
        <w:t>have</w:t>
      </w:r>
      <w:r>
        <w:rPr>
          <w:spacing w:val="-8"/>
          <w:sz w:val="20"/>
        </w:rPr>
        <w:t> </w:t>
      </w:r>
      <w:r>
        <w:rPr>
          <w:sz w:val="20"/>
        </w:rPr>
        <w:t>been</w:t>
      </w:r>
      <w:r>
        <w:rPr>
          <w:spacing w:val="-7"/>
          <w:sz w:val="20"/>
        </w:rPr>
        <w:t> </w:t>
      </w:r>
      <w:r>
        <w:rPr>
          <w:sz w:val="20"/>
        </w:rPr>
        <w:t>calling</w:t>
      </w:r>
      <w:r>
        <w:rPr>
          <w:spacing w:val="-8"/>
          <w:sz w:val="20"/>
        </w:rPr>
        <w:t> </w:t>
      </w:r>
      <w:r>
        <w:rPr>
          <w:sz w:val="20"/>
        </w:rPr>
        <w:t>for</w:t>
      </w:r>
      <w:r>
        <w:rPr>
          <w:spacing w:val="-7"/>
          <w:sz w:val="20"/>
        </w:rPr>
        <w:t> </w:t>
      </w:r>
      <w:r>
        <w:rPr>
          <w:sz w:val="20"/>
        </w:rPr>
        <w:t>change</w:t>
      </w:r>
      <w:r>
        <w:rPr>
          <w:spacing w:val="-7"/>
          <w:sz w:val="20"/>
        </w:rPr>
        <w:t> </w:t>
      </w:r>
      <w:r>
        <w:rPr>
          <w:sz w:val="20"/>
        </w:rPr>
        <w:t>for</w:t>
      </w:r>
      <w:r>
        <w:rPr>
          <w:spacing w:val="-8"/>
          <w:sz w:val="20"/>
        </w:rPr>
        <w:t> </w:t>
      </w:r>
      <w:r>
        <w:rPr>
          <w:spacing w:val="-4"/>
          <w:sz w:val="20"/>
        </w:rPr>
        <w:t>over</w:t>
      </w:r>
      <w:r>
        <w:rPr>
          <w:spacing w:val="-7"/>
          <w:sz w:val="20"/>
        </w:rPr>
        <w:t> </w:t>
      </w:r>
      <w:r>
        <w:rPr>
          <w:sz w:val="20"/>
        </w:rPr>
        <w:t>15</w:t>
      </w:r>
      <w:r>
        <w:rPr>
          <w:spacing w:val="-8"/>
          <w:sz w:val="20"/>
        </w:rPr>
        <w:t> </w:t>
      </w:r>
      <w:r>
        <w:rPr>
          <w:sz w:val="20"/>
        </w:rPr>
        <w:t>years.</w:t>
      </w:r>
      <w:r>
        <w:rPr>
          <w:position w:val="7"/>
          <w:sz w:val="11"/>
        </w:rPr>
        <w:t>10</w:t>
      </w:r>
      <w:r>
        <w:rPr>
          <w:spacing w:val="18"/>
          <w:position w:val="7"/>
          <w:sz w:val="11"/>
        </w:rPr>
        <w:t> </w:t>
      </w:r>
      <w:r>
        <w:rPr>
          <w:sz w:val="20"/>
        </w:rPr>
        <w:t>In</w:t>
      </w:r>
      <w:r>
        <w:rPr>
          <w:spacing w:val="-8"/>
          <w:sz w:val="20"/>
        </w:rPr>
        <w:t> </w:t>
      </w:r>
      <w:r>
        <w:rPr>
          <w:spacing w:val="-3"/>
          <w:sz w:val="20"/>
        </w:rPr>
        <w:t>2018</w:t>
      </w:r>
      <w:r>
        <w:rPr>
          <w:spacing w:val="-7"/>
          <w:sz w:val="20"/>
        </w:rPr>
        <w:t> </w:t>
      </w:r>
      <w:r>
        <w:rPr>
          <w:sz w:val="20"/>
        </w:rPr>
        <w:t>the</w:t>
      </w:r>
      <w:r>
        <w:rPr>
          <w:spacing w:val="-8"/>
          <w:sz w:val="20"/>
        </w:rPr>
        <w:t> </w:t>
      </w:r>
      <w:r>
        <w:rPr>
          <w:sz w:val="20"/>
        </w:rPr>
        <w:t>Australian Capital</w:t>
      </w:r>
      <w:r>
        <w:rPr>
          <w:spacing w:val="-12"/>
          <w:sz w:val="20"/>
        </w:rPr>
        <w:t> </w:t>
      </w:r>
      <w:r>
        <w:rPr>
          <w:spacing w:val="-3"/>
          <w:sz w:val="20"/>
        </w:rPr>
        <w:t>Territory</w:t>
      </w:r>
      <w:r>
        <w:rPr>
          <w:spacing w:val="-12"/>
          <w:sz w:val="20"/>
        </w:rPr>
        <w:t> </w:t>
      </w:r>
      <w:r>
        <w:rPr>
          <w:sz w:val="20"/>
        </w:rPr>
        <w:t>(ACT)</w:t>
      </w:r>
      <w:r>
        <w:rPr>
          <w:spacing w:val="-12"/>
          <w:sz w:val="20"/>
        </w:rPr>
        <w:t> </w:t>
      </w:r>
      <w:r>
        <w:rPr>
          <w:sz w:val="20"/>
        </w:rPr>
        <w:t>became</w:t>
      </w:r>
      <w:r>
        <w:rPr>
          <w:spacing w:val="-12"/>
          <w:sz w:val="20"/>
        </w:rPr>
        <w:t> </w:t>
      </w:r>
      <w:r>
        <w:rPr>
          <w:sz w:val="20"/>
        </w:rPr>
        <w:t>the</w:t>
      </w:r>
      <w:r>
        <w:rPr>
          <w:spacing w:val="-11"/>
          <w:sz w:val="20"/>
        </w:rPr>
        <w:t> </w:t>
      </w:r>
      <w:r>
        <w:rPr>
          <w:sz w:val="20"/>
        </w:rPr>
        <w:t>first,</w:t>
      </w:r>
      <w:r>
        <w:rPr>
          <w:spacing w:val="-12"/>
          <w:sz w:val="20"/>
        </w:rPr>
        <w:t> </w:t>
      </w:r>
      <w:r>
        <w:rPr>
          <w:sz w:val="20"/>
        </w:rPr>
        <w:t>and</w:t>
      </w:r>
      <w:r>
        <w:rPr>
          <w:spacing w:val="-12"/>
          <w:sz w:val="20"/>
        </w:rPr>
        <w:t> </w:t>
      </w:r>
      <w:r>
        <w:rPr>
          <w:spacing w:val="-5"/>
          <w:sz w:val="20"/>
        </w:rPr>
        <w:t>only,</w:t>
      </w:r>
      <w:r>
        <w:rPr>
          <w:spacing w:val="-12"/>
          <w:sz w:val="20"/>
        </w:rPr>
        <w:t> </w:t>
      </w:r>
      <w:r>
        <w:rPr>
          <w:sz w:val="20"/>
        </w:rPr>
        <w:t>Australian</w:t>
      </w:r>
      <w:r>
        <w:rPr>
          <w:spacing w:val="-12"/>
          <w:sz w:val="20"/>
        </w:rPr>
        <w:t> </w:t>
      </w:r>
      <w:r>
        <w:rPr>
          <w:sz w:val="20"/>
        </w:rPr>
        <w:t>jurisdiction</w:t>
      </w:r>
      <w:r>
        <w:rPr>
          <w:spacing w:val="-11"/>
          <w:sz w:val="20"/>
        </w:rPr>
        <w:t> </w:t>
      </w:r>
      <w:r>
        <w:rPr>
          <w:sz w:val="20"/>
        </w:rPr>
        <w:t>to</w:t>
      </w:r>
      <w:r>
        <w:rPr>
          <w:spacing w:val="-12"/>
          <w:sz w:val="20"/>
        </w:rPr>
        <w:t> </w:t>
      </w:r>
      <w:r>
        <w:rPr>
          <w:sz w:val="20"/>
        </w:rPr>
        <w:t>implement major </w:t>
      </w:r>
      <w:r>
        <w:rPr>
          <w:spacing w:val="-3"/>
          <w:sz w:val="20"/>
        </w:rPr>
        <w:t>reform </w:t>
      </w:r>
      <w:r>
        <w:rPr>
          <w:sz w:val="20"/>
        </w:rPr>
        <w:t>in this</w:t>
      </w:r>
      <w:r>
        <w:rPr>
          <w:spacing w:val="-14"/>
          <w:sz w:val="20"/>
        </w:rPr>
        <w:t> </w:t>
      </w:r>
      <w:r>
        <w:rPr>
          <w:sz w:val="20"/>
        </w:rPr>
        <w:t>area.</w:t>
      </w:r>
    </w:p>
    <w:p>
      <w:pPr>
        <w:pStyle w:val="ListParagraph"/>
        <w:numPr>
          <w:ilvl w:val="1"/>
          <w:numId w:val="12"/>
        </w:numPr>
        <w:tabs>
          <w:tab w:pos="1761" w:val="left" w:leader="none"/>
          <w:tab w:pos="1762" w:val="left" w:leader="none"/>
        </w:tabs>
        <w:spacing w:line="206" w:lineRule="auto" w:before="127" w:after="0"/>
        <w:ind w:left="1761" w:right="1509" w:hanging="794"/>
        <w:jc w:val="left"/>
        <w:rPr>
          <w:sz w:val="20"/>
        </w:rPr>
      </w:pPr>
      <w:r>
        <w:rPr>
          <w:spacing w:val="-6"/>
          <w:sz w:val="20"/>
        </w:rPr>
        <w:t>We</w:t>
      </w:r>
      <w:r>
        <w:rPr>
          <w:spacing w:val="-11"/>
          <w:sz w:val="20"/>
        </w:rPr>
        <w:t> </w:t>
      </w:r>
      <w:r>
        <w:rPr>
          <w:spacing w:val="-4"/>
          <w:sz w:val="20"/>
        </w:rPr>
        <w:t>have</w:t>
      </w:r>
      <w:r>
        <w:rPr>
          <w:spacing w:val="-11"/>
          <w:sz w:val="20"/>
        </w:rPr>
        <w:t> </w:t>
      </w:r>
      <w:r>
        <w:rPr>
          <w:sz w:val="20"/>
        </w:rPr>
        <w:t>examined</w:t>
      </w:r>
      <w:r>
        <w:rPr>
          <w:spacing w:val="-11"/>
          <w:sz w:val="20"/>
        </w:rPr>
        <w:t> </w:t>
      </w:r>
      <w:r>
        <w:rPr>
          <w:sz w:val="20"/>
        </w:rPr>
        <w:t>the</w:t>
      </w:r>
      <w:r>
        <w:rPr>
          <w:spacing w:val="-11"/>
          <w:sz w:val="20"/>
        </w:rPr>
        <w:t> </w:t>
      </w:r>
      <w:r>
        <w:rPr>
          <w:sz w:val="20"/>
        </w:rPr>
        <w:t>recommendations</w:t>
      </w:r>
      <w:r>
        <w:rPr>
          <w:spacing w:val="-11"/>
          <w:sz w:val="20"/>
        </w:rPr>
        <w:t> </w:t>
      </w:r>
      <w:r>
        <w:rPr>
          <w:sz w:val="20"/>
        </w:rPr>
        <w:t>of</w:t>
      </w:r>
      <w:r>
        <w:rPr>
          <w:spacing w:val="-10"/>
          <w:sz w:val="20"/>
        </w:rPr>
        <w:t> </w:t>
      </w:r>
      <w:r>
        <w:rPr>
          <w:sz w:val="20"/>
        </w:rPr>
        <w:t>other</w:t>
      </w:r>
      <w:r>
        <w:rPr>
          <w:spacing w:val="-11"/>
          <w:sz w:val="20"/>
        </w:rPr>
        <w:t> </w:t>
      </w:r>
      <w:r>
        <w:rPr>
          <w:sz w:val="20"/>
        </w:rPr>
        <w:t>law</w:t>
      </w:r>
      <w:r>
        <w:rPr>
          <w:spacing w:val="-11"/>
          <w:sz w:val="20"/>
        </w:rPr>
        <w:t> </w:t>
      </w:r>
      <w:r>
        <w:rPr>
          <w:spacing w:val="-3"/>
          <w:sz w:val="20"/>
        </w:rPr>
        <w:t>reform</w:t>
      </w:r>
      <w:r>
        <w:rPr>
          <w:spacing w:val="-11"/>
          <w:sz w:val="20"/>
        </w:rPr>
        <w:t> </w:t>
      </w:r>
      <w:r>
        <w:rPr>
          <w:sz w:val="20"/>
        </w:rPr>
        <w:t>agencies</w:t>
      </w:r>
      <w:r>
        <w:rPr>
          <w:spacing w:val="-11"/>
          <w:sz w:val="20"/>
        </w:rPr>
        <w:t> </w:t>
      </w:r>
      <w:r>
        <w:rPr>
          <w:sz w:val="20"/>
        </w:rPr>
        <w:t>in</w:t>
      </w:r>
      <w:r>
        <w:rPr>
          <w:spacing w:val="-11"/>
          <w:sz w:val="20"/>
        </w:rPr>
        <w:t> </w:t>
      </w:r>
      <w:r>
        <w:rPr>
          <w:sz w:val="20"/>
        </w:rPr>
        <w:t>designing the recommendations in this report. </w:t>
      </w:r>
      <w:r>
        <w:rPr>
          <w:spacing w:val="-6"/>
          <w:sz w:val="20"/>
        </w:rPr>
        <w:t>We </w:t>
      </w:r>
      <w:r>
        <w:rPr>
          <w:spacing w:val="-4"/>
          <w:sz w:val="20"/>
        </w:rPr>
        <w:t>have </w:t>
      </w:r>
      <w:r>
        <w:rPr>
          <w:sz w:val="20"/>
        </w:rPr>
        <w:t>also considered what happens in </w:t>
      </w:r>
      <w:r>
        <w:rPr>
          <w:spacing w:val="-3"/>
          <w:sz w:val="20"/>
        </w:rPr>
        <w:t>overseas </w:t>
      </w:r>
      <w:r>
        <w:rPr>
          <w:sz w:val="20"/>
        </w:rPr>
        <w:t>jurisdictions including the United States, England and </w:t>
      </w:r>
      <w:r>
        <w:rPr>
          <w:spacing w:val="-3"/>
          <w:sz w:val="20"/>
        </w:rPr>
        <w:t>Wales, </w:t>
      </w:r>
      <w:r>
        <w:rPr>
          <w:sz w:val="20"/>
        </w:rPr>
        <w:t>and New Zealand, where people with disabilities </w:t>
      </w:r>
      <w:r>
        <w:rPr>
          <w:spacing w:val="-3"/>
          <w:sz w:val="20"/>
        </w:rPr>
        <w:t>currently </w:t>
      </w:r>
      <w:r>
        <w:rPr>
          <w:sz w:val="20"/>
        </w:rPr>
        <w:t>serve as jurors. Our </w:t>
      </w:r>
      <w:r>
        <w:rPr>
          <w:spacing w:val="-3"/>
          <w:sz w:val="20"/>
        </w:rPr>
        <w:t>reforms </w:t>
      </w:r>
      <w:r>
        <w:rPr>
          <w:sz w:val="20"/>
        </w:rPr>
        <w:t>adapt these approaches for a Victorian</w:t>
      </w:r>
      <w:r>
        <w:rPr>
          <w:spacing w:val="-24"/>
          <w:sz w:val="20"/>
        </w:rPr>
        <w:t> </w:t>
      </w:r>
      <w:r>
        <w:rPr>
          <w:sz w:val="20"/>
        </w:rPr>
        <w:t>context.</w:t>
      </w:r>
    </w:p>
    <w:p>
      <w:pPr>
        <w:pStyle w:val="BodyText"/>
      </w:pPr>
    </w:p>
    <w:p>
      <w:pPr>
        <w:pStyle w:val="BodyText"/>
      </w:pPr>
    </w:p>
    <w:p>
      <w:pPr>
        <w:pStyle w:val="BodyText"/>
      </w:pPr>
    </w:p>
    <w:p>
      <w:pPr>
        <w:pStyle w:val="BodyText"/>
      </w:pPr>
    </w:p>
    <w:p>
      <w:pPr>
        <w:pStyle w:val="BodyText"/>
      </w:pPr>
    </w:p>
    <w:p>
      <w:pPr>
        <w:pStyle w:val="BodyText"/>
        <w:spacing w:before="2"/>
        <w:rPr>
          <w:sz w:val="21"/>
        </w:rPr>
      </w:pPr>
      <w:r>
        <w:rPr/>
        <w:pict>
          <v:line style="position:absolute;mso-position-horizontal-relative:page;mso-position-vertical-relative:paragraph;z-index:-16;mso-wrap-distance-left:0;mso-wrap-distance-right:0" from="79.370102pt,17.16704pt" to="515.905102pt,17.16704pt" stroked="true" strokeweight="1pt" strokecolor="#b6bdc8">
            <v:stroke dashstyle="solid"/>
            <w10:wrap type="topAndBottom"/>
          </v:line>
        </w:pict>
      </w:r>
    </w:p>
    <w:p>
      <w:pPr>
        <w:pStyle w:val="ListParagraph"/>
        <w:numPr>
          <w:ilvl w:val="0"/>
          <w:numId w:val="13"/>
        </w:numPr>
        <w:tabs>
          <w:tab w:pos="1761" w:val="left" w:leader="none"/>
          <w:tab w:pos="1762" w:val="left" w:leader="none"/>
        </w:tabs>
        <w:spacing w:line="213" w:lineRule="auto" w:before="107" w:after="0"/>
        <w:ind w:left="1761" w:right="1219" w:hanging="794"/>
        <w:jc w:val="left"/>
        <w:rPr>
          <w:sz w:val="13"/>
        </w:rPr>
      </w:pP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 Preamble (e). </w:t>
      </w:r>
      <w:r>
        <w:rPr>
          <w:spacing w:val="2"/>
          <w:sz w:val="13"/>
        </w:rPr>
        <w:t>Article </w:t>
      </w:r>
      <w:r>
        <w:rPr>
          <w:sz w:val="13"/>
        </w:rPr>
        <w:t>1 </w:t>
      </w:r>
      <w:r>
        <w:rPr>
          <w:spacing w:val="2"/>
          <w:sz w:val="13"/>
        </w:rPr>
        <w:t>further </w:t>
      </w:r>
      <w:r>
        <w:rPr>
          <w:sz w:val="13"/>
        </w:rPr>
        <w:t>recognises that ‘Persons with </w:t>
      </w:r>
      <w:r>
        <w:rPr>
          <w:spacing w:val="2"/>
          <w:sz w:val="13"/>
        </w:rPr>
        <w:t>disabilities </w:t>
      </w:r>
      <w:r>
        <w:rPr>
          <w:sz w:val="13"/>
        </w:rPr>
        <w:t>include those who have long-term physical, </w:t>
      </w:r>
      <w:r>
        <w:rPr>
          <w:spacing w:val="2"/>
          <w:sz w:val="13"/>
        </w:rPr>
        <w:t>mental, </w:t>
      </w:r>
      <w:r>
        <w:rPr>
          <w:sz w:val="13"/>
        </w:rPr>
        <w:t>intellectual or </w:t>
      </w:r>
      <w:r>
        <w:rPr>
          <w:spacing w:val="2"/>
          <w:sz w:val="13"/>
        </w:rPr>
        <w:t>sensory impairments </w:t>
      </w:r>
      <w:r>
        <w:rPr>
          <w:sz w:val="13"/>
        </w:rPr>
        <w:t>which in interaction with various barriers may hinder their full and effective </w:t>
      </w:r>
      <w:r>
        <w:rPr>
          <w:spacing w:val="2"/>
          <w:sz w:val="13"/>
        </w:rPr>
        <w:t>participation </w:t>
      </w:r>
      <w:r>
        <w:rPr>
          <w:sz w:val="13"/>
        </w:rPr>
        <w:t>in </w:t>
      </w:r>
      <w:r>
        <w:rPr>
          <w:spacing w:val="2"/>
          <w:sz w:val="13"/>
        </w:rPr>
        <w:t>society </w:t>
      </w:r>
      <w:r>
        <w:rPr>
          <w:sz w:val="13"/>
        </w:rPr>
        <w:t>on an equal basis with</w:t>
      </w:r>
      <w:r>
        <w:rPr>
          <w:spacing w:val="-1"/>
          <w:sz w:val="13"/>
        </w:rPr>
        <w:t> </w:t>
      </w:r>
      <w:r>
        <w:rPr>
          <w:sz w:val="13"/>
        </w:rPr>
        <w:t>others’.</w:t>
      </w:r>
    </w:p>
    <w:p>
      <w:pPr>
        <w:pStyle w:val="ListParagraph"/>
        <w:numPr>
          <w:ilvl w:val="0"/>
          <w:numId w:val="13"/>
        </w:numPr>
        <w:tabs>
          <w:tab w:pos="1760" w:val="left" w:leader="none"/>
          <w:tab w:pos="1762" w:val="left" w:leader="none"/>
        </w:tabs>
        <w:spacing w:line="151" w:lineRule="exact" w:before="0" w:after="0"/>
        <w:ind w:left="1761" w:right="0" w:hanging="794"/>
        <w:jc w:val="left"/>
        <w:rPr>
          <w:sz w:val="13"/>
        </w:rPr>
      </w:pPr>
      <w:r>
        <w:rPr>
          <w:spacing w:val="2"/>
          <w:sz w:val="13"/>
        </w:rPr>
        <w:t>Department </w:t>
      </w:r>
      <w:r>
        <w:rPr>
          <w:sz w:val="13"/>
        </w:rPr>
        <w:t>of Families, Fairness and Housing (Vic), </w:t>
      </w:r>
      <w:r>
        <w:rPr>
          <w:i/>
          <w:sz w:val="13"/>
        </w:rPr>
        <w:t>Inclusive Victoria: State Disability Plan 2022–2026 </w:t>
      </w:r>
      <w:r>
        <w:rPr>
          <w:spacing w:val="2"/>
          <w:sz w:val="13"/>
        </w:rPr>
        <w:t>(Report, </w:t>
      </w:r>
      <w:r>
        <w:rPr>
          <w:sz w:val="13"/>
        </w:rPr>
        <w:t>March 2022)</w:t>
      </w:r>
      <w:r>
        <w:rPr>
          <w:spacing w:val="26"/>
          <w:sz w:val="13"/>
        </w:rPr>
        <w:t> </w:t>
      </w:r>
      <w:r>
        <w:rPr>
          <w:spacing w:val="3"/>
          <w:sz w:val="13"/>
        </w:rPr>
        <w:t>11.</w:t>
      </w:r>
    </w:p>
    <w:p>
      <w:pPr>
        <w:pStyle w:val="ListParagraph"/>
        <w:numPr>
          <w:ilvl w:val="0"/>
          <w:numId w:val="13"/>
        </w:numPr>
        <w:tabs>
          <w:tab w:pos="1760" w:val="left" w:leader="none"/>
          <w:tab w:pos="1762" w:val="left" w:leader="none"/>
        </w:tabs>
        <w:spacing w:line="160" w:lineRule="exact" w:before="0" w:after="0"/>
        <w:ind w:left="1761" w:right="0" w:hanging="794"/>
        <w:jc w:val="left"/>
        <w:rPr>
          <w:i/>
          <w:sz w:val="13"/>
        </w:rPr>
      </w:pPr>
      <w:r>
        <w:rPr>
          <w:sz w:val="13"/>
        </w:rPr>
        <w:t>See</w:t>
      </w:r>
      <w:r>
        <w:rPr>
          <w:spacing w:val="2"/>
          <w:sz w:val="13"/>
        </w:rPr>
        <w:t> </w:t>
      </w:r>
      <w:r>
        <w:rPr>
          <w:sz w:val="13"/>
        </w:rPr>
        <w:t>the</w:t>
      </w:r>
      <w:r>
        <w:rPr>
          <w:spacing w:val="3"/>
          <w:sz w:val="13"/>
        </w:rPr>
        <w:t> </w:t>
      </w:r>
      <w:r>
        <w:rPr>
          <w:sz w:val="13"/>
        </w:rPr>
        <w:t>succinct</w:t>
      </w:r>
      <w:r>
        <w:rPr>
          <w:spacing w:val="3"/>
          <w:sz w:val="13"/>
        </w:rPr>
        <w:t> </w:t>
      </w:r>
      <w:r>
        <w:rPr>
          <w:sz w:val="13"/>
        </w:rPr>
        <w:t>discussion</w:t>
      </w:r>
      <w:r>
        <w:rPr>
          <w:spacing w:val="3"/>
          <w:sz w:val="13"/>
        </w:rPr>
        <w:t> </w:t>
      </w:r>
      <w:r>
        <w:rPr>
          <w:sz w:val="13"/>
        </w:rPr>
        <w:t>about</w:t>
      </w:r>
      <w:r>
        <w:rPr>
          <w:spacing w:val="2"/>
          <w:sz w:val="13"/>
        </w:rPr>
        <w:t> </w:t>
      </w:r>
      <w:r>
        <w:rPr>
          <w:sz w:val="13"/>
        </w:rPr>
        <w:t>the</w:t>
      </w:r>
      <w:r>
        <w:rPr>
          <w:spacing w:val="3"/>
          <w:sz w:val="13"/>
        </w:rPr>
        <w:t> </w:t>
      </w:r>
      <w:r>
        <w:rPr>
          <w:sz w:val="13"/>
        </w:rPr>
        <w:t>social</w:t>
      </w:r>
      <w:r>
        <w:rPr>
          <w:spacing w:val="3"/>
          <w:sz w:val="13"/>
        </w:rPr>
        <w:t> </w:t>
      </w:r>
      <w:r>
        <w:rPr>
          <w:sz w:val="13"/>
        </w:rPr>
        <w:t>model</w:t>
      </w:r>
      <w:r>
        <w:rPr>
          <w:spacing w:val="3"/>
          <w:sz w:val="13"/>
        </w:rPr>
        <w:t> </w:t>
      </w:r>
      <w:r>
        <w:rPr>
          <w:sz w:val="13"/>
        </w:rPr>
        <w:t>of</w:t>
      </w:r>
      <w:r>
        <w:rPr>
          <w:spacing w:val="2"/>
          <w:sz w:val="13"/>
        </w:rPr>
        <w:t> disability</w:t>
      </w:r>
      <w:r>
        <w:rPr>
          <w:spacing w:val="3"/>
          <w:sz w:val="13"/>
        </w:rPr>
        <w:t> </w:t>
      </w:r>
      <w:r>
        <w:rPr>
          <w:sz w:val="13"/>
        </w:rPr>
        <w:t>in</w:t>
      </w:r>
      <w:r>
        <w:rPr>
          <w:spacing w:val="3"/>
          <w:sz w:val="13"/>
        </w:rPr>
        <w:t> </w:t>
      </w:r>
      <w:r>
        <w:rPr>
          <w:sz w:val="13"/>
        </w:rPr>
        <w:t>Australian</w:t>
      </w:r>
      <w:r>
        <w:rPr>
          <w:spacing w:val="3"/>
          <w:sz w:val="13"/>
        </w:rPr>
        <w:t> </w:t>
      </w:r>
      <w:r>
        <w:rPr>
          <w:sz w:val="13"/>
        </w:rPr>
        <w:t>Government,</w:t>
      </w:r>
      <w:r>
        <w:rPr>
          <w:spacing w:val="2"/>
          <w:sz w:val="13"/>
        </w:rPr>
        <w:t> </w:t>
      </w:r>
      <w:r>
        <w:rPr>
          <w:sz w:val="13"/>
        </w:rPr>
        <w:t>‘People</w:t>
      </w:r>
      <w:r>
        <w:rPr>
          <w:spacing w:val="3"/>
          <w:sz w:val="13"/>
        </w:rPr>
        <w:t> </w:t>
      </w:r>
      <w:r>
        <w:rPr>
          <w:sz w:val="13"/>
        </w:rPr>
        <w:t>with</w:t>
      </w:r>
      <w:r>
        <w:rPr>
          <w:spacing w:val="3"/>
          <w:sz w:val="13"/>
        </w:rPr>
        <w:t> </w:t>
      </w:r>
      <w:r>
        <w:rPr>
          <w:sz w:val="13"/>
        </w:rPr>
        <w:t>Disability’,</w:t>
      </w:r>
      <w:r>
        <w:rPr>
          <w:spacing w:val="3"/>
          <w:sz w:val="13"/>
        </w:rPr>
        <w:t> </w:t>
      </w:r>
      <w:r>
        <w:rPr>
          <w:i/>
          <w:sz w:val="13"/>
        </w:rPr>
        <w:t>Style</w:t>
      </w:r>
      <w:r>
        <w:rPr>
          <w:i/>
          <w:spacing w:val="2"/>
          <w:sz w:val="13"/>
        </w:rPr>
        <w:t> </w:t>
      </w:r>
      <w:r>
        <w:rPr>
          <w:i/>
          <w:sz w:val="13"/>
        </w:rPr>
        <w:t>Manual</w:t>
      </w:r>
    </w:p>
    <w:p>
      <w:pPr>
        <w:spacing w:line="160" w:lineRule="exact" w:before="0"/>
        <w:ind w:left="1761" w:right="0" w:firstLine="0"/>
        <w:jc w:val="left"/>
        <w:rPr>
          <w:sz w:val="13"/>
        </w:rPr>
      </w:pPr>
      <w:r>
        <w:rPr>
          <w:sz w:val="13"/>
        </w:rPr>
        <w:t>(Web Page, 2022) &lt;</w:t>
      </w:r>
      <w:hyperlink r:id="rId28">
        <w:r>
          <w:rPr>
            <w:sz w:val="13"/>
          </w:rPr>
          <w:t>https://www.stylemanual.gov.au/format-writing-and-structure/inclusive-language/people-disability</w:t>
        </w:r>
      </w:hyperlink>
      <w:r>
        <w:rPr>
          <w:sz w:val="13"/>
        </w:rPr>
        <w:t>&gt;.</w:t>
      </w:r>
    </w:p>
    <w:p>
      <w:pPr>
        <w:pStyle w:val="ListParagraph"/>
        <w:numPr>
          <w:ilvl w:val="0"/>
          <w:numId w:val="13"/>
        </w:numPr>
        <w:tabs>
          <w:tab w:pos="1760" w:val="left" w:leader="none"/>
          <w:tab w:pos="1762" w:val="left" w:leader="none"/>
        </w:tabs>
        <w:spacing w:line="213" w:lineRule="auto" w:before="6" w:after="0"/>
        <w:ind w:left="1761" w:right="1344" w:hanging="794"/>
        <w:jc w:val="left"/>
        <w:rPr>
          <w:sz w:val="13"/>
        </w:rPr>
      </w:pPr>
      <w:r>
        <w:rPr>
          <w:sz w:val="13"/>
        </w:rPr>
        <w:t>See, eg, Eliza Nugent, Preyasi Domun and De Alwis Winuri, </w:t>
      </w:r>
      <w:r>
        <w:rPr>
          <w:i/>
          <w:sz w:val="13"/>
        </w:rPr>
        <w:t>Advancing </w:t>
      </w:r>
      <w:r>
        <w:rPr>
          <w:i/>
          <w:spacing w:val="2"/>
          <w:sz w:val="13"/>
        </w:rPr>
        <w:t>Jury </w:t>
      </w:r>
      <w:r>
        <w:rPr>
          <w:i/>
          <w:sz w:val="13"/>
        </w:rPr>
        <w:t>Inclusivity in Australia </w:t>
      </w:r>
      <w:r>
        <w:rPr>
          <w:spacing w:val="2"/>
          <w:sz w:val="13"/>
        </w:rPr>
        <w:t>(Report, </w:t>
      </w:r>
      <w:r>
        <w:rPr>
          <w:sz w:val="13"/>
        </w:rPr>
        <w:t>Remedy Australia, </w:t>
      </w:r>
      <w:r>
        <w:rPr>
          <w:spacing w:val="2"/>
          <w:sz w:val="13"/>
        </w:rPr>
        <w:t>Castan </w:t>
      </w:r>
      <w:r>
        <w:rPr>
          <w:sz w:val="13"/>
        </w:rPr>
        <w:t>Centre for Human Rights Law, Monash University, August 2021); Tammy </w:t>
      </w:r>
      <w:r>
        <w:rPr>
          <w:spacing w:val="2"/>
          <w:sz w:val="13"/>
        </w:rPr>
        <w:t>Mills, </w:t>
      </w:r>
      <w:r>
        <w:rPr>
          <w:sz w:val="13"/>
        </w:rPr>
        <w:t>‘Law Reform </w:t>
      </w:r>
      <w:r>
        <w:rPr>
          <w:spacing w:val="2"/>
          <w:sz w:val="13"/>
        </w:rPr>
        <w:t>Needed </w:t>
      </w:r>
      <w:r>
        <w:rPr>
          <w:sz w:val="13"/>
        </w:rPr>
        <w:t>to Allow Deaf and </w:t>
      </w:r>
      <w:r>
        <w:rPr>
          <w:spacing w:val="2"/>
          <w:sz w:val="13"/>
        </w:rPr>
        <w:t>Blind </w:t>
      </w:r>
      <w:r>
        <w:rPr>
          <w:sz w:val="13"/>
        </w:rPr>
        <w:t>People on Juries’, </w:t>
      </w:r>
      <w:r>
        <w:rPr>
          <w:i/>
          <w:sz w:val="13"/>
        </w:rPr>
        <w:t>The Age </w:t>
      </w:r>
      <w:r>
        <w:rPr>
          <w:sz w:val="13"/>
        </w:rPr>
        <w:t>(online, 17 </w:t>
      </w:r>
      <w:r>
        <w:rPr>
          <w:spacing w:val="2"/>
          <w:sz w:val="13"/>
        </w:rPr>
        <w:t>January </w:t>
      </w:r>
      <w:r>
        <w:rPr>
          <w:sz w:val="13"/>
        </w:rPr>
        <w:t>2021) &lt;</w:t>
      </w:r>
      <w:hyperlink r:id="rId29">
        <w:r>
          <w:rPr>
            <w:sz w:val="13"/>
          </w:rPr>
          <w:t>https://www.theage.com.au/national/victoria/law-reform-needed-</w:t>
        </w:r>
      </w:hyperlink>
      <w:hyperlink r:id="rId29">
        <w:r>
          <w:rPr>
            <w:sz w:val="13"/>
          </w:rPr>
          <w:t> to-allow-deaf-and-blind-people-on-juries-20210115-p56uav.html</w:t>
        </w:r>
      </w:hyperlink>
      <w:r>
        <w:rPr>
          <w:sz w:val="13"/>
        </w:rPr>
        <w:t>&gt;; Annie </w:t>
      </w:r>
      <w:r>
        <w:rPr>
          <w:spacing w:val="2"/>
          <w:sz w:val="13"/>
        </w:rPr>
        <w:t>Guest, </w:t>
      </w:r>
      <w:r>
        <w:rPr>
          <w:sz w:val="13"/>
        </w:rPr>
        <w:t>‘Deaf Jurors Serve  in  US  and  New  Zealand, but High </w:t>
      </w:r>
      <w:r>
        <w:rPr>
          <w:spacing w:val="2"/>
          <w:sz w:val="13"/>
        </w:rPr>
        <w:t>Court </w:t>
      </w:r>
      <w:r>
        <w:rPr>
          <w:sz w:val="13"/>
        </w:rPr>
        <w:t>Blocks Australian Gale Lyons’ Bid’, </w:t>
      </w:r>
      <w:r>
        <w:rPr>
          <w:i/>
          <w:sz w:val="13"/>
        </w:rPr>
        <w:t>ABC News </w:t>
      </w:r>
      <w:r>
        <w:rPr>
          <w:sz w:val="13"/>
        </w:rPr>
        <w:t>(online, 5 October 2016) &lt;</w:t>
      </w:r>
      <w:hyperlink r:id="rId30">
        <w:r>
          <w:rPr>
            <w:sz w:val="13"/>
          </w:rPr>
          <w:t>https://www.abc.net.au/news/2016-10-</w:t>
        </w:r>
      </w:hyperlink>
      <w:hyperlink r:id="rId30">
        <w:r>
          <w:rPr>
            <w:sz w:val="13"/>
          </w:rPr>
          <w:t> 05/deaf-jurors-allowed-in-us,-nz/7905810</w:t>
        </w:r>
      </w:hyperlink>
      <w:r>
        <w:rPr>
          <w:sz w:val="13"/>
        </w:rPr>
        <w:t>&gt;; Jemina Napier, ‘Deaf or </w:t>
      </w:r>
      <w:r>
        <w:rPr>
          <w:spacing w:val="2"/>
          <w:sz w:val="13"/>
        </w:rPr>
        <w:t>Blind </w:t>
      </w:r>
      <w:r>
        <w:rPr>
          <w:sz w:val="13"/>
        </w:rPr>
        <w:t>People Can’t Serve on Juries—Here’s Why the Law </w:t>
      </w:r>
      <w:r>
        <w:rPr>
          <w:spacing w:val="2"/>
          <w:sz w:val="13"/>
        </w:rPr>
        <w:t>Needs</w:t>
      </w:r>
      <w:r>
        <w:rPr>
          <w:spacing w:val="8"/>
          <w:sz w:val="13"/>
        </w:rPr>
        <w:t> </w:t>
      </w:r>
      <w:r>
        <w:rPr>
          <w:sz w:val="13"/>
        </w:rPr>
        <w:t>to</w:t>
      </w:r>
      <w:r>
        <w:rPr>
          <w:spacing w:val="8"/>
          <w:sz w:val="13"/>
        </w:rPr>
        <w:t> </w:t>
      </w:r>
      <w:r>
        <w:rPr>
          <w:sz w:val="13"/>
        </w:rPr>
        <w:t>Change’,</w:t>
      </w:r>
      <w:r>
        <w:rPr>
          <w:spacing w:val="8"/>
          <w:sz w:val="13"/>
        </w:rPr>
        <w:t> </w:t>
      </w:r>
      <w:r>
        <w:rPr>
          <w:i/>
          <w:sz w:val="13"/>
        </w:rPr>
        <w:t>SBS</w:t>
      </w:r>
      <w:r>
        <w:rPr>
          <w:i/>
          <w:spacing w:val="8"/>
          <w:sz w:val="13"/>
        </w:rPr>
        <w:t> </w:t>
      </w:r>
      <w:r>
        <w:rPr>
          <w:i/>
          <w:sz w:val="13"/>
        </w:rPr>
        <w:t>The</w:t>
      </w:r>
      <w:r>
        <w:rPr>
          <w:i/>
          <w:spacing w:val="8"/>
          <w:sz w:val="13"/>
        </w:rPr>
        <w:t> </w:t>
      </w:r>
      <w:r>
        <w:rPr>
          <w:i/>
          <w:sz w:val="13"/>
        </w:rPr>
        <w:t>Feed</w:t>
      </w:r>
      <w:r>
        <w:rPr>
          <w:i/>
          <w:spacing w:val="8"/>
          <w:sz w:val="13"/>
        </w:rPr>
        <w:t> </w:t>
      </w:r>
      <w:r>
        <w:rPr>
          <w:sz w:val="13"/>
        </w:rPr>
        <w:t>(online,</w:t>
      </w:r>
      <w:r>
        <w:rPr>
          <w:spacing w:val="8"/>
          <w:sz w:val="13"/>
        </w:rPr>
        <w:t> </w:t>
      </w:r>
      <w:r>
        <w:rPr>
          <w:sz w:val="13"/>
        </w:rPr>
        <w:t>25</w:t>
      </w:r>
      <w:r>
        <w:rPr>
          <w:spacing w:val="8"/>
          <w:sz w:val="13"/>
        </w:rPr>
        <w:t> </w:t>
      </w:r>
      <w:r>
        <w:rPr>
          <w:sz w:val="13"/>
        </w:rPr>
        <w:t>October</w:t>
      </w:r>
      <w:r>
        <w:rPr>
          <w:spacing w:val="8"/>
          <w:sz w:val="13"/>
        </w:rPr>
        <w:t> </w:t>
      </w:r>
      <w:r>
        <w:rPr>
          <w:sz w:val="13"/>
        </w:rPr>
        <w:t>2016)</w:t>
      </w:r>
      <w:r>
        <w:rPr>
          <w:spacing w:val="8"/>
          <w:sz w:val="13"/>
        </w:rPr>
        <w:t> </w:t>
      </w:r>
      <w:r>
        <w:rPr>
          <w:sz w:val="13"/>
        </w:rPr>
        <w:t>&lt;</w:t>
      </w:r>
      <w:hyperlink r:id="rId31">
        <w:r>
          <w:rPr>
            <w:sz w:val="13"/>
          </w:rPr>
          <w:t>https://www.sbs.com.au/news/the-feed/deaf-or-blind-people-</w:t>
        </w:r>
      </w:hyperlink>
    </w:p>
    <w:p>
      <w:pPr>
        <w:spacing w:line="213" w:lineRule="auto" w:before="0"/>
        <w:ind w:left="1761" w:right="1335" w:firstLine="0"/>
        <w:jc w:val="left"/>
        <w:rPr>
          <w:sz w:val="13"/>
        </w:rPr>
      </w:pPr>
      <w:hyperlink r:id="rId31">
        <w:r>
          <w:rPr>
            <w:sz w:val="13"/>
          </w:rPr>
          <w:t>can-t-serve-on-juries-here-s-why-law-needs-to-change</w:t>
        </w:r>
      </w:hyperlink>
      <w:r>
        <w:rPr>
          <w:sz w:val="13"/>
        </w:rPr>
        <w:t>&gt;; </w:t>
      </w:r>
      <w:r>
        <w:rPr>
          <w:i/>
          <w:sz w:val="13"/>
        </w:rPr>
        <w:t>Lyons v State of Queensland </w:t>
      </w:r>
      <w:r>
        <w:rPr>
          <w:sz w:val="13"/>
        </w:rPr>
        <w:t>[2016] HCA 38, (2016) 259 CLR 518. There have also been three successful complaints of human rights breaches brought to the UN Convention Committee, as discussed in Chapter 6.</w:t>
      </w:r>
    </w:p>
    <w:p>
      <w:pPr>
        <w:pStyle w:val="ListParagraph"/>
        <w:numPr>
          <w:ilvl w:val="0"/>
          <w:numId w:val="13"/>
        </w:numPr>
        <w:tabs>
          <w:tab w:pos="1760" w:val="left" w:leader="none"/>
          <w:tab w:pos="1762" w:val="left" w:leader="none"/>
        </w:tabs>
        <w:spacing w:line="213" w:lineRule="auto" w:before="0" w:after="0"/>
        <w:ind w:left="1761" w:right="1301" w:hanging="794"/>
        <w:jc w:val="left"/>
        <w:rPr>
          <w:sz w:val="13"/>
        </w:rPr>
      </w:pPr>
      <w:r>
        <w:rPr/>
        <w:pict>
          <v:shape style="position:absolute;margin-left:36pt;margin-top:59.381088pt;width:6.9pt;height:14.1pt;mso-position-horizontal-relative:page;mso-position-vertical-relative:paragraph;z-index:2056" type="#_x0000_t202" filled="false" stroked="false">
            <v:textbox inset="0,0,0,0">
              <w:txbxContent>
                <w:p>
                  <w:pPr>
                    <w:spacing w:line="282" w:lineRule="exact" w:before="0"/>
                    <w:ind w:left="0" w:right="0" w:firstLine="0"/>
                    <w:jc w:val="left"/>
                    <w:rPr>
                      <w:b/>
                      <w:sz w:val="24"/>
                    </w:rPr>
                  </w:pPr>
                  <w:r>
                    <w:rPr>
                      <w:b/>
                      <w:color w:val="37617A"/>
                      <w:sz w:val="24"/>
                    </w:rPr>
                    <w:t>4</w:t>
                  </w:r>
                </w:p>
              </w:txbxContent>
            </v:textbox>
            <w10:wrap type="none"/>
          </v:shape>
        </w:pict>
      </w:r>
      <w:r>
        <w:rPr>
          <w:sz w:val="13"/>
        </w:rPr>
        <w:t>In chronological order, these </w:t>
      </w:r>
      <w:r>
        <w:rPr>
          <w:spacing w:val="2"/>
          <w:sz w:val="13"/>
        </w:rPr>
        <w:t>reports </w:t>
      </w:r>
      <w:r>
        <w:rPr>
          <w:sz w:val="13"/>
        </w:rPr>
        <w:t>are: 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 Law Reform </w:t>
      </w:r>
      <w:r>
        <w:rPr>
          <w:spacing w:val="2"/>
          <w:sz w:val="13"/>
        </w:rPr>
        <w:t>Commission </w:t>
      </w:r>
      <w:r>
        <w:rPr>
          <w:sz w:val="13"/>
        </w:rPr>
        <w:t>of Western Australia, </w:t>
      </w:r>
      <w:r>
        <w:rPr>
          <w:i/>
          <w:sz w:val="13"/>
        </w:rPr>
        <w:t>Selection, Eligibility and Exemption of Jurors </w:t>
      </w:r>
      <w:r>
        <w:rPr>
          <w:sz w:val="13"/>
        </w:rPr>
        <w:t>(Final </w:t>
      </w:r>
      <w:r>
        <w:rPr>
          <w:spacing w:val="2"/>
          <w:sz w:val="13"/>
        </w:rPr>
        <w:t>Report   </w:t>
      </w:r>
      <w:r>
        <w:rPr>
          <w:sz w:val="13"/>
        </w:rPr>
        <w:t>Project No </w:t>
      </w:r>
      <w:r>
        <w:rPr>
          <w:spacing w:val="3"/>
          <w:sz w:val="13"/>
        </w:rPr>
        <w:t>99, </w:t>
      </w:r>
      <w:r>
        <w:rPr>
          <w:sz w:val="13"/>
        </w:rPr>
        <w:t>April 2010); </w:t>
      </w:r>
      <w:r>
        <w:rPr>
          <w:spacing w:val="2"/>
          <w:sz w:val="13"/>
        </w:rPr>
        <w:t>Queensland </w:t>
      </w:r>
      <w:r>
        <w:rPr>
          <w:sz w:val="13"/>
        </w:rPr>
        <w:t>Law Reform </w:t>
      </w:r>
      <w:r>
        <w:rPr>
          <w:spacing w:val="2"/>
          <w:sz w:val="13"/>
        </w:rPr>
        <w:t>Commission, </w:t>
      </w:r>
      <w:r>
        <w:rPr>
          <w:i/>
          <w:sz w:val="13"/>
        </w:rPr>
        <w:t>A Review of </w:t>
      </w:r>
      <w:r>
        <w:rPr>
          <w:i/>
          <w:spacing w:val="2"/>
          <w:sz w:val="13"/>
        </w:rPr>
        <w:t>Jury </w:t>
      </w:r>
      <w:r>
        <w:rPr>
          <w:i/>
          <w:sz w:val="13"/>
        </w:rPr>
        <w:t>Selection </w:t>
      </w:r>
      <w:r>
        <w:rPr>
          <w:spacing w:val="2"/>
          <w:sz w:val="13"/>
        </w:rPr>
        <w:t>(Report </w:t>
      </w:r>
      <w:r>
        <w:rPr>
          <w:sz w:val="13"/>
        </w:rPr>
        <w:t>No 68, 2011); Law Reform </w:t>
      </w:r>
      <w:r>
        <w:rPr>
          <w:spacing w:val="2"/>
          <w:sz w:val="13"/>
        </w:rPr>
        <w:t>Commission </w:t>
      </w:r>
      <w:r>
        <w:rPr>
          <w:sz w:val="13"/>
        </w:rPr>
        <w:t>(Ireland), </w:t>
      </w:r>
      <w:r>
        <w:rPr>
          <w:i/>
          <w:spacing w:val="2"/>
          <w:sz w:val="13"/>
        </w:rPr>
        <w:t>Jury Service </w:t>
      </w:r>
      <w:r>
        <w:rPr>
          <w:spacing w:val="2"/>
          <w:sz w:val="13"/>
        </w:rPr>
        <w:t>(Report </w:t>
      </w:r>
      <w:r>
        <w:rPr>
          <w:sz w:val="13"/>
        </w:rPr>
        <w:t>No </w:t>
      </w:r>
      <w:r>
        <w:rPr>
          <w:spacing w:val="-3"/>
          <w:sz w:val="13"/>
        </w:rPr>
        <w:t>107, </w:t>
      </w:r>
      <w:r>
        <w:rPr>
          <w:sz w:val="13"/>
        </w:rPr>
        <w:t>April 2013); Australian Law Reform </w:t>
      </w:r>
      <w:r>
        <w:rPr>
          <w:spacing w:val="2"/>
          <w:sz w:val="13"/>
        </w:rPr>
        <w:t>Commission, </w:t>
      </w:r>
      <w:r>
        <w:rPr>
          <w:i/>
          <w:sz w:val="13"/>
        </w:rPr>
        <w:t>Equality, Capacity and  </w:t>
      </w:r>
      <w:r>
        <w:rPr>
          <w:i/>
          <w:sz w:val="13"/>
        </w:rPr>
        <w:t>Disability in Commonwealth Laws </w:t>
      </w:r>
      <w:r>
        <w:rPr>
          <w:sz w:val="13"/>
        </w:rPr>
        <w:t>(Discussion Paper No 81, 22 May </w:t>
      </w:r>
      <w:r>
        <w:rPr>
          <w:spacing w:val="2"/>
          <w:sz w:val="13"/>
        </w:rPr>
        <w:t>2014); </w:t>
      </w:r>
      <w:r>
        <w:rPr>
          <w:sz w:val="13"/>
        </w:rPr>
        <w:t>See also: </w:t>
      </w:r>
      <w:r>
        <w:rPr>
          <w:spacing w:val="2"/>
          <w:sz w:val="13"/>
        </w:rPr>
        <w:t>Sandra </w:t>
      </w:r>
      <w:r>
        <w:rPr>
          <w:sz w:val="13"/>
        </w:rPr>
        <w:t>Hale et </w:t>
      </w:r>
      <w:r>
        <w:rPr>
          <w:spacing w:val="2"/>
          <w:sz w:val="13"/>
        </w:rPr>
        <w:t>al, </w:t>
      </w:r>
      <w:r>
        <w:rPr>
          <w:i/>
          <w:sz w:val="13"/>
        </w:rPr>
        <w:t>Participation in the </w:t>
      </w:r>
      <w:r>
        <w:rPr>
          <w:i/>
          <w:sz w:val="13"/>
        </w:rPr>
        <w:t>Administration of Justice: Deaf Citizens as Jurors </w:t>
      </w:r>
      <w:r>
        <w:rPr>
          <w:spacing w:val="2"/>
          <w:sz w:val="13"/>
        </w:rPr>
        <w:t>(Australian </w:t>
      </w:r>
      <w:r>
        <w:rPr>
          <w:sz w:val="13"/>
        </w:rPr>
        <w:t>Research Council Linkage Project No 120200261, 2016).Other </w:t>
      </w:r>
      <w:r>
        <w:rPr>
          <w:spacing w:val="2"/>
          <w:sz w:val="13"/>
        </w:rPr>
        <w:t>reports </w:t>
      </w:r>
      <w:r>
        <w:rPr>
          <w:sz w:val="13"/>
        </w:rPr>
        <w:t>have sought community responses about reform: see </w:t>
      </w:r>
      <w:r>
        <w:rPr>
          <w:spacing w:val="2"/>
          <w:sz w:val="13"/>
        </w:rPr>
        <w:t>Department </w:t>
      </w:r>
      <w:r>
        <w:rPr>
          <w:sz w:val="13"/>
        </w:rPr>
        <w:t>of Justice (WA), </w:t>
      </w:r>
      <w:r>
        <w:rPr>
          <w:i/>
          <w:spacing w:val="2"/>
          <w:sz w:val="13"/>
        </w:rPr>
        <w:t>Participation </w:t>
      </w:r>
      <w:r>
        <w:rPr>
          <w:i/>
          <w:sz w:val="13"/>
        </w:rPr>
        <w:t>of People with a Disability in      </w:t>
      </w:r>
      <w:r>
        <w:rPr>
          <w:i/>
          <w:spacing w:val="2"/>
          <w:sz w:val="13"/>
        </w:rPr>
        <w:t>Jury Service </w:t>
      </w:r>
      <w:r>
        <w:rPr>
          <w:sz w:val="13"/>
        </w:rPr>
        <w:t>(Discussion Paper, March 2020); </w:t>
      </w:r>
      <w:r>
        <w:rPr>
          <w:spacing w:val="2"/>
          <w:sz w:val="13"/>
        </w:rPr>
        <w:t>Department </w:t>
      </w:r>
      <w:r>
        <w:rPr>
          <w:sz w:val="13"/>
        </w:rPr>
        <w:t>of Justice and </w:t>
      </w:r>
      <w:r>
        <w:rPr>
          <w:spacing w:val="2"/>
          <w:sz w:val="13"/>
        </w:rPr>
        <w:t>Regulation </w:t>
      </w:r>
      <w:r>
        <w:rPr>
          <w:sz w:val="13"/>
        </w:rPr>
        <w:t>(Vic), </w:t>
      </w:r>
      <w:r>
        <w:rPr>
          <w:i/>
          <w:sz w:val="13"/>
        </w:rPr>
        <w:t>Equality and Fairness in </w:t>
      </w:r>
      <w:r>
        <w:rPr>
          <w:i/>
          <w:spacing w:val="2"/>
          <w:sz w:val="13"/>
        </w:rPr>
        <w:t>Jury </w:t>
      </w:r>
      <w:r>
        <w:rPr>
          <w:i/>
          <w:sz w:val="13"/>
        </w:rPr>
        <w:t>Selection </w:t>
      </w:r>
      <w:r>
        <w:rPr>
          <w:sz w:val="13"/>
        </w:rPr>
        <w:t>(Discussion Paper, 2016).</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spacing w:before="49"/>
        <w:ind w:left="967" w:right="0" w:firstLine="0"/>
        <w:jc w:val="left"/>
        <w:rPr>
          <w:b/>
          <w:sz w:val="24"/>
        </w:rPr>
      </w:pPr>
      <w:bookmarkStart w:name="A note on language" w:id="22"/>
      <w:bookmarkEnd w:id="22"/>
      <w:r>
        <w:rPr/>
      </w:r>
      <w:bookmarkStart w:name="_bookmark9" w:id="23"/>
      <w:bookmarkEnd w:id="23"/>
      <w:r>
        <w:rPr/>
      </w:r>
      <w:r>
        <w:rPr>
          <w:b/>
          <w:sz w:val="24"/>
        </w:rPr>
        <w:t>Working with the existing jury selection process</w:t>
      </w:r>
    </w:p>
    <w:p>
      <w:pPr>
        <w:pStyle w:val="ListParagraph"/>
        <w:numPr>
          <w:ilvl w:val="1"/>
          <w:numId w:val="12"/>
        </w:numPr>
        <w:tabs>
          <w:tab w:pos="1761" w:val="left" w:leader="none"/>
          <w:tab w:pos="1762" w:val="left" w:leader="none"/>
        </w:tabs>
        <w:spacing w:line="206" w:lineRule="auto" w:before="127" w:after="0"/>
        <w:ind w:left="1761" w:right="1214" w:hanging="794"/>
        <w:jc w:val="left"/>
        <w:rPr>
          <w:sz w:val="20"/>
        </w:rPr>
      </w:pPr>
      <w:r>
        <w:rPr>
          <w:sz w:val="20"/>
        </w:rPr>
        <w:t>The</w:t>
      </w:r>
      <w:r>
        <w:rPr>
          <w:spacing w:val="-12"/>
          <w:sz w:val="20"/>
        </w:rPr>
        <w:t> </w:t>
      </w:r>
      <w:r>
        <w:rPr>
          <w:sz w:val="20"/>
        </w:rPr>
        <w:t>recommendations</w:t>
      </w:r>
      <w:r>
        <w:rPr>
          <w:spacing w:val="-11"/>
          <w:sz w:val="20"/>
        </w:rPr>
        <w:t> </w:t>
      </w:r>
      <w:r>
        <w:rPr>
          <w:sz w:val="20"/>
        </w:rPr>
        <w:t>in</w:t>
      </w:r>
      <w:r>
        <w:rPr>
          <w:spacing w:val="-12"/>
          <w:sz w:val="20"/>
        </w:rPr>
        <w:t> </w:t>
      </w:r>
      <w:r>
        <w:rPr>
          <w:sz w:val="20"/>
        </w:rPr>
        <w:t>this</w:t>
      </w:r>
      <w:r>
        <w:rPr>
          <w:spacing w:val="-11"/>
          <w:sz w:val="20"/>
        </w:rPr>
        <w:t> </w:t>
      </w:r>
      <w:r>
        <w:rPr>
          <w:sz w:val="20"/>
        </w:rPr>
        <w:t>report</w:t>
      </w:r>
      <w:r>
        <w:rPr>
          <w:spacing w:val="-11"/>
          <w:sz w:val="20"/>
        </w:rPr>
        <w:t> </w:t>
      </w:r>
      <w:r>
        <w:rPr>
          <w:sz w:val="20"/>
        </w:rPr>
        <w:t>do</w:t>
      </w:r>
      <w:r>
        <w:rPr>
          <w:spacing w:val="-12"/>
          <w:sz w:val="20"/>
        </w:rPr>
        <w:t> </w:t>
      </w:r>
      <w:r>
        <w:rPr>
          <w:sz w:val="20"/>
        </w:rPr>
        <w:t>not</w:t>
      </w:r>
      <w:r>
        <w:rPr>
          <w:spacing w:val="-11"/>
          <w:sz w:val="20"/>
        </w:rPr>
        <w:t> </w:t>
      </w:r>
      <w:r>
        <w:rPr>
          <w:sz w:val="20"/>
        </w:rPr>
        <w:t>re-imagine</w:t>
      </w:r>
      <w:r>
        <w:rPr>
          <w:spacing w:val="-11"/>
          <w:sz w:val="20"/>
        </w:rPr>
        <w:t> </w:t>
      </w:r>
      <w:r>
        <w:rPr>
          <w:sz w:val="20"/>
        </w:rPr>
        <w:t>the</w:t>
      </w:r>
      <w:r>
        <w:rPr>
          <w:spacing w:val="-12"/>
          <w:sz w:val="20"/>
        </w:rPr>
        <w:t> </w:t>
      </w:r>
      <w:r>
        <w:rPr>
          <w:spacing w:val="-3"/>
          <w:sz w:val="20"/>
        </w:rPr>
        <w:t>entire</w:t>
      </w:r>
      <w:r>
        <w:rPr>
          <w:spacing w:val="-11"/>
          <w:sz w:val="20"/>
        </w:rPr>
        <w:t> </w:t>
      </w:r>
      <w:r>
        <w:rPr>
          <w:sz w:val="20"/>
        </w:rPr>
        <w:t>jury</w:t>
      </w:r>
      <w:r>
        <w:rPr>
          <w:spacing w:val="-12"/>
          <w:sz w:val="20"/>
        </w:rPr>
        <w:t> </w:t>
      </w:r>
      <w:r>
        <w:rPr>
          <w:sz w:val="20"/>
        </w:rPr>
        <w:t>selection</w:t>
      </w:r>
      <w:r>
        <w:rPr>
          <w:spacing w:val="-11"/>
          <w:sz w:val="20"/>
        </w:rPr>
        <w:t> </w:t>
      </w:r>
      <w:r>
        <w:rPr>
          <w:sz w:val="20"/>
        </w:rPr>
        <w:t>process. Reforms aim to modify existing processes as </w:t>
      </w:r>
      <w:r>
        <w:rPr>
          <w:spacing w:val="-2"/>
          <w:sz w:val="20"/>
        </w:rPr>
        <w:t>simply </w:t>
      </w:r>
      <w:r>
        <w:rPr>
          <w:sz w:val="20"/>
        </w:rPr>
        <w:t>as possible. They ensure that the judge</w:t>
      </w:r>
      <w:r>
        <w:rPr>
          <w:spacing w:val="-12"/>
          <w:sz w:val="20"/>
        </w:rPr>
        <w:t> </w:t>
      </w:r>
      <w:r>
        <w:rPr>
          <w:sz w:val="20"/>
        </w:rPr>
        <w:t>retains</w:t>
      </w:r>
      <w:r>
        <w:rPr>
          <w:spacing w:val="-11"/>
          <w:sz w:val="20"/>
        </w:rPr>
        <w:t> </w:t>
      </w:r>
      <w:r>
        <w:rPr>
          <w:sz w:val="20"/>
        </w:rPr>
        <w:t>flexibility</w:t>
      </w:r>
      <w:r>
        <w:rPr>
          <w:spacing w:val="-12"/>
          <w:sz w:val="20"/>
        </w:rPr>
        <w:t> </w:t>
      </w:r>
      <w:r>
        <w:rPr>
          <w:sz w:val="20"/>
        </w:rPr>
        <w:t>to</w:t>
      </w:r>
      <w:r>
        <w:rPr>
          <w:spacing w:val="-11"/>
          <w:sz w:val="20"/>
        </w:rPr>
        <w:t> </w:t>
      </w:r>
      <w:r>
        <w:rPr>
          <w:sz w:val="20"/>
        </w:rPr>
        <w:t>respond</w:t>
      </w:r>
      <w:r>
        <w:rPr>
          <w:spacing w:val="-12"/>
          <w:sz w:val="20"/>
        </w:rPr>
        <w:t> </w:t>
      </w:r>
      <w:r>
        <w:rPr>
          <w:sz w:val="20"/>
        </w:rPr>
        <w:t>to</w:t>
      </w:r>
      <w:r>
        <w:rPr>
          <w:spacing w:val="-11"/>
          <w:sz w:val="20"/>
        </w:rPr>
        <w:t> </w:t>
      </w:r>
      <w:r>
        <w:rPr>
          <w:sz w:val="20"/>
        </w:rPr>
        <w:t>needs</w:t>
      </w:r>
      <w:r>
        <w:rPr>
          <w:spacing w:val="-12"/>
          <w:sz w:val="20"/>
        </w:rPr>
        <w:t> </w:t>
      </w:r>
      <w:r>
        <w:rPr>
          <w:sz w:val="20"/>
        </w:rPr>
        <w:t>as</w:t>
      </w:r>
      <w:r>
        <w:rPr>
          <w:spacing w:val="-11"/>
          <w:sz w:val="20"/>
        </w:rPr>
        <w:t> </w:t>
      </w:r>
      <w:r>
        <w:rPr>
          <w:sz w:val="20"/>
        </w:rPr>
        <w:t>they</w:t>
      </w:r>
      <w:r>
        <w:rPr>
          <w:spacing w:val="-12"/>
          <w:sz w:val="20"/>
        </w:rPr>
        <w:t> </w:t>
      </w:r>
      <w:r>
        <w:rPr>
          <w:sz w:val="20"/>
        </w:rPr>
        <w:t>arise,</w:t>
      </w:r>
      <w:r>
        <w:rPr>
          <w:spacing w:val="-11"/>
          <w:sz w:val="20"/>
        </w:rPr>
        <w:t> </w:t>
      </w:r>
      <w:r>
        <w:rPr>
          <w:sz w:val="20"/>
        </w:rPr>
        <w:t>and</w:t>
      </w:r>
      <w:r>
        <w:rPr>
          <w:spacing w:val="-12"/>
          <w:sz w:val="20"/>
        </w:rPr>
        <w:t> </w:t>
      </w:r>
      <w:r>
        <w:rPr>
          <w:sz w:val="20"/>
        </w:rPr>
        <w:t>that</w:t>
      </w:r>
      <w:r>
        <w:rPr>
          <w:spacing w:val="-11"/>
          <w:sz w:val="20"/>
        </w:rPr>
        <w:t> </w:t>
      </w:r>
      <w:r>
        <w:rPr>
          <w:sz w:val="20"/>
        </w:rPr>
        <w:t>trials</w:t>
      </w:r>
      <w:r>
        <w:rPr>
          <w:spacing w:val="-12"/>
          <w:sz w:val="20"/>
        </w:rPr>
        <w:t> </w:t>
      </w:r>
      <w:r>
        <w:rPr>
          <w:sz w:val="20"/>
        </w:rPr>
        <w:t>continue</w:t>
      </w:r>
      <w:r>
        <w:rPr>
          <w:spacing w:val="-11"/>
          <w:sz w:val="20"/>
        </w:rPr>
        <w:t> </w:t>
      </w:r>
      <w:r>
        <w:rPr>
          <w:sz w:val="20"/>
        </w:rPr>
        <w:t>to</w:t>
      </w:r>
      <w:r>
        <w:rPr>
          <w:spacing w:val="-12"/>
          <w:sz w:val="20"/>
        </w:rPr>
        <w:t> </w:t>
      </w:r>
      <w:r>
        <w:rPr>
          <w:sz w:val="20"/>
        </w:rPr>
        <w:t>run efficiently and</w:t>
      </w:r>
      <w:r>
        <w:rPr>
          <w:spacing w:val="-9"/>
          <w:sz w:val="20"/>
        </w:rPr>
        <w:t> </w:t>
      </w:r>
      <w:r>
        <w:rPr>
          <w:spacing w:val="-4"/>
          <w:sz w:val="20"/>
        </w:rPr>
        <w:t>fairly.</w:t>
      </w:r>
    </w:p>
    <w:p>
      <w:pPr>
        <w:pStyle w:val="ListParagraph"/>
        <w:numPr>
          <w:ilvl w:val="1"/>
          <w:numId w:val="12"/>
        </w:numPr>
        <w:tabs>
          <w:tab w:pos="1761" w:val="left" w:leader="none"/>
          <w:tab w:pos="1762" w:val="left" w:leader="none"/>
        </w:tabs>
        <w:spacing w:line="206" w:lineRule="auto" w:before="125" w:after="0"/>
        <w:ind w:left="1761" w:right="1669" w:hanging="794"/>
        <w:jc w:val="left"/>
        <w:rPr>
          <w:sz w:val="20"/>
        </w:rPr>
      </w:pPr>
      <w:r>
        <w:rPr>
          <w:sz w:val="20"/>
        </w:rPr>
        <w:t>Our recommendations </w:t>
      </w:r>
      <w:r>
        <w:rPr>
          <w:spacing w:val="-3"/>
          <w:sz w:val="20"/>
        </w:rPr>
        <w:t>provide </w:t>
      </w:r>
      <w:r>
        <w:rPr>
          <w:sz w:val="20"/>
        </w:rPr>
        <w:t>a roadmap for Juries Victoria and the courts. The finer details of implementation will need to be settled when it is clear </w:t>
      </w:r>
      <w:r>
        <w:rPr>
          <w:spacing w:val="-3"/>
          <w:sz w:val="20"/>
        </w:rPr>
        <w:t>how </w:t>
      </w:r>
      <w:r>
        <w:rPr>
          <w:sz w:val="20"/>
        </w:rPr>
        <w:t>case management</w:t>
      </w:r>
      <w:r>
        <w:rPr>
          <w:spacing w:val="-9"/>
          <w:sz w:val="20"/>
        </w:rPr>
        <w:t> </w:t>
      </w:r>
      <w:r>
        <w:rPr>
          <w:sz w:val="20"/>
        </w:rPr>
        <w:t>will</w:t>
      </w:r>
      <w:r>
        <w:rPr>
          <w:spacing w:val="-8"/>
          <w:sz w:val="20"/>
        </w:rPr>
        <w:t> </w:t>
      </w:r>
      <w:r>
        <w:rPr>
          <w:sz w:val="20"/>
        </w:rPr>
        <w:t>change</w:t>
      </w:r>
      <w:r>
        <w:rPr>
          <w:spacing w:val="-8"/>
          <w:sz w:val="20"/>
        </w:rPr>
        <w:t> </w:t>
      </w:r>
      <w:r>
        <w:rPr>
          <w:sz w:val="20"/>
        </w:rPr>
        <w:t>in</w:t>
      </w:r>
      <w:r>
        <w:rPr>
          <w:spacing w:val="-9"/>
          <w:sz w:val="20"/>
        </w:rPr>
        <w:t> </w:t>
      </w:r>
      <w:r>
        <w:rPr>
          <w:sz w:val="20"/>
        </w:rPr>
        <w:t>the</w:t>
      </w:r>
      <w:r>
        <w:rPr>
          <w:spacing w:val="-8"/>
          <w:sz w:val="20"/>
        </w:rPr>
        <w:t> </w:t>
      </w:r>
      <w:r>
        <w:rPr>
          <w:sz w:val="20"/>
        </w:rPr>
        <w:t>courts</w:t>
      </w:r>
      <w:r>
        <w:rPr>
          <w:spacing w:val="-8"/>
          <w:sz w:val="20"/>
        </w:rPr>
        <w:t> </w:t>
      </w:r>
      <w:r>
        <w:rPr>
          <w:sz w:val="20"/>
        </w:rPr>
        <w:t>after</w:t>
      </w:r>
      <w:r>
        <w:rPr>
          <w:spacing w:val="-8"/>
          <w:sz w:val="20"/>
        </w:rPr>
        <w:t> </w:t>
      </w:r>
      <w:r>
        <w:rPr>
          <w:sz w:val="20"/>
        </w:rPr>
        <w:t>the</w:t>
      </w:r>
      <w:r>
        <w:rPr>
          <w:spacing w:val="-9"/>
          <w:sz w:val="20"/>
        </w:rPr>
        <w:t> </w:t>
      </w:r>
      <w:r>
        <w:rPr>
          <w:spacing w:val="-3"/>
          <w:sz w:val="20"/>
        </w:rPr>
        <w:t>coronavirus</w:t>
      </w:r>
      <w:r>
        <w:rPr>
          <w:spacing w:val="-8"/>
          <w:sz w:val="20"/>
        </w:rPr>
        <w:t> </w:t>
      </w:r>
      <w:r>
        <w:rPr>
          <w:spacing w:val="-3"/>
          <w:sz w:val="20"/>
        </w:rPr>
        <w:t>(COVID-19)</w:t>
      </w:r>
      <w:r>
        <w:rPr>
          <w:spacing w:val="-8"/>
          <w:sz w:val="20"/>
        </w:rPr>
        <w:t> </w:t>
      </w:r>
      <w:r>
        <w:rPr>
          <w:sz w:val="20"/>
        </w:rPr>
        <w:t>pandemic.</w:t>
      </w:r>
    </w:p>
    <w:p>
      <w:pPr>
        <w:pStyle w:val="BodyText"/>
        <w:spacing w:before="7"/>
        <w:rPr>
          <w:sz w:val="16"/>
        </w:rPr>
      </w:pPr>
    </w:p>
    <w:p>
      <w:pPr>
        <w:spacing w:before="0"/>
        <w:ind w:left="967" w:right="0" w:firstLine="0"/>
        <w:jc w:val="left"/>
        <w:rPr>
          <w:rFonts w:ascii="Raleway ExtraBold"/>
          <w:b/>
          <w:sz w:val="28"/>
        </w:rPr>
      </w:pPr>
      <w:r>
        <w:rPr>
          <w:rFonts w:ascii="Raleway ExtraBold"/>
          <w:b/>
          <w:color w:val="37617A"/>
          <w:sz w:val="28"/>
        </w:rPr>
        <w:t>A note on language</w:t>
      </w:r>
    </w:p>
    <w:p>
      <w:pPr>
        <w:pStyle w:val="ListParagraph"/>
        <w:numPr>
          <w:ilvl w:val="1"/>
          <w:numId w:val="12"/>
        </w:numPr>
        <w:tabs>
          <w:tab w:pos="1761" w:val="left" w:leader="none"/>
          <w:tab w:pos="1762" w:val="left" w:leader="none"/>
        </w:tabs>
        <w:spacing w:line="206" w:lineRule="auto" w:before="146" w:after="0"/>
        <w:ind w:left="1761" w:right="1587" w:hanging="794"/>
        <w:jc w:val="left"/>
        <w:rPr>
          <w:sz w:val="20"/>
        </w:rPr>
      </w:pPr>
      <w:r>
        <w:rPr>
          <w:sz w:val="20"/>
        </w:rPr>
        <w:t>Language is a tool that can help </w:t>
      </w:r>
      <w:r>
        <w:rPr>
          <w:spacing w:val="-4"/>
          <w:sz w:val="20"/>
        </w:rPr>
        <w:t>improve </w:t>
      </w:r>
      <w:r>
        <w:rPr>
          <w:sz w:val="20"/>
        </w:rPr>
        <w:t>inclusivity in our </w:t>
      </w:r>
      <w:r>
        <w:rPr>
          <w:spacing w:val="-3"/>
          <w:sz w:val="20"/>
        </w:rPr>
        <w:t>community. </w:t>
      </w:r>
      <w:r>
        <w:rPr>
          <w:sz w:val="20"/>
        </w:rPr>
        <w:t>People with disabilities</w:t>
      </w:r>
      <w:r>
        <w:rPr>
          <w:spacing w:val="-10"/>
          <w:sz w:val="20"/>
        </w:rPr>
        <w:t> </w:t>
      </w:r>
      <w:r>
        <w:rPr>
          <w:spacing w:val="-4"/>
          <w:sz w:val="20"/>
        </w:rPr>
        <w:t>have</w:t>
      </w:r>
      <w:r>
        <w:rPr>
          <w:spacing w:val="-9"/>
          <w:sz w:val="20"/>
        </w:rPr>
        <w:t> </w:t>
      </w:r>
      <w:r>
        <w:rPr>
          <w:spacing w:val="-3"/>
          <w:sz w:val="20"/>
        </w:rPr>
        <w:t>worked</w:t>
      </w:r>
      <w:r>
        <w:rPr>
          <w:spacing w:val="-9"/>
          <w:sz w:val="20"/>
        </w:rPr>
        <w:t> </w:t>
      </w:r>
      <w:r>
        <w:rPr>
          <w:sz w:val="20"/>
        </w:rPr>
        <w:t>hard</w:t>
      </w:r>
      <w:r>
        <w:rPr>
          <w:spacing w:val="-10"/>
          <w:sz w:val="20"/>
        </w:rPr>
        <w:t> </w:t>
      </w:r>
      <w:r>
        <w:rPr>
          <w:sz w:val="20"/>
        </w:rPr>
        <w:t>to</w:t>
      </w:r>
      <w:r>
        <w:rPr>
          <w:spacing w:val="-9"/>
          <w:sz w:val="20"/>
        </w:rPr>
        <w:t> </w:t>
      </w:r>
      <w:r>
        <w:rPr>
          <w:spacing w:val="-3"/>
          <w:sz w:val="20"/>
        </w:rPr>
        <w:t>reframe</w:t>
      </w:r>
      <w:r>
        <w:rPr>
          <w:spacing w:val="-9"/>
          <w:sz w:val="20"/>
        </w:rPr>
        <w:t> </w:t>
      </w:r>
      <w:r>
        <w:rPr>
          <w:sz w:val="20"/>
        </w:rPr>
        <w:t>language</w:t>
      </w:r>
      <w:r>
        <w:rPr>
          <w:spacing w:val="-9"/>
          <w:sz w:val="20"/>
        </w:rPr>
        <w:t> </w:t>
      </w:r>
      <w:r>
        <w:rPr>
          <w:sz w:val="20"/>
        </w:rPr>
        <w:t>to</w:t>
      </w:r>
      <w:r>
        <w:rPr>
          <w:spacing w:val="-10"/>
          <w:sz w:val="20"/>
        </w:rPr>
        <w:t> </w:t>
      </w:r>
      <w:r>
        <w:rPr>
          <w:sz w:val="20"/>
        </w:rPr>
        <w:t>support</w:t>
      </w:r>
      <w:r>
        <w:rPr>
          <w:spacing w:val="-9"/>
          <w:sz w:val="20"/>
        </w:rPr>
        <w:t> </w:t>
      </w:r>
      <w:r>
        <w:rPr>
          <w:sz w:val="20"/>
        </w:rPr>
        <w:t>the</w:t>
      </w:r>
      <w:r>
        <w:rPr>
          <w:spacing w:val="-9"/>
          <w:sz w:val="20"/>
        </w:rPr>
        <w:t> </w:t>
      </w:r>
      <w:r>
        <w:rPr>
          <w:sz w:val="20"/>
        </w:rPr>
        <w:t>protection</w:t>
      </w:r>
      <w:r>
        <w:rPr>
          <w:spacing w:val="-9"/>
          <w:sz w:val="20"/>
        </w:rPr>
        <w:t> </w:t>
      </w:r>
      <w:r>
        <w:rPr>
          <w:sz w:val="20"/>
        </w:rPr>
        <w:t>of</w:t>
      </w:r>
      <w:r>
        <w:rPr>
          <w:spacing w:val="-10"/>
          <w:sz w:val="20"/>
        </w:rPr>
        <w:t> </w:t>
      </w:r>
      <w:r>
        <w:rPr>
          <w:sz w:val="20"/>
        </w:rPr>
        <w:t>their human</w:t>
      </w:r>
      <w:r>
        <w:rPr>
          <w:spacing w:val="-5"/>
          <w:sz w:val="20"/>
        </w:rPr>
        <w:t> </w:t>
      </w:r>
      <w:r>
        <w:rPr>
          <w:sz w:val="20"/>
        </w:rPr>
        <w:t>rights.</w:t>
      </w:r>
    </w:p>
    <w:p>
      <w:pPr>
        <w:pStyle w:val="ListParagraph"/>
        <w:numPr>
          <w:ilvl w:val="1"/>
          <w:numId w:val="12"/>
        </w:numPr>
        <w:tabs>
          <w:tab w:pos="1761" w:val="left" w:leader="none"/>
          <w:tab w:pos="1762" w:val="left" w:leader="none"/>
        </w:tabs>
        <w:spacing w:line="206" w:lineRule="auto" w:before="124" w:after="0"/>
        <w:ind w:left="1761" w:right="1634" w:hanging="794"/>
        <w:jc w:val="left"/>
        <w:rPr>
          <w:sz w:val="20"/>
        </w:rPr>
      </w:pPr>
      <w:r>
        <w:rPr>
          <w:sz w:val="20"/>
        </w:rPr>
        <w:t>Just as </w:t>
      </w:r>
      <w:r>
        <w:rPr>
          <w:spacing w:val="-3"/>
          <w:sz w:val="20"/>
        </w:rPr>
        <w:t>people’s </w:t>
      </w:r>
      <w:r>
        <w:rPr>
          <w:sz w:val="20"/>
        </w:rPr>
        <w:t>experience of disability differs, their </w:t>
      </w:r>
      <w:r>
        <w:rPr>
          <w:spacing w:val="-3"/>
          <w:sz w:val="20"/>
        </w:rPr>
        <w:t>preferences </w:t>
      </w:r>
      <w:r>
        <w:rPr>
          <w:sz w:val="20"/>
        </w:rPr>
        <w:t>about the </w:t>
      </w:r>
      <w:r>
        <w:rPr>
          <w:spacing w:val="-4"/>
          <w:sz w:val="20"/>
        </w:rPr>
        <w:t>way </w:t>
      </w:r>
      <w:r>
        <w:rPr>
          <w:sz w:val="20"/>
        </w:rPr>
        <w:t>they</w:t>
      </w:r>
      <w:r>
        <w:rPr>
          <w:spacing w:val="-10"/>
          <w:sz w:val="20"/>
        </w:rPr>
        <w:t> </w:t>
      </w:r>
      <w:r>
        <w:rPr>
          <w:sz w:val="20"/>
        </w:rPr>
        <w:t>choose</w:t>
      </w:r>
      <w:r>
        <w:rPr>
          <w:spacing w:val="-9"/>
          <w:sz w:val="20"/>
        </w:rPr>
        <w:t> </w:t>
      </w:r>
      <w:r>
        <w:rPr>
          <w:sz w:val="20"/>
        </w:rPr>
        <w:t>to</w:t>
      </w:r>
      <w:r>
        <w:rPr>
          <w:spacing w:val="-10"/>
          <w:sz w:val="20"/>
        </w:rPr>
        <w:t> </w:t>
      </w:r>
      <w:r>
        <w:rPr>
          <w:sz w:val="20"/>
        </w:rPr>
        <w:t>describe</w:t>
      </w:r>
      <w:r>
        <w:rPr>
          <w:spacing w:val="-9"/>
          <w:sz w:val="20"/>
        </w:rPr>
        <w:t> </w:t>
      </w:r>
      <w:r>
        <w:rPr>
          <w:spacing w:val="-3"/>
          <w:sz w:val="20"/>
        </w:rPr>
        <w:t>themselves</w:t>
      </w:r>
      <w:r>
        <w:rPr>
          <w:spacing w:val="-9"/>
          <w:sz w:val="20"/>
        </w:rPr>
        <w:t> </w:t>
      </w:r>
      <w:r>
        <w:rPr>
          <w:sz w:val="20"/>
        </w:rPr>
        <w:t>also</w:t>
      </w:r>
      <w:r>
        <w:rPr>
          <w:spacing w:val="-10"/>
          <w:sz w:val="20"/>
        </w:rPr>
        <w:t> </w:t>
      </w:r>
      <w:r>
        <w:rPr>
          <w:sz w:val="20"/>
        </w:rPr>
        <w:t>varies.</w:t>
      </w:r>
      <w:r>
        <w:rPr>
          <w:position w:val="7"/>
          <w:sz w:val="11"/>
        </w:rPr>
        <w:t>11</w:t>
      </w:r>
      <w:r>
        <w:rPr>
          <w:spacing w:val="16"/>
          <w:position w:val="7"/>
          <w:sz w:val="11"/>
        </w:rPr>
        <w:t> </w:t>
      </w:r>
      <w:r>
        <w:rPr>
          <w:sz w:val="20"/>
        </w:rPr>
        <w:t>In</w:t>
      </w:r>
      <w:r>
        <w:rPr>
          <w:spacing w:val="-10"/>
          <w:sz w:val="20"/>
        </w:rPr>
        <w:t> </w:t>
      </w:r>
      <w:r>
        <w:rPr>
          <w:sz w:val="20"/>
        </w:rPr>
        <w:t>this</w:t>
      </w:r>
      <w:r>
        <w:rPr>
          <w:spacing w:val="-9"/>
          <w:sz w:val="20"/>
        </w:rPr>
        <w:t> </w:t>
      </w:r>
      <w:r>
        <w:rPr>
          <w:sz w:val="20"/>
        </w:rPr>
        <w:t>report,</w:t>
      </w:r>
      <w:r>
        <w:rPr>
          <w:spacing w:val="-10"/>
          <w:sz w:val="20"/>
        </w:rPr>
        <w:t> </w:t>
      </w:r>
      <w:r>
        <w:rPr>
          <w:spacing w:val="-3"/>
          <w:sz w:val="20"/>
        </w:rPr>
        <w:t>we</w:t>
      </w:r>
      <w:r>
        <w:rPr>
          <w:spacing w:val="-9"/>
          <w:sz w:val="20"/>
        </w:rPr>
        <w:t> </w:t>
      </w:r>
      <w:r>
        <w:rPr>
          <w:sz w:val="20"/>
        </w:rPr>
        <w:t>use</w:t>
      </w:r>
      <w:r>
        <w:rPr>
          <w:spacing w:val="-9"/>
          <w:sz w:val="20"/>
        </w:rPr>
        <w:t> </w:t>
      </w:r>
      <w:r>
        <w:rPr>
          <w:sz w:val="20"/>
        </w:rPr>
        <w:t>person-first language</w:t>
      </w:r>
      <w:r>
        <w:rPr>
          <w:spacing w:val="-13"/>
          <w:sz w:val="20"/>
        </w:rPr>
        <w:t> </w:t>
      </w:r>
      <w:r>
        <w:rPr>
          <w:sz w:val="20"/>
        </w:rPr>
        <w:t>(eg</w:t>
      </w:r>
      <w:r>
        <w:rPr>
          <w:spacing w:val="-12"/>
          <w:sz w:val="20"/>
        </w:rPr>
        <w:t> </w:t>
      </w:r>
      <w:r>
        <w:rPr>
          <w:sz w:val="20"/>
        </w:rPr>
        <w:t>‘person</w:t>
      </w:r>
      <w:r>
        <w:rPr>
          <w:spacing w:val="-12"/>
          <w:sz w:val="20"/>
        </w:rPr>
        <w:t> </w:t>
      </w:r>
      <w:r>
        <w:rPr>
          <w:sz w:val="20"/>
        </w:rPr>
        <w:t>with</w:t>
      </w:r>
      <w:r>
        <w:rPr>
          <w:spacing w:val="-12"/>
          <w:sz w:val="20"/>
        </w:rPr>
        <w:t> </w:t>
      </w:r>
      <w:r>
        <w:rPr>
          <w:sz w:val="20"/>
        </w:rPr>
        <w:t>disabilities’)</w:t>
      </w:r>
      <w:r>
        <w:rPr>
          <w:spacing w:val="-12"/>
          <w:sz w:val="20"/>
        </w:rPr>
        <w:t> </w:t>
      </w:r>
      <w:r>
        <w:rPr>
          <w:sz w:val="20"/>
        </w:rPr>
        <w:t>because</w:t>
      </w:r>
      <w:r>
        <w:rPr>
          <w:spacing w:val="-12"/>
          <w:sz w:val="20"/>
        </w:rPr>
        <w:t> </w:t>
      </w:r>
      <w:r>
        <w:rPr>
          <w:sz w:val="20"/>
        </w:rPr>
        <w:t>it</w:t>
      </w:r>
      <w:r>
        <w:rPr>
          <w:spacing w:val="-13"/>
          <w:sz w:val="20"/>
        </w:rPr>
        <w:t> </w:t>
      </w:r>
      <w:r>
        <w:rPr>
          <w:sz w:val="20"/>
        </w:rPr>
        <w:t>emphasises</w:t>
      </w:r>
      <w:r>
        <w:rPr>
          <w:spacing w:val="-12"/>
          <w:sz w:val="20"/>
        </w:rPr>
        <w:t> </w:t>
      </w:r>
      <w:r>
        <w:rPr>
          <w:sz w:val="20"/>
        </w:rPr>
        <w:t>a</w:t>
      </w:r>
      <w:r>
        <w:rPr>
          <w:spacing w:val="-12"/>
          <w:sz w:val="20"/>
        </w:rPr>
        <w:t> </w:t>
      </w:r>
      <w:r>
        <w:rPr>
          <w:sz w:val="20"/>
        </w:rPr>
        <w:t>person’s</w:t>
      </w:r>
      <w:r>
        <w:rPr>
          <w:spacing w:val="-12"/>
          <w:sz w:val="20"/>
        </w:rPr>
        <w:t> </w:t>
      </w:r>
      <w:r>
        <w:rPr>
          <w:sz w:val="20"/>
        </w:rPr>
        <w:t>right</w:t>
      </w:r>
      <w:r>
        <w:rPr>
          <w:spacing w:val="-12"/>
          <w:sz w:val="20"/>
        </w:rPr>
        <w:t> </w:t>
      </w:r>
      <w:r>
        <w:rPr>
          <w:sz w:val="20"/>
        </w:rPr>
        <w:t>to</w:t>
      </w:r>
      <w:r>
        <w:rPr>
          <w:spacing w:val="-12"/>
          <w:sz w:val="20"/>
        </w:rPr>
        <w:t> </w:t>
      </w:r>
      <w:r>
        <w:rPr>
          <w:sz w:val="20"/>
        </w:rPr>
        <w:t>an identity</w:t>
      </w:r>
      <w:r>
        <w:rPr>
          <w:spacing w:val="-12"/>
          <w:sz w:val="20"/>
        </w:rPr>
        <w:t> </w:t>
      </w:r>
      <w:r>
        <w:rPr>
          <w:spacing w:val="-3"/>
          <w:sz w:val="20"/>
        </w:rPr>
        <w:t>beyond</w:t>
      </w:r>
      <w:r>
        <w:rPr>
          <w:spacing w:val="-11"/>
          <w:sz w:val="20"/>
        </w:rPr>
        <w:t> </w:t>
      </w:r>
      <w:r>
        <w:rPr>
          <w:sz w:val="20"/>
        </w:rPr>
        <w:t>their</w:t>
      </w:r>
      <w:r>
        <w:rPr>
          <w:spacing w:val="-12"/>
          <w:sz w:val="20"/>
        </w:rPr>
        <w:t> </w:t>
      </w:r>
      <w:r>
        <w:rPr>
          <w:sz w:val="20"/>
        </w:rPr>
        <w:t>disability.</w:t>
      </w:r>
      <w:r>
        <w:rPr>
          <w:spacing w:val="-11"/>
          <w:sz w:val="20"/>
        </w:rPr>
        <w:t> </w:t>
      </w:r>
      <w:r>
        <w:rPr>
          <w:sz w:val="20"/>
        </w:rPr>
        <w:t>Our</w:t>
      </w:r>
      <w:r>
        <w:rPr>
          <w:spacing w:val="-11"/>
          <w:sz w:val="20"/>
        </w:rPr>
        <w:t> </w:t>
      </w:r>
      <w:r>
        <w:rPr>
          <w:sz w:val="20"/>
        </w:rPr>
        <w:t>approach</w:t>
      </w:r>
      <w:r>
        <w:rPr>
          <w:spacing w:val="-12"/>
          <w:sz w:val="20"/>
        </w:rPr>
        <w:t> </w:t>
      </w:r>
      <w:r>
        <w:rPr>
          <w:sz w:val="20"/>
        </w:rPr>
        <w:t>is</w:t>
      </w:r>
      <w:r>
        <w:rPr>
          <w:spacing w:val="-11"/>
          <w:sz w:val="20"/>
        </w:rPr>
        <w:t> </w:t>
      </w:r>
      <w:r>
        <w:rPr>
          <w:sz w:val="20"/>
        </w:rPr>
        <w:t>consistent</w:t>
      </w:r>
      <w:r>
        <w:rPr>
          <w:spacing w:val="-12"/>
          <w:sz w:val="20"/>
        </w:rPr>
        <w:t> </w:t>
      </w:r>
      <w:r>
        <w:rPr>
          <w:sz w:val="20"/>
        </w:rPr>
        <w:t>with</w:t>
      </w:r>
      <w:r>
        <w:rPr>
          <w:spacing w:val="-11"/>
          <w:sz w:val="20"/>
        </w:rPr>
        <w:t> </w:t>
      </w:r>
      <w:r>
        <w:rPr>
          <w:sz w:val="20"/>
        </w:rPr>
        <w:t>the</w:t>
      </w:r>
      <w:r>
        <w:rPr>
          <w:spacing w:val="-11"/>
          <w:sz w:val="20"/>
        </w:rPr>
        <w:t> </w:t>
      </w:r>
      <w:r>
        <w:rPr>
          <w:sz w:val="20"/>
        </w:rPr>
        <w:t>language</w:t>
      </w:r>
      <w:r>
        <w:rPr>
          <w:spacing w:val="-12"/>
          <w:sz w:val="20"/>
        </w:rPr>
        <w:t> </w:t>
      </w:r>
      <w:r>
        <w:rPr>
          <w:sz w:val="20"/>
        </w:rPr>
        <w:t>in</w:t>
      </w:r>
      <w:r>
        <w:rPr>
          <w:spacing w:val="-11"/>
          <w:sz w:val="20"/>
        </w:rPr>
        <w:t> </w:t>
      </w:r>
      <w:r>
        <w:rPr>
          <w:sz w:val="20"/>
        </w:rPr>
        <w:t>the </w:t>
      </w:r>
      <w:r>
        <w:rPr>
          <w:spacing w:val="-3"/>
          <w:sz w:val="20"/>
        </w:rPr>
        <w:t>CRPD.</w:t>
      </w:r>
    </w:p>
    <w:p>
      <w:pPr>
        <w:pStyle w:val="ListParagraph"/>
        <w:numPr>
          <w:ilvl w:val="1"/>
          <w:numId w:val="12"/>
        </w:numPr>
        <w:tabs>
          <w:tab w:pos="1761" w:val="left" w:leader="none"/>
          <w:tab w:pos="1762" w:val="left" w:leader="none"/>
        </w:tabs>
        <w:spacing w:line="206" w:lineRule="auto" w:before="127" w:after="0"/>
        <w:ind w:left="1761" w:right="1254" w:hanging="794"/>
        <w:jc w:val="left"/>
        <w:rPr>
          <w:sz w:val="20"/>
        </w:rPr>
      </w:pPr>
      <w:r>
        <w:rPr>
          <w:spacing w:val="-5"/>
          <w:sz w:val="20"/>
        </w:rPr>
        <w:t>However, </w:t>
      </w:r>
      <w:r>
        <w:rPr>
          <w:spacing w:val="-3"/>
          <w:sz w:val="20"/>
        </w:rPr>
        <w:t>we </w:t>
      </w:r>
      <w:r>
        <w:rPr>
          <w:sz w:val="20"/>
        </w:rPr>
        <w:t>recognise that some people </w:t>
      </w:r>
      <w:r>
        <w:rPr>
          <w:spacing w:val="-3"/>
          <w:sz w:val="20"/>
        </w:rPr>
        <w:t>prefer </w:t>
      </w:r>
      <w:r>
        <w:rPr>
          <w:sz w:val="20"/>
        </w:rPr>
        <w:t>identity-first language (‘disabled person’) because their disability is an important part of their personal </w:t>
      </w:r>
      <w:r>
        <w:rPr>
          <w:spacing w:val="-3"/>
          <w:sz w:val="20"/>
        </w:rPr>
        <w:t>identity. </w:t>
      </w:r>
      <w:r>
        <w:rPr>
          <w:spacing w:val="-6"/>
          <w:sz w:val="20"/>
        </w:rPr>
        <w:t>We </w:t>
      </w:r>
      <w:r>
        <w:rPr>
          <w:sz w:val="20"/>
        </w:rPr>
        <w:t>also note</w:t>
      </w:r>
      <w:r>
        <w:rPr>
          <w:spacing w:val="-10"/>
          <w:sz w:val="20"/>
        </w:rPr>
        <w:t> </w:t>
      </w:r>
      <w:r>
        <w:rPr>
          <w:sz w:val="20"/>
        </w:rPr>
        <w:t>that</w:t>
      </w:r>
      <w:r>
        <w:rPr>
          <w:spacing w:val="-10"/>
          <w:sz w:val="20"/>
        </w:rPr>
        <w:t> </w:t>
      </w:r>
      <w:r>
        <w:rPr>
          <w:spacing w:val="-3"/>
          <w:sz w:val="20"/>
        </w:rPr>
        <w:t>many</w:t>
      </w:r>
      <w:r>
        <w:rPr>
          <w:spacing w:val="-9"/>
          <w:sz w:val="20"/>
        </w:rPr>
        <w:t> </w:t>
      </w:r>
      <w:r>
        <w:rPr>
          <w:sz w:val="20"/>
        </w:rPr>
        <w:t>people</w:t>
      </w:r>
      <w:r>
        <w:rPr>
          <w:spacing w:val="-10"/>
          <w:sz w:val="20"/>
        </w:rPr>
        <w:t> </w:t>
      </w:r>
      <w:r>
        <w:rPr>
          <w:sz w:val="20"/>
        </w:rPr>
        <w:t>in</w:t>
      </w:r>
      <w:r>
        <w:rPr>
          <w:spacing w:val="-9"/>
          <w:sz w:val="20"/>
        </w:rPr>
        <w:t> </w:t>
      </w:r>
      <w:r>
        <w:rPr>
          <w:sz w:val="20"/>
        </w:rPr>
        <w:t>the</w:t>
      </w:r>
      <w:r>
        <w:rPr>
          <w:spacing w:val="-10"/>
          <w:sz w:val="20"/>
        </w:rPr>
        <w:t> </w:t>
      </w:r>
      <w:r>
        <w:rPr>
          <w:sz w:val="20"/>
        </w:rPr>
        <w:t>Deaf</w:t>
      </w:r>
      <w:r>
        <w:rPr>
          <w:spacing w:val="-10"/>
          <w:sz w:val="20"/>
        </w:rPr>
        <w:t> </w:t>
      </w:r>
      <w:r>
        <w:rPr>
          <w:sz w:val="20"/>
        </w:rPr>
        <w:t>community</w:t>
      </w:r>
      <w:r>
        <w:rPr>
          <w:spacing w:val="-9"/>
          <w:sz w:val="20"/>
        </w:rPr>
        <w:t> </w:t>
      </w:r>
      <w:r>
        <w:rPr>
          <w:sz w:val="20"/>
        </w:rPr>
        <w:t>do</w:t>
      </w:r>
      <w:r>
        <w:rPr>
          <w:spacing w:val="-10"/>
          <w:sz w:val="20"/>
        </w:rPr>
        <w:t> </w:t>
      </w:r>
      <w:r>
        <w:rPr>
          <w:sz w:val="20"/>
        </w:rPr>
        <w:t>not</w:t>
      </w:r>
      <w:r>
        <w:rPr>
          <w:spacing w:val="-9"/>
          <w:sz w:val="20"/>
        </w:rPr>
        <w:t> </w:t>
      </w:r>
      <w:r>
        <w:rPr>
          <w:sz w:val="20"/>
        </w:rPr>
        <w:t>identify</w:t>
      </w:r>
      <w:r>
        <w:rPr>
          <w:spacing w:val="-10"/>
          <w:sz w:val="20"/>
        </w:rPr>
        <w:t> </w:t>
      </w:r>
      <w:r>
        <w:rPr>
          <w:sz w:val="20"/>
        </w:rPr>
        <w:t>as</w:t>
      </w:r>
      <w:r>
        <w:rPr>
          <w:spacing w:val="-10"/>
          <w:sz w:val="20"/>
        </w:rPr>
        <w:t> </w:t>
      </w:r>
      <w:r>
        <w:rPr>
          <w:spacing w:val="-3"/>
          <w:sz w:val="20"/>
        </w:rPr>
        <w:t>having</w:t>
      </w:r>
      <w:r>
        <w:rPr>
          <w:spacing w:val="-9"/>
          <w:sz w:val="20"/>
        </w:rPr>
        <w:t> </w:t>
      </w:r>
      <w:r>
        <w:rPr>
          <w:sz w:val="20"/>
        </w:rPr>
        <w:t>a</w:t>
      </w:r>
      <w:r>
        <w:rPr>
          <w:spacing w:val="-10"/>
          <w:sz w:val="20"/>
        </w:rPr>
        <w:t> </w:t>
      </w:r>
      <w:r>
        <w:rPr>
          <w:sz w:val="20"/>
        </w:rPr>
        <w:t>disability,</w:t>
      </w:r>
      <w:r>
        <w:rPr>
          <w:spacing w:val="-9"/>
          <w:sz w:val="20"/>
        </w:rPr>
        <w:t> </w:t>
      </w:r>
      <w:r>
        <w:rPr>
          <w:sz w:val="20"/>
        </w:rPr>
        <w:t>and instead identify as a </w:t>
      </w:r>
      <w:r>
        <w:rPr>
          <w:spacing w:val="-3"/>
          <w:sz w:val="20"/>
        </w:rPr>
        <w:t>culturally </w:t>
      </w:r>
      <w:r>
        <w:rPr>
          <w:sz w:val="20"/>
        </w:rPr>
        <w:t>and linguistically distinct group. </w:t>
      </w:r>
      <w:r>
        <w:rPr>
          <w:spacing w:val="-6"/>
          <w:sz w:val="20"/>
        </w:rPr>
        <w:t>We </w:t>
      </w:r>
      <w:r>
        <w:rPr>
          <w:sz w:val="20"/>
        </w:rPr>
        <w:t>acknowledge that the use of language is </w:t>
      </w:r>
      <w:r>
        <w:rPr>
          <w:spacing w:val="-4"/>
          <w:sz w:val="20"/>
        </w:rPr>
        <w:t>always</w:t>
      </w:r>
      <w:r>
        <w:rPr>
          <w:spacing w:val="-25"/>
          <w:sz w:val="20"/>
        </w:rPr>
        <w:t> </w:t>
      </w:r>
      <w:r>
        <w:rPr>
          <w:spacing w:val="-3"/>
          <w:sz w:val="20"/>
        </w:rPr>
        <w:t>evolving.</w:t>
      </w:r>
    </w:p>
    <w:p>
      <w:pPr>
        <w:pStyle w:val="Heading6"/>
        <w:rPr>
          <w:b/>
        </w:rPr>
      </w:pPr>
      <w:r>
        <w:rPr>
          <w:b/>
        </w:rPr>
        <w:t>Terminology we use</w:t>
      </w:r>
    </w:p>
    <w:p>
      <w:pPr>
        <w:pStyle w:val="ListParagraph"/>
        <w:numPr>
          <w:ilvl w:val="1"/>
          <w:numId w:val="12"/>
        </w:numPr>
        <w:tabs>
          <w:tab w:pos="1761" w:val="left" w:leader="none"/>
          <w:tab w:pos="1762" w:val="left" w:leader="none"/>
        </w:tabs>
        <w:spacing w:line="206" w:lineRule="auto" w:before="132" w:after="0"/>
        <w:ind w:left="1761" w:right="1352" w:hanging="794"/>
        <w:jc w:val="left"/>
        <w:rPr>
          <w:sz w:val="20"/>
        </w:rPr>
      </w:pPr>
      <w:r>
        <w:rPr>
          <w:sz w:val="20"/>
        </w:rPr>
        <w:t>Throughout</w:t>
      </w:r>
      <w:r>
        <w:rPr>
          <w:spacing w:val="-9"/>
          <w:sz w:val="20"/>
        </w:rPr>
        <w:t> </w:t>
      </w:r>
      <w:r>
        <w:rPr>
          <w:sz w:val="20"/>
        </w:rPr>
        <w:t>this</w:t>
      </w:r>
      <w:r>
        <w:rPr>
          <w:spacing w:val="-9"/>
          <w:sz w:val="20"/>
        </w:rPr>
        <w:t> </w:t>
      </w:r>
      <w:r>
        <w:rPr>
          <w:sz w:val="20"/>
        </w:rPr>
        <w:t>report,</w:t>
      </w:r>
      <w:r>
        <w:rPr>
          <w:spacing w:val="-9"/>
          <w:sz w:val="20"/>
        </w:rPr>
        <w:t> </w:t>
      </w:r>
      <w:r>
        <w:rPr>
          <w:spacing w:val="-3"/>
          <w:sz w:val="20"/>
        </w:rPr>
        <w:t>we</w:t>
      </w:r>
      <w:r>
        <w:rPr>
          <w:spacing w:val="-8"/>
          <w:sz w:val="20"/>
        </w:rPr>
        <w:t> </w:t>
      </w:r>
      <w:r>
        <w:rPr>
          <w:spacing w:val="-3"/>
          <w:sz w:val="20"/>
        </w:rPr>
        <w:t>refer</w:t>
      </w:r>
      <w:r>
        <w:rPr>
          <w:spacing w:val="-9"/>
          <w:sz w:val="20"/>
        </w:rPr>
        <w:t> </w:t>
      </w:r>
      <w:r>
        <w:rPr>
          <w:sz w:val="20"/>
        </w:rPr>
        <w:t>to</w:t>
      </w:r>
      <w:r>
        <w:rPr>
          <w:spacing w:val="-9"/>
          <w:sz w:val="20"/>
        </w:rPr>
        <w:t> </w:t>
      </w:r>
      <w:r>
        <w:rPr>
          <w:sz w:val="20"/>
        </w:rPr>
        <w:t>people</w:t>
      </w:r>
      <w:r>
        <w:rPr>
          <w:spacing w:val="-8"/>
          <w:sz w:val="20"/>
        </w:rPr>
        <w:t> </w:t>
      </w:r>
      <w:r>
        <w:rPr>
          <w:sz w:val="20"/>
        </w:rPr>
        <w:t>who</w:t>
      </w:r>
      <w:r>
        <w:rPr>
          <w:spacing w:val="-9"/>
          <w:sz w:val="20"/>
        </w:rPr>
        <w:t> </w:t>
      </w:r>
      <w:r>
        <w:rPr>
          <w:spacing w:val="-3"/>
          <w:sz w:val="20"/>
        </w:rPr>
        <w:t>are</w:t>
      </w:r>
      <w:r>
        <w:rPr>
          <w:spacing w:val="-9"/>
          <w:sz w:val="20"/>
        </w:rPr>
        <w:t> </w:t>
      </w:r>
      <w:r>
        <w:rPr>
          <w:spacing w:val="-4"/>
          <w:sz w:val="20"/>
        </w:rPr>
        <w:t>deaf,</w:t>
      </w:r>
      <w:r>
        <w:rPr>
          <w:spacing w:val="-8"/>
          <w:sz w:val="20"/>
        </w:rPr>
        <w:t> </w:t>
      </w:r>
      <w:r>
        <w:rPr>
          <w:sz w:val="20"/>
        </w:rPr>
        <w:t>hard</w:t>
      </w:r>
      <w:r>
        <w:rPr>
          <w:spacing w:val="-9"/>
          <w:sz w:val="20"/>
        </w:rPr>
        <w:t> </w:t>
      </w:r>
      <w:r>
        <w:rPr>
          <w:sz w:val="20"/>
        </w:rPr>
        <w:t>of</w:t>
      </w:r>
      <w:r>
        <w:rPr>
          <w:spacing w:val="-9"/>
          <w:sz w:val="20"/>
        </w:rPr>
        <w:t> </w:t>
      </w:r>
      <w:r>
        <w:rPr>
          <w:sz w:val="20"/>
        </w:rPr>
        <w:t>hearing,</w:t>
      </w:r>
      <w:r>
        <w:rPr>
          <w:spacing w:val="-8"/>
          <w:sz w:val="20"/>
        </w:rPr>
        <w:t> </w:t>
      </w:r>
      <w:r>
        <w:rPr>
          <w:sz w:val="20"/>
        </w:rPr>
        <w:t>blind</w:t>
      </w:r>
      <w:r>
        <w:rPr>
          <w:spacing w:val="-9"/>
          <w:sz w:val="20"/>
        </w:rPr>
        <w:t> </w:t>
      </w:r>
      <w:r>
        <w:rPr>
          <w:sz w:val="20"/>
        </w:rPr>
        <w:t>or</w:t>
      </w:r>
      <w:r>
        <w:rPr>
          <w:spacing w:val="-9"/>
          <w:sz w:val="20"/>
        </w:rPr>
        <w:t> </w:t>
      </w:r>
      <w:r>
        <w:rPr>
          <w:spacing w:val="-4"/>
          <w:sz w:val="20"/>
        </w:rPr>
        <w:t>have low </w:t>
      </w:r>
      <w:r>
        <w:rPr>
          <w:sz w:val="20"/>
        </w:rPr>
        <w:t>vision as ‘the subject</w:t>
      </w:r>
      <w:r>
        <w:rPr>
          <w:spacing w:val="-17"/>
          <w:sz w:val="20"/>
        </w:rPr>
        <w:t> </w:t>
      </w:r>
      <w:r>
        <w:rPr>
          <w:spacing w:val="-4"/>
          <w:sz w:val="20"/>
        </w:rPr>
        <w:t>groups’.</w:t>
      </w:r>
    </w:p>
    <w:p>
      <w:pPr>
        <w:pStyle w:val="ListParagraph"/>
        <w:numPr>
          <w:ilvl w:val="1"/>
          <w:numId w:val="12"/>
        </w:numPr>
        <w:tabs>
          <w:tab w:pos="1761" w:val="left" w:leader="none"/>
          <w:tab w:pos="1762" w:val="left" w:leader="none"/>
        </w:tabs>
        <w:spacing w:line="206" w:lineRule="auto" w:before="123" w:after="0"/>
        <w:ind w:left="1761" w:right="1229" w:hanging="794"/>
        <w:jc w:val="left"/>
        <w:rPr>
          <w:sz w:val="20"/>
        </w:rPr>
      </w:pPr>
      <w:r>
        <w:rPr>
          <w:sz w:val="20"/>
        </w:rPr>
        <w:t>In our consultation paper </w:t>
      </w:r>
      <w:r>
        <w:rPr>
          <w:spacing w:val="-3"/>
          <w:sz w:val="20"/>
        </w:rPr>
        <w:t>we </w:t>
      </w:r>
      <w:r>
        <w:rPr>
          <w:sz w:val="20"/>
        </w:rPr>
        <w:t>used the term </w:t>
      </w:r>
      <w:r>
        <w:rPr>
          <w:spacing w:val="-3"/>
          <w:sz w:val="20"/>
        </w:rPr>
        <w:t>‘reasonable </w:t>
      </w:r>
      <w:r>
        <w:rPr>
          <w:sz w:val="20"/>
        </w:rPr>
        <w:t>supports’ and </w:t>
      </w:r>
      <w:r>
        <w:rPr>
          <w:spacing w:val="-4"/>
          <w:sz w:val="20"/>
        </w:rPr>
        <w:t>‘Auslan </w:t>
      </w:r>
      <w:r>
        <w:rPr>
          <w:spacing w:val="-3"/>
          <w:sz w:val="20"/>
        </w:rPr>
        <w:t>interpreters’</w:t>
      </w:r>
      <w:r>
        <w:rPr>
          <w:spacing w:val="-9"/>
          <w:sz w:val="20"/>
        </w:rPr>
        <w:t> </w:t>
      </w:r>
      <w:r>
        <w:rPr>
          <w:sz w:val="20"/>
        </w:rPr>
        <w:t>to</w:t>
      </w:r>
      <w:r>
        <w:rPr>
          <w:spacing w:val="-8"/>
          <w:sz w:val="20"/>
        </w:rPr>
        <w:t> </w:t>
      </w:r>
      <w:r>
        <w:rPr>
          <w:spacing w:val="-3"/>
          <w:sz w:val="20"/>
        </w:rPr>
        <w:t>refer</w:t>
      </w:r>
      <w:r>
        <w:rPr>
          <w:spacing w:val="-8"/>
          <w:sz w:val="20"/>
        </w:rPr>
        <w:t> </w:t>
      </w:r>
      <w:r>
        <w:rPr>
          <w:sz w:val="20"/>
        </w:rPr>
        <w:t>to</w:t>
      </w:r>
      <w:r>
        <w:rPr>
          <w:spacing w:val="-8"/>
          <w:sz w:val="20"/>
        </w:rPr>
        <w:t> </w:t>
      </w:r>
      <w:r>
        <w:rPr>
          <w:sz w:val="20"/>
        </w:rPr>
        <w:t>accessibility</w:t>
      </w:r>
      <w:r>
        <w:rPr>
          <w:spacing w:val="-9"/>
          <w:sz w:val="20"/>
        </w:rPr>
        <w:t> </w:t>
      </w:r>
      <w:r>
        <w:rPr>
          <w:sz w:val="20"/>
        </w:rPr>
        <w:t>tools</w:t>
      </w:r>
      <w:r>
        <w:rPr>
          <w:spacing w:val="-8"/>
          <w:sz w:val="20"/>
        </w:rPr>
        <w:t> </w:t>
      </w:r>
      <w:r>
        <w:rPr>
          <w:sz w:val="20"/>
        </w:rPr>
        <w:t>to</w:t>
      </w:r>
      <w:r>
        <w:rPr>
          <w:spacing w:val="-8"/>
          <w:sz w:val="20"/>
        </w:rPr>
        <w:t> </w:t>
      </w:r>
      <w:r>
        <w:rPr>
          <w:sz w:val="20"/>
        </w:rPr>
        <w:t>enable</w:t>
      </w:r>
      <w:r>
        <w:rPr>
          <w:spacing w:val="-8"/>
          <w:sz w:val="20"/>
        </w:rPr>
        <w:t> </w:t>
      </w:r>
      <w:r>
        <w:rPr>
          <w:spacing w:val="-3"/>
          <w:sz w:val="20"/>
        </w:rPr>
        <w:t>inclusive</w:t>
      </w:r>
      <w:r>
        <w:rPr>
          <w:spacing w:val="-8"/>
          <w:sz w:val="20"/>
        </w:rPr>
        <w:t> </w:t>
      </w:r>
      <w:r>
        <w:rPr>
          <w:sz w:val="20"/>
        </w:rPr>
        <w:t>juries.</w:t>
      </w:r>
      <w:r>
        <w:rPr>
          <w:spacing w:val="-9"/>
          <w:sz w:val="20"/>
        </w:rPr>
        <w:t> </w:t>
      </w:r>
      <w:r>
        <w:rPr>
          <w:sz w:val="20"/>
        </w:rPr>
        <w:t>While</w:t>
      </w:r>
      <w:r>
        <w:rPr>
          <w:spacing w:val="-8"/>
          <w:sz w:val="20"/>
        </w:rPr>
        <w:t> </w:t>
      </w:r>
      <w:r>
        <w:rPr>
          <w:sz w:val="20"/>
        </w:rPr>
        <w:t>the</w:t>
      </w:r>
      <w:r>
        <w:rPr>
          <w:spacing w:val="-8"/>
          <w:sz w:val="20"/>
        </w:rPr>
        <w:t> </w:t>
      </w:r>
      <w:r>
        <w:rPr>
          <w:sz w:val="20"/>
        </w:rPr>
        <w:t>use</w:t>
      </w:r>
      <w:r>
        <w:rPr>
          <w:spacing w:val="-8"/>
          <w:sz w:val="20"/>
        </w:rPr>
        <w:t> </w:t>
      </w:r>
      <w:r>
        <w:rPr>
          <w:sz w:val="20"/>
        </w:rPr>
        <w:t>of</w:t>
      </w:r>
      <w:r>
        <w:rPr>
          <w:spacing w:val="-9"/>
          <w:sz w:val="20"/>
        </w:rPr>
        <w:t> </w:t>
      </w:r>
      <w:r>
        <w:rPr>
          <w:sz w:val="20"/>
        </w:rPr>
        <w:t>the term</w:t>
      </w:r>
      <w:r>
        <w:rPr>
          <w:spacing w:val="-10"/>
          <w:sz w:val="20"/>
        </w:rPr>
        <w:t> </w:t>
      </w:r>
      <w:r>
        <w:rPr>
          <w:sz w:val="20"/>
        </w:rPr>
        <w:t>‘supports’</w:t>
      </w:r>
      <w:r>
        <w:rPr>
          <w:spacing w:val="-10"/>
          <w:sz w:val="20"/>
        </w:rPr>
        <w:t> </w:t>
      </w:r>
      <w:r>
        <w:rPr>
          <w:sz w:val="20"/>
        </w:rPr>
        <w:t>is</w:t>
      </w:r>
      <w:r>
        <w:rPr>
          <w:spacing w:val="-9"/>
          <w:sz w:val="20"/>
        </w:rPr>
        <w:t> </w:t>
      </w:r>
      <w:r>
        <w:rPr>
          <w:sz w:val="20"/>
        </w:rPr>
        <w:t>easy</w:t>
      </w:r>
      <w:r>
        <w:rPr>
          <w:spacing w:val="-10"/>
          <w:sz w:val="20"/>
        </w:rPr>
        <w:t> </w:t>
      </w:r>
      <w:r>
        <w:rPr>
          <w:sz w:val="20"/>
        </w:rPr>
        <w:t>to</w:t>
      </w:r>
      <w:r>
        <w:rPr>
          <w:spacing w:val="-9"/>
          <w:sz w:val="20"/>
        </w:rPr>
        <w:t> </w:t>
      </w:r>
      <w:r>
        <w:rPr>
          <w:sz w:val="20"/>
        </w:rPr>
        <w:t>understand,</w:t>
      </w:r>
      <w:r>
        <w:rPr>
          <w:spacing w:val="-10"/>
          <w:sz w:val="20"/>
        </w:rPr>
        <w:t> </w:t>
      </w:r>
      <w:r>
        <w:rPr>
          <w:spacing w:val="-3"/>
          <w:sz w:val="20"/>
        </w:rPr>
        <w:t>we</w:t>
      </w:r>
      <w:r>
        <w:rPr>
          <w:spacing w:val="-9"/>
          <w:sz w:val="20"/>
        </w:rPr>
        <w:t> </w:t>
      </w:r>
      <w:r>
        <w:rPr>
          <w:spacing w:val="-4"/>
          <w:sz w:val="20"/>
        </w:rPr>
        <w:t>have</w:t>
      </w:r>
      <w:r>
        <w:rPr>
          <w:spacing w:val="-10"/>
          <w:sz w:val="20"/>
        </w:rPr>
        <w:t> </w:t>
      </w:r>
      <w:r>
        <w:rPr>
          <w:sz w:val="20"/>
        </w:rPr>
        <w:t>decided</w:t>
      </w:r>
      <w:r>
        <w:rPr>
          <w:spacing w:val="-9"/>
          <w:sz w:val="20"/>
        </w:rPr>
        <w:t> </w:t>
      </w:r>
      <w:r>
        <w:rPr>
          <w:sz w:val="20"/>
        </w:rPr>
        <w:t>to</w:t>
      </w:r>
      <w:r>
        <w:rPr>
          <w:spacing w:val="-10"/>
          <w:sz w:val="20"/>
        </w:rPr>
        <w:t> </w:t>
      </w:r>
      <w:r>
        <w:rPr>
          <w:sz w:val="20"/>
        </w:rPr>
        <w:t>change</w:t>
      </w:r>
      <w:r>
        <w:rPr>
          <w:spacing w:val="-9"/>
          <w:sz w:val="20"/>
        </w:rPr>
        <w:t> </w:t>
      </w:r>
      <w:r>
        <w:rPr>
          <w:sz w:val="20"/>
        </w:rPr>
        <w:t>our</w:t>
      </w:r>
      <w:r>
        <w:rPr>
          <w:spacing w:val="-10"/>
          <w:sz w:val="20"/>
        </w:rPr>
        <w:t> </w:t>
      </w:r>
      <w:r>
        <w:rPr>
          <w:sz w:val="20"/>
        </w:rPr>
        <w:t>approach</w:t>
      </w:r>
      <w:r>
        <w:rPr>
          <w:spacing w:val="-9"/>
          <w:sz w:val="20"/>
        </w:rPr>
        <w:t> </w:t>
      </w:r>
      <w:r>
        <w:rPr>
          <w:sz w:val="20"/>
        </w:rPr>
        <w:t>for</w:t>
      </w:r>
      <w:r>
        <w:rPr>
          <w:spacing w:val="-10"/>
          <w:sz w:val="20"/>
        </w:rPr>
        <w:t> </w:t>
      </w:r>
      <w:r>
        <w:rPr>
          <w:sz w:val="20"/>
        </w:rPr>
        <w:t>this final report to </w:t>
      </w:r>
      <w:r>
        <w:rPr>
          <w:spacing w:val="-3"/>
          <w:sz w:val="20"/>
        </w:rPr>
        <w:t>refer </w:t>
      </w:r>
      <w:r>
        <w:rPr>
          <w:sz w:val="20"/>
        </w:rPr>
        <w:t>to </w:t>
      </w:r>
      <w:r>
        <w:rPr>
          <w:spacing w:val="-3"/>
          <w:sz w:val="20"/>
        </w:rPr>
        <w:t>‘reasonable</w:t>
      </w:r>
      <w:r>
        <w:rPr>
          <w:spacing w:val="-22"/>
          <w:sz w:val="20"/>
        </w:rPr>
        <w:t> </w:t>
      </w:r>
      <w:r>
        <w:rPr>
          <w:spacing w:val="-3"/>
          <w:sz w:val="20"/>
        </w:rPr>
        <w:t>adjustments’.</w:t>
      </w:r>
    </w:p>
    <w:p>
      <w:pPr>
        <w:pStyle w:val="ListParagraph"/>
        <w:numPr>
          <w:ilvl w:val="1"/>
          <w:numId w:val="12"/>
        </w:numPr>
        <w:tabs>
          <w:tab w:pos="1761" w:val="left" w:leader="none"/>
          <w:tab w:pos="1762" w:val="left" w:leader="none"/>
        </w:tabs>
        <w:spacing w:line="206" w:lineRule="auto" w:before="125" w:after="0"/>
        <w:ind w:left="1761" w:right="1490" w:hanging="794"/>
        <w:jc w:val="left"/>
        <w:rPr>
          <w:sz w:val="11"/>
        </w:rPr>
      </w:pPr>
      <w:r>
        <w:rPr>
          <w:sz w:val="20"/>
        </w:rPr>
        <w:t>‘Reasonable</w:t>
      </w:r>
      <w:r>
        <w:rPr>
          <w:spacing w:val="-10"/>
          <w:sz w:val="20"/>
        </w:rPr>
        <w:t> </w:t>
      </w:r>
      <w:r>
        <w:rPr>
          <w:sz w:val="20"/>
        </w:rPr>
        <w:t>adjustments’</w:t>
      </w:r>
      <w:r>
        <w:rPr>
          <w:spacing w:val="-10"/>
          <w:sz w:val="20"/>
        </w:rPr>
        <w:t> </w:t>
      </w:r>
      <w:r>
        <w:rPr>
          <w:sz w:val="20"/>
        </w:rPr>
        <w:t>is</w:t>
      </w:r>
      <w:r>
        <w:rPr>
          <w:spacing w:val="-10"/>
          <w:sz w:val="20"/>
        </w:rPr>
        <w:t> </w:t>
      </w:r>
      <w:r>
        <w:rPr>
          <w:sz w:val="20"/>
        </w:rPr>
        <w:t>the</w:t>
      </w:r>
      <w:r>
        <w:rPr>
          <w:spacing w:val="-10"/>
          <w:sz w:val="20"/>
        </w:rPr>
        <w:t> </w:t>
      </w:r>
      <w:r>
        <w:rPr>
          <w:sz w:val="20"/>
        </w:rPr>
        <w:t>term</w:t>
      </w:r>
      <w:r>
        <w:rPr>
          <w:spacing w:val="-10"/>
          <w:sz w:val="20"/>
        </w:rPr>
        <w:t> </w:t>
      </w:r>
      <w:r>
        <w:rPr>
          <w:sz w:val="20"/>
        </w:rPr>
        <w:t>used</w:t>
      </w:r>
      <w:r>
        <w:rPr>
          <w:spacing w:val="-10"/>
          <w:sz w:val="20"/>
        </w:rPr>
        <w:t> </w:t>
      </w:r>
      <w:r>
        <w:rPr>
          <w:sz w:val="20"/>
        </w:rPr>
        <w:t>in</w:t>
      </w:r>
      <w:r>
        <w:rPr>
          <w:spacing w:val="-10"/>
          <w:sz w:val="20"/>
        </w:rPr>
        <w:t> </w:t>
      </w:r>
      <w:r>
        <w:rPr>
          <w:sz w:val="20"/>
        </w:rPr>
        <w:t>the</w:t>
      </w:r>
      <w:r>
        <w:rPr>
          <w:spacing w:val="-10"/>
          <w:sz w:val="20"/>
        </w:rPr>
        <w:t> </w:t>
      </w:r>
      <w:r>
        <w:rPr>
          <w:i/>
          <w:sz w:val="20"/>
        </w:rPr>
        <w:t>Equal</w:t>
      </w:r>
      <w:r>
        <w:rPr>
          <w:i/>
          <w:spacing w:val="-10"/>
          <w:sz w:val="20"/>
        </w:rPr>
        <w:t> </w:t>
      </w:r>
      <w:r>
        <w:rPr>
          <w:i/>
          <w:sz w:val="20"/>
        </w:rPr>
        <w:t>Opportunity</w:t>
      </w:r>
      <w:r>
        <w:rPr>
          <w:i/>
          <w:spacing w:val="-9"/>
          <w:sz w:val="20"/>
        </w:rPr>
        <w:t> </w:t>
      </w:r>
      <w:r>
        <w:rPr>
          <w:i/>
          <w:sz w:val="20"/>
        </w:rPr>
        <w:t>Act</w:t>
      </w:r>
      <w:r>
        <w:rPr>
          <w:i/>
          <w:spacing w:val="-9"/>
          <w:sz w:val="20"/>
        </w:rPr>
        <w:t> </w:t>
      </w:r>
      <w:r>
        <w:rPr>
          <w:i/>
          <w:spacing w:val="-3"/>
          <w:sz w:val="20"/>
        </w:rPr>
        <w:t>2010</w:t>
      </w:r>
      <w:r>
        <w:rPr>
          <w:i/>
          <w:spacing w:val="-9"/>
          <w:sz w:val="20"/>
        </w:rPr>
        <w:t> </w:t>
      </w:r>
      <w:r>
        <w:rPr>
          <w:sz w:val="20"/>
        </w:rPr>
        <w:t>(Vic).</w:t>
      </w:r>
      <w:r>
        <w:rPr>
          <w:position w:val="7"/>
          <w:sz w:val="11"/>
        </w:rPr>
        <w:t>12</w:t>
      </w:r>
      <w:r>
        <w:rPr>
          <w:spacing w:val="15"/>
          <w:position w:val="7"/>
          <w:sz w:val="11"/>
        </w:rPr>
        <w:t> </w:t>
      </w:r>
      <w:r>
        <w:rPr>
          <w:sz w:val="20"/>
        </w:rPr>
        <w:t>It is also used in the </w:t>
      </w:r>
      <w:r>
        <w:rPr>
          <w:i/>
          <w:sz w:val="20"/>
        </w:rPr>
        <w:t>Disability Access Bench Book </w:t>
      </w:r>
      <w:r>
        <w:rPr>
          <w:sz w:val="20"/>
        </w:rPr>
        <w:t>which </w:t>
      </w:r>
      <w:r>
        <w:rPr>
          <w:spacing w:val="-3"/>
          <w:sz w:val="20"/>
        </w:rPr>
        <w:t>‘provides </w:t>
      </w:r>
      <w:r>
        <w:rPr>
          <w:sz w:val="20"/>
        </w:rPr>
        <w:t>practical guidance on</w:t>
      </w:r>
      <w:r>
        <w:rPr>
          <w:spacing w:val="-9"/>
          <w:sz w:val="20"/>
        </w:rPr>
        <w:t> </w:t>
      </w:r>
      <w:r>
        <w:rPr>
          <w:sz w:val="20"/>
        </w:rPr>
        <w:t>matters</w:t>
      </w:r>
      <w:r>
        <w:rPr>
          <w:spacing w:val="-8"/>
          <w:sz w:val="20"/>
        </w:rPr>
        <w:t> </w:t>
      </w:r>
      <w:r>
        <w:rPr>
          <w:sz w:val="20"/>
        </w:rPr>
        <w:t>to</w:t>
      </w:r>
      <w:r>
        <w:rPr>
          <w:spacing w:val="-9"/>
          <w:sz w:val="20"/>
        </w:rPr>
        <w:t> </w:t>
      </w:r>
      <w:r>
        <w:rPr>
          <w:sz w:val="20"/>
        </w:rPr>
        <w:t>consider</w:t>
      </w:r>
      <w:r>
        <w:rPr>
          <w:spacing w:val="-8"/>
          <w:sz w:val="20"/>
        </w:rPr>
        <w:t> </w:t>
      </w:r>
      <w:r>
        <w:rPr>
          <w:sz w:val="20"/>
        </w:rPr>
        <w:t>when</w:t>
      </w:r>
      <w:r>
        <w:rPr>
          <w:spacing w:val="-9"/>
          <w:sz w:val="20"/>
        </w:rPr>
        <w:t> </w:t>
      </w:r>
      <w:r>
        <w:rPr>
          <w:sz w:val="20"/>
        </w:rPr>
        <w:t>a</w:t>
      </w:r>
      <w:r>
        <w:rPr>
          <w:spacing w:val="-8"/>
          <w:sz w:val="20"/>
        </w:rPr>
        <w:t> </w:t>
      </w:r>
      <w:r>
        <w:rPr>
          <w:sz w:val="20"/>
        </w:rPr>
        <w:t>party</w:t>
      </w:r>
      <w:r>
        <w:rPr>
          <w:spacing w:val="-9"/>
          <w:sz w:val="20"/>
        </w:rPr>
        <w:t> </w:t>
      </w:r>
      <w:r>
        <w:rPr>
          <w:sz w:val="20"/>
        </w:rPr>
        <w:t>or</w:t>
      </w:r>
      <w:r>
        <w:rPr>
          <w:spacing w:val="-8"/>
          <w:sz w:val="20"/>
        </w:rPr>
        <w:t> </w:t>
      </w:r>
      <w:r>
        <w:rPr>
          <w:sz w:val="20"/>
        </w:rPr>
        <w:t>witness</w:t>
      </w:r>
      <w:r>
        <w:rPr>
          <w:spacing w:val="-8"/>
          <w:sz w:val="20"/>
        </w:rPr>
        <w:t> </w:t>
      </w:r>
      <w:r>
        <w:rPr>
          <w:sz w:val="20"/>
        </w:rPr>
        <w:t>has</w:t>
      </w:r>
      <w:r>
        <w:rPr>
          <w:spacing w:val="-9"/>
          <w:sz w:val="20"/>
        </w:rPr>
        <w:t> </w:t>
      </w:r>
      <w:r>
        <w:rPr>
          <w:sz w:val="20"/>
        </w:rPr>
        <w:t>a</w:t>
      </w:r>
      <w:r>
        <w:rPr>
          <w:spacing w:val="-8"/>
          <w:sz w:val="20"/>
        </w:rPr>
        <w:t> </w:t>
      </w:r>
      <w:r>
        <w:rPr>
          <w:sz w:val="20"/>
        </w:rPr>
        <w:t>disability’</w:t>
      </w:r>
      <w:r>
        <w:rPr>
          <w:position w:val="7"/>
          <w:sz w:val="11"/>
        </w:rPr>
        <w:t>13</w:t>
      </w:r>
      <w:r>
        <w:rPr>
          <w:spacing w:val="16"/>
          <w:position w:val="7"/>
          <w:sz w:val="11"/>
        </w:rPr>
        <w:t> </w:t>
      </w:r>
      <w:r>
        <w:rPr>
          <w:sz w:val="20"/>
        </w:rPr>
        <w:t>so</w:t>
      </w:r>
      <w:r>
        <w:rPr>
          <w:spacing w:val="-8"/>
          <w:sz w:val="20"/>
        </w:rPr>
        <w:t> </w:t>
      </w:r>
      <w:r>
        <w:rPr>
          <w:sz w:val="20"/>
        </w:rPr>
        <w:t>that</w:t>
      </w:r>
      <w:r>
        <w:rPr>
          <w:spacing w:val="-9"/>
          <w:sz w:val="20"/>
        </w:rPr>
        <w:t> </w:t>
      </w:r>
      <w:r>
        <w:rPr>
          <w:sz w:val="20"/>
        </w:rPr>
        <w:t>people</w:t>
      </w:r>
      <w:r>
        <w:rPr>
          <w:spacing w:val="-8"/>
          <w:sz w:val="20"/>
        </w:rPr>
        <w:t> </w:t>
      </w:r>
      <w:r>
        <w:rPr>
          <w:sz w:val="20"/>
        </w:rPr>
        <w:t>with disabilities can ‘participate on an equal basis with others and realise their rights’.</w:t>
      </w:r>
      <w:r>
        <w:rPr>
          <w:position w:val="7"/>
          <w:sz w:val="11"/>
        </w:rPr>
        <w:t>14</w:t>
      </w:r>
      <w:r>
        <w:rPr>
          <w:sz w:val="11"/>
        </w:rPr>
        <w:t> </w:t>
      </w:r>
      <w:r>
        <w:rPr>
          <w:sz w:val="20"/>
        </w:rPr>
        <w:t>Changing</w:t>
      </w:r>
      <w:r>
        <w:rPr>
          <w:spacing w:val="-12"/>
          <w:sz w:val="20"/>
        </w:rPr>
        <w:t> </w:t>
      </w:r>
      <w:r>
        <w:rPr>
          <w:sz w:val="20"/>
        </w:rPr>
        <w:t>this</w:t>
      </w:r>
      <w:r>
        <w:rPr>
          <w:spacing w:val="-12"/>
          <w:sz w:val="20"/>
        </w:rPr>
        <w:t> </w:t>
      </w:r>
      <w:r>
        <w:rPr>
          <w:sz w:val="20"/>
        </w:rPr>
        <w:t>terminology</w:t>
      </w:r>
      <w:r>
        <w:rPr>
          <w:spacing w:val="-11"/>
          <w:sz w:val="20"/>
        </w:rPr>
        <w:t> </w:t>
      </w:r>
      <w:r>
        <w:rPr>
          <w:sz w:val="20"/>
        </w:rPr>
        <w:t>aligns</w:t>
      </w:r>
      <w:r>
        <w:rPr>
          <w:spacing w:val="-12"/>
          <w:sz w:val="20"/>
        </w:rPr>
        <w:t> </w:t>
      </w:r>
      <w:r>
        <w:rPr>
          <w:sz w:val="20"/>
        </w:rPr>
        <w:t>more</w:t>
      </w:r>
      <w:r>
        <w:rPr>
          <w:spacing w:val="-12"/>
          <w:sz w:val="20"/>
        </w:rPr>
        <w:t> </w:t>
      </w:r>
      <w:r>
        <w:rPr>
          <w:spacing w:val="-3"/>
          <w:sz w:val="20"/>
        </w:rPr>
        <w:t>closely</w:t>
      </w:r>
      <w:r>
        <w:rPr>
          <w:spacing w:val="-11"/>
          <w:sz w:val="20"/>
        </w:rPr>
        <w:t> </w:t>
      </w:r>
      <w:r>
        <w:rPr>
          <w:sz w:val="20"/>
        </w:rPr>
        <w:t>with</w:t>
      </w:r>
      <w:r>
        <w:rPr>
          <w:spacing w:val="-12"/>
          <w:sz w:val="20"/>
        </w:rPr>
        <w:t> </w:t>
      </w:r>
      <w:r>
        <w:rPr>
          <w:sz w:val="20"/>
        </w:rPr>
        <w:t>the</w:t>
      </w:r>
      <w:r>
        <w:rPr>
          <w:spacing w:val="-11"/>
          <w:sz w:val="20"/>
        </w:rPr>
        <w:t> </w:t>
      </w:r>
      <w:r>
        <w:rPr>
          <w:sz w:val="20"/>
        </w:rPr>
        <w:t>approach</w:t>
      </w:r>
      <w:r>
        <w:rPr>
          <w:spacing w:val="-12"/>
          <w:sz w:val="20"/>
        </w:rPr>
        <w:t> </w:t>
      </w:r>
      <w:r>
        <w:rPr>
          <w:sz w:val="20"/>
        </w:rPr>
        <w:t>in</w:t>
      </w:r>
      <w:r>
        <w:rPr>
          <w:spacing w:val="-12"/>
          <w:sz w:val="20"/>
        </w:rPr>
        <w:t> </w:t>
      </w:r>
      <w:r>
        <w:rPr>
          <w:sz w:val="20"/>
        </w:rPr>
        <w:t>the</w:t>
      </w:r>
      <w:r>
        <w:rPr>
          <w:spacing w:val="-11"/>
          <w:sz w:val="20"/>
        </w:rPr>
        <w:t> </w:t>
      </w:r>
      <w:r>
        <w:rPr>
          <w:spacing w:val="-3"/>
          <w:sz w:val="20"/>
        </w:rPr>
        <w:t>CRPD,</w:t>
      </w:r>
      <w:r>
        <w:rPr>
          <w:spacing w:val="-12"/>
          <w:sz w:val="20"/>
        </w:rPr>
        <w:t> </w:t>
      </w:r>
      <w:r>
        <w:rPr>
          <w:sz w:val="20"/>
        </w:rPr>
        <w:t>which uses the term </w:t>
      </w:r>
      <w:r>
        <w:rPr>
          <w:spacing w:val="-3"/>
          <w:sz w:val="20"/>
        </w:rPr>
        <w:t>‘reasonable</w:t>
      </w:r>
      <w:r>
        <w:rPr>
          <w:spacing w:val="-16"/>
          <w:sz w:val="20"/>
        </w:rPr>
        <w:t> </w:t>
      </w:r>
      <w:r>
        <w:rPr>
          <w:spacing w:val="-2"/>
          <w:sz w:val="20"/>
        </w:rPr>
        <w:t>accommodations’.</w:t>
      </w:r>
      <w:r>
        <w:rPr>
          <w:spacing w:val="-2"/>
          <w:position w:val="7"/>
          <w:sz w:val="11"/>
        </w:rPr>
        <w:t>15</w:t>
      </w:r>
    </w:p>
    <w:p>
      <w:pPr>
        <w:pStyle w:val="ListParagraph"/>
        <w:numPr>
          <w:ilvl w:val="1"/>
          <w:numId w:val="12"/>
        </w:numPr>
        <w:tabs>
          <w:tab w:pos="1761" w:val="left" w:leader="none"/>
          <w:tab w:pos="1762" w:val="left" w:leader="none"/>
        </w:tabs>
        <w:spacing w:line="206" w:lineRule="auto" w:before="127" w:after="0"/>
        <w:ind w:left="1761" w:right="1366" w:hanging="794"/>
        <w:jc w:val="left"/>
        <w:rPr>
          <w:sz w:val="11"/>
        </w:rPr>
      </w:pPr>
      <w:r>
        <w:rPr>
          <w:sz w:val="20"/>
        </w:rPr>
        <w:t>This</w:t>
      </w:r>
      <w:r>
        <w:rPr>
          <w:spacing w:val="-10"/>
          <w:sz w:val="20"/>
        </w:rPr>
        <w:t> </w:t>
      </w:r>
      <w:r>
        <w:rPr>
          <w:sz w:val="20"/>
        </w:rPr>
        <w:t>change</w:t>
      </w:r>
      <w:r>
        <w:rPr>
          <w:spacing w:val="-9"/>
          <w:sz w:val="20"/>
        </w:rPr>
        <w:t> </w:t>
      </w:r>
      <w:r>
        <w:rPr>
          <w:sz w:val="20"/>
        </w:rPr>
        <w:t>also</w:t>
      </w:r>
      <w:r>
        <w:rPr>
          <w:spacing w:val="-10"/>
          <w:sz w:val="20"/>
        </w:rPr>
        <w:t> </w:t>
      </w:r>
      <w:r>
        <w:rPr>
          <w:sz w:val="20"/>
        </w:rPr>
        <w:t>addresses</w:t>
      </w:r>
      <w:r>
        <w:rPr>
          <w:spacing w:val="-9"/>
          <w:sz w:val="20"/>
        </w:rPr>
        <w:t> </w:t>
      </w:r>
      <w:r>
        <w:rPr>
          <w:sz w:val="20"/>
        </w:rPr>
        <w:t>concerns</w:t>
      </w:r>
      <w:r>
        <w:rPr>
          <w:spacing w:val="-9"/>
          <w:sz w:val="20"/>
        </w:rPr>
        <w:t> </w:t>
      </w:r>
      <w:r>
        <w:rPr>
          <w:sz w:val="20"/>
        </w:rPr>
        <w:t>that</w:t>
      </w:r>
      <w:r>
        <w:rPr>
          <w:spacing w:val="-10"/>
          <w:sz w:val="20"/>
        </w:rPr>
        <w:t> </w:t>
      </w:r>
      <w:r>
        <w:rPr>
          <w:sz w:val="20"/>
        </w:rPr>
        <w:t>an</w:t>
      </w:r>
      <w:r>
        <w:rPr>
          <w:spacing w:val="-9"/>
          <w:sz w:val="20"/>
        </w:rPr>
        <w:t> </w:t>
      </w:r>
      <w:r>
        <w:rPr>
          <w:sz w:val="20"/>
        </w:rPr>
        <w:t>Auslan</w:t>
      </w:r>
      <w:r>
        <w:rPr>
          <w:spacing w:val="-9"/>
          <w:sz w:val="20"/>
        </w:rPr>
        <w:t> </w:t>
      </w:r>
      <w:r>
        <w:rPr>
          <w:spacing w:val="-3"/>
          <w:sz w:val="20"/>
        </w:rPr>
        <w:t>interpreter</w:t>
      </w:r>
      <w:r>
        <w:rPr>
          <w:spacing w:val="-10"/>
          <w:sz w:val="20"/>
        </w:rPr>
        <w:t> </w:t>
      </w:r>
      <w:r>
        <w:rPr>
          <w:sz w:val="20"/>
        </w:rPr>
        <w:t>should</w:t>
      </w:r>
      <w:r>
        <w:rPr>
          <w:spacing w:val="-9"/>
          <w:sz w:val="20"/>
        </w:rPr>
        <w:t> </w:t>
      </w:r>
      <w:r>
        <w:rPr>
          <w:sz w:val="20"/>
        </w:rPr>
        <w:t>not</w:t>
      </w:r>
      <w:r>
        <w:rPr>
          <w:spacing w:val="-9"/>
          <w:sz w:val="20"/>
        </w:rPr>
        <w:t> </w:t>
      </w:r>
      <w:r>
        <w:rPr>
          <w:sz w:val="20"/>
        </w:rPr>
        <w:t>be</w:t>
      </w:r>
      <w:r>
        <w:rPr>
          <w:spacing w:val="-10"/>
          <w:sz w:val="20"/>
        </w:rPr>
        <w:t> </w:t>
      </w:r>
      <w:r>
        <w:rPr>
          <w:spacing w:val="-3"/>
          <w:sz w:val="20"/>
        </w:rPr>
        <w:t>viewed </w:t>
      </w:r>
      <w:r>
        <w:rPr>
          <w:sz w:val="20"/>
        </w:rPr>
        <w:t>as a ‘support’ but instead as an accessibility</w:t>
      </w:r>
      <w:r>
        <w:rPr>
          <w:spacing w:val="-37"/>
          <w:sz w:val="20"/>
        </w:rPr>
        <w:t> </w:t>
      </w:r>
      <w:r>
        <w:rPr>
          <w:sz w:val="20"/>
        </w:rPr>
        <w:t>tool.</w:t>
      </w:r>
      <w:r>
        <w:rPr>
          <w:position w:val="7"/>
          <w:sz w:val="11"/>
        </w:rPr>
        <w:t>16</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9"/>
        </w:rPr>
      </w:pPr>
      <w:r>
        <w:rPr/>
        <w:pict>
          <v:line style="position:absolute;mso-position-horizontal-relative:page;mso-position-vertical-relative:paragraph;z-index:32;mso-wrap-distance-left:0;mso-wrap-distance-right:0" from="79.370102pt,22.674801pt" to="515.905102pt,22.674801pt" stroked="true" strokeweight="1pt" strokecolor="#b6bdc8">
            <v:stroke dashstyle="solid"/>
            <w10:wrap type="topAndBottom"/>
          </v:line>
        </w:pict>
      </w:r>
    </w:p>
    <w:p>
      <w:pPr>
        <w:pStyle w:val="ListParagraph"/>
        <w:numPr>
          <w:ilvl w:val="0"/>
          <w:numId w:val="13"/>
        </w:numPr>
        <w:tabs>
          <w:tab w:pos="1760" w:val="left" w:leader="none"/>
          <w:tab w:pos="1762" w:val="left" w:leader="none"/>
        </w:tabs>
        <w:spacing w:line="213" w:lineRule="auto" w:before="107" w:after="0"/>
        <w:ind w:left="1761" w:right="1222" w:hanging="794"/>
        <w:jc w:val="left"/>
        <w:rPr>
          <w:sz w:val="13"/>
        </w:rPr>
      </w:pPr>
      <w:r>
        <w:rPr>
          <w:sz w:val="13"/>
        </w:rPr>
        <w:t>See, eg, ‘Community and Culture’, </w:t>
      </w:r>
      <w:r>
        <w:rPr>
          <w:i/>
          <w:sz w:val="13"/>
        </w:rPr>
        <w:t>National Association of the Deaf </w:t>
      </w:r>
      <w:r>
        <w:rPr>
          <w:sz w:val="13"/>
        </w:rPr>
        <w:t>(Web Page) &lt;</w:t>
      </w:r>
      <w:hyperlink r:id="rId32">
        <w:r>
          <w:rPr>
            <w:sz w:val="13"/>
          </w:rPr>
          <w:t>https://www.nad.org/resources/american-sign-</w:t>
        </w:r>
      </w:hyperlink>
      <w:hyperlink r:id="rId32">
        <w:r>
          <w:rPr>
            <w:sz w:val="13"/>
          </w:rPr>
          <w:t> language/community-and-culture-frequently-asked-questions/</w:t>
        </w:r>
      </w:hyperlink>
      <w:r>
        <w:rPr>
          <w:sz w:val="13"/>
        </w:rPr>
        <w:t>&gt;.</w:t>
      </w:r>
    </w:p>
    <w:p>
      <w:pPr>
        <w:pStyle w:val="ListParagraph"/>
        <w:numPr>
          <w:ilvl w:val="0"/>
          <w:numId w:val="13"/>
        </w:numPr>
        <w:tabs>
          <w:tab w:pos="1761" w:val="left" w:leader="none"/>
          <w:tab w:pos="1762" w:val="left" w:leader="none"/>
        </w:tabs>
        <w:spacing w:line="153" w:lineRule="exact" w:before="0" w:after="0"/>
        <w:ind w:left="1761" w:right="0" w:hanging="794"/>
        <w:jc w:val="left"/>
        <w:rPr>
          <w:sz w:val="13"/>
        </w:rPr>
      </w:pPr>
      <w:r>
        <w:rPr>
          <w:i/>
          <w:sz w:val="13"/>
        </w:rPr>
        <w:t>Equal Opportunity Act 2010 </w:t>
      </w:r>
      <w:r>
        <w:rPr>
          <w:sz w:val="13"/>
        </w:rPr>
        <w:t>(Vic).</w:t>
      </w:r>
    </w:p>
    <w:p>
      <w:pPr>
        <w:pStyle w:val="ListParagraph"/>
        <w:numPr>
          <w:ilvl w:val="0"/>
          <w:numId w:val="13"/>
        </w:numPr>
        <w:tabs>
          <w:tab w:pos="1761" w:val="left" w:leader="none"/>
          <w:tab w:pos="1762" w:val="left" w:leader="none"/>
        </w:tabs>
        <w:spacing w:line="160" w:lineRule="exact" w:before="0" w:after="0"/>
        <w:ind w:left="1761" w:right="0" w:hanging="794"/>
        <w:jc w:val="left"/>
        <w:rPr>
          <w:sz w:val="13"/>
        </w:rPr>
      </w:pPr>
      <w:r>
        <w:rPr>
          <w:sz w:val="13"/>
        </w:rPr>
        <w:t>Judicial College of Victoria, </w:t>
      </w:r>
      <w:r>
        <w:rPr>
          <w:spacing w:val="2"/>
          <w:sz w:val="13"/>
        </w:rPr>
        <w:t>‘1.1 </w:t>
      </w:r>
      <w:r>
        <w:rPr>
          <w:sz w:val="13"/>
        </w:rPr>
        <w:t>Background’, </w:t>
      </w:r>
      <w:r>
        <w:rPr>
          <w:i/>
          <w:sz w:val="13"/>
        </w:rPr>
        <w:t>Disability Access Bench Book </w:t>
      </w:r>
      <w:r>
        <w:rPr>
          <w:sz w:val="13"/>
        </w:rPr>
        <w:t>(Online Manual, 1 </w:t>
      </w:r>
      <w:r>
        <w:rPr>
          <w:spacing w:val="2"/>
          <w:sz w:val="13"/>
        </w:rPr>
        <w:t>December</w:t>
      </w:r>
      <w:r>
        <w:rPr>
          <w:spacing w:val="17"/>
          <w:sz w:val="13"/>
        </w:rPr>
        <w:t> </w:t>
      </w:r>
      <w:r>
        <w:rPr>
          <w:sz w:val="13"/>
        </w:rPr>
        <w:t>2016)</w:t>
      </w:r>
    </w:p>
    <w:p>
      <w:pPr>
        <w:spacing w:line="160" w:lineRule="exact" w:before="0"/>
        <w:ind w:left="1761" w:right="0" w:firstLine="0"/>
        <w:jc w:val="left"/>
        <w:rPr>
          <w:sz w:val="13"/>
        </w:rPr>
      </w:pPr>
      <w:r>
        <w:rPr>
          <w:sz w:val="13"/>
        </w:rPr>
        <w:t>&lt;</w:t>
      </w:r>
      <w:hyperlink r:id="rId18">
        <w:r>
          <w:rPr>
            <w:sz w:val="13"/>
          </w:rPr>
          <w:t>https://www.judicialcollege.vic.edu.au/eManuals/DABB/index.htm#59523.htm</w:t>
        </w:r>
      </w:hyperlink>
      <w:r>
        <w:rPr>
          <w:sz w:val="13"/>
        </w:rPr>
        <w:t>&gt;.</w:t>
      </w:r>
    </w:p>
    <w:p>
      <w:pPr>
        <w:pStyle w:val="ListParagraph"/>
        <w:numPr>
          <w:ilvl w:val="0"/>
          <w:numId w:val="13"/>
        </w:numPr>
        <w:tabs>
          <w:tab w:pos="1760"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13"/>
        </w:numPr>
        <w:tabs>
          <w:tab w:pos="1761" w:val="left" w:leader="none"/>
          <w:tab w:pos="1762" w:val="left" w:leader="none"/>
        </w:tabs>
        <w:spacing w:line="213" w:lineRule="auto" w:before="6" w:after="0"/>
        <w:ind w:left="1761" w:right="1333" w:hanging="794"/>
        <w:jc w:val="left"/>
        <w:rPr>
          <w:sz w:val="13"/>
        </w:rPr>
      </w:pPr>
      <w:r>
        <w:rPr/>
        <w:pict>
          <v:shape style="position:absolute;margin-left:552.266602pt;margin-top:11.69609pt;width:6.65pt;height:14.1pt;mso-position-horizontal-relative:page;mso-position-vertical-relative:paragraph;z-index:2104" type="#_x0000_t202" filled="false" stroked="false">
            <v:textbox inset="0,0,0,0">
              <w:txbxContent>
                <w:p>
                  <w:pPr>
                    <w:spacing w:line="282" w:lineRule="exact" w:before="0"/>
                    <w:ind w:left="0" w:right="0" w:firstLine="0"/>
                    <w:jc w:val="left"/>
                    <w:rPr>
                      <w:b/>
                      <w:sz w:val="24"/>
                    </w:rPr>
                  </w:pPr>
                  <w:r>
                    <w:rPr>
                      <w:b/>
                      <w:color w:val="37617A"/>
                      <w:sz w:val="24"/>
                    </w:rPr>
                    <w:t>5</w:t>
                  </w:r>
                </w:p>
              </w:txbxContent>
            </v:textbox>
            <w10:wrap type="none"/>
          </v:shape>
        </w:pict>
      </w: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w:t>
      </w:r>
      <w:r>
        <w:rPr>
          <w:i/>
          <w:sz w:val="13"/>
        </w:rPr>
        <w:t>) </w:t>
      </w:r>
      <w:r>
        <w:rPr>
          <w:spacing w:val="2"/>
          <w:sz w:val="13"/>
        </w:rPr>
        <w:t>art</w:t>
      </w:r>
      <w:r>
        <w:rPr>
          <w:sz w:val="13"/>
        </w:rPr>
        <w:t> 2.</w:t>
      </w:r>
    </w:p>
    <w:p>
      <w:pPr>
        <w:pStyle w:val="ListParagraph"/>
        <w:numPr>
          <w:ilvl w:val="0"/>
          <w:numId w:val="13"/>
        </w:numPr>
        <w:tabs>
          <w:tab w:pos="1761" w:val="left" w:leader="none"/>
          <w:tab w:pos="1762" w:val="left" w:leader="none"/>
        </w:tabs>
        <w:spacing w:line="163" w:lineRule="exact" w:before="0" w:after="0"/>
        <w:ind w:left="1761" w:right="0" w:hanging="794"/>
        <w:jc w:val="left"/>
        <w:rPr>
          <w:sz w:val="13"/>
        </w:rPr>
      </w:pPr>
      <w:r>
        <w:rPr>
          <w:sz w:val="13"/>
        </w:rPr>
        <w:t>Concern was raised in consultations: see, eg, Consultation 6 (Deaf Victoria and community</w:t>
      </w:r>
      <w:r>
        <w:rPr>
          <w:spacing w:val="20"/>
          <w:sz w:val="13"/>
        </w:rPr>
        <w:t> </w:t>
      </w:r>
      <w:r>
        <w:rPr>
          <w:sz w:val="13"/>
        </w:rPr>
        <w:t>participants).</w:t>
      </w:r>
    </w:p>
    <w:p>
      <w:pPr>
        <w:spacing w:after="0" w:line="163" w:lineRule="exact"/>
        <w:jc w:val="left"/>
        <w:rPr>
          <w:sz w:val="13"/>
        </w:rPr>
        <w:sectPr>
          <w:pgSz w:w="11910" w:h="16840"/>
          <w:pgMar w:header="0" w:footer="0" w:top="840" w:bottom="280" w:left="620" w:right="380"/>
        </w:sectPr>
      </w:pPr>
    </w:p>
    <w:p>
      <w:pPr>
        <w:pStyle w:val="BodyText"/>
      </w:pPr>
    </w:p>
    <w:p>
      <w:pPr>
        <w:pStyle w:val="BodyText"/>
      </w:pPr>
    </w:p>
    <w:p>
      <w:pPr>
        <w:pStyle w:val="BodyText"/>
      </w:pPr>
    </w:p>
    <w:p>
      <w:pPr>
        <w:spacing w:before="212"/>
        <w:ind w:left="967" w:right="0" w:firstLine="0"/>
        <w:jc w:val="left"/>
        <w:rPr>
          <w:rFonts w:ascii="Raleway ExtraBold"/>
          <w:b/>
          <w:sz w:val="28"/>
        </w:rPr>
      </w:pPr>
      <w:bookmarkStart w:name="Our process" w:id="24"/>
      <w:bookmarkEnd w:id="24"/>
      <w:r>
        <w:rPr/>
      </w:r>
      <w:bookmarkStart w:name="_bookmark10" w:id="25"/>
      <w:bookmarkEnd w:id="25"/>
      <w:r>
        <w:rPr/>
      </w:r>
      <w:r>
        <w:rPr>
          <w:rFonts w:ascii="Raleway ExtraBold"/>
          <w:b/>
          <w:color w:val="37617A"/>
          <w:sz w:val="28"/>
        </w:rPr>
        <w:t>Our process</w:t>
      </w:r>
    </w:p>
    <w:p>
      <w:pPr>
        <w:pStyle w:val="ListParagraph"/>
        <w:numPr>
          <w:ilvl w:val="1"/>
          <w:numId w:val="12"/>
        </w:numPr>
        <w:tabs>
          <w:tab w:pos="1761" w:val="left" w:leader="none"/>
          <w:tab w:pos="1762" w:val="left" w:leader="none"/>
        </w:tabs>
        <w:spacing w:line="206" w:lineRule="auto" w:before="146" w:after="0"/>
        <w:ind w:left="1761" w:right="1762" w:hanging="794"/>
        <w:jc w:val="left"/>
        <w:rPr>
          <w:sz w:val="20"/>
        </w:rPr>
      </w:pPr>
      <w:r>
        <w:rPr>
          <w:sz w:val="20"/>
        </w:rPr>
        <w:t>This is a community law </w:t>
      </w:r>
      <w:r>
        <w:rPr>
          <w:spacing w:val="-3"/>
          <w:sz w:val="20"/>
        </w:rPr>
        <w:t>reform </w:t>
      </w:r>
      <w:r>
        <w:rPr>
          <w:sz w:val="20"/>
        </w:rPr>
        <w:t>project, initiated </w:t>
      </w:r>
      <w:r>
        <w:rPr>
          <w:spacing w:val="-3"/>
          <w:sz w:val="20"/>
        </w:rPr>
        <w:t>by </w:t>
      </w:r>
      <w:r>
        <w:rPr>
          <w:sz w:val="20"/>
        </w:rPr>
        <w:t>the Commission </w:t>
      </w:r>
      <w:r>
        <w:rPr>
          <w:spacing w:val="-3"/>
          <w:sz w:val="20"/>
        </w:rPr>
        <w:t>itself. </w:t>
      </w:r>
      <w:r>
        <w:rPr>
          <w:sz w:val="20"/>
        </w:rPr>
        <w:t>The Commission can initiate its </w:t>
      </w:r>
      <w:r>
        <w:rPr>
          <w:spacing w:val="-3"/>
          <w:sz w:val="20"/>
        </w:rPr>
        <w:t>own </w:t>
      </w:r>
      <w:r>
        <w:rPr>
          <w:sz w:val="20"/>
        </w:rPr>
        <w:t>inquiries </w:t>
      </w:r>
      <w:r>
        <w:rPr>
          <w:spacing w:val="-3"/>
          <w:sz w:val="20"/>
        </w:rPr>
        <w:t>into </w:t>
      </w:r>
      <w:r>
        <w:rPr>
          <w:sz w:val="20"/>
        </w:rPr>
        <w:t>legal issues of general community concern if they </w:t>
      </w:r>
      <w:r>
        <w:rPr>
          <w:spacing w:val="-3"/>
          <w:sz w:val="20"/>
        </w:rPr>
        <w:t>are </w:t>
      </w:r>
      <w:r>
        <w:rPr>
          <w:sz w:val="20"/>
        </w:rPr>
        <w:t>limited in </w:t>
      </w:r>
      <w:r>
        <w:rPr>
          <w:spacing w:val="-3"/>
          <w:sz w:val="20"/>
        </w:rPr>
        <w:t>size </w:t>
      </w:r>
      <w:r>
        <w:rPr>
          <w:sz w:val="20"/>
        </w:rPr>
        <w:t>and scope.</w:t>
      </w:r>
      <w:r>
        <w:rPr>
          <w:position w:val="7"/>
          <w:sz w:val="11"/>
        </w:rPr>
        <w:t>17 </w:t>
      </w:r>
      <w:r>
        <w:rPr>
          <w:sz w:val="20"/>
        </w:rPr>
        <w:t>Other inquiries </w:t>
      </w:r>
      <w:r>
        <w:rPr>
          <w:spacing w:val="-3"/>
          <w:sz w:val="20"/>
        </w:rPr>
        <w:t>are referred </w:t>
      </w:r>
      <w:r>
        <w:rPr>
          <w:sz w:val="20"/>
        </w:rPr>
        <w:t>to the Commission</w:t>
      </w:r>
      <w:r>
        <w:rPr>
          <w:spacing w:val="-11"/>
          <w:sz w:val="20"/>
        </w:rPr>
        <w:t> </w:t>
      </w:r>
      <w:r>
        <w:rPr>
          <w:spacing w:val="-3"/>
          <w:sz w:val="20"/>
        </w:rPr>
        <w:t>by</w:t>
      </w:r>
      <w:r>
        <w:rPr>
          <w:spacing w:val="-11"/>
          <w:sz w:val="20"/>
        </w:rPr>
        <w:t> </w:t>
      </w:r>
      <w:r>
        <w:rPr>
          <w:sz w:val="20"/>
        </w:rPr>
        <w:t>the</w:t>
      </w:r>
      <w:r>
        <w:rPr>
          <w:spacing w:val="-10"/>
          <w:sz w:val="20"/>
        </w:rPr>
        <w:t> </w:t>
      </w:r>
      <w:r>
        <w:rPr>
          <w:sz w:val="20"/>
        </w:rPr>
        <w:t>Victorian</w:t>
      </w:r>
      <w:r>
        <w:rPr>
          <w:spacing w:val="-11"/>
          <w:sz w:val="20"/>
        </w:rPr>
        <w:t> </w:t>
      </w:r>
      <w:r>
        <w:rPr>
          <w:sz w:val="20"/>
        </w:rPr>
        <w:t>Attorney-General.</w:t>
      </w:r>
      <w:r>
        <w:rPr>
          <w:spacing w:val="-10"/>
          <w:sz w:val="20"/>
        </w:rPr>
        <w:t> </w:t>
      </w:r>
      <w:r>
        <w:rPr>
          <w:sz w:val="20"/>
        </w:rPr>
        <w:t>(See</w:t>
      </w:r>
      <w:r>
        <w:rPr>
          <w:spacing w:val="-11"/>
          <w:sz w:val="20"/>
        </w:rPr>
        <w:t> </w:t>
      </w:r>
      <w:r>
        <w:rPr>
          <w:sz w:val="20"/>
        </w:rPr>
        <w:t>list</w:t>
      </w:r>
      <w:r>
        <w:rPr>
          <w:spacing w:val="-11"/>
          <w:sz w:val="20"/>
        </w:rPr>
        <w:t> </w:t>
      </w:r>
      <w:r>
        <w:rPr>
          <w:sz w:val="20"/>
        </w:rPr>
        <w:t>on</w:t>
      </w:r>
      <w:r>
        <w:rPr>
          <w:spacing w:val="-10"/>
          <w:sz w:val="20"/>
        </w:rPr>
        <w:t> </w:t>
      </w:r>
      <w:r>
        <w:rPr>
          <w:sz w:val="20"/>
        </w:rPr>
        <w:t>the</w:t>
      </w:r>
      <w:r>
        <w:rPr>
          <w:spacing w:val="-11"/>
          <w:sz w:val="20"/>
        </w:rPr>
        <w:t> </w:t>
      </w:r>
      <w:r>
        <w:rPr>
          <w:sz w:val="20"/>
        </w:rPr>
        <w:t>inside</w:t>
      </w:r>
      <w:r>
        <w:rPr>
          <w:spacing w:val="-10"/>
          <w:sz w:val="20"/>
        </w:rPr>
        <w:t> </w:t>
      </w:r>
      <w:r>
        <w:rPr>
          <w:sz w:val="20"/>
        </w:rPr>
        <w:t>back</w:t>
      </w:r>
      <w:r>
        <w:rPr>
          <w:spacing w:val="-11"/>
          <w:sz w:val="20"/>
        </w:rPr>
        <w:t> </w:t>
      </w:r>
      <w:r>
        <w:rPr>
          <w:spacing w:val="-5"/>
          <w:sz w:val="20"/>
        </w:rPr>
        <w:t>cover).</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The project commenced in </w:t>
      </w:r>
      <w:r>
        <w:rPr>
          <w:spacing w:val="-3"/>
          <w:sz w:val="20"/>
        </w:rPr>
        <w:t>March </w:t>
      </w:r>
      <w:r>
        <w:rPr>
          <w:spacing w:val="-4"/>
          <w:sz w:val="20"/>
        </w:rPr>
        <w:t>2020 </w:t>
      </w:r>
      <w:r>
        <w:rPr>
          <w:sz w:val="20"/>
        </w:rPr>
        <w:t>and was </w:t>
      </w:r>
      <w:r>
        <w:rPr>
          <w:spacing w:val="-2"/>
          <w:sz w:val="20"/>
        </w:rPr>
        <w:t>completed </w:t>
      </w:r>
      <w:r>
        <w:rPr>
          <w:sz w:val="20"/>
        </w:rPr>
        <w:t>in</w:t>
      </w:r>
      <w:r>
        <w:rPr>
          <w:spacing w:val="-36"/>
          <w:sz w:val="20"/>
        </w:rPr>
        <w:t> </w:t>
      </w:r>
      <w:r>
        <w:rPr>
          <w:spacing w:val="-3"/>
          <w:sz w:val="20"/>
        </w:rPr>
        <w:t>July 2022.</w:t>
      </w:r>
    </w:p>
    <w:p>
      <w:pPr>
        <w:spacing w:before="153"/>
        <w:ind w:left="967" w:right="0" w:firstLine="0"/>
        <w:jc w:val="left"/>
        <w:rPr>
          <w:b/>
          <w:sz w:val="24"/>
        </w:rPr>
      </w:pPr>
      <w:r>
        <w:rPr>
          <w:b/>
          <w:sz w:val="24"/>
        </w:rPr>
        <w:t>Our leadership</w:t>
      </w:r>
    </w:p>
    <w:p>
      <w:pPr>
        <w:pStyle w:val="ListParagraph"/>
        <w:numPr>
          <w:ilvl w:val="1"/>
          <w:numId w:val="12"/>
        </w:numPr>
        <w:tabs>
          <w:tab w:pos="1761" w:val="left" w:leader="none"/>
          <w:tab w:pos="1762" w:val="left" w:leader="none"/>
        </w:tabs>
        <w:spacing w:line="206" w:lineRule="auto" w:before="127" w:after="0"/>
        <w:ind w:left="1761" w:right="1399" w:hanging="794"/>
        <w:jc w:val="left"/>
        <w:rPr>
          <w:sz w:val="20"/>
        </w:rPr>
      </w:pPr>
      <w:r>
        <w:rPr>
          <w:sz w:val="20"/>
        </w:rPr>
        <w:t>The Hon. Anthony North QC was the Commission’s Chair for this project. He established</w:t>
      </w:r>
      <w:r>
        <w:rPr>
          <w:spacing w:val="-11"/>
          <w:sz w:val="20"/>
        </w:rPr>
        <w:t> </w:t>
      </w:r>
      <w:r>
        <w:rPr>
          <w:sz w:val="20"/>
        </w:rPr>
        <w:t>a</w:t>
      </w:r>
      <w:r>
        <w:rPr>
          <w:spacing w:val="-11"/>
          <w:sz w:val="20"/>
        </w:rPr>
        <w:t> </w:t>
      </w:r>
      <w:r>
        <w:rPr>
          <w:sz w:val="20"/>
        </w:rPr>
        <w:t>Division</w:t>
      </w:r>
      <w:r>
        <w:rPr>
          <w:spacing w:val="-11"/>
          <w:sz w:val="20"/>
        </w:rPr>
        <w:t> </w:t>
      </w:r>
      <w:r>
        <w:rPr>
          <w:sz w:val="20"/>
        </w:rPr>
        <w:t>to</w:t>
      </w:r>
      <w:r>
        <w:rPr>
          <w:spacing w:val="-11"/>
          <w:sz w:val="20"/>
        </w:rPr>
        <w:t> </w:t>
      </w:r>
      <w:r>
        <w:rPr>
          <w:sz w:val="20"/>
        </w:rPr>
        <w:t>guide</w:t>
      </w:r>
      <w:r>
        <w:rPr>
          <w:spacing w:val="-11"/>
          <w:sz w:val="20"/>
        </w:rPr>
        <w:t> </w:t>
      </w:r>
      <w:r>
        <w:rPr>
          <w:sz w:val="20"/>
        </w:rPr>
        <w:t>and</w:t>
      </w:r>
      <w:r>
        <w:rPr>
          <w:spacing w:val="-11"/>
          <w:sz w:val="20"/>
        </w:rPr>
        <w:t> </w:t>
      </w:r>
      <w:r>
        <w:rPr>
          <w:spacing w:val="-3"/>
          <w:sz w:val="20"/>
        </w:rPr>
        <w:t>make</w:t>
      </w:r>
      <w:r>
        <w:rPr>
          <w:spacing w:val="-11"/>
          <w:sz w:val="20"/>
        </w:rPr>
        <w:t> </w:t>
      </w:r>
      <w:r>
        <w:rPr>
          <w:sz w:val="20"/>
        </w:rPr>
        <w:t>decisions</w:t>
      </w:r>
      <w:r>
        <w:rPr>
          <w:spacing w:val="-11"/>
          <w:sz w:val="20"/>
        </w:rPr>
        <w:t> </w:t>
      </w:r>
      <w:r>
        <w:rPr>
          <w:sz w:val="20"/>
        </w:rPr>
        <w:t>about</w:t>
      </w:r>
      <w:r>
        <w:rPr>
          <w:spacing w:val="-11"/>
          <w:sz w:val="20"/>
        </w:rPr>
        <w:t> </w:t>
      </w:r>
      <w:r>
        <w:rPr>
          <w:sz w:val="20"/>
        </w:rPr>
        <w:t>the</w:t>
      </w:r>
      <w:r>
        <w:rPr>
          <w:spacing w:val="-11"/>
          <w:sz w:val="20"/>
        </w:rPr>
        <w:t> </w:t>
      </w:r>
      <w:r>
        <w:rPr>
          <w:sz w:val="20"/>
        </w:rPr>
        <w:t>project.</w:t>
      </w:r>
      <w:r>
        <w:rPr>
          <w:spacing w:val="-11"/>
          <w:sz w:val="20"/>
        </w:rPr>
        <w:t> </w:t>
      </w:r>
      <w:r>
        <w:rPr>
          <w:sz w:val="20"/>
        </w:rPr>
        <w:t>Commissioners on</w:t>
      </w:r>
      <w:r>
        <w:rPr>
          <w:spacing w:val="-10"/>
          <w:sz w:val="20"/>
        </w:rPr>
        <w:t> </w:t>
      </w:r>
      <w:r>
        <w:rPr>
          <w:sz w:val="20"/>
        </w:rPr>
        <w:t>the</w:t>
      </w:r>
      <w:r>
        <w:rPr>
          <w:spacing w:val="-9"/>
          <w:sz w:val="20"/>
        </w:rPr>
        <w:t> </w:t>
      </w:r>
      <w:r>
        <w:rPr>
          <w:sz w:val="20"/>
        </w:rPr>
        <w:t>Division</w:t>
      </w:r>
      <w:r>
        <w:rPr>
          <w:spacing w:val="-9"/>
          <w:sz w:val="20"/>
        </w:rPr>
        <w:t> </w:t>
      </w:r>
      <w:r>
        <w:rPr>
          <w:spacing w:val="-4"/>
          <w:sz w:val="20"/>
        </w:rPr>
        <w:t>were</w:t>
      </w:r>
      <w:r>
        <w:rPr>
          <w:spacing w:val="-9"/>
          <w:sz w:val="20"/>
        </w:rPr>
        <w:t> </w:t>
      </w:r>
      <w:r>
        <w:rPr>
          <w:sz w:val="20"/>
        </w:rPr>
        <w:t>Liana</w:t>
      </w:r>
      <w:r>
        <w:rPr>
          <w:spacing w:val="-9"/>
          <w:sz w:val="20"/>
        </w:rPr>
        <w:t> </w:t>
      </w:r>
      <w:r>
        <w:rPr>
          <w:sz w:val="20"/>
        </w:rPr>
        <w:t>Buchanan,</w:t>
      </w:r>
      <w:r>
        <w:rPr>
          <w:spacing w:val="-9"/>
          <w:sz w:val="20"/>
        </w:rPr>
        <w:t> </w:t>
      </w:r>
      <w:r>
        <w:rPr>
          <w:sz w:val="20"/>
        </w:rPr>
        <w:t>the</w:t>
      </w:r>
      <w:r>
        <w:rPr>
          <w:spacing w:val="-10"/>
          <w:sz w:val="20"/>
        </w:rPr>
        <w:t> </w:t>
      </w:r>
      <w:r>
        <w:rPr>
          <w:sz w:val="20"/>
        </w:rPr>
        <w:t>Hon.</w:t>
      </w:r>
      <w:r>
        <w:rPr>
          <w:spacing w:val="-9"/>
          <w:sz w:val="20"/>
        </w:rPr>
        <w:t> </w:t>
      </w:r>
      <w:r>
        <w:rPr>
          <w:sz w:val="20"/>
        </w:rPr>
        <w:t>Jennifer</w:t>
      </w:r>
      <w:r>
        <w:rPr>
          <w:spacing w:val="-9"/>
          <w:sz w:val="20"/>
        </w:rPr>
        <w:t> </w:t>
      </w:r>
      <w:r>
        <w:rPr>
          <w:sz w:val="20"/>
        </w:rPr>
        <w:t>Coate</w:t>
      </w:r>
      <w:r>
        <w:rPr>
          <w:spacing w:val="-9"/>
          <w:sz w:val="20"/>
        </w:rPr>
        <w:t> </w:t>
      </w:r>
      <w:r>
        <w:rPr>
          <w:spacing w:val="-5"/>
          <w:sz w:val="20"/>
        </w:rPr>
        <w:t>AO,</w:t>
      </w:r>
      <w:r>
        <w:rPr>
          <w:spacing w:val="-9"/>
          <w:sz w:val="20"/>
        </w:rPr>
        <w:t> </w:t>
      </w:r>
      <w:r>
        <w:rPr>
          <w:sz w:val="20"/>
        </w:rPr>
        <w:t>Kathleen</w:t>
      </w:r>
      <w:r>
        <w:rPr>
          <w:spacing w:val="-9"/>
          <w:sz w:val="20"/>
        </w:rPr>
        <w:t> </w:t>
      </w:r>
      <w:r>
        <w:rPr>
          <w:spacing w:val="-4"/>
          <w:sz w:val="20"/>
        </w:rPr>
        <w:t>Foley</w:t>
      </w:r>
      <w:r>
        <w:rPr>
          <w:spacing w:val="-9"/>
          <w:sz w:val="20"/>
        </w:rPr>
        <w:t> </w:t>
      </w:r>
      <w:r>
        <w:rPr>
          <w:sz w:val="20"/>
        </w:rPr>
        <w:t>SC, Bruce</w:t>
      </w:r>
      <w:r>
        <w:rPr>
          <w:spacing w:val="-5"/>
          <w:sz w:val="20"/>
        </w:rPr>
        <w:t> </w:t>
      </w:r>
      <w:r>
        <w:rPr>
          <w:sz w:val="20"/>
        </w:rPr>
        <w:t>Gardner</w:t>
      </w:r>
      <w:r>
        <w:rPr>
          <w:spacing w:val="-5"/>
          <w:sz w:val="20"/>
        </w:rPr>
        <w:t> </w:t>
      </w:r>
      <w:r>
        <w:rPr>
          <w:sz w:val="20"/>
        </w:rPr>
        <w:t>PSM,</w:t>
      </w:r>
      <w:r>
        <w:rPr>
          <w:spacing w:val="-4"/>
          <w:sz w:val="20"/>
        </w:rPr>
        <w:t> </w:t>
      </w:r>
      <w:r>
        <w:rPr>
          <w:sz w:val="20"/>
        </w:rPr>
        <w:t>Gemma</w:t>
      </w:r>
      <w:r>
        <w:rPr>
          <w:spacing w:val="-5"/>
          <w:sz w:val="20"/>
        </w:rPr>
        <w:t> </w:t>
      </w:r>
      <w:r>
        <w:rPr>
          <w:spacing w:val="-4"/>
          <w:sz w:val="20"/>
        </w:rPr>
        <w:t>Varley</w:t>
      </w:r>
      <w:r>
        <w:rPr>
          <w:spacing w:val="-5"/>
          <w:sz w:val="20"/>
        </w:rPr>
        <w:t> </w:t>
      </w:r>
      <w:r>
        <w:rPr>
          <w:sz w:val="20"/>
        </w:rPr>
        <w:t>PSM</w:t>
      </w:r>
      <w:r>
        <w:rPr>
          <w:spacing w:val="-4"/>
          <w:sz w:val="20"/>
        </w:rPr>
        <w:t> </w:t>
      </w:r>
      <w:r>
        <w:rPr>
          <w:sz w:val="20"/>
        </w:rPr>
        <w:t>and</w:t>
      </w:r>
      <w:r>
        <w:rPr>
          <w:spacing w:val="-5"/>
          <w:sz w:val="20"/>
        </w:rPr>
        <w:t> </w:t>
      </w:r>
      <w:r>
        <w:rPr>
          <w:sz w:val="20"/>
        </w:rPr>
        <w:t>Dr</w:t>
      </w:r>
      <w:r>
        <w:rPr>
          <w:spacing w:val="-4"/>
          <w:sz w:val="20"/>
        </w:rPr>
        <w:t> </w:t>
      </w:r>
      <w:r>
        <w:rPr>
          <w:sz w:val="20"/>
        </w:rPr>
        <w:t>Vivian</w:t>
      </w:r>
      <w:r>
        <w:rPr>
          <w:spacing w:val="-5"/>
          <w:sz w:val="20"/>
        </w:rPr>
        <w:t> Waller.</w:t>
      </w:r>
    </w:p>
    <w:p>
      <w:pPr>
        <w:pStyle w:val="ListParagraph"/>
        <w:numPr>
          <w:ilvl w:val="1"/>
          <w:numId w:val="12"/>
        </w:numPr>
        <w:tabs>
          <w:tab w:pos="1761" w:val="left" w:leader="none"/>
          <w:tab w:pos="1762" w:val="left" w:leader="none"/>
        </w:tabs>
        <w:spacing w:line="206" w:lineRule="auto" w:before="126" w:after="0"/>
        <w:ind w:left="1761" w:right="1243" w:hanging="794"/>
        <w:jc w:val="left"/>
        <w:rPr>
          <w:sz w:val="20"/>
        </w:rPr>
      </w:pPr>
      <w:r>
        <w:rPr>
          <w:spacing w:val="-6"/>
          <w:sz w:val="20"/>
        </w:rPr>
        <w:t>We</w:t>
      </w:r>
      <w:r>
        <w:rPr>
          <w:spacing w:val="-10"/>
          <w:sz w:val="20"/>
        </w:rPr>
        <w:t> </w:t>
      </w:r>
      <w:r>
        <w:rPr>
          <w:sz w:val="20"/>
        </w:rPr>
        <w:t>appointed</w:t>
      </w:r>
      <w:r>
        <w:rPr>
          <w:spacing w:val="-9"/>
          <w:sz w:val="20"/>
        </w:rPr>
        <w:t> </w:t>
      </w:r>
      <w:r>
        <w:rPr>
          <w:spacing w:val="-3"/>
          <w:sz w:val="20"/>
        </w:rPr>
        <w:t>Professor</w:t>
      </w:r>
      <w:r>
        <w:rPr>
          <w:spacing w:val="-9"/>
          <w:sz w:val="20"/>
        </w:rPr>
        <w:t> </w:t>
      </w:r>
      <w:r>
        <w:rPr>
          <w:sz w:val="20"/>
        </w:rPr>
        <w:t>Emeritus</w:t>
      </w:r>
      <w:r>
        <w:rPr>
          <w:spacing w:val="-9"/>
          <w:sz w:val="20"/>
        </w:rPr>
        <w:t> </w:t>
      </w:r>
      <w:r>
        <w:rPr>
          <w:sz w:val="20"/>
        </w:rPr>
        <w:t>Ron</w:t>
      </w:r>
      <w:r>
        <w:rPr>
          <w:spacing w:val="-10"/>
          <w:sz w:val="20"/>
        </w:rPr>
        <w:t> </w:t>
      </w:r>
      <w:r>
        <w:rPr>
          <w:sz w:val="20"/>
        </w:rPr>
        <w:t>McCallum</w:t>
      </w:r>
      <w:r>
        <w:rPr>
          <w:spacing w:val="-9"/>
          <w:sz w:val="20"/>
        </w:rPr>
        <w:t> </w:t>
      </w:r>
      <w:r>
        <w:rPr>
          <w:spacing w:val="-4"/>
          <w:sz w:val="20"/>
        </w:rPr>
        <w:t>AO</w:t>
      </w:r>
      <w:r>
        <w:rPr>
          <w:spacing w:val="-9"/>
          <w:sz w:val="20"/>
        </w:rPr>
        <w:t> </w:t>
      </w:r>
      <w:r>
        <w:rPr>
          <w:sz w:val="20"/>
        </w:rPr>
        <w:t>as</w:t>
      </w:r>
      <w:r>
        <w:rPr>
          <w:spacing w:val="-9"/>
          <w:sz w:val="20"/>
        </w:rPr>
        <w:t> </w:t>
      </w:r>
      <w:r>
        <w:rPr>
          <w:sz w:val="20"/>
        </w:rPr>
        <w:t>a</w:t>
      </w:r>
      <w:r>
        <w:rPr>
          <w:spacing w:val="-10"/>
          <w:sz w:val="20"/>
        </w:rPr>
        <w:t> </w:t>
      </w:r>
      <w:r>
        <w:rPr>
          <w:sz w:val="20"/>
        </w:rPr>
        <w:t>special</w:t>
      </w:r>
      <w:r>
        <w:rPr>
          <w:spacing w:val="-9"/>
          <w:sz w:val="20"/>
        </w:rPr>
        <w:t> </w:t>
      </w:r>
      <w:r>
        <w:rPr>
          <w:sz w:val="20"/>
        </w:rPr>
        <w:t>advisor</w:t>
      </w:r>
      <w:r>
        <w:rPr>
          <w:spacing w:val="-9"/>
          <w:sz w:val="20"/>
        </w:rPr>
        <w:t> </w:t>
      </w:r>
      <w:r>
        <w:rPr>
          <w:sz w:val="20"/>
        </w:rPr>
        <w:t>to</w:t>
      </w:r>
      <w:r>
        <w:rPr>
          <w:spacing w:val="-9"/>
          <w:sz w:val="20"/>
        </w:rPr>
        <w:t> </w:t>
      </w:r>
      <w:r>
        <w:rPr>
          <w:sz w:val="20"/>
        </w:rPr>
        <w:t>the</w:t>
      </w:r>
      <w:r>
        <w:rPr>
          <w:spacing w:val="-10"/>
          <w:sz w:val="20"/>
        </w:rPr>
        <w:t> </w:t>
      </w:r>
      <w:r>
        <w:rPr>
          <w:sz w:val="20"/>
        </w:rPr>
        <w:t>project. </w:t>
      </w:r>
      <w:r>
        <w:rPr>
          <w:spacing w:val="-3"/>
          <w:sz w:val="20"/>
        </w:rPr>
        <w:t>Professor</w:t>
      </w:r>
      <w:r>
        <w:rPr>
          <w:spacing w:val="-8"/>
          <w:sz w:val="20"/>
        </w:rPr>
        <w:t> </w:t>
      </w:r>
      <w:r>
        <w:rPr>
          <w:sz w:val="20"/>
        </w:rPr>
        <w:t>McCallum</w:t>
      </w:r>
      <w:r>
        <w:rPr>
          <w:spacing w:val="-7"/>
          <w:sz w:val="20"/>
        </w:rPr>
        <w:t> </w:t>
      </w:r>
      <w:r>
        <w:rPr>
          <w:sz w:val="20"/>
        </w:rPr>
        <w:t>is</w:t>
      </w:r>
      <w:r>
        <w:rPr>
          <w:spacing w:val="-7"/>
          <w:sz w:val="20"/>
        </w:rPr>
        <w:t> </w:t>
      </w:r>
      <w:r>
        <w:rPr>
          <w:sz w:val="20"/>
        </w:rPr>
        <w:t>an</w:t>
      </w:r>
      <w:r>
        <w:rPr>
          <w:spacing w:val="-7"/>
          <w:sz w:val="20"/>
        </w:rPr>
        <w:t> </w:t>
      </w:r>
      <w:r>
        <w:rPr>
          <w:sz w:val="20"/>
        </w:rPr>
        <w:t>Australian</w:t>
      </w:r>
      <w:r>
        <w:rPr>
          <w:spacing w:val="-8"/>
          <w:sz w:val="20"/>
        </w:rPr>
        <w:t> </w:t>
      </w:r>
      <w:r>
        <w:rPr>
          <w:sz w:val="20"/>
        </w:rPr>
        <w:t>legal</w:t>
      </w:r>
      <w:r>
        <w:rPr>
          <w:spacing w:val="-7"/>
          <w:sz w:val="20"/>
        </w:rPr>
        <w:t> </w:t>
      </w:r>
      <w:r>
        <w:rPr>
          <w:sz w:val="20"/>
        </w:rPr>
        <w:t>academic</w:t>
      </w:r>
      <w:r>
        <w:rPr>
          <w:spacing w:val="-7"/>
          <w:sz w:val="20"/>
        </w:rPr>
        <w:t> </w:t>
      </w:r>
      <w:r>
        <w:rPr>
          <w:sz w:val="20"/>
        </w:rPr>
        <w:t>who</w:t>
      </w:r>
      <w:r>
        <w:rPr>
          <w:spacing w:val="-7"/>
          <w:sz w:val="20"/>
        </w:rPr>
        <w:t> </w:t>
      </w:r>
      <w:r>
        <w:rPr>
          <w:sz w:val="20"/>
        </w:rPr>
        <w:t>has</w:t>
      </w:r>
      <w:r>
        <w:rPr>
          <w:spacing w:val="-7"/>
          <w:sz w:val="20"/>
        </w:rPr>
        <w:t> </w:t>
      </w:r>
      <w:r>
        <w:rPr>
          <w:sz w:val="20"/>
        </w:rPr>
        <w:t>been</w:t>
      </w:r>
      <w:r>
        <w:rPr>
          <w:spacing w:val="-8"/>
          <w:sz w:val="20"/>
        </w:rPr>
        <w:t> </w:t>
      </w:r>
      <w:r>
        <w:rPr>
          <w:sz w:val="20"/>
        </w:rPr>
        <w:t>blind</w:t>
      </w:r>
      <w:r>
        <w:rPr>
          <w:spacing w:val="-7"/>
          <w:sz w:val="20"/>
        </w:rPr>
        <w:t> </w:t>
      </w:r>
      <w:r>
        <w:rPr>
          <w:sz w:val="20"/>
        </w:rPr>
        <w:t>since</w:t>
      </w:r>
      <w:r>
        <w:rPr>
          <w:spacing w:val="-7"/>
          <w:sz w:val="20"/>
        </w:rPr>
        <w:t> </w:t>
      </w:r>
      <w:r>
        <w:rPr>
          <w:sz w:val="20"/>
        </w:rPr>
        <w:t>birth.</w:t>
      </w:r>
    </w:p>
    <w:p>
      <w:pPr>
        <w:pStyle w:val="BodyText"/>
        <w:spacing w:line="206" w:lineRule="auto" w:before="2"/>
        <w:ind w:left="1761" w:right="1277"/>
      </w:pPr>
      <w:r>
        <w:rPr/>
        <w:t>He has been Dean of </w:t>
      </w:r>
      <w:r>
        <w:rPr>
          <w:spacing w:val="-4"/>
        </w:rPr>
        <w:t>Sydney </w:t>
      </w:r>
      <w:r>
        <w:rPr/>
        <w:t>University Law School, chaired the United Nations Committee</w:t>
      </w:r>
      <w:r>
        <w:rPr>
          <w:spacing w:val="-10"/>
        </w:rPr>
        <w:t> </w:t>
      </w:r>
      <w:r>
        <w:rPr/>
        <w:t>on</w:t>
      </w:r>
      <w:r>
        <w:rPr>
          <w:spacing w:val="-10"/>
        </w:rPr>
        <w:t> </w:t>
      </w:r>
      <w:r>
        <w:rPr/>
        <w:t>the</w:t>
      </w:r>
      <w:r>
        <w:rPr>
          <w:spacing w:val="-10"/>
        </w:rPr>
        <w:t> </w:t>
      </w:r>
      <w:r>
        <w:rPr/>
        <w:t>Rights</w:t>
      </w:r>
      <w:r>
        <w:rPr>
          <w:spacing w:val="-10"/>
        </w:rPr>
        <w:t> </w:t>
      </w:r>
      <w:r>
        <w:rPr/>
        <w:t>of</w:t>
      </w:r>
      <w:r>
        <w:rPr>
          <w:spacing w:val="-10"/>
        </w:rPr>
        <w:t> </w:t>
      </w:r>
      <w:r>
        <w:rPr/>
        <w:t>Persons</w:t>
      </w:r>
      <w:r>
        <w:rPr>
          <w:spacing w:val="-10"/>
        </w:rPr>
        <w:t> </w:t>
      </w:r>
      <w:r>
        <w:rPr/>
        <w:t>with</w:t>
      </w:r>
      <w:r>
        <w:rPr>
          <w:spacing w:val="-10"/>
        </w:rPr>
        <w:t> </w:t>
      </w:r>
      <w:r>
        <w:rPr/>
        <w:t>Disabilities</w:t>
      </w:r>
      <w:r>
        <w:rPr>
          <w:spacing w:val="-9"/>
        </w:rPr>
        <w:t> </w:t>
      </w:r>
      <w:r>
        <w:rPr/>
        <w:t>and</w:t>
      </w:r>
      <w:r>
        <w:rPr>
          <w:spacing w:val="-10"/>
        </w:rPr>
        <w:t> </w:t>
      </w:r>
      <w:r>
        <w:rPr/>
        <w:t>is</w:t>
      </w:r>
      <w:r>
        <w:rPr>
          <w:spacing w:val="-10"/>
        </w:rPr>
        <w:t> </w:t>
      </w:r>
      <w:r>
        <w:rPr/>
        <w:t>a</w:t>
      </w:r>
      <w:r>
        <w:rPr>
          <w:spacing w:val="-10"/>
        </w:rPr>
        <w:t> </w:t>
      </w:r>
      <w:r>
        <w:rPr/>
        <w:t>former</w:t>
      </w:r>
      <w:r>
        <w:rPr>
          <w:spacing w:val="-10"/>
        </w:rPr>
        <w:t> </w:t>
      </w:r>
      <w:r>
        <w:rPr/>
        <w:t>Special</w:t>
      </w:r>
      <w:r>
        <w:rPr>
          <w:spacing w:val="-10"/>
        </w:rPr>
        <w:t> </w:t>
      </w:r>
      <w:r>
        <w:rPr/>
        <w:t>Advisor</w:t>
      </w:r>
      <w:r>
        <w:rPr>
          <w:spacing w:val="-10"/>
        </w:rPr>
        <w:t> </w:t>
      </w:r>
      <w:r>
        <w:rPr/>
        <w:t>to the </w:t>
      </w:r>
      <w:r>
        <w:rPr>
          <w:spacing w:val="-4"/>
        </w:rPr>
        <w:t>Royal </w:t>
      </w:r>
      <w:r>
        <w:rPr/>
        <w:t>Commission </w:t>
      </w:r>
      <w:r>
        <w:rPr>
          <w:spacing w:val="-3"/>
        </w:rPr>
        <w:t>into </w:t>
      </w:r>
      <w:r>
        <w:rPr/>
        <w:t>Violence, Abuse, Neglect and Exploitation of People with Disability. </w:t>
      </w:r>
      <w:r>
        <w:rPr>
          <w:spacing w:val="-3"/>
        </w:rPr>
        <w:t>Professor </w:t>
      </w:r>
      <w:r>
        <w:rPr/>
        <w:t>McCallum </w:t>
      </w:r>
      <w:r>
        <w:rPr>
          <w:spacing w:val="-3"/>
        </w:rPr>
        <w:t>provided invaluable </w:t>
      </w:r>
      <w:r>
        <w:rPr/>
        <w:t>guidance and personal insights to the</w:t>
      </w:r>
      <w:r>
        <w:rPr>
          <w:spacing w:val="-5"/>
        </w:rPr>
        <w:t> </w:t>
      </w:r>
      <w:r>
        <w:rPr/>
        <w:t>project.</w:t>
      </w:r>
    </w:p>
    <w:p>
      <w:pPr>
        <w:spacing w:before="165"/>
        <w:ind w:left="967" w:right="0" w:firstLine="0"/>
        <w:jc w:val="left"/>
        <w:rPr>
          <w:b/>
          <w:sz w:val="24"/>
        </w:rPr>
      </w:pPr>
      <w:r>
        <w:rPr>
          <w:b/>
          <w:sz w:val="24"/>
        </w:rPr>
        <w:t>Community responses</w:t>
      </w:r>
    </w:p>
    <w:p>
      <w:pPr>
        <w:pStyle w:val="ListParagraph"/>
        <w:numPr>
          <w:ilvl w:val="1"/>
          <w:numId w:val="12"/>
        </w:numPr>
        <w:tabs>
          <w:tab w:pos="1761" w:val="left" w:leader="none"/>
          <w:tab w:pos="1762" w:val="left" w:leader="none"/>
        </w:tabs>
        <w:spacing w:line="206" w:lineRule="auto" w:before="127" w:after="0"/>
        <w:ind w:left="1761" w:right="1541" w:hanging="794"/>
        <w:jc w:val="left"/>
        <w:rPr>
          <w:sz w:val="20"/>
        </w:rPr>
      </w:pPr>
      <w:r>
        <w:rPr>
          <w:sz w:val="20"/>
        </w:rPr>
        <w:t>In December </w:t>
      </w:r>
      <w:r>
        <w:rPr>
          <w:spacing w:val="-4"/>
          <w:sz w:val="20"/>
        </w:rPr>
        <w:t>2020 </w:t>
      </w:r>
      <w:r>
        <w:rPr>
          <w:spacing w:val="-3"/>
          <w:sz w:val="20"/>
        </w:rPr>
        <w:t>we </w:t>
      </w:r>
      <w:r>
        <w:rPr>
          <w:sz w:val="20"/>
        </w:rPr>
        <w:t>published a consultation paper explaining the </w:t>
      </w:r>
      <w:r>
        <w:rPr>
          <w:spacing w:val="-3"/>
          <w:sz w:val="20"/>
        </w:rPr>
        <w:t>current </w:t>
      </w:r>
      <w:r>
        <w:rPr>
          <w:sz w:val="20"/>
        </w:rPr>
        <w:t>law in Victoria and </w:t>
      </w:r>
      <w:r>
        <w:rPr>
          <w:spacing w:val="-2"/>
          <w:sz w:val="20"/>
        </w:rPr>
        <w:t>examining </w:t>
      </w:r>
      <w:r>
        <w:rPr>
          <w:sz w:val="20"/>
        </w:rPr>
        <w:t>law and practice </w:t>
      </w:r>
      <w:r>
        <w:rPr>
          <w:spacing w:val="-3"/>
          <w:sz w:val="20"/>
        </w:rPr>
        <w:t>interstate </w:t>
      </w:r>
      <w:r>
        <w:rPr>
          <w:sz w:val="20"/>
        </w:rPr>
        <w:t>and overseas. </w:t>
      </w:r>
      <w:r>
        <w:rPr>
          <w:spacing w:val="-6"/>
          <w:sz w:val="20"/>
        </w:rPr>
        <w:t>We </w:t>
      </w:r>
      <w:r>
        <w:rPr>
          <w:sz w:val="20"/>
        </w:rPr>
        <w:t>asked a range of questions about possible </w:t>
      </w:r>
      <w:r>
        <w:rPr>
          <w:spacing w:val="-3"/>
          <w:sz w:val="20"/>
        </w:rPr>
        <w:t>reform </w:t>
      </w:r>
      <w:r>
        <w:rPr>
          <w:sz w:val="20"/>
        </w:rPr>
        <w:t>directions and </w:t>
      </w:r>
      <w:r>
        <w:rPr>
          <w:spacing w:val="-3"/>
          <w:sz w:val="20"/>
        </w:rPr>
        <w:t>invited </w:t>
      </w:r>
      <w:r>
        <w:rPr>
          <w:sz w:val="20"/>
        </w:rPr>
        <w:t>the community to submit their views. A summary paper was also published, linked to a short online </w:t>
      </w:r>
      <w:r>
        <w:rPr>
          <w:spacing w:val="-4"/>
          <w:sz w:val="20"/>
        </w:rPr>
        <w:t>survey. </w:t>
      </w:r>
      <w:r>
        <w:rPr>
          <w:sz w:val="20"/>
        </w:rPr>
        <w:t>The</w:t>
      </w:r>
      <w:r>
        <w:rPr>
          <w:spacing w:val="-8"/>
          <w:sz w:val="20"/>
        </w:rPr>
        <w:t> </w:t>
      </w:r>
      <w:r>
        <w:rPr>
          <w:sz w:val="20"/>
        </w:rPr>
        <w:t>summary</w:t>
      </w:r>
      <w:r>
        <w:rPr>
          <w:spacing w:val="-8"/>
          <w:sz w:val="20"/>
        </w:rPr>
        <w:t> </w:t>
      </w:r>
      <w:r>
        <w:rPr>
          <w:sz w:val="20"/>
        </w:rPr>
        <w:t>paper</w:t>
      </w:r>
      <w:r>
        <w:rPr>
          <w:spacing w:val="-8"/>
          <w:sz w:val="20"/>
        </w:rPr>
        <w:t> </w:t>
      </w:r>
      <w:r>
        <w:rPr>
          <w:sz w:val="20"/>
        </w:rPr>
        <w:t>and</w:t>
      </w:r>
      <w:r>
        <w:rPr>
          <w:spacing w:val="-8"/>
          <w:sz w:val="20"/>
        </w:rPr>
        <w:t> </w:t>
      </w:r>
      <w:r>
        <w:rPr>
          <w:sz w:val="20"/>
        </w:rPr>
        <w:t>survey</w:t>
      </w:r>
      <w:r>
        <w:rPr>
          <w:spacing w:val="-8"/>
          <w:sz w:val="20"/>
        </w:rPr>
        <w:t> </w:t>
      </w:r>
      <w:r>
        <w:rPr>
          <w:spacing w:val="-4"/>
          <w:sz w:val="20"/>
        </w:rPr>
        <w:t>were</w:t>
      </w:r>
      <w:r>
        <w:rPr>
          <w:spacing w:val="-8"/>
          <w:sz w:val="20"/>
        </w:rPr>
        <w:t> </w:t>
      </w:r>
      <w:r>
        <w:rPr>
          <w:spacing w:val="-3"/>
          <w:sz w:val="20"/>
        </w:rPr>
        <w:t>available</w:t>
      </w:r>
      <w:r>
        <w:rPr>
          <w:spacing w:val="-8"/>
          <w:sz w:val="20"/>
        </w:rPr>
        <w:t> </w:t>
      </w:r>
      <w:r>
        <w:rPr>
          <w:sz w:val="20"/>
        </w:rPr>
        <w:t>in</w:t>
      </w:r>
      <w:r>
        <w:rPr>
          <w:spacing w:val="-8"/>
          <w:sz w:val="20"/>
        </w:rPr>
        <w:t> </w:t>
      </w:r>
      <w:r>
        <w:rPr>
          <w:sz w:val="20"/>
        </w:rPr>
        <w:t>Microsoft</w:t>
      </w:r>
      <w:r>
        <w:rPr>
          <w:spacing w:val="-8"/>
          <w:sz w:val="20"/>
        </w:rPr>
        <w:t> </w:t>
      </w:r>
      <w:r>
        <w:rPr>
          <w:spacing w:val="-4"/>
          <w:sz w:val="20"/>
        </w:rPr>
        <w:t>Word,</w:t>
      </w:r>
      <w:r>
        <w:rPr>
          <w:spacing w:val="-8"/>
          <w:sz w:val="20"/>
        </w:rPr>
        <w:t> </w:t>
      </w:r>
      <w:r>
        <w:rPr>
          <w:sz w:val="20"/>
        </w:rPr>
        <w:t>Auslan</w:t>
      </w:r>
      <w:r>
        <w:rPr>
          <w:spacing w:val="-8"/>
          <w:sz w:val="20"/>
        </w:rPr>
        <w:t> </w:t>
      </w:r>
      <w:r>
        <w:rPr>
          <w:sz w:val="20"/>
        </w:rPr>
        <w:t>and</w:t>
      </w:r>
      <w:r>
        <w:rPr>
          <w:spacing w:val="-8"/>
          <w:sz w:val="20"/>
        </w:rPr>
        <w:t> </w:t>
      </w:r>
      <w:r>
        <w:rPr>
          <w:sz w:val="20"/>
        </w:rPr>
        <w:t>audio formats to ensure broad </w:t>
      </w:r>
      <w:r>
        <w:rPr>
          <w:spacing w:val="-3"/>
          <w:sz w:val="20"/>
        </w:rPr>
        <w:t>accessibility. </w:t>
      </w:r>
      <w:r>
        <w:rPr>
          <w:spacing w:val="-6"/>
          <w:sz w:val="20"/>
        </w:rPr>
        <w:t>We </w:t>
      </w:r>
      <w:r>
        <w:rPr>
          <w:spacing w:val="-3"/>
          <w:sz w:val="20"/>
        </w:rPr>
        <w:t>received </w:t>
      </w:r>
      <w:r>
        <w:rPr>
          <w:sz w:val="20"/>
        </w:rPr>
        <w:t>14 written submissions (see Appendix A) and </w:t>
      </w:r>
      <w:r>
        <w:rPr>
          <w:spacing w:val="-3"/>
          <w:sz w:val="20"/>
        </w:rPr>
        <w:t>27 </w:t>
      </w:r>
      <w:r>
        <w:rPr>
          <w:sz w:val="20"/>
        </w:rPr>
        <w:t>survey responses </w:t>
      </w:r>
      <w:r>
        <w:rPr>
          <w:spacing w:val="-3"/>
          <w:sz w:val="20"/>
        </w:rPr>
        <w:t>from </w:t>
      </w:r>
      <w:r>
        <w:rPr>
          <w:sz w:val="20"/>
        </w:rPr>
        <w:t>community</w:t>
      </w:r>
      <w:r>
        <w:rPr>
          <w:spacing w:val="-34"/>
          <w:sz w:val="20"/>
        </w:rPr>
        <w:t> </w:t>
      </w:r>
      <w:r>
        <w:rPr>
          <w:sz w:val="20"/>
        </w:rPr>
        <w:t>members.</w:t>
      </w:r>
    </w:p>
    <w:p>
      <w:pPr>
        <w:pStyle w:val="ListParagraph"/>
        <w:numPr>
          <w:ilvl w:val="1"/>
          <w:numId w:val="12"/>
        </w:numPr>
        <w:tabs>
          <w:tab w:pos="1761" w:val="left" w:leader="none"/>
          <w:tab w:pos="1762" w:val="left" w:leader="none"/>
        </w:tabs>
        <w:spacing w:line="206" w:lineRule="auto" w:before="129" w:after="0"/>
        <w:ind w:left="1761" w:right="1430" w:hanging="794"/>
        <w:jc w:val="left"/>
        <w:rPr>
          <w:sz w:val="20"/>
        </w:rPr>
      </w:pPr>
      <w:r>
        <w:rPr>
          <w:spacing w:val="-6"/>
          <w:sz w:val="20"/>
        </w:rPr>
        <w:t>We</w:t>
      </w:r>
      <w:r>
        <w:rPr>
          <w:spacing w:val="-13"/>
          <w:sz w:val="20"/>
        </w:rPr>
        <w:t> </w:t>
      </w:r>
      <w:r>
        <w:rPr>
          <w:sz w:val="20"/>
        </w:rPr>
        <w:t>held</w:t>
      </w:r>
      <w:r>
        <w:rPr>
          <w:spacing w:val="-12"/>
          <w:sz w:val="20"/>
        </w:rPr>
        <w:t> </w:t>
      </w:r>
      <w:r>
        <w:rPr>
          <w:sz w:val="20"/>
        </w:rPr>
        <w:t>two</w:t>
      </w:r>
      <w:r>
        <w:rPr>
          <w:spacing w:val="-12"/>
          <w:sz w:val="20"/>
        </w:rPr>
        <w:t> </w:t>
      </w:r>
      <w:r>
        <w:rPr>
          <w:sz w:val="20"/>
        </w:rPr>
        <w:t>stages</w:t>
      </w:r>
      <w:r>
        <w:rPr>
          <w:spacing w:val="-12"/>
          <w:sz w:val="20"/>
        </w:rPr>
        <w:t> </w:t>
      </w:r>
      <w:r>
        <w:rPr>
          <w:sz w:val="20"/>
        </w:rPr>
        <w:t>of</w:t>
      </w:r>
      <w:r>
        <w:rPr>
          <w:spacing w:val="-13"/>
          <w:sz w:val="20"/>
        </w:rPr>
        <w:t> </w:t>
      </w:r>
      <w:r>
        <w:rPr>
          <w:sz w:val="20"/>
        </w:rPr>
        <w:t>consultations.</w:t>
      </w:r>
      <w:r>
        <w:rPr>
          <w:spacing w:val="-12"/>
          <w:sz w:val="20"/>
        </w:rPr>
        <w:t> </w:t>
      </w:r>
      <w:r>
        <w:rPr>
          <w:sz w:val="20"/>
        </w:rPr>
        <w:t>First,</w:t>
      </w:r>
      <w:r>
        <w:rPr>
          <w:spacing w:val="-12"/>
          <w:sz w:val="20"/>
        </w:rPr>
        <w:t> </w:t>
      </w:r>
      <w:r>
        <w:rPr>
          <w:spacing w:val="-3"/>
          <w:sz w:val="20"/>
        </w:rPr>
        <w:t>we</w:t>
      </w:r>
      <w:r>
        <w:rPr>
          <w:spacing w:val="-12"/>
          <w:sz w:val="20"/>
        </w:rPr>
        <w:t> </w:t>
      </w:r>
      <w:r>
        <w:rPr>
          <w:sz w:val="20"/>
        </w:rPr>
        <w:t>held</w:t>
      </w:r>
      <w:r>
        <w:rPr>
          <w:spacing w:val="-12"/>
          <w:sz w:val="20"/>
        </w:rPr>
        <w:t> </w:t>
      </w:r>
      <w:r>
        <w:rPr>
          <w:sz w:val="20"/>
        </w:rPr>
        <w:t>preliminary</w:t>
      </w:r>
      <w:r>
        <w:rPr>
          <w:spacing w:val="-13"/>
          <w:sz w:val="20"/>
        </w:rPr>
        <w:t> </w:t>
      </w:r>
      <w:r>
        <w:rPr>
          <w:sz w:val="20"/>
        </w:rPr>
        <w:t>meetings</w:t>
      </w:r>
      <w:r>
        <w:rPr>
          <w:spacing w:val="-12"/>
          <w:sz w:val="20"/>
        </w:rPr>
        <w:t> </w:t>
      </w:r>
      <w:r>
        <w:rPr>
          <w:sz w:val="20"/>
        </w:rPr>
        <w:t>with</w:t>
      </w:r>
      <w:r>
        <w:rPr>
          <w:spacing w:val="-12"/>
          <w:sz w:val="20"/>
        </w:rPr>
        <w:t> </w:t>
      </w:r>
      <w:r>
        <w:rPr>
          <w:sz w:val="20"/>
        </w:rPr>
        <w:t>people who </w:t>
      </w:r>
      <w:r>
        <w:rPr>
          <w:spacing w:val="-3"/>
          <w:sz w:val="20"/>
        </w:rPr>
        <w:t>worked </w:t>
      </w:r>
      <w:r>
        <w:rPr>
          <w:sz w:val="20"/>
        </w:rPr>
        <w:t>in the justice system, such as Juries Victoria and </w:t>
      </w:r>
      <w:r>
        <w:rPr>
          <w:spacing w:val="-3"/>
          <w:sz w:val="20"/>
        </w:rPr>
        <w:t>representatives </w:t>
      </w:r>
      <w:r>
        <w:rPr>
          <w:sz w:val="20"/>
        </w:rPr>
        <w:t>of the higher</w:t>
      </w:r>
      <w:r>
        <w:rPr>
          <w:spacing w:val="-11"/>
          <w:sz w:val="20"/>
        </w:rPr>
        <w:t> </w:t>
      </w:r>
      <w:r>
        <w:rPr>
          <w:sz w:val="20"/>
        </w:rPr>
        <w:t>courts</w:t>
      </w:r>
      <w:r>
        <w:rPr>
          <w:spacing w:val="-10"/>
          <w:sz w:val="20"/>
        </w:rPr>
        <w:t> </w:t>
      </w:r>
      <w:r>
        <w:rPr>
          <w:sz w:val="20"/>
        </w:rPr>
        <w:t>that</w:t>
      </w:r>
      <w:r>
        <w:rPr>
          <w:spacing w:val="-11"/>
          <w:sz w:val="20"/>
        </w:rPr>
        <w:t> </w:t>
      </w:r>
      <w:r>
        <w:rPr>
          <w:sz w:val="20"/>
        </w:rPr>
        <w:t>run</w:t>
      </w:r>
      <w:r>
        <w:rPr>
          <w:spacing w:val="-10"/>
          <w:sz w:val="20"/>
        </w:rPr>
        <w:t> </w:t>
      </w:r>
      <w:r>
        <w:rPr>
          <w:sz w:val="20"/>
        </w:rPr>
        <w:t>jury</w:t>
      </w:r>
      <w:r>
        <w:rPr>
          <w:spacing w:val="-11"/>
          <w:sz w:val="20"/>
        </w:rPr>
        <w:t> </w:t>
      </w:r>
      <w:r>
        <w:rPr>
          <w:sz w:val="20"/>
        </w:rPr>
        <w:t>trials.</w:t>
      </w:r>
      <w:r>
        <w:rPr>
          <w:spacing w:val="-10"/>
          <w:sz w:val="20"/>
        </w:rPr>
        <w:t> </w:t>
      </w:r>
      <w:r>
        <w:rPr>
          <w:spacing w:val="-6"/>
          <w:sz w:val="20"/>
        </w:rPr>
        <w:t>We</w:t>
      </w:r>
      <w:r>
        <w:rPr>
          <w:spacing w:val="-11"/>
          <w:sz w:val="20"/>
        </w:rPr>
        <w:t> </w:t>
      </w:r>
      <w:r>
        <w:rPr>
          <w:sz w:val="20"/>
        </w:rPr>
        <w:t>spoke</w:t>
      </w:r>
      <w:r>
        <w:rPr>
          <w:spacing w:val="-10"/>
          <w:sz w:val="20"/>
        </w:rPr>
        <w:t> </w:t>
      </w:r>
      <w:r>
        <w:rPr>
          <w:sz w:val="20"/>
        </w:rPr>
        <w:t>to</w:t>
      </w:r>
      <w:r>
        <w:rPr>
          <w:spacing w:val="-11"/>
          <w:sz w:val="20"/>
        </w:rPr>
        <w:t> </w:t>
      </w:r>
      <w:r>
        <w:rPr>
          <w:sz w:val="20"/>
        </w:rPr>
        <w:t>some</w:t>
      </w:r>
      <w:r>
        <w:rPr>
          <w:spacing w:val="-10"/>
          <w:sz w:val="20"/>
        </w:rPr>
        <w:t> </w:t>
      </w:r>
      <w:r>
        <w:rPr>
          <w:sz w:val="20"/>
        </w:rPr>
        <w:t>disability</w:t>
      </w:r>
      <w:r>
        <w:rPr>
          <w:spacing w:val="-10"/>
          <w:sz w:val="20"/>
        </w:rPr>
        <w:t> </w:t>
      </w:r>
      <w:r>
        <w:rPr>
          <w:sz w:val="20"/>
        </w:rPr>
        <w:t>advocacy</w:t>
      </w:r>
      <w:r>
        <w:rPr>
          <w:spacing w:val="-11"/>
          <w:sz w:val="20"/>
        </w:rPr>
        <w:t> </w:t>
      </w:r>
      <w:r>
        <w:rPr>
          <w:sz w:val="20"/>
        </w:rPr>
        <w:t>organisations and academics who had studied this area. Along with our </w:t>
      </w:r>
      <w:r>
        <w:rPr>
          <w:spacing w:val="-3"/>
          <w:sz w:val="20"/>
        </w:rPr>
        <w:t>own research, </w:t>
      </w:r>
      <w:r>
        <w:rPr>
          <w:sz w:val="20"/>
        </w:rPr>
        <w:t>these meetings helped us </w:t>
      </w:r>
      <w:r>
        <w:rPr>
          <w:spacing w:val="-3"/>
          <w:sz w:val="20"/>
        </w:rPr>
        <w:t>develop </w:t>
      </w:r>
      <w:r>
        <w:rPr>
          <w:sz w:val="20"/>
        </w:rPr>
        <w:t>our consultation</w:t>
      </w:r>
      <w:r>
        <w:rPr>
          <w:spacing w:val="-25"/>
          <w:sz w:val="20"/>
        </w:rPr>
        <w:t> </w:t>
      </w:r>
      <w:r>
        <w:rPr>
          <w:spacing w:val="-3"/>
          <w:sz w:val="20"/>
        </w:rPr>
        <w:t>paper.</w:t>
      </w:r>
    </w:p>
    <w:p>
      <w:pPr>
        <w:pStyle w:val="ListParagraph"/>
        <w:numPr>
          <w:ilvl w:val="1"/>
          <w:numId w:val="12"/>
        </w:numPr>
        <w:tabs>
          <w:tab w:pos="1761" w:val="left" w:leader="none"/>
          <w:tab w:pos="1762" w:val="left" w:leader="none"/>
        </w:tabs>
        <w:spacing w:line="206" w:lineRule="auto" w:before="126" w:after="0"/>
        <w:ind w:left="1761" w:right="2387" w:hanging="794"/>
        <w:jc w:val="left"/>
        <w:rPr>
          <w:sz w:val="20"/>
        </w:rPr>
      </w:pPr>
      <w:r>
        <w:rPr>
          <w:sz w:val="20"/>
        </w:rPr>
        <w:t>After</w:t>
      </w:r>
      <w:r>
        <w:rPr>
          <w:spacing w:val="-9"/>
          <w:sz w:val="20"/>
        </w:rPr>
        <w:t> </w:t>
      </w:r>
      <w:r>
        <w:rPr>
          <w:sz w:val="20"/>
        </w:rPr>
        <w:t>the</w:t>
      </w:r>
      <w:r>
        <w:rPr>
          <w:spacing w:val="-8"/>
          <w:sz w:val="20"/>
        </w:rPr>
        <w:t> </w:t>
      </w:r>
      <w:r>
        <w:rPr>
          <w:spacing w:val="-3"/>
          <w:sz w:val="20"/>
        </w:rPr>
        <w:t>release</w:t>
      </w:r>
      <w:r>
        <w:rPr>
          <w:spacing w:val="-9"/>
          <w:sz w:val="20"/>
        </w:rPr>
        <w:t> </w:t>
      </w:r>
      <w:r>
        <w:rPr>
          <w:sz w:val="20"/>
        </w:rPr>
        <w:t>of</w:t>
      </w:r>
      <w:r>
        <w:rPr>
          <w:spacing w:val="-8"/>
          <w:sz w:val="20"/>
        </w:rPr>
        <w:t> </w:t>
      </w:r>
      <w:r>
        <w:rPr>
          <w:sz w:val="20"/>
        </w:rPr>
        <w:t>the</w:t>
      </w:r>
      <w:r>
        <w:rPr>
          <w:spacing w:val="-9"/>
          <w:sz w:val="20"/>
        </w:rPr>
        <w:t> </w:t>
      </w:r>
      <w:r>
        <w:rPr>
          <w:sz w:val="20"/>
        </w:rPr>
        <w:t>consultation</w:t>
      </w:r>
      <w:r>
        <w:rPr>
          <w:spacing w:val="-8"/>
          <w:sz w:val="20"/>
        </w:rPr>
        <w:t> </w:t>
      </w:r>
      <w:r>
        <w:rPr>
          <w:spacing w:val="-3"/>
          <w:sz w:val="20"/>
        </w:rPr>
        <w:t>paper,</w:t>
      </w:r>
      <w:r>
        <w:rPr>
          <w:spacing w:val="-9"/>
          <w:sz w:val="20"/>
        </w:rPr>
        <w:t> </w:t>
      </w:r>
      <w:r>
        <w:rPr>
          <w:spacing w:val="-3"/>
          <w:sz w:val="20"/>
        </w:rPr>
        <w:t>we</w:t>
      </w:r>
      <w:r>
        <w:rPr>
          <w:spacing w:val="-8"/>
          <w:sz w:val="20"/>
        </w:rPr>
        <w:t> </w:t>
      </w:r>
      <w:r>
        <w:rPr>
          <w:sz w:val="20"/>
        </w:rPr>
        <w:t>held</w:t>
      </w:r>
      <w:r>
        <w:rPr>
          <w:spacing w:val="-9"/>
          <w:sz w:val="20"/>
        </w:rPr>
        <w:t> </w:t>
      </w:r>
      <w:r>
        <w:rPr>
          <w:sz w:val="20"/>
        </w:rPr>
        <w:t>a</w:t>
      </w:r>
      <w:r>
        <w:rPr>
          <w:spacing w:val="-8"/>
          <w:sz w:val="20"/>
        </w:rPr>
        <w:t> </w:t>
      </w:r>
      <w:r>
        <w:rPr>
          <w:sz w:val="20"/>
        </w:rPr>
        <w:t>wide</w:t>
      </w:r>
      <w:r>
        <w:rPr>
          <w:spacing w:val="-9"/>
          <w:sz w:val="20"/>
        </w:rPr>
        <w:t> </w:t>
      </w:r>
      <w:r>
        <w:rPr>
          <w:sz w:val="20"/>
        </w:rPr>
        <w:t>range</w:t>
      </w:r>
      <w:r>
        <w:rPr>
          <w:spacing w:val="-8"/>
          <w:sz w:val="20"/>
        </w:rPr>
        <w:t> </w:t>
      </w:r>
      <w:r>
        <w:rPr>
          <w:sz w:val="20"/>
        </w:rPr>
        <w:t>of</w:t>
      </w:r>
      <w:r>
        <w:rPr>
          <w:spacing w:val="-9"/>
          <w:sz w:val="20"/>
        </w:rPr>
        <w:t> </w:t>
      </w:r>
      <w:r>
        <w:rPr>
          <w:sz w:val="20"/>
        </w:rPr>
        <w:t>formal consultations including</w:t>
      </w:r>
      <w:r>
        <w:rPr>
          <w:spacing w:val="-10"/>
          <w:sz w:val="20"/>
        </w:rPr>
        <w:t> </w:t>
      </w:r>
      <w:r>
        <w:rPr>
          <w:sz w:val="20"/>
        </w:rPr>
        <w:t>with:</w:t>
      </w:r>
    </w:p>
    <w:p>
      <w:pPr>
        <w:pStyle w:val="ListParagraph"/>
        <w:numPr>
          <w:ilvl w:val="2"/>
          <w:numId w:val="12"/>
        </w:numPr>
        <w:tabs>
          <w:tab w:pos="2157" w:val="left" w:leader="none"/>
          <w:tab w:pos="2158" w:val="left" w:leader="none"/>
        </w:tabs>
        <w:spacing w:line="240" w:lineRule="auto" w:before="90" w:after="0"/>
        <w:ind w:left="2157" w:right="0" w:hanging="396"/>
        <w:jc w:val="left"/>
        <w:rPr>
          <w:sz w:val="20"/>
        </w:rPr>
      </w:pPr>
      <w:r>
        <w:rPr>
          <w:sz w:val="20"/>
        </w:rPr>
        <w:t>disability advocacy</w:t>
      </w:r>
      <w:r>
        <w:rPr>
          <w:spacing w:val="-9"/>
          <w:sz w:val="20"/>
        </w:rPr>
        <w:t> </w:t>
      </w:r>
      <w:r>
        <w:rPr>
          <w:sz w:val="20"/>
        </w:rPr>
        <w:t>organisations</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members of the</w:t>
      </w:r>
      <w:r>
        <w:rPr>
          <w:spacing w:val="-13"/>
          <w:sz w:val="20"/>
        </w:rPr>
        <w:t> </w:t>
      </w:r>
      <w:r>
        <w:rPr>
          <w:sz w:val="20"/>
        </w:rPr>
        <w:t>community</w:t>
      </w:r>
    </w:p>
    <w:p>
      <w:pPr>
        <w:pStyle w:val="ListParagraph"/>
        <w:numPr>
          <w:ilvl w:val="2"/>
          <w:numId w:val="12"/>
        </w:numPr>
        <w:tabs>
          <w:tab w:pos="2157" w:val="left" w:leader="none"/>
          <w:tab w:pos="2158" w:val="left" w:leader="none"/>
        </w:tabs>
        <w:spacing w:line="206" w:lineRule="auto" w:before="79" w:after="0"/>
        <w:ind w:left="2157" w:right="1505" w:hanging="396"/>
        <w:jc w:val="left"/>
        <w:rPr>
          <w:sz w:val="20"/>
        </w:rPr>
      </w:pPr>
      <w:r>
        <w:rPr>
          <w:sz w:val="20"/>
        </w:rPr>
        <w:t>legal</w:t>
      </w:r>
      <w:r>
        <w:rPr>
          <w:spacing w:val="-12"/>
          <w:sz w:val="20"/>
        </w:rPr>
        <w:t> </w:t>
      </w:r>
      <w:r>
        <w:rPr>
          <w:sz w:val="20"/>
        </w:rPr>
        <w:t>professionals,</w:t>
      </w:r>
      <w:r>
        <w:rPr>
          <w:spacing w:val="-12"/>
          <w:sz w:val="20"/>
        </w:rPr>
        <w:t> </w:t>
      </w:r>
      <w:r>
        <w:rPr>
          <w:spacing w:val="-3"/>
          <w:sz w:val="20"/>
        </w:rPr>
        <w:t>several</w:t>
      </w:r>
      <w:r>
        <w:rPr>
          <w:spacing w:val="-12"/>
          <w:sz w:val="20"/>
        </w:rPr>
        <w:t> </w:t>
      </w:r>
      <w:r>
        <w:rPr>
          <w:sz w:val="20"/>
        </w:rPr>
        <w:t>judges</w:t>
      </w:r>
      <w:r>
        <w:rPr>
          <w:spacing w:val="-11"/>
          <w:sz w:val="20"/>
        </w:rPr>
        <w:t> </w:t>
      </w:r>
      <w:r>
        <w:rPr>
          <w:sz w:val="20"/>
        </w:rPr>
        <w:t>at</w:t>
      </w:r>
      <w:r>
        <w:rPr>
          <w:spacing w:val="-12"/>
          <w:sz w:val="20"/>
        </w:rPr>
        <w:t> </w:t>
      </w:r>
      <w:r>
        <w:rPr>
          <w:sz w:val="20"/>
        </w:rPr>
        <w:t>the</w:t>
      </w:r>
      <w:r>
        <w:rPr>
          <w:spacing w:val="-12"/>
          <w:sz w:val="20"/>
        </w:rPr>
        <w:t> </w:t>
      </w:r>
      <w:r>
        <w:rPr>
          <w:sz w:val="20"/>
        </w:rPr>
        <w:t>Victorian</w:t>
      </w:r>
      <w:r>
        <w:rPr>
          <w:spacing w:val="-11"/>
          <w:sz w:val="20"/>
        </w:rPr>
        <w:t> </w:t>
      </w:r>
      <w:r>
        <w:rPr>
          <w:sz w:val="20"/>
        </w:rPr>
        <w:t>County</w:t>
      </w:r>
      <w:r>
        <w:rPr>
          <w:spacing w:val="-12"/>
          <w:sz w:val="20"/>
        </w:rPr>
        <w:t> </w:t>
      </w:r>
      <w:r>
        <w:rPr>
          <w:sz w:val="20"/>
        </w:rPr>
        <w:t>and</w:t>
      </w:r>
      <w:r>
        <w:rPr>
          <w:spacing w:val="-12"/>
          <w:sz w:val="20"/>
        </w:rPr>
        <w:t> </w:t>
      </w:r>
      <w:r>
        <w:rPr>
          <w:sz w:val="20"/>
        </w:rPr>
        <w:t>Supreme</w:t>
      </w:r>
      <w:r>
        <w:rPr>
          <w:spacing w:val="-11"/>
          <w:sz w:val="20"/>
        </w:rPr>
        <w:t> </w:t>
      </w:r>
      <w:r>
        <w:rPr>
          <w:sz w:val="20"/>
        </w:rPr>
        <w:t>Courts, the</w:t>
      </w:r>
      <w:r>
        <w:rPr>
          <w:spacing w:val="-16"/>
          <w:sz w:val="20"/>
        </w:rPr>
        <w:t> </w:t>
      </w:r>
      <w:r>
        <w:rPr>
          <w:sz w:val="20"/>
        </w:rPr>
        <w:t>Victorian</w:t>
      </w:r>
      <w:r>
        <w:rPr>
          <w:spacing w:val="-16"/>
          <w:sz w:val="20"/>
        </w:rPr>
        <w:t> </w:t>
      </w:r>
      <w:r>
        <w:rPr>
          <w:sz w:val="20"/>
        </w:rPr>
        <w:t>Criminal</w:t>
      </w:r>
      <w:r>
        <w:rPr>
          <w:spacing w:val="-16"/>
          <w:sz w:val="20"/>
        </w:rPr>
        <w:t> </w:t>
      </w:r>
      <w:r>
        <w:rPr>
          <w:sz w:val="20"/>
        </w:rPr>
        <w:t>Bar</w:t>
      </w:r>
      <w:r>
        <w:rPr>
          <w:spacing w:val="-16"/>
          <w:sz w:val="20"/>
        </w:rPr>
        <w:t> </w:t>
      </w:r>
      <w:r>
        <w:rPr>
          <w:sz w:val="20"/>
        </w:rPr>
        <w:t>Association,</w:t>
      </w:r>
      <w:r>
        <w:rPr>
          <w:spacing w:val="-16"/>
          <w:sz w:val="20"/>
        </w:rPr>
        <w:t> </w:t>
      </w:r>
      <w:r>
        <w:rPr>
          <w:sz w:val="20"/>
        </w:rPr>
        <w:t>the</w:t>
      </w:r>
      <w:r>
        <w:rPr>
          <w:spacing w:val="-16"/>
          <w:sz w:val="20"/>
        </w:rPr>
        <w:t> </w:t>
      </w:r>
      <w:r>
        <w:rPr>
          <w:sz w:val="20"/>
        </w:rPr>
        <w:t>Office</w:t>
      </w:r>
      <w:r>
        <w:rPr>
          <w:spacing w:val="-16"/>
          <w:sz w:val="20"/>
        </w:rPr>
        <w:t> </w:t>
      </w:r>
      <w:r>
        <w:rPr>
          <w:sz w:val="20"/>
        </w:rPr>
        <w:t>of</w:t>
      </w:r>
      <w:r>
        <w:rPr>
          <w:spacing w:val="-16"/>
          <w:sz w:val="20"/>
        </w:rPr>
        <w:t> </w:t>
      </w:r>
      <w:r>
        <w:rPr>
          <w:sz w:val="20"/>
        </w:rPr>
        <w:t>Public</w:t>
      </w:r>
      <w:r>
        <w:rPr>
          <w:spacing w:val="-16"/>
          <w:sz w:val="20"/>
        </w:rPr>
        <w:t> </w:t>
      </w:r>
      <w:r>
        <w:rPr>
          <w:sz w:val="20"/>
        </w:rPr>
        <w:t>Prosecutions</w:t>
      </w:r>
      <w:r>
        <w:rPr>
          <w:spacing w:val="-16"/>
          <w:sz w:val="20"/>
        </w:rPr>
        <w:t> </w:t>
      </w:r>
      <w:r>
        <w:rPr>
          <w:sz w:val="20"/>
        </w:rPr>
        <w:t>Victoria, the Law Institute of Victoria, and the Victorian </w:t>
      </w:r>
      <w:r>
        <w:rPr>
          <w:spacing w:val="-3"/>
          <w:sz w:val="20"/>
        </w:rPr>
        <w:t>Equal </w:t>
      </w:r>
      <w:r>
        <w:rPr>
          <w:sz w:val="20"/>
        </w:rPr>
        <w:t>Opportunity and Human Rights</w:t>
      </w:r>
      <w:r>
        <w:rPr>
          <w:spacing w:val="-5"/>
          <w:sz w:val="20"/>
        </w:rPr>
        <w:t> </w:t>
      </w:r>
      <w:r>
        <w:rPr>
          <w:sz w:val="20"/>
        </w:rPr>
        <w:t>Commission</w:t>
      </w:r>
    </w:p>
    <w:p>
      <w:pPr>
        <w:pStyle w:val="ListParagraph"/>
        <w:numPr>
          <w:ilvl w:val="2"/>
          <w:numId w:val="12"/>
        </w:numPr>
        <w:tabs>
          <w:tab w:pos="2157" w:val="left" w:leader="none"/>
          <w:tab w:pos="2158" w:val="left" w:leader="none"/>
        </w:tabs>
        <w:spacing w:line="240" w:lineRule="auto" w:before="58" w:after="0"/>
        <w:ind w:left="2157" w:right="0" w:hanging="396"/>
        <w:jc w:val="left"/>
        <w:rPr>
          <w:sz w:val="20"/>
        </w:rPr>
      </w:pPr>
      <w:r>
        <w:rPr>
          <w:sz w:val="20"/>
        </w:rPr>
        <w:t>Juries</w:t>
      </w:r>
      <w:r>
        <w:rPr>
          <w:spacing w:val="-5"/>
          <w:sz w:val="20"/>
        </w:rPr>
        <w:t> </w:t>
      </w:r>
      <w:r>
        <w:rPr>
          <w:sz w:val="20"/>
        </w:rPr>
        <w:t>Victoria</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jury authorities and courts </w:t>
      </w:r>
      <w:r>
        <w:rPr>
          <w:spacing w:val="-3"/>
          <w:sz w:val="20"/>
        </w:rPr>
        <w:t>interstate </w:t>
      </w:r>
      <w:r>
        <w:rPr>
          <w:sz w:val="20"/>
        </w:rPr>
        <w:t>and</w:t>
      </w:r>
      <w:r>
        <w:rPr>
          <w:spacing w:val="-22"/>
          <w:sz w:val="20"/>
        </w:rPr>
        <w:t> </w:t>
      </w:r>
      <w:r>
        <w:rPr>
          <w:spacing w:val="-3"/>
          <w:sz w:val="20"/>
        </w:rPr>
        <w:t>overseas</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Auslan service </w:t>
      </w:r>
      <w:r>
        <w:rPr>
          <w:spacing w:val="-3"/>
          <w:sz w:val="20"/>
        </w:rPr>
        <w:t>providers </w:t>
      </w:r>
      <w:r>
        <w:rPr>
          <w:sz w:val="20"/>
        </w:rPr>
        <w:t>and </w:t>
      </w:r>
      <w:r>
        <w:rPr>
          <w:spacing w:val="-3"/>
          <w:sz w:val="20"/>
        </w:rPr>
        <w:t>interpreter</w:t>
      </w:r>
      <w:r>
        <w:rPr>
          <w:spacing w:val="-19"/>
          <w:sz w:val="20"/>
        </w:rPr>
        <w:t> </w:t>
      </w:r>
      <w:r>
        <w:rPr>
          <w:sz w:val="20"/>
        </w:rPr>
        <w:t>associations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academics</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the Victorian Aboriginal Community Controlled Health</w:t>
      </w:r>
      <w:r>
        <w:rPr>
          <w:spacing w:val="-34"/>
          <w:sz w:val="20"/>
        </w:rPr>
        <w:t> </w:t>
      </w:r>
      <w:r>
        <w:rPr>
          <w:sz w:val="20"/>
        </w:rPr>
        <w:t>Organisation.</w:t>
      </w:r>
    </w:p>
    <w:p>
      <w:pPr>
        <w:pStyle w:val="ListParagraph"/>
        <w:numPr>
          <w:ilvl w:val="1"/>
          <w:numId w:val="12"/>
        </w:numPr>
        <w:tabs>
          <w:tab w:pos="1761" w:val="left" w:leader="none"/>
          <w:tab w:pos="1762" w:val="left" w:leader="none"/>
        </w:tabs>
        <w:spacing w:line="206" w:lineRule="auto" w:before="80" w:after="0"/>
        <w:ind w:left="1761" w:right="1334" w:hanging="794"/>
        <w:jc w:val="left"/>
        <w:rPr>
          <w:sz w:val="20"/>
        </w:rPr>
      </w:pPr>
      <w:r>
        <w:rPr>
          <w:sz w:val="20"/>
        </w:rPr>
        <w:t>Due</w:t>
      </w:r>
      <w:r>
        <w:rPr>
          <w:spacing w:val="-10"/>
          <w:sz w:val="20"/>
        </w:rPr>
        <w:t> </w:t>
      </w:r>
      <w:r>
        <w:rPr>
          <w:sz w:val="20"/>
        </w:rPr>
        <w:t>to</w:t>
      </w:r>
      <w:r>
        <w:rPr>
          <w:spacing w:val="-9"/>
          <w:sz w:val="20"/>
        </w:rPr>
        <w:t> </w:t>
      </w:r>
      <w:r>
        <w:rPr>
          <w:spacing w:val="-3"/>
          <w:sz w:val="20"/>
        </w:rPr>
        <w:t>coronavirus</w:t>
      </w:r>
      <w:r>
        <w:rPr>
          <w:spacing w:val="-10"/>
          <w:sz w:val="20"/>
        </w:rPr>
        <w:t> </w:t>
      </w:r>
      <w:r>
        <w:rPr>
          <w:spacing w:val="-3"/>
          <w:sz w:val="20"/>
        </w:rPr>
        <w:t>(COVID-19)</w:t>
      </w:r>
      <w:r>
        <w:rPr>
          <w:spacing w:val="-9"/>
          <w:sz w:val="20"/>
        </w:rPr>
        <w:t> </w:t>
      </w:r>
      <w:r>
        <w:rPr>
          <w:sz w:val="20"/>
        </w:rPr>
        <w:t>restrictions,</w:t>
      </w:r>
      <w:r>
        <w:rPr>
          <w:spacing w:val="-9"/>
          <w:sz w:val="20"/>
        </w:rPr>
        <w:t> </w:t>
      </w:r>
      <w:r>
        <w:rPr>
          <w:sz w:val="20"/>
        </w:rPr>
        <w:t>most</w:t>
      </w:r>
      <w:r>
        <w:rPr>
          <w:spacing w:val="-10"/>
          <w:sz w:val="20"/>
        </w:rPr>
        <w:t> </w:t>
      </w:r>
      <w:r>
        <w:rPr>
          <w:sz w:val="20"/>
        </w:rPr>
        <w:t>of</w:t>
      </w:r>
      <w:r>
        <w:rPr>
          <w:spacing w:val="-9"/>
          <w:sz w:val="20"/>
        </w:rPr>
        <w:t> </w:t>
      </w:r>
      <w:r>
        <w:rPr>
          <w:sz w:val="20"/>
        </w:rPr>
        <w:t>our</w:t>
      </w:r>
      <w:r>
        <w:rPr>
          <w:spacing w:val="-10"/>
          <w:sz w:val="20"/>
        </w:rPr>
        <w:t> </w:t>
      </w:r>
      <w:r>
        <w:rPr>
          <w:sz w:val="20"/>
        </w:rPr>
        <w:t>consultations</w:t>
      </w:r>
      <w:r>
        <w:rPr>
          <w:spacing w:val="-9"/>
          <w:sz w:val="20"/>
        </w:rPr>
        <w:t> </w:t>
      </w:r>
      <w:r>
        <w:rPr>
          <w:spacing w:val="-4"/>
          <w:sz w:val="20"/>
        </w:rPr>
        <w:t>were</w:t>
      </w:r>
      <w:r>
        <w:rPr>
          <w:spacing w:val="-9"/>
          <w:sz w:val="20"/>
        </w:rPr>
        <w:t> </w:t>
      </w:r>
      <w:r>
        <w:rPr>
          <w:sz w:val="20"/>
        </w:rPr>
        <w:t>undertaken online, including with people </w:t>
      </w:r>
      <w:r>
        <w:rPr>
          <w:spacing w:val="-3"/>
          <w:sz w:val="20"/>
        </w:rPr>
        <w:t>from </w:t>
      </w:r>
      <w:r>
        <w:rPr>
          <w:sz w:val="20"/>
        </w:rPr>
        <w:t>regional Victoria, other parts of Australia and overseas. The seamless </w:t>
      </w:r>
      <w:r>
        <w:rPr>
          <w:spacing w:val="-3"/>
          <w:sz w:val="20"/>
        </w:rPr>
        <w:t>nature </w:t>
      </w:r>
      <w:r>
        <w:rPr>
          <w:sz w:val="20"/>
        </w:rPr>
        <w:t>of these consultations </w:t>
      </w:r>
      <w:r>
        <w:rPr>
          <w:spacing w:val="-3"/>
          <w:sz w:val="20"/>
        </w:rPr>
        <w:t>showed </w:t>
      </w:r>
      <w:r>
        <w:rPr>
          <w:sz w:val="20"/>
        </w:rPr>
        <w:t>us </w:t>
      </w:r>
      <w:r>
        <w:rPr>
          <w:spacing w:val="-3"/>
          <w:sz w:val="20"/>
        </w:rPr>
        <w:t>how </w:t>
      </w:r>
      <w:r>
        <w:rPr>
          <w:sz w:val="20"/>
        </w:rPr>
        <w:t>easily technology can assist with</w:t>
      </w:r>
      <w:r>
        <w:rPr>
          <w:spacing w:val="-17"/>
          <w:sz w:val="20"/>
        </w:rPr>
        <w:t> </w:t>
      </w:r>
      <w:r>
        <w:rPr>
          <w:spacing w:val="-3"/>
          <w:sz w:val="20"/>
        </w:rPr>
        <w:t>accessibility.</w:t>
      </w:r>
    </w:p>
    <w:p>
      <w:pPr>
        <w:pStyle w:val="BodyText"/>
        <w:spacing w:before="4"/>
        <w:rPr>
          <w:sz w:val="12"/>
        </w:rPr>
      </w:pPr>
      <w:r>
        <w:rPr/>
        <w:pict>
          <v:line style="position:absolute;mso-position-horizontal-relative:page;mso-position-vertical-relative:paragraph;z-index:80;mso-wrap-distance-left:0;mso-wrap-distance-right:0" from="79.370102pt,10.9777pt" to="515.905102pt,10.9777pt" stroked="true" strokeweight="1pt" strokecolor="#b6bdc8">
            <v:stroke dashstyle="solid"/>
            <w10:wrap type="topAndBottom"/>
          </v:line>
        </w:pict>
      </w:r>
    </w:p>
    <w:p>
      <w:pPr>
        <w:tabs>
          <w:tab w:pos="967" w:val="left" w:leader="none"/>
          <w:tab w:pos="1761" w:val="left" w:leader="none"/>
        </w:tabs>
        <w:spacing w:before="0"/>
        <w:ind w:left="100" w:right="0" w:firstLine="0"/>
        <w:jc w:val="left"/>
        <w:rPr>
          <w:sz w:val="13"/>
        </w:rPr>
      </w:pPr>
      <w:r>
        <w:rPr>
          <w:b/>
          <w:color w:val="37617A"/>
          <w:sz w:val="24"/>
        </w:rPr>
        <w:t>6</w:t>
        <w:tab/>
      </w:r>
      <w:r>
        <w:rPr>
          <w:sz w:val="13"/>
        </w:rPr>
        <w:t>17</w:t>
        <w:tab/>
      </w:r>
      <w:r>
        <w:rPr>
          <w:i/>
          <w:sz w:val="13"/>
        </w:rPr>
        <w:t>Victorian Law Reform Commission Act 2000 </w:t>
      </w:r>
      <w:r>
        <w:rPr>
          <w:spacing w:val="2"/>
          <w:sz w:val="13"/>
        </w:rPr>
        <w:t>(Vic) </w:t>
      </w:r>
      <w:r>
        <w:rPr>
          <w:sz w:val="13"/>
        </w:rPr>
        <w:t>s (5)(1)(b).</w:t>
      </w:r>
    </w:p>
    <w:p>
      <w:pPr>
        <w:spacing w:after="0"/>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450" w:hanging="794"/>
        <w:jc w:val="left"/>
        <w:rPr>
          <w:sz w:val="20"/>
        </w:rPr>
      </w:pPr>
      <w:bookmarkStart w:name="Reform in coronavirus (COVID-19) times" w:id="26"/>
      <w:bookmarkEnd w:id="26"/>
      <w:r>
        <w:rPr/>
      </w:r>
      <w:bookmarkStart w:name="_bookmark11" w:id="27"/>
      <w:bookmarkEnd w:id="27"/>
      <w:r>
        <w:rPr/>
      </w:r>
      <w:bookmarkStart w:name="_bookmark11" w:id="28"/>
      <w:bookmarkEnd w:id="28"/>
      <w:r>
        <w:rPr>
          <w:spacing w:val="-6"/>
          <w:sz w:val="20"/>
        </w:rPr>
        <w:t>W</w:t>
      </w:r>
      <w:r>
        <w:rPr>
          <w:spacing w:val="-6"/>
          <w:sz w:val="20"/>
        </w:rPr>
        <w:t>e </w:t>
      </w:r>
      <w:r>
        <w:rPr>
          <w:sz w:val="20"/>
        </w:rPr>
        <w:t>held 29 consultations (see Appendix </w:t>
      </w:r>
      <w:r>
        <w:rPr>
          <w:spacing w:val="-3"/>
          <w:sz w:val="20"/>
        </w:rPr>
        <w:t>B). </w:t>
      </w:r>
      <w:r>
        <w:rPr>
          <w:spacing w:val="-6"/>
          <w:sz w:val="20"/>
        </w:rPr>
        <w:t>We </w:t>
      </w:r>
      <w:r>
        <w:rPr>
          <w:spacing w:val="-3"/>
          <w:sz w:val="20"/>
        </w:rPr>
        <w:t>are grateful </w:t>
      </w:r>
      <w:r>
        <w:rPr>
          <w:sz w:val="20"/>
        </w:rPr>
        <w:t>to the people named in Appendix B for contributing to our project. The Commission is </w:t>
      </w:r>
      <w:r>
        <w:rPr>
          <w:spacing w:val="-3"/>
          <w:sz w:val="20"/>
        </w:rPr>
        <w:t>appreciative </w:t>
      </w:r>
      <w:r>
        <w:rPr>
          <w:sz w:val="20"/>
        </w:rPr>
        <w:t>of their willingness</w:t>
      </w:r>
      <w:r>
        <w:rPr>
          <w:spacing w:val="-13"/>
          <w:sz w:val="20"/>
        </w:rPr>
        <w:t> </w:t>
      </w:r>
      <w:r>
        <w:rPr>
          <w:sz w:val="20"/>
        </w:rPr>
        <w:t>to</w:t>
      </w:r>
      <w:r>
        <w:rPr>
          <w:spacing w:val="-12"/>
          <w:sz w:val="20"/>
        </w:rPr>
        <w:t> </w:t>
      </w:r>
      <w:r>
        <w:rPr>
          <w:sz w:val="20"/>
        </w:rPr>
        <w:t>meet</w:t>
      </w:r>
      <w:r>
        <w:rPr>
          <w:spacing w:val="-12"/>
          <w:sz w:val="20"/>
        </w:rPr>
        <w:t> </w:t>
      </w:r>
      <w:r>
        <w:rPr>
          <w:sz w:val="20"/>
        </w:rPr>
        <w:t>online</w:t>
      </w:r>
      <w:r>
        <w:rPr>
          <w:spacing w:val="-12"/>
          <w:sz w:val="20"/>
        </w:rPr>
        <w:t> </w:t>
      </w:r>
      <w:r>
        <w:rPr>
          <w:sz w:val="20"/>
        </w:rPr>
        <w:t>despite</w:t>
      </w:r>
      <w:r>
        <w:rPr>
          <w:spacing w:val="-13"/>
          <w:sz w:val="20"/>
        </w:rPr>
        <w:t> </w:t>
      </w:r>
      <w:r>
        <w:rPr>
          <w:sz w:val="20"/>
        </w:rPr>
        <w:t>the</w:t>
      </w:r>
      <w:r>
        <w:rPr>
          <w:spacing w:val="-12"/>
          <w:sz w:val="20"/>
        </w:rPr>
        <w:t> </w:t>
      </w:r>
      <w:r>
        <w:rPr>
          <w:sz w:val="20"/>
        </w:rPr>
        <w:t>challenges</w:t>
      </w:r>
      <w:r>
        <w:rPr>
          <w:spacing w:val="-12"/>
          <w:sz w:val="20"/>
        </w:rPr>
        <w:t> </w:t>
      </w:r>
      <w:r>
        <w:rPr>
          <w:sz w:val="20"/>
        </w:rPr>
        <w:t>and</w:t>
      </w:r>
      <w:r>
        <w:rPr>
          <w:spacing w:val="-12"/>
          <w:sz w:val="20"/>
        </w:rPr>
        <w:t> </w:t>
      </w:r>
      <w:r>
        <w:rPr>
          <w:sz w:val="20"/>
        </w:rPr>
        <w:t>to</w:t>
      </w:r>
      <w:r>
        <w:rPr>
          <w:spacing w:val="-13"/>
          <w:sz w:val="20"/>
        </w:rPr>
        <w:t> </w:t>
      </w:r>
      <w:r>
        <w:rPr>
          <w:spacing w:val="-3"/>
          <w:sz w:val="20"/>
        </w:rPr>
        <w:t>share</w:t>
      </w:r>
      <w:r>
        <w:rPr>
          <w:spacing w:val="-12"/>
          <w:sz w:val="20"/>
        </w:rPr>
        <w:t> </w:t>
      </w:r>
      <w:r>
        <w:rPr>
          <w:sz w:val="20"/>
        </w:rPr>
        <w:t>their</w:t>
      </w:r>
      <w:r>
        <w:rPr>
          <w:spacing w:val="-12"/>
          <w:sz w:val="20"/>
        </w:rPr>
        <w:t> </w:t>
      </w:r>
      <w:r>
        <w:rPr>
          <w:sz w:val="20"/>
        </w:rPr>
        <w:t>experiences</w:t>
      </w:r>
      <w:r>
        <w:rPr>
          <w:spacing w:val="-12"/>
          <w:sz w:val="20"/>
        </w:rPr>
        <w:t> </w:t>
      </w:r>
      <w:r>
        <w:rPr>
          <w:sz w:val="20"/>
        </w:rPr>
        <w:t>and views. Their ideas and </w:t>
      </w:r>
      <w:r>
        <w:rPr>
          <w:spacing w:val="-3"/>
          <w:sz w:val="20"/>
        </w:rPr>
        <w:t>voices are </w:t>
      </w:r>
      <w:r>
        <w:rPr>
          <w:sz w:val="20"/>
        </w:rPr>
        <w:t>reflected in this report. </w:t>
      </w:r>
      <w:r>
        <w:rPr>
          <w:spacing w:val="-6"/>
          <w:sz w:val="20"/>
        </w:rPr>
        <w:t>We </w:t>
      </w:r>
      <w:r>
        <w:rPr>
          <w:sz w:val="20"/>
        </w:rPr>
        <w:t>expect their </w:t>
      </w:r>
      <w:r>
        <w:rPr>
          <w:spacing w:val="-3"/>
          <w:sz w:val="20"/>
        </w:rPr>
        <w:t>valuable </w:t>
      </w:r>
      <w:r>
        <w:rPr>
          <w:sz w:val="20"/>
        </w:rPr>
        <w:t>contributions will shape change that will benefit</w:t>
      </w:r>
      <w:r>
        <w:rPr>
          <w:spacing w:val="-38"/>
          <w:sz w:val="20"/>
        </w:rPr>
        <w:t> </w:t>
      </w:r>
      <w:r>
        <w:rPr>
          <w:sz w:val="20"/>
        </w:rPr>
        <w:t>others.</w:t>
      </w:r>
    </w:p>
    <w:p>
      <w:pPr>
        <w:spacing w:before="164"/>
        <w:ind w:left="967" w:right="0" w:firstLine="0"/>
        <w:jc w:val="left"/>
        <w:rPr>
          <w:b/>
          <w:sz w:val="24"/>
        </w:rPr>
      </w:pPr>
      <w:r>
        <w:rPr>
          <w:b/>
          <w:sz w:val="24"/>
        </w:rPr>
        <w:t>What was out of scope</w:t>
      </w:r>
    </w:p>
    <w:p>
      <w:pPr>
        <w:pStyle w:val="ListParagraph"/>
        <w:numPr>
          <w:ilvl w:val="1"/>
          <w:numId w:val="12"/>
        </w:numPr>
        <w:tabs>
          <w:tab w:pos="1761" w:val="left" w:leader="none"/>
          <w:tab w:pos="1762" w:val="left" w:leader="none"/>
        </w:tabs>
        <w:spacing w:line="206" w:lineRule="auto" w:before="128" w:after="0"/>
        <w:ind w:left="1761" w:right="1403" w:hanging="794"/>
        <w:jc w:val="left"/>
        <w:rPr>
          <w:sz w:val="20"/>
        </w:rPr>
      </w:pPr>
      <w:r>
        <w:rPr>
          <w:sz w:val="20"/>
        </w:rPr>
        <w:t>This project is limited in focus to those who </w:t>
      </w:r>
      <w:r>
        <w:rPr>
          <w:spacing w:val="-3"/>
          <w:sz w:val="20"/>
        </w:rPr>
        <w:t>are </w:t>
      </w:r>
      <w:r>
        <w:rPr>
          <w:spacing w:val="-4"/>
          <w:sz w:val="20"/>
        </w:rPr>
        <w:t>deaf, </w:t>
      </w:r>
      <w:r>
        <w:rPr>
          <w:sz w:val="20"/>
        </w:rPr>
        <w:t>hard of hearing, blind or </w:t>
      </w:r>
      <w:r>
        <w:rPr>
          <w:spacing w:val="-4"/>
          <w:sz w:val="20"/>
        </w:rPr>
        <w:t>have low </w:t>
      </w:r>
      <w:r>
        <w:rPr>
          <w:sz w:val="20"/>
        </w:rPr>
        <w:t>vision. </w:t>
      </w:r>
      <w:r>
        <w:rPr>
          <w:spacing w:val="-6"/>
          <w:sz w:val="20"/>
        </w:rPr>
        <w:t>We </w:t>
      </w:r>
      <w:r>
        <w:rPr>
          <w:sz w:val="20"/>
        </w:rPr>
        <w:t>do not consider </w:t>
      </w:r>
      <w:r>
        <w:rPr>
          <w:spacing w:val="-3"/>
          <w:sz w:val="20"/>
        </w:rPr>
        <w:t>reforms </w:t>
      </w:r>
      <w:r>
        <w:rPr>
          <w:sz w:val="20"/>
        </w:rPr>
        <w:t>to </w:t>
      </w:r>
      <w:r>
        <w:rPr>
          <w:spacing w:val="-4"/>
          <w:sz w:val="20"/>
        </w:rPr>
        <w:t>remove </w:t>
      </w:r>
      <w:r>
        <w:rPr>
          <w:sz w:val="20"/>
        </w:rPr>
        <w:t>barriers to participation on juries for</w:t>
      </w:r>
      <w:r>
        <w:rPr>
          <w:spacing w:val="-10"/>
          <w:sz w:val="20"/>
        </w:rPr>
        <w:t> </w:t>
      </w:r>
      <w:r>
        <w:rPr>
          <w:sz w:val="20"/>
        </w:rPr>
        <w:t>people</w:t>
      </w:r>
      <w:r>
        <w:rPr>
          <w:spacing w:val="-10"/>
          <w:sz w:val="20"/>
        </w:rPr>
        <w:t> </w:t>
      </w:r>
      <w:r>
        <w:rPr>
          <w:sz w:val="20"/>
        </w:rPr>
        <w:t>with</w:t>
      </w:r>
      <w:r>
        <w:rPr>
          <w:spacing w:val="-10"/>
          <w:sz w:val="20"/>
        </w:rPr>
        <w:t> </w:t>
      </w:r>
      <w:r>
        <w:rPr>
          <w:sz w:val="20"/>
        </w:rPr>
        <w:t>other</w:t>
      </w:r>
      <w:r>
        <w:rPr>
          <w:spacing w:val="-10"/>
          <w:sz w:val="20"/>
        </w:rPr>
        <w:t> </w:t>
      </w:r>
      <w:r>
        <w:rPr>
          <w:sz w:val="20"/>
        </w:rPr>
        <w:t>disabilities.</w:t>
      </w:r>
      <w:r>
        <w:rPr>
          <w:spacing w:val="-9"/>
          <w:sz w:val="20"/>
        </w:rPr>
        <w:t> </w:t>
      </w:r>
      <w:r>
        <w:rPr>
          <w:spacing w:val="-6"/>
          <w:sz w:val="20"/>
        </w:rPr>
        <w:t>We</w:t>
      </w:r>
      <w:r>
        <w:rPr>
          <w:spacing w:val="-10"/>
          <w:sz w:val="20"/>
        </w:rPr>
        <w:t> </w:t>
      </w:r>
      <w:r>
        <w:rPr>
          <w:sz w:val="20"/>
        </w:rPr>
        <w:t>also</w:t>
      </w:r>
      <w:r>
        <w:rPr>
          <w:spacing w:val="-10"/>
          <w:sz w:val="20"/>
        </w:rPr>
        <w:t> </w:t>
      </w:r>
      <w:r>
        <w:rPr>
          <w:spacing w:val="-4"/>
          <w:sz w:val="20"/>
        </w:rPr>
        <w:t>have</w:t>
      </w:r>
      <w:r>
        <w:rPr>
          <w:spacing w:val="-10"/>
          <w:sz w:val="20"/>
        </w:rPr>
        <w:t> </w:t>
      </w:r>
      <w:r>
        <w:rPr>
          <w:sz w:val="20"/>
        </w:rPr>
        <w:t>not</w:t>
      </w:r>
      <w:r>
        <w:rPr>
          <w:spacing w:val="-9"/>
          <w:sz w:val="20"/>
        </w:rPr>
        <w:t> </w:t>
      </w:r>
      <w:r>
        <w:rPr>
          <w:sz w:val="20"/>
        </w:rPr>
        <w:t>considered</w:t>
      </w:r>
      <w:r>
        <w:rPr>
          <w:spacing w:val="-10"/>
          <w:sz w:val="20"/>
        </w:rPr>
        <w:t> </w:t>
      </w:r>
      <w:r>
        <w:rPr>
          <w:sz w:val="20"/>
        </w:rPr>
        <w:t>whether</w:t>
      </w:r>
      <w:r>
        <w:rPr>
          <w:spacing w:val="-10"/>
          <w:sz w:val="20"/>
        </w:rPr>
        <w:t> </w:t>
      </w:r>
      <w:r>
        <w:rPr>
          <w:sz w:val="20"/>
        </w:rPr>
        <w:t>a</w:t>
      </w:r>
      <w:r>
        <w:rPr>
          <w:spacing w:val="-10"/>
          <w:sz w:val="20"/>
        </w:rPr>
        <w:t> </w:t>
      </w:r>
      <w:r>
        <w:rPr>
          <w:sz w:val="20"/>
        </w:rPr>
        <w:t>person</w:t>
      </w:r>
      <w:r>
        <w:rPr>
          <w:spacing w:val="-9"/>
          <w:sz w:val="20"/>
        </w:rPr>
        <w:t> </w:t>
      </w:r>
      <w:r>
        <w:rPr>
          <w:sz w:val="20"/>
        </w:rPr>
        <w:t>who cannot</w:t>
      </w:r>
      <w:r>
        <w:rPr>
          <w:spacing w:val="-6"/>
          <w:sz w:val="20"/>
        </w:rPr>
        <w:t> </w:t>
      </w:r>
      <w:r>
        <w:rPr>
          <w:sz w:val="20"/>
        </w:rPr>
        <w:t>understand</w:t>
      </w:r>
      <w:r>
        <w:rPr>
          <w:spacing w:val="-5"/>
          <w:sz w:val="20"/>
        </w:rPr>
        <w:t> </w:t>
      </w:r>
      <w:r>
        <w:rPr>
          <w:sz w:val="20"/>
        </w:rPr>
        <w:t>or</w:t>
      </w:r>
      <w:r>
        <w:rPr>
          <w:spacing w:val="-5"/>
          <w:sz w:val="20"/>
        </w:rPr>
        <w:t> </w:t>
      </w:r>
      <w:r>
        <w:rPr>
          <w:sz w:val="20"/>
        </w:rPr>
        <w:t>speak</w:t>
      </w:r>
      <w:r>
        <w:rPr>
          <w:spacing w:val="-6"/>
          <w:sz w:val="20"/>
        </w:rPr>
        <w:t> </w:t>
      </w:r>
      <w:r>
        <w:rPr>
          <w:sz w:val="20"/>
        </w:rPr>
        <w:t>English</w:t>
      </w:r>
      <w:r>
        <w:rPr>
          <w:spacing w:val="-5"/>
          <w:sz w:val="20"/>
        </w:rPr>
        <w:t> </w:t>
      </w:r>
      <w:r>
        <w:rPr>
          <w:sz w:val="20"/>
        </w:rPr>
        <w:t>should</w:t>
      </w:r>
      <w:r>
        <w:rPr>
          <w:spacing w:val="-5"/>
          <w:sz w:val="20"/>
        </w:rPr>
        <w:t> </w:t>
      </w:r>
      <w:r>
        <w:rPr>
          <w:sz w:val="20"/>
        </w:rPr>
        <w:t>be</w:t>
      </w:r>
      <w:r>
        <w:rPr>
          <w:spacing w:val="-5"/>
          <w:sz w:val="20"/>
        </w:rPr>
        <w:t> </w:t>
      </w:r>
      <w:r>
        <w:rPr>
          <w:sz w:val="20"/>
        </w:rPr>
        <w:t>able</w:t>
      </w:r>
      <w:r>
        <w:rPr>
          <w:spacing w:val="-6"/>
          <w:sz w:val="20"/>
        </w:rPr>
        <w:t> </w:t>
      </w:r>
      <w:r>
        <w:rPr>
          <w:sz w:val="20"/>
        </w:rPr>
        <w:t>to</w:t>
      </w:r>
      <w:r>
        <w:rPr>
          <w:spacing w:val="-5"/>
          <w:sz w:val="20"/>
        </w:rPr>
        <w:t> </w:t>
      </w:r>
      <w:r>
        <w:rPr>
          <w:sz w:val="20"/>
        </w:rPr>
        <w:t>be</w:t>
      </w:r>
      <w:r>
        <w:rPr>
          <w:spacing w:val="-5"/>
          <w:sz w:val="20"/>
        </w:rPr>
        <w:t> </w:t>
      </w:r>
      <w:r>
        <w:rPr>
          <w:sz w:val="20"/>
        </w:rPr>
        <w:t>a</w:t>
      </w:r>
      <w:r>
        <w:rPr>
          <w:spacing w:val="-5"/>
          <w:sz w:val="20"/>
        </w:rPr>
        <w:t> </w:t>
      </w:r>
      <w:r>
        <w:rPr>
          <w:spacing w:val="-4"/>
          <w:sz w:val="20"/>
        </w:rPr>
        <w:t>juror.</w:t>
      </w:r>
    </w:p>
    <w:p>
      <w:pPr>
        <w:pStyle w:val="ListParagraph"/>
        <w:numPr>
          <w:ilvl w:val="1"/>
          <w:numId w:val="12"/>
        </w:numPr>
        <w:tabs>
          <w:tab w:pos="1761" w:val="left" w:leader="none"/>
          <w:tab w:pos="1762" w:val="left" w:leader="none"/>
        </w:tabs>
        <w:spacing w:line="206" w:lineRule="auto" w:before="125" w:after="0"/>
        <w:ind w:left="1761" w:right="1229" w:hanging="794"/>
        <w:jc w:val="left"/>
        <w:rPr>
          <w:sz w:val="20"/>
        </w:rPr>
      </w:pPr>
      <w:r>
        <w:rPr>
          <w:spacing w:val="-6"/>
          <w:sz w:val="20"/>
        </w:rPr>
        <w:t>We </w:t>
      </w:r>
      <w:r>
        <w:rPr>
          <w:sz w:val="20"/>
        </w:rPr>
        <w:t>recognise that </w:t>
      </w:r>
      <w:r>
        <w:rPr>
          <w:spacing w:val="-3"/>
          <w:sz w:val="20"/>
        </w:rPr>
        <w:t>recent reforms </w:t>
      </w:r>
      <w:r>
        <w:rPr>
          <w:sz w:val="20"/>
        </w:rPr>
        <w:t>in the </w:t>
      </w:r>
      <w:r>
        <w:rPr>
          <w:spacing w:val="-4"/>
          <w:sz w:val="20"/>
        </w:rPr>
        <w:t>ACT </w:t>
      </w:r>
      <w:r>
        <w:rPr>
          <w:spacing w:val="-3"/>
          <w:sz w:val="20"/>
        </w:rPr>
        <w:t>apply </w:t>
      </w:r>
      <w:r>
        <w:rPr>
          <w:sz w:val="20"/>
        </w:rPr>
        <w:t>to people who </w:t>
      </w:r>
      <w:r>
        <w:rPr>
          <w:spacing w:val="-4"/>
          <w:sz w:val="20"/>
        </w:rPr>
        <w:t>have </w:t>
      </w:r>
      <w:r>
        <w:rPr>
          <w:sz w:val="20"/>
        </w:rPr>
        <w:t>an insufficient understanding</w:t>
      </w:r>
      <w:r>
        <w:rPr>
          <w:spacing w:val="-9"/>
          <w:sz w:val="20"/>
        </w:rPr>
        <w:t> </w:t>
      </w:r>
      <w:r>
        <w:rPr>
          <w:sz w:val="20"/>
        </w:rPr>
        <w:t>of</w:t>
      </w:r>
      <w:r>
        <w:rPr>
          <w:spacing w:val="-9"/>
          <w:sz w:val="20"/>
        </w:rPr>
        <w:t> </w:t>
      </w:r>
      <w:r>
        <w:rPr>
          <w:sz w:val="20"/>
        </w:rPr>
        <w:t>the</w:t>
      </w:r>
      <w:r>
        <w:rPr>
          <w:spacing w:val="-9"/>
          <w:sz w:val="20"/>
        </w:rPr>
        <w:t> </w:t>
      </w:r>
      <w:r>
        <w:rPr>
          <w:sz w:val="20"/>
        </w:rPr>
        <w:t>English</w:t>
      </w:r>
      <w:r>
        <w:rPr>
          <w:spacing w:val="-8"/>
          <w:sz w:val="20"/>
        </w:rPr>
        <w:t> </w:t>
      </w:r>
      <w:r>
        <w:rPr>
          <w:sz w:val="20"/>
        </w:rPr>
        <w:t>language,</w:t>
      </w:r>
      <w:r>
        <w:rPr>
          <w:spacing w:val="-9"/>
          <w:sz w:val="20"/>
        </w:rPr>
        <w:t> </w:t>
      </w:r>
      <w:r>
        <w:rPr>
          <w:sz w:val="20"/>
        </w:rPr>
        <w:t>as</w:t>
      </w:r>
      <w:r>
        <w:rPr>
          <w:spacing w:val="-9"/>
          <w:sz w:val="20"/>
        </w:rPr>
        <w:t> </w:t>
      </w:r>
      <w:r>
        <w:rPr>
          <w:sz w:val="20"/>
        </w:rPr>
        <w:t>well</w:t>
      </w:r>
      <w:r>
        <w:rPr>
          <w:spacing w:val="-9"/>
          <w:sz w:val="20"/>
        </w:rPr>
        <w:t> </w:t>
      </w:r>
      <w:r>
        <w:rPr>
          <w:sz w:val="20"/>
        </w:rPr>
        <w:t>as</w:t>
      </w:r>
      <w:r>
        <w:rPr>
          <w:spacing w:val="-8"/>
          <w:sz w:val="20"/>
        </w:rPr>
        <w:t> </w:t>
      </w:r>
      <w:r>
        <w:rPr>
          <w:spacing w:val="-3"/>
          <w:sz w:val="20"/>
        </w:rPr>
        <w:t>anyone</w:t>
      </w:r>
      <w:r>
        <w:rPr>
          <w:spacing w:val="-9"/>
          <w:sz w:val="20"/>
        </w:rPr>
        <w:t> </w:t>
      </w:r>
      <w:r>
        <w:rPr>
          <w:sz w:val="20"/>
        </w:rPr>
        <w:t>who</w:t>
      </w:r>
      <w:r>
        <w:rPr>
          <w:spacing w:val="-9"/>
          <w:sz w:val="20"/>
        </w:rPr>
        <w:t> </w:t>
      </w:r>
      <w:r>
        <w:rPr>
          <w:sz w:val="20"/>
        </w:rPr>
        <w:t>has</w:t>
      </w:r>
      <w:r>
        <w:rPr>
          <w:spacing w:val="-8"/>
          <w:sz w:val="20"/>
        </w:rPr>
        <w:t> </w:t>
      </w:r>
      <w:r>
        <w:rPr>
          <w:sz w:val="20"/>
        </w:rPr>
        <w:t>a</w:t>
      </w:r>
      <w:r>
        <w:rPr>
          <w:spacing w:val="-9"/>
          <w:sz w:val="20"/>
        </w:rPr>
        <w:t> </w:t>
      </w:r>
      <w:r>
        <w:rPr>
          <w:sz w:val="20"/>
        </w:rPr>
        <w:t>mental</w:t>
      </w:r>
      <w:r>
        <w:rPr>
          <w:spacing w:val="-9"/>
          <w:sz w:val="20"/>
        </w:rPr>
        <w:t> </w:t>
      </w:r>
      <w:r>
        <w:rPr>
          <w:sz w:val="20"/>
        </w:rPr>
        <w:t>or</w:t>
      </w:r>
      <w:r>
        <w:rPr>
          <w:spacing w:val="-9"/>
          <w:sz w:val="20"/>
        </w:rPr>
        <w:t> </w:t>
      </w:r>
      <w:r>
        <w:rPr>
          <w:spacing w:val="-3"/>
          <w:sz w:val="20"/>
        </w:rPr>
        <w:t>physical </w:t>
      </w:r>
      <w:r>
        <w:rPr>
          <w:sz w:val="20"/>
        </w:rPr>
        <w:t>disability.</w:t>
      </w:r>
      <w:r>
        <w:rPr>
          <w:position w:val="7"/>
          <w:sz w:val="11"/>
        </w:rPr>
        <w:t>18 </w:t>
      </w:r>
      <w:r>
        <w:rPr>
          <w:sz w:val="20"/>
        </w:rPr>
        <w:t>Although these topics </w:t>
      </w:r>
      <w:r>
        <w:rPr>
          <w:spacing w:val="-3"/>
          <w:sz w:val="20"/>
        </w:rPr>
        <w:t>are beyond </w:t>
      </w:r>
      <w:r>
        <w:rPr>
          <w:sz w:val="20"/>
        </w:rPr>
        <w:t>the scope of this report, </w:t>
      </w:r>
      <w:r>
        <w:rPr>
          <w:spacing w:val="-3"/>
          <w:sz w:val="20"/>
        </w:rPr>
        <w:t>many </w:t>
      </w:r>
      <w:r>
        <w:rPr>
          <w:sz w:val="20"/>
        </w:rPr>
        <w:t>of the Commission’s observations regarding people in the subject groups could be more </w:t>
      </w:r>
      <w:r>
        <w:rPr>
          <w:spacing w:val="-3"/>
          <w:sz w:val="20"/>
        </w:rPr>
        <w:t>broadly</w:t>
      </w:r>
      <w:r>
        <w:rPr>
          <w:spacing w:val="-5"/>
          <w:sz w:val="20"/>
        </w:rPr>
        <w:t> </w:t>
      </w:r>
      <w:r>
        <w:rPr>
          <w:sz w:val="20"/>
        </w:rPr>
        <w:t>applied.</w:t>
      </w:r>
    </w:p>
    <w:p>
      <w:pPr>
        <w:spacing w:before="164"/>
        <w:ind w:left="967" w:right="0" w:firstLine="0"/>
        <w:jc w:val="left"/>
        <w:rPr>
          <w:b/>
          <w:sz w:val="24"/>
        </w:rPr>
      </w:pPr>
      <w:r>
        <w:rPr>
          <w:b/>
          <w:sz w:val="24"/>
        </w:rPr>
        <w:t>Data in our report</w:t>
      </w:r>
    </w:p>
    <w:p>
      <w:pPr>
        <w:pStyle w:val="ListParagraph"/>
        <w:numPr>
          <w:ilvl w:val="1"/>
          <w:numId w:val="12"/>
        </w:numPr>
        <w:tabs>
          <w:tab w:pos="1762" w:val="left" w:leader="none"/>
        </w:tabs>
        <w:spacing w:line="206" w:lineRule="auto" w:before="127" w:after="0"/>
        <w:ind w:left="1761" w:right="1241" w:hanging="794"/>
        <w:jc w:val="both"/>
        <w:rPr>
          <w:sz w:val="20"/>
        </w:rPr>
      </w:pPr>
      <w:r>
        <w:rPr>
          <w:sz w:val="20"/>
        </w:rPr>
        <w:t>Due</w:t>
      </w:r>
      <w:r>
        <w:rPr>
          <w:spacing w:val="-9"/>
          <w:sz w:val="20"/>
        </w:rPr>
        <w:t> </w:t>
      </w:r>
      <w:r>
        <w:rPr>
          <w:sz w:val="20"/>
        </w:rPr>
        <w:t>to</w:t>
      </w:r>
      <w:r>
        <w:rPr>
          <w:spacing w:val="-8"/>
          <w:sz w:val="20"/>
        </w:rPr>
        <w:t> </w:t>
      </w:r>
      <w:r>
        <w:rPr>
          <w:spacing w:val="-3"/>
          <w:sz w:val="20"/>
        </w:rPr>
        <w:t>coronavirus</w:t>
      </w:r>
      <w:r>
        <w:rPr>
          <w:spacing w:val="-9"/>
          <w:sz w:val="20"/>
        </w:rPr>
        <w:t> </w:t>
      </w:r>
      <w:r>
        <w:rPr>
          <w:spacing w:val="-3"/>
          <w:sz w:val="20"/>
        </w:rPr>
        <w:t>(COVID-19),</w:t>
      </w:r>
      <w:r>
        <w:rPr>
          <w:spacing w:val="-8"/>
          <w:sz w:val="20"/>
        </w:rPr>
        <w:t> </w:t>
      </w:r>
      <w:r>
        <w:rPr>
          <w:sz w:val="20"/>
        </w:rPr>
        <w:t>jury</w:t>
      </w:r>
      <w:r>
        <w:rPr>
          <w:spacing w:val="-8"/>
          <w:sz w:val="20"/>
        </w:rPr>
        <w:t> </w:t>
      </w:r>
      <w:r>
        <w:rPr>
          <w:sz w:val="20"/>
        </w:rPr>
        <w:t>trials</w:t>
      </w:r>
      <w:r>
        <w:rPr>
          <w:spacing w:val="-9"/>
          <w:sz w:val="20"/>
        </w:rPr>
        <w:t> </w:t>
      </w:r>
      <w:r>
        <w:rPr>
          <w:spacing w:val="-4"/>
          <w:sz w:val="20"/>
        </w:rPr>
        <w:t>were</w:t>
      </w:r>
      <w:r>
        <w:rPr>
          <w:spacing w:val="-8"/>
          <w:sz w:val="20"/>
        </w:rPr>
        <w:t> </w:t>
      </w:r>
      <w:r>
        <w:rPr>
          <w:sz w:val="20"/>
        </w:rPr>
        <w:t>significantly</w:t>
      </w:r>
      <w:r>
        <w:rPr>
          <w:spacing w:val="-8"/>
          <w:sz w:val="20"/>
        </w:rPr>
        <w:t> </w:t>
      </w:r>
      <w:r>
        <w:rPr>
          <w:sz w:val="20"/>
        </w:rPr>
        <w:t>disrupted</w:t>
      </w:r>
      <w:r>
        <w:rPr>
          <w:spacing w:val="-9"/>
          <w:sz w:val="20"/>
        </w:rPr>
        <w:t> </w:t>
      </w:r>
      <w:r>
        <w:rPr>
          <w:sz w:val="20"/>
        </w:rPr>
        <w:t>in</w:t>
      </w:r>
      <w:r>
        <w:rPr>
          <w:spacing w:val="-8"/>
          <w:sz w:val="20"/>
        </w:rPr>
        <w:t> </w:t>
      </w:r>
      <w:r>
        <w:rPr>
          <w:sz w:val="20"/>
        </w:rPr>
        <w:t>Victoria</w:t>
      </w:r>
      <w:r>
        <w:rPr>
          <w:spacing w:val="-8"/>
          <w:sz w:val="20"/>
        </w:rPr>
        <w:t> </w:t>
      </w:r>
      <w:r>
        <w:rPr>
          <w:sz w:val="20"/>
        </w:rPr>
        <w:t>in</w:t>
      </w:r>
      <w:r>
        <w:rPr>
          <w:spacing w:val="-9"/>
          <w:sz w:val="20"/>
        </w:rPr>
        <w:t> </w:t>
      </w:r>
      <w:r>
        <w:rPr>
          <w:spacing w:val="-4"/>
          <w:sz w:val="20"/>
        </w:rPr>
        <w:t>2020 </w:t>
      </w:r>
      <w:r>
        <w:rPr>
          <w:sz w:val="20"/>
        </w:rPr>
        <w:t>and</w:t>
      </w:r>
      <w:r>
        <w:rPr>
          <w:spacing w:val="-6"/>
          <w:sz w:val="20"/>
        </w:rPr>
        <w:t> </w:t>
      </w:r>
      <w:r>
        <w:rPr>
          <w:sz w:val="20"/>
        </w:rPr>
        <w:t>2021.</w:t>
      </w:r>
      <w:r>
        <w:rPr>
          <w:spacing w:val="-5"/>
          <w:sz w:val="20"/>
        </w:rPr>
        <w:t> </w:t>
      </w:r>
      <w:r>
        <w:rPr>
          <w:spacing w:val="-3"/>
          <w:sz w:val="20"/>
        </w:rPr>
        <w:t>Therefore,</w:t>
      </w:r>
      <w:r>
        <w:rPr>
          <w:spacing w:val="-6"/>
          <w:sz w:val="20"/>
        </w:rPr>
        <w:t> </w:t>
      </w:r>
      <w:r>
        <w:rPr>
          <w:spacing w:val="-3"/>
          <w:sz w:val="20"/>
        </w:rPr>
        <w:t>we</w:t>
      </w:r>
      <w:r>
        <w:rPr>
          <w:spacing w:val="-5"/>
          <w:sz w:val="20"/>
        </w:rPr>
        <w:t> </w:t>
      </w:r>
      <w:r>
        <w:rPr>
          <w:spacing w:val="-3"/>
          <w:sz w:val="20"/>
        </w:rPr>
        <w:t>refer</w:t>
      </w:r>
      <w:r>
        <w:rPr>
          <w:spacing w:val="-6"/>
          <w:sz w:val="20"/>
        </w:rPr>
        <w:t> </w:t>
      </w:r>
      <w:r>
        <w:rPr>
          <w:sz w:val="20"/>
        </w:rPr>
        <w:t>to</w:t>
      </w:r>
      <w:r>
        <w:rPr>
          <w:spacing w:val="-5"/>
          <w:sz w:val="20"/>
        </w:rPr>
        <w:t> </w:t>
      </w:r>
      <w:r>
        <w:rPr>
          <w:sz w:val="20"/>
        </w:rPr>
        <w:t>data</w:t>
      </w:r>
      <w:r>
        <w:rPr>
          <w:spacing w:val="-6"/>
          <w:sz w:val="20"/>
        </w:rPr>
        <w:t> </w:t>
      </w:r>
      <w:r>
        <w:rPr>
          <w:spacing w:val="-3"/>
          <w:sz w:val="20"/>
        </w:rPr>
        <w:t>from</w:t>
      </w:r>
      <w:r>
        <w:rPr>
          <w:spacing w:val="-5"/>
          <w:sz w:val="20"/>
        </w:rPr>
        <w:t> </w:t>
      </w:r>
      <w:r>
        <w:rPr>
          <w:spacing w:val="-3"/>
          <w:sz w:val="20"/>
        </w:rPr>
        <w:t>2018</w:t>
      </w:r>
      <w:r>
        <w:rPr>
          <w:spacing w:val="-6"/>
          <w:sz w:val="20"/>
        </w:rPr>
        <w:t> </w:t>
      </w:r>
      <w:r>
        <w:rPr>
          <w:sz w:val="20"/>
        </w:rPr>
        <w:t>and</w:t>
      </w:r>
      <w:r>
        <w:rPr>
          <w:spacing w:val="-5"/>
          <w:sz w:val="20"/>
        </w:rPr>
        <w:t> </w:t>
      </w:r>
      <w:r>
        <w:rPr>
          <w:spacing w:val="-3"/>
          <w:sz w:val="20"/>
        </w:rPr>
        <w:t>2019</w:t>
      </w:r>
      <w:r>
        <w:rPr>
          <w:spacing w:val="-5"/>
          <w:sz w:val="20"/>
        </w:rPr>
        <w:t> </w:t>
      </w:r>
      <w:r>
        <w:rPr>
          <w:sz w:val="20"/>
        </w:rPr>
        <w:t>for</w:t>
      </w:r>
      <w:r>
        <w:rPr>
          <w:spacing w:val="-6"/>
          <w:sz w:val="20"/>
        </w:rPr>
        <w:t> </w:t>
      </w:r>
      <w:r>
        <w:rPr>
          <w:sz w:val="20"/>
        </w:rPr>
        <w:t>a</w:t>
      </w:r>
      <w:r>
        <w:rPr>
          <w:spacing w:val="-5"/>
          <w:sz w:val="20"/>
        </w:rPr>
        <w:t> </w:t>
      </w:r>
      <w:r>
        <w:rPr>
          <w:sz w:val="20"/>
        </w:rPr>
        <w:t>more</w:t>
      </w:r>
      <w:r>
        <w:rPr>
          <w:spacing w:val="-6"/>
          <w:sz w:val="20"/>
        </w:rPr>
        <w:t> </w:t>
      </w:r>
      <w:r>
        <w:rPr>
          <w:sz w:val="20"/>
        </w:rPr>
        <w:t>typical</w:t>
      </w:r>
      <w:r>
        <w:rPr>
          <w:spacing w:val="-5"/>
          <w:sz w:val="20"/>
        </w:rPr>
        <w:t> </w:t>
      </w:r>
      <w:r>
        <w:rPr>
          <w:sz w:val="20"/>
        </w:rPr>
        <w:t>snapshot</w:t>
      </w:r>
      <w:r>
        <w:rPr>
          <w:spacing w:val="-6"/>
          <w:sz w:val="20"/>
        </w:rPr>
        <w:t> </w:t>
      </w:r>
      <w:r>
        <w:rPr>
          <w:sz w:val="20"/>
        </w:rPr>
        <w:t>of the jury system in</w:t>
      </w:r>
      <w:r>
        <w:rPr>
          <w:spacing w:val="-17"/>
          <w:sz w:val="20"/>
        </w:rPr>
        <w:t> </w:t>
      </w:r>
      <w:r>
        <w:rPr>
          <w:sz w:val="20"/>
        </w:rPr>
        <w:t>Victoria.</w:t>
      </w:r>
    </w:p>
    <w:p>
      <w:pPr>
        <w:pStyle w:val="BodyText"/>
        <w:spacing w:before="7"/>
        <w:rPr>
          <w:sz w:val="16"/>
        </w:rPr>
      </w:pPr>
    </w:p>
    <w:p>
      <w:pPr>
        <w:spacing w:before="0"/>
        <w:ind w:left="967" w:right="0" w:firstLine="0"/>
        <w:jc w:val="left"/>
        <w:rPr>
          <w:rFonts w:ascii="Raleway ExtraBold"/>
          <w:b/>
          <w:sz w:val="28"/>
        </w:rPr>
      </w:pPr>
      <w:r>
        <w:rPr>
          <w:rFonts w:ascii="Raleway ExtraBold"/>
          <w:b/>
          <w:color w:val="37617A"/>
          <w:sz w:val="28"/>
        </w:rPr>
        <w:t>Reform in coronavirus (COVID-19) times</w:t>
      </w:r>
    </w:p>
    <w:p>
      <w:pPr>
        <w:pStyle w:val="ListParagraph"/>
        <w:numPr>
          <w:ilvl w:val="1"/>
          <w:numId w:val="12"/>
        </w:numPr>
        <w:tabs>
          <w:tab w:pos="1761" w:val="left" w:leader="none"/>
          <w:tab w:pos="1762" w:val="left" w:leader="none"/>
        </w:tabs>
        <w:spacing w:line="206" w:lineRule="auto" w:before="146" w:after="0"/>
        <w:ind w:left="1761" w:right="1205" w:hanging="794"/>
        <w:jc w:val="left"/>
        <w:rPr>
          <w:sz w:val="20"/>
        </w:rPr>
      </w:pPr>
      <w:r>
        <w:rPr>
          <w:sz w:val="20"/>
        </w:rPr>
        <w:t>Jury trials </w:t>
      </w:r>
      <w:r>
        <w:rPr>
          <w:spacing w:val="-4"/>
          <w:sz w:val="20"/>
        </w:rPr>
        <w:t>were </w:t>
      </w:r>
      <w:r>
        <w:rPr>
          <w:sz w:val="20"/>
        </w:rPr>
        <w:t>suspended due to </w:t>
      </w:r>
      <w:r>
        <w:rPr>
          <w:spacing w:val="-3"/>
          <w:sz w:val="20"/>
        </w:rPr>
        <w:t>lockdowns from March </w:t>
      </w:r>
      <w:r>
        <w:rPr>
          <w:sz w:val="20"/>
        </w:rPr>
        <w:t>to </w:t>
      </w:r>
      <w:r>
        <w:rPr>
          <w:spacing w:val="-3"/>
          <w:sz w:val="20"/>
        </w:rPr>
        <w:t>November </w:t>
      </w:r>
      <w:r>
        <w:rPr>
          <w:spacing w:val="-4"/>
          <w:sz w:val="20"/>
        </w:rPr>
        <w:t>2020, </w:t>
      </w:r>
      <w:r>
        <w:rPr>
          <w:sz w:val="20"/>
        </w:rPr>
        <w:t>and on and off in 2021. When they recommenced, social distancing requirements meant that Juries</w:t>
      </w:r>
      <w:r>
        <w:rPr>
          <w:spacing w:val="-13"/>
          <w:sz w:val="20"/>
        </w:rPr>
        <w:t> </w:t>
      </w:r>
      <w:r>
        <w:rPr>
          <w:sz w:val="20"/>
        </w:rPr>
        <w:t>Victoria</w:t>
      </w:r>
      <w:r>
        <w:rPr>
          <w:spacing w:val="-12"/>
          <w:sz w:val="20"/>
        </w:rPr>
        <w:t> </w:t>
      </w:r>
      <w:r>
        <w:rPr>
          <w:sz w:val="20"/>
        </w:rPr>
        <w:t>had</w:t>
      </w:r>
      <w:r>
        <w:rPr>
          <w:spacing w:val="-13"/>
          <w:sz w:val="20"/>
        </w:rPr>
        <w:t> </w:t>
      </w:r>
      <w:r>
        <w:rPr>
          <w:sz w:val="20"/>
        </w:rPr>
        <w:t>to</w:t>
      </w:r>
      <w:r>
        <w:rPr>
          <w:spacing w:val="-12"/>
          <w:sz w:val="20"/>
        </w:rPr>
        <w:t> </w:t>
      </w:r>
      <w:r>
        <w:rPr>
          <w:sz w:val="20"/>
        </w:rPr>
        <w:t>adapt</w:t>
      </w:r>
      <w:r>
        <w:rPr>
          <w:spacing w:val="-12"/>
          <w:sz w:val="20"/>
        </w:rPr>
        <w:t> </w:t>
      </w:r>
      <w:r>
        <w:rPr>
          <w:sz w:val="20"/>
        </w:rPr>
        <w:t>its</w:t>
      </w:r>
      <w:r>
        <w:rPr>
          <w:spacing w:val="-13"/>
          <w:sz w:val="20"/>
        </w:rPr>
        <w:t> </w:t>
      </w:r>
      <w:r>
        <w:rPr>
          <w:sz w:val="20"/>
        </w:rPr>
        <w:t>processes</w:t>
      </w:r>
      <w:r>
        <w:rPr>
          <w:spacing w:val="-12"/>
          <w:sz w:val="20"/>
        </w:rPr>
        <w:t> </w:t>
      </w:r>
      <w:r>
        <w:rPr>
          <w:sz w:val="20"/>
        </w:rPr>
        <w:t>and</w:t>
      </w:r>
      <w:r>
        <w:rPr>
          <w:spacing w:val="-13"/>
          <w:sz w:val="20"/>
        </w:rPr>
        <w:t> </w:t>
      </w:r>
      <w:r>
        <w:rPr>
          <w:sz w:val="20"/>
        </w:rPr>
        <w:t>initially</w:t>
      </w:r>
      <w:r>
        <w:rPr>
          <w:spacing w:val="-12"/>
          <w:sz w:val="20"/>
        </w:rPr>
        <w:t> </w:t>
      </w:r>
      <w:r>
        <w:rPr>
          <w:sz w:val="20"/>
        </w:rPr>
        <w:t>manage</w:t>
      </w:r>
      <w:r>
        <w:rPr>
          <w:spacing w:val="-12"/>
          <w:sz w:val="20"/>
        </w:rPr>
        <w:t> </w:t>
      </w:r>
      <w:r>
        <w:rPr>
          <w:sz w:val="20"/>
        </w:rPr>
        <w:t>its</w:t>
      </w:r>
      <w:r>
        <w:rPr>
          <w:spacing w:val="-13"/>
          <w:sz w:val="20"/>
        </w:rPr>
        <w:t> </w:t>
      </w:r>
      <w:r>
        <w:rPr>
          <w:sz w:val="20"/>
        </w:rPr>
        <w:t>empanelment</w:t>
      </w:r>
      <w:r>
        <w:rPr>
          <w:spacing w:val="-12"/>
          <w:sz w:val="20"/>
        </w:rPr>
        <w:t> </w:t>
      </w:r>
      <w:r>
        <w:rPr>
          <w:spacing w:val="-3"/>
          <w:sz w:val="20"/>
        </w:rPr>
        <w:t>process </w:t>
      </w:r>
      <w:r>
        <w:rPr>
          <w:sz w:val="20"/>
        </w:rPr>
        <w:t>online. In Melbourne, the County Court jury selection process occurred via </w:t>
      </w:r>
      <w:r>
        <w:rPr>
          <w:spacing w:val="-3"/>
          <w:sz w:val="20"/>
        </w:rPr>
        <w:t>remote </w:t>
      </w:r>
      <w:r>
        <w:rPr>
          <w:sz w:val="20"/>
        </w:rPr>
        <w:t>feeds</w:t>
      </w:r>
      <w:r>
        <w:rPr>
          <w:spacing w:val="-7"/>
          <w:sz w:val="20"/>
        </w:rPr>
        <w:t> </w:t>
      </w:r>
      <w:r>
        <w:rPr>
          <w:spacing w:val="-3"/>
          <w:sz w:val="20"/>
        </w:rPr>
        <w:t>from</w:t>
      </w:r>
      <w:r>
        <w:rPr>
          <w:spacing w:val="-6"/>
          <w:sz w:val="20"/>
        </w:rPr>
        <w:t> </w:t>
      </w:r>
      <w:r>
        <w:rPr>
          <w:sz w:val="20"/>
        </w:rPr>
        <w:t>the</w:t>
      </w:r>
      <w:r>
        <w:rPr>
          <w:spacing w:val="-6"/>
          <w:sz w:val="20"/>
        </w:rPr>
        <w:t> </w:t>
      </w:r>
      <w:r>
        <w:rPr>
          <w:sz w:val="20"/>
        </w:rPr>
        <w:t>jury</w:t>
      </w:r>
      <w:r>
        <w:rPr>
          <w:spacing w:val="-6"/>
          <w:sz w:val="20"/>
        </w:rPr>
        <w:t> </w:t>
      </w:r>
      <w:r>
        <w:rPr>
          <w:sz w:val="20"/>
        </w:rPr>
        <w:t>pool</w:t>
      </w:r>
      <w:r>
        <w:rPr>
          <w:spacing w:val="-7"/>
          <w:sz w:val="20"/>
        </w:rPr>
        <w:t> </w:t>
      </w:r>
      <w:r>
        <w:rPr>
          <w:sz w:val="20"/>
        </w:rPr>
        <w:t>room</w:t>
      </w:r>
      <w:r>
        <w:rPr>
          <w:spacing w:val="-6"/>
          <w:sz w:val="20"/>
        </w:rPr>
        <w:t> </w:t>
      </w:r>
      <w:r>
        <w:rPr>
          <w:sz w:val="20"/>
        </w:rPr>
        <w:t>to</w:t>
      </w:r>
      <w:r>
        <w:rPr>
          <w:spacing w:val="-6"/>
          <w:sz w:val="20"/>
        </w:rPr>
        <w:t> </w:t>
      </w:r>
      <w:r>
        <w:rPr>
          <w:sz w:val="20"/>
        </w:rPr>
        <w:t>the</w:t>
      </w:r>
      <w:r>
        <w:rPr>
          <w:spacing w:val="-6"/>
          <w:sz w:val="20"/>
        </w:rPr>
        <w:t> </w:t>
      </w:r>
      <w:r>
        <w:rPr>
          <w:sz w:val="20"/>
        </w:rPr>
        <w:t>courtroom.</w:t>
      </w:r>
      <w:r>
        <w:rPr>
          <w:spacing w:val="-7"/>
          <w:sz w:val="20"/>
        </w:rPr>
        <w:t> </w:t>
      </w:r>
      <w:r>
        <w:rPr>
          <w:sz w:val="20"/>
        </w:rPr>
        <w:t>The</w:t>
      </w:r>
      <w:r>
        <w:rPr>
          <w:spacing w:val="-6"/>
          <w:sz w:val="20"/>
        </w:rPr>
        <w:t> </w:t>
      </w:r>
      <w:r>
        <w:rPr>
          <w:sz w:val="20"/>
        </w:rPr>
        <w:t>same</w:t>
      </w:r>
      <w:r>
        <w:rPr>
          <w:spacing w:val="-6"/>
          <w:sz w:val="20"/>
        </w:rPr>
        <w:t> </w:t>
      </w:r>
      <w:r>
        <w:rPr>
          <w:sz w:val="20"/>
        </w:rPr>
        <w:t>occurred</w:t>
      </w:r>
      <w:r>
        <w:rPr>
          <w:spacing w:val="-6"/>
          <w:sz w:val="20"/>
        </w:rPr>
        <w:t> </w:t>
      </w:r>
      <w:r>
        <w:rPr>
          <w:sz w:val="20"/>
        </w:rPr>
        <w:t>in</w:t>
      </w:r>
      <w:r>
        <w:rPr>
          <w:spacing w:val="-7"/>
          <w:sz w:val="20"/>
        </w:rPr>
        <w:t> </w:t>
      </w:r>
      <w:r>
        <w:rPr>
          <w:sz w:val="20"/>
        </w:rPr>
        <w:t>the</w:t>
      </w:r>
      <w:r>
        <w:rPr>
          <w:spacing w:val="-6"/>
          <w:sz w:val="20"/>
        </w:rPr>
        <w:t> </w:t>
      </w:r>
      <w:r>
        <w:rPr>
          <w:spacing w:val="-3"/>
          <w:sz w:val="20"/>
        </w:rPr>
        <w:t>seven</w:t>
      </w:r>
    </w:p>
    <w:p>
      <w:pPr>
        <w:pStyle w:val="BodyText"/>
        <w:spacing w:line="206" w:lineRule="auto" w:before="7"/>
        <w:ind w:left="1761" w:right="1335"/>
        <w:rPr>
          <w:sz w:val="11"/>
        </w:rPr>
      </w:pPr>
      <w:r>
        <w:rPr>
          <w:spacing w:val="-3"/>
        </w:rPr>
        <w:t>circuit</w:t>
      </w:r>
      <w:r>
        <w:rPr>
          <w:spacing w:val="-13"/>
        </w:rPr>
        <w:t> </w:t>
      </w:r>
      <w:r>
        <w:rPr/>
        <w:t>locations</w:t>
      </w:r>
      <w:r>
        <w:rPr>
          <w:spacing w:val="-13"/>
        </w:rPr>
        <w:t> </w:t>
      </w:r>
      <w:r>
        <w:rPr/>
        <w:t>where</w:t>
      </w:r>
      <w:r>
        <w:rPr>
          <w:spacing w:val="-13"/>
        </w:rPr>
        <w:t> </w:t>
      </w:r>
      <w:r>
        <w:rPr/>
        <w:t>courtrooms</w:t>
      </w:r>
      <w:r>
        <w:rPr>
          <w:spacing w:val="-13"/>
        </w:rPr>
        <w:t> </w:t>
      </w:r>
      <w:r>
        <w:rPr/>
        <w:t>had</w:t>
      </w:r>
      <w:r>
        <w:rPr>
          <w:spacing w:val="-12"/>
        </w:rPr>
        <w:t> </w:t>
      </w:r>
      <w:r>
        <w:rPr/>
        <w:t>been</w:t>
      </w:r>
      <w:r>
        <w:rPr>
          <w:spacing w:val="-13"/>
        </w:rPr>
        <w:t> </w:t>
      </w:r>
      <w:r>
        <w:rPr/>
        <w:t>reconfigured</w:t>
      </w:r>
      <w:r>
        <w:rPr>
          <w:spacing w:val="-13"/>
        </w:rPr>
        <w:t> </w:t>
      </w:r>
      <w:r>
        <w:rPr/>
        <w:t>to</w:t>
      </w:r>
      <w:r>
        <w:rPr>
          <w:spacing w:val="-13"/>
        </w:rPr>
        <w:t> </w:t>
      </w:r>
      <w:r>
        <w:rPr/>
        <w:t>meet</w:t>
      </w:r>
      <w:r>
        <w:rPr>
          <w:spacing w:val="-13"/>
        </w:rPr>
        <w:t> </w:t>
      </w:r>
      <w:r>
        <w:rPr/>
        <w:t>social</w:t>
      </w:r>
      <w:r>
        <w:rPr>
          <w:spacing w:val="-12"/>
        </w:rPr>
        <w:t> </w:t>
      </w:r>
      <w:r>
        <w:rPr/>
        <w:t>distancing requirements.</w:t>
      </w:r>
      <w:r>
        <w:rPr>
          <w:spacing w:val="-9"/>
        </w:rPr>
        <w:t> </w:t>
      </w:r>
      <w:r>
        <w:rPr/>
        <w:t>This</w:t>
      </w:r>
      <w:r>
        <w:rPr>
          <w:spacing w:val="-9"/>
        </w:rPr>
        <w:t> </w:t>
      </w:r>
      <w:r>
        <w:rPr>
          <w:spacing w:val="-3"/>
        </w:rPr>
        <w:t>resulted</w:t>
      </w:r>
      <w:r>
        <w:rPr>
          <w:spacing w:val="-8"/>
        </w:rPr>
        <w:t> </w:t>
      </w:r>
      <w:r>
        <w:rPr/>
        <w:t>in</w:t>
      </w:r>
      <w:r>
        <w:rPr>
          <w:spacing w:val="-9"/>
        </w:rPr>
        <w:t> </w:t>
      </w:r>
      <w:r>
        <w:rPr/>
        <w:t>some</w:t>
      </w:r>
      <w:r>
        <w:rPr>
          <w:spacing w:val="-8"/>
        </w:rPr>
        <w:t> </w:t>
      </w:r>
      <w:r>
        <w:rPr/>
        <w:t>larger</w:t>
      </w:r>
      <w:r>
        <w:rPr>
          <w:spacing w:val="-9"/>
        </w:rPr>
        <w:t> </w:t>
      </w:r>
      <w:r>
        <w:rPr/>
        <w:t>jury</w:t>
      </w:r>
      <w:r>
        <w:rPr>
          <w:spacing w:val="-8"/>
        </w:rPr>
        <w:t> </w:t>
      </w:r>
      <w:r>
        <w:rPr>
          <w:spacing w:val="-3"/>
        </w:rPr>
        <w:t>boxes</w:t>
      </w:r>
      <w:r>
        <w:rPr>
          <w:spacing w:val="-9"/>
        </w:rPr>
        <w:t> </w:t>
      </w:r>
      <w:r>
        <w:rPr/>
        <w:t>being</w:t>
      </w:r>
      <w:r>
        <w:rPr>
          <w:spacing w:val="-9"/>
        </w:rPr>
        <w:t> </w:t>
      </w:r>
      <w:r>
        <w:rPr/>
        <w:t>built</w:t>
      </w:r>
      <w:r>
        <w:rPr>
          <w:spacing w:val="-8"/>
        </w:rPr>
        <w:t> </w:t>
      </w:r>
      <w:r>
        <w:rPr/>
        <w:t>and</w:t>
      </w:r>
      <w:r>
        <w:rPr>
          <w:spacing w:val="-9"/>
        </w:rPr>
        <w:t> </w:t>
      </w:r>
      <w:r>
        <w:rPr/>
        <w:t>because</w:t>
      </w:r>
      <w:r>
        <w:rPr>
          <w:spacing w:val="-8"/>
        </w:rPr>
        <w:t> </w:t>
      </w:r>
      <w:r>
        <w:rPr>
          <w:spacing w:val="-3"/>
        </w:rPr>
        <w:t>many </w:t>
      </w:r>
      <w:r>
        <w:rPr/>
        <w:t>existing deliberation rooms could not be reconfigured to meet social distancing requirements,</w:t>
      </w:r>
      <w:r>
        <w:rPr>
          <w:spacing w:val="-12"/>
        </w:rPr>
        <w:t> </w:t>
      </w:r>
      <w:r>
        <w:rPr/>
        <w:t>a</w:t>
      </w:r>
      <w:r>
        <w:rPr>
          <w:spacing w:val="-12"/>
        </w:rPr>
        <w:t> </w:t>
      </w:r>
      <w:r>
        <w:rPr/>
        <w:t>second</w:t>
      </w:r>
      <w:r>
        <w:rPr>
          <w:spacing w:val="-12"/>
        </w:rPr>
        <w:t> </w:t>
      </w:r>
      <w:r>
        <w:rPr/>
        <w:t>courtroom</w:t>
      </w:r>
      <w:r>
        <w:rPr>
          <w:spacing w:val="-11"/>
        </w:rPr>
        <w:t> </w:t>
      </w:r>
      <w:r>
        <w:rPr/>
        <w:t>was</w:t>
      </w:r>
      <w:r>
        <w:rPr>
          <w:spacing w:val="-12"/>
        </w:rPr>
        <w:t> </w:t>
      </w:r>
      <w:r>
        <w:rPr/>
        <w:t>used</w:t>
      </w:r>
      <w:r>
        <w:rPr>
          <w:spacing w:val="-12"/>
        </w:rPr>
        <w:t> </w:t>
      </w:r>
      <w:r>
        <w:rPr/>
        <w:t>as</w:t>
      </w:r>
      <w:r>
        <w:rPr>
          <w:spacing w:val="-12"/>
        </w:rPr>
        <w:t> </w:t>
      </w:r>
      <w:r>
        <w:rPr/>
        <w:t>a</w:t>
      </w:r>
      <w:r>
        <w:rPr>
          <w:spacing w:val="-11"/>
        </w:rPr>
        <w:t> </w:t>
      </w:r>
      <w:r>
        <w:rPr/>
        <w:t>deliberation</w:t>
      </w:r>
      <w:r>
        <w:rPr>
          <w:spacing w:val="-12"/>
        </w:rPr>
        <w:t> </w:t>
      </w:r>
      <w:r>
        <w:rPr/>
        <w:t>room.</w:t>
      </w:r>
      <w:r>
        <w:rPr>
          <w:spacing w:val="-12"/>
        </w:rPr>
        <w:t> </w:t>
      </w:r>
      <w:r>
        <w:rPr/>
        <w:t>This</w:t>
      </w:r>
      <w:r>
        <w:rPr>
          <w:spacing w:val="-11"/>
        </w:rPr>
        <w:t> </w:t>
      </w:r>
      <w:r>
        <w:rPr/>
        <w:t>meant</w:t>
      </w:r>
      <w:r>
        <w:rPr>
          <w:spacing w:val="-12"/>
        </w:rPr>
        <w:t> </w:t>
      </w:r>
      <w:r>
        <w:rPr/>
        <w:t>that often one trial </w:t>
      </w:r>
      <w:r>
        <w:rPr>
          <w:spacing w:val="-3"/>
        </w:rPr>
        <w:t>required </w:t>
      </w:r>
      <w:r>
        <w:rPr/>
        <w:t>two</w:t>
      </w:r>
      <w:r>
        <w:rPr>
          <w:spacing w:val="-19"/>
        </w:rPr>
        <w:t> </w:t>
      </w:r>
      <w:r>
        <w:rPr/>
        <w:t>courtrooms.</w:t>
      </w:r>
      <w:r>
        <w:rPr>
          <w:position w:val="7"/>
          <w:sz w:val="11"/>
        </w:rPr>
        <w:t>19</w:t>
      </w:r>
    </w:p>
    <w:p>
      <w:pPr>
        <w:pStyle w:val="ListParagraph"/>
        <w:numPr>
          <w:ilvl w:val="1"/>
          <w:numId w:val="12"/>
        </w:numPr>
        <w:tabs>
          <w:tab w:pos="1761" w:val="left" w:leader="none"/>
          <w:tab w:pos="1762" w:val="left" w:leader="none"/>
        </w:tabs>
        <w:spacing w:line="206" w:lineRule="auto" w:before="126" w:after="0"/>
        <w:ind w:left="1761" w:right="1276" w:hanging="794"/>
        <w:jc w:val="left"/>
        <w:rPr>
          <w:sz w:val="20"/>
        </w:rPr>
      </w:pPr>
      <w:r>
        <w:rPr>
          <w:sz w:val="20"/>
        </w:rPr>
        <w:t>In the urgent response to the pandemic, the courts and Juries Victoria </w:t>
      </w:r>
      <w:r>
        <w:rPr>
          <w:spacing w:val="-4"/>
          <w:sz w:val="20"/>
        </w:rPr>
        <w:t>have </w:t>
      </w:r>
      <w:r>
        <w:rPr>
          <w:sz w:val="20"/>
        </w:rPr>
        <w:t>demonstrated</w:t>
      </w:r>
      <w:r>
        <w:rPr>
          <w:spacing w:val="-9"/>
          <w:sz w:val="20"/>
        </w:rPr>
        <w:t> </w:t>
      </w:r>
      <w:r>
        <w:rPr>
          <w:sz w:val="20"/>
        </w:rPr>
        <w:t>that</w:t>
      </w:r>
      <w:r>
        <w:rPr>
          <w:spacing w:val="-8"/>
          <w:sz w:val="20"/>
        </w:rPr>
        <w:t> </w:t>
      </w:r>
      <w:r>
        <w:rPr>
          <w:sz w:val="20"/>
        </w:rPr>
        <w:t>they</w:t>
      </w:r>
      <w:r>
        <w:rPr>
          <w:spacing w:val="-8"/>
          <w:sz w:val="20"/>
        </w:rPr>
        <w:t> </w:t>
      </w:r>
      <w:r>
        <w:rPr>
          <w:sz w:val="20"/>
        </w:rPr>
        <w:t>can</w:t>
      </w:r>
      <w:r>
        <w:rPr>
          <w:spacing w:val="-8"/>
          <w:sz w:val="20"/>
        </w:rPr>
        <w:t> </w:t>
      </w:r>
      <w:r>
        <w:rPr>
          <w:sz w:val="20"/>
        </w:rPr>
        <w:t>adapt</w:t>
      </w:r>
      <w:r>
        <w:rPr>
          <w:spacing w:val="-8"/>
          <w:sz w:val="20"/>
        </w:rPr>
        <w:t> </w:t>
      </w:r>
      <w:r>
        <w:rPr>
          <w:spacing w:val="-3"/>
          <w:sz w:val="20"/>
        </w:rPr>
        <w:t>quickly.</w:t>
      </w:r>
      <w:r>
        <w:rPr>
          <w:spacing w:val="-3"/>
          <w:position w:val="7"/>
          <w:sz w:val="11"/>
        </w:rPr>
        <w:t>20</w:t>
      </w:r>
      <w:r>
        <w:rPr>
          <w:spacing w:val="17"/>
          <w:position w:val="7"/>
          <w:sz w:val="11"/>
        </w:rPr>
        <w:t> </w:t>
      </w:r>
      <w:r>
        <w:rPr>
          <w:spacing w:val="-3"/>
          <w:sz w:val="20"/>
        </w:rPr>
        <w:t>Many</w:t>
      </w:r>
      <w:r>
        <w:rPr>
          <w:spacing w:val="-8"/>
          <w:sz w:val="20"/>
        </w:rPr>
        <w:t> </w:t>
      </w:r>
      <w:r>
        <w:rPr>
          <w:sz w:val="20"/>
        </w:rPr>
        <w:t>of</w:t>
      </w:r>
      <w:r>
        <w:rPr>
          <w:spacing w:val="-8"/>
          <w:sz w:val="20"/>
        </w:rPr>
        <w:t> </w:t>
      </w:r>
      <w:r>
        <w:rPr>
          <w:sz w:val="20"/>
        </w:rPr>
        <w:t>the</w:t>
      </w:r>
      <w:r>
        <w:rPr>
          <w:spacing w:val="-8"/>
          <w:sz w:val="20"/>
        </w:rPr>
        <w:t> </w:t>
      </w:r>
      <w:r>
        <w:rPr>
          <w:sz w:val="20"/>
        </w:rPr>
        <w:t>tools</w:t>
      </w:r>
      <w:r>
        <w:rPr>
          <w:spacing w:val="-8"/>
          <w:sz w:val="20"/>
        </w:rPr>
        <w:t> </w:t>
      </w:r>
      <w:r>
        <w:rPr>
          <w:sz w:val="20"/>
        </w:rPr>
        <w:t>that</w:t>
      </w:r>
      <w:r>
        <w:rPr>
          <w:spacing w:val="-8"/>
          <w:sz w:val="20"/>
        </w:rPr>
        <w:t> </w:t>
      </w:r>
      <w:r>
        <w:rPr>
          <w:sz w:val="20"/>
        </w:rPr>
        <w:t>the</w:t>
      </w:r>
      <w:r>
        <w:rPr>
          <w:spacing w:val="-9"/>
          <w:sz w:val="20"/>
        </w:rPr>
        <w:t> </w:t>
      </w:r>
      <w:r>
        <w:rPr>
          <w:sz w:val="20"/>
        </w:rPr>
        <w:t>courts</w:t>
      </w:r>
      <w:r>
        <w:rPr>
          <w:spacing w:val="-8"/>
          <w:sz w:val="20"/>
        </w:rPr>
        <w:t> </w:t>
      </w:r>
      <w:r>
        <w:rPr>
          <w:sz w:val="20"/>
        </w:rPr>
        <w:t>and</w:t>
      </w:r>
      <w:r>
        <w:rPr>
          <w:spacing w:val="-8"/>
          <w:sz w:val="20"/>
        </w:rPr>
        <w:t> </w:t>
      </w:r>
      <w:r>
        <w:rPr>
          <w:sz w:val="20"/>
        </w:rPr>
        <w:t>legal profession </w:t>
      </w:r>
      <w:r>
        <w:rPr>
          <w:spacing w:val="-4"/>
          <w:sz w:val="20"/>
        </w:rPr>
        <w:t>have </w:t>
      </w:r>
      <w:r>
        <w:rPr>
          <w:sz w:val="20"/>
        </w:rPr>
        <w:t>adopted to respond to the challenges of the pandemic </w:t>
      </w:r>
      <w:r>
        <w:rPr>
          <w:spacing w:val="-4"/>
          <w:sz w:val="20"/>
        </w:rPr>
        <w:t>have </w:t>
      </w:r>
      <w:r>
        <w:rPr>
          <w:sz w:val="20"/>
        </w:rPr>
        <w:t>been used </w:t>
      </w:r>
      <w:r>
        <w:rPr>
          <w:spacing w:val="-3"/>
          <w:sz w:val="20"/>
        </w:rPr>
        <w:t>by </w:t>
      </w:r>
      <w:r>
        <w:rPr>
          <w:sz w:val="20"/>
        </w:rPr>
        <w:t>people in the subject groups for some time. The </w:t>
      </w:r>
      <w:r>
        <w:rPr>
          <w:spacing w:val="-3"/>
          <w:sz w:val="20"/>
        </w:rPr>
        <w:t>reforms </w:t>
      </w:r>
      <w:r>
        <w:rPr>
          <w:sz w:val="20"/>
        </w:rPr>
        <w:t>proposed </w:t>
      </w:r>
      <w:r>
        <w:rPr>
          <w:spacing w:val="-3"/>
          <w:sz w:val="20"/>
        </w:rPr>
        <w:t>by </w:t>
      </w:r>
      <w:r>
        <w:rPr>
          <w:sz w:val="20"/>
        </w:rPr>
        <w:t>this report </w:t>
      </w:r>
      <w:r>
        <w:rPr>
          <w:spacing w:val="-3"/>
          <w:sz w:val="20"/>
        </w:rPr>
        <w:t>are therefore</w:t>
      </w:r>
      <w:r>
        <w:rPr>
          <w:spacing w:val="-9"/>
          <w:sz w:val="20"/>
        </w:rPr>
        <w:t> </w:t>
      </w:r>
      <w:r>
        <w:rPr>
          <w:spacing w:val="-4"/>
          <w:sz w:val="20"/>
        </w:rPr>
        <w:t>timely.</w:t>
      </w:r>
    </w:p>
    <w:p>
      <w:pPr>
        <w:pStyle w:val="ListParagraph"/>
        <w:numPr>
          <w:ilvl w:val="1"/>
          <w:numId w:val="12"/>
        </w:numPr>
        <w:tabs>
          <w:tab w:pos="1761" w:val="left" w:leader="none"/>
          <w:tab w:pos="1762" w:val="left" w:leader="none"/>
        </w:tabs>
        <w:spacing w:line="206" w:lineRule="auto" w:before="126" w:after="0"/>
        <w:ind w:left="1761" w:right="1248" w:hanging="794"/>
        <w:jc w:val="left"/>
        <w:rPr>
          <w:sz w:val="20"/>
        </w:rPr>
      </w:pPr>
      <w:r>
        <w:rPr>
          <w:spacing w:val="-6"/>
          <w:sz w:val="20"/>
        </w:rPr>
        <w:t>We </w:t>
      </w:r>
      <w:r>
        <w:rPr>
          <w:spacing w:val="-3"/>
          <w:sz w:val="20"/>
        </w:rPr>
        <w:t>are </w:t>
      </w:r>
      <w:r>
        <w:rPr>
          <w:spacing w:val="-4"/>
          <w:sz w:val="20"/>
        </w:rPr>
        <w:t>aware </w:t>
      </w:r>
      <w:r>
        <w:rPr>
          <w:sz w:val="20"/>
        </w:rPr>
        <w:t>that a large backlog in jury trials </w:t>
      </w:r>
      <w:r>
        <w:rPr>
          <w:spacing w:val="-3"/>
          <w:sz w:val="20"/>
        </w:rPr>
        <w:t>created by </w:t>
      </w:r>
      <w:r>
        <w:rPr>
          <w:sz w:val="20"/>
        </w:rPr>
        <w:t>the pandemic and competing funding priorities will </w:t>
      </w:r>
      <w:r>
        <w:rPr>
          <w:spacing w:val="-3"/>
          <w:sz w:val="20"/>
        </w:rPr>
        <w:t>create </w:t>
      </w:r>
      <w:r>
        <w:rPr>
          <w:sz w:val="20"/>
        </w:rPr>
        <w:t>challenges post-pandemic. </w:t>
      </w:r>
      <w:r>
        <w:rPr>
          <w:spacing w:val="-5"/>
          <w:sz w:val="20"/>
        </w:rPr>
        <w:t>However, </w:t>
      </w:r>
      <w:r>
        <w:rPr>
          <w:sz w:val="20"/>
        </w:rPr>
        <w:t>this should not </w:t>
      </w:r>
      <w:r>
        <w:rPr>
          <w:spacing w:val="-3"/>
          <w:sz w:val="20"/>
        </w:rPr>
        <w:t>slow </w:t>
      </w:r>
      <w:r>
        <w:rPr>
          <w:sz w:val="20"/>
        </w:rPr>
        <w:t>the implementation of our recommendations. Because </w:t>
      </w:r>
      <w:r>
        <w:rPr>
          <w:spacing w:val="-3"/>
          <w:sz w:val="20"/>
        </w:rPr>
        <w:t>only </w:t>
      </w:r>
      <w:r>
        <w:rPr>
          <w:sz w:val="20"/>
        </w:rPr>
        <w:t>a small number of trials </w:t>
      </w:r>
      <w:r>
        <w:rPr>
          <w:spacing w:val="-3"/>
          <w:sz w:val="20"/>
        </w:rPr>
        <w:t>are likely </w:t>
      </w:r>
      <w:r>
        <w:rPr>
          <w:sz w:val="20"/>
        </w:rPr>
        <w:t>to be impacted, </w:t>
      </w:r>
      <w:r>
        <w:rPr>
          <w:spacing w:val="-3"/>
          <w:sz w:val="20"/>
        </w:rPr>
        <w:t>we are </w:t>
      </w:r>
      <w:r>
        <w:rPr>
          <w:sz w:val="20"/>
        </w:rPr>
        <w:t>confident that </w:t>
      </w:r>
      <w:r>
        <w:rPr>
          <w:spacing w:val="-3"/>
          <w:sz w:val="20"/>
        </w:rPr>
        <w:t>reforms </w:t>
      </w:r>
      <w:r>
        <w:rPr>
          <w:sz w:val="20"/>
        </w:rPr>
        <w:t>can be implemented</w:t>
      </w:r>
      <w:r>
        <w:rPr>
          <w:spacing w:val="-11"/>
          <w:sz w:val="20"/>
        </w:rPr>
        <w:t> </w:t>
      </w:r>
      <w:r>
        <w:rPr>
          <w:spacing w:val="-3"/>
          <w:sz w:val="20"/>
        </w:rPr>
        <w:t>reasonably</w:t>
      </w:r>
      <w:r>
        <w:rPr>
          <w:spacing w:val="-11"/>
          <w:sz w:val="20"/>
        </w:rPr>
        <w:t> </w:t>
      </w:r>
      <w:r>
        <w:rPr>
          <w:spacing w:val="-4"/>
          <w:sz w:val="20"/>
        </w:rPr>
        <w:t>easily,</w:t>
      </w:r>
      <w:r>
        <w:rPr>
          <w:spacing w:val="-11"/>
          <w:sz w:val="20"/>
        </w:rPr>
        <w:t> </w:t>
      </w:r>
      <w:r>
        <w:rPr>
          <w:sz w:val="20"/>
        </w:rPr>
        <w:t>without</w:t>
      </w:r>
      <w:r>
        <w:rPr>
          <w:spacing w:val="-10"/>
          <w:sz w:val="20"/>
        </w:rPr>
        <w:t> </w:t>
      </w:r>
      <w:r>
        <w:rPr>
          <w:sz w:val="20"/>
        </w:rPr>
        <w:t>placing</w:t>
      </w:r>
      <w:r>
        <w:rPr>
          <w:spacing w:val="-11"/>
          <w:sz w:val="20"/>
        </w:rPr>
        <w:t> </w:t>
      </w:r>
      <w:r>
        <w:rPr>
          <w:sz w:val="20"/>
        </w:rPr>
        <w:t>a</w:t>
      </w:r>
      <w:r>
        <w:rPr>
          <w:spacing w:val="-11"/>
          <w:sz w:val="20"/>
        </w:rPr>
        <w:t> </w:t>
      </w:r>
      <w:r>
        <w:rPr>
          <w:sz w:val="20"/>
        </w:rPr>
        <w:t>large</w:t>
      </w:r>
      <w:r>
        <w:rPr>
          <w:spacing w:val="-11"/>
          <w:sz w:val="20"/>
        </w:rPr>
        <w:t> </w:t>
      </w:r>
      <w:r>
        <w:rPr>
          <w:sz w:val="20"/>
        </w:rPr>
        <w:t>burden</w:t>
      </w:r>
      <w:r>
        <w:rPr>
          <w:spacing w:val="-10"/>
          <w:sz w:val="20"/>
        </w:rPr>
        <w:t> </w:t>
      </w:r>
      <w:r>
        <w:rPr>
          <w:sz w:val="20"/>
        </w:rPr>
        <w:t>on</w:t>
      </w:r>
      <w:r>
        <w:rPr>
          <w:spacing w:val="-11"/>
          <w:sz w:val="20"/>
        </w:rPr>
        <w:t> </w:t>
      </w:r>
      <w:r>
        <w:rPr>
          <w:sz w:val="20"/>
        </w:rPr>
        <w:t>Juries</w:t>
      </w:r>
      <w:r>
        <w:rPr>
          <w:spacing w:val="-11"/>
          <w:sz w:val="20"/>
        </w:rPr>
        <w:t> </w:t>
      </w:r>
      <w:r>
        <w:rPr>
          <w:sz w:val="20"/>
        </w:rPr>
        <w:t>Victoria</w:t>
      </w:r>
      <w:r>
        <w:rPr>
          <w:spacing w:val="-10"/>
          <w:sz w:val="20"/>
        </w:rPr>
        <w:t> </w:t>
      </w:r>
      <w:r>
        <w:rPr>
          <w:sz w:val="20"/>
        </w:rPr>
        <w:t>or</w:t>
      </w:r>
      <w:r>
        <w:rPr>
          <w:spacing w:val="-11"/>
          <w:sz w:val="20"/>
        </w:rPr>
        <w:t> </w:t>
      </w:r>
      <w:r>
        <w:rPr>
          <w:sz w:val="20"/>
        </w:rPr>
        <w:t>the courts.</w:t>
      </w:r>
    </w:p>
    <w:p>
      <w:pPr>
        <w:pStyle w:val="BodyText"/>
      </w:pPr>
    </w:p>
    <w:p>
      <w:pPr>
        <w:pStyle w:val="BodyText"/>
      </w:pPr>
    </w:p>
    <w:p>
      <w:pPr>
        <w:pStyle w:val="BodyText"/>
      </w:pPr>
    </w:p>
    <w:p>
      <w:pPr>
        <w:pStyle w:val="BodyText"/>
      </w:pPr>
    </w:p>
    <w:p>
      <w:pPr>
        <w:pStyle w:val="BodyText"/>
        <w:spacing w:before="5"/>
        <w:rPr>
          <w:sz w:val="19"/>
        </w:rPr>
      </w:pPr>
      <w:r>
        <w:rPr/>
        <w:pict>
          <v:line style="position:absolute;mso-position-horizontal-relative:page;mso-position-vertical-relative:paragraph;z-index:104;mso-wrap-distance-left:0;mso-wrap-distance-right:0" from="79.370102pt,15.8999pt" to="515.905102pt,15.8999pt" stroked="true" strokeweight="1pt" strokecolor="#b6bdc8">
            <v:stroke dashstyle="solid"/>
            <w10:wrap type="topAndBottom"/>
          </v:line>
        </w:pict>
      </w:r>
    </w:p>
    <w:p>
      <w:pPr>
        <w:pStyle w:val="ListParagraph"/>
        <w:numPr>
          <w:ilvl w:val="0"/>
          <w:numId w:val="14"/>
        </w:numPr>
        <w:tabs>
          <w:tab w:pos="1761" w:val="left" w:leader="none"/>
          <w:tab w:pos="1762" w:val="left" w:leader="none"/>
        </w:tabs>
        <w:spacing w:line="170" w:lineRule="exact" w:before="91" w:after="0"/>
        <w:ind w:left="1761" w:right="0" w:hanging="794"/>
        <w:jc w:val="left"/>
        <w:rPr>
          <w:sz w:val="13"/>
        </w:rPr>
      </w:pPr>
      <w:r>
        <w:rPr>
          <w:i/>
          <w:sz w:val="13"/>
        </w:rPr>
        <w:t>Juries Act 1967 </w:t>
      </w:r>
      <w:r>
        <w:rPr>
          <w:sz w:val="13"/>
        </w:rPr>
        <w:t>(ACT) s 16.</w:t>
      </w:r>
    </w:p>
    <w:p>
      <w:pPr>
        <w:pStyle w:val="ListParagraph"/>
        <w:numPr>
          <w:ilvl w:val="0"/>
          <w:numId w:val="14"/>
        </w:numPr>
        <w:tabs>
          <w:tab w:pos="1760" w:val="left" w:leader="none"/>
          <w:tab w:pos="1762" w:val="left" w:leader="none"/>
        </w:tabs>
        <w:spacing w:line="160" w:lineRule="exact" w:before="0" w:after="0"/>
        <w:ind w:left="1761" w:right="0" w:hanging="794"/>
        <w:jc w:val="left"/>
        <w:rPr>
          <w:sz w:val="13"/>
        </w:rPr>
      </w:pPr>
      <w:r>
        <w:rPr>
          <w:sz w:val="13"/>
        </w:rPr>
        <w:t>Information provided by Juries Victoria to Victorian Law Reform </w:t>
      </w:r>
      <w:r>
        <w:rPr>
          <w:spacing w:val="2"/>
          <w:sz w:val="13"/>
        </w:rPr>
        <w:t>Commission, </w:t>
      </w:r>
      <w:r>
        <w:rPr>
          <w:sz w:val="13"/>
        </w:rPr>
        <w:t>20 September</w:t>
      </w:r>
      <w:r>
        <w:rPr>
          <w:spacing w:val="11"/>
          <w:sz w:val="13"/>
        </w:rPr>
        <w:t> </w:t>
      </w:r>
      <w:r>
        <w:rPr>
          <w:sz w:val="13"/>
        </w:rPr>
        <w:t>2021.</w:t>
      </w:r>
    </w:p>
    <w:p>
      <w:pPr>
        <w:pStyle w:val="ListParagraph"/>
        <w:numPr>
          <w:ilvl w:val="0"/>
          <w:numId w:val="14"/>
        </w:numPr>
        <w:tabs>
          <w:tab w:pos="1760" w:val="left" w:leader="none"/>
          <w:tab w:pos="1762" w:val="left" w:leader="none"/>
        </w:tabs>
        <w:spacing w:line="213" w:lineRule="auto" w:before="6" w:after="0"/>
        <w:ind w:left="1761" w:right="1568" w:hanging="794"/>
        <w:jc w:val="left"/>
        <w:rPr>
          <w:sz w:val="13"/>
        </w:rPr>
      </w:pPr>
      <w:r>
        <w:rPr>
          <w:sz w:val="13"/>
        </w:rPr>
        <w:t>See, eg, ‘COVID-19 and the Court’, </w:t>
      </w:r>
      <w:r>
        <w:rPr>
          <w:i/>
          <w:sz w:val="13"/>
        </w:rPr>
        <w:t>Supreme Court of Victoria </w:t>
      </w:r>
      <w:r>
        <w:rPr>
          <w:sz w:val="13"/>
        </w:rPr>
        <w:t>(Web Page, 3 March 2022) &lt;</w:t>
      </w:r>
      <w:hyperlink r:id="rId33">
        <w:r>
          <w:rPr>
            <w:sz w:val="13"/>
          </w:rPr>
          <w:t>http://www.supremecourt.vic.gov.</w:t>
        </w:r>
      </w:hyperlink>
      <w:hyperlink r:id="rId33">
        <w:r>
          <w:rPr>
            <w:sz w:val="13"/>
          </w:rPr>
          <w:t> au/news/covid-19</w:t>
        </w:r>
      </w:hyperlink>
      <w:r>
        <w:rPr>
          <w:sz w:val="13"/>
        </w:rPr>
        <w:t>&gt;;</w:t>
      </w:r>
      <w:r>
        <w:rPr>
          <w:spacing w:val="9"/>
          <w:sz w:val="13"/>
        </w:rPr>
        <w:t> </w:t>
      </w:r>
      <w:r>
        <w:rPr>
          <w:sz w:val="13"/>
        </w:rPr>
        <w:t>‘Coronavirus</w:t>
      </w:r>
      <w:r>
        <w:rPr>
          <w:spacing w:val="9"/>
          <w:sz w:val="13"/>
        </w:rPr>
        <w:t> </w:t>
      </w:r>
      <w:r>
        <w:rPr>
          <w:sz w:val="13"/>
        </w:rPr>
        <w:t>(COVID-19)</w:t>
      </w:r>
      <w:r>
        <w:rPr>
          <w:spacing w:val="9"/>
          <w:sz w:val="13"/>
        </w:rPr>
        <w:t> </w:t>
      </w:r>
      <w:r>
        <w:rPr>
          <w:sz w:val="13"/>
        </w:rPr>
        <w:t>Divisional</w:t>
      </w:r>
      <w:r>
        <w:rPr>
          <w:spacing w:val="9"/>
          <w:sz w:val="13"/>
        </w:rPr>
        <w:t> </w:t>
      </w:r>
      <w:r>
        <w:rPr>
          <w:sz w:val="13"/>
        </w:rPr>
        <w:t>Responses’,</w:t>
      </w:r>
      <w:r>
        <w:rPr>
          <w:spacing w:val="9"/>
          <w:sz w:val="13"/>
        </w:rPr>
        <w:t> </w:t>
      </w:r>
      <w:r>
        <w:rPr>
          <w:i/>
          <w:sz w:val="13"/>
        </w:rPr>
        <w:t>County</w:t>
      </w:r>
      <w:r>
        <w:rPr>
          <w:i/>
          <w:spacing w:val="9"/>
          <w:sz w:val="13"/>
        </w:rPr>
        <w:t> </w:t>
      </w:r>
      <w:r>
        <w:rPr>
          <w:i/>
          <w:sz w:val="13"/>
        </w:rPr>
        <w:t>Court</w:t>
      </w:r>
      <w:r>
        <w:rPr>
          <w:i/>
          <w:spacing w:val="9"/>
          <w:sz w:val="13"/>
        </w:rPr>
        <w:t> </w:t>
      </w:r>
      <w:r>
        <w:rPr>
          <w:i/>
          <w:sz w:val="13"/>
        </w:rPr>
        <w:t>of</w:t>
      </w:r>
      <w:r>
        <w:rPr>
          <w:i/>
          <w:spacing w:val="8"/>
          <w:sz w:val="13"/>
        </w:rPr>
        <w:t> </w:t>
      </w:r>
      <w:r>
        <w:rPr>
          <w:i/>
          <w:sz w:val="13"/>
        </w:rPr>
        <w:t>Victoria</w:t>
      </w:r>
      <w:r>
        <w:rPr>
          <w:i/>
          <w:spacing w:val="8"/>
          <w:sz w:val="13"/>
        </w:rPr>
        <w:t> </w:t>
      </w:r>
      <w:r>
        <w:rPr>
          <w:sz w:val="13"/>
        </w:rPr>
        <w:t>(Web</w:t>
      </w:r>
      <w:r>
        <w:rPr>
          <w:spacing w:val="10"/>
          <w:sz w:val="13"/>
        </w:rPr>
        <w:t> </w:t>
      </w:r>
      <w:r>
        <w:rPr>
          <w:sz w:val="13"/>
        </w:rPr>
        <w:t>Page,</w:t>
      </w:r>
      <w:r>
        <w:rPr>
          <w:spacing w:val="9"/>
          <w:sz w:val="13"/>
        </w:rPr>
        <w:t> </w:t>
      </w:r>
      <w:r>
        <w:rPr>
          <w:sz w:val="13"/>
        </w:rPr>
        <w:t>24</w:t>
      </w:r>
      <w:r>
        <w:rPr>
          <w:spacing w:val="9"/>
          <w:sz w:val="13"/>
        </w:rPr>
        <w:t> </w:t>
      </w:r>
      <w:r>
        <w:rPr>
          <w:sz w:val="13"/>
        </w:rPr>
        <w:t>November</w:t>
      </w:r>
      <w:r>
        <w:rPr>
          <w:spacing w:val="9"/>
          <w:sz w:val="13"/>
        </w:rPr>
        <w:t> </w:t>
      </w:r>
      <w:r>
        <w:rPr>
          <w:sz w:val="13"/>
        </w:rPr>
        <w:t>2021)</w:t>
      </w:r>
    </w:p>
    <w:p>
      <w:pPr>
        <w:spacing w:line="213" w:lineRule="auto" w:before="0"/>
        <w:ind w:left="1760" w:right="1297" w:firstLine="0"/>
        <w:jc w:val="left"/>
        <w:rPr>
          <w:sz w:val="13"/>
        </w:rPr>
      </w:pPr>
      <w:r>
        <w:rPr/>
        <w:pict>
          <v:shape style="position:absolute;margin-left:552.224487pt;margin-top:19.392988pt;width:6.75pt;height:14.1pt;mso-position-horizontal-relative:page;mso-position-vertical-relative:paragraph;z-index:2176" type="#_x0000_t202" filled="false" stroked="false">
            <v:textbox inset="0,0,0,0">
              <w:txbxContent>
                <w:p>
                  <w:pPr>
                    <w:spacing w:line="282" w:lineRule="exact" w:before="0"/>
                    <w:ind w:left="0" w:right="0" w:firstLine="0"/>
                    <w:jc w:val="left"/>
                    <w:rPr>
                      <w:b/>
                      <w:sz w:val="24"/>
                    </w:rPr>
                  </w:pPr>
                  <w:r>
                    <w:rPr>
                      <w:b/>
                      <w:color w:val="37617A"/>
                      <w:sz w:val="24"/>
                    </w:rPr>
                    <w:t>7</w:t>
                  </w:r>
                </w:p>
              </w:txbxContent>
            </v:textbox>
            <w10:wrap type="none"/>
          </v:shape>
        </w:pict>
      </w:r>
      <w:r>
        <w:rPr>
          <w:sz w:val="13"/>
        </w:rPr>
        <w:t>&lt;</w:t>
      </w:r>
      <w:hyperlink r:id="rId34">
        <w:r>
          <w:rPr>
            <w:sz w:val="13"/>
          </w:rPr>
          <w:t>https://www.countycourt.vic.gov.au/news-and-media/news-listing/2021-09-16-coronavirus-covid-19-divisional-responses</w:t>
        </w:r>
      </w:hyperlink>
      <w:r>
        <w:rPr>
          <w:sz w:val="13"/>
        </w:rPr>
        <w:t>&gt;; ‘Coronavirus and the Courts’, </w:t>
      </w:r>
      <w:r>
        <w:rPr>
          <w:i/>
          <w:sz w:val="13"/>
        </w:rPr>
        <w:t>Judicial College of Victoria </w:t>
      </w:r>
      <w:r>
        <w:rPr>
          <w:sz w:val="13"/>
        </w:rPr>
        <w:t>(Web Page) &lt;</w:t>
      </w:r>
      <w:hyperlink r:id="rId35">
        <w:r>
          <w:rPr>
            <w:sz w:val="13"/>
          </w:rPr>
          <w:t>https://www.judicialcollege.vic.edu.au/resources/</w:t>
        </w:r>
      </w:hyperlink>
      <w:r>
        <w:rPr>
          <w:sz w:val="13"/>
        </w:rPr>
        <w:t> </w:t>
      </w:r>
      <w:hyperlink r:id="rId35">
        <w:r>
          <w:rPr>
            <w:sz w:val="13"/>
          </w:rPr>
          <w:t>coronavirus-and-courts</w:t>
        </w:r>
      </w:hyperlink>
      <w:r>
        <w:rPr>
          <w:sz w:val="13"/>
        </w:rPr>
        <w:t>&gt;; Juries Victoria, ‘Juror Safety during COVID-19’, </w:t>
      </w:r>
      <w:r>
        <w:rPr>
          <w:i/>
          <w:sz w:val="13"/>
        </w:rPr>
        <w:t>Juror Portal </w:t>
      </w:r>
      <w:r>
        <w:rPr>
          <w:sz w:val="13"/>
        </w:rPr>
        <w:t>(Web Page, 16 February 2022)</w:t>
      </w:r>
    </w:p>
    <w:p>
      <w:pPr>
        <w:spacing w:line="162" w:lineRule="exact" w:before="0"/>
        <w:ind w:left="1760" w:right="0" w:firstLine="0"/>
        <w:jc w:val="left"/>
        <w:rPr>
          <w:sz w:val="13"/>
        </w:rPr>
      </w:pPr>
      <w:r>
        <w:rPr>
          <w:sz w:val="13"/>
        </w:rPr>
        <w:t>&lt;</w:t>
      </w:r>
      <w:hyperlink r:id="rId36">
        <w:r>
          <w:rPr>
            <w:sz w:val="13"/>
          </w:rPr>
          <w:t>https://www.juriesvictoria.vic.gov.au/juror-safety-during-covid-19</w:t>
        </w:r>
      </w:hyperlink>
      <w:r>
        <w:rPr>
          <w:sz w:val="13"/>
        </w:rPr>
        <w:t>&gt;.</w:t>
      </w:r>
    </w:p>
    <w:p>
      <w:pPr>
        <w:spacing w:after="0" w:line="162" w:lineRule="exact"/>
        <w:jc w:val="left"/>
        <w:rPr>
          <w:sz w:val="13"/>
        </w:rPr>
        <w:sectPr>
          <w:pgSz w:w="11910" w:h="16840"/>
          <w:pgMar w:header="0" w:footer="0" w:top="840" w:bottom="280" w:left="620" w:right="380"/>
        </w:sectPr>
      </w:pPr>
    </w:p>
    <w:p>
      <w:pPr>
        <w:pStyle w:val="BodyText"/>
      </w:pPr>
      <w:r>
        <w:rPr/>
        <w:pict>
          <v:rect style="position:absolute;margin-left:79.370003pt;margin-top:0pt;width:515.906000pt;height:841.890015pt;mso-position-horizontal-relative:page;mso-position-vertical-relative:page;z-index:2200" filled="true" fillcolor="#37617a" stroked="false">
            <v:fill type="solid"/>
            <w10:wrap type="none"/>
          </v:rect>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4"/>
        </w:rPr>
      </w:pPr>
    </w:p>
    <w:p>
      <w:pPr>
        <w:spacing w:before="49"/>
        <w:ind w:left="100" w:right="0" w:firstLine="0"/>
        <w:jc w:val="left"/>
        <w:rPr>
          <w:b/>
          <w:sz w:val="24"/>
        </w:rPr>
      </w:pPr>
      <w:r>
        <w:rPr>
          <w:b/>
          <w:color w:val="37617A"/>
          <w:sz w:val="24"/>
        </w:rPr>
        <w:t>8</w:t>
      </w:r>
    </w:p>
    <w:p>
      <w:pPr>
        <w:spacing w:after="0"/>
        <w:jc w:val="left"/>
        <w:rPr>
          <w:sz w:val="24"/>
        </w:rPr>
        <w:sectPr>
          <w:headerReference w:type="even" r:id="rId37"/>
          <w:pgSz w:w="11910" w:h="16840"/>
          <w:pgMar w:header="0" w:footer="0" w:top="1580" w:bottom="280" w:left="620" w:right="380"/>
        </w:sectPr>
      </w:pPr>
    </w:p>
    <w:p>
      <w:pPr>
        <w:pStyle w:val="BodyText"/>
        <w:rPr>
          <w:b/>
          <w:sz w:val="11"/>
        </w:rPr>
      </w:pPr>
      <w:r>
        <w:rPr/>
        <w:pict>
          <v:rect style="position:absolute;margin-left:0pt;margin-top:0pt;width:595.276001pt;height:841.890015pt;mso-position-horizontal-relative:page;mso-position-vertical-relative:page;z-index:-358000" filled="true" fillcolor="#37617a" stroked="false">
            <v:fill type="solid"/>
            <w10:wrap type="none"/>
          </v:rect>
        </w:pict>
      </w:r>
    </w:p>
    <w:p>
      <w:pPr>
        <w:spacing w:line="688" w:lineRule="exact" w:before="0"/>
        <w:ind w:left="0" w:right="745" w:firstLine="0"/>
        <w:jc w:val="right"/>
        <w:rPr>
          <w:rFonts w:ascii="Raleway SemiBold"/>
          <w:b/>
          <w:sz w:val="50"/>
        </w:rPr>
      </w:pPr>
      <w:r>
        <w:rPr/>
        <w:pict>
          <v:shape style="position:absolute;margin-left:410.700409pt;margin-top:-3.3143pt;width:135.2pt;height:152.65pt;mso-position-horizontal-relative:page;mso-position-vertical-relative:paragraph;z-index:-357976" type="#_x0000_t202" filled="false" stroked="false">
            <v:textbox inset="0,0,0,0">
              <w:txbxContent>
                <w:p>
                  <w:pPr>
                    <w:spacing w:line="3052" w:lineRule="exact" w:before="0"/>
                    <w:ind w:left="0" w:right="0" w:firstLine="0"/>
                    <w:jc w:val="left"/>
                    <w:rPr>
                      <w:b/>
                      <w:sz w:val="260"/>
                    </w:rPr>
                  </w:pPr>
                  <w:r>
                    <w:rPr>
                      <w:b/>
                      <w:color w:val="FFFFFF"/>
                      <w:spacing w:val="-180"/>
                      <w:sz w:val="260"/>
                    </w:rPr>
                    <w:t>02</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5"/>
        <w:rPr>
          <w:rFonts w:ascii="Raleway SemiBold"/>
          <w:b/>
          <w:sz w:val="17"/>
        </w:rPr>
      </w:pPr>
    </w:p>
    <w:p>
      <w:pPr>
        <w:spacing w:line="180" w:lineRule="auto" w:before="166"/>
        <w:ind w:left="967" w:right="1335" w:firstLine="0"/>
        <w:jc w:val="left"/>
        <w:rPr>
          <w:rFonts w:ascii="Raleway ExtraBold"/>
          <w:b/>
          <w:sz w:val="88"/>
        </w:rPr>
      </w:pPr>
      <w:r>
        <w:rPr>
          <w:rFonts w:ascii="Raleway ExtraBold"/>
          <w:b/>
          <w:color w:val="FFFFFF"/>
          <w:spacing w:val="-19"/>
          <w:sz w:val="88"/>
        </w:rPr>
        <w:t>What </w:t>
      </w:r>
      <w:r>
        <w:rPr>
          <w:rFonts w:ascii="Raleway ExtraBold"/>
          <w:b/>
          <w:color w:val="FFFFFF"/>
          <w:spacing w:val="-11"/>
          <w:sz w:val="88"/>
        </w:rPr>
        <w:t>is </w:t>
      </w:r>
      <w:r>
        <w:rPr>
          <w:rFonts w:ascii="Raleway ExtraBold"/>
          <w:b/>
          <w:color w:val="FFFFFF"/>
          <w:sz w:val="88"/>
        </w:rPr>
        <w:t>a </w:t>
      </w:r>
      <w:r>
        <w:rPr>
          <w:rFonts w:ascii="Raleway ExtraBold"/>
          <w:b/>
          <w:color w:val="FFFFFF"/>
          <w:spacing w:val="-12"/>
          <w:sz w:val="88"/>
        </w:rPr>
        <w:t>jury </w:t>
      </w:r>
      <w:r>
        <w:rPr>
          <w:rFonts w:ascii="Raleway ExtraBold"/>
          <w:b/>
          <w:color w:val="FFFFFF"/>
          <w:spacing w:val="-14"/>
          <w:sz w:val="88"/>
        </w:rPr>
        <w:t>and </w:t>
      </w:r>
      <w:r>
        <w:rPr>
          <w:rFonts w:ascii="Raleway ExtraBold"/>
          <w:b/>
          <w:color w:val="FFFFFF"/>
          <w:spacing w:val="-22"/>
          <w:sz w:val="88"/>
        </w:rPr>
        <w:t>how </w:t>
      </w:r>
      <w:r>
        <w:rPr>
          <w:rFonts w:ascii="Raleway ExtraBold"/>
          <w:b/>
          <w:color w:val="FFFFFF"/>
          <w:spacing w:val="-11"/>
          <w:sz w:val="88"/>
        </w:rPr>
        <w:t>is </w:t>
      </w:r>
      <w:r>
        <w:rPr>
          <w:rFonts w:ascii="Raleway ExtraBold"/>
          <w:b/>
          <w:color w:val="FFFFFF"/>
          <w:spacing w:val="-13"/>
          <w:sz w:val="88"/>
        </w:rPr>
        <w:t>it </w:t>
      </w:r>
      <w:r>
        <w:rPr>
          <w:rFonts w:ascii="Raleway ExtraBold"/>
          <w:b/>
          <w:color w:val="FFFFFF"/>
          <w:spacing w:val="-22"/>
          <w:sz w:val="88"/>
        </w:rPr>
        <w:t>selected?</w:t>
      </w:r>
    </w:p>
    <w:p>
      <w:pPr>
        <w:pStyle w:val="BodyText"/>
        <w:rPr>
          <w:rFonts w:ascii="Raleway ExtraBold"/>
          <w:b/>
        </w:rPr>
      </w:pPr>
    </w:p>
    <w:p>
      <w:pPr>
        <w:pStyle w:val="BodyText"/>
        <w:rPr>
          <w:rFonts w:ascii="Raleway ExtraBold"/>
          <w:b/>
        </w:rPr>
      </w:pPr>
    </w:p>
    <w:p>
      <w:pPr>
        <w:pStyle w:val="BodyText"/>
        <w:spacing w:before="4"/>
        <w:rPr>
          <w:rFonts w:ascii="Raleway ExtraBold"/>
          <w:b/>
          <w:sz w:val="27"/>
        </w:rPr>
      </w:pPr>
    </w:p>
    <w:p>
      <w:pPr>
        <w:tabs>
          <w:tab w:pos="1534" w:val="left" w:leader="none"/>
        </w:tabs>
        <w:spacing w:before="49"/>
        <w:ind w:left="967" w:right="0" w:firstLine="0"/>
        <w:jc w:val="left"/>
        <w:rPr>
          <w:b/>
          <w:sz w:val="24"/>
        </w:rPr>
      </w:pPr>
      <w:r>
        <w:rPr/>
        <w:pict>
          <v:line style="position:absolute;mso-position-horizontal-relative:page;mso-position-vertical-relative:paragraph;z-index:176;mso-wrap-distance-left:0;mso-wrap-distance-right:0" from="79.370102pt,22.967304pt" to="104.882102pt,22.967304pt" stroked="true" strokeweight="2pt" strokecolor="#8f9dad">
            <v:stroke dashstyle="solid"/>
            <w10:wrap type="topAndBottom"/>
          </v:line>
        </w:pict>
      </w:r>
      <w:hyperlink w:history="true" w:anchor="_bookmark12">
        <w:r>
          <w:rPr>
            <w:b/>
            <w:color w:val="FFFFFF"/>
            <w:spacing w:val="-3"/>
            <w:sz w:val="24"/>
          </w:rPr>
          <w:t>10</w:t>
          <w:tab/>
        </w:r>
        <w:r>
          <w:rPr>
            <w:b/>
            <w:color w:val="FFFFFF"/>
            <w:sz w:val="24"/>
          </w:rPr>
          <w:t>Overview</w:t>
        </w:r>
      </w:hyperlink>
    </w:p>
    <w:p>
      <w:pPr>
        <w:tabs>
          <w:tab w:pos="1534" w:val="left" w:leader="none"/>
        </w:tabs>
        <w:spacing w:before="14" w:after="57"/>
        <w:ind w:left="967" w:right="0" w:firstLine="0"/>
        <w:jc w:val="left"/>
        <w:rPr>
          <w:b/>
          <w:sz w:val="24"/>
        </w:rPr>
      </w:pPr>
      <w:hyperlink w:history="true" w:anchor="_bookmark12">
        <w:r>
          <w:rPr>
            <w:b/>
            <w:color w:val="FFFFFF"/>
            <w:spacing w:val="-3"/>
            <w:sz w:val="24"/>
          </w:rPr>
          <w:t>10</w:t>
          <w:tab/>
        </w:r>
        <w:r>
          <w:rPr>
            <w:b/>
            <w:color w:val="FFFFFF"/>
            <w:sz w:val="24"/>
          </w:rPr>
          <w:t>What is the role of a</w:t>
        </w:r>
        <w:r>
          <w:rPr>
            <w:b/>
            <w:color w:val="FFFFFF"/>
            <w:spacing w:val="-1"/>
            <w:sz w:val="24"/>
          </w:rPr>
          <w:t> </w:t>
        </w:r>
        <w:r>
          <w:rPr>
            <w:b/>
            <w:color w:val="FFFFFF"/>
            <w:sz w:val="24"/>
          </w:rPr>
          <w:t>jury?</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tabs>
          <w:tab w:pos="1534" w:val="left" w:leader="none"/>
        </w:tabs>
        <w:spacing w:before="43"/>
        <w:ind w:left="967" w:right="0" w:firstLine="0"/>
        <w:jc w:val="left"/>
        <w:rPr>
          <w:b/>
          <w:sz w:val="24"/>
        </w:rPr>
      </w:pPr>
      <w:r>
        <w:rPr/>
        <w:pict>
          <v:line style="position:absolute;mso-position-horizontal-relative:page;mso-position-vertical-relative:paragraph;z-index:224;mso-wrap-distance-left:0;mso-wrap-distance-right:0" from="79.370102pt,22.667311pt" to="104.882102pt,22.667311pt" stroked="true" strokeweight="2pt" strokecolor="#8f9dad">
            <v:stroke dashstyle="solid"/>
            <w10:wrap type="topAndBottom"/>
          </v:line>
        </w:pict>
      </w:r>
      <w:hyperlink w:history="true" w:anchor="_bookmark14">
        <w:r>
          <w:rPr>
            <w:b/>
            <w:color w:val="FFFFFF"/>
            <w:sz w:val="24"/>
          </w:rPr>
          <w:t>12</w:t>
          <w:tab/>
          <w:t>How is a jury</w:t>
        </w:r>
        <w:r>
          <w:rPr>
            <w:b/>
            <w:color w:val="FFFFFF"/>
            <w:spacing w:val="-1"/>
            <w:sz w:val="24"/>
          </w:rPr>
          <w:t> </w:t>
        </w:r>
        <w:r>
          <w:rPr>
            <w:b/>
            <w:color w:val="FFFFFF"/>
            <w:sz w:val="24"/>
          </w:rPr>
          <w:t>selected?</w:t>
        </w:r>
      </w:hyperlink>
    </w:p>
    <w:p>
      <w:pPr>
        <w:spacing w:after="0"/>
        <w:jc w:val="left"/>
        <w:rPr>
          <w:sz w:val="24"/>
        </w:rPr>
        <w:sectPr>
          <w:headerReference w:type="default" r:id="rId38"/>
          <w:headerReference w:type="even" r:id="rId39"/>
          <w:pgSz w:w="11910" w:h="16840"/>
          <w:pgMar w:header="0" w:footer="0" w:top="480" w:bottom="280" w:left="620" w:right="380"/>
        </w:sectPr>
      </w:pPr>
    </w:p>
    <w:p>
      <w:pPr>
        <w:pStyle w:val="BodyText"/>
        <w:rPr>
          <w:b/>
        </w:rPr>
      </w:pPr>
      <w:r>
        <w:rPr/>
        <w:pict>
          <v:rect style="position:absolute;margin-left:0pt;margin-top:99.213013pt;width:14.173pt;height:85.748pt;mso-position-horizontal-relative:page;mso-position-vertical-relative:page;z-index:2416" filled="true" fillcolor="#37617a" stroked="false">
            <v:fill type="solid"/>
            <w10:wrap type="none"/>
          </v:rect>
        </w:pict>
      </w:r>
    </w:p>
    <w:p>
      <w:pPr>
        <w:pStyle w:val="BodyText"/>
        <w:rPr>
          <w:b/>
        </w:rPr>
      </w:pPr>
    </w:p>
    <w:p>
      <w:pPr>
        <w:pStyle w:val="BodyText"/>
        <w:spacing w:before="4"/>
        <w:rPr>
          <w:b/>
          <w:sz w:val="24"/>
        </w:rPr>
      </w:pPr>
    </w:p>
    <w:p>
      <w:pPr>
        <w:pStyle w:val="ListParagraph"/>
        <w:numPr>
          <w:ilvl w:val="0"/>
          <w:numId w:val="12"/>
        </w:numPr>
        <w:tabs>
          <w:tab w:pos="830" w:val="left" w:leader="none"/>
        </w:tabs>
        <w:spacing w:line="184" w:lineRule="auto" w:before="129" w:after="0"/>
        <w:ind w:left="230" w:right="3977" w:firstLine="0"/>
        <w:jc w:val="left"/>
        <w:rPr>
          <w:rFonts w:ascii="Raleway ExtraBold"/>
          <w:b/>
          <w:sz w:val="56"/>
        </w:rPr>
      </w:pPr>
      <w:bookmarkStart w:name="2. What is a jury and how is it selected" w:id="29"/>
      <w:bookmarkEnd w:id="29"/>
      <w:r>
        <w:rPr/>
      </w:r>
      <w:bookmarkStart w:name="Overview" w:id="30"/>
      <w:bookmarkEnd w:id="30"/>
      <w:r>
        <w:rPr/>
      </w:r>
      <w:bookmarkStart w:name="What is the role of a jury?" w:id="31"/>
      <w:bookmarkEnd w:id="31"/>
      <w:r>
        <w:rPr/>
      </w:r>
      <w:bookmarkStart w:name="_bookmark12" w:id="32"/>
      <w:bookmarkEnd w:id="32"/>
      <w:r>
        <w:rPr/>
      </w:r>
      <w:bookmarkStart w:name="_bookmark12" w:id="33"/>
      <w:bookmarkEnd w:id="33"/>
      <w:r>
        <w:rPr>
          <w:rFonts w:ascii="Raleway ExtraBold"/>
          <w:b/>
          <w:color w:val="37617A"/>
          <w:spacing w:val="-4"/>
          <w:sz w:val="56"/>
        </w:rPr>
        <w:t>W</w:t>
      </w:r>
      <w:r>
        <w:rPr>
          <w:rFonts w:ascii="Raleway ExtraBold"/>
          <w:b/>
          <w:color w:val="37617A"/>
          <w:spacing w:val="-4"/>
          <w:sz w:val="56"/>
        </w:rPr>
        <w:t>hat </w:t>
      </w:r>
      <w:r>
        <w:rPr>
          <w:rFonts w:ascii="Raleway ExtraBold"/>
          <w:b/>
          <w:color w:val="37617A"/>
          <w:sz w:val="56"/>
        </w:rPr>
        <w:t>is a jury and </w:t>
      </w:r>
      <w:r>
        <w:rPr>
          <w:rFonts w:ascii="Raleway ExtraBold"/>
          <w:b/>
          <w:color w:val="37617A"/>
          <w:spacing w:val="-12"/>
          <w:sz w:val="56"/>
        </w:rPr>
        <w:t>how </w:t>
      </w:r>
      <w:r>
        <w:rPr>
          <w:rFonts w:ascii="Raleway ExtraBold"/>
          <w:b/>
          <w:color w:val="37617A"/>
          <w:sz w:val="56"/>
        </w:rPr>
        <w:t>is </w:t>
      </w:r>
      <w:r>
        <w:rPr>
          <w:rFonts w:ascii="Raleway ExtraBold"/>
          <w:b/>
          <w:color w:val="37617A"/>
          <w:spacing w:val="-3"/>
          <w:sz w:val="56"/>
        </w:rPr>
        <w:t>it</w:t>
      </w:r>
      <w:r>
        <w:rPr>
          <w:rFonts w:ascii="Raleway ExtraBold"/>
          <w:b/>
          <w:color w:val="37617A"/>
          <w:sz w:val="56"/>
        </w:rPr>
        <w:t> </w:t>
      </w:r>
      <w:r>
        <w:rPr>
          <w:rFonts w:ascii="Raleway ExtraBold"/>
          <w:b/>
          <w:color w:val="37617A"/>
          <w:spacing w:val="-5"/>
          <w:sz w:val="56"/>
        </w:rPr>
        <w:t>selected?</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1"/>
        <w:rPr>
          <w:rFonts w:ascii="Raleway ExtraBold"/>
          <w:b/>
          <w:sz w:val="15"/>
        </w:rPr>
      </w:pPr>
      <w:r>
        <w:rPr/>
        <w:pict>
          <v:line style="position:absolute;mso-position-horizontal-relative:page;mso-position-vertical-relative:paragraph;z-index:296;mso-wrap-distance-left:0;mso-wrap-distance-right:0" from="79.370102pt,13.18284pt" to="515.905102pt,13.18284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2004" w:right="2242" w:firstLine="0"/>
        <w:jc w:val="center"/>
        <w:rPr>
          <w:rFonts w:ascii="Trebuchet MS" w:hAnsi="Trebuchet MS"/>
          <w:i/>
          <w:sz w:val="11"/>
        </w:rPr>
      </w:pPr>
      <w:r>
        <w:rPr>
          <w:rFonts w:ascii="Trebuchet MS" w:hAnsi="Trebuchet MS"/>
          <w:i/>
          <w:color w:val="37617A"/>
          <w:sz w:val="20"/>
        </w:rPr>
        <w:t>Jurors</w:t>
      </w:r>
      <w:r>
        <w:rPr>
          <w:rFonts w:ascii="Trebuchet MS" w:hAnsi="Trebuchet MS"/>
          <w:i/>
          <w:color w:val="37617A"/>
          <w:spacing w:val="-17"/>
          <w:sz w:val="20"/>
        </w:rPr>
        <w:t> </w:t>
      </w:r>
      <w:r>
        <w:rPr>
          <w:rFonts w:ascii="Trebuchet MS" w:hAnsi="Trebuchet MS"/>
          <w:i/>
          <w:color w:val="37617A"/>
          <w:sz w:val="20"/>
        </w:rPr>
        <w:t>contribute</w:t>
      </w:r>
      <w:r>
        <w:rPr>
          <w:rFonts w:ascii="Trebuchet MS" w:hAnsi="Trebuchet MS"/>
          <w:i/>
          <w:color w:val="37617A"/>
          <w:spacing w:val="-16"/>
          <w:sz w:val="20"/>
        </w:rPr>
        <w:t> </w:t>
      </w:r>
      <w:r>
        <w:rPr>
          <w:rFonts w:ascii="Trebuchet MS" w:hAnsi="Trebuchet MS"/>
          <w:i/>
          <w:color w:val="37617A"/>
          <w:sz w:val="20"/>
        </w:rPr>
        <w:t>in</w:t>
      </w:r>
      <w:r>
        <w:rPr>
          <w:rFonts w:ascii="Trebuchet MS" w:hAnsi="Trebuchet MS"/>
          <w:i/>
          <w:color w:val="37617A"/>
          <w:spacing w:val="-17"/>
          <w:sz w:val="20"/>
        </w:rPr>
        <w:t> </w:t>
      </w:r>
      <w:r>
        <w:rPr>
          <w:rFonts w:ascii="Trebuchet MS" w:hAnsi="Trebuchet MS"/>
          <w:i/>
          <w:color w:val="37617A"/>
          <w:sz w:val="20"/>
        </w:rPr>
        <w:t>an</w:t>
      </w:r>
      <w:r>
        <w:rPr>
          <w:rFonts w:ascii="Trebuchet MS" w:hAnsi="Trebuchet MS"/>
          <w:i/>
          <w:color w:val="37617A"/>
          <w:spacing w:val="-16"/>
          <w:sz w:val="20"/>
        </w:rPr>
        <w:t> </w:t>
      </w:r>
      <w:r>
        <w:rPr>
          <w:rFonts w:ascii="Trebuchet MS" w:hAnsi="Trebuchet MS"/>
          <w:i/>
          <w:color w:val="37617A"/>
          <w:sz w:val="20"/>
        </w:rPr>
        <w:t>extraordinary</w:t>
      </w:r>
      <w:r>
        <w:rPr>
          <w:rFonts w:ascii="Trebuchet MS" w:hAnsi="Trebuchet MS"/>
          <w:i/>
          <w:color w:val="37617A"/>
          <w:spacing w:val="-16"/>
          <w:sz w:val="20"/>
        </w:rPr>
        <w:t> </w:t>
      </w:r>
      <w:r>
        <w:rPr>
          <w:rFonts w:ascii="Trebuchet MS" w:hAnsi="Trebuchet MS"/>
          <w:i/>
          <w:color w:val="37617A"/>
          <w:sz w:val="20"/>
        </w:rPr>
        <w:t>and</w:t>
      </w:r>
      <w:r>
        <w:rPr>
          <w:rFonts w:ascii="Trebuchet MS" w:hAnsi="Trebuchet MS"/>
          <w:i/>
          <w:color w:val="37617A"/>
          <w:spacing w:val="-17"/>
          <w:sz w:val="20"/>
        </w:rPr>
        <w:t> </w:t>
      </w:r>
      <w:r>
        <w:rPr>
          <w:rFonts w:ascii="Trebuchet MS" w:hAnsi="Trebuchet MS"/>
          <w:i/>
          <w:color w:val="37617A"/>
          <w:sz w:val="20"/>
        </w:rPr>
        <w:t>fundamental</w:t>
      </w:r>
      <w:r>
        <w:rPr>
          <w:rFonts w:ascii="Trebuchet MS" w:hAnsi="Trebuchet MS"/>
          <w:i/>
          <w:color w:val="37617A"/>
          <w:spacing w:val="-16"/>
          <w:sz w:val="20"/>
        </w:rPr>
        <w:t> </w:t>
      </w:r>
      <w:r>
        <w:rPr>
          <w:rFonts w:ascii="Trebuchet MS" w:hAnsi="Trebuchet MS"/>
          <w:i/>
          <w:color w:val="37617A"/>
          <w:sz w:val="20"/>
        </w:rPr>
        <w:t>way</w:t>
      </w:r>
      <w:r>
        <w:rPr>
          <w:rFonts w:ascii="Trebuchet MS" w:hAnsi="Trebuchet MS"/>
          <w:i/>
          <w:color w:val="37617A"/>
          <w:spacing w:val="-17"/>
          <w:sz w:val="20"/>
        </w:rPr>
        <w:t> </w:t>
      </w:r>
      <w:r>
        <w:rPr>
          <w:rFonts w:ascii="Trebuchet MS" w:hAnsi="Trebuchet MS"/>
          <w:i/>
          <w:color w:val="37617A"/>
          <w:sz w:val="20"/>
        </w:rPr>
        <w:t>to</w:t>
      </w:r>
      <w:r>
        <w:rPr>
          <w:rFonts w:ascii="Trebuchet MS" w:hAnsi="Trebuchet MS"/>
          <w:i/>
          <w:color w:val="37617A"/>
          <w:spacing w:val="-16"/>
          <w:sz w:val="20"/>
        </w:rPr>
        <w:t> </w:t>
      </w:r>
      <w:r>
        <w:rPr>
          <w:rFonts w:ascii="Trebuchet MS" w:hAnsi="Trebuchet MS"/>
          <w:i/>
          <w:color w:val="37617A"/>
          <w:sz w:val="20"/>
        </w:rPr>
        <w:t>the</w:t>
      </w:r>
      <w:r>
        <w:rPr>
          <w:rFonts w:ascii="Trebuchet MS" w:hAnsi="Trebuchet MS"/>
          <w:i/>
          <w:color w:val="37617A"/>
          <w:spacing w:val="-16"/>
          <w:sz w:val="20"/>
        </w:rPr>
        <w:t> </w:t>
      </w:r>
      <w:r>
        <w:rPr>
          <w:rFonts w:ascii="Trebuchet MS" w:hAnsi="Trebuchet MS"/>
          <w:i/>
          <w:color w:val="37617A"/>
          <w:sz w:val="20"/>
        </w:rPr>
        <w:t>delivery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1"/>
          <w:w w:val="117"/>
          <w:sz w:val="20"/>
        </w:rPr>
        <w:t>s</w:t>
      </w:r>
      <w:r>
        <w:rPr>
          <w:rFonts w:ascii="Trebuchet MS" w:hAnsi="Trebuchet MS"/>
          <w:i/>
          <w:color w:val="37617A"/>
          <w:spacing w:val="-1"/>
          <w:w w:val="80"/>
          <w:sz w:val="20"/>
        </w:rPr>
        <w:t>t</w:t>
      </w:r>
      <w:r>
        <w:rPr>
          <w:rFonts w:ascii="Trebuchet MS" w:hAnsi="Trebuchet MS"/>
          <w:i/>
          <w:color w:val="37617A"/>
          <w:w w:val="73"/>
          <w:sz w:val="20"/>
        </w:rPr>
        <w:t>i</w:t>
      </w:r>
      <w:r>
        <w:rPr>
          <w:rFonts w:ascii="Trebuchet MS" w:hAnsi="Trebuchet MS"/>
          <w:i/>
          <w:color w:val="37617A"/>
          <w:spacing w:val="-1"/>
          <w:w w:val="115"/>
          <w:sz w:val="20"/>
        </w:rPr>
        <w:t>c</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1"/>
          <w:w w:val="97"/>
          <w:sz w:val="20"/>
        </w:rPr>
        <w:t>V</w:t>
      </w:r>
      <w:r>
        <w:rPr>
          <w:rFonts w:ascii="Trebuchet MS" w:hAnsi="Trebuchet MS"/>
          <w:i/>
          <w:color w:val="37617A"/>
          <w:w w:val="97"/>
          <w:sz w:val="20"/>
        </w:rPr>
        <w:t>i</w:t>
      </w:r>
      <w:r>
        <w:rPr>
          <w:rFonts w:ascii="Trebuchet MS" w:hAnsi="Trebuchet MS"/>
          <w:i/>
          <w:color w:val="37617A"/>
          <w:spacing w:val="-2"/>
          <w:w w:val="115"/>
          <w:sz w:val="20"/>
        </w:rPr>
        <w:t>c</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spacing w:val="1"/>
          <w:w w:val="115"/>
          <w:sz w:val="20"/>
        </w:rPr>
        <w:t>a</w:t>
      </w:r>
      <w:r>
        <w:rPr>
          <w:rFonts w:ascii="Trebuchet MS" w:hAnsi="Trebuchet MS"/>
          <w:i/>
          <w:color w:val="37617A"/>
          <w:w w:val="54"/>
          <w:sz w:val="20"/>
        </w:rPr>
        <w:t>.</w:t>
      </w:r>
      <w:r>
        <w:rPr>
          <w:rFonts w:ascii="Trebuchet MS" w:hAnsi="Trebuchet MS"/>
          <w:i/>
          <w:color w:val="37617A"/>
          <w:spacing w:val="-13"/>
          <w:sz w:val="20"/>
        </w:rPr>
        <w:t> </w:t>
      </w:r>
      <w:r>
        <w:rPr>
          <w:rFonts w:ascii="Trebuchet MS" w:hAnsi="Trebuchet MS"/>
          <w:i/>
          <w:color w:val="37617A"/>
          <w:spacing w:val="-1"/>
          <w:w w:val="99"/>
          <w:sz w:val="20"/>
        </w:rPr>
        <w:t>J</w:t>
      </w:r>
      <w:r>
        <w:rPr>
          <w:rFonts w:ascii="Trebuchet MS" w:hAnsi="Trebuchet MS"/>
          <w:i/>
          <w:color w:val="37617A"/>
          <w:w w:val="103"/>
          <w:sz w:val="20"/>
        </w:rPr>
        <w:t>u</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w w:val="100"/>
          <w:sz w:val="20"/>
        </w:rPr>
        <w:t>e</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3"/>
          <w:w w:val="103"/>
          <w:sz w:val="20"/>
        </w:rPr>
        <w:t>v</w:t>
      </w:r>
      <w:r>
        <w:rPr>
          <w:rFonts w:ascii="Trebuchet MS" w:hAnsi="Trebuchet MS"/>
          <w:i/>
          <w:color w:val="37617A"/>
          <w:w w:val="107"/>
          <w:sz w:val="20"/>
        </w:rPr>
        <w:t>o</w:t>
      </w:r>
      <w:r>
        <w:rPr>
          <w:rFonts w:ascii="Trebuchet MS" w:hAnsi="Trebuchet MS"/>
          <w:i/>
          <w:color w:val="37617A"/>
          <w:w w:val="73"/>
          <w:sz w:val="20"/>
        </w:rPr>
        <w:t>i</w:t>
      </w:r>
      <w:r>
        <w:rPr>
          <w:rFonts w:ascii="Trebuchet MS" w:hAnsi="Trebuchet MS"/>
          <w:i/>
          <w:color w:val="37617A"/>
          <w:spacing w:val="-1"/>
          <w:w w:val="115"/>
          <w:sz w:val="20"/>
        </w:rPr>
        <w:t>c</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6"/>
          <w:sz w:val="20"/>
        </w:rPr>
        <w:t>m</w:t>
      </w:r>
      <w:r>
        <w:rPr>
          <w:rFonts w:ascii="Trebuchet MS" w:hAnsi="Trebuchet MS"/>
          <w:i/>
          <w:color w:val="37617A"/>
          <w:spacing w:val="-1"/>
          <w:w w:val="106"/>
          <w:sz w:val="20"/>
        </w:rPr>
        <w:t>m</w:t>
      </w:r>
      <w:r>
        <w:rPr>
          <w:rFonts w:ascii="Trebuchet MS" w:hAnsi="Trebuchet MS"/>
          <w:i/>
          <w:color w:val="37617A"/>
          <w:w w:val="103"/>
          <w:sz w:val="20"/>
        </w:rPr>
        <w:t>u</w:t>
      </w:r>
      <w:r>
        <w:rPr>
          <w:rFonts w:ascii="Trebuchet MS" w:hAnsi="Trebuchet MS"/>
          <w:i/>
          <w:color w:val="37617A"/>
          <w:w w:val="103"/>
          <w:sz w:val="20"/>
        </w:rPr>
        <w:t>n</w:t>
      </w:r>
      <w:r>
        <w:rPr>
          <w:rFonts w:ascii="Trebuchet MS" w:hAnsi="Trebuchet MS"/>
          <w:i/>
          <w:color w:val="37617A"/>
          <w:spacing w:val="-1"/>
          <w:w w:val="73"/>
          <w:sz w:val="20"/>
        </w:rPr>
        <w:t>i</w:t>
      </w:r>
      <w:r>
        <w:rPr>
          <w:rFonts w:ascii="Trebuchet MS" w:hAnsi="Trebuchet MS"/>
          <w:i/>
          <w:color w:val="37617A"/>
          <w:spacing w:val="1"/>
          <w:w w:val="80"/>
          <w:sz w:val="20"/>
        </w:rPr>
        <w:t>t</w:t>
      </w:r>
      <w:r>
        <w:rPr>
          <w:rFonts w:ascii="Trebuchet MS" w:hAnsi="Trebuchet MS"/>
          <w:i/>
          <w:color w:val="37617A"/>
          <w:spacing w:val="-3"/>
          <w:w w:val="101"/>
          <w:sz w:val="20"/>
        </w:rPr>
        <w:t>y</w:t>
      </w:r>
      <w:r>
        <w:rPr>
          <w:rFonts w:ascii="Trebuchet MS" w:hAnsi="Trebuchet MS"/>
          <w:i/>
          <w:color w:val="37617A"/>
          <w:spacing w:val="-1"/>
          <w:w w:val="54"/>
          <w:sz w:val="20"/>
        </w:rPr>
        <w:t>’</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2"/>
          <w:w w:val="117"/>
          <w:sz w:val="20"/>
        </w:rPr>
        <w:t>s</w:t>
      </w:r>
      <w:r>
        <w:rPr>
          <w:rFonts w:ascii="Trebuchet MS" w:hAnsi="Trebuchet MS"/>
          <w:i/>
          <w:color w:val="37617A"/>
          <w:w w:val="115"/>
          <w:sz w:val="20"/>
        </w:rPr>
        <w:t>c</w:t>
      </w:r>
      <w:r>
        <w:rPr>
          <w:rFonts w:ascii="Trebuchet MS" w:hAnsi="Trebuchet MS"/>
          <w:i/>
          <w:color w:val="37617A"/>
          <w:w w:val="73"/>
          <w:sz w:val="20"/>
        </w:rPr>
        <w:t>i</w:t>
      </w:r>
      <w:r>
        <w:rPr>
          <w:rFonts w:ascii="Trebuchet MS" w:hAnsi="Trebuchet MS"/>
          <w:i/>
          <w:color w:val="37617A"/>
          <w:spacing w:val="1"/>
          <w:w w:val="100"/>
          <w:sz w:val="20"/>
        </w:rPr>
        <w:t>e</w:t>
      </w:r>
      <w:r>
        <w:rPr>
          <w:rFonts w:ascii="Trebuchet MS" w:hAnsi="Trebuchet MS"/>
          <w:i/>
          <w:color w:val="37617A"/>
          <w:spacing w:val="-1"/>
          <w:w w:val="103"/>
          <w:sz w:val="20"/>
        </w:rPr>
        <w:t>n</w:t>
      </w:r>
      <w:r>
        <w:rPr>
          <w:rFonts w:ascii="Trebuchet MS" w:hAnsi="Trebuchet MS"/>
          <w:i/>
          <w:color w:val="37617A"/>
          <w:spacing w:val="-1"/>
          <w:w w:val="115"/>
          <w:sz w:val="20"/>
        </w:rPr>
        <w:t>c</w:t>
      </w:r>
      <w:r>
        <w:rPr>
          <w:rFonts w:ascii="Trebuchet MS" w:hAnsi="Trebuchet MS"/>
          <w:i/>
          <w:color w:val="37617A"/>
          <w:spacing w:val="2"/>
          <w:w w:val="100"/>
          <w:sz w:val="20"/>
        </w:rPr>
        <w:t>e</w:t>
      </w:r>
      <w:r>
        <w:rPr>
          <w:rFonts w:ascii="Trebuchet MS" w:hAnsi="Trebuchet MS"/>
          <w:i/>
          <w:color w:val="37617A"/>
          <w:w w:val="56"/>
          <w:sz w:val="20"/>
        </w:rPr>
        <w:t>, </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spacing w:val="-1"/>
          <w:w w:val="108"/>
          <w:sz w:val="20"/>
        </w:rPr>
        <w:t>d</w:t>
      </w:r>
      <w:r>
        <w:rPr>
          <w:rFonts w:ascii="Trebuchet MS" w:hAnsi="Trebuchet MS"/>
          <w:i/>
          <w:color w:val="37617A"/>
          <w:w w:val="100"/>
          <w:sz w:val="20"/>
        </w:rPr>
        <w:t>e</w:t>
      </w:r>
      <w:r>
        <w:rPr>
          <w:rFonts w:ascii="Trebuchet MS" w:hAnsi="Trebuchet MS"/>
          <w:i/>
          <w:color w:val="37617A"/>
          <w:w w:val="107"/>
          <w:sz w:val="20"/>
        </w:rPr>
        <w:t>p</w:t>
      </w:r>
      <w:r>
        <w:rPr>
          <w:rFonts w:ascii="Trebuchet MS" w:hAnsi="Trebuchet MS"/>
          <w:i/>
          <w:color w:val="37617A"/>
          <w:spacing w:val="1"/>
          <w:w w:val="100"/>
          <w:sz w:val="20"/>
        </w:rPr>
        <w:t>e</w:t>
      </w:r>
      <w:r>
        <w:rPr>
          <w:rFonts w:ascii="Trebuchet MS" w:hAnsi="Trebuchet MS"/>
          <w:i/>
          <w:color w:val="37617A"/>
          <w:w w:val="103"/>
          <w:sz w:val="20"/>
        </w:rPr>
        <w:t>n</w:t>
      </w:r>
      <w:r>
        <w:rPr>
          <w:rFonts w:ascii="Trebuchet MS" w:hAnsi="Trebuchet MS"/>
          <w:i/>
          <w:color w:val="37617A"/>
          <w:spacing w:val="-1"/>
          <w:w w:val="108"/>
          <w:sz w:val="20"/>
        </w:rPr>
        <w:t>d</w:t>
      </w:r>
      <w:r>
        <w:rPr>
          <w:rFonts w:ascii="Trebuchet MS" w:hAnsi="Trebuchet MS"/>
          <w:i/>
          <w:color w:val="37617A"/>
          <w:spacing w:val="1"/>
          <w:w w:val="100"/>
          <w:sz w:val="20"/>
        </w:rPr>
        <w:t>e</w:t>
      </w:r>
      <w:r>
        <w:rPr>
          <w:rFonts w:ascii="Trebuchet MS" w:hAnsi="Trebuchet MS"/>
          <w:i/>
          <w:color w:val="37617A"/>
          <w:spacing w:val="-2"/>
          <w:w w:val="103"/>
          <w:sz w:val="20"/>
        </w:rPr>
        <w:t>n</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spacing w:val="-2"/>
          <w:w w:val="107"/>
          <w:sz w:val="20"/>
        </w:rPr>
        <w:t>o</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spacing w:val="-1"/>
          <w:w w:val="103"/>
          <w:sz w:val="20"/>
        </w:rPr>
        <w:t>u</w:t>
      </w:r>
      <w:r>
        <w:rPr>
          <w:rFonts w:ascii="Trebuchet MS" w:hAnsi="Trebuchet MS"/>
          <w:i/>
          <w:color w:val="37617A"/>
          <w:w w:val="108"/>
          <w:sz w:val="20"/>
        </w:rPr>
        <w:t>d</w:t>
      </w:r>
      <w:r>
        <w:rPr>
          <w:rFonts w:ascii="Trebuchet MS" w:hAnsi="Trebuchet MS"/>
          <w:i/>
          <w:color w:val="37617A"/>
          <w:w w:val="73"/>
          <w:sz w:val="20"/>
        </w:rPr>
        <w:t>i</w:t>
      </w:r>
      <w:r>
        <w:rPr>
          <w:rFonts w:ascii="Trebuchet MS" w:hAnsi="Trebuchet MS"/>
          <w:i/>
          <w:color w:val="37617A"/>
          <w:w w:val="115"/>
          <w:sz w:val="20"/>
        </w:rPr>
        <w:t>c</w:t>
      </w:r>
      <w:r>
        <w:rPr>
          <w:rFonts w:ascii="Trebuchet MS" w:hAnsi="Trebuchet MS"/>
          <w:i/>
          <w:color w:val="37617A"/>
          <w:w w:val="73"/>
          <w:sz w:val="20"/>
        </w:rPr>
        <w:t>i</w:t>
      </w:r>
      <w:r>
        <w:rPr>
          <w:rFonts w:ascii="Trebuchet MS" w:hAnsi="Trebuchet MS"/>
          <w:i/>
          <w:color w:val="37617A"/>
          <w:w w:val="115"/>
          <w:sz w:val="20"/>
        </w:rPr>
        <w:t>a</w:t>
      </w:r>
      <w:r>
        <w:rPr>
          <w:rFonts w:ascii="Trebuchet MS" w:hAnsi="Trebuchet MS"/>
          <w:i/>
          <w:color w:val="37617A"/>
          <w:spacing w:val="4"/>
          <w:w w:val="84"/>
          <w:sz w:val="20"/>
        </w:rPr>
        <w:t>r</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9"/>
          <w:sz w:val="20"/>
        </w:rPr>
        <w:t>g</w:t>
      </w:r>
      <w:r>
        <w:rPr>
          <w:rFonts w:ascii="Trebuchet MS" w:hAnsi="Trebuchet MS"/>
          <w:i/>
          <w:color w:val="37617A"/>
          <w:spacing w:val="-3"/>
          <w:w w:val="107"/>
          <w:sz w:val="20"/>
        </w:rPr>
        <w:t>o</w:t>
      </w:r>
      <w:r>
        <w:rPr>
          <w:rFonts w:ascii="Trebuchet MS" w:hAnsi="Trebuchet MS"/>
          <w:i/>
          <w:color w:val="37617A"/>
          <w:spacing w:val="-3"/>
          <w:w w:val="103"/>
          <w:sz w:val="20"/>
        </w:rPr>
        <w:t>v</w:t>
      </w:r>
      <w:r>
        <w:rPr>
          <w:rFonts w:ascii="Trebuchet MS" w:hAnsi="Trebuchet MS"/>
          <w:i/>
          <w:color w:val="37617A"/>
          <w:spacing w:val="1"/>
          <w:w w:val="100"/>
          <w:sz w:val="20"/>
        </w:rPr>
        <w:t>e</w:t>
      </w:r>
      <w:r>
        <w:rPr>
          <w:rFonts w:ascii="Trebuchet MS" w:hAnsi="Trebuchet MS"/>
          <w:i/>
          <w:color w:val="37617A"/>
          <w:spacing w:val="-2"/>
          <w:w w:val="84"/>
          <w:sz w:val="20"/>
        </w:rPr>
        <w:t>r</w:t>
      </w:r>
      <w:r>
        <w:rPr>
          <w:rFonts w:ascii="Trebuchet MS" w:hAnsi="Trebuchet MS"/>
          <w:i/>
          <w:color w:val="37617A"/>
          <w:w w:val="103"/>
          <w:sz w:val="20"/>
        </w:rPr>
        <w:t>n</w:t>
      </w:r>
      <w:r>
        <w:rPr>
          <w:rFonts w:ascii="Trebuchet MS" w:hAnsi="Trebuchet MS"/>
          <w:i/>
          <w:color w:val="37617A"/>
          <w:spacing w:val="-1"/>
          <w:w w:val="106"/>
          <w:sz w:val="20"/>
        </w:rPr>
        <w:t>m</w:t>
      </w:r>
      <w:r>
        <w:rPr>
          <w:rFonts w:ascii="Trebuchet MS" w:hAnsi="Trebuchet MS"/>
          <w:i/>
          <w:color w:val="37617A"/>
          <w:spacing w:val="1"/>
          <w:w w:val="100"/>
          <w:sz w:val="20"/>
        </w:rPr>
        <w:t>e</w:t>
      </w:r>
      <w:r>
        <w:rPr>
          <w:rFonts w:ascii="Trebuchet MS" w:hAnsi="Trebuchet MS"/>
          <w:i/>
          <w:color w:val="37617A"/>
          <w:spacing w:val="-2"/>
          <w:w w:val="103"/>
          <w:sz w:val="20"/>
        </w:rPr>
        <w:t>n</w:t>
      </w:r>
      <w:r>
        <w:rPr>
          <w:rFonts w:ascii="Trebuchet MS" w:hAnsi="Trebuchet MS"/>
          <w:i/>
          <w:color w:val="37617A"/>
          <w:spacing w:val="1"/>
          <w:w w:val="80"/>
          <w:sz w:val="20"/>
        </w:rPr>
        <w:t>t</w:t>
      </w:r>
      <w:r>
        <w:rPr>
          <w:rFonts w:ascii="Trebuchet MS" w:hAnsi="Trebuchet MS"/>
          <w:i/>
          <w:color w:val="37617A"/>
          <w:w w:val="54"/>
          <w:sz w:val="20"/>
        </w:rPr>
        <w:t>.</w:t>
      </w:r>
      <w:r>
        <w:rPr>
          <w:rFonts w:ascii="Trebuchet MS" w:hAnsi="Trebuchet MS"/>
          <w:i/>
          <w:color w:val="37617A"/>
          <w:w w:val="87"/>
          <w:position w:val="7"/>
          <w:sz w:val="11"/>
        </w:rPr>
        <w:t>1</w:t>
      </w:r>
    </w:p>
    <w:p>
      <w:pPr>
        <w:spacing w:before="2"/>
        <w:ind w:left="206" w:right="444" w:firstLine="0"/>
        <w:jc w:val="center"/>
        <w:rPr>
          <w:rFonts w:ascii="Trebuchet MS" w:hAnsi="Trebuchet MS"/>
          <w:sz w:val="19"/>
        </w:rPr>
      </w:pPr>
      <w:r>
        <w:rPr>
          <w:rFonts w:ascii="Trebuchet MS" w:hAnsi="Trebuchet MS"/>
          <w:color w:val="37617A"/>
          <w:spacing w:val="1"/>
          <w:w w:val="124"/>
          <w:sz w:val="19"/>
        </w:rPr>
        <w:t>—</w:t>
      </w:r>
      <w:r>
        <w:rPr>
          <w:rFonts w:ascii="Trebuchet MS" w:hAnsi="Trebuchet MS"/>
          <w:color w:val="37617A"/>
          <w:spacing w:val="-1"/>
          <w:w w:val="111"/>
          <w:sz w:val="19"/>
        </w:rPr>
        <w:t>P</w:t>
      </w:r>
      <w:r>
        <w:rPr>
          <w:rFonts w:ascii="Trebuchet MS" w:hAnsi="Trebuchet MS"/>
          <w:color w:val="37617A"/>
          <w:spacing w:val="-1"/>
          <w:w w:val="105"/>
          <w:sz w:val="19"/>
        </w:rPr>
        <w:t>a</w:t>
      </w:r>
      <w:r>
        <w:rPr>
          <w:rFonts w:ascii="Trebuchet MS" w:hAnsi="Trebuchet MS"/>
          <w:color w:val="37617A"/>
          <w:spacing w:val="-1"/>
          <w:w w:val="109"/>
          <w:sz w:val="19"/>
        </w:rPr>
        <w:t>u</w:t>
      </w:r>
      <w:r>
        <w:rPr>
          <w:rFonts w:ascii="Trebuchet MS" w:hAnsi="Trebuchet MS"/>
          <w:color w:val="37617A"/>
          <w:w w:val="96"/>
          <w:sz w:val="19"/>
        </w:rPr>
        <w:t>l</w:t>
      </w:r>
      <w:r>
        <w:rPr>
          <w:rFonts w:ascii="Trebuchet MS" w:hAnsi="Trebuchet MS"/>
          <w:color w:val="37617A"/>
          <w:spacing w:val="-12"/>
          <w:sz w:val="19"/>
        </w:rPr>
        <w:t> </w:t>
      </w:r>
      <w:r>
        <w:rPr>
          <w:rFonts w:ascii="Trebuchet MS" w:hAnsi="Trebuchet MS"/>
          <w:color w:val="37617A"/>
          <w:spacing w:val="1"/>
          <w:w w:val="116"/>
          <w:sz w:val="19"/>
        </w:rPr>
        <w:t>D</w:t>
      </w:r>
      <w:r>
        <w:rPr>
          <w:rFonts w:ascii="Trebuchet MS" w:hAnsi="Trebuchet MS"/>
          <w:color w:val="37617A"/>
          <w:w w:val="103"/>
          <w:sz w:val="19"/>
        </w:rPr>
        <w:t>o</w:t>
      </w:r>
      <w:r>
        <w:rPr>
          <w:rFonts w:ascii="Trebuchet MS" w:hAnsi="Trebuchet MS"/>
          <w:color w:val="37617A"/>
          <w:spacing w:val="-3"/>
          <w:w w:val="103"/>
          <w:sz w:val="19"/>
        </w:rPr>
        <w:t>r</w:t>
      </w:r>
      <w:r>
        <w:rPr>
          <w:rFonts w:ascii="Trebuchet MS" w:hAnsi="Trebuchet MS"/>
          <w:color w:val="37617A"/>
          <w:spacing w:val="-2"/>
          <w:w w:val="108"/>
          <w:sz w:val="19"/>
        </w:rPr>
        <w:t>e</w:t>
      </w:r>
      <w:r>
        <w:rPr>
          <w:rFonts w:ascii="Trebuchet MS" w:hAnsi="Trebuchet MS"/>
          <w:color w:val="37617A"/>
          <w:w w:val="57"/>
          <w:sz w:val="19"/>
        </w:rPr>
        <w:t>,</w:t>
      </w:r>
      <w:r>
        <w:rPr>
          <w:rFonts w:ascii="Trebuchet MS" w:hAnsi="Trebuchet MS"/>
          <w:color w:val="37617A"/>
          <w:spacing w:val="-12"/>
          <w:sz w:val="19"/>
        </w:rPr>
        <w:t> </w:t>
      </w:r>
      <w:r>
        <w:rPr>
          <w:rFonts w:ascii="Trebuchet MS" w:hAnsi="Trebuchet MS"/>
          <w:color w:val="37617A"/>
          <w:w w:val="101"/>
          <w:sz w:val="19"/>
        </w:rPr>
        <w:t>J</w:t>
      </w:r>
      <w:r>
        <w:rPr>
          <w:rFonts w:ascii="Trebuchet MS" w:hAnsi="Trebuchet MS"/>
          <w:color w:val="37617A"/>
          <w:w w:val="109"/>
          <w:sz w:val="19"/>
        </w:rPr>
        <w:t>u</w:t>
      </w:r>
      <w:r>
        <w:rPr>
          <w:rFonts w:ascii="Trebuchet MS" w:hAnsi="Trebuchet MS"/>
          <w:color w:val="37617A"/>
          <w:spacing w:val="-1"/>
          <w:w w:val="93"/>
          <w:sz w:val="19"/>
        </w:rPr>
        <w:t>r</w:t>
      </w:r>
      <w:r>
        <w:rPr>
          <w:rFonts w:ascii="Trebuchet MS" w:hAnsi="Trebuchet MS"/>
          <w:color w:val="37617A"/>
          <w:w w:val="80"/>
          <w:sz w:val="19"/>
        </w:rPr>
        <w:t>i</w:t>
      </w:r>
      <w:r>
        <w:rPr>
          <w:rFonts w:ascii="Trebuchet MS" w:hAnsi="Trebuchet MS"/>
          <w:color w:val="37617A"/>
          <w:spacing w:val="-1"/>
          <w:w w:val="108"/>
          <w:sz w:val="19"/>
        </w:rPr>
        <w:t>e</w:t>
      </w:r>
      <w:r>
        <w:rPr>
          <w:rFonts w:ascii="Trebuchet MS" w:hAnsi="Trebuchet MS"/>
          <w:color w:val="37617A"/>
          <w:w w:val="122"/>
          <w:sz w:val="19"/>
        </w:rPr>
        <w:t>s</w:t>
      </w:r>
      <w:r>
        <w:rPr>
          <w:rFonts w:ascii="Trebuchet MS" w:hAnsi="Trebuchet MS"/>
          <w:color w:val="37617A"/>
          <w:spacing w:val="-12"/>
          <w:sz w:val="19"/>
        </w:rPr>
        <w:t> </w:t>
      </w:r>
      <w:r>
        <w:rPr>
          <w:rFonts w:ascii="Trebuchet MS" w:hAnsi="Trebuchet MS"/>
          <w:color w:val="37617A"/>
          <w:w w:val="114"/>
          <w:sz w:val="19"/>
        </w:rPr>
        <w:t>C</w:t>
      </w:r>
      <w:r>
        <w:rPr>
          <w:rFonts w:ascii="Trebuchet MS" w:hAnsi="Trebuchet MS"/>
          <w:color w:val="37617A"/>
          <w:w w:val="111"/>
          <w:sz w:val="19"/>
        </w:rPr>
        <w:t>om</w:t>
      </w:r>
      <w:r>
        <w:rPr>
          <w:rFonts w:ascii="Trebuchet MS" w:hAnsi="Trebuchet MS"/>
          <w:color w:val="37617A"/>
          <w:w w:val="111"/>
          <w:sz w:val="19"/>
        </w:rPr>
        <w:t>m</w:t>
      </w:r>
      <w:r>
        <w:rPr>
          <w:rFonts w:ascii="Trebuchet MS" w:hAnsi="Trebuchet MS"/>
          <w:color w:val="37617A"/>
          <w:w w:val="104"/>
          <w:sz w:val="19"/>
        </w:rPr>
        <w:t>i</w:t>
      </w:r>
      <w:r>
        <w:rPr>
          <w:rFonts w:ascii="Trebuchet MS" w:hAnsi="Trebuchet MS"/>
          <w:color w:val="37617A"/>
          <w:spacing w:val="1"/>
          <w:w w:val="104"/>
          <w:sz w:val="19"/>
        </w:rPr>
        <w:t>s</w:t>
      </w:r>
      <w:r>
        <w:rPr>
          <w:rFonts w:ascii="Trebuchet MS" w:hAnsi="Trebuchet MS"/>
          <w:color w:val="37617A"/>
          <w:w w:val="104"/>
          <w:sz w:val="19"/>
        </w:rPr>
        <w:t>si</w:t>
      </w:r>
      <w:r>
        <w:rPr>
          <w:rFonts w:ascii="Trebuchet MS" w:hAnsi="Trebuchet MS"/>
          <w:color w:val="37617A"/>
          <w:w w:val="109"/>
          <w:sz w:val="19"/>
        </w:rPr>
        <w:t>on</w:t>
      </w:r>
      <w:r>
        <w:rPr>
          <w:rFonts w:ascii="Trebuchet MS" w:hAnsi="Trebuchet MS"/>
          <w:color w:val="37617A"/>
          <w:w w:val="108"/>
          <w:sz w:val="19"/>
        </w:rPr>
        <w:t>e</w:t>
      </w:r>
      <w:r>
        <w:rPr>
          <w:rFonts w:ascii="Trebuchet MS" w:hAnsi="Trebuchet MS"/>
          <w:color w:val="37617A"/>
          <w:w w:val="93"/>
          <w:sz w:val="19"/>
        </w:rPr>
        <w:t>r</w:t>
      </w:r>
      <w:r>
        <w:rPr>
          <w:rFonts w:ascii="Trebuchet MS" w:hAnsi="Trebuchet MS"/>
          <w:color w:val="37617A"/>
          <w:spacing w:val="-12"/>
          <w:sz w:val="19"/>
        </w:rPr>
        <w:t> </w:t>
      </w:r>
      <w:r>
        <w:rPr>
          <w:rFonts w:ascii="Trebuchet MS" w:hAnsi="Trebuchet MS"/>
          <w:color w:val="37617A"/>
          <w:spacing w:val="-2"/>
          <w:w w:val="111"/>
          <w:sz w:val="19"/>
        </w:rPr>
        <w:t>o</w:t>
      </w:r>
      <w:r>
        <w:rPr>
          <w:rFonts w:ascii="Trebuchet MS" w:hAnsi="Trebuchet MS"/>
          <w:color w:val="37617A"/>
          <w:w w:val="92"/>
          <w:sz w:val="19"/>
        </w:rPr>
        <w:t>f</w:t>
      </w:r>
      <w:r>
        <w:rPr>
          <w:rFonts w:ascii="Trebuchet MS" w:hAnsi="Trebuchet MS"/>
          <w:color w:val="37617A"/>
          <w:spacing w:val="-12"/>
          <w:sz w:val="19"/>
        </w:rPr>
        <w:t> </w:t>
      </w:r>
      <w:r>
        <w:rPr>
          <w:rFonts w:ascii="Trebuchet MS" w:hAnsi="Trebuchet MS"/>
          <w:color w:val="37617A"/>
          <w:w w:val="104"/>
          <w:sz w:val="19"/>
        </w:rPr>
        <w:t>Vi</w:t>
      </w:r>
      <w:r>
        <w:rPr>
          <w:rFonts w:ascii="Trebuchet MS" w:hAnsi="Trebuchet MS"/>
          <w:color w:val="37617A"/>
          <w:w w:val="111"/>
          <w:sz w:val="19"/>
        </w:rPr>
        <w:t>c</w:t>
      </w:r>
      <w:r>
        <w:rPr>
          <w:rFonts w:ascii="Trebuchet MS" w:hAnsi="Trebuchet MS"/>
          <w:color w:val="37617A"/>
          <w:spacing w:val="-3"/>
          <w:w w:val="88"/>
          <w:sz w:val="19"/>
        </w:rPr>
        <w:t>t</w:t>
      </w:r>
      <w:r>
        <w:rPr>
          <w:rFonts w:ascii="Trebuchet MS" w:hAnsi="Trebuchet MS"/>
          <w:color w:val="37617A"/>
          <w:w w:val="103"/>
          <w:sz w:val="19"/>
        </w:rPr>
        <w:t>o</w:t>
      </w:r>
      <w:r>
        <w:rPr>
          <w:rFonts w:ascii="Trebuchet MS" w:hAnsi="Trebuchet MS"/>
          <w:color w:val="37617A"/>
          <w:spacing w:val="-1"/>
          <w:w w:val="103"/>
          <w:sz w:val="19"/>
        </w:rPr>
        <w:t>r</w:t>
      </w:r>
      <w:r>
        <w:rPr>
          <w:rFonts w:ascii="Trebuchet MS" w:hAnsi="Trebuchet MS"/>
          <w:color w:val="37617A"/>
          <w:w w:val="80"/>
          <w:sz w:val="19"/>
        </w:rPr>
        <w:t>i</w:t>
      </w:r>
      <w:r>
        <w:rPr>
          <w:rFonts w:ascii="Trebuchet MS" w:hAnsi="Trebuchet MS"/>
          <w:color w:val="37617A"/>
          <w:w w:val="105"/>
          <w:sz w:val="19"/>
        </w:rPr>
        <w:t>a</w:t>
      </w:r>
    </w:p>
    <w:p>
      <w:pPr>
        <w:pStyle w:val="BodyText"/>
        <w:spacing w:before="2"/>
        <w:rPr>
          <w:rFonts w:ascii="Trebuchet MS"/>
          <w:sz w:val="10"/>
        </w:rPr>
      </w:pPr>
      <w:r>
        <w:rPr/>
        <w:pict>
          <v:line style="position:absolute;mso-position-horizontal-relative:page;mso-position-vertical-relative:paragraph;z-index:320;mso-wrap-distance-left:0;mso-wrap-distance-right:0" from="79.370102pt,8.138234pt" to="515.905102pt,8.138234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15"/>
        </w:numPr>
        <w:tabs>
          <w:tab w:pos="2157" w:val="left" w:leader="none"/>
          <w:tab w:pos="2158" w:val="left" w:leader="none"/>
        </w:tabs>
        <w:spacing w:line="206" w:lineRule="auto" w:before="146" w:after="0"/>
        <w:ind w:left="2157" w:right="1206" w:hanging="396"/>
        <w:jc w:val="left"/>
        <w:rPr>
          <w:sz w:val="20"/>
        </w:rPr>
      </w:pPr>
      <w:r>
        <w:rPr>
          <w:sz w:val="20"/>
        </w:rPr>
        <w:t>Juries</w:t>
      </w:r>
      <w:r>
        <w:rPr>
          <w:spacing w:val="-10"/>
          <w:sz w:val="20"/>
        </w:rPr>
        <w:t> </w:t>
      </w:r>
      <w:r>
        <w:rPr>
          <w:sz w:val="20"/>
        </w:rPr>
        <w:t>play</w:t>
      </w:r>
      <w:r>
        <w:rPr>
          <w:spacing w:val="-10"/>
          <w:sz w:val="20"/>
        </w:rPr>
        <w:t> </w:t>
      </w:r>
      <w:r>
        <w:rPr>
          <w:sz w:val="20"/>
        </w:rPr>
        <w:t>a</w:t>
      </w:r>
      <w:r>
        <w:rPr>
          <w:spacing w:val="-10"/>
          <w:sz w:val="20"/>
        </w:rPr>
        <w:t> </w:t>
      </w:r>
      <w:r>
        <w:rPr>
          <w:sz w:val="20"/>
        </w:rPr>
        <w:t>fundamental</w:t>
      </w:r>
      <w:r>
        <w:rPr>
          <w:spacing w:val="-10"/>
          <w:sz w:val="20"/>
        </w:rPr>
        <w:t> </w:t>
      </w:r>
      <w:r>
        <w:rPr>
          <w:spacing w:val="-3"/>
          <w:sz w:val="20"/>
        </w:rPr>
        <w:t>role</w:t>
      </w:r>
      <w:r>
        <w:rPr>
          <w:spacing w:val="-10"/>
          <w:sz w:val="20"/>
        </w:rPr>
        <w:t> </w:t>
      </w:r>
      <w:r>
        <w:rPr>
          <w:sz w:val="20"/>
        </w:rPr>
        <w:t>in</w:t>
      </w:r>
      <w:r>
        <w:rPr>
          <w:spacing w:val="-10"/>
          <w:sz w:val="20"/>
        </w:rPr>
        <w:t> </w:t>
      </w:r>
      <w:r>
        <w:rPr>
          <w:sz w:val="20"/>
        </w:rPr>
        <w:t>our</w:t>
      </w:r>
      <w:r>
        <w:rPr>
          <w:spacing w:val="-9"/>
          <w:sz w:val="20"/>
        </w:rPr>
        <w:t> </w:t>
      </w:r>
      <w:r>
        <w:rPr>
          <w:sz w:val="20"/>
        </w:rPr>
        <w:t>legal</w:t>
      </w:r>
      <w:r>
        <w:rPr>
          <w:spacing w:val="-10"/>
          <w:sz w:val="20"/>
        </w:rPr>
        <w:t> </w:t>
      </w:r>
      <w:r>
        <w:rPr>
          <w:sz w:val="20"/>
        </w:rPr>
        <w:t>system.</w:t>
      </w:r>
      <w:r>
        <w:rPr>
          <w:spacing w:val="-10"/>
          <w:sz w:val="20"/>
        </w:rPr>
        <w:t> </w:t>
      </w:r>
      <w:r>
        <w:rPr>
          <w:sz w:val="20"/>
        </w:rPr>
        <w:t>They</w:t>
      </w:r>
      <w:r>
        <w:rPr>
          <w:spacing w:val="-10"/>
          <w:sz w:val="20"/>
        </w:rPr>
        <w:t> </w:t>
      </w:r>
      <w:r>
        <w:rPr>
          <w:spacing w:val="-3"/>
          <w:sz w:val="20"/>
        </w:rPr>
        <w:t>allow</w:t>
      </w:r>
      <w:r>
        <w:rPr>
          <w:spacing w:val="-10"/>
          <w:sz w:val="20"/>
        </w:rPr>
        <w:t> </w:t>
      </w:r>
      <w:r>
        <w:rPr>
          <w:sz w:val="20"/>
        </w:rPr>
        <w:t>the</w:t>
      </w:r>
      <w:r>
        <w:rPr>
          <w:spacing w:val="-10"/>
          <w:sz w:val="20"/>
        </w:rPr>
        <w:t> </w:t>
      </w:r>
      <w:r>
        <w:rPr>
          <w:sz w:val="20"/>
        </w:rPr>
        <w:t>community</w:t>
      </w:r>
      <w:r>
        <w:rPr>
          <w:spacing w:val="-10"/>
          <w:sz w:val="20"/>
        </w:rPr>
        <w:t> </w:t>
      </w:r>
      <w:r>
        <w:rPr>
          <w:sz w:val="20"/>
        </w:rPr>
        <w:t>to</w:t>
      </w:r>
      <w:r>
        <w:rPr>
          <w:spacing w:val="-9"/>
          <w:sz w:val="20"/>
        </w:rPr>
        <w:t> </w:t>
      </w:r>
      <w:r>
        <w:rPr>
          <w:sz w:val="20"/>
        </w:rPr>
        <w:t>be </w:t>
      </w:r>
      <w:r>
        <w:rPr>
          <w:spacing w:val="-3"/>
          <w:sz w:val="20"/>
        </w:rPr>
        <w:t>directly </w:t>
      </w:r>
      <w:r>
        <w:rPr>
          <w:spacing w:val="-4"/>
          <w:sz w:val="20"/>
        </w:rPr>
        <w:t>involved </w:t>
      </w:r>
      <w:r>
        <w:rPr>
          <w:sz w:val="20"/>
        </w:rPr>
        <w:t>in the administration of</w:t>
      </w:r>
      <w:r>
        <w:rPr>
          <w:spacing w:val="-21"/>
          <w:sz w:val="20"/>
        </w:rPr>
        <w:t> </w:t>
      </w:r>
      <w:r>
        <w:rPr>
          <w:sz w:val="20"/>
        </w:rPr>
        <w:t>justice.</w:t>
      </w:r>
    </w:p>
    <w:p>
      <w:pPr>
        <w:pStyle w:val="ListParagraph"/>
        <w:numPr>
          <w:ilvl w:val="0"/>
          <w:numId w:val="15"/>
        </w:numPr>
        <w:tabs>
          <w:tab w:pos="2157" w:val="left" w:leader="none"/>
          <w:tab w:pos="2158" w:val="left" w:leader="none"/>
        </w:tabs>
        <w:spacing w:line="206" w:lineRule="auto" w:before="88" w:after="0"/>
        <w:ind w:left="2157" w:right="1292" w:hanging="396"/>
        <w:jc w:val="left"/>
        <w:rPr>
          <w:sz w:val="20"/>
        </w:rPr>
      </w:pPr>
      <w:r>
        <w:rPr>
          <w:sz w:val="20"/>
        </w:rPr>
        <w:t>The Victorian jury system is </w:t>
      </w:r>
      <w:r>
        <w:rPr>
          <w:spacing w:val="-4"/>
          <w:sz w:val="20"/>
        </w:rPr>
        <w:t>busy. </w:t>
      </w:r>
      <w:r>
        <w:rPr>
          <w:sz w:val="20"/>
        </w:rPr>
        <w:t>Jury trials for civil and criminal matters occur in the</w:t>
      </w:r>
      <w:r>
        <w:rPr>
          <w:spacing w:val="-9"/>
          <w:sz w:val="20"/>
        </w:rPr>
        <w:t> </w:t>
      </w:r>
      <w:r>
        <w:rPr>
          <w:sz w:val="20"/>
        </w:rPr>
        <w:t>Supreme</w:t>
      </w:r>
      <w:r>
        <w:rPr>
          <w:spacing w:val="-8"/>
          <w:sz w:val="20"/>
        </w:rPr>
        <w:t> </w:t>
      </w:r>
      <w:r>
        <w:rPr>
          <w:sz w:val="20"/>
        </w:rPr>
        <w:t>Court</w:t>
      </w:r>
      <w:r>
        <w:rPr>
          <w:spacing w:val="-8"/>
          <w:sz w:val="20"/>
        </w:rPr>
        <w:t> </w:t>
      </w:r>
      <w:r>
        <w:rPr>
          <w:sz w:val="20"/>
        </w:rPr>
        <w:t>of</w:t>
      </w:r>
      <w:r>
        <w:rPr>
          <w:spacing w:val="-8"/>
          <w:sz w:val="20"/>
        </w:rPr>
        <w:t> </w:t>
      </w:r>
      <w:r>
        <w:rPr>
          <w:sz w:val="20"/>
        </w:rPr>
        <w:t>Victoria</w:t>
      </w:r>
      <w:r>
        <w:rPr>
          <w:spacing w:val="-8"/>
          <w:sz w:val="20"/>
        </w:rPr>
        <w:t> </w:t>
      </w:r>
      <w:r>
        <w:rPr>
          <w:sz w:val="20"/>
        </w:rPr>
        <w:t>and</w:t>
      </w:r>
      <w:r>
        <w:rPr>
          <w:spacing w:val="-8"/>
          <w:sz w:val="20"/>
        </w:rPr>
        <w:t> </w:t>
      </w:r>
      <w:r>
        <w:rPr>
          <w:sz w:val="20"/>
        </w:rPr>
        <w:t>the</w:t>
      </w:r>
      <w:r>
        <w:rPr>
          <w:spacing w:val="-8"/>
          <w:sz w:val="20"/>
        </w:rPr>
        <w:t> </w:t>
      </w:r>
      <w:r>
        <w:rPr>
          <w:sz w:val="20"/>
        </w:rPr>
        <w:t>County</w:t>
      </w:r>
      <w:r>
        <w:rPr>
          <w:spacing w:val="-9"/>
          <w:sz w:val="20"/>
        </w:rPr>
        <w:t> </w:t>
      </w:r>
      <w:r>
        <w:rPr>
          <w:sz w:val="20"/>
        </w:rPr>
        <w:t>Court</w:t>
      </w:r>
      <w:r>
        <w:rPr>
          <w:spacing w:val="-8"/>
          <w:sz w:val="20"/>
        </w:rPr>
        <w:t> </w:t>
      </w:r>
      <w:r>
        <w:rPr>
          <w:sz w:val="20"/>
        </w:rPr>
        <w:t>of</w:t>
      </w:r>
      <w:r>
        <w:rPr>
          <w:spacing w:val="-8"/>
          <w:sz w:val="20"/>
        </w:rPr>
        <w:t> </w:t>
      </w:r>
      <w:r>
        <w:rPr>
          <w:sz w:val="20"/>
        </w:rPr>
        <w:t>Victoria.</w:t>
      </w:r>
      <w:r>
        <w:rPr>
          <w:spacing w:val="-8"/>
          <w:sz w:val="20"/>
        </w:rPr>
        <w:t> </w:t>
      </w:r>
      <w:r>
        <w:rPr>
          <w:sz w:val="20"/>
        </w:rPr>
        <w:t>Most</w:t>
      </w:r>
      <w:r>
        <w:rPr>
          <w:spacing w:val="-8"/>
          <w:sz w:val="20"/>
        </w:rPr>
        <w:t> </w:t>
      </w:r>
      <w:r>
        <w:rPr>
          <w:sz w:val="20"/>
        </w:rPr>
        <w:t>jury</w:t>
      </w:r>
      <w:r>
        <w:rPr>
          <w:spacing w:val="-8"/>
          <w:sz w:val="20"/>
        </w:rPr>
        <w:t> </w:t>
      </w:r>
      <w:r>
        <w:rPr>
          <w:sz w:val="20"/>
        </w:rPr>
        <w:t>trials</w:t>
      </w:r>
      <w:r>
        <w:rPr>
          <w:spacing w:val="-8"/>
          <w:sz w:val="20"/>
        </w:rPr>
        <w:t> </w:t>
      </w:r>
      <w:r>
        <w:rPr>
          <w:spacing w:val="-3"/>
          <w:sz w:val="20"/>
        </w:rPr>
        <w:t>are </w:t>
      </w:r>
      <w:r>
        <w:rPr>
          <w:sz w:val="20"/>
        </w:rPr>
        <w:t>run in the County</w:t>
      </w:r>
      <w:r>
        <w:rPr>
          <w:spacing w:val="-17"/>
          <w:sz w:val="20"/>
        </w:rPr>
        <w:t> </w:t>
      </w:r>
      <w:r>
        <w:rPr>
          <w:sz w:val="20"/>
        </w:rPr>
        <w:t>Court.</w:t>
      </w:r>
    </w:p>
    <w:p>
      <w:pPr>
        <w:pStyle w:val="ListParagraph"/>
        <w:numPr>
          <w:ilvl w:val="0"/>
          <w:numId w:val="15"/>
        </w:numPr>
        <w:tabs>
          <w:tab w:pos="2157" w:val="left" w:leader="none"/>
          <w:tab w:pos="2158" w:val="left" w:leader="none"/>
        </w:tabs>
        <w:spacing w:line="206" w:lineRule="auto" w:before="89" w:after="0"/>
        <w:ind w:left="2157" w:right="1389" w:hanging="396"/>
        <w:jc w:val="left"/>
        <w:rPr>
          <w:sz w:val="20"/>
        </w:rPr>
      </w:pPr>
      <w:r>
        <w:rPr>
          <w:sz w:val="20"/>
        </w:rPr>
        <w:t>Some steps in the jury selection process </w:t>
      </w:r>
      <w:r>
        <w:rPr>
          <w:spacing w:val="-3"/>
          <w:sz w:val="20"/>
        </w:rPr>
        <w:t>are </w:t>
      </w:r>
      <w:r>
        <w:rPr>
          <w:sz w:val="20"/>
        </w:rPr>
        <w:t>determined </w:t>
      </w:r>
      <w:r>
        <w:rPr>
          <w:spacing w:val="-3"/>
          <w:sz w:val="20"/>
        </w:rPr>
        <w:t>by </w:t>
      </w:r>
      <w:r>
        <w:rPr>
          <w:sz w:val="20"/>
        </w:rPr>
        <w:t>random ballot. Random selection presents challenges for planning the </w:t>
      </w:r>
      <w:r>
        <w:rPr>
          <w:spacing w:val="-3"/>
          <w:sz w:val="20"/>
        </w:rPr>
        <w:t>provision </w:t>
      </w:r>
      <w:r>
        <w:rPr>
          <w:sz w:val="20"/>
        </w:rPr>
        <w:t>of reasonable adjustments</w:t>
      </w:r>
      <w:r>
        <w:rPr>
          <w:spacing w:val="-15"/>
          <w:sz w:val="20"/>
        </w:rPr>
        <w:t> </w:t>
      </w:r>
      <w:r>
        <w:rPr>
          <w:sz w:val="20"/>
        </w:rPr>
        <w:t>and</w:t>
      </w:r>
      <w:r>
        <w:rPr>
          <w:spacing w:val="-15"/>
          <w:sz w:val="20"/>
        </w:rPr>
        <w:t> </w:t>
      </w:r>
      <w:r>
        <w:rPr>
          <w:sz w:val="20"/>
        </w:rPr>
        <w:t>judicial</w:t>
      </w:r>
      <w:r>
        <w:rPr>
          <w:spacing w:val="-15"/>
          <w:sz w:val="20"/>
        </w:rPr>
        <w:t> </w:t>
      </w:r>
      <w:r>
        <w:rPr>
          <w:sz w:val="20"/>
        </w:rPr>
        <w:t>assessments.</w:t>
      </w:r>
      <w:r>
        <w:rPr>
          <w:spacing w:val="-15"/>
          <w:sz w:val="20"/>
        </w:rPr>
        <w:t> </w:t>
      </w:r>
      <w:r>
        <w:rPr>
          <w:sz w:val="20"/>
        </w:rPr>
        <w:t>It</w:t>
      </w:r>
      <w:r>
        <w:rPr>
          <w:spacing w:val="-15"/>
          <w:sz w:val="20"/>
        </w:rPr>
        <w:t> </w:t>
      </w:r>
      <w:r>
        <w:rPr>
          <w:sz w:val="20"/>
        </w:rPr>
        <w:t>is</w:t>
      </w:r>
      <w:r>
        <w:rPr>
          <w:spacing w:val="-14"/>
          <w:sz w:val="20"/>
        </w:rPr>
        <w:t> </w:t>
      </w:r>
      <w:r>
        <w:rPr>
          <w:sz w:val="20"/>
        </w:rPr>
        <w:t>difficult</w:t>
      </w:r>
      <w:r>
        <w:rPr>
          <w:spacing w:val="-15"/>
          <w:sz w:val="20"/>
        </w:rPr>
        <w:t> </w:t>
      </w:r>
      <w:r>
        <w:rPr>
          <w:sz w:val="20"/>
        </w:rPr>
        <w:t>to</w:t>
      </w:r>
      <w:r>
        <w:rPr>
          <w:spacing w:val="-15"/>
          <w:sz w:val="20"/>
        </w:rPr>
        <w:t> </w:t>
      </w:r>
      <w:r>
        <w:rPr>
          <w:sz w:val="20"/>
        </w:rPr>
        <w:t>anticipate</w:t>
      </w:r>
      <w:r>
        <w:rPr>
          <w:spacing w:val="-15"/>
          <w:sz w:val="20"/>
        </w:rPr>
        <w:t> </w:t>
      </w:r>
      <w:r>
        <w:rPr>
          <w:sz w:val="20"/>
        </w:rPr>
        <w:t>whether</w:t>
      </w:r>
      <w:r>
        <w:rPr>
          <w:spacing w:val="-15"/>
          <w:sz w:val="20"/>
        </w:rPr>
        <w:t> </w:t>
      </w:r>
      <w:r>
        <w:rPr>
          <w:sz w:val="20"/>
        </w:rPr>
        <w:t>a</w:t>
      </w:r>
      <w:r>
        <w:rPr>
          <w:spacing w:val="-14"/>
          <w:sz w:val="20"/>
        </w:rPr>
        <w:t> </w:t>
      </w:r>
      <w:r>
        <w:rPr>
          <w:sz w:val="20"/>
        </w:rPr>
        <w:t>person who attends court in response to a jury summons will </w:t>
      </w:r>
      <w:r>
        <w:rPr>
          <w:spacing w:val="-3"/>
          <w:sz w:val="20"/>
        </w:rPr>
        <w:t>ultimately </w:t>
      </w:r>
      <w:r>
        <w:rPr>
          <w:sz w:val="20"/>
        </w:rPr>
        <w:t>serve as a juror and on what trial they </w:t>
      </w:r>
      <w:r>
        <w:rPr>
          <w:spacing w:val="-3"/>
          <w:sz w:val="20"/>
        </w:rPr>
        <w:t>may</w:t>
      </w:r>
      <w:r>
        <w:rPr>
          <w:spacing w:val="-27"/>
          <w:sz w:val="20"/>
        </w:rPr>
        <w:t> </w:t>
      </w:r>
      <w:r>
        <w:rPr>
          <w:sz w:val="20"/>
        </w:rPr>
        <w:t>serve.</w:t>
      </w:r>
    </w:p>
    <w:p>
      <w:pPr>
        <w:spacing w:before="196"/>
        <w:ind w:left="967" w:right="0" w:firstLine="0"/>
        <w:jc w:val="left"/>
        <w:rPr>
          <w:rFonts w:ascii="Raleway ExtraBold"/>
          <w:b/>
          <w:sz w:val="28"/>
        </w:rPr>
      </w:pPr>
      <w:r>
        <w:rPr>
          <w:rFonts w:ascii="Raleway ExtraBold"/>
          <w:b/>
          <w:color w:val="37617A"/>
          <w:sz w:val="28"/>
        </w:rPr>
        <w:t>What is the role of a jury?</w:t>
      </w:r>
    </w:p>
    <w:p>
      <w:pPr>
        <w:pStyle w:val="ListParagraph"/>
        <w:numPr>
          <w:ilvl w:val="1"/>
          <w:numId w:val="12"/>
        </w:numPr>
        <w:tabs>
          <w:tab w:pos="1761" w:val="left" w:leader="none"/>
          <w:tab w:pos="1762" w:val="left" w:leader="none"/>
        </w:tabs>
        <w:spacing w:line="206" w:lineRule="auto" w:before="146" w:after="0"/>
        <w:ind w:left="1761" w:right="1248" w:hanging="794"/>
        <w:jc w:val="left"/>
        <w:rPr>
          <w:sz w:val="11"/>
        </w:rPr>
      </w:pPr>
      <w:r>
        <w:rPr>
          <w:sz w:val="20"/>
        </w:rPr>
        <w:t>The</w:t>
      </w:r>
      <w:r>
        <w:rPr>
          <w:spacing w:val="-9"/>
          <w:sz w:val="20"/>
        </w:rPr>
        <w:t> </w:t>
      </w:r>
      <w:r>
        <w:rPr>
          <w:spacing w:val="-3"/>
          <w:sz w:val="20"/>
        </w:rPr>
        <w:t>role</w:t>
      </w:r>
      <w:r>
        <w:rPr>
          <w:spacing w:val="-8"/>
          <w:sz w:val="20"/>
        </w:rPr>
        <w:t> </w:t>
      </w:r>
      <w:r>
        <w:rPr>
          <w:sz w:val="20"/>
        </w:rPr>
        <w:t>of</w:t>
      </w:r>
      <w:r>
        <w:rPr>
          <w:spacing w:val="-8"/>
          <w:sz w:val="20"/>
        </w:rPr>
        <w:t> </w:t>
      </w:r>
      <w:r>
        <w:rPr>
          <w:sz w:val="20"/>
        </w:rPr>
        <w:t>the</w:t>
      </w:r>
      <w:r>
        <w:rPr>
          <w:spacing w:val="-8"/>
          <w:sz w:val="20"/>
        </w:rPr>
        <w:t> </w:t>
      </w:r>
      <w:r>
        <w:rPr>
          <w:sz w:val="20"/>
        </w:rPr>
        <w:t>jury</w:t>
      </w:r>
      <w:r>
        <w:rPr>
          <w:spacing w:val="-8"/>
          <w:sz w:val="20"/>
        </w:rPr>
        <w:t> </w:t>
      </w:r>
      <w:r>
        <w:rPr>
          <w:sz w:val="20"/>
        </w:rPr>
        <w:t>is</w:t>
      </w:r>
      <w:r>
        <w:rPr>
          <w:spacing w:val="-8"/>
          <w:sz w:val="20"/>
        </w:rPr>
        <w:t> </w:t>
      </w:r>
      <w:r>
        <w:rPr>
          <w:sz w:val="20"/>
        </w:rPr>
        <w:t>to</w:t>
      </w:r>
      <w:r>
        <w:rPr>
          <w:spacing w:val="-8"/>
          <w:sz w:val="20"/>
        </w:rPr>
        <w:t> </w:t>
      </w:r>
      <w:r>
        <w:rPr>
          <w:sz w:val="20"/>
        </w:rPr>
        <w:t>decide</w:t>
      </w:r>
      <w:r>
        <w:rPr>
          <w:spacing w:val="-8"/>
          <w:sz w:val="20"/>
        </w:rPr>
        <w:t> </w:t>
      </w:r>
      <w:r>
        <w:rPr>
          <w:sz w:val="20"/>
        </w:rPr>
        <w:t>the</w:t>
      </w:r>
      <w:r>
        <w:rPr>
          <w:spacing w:val="-8"/>
          <w:sz w:val="20"/>
        </w:rPr>
        <w:t> </w:t>
      </w:r>
      <w:r>
        <w:rPr>
          <w:sz w:val="20"/>
        </w:rPr>
        <w:t>facts,</w:t>
      </w:r>
      <w:r>
        <w:rPr>
          <w:spacing w:val="-8"/>
          <w:sz w:val="20"/>
        </w:rPr>
        <w:t> </w:t>
      </w:r>
      <w:r>
        <w:rPr>
          <w:spacing w:val="-3"/>
          <w:sz w:val="20"/>
        </w:rPr>
        <w:t>apply</w:t>
      </w:r>
      <w:r>
        <w:rPr>
          <w:spacing w:val="-8"/>
          <w:sz w:val="20"/>
        </w:rPr>
        <w:t> </w:t>
      </w:r>
      <w:r>
        <w:rPr>
          <w:spacing w:val="-3"/>
          <w:sz w:val="20"/>
        </w:rPr>
        <w:t>relevant</w:t>
      </w:r>
      <w:r>
        <w:rPr>
          <w:spacing w:val="-8"/>
          <w:sz w:val="20"/>
        </w:rPr>
        <w:t> </w:t>
      </w:r>
      <w:r>
        <w:rPr>
          <w:sz w:val="20"/>
        </w:rPr>
        <w:t>principles</w:t>
      </w:r>
      <w:r>
        <w:rPr>
          <w:spacing w:val="-9"/>
          <w:sz w:val="20"/>
        </w:rPr>
        <w:t> </w:t>
      </w:r>
      <w:r>
        <w:rPr>
          <w:sz w:val="20"/>
        </w:rPr>
        <w:t>of</w:t>
      </w:r>
      <w:r>
        <w:rPr>
          <w:spacing w:val="-8"/>
          <w:sz w:val="20"/>
        </w:rPr>
        <w:t> </w:t>
      </w:r>
      <w:r>
        <w:rPr>
          <w:sz w:val="20"/>
        </w:rPr>
        <w:t>law</w:t>
      </w:r>
      <w:r>
        <w:rPr>
          <w:spacing w:val="-8"/>
          <w:sz w:val="20"/>
        </w:rPr>
        <w:t> </w:t>
      </w:r>
      <w:r>
        <w:rPr>
          <w:sz w:val="20"/>
        </w:rPr>
        <w:t>to</w:t>
      </w:r>
      <w:r>
        <w:rPr>
          <w:spacing w:val="-8"/>
          <w:sz w:val="20"/>
        </w:rPr>
        <w:t> </w:t>
      </w:r>
      <w:r>
        <w:rPr>
          <w:sz w:val="20"/>
        </w:rPr>
        <w:t>those</w:t>
      </w:r>
      <w:r>
        <w:rPr>
          <w:spacing w:val="-8"/>
          <w:sz w:val="20"/>
        </w:rPr>
        <w:t> </w:t>
      </w:r>
      <w:r>
        <w:rPr>
          <w:sz w:val="20"/>
        </w:rPr>
        <w:t>facts, and </w:t>
      </w:r>
      <w:r>
        <w:rPr>
          <w:spacing w:val="-3"/>
          <w:sz w:val="20"/>
        </w:rPr>
        <w:t>return </w:t>
      </w:r>
      <w:r>
        <w:rPr>
          <w:sz w:val="20"/>
        </w:rPr>
        <w:t>a</w:t>
      </w:r>
      <w:r>
        <w:rPr>
          <w:spacing w:val="-10"/>
          <w:sz w:val="20"/>
        </w:rPr>
        <w:t> </w:t>
      </w:r>
      <w:r>
        <w:rPr>
          <w:sz w:val="20"/>
        </w:rPr>
        <w:t>verdict.</w:t>
      </w:r>
      <w:r>
        <w:rPr>
          <w:position w:val="7"/>
          <w:sz w:val="11"/>
        </w:rPr>
        <w:t>2</w:t>
      </w:r>
    </w:p>
    <w:p>
      <w:pPr>
        <w:pStyle w:val="ListParagraph"/>
        <w:numPr>
          <w:ilvl w:val="1"/>
          <w:numId w:val="12"/>
        </w:numPr>
        <w:tabs>
          <w:tab w:pos="1761" w:val="left" w:leader="none"/>
          <w:tab w:pos="1762" w:val="left" w:leader="none"/>
        </w:tabs>
        <w:spacing w:line="206" w:lineRule="auto" w:before="123" w:after="0"/>
        <w:ind w:left="1761" w:right="1417" w:hanging="794"/>
        <w:jc w:val="both"/>
        <w:rPr>
          <w:sz w:val="20"/>
        </w:rPr>
      </w:pPr>
      <w:r>
        <w:rPr>
          <w:sz w:val="20"/>
        </w:rPr>
        <w:t>In</w:t>
      </w:r>
      <w:r>
        <w:rPr>
          <w:spacing w:val="-11"/>
          <w:sz w:val="20"/>
        </w:rPr>
        <w:t> </w:t>
      </w:r>
      <w:r>
        <w:rPr>
          <w:sz w:val="20"/>
        </w:rPr>
        <w:t>Victoria</w:t>
      </w:r>
      <w:r>
        <w:rPr>
          <w:spacing w:val="-10"/>
          <w:sz w:val="20"/>
        </w:rPr>
        <w:t> </w:t>
      </w:r>
      <w:r>
        <w:rPr>
          <w:sz w:val="20"/>
        </w:rPr>
        <w:t>there</w:t>
      </w:r>
      <w:r>
        <w:rPr>
          <w:spacing w:val="-10"/>
          <w:sz w:val="20"/>
        </w:rPr>
        <w:t> </w:t>
      </w:r>
      <w:r>
        <w:rPr>
          <w:sz w:val="20"/>
        </w:rPr>
        <w:t>is</w:t>
      </w:r>
      <w:r>
        <w:rPr>
          <w:spacing w:val="-11"/>
          <w:sz w:val="20"/>
        </w:rPr>
        <w:t> </w:t>
      </w:r>
      <w:r>
        <w:rPr>
          <w:sz w:val="20"/>
        </w:rPr>
        <w:t>no</w:t>
      </w:r>
      <w:r>
        <w:rPr>
          <w:spacing w:val="-10"/>
          <w:sz w:val="20"/>
        </w:rPr>
        <w:t> </w:t>
      </w:r>
      <w:r>
        <w:rPr>
          <w:sz w:val="20"/>
        </w:rPr>
        <w:t>constitutional</w:t>
      </w:r>
      <w:r>
        <w:rPr>
          <w:spacing w:val="-10"/>
          <w:sz w:val="20"/>
        </w:rPr>
        <w:t> </w:t>
      </w:r>
      <w:r>
        <w:rPr>
          <w:sz w:val="20"/>
        </w:rPr>
        <w:t>right</w:t>
      </w:r>
      <w:r>
        <w:rPr>
          <w:spacing w:val="-10"/>
          <w:sz w:val="20"/>
        </w:rPr>
        <w:t> </w:t>
      </w:r>
      <w:r>
        <w:rPr>
          <w:sz w:val="20"/>
        </w:rPr>
        <w:t>to</w:t>
      </w:r>
      <w:r>
        <w:rPr>
          <w:spacing w:val="-11"/>
          <w:sz w:val="20"/>
        </w:rPr>
        <w:t> </w:t>
      </w:r>
      <w:r>
        <w:rPr>
          <w:sz w:val="20"/>
        </w:rPr>
        <w:t>a</w:t>
      </w:r>
      <w:r>
        <w:rPr>
          <w:spacing w:val="-10"/>
          <w:sz w:val="20"/>
        </w:rPr>
        <w:t> </w:t>
      </w:r>
      <w:r>
        <w:rPr>
          <w:sz w:val="20"/>
        </w:rPr>
        <w:t>jury</w:t>
      </w:r>
      <w:r>
        <w:rPr>
          <w:spacing w:val="-10"/>
          <w:sz w:val="20"/>
        </w:rPr>
        <w:t> </w:t>
      </w:r>
      <w:r>
        <w:rPr>
          <w:sz w:val="20"/>
        </w:rPr>
        <w:t>trial</w:t>
      </w:r>
      <w:r>
        <w:rPr>
          <w:spacing w:val="-10"/>
          <w:sz w:val="20"/>
        </w:rPr>
        <w:t> </w:t>
      </w:r>
      <w:r>
        <w:rPr>
          <w:sz w:val="20"/>
        </w:rPr>
        <w:t>but</w:t>
      </w:r>
      <w:r>
        <w:rPr>
          <w:spacing w:val="-11"/>
          <w:sz w:val="20"/>
        </w:rPr>
        <w:t> </w:t>
      </w:r>
      <w:r>
        <w:rPr>
          <w:sz w:val="20"/>
        </w:rPr>
        <w:t>its</w:t>
      </w:r>
      <w:r>
        <w:rPr>
          <w:spacing w:val="-10"/>
          <w:sz w:val="20"/>
        </w:rPr>
        <w:t> </w:t>
      </w:r>
      <w:r>
        <w:rPr>
          <w:sz w:val="20"/>
        </w:rPr>
        <w:t>use</w:t>
      </w:r>
      <w:r>
        <w:rPr>
          <w:spacing w:val="-10"/>
          <w:sz w:val="20"/>
        </w:rPr>
        <w:t> </w:t>
      </w:r>
      <w:r>
        <w:rPr>
          <w:sz w:val="20"/>
        </w:rPr>
        <w:t>for</w:t>
      </w:r>
      <w:r>
        <w:rPr>
          <w:spacing w:val="-10"/>
          <w:sz w:val="20"/>
        </w:rPr>
        <w:t> </w:t>
      </w:r>
      <w:r>
        <w:rPr>
          <w:sz w:val="20"/>
        </w:rPr>
        <w:t>serious</w:t>
      </w:r>
      <w:r>
        <w:rPr>
          <w:spacing w:val="-11"/>
          <w:sz w:val="20"/>
        </w:rPr>
        <w:t> </w:t>
      </w:r>
      <w:r>
        <w:rPr>
          <w:sz w:val="20"/>
        </w:rPr>
        <w:t>offences is</w:t>
      </w:r>
      <w:r>
        <w:rPr>
          <w:spacing w:val="-11"/>
          <w:sz w:val="20"/>
        </w:rPr>
        <w:t> </w:t>
      </w:r>
      <w:r>
        <w:rPr>
          <w:sz w:val="20"/>
        </w:rPr>
        <w:t>widely</w:t>
      </w:r>
      <w:r>
        <w:rPr>
          <w:spacing w:val="-10"/>
          <w:sz w:val="20"/>
        </w:rPr>
        <w:t> </w:t>
      </w:r>
      <w:r>
        <w:rPr>
          <w:sz w:val="20"/>
        </w:rPr>
        <w:t>supported</w:t>
      </w:r>
      <w:r>
        <w:rPr>
          <w:spacing w:val="-11"/>
          <w:sz w:val="20"/>
        </w:rPr>
        <w:t> </w:t>
      </w:r>
      <w:r>
        <w:rPr>
          <w:sz w:val="20"/>
        </w:rPr>
        <w:t>and</w:t>
      </w:r>
      <w:r>
        <w:rPr>
          <w:spacing w:val="-10"/>
          <w:sz w:val="20"/>
        </w:rPr>
        <w:t> </w:t>
      </w:r>
      <w:r>
        <w:rPr>
          <w:sz w:val="20"/>
        </w:rPr>
        <w:t>established.</w:t>
      </w:r>
      <w:r>
        <w:rPr>
          <w:position w:val="7"/>
          <w:sz w:val="11"/>
        </w:rPr>
        <w:t>3</w:t>
      </w:r>
      <w:r>
        <w:rPr>
          <w:spacing w:val="14"/>
          <w:position w:val="7"/>
          <w:sz w:val="11"/>
        </w:rPr>
        <w:t> </w:t>
      </w:r>
      <w:r>
        <w:rPr>
          <w:sz w:val="20"/>
        </w:rPr>
        <w:t>Victoria</w:t>
      </w:r>
      <w:r>
        <w:rPr>
          <w:spacing w:val="-11"/>
          <w:sz w:val="20"/>
        </w:rPr>
        <w:t> </w:t>
      </w:r>
      <w:r>
        <w:rPr>
          <w:sz w:val="20"/>
        </w:rPr>
        <w:t>Legal</w:t>
      </w:r>
      <w:r>
        <w:rPr>
          <w:spacing w:val="-10"/>
          <w:sz w:val="20"/>
        </w:rPr>
        <w:t> </w:t>
      </w:r>
      <w:r>
        <w:rPr>
          <w:sz w:val="20"/>
        </w:rPr>
        <w:t>Aid</w:t>
      </w:r>
      <w:r>
        <w:rPr>
          <w:spacing w:val="-10"/>
          <w:sz w:val="20"/>
        </w:rPr>
        <w:t> </w:t>
      </w:r>
      <w:r>
        <w:rPr>
          <w:sz w:val="20"/>
        </w:rPr>
        <w:t>stated</w:t>
      </w:r>
      <w:r>
        <w:rPr>
          <w:spacing w:val="-11"/>
          <w:sz w:val="20"/>
        </w:rPr>
        <w:t> </w:t>
      </w:r>
      <w:r>
        <w:rPr>
          <w:sz w:val="20"/>
        </w:rPr>
        <w:t>in</w:t>
      </w:r>
      <w:r>
        <w:rPr>
          <w:spacing w:val="-10"/>
          <w:sz w:val="20"/>
        </w:rPr>
        <w:t> </w:t>
      </w:r>
      <w:r>
        <w:rPr>
          <w:sz w:val="20"/>
        </w:rPr>
        <w:t>its</w:t>
      </w:r>
      <w:r>
        <w:rPr>
          <w:spacing w:val="-11"/>
          <w:sz w:val="20"/>
        </w:rPr>
        <w:t> </w:t>
      </w:r>
      <w:r>
        <w:rPr>
          <w:sz w:val="20"/>
        </w:rPr>
        <w:t>submission:</w:t>
      </w:r>
      <w:r>
        <w:rPr>
          <w:spacing w:val="-10"/>
          <w:sz w:val="20"/>
        </w:rPr>
        <w:t> </w:t>
      </w:r>
      <w:r>
        <w:rPr>
          <w:sz w:val="20"/>
        </w:rPr>
        <w:t>‘The jury’s</w:t>
      </w:r>
      <w:r>
        <w:rPr>
          <w:spacing w:val="-9"/>
          <w:sz w:val="20"/>
        </w:rPr>
        <w:t> </w:t>
      </w:r>
      <w:r>
        <w:rPr>
          <w:spacing w:val="-3"/>
          <w:sz w:val="20"/>
        </w:rPr>
        <w:t>role</w:t>
      </w:r>
      <w:r>
        <w:rPr>
          <w:spacing w:val="-9"/>
          <w:sz w:val="20"/>
        </w:rPr>
        <w:t> </w:t>
      </w:r>
      <w:r>
        <w:rPr>
          <w:sz w:val="20"/>
        </w:rPr>
        <w:t>in</w:t>
      </w:r>
      <w:r>
        <w:rPr>
          <w:spacing w:val="-8"/>
          <w:sz w:val="20"/>
        </w:rPr>
        <w:t> </w:t>
      </w:r>
      <w:r>
        <w:rPr>
          <w:sz w:val="20"/>
        </w:rPr>
        <w:t>criminal</w:t>
      </w:r>
      <w:r>
        <w:rPr>
          <w:spacing w:val="-9"/>
          <w:sz w:val="20"/>
        </w:rPr>
        <w:t> </w:t>
      </w:r>
      <w:r>
        <w:rPr>
          <w:sz w:val="20"/>
        </w:rPr>
        <w:t>trials</w:t>
      </w:r>
      <w:r>
        <w:rPr>
          <w:spacing w:val="-9"/>
          <w:sz w:val="20"/>
        </w:rPr>
        <w:t> </w:t>
      </w:r>
      <w:r>
        <w:rPr>
          <w:sz w:val="20"/>
        </w:rPr>
        <w:t>is</w:t>
      </w:r>
      <w:r>
        <w:rPr>
          <w:spacing w:val="-8"/>
          <w:sz w:val="20"/>
        </w:rPr>
        <w:t> </w:t>
      </w:r>
      <w:r>
        <w:rPr>
          <w:sz w:val="20"/>
        </w:rPr>
        <w:t>one</w:t>
      </w:r>
      <w:r>
        <w:rPr>
          <w:spacing w:val="-9"/>
          <w:sz w:val="20"/>
        </w:rPr>
        <w:t> </w:t>
      </w:r>
      <w:r>
        <w:rPr>
          <w:sz w:val="20"/>
        </w:rPr>
        <w:t>of</w:t>
      </w:r>
      <w:r>
        <w:rPr>
          <w:spacing w:val="-8"/>
          <w:sz w:val="20"/>
        </w:rPr>
        <w:t> </w:t>
      </w:r>
      <w:r>
        <w:rPr>
          <w:sz w:val="20"/>
        </w:rPr>
        <w:t>the</w:t>
      </w:r>
      <w:r>
        <w:rPr>
          <w:spacing w:val="-9"/>
          <w:sz w:val="20"/>
        </w:rPr>
        <w:t> </w:t>
      </w:r>
      <w:r>
        <w:rPr>
          <w:sz w:val="20"/>
        </w:rPr>
        <w:t>most</w:t>
      </w:r>
      <w:r>
        <w:rPr>
          <w:spacing w:val="-9"/>
          <w:sz w:val="20"/>
        </w:rPr>
        <w:t> </w:t>
      </w:r>
      <w:r>
        <w:rPr>
          <w:sz w:val="20"/>
        </w:rPr>
        <w:t>important</w:t>
      </w:r>
      <w:r>
        <w:rPr>
          <w:spacing w:val="-8"/>
          <w:sz w:val="20"/>
        </w:rPr>
        <w:t> </w:t>
      </w:r>
      <w:r>
        <w:rPr>
          <w:spacing w:val="-3"/>
          <w:sz w:val="20"/>
        </w:rPr>
        <w:t>features</w:t>
      </w:r>
      <w:r>
        <w:rPr>
          <w:spacing w:val="-9"/>
          <w:sz w:val="20"/>
        </w:rPr>
        <w:t> </w:t>
      </w:r>
      <w:r>
        <w:rPr>
          <w:sz w:val="20"/>
        </w:rPr>
        <w:t>of</w:t>
      </w:r>
      <w:r>
        <w:rPr>
          <w:spacing w:val="-9"/>
          <w:sz w:val="20"/>
        </w:rPr>
        <w:t> </w:t>
      </w:r>
      <w:r>
        <w:rPr>
          <w:sz w:val="20"/>
        </w:rPr>
        <w:t>our</w:t>
      </w:r>
      <w:r>
        <w:rPr>
          <w:spacing w:val="-8"/>
          <w:sz w:val="20"/>
        </w:rPr>
        <w:t> </w:t>
      </w:r>
      <w:r>
        <w:rPr>
          <w:sz w:val="20"/>
        </w:rPr>
        <w:t>criminal</w:t>
      </w:r>
      <w:r>
        <w:rPr>
          <w:spacing w:val="-9"/>
          <w:sz w:val="20"/>
        </w:rPr>
        <w:t> </w:t>
      </w:r>
      <w:r>
        <w:rPr>
          <w:sz w:val="20"/>
        </w:rPr>
        <w:t>justice </w:t>
      </w:r>
      <w:r>
        <w:rPr>
          <w:spacing w:val="-3"/>
          <w:sz w:val="20"/>
        </w:rPr>
        <w:t>system’.</w:t>
      </w:r>
      <w:r>
        <w:rPr>
          <w:spacing w:val="-3"/>
          <w:position w:val="7"/>
          <w:sz w:val="11"/>
        </w:rPr>
        <w:t>4</w:t>
      </w:r>
      <w:r>
        <w:rPr>
          <w:spacing w:val="18"/>
          <w:position w:val="7"/>
          <w:sz w:val="11"/>
        </w:rPr>
        <w:t> </w:t>
      </w:r>
      <w:r>
        <w:rPr>
          <w:sz w:val="20"/>
        </w:rPr>
        <w:t>The</w:t>
      </w:r>
      <w:r>
        <w:rPr>
          <w:spacing w:val="-7"/>
          <w:sz w:val="20"/>
        </w:rPr>
        <w:t> </w:t>
      </w:r>
      <w:r>
        <w:rPr>
          <w:sz w:val="20"/>
        </w:rPr>
        <w:t>County</w:t>
      </w:r>
      <w:r>
        <w:rPr>
          <w:spacing w:val="-7"/>
          <w:sz w:val="20"/>
        </w:rPr>
        <w:t> </w:t>
      </w:r>
      <w:r>
        <w:rPr>
          <w:sz w:val="20"/>
        </w:rPr>
        <w:t>Court</w:t>
      </w:r>
      <w:r>
        <w:rPr>
          <w:spacing w:val="-7"/>
          <w:sz w:val="20"/>
        </w:rPr>
        <w:t> </w:t>
      </w:r>
      <w:r>
        <w:rPr>
          <w:spacing w:val="-3"/>
          <w:sz w:val="20"/>
        </w:rPr>
        <w:t>referred</w:t>
      </w:r>
      <w:r>
        <w:rPr>
          <w:spacing w:val="-7"/>
          <w:sz w:val="20"/>
        </w:rPr>
        <w:t> </w:t>
      </w:r>
      <w:r>
        <w:rPr>
          <w:sz w:val="20"/>
        </w:rPr>
        <w:t>to</w:t>
      </w:r>
      <w:r>
        <w:rPr>
          <w:spacing w:val="-7"/>
          <w:sz w:val="20"/>
        </w:rPr>
        <w:t> </w:t>
      </w:r>
      <w:r>
        <w:rPr>
          <w:sz w:val="20"/>
        </w:rPr>
        <w:t>the</w:t>
      </w:r>
      <w:r>
        <w:rPr>
          <w:spacing w:val="-7"/>
          <w:sz w:val="20"/>
        </w:rPr>
        <w:t> </w:t>
      </w:r>
      <w:r>
        <w:rPr>
          <w:sz w:val="20"/>
        </w:rPr>
        <w:t>jury</w:t>
      </w:r>
      <w:r>
        <w:rPr>
          <w:spacing w:val="-7"/>
          <w:sz w:val="20"/>
        </w:rPr>
        <w:t> </w:t>
      </w:r>
      <w:r>
        <w:rPr>
          <w:sz w:val="20"/>
        </w:rPr>
        <w:t>as</w:t>
      </w:r>
      <w:r>
        <w:rPr>
          <w:spacing w:val="-7"/>
          <w:sz w:val="20"/>
        </w:rPr>
        <w:t> </w:t>
      </w:r>
      <w:r>
        <w:rPr>
          <w:sz w:val="20"/>
        </w:rPr>
        <w:t>a</w:t>
      </w:r>
      <w:r>
        <w:rPr>
          <w:spacing w:val="-7"/>
          <w:sz w:val="20"/>
        </w:rPr>
        <w:t> </w:t>
      </w:r>
      <w:r>
        <w:rPr>
          <w:sz w:val="20"/>
        </w:rPr>
        <w:t>‘little</w:t>
      </w:r>
      <w:r>
        <w:rPr>
          <w:spacing w:val="-6"/>
          <w:sz w:val="20"/>
        </w:rPr>
        <w:t> </w:t>
      </w:r>
      <w:r>
        <w:rPr>
          <w:sz w:val="20"/>
        </w:rPr>
        <w:t>parliament’</w:t>
      </w:r>
      <w:r>
        <w:rPr>
          <w:spacing w:val="-7"/>
          <w:sz w:val="20"/>
        </w:rPr>
        <w:t> </w:t>
      </w:r>
      <w:r>
        <w:rPr>
          <w:sz w:val="20"/>
        </w:rPr>
        <w:t>which</w:t>
      </w:r>
      <w:r>
        <w:rPr>
          <w:spacing w:val="-7"/>
          <w:sz w:val="20"/>
        </w:rPr>
        <w:t> </w:t>
      </w:r>
      <w:r>
        <w:rPr>
          <w:sz w:val="20"/>
        </w:rPr>
        <w:t>serves</w:t>
      </w:r>
      <w:r>
        <w:rPr>
          <w:spacing w:val="-7"/>
          <w:sz w:val="20"/>
        </w:rPr>
        <w:t> </w:t>
      </w:r>
      <w:r>
        <w:rPr>
          <w:sz w:val="20"/>
        </w:rPr>
        <w:t>to</w:t>
      </w:r>
    </w:p>
    <w:p>
      <w:pPr>
        <w:pStyle w:val="BodyText"/>
        <w:spacing w:line="206" w:lineRule="auto" w:before="5"/>
        <w:ind w:left="1761" w:right="1182"/>
        <w:rPr>
          <w:sz w:val="11"/>
        </w:rPr>
      </w:pPr>
      <w:r>
        <w:rPr>
          <w:spacing w:val="-3"/>
        </w:rPr>
        <w:t>‘ensure </w:t>
      </w:r>
      <w:r>
        <w:rPr/>
        <w:t>a measure of democratic participation, and </w:t>
      </w:r>
      <w:r>
        <w:rPr>
          <w:spacing w:val="-3"/>
        </w:rPr>
        <w:t>therefore, </w:t>
      </w:r>
      <w:r>
        <w:rPr/>
        <w:t>democratic </w:t>
      </w:r>
      <w:r>
        <w:rPr>
          <w:spacing w:val="-3"/>
        </w:rPr>
        <w:t>legitimacy, </w:t>
      </w:r>
      <w:r>
        <w:rPr/>
        <w:t>to the administration of </w:t>
      </w:r>
      <w:r>
        <w:rPr>
          <w:spacing w:val="-3"/>
        </w:rPr>
        <w:t>justice’.</w:t>
      </w:r>
      <w:r>
        <w:rPr>
          <w:spacing w:val="-3"/>
          <w:position w:val="7"/>
          <w:sz w:val="11"/>
        </w:rPr>
        <w:t>5</w:t>
      </w:r>
    </w:p>
    <w:p>
      <w:pPr>
        <w:pStyle w:val="BodyText"/>
      </w:pPr>
    </w:p>
    <w:p>
      <w:pPr>
        <w:pStyle w:val="BodyText"/>
      </w:pPr>
    </w:p>
    <w:p>
      <w:pPr>
        <w:pStyle w:val="BodyText"/>
      </w:pPr>
    </w:p>
    <w:p>
      <w:pPr>
        <w:pStyle w:val="BodyText"/>
        <w:spacing w:before="10"/>
        <w:rPr>
          <w:sz w:val="13"/>
        </w:rPr>
      </w:pPr>
      <w:r>
        <w:rPr/>
        <w:pict>
          <v:line style="position:absolute;mso-position-horizontal-relative:page;mso-position-vertical-relative:paragraph;z-index:344;mso-wrap-distance-left:0;mso-wrap-distance-right:0" from="79.370102pt,11.984444pt" to="515.905102pt,11.984444pt" stroked="true" strokeweight="1pt" strokecolor="#b6bdc8">
            <v:stroke dashstyle="solid"/>
            <w10:wrap type="topAndBottom"/>
          </v:line>
        </w:pict>
      </w:r>
    </w:p>
    <w:p>
      <w:pPr>
        <w:pStyle w:val="ListParagraph"/>
        <w:numPr>
          <w:ilvl w:val="0"/>
          <w:numId w:val="16"/>
        </w:numPr>
        <w:tabs>
          <w:tab w:pos="1760" w:val="left" w:leader="none"/>
          <w:tab w:pos="1762" w:val="left" w:leader="none"/>
        </w:tabs>
        <w:spacing w:line="213" w:lineRule="auto" w:before="107" w:after="0"/>
        <w:ind w:left="1761" w:right="1245" w:hanging="794"/>
        <w:jc w:val="left"/>
        <w:rPr>
          <w:sz w:val="13"/>
        </w:rPr>
      </w:pPr>
      <w:r>
        <w:rPr>
          <w:sz w:val="13"/>
        </w:rPr>
        <w:t>Paul Anthony Dore, </w:t>
      </w:r>
      <w:r>
        <w:rPr>
          <w:i/>
          <w:spacing w:val="-4"/>
          <w:sz w:val="13"/>
        </w:rPr>
        <w:t>To </w:t>
      </w:r>
      <w:r>
        <w:rPr>
          <w:i/>
          <w:sz w:val="13"/>
        </w:rPr>
        <w:t>Develop a Systemic Approach to Juror </w:t>
      </w:r>
      <w:r>
        <w:rPr>
          <w:i/>
          <w:spacing w:val="2"/>
          <w:sz w:val="13"/>
        </w:rPr>
        <w:t>Support </w:t>
      </w:r>
      <w:r>
        <w:rPr>
          <w:i/>
          <w:sz w:val="13"/>
        </w:rPr>
        <w:t>Programs in Australia </w:t>
      </w:r>
      <w:r>
        <w:rPr>
          <w:spacing w:val="2"/>
          <w:sz w:val="13"/>
        </w:rPr>
        <w:t>(Report, </w:t>
      </w:r>
      <w:r>
        <w:rPr>
          <w:sz w:val="13"/>
        </w:rPr>
        <w:t>Winston Churchill Trust, 2018) </w:t>
      </w:r>
      <w:r>
        <w:rPr>
          <w:spacing w:val="2"/>
          <w:sz w:val="13"/>
        </w:rPr>
        <w:t>31.</w:t>
      </w:r>
    </w:p>
    <w:p>
      <w:pPr>
        <w:pStyle w:val="ListParagraph"/>
        <w:numPr>
          <w:ilvl w:val="0"/>
          <w:numId w:val="16"/>
        </w:numPr>
        <w:tabs>
          <w:tab w:pos="1760" w:val="left" w:leader="none"/>
          <w:tab w:pos="1762" w:val="left" w:leader="none"/>
        </w:tabs>
        <w:spacing w:line="213" w:lineRule="auto" w:before="0" w:after="0"/>
        <w:ind w:left="1761" w:right="1402" w:hanging="794"/>
        <w:jc w:val="left"/>
        <w:rPr>
          <w:sz w:val="13"/>
        </w:rPr>
      </w:pPr>
      <w:r>
        <w:rPr>
          <w:sz w:val="13"/>
        </w:rPr>
        <w:t>Judicial College of Victoria, </w:t>
      </w:r>
      <w:r>
        <w:rPr>
          <w:spacing w:val="3"/>
          <w:sz w:val="13"/>
        </w:rPr>
        <w:t>‘1.4 </w:t>
      </w:r>
      <w:r>
        <w:rPr>
          <w:sz w:val="13"/>
        </w:rPr>
        <w:t>The Role of Judge and Jury’, </w:t>
      </w:r>
      <w:r>
        <w:rPr>
          <w:i/>
          <w:sz w:val="13"/>
        </w:rPr>
        <w:t>Victorian Criminal Charge Book </w:t>
      </w:r>
      <w:r>
        <w:rPr>
          <w:sz w:val="13"/>
        </w:rPr>
        <w:t>(Online </w:t>
      </w:r>
      <w:r>
        <w:rPr>
          <w:spacing w:val="2"/>
          <w:sz w:val="13"/>
        </w:rPr>
        <w:t>Manual) [1] </w:t>
      </w:r>
      <w:r>
        <w:rPr>
          <w:sz w:val="13"/>
        </w:rPr>
        <w:t>&lt;</w:t>
      </w:r>
      <w:hyperlink r:id="rId40">
        <w:r>
          <w:rPr>
            <w:sz w:val="13"/>
          </w:rPr>
          <w:t>www.</w:t>
        </w:r>
      </w:hyperlink>
      <w:hyperlink r:id="rId40">
        <w:r>
          <w:rPr>
            <w:sz w:val="13"/>
          </w:rPr>
          <w:t> judicialcollege.vic.edu.au/eManuals/CCB/index.h</w:t>
        </w:r>
      </w:hyperlink>
      <w:r>
        <w:rPr>
          <w:sz w:val="13"/>
        </w:rPr>
        <w:t>tm#19193.htm&gt;, citing </w:t>
      </w:r>
      <w:r>
        <w:rPr>
          <w:i/>
          <w:sz w:val="13"/>
        </w:rPr>
        <w:t>R v Dao </w:t>
      </w:r>
      <w:r>
        <w:rPr>
          <w:spacing w:val="2"/>
          <w:sz w:val="13"/>
        </w:rPr>
        <w:t>[2005] </w:t>
      </w:r>
      <w:r>
        <w:rPr>
          <w:sz w:val="13"/>
        </w:rPr>
        <w:t>VSCA </w:t>
      </w:r>
      <w:r>
        <w:rPr>
          <w:spacing w:val="2"/>
          <w:sz w:val="13"/>
        </w:rPr>
        <w:t>196, (2005) 156 </w:t>
      </w:r>
      <w:r>
        <w:rPr>
          <w:sz w:val="13"/>
        </w:rPr>
        <w:t>A Crim R 459; </w:t>
      </w:r>
      <w:r>
        <w:rPr>
          <w:i/>
          <w:sz w:val="13"/>
        </w:rPr>
        <w:t>R v </w:t>
      </w:r>
      <w:r>
        <w:rPr>
          <w:i/>
          <w:sz w:val="13"/>
        </w:rPr>
        <w:t>Nguyen </w:t>
      </w:r>
      <w:r>
        <w:rPr>
          <w:sz w:val="13"/>
        </w:rPr>
        <w:t>[2006] VSCA 158; </w:t>
      </w:r>
      <w:r>
        <w:rPr>
          <w:i/>
          <w:sz w:val="13"/>
        </w:rPr>
        <w:t>Azzopardi v The </w:t>
      </w:r>
      <w:r>
        <w:rPr>
          <w:i/>
          <w:spacing w:val="2"/>
          <w:sz w:val="13"/>
        </w:rPr>
        <w:t>Queen </w:t>
      </w:r>
      <w:r>
        <w:rPr>
          <w:sz w:val="13"/>
        </w:rPr>
        <w:t>[2001] HCA </w:t>
      </w:r>
      <w:r>
        <w:rPr>
          <w:spacing w:val="2"/>
          <w:sz w:val="13"/>
        </w:rPr>
        <w:t>25, (2001) </w:t>
      </w:r>
      <w:r>
        <w:rPr>
          <w:sz w:val="13"/>
        </w:rPr>
        <w:t>205 CLR</w:t>
      </w:r>
      <w:r>
        <w:rPr>
          <w:spacing w:val="8"/>
          <w:sz w:val="13"/>
        </w:rPr>
        <w:t> </w:t>
      </w:r>
      <w:r>
        <w:rPr>
          <w:sz w:val="13"/>
        </w:rPr>
        <w:t>50.</w:t>
      </w:r>
    </w:p>
    <w:p>
      <w:pPr>
        <w:pStyle w:val="ListParagraph"/>
        <w:numPr>
          <w:ilvl w:val="0"/>
          <w:numId w:val="16"/>
        </w:numPr>
        <w:tabs>
          <w:tab w:pos="1760" w:val="left" w:leader="none"/>
          <w:tab w:pos="1762" w:val="left" w:leader="none"/>
        </w:tabs>
        <w:spacing w:line="213" w:lineRule="auto" w:before="0" w:after="0"/>
        <w:ind w:left="1761" w:right="1382" w:hanging="794"/>
        <w:jc w:val="left"/>
        <w:rPr>
          <w:sz w:val="13"/>
        </w:rPr>
      </w:pPr>
      <w:r>
        <w:rPr>
          <w:sz w:val="13"/>
        </w:rPr>
        <w:t>The </w:t>
      </w:r>
      <w:r>
        <w:rPr>
          <w:i/>
          <w:sz w:val="13"/>
        </w:rPr>
        <w:t>Criminal Procedure Act 2009 </w:t>
      </w:r>
      <w:r>
        <w:rPr>
          <w:spacing w:val="2"/>
          <w:sz w:val="13"/>
        </w:rPr>
        <w:t>(Vic) </w:t>
      </w:r>
      <w:r>
        <w:rPr>
          <w:sz w:val="13"/>
        </w:rPr>
        <w:t>sets out the procedure for hearing and determining criminal offences in </w:t>
      </w:r>
      <w:r>
        <w:rPr>
          <w:spacing w:val="2"/>
          <w:sz w:val="13"/>
        </w:rPr>
        <w:t>Victoria. </w:t>
      </w:r>
      <w:r>
        <w:rPr>
          <w:sz w:val="13"/>
        </w:rPr>
        <w:t>For indictable offences, this procedure includes trial by </w:t>
      </w:r>
      <w:r>
        <w:rPr>
          <w:spacing w:val="2"/>
          <w:sz w:val="13"/>
        </w:rPr>
        <w:t>jury: </w:t>
      </w:r>
      <w:r>
        <w:rPr>
          <w:i/>
          <w:sz w:val="13"/>
        </w:rPr>
        <w:t>Criminal Procedure Act 2009 </w:t>
      </w:r>
      <w:r>
        <w:rPr>
          <w:spacing w:val="2"/>
          <w:sz w:val="13"/>
        </w:rPr>
        <w:t>(Vic) </w:t>
      </w:r>
      <w:r>
        <w:rPr>
          <w:sz w:val="13"/>
        </w:rPr>
        <w:t>pt </w:t>
      </w:r>
      <w:r>
        <w:rPr>
          <w:spacing w:val="4"/>
          <w:sz w:val="13"/>
        </w:rPr>
        <w:t>2.4. </w:t>
      </w:r>
      <w:r>
        <w:rPr>
          <w:sz w:val="13"/>
        </w:rPr>
        <w:t>Unlike in Victoria, there is constitutional recognition of a right to trial by </w:t>
      </w:r>
      <w:r>
        <w:rPr>
          <w:spacing w:val="2"/>
          <w:sz w:val="13"/>
        </w:rPr>
        <w:t>jury </w:t>
      </w:r>
      <w:r>
        <w:rPr>
          <w:sz w:val="13"/>
        </w:rPr>
        <w:t>for Commonwealth offences tried on </w:t>
      </w:r>
      <w:r>
        <w:rPr>
          <w:spacing w:val="2"/>
          <w:sz w:val="13"/>
        </w:rPr>
        <w:t>indictment: </w:t>
      </w:r>
      <w:r>
        <w:rPr>
          <w:i/>
          <w:sz w:val="13"/>
        </w:rPr>
        <w:t>Commonwealth of Australia </w:t>
      </w:r>
      <w:r>
        <w:rPr>
          <w:i/>
          <w:sz w:val="13"/>
        </w:rPr>
        <w:t>Constitution Act 1900 </w:t>
      </w:r>
      <w:r>
        <w:rPr>
          <w:sz w:val="13"/>
        </w:rPr>
        <w:t>(Cth) s</w:t>
      </w:r>
      <w:r>
        <w:rPr>
          <w:spacing w:val="2"/>
          <w:sz w:val="13"/>
        </w:rPr>
        <w:t> </w:t>
      </w:r>
      <w:r>
        <w:rPr>
          <w:sz w:val="13"/>
        </w:rPr>
        <w:t>80.</w:t>
      </w:r>
    </w:p>
    <w:p>
      <w:pPr>
        <w:pStyle w:val="ListParagraph"/>
        <w:numPr>
          <w:ilvl w:val="0"/>
          <w:numId w:val="16"/>
        </w:numPr>
        <w:tabs>
          <w:tab w:pos="1760" w:val="left" w:leader="none"/>
          <w:tab w:pos="1762" w:val="left" w:leader="none"/>
        </w:tabs>
        <w:spacing w:line="151" w:lineRule="exact" w:before="0" w:after="0"/>
        <w:ind w:left="1761" w:right="0" w:hanging="794"/>
        <w:jc w:val="left"/>
        <w:rPr>
          <w:sz w:val="13"/>
        </w:rPr>
      </w:pPr>
      <w:r>
        <w:rPr/>
        <w:pict>
          <v:shape style="position:absolute;margin-left:36pt;margin-top:3.277972pt;width:12.9pt;height:14.1pt;mso-position-horizontal-relative:page;mso-position-vertical-relative:paragraph;z-index:2440" type="#_x0000_t202" filled="false" stroked="false">
            <v:textbox inset="0,0,0,0">
              <w:txbxContent>
                <w:p>
                  <w:pPr>
                    <w:spacing w:line="282" w:lineRule="exact" w:before="0"/>
                    <w:ind w:left="0" w:right="0" w:firstLine="0"/>
                    <w:jc w:val="left"/>
                    <w:rPr>
                      <w:b/>
                      <w:sz w:val="24"/>
                    </w:rPr>
                  </w:pPr>
                  <w:r>
                    <w:rPr>
                      <w:b/>
                      <w:color w:val="37617A"/>
                      <w:spacing w:val="-5"/>
                      <w:sz w:val="24"/>
                    </w:rPr>
                    <w:t>10</w:t>
                  </w:r>
                </w:p>
              </w:txbxContent>
            </v:textbox>
            <w10:wrap type="none"/>
          </v:shape>
        </w:pict>
      </w: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pStyle w:val="ListParagraph"/>
        <w:numPr>
          <w:ilvl w:val="0"/>
          <w:numId w:val="16"/>
        </w:numPr>
        <w:tabs>
          <w:tab w:pos="1760" w:val="left" w:leader="none"/>
          <w:tab w:pos="1762" w:val="left" w:leader="none"/>
        </w:tabs>
        <w:spacing w:line="17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spacing w:after="0" w:line="170"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40" w:lineRule="auto" w:before="58" w:after="0"/>
        <w:ind w:left="1761" w:right="0" w:hanging="794"/>
        <w:jc w:val="left"/>
        <w:rPr>
          <w:sz w:val="20"/>
        </w:rPr>
      </w:pPr>
      <w:bookmarkStart w:name="_bookmark13" w:id="34"/>
      <w:bookmarkEnd w:id="34"/>
      <w:r>
        <w:rPr/>
      </w:r>
      <w:bookmarkStart w:name="_bookmark13" w:id="35"/>
      <w:bookmarkEnd w:id="35"/>
      <w:r>
        <w:rPr>
          <w:sz w:val="20"/>
        </w:rPr>
        <w:t>T</w:t>
      </w:r>
      <w:r>
        <w:rPr>
          <w:sz w:val="20"/>
        </w:rPr>
        <w:t>he purposes of jury trials</w:t>
      </w:r>
      <w:r>
        <w:rPr>
          <w:spacing w:val="-21"/>
          <w:sz w:val="20"/>
        </w:rPr>
        <w:t> </w:t>
      </w:r>
      <w:r>
        <w:rPr>
          <w:spacing w:val="-3"/>
          <w:sz w:val="20"/>
        </w:rPr>
        <w:t>are:</w:t>
      </w:r>
    </w:p>
    <w:p>
      <w:pPr>
        <w:pStyle w:val="ListParagraph"/>
        <w:numPr>
          <w:ilvl w:val="2"/>
          <w:numId w:val="12"/>
        </w:numPr>
        <w:tabs>
          <w:tab w:pos="2157" w:val="left" w:leader="none"/>
          <w:tab w:pos="2158" w:val="left" w:leader="none"/>
        </w:tabs>
        <w:spacing w:line="240" w:lineRule="auto" w:before="82" w:after="0"/>
        <w:ind w:left="2157" w:right="0" w:hanging="396"/>
        <w:jc w:val="left"/>
        <w:rPr>
          <w:sz w:val="20"/>
        </w:rPr>
      </w:pPr>
      <w:r>
        <w:rPr>
          <w:sz w:val="20"/>
        </w:rPr>
        <w:t>safeguarding</w:t>
      </w:r>
      <w:r>
        <w:rPr>
          <w:spacing w:val="-6"/>
          <w:sz w:val="20"/>
        </w:rPr>
        <w:t> </w:t>
      </w:r>
      <w:r>
        <w:rPr>
          <w:sz w:val="20"/>
        </w:rPr>
        <w:t>the</w:t>
      </w:r>
      <w:r>
        <w:rPr>
          <w:spacing w:val="-5"/>
          <w:sz w:val="20"/>
        </w:rPr>
        <w:t> </w:t>
      </w:r>
      <w:r>
        <w:rPr>
          <w:sz w:val="20"/>
        </w:rPr>
        <w:t>rights</w:t>
      </w:r>
      <w:r>
        <w:rPr>
          <w:spacing w:val="-5"/>
          <w:sz w:val="20"/>
        </w:rPr>
        <w:t> </w:t>
      </w:r>
      <w:r>
        <w:rPr>
          <w:sz w:val="20"/>
        </w:rPr>
        <w:t>of</w:t>
      </w:r>
      <w:r>
        <w:rPr>
          <w:spacing w:val="-5"/>
          <w:sz w:val="20"/>
        </w:rPr>
        <w:t> </w:t>
      </w:r>
      <w:r>
        <w:rPr>
          <w:sz w:val="20"/>
        </w:rPr>
        <w:t>the</w:t>
      </w:r>
      <w:r>
        <w:rPr>
          <w:spacing w:val="-5"/>
          <w:sz w:val="20"/>
        </w:rPr>
        <w:t> </w:t>
      </w:r>
      <w:r>
        <w:rPr>
          <w:sz w:val="20"/>
        </w:rPr>
        <w:t>accused</w:t>
      </w:r>
      <w:r>
        <w:rPr>
          <w:spacing w:val="-6"/>
          <w:sz w:val="20"/>
        </w:rPr>
        <w:t> </w:t>
      </w:r>
      <w:r>
        <w:rPr>
          <w:spacing w:val="-3"/>
          <w:sz w:val="20"/>
        </w:rPr>
        <w:t>by</w:t>
      </w:r>
      <w:r>
        <w:rPr>
          <w:spacing w:val="-5"/>
          <w:sz w:val="20"/>
        </w:rPr>
        <w:t> </w:t>
      </w:r>
      <w:r>
        <w:rPr>
          <w:sz w:val="20"/>
        </w:rPr>
        <w:t>limiting</w:t>
      </w:r>
      <w:r>
        <w:rPr>
          <w:spacing w:val="-5"/>
          <w:sz w:val="20"/>
        </w:rPr>
        <w:t> </w:t>
      </w:r>
      <w:r>
        <w:rPr>
          <w:sz w:val="20"/>
        </w:rPr>
        <w:t>the</w:t>
      </w:r>
      <w:r>
        <w:rPr>
          <w:spacing w:val="-5"/>
          <w:sz w:val="20"/>
        </w:rPr>
        <w:t> </w:t>
      </w:r>
      <w:r>
        <w:rPr>
          <w:spacing w:val="-3"/>
          <w:sz w:val="20"/>
        </w:rPr>
        <w:t>power</w:t>
      </w:r>
      <w:r>
        <w:rPr>
          <w:spacing w:val="-5"/>
          <w:sz w:val="20"/>
        </w:rPr>
        <w:t> </w:t>
      </w:r>
      <w:r>
        <w:rPr>
          <w:sz w:val="20"/>
        </w:rPr>
        <w:t>of</w:t>
      </w:r>
      <w:r>
        <w:rPr>
          <w:spacing w:val="-5"/>
          <w:sz w:val="20"/>
        </w:rPr>
        <w:t> </w:t>
      </w:r>
      <w:r>
        <w:rPr>
          <w:sz w:val="20"/>
        </w:rPr>
        <w:t>the</w:t>
      </w:r>
      <w:r>
        <w:rPr>
          <w:spacing w:val="-6"/>
          <w:sz w:val="20"/>
        </w:rPr>
        <w:t> </w:t>
      </w:r>
      <w:r>
        <w:rPr>
          <w:sz w:val="20"/>
        </w:rPr>
        <w:t>state</w:t>
      </w:r>
    </w:p>
    <w:p>
      <w:pPr>
        <w:pStyle w:val="ListParagraph"/>
        <w:numPr>
          <w:ilvl w:val="2"/>
          <w:numId w:val="12"/>
        </w:numPr>
        <w:tabs>
          <w:tab w:pos="2157" w:val="left" w:leader="none"/>
          <w:tab w:pos="2158" w:val="left" w:leader="none"/>
        </w:tabs>
        <w:spacing w:line="206" w:lineRule="auto" w:before="80" w:after="0"/>
        <w:ind w:left="2157" w:right="1741" w:hanging="396"/>
        <w:jc w:val="left"/>
        <w:rPr>
          <w:sz w:val="11"/>
        </w:rPr>
      </w:pPr>
      <w:r>
        <w:rPr>
          <w:sz w:val="20"/>
        </w:rPr>
        <w:t>ensuring</w:t>
      </w:r>
      <w:r>
        <w:rPr>
          <w:spacing w:val="-13"/>
          <w:sz w:val="20"/>
        </w:rPr>
        <w:t> </w:t>
      </w:r>
      <w:r>
        <w:rPr>
          <w:sz w:val="20"/>
        </w:rPr>
        <w:t>that</w:t>
      </w:r>
      <w:r>
        <w:rPr>
          <w:spacing w:val="-12"/>
          <w:sz w:val="20"/>
        </w:rPr>
        <w:t> </w:t>
      </w:r>
      <w:r>
        <w:rPr>
          <w:sz w:val="20"/>
        </w:rPr>
        <w:t>justice</w:t>
      </w:r>
      <w:r>
        <w:rPr>
          <w:spacing w:val="-13"/>
          <w:sz w:val="20"/>
        </w:rPr>
        <w:t> </w:t>
      </w:r>
      <w:r>
        <w:rPr>
          <w:sz w:val="20"/>
        </w:rPr>
        <w:t>is</w:t>
      </w:r>
      <w:r>
        <w:rPr>
          <w:spacing w:val="-12"/>
          <w:sz w:val="20"/>
        </w:rPr>
        <w:t> </w:t>
      </w:r>
      <w:r>
        <w:rPr>
          <w:sz w:val="20"/>
        </w:rPr>
        <w:t>in</w:t>
      </w:r>
      <w:r>
        <w:rPr>
          <w:spacing w:val="-12"/>
          <w:sz w:val="20"/>
        </w:rPr>
        <w:t> </w:t>
      </w:r>
      <w:r>
        <w:rPr>
          <w:sz w:val="20"/>
        </w:rPr>
        <w:t>line</w:t>
      </w:r>
      <w:r>
        <w:rPr>
          <w:spacing w:val="-13"/>
          <w:sz w:val="20"/>
        </w:rPr>
        <w:t> </w:t>
      </w:r>
      <w:r>
        <w:rPr>
          <w:sz w:val="20"/>
        </w:rPr>
        <w:t>with</w:t>
      </w:r>
      <w:r>
        <w:rPr>
          <w:spacing w:val="-12"/>
          <w:sz w:val="20"/>
        </w:rPr>
        <w:t> </w:t>
      </w:r>
      <w:r>
        <w:rPr>
          <w:sz w:val="20"/>
        </w:rPr>
        <w:t>the</w:t>
      </w:r>
      <w:r>
        <w:rPr>
          <w:spacing w:val="-12"/>
          <w:sz w:val="20"/>
        </w:rPr>
        <w:t> </w:t>
      </w:r>
      <w:r>
        <w:rPr>
          <w:sz w:val="20"/>
        </w:rPr>
        <w:t>community’s</w:t>
      </w:r>
      <w:r>
        <w:rPr>
          <w:spacing w:val="-13"/>
          <w:sz w:val="20"/>
        </w:rPr>
        <w:t> </w:t>
      </w:r>
      <w:r>
        <w:rPr>
          <w:sz w:val="20"/>
        </w:rPr>
        <w:t>standards,</w:t>
      </w:r>
      <w:r>
        <w:rPr>
          <w:spacing w:val="-12"/>
          <w:sz w:val="20"/>
        </w:rPr>
        <w:t> </w:t>
      </w:r>
      <w:r>
        <w:rPr>
          <w:sz w:val="20"/>
        </w:rPr>
        <w:t>rather</w:t>
      </w:r>
      <w:r>
        <w:rPr>
          <w:spacing w:val="-12"/>
          <w:sz w:val="20"/>
        </w:rPr>
        <w:t> </w:t>
      </w:r>
      <w:r>
        <w:rPr>
          <w:sz w:val="20"/>
        </w:rPr>
        <w:t>than</w:t>
      </w:r>
      <w:r>
        <w:rPr>
          <w:spacing w:val="-13"/>
          <w:sz w:val="20"/>
        </w:rPr>
        <w:t> </w:t>
      </w:r>
      <w:r>
        <w:rPr>
          <w:sz w:val="20"/>
        </w:rPr>
        <w:t>just those of judges, who </w:t>
      </w:r>
      <w:r>
        <w:rPr>
          <w:spacing w:val="-3"/>
          <w:sz w:val="20"/>
        </w:rPr>
        <w:t>may </w:t>
      </w:r>
      <w:r>
        <w:rPr>
          <w:sz w:val="20"/>
        </w:rPr>
        <w:t>not be considered </w:t>
      </w:r>
      <w:r>
        <w:rPr>
          <w:spacing w:val="-3"/>
          <w:sz w:val="20"/>
        </w:rPr>
        <w:t>representative </w:t>
      </w:r>
      <w:r>
        <w:rPr>
          <w:sz w:val="20"/>
        </w:rPr>
        <w:t>of the broader community</w:t>
      </w:r>
      <w:r>
        <w:rPr>
          <w:position w:val="7"/>
          <w:sz w:val="11"/>
        </w:rPr>
        <w:t>6</w:t>
      </w:r>
    </w:p>
    <w:p>
      <w:pPr>
        <w:pStyle w:val="ListParagraph"/>
        <w:numPr>
          <w:ilvl w:val="2"/>
          <w:numId w:val="12"/>
        </w:numPr>
        <w:tabs>
          <w:tab w:pos="2157" w:val="left" w:leader="none"/>
          <w:tab w:pos="2158" w:val="left" w:leader="none"/>
        </w:tabs>
        <w:spacing w:line="206" w:lineRule="auto" w:before="89" w:after="0"/>
        <w:ind w:left="2157" w:right="1448" w:hanging="396"/>
        <w:jc w:val="left"/>
        <w:rPr>
          <w:sz w:val="11"/>
        </w:rPr>
      </w:pPr>
      <w:r>
        <w:rPr>
          <w:sz w:val="20"/>
        </w:rPr>
        <w:t>enabling the community to participate </w:t>
      </w:r>
      <w:r>
        <w:rPr>
          <w:spacing w:val="-3"/>
          <w:sz w:val="20"/>
        </w:rPr>
        <w:t>directly </w:t>
      </w:r>
      <w:r>
        <w:rPr>
          <w:sz w:val="20"/>
        </w:rPr>
        <w:t>in the administration of justice, and</w:t>
      </w:r>
      <w:r>
        <w:rPr>
          <w:spacing w:val="-13"/>
          <w:sz w:val="20"/>
        </w:rPr>
        <w:t> </w:t>
      </w:r>
      <w:r>
        <w:rPr>
          <w:spacing w:val="-3"/>
          <w:sz w:val="20"/>
        </w:rPr>
        <w:t>thereby</w:t>
      </w:r>
      <w:r>
        <w:rPr>
          <w:spacing w:val="-13"/>
          <w:sz w:val="20"/>
        </w:rPr>
        <w:t> </w:t>
      </w:r>
      <w:r>
        <w:rPr>
          <w:sz w:val="20"/>
        </w:rPr>
        <w:t>increasing</w:t>
      </w:r>
      <w:r>
        <w:rPr>
          <w:spacing w:val="-14"/>
          <w:sz w:val="20"/>
        </w:rPr>
        <w:t> </w:t>
      </w:r>
      <w:r>
        <w:rPr>
          <w:sz w:val="20"/>
        </w:rPr>
        <w:t>acceptance</w:t>
      </w:r>
      <w:r>
        <w:rPr>
          <w:spacing w:val="-13"/>
          <w:sz w:val="20"/>
        </w:rPr>
        <w:t> </w:t>
      </w:r>
      <w:r>
        <w:rPr>
          <w:sz w:val="20"/>
        </w:rPr>
        <w:t>of</w:t>
      </w:r>
      <w:r>
        <w:rPr>
          <w:spacing w:val="-13"/>
          <w:sz w:val="20"/>
        </w:rPr>
        <w:t> </w:t>
      </w:r>
      <w:r>
        <w:rPr>
          <w:sz w:val="20"/>
        </w:rPr>
        <w:t>trial</w:t>
      </w:r>
      <w:r>
        <w:rPr>
          <w:spacing w:val="-13"/>
          <w:sz w:val="20"/>
        </w:rPr>
        <w:t> </w:t>
      </w:r>
      <w:r>
        <w:rPr>
          <w:sz w:val="20"/>
        </w:rPr>
        <w:t>outcomes</w:t>
      </w:r>
      <w:r>
        <w:rPr>
          <w:spacing w:val="-13"/>
          <w:sz w:val="20"/>
        </w:rPr>
        <w:t> </w:t>
      </w:r>
      <w:r>
        <w:rPr>
          <w:sz w:val="20"/>
        </w:rPr>
        <w:t>and</w:t>
      </w:r>
      <w:r>
        <w:rPr>
          <w:spacing w:val="-13"/>
          <w:sz w:val="20"/>
        </w:rPr>
        <w:t> </w:t>
      </w:r>
      <w:r>
        <w:rPr>
          <w:sz w:val="20"/>
        </w:rPr>
        <w:t>confidence</w:t>
      </w:r>
      <w:r>
        <w:rPr>
          <w:spacing w:val="-13"/>
          <w:sz w:val="20"/>
        </w:rPr>
        <w:t> </w:t>
      </w:r>
      <w:r>
        <w:rPr>
          <w:sz w:val="20"/>
        </w:rPr>
        <w:t>in</w:t>
      </w:r>
      <w:r>
        <w:rPr>
          <w:spacing w:val="-13"/>
          <w:sz w:val="20"/>
        </w:rPr>
        <w:t> </w:t>
      </w:r>
      <w:r>
        <w:rPr>
          <w:sz w:val="20"/>
        </w:rPr>
        <w:t>the</w:t>
      </w:r>
      <w:r>
        <w:rPr>
          <w:spacing w:val="-13"/>
          <w:sz w:val="20"/>
        </w:rPr>
        <w:t> </w:t>
      </w:r>
      <w:r>
        <w:rPr>
          <w:sz w:val="20"/>
        </w:rPr>
        <w:t>legal system more</w:t>
      </w:r>
      <w:r>
        <w:rPr>
          <w:spacing w:val="-9"/>
          <w:sz w:val="20"/>
        </w:rPr>
        <w:t> </w:t>
      </w:r>
      <w:r>
        <w:rPr>
          <w:spacing w:val="-4"/>
          <w:sz w:val="20"/>
        </w:rPr>
        <w:t>generally.</w:t>
      </w:r>
      <w:r>
        <w:rPr>
          <w:spacing w:val="-4"/>
          <w:position w:val="7"/>
          <w:sz w:val="11"/>
        </w:rPr>
        <w:t>7</w:t>
      </w:r>
    </w:p>
    <w:p>
      <w:pPr>
        <w:spacing w:before="127"/>
        <w:ind w:left="967" w:right="0" w:firstLine="0"/>
        <w:jc w:val="left"/>
        <w:rPr>
          <w:b/>
          <w:sz w:val="24"/>
        </w:rPr>
      </w:pPr>
      <w:r>
        <w:rPr>
          <w:b/>
          <w:sz w:val="24"/>
        </w:rPr>
        <w:t>Jury administration</w:t>
      </w:r>
    </w:p>
    <w:p>
      <w:pPr>
        <w:pStyle w:val="ListParagraph"/>
        <w:numPr>
          <w:ilvl w:val="1"/>
          <w:numId w:val="12"/>
        </w:numPr>
        <w:tabs>
          <w:tab w:pos="1761" w:val="left" w:leader="none"/>
          <w:tab w:pos="1762" w:val="left" w:leader="none"/>
        </w:tabs>
        <w:spacing w:line="206" w:lineRule="auto" w:before="127" w:after="0"/>
        <w:ind w:left="1761" w:right="1311" w:hanging="794"/>
        <w:jc w:val="left"/>
        <w:rPr>
          <w:sz w:val="11"/>
        </w:rPr>
      </w:pPr>
      <w:r>
        <w:rPr>
          <w:sz w:val="20"/>
        </w:rPr>
        <w:t>In Victoria the jury selection process is regulated </w:t>
      </w:r>
      <w:r>
        <w:rPr>
          <w:spacing w:val="-3"/>
          <w:sz w:val="20"/>
        </w:rPr>
        <w:t>by </w:t>
      </w:r>
      <w:r>
        <w:rPr>
          <w:sz w:val="20"/>
        </w:rPr>
        <w:t>the </w:t>
      </w:r>
      <w:r>
        <w:rPr>
          <w:i/>
          <w:sz w:val="20"/>
        </w:rPr>
        <w:t>Juries Act 2000 </w:t>
      </w:r>
      <w:r>
        <w:rPr>
          <w:sz w:val="20"/>
        </w:rPr>
        <w:t>(Vic) (the </w:t>
      </w:r>
      <w:r>
        <w:rPr>
          <w:spacing w:val="-3"/>
          <w:sz w:val="20"/>
        </w:rPr>
        <w:t>Act). </w:t>
      </w:r>
      <w:r>
        <w:rPr>
          <w:sz w:val="20"/>
        </w:rPr>
        <w:t>The</w:t>
      </w:r>
      <w:r>
        <w:rPr>
          <w:spacing w:val="-14"/>
          <w:sz w:val="20"/>
        </w:rPr>
        <w:t> </w:t>
      </w:r>
      <w:r>
        <w:rPr>
          <w:sz w:val="20"/>
        </w:rPr>
        <w:t>Juries</w:t>
      </w:r>
      <w:r>
        <w:rPr>
          <w:spacing w:val="-13"/>
          <w:sz w:val="20"/>
        </w:rPr>
        <w:t> </w:t>
      </w:r>
      <w:r>
        <w:rPr>
          <w:sz w:val="20"/>
        </w:rPr>
        <w:t>Commissioner</w:t>
      </w:r>
      <w:r>
        <w:rPr>
          <w:spacing w:val="-13"/>
          <w:sz w:val="20"/>
        </w:rPr>
        <w:t> </w:t>
      </w:r>
      <w:r>
        <w:rPr>
          <w:sz w:val="20"/>
        </w:rPr>
        <w:t>is</w:t>
      </w:r>
      <w:r>
        <w:rPr>
          <w:spacing w:val="-13"/>
          <w:sz w:val="20"/>
        </w:rPr>
        <w:t> </w:t>
      </w:r>
      <w:r>
        <w:rPr>
          <w:sz w:val="20"/>
        </w:rPr>
        <w:t>responsible</w:t>
      </w:r>
      <w:r>
        <w:rPr>
          <w:spacing w:val="-13"/>
          <w:sz w:val="20"/>
        </w:rPr>
        <w:t> </w:t>
      </w:r>
      <w:r>
        <w:rPr>
          <w:sz w:val="20"/>
        </w:rPr>
        <w:t>for</w:t>
      </w:r>
      <w:r>
        <w:rPr>
          <w:spacing w:val="-13"/>
          <w:sz w:val="20"/>
        </w:rPr>
        <w:t> </w:t>
      </w:r>
      <w:r>
        <w:rPr>
          <w:sz w:val="20"/>
        </w:rPr>
        <w:t>jury</w:t>
      </w:r>
      <w:r>
        <w:rPr>
          <w:spacing w:val="-13"/>
          <w:sz w:val="20"/>
        </w:rPr>
        <w:t> </w:t>
      </w:r>
      <w:r>
        <w:rPr>
          <w:sz w:val="20"/>
        </w:rPr>
        <w:t>administration</w:t>
      </w:r>
      <w:r>
        <w:rPr>
          <w:spacing w:val="-13"/>
          <w:sz w:val="20"/>
        </w:rPr>
        <w:t> </w:t>
      </w:r>
      <w:r>
        <w:rPr>
          <w:sz w:val="20"/>
        </w:rPr>
        <w:t>through</w:t>
      </w:r>
      <w:r>
        <w:rPr>
          <w:spacing w:val="-13"/>
          <w:sz w:val="20"/>
        </w:rPr>
        <w:t> </w:t>
      </w:r>
      <w:r>
        <w:rPr>
          <w:sz w:val="20"/>
        </w:rPr>
        <w:t>Juries</w:t>
      </w:r>
      <w:r>
        <w:rPr>
          <w:spacing w:val="-13"/>
          <w:sz w:val="20"/>
        </w:rPr>
        <w:t> </w:t>
      </w:r>
      <w:r>
        <w:rPr>
          <w:sz w:val="20"/>
        </w:rPr>
        <w:t>Victoria.</w:t>
      </w:r>
      <w:r>
        <w:rPr>
          <w:position w:val="7"/>
          <w:sz w:val="11"/>
        </w:rPr>
        <w:t>8</w:t>
      </w:r>
      <w:r>
        <w:rPr>
          <w:sz w:val="11"/>
        </w:rPr>
        <w:t> </w:t>
      </w:r>
      <w:r>
        <w:rPr>
          <w:sz w:val="20"/>
        </w:rPr>
        <w:t>The Juries Commissioner has </w:t>
      </w:r>
      <w:r>
        <w:rPr>
          <w:spacing w:val="-3"/>
          <w:sz w:val="20"/>
        </w:rPr>
        <w:t>‘oversight </w:t>
      </w:r>
      <w:r>
        <w:rPr>
          <w:sz w:val="20"/>
        </w:rPr>
        <w:t>and fulfilment of the </w:t>
      </w:r>
      <w:r>
        <w:rPr>
          <w:spacing w:val="-3"/>
          <w:sz w:val="20"/>
        </w:rPr>
        <w:t>state’s role </w:t>
      </w:r>
      <w:r>
        <w:rPr>
          <w:sz w:val="20"/>
        </w:rPr>
        <w:t>in </w:t>
      </w:r>
      <w:r>
        <w:rPr>
          <w:spacing w:val="-3"/>
          <w:sz w:val="20"/>
        </w:rPr>
        <w:t>providing citizens </w:t>
      </w:r>
      <w:r>
        <w:rPr>
          <w:sz w:val="20"/>
        </w:rPr>
        <w:t>for jury service in the superior </w:t>
      </w:r>
      <w:r>
        <w:rPr>
          <w:spacing w:val="-3"/>
          <w:sz w:val="20"/>
        </w:rPr>
        <w:t>courts’.</w:t>
      </w:r>
      <w:r>
        <w:rPr>
          <w:spacing w:val="-3"/>
          <w:position w:val="7"/>
          <w:sz w:val="11"/>
        </w:rPr>
        <w:t>9 </w:t>
      </w:r>
      <w:r>
        <w:rPr>
          <w:sz w:val="20"/>
        </w:rPr>
        <w:t>This statutory </w:t>
      </w:r>
      <w:r>
        <w:rPr>
          <w:spacing w:val="-3"/>
          <w:sz w:val="20"/>
        </w:rPr>
        <w:t>role </w:t>
      </w:r>
      <w:r>
        <w:rPr>
          <w:sz w:val="20"/>
        </w:rPr>
        <w:t>is unique to Victoria. In</w:t>
      </w:r>
      <w:r>
        <w:rPr>
          <w:spacing w:val="-11"/>
          <w:sz w:val="20"/>
        </w:rPr>
        <w:t> </w:t>
      </w:r>
      <w:r>
        <w:rPr>
          <w:sz w:val="20"/>
        </w:rPr>
        <w:t>other</w:t>
      </w:r>
      <w:r>
        <w:rPr>
          <w:spacing w:val="-11"/>
          <w:sz w:val="20"/>
        </w:rPr>
        <w:t> </w:t>
      </w:r>
      <w:r>
        <w:rPr>
          <w:sz w:val="20"/>
        </w:rPr>
        <w:t>Australian</w:t>
      </w:r>
      <w:r>
        <w:rPr>
          <w:spacing w:val="-10"/>
          <w:sz w:val="20"/>
        </w:rPr>
        <w:t> </w:t>
      </w:r>
      <w:r>
        <w:rPr>
          <w:sz w:val="20"/>
        </w:rPr>
        <w:t>states</w:t>
      </w:r>
      <w:r>
        <w:rPr>
          <w:spacing w:val="-11"/>
          <w:sz w:val="20"/>
        </w:rPr>
        <w:t> </w:t>
      </w:r>
      <w:r>
        <w:rPr>
          <w:sz w:val="20"/>
        </w:rPr>
        <w:t>and</w:t>
      </w:r>
      <w:r>
        <w:rPr>
          <w:spacing w:val="-10"/>
          <w:sz w:val="20"/>
        </w:rPr>
        <w:t> </w:t>
      </w:r>
      <w:r>
        <w:rPr>
          <w:sz w:val="20"/>
        </w:rPr>
        <w:t>territories,</w:t>
      </w:r>
      <w:r>
        <w:rPr>
          <w:spacing w:val="-11"/>
          <w:sz w:val="20"/>
        </w:rPr>
        <w:t> </w:t>
      </w:r>
      <w:r>
        <w:rPr>
          <w:sz w:val="20"/>
        </w:rPr>
        <w:t>this</w:t>
      </w:r>
      <w:r>
        <w:rPr>
          <w:spacing w:val="-10"/>
          <w:sz w:val="20"/>
        </w:rPr>
        <w:t> </w:t>
      </w:r>
      <w:r>
        <w:rPr>
          <w:sz w:val="20"/>
        </w:rPr>
        <w:t>responsibility</w:t>
      </w:r>
      <w:r>
        <w:rPr>
          <w:spacing w:val="-11"/>
          <w:sz w:val="20"/>
        </w:rPr>
        <w:t> </w:t>
      </w:r>
      <w:r>
        <w:rPr>
          <w:sz w:val="20"/>
        </w:rPr>
        <w:t>lies</w:t>
      </w:r>
      <w:r>
        <w:rPr>
          <w:spacing w:val="-11"/>
          <w:sz w:val="20"/>
        </w:rPr>
        <w:t> </w:t>
      </w:r>
      <w:r>
        <w:rPr>
          <w:sz w:val="20"/>
        </w:rPr>
        <w:t>with</w:t>
      </w:r>
      <w:r>
        <w:rPr>
          <w:spacing w:val="-10"/>
          <w:sz w:val="20"/>
        </w:rPr>
        <w:t> </w:t>
      </w:r>
      <w:r>
        <w:rPr>
          <w:sz w:val="20"/>
        </w:rPr>
        <w:t>the</w:t>
      </w:r>
      <w:r>
        <w:rPr>
          <w:spacing w:val="-11"/>
          <w:sz w:val="20"/>
        </w:rPr>
        <w:t> </w:t>
      </w:r>
      <w:r>
        <w:rPr>
          <w:sz w:val="20"/>
        </w:rPr>
        <w:t>court</w:t>
      </w:r>
      <w:r>
        <w:rPr>
          <w:spacing w:val="-10"/>
          <w:sz w:val="20"/>
        </w:rPr>
        <w:t> </w:t>
      </w:r>
      <w:r>
        <w:rPr>
          <w:spacing w:val="-3"/>
          <w:sz w:val="20"/>
        </w:rPr>
        <w:t>sheriff.</w:t>
      </w:r>
      <w:r>
        <w:rPr>
          <w:spacing w:val="-3"/>
          <w:position w:val="7"/>
          <w:sz w:val="11"/>
        </w:rPr>
        <w:t>10</w:t>
      </w:r>
    </w:p>
    <w:p>
      <w:pPr>
        <w:spacing w:before="164"/>
        <w:ind w:left="967" w:right="0" w:firstLine="0"/>
        <w:jc w:val="left"/>
        <w:rPr>
          <w:b/>
          <w:sz w:val="24"/>
        </w:rPr>
      </w:pPr>
      <w:r>
        <w:rPr>
          <w:b/>
          <w:sz w:val="24"/>
        </w:rPr>
        <w:t>The number of jury trials in Victoria</w:t>
      </w:r>
    </w:p>
    <w:p>
      <w:pPr>
        <w:pStyle w:val="ListParagraph"/>
        <w:numPr>
          <w:ilvl w:val="1"/>
          <w:numId w:val="12"/>
        </w:numPr>
        <w:tabs>
          <w:tab w:pos="1761" w:val="left" w:leader="none"/>
          <w:tab w:pos="1762" w:val="left" w:leader="none"/>
        </w:tabs>
        <w:spacing w:line="206" w:lineRule="auto" w:before="127" w:after="0"/>
        <w:ind w:left="1761" w:right="1233" w:hanging="794"/>
        <w:jc w:val="left"/>
        <w:rPr>
          <w:sz w:val="11"/>
        </w:rPr>
      </w:pPr>
      <w:r>
        <w:rPr>
          <w:sz w:val="20"/>
        </w:rPr>
        <w:t>In</w:t>
      </w:r>
      <w:r>
        <w:rPr>
          <w:spacing w:val="-11"/>
          <w:sz w:val="20"/>
        </w:rPr>
        <w:t> </w:t>
      </w:r>
      <w:r>
        <w:rPr>
          <w:sz w:val="20"/>
        </w:rPr>
        <w:t>Victoria</w:t>
      </w:r>
      <w:r>
        <w:rPr>
          <w:spacing w:val="-10"/>
          <w:sz w:val="20"/>
        </w:rPr>
        <w:t> </w:t>
      </w:r>
      <w:r>
        <w:rPr>
          <w:sz w:val="20"/>
        </w:rPr>
        <w:t>juries</w:t>
      </w:r>
      <w:r>
        <w:rPr>
          <w:spacing w:val="-10"/>
          <w:sz w:val="20"/>
        </w:rPr>
        <w:t> </w:t>
      </w:r>
      <w:r>
        <w:rPr>
          <w:spacing w:val="-3"/>
          <w:sz w:val="20"/>
        </w:rPr>
        <w:t>are</w:t>
      </w:r>
      <w:r>
        <w:rPr>
          <w:spacing w:val="-10"/>
          <w:sz w:val="20"/>
        </w:rPr>
        <w:t> </w:t>
      </w:r>
      <w:r>
        <w:rPr>
          <w:sz w:val="20"/>
        </w:rPr>
        <w:t>used</w:t>
      </w:r>
      <w:r>
        <w:rPr>
          <w:spacing w:val="-10"/>
          <w:sz w:val="20"/>
        </w:rPr>
        <w:t> </w:t>
      </w:r>
      <w:r>
        <w:rPr>
          <w:sz w:val="20"/>
        </w:rPr>
        <w:t>for</w:t>
      </w:r>
      <w:r>
        <w:rPr>
          <w:spacing w:val="-10"/>
          <w:sz w:val="20"/>
        </w:rPr>
        <w:t> </w:t>
      </w:r>
      <w:r>
        <w:rPr>
          <w:sz w:val="20"/>
        </w:rPr>
        <w:t>almost</w:t>
      </w:r>
      <w:r>
        <w:rPr>
          <w:spacing w:val="-11"/>
          <w:sz w:val="20"/>
        </w:rPr>
        <w:t> </w:t>
      </w:r>
      <w:r>
        <w:rPr>
          <w:sz w:val="20"/>
        </w:rPr>
        <w:t>every</w:t>
      </w:r>
      <w:r>
        <w:rPr>
          <w:spacing w:val="-10"/>
          <w:sz w:val="20"/>
        </w:rPr>
        <w:t> </w:t>
      </w:r>
      <w:r>
        <w:rPr>
          <w:sz w:val="20"/>
        </w:rPr>
        <w:t>Supreme</w:t>
      </w:r>
      <w:r>
        <w:rPr>
          <w:spacing w:val="-10"/>
          <w:sz w:val="20"/>
        </w:rPr>
        <w:t> </w:t>
      </w:r>
      <w:r>
        <w:rPr>
          <w:sz w:val="20"/>
        </w:rPr>
        <w:t>and</w:t>
      </w:r>
      <w:r>
        <w:rPr>
          <w:spacing w:val="-10"/>
          <w:sz w:val="20"/>
        </w:rPr>
        <w:t> </w:t>
      </w:r>
      <w:r>
        <w:rPr>
          <w:sz w:val="20"/>
        </w:rPr>
        <w:t>County</w:t>
      </w:r>
      <w:r>
        <w:rPr>
          <w:spacing w:val="-10"/>
          <w:sz w:val="20"/>
        </w:rPr>
        <w:t> </w:t>
      </w:r>
      <w:r>
        <w:rPr>
          <w:sz w:val="20"/>
        </w:rPr>
        <w:t>Court</w:t>
      </w:r>
      <w:r>
        <w:rPr>
          <w:spacing w:val="-10"/>
          <w:sz w:val="20"/>
        </w:rPr>
        <w:t> </w:t>
      </w:r>
      <w:r>
        <w:rPr>
          <w:sz w:val="20"/>
        </w:rPr>
        <w:t>criminal</w:t>
      </w:r>
      <w:r>
        <w:rPr>
          <w:spacing w:val="-11"/>
          <w:sz w:val="20"/>
        </w:rPr>
        <w:t> </w:t>
      </w:r>
      <w:r>
        <w:rPr>
          <w:sz w:val="20"/>
        </w:rPr>
        <w:t>trial</w:t>
      </w:r>
      <w:r>
        <w:rPr>
          <w:spacing w:val="-10"/>
          <w:sz w:val="20"/>
        </w:rPr>
        <w:t> </w:t>
      </w:r>
      <w:r>
        <w:rPr>
          <w:sz w:val="20"/>
        </w:rPr>
        <w:t>and for some civil trials.</w:t>
      </w:r>
      <w:r>
        <w:rPr>
          <w:position w:val="7"/>
          <w:sz w:val="11"/>
        </w:rPr>
        <w:t>11 </w:t>
      </w:r>
      <w:r>
        <w:rPr>
          <w:sz w:val="20"/>
        </w:rPr>
        <w:t>During the </w:t>
      </w:r>
      <w:r>
        <w:rPr>
          <w:spacing w:val="-3"/>
          <w:sz w:val="20"/>
        </w:rPr>
        <w:t>coronavirus (COVID-19) </w:t>
      </w:r>
      <w:r>
        <w:rPr>
          <w:sz w:val="20"/>
        </w:rPr>
        <w:t>pandemic, some trials </w:t>
      </w:r>
      <w:r>
        <w:rPr>
          <w:spacing w:val="-4"/>
          <w:sz w:val="20"/>
        </w:rPr>
        <w:t>were </w:t>
      </w:r>
      <w:r>
        <w:rPr>
          <w:sz w:val="20"/>
        </w:rPr>
        <w:t>heard </w:t>
      </w:r>
      <w:r>
        <w:rPr>
          <w:spacing w:val="-3"/>
          <w:sz w:val="20"/>
        </w:rPr>
        <w:t>by </w:t>
      </w:r>
      <w:r>
        <w:rPr>
          <w:sz w:val="20"/>
        </w:rPr>
        <w:t>judges</w:t>
      </w:r>
      <w:r>
        <w:rPr>
          <w:spacing w:val="-10"/>
          <w:sz w:val="20"/>
        </w:rPr>
        <w:t> </w:t>
      </w:r>
      <w:r>
        <w:rPr>
          <w:sz w:val="20"/>
        </w:rPr>
        <w:t>alone.</w:t>
      </w:r>
      <w:r>
        <w:rPr>
          <w:position w:val="7"/>
          <w:sz w:val="11"/>
        </w:rPr>
        <w:t>12</w:t>
      </w:r>
    </w:p>
    <w:p>
      <w:pPr>
        <w:pStyle w:val="ListParagraph"/>
        <w:numPr>
          <w:ilvl w:val="1"/>
          <w:numId w:val="12"/>
        </w:numPr>
        <w:tabs>
          <w:tab w:pos="1761" w:val="left" w:leader="none"/>
          <w:tab w:pos="1762" w:val="left" w:leader="none"/>
        </w:tabs>
        <w:spacing w:line="206" w:lineRule="auto" w:before="124" w:after="0"/>
        <w:ind w:left="1761" w:right="1261" w:hanging="794"/>
        <w:jc w:val="left"/>
        <w:rPr>
          <w:sz w:val="20"/>
        </w:rPr>
      </w:pPr>
      <w:r>
        <w:rPr>
          <w:sz w:val="20"/>
        </w:rPr>
        <w:t>Jury trials </w:t>
      </w:r>
      <w:r>
        <w:rPr>
          <w:spacing w:val="-3"/>
          <w:sz w:val="20"/>
        </w:rPr>
        <w:t>are </w:t>
      </w:r>
      <w:r>
        <w:rPr>
          <w:sz w:val="20"/>
        </w:rPr>
        <w:t>mandatory for indictable criminal matters (serious criminal offences).</w:t>
      </w:r>
      <w:r>
        <w:rPr>
          <w:position w:val="7"/>
          <w:sz w:val="11"/>
        </w:rPr>
        <w:t>13</w:t>
      </w:r>
      <w:r>
        <w:rPr>
          <w:sz w:val="11"/>
        </w:rPr>
        <w:t> </w:t>
      </w:r>
      <w:r>
        <w:rPr>
          <w:sz w:val="20"/>
        </w:rPr>
        <w:t>These</w:t>
      </w:r>
      <w:r>
        <w:rPr>
          <w:spacing w:val="-12"/>
          <w:sz w:val="20"/>
        </w:rPr>
        <w:t> </w:t>
      </w:r>
      <w:r>
        <w:rPr>
          <w:sz w:val="20"/>
        </w:rPr>
        <w:t>criminal</w:t>
      </w:r>
      <w:r>
        <w:rPr>
          <w:spacing w:val="-11"/>
          <w:sz w:val="20"/>
        </w:rPr>
        <w:t> </w:t>
      </w:r>
      <w:r>
        <w:rPr>
          <w:sz w:val="20"/>
        </w:rPr>
        <w:t>trials</w:t>
      </w:r>
      <w:r>
        <w:rPr>
          <w:spacing w:val="-11"/>
          <w:sz w:val="20"/>
        </w:rPr>
        <w:t> </w:t>
      </w:r>
      <w:r>
        <w:rPr>
          <w:spacing w:val="-3"/>
          <w:sz w:val="20"/>
        </w:rPr>
        <w:t>are</w:t>
      </w:r>
      <w:r>
        <w:rPr>
          <w:spacing w:val="-11"/>
          <w:sz w:val="20"/>
        </w:rPr>
        <w:t> </w:t>
      </w:r>
      <w:r>
        <w:rPr>
          <w:sz w:val="20"/>
        </w:rPr>
        <w:t>initiated</w:t>
      </w:r>
      <w:r>
        <w:rPr>
          <w:spacing w:val="-11"/>
          <w:sz w:val="20"/>
        </w:rPr>
        <w:t> </w:t>
      </w:r>
      <w:r>
        <w:rPr>
          <w:spacing w:val="-3"/>
          <w:sz w:val="20"/>
        </w:rPr>
        <w:t>by</w:t>
      </w:r>
      <w:r>
        <w:rPr>
          <w:spacing w:val="-11"/>
          <w:sz w:val="20"/>
        </w:rPr>
        <w:t> </w:t>
      </w:r>
      <w:r>
        <w:rPr>
          <w:sz w:val="20"/>
        </w:rPr>
        <w:t>the</w:t>
      </w:r>
      <w:r>
        <w:rPr>
          <w:spacing w:val="-11"/>
          <w:sz w:val="20"/>
        </w:rPr>
        <w:t> </w:t>
      </w:r>
      <w:r>
        <w:rPr>
          <w:sz w:val="20"/>
        </w:rPr>
        <w:t>Director</w:t>
      </w:r>
      <w:r>
        <w:rPr>
          <w:spacing w:val="-11"/>
          <w:sz w:val="20"/>
        </w:rPr>
        <w:t> </w:t>
      </w:r>
      <w:r>
        <w:rPr>
          <w:sz w:val="20"/>
        </w:rPr>
        <w:t>of</w:t>
      </w:r>
      <w:r>
        <w:rPr>
          <w:spacing w:val="-11"/>
          <w:sz w:val="20"/>
        </w:rPr>
        <w:t> </w:t>
      </w:r>
      <w:r>
        <w:rPr>
          <w:sz w:val="20"/>
        </w:rPr>
        <w:t>Public</w:t>
      </w:r>
      <w:r>
        <w:rPr>
          <w:spacing w:val="-11"/>
          <w:sz w:val="20"/>
        </w:rPr>
        <w:t> </w:t>
      </w:r>
      <w:r>
        <w:rPr>
          <w:sz w:val="20"/>
        </w:rPr>
        <w:t>Prosecutions</w:t>
      </w:r>
      <w:r>
        <w:rPr>
          <w:spacing w:val="-11"/>
          <w:sz w:val="20"/>
        </w:rPr>
        <w:t> </w:t>
      </w:r>
      <w:r>
        <w:rPr>
          <w:sz w:val="20"/>
        </w:rPr>
        <w:t>on</w:t>
      </w:r>
      <w:r>
        <w:rPr>
          <w:spacing w:val="-11"/>
          <w:sz w:val="20"/>
        </w:rPr>
        <w:t> </w:t>
      </w:r>
      <w:r>
        <w:rPr>
          <w:sz w:val="20"/>
        </w:rPr>
        <w:t>behalf</w:t>
      </w:r>
      <w:r>
        <w:rPr>
          <w:spacing w:val="-11"/>
          <w:sz w:val="20"/>
        </w:rPr>
        <w:t> </w:t>
      </w:r>
      <w:r>
        <w:rPr>
          <w:sz w:val="20"/>
        </w:rPr>
        <w:t>of</w:t>
      </w:r>
      <w:r>
        <w:rPr>
          <w:spacing w:val="-11"/>
          <w:sz w:val="20"/>
        </w:rPr>
        <w:t> </w:t>
      </w:r>
      <w:r>
        <w:rPr>
          <w:sz w:val="20"/>
        </w:rPr>
        <w:t>the </w:t>
      </w:r>
      <w:r>
        <w:rPr>
          <w:spacing w:val="-3"/>
          <w:sz w:val="20"/>
        </w:rPr>
        <w:t>community.</w:t>
      </w:r>
      <w:r>
        <w:rPr>
          <w:spacing w:val="-6"/>
          <w:sz w:val="20"/>
        </w:rPr>
        <w:t> </w:t>
      </w:r>
      <w:r>
        <w:rPr>
          <w:sz w:val="20"/>
        </w:rPr>
        <w:t>The</w:t>
      </w:r>
      <w:r>
        <w:rPr>
          <w:spacing w:val="-6"/>
          <w:sz w:val="20"/>
        </w:rPr>
        <w:t> </w:t>
      </w:r>
      <w:r>
        <w:rPr>
          <w:sz w:val="20"/>
        </w:rPr>
        <w:t>community</w:t>
      </w:r>
      <w:r>
        <w:rPr>
          <w:spacing w:val="-5"/>
          <w:sz w:val="20"/>
        </w:rPr>
        <w:t> </w:t>
      </w:r>
      <w:r>
        <w:rPr>
          <w:sz w:val="20"/>
        </w:rPr>
        <w:t>is</w:t>
      </w:r>
      <w:r>
        <w:rPr>
          <w:spacing w:val="-6"/>
          <w:sz w:val="20"/>
        </w:rPr>
        <w:t> </w:t>
      </w:r>
      <w:r>
        <w:rPr>
          <w:spacing w:val="-4"/>
          <w:sz w:val="20"/>
        </w:rPr>
        <w:t>involved</w:t>
      </w:r>
      <w:r>
        <w:rPr>
          <w:spacing w:val="-5"/>
          <w:sz w:val="20"/>
        </w:rPr>
        <w:t> </w:t>
      </w:r>
      <w:r>
        <w:rPr>
          <w:sz w:val="20"/>
        </w:rPr>
        <w:t>in</w:t>
      </w:r>
      <w:r>
        <w:rPr>
          <w:spacing w:val="-6"/>
          <w:sz w:val="20"/>
        </w:rPr>
        <w:t> </w:t>
      </w:r>
      <w:r>
        <w:rPr>
          <w:sz w:val="20"/>
        </w:rPr>
        <w:t>determining</w:t>
      </w:r>
      <w:r>
        <w:rPr>
          <w:spacing w:val="-5"/>
          <w:sz w:val="20"/>
        </w:rPr>
        <w:t> </w:t>
      </w:r>
      <w:r>
        <w:rPr>
          <w:sz w:val="20"/>
        </w:rPr>
        <w:t>the</w:t>
      </w:r>
      <w:r>
        <w:rPr>
          <w:spacing w:val="-6"/>
          <w:sz w:val="20"/>
        </w:rPr>
        <w:t> </w:t>
      </w:r>
      <w:r>
        <w:rPr>
          <w:spacing w:val="-3"/>
          <w:sz w:val="20"/>
        </w:rPr>
        <w:t>verdict</w:t>
      </w:r>
      <w:r>
        <w:rPr>
          <w:spacing w:val="-5"/>
          <w:sz w:val="20"/>
        </w:rPr>
        <w:t> </w:t>
      </w:r>
      <w:r>
        <w:rPr>
          <w:sz w:val="20"/>
        </w:rPr>
        <w:t>via</w:t>
      </w:r>
      <w:r>
        <w:rPr>
          <w:spacing w:val="-6"/>
          <w:sz w:val="20"/>
        </w:rPr>
        <w:t> </w:t>
      </w:r>
      <w:r>
        <w:rPr>
          <w:sz w:val="20"/>
        </w:rPr>
        <w:t>a</w:t>
      </w:r>
      <w:r>
        <w:rPr>
          <w:spacing w:val="-5"/>
          <w:sz w:val="20"/>
        </w:rPr>
        <w:t> </w:t>
      </w:r>
      <w:r>
        <w:rPr>
          <w:sz w:val="20"/>
        </w:rPr>
        <w:t>jury.</w:t>
      </w:r>
    </w:p>
    <w:p>
      <w:pPr>
        <w:pStyle w:val="ListParagraph"/>
        <w:numPr>
          <w:ilvl w:val="1"/>
          <w:numId w:val="12"/>
        </w:numPr>
        <w:tabs>
          <w:tab w:pos="1761" w:val="left" w:leader="none"/>
          <w:tab w:pos="1762" w:val="left" w:leader="none"/>
        </w:tabs>
        <w:spacing w:line="206" w:lineRule="auto" w:before="124" w:after="0"/>
        <w:ind w:left="1761" w:right="1246" w:hanging="794"/>
        <w:jc w:val="left"/>
        <w:rPr>
          <w:sz w:val="11"/>
        </w:rPr>
      </w:pPr>
      <w:r>
        <w:rPr>
          <w:sz w:val="20"/>
        </w:rPr>
        <w:t>In contrast, civil matters </w:t>
      </w:r>
      <w:r>
        <w:rPr>
          <w:spacing w:val="-4"/>
          <w:sz w:val="20"/>
        </w:rPr>
        <w:t>involve </w:t>
      </w:r>
      <w:r>
        <w:rPr>
          <w:sz w:val="20"/>
        </w:rPr>
        <w:t>the resolution of disputes between parties, and jury trials</w:t>
      </w:r>
      <w:r>
        <w:rPr>
          <w:spacing w:val="-10"/>
          <w:sz w:val="20"/>
        </w:rPr>
        <w:t> </w:t>
      </w:r>
      <w:r>
        <w:rPr>
          <w:spacing w:val="-3"/>
          <w:sz w:val="20"/>
        </w:rPr>
        <w:t>are</w:t>
      </w:r>
      <w:r>
        <w:rPr>
          <w:spacing w:val="-10"/>
          <w:sz w:val="20"/>
        </w:rPr>
        <w:t> </w:t>
      </w:r>
      <w:r>
        <w:rPr>
          <w:sz w:val="20"/>
        </w:rPr>
        <w:t>not</w:t>
      </w:r>
      <w:r>
        <w:rPr>
          <w:spacing w:val="-9"/>
          <w:sz w:val="20"/>
        </w:rPr>
        <w:t> </w:t>
      </w:r>
      <w:r>
        <w:rPr>
          <w:spacing w:val="-3"/>
          <w:sz w:val="20"/>
        </w:rPr>
        <w:t>mandatory.</w:t>
      </w:r>
      <w:r>
        <w:rPr>
          <w:spacing w:val="-10"/>
          <w:sz w:val="20"/>
        </w:rPr>
        <w:t> </w:t>
      </w:r>
      <w:r>
        <w:rPr>
          <w:sz w:val="20"/>
        </w:rPr>
        <w:t>In</w:t>
      </w:r>
      <w:r>
        <w:rPr>
          <w:spacing w:val="-9"/>
          <w:sz w:val="20"/>
        </w:rPr>
        <w:t> </w:t>
      </w:r>
      <w:r>
        <w:rPr>
          <w:sz w:val="20"/>
        </w:rPr>
        <w:t>civil</w:t>
      </w:r>
      <w:r>
        <w:rPr>
          <w:spacing w:val="-10"/>
          <w:sz w:val="20"/>
        </w:rPr>
        <w:t> </w:t>
      </w:r>
      <w:r>
        <w:rPr>
          <w:sz w:val="20"/>
        </w:rPr>
        <w:t>trials</w:t>
      </w:r>
      <w:r>
        <w:rPr>
          <w:spacing w:val="-9"/>
          <w:sz w:val="20"/>
        </w:rPr>
        <w:t> </w:t>
      </w:r>
      <w:r>
        <w:rPr>
          <w:sz w:val="20"/>
        </w:rPr>
        <w:t>the</w:t>
      </w:r>
      <w:r>
        <w:rPr>
          <w:spacing w:val="-10"/>
          <w:sz w:val="20"/>
        </w:rPr>
        <w:t> </w:t>
      </w:r>
      <w:r>
        <w:rPr>
          <w:spacing w:val="-3"/>
          <w:sz w:val="20"/>
        </w:rPr>
        <w:t>jury,</w:t>
      </w:r>
      <w:r>
        <w:rPr>
          <w:spacing w:val="-9"/>
          <w:sz w:val="20"/>
        </w:rPr>
        <w:t> </w:t>
      </w:r>
      <w:r>
        <w:rPr>
          <w:sz w:val="20"/>
        </w:rPr>
        <w:t>if</w:t>
      </w:r>
      <w:r>
        <w:rPr>
          <w:spacing w:val="-10"/>
          <w:sz w:val="20"/>
        </w:rPr>
        <w:t> </w:t>
      </w:r>
      <w:r>
        <w:rPr>
          <w:sz w:val="20"/>
        </w:rPr>
        <w:t>there</w:t>
      </w:r>
      <w:r>
        <w:rPr>
          <w:spacing w:val="-9"/>
          <w:sz w:val="20"/>
        </w:rPr>
        <w:t> </w:t>
      </w:r>
      <w:r>
        <w:rPr>
          <w:sz w:val="20"/>
        </w:rPr>
        <w:t>is</w:t>
      </w:r>
      <w:r>
        <w:rPr>
          <w:spacing w:val="-10"/>
          <w:sz w:val="20"/>
        </w:rPr>
        <w:t> </w:t>
      </w:r>
      <w:r>
        <w:rPr>
          <w:sz w:val="20"/>
        </w:rPr>
        <w:t>one,</w:t>
      </w:r>
      <w:r>
        <w:rPr>
          <w:spacing w:val="-9"/>
          <w:sz w:val="20"/>
        </w:rPr>
        <w:t> </w:t>
      </w:r>
      <w:r>
        <w:rPr>
          <w:sz w:val="20"/>
        </w:rPr>
        <w:t>determines</w:t>
      </w:r>
      <w:r>
        <w:rPr>
          <w:spacing w:val="-10"/>
          <w:sz w:val="20"/>
        </w:rPr>
        <w:t> </w:t>
      </w:r>
      <w:r>
        <w:rPr>
          <w:sz w:val="20"/>
        </w:rPr>
        <w:t>findings</w:t>
      </w:r>
      <w:r>
        <w:rPr>
          <w:spacing w:val="-9"/>
          <w:sz w:val="20"/>
        </w:rPr>
        <w:t> </w:t>
      </w:r>
      <w:r>
        <w:rPr>
          <w:sz w:val="20"/>
        </w:rPr>
        <w:t>of</w:t>
      </w:r>
      <w:r>
        <w:rPr>
          <w:spacing w:val="-10"/>
          <w:sz w:val="20"/>
        </w:rPr>
        <w:t> </w:t>
      </w:r>
      <w:r>
        <w:rPr>
          <w:sz w:val="20"/>
        </w:rPr>
        <w:t>fault or</w:t>
      </w:r>
      <w:r>
        <w:rPr>
          <w:spacing w:val="-9"/>
          <w:sz w:val="20"/>
        </w:rPr>
        <w:t> </w:t>
      </w:r>
      <w:r>
        <w:rPr>
          <w:sz w:val="20"/>
        </w:rPr>
        <w:t>damages.</w:t>
      </w:r>
      <w:r>
        <w:rPr>
          <w:spacing w:val="-9"/>
          <w:sz w:val="20"/>
        </w:rPr>
        <w:t> </w:t>
      </w:r>
      <w:r>
        <w:rPr>
          <w:sz w:val="20"/>
        </w:rPr>
        <w:t>The</w:t>
      </w:r>
      <w:r>
        <w:rPr>
          <w:spacing w:val="-9"/>
          <w:sz w:val="20"/>
        </w:rPr>
        <w:t> </w:t>
      </w:r>
      <w:r>
        <w:rPr>
          <w:sz w:val="20"/>
        </w:rPr>
        <w:t>availability</w:t>
      </w:r>
      <w:r>
        <w:rPr>
          <w:spacing w:val="-9"/>
          <w:sz w:val="20"/>
        </w:rPr>
        <w:t> </w:t>
      </w:r>
      <w:r>
        <w:rPr>
          <w:sz w:val="20"/>
        </w:rPr>
        <w:t>of</w:t>
      </w:r>
      <w:r>
        <w:rPr>
          <w:spacing w:val="-8"/>
          <w:sz w:val="20"/>
        </w:rPr>
        <w:t> </w:t>
      </w:r>
      <w:r>
        <w:rPr>
          <w:sz w:val="20"/>
        </w:rPr>
        <w:t>a</w:t>
      </w:r>
      <w:r>
        <w:rPr>
          <w:spacing w:val="-9"/>
          <w:sz w:val="20"/>
        </w:rPr>
        <w:t> </w:t>
      </w:r>
      <w:r>
        <w:rPr>
          <w:sz w:val="20"/>
        </w:rPr>
        <w:t>jury</w:t>
      </w:r>
      <w:r>
        <w:rPr>
          <w:spacing w:val="-9"/>
          <w:sz w:val="20"/>
        </w:rPr>
        <w:t> </w:t>
      </w:r>
      <w:r>
        <w:rPr>
          <w:sz w:val="20"/>
        </w:rPr>
        <w:t>in</w:t>
      </w:r>
      <w:r>
        <w:rPr>
          <w:spacing w:val="-9"/>
          <w:sz w:val="20"/>
        </w:rPr>
        <w:t> </w:t>
      </w:r>
      <w:r>
        <w:rPr>
          <w:sz w:val="20"/>
        </w:rPr>
        <w:t>a</w:t>
      </w:r>
      <w:r>
        <w:rPr>
          <w:spacing w:val="-8"/>
          <w:sz w:val="20"/>
        </w:rPr>
        <w:t> </w:t>
      </w:r>
      <w:r>
        <w:rPr>
          <w:sz w:val="20"/>
        </w:rPr>
        <w:t>civil</w:t>
      </w:r>
      <w:r>
        <w:rPr>
          <w:spacing w:val="-9"/>
          <w:sz w:val="20"/>
        </w:rPr>
        <w:t> </w:t>
      </w:r>
      <w:r>
        <w:rPr>
          <w:sz w:val="20"/>
        </w:rPr>
        <w:t>trial</w:t>
      </w:r>
      <w:r>
        <w:rPr>
          <w:spacing w:val="-9"/>
          <w:sz w:val="20"/>
        </w:rPr>
        <w:t> </w:t>
      </w:r>
      <w:r>
        <w:rPr>
          <w:sz w:val="20"/>
        </w:rPr>
        <w:t>depends</w:t>
      </w:r>
      <w:r>
        <w:rPr>
          <w:spacing w:val="-9"/>
          <w:sz w:val="20"/>
        </w:rPr>
        <w:t> </w:t>
      </w:r>
      <w:r>
        <w:rPr>
          <w:sz w:val="20"/>
        </w:rPr>
        <w:t>on</w:t>
      </w:r>
      <w:r>
        <w:rPr>
          <w:spacing w:val="-9"/>
          <w:sz w:val="20"/>
        </w:rPr>
        <w:t> </w:t>
      </w:r>
      <w:r>
        <w:rPr>
          <w:sz w:val="20"/>
        </w:rPr>
        <w:t>the</w:t>
      </w:r>
      <w:r>
        <w:rPr>
          <w:spacing w:val="-8"/>
          <w:sz w:val="20"/>
        </w:rPr>
        <w:t> </w:t>
      </w:r>
      <w:r>
        <w:rPr>
          <w:sz w:val="20"/>
        </w:rPr>
        <w:t>remedy</w:t>
      </w:r>
      <w:r>
        <w:rPr>
          <w:spacing w:val="-9"/>
          <w:sz w:val="20"/>
        </w:rPr>
        <w:t> </w:t>
      </w:r>
      <w:r>
        <w:rPr>
          <w:sz w:val="20"/>
        </w:rPr>
        <w:t>sought</w:t>
      </w:r>
      <w:r>
        <w:rPr>
          <w:spacing w:val="-9"/>
          <w:sz w:val="20"/>
        </w:rPr>
        <w:t> </w:t>
      </w:r>
      <w:r>
        <w:rPr>
          <w:sz w:val="20"/>
        </w:rPr>
        <w:t>and the </w:t>
      </w:r>
      <w:r>
        <w:rPr>
          <w:spacing w:val="-4"/>
          <w:sz w:val="20"/>
        </w:rPr>
        <w:t>way </w:t>
      </w:r>
      <w:r>
        <w:rPr>
          <w:sz w:val="20"/>
        </w:rPr>
        <w:t>in which the parties initiate the proceedings. A civil party </w:t>
      </w:r>
      <w:r>
        <w:rPr>
          <w:spacing w:val="-3"/>
          <w:sz w:val="20"/>
        </w:rPr>
        <w:t>may apply </w:t>
      </w:r>
      <w:r>
        <w:rPr>
          <w:sz w:val="20"/>
        </w:rPr>
        <w:t>for a jury trial; but the court decides whether this</w:t>
      </w:r>
      <w:r>
        <w:rPr>
          <w:spacing w:val="-32"/>
          <w:sz w:val="20"/>
        </w:rPr>
        <w:t> </w:t>
      </w:r>
      <w:r>
        <w:rPr>
          <w:sz w:val="20"/>
        </w:rPr>
        <w:t>occurs.</w:t>
      </w:r>
      <w:r>
        <w:rPr>
          <w:position w:val="7"/>
          <w:sz w:val="11"/>
        </w:rPr>
        <w:t>14</w:t>
      </w:r>
    </w:p>
    <w:p>
      <w:pPr>
        <w:pStyle w:val="ListParagraph"/>
        <w:numPr>
          <w:ilvl w:val="1"/>
          <w:numId w:val="12"/>
        </w:numPr>
        <w:tabs>
          <w:tab w:pos="1761" w:val="left" w:leader="none"/>
          <w:tab w:pos="1762" w:val="left" w:leader="none"/>
        </w:tabs>
        <w:spacing w:line="206" w:lineRule="auto" w:before="126" w:after="0"/>
        <w:ind w:left="1761" w:right="1236" w:hanging="794"/>
        <w:jc w:val="left"/>
        <w:rPr>
          <w:sz w:val="11"/>
        </w:rPr>
      </w:pPr>
      <w:r>
        <w:rPr>
          <w:sz w:val="20"/>
        </w:rPr>
        <w:t>In 2018-19, </w:t>
      </w:r>
      <w:r>
        <w:rPr>
          <w:spacing w:val="-3"/>
          <w:sz w:val="20"/>
        </w:rPr>
        <w:t>before </w:t>
      </w:r>
      <w:r>
        <w:rPr>
          <w:sz w:val="20"/>
        </w:rPr>
        <w:t>the </w:t>
      </w:r>
      <w:r>
        <w:rPr>
          <w:spacing w:val="-3"/>
          <w:sz w:val="20"/>
        </w:rPr>
        <w:t>coronavirus </w:t>
      </w:r>
      <w:r>
        <w:rPr>
          <w:spacing w:val="-4"/>
          <w:sz w:val="20"/>
        </w:rPr>
        <w:t>(COVID </w:t>
      </w:r>
      <w:r>
        <w:rPr>
          <w:sz w:val="20"/>
        </w:rPr>
        <w:t>19) pandemic, the County Court heard 306 criminal jury trials in Melbourne and 110 criminal jury trials in regional Victoria. The County Court heard 31 civil jury trials in Melbourne and nine in regional courts. The Supreme</w:t>
      </w:r>
      <w:r>
        <w:rPr>
          <w:spacing w:val="-11"/>
          <w:sz w:val="20"/>
        </w:rPr>
        <w:t> </w:t>
      </w:r>
      <w:r>
        <w:rPr>
          <w:sz w:val="20"/>
        </w:rPr>
        <w:t>Court</w:t>
      </w:r>
      <w:r>
        <w:rPr>
          <w:spacing w:val="-10"/>
          <w:sz w:val="20"/>
        </w:rPr>
        <w:t> </w:t>
      </w:r>
      <w:r>
        <w:rPr>
          <w:sz w:val="20"/>
        </w:rPr>
        <w:t>heard</w:t>
      </w:r>
      <w:r>
        <w:rPr>
          <w:spacing w:val="-11"/>
          <w:sz w:val="20"/>
        </w:rPr>
        <w:t> </w:t>
      </w:r>
      <w:r>
        <w:rPr>
          <w:sz w:val="20"/>
        </w:rPr>
        <w:t>39</w:t>
      </w:r>
      <w:r>
        <w:rPr>
          <w:spacing w:val="-10"/>
          <w:sz w:val="20"/>
        </w:rPr>
        <w:t> </w:t>
      </w:r>
      <w:r>
        <w:rPr>
          <w:sz w:val="20"/>
        </w:rPr>
        <w:t>criminal</w:t>
      </w:r>
      <w:r>
        <w:rPr>
          <w:spacing w:val="-10"/>
          <w:sz w:val="20"/>
        </w:rPr>
        <w:t> </w:t>
      </w:r>
      <w:r>
        <w:rPr>
          <w:sz w:val="20"/>
        </w:rPr>
        <w:t>jury</w:t>
      </w:r>
      <w:r>
        <w:rPr>
          <w:spacing w:val="-11"/>
          <w:sz w:val="20"/>
        </w:rPr>
        <w:t> </w:t>
      </w:r>
      <w:r>
        <w:rPr>
          <w:sz w:val="20"/>
        </w:rPr>
        <w:t>trials</w:t>
      </w:r>
      <w:r>
        <w:rPr>
          <w:spacing w:val="-10"/>
          <w:sz w:val="20"/>
        </w:rPr>
        <w:t> </w:t>
      </w:r>
      <w:r>
        <w:rPr>
          <w:sz w:val="20"/>
        </w:rPr>
        <w:t>in</w:t>
      </w:r>
      <w:r>
        <w:rPr>
          <w:spacing w:val="-10"/>
          <w:sz w:val="20"/>
        </w:rPr>
        <w:t> </w:t>
      </w:r>
      <w:r>
        <w:rPr>
          <w:sz w:val="20"/>
        </w:rPr>
        <w:t>Melbourne</w:t>
      </w:r>
      <w:r>
        <w:rPr>
          <w:spacing w:val="-11"/>
          <w:sz w:val="20"/>
        </w:rPr>
        <w:t> </w:t>
      </w:r>
      <w:r>
        <w:rPr>
          <w:sz w:val="20"/>
        </w:rPr>
        <w:t>and</w:t>
      </w:r>
      <w:r>
        <w:rPr>
          <w:spacing w:val="-10"/>
          <w:sz w:val="20"/>
        </w:rPr>
        <w:t> </w:t>
      </w:r>
      <w:r>
        <w:rPr>
          <w:spacing w:val="-3"/>
          <w:sz w:val="20"/>
        </w:rPr>
        <w:t>seven</w:t>
      </w:r>
      <w:r>
        <w:rPr>
          <w:spacing w:val="-10"/>
          <w:sz w:val="20"/>
        </w:rPr>
        <w:t> </w:t>
      </w:r>
      <w:r>
        <w:rPr>
          <w:sz w:val="20"/>
        </w:rPr>
        <w:t>in</w:t>
      </w:r>
      <w:r>
        <w:rPr>
          <w:spacing w:val="-11"/>
          <w:sz w:val="20"/>
        </w:rPr>
        <w:t> </w:t>
      </w:r>
      <w:r>
        <w:rPr>
          <w:sz w:val="20"/>
        </w:rPr>
        <w:t>regional</w:t>
      </w:r>
      <w:r>
        <w:rPr>
          <w:spacing w:val="-10"/>
          <w:sz w:val="20"/>
        </w:rPr>
        <w:t> </w:t>
      </w:r>
      <w:r>
        <w:rPr>
          <w:sz w:val="20"/>
        </w:rPr>
        <w:t>Victoria. It</w:t>
      </w:r>
      <w:r>
        <w:rPr>
          <w:spacing w:val="-6"/>
          <w:sz w:val="20"/>
        </w:rPr>
        <w:t> </w:t>
      </w:r>
      <w:r>
        <w:rPr>
          <w:sz w:val="20"/>
        </w:rPr>
        <w:t>heard</w:t>
      </w:r>
      <w:r>
        <w:rPr>
          <w:spacing w:val="-5"/>
          <w:sz w:val="20"/>
        </w:rPr>
        <w:t> </w:t>
      </w:r>
      <w:r>
        <w:rPr>
          <w:sz w:val="20"/>
        </w:rPr>
        <w:t>16</w:t>
      </w:r>
      <w:r>
        <w:rPr>
          <w:spacing w:val="-6"/>
          <w:sz w:val="20"/>
        </w:rPr>
        <w:t> </w:t>
      </w:r>
      <w:r>
        <w:rPr>
          <w:sz w:val="20"/>
        </w:rPr>
        <w:t>civil</w:t>
      </w:r>
      <w:r>
        <w:rPr>
          <w:spacing w:val="-5"/>
          <w:sz w:val="20"/>
        </w:rPr>
        <w:t> </w:t>
      </w:r>
      <w:r>
        <w:rPr>
          <w:sz w:val="20"/>
        </w:rPr>
        <w:t>jury</w:t>
      </w:r>
      <w:r>
        <w:rPr>
          <w:spacing w:val="-5"/>
          <w:sz w:val="20"/>
        </w:rPr>
        <w:t> </w:t>
      </w:r>
      <w:r>
        <w:rPr>
          <w:sz w:val="20"/>
        </w:rPr>
        <w:t>trials</w:t>
      </w:r>
      <w:r>
        <w:rPr>
          <w:spacing w:val="-6"/>
          <w:sz w:val="20"/>
        </w:rPr>
        <w:t> </w:t>
      </w:r>
      <w:r>
        <w:rPr>
          <w:sz w:val="20"/>
        </w:rPr>
        <w:t>in</w:t>
      </w:r>
      <w:r>
        <w:rPr>
          <w:spacing w:val="-5"/>
          <w:sz w:val="20"/>
        </w:rPr>
        <w:t> </w:t>
      </w:r>
      <w:r>
        <w:rPr>
          <w:sz w:val="20"/>
        </w:rPr>
        <w:t>Melbourne</w:t>
      </w:r>
      <w:r>
        <w:rPr>
          <w:spacing w:val="-5"/>
          <w:sz w:val="20"/>
        </w:rPr>
        <w:t> </w:t>
      </w:r>
      <w:r>
        <w:rPr>
          <w:sz w:val="20"/>
        </w:rPr>
        <w:t>and</w:t>
      </w:r>
      <w:r>
        <w:rPr>
          <w:spacing w:val="-6"/>
          <w:sz w:val="20"/>
        </w:rPr>
        <w:t> </w:t>
      </w:r>
      <w:r>
        <w:rPr>
          <w:sz w:val="20"/>
        </w:rPr>
        <w:t>six</w:t>
      </w:r>
      <w:r>
        <w:rPr>
          <w:spacing w:val="-5"/>
          <w:sz w:val="20"/>
        </w:rPr>
        <w:t> </w:t>
      </w:r>
      <w:r>
        <w:rPr>
          <w:sz w:val="20"/>
        </w:rPr>
        <w:t>in</w:t>
      </w:r>
      <w:r>
        <w:rPr>
          <w:spacing w:val="-5"/>
          <w:sz w:val="20"/>
        </w:rPr>
        <w:t> </w:t>
      </w:r>
      <w:r>
        <w:rPr>
          <w:sz w:val="20"/>
        </w:rPr>
        <w:t>regional</w:t>
      </w:r>
      <w:r>
        <w:rPr>
          <w:spacing w:val="-6"/>
          <w:sz w:val="20"/>
        </w:rPr>
        <w:t> </w:t>
      </w:r>
      <w:r>
        <w:rPr>
          <w:sz w:val="20"/>
        </w:rPr>
        <w:t>Victoria.</w:t>
      </w:r>
      <w:r>
        <w:rPr>
          <w:position w:val="7"/>
          <w:sz w:val="11"/>
        </w:rPr>
        <w:t>15</w:t>
      </w:r>
    </w:p>
    <w:p>
      <w:pPr>
        <w:pStyle w:val="BodyText"/>
      </w:pPr>
    </w:p>
    <w:p>
      <w:pPr>
        <w:pStyle w:val="BodyText"/>
      </w:pPr>
    </w:p>
    <w:p>
      <w:pPr>
        <w:pStyle w:val="BodyText"/>
      </w:pPr>
    </w:p>
    <w:p>
      <w:pPr>
        <w:pStyle w:val="BodyText"/>
      </w:pPr>
    </w:p>
    <w:p>
      <w:pPr>
        <w:pStyle w:val="BodyText"/>
      </w:pPr>
    </w:p>
    <w:p>
      <w:pPr>
        <w:pStyle w:val="BodyText"/>
        <w:spacing w:before="5"/>
        <w:rPr>
          <w:sz w:val="18"/>
        </w:rPr>
      </w:pPr>
      <w:r>
        <w:rPr/>
        <w:pict>
          <v:line style="position:absolute;mso-position-horizontal-relative:page;mso-position-vertical-relative:paragraph;z-index:416;mso-wrap-distance-left:0;mso-wrap-distance-right:0" from="79.370102pt,15.2pt" to="515.905102pt,15.2pt" stroked="true" strokeweight="1pt" strokecolor="#b6bdc8">
            <v:stroke dashstyle="solid"/>
            <w10:wrap type="topAndBottom"/>
          </v:line>
        </w:pict>
      </w:r>
    </w:p>
    <w:p>
      <w:pPr>
        <w:pStyle w:val="ListParagraph"/>
        <w:numPr>
          <w:ilvl w:val="0"/>
          <w:numId w:val="16"/>
        </w:numPr>
        <w:tabs>
          <w:tab w:pos="1760" w:val="left" w:leader="none"/>
          <w:tab w:pos="1762" w:val="left" w:leader="none"/>
        </w:tabs>
        <w:spacing w:line="170" w:lineRule="exact" w:before="91" w:after="0"/>
        <w:ind w:left="1761" w:right="0" w:hanging="794"/>
        <w:jc w:val="left"/>
        <w:rPr>
          <w:sz w:val="13"/>
        </w:rPr>
      </w:pPr>
      <w:r>
        <w:rPr>
          <w:sz w:val="13"/>
        </w:rPr>
        <w:t>Victorian</w:t>
      </w:r>
      <w:r>
        <w:rPr>
          <w:spacing w:val="5"/>
          <w:sz w:val="13"/>
        </w:rPr>
        <w:t> </w:t>
      </w:r>
      <w:r>
        <w:rPr>
          <w:sz w:val="13"/>
        </w:rPr>
        <w:t>Law</w:t>
      </w:r>
      <w:r>
        <w:rPr>
          <w:spacing w:val="5"/>
          <w:sz w:val="13"/>
        </w:rPr>
        <w:t> </w:t>
      </w:r>
      <w:r>
        <w:rPr>
          <w:sz w:val="13"/>
        </w:rPr>
        <w:t>Reform</w:t>
      </w:r>
      <w:r>
        <w:rPr>
          <w:spacing w:val="6"/>
          <w:sz w:val="13"/>
        </w:rPr>
        <w:t> </w:t>
      </w:r>
      <w:r>
        <w:rPr>
          <w:spacing w:val="2"/>
          <w:sz w:val="13"/>
        </w:rPr>
        <w:t>Commission,</w:t>
      </w:r>
      <w:r>
        <w:rPr>
          <w:spacing w:val="5"/>
          <w:sz w:val="13"/>
        </w:rPr>
        <w:t> </w:t>
      </w:r>
      <w:r>
        <w:rPr>
          <w:i/>
          <w:spacing w:val="2"/>
          <w:sz w:val="13"/>
        </w:rPr>
        <w:t>Jury</w:t>
      </w:r>
      <w:r>
        <w:rPr>
          <w:i/>
          <w:spacing w:val="5"/>
          <w:sz w:val="13"/>
        </w:rPr>
        <w:t> </w:t>
      </w:r>
      <w:r>
        <w:rPr>
          <w:i/>
          <w:sz w:val="13"/>
        </w:rPr>
        <w:t>Empanelment</w:t>
      </w:r>
      <w:r>
        <w:rPr>
          <w:i/>
          <w:spacing w:val="6"/>
          <w:sz w:val="13"/>
        </w:rPr>
        <w:t> </w:t>
      </w:r>
      <w:r>
        <w:rPr>
          <w:spacing w:val="2"/>
          <w:sz w:val="13"/>
        </w:rPr>
        <w:t>(Report</w:t>
      </w:r>
      <w:r>
        <w:rPr>
          <w:spacing w:val="5"/>
          <w:sz w:val="13"/>
        </w:rPr>
        <w:t> </w:t>
      </w:r>
      <w:r>
        <w:rPr>
          <w:sz w:val="13"/>
        </w:rPr>
        <w:t>No</w:t>
      </w:r>
      <w:r>
        <w:rPr>
          <w:spacing w:val="5"/>
          <w:sz w:val="13"/>
        </w:rPr>
        <w:t> </w:t>
      </w:r>
      <w:r>
        <w:rPr>
          <w:spacing w:val="-3"/>
          <w:sz w:val="13"/>
        </w:rPr>
        <w:t>27,</w:t>
      </w:r>
      <w:r>
        <w:rPr>
          <w:spacing w:val="6"/>
          <w:sz w:val="13"/>
        </w:rPr>
        <w:t> </w:t>
      </w:r>
      <w:r>
        <w:rPr>
          <w:sz w:val="13"/>
        </w:rPr>
        <w:t>May</w:t>
      </w:r>
      <w:r>
        <w:rPr>
          <w:spacing w:val="5"/>
          <w:sz w:val="13"/>
        </w:rPr>
        <w:t> </w:t>
      </w:r>
      <w:r>
        <w:rPr>
          <w:spacing w:val="2"/>
          <w:sz w:val="13"/>
        </w:rPr>
        <w:t>2014)</w:t>
      </w:r>
      <w:r>
        <w:rPr>
          <w:spacing w:val="6"/>
          <w:sz w:val="13"/>
        </w:rPr>
        <w:t> </w:t>
      </w:r>
      <w:r>
        <w:rPr>
          <w:sz w:val="13"/>
        </w:rPr>
        <w:t>8</w:t>
      </w:r>
      <w:r>
        <w:rPr>
          <w:spacing w:val="5"/>
          <w:sz w:val="13"/>
        </w:rPr>
        <w:t> </w:t>
      </w:r>
      <w:r>
        <w:rPr>
          <w:spacing w:val="2"/>
          <w:sz w:val="13"/>
        </w:rPr>
        <w:t>[2.5],</w:t>
      </w:r>
      <w:r>
        <w:rPr>
          <w:spacing w:val="6"/>
          <w:sz w:val="13"/>
        </w:rPr>
        <w:t> </w:t>
      </w:r>
      <w:r>
        <w:rPr>
          <w:sz w:val="13"/>
        </w:rPr>
        <w:t>citing</w:t>
      </w:r>
      <w:r>
        <w:rPr>
          <w:spacing w:val="5"/>
          <w:sz w:val="13"/>
        </w:rPr>
        <w:t> </w:t>
      </w:r>
      <w:r>
        <w:rPr>
          <w:sz w:val="13"/>
        </w:rPr>
        <w:t>Mark</w:t>
      </w:r>
      <w:r>
        <w:rPr>
          <w:spacing w:val="5"/>
          <w:sz w:val="13"/>
        </w:rPr>
        <w:t> </w:t>
      </w:r>
      <w:r>
        <w:rPr>
          <w:sz w:val="13"/>
        </w:rPr>
        <w:t>Findlay,</w:t>
      </w:r>
      <w:r>
        <w:rPr>
          <w:spacing w:val="6"/>
          <w:sz w:val="13"/>
        </w:rPr>
        <w:t> </w:t>
      </w:r>
      <w:r>
        <w:rPr>
          <w:sz w:val="13"/>
        </w:rPr>
        <w:t>‘Juries</w:t>
      </w:r>
      <w:r>
        <w:rPr>
          <w:spacing w:val="5"/>
          <w:sz w:val="13"/>
        </w:rPr>
        <w:t> </w:t>
      </w:r>
      <w:r>
        <w:rPr>
          <w:sz w:val="13"/>
        </w:rPr>
        <w:t>Reborn’</w:t>
      </w:r>
      <w:r>
        <w:rPr>
          <w:spacing w:val="6"/>
          <w:sz w:val="13"/>
        </w:rPr>
        <w:t> </w:t>
      </w:r>
      <w:r>
        <w:rPr>
          <w:sz w:val="13"/>
        </w:rPr>
        <w:t>[2007]</w:t>
      </w:r>
    </w:p>
    <w:p>
      <w:pPr>
        <w:spacing w:line="160" w:lineRule="exact" w:before="0"/>
        <w:ind w:left="1761" w:right="0" w:firstLine="0"/>
        <w:jc w:val="left"/>
        <w:rPr>
          <w:sz w:val="13"/>
        </w:rPr>
      </w:pPr>
      <w:r>
        <w:rPr>
          <w:sz w:val="13"/>
        </w:rPr>
        <w:t>(90) </w:t>
      </w:r>
      <w:r>
        <w:rPr>
          <w:i/>
          <w:sz w:val="13"/>
        </w:rPr>
        <w:t>Reform</w:t>
      </w:r>
      <w:r>
        <w:rPr>
          <w:i/>
          <w:spacing w:val="12"/>
          <w:sz w:val="13"/>
        </w:rPr>
        <w:t> </w:t>
      </w:r>
      <w:r>
        <w:rPr>
          <w:spacing w:val="5"/>
          <w:sz w:val="13"/>
        </w:rPr>
        <w:t>9.</w:t>
      </w:r>
    </w:p>
    <w:p>
      <w:pPr>
        <w:pStyle w:val="ListParagraph"/>
        <w:numPr>
          <w:ilvl w:val="0"/>
          <w:numId w:val="16"/>
        </w:numPr>
        <w:tabs>
          <w:tab w:pos="1760" w:val="left" w:leader="none"/>
          <w:tab w:pos="1762" w:val="left" w:leader="none"/>
        </w:tabs>
        <w:spacing w:line="213" w:lineRule="auto" w:before="6" w:after="0"/>
        <w:ind w:left="1761" w:right="1244" w:hanging="794"/>
        <w:jc w:val="left"/>
        <w:rPr>
          <w:sz w:val="13"/>
        </w:rPr>
      </w:pP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8 </w:t>
      </w:r>
      <w:r>
        <w:rPr>
          <w:spacing w:val="2"/>
          <w:sz w:val="13"/>
        </w:rPr>
        <w:t>[2.5], </w:t>
      </w:r>
      <w:r>
        <w:rPr>
          <w:sz w:val="13"/>
        </w:rPr>
        <w:t>citing Mark Findlay, ‘The </w:t>
      </w:r>
      <w:r>
        <w:rPr>
          <w:spacing w:val="2"/>
          <w:sz w:val="13"/>
        </w:rPr>
        <w:t>Essence </w:t>
      </w:r>
      <w:r>
        <w:rPr>
          <w:sz w:val="13"/>
        </w:rPr>
        <w:t>of the </w:t>
      </w:r>
      <w:r>
        <w:rPr>
          <w:spacing w:val="2"/>
          <w:sz w:val="13"/>
        </w:rPr>
        <w:t>Jury’ </w:t>
      </w:r>
      <w:r>
        <w:rPr>
          <w:sz w:val="13"/>
        </w:rPr>
        <w:t>(2000) </w:t>
      </w:r>
      <w:r>
        <w:rPr>
          <w:spacing w:val="2"/>
          <w:sz w:val="13"/>
        </w:rPr>
        <w:t>12(2) </w:t>
      </w:r>
      <w:r>
        <w:rPr>
          <w:i/>
          <w:sz w:val="13"/>
        </w:rPr>
        <w:t>Legaldate </w:t>
      </w:r>
      <w:r>
        <w:rPr>
          <w:spacing w:val="3"/>
          <w:sz w:val="13"/>
        </w:rPr>
        <w:t>5. </w:t>
      </w:r>
      <w:r>
        <w:rPr>
          <w:sz w:val="13"/>
        </w:rPr>
        <w:t>The strengths of the </w:t>
      </w:r>
      <w:r>
        <w:rPr>
          <w:spacing w:val="2"/>
          <w:sz w:val="13"/>
        </w:rPr>
        <w:t>jury </w:t>
      </w:r>
      <w:r>
        <w:rPr>
          <w:sz w:val="13"/>
        </w:rPr>
        <w:t>system are </w:t>
      </w:r>
      <w:r>
        <w:rPr>
          <w:spacing w:val="2"/>
          <w:sz w:val="13"/>
        </w:rPr>
        <w:t>also </w:t>
      </w:r>
      <w:r>
        <w:rPr>
          <w:sz w:val="13"/>
        </w:rPr>
        <w:t>canvassed in Law Reform Committee, Parliament of Victoria, </w:t>
      </w:r>
      <w:r>
        <w:rPr>
          <w:i/>
          <w:spacing w:val="2"/>
          <w:sz w:val="13"/>
        </w:rPr>
        <w:t>Jury Service </w:t>
      </w:r>
      <w:r>
        <w:rPr>
          <w:i/>
          <w:sz w:val="13"/>
        </w:rPr>
        <w:t>in Victoria </w:t>
      </w:r>
      <w:r>
        <w:rPr>
          <w:sz w:val="13"/>
        </w:rPr>
        <w:t>(Final </w:t>
      </w:r>
      <w:r>
        <w:rPr>
          <w:spacing w:val="2"/>
          <w:sz w:val="13"/>
        </w:rPr>
        <w:t>Report, December </w:t>
      </w:r>
      <w:r>
        <w:rPr>
          <w:sz w:val="13"/>
        </w:rPr>
        <w:t>1997) vol 3 </w:t>
      </w:r>
      <w:r>
        <w:rPr>
          <w:spacing w:val="2"/>
          <w:sz w:val="13"/>
        </w:rPr>
        <w:t>[1.11]–[1.15], </w:t>
      </w:r>
      <w:r>
        <w:rPr>
          <w:sz w:val="13"/>
        </w:rPr>
        <w:t>including that a </w:t>
      </w:r>
      <w:r>
        <w:rPr>
          <w:spacing w:val="2"/>
          <w:sz w:val="13"/>
        </w:rPr>
        <w:t>jury </w:t>
      </w:r>
      <w:r>
        <w:rPr>
          <w:sz w:val="13"/>
        </w:rPr>
        <w:t>is free to determine cases equitably by not </w:t>
      </w:r>
      <w:r>
        <w:rPr>
          <w:spacing w:val="2"/>
          <w:sz w:val="13"/>
        </w:rPr>
        <w:t>being </w:t>
      </w:r>
      <w:r>
        <w:rPr>
          <w:sz w:val="13"/>
        </w:rPr>
        <w:t>bound by precedent; encouraging respect for the law, a sense of duty to </w:t>
      </w:r>
      <w:r>
        <w:rPr>
          <w:spacing w:val="2"/>
          <w:sz w:val="13"/>
        </w:rPr>
        <w:t>society </w:t>
      </w:r>
      <w:r>
        <w:rPr>
          <w:sz w:val="13"/>
        </w:rPr>
        <w:t>and an </w:t>
      </w:r>
      <w:r>
        <w:rPr>
          <w:spacing w:val="2"/>
          <w:sz w:val="13"/>
        </w:rPr>
        <w:t>understanding </w:t>
      </w:r>
      <w:r>
        <w:rPr>
          <w:sz w:val="13"/>
        </w:rPr>
        <w:t>of legal rights; ensuring a judge is free from the obligation to determine</w:t>
      </w:r>
      <w:r>
        <w:rPr>
          <w:spacing w:val="9"/>
          <w:sz w:val="13"/>
        </w:rPr>
        <w:t> </w:t>
      </w:r>
      <w:r>
        <w:rPr>
          <w:spacing w:val="2"/>
          <w:sz w:val="13"/>
        </w:rPr>
        <w:t>facts.</w:t>
      </w:r>
    </w:p>
    <w:p>
      <w:pPr>
        <w:pStyle w:val="ListParagraph"/>
        <w:numPr>
          <w:ilvl w:val="0"/>
          <w:numId w:val="16"/>
        </w:numPr>
        <w:tabs>
          <w:tab w:pos="1761" w:val="left" w:leader="none"/>
          <w:tab w:pos="1762" w:val="left" w:leader="none"/>
        </w:tabs>
        <w:spacing w:line="213" w:lineRule="auto" w:before="0" w:after="0"/>
        <w:ind w:left="1761" w:right="1205" w:hanging="794"/>
        <w:jc w:val="left"/>
        <w:rPr>
          <w:sz w:val="13"/>
        </w:rPr>
      </w:pPr>
      <w:r>
        <w:rPr>
          <w:i/>
          <w:sz w:val="13"/>
        </w:rPr>
        <w:t>Juries Act 2000 </w:t>
      </w:r>
      <w:r>
        <w:rPr>
          <w:spacing w:val="2"/>
          <w:sz w:val="13"/>
        </w:rPr>
        <w:t>(Vic) </w:t>
      </w:r>
      <w:r>
        <w:rPr>
          <w:sz w:val="13"/>
        </w:rPr>
        <w:t>ss 60–4; Victorian Government, ‘Juries Victoria’, </w:t>
      </w:r>
      <w:r>
        <w:rPr>
          <w:i/>
          <w:sz w:val="13"/>
        </w:rPr>
        <w:t>What Is </w:t>
      </w:r>
      <w:r>
        <w:rPr>
          <w:i/>
          <w:spacing w:val="2"/>
          <w:sz w:val="13"/>
        </w:rPr>
        <w:t>Jury </w:t>
      </w:r>
      <w:r>
        <w:rPr>
          <w:i/>
          <w:sz w:val="13"/>
        </w:rPr>
        <w:t>Service? </w:t>
      </w:r>
      <w:r>
        <w:rPr>
          <w:sz w:val="13"/>
        </w:rPr>
        <w:t>(Web Page) &lt;</w:t>
      </w:r>
      <w:hyperlink r:id="rId43">
        <w:r>
          <w:rPr>
            <w:sz w:val="13"/>
          </w:rPr>
          <w:t>https://www.juriesvictoria.</w:t>
        </w:r>
      </w:hyperlink>
      <w:hyperlink r:id="rId43">
        <w:r>
          <w:rPr>
            <w:sz w:val="13"/>
          </w:rPr>
          <w:t> vic.gov.au/about-juries-victoria/what-is-jury-service</w:t>
        </w:r>
      </w:hyperlink>
      <w:r>
        <w:rPr>
          <w:sz w:val="13"/>
        </w:rPr>
        <w:t>&gt;.</w:t>
      </w:r>
    </w:p>
    <w:p>
      <w:pPr>
        <w:pStyle w:val="ListParagraph"/>
        <w:numPr>
          <w:ilvl w:val="0"/>
          <w:numId w:val="16"/>
        </w:numPr>
        <w:tabs>
          <w:tab w:pos="1760" w:val="left" w:leader="none"/>
          <w:tab w:pos="1762" w:val="left" w:leader="none"/>
        </w:tabs>
        <w:spacing w:line="213" w:lineRule="auto" w:before="0" w:after="0"/>
        <w:ind w:left="1761" w:right="1601" w:hanging="794"/>
        <w:jc w:val="left"/>
        <w:rPr>
          <w:sz w:val="13"/>
        </w:rPr>
      </w:pPr>
      <w:r>
        <w:rPr>
          <w:sz w:val="13"/>
        </w:rPr>
        <w:t>Paul Anthony Dore, </w:t>
      </w:r>
      <w:r>
        <w:rPr>
          <w:i/>
          <w:spacing w:val="-4"/>
          <w:sz w:val="13"/>
        </w:rPr>
        <w:t>To </w:t>
      </w:r>
      <w:r>
        <w:rPr>
          <w:i/>
          <w:sz w:val="13"/>
        </w:rPr>
        <w:t>Develop a Systemic Approach to Juror </w:t>
      </w:r>
      <w:r>
        <w:rPr>
          <w:i/>
          <w:spacing w:val="2"/>
          <w:sz w:val="13"/>
        </w:rPr>
        <w:t>Support </w:t>
      </w:r>
      <w:r>
        <w:rPr>
          <w:i/>
          <w:sz w:val="13"/>
        </w:rPr>
        <w:t>Programs in Australia </w:t>
      </w:r>
      <w:r>
        <w:rPr>
          <w:spacing w:val="2"/>
          <w:sz w:val="13"/>
        </w:rPr>
        <w:t>(Report, </w:t>
      </w:r>
      <w:r>
        <w:rPr>
          <w:sz w:val="13"/>
        </w:rPr>
        <w:t>Winston Churchill Trust, 2018) </w:t>
      </w:r>
      <w:r>
        <w:rPr>
          <w:spacing w:val="3"/>
          <w:sz w:val="13"/>
        </w:rPr>
        <w:t>4.</w:t>
      </w:r>
    </w:p>
    <w:p>
      <w:pPr>
        <w:pStyle w:val="ListParagraph"/>
        <w:numPr>
          <w:ilvl w:val="0"/>
          <w:numId w:val="16"/>
        </w:numPr>
        <w:tabs>
          <w:tab w:pos="1760" w:val="left" w:leader="none"/>
          <w:tab w:pos="1762" w:val="left" w:leader="none"/>
        </w:tabs>
        <w:spacing w:line="153" w:lineRule="exact" w:before="0" w:after="0"/>
        <w:ind w:left="1761" w:right="0" w:hanging="794"/>
        <w:jc w:val="left"/>
        <w:rPr>
          <w:sz w:val="13"/>
        </w:rPr>
      </w:pPr>
      <w:r>
        <w:rPr>
          <w:sz w:val="13"/>
        </w:rPr>
        <w:t>Ibid</w:t>
      </w:r>
      <w:r>
        <w:rPr>
          <w:spacing w:val="7"/>
          <w:sz w:val="13"/>
        </w:rPr>
        <w:t> </w:t>
      </w:r>
      <w:r>
        <w:rPr>
          <w:spacing w:val="3"/>
          <w:sz w:val="13"/>
        </w:rPr>
        <w:t>4.</w:t>
      </w:r>
    </w:p>
    <w:p>
      <w:pPr>
        <w:pStyle w:val="ListParagraph"/>
        <w:numPr>
          <w:ilvl w:val="0"/>
          <w:numId w:val="16"/>
        </w:numPr>
        <w:tabs>
          <w:tab w:pos="1760" w:val="left" w:leader="none"/>
          <w:tab w:pos="1762" w:val="left" w:leader="none"/>
        </w:tabs>
        <w:spacing w:line="160" w:lineRule="exact" w:before="0" w:after="0"/>
        <w:ind w:left="1761" w:right="0" w:hanging="794"/>
        <w:jc w:val="left"/>
        <w:rPr>
          <w:sz w:val="13"/>
        </w:rPr>
      </w:pPr>
      <w:r>
        <w:rPr>
          <w:sz w:val="13"/>
        </w:rPr>
        <w:t>Ibid</w:t>
      </w:r>
      <w:r>
        <w:rPr>
          <w:spacing w:val="8"/>
          <w:sz w:val="13"/>
        </w:rPr>
        <w:t> </w:t>
      </w:r>
      <w:r>
        <w:rPr>
          <w:spacing w:val="3"/>
          <w:sz w:val="13"/>
        </w:rPr>
        <w:t>5.</w:t>
      </w:r>
    </w:p>
    <w:p>
      <w:pPr>
        <w:pStyle w:val="ListParagraph"/>
        <w:numPr>
          <w:ilvl w:val="0"/>
          <w:numId w:val="16"/>
        </w:numPr>
        <w:tabs>
          <w:tab w:pos="1761" w:val="left" w:leader="none"/>
          <w:tab w:pos="1762" w:val="left" w:leader="none"/>
        </w:tabs>
        <w:spacing w:line="213" w:lineRule="auto" w:before="2" w:after="0"/>
        <w:ind w:left="1761" w:right="1334" w:hanging="794"/>
        <w:jc w:val="left"/>
        <w:rPr>
          <w:i/>
          <w:sz w:val="13"/>
        </w:rPr>
      </w:pPr>
      <w:r>
        <w:rPr>
          <w:sz w:val="13"/>
        </w:rPr>
        <w:t>The </w:t>
      </w:r>
      <w:r>
        <w:rPr>
          <w:i/>
          <w:sz w:val="13"/>
        </w:rPr>
        <w:t>COVID-19 Omnibus (Emergency Measures) Act 2020 </w:t>
      </w:r>
      <w:r>
        <w:rPr>
          <w:spacing w:val="2"/>
          <w:sz w:val="13"/>
        </w:rPr>
        <w:t>(Vic) inserted </w:t>
      </w:r>
      <w:r>
        <w:rPr>
          <w:sz w:val="13"/>
        </w:rPr>
        <w:t>Chapter 9 into the </w:t>
      </w:r>
      <w:r>
        <w:rPr>
          <w:i/>
          <w:sz w:val="13"/>
        </w:rPr>
        <w:t>Criminal Procedure Act 2009 </w:t>
      </w:r>
      <w:r>
        <w:rPr>
          <w:spacing w:val="2"/>
          <w:sz w:val="13"/>
        </w:rPr>
        <w:t>(Vic) </w:t>
      </w:r>
      <w:r>
        <w:rPr>
          <w:sz w:val="13"/>
        </w:rPr>
        <w:t>(‘CPA’)  to temporarily </w:t>
      </w:r>
      <w:r>
        <w:rPr>
          <w:spacing w:val="2"/>
          <w:sz w:val="13"/>
        </w:rPr>
        <w:t>change </w:t>
      </w:r>
      <w:r>
        <w:rPr>
          <w:sz w:val="13"/>
        </w:rPr>
        <w:t>the CPA in response to the COVID-19 </w:t>
      </w:r>
      <w:r>
        <w:rPr>
          <w:spacing w:val="2"/>
          <w:sz w:val="13"/>
        </w:rPr>
        <w:t>pandemic. </w:t>
      </w:r>
      <w:r>
        <w:rPr>
          <w:sz w:val="13"/>
        </w:rPr>
        <w:t>These changes introduced judge alone </w:t>
      </w:r>
      <w:r>
        <w:rPr>
          <w:spacing w:val="2"/>
          <w:sz w:val="13"/>
        </w:rPr>
        <w:t>trials </w:t>
      </w:r>
      <w:r>
        <w:rPr>
          <w:sz w:val="13"/>
        </w:rPr>
        <w:t>for the      first</w:t>
      </w:r>
      <w:r>
        <w:rPr>
          <w:spacing w:val="5"/>
          <w:sz w:val="13"/>
        </w:rPr>
        <w:t> </w:t>
      </w:r>
      <w:r>
        <w:rPr>
          <w:sz w:val="13"/>
        </w:rPr>
        <w:t>time</w:t>
      </w:r>
      <w:r>
        <w:rPr>
          <w:spacing w:val="6"/>
          <w:sz w:val="13"/>
        </w:rPr>
        <w:t> </w:t>
      </w:r>
      <w:r>
        <w:rPr>
          <w:sz w:val="13"/>
        </w:rPr>
        <w:t>in</w:t>
      </w:r>
      <w:r>
        <w:rPr>
          <w:spacing w:val="5"/>
          <w:sz w:val="13"/>
        </w:rPr>
        <w:t> </w:t>
      </w:r>
      <w:r>
        <w:rPr>
          <w:sz w:val="13"/>
        </w:rPr>
        <w:t>Victoria,</w:t>
      </w:r>
      <w:r>
        <w:rPr>
          <w:spacing w:val="6"/>
          <w:sz w:val="13"/>
        </w:rPr>
        <w:t> </w:t>
      </w:r>
      <w:r>
        <w:rPr>
          <w:sz w:val="13"/>
        </w:rPr>
        <w:t>for</w:t>
      </w:r>
      <w:r>
        <w:rPr>
          <w:spacing w:val="5"/>
          <w:sz w:val="13"/>
        </w:rPr>
        <w:t> </w:t>
      </w:r>
      <w:r>
        <w:rPr>
          <w:sz w:val="13"/>
        </w:rPr>
        <w:t>a</w:t>
      </w:r>
      <w:r>
        <w:rPr>
          <w:spacing w:val="6"/>
          <w:sz w:val="13"/>
        </w:rPr>
        <w:t> </w:t>
      </w:r>
      <w:r>
        <w:rPr>
          <w:sz w:val="13"/>
        </w:rPr>
        <w:t>brief</w:t>
      </w:r>
      <w:r>
        <w:rPr>
          <w:spacing w:val="5"/>
          <w:sz w:val="13"/>
        </w:rPr>
        <w:t> </w:t>
      </w:r>
      <w:r>
        <w:rPr>
          <w:spacing w:val="2"/>
          <w:sz w:val="13"/>
        </w:rPr>
        <w:t>period,</w:t>
      </w:r>
      <w:r>
        <w:rPr>
          <w:spacing w:val="6"/>
          <w:sz w:val="13"/>
        </w:rPr>
        <w:t> </w:t>
      </w:r>
      <w:r>
        <w:rPr>
          <w:spacing w:val="2"/>
          <w:sz w:val="13"/>
        </w:rPr>
        <w:t>ending</w:t>
      </w:r>
      <w:r>
        <w:rPr>
          <w:spacing w:val="5"/>
          <w:sz w:val="13"/>
        </w:rPr>
        <w:t> </w:t>
      </w:r>
      <w:r>
        <w:rPr>
          <w:sz w:val="13"/>
        </w:rPr>
        <w:t>in</w:t>
      </w:r>
      <w:r>
        <w:rPr>
          <w:spacing w:val="6"/>
          <w:sz w:val="13"/>
        </w:rPr>
        <w:t> </w:t>
      </w:r>
      <w:r>
        <w:rPr>
          <w:sz w:val="13"/>
        </w:rPr>
        <w:t>April</w:t>
      </w:r>
      <w:r>
        <w:rPr>
          <w:spacing w:val="5"/>
          <w:sz w:val="13"/>
        </w:rPr>
        <w:t> </w:t>
      </w:r>
      <w:r>
        <w:rPr>
          <w:sz w:val="13"/>
        </w:rPr>
        <w:t>2021:</w:t>
      </w:r>
      <w:r>
        <w:rPr>
          <w:spacing w:val="6"/>
          <w:sz w:val="13"/>
        </w:rPr>
        <w:t> </w:t>
      </w:r>
      <w:r>
        <w:rPr>
          <w:sz w:val="13"/>
        </w:rPr>
        <w:t>Supreme</w:t>
      </w:r>
      <w:r>
        <w:rPr>
          <w:spacing w:val="5"/>
          <w:sz w:val="13"/>
        </w:rPr>
        <w:t> </w:t>
      </w:r>
      <w:r>
        <w:rPr>
          <w:spacing w:val="2"/>
          <w:sz w:val="13"/>
        </w:rPr>
        <w:t>Court</w:t>
      </w:r>
      <w:r>
        <w:rPr>
          <w:spacing w:val="6"/>
          <w:sz w:val="13"/>
        </w:rPr>
        <w:t> </w:t>
      </w:r>
      <w:r>
        <w:rPr>
          <w:sz w:val="13"/>
        </w:rPr>
        <w:t>of</w:t>
      </w:r>
      <w:r>
        <w:rPr>
          <w:spacing w:val="5"/>
          <w:sz w:val="13"/>
        </w:rPr>
        <w:t> </w:t>
      </w:r>
      <w:r>
        <w:rPr>
          <w:sz w:val="13"/>
        </w:rPr>
        <w:t>Victoria,</w:t>
      </w:r>
      <w:r>
        <w:rPr>
          <w:spacing w:val="6"/>
          <w:sz w:val="13"/>
        </w:rPr>
        <w:t> </w:t>
      </w:r>
      <w:r>
        <w:rPr>
          <w:i/>
          <w:sz w:val="13"/>
        </w:rPr>
        <w:t>Trial</w:t>
      </w:r>
      <w:r>
        <w:rPr>
          <w:i/>
          <w:spacing w:val="5"/>
          <w:sz w:val="13"/>
        </w:rPr>
        <w:t> </w:t>
      </w:r>
      <w:r>
        <w:rPr>
          <w:i/>
          <w:sz w:val="13"/>
        </w:rPr>
        <w:t>by</w:t>
      </w:r>
      <w:r>
        <w:rPr>
          <w:i/>
          <w:spacing w:val="6"/>
          <w:sz w:val="13"/>
        </w:rPr>
        <w:t> </w:t>
      </w:r>
      <w:r>
        <w:rPr>
          <w:i/>
          <w:sz w:val="13"/>
        </w:rPr>
        <w:t>Judge</w:t>
      </w:r>
      <w:r>
        <w:rPr>
          <w:i/>
          <w:spacing w:val="5"/>
          <w:sz w:val="13"/>
        </w:rPr>
        <w:t> </w:t>
      </w:r>
      <w:r>
        <w:rPr>
          <w:i/>
          <w:sz w:val="13"/>
        </w:rPr>
        <w:t>Alone</w:t>
      </w:r>
      <w:r>
        <w:rPr>
          <w:i/>
          <w:spacing w:val="5"/>
          <w:sz w:val="13"/>
        </w:rPr>
        <w:t> </w:t>
      </w:r>
      <w:r>
        <w:rPr>
          <w:i/>
          <w:sz w:val="13"/>
        </w:rPr>
        <w:t>COVID-19</w:t>
      </w:r>
      <w:r>
        <w:rPr>
          <w:i/>
          <w:spacing w:val="6"/>
          <w:sz w:val="13"/>
        </w:rPr>
        <w:t> </w:t>
      </w:r>
      <w:r>
        <w:rPr>
          <w:i/>
          <w:sz w:val="13"/>
        </w:rPr>
        <w:t>Emergency</w:t>
      </w:r>
    </w:p>
    <w:p>
      <w:pPr>
        <w:spacing w:line="213" w:lineRule="auto" w:before="0"/>
        <w:ind w:left="1761" w:right="1212" w:firstLine="0"/>
        <w:jc w:val="left"/>
        <w:rPr>
          <w:sz w:val="13"/>
        </w:rPr>
      </w:pPr>
      <w:r>
        <w:rPr>
          <w:i/>
          <w:sz w:val="13"/>
        </w:rPr>
        <w:t>Protocol </w:t>
      </w:r>
      <w:r>
        <w:rPr>
          <w:sz w:val="13"/>
        </w:rPr>
        <w:t>(Report, May 2020); Judicial College of Victoria, </w:t>
      </w:r>
      <w:r>
        <w:rPr>
          <w:i/>
          <w:sz w:val="13"/>
        </w:rPr>
        <w:t>Judge Alone Trial Applications </w:t>
      </w:r>
      <w:r>
        <w:rPr>
          <w:sz w:val="13"/>
        </w:rPr>
        <w:t>(Report, 2021); Karin Derkley, ‘Judge-Alone Trials Help Reduce Backlog: Chief Judge Kidd’, </w:t>
      </w:r>
      <w:r>
        <w:rPr>
          <w:i/>
          <w:sz w:val="13"/>
        </w:rPr>
        <w:t>Law Institute of Victoria </w:t>
      </w:r>
      <w:r>
        <w:rPr>
          <w:sz w:val="13"/>
        </w:rPr>
        <w:t>(Web Page, 19 August 2020) &lt;</w:t>
      </w:r>
      <w:hyperlink r:id="rId44">
        <w:r>
          <w:rPr>
            <w:sz w:val="13"/>
          </w:rPr>
          <w:t>https://www.liv.asn.au/</w:t>
        </w:r>
      </w:hyperlink>
      <w:r>
        <w:rPr>
          <w:sz w:val="13"/>
        </w:rPr>
        <w:t> </w:t>
      </w:r>
      <w:hyperlink r:id="rId44">
        <w:r>
          <w:rPr>
            <w:sz w:val="13"/>
          </w:rPr>
          <w:t>Staying-Informed/LIJ/LIJ/August-2020/Judge-alone-trials-help-reduce-backlog--Chief-Judg</w:t>
        </w:r>
      </w:hyperlink>
      <w:r>
        <w:rPr>
          <w:sz w:val="13"/>
        </w:rPr>
        <w:t>&gt;.</w:t>
      </w:r>
    </w:p>
    <w:p>
      <w:pPr>
        <w:pStyle w:val="ListParagraph"/>
        <w:numPr>
          <w:ilvl w:val="0"/>
          <w:numId w:val="16"/>
        </w:numPr>
        <w:tabs>
          <w:tab w:pos="1761" w:val="left" w:leader="none"/>
          <w:tab w:pos="1762" w:val="left" w:leader="none"/>
        </w:tabs>
        <w:spacing w:line="152" w:lineRule="exact" w:before="0" w:after="0"/>
        <w:ind w:left="1761" w:right="0" w:hanging="794"/>
        <w:jc w:val="left"/>
        <w:rPr>
          <w:i/>
          <w:sz w:val="13"/>
        </w:rPr>
      </w:pPr>
      <w:r>
        <w:rPr>
          <w:sz w:val="13"/>
        </w:rPr>
        <w:t>These are known as ‘indictable’ criminal offences. For discussion: see Victorian Law Reform </w:t>
      </w:r>
      <w:r>
        <w:rPr>
          <w:spacing w:val="2"/>
          <w:sz w:val="13"/>
        </w:rPr>
        <w:t>Commission, </w:t>
      </w:r>
      <w:r>
        <w:rPr>
          <w:i/>
          <w:spacing w:val="2"/>
          <w:sz w:val="13"/>
        </w:rPr>
        <w:t>Jury</w:t>
      </w:r>
      <w:r>
        <w:rPr>
          <w:i/>
          <w:spacing w:val="30"/>
          <w:sz w:val="13"/>
        </w:rPr>
        <w:t> </w:t>
      </w:r>
      <w:r>
        <w:rPr>
          <w:i/>
          <w:sz w:val="13"/>
        </w:rPr>
        <w:t>Empanelment</w:t>
      </w:r>
    </w:p>
    <w:p>
      <w:pPr>
        <w:spacing w:line="160" w:lineRule="exact" w:before="0"/>
        <w:ind w:left="1761" w:right="0" w:firstLine="0"/>
        <w:jc w:val="left"/>
        <w:rPr>
          <w:sz w:val="13"/>
        </w:rPr>
      </w:pPr>
      <w:r>
        <w:rPr>
          <w:sz w:val="13"/>
        </w:rPr>
        <w:t>(Report No 27, May 2014) 10 [2.13].</w:t>
      </w:r>
    </w:p>
    <w:p>
      <w:pPr>
        <w:tabs>
          <w:tab w:pos="1760" w:val="left" w:leader="none"/>
        </w:tabs>
        <w:spacing w:line="160" w:lineRule="exact" w:before="0"/>
        <w:ind w:left="967" w:right="0" w:firstLine="0"/>
        <w:jc w:val="left"/>
        <w:rPr>
          <w:sz w:val="13"/>
        </w:rPr>
      </w:pPr>
      <w:r>
        <w:rPr/>
        <w:pict>
          <v:shape style="position:absolute;margin-left:549.715515pt;margin-top:3.70805pt;width:11.65pt;height:14.1pt;mso-position-horizontal-relative:page;mso-position-vertical-relative:paragraph;z-index:2488" type="#_x0000_t202" filled="false" stroked="false">
            <v:textbox inset="0,0,0,0">
              <w:txbxContent>
                <w:p>
                  <w:pPr>
                    <w:spacing w:line="282" w:lineRule="exact" w:before="0"/>
                    <w:ind w:left="0" w:right="0" w:firstLine="0"/>
                    <w:jc w:val="left"/>
                    <w:rPr>
                      <w:b/>
                      <w:sz w:val="24"/>
                    </w:rPr>
                  </w:pPr>
                  <w:r>
                    <w:rPr>
                      <w:b/>
                      <w:color w:val="37617A"/>
                      <w:spacing w:val="-3"/>
                      <w:sz w:val="24"/>
                    </w:rPr>
                    <w:t>11</w:t>
                  </w:r>
                </w:p>
              </w:txbxContent>
            </v:textbox>
            <w10:wrap type="none"/>
          </v:shape>
        </w:pict>
      </w:r>
      <w:r>
        <w:rPr>
          <w:spacing w:val="3"/>
          <w:sz w:val="13"/>
        </w:rPr>
        <w:t>14</w:t>
        <w:tab/>
      </w:r>
      <w:r>
        <w:rPr>
          <w:sz w:val="13"/>
        </w:rPr>
        <w:t>Ibid 11 </w:t>
      </w:r>
      <w:r>
        <w:rPr>
          <w:spacing w:val="2"/>
          <w:sz w:val="13"/>
        </w:rPr>
        <w:t>[2.22]–[2.24].</w:t>
      </w:r>
    </w:p>
    <w:p>
      <w:pPr>
        <w:pStyle w:val="ListParagraph"/>
        <w:numPr>
          <w:ilvl w:val="0"/>
          <w:numId w:val="17"/>
        </w:numPr>
        <w:tabs>
          <w:tab w:pos="1760" w:val="left" w:leader="none"/>
          <w:tab w:pos="1762" w:val="left" w:leader="none"/>
        </w:tabs>
        <w:spacing w:line="170" w:lineRule="exact" w:before="0" w:after="0"/>
        <w:ind w:left="1761" w:right="0" w:hanging="794"/>
        <w:jc w:val="left"/>
        <w:rPr>
          <w:sz w:val="13"/>
        </w:rPr>
      </w:pPr>
      <w:r>
        <w:rPr>
          <w:sz w:val="13"/>
        </w:rPr>
        <w:t>Supreme </w:t>
      </w:r>
      <w:r>
        <w:rPr>
          <w:spacing w:val="2"/>
          <w:sz w:val="13"/>
        </w:rPr>
        <w:t>Court </w:t>
      </w:r>
      <w:r>
        <w:rPr>
          <w:sz w:val="13"/>
        </w:rPr>
        <w:t>of Victoria, </w:t>
      </w:r>
      <w:r>
        <w:rPr>
          <w:i/>
          <w:sz w:val="13"/>
        </w:rPr>
        <w:t>Annual </w:t>
      </w:r>
      <w:r>
        <w:rPr>
          <w:i/>
          <w:spacing w:val="2"/>
          <w:sz w:val="13"/>
        </w:rPr>
        <w:t>Report </w:t>
      </w:r>
      <w:r>
        <w:rPr>
          <w:i/>
          <w:sz w:val="13"/>
        </w:rPr>
        <w:t>2019-2020 </w:t>
      </w:r>
      <w:r>
        <w:rPr>
          <w:spacing w:val="2"/>
          <w:sz w:val="13"/>
        </w:rPr>
        <w:t>(Report, </w:t>
      </w:r>
      <w:r>
        <w:rPr>
          <w:sz w:val="13"/>
        </w:rPr>
        <w:t>March 2021)</w:t>
      </w:r>
      <w:r>
        <w:rPr>
          <w:spacing w:val="-1"/>
          <w:sz w:val="13"/>
        </w:rPr>
        <w:t> </w:t>
      </w:r>
      <w:r>
        <w:rPr>
          <w:spacing w:val="3"/>
          <w:sz w:val="13"/>
        </w:rPr>
        <w:t>64.</w:t>
      </w:r>
    </w:p>
    <w:p>
      <w:pPr>
        <w:spacing w:after="0" w:line="170" w:lineRule="exact"/>
        <w:jc w:val="left"/>
        <w:rPr>
          <w:sz w:val="13"/>
        </w:rPr>
        <w:sectPr>
          <w:headerReference w:type="default" r:id="rId41"/>
          <w:headerReference w:type="even" r:id="rId42"/>
          <w:pgSz w:w="11910" w:h="16840"/>
          <w:pgMar w:header="0" w:footer="0" w:top="840" w:bottom="280" w:left="620" w:right="380"/>
        </w:sectPr>
      </w:pPr>
    </w:p>
    <w:p>
      <w:pPr>
        <w:pStyle w:val="BodyText"/>
      </w:pPr>
      <w:r>
        <w:rPr/>
        <w:pict>
          <v:shape style="position:absolute;margin-left:36pt;margin-top:802.263611pt;width:12.75pt;height:14.1pt;mso-position-horizontal-relative:page;mso-position-vertical-relative:page;z-index:2560" type="#_x0000_t202" filled="false" stroked="false">
            <v:textbox inset="0,0,0,0">
              <w:txbxContent>
                <w:p>
                  <w:pPr>
                    <w:spacing w:line="282" w:lineRule="exact" w:before="0"/>
                    <w:ind w:left="0" w:right="0" w:firstLine="0"/>
                    <w:jc w:val="left"/>
                    <w:rPr>
                      <w:b/>
                      <w:sz w:val="24"/>
                    </w:rPr>
                  </w:pPr>
                  <w:r>
                    <w:rPr>
                      <w:b/>
                      <w:color w:val="37617A"/>
                      <w:sz w:val="24"/>
                    </w:rPr>
                    <w:t>12</w:t>
                  </w:r>
                </w:p>
              </w:txbxContent>
            </v:textbox>
            <w10:wrap type="none"/>
          </v:shape>
        </w:pict>
      </w:r>
    </w:p>
    <w:p>
      <w:pPr>
        <w:pStyle w:val="BodyText"/>
      </w:pPr>
    </w:p>
    <w:p>
      <w:pPr>
        <w:pStyle w:val="BodyText"/>
      </w:pPr>
    </w:p>
    <w:p>
      <w:pPr>
        <w:spacing w:before="212"/>
        <w:ind w:left="967" w:right="0" w:firstLine="0"/>
        <w:jc w:val="left"/>
        <w:rPr>
          <w:rFonts w:ascii="Raleway ExtraBold"/>
          <w:b/>
          <w:sz w:val="28"/>
        </w:rPr>
      </w:pPr>
      <w:bookmarkStart w:name="How is a jury selected?" w:id="36"/>
      <w:bookmarkEnd w:id="36"/>
      <w:r>
        <w:rPr/>
      </w:r>
      <w:bookmarkStart w:name="_bookmark14" w:id="37"/>
      <w:bookmarkEnd w:id="37"/>
      <w:r>
        <w:rPr/>
      </w:r>
      <w:r>
        <w:rPr>
          <w:rFonts w:ascii="Raleway ExtraBold"/>
          <w:b/>
          <w:color w:val="37617A"/>
          <w:sz w:val="28"/>
        </w:rPr>
        <w:t>How is a jury selected?</w:t>
      </w:r>
    </w:p>
    <w:p>
      <w:pPr>
        <w:pStyle w:val="ListParagraph"/>
        <w:numPr>
          <w:ilvl w:val="1"/>
          <w:numId w:val="12"/>
        </w:numPr>
        <w:tabs>
          <w:tab w:pos="1761" w:val="left" w:leader="none"/>
          <w:tab w:pos="1762" w:val="left" w:leader="none"/>
        </w:tabs>
        <w:spacing w:line="240" w:lineRule="auto" w:before="113" w:after="0"/>
        <w:ind w:left="1761" w:right="0" w:hanging="794"/>
        <w:jc w:val="left"/>
        <w:rPr>
          <w:sz w:val="11"/>
        </w:rPr>
      </w:pPr>
      <w:r>
        <w:rPr>
          <w:spacing w:val="-7"/>
          <w:sz w:val="20"/>
        </w:rPr>
        <w:t>Twelve</w:t>
      </w:r>
      <w:r>
        <w:rPr>
          <w:spacing w:val="-6"/>
          <w:sz w:val="20"/>
        </w:rPr>
        <w:t> </w:t>
      </w:r>
      <w:r>
        <w:rPr>
          <w:sz w:val="20"/>
        </w:rPr>
        <w:t>jurors</w:t>
      </w:r>
      <w:r>
        <w:rPr>
          <w:spacing w:val="-6"/>
          <w:sz w:val="20"/>
        </w:rPr>
        <w:t> </w:t>
      </w:r>
      <w:r>
        <w:rPr>
          <w:spacing w:val="-3"/>
          <w:sz w:val="20"/>
        </w:rPr>
        <w:t>are</w:t>
      </w:r>
      <w:r>
        <w:rPr>
          <w:spacing w:val="-6"/>
          <w:sz w:val="20"/>
        </w:rPr>
        <w:t> </w:t>
      </w:r>
      <w:r>
        <w:rPr>
          <w:sz w:val="20"/>
        </w:rPr>
        <w:t>generally</w:t>
      </w:r>
      <w:r>
        <w:rPr>
          <w:spacing w:val="-6"/>
          <w:sz w:val="20"/>
        </w:rPr>
        <w:t> </w:t>
      </w:r>
      <w:r>
        <w:rPr>
          <w:sz w:val="20"/>
        </w:rPr>
        <w:t>selected</w:t>
      </w:r>
      <w:r>
        <w:rPr>
          <w:spacing w:val="-6"/>
          <w:sz w:val="20"/>
        </w:rPr>
        <w:t> </w:t>
      </w:r>
      <w:r>
        <w:rPr>
          <w:sz w:val="20"/>
        </w:rPr>
        <w:t>for</w:t>
      </w:r>
      <w:r>
        <w:rPr>
          <w:spacing w:val="-5"/>
          <w:sz w:val="20"/>
        </w:rPr>
        <w:t> </w:t>
      </w:r>
      <w:r>
        <w:rPr>
          <w:sz w:val="20"/>
        </w:rPr>
        <w:t>criminal</w:t>
      </w:r>
      <w:r>
        <w:rPr>
          <w:spacing w:val="-6"/>
          <w:sz w:val="20"/>
        </w:rPr>
        <w:t> </w:t>
      </w:r>
      <w:r>
        <w:rPr>
          <w:sz w:val="20"/>
        </w:rPr>
        <w:t>trials</w:t>
      </w:r>
      <w:r>
        <w:rPr>
          <w:spacing w:val="-6"/>
          <w:sz w:val="20"/>
        </w:rPr>
        <w:t> </w:t>
      </w:r>
      <w:r>
        <w:rPr>
          <w:sz w:val="20"/>
        </w:rPr>
        <w:t>and</w:t>
      </w:r>
      <w:r>
        <w:rPr>
          <w:spacing w:val="-6"/>
          <w:sz w:val="20"/>
        </w:rPr>
        <w:t> </w:t>
      </w:r>
      <w:r>
        <w:rPr>
          <w:sz w:val="20"/>
        </w:rPr>
        <w:t>six</w:t>
      </w:r>
      <w:r>
        <w:rPr>
          <w:spacing w:val="-6"/>
          <w:sz w:val="20"/>
        </w:rPr>
        <w:t> </w:t>
      </w:r>
      <w:r>
        <w:rPr>
          <w:sz w:val="20"/>
        </w:rPr>
        <w:t>jurors</w:t>
      </w:r>
      <w:r>
        <w:rPr>
          <w:spacing w:val="-5"/>
          <w:sz w:val="20"/>
        </w:rPr>
        <w:t> </w:t>
      </w:r>
      <w:r>
        <w:rPr>
          <w:sz w:val="20"/>
        </w:rPr>
        <w:t>for</w:t>
      </w:r>
      <w:r>
        <w:rPr>
          <w:spacing w:val="-6"/>
          <w:sz w:val="20"/>
        </w:rPr>
        <w:t> </w:t>
      </w:r>
      <w:r>
        <w:rPr>
          <w:sz w:val="20"/>
        </w:rPr>
        <w:t>civil</w:t>
      </w:r>
      <w:r>
        <w:rPr>
          <w:spacing w:val="-6"/>
          <w:sz w:val="20"/>
        </w:rPr>
        <w:t> </w:t>
      </w:r>
      <w:r>
        <w:rPr>
          <w:sz w:val="20"/>
        </w:rPr>
        <w:t>trials.</w:t>
      </w:r>
      <w:r>
        <w:rPr>
          <w:position w:val="7"/>
          <w:sz w:val="11"/>
        </w:rPr>
        <w:t>16</w:t>
      </w:r>
    </w:p>
    <w:p>
      <w:pPr>
        <w:pStyle w:val="ListParagraph"/>
        <w:numPr>
          <w:ilvl w:val="1"/>
          <w:numId w:val="12"/>
        </w:numPr>
        <w:tabs>
          <w:tab w:pos="1761" w:val="left" w:leader="none"/>
          <w:tab w:pos="1762" w:val="left" w:leader="none"/>
        </w:tabs>
        <w:spacing w:line="259" w:lineRule="exact" w:before="83" w:after="0"/>
        <w:ind w:left="1761" w:right="0" w:hanging="794"/>
        <w:jc w:val="left"/>
        <w:rPr>
          <w:sz w:val="20"/>
        </w:rPr>
      </w:pPr>
      <w:r>
        <w:rPr>
          <w:sz w:val="20"/>
        </w:rPr>
        <w:t>A</w:t>
      </w:r>
      <w:r>
        <w:rPr>
          <w:spacing w:val="-7"/>
          <w:sz w:val="20"/>
        </w:rPr>
        <w:t> </w:t>
      </w:r>
      <w:r>
        <w:rPr>
          <w:sz w:val="20"/>
        </w:rPr>
        <w:t>person</w:t>
      </w:r>
      <w:r>
        <w:rPr>
          <w:spacing w:val="-6"/>
          <w:sz w:val="20"/>
        </w:rPr>
        <w:t> </w:t>
      </w:r>
      <w:r>
        <w:rPr>
          <w:sz w:val="20"/>
        </w:rPr>
        <w:t>summonsed</w:t>
      </w:r>
      <w:r>
        <w:rPr>
          <w:spacing w:val="-7"/>
          <w:sz w:val="20"/>
        </w:rPr>
        <w:t> </w:t>
      </w:r>
      <w:r>
        <w:rPr>
          <w:sz w:val="20"/>
        </w:rPr>
        <w:t>to</w:t>
      </w:r>
      <w:r>
        <w:rPr>
          <w:spacing w:val="-6"/>
          <w:sz w:val="20"/>
        </w:rPr>
        <w:t> </w:t>
      </w:r>
      <w:r>
        <w:rPr>
          <w:sz w:val="20"/>
        </w:rPr>
        <w:t>attend</w:t>
      </w:r>
      <w:r>
        <w:rPr>
          <w:spacing w:val="-7"/>
          <w:sz w:val="20"/>
        </w:rPr>
        <w:t> </w:t>
      </w:r>
      <w:r>
        <w:rPr>
          <w:sz w:val="20"/>
        </w:rPr>
        <w:t>jury</w:t>
      </w:r>
      <w:r>
        <w:rPr>
          <w:spacing w:val="-6"/>
          <w:sz w:val="20"/>
        </w:rPr>
        <w:t> </w:t>
      </w:r>
      <w:r>
        <w:rPr>
          <w:sz w:val="20"/>
        </w:rPr>
        <w:t>service</w:t>
      </w:r>
      <w:r>
        <w:rPr>
          <w:spacing w:val="-7"/>
          <w:sz w:val="20"/>
        </w:rPr>
        <w:t> </w:t>
      </w:r>
      <w:r>
        <w:rPr>
          <w:sz w:val="20"/>
        </w:rPr>
        <w:t>is</w:t>
      </w:r>
      <w:r>
        <w:rPr>
          <w:spacing w:val="-6"/>
          <w:sz w:val="20"/>
        </w:rPr>
        <w:t> </w:t>
      </w:r>
      <w:r>
        <w:rPr>
          <w:sz w:val="20"/>
        </w:rPr>
        <w:t>not</w:t>
      </w:r>
      <w:r>
        <w:rPr>
          <w:spacing w:val="-7"/>
          <w:sz w:val="20"/>
        </w:rPr>
        <w:t> </w:t>
      </w:r>
      <w:r>
        <w:rPr>
          <w:sz w:val="20"/>
        </w:rPr>
        <w:t>automatically</w:t>
      </w:r>
      <w:r>
        <w:rPr>
          <w:spacing w:val="-6"/>
          <w:sz w:val="20"/>
        </w:rPr>
        <w:t> </w:t>
      </w:r>
      <w:r>
        <w:rPr>
          <w:sz w:val="20"/>
        </w:rPr>
        <w:t>included</w:t>
      </w:r>
      <w:r>
        <w:rPr>
          <w:spacing w:val="-7"/>
          <w:sz w:val="20"/>
        </w:rPr>
        <w:t> </w:t>
      </w:r>
      <w:r>
        <w:rPr>
          <w:sz w:val="20"/>
        </w:rPr>
        <w:t>in</w:t>
      </w:r>
      <w:r>
        <w:rPr>
          <w:spacing w:val="-6"/>
          <w:sz w:val="20"/>
        </w:rPr>
        <w:t> </w:t>
      </w:r>
      <w:r>
        <w:rPr>
          <w:sz w:val="20"/>
        </w:rPr>
        <w:t>a</w:t>
      </w:r>
      <w:r>
        <w:rPr>
          <w:spacing w:val="-7"/>
          <w:sz w:val="20"/>
        </w:rPr>
        <w:t> </w:t>
      </w:r>
      <w:r>
        <w:rPr>
          <w:sz w:val="20"/>
        </w:rPr>
        <w:t>jury.</w:t>
      </w:r>
      <w:r>
        <w:rPr>
          <w:spacing w:val="-6"/>
          <w:sz w:val="20"/>
        </w:rPr>
        <w:t> </w:t>
      </w:r>
      <w:r>
        <w:rPr>
          <w:sz w:val="20"/>
        </w:rPr>
        <w:t>The</w:t>
      </w:r>
    </w:p>
    <w:p>
      <w:pPr>
        <w:pStyle w:val="BodyText"/>
        <w:spacing w:line="259" w:lineRule="exact"/>
        <w:ind w:left="1761"/>
      </w:pPr>
      <w:r>
        <w:rPr/>
        <w:t>stages in the jury selection process are shown in the figure below.</w:t>
      </w:r>
    </w:p>
    <w:p>
      <w:pPr>
        <w:pStyle w:val="BodyText"/>
        <w:spacing w:before="8"/>
        <w:rPr>
          <w:sz w:val="22"/>
        </w:rPr>
      </w:pPr>
      <w:r>
        <w:rPr/>
        <w:drawing>
          <wp:anchor distT="0" distB="0" distL="0" distR="0" allowOverlap="1" layoutInCell="1" locked="0" behindDoc="0" simplePos="0" relativeHeight="62">
            <wp:simplePos x="0" y="0"/>
            <wp:positionH relativeFrom="page">
              <wp:posOffset>1511998</wp:posOffset>
            </wp:positionH>
            <wp:positionV relativeFrom="paragraph">
              <wp:posOffset>224012</wp:posOffset>
            </wp:positionV>
            <wp:extent cx="5033179" cy="7494270"/>
            <wp:effectExtent l="0" t="0" r="0" b="0"/>
            <wp:wrapTopAndBottom/>
            <wp:docPr id="7" name="image6.png" descr=""/>
            <wp:cNvGraphicFramePr>
              <a:graphicFrameLocks noChangeAspect="1"/>
            </wp:cNvGraphicFramePr>
            <a:graphic>
              <a:graphicData uri="http://schemas.openxmlformats.org/drawingml/2006/picture">
                <pic:pic>
                  <pic:nvPicPr>
                    <pic:cNvPr id="8" name="image6.png"/>
                    <pic:cNvPicPr/>
                  </pic:nvPicPr>
                  <pic:blipFill>
                    <a:blip r:embed="rId45" cstate="print"/>
                    <a:stretch>
                      <a:fillRect/>
                    </a:stretch>
                  </pic:blipFill>
                  <pic:spPr>
                    <a:xfrm>
                      <a:off x="0" y="0"/>
                      <a:ext cx="5033179" cy="7494270"/>
                    </a:xfrm>
                    <a:prstGeom prst="rect">
                      <a:avLst/>
                    </a:prstGeom>
                  </pic:spPr>
                </pic:pic>
              </a:graphicData>
            </a:graphic>
          </wp:anchor>
        </w:drawing>
      </w:r>
      <w:r>
        <w:rPr/>
        <w:pict>
          <v:line style="position:absolute;mso-position-horizontal-relative:page;mso-position-vertical-relative:paragraph;z-index:488;mso-wrap-distance-left:0;mso-wrap-distance-right:0" from="79.370102pt,626.331299pt" to="515.905102pt,626.331299pt" stroked="true" strokeweight="1pt" strokecolor="#b6bdc8">
            <v:stroke dashstyle="solid"/>
            <w10:wrap type="topAndBottom"/>
          </v:line>
        </w:pict>
      </w:r>
    </w:p>
    <w:p>
      <w:pPr>
        <w:pStyle w:val="BodyText"/>
        <w:spacing w:before="2"/>
        <w:rPr>
          <w:sz w:val="21"/>
        </w:rPr>
      </w:pPr>
    </w:p>
    <w:p>
      <w:pPr>
        <w:pStyle w:val="ListParagraph"/>
        <w:numPr>
          <w:ilvl w:val="0"/>
          <w:numId w:val="17"/>
        </w:numPr>
        <w:tabs>
          <w:tab w:pos="1761" w:val="left" w:leader="none"/>
          <w:tab w:pos="1762" w:val="left" w:leader="none"/>
        </w:tabs>
        <w:spacing w:line="213" w:lineRule="auto" w:before="107" w:after="0"/>
        <w:ind w:left="1761" w:right="1753" w:hanging="794"/>
        <w:jc w:val="left"/>
        <w:rPr>
          <w:sz w:val="13"/>
        </w:rPr>
      </w:pPr>
      <w:r>
        <w:rPr>
          <w:i/>
          <w:sz w:val="13"/>
        </w:rPr>
        <w:t>Juries Act 2000 </w:t>
      </w:r>
      <w:r>
        <w:rPr>
          <w:spacing w:val="2"/>
          <w:sz w:val="13"/>
        </w:rPr>
        <w:t>(Vic) </w:t>
      </w:r>
      <w:r>
        <w:rPr>
          <w:sz w:val="13"/>
        </w:rPr>
        <w:t>s 22. The </w:t>
      </w:r>
      <w:r>
        <w:rPr>
          <w:spacing w:val="2"/>
          <w:sz w:val="13"/>
        </w:rPr>
        <w:t>Court </w:t>
      </w:r>
      <w:r>
        <w:rPr>
          <w:sz w:val="13"/>
        </w:rPr>
        <w:t>may enlarge the </w:t>
      </w:r>
      <w:r>
        <w:rPr>
          <w:spacing w:val="2"/>
          <w:sz w:val="13"/>
        </w:rPr>
        <w:t>jury list, </w:t>
      </w:r>
      <w:r>
        <w:rPr>
          <w:sz w:val="13"/>
        </w:rPr>
        <w:t>pool or panel if an order is made under section 16. See </w:t>
      </w:r>
      <w:r>
        <w:rPr>
          <w:spacing w:val="2"/>
          <w:sz w:val="13"/>
        </w:rPr>
        <w:t>also </w:t>
      </w: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w:t>
      </w:r>
      <w:r>
        <w:rPr>
          <w:spacing w:val="11"/>
          <w:sz w:val="13"/>
        </w:rPr>
        <w:t> </w:t>
      </w:r>
      <w:r>
        <w:rPr>
          <w:sz w:val="13"/>
        </w:rPr>
        <w:t>[2.30]–[2.67].</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435" w:hanging="794"/>
        <w:jc w:val="left"/>
        <w:rPr>
          <w:sz w:val="20"/>
        </w:rPr>
      </w:pPr>
      <w:bookmarkStart w:name="_bookmark15" w:id="38"/>
      <w:bookmarkEnd w:id="38"/>
      <w:r>
        <w:rPr/>
      </w:r>
      <w:bookmarkStart w:name="_bookmark15" w:id="39"/>
      <w:bookmarkEnd w:id="39"/>
      <w:r>
        <w:rPr>
          <w:sz w:val="20"/>
        </w:rPr>
        <w:t>T</w:t>
      </w:r>
      <w:r>
        <w:rPr>
          <w:sz w:val="20"/>
        </w:rPr>
        <w:t>hese</w:t>
      </w:r>
      <w:r>
        <w:rPr>
          <w:spacing w:val="-8"/>
          <w:sz w:val="20"/>
        </w:rPr>
        <w:t> </w:t>
      </w:r>
      <w:r>
        <w:rPr>
          <w:sz w:val="20"/>
        </w:rPr>
        <w:t>stages</w:t>
      </w:r>
      <w:r>
        <w:rPr>
          <w:spacing w:val="-8"/>
          <w:sz w:val="20"/>
        </w:rPr>
        <w:t> </w:t>
      </w:r>
      <w:r>
        <w:rPr>
          <w:spacing w:val="-4"/>
          <w:sz w:val="20"/>
        </w:rPr>
        <w:t>were</w:t>
      </w:r>
      <w:r>
        <w:rPr>
          <w:spacing w:val="-8"/>
          <w:sz w:val="20"/>
        </w:rPr>
        <w:t> </w:t>
      </w:r>
      <w:r>
        <w:rPr>
          <w:sz w:val="20"/>
        </w:rPr>
        <w:t>described</w:t>
      </w:r>
      <w:r>
        <w:rPr>
          <w:spacing w:val="-8"/>
          <w:sz w:val="20"/>
        </w:rPr>
        <w:t> </w:t>
      </w:r>
      <w:r>
        <w:rPr>
          <w:sz w:val="20"/>
        </w:rPr>
        <w:t>in</w:t>
      </w:r>
      <w:r>
        <w:rPr>
          <w:spacing w:val="-8"/>
          <w:sz w:val="20"/>
        </w:rPr>
        <w:t> </w:t>
      </w:r>
      <w:r>
        <w:rPr>
          <w:sz w:val="20"/>
        </w:rPr>
        <w:t>detail</w:t>
      </w:r>
      <w:r>
        <w:rPr>
          <w:spacing w:val="-8"/>
          <w:sz w:val="20"/>
        </w:rPr>
        <w:t> </w:t>
      </w:r>
      <w:r>
        <w:rPr>
          <w:sz w:val="20"/>
        </w:rPr>
        <w:t>in</w:t>
      </w:r>
      <w:r>
        <w:rPr>
          <w:spacing w:val="-8"/>
          <w:sz w:val="20"/>
        </w:rPr>
        <w:t> </w:t>
      </w:r>
      <w:r>
        <w:rPr>
          <w:spacing w:val="-2"/>
          <w:sz w:val="20"/>
        </w:rPr>
        <w:t>Chapter</w:t>
      </w:r>
      <w:r>
        <w:rPr>
          <w:spacing w:val="-8"/>
          <w:sz w:val="20"/>
        </w:rPr>
        <w:t> </w:t>
      </w:r>
      <w:r>
        <w:rPr>
          <w:sz w:val="20"/>
        </w:rPr>
        <w:t>3</w:t>
      </w:r>
      <w:r>
        <w:rPr>
          <w:spacing w:val="-8"/>
          <w:sz w:val="20"/>
        </w:rPr>
        <w:t> </w:t>
      </w:r>
      <w:r>
        <w:rPr>
          <w:sz w:val="20"/>
        </w:rPr>
        <w:t>of</w:t>
      </w:r>
      <w:r>
        <w:rPr>
          <w:spacing w:val="-8"/>
          <w:sz w:val="20"/>
        </w:rPr>
        <w:t> </w:t>
      </w:r>
      <w:r>
        <w:rPr>
          <w:sz w:val="20"/>
        </w:rPr>
        <w:t>the</w:t>
      </w:r>
      <w:r>
        <w:rPr>
          <w:spacing w:val="-7"/>
          <w:sz w:val="20"/>
        </w:rPr>
        <w:t> </w:t>
      </w:r>
      <w:r>
        <w:rPr>
          <w:sz w:val="20"/>
        </w:rPr>
        <w:t>consultation</w:t>
      </w:r>
      <w:r>
        <w:rPr>
          <w:spacing w:val="-8"/>
          <w:sz w:val="20"/>
        </w:rPr>
        <w:t> </w:t>
      </w:r>
      <w:r>
        <w:rPr>
          <w:spacing w:val="-3"/>
          <w:sz w:val="20"/>
        </w:rPr>
        <w:t>paper.</w:t>
      </w:r>
      <w:r>
        <w:rPr>
          <w:spacing w:val="-3"/>
          <w:position w:val="7"/>
          <w:sz w:val="11"/>
        </w:rPr>
        <w:t>17</w:t>
      </w:r>
      <w:r>
        <w:rPr>
          <w:spacing w:val="17"/>
          <w:position w:val="7"/>
          <w:sz w:val="11"/>
        </w:rPr>
        <w:t> </w:t>
      </w:r>
      <w:r>
        <w:rPr>
          <w:sz w:val="20"/>
        </w:rPr>
        <w:t>A</w:t>
      </w:r>
      <w:r>
        <w:rPr>
          <w:spacing w:val="-8"/>
          <w:sz w:val="20"/>
        </w:rPr>
        <w:t> </w:t>
      </w:r>
      <w:r>
        <w:rPr>
          <w:sz w:val="20"/>
        </w:rPr>
        <w:t>brief description</w:t>
      </w:r>
      <w:r>
        <w:rPr>
          <w:spacing w:val="-5"/>
          <w:sz w:val="20"/>
        </w:rPr>
        <w:t> </w:t>
      </w:r>
      <w:r>
        <w:rPr>
          <w:spacing w:val="-3"/>
          <w:sz w:val="20"/>
        </w:rPr>
        <w:t>follows.</w:t>
      </w:r>
    </w:p>
    <w:p>
      <w:pPr>
        <w:spacing w:before="161"/>
        <w:ind w:left="967" w:right="0" w:firstLine="0"/>
        <w:jc w:val="left"/>
        <w:rPr>
          <w:b/>
          <w:sz w:val="24"/>
        </w:rPr>
      </w:pPr>
      <w:r>
        <w:rPr>
          <w:b/>
          <w:sz w:val="24"/>
        </w:rPr>
        <w:t>Random selection from the electoral roll</w:t>
      </w:r>
    </w:p>
    <w:p>
      <w:pPr>
        <w:pStyle w:val="ListParagraph"/>
        <w:numPr>
          <w:ilvl w:val="1"/>
          <w:numId w:val="12"/>
        </w:numPr>
        <w:tabs>
          <w:tab w:pos="1761" w:val="left" w:leader="none"/>
          <w:tab w:pos="1762" w:val="left" w:leader="none"/>
        </w:tabs>
        <w:spacing w:line="206" w:lineRule="auto" w:before="127" w:after="0"/>
        <w:ind w:left="1761" w:right="1572" w:hanging="794"/>
        <w:jc w:val="left"/>
        <w:rPr>
          <w:sz w:val="11"/>
        </w:rPr>
      </w:pPr>
      <w:r>
        <w:rPr>
          <w:spacing w:val="-3"/>
          <w:sz w:val="20"/>
        </w:rPr>
        <w:t>At </w:t>
      </w:r>
      <w:r>
        <w:rPr>
          <w:sz w:val="20"/>
        </w:rPr>
        <w:t>the request of the Juries Commissioner, the Victorian </w:t>
      </w:r>
      <w:r>
        <w:rPr>
          <w:spacing w:val="-3"/>
          <w:sz w:val="20"/>
        </w:rPr>
        <w:t>Electoral </w:t>
      </w:r>
      <w:r>
        <w:rPr>
          <w:sz w:val="20"/>
        </w:rPr>
        <w:t>Commission randomly</w:t>
      </w:r>
      <w:r>
        <w:rPr>
          <w:spacing w:val="-11"/>
          <w:sz w:val="20"/>
        </w:rPr>
        <w:t> </w:t>
      </w:r>
      <w:r>
        <w:rPr>
          <w:sz w:val="20"/>
        </w:rPr>
        <w:t>selects</w:t>
      </w:r>
      <w:r>
        <w:rPr>
          <w:spacing w:val="-11"/>
          <w:sz w:val="20"/>
        </w:rPr>
        <w:t> </w:t>
      </w:r>
      <w:r>
        <w:rPr>
          <w:spacing w:val="-3"/>
          <w:sz w:val="20"/>
        </w:rPr>
        <w:t>several</w:t>
      </w:r>
      <w:r>
        <w:rPr>
          <w:spacing w:val="-11"/>
          <w:sz w:val="20"/>
        </w:rPr>
        <w:t> </w:t>
      </w:r>
      <w:r>
        <w:rPr>
          <w:sz w:val="20"/>
        </w:rPr>
        <w:t>thousand</w:t>
      </w:r>
      <w:r>
        <w:rPr>
          <w:spacing w:val="-11"/>
          <w:sz w:val="20"/>
        </w:rPr>
        <w:t> </w:t>
      </w:r>
      <w:r>
        <w:rPr>
          <w:sz w:val="20"/>
        </w:rPr>
        <w:t>people</w:t>
      </w:r>
      <w:r>
        <w:rPr>
          <w:spacing w:val="-11"/>
          <w:sz w:val="20"/>
        </w:rPr>
        <w:t> </w:t>
      </w:r>
      <w:r>
        <w:rPr>
          <w:sz w:val="20"/>
        </w:rPr>
        <w:t>at</w:t>
      </w:r>
      <w:r>
        <w:rPr>
          <w:spacing w:val="-11"/>
          <w:sz w:val="20"/>
        </w:rPr>
        <w:t> </w:t>
      </w:r>
      <w:r>
        <w:rPr>
          <w:sz w:val="20"/>
        </w:rPr>
        <w:t>a</w:t>
      </w:r>
      <w:r>
        <w:rPr>
          <w:spacing w:val="-10"/>
          <w:sz w:val="20"/>
        </w:rPr>
        <w:t> </w:t>
      </w:r>
      <w:r>
        <w:rPr>
          <w:sz w:val="20"/>
        </w:rPr>
        <w:t>time</w:t>
      </w:r>
      <w:r>
        <w:rPr>
          <w:spacing w:val="-11"/>
          <w:sz w:val="20"/>
        </w:rPr>
        <w:t> </w:t>
      </w:r>
      <w:r>
        <w:rPr>
          <w:spacing w:val="-3"/>
          <w:sz w:val="20"/>
        </w:rPr>
        <w:t>from</w:t>
      </w:r>
      <w:r>
        <w:rPr>
          <w:spacing w:val="-11"/>
          <w:sz w:val="20"/>
        </w:rPr>
        <w:t> </w:t>
      </w:r>
      <w:r>
        <w:rPr>
          <w:sz w:val="20"/>
        </w:rPr>
        <w:t>the</w:t>
      </w:r>
      <w:r>
        <w:rPr>
          <w:spacing w:val="-11"/>
          <w:sz w:val="20"/>
        </w:rPr>
        <w:t> </w:t>
      </w:r>
      <w:r>
        <w:rPr>
          <w:sz w:val="20"/>
        </w:rPr>
        <w:t>Victorian</w:t>
      </w:r>
      <w:r>
        <w:rPr>
          <w:spacing w:val="-14"/>
          <w:sz w:val="20"/>
        </w:rPr>
        <w:t> </w:t>
      </w:r>
      <w:r>
        <w:rPr>
          <w:sz w:val="20"/>
        </w:rPr>
        <w:t>electoral</w:t>
      </w:r>
      <w:r>
        <w:rPr>
          <w:spacing w:val="-11"/>
          <w:sz w:val="20"/>
        </w:rPr>
        <w:t> </w:t>
      </w:r>
      <w:r>
        <w:rPr>
          <w:spacing w:val="-3"/>
          <w:sz w:val="20"/>
        </w:rPr>
        <w:t>roll </w:t>
      </w:r>
      <w:r>
        <w:rPr>
          <w:sz w:val="20"/>
        </w:rPr>
        <w:t>to</w:t>
      </w:r>
      <w:r>
        <w:rPr>
          <w:spacing w:val="-11"/>
          <w:sz w:val="20"/>
        </w:rPr>
        <w:t> </w:t>
      </w:r>
      <w:r>
        <w:rPr>
          <w:sz w:val="20"/>
        </w:rPr>
        <w:t>serve</w:t>
      </w:r>
      <w:r>
        <w:rPr>
          <w:spacing w:val="-10"/>
          <w:sz w:val="20"/>
        </w:rPr>
        <w:t> </w:t>
      </w:r>
      <w:r>
        <w:rPr>
          <w:sz w:val="20"/>
        </w:rPr>
        <w:t>on</w:t>
      </w:r>
      <w:r>
        <w:rPr>
          <w:spacing w:val="-10"/>
          <w:sz w:val="20"/>
        </w:rPr>
        <w:t> </w:t>
      </w:r>
      <w:r>
        <w:rPr>
          <w:sz w:val="20"/>
        </w:rPr>
        <w:t>juries</w:t>
      </w:r>
      <w:r>
        <w:rPr>
          <w:spacing w:val="-10"/>
          <w:sz w:val="20"/>
        </w:rPr>
        <w:t> </w:t>
      </w:r>
      <w:r>
        <w:rPr>
          <w:sz w:val="20"/>
        </w:rPr>
        <w:t>in</w:t>
      </w:r>
      <w:r>
        <w:rPr>
          <w:spacing w:val="-10"/>
          <w:sz w:val="20"/>
        </w:rPr>
        <w:t> </w:t>
      </w:r>
      <w:r>
        <w:rPr>
          <w:sz w:val="20"/>
        </w:rPr>
        <w:t>districts</w:t>
      </w:r>
      <w:r>
        <w:rPr>
          <w:spacing w:val="-10"/>
          <w:sz w:val="20"/>
        </w:rPr>
        <w:t> </w:t>
      </w:r>
      <w:r>
        <w:rPr>
          <w:sz w:val="20"/>
        </w:rPr>
        <w:t>in</w:t>
      </w:r>
      <w:r>
        <w:rPr>
          <w:spacing w:val="-10"/>
          <w:sz w:val="20"/>
        </w:rPr>
        <w:t> </w:t>
      </w:r>
      <w:r>
        <w:rPr>
          <w:sz w:val="20"/>
        </w:rPr>
        <w:t>which</w:t>
      </w:r>
      <w:r>
        <w:rPr>
          <w:spacing w:val="-10"/>
          <w:sz w:val="20"/>
        </w:rPr>
        <w:t> </w:t>
      </w:r>
      <w:r>
        <w:rPr>
          <w:sz w:val="20"/>
        </w:rPr>
        <w:t>they</w:t>
      </w:r>
      <w:r>
        <w:rPr>
          <w:spacing w:val="-10"/>
          <w:sz w:val="20"/>
        </w:rPr>
        <w:t> </w:t>
      </w:r>
      <w:r>
        <w:rPr>
          <w:sz w:val="20"/>
        </w:rPr>
        <w:t>reside.</w:t>
      </w:r>
      <w:r>
        <w:rPr>
          <w:position w:val="7"/>
          <w:sz w:val="11"/>
        </w:rPr>
        <w:t>18</w:t>
      </w:r>
      <w:r>
        <w:rPr>
          <w:spacing w:val="14"/>
          <w:position w:val="7"/>
          <w:sz w:val="11"/>
        </w:rPr>
        <w:t> </w:t>
      </w:r>
      <w:r>
        <w:rPr>
          <w:sz w:val="20"/>
        </w:rPr>
        <w:t>Juries</w:t>
      </w:r>
      <w:r>
        <w:rPr>
          <w:spacing w:val="-10"/>
          <w:sz w:val="20"/>
        </w:rPr>
        <w:t> </w:t>
      </w:r>
      <w:r>
        <w:rPr>
          <w:sz w:val="20"/>
        </w:rPr>
        <w:t>Victoria</w:t>
      </w:r>
      <w:r>
        <w:rPr>
          <w:spacing w:val="-10"/>
          <w:sz w:val="20"/>
        </w:rPr>
        <w:t> </w:t>
      </w:r>
      <w:r>
        <w:rPr>
          <w:sz w:val="20"/>
        </w:rPr>
        <w:t>mails</w:t>
      </w:r>
      <w:r>
        <w:rPr>
          <w:spacing w:val="-10"/>
          <w:sz w:val="20"/>
        </w:rPr>
        <w:t> </w:t>
      </w:r>
      <w:r>
        <w:rPr>
          <w:sz w:val="20"/>
        </w:rPr>
        <w:t>the</w:t>
      </w:r>
      <w:r>
        <w:rPr>
          <w:spacing w:val="-10"/>
          <w:sz w:val="20"/>
        </w:rPr>
        <w:t> </w:t>
      </w:r>
      <w:r>
        <w:rPr>
          <w:sz w:val="20"/>
        </w:rPr>
        <w:t>notice</w:t>
      </w:r>
      <w:r>
        <w:rPr>
          <w:spacing w:val="-10"/>
          <w:sz w:val="20"/>
        </w:rPr>
        <w:t> </w:t>
      </w:r>
      <w:r>
        <w:rPr>
          <w:sz w:val="20"/>
        </w:rPr>
        <w:t>of selection</w:t>
      </w:r>
      <w:r>
        <w:rPr>
          <w:spacing w:val="-6"/>
          <w:sz w:val="20"/>
        </w:rPr>
        <w:t> </w:t>
      </w:r>
      <w:r>
        <w:rPr>
          <w:sz w:val="20"/>
        </w:rPr>
        <w:t>and</w:t>
      </w:r>
      <w:r>
        <w:rPr>
          <w:spacing w:val="-6"/>
          <w:sz w:val="20"/>
        </w:rPr>
        <w:t> </w:t>
      </w:r>
      <w:r>
        <w:rPr>
          <w:sz w:val="20"/>
        </w:rPr>
        <w:t>questionnaire</w:t>
      </w:r>
      <w:r>
        <w:rPr>
          <w:spacing w:val="-6"/>
          <w:sz w:val="20"/>
        </w:rPr>
        <w:t> </w:t>
      </w:r>
      <w:r>
        <w:rPr>
          <w:sz w:val="20"/>
        </w:rPr>
        <w:t>to</w:t>
      </w:r>
      <w:r>
        <w:rPr>
          <w:spacing w:val="-6"/>
          <w:sz w:val="20"/>
        </w:rPr>
        <w:t> </w:t>
      </w:r>
      <w:r>
        <w:rPr>
          <w:sz w:val="20"/>
        </w:rPr>
        <w:t>those</w:t>
      </w:r>
      <w:r>
        <w:rPr>
          <w:spacing w:val="-6"/>
          <w:sz w:val="20"/>
        </w:rPr>
        <w:t> </w:t>
      </w:r>
      <w:r>
        <w:rPr>
          <w:sz w:val="20"/>
        </w:rPr>
        <w:t>people</w:t>
      </w:r>
      <w:r>
        <w:rPr>
          <w:spacing w:val="-6"/>
          <w:sz w:val="20"/>
        </w:rPr>
        <w:t> </w:t>
      </w:r>
      <w:r>
        <w:rPr>
          <w:sz w:val="20"/>
        </w:rPr>
        <w:t>selected</w:t>
      </w:r>
      <w:r>
        <w:rPr>
          <w:spacing w:val="-6"/>
          <w:sz w:val="20"/>
        </w:rPr>
        <w:t> </w:t>
      </w:r>
      <w:r>
        <w:rPr>
          <w:spacing w:val="-3"/>
          <w:sz w:val="20"/>
        </w:rPr>
        <w:t>from</w:t>
      </w:r>
      <w:r>
        <w:rPr>
          <w:spacing w:val="-6"/>
          <w:sz w:val="20"/>
        </w:rPr>
        <w:t> </w:t>
      </w:r>
      <w:r>
        <w:rPr>
          <w:sz w:val="20"/>
        </w:rPr>
        <w:t>the</w:t>
      </w:r>
      <w:r>
        <w:rPr>
          <w:spacing w:val="-6"/>
          <w:sz w:val="20"/>
        </w:rPr>
        <w:t> </w:t>
      </w:r>
      <w:r>
        <w:rPr>
          <w:sz w:val="20"/>
        </w:rPr>
        <w:t>roll.</w:t>
      </w:r>
      <w:r>
        <w:rPr>
          <w:position w:val="7"/>
          <w:sz w:val="11"/>
        </w:rPr>
        <w:t>19</w:t>
      </w:r>
    </w:p>
    <w:p>
      <w:pPr>
        <w:pStyle w:val="ListParagraph"/>
        <w:numPr>
          <w:ilvl w:val="1"/>
          <w:numId w:val="12"/>
        </w:numPr>
        <w:tabs>
          <w:tab w:pos="1761" w:val="left" w:leader="none"/>
          <w:tab w:pos="1762" w:val="left" w:leader="none"/>
        </w:tabs>
        <w:spacing w:line="206" w:lineRule="auto" w:before="125" w:after="0"/>
        <w:ind w:left="1761" w:right="1321" w:hanging="794"/>
        <w:jc w:val="left"/>
        <w:rPr>
          <w:sz w:val="20"/>
        </w:rPr>
      </w:pPr>
      <w:r>
        <w:rPr>
          <w:sz w:val="20"/>
        </w:rPr>
        <w:t>Random selection is an important </w:t>
      </w:r>
      <w:r>
        <w:rPr>
          <w:spacing w:val="-3"/>
          <w:sz w:val="20"/>
        </w:rPr>
        <w:t>feature </w:t>
      </w:r>
      <w:r>
        <w:rPr>
          <w:sz w:val="20"/>
        </w:rPr>
        <w:t>of the jury system.</w:t>
      </w:r>
      <w:r>
        <w:rPr>
          <w:position w:val="7"/>
          <w:sz w:val="11"/>
        </w:rPr>
        <w:t>20 </w:t>
      </w:r>
      <w:r>
        <w:rPr>
          <w:sz w:val="20"/>
        </w:rPr>
        <w:t>It is tied to the notion that a jury should be </w:t>
      </w:r>
      <w:r>
        <w:rPr>
          <w:spacing w:val="-3"/>
          <w:sz w:val="20"/>
        </w:rPr>
        <w:t>representative </w:t>
      </w:r>
      <w:r>
        <w:rPr>
          <w:sz w:val="20"/>
        </w:rPr>
        <w:t>of the </w:t>
      </w:r>
      <w:r>
        <w:rPr>
          <w:spacing w:val="-3"/>
          <w:sz w:val="20"/>
        </w:rPr>
        <w:t>community. </w:t>
      </w:r>
      <w:r>
        <w:rPr>
          <w:sz w:val="20"/>
        </w:rPr>
        <w:t>It guards against bias </w:t>
      </w:r>
      <w:r>
        <w:rPr>
          <w:spacing w:val="-3"/>
          <w:sz w:val="20"/>
        </w:rPr>
        <w:t>by </w:t>
      </w:r>
      <w:r>
        <w:rPr>
          <w:sz w:val="20"/>
        </w:rPr>
        <w:t>ensuring</w:t>
      </w:r>
      <w:r>
        <w:rPr>
          <w:spacing w:val="-11"/>
          <w:sz w:val="20"/>
        </w:rPr>
        <w:t> </w:t>
      </w:r>
      <w:r>
        <w:rPr>
          <w:sz w:val="20"/>
        </w:rPr>
        <w:t>that</w:t>
      </w:r>
      <w:r>
        <w:rPr>
          <w:spacing w:val="-10"/>
          <w:sz w:val="20"/>
        </w:rPr>
        <w:t> </w:t>
      </w:r>
      <w:r>
        <w:rPr>
          <w:sz w:val="20"/>
        </w:rPr>
        <w:t>those</w:t>
      </w:r>
      <w:r>
        <w:rPr>
          <w:spacing w:val="-10"/>
          <w:sz w:val="20"/>
        </w:rPr>
        <w:t> </w:t>
      </w:r>
      <w:r>
        <w:rPr>
          <w:sz w:val="20"/>
        </w:rPr>
        <w:t>that</w:t>
      </w:r>
      <w:r>
        <w:rPr>
          <w:spacing w:val="-10"/>
          <w:sz w:val="20"/>
        </w:rPr>
        <w:t> </w:t>
      </w:r>
      <w:r>
        <w:rPr>
          <w:sz w:val="20"/>
        </w:rPr>
        <w:t>determine</w:t>
      </w:r>
      <w:r>
        <w:rPr>
          <w:spacing w:val="-10"/>
          <w:sz w:val="20"/>
        </w:rPr>
        <w:t> </w:t>
      </w:r>
      <w:r>
        <w:rPr>
          <w:sz w:val="20"/>
        </w:rPr>
        <w:t>the</w:t>
      </w:r>
      <w:r>
        <w:rPr>
          <w:spacing w:val="-10"/>
          <w:sz w:val="20"/>
        </w:rPr>
        <w:t> </w:t>
      </w:r>
      <w:r>
        <w:rPr>
          <w:sz w:val="20"/>
        </w:rPr>
        <w:t>outcome</w:t>
      </w:r>
      <w:r>
        <w:rPr>
          <w:spacing w:val="-10"/>
          <w:sz w:val="20"/>
        </w:rPr>
        <w:t> </w:t>
      </w:r>
      <w:r>
        <w:rPr>
          <w:sz w:val="20"/>
        </w:rPr>
        <w:t>of</w:t>
      </w:r>
      <w:r>
        <w:rPr>
          <w:spacing w:val="-11"/>
          <w:sz w:val="20"/>
        </w:rPr>
        <w:t> </w:t>
      </w:r>
      <w:r>
        <w:rPr>
          <w:sz w:val="20"/>
        </w:rPr>
        <w:t>a</w:t>
      </w:r>
      <w:r>
        <w:rPr>
          <w:spacing w:val="-10"/>
          <w:sz w:val="20"/>
        </w:rPr>
        <w:t> </w:t>
      </w:r>
      <w:r>
        <w:rPr>
          <w:sz w:val="20"/>
        </w:rPr>
        <w:t>trial</w:t>
      </w:r>
      <w:r>
        <w:rPr>
          <w:spacing w:val="-10"/>
          <w:sz w:val="20"/>
        </w:rPr>
        <w:t> </w:t>
      </w:r>
      <w:r>
        <w:rPr>
          <w:spacing w:val="-4"/>
          <w:sz w:val="20"/>
        </w:rPr>
        <w:t>have</w:t>
      </w:r>
      <w:r>
        <w:rPr>
          <w:spacing w:val="-10"/>
          <w:sz w:val="20"/>
        </w:rPr>
        <w:t> </w:t>
      </w:r>
      <w:r>
        <w:rPr>
          <w:sz w:val="20"/>
        </w:rPr>
        <w:t>not</w:t>
      </w:r>
      <w:r>
        <w:rPr>
          <w:spacing w:val="-10"/>
          <w:sz w:val="20"/>
        </w:rPr>
        <w:t> </w:t>
      </w:r>
      <w:r>
        <w:rPr>
          <w:sz w:val="20"/>
        </w:rPr>
        <w:t>been</w:t>
      </w:r>
      <w:r>
        <w:rPr>
          <w:spacing w:val="-10"/>
          <w:sz w:val="20"/>
        </w:rPr>
        <w:t> </w:t>
      </w:r>
      <w:r>
        <w:rPr>
          <w:sz w:val="20"/>
        </w:rPr>
        <w:t>chosen</w:t>
      </w:r>
      <w:r>
        <w:rPr>
          <w:spacing w:val="-10"/>
          <w:sz w:val="20"/>
        </w:rPr>
        <w:t> </w:t>
      </w:r>
      <w:r>
        <w:rPr>
          <w:spacing w:val="-3"/>
          <w:sz w:val="20"/>
        </w:rPr>
        <w:t>by</w:t>
      </w:r>
      <w:r>
        <w:rPr>
          <w:spacing w:val="-11"/>
          <w:sz w:val="20"/>
        </w:rPr>
        <w:t> </w:t>
      </w:r>
      <w:r>
        <w:rPr>
          <w:sz w:val="20"/>
        </w:rPr>
        <w:t>the court or the parties.</w:t>
      </w:r>
      <w:r>
        <w:rPr>
          <w:position w:val="7"/>
          <w:sz w:val="11"/>
        </w:rPr>
        <w:t>21 </w:t>
      </w:r>
      <w:r>
        <w:rPr>
          <w:sz w:val="20"/>
        </w:rPr>
        <w:t>Random selection occurs at various points in the jury selection process. It means that it will not be known which trial, if </w:t>
      </w:r>
      <w:r>
        <w:rPr>
          <w:spacing w:val="-6"/>
          <w:sz w:val="20"/>
        </w:rPr>
        <w:t>any, </w:t>
      </w:r>
      <w:r>
        <w:rPr>
          <w:sz w:val="20"/>
        </w:rPr>
        <w:t>a person will be balloted to</w:t>
      </w:r>
      <w:r>
        <w:rPr>
          <w:spacing w:val="-10"/>
          <w:sz w:val="20"/>
        </w:rPr>
        <w:t> </w:t>
      </w:r>
      <w:r>
        <w:rPr>
          <w:sz w:val="20"/>
        </w:rPr>
        <w:t>until</w:t>
      </w:r>
      <w:r>
        <w:rPr>
          <w:spacing w:val="-10"/>
          <w:sz w:val="20"/>
        </w:rPr>
        <w:t> </w:t>
      </w:r>
      <w:r>
        <w:rPr>
          <w:sz w:val="20"/>
        </w:rPr>
        <w:t>the</w:t>
      </w:r>
      <w:r>
        <w:rPr>
          <w:spacing w:val="-10"/>
          <w:sz w:val="20"/>
        </w:rPr>
        <w:t> </w:t>
      </w:r>
      <w:r>
        <w:rPr>
          <w:sz w:val="20"/>
        </w:rPr>
        <w:t>last</w:t>
      </w:r>
      <w:r>
        <w:rPr>
          <w:spacing w:val="-10"/>
          <w:sz w:val="20"/>
        </w:rPr>
        <w:t> </w:t>
      </w:r>
      <w:r>
        <w:rPr>
          <w:sz w:val="20"/>
        </w:rPr>
        <w:t>minute.</w:t>
      </w:r>
      <w:r>
        <w:rPr>
          <w:spacing w:val="-9"/>
          <w:sz w:val="20"/>
        </w:rPr>
        <w:t> </w:t>
      </w:r>
      <w:r>
        <w:rPr>
          <w:sz w:val="20"/>
        </w:rPr>
        <w:t>This</w:t>
      </w:r>
      <w:r>
        <w:rPr>
          <w:spacing w:val="-10"/>
          <w:sz w:val="20"/>
        </w:rPr>
        <w:t> </w:t>
      </w:r>
      <w:r>
        <w:rPr>
          <w:spacing w:val="-3"/>
          <w:sz w:val="20"/>
        </w:rPr>
        <w:t>makes</w:t>
      </w:r>
      <w:r>
        <w:rPr>
          <w:spacing w:val="-10"/>
          <w:sz w:val="20"/>
        </w:rPr>
        <w:t> </w:t>
      </w:r>
      <w:r>
        <w:rPr>
          <w:sz w:val="20"/>
        </w:rPr>
        <w:t>it</w:t>
      </w:r>
      <w:r>
        <w:rPr>
          <w:spacing w:val="-10"/>
          <w:sz w:val="20"/>
        </w:rPr>
        <w:t> </w:t>
      </w:r>
      <w:r>
        <w:rPr>
          <w:sz w:val="20"/>
        </w:rPr>
        <w:t>difficult</w:t>
      </w:r>
      <w:r>
        <w:rPr>
          <w:spacing w:val="-10"/>
          <w:sz w:val="20"/>
        </w:rPr>
        <w:t> </w:t>
      </w:r>
      <w:r>
        <w:rPr>
          <w:sz w:val="20"/>
        </w:rPr>
        <w:t>to</w:t>
      </w:r>
      <w:r>
        <w:rPr>
          <w:spacing w:val="-9"/>
          <w:sz w:val="20"/>
        </w:rPr>
        <w:t> </w:t>
      </w:r>
      <w:r>
        <w:rPr>
          <w:sz w:val="20"/>
        </w:rPr>
        <w:t>plan</w:t>
      </w:r>
      <w:r>
        <w:rPr>
          <w:spacing w:val="-10"/>
          <w:sz w:val="20"/>
        </w:rPr>
        <w:t> </w:t>
      </w:r>
      <w:r>
        <w:rPr>
          <w:sz w:val="20"/>
        </w:rPr>
        <w:t>for</w:t>
      </w:r>
      <w:r>
        <w:rPr>
          <w:spacing w:val="-10"/>
          <w:sz w:val="20"/>
        </w:rPr>
        <w:t> </w:t>
      </w:r>
      <w:r>
        <w:rPr>
          <w:sz w:val="20"/>
        </w:rPr>
        <w:t>the</w:t>
      </w:r>
      <w:r>
        <w:rPr>
          <w:spacing w:val="-10"/>
          <w:sz w:val="20"/>
        </w:rPr>
        <w:t> </w:t>
      </w:r>
      <w:r>
        <w:rPr>
          <w:spacing w:val="-3"/>
          <w:sz w:val="20"/>
        </w:rPr>
        <w:t>provision</w:t>
      </w:r>
      <w:r>
        <w:rPr>
          <w:spacing w:val="-9"/>
          <w:sz w:val="20"/>
        </w:rPr>
        <w:t> </w:t>
      </w:r>
      <w:r>
        <w:rPr>
          <w:sz w:val="20"/>
        </w:rPr>
        <w:t>and</w:t>
      </w:r>
      <w:r>
        <w:rPr>
          <w:spacing w:val="-10"/>
          <w:sz w:val="20"/>
        </w:rPr>
        <w:t> </w:t>
      </w:r>
      <w:r>
        <w:rPr>
          <w:sz w:val="20"/>
        </w:rPr>
        <w:t>assessment of reasonable adjustments. Reform needs to </w:t>
      </w:r>
      <w:r>
        <w:rPr>
          <w:spacing w:val="-3"/>
          <w:sz w:val="20"/>
        </w:rPr>
        <w:t>work </w:t>
      </w:r>
      <w:r>
        <w:rPr>
          <w:sz w:val="20"/>
        </w:rPr>
        <w:t>within the confines of the random selection</w:t>
      </w:r>
      <w:r>
        <w:rPr>
          <w:spacing w:val="-5"/>
          <w:sz w:val="20"/>
        </w:rPr>
        <w:t> </w:t>
      </w:r>
      <w:r>
        <w:rPr>
          <w:sz w:val="20"/>
        </w:rPr>
        <w:t>process.</w:t>
      </w:r>
    </w:p>
    <w:p>
      <w:pPr>
        <w:spacing w:before="168"/>
        <w:ind w:left="967" w:right="0" w:firstLine="0"/>
        <w:jc w:val="left"/>
        <w:rPr>
          <w:b/>
          <w:sz w:val="24"/>
        </w:rPr>
      </w:pPr>
      <w:r>
        <w:rPr>
          <w:b/>
          <w:sz w:val="24"/>
        </w:rPr>
        <w:t>Determination of liability for jury service</w:t>
      </w:r>
    </w:p>
    <w:p>
      <w:pPr>
        <w:pStyle w:val="ListParagraph"/>
        <w:numPr>
          <w:ilvl w:val="1"/>
          <w:numId w:val="12"/>
        </w:numPr>
        <w:tabs>
          <w:tab w:pos="1761" w:val="left" w:leader="none"/>
          <w:tab w:pos="1762" w:val="left" w:leader="none"/>
        </w:tabs>
        <w:spacing w:line="206" w:lineRule="auto" w:before="127" w:after="0"/>
        <w:ind w:left="1761" w:right="1418" w:hanging="794"/>
        <w:jc w:val="left"/>
        <w:rPr>
          <w:sz w:val="20"/>
        </w:rPr>
      </w:pPr>
      <w:r>
        <w:rPr>
          <w:sz w:val="20"/>
        </w:rPr>
        <w:t>The</w:t>
      </w:r>
      <w:r>
        <w:rPr>
          <w:spacing w:val="-13"/>
          <w:sz w:val="20"/>
        </w:rPr>
        <w:t> </w:t>
      </w:r>
      <w:r>
        <w:rPr>
          <w:sz w:val="20"/>
        </w:rPr>
        <w:t>notice</w:t>
      </w:r>
      <w:r>
        <w:rPr>
          <w:spacing w:val="-13"/>
          <w:sz w:val="20"/>
        </w:rPr>
        <w:t> </w:t>
      </w:r>
      <w:r>
        <w:rPr>
          <w:sz w:val="20"/>
        </w:rPr>
        <w:t>of</w:t>
      </w:r>
      <w:r>
        <w:rPr>
          <w:spacing w:val="-13"/>
          <w:sz w:val="20"/>
        </w:rPr>
        <w:t> </w:t>
      </w:r>
      <w:r>
        <w:rPr>
          <w:sz w:val="20"/>
        </w:rPr>
        <w:t>selection</w:t>
      </w:r>
      <w:r>
        <w:rPr>
          <w:spacing w:val="-13"/>
          <w:sz w:val="20"/>
        </w:rPr>
        <w:t> </w:t>
      </w:r>
      <w:r>
        <w:rPr>
          <w:sz w:val="20"/>
        </w:rPr>
        <w:t>includes</w:t>
      </w:r>
      <w:r>
        <w:rPr>
          <w:spacing w:val="-13"/>
          <w:sz w:val="20"/>
        </w:rPr>
        <w:t> </w:t>
      </w:r>
      <w:r>
        <w:rPr>
          <w:sz w:val="20"/>
        </w:rPr>
        <w:t>a</w:t>
      </w:r>
      <w:r>
        <w:rPr>
          <w:spacing w:val="-13"/>
          <w:sz w:val="20"/>
        </w:rPr>
        <w:t> </w:t>
      </w:r>
      <w:r>
        <w:rPr>
          <w:sz w:val="20"/>
        </w:rPr>
        <w:t>questionnaire</w:t>
      </w:r>
      <w:r>
        <w:rPr>
          <w:spacing w:val="-13"/>
          <w:sz w:val="20"/>
        </w:rPr>
        <w:t> </w:t>
      </w:r>
      <w:r>
        <w:rPr>
          <w:sz w:val="20"/>
        </w:rPr>
        <w:t>(jury</w:t>
      </w:r>
      <w:r>
        <w:rPr>
          <w:spacing w:val="-13"/>
          <w:sz w:val="20"/>
        </w:rPr>
        <w:t> </w:t>
      </w:r>
      <w:r>
        <w:rPr>
          <w:sz w:val="20"/>
        </w:rPr>
        <w:t>eligibility</w:t>
      </w:r>
      <w:r>
        <w:rPr>
          <w:spacing w:val="-13"/>
          <w:sz w:val="20"/>
        </w:rPr>
        <w:t> </w:t>
      </w:r>
      <w:r>
        <w:rPr>
          <w:sz w:val="20"/>
        </w:rPr>
        <w:t>form)</w:t>
      </w:r>
      <w:r>
        <w:rPr>
          <w:spacing w:val="-12"/>
          <w:sz w:val="20"/>
        </w:rPr>
        <w:t> </w:t>
      </w:r>
      <w:r>
        <w:rPr>
          <w:sz w:val="20"/>
        </w:rPr>
        <w:t>about</w:t>
      </w:r>
      <w:r>
        <w:rPr>
          <w:spacing w:val="-13"/>
          <w:sz w:val="20"/>
        </w:rPr>
        <w:t> </w:t>
      </w:r>
      <w:r>
        <w:rPr>
          <w:sz w:val="20"/>
        </w:rPr>
        <w:t>a</w:t>
      </w:r>
      <w:r>
        <w:rPr>
          <w:spacing w:val="-13"/>
          <w:sz w:val="20"/>
        </w:rPr>
        <w:t> </w:t>
      </w:r>
      <w:r>
        <w:rPr>
          <w:sz w:val="20"/>
        </w:rPr>
        <w:t>person’s circumstances which will inform Juries </w:t>
      </w:r>
      <w:r>
        <w:rPr>
          <w:spacing w:val="-3"/>
          <w:sz w:val="20"/>
        </w:rPr>
        <w:t>Victoria’s </w:t>
      </w:r>
      <w:r>
        <w:rPr>
          <w:sz w:val="20"/>
        </w:rPr>
        <w:t>assessment of their liability to take part in jury service. </w:t>
      </w:r>
      <w:r>
        <w:rPr>
          <w:position w:val="7"/>
          <w:sz w:val="11"/>
        </w:rPr>
        <w:t>22 </w:t>
      </w:r>
      <w:r>
        <w:rPr>
          <w:sz w:val="20"/>
        </w:rPr>
        <w:t>Information about eligibility and availability is </w:t>
      </w:r>
      <w:r>
        <w:rPr>
          <w:spacing w:val="-3"/>
          <w:sz w:val="20"/>
        </w:rPr>
        <w:t>entered into </w:t>
      </w:r>
      <w:r>
        <w:rPr>
          <w:sz w:val="20"/>
        </w:rPr>
        <w:t>Jury </w:t>
      </w:r>
      <w:r>
        <w:rPr>
          <w:spacing w:val="-3"/>
          <w:sz w:val="20"/>
        </w:rPr>
        <w:t>Victoria’s </w:t>
      </w:r>
      <w:r>
        <w:rPr>
          <w:sz w:val="20"/>
        </w:rPr>
        <w:t>jury management</w:t>
      </w:r>
      <w:r>
        <w:rPr>
          <w:spacing w:val="-10"/>
          <w:sz w:val="20"/>
        </w:rPr>
        <w:t> </w:t>
      </w:r>
      <w:r>
        <w:rPr>
          <w:sz w:val="20"/>
        </w:rPr>
        <w:t>system.</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z w:val="20"/>
        </w:rPr>
        <w:t>There </w:t>
      </w:r>
      <w:r>
        <w:rPr>
          <w:spacing w:val="-3"/>
          <w:sz w:val="20"/>
        </w:rPr>
        <w:t>are </w:t>
      </w:r>
      <w:r>
        <w:rPr>
          <w:sz w:val="20"/>
        </w:rPr>
        <w:t>three types of </w:t>
      </w:r>
      <w:r>
        <w:rPr>
          <w:spacing w:val="-3"/>
          <w:sz w:val="20"/>
        </w:rPr>
        <w:t>exceptions </w:t>
      </w:r>
      <w:r>
        <w:rPr>
          <w:sz w:val="20"/>
        </w:rPr>
        <w:t>to jury</w:t>
      </w:r>
      <w:r>
        <w:rPr>
          <w:spacing w:val="-29"/>
          <w:sz w:val="20"/>
        </w:rPr>
        <w:t> </w:t>
      </w:r>
      <w:r>
        <w:rPr>
          <w:sz w:val="20"/>
        </w:rPr>
        <w:t>service:</w:t>
      </w:r>
    </w:p>
    <w:p>
      <w:pPr>
        <w:pStyle w:val="ListParagraph"/>
        <w:numPr>
          <w:ilvl w:val="0"/>
          <w:numId w:val="18"/>
        </w:numPr>
        <w:tabs>
          <w:tab w:pos="2157" w:val="left" w:leader="none"/>
          <w:tab w:pos="2158" w:val="left" w:leader="none"/>
        </w:tabs>
        <w:spacing w:line="240" w:lineRule="auto" w:before="82" w:after="0"/>
        <w:ind w:left="2157" w:right="0" w:hanging="396"/>
        <w:jc w:val="left"/>
        <w:rPr>
          <w:sz w:val="20"/>
        </w:rPr>
      </w:pPr>
      <w:r>
        <w:rPr>
          <w:sz w:val="20"/>
        </w:rPr>
        <w:t>those ineligible to</w:t>
      </w:r>
      <w:r>
        <w:rPr>
          <w:spacing w:val="-7"/>
          <w:sz w:val="20"/>
        </w:rPr>
        <w:t> </w:t>
      </w:r>
      <w:r>
        <w:rPr>
          <w:sz w:val="20"/>
        </w:rPr>
        <w:t>serve</w:t>
      </w:r>
    </w:p>
    <w:p>
      <w:pPr>
        <w:pStyle w:val="ListParagraph"/>
        <w:numPr>
          <w:ilvl w:val="0"/>
          <w:numId w:val="18"/>
        </w:numPr>
        <w:tabs>
          <w:tab w:pos="2157" w:val="left" w:leader="none"/>
          <w:tab w:pos="2158" w:val="left" w:leader="none"/>
        </w:tabs>
        <w:spacing w:line="240" w:lineRule="auto" w:before="48" w:after="0"/>
        <w:ind w:left="2157" w:right="0" w:hanging="396"/>
        <w:jc w:val="left"/>
        <w:rPr>
          <w:sz w:val="20"/>
        </w:rPr>
      </w:pPr>
      <w:r>
        <w:rPr>
          <w:sz w:val="20"/>
        </w:rPr>
        <w:t>those excused from</w:t>
      </w:r>
      <w:r>
        <w:rPr>
          <w:spacing w:val="-7"/>
          <w:sz w:val="20"/>
        </w:rPr>
        <w:t> </w:t>
      </w:r>
      <w:r>
        <w:rPr>
          <w:sz w:val="20"/>
        </w:rPr>
        <w:t>service</w:t>
      </w:r>
    </w:p>
    <w:p>
      <w:pPr>
        <w:pStyle w:val="ListParagraph"/>
        <w:numPr>
          <w:ilvl w:val="0"/>
          <w:numId w:val="18"/>
        </w:numPr>
        <w:tabs>
          <w:tab w:pos="2157" w:val="left" w:leader="none"/>
          <w:tab w:pos="2158" w:val="left" w:leader="none"/>
        </w:tabs>
        <w:spacing w:line="240" w:lineRule="auto" w:before="47" w:after="0"/>
        <w:ind w:left="2157" w:right="0" w:hanging="396"/>
        <w:jc w:val="left"/>
        <w:rPr>
          <w:sz w:val="11"/>
        </w:rPr>
      </w:pPr>
      <w:r>
        <w:rPr>
          <w:sz w:val="20"/>
        </w:rPr>
        <w:t>those disqualified from</w:t>
      </w:r>
      <w:r>
        <w:rPr>
          <w:spacing w:val="-7"/>
          <w:sz w:val="20"/>
        </w:rPr>
        <w:t> </w:t>
      </w:r>
      <w:r>
        <w:rPr>
          <w:sz w:val="20"/>
        </w:rPr>
        <w:t>serving.</w:t>
      </w:r>
      <w:r>
        <w:rPr>
          <w:position w:val="7"/>
          <w:sz w:val="11"/>
        </w:rPr>
        <w:t>23</w:t>
      </w:r>
    </w:p>
    <w:p>
      <w:pPr>
        <w:pStyle w:val="ListParagraph"/>
        <w:numPr>
          <w:ilvl w:val="1"/>
          <w:numId w:val="12"/>
        </w:numPr>
        <w:tabs>
          <w:tab w:pos="1761" w:val="left" w:leader="none"/>
          <w:tab w:pos="1762" w:val="left" w:leader="none"/>
        </w:tabs>
        <w:spacing w:line="206" w:lineRule="auto" w:before="80" w:after="0"/>
        <w:ind w:left="1761" w:right="1585" w:hanging="794"/>
        <w:jc w:val="left"/>
        <w:rPr>
          <w:sz w:val="20"/>
        </w:rPr>
      </w:pPr>
      <w:r>
        <w:rPr>
          <w:sz w:val="20"/>
        </w:rPr>
        <w:t>People</w:t>
      </w:r>
      <w:r>
        <w:rPr>
          <w:spacing w:val="-12"/>
          <w:sz w:val="20"/>
        </w:rPr>
        <w:t> </w:t>
      </w:r>
      <w:r>
        <w:rPr>
          <w:sz w:val="20"/>
        </w:rPr>
        <w:t>who</w:t>
      </w:r>
      <w:r>
        <w:rPr>
          <w:spacing w:val="-12"/>
          <w:sz w:val="20"/>
        </w:rPr>
        <w:t> </w:t>
      </w:r>
      <w:r>
        <w:rPr>
          <w:spacing w:val="-3"/>
          <w:sz w:val="20"/>
        </w:rPr>
        <w:t>are</w:t>
      </w:r>
      <w:r>
        <w:rPr>
          <w:spacing w:val="-12"/>
          <w:sz w:val="20"/>
        </w:rPr>
        <w:t> </w:t>
      </w:r>
      <w:r>
        <w:rPr>
          <w:sz w:val="20"/>
        </w:rPr>
        <w:t>ineligible</w:t>
      </w:r>
      <w:r>
        <w:rPr>
          <w:spacing w:val="-12"/>
          <w:sz w:val="20"/>
        </w:rPr>
        <w:t> </w:t>
      </w:r>
      <w:r>
        <w:rPr>
          <w:sz w:val="20"/>
        </w:rPr>
        <w:t>to</w:t>
      </w:r>
      <w:r>
        <w:rPr>
          <w:spacing w:val="-12"/>
          <w:sz w:val="20"/>
        </w:rPr>
        <w:t> </w:t>
      </w:r>
      <w:r>
        <w:rPr>
          <w:sz w:val="20"/>
        </w:rPr>
        <w:t>serve</w:t>
      </w:r>
      <w:r>
        <w:rPr>
          <w:spacing w:val="-12"/>
          <w:sz w:val="20"/>
        </w:rPr>
        <w:t> </w:t>
      </w:r>
      <w:r>
        <w:rPr>
          <w:sz w:val="20"/>
        </w:rPr>
        <w:t>include</w:t>
      </w:r>
      <w:r>
        <w:rPr>
          <w:spacing w:val="-11"/>
          <w:sz w:val="20"/>
        </w:rPr>
        <w:t> </w:t>
      </w:r>
      <w:r>
        <w:rPr>
          <w:sz w:val="20"/>
        </w:rPr>
        <w:t>lawyers,</w:t>
      </w:r>
      <w:r>
        <w:rPr>
          <w:spacing w:val="-12"/>
          <w:sz w:val="20"/>
        </w:rPr>
        <w:t> </w:t>
      </w:r>
      <w:r>
        <w:rPr>
          <w:sz w:val="20"/>
        </w:rPr>
        <w:t>some</w:t>
      </w:r>
      <w:r>
        <w:rPr>
          <w:spacing w:val="-12"/>
          <w:sz w:val="20"/>
        </w:rPr>
        <w:t> </w:t>
      </w:r>
      <w:r>
        <w:rPr>
          <w:sz w:val="20"/>
        </w:rPr>
        <w:t>public</w:t>
      </w:r>
      <w:r>
        <w:rPr>
          <w:spacing w:val="-12"/>
          <w:sz w:val="20"/>
        </w:rPr>
        <w:t> </w:t>
      </w:r>
      <w:r>
        <w:rPr>
          <w:sz w:val="20"/>
        </w:rPr>
        <w:t>servants</w:t>
      </w:r>
      <w:r>
        <w:rPr>
          <w:spacing w:val="-12"/>
          <w:sz w:val="20"/>
        </w:rPr>
        <w:t> </w:t>
      </w:r>
      <w:r>
        <w:rPr>
          <w:sz w:val="20"/>
        </w:rPr>
        <w:t>and</w:t>
      </w:r>
      <w:r>
        <w:rPr>
          <w:spacing w:val="-12"/>
          <w:sz w:val="20"/>
        </w:rPr>
        <w:t> </w:t>
      </w:r>
      <w:r>
        <w:rPr>
          <w:sz w:val="20"/>
        </w:rPr>
        <w:t>those </w:t>
      </w:r>
      <w:r>
        <w:rPr>
          <w:spacing w:val="-4"/>
          <w:sz w:val="20"/>
        </w:rPr>
        <w:t>involved </w:t>
      </w:r>
      <w:r>
        <w:rPr>
          <w:sz w:val="20"/>
        </w:rPr>
        <w:t>in the administration of justice.</w:t>
      </w:r>
      <w:r>
        <w:rPr>
          <w:position w:val="7"/>
          <w:sz w:val="11"/>
        </w:rPr>
        <w:t>24 </w:t>
      </w:r>
      <w:r>
        <w:rPr>
          <w:sz w:val="20"/>
        </w:rPr>
        <w:t>People who cannot communicate in or understand English </w:t>
      </w:r>
      <w:r>
        <w:rPr>
          <w:spacing w:val="-3"/>
          <w:sz w:val="20"/>
        </w:rPr>
        <w:t>are </w:t>
      </w:r>
      <w:r>
        <w:rPr>
          <w:sz w:val="20"/>
        </w:rPr>
        <w:t>also ineligible.</w:t>
      </w:r>
      <w:r>
        <w:rPr>
          <w:position w:val="7"/>
          <w:sz w:val="11"/>
        </w:rPr>
        <w:t>25 </w:t>
      </w:r>
      <w:r>
        <w:rPr>
          <w:sz w:val="20"/>
        </w:rPr>
        <w:t>This means that people who use Deaf </w:t>
      </w:r>
      <w:r>
        <w:rPr>
          <w:spacing w:val="-3"/>
          <w:sz w:val="20"/>
        </w:rPr>
        <w:t>Interpreters</w:t>
      </w:r>
      <w:r>
        <w:rPr>
          <w:spacing w:val="-6"/>
          <w:sz w:val="20"/>
        </w:rPr>
        <w:t> </w:t>
      </w:r>
      <w:r>
        <w:rPr>
          <w:sz w:val="20"/>
        </w:rPr>
        <w:t>will</w:t>
      </w:r>
      <w:r>
        <w:rPr>
          <w:spacing w:val="-6"/>
          <w:sz w:val="20"/>
        </w:rPr>
        <w:t> </w:t>
      </w:r>
      <w:r>
        <w:rPr>
          <w:sz w:val="20"/>
        </w:rPr>
        <w:t>be</w:t>
      </w:r>
      <w:r>
        <w:rPr>
          <w:spacing w:val="-5"/>
          <w:sz w:val="20"/>
        </w:rPr>
        <w:t> </w:t>
      </w:r>
      <w:r>
        <w:rPr>
          <w:sz w:val="20"/>
        </w:rPr>
        <w:t>ineligible</w:t>
      </w:r>
      <w:r>
        <w:rPr>
          <w:spacing w:val="-6"/>
          <w:sz w:val="20"/>
        </w:rPr>
        <w:t> </w:t>
      </w:r>
      <w:r>
        <w:rPr>
          <w:sz w:val="20"/>
        </w:rPr>
        <w:t>to</w:t>
      </w:r>
      <w:r>
        <w:rPr>
          <w:spacing w:val="-5"/>
          <w:sz w:val="20"/>
        </w:rPr>
        <w:t> </w:t>
      </w:r>
      <w:r>
        <w:rPr>
          <w:sz w:val="20"/>
        </w:rPr>
        <w:t>serve</w:t>
      </w:r>
      <w:r>
        <w:rPr>
          <w:spacing w:val="-6"/>
          <w:sz w:val="20"/>
        </w:rPr>
        <w:t> </w:t>
      </w:r>
      <w:r>
        <w:rPr>
          <w:sz w:val="20"/>
        </w:rPr>
        <w:t>on</w:t>
      </w:r>
      <w:r>
        <w:rPr>
          <w:spacing w:val="-5"/>
          <w:sz w:val="20"/>
        </w:rPr>
        <w:t> </w:t>
      </w:r>
      <w:r>
        <w:rPr>
          <w:sz w:val="20"/>
        </w:rPr>
        <w:t>a</w:t>
      </w:r>
      <w:r>
        <w:rPr>
          <w:spacing w:val="-6"/>
          <w:sz w:val="20"/>
        </w:rPr>
        <w:t> </w:t>
      </w:r>
      <w:r>
        <w:rPr>
          <w:sz w:val="20"/>
        </w:rPr>
        <w:t>Victorian</w:t>
      </w:r>
      <w:r>
        <w:rPr>
          <w:spacing w:val="-5"/>
          <w:sz w:val="20"/>
        </w:rPr>
        <w:t> </w:t>
      </w:r>
      <w:r>
        <w:rPr>
          <w:sz w:val="20"/>
        </w:rPr>
        <w:t>jury</w:t>
      </w:r>
      <w:r>
        <w:rPr>
          <w:spacing w:val="-6"/>
          <w:sz w:val="20"/>
        </w:rPr>
        <w:t> </w:t>
      </w:r>
      <w:r>
        <w:rPr>
          <w:sz w:val="20"/>
        </w:rPr>
        <w:t>(see</w:t>
      </w:r>
      <w:r>
        <w:rPr>
          <w:spacing w:val="-5"/>
          <w:sz w:val="20"/>
        </w:rPr>
        <w:t> </w:t>
      </w:r>
      <w:r>
        <w:rPr>
          <w:spacing w:val="-2"/>
          <w:sz w:val="20"/>
        </w:rPr>
        <w:t>Chapter</w:t>
      </w:r>
      <w:r>
        <w:rPr>
          <w:spacing w:val="-6"/>
          <w:sz w:val="20"/>
        </w:rPr>
        <w:t> </w:t>
      </w:r>
      <w:r>
        <w:rPr>
          <w:spacing w:val="-3"/>
          <w:sz w:val="20"/>
        </w:rPr>
        <w:t>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1"/>
        </w:rPr>
      </w:pPr>
      <w:r>
        <w:rPr/>
        <w:pict>
          <v:line style="position:absolute;mso-position-horizontal-relative:page;mso-position-vertical-relative:paragraph;z-index:536;mso-wrap-distance-left:0;mso-wrap-distance-right:0" from="79.370102pt,17.484100pt" to="515.905102pt,17.484100pt" stroked="true" strokeweight="1pt" strokecolor="#b6bdc8">
            <v:stroke dashstyle="solid"/>
            <w10:wrap type="topAndBottom"/>
          </v:line>
        </w:pict>
      </w:r>
    </w:p>
    <w:p>
      <w:pPr>
        <w:pStyle w:val="ListParagraph"/>
        <w:numPr>
          <w:ilvl w:val="0"/>
          <w:numId w:val="17"/>
        </w:numPr>
        <w:tabs>
          <w:tab w:pos="1760" w:val="left" w:leader="none"/>
          <w:tab w:pos="1762" w:val="left" w:leader="none"/>
        </w:tabs>
        <w:spacing w:line="213" w:lineRule="auto" w:before="107" w:after="0"/>
        <w:ind w:left="1761" w:right="1311" w:hanging="794"/>
        <w:jc w:val="left"/>
        <w:rPr>
          <w:sz w:val="13"/>
        </w:rPr>
      </w:pPr>
      <w:r>
        <w:rPr>
          <w:sz w:val="13"/>
        </w:rPr>
        <w:t>Juries Victoria has </w:t>
      </w:r>
      <w:r>
        <w:rPr>
          <w:spacing w:val="2"/>
          <w:sz w:val="13"/>
        </w:rPr>
        <w:t>published </w:t>
      </w:r>
      <w:r>
        <w:rPr>
          <w:sz w:val="13"/>
        </w:rPr>
        <w:t>a video that explains </w:t>
      </w:r>
      <w:r>
        <w:rPr>
          <w:spacing w:val="2"/>
          <w:sz w:val="13"/>
        </w:rPr>
        <w:t>jury service </w:t>
      </w:r>
      <w:r>
        <w:rPr>
          <w:sz w:val="13"/>
        </w:rPr>
        <w:t>in Victoria: see </w:t>
      </w:r>
      <w:r>
        <w:rPr>
          <w:spacing w:val="2"/>
          <w:sz w:val="13"/>
        </w:rPr>
        <w:t>Department </w:t>
      </w:r>
      <w:r>
        <w:rPr>
          <w:sz w:val="13"/>
        </w:rPr>
        <w:t>of Justice and </w:t>
      </w:r>
      <w:r>
        <w:rPr>
          <w:spacing w:val="2"/>
          <w:sz w:val="13"/>
        </w:rPr>
        <w:t>Community </w:t>
      </w:r>
      <w:r>
        <w:rPr>
          <w:sz w:val="13"/>
        </w:rPr>
        <w:t>Safety   (Vic), </w:t>
      </w:r>
      <w:r>
        <w:rPr>
          <w:spacing w:val="2"/>
          <w:sz w:val="13"/>
        </w:rPr>
        <w:t>‘What </w:t>
      </w:r>
      <w:r>
        <w:rPr>
          <w:sz w:val="13"/>
        </w:rPr>
        <w:t>Is </w:t>
      </w:r>
      <w:r>
        <w:rPr>
          <w:spacing w:val="2"/>
          <w:sz w:val="13"/>
        </w:rPr>
        <w:t>Jury </w:t>
      </w:r>
      <w:r>
        <w:rPr>
          <w:sz w:val="13"/>
        </w:rPr>
        <w:t>Service?’, </w:t>
      </w:r>
      <w:r>
        <w:rPr>
          <w:i/>
          <w:sz w:val="13"/>
        </w:rPr>
        <w:t>Juries Victoria </w:t>
      </w:r>
      <w:r>
        <w:rPr>
          <w:sz w:val="13"/>
        </w:rPr>
        <w:t>(Web Page, 2021) &lt;</w:t>
      </w:r>
      <w:hyperlink r:id="rId43">
        <w:r>
          <w:rPr>
            <w:sz w:val="13"/>
          </w:rPr>
          <w:t>https://www.juriesvictoria.vic.gov.au/about-juries-victoria/what-</w:t>
        </w:r>
      </w:hyperlink>
      <w:hyperlink r:id="rId43">
        <w:r>
          <w:rPr>
            <w:sz w:val="13"/>
          </w:rPr>
          <w:t> is-jury-service</w:t>
        </w:r>
      </w:hyperlink>
      <w:r>
        <w:rPr>
          <w:sz w:val="13"/>
        </w:rPr>
        <w:t>&gt;.</w:t>
      </w:r>
    </w:p>
    <w:p>
      <w:pPr>
        <w:pStyle w:val="ListParagraph"/>
        <w:numPr>
          <w:ilvl w:val="0"/>
          <w:numId w:val="17"/>
        </w:numPr>
        <w:tabs>
          <w:tab w:pos="1761" w:val="left" w:leader="none"/>
          <w:tab w:pos="1762" w:val="left" w:leader="none"/>
        </w:tabs>
        <w:spacing w:line="152" w:lineRule="exact" w:before="0" w:after="0"/>
        <w:ind w:left="1761" w:right="0" w:hanging="794"/>
        <w:jc w:val="left"/>
        <w:rPr>
          <w:i/>
          <w:sz w:val="13"/>
        </w:rPr>
      </w:pPr>
      <w:r>
        <w:rPr>
          <w:i/>
          <w:sz w:val="13"/>
        </w:rPr>
        <w:t>Juries Act 2000 </w:t>
      </w:r>
      <w:r>
        <w:rPr>
          <w:spacing w:val="2"/>
          <w:sz w:val="13"/>
        </w:rPr>
        <w:t>(Vic) </w:t>
      </w:r>
      <w:r>
        <w:rPr>
          <w:sz w:val="13"/>
        </w:rPr>
        <w:t>s 20. See also: Rodolfo Monteleone, </w:t>
      </w:r>
      <w:r>
        <w:rPr>
          <w:i/>
          <w:sz w:val="13"/>
        </w:rPr>
        <w:t>Improving Efficiency and Effectiveness of the Victorian </w:t>
      </w:r>
      <w:r>
        <w:rPr>
          <w:i/>
          <w:spacing w:val="2"/>
          <w:sz w:val="13"/>
        </w:rPr>
        <w:t>Jury</w:t>
      </w:r>
      <w:r>
        <w:rPr>
          <w:i/>
          <w:spacing w:val="25"/>
          <w:sz w:val="13"/>
        </w:rPr>
        <w:t> </w:t>
      </w:r>
      <w:r>
        <w:rPr>
          <w:i/>
          <w:sz w:val="13"/>
        </w:rPr>
        <w:t>System</w:t>
      </w:r>
    </w:p>
    <w:p>
      <w:pPr>
        <w:spacing w:line="160" w:lineRule="exact" w:before="0"/>
        <w:ind w:left="1761" w:right="0" w:firstLine="0"/>
        <w:jc w:val="left"/>
        <w:rPr>
          <w:sz w:val="13"/>
        </w:rPr>
      </w:pPr>
      <w:r>
        <w:rPr>
          <w:sz w:val="13"/>
        </w:rPr>
        <w:t>(Report, Winston Churchill Trust, 3 February 2012) 13.</w:t>
      </w:r>
    </w:p>
    <w:p>
      <w:pPr>
        <w:pStyle w:val="ListParagraph"/>
        <w:numPr>
          <w:ilvl w:val="0"/>
          <w:numId w:val="17"/>
        </w:numPr>
        <w:tabs>
          <w:tab w:pos="1760" w:val="left" w:leader="none"/>
          <w:tab w:pos="1762" w:val="left" w:leader="none"/>
        </w:tabs>
        <w:spacing w:line="213" w:lineRule="auto" w:before="6" w:after="0"/>
        <w:ind w:left="1761" w:right="1207" w:hanging="794"/>
        <w:jc w:val="left"/>
        <w:rPr>
          <w:sz w:val="13"/>
        </w:rPr>
      </w:pPr>
      <w:r>
        <w:rPr>
          <w:sz w:val="13"/>
        </w:rPr>
        <w:t>Juries Victoria has created a video for </w:t>
      </w:r>
      <w:r>
        <w:rPr>
          <w:spacing w:val="2"/>
          <w:sz w:val="13"/>
        </w:rPr>
        <w:t>individuals </w:t>
      </w:r>
      <w:r>
        <w:rPr>
          <w:sz w:val="13"/>
        </w:rPr>
        <w:t>explaining the ‘Notice of Selection’ </w:t>
      </w:r>
      <w:r>
        <w:rPr>
          <w:spacing w:val="2"/>
          <w:sz w:val="13"/>
        </w:rPr>
        <w:t>stage: </w:t>
      </w:r>
      <w:r>
        <w:rPr>
          <w:sz w:val="13"/>
        </w:rPr>
        <w:t>see </w:t>
      </w:r>
      <w:r>
        <w:rPr>
          <w:spacing w:val="2"/>
          <w:sz w:val="13"/>
        </w:rPr>
        <w:t>Department </w:t>
      </w:r>
      <w:r>
        <w:rPr>
          <w:sz w:val="13"/>
        </w:rPr>
        <w:t>of Justice and </w:t>
      </w:r>
      <w:r>
        <w:rPr>
          <w:spacing w:val="2"/>
          <w:sz w:val="13"/>
        </w:rPr>
        <w:t>Community </w:t>
      </w:r>
      <w:r>
        <w:rPr>
          <w:sz w:val="13"/>
        </w:rPr>
        <w:t>Safety (Vic), ‘Notice of Selection’, </w:t>
      </w:r>
      <w:r>
        <w:rPr>
          <w:i/>
          <w:sz w:val="13"/>
        </w:rPr>
        <w:t>Juries Victoria </w:t>
      </w:r>
      <w:r>
        <w:rPr>
          <w:sz w:val="13"/>
        </w:rPr>
        <w:t>(Web Page, 2021) &lt;</w:t>
      </w:r>
      <w:hyperlink r:id="rId46">
        <w:r>
          <w:rPr>
            <w:sz w:val="13"/>
          </w:rPr>
          <w:t>https://www.juriesvictoria.vic.gov.au/individuals/</w:t>
        </w:r>
      </w:hyperlink>
      <w:hyperlink r:id="rId46">
        <w:r>
          <w:rPr>
            <w:sz w:val="13"/>
          </w:rPr>
          <w:t> notice-of-selection</w:t>
        </w:r>
      </w:hyperlink>
      <w:r>
        <w:rPr>
          <w:sz w:val="13"/>
        </w:rPr>
        <w:t>&gt;; Paul Anthony Dore, </w:t>
      </w:r>
      <w:r>
        <w:rPr>
          <w:i/>
          <w:spacing w:val="-4"/>
          <w:sz w:val="13"/>
        </w:rPr>
        <w:t>To </w:t>
      </w:r>
      <w:r>
        <w:rPr>
          <w:i/>
          <w:sz w:val="13"/>
        </w:rPr>
        <w:t>Develop a Systemic Approach to Juror </w:t>
      </w:r>
      <w:r>
        <w:rPr>
          <w:i/>
          <w:spacing w:val="2"/>
          <w:sz w:val="13"/>
        </w:rPr>
        <w:t>Support </w:t>
      </w:r>
      <w:r>
        <w:rPr>
          <w:i/>
          <w:sz w:val="13"/>
        </w:rPr>
        <w:t>Programs in Australia </w:t>
      </w:r>
      <w:r>
        <w:rPr>
          <w:spacing w:val="2"/>
          <w:sz w:val="13"/>
        </w:rPr>
        <w:t>(Report, </w:t>
      </w:r>
      <w:r>
        <w:rPr>
          <w:sz w:val="13"/>
        </w:rPr>
        <w:t>Winston Churchill Trust, 2018) </w:t>
      </w:r>
      <w:r>
        <w:rPr>
          <w:spacing w:val="3"/>
          <w:sz w:val="13"/>
        </w:rPr>
        <w:t>5.</w:t>
      </w:r>
    </w:p>
    <w:p>
      <w:pPr>
        <w:pStyle w:val="ListParagraph"/>
        <w:numPr>
          <w:ilvl w:val="0"/>
          <w:numId w:val="17"/>
        </w:numPr>
        <w:tabs>
          <w:tab w:pos="1760" w:val="left" w:leader="none"/>
          <w:tab w:pos="1762" w:val="left" w:leader="none"/>
        </w:tabs>
        <w:spacing w:line="213" w:lineRule="auto" w:before="0" w:after="0"/>
        <w:ind w:left="1761" w:right="1206" w:hanging="794"/>
        <w:jc w:val="left"/>
        <w:rPr>
          <w:sz w:val="13"/>
        </w:rPr>
      </w:pPr>
      <w:r>
        <w:rPr>
          <w:sz w:val="13"/>
        </w:rPr>
        <w:t>The purpose of the Juries Act includes ‘to provide for the operation and administration of a system of trial by </w:t>
      </w:r>
      <w:r>
        <w:rPr>
          <w:spacing w:val="2"/>
          <w:sz w:val="13"/>
        </w:rPr>
        <w:t>jury </w:t>
      </w:r>
      <w:r>
        <w:rPr>
          <w:sz w:val="13"/>
        </w:rPr>
        <w:t>that (a)      equitably spreads the obligation of </w:t>
      </w:r>
      <w:r>
        <w:rPr>
          <w:spacing w:val="2"/>
          <w:sz w:val="13"/>
        </w:rPr>
        <w:t>jury service amongst </w:t>
      </w:r>
      <w:r>
        <w:rPr>
          <w:sz w:val="13"/>
        </w:rPr>
        <w:t>the community; and (b) makes juries more representative of the community’. </w:t>
      </w:r>
      <w:r>
        <w:rPr>
          <w:spacing w:val="2"/>
          <w:sz w:val="13"/>
        </w:rPr>
        <w:t>Section </w:t>
      </w:r>
      <w:r>
        <w:rPr>
          <w:sz w:val="13"/>
        </w:rPr>
        <w:t>4 of the Juries Act requires that </w:t>
      </w:r>
      <w:r>
        <w:rPr>
          <w:spacing w:val="2"/>
          <w:sz w:val="13"/>
        </w:rPr>
        <w:t>‘If </w:t>
      </w:r>
      <w:r>
        <w:rPr>
          <w:sz w:val="13"/>
        </w:rPr>
        <w:t>this Act requires that one or more persons be selected, the selection must  be random’: see </w:t>
      </w:r>
      <w:r>
        <w:rPr>
          <w:i/>
          <w:sz w:val="13"/>
        </w:rPr>
        <w:t>Juries Act 2000 </w:t>
      </w:r>
      <w:r>
        <w:rPr>
          <w:spacing w:val="2"/>
          <w:sz w:val="13"/>
        </w:rPr>
        <w:t>(Vic) </w:t>
      </w:r>
      <w:r>
        <w:rPr>
          <w:sz w:val="13"/>
        </w:rPr>
        <w:t>ss 1, </w:t>
      </w:r>
      <w:r>
        <w:rPr>
          <w:spacing w:val="3"/>
          <w:sz w:val="13"/>
        </w:rPr>
        <w:t>4.</w:t>
      </w:r>
    </w:p>
    <w:p>
      <w:pPr>
        <w:pStyle w:val="ListParagraph"/>
        <w:numPr>
          <w:ilvl w:val="0"/>
          <w:numId w:val="17"/>
        </w:numPr>
        <w:tabs>
          <w:tab w:pos="1760" w:val="left" w:leader="none"/>
          <w:tab w:pos="1762" w:val="left" w:leader="none"/>
        </w:tabs>
        <w:spacing w:line="213" w:lineRule="auto" w:before="0" w:after="0"/>
        <w:ind w:left="1761" w:right="1354" w:hanging="794"/>
        <w:jc w:val="left"/>
        <w:rPr>
          <w:sz w:val="13"/>
        </w:rPr>
      </w:pPr>
      <w:r>
        <w:rPr>
          <w:sz w:val="13"/>
        </w:rPr>
        <w:t>Law Reform Committee, Parliament of Victoria, </w:t>
      </w:r>
      <w:r>
        <w:rPr>
          <w:i/>
          <w:spacing w:val="2"/>
          <w:sz w:val="13"/>
        </w:rPr>
        <w:t>Jury Service </w:t>
      </w:r>
      <w:r>
        <w:rPr>
          <w:i/>
          <w:sz w:val="13"/>
        </w:rPr>
        <w:t>in Victoria </w:t>
      </w:r>
      <w:r>
        <w:rPr>
          <w:sz w:val="13"/>
        </w:rPr>
        <w:t>(Final </w:t>
      </w:r>
      <w:r>
        <w:rPr>
          <w:spacing w:val="2"/>
          <w:sz w:val="13"/>
        </w:rPr>
        <w:t>Report, December </w:t>
      </w:r>
      <w:r>
        <w:rPr>
          <w:sz w:val="13"/>
        </w:rPr>
        <w:t>1997) vol 3 </w:t>
      </w:r>
      <w:r>
        <w:rPr>
          <w:spacing w:val="2"/>
          <w:sz w:val="13"/>
        </w:rPr>
        <w:t>[3.8]–[3.10]; </w:t>
      </w: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2 </w:t>
      </w:r>
      <w:r>
        <w:rPr>
          <w:spacing w:val="2"/>
          <w:sz w:val="13"/>
        </w:rPr>
        <w:t>[2.8]; </w:t>
      </w:r>
      <w:r>
        <w:rPr>
          <w:sz w:val="13"/>
        </w:rPr>
        <w:t>Rodolfo Monteleone, </w:t>
      </w:r>
      <w:r>
        <w:rPr>
          <w:i/>
          <w:sz w:val="13"/>
        </w:rPr>
        <w:t>Improving Efficiency and </w:t>
      </w:r>
      <w:r>
        <w:rPr>
          <w:i/>
          <w:sz w:val="13"/>
        </w:rPr>
        <w:t>Effectiveness of the Victorian </w:t>
      </w:r>
      <w:r>
        <w:rPr>
          <w:i/>
          <w:spacing w:val="2"/>
          <w:sz w:val="13"/>
        </w:rPr>
        <w:t>Jury </w:t>
      </w:r>
      <w:r>
        <w:rPr>
          <w:i/>
          <w:sz w:val="13"/>
        </w:rPr>
        <w:t>System </w:t>
      </w:r>
      <w:r>
        <w:rPr>
          <w:spacing w:val="2"/>
          <w:sz w:val="13"/>
        </w:rPr>
        <w:t>(Report, </w:t>
      </w:r>
      <w:r>
        <w:rPr>
          <w:sz w:val="13"/>
        </w:rPr>
        <w:t>Winston Churchill Trust, 3 February 2012)</w:t>
      </w:r>
      <w:r>
        <w:rPr>
          <w:spacing w:val="11"/>
          <w:sz w:val="13"/>
        </w:rPr>
        <w:t> </w:t>
      </w:r>
      <w:r>
        <w:rPr>
          <w:sz w:val="13"/>
        </w:rPr>
        <w:t>22.</w:t>
      </w:r>
    </w:p>
    <w:p>
      <w:pPr>
        <w:pStyle w:val="ListParagraph"/>
        <w:numPr>
          <w:ilvl w:val="0"/>
          <w:numId w:val="17"/>
        </w:numPr>
        <w:tabs>
          <w:tab w:pos="1761" w:val="left" w:leader="none"/>
          <w:tab w:pos="1762" w:val="left" w:leader="none"/>
        </w:tabs>
        <w:spacing w:line="152" w:lineRule="exact" w:before="0" w:after="0"/>
        <w:ind w:left="1761" w:right="0" w:hanging="794"/>
        <w:jc w:val="left"/>
        <w:rPr>
          <w:i/>
          <w:sz w:val="13"/>
        </w:rPr>
      </w:pPr>
      <w:r>
        <w:rPr>
          <w:i/>
          <w:sz w:val="13"/>
        </w:rPr>
        <w:t>Juries Act 2000 </w:t>
      </w:r>
      <w:r>
        <w:rPr>
          <w:spacing w:val="2"/>
          <w:sz w:val="13"/>
        </w:rPr>
        <w:t>(Vic) </w:t>
      </w:r>
      <w:r>
        <w:rPr>
          <w:sz w:val="13"/>
        </w:rPr>
        <w:t>s 20. See also: Paul Anthony Dore, </w:t>
      </w:r>
      <w:r>
        <w:rPr>
          <w:i/>
          <w:spacing w:val="-4"/>
          <w:sz w:val="13"/>
        </w:rPr>
        <w:t>To </w:t>
      </w:r>
      <w:r>
        <w:rPr>
          <w:i/>
          <w:sz w:val="13"/>
        </w:rPr>
        <w:t>Develop a Systemic Approach to Juror </w:t>
      </w:r>
      <w:r>
        <w:rPr>
          <w:i/>
          <w:spacing w:val="2"/>
          <w:sz w:val="13"/>
        </w:rPr>
        <w:t>Support</w:t>
      </w:r>
      <w:r>
        <w:rPr>
          <w:i/>
          <w:spacing w:val="5"/>
          <w:sz w:val="13"/>
        </w:rPr>
        <w:t> </w:t>
      </w:r>
      <w:r>
        <w:rPr>
          <w:i/>
          <w:sz w:val="13"/>
        </w:rPr>
        <w:t>Programs in Australia</w:t>
      </w:r>
    </w:p>
    <w:p>
      <w:pPr>
        <w:spacing w:line="213" w:lineRule="auto" w:before="2"/>
        <w:ind w:left="1761" w:right="6911" w:firstLine="0"/>
        <w:jc w:val="left"/>
        <w:rPr>
          <w:sz w:val="13"/>
        </w:rPr>
      </w:pPr>
      <w:r>
        <w:rPr>
          <w:sz w:val="13"/>
        </w:rPr>
        <w:t>(Report, Winston Churchill Trust, 2018) 5.</w:t>
      </w:r>
    </w:p>
    <w:p>
      <w:pPr>
        <w:pStyle w:val="ListParagraph"/>
        <w:numPr>
          <w:ilvl w:val="0"/>
          <w:numId w:val="17"/>
        </w:numPr>
        <w:tabs>
          <w:tab w:pos="1761" w:val="left" w:leader="none"/>
          <w:tab w:pos="1762" w:val="left" w:leader="none"/>
        </w:tabs>
        <w:spacing w:line="153" w:lineRule="exact" w:before="0" w:after="0"/>
        <w:ind w:left="1761" w:right="0" w:hanging="794"/>
        <w:jc w:val="left"/>
        <w:rPr>
          <w:sz w:val="13"/>
        </w:rPr>
      </w:pPr>
      <w:r>
        <w:rPr>
          <w:sz w:val="13"/>
        </w:rPr>
        <w:t>Jacqueline Horan, </w:t>
      </w:r>
      <w:r>
        <w:rPr>
          <w:i/>
          <w:sz w:val="13"/>
        </w:rPr>
        <w:t>Juries in the 21st Century </w:t>
      </w:r>
      <w:r>
        <w:rPr>
          <w:spacing w:val="2"/>
          <w:sz w:val="13"/>
        </w:rPr>
        <w:t>(The </w:t>
      </w:r>
      <w:r>
        <w:rPr>
          <w:sz w:val="13"/>
        </w:rPr>
        <w:t>Federation Press, 2012)</w:t>
      </w:r>
      <w:r>
        <w:rPr>
          <w:spacing w:val="5"/>
          <w:sz w:val="13"/>
        </w:rPr>
        <w:t> </w:t>
      </w:r>
      <w:r>
        <w:rPr>
          <w:spacing w:val="3"/>
          <w:sz w:val="13"/>
        </w:rPr>
        <w:t>15.</w:t>
      </w:r>
    </w:p>
    <w:p>
      <w:pPr>
        <w:pStyle w:val="ListParagraph"/>
        <w:numPr>
          <w:ilvl w:val="0"/>
          <w:numId w:val="17"/>
        </w:numPr>
        <w:tabs>
          <w:tab w:pos="1761" w:val="left" w:leader="none"/>
          <w:tab w:pos="1762" w:val="left" w:leader="none"/>
        </w:tabs>
        <w:spacing w:line="160" w:lineRule="exact" w:before="0" w:after="0"/>
        <w:ind w:left="1761" w:right="0" w:hanging="794"/>
        <w:jc w:val="left"/>
        <w:rPr>
          <w:sz w:val="13"/>
        </w:rPr>
      </w:pPr>
      <w:r>
        <w:rPr/>
        <w:pict>
          <v:shape style="position:absolute;margin-left:549.365601pt;margin-top:3.70735pt;width:12.45pt;height:14.1pt;mso-position-horizontal-relative:page;mso-position-vertical-relative:paragraph;z-index:2608" type="#_x0000_t202" filled="false" stroked="false">
            <v:textbox inset="0,0,0,0">
              <w:txbxContent>
                <w:p>
                  <w:pPr>
                    <w:spacing w:line="282" w:lineRule="exact" w:before="0"/>
                    <w:ind w:left="0" w:right="0" w:firstLine="0"/>
                    <w:jc w:val="left"/>
                    <w:rPr>
                      <w:b/>
                      <w:sz w:val="24"/>
                    </w:rPr>
                  </w:pPr>
                  <w:r>
                    <w:rPr>
                      <w:b/>
                      <w:color w:val="37617A"/>
                      <w:spacing w:val="-2"/>
                      <w:sz w:val="24"/>
                    </w:rPr>
                    <w:t>13</w:t>
                  </w:r>
                </w:p>
              </w:txbxContent>
            </v:textbox>
            <w10:wrap type="none"/>
          </v:shape>
        </w:pict>
      </w:r>
      <w:r>
        <w:rPr>
          <w:i/>
          <w:sz w:val="13"/>
        </w:rPr>
        <w:t>Juries Act 2000 </w:t>
      </w:r>
      <w:r>
        <w:rPr>
          <w:spacing w:val="2"/>
          <w:sz w:val="13"/>
        </w:rPr>
        <w:t>(Vic) </w:t>
      </w:r>
      <w:r>
        <w:rPr>
          <w:sz w:val="13"/>
        </w:rPr>
        <w:t>sch</w:t>
      </w:r>
      <w:r>
        <w:rPr>
          <w:spacing w:val="-2"/>
          <w:sz w:val="13"/>
        </w:rPr>
        <w:t> </w:t>
      </w:r>
      <w:r>
        <w:rPr>
          <w:spacing w:val="3"/>
          <w:sz w:val="13"/>
        </w:rPr>
        <w:t>2.</w:t>
      </w:r>
    </w:p>
    <w:p>
      <w:pPr>
        <w:pStyle w:val="ListParagraph"/>
        <w:numPr>
          <w:ilvl w:val="0"/>
          <w:numId w:val="17"/>
        </w:numPr>
        <w:tabs>
          <w:tab w:pos="1761" w:val="left" w:leader="none"/>
          <w:tab w:pos="1762" w:val="left" w:leader="none"/>
        </w:tabs>
        <w:spacing w:line="170" w:lineRule="exact" w:before="0" w:after="0"/>
        <w:ind w:left="1761" w:right="0" w:hanging="794"/>
        <w:jc w:val="left"/>
        <w:rPr>
          <w:sz w:val="13"/>
        </w:rPr>
      </w:pPr>
      <w:r>
        <w:rPr>
          <w:spacing w:val="2"/>
          <w:sz w:val="13"/>
        </w:rPr>
        <w:t>Ibid.</w:t>
      </w:r>
    </w:p>
    <w:p>
      <w:pPr>
        <w:spacing w:after="0" w:line="170" w:lineRule="exact"/>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296" w:hanging="794"/>
        <w:jc w:val="left"/>
        <w:rPr>
          <w:sz w:val="11"/>
        </w:rPr>
      </w:pPr>
      <w:bookmarkStart w:name="_bookmark16" w:id="40"/>
      <w:bookmarkEnd w:id="40"/>
      <w:r>
        <w:rPr/>
      </w:r>
      <w:bookmarkStart w:name="_bookmark16" w:id="41"/>
      <w:bookmarkEnd w:id="41"/>
      <w:r>
        <w:rPr>
          <w:sz w:val="20"/>
        </w:rPr>
        <w:t>P</w:t>
      </w:r>
      <w:r>
        <w:rPr>
          <w:sz w:val="20"/>
        </w:rPr>
        <w:t>eople can </w:t>
      </w:r>
      <w:r>
        <w:rPr>
          <w:spacing w:val="-3"/>
          <w:sz w:val="20"/>
        </w:rPr>
        <w:t>apply </w:t>
      </w:r>
      <w:r>
        <w:rPr>
          <w:sz w:val="20"/>
        </w:rPr>
        <w:t>to be </w:t>
      </w:r>
      <w:r>
        <w:rPr>
          <w:spacing w:val="-3"/>
          <w:sz w:val="20"/>
        </w:rPr>
        <w:t>excused by </w:t>
      </w:r>
      <w:r>
        <w:rPr>
          <w:sz w:val="20"/>
        </w:rPr>
        <w:t>the Juries Commissioner for good reason, or to defer their jury service to a better time.</w:t>
      </w:r>
      <w:r>
        <w:rPr>
          <w:position w:val="7"/>
          <w:sz w:val="11"/>
        </w:rPr>
        <w:t>26 </w:t>
      </w:r>
      <w:r>
        <w:rPr>
          <w:sz w:val="20"/>
        </w:rPr>
        <w:t>Being </w:t>
      </w:r>
      <w:r>
        <w:rPr>
          <w:spacing w:val="-3"/>
          <w:sz w:val="20"/>
        </w:rPr>
        <w:t>excused from </w:t>
      </w:r>
      <w:r>
        <w:rPr>
          <w:sz w:val="20"/>
        </w:rPr>
        <w:t>service means that a person</w:t>
      </w:r>
      <w:r>
        <w:rPr>
          <w:spacing w:val="-9"/>
          <w:sz w:val="20"/>
        </w:rPr>
        <w:t> </w:t>
      </w:r>
      <w:r>
        <w:rPr>
          <w:sz w:val="20"/>
        </w:rPr>
        <w:t>has</w:t>
      </w:r>
      <w:r>
        <w:rPr>
          <w:spacing w:val="-8"/>
          <w:sz w:val="20"/>
        </w:rPr>
        <w:t> </w:t>
      </w:r>
      <w:r>
        <w:rPr>
          <w:sz w:val="20"/>
        </w:rPr>
        <w:t>a</w:t>
      </w:r>
      <w:r>
        <w:rPr>
          <w:spacing w:val="-8"/>
          <w:sz w:val="20"/>
        </w:rPr>
        <w:t> </w:t>
      </w:r>
      <w:r>
        <w:rPr>
          <w:sz w:val="20"/>
        </w:rPr>
        <w:t>reason</w:t>
      </w:r>
      <w:r>
        <w:rPr>
          <w:spacing w:val="-8"/>
          <w:sz w:val="20"/>
        </w:rPr>
        <w:t> </w:t>
      </w:r>
      <w:r>
        <w:rPr>
          <w:sz w:val="20"/>
        </w:rPr>
        <w:t>for</w:t>
      </w:r>
      <w:r>
        <w:rPr>
          <w:spacing w:val="-8"/>
          <w:sz w:val="20"/>
        </w:rPr>
        <w:t> </w:t>
      </w:r>
      <w:r>
        <w:rPr>
          <w:sz w:val="20"/>
        </w:rPr>
        <w:t>being</w:t>
      </w:r>
      <w:r>
        <w:rPr>
          <w:spacing w:val="-8"/>
          <w:sz w:val="20"/>
        </w:rPr>
        <w:t> </w:t>
      </w:r>
      <w:r>
        <w:rPr>
          <w:sz w:val="20"/>
        </w:rPr>
        <w:t>unable</w:t>
      </w:r>
      <w:r>
        <w:rPr>
          <w:spacing w:val="-8"/>
          <w:sz w:val="20"/>
        </w:rPr>
        <w:t> </w:t>
      </w:r>
      <w:r>
        <w:rPr>
          <w:sz w:val="20"/>
        </w:rPr>
        <w:t>to</w:t>
      </w:r>
      <w:r>
        <w:rPr>
          <w:spacing w:val="-8"/>
          <w:sz w:val="20"/>
        </w:rPr>
        <w:t> </w:t>
      </w:r>
      <w:r>
        <w:rPr>
          <w:sz w:val="20"/>
        </w:rPr>
        <w:t>attend</w:t>
      </w:r>
      <w:r>
        <w:rPr>
          <w:spacing w:val="-8"/>
          <w:sz w:val="20"/>
        </w:rPr>
        <w:t> </w:t>
      </w:r>
      <w:r>
        <w:rPr>
          <w:sz w:val="20"/>
        </w:rPr>
        <w:t>or</w:t>
      </w:r>
      <w:r>
        <w:rPr>
          <w:spacing w:val="-8"/>
          <w:sz w:val="20"/>
        </w:rPr>
        <w:t> </w:t>
      </w:r>
      <w:r>
        <w:rPr>
          <w:sz w:val="20"/>
        </w:rPr>
        <w:t>to</w:t>
      </w:r>
      <w:r>
        <w:rPr>
          <w:spacing w:val="-8"/>
          <w:sz w:val="20"/>
        </w:rPr>
        <w:t> </w:t>
      </w:r>
      <w:r>
        <w:rPr>
          <w:sz w:val="20"/>
        </w:rPr>
        <w:t>sit</w:t>
      </w:r>
      <w:r>
        <w:rPr>
          <w:spacing w:val="-8"/>
          <w:sz w:val="20"/>
        </w:rPr>
        <w:t> </w:t>
      </w:r>
      <w:r>
        <w:rPr>
          <w:sz w:val="20"/>
        </w:rPr>
        <w:t>on</w:t>
      </w:r>
      <w:r>
        <w:rPr>
          <w:spacing w:val="-8"/>
          <w:sz w:val="20"/>
        </w:rPr>
        <w:t> </w:t>
      </w:r>
      <w:r>
        <w:rPr>
          <w:sz w:val="20"/>
        </w:rPr>
        <w:t>a</w:t>
      </w:r>
      <w:r>
        <w:rPr>
          <w:spacing w:val="-9"/>
          <w:sz w:val="20"/>
        </w:rPr>
        <w:t> </w:t>
      </w:r>
      <w:r>
        <w:rPr>
          <w:sz w:val="20"/>
        </w:rPr>
        <w:t>jury</w:t>
      </w:r>
      <w:r>
        <w:rPr>
          <w:spacing w:val="-8"/>
          <w:sz w:val="20"/>
        </w:rPr>
        <w:t> </w:t>
      </w:r>
      <w:r>
        <w:rPr>
          <w:sz w:val="20"/>
        </w:rPr>
        <w:t>for</w:t>
      </w:r>
      <w:r>
        <w:rPr>
          <w:spacing w:val="-8"/>
          <w:sz w:val="20"/>
        </w:rPr>
        <w:t> </w:t>
      </w:r>
      <w:r>
        <w:rPr>
          <w:sz w:val="20"/>
        </w:rPr>
        <w:t>a</w:t>
      </w:r>
      <w:r>
        <w:rPr>
          <w:spacing w:val="-8"/>
          <w:sz w:val="20"/>
        </w:rPr>
        <w:t> </w:t>
      </w:r>
      <w:r>
        <w:rPr>
          <w:sz w:val="20"/>
        </w:rPr>
        <w:t>particular</w:t>
      </w:r>
      <w:r>
        <w:rPr>
          <w:spacing w:val="-8"/>
          <w:sz w:val="20"/>
        </w:rPr>
        <w:t> </w:t>
      </w:r>
      <w:r>
        <w:rPr>
          <w:sz w:val="20"/>
        </w:rPr>
        <w:t>case.</w:t>
      </w:r>
      <w:r>
        <w:rPr>
          <w:spacing w:val="-8"/>
          <w:sz w:val="20"/>
        </w:rPr>
        <w:t> </w:t>
      </w:r>
      <w:r>
        <w:rPr>
          <w:sz w:val="20"/>
        </w:rPr>
        <w:t>It is</w:t>
      </w:r>
      <w:r>
        <w:rPr>
          <w:spacing w:val="-7"/>
          <w:sz w:val="20"/>
        </w:rPr>
        <w:t> </w:t>
      </w:r>
      <w:r>
        <w:rPr>
          <w:sz w:val="20"/>
        </w:rPr>
        <w:t>at</w:t>
      </w:r>
      <w:r>
        <w:rPr>
          <w:spacing w:val="-7"/>
          <w:sz w:val="20"/>
        </w:rPr>
        <w:t> </w:t>
      </w:r>
      <w:r>
        <w:rPr>
          <w:sz w:val="20"/>
        </w:rPr>
        <w:t>this</w:t>
      </w:r>
      <w:r>
        <w:rPr>
          <w:spacing w:val="-7"/>
          <w:sz w:val="20"/>
        </w:rPr>
        <w:t> </w:t>
      </w:r>
      <w:r>
        <w:rPr>
          <w:spacing w:val="-3"/>
          <w:sz w:val="20"/>
        </w:rPr>
        <w:t>early</w:t>
      </w:r>
      <w:r>
        <w:rPr>
          <w:spacing w:val="-6"/>
          <w:sz w:val="20"/>
        </w:rPr>
        <w:t> </w:t>
      </w:r>
      <w:r>
        <w:rPr>
          <w:sz w:val="20"/>
        </w:rPr>
        <w:t>stage</w:t>
      </w:r>
      <w:r>
        <w:rPr>
          <w:spacing w:val="-7"/>
          <w:sz w:val="20"/>
        </w:rPr>
        <w:t> </w:t>
      </w:r>
      <w:r>
        <w:rPr>
          <w:sz w:val="20"/>
        </w:rPr>
        <w:t>that</w:t>
      </w:r>
      <w:r>
        <w:rPr>
          <w:spacing w:val="-7"/>
          <w:sz w:val="20"/>
        </w:rPr>
        <w:t> </w:t>
      </w:r>
      <w:r>
        <w:rPr>
          <w:sz w:val="20"/>
        </w:rPr>
        <w:t>people</w:t>
      </w:r>
      <w:r>
        <w:rPr>
          <w:spacing w:val="-6"/>
          <w:sz w:val="20"/>
        </w:rPr>
        <w:t> </w:t>
      </w:r>
      <w:r>
        <w:rPr>
          <w:sz w:val="20"/>
        </w:rPr>
        <w:t>in</w:t>
      </w:r>
      <w:r>
        <w:rPr>
          <w:spacing w:val="-7"/>
          <w:sz w:val="20"/>
        </w:rPr>
        <w:t> </w:t>
      </w:r>
      <w:r>
        <w:rPr>
          <w:sz w:val="20"/>
        </w:rPr>
        <w:t>the</w:t>
      </w:r>
      <w:r>
        <w:rPr>
          <w:spacing w:val="-7"/>
          <w:sz w:val="20"/>
        </w:rPr>
        <w:t> </w:t>
      </w:r>
      <w:r>
        <w:rPr>
          <w:sz w:val="20"/>
        </w:rPr>
        <w:t>subject</w:t>
      </w:r>
      <w:r>
        <w:rPr>
          <w:spacing w:val="-6"/>
          <w:sz w:val="20"/>
        </w:rPr>
        <w:t> </w:t>
      </w:r>
      <w:r>
        <w:rPr>
          <w:sz w:val="20"/>
        </w:rPr>
        <w:t>groups</w:t>
      </w:r>
      <w:r>
        <w:rPr>
          <w:spacing w:val="-7"/>
          <w:sz w:val="20"/>
        </w:rPr>
        <w:t> </w:t>
      </w:r>
      <w:r>
        <w:rPr>
          <w:spacing w:val="-3"/>
          <w:sz w:val="20"/>
        </w:rPr>
        <w:t>usually</w:t>
      </w:r>
      <w:r>
        <w:rPr>
          <w:spacing w:val="-7"/>
          <w:sz w:val="20"/>
        </w:rPr>
        <w:t> </w:t>
      </w:r>
      <w:r>
        <w:rPr>
          <w:sz w:val="20"/>
        </w:rPr>
        <w:t>seek</w:t>
      </w:r>
      <w:r>
        <w:rPr>
          <w:spacing w:val="-6"/>
          <w:sz w:val="20"/>
        </w:rPr>
        <w:t> </w:t>
      </w:r>
      <w:r>
        <w:rPr>
          <w:sz w:val="20"/>
        </w:rPr>
        <w:t>to</w:t>
      </w:r>
      <w:r>
        <w:rPr>
          <w:spacing w:val="-7"/>
          <w:sz w:val="20"/>
        </w:rPr>
        <w:t> </w:t>
      </w:r>
      <w:r>
        <w:rPr>
          <w:sz w:val="20"/>
        </w:rPr>
        <w:t>be</w:t>
      </w:r>
      <w:r>
        <w:rPr>
          <w:spacing w:val="-7"/>
          <w:sz w:val="20"/>
        </w:rPr>
        <w:t> </w:t>
      </w:r>
      <w:r>
        <w:rPr>
          <w:sz w:val="20"/>
        </w:rPr>
        <w:t>excused.</w:t>
      </w:r>
      <w:r>
        <w:rPr>
          <w:position w:val="7"/>
          <w:sz w:val="11"/>
        </w:rPr>
        <w:t>27</w:t>
      </w:r>
    </w:p>
    <w:p>
      <w:pPr>
        <w:pStyle w:val="ListParagraph"/>
        <w:numPr>
          <w:ilvl w:val="1"/>
          <w:numId w:val="12"/>
        </w:numPr>
        <w:tabs>
          <w:tab w:pos="1761" w:val="left" w:leader="none"/>
          <w:tab w:pos="1762" w:val="left" w:leader="none"/>
        </w:tabs>
        <w:spacing w:line="206" w:lineRule="auto" w:before="125" w:after="0"/>
        <w:ind w:left="1761" w:right="1372" w:hanging="794"/>
        <w:jc w:val="left"/>
        <w:rPr>
          <w:sz w:val="11"/>
        </w:rPr>
      </w:pPr>
      <w:r>
        <w:rPr>
          <w:sz w:val="20"/>
        </w:rPr>
        <w:t>Other</w:t>
      </w:r>
      <w:r>
        <w:rPr>
          <w:spacing w:val="-9"/>
          <w:sz w:val="20"/>
        </w:rPr>
        <w:t> </w:t>
      </w:r>
      <w:r>
        <w:rPr>
          <w:sz w:val="20"/>
        </w:rPr>
        <w:t>people</w:t>
      </w:r>
      <w:r>
        <w:rPr>
          <w:spacing w:val="-9"/>
          <w:sz w:val="20"/>
        </w:rPr>
        <w:t> </w:t>
      </w:r>
      <w:r>
        <w:rPr>
          <w:spacing w:val="-3"/>
          <w:sz w:val="20"/>
        </w:rPr>
        <w:t>are</w:t>
      </w:r>
      <w:r>
        <w:rPr>
          <w:spacing w:val="-9"/>
          <w:sz w:val="20"/>
        </w:rPr>
        <w:t> </w:t>
      </w:r>
      <w:r>
        <w:rPr>
          <w:sz w:val="20"/>
        </w:rPr>
        <w:t>disqualified</w:t>
      </w:r>
      <w:r>
        <w:rPr>
          <w:spacing w:val="-8"/>
          <w:sz w:val="20"/>
        </w:rPr>
        <w:t> </w:t>
      </w:r>
      <w:r>
        <w:rPr>
          <w:spacing w:val="-3"/>
          <w:sz w:val="20"/>
        </w:rPr>
        <w:t>(usually</w:t>
      </w:r>
      <w:r>
        <w:rPr>
          <w:spacing w:val="-9"/>
          <w:sz w:val="20"/>
        </w:rPr>
        <w:t> </w:t>
      </w:r>
      <w:r>
        <w:rPr>
          <w:sz w:val="20"/>
        </w:rPr>
        <w:t>for</w:t>
      </w:r>
      <w:r>
        <w:rPr>
          <w:spacing w:val="-9"/>
          <w:sz w:val="20"/>
        </w:rPr>
        <w:t> </w:t>
      </w:r>
      <w:r>
        <w:rPr>
          <w:sz w:val="20"/>
        </w:rPr>
        <w:t>a</w:t>
      </w:r>
      <w:r>
        <w:rPr>
          <w:spacing w:val="-8"/>
          <w:sz w:val="20"/>
        </w:rPr>
        <w:t> </w:t>
      </w:r>
      <w:r>
        <w:rPr>
          <w:sz w:val="20"/>
        </w:rPr>
        <w:t>limited</w:t>
      </w:r>
      <w:r>
        <w:rPr>
          <w:spacing w:val="-9"/>
          <w:sz w:val="20"/>
        </w:rPr>
        <w:t> </w:t>
      </w:r>
      <w:r>
        <w:rPr>
          <w:sz w:val="20"/>
        </w:rPr>
        <w:t>period)</w:t>
      </w:r>
      <w:r>
        <w:rPr>
          <w:spacing w:val="-9"/>
          <w:sz w:val="20"/>
        </w:rPr>
        <w:t> </w:t>
      </w:r>
      <w:r>
        <w:rPr>
          <w:sz w:val="20"/>
        </w:rPr>
        <w:t>if</w:t>
      </w:r>
      <w:r>
        <w:rPr>
          <w:spacing w:val="-8"/>
          <w:sz w:val="20"/>
        </w:rPr>
        <w:t> </w:t>
      </w:r>
      <w:r>
        <w:rPr>
          <w:sz w:val="20"/>
        </w:rPr>
        <w:t>they</w:t>
      </w:r>
      <w:r>
        <w:rPr>
          <w:spacing w:val="-9"/>
          <w:sz w:val="20"/>
        </w:rPr>
        <w:t> </w:t>
      </w:r>
      <w:r>
        <w:rPr>
          <w:spacing w:val="-4"/>
          <w:sz w:val="20"/>
        </w:rPr>
        <w:t>have</w:t>
      </w:r>
      <w:r>
        <w:rPr>
          <w:spacing w:val="-9"/>
          <w:sz w:val="20"/>
        </w:rPr>
        <w:t> </w:t>
      </w:r>
      <w:r>
        <w:rPr>
          <w:sz w:val="20"/>
        </w:rPr>
        <w:t>been</w:t>
      </w:r>
      <w:r>
        <w:rPr>
          <w:spacing w:val="-9"/>
          <w:sz w:val="20"/>
        </w:rPr>
        <w:t> </w:t>
      </w:r>
      <w:r>
        <w:rPr>
          <w:spacing w:val="-2"/>
          <w:sz w:val="20"/>
        </w:rPr>
        <w:t>convicted </w:t>
      </w:r>
      <w:r>
        <w:rPr>
          <w:sz w:val="20"/>
        </w:rPr>
        <w:t>of</w:t>
      </w:r>
      <w:r>
        <w:rPr>
          <w:spacing w:val="-7"/>
          <w:sz w:val="20"/>
        </w:rPr>
        <w:t> </w:t>
      </w:r>
      <w:r>
        <w:rPr>
          <w:sz w:val="20"/>
        </w:rPr>
        <w:t>certain</w:t>
      </w:r>
      <w:r>
        <w:rPr>
          <w:spacing w:val="-7"/>
          <w:sz w:val="20"/>
        </w:rPr>
        <w:t> </w:t>
      </w:r>
      <w:r>
        <w:rPr>
          <w:sz w:val="20"/>
        </w:rPr>
        <w:t>serious</w:t>
      </w:r>
      <w:r>
        <w:rPr>
          <w:spacing w:val="-6"/>
          <w:sz w:val="20"/>
        </w:rPr>
        <w:t> </w:t>
      </w:r>
      <w:r>
        <w:rPr>
          <w:sz w:val="20"/>
        </w:rPr>
        <w:t>offences</w:t>
      </w:r>
      <w:r>
        <w:rPr>
          <w:spacing w:val="-7"/>
          <w:sz w:val="20"/>
        </w:rPr>
        <w:t> </w:t>
      </w:r>
      <w:r>
        <w:rPr>
          <w:sz w:val="20"/>
        </w:rPr>
        <w:t>or</w:t>
      </w:r>
      <w:r>
        <w:rPr>
          <w:spacing w:val="-6"/>
          <w:sz w:val="20"/>
        </w:rPr>
        <w:t> </w:t>
      </w:r>
      <w:r>
        <w:rPr>
          <w:spacing w:val="-3"/>
          <w:sz w:val="20"/>
        </w:rPr>
        <w:t>are</w:t>
      </w:r>
      <w:r>
        <w:rPr>
          <w:spacing w:val="-7"/>
          <w:sz w:val="20"/>
        </w:rPr>
        <w:t> </w:t>
      </w:r>
      <w:r>
        <w:rPr>
          <w:sz w:val="20"/>
        </w:rPr>
        <w:t>on</w:t>
      </w:r>
      <w:r>
        <w:rPr>
          <w:spacing w:val="-6"/>
          <w:sz w:val="20"/>
        </w:rPr>
        <w:t> </w:t>
      </w:r>
      <w:r>
        <w:rPr>
          <w:spacing w:val="-3"/>
          <w:sz w:val="20"/>
        </w:rPr>
        <w:t>bail/remand</w:t>
      </w:r>
      <w:r>
        <w:rPr>
          <w:spacing w:val="-7"/>
          <w:sz w:val="20"/>
        </w:rPr>
        <w:t> </w:t>
      </w:r>
      <w:r>
        <w:rPr>
          <w:sz w:val="20"/>
        </w:rPr>
        <w:t>or</w:t>
      </w:r>
      <w:r>
        <w:rPr>
          <w:spacing w:val="-6"/>
          <w:sz w:val="20"/>
        </w:rPr>
        <w:t> </w:t>
      </w:r>
      <w:r>
        <w:rPr>
          <w:spacing w:val="-3"/>
          <w:sz w:val="20"/>
        </w:rPr>
        <w:t>are</w:t>
      </w:r>
      <w:r>
        <w:rPr>
          <w:spacing w:val="-7"/>
          <w:sz w:val="20"/>
        </w:rPr>
        <w:t> </w:t>
      </w:r>
      <w:r>
        <w:rPr>
          <w:sz w:val="20"/>
        </w:rPr>
        <w:t>undischarged</w:t>
      </w:r>
      <w:r>
        <w:rPr>
          <w:spacing w:val="-6"/>
          <w:sz w:val="20"/>
        </w:rPr>
        <w:t> </w:t>
      </w:r>
      <w:r>
        <w:rPr>
          <w:sz w:val="20"/>
        </w:rPr>
        <w:t>bankrupts.</w:t>
      </w:r>
      <w:r>
        <w:rPr>
          <w:position w:val="7"/>
          <w:sz w:val="11"/>
        </w:rPr>
        <w:t>28</w:t>
      </w:r>
    </w:p>
    <w:p>
      <w:pPr>
        <w:spacing w:before="161"/>
        <w:ind w:left="967" w:right="0" w:firstLine="0"/>
        <w:jc w:val="left"/>
        <w:rPr>
          <w:b/>
          <w:sz w:val="24"/>
        </w:rPr>
      </w:pPr>
      <w:r>
        <w:rPr>
          <w:b/>
          <w:sz w:val="24"/>
        </w:rPr>
        <w:t>Summons</w:t>
      </w:r>
    </w:p>
    <w:p>
      <w:pPr>
        <w:pStyle w:val="ListParagraph"/>
        <w:numPr>
          <w:ilvl w:val="1"/>
          <w:numId w:val="12"/>
        </w:numPr>
        <w:tabs>
          <w:tab w:pos="1761" w:val="left" w:leader="none"/>
          <w:tab w:pos="1762" w:val="left" w:leader="none"/>
        </w:tabs>
        <w:spacing w:line="206" w:lineRule="auto" w:before="127" w:after="0"/>
        <w:ind w:left="1761" w:right="1399" w:hanging="794"/>
        <w:jc w:val="left"/>
        <w:rPr>
          <w:sz w:val="11"/>
        </w:rPr>
      </w:pPr>
      <w:r>
        <w:rPr>
          <w:sz w:val="20"/>
        </w:rPr>
        <w:t>Juries</w:t>
      </w:r>
      <w:r>
        <w:rPr>
          <w:spacing w:val="-13"/>
          <w:sz w:val="20"/>
        </w:rPr>
        <w:t> </w:t>
      </w:r>
      <w:r>
        <w:rPr>
          <w:sz w:val="20"/>
        </w:rPr>
        <w:t>Victoria</w:t>
      </w:r>
      <w:r>
        <w:rPr>
          <w:spacing w:val="-13"/>
          <w:sz w:val="20"/>
        </w:rPr>
        <w:t> </w:t>
      </w:r>
      <w:r>
        <w:rPr>
          <w:sz w:val="20"/>
        </w:rPr>
        <w:t>issues</w:t>
      </w:r>
      <w:r>
        <w:rPr>
          <w:spacing w:val="-13"/>
          <w:sz w:val="20"/>
        </w:rPr>
        <w:t> </w:t>
      </w:r>
      <w:r>
        <w:rPr>
          <w:sz w:val="20"/>
        </w:rPr>
        <w:t>a</w:t>
      </w:r>
      <w:r>
        <w:rPr>
          <w:spacing w:val="-12"/>
          <w:sz w:val="20"/>
        </w:rPr>
        <w:t> </w:t>
      </w:r>
      <w:r>
        <w:rPr>
          <w:sz w:val="20"/>
        </w:rPr>
        <w:t>summons</w:t>
      </w:r>
      <w:r>
        <w:rPr>
          <w:spacing w:val="-13"/>
          <w:sz w:val="20"/>
        </w:rPr>
        <w:t> </w:t>
      </w:r>
      <w:r>
        <w:rPr>
          <w:sz w:val="20"/>
        </w:rPr>
        <w:t>to</w:t>
      </w:r>
      <w:r>
        <w:rPr>
          <w:spacing w:val="-13"/>
          <w:sz w:val="20"/>
        </w:rPr>
        <w:t> </w:t>
      </w:r>
      <w:r>
        <w:rPr>
          <w:sz w:val="20"/>
        </w:rPr>
        <w:t>potential</w:t>
      </w:r>
      <w:r>
        <w:rPr>
          <w:spacing w:val="-13"/>
          <w:sz w:val="20"/>
        </w:rPr>
        <w:t> </w:t>
      </w:r>
      <w:r>
        <w:rPr>
          <w:sz w:val="20"/>
        </w:rPr>
        <w:t>eligible</w:t>
      </w:r>
      <w:r>
        <w:rPr>
          <w:spacing w:val="-12"/>
          <w:sz w:val="20"/>
        </w:rPr>
        <w:t> </w:t>
      </w:r>
      <w:r>
        <w:rPr>
          <w:sz w:val="20"/>
        </w:rPr>
        <w:t>jurors</w:t>
      </w:r>
      <w:r>
        <w:rPr>
          <w:spacing w:val="-23"/>
          <w:sz w:val="20"/>
        </w:rPr>
        <w:t> </w:t>
      </w:r>
      <w:r>
        <w:rPr>
          <w:sz w:val="20"/>
        </w:rPr>
        <w:t>two</w:t>
      </w:r>
      <w:r>
        <w:rPr>
          <w:spacing w:val="-13"/>
          <w:sz w:val="20"/>
        </w:rPr>
        <w:t> </w:t>
      </w:r>
      <w:r>
        <w:rPr>
          <w:sz w:val="20"/>
        </w:rPr>
        <w:t>to</w:t>
      </w:r>
      <w:r>
        <w:rPr>
          <w:spacing w:val="-12"/>
          <w:sz w:val="20"/>
        </w:rPr>
        <w:t> </w:t>
      </w:r>
      <w:r>
        <w:rPr>
          <w:sz w:val="20"/>
        </w:rPr>
        <w:t>three</w:t>
      </w:r>
      <w:r>
        <w:rPr>
          <w:spacing w:val="-13"/>
          <w:sz w:val="20"/>
        </w:rPr>
        <w:t> </w:t>
      </w:r>
      <w:r>
        <w:rPr>
          <w:sz w:val="20"/>
        </w:rPr>
        <w:t>weeks</w:t>
      </w:r>
      <w:r>
        <w:rPr>
          <w:spacing w:val="-13"/>
          <w:sz w:val="20"/>
        </w:rPr>
        <w:t> </w:t>
      </w:r>
      <w:r>
        <w:rPr>
          <w:sz w:val="20"/>
        </w:rPr>
        <w:t>ahead of the court attendance date.</w:t>
      </w:r>
      <w:r>
        <w:rPr>
          <w:position w:val="7"/>
          <w:sz w:val="11"/>
        </w:rPr>
        <w:t>29 </w:t>
      </w:r>
      <w:r>
        <w:rPr>
          <w:sz w:val="20"/>
        </w:rPr>
        <w:t>Information about eligibility, deferral and </w:t>
      </w:r>
      <w:r>
        <w:rPr>
          <w:spacing w:val="-3"/>
          <w:sz w:val="20"/>
        </w:rPr>
        <w:t>excuse </w:t>
      </w:r>
      <w:r>
        <w:rPr>
          <w:sz w:val="20"/>
        </w:rPr>
        <w:t>categories</w:t>
      </w:r>
      <w:r>
        <w:rPr>
          <w:spacing w:val="-9"/>
          <w:sz w:val="20"/>
        </w:rPr>
        <w:t> </w:t>
      </w:r>
      <w:r>
        <w:rPr>
          <w:sz w:val="20"/>
        </w:rPr>
        <w:t>is</w:t>
      </w:r>
      <w:r>
        <w:rPr>
          <w:spacing w:val="-8"/>
          <w:sz w:val="20"/>
        </w:rPr>
        <w:t> </w:t>
      </w:r>
      <w:r>
        <w:rPr>
          <w:spacing w:val="-3"/>
          <w:sz w:val="20"/>
        </w:rPr>
        <w:t>provided</w:t>
      </w:r>
      <w:r>
        <w:rPr>
          <w:spacing w:val="-8"/>
          <w:sz w:val="20"/>
        </w:rPr>
        <w:t> </w:t>
      </w:r>
      <w:r>
        <w:rPr>
          <w:sz w:val="20"/>
        </w:rPr>
        <w:t>with</w:t>
      </w:r>
      <w:r>
        <w:rPr>
          <w:spacing w:val="-8"/>
          <w:sz w:val="20"/>
        </w:rPr>
        <w:t> </w:t>
      </w:r>
      <w:r>
        <w:rPr>
          <w:sz w:val="20"/>
        </w:rPr>
        <w:t>the</w:t>
      </w:r>
      <w:r>
        <w:rPr>
          <w:spacing w:val="-8"/>
          <w:sz w:val="20"/>
        </w:rPr>
        <w:t> </w:t>
      </w:r>
      <w:r>
        <w:rPr>
          <w:sz w:val="20"/>
        </w:rPr>
        <w:t>summons.</w:t>
      </w:r>
      <w:r>
        <w:rPr>
          <w:rFonts w:ascii="Arial"/>
          <w:position w:val="8"/>
          <w:sz w:val="14"/>
        </w:rPr>
        <w:t>.</w:t>
      </w:r>
      <w:r>
        <w:rPr>
          <w:rFonts w:ascii="Arial"/>
          <w:spacing w:val="-7"/>
          <w:position w:val="8"/>
          <w:sz w:val="14"/>
        </w:rPr>
        <w:t> </w:t>
      </w:r>
      <w:r>
        <w:rPr>
          <w:sz w:val="20"/>
        </w:rPr>
        <w:t>The</w:t>
      </w:r>
      <w:r>
        <w:rPr>
          <w:spacing w:val="-8"/>
          <w:sz w:val="20"/>
        </w:rPr>
        <w:t> </w:t>
      </w:r>
      <w:r>
        <w:rPr>
          <w:sz w:val="20"/>
        </w:rPr>
        <w:t>Juries</w:t>
      </w:r>
      <w:r>
        <w:rPr>
          <w:spacing w:val="-8"/>
          <w:sz w:val="20"/>
        </w:rPr>
        <w:t> </w:t>
      </w:r>
      <w:r>
        <w:rPr>
          <w:sz w:val="20"/>
        </w:rPr>
        <w:t>Commissioner</w:t>
      </w:r>
      <w:r>
        <w:rPr>
          <w:spacing w:val="-8"/>
          <w:sz w:val="20"/>
        </w:rPr>
        <w:t> </w:t>
      </w:r>
      <w:r>
        <w:rPr>
          <w:sz w:val="20"/>
        </w:rPr>
        <w:t>also</w:t>
      </w:r>
      <w:r>
        <w:rPr>
          <w:spacing w:val="-8"/>
          <w:sz w:val="20"/>
        </w:rPr>
        <w:t> </w:t>
      </w:r>
      <w:r>
        <w:rPr>
          <w:spacing w:val="-3"/>
          <w:sz w:val="20"/>
        </w:rPr>
        <w:t>provides</w:t>
      </w:r>
      <w:r>
        <w:rPr>
          <w:spacing w:val="-8"/>
          <w:sz w:val="20"/>
        </w:rPr>
        <w:t> </w:t>
      </w:r>
      <w:r>
        <w:rPr>
          <w:sz w:val="20"/>
        </w:rPr>
        <w:t>an online orientation program for people who </w:t>
      </w:r>
      <w:r>
        <w:rPr>
          <w:spacing w:val="-3"/>
          <w:sz w:val="20"/>
        </w:rPr>
        <w:t>are </w:t>
      </w:r>
      <w:r>
        <w:rPr>
          <w:sz w:val="20"/>
        </w:rPr>
        <w:t>summonsed. It includes short video clips</w:t>
      </w:r>
      <w:r>
        <w:rPr>
          <w:spacing w:val="-12"/>
          <w:sz w:val="20"/>
        </w:rPr>
        <w:t> </w:t>
      </w:r>
      <w:r>
        <w:rPr>
          <w:sz w:val="20"/>
        </w:rPr>
        <w:t>and</w:t>
      </w:r>
      <w:r>
        <w:rPr>
          <w:spacing w:val="-12"/>
          <w:sz w:val="20"/>
        </w:rPr>
        <w:t> </w:t>
      </w:r>
      <w:r>
        <w:rPr>
          <w:sz w:val="20"/>
        </w:rPr>
        <w:t>information</w:t>
      </w:r>
      <w:r>
        <w:rPr>
          <w:spacing w:val="-12"/>
          <w:sz w:val="20"/>
        </w:rPr>
        <w:t> </w:t>
      </w:r>
      <w:r>
        <w:rPr>
          <w:sz w:val="20"/>
        </w:rPr>
        <w:t>about</w:t>
      </w:r>
      <w:r>
        <w:rPr>
          <w:spacing w:val="-11"/>
          <w:sz w:val="20"/>
        </w:rPr>
        <w:t> </w:t>
      </w:r>
      <w:r>
        <w:rPr>
          <w:sz w:val="20"/>
        </w:rPr>
        <w:t>what</w:t>
      </w:r>
      <w:r>
        <w:rPr>
          <w:spacing w:val="-12"/>
          <w:sz w:val="20"/>
        </w:rPr>
        <w:t> </w:t>
      </w:r>
      <w:r>
        <w:rPr>
          <w:sz w:val="20"/>
        </w:rPr>
        <w:t>to</w:t>
      </w:r>
      <w:r>
        <w:rPr>
          <w:spacing w:val="-12"/>
          <w:sz w:val="20"/>
        </w:rPr>
        <w:t> </w:t>
      </w:r>
      <w:r>
        <w:rPr>
          <w:sz w:val="20"/>
        </w:rPr>
        <w:t>expect</w:t>
      </w:r>
      <w:r>
        <w:rPr>
          <w:spacing w:val="-11"/>
          <w:sz w:val="20"/>
        </w:rPr>
        <w:t> </w:t>
      </w:r>
      <w:r>
        <w:rPr>
          <w:sz w:val="20"/>
        </w:rPr>
        <w:t>during</w:t>
      </w:r>
      <w:r>
        <w:rPr>
          <w:spacing w:val="-12"/>
          <w:sz w:val="20"/>
        </w:rPr>
        <w:t> </w:t>
      </w:r>
      <w:r>
        <w:rPr>
          <w:sz w:val="20"/>
        </w:rPr>
        <w:t>the</w:t>
      </w:r>
      <w:r>
        <w:rPr>
          <w:spacing w:val="-12"/>
          <w:sz w:val="20"/>
        </w:rPr>
        <w:t> </w:t>
      </w:r>
      <w:r>
        <w:rPr>
          <w:sz w:val="20"/>
        </w:rPr>
        <w:t>selection</w:t>
      </w:r>
      <w:r>
        <w:rPr>
          <w:spacing w:val="-11"/>
          <w:sz w:val="20"/>
        </w:rPr>
        <w:t> </w:t>
      </w:r>
      <w:r>
        <w:rPr>
          <w:sz w:val="20"/>
        </w:rPr>
        <w:t>process,</w:t>
      </w:r>
      <w:r>
        <w:rPr>
          <w:spacing w:val="-12"/>
          <w:sz w:val="20"/>
        </w:rPr>
        <w:t> </w:t>
      </w:r>
      <w:r>
        <w:rPr>
          <w:spacing w:val="-3"/>
          <w:sz w:val="20"/>
        </w:rPr>
        <w:t>payment</w:t>
      </w:r>
      <w:r>
        <w:rPr>
          <w:spacing w:val="-12"/>
          <w:sz w:val="20"/>
        </w:rPr>
        <w:t> </w:t>
      </w:r>
      <w:r>
        <w:rPr>
          <w:sz w:val="20"/>
        </w:rPr>
        <w:t>for jury </w:t>
      </w:r>
      <w:r>
        <w:rPr>
          <w:spacing w:val="-4"/>
          <w:sz w:val="20"/>
        </w:rPr>
        <w:t>duty, </w:t>
      </w:r>
      <w:r>
        <w:rPr>
          <w:spacing w:val="-3"/>
          <w:sz w:val="20"/>
        </w:rPr>
        <w:t>employer </w:t>
      </w:r>
      <w:r>
        <w:rPr>
          <w:sz w:val="20"/>
        </w:rPr>
        <w:t>obligations, dress code and meals, juror responsibilities and the need to be </w:t>
      </w:r>
      <w:r>
        <w:rPr>
          <w:spacing w:val="-3"/>
          <w:sz w:val="20"/>
        </w:rPr>
        <w:t>available </w:t>
      </w:r>
      <w:r>
        <w:rPr>
          <w:sz w:val="20"/>
        </w:rPr>
        <w:t>for two weeks. This is sent to potential jurors </w:t>
      </w:r>
      <w:r>
        <w:rPr>
          <w:spacing w:val="-3"/>
          <w:sz w:val="20"/>
        </w:rPr>
        <w:t>seven </w:t>
      </w:r>
      <w:r>
        <w:rPr>
          <w:spacing w:val="-4"/>
          <w:sz w:val="20"/>
        </w:rPr>
        <w:t>days </w:t>
      </w:r>
      <w:r>
        <w:rPr>
          <w:spacing w:val="-3"/>
          <w:sz w:val="20"/>
        </w:rPr>
        <w:t>before </w:t>
      </w:r>
      <w:r>
        <w:rPr>
          <w:sz w:val="20"/>
        </w:rPr>
        <w:t>their summons</w:t>
      </w:r>
      <w:r>
        <w:rPr>
          <w:spacing w:val="-9"/>
          <w:sz w:val="20"/>
        </w:rPr>
        <w:t> </w:t>
      </w:r>
      <w:r>
        <w:rPr>
          <w:sz w:val="20"/>
        </w:rPr>
        <w:t>date.</w:t>
      </w:r>
      <w:r>
        <w:rPr>
          <w:position w:val="7"/>
          <w:sz w:val="11"/>
        </w:rPr>
        <w:t>30</w:t>
      </w:r>
    </w:p>
    <w:p>
      <w:pPr>
        <w:pStyle w:val="ListParagraph"/>
        <w:numPr>
          <w:ilvl w:val="1"/>
          <w:numId w:val="12"/>
        </w:numPr>
        <w:tabs>
          <w:tab w:pos="1761" w:val="left" w:leader="none"/>
          <w:tab w:pos="1762" w:val="left" w:leader="none"/>
        </w:tabs>
        <w:spacing w:line="206" w:lineRule="auto" w:before="130" w:after="0"/>
        <w:ind w:left="1761" w:right="1230" w:hanging="794"/>
        <w:jc w:val="left"/>
        <w:rPr>
          <w:sz w:val="20"/>
        </w:rPr>
      </w:pPr>
      <w:r>
        <w:rPr>
          <w:sz w:val="20"/>
        </w:rPr>
        <w:t>After</w:t>
      </w:r>
      <w:r>
        <w:rPr>
          <w:spacing w:val="-7"/>
          <w:sz w:val="20"/>
        </w:rPr>
        <w:t> </w:t>
      </w:r>
      <w:r>
        <w:rPr>
          <w:sz w:val="20"/>
        </w:rPr>
        <w:t>a</w:t>
      </w:r>
      <w:r>
        <w:rPr>
          <w:spacing w:val="-7"/>
          <w:sz w:val="20"/>
        </w:rPr>
        <w:t> </w:t>
      </w:r>
      <w:r>
        <w:rPr>
          <w:sz w:val="20"/>
        </w:rPr>
        <w:t>person</w:t>
      </w:r>
      <w:r>
        <w:rPr>
          <w:spacing w:val="-6"/>
          <w:sz w:val="20"/>
        </w:rPr>
        <w:t> </w:t>
      </w:r>
      <w:r>
        <w:rPr>
          <w:spacing w:val="-3"/>
          <w:sz w:val="20"/>
        </w:rPr>
        <w:t>receives</w:t>
      </w:r>
      <w:r>
        <w:rPr>
          <w:spacing w:val="-7"/>
          <w:sz w:val="20"/>
        </w:rPr>
        <w:t> </w:t>
      </w:r>
      <w:r>
        <w:rPr>
          <w:sz w:val="20"/>
        </w:rPr>
        <w:t>a</w:t>
      </w:r>
      <w:r>
        <w:rPr>
          <w:spacing w:val="-6"/>
          <w:sz w:val="20"/>
        </w:rPr>
        <w:t> </w:t>
      </w:r>
      <w:r>
        <w:rPr>
          <w:sz w:val="20"/>
        </w:rPr>
        <w:t>summons</w:t>
      </w:r>
      <w:r>
        <w:rPr>
          <w:spacing w:val="-7"/>
          <w:sz w:val="20"/>
        </w:rPr>
        <w:t> </w:t>
      </w:r>
      <w:r>
        <w:rPr>
          <w:sz w:val="20"/>
        </w:rPr>
        <w:t>and</w:t>
      </w:r>
      <w:r>
        <w:rPr>
          <w:spacing w:val="-6"/>
          <w:sz w:val="20"/>
        </w:rPr>
        <w:t> </w:t>
      </w:r>
      <w:r>
        <w:rPr>
          <w:spacing w:val="-3"/>
          <w:sz w:val="20"/>
        </w:rPr>
        <w:t>before</w:t>
      </w:r>
      <w:r>
        <w:rPr>
          <w:spacing w:val="-7"/>
          <w:sz w:val="20"/>
        </w:rPr>
        <w:t> </w:t>
      </w:r>
      <w:r>
        <w:rPr>
          <w:sz w:val="20"/>
        </w:rPr>
        <w:t>they</w:t>
      </w:r>
      <w:r>
        <w:rPr>
          <w:spacing w:val="-6"/>
          <w:sz w:val="20"/>
        </w:rPr>
        <w:t> </w:t>
      </w:r>
      <w:r>
        <w:rPr>
          <w:sz w:val="20"/>
        </w:rPr>
        <w:t>become</w:t>
      </w:r>
      <w:r>
        <w:rPr>
          <w:spacing w:val="-7"/>
          <w:sz w:val="20"/>
        </w:rPr>
        <w:t> </w:t>
      </w:r>
      <w:r>
        <w:rPr>
          <w:sz w:val="20"/>
        </w:rPr>
        <w:t>a</w:t>
      </w:r>
      <w:r>
        <w:rPr>
          <w:spacing w:val="-6"/>
          <w:sz w:val="20"/>
        </w:rPr>
        <w:t> </w:t>
      </w:r>
      <w:r>
        <w:rPr>
          <w:sz w:val="20"/>
        </w:rPr>
        <w:t>member</w:t>
      </w:r>
      <w:r>
        <w:rPr>
          <w:spacing w:val="-7"/>
          <w:sz w:val="20"/>
        </w:rPr>
        <w:t> </w:t>
      </w:r>
      <w:r>
        <w:rPr>
          <w:sz w:val="20"/>
        </w:rPr>
        <w:t>of</w:t>
      </w:r>
      <w:r>
        <w:rPr>
          <w:spacing w:val="-6"/>
          <w:sz w:val="20"/>
        </w:rPr>
        <w:t> </w:t>
      </w:r>
      <w:r>
        <w:rPr>
          <w:sz w:val="20"/>
        </w:rPr>
        <w:t>a</w:t>
      </w:r>
      <w:r>
        <w:rPr>
          <w:spacing w:val="-7"/>
          <w:sz w:val="20"/>
        </w:rPr>
        <w:t> </w:t>
      </w:r>
      <w:r>
        <w:rPr>
          <w:sz w:val="20"/>
        </w:rPr>
        <w:t>panel</w:t>
      </w:r>
      <w:r>
        <w:rPr>
          <w:spacing w:val="-7"/>
          <w:sz w:val="20"/>
        </w:rPr>
        <w:t> </w:t>
      </w:r>
      <w:r>
        <w:rPr>
          <w:sz w:val="20"/>
        </w:rPr>
        <w:t>(see further discussion </w:t>
      </w:r>
      <w:r>
        <w:rPr>
          <w:spacing w:val="-4"/>
          <w:sz w:val="20"/>
        </w:rPr>
        <w:t>below), </w:t>
      </w:r>
      <w:r>
        <w:rPr>
          <w:sz w:val="20"/>
        </w:rPr>
        <w:t>they can </w:t>
      </w:r>
      <w:r>
        <w:rPr>
          <w:spacing w:val="-3"/>
          <w:sz w:val="20"/>
        </w:rPr>
        <w:t>apply </w:t>
      </w:r>
      <w:r>
        <w:rPr>
          <w:sz w:val="20"/>
        </w:rPr>
        <w:t>to be </w:t>
      </w:r>
      <w:r>
        <w:rPr>
          <w:spacing w:val="-3"/>
          <w:sz w:val="20"/>
        </w:rPr>
        <w:t>excused </w:t>
      </w:r>
      <w:r>
        <w:rPr>
          <w:sz w:val="20"/>
        </w:rPr>
        <w:t>or to defer their service.</w:t>
      </w:r>
      <w:r>
        <w:rPr>
          <w:position w:val="7"/>
          <w:sz w:val="11"/>
        </w:rPr>
        <w:t>31 </w:t>
      </w:r>
      <w:r>
        <w:rPr>
          <w:sz w:val="20"/>
        </w:rPr>
        <w:t>The </w:t>
      </w:r>
      <w:r>
        <w:rPr>
          <w:spacing w:val="-2"/>
          <w:sz w:val="20"/>
        </w:rPr>
        <w:t>Act </w:t>
      </w:r>
      <w:r>
        <w:rPr>
          <w:sz w:val="20"/>
        </w:rPr>
        <w:t>also </w:t>
      </w:r>
      <w:r>
        <w:rPr>
          <w:spacing w:val="-3"/>
          <w:sz w:val="20"/>
        </w:rPr>
        <w:t>gives </w:t>
      </w:r>
      <w:r>
        <w:rPr>
          <w:sz w:val="20"/>
        </w:rPr>
        <w:t>the Juries Commissioner and the court the </w:t>
      </w:r>
      <w:r>
        <w:rPr>
          <w:spacing w:val="-3"/>
          <w:sz w:val="20"/>
        </w:rPr>
        <w:t>power </w:t>
      </w:r>
      <w:r>
        <w:rPr>
          <w:sz w:val="20"/>
        </w:rPr>
        <w:t>to </w:t>
      </w:r>
      <w:r>
        <w:rPr>
          <w:spacing w:val="-3"/>
          <w:sz w:val="20"/>
        </w:rPr>
        <w:t>excuse </w:t>
      </w:r>
      <w:r>
        <w:rPr>
          <w:sz w:val="20"/>
        </w:rPr>
        <w:t>potential jurors.</w:t>
      </w:r>
      <w:r>
        <w:rPr>
          <w:position w:val="7"/>
          <w:sz w:val="11"/>
        </w:rPr>
        <w:t>32 </w:t>
      </w:r>
      <w:r>
        <w:rPr>
          <w:spacing w:val="-6"/>
          <w:sz w:val="20"/>
        </w:rPr>
        <w:t>We </w:t>
      </w:r>
      <w:r>
        <w:rPr>
          <w:sz w:val="20"/>
        </w:rPr>
        <w:t>discuss </w:t>
      </w:r>
      <w:r>
        <w:rPr>
          <w:spacing w:val="-3"/>
          <w:sz w:val="20"/>
        </w:rPr>
        <w:t>excuse </w:t>
      </w:r>
      <w:r>
        <w:rPr>
          <w:sz w:val="20"/>
        </w:rPr>
        <w:t>further in </w:t>
      </w:r>
      <w:r>
        <w:rPr>
          <w:spacing w:val="-2"/>
          <w:sz w:val="20"/>
        </w:rPr>
        <w:t>Chapter</w:t>
      </w:r>
      <w:r>
        <w:rPr>
          <w:spacing w:val="-24"/>
          <w:sz w:val="20"/>
        </w:rPr>
        <w:t> </w:t>
      </w:r>
      <w:r>
        <w:rPr>
          <w:sz w:val="20"/>
        </w:rPr>
        <w:t>16.</w:t>
      </w:r>
    </w:p>
    <w:p>
      <w:pPr>
        <w:pStyle w:val="ListParagraph"/>
        <w:numPr>
          <w:ilvl w:val="1"/>
          <w:numId w:val="12"/>
        </w:numPr>
        <w:tabs>
          <w:tab w:pos="1761" w:val="left" w:leader="none"/>
          <w:tab w:pos="1762" w:val="left" w:leader="none"/>
        </w:tabs>
        <w:spacing w:line="259" w:lineRule="exact" w:before="93" w:after="0"/>
        <w:ind w:left="1761" w:right="0" w:hanging="794"/>
        <w:jc w:val="left"/>
        <w:rPr>
          <w:sz w:val="20"/>
        </w:rPr>
      </w:pPr>
      <w:r>
        <w:rPr>
          <w:spacing w:val="-2"/>
          <w:sz w:val="20"/>
        </w:rPr>
        <w:t>Potential</w:t>
      </w:r>
      <w:r>
        <w:rPr>
          <w:spacing w:val="-6"/>
          <w:sz w:val="20"/>
        </w:rPr>
        <w:t> </w:t>
      </w:r>
      <w:r>
        <w:rPr>
          <w:sz w:val="20"/>
        </w:rPr>
        <w:t>jurors</w:t>
      </w:r>
      <w:r>
        <w:rPr>
          <w:spacing w:val="-5"/>
          <w:sz w:val="20"/>
        </w:rPr>
        <w:t> </w:t>
      </w:r>
      <w:r>
        <w:rPr>
          <w:sz w:val="20"/>
        </w:rPr>
        <w:t>who</w:t>
      </w:r>
      <w:r>
        <w:rPr>
          <w:spacing w:val="-6"/>
          <w:sz w:val="20"/>
        </w:rPr>
        <w:t> </w:t>
      </w:r>
      <w:r>
        <w:rPr>
          <w:spacing w:val="-4"/>
          <w:sz w:val="20"/>
        </w:rPr>
        <w:t>have</w:t>
      </w:r>
      <w:r>
        <w:rPr>
          <w:spacing w:val="-5"/>
          <w:sz w:val="20"/>
        </w:rPr>
        <w:t> </w:t>
      </w:r>
      <w:r>
        <w:rPr>
          <w:sz w:val="20"/>
        </w:rPr>
        <w:t>not</w:t>
      </w:r>
      <w:r>
        <w:rPr>
          <w:spacing w:val="-6"/>
          <w:sz w:val="20"/>
        </w:rPr>
        <w:t> </w:t>
      </w:r>
      <w:r>
        <w:rPr>
          <w:sz w:val="20"/>
        </w:rPr>
        <w:t>applied</w:t>
      </w:r>
      <w:r>
        <w:rPr>
          <w:spacing w:val="-5"/>
          <w:sz w:val="20"/>
        </w:rPr>
        <w:t> </w:t>
      </w:r>
      <w:r>
        <w:rPr>
          <w:sz w:val="20"/>
        </w:rPr>
        <w:t>for</w:t>
      </w:r>
      <w:r>
        <w:rPr>
          <w:spacing w:val="-6"/>
          <w:sz w:val="20"/>
        </w:rPr>
        <w:t> </w:t>
      </w:r>
      <w:r>
        <w:rPr>
          <w:sz w:val="20"/>
        </w:rPr>
        <w:t>or</w:t>
      </w:r>
      <w:r>
        <w:rPr>
          <w:spacing w:val="-5"/>
          <w:sz w:val="20"/>
        </w:rPr>
        <w:t> </w:t>
      </w:r>
      <w:r>
        <w:rPr>
          <w:sz w:val="20"/>
        </w:rPr>
        <w:t>been</w:t>
      </w:r>
      <w:r>
        <w:rPr>
          <w:spacing w:val="-6"/>
          <w:sz w:val="20"/>
        </w:rPr>
        <w:t> </w:t>
      </w:r>
      <w:r>
        <w:rPr>
          <w:sz w:val="20"/>
        </w:rPr>
        <w:t>granted</w:t>
      </w:r>
      <w:r>
        <w:rPr>
          <w:spacing w:val="-5"/>
          <w:sz w:val="20"/>
        </w:rPr>
        <w:t> </w:t>
      </w:r>
      <w:r>
        <w:rPr>
          <w:sz w:val="20"/>
        </w:rPr>
        <w:t>an</w:t>
      </w:r>
      <w:r>
        <w:rPr>
          <w:spacing w:val="-6"/>
          <w:sz w:val="20"/>
        </w:rPr>
        <w:t> </w:t>
      </w:r>
      <w:r>
        <w:rPr>
          <w:spacing w:val="-3"/>
          <w:sz w:val="20"/>
        </w:rPr>
        <w:t>excusal</w:t>
      </w:r>
      <w:r>
        <w:rPr>
          <w:spacing w:val="-5"/>
          <w:sz w:val="20"/>
        </w:rPr>
        <w:t> </w:t>
      </w:r>
      <w:r>
        <w:rPr>
          <w:sz w:val="20"/>
        </w:rPr>
        <w:t>or</w:t>
      </w:r>
      <w:r>
        <w:rPr>
          <w:spacing w:val="-6"/>
          <w:sz w:val="20"/>
        </w:rPr>
        <w:t> </w:t>
      </w:r>
      <w:r>
        <w:rPr>
          <w:sz w:val="20"/>
        </w:rPr>
        <w:t>deferral</w:t>
      </w:r>
      <w:r>
        <w:rPr>
          <w:spacing w:val="-5"/>
          <w:sz w:val="20"/>
        </w:rPr>
        <w:t> </w:t>
      </w:r>
      <w:r>
        <w:rPr>
          <w:sz w:val="20"/>
        </w:rPr>
        <w:t>must</w:t>
      </w:r>
    </w:p>
    <w:p>
      <w:pPr>
        <w:pStyle w:val="BodyText"/>
        <w:spacing w:line="259" w:lineRule="exact"/>
        <w:ind w:left="1761"/>
      </w:pPr>
      <w:r>
        <w:rPr/>
        <w:t>confirm that they will attend court.</w:t>
      </w:r>
    </w:p>
    <w:p>
      <w:pPr>
        <w:spacing w:before="153"/>
        <w:ind w:left="967" w:right="0" w:firstLine="0"/>
        <w:jc w:val="left"/>
        <w:rPr>
          <w:b/>
          <w:sz w:val="24"/>
        </w:rPr>
      </w:pPr>
      <w:r>
        <w:rPr>
          <w:b/>
          <w:sz w:val="24"/>
        </w:rPr>
        <w:t>The jury pool</w:t>
      </w:r>
    </w:p>
    <w:p>
      <w:pPr>
        <w:pStyle w:val="ListParagraph"/>
        <w:numPr>
          <w:ilvl w:val="1"/>
          <w:numId w:val="12"/>
        </w:numPr>
        <w:tabs>
          <w:tab w:pos="1761" w:val="left" w:leader="none"/>
          <w:tab w:pos="1762" w:val="left" w:leader="none"/>
        </w:tabs>
        <w:spacing w:line="206" w:lineRule="auto" w:before="127" w:after="0"/>
        <w:ind w:left="1761" w:right="1233" w:hanging="794"/>
        <w:jc w:val="left"/>
        <w:rPr>
          <w:sz w:val="11"/>
        </w:rPr>
      </w:pPr>
      <w:r>
        <w:rPr>
          <w:spacing w:val="-2"/>
          <w:sz w:val="20"/>
        </w:rPr>
        <w:t>Potential </w:t>
      </w:r>
      <w:r>
        <w:rPr>
          <w:sz w:val="20"/>
        </w:rPr>
        <w:t>jurors </w:t>
      </w:r>
      <w:r>
        <w:rPr>
          <w:spacing w:val="-3"/>
          <w:sz w:val="20"/>
        </w:rPr>
        <w:t>are required </w:t>
      </w:r>
      <w:r>
        <w:rPr>
          <w:sz w:val="20"/>
        </w:rPr>
        <w:t>to attend court and become part of a large group known as the ‘ jury pool’.</w:t>
      </w:r>
      <w:r>
        <w:rPr>
          <w:position w:val="7"/>
          <w:sz w:val="11"/>
        </w:rPr>
        <w:t>33 </w:t>
      </w:r>
      <w:r>
        <w:rPr>
          <w:sz w:val="20"/>
        </w:rPr>
        <w:t>People who attend court on </w:t>
      </w:r>
      <w:r>
        <w:rPr>
          <w:spacing w:val="-3"/>
          <w:sz w:val="20"/>
        </w:rPr>
        <w:t>any given day make </w:t>
      </w:r>
      <w:r>
        <w:rPr>
          <w:sz w:val="20"/>
        </w:rPr>
        <w:t>up the pool </w:t>
      </w:r>
      <w:r>
        <w:rPr>
          <w:spacing w:val="-3"/>
          <w:sz w:val="20"/>
        </w:rPr>
        <w:t>from </w:t>
      </w:r>
      <w:r>
        <w:rPr>
          <w:sz w:val="20"/>
        </w:rPr>
        <w:t>which</w:t>
      </w:r>
      <w:r>
        <w:rPr>
          <w:spacing w:val="-12"/>
          <w:sz w:val="20"/>
        </w:rPr>
        <w:t> </w:t>
      </w:r>
      <w:r>
        <w:rPr>
          <w:sz w:val="20"/>
        </w:rPr>
        <w:t>‘panels’</w:t>
      </w:r>
      <w:r>
        <w:rPr>
          <w:spacing w:val="-11"/>
          <w:sz w:val="20"/>
        </w:rPr>
        <w:t> </w:t>
      </w:r>
      <w:r>
        <w:rPr>
          <w:sz w:val="20"/>
        </w:rPr>
        <w:t>for</w:t>
      </w:r>
      <w:r>
        <w:rPr>
          <w:spacing w:val="-12"/>
          <w:sz w:val="20"/>
        </w:rPr>
        <w:t> </w:t>
      </w:r>
      <w:r>
        <w:rPr>
          <w:sz w:val="20"/>
        </w:rPr>
        <w:t>individual</w:t>
      </w:r>
      <w:r>
        <w:rPr>
          <w:spacing w:val="-11"/>
          <w:sz w:val="20"/>
        </w:rPr>
        <w:t> </w:t>
      </w:r>
      <w:r>
        <w:rPr>
          <w:sz w:val="20"/>
        </w:rPr>
        <w:t>trials</w:t>
      </w:r>
      <w:r>
        <w:rPr>
          <w:spacing w:val="-11"/>
          <w:sz w:val="20"/>
        </w:rPr>
        <w:t> </w:t>
      </w:r>
      <w:r>
        <w:rPr>
          <w:spacing w:val="-3"/>
          <w:sz w:val="20"/>
        </w:rPr>
        <w:t>are</w:t>
      </w:r>
      <w:r>
        <w:rPr>
          <w:spacing w:val="-12"/>
          <w:sz w:val="20"/>
        </w:rPr>
        <w:t> </w:t>
      </w:r>
      <w:r>
        <w:rPr>
          <w:sz w:val="20"/>
        </w:rPr>
        <w:t>balloted.</w:t>
      </w:r>
      <w:r>
        <w:rPr>
          <w:spacing w:val="-11"/>
          <w:sz w:val="20"/>
        </w:rPr>
        <w:t> </w:t>
      </w:r>
      <w:r>
        <w:rPr>
          <w:sz w:val="20"/>
        </w:rPr>
        <w:t>Juries</w:t>
      </w:r>
      <w:r>
        <w:rPr>
          <w:spacing w:val="-12"/>
          <w:sz w:val="20"/>
        </w:rPr>
        <w:t> </w:t>
      </w:r>
      <w:r>
        <w:rPr>
          <w:sz w:val="20"/>
        </w:rPr>
        <w:t>Victoria</w:t>
      </w:r>
      <w:r>
        <w:rPr>
          <w:spacing w:val="-11"/>
          <w:sz w:val="20"/>
        </w:rPr>
        <w:t> </w:t>
      </w:r>
      <w:r>
        <w:rPr>
          <w:sz w:val="20"/>
        </w:rPr>
        <w:t>does</w:t>
      </w:r>
      <w:r>
        <w:rPr>
          <w:spacing w:val="-11"/>
          <w:sz w:val="20"/>
        </w:rPr>
        <w:t> </w:t>
      </w:r>
      <w:r>
        <w:rPr>
          <w:sz w:val="20"/>
        </w:rPr>
        <w:t>not</w:t>
      </w:r>
      <w:r>
        <w:rPr>
          <w:spacing w:val="-12"/>
          <w:sz w:val="20"/>
        </w:rPr>
        <w:t> </w:t>
      </w:r>
      <w:r>
        <w:rPr>
          <w:sz w:val="20"/>
        </w:rPr>
        <w:t>summons</w:t>
      </w:r>
      <w:r>
        <w:rPr>
          <w:spacing w:val="-11"/>
          <w:sz w:val="20"/>
        </w:rPr>
        <w:t> </w:t>
      </w:r>
      <w:r>
        <w:rPr>
          <w:sz w:val="20"/>
        </w:rPr>
        <w:t>on</w:t>
      </w:r>
      <w:r>
        <w:rPr>
          <w:spacing w:val="-12"/>
          <w:sz w:val="20"/>
        </w:rPr>
        <w:t> </w:t>
      </w:r>
      <w:r>
        <w:rPr>
          <w:sz w:val="20"/>
        </w:rPr>
        <w:t>the basis</w:t>
      </w:r>
      <w:r>
        <w:rPr>
          <w:spacing w:val="-7"/>
          <w:sz w:val="20"/>
        </w:rPr>
        <w:t> </w:t>
      </w:r>
      <w:r>
        <w:rPr>
          <w:sz w:val="20"/>
        </w:rPr>
        <w:t>of</w:t>
      </w:r>
      <w:r>
        <w:rPr>
          <w:spacing w:val="-7"/>
          <w:sz w:val="20"/>
        </w:rPr>
        <w:t> </w:t>
      </w:r>
      <w:r>
        <w:rPr>
          <w:sz w:val="20"/>
        </w:rPr>
        <w:t>individual</w:t>
      </w:r>
      <w:r>
        <w:rPr>
          <w:spacing w:val="-6"/>
          <w:sz w:val="20"/>
        </w:rPr>
        <w:t> </w:t>
      </w:r>
      <w:r>
        <w:rPr>
          <w:sz w:val="20"/>
        </w:rPr>
        <w:t>court</w:t>
      </w:r>
      <w:r>
        <w:rPr>
          <w:spacing w:val="-7"/>
          <w:sz w:val="20"/>
        </w:rPr>
        <w:t> </w:t>
      </w:r>
      <w:r>
        <w:rPr>
          <w:sz w:val="20"/>
        </w:rPr>
        <w:t>needs</w:t>
      </w:r>
      <w:r>
        <w:rPr>
          <w:spacing w:val="-6"/>
          <w:sz w:val="20"/>
        </w:rPr>
        <w:t> </w:t>
      </w:r>
      <w:r>
        <w:rPr>
          <w:sz w:val="20"/>
        </w:rPr>
        <w:t>but</w:t>
      </w:r>
      <w:r>
        <w:rPr>
          <w:spacing w:val="-7"/>
          <w:sz w:val="20"/>
        </w:rPr>
        <w:t> </w:t>
      </w:r>
      <w:r>
        <w:rPr>
          <w:sz w:val="20"/>
        </w:rPr>
        <w:t>based</w:t>
      </w:r>
      <w:r>
        <w:rPr>
          <w:spacing w:val="-7"/>
          <w:sz w:val="20"/>
        </w:rPr>
        <w:t> </w:t>
      </w:r>
      <w:r>
        <w:rPr>
          <w:sz w:val="20"/>
        </w:rPr>
        <w:t>on</w:t>
      </w:r>
      <w:r>
        <w:rPr>
          <w:spacing w:val="-6"/>
          <w:sz w:val="20"/>
        </w:rPr>
        <w:t> </w:t>
      </w:r>
      <w:r>
        <w:rPr>
          <w:sz w:val="20"/>
        </w:rPr>
        <w:t>the</w:t>
      </w:r>
      <w:r>
        <w:rPr>
          <w:spacing w:val="-7"/>
          <w:sz w:val="20"/>
        </w:rPr>
        <w:t> </w:t>
      </w:r>
      <w:r>
        <w:rPr>
          <w:sz w:val="20"/>
        </w:rPr>
        <w:t>collective</w:t>
      </w:r>
      <w:r>
        <w:rPr>
          <w:spacing w:val="-6"/>
          <w:sz w:val="20"/>
        </w:rPr>
        <w:t> </w:t>
      </w:r>
      <w:r>
        <w:rPr>
          <w:sz w:val="20"/>
        </w:rPr>
        <w:t>needs</w:t>
      </w:r>
      <w:r>
        <w:rPr>
          <w:spacing w:val="-7"/>
          <w:sz w:val="20"/>
        </w:rPr>
        <w:t> </w:t>
      </w:r>
      <w:r>
        <w:rPr>
          <w:sz w:val="20"/>
        </w:rPr>
        <w:t>of</w:t>
      </w:r>
      <w:r>
        <w:rPr>
          <w:spacing w:val="-6"/>
          <w:sz w:val="20"/>
        </w:rPr>
        <w:t> </w:t>
      </w:r>
      <w:r>
        <w:rPr>
          <w:sz w:val="20"/>
        </w:rPr>
        <w:t>both</w:t>
      </w:r>
      <w:r>
        <w:rPr>
          <w:spacing w:val="-7"/>
          <w:sz w:val="20"/>
        </w:rPr>
        <w:t> </w:t>
      </w:r>
      <w:r>
        <w:rPr>
          <w:sz w:val="20"/>
        </w:rPr>
        <w:t>courts.</w:t>
      </w:r>
      <w:r>
        <w:rPr>
          <w:position w:val="7"/>
          <w:sz w:val="11"/>
        </w:rPr>
        <w:t>34</w:t>
      </w:r>
    </w:p>
    <w:p>
      <w:pPr>
        <w:pStyle w:val="ListParagraph"/>
        <w:numPr>
          <w:ilvl w:val="1"/>
          <w:numId w:val="12"/>
        </w:numPr>
        <w:tabs>
          <w:tab w:pos="1761" w:val="left" w:leader="none"/>
          <w:tab w:pos="1762" w:val="left" w:leader="none"/>
        </w:tabs>
        <w:spacing w:line="206" w:lineRule="auto" w:before="125" w:after="0"/>
        <w:ind w:left="1761" w:right="1544" w:hanging="794"/>
        <w:jc w:val="left"/>
        <w:rPr>
          <w:sz w:val="20"/>
        </w:rPr>
      </w:pPr>
      <w:r>
        <w:rPr>
          <w:sz w:val="20"/>
        </w:rPr>
        <w:t>In</w:t>
      </w:r>
      <w:r>
        <w:rPr>
          <w:spacing w:val="-12"/>
          <w:sz w:val="20"/>
        </w:rPr>
        <w:t> </w:t>
      </w:r>
      <w:r>
        <w:rPr>
          <w:sz w:val="20"/>
        </w:rPr>
        <w:t>Melbourne,</w:t>
      </w:r>
      <w:r>
        <w:rPr>
          <w:spacing w:val="-12"/>
          <w:sz w:val="20"/>
        </w:rPr>
        <w:t> </w:t>
      </w:r>
      <w:r>
        <w:rPr>
          <w:sz w:val="20"/>
        </w:rPr>
        <w:t>according</w:t>
      </w:r>
      <w:r>
        <w:rPr>
          <w:spacing w:val="-12"/>
          <w:sz w:val="20"/>
        </w:rPr>
        <w:t> </w:t>
      </w:r>
      <w:r>
        <w:rPr>
          <w:sz w:val="20"/>
        </w:rPr>
        <w:t>to</w:t>
      </w:r>
      <w:r>
        <w:rPr>
          <w:spacing w:val="-12"/>
          <w:sz w:val="20"/>
        </w:rPr>
        <w:t> </w:t>
      </w:r>
      <w:r>
        <w:rPr>
          <w:sz w:val="20"/>
        </w:rPr>
        <w:t>Juries</w:t>
      </w:r>
      <w:r>
        <w:rPr>
          <w:spacing w:val="-12"/>
          <w:sz w:val="20"/>
        </w:rPr>
        <w:t> </w:t>
      </w:r>
      <w:r>
        <w:rPr>
          <w:sz w:val="20"/>
        </w:rPr>
        <w:t>Victoria,</w:t>
      </w:r>
      <w:r>
        <w:rPr>
          <w:spacing w:val="-12"/>
          <w:sz w:val="20"/>
        </w:rPr>
        <w:t> </w:t>
      </w:r>
      <w:r>
        <w:rPr>
          <w:spacing w:val="-7"/>
          <w:sz w:val="20"/>
        </w:rPr>
        <w:t>‘400</w:t>
      </w:r>
      <w:r>
        <w:rPr>
          <w:spacing w:val="-12"/>
          <w:sz w:val="20"/>
        </w:rPr>
        <w:t> </w:t>
      </w:r>
      <w:r>
        <w:rPr>
          <w:sz w:val="20"/>
        </w:rPr>
        <w:t>people</w:t>
      </w:r>
      <w:r>
        <w:rPr>
          <w:spacing w:val="-12"/>
          <w:sz w:val="20"/>
        </w:rPr>
        <w:t> </w:t>
      </w:r>
      <w:r>
        <w:rPr>
          <w:spacing w:val="-3"/>
          <w:sz w:val="20"/>
        </w:rPr>
        <w:t>are</w:t>
      </w:r>
      <w:r>
        <w:rPr>
          <w:spacing w:val="-12"/>
          <w:sz w:val="20"/>
        </w:rPr>
        <w:t> </w:t>
      </w:r>
      <w:r>
        <w:rPr>
          <w:sz w:val="20"/>
        </w:rPr>
        <w:t>summonsed</w:t>
      </w:r>
      <w:r>
        <w:rPr>
          <w:spacing w:val="-12"/>
          <w:sz w:val="20"/>
        </w:rPr>
        <w:t> </w:t>
      </w:r>
      <w:r>
        <w:rPr>
          <w:sz w:val="20"/>
        </w:rPr>
        <w:t>to</w:t>
      </w:r>
      <w:r>
        <w:rPr>
          <w:spacing w:val="-12"/>
          <w:sz w:val="20"/>
        </w:rPr>
        <w:t> </w:t>
      </w:r>
      <w:r>
        <w:rPr>
          <w:sz w:val="20"/>
        </w:rPr>
        <w:t>attend</w:t>
      </w:r>
      <w:r>
        <w:rPr>
          <w:spacing w:val="-12"/>
          <w:sz w:val="20"/>
        </w:rPr>
        <w:t> </w:t>
      </w:r>
      <w:r>
        <w:rPr>
          <w:sz w:val="20"/>
        </w:rPr>
        <w:t>on a</w:t>
      </w:r>
      <w:r>
        <w:rPr>
          <w:spacing w:val="-6"/>
          <w:sz w:val="20"/>
        </w:rPr>
        <w:t> </w:t>
      </w:r>
      <w:r>
        <w:rPr>
          <w:sz w:val="20"/>
        </w:rPr>
        <w:t>Monday</w:t>
      </w:r>
      <w:r>
        <w:rPr>
          <w:spacing w:val="-5"/>
          <w:sz w:val="20"/>
        </w:rPr>
        <w:t> </w:t>
      </w:r>
      <w:r>
        <w:rPr>
          <w:sz w:val="20"/>
        </w:rPr>
        <w:t>to</w:t>
      </w:r>
      <w:r>
        <w:rPr>
          <w:spacing w:val="-5"/>
          <w:sz w:val="20"/>
        </w:rPr>
        <w:t> </w:t>
      </w:r>
      <w:r>
        <w:rPr>
          <w:spacing w:val="-4"/>
          <w:sz w:val="20"/>
        </w:rPr>
        <w:t>cover</w:t>
      </w:r>
      <w:r>
        <w:rPr>
          <w:spacing w:val="-6"/>
          <w:sz w:val="20"/>
        </w:rPr>
        <w:t> </w:t>
      </w:r>
      <w:r>
        <w:rPr>
          <w:sz w:val="20"/>
        </w:rPr>
        <w:t>trials</w:t>
      </w:r>
      <w:r>
        <w:rPr>
          <w:spacing w:val="-5"/>
          <w:sz w:val="20"/>
        </w:rPr>
        <w:t> </w:t>
      </w:r>
      <w:r>
        <w:rPr>
          <w:sz w:val="20"/>
        </w:rPr>
        <w:t>for</w:t>
      </w:r>
      <w:r>
        <w:rPr>
          <w:spacing w:val="-5"/>
          <w:sz w:val="20"/>
        </w:rPr>
        <w:t> </w:t>
      </w:r>
      <w:r>
        <w:rPr>
          <w:sz w:val="20"/>
        </w:rPr>
        <w:t>a</w:t>
      </w:r>
      <w:r>
        <w:rPr>
          <w:spacing w:val="-6"/>
          <w:sz w:val="20"/>
        </w:rPr>
        <w:t> </w:t>
      </w:r>
      <w:r>
        <w:rPr>
          <w:sz w:val="20"/>
        </w:rPr>
        <w:t>Monday</w:t>
      </w:r>
      <w:r>
        <w:rPr>
          <w:spacing w:val="-5"/>
          <w:sz w:val="20"/>
        </w:rPr>
        <w:t> </w:t>
      </w:r>
      <w:r>
        <w:rPr>
          <w:sz w:val="20"/>
        </w:rPr>
        <w:t>and</w:t>
      </w:r>
      <w:r>
        <w:rPr>
          <w:spacing w:val="-5"/>
          <w:sz w:val="20"/>
        </w:rPr>
        <w:t> </w:t>
      </w:r>
      <w:r>
        <w:rPr>
          <w:sz w:val="20"/>
        </w:rPr>
        <w:t>a</w:t>
      </w:r>
      <w:r>
        <w:rPr>
          <w:spacing w:val="-6"/>
          <w:sz w:val="20"/>
        </w:rPr>
        <w:t> </w:t>
      </w:r>
      <w:r>
        <w:rPr>
          <w:spacing w:val="-5"/>
          <w:sz w:val="20"/>
        </w:rPr>
        <w:t>Tuesday; </w:t>
      </w:r>
      <w:r>
        <w:rPr>
          <w:sz w:val="20"/>
        </w:rPr>
        <w:t>350</w:t>
      </w:r>
      <w:r>
        <w:rPr>
          <w:spacing w:val="-5"/>
          <w:sz w:val="20"/>
        </w:rPr>
        <w:t> </w:t>
      </w:r>
      <w:r>
        <w:rPr>
          <w:sz w:val="20"/>
        </w:rPr>
        <w:t>on</w:t>
      </w:r>
      <w:r>
        <w:rPr>
          <w:spacing w:val="-5"/>
          <w:sz w:val="20"/>
        </w:rPr>
        <w:t> </w:t>
      </w:r>
      <w:r>
        <w:rPr>
          <w:spacing w:val="-3"/>
          <w:sz w:val="20"/>
        </w:rPr>
        <w:t>Wednesday</w:t>
      </w:r>
      <w:r>
        <w:rPr>
          <w:spacing w:val="-6"/>
          <w:sz w:val="20"/>
        </w:rPr>
        <w:t> </w:t>
      </w:r>
      <w:r>
        <w:rPr>
          <w:sz w:val="20"/>
        </w:rPr>
        <w:t>to</w:t>
      </w:r>
      <w:r>
        <w:rPr>
          <w:spacing w:val="-5"/>
          <w:sz w:val="20"/>
        </w:rPr>
        <w:t> </w:t>
      </w:r>
      <w:r>
        <w:rPr>
          <w:spacing w:val="-4"/>
          <w:sz w:val="20"/>
        </w:rPr>
        <w:t>cover</w:t>
      </w:r>
    </w:p>
    <w:p>
      <w:pPr>
        <w:pStyle w:val="BodyText"/>
        <w:spacing w:line="206" w:lineRule="auto" w:before="3"/>
        <w:ind w:left="1761" w:right="1277"/>
        <w:rPr>
          <w:sz w:val="11"/>
        </w:rPr>
      </w:pPr>
      <w:r>
        <w:rPr>
          <w:spacing w:val="-3"/>
        </w:rPr>
        <w:t>Wednesday </w:t>
      </w:r>
      <w:r>
        <w:rPr/>
        <w:t>and </w:t>
      </w:r>
      <w:r>
        <w:rPr>
          <w:spacing w:val="-3"/>
        </w:rPr>
        <w:t>Thursday </w:t>
      </w:r>
      <w:r>
        <w:rPr/>
        <w:t>and 150 on a </w:t>
      </w:r>
      <w:r>
        <w:rPr>
          <w:spacing w:val="-4"/>
        </w:rPr>
        <w:t>Friday’.</w:t>
      </w:r>
      <w:r>
        <w:rPr>
          <w:spacing w:val="-4"/>
          <w:position w:val="7"/>
          <w:sz w:val="11"/>
        </w:rPr>
        <w:t>35 </w:t>
      </w:r>
      <w:r>
        <w:rPr/>
        <w:t>Jury pools </w:t>
      </w:r>
      <w:r>
        <w:rPr>
          <w:spacing w:val="-3"/>
        </w:rPr>
        <w:t>are </w:t>
      </w:r>
      <w:r>
        <w:rPr/>
        <w:t>smaller in each region or court </w:t>
      </w:r>
      <w:r>
        <w:rPr>
          <w:spacing w:val="-3"/>
        </w:rPr>
        <w:t>circuit </w:t>
      </w:r>
      <w:r>
        <w:rPr/>
        <w:t>location.</w:t>
      </w:r>
      <w:r>
        <w:rPr>
          <w:position w:val="7"/>
          <w:sz w:val="11"/>
        </w:rPr>
        <w:t>36 </w:t>
      </w:r>
      <w:r>
        <w:rPr/>
        <w:t>During the pandemic there </w:t>
      </w:r>
      <w:r>
        <w:rPr>
          <w:spacing w:val="-4"/>
        </w:rPr>
        <w:t>have </w:t>
      </w:r>
      <w:r>
        <w:rPr/>
        <w:t>been much smaller jury pools.</w:t>
      </w:r>
      <w:r>
        <w:rPr>
          <w:position w:val="7"/>
          <w:sz w:val="11"/>
        </w:rPr>
        <w:t>37</w:t>
      </w:r>
    </w:p>
    <w:p>
      <w:pPr>
        <w:pStyle w:val="ListParagraph"/>
        <w:numPr>
          <w:ilvl w:val="1"/>
          <w:numId w:val="12"/>
        </w:numPr>
        <w:tabs>
          <w:tab w:pos="1761" w:val="left" w:leader="none"/>
          <w:tab w:pos="1762" w:val="left" w:leader="none"/>
        </w:tabs>
        <w:spacing w:line="206" w:lineRule="auto" w:before="123" w:after="0"/>
        <w:ind w:left="1761" w:right="1396" w:hanging="794"/>
        <w:jc w:val="left"/>
        <w:rPr>
          <w:sz w:val="11"/>
        </w:rPr>
      </w:pPr>
      <w:r>
        <w:rPr>
          <w:sz w:val="20"/>
        </w:rPr>
        <w:t>In Melbourne, the jury pool assembles in the County Court building in the jury pool </w:t>
      </w:r>
      <w:r>
        <w:rPr>
          <w:spacing w:val="-4"/>
          <w:sz w:val="20"/>
        </w:rPr>
        <w:t>room/area. </w:t>
      </w:r>
      <w:r>
        <w:rPr>
          <w:sz w:val="20"/>
        </w:rPr>
        <w:t>The pool is </w:t>
      </w:r>
      <w:r>
        <w:rPr>
          <w:spacing w:val="-3"/>
          <w:sz w:val="20"/>
        </w:rPr>
        <w:t>available </w:t>
      </w:r>
      <w:r>
        <w:rPr>
          <w:sz w:val="20"/>
        </w:rPr>
        <w:t>for </w:t>
      </w:r>
      <w:r>
        <w:rPr>
          <w:spacing w:val="-3"/>
          <w:sz w:val="20"/>
        </w:rPr>
        <w:t>any </w:t>
      </w:r>
      <w:r>
        <w:rPr>
          <w:sz w:val="20"/>
        </w:rPr>
        <w:t>number of Supreme and County Court trials beginning on a given </w:t>
      </w:r>
      <w:r>
        <w:rPr>
          <w:spacing w:val="-4"/>
          <w:sz w:val="20"/>
        </w:rPr>
        <w:t>day.</w:t>
      </w:r>
      <w:r>
        <w:rPr>
          <w:spacing w:val="-4"/>
          <w:position w:val="7"/>
          <w:sz w:val="11"/>
        </w:rPr>
        <w:t>38 </w:t>
      </w:r>
      <w:r>
        <w:rPr>
          <w:sz w:val="20"/>
        </w:rPr>
        <w:t>The jury pool is given an orientation program </w:t>
      </w:r>
      <w:r>
        <w:rPr>
          <w:spacing w:val="-3"/>
          <w:sz w:val="20"/>
        </w:rPr>
        <w:t>by </w:t>
      </w:r>
      <w:r>
        <w:rPr>
          <w:sz w:val="20"/>
        </w:rPr>
        <w:t>Juries Victoria,</w:t>
      </w:r>
      <w:r>
        <w:rPr>
          <w:spacing w:val="-10"/>
          <w:sz w:val="20"/>
        </w:rPr>
        <w:t> </w:t>
      </w:r>
      <w:r>
        <w:rPr>
          <w:sz w:val="20"/>
        </w:rPr>
        <w:t>explaining</w:t>
      </w:r>
      <w:r>
        <w:rPr>
          <w:spacing w:val="-10"/>
          <w:sz w:val="20"/>
        </w:rPr>
        <w:t> </w:t>
      </w:r>
      <w:r>
        <w:rPr>
          <w:sz w:val="20"/>
        </w:rPr>
        <w:t>the</w:t>
      </w:r>
      <w:r>
        <w:rPr>
          <w:spacing w:val="-9"/>
          <w:sz w:val="20"/>
        </w:rPr>
        <w:t> </w:t>
      </w:r>
      <w:r>
        <w:rPr>
          <w:spacing w:val="-3"/>
          <w:sz w:val="20"/>
        </w:rPr>
        <w:t>role</w:t>
      </w:r>
      <w:r>
        <w:rPr>
          <w:spacing w:val="-10"/>
          <w:sz w:val="20"/>
        </w:rPr>
        <w:t> </w:t>
      </w:r>
      <w:r>
        <w:rPr>
          <w:sz w:val="20"/>
        </w:rPr>
        <w:t>of</w:t>
      </w:r>
      <w:r>
        <w:rPr>
          <w:spacing w:val="-9"/>
          <w:sz w:val="20"/>
        </w:rPr>
        <w:t> </w:t>
      </w:r>
      <w:r>
        <w:rPr>
          <w:sz w:val="20"/>
        </w:rPr>
        <w:t>a</w:t>
      </w:r>
      <w:r>
        <w:rPr>
          <w:spacing w:val="-10"/>
          <w:sz w:val="20"/>
        </w:rPr>
        <w:t> </w:t>
      </w:r>
      <w:r>
        <w:rPr>
          <w:spacing w:val="-4"/>
          <w:sz w:val="20"/>
        </w:rPr>
        <w:t>juror,</w:t>
      </w:r>
      <w:r>
        <w:rPr>
          <w:spacing w:val="-9"/>
          <w:sz w:val="20"/>
        </w:rPr>
        <w:t> </w:t>
      </w:r>
      <w:r>
        <w:rPr>
          <w:spacing w:val="-3"/>
          <w:sz w:val="20"/>
        </w:rPr>
        <w:t>rate</w:t>
      </w:r>
      <w:r>
        <w:rPr>
          <w:spacing w:val="-10"/>
          <w:sz w:val="20"/>
        </w:rPr>
        <w:t> </w:t>
      </w:r>
      <w:r>
        <w:rPr>
          <w:sz w:val="20"/>
        </w:rPr>
        <w:t>of</w:t>
      </w:r>
      <w:r>
        <w:rPr>
          <w:spacing w:val="-9"/>
          <w:sz w:val="20"/>
        </w:rPr>
        <w:t> </w:t>
      </w:r>
      <w:r>
        <w:rPr>
          <w:spacing w:val="-3"/>
          <w:sz w:val="20"/>
        </w:rPr>
        <w:t>pay</w:t>
      </w:r>
      <w:r>
        <w:rPr>
          <w:spacing w:val="-10"/>
          <w:sz w:val="20"/>
        </w:rPr>
        <w:t> </w:t>
      </w:r>
      <w:r>
        <w:rPr>
          <w:sz w:val="20"/>
        </w:rPr>
        <w:t>and</w:t>
      </w:r>
      <w:r>
        <w:rPr>
          <w:spacing w:val="-9"/>
          <w:sz w:val="20"/>
        </w:rPr>
        <w:t> </w:t>
      </w:r>
      <w:r>
        <w:rPr>
          <w:sz w:val="20"/>
        </w:rPr>
        <w:t>the</w:t>
      </w:r>
      <w:r>
        <w:rPr>
          <w:spacing w:val="-10"/>
          <w:sz w:val="20"/>
        </w:rPr>
        <w:t> </w:t>
      </w:r>
      <w:r>
        <w:rPr>
          <w:sz w:val="20"/>
        </w:rPr>
        <w:t>selection</w:t>
      </w:r>
      <w:r>
        <w:rPr>
          <w:spacing w:val="-9"/>
          <w:sz w:val="20"/>
        </w:rPr>
        <w:t> </w:t>
      </w:r>
      <w:r>
        <w:rPr>
          <w:sz w:val="20"/>
        </w:rPr>
        <w:t>process.</w:t>
      </w:r>
      <w:r>
        <w:rPr>
          <w:spacing w:val="-10"/>
          <w:sz w:val="20"/>
        </w:rPr>
        <w:t> </w:t>
      </w:r>
      <w:r>
        <w:rPr>
          <w:sz w:val="20"/>
        </w:rPr>
        <w:t>Questions about jury service </w:t>
      </w:r>
      <w:r>
        <w:rPr>
          <w:spacing w:val="-3"/>
          <w:sz w:val="20"/>
        </w:rPr>
        <w:t>are answered by </w:t>
      </w:r>
      <w:r>
        <w:rPr>
          <w:sz w:val="20"/>
        </w:rPr>
        <w:t>the pool supervisor and a short video is </w:t>
      </w:r>
      <w:r>
        <w:rPr>
          <w:spacing w:val="-3"/>
          <w:sz w:val="20"/>
        </w:rPr>
        <w:t>shown </w:t>
      </w:r>
      <w:r>
        <w:rPr>
          <w:sz w:val="20"/>
        </w:rPr>
        <w:t>about what to expect in</w:t>
      </w:r>
      <w:r>
        <w:rPr>
          <w:spacing w:val="-22"/>
          <w:sz w:val="20"/>
        </w:rPr>
        <w:t> </w:t>
      </w:r>
      <w:r>
        <w:rPr>
          <w:sz w:val="20"/>
        </w:rPr>
        <w:t>court.</w:t>
      </w:r>
      <w:r>
        <w:rPr>
          <w:position w:val="7"/>
          <w:sz w:val="11"/>
        </w:rPr>
        <w:t>39</w:t>
      </w:r>
    </w:p>
    <w:p>
      <w:pPr>
        <w:pStyle w:val="BodyText"/>
      </w:pPr>
    </w:p>
    <w:p>
      <w:pPr>
        <w:pStyle w:val="BodyText"/>
      </w:pPr>
    </w:p>
    <w:p>
      <w:pPr>
        <w:pStyle w:val="BodyText"/>
        <w:spacing w:before="5"/>
        <w:rPr>
          <w:sz w:val="10"/>
        </w:rPr>
      </w:pPr>
      <w:r>
        <w:rPr/>
        <w:pict>
          <v:line style="position:absolute;mso-position-horizontal-relative:page;mso-position-vertical-relative:paragraph;z-index:584;mso-wrap-distance-left:0;mso-wrap-distance-right:0" from="79.370003pt,9.6636pt" to="515.905003pt,9.6636pt" stroked="true" strokeweight="1pt" strokecolor="#b6bdc8">
            <v:stroke dashstyle="solid"/>
            <w10:wrap type="topAndBottom"/>
          </v:line>
        </w:pict>
      </w:r>
    </w:p>
    <w:p>
      <w:pPr>
        <w:pStyle w:val="ListParagraph"/>
        <w:numPr>
          <w:ilvl w:val="0"/>
          <w:numId w:val="17"/>
        </w:numPr>
        <w:tabs>
          <w:tab w:pos="1761" w:val="left" w:leader="none"/>
          <w:tab w:pos="1762" w:val="left" w:leader="none"/>
        </w:tabs>
        <w:spacing w:line="170" w:lineRule="exact" w:before="91" w:after="0"/>
        <w:ind w:left="1761" w:right="0" w:hanging="794"/>
        <w:jc w:val="left"/>
        <w:rPr>
          <w:sz w:val="13"/>
        </w:rPr>
      </w:pPr>
      <w:r>
        <w:rPr>
          <w:sz w:val="13"/>
        </w:rPr>
        <w:t>Ibid ss 8 and </w:t>
      </w:r>
      <w:r>
        <w:rPr>
          <w:spacing w:val="-4"/>
          <w:sz w:val="13"/>
        </w:rPr>
        <w:t>7,</w:t>
      </w:r>
      <w:r>
        <w:rPr>
          <w:sz w:val="13"/>
        </w:rPr>
        <w:t> respectively.</w:t>
      </w:r>
    </w:p>
    <w:p>
      <w:pPr>
        <w:pStyle w:val="ListParagraph"/>
        <w:numPr>
          <w:ilvl w:val="0"/>
          <w:numId w:val="17"/>
        </w:numPr>
        <w:tabs>
          <w:tab w:pos="1761" w:val="left" w:leader="none"/>
          <w:tab w:pos="1762" w:val="left" w:leader="none"/>
        </w:tabs>
        <w:spacing w:line="160" w:lineRule="exact" w:before="0" w:after="0"/>
        <w:ind w:left="1761" w:right="0" w:hanging="794"/>
        <w:jc w:val="left"/>
        <w:rPr>
          <w:sz w:val="13"/>
        </w:rPr>
      </w:pPr>
      <w:r>
        <w:rPr>
          <w:sz w:val="13"/>
        </w:rPr>
        <w:t>Information provided by Juries Victoria to Victorian Law Reform </w:t>
      </w:r>
      <w:r>
        <w:rPr>
          <w:spacing w:val="2"/>
          <w:sz w:val="13"/>
        </w:rPr>
        <w:t>Commission, </w:t>
      </w:r>
      <w:r>
        <w:rPr>
          <w:sz w:val="13"/>
        </w:rPr>
        <w:t>6 October</w:t>
      </w:r>
      <w:r>
        <w:rPr>
          <w:spacing w:val="9"/>
          <w:sz w:val="13"/>
        </w:rPr>
        <w:t> </w:t>
      </w:r>
      <w:r>
        <w:rPr>
          <w:sz w:val="13"/>
        </w:rPr>
        <w:t>2020.</w:t>
      </w:r>
    </w:p>
    <w:p>
      <w:pPr>
        <w:pStyle w:val="ListParagraph"/>
        <w:numPr>
          <w:ilvl w:val="0"/>
          <w:numId w:val="17"/>
        </w:numPr>
        <w:tabs>
          <w:tab w:pos="1761" w:val="left" w:leader="none"/>
          <w:tab w:pos="1762" w:val="left" w:leader="none"/>
        </w:tabs>
        <w:spacing w:line="160" w:lineRule="exact" w:before="0" w:after="0"/>
        <w:ind w:left="1761" w:right="0" w:hanging="794"/>
        <w:jc w:val="left"/>
        <w:rPr>
          <w:sz w:val="13"/>
        </w:rPr>
      </w:pPr>
      <w:r>
        <w:rPr>
          <w:i/>
          <w:sz w:val="13"/>
        </w:rPr>
        <w:t>Juries Act 2000 </w:t>
      </w:r>
      <w:r>
        <w:rPr>
          <w:spacing w:val="2"/>
          <w:sz w:val="13"/>
        </w:rPr>
        <w:t>(Vic) </w:t>
      </w:r>
      <w:r>
        <w:rPr>
          <w:sz w:val="13"/>
        </w:rPr>
        <w:t>sch</w:t>
      </w:r>
      <w:r>
        <w:rPr>
          <w:spacing w:val="-2"/>
          <w:sz w:val="13"/>
        </w:rPr>
        <w:t> </w:t>
      </w:r>
      <w:r>
        <w:rPr>
          <w:spacing w:val="3"/>
          <w:sz w:val="13"/>
        </w:rPr>
        <w:t>1.</w:t>
      </w:r>
    </w:p>
    <w:p>
      <w:pPr>
        <w:pStyle w:val="ListParagraph"/>
        <w:numPr>
          <w:ilvl w:val="0"/>
          <w:numId w:val="17"/>
        </w:numPr>
        <w:tabs>
          <w:tab w:pos="1760" w:val="left" w:leader="none"/>
          <w:tab w:pos="1762" w:val="left" w:leader="none"/>
        </w:tabs>
        <w:spacing w:line="160" w:lineRule="exact" w:before="0" w:after="0"/>
        <w:ind w:left="1761" w:right="0" w:hanging="794"/>
        <w:jc w:val="left"/>
        <w:rPr>
          <w:sz w:val="13"/>
        </w:rPr>
      </w:pPr>
      <w:r>
        <w:rPr>
          <w:sz w:val="13"/>
        </w:rPr>
        <w:t>Ibid s 27. See </w:t>
      </w:r>
      <w:r>
        <w:rPr>
          <w:spacing w:val="2"/>
          <w:sz w:val="13"/>
        </w:rPr>
        <w:t>also Department </w:t>
      </w:r>
      <w:r>
        <w:rPr>
          <w:sz w:val="13"/>
        </w:rPr>
        <w:t>of Justice and </w:t>
      </w:r>
      <w:r>
        <w:rPr>
          <w:spacing w:val="2"/>
          <w:sz w:val="13"/>
        </w:rPr>
        <w:t>Community </w:t>
      </w:r>
      <w:r>
        <w:rPr>
          <w:sz w:val="13"/>
        </w:rPr>
        <w:t>Safety (Vic), </w:t>
      </w:r>
      <w:r>
        <w:rPr>
          <w:spacing w:val="2"/>
          <w:sz w:val="13"/>
        </w:rPr>
        <w:t>‘What </w:t>
      </w:r>
      <w:r>
        <w:rPr>
          <w:sz w:val="13"/>
        </w:rPr>
        <w:t>Is </w:t>
      </w:r>
      <w:r>
        <w:rPr>
          <w:spacing w:val="2"/>
          <w:sz w:val="13"/>
        </w:rPr>
        <w:t>Jury </w:t>
      </w:r>
      <w:r>
        <w:rPr>
          <w:sz w:val="13"/>
        </w:rPr>
        <w:t>Service?’, </w:t>
      </w:r>
      <w:r>
        <w:rPr>
          <w:i/>
          <w:sz w:val="13"/>
        </w:rPr>
        <w:t>Juries Victoria </w:t>
      </w:r>
      <w:r>
        <w:rPr>
          <w:sz w:val="13"/>
        </w:rPr>
        <w:t>(Web Page,</w:t>
      </w:r>
      <w:r>
        <w:rPr>
          <w:spacing w:val="27"/>
          <w:sz w:val="13"/>
        </w:rPr>
        <w:t> </w:t>
      </w:r>
      <w:r>
        <w:rPr>
          <w:sz w:val="13"/>
        </w:rPr>
        <w:t>2021)</w:t>
      </w:r>
    </w:p>
    <w:p>
      <w:pPr>
        <w:spacing w:line="160" w:lineRule="exact" w:before="0"/>
        <w:ind w:left="1761" w:right="0" w:firstLine="0"/>
        <w:jc w:val="left"/>
        <w:rPr>
          <w:sz w:val="13"/>
        </w:rPr>
      </w:pPr>
      <w:r>
        <w:rPr>
          <w:sz w:val="13"/>
        </w:rPr>
        <w:t>&lt;</w:t>
      </w:r>
      <w:hyperlink r:id="rId43">
        <w:r>
          <w:rPr>
            <w:sz w:val="13"/>
          </w:rPr>
          <w:t>https://www.juriesvictoria.vic.gov.au/about-juries-victoria/what-is-jury-service</w:t>
        </w:r>
      </w:hyperlink>
      <w:r>
        <w:rPr>
          <w:sz w:val="13"/>
        </w:rPr>
        <w:t>&gt;.</w:t>
      </w:r>
    </w:p>
    <w:p>
      <w:pPr>
        <w:pStyle w:val="ListParagraph"/>
        <w:numPr>
          <w:ilvl w:val="0"/>
          <w:numId w:val="17"/>
        </w:numPr>
        <w:tabs>
          <w:tab w:pos="1761" w:val="left" w:leader="none"/>
          <w:tab w:pos="1762" w:val="left" w:leader="none"/>
        </w:tabs>
        <w:spacing w:line="160" w:lineRule="exact" w:before="0" w:after="0"/>
        <w:ind w:left="1761" w:right="0" w:hanging="794"/>
        <w:jc w:val="left"/>
        <w:rPr>
          <w:sz w:val="13"/>
        </w:rPr>
      </w:pPr>
      <w:r>
        <w:rPr>
          <w:sz w:val="13"/>
        </w:rPr>
        <w:t>Information provided by Juries Victoria to Victorian Law Reform </w:t>
      </w:r>
      <w:r>
        <w:rPr>
          <w:spacing w:val="2"/>
          <w:sz w:val="13"/>
        </w:rPr>
        <w:t>Commission, </w:t>
      </w:r>
      <w:r>
        <w:rPr>
          <w:sz w:val="13"/>
        </w:rPr>
        <w:t>17 May</w:t>
      </w:r>
      <w:r>
        <w:rPr>
          <w:spacing w:val="7"/>
          <w:sz w:val="13"/>
        </w:rPr>
        <w:t> </w:t>
      </w:r>
      <w:r>
        <w:rPr>
          <w:sz w:val="13"/>
        </w:rPr>
        <w:t>2022.</w:t>
      </w:r>
    </w:p>
    <w:p>
      <w:pPr>
        <w:pStyle w:val="ListParagraph"/>
        <w:numPr>
          <w:ilvl w:val="0"/>
          <w:numId w:val="17"/>
        </w:numPr>
        <w:tabs>
          <w:tab w:pos="1761" w:val="left" w:leader="none"/>
          <w:tab w:pos="1762" w:val="left" w:leader="none"/>
        </w:tabs>
        <w:spacing w:line="160" w:lineRule="exact" w:before="0" w:after="0"/>
        <w:ind w:left="1761" w:right="0" w:hanging="794"/>
        <w:jc w:val="left"/>
        <w:rPr>
          <w:sz w:val="13"/>
        </w:rPr>
      </w:pPr>
      <w:r>
        <w:rPr>
          <w:i/>
          <w:sz w:val="13"/>
        </w:rPr>
        <w:t>Juries Act 2000 </w:t>
      </w:r>
      <w:r>
        <w:rPr>
          <w:spacing w:val="2"/>
          <w:sz w:val="13"/>
        </w:rPr>
        <w:t>(Vic) </w:t>
      </w:r>
      <w:r>
        <w:rPr>
          <w:sz w:val="13"/>
        </w:rPr>
        <w:t>ss </w:t>
      </w:r>
      <w:r>
        <w:rPr>
          <w:spacing w:val="-4"/>
          <w:sz w:val="13"/>
        </w:rPr>
        <w:t>7, </w:t>
      </w:r>
      <w:r>
        <w:rPr>
          <w:sz w:val="13"/>
        </w:rPr>
        <w:t>8,</w:t>
      </w:r>
      <w:r>
        <w:rPr>
          <w:spacing w:val="2"/>
          <w:sz w:val="13"/>
        </w:rPr>
        <w:t> 9.</w:t>
      </w:r>
    </w:p>
    <w:p>
      <w:pPr>
        <w:pStyle w:val="ListParagraph"/>
        <w:numPr>
          <w:ilvl w:val="0"/>
          <w:numId w:val="17"/>
        </w:numPr>
        <w:tabs>
          <w:tab w:pos="1761" w:val="left" w:leader="none"/>
          <w:tab w:pos="1762" w:val="left" w:leader="none"/>
        </w:tabs>
        <w:spacing w:line="160" w:lineRule="exact" w:before="0" w:after="0"/>
        <w:ind w:left="1761" w:right="0" w:hanging="794"/>
        <w:jc w:val="left"/>
        <w:rPr>
          <w:sz w:val="13"/>
        </w:rPr>
      </w:pPr>
      <w:r>
        <w:rPr>
          <w:sz w:val="13"/>
        </w:rPr>
        <w:t>Ibid ss </w:t>
      </w:r>
      <w:r>
        <w:rPr>
          <w:spacing w:val="2"/>
          <w:sz w:val="13"/>
        </w:rPr>
        <w:t>11,</w:t>
      </w:r>
      <w:r>
        <w:rPr>
          <w:sz w:val="13"/>
        </w:rPr>
        <w:t> </w:t>
      </w:r>
      <w:r>
        <w:rPr>
          <w:spacing w:val="2"/>
          <w:sz w:val="13"/>
        </w:rPr>
        <w:t>12.</w:t>
      </w:r>
    </w:p>
    <w:p>
      <w:pPr>
        <w:pStyle w:val="ListParagraph"/>
        <w:numPr>
          <w:ilvl w:val="0"/>
          <w:numId w:val="17"/>
        </w:numPr>
        <w:tabs>
          <w:tab w:pos="1760" w:val="left" w:leader="none"/>
          <w:tab w:pos="1762" w:val="left" w:leader="none"/>
        </w:tabs>
        <w:spacing w:line="213" w:lineRule="auto" w:before="6" w:after="0"/>
        <w:ind w:left="1761" w:right="1478" w:hanging="794"/>
        <w:jc w:val="left"/>
        <w:rPr>
          <w:sz w:val="13"/>
        </w:rPr>
      </w:pPr>
      <w:r>
        <w:rPr>
          <w:sz w:val="13"/>
        </w:rPr>
        <w:t>We note that legislative changes brought about due to the coronavirus (COVID-19) </w:t>
      </w:r>
      <w:r>
        <w:rPr>
          <w:spacing w:val="2"/>
          <w:sz w:val="13"/>
        </w:rPr>
        <w:t>pandemic </w:t>
      </w:r>
      <w:r>
        <w:rPr>
          <w:sz w:val="13"/>
        </w:rPr>
        <w:t>temporarily enable remote </w:t>
      </w:r>
      <w:r>
        <w:rPr>
          <w:spacing w:val="2"/>
          <w:sz w:val="13"/>
        </w:rPr>
        <w:t>jury empanelling </w:t>
      </w:r>
      <w:r>
        <w:rPr>
          <w:sz w:val="13"/>
        </w:rPr>
        <w:t>to respond to social </w:t>
      </w:r>
      <w:r>
        <w:rPr>
          <w:spacing w:val="2"/>
          <w:sz w:val="13"/>
        </w:rPr>
        <w:t>distancing</w:t>
      </w:r>
      <w:r>
        <w:rPr>
          <w:sz w:val="13"/>
        </w:rPr>
        <w:t> requirements.</w:t>
      </w:r>
    </w:p>
    <w:p>
      <w:pPr>
        <w:pStyle w:val="ListParagraph"/>
        <w:numPr>
          <w:ilvl w:val="0"/>
          <w:numId w:val="17"/>
        </w:numPr>
        <w:tabs>
          <w:tab w:pos="1761" w:val="left" w:leader="none"/>
          <w:tab w:pos="1762" w:val="left" w:leader="none"/>
        </w:tabs>
        <w:spacing w:line="153" w:lineRule="exact" w:before="0" w:after="0"/>
        <w:ind w:left="1761" w:right="0" w:hanging="794"/>
        <w:jc w:val="left"/>
        <w:rPr>
          <w:sz w:val="13"/>
        </w:rPr>
      </w:pPr>
      <w:r>
        <w:rPr>
          <w:sz w:val="13"/>
        </w:rPr>
        <w:t>Consultation 10 </w:t>
      </w:r>
      <w:r>
        <w:rPr>
          <w:spacing w:val="2"/>
          <w:sz w:val="13"/>
        </w:rPr>
        <w:t>(Juries</w:t>
      </w:r>
      <w:r>
        <w:rPr>
          <w:sz w:val="13"/>
        </w:rPr>
        <w:t> Victoria).</w:t>
      </w:r>
    </w:p>
    <w:p>
      <w:pPr>
        <w:pStyle w:val="ListParagraph"/>
        <w:numPr>
          <w:ilvl w:val="0"/>
          <w:numId w:val="17"/>
        </w:numPr>
        <w:tabs>
          <w:tab w:pos="1760" w:val="left" w:leader="none"/>
          <w:tab w:pos="1762" w:val="left" w:leader="none"/>
        </w:tabs>
        <w:spacing w:line="160" w:lineRule="exact" w:before="0" w:after="0"/>
        <w:ind w:left="1761" w:right="0" w:hanging="794"/>
        <w:jc w:val="left"/>
        <w:rPr>
          <w:sz w:val="13"/>
        </w:rPr>
      </w:pPr>
      <w:r>
        <w:rPr>
          <w:spacing w:val="2"/>
          <w:sz w:val="13"/>
        </w:rPr>
        <w:t>Ibid. </w:t>
      </w:r>
      <w:r>
        <w:rPr>
          <w:sz w:val="13"/>
        </w:rPr>
        <w:t>These figures refer to the </w:t>
      </w:r>
      <w:r>
        <w:rPr>
          <w:spacing w:val="2"/>
          <w:sz w:val="13"/>
        </w:rPr>
        <w:t>period </w:t>
      </w:r>
      <w:r>
        <w:rPr>
          <w:sz w:val="13"/>
        </w:rPr>
        <w:t>before the coronavirus (COVID-19) </w:t>
      </w:r>
      <w:r>
        <w:rPr>
          <w:spacing w:val="2"/>
          <w:sz w:val="13"/>
        </w:rPr>
        <w:t>pandemic </w:t>
      </w:r>
      <w:r>
        <w:rPr>
          <w:sz w:val="13"/>
        </w:rPr>
        <w:t>which began in</w:t>
      </w:r>
      <w:r>
        <w:rPr>
          <w:spacing w:val="7"/>
          <w:sz w:val="13"/>
        </w:rPr>
        <w:t> </w:t>
      </w:r>
      <w:r>
        <w:rPr>
          <w:sz w:val="13"/>
        </w:rPr>
        <w:t>2020.</w:t>
      </w:r>
    </w:p>
    <w:p>
      <w:pPr>
        <w:pStyle w:val="ListParagraph"/>
        <w:numPr>
          <w:ilvl w:val="0"/>
          <w:numId w:val="17"/>
        </w:numPr>
        <w:tabs>
          <w:tab w:pos="1761" w:val="left" w:leader="none"/>
          <w:tab w:pos="1762" w:val="left" w:leader="none"/>
        </w:tabs>
        <w:spacing w:line="160" w:lineRule="exact" w:before="0" w:after="0"/>
        <w:ind w:left="1761" w:right="0" w:hanging="794"/>
        <w:jc w:val="left"/>
        <w:rPr>
          <w:sz w:val="13"/>
        </w:rPr>
      </w:pPr>
      <w:r>
        <w:rPr>
          <w:sz w:val="13"/>
        </w:rPr>
        <w:t>Information provided by Juries Victoria to Victorian Law Reform </w:t>
      </w:r>
      <w:r>
        <w:rPr>
          <w:spacing w:val="2"/>
          <w:sz w:val="13"/>
        </w:rPr>
        <w:t>Commission, </w:t>
      </w:r>
      <w:r>
        <w:rPr>
          <w:sz w:val="13"/>
        </w:rPr>
        <w:t>17 May</w:t>
      </w:r>
      <w:r>
        <w:rPr>
          <w:spacing w:val="7"/>
          <w:sz w:val="13"/>
        </w:rPr>
        <w:t> </w:t>
      </w:r>
      <w:r>
        <w:rPr>
          <w:sz w:val="13"/>
        </w:rPr>
        <w:t>2022.</w:t>
      </w:r>
    </w:p>
    <w:p>
      <w:pPr>
        <w:pStyle w:val="ListParagraph"/>
        <w:numPr>
          <w:ilvl w:val="0"/>
          <w:numId w:val="17"/>
        </w:numPr>
        <w:tabs>
          <w:tab w:pos="1760" w:val="left" w:leader="none"/>
          <w:tab w:pos="1762" w:val="left" w:leader="none"/>
        </w:tabs>
        <w:spacing w:line="160" w:lineRule="exact" w:before="0" w:after="0"/>
        <w:ind w:left="1761" w:right="0" w:hanging="794"/>
        <w:jc w:val="left"/>
        <w:rPr>
          <w:sz w:val="13"/>
        </w:rPr>
      </w:pPr>
      <w:r>
        <w:rPr>
          <w:sz w:val="13"/>
        </w:rPr>
        <w:t>Consultation 10 </w:t>
      </w:r>
      <w:r>
        <w:rPr>
          <w:spacing w:val="2"/>
          <w:sz w:val="13"/>
        </w:rPr>
        <w:t>(Juries</w:t>
      </w:r>
      <w:r>
        <w:rPr>
          <w:sz w:val="13"/>
        </w:rPr>
        <w:t> Victoria).</w:t>
      </w:r>
    </w:p>
    <w:p>
      <w:pPr>
        <w:pStyle w:val="ListParagraph"/>
        <w:numPr>
          <w:ilvl w:val="0"/>
          <w:numId w:val="17"/>
        </w:numPr>
        <w:tabs>
          <w:tab w:pos="1761" w:val="left" w:leader="none"/>
          <w:tab w:pos="1762" w:val="left" w:leader="none"/>
        </w:tabs>
        <w:spacing w:line="213" w:lineRule="auto" w:before="6" w:after="0"/>
        <w:ind w:left="1761" w:right="1414" w:hanging="794"/>
        <w:jc w:val="left"/>
        <w:rPr>
          <w:sz w:val="13"/>
        </w:rPr>
      </w:pPr>
      <w:r>
        <w:rPr>
          <w:spacing w:val="2"/>
          <w:sz w:val="13"/>
        </w:rPr>
        <w:t>Jury panels </w:t>
      </w:r>
      <w:r>
        <w:rPr>
          <w:sz w:val="13"/>
        </w:rPr>
        <w:t>are not used in regional areas, as </w:t>
      </w:r>
      <w:r>
        <w:rPr>
          <w:spacing w:val="2"/>
          <w:sz w:val="13"/>
        </w:rPr>
        <w:t>jury trials </w:t>
      </w:r>
      <w:r>
        <w:rPr>
          <w:sz w:val="13"/>
        </w:rPr>
        <w:t>are rarely held concurrently. In regional areas the entire </w:t>
      </w:r>
      <w:r>
        <w:rPr>
          <w:spacing w:val="2"/>
          <w:sz w:val="13"/>
        </w:rPr>
        <w:t>jury </w:t>
      </w:r>
      <w:r>
        <w:rPr>
          <w:sz w:val="13"/>
        </w:rPr>
        <w:t>pool that attends in response to the summons constitutes the </w:t>
      </w:r>
      <w:r>
        <w:rPr>
          <w:spacing w:val="2"/>
          <w:sz w:val="13"/>
        </w:rPr>
        <w:t>jury panel. </w:t>
      </w: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15</w:t>
      </w:r>
      <w:r>
        <w:rPr>
          <w:spacing w:val="1"/>
          <w:sz w:val="13"/>
        </w:rPr>
        <w:t> </w:t>
      </w:r>
      <w:r>
        <w:rPr>
          <w:spacing w:val="2"/>
          <w:sz w:val="13"/>
        </w:rPr>
        <w:t>[2.52].</w:t>
      </w:r>
    </w:p>
    <w:p>
      <w:pPr>
        <w:pStyle w:val="ListParagraph"/>
        <w:numPr>
          <w:ilvl w:val="0"/>
          <w:numId w:val="17"/>
        </w:numPr>
        <w:tabs>
          <w:tab w:pos="1761" w:val="left" w:leader="none"/>
          <w:tab w:pos="1762" w:val="left" w:leader="none"/>
        </w:tabs>
        <w:spacing w:line="213" w:lineRule="auto" w:before="0" w:after="0"/>
        <w:ind w:left="1761" w:right="1217" w:hanging="794"/>
        <w:jc w:val="left"/>
        <w:rPr>
          <w:sz w:val="13"/>
        </w:rPr>
      </w:pPr>
      <w:r>
        <w:rPr/>
        <w:pict>
          <v:shape style="position:absolute;margin-left:36pt;margin-top:11.393091pt;width:12.9pt;height:14.1pt;mso-position-horizontal-relative:page;mso-position-vertical-relative:paragraph;z-index:2656" type="#_x0000_t202" filled="false" stroked="false">
            <v:textbox inset="0,0,0,0">
              <w:txbxContent>
                <w:p>
                  <w:pPr>
                    <w:spacing w:line="282" w:lineRule="exact" w:before="0"/>
                    <w:ind w:left="0" w:right="0" w:firstLine="0"/>
                    <w:jc w:val="left"/>
                    <w:rPr>
                      <w:b/>
                      <w:sz w:val="24"/>
                    </w:rPr>
                  </w:pPr>
                  <w:r>
                    <w:rPr>
                      <w:b/>
                      <w:color w:val="37617A"/>
                      <w:sz w:val="24"/>
                    </w:rPr>
                    <w:t>14</w:t>
                  </w:r>
                </w:p>
              </w:txbxContent>
            </v:textbox>
            <w10:wrap type="none"/>
          </v:shape>
        </w:pict>
      </w:r>
      <w:r>
        <w:rPr>
          <w:sz w:val="13"/>
        </w:rPr>
        <w:t>These and other videos explaining </w:t>
      </w:r>
      <w:r>
        <w:rPr>
          <w:spacing w:val="2"/>
          <w:sz w:val="13"/>
        </w:rPr>
        <w:t>jury service </w:t>
      </w:r>
      <w:r>
        <w:rPr>
          <w:sz w:val="13"/>
        </w:rPr>
        <w:t>are available online: Juries Victoria,  ‘Individuals’,  </w:t>
      </w:r>
      <w:r>
        <w:rPr>
          <w:i/>
          <w:sz w:val="13"/>
        </w:rPr>
        <w:t>Juror  Portal  </w:t>
      </w:r>
      <w:r>
        <w:rPr>
          <w:sz w:val="13"/>
        </w:rPr>
        <w:t>(Web  Page,  May 2019) &lt;</w:t>
      </w:r>
      <w:hyperlink r:id="rId47">
        <w:r>
          <w:rPr>
            <w:sz w:val="13"/>
          </w:rPr>
          <w:t>https://www.juriesvictoria.vic.gov.au/individuals</w:t>
        </w:r>
      </w:hyperlink>
      <w:r>
        <w:rPr>
          <w:sz w:val="13"/>
        </w:rPr>
        <w:t>&gt;; Juries Victoria, </w:t>
      </w:r>
      <w:r>
        <w:rPr>
          <w:i/>
          <w:spacing w:val="-3"/>
          <w:sz w:val="13"/>
        </w:rPr>
        <w:t>YouTube </w:t>
      </w:r>
      <w:r>
        <w:rPr>
          <w:sz w:val="13"/>
        </w:rPr>
        <w:t>(Web Page, 2019) &lt;</w:t>
      </w:r>
      <w:hyperlink r:id="rId48">
        <w:r>
          <w:rPr>
            <w:sz w:val="13"/>
          </w:rPr>
          <w:t>https://www.youtube.com/</w:t>
        </w:r>
      </w:hyperlink>
      <w:hyperlink r:id="rId48">
        <w:r>
          <w:rPr>
            <w:sz w:val="13"/>
          </w:rPr>
          <w:t> channel/UCTgVsMpocy2oeO4CPV4hexA/videos</w:t>
        </w:r>
      </w:hyperlink>
      <w:r>
        <w:rPr>
          <w:sz w:val="13"/>
        </w:rPr>
        <w:t>&gt;.</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11" w:hanging="794"/>
        <w:jc w:val="left"/>
        <w:rPr>
          <w:sz w:val="11"/>
        </w:rPr>
      </w:pPr>
      <w:bookmarkStart w:name="_bookmark17" w:id="42"/>
      <w:bookmarkEnd w:id="42"/>
      <w:r>
        <w:rPr/>
      </w:r>
      <w:bookmarkStart w:name="_bookmark17" w:id="43"/>
      <w:bookmarkEnd w:id="43"/>
      <w:r>
        <w:rPr>
          <w:sz w:val="20"/>
        </w:rPr>
        <w:t>T</w:t>
      </w:r>
      <w:r>
        <w:rPr>
          <w:sz w:val="20"/>
        </w:rPr>
        <w:t>he</w:t>
      </w:r>
      <w:r>
        <w:rPr>
          <w:spacing w:val="-8"/>
          <w:sz w:val="20"/>
        </w:rPr>
        <w:t> </w:t>
      </w:r>
      <w:r>
        <w:rPr>
          <w:sz w:val="20"/>
        </w:rPr>
        <w:t>jury</w:t>
      </w:r>
      <w:r>
        <w:rPr>
          <w:spacing w:val="-8"/>
          <w:sz w:val="20"/>
        </w:rPr>
        <w:t> </w:t>
      </w:r>
      <w:r>
        <w:rPr>
          <w:sz w:val="20"/>
        </w:rPr>
        <w:t>pool</w:t>
      </w:r>
      <w:r>
        <w:rPr>
          <w:spacing w:val="-7"/>
          <w:sz w:val="20"/>
        </w:rPr>
        <w:t> </w:t>
      </w:r>
      <w:r>
        <w:rPr>
          <w:sz w:val="20"/>
        </w:rPr>
        <w:t>supervisor</w:t>
      </w:r>
      <w:r>
        <w:rPr>
          <w:spacing w:val="-8"/>
          <w:sz w:val="20"/>
        </w:rPr>
        <w:t> </w:t>
      </w:r>
      <w:r>
        <w:rPr>
          <w:sz w:val="20"/>
        </w:rPr>
        <w:t>outlines</w:t>
      </w:r>
      <w:r>
        <w:rPr>
          <w:spacing w:val="-7"/>
          <w:sz w:val="20"/>
        </w:rPr>
        <w:t> </w:t>
      </w:r>
      <w:r>
        <w:rPr>
          <w:sz w:val="20"/>
        </w:rPr>
        <w:t>that</w:t>
      </w:r>
      <w:r>
        <w:rPr>
          <w:spacing w:val="-8"/>
          <w:sz w:val="20"/>
        </w:rPr>
        <w:t> </w:t>
      </w:r>
      <w:r>
        <w:rPr>
          <w:sz w:val="20"/>
        </w:rPr>
        <w:t>a</w:t>
      </w:r>
      <w:r>
        <w:rPr>
          <w:spacing w:val="-8"/>
          <w:sz w:val="20"/>
        </w:rPr>
        <w:t> </w:t>
      </w:r>
      <w:r>
        <w:rPr>
          <w:sz w:val="20"/>
        </w:rPr>
        <w:t>person</w:t>
      </w:r>
      <w:r>
        <w:rPr>
          <w:spacing w:val="-7"/>
          <w:sz w:val="20"/>
        </w:rPr>
        <w:t> </w:t>
      </w:r>
      <w:r>
        <w:rPr>
          <w:sz w:val="20"/>
        </w:rPr>
        <w:t>will</w:t>
      </w:r>
      <w:r>
        <w:rPr>
          <w:spacing w:val="-8"/>
          <w:sz w:val="20"/>
        </w:rPr>
        <w:t> </w:t>
      </w:r>
      <w:r>
        <w:rPr>
          <w:sz w:val="20"/>
        </w:rPr>
        <w:t>need</w:t>
      </w:r>
      <w:r>
        <w:rPr>
          <w:spacing w:val="-7"/>
          <w:sz w:val="20"/>
        </w:rPr>
        <w:t> </w:t>
      </w:r>
      <w:r>
        <w:rPr>
          <w:sz w:val="20"/>
        </w:rPr>
        <w:t>to</w:t>
      </w:r>
      <w:r>
        <w:rPr>
          <w:spacing w:val="-8"/>
          <w:sz w:val="20"/>
        </w:rPr>
        <w:t> </w:t>
      </w:r>
      <w:r>
        <w:rPr>
          <w:sz w:val="20"/>
        </w:rPr>
        <w:t>be</w:t>
      </w:r>
      <w:r>
        <w:rPr>
          <w:spacing w:val="-8"/>
          <w:sz w:val="20"/>
        </w:rPr>
        <w:t> </w:t>
      </w:r>
      <w:r>
        <w:rPr>
          <w:spacing w:val="-3"/>
          <w:sz w:val="20"/>
        </w:rPr>
        <w:t>available</w:t>
      </w:r>
      <w:r>
        <w:rPr>
          <w:spacing w:val="-7"/>
          <w:sz w:val="20"/>
        </w:rPr>
        <w:t> </w:t>
      </w:r>
      <w:r>
        <w:rPr>
          <w:sz w:val="20"/>
        </w:rPr>
        <w:t>for</w:t>
      </w:r>
      <w:r>
        <w:rPr>
          <w:spacing w:val="-8"/>
          <w:sz w:val="20"/>
        </w:rPr>
        <w:t> </w:t>
      </w:r>
      <w:r>
        <w:rPr>
          <w:sz w:val="20"/>
        </w:rPr>
        <w:t>jury</w:t>
      </w:r>
      <w:r>
        <w:rPr>
          <w:spacing w:val="-7"/>
          <w:sz w:val="20"/>
        </w:rPr>
        <w:t> </w:t>
      </w:r>
      <w:r>
        <w:rPr>
          <w:sz w:val="20"/>
        </w:rPr>
        <w:t>duty</w:t>
      </w:r>
      <w:r>
        <w:rPr>
          <w:spacing w:val="-8"/>
          <w:sz w:val="20"/>
        </w:rPr>
        <w:t> </w:t>
      </w:r>
      <w:r>
        <w:rPr>
          <w:sz w:val="20"/>
        </w:rPr>
        <w:t>for up to two weeks, the </w:t>
      </w:r>
      <w:r>
        <w:rPr>
          <w:spacing w:val="-3"/>
          <w:sz w:val="20"/>
        </w:rPr>
        <w:t>average </w:t>
      </w:r>
      <w:r>
        <w:rPr>
          <w:sz w:val="20"/>
        </w:rPr>
        <w:t>length of a trial.</w:t>
      </w:r>
      <w:r>
        <w:rPr>
          <w:position w:val="7"/>
          <w:sz w:val="11"/>
        </w:rPr>
        <w:t>40 </w:t>
      </w:r>
      <w:r>
        <w:rPr>
          <w:sz w:val="20"/>
        </w:rPr>
        <w:t>Information is also </w:t>
      </w:r>
      <w:r>
        <w:rPr>
          <w:spacing w:val="-3"/>
          <w:sz w:val="20"/>
        </w:rPr>
        <w:t>provided </w:t>
      </w:r>
      <w:r>
        <w:rPr>
          <w:sz w:val="20"/>
        </w:rPr>
        <w:t>about the possible grounds for excuse.</w:t>
      </w:r>
      <w:r>
        <w:rPr>
          <w:position w:val="7"/>
          <w:sz w:val="11"/>
        </w:rPr>
        <w:t>41 </w:t>
      </w:r>
      <w:r>
        <w:rPr>
          <w:sz w:val="20"/>
        </w:rPr>
        <w:t>Another estimate of the duration of jury duty is </w:t>
      </w:r>
      <w:r>
        <w:rPr>
          <w:spacing w:val="-3"/>
          <w:sz w:val="20"/>
        </w:rPr>
        <w:t>provided </w:t>
      </w:r>
      <w:r>
        <w:rPr>
          <w:sz w:val="20"/>
        </w:rPr>
        <w:t>to the pool when the Juries Commissioner </w:t>
      </w:r>
      <w:r>
        <w:rPr>
          <w:spacing w:val="-3"/>
          <w:sz w:val="20"/>
        </w:rPr>
        <w:t>draws </w:t>
      </w:r>
      <w:r>
        <w:rPr>
          <w:sz w:val="20"/>
        </w:rPr>
        <w:t>a ballot for a panel for a particular trial. The Juries Commissioner will also inform the </w:t>
      </w:r>
      <w:r>
        <w:rPr>
          <w:spacing w:val="-3"/>
          <w:sz w:val="20"/>
        </w:rPr>
        <w:t>entire </w:t>
      </w:r>
      <w:r>
        <w:rPr>
          <w:sz w:val="20"/>
        </w:rPr>
        <w:t>pool if there is a particularly long trial starting that will </w:t>
      </w:r>
      <w:r>
        <w:rPr>
          <w:spacing w:val="-3"/>
          <w:sz w:val="20"/>
        </w:rPr>
        <w:t>require </w:t>
      </w:r>
      <w:r>
        <w:rPr>
          <w:sz w:val="20"/>
        </w:rPr>
        <w:t>longer jury service. If a person is unavailable to serve on a trial because of its length this is another opportunity to seek to </w:t>
      </w:r>
      <w:r>
        <w:rPr>
          <w:spacing w:val="-4"/>
          <w:sz w:val="20"/>
        </w:rPr>
        <w:t>have </w:t>
      </w:r>
      <w:r>
        <w:rPr>
          <w:sz w:val="20"/>
        </w:rPr>
        <w:t>service deferred or to be excused.</w:t>
      </w:r>
      <w:r>
        <w:rPr>
          <w:position w:val="7"/>
          <w:sz w:val="11"/>
        </w:rPr>
        <w:t>42 </w:t>
      </w:r>
      <w:r>
        <w:rPr>
          <w:sz w:val="20"/>
        </w:rPr>
        <w:t>This process helps to minimise the number of </w:t>
      </w:r>
      <w:r>
        <w:rPr>
          <w:spacing w:val="-3"/>
          <w:sz w:val="20"/>
        </w:rPr>
        <w:t>excuse </w:t>
      </w:r>
      <w:r>
        <w:rPr>
          <w:sz w:val="20"/>
        </w:rPr>
        <w:t>applications heard in</w:t>
      </w:r>
      <w:r>
        <w:rPr>
          <w:spacing w:val="-13"/>
          <w:sz w:val="20"/>
        </w:rPr>
        <w:t> </w:t>
      </w:r>
      <w:r>
        <w:rPr>
          <w:sz w:val="20"/>
        </w:rPr>
        <w:t>court.</w:t>
      </w:r>
      <w:r>
        <w:rPr>
          <w:position w:val="7"/>
          <w:sz w:val="11"/>
        </w:rPr>
        <w:t>43</w:t>
      </w:r>
    </w:p>
    <w:p>
      <w:pPr>
        <w:spacing w:before="170"/>
        <w:ind w:left="967" w:right="0" w:firstLine="0"/>
        <w:jc w:val="left"/>
        <w:rPr>
          <w:b/>
          <w:sz w:val="24"/>
        </w:rPr>
      </w:pPr>
      <w:r>
        <w:rPr>
          <w:b/>
          <w:sz w:val="24"/>
        </w:rPr>
        <w:t>Random selection from the jury</w:t>
      </w:r>
      <w:r>
        <w:rPr>
          <w:b/>
          <w:spacing w:val="-18"/>
          <w:sz w:val="24"/>
        </w:rPr>
        <w:t> </w:t>
      </w:r>
      <w:r>
        <w:rPr>
          <w:b/>
          <w:sz w:val="24"/>
        </w:rPr>
        <w:t>panel</w:t>
      </w:r>
    </w:p>
    <w:p>
      <w:pPr>
        <w:pStyle w:val="ListParagraph"/>
        <w:numPr>
          <w:ilvl w:val="1"/>
          <w:numId w:val="12"/>
        </w:numPr>
        <w:tabs>
          <w:tab w:pos="1761" w:val="left" w:leader="none"/>
          <w:tab w:pos="1762" w:val="left" w:leader="none"/>
        </w:tabs>
        <w:spacing w:line="206" w:lineRule="auto" w:before="127" w:after="0"/>
        <w:ind w:left="1761" w:right="1215" w:hanging="794"/>
        <w:jc w:val="left"/>
        <w:rPr>
          <w:sz w:val="11"/>
        </w:rPr>
      </w:pPr>
      <w:r>
        <w:rPr>
          <w:sz w:val="20"/>
        </w:rPr>
        <w:t>Once</w:t>
      </w:r>
      <w:r>
        <w:rPr>
          <w:spacing w:val="-8"/>
          <w:sz w:val="20"/>
        </w:rPr>
        <w:t> </w:t>
      </w:r>
      <w:r>
        <w:rPr>
          <w:sz w:val="20"/>
        </w:rPr>
        <w:t>all</w:t>
      </w:r>
      <w:r>
        <w:rPr>
          <w:spacing w:val="-8"/>
          <w:sz w:val="20"/>
        </w:rPr>
        <w:t> </w:t>
      </w:r>
      <w:r>
        <w:rPr>
          <w:sz w:val="20"/>
        </w:rPr>
        <w:t>people</w:t>
      </w:r>
      <w:r>
        <w:rPr>
          <w:spacing w:val="-7"/>
          <w:sz w:val="20"/>
        </w:rPr>
        <w:t> </w:t>
      </w:r>
      <w:r>
        <w:rPr>
          <w:sz w:val="20"/>
        </w:rPr>
        <w:t>who</w:t>
      </w:r>
      <w:r>
        <w:rPr>
          <w:spacing w:val="-8"/>
          <w:sz w:val="20"/>
        </w:rPr>
        <w:t> </w:t>
      </w:r>
      <w:r>
        <w:rPr>
          <w:spacing w:val="-4"/>
          <w:sz w:val="20"/>
        </w:rPr>
        <w:t>have</w:t>
      </w:r>
      <w:r>
        <w:rPr>
          <w:spacing w:val="-7"/>
          <w:sz w:val="20"/>
        </w:rPr>
        <w:t> </w:t>
      </w:r>
      <w:r>
        <w:rPr>
          <w:sz w:val="20"/>
        </w:rPr>
        <w:t>been</w:t>
      </w:r>
      <w:r>
        <w:rPr>
          <w:spacing w:val="-8"/>
          <w:sz w:val="20"/>
        </w:rPr>
        <w:t> </w:t>
      </w:r>
      <w:r>
        <w:rPr>
          <w:spacing w:val="-3"/>
          <w:sz w:val="20"/>
        </w:rPr>
        <w:t>excused</w:t>
      </w:r>
      <w:r>
        <w:rPr>
          <w:spacing w:val="-7"/>
          <w:sz w:val="20"/>
        </w:rPr>
        <w:t> </w:t>
      </w:r>
      <w:r>
        <w:rPr>
          <w:spacing w:val="-3"/>
          <w:sz w:val="20"/>
        </w:rPr>
        <w:t>from</w:t>
      </w:r>
      <w:r>
        <w:rPr>
          <w:spacing w:val="-8"/>
          <w:sz w:val="20"/>
        </w:rPr>
        <w:t> </w:t>
      </w:r>
      <w:r>
        <w:rPr>
          <w:sz w:val="20"/>
        </w:rPr>
        <w:t>the</w:t>
      </w:r>
      <w:r>
        <w:rPr>
          <w:spacing w:val="-7"/>
          <w:sz w:val="20"/>
        </w:rPr>
        <w:t> </w:t>
      </w:r>
      <w:r>
        <w:rPr>
          <w:sz w:val="20"/>
        </w:rPr>
        <w:t>pool</w:t>
      </w:r>
      <w:r>
        <w:rPr>
          <w:spacing w:val="-8"/>
          <w:sz w:val="20"/>
        </w:rPr>
        <w:t> </w:t>
      </w:r>
      <w:r>
        <w:rPr>
          <w:spacing w:val="-4"/>
          <w:sz w:val="20"/>
        </w:rPr>
        <w:t>leave</w:t>
      </w:r>
      <w:r>
        <w:rPr>
          <w:spacing w:val="-7"/>
          <w:sz w:val="20"/>
        </w:rPr>
        <w:t> </w:t>
      </w:r>
      <w:r>
        <w:rPr>
          <w:sz w:val="20"/>
        </w:rPr>
        <w:t>the</w:t>
      </w:r>
      <w:r>
        <w:rPr>
          <w:spacing w:val="-8"/>
          <w:sz w:val="20"/>
        </w:rPr>
        <w:t> </w:t>
      </w:r>
      <w:r>
        <w:rPr>
          <w:sz w:val="20"/>
        </w:rPr>
        <w:t>jury</w:t>
      </w:r>
      <w:r>
        <w:rPr>
          <w:spacing w:val="-7"/>
          <w:sz w:val="20"/>
        </w:rPr>
        <w:t> </w:t>
      </w:r>
      <w:r>
        <w:rPr>
          <w:sz w:val="20"/>
        </w:rPr>
        <w:t>pool</w:t>
      </w:r>
      <w:r>
        <w:rPr>
          <w:spacing w:val="-8"/>
          <w:sz w:val="20"/>
        </w:rPr>
        <w:t> </w:t>
      </w:r>
      <w:r>
        <w:rPr>
          <w:sz w:val="20"/>
        </w:rPr>
        <w:t>room,</w:t>
      </w:r>
      <w:r>
        <w:rPr>
          <w:spacing w:val="-8"/>
          <w:sz w:val="20"/>
        </w:rPr>
        <w:t> </w:t>
      </w:r>
      <w:r>
        <w:rPr>
          <w:sz w:val="20"/>
        </w:rPr>
        <w:t>ballot cards </w:t>
      </w:r>
      <w:r>
        <w:rPr>
          <w:spacing w:val="-3"/>
          <w:sz w:val="20"/>
        </w:rPr>
        <w:t>are </w:t>
      </w:r>
      <w:r>
        <w:rPr>
          <w:sz w:val="20"/>
        </w:rPr>
        <w:t>generated </w:t>
      </w:r>
      <w:r>
        <w:rPr>
          <w:spacing w:val="-3"/>
          <w:sz w:val="20"/>
        </w:rPr>
        <w:t>from </w:t>
      </w:r>
      <w:r>
        <w:rPr>
          <w:sz w:val="20"/>
        </w:rPr>
        <w:t>the pool list for each potential juror and </w:t>
      </w:r>
      <w:r>
        <w:rPr>
          <w:spacing w:val="-3"/>
          <w:sz w:val="20"/>
        </w:rPr>
        <w:t>are </w:t>
      </w:r>
      <w:r>
        <w:rPr>
          <w:sz w:val="20"/>
        </w:rPr>
        <w:t>placed in the ballot box. Juries Victoria will randomly select people </w:t>
      </w:r>
      <w:r>
        <w:rPr>
          <w:spacing w:val="-3"/>
          <w:sz w:val="20"/>
        </w:rPr>
        <w:t>from </w:t>
      </w:r>
      <w:r>
        <w:rPr>
          <w:sz w:val="20"/>
        </w:rPr>
        <w:t>a ballot box to form a jury panel.</w:t>
      </w:r>
      <w:r>
        <w:rPr>
          <w:position w:val="7"/>
          <w:sz w:val="11"/>
        </w:rPr>
        <w:t>44</w:t>
      </w:r>
      <w:r>
        <w:rPr>
          <w:spacing w:val="17"/>
          <w:position w:val="7"/>
          <w:sz w:val="11"/>
        </w:rPr>
        <w:t> </w:t>
      </w:r>
      <w:r>
        <w:rPr>
          <w:sz w:val="20"/>
        </w:rPr>
        <w:t>Groups</w:t>
      </w:r>
      <w:r>
        <w:rPr>
          <w:spacing w:val="-8"/>
          <w:sz w:val="20"/>
        </w:rPr>
        <w:t> </w:t>
      </w:r>
      <w:r>
        <w:rPr>
          <w:sz w:val="20"/>
        </w:rPr>
        <w:t>of</w:t>
      </w:r>
      <w:r>
        <w:rPr>
          <w:spacing w:val="-8"/>
          <w:sz w:val="20"/>
        </w:rPr>
        <w:t> </w:t>
      </w:r>
      <w:r>
        <w:rPr>
          <w:spacing w:val="-3"/>
          <w:sz w:val="20"/>
        </w:rPr>
        <w:t>25–40</w:t>
      </w:r>
      <w:r>
        <w:rPr>
          <w:spacing w:val="-7"/>
          <w:sz w:val="20"/>
        </w:rPr>
        <w:t> </w:t>
      </w:r>
      <w:r>
        <w:rPr>
          <w:sz w:val="20"/>
        </w:rPr>
        <w:t>people</w:t>
      </w:r>
      <w:r>
        <w:rPr>
          <w:spacing w:val="-8"/>
          <w:sz w:val="20"/>
        </w:rPr>
        <w:t> </w:t>
      </w:r>
      <w:r>
        <w:rPr>
          <w:sz w:val="20"/>
        </w:rPr>
        <w:t>(‘</w:t>
      </w:r>
      <w:r>
        <w:rPr>
          <w:spacing w:val="-33"/>
          <w:sz w:val="20"/>
        </w:rPr>
        <w:t> </w:t>
      </w:r>
      <w:r>
        <w:rPr>
          <w:sz w:val="20"/>
        </w:rPr>
        <w:t>jury</w:t>
      </w:r>
      <w:r>
        <w:rPr>
          <w:spacing w:val="-7"/>
          <w:sz w:val="20"/>
        </w:rPr>
        <w:t> </w:t>
      </w:r>
      <w:r>
        <w:rPr>
          <w:sz w:val="20"/>
        </w:rPr>
        <w:t>panels’),</w:t>
      </w:r>
      <w:r>
        <w:rPr>
          <w:spacing w:val="-8"/>
          <w:sz w:val="20"/>
        </w:rPr>
        <w:t> </w:t>
      </w:r>
      <w:r>
        <w:rPr>
          <w:sz w:val="20"/>
        </w:rPr>
        <w:t>then</w:t>
      </w:r>
      <w:r>
        <w:rPr>
          <w:spacing w:val="-8"/>
          <w:sz w:val="20"/>
        </w:rPr>
        <w:t> </w:t>
      </w:r>
      <w:r>
        <w:rPr>
          <w:sz w:val="20"/>
        </w:rPr>
        <w:t>go</w:t>
      </w:r>
      <w:r>
        <w:rPr>
          <w:spacing w:val="-7"/>
          <w:sz w:val="20"/>
        </w:rPr>
        <w:t> </w:t>
      </w:r>
      <w:r>
        <w:rPr>
          <w:spacing w:val="-3"/>
          <w:sz w:val="20"/>
        </w:rPr>
        <w:t>into</w:t>
      </w:r>
      <w:r>
        <w:rPr>
          <w:spacing w:val="-8"/>
          <w:sz w:val="20"/>
        </w:rPr>
        <w:t> </w:t>
      </w:r>
      <w:r>
        <w:rPr>
          <w:sz w:val="20"/>
        </w:rPr>
        <w:t>courtrooms</w:t>
      </w:r>
      <w:r>
        <w:rPr>
          <w:spacing w:val="-8"/>
          <w:sz w:val="20"/>
        </w:rPr>
        <w:t> </w:t>
      </w:r>
      <w:r>
        <w:rPr>
          <w:sz w:val="20"/>
        </w:rPr>
        <w:t>where</w:t>
      </w:r>
      <w:r>
        <w:rPr>
          <w:spacing w:val="-7"/>
          <w:sz w:val="20"/>
        </w:rPr>
        <w:t> </w:t>
      </w:r>
      <w:r>
        <w:rPr>
          <w:sz w:val="20"/>
        </w:rPr>
        <w:t>the</w:t>
      </w:r>
      <w:r>
        <w:rPr>
          <w:spacing w:val="-8"/>
          <w:sz w:val="20"/>
        </w:rPr>
        <w:t> </w:t>
      </w:r>
      <w:r>
        <w:rPr>
          <w:sz w:val="20"/>
        </w:rPr>
        <w:t>trials will be</w:t>
      </w:r>
      <w:r>
        <w:rPr>
          <w:spacing w:val="-8"/>
          <w:sz w:val="20"/>
        </w:rPr>
        <w:t> </w:t>
      </w:r>
      <w:r>
        <w:rPr>
          <w:sz w:val="20"/>
        </w:rPr>
        <w:t>held.</w:t>
      </w:r>
      <w:r>
        <w:rPr>
          <w:position w:val="7"/>
          <w:sz w:val="11"/>
        </w:rPr>
        <w:t>45</w:t>
      </w:r>
    </w:p>
    <w:p>
      <w:pPr>
        <w:pStyle w:val="Heading6"/>
        <w:spacing w:before="131"/>
        <w:rPr>
          <w:b/>
        </w:rPr>
      </w:pPr>
      <w:r>
        <w:rPr>
          <w:b/>
        </w:rPr>
        <w:t>Criminal trials</w:t>
      </w:r>
    </w:p>
    <w:p>
      <w:pPr>
        <w:pStyle w:val="ListParagraph"/>
        <w:numPr>
          <w:ilvl w:val="1"/>
          <w:numId w:val="12"/>
        </w:numPr>
        <w:tabs>
          <w:tab w:pos="1761" w:val="left" w:leader="none"/>
          <w:tab w:pos="1762" w:val="left" w:leader="none"/>
        </w:tabs>
        <w:spacing w:line="206" w:lineRule="auto" w:before="131" w:after="0"/>
        <w:ind w:left="1761" w:right="1209" w:hanging="794"/>
        <w:jc w:val="left"/>
        <w:rPr>
          <w:sz w:val="11"/>
        </w:rPr>
      </w:pPr>
      <w:r>
        <w:rPr>
          <w:sz w:val="20"/>
        </w:rPr>
        <w:t>In criminal trials, the accused is sitting in the dock when the panel enters the courtroom. When the panel is seated the judge directs that the accused is formally charged</w:t>
      </w:r>
      <w:r>
        <w:rPr>
          <w:spacing w:val="-11"/>
          <w:sz w:val="20"/>
        </w:rPr>
        <w:t> </w:t>
      </w:r>
      <w:r>
        <w:rPr>
          <w:sz w:val="20"/>
        </w:rPr>
        <w:t>with</w:t>
      </w:r>
      <w:r>
        <w:rPr>
          <w:spacing w:val="-11"/>
          <w:sz w:val="20"/>
        </w:rPr>
        <w:t> </w:t>
      </w:r>
      <w:r>
        <w:rPr>
          <w:sz w:val="20"/>
        </w:rPr>
        <w:t>offences</w:t>
      </w:r>
      <w:r>
        <w:rPr>
          <w:spacing w:val="-11"/>
          <w:sz w:val="20"/>
        </w:rPr>
        <w:t> </w:t>
      </w:r>
      <w:r>
        <w:rPr>
          <w:spacing w:val="-3"/>
          <w:sz w:val="20"/>
        </w:rPr>
        <w:t>(a</w:t>
      </w:r>
      <w:r>
        <w:rPr>
          <w:spacing w:val="-11"/>
          <w:sz w:val="20"/>
        </w:rPr>
        <w:t> </w:t>
      </w:r>
      <w:r>
        <w:rPr>
          <w:sz w:val="20"/>
        </w:rPr>
        <w:t>process</w:t>
      </w:r>
      <w:r>
        <w:rPr>
          <w:spacing w:val="-11"/>
          <w:sz w:val="20"/>
        </w:rPr>
        <w:t> </w:t>
      </w:r>
      <w:r>
        <w:rPr>
          <w:sz w:val="20"/>
        </w:rPr>
        <w:t>known</w:t>
      </w:r>
      <w:r>
        <w:rPr>
          <w:spacing w:val="-11"/>
          <w:sz w:val="20"/>
        </w:rPr>
        <w:t> </w:t>
      </w:r>
      <w:r>
        <w:rPr>
          <w:sz w:val="20"/>
        </w:rPr>
        <w:t>as</w:t>
      </w:r>
      <w:r>
        <w:rPr>
          <w:spacing w:val="-11"/>
          <w:sz w:val="20"/>
        </w:rPr>
        <w:t> </w:t>
      </w:r>
      <w:r>
        <w:rPr>
          <w:sz w:val="20"/>
        </w:rPr>
        <w:t>‘arraignment’).</w:t>
      </w:r>
      <w:r>
        <w:rPr>
          <w:spacing w:val="-10"/>
          <w:sz w:val="20"/>
        </w:rPr>
        <w:t> </w:t>
      </w:r>
      <w:r>
        <w:rPr>
          <w:spacing w:val="-3"/>
          <w:sz w:val="20"/>
        </w:rPr>
        <w:t>Charges</w:t>
      </w:r>
      <w:r>
        <w:rPr>
          <w:spacing w:val="-11"/>
          <w:sz w:val="20"/>
        </w:rPr>
        <w:t> </w:t>
      </w:r>
      <w:r>
        <w:rPr>
          <w:spacing w:val="-3"/>
          <w:sz w:val="20"/>
        </w:rPr>
        <w:t>are</w:t>
      </w:r>
      <w:r>
        <w:rPr>
          <w:spacing w:val="-11"/>
          <w:sz w:val="20"/>
        </w:rPr>
        <w:t> </w:t>
      </w:r>
      <w:r>
        <w:rPr>
          <w:spacing w:val="-3"/>
          <w:sz w:val="20"/>
        </w:rPr>
        <w:t>read</w:t>
      </w:r>
      <w:r>
        <w:rPr>
          <w:spacing w:val="-11"/>
          <w:sz w:val="20"/>
        </w:rPr>
        <w:t> </w:t>
      </w:r>
      <w:r>
        <w:rPr>
          <w:sz w:val="20"/>
        </w:rPr>
        <w:t>out</w:t>
      </w:r>
      <w:r>
        <w:rPr>
          <w:spacing w:val="-11"/>
          <w:sz w:val="20"/>
        </w:rPr>
        <w:t> </w:t>
      </w:r>
      <w:r>
        <w:rPr>
          <w:sz w:val="20"/>
        </w:rPr>
        <w:t>and</w:t>
      </w:r>
      <w:r>
        <w:rPr>
          <w:spacing w:val="-11"/>
          <w:sz w:val="20"/>
        </w:rPr>
        <w:t> </w:t>
      </w:r>
      <w:r>
        <w:rPr>
          <w:sz w:val="20"/>
        </w:rPr>
        <w:t>the accused pleads to each</w:t>
      </w:r>
      <w:r>
        <w:rPr>
          <w:spacing w:val="-17"/>
          <w:sz w:val="20"/>
        </w:rPr>
        <w:t> </w:t>
      </w:r>
      <w:r>
        <w:rPr>
          <w:sz w:val="20"/>
        </w:rPr>
        <w:t>charge.</w:t>
      </w:r>
      <w:r>
        <w:rPr>
          <w:position w:val="7"/>
          <w:sz w:val="11"/>
        </w:rPr>
        <w:t>46</w:t>
      </w:r>
    </w:p>
    <w:p>
      <w:pPr>
        <w:pStyle w:val="ListParagraph"/>
        <w:numPr>
          <w:ilvl w:val="1"/>
          <w:numId w:val="12"/>
        </w:numPr>
        <w:tabs>
          <w:tab w:pos="1761" w:val="left" w:leader="none"/>
          <w:tab w:pos="1762" w:val="left" w:leader="none"/>
        </w:tabs>
        <w:spacing w:line="206" w:lineRule="auto" w:before="125" w:after="0"/>
        <w:ind w:left="1761" w:right="1236" w:hanging="794"/>
        <w:jc w:val="left"/>
        <w:rPr>
          <w:sz w:val="11"/>
        </w:rPr>
      </w:pPr>
      <w:r>
        <w:rPr>
          <w:sz w:val="20"/>
        </w:rPr>
        <w:t>The judge then informs the panel about the trial: for </w:t>
      </w:r>
      <w:r>
        <w:rPr>
          <w:spacing w:val="-3"/>
          <w:sz w:val="20"/>
        </w:rPr>
        <w:t>example, </w:t>
      </w:r>
      <w:r>
        <w:rPr>
          <w:sz w:val="20"/>
        </w:rPr>
        <w:t>the type of </w:t>
      </w:r>
      <w:r>
        <w:rPr>
          <w:spacing w:val="-3"/>
          <w:sz w:val="20"/>
        </w:rPr>
        <w:t>charge, </w:t>
      </w:r>
      <w:r>
        <w:rPr>
          <w:sz w:val="20"/>
        </w:rPr>
        <w:t>the names of the accused (in a criminal trial) or parties (in a civil trial), witnesses, and the estimated length of the trial. The panel numbers </w:t>
      </w:r>
      <w:r>
        <w:rPr>
          <w:spacing w:val="-3"/>
          <w:sz w:val="20"/>
        </w:rPr>
        <w:t>are read </w:t>
      </w:r>
      <w:r>
        <w:rPr>
          <w:sz w:val="20"/>
        </w:rPr>
        <w:t>out and the court then calls on potential jurors who seek to be </w:t>
      </w:r>
      <w:r>
        <w:rPr>
          <w:spacing w:val="-3"/>
          <w:sz w:val="20"/>
        </w:rPr>
        <w:t>excused. </w:t>
      </w:r>
      <w:r>
        <w:rPr>
          <w:sz w:val="20"/>
        </w:rPr>
        <w:t>The court </w:t>
      </w:r>
      <w:r>
        <w:rPr>
          <w:spacing w:val="-3"/>
          <w:sz w:val="20"/>
        </w:rPr>
        <w:t>may excuse </w:t>
      </w:r>
      <w:r>
        <w:rPr>
          <w:sz w:val="20"/>
        </w:rPr>
        <w:t>a person if satisfied that</w:t>
      </w:r>
      <w:r>
        <w:rPr>
          <w:spacing w:val="-10"/>
          <w:sz w:val="20"/>
        </w:rPr>
        <w:t> </w:t>
      </w:r>
      <w:r>
        <w:rPr>
          <w:sz w:val="20"/>
        </w:rPr>
        <w:t>the</w:t>
      </w:r>
      <w:r>
        <w:rPr>
          <w:spacing w:val="-9"/>
          <w:sz w:val="20"/>
        </w:rPr>
        <w:t> </w:t>
      </w:r>
      <w:r>
        <w:rPr>
          <w:sz w:val="20"/>
        </w:rPr>
        <w:t>person</w:t>
      </w:r>
      <w:r>
        <w:rPr>
          <w:spacing w:val="-10"/>
          <w:sz w:val="20"/>
        </w:rPr>
        <w:t> </w:t>
      </w:r>
      <w:r>
        <w:rPr>
          <w:sz w:val="20"/>
        </w:rPr>
        <w:t>will</w:t>
      </w:r>
      <w:r>
        <w:rPr>
          <w:spacing w:val="-9"/>
          <w:sz w:val="20"/>
        </w:rPr>
        <w:t> </w:t>
      </w:r>
      <w:r>
        <w:rPr>
          <w:sz w:val="20"/>
        </w:rPr>
        <w:t>be</w:t>
      </w:r>
      <w:r>
        <w:rPr>
          <w:spacing w:val="-9"/>
          <w:sz w:val="20"/>
        </w:rPr>
        <w:t> </w:t>
      </w:r>
      <w:r>
        <w:rPr>
          <w:sz w:val="20"/>
        </w:rPr>
        <w:t>unable</w:t>
      </w:r>
      <w:r>
        <w:rPr>
          <w:spacing w:val="-10"/>
          <w:sz w:val="20"/>
        </w:rPr>
        <w:t> </w:t>
      </w:r>
      <w:r>
        <w:rPr>
          <w:sz w:val="20"/>
        </w:rPr>
        <w:t>to</w:t>
      </w:r>
      <w:r>
        <w:rPr>
          <w:spacing w:val="-9"/>
          <w:sz w:val="20"/>
        </w:rPr>
        <w:t> </w:t>
      </w:r>
      <w:r>
        <w:rPr>
          <w:sz w:val="20"/>
        </w:rPr>
        <w:t>consider</w:t>
      </w:r>
      <w:r>
        <w:rPr>
          <w:spacing w:val="-9"/>
          <w:sz w:val="20"/>
        </w:rPr>
        <w:t> </w:t>
      </w:r>
      <w:r>
        <w:rPr>
          <w:sz w:val="20"/>
        </w:rPr>
        <w:t>the</w:t>
      </w:r>
      <w:r>
        <w:rPr>
          <w:spacing w:val="-10"/>
          <w:sz w:val="20"/>
        </w:rPr>
        <w:t> </w:t>
      </w:r>
      <w:r>
        <w:rPr>
          <w:sz w:val="20"/>
        </w:rPr>
        <w:t>case</w:t>
      </w:r>
      <w:r>
        <w:rPr>
          <w:spacing w:val="-9"/>
          <w:sz w:val="20"/>
        </w:rPr>
        <w:t> </w:t>
      </w:r>
      <w:r>
        <w:rPr>
          <w:sz w:val="20"/>
        </w:rPr>
        <w:t>impartially</w:t>
      </w:r>
      <w:r>
        <w:rPr>
          <w:spacing w:val="-9"/>
          <w:sz w:val="20"/>
        </w:rPr>
        <w:t> </w:t>
      </w:r>
      <w:r>
        <w:rPr>
          <w:sz w:val="20"/>
        </w:rPr>
        <w:t>or</w:t>
      </w:r>
      <w:r>
        <w:rPr>
          <w:spacing w:val="-10"/>
          <w:sz w:val="20"/>
        </w:rPr>
        <w:t> </w:t>
      </w:r>
      <w:r>
        <w:rPr>
          <w:sz w:val="20"/>
        </w:rPr>
        <w:t>is</w:t>
      </w:r>
      <w:r>
        <w:rPr>
          <w:spacing w:val="-9"/>
          <w:sz w:val="20"/>
        </w:rPr>
        <w:t> </w:t>
      </w:r>
      <w:r>
        <w:rPr>
          <w:sz w:val="20"/>
        </w:rPr>
        <w:t>unable</w:t>
      </w:r>
      <w:r>
        <w:rPr>
          <w:spacing w:val="-10"/>
          <w:sz w:val="20"/>
        </w:rPr>
        <w:t> </w:t>
      </w:r>
      <w:r>
        <w:rPr>
          <w:sz w:val="20"/>
        </w:rPr>
        <w:t>to</w:t>
      </w:r>
      <w:r>
        <w:rPr>
          <w:spacing w:val="-9"/>
          <w:sz w:val="20"/>
        </w:rPr>
        <w:t> </w:t>
      </w:r>
      <w:r>
        <w:rPr>
          <w:sz w:val="20"/>
        </w:rPr>
        <w:t>serve</w:t>
      </w:r>
      <w:r>
        <w:rPr>
          <w:spacing w:val="-9"/>
          <w:sz w:val="20"/>
        </w:rPr>
        <w:t> </w:t>
      </w:r>
      <w:r>
        <w:rPr>
          <w:sz w:val="20"/>
        </w:rPr>
        <w:t>for </w:t>
      </w:r>
      <w:r>
        <w:rPr>
          <w:spacing w:val="-3"/>
          <w:sz w:val="20"/>
        </w:rPr>
        <w:t>any </w:t>
      </w:r>
      <w:r>
        <w:rPr>
          <w:sz w:val="20"/>
        </w:rPr>
        <w:t>other reason. A person who is </w:t>
      </w:r>
      <w:r>
        <w:rPr>
          <w:spacing w:val="-3"/>
          <w:sz w:val="20"/>
        </w:rPr>
        <w:t>excused by </w:t>
      </w:r>
      <w:r>
        <w:rPr>
          <w:sz w:val="20"/>
        </w:rPr>
        <w:t>the judge </w:t>
      </w:r>
      <w:r>
        <w:rPr>
          <w:spacing w:val="-3"/>
          <w:sz w:val="20"/>
        </w:rPr>
        <w:t>stays </w:t>
      </w:r>
      <w:r>
        <w:rPr>
          <w:sz w:val="20"/>
        </w:rPr>
        <w:t>in their seat but their ballot</w:t>
      </w:r>
      <w:r>
        <w:rPr>
          <w:spacing w:val="-10"/>
          <w:sz w:val="20"/>
        </w:rPr>
        <w:t> </w:t>
      </w:r>
      <w:r>
        <w:rPr>
          <w:sz w:val="20"/>
        </w:rPr>
        <w:t>card</w:t>
      </w:r>
      <w:r>
        <w:rPr>
          <w:spacing w:val="-10"/>
          <w:sz w:val="20"/>
        </w:rPr>
        <w:t> </w:t>
      </w:r>
      <w:r>
        <w:rPr>
          <w:sz w:val="20"/>
        </w:rPr>
        <w:t>does</w:t>
      </w:r>
      <w:r>
        <w:rPr>
          <w:spacing w:val="-10"/>
          <w:sz w:val="20"/>
        </w:rPr>
        <w:t> </w:t>
      </w:r>
      <w:r>
        <w:rPr>
          <w:sz w:val="20"/>
        </w:rPr>
        <w:t>not</w:t>
      </w:r>
      <w:r>
        <w:rPr>
          <w:spacing w:val="-10"/>
          <w:sz w:val="20"/>
        </w:rPr>
        <w:t> </w:t>
      </w:r>
      <w:r>
        <w:rPr>
          <w:sz w:val="20"/>
        </w:rPr>
        <w:t>go</w:t>
      </w:r>
      <w:r>
        <w:rPr>
          <w:spacing w:val="-10"/>
          <w:sz w:val="20"/>
        </w:rPr>
        <w:t> </w:t>
      </w:r>
      <w:r>
        <w:rPr>
          <w:spacing w:val="-3"/>
          <w:sz w:val="20"/>
        </w:rPr>
        <w:t>into</w:t>
      </w:r>
      <w:r>
        <w:rPr>
          <w:spacing w:val="-10"/>
          <w:sz w:val="20"/>
        </w:rPr>
        <w:t> </w:t>
      </w:r>
      <w:r>
        <w:rPr>
          <w:sz w:val="20"/>
        </w:rPr>
        <w:t>the</w:t>
      </w:r>
      <w:r>
        <w:rPr>
          <w:spacing w:val="-10"/>
          <w:sz w:val="20"/>
        </w:rPr>
        <w:t> </w:t>
      </w:r>
      <w:r>
        <w:rPr>
          <w:sz w:val="20"/>
        </w:rPr>
        <w:t>ballot</w:t>
      </w:r>
      <w:r>
        <w:rPr>
          <w:spacing w:val="-10"/>
          <w:sz w:val="20"/>
        </w:rPr>
        <w:t> </w:t>
      </w:r>
      <w:r>
        <w:rPr>
          <w:sz w:val="20"/>
        </w:rPr>
        <w:t>box.</w:t>
      </w:r>
      <w:r>
        <w:rPr>
          <w:position w:val="7"/>
          <w:sz w:val="11"/>
        </w:rPr>
        <w:t>47</w:t>
      </w:r>
      <w:r>
        <w:rPr>
          <w:spacing w:val="15"/>
          <w:position w:val="7"/>
          <w:sz w:val="11"/>
        </w:rPr>
        <w:t> </w:t>
      </w:r>
      <w:r>
        <w:rPr>
          <w:sz w:val="20"/>
        </w:rPr>
        <w:t>That</w:t>
      </w:r>
      <w:r>
        <w:rPr>
          <w:spacing w:val="-10"/>
          <w:sz w:val="20"/>
        </w:rPr>
        <w:t> </w:t>
      </w:r>
      <w:r>
        <w:rPr>
          <w:sz w:val="20"/>
        </w:rPr>
        <w:t>person</w:t>
      </w:r>
      <w:r>
        <w:rPr>
          <w:spacing w:val="-10"/>
          <w:sz w:val="20"/>
        </w:rPr>
        <w:t> </w:t>
      </w:r>
      <w:r>
        <w:rPr>
          <w:sz w:val="20"/>
        </w:rPr>
        <w:t>will</w:t>
      </w:r>
      <w:r>
        <w:rPr>
          <w:spacing w:val="-10"/>
          <w:sz w:val="20"/>
        </w:rPr>
        <w:t> </w:t>
      </w:r>
      <w:r>
        <w:rPr>
          <w:sz w:val="20"/>
        </w:rPr>
        <w:t>subsequently</w:t>
      </w:r>
      <w:r>
        <w:rPr>
          <w:spacing w:val="-10"/>
          <w:sz w:val="20"/>
        </w:rPr>
        <w:t> </w:t>
      </w:r>
      <w:r>
        <w:rPr>
          <w:spacing w:val="-3"/>
          <w:sz w:val="20"/>
        </w:rPr>
        <w:t>return</w:t>
      </w:r>
      <w:r>
        <w:rPr>
          <w:spacing w:val="-10"/>
          <w:sz w:val="20"/>
        </w:rPr>
        <w:t> </w:t>
      </w:r>
      <w:r>
        <w:rPr>
          <w:sz w:val="20"/>
        </w:rPr>
        <w:t>to</w:t>
      </w:r>
      <w:r>
        <w:rPr>
          <w:spacing w:val="-9"/>
          <w:sz w:val="20"/>
        </w:rPr>
        <w:t> </w:t>
      </w:r>
      <w:r>
        <w:rPr>
          <w:sz w:val="20"/>
        </w:rPr>
        <w:t>the jury</w:t>
      </w:r>
      <w:r>
        <w:rPr>
          <w:spacing w:val="-5"/>
          <w:sz w:val="20"/>
        </w:rPr>
        <w:t> </w:t>
      </w:r>
      <w:r>
        <w:rPr>
          <w:sz w:val="20"/>
        </w:rPr>
        <w:t>pool</w:t>
      </w:r>
      <w:r>
        <w:rPr>
          <w:spacing w:val="-5"/>
          <w:sz w:val="20"/>
        </w:rPr>
        <w:t> </w:t>
      </w:r>
      <w:r>
        <w:rPr>
          <w:sz w:val="20"/>
        </w:rPr>
        <w:t>room</w:t>
      </w:r>
      <w:r>
        <w:rPr>
          <w:spacing w:val="-4"/>
          <w:sz w:val="20"/>
        </w:rPr>
        <w:t> </w:t>
      </w:r>
      <w:r>
        <w:rPr>
          <w:sz w:val="20"/>
        </w:rPr>
        <w:t>to</w:t>
      </w:r>
      <w:r>
        <w:rPr>
          <w:spacing w:val="-5"/>
          <w:sz w:val="20"/>
        </w:rPr>
        <w:t> </w:t>
      </w:r>
      <w:r>
        <w:rPr>
          <w:sz w:val="20"/>
        </w:rPr>
        <w:t>potentially</w:t>
      </w:r>
      <w:r>
        <w:rPr>
          <w:spacing w:val="-5"/>
          <w:sz w:val="20"/>
        </w:rPr>
        <w:t> </w:t>
      </w:r>
      <w:r>
        <w:rPr>
          <w:sz w:val="20"/>
        </w:rPr>
        <w:t>serve</w:t>
      </w:r>
      <w:r>
        <w:rPr>
          <w:spacing w:val="-4"/>
          <w:sz w:val="20"/>
        </w:rPr>
        <w:t> </w:t>
      </w:r>
      <w:r>
        <w:rPr>
          <w:sz w:val="20"/>
        </w:rPr>
        <w:t>on</w:t>
      </w:r>
      <w:r>
        <w:rPr>
          <w:spacing w:val="-5"/>
          <w:sz w:val="20"/>
        </w:rPr>
        <w:t> </w:t>
      </w:r>
      <w:r>
        <w:rPr>
          <w:sz w:val="20"/>
        </w:rPr>
        <w:t>another</w:t>
      </w:r>
      <w:r>
        <w:rPr>
          <w:spacing w:val="-5"/>
          <w:sz w:val="20"/>
        </w:rPr>
        <w:t> </w:t>
      </w:r>
      <w:r>
        <w:rPr>
          <w:sz w:val="20"/>
        </w:rPr>
        <w:t>trial.</w:t>
      </w:r>
      <w:r>
        <w:rPr>
          <w:position w:val="7"/>
          <w:sz w:val="11"/>
        </w:rPr>
        <w:t>48</w:t>
      </w:r>
    </w:p>
    <w:p>
      <w:pPr>
        <w:pStyle w:val="ListParagraph"/>
        <w:numPr>
          <w:ilvl w:val="1"/>
          <w:numId w:val="12"/>
        </w:numPr>
        <w:tabs>
          <w:tab w:pos="1761" w:val="left" w:leader="none"/>
          <w:tab w:pos="1762" w:val="left" w:leader="none"/>
        </w:tabs>
        <w:spacing w:line="206" w:lineRule="auto" w:before="130" w:after="0"/>
        <w:ind w:left="1761" w:right="1446" w:hanging="794"/>
        <w:jc w:val="left"/>
        <w:rPr>
          <w:sz w:val="20"/>
        </w:rPr>
      </w:pPr>
      <w:r>
        <w:rPr>
          <w:sz w:val="20"/>
        </w:rPr>
        <w:t>Each remaining jury panel member’s card is then placed in the ballot box. Panel members </w:t>
      </w:r>
      <w:r>
        <w:rPr>
          <w:spacing w:val="-3"/>
          <w:sz w:val="20"/>
        </w:rPr>
        <w:t>are </w:t>
      </w:r>
      <w:r>
        <w:rPr>
          <w:sz w:val="20"/>
        </w:rPr>
        <w:t>selected </w:t>
      </w:r>
      <w:r>
        <w:rPr>
          <w:spacing w:val="-3"/>
          <w:sz w:val="20"/>
        </w:rPr>
        <w:t>from </w:t>
      </w:r>
      <w:r>
        <w:rPr>
          <w:sz w:val="20"/>
        </w:rPr>
        <w:t>the ballot box, one at a time. The parties </w:t>
      </w:r>
      <w:r>
        <w:rPr>
          <w:spacing w:val="-3"/>
          <w:sz w:val="20"/>
        </w:rPr>
        <w:t>are </w:t>
      </w:r>
      <w:r>
        <w:rPr>
          <w:sz w:val="20"/>
        </w:rPr>
        <w:t>then able to challenge potential jurors to </w:t>
      </w:r>
      <w:r>
        <w:rPr>
          <w:spacing w:val="-3"/>
          <w:sz w:val="20"/>
        </w:rPr>
        <w:t>exclude </w:t>
      </w:r>
      <w:r>
        <w:rPr>
          <w:sz w:val="20"/>
        </w:rPr>
        <w:t>them </w:t>
      </w:r>
      <w:r>
        <w:rPr>
          <w:spacing w:val="-3"/>
          <w:sz w:val="20"/>
        </w:rPr>
        <w:t>from </w:t>
      </w:r>
      <w:r>
        <w:rPr>
          <w:sz w:val="20"/>
        </w:rPr>
        <w:t>the jury.</w:t>
      </w:r>
      <w:r>
        <w:rPr>
          <w:position w:val="7"/>
          <w:sz w:val="11"/>
        </w:rPr>
        <w:t>49 </w:t>
      </w:r>
      <w:r>
        <w:rPr>
          <w:sz w:val="20"/>
        </w:rPr>
        <w:t>The </w:t>
      </w:r>
      <w:r>
        <w:rPr>
          <w:spacing w:val="-3"/>
          <w:sz w:val="20"/>
        </w:rPr>
        <w:t>only </w:t>
      </w:r>
      <w:r>
        <w:rPr>
          <w:sz w:val="20"/>
        </w:rPr>
        <w:t>information that parties </w:t>
      </w:r>
      <w:r>
        <w:rPr>
          <w:spacing w:val="-3"/>
          <w:sz w:val="20"/>
        </w:rPr>
        <w:t>are </w:t>
      </w:r>
      <w:r>
        <w:rPr>
          <w:sz w:val="20"/>
        </w:rPr>
        <w:t>given to base challenges on </w:t>
      </w:r>
      <w:r>
        <w:rPr>
          <w:spacing w:val="-3"/>
          <w:sz w:val="20"/>
        </w:rPr>
        <w:t>are </w:t>
      </w:r>
      <w:r>
        <w:rPr>
          <w:sz w:val="20"/>
        </w:rPr>
        <w:t>the person’s juror number </w:t>
      </w:r>
      <w:r>
        <w:rPr>
          <w:spacing w:val="-3"/>
          <w:sz w:val="20"/>
        </w:rPr>
        <w:t>(or </w:t>
      </w:r>
      <w:r>
        <w:rPr>
          <w:sz w:val="20"/>
        </w:rPr>
        <w:t>name if</w:t>
      </w:r>
      <w:r>
        <w:rPr>
          <w:spacing w:val="-10"/>
          <w:sz w:val="20"/>
        </w:rPr>
        <w:t> </w:t>
      </w:r>
      <w:r>
        <w:rPr>
          <w:sz w:val="20"/>
        </w:rPr>
        <w:t>directed</w:t>
      </w:r>
      <w:r>
        <w:rPr>
          <w:spacing w:val="-9"/>
          <w:sz w:val="20"/>
        </w:rPr>
        <w:t> </w:t>
      </w:r>
      <w:r>
        <w:rPr>
          <w:spacing w:val="-3"/>
          <w:sz w:val="20"/>
        </w:rPr>
        <w:t>by</w:t>
      </w:r>
      <w:r>
        <w:rPr>
          <w:spacing w:val="-10"/>
          <w:sz w:val="20"/>
        </w:rPr>
        <w:t> </w:t>
      </w:r>
      <w:r>
        <w:rPr>
          <w:sz w:val="20"/>
        </w:rPr>
        <w:t>the</w:t>
      </w:r>
      <w:r>
        <w:rPr>
          <w:spacing w:val="-9"/>
          <w:sz w:val="20"/>
        </w:rPr>
        <w:t> </w:t>
      </w:r>
      <w:r>
        <w:rPr>
          <w:sz w:val="20"/>
        </w:rPr>
        <w:t>judge)</w:t>
      </w:r>
      <w:r>
        <w:rPr>
          <w:spacing w:val="-10"/>
          <w:sz w:val="20"/>
        </w:rPr>
        <w:t> </w:t>
      </w:r>
      <w:r>
        <w:rPr>
          <w:sz w:val="20"/>
        </w:rPr>
        <w:t>and</w:t>
      </w:r>
      <w:r>
        <w:rPr>
          <w:spacing w:val="-9"/>
          <w:sz w:val="20"/>
        </w:rPr>
        <w:t> </w:t>
      </w:r>
      <w:r>
        <w:rPr>
          <w:sz w:val="20"/>
        </w:rPr>
        <w:t>their</w:t>
      </w:r>
      <w:r>
        <w:rPr>
          <w:spacing w:val="-10"/>
          <w:sz w:val="20"/>
        </w:rPr>
        <w:t> </w:t>
      </w:r>
      <w:r>
        <w:rPr>
          <w:spacing w:val="-3"/>
          <w:sz w:val="20"/>
        </w:rPr>
        <w:t>current</w:t>
      </w:r>
      <w:r>
        <w:rPr>
          <w:spacing w:val="-9"/>
          <w:sz w:val="20"/>
        </w:rPr>
        <w:t> </w:t>
      </w:r>
      <w:r>
        <w:rPr>
          <w:sz w:val="20"/>
        </w:rPr>
        <w:t>occupation.</w:t>
      </w:r>
      <w:r>
        <w:rPr>
          <w:position w:val="7"/>
          <w:sz w:val="11"/>
        </w:rPr>
        <w:t>50</w:t>
      </w:r>
      <w:r>
        <w:rPr>
          <w:spacing w:val="15"/>
          <w:position w:val="7"/>
          <w:sz w:val="11"/>
        </w:rPr>
        <w:t> </w:t>
      </w:r>
      <w:r>
        <w:rPr>
          <w:sz w:val="20"/>
        </w:rPr>
        <w:t>The</w:t>
      </w:r>
      <w:r>
        <w:rPr>
          <w:spacing w:val="-9"/>
          <w:sz w:val="20"/>
        </w:rPr>
        <w:t> </w:t>
      </w:r>
      <w:r>
        <w:rPr>
          <w:spacing w:val="-2"/>
          <w:sz w:val="20"/>
        </w:rPr>
        <w:t>physical</w:t>
      </w:r>
      <w:r>
        <w:rPr>
          <w:spacing w:val="-10"/>
          <w:sz w:val="20"/>
        </w:rPr>
        <w:t> </w:t>
      </w:r>
      <w:r>
        <w:rPr>
          <w:sz w:val="20"/>
        </w:rPr>
        <w:t>appearance</w:t>
      </w:r>
      <w:r>
        <w:rPr>
          <w:spacing w:val="-9"/>
          <w:sz w:val="20"/>
        </w:rPr>
        <w:t> </w:t>
      </w:r>
      <w:r>
        <w:rPr>
          <w:sz w:val="20"/>
        </w:rPr>
        <w:t>and</w:t>
      </w:r>
    </w:p>
    <w:p>
      <w:pPr>
        <w:pStyle w:val="BodyText"/>
        <w:spacing w:line="206" w:lineRule="auto" w:before="7"/>
        <w:ind w:left="1761" w:right="1279"/>
        <w:jc w:val="both"/>
        <w:rPr>
          <w:sz w:val="11"/>
        </w:rPr>
      </w:pPr>
      <w:r>
        <w:rPr/>
        <w:t>demeanour</w:t>
      </w:r>
      <w:r>
        <w:rPr>
          <w:spacing w:val="-10"/>
        </w:rPr>
        <w:t> </w:t>
      </w:r>
      <w:r>
        <w:rPr/>
        <w:t>of</w:t>
      </w:r>
      <w:r>
        <w:rPr>
          <w:spacing w:val="-9"/>
        </w:rPr>
        <w:t> </w:t>
      </w:r>
      <w:r>
        <w:rPr/>
        <w:t>the</w:t>
      </w:r>
      <w:r>
        <w:rPr>
          <w:spacing w:val="-9"/>
        </w:rPr>
        <w:t> </w:t>
      </w:r>
      <w:r>
        <w:rPr/>
        <w:t>potential</w:t>
      </w:r>
      <w:r>
        <w:rPr>
          <w:spacing w:val="-9"/>
        </w:rPr>
        <w:t> </w:t>
      </w:r>
      <w:r>
        <w:rPr/>
        <w:t>jurors</w:t>
      </w:r>
      <w:r>
        <w:rPr>
          <w:spacing w:val="-9"/>
        </w:rPr>
        <w:t> </w:t>
      </w:r>
      <w:r>
        <w:rPr/>
        <w:t>is</w:t>
      </w:r>
      <w:r>
        <w:rPr>
          <w:spacing w:val="-9"/>
        </w:rPr>
        <w:t> </w:t>
      </w:r>
      <w:r>
        <w:rPr>
          <w:spacing w:val="-3"/>
        </w:rPr>
        <w:t>revealed</w:t>
      </w:r>
      <w:r>
        <w:rPr>
          <w:spacing w:val="-9"/>
        </w:rPr>
        <w:t> </w:t>
      </w:r>
      <w:r>
        <w:rPr>
          <w:spacing w:val="-3"/>
        </w:rPr>
        <w:t>by</w:t>
      </w:r>
      <w:r>
        <w:rPr>
          <w:spacing w:val="-9"/>
        </w:rPr>
        <w:t> </w:t>
      </w:r>
      <w:r>
        <w:rPr/>
        <w:t>their</w:t>
      </w:r>
      <w:r>
        <w:rPr>
          <w:spacing w:val="-10"/>
        </w:rPr>
        <w:t> </w:t>
      </w:r>
      <w:r>
        <w:rPr/>
        <w:t>presence.</w:t>
      </w:r>
      <w:r>
        <w:rPr>
          <w:position w:val="7"/>
          <w:sz w:val="11"/>
        </w:rPr>
        <w:t>51</w:t>
      </w:r>
      <w:r>
        <w:rPr>
          <w:spacing w:val="16"/>
          <w:position w:val="7"/>
          <w:sz w:val="11"/>
        </w:rPr>
        <w:t> </w:t>
      </w:r>
      <w:r>
        <w:rPr/>
        <w:t>The</w:t>
      </w:r>
      <w:r>
        <w:rPr>
          <w:spacing w:val="-9"/>
        </w:rPr>
        <w:t> </w:t>
      </w:r>
      <w:r>
        <w:rPr>
          <w:spacing w:val="-2"/>
        </w:rPr>
        <w:t>Act</w:t>
      </w:r>
      <w:r>
        <w:rPr>
          <w:spacing w:val="-9"/>
        </w:rPr>
        <w:t> </w:t>
      </w:r>
      <w:r>
        <w:rPr>
          <w:spacing w:val="-3"/>
        </w:rPr>
        <w:t>provides</w:t>
      </w:r>
      <w:r>
        <w:rPr>
          <w:spacing w:val="-9"/>
        </w:rPr>
        <w:t> </w:t>
      </w:r>
      <w:r>
        <w:rPr/>
        <w:t>that each</w:t>
      </w:r>
      <w:r>
        <w:rPr>
          <w:spacing w:val="-11"/>
        </w:rPr>
        <w:t> </w:t>
      </w:r>
      <w:r>
        <w:rPr/>
        <w:t>person</w:t>
      </w:r>
      <w:r>
        <w:rPr>
          <w:spacing w:val="-10"/>
        </w:rPr>
        <w:t> </w:t>
      </w:r>
      <w:r>
        <w:rPr/>
        <w:t>who</w:t>
      </w:r>
      <w:r>
        <w:rPr>
          <w:spacing w:val="-10"/>
        </w:rPr>
        <w:t> </w:t>
      </w:r>
      <w:r>
        <w:rPr/>
        <w:t>is</w:t>
      </w:r>
      <w:r>
        <w:rPr>
          <w:spacing w:val="-10"/>
        </w:rPr>
        <w:t> </w:t>
      </w:r>
      <w:r>
        <w:rPr/>
        <w:t>arraigned</w:t>
      </w:r>
      <w:r>
        <w:rPr>
          <w:spacing w:val="-11"/>
        </w:rPr>
        <w:t> </w:t>
      </w:r>
      <w:r>
        <w:rPr/>
        <w:t>must</w:t>
      </w:r>
      <w:r>
        <w:rPr>
          <w:spacing w:val="-10"/>
        </w:rPr>
        <w:t> </w:t>
      </w:r>
      <w:r>
        <w:rPr/>
        <w:t>be</w:t>
      </w:r>
      <w:r>
        <w:rPr>
          <w:spacing w:val="-10"/>
        </w:rPr>
        <w:t> </w:t>
      </w:r>
      <w:r>
        <w:rPr/>
        <w:t>given</w:t>
      </w:r>
      <w:r>
        <w:rPr>
          <w:spacing w:val="-10"/>
        </w:rPr>
        <w:t> </w:t>
      </w:r>
      <w:r>
        <w:rPr>
          <w:spacing w:val="-3"/>
        </w:rPr>
        <w:t>‘an</w:t>
      </w:r>
      <w:r>
        <w:rPr>
          <w:spacing w:val="-11"/>
        </w:rPr>
        <w:t> </w:t>
      </w:r>
      <w:r>
        <w:rPr/>
        <w:t>adequate</w:t>
      </w:r>
      <w:r>
        <w:rPr>
          <w:spacing w:val="-10"/>
        </w:rPr>
        <w:t> </w:t>
      </w:r>
      <w:r>
        <w:rPr/>
        <w:t>opportunity</w:t>
      </w:r>
      <w:r>
        <w:rPr>
          <w:spacing w:val="-10"/>
        </w:rPr>
        <w:t> </w:t>
      </w:r>
      <w:r>
        <w:rPr/>
        <w:t>to</w:t>
      </w:r>
      <w:r>
        <w:rPr>
          <w:spacing w:val="-10"/>
        </w:rPr>
        <w:t> </w:t>
      </w:r>
      <w:r>
        <w:rPr/>
        <w:t>view</w:t>
      </w:r>
      <w:r>
        <w:rPr>
          <w:spacing w:val="-11"/>
        </w:rPr>
        <w:t> </w:t>
      </w:r>
      <w:r>
        <w:rPr/>
        <w:t>the</w:t>
      </w:r>
      <w:r>
        <w:rPr>
          <w:spacing w:val="-10"/>
        </w:rPr>
        <w:t> </w:t>
      </w:r>
      <w:r>
        <w:rPr/>
        <w:t>face of the potential juror’ </w:t>
      </w:r>
      <w:r>
        <w:rPr>
          <w:spacing w:val="-3"/>
        </w:rPr>
        <w:t>before </w:t>
      </w:r>
      <w:r>
        <w:rPr/>
        <w:t>they </w:t>
      </w:r>
      <w:r>
        <w:rPr>
          <w:spacing w:val="-3"/>
        </w:rPr>
        <w:t>are</w:t>
      </w:r>
      <w:r>
        <w:rPr>
          <w:spacing w:val="-28"/>
        </w:rPr>
        <w:t> </w:t>
      </w:r>
      <w:r>
        <w:rPr/>
        <w:t>seated.</w:t>
      </w:r>
      <w:r>
        <w:rPr>
          <w:position w:val="7"/>
          <w:sz w:val="11"/>
        </w:rPr>
        <w:t>52</w:t>
      </w:r>
    </w:p>
    <w:p>
      <w:pPr>
        <w:pStyle w:val="ListParagraph"/>
        <w:numPr>
          <w:ilvl w:val="1"/>
          <w:numId w:val="12"/>
        </w:numPr>
        <w:tabs>
          <w:tab w:pos="1761" w:val="left" w:leader="none"/>
          <w:tab w:pos="1762" w:val="left" w:leader="none"/>
        </w:tabs>
        <w:spacing w:line="206" w:lineRule="auto" w:before="124" w:after="0"/>
        <w:ind w:left="1761" w:right="1506" w:hanging="794"/>
        <w:jc w:val="left"/>
        <w:rPr>
          <w:sz w:val="20"/>
        </w:rPr>
      </w:pPr>
      <w:r>
        <w:rPr>
          <w:sz w:val="20"/>
        </w:rPr>
        <w:t>The</w:t>
      </w:r>
      <w:r>
        <w:rPr>
          <w:spacing w:val="-10"/>
          <w:sz w:val="20"/>
        </w:rPr>
        <w:t> </w:t>
      </w:r>
      <w:r>
        <w:rPr>
          <w:sz w:val="20"/>
        </w:rPr>
        <w:t>two</w:t>
      </w:r>
      <w:r>
        <w:rPr>
          <w:spacing w:val="-9"/>
          <w:sz w:val="20"/>
        </w:rPr>
        <w:t> </w:t>
      </w:r>
      <w:r>
        <w:rPr>
          <w:sz w:val="20"/>
        </w:rPr>
        <w:t>most</w:t>
      </w:r>
      <w:r>
        <w:rPr>
          <w:spacing w:val="-9"/>
          <w:sz w:val="20"/>
        </w:rPr>
        <w:t> </w:t>
      </w:r>
      <w:r>
        <w:rPr>
          <w:sz w:val="20"/>
        </w:rPr>
        <w:t>common</w:t>
      </w:r>
      <w:r>
        <w:rPr>
          <w:spacing w:val="-9"/>
          <w:sz w:val="20"/>
        </w:rPr>
        <w:t> </w:t>
      </w:r>
      <w:r>
        <w:rPr>
          <w:sz w:val="20"/>
        </w:rPr>
        <w:t>types</w:t>
      </w:r>
      <w:r>
        <w:rPr>
          <w:spacing w:val="-9"/>
          <w:sz w:val="20"/>
        </w:rPr>
        <w:t> </w:t>
      </w:r>
      <w:r>
        <w:rPr>
          <w:sz w:val="20"/>
        </w:rPr>
        <w:t>of</w:t>
      </w:r>
      <w:r>
        <w:rPr>
          <w:spacing w:val="-9"/>
          <w:sz w:val="20"/>
        </w:rPr>
        <w:t> </w:t>
      </w:r>
      <w:r>
        <w:rPr>
          <w:sz w:val="20"/>
        </w:rPr>
        <w:t>challenges:</w:t>
      </w:r>
      <w:r>
        <w:rPr>
          <w:spacing w:val="-9"/>
          <w:sz w:val="20"/>
        </w:rPr>
        <w:t> </w:t>
      </w:r>
      <w:r>
        <w:rPr>
          <w:sz w:val="20"/>
        </w:rPr>
        <w:t>‘peremptory</w:t>
      </w:r>
      <w:r>
        <w:rPr>
          <w:spacing w:val="-9"/>
          <w:sz w:val="20"/>
        </w:rPr>
        <w:t> </w:t>
      </w:r>
      <w:r>
        <w:rPr>
          <w:spacing w:val="-3"/>
          <w:sz w:val="20"/>
        </w:rPr>
        <w:t>challenges’</w:t>
      </w:r>
      <w:r>
        <w:rPr>
          <w:spacing w:val="-9"/>
          <w:sz w:val="20"/>
        </w:rPr>
        <w:t> </w:t>
      </w:r>
      <w:r>
        <w:rPr>
          <w:sz w:val="20"/>
        </w:rPr>
        <w:t>and</w:t>
      </w:r>
      <w:r>
        <w:rPr>
          <w:spacing w:val="-9"/>
          <w:sz w:val="20"/>
        </w:rPr>
        <w:t> </w:t>
      </w:r>
      <w:r>
        <w:rPr>
          <w:sz w:val="20"/>
        </w:rPr>
        <w:t>the</w:t>
      </w:r>
      <w:r>
        <w:rPr>
          <w:spacing w:val="-9"/>
          <w:sz w:val="20"/>
        </w:rPr>
        <w:t> </w:t>
      </w:r>
      <w:r>
        <w:rPr>
          <w:spacing w:val="-4"/>
          <w:sz w:val="20"/>
        </w:rPr>
        <w:t>Crown </w:t>
      </w:r>
      <w:r>
        <w:rPr>
          <w:sz w:val="20"/>
        </w:rPr>
        <w:t>‘stand</w:t>
      </w:r>
      <w:r>
        <w:rPr>
          <w:spacing w:val="-5"/>
          <w:sz w:val="20"/>
        </w:rPr>
        <w:t> </w:t>
      </w:r>
      <w:r>
        <w:rPr>
          <w:sz w:val="20"/>
        </w:rPr>
        <w:t>aside’</w:t>
      </w:r>
      <w:r>
        <w:rPr>
          <w:spacing w:val="-5"/>
          <w:sz w:val="20"/>
        </w:rPr>
        <w:t> </w:t>
      </w:r>
      <w:r>
        <w:rPr>
          <w:sz w:val="20"/>
        </w:rPr>
        <w:t>in</w:t>
      </w:r>
      <w:r>
        <w:rPr>
          <w:spacing w:val="-5"/>
          <w:sz w:val="20"/>
        </w:rPr>
        <w:t> </w:t>
      </w:r>
      <w:r>
        <w:rPr>
          <w:sz w:val="20"/>
        </w:rPr>
        <w:t>criminal</w:t>
      </w:r>
      <w:r>
        <w:rPr>
          <w:spacing w:val="-5"/>
          <w:sz w:val="20"/>
        </w:rPr>
        <w:t> </w:t>
      </w:r>
      <w:r>
        <w:rPr>
          <w:sz w:val="20"/>
        </w:rPr>
        <w:t>trials,</w:t>
      </w:r>
      <w:r>
        <w:rPr>
          <w:spacing w:val="-5"/>
          <w:sz w:val="20"/>
        </w:rPr>
        <w:t> </w:t>
      </w:r>
      <w:r>
        <w:rPr>
          <w:spacing w:val="-3"/>
          <w:sz w:val="20"/>
        </w:rPr>
        <w:t>are</w:t>
      </w:r>
      <w:r>
        <w:rPr>
          <w:spacing w:val="-4"/>
          <w:sz w:val="20"/>
        </w:rPr>
        <w:t> </w:t>
      </w:r>
      <w:r>
        <w:rPr>
          <w:sz w:val="20"/>
        </w:rPr>
        <w:t>discussed</w:t>
      </w:r>
      <w:r>
        <w:rPr>
          <w:spacing w:val="-5"/>
          <w:sz w:val="20"/>
        </w:rPr>
        <w:t> </w:t>
      </w:r>
      <w:r>
        <w:rPr>
          <w:sz w:val="20"/>
        </w:rPr>
        <w:t>in</w:t>
      </w:r>
      <w:r>
        <w:rPr>
          <w:spacing w:val="-5"/>
          <w:sz w:val="20"/>
        </w:rPr>
        <w:t> </w:t>
      </w:r>
      <w:r>
        <w:rPr>
          <w:spacing w:val="-2"/>
          <w:sz w:val="20"/>
        </w:rPr>
        <w:t>Chapter</w:t>
      </w:r>
      <w:r>
        <w:rPr>
          <w:spacing w:val="-5"/>
          <w:sz w:val="20"/>
        </w:rPr>
        <w:t> </w:t>
      </w:r>
      <w:r>
        <w:rPr>
          <w:spacing w:val="-9"/>
          <w:sz w:val="20"/>
        </w:rPr>
        <w:t>17.</w:t>
      </w:r>
    </w:p>
    <w:p>
      <w:pPr>
        <w:pStyle w:val="BodyText"/>
      </w:pPr>
    </w:p>
    <w:p>
      <w:pPr>
        <w:pStyle w:val="BodyText"/>
        <w:rPr>
          <w:sz w:val="11"/>
        </w:rPr>
      </w:pPr>
      <w:r>
        <w:rPr/>
        <w:pict>
          <v:line style="position:absolute;mso-position-horizontal-relative:page;mso-position-vertical-relative:paragraph;z-index:632;mso-wrap-distance-left:0;mso-wrap-distance-right:0" from="79.370102pt,10.0866pt" to="515.905102pt,10.0866pt" stroked="true" strokeweight="1pt" strokecolor="#b6bdc8">
            <v:stroke dashstyle="solid"/>
            <w10:wrap type="topAndBottom"/>
          </v:line>
        </w:pict>
      </w:r>
    </w:p>
    <w:p>
      <w:pPr>
        <w:pStyle w:val="ListParagraph"/>
        <w:numPr>
          <w:ilvl w:val="0"/>
          <w:numId w:val="17"/>
        </w:numPr>
        <w:tabs>
          <w:tab w:pos="1760" w:val="left" w:leader="none"/>
          <w:tab w:pos="1762" w:val="left" w:leader="none"/>
        </w:tabs>
        <w:spacing w:line="213" w:lineRule="auto" w:before="107" w:after="0"/>
        <w:ind w:left="1761" w:right="1357" w:hanging="794"/>
        <w:jc w:val="left"/>
        <w:rPr>
          <w:sz w:val="13"/>
        </w:rPr>
      </w:pPr>
      <w:r>
        <w:rPr>
          <w:sz w:val="13"/>
        </w:rPr>
        <w:t>Juries Victoria told us that in 2018–2019 the average length of civil and criminal </w:t>
      </w:r>
      <w:r>
        <w:rPr>
          <w:spacing w:val="2"/>
          <w:sz w:val="13"/>
        </w:rPr>
        <w:t>trials </w:t>
      </w:r>
      <w:r>
        <w:rPr>
          <w:sz w:val="13"/>
        </w:rPr>
        <w:t>was eight days in the County </w:t>
      </w:r>
      <w:r>
        <w:rPr>
          <w:spacing w:val="2"/>
          <w:sz w:val="13"/>
        </w:rPr>
        <w:t>Court </w:t>
      </w:r>
      <w:r>
        <w:rPr>
          <w:sz w:val="13"/>
        </w:rPr>
        <w:t>and 16 days</w:t>
      </w:r>
      <w:r>
        <w:rPr>
          <w:spacing w:val="3"/>
          <w:sz w:val="13"/>
        </w:rPr>
        <w:t> </w:t>
      </w:r>
      <w:r>
        <w:rPr>
          <w:sz w:val="13"/>
        </w:rPr>
        <w:t>in</w:t>
      </w:r>
      <w:r>
        <w:rPr>
          <w:spacing w:val="4"/>
          <w:sz w:val="13"/>
        </w:rPr>
        <w:t> </w:t>
      </w:r>
      <w:r>
        <w:rPr>
          <w:sz w:val="13"/>
        </w:rPr>
        <w:t>the</w:t>
      </w:r>
      <w:r>
        <w:rPr>
          <w:spacing w:val="4"/>
          <w:sz w:val="13"/>
        </w:rPr>
        <w:t> </w:t>
      </w:r>
      <w:r>
        <w:rPr>
          <w:sz w:val="13"/>
        </w:rPr>
        <w:t>Supreme</w:t>
      </w:r>
      <w:r>
        <w:rPr>
          <w:spacing w:val="3"/>
          <w:sz w:val="13"/>
        </w:rPr>
        <w:t> </w:t>
      </w:r>
      <w:r>
        <w:rPr>
          <w:spacing w:val="2"/>
          <w:sz w:val="13"/>
        </w:rPr>
        <w:t>Court:</w:t>
      </w:r>
      <w:r>
        <w:rPr>
          <w:spacing w:val="4"/>
          <w:sz w:val="13"/>
        </w:rPr>
        <w:t> </w:t>
      </w:r>
      <w:r>
        <w:rPr>
          <w:sz w:val="13"/>
        </w:rPr>
        <w:t>Information</w:t>
      </w:r>
      <w:r>
        <w:rPr>
          <w:spacing w:val="4"/>
          <w:sz w:val="13"/>
        </w:rPr>
        <w:t> </w:t>
      </w:r>
      <w:r>
        <w:rPr>
          <w:sz w:val="13"/>
        </w:rPr>
        <w:t>provided</w:t>
      </w:r>
      <w:r>
        <w:rPr>
          <w:spacing w:val="3"/>
          <w:sz w:val="13"/>
        </w:rPr>
        <w:t> </w:t>
      </w:r>
      <w:r>
        <w:rPr>
          <w:sz w:val="13"/>
        </w:rPr>
        <w:t>by</w:t>
      </w:r>
      <w:r>
        <w:rPr>
          <w:spacing w:val="4"/>
          <w:sz w:val="13"/>
        </w:rPr>
        <w:t> </w:t>
      </w:r>
      <w:r>
        <w:rPr>
          <w:sz w:val="13"/>
        </w:rPr>
        <w:t>Juries</w:t>
      </w:r>
      <w:r>
        <w:rPr>
          <w:spacing w:val="4"/>
          <w:sz w:val="13"/>
        </w:rPr>
        <w:t> </w:t>
      </w:r>
      <w:r>
        <w:rPr>
          <w:sz w:val="13"/>
        </w:rPr>
        <w:t>Victoria</w:t>
      </w:r>
      <w:r>
        <w:rPr>
          <w:spacing w:val="4"/>
          <w:sz w:val="13"/>
        </w:rPr>
        <w:t> </w:t>
      </w:r>
      <w:r>
        <w:rPr>
          <w:sz w:val="13"/>
        </w:rPr>
        <w:t>to</w:t>
      </w:r>
      <w:r>
        <w:rPr>
          <w:spacing w:val="3"/>
          <w:sz w:val="13"/>
        </w:rPr>
        <w:t> </w:t>
      </w:r>
      <w:r>
        <w:rPr>
          <w:sz w:val="13"/>
        </w:rPr>
        <w:t>Victorian</w:t>
      </w:r>
      <w:r>
        <w:rPr>
          <w:spacing w:val="4"/>
          <w:sz w:val="13"/>
        </w:rPr>
        <w:t> </w:t>
      </w:r>
      <w:r>
        <w:rPr>
          <w:sz w:val="13"/>
        </w:rPr>
        <w:t>Law</w:t>
      </w:r>
      <w:r>
        <w:rPr>
          <w:spacing w:val="4"/>
          <w:sz w:val="13"/>
        </w:rPr>
        <w:t> </w:t>
      </w:r>
      <w:r>
        <w:rPr>
          <w:sz w:val="13"/>
        </w:rPr>
        <w:t>Reform</w:t>
      </w:r>
      <w:r>
        <w:rPr>
          <w:spacing w:val="3"/>
          <w:sz w:val="13"/>
        </w:rPr>
        <w:t> </w:t>
      </w:r>
      <w:r>
        <w:rPr>
          <w:spacing w:val="2"/>
          <w:sz w:val="13"/>
        </w:rPr>
        <w:t>Commission,</w:t>
      </w:r>
      <w:r>
        <w:rPr>
          <w:spacing w:val="4"/>
          <w:sz w:val="13"/>
        </w:rPr>
        <w:t> </w:t>
      </w:r>
      <w:r>
        <w:rPr>
          <w:sz w:val="13"/>
        </w:rPr>
        <w:t>6</w:t>
      </w:r>
      <w:r>
        <w:rPr>
          <w:spacing w:val="4"/>
          <w:sz w:val="13"/>
        </w:rPr>
        <w:t> </w:t>
      </w:r>
      <w:r>
        <w:rPr>
          <w:sz w:val="13"/>
        </w:rPr>
        <w:t>June</w:t>
      </w:r>
      <w:r>
        <w:rPr>
          <w:spacing w:val="4"/>
          <w:sz w:val="13"/>
        </w:rPr>
        <w:t> </w:t>
      </w:r>
      <w:r>
        <w:rPr>
          <w:sz w:val="13"/>
        </w:rPr>
        <w:t>2022.</w:t>
      </w:r>
    </w:p>
    <w:p>
      <w:pPr>
        <w:pStyle w:val="ListParagraph"/>
        <w:numPr>
          <w:ilvl w:val="0"/>
          <w:numId w:val="17"/>
        </w:numPr>
        <w:tabs>
          <w:tab w:pos="1760" w:val="left" w:leader="none"/>
          <w:tab w:pos="1762" w:val="left" w:leader="none"/>
        </w:tabs>
        <w:spacing w:line="153" w:lineRule="exact" w:before="0" w:after="0"/>
        <w:ind w:left="1761" w:right="0" w:hanging="794"/>
        <w:jc w:val="left"/>
        <w:rPr>
          <w:sz w:val="13"/>
        </w:rPr>
      </w:pP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15</w:t>
      </w:r>
      <w:r>
        <w:rPr>
          <w:spacing w:val="2"/>
          <w:sz w:val="13"/>
        </w:rPr>
        <w:t> </w:t>
      </w:r>
      <w:r>
        <w:rPr>
          <w:sz w:val="13"/>
        </w:rPr>
        <w:t>[2.47].</w:t>
      </w:r>
    </w:p>
    <w:p>
      <w:pPr>
        <w:pStyle w:val="ListParagraph"/>
        <w:numPr>
          <w:ilvl w:val="0"/>
          <w:numId w:val="17"/>
        </w:numPr>
        <w:tabs>
          <w:tab w:pos="1761" w:val="left" w:leader="none"/>
          <w:tab w:pos="1762" w:val="left" w:leader="none"/>
        </w:tabs>
        <w:spacing w:line="213" w:lineRule="auto" w:before="6" w:after="0"/>
        <w:ind w:left="1760" w:right="1259" w:hanging="793"/>
        <w:jc w:val="left"/>
        <w:rPr>
          <w:sz w:val="13"/>
        </w:rPr>
      </w:pPr>
      <w:r>
        <w:rPr>
          <w:sz w:val="13"/>
        </w:rPr>
        <w:t>The Juries </w:t>
      </w:r>
      <w:r>
        <w:rPr>
          <w:spacing w:val="2"/>
          <w:sz w:val="13"/>
        </w:rPr>
        <w:t>Commissioner </w:t>
      </w:r>
      <w:r>
        <w:rPr>
          <w:sz w:val="13"/>
        </w:rPr>
        <w:t>may exclude a person from a pool if the Juries </w:t>
      </w:r>
      <w:r>
        <w:rPr>
          <w:spacing w:val="2"/>
          <w:sz w:val="13"/>
        </w:rPr>
        <w:t>Commissioner </w:t>
      </w:r>
      <w:r>
        <w:rPr>
          <w:sz w:val="13"/>
        </w:rPr>
        <w:t>is satisfied that the person is unavailable  to sit on a trial due to the likely length of the </w:t>
      </w:r>
      <w:r>
        <w:rPr>
          <w:spacing w:val="2"/>
          <w:sz w:val="13"/>
        </w:rPr>
        <w:t>trial: </w:t>
      </w:r>
      <w:r>
        <w:rPr>
          <w:i/>
          <w:sz w:val="13"/>
        </w:rPr>
        <w:t>Juries Act 2000 </w:t>
      </w:r>
      <w:r>
        <w:rPr>
          <w:spacing w:val="2"/>
          <w:sz w:val="13"/>
        </w:rPr>
        <w:t>(Vic) </w:t>
      </w:r>
      <w:r>
        <w:rPr>
          <w:sz w:val="13"/>
        </w:rPr>
        <w:t>s 29(4B). See </w:t>
      </w:r>
      <w:r>
        <w:rPr>
          <w:spacing w:val="2"/>
          <w:sz w:val="13"/>
        </w:rPr>
        <w:t>also </w:t>
      </w:r>
      <w:r>
        <w:rPr>
          <w:sz w:val="13"/>
        </w:rPr>
        <w:t>the </w:t>
      </w:r>
      <w:r>
        <w:rPr>
          <w:spacing w:val="2"/>
          <w:sz w:val="13"/>
        </w:rPr>
        <w:t>general </w:t>
      </w:r>
      <w:r>
        <w:rPr>
          <w:sz w:val="13"/>
        </w:rPr>
        <w:t>power of the Juries </w:t>
      </w:r>
      <w:r>
        <w:rPr>
          <w:spacing w:val="2"/>
          <w:sz w:val="13"/>
        </w:rPr>
        <w:t>Commissioner </w:t>
      </w:r>
      <w:r>
        <w:rPr>
          <w:sz w:val="13"/>
        </w:rPr>
        <w:t>to excuse people for </w:t>
      </w:r>
      <w:r>
        <w:rPr>
          <w:spacing w:val="2"/>
          <w:sz w:val="13"/>
        </w:rPr>
        <w:t>good </w:t>
      </w:r>
      <w:r>
        <w:rPr>
          <w:sz w:val="13"/>
        </w:rPr>
        <w:t>reason under s</w:t>
      </w:r>
      <w:r>
        <w:rPr>
          <w:spacing w:val="-2"/>
          <w:sz w:val="13"/>
        </w:rPr>
        <w:t> </w:t>
      </w:r>
      <w:r>
        <w:rPr>
          <w:sz w:val="13"/>
        </w:rPr>
        <w:t>8.</w:t>
      </w:r>
    </w:p>
    <w:p>
      <w:pPr>
        <w:pStyle w:val="ListParagraph"/>
        <w:numPr>
          <w:ilvl w:val="0"/>
          <w:numId w:val="17"/>
        </w:numPr>
        <w:tabs>
          <w:tab w:pos="1761" w:val="left" w:leader="none"/>
          <w:tab w:pos="1762" w:val="left" w:leader="none"/>
        </w:tabs>
        <w:spacing w:line="152" w:lineRule="exact" w:before="0" w:after="0"/>
        <w:ind w:left="1761" w:right="0" w:hanging="794"/>
        <w:jc w:val="left"/>
        <w:rPr>
          <w:sz w:val="13"/>
        </w:rPr>
      </w:pPr>
      <w:r>
        <w:rPr>
          <w:sz w:val="13"/>
        </w:rPr>
        <w:t>Information provided by Juries Victoria to Victorian Law Reform </w:t>
      </w:r>
      <w:r>
        <w:rPr>
          <w:spacing w:val="2"/>
          <w:sz w:val="13"/>
        </w:rPr>
        <w:t>Commission, </w:t>
      </w:r>
      <w:r>
        <w:rPr>
          <w:sz w:val="13"/>
        </w:rPr>
        <w:t>6 October</w:t>
      </w:r>
      <w:r>
        <w:rPr>
          <w:spacing w:val="9"/>
          <w:sz w:val="13"/>
        </w:rPr>
        <w:t> </w:t>
      </w:r>
      <w:r>
        <w:rPr>
          <w:sz w:val="13"/>
        </w:rPr>
        <w:t>2020.</w:t>
      </w:r>
    </w:p>
    <w:p>
      <w:pPr>
        <w:pStyle w:val="ListParagraph"/>
        <w:numPr>
          <w:ilvl w:val="0"/>
          <w:numId w:val="17"/>
        </w:numPr>
        <w:tabs>
          <w:tab w:pos="1761" w:val="left" w:leader="none"/>
          <w:tab w:pos="1762" w:val="left" w:leader="none"/>
        </w:tabs>
        <w:spacing w:line="160" w:lineRule="exact" w:before="0" w:after="0"/>
        <w:ind w:left="1761" w:right="0" w:hanging="794"/>
        <w:jc w:val="left"/>
        <w:rPr>
          <w:sz w:val="13"/>
        </w:rPr>
      </w:pPr>
      <w:r>
        <w:rPr>
          <w:i/>
          <w:sz w:val="13"/>
        </w:rPr>
        <w:t>Juries Act 2000 </w:t>
      </w:r>
      <w:r>
        <w:rPr>
          <w:spacing w:val="2"/>
          <w:sz w:val="13"/>
        </w:rPr>
        <w:t>(Vic) </w:t>
      </w:r>
      <w:r>
        <w:rPr>
          <w:sz w:val="13"/>
        </w:rPr>
        <w:t>s</w:t>
      </w:r>
      <w:r>
        <w:rPr>
          <w:spacing w:val="-2"/>
          <w:sz w:val="13"/>
        </w:rPr>
        <w:t> </w:t>
      </w:r>
      <w:r>
        <w:rPr>
          <w:sz w:val="13"/>
        </w:rPr>
        <w:t>30.</w:t>
      </w:r>
    </w:p>
    <w:p>
      <w:pPr>
        <w:pStyle w:val="ListParagraph"/>
        <w:numPr>
          <w:ilvl w:val="0"/>
          <w:numId w:val="17"/>
        </w:numPr>
        <w:tabs>
          <w:tab w:pos="1761" w:val="left" w:leader="none"/>
          <w:tab w:pos="1762" w:val="left" w:leader="none"/>
        </w:tabs>
        <w:spacing w:line="213" w:lineRule="auto" w:before="7" w:after="0"/>
        <w:ind w:left="1761" w:right="1601" w:hanging="794"/>
        <w:jc w:val="left"/>
        <w:rPr>
          <w:sz w:val="13"/>
        </w:rPr>
      </w:pPr>
      <w:r>
        <w:rPr>
          <w:sz w:val="13"/>
        </w:rPr>
        <w:t>Paul Anthony Dore, </w:t>
      </w:r>
      <w:r>
        <w:rPr>
          <w:i/>
          <w:spacing w:val="-4"/>
          <w:sz w:val="13"/>
        </w:rPr>
        <w:t>To </w:t>
      </w:r>
      <w:r>
        <w:rPr>
          <w:i/>
          <w:sz w:val="13"/>
        </w:rPr>
        <w:t>Develop a Systemic Approach to Juror </w:t>
      </w:r>
      <w:r>
        <w:rPr>
          <w:i/>
          <w:spacing w:val="2"/>
          <w:sz w:val="13"/>
        </w:rPr>
        <w:t>Support </w:t>
      </w:r>
      <w:r>
        <w:rPr>
          <w:i/>
          <w:sz w:val="13"/>
        </w:rPr>
        <w:t>Programs in Australia </w:t>
      </w:r>
      <w:r>
        <w:rPr>
          <w:spacing w:val="2"/>
          <w:sz w:val="13"/>
        </w:rPr>
        <w:t>(Report, </w:t>
      </w:r>
      <w:r>
        <w:rPr>
          <w:sz w:val="13"/>
        </w:rPr>
        <w:t>Winston Churchill Trust, 2018) </w:t>
      </w:r>
      <w:r>
        <w:rPr>
          <w:spacing w:val="3"/>
          <w:sz w:val="13"/>
        </w:rPr>
        <w:t>5.</w:t>
      </w:r>
    </w:p>
    <w:p>
      <w:pPr>
        <w:pStyle w:val="ListParagraph"/>
        <w:numPr>
          <w:ilvl w:val="0"/>
          <w:numId w:val="17"/>
        </w:numPr>
        <w:tabs>
          <w:tab w:pos="1761" w:val="left" w:leader="none"/>
          <w:tab w:pos="1762" w:val="left" w:leader="none"/>
        </w:tabs>
        <w:spacing w:line="153" w:lineRule="exact" w:before="0" w:after="0"/>
        <w:ind w:left="1761" w:right="0" w:hanging="794"/>
        <w:jc w:val="left"/>
        <w:rPr>
          <w:sz w:val="13"/>
        </w:rPr>
      </w:pPr>
      <w:r>
        <w:rPr>
          <w:i/>
          <w:sz w:val="13"/>
        </w:rPr>
        <w:t>Criminal Procedure Act 2009 </w:t>
      </w:r>
      <w:r>
        <w:rPr>
          <w:spacing w:val="2"/>
          <w:sz w:val="13"/>
        </w:rPr>
        <w:t>(Vic) </w:t>
      </w:r>
      <w:r>
        <w:rPr>
          <w:sz w:val="13"/>
        </w:rPr>
        <w:t>ss 215(1),</w:t>
      </w:r>
      <w:r>
        <w:rPr>
          <w:spacing w:val="-1"/>
          <w:sz w:val="13"/>
        </w:rPr>
        <w:t> </w:t>
      </w:r>
      <w:r>
        <w:rPr>
          <w:sz w:val="13"/>
        </w:rPr>
        <w:t>217.</w:t>
      </w:r>
    </w:p>
    <w:p>
      <w:pPr>
        <w:pStyle w:val="ListParagraph"/>
        <w:numPr>
          <w:ilvl w:val="0"/>
          <w:numId w:val="17"/>
        </w:numPr>
        <w:tabs>
          <w:tab w:pos="1760" w:val="left" w:leader="none"/>
          <w:tab w:pos="1762" w:val="left" w:leader="none"/>
        </w:tabs>
        <w:spacing w:line="160" w:lineRule="exact" w:before="0" w:after="0"/>
        <w:ind w:left="1761" w:right="0" w:hanging="794"/>
        <w:jc w:val="left"/>
        <w:rPr>
          <w:sz w:val="13"/>
        </w:rPr>
      </w:pPr>
      <w:r>
        <w:rPr>
          <w:sz w:val="13"/>
        </w:rPr>
        <w:t>Information provided by Juries Victoria to Victorian Law Reform </w:t>
      </w:r>
      <w:r>
        <w:rPr>
          <w:spacing w:val="2"/>
          <w:sz w:val="13"/>
        </w:rPr>
        <w:t>Commission, </w:t>
      </w:r>
      <w:r>
        <w:rPr>
          <w:sz w:val="13"/>
        </w:rPr>
        <w:t>17 May</w:t>
      </w:r>
      <w:r>
        <w:rPr>
          <w:spacing w:val="7"/>
          <w:sz w:val="13"/>
        </w:rPr>
        <w:t> </w:t>
      </w:r>
      <w:r>
        <w:rPr>
          <w:sz w:val="13"/>
        </w:rPr>
        <w:t>2022.</w:t>
      </w:r>
    </w:p>
    <w:p>
      <w:pPr>
        <w:pStyle w:val="ListParagraph"/>
        <w:numPr>
          <w:ilvl w:val="0"/>
          <w:numId w:val="17"/>
        </w:numPr>
        <w:tabs>
          <w:tab w:pos="1761" w:val="left" w:leader="none"/>
          <w:tab w:pos="1762" w:val="left" w:leader="none"/>
        </w:tabs>
        <w:spacing w:line="213" w:lineRule="auto" w:before="6" w:after="0"/>
        <w:ind w:left="1761" w:right="1734" w:hanging="794"/>
        <w:jc w:val="left"/>
        <w:rPr>
          <w:sz w:val="13"/>
        </w:rPr>
      </w:pPr>
      <w:r>
        <w:rPr>
          <w:i/>
          <w:sz w:val="13"/>
        </w:rPr>
        <w:t>Juries Act 2000 </w:t>
      </w:r>
      <w:r>
        <w:rPr>
          <w:spacing w:val="2"/>
          <w:sz w:val="13"/>
        </w:rPr>
        <w:t>(Vic) </w:t>
      </w:r>
      <w:r>
        <w:rPr>
          <w:sz w:val="13"/>
        </w:rPr>
        <w:t>s 32. The </w:t>
      </w:r>
      <w:r>
        <w:rPr>
          <w:spacing w:val="2"/>
          <w:sz w:val="13"/>
        </w:rPr>
        <w:t>Court </w:t>
      </w:r>
      <w:r>
        <w:rPr>
          <w:sz w:val="13"/>
        </w:rPr>
        <w:t>may </w:t>
      </w:r>
      <w:r>
        <w:rPr>
          <w:spacing w:val="2"/>
          <w:sz w:val="13"/>
        </w:rPr>
        <w:t>also </w:t>
      </w:r>
      <w:r>
        <w:rPr>
          <w:sz w:val="13"/>
        </w:rPr>
        <w:t>determine that a person will not </w:t>
      </w:r>
      <w:r>
        <w:rPr>
          <w:spacing w:val="2"/>
          <w:sz w:val="13"/>
        </w:rPr>
        <w:t>perform jury service </w:t>
      </w:r>
      <w:r>
        <w:rPr>
          <w:sz w:val="13"/>
        </w:rPr>
        <w:t>if it thinks it is just and reasonable to do so, on </w:t>
      </w:r>
      <w:r>
        <w:rPr>
          <w:spacing w:val="2"/>
          <w:sz w:val="13"/>
        </w:rPr>
        <w:t>its </w:t>
      </w:r>
      <w:r>
        <w:rPr>
          <w:sz w:val="13"/>
        </w:rPr>
        <w:t>own motion or on </w:t>
      </w:r>
      <w:r>
        <w:rPr>
          <w:spacing w:val="2"/>
          <w:sz w:val="13"/>
        </w:rPr>
        <w:t>application </w:t>
      </w:r>
      <w:r>
        <w:rPr>
          <w:sz w:val="13"/>
        </w:rPr>
        <w:t>from the Juries </w:t>
      </w:r>
      <w:r>
        <w:rPr>
          <w:spacing w:val="2"/>
          <w:sz w:val="13"/>
        </w:rPr>
        <w:t>Commissioner </w:t>
      </w:r>
      <w:r>
        <w:rPr>
          <w:sz w:val="13"/>
        </w:rPr>
        <w:t>under s</w:t>
      </w:r>
      <w:r>
        <w:rPr>
          <w:spacing w:val="12"/>
          <w:sz w:val="13"/>
        </w:rPr>
        <w:t> </w:t>
      </w:r>
      <w:r>
        <w:rPr>
          <w:spacing w:val="2"/>
          <w:sz w:val="13"/>
        </w:rPr>
        <w:t>12.</w:t>
      </w:r>
    </w:p>
    <w:p>
      <w:pPr>
        <w:pStyle w:val="ListParagraph"/>
        <w:numPr>
          <w:ilvl w:val="0"/>
          <w:numId w:val="17"/>
        </w:numPr>
        <w:tabs>
          <w:tab w:pos="1761" w:val="left" w:leader="none"/>
          <w:tab w:pos="1762" w:val="left" w:leader="none"/>
        </w:tabs>
        <w:spacing w:line="213" w:lineRule="auto" w:before="0" w:after="0"/>
        <w:ind w:left="967" w:right="2693" w:firstLine="0"/>
        <w:jc w:val="left"/>
        <w:rPr>
          <w:sz w:val="13"/>
        </w:rPr>
      </w:pPr>
      <w:r>
        <w:rPr>
          <w:sz w:val="13"/>
        </w:rPr>
        <w:t>Ibid ss 37–40. See </w:t>
      </w:r>
      <w:r>
        <w:rPr>
          <w:spacing w:val="2"/>
          <w:sz w:val="13"/>
        </w:rPr>
        <w:t>also </w:t>
      </w: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xi. 50</w:t>
        <w:tab/>
      </w:r>
      <w:r>
        <w:rPr>
          <w:i/>
          <w:sz w:val="13"/>
        </w:rPr>
        <w:t>Juries Act 2000 </w:t>
      </w:r>
      <w:r>
        <w:rPr>
          <w:spacing w:val="2"/>
          <w:sz w:val="13"/>
        </w:rPr>
        <w:t>(Vic) </w:t>
      </w:r>
      <w:r>
        <w:rPr>
          <w:sz w:val="13"/>
        </w:rPr>
        <w:t>ss 36(1)(b), 30A(2).</w:t>
      </w:r>
    </w:p>
    <w:p>
      <w:pPr>
        <w:tabs>
          <w:tab w:pos="1760" w:val="left" w:leader="none"/>
        </w:tabs>
        <w:spacing w:line="213" w:lineRule="auto" w:before="0"/>
        <w:ind w:left="1761" w:right="1277" w:hanging="794"/>
        <w:jc w:val="left"/>
        <w:rPr>
          <w:sz w:val="13"/>
        </w:rPr>
      </w:pPr>
      <w:r>
        <w:rPr/>
        <w:pict>
          <v:shape style="position:absolute;margin-left:549.344727pt;margin-top:35.394691pt;width:12.45pt;height:14.1pt;mso-position-horizontal-relative:page;mso-position-vertical-relative:paragraph;z-index:2704" type="#_x0000_t202" filled="false" stroked="false">
            <v:textbox inset="0,0,0,0">
              <w:txbxContent>
                <w:p>
                  <w:pPr>
                    <w:spacing w:line="282" w:lineRule="exact" w:before="0"/>
                    <w:ind w:left="0" w:right="0" w:firstLine="0"/>
                    <w:jc w:val="left"/>
                    <w:rPr>
                      <w:b/>
                      <w:sz w:val="24"/>
                    </w:rPr>
                  </w:pPr>
                  <w:r>
                    <w:rPr>
                      <w:b/>
                      <w:color w:val="37617A"/>
                      <w:spacing w:val="-2"/>
                      <w:sz w:val="24"/>
                    </w:rPr>
                    <w:t>15</w:t>
                  </w:r>
                </w:p>
              </w:txbxContent>
            </v:textbox>
            <w10:wrap type="none"/>
          </v:shape>
        </w:pict>
      </w:r>
      <w:r>
        <w:rPr>
          <w:sz w:val="13"/>
        </w:rPr>
        <w:t>51</w:t>
        <w:tab/>
        <w:t>Ibid ss </w:t>
      </w:r>
      <w:r>
        <w:rPr>
          <w:spacing w:val="2"/>
          <w:sz w:val="13"/>
        </w:rPr>
        <w:t>30A, 31. </w:t>
      </w:r>
      <w:r>
        <w:rPr>
          <w:sz w:val="13"/>
        </w:rPr>
        <w:t>See </w:t>
      </w:r>
      <w:r>
        <w:rPr>
          <w:spacing w:val="2"/>
          <w:sz w:val="13"/>
        </w:rPr>
        <w:t>also </w:t>
      </w:r>
      <w:r>
        <w:rPr>
          <w:sz w:val="13"/>
        </w:rPr>
        <w:t>Judicial College of Victoria, </w:t>
      </w:r>
      <w:r>
        <w:rPr>
          <w:spacing w:val="2"/>
          <w:sz w:val="13"/>
        </w:rPr>
        <w:t>‘11.1 </w:t>
      </w:r>
      <w:r>
        <w:rPr>
          <w:sz w:val="13"/>
        </w:rPr>
        <w:t>Selecting a Jury’, </w:t>
      </w:r>
      <w:r>
        <w:rPr>
          <w:i/>
          <w:sz w:val="13"/>
        </w:rPr>
        <w:t>Victorian Criminal Proceedings Manual </w:t>
      </w:r>
      <w:r>
        <w:rPr>
          <w:sz w:val="13"/>
        </w:rPr>
        <w:t>(Online Manual,    30 August 2021) [76] &lt;</w:t>
      </w:r>
      <w:hyperlink r:id="rId49">
        <w:r>
          <w:rPr>
            <w:sz w:val="13"/>
          </w:rPr>
          <w:t>https://www.judicialcollege.vic.edu.au/eManuals/VCPM/index.htm#27318.htm</w:t>
        </w:r>
      </w:hyperlink>
      <w:r>
        <w:rPr>
          <w:sz w:val="13"/>
        </w:rPr>
        <w:t>&gt;  which  notes  that  ‘Failure to provide an adequate </w:t>
      </w:r>
      <w:r>
        <w:rPr>
          <w:spacing w:val="2"/>
          <w:sz w:val="13"/>
        </w:rPr>
        <w:t>opportunity </w:t>
      </w:r>
      <w:r>
        <w:rPr>
          <w:sz w:val="13"/>
        </w:rPr>
        <w:t>to see the faces of potential jurors is a fundamental interference with the right to exercise peremptory challenges and is a fundamental defect in the running of a trial’, citing </w:t>
      </w:r>
      <w:r>
        <w:rPr>
          <w:i/>
          <w:sz w:val="13"/>
        </w:rPr>
        <w:t>Theodoropoulos v The </w:t>
      </w:r>
      <w:r>
        <w:rPr>
          <w:i/>
          <w:spacing w:val="2"/>
          <w:sz w:val="13"/>
        </w:rPr>
        <w:t>Queen </w:t>
      </w:r>
      <w:r>
        <w:rPr>
          <w:sz w:val="13"/>
        </w:rPr>
        <w:t>[2015] VSCA </w:t>
      </w:r>
      <w:r>
        <w:rPr>
          <w:spacing w:val="3"/>
          <w:sz w:val="13"/>
        </w:rPr>
        <w:t>364, </w:t>
      </w:r>
      <w:r>
        <w:rPr>
          <w:sz w:val="13"/>
        </w:rPr>
        <w:t>(2015) 51 VR </w:t>
      </w:r>
      <w:r>
        <w:rPr>
          <w:spacing w:val="3"/>
          <w:sz w:val="13"/>
        </w:rPr>
        <w:t>1.</w:t>
      </w:r>
    </w:p>
    <w:p>
      <w:pPr>
        <w:tabs>
          <w:tab w:pos="1761" w:val="left" w:leader="none"/>
        </w:tabs>
        <w:spacing w:line="161" w:lineRule="exact" w:before="0"/>
        <w:ind w:left="967" w:right="0" w:firstLine="0"/>
        <w:jc w:val="left"/>
        <w:rPr>
          <w:sz w:val="13"/>
        </w:rPr>
      </w:pPr>
      <w:r>
        <w:rPr>
          <w:sz w:val="13"/>
        </w:rPr>
        <w:t>52</w:t>
        <w:tab/>
      </w:r>
      <w:r>
        <w:rPr>
          <w:i/>
          <w:sz w:val="13"/>
        </w:rPr>
        <w:t>Juries Act 2000 </w:t>
      </w:r>
      <w:r>
        <w:rPr>
          <w:spacing w:val="2"/>
          <w:sz w:val="13"/>
        </w:rPr>
        <w:t>(Vic) </w:t>
      </w:r>
      <w:r>
        <w:rPr>
          <w:sz w:val="13"/>
        </w:rPr>
        <w:t>s</w:t>
      </w:r>
      <w:r>
        <w:rPr>
          <w:spacing w:val="-2"/>
          <w:sz w:val="13"/>
        </w:rPr>
        <w:t> </w:t>
      </w:r>
      <w:r>
        <w:rPr>
          <w:spacing w:val="2"/>
          <w:sz w:val="13"/>
        </w:rPr>
        <w:t>39(2A)–(2C).</w:t>
      </w:r>
    </w:p>
    <w:p>
      <w:pPr>
        <w:spacing w:after="0" w:line="161" w:lineRule="exact"/>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607" w:hanging="794"/>
        <w:jc w:val="left"/>
        <w:rPr>
          <w:sz w:val="11"/>
        </w:rPr>
      </w:pPr>
      <w:bookmarkStart w:name="_bookmark18" w:id="44"/>
      <w:bookmarkEnd w:id="44"/>
      <w:r>
        <w:rPr/>
      </w:r>
      <w:bookmarkStart w:name="_bookmark18" w:id="45"/>
      <w:bookmarkEnd w:id="45"/>
      <w:r>
        <w:rPr>
          <w:spacing w:val="-2"/>
          <w:sz w:val="20"/>
        </w:rPr>
        <w:t>P</w:t>
      </w:r>
      <w:r>
        <w:rPr>
          <w:spacing w:val="-2"/>
          <w:sz w:val="20"/>
        </w:rPr>
        <w:t>otential</w:t>
      </w:r>
      <w:r>
        <w:rPr>
          <w:spacing w:val="-10"/>
          <w:sz w:val="20"/>
        </w:rPr>
        <w:t> </w:t>
      </w:r>
      <w:r>
        <w:rPr>
          <w:sz w:val="20"/>
        </w:rPr>
        <w:t>jurors</w:t>
      </w:r>
      <w:r>
        <w:rPr>
          <w:spacing w:val="-9"/>
          <w:sz w:val="20"/>
        </w:rPr>
        <w:t> </w:t>
      </w:r>
      <w:r>
        <w:rPr>
          <w:sz w:val="20"/>
        </w:rPr>
        <w:t>who</w:t>
      </w:r>
      <w:r>
        <w:rPr>
          <w:spacing w:val="-9"/>
          <w:sz w:val="20"/>
        </w:rPr>
        <w:t> </w:t>
      </w:r>
      <w:r>
        <w:rPr>
          <w:spacing w:val="-3"/>
          <w:sz w:val="20"/>
        </w:rPr>
        <w:t>are</w:t>
      </w:r>
      <w:r>
        <w:rPr>
          <w:spacing w:val="-9"/>
          <w:sz w:val="20"/>
        </w:rPr>
        <w:t> </w:t>
      </w:r>
      <w:r>
        <w:rPr>
          <w:sz w:val="20"/>
        </w:rPr>
        <w:t>not</w:t>
      </w:r>
      <w:r>
        <w:rPr>
          <w:spacing w:val="-9"/>
          <w:sz w:val="20"/>
        </w:rPr>
        <w:t> </w:t>
      </w:r>
      <w:r>
        <w:rPr>
          <w:sz w:val="20"/>
        </w:rPr>
        <w:t>challenged</w:t>
      </w:r>
      <w:r>
        <w:rPr>
          <w:spacing w:val="-9"/>
          <w:sz w:val="20"/>
        </w:rPr>
        <w:t> </w:t>
      </w:r>
      <w:r>
        <w:rPr>
          <w:sz w:val="20"/>
        </w:rPr>
        <w:t>proceed</w:t>
      </w:r>
      <w:r>
        <w:rPr>
          <w:spacing w:val="-9"/>
          <w:sz w:val="20"/>
        </w:rPr>
        <w:t> </w:t>
      </w:r>
      <w:r>
        <w:rPr>
          <w:sz w:val="20"/>
        </w:rPr>
        <w:t>to</w:t>
      </w:r>
      <w:r>
        <w:rPr>
          <w:spacing w:val="-9"/>
          <w:sz w:val="20"/>
        </w:rPr>
        <w:t> </w:t>
      </w:r>
      <w:r>
        <w:rPr>
          <w:sz w:val="20"/>
        </w:rPr>
        <w:t>the</w:t>
      </w:r>
      <w:r>
        <w:rPr>
          <w:spacing w:val="-9"/>
          <w:sz w:val="20"/>
        </w:rPr>
        <w:t> </w:t>
      </w:r>
      <w:r>
        <w:rPr>
          <w:sz w:val="20"/>
        </w:rPr>
        <w:t>jury</w:t>
      </w:r>
      <w:r>
        <w:rPr>
          <w:spacing w:val="-9"/>
          <w:sz w:val="20"/>
        </w:rPr>
        <w:t> </w:t>
      </w:r>
      <w:r>
        <w:rPr>
          <w:sz w:val="20"/>
        </w:rPr>
        <w:t>box.</w:t>
      </w:r>
      <w:r>
        <w:rPr>
          <w:spacing w:val="-9"/>
          <w:sz w:val="20"/>
        </w:rPr>
        <w:t> </w:t>
      </w:r>
      <w:r>
        <w:rPr>
          <w:sz w:val="20"/>
        </w:rPr>
        <w:t>When</w:t>
      </w:r>
      <w:r>
        <w:rPr>
          <w:spacing w:val="-9"/>
          <w:sz w:val="20"/>
        </w:rPr>
        <w:t> </w:t>
      </w:r>
      <w:r>
        <w:rPr>
          <w:sz w:val="20"/>
        </w:rPr>
        <w:t>the</w:t>
      </w:r>
      <w:r>
        <w:rPr>
          <w:spacing w:val="-9"/>
          <w:sz w:val="20"/>
        </w:rPr>
        <w:t> </w:t>
      </w:r>
      <w:r>
        <w:rPr>
          <w:spacing w:val="-3"/>
          <w:sz w:val="20"/>
        </w:rPr>
        <w:t>required </w:t>
      </w:r>
      <w:r>
        <w:rPr>
          <w:sz w:val="20"/>
        </w:rPr>
        <w:t>number of jurors </w:t>
      </w:r>
      <w:r>
        <w:rPr>
          <w:spacing w:val="-3"/>
          <w:sz w:val="20"/>
        </w:rPr>
        <w:t>(usually </w:t>
      </w:r>
      <w:r>
        <w:rPr>
          <w:sz w:val="20"/>
        </w:rPr>
        <w:t>12)</w:t>
      </w:r>
      <w:r>
        <w:rPr>
          <w:position w:val="7"/>
          <w:sz w:val="11"/>
        </w:rPr>
        <w:t>53 </w:t>
      </w:r>
      <w:r>
        <w:rPr>
          <w:spacing w:val="-3"/>
          <w:sz w:val="20"/>
        </w:rPr>
        <w:t>are </w:t>
      </w:r>
      <w:r>
        <w:rPr>
          <w:sz w:val="20"/>
        </w:rPr>
        <w:t>in the jury box, they </w:t>
      </w:r>
      <w:r>
        <w:rPr>
          <w:spacing w:val="-3"/>
          <w:sz w:val="20"/>
        </w:rPr>
        <w:t>are sworn </w:t>
      </w:r>
      <w:r>
        <w:rPr>
          <w:sz w:val="20"/>
        </w:rPr>
        <w:t>or affirmed</w:t>
      </w:r>
      <w:r>
        <w:rPr>
          <w:position w:val="7"/>
          <w:sz w:val="11"/>
        </w:rPr>
        <w:t>54 </w:t>
      </w:r>
      <w:r>
        <w:rPr>
          <w:sz w:val="20"/>
        </w:rPr>
        <w:t>as the jury. The remainder of the panel </w:t>
      </w:r>
      <w:r>
        <w:rPr>
          <w:spacing w:val="-3"/>
          <w:sz w:val="20"/>
        </w:rPr>
        <w:t>returns </w:t>
      </w:r>
      <w:r>
        <w:rPr>
          <w:sz w:val="20"/>
        </w:rPr>
        <w:t>to the pool </w:t>
      </w:r>
      <w:r>
        <w:rPr>
          <w:spacing w:val="-3"/>
          <w:sz w:val="20"/>
        </w:rPr>
        <w:t>(unless </w:t>
      </w:r>
      <w:r>
        <w:rPr>
          <w:sz w:val="20"/>
        </w:rPr>
        <w:t>the court orders otherwise).</w:t>
      </w:r>
      <w:r>
        <w:rPr>
          <w:position w:val="7"/>
          <w:sz w:val="11"/>
        </w:rPr>
        <w:t>55</w:t>
      </w:r>
    </w:p>
    <w:p>
      <w:pPr>
        <w:pStyle w:val="Heading6"/>
        <w:rPr>
          <w:b/>
        </w:rPr>
      </w:pPr>
      <w:r>
        <w:rPr>
          <w:b/>
        </w:rPr>
        <w:t>Civil trials</w:t>
      </w:r>
    </w:p>
    <w:p>
      <w:pPr>
        <w:pStyle w:val="ListParagraph"/>
        <w:numPr>
          <w:ilvl w:val="1"/>
          <w:numId w:val="12"/>
        </w:numPr>
        <w:tabs>
          <w:tab w:pos="1761" w:val="left" w:leader="none"/>
          <w:tab w:pos="1762" w:val="left" w:leader="none"/>
        </w:tabs>
        <w:spacing w:line="206" w:lineRule="auto" w:before="132" w:after="0"/>
        <w:ind w:left="1761" w:right="1364" w:hanging="794"/>
        <w:jc w:val="left"/>
        <w:rPr>
          <w:sz w:val="11"/>
        </w:rPr>
      </w:pPr>
      <w:r>
        <w:rPr>
          <w:sz w:val="20"/>
        </w:rPr>
        <w:t>In civil trials, after the court has </w:t>
      </w:r>
      <w:r>
        <w:rPr>
          <w:spacing w:val="-3"/>
          <w:sz w:val="20"/>
        </w:rPr>
        <w:t>provided </w:t>
      </w:r>
      <w:r>
        <w:rPr>
          <w:sz w:val="20"/>
        </w:rPr>
        <w:t>information to the panel about the trial and </w:t>
      </w:r>
      <w:r>
        <w:rPr>
          <w:spacing w:val="-3"/>
          <w:sz w:val="20"/>
        </w:rPr>
        <w:t>excuses </w:t>
      </w:r>
      <w:r>
        <w:rPr>
          <w:spacing w:val="-4"/>
          <w:sz w:val="20"/>
        </w:rPr>
        <w:t>have </w:t>
      </w:r>
      <w:r>
        <w:rPr>
          <w:sz w:val="20"/>
        </w:rPr>
        <w:t>been heard </w:t>
      </w:r>
      <w:r>
        <w:rPr>
          <w:spacing w:val="-3"/>
          <w:sz w:val="20"/>
        </w:rPr>
        <w:t>by </w:t>
      </w:r>
      <w:r>
        <w:rPr>
          <w:sz w:val="20"/>
        </w:rPr>
        <w:t>the judge, ballot cards </w:t>
      </w:r>
      <w:r>
        <w:rPr>
          <w:spacing w:val="-3"/>
          <w:sz w:val="20"/>
        </w:rPr>
        <w:t>are drawn from </w:t>
      </w:r>
      <w:r>
        <w:rPr>
          <w:sz w:val="20"/>
        </w:rPr>
        <w:t>a ballot box. Selected</w:t>
      </w:r>
      <w:r>
        <w:rPr>
          <w:spacing w:val="-11"/>
          <w:sz w:val="20"/>
        </w:rPr>
        <w:t> </w:t>
      </w:r>
      <w:r>
        <w:rPr>
          <w:sz w:val="20"/>
        </w:rPr>
        <w:t>persons</w:t>
      </w:r>
      <w:r>
        <w:rPr>
          <w:spacing w:val="-10"/>
          <w:sz w:val="20"/>
        </w:rPr>
        <w:t> </w:t>
      </w:r>
      <w:r>
        <w:rPr>
          <w:spacing w:val="-4"/>
          <w:sz w:val="20"/>
        </w:rPr>
        <w:t>have</w:t>
      </w:r>
      <w:r>
        <w:rPr>
          <w:spacing w:val="-10"/>
          <w:sz w:val="20"/>
        </w:rPr>
        <w:t> </w:t>
      </w:r>
      <w:r>
        <w:rPr>
          <w:sz w:val="20"/>
        </w:rPr>
        <w:t>their</w:t>
      </w:r>
      <w:r>
        <w:rPr>
          <w:spacing w:val="-11"/>
          <w:sz w:val="20"/>
        </w:rPr>
        <w:t> </w:t>
      </w:r>
      <w:r>
        <w:rPr>
          <w:sz w:val="20"/>
        </w:rPr>
        <w:t>identifying</w:t>
      </w:r>
      <w:r>
        <w:rPr>
          <w:spacing w:val="-10"/>
          <w:sz w:val="20"/>
        </w:rPr>
        <w:t> </w:t>
      </w:r>
      <w:r>
        <w:rPr>
          <w:sz w:val="20"/>
        </w:rPr>
        <w:t>number</w:t>
      </w:r>
      <w:r>
        <w:rPr>
          <w:spacing w:val="-10"/>
          <w:sz w:val="20"/>
        </w:rPr>
        <w:t> </w:t>
      </w:r>
      <w:r>
        <w:rPr>
          <w:spacing w:val="-3"/>
          <w:sz w:val="20"/>
        </w:rPr>
        <w:t>(or</w:t>
      </w:r>
      <w:r>
        <w:rPr>
          <w:spacing w:val="-10"/>
          <w:sz w:val="20"/>
        </w:rPr>
        <w:t> </w:t>
      </w:r>
      <w:r>
        <w:rPr>
          <w:sz w:val="20"/>
        </w:rPr>
        <w:t>name</w:t>
      </w:r>
      <w:r>
        <w:rPr>
          <w:spacing w:val="-11"/>
          <w:sz w:val="20"/>
        </w:rPr>
        <w:t> </w:t>
      </w:r>
      <w:r>
        <w:rPr>
          <w:sz w:val="20"/>
        </w:rPr>
        <w:t>if</w:t>
      </w:r>
      <w:r>
        <w:rPr>
          <w:spacing w:val="-10"/>
          <w:sz w:val="20"/>
        </w:rPr>
        <w:t> </w:t>
      </w:r>
      <w:r>
        <w:rPr>
          <w:sz w:val="20"/>
        </w:rPr>
        <w:t>directed</w:t>
      </w:r>
      <w:r>
        <w:rPr>
          <w:spacing w:val="-10"/>
          <w:sz w:val="20"/>
        </w:rPr>
        <w:t> </w:t>
      </w:r>
      <w:r>
        <w:rPr>
          <w:spacing w:val="-3"/>
          <w:sz w:val="20"/>
        </w:rPr>
        <w:t>by</w:t>
      </w:r>
      <w:r>
        <w:rPr>
          <w:spacing w:val="-10"/>
          <w:sz w:val="20"/>
        </w:rPr>
        <w:t> </w:t>
      </w:r>
      <w:r>
        <w:rPr>
          <w:sz w:val="20"/>
        </w:rPr>
        <w:t>the</w:t>
      </w:r>
      <w:r>
        <w:rPr>
          <w:spacing w:val="-11"/>
          <w:sz w:val="20"/>
        </w:rPr>
        <w:t> </w:t>
      </w:r>
      <w:r>
        <w:rPr>
          <w:sz w:val="20"/>
        </w:rPr>
        <w:t>judge)</w:t>
      </w:r>
      <w:r>
        <w:rPr>
          <w:spacing w:val="-10"/>
          <w:sz w:val="20"/>
        </w:rPr>
        <w:t> </w:t>
      </w:r>
      <w:r>
        <w:rPr>
          <w:sz w:val="20"/>
        </w:rPr>
        <w:t>and occupation called out.</w:t>
      </w:r>
      <w:r>
        <w:rPr>
          <w:position w:val="7"/>
          <w:sz w:val="11"/>
        </w:rPr>
        <w:t>56 </w:t>
      </w:r>
      <w:r>
        <w:rPr>
          <w:sz w:val="20"/>
        </w:rPr>
        <w:t>A list is </w:t>
      </w:r>
      <w:r>
        <w:rPr>
          <w:spacing w:val="-3"/>
          <w:sz w:val="20"/>
        </w:rPr>
        <w:t>created </w:t>
      </w:r>
      <w:r>
        <w:rPr>
          <w:sz w:val="20"/>
        </w:rPr>
        <w:t>of the persons selected. The parties </w:t>
      </w:r>
      <w:r>
        <w:rPr>
          <w:spacing w:val="-2"/>
          <w:sz w:val="20"/>
        </w:rPr>
        <w:t>strike </w:t>
      </w:r>
      <w:r>
        <w:rPr>
          <w:sz w:val="20"/>
        </w:rPr>
        <w:t>names off the list according to their </w:t>
      </w:r>
      <w:r>
        <w:rPr>
          <w:spacing w:val="-3"/>
          <w:sz w:val="20"/>
        </w:rPr>
        <w:t>respective </w:t>
      </w:r>
      <w:r>
        <w:rPr>
          <w:sz w:val="20"/>
        </w:rPr>
        <w:t>challenges. This is done in writing.</w:t>
      </w:r>
      <w:r>
        <w:rPr>
          <w:position w:val="7"/>
          <w:sz w:val="11"/>
        </w:rPr>
        <w:t>57</w:t>
      </w:r>
      <w:r>
        <w:rPr>
          <w:sz w:val="11"/>
        </w:rPr>
        <w:t> </w:t>
      </w:r>
      <w:r>
        <w:rPr>
          <w:sz w:val="20"/>
        </w:rPr>
        <w:t>The remaining names on the list </w:t>
      </w:r>
      <w:r>
        <w:rPr>
          <w:spacing w:val="-3"/>
          <w:sz w:val="20"/>
        </w:rPr>
        <w:t>(usually </w:t>
      </w:r>
      <w:r>
        <w:rPr>
          <w:sz w:val="20"/>
        </w:rPr>
        <w:t>six) </w:t>
      </w:r>
      <w:r>
        <w:rPr>
          <w:spacing w:val="-3"/>
          <w:sz w:val="20"/>
        </w:rPr>
        <w:t>are </w:t>
      </w:r>
      <w:r>
        <w:rPr>
          <w:sz w:val="20"/>
        </w:rPr>
        <w:t>the jury for the trial.</w:t>
      </w:r>
      <w:r>
        <w:rPr>
          <w:position w:val="7"/>
          <w:sz w:val="11"/>
        </w:rPr>
        <w:t>58 </w:t>
      </w:r>
      <w:r>
        <w:rPr>
          <w:sz w:val="20"/>
        </w:rPr>
        <w:t>On being empanelled,</w:t>
      </w:r>
      <w:r>
        <w:rPr>
          <w:spacing w:val="-8"/>
          <w:sz w:val="20"/>
        </w:rPr>
        <w:t> </w:t>
      </w:r>
      <w:r>
        <w:rPr>
          <w:sz w:val="20"/>
        </w:rPr>
        <w:t>jurors</w:t>
      </w:r>
      <w:r>
        <w:rPr>
          <w:spacing w:val="-7"/>
          <w:sz w:val="20"/>
        </w:rPr>
        <w:t> </w:t>
      </w:r>
      <w:r>
        <w:rPr>
          <w:sz w:val="20"/>
        </w:rPr>
        <w:t>must</w:t>
      </w:r>
      <w:r>
        <w:rPr>
          <w:spacing w:val="-7"/>
          <w:sz w:val="20"/>
        </w:rPr>
        <w:t> </w:t>
      </w:r>
      <w:r>
        <w:rPr>
          <w:sz w:val="20"/>
        </w:rPr>
        <w:t>take</w:t>
      </w:r>
      <w:r>
        <w:rPr>
          <w:spacing w:val="-7"/>
          <w:sz w:val="20"/>
        </w:rPr>
        <w:t> </w:t>
      </w:r>
      <w:r>
        <w:rPr>
          <w:sz w:val="20"/>
        </w:rPr>
        <w:t>an</w:t>
      </w:r>
      <w:r>
        <w:rPr>
          <w:spacing w:val="-7"/>
          <w:sz w:val="20"/>
        </w:rPr>
        <w:t> </w:t>
      </w:r>
      <w:r>
        <w:rPr>
          <w:sz w:val="20"/>
        </w:rPr>
        <w:t>oath</w:t>
      </w:r>
      <w:r>
        <w:rPr>
          <w:spacing w:val="-7"/>
          <w:sz w:val="20"/>
        </w:rPr>
        <w:t> </w:t>
      </w:r>
      <w:r>
        <w:rPr>
          <w:sz w:val="20"/>
        </w:rPr>
        <w:t>or</w:t>
      </w:r>
      <w:r>
        <w:rPr>
          <w:spacing w:val="-7"/>
          <w:sz w:val="20"/>
        </w:rPr>
        <w:t> </w:t>
      </w:r>
      <w:r>
        <w:rPr>
          <w:spacing w:val="-3"/>
          <w:sz w:val="20"/>
        </w:rPr>
        <w:t>make</w:t>
      </w:r>
      <w:r>
        <w:rPr>
          <w:spacing w:val="-7"/>
          <w:sz w:val="20"/>
        </w:rPr>
        <w:t> </w:t>
      </w:r>
      <w:r>
        <w:rPr>
          <w:sz w:val="20"/>
        </w:rPr>
        <w:t>an</w:t>
      </w:r>
      <w:r>
        <w:rPr>
          <w:spacing w:val="-7"/>
          <w:sz w:val="20"/>
        </w:rPr>
        <w:t> </w:t>
      </w:r>
      <w:r>
        <w:rPr>
          <w:sz w:val="20"/>
        </w:rPr>
        <w:t>affirmation</w:t>
      </w:r>
      <w:r>
        <w:rPr>
          <w:spacing w:val="-7"/>
          <w:sz w:val="20"/>
        </w:rPr>
        <w:t> </w:t>
      </w:r>
      <w:r>
        <w:rPr>
          <w:sz w:val="20"/>
        </w:rPr>
        <w:t>in</w:t>
      </w:r>
      <w:r>
        <w:rPr>
          <w:spacing w:val="-7"/>
          <w:sz w:val="20"/>
        </w:rPr>
        <w:t> </w:t>
      </w:r>
      <w:r>
        <w:rPr>
          <w:sz w:val="20"/>
        </w:rPr>
        <w:t>open</w:t>
      </w:r>
      <w:r>
        <w:rPr>
          <w:spacing w:val="-7"/>
          <w:sz w:val="20"/>
        </w:rPr>
        <w:t> </w:t>
      </w:r>
      <w:r>
        <w:rPr>
          <w:sz w:val="20"/>
        </w:rPr>
        <w:t>court.</w:t>
      </w:r>
      <w:r>
        <w:rPr>
          <w:position w:val="7"/>
          <w:sz w:val="11"/>
        </w:rPr>
        <w:t>59</w:t>
      </w:r>
    </w:p>
    <w:p>
      <w:pPr>
        <w:spacing w:before="167"/>
        <w:ind w:left="967" w:right="0" w:firstLine="0"/>
        <w:jc w:val="left"/>
        <w:rPr>
          <w:b/>
          <w:sz w:val="24"/>
        </w:rPr>
      </w:pPr>
      <w:r>
        <w:rPr>
          <w:b/>
          <w:sz w:val="24"/>
        </w:rPr>
        <w:t>People who are not selected</w:t>
      </w:r>
    </w:p>
    <w:p>
      <w:pPr>
        <w:pStyle w:val="ListParagraph"/>
        <w:numPr>
          <w:ilvl w:val="1"/>
          <w:numId w:val="12"/>
        </w:numPr>
        <w:tabs>
          <w:tab w:pos="1761" w:val="left" w:leader="none"/>
          <w:tab w:pos="1762" w:val="left" w:leader="none"/>
        </w:tabs>
        <w:spacing w:line="206" w:lineRule="auto" w:before="127" w:after="0"/>
        <w:ind w:left="1761" w:right="1258" w:hanging="794"/>
        <w:jc w:val="left"/>
        <w:rPr>
          <w:sz w:val="11"/>
        </w:rPr>
      </w:pPr>
      <w:r>
        <w:rPr>
          <w:sz w:val="20"/>
        </w:rPr>
        <w:t>People who </w:t>
      </w:r>
      <w:r>
        <w:rPr>
          <w:spacing w:val="-3"/>
          <w:sz w:val="20"/>
        </w:rPr>
        <w:t>are </w:t>
      </w:r>
      <w:r>
        <w:rPr>
          <w:sz w:val="20"/>
        </w:rPr>
        <w:t>not selected to serve as a juror </w:t>
      </w:r>
      <w:r>
        <w:rPr>
          <w:spacing w:val="-3"/>
          <w:sz w:val="20"/>
        </w:rPr>
        <w:t>by </w:t>
      </w:r>
      <w:r>
        <w:rPr>
          <w:sz w:val="20"/>
        </w:rPr>
        <w:t>the end of the </w:t>
      </w:r>
      <w:r>
        <w:rPr>
          <w:spacing w:val="-3"/>
          <w:sz w:val="20"/>
        </w:rPr>
        <w:t>day are </w:t>
      </w:r>
      <w:r>
        <w:rPr>
          <w:sz w:val="20"/>
        </w:rPr>
        <w:t>generally sent home, ‘their jury service </w:t>
      </w:r>
      <w:r>
        <w:rPr>
          <w:spacing w:val="-3"/>
          <w:sz w:val="20"/>
        </w:rPr>
        <w:t>having </w:t>
      </w:r>
      <w:r>
        <w:rPr>
          <w:sz w:val="20"/>
        </w:rPr>
        <w:t>been </w:t>
      </w:r>
      <w:r>
        <w:rPr>
          <w:spacing w:val="-2"/>
          <w:sz w:val="20"/>
        </w:rPr>
        <w:t>completed simply </w:t>
      </w:r>
      <w:r>
        <w:rPr>
          <w:spacing w:val="-3"/>
          <w:sz w:val="20"/>
        </w:rPr>
        <w:t>by </w:t>
      </w:r>
      <w:r>
        <w:rPr>
          <w:sz w:val="20"/>
        </w:rPr>
        <w:t>making </w:t>
      </w:r>
      <w:r>
        <w:rPr>
          <w:spacing w:val="-3"/>
          <w:sz w:val="20"/>
        </w:rPr>
        <w:t>themselves available</w:t>
      </w:r>
      <w:r>
        <w:rPr>
          <w:spacing w:val="-12"/>
          <w:sz w:val="20"/>
        </w:rPr>
        <w:t> </w:t>
      </w:r>
      <w:r>
        <w:rPr>
          <w:sz w:val="20"/>
        </w:rPr>
        <w:t>to</w:t>
      </w:r>
      <w:r>
        <w:rPr>
          <w:spacing w:val="-12"/>
          <w:sz w:val="20"/>
        </w:rPr>
        <w:t> </w:t>
      </w:r>
      <w:r>
        <w:rPr>
          <w:sz w:val="20"/>
        </w:rPr>
        <w:t>potentially</w:t>
      </w:r>
      <w:r>
        <w:rPr>
          <w:spacing w:val="-11"/>
          <w:sz w:val="20"/>
        </w:rPr>
        <w:t> </w:t>
      </w:r>
      <w:r>
        <w:rPr>
          <w:sz w:val="20"/>
        </w:rPr>
        <w:t>serve</w:t>
      </w:r>
      <w:r>
        <w:rPr>
          <w:spacing w:val="-12"/>
          <w:sz w:val="20"/>
        </w:rPr>
        <w:t> </w:t>
      </w:r>
      <w:r>
        <w:rPr>
          <w:sz w:val="20"/>
        </w:rPr>
        <w:t>on</w:t>
      </w:r>
      <w:r>
        <w:rPr>
          <w:spacing w:val="-11"/>
          <w:sz w:val="20"/>
        </w:rPr>
        <w:t> </w:t>
      </w:r>
      <w:r>
        <w:rPr>
          <w:sz w:val="20"/>
        </w:rPr>
        <w:t>a</w:t>
      </w:r>
      <w:r>
        <w:rPr>
          <w:spacing w:val="-12"/>
          <w:sz w:val="20"/>
        </w:rPr>
        <w:t> </w:t>
      </w:r>
      <w:r>
        <w:rPr>
          <w:sz w:val="20"/>
        </w:rPr>
        <w:t>trial’.</w:t>
      </w:r>
      <w:r>
        <w:rPr>
          <w:position w:val="7"/>
          <w:sz w:val="11"/>
        </w:rPr>
        <w:t>60</w:t>
      </w:r>
      <w:r>
        <w:rPr>
          <w:spacing w:val="14"/>
          <w:position w:val="7"/>
          <w:sz w:val="11"/>
        </w:rPr>
        <w:t> </w:t>
      </w:r>
      <w:r>
        <w:rPr>
          <w:sz w:val="20"/>
        </w:rPr>
        <w:t>Sometimes</w:t>
      </w:r>
      <w:r>
        <w:rPr>
          <w:spacing w:val="-12"/>
          <w:sz w:val="20"/>
        </w:rPr>
        <w:t> </w:t>
      </w:r>
      <w:r>
        <w:rPr>
          <w:sz w:val="20"/>
        </w:rPr>
        <w:t>trial</w:t>
      </w:r>
      <w:r>
        <w:rPr>
          <w:spacing w:val="-12"/>
          <w:sz w:val="20"/>
        </w:rPr>
        <w:t> </w:t>
      </w:r>
      <w:r>
        <w:rPr>
          <w:sz w:val="20"/>
        </w:rPr>
        <w:t>scheduling</w:t>
      </w:r>
      <w:r>
        <w:rPr>
          <w:spacing w:val="-11"/>
          <w:sz w:val="20"/>
        </w:rPr>
        <w:t> </w:t>
      </w:r>
      <w:r>
        <w:rPr>
          <w:sz w:val="20"/>
        </w:rPr>
        <w:t>requirements</w:t>
      </w:r>
      <w:r>
        <w:rPr>
          <w:spacing w:val="-12"/>
          <w:sz w:val="20"/>
        </w:rPr>
        <w:t> </w:t>
      </w:r>
      <w:r>
        <w:rPr>
          <w:spacing w:val="-3"/>
          <w:sz w:val="20"/>
        </w:rPr>
        <w:t>may </w:t>
      </w:r>
      <w:r>
        <w:rPr>
          <w:sz w:val="20"/>
        </w:rPr>
        <w:t>mean</w:t>
      </w:r>
      <w:r>
        <w:rPr>
          <w:spacing w:val="-5"/>
          <w:sz w:val="20"/>
        </w:rPr>
        <w:t> </w:t>
      </w:r>
      <w:r>
        <w:rPr>
          <w:sz w:val="20"/>
        </w:rPr>
        <w:t>that</w:t>
      </w:r>
      <w:r>
        <w:rPr>
          <w:spacing w:val="-5"/>
          <w:sz w:val="20"/>
        </w:rPr>
        <w:t> </w:t>
      </w:r>
      <w:r>
        <w:rPr>
          <w:sz w:val="20"/>
        </w:rPr>
        <w:t>people</w:t>
      </w:r>
      <w:r>
        <w:rPr>
          <w:spacing w:val="-5"/>
          <w:sz w:val="20"/>
        </w:rPr>
        <w:t> </w:t>
      </w:r>
      <w:r>
        <w:rPr>
          <w:sz w:val="20"/>
        </w:rPr>
        <w:t>in</w:t>
      </w:r>
      <w:r>
        <w:rPr>
          <w:spacing w:val="-4"/>
          <w:sz w:val="20"/>
        </w:rPr>
        <w:t> </w:t>
      </w:r>
      <w:r>
        <w:rPr>
          <w:sz w:val="20"/>
        </w:rPr>
        <w:t>the</w:t>
      </w:r>
      <w:r>
        <w:rPr>
          <w:spacing w:val="-5"/>
          <w:sz w:val="20"/>
        </w:rPr>
        <w:t> </w:t>
      </w:r>
      <w:r>
        <w:rPr>
          <w:sz w:val="20"/>
        </w:rPr>
        <w:t>pool</w:t>
      </w:r>
      <w:r>
        <w:rPr>
          <w:spacing w:val="-5"/>
          <w:sz w:val="20"/>
        </w:rPr>
        <w:t> </w:t>
      </w:r>
      <w:r>
        <w:rPr>
          <w:spacing w:val="-3"/>
          <w:sz w:val="20"/>
        </w:rPr>
        <w:t>may</w:t>
      </w:r>
      <w:r>
        <w:rPr>
          <w:spacing w:val="-4"/>
          <w:sz w:val="20"/>
        </w:rPr>
        <w:t> have</w:t>
      </w:r>
      <w:r>
        <w:rPr>
          <w:spacing w:val="-5"/>
          <w:sz w:val="20"/>
        </w:rPr>
        <w:t> </w:t>
      </w:r>
      <w:r>
        <w:rPr>
          <w:sz w:val="20"/>
        </w:rPr>
        <w:t>to</w:t>
      </w:r>
      <w:r>
        <w:rPr>
          <w:spacing w:val="-5"/>
          <w:sz w:val="20"/>
        </w:rPr>
        <w:t> </w:t>
      </w:r>
      <w:r>
        <w:rPr>
          <w:spacing w:val="-3"/>
          <w:sz w:val="20"/>
        </w:rPr>
        <w:t>return</w:t>
      </w:r>
      <w:r>
        <w:rPr>
          <w:spacing w:val="-4"/>
          <w:sz w:val="20"/>
        </w:rPr>
        <w:t> </w:t>
      </w:r>
      <w:r>
        <w:rPr>
          <w:sz w:val="20"/>
        </w:rPr>
        <w:t>on</w:t>
      </w:r>
      <w:r>
        <w:rPr>
          <w:spacing w:val="-5"/>
          <w:sz w:val="20"/>
        </w:rPr>
        <w:t> </w:t>
      </w:r>
      <w:r>
        <w:rPr>
          <w:sz w:val="20"/>
        </w:rPr>
        <w:t>another</w:t>
      </w:r>
      <w:r>
        <w:rPr>
          <w:spacing w:val="-5"/>
          <w:sz w:val="20"/>
        </w:rPr>
        <w:t> </w:t>
      </w:r>
      <w:r>
        <w:rPr>
          <w:spacing w:val="-4"/>
          <w:sz w:val="20"/>
        </w:rPr>
        <w:t>day.</w:t>
      </w:r>
      <w:r>
        <w:rPr>
          <w:spacing w:val="-4"/>
          <w:position w:val="7"/>
          <w:sz w:val="11"/>
        </w:rPr>
        <w:t>61</w:t>
      </w:r>
    </w:p>
    <w:p>
      <w:pPr>
        <w:spacing w:before="163"/>
        <w:ind w:left="967" w:right="0" w:firstLine="0"/>
        <w:jc w:val="left"/>
        <w:rPr>
          <w:b/>
          <w:sz w:val="24"/>
        </w:rPr>
      </w:pPr>
      <w:r>
        <w:rPr>
          <w:b/>
          <w:sz w:val="24"/>
        </w:rPr>
        <w:t>People in the subject groups</w:t>
      </w:r>
    </w:p>
    <w:p>
      <w:pPr>
        <w:pStyle w:val="ListParagraph"/>
        <w:numPr>
          <w:ilvl w:val="1"/>
          <w:numId w:val="12"/>
        </w:numPr>
        <w:tabs>
          <w:tab w:pos="1762" w:val="left" w:leader="none"/>
        </w:tabs>
        <w:spacing w:line="206" w:lineRule="auto" w:before="127" w:after="0"/>
        <w:ind w:left="1761" w:right="1491" w:hanging="794"/>
        <w:jc w:val="both"/>
        <w:rPr>
          <w:sz w:val="20"/>
        </w:rPr>
      </w:pPr>
      <w:r>
        <w:rPr>
          <w:sz w:val="20"/>
        </w:rPr>
        <w:t>Part</w:t>
      </w:r>
      <w:r>
        <w:rPr>
          <w:spacing w:val="-8"/>
          <w:sz w:val="20"/>
        </w:rPr>
        <w:t> </w:t>
      </w:r>
      <w:r>
        <w:rPr>
          <w:sz w:val="20"/>
        </w:rPr>
        <w:t>2</w:t>
      </w:r>
      <w:r>
        <w:rPr>
          <w:spacing w:val="-8"/>
          <w:sz w:val="20"/>
        </w:rPr>
        <w:t> </w:t>
      </w:r>
      <w:r>
        <w:rPr>
          <w:spacing w:val="-3"/>
          <w:sz w:val="20"/>
        </w:rPr>
        <w:t>(Chapters</w:t>
      </w:r>
      <w:r>
        <w:rPr>
          <w:spacing w:val="-7"/>
          <w:sz w:val="20"/>
        </w:rPr>
        <w:t> </w:t>
      </w:r>
      <w:r>
        <w:rPr>
          <w:spacing w:val="-3"/>
          <w:sz w:val="20"/>
        </w:rPr>
        <w:t>11-19)</w:t>
      </w:r>
      <w:r>
        <w:rPr>
          <w:spacing w:val="-8"/>
          <w:sz w:val="20"/>
        </w:rPr>
        <w:t> </w:t>
      </w:r>
      <w:r>
        <w:rPr>
          <w:sz w:val="20"/>
        </w:rPr>
        <w:t>of</w:t>
      </w:r>
      <w:r>
        <w:rPr>
          <w:spacing w:val="-8"/>
          <w:sz w:val="20"/>
        </w:rPr>
        <w:t> </w:t>
      </w:r>
      <w:r>
        <w:rPr>
          <w:sz w:val="20"/>
        </w:rPr>
        <w:t>this</w:t>
      </w:r>
      <w:r>
        <w:rPr>
          <w:spacing w:val="-7"/>
          <w:sz w:val="20"/>
        </w:rPr>
        <w:t> </w:t>
      </w:r>
      <w:r>
        <w:rPr>
          <w:sz w:val="20"/>
        </w:rPr>
        <w:t>report</w:t>
      </w:r>
      <w:r>
        <w:rPr>
          <w:spacing w:val="-8"/>
          <w:sz w:val="20"/>
        </w:rPr>
        <w:t> </w:t>
      </w:r>
      <w:r>
        <w:rPr>
          <w:sz w:val="20"/>
        </w:rPr>
        <w:t>considers</w:t>
      </w:r>
      <w:r>
        <w:rPr>
          <w:spacing w:val="-8"/>
          <w:sz w:val="20"/>
        </w:rPr>
        <w:t> </w:t>
      </w:r>
      <w:r>
        <w:rPr>
          <w:sz w:val="20"/>
        </w:rPr>
        <w:t>the</w:t>
      </w:r>
      <w:r>
        <w:rPr>
          <w:spacing w:val="-7"/>
          <w:sz w:val="20"/>
        </w:rPr>
        <w:t> </w:t>
      </w:r>
      <w:r>
        <w:rPr>
          <w:sz w:val="20"/>
        </w:rPr>
        <w:t>changes</w:t>
      </w:r>
      <w:r>
        <w:rPr>
          <w:spacing w:val="-8"/>
          <w:sz w:val="20"/>
        </w:rPr>
        <w:t> </w:t>
      </w:r>
      <w:r>
        <w:rPr>
          <w:sz w:val="20"/>
        </w:rPr>
        <w:t>that</w:t>
      </w:r>
      <w:r>
        <w:rPr>
          <w:spacing w:val="-7"/>
          <w:sz w:val="20"/>
        </w:rPr>
        <w:t> </w:t>
      </w:r>
      <w:r>
        <w:rPr>
          <w:sz w:val="20"/>
        </w:rPr>
        <w:t>will</w:t>
      </w:r>
      <w:r>
        <w:rPr>
          <w:spacing w:val="-8"/>
          <w:sz w:val="20"/>
        </w:rPr>
        <w:t> </w:t>
      </w:r>
      <w:r>
        <w:rPr>
          <w:sz w:val="20"/>
        </w:rPr>
        <w:t>need</w:t>
      </w:r>
      <w:r>
        <w:rPr>
          <w:spacing w:val="-8"/>
          <w:sz w:val="20"/>
        </w:rPr>
        <w:t> </w:t>
      </w:r>
      <w:r>
        <w:rPr>
          <w:sz w:val="20"/>
        </w:rPr>
        <w:t>to</w:t>
      </w:r>
      <w:r>
        <w:rPr>
          <w:spacing w:val="-7"/>
          <w:sz w:val="20"/>
        </w:rPr>
        <w:t> </w:t>
      </w:r>
      <w:r>
        <w:rPr>
          <w:sz w:val="20"/>
        </w:rPr>
        <w:t>occur</w:t>
      </w:r>
      <w:r>
        <w:rPr>
          <w:spacing w:val="-8"/>
          <w:sz w:val="20"/>
        </w:rPr>
        <w:t> </w:t>
      </w:r>
      <w:r>
        <w:rPr>
          <w:sz w:val="20"/>
        </w:rPr>
        <w:t>at the</w:t>
      </w:r>
      <w:r>
        <w:rPr>
          <w:spacing w:val="-11"/>
          <w:sz w:val="20"/>
        </w:rPr>
        <w:t> </w:t>
      </w:r>
      <w:r>
        <w:rPr>
          <w:sz w:val="20"/>
        </w:rPr>
        <w:t>various</w:t>
      </w:r>
      <w:r>
        <w:rPr>
          <w:spacing w:val="-10"/>
          <w:sz w:val="20"/>
        </w:rPr>
        <w:t> </w:t>
      </w:r>
      <w:r>
        <w:rPr>
          <w:sz w:val="20"/>
        </w:rPr>
        <w:t>stages</w:t>
      </w:r>
      <w:r>
        <w:rPr>
          <w:spacing w:val="-10"/>
          <w:sz w:val="20"/>
        </w:rPr>
        <w:t> </w:t>
      </w:r>
      <w:r>
        <w:rPr>
          <w:sz w:val="20"/>
        </w:rPr>
        <w:t>of</w:t>
      </w:r>
      <w:r>
        <w:rPr>
          <w:spacing w:val="-10"/>
          <w:sz w:val="20"/>
        </w:rPr>
        <w:t> </w:t>
      </w:r>
      <w:r>
        <w:rPr>
          <w:sz w:val="20"/>
        </w:rPr>
        <w:t>the</w:t>
      </w:r>
      <w:r>
        <w:rPr>
          <w:spacing w:val="-10"/>
          <w:sz w:val="20"/>
        </w:rPr>
        <w:t> </w:t>
      </w:r>
      <w:r>
        <w:rPr>
          <w:sz w:val="20"/>
        </w:rPr>
        <w:t>jury</w:t>
      </w:r>
      <w:r>
        <w:rPr>
          <w:spacing w:val="-10"/>
          <w:sz w:val="20"/>
        </w:rPr>
        <w:t> </w:t>
      </w:r>
      <w:r>
        <w:rPr>
          <w:sz w:val="20"/>
        </w:rPr>
        <w:t>selection</w:t>
      </w:r>
      <w:r>
        <w:rPr>
          <w:spacing w:val="-10"/>
          <w:sz w:val="20"/>
        </w:rPr>
        <w:t> </w:t>
      </w:r>
      <w:r>
        <w:rPr>
          <w:sz w:val="20"/>
        </w:rPr>
        <w:t>process</w:t>
      </w:r>
      <w:r>
        <w:rPr>
          <w:spacing w:val="-10"/>
          <w:sz w:val="20"/>
        </w:rPr>
        <w:t> </w:t>
      </w:r>
      <w:r>
        <w:rPr>
          <w:sz w:val="20"/>
        </w:rPr>
        <w:t>to</w:t>
      </w:r>
      <w:r>
        <w:rPr>
          <w:spacing w:val="-10"/>
          <w:sz w:val="20"/>
        </w:rPr>
        <w:t> </w:t>
      </w:r>
      <w:r>
        <w:rPr>
          <w:spacing w:val="-3"/>
          <w:sz w:val="20"/>
        </w:rPr>
        <w:t>reduce</w:t>
      </w:r>
      <w:r>
        <w:rPr>
          <w:spacing w:val="-10"/>
          <w:sz w:val="20"/>
        </w:rPr>
        <w:t> </w:t>
      </w:r>
      <w:r>
        <w:rPr>
          <w:sz w:val="20"/>
        </w:rPr>
        <w:t>barriers</w:t>
      </w:r>
      <w:r>
        <w:rPr>
          <w:spacing w:val="-11"/>
          <w:sz w:val="20"/>
        </w:rPr>
        <w:t> </w:t>
      </w:r>
      <w:r>
        <w:rPr>
          <w:sz w:val="20"/>
        </w:rPr>
        <w:t>to</w:t>
      </w:r>
      <w:r>
        <w:rPr>
          <w:spacing w:val="-10"/>
          <w:sz w:val="20"/>
        </w:rPr>
        <w:t> </w:t>
      </w:r>
      <w:r>
        <w:rPr>
          <w:sz w:val="20"/>
        </w:rPr>
        <w:t>participation</w:t>
      </w:r>
      <w:r>
        <w:rPr>
          <w:spacing w:val="-10"/>
          <w:sz w:val="20"/>
        </w:rPr>
        <w:t> </w:t>
      </w:r>
      <w:r>
        <w:rPr>
          <w:sz w:val="20"/>
        </w:rPr>
        <w:t>for people in the subject</w:t>
      </w:r>
      <w:r>
        <w:rPr>
          <w:spacing w:val="-18"/>
          <w:sz w:val="20"/>
        </w:rPr>
        <w:t> </w:t>
      </w:r>
      <w:r>
        <w:rPr>
          <w:sz w:val="20"/>
        </w:rPr>
        <w:t>groups.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0"/>
        </w:rPr>
      </w:pPr>
      <w:r>
        <w:rPr/>
        <w:pict>
          <v:line style="position:absolute;mso-position-horizontal-relative:page;mso-position-vertical-relative:paragraph;z-index:680;mso-wrap-distance-left:0;mso-wrap-distance-right:0" from="79.370003pt,9.778pt" to="515.905003pt,9.778pt" stroked="true" strokeweight="1pt" strokecolor="#b6bdc8">
            <v:stroke dashstyle="solid"/>
            <w10:wrap type="topAndBottom"/>
          </v:line>
        </w:pict>
      </w:r>
    </w:p>
    <w:p>
      <w:pPr>
        <w:pStyle w:val="ListParagraph"/>
        <w:numPr>
          <w:ilvl w:val="0"/>
          <w:numId w:val="19"/>
        </w:numPr>
        <w:tabs>
          <w:tab w:pos="1760" w:val="left" w:leader="none"/>
          <w:tab w:pos="1762" w:val="left" w:leader="none"/>
        </w:tabs>
        <w:spacing w:line="213" w:lineRule="auto" w:before="107" w:after="0"/>
        <w:ind w:left="1761" w:right="1796" w:hanging="794"/>
        <w:jc w:val="left"/>
        <w:rPr>
          <w:sz w:val="13"/>
        </w:rPr>
      </w:pPr>
      <w:r>
        <w:rPr>
          <w:sz w:val="13"/>
        </w:rPr>
        <w:t>Up to three additional jurors may be empanelled in criminal trials: ibid ss 22(2), 23(1)(a). Additional jurors are discussed in Chapter </w:t>
      </w:r>
      <w:r>
        <w:rPr>
          <w:spacing w:val="2"/>
          <w:sz w:val="13"/>
        </w:rPr>
        <w:t>9.</w:t>
      </w:r>
    </w:p>
    <w:p>
      <w:pPr>
        <w:pStyle w:val="ListParagraph"/>
        <w:numPr>
          <w:ilvl w:val="0"/>
          <w:numId w:val="19"/>
        </w:numPr>
        <w:tabs>
          <w:tab w:pos="1761" w:val="left" w:leader="none"/>
          <w:tab w:pos="1762" w:val="left" w:leader="none"/>
        </w:tabs>
        <w:spacing w:line="153" w:lineRule="exact" w:before="0" w:after="0"/>
        <w:ind w:left="1761" w:right="0" w:hanging="794"/>
        <w:jc w:val="left"/>
        <w:rPr>
          <w:sz w:val="13"/>
        </w:rPr>
      </w:pPr>
      <w:r>
        <w:rPr>
          <w:sz w:val="13"/>
        </w:rPr>
        <w:t>See Glossary.</w:t>
      </w:r>
    </w:p>
    <w:p>
      <w:pPr>
        <w:pStyle w:val="ListParagraph"/>
        <w:numPr>
          <w:ilvl w:val="0"/>
          <w:numId w:val="19"/>
        </w:numPr>
        <w:tabs>
          <w:tab w:pos="1761" w:val="left" w:leader="none"/>
          <w:tab w:pos="1762" w:val="left" w:leader="none"/>
        </w:tabs>
        <w:spacing w:line="160" w:lineRule="exact" w:before="0" w:after="0"/>
        <w:ind w:left="1761" w:right="0" w:hanging="794"/>
        <w:jc w:val="left"/>
        <w:rPr>
          <w:sz w:val="13"/>
        </w:rPr>
      </w:pPr>
      <w:r>
        <w:rPr>
          <w:i/>
          <w:sz w:val="13"/>
        </w:rPr>
        <w:t>Juries Regulations 2021 </w:t>
      </w:r>
      <w:r>
        <w:rPr>
          <w:spacing w:val="2"/>
          <w:sz w:val="13"/>
        </w:rPr>
        <w:t>(Vic) </w:t>
      </w:r>
      <w:r>
        <w:rPr>
          <w:sz w:val="13"/>
        </w:rPr>
        <w:t>reg</w:t>
      </w:r>
      <w:r>
        <w:rPr>
          <w:spacing w:val="-2"/>
          <w:sz w:val="13"/>
        </w:rPr>
        <w:t> </w:t>
      </w:r>
      <w:r>
        <w:rPr>
          <w:sz w:val="13"/>
        </w:rPr>
        <w:t>6.</w:t>
      </w:r>
    </w:p>
    <w:p>
      <w:pPr>
        <w:tabs>
          <w:tab w:pos="1760" w:val="left" w:leader="none"/>
        </w:tabs>
        <w:spacing w:line="213" w:lineRule="auto" w:before="6"/>
        <w:ind w:left="967" w:right="6689" w:firstLine="0"/>
        <w:jc w:val="left"/>
        <w:rPr>
          <w:sz w:val="13"/>
        </w:rPr>
      </w:pPr>
      <w:r>
        <w:rPr>
          <w:sz w:val="13"/>
        </w:rPr>
        <w:t>56</w:t>
        <w:tab/>
      </w:r>
      <w:r>
        <w:rPr>
          <w:i/>
          <w:sz w:val="13"/>
        </w:rPr>
        <w:t>Juries Act 2000 </w:t>
      </w:r>
      <w:r>
        <w:rPr>
          <w:spacing w:val="2"/>
          <w:sz w:val="13"/>
        </w:rPr>
        <w:t>(Vic) </w:t>
      </w:r>
      <w:r>
        <w:rPr>
          <w:sz w:val="13"/>
        </w:rPr>
        <w:t>ss 33(1)(a)(ii), 30A(2). 57</w:t>
        <w:tab/>
        <w:t>Ibid ss </w:t>
      </w:r>
      <w:r>
        <w:rPr>
          <w:spacing w:val="2"/>
          <w:sz w:val="13"/>
        </w:rPr>
        <w:t>33, </w:t>
      </w:r>
      <w:r>
        <w:rPr>
          <w:spacing w:val="3"/>
          <w:sz w:val="13"/>
        </w:rPr>
        <w:t>34,</w:t>
      </w:r>
      <w:r>
        <w:rPr>
          <w:spacing w:val="-2"/>
          <w:sz w:val="13"/>
        </w:rPr>
        <w:t> </w:t>
      </w:r>
      <w:r>
        <w:rPr>
          <w:spacing w:val="3"/>
          <w:sz w:val="13"/>
        </w:rPr>
        <w:t>35.</w:t>
      </w:r>
    </w:p>
    <w:p>
      <w:pPr>
        <w:pStyle w:val="ListParagraph"/>
        <w:numPr>
          <w:ilvl w:val="0"/>
          <w:numId w:val="20"/>
        </w:numPr>
        <w:tabs>
          <w:tab w:pos="1760" w:val="left" w:leader="none"/>
          <w:tab w:pos="1762" w:val="left" w:leader="none"/>
        </w:tabs>
        <w:spacing w:line="153" w:lineRule="exact" w:before="0" w:after="0"/>
        <w:ind w:left="1761" w:right="0" w:hanging="794"/>
        <w:jc w:val="left"/>
        <w:rPr>
          <w:sz w:val="13"/>
        </w:rPr>
      </w:pPr>
      <w:r>
        <w:rPr>
          <w:sz w:val="13"/>
        </w:rPr>
        <w:t>Up to two additional jurors may be empanelled in civil trials: ibid ss 22(1),</w:t>
      </w:r>
      <w:r>
        <w:rPr>
          <w:spacing w:val="10"/>
          <w:sz w:val="13"/>
        </w:rPr>
        <w:t> </w:t>
      </w:r>
      <w:r>
        <w:rPr>
          <w:sz w:val="13"/>
        </w:rPr>
        <w:t>23(1)(b).</w:t>
      </w:r>
    </w:p>
    <w:p>
      <w:pPr>
        <w:pStyle w:val="ListParagraph"/>
        <w:numPr>
          <w:ilvl w:val="0"/>
          <w:numId w:val="20"/>
        </w:numPr>
        <w:tabs>
          <w:tab w:pos="1761" w:val="left" w:leader="none"/>
          <w:tab w:pos="1762" w:val="left" w:leader="none"/>
        </w:tabs>
        <w:spacing w:line="160" w:lineRule="exact" w:before="0" w:after="0"/>
        <w:ind w:left="1761" w:right="0" w:hanging="794"/>
        <w:jc w:val="left"/>
        <w:rPr>
          <w:sz w:val="13"/>
        </w:rPr>
      </w:pPr>
      <w:r>
        <w:rPr>
          <w:sz w:val="13"/>
        </w:rPr>
        <w:t>Ibid s 42.</w:t>
      </w:r>
    </w:p>
    <w:p>
      <w:pPr>
        <w:pStyle w:val="ListParagraph"/>
        <w:numPr>
          <w:ilvl w:val="0"/>
          <w:numId w:val="20"/>
        </w:numPr>
        <w:tabs>
          <w:tab w:pos="1760" w:val="left" w:leader="none"/>
          <w:tab w:pos="1762" w:val="left" w:leader="none"/>
        </w:tabs>
        <w:spacing w:line="160" w:lineRule="exact" w:before="0" w:after="0"/>
        <w:ind w:left="1761" w:right="0" w:hanging="794"/>
        <w:jc w:val="left"/>
        <w:rPr>
          <w:sz w:val="13"/>
        </w:rPr>
      </w:pPr>
      <w:r>
        <w:rPr>
          <w:spacing w:val="2"/>
          <w:sz w:val="13"/>
        </w:rPr>
        <w:t>Department </w:t>
      </w:r>
      <w:r>
        <w:rPr>
          <w:sz w:val="13"/>
        </w:rPr>
        <w:t>of Justice and </w:t>
      </w:r>
      <w:r>
        <w:rPr>
          <w:spacing w:val="2"/>
          <w:sz w:val="13"/>
        </w:rPr>
        <w:t>Community </w:t>
      </w:r>
      <w:r>
        <w:rPr>
          <w:sz w:val="13"/>
        </w:rPr>
        <w:t>Safety (Vic), </w:t>
      </w:r>
      <w:r>
        <w:rPr>
          <w:spacing w:val="2"/>
          <w:sz w:val="13"/>
        </w:rPr>
        <w:t>‘What </w:t>
      </w:r>
      <w:r>
        <w:rPr>
          <w:sz w:val="13"/>
        </w:rPr>
        <w:t>Is </w:t>
      </w:r>
      <w:r>
        <w:rPr>
          <w:spacing w:val="2"/>
          <w:sz w:val="13"/>
        </w:rPr>
        <w:t>Jury </w:t>
      </w:r>
      <w:r>
        <w:rPr>
          <w:sz w:val="13"/>
        </w:rPr>
        <w:t>Service?’, </w:t>
      </w:r>
      <w:r>
        <w:rPr>
          <w:i/>
          <w:sz w:val="13"/>
        </w:rPr>
        <w:t>Juries Victoria </w:t>
      </w:r>
      <w:r>
        <w:rPr>
          <w:sz w:val="13"/>
        </w:rPr>
        <w:t>(Web Page,</w:t>
      </w:r>
      <w:r>
        <w:rPr>
          <w:spacing w:val="8"/>
          <w:sz w:val="13"/>
        </w:rPr>
        <w:t> </w:t>
      </w:r>
      <w:r>
        <w:rPr>
          <w:sz w:val="13"/>
        </w:rPr>
        <w:t>2021)</w:t>
      </w:r>
    </w:p>
    <w:p>
      <w:pPr>
        <w:spacing w:line="160" w:lineRule="exact" w:before="0"/>
        <w:ind w:left="1761" w:right="0" w:firstLine="0"/>
        <w:jc w:val="left"/>
        <w:rPr>
          <w:sz w:val="13"/>
        </w:rPr>
      </w:pPr>
      <w:r>
        <w:rPr/>
        <w:pict>
          <v:shape style="position:absolute;margin-left:36pt;margin-top:3.709549pt;width:13pt;height:14.1pt;mso-position-horizontal-relative:page;mso-position-vertical-relative:paragraph;z-index:2752" type="#_x0000_t202" filled="false" stroked="false">
            <v:textbox inset="0,0,0,0">
              <w:txbxContent>
                <w:p>
                  <w:pPr>
                    <w:spacing w:line="282" w:lineRule="exact" w:before="0"/>
                    <w:ind w:left="0" w:right="0" w:firstLine="0"/>
                    <w:jc w:val="left"/>
                    <w:rPr>
                      <w:b/>
                      <w:sz w:val="24"/>
                    </w:rPr>
                  </w:pPr>
                  <w:r>
                    <w:rPr>
                      <w:b/>
                      <w:color w:val="37617A"/>
                      <w:spacing w:val="-3"/>
                      <w:sz w:val="24"/>
                    </w:rPr>
                    <w:t>16</w:t>
                  </w:r>
                </w:p>
              </w:txbxContent>
            </v:textbox>
            <w10:wrap type="none"/>
          </v:shape>
        </w:pict>
      </w:r>
      <w:r>
        <w:rPr>
          <w:sz w:val="13"/>
        </w:rPr>
        <w:t>&lt;</w:t>
      </w:r>
      <w:hyperlink r:id="rId43">
        <w:r>
          <w:rPr>
            <w:sz w:val="13"/>
          </w:rPr>
          <w:t>https://www.juriesvictoria.vic.gov.au/about-juries-victoria/what-is-jury-service</w:t>
        </w:r>
      </w:hyperlink>
      <w:r>
        <w:rPr>
          <w:sz w:val="13"/>
        </w:rPr>
        <w:t>&gt;.</w:t>
      </w:r>
    </w:p>
    <w:p>
      <w:pPr>
        <w:pStyle w:val="ListParagraph"/>
        <w:numPr>
          <w:ilvl w:val="0"/>
          <w:numId w:val="20"/>
        </w:numPr>
        <w:tabs>
          <w:tab w:pos="1761" w:val="left" w:leader="none"/>
          <w:tab w:pos="1762" w:val="left" w:leader="none"/>
        </w:tabs>
        <w:spacing w:line="170" w:lineRule="exact" w:before="0" w:after="0"/>
        <w:ind w:left="1761" w:right="0" w:hanging="794"/>
        <w:jc w:val="left"/>
        <w:rPr>
          <w:sz w:val="13"/>
        </w:rPr>
      </w:pPr>
      <w:r>
        <w:rPr>
          <w:sz w:val="13"/>
        </w:rPr>
        <w:t>Information provided by Juries Victoria to Victorian Law Reform </w:t>
      </w:r>
      <w:r>
        <w:rPr>
          <w:spacing w:val="2"/>
          <w:sz w:val="13"/>
        </w:rPr>
        <w:t>Commission, </w:t>
      </w:r>
      <w:r>
        <w:rPr>
          <w:sz w:val="13"/>
        </w:rPr>
        <w:t>17 May</w:t>
      </w:r>
      <w:r>
        <w:rPr>
          <w:spacing w:val="7"/>
          <w:sz w:val="13"/>
        </w:rPr>
        <w:t> </w:t>
      </w:r>
      <w:r>
        <w:rPr>
          <w:sz w:val="13"/>
        </w:rPr>
        <w:t>2022.</w:t>
      </w:r>
    </w:p>
    <w:p>
      <w:pPr>
        <w:spacing w:after="0" w:line="170" w:lineRule="exact"/>
        <w:jc w:val="left"/>
        <w:rPr>
          <w:sz w:val="13"/>
        </w:rPr>
        <w:sectPr>
          <w:pgSz w:w="11910" w:h="16840"/>
          <w:pgMar w:header="567" w:footer="0" w:top="860" w:bottom="280" w:left="620" w:right="380"/>
        </w:sectPr>
      </w:pPr>
    </w:p>
    <w:p>
      <w:pPr>
        <w:pStyle w:val="BodyText"/>
        <w:rPr>
          <w:sz w:val="11"/>
        </w:rPr>
      </w:pPr>
      <w:r>
        <w:rPr/>
        <w:pict>
          <v:rect style="position:absolute;margin-left:0pt;margin-top:0pt;width:595.276001pt;height:841.890015pt;mso-position-horizontal-relative:page;mso-position-vertical-relative:page;z-index:-357400" filled="true" fillcolor="#37617a" stroked="false">
            <v:fill type="solid"/>
            <w10:wrap type="none"/>
          </v:rect>
        </w:pict>
      </w:r>
    </w:p>
    <w:p>
      <w:pPr>
        <w:spacing w:line="688" w:lineRule="exact" w:before="0"/>
        <w:ind w:left="0" w:right="745" w:firstLine="0"/>
        <w:jc w:val="right"/>
        <w:rPr>
          <w:rFonts w:ascii="Raleway SemiBold"/>
          <w:b/>
          <w:sz w:val="50"/>
        </w:rPr>
      </w:pPr>
      <w:r>
        <w:rPr/>
        <w:pict>
          <v:shape style="position:absolute;margin-left:412.18869pt;margin-top:-3.3143pt;width:141.25pt;height:152.65pt;mso-position-horizontal-relative:page;mso-position-vertical-relative:paragraph;z-index:-357376" type="#_x0000_t202" filled="false" stroked="false">
            <v:textbox inset="0,0,0,0">
              <w:txbxContent>
                <w:p>
                  <w:pPr>
                    <w:spacing w:line="3052" w:lineRule="exact" w:before="0"/>
                    <w:ind w:left="0" w:right="0" w:firstLine="0"/>
                    <w:jc w:val="left"/>
                    <w:rPr>
                      <w:b/>
                      <w:sz w:val="260"/>
                    </w:rPr>
                  </w:pPr>
                  <w:r>
                    <w:rPr>
                      <w:b/>
                      <w:color w:val="FFFFFF"/>
                      <w:spacing w:val="-112"/>
                      <w:sz w:val="260"/>
                    </w:rPr>
                    <w:t>03</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11"/>
        <w:rPr>
          <w:rFonts w:ascii="Raleway SemiBold"/>
          <w:b/>
          <w:sz w:val="24"/>
        </w:rPr>
      </w:pPr>
    </w:p>
    <w:p>
      <w:pPr>
        <w:spacing w:line="180" w:lineRule="auto" w:before="166"/>
        <w:ind w:left="967" w:right="1110" w:firstLine="0"/>
        <w:jc w:val="left"/>
        <w:rPr>
          <w:rFonts w:ascii="Raleway ExtraBold"/>
          <w:b/>
          <w:sz w:val="88"/>
        </w:rPr>
      </w:pPr>
      <w:r>
        <w:rPr>
          <w:rFonts w:ascii="Raleway ExtraBold"/>
          <w:b/>
          <w:color w:val="FFFFFF"/>
          <w:spacing w:val="-20"/>
          <w:sz w:val="88"/>
        </w:rPr>
        <w:t>People </w:t>
      </w:r>
      <w:r>
        <w:rPr>
          <w:rFonts w:ascii="Raleway ExtraBold"/>
          <w:b/>
          <w:color w:val="FFFFFF"/>
          <w:spacing w:val="-15"/>
          <w:sz w:val="88"/>
        </w:rPr>
        <w:t>who are </w:t>
      </w:r>
      <w:r>
        <w:rPr>
          <w:rFonts w:ascii="Raleway ExtraBold"/>
          <w:b/>
          <w:color w:val="FFFFFF"/>
          <w:spacing w:val="-27"/>
          <w:sz w:val="88"/>
        </w:rPr>
        <w:t>deaf, </w:t>
      </w:r>
      <w:r>
        <w:rPr>
          <w:rFonts w:ascii="Raleway ExtraBold"/>
          <w:b/>
          <w:color w:val="FFFFFF"/>
          <w:spacing w:val="-17"/>
          <w:sz w:val="88"/>
        </w:rPr>
        <w:t>hard </w:t>
      </w:r>
      <w:r>
        <w:rPr>
          <w:rFonts w:ascii="Raleway ExtraBold"/>
          <w:b/>
          <w:color w:val="FFFFFF"/>
          <w:spacing w:val="-13"/>
          <w:sz w:val="88"/>
        </w:rPr>
        <w:t>of </w:t>
      </w:r>
      <w:r>
        <w:rPr>
          <w:rFonts w:ascii="Raleway ExtraBold"/>
          <w:b/>
          <w:color w:val="FFFFFF"/>
          <w:spacing w:val="-20"/>
          <w:sz w:val="88"/>
        </w:rPr>
        <w:t>hearing, </w:t>
      </w:r>
      <w:r>
        <w:rPr>
          <w:rFonts w:ascii="Raleway ExtraBold"/>
          <w:b/>
          <w:color w:val="FFFFFF"/>
          <w:spacing w:val="-18"/>
          <w:sz w:val="88"/>
        </w:rPr>
        <w:t>blind </w:t>
      </w:r>
      <w:r>
        <w:rPr>
          <w:rFonts w:ascii="Raleway ExtraBold"/>
          <w:b/>
          <w:color w:val="FFFFFF"/>
          <w:spacing w:val="-11"/>
          <w:sz w:val="88"/>
        </w:rPr>
        <w:t>or </w:t>
      </w:r>
      <w:r>
        <w:rPr>
          <w:rFonts w:ascii="Raleway ExtraBold"/>
          <w:b/>
          <w:color w:val="FFFFFF"/>
          <w:spacing w:val="-27"/>
          <w:sz w:val="88"/>
        </w:rPr>
        <w:t>have </w:t>
      </w:r>
      <w:r>
        <w:rPr>
          <w:rFonts w:ascii="Raleway ExtraBold"/>
          <w:b/>
          <w:color w:val="FFFFFF"/>
          <w:spacing w:val="-23"/>
          <w:sz w:val="88"/>
        </w:rPr>
        <w:t>low </w:t>
      </w:r>
      <w:r>
        <w:rPr>
          <w:rFonts w:ascii="Raleway ExtraBold"/>
          <w:b/>
          <w:color w:val="FFFFFF"/>
          <w:spacing w:val="-19"/>
          <w:sz w:val="88"/>
        </w:rPr>
        <w:t>vision </w:t>
      </w:r>
      <w:r>
        <w:rPr>
          <w:rFonts w:ascii="Raleway ExtraBold"/>
          <w:b/>
          <w:color w:val="FFFFFF"/>
          <w:spacing w:val="-12"/>
          <w:sz w:val="88"/>
        </w:rPr>
        <w:t>in </w:t>
      </w:r>
      <w:r>
        <w:rPr>
          <w:rFonts w:ascii="Raleway ExtraBold"/>
          <w:b/>
          <w:color w:val="FFFFFF"/>
          <w:spacing w:val="-15"/>
          <w:sz w:val="88"/>
        </w:rPr>
        <w:t>our </w:t>
      </w:r>
      <w:r>
        <w:rPr>
          <w:rFonts w:ascii="Raleway ExtraBold"/>
          <w:b/>
          <w:color w:val="FFFFFF"/>
          <w:spacing w:val="-21"/>
          <w:sz w:val="88"/>
        </w:rPr>
        <w:t>community</w:t>
      </w:r>
    </w:p>
    <w:p>
      <w:pPr>
        <w:pStyle w:val="BodyText"/>
        <w:rPr>
          <w:rFonts w:ascii="Raleway ExtraBold"/>
          <w:b/>
        </w:rPr>
      </w:pPr>
    </w:p>
    <w:p>
      <w:pPr>
        <w:pStyle w:val="BodyText"/>
        <w:rPr>
          <w:rFonts w:ascii="Raleway ExtraBold"/>
          <w:b/>
        </w:rPr>
      </w:pPr>
    </w:p>
    <w:p>
      <w:pPr>
        <w:pStyle w:val="BodyText"/>
        <w:spacing w:before="12"/>
        <w:rPr>
          <w:rFonts w:ascii="Raleway ExtraBold"/>
          <w:b/>
          <w:sz w:val="27"/>
        </w:rPr>
      </w:pPr>
    </w:p>
    <w:p>
      <w:pPr>
        <w:tabs>
          <w:tab w:pos="1534" w:val="left" w:leader="none"/>
        </w:tabs>
        <w:spacing w:before="49"/>
        <w:ind w:left="967" w:right="0" w:firstLine="0"/>
        <w:jc w:val="left"/>
        <w:rPr>
          <w:b/>
          <w:sz w:val="24"/>
        </w:rPr>
      </w:pPr>
      <w:r>
        <w:rPr/>
        <w:pict>
          <v:line style="position:absolute;mso-position-horizontal-relative:page;mso-position-vertical-relative:paragraph;z-index:728;mso-wrap-distance-left:0;mso-wrap-distance-right:0" from="79.370102pt,22.967304pt" to="104.882102pt,22.967304pt" stroked="true" strokeweight="2pt" strokecolor="#8f9dad">
            <v:stroke dashstyle="solid"/>
            <w10:wrap type="topAndBottom"/>
          </v:line>
        </w:pict>
      </w:r>
      <w:hyperlink w:history="true" w:anchor="_bookmark19">
        <w:r>
          <w:rPr>
            <w:b/>
            <w:color w:val="FFFFFF"/>
            <w:sz w:val="24"/>
          </w:rPr>
          <w:t>18</w:t>
          <w:tab/>
          <w:t>Overview</w:t>
        </w:r>
      </w:hyperlink>
    </w:p>
    <w:p>
      <w:pPr>
        <w:tabs>
          <w:tab w:pos="1534" w:val="left" w:leader="none"/>
        </w:tabs>
        <w:spacing w:before="14" w:after="57"/>
        <w:ind w:left="967" w:right="0" w:firstLine="0"/>
        <w:jc w:val="left"/>
        <w:rPr>
          <w:b/>
          <w:sz w:val="24"/>
        </w:rPr>
      </w:pPr>
      <w:hyperlink w:history="true" w:anchor="_bookmark19">
        <w:r>
          <w:rPr>
            <w:b/>
            <w:color w:val="FFFFFF"/>
            <w:sz w:val="24"/>
          </w:rPr>
          <w:t>18</w:t>
          <w:tab/>
          <w:t>A note on population</w:t>
        </w:r>
        <w:r>
          <w:rPr>
            <w:b/>
            <w:color w:val="FFFFFF"/>
            <w:spacing w:val="-1"/>
            <w:sz w:val="24"/>
          </w:rPr>
          <w:t> </w:t>
        </w:r>
        <w:r>
          <w:rPr>
            <w:b/>
            <w:color w:val="FFFFFF"/>
            <w:sz w:val="24"/>
          </w:rPr>
          <w:t>data</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pStyle w:val="ListParagraph"/>
        <w:numPr>
          <w:ilvl w:val="0"/>
          <w:numId w:val="21"/>
        </w:numPr>
        <w:tabs>
          <w:tab w:pos="1534" w:val="left" w:leader="none"/>
          <w:tab w:pos="1535" w:val="left" w:leader="none"/>
        </w:tabs>
        <w:spacing w:line="240" w:lineRule="auto" w:before="43" w:after="0"/>
        <w:ind w:left="1534" w:right="0" w:hanging="567"/>
        <w:jc w:val="left"/>
        <w:rPr>
          <w:b/>
          <w:sz w:val="24"/>
        </w:rPr>
      </w:pPr>
      <w:r>
        <w:rPr/>
        <w:pict>
          <v:line style="position:absolute;mso-position-horizontal-relative:page;mso-position-vertical-relative:paragraph;z-index:776;mso-wrap-distance-left:0;mso-wrap-distance-right:0" from="79.370102pt,22.667311pt" to="104.882102pt,22.667311pt" stroked="true" strokeweight="2pt" strokecolor="#8f9dad">
            <v:stroke dashstyle="solid"/>
            <w10:wrap type="topAndBottom"/>
          </v:line>
        </w:pict>
      </w:r>
      <w:hyperlink w:history="true" w:anchor="_bookmark19">
        <w:r>
          <w:rPr>
            <w:b/>
            <w:color w:val="FFFFFF"/>
            <w:sz w:val="24"/>
          </w:rPr>
          <w:t>People who are blind or </w:t>
        </w:r>
        <w:r>
          <w:rPr>
            <w:b/>
            <w:color w:val="FFFFFF"/>
            <w:spacing w:val="-4"/>
            <w:sz w:val="24"/>
          </w:rPr>
          <w:t>have </w:t>
        </w:r>
        <w:r>
          <w:rPr>
            <w:b/>
            <w:color w:val="FFFFFF"/>
            <w:spacing w:val="-3"/>
            <w:sz w:val="24"/>
          </w:rPr>
          <w:t>low</w:t>
        </w:r>
        <w:r>
          <w:rPr>
            <w:b/>
            <w:color w:val="FFFFFF"/>
            <w:spacing w:val="2"/>
            <w:sz w:val="24"/>
          </w:rPr>
          <w:t> </w:t>
        </w:r>
        <w:r>
          <w:rPr>
            <w:b/>
            <w:color w:val="FFFFFF"/>
            <w:sz w:val="24"/>
          </w:rPr>
          <w:t>vision</w:t>
        </w:r>
      </w:hyperlink>
    </w:p>
    <w:p>
      <w:pPr>
        <w:pStyle w:val="ListParagraph"/>
        <w:numPr>
          <w:ilvl w:val="0"/>
          <w:numId w:val="21"/>
        </w:numPr>
        <w:tabs>
          <w:tab w:pos="1534" w:val="left" w:leader="none"/>
          <w:tab w:pos="1535" w:val="left" w:leader="none"/>
        </w:tabs>
        <w:spacing w:line="240" w:lineRule="auto" w:before="14" w:after="57"/>
        <w:ind w:left="1534" w:right="0" w:hanging="567"/>
        <w:jc w:val="left"/>
        <w:rPr>
          <w:b/>
          <w:sz w:val="24"/>
        </w:rPr>
      </w:pPr>
      <w:hyperlink w:history="true" w:anchor="_bookmark20">
        <w:r>
          <w:rPr>
            <w:b/>
            <w:color w:val="FFFFFF"/>
            <w:sz w:val="24"/>
          </w:rPr>
          <w:t>People who are deaf or hard of</w:t>
        </w:r>
        <w:r>
          <w:rPr>
            <w:b/>
            <w:color w:val="FFFFFF"/>
            <w:spacing w:val="-3"/>
            <w:sz w:val="24"/>
          </w:rPr>
          <w:t> </w:t>
        </w:r>
        <w:r>
          <w:rPr>
            <w:b/>
            <w:color w:val="FFFFFF"/>
            <w:sz w:val="24"/>
          </w:rPr>
          <w:t>hearing</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pStyle w:val="ListParagraph"/>
        <w:numPr>
          <w:ilvl w:val="0"/>
          <w:numId w:val="21"/>
        </w:numPr>
        <w:tabs>
          <w:tab w:pos="1534" w:val="left" w:leader="none"/>
          <w:tab w:pos="1535" w:val="left" w:leader="none"/>
        </w:tabs>
        <w:spacing w:line="240" w:lineRule="auto" w:before="43" w:after="0"/>
        <w:ind w:left="1534" w:right="0" w:hanging="567"/>
        <w:jc w:val="left"/>
        <w:rPr>
          <w:b/>
          <w:sz w:val="24"/>
        </w:rPr>
      </w:pPr>
      <w:r>
        <w:rPr/>
        <w:pict>
          <v:line style="position:absolute;mso-position-horizontal-relative:page;mso-position-vertical-relative:paragraph;z-index:824;mso-wrap-distance-left:0;mso-wrap-distance-right:0" from="79.370102pt,22.667189pt" to="104.882102pt,22.667189pt" stroked="true" strokeweight="2pt" strokecolor="#8f9dad">
            <v:stroke dashstyle="solid"/>
            <w10:wrap type="topAndBottom"/>
          </v:line>
        </w:pict>
      </w:r>
      <w:hyperlink w:history="true" w:anchor="_bookmark21">
        <w:r>
          <w:rPr>
            <w:b/>
            <w:color w:val="FFFFFF"/>
            <w:sz w:val="24"/>
          </w:rPr>
          <w:t>Aboriginal people in the subject</w:t>
        </w:r>
        <w:r>
          <w:rPr>
            <w:b/>
            <w:color w:val="FFFFFF"/>
            <w:spacing w:val="-2"/>
            <w:sz w:val="24"/>
          </w:rPr>
          <w:t> </w:t>
        </w:r>
        <w:r>
          <w:rPr>
            <w:b/>
            <w:color w:val="FFFFFF"/>
            <w:sz w:val="24"/>
          </w:rPr>
          <w:t>groups</w:t>
        </w:r>
      </w:hyperlink>
    </w:p>
    <w:p>
      <w:pPr>
        <w:spacing w:after="0" w:line="240" w:lineRule="auto"/>
        <w:jc w:val="left"/>
        <w:rPr>
          <w:sz w:val="24"/>
        </w:rPr>
        <w:sectPr>
          <w:headerReference w:type="default" r:id="rId50"/>
          <w:headerReference w:type="even" r:id="rId51"/>
          <w:pgSz w:w="11910" w:h="16840"/>
          <w:pgMar w:header="0" w:footer="0" w:top="480" w:bottom="280" w:left="620" w:right="380"/>
        </w:sectPr>
      </w:pPr>
    </w:p>
    <w:p>
      <w:pPr>
        <w:pStyle w:val="BodyText"/>
        <w:rPr>
          <w:b/>
        </w:rPr>
      </w:pPr>
      <w:r>
        <w:rPr/>
        <w:pict>
          <v:rect style="position:absolute;margin-left:0pt;margin-top:99.213013pt;width:14.173pt;height:85.748pt;mso-position-horizontal-relative:page;mso-position-vertical-relative:page;z-index:2968" filled="true" fillcolor="#37617a" stroked="false">
            <v:fill type="solid"/>
            <w10:wrap type="none"/>
          </v:rect>
        </w:pict>
      </w:r>
    </w:p>
    <w:p>
      <w:pPr>
        <w:pStyle w:val="BodyText"/>
        <w:rPr>
          <w:b/>
        </w:rPr>
      </w:pPr>
    </w:p>
    <w:p>
      <w:pPr>
        <w:pStyle w:val="BodyText"/>
        <w:spacing w:before="10"/>
        <w:rPr>
          <w:b/>
          <w:sz w:val="23"/>
        </w:rPr>
      </w:pPr>
    </w:p>
    <w:p>
      <w:pPr>
        <w:pStyle w:val="ListParagraph"/>
        <w:numPr>
          <w:ilvl w:val="0"/>
          <w:numId w:val="12"/>
        </w:numPr>
        <w:tabs>
          <w:tab w:pos="825" w:val="left" w:leader="none"/>
        </w:tabs>
        <w:spacing w:line="184" w:lineRule="auto" w:before="129" w:after="0"/>
        <w:ind w:left="230" w:right="2035" w:firstLine="0"/>
        <w:jc w:val="left"/>
        <w:rPr>
          <w:rFonts w:ascii="Raleway ExtraBold"/>
          <w:b/>
          <w:sz w:val="56"/>
        </w:rPr>
      </w:pPr>
      <w:bookmarkStart w:name="3. People who are deaf, hard of hearing," w:id="46"/>
      <w:bookmarkEnd w:id="46"/>
      <w:r>
        <w:rPr/>
      </w:r>
      <w:bookmarkStart w:name="Overview" w:id="47"/>
      <w:bookmarkEnd w:id="47"/>
      <w:r>
        <w:rPr/>
      </w:r>
      <w:bookmarkStart w:name="A note on population data" w:id="48"/>
      <w:bookmarkEnd w:id="48"/>
      <w:r>
        <w:rPr/>
      </w:r>
      <w:bookmarkStart w:name="People who are blind or have low vision" w:id="49"/>
      <w:bookmarkEnd w:id="49"/>
      <w:r>
        <w:rPr/>
      </w:r>
      <w:bookmarkStart w:name="_bookmark19" w:id="50"/>
      <w:bookmarkEnd w:id="50"/>
      <w:r>
        <w:rPr/>
      </w:r>
      <w:bookmarkStart w:name="_bookmark19" w:id="51"/>
      <w:bookmarkEnd w:id="51"/>
      <w:r>
        <w:rPr>
          <w:rFonts w:ascii="Raleway ExtraBold"/>
          <w:b/>
          <w:color w:val="37617A"/>
          <w:spacing w:val="-5"/>
          <w:sz w:val="56"/>
        </w:rPr>
        <w:t>P</w:t>
      </w:r>
      <w:r>
        <w:rPr>
          <w:rFonts w:ascii="Raleway ExtraBold"/>
          <w:b/>
          <w:color w:val="37617A"/>
          <w:spacing w:val="-5"/>
          <w:sz w:val="56"/>
        </w:rPr>
        <w:t>eople </w:t>
      </w:r>
      <w:r>
        <w:rPr>
          <w:rFonts w:ascii="Raleway ExtraBold"/>
          <w:b/>
          <w:color w:val="37617A"/>
          <w:sz w:val="56"/>
        </w:rPr>
        <w:t>who </w:t>
      </w:r>
      <w:r>
        <w:rPr>
          <w:rFonts w:ascii="Raleway ExtraBold"/>
          <w:b/>
          <w:color w:val="37617A"/>
          <w:spacing w:val="-3"/>
          <w:sz w:val="56"/>
        </w:rPr>
        <w:t>are </w:t>
      </w:r>
      <w:r>
        <w:rPr>
          <w:rFonts w:ascii="Raleway ExtraBold"/>
          <w:b/>
          <w:color w:val="37617A"/>
          <w:spacing w:val="-9"/>
          <w:sz w:val="56"/>
        </w:rPr>
        <w:t>deaf, </w:t>
      </w:r>
      <w:r>
        <w:rPr>
          <w:rFonts w:ascii="Raleway ExtraBold"/>
          <w:b/>
          <w:color w:val="37617A"/>
          <w:spacing w:val="-3"/>
          <w:sz w:val="56"/>
        </w:rPr>
        <w:t>hard of </w:t>
      </w:r>
      <w:r>
        <w:rPr>
          <w:rFonts w:ascii="Raleway ExtraBold"/>
          <w:b/>
          <w:color w:val="37617A"/>
          <w:spacing w:val="-4"/>
          <w:sz w:val="56"/>
        </w:rPr>
        <w:t>hearing, </w:t>
      </w:r>
      <w:r>
        <w:rPr>
          <w:rFonts w:ascii="Raleway ExtraBold"/>
          <w:b/>
          <w:color w:val="37617A"/>
          <w:spacing w:val="-3"/>
          <w:sz w:val="56"/>
        </w:rPr>
        <w:t>blind </w:t>
      </w:r>
      <w:r>
        <w:rPr>
          <w:rFonts w:ascii="Raleway ExtraBold"/>
          <w:b/>
          <w:color w:val="37617A"/>
          <w:sz w:val="56"/>
        </w:rPr>
        <w:t>or </w:t>
      </w:r>
      <w:r>
        <w:rPr>
          <w:rFonts w:ascii="Raleway ExtraBold"/>
          <w:b/>
          <w:color w:val="37617A"/>
          <w:spacing w:val="-9"/>
          <w:sz w:val="56"/>
        </w:rPr>
        <w:t>have </w:t>
      </w:r>
      <w:r>
        <w:rPr>
          <w:rFonts w:ascii="Raleway ExtraBold"/>
          <w:b/>
          <w:color w:val="37617A"/>
          <w:spacing w:val="-8"/>
          <w:sz w:val="56"/>
        </w:rPr>
        <w:t>low </w:t>
      </w:r>
      <w:r>
        <w:rPr>
          <w:rFonts w:ascii="Raleway ExtraBold"/>
          <w:b/>
          <w:color w:val="37617A"/>
          <w:spacing w:val="-4"/>
          <w:sz w:val="56"/>
        </w:rPr>
        <w:t>vision </w:t>
      </w:r>
      <w:r>
        <w:rPr>
          <w:rFonts w:ascii="Raleway ExtraBold"/>
          <w:b/>
          <w:color w:val="37617A"/>
          <w:sz w:val="56"/>
        </w:rPr>
        <w:t>in our</w:t>
      </w:r>
      <w:r>
        <w:rPr>
          <w:rFonts w:ascii="Raleway ExtraBold"/>
          <w:b/>
          <w:color w:val="37617A"/>
          <w:spacing w:val="-1"/>
          <w:sz w:val="56"/>
        </w:rPr>
        <w:t> </w:t>
      </w:r>
      <w:r>
        <w:rPr>
          <w:rFonts w:ascii="Raleway ExtraBold"/>
          <w:b/>
          <w:color w:val="37617A"/>
          <w:spacing w:val="-4"/>
          <w:sz w:val="56"/>
        </w:rPr>
        <w:t>community</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spacing w:before="217"/>
        <w:ind w:left="967" w:right="0" w:firstLine="0"/>
        <w:jc w:val="left"/>
        <w:rPr>
          <w:rFonts w:ascii="Raleway ExtraBold"/>
          <w:b/>
          <w:sz w:val="28"/>
        </w:rPr>
      </w:pPr>
      <w:r>
        <w:rPr>
          <w:rFonts w:ascii="Raleway ExtraBold"/>
          <w:b/>
          <w:color w:val="37617A"/>
          <w:sz w:val="28"/>
        </w:rPr>
        <w:t>Overview</w:t>
      </w:r>
    </w:p>
    <w:p>
      <w:pPr>
        <w:pStyle w:val="ListParagraph"/>
        <w:numPr>
          <w:ilvl w:val="0"/>
          <w:numId w:val="22"/>
        </w:numPr>
        <w:tabs>
          <w:tab w:pos="2157" w:val="left" w:leader="none"/>
          <w:tab w:pos="2158" w:val="left" w:leader="none"/>
        </w:tabs>
        <w:spacing w:line="206" w:lineRule="auto" w:before="146" w:after="0"/>
        <w:ind w:left="2157" w:right="1241" w:hanging="396"/>
        <w:jc w:val="left"/>
        <w:rPr>
          <w:sz w:val="20"/>
        </w:rPr>
      </w:pPr>
      <w:r>
        <w:rPr>
          <w:sz w:val="20"/>
        </w:rPr>
        <w:t>People</w:t>
      </w:r>
      <w:r>
        <w:rPr>
          <w:spacing w:val="-9"/>
          <w:sz w:val="20"/>
        </w:rPr>
        <w:t> </w:t>
      </w:r>
      <w:r>
        <w:rPr>
          <w:sz w:val="20"/>
        </w:rPr>
        <w:t>who</w:t>
      </w:r>
      <w:r>
        <w:rPr>
          <w:spacing w:val="-9"/>
          <w:sz w:val="20"/>
        </w:rPr>
        <w:t> </w:t>
      </w:r>
      <w:r>
        <w:rPr>
          <w:spacing w:val="-3"/>
          <w:sz w:val="20"/>
        </w:rPr>
        <w:t>are</w:t>
      </w:r>
      <w:r>
        <w:rPr>
          <w:spacing w:val="-9"/>
          <w:sz w:val="20"/>
        </w:rPr>
        <w:t> </w:t>
      </w:r>
      <w:r>
        <w:rPr>
          <w:spacing w:val="-4"/>
          <w:sz w:val="20"/>
        </w:rPr>
        <w:t>deaf,</w:t>
      </w:r>
      <w:r>
        <w:rPr>
          <w:spacing w:val="-9"/>
          <w:sz w:val="20"/>
        </w:rPr>
        <w:t> </w:t>
      </w:r>
      <w:r>
        <w:rPr>
          <w:sz w:val="20"/>
        </w:rPr>
        <w:t>hard</w:t>
      </w:r>
      <w:r>
        <w:rPr>
          <w:spacing w:val="-8"/>
          <w:sz w:val="20"/>
        </w:rPr>
        <w:t> </w:t>
      </w:r>
      <w:r>
        <w:rPr>
          <w:sz w:val="20"/>
        </w:rPr>
        <w:t>of</w:t>
      </w:r>
      <w:r>
        <w:rPr>
          <w:spacing w:val="-9"/>
          <w:sz w:val="20"/>
        </w:rPr>
        <w:t> </w:t>
      </w:r>
      <w:r>
        <w:rPr>
          <w:sz w:val="20"/>
        </w:rPr>
        <w:t>hearing,</w:t>
      </w:r>
      <w:r>
        <w:rPr>
          <w:spacing w:val="-9"/>
          <w:sz w:val="20"/>
        </w:rPr>
        <w:t> </w:t>
      </w:r>
      <w:r>
        <w:rPr>
          <w:sz w:val="20"/>
        </w:rPr>
        <w:t>blind</w:t>
      </w:r>
      <w:r>
        <w:rPr>
          <w:spacing w:val="-9"/>
          <w:sz w:val="20"/>
        </w:rPr>
        <w:t> </w:t>
      </w:r>
      <w:r>
        <w:rPr>
          <w:sz w:val="20"/>
        </w:rPr>
        <w:t>or</w:t>
      </w:r>
      <w:r>
        <w:rPr>
          <w:spacing w:val="-8"/>
          <w:sz w:val="20"/>
        </w:rPr>
        <w:t> </w:t>
      </w:r>
      <w:r>
        <w:rPr>
          <w:spacing w:val="-4"/>
          <w:sz w:val="20"/>
        </w:rPr>
        <w:t>have</w:t>
      </w:r>
      <w:r>
        <w:rPr>
          <w:spacing w:val="-9"/>
          <w:sz w:val="20"/>
        </w:rPr>
        <w:t> </w:t>
      </w:r>
      <w:r>
        <w:rPr>
          <w:spacing w:val="-4"/>
          <w:sz w:val="20"/>
        </w:rPr>
        <w:t>low</w:t>
      </w:r>
      <w:r>
        <w:rPr>
          <w:spacing w:val="-9"/>
          <w:sz w:val="20"/>
        </w:rPr>
        <w:t> </w:t>
      </w:r>
      <w:r>
        <w:rPr>
          <w:sz w:val="20"/>
        </w:rPr>
        <w:t>vision</w:t>
      </w:r>
      <w:r>
        <w:rPr>
          <w:spacing w:val="-9"/>
          <w:sz w:val="20"/>
        </w:rPr>
        <w:t> </w:t>
      </w:r>
      <w:r>
        <w:rPr>
          <w:sz w:val="20"/>
        </w:rPr>
        <w:t>comprise</w:t>
      </w:r>
      <w:r>
        <w:rPr>
          <w:spacing w:val="-9"/>
          <w:sz w:val="20"/>
        </w:rPr>
        <w:t> </w:t>
      </w:r>
      <w:r>
        <w:rPr>
          <w:sz w:val="20"/>
        </w:rPr>
        <w:t>a</w:t>
      </w:r>
      <w:r>
        <w:rPr>
          <w:spacing w:val="-8"/>
          <w:sz w:val="20"/>
        </w:rPr>
        <w:t> </w:t>
      </w:r>
      <w:r>
        <w:rPr>
          <w:sz w:val="20"/>
        </w:rPr>
        <w:t>small</w:t>
      </w:r>
      <w:r>
        <w:rPr>
          <w:spacing w:val="-9"/>
          <w:sz w:val="20"/>
        </w:rPr>
        <w:t> </w:t>
      </w:r>
      <w:r>
        <w:rPr>
          <w:sz w:val="20"/>
        </w:rPr>
        <w:t>but increasing</w:t>
      </w:r>
      <w:r>
        <w:rPr>
          <w:spacing w:val="-7"/>
          <w:sz w:val="20"/>
        </w:rPr>
        <w:t> </w:t>
      </w:r>
      <w:r>
        <w:rPr>
          <w:sz w:val="20"/>
        </w:rPr>
        <w:t>proportion</w:t>
      </w:r>
      <w:r>
        <w:rPr>
          <w:spacing w:val="-7"/>
          <w:sz w:val="20"/>
        </w:rPr>
        <w:t> </w:t>
      </w:r>
      <w:r>
        <w:rPr>
          <w:sz w:val="20"/>
        </w:rPr>
        <w:t>of</w:t>
      </w:r>
      <w:r>
        <w:rPr>
          <w:spacing w:val="-7"/>
          <w:sz w:val="20"/>
        </w:rPr>
        <w:t> </w:t>
      </w:r>
      <w:r>
        <w:rPr>
          <w:sz w:val="20"/>
        </w:rPr>
        <w:t>the</w:t>
      </w:r>
      <w:r>
        <w:rPr>
          <w:spacing w:val="-7"/>
          <w:sz w:val="20"/>
        </w:rPr>
        <w:t> </w:t>
      </w:r>
      <w:r>
        <w:rPr>
          <w:spacing w:val="-3"/>
          <w:sz w:val="20"/>
        </w:rPr>
        <w:t>overall</w:t>
      </w:r>
      <w:r>
        <w:rPr>
          <w:spacing w:val="-7"/>
          <w:sz w:val="20"/>
        </w:rPr>
        <w:t> </w:t>
      </w:r>
      <w:r>
        <w:rPr>
          <w:sz w:val="20"/>
        </w:rPr>
        <w:t>Australian</w:t>
      </w:r>
      <w:r>
        <w:rPr>
          <w:spacing w:val="-7"/>
          <w:sz w:val="20"/>
        </w:rPr>
        <w:t> </w:t>
      </w:r>
      <w:r>
        <w:rPr>
          <w:sz w:val="20"/>
        </w:rPr>
        <w:t>and</w:t>
      </w:r>
      <w:r>
        <w:rPr>
          <w:spacing w:val="-7"/>
          <w:sz w:val="20"/>
        </w:rPr>
        <w:t> </w:t>
      </w:r>
      <w:r>
        <w:rPr>
          <w:sz w:val="20"/>
        </w:rPr>
        <w:t>Victorian</w:t>
      </w:r>
      <w:r>
        <w:rPr>
          <w:spacing w:val="-6"/>
          <w:sz w:val="20"/>
        </w:rPr>
        <w:t> </w:t>
      </w:r>
      <w:r>
        <w:rPr>
          <w:sz w:val="20"/>
        </w:rPr>
        <w:t>populations.</w:t>
      </w:r>
    </w:p>
    <w:p>
      <w:pPr>
        <w:pStyle w:val="ListParagraph"/>
        <w:numPr>
          <w:ilvl w:val="0"/>
          <w:numId w:val="22"/>
        </w:numPr>
        <w:tabs>
          <w:tab w:pos="2157" w:val="left" w:leader="none"/>
          <w:tab w:pos="2158" w:val="left" w:leader="none"/>
        </w:tabs>
        <w:spacing w:line="206" w:lineRule="auto" w:before="88" w:after="0"/>
        <w:ind w:left="2157" w:right="1351" w:hanging="396"/>
        <w:jc w:val="left"/>
        <w:rPr>
          <w:sz w:val="20"/>
        </w:rPr>
      </w:pPr>
      <w:r>
        <w:rPr>
          <w:sz w:val="20"/>
        </w:rPr>
        <w:t>As</w:t>
      </w:r>
      <w:r>
        <w:rPr>
          <w:spacing w:val="-11"/>
          <w:sz w:val="20"/>
        </w:rPr>
        <w:t> </w:t>
      </w:r>
      <w:r>
        <w:rPr>
          <w:sz w:val="20"/>
        </w:rPr>
        <w:t>the</w:t>
      </w:r>
      <w:r>
        <w:rPr>
          <w:spacing w:val="-10"/>
          <w:sz w:val="20"/>
        </w:rPr>
        <w:t> </w:t>
      </w:r>
      <w:r>
        <w:rPr>
          <w:sz w:val="20"/>
        </w:rPr>
        <w:t>population</w:t>
      </w:r>
      <w:r>
        <w:rPr>
          <w:spacing w:val="-11"/>
          <w:sz w:val="20"/>
        </w:rPr>
        <w:t> </w:t>
      </w:r>
      <w:r>
        <w:rPr>
          <w:sz w:val="20"/>
        </w:rPr>
        <w:t>ages,</w:t>
      </w:r>
      <w:r>
        <w:rPr>
          <w:spacing w:val="-10"/>
          <w:sz w:val="20"/>
        </w:rPr>
        <w:t> </w:t>
      </w:r>
      <w:r>
        <w:rPr>
          <w:sz w:val="20"/>
        </w:rPr>
        <w:t>more</w:t>
      </w:r>
      <w:r>
        <w:rPr>
          <w:spacing w:val="-10"/>
          <w:sz w:val="20"/>
        </w:rPr>
        <w:t> </w:t>
      </w:r>
      <w:r>
        <w:rPr>
          <w:sz w:val="20"/>
        </w:rPr>
        <w:t>people</w:t>
      </w:r>
      <w:r>
        <w:rPr>
          <w:spacing w:val="-11"/>
          <w:sz w:val="20"/>
        </w:rPr>
        <w:t> </w:t>
      </w:r>
      <w:r>
        <w:rPr>
          <w:sz w:val="20"/>
        </w:rPr>
        <w:t>selected</w:t>
      </w:r>
      <w:r>
        <w:rPr>
          <w:spacing w:val="-10"/>
          <w:sz w:val="20"/>
        </w:rPr>
        <w:t> </w:t>
      </w:r>
      <w:r>
        <w:rPr>
          <w:sz w:val="20"/>
        </w:rPr>
        <w:t>for</w:t>
      </w:r>
      <w:r>
        <w:rPr>
          <w:spacing w:val="-10"/>
          <w:sz w:val="20"/>
        </w:rPr>
        <w:t> </w:t>
      </w:r>
      <w:r>
        <w:rPr>
          <w:sz w:val="20"/>
        </w:rPr>
        <w:t>jury</w:t>
      </w:r>
      <w:r>
        <w:rPr>
          <w:spacing w:val="-11"/>
          <w:sz w:val="20"/>
        </w:rPr>
        <w:t> </w:t>
      </w:r>
      <w:r>
        <w:rPr>
          <w:sz w:val="20"/>
        </w:rPr>
        <w:t>duty</w:t>
      </w:r>
      <w:r>
        <w:rPr>
          <w:spacing w:val="-10"/>
          <w:sz w:val="20"/>
        </w:rPr>
        <w:t> </w:t>
      </w:r>
      <w:r>
        <w:rPr>
          <w:spacing w:val="-3"/>
          <w:sz w:val="20"/>
        </w:rPr>
        <w:t>may</w:t>
      </w:r>
      <w:r>
        <w:rPr>
          <w:spacing w:val="-10"/>
          <w:sz w:val="20"/>
        </w:rPr>
        <w:t> </w:t>
      </w:r>
      <w:r>
        <w:rPr>
          <w:sz w:val="20"/>
        </w:rPr>
        <w:t>need</w:t>
      </w:r>
      <w:r>
        <w:rPr>
          <w:spacing w:val="-11"/>
          <w:sz w:val="20"/>
        </w:rPr>
        <w:t> </w:t>
      </w:r>
      <w:r>
        <w:rPr>
          <w:sz w:val="20"/>
        </w:rPr>
        <w:t>reasonable adjustments to enable them to</w:t>
      </w:r>
      <w:r>
        <w:rPr>
          <w:spacing w:val="-23"/>
          <w:sz w:val="20"/>
        </w:rPr>
        <w:t> </w:t>
      </w:r>
      <w:r>
        <w:rPr>
          <w:sz w:val="20"/>
        </w:rPr>
        <w:t>serve.</w:t>
      </w:r>
    </w:p>
    <w:p>
      <w:pPr>
        <w:pStyle w:val="ListParagraph"/>
        <w:numPr>
          <w:ilvl w:val="0"/>
          <w:numId w:val="22"/>
        </w:numPr>
        <w:tabs>
          <w:tab w:pos="2157" w:val="left" w:leader="none"/>
          <w:tab w:pos="2158" w:val="left" w:leader="none"/>
        </w:tabs>
        <w:spacing w:line="206" w:lineRule="auto" w:before="87" w:after="0"/>
        <w:ind w:left="2157" w:right="1663" w:hanging="396"/>
        <w:jc w:val="left"/>
        <w:rPr>
          <w:sz w:val="20"/>
        </w:rPr>
      </w:pPr>
      <w:r>
        <w:rPr>
          <w:sz w:val="20"/>
        </w:rPr>
        <w:t>Aboriginal</w:t>
      </w:r>
      <w:r>
        <w:rPr>
          <w:spacing w:val="-9"/>
          <w:sz w:val="20"/>
        </w:rPr>
        <w:t> </w:t>
      </w:r>
      <w:r>
        <w:rPr>
          <w:sz w:val="20"/>
        </w:rPr>
        <w:t>people</w:t>
      </w:r>
      <w:r>
        <w:rPr>
          <w:spacing w:val="-9"/>
          <w:sz w:val="20"/>
        </w:rPr>
        <w:t> </w:t>
      </w:r>
      <w:r>
        <w:rPr>
          <w:spacing w:val="-3"/>
          <w:sz w:val="20"/>
        </w:rPr>
        <w:t>are</w:t>
      </w:r>
      <w:r>
        <w:rPr>
          <w:spacing w:val="-8"/>
          <w:sz w:val="20"/>
        </w:rPr>
        <w:t> </w:t>
      </w:r>
      <w:r>
        <w:rPr>
          <w:sz w:val="20"/>
        </w:rPr>
        <w:t>more</w:t>
      </w:r>
      <w:r>
        <w:rPr>
          <w:spacing w:val="-9"/>
          <w:sz w:val="20"/>
        </w:rPr>
        <w:t> </w:t>
      </w:r>
      <w:r>
        <w:rPr>
          <w:spacing w:val="-3"/>
          <w:sz w:val="20"/>
        </w:rPr>
        <w:t>likely</w:t>
      </w:r>
      <w:r>
        <w:rPr>
          <w:spacing w:val="-8"/>
          <w:sz w:val="20"/>
        </w:rPr>
        <w:t> </w:t>
      </w:r>
      <w:r>
        <w:rPr>
          <w:sz w:val="20"/>
        </w:rPr>
        <w:t>to</w:t>
      </w:r>
      <w:r>
        <w:rPr>
          <w:spacing w:val="-9"/>
          <w:sz w:val="20"/>
        </w:rPr>
        <w:t> </w:t>
      </w:r>
      <w:r>
        <w:rPr>
          <w:sz w:val="20"/>
        </w:rPr>
        <w:t>be</w:t>
      </w:r>
      <w:r>
        <w:rPr>
          <w:spacing w:val="-9"/>
          <w:sz w:val="20"/>
        </w:rPr>
        <w:t> </w:t>
      </w:r>
      <w:r>
        <w:rPr>
          <w:spacing w:val="-4"/>
          <w:sz w:val="20"/>
        </w:rPr>
        <w:t>deaf,</w:t>
      </w:r>
      <w:r>
        <w:rPr>
          <w:spacing w:val="-8"/>
          <w:sz w:val="20"/>
        </w:rPr>
        <w:t> </w:t>
      </w:r>
      <w:r>
        <w:rPr>
          <w:sz w:val="20"/>
        </w:rPr>
        <w:t>hard</w:t>
      </w:r>
      <w:r>
        <w:rPr>
          <w:spacing w:val="-9"/>
          <w:sz w:val="20"/>
        </w:rPr>
        <w:t> </w:t>
      </w:r>
      <w:r>
        <w:rPr>
          <w:sz w:val="20"/>
        </w:rPr>
        <w:t>of</w:t>
      </w:r>
      <w:r>
        <w:rPr>
          <w:spacing w:val="-8"/>
          <w:sz w:val="20"/>
        </w:rPr>
        <w:t> </w:t>
      </w:r>
      <w:r>
        <w:rPr>
          <w:sz w:val="20"/>
        </w:rPr>
        <w:t>hearing,</w:t>
      </w:r>
      <w:r>
        <w:rPr>
          <w:spacing w:val="-9"/>
          <w:sz w:val="20"/>
        </w:rPr>
        <w:t> </w:t>
      </w:r>
      <w:r>
        <w:rPr>
          <w:sz w:val="20"/>
        </w:rPr>
        <w:t>blind</w:t>
      </w:r>
      <w:r>
        <w:rPr>
          <w:spacing w:val="-9"/>
          <w:sz w:val="20"/>
        </w:rPr>
        <w:t> </w:t>
      </w:r>
      <w:r>
        <w:rPr>
          <w:sz w:val="20"/>
        </w:rPr>
        <w:t>or</w:t>
      </w:r>
      <w:r>
        <w:rPr>
          <w:spacing w:val="-8"/>
          <w:sz w:val="20"/>
        </w:rPr>
        <w:t> </w:t>
      </w:r>
      <w:r>
        <w:rPr>
          <w:spacing w:val="-4"/>
          <w:sz w:val="20"/>
        </w:rPr>
        <w:t>have</w:t>
      </w:r>
      <w:r>
        <w:rPr>
          <w:spacing w:val="-9"/>
          <w:sz w:val="20"/>
        </w:rPr>
        <w:t> </w:t>
      </w:r>
      <w:r>
        <w:rPr>
          <w:spacing w:val="-4"/>
          <w:sz w:val="20"/>
        </w:rPr>
        <w:t>low </w:t>
      </w:r>
      <w:r>
        <w:rPr>
          <w:sz w:val="20"/>
        </w:rPr>
        <w:t>vision than the general</w:t>
      </w:r>
      <w:r>
        <w:rPr>
          <w:spacing w:val="-18"/>
          <w:sz w:val="20"/>
        </w:rPr>
        <w:t> </w:t>
      </w:r>
      <w:r>
        <w:rPr>
          <w:sz w:val="20"/>
        </w:rPr>
        <w:t>population.</w:t>
      </w:r>
    </w:p>
    <w:p>
      <w:pPr>
        <w:pStyle w:val="ListParagraph"/>
        <w:numPr>
          <w:ilvl w:val="0"/>
          <w:numId w:val="22"/>
        </w:numPr>
        <w:tabs>
          <w:tab w:pos="2157" w:val="left" w:leader="none"/>
          <w:tab w:pos="2158" w:val="left" w:leader="none"/>
        </w:tabs>
        <w:spacing w:line="206" w:lineRule="auto" w:before="88" w:after="0"/>
        <w:ind w:left="2157" w:right="1436" w:hanging="396"/>
        <w:jc w:val="left"/>
        <w:rPr>
          <w:sz w:val="20"/>
        </w:rPr>
      </w:pPr>
      <w:r>
        <w:rPr>
          <w:sz w:val="20"/>
        </w:rPr>
        <w:t>It</w:t>
      </w:r>
      <w:r>
        <w:rPr>
          <w:spacing w:val="-10"/>
          <w:sz w:val="20"/>
        </w:rPr>
        <w:t> </w:t>
      </w:r>
      <w:r>
        <w:rPr>
          <w:sz w:val="20"/>
        </w:rPr>
        <w:t>is</w:t>
      </w:r>
      <w:r>
        <w:rPr>
          <w:spacing w:val="-10"/>
          <w:sz w:val="20"/>
        </w:rPr>
        <w:t> </w:t>
      </w:r>
      <w:r>
        <w:rPr>
          <w:sz w:val="20"/>
        </w:rPr>
        <w:t>important</w:t>
      </w:r>
      <w:r>
        <w:rPr>
          <w:spacing w:val="-9"/>
          <w:sz w:val="20"/>
        </w:rPr>
        <w:t> </w:t>
      </w:r>
      <w:r>
        <w:rPr>
          <w:sz w:val="20"/>
        </w:rPr>
        <w:t>to</w:t>
      </w:r>
      <w:r>
        <w:rPr>
          <w:spacing w:val="-10"/>
          <w:sz w:val="20"/>
        </w:rPr>
        <w:t> </w:t>
      </w:r>
      <w:r>
        <w:rPr>
          <w:spacing w:val="-3"/>
          <w:sz w:val="20"/>
        </w:rPr>
        <w:t>make</w:t>
      </w:r>
      <w:r>
        <w:rPr>
          <w:spacing w:val="-10"/>
          <w:sz w:val="20"/>
        </w:rPr>
        <w:t> </w:t>
      </w:r>
      <w:r>
        <w:rPr>
          <w:sz w:val="20"/>
        </w:rPr>
        <w:t>juries</w:t>
      </w:r>
      <w:r>
        <w:rPr>
          <w:spacing w:val="-9"/>
          <w:sz w:val="20"/>
        </w:rPr>
        <w:t> </w:t>
      </w:r>
      <w:r>
        <w:rPr>
          <w:sz w:val="20"/>
        </w:rPr>
        <w:t>more</w:t>
      </w:r>
      <w:r>
        <w:rPr>
          <w:spacing w:val="-10"/>
          <w:sz w:val="20"/>
        </w:rPr>
        <w:t> </w:t>
      </w:r>
      <w:r>
        <w:rPr>
          <w:spacing w:val="-3"/>
          <w:sz w:val="20"/>
        </w:rPr>
        <w:t>representative</w:t>
      </w:r>
      <w:r>
        <w:rPr>
          <w:spacing w:val="-10"/>
          <w:sz w:val="20"/>
        </w:rPr>
        <w:t> </w:t>
      </w:r>
      <w:r>
        <w:rPr>
          <w:spacing w:val="-3"/>
          <w:sz w:val="20"/>
        </w:rPr>
        <w:t>by</w:t>
      </w:r>
      <w:r>
        <w:rPr>
          <w:spacing w:val="-9"/>
          <w:sz w:val="20"/>
        </w:rPr>
        <w:t> </w:t>
      </w:r>
      <w:r>
        <w:rPr>
          <w:sz w:val="20"/>
        </w:rPr>
        <w:t>facilitating</w:t>
      </w:r>
      <w:r>
        <w:rPr>
          <w:spacing w:val="-10"/>
          <w:sz w:val="20"/>
        </w:rPr>
        <w:t> </w:t>
      </w:r>
      <w:r>
        <w:rPr>
          <w:sz w:val="20"/>
        </w:rPr>
        <w:t>access</w:t>
      </w:r>
      <w:r>
        <w:rPr>
          <w:spacing w:val="-10"/>
          <w:sz w:val="20"/>
        </w:rPr>
        <w:t> </w:t>
      </w:r>
      <w:r>
        <w:rPr>
          <w:sz w:val="20"/>
        </w:rPr>
        <w:t>to</w:t>
      </w:r>
      <w:r>
        <w:rPr>
          <w:spacing w:val="-9"/>
          <w:sz w:val="20"/>
        </w:rPr>
        <w:t> </w:t>
      </w:r>
      <w:r>
        <w:rPr>
          <w:sz w:val="20"/>
        </w:rPr>
        <w:t>people in the subject groups. The benefits of this </w:t>
      </w:r>
      <w:r>
        <w:rPr>
          <w:spacing w:val="-3"/>
          <w:sz w:val="20"/>
        </w:rPr>
        <w:t>reform </w:t>
      </w:r>
      <w:r>
        <w:rPr>
          <w:sz w:val="20"/>
        </w:rPr>
        <w:t>will </w:t>
      </w:r>
      <w:r>
        <w:rPr>
          <w:spacing w:val="-3"/>
          <w:sz w:val="20"/>
        </w:rPr>
        <w:t>flow </w:t>
      </w:r>
      <w:r>
        <w:rPr>
          <w:sz w:val="20"/>
        </w:rPr>
        <w:t>to the justice system, </w:t>
      </w:r>
      <w:r>
        <w:rPr>
          <w:spacing w:val="-3"/>
          <w:sz w:val="20"/>
        </w:rPr>
        <w:t>regardless </w:t>
      </w:r>
      <w:r>
        <w:rPr>
          <w:sz w:val="20"/>
        </w:rPr>
        <w:t>of the number of trials </w:t>
      </w:r>
      <w:r>
        <w:rPr>
          <w:spacing w:val="-3"/>
          <w:sz w:val="20"/>
        </w:rPr>
        <w:t>likely </w:t>
      </w:r>
      <w:r>
        <w:rPr>
          <w:sz w:val="20"/>
        </w:rPr>
        <w:t>to be </w:t>
      </w:r>
      <w:r>
        <w:rPr>
          <w:spacing w:val="-3"/>
          <w:sz w:val="20"/>
        </w:rPr>
        <w:t>directly </w:t>
      </w:r>
      <w:r>
        <w:rPr>
          <w:sz w:val="20"/>
        </w:rPr>
        <w:t>impacted </w:t>
      </w:r>
      <w:r>
        <w:rPr>
          <w:spacing w:val="-3"/>
          <w:sz w:val="20"/>
        </w:rPr>
        <w:t>by </w:t>
      </w:r>
      <w:r>
        <w:rPr>
          <w:sz w:val="20"/>
        </w:rPr>
        <w:t>the use of reasonable</w:t>
      </w:r>
      <w:r>
        <w:rPr>
          <w:spacing w:val="-5"/>
          <w:sz w:val="20"/>
        </w:rPr>
        <w:t> </w:t>
      </w:r>
      <w:r>
        <w:rPr>
          <w:sz w:val="20"/>
        </w:rPr>
        <w:t>adjustments.</w:t>
      </w:r>
    </w:p>
    <w:p>
      <w:pPr>
        <w:spacing w:before="195"/>
        <w:ind w:left="967" w:right="0" w:firstLine="0"/>
        <w:jc w:val="left"/>
        <w:rPr>
          <w:rFonts w:ascii="Raleway ExtraBold"/>
          <w:b/>
          <w:sz w:val="28"/>
        </w:rPr>
      </w:pPr>
      <w:r>
        <w:rPr>
          <w:rFonts w:ascii="Raleway ExtraBold"/>
          <w:b/>
          <w:color w:val="37617A"/>
          <w:sz w:val="28"/>
        </w:rPr>
        <w:t>A note on population data</w:t>
      </w:r>
    </w:p>
    <w:p>
      <w:pPr>
        <w:pStyle w:val="ListParagraph"/>
        <w:numPr>
          <w:ilvl w:val="1"/>
          <w:numId w:val="12"/>
        </w:numPr>
        <w:tabs>
          <w:tab w:pos="1761" w:val="left" w:leader="none"/>
          <w:tab w:pos="1762" w:val="left" w:leader="none"/>
        </w:tabs>
        <w:spacing w:line="206" w:lineRule="auto" w:before="147" w:after="0"/>
        <w:ind w:left="1761" w:right="1605" w:hanging="794"/>
        <w:jc w:val="left"/>
        <w:rPr>
          <w:sz w:val="11"/>
        </w:rPr>
      </w:pPr>
      <w:r>
        <w:rPr>
          <w:sz w:val="20"/>
        </w:rPr>
        <w:t>The</w:t>
      </w:r>
      <w:r>
        <w:rPr>
          <w:spacing w:val="-8"/>
          <w:sz w:val="20"/>
        </w:rPr>
        <w:t> </w:t>
      </w:r>
      <w:r>
        <w:rPr>
          <w:sz w:val="20"/>
        </w:rPr>
        <w:t>data</w:t>
      </w:r>
      <w:r>
        <w:rPr>
          <w:spacing w:val="-7"/>
          <w:sz w:val="20"/>
        </w:rPr>
        <w:t> </w:t>
      </w:r>
      <w:r>
        <w:rPr>
          <w:sz w:val="20"/>
        </w:rPr>
        <w:t>is</w:t>
      </w:r>
      <w:r>
        <w:rPr>
          <w:spacing w:val="-8"/>
          <w:sz w:val="20"/>
        </w:rPr>
        <w:t> </w:t>
      </w:r>
      <w:r>
        <w:rPr>
          <w:sz w:val="20"/>
        </w:rPr>
        <w:t>limited</w:t>
      </w:r>
      <w:r>
        <w:rPr>
          <w:spacing w:val="-7"/>
          <w:sz w:val="20"/>
        </w:rPr>
        <w:t> </w:t>
      </w:r>
      <w:r>
        <w:rPr>
          <w:sz w:val="20"/>
        </w:rPr>
        <w:t>on</w:t>
      </w:r>
      <w:r>
        <w:rPr>
          <w:spacing w:val="-7"/>
          <w:sz w:val="20"/>
        </w:rPr>
        <w:t> </w:t>
      </w:r>
      <w:r>
        <w:rPr>
          <w:spacing w:val="-3"/>
          <w:sz w:val="20"/>
        </w:rPr>
        <w:t>how</w:t>
      </w:r>
      <w:r>
        <w:rPr>
          <w:spacing w:val="-8"/>
          <w:sz w:val="20"/>
        </w:rPr>
        <w:t> </w:t>
      </w:r>
      <w:r>
        <w:rPr>
          <w:spacing w:val="-3"/>
          <w:sz w:val="20"/>
        </w:rPr>
        <w:t>many</w:t>
      </w:r>
      <w:r>
        <w:rPr>
          <w:spacing w:val="-7"/>
          <w:sz w:val="20"/>
        </w:rPr>
        <w:t> </w:t>
      </w:r>
      <w:r>
        <w:rPr>
          <w:sz w:val="20"/>
        </w:rPr>
        <w:t>people</w:t>
      </w:r>
      <w:r>
        <w:rPr>
          <w:spacing w:val="-8"/>
          <w:sz w:val="20"/>
        </w:rPr>
        <w:t> </w:t>
      </w:r>
      <w:r>
        <w:rPr>
          <w:spacing w:val="-3"/>
          <w:sz w:val="20"/>
        </w:rPr>
        <w:t>are</w:t>
      </w:r>
      <w:r>
        <w:rPr>
          <w:spacing w:val="-7"/>
          <w:sz w:val="20"/>
        </w:rPr>
        <w:t> </w:t>
      </w:r>
      <w:r>
        <w:rPr>
          <w:spacing w:val="-4"/>
          <w:sz w:val="20"/>
        </w:rPr>
        <w:t>deaf,</w:t>
      </w:r>
      <w:r>
        <w:rPr>
          <w:spacing w:val="-7"/>
          <w:sz w:val="20"/>
        </w:rPr>
        <w:t> </w:t>
      </w:r>
      <w:r>
        <w:rPr>
          <w:sz w:val="20"/>
        </w:rPr>
        <w:t>hard</w:t>
      </w:r>
      <w:r>
        <w:rPr>
          <w:spacing w:val="-8"/>
          <w:sz w:val="20"/>
        </w:rPr>
        <w:t> </w:t>
      </w:r>
      <w:r>
        <w:rPr>
          <w:sz w:val="20"/>
        </w:rPr>
        <w:t>of</w:t>
      </w:r>
      <w:r>
        <w:rPr>
          <w:spacing w:val="-7"/>
          <w:sz w:val="20"/>
        </w:rPr>
        <w:t> </w:t>
      </w:r>
      <w:r>
        <w:rPr>
          <w:sz w:val="20"/>
        </w:rPr>
        <w:t>hearing,</w:t>
      </w:r>
      <w:r>
        <w:rPr>
          <w:spacing w:val="-7"/>
          <w:sz w:val="20"/>
        </w:rPr>
        <w:t> </w:t>
      </w:r>
      <w:r>
        <w:rPr>
          <w:sz w:val="20"/>
        </w:rPr>
        <w:t>blind</w:t>
      </w:r>
      <w:r>
        <w:rPr>
          <w:spacing w:val="-8"/>
          <w:sz w:val="20"/>
        </w:rPr>
        <w:t> </w:t>
      </w:r>
      <w:r>
        <w:rPr>
          <w:sz w:val="20"/>
        </w:rPr>
        <w:t>or</w:t>
      </w:r>
      <w:r>
        <w:rPr>
          <w:spacing w:val="-7"/>
          <w:sz w:val="20"/>
        </w:rPr>
        <w:t> </w:t>
      </w:r>
      <w:r>
        <w:rPr>
          <w:spacing w:val="-4"/>
          <w:sz w:val="20"/>
        </w:rPr>
        <w:t>have</w:t>
      </w:r>
      <w:r>
        <w:rPr>
          <w:spacing w:val="-8"/>
          <w:sz w:val="20"/>
        </w:rPr>
        <w:t> </w:t>
      </w:r>
      <w:r>
        <w:rPr>
          <w:spacing w:val="-4"/>
          <w:sz w:val="20"/>
        </w:rPr>
        <w:t>low </w:t>
      </w:r>
      <w:r>
        <w:rPr>
          <w:sz w:val="20"/>
        </w:rPr>
        <w:t>vision in Australia, and there is a lack of up-to-date data for Victoria.</w:t>
      </w:r>
      <w:r>
        <w:rPr>
          <w:position w:val="7"/>
          <w:sz w:val="11"/>
        </w:rPr>
        <w:t>1 </w:t>
      </w:r>
      <w:r>
        <w:rPr>
          <w:sz w:val="20"/>
        </w:rPr>
        <w:t>The </w:t>
      </w:r>
      <w:r>
        <w:rPr>
          <w:spacing w:val="-3"/>
          <w:sz w:val="20"/>
        </w:rPr>
        <w:t>available </w:t>
      </w:r>
      <w:r>
        <w:rPr>
          <w:sz w:val="20"/>
        </w:rPr>
        <w:t>statistics </w:t>
      </w:r>
      <w:r>
        <w:rPr>
          <w:spacing w:val="-3"/>
          <w:sz w:val="20"/>
        </w:rPr>
        <w:t>relate </w:t>
      </w:r>
      <w:r>
        <w:rPr>
          <w:sz w:val="20"/>
        </w:rPr>
        <w:t>to proportions of the </w:t>
      </w:r>
      <w:r>
        <w:rPr>
          <w:spacing w:val="-3"/>
          <w:sz w:val="20"/>
        </w:rPr>
        <w:t>overall </w:t>
      </w:r>
      <w:r>
        <w:rPr>
          <w:sz w:val="20"/>
        </w:rPr>
        <w:t>population rather than the smaller proportion that </w:t>
      </w:r>
      <w:r>
        <w:rPr>
          <w:spacing w:val="-3"/>
          <w:sz w:val="20"/>
        </w:rPr>
        <w:t>may </w:t>
      </w:r>
      <w:r>
        <w:rPr>
          <w:sz w:val="20"/>
        </w:rPr>
        <w:t>be eligible for jury</w:t>
      </w:r>
      <w:r>
        <w:rPr>
          <w:spacing w:val="-29"/>
          <w:sz w:val="20"/>
        </w:rPr>
        <w:t> </w:t>
      </w:r>
      <w:r>
        <w:rPr>
          <w:sz w:val="20"/>
        </w:rPr>
        <w:t>service.</w:t>
      </w:r>
      <w:r>
        <w:rPr>
          <w:position w:val="7"/>
          <w:sz w:val="11"/>
        </w:rPr>
        <w:t>2</w:t>
      </w:r>
    </w:p>
    <w:p>
      <w:pPr>
        <w:pStyle w:val="ListParagraph"/>
        <w:numPr>
          <w:ilvl w:val="1"/>
          <w:numId w:val="12"/>
        </w:numPr>
        <w:tabs>
          <w:tab w:pos="1761" w:val="left" w:leader="none"/>
          <w:tab w:pos="1762" w:val="left" w:leader="none"/>
        </w:tabs>
        <w:spacing w:line="206" w:lineRule="auto" w:before="125" w:after="0"/>
        <w:ind w:left="1761" w:right="1576" w:hanging="794"/>
        <w:jc w:val="left"/>
        <w:rPr>
          <w:sz w:val="11"/>
        </w:rPr>
      </w:pPr>
      <w:r>
        <w:rPr>
          <w:sz w:val="20"/>
        </w:rPr>
        <w:t>As</w:t>
      </w:r>
      <w:r>
        <w:rPr>
          <w:spacing w:val="-10"/>
          <w:sz w:val="20"/>
        </w:rPr>
        <w:t> </w:t>
      </w:r>
      <w:r>
        <w:rPr>
          <w:sz w:val="20"/>
        </w:rPr>
        <w:t>the</w:t>
      </w:r>
      <w:r>
        <w:rPr>
          <w:spacing w:val="-10"/>
          <w:sz w:val="20"/>
        </w:rPr>
        <w:t> </w:t>
      </w:r>
      <w:r>
        <w:rPr>
          <w:sz w:val="20"/>
        </w:rPr>
        <w:t>Victorian</w:t>
      </w:r>
      <w:r>
        <w:rPr>
          <w:spacing w:val="-9"/>
          <w:sz w:val="20"/>
        </w:rPr>
        <w:t> </w:t>
      </w:r>
      <w:r>
        <w:rPr>
          <w:sz w:val="20"/>
        </w:rPr>
        <w:t>population</w:t>
      </w:r>
      <w:r>
        <w:rPr>
          <w:spacing w:val="-10"/>
          <w:sz w:val="20"/>
        </w:rPr>
        <w:t> </w:t>
      </w:r>
      <w:r>
        <w:rPr>
          <w:sz w:val="20"/>
        </w:rPr>
        <w:t>ages,</w:t>
      </w:r>
      <w:r>
        <w:rPr>
          <w:spacing w:val="-9"/>
          <w:sz w:val="20"/>
        </w:rPr>
        <w:t> </w:t>
      </w:r>
      <w:r>
        <w:rPr>
          <w:sz w:val="20"/>
        </w:rPr>
        <w:t>it</w:t>
      </w:r>
      <w:r>
        <w:rPr>
          <w:spacing w:val="-10"/>
          <w:sz w:val="20"/>
        </w:rPr>
        <w:t> </w:t>
      </w:r>
      <w:r>
        <w:rPr>
          <w:sz w:val="20"/>
        </w:rPr>
        <w:t>is</w:t>
      </w:r>
      <w:r>
        <w:rPr>
          <w:spacing w:val="-9"/>
          <w:sz w:val="20"/>
        </w:rPr>
        <w:t> </w:t>
      </w:r>
      <w:r>
        <w:rPr>
          <w:spacing w:val="-3"/>
          <w:sz w:val="20"/>
        </w:rPr>
        <w:t>likely</w:t>
      </w:r>
      <w:r>
        <w:rPr>
          <w:spacing w:val="-10"/>
          <w:sz w:val="20"/>
        </w:rPr>
        <w:t> </w:t>
      </w:r>
      <w:r>
        <w:rPr>
          <w:sz w:val="20"/>
        </w:rPr>
        <w:t>that</w:t>
      </w:r>
      <w:r>
        <w:rPr>
          <w:spacing w:val="-9"/>
          <w:sz w:val="20"/>
        </w:rPr>
        <w:t> </w:t>
      </w:r>
      <w:r>
        <w:rPr>
          <w:sz w:val="20"/>
        </w:rPr>
        <w:t>the</w:t>
      </w:r>
      <w:r>
        <w:rPr>
          <w:spacing w:val="-10"/>
          <w:sz w:val="20"/>
        </w:rPr>
        <w:t> </w:t>
      </w:r>
      <w:r>
        <w:rPr>
          <w:sz w:val="20"/>
        </w:rPr>
        <w:t>number</w:t>
      </w:r>
      <w:r>
        <w:rPr>
          <w:spacing w:val="-10"/>
          <w:sz w:val="20"/>
        </w:rPr>
        <w:t> </w:t>
      </w:r>
      <w:r>
        <w:rPr>
          <w:sz w:val="20"/>
        </w:rPr>
        <w:t>of</w:t>
      </w:r>
      <w:r>
        <w:rPr>
          <w:spacing w:val="-9"/>
          <w:sz w:val="20"/>
        </w:rPr>
        <w:t> </w:t>
      </w:r>
      <w:r>
        <w:rPr>
          <w:sz w:val="20"/>
        </w:rPr>
        <w:t>people</w:t>
      </w:r>
      <w:r>
        <w:rPr>
          <w:spacing w:val="-10"/>
          <w:sz w:val="20"/>
        </w:rPr>
        <w:t> </w:t>
      </w:r>
      <w:r>
        <w:rPr>
          <w:sz w:val="20"/>
        </w:rPr>
        <w:t>in</w:t>
      </w:r>
      <w:r>
        <w:rPr>
          <w:spacing w:val="-9"/>
          <w:sz w:val="20"/>
        </w:rPr>
        <w:t> </w:t>
      </w:r>
      <w:r>
        <w:rPr>
          <w:sz w:val="20"/>
        </w:rPr>
        <w:t>the</w:t>
      </w:r>
      <w:r>
        <w:rPr>
          <w:spacing w:val="-10"/>
          <w:sz w:val="20"/>
        </w:rPr>
        <w:t> </w:t>
      </w:r>
      <w:r>
        <w:rPr>
          <w:sz w:val="20"/>
        </w:rPr>
        <w:t>subject groups will </w:t>
      </w:r>
      <w:r>
        <w:rPr>
          <w:spacing w:val="-3"/>
          <w:sz w:val="20"/>
        </w:rPr>
        <w:t>increase.</w:t>
      </w:r>
      <w:r>
        <w:rPr>
          <w:spacing w:val="-3"/>
          <w:position w:val="7"/>
          <w:sz w:val="11"/>
        </w:rPr>
        <w:t>3 </w:t>
      </w:r>
      <w:r>
        <w:rPr>
          <w:sz w:val="20"/>
        </w:rPr>
        <w:t>The number of Victorians aged 65 and </w:t>
      </w:r>
      <w:r>
        <w:rPr>
          <w:spacing w:val="-4"/>
          <w:sz w:val="20"/>
        </w:rPr>
        <w:t>over </w:t>
      </w:r>
      <w:r>
        <w:rPr>
          <w:sz w:val="20"/>
        </w:rPr>
        <w:t>is set to triple </w:t>
      </w:r>
      <w:r>
        <w:rPr>
          <w:spacing w:val="-3"/>
          <w:sz w:val="20"/>
        </w:rPr>
        <w:t>by </w:t>
      </w:r>
      <w:r>
        <w:rPr>
          <w:sz w:val="20"/>
        </w:rPr>
        <w:t>2058.</w:t>
      </w:r>
      <w:r>
        <w:rPr>
          <w:position w:val="7"/>
          <w:sz w:val="11"/>
        </w:rPr>
        <w:t>4</w:t>
      </w:r>
    </w:p>
    <w:p>
      <w:pPr>
        <w:pStyle w:val="BodyText"/>
        <w:spacing w:before="7"/>
        <w:rPr>
          <w:sz w:val="16"/>
        </w:rPr>
      </w:pPr>
    </w:p>
    <w:p>
      <w:pPr>
        <w:spacing w:before="0"/>
        <w:ind w:left="967" w:right="0" w:firstLine="0"/>
        <w:jc w:val="left"/>
        <w:rPr>
          <w:rFonts w:ascii="Raleway ExtraBold"/>
          <w:b/>
          <w:sz w:val="28"/>
        </w:rPr>
      </w:pPr>
      <w:r>
        <w:rPr>
          <w:rFonts w:ascii="Raleway ExtraBold"/>
          <w:b/>
          <w:color w:val="37617A"/>
          <w:sz w:val="28"/>
        </w:rPr>
        <w:t>People who are blind or have low vision</w:t>
      </w:r>
    </w:p>
    <w:p>
      <w:pPr>
        <w:pStyle w:val="ListParagraph"/>
        <w:numPr>
          <w:ilvl w:val="1"/>
          <w:numId w:val="12"/>
        </w:numPr>
        <w:tabs>
          <w:tab w:pos="1761" w:val="left" w:leader="none"/>
          <w:tab w:pos="1762" w:val="left" w:leader="none"/>
        </w:tabs>
        <w:spacing w:line="240" w:lineRule="auto" w:before="113" w:after="0"/>
        <w:ind w:left="1761" w:right="0" w:hanging="794"/>
        <w:jc w:val="left"/>
        <w:rPr>
          <w:sz w:val="20"/>
        </w:rPr>
      </w:pPr>
      <w:r>
        <w:rPr>
          <w:sz w:val="20"/>
        </w:rPr>
        <w:t>The</w:t>
      </w:r>
      <w:r>
        <w:rPr>
          <w:spacing w:val="-7"/>
          <w:sz w:val="20"/>
        </w:rPr>
        <w:t> </w:t>
      </w:r>
      <w:r>
        <w:rPr>
          <w:sz w:val="20"/>
        </w:rPr>
        <w:t>Australian</w:t>
      </w:r>
      <w:r>
        <w:rPr>
          <w:spacing w:val="-6"/>
          <w:sz w:val="20"/>
        </w:rPr>
        <w:t> </w:t>
      </w:r>
      <w:r>
        <w:rPr>
          <w:sz w:val="20"/>
        </w:rPr>
        <w:t>Institute</w:t>
      </w:r>
      <w:r>
        <w:rPr>
          <w:spacing w:val="-6"/>
          <w:sz w:val="20"/>
        </w:rPr>
        <w:t> </w:t>
      </w:r>
      <w:r>
        <w:rPr>
          <w:sz w:val="20"/>
        </w:rPr>
        <w:t>of</w:t>
      </w:r>
      <w:r>
        <w:rPr>
          <w:spacing w:val="-6"/>
          <w:sz w:val="20"/>
        </w:rPr>
        <w:t> </w:t>
      </w:r>
      <w:r>
        <w:rPr>
          <w:sz w:val="20"/>
        </w:rPr>
        <w:t>Health</w:t>
      </w:r>
      <w:r>
        <w:rPr>
          <w:spacing w:val="-6"/>
          <w:sz w:val="20"/>
        </w:rPr>
        <w:t> </w:t>
      </w:r>
      <w:r>
        <w:rPr>
          <w:sz w:val="20"/>
        </w:rPr>
        <w:t>and</w:t>
      </w:r>
      <w:r>
        <w:rPr>
          <w:spacing w:val="-6"/>
          <w:sz w:val="20"/>
        </w:rPr>
        <w:t> </w:t>
      </w:r>
      <w:r>
        <w:rPr>
          <w:spacing w:val="-4"/>
          <w:sz w:val="20"/>
        </w:rPr>
        <w:t>Welfare</w:t>
      </w:r>
      <w:r>
        <w:rPr>
          <w:spacing w:val="-6"/>
          <w:sz w:val="20"/>
        </w:rPr>
        <w:t> </w:t>
      </w:r>
      <w:r>
        <w:rPr>
          <w:sz w:val="20"/>
        </w:rPr>
        <w:t>(AIHW)</w:t>
      </w:r>
      <w:r>
        <w:rPr>
          <w:spacing w:val="-6"/>
          <w:sz w:val="20"/>
        </w:rPr>
        <w:t> </w:t>
      </w:r>
      <w:r>
        <w:rPr>
          <w:sz w:val="20"/>
        </w:rPr>
        <w:t>describes</w:t>
      </w:r>
      <w:r>
        <w:rPr>
          <w:spacing w:val="-6"/>
          <w:sz w:val="20"/>
        </w:rPr>
        <w:t> </w:t>
      </w:r>
      <w:r>
        <w:rPr>
          <w:sz w:val="20"/>
        </w:rPr>
        <w:t>‘vision</w:t>
      </w:r>
      <w:r>
        <w:rPr>
          <w:spacing w:val="-7"/>
          <w:sz w:val="20"/>
        </w:rPr>
        <w:t> </w:t>
      </w:r>
      <w:r>
        <w:rPr>
          <w:sz w:val="20"/>
        </w:rPr>
        <w:t>impairment’</w:t>
      </w:r>
      <w:r>
        <w:rPr>
          <w:spacing w:val="-6"/>
          <w:sz w:val="20"/>
        </w:rPr>
        <w:t> </w:t>
      </w:r>
      <w:r>
        <w:rPr>
          <w:sz w:val="20"/>
        </w:rPr>
        <w:t>as:</w:t>
      </w:r>
    </w:p>
    <w:p>
      <w:pPr>
        <w:spacing w:line="208" w:lineRule="auto" w:before="113"/>
        <w:ind w:left="2157" w:right="1263" w:firstLine="0"/>
        <w:jc w:val="both"/>
        <w:rPr>
          <w:sz w:val="11"/>
        </w:rPr>
      </w:pPr>
      <w:r>
        <w:rPr>
          <w:sz w:val="19"/>
        </w:rPr>
        <w:t>the</w:t>
      </w:r>
      <w:r>
        <w:rPr>
          <w:spacing w:val="-5"/>
          <w:sz w:val="19"/>
        </w:rPr>
        <w:t> </w:t>
      </w:r>
      <w:r>
        <w:rPr>
          <w:sz w:val="19"/>
        </w:rPr>
        <w:t>partial</w:t>
      </w:r>
      <w:r>
        <w:rPr>
          <w:spacing w:val="-4"/>
          <w:sz w:val="19"/>
        </w:rPr>
        <w:t> </w:t>
      </w:r>
      <w:r>
        <w:rPr>
          <w:sz w:val="19"/>
        </w:rPr>
        <w:t>or</w:t>
      </w:r>
      <w:r>
        <w:rPr>
          <w:spacing w:val="-4"/>
          <w:sz w:val="19"/>
        </w:rPr>
        <w:t> </w:t>
      </w:r>
      <w:r>
        <w:rPr>
          <w:sz w:val="19"/>
        </w:rPr>
        <w:t>full</w:t>
      </w:r>
      <w:r>
        <w:rPr>
          <w:spacing w:val="-4"/>
          <w:sz w:val="19"/>
        </w:rPr>
        <w:t> </w:t>
      </w:r>
      <w:r>
        <w:rPr>
          <w:sz w:val="19"/>
        </w:rPr>
        <w:t>loss</w:t>
      </w:r>
      <w:r>
        <w:rPr>
          <w:spacing w:val="-4"/>
          <w:sz w:val="19"/>
        </w:rPr>
        <w:t> </w:t>
      </w:r>
      <w:r>
        <w:rPr>
          <w:sz w:val="19"/>
        </w:rPr>
        <w:t>of</w:t>
      </w:r>
      <w:r>
        <w:rPr>
          <w:spacing w:val="-4"/>
          <w:sz w:val="19"/>
        </w:rPr>
        <w:t> </w:t>
      </w:r>
      <w:r>
        <w:rPr>
          <w:sz w:val="19"/>
        </w:rPr>
        <w:t>sight</w:t>
      </w:r>
      <w:r>
        <w:rPr>
          <w:spacing w:val="-4"/>
          <w:sz w:val="19"/>
        </w:rPr>
        <w:t> </w:t>
      </w:r>
      <w:r>
        <w:rPr>
          <w:sz w:val="19"/>
        </w:rPr>
        <w:t>in</w:t>
      </w:r>
      <w:r>
        <w:rPr>
          <w:spacing w:val="-4"/>
          <w:sz w:val="19"/>
        </w:rPr>
        <w:t> </w:t>
      </w:r>
      <w:r>
        <w:rPr>
          <w:sz w:val="19"/>
        </w:rPr>
        <w:t>one</w:t>
      </w:r>
      <w:r>
        <w:rPr>
          <w:spacing w:val="-4"/>
          <w:sz w:val="19"/>
        </w:rPr>
        <w:t> </w:t>
      </w:r>
      <w:r>
        <w:rPr>
          <w:sz w:val="19"/>
        </w:rPr>
        <w:t>or</w:t>
      </w:r>
      <w:r>
        <w:rPr>
          <w:spacing w:val="-4"/>
          <w:sz w:val="19"/>
        </w:rPr>
        <w:t> </w:t>
      </w:r>
      <w:r>
        <w:rPr>
          <w:sz w:val="19"/>
        </w:rPr>
        <w:t>both</w:t>
      </w:r>
      <w:r>
        <w:rPr>
          <w:spacing w:val="-5"/>
          <w:sz w:val="19"/>
        </w:rPr>
        <w:t> </w:t>
      </w:r>
      <w:r>
        <w:rPr>
          <w:sz w:val="19"/>
        </w:rPr>
        <w:t>eyes.</w:t>
      </w:r>
      <w:r>
        <w:rPr>
          <w:spacing w:val="-4"/>
          <w:sz w:val="19"/>
        </w:rPr>
        <w:t> </w:t>
      </w:r>
      <w:r>
        <w:rPr>
          <w:sz w:val="19"/>
        </w:rPr>
        <w:t>Visual</w:t>
      </w:r>
      <w:r>
        <w:rPr>
          <w:spacing w:val="-4"/>
          <w:sz w:val="19"/>
        </w:rPr>
        <w:t> </w:t>
      </w:r>
      <w:r>
        <w:rPr>
          <w:sz w:val="19"/>
        </w:rPr>
        <w:t>impairment</w:t>
      </w:r>
      <w:r>
        <w:rPr>
          <w:spacing w:val="-4"/>
          <w:sz w:val="19"/>
        </w:rPr>
        <w:t> </w:t>
      </w:r>
      <w:r>
        <w:rPr>
          <w:sz w:val="19"/>
        </w:rPr>
        <w:t>may</w:t>
      </w:r>
      <w:r>
        <w:rPr>
          <w:spacing w:val="-4"/>
          <w:sz w:val="19"/>
        </w:rPr>
        <w:t> </w:t>
      </w:r>
      <w:r>
        <w:rPr>
          <w:sz w:val="19"/>
        </w:rPr>
        <w:t>be</w:t>
      </w:r>
      <w:r>
        <w:rPr>
          <w:spacing w:val="-4"/>
          <w:sz w:val="19"/>
        </w:rPr>
        <w:t> </w:t>
      </w:r>
      <w:r>
        <w:rPr>
          <w:sz w:val="19"/>
        </w:rPr>
        <w:t>the</w:t>
      </w:r>
      <w:r>
        <w:rPr>
          <w:spacing w:val="-4"/>
          <w:sz w:val="19"/>
        </w:rPr>
        <w:t> </w:t>
      </w:r>
      <w:r>
        <w:rPr>
          <w:sz w:val="19"/>
        </w:rPr>
        <w:t>result of</w:t>
      </w:r>
      <w:r>
        <w:rPr>
          <w:spacing w:val="-6"/>
          <w:sz w:val="19"/>
        </w:rPr>
        <w:t> </w:t>
      </w:r>
      <w:r>
        <w:rPr>
          <w:sz w:val="19"/>
        </w:rPr>
        <w:t>disease</w:t>
      </w:r>
      <w:r>
        <w:rPr>
          <w:spacing w:val="-6"/>
          <w:sz w:val="19"/>
        </w:rPr>
        <w:t> </w:t>
      </w:r>
      <w:r>
        <w:rPr>
          <w:sz w:val="19"/>
        </w:rPr>
        <w:t>or</w:t>
      </w:r>
      <w:r>
        <w:rPr>
          <w:spacing w:val="-5"/>
          <w:sz w:val="19"/>
        </w:rPr>
        <w:t> </w:t>
      </w:r>
      <w:r>
        <w:rPr>
          <w:sz w:val="19"/>
        </w:rPr>
        <w:t>injury,</w:t>
      </w:r>
      <w:r>
        <w:rPr>
          <w:spacing w:val="-6"/>
          <w:sz w:val="19"/>
        </w:rPr>
        <w:t> </w:t>
      </w:r>
      <w:r>
        <w:rPr>
          <w:sz w:val="19"/>
        </w:rPr>
        <w:t>may</w:t>
      </w:r>
      <w:r>
        <w:rPr>
          <w:spacing w:val="-6"/>
          <w:sz w:val="19"/>
        </w:rPr>
        <w:t> </w:t>
      </w:r>
      <w:r>
        <w:rPr>
          <w:sz w:val="19"/>
        </w:rPr>
        <w:t>progress</w:t>
      </w:r>
      <w:r>
        <w:rPr>
          <w:spacing w:val="-5"/>
          <w:sz w:val="19"/>
        </w:rPr>
        <w:t> </w:t>
      </w:r>
      <w:r>
        <w:rPr>
          <w:sz w:val="19"/>
        </w:rPr>
        <w:t>over</w:t>
      </w:r>
      <w:r>
        <w:rPr>
          <w:spacing w:val="-6"/>
          <w:sz w:val="19"/>
        </w:rPr>
        <w:t> </w:t>
      </w:r>
      <w:r>
        <w:rPr>
          <w:sz w:val="19"/>
        </w:rPr>
        <w:t>time,</w:t>
      </w:r>
      <w:r>
        <w:rPr>
          <w:spacing w:val="-5"/>
          <w:sz w:val="19"/>
        </w:rPr>
        <w:t> </w:t>
      </w:r>
      <w:r>
        <w:rPr>
          <w:sz w:val="19"/>
        </w:rPr>
        <w:t>and</w:t>
      </w:r>
      <w:r>
        <w:rPr>
          <w:spacing w:val="-6"/>
          <w:sz w:val="19"/>
        </w:rPr>
        <w:t> </w:t>
      </w:r>
      <w:r>
        <w:rPr>
          <w:sz w:val="19"/>
        </w:rPr>
        <w:t>may</w:t>
      </w:r>
      <w:r>
        <w:rPr>
          <w:spacing w:val="-6"/>
          <w:sz w:val="19"/>
        </w:rPr>
        <w:t> </w:t>
      </w:r>
      <w:r>
        <w:rPr>
          <w:sz w:val="19"/>
        </w:rPr>
        <w:t>be</w:t>
      </w:r>
      <w:r>
        <w:rPr>
          <w:spacing w:val="-5"/>
          <w:sz w:val="19"/>
        </w:rPr>
        <w:t> </w:t>
      </w:r>
      <w:r>
        <w:rPr>
          <w:sz w:val="19"/>
        </w:rPr>
        <w:t>permanent</w:t>
      </w:r>
      <w:r>
        <w:rPr>
          <w:spacing w:val="-6"/>
          <w:sz w:val="19"/>
        </w:rPr>
        <w:t> </w:t>
      </w:r>
      <w:r>
        <w:rPr>
          <w:sz w:val="19"/>
        </w:rPr>
        <w:t>or</w:t>
      </w:r>
      <w:r>
        <w:rPr>
          <w:spacing w:val="-6"/>
          <w:sz w:val="19"/>
        </w:rPr>
        <w:t> </w:t>
      </w:r>
      <w:r>
        <w:rPr>
          <w:sz w:val="19"/>
        </w:rPr>
        <w:t>corrected</w:t>
      </w:r>
      <w:r>
        <w:rPr>
          <w:spacing w:val="-5"/>
          <w:sz w:val="19"/>
        </w:rPr>
        <w:t> </w:t>
      </w:r>
      <w:r>
        <w:rPr>
          <w:sz w:val="19"/>
        </w:rPr>
        <w:t>with visual aids (such as glasses) or with</w:t>
      </w:r>
      <w:r>
        <w:rPr>
          <w:spacing w:val="-16"/>
          <w:sz w:val="19"/>
        </w:rPr>
        <w:t> </w:t>
      </w:r>
      <w:r>
        <w:rPr>
          <w:sz w:val="19"/>
        </w:rPr>
        <w:t>surgery.</w:t>
      </w:r>
      <w:r>
        <w:rPr>
          <w:position w:val="6"/>
          <w:sz w:val="11"/>
        </w:rPr>
        <w:t>5</w:t>
      </w:r>
    </w:p>
    <w:p>
      <w:pPr>
        <w:pStyle w:val="ListParagraph"/>
        <w:numPr>
          <w:ilvl w:val="1"/>
          <w:numId w:val="12"/>
        </w:numPr>
        <w:tabs>
          <w:tab w:pos="1761" w:val="left" w:leader="none"/>
          <w:tab w:pos="1762" w:val="left" w:leader="none"/>
        </w:tabs>
        <w:spacing w:line="259" w:lineRule="exact" w:before="92" w:after="0"/>
        <w:ind w:left="1761" w:right="0" w:hanging="794"/>
        <w:jc w:val="left"/>
        <w:rPr>
          <w:sz w:val="20"/>
        </w:rPr>
      </w:pPr>
      <w:r>
        <w:rPr>
          <w:sz w:val="20"/>
        </w:rPr>
        <w:t>A</w:t>
      </w:r>
      <w:r>
        <w:rPr>
          <w:spacing w:val="-6"/>
          <w:sz w:val="20"/>
        </w:rPr>
        <w:t> </w:t>
      </w:r>
      <w:r>
        <w:rPr>
          <w:sz w:val="20"/>
        </w:rPr>
        <w:t>person</w:t>
      </w:r>
      <w:r>
        <w:rPr>
          <w:spacing w:val="-5"/>
          <w:sz w:val="20"/>
        </w:rPr>
        <w:t> </w:t>
      </w:r>
      <w:r>
        <w:rPr>
          <w:sz w:val="20"/>
        </w:rPr>
        <w:t>is</w:t>
      </w:r>
      <w:r>
        <w:rPr>
          <w:spacing w:val="-6"/>
          <w:sz w:val="20"/>
        </w:rPr>
        <w:t> </w:t>
      </w:r>
      <w:r>
        <w:rPr>
          <w:sz w:val="20"/>
        </w:rPr>
        <w:t>considered</w:t>
      </w:r>
      <w:r>
        <w:rPr>
          <w:spacing w:val="-5"/>
          <w:sz w:val="20"/>
        </w:rPr>
        <w:t> </w:t>
      </w:r>
      <w:r>
        <w:rPr>
          <w:sz w:val="20"/>
        </w:rPr>
        <w:t>blind</w:t>
      </w:r>
      <w:r>
        <w:rPr>
          <w:spacing w:val="-6"/>
          <w:sz w:val="20"/>
        </w:rPr>
        <w:t> </w:t>
      </w:r>
      <w:r>
        <w:rPr>
          <w:sz w:val="20"/>
        </w:rPr>
        <w:t>if</w:t>
      </w:r>
      <w:r>
        <w:rPr>
          <w:spacing w:val="-5"/>
          <w:sz w:val="20"/>
        </w:rPr>
        <w:t> </w:t>
      </w:r>
      <w:r>
        <w:rPr>
          <w:sz w:val="20"/>
        </w:rPr>
        <w:t>they</w:t>
      </w:r>
      <w:r>
        <w:rPr>
          <w:spacing w:val="-6"/>
          <w:sz w:val="20"/>
        </w:rPr>
        <w:t> </w:t>
      </w:r>
      <w:r>
        <w:rPr>
          <w:sz w:val="20"/>
        </w:rPr>
        <w:t>‘cannot</w:t>
      </w:r>
      <w:r>
        <w:rPr>
          <w:spacing w:val="-5"/>
          <w:sz w:val="20"/>
        </w:rPr>
        <w:t> </w:t>
      </w:r>
      <w:r>
        <w:rPr>
          <w:sz w:val="20"/>
        </w:rPr>
        <w:t>see</w:t>
      </w:r>
      <w:r>
        <w:rPr>
          <w:spacing w:val="-6"/>
          <w:sz w:val="20"/>
        </w:rPr>
        <w:t> </w:t>
      </w:r>
      <w:r>
        <w:rPr>
          <w:sz w:val="20"/>
        </w:rPr>
        <w:t>at</w:t>
      </w:r>
      <w:r>
        <w:rPr>
          <w:spacing w:val="-5"/>
          <w:sz w:val="20"/>
        </w:rPr>
        <w:t> </w:t>
      </w:r>
      <w:r>
        <w:rPr>
          <w:sz w:val="20"/>
        </w:rPr>
        <w:t>six</w:t>
      </w:r>
      <w:r>
        <w:rPr>
          <w:spacing w:val="-6"/>
          <w:sz w:val="20"/>
        </w:rPr>
        <w:t> </w:t>
      </w:r>
      <w:r>
        <w:rPr>
          <w:spacing w:val="-3"/>
          <w:sz w:val="20"/>
        </w:rPr>
        <w:t>metres</w:t>
      </w:r>
      <w:r>
        <w:rPr>
          <w:spacing w:val="-5"/>
          <w:sz w:val="20"/>
        </w:rPr>
        <w:t> </w:t>
      </w:r>
      <w:r>
        <w:rPr>
          <w:sz w:val="20"/>
        </w:rPr>
        <w:t>what</w:t>
      </w:r>
      <w:r>
        <w:rPr>
          <w:spacing w:val="-6"/>
          <w:sz w:val="20"/>
        </w:rPr>
        <w:t> </w:t>
      </w:r>
      <w:r>
        <w:rPr>
          <w:sz w:val="20"/>
        </w:rPr>
        <w:t>someone</w:t>
      </w:r>
      <w:r>
        <w:rPr>
          <w:spacing w:val="-5"/>
          <w:sz w:val="20"/>
        </w:rPr>
        <w:t> </w:t>
      </w:r>
      <w:r>
        <w:rPr>
          <w:sz w:val="20"/>
        </w:rPr>
        <w:t>with</w:t>
      </w:r>
    </w:p>
    <w:p>
      <w:pPr>
        <w:pStyle w:val="BodyText"/>
        <w:spacing w:line="259" w:lineRule="exact"/>
        <w:ind w:left="1761"/>
      </w:pPr>
      <w:r>
        <w:rPr/>
        <w:t>normal vision can see at 60 metres or if their field of vision is less than 20 degrees in</w:t>
      </w:r>
    </w:p>
    <w:p>
      <w:pPr>
        <w:pStyle w:val="BodyText"/>
      </w:pPr>
    </w:p>
    <w:p>
      <w:pPr>
        <w:pStyle w:val="BodyText"/>
        <w:spacing w:before="7"/>
        <w:rPr>
          <w:sz w:val="14"/>
        </w:rPr>
      </w:pPr>
      <w:r>
        <w:rPr/>
        <w:pict>
          <v:line style="position:absolute;mso-position-horizontal-relative:page;mso-position-vertical-relative:paragraph;z-index:896;mso-wrap-distance-left:0;mso-wrap-distance-right:0" from="79.370003pt,12.554pt" to="515.905003pt,12.554pt" stroked="true" strokeweight="1pt" strokecolor="#b6bdc8">
            <v:stroke dashstyle="solid"/>
            <w10:wrap type="topAndBottom"/>
          </v:line>
        </w:pict>
      </w:r>
    </w:p>
    <w:p>
      <w:pPr>
        <w:pStyle w:val="ListParagraph"/>
        <w:numPr>
          <w:ilvl w:val="0"/>
          <w:numId w:val="23"/>
        </w:numPr>
        <w:tabs>
          <w:tab w:pos="1760" w:val="left" w:leader="none"/>
          <w:tab w:pos="1762" w:val="left" w:leader="none"/>
        </w:tabs>
        <w:spacing w:line="213" w:lineRule="auto" w:before="107" w:after="0"/>
        <w:ind w:left="1761" w:right="1441" w:hanging="794"/>
        <w:jc w:val="both"/>
        <w:rPr>
          <w:sz w:val="13"/>
        </w:rPr>
      </w:pPr>
      <w:r>
        <w:rPr>
          <w:sz w:val="13"/>
        </w:rPr>
        <w:t>Census data from 2021 will be released in a </w:t>
      </w:r>
      <w:r>
        <w:rPr>
          <w:spacing w:val="2"/>
          <w:sz w:val="13"/>
        </w:rPr>
        <w:t>staged </w:t>
      </w:r>
      <w:r>
        <w:rPr>
          <w:sz w:val="13"/>
        </w:rPr>
        <w:t>approach from June 2022: ‘2021 Census Data Release Timeline’, </w:t>
      </w:r>
      <w:r>
        <w:rPr>
          <w:i/>
          <w:sz w:val="13"/>
        </w:rPr>
        <w:t>Australian </w:t>
      </w:r>
      <w:r>
        <w:rPr>
          <w:i/>
          <w:sz w:val="13"/>
        </w:rPr>
        <w:t>Bureau of Statistics </w:t>
      </w:r>
      <w:r>
        <w:rPr>
          <w:sz w:val="13"/>
        </w:rPr>
        <w:t>(Web Page, 16 July 2021) &lt;</w:t>
      </w:r>
      <w:hyperlink r:id="rId52">
        <w:r>
          <w:rPr>
            <w:sz w:val="13"/>
          </w:rPr>
          <w:t>https://www.abs.gov.au/census/2021-data-releases</w:t>
        </w:r>
      </w:hyperlink>
      <w:r>
        <w:rPr>
          <w:sz w:val="13"/>
        </w:rPr>
        <w:t>&gt;; ‘Australia’s Health 2020’, </w:t>
      </w:r>
      <w:r>
        <w:rPr>
          <w:i/>
          <w:sz w:val="13"/>
        </w:rPr>
        <w:t>Australian Institute of Health and Welfare </w:t>
      </w:r>
      <w:r>
        <w:rPr>
          <w:sz w:val="13"/>
        </w:rPr>
        <w:t>(Web Page)</w:t>
      </w:r>
      <w:r>
        <w:rPr>
          <w:spacing w:val="23"/>
          <w:sz w:val="13"/>
        </w:rPr>
        <w:t> </w:t>
      </w:r>
      <w:r>
        <w:rPr>
          <w:sz w:val="13"/>
        </w:rPr>
        <w:t>&lt;</w:t>
      </w:r>
      <w:hyperlink r:id="rId53">
        <w:r>
          <w:rPr>
            <w:sz w:val="13"/>
          </w:rPr>
          <w:t>https://www.aihw.gov.au/reports-data/australias-health</w:t>
        </w:r>
      </w:hyperlink>
      <w:r>
        <w:rPr>
          <w:sz w:val="13"/>
        </w:rPr>
        <w:t>&gt;.</w:t>
      </w:r>
    </w:p>
    <w:p>
      <w:pPr>
        <w:pStyle w:val="ListParagraph"/>
        <w:numPr>
          <w:ilvl w:val="0"/>
          <w:numId w:val="23"/>
        </w:numPr>
        <w:tabs>
          <w:tab w:pos="1760" w:val="left" w:leader="none"/>
          <w:tab w:pos="1762" w:val="left" w:leader="none"/>
        </w:tabs>
        <w:spacing w:line="213" w:lineRule="auto" w:before="0" w:after="0"/>
        <w:ind w:left="1761" w:right="1229" w:hanging="794"/>
        <w:jc w:val="left"/>
        <w:rPr>
          <w:sz w:val="13"/>
        </w:rPr>
      </w:pPr>
      <w:r>
        <w:rPr>
          <w:sz w:val="13"/>
        </w:rPr>
        <w:t>There are 4,340,793 people on the roll in Victoria as at 1 March 2022: ‘Electoral Roll Statistics’, </w:t>
      </w:r>
      <w:r>
        <w:rPr>
          <w:i/>
          <w:sz w:val="13"/>
        </w:rPr>
        <w:t>Victorian Electoral Commission     </w:t>
      </w:r>
      <w:r>
        <w:rPr>
          <w:i/>
          <w:spacing w:val="32"/>
          <w:sz w:val="13"/>
        </w:rPr>
        <w:t> </w:t>
      </w:r>
      <w:r>
        <w:rPr>
          <w:sz w:val="13"/>
        </w:rPr>
        <w:t>(Web Page, 2021) &lt;</w:t>
      </w:r>
      <w:hyperlink r:id="rId54">
        <w:r>
          <w:rPr>
            <w:sz w:val="13"/>
          </w:rPr>
          <w:t>https://www.vec.vic.gov.au/enrolment/electoral-roll-statistics</w:t>
        </w:r>
      </w:hyperlink>
      <w:r>
        <w:rPr>
          <w:sz w:val="13"/>
        </w:rPr>
        <w:t>&gt;. Jurors are pooled from this group, less those </w:t>
      </w:r>
      <w:r>
        <w:rPr>
          <w:spacing w:val="2"/>
          <w:sz w:val="13"/>
        </w:rPr>
        <w:t>deemed </w:t>
      </w:r>
      <w:r>
        <w:rPr>
          <w:sz w:val="13"/>
        </w:rPr>
        <w:t>ineligible or disqualified under the </w:t>
      </w:r>
      <w:r>
        <w:rPr>
          <w:i/>
          <w:sz w:val="13"/>
        </w:rPr>
        <w:t>Juries Act 2000</w:t>
      </w:r>
      <w:r>
        <w:rPr>
          <w:i/>
          <w:spacing w:val="3"/>
          <w:sz w:val="13"/>
        </w:rPr>
        <w:t> </w:t>
      </w:r>
      <w:r>
        <w:rPr>
          <w:sz w:val="13"/>
        </w:rPr>
        <w:t>(Vic).</w:t>
      </w:r>
    </w:p>
    <w:p>
      <w:pPr>
        <w:pStyle w:val="ListParagraph"/>
        <w:numPr>
          <w:ilvl w:val="0"/>
          <w:numId w:val="23"/>
        </w:numPr>
        <w:tabs>
          <w:tab w:pos="1760" w:val="left" w:leader="none"/>
          <w:tab w:pos="1762" w:val="left" w:leader="none"/>
        </w:tabs>
        <w:spacing w:line="213" w:lineRule="auto" w:before="0" w:after="0"/>
        <w:ind w:left="1761" w:right="1209" w:hanging="794"/>
        <w:jc w:val="left"/>
        <w:rPr>
          <w:sz w:val="13"/>
        </w:rPr>
      </w:pPr>
      <w:r>
        <w:rPr>
          <w:sz w:val="13"/>
        </w:rPr>
        <w:t>Chronic eye conditions vary in their presentation, treatment and consequences, but </w:t>
      </w:r>
      <w:r>
        <w:rPr>
          <w:spacing w:val="2"/>
          <w:sz w:val="13"/>
        </w:rPr>
        <w:t>almost </w:t>
      </w:r>
      <w:r>
        <w:rPr>
          <w:sz w:val="13"/>
        </w:rPr>
        <w:t>all are more common in older people. ‘Eye Health, How Common Is Visual Impairment?’, </w:t>
      </w:r>
      <w:r>
        <w:rPr>
          <w:i/>
          <w:sz w:val="13"/>
        </w:rPr>
        <w:t>Australian Institute of Health and Welfare </w:t>
      </w:r>
      <w:r>
        <w:rPr>
          <w:sz w:val="13"/>
        </w:rPr>
        <w:t>(Web</w:t>
      </w:r>
      <w:r>
        <w:rPr>
          <w:spacing w:val="20"/>
          <w:sz w:val="13"/>
        </w:rPr>
        <w:t> </w:t>
      </w:r>
      <w:r>
        <w:rPr>
          <w:sz w:val="13"/>
        </w:rPr>
        <w:t>Page)</w:t>
      </w:r>
    </w:p>
    <w:p>
      <w:pPr>
        <w:spacing w:line="153" w:lineRule="exact" w:before="0"/>
        <w:ind w:left="1761" w:right="0" w:firstLine="0"/>
        <w:jc w:val="left"/>
        <w:rPr>
          <w:sz w:val="13"/>
        </w:rPr>
      </w:pPr>
      <w:r>
        <w:rPr>
          <w:sz w:val="13"/>
        </w:rPr>
        <w:t>&lt;</w:t>
      </w:r>
      <w:hyperlink r:id="rId55">
        <w:r>
          <w:rPr>
            <w:sz w:val="13"/>
          </w:rPr>
          <w:t>https://www.aihw.gov.au/reports/eye-health/eye-health/contents/how-common-is-visual-impairment</w:t>
        </w:r>
      </w:hyperlink>
      <w:r>
        <w:rPr>
          <w:sz w:val="13"/>
        </w:rPr>
        <w:t>&gt;.</w:t>
      </w:r>
    </w:p>
    <w:p>
      <w:pPr>
        <w:pStyle w:val="ListParagraph"/>
        <w:numPr>
          <w:ilvl w:val="0"/>
          <w:numId w:val="23"/>
        </w:numPr>
        <w:tabs>
          <w:tab w:pos="1760" w:val="left" w:leader="none"/>
          <w:tab w:pos="1762" w:val="left" w:leader="none"/>
        </w:tabs>
        <w:spacing w:line="160" w:lineRule="exact" w:before="0" w:after="0"/>
        <w:ind w:left="1761" w:right="0" w:hanging="794"/>
        <w:jc w:val="left"/>
        <w:rPr>
          <w:sz w:val="13"/>
        </w:rPr>
      </w:pPr>
      <w:r>
        <w:rPr>
          <w:sz w:val="13"/>
        </w:rPr>
        <w:t>‘Ageing’, </w:t>
      </w:r>
      <w:r>
        <w:rPr>
          <w:i/>
          <w:spacing w:val="2"/>
          <w:sz w:val="13"/>
        </w:rPr>
        <w:t>Department </w:t>
      </w:r>
      <w:r>
        <w:rPr>
          <w:i/>
          <w:sz w:val="13"/>
        </w:rPr>
        <w:t>of Health and Human </w:t>
      </w:r>
      <w:r>
        <w:rPr>
          <w:i/>
          <w:spacing w:val="2"/>
          <w:sz w:val="13"/>
        </w:rPr>
        <w:t>Services </w:t>
      </w:r>
      <w:r>
        <w:rPr>
          <w:i/>
          <w:sz w:val="13"/>
        </w:rPr>
        <w:t>Victoria </w:t>
      </w:r>
      <w:r>
        <w:rPr>
          <w:sz w:val="13"/>
        </w:rPr>
        <w:t>(Web Page, 2020)</w:t>
      </w:r>
      <w:r>
        <w:rPr>
          <w:spacing w:val="7"/>
          <w:sz w:val="13"/>
        </w:rPr>
        <w:t> </w:t>
      </w:r>
      <w:r>
        <w:rPr>
          <w:sz w:val="13"/>
        </w:rPr>
        <w:t>&lt;</w:t>
      </w:r>
      <w:hyperlink r:id="rId56">
        <w:r>
          <w:rPr>
            <w:sz w:val="13"/>
          </w:rPr>
          <w:t>https://www.dhhs.vic.gov.au/ageing</w:t>
        </w:r>
      </w:hyperlink>
      <w:r>
        <w:rPr>
          <w:sz w:val="13"/>
        </w:rPr>
        <w:t>&gt;.</w:t>
      </w:r>
    </w:p>
    <w:p>
      <w:pPr>
        <w:pStyle w:val="ListParagraph"/>
        <w:numPr>
          <w:ilvl w:val="0"/>
          <w:numId w:val="23"/>
        </w:numPr>
        <w:tabs>
          <w:tab w:pos="1760" w:val="left" w:leader="none"/>
          <w:tab w:pos="1762" w:val="left" w:leader="none"/>
        </w:tabs>
        <w:spacing w:line="160" w:lineRule="exact" w:before="0" w:after="0"/>
        <w:ind w:left="1761" w:right="0" w:hanging="794"/>
        <w:jc w:val="left"/>
        <w:rPr>
          <w:sz w:val="13"/>
        </w:rPr>
      </w:pPr>
      <w:r>
        <w:rPr/>
        <w:pict>
          <v:shape style="position:absolute;margin-left:36pt;margin-top:3.71015pt;width:13pt;height:14.1pt;mso-position-horizontal-relative:page;mso-position-vertical-relative:paragraph;z-index:2992" type="#_x0000_t202" filled="false" stroked="false">
            <v:textbox inset="0,0,0,0">
              <w:txbxContent>
                <w:p>
                  <w:pPr>
                    <w:spacing w:line="282" w:lineRule="exact" w:before="0"/>
                    <w:ind w:left="0" w:right="0" w:firstLine="0"/>
                    <w:jc w:val="left"/>
                    <w:rPr>
                      <w:b/>
                      <w:sz w:val="24"/>
                    </w:rPr>
                  </w:pPr>
                  <w:r>
                    <w:rPr>
                      <w:b/>
                      <w:color w:val="37617A"/>
                      <w:spacing w:val="-3"/>
                      <w:sz w:val="24"/>
                    </w:rPr>
                    <w:t>18</w:t>
                  </w:r>
                </w:p>
              </w:txbxContent>
            </v:textbox>
            <w10:wrap type="none"/>
          </v:shape>
        </w:pict>
      </w:r>
      <w:r>
        <w:rPr>
          <w:sz w:val="13"/>
        </w:rPr>
        <w:t>Australian Institute of Health and Welfare, </w:t>
      </w:r>
      <w:r>
        <w:rPr>
          <w:i/>
          <w:sz w:val="13"/>
        </w:rPr>
        <w:t>Eye Health </w:t>
      </w:r>
      <w:r>
        <w:rPr>
          <w:sz w:val="13"/>
        </w:rPr>
        <w:t>(Online </w:t>
      </w:r>
      <w:r>
        <w:rPr>
          <w:spacing w:val="2"/>
          <w:sz w:val="13"/>
        </w:rPr>
        <w:t>Report, </w:t>
      </w:r>
      <w:r>
        <w:rPr>
          <w:sz w:val="13"/>
        </w:rPr>
        <w:t>Catalogue No PHE 260, 11 February</w:t>
      </w:r>
      <w:r>
        <w:rPr>
          <w:spacing w:val="21"/>
          <w:sz w:val="13"/>
        </w:rPr>
        <w:t> </w:t>
      </w:r>
      <w:r>
        <w:rPr>
          <w:sz w:val="13"/>
        </w:rPr>
        <w:t>2021)</w:t>
      </w:r>
    </w:p>
    <w:p>
      <w:pPr>
        <w:spacing w:line="170" w:lineRule="exact" w:before="0"/>
        <w:ind w:left="1761" w:right="0" w:firstLine="0"/>
        <w:jc w:val="left"/>
        <w:rPr>
          <w:sz w:val="13"/>
        </w:rPr>
      </w:pPr>
      <w:r>
        <w:rPr>
          <w:sz w:val="13"/>
        </w:rPr>
        <w:t>&lt;</w:t>
      </w:r>
      <w:hyperlink r:id="rId55">
        <w:r>
          <w:rPr>
            <w:sz w:val="13"/>
          </w:rPr>
          <w:t>https://www.aihw.gov.au/reports/eye-health/eye-health/contents/how-common-is-visual-impairment</w:t>
        </w:r>
      </w:hyperlink>
      <w:r>
        <w:rPr>
          <w:sz w:val="13"/>
        </w:rPr>
        <w:t>&gt;.</w:t>
      </w:r>
    </w:p>
    <w:p>
      <w:pPr>
        <w:spacing w:after="0" w:line="170" w:lineRule="exact"/>
        <w:jc w:val="left"/>
        <w:rPr>
          <w:sz w:val="13"/>
        </w:rPr>
        <w:sectPr>
          <w:pgSz w:w="11910" w:h="16840"/>
          <w:pgMar w:header="567" w:footer="0" w:top="860" w:bottom="280" w:left="620" w:right="380"/>
        </w:sectPr>
      </w:pPr>
    </w:p>
    <w:p>
      <w:pPr>
        <w:pStyle w:val="BodyText"/>
        <w:ind w:left="10151"/>
      </w:pPr>
      <w:r>
        <w:rPr/>
        <w:pict>
          <v:group style="width:28.35pt;height:42.55pt;mso-position-horizontal-relative:char;mso-position-vertical-relative:line" coordorigin="0,0" coordsize="567,851">
            <v:rect style="position:absolute;left:0;top:0;width:567;height:851" filled="true" fillcolor="#37617a" stroked="false">
              <v:fill type="solid"/>
            </v:rect>
            <v:shape style="position:absolute;left:0;top:0;width:567;height:851" type="#_x0000_t202" filled="false" stroked="false">
              <v:textbox inset="0,0,0,0">
                <w:txbxContent>
                  <w:p>
                    <w:pPr>
                      <w:spacing w:before="179"/>
                      <w:ind w:left="184" w:right="0" w:firstLine="0"/>
                      <w:jc w:val="left"/>
                      <w:rPr>
                        <w:rFonts w:ascii="Raleway SemiBold"/>
                        <w:b/>
                        <w:sz w:val="36"/>
                      </w:rPr>
                    </w:pPr>
                    <w:bookmarkStart w:name="People who are deaf or hard of hearing" w:id="52"/>
                    <w:bookmarkEnd w:id="52"/>
                    <w:r>
                      <w:rPr/>
                    </w:r>
                    <w:bookmarkStart w:name="_bookmark20" w:id="53"/>
                    <w:bookmarkEnd w:id="53"/>
                    <w:r>
                      <w:rPr/>
                    </w:r>
                    <w:r>
                      <w:rPr>
                        <w:rFonts w:ascii="Raleway SemiBold"/>
                        <w:b/>
                        <w:color w:val="FFFFFF"/>
                        <w:sz w:val="36"/>
                      </w:rPr>
                      <w:t>3</w:t>
                    </w:r>
                  </w:p>
                </w:txbxContent>
              </v:textbox>
              <w10:wrap type="none"/>
            </v:shape>
          </v:group>
        </w:pict>
      </w:r>
      <w:r>
        <w:rPr/>
      </w:r>
    </w:p>
    <w:p>
      <w:pPr>
        <w:pStyle w:val="BodyText"/>
      </w:pPr>
    </w:p>
    <w:p>
      <w:pPr>
        <w:pStyle w:val="BodyText"/>
      </w:pPr>
    </w:p>
    <w:p>
      <w:pPr>
        <w:pStyle w:val="BodyText"/>
      </w:pPr>
    </w:p>
    <w:p>
      <w:pPr>
        <w:pStyle w:val="BodyText"/>
        <w:spacing w:before="2"/>
        <w:rPr>
          <w:sz w:val="15"/>
        </w:rPr>
      </w:pPr>
    </w:p>
    <w:p>
      <w:pPr>
        <w:pStyle w:val="BodyText"/>
        <w:spacing w:line="259" w:lineRule="exact"/>
        <w:ind w:left="1761"/>
      </w:pPr>
      <w:r>
        <w:rPr/>
        <w:t>diameter’.</w:t>
      </w:r>
      <w:r>
        <w:rPr>
          <w:position w:val="7"/>
          <w:sz w:val="11"/>
        </w:rPr>
        <w:t>6 </w:t>
      </w:r>
      <w:r>
        <w:rPr/>
        <w:t>A person has low vision if they ‘have permanent vision loss that cannot be</w:t>
      </w:r>
    </w:p>
    <w:p>
      <w:pPr>
        <w:pStyle w:val="BodyText"/>
        <w:spacing w:line="259" w:lineRule="exact"/>
        <w:ind w:left="1761"/>
        <w:rPr>
          <w:sz w:val="11"/>
        </w:rPr>
      </w:pPr>
      <w:r>
        <w:rPr/>
        <w:t>corrected with glasses and affects their daily functioning’.</w:t>
      </w:r>
      <w:r>
        <w:rPr>
          <w:position w:val="7"/>
          <w:sz w:val="11"/>
        </w:rPr>
        <w:t>7</w:t>
      </w:r>
    </w:p>
    <w:p>
      <w:pPr>
        <w:pStyle w:val="ListParagraph"/>
        <w:numPr>
          <w:ilvl w:val="1"/>
          <w:numId w:val="12"/>
        </w:numPr>
        <w:tabs>
          <w:tab w:pos="1761" w:val="left" w:leader="none"/>
          <w:tab w:pos="1762" w:val="left" w:leader="none"/>
        </w:tabs>
        <w:spacing w:line="206" w:lineRule="auto" w:before="115" w:after="0"/>
        <w:ind w:left="1761" w:right="1204" w:hanging="794"/>
        <w:jc w:val="left"/>
        <w:rPr>
          <w:sz w:val="11"/>
        </w:rPr>
      </w:pPr>
      <w:r>
        <w:rPr>
          <w:sz w:val="20"/>
        </w:rPr>
        <w:t>Based on census data </w:t>
      </w:r>
      <w:r>
        <w:rPr>
          <w:spacing w:val="-3"/>
          <w:sz w:val="20"/>
        </w:rPr>
        <w:t>from </w:t>
      </w:r>
      <w:r>
        <w:rPr>
          <w:sz w:val="20"/>
        </w:rPr>
        <w:t>the Australian Bureau of Statistics (ABS), Vision Australia estimated in 2014 that </w:t>
      </w:r>
      <w:r>
        <w:rPr>
          <w:spacing w:val="-3"/>
          <w:sz w:val="20"/>
        </w:rPr>
        <w:t>approximately </w:t>
      </w:r>
      <w:r>
        <w:rPr>
          <w:spacing w:val="-4"/>
          <w:sz w:val="20"/>
        </w:rPr>
        <w:t>357,000 </w:t>
      </w:r>
      <w:r>
        <w:rPr>
          <w:sz w:val="20"/>
        </w:rPr>
        <w:t>people in Australia </w:t>
      </w:r>
      <w:r>
        <w:rPr>
          <w:spacing w:val="-4"/>
          <w:sz w:val="20"/>
        </w:rPr>
        <w:t>were </w:t>
      </w:r>
      <w:r>
        <w:rPr>
          <w:sz w:val="20"/>
        </w:rPr>
        <w:t>blind or had </w:t>
      </w:r>
      <w:r>
        <w:rPr>
          <w:spacing w:val="-4"/>
          <w:sz w:val="20"/>
        </w:rPr>
        <w:t>low </w:t>
      </w:r>
      <w:r>
        <w:rPr>
          <w:sz w:val="20"/>
        </w:rPr>
        <w:t>vision. This number was predicted to increase to more than 564,000 </w:t>
      </w:r>
      <w:r>
        <w:rPr>
          <w:spacing w:val="-3"/>
          <w:sz w:val="20"/>
        </w:rPr>
        <w:t>by </w:t>
      </w:r>
      <w:r>
        <w:rPr>
          <w:sz w:val="20"/>
        </w:rPr>
        <w:t>2030.</w:t>
      </w:r>
      <w:r>
        <w:rPr>
          <w:position w:val="7"/>
          <w:sz w:val="11"/>
        </w:rPr>
        <w:t>8 </w:t>
      </w:r>
      <w:r>
        <w:rPr>
          <w:sz w:val="20"/>
        </w:rPr>
        <w:t>In 2014, Vision</w:t>
      </w:r>
      <w:r>
        <w:rPr>
          <w:spacing w:val="-11"/>
          <w:sz w:val="20"/>
        </w:rPr>
        <w:t> </w:t>
      </w:r>
      <w:r>
        <w:rPr>
          <w:sz w:val="20"/>
        </w:rPr>
        <w:t>Australia</w:t>
      </w:r>
      <w:r>
        <w:rPr>
          <w:spacing w:val="-10"/>
          <w:sz w:val="20"/>
        </w:rPr>
        <w:t> </w:t>
      </w:r>
      <w:r>
        <w:rPr>
          <w:sz w:val="20"/>
        </w:rPr>
        <w:t>reported</w:t>
      </w:r>
      <w:r>
        <w:rPr>
          <w:spacing w:val="-10"/>
          <w:sz w:val="20"/>
        </w:rPr>
        <w:t> </w:t>
      </w:r>
      <w:r>
        <w:rPr>
          <w:sz w:val="20"/>
        </w:rPr>
        <w:t>that</w:t>
      </w:r>
      <w:r>
        <w:rPr>
          <w:spacing w:val="-10"/>
          <w:sz w:val="20"/>
        </w:rPr>
        <w:t> </w:t>
      </w:r>
      <w:r>
        <w:rPr>
          <w:spacing w:val="-3"/>
          <w:sz w:val="20"/>
        </w:rPr>
        <w:t>approximately</w:t>
      </w:r>
      <w:r>
        <w:rPr>
          <w:spacing w:val="-10"/>
          <w:sz w:val="20"/>
        </w:rPr>
        <w:t> </w:t>
      </w:r>
      <w:r>
        <w:rPr>
          <w:sz w:val="20"/>
        </w:rPr>
        <w:t>89,500</w:t>
      </w:r>
      <w:r>
        <w:rPr>
          <w:spacing w:val="-10"/>
          <w:sz w:val="20"/>
        </w:rPr>
        <w:t> </w:t>
      </w:r>
      <w:r>
        <w:rPr>
          <w:sz w:val="20"/>
        </w:rPr>
        <w:t>people</w:t>
      </w:r>
      <w:r>
        <w:rPr>
          <w:spacing w:val="-10"/>
          <w:sz w:val="20"/>
        </w:rPr>
        <w:t> </w:t>
      </w:r>
      <w:r>
        <w:rPr>
          <w:sz w:val="20"/>
        </w:rPr>
        <w:t>in</w:t>
      </w:r>
      <w:r>
        <w:rPr>
          <w:spacing w:val="-10"/>
          <w:sz w:val="20"/>
        </w:rPr>
        <w:t> </w:t>
      </w:r>
      <w:r>
        <w:rPr>
          <w:sz w:val="20"/>
        </w:rPr>
        <w:t>Victoria</w:t>
      </w:r>
      <w:r>
        <w:rPr>
          <w:spacing w:val="-10"/>
          <w:sz w:val="20"/>
        </w:rPr>
        <w:t> </w:t>
      </w:r>
      <w:r>
        <w:rPr>
          <w:spacing w:val="-4"/>
          <w:sz w:val="20"/>
        </w:rPr>
        <w:t>were</w:t>
      </w:r>
      <w:r>
        <w:rPr>
          <w:spacing w:val="-10"/>
          <w:sz w:val="20"/>
        </w:rPr>
        <w:t> </w:t>
      </w:r>
      <w:r>
        <w:rPr>
          <w:sz w:val="20"/>
        </w:rPr>
        <w:t>blind</w:t>
      </w:r>
      <w:r>
        <w:rPr>
          <w:spacing w:val="-10"/>
          <w:sz w:val="20"/>
        </w:rPr>
        <w:t> </w:t>
      </w:r>
      <w:r>
        <w:rPr>
          <w:sz w:val="20"/>
        </w:rPr>
        <w:t>or</w:t>
      </w:r>
      <w:r>
        <w:rPr>
          <w:spacing w:val="-10"/>
          <w:sz w:val="20"/>
        </w:rPr>
        <w:t> </w:t>
      </w:r>
      <w:r>
        <w:rPr>
          <w:sz w:val="20"/>
        </w:rPr>
        <w:t>had </w:t>
      </w:r>
      <w:r>
        <w:rPr>
          <w:spacing w:val="-4"/>
          <w:sz w:val="20"/>
        </w:rPr>
        <w:t>low</w:t>
      </w:r>
      <w:r>
        <w:rPr>
          <w:spacing w:val="-5"/>
          <w:sz w:val="20"/>
        </w:rPr>
        <w:t> </w:t>
      </w:r>
      <w:r>
        <w:rPr>
          <w:sz w:val="20"/>
        </w:rPr>
        <w:t>vision,</w:t>
      </w:r>
      <w:r>
        <w:rPr>
          <w:spacing w:val="-5"/>
          <w:sz w:val="20"/>
        </w:rPr>
        <w:t> </w:t>
      </w:r>
      <w:r>
        <w:rPr>
          <w:sz w:val="20"/>
        </w:rPr>
        <w:t>and</w:t>
      </w:r>
      <w:r>
        <w:rPr>
          <w:spacing w:val="-5"/>
          <w:sz w:val="20"/>
        </w:rPr>
        <w:t> </w:t>
      </w:r>
      <w:r>
        <w:rPr>
          <w:sz w:val="20"/>
        </w:rPr>
        <w:t>that</w:t>
      </w:r>
      <w:r>
        <w:rPr>
          <w:spacing w:val="-5"/>
          <w:sz w:val="20"/>
        </w:rPr>
        <w:t> </w:t>
      </w:r>
      <w:r>
        <w:rPr>
          <w:sz w:val="20"/>
        </w:rPr>
        <w:t>this</w:t>
      </w:r>
      <w:r>
        <w:rPr>
          <w:spacing w:val="-5"/>
          <w:sz w:val="20"/>
        </w:rPr>
        <w:t> </w:t>
      </w:r>
      <w:r>
        <w:rPr>
          <w:sz w:val="20"/>
        </w:rPr>
        <w:t>was</w:t>
      </w:r>
      <w:r>
        <w:rPr>
          <w:spacing w:val="-5"/>
          <w:sz w:val="20"/>
        </w:rPr>
        <w:t> </w:t>
      </w:r>
      <w:r>
        <w:rPr>
          <w:spacing w:val="-3"/>
          <w:sz w:val="20"/>
        </w:rPr>
        <w:t>likely</w:t>
      </w:r>
      <w:r>
        <w:rPr>
          <w:spacing w:val="-5"/>
          <w:sz w:val="20"/>
        </w:rPr>
        <w:t> </w:t>
      </w:r>
      <w:r>
        <w:rPr>
          <w:sz w:val="20"/>
        </w:rPr>
        <w:t>to</w:t>
      </w:r>
      <w:r>
        <w:rPr>
          <w:spacing w:val="-5"/>
          <w:sz w:val="20"/>
        </w:rPr>
        <w:t> </w:t>
      </w:r>
      <w:r>
        <w:rPr>
          <w:sz w:val="20"/>
        </w:rPr>
        <w:t>rise</w:t>
      </w:r>
      <w:r>
        <w:rPr>
          <w:spacing w:val="-5"/>
          <w:sz w:val="20"/>
        </w:rPr>
        <w:t> </w:t>
      </w:r>
      <w:r>
        <w:rPr>
          <w:sz w:val="20"/>
        </w:rPr>
        <w:t>to</w:t>
      </w:r>
      <w:r>
        <w:rPr>
          <w:spacing w:val="-5"/>
          <w:sz w:val="20"/>
        </w:rPr>
        <w:t> </w:t>
      </w:r>
      <w:r>
        <w:rPr>
          <w:sz w:val="20"/>
        </w:rPr>
        <w:t>around</w:t>
      </w:r>
      <w:r>
        <w:rPr>
          <w:spacing w:val="-5"/>
          <w:sz w:val="20"/>
        </w:rPr>
        <w:t> </w:t>
      </w:r>
      <w:r>
        <w:rPr>
          <w:sz w:val="20"/>
        </w:rPr>
        <w:t>138,000</w:t>
      </w:r>
      <w:r>
        <w:rPr>
          <w:spacing w:val="-5"/>
          <w:sz w:val="20"/>
        </w:rPr>
        <w:t> </w:t>
      </w:r>
      <w:r>
        <w:rPr>
          <w:spacing w:val="-3"/>
          <w:sz w:val="20"/>
        </w:rPr>
        <w:t>by</w:t>
      </w:r>
      <w:r>
        <w:rPr>
          <w:spacing w:val="-5"/>
          <w:sz w:val="20"/>
        </w:rPr>
        <w:t> </w:t>
      </w:r>
      <w:r>
        <w:rPr>
          <w:spacing w:val="-3"/>
          <w:sz w:val="20"/>
        </w:rPr>
        <w:t>2030.</w:t>
      </w:r>
      <w:r>
        <w:rPr>
          <w:spacing w:val="-3"/>
          <w:position w:val="7"/>
          <w:sz w:val="11"/>
        </w:rPr>
        <w:t>9</w:t>
      </w:r>
    </w:p>
    <w:p>
      <w:pPr>
        <w:pStyle w:val="BodyText"/>
        <w:spacing w:before="10"/>
        <w:rPr>
          <w:sz w:val="16"/>
        </w:rPr>
      </w:pPr>
    </w:p>
    <w:p>
      <w:pPr>
        <w:spacing w:before="0"/>
        <w:ind w:left="967" w:right="0" w:firstLine="0"/>
        <w:jc w:val="left"/>
        <w:rPr>
          <w:rFonts w:ascii="Raleway ExtraBold"/>
          <w:b/>
          <w:sz w:val="28"/>
        </w:rPr>
      </w:pPr>
      <w:r>
        <w:rPr>
          <w:rFonts w:ascii="Raleway ExtraBold"/>
          <w:b/>
          <w:color w:val="37617A"/>
          <w:sz w:val="28"/>
        </w:rPr>
        <w:t>People who are deaf or hard of hearing</w:t>
      </w:r>
    </w:p>
    <w:p>
      <w:pPr>
        <w:pStyle w:val="ListParagraph"/>
        <w:numPr>
          <w:ilvl w:val="1"/>
          <w:numId w:val="12"/>
        </w:numPr>
        <w:tabs>
          <w:tab w:pos="1761" w:val="left" w:leader="none"/>
          <w:tab w:pos="1762" w:val="left" w:leader="none"/>
        </w:tabs>
        <w:spacing w:line="206" w:lineRule="auto" w:before="146" w:after="0"/>
        <w:ind w:left="1761" w:right="1476" w:hanging="794"/>
        <w:jc w:val="left"/>
        <w:rPr>
          <w:sz w:val="11"/>
        </w:rPr>
      </w:pPr>
      <w:r>
        <w:rPr>
          <w:sz w:val="20"/>
        </w:rPr>
        <w:t>The </w:t>
      </w:r>
      <w:r>
        <w:rPr>
          <w:spacing w:val="-4"/>
          <w:sz w:val="20"/>
        </w:rPr>
        <w:t>World </w:t>
      </w:r>
      <w:r>
        <w:rPr>
          <w:sz w:val="20"/>
        </w:rPr>
        <w:t>Health Organisation describes someone who is deaf as </w:t>
      </w:r>
      <w:r>
        <w:rPr>
          <w:spacing w:val="-3"/>
          <w:sz w:val="20"/>
        </w:rPr>
        <w:t>having ‘profound </w:t>
      </w:r>
      <w:r>
        <w:rPr>
          <w:sz w:val="20"/>
        </w:rPr>
        <w:t>hearing</w:t>
      </w:r>
      <w:r>
        <w:rPr>
          <w:spacing w:val="-11"/>
          <w:sz w:val="20"/>
        </w:rPr>
        <w:t> </w:t>
      </w:r>
      <w:r>
        <w:rPr>
          <w:sz w:val="20"/>
        </w:rPr>
        <w:t>loss,</w:t>
      </w:r>
      <w:r>
        <w:rPr>
          <w:spacing w:val="-11"/>
          <w:sz w:val="20"/>
        </w:rPr>
        <w:t> </w:t>
      </w:r>
      <w:r>
        <w:rPr>
          <w:sz w:val="20"/>
        </w:rPr>
        <w:t>which</w:t>
      </w:r>
      <w:r>
        <w:rPr>
          <w:spacing w:val="-11"/>
          <w:sz w:val="20"/>
        </w:rPr>
        <w:t> </w:t>
      </w:r>
      <w:r>
        <w:rPr>
          <w:sz w:val="20"/>
        </w:rPr>
        <w:t>implies</w:t>
      </w:r>
      <w:r>
        <w:rPr>
          <w:spacing w:val="-11"/>
          <w:sz w:val="20"/>
        </w:rPr>
        <w:t> </w:t>
      </w:r>
      <w:r>
        <w:rPr>
          <w:sz w:val="20"/>
        </w:rPr>
        <w:t>very</w:t>
      </w:r>
      <w:r>
        <w:rPr>
          <w:spacing w:val="-11"/>
          <w:sz w:val="20"/>
        </w:rPr>
        <w:t> </w:t>
      </w:r>
      <w:r>
        <w:rPr>
          <w:sz w:val="20"/>
        </w:rPr>
        <w:t>little</w:t>
      </w:r>
      <w:r>
        <w:rPr>
          <w:spacing w:val="-11"/>
          <w:sz w:val="20"/>
        </w:rPr>
        <w:t> </w:t>
      </w:r>
      <w:r>
        <w:rPr>
          <w:sz w:val="20"/>
        </w:rPr>
        <w:t>or</w:t>
      </w:r>
      <w:r>
        <w:rPr>
          <w:spacing w:val="-11"/>
          <w:sz w:val="20"/>
        </w:rPr>
        <w:t> </w:t>
      </w:r>
      <w:r>
        <w:rPr>
          <w:sz w:val="20"/>
        </w:rPr>
        <w:t>no</w:t>
      </w:r>
      <w:r>
        <w:rPr>
          <w:spacing w:val="-11"/>
          <w:sz w:val="20"/>
        </w:rPr>
        <w:t> </w:t>
      </w:r>
      <w:r>
        <w:rPr>
          <w:sz w:val="20"/>
        </w:rPr>
        <w:t>hearing.</w:t>
      </w:r>
      <w:r>
        <w:rPr>
          <w:spacing w:val="-11"/>
          <w:sz w:val="20"/>
        </w:rPr>
        <w:t> </w:t>
      </w:r>
      <w:r>
        <w:rPr>
          <w:sz w:val="20"/>
        </w:rPr>
        <w:t>They</w:t>
      </w:r>
      <w:r>
        <w:rPr>
          <w:spacing w:val="-11"/>
          <w:sz w:val="20"/>
        </w:rPr>
        <w:t> </w:t>
      </w:r>
      <w:r>
        <w:rPr>
          <w:sz w:val="20"/>
        </w:rPr>
        <w:t>often</w:t>
      </w:r>
      <w:r>
        <w:rPr>
          <w:spacing w:val="-11"/>
          <w:sz w:val="20"/>
        </w:rPr>
        <w:t> </w:t>
      </w:r>
      <w:r>
        <w:rPr>
          <w:sz w:val="20"/>
        </w:rPr>
        <w:t>use</w:t>
      </w:r>
      <w:r>
        <w:rPr>
          <w:spacing w:val="-11"/>
          <w:sz w:val="20"/>
        </w:rPr>
        <w:t> </w:t>
      </w:r>
      <w:r>
        <w:rPr>
          <w:sz w:val="20"/>
        </w:rPr>
        <w:t>sign</w:t>
      </w:r>
      <w:r>
        <w:rPr>
          <w:spacing w:val="-11"/>
          <w:sz w:val="20"/>
        </w:rPr>
        <w:t> </w:t>
      </w:r>
      <w:r>
        <w:rPr>
          <w:sz w:val="20"/>
        </w:rPr>
        <w:t>language</w:t>
      </w:r>
      <w:r>
        <w:rPr>
          <w:spacing w:val="-11"/>
          <w:sz w:val="20"/>
        </w:rPr>
        <w:t> </w:t>
      </w:r>
      <w:r>
        <w:rPr>
          <w:sz w:val="20"/>
        </w:rPr>
        <w:t>for </w:t>
      </w:r>
      <w:r>
        <w:rPr>
          <w:spacing w:val="-3"/>
          <w:sz w:val="20"/>
        </w:rPr>
        <w:t>communication’. </w:t>
      </w:r>
      <w:r>
        <w:rPr>
          <w:sz w:val="20"/>
        </w:rPr>
        <w:t>They describe someone who is ‘hard of hearing’ as </w:t>
      </w:r>
      <w:r>
        <w:rPr>
          <w:spacing w:val="-3"/>
          <w:sz w:val="20"/>
        </w:rPr>
        <w:t>having </w:t>
      </w:r>
      <w:r>
        <w:rPr>
          <w:sz w:val="20"/>
        </w:rPr>
        <w:t>‘hearing loss ranging </w:t>
      </w:r>
      <w:r>
        <w:rPr>
          <w:spacing w:val="-3"/>
          <w:sz w:val="20"/>
        </w:rPr>
        <w:t>from </w:t>
      </w:r>
      <w:r>
        <w:rPr>
          <w:sz w:val="20"/>
        </w:rPr>
        <w:t>mild to</w:t>
      </w:r>
      <w:r>
        <w:rPr>
          <w:spacing w:val="-18"/>
          <w:sz w:val="20"/>
        </w:rPr>
        <w:t> </w:t>
      </w:r>
      <w:r>
        <w:rPr>
          <w:spacing w:val="-4"/>
          <w:sz w:val="20"/>
        </w:rPr>
        <w:t>severe’.</w:t>
      </w:r>
      <w:r>
        <w:rPr>
          <w:spacing w:val="-4"/>
          <w:position w:val="7"/>
          <w:sz w:val="11"/>
        </w:rPr>
        <w:t>10</w:t>
      </w:r>
    </w:p>
    <w:p>
      <w:pPr>
        <w:pStyle w:val="ListParagraph"/>
        <w:numPr>
          <w:ilvl w:val="1"/>
          <w:numId w:val="12"/>
        </w:numPr>
        <w:tabs>
          <w:tab w:pos="1761" w:val="left" w:leader="none"/>
          <w:tab w:pos="1762" w:val="left" w:leader="none"/>
        </w:tabs>
        <w:spacing w:line="259" w:lineRule="exact" w:before="93" w:after="0"/>
        <w:ind w:left="1761" w:right="0" w:hanging="794"/>
        <w:jc w:val="left"/>
        <w:rPr>
          <w:sz w:val="20"/>
        </w:rPr>
      </w:pPr>
      <w:r>
        <w:rPr>
          <w:sz w:val="20"/>
        </w:rPr>
        <w:t>The</w:t>
      </w:r>
      <w:r>
        <w:rPr>
          <w:spacing w:val="-6"/>
          <w:sz w:val="20"/>
        </w:rPr>
        <w:t> </w:t>
      </w:r>
      <w:r>
        <w:rPr>
          <w:sz w:val="20"/>
        </w:rPr>
        <w:t>most</w:t>
      </w:r>
      <w:r>
        <w:rPr>
          <w:spacing w:val="-5"/>
          <w:sz w:val="20"/>
        </w:rPr>
        <w:t> </w:t>
      </w:r>
      <w:r>
        <w:rPr>
          <w:spacing w:val="-3"/>
          <w:sz w:val="20"/>
        </w:rPr>
        <w:t>recent</w:t>
      </w:r>
      <w:r>
        <w:rPr>
          <w:spacing w:val="-6"/>
          <w:sz w:val="20"/>
        </w:rPr>
        <w:t> </w:t>
      </w:r>
      <w:r>
        <w:rPr>
          <w:sz w:val="20"/>
        </w:rPr>
        <w:t>statistics</w:t>
      </w:r>
      <w:r>
        <w:rPr>
          <w:spacing w:val="-5"/>
          <w:sz w:val="20"/>
        </w:rPr>
        <w:t> </w:t>
      </w:r>
      <w:r>
        <w:rPr>
          <w:sz w:val="20"/>
        </w:rPr>
        <w:t>on</w:t>
      </w:r>
      <w:r>
        <w:rPr>
          <w:spacing w:val="-5"/>
          <w:sz w:val="20"/>
        </w:rPr>
        <w:t> </w:t>
      </w:r>
      <w:r>
        <w:rPr>
          <w:sz w:val="20"/>
        </w:rPr>
        <w:t>people</w:t>
      </w:r>
      <w:r>
        <w:rPr>
          <w:spacing w:val="-6"/>
          <w:sz w:val="20"/>
        </w:rPr>
        <w:t> </w:t>
      </w:r>
      <w:r>
        <w:rPr>
          <w:sz w:val="20"/>
        </w:rPr>
        <w:t>who</w:t>
      </w:r>
      <w:r>
        <w:rPr>
          <w:spacing w:val="-5"/>
          <w:sz w:val="20"/>
        </w:rPr>
        <w:t> </w:t>
      </w:r>
      <w:r>
        <w:rPr>
          <w:spacing w:val="-3"/>
          <w:sz w:val="20"/>
        </w:rPr>
        <w:t>are</w:t>
      </w:r>
      <w:r>
        <w:rPr>
          <w:spacing w:val="-6"/>
          <w:sz w:val="20"/>
        </w:rPr>
        <w:t> </w:t>
      </w:r>
      <w:r>
        <w:rPr>
          <w:sz w:val="20"/>
        </w:rPr>
        <w:t>deaf</w:t>
      </w:r>
      <w:r>
        <w:rPr>
          <w:spacing w:val="-5"/>
          <w:sz w:val="20"/>
        </w:rPr>
        <w:t> </w:t>
      </w:r>
      <w:r>
        <w:rPr>
          <w:sz w:val="20"/>
        </w:rPr>
        <w:t>or</w:t>
      </w:r>
      <w:r>
        <w:rPr>
          <w:spacing w:val="-5"/>
          <w:sz w:val="20"/>
        </w:rPr>
        <w:t> </w:t>
      </w:r>
      <w:r>
        <w:rPr>
          <w:sz w:val="20"/>
        </w:rPr>
        <w:t>hard</w:t>
      </w:r>
      <w:r>
        <w:rPr>
          <w:spacing w:val="-6"/>
          <w:sz w:val="20"/>
        </w:rPr>
        <w:t> </w:t>
      </w:r>
      <w:r>
        <w:rPr>
          <w:sz w:val="20"/>
        </w:rPr>
        <w:t>of</w:t>
      </w:r>
      <w:r>
        <w:rPr>
          <w:spacing w:val="-5"/>
          <w:sz w:val="20"/>
        </w:rPr>
        <w:t> </w:t>
      </w:r>
      <w:r>
        <w:rPr>
          <w:sz w:val="20"/>
        </w:rPr>
        <w:t>hearing</w:t>
      </w:r>
      <w:r>
        <w:rPr>
          <w:spacing w:val="-6"/>
          <w:sz w:val="20"/>
        </w:rPr>
        <w:t> </w:t>
      </w:r>
      <w:r>
        <w:rPr>
          <w:spacing w:val="-4"/>
          <w:sz w:val="20"/>
        </w:rPr>
        <w:t>were</w:t>
      </w:r>
      <w:r>
        <w:rPr>
          <w:spacing w:val="-5"/>
          <w:sz w:val="20"/>
        </w:rPr>
        <w:t> </w:t>
      </w:r>
      <w:r>
        <w:rPr>
          <w:sz w:val="20"/>
        </w:rPr>
        <w:t>collated</w:t>
      </w:r>
      <w:r>
        <w:rPr>
          <w:spacing w:val="-5"/>
          <w:sz w:val="20"/>
        </w:rPr>
        <w:t> </w:t>
      </w:r>
      <w:r>
        <w:rPr>
          <w:sz w:val="20"/>
        </w:rPr>
        <w:t>in</w:t>
      </w:r>
    </w:p>
    <w:p>
      <w:pPr>
        <w:pStyle w:val="BodyText"/>
        <w:spacing w:line="259" w:lineRule="exact"/>
        <w:ind w:left="1761"/>
      </w:pPr>
      <w:r>
        <w:rPr/>
        <w:t>2016 by the AIHW, based on 2014–15 ABS data. Key findings included:</w:t>
      </w:r>
    </w:p>
    <w:p>
      <w:pPr>
        <w:pStyle w:val="ListParagraph"/>
        <w:numPr>
          <w:ilvl w:val="2"/>
          <w:numId w:val="12"/>
        </w:numPr>
        <w:tabs>
          <w:tab w:pos="2157" w:val="left" w:leader="none"/>
          <w:tab w:pos="2158" w:val="left" w:leader="none"/>
        </w:tabs>
        <w:spacing w:line="240" w:lineRule="auto" w:before="82" w:after="0"/>
        <w:ind w:left="2157" w:right="0" w:hanging="396"/>
        <w:jc w:val="left"/>
        <w:rPr>
          <w:sz w:val="11"/>
        </w:rPr>
      </w:pPr>
      <w:r>
        <w:rPr>
          <w:sz w:val="20"/>
        </w:rPr>
        <w:t>Complete or partial deafness affects one in</w:t>
      </w:r>
      <w:r>
        <w:rPr>
          <w:spacing w:val="-36"/>
          <w:sz w:val="20"/>
        </w:rPr>
        <w:t> </w:t>
      </w:r>
      <w:r>
        <w:rPr>
          <w:spacing w:val="-3"/>
          <w:sz w:val="20"/>
        </w:rPr>
        <w:t>10 </w:t>
      </w:r>
      <w:r>
        <w:rPr>
          <w:sz w:val="20"/>
        </w:rPr>
        <w:t>Australians.</w:t>
      </w:r>
      <w:r>
        <w:rPr>
          <w:position w:val="7"/>
          <w:sz w:val="11"/>
        </w:rPr>
        <w:t>11</w:t>
      </w:r>
    </w:p>
    <w:p>
      <w:pPr>
        <w:pStyle w:val="ListParagraph"/>
        <w:numPr>
          <w:ilvl w:val="2"/>
          <w:numId w:val="12"/>
        </w:numPr>
        <w:tabs>
          <w:tab w:pos="2157" w:val="left" w:leader="none"/>
          <w:tab w:pos="2158" w:val="left" w:leader="none"/>
        </w:tabs>
        <w:spacing w:line="206" w:lineRule="auto" w:before="80" w:after="0"/>
        <w:ind w:left="2157" w:right="1619" w:hanging="396"/>
        <w:jc w:val="left"/>
        <w:rPr>
          <w:sz w:val="20"/>
        </w:rPr>
      </w:pPr>
      <w:r>
        <w:rPr>
          <w:spacing w:val="-3"/>
          <w:sz w:val="20"/>
        </w:rPr>
        <w:t>Over</w:t>
      </w:r>
      <w:r>
        <w:rPr>
          <w:spacing w:val="-11"/>
          <w:sz w:val="20"/>
        </w:rPr>
        <w:t> </w:t>
      </w:r>
      <w:r>
        <w:rPr>
          <w:sz w:val="20"/>
        </w:rPr>
        <w:t>three</w:t>
      </w:r>
      <w:r>
        <w:rPr>
          <w:spacing w:val="-11"/>
          <w:sz w:val="20"/>
        </w:rPr>
        <w:t> </w:t>
      </w:r>
      <w:r>
        <w:rPr>
          <w:sz w:val="20"/>
        </w:rPr>
        <w:t>million</w:t>
      </w:r>
      <w:r>
        <w:rPr>
          <w:spacing w:val="-11"/>
          <w:sz w:val="20"/>
        </w:rPr>
        <w:t> </w:t>
      </w:r>
      <w:r>
        <w:rPr>
          <w:sz w:val="20"/>
        </w:rPr>
        <w:t>Australians</w:t>
      </w:r>
      <w:r>
        <w:rPr>
          <w:spacing w:val="-10"/>
          <w:sz w:val="20"/>
        </w:rPr>
        <w:t> </w:t>
      </w:r>
      <w:r>
        <w:rPr>
          <w:sz w:val="20"/>
        </w:rPr>
        <w:t>(14</w:t>
      </w:r>
      <w:r>
        <w:rPr>
          <w:spacing w:val="-11"/>
          <w:sz w:val="20"/>
        </w:rPr>
        <w:t> </w:t>
      </w:r>
      <w:r>
        <w:rPr>
          <w:sz w:val="20"/>
        </w:rPr>
        <w:t>per</w:t>
      </w:r>
      <w:r>
        <w:rPr>
          <w:spacing w:val="-11"/>
          <w:sz w:val="20"/>
        </w:rPr>
        <w:t> </w:t>
      </w:r>
      <w:r>
        <w:rPr>
          <w:sz w:val="20"/>
        </w:rPr>
        <w:t>cent)</w:t>
      </w:r>
      <w:r>
        <w:rPr>
          <w:spacing w:val="-11"/>
          <w:sz w:val="20"/>
        </w:rPr>
        <w:t> </w:t>
      </w:r>
      <w:r>
        <w:rPr>
          <w:spacing w:val="-4"/>
          <w:sz w:val="20"/>
        </w:rPr>
        <w:t>have</w:t>
      </w:r>
      <w:r>
        <w:rPr>
          <w:spacing w:val="-11"/>
          <w:sz w:val="20"/>
        </w:rPr>
        <w:t> </w:t>
      </w:r>
      <w:r>
        <w:rPr>
          <w:sz w:val="20"/>
        </w:rPr>
        <w:t>at</w:t>
      </w:r>
      <w:r>
        <w:rPr>
          <w:spacing w:val="-10"/>
          <w:sz w:val="20"/>
        </w:rPr>
        <w:t> </w:t>
      </w:r>
      <w:r>
        <w:rPr>
          <w:sz w:val="20"/>
        </w:rPr>
        <w:t>least</w:t>
      </w:r>
      <w:r>
        <w:rPr>
          <w:spacing w:val="-11"/>
          <w:sz w:val="20"/>
        </w:rPr>
        <w:t> </w:t>
      </w:r>
      <w:r>
        <w:rPr>
          <w:sz w:val="20"/>
        </w:rPr>
        <w:t>one</w:t>
      </w:r>
      <w:r>
        <w:rPr>
          <w:spacing w:val="-11"/>
          <w:sz w:val="20"/>
        </w:rPr>
        <w:t> </w:t>
      </w:r>
      <w:r>
        <w:rPr>
          <w:sz w:val="20"/>
        </w:rPr>
        <w:t>long-term</w:t>
      </w:r>
      <w:r>
        <w:rPr>
          <w:spacing w:val="-11"/>
          <w:sz w:val="20"/>
        </w:rPr>
        <w:t> </w:t>
      </w:r>
      <w:r>
        <w:rPr>
          <w:sz w:val="20"/>
        </w:rPr>
        <w:t>hearing </w:t>
      </w:r>
      <w:r>
        <w:rPr>
          <w:spacing w:val="-3"/>
          <w:sz w:val="20"/>
        </w:rPr>
        <w:t>disorder.</w:t>
      </w:r>
    </w:p>
    <w:p>
      <w:pPr>
        <w:pStyle w:val="ListParagraph"/>
        <w:numPr>
          <w:ilvl w:val="2"/>
          <w:numId w:val="12"/>
        </w:numPr>
        <w:tabs>
          <w:tab w:pos="2157" w:val="left" w:leader="none"/>
          <w:tab w:pos="2158" w:val="left" w:leader="none"/>
        </w:tabs>
        <w:spacing w:line="206" w:lineRule="auto" w:before="87" w:after="0"/>
        <w:ind w:left="2157" w:right="1497" w:hanging="396"/>
        <w:jc w:val="left"/>
        <w:rPr>
          <w:sz w:val="11"/>
        </w:rPr>
      </w:pPr>
      <w:r>
        <w:rPr>
          <w:sz w:val="20"/>
        </w:rPr>
        <w:t>The proportion of people with long-term hearing disorders increases with age, </w:t>
      </w:r>
      <w:r>
        <w:rPr>
          <w:spacing w:val="-3"/>
          <w:sz w:val="20"/>
        </w:rPr>
        <w:t>from</w:t>
      </w:r>
      <w:r>
        <w:rPr>
          <w:spacing w:val="-7"/>
          <w:sz w:val="20"/>
        </w:rPr>
        <w:t> </w:t>
      </w:r>
      <w:r>
        <w:rPr>
          <w:sz w:val="20"/>
        </w:rPr>
        <w:t>three</w:t>
      </w:r>
      <w:r>
        <w:rPr>
          <w:spacing w:val="-6"/>
          <w:sz w:val="20"/>
        </w:rPr>
        <w:t> </w:t>
      </w:r>
      <w:r>
        <w:rPr>
          <w:sz w:val="20"/>
        </w:rPr>
        <w:t>per</w:t>
      </w:r>
      <w:r>
        <w:rPr>
          <w:spacing w:val="-7"/>
          <w:sz w:val="20"/>
        </w:rPr>
        <w:t> </w:t>
      </w:r>
      <w:r>
        <w:rPr>
          <w:sz w:val="20"/>
        </w:rPr>
        <w:t>cent</w:t>
      </w:r>
      <w:r>
        <w:rPr>
          <w:spacing w:val="-6"/>
          <w:sz w:val="20"/>
        </w:rPr>
        <w:t> </w:t>
      </w:r>
      <w:r>
        <w:rPr>
          <w:sz w:val="20"/>
        </w:rPr>
        <w:t>of</w:t>
      </w:r>
      <w:r>
        <w:rPr>
          <w:spacing w:val="-6"/>
          <w:sz w:val="20"/>
        </w:rPr>
        <w:t> </w:t>
      </w:r>
      <w:r>
        <w:rPr>
          <w:spacing w:val="-3"/>
          <w:sz w:val="20"/>
        </w:rPr>
        <w:t>children</w:t>
      </w:r>
      <w:r>
        <w:rPr>
          <w:spacing w:val="-7"/>
          <w:sz w:val="20"/>
        </w:rPr>
        <w:t> </w:t>
      </w:r>
      <w:r>
        <w:rPr>
          <w:sz w:val="20"/>
        </w:rPr>
        <w:t>aged</w:t>
      </w:r>
      <w:r>
        <w:rPr>
          <w:spacing w:val="-6"/>
          <w:sz w:val="20"/>
        </w:rPr>
        <w:t> </w:t>
      </w:r>
      <w:r>
        <w:rPr>
          <w:sz w:val="20"/>
        </w:rPr>
        <w:t>0–14,</w:t>
      </w:r>
      <w:r>
        <w:rPr>
          <w:spacing w:val="-6"/>
          <w:sz w:val="20"/>
        </w:rPr>
        <w:t> </w:t>
      </w:r>
      <w:r>
        <w:rPr>
          <w:sz w:val="20"/>
        </w:rPr>
        <w:t>to</w:t>
      </w:r>
      <w:r>
        <w:rPr>
          <w:spacing w:val="-7"/>
          <w:sz w:val="20"/>
        </w:rPr>
        <w:t> </w:t>
      </w:r>
      <w:r>
        <w:rPr>
          <w:sz w:val="20"/>
        </w:rPr>
        <w:t>49</w:t>
      </w:r>
      <w:r>
        <w:rPr>
          <w:spacing w:val="-6"/>
          <w:sz w:val="20"/>
        </w:rPr>
        <w:t> </w:t>
      </w:r>
      <w:r>
        <w:rPr>
          <w:sz w:val="20"/>
        </w:rPr>
        <w:t>per</w:t>
      </w:r>
      <w:r>
        <w:rPr>
          <w:spacing w:val="-6"/>
          <w:sz w:val="20"/>
        </w:rPr>
        <w:t> </w:t>
      </w:r>
      <w:r>
        <w:rPr>
          <w:sz w:val="20"/>
        </w:rPr>
        <w:t>cent</w:t>
      </w:r>
      <w:r>
        <w:rPr>
          <w:spacing w:val="-7"/>
          <w:sz w:val="20"/>
        </w:rPr>
        <w:t> </w:t>
      </w:r>
      <w:r>
        <w:rPr>
          <w:sz w:val="20"/>
        </w:rPr>
        <w:t>of</w:t>
      </w:r>
      <w:r>
        <w:rPr>
          <w:spacing w:val="-6"/>
          <w:sz w:val="20"/>
        </w:rPr>
        <w:t> </w:t>
      </w:r>
      <w:r>
        <w:rPr>
          <w:sz w:val="20"/>
        </w:rPr>
        <w:t>people</w:t>
      </w:r>
      <w:r>
        <w:rPr>
          <w:spacing w:val="-6"/>
          <w:sz w:val="20"/>
        </w:rPr>
        <w:t> </w:t>
      </w:r>
      <w:r>
        <w:rPr>
          <w:sz w:val="20"/>
        </w:rPr>
        <w:t>aged</w:t>
      </w:r>
      <w:r>
        <w:rPr>
          <w:spacing w:val="-7"/>
          <w:sz w:val="20"/>
        </w:rPr>
        <w:t> </w:t>
      </w:r>
      <w:r>
        <w:rPr>
          <w:spacing w:val="-3"/>
          <w:sz w:val="20"/>
        </w:rPr>
        <w:t>75</w:t>
      </w:r>
      <w:r>
        <w:rPr>
          <w:spacing w:val="-6"/>
          <w:sz w:val="20"/>
        </w:rPr>
        <w:t> </w:t>
      </w:r>
      <w:r>
        <w:rPr>
          <w:sz w:val="20"/>
        </w:rPr>
        <w:t>and </w:t>
      </w:r>
      <w:r>
        <w:rPr>
          <w:spacing w:val="-4"/>
          <w:sz w:val="20"/>
        </w:rPr>
        <w:t>over.</w:t>
      </w:r>
      <w:r>
        <w:rPr>
          <w:spacing w:val="-4"/>
          <w:position w:val="7"/>
          <w:sz w:val="11"/>
        </w:rPr>
        <w:t>12</w:t>
      </w:r>
    </w:p>
    <w:p>
      <w:pPr>
        <w:pStyle w:val="ListParagraph"/>
        <w:numPr>
          <w:ilvl w:val="1"/>
          <w:numId w:val="12"/>
        </w:numPr>
        <w:tabs>
          <w:tab w:pos="1761" w:val="left" w:leader="none"/>
          <w:tab w:pos="1762" w:val="left" w:leader="none"/>
        </w:tabs>
        <w:spacing w:line="240" w:lineRule="auto" w:before="57" w:after="0"/>
        <w:ind w:left="1761" w:right="0" w:hanging="794"/>
        <w:jc w:val="left"/>
        <w:rPr>
          <w:sz w:val="20"/>
        </w:rPr>
      </w:pPr>
      <w:r>
        <w:rPr>
          <w:sz w:val="20"/>
        </w:rPr>
        <w:t>In 2015, the ABS reported</w:t>
      </w:r>
      <w:r>
        <w:rPr>
          <w:spacing w:val="-21"/>
          <w:sz w:val="20"/>
        </w:rPr>
        <w:t> </w:t>
      </w:r>
      <w:r>
        <w:rPr>
          <w:sz w:val="20"/>
        </w:rPr>
        <w:t>that:</w:t>
      </w:r>
    </w:p>
    <w:p>
      <w:pPr>
        <w:pStyle w:val="ListParagraph"/>
        <w:numPr>
          <w:ilvl w:val="2"/>
          <w:numId w:val="12"/>
        </w:numPr>
        <w:tabs>
          <w:tab w:pos="2157" w:val="left" w:leader="none"/>
          <w:tab w:pos="2158" w:val="left" w:leader="none"/>
        </w:tabs>
        <w:spacing w:line="206" w:lineRule="auto" w:before="115" w:after="0"/>
        <w:ind w:left="2157" w:right="1680" w:hanging="396"/>
        <w:jc w:val="left"/>
        <w:rPr>
          <w:sz w:val="20"/>
        </w:rPr>
      </w:pPr>
      <w:r>
        <w:rPr>
          <w:sz w:val="20"/>
        </w:rPr>
        <w:t>More</w:t>
      </w:r>
      <w:r>
        <w:rPr>
          <w:spacing w:val="-11"/>
          <w:sz w:val="20"/>
        </w:rPr>
        <w:t> </w:t>
      </w:r>
      <w:r>
        <w:rPr>
          <w:sz w:val="20"/>
        </w:rPr>
        <w:t>than</w:t>
      </w:r>
      <w:r>
        <w:rPr>
          <w:spacing w:val="-10"/>
          <w:sz w:val="20"/>
        </w:rPr>
        <w:t> </w:t>
      </w:r>
      <w:r>
        <w:rPr>
          <w:sz w:val="20"/>
        </w:rPr>
        <w:t>one</w:t>
      </w:r>
      <w:r>
        <w:rPr>
          <w:spacing w:val="-11"/>
          <w:sz w:val="20"/>
        </w:rPr>
        <w:t> </w:t>
      </w:r>
      <w:r>
        <w:rPr>
          <w:sz w:val="20"/>
        </w:rPr>
        <w:t>in</w:t>
      </w:r>
      <w:r>
        <w:rPr>
          <w:spacing w:val="-10"/>
          <w:sz w:val="20"/>
        </w:rPr>
        <w:t> </w:t>
      </w:r>
      <w:r>
        <w:rPr>
          <w:sz w:val="20"/>
        </w:rPr>
        <w:t>four</w:t>
      </w:r>
      <w:r>
        <w:rPr>
          <w:spacing w:val="-10"/>
          <w:sz w:val="20"/>
        </w:rPr>
        <w:t> </w:t>
      </w:r>
      <w:r>
        <w:rPr>
          <w:sz w:val="20"/>
        </w:rPr>
        <w:t>people</w:t>
      </w:r>
      <w:r>
        <w:rPr>
          <w:spacing w:val="-11"/>
          <w:sz w:val="20"/>
        </w:rPr>
        <w:t> </w:t>
      </w:r>
      <w:r>
        <w:rPr>
          <w:sz w:val="20"/>
        </w:rPr>
        <w:t>with</w:t>
      </w:r>
      <w:r>
        <w:rPr>
          <w:spacing w:val="-10"/>
          <w:sz w:val="20"/>
        </w:rPr>
        <w:t> </w:t>
      </w:r>
      <w:r>
        <w:rPr>
          <w:sz w:val="20"/>
        </w:rPr>
        <w:t>disability</w:t>
      </w:r>
      <w:r>
        <w:rPr>
          <w:spacing w:val="-10"/>
          <w:sz w:val="20"/>
        </w:rPr>
        <w:t> </w:t>
      </w:r>
      <w:r>
        <w:rPr>
          <w:sz w:val="20"/>
        </w:rPr>
        <w:t>used</w:t>
      </w:r>
      <w:r>
        <w:rPr>
          <w:spacing w:val="-11"/>
          <w:sz w:val="20"/>
        </w:rPr>
        <w:t> </w:t>
      </w:r>
      <w:r>
        <w:rPr>
          <w:sz w:val="20"/>
        </w:rPr>
        <w:t>communication</w:t>
      </w:r>
      <w:r>
        <w:rPr>
          <w:spacing w:val="-10"/>
          <w:sz w:val="20"/>
        </w:rPr>
        <w:t> </w:t>
      </w:r>
      <w:r>
        <w:rPr>
          <w:sz w:val="20"/>
        </w:rPr>
        <w:t>aids</w:t>
      </w:r>
      <w:r>
        <w:rPr>
          <w:spacing w:val="-10"/>
          <w:sz w:val="20"/>
        </w:rPr>
        <w:t> </w:t>
      </w:r>
      <w:r>
        <w:rPr>
          <w:sz w:val="20"/>
        </w:rPr>
        <w:t>such</w:t>
      </w:r>
      <w:r>
        <w:rPr>
          <w:spacing w:val="-11"/>
          <w:sz w:val="20"/>
        </w:rPr>
        <w:t> </w:t>
      </w:r>
      <w:r>
        <w:rPr>
          <w:sz w:val="20"/>
        </w:rPr>
        <w:t>as cochlear implants or speaking</w:t>
      </w:r>
      <w:r>
        <w:rPr>
          <w:spacing w:val="-18"/>
          <w:sz w:val="20"/>
        </w:rPr>
        <w:t> </w:t>
      </w:r>
      <w:r>
        <w:rPr>
          <w:sz w:val="20"/>
        </w:rPr>
        <w:t>aids.</w:t>
      </w:r>
    </w:p>
    <w:p>
      <w:pPr>
        <w:pStyle w:val="ListParagraph"/>
        <w:numPr>
          <w:ilvl w:val="2"/>
          <w:numId w:val="12"/>
        </w:numPr>
        <w:tabs>
          <w:tab w:pos="2157" w:val="left" w:leader="none"/>
          <w:tab w:pos="2158" w:val="left" w:leader="none"/>
        </w:tabs>
        <w:spacing w:line="259" w:lineRule="exact" w:before="55" w:after="0"/>
        <w:ind w:left="2157" w:right="0" w:hanging="396"/>
        <w:jc w:val="left"/>
        <w:rPr>
          <w:sz w:val="20"/>
        </w:rPr>
      </w:pPr>
      <w:r>
        <w:rPr>
          <w:sz w:val="20"/>
        </w:rPr>
        <w:t>Use</w:t>
      </w:r>
      <w:r>
        <w:rPr>
          <w:spacing w:val="-6"/>
          <w:sz w:val="20"/>
        </w:rPr>
        <w:t> </w:t>
      </w:r>
      <w:r>
        <w:rPr>
          <w:sz w:val="20"/>
        </w:rPr>
        <w:t>of</w:t>
      </w:r>
      <w:r>
        <w:rPr>
          <w:spacing w:val="-5"/>
          <w:sz w:val="20"/>
        </w:rPr>
        <w:t> </w:t>
      </w:r>
      <w:r>
        <w:rPr>
          <w:sz w:val="20"/>
        </w:rPr>
        <w:t>hearing</w:t>
      </w:r>
      <w:r>
        <w:rPr>
          <w:spacing w:val="-6"/>
          <w:sz w:val="20"/>
        </w:rPr>
        <w:t> </w:t>
      </w:r>
      <w:r>
        <w:rPr>
          <w:sz w:val="20"/>
        </w:rPr>
        <w:t>aids</w:t>
      </w:r>
      <w:r>
        <w:rPr>
          <w:spacing w:val="-5"/>
          <w:sz w:val="20"/>
        </w:rPr>
        <w:t> </w:t>
      </w:r>
      <w:r>
        <w:rPr>
          <w:spacing w:val="-3"/>
          <w:sz w:val="20"/>
        </w:rPr>
        <w:t>by</w:t>
      </w:r>
      <w:r>
        <w:rPr>
          <w:spacing w:val="-6"/>
          <w:sz w:val="20"/>
        </w:rPr>
        <w:t> </w:t>
      </w:r>
      <w:r>
        <w:rPr>
          <w:sz w:val="20"/>
        </w:rPr>
        <w:t>older</w:t>
      </w:r>
      <w:r>
        <w:rPr>
          <w:spacing w:val="-5"/>
          <w:sz w:val="20"/>
        </w:rPr>
        <w:t> </w:t>
      </w:r>
      <w:r>
        <w:rPr>
          <w:sz w:val="20"/>
        </w:rPr>
        <w:t>Australians</w:t>
      </w:r>
      <w:r>
        <w:rPr>
          <w:spacing w:val="-6"/>
          <w:sz w:val="20"/>
        </w:rPr>
        <w:t> </w:t>
      </w:r>
      <w:r>
        <w:rPr>
          <w:sz w:val="20"/>
        </w:rPr>
        <w:t>increased</w:t>
      </w:r>
      <w:r>
        <w:rPr>
          <w:spacing w:val="-5"/>
          <w:sz w:val="20"/>
        </w:rPr>
        <w:t> </w:t>
      </w:r>
      <w:r>
        <w:rPr>
          <w:spacing w:val="-3"/>
          <w:sz w:val="20"/>
        </w:rPr>
        <w:t>from</w:t>
      </w:r>
      <w:r>
        <w:rPr>
          <w:spacing w:val="-6"/>
          <w:sz w:val="20"/>
        </w:rPr>
        <w:t> </w:t>
      </w:r>
      <w:r>
        <w:rPr>
          <w:sz w:val="20"/>
        </w:rPr>
        <w:t>28</w:t>
      </w:r>
      <w:r>
        <w:rPr>
          <w:spacing w:val="-5"/>
          <w:sz w:val="20"/>
        </w:rPr>
        <w:t> </w:t>
      </w:r>
      <w:r>
        <w:rPr>
          <w:sz w:val="20"/>
        </w:rPr>
        <w:t>per</w:t>
      </w:r>
      <w:r>
        <w:rPr>
          <w:spacing w:val="-5"/>
          <w:sz w:val="20"/>
        </w:rPr>
        <w:t> </w:t>
      </w:r>
      <w:r>
        <w:rPr>
          <w:sz w:val="20"/>
        </w:rPr>
        <w:t>cent</w:t>
      </w:r>
      <w:r>
        <w:rPr>
          <w:spacing w:val="-6"/>
          <w:sz w:val="20"/>
        </w:rPr>
        <w:t> </w:t>
      </w:r>
      <w:r>
        <w:rPr>
          <w:sz w:val="20"/>
        </w:rPr>
        <w:t>in</w:t>
      </w:r>
      <w:r>
        <w:rPr>
          <w:spacing w:val="-5"/>
          <w:sz w:val="20"/>
        </w:rPr>
        <w:t> </w:t>
      </w:r>
      <w:r>
        <w:rPr>
          <w:sz w:val="20"/>
        </w:rPr>
        <w:t>2009</w:t>
      </w:r>
      <w:r>
        <w:rPr>
          <w:spacing w:val="-6"/>
          <w:sz w:val="20"/>
        </w:rPr>
        <w:t> </w:t>
      </w:r>
      <w:r>
        <w:rPr>
          <w:sz w:val="20"/>
        </w:rPr>
        <w:t>to</w:t>
      </w:r>
    </w:p>
    <w:p>
      <w:pPr>
        <w:pStyle w:val="BodyText"/>
        <w:spacing w:line="259" w:lineRule="exact"/>
        <w:ind w:left="2157"/>
        <w:rPr>
          <w:sz w:val="11"/>
        </w:rPr>
      </w:pPr>
      <w:r>
        <w:rPr/>
        <w:t>32.6 per cent in 2015.</w:t>
      </w:r>
      <w:r>
        <w:rPr>
          <w:position w:val="7"/>
          <w:sz w:val="11"/>
        </w:rPr>
        <w:t>13</w:t>
      </w:r>
    </w:p>
    <w:p>
      <w:pPr>
        <w:spacing w:before="118"/>
        <w:ind w:left="967" w:right="0" w:firstLine="0"/>
        <w:jc w:val="left"/>
        <w:rPr>
          <w:b/>
          <w:sz w:val="24"/>
        </w:rPr>
      </w:pPr>
      <w:r>
        <w:rPr>
          <w:b/>
          <w:sz w:val="24"/>
        </w:rPr>
        <w:t>Australian Sign Language (Auslan)</w:t>
      </w:r>
    </w:p>
    <w:p>
      <w:pPr>
        <w:pStyle w:val="ListParagraph"/>
        <w:numPr>
          <w:ilvl w:val="1"/>
          <w:numId w:val="12"/>
        </w:numPr>
        <w:tabs>
          <w:tab w:pos="1761" w:val="left" w:leader="none"/>
          <w:tab w:pos="1762" w:val="left" w:leader="none"/>
        </w:tabs>
        <w:spacing w:line="206" w:lineRule="auto" w:before="127" w:after="0"/>
        <w:ind w:left="1761" w:right="1252" w:hanging="794"/>
        <w:jc w:val="left"/>
        <w:rPr>
          <w:sz w:val="11"/>
        </w:rPr>
      </w:pPr>
      <w:r>
        <w:rPr>
          <w:sz w:val="20"/>
        </w:rPr>
        <w:t>People</w:t>
      </w:r>
      <w:r>
        <w:rPr>
          <w:spacing w:val="-9"/>
          <w:sz w:val="20"/>
        </w:rPr>
        <w:t> </w:t>
      </w:r>
      <w:r>
        <w:rPr>
          <w:sz w:val="20"/>
        </w:rPr>
        <w:t>who</w:t>
      </w:r>
      <w:r>
        <w:rPr>
          <w:spacing w:val="-8"/>
          <w:sz w:val="20"/>
        </w:rPr>
        <w:t> </w:t>
      </w:r>
      <w:r>
        <w:rPr>
          <w:spacing w:val="-3"/>
          <w:sz w:val="20"/>
        </w:rPr>
        <w:t>are</w:t>
      </w:r>
      <w:r>
        <w:rPr>
          <w:spacing w:val="-8"/>
          <w:sz w:val="20"/>
        </w:rPr>
        <w:t> </w:t>
      </w:r>
      <w:r>
        <w:rPr>
          <w:sz w:val="20"/>
        </w:rPr>
        <w:t>deaf</w:t>
      </w:r>
      <w:r>
        <w:rPr>
          <w:spacing w:val="-8"/>
          <w:sz w:val="20"/>
        </w:rPr>
        <w:t> </w:t>
      </w:r>
      <w:r>
        <w:rPr>
          <w:spacing w:val="-3"/>
          <w:sz w:val="20"/>
        </w:rPr>
        <w:t>from</w:t>
      </w:r>
      <w:r>
        <w:rPr>
          <w:spacing w:val="-8"/>
          <w:sz w:val="20"/>
        </w:rPr>
        <w:t> </w:t>
      </w:r>
      <w:r>
        <w:rPr>
          <w:sz w:val="20"/>
        </w:rPr>
        <w:t>birth</w:t>
      </w:r>
      <w:r>
        <w:rPr>
          <w:spacing w:val="-8"/>
          <w:sz w:val="20"/>
        </w:rPr>
        <w:t> </w:t>
      </w:r>
      <w:r>
        <w:rPr>
          <w:sz w:val="20"/>
        </w:rPr>
        <w:t>or</w:t>
      </w:r>
      <w:r>
        <w:rPr>
          <w:spacing w:val="-9"/>
          <w:sz w:val="20"/>
        </w:rPr>
        <w:t> </w:t>
      </w:r>
      <w:r>
        <w:rPr>
          <w:sz w:val="20"/>
        </w:rPr>
        <w:t>childhood</w:t>
      </w:r>
      <w:r>
        <w:rPr>
          <w:spacing w:val="-8"/>
          <w:sz w:val="20"/>
        </w:rPr>
        <w:t> </w:t>
      </w:r>
      <w:r>
        <w:rPr>
          <w:spacing w:val="-3"/>
          <w:sz w:val="20"/>
        </w:rPr>
        <w:t>are</w:t>
      </w:r>
      <w:r>
        <w:rPr>
          <w:spacing w:val="-8"/>
          <w:sz w:val="20"/>
        </w:rPr>
        <w:t> </w:t>
      </w:r>
      <w:r>
        <w:rPr>
          <w:sz w:val="20"/>
        </w:rPr>
        <w:t>more</w:t>
      </w:r>
      <w:r>
        <w:rPr>
          <w:spacing w:val="-8"/>
          <w:sz w:val="20"/>
        </w:rPr>
        <w:t> </w:t>
      </w:r>
      <w:r>
        <w:rPr>
          <w:spacing w:val="-3"/>
          <w:sz w:val="20"/>
        </w:rPr>
        <w:t>likely</w:t>
      </w:r>
      <w:r>
        <w:rPr>
          <w:spacing w:val="-8"/>
          <w:sz w:val="20"/>
        </w:rPr>
        <w:t> </w:t>
      </w:r>
      <w:r>
        <w:rPr>
          <w:sz w:val="20"/>
        </w:rPr>
        <w:t>to</w:t>
      </w:r>
      <w:r>
        <w:rPr>
          <w:spacing w:val="-8"/>
          <w:sz w:val="20"/>
        </w:rPr>
        <w:t> </w:t>
      </w:r>
      <w:r>
        <w:rPr>
          <w:sz w:val="20"/>
        </w:rPr>
        <w:t>know</w:t>
      </w:r>
      <w:r>
        <w:rPr>
          <w:spacing w:val="-9"/>
          <w:sz w:val="20"/>
        </w:rPr>
        <w:t> </w:t>
      </w:r>
      <w:r>
        <w:rPr>
          <w:sz w:val="20"/>
        </w:rPr>
        <w:t>and</w:t>
      </w:r>
      <w:r>
        <w:rPr>
          <w:spacing w:val="-8"/>
          <w:sz w:val="20"/>
        </w:rPr>
        <w:t> </w:t>
      </w:r>
      <w:r>
        <w:rPr>
          <w:sz w:val="20"/>
        </w:rPr>
        <w:t>use</w:t>
      </w:r>
      <w:r>
        <w:rPr>
          <w:spacing w:val="-8"/>
          <w:sz w:val="20"/>
        </w:rPr>
        <w:t> </w:t>
      </w:r>
      <w:r>
        <w:rPr>
          <w:sz w:val="20"/>
        </w:rPr>
        <w:t>Auslan</w:t>
      </w:r>
      <w:r>
        <w:rPr>
          <w:spacing w:val="-8"/>
          <w:sz w:val="20"/>
        </w:rPr>
        <w:t> </w:t>
      </w:r>
      <w:r>
        <w:rPr>
          <w:sz w:val="20"/>
        </w:rPr>
        <w:t>as their ‘primary or </w:t>
      </w:r>
      <w:r>
        <w:rPr>
          <w:spacing w:val="-3"/>
          <w:sz w:val="20"/>
        </w:rPr>
        <w:t>preferred language’, </w:t>
      </w:r>
      <w:r>
        <w:rPr>
          <w:sz w:val="20"/>
        </w:rPr>
        <w:t>and to identify as part of the Deaf community.</w:t>
      </w:r>
      <w:r>
        <w:rPr>
          <w:position w:val="7"/>
          <w:sz w:val="11"/>
        </w:rPr>
        <w:t>14</w:t>
      </w:r>
      <w:r>
        <w:rPr>
          <w:sz w:val="11"/>
        </w:rPr>
        <w:t> </w:t>
      </w:r>
      <w:r>
        <w:rPr>
          <w:sz w:val="20"/>
        </w:rPr>
        <w:t>The Deaf community is a distinct ‘linguistic or </w:t>
      </w:r>
      <w:r>
        <w:rPr>
          <w:spacing w:val="-3"/>
          <w:sz w:val="20"/>
        </w:rPr>
        <w:t>cultural </w:t>
      </w:r>
      <w:r>
        <w:rPr>
          <w:sz w:val="20"/>
        </w:rPr>
        <w:t>minority </w:t>
      </w:r>
      <w:r>
        <w:rPr>
          <w:spacing w:val="-3"/>
          <w:sz w:val="20"/>
        </w:rPr>
        <w:t>group’ </w:t>
      </w:r>
      <w:r>
        <w:rPr>
          <w:sz w:val="20"/>
        </w:rPr>
        <w:t>whose use of Auslan is the main unifying</w:t>
      </w:r>
      <w:r>
        <w:rPr>
          <w:spacing w:val="-21"/>
          <w:sz w:val="20"/>
        </w:rPr>
        <w:t> </w:t>
      </w:r>
      <w:r>
        <w:rPr>
          <w:spacing w:val="-3"/>
          <w:sz w:val="20"/>
        </w:rPr>
        <w:t>factor.</w:t>
      </w:r>
      <w:r>
        <w:rPr>
          <w:spacing w:val="-3"/>
          <w:position w:val="7"/>
          <w:sz w:val="11"/>
        </w:rPr>
        <w:t>15</w:t>
      </w:r>
    </w:p>
    <w:p>
      <w:pPr>
        <w:pStyle w:val="ListParagraph"/>
        <w:numPr>
          <w:ilvl w:val="1"/>
          <w:numId w:val="12"/>
        </w:numPr>
        <w:tabs>
          <w:tab w:pos="1761" w:val="left" w:leader="none"/>
          <w:tab w:pos="1762" w:val="left" w:leader="none"/>
        </w:tabs>
        <w:spacing w:line="206" w:lineRule="auto" w:before="125" w:after="0"/>
        <w:ind w:left="1761" w:right="1495" w:hanging="794"/>
        <w:jc w:val="left"/>
        <w:rPr>
          <w:sz w:val="11"/>
        </w:rPr>
      </w:pPr>
      <w:r>
        <w:rPr/>
        <w:pict>
          <v:line style="position:absolute;mso-position-horizontal-relative:page;mso-position-vertical-relative:paragraph;z-index:1016;mso-wrap-distance-left:0;mso-wrap-distance-right:0" from="79.370102pt,48.913986pt" to="515.905102pt,48.913986pt" stroked="true" strokeweight="1pt" strokecolor="#b6bdc8">
            <v:stroke dashstyle="solid"/>
            <w10:wrap type="topAndBottom"/>
          </v:line>
        </w:pict>
      </w:r>
      <w:r>
        <w:rPr>
          <w:sz w:val="20"/>
        </w:rPr>
        <w:t>The use of Auslan has increased </w:t>
      </w:r>
      <w:r>
        <w:rPr>
          <w:spacing w:val="-3"/>
          <w:sz w:val="20"/>
        </w:rPr>
        <w:t>steadily </w:t>
      </w:r>
      <w:r>
        <w:rPr>
          <w:sz w:val="20"/>
        </w:rPr>
        <w:t>in Australia.</w:t>
      </w:r>
      <w:r>
        <w:rPr>
          <w:position w:val="7"/>
          <w:sz w:val="11"/>
        </w:rPr>
        <w:t>16 </w:t>
      </w:r>
      <w:r>
        <w:rPr>
          <w:sz w:val="20"/>
        </w:rPr>
        <w:t>The Australian Network on Disability</w:t>
      </w:r>
      <w:r>
        <w:rPr>
          <w:spacing w:val="-10"/>
          <w:sz w:val="20"/>
        </w:rPr>
        <w:t> </w:t>
      </w:r>
      <w:r>
        <w:rPr>
          <w:sz w:val="20"/>
        </w:rPr>
        <w:t>reports</w:t>
      </w:r>
      <w:r>
        <w:rPr>
          <w:spacing w:val="-9"/>
          <w:sz w:val="20"/>
        </w:rPr>
        <w:t> </w:t>
      </w:r>
      <w:r>
        <w:rPr>
          <w:sz w:val="20"/>
        </w:rPr>
        <w:t>that</w:t>
      </w:r>
      <w:r>
        <w:rPr>
          <w:spacing w:val="-10"/>
          <w:sz w:val="20"/>
        </w:rPr>
        <w:t> </w:t>
      </w:r>
      <w:r>
        <w:rPr>
          <w:sz w:val="20"/>
        </w:rPr>
        <w:t>there</w:t>
      </w:r>
      <w:r>
        <w:rPr>
          <w:spacing w:val="-9"/>
          <w:sz w:val="20"/>
        </w:rPr>
        <w:t> </w:t>
      </w:r>
      <w:r>
        <w:rPr>
          <w:spacing w:val="-3"/>
          <w:sz w:val="20"/>
        </w:rPr>
        <w:t>are</w:t>
      </w:r>
      <w:r>
        <w:rPr>
          <w:spacing w:val="-10"/>
          <w:sz w:val="20"/>
        </w:rPr>
        <w:t> </w:t>
      </w:r>
      <w:r>
        <w:rPr>
          <w:spacing w:val="-3"/>
          <w:sz w:val="20"/>
        </w:rPr>
        <w:t>approximately</w:t>
      </w:r>
      <w:r>
        <w:rPr>
          <w:spacing w:val="-9"/>
          <w:sz w:val="20"/>
        </w:rPr>
        <w:t> </w:t>
      </w:r>
      <w:r>
        <w:rPr>
          <w:sz w:val="20"/>
        </w:rPr>
        <w:t>30,000</w:t>
      </w:r>
      <w:r>
        <w:rPr>
          <w:spacing w:val="-10"/>
          <w:sz w:val="20"/>
        </w:rPr>
        <w:t> </w:t>
      </w:r>
      <w:r>
        <w:rPr>
          <w:sz w:val="20"/>
        </w:rPr>
        <w:t>Auslan</w:t>
      </w:r>
      <w:r>
        <w:rPr>
          <w:spacing w:val="-9"/>
          <w:sz w:val="20"/>
        </w:rPr>
        <w:t> </w:t>
      </w:r>
      <w:r>
        <w:rPr>
          <w:sz w:val="20"/>
        </w:rPr>
        <w:t>users</w:t>
      </w:r>
      <w:r>
        <w:rPr>
          <w:spacing w:val="-10"/>
          <w:sz w:val="20"/>
        </w:rPr>
        <w:t> </w:t>
      </w:r>
      <w:r>
        <w:rPr>
          <w:sz w:val="20"/>
        </w:rPr>
        <w:t>in</w:t>
      </w:r>
      <w:r>
        <w:rPr>
          <w:spacing w:val="-9"/>
          <w:sz w:val="20"/>
        </w:rPr>
        <w:t> </w:t>
      </w:r>
      <w:r>
        <w:rPr>
          <w:sz w:val="20"/>
        </w:rPr>
        <w:t>Australia.</w:t>
      </w:r>
      <w:r>
        <w:rPr>
          <w:position w:val="7"/>
          <w:sz w:val="11"/>
        </w:rPr>
        <w:t>17</w:t>
      </w:r>
      <w:r>
        <w:rPr>
          <w:spacing w:val="15"/>
          <w:position w:val="7"/>
          <w:sz w:val="11"/>
        </w:rPr>
        <w:t> </w:t>
      </w:r>
      <w:r>
        <w:rPr>
          <w:sz w:val="20"/>
        </w:rPr>
        <w:t>The </w:t>
      </w:r>
      <w:r>
        <w:rPr>
          <w:spacing w:val="-3"/>
          <w:sz w:val="20"/>
        </w:rPr>
        <w:t>2021</w:t>
      </w:r>
      <w:r>
        <w:rPr>
          <w:spacing w:val="-6"/>
          <w:sz w:val="20"/>
        </w:rPr>
        <w:t> </w:t>
      </w:r>
      <w:r>
        <w:rPr>
          <w:sz w:val="20"/>
        </w:rPr>
        <w:t>Census</w:t>
      </w:r>
      <w:r>
        <w:rPr>
          <w:spacing w:val="-5"/>
          <w:sz w:val="20"/>
        </w:rPr>
        <w:t> </w:t>
      </w:r>
      <w:r>
        <w:rPr>
          <w:spacing w:val="-3"/>
          <w:sz w:val="20"/>
        </w:rPr>
        <w:t>referred</w:t>
      </w:r>
      <w:r>
        <w:rPr>
          <w:spacing w:val="-5"/>
          <w:sz w:val="20"/>
        </w:rPr>
        <w:t> </w:t>
      </w:r>
      <w:r>
        <w:rPr>
          <w:sz w:val="20"/>
        </w:rPr>
        <w:t>to</w:t>
      </w:r>
      <w:r>
        <w:rPr>
          <w:spacing w:val="-5"/>
          <w:sz w:val="20"/>
        </w:rPr>
        <w:t> </w:t>
      </w:r>
      <w:r>
        <w:rPr>
          <w:sz w:val="20"/>
        </w:rPr>
        <w:t>Auslan</w:t>
      </w:r>
      <w:r>
        <w:rPr>
          <w:spacing w:val="-5"/>
          <w:sz w:val="20"/>
        </w:rPr>
        <w:t> </w:t>
      </w:r>
      <w:r>
        <w:rPr>
          <w:sz w:val="20"/>
        </w:rPr>
        <w:t>as</w:t>
      </w:r>
      <w:r>
        <w:rPr>
          <w:spacing w:val="-5"/>
          <w:sz w:val="20"/>
        </w:rPr>
        <w:t> </w:t>
      </w:r>
      <w:r>
        <w:rPr>
          <w:sz w:val="20"/>
        </w:rPr>
        <w:t>a</w:t>
      </w:r>
      <w:r>
        <w:rPr>
          <w:spacing w:val="-5"/>
          <w:sz w:val="20"/>
        </w:rPr>
        <w:t> </w:t>
      </w:r>
      <w:r>
        <w:rPr>
          <w:sz w:val="20"/>
        </w:rPr>
        <w:t>language</w:t>
      </w:r>
      <w:r>
        <w:rPr>
          <w:spacing w:val="-5"/>
          <w:sz w:val="20"/>
        </w:rPr>
        <w:t> </w:t>
      </w:r>
      <w:r>
        <w:rPr>
          <w:sz w:val="20"/>
        </w:rPr>
        <w:t>option</w:t>
      </w:r>
      <w:r>
        <w:rPr>
          <w:spacing w:val="-5"/>
          <w:sz w:val="20"/>
        </w:rPr>
        <w:t> </w:t>
      </w:r>
      <w:r>
        <w:rPr>
          <w:sz w:val="20"/>
        </w:rPr>
        <w:t>for</w:t>
      </w:r>
      <w:r>
        <w:rPr>
          <w:spacing w:val="-5"/>
          <w:sz w:val="20"/>
        </w:rPr>
        <w:t> </w:t>
      </w:r>
      <w:r>
        <w:rPr>
          <w:sz w:val="20"/>
        </w:rPr>
        <w:t>the</w:t>
      </w:r>
      <w:r>
        <w:rPr>
          <w:spacing w:val="-5"/>
          <w:sz w:val="20"/>
        </w:rPr>
        <w:t> </w:t>
      </w:r>
      <w:r>
        <w:rPr>
          <w:sz w:val="20"/>
        </w:rPr>
        <w:t>first</w:t>
      </w:r>
      <w:r>
        <w:rPr>
          <w:spacing w:val="-5"/>
          <w:sz w:val="20"/>
        </w:rPr>
        <w:t> </w:t>
      </w:r>
      <w:r>
        <w:rPr>
          <w:sz w:val="20"/>
        </w:rPr>
        <w:t>time.</w:t>
      </w:r>
      <w:r>
        <w:rPr>
          <w:position w:val="7"/>
          <w:sz w:val="11"/>
        </w:rPr>
        <w:t>18</w:t>
      </w:r>
    </w:p>
    <w:p>
      <w:pPr>
        <w:pStyle w:val="ListParagraph"/>
        <w:numPr>
          <w:ilvl w:val="0"/>
          <w:numId w:val="23"/>
        </w:numPr>
        <w:tabs>
          <w:tab w:pos="1760" w:val="left" w:leader="none"/>
          <w:tab w:pos="1762" w:val="left" w:leader="none"/>
        </w:tabs>
        <w:spacing w:line="213" w:lineRule="auto" w:before="107" w:after="0"/>
        <w:ind w:left="1761" w:right="1661" w:hanging="794"/>
        <w:jc w:val="left"/>
        <w:rPr>
          <w:sz w:val="13"/>
        </w:rPr>
      </w:pPr>
      <w:r>
        <w:rPr>
          <w:spacing w:val="2"/>
          <w:sz w:val="13"/>
        </w:rPr>
        <w:t>‘Blindness </w:t>
      </w:r>
      <w:r>
        <w:rPr>
          <w:sz w:val="13"/>
        </w:rPr>
        <w:t>and Vision Loss’, </w:t>
      </w:r>
      <w:r>
        <w:rPr>
          <w:i/>
          <w:sz w:val="13"/>
        </w:rPr>
        <w:t>Vision Australia </w:t>
      </w:r>
      <w:r>
        <w:rPr>
          <w:sz w:val="13"/>
        </w:rPr>
        <w:t>(Web Page) &lt;</w:t>
      </w:r>
      <w:hyperlink r:id="rId58">
        <w:r>
          <w:rPr>
            <w:sz w:val="13"/>
          </w:rPr>
          <w:t>https://www.visionaustralia.org/information/newly-diagnosed/</w:t>
        </w:r>
      </w:hyperlink>
      <w:hyperlink r:id="rId58">
        <w:r>
          <w:rPr>
            <w:sz w:val="13"/>
          </w:rPr>
          <w:t> blindness-and-vision-loss</w:t>
        </w:r>
      </w:hyperlink>
      <w:r>
        <w:rPr>
          <w:sz w:val="13"/>
        </w:rPr>
        <w:t>&gt;.</w:t>
      </w:r>
    </w:p>
    <w:p>
      <w:pPr>
        <w:pStyle w:val="ListParagraph"/>
        <w:numPr>
          <w:ilvl w:val="0"/>
          <w:numId w:val="23"/>
        </w:numPr>
        <w:tabs>
          <w:tab w:pos="1760" w:val="left" w:leader="none"/>
          <w:tab w:pos="1762" w:val="left" w:leader="none"/>
        </w:tabs>
        <w:spacing w:line="153" w:lineRule="exact" w:before="0" w:after="0"/>
        <w:ind w:left="1761" w:right="0" w:hanging="794"/>
        <w:jc w:val="left"/>
        <w:rPr>
          <w:sz w:val="13"/>
        </w:rPr>
      </w:pPr>
      <w:r>
        <w:rPr>
          <w:spacing w:val="2"/>
          <w:sz w:val="13"/>
        </w:rPr>
        <w:t>Ibid.</w:t>
      </w:r>
    </w:p>
    <w:p>
      <w:pPr>
        <w:pStyle w:val="ListParagraph"/>
        <w:numPr>
          <w:ilvl w:val="0"/>
          <w:numId w:val="23"/>
        </w:numPr>
        <w:tabs>
          <w:tab w:pos="1760" w:val="left" w:leader="none"/>
          <w:tab w:pos="1762" w:val="left" w:leader="none"/>
        </w:tabs>
        <w:spacing w:line="213" w:lineRule="auto" w:before="6" w:after="0"/>
        <w:ind w:left="1761" w:right="1234" w:hanging="794"/>
        <w:jc w:val="left"/>
        <w:rPr>
          <w:sz w:val="13"/>
        </w:rPr>
      </w:pPr>
      <w:r>
        <w:rPr>
          <w:sz w:val="13"/>
        </w:rPr>
        <w:t>Vision Australia, </w:t>
      </w:r>
      <w:r>
        <w:rPr>
          <w:spacing w:val="2"/>
          <w:sz w:val="13"/>
        </w:rPr>
        <w:t>Submission </w:t>
      </w:r>
      <w:r>
        <w:rPr>
          <w:sz w:val="13"/>
        </w:rPr>
        <w:t>No </w:t>
      </w:r>
      <w:r>
        <w:rPr>
          <w:spacing w:val="2"/>
          <w:sz w:val="13"/>
        </w:rPr>
        <w:t>112 </w:t>
      </w:r>
      <w:r>
        <w:rPr>
          <w:sz w:val="13"/>
        </w:rPr>
        <w:t>to Family and </w:t>
      </w:r>
      <w:r>
        <w:rPr>
          <w:spacing w:val="2"/>
          <w:sz w:val="13"/>
        </w:rPr>
        <w:t>Community </w:t>
      </w:r>
      <w:r>
        <w:rPr>
          <w:sz w:val="13"/>
        </w:rPr>
        <w:t>Development Committee, Parliament of Victoria, </w:t>
      </w:r>
      <w:r>
        <w:rPr>
          <w:i/>
          <w:spacing w:val="2"/>
          <w:sz w:val="13"/>
        </w:rPr>
        <w:t>Inquiry </w:t>
      </w:r>
      <w:r>
        <w:rPr>
          <w:i/>
          <w:sz w:val="13"/>
        </w:rPr>
        <w:t>into Social </w:t>
      </w:r>
      <w:r>
        <w:rPr>
          <w:i/>
          <w:sz w:val="13"/>
        </w:rPr>
        <w:t>Inclusion and Victorians with a Disability </w:t>
      </w:r>
      <w:r>
        <w:rPr>
          <w:sz w:val="13"/>
        </w:rPr>
        <w:t>(March </w:t>
      </w:r>
      <w:r>
        <w:rPr>
          <w:spacing w:val="2"/>
          <w:sz w:val="13"/>
        </w:rPr>
        <w:t>2014) </w:t>
      </w:r>
      <w:r>
        <w:rPr>
          <w:sz w:val="13"/>
        </w:rPr>
        <w:t>2. A more recent study of the prevalence of </w:t>
      </w:r>
      <w:r>
        <w:rPr>
          <w:spacing w:val="2"/>
          <w:sz w:val="13"/>
        </w:rPr>
        <w:t>blindness </w:t>
      </w:r>
      <w:r>
        <w:rPr>
          <w:sz w:val="13"/>
        </w:rPr>
        <w:t>and low vision was </w:t>
      </w:r>
      <w:r>
        <w:rPr>
          <w:spacing w:val="2"/>
          <w:sz w:val="13"/>
        </w:rPr>
        <w:t>undertaken </w:t>
      </w:r>
      <w:r>
        <w:rPr>
          <w:sz w:val="13"/>
        </w:rPr>
        <w:t>by B Ah Tong et </w:t>
      </w:r>
      <w:r>
        <w:rPr>
          <w:spacing w:val="2"/>
          <w:sz w:val="13"/>
        </w:rPr>
        <w:t>al, </w:t>
      </w:r>
      <w:r>
        <w:rPr>
          <w:i/>
          <w:sz w:val="13"/>
        </w:rPr>
        <w:t>A Snapshot of Blindness and Low Vision </w:t>
      </w:r>
      <w:r>
        <w:rPr>
          <w:i/>
          <w:spacing w:val="2"/>
          <w:sz w:val="13"/>
        </w:rPr>
        <w:t>Services </w:t>
      </w:r>
      <w:r>
        <w:rPr>
          <w:i/>
          <w:sz w:val="13"/>
        </w:rPr>
        <w:t>in Australia </w:t>
      </w:r>
      <w:r>
        <w:rPr>
          <w:spacing w:val="2"/>
          <w:sz w:val="13"/>
        </w:rPr>
        <w:t>(Australian Blindness </w:t>
      </w:r>
      <w:r>
        <w:rPr>
          <w:sz w:val="13"/>
        </w:rPr>
        <w:t>Forum </w:t>
      </w:r>
      <w:r>
        <w:rPr>
          <w:spacing w:val="2"/>
          <w:sz w:val="13"/>
        </w:rPr>
        <w:t>Report, </w:t>
      </w:r>
      <w:r>
        <w:rPr>
          <w:sz w:val="13"/>
        </w:rPr>
        <w:t>August 2015).</w:t>
      </w:r>
    </w:p>
    <w:p>
      <w:pPr>
        <w:pStyle w:val="ListParagraph"/>
        <w:numPr>
          <w:ilvl w:val="0"/>
          <w:numId w:val="23"/>
        </w:numPr>
        <w:tabs>
          <w:tab w:pos="1760" w:val="left" w:leader="none"/>
          <w:tab w:pos="1762" w:val="left" w:leader="none"/>
        </w:tabs>
        <w:spacing w:line="213" w:lineRule="auto" w:before="0" w:after="0"/>
        <w:ind w:left="1761" w:right="1234" w:hanging="794"/>
        <w:jc w:val="left"/>
        <w:rPr>
          <w:sz w:val="13"/>
        </w:rPr>
      </w:pPr>
      <w:r>
        <w:rPr>
          <w:sz w:val="13"/>
        </w:rPr>
        <w:t>Vision Australia, </w:t>
      </w:r>
      <w:r>
        <w:rPr>
          <w:spacing w:val="2"/>
          <w:sz w:val="13"/>
        </w:rPr>
        <w:t>Submission </w:t>
      </w:r>
      <w:r>
        <w:rPr>
          <w:sz w:val="13"/>
        </w:rPr>
        <w:t>No </w:t>
      </w:r>
      <w:r>
        <w:rPr>
          <w:spacing w:val="2"/>
          <w:sz w:val="13"/>
        </w:rPr>
        <w:t>112 </w:t>
      </w:r>
      <w:r>
        <w:rPr>
          <w:sz w:val="13"/>
        </w:rPr>
        <w:t>to Family and </w:t>
      </w:r>
      <w:r>
        <w:rPr>
          <w:spacing w:val="2"/>
          <w:sz w:val="13"/>
        </w:rPr>
        <w:t>Community </w:t>
      </w:r>
      <w:r>
        <w:rPr>
          <w:sz w:val="13"/>
        </w:rPr>
        <w:t>Development Committee, Parliament of Victoria, </w:t>
      </w:r>
      <w:r>
        <w:rPr>
          <w:i/>
          <w:spacing w:val="2"/>
          <w:sz w:val="13"/>
        </w:rPr>
        <w:t>Inquiry </w:t>
      </w:r>
      <w:r>
        <w:rPr>
          <w:i/>
          <w:sz w:val="13"/>
        </w:rPr>
        <w:t>into Social </w:t>
      </w:r>
      <w:r>
        <w:rPr>
          <w:i/>
          <w:sz w:val="13"/>
        </w:rPr>
        <w:t>Inclusion and Victorians with a Disability </w:t>
      </w:r>
      <w:r>
        <w:rPr>
          <w:sz w:val="13"/>
        </w:rPr>
        <w:t>(March </w:t>
      </w:r>
      <w:r>
        <w:rPr>
          <w:spacing w:val="2"/>
          <w:sz w:val="13"/>
        </w:rPr>
        <w:t>2014)</w:t>
      </w:r>
      <w:r>
        <w:rPr>
          <w:spacing w:val="3"/>
          <w:sz w:val="13"/>
        </w:rPr>
        <w:t> </w:t>
      </w:r>
      <w:r>
        <w:rPr>
          <w:sz w:val="13"/>
        </w:rPr>
        <w:t>2.</w:t>
      </w:r>
    </w:p>
    <w:p>
      <w:pPr>
        <w:pStyle w:val="ListParagraph"/>
        <w:numPr>
          <w:ilvl w:val="0"/>
          <w:numId w:val="23"/>
        </w:numPr>
        <w:tabs>
          <w:tab w:pos="1760" w:val="left" w:leader="none"/>
          <w:tab w:pos="1762" w:val="left" w:leader="none"/>
        </w:tabs>
        <w:spacing w:line="213" w:lineRule="auto" w:before="0" w:after="0"/>
        <w:ind w:left="1761" w:right="1208" w:hanging="794"/>
        <w:jc w:val="left"/>
        <w:rPr>
          <w:sz w:val="13"/>
        </w:rPr>
      </w:pPr>
      <w:r>
        <w:rPr>
          <w:spacing w:val="2"/>
          <w:sz w:val="13"/>
        </w:rPr>
        <w:t>‘Deafness </w:t>
      </w:r>
      <w:r>
        <w:rPr>
          <w:sz w:val="13"/>
        </w:rPr>
        <w:t>and Hearing Loss’, </w:t>
      </w:r>
      <w:r>
        <w:rPr>
          <w:i/>
          <w:sz w:val="13"/>
        </w:rPr>
        <w:t>World Health Organisation </w:t>
      </w:r>
      <w:r>
        <w:rPr>
          <w:sz w:val="13"/>
        </w:rPr>
        <w:t>(Web Page, 1 April 2021) &lt;</w:t>
      </w:r>
      <w:hyperlink r:id="rId59">
        <w:r>
          <w:rPr>
            <w:sz w:val="13"/>
          </w:rPr>
          <w:t>https://www.who.int/news-room/fact-sheets/</w:t>
        </w:r>
      </w:hyperlink>
      <w:hyperlink r:id="rId59">
        <w:r>
          <w:rPr>
            <w:sz w:val="13"/>
          </w:rPr>
          <w:t> detail/deafness-and-hearing-loss</w:t>
        </w:r>
      </w:hyperlink>
      <w:r>
        <w:rPr>
          <w:sz w:val="13"/>
        </w:rPr>
        <w:t>&gt;.</w:t>
      </w:r>
    </w:p>
    <w:p>
      <w:pPr>
        <w:pStyle w:val="ListParagraph"/>
        <w:numPr>
          <w:ilvl w:val="0"/>
          <w:numId w:val="23"/>
        </w:numPr>
        <w:tabs>
          <w:tab w:pos="1760" w:val="left" w:leader="none"/>
          <w:tab w:pos="1762" w:val="left" w:leader="none"/>
        </w:tabs>
        <w:spacing w:line="213" w:lineRule="auto" w:before="0" w:after="0"/>
        <w:ind w:left="1761" w:right="1204" w:hanging="794"/>
        <w:jc w:val="left"/>
        <w:rPr>
          <w:sz w:val="13"/>
        </w:rPr>
      </w:pPr>
      <w:r>
        <w:rPr>
          <w:sz w:val="13"/>
        </w:rPr>
        <w:t>This can be compared to 0.6% of the </w:t>
      </w:r>
      <w:r>
        <w:rPr>
          <w:spacing w:val="2"/>
          <w:sz w:val="13"/>
        </w:rPr>
        <w:t>population </w:t>
      </w:r>
      <w:r>
        <w:rPr>
          <w:sz w:val="13"/>
        </w:rPr>
        <w:t>that has complete or </w:t>
      </w:r>
      <w:r>
        <w:rPr>
          <w:spacing w:val="2"/>
          <w:sz w:val="13"/>
        </w:rPr>
        <w:t>partial blindness: </w:t>
      </w:r>
      <w:r>
        <w:rPr>
          <w:sz w:val="13"/>
        </w:rPr>
        <w:t>Australian Institute of Health and Welfare, </w:t>
      </w:r>
      <w:r>
        <w:rPr>
          <w:i/>
          <w:sz w:val="13"/>
        </w:rPr>
        <w:t>Australia’s Health 2016 </w:t>
      </w:r>
      <w:r>
        <w:rPr>
          <w:sz w:val="13"/>
        </w:rPr>
        <w:t>(Australia’s Health </w:t>
      </w:r>
      <w:r>
        <w:rPr>
          <w:spacing w:val="2"/>
          <w:sz w:val="13"/>
        </w:rPr>
        <w:t>Series </w:t>
      </w:r>
      <w:r>
        <w:rPr>
          <w:sz w:val="13"/>
        </w:rPr>
        <w:t>No </w:t>
      </w:r>
      <w:r>
        <w:rPr>
          <w:spacing w:val="3"/>
          <w:sz w:val="13"/>
        </w:rPr>
        <w:t>15, </w:t>
      </w:r>
      <w:r>
        <w:rPr>
          <w:sz w:val="13"/>
        </w:rPr>
        <w:t>Catalogue No AUS </w:t>
      </w:r>
      <w:r>
        <w:rPr>
          <w:spacing w:val="2"/>
          <w:sz w:val="13"/>
        </w:rPr>
        <w:t>199, </w:t>
      </w:r>
      <w:r>
        <w:rPr>
          <w:sz w:val="13"/>
        </w:rPr>
        <w:t>13 September 2016) 117 &lt;</w:t>
      </w:r>
      <w:hyperlink r:id="rId60">
        <w:r>
          <w:rPr>
            <w:sz w:val="13"/>
          </w:rPr>
          <w:t>https://www.aihw.gov.</w:t>
        </w:r>
      </w:hyperlink>
      <w:hyperlink r:id="rId60">
        <w:r>
          <w:rPr>
            <w:sz w:val="13"/>
          </w:rPr>
          <w:t> au/reports/australias-health/australias-health-2016/contents/summary</w:t>
        </w:r>
      </w:hyperlink>
      <w:r>
        <w:rPr>
          <w:sz w:val="13"/>
        </w:rPr>
        <w:t>&gt;.</w:t>
      </w:r>
    </w:p>
    <w:p>
      <w:pPr>
        <w:tabs>
          <w:tab w:pos="1761" w:val="left" w:leader="none"/>
        </w:tabs>
        <w:spacing w:line="152" w:lineRule="exact" w:before="0"/>
        <w:ind w:left="967" w:right="0" w:firstLine="0"/>
        <w:jc w:val="left"/>
        <w:rPr>
          <w:sz w:val="13"/>
        </w:rPr>
      </w:pPr>
      <w:r>
        <w:rPr>
          <w:sz w:val="13"/>
        </w:rPr>
        <w:t>12</w:t>
        <w:tab/>
        <w:t>Ibid 117–118.</w:t>
      </w:r>
    </w:p>
    <w:p>
      <w:pPr>
        <w:pStyle w:val="ListParagraph"/>
        <w:numPr>
          <w:ilvl w:val="0"/>
          <w:numId w:val="24"/>
        </w:numPr>
        <w:tabs>
          <w:tab w:pos="1761" w:val="left" w:leader="none"/>
          <w:tab w:pos="1762" w:val="left" w:leader="none"/>
        </w:tabs>
        <w:spacing w:line="213" w:lineRule="auto" w:before="2" w:after="0"/>
        <w:ind w:left="1761" w:right="1551" w:hanging="794"/>
        <w:jc w:val="left"/>
        <w:rPr>
          <w:sz w:val="13"/>
        </w:rPr>
      </w:pPr>
      <w:r>
        <w:rPr>
          <w:sz w:val="13"/>
        </w:rPr>
        <w:t>Australian Bureau of </w:t>
      </w:r>
      <w:r>
        <w:rPr>
          <w:spacing w:val="2"/>
          <w:sz w:val="13"/>
        </w:rPr>
        <w:t>Statistics, </w:t>
      </w:r>
      <w:r>
        <w:rPr>
          <w:i/>
          <w:sz w:val="13"/>
        </w:rPr>
        <w:t>Use of Aids and Equipment by People with Disability in Australia </w:t>
      </w:r>
      <w:r>
        <w:rPr>
          <w:sz w:val="13"/>
        </w:rPr>
        <w:t>(Disability, Ageing and Carers, Australia, Information </w:t>
      </w:r>
      <w:r>
        <w:rPr>
          <w:spacing w:val="2"/>
          <w:sz w:val="13"/>
        </w:rPr>
        <w:t>Sheet,</w:t>
      </w:r>
      <w:r>
        <w:rPr>
          <w:sz w:val="13"/>
        </w:rPr>
        <w:t> 2015).</w:t>
      </w:r>
    </w:p>
    <w:p>
      <w:pPr>
        <w:pStyle w:val="ListParagraph"/>
        <w:numPr>
          <w:ilvl w:val="0"/>
          <w:numId w:val="24"/>
        </w:numPr>
        <w:tabs>
          <w:tab w:pos="1760" w:val="left" w:leader="none"/>
          <w:tab w:pos="1762" w:val="left" w:leader="none"/>
        </w:tabs>
        <w:spacing w:line="153" w:lineRule="exact" w:before="0" w:after="0"/>
        <w:ind w:left="1761" w:right="0" w:hanging="794"/>
        <w:jc w:val="left"/>
        <w:rPr>
          <w:i/>
          <w:sz w:val="13"/>
        </w:rPr>
      </w:pPr>
      <w:r>
        <w:rPr>
          <w:sz w:val="13"/>
        </w:rPr>
        <w:t>Deaf</w:t>
      </w:r>
      <w:r>
        <w:rPr>
          <w:spacing w:val="8"/>
          <w:sz w:val="13"/>
        </w:rPr>
        <w:t> </w:t>
      </w:r>
      <w:r>
        <w:rPr>
          <w:sz w:val="13"/>
        </w:rPr>
        <w:t>Australia,</w:t>
      </w:r>
      <w:r>
        <w:rPr>
          <w:spacing w:val="8"/>
          <w:sz w:val="13"/>
        </w:rPr>
        <w:t> </w:t>
      </w:r>
      <w:r>
        <w:rPr>
          <w:spacing w:val="2"/>
          <w:sz w:val="13"/>
        </w:rPr>
        <w:t>Submission</w:t>
      </w:r>
      <w:r>
        <w:rPr>
          <w:spacing w:val="9"/>
          <w:sz w:val="13"/>
        </w:rPr>
        <w:t> </w:t>
      </w:r>
      <w:r>
        <w:rPr>
          <w:sz w:val="13"/>
        </w:rPr>
        <w:t>No</w:t>
      </w:r>
      <w:r>
        <w:rPr>
          <w:spacing w:val="8"/>
          <w:sz w:val="13"/>
        </w:rPr>
        <w:t> </w:t>
      </w:r>
      <w:r>
        <w:rPr>
          <w:sz w:val="13"/>
        </w:rPr>
        <w:t>37</w:t>
      </w:r>
      <w:r>
        <w:rPr>
          <w:spacing w:val="9"/>
          <w:sz w:val="13"/>
        </w:rPr>
        <w:t> </w:t>
      </w:r>
      <w:r>
        <w:rPr>
          <w:sz w:val="13"/>
        </w:rPr>
        <w:t>to</w:t>
      </w:r>
      <w:r>
        <w:rPr>
          <w:spacing w:val="8"/>
          <w:sz w:val="13"/>
        </w:rPr>
        <w:t> </w:t>
      </w:r>
      <w:r>
        <w:rPr>
          <w:sz w:val="13"/>
        </w:rPr>
        <w:t>Australian</w:t>
      </w:r>
      <w:r>
        <w:rPr>
          <w:spacing w:val="9"/>
          <w:sz w:val="13"/>
        </w:rPr>
        <w:t> </w:t>
      </w:r>
      <w:r>
        <w:rPr>
          <w:sz w:val="13"/>
        </w:rPr>
        <w:t>Law</w:t>
      </w:r>
      <w:r>
        <w:rPr>
          <w:spacing w:val="8"/>
          <w:sz w:val="13"/>
        </w:rPr>
        <w:t> </w:t>
      </w:r>
      <w:r>
        <w:rPr>
          <w:sz w:val="13"/>
        </w:rPr>
        <w:t>Reform</w:t>
      </w:r>
      <w:r>
        <w:rPr>
          <w:spacing w:val="8"/>
          <w:sz w:val="13"/>
        </w:rPr>
        <w:t> </w:t>
      </w:r>
      <w:r>
        <w:rPr>
          <w:spacing w:val="2"/>
          <w:sz w:val="13"/>
        </w:rPr>
        <w:t>Commission,</w:t>
      </w:r>
      <w:r>
        <w:rPr>
          <w:spacing w:val="9"/>
          <w:sz w:val="13"/>
        </w:rPr>
        <w:t> </w:t>
      </w:r>
      <w:r>
        <w:rPr>
          <w:i/>
          <w:sz w:val="13"/>
        </w:rPr>
        <w:t>Equality,</w:t>
      </w:r>
      <w:r>
        <w:rPr>
          <w:i/>
          <w:spacing w:val="8"/>
          <w:sz w:val="13"/>
        </w:rPr>
        <w:t> </w:t>
      </w:r>
      <w:r>
        <w:rPr>
          <w:i/>
          <w:sz w:val="13"/>
        </w:rPr>
        <w:t>Capacity</w:t>
      </w:r>
      <w:r>
        <w:rPr>
          <w:i/>
          <w:spacing w:val="8"/>
          <w:sz w:val="13"/>
        </w:rPr>
        <w:t> </w:t>
      </w:r>
      <w:r>
        <w:rPr>
          <w:i/>
          <w:sz w:val="13"/>
        </w:rPr>
        <w:t>and</w:t>
      </w:r>
      <w:r>
        <w:rPr>
          <w:i/>
          <w:spacing w:val="8"/>
          <w:sz w:val="13"/>
        </w:rPr>
        <w:t> </w:t>
      </w:r>
      <w:r>
        <w:rPr>
          <w:i/>
          <w:sz w:val="13"/>
        </w:rPr>
        <w:t>Disability</w:t>
      </w:r>
      <w:r>
        <w:rPr>
          <w:i/>
          <w:spacing w:val="7"/>
          <w:sz w:val="13"/>
        </w:rPr>
        <w:t> </w:t>
      </w:r>
      <w:r>
        <w:rPr>
          <w:i/>
          <w:sz w:val="13"/>
        </w:rPr>
        <w:t>in</w:t>
      </w:r>
      <w:r>
        <w:rPr>
          <w:i/>
          <w:spacing w:val="9"/>
          <w:sz w:val="13"/>
        </w:rPr>
        <w:t> </w:t>
      </w:r>
      <w:r>
        <w:rPr>
          <w:i/>
          <w:sz w:val="13"/>
        </w:rPr>
        <w:t>Commonwealth</w:t>
      </w:r>
      <w:r>
        <w:rPr>
          <w:i/>
          <w:spacing w:val="8"/>
          <w:sz w:val="13"/>
        </w:rPr>
        <w:t> </w:t>
      </w:r>
      <w:r>
        <w:rPr>
          <w:i/>
          <w:sz w:val="13"/>
        </w:rPr>
        <w:t>Laws</w:t>
      </w:r>
    </w:p>
    <w:p>
      <w:pPr>
        <w:spacing w:line="160" w:lineRule="exact" w:before="0"/>
        <w:ind w:left="1761" w:right="0" w:firstLine="0"/>
        <w:jc w:val="left"/>
        <w:rPr>
          <w:sz w:val="13"/>
        </w:rPr>
      </w:pPr>
      <w:r>
        <w:rPr>
          <w:sz w:val="13"/>
        </w:rPr>
        <w:t>(20 </w:t>
      </w:r>
      <w:r>
        <w:rPr>
          <w:spacing w:val="2"/>
          <w:sz w:val="13"/>
        </w:rPr>
        <w:t>January 2014)</w:t>
      </w:r>
      <w:r>
        <w:rPr>
          <w:spacing w:val="8"/>
          <w:sz w:val="13"/>
        </w:rPr>
        <w:t> </w:t>
      </w:r>
      <w:r>
        <w:rPr>
          <w:spacing w:val="4"/>
          <w:sz w:val="13"/>
        </w:rPr>
        <w:t>14.</w:t>
      </w:r>
    </w:p>
    <w:p>
      <w:pPr>
        <w:pStyle w:val="ListParagraph"/>
        <w:numPr>
          <w:ilvl w:val="0"/>
          <w:numId w:val="24"/>
        </w:numPr>
        <w:tabs>
          <w:tab w:pos="1760" w:val="left" w:leader="none"/>
          <w:tab w:pos="1762" w:val="left" w:leader="none"/>
        </w:tabs>
        <w:spacing w:line="213" w:lineRule="auto" w:before="6" w:after="0"/>
        <w:ind w:left="1760" w:right="1288" w:hanging="793"/>
        <w:jc w:val="left"/>
        <w:rPr>
          <w:sz w:val="13"/>
        </w:rPr>
      </w:pPr>
      <w:r>
        <w:rPr>
          <w:sz w:val="13"/>
        </w:rPr>
        <w:t>The Australian Government recognised the Deaf community as a </w:t>
      </w:r>
      <w:r>
        <w:rPr>
          <w:spacing w:val="2"/>
          <w:sz w:val="13"/>
        </w:rPr>
        <w:t>language </w:t>
      </w:r>
      <w:r>
        <w:rPr>
          <w:sz w:val="13"/>
        </w:rPr>
        <w:t>group in 1991: ibid </w:t>
      </w:r>
      <w:r>
        <w:rPr>
          <w:spacing w:val="2"/>
          <w:sz w:val="13"/>
        </w:rPr>
        <w:t>5–6. </w:t>
      </w:r>
      <w:r>
        <w:rPr>
          <w:sz w:val="13"/>
        </w:rPr>
        <w:t>See </w:t>
      </w:r>
      <w:r>
        <w:rPr>
          <w:spacing w:val="2"/>
          <w:sz w:val="13"/>
        </w:rPr>
        <w:t>also ‘Becoming </w:t>
      </w:r>
      <w:r>
        <w:rPr>
          <w:sz w:val="13"/>
        </w:rPr>
        <w:t>a </w:t>
      </w:r>
      <w:r>
        <w:rPr>
          <w:spacing w:val="2"/>
          <w:sz w:val="13"/>
        </w:rPr>
        <w:t>Part </w:t>
      </w:r>
      <w:r>
        <w:rPr>
          <w:sz w:val="13"/>
        </w:rPr>
        <w:t>of the Deaf Community’, </w:t>
      </w:r>
      <w:r>
        <w:rPr>
          <w:i/>
          <w:sz w:val="13"/>
        </w:rPr>
        <w:t>Hearing Australia </w:t>
      </w:r>
      <w:r>
        <w:rPr>
          <w:sz w:val="13"/>
        </w:rPr>
        <w:t>(Web Page) &lt;</w:t>
      </w:r>
      <w:hyperlink r:id="rId61">
        <w:r>
          <w:rPr>
            <w:sz w:val="13"/>
          </w:rPr>
          <w:t>https://www.hearing.com.au/Hearing-loss/Management/Becoming-a-</w:t>
        </w:r>
      </w:hyperlink>
      <w:hyperlink r:id="rId61">
        <w:r>
          <w:rPr>
            <w:sz w:val="13"/>
          </w:rPr>
          <w:t> </w:t>
        </w:r>
        <w:r>
          <w:rPr>
            <w:spacing w:val="2"/>
            <w:sz w:val="13"/>
          </w:rPr>
          <w:t>part-of-the-Deaf-Community</w:t>
        </w:r>
      </w:hyperlink>
      <w:r>
        <w:rPr>
          <w:spacing w:val="2"/>
          <w:sz w:val="13"/>
        </w:rPr>
        <w:t>&gt;. </w:t>
      </w:r>
      <w:r>
        <w:rPr>
          <w:sz w:val="13"/>
        </w:rPr>
        <w:t>For a discussion of Deaf culture: see Deaf Australia, ‘Deaf Culture’, </w:t>
      </w:r>
      <w:r>
        <w:rPr>
          <w:i/>
          <w:sz w:val="13"/>
        </w:rPr>
        <w:t>Aussie Deaf Kids </w:t>
      </w:r>
      <w:r>
        <w:rPr>
          <w:sz w:val="13"/>
        </w:rPr>
        <w:t>(Web Page, October 2021)</w:t>
      </w:r>
      <w:r>
        <w:rPr>
          <w:spacing w:val="1"/>
          <w:sz w:val="13"/>
        </w:rPr>
        <w:t> </w:t>
      </w:r>
      <w:r>
        <w:rPr>
          <w:sz w:val="13"/>
        </w:rPr>
        <w:t>&lt;</w:t>
      </w:r>
      <w:hyperlink r:id="rId62">
        <w:r>
          <w:rPr>
            <w:sz w:val="13"/>
          </w:rPr>
          <w:t>https://www.aussiedeafkids.org.au/deaf-culture.html</w:t>
        </w:r>
      </w:hyperlink>
      <w:r>
        <w:rPr>
          <w:sz w:val="13"/>
        </w:rPr>
        <w:t>&gt;.</w:t>
      </w:r>
    </w:p>
    <w:p>
      <w:pPr>
        <w:pStyle w:val="ListParagraph"/>
        <w:numPr>
          <w:ilvl w:val="0"/>
          <w:numId w:val="24"/>
        </w:numPr>
        <w:tabs>
          <w:tab w:pos="1761" w:val="left" w:leader="none"/>
          <w:tab w:pos="1762" w:val="left" w:leader="none"/>
        </w:tabs>
        <w:spacing w:line="151" w:lineRule="exact" w:before="0" w:after="0"/>
        <w:ind w:left="1761" w:right="0" w:hanging="794"/>
        <w:jc w:val="left"/>
        <w:rPr>
          <w:sz w:val="13"/>
        </w:rPr>
      </w:pPr>
      <w:r>
        <w:rPr>
          <w:sz w:val="13"/>
        </w:rPr>
        <w:t>From </w:t>
      </w:r>
      <w:r>
        <w:rPr>
          <w:spacing w:val="3"/>
          <w:sz w:val="13"/>
        </w:rPr>
        <w:t>5,306 </w:t>
      </w:r>
      <w:r>
        <w:rPr>
          <w:sz w:val="13"/>
        </w:rPr>
        <w:t>in 2001 to </w:t>
      </w:r>
      <w:r>
        <w:rPr>
          <w:spacing w:val="2"/>
          <w:sz w:val="13"/>
        </w:rPr>
        <w:t>11,682 </w:t>
      </w:r>
      <w:r>
        <w:rPr>
          <w:sz w:val="13"/>
        </w:rPr>
        <w:t>in 2016: see Deaf Australia, ‘Census 2021’ (Media Release, 9 June</w:t>
      </w:r>
      <w:r>
        <w:rPr>
          <w:spacing w:val="10"/>
          <w:sz w:val="13"/>
        </w:rPr>
        <w:t> </w:t>
      </w:r>
      <w:r>
        <w:rPr>
          <w:sz w:val="13"/>
        </w:rPr>
        <w:t>2020).</w:t>
      </w:r>
    </w:p>
    <w:p>
      <w:pPr>
        <w:pStyle w:val="ListParagraph"/>
        <w:numPr>
          <w:ilvl w:val="0"/>
          <w:numId w:val="24"/>
        </w:numPr>
        <w:tabs>
          <w:tab w:pos="1760" w:val="left" w:leader="none"/>
          <w:tab w:pos="1762" w:val="left" w:leader="none"/>
        </w:tabs>
        <w:spacing w:line="213" w:lineRule="auto" w:before="7" w:after="0"/>
        <w:ind w:left="1761" w:right="1628" w:hanging="794"/>
        <w:jc w:val="left"/>
        <w:rPr>
          <w:sz w:val="13"/>
        </w:rPr>
      </w:pPr>
      <w:r>
        <w:rPr/>
        <w:pict>
          <v:shape style="position:absolute;margin-left:549.190979pt;margin-top:11.74609pt;width:12.65pt;height:14.1pt;mso-position-horizontal-relative:page;mso-position-vertical-relative:paragraph;z-index:3088" type="#_x0000_t202" filled="false" stroked="false">
            <v:textbox inset="0,0,0,0">
              <w:txbxContent>
                <w:p>
                  <w:pPr>
                    <w:spacing w:line="282" w:lineRule="exact" w:before="0"/>
                    <w:ind w:left="0" w:right="0" w:firstLine="0"/>
                    <w:jc w:val="left"/>
                    <w:rPr>
                      <w:b/>
                      <w:sz w:val="24"/>
                    </w:rPr>
                  </w:pPr>
                  <w:r>
                    <w:rPr>
                      <w:b/>
                      <w:color w:val="37617A"/>
                      <w:spacing w:val="-4"/>
                      <w:sz w:val="24"/>
                    </w:rPr>
                    <w:t>19</w:t>
                  </w:r>
                </w:p>
              </w:txbxContent>
            </v:textbox>
            <w10:wrap type="none"/>
          </v:shape>
        </w:pict>
      </w:r>
      <w:r>
        <w:rPr>
          <w:spacing w:val="2"/>
          <w:sz w:val="13"/>
        </w:rPr>
        <w:t>‘Disability </w:t>
      </w:r>
      <w:r>
        <w:rPr>
          <w:sz w:val="13"/>
        </w:rPr>
        <w:t>Statistics’, </w:t>
      </w:r>
      <w:r>
        <w:rPr>
          <w:i/>
          <w:sz w:val="13"/>
        </w:rPr>
        <w:t>Australian Network on Disability </w:t>
      </w:r>
      <w:r>
        <w:rPr>
          <w:sz w:val="13"/>
        </w:rPr>
        <w:t>(Web Page, 15 November 2019) &lt;</w:t>
      </w:r>
      <w:hyperlink r:id="rId63">
        <w:r>
          <w:rPr>
            <w:sz w:val="13"/>
          </w:rPr>
          <w:t>https://www.and.org.au/resources/</w:t>
        </w:r>
      </w:hyperlink>
      <w:hyperlink r:id="rId63">
        <w:r>
          <w:rPr>
            <w:sz w:val="13"/>
          </w:rPr>
          <w:t> disability-statistics/</w:t>
        </w:r>
      </w:hyperlink>
      <w:r>
        <w:rPr>
          <w:sz w:val="13"/>
        </w:rPr>
        <w:t>&gt;.</w:t>
      </w:r>
    </w:p>
    <w:p>
      <w:pPr>
        <w:pStyle w:val="ListParagraph"/>
        <w:numPr>
          <w:ilvl w:val="0"/>
          <w:numId w:val="24"/>
        </w:numPr>
        <w:tabs>
          <w:tab w:pos="1761" w:val="left" w:leader="none"/>
          <w:tab w:pos="1762" w:val="left" w:leader="none"/>
        </w:tabs>
        <w:spacing w:line="163" w:lineRule="exact" w:before="0" w:after="0"/>
        <w:ind w:left="1761" w:right="0" w:hanging="794"/>
        <w:jc w:val="left"/>
        <w:rPr>
          <w:sz w:val="13"/>
        </w:rPr>
      </w:pPr>
      <w:r>
        <w:rPr>
          <w:sz w:val="13"/>
        </w:rPr>
        <w:t>This data is due to be released in June 2022: Deaf Australia, ‘Census 2021’ (Media Release, 9 June</w:t>
      </w:r>
      <w:r>
        <w:rPr>
          <w:spacing w:val="22"/>
          <w:sz w:val="13"/>
        </w:rPr>
        <w:t> </w:t>
      </w:r>
      <w:r>
        <w:rPr>
          <w:sz w:val="13"/>
        </w:rPr>
        <w:t>2020).</w:t>
      </w:r>
    </w:p>
    <w:p>
      <w:pPr>
        <w:spacing w:after="0" w:line="163" w:lineRule="exact"/>
        <w:jc w:val="left"/>
        <w:rPr>
          <w:sz w:val="13"/>
        </w:rPr>
        <w:sectPr>
          <w:headerReference w:type="default" r:id="rId57"/>
          <w:pgSz w:w="11910" w:h="16840"/>
          <w:pgMar w:header="0" w:footer="0" w:top="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341" w:hanging="794"/>
        <w:jc w:val="left"/>
        <w:rPr>
          <w:sz w:val="11"/>
        </w:rPr>
      </w:pPr>
      <w:bookmarkStart w:name="Aboriginal people in the subject groups" w:id="54"/>
      <w:bookmarkEnd w:id="54"/>
      <w:r>
        <w:rPr/>
      </w:r>
      <w:bookmarkStart w:name="_bookmark21" w:id="55"/>
      <w:bookmarkEnd w:id="55"/>
      <w:r>
        <w:rPr/>
      </w:r>
      <w:bookmarkStart w:name="_bookmark21" w:id="56"/>
      <w:bookmarkEnd w:id="56"/>
      <w:r>
        <w:rPr>
          <w:sz w:val="20"/>
        </w:rPr>
        <w:t>V</w:t>
      </w:r>
      <w:r>
        <w:rPr>
          <w:sz w:val="20"/>
        </w:rPr>
        <w:t>ictorian</w:t>
      </w:r>
      <w:r>
        <w:rPr>
          <w:spacing w:val="-11"/>
          <w:sz w:val="20"/>
        </w:rPr>
        <w:t> </w:t>
      </w:r>
      <w:r>
        <w:rPr>
          <w:sz w:val="20"/>
        </w:rPr>
        <w:t>data</w:t>
      </w:r>
      <w:r>
        <w:rPr>
          <w:spacing w:val="-10"/>
          <w:sz w:val="20"/>
        </w:rPr>
        <w:t> </w:t>
      </w:r>
      <w:r>
        <w:rPr>
          <w:sz w:val="20"/>
        </w:rPr>
        <w:t>on</w:t>
      </w:r>
      <w:r>
        <w:rPr>
          <w:spacing w:val="-10"/>
          <w:sz w:val="20"/>
        </w:rPr>
        <w:t> </w:t>
      </w:r>
      <w:r>
        <w:rPr>
          <w:sz w:val="20"/>
        </w:rPr>
        <w:t>Auslan</w:t>
      </w:r>
      <w:r>
        <w:rPr>
          <w:spacing w:val="-10"/>
          <w:sz w:val="20"/>
        </w:rPr>
        <w:t> </w:t>
      </w:r>
      <w:r>
        <w:rPr>
          <w:sz w:val="20"/>
        </w:rPr>
        <w:t>use</w:t>
      </w:r>
      <w:r>
        <w:rPr>
          <w:spacing w:val="-10"/>
          <w:sz w:val="20"/>
        </w:rPr>
        <w:t> </w:t>
      </w:r>
      <w:r>
        <w:rPr>
          <w:sz w:val="20"/>
        </w:rPr>
        <w:t>is</w:t>
      </w:r>
      <w:r>
        <w:rPr>
          <w:spacing w:val="-10"/>
          <w:sz w:val="20"/>
        </w:rPr>
        <w:t> </w:t>
      </w:r>
      <w:r>
        <w:rPr>
          <w:sz w:val="20"/>
        </w:rPr>
        <w:t>limited.</w:t>
      </w:r>
      <w:r>
        <w:rPr>
          <w:spacing w:val="-11"/>
          <w:sz w:val="20"/>
        </w:rPr>
        <w:t> </w:t>
      </w:r>
      <w:r>
        <w:rPr>
          <w:sz w:val="20"/>
        </w:rPr>
        <w:t>In</w:t>
      </w:r>
      <w:r>
        <w:rPr>
          <w:spacing w:val="-10"/>
          <w:sz w:val="20"/>
        </w:rPr>
        <w:t> </w:t>
      </w:r>
      <w:r>
        <w:rPr>
          <w:spacing w:val="-3"/>
          <w:sz w:val="20"/>
        </w:rPr>
        <w:t>2016</w:t>
      </w:r>
      <w:r>
        <w:rPr>
          <w:spacing w:val="-10"/>
          <w:sz w:val="20"/>
        </w:rPr>
        <w:t> </w:t>
      </w:r>
      <w:r>
        <w:rPr>
          <w:sz w:val="20"/>
        </w:rPr>
        <w:t>the</w:t>
      </w:r>
      <w:r>
        <w:rPr>
          <w:spacing w:val="-10"/>
          <w:sz w:val="20"/>
        </w:rPr>
        <w:t> </w:t>
      </w:r>
      <w:r>
        <w:rPr>
          <w:sz w:val="20"/>
        </w:rPr>
        <w:t>Victorian</w:t>
      </w:r>
      <w:r>
        <w:rPr>
          <w:spacing w:val="-10"/>
          <w:sz w:val="20"/>
        </w:rPr>
        <w:t> </w:t>
      </w:r>
      <w:r>
        <w:rPr>
          <w:spacing w:val="-2"/>
          <w:sz w:val="20"/>
        </w:rPr>
        <w:t>Government</w:t>
      </w:r>
      <w:r>
        <w:rPr>
          <w:spacing w:val="-10"/>
          <w:sz w:val="20"/>
        </w:rPr>
        <w:t> </w:t>
      </w:r>
      <w:r>
        <w:rPr>
          <w:sz w:val="20"/>
        </w:rPr>
        <w:t>reported</w:t>
      </w:r>
      <w:r>
        <w:rPr>
          <w:spacing w:val="-10"/>
          <w:sz w:val="20"/>
        </w:rPr>
        <w:t> </w:t>
      </w:r>
      <w:r>
        <w:rPr>
          <w:sz w:val="20"/>
        </w:rPr>
        <w:t>that there</w:t>
      </w:r>
      <w:r>
        <w:rPr>
          <w:spacing w:val="-5"/>
          <w:sz w:val="20"/>
        </w:rPr>
        <w:t> </w:t>
      </w:r>
      <w:r>
        <w:rPr>
          <w:spacing w:val="-4"/>
          <w:sz w:val="20"/>
        </w:rPr>
        <w:t>were</w:t>
      </w:r>
      <w:r>
        <w:rPr>
          <w:spacing w:val="-5"/>
          <w:sz w:val="20"/>
        </w:rPr>
        <w:t> 2,874</w:t>
      </w:r>
      <w:r>
        <w:rPr>
          <w:spacing w:val="-4"/>
          <w:sz w:val="20"/>
        </w:rPr>
        <w:t> </w:t>
      </w:r>
      <w:r>
        <w:rPr>
          <w:sz w:val="20"/>
        </w:rPr>
        <w:t>Auslan</w:t>
      </w:r>
      <w:r>
        <w:rPr>
          <w:spacing w:val="-5"/>
          <w:sz w:val="20"/>
        </w:rPr>
        <w:t> </w:t>
      </w:r>
      <w:r>
        <w:rPr>
          <w:sz w:val="20"/>
        </w:rPr>
        <w:t>users</w:t>
      </w:r>
      <w:r>
        <w:rPr>
          <w:spacing w:val="-5"/>
          <w:sz w:val="20"/>
        </w:rPr>
        <w:t> </w:t>
      </w:r>
      <w:r>
        <w:rPr>
          <w:spacing w:val="-3"/>
          <w:sz w:val="20"/>
        </w:rPr>
        <w:t>(up</w:t>
      </w:r>
      <w:r>
        <w:rPr>
          <w:spacing w:val="-4"/>
          <w:sz w:val="20"/>
        </w:rPr>
        <w:t> </w:t>
      </w:r>
      <w:r>
        <w:rPr>
          <w:spacing w:val="-3"/>
          <w:sz w:val="20"/>
        </w:rPr>
        <w:t>by</w:t>
      </w:r>
      <w:r>
        <w:rPr>
          <w:spacing w:val="-5"/>
          <w:sz w:val="20"/>
        </w:rPr>
        <w:t> </w:t>
      </w:r>
      <w:r>
        <w:rPr>
          <w:sz w:val="20"/>
        </w:rPr>
        <w:t>12</w:t>
      </w:r>
      <w:r>
        <w:rPr>
          <w:spacing w:val="-5"/>
          <w:sz w:val="20"/>
        </w:rPr>
        <w:t> </w:t>
      </w:r>
      <w:r>
        <w:rPr>
          <w:sz w:val="20"/>
        </w:rPr>
        <w:t>per</w:t>
      </w:r>
      <w:r>
        <w:rPr>
          <w:spacing w:val="-4"/>
          <w:sz w:val="20"/>
        </w:rPr>
        <w:t> </w:t>
      </w:r>
      <w:r>
        <w:rPr>
          <w:sz w:val="20"/>
        </w:rPr>
        <w:t>cent</w:t>
      </w:r>
      <w:r>
        <w:rPr>
          <w:spacing w:val="-5"/>
          <w:sz w:val="20"/>
        </w:rPr>
        <w:t> </w:t>
      </w:r>
      <w:r>
        <w:rPr>
          <w:spacing w:val="-3"/>
          <w:sz w:val="20"/>
        </w:rPr>
        <w:t>from</w:t>
      </w:r>
      <w:r>
        <w:rPr>
          <w:spacing w:val="-5"/>
          <w:sz w:val="20"/>
        </w:rPr>
        <w:t> </w:t>
      </w:r>
      <w:r>
        <w:rPr>
          <w:sz w:val="20"/>
        </w:rPr>
        <w:t>2,566</w:t>
      </w:r>
      <w:r>
        <w:rPr>
          <w:spacing w:val="-4"/>
          <w:sz w:val="20"/>
        </w:rPr>
        <w:t> </w:t>
      </w:r>
      <w:r>
        <w:rPr>
          <w:sz w:val="20"/>
        </w:rPr>
        <w:t>in</w:t>
      </w:r>
      <w:r>
        <w:rPr>
          <w:spacing w:val="-5"/>
          <w:sz w:val="20"/>
        </w:rPr>
        <w:t> </w:t>
      </w:r>
      <w:r>
        <w:rPr>
          <w:sz w:val="20"/>
        </w:rPr>
        <w:t>2011).</w:t>
      </w:r>
      <w:r>
        <w:rPr>
          <w:position w:val="7"/>
          <w:sz w:val="11"/>
        </w:rPr>
        <w:t>19</w:t>
      </w:r>
    </w:p>
    <w:p>
      <w:pPr>
        <w:spacing w:before="161"/>
        <w:ind w:left="967" w:right="0" w:firstLine="0"/>
        <w:jc w:val="left"/>
        <w:rPr>
          <w:b/>
          <w:sz w:val="24"/>
        </w:rPr>
      </w:pPr>
      <w:r>
        <w:rPr>
          <w:b/>
          <w:sz w:val="24"/>
        </w:rPr>
        <w:t>Deaf Interpreters</w:t>
      </w:r>
    </w:p>
    <w:p>
      <w:pPr>
        <w:pStyle w:val="ListParagraph"/>
        <w:numPr>
          <w:ilvl w:val="1"/>
          <w:numId w:val="12"/>
        </w:numPr>
        <w:tabs>
          <w:tab w:pos="1761" w:val="left" w:leader="none"/>
          <w:tab w:pos="1762" w:val="left" w:leader="none"/>
        </w:tabs>
        <w:spacing w:line="206" w:lineRule="auto" w:before="127" w:after="0"/>
        <w:ind w:left="1761" w:right="1708" w:hanging="794"/>
        <w:jc w:val="left"/>
        <w:rPr>
          <w:sz w:val="20"/>
        </w:rPr>
      </w:pPr>
      <w:r>
        <w:rPr>
          <w:sz w:val="20"/>
        </w:rPr>
        <w:t>Some people who </w:t>
      </w:r>
      <w:r>
        <w:rPr>
          <w:spacing w:val="-3"/>
          <w:sz w:val="20"/>
        </w:rPr>
        <w:t>are </w:t>
      </w:r>
      <w:r>
        <w:rPr>
          <w:sz w:val="20"/>
        </w:rPr>
        <w:t>deaf cannot communicate through the English language or Auslan and cannot </w:t>
      </w:r>
      <w:r>
        <w:rPr>
          <w:spacing w:val="-3"/>
          <w:sz w:val="20"/>
        </w:rPr>
        <w:t>read </w:t>
      </w:r>
      <w:r>
        <w:rPr>
          <w:sz w:val="20"/>
        </w:rPr>
        <w:t>or write in English. They often communicate through </w:t>
      </w:r>
      <w:r>
        <w:rPr>
          <w:spacing w:val="-3"/>
          <w:sz w:val="20"/>
        </w:rPr>
        <w:t>gestures</w:t>
      </w:r>
      <w:r>
        <w:rPr>
          <w:spacing w:val="-8"/>
          <w:sz w:val="20"/>
        </w:rPr>
        <w:t> </w:t>
      </w:r>
      <w:r>
        <w:rPr>
          <w:sz w:val="20"/>
        </w:rPr>
        <w:t>known</w:t>
      </w:r>
      <w:r>
        <w:rPr>
          <w:spacing w:val="-8"/>
          <w:sz w:val="20"/>
        </w:rPr>
        <w:t> </w:t>
      </w:r>
      <w:r>
        <w:rPr>
          <w:sz w:val="20"/>
        </w:rPr>
        <w:t>to</w:t>
      </w:r>
      <w:r>
        <w:rPr>
          <w:spacing w:val="-7"/>
          <w:sz w:val="20"/>
        </w:rPr>
        <w:t> </w:t>
      </w:r>
      <w:r>
        <w:rPr>
          <w:sz w:val="20"/>
        </w:rPr>
        <w:t>their</w:t>
      </w:r>
      <w:r>
        <w:rPr>
          <w:spacing w:val="-8"/>
          <w:sz w:val="20"/>
        </w:rPr>
        <w:t> </w:t>
      </w:r>
      <w:r>
        <w:rPr>
          <w:spacing w:val="-3"/>
          <w:sz w:val="20"/>
        </w:rPr>
        <w:t>close</w:t>
      </w:r>
      <w:r>
        <w:rPr>
          <w:spacing w:val="-7"/>
          <w:sz w:val="20"/>
        </w:rPr>
        <w:t> </w:t>
      </w:r>
      <w:r>
        <w:rPr>
          <w:spacing w:val="-3"/>
          <w:sz w:val="20"/>
        </w:rPr>
        <w:t>family</w:t>
      </w:r>
      <w:r>
        <w:rPr>
          <w:spacing w:val="-8"/>
          <w:sz w:val="20"/>
        </w:rPr>
        <w:t> </w:t>
      </w:r>
      <w:r>
        <w:rPr>
          <w:sz w:val="20"/>
        </w:rPr>
        <w:t>or</w:t>
      </w:r>
      <w:r>
        <w:rPr>
          <w:spacing w:val="-7"/>
          <w:sz w:val="20"/>
        </w:rPr>
        <w:t> </w:t>
      </w:r>
      <w:r>
        <w:rPr>
          <w:sz w:val="20"/>
        </w:rPr>
        <w:t>household</w:t>
      </w:r>
      <w:r>
        <w:rPr>
          <w:spacing w:val="-8"/>
          <w:sz w:val="20"/>
        </w:rPr>
        <w:t> </w:t>
      </w:r>
      <w:r>
        <w:rPr>
          <w:sz w:val="20"/>
        </w:rPr>
        <w:t>and</w:t>
      </w:r>
      <w:r>
        <w:rPr>
          <w:spacing w:val="-7"/>
          <w:sz w:val="20"/>
        </w:rPr>
        <w:t> </w:t>
      </w:r>
      <w:r>
        <w:rPr>
          <w:spacing w:val="-3"/>
          <w:sz w:val="20"/>
        </w:rPr>
        <w:t>require</w:t>
      </w:r>
      <w:r>
        <w:rPr>
          <w:spacing w:val="-8"/>
          <w:sz w:val="20"/>
        </w:rPr>
        <w:t> </w:t>
      </w:r>
      <w:r>
        <w:rPr>
          <w:sz w:val="20"/>
        </w:rPr>
        <w:t>these</w:t>
      </w:r>
      <w:r>
        <w:rPr>
          <w:spacing w:val="-7"/>
          <w:sz w:val="20"/>
        </w:rPr>
        <w:t> </w:t>
      </w:r>
      <w:r>
        <w:rPr>
          <w:sz w:val="20"/>
        </w:rPr>
        <w:t>people</w:t>
      </w:r>
      <w:r>
        <w:rPr>
          <w:spacing w:val="-8"/>
          <w:sz w:val="20"/>
        </w:rPr>
        <w:t> </w:t>
      </w:r>
      <w:r>
        <w:rPr>
          <w:sz w:val="20"/>
        </w:rPr>
        <w:t>to</w:t>
      </w:r>
      <w:r>
        <w:rPr>
          <w:spacing w:val="-7"/>
          <w:sz w:val="20"/>
        </w:rPr>
        <w:t> </w:t>
      </w:r>
      <w:r>
        <w:rPr>
          <w:sz w:val="20"/>
        </w:rPr>
        <w:t>act as</w:t>
      </w:r>
      <w:r>
        <w:rPr>
          <w:spacing w:val="-10"/>
          <w:sz w:val="20"/>
        </w:rPr>
        <w:t> </w:t>
      </w:r>
      <w:r>
        <w:rPr>
          <w:sz w:val="20"/>
        </w:rPr>
        <w:t>intermediaries</w:t>
      </w:r>
      <w:r>
        <w:rPr>
          <w:spacing w:val="-10"/>
          <w:sz w:val="20"/>
        </w:rPr>
        <w:t> </w:t>
      </w:r>
      <w:r>
        <w:rPr>
          <w:sz w:val="20"/>
        </w:rPr>
        <w:t>to</w:t>
      </w:r>
      <w:r>
        <w:rPr>
          <w:spacing w:val="-10"/>
          <w:sz w:val="20"/>
        </w:rPr>
        <w:t> </w:t>
      </w:r>
      <w:r>
        <w:rPr>
          <w:sz w:val="20"/>
        </w:rPr>
        <w:t>communicate</w:t>
      </w:r>
      <w:r>
        <w:rPr>
          <w:spacing w:val="-10"/>
          <w:sz w:val="20"/>
        </w:rPr>
        <w:t> </w:t>
      </w:r>
      <w:r>
        <w:rPr>
          <w:sz w:val="20"/>
        </w:rPr>
        <w:t>with</w:t>
      </w:r>
      <w:r>
        <w:rPr>
          <w:spacing w:val="-10"/>
          <w:sz w:val="20"/>
        </w:rPr>
        <w:t> </w:t>
      </w:r>
      <w:r>
        <w:rPr>
          <w:sz w:val="20"/>
        </w:rPr>
        <w:t>others.</w:t>
      </w:r>
      <w:r>
        <w:rPr>
          <w:position w:val="7"/>
          <w:sz w:val="11"/>
        </w:rPr>
        <w:t>20</w:t>
      </w:r>
      <w:r>
        <w:rPr>
          <w:spacing w:val="14"/>
          <w:position w:val="7"/>
          <w:sz w:val="11"/>
        </w:rPr>
        <w:t> </w:t>
      </w:r>
      <w:r>
        <w:rPr>
          <w:sz w:val="20"/>
        </w:rPr>
        <w:t>Deaf</w:t>
      </w:r>
      <w:r>
        <w:rPr>
          <w:spacing w:val="-9"/>
          <w:sz w:val="20"/>
        </w:rPr>
        <w:t> </w:t>
      </w:r>
      <w:r>
        <w:rPr>
          <w:spacing w:val="-3"/>
          <w:sz w:val="20"/>
        </w:rPr>
        <w:t>Interpreters</w:t>
      </w:r>
      <w:r>
        <w:rPr>
          <w:spacing w:val="-10"/>
          <w:sz w:val="20"/>
        </w:rPr>
        <w:t> </w:t>
      </w:r>
      <w:r>
        <w:rPr>
          <w:sz w:val="20"/>
        </w:rPr>
        <w:t>with</w:t>
      </w:r>
      <w:r>
        <w:rPr>
          <w:spacing w:val="-10"/>
          <w:sz w:val="20"/>
        </w:rPr>
        <w:t> </w:t>
      </w:r>
      <w:r>
        <w:rPr>
          <w:sz w:val="20"/>
        </w:rPr>
        <w:t>specialised</w:t>
      </w:r>
    </w:p>
    <w:p>
      <w:pPr>
        <w:pStyle w:val="BodyText"/>
        <w:spacing w:line="206" w:lineRule="auto" w:before="5"/>
        <w:ind w:left="1761" w:right="1560"/>
        <w:rPr>
          <w:sz w:val="11"/>
        </w:rPr>
      </w:pPr>
      <w:r>
        <w:rPr/>
        <w:t>communication skills sometimes </w:t>
      </w:r>
      <w:r>
        <w:rPr>
          <w:spacing w:val="-3"/>
        </w:rPr>
        <w:t>work </w:t>
      </w:r>
      <w:r>
        <w:rPr/>
        <w:t>together with Auslan-English </w:t>
      </w:r>
      <w:r>
        <w:rPr>
          <w:spacing w:val="-3"/>
        </w:rPr>
        <w:t>interpreters </w:t>
      </w:r>
      <w:r>
        <w:rPr/>
        <w:t>to bridge gaps in information. This enables people without English or Auslan skills to communicate with others when needed.</w:t>
      </w:r>
      <w:r>
        <w:rPr>
          <w:position w:val="7"/>
          <w:sz w:val="11"/>
        </w:rPr>
        <w:t>21</w:t>
      </w:r>
    </w:p>
    <w:p>
      <w:pPr>
        <w:pStyle w:val="ListParagraph"/>
        <w:numPr>
          <w:ilvl w:val="1"/>
          <w:numId w:val="12"/>
        </w:numPr>
        <w:tabs>
          <w:tab w:pos="1761" w:val="left" w:leader="none"/>
          <w:tab w:pos="1762" w:val="left" w:leader="none"/>
        </w:tabs>
        <w:spacing w:line="206" w:lineRule="auto" w:before="124" w:after="0"/>
        <w:ind w:left="1761" w:right="1854" w:hanging="794"/>
        <w:jc w:val="left"/>
        <w:rPr>
          <w:sz w:val="11"/>
        </w:rPr>
      </w:pPr>
      <w:r>
        <w:rPr>
          <w:sz w:val="20"/>
        </w:rPr>
        <w:t>If</w:t>
      </w:r>
      <w:r>
        <w:rPr>
          <w:spacing w:val="-11"/>
          <w:sz w:val="20"/>
        </w:rPr>
        <w:t> </w:t>
      </w:r>
      <w:r>
        <w:rPr>
          <w:sz w:val="20"/>
        </w:rPr>
        <w:t>a</w:t>
      </w:r>
      <w:r>
        <w:rPr>
          <w:spacing w:val="-11"/>
          <w:sz w:val="20"/>
        </w:rPr>
        <w:t> </w:t>
      </w:r>
      <w:r>
        <w:rPr>
          <w:sz w:val="20"/>
        </w:rPr>
        <w:t>person</w:t>
      </w:r>
      <w:r>
        <w:rPr>
          <w:spacing w:val="-11"/>
          <w:sz w:val="20"/>
        </w:rPr>
        <w:t> </w:t>
      </w:r>
      <w:r>
        <w:rPr>
          <w:sz w:val="20"/>
        </w:rPr>
        <w:t>cannot</w:t>
      </w:r>
      <w:r>
        <w:rPr>
          <w:spacing w:val="-11"/>
          <w:sz w:val="20"/>
        </w:rPr>
        <w:t> </w:t>
      </w:r>
      <w:r>
        <w:rPr>
          <w:sz w:val="20"/>
        </w:rPr>
        <w:t>communicate</w:t>
      </w:r>
      <w:r>
        <w:rPr>
          <w:spacing w:val="-11"/>
          <w:sz w:val="20"/>
        </w:rPr>
        <w:t> </w:t>
      </w:r>
      <w:r>
        <w:rPr>
          <w:sz w:val="20"/>
        </w:rPr>
        <w:t>in</w:t>
      </w:r>
      <w:r>
        <w:rPr>
          <w:spacing w:val="-11"/>
          <w:sz w:val="20"/>
        </w:rPr>
        <w:t> </w:t>
      </w:r>
      <w:r>
        <w:rPr>
          <w:sz w:val="20"/>
        </w:rPr>
        <w:t>or</w:t>
      </w:r>
      <w:r>
        <w:rPr>
          <w:spacing w:val="-10"/>
          <w:sz w:val="20"/>
        </w:rPr>
        <w:t> </w:t>
      </w:r>
      <w:r>
        <w:rPr>
          <w:sz w:val="20"/>
        </w:rPr>
        <w:t>understand</w:t>
      </w:r>
      <w:r>
        <w:rPr>
          <w:spacing w:val="-11"/>
          <w:sz w:val="20"/>
        </w:rPr>
        <w:t> </w:t>
      </w:r>
      <w:r>
        <w:rPr>
          <w:sz w:val="20"/>
        </w:rPr>
        <w:t>the</w:t>
      </w:r>
      <w:r>
        <w:rPr>
          <w:spacing w:val="-11"/>
          <w:sz w:val="20"/>
        </w:rPr>
        <w:t> </w:t>
      </w:r>
      <w:r>
        <w:rPr>
          <w:sz w:val="20"/>
        </w:rPr>
        <w:t>English</w:t>
      </w:r>
      <w:r>
        <w:rPr>
          <w:spacing w:val="-11"/>
          <w:sz w:val="20"/>
        </w:rPr>
        <w:t> </w:t>
      </w:r>
      <w:r>
        <w:rPr>
          <w:sz w:val="20"/>
        </w:rPr>
        <w:t>language,</w:t>
      </w:r>
      <w:r>
        <w:rPr>
          <w:spacing w:val="-11"/>
          <w:sz w:val="20"/>
        </w:rPr>
        <w:t> </w:t>
      </w:r>
      <w:r>
        <w:rPr>
          <w:sz w:val="20"/>
        </w:rPr>
        <w:t>they</w:t>
      </w:r>
      <w:r>
        <w:rPr>
          <w:spacing w:val="-11"/>
          <w:sz w:val="20"/>
        </w:rPr>
        <w:t> </w:t>
      </w:r>
      <w:r>
        <w:rPr>
          <w:spacing w:val="-3"/>
          <w:sz w:val="20"/>
        </w:rPr>
        <w:t>are </w:t>
      </w:r>
      <w:r>
        <w:rPr>
          <w:sz w:val="20"/>
        </w:rPr>
        <w:t>ineligible</w:t>
      </w:r>
      <w:r>
        <w:rPr>
          <w:spacing w:val="-7"/>
          <w:sz w:val="20"/>
        </w:rPr>
        <w:t> </w:t>
      </w:r>
      <w:r>
        <w:rPr>
          <w:sz w:val="20"/>
        </w:rPr>
        <w:t>to</w:t>
      </w:r>
      <w:r>
        <w:rPr>
          <w:spacing w:val="-7"/>
          <w:sz w:val="20"/>
        </w:rPr>
        <w:t> </w:t>
      </w:r>
      <w:r>
        <w:rPr>
          <w:sz w:val="20"/>
        </w:rPr>
        <w:t>serve</w:t>
      </w:r>
      <w:r>
        <w:rPr>
          <w:spacing w:val="-6"/>
          <w:sz w:val="20"/>
        </w:rPr>
        <w:t> </w:t>
      </w:r>
      <w:r>
        <w:rPr>
          <w:sz w:val="20"/>
        </w:rPr>
        <w:t>on</w:t>
      </w:r>
      <w:r>
        <w:rPr>
          <w:spacing w:val="-7"/>
          <w:sz w:val="20"/>
        </w:rPr>
        <w:t> </w:t>
      </w:r>
      <w:r>
        <w:rPr>
          <w:sz w:val="20"/>
        </w:rPr>
        <w:t>a</w:t>
      </w:r>
      <w:r>
        <w:rPr>
          <w:spacing w:val="-6"/>
          <w:sz w:val="20"/>
        </w:rPr>
        <w:t> </w:t>
      </w:r>
      <w:r>
        <w:rPr>
          <w:sz w:val="20"/>
        </w:rPr>
        <w:t>Victorian</w:t>
      </w:r>
      <w:r>
        <w:rPr>
          <w:spacing w:val="-7"/>
          <w:sz w:val="20"/>
        </w:rPr>
        <w:t> </w:t>
      </w:r>
      <w:r>
        <w:rPr>
          <w:sz w:val="20"/>
        </w:rPr>
        <w:t>jury.</w:t>
      </w:r>
      <w:r>
        <w:rPr>
          <w:spacing w:val="-6"/>
          <w:sz w:val="20"/>
        </w:rPr>
        <w:t> </w:t>
      </w:r>
      <w:r>
        <w:rPr>
          <w:sz w:val="20"/>
        </w:rPr>
        <w:t>This</w:t>
      </w:r>
      <w:r>
        <w:rPr>
          <w:spacing w:val="-7"/>
          <w:sz w:val="20"/>
        </w:rPr>
        <w:t> </w:t>
      </w:r>
      <w:r>
        <w:rPr>
          <w:sz w:val="20"/>
        </w:rPr>
        <w:t>rule</w:t>
      </w:r>
      <w:r>
        <w:rPr>
          <w:spacing w:val="-6"/>
          <w:sz w:val="20"/>
        </w:rPr>
        <w:t> </w:t>
      </w:r>
      <w:r>
        <w:rPr>
          <w:sz w:val="20"/>
        </w:rPr>
        <w:t>applies</w:t>
      </w:r>
      <w:r>
        <w:rPr>
          <w:spacing w:val="-7"/>
          <w:sz w:val="20"/>
        </w:rPr>
        <w:t> </w:t>
      </w:r>
      <w:r>
        <w:rPr>
          <w:sz w:val="20"/>
        </w:rPr>
        <w:t>to</w:t>
      </w:r>
      <w:r>
        <w:rPr>
          <w:spacing w:val="-6"/>
          <w:sz w:val="20"/>
        </w:rPr>
        <w:t> </w:t>
      </w:r>
      <w:r>
        <w:rPr>
          <w:sz w:val="20"/>
        </w:rPr>
        <w:t>everyone.</w:t>
      </w:r>
      <w:r>
        <w:rPr>
          <w:position w:val="7"/>
          <w:sz w:val="11"/>
        </w:rPr>
        <w:t>22</w:t>
      </w:r>
    </w:p>
    <w:p>
      <w:pPr>
        <w:pStyle w:val="BodyText"/>
        <w:spacing w:before="6"/>
        <w:rPr>
          <w:sz w:val="16"/>
        </w:rPr>
      </w:pPr>
    </w:p>
    <w:p>
      <w:pPr>
        <w:spacing w:before="0"/>
        <w:ind w:left="967" w:right="0" w:firstLine="0"/>
        <w:jc w:val="left"/>
        <w:rPr>
          <w:rFonts w:ascii="Raleway ExtraBold"/>
          <w:b/>
          <w:sz w:val="28"/>
        </w:rPr>
      </w:pPr>
      <w:r>
        <w:rPr>
          <w:rFonts w:ascii="Raleway ExtraBold"/>
          <w:b/>
          <w:color w:val="37617A"/>
          <w:sz w:val="28"/>
        </w:rPr>
        <w:t>Aboriginal people in the subject groups</w:t>
      </w:r>
    </w:p>
    <w:p>
      <w:pPr>
        <w:pStyle w:val="ListParagraph"/>
        <w:numPr>
          <w:ilvl w:val="1"/>
          <w:numId w:val="12"/>
        </w:numPr>
        <w:tabs>
          <w:tab w:pos="1761" w:val="left" w:leader="none"/>
          <w:tab w:pos="1762" w:val="left" w:leader="none"/>
        </w:tabs>
        <w:spacing w:line="206" w:lineRule="auto" w:before="146" w:after="0"/>
        <w:ind w:left="1761" w:right="1213" w:hanging="794"/>
        <w:jc w:val="left"/>
        <w:rPr>
          <w:sz w:val="11"/>
        </w:rPr>
      </w:pPr>
      <w:r>
        <w:rPr>
          <w:spacing w:val="-3"/>
          <w:sz w:val="20"/>
        </w:rPr>
        <w:t>According </w:t>
      </w:r>
      <w:r>
        <w:rPr>
          <w:sz w:val="20"/>
        </w:rPr>
        <w:t>to </w:t>
      </w:r>
      <w:r>
        <w:rPr>
          <w:spacing w:val="-3"/>
          <w:sz w:val="20"/>
        </w:rPr>
        <w:t>2016 </w:t>
      </w:r>
      <w:r>
        <w:rPr>
          <w:sz w:val="20"/>
        </w:rPr>
        <w:t>Census data, </w:t>
      </w:r>
      <w:r>
        <w:rPr>
          <w:spacing w:val="-3"/>
          <w:sz w:val="20"/>
        </w:rPr>
        <w:t>approximately </w:t>
      </w:r>
      <w:r>
        <w:rPr>
          <w:sz w:val="20"/>
        </w:rPr>
        <w:t>0.8 per cent of the Victorian population identifies</w:t>
      </w:r>
      <w:r>
        <w:rPr>
          <w:spacing w:val="-11"/>
          <w:sz w:val="20"/>
        </w:rPr>
        <w:t> </w:t>
      </w:r>
      <w:r>
        <w:rPr>
          <w:sz w:val="20"/>
        </w:rPr>
        <w:t>as</w:t>
      </w:r>
      <w:r>
        <w:rPr>
          <w:spacing w:val="-10"/>
          <w:sz w:val="20"/>
        </w:rPr>
        <w:t> </w:t>
      </w:r>
      <w:r>
        <w:rPr>
          <w:sz w:val="20"/>
        </w:rPr>
        <w:t>Aboriginal</w:t>
      </w:r>
      <w:r>
        <w:rPr>
          <w:spacing w:val="-11"/>
          <w:sz w:val="20"/>
        </w:rPr>
        <w:t> </w:t>
      </w:r>
      <w:r>
        <w:rPr>
          <w:sz w:val="20"/>
        </w:rPr>
        <w:t>or</w:t>
      </w:r>
      <w:r>
        <w:rPr>
          <w:spacing w:val="-10"/>
          <w:sz w:val="20"/>
        </w:rPr>
        <w:t> </w:t>
      </w:r>
      <w:r>
        <w:rPr>
          <w:spacing w:val="-5"/>
          <w:sz w:val="20"/>
        </w:rPr>
        <w:t>Torres</w:t>
      </w:r>
      <w:r>
        <w:rPr>
          <w:spacing w:val="-10"/>
          <w:sz w:val="20"/>
        </w:rPr>
        <w:t> </w:t>
      </w:r>
      <w:r>
        <w:rPr>
          <w:sz w:val="20"/>
        </w:rPr>
        <w:t>Strait</w:t>
      </w:r>
      <w:r>
        <w:rPr>
          <w:spacing w:val="-11"/>
          <w:sz w:val="20"/>
        </w:rPr>
        <w:t> </w:t>
      </w:r>
      <w:r>
        <w:rPr>
          <w:sz w:val="20"/>
        </w:rPr>
        <w:t>Islander</w:t>
      </w:r>
      <w:r>
        <w:rPr>
          <w:spacing w:val="-10"/>
          <w:sz w:val="20"/>
        </w:rPr>
        <w:t> </w:t>
      </w:r>
      <w:r>
        <w:rPr>
          <w:sz w:val="20"/>
        </w:rPr>
        <w:t>(1.6</w:t>
      </w:r>
      <w:r>
        <w:rPr>
          <w:spacing w:val="-10"/>
          <w:sz w:val="20"/>
        </w:rPr>
        <w:t> </w:t>
      </w:r>
      <w:r>
        <w:rPr>
          <w:sz w:val="20"/>
        </w:rPr>
        <w:t>per</w:t>
      </w:r>
      <w:r>
        <w:rPr>
          <w:spacing w:val="-11"/>
          <w:sz w:val="20"/>
        </w:rPr>
        <w:t> </w:t>
      </w:r>
      <w:r>
        <w:rPr>
          <w:sz w:val="20"/>
        </w:rPr>
        <w:t>cent</w:t>
      </w:r>
      <w:r>
        <w:rPr>
          <w:spacing w:val="-10"/>
          <w:sz w:val="20"/>
        </w:rPr>
        <w:t> </w:t>
      </w:r>
      <w:r>
        <w:rPr>
          <w:sz w:val="20"/>
        </w:rPr>
        <w:t>of</w:t>
      </w:r>
      <w:r>
        <w:rPr>
          <w:spacing w:val="-10"/>
          <w:sz w:val="20"/>
        </w:rPr>
        <w:t> </w:t>
      </w:r>
      <w:r>
        <w:rPr>
          <w:sz w:val="20"/>
        </w:rPr>
        <w:t>the</w:t>
      </w:r>
      <w:r>
        <w:rPr>
          <w:spacing w:val="-11"/>
          <w:sz w:val="20"/>
        </w:rPr>
        <w:t> </w:t>
      </w:r>
      <w:r>
        <w:rPr>
          <w:sz w:val="20"/>
        </w:rPr>
        <w:t>population</w:t>
      </w:r>
      <w:r>
        <w:rPr>
          <w:spacing w:val="-10"/>
          <w:sz w:val="20"/>
        </w:rPr>
        <w:t> </w:t>
      </w:r>
      <w:r>
        <w:rPr>
          <w:sz w:val="20"/>
        </w:rPr>
        <w:t>of</w:t>
      </w:r>
      <w:r>
        <w:rPr>
          <w:spacing w:val="-10"/>
          <w:sz w:val="20"/>
        </w:rPr>
        <w:t> </w:t>
      </w:r>
      <w:r>
        <w:rPr>
          <w:sz w:val="20"/>
        </w:rPr>
        <w:t>Victoria </w:t>
      </w:r>
      <w:r>
        <w:rPr>
          <w:spacing w:val="-3"/>
          <w:sz w:val="20"/>
        </w:rPr>
        <w:t>excluding</w:t>
      </w:r>
      <w:r>
        <w:rPr>
          <w:spacing w:val="-6"/>
          <w:sz w:val="20"/>
        </w:rPr>
        <w:t> </w:t>
      </w:r>
      <w:r>
        <w:rPr>
          <w:sz w:val="20"/>
        </w:rPr>
        <w:t>Melbourne,</w:t>
      </w:r>
      <w:r>
        <w:rPr>
          <w:spacing w:val="-5"/>
          <w:sz w:val="20"/>
        </w:rPr>
        <w:t> </w:t>
      </w:r>
      <w:r>
        <w:rPr>
          <w:sz w:val="20"/>
        </w:rPr>
        <w:t>and</w:t>
      </w:r>
      <w:r>
        <w:rPr>
          <w:spacing w:val="-6"/>
          <w:sz w:val="20"/>
        </w:rPr>
        <w:t> </w:t>
      </w:r>
      <w:r>
        <w:rPr>
          <w:sz w:val="20"/>
        </w:rPr>
        <w:t>0.5</w:t>
      </w:r>
      <w:r>
        <w:rPr>
          <w:spacing w:val="-5"/>
          <w:sz w:val="20"/>
        </w:rPr>
        <w:t> </w:t>
      </w:r>
      <w:r>
        <w:rPr>
          <w:sz w:val="20"/>
        </w:rPr>
        <w:t>per</w:t>
      </w:r>
      <w:r>
        <w:rPr>
          <w:spacing w:val="-6"/>
          <w:sz w:val="20"/>
        </w:rPr>
        <w:t> </w:t>
      </w:r>
      <w:r>
        <w:rPr>
          <w:sz w:val="20"/>
        </w:rPr>
        <w:t>cent</w:t>
      </w:r>
      <w:r>
        <w:rPr>
          <w:spacing w:val="-5"/>
          <w:sz w:val="20"/>
        </w:rPr>
        <w:t> </w:t>
      </w:r>
      <w:r>
        <w:rPr>
          <w:sz w:val="20"/>
        </w:rPr>
        <w:t>of</w:t>
      </w:r>
      <w:r>
        <w:rPr>
          <w:spacing w:val="-5"/>
          <w:sz w:val="20"/>
        </w:rPr>
        <w:t> </w:t>
      </w:r>
      <w:r>
        <w:rPr>
          <w:sz w:val="20"/>
        </w:rPr>
        <w:t>the</w:t>
      </w:r>
      <w:r>
        <w:rPr>
          <w:spacing w:val="-6"/>
          <w:sz w:val="20"/>
        </w:rPr>
        <w:t> </w:t>
      </w:r>
      <w:r>
        <w:rPr>
          <w:sz w:val="20"/>
        </w:rPr>
        <w:t>population</w:t>
      </w:r>
      <w:r>
        <w:rPr>
          <w:spacing w:val="-5"/>
          <w:sz w:val="20"/>
        </w:rPr>
        <w:t> </w:t>
      </w:r>
      <w:r>
        <w:rPr>
          <w:sz w:val="20"/>
        </w:rPr>
        <w:t>of</w:t>
      </w:r>
      <w:r>
        <w:rPr>
          <w:spacing w:val="-6"/>
          <w:sz w:val="20"/>
        </w:rPr>
        <w:t> </w:t>
      </w:r>
      <w:r>
        <w:rPr>
          <w:sz w:val="20"/>
        </w:rPr>
        <w:t>Melbourne).</w:t>
      </w:r>
      <w:r>
        <w:rPr>
          <w:position w:val="7"/>
          <w:sz w:val="11"/>
        </w:rPr>
        <w:t>23</w:t>
      </w:r>
    </w:p>
    <w:p>
      <w:pPr>
        <w:pStyle w:val="ListParagraph"/>
        <w:numPr>
          <w:ilvl w:val="1"/>
          <w:numId w:val="12"/>
        </w:numPr>
        <w:tabs>
          <w:tab w:pos="1761" w:val="left" w:leader="none"/>
          <w:tab w:pos="1762" w:val="left" w:leader="none"/>
        </w:tabs>
        <w:spacing w:line="206" w:lineRule="auto" w:before="124" w:after="0"/>
        <w:ind w:left="1761" w:right="1493" w:hanging="794"/>
        <w:jc w:val="left"/>
        <w:rPr>
          <w:sz w:val="11"/>
        </w:rPr>
      </w:pPr>
      <w:r>
        <w:rPr>
          <w:sz w:val="20"/>
        </w:rPr>
        <w:t>Aboriginal</w:t>
      </w:r>
      <w:r>
        <w:rPr>
          <w:spacing w:val="-9"/>
          <w:sz w:val="20"/>
        </w:rPr>
        <w:t> </w:t>
      </w:r>
      <w:r>
        <w:rPr>
          <w:sz w:val="20"/>
        </w:rPr>
        <w:t>people</w:t>
      </w:r>
      <w:r>
        <w:rPr>
          <w:spacing w:val="-9"/>
          <w:sz w:val="20"/>
        </w:rPr>
        <w:t> </w:t>
      </w:r>
      <w:r>
        <w:rPr>
          <w:spacing w:val="-3"/>
          <w:sz w:val="20"/>
        </w:rPr>
        <w:t>are</w:t>
      </w:r>
      <w:r>
        <w:rPr>
          <w:spacing w:val="-9"/>
          <w:sz w:val="20"/>
        </w:rPr>
        <w:t> </w:t>
      </w:r>
      <w:r>
        <w:rPr>
          <w:sz w:val="20"/>
        </w:rPr>
        <w:t>more</w:t>
      </w:r>
      <w:r>
        <w:rPr>
          <w:spacing w:val="-9"/>
          <w:sz w:val="20"/>
        </w:rPr>
        <w:t> </w:t>
      </w:r>
      <w:r>
        <w:rPr>
          <w:spacing w:val="-3"/>
          <w:sz w:val="20"/>
        </w:rPr>
        <w:t>likely</w:t>
      </w:r>
      <w:r>
        <w:rPr>
          <w:spacing w:val="-9"/>
          <w:sz w:val="20"/>
        </w:rPr>
        <w:t> </w:t>
      </w:r>
      <w:r>
        <w:rPr>
          <w:sz w:val="20"/>
        </w:rPr>
        <w:t>to</w:t>
      </w:r>
      <w:r>
        <w:rPr>
          <w:spacing w:val="-8"/>
          <w:sz w:val="20"/>
        </w:rPr>
        <w:t> </w:t>
      </w:r>
      <w:r>
        <w:rPr>
          <w:sz w:val="20"/>
        </w:rPr>
        <w:t>be</w:t>
      </w:r>
      <w:r>
        <w:rPr>
          <w:spacing w:val="-9"/>
          <w:sz w:val="20"/>
        </w:rPr>
        <w:t> </w:t>
      </w:r>
      <w:r>
        <w:rPr>
          <w:spacing w:val="-4"/>
          <w:sz w:val="20"/>
        </w:rPr>
        <w:t>deaf,</w:t>
      </w:r>
      <w:r>
        <w:rPr>
          <w:spacing w:val="-9"/>
          <w:sz w:val="20"/>
        </w:rPr>
        <w:t> </w:t>
      </w:r>
      <w:r>
        <w:rPr>
          <w:sz w:val="20"/>
        </w:rPr>
        <w:t>hard</w:t>
      </w:r>
      <w:r>
        <w:rPr>
          <w:spacing w:val="-9"/>
          <w:sz w:val="20"/>
        </w:rPr>
        <w:t> </w:t>
      </w:r>
      <w:r>
        <w:rPr>
          <w:sz w:val="20"/>
        </w:rPr>
        <w:t>of</w:t>
      </w:r>
      <w:r>
        <w:rPr>
          <w:spacing w:val="-9"/>
          <w:sz w:val="20"/>
        </w:rPr>
        <w:t> </w:t>
      </w:r>
      <w:r>
        <w:rPr>
          <w:sz w:val="20"/>
        </w:rPr>
        <w:t>hearing,</w:t>
      </w:r>
      <w:r>
        <w:rPr>
          <w:spacing w:val="-8"/>
          <w:sz w:val="20"/>
        </w:rPr>
        <w:t> </w:t>
      </w:r>
      <w:r>
        <w:rPr>
          <w:sz w:val="20"/>
        </w:rPr>
        <w:t>blind</w:t>
      </w:r>
      <w:r>
        <w:rPr>
          <w:spacing w:val="-9"/>
          <w:sz w:val="20"/>
        </w:rPr>
        <w:t> </w:t>
      </w:r>
      <w:r>
        <w:rPr>
          <w:sz w:val="20"/>
        </w:rPr>
        <w:t>or</w:t>
      </w:r>
      <w:r>
        <w:rPr>
          <w:spacing w:val="-9"/>
          <w:sz w:val="20"/>
        </w:rPr>
        <w:t> </w:t>
      </w:r>
      <w:r>
        <w:rPr>
          <w:spacing w:val="-4"/>
          <w:sz w:val="20"/>
        </w:rPr>
        <w:t>have</w:t>
      </w:r>
      <w:r>
        <w:rPr>
          <w:spacing w:val="-9"/>
          <w:sz w:val="20"/>
        </w:rPr>
        <w:t> </w:t>
      </w:r>
      <w:r>
        <w:rPr>
          <w:spacing w:val="-4"/>
          <w:sz w:val="20"/>
        </w:rPr>
        <w:t>low</w:t>
      </w:r>
      <w:r>
        <w:rPr>
          <w:spacing w:val="-9"/>
          <w:sz w:val="20"/>
        </w:rPr>
        <w:t> </w:t>
      </w:r>
      <w:r>
        <w:rPr>
          <w:sz w:val="20"/>
        </w:rPr>
        <w:t>vision than other Victorians. In 2018, 24 per cent of Aboriginal people of all ages in </w:t>
      </w:r>
      <w:r>
        <w:rPr>
          <w:spacing w:val="-3"/>
          <w:sz w:val="20"/>
        </w:rPr>
        <w:t>private </w:t>
      </w:r>
      <w:r>
        <w:rPr>
          <w:sz w:val="20"/>
        </w:rPr>
        <w:t>households </w:t>
      </w:r>
      <w:r>
        <w:rPr>
          <w:spacing w:val="-4"/>
          <w:sz w:val="20"/>
        </w:rPr>
        <w:t>were </w:t>
      </w:r>
      <w:r>
        <w:rPr>
          <w:sz w:val="20"/>
        </w:rPr>
        <w:t>living with</w:t>
      </w:r>
      <w:r>
        <w:rPr>
          <w:spacing w:val="-14"/>
          <w:sz w:val="20"/>
        </w:rPr>
        <w:t> </w:t>
      </w:r>
      <w:r>
        <w:rPr>
          <w:sz w:val="20"/>
        </w:rPr>
        <w:t>disability.</w:t>
      </w:r>
      <w:r>
        <w:rPr>
          <w:position w:val="7"/>
          <w:sz w:val="11"/>
        </w:rPr>
        <w:t>24</w:t>
      </w:r>
    </w:p>
    <w:p>
      <w:pPr>
        <w:pStyle w:val="ListParagraph"/>
        <w:numPr>
          <w:ilvl w:val="1"/>
          <w:numId w:val="12"/>
        </w:numPr>
        <w:tabs>
          <w:tab w:pos="1761" w:val="left" w:leader="none"/>
          <w:tab w:pos="1762" w:val="left" w:leader="none"/>
        </w:tabs>
        <w:spacing w:line="206" w:lineRule="auto" w:before="123" w:after="0"/>
        <w:ind w:left="1761" w:right="1588" w:hanging="794"/>
        <w:jc w:val="left"/>
        <w:rPr>
          <w:sz w:val="20"/>
        </w:rPr>
      </w:pPr>
      <w:r>
        <w:rPr>
          <w:sz w:val="20"/>
        </w:rPr>
        <w:t>The </w:t>
      </w:r>
      <w:r>
        <w:rPr>
          <w:spacing w:val="-3"/>
          <w:sz w:val="20"/>
        </w:rPr>
        <w:t>2018–19 </w:t>
      </w:r>
      <w:r>
        <w:rPr>
          <w:sz w:val="20"/>
        </w:rPr>
        <w:t>National Aboriginal and </w:t>
      </w:r>
      <w:r>
        <w:rPr>
          <w:spacing w:val="-5"/>
          <w:sz w:val="20"/>
        </w:rPr>
        <w:t>Torres </w:t>
      </w:r>
      <w:r>
        <w:rPr>
          <w:sz w:val="20"/>
        </w:rPr>
        <w:t>Strait Islander Health Survey included a</w:t>
      </w:r>
      <w:r>
        <w:rPr>
          <w:spacing w:val="-12"/>
          <w:sz w:val="20"/>
        </w:rPr>
        <w:t> </w:t>
      </w:r>
      <w:r>
        <w:rPr>
          <w:sz w:val="20"/>
        </w:rPr>
        <w:t>hearing</w:t>
      </w:r>
      <w:r>
        <w:rPr>
          <w:spacing w:val="-11"/>
          <w:sz w:val="20"/>
        </w:rPr>
        <w:t> </w:t>
      </w:r>
      <w:r>
        <w:rPr>
          <w:sz w:val="20"/>
        </w:rPr>
        <w:t>test,</w:t>
      </w:r>
      <w:r>
        <w:rPr>
          <w:spacing w:val="-12"/>
          <w:sz w:val="20"/>
        </w:rPr>
        <w:t> </w:t>
      </w:r>
      <w:r>
        <w:rPr>
          <w:sz w:val="20"/>
        </w:rPr>
        <w:t>which</w:t>
      </w:r>
      <w:r>
        <w:rPr>
          <w:spacing w:val="-11"/>
          <w:sz w:val="20"/>
        </w:rPr>
        <w:t> </w:t>
      </w:r>
      <w:r>
        <w:rPr>
          <w:sz w:val="20"/>
        </w:rPr>
        <w:t>demonstrated</w:t>
      </w:r>
      <w:r>
        <w:rPr>
          <w:spacing w:val="-12"/>
          <w:sz w:val="20"/>
        </w:rPr>
        <w:t> </w:t>
      </w:r>
      <w:r>
        <w:rPr>
          <w:sz w:val="20"/>
        </w:rPr>
        <w:t>that</w:t>
      </w:r>
      <w:r>
        <w:rPr>
          <w:spacing w:val="-11"/>
          <w:sz w:val="20"/>
        </w:rPr>
        <w:t> </w:t>
      </w:r>
      <w:r>
        <w:rPr>
          <w:spacing w:val="-3"/>
          <w:sz w:val="20"/>
        </w:rPr>
        <w:t>43</w:t>
      </w:r>
      <w:r>
        <w:rPr>
          <w:spacing w:val="-11"/>
          <w:sz w:val="20"/>
        </w:rPr>
        <w:t> </w:t>
      </w:r>
      <w:r>
        <w:rPr>
          <w:sz w:val="20"/>
        </w:rPr>
        <w:t>per</w:t>
      </w:r>
      <w:r>
        <w:rPr>
          <w:spacing w:val="-12"/>
          <w:sz w:val="20"/>
        </w:rPr>
        <w:t> </w:t>
      </w:r>
      <w:r>
        <w:rPr>
          <w:sz w:val="20"/>
        </w:rPr>
        <w:t>cent</w:t>
      </w:r>
      <w:r>
        <w:rPr>
          <w:spacing w:val="-11"/>
          <w:sz w:val="20"/>
        </w:rPr>
        <w:t> </w:t>
      </w:r>
      <w:r>
        <w:rPr>
          <w:sz w:val="20"/>
        </w:rPr>
        <w:t>of</w:t>
      </w:r>
      <w:r>
        <w:rPr>
          <w:spacing w:val="-12"/>
          <w:sz w:val="20"/>
        </w:rPr>
        <w:t> </w:t>
      </w:r>
      <w:r>
        <w:rPr>
          <w:sz w:val="20"/>
        </w:rPr>
        <w:t>Indigenous</w:t>
      </w:r>
      <w:r>
        <w:rPr>
          <w:spacing w:val="-11"/>
          <w:sz w:val="20"/>
        </w:rPr>
        <w:t> </w:t>
      </w:r>
      <w:r>
        <w:rPr>
          <w:sz w:val="20"/>
        </w:rPr>
        <w:t>Australians</w:t>
      </w:r>
      <w:r>
        <w:rPr>
          <w:spacing w:val="-11"/>
          <w:sz w:val="20"/>
        </w:rPr>
        <w:t> </w:t>
      </w:r>
      <w:r>
        <w:rPr>
          <w:sz w:val="20"/>
        </w:rPr>
        <w:t>aged </w:t>
      </w:r>
      <w:r>
        <w:rPr>
          <w:spacing w:val="-3"/>
          <w:sz w:val="20"/>
        </w:rPr>
        <w:t>seven</w:t>
      </w:r>
      <w:r>
        <w:rPr>
          <w:spacing w:val="-10"/>
          <w:sz w:val="20"/>
        </w:rPr>
        <w:t> </w:t>
      </w:r>
      <w:r>
        <w:rPr>
          <w:sz w:val="20"/>
        </w:rPr>
        <w:t>and</w:t>
      </w:r>
      <w:r>
        <w:rPr>
          <w:spacing w:val="-10"/>
          <w:sz w:val="20"/>
        </w:rPr>
        <w:t> </w:t>
      </w:r>
      <w:r>
        <w:rPr>
          <w:spacing w:val="-4"/>
          <w:sz w:val="20"/>
        </w:rPr>
        <w:t>over</w:t>
      </w:r>
      <w:r>
        <w:rPr>
          <w:spacing w:val="-9"/>
          <w:sz w:val="20"/>
        </w:rPr>
        <w:t> </w:t>
      </w:r>
      <w:r>
        <w:rPr>
          <w:sz w:val="20"/>
        </w:rPr>
        <w:t>had</w:t>
      </w:r>
      <w:r>
        <w:rPr>
          <w:spacing w:val="-10"/>
          <w:sz w:val="20"/>
        </w:rPr>
        <w:t> </w:t>
      </w:r>
      <w:r>
        <w:rPr>
          <w:sz w:val="20"/>
        </w:rPr>
        <w:t>measurable</w:t>
      </w:r>
      <w:r>
        <w:rPr>
          <w:spacing w:val="-9"/>
          <w:sz w:val="20"/>
        </w:rPr>
        <w:t> </w:t>
      </w:r>
      <w:r>
        <w:rPr>
          <w:sz w:val="20"/>
        </w:rPr>
        <w:t>hearing</w:t>
      </w:r>
      <w:r>
        <w:rPr>
          <w:spacing w:val="-10"/>
          <w:sz w:val="20"/>
        </w:rPr>
        <w:t> </w:t>
      </w:r>
      <w:r>
        <w:rPr>
          <w:sz w:val="20"/>
        </w:rPr>
        <w:t>loss.</w:t>
      </w:r>
      <w:r>
        <w:rPr>
          <w:position w:val="7"/>
          <w:sz w:val="11"/>
        </w:rPr>
        <w:t>25</w:t>
      </w:r>
      <w:r>
        <w:rPr>
          <w:spacing w:val="15"/>
          <w:position w:val="7"/>
          <w:sz w:val="11"/>
        </w:rPr>
        <w:t> </w:t>
      </w:r>
      <w:r>
        <w:rPr>
          <w:sz w:val="20"/>
        </w:rPr>
        <w:t>Non-Indigenous</w:t>
      </w:r>
      <w:r>
        <w:rPr>
          <w:spacing w:val="-9"/>
          <w:sz w:val="20"/>
        </w:rPr>
        <w:t> </w:t>
      </w:r>
      <w:r>
        <w:rPr>
          <w:sz w:val="20"/>
        </w:rPr>
        <w:t>Australians</w:t>
      </w:r>
      <w:r>
        <w:rPr>
          <w:spacing w:val="-10"/>
          <w:sz w:val="20"/>
        </w:rPr>
        <w:t> </w:t>
      </w:r>
      <w:r>
        <w:rPr>
          <w:sz w:val="20"/>
        </w:rPr>
        <w:t>tend</w:t>
      </w:r>
      <w:r>
        <w:rPr>
          <w:spacing w:val="-9"/>
          <w:sz w:val="20"/>
        </w:rPr>
        <w:t> </w:t>
      </w:r>
      <w:r>
        <w:rPr>
          <w:sz w:val="20"/>
        </w:rPr>
        <w:t>to</w:t>
      </w:r>
    </w:p>
    <w:p>
      <w:pPr>
        <w:pStyle w:val="BodyText"/>
        <w:spacing w:line="206" w:lineRule="auto" w:before="4"/>
        <w:ind w:left="1761" w:right="1310"/>
        <w:jc w:val="both"/>
        <w:rPr>
          <w:sz w:val="11"/>
        </w:rPr>
      </w:pPr>
      <w:r>
        <w:rPr>
          <w:spacing w:val="-3"/>
        </w:rPr>
        <w:t>develop</w:t>
      </w:r>
      <w:r>
        <w:rPr>
          <w:spacing w:val="-12"/>
        </w:rPr>
        <w:t> </w:t>
      </w:r>
      <w:r>
        <w:rPr/>
        <w:t>hearing</w:t>
      </w:r>
      <w:r>
        <w:rPr>
          <w:spacing w:val="-11"/>
        </w:rPr>
        <w:t> </w:t>
      </w:r>
      <w:r>
        <w:rPr/>
        <w:t>loss</w:t>
      </w:r>
      <w:r>
        <w:rPr>
          <w:spacing w:val="-11"/>
        </w:rPr>
        <w:t> </w:t>
      </w:r>
      <w:r>
        <w:rPr/>
        <w:t>with</w:t>
      </w:r>
      <w:r>
        <w:rPr>
          <w:spacing w:val="-11"/>
        </w:rPr>
        <w:t> </w:t>
      </w:r>
      <w:r>
        <w:rPr/>
        <w:t>age,</w:t>
      </w:r>
      <w:r>
        <w:rPr>
          <w:spacing w:val="-11"/>
        </w:rPr>
        <w:t> </w:t>
      </w:r>
      <w:r>
        <w:rPr/>
        <w:t>but</w:t>
      </w:r>
      <w:r>
        <w:rPr>
          <w:spacing w:val="-11"/>
        </w:rPr>
        <w:t> </w:t>
      </w:r>
      <w:r>
        <w:rPr/>
        <w:t>Indigenous</w:t>
      </w:r>
      <w:r>
        <w:rPr>
          <w:spacing w:val="-11"/>
        </w:rPr>
        <w:t> </w:t>
      </w:r>
      <w:r>
        <w:rPr/>
        <w:t>Australians</w:t>
      </w:r>
      <w:r>
        <w:rPr>
          <w:spacing w:val="-11"/>
        </w:rPr>
        <w:t> </w:t>
      </w:r>
      <w:r>
        <w:rPr/>
        <w:t>often</w:t>
      </w:r>
      <w:r>
        <w:rPr>
          <w:spacing w:val="-11"/>
        </w:rPr>
        <w:t> </w:t>
      </w:r>
      <w:r>
        <w:rPr>
          <w:spacing w:val="-3"/>
        </w:rPr>
        <w:t>acquire</w:t>
      </w:r>
      <w:r>
        <w:rPr>
          <w:spacing w:val="-11"/>
        </w:rPr>
        <w:t> </w:t>
      </w:r>
      <w:r>
        <w:rPr/>
        <w:t>hearing</w:t>
      </w:r>
      <w:r>
        <w:rPr>
          <w:spacing w:val="-11"/>
        </w:rPr>
        <w:t> </w:t>
      </w:r>
      <w:r>
        <w:rPr/>
        <w:t>loss</w:t>
      </w:r>
      <w:r>
        <w:rPr>
          <w:spacing w:val="-11"/>
        </w:rPr>
        <w:t> </w:t>
      </w:r>
      <w:r>
        <w:rPr/>
        <w:t>in childhood.</w:t>
      </w:r>
      <w:r>
        <w:rPr>
          <w:position w:val="7"/>
          <w:sz w:val="11"/>
        </w:rPr>
        <w:t>26</w:t>
      </w:r>
      <w:r>
        <w:rPr>
          <w:spacing w:val="5"/>
          <w:position w:val="7"/>
          <w:sz w:val="11"/>
        </w:rPr>
        <w:t> </w:t>
      </w:r>
      <w:r>
        <w:rPr/>
        <w:t>Indigenous</w:t>
      </w:r>
      <w:r>
        <w:rPr>
          <w:spacing w:val="-7"/>
        </w:rPr>
        <w:t> </w:t>
      </w:r>
      <w:r>
        <w:rPr/>
        <w:t>Australians</w:t>
      </w:r>
      <w:r>
        <w:rPr>
          <w:spacing w:val="-8"/>
        </w:rPr>
        <w:t> </w:t>
      </w:r>
      <w:r>
        <w:rPr>
          <w:spacing w:val="-4"/>
        </w:rPr>
        <w:t>over</w:t>
      </w:r>
      <w:r>
        <w:rPr>
          <w:spacing w:val="-8"/>
        </w:rPr>
        <w:t> </w:t>
      </w:r>
      <w:r>
        <w:rPr/>
        <w:t>the</w:t>
      </w:r>
      <w:r>
        <w:rPr>
          <w:spacing w:val="-8"/>
        </w:rPr>
        <w:t> </w:t>
      </w:r>
      <w:r>
        <w:rPr/>
        <w:t>age</w:t>
      </w:r>
      <w:r>
        <w:rPr>
          <w:spacing w:val="-8"/>
        </w:rPr>
        <w:t> </w:t>
      </w:r>
      <w:r>
        <w:rPr/>
        <w:t>of</w:t>
      </w:r>
      <w:r>
        <w:rPr>
          <w:spacing w:val="-8"/>
        </w:rPr>
        <w:t> </w:t>
      </w:r>
      <w:r>
        <w:rPr/>
        <w:t>40</w:t>
      </w:r>
      <w:r>
        <w:rPr>
          <w:spacing w:val="-7"/>
        </w:rPr>
        <w:t> </w:t>
      </w:r>
      <w:r>
        <w:rPr>
          <w:spacing w:val="-4"/>
        </w:rPr>
        <w:t>have</w:t>
      </w:r>
      <w:r>
        <w:rPr>
          <w:spacing w:val="-8"/>
        </w:rPr>
        <w:t> </w:t>
      </w:r>
      <w:r>
        <w:rPr>
          <w:spacing w:val="-2"/>
        </w:rPr>
        <w:t>nearly</w:t>
      </w:r>
      <w:r>
        <w:rPr>
          <w:spacing w:val="-8"/>
        </w:rPr>
        <w:t> </w:t>
      </w:r>
      <w:r>
        <w:rPr/>
        <w:t>three</w:t>
      </w:r>
      <w:r>
        <w:rPr>
          <w:spacing w:val="-8"/>
        </w:rPr>
        <w:t> </w:t>
      </w:r>
      <w:r>
        <w:rPr/>
        <w:t>times</w:t>
      </w:r>
      <w:r>
        <w:rPr>
          <w:spacing w:val="-8"/>
        </w:rPr>
        <w:t> </w:t>
      </w:r>
      <w:r>
        <w:rPr/>
        <w:t>the</w:t>
      </w:r>
      <w:r>
        <w:rPr>
          <w:spacing w:val="-8"/>
        </w:rPr>
        <w:t> </w:t>
      </w:r>
      <w:r>
        <w:rPr>
          <w:spacing w:val="-3"/>
        </w:rPr>
        <w:t>rate </w:t>
      </w:r>
      <w:r>
        <w:rPr/>
        <w:t>of vision loss of other</w:t>
      </w:r>
      <w:r>
        <w:rPr>
          <w:spacing w:val="-22"/>
        </w:rPr>
        <w:t> </w:t>
      </w:r>
      <w:r>
        <w:rPr/>
        <w:t>Australians.</w:t>
      </w:r>
      <w:r>
        <w:rPr>
          <w:position w:val="7"/>
          <w:sz w:val="11"/>
        </w:rPr>
        <w:t>27</w:t>
      </w:r>
    </w:p>
    <w:p>
      <w:pPr>
        <w:pStyle w:val="ListParagraph"/>
        <w:numPr>
          <w:ilvl w:val="1"/>
          <w:numId w:val="12"/>
        </w:numPr>
        <w:tabs>
          <w:tab w:pos="1761" w:val="left" w:leader="none"/>
          <w:tab w:pos="1762" w:val="left" w:leader="none"/>
        </w:tabs>
        <w:spacing w:line="206" w:lineRule="auto" w:before="124" w:after="0"/>
        <w:ind w:left="1761" w:right="1241" w:hanging="794"/>
        <w:jc w:val="left"/>
        <w:rPr>
          <w:sz w:val="11"/>
        </w:rPr>
      </w:pPr>
      <w:r>
        <w:rPr>
          <w:sz w:val="20"/>
        </w:rPr>
        <w:t>Lack of access to and </w:t>
      </w:r>
      <w:r>
        <w:rPr>
          <w:spacing w:val="-4"/>
          <w:sz w:val="20"/>
        </w:rPr>
        <w:t>lower </w:t>
      </w:r>
      <w:r>
        <w:rPr>
          <w:spacing w:val="-2"/>
          <w:sz w:val="20"/>
        </w:rPr>
        <w:t>uptake </w:t>
      </w:r>
      <w:r>
        <w:rPr>
          <w:sz w:val="20"/>
        </w:rPr>
        <w:t>of health services </w:t>
      </w:r>
      <w:r>
        <w:rPr>
          <w:spacing w:val="-3"/>
          <w:sz w:val="20"/>
        </w:rPr>
        <w:t>are </w:t>
      </w:r>
      <w:r>
        <w:rPr>
          <w:spacing w:val="-4"/>
          <w:sz w:val="20"/>
        </w:rPr>
        <w:t>key </w:t>
      </w:r>
      <w:r>
        <w:rPr>
          <w:sz w:val="20"/>
        </w:rPr>
        <w:t>factors that cause this </w:t>
      </w:r>
      <w:r>
        <w:rPr>
          <w:spacing w:val="-3"/>
          <w:sz w:val="20"/>
        </w:rPr>
        <w:t>disparity,</w:t>
      </w:r>
      <w:r>
        <w:rPr>
          <w:spacing w:val="-10"/>
          <w:sz w:val="20"/>
        </w:rPr>
        <w:t> </w:t>
      </w:r>
      <w:r>
        <w:rPr>
          <w:sz w:val="20"/>
        </w:rPr>
        <w:t>according</w:t>
      </w:r>
      <w:r>
        <w:rPr>
          <w:spacing w:val="-10"/>
          <w:sz w:val="20"/>
        </w:rPr>
        <w:t> </w:t>
      </w:r>
      <w:r>
        <w:rPr>
          <w:sz w:val="20"/>
        </w:rPr>
        <w:t>to</w:t>
      </w:r>
      <w:r>
        <w:rPr>
          <w:spacing w:val="-10"/>
          <w:sz w:val="20"/>
        </w:rPr>
        <w:t> </w:t>
      </w:r>
      <w:r>
        <w:rPr>
          <w:sz w:val="20"/>
        </w:rPr>
        <w:t>the</w:t>
      </w:r>
      <w:r>
        <w:rPr>
          <w:spacing w:val="-10"/>
          <w:sz w:val="20"/>
        </w:rPr>
        <w:t> </w:t>
      </w:r>
      <w:r>
        <w:rPr>
          <w:spacing w:val="-3"/>
          <w:sz w:val="20"/>
        </w:rPr>
        <w:t>AIHW.</w:t>
      </w:r>
      <w:r>
        <w:rPr>
          <w:spacing w:val="-3"/>
          <w:position w:val="7"/>
          <w:sz w:val="11"/>
        </w:rPr>
        <w:t>28</w:t>
      </w:r>
      <w:r>
        <w:rPr>
          <w:spacing w:val="15"/>
          <w:position w:val="7"/>
          <w:sz w:val="11"/>
        </w:rPr>
        <w:t> </w:t>
      </w:r>
      <w:r>
        <w:rPr>
          <w:sz w:val="20"/>
        </w:rPr>
        <w:t>The</w:t>
      </w:r>
      <w:r>
        <w:rPr>
          <w:spacing w:val="-10"/>
          <w:sz w:val="20"/>
        </w:rPr>
        <w:t> </w:t>
      </w:r>
      <w:r>
        <w:rPr>
          <w:sz w:val="20"/>
        </w:rPr>
        <w:t>AIHW</w:t>
      </w:r>
      <w:r>
        <w:rPr>
          <w:spacing w:val="-10"/>
          <w:sz w:val="20"/>
        </w:rPr>
        <w:t> </w:t>
      </w:r>
      <w:r>
        <w:rPr>
          <w:sz w:val="20"/>
        </w:rPr>
        <w:t>highlighted</w:t>
      </w:r>
      <w:r>
        <w:rPr>
          <w:spacing w:val="-10"/>
          <w:sz w:val="20"/>
        </w:rPr>
        <w:t> </w:t>
      </w:r>
      <w:r>
        <w:rPr>
          <w:spacing w:val="-4"/>
          <w:sz w:val="20"/>
        </w:rPr>
        <w:t>eye</w:t>
      </w:r>
      <w:r>
        <w:rPr>
          <w:spacing w:val="-9"/>
          <w:sz w:val="20"/>
        </w:rPr>
        <w:t> </w:t>
      </w:r>
      <w:r>
        <w:rPr>
          <w:sz w:val="20"/>
        </w:rPr>
        <w:t>health</w:t>
      </w:r>
      <w:r>
        <w:rPr>
          <w:spacing w:val="-10"/>
          <w:sz w:val="20"/>
        </w:rPr>
        <w:t> </w:t>
      </w:r>
      <w:r>
        <w:rPr>
          <w:sz w:val="20"/>
        </w:rPr>
        <w:t>and</w:t>
      </w:r>
      <w:r>
        <w:rPr>
          <w:spacing w:val="-10"/>
          <w:sz w:val="20"/>
        </w:rPr>
        <w:t> </w:t>
      </w:r>
      <w:r>
        <w:rPr>
          <w:sz w:val="20"/>
        </w:rPr>
        <w:t>hearing</w:t>
      </w:r>
      <w:r>
        <w:rPr>
          <w:spacing w:val="-10"/>
          <w:sz w:val="20"/>
        </w:rPr>
        <w:t> </w:t>
      </w:r>
      <w:r>
        <w:rPr>
          <w:sz w:val="20"/>
        </w:rPr>
        <w:t>health as</w:t>
      </w:r>
      <w:r>
        <w:rPr>
          <w:spacing w:val="-6"/>
          <w:sz w:val="20"/>
        </w:rPr>
        <w:t> </w:t>
      </w:r>
      <w:r>
        <w:rPr>
          <w:spacing w:val="-3"/>
          <w:sz w:val="20"/>
        </w:rPr>
        <w:t>‘key</w:t>
      </w:r>
      <w:r>
        <w:rPr>
          <w:spacing w:val="-5"/>
          <w:sz w:val="20"/>
        </w:rPr>
        <w:t> </w:t>
      </w:r>
      <w:r>
        <w:rPr>
          <w:spacing w:val="-3"/>
          <w:sz w:val="20"/>
        </w:rPr>
        <w:t>challenges’</w:t>
      </w:r>
      <w:r>
        <w:rPr>
          <w:spacing w:val="-5"/>
          <w:sz w:val="20"/>
        </w:rPr>
        <w:t> </w:t>
      </w:r>
      <w:r>
        <w:rPr>
          <w:sz w:val="20"/>
        </w:rPr>
        <w:t>for</w:t>
      </w:r>
      <w:r>
        <w:rPr>
          <w:spacing w:val="-5"/>
          <w:sz w:val="20"/>
        </w:rPr>
        <w:t> </w:t>
      </w:r>
      <w:r>
        <w:rPr>
          <w:sz w:val="20"/>
        </w:rPr>
        <w:t>Aboriginal</w:t>
      </w:r>
      <w:r>
        <w:rPr>
          <w:spacing w:val="-6"/>
          <w:sz w:val="20"/>
        </w:rPr>
        <w:t> </w:t>
      </w:r>
      <w:r>
        <w:rPr>
          <w:sz w:val="20"/>
        </w:rPr>
        <w:t>people</w:t>
      </w:r>
      <w:r>
        <w:rPr>
          <w:spacing w:val="-5"/>
          <w:sz w:val="20"/>
        </w:rPr>
        <w:t> </w:t>
      </w:r>
      <w:r>
        <w:rPr>
          <w:sz w:val="20"/>
        </w:rPr>
        <w:t>in</w:t>
      </w:r>
      <w:r>
        <w:rPr>
          <w:spacing w:val="-5"/>
          <w:sz w:val="20"/>
        </w:rPr>
        <w:t> </w:t>
      </w:r>
      <w:r>
        <w:rPr>
          <w:sz w:val="20"/>
        </w:rPr>
        <w:t>its</w:t>
      </w:r>
      <w:r>
        <w:rPr>
          <w:spacing w:val="-5"/>
          <w:sz w:val="20"/>
        </w:rPr>
        <w:t> </w:t>
      </w:r>
      <w:r>
        <w:rPr>
          <w:spacing w:val="-4"/>
          <w:sz w:val="20"/>
        </w:rPr>
        <w:t>2020</w:t>
      </w:r>
      <w:r>
        <w:rPr>
          <w:spacing w:val="-6"/>
          <w:sz w:val="20"/>
        </w:rPr>
        <w:t> </w:t>
      </w:r>
      <w:r>
        <w:rPr>
          <w:sz w:val="20"/>
        </w:rPr>
        <w:t>report</w:t>
      </w:r>
      <w:r>
        <w:rPr>
          <w:spacing w:val="-5"/>
          <w:sz w:val="20"/>
        </w:rPr>
        <w:t> </w:t>
      </w:r>
      <w:r>
        <w:rPr>
          <w:sz w:val="20"/>
        </w:rPr>
        <w:t>on</w:t>
      </w:r>
      <w:r>
        <w:rPr>
          <w:spacing w:val="-5"/>
          <w:sz w:val="20"/>
        </w:rPr>
        <w:t> </w:t>
      </w:r>
      <w:r>
        <w:rPr>
          <w:sz w:val="20"/>
        </w:rPr>
        <w:t>health</w:t>
      </w:r>
      <w:r>
        <w:rPr>
          <w:spacing w:val="-5"/>
          <w:sz w:val="20"/>
        </w:rPr>
        <w:t> </w:t>
      </w:r>
      <w:r>
        <w:rPr>
          <w:sz w:val="20"/>
        </w:rPr>
        <w:t>in</w:t>
      </w:r>
      <w:r>
        <w:rPr>
          <w:spacing w:val="-6"/>
          <w:sz w:val="20"/>
        </w:rPr>
        <w:t> </w:t>
      </w:r>
      <w:r>
        <w:rPr>
          <w:sz w:val="20"/>
        </w:rPr>
        <w:t>Australia.</w:t>
      </w:r>
      <w:r>
        <w:rPr>
          <w:position w:val="7"/>
          <w:sz w:val="11"/>
        </w:rPr>
        <w:t>29</w:t>
      </w:r>
    </w:p>
    <w:p>
      <w:pPr>
        <w:pStyle w:val="BodyText"/>
      </w:pPr>
    </w:p>
    <w:p>
      <w:pPr>
        <w:pStyle w:val="BodyText"/>
      </w:pPr>
    </w:p>
    <w:p>
      <w:pPr>
        <w:pStyle w:val="BodyText"/>
        <w:spacing w:before="11"/>
        <w:rPr>
          <w:sz w:val="25"/>
        </w:rPr>
      </w:pPr>
      <w:r>
        <w:rPr/>
        <w:pict>
          <v:line style="position:absolute;mso-position-horizontal-relative:page;mso-position-vertical-relative:paragraph;z-index:1064;mso-wrap-distance-left:0;mso-wrap-distance-right:0" from="79.370102pt,20.371599pt" to="515.905102pt,20.371599pt" stroked="true" strokeweight="1pt" strokecolor="#b6bdc8">
            <v:stroke dashstyle="solid"/>
            <w10:wrap type="topAndBottom"/>
          </v:line>
        </w:pict>
      </w:r>
    </w:p>
    <w:p>
      <w:pPr>
        <w:pStyle w:val="ListParagraph"/>
        <w:numPr>
          <w:ilvl w:val="0"/>
          <w:numId w:val="24"/>
        </w:numPr>
        <w:tabs>
          <w:tab w:pos="1760" w:val="left" w:leader="none"/>
          <w:tab w:pos="1762" w:val="left" w:leader="none"/>
        </w:tabs>
        <w:spacing w:line="170" w:lineRule="exact" w:before="91" w:after="0"/>
        <w:ind w:left="1761" w:right="0" w:hanging="794"/>
        <w:jc w:val="left"/>
        <w:rPr>
          <w:sz w:val="13"/>
        </w:rPr>
      </w:pPr>
      <w:r>
        <w:rPr>
          <w:spacing w:val="2"/>
          <w:sz w:val="13"/>
        </w:rPr>
        <w:t>Department </w:t>
      </w:r>
      <w:r>
        <w:rPr>
          <w:sz w:val="13"/>
        </w:rPr>
        <w:t>of Premier and Cabinet (Vic), </w:t>
      </w:r>
      <w:r>
        <w:rPr>
          <w:i/>
          <w:sz w:val="13"/>
        </w:rPr>
        <w:t>Population Diversity in Victoria: 2016 Census </w:t>
      </w:r>
      <w:r>
        <w:rPr>
          <w:spacing w:val="2"/>
          <w:sz w:val="13"/>
        </w:rPr>
        <w:t>(Report, </w:t>
      </w:r>
      <w:r>
        <w:rPr>
          <w:sz w:val="13"/>
        </w:rPr>
        <w:t>30 May 2018)</w:t>
      </w:r>
      <w:r>
        <w:rPr>
          <w:spacing w:val="15"/>
          <w:sz w:val="13"/>
        </w:rPr>
        <w:t> </w:t>
      </w:r>
      <w:r>
        <w:rPr>
          <w:sz w:val="13"/>
        </w:rPr>
        <w:t>19.</w:t>
      </w:r>
    </w:p>
    <w:p>
      <w:pPr>
        <w:pStyle w:val="ListParagraph"/>
        <w:numPr>
          <w:ilvl w:val="0"/>
          <w:numId w:val="24"/>
        </w:numPr>
        <w:tabs>
          <w:tab w:pos="1760" w:val="left" w:leader="none"/>
          <w:tab w:pos="1762" w:val="left" w:leader="none"/>
        </w:tabs>
        <w:spacing w:line="213" w:lineRule="auto" w:before="6" w:after="0"/>
        <w:ind w:left="1761" w:right="1360" w:hanging="794"/>
        <w:jc w:val="left"/>
        <w:rPr>
          <w:sz w:val="13"/>
        </w:rPr>
      </w:pPr>
      <w:r>
        <w:rPr>
          <w:sz w:val="13"/>
        </w:rPr>
        <w:t>See, eg William Hewitt, </w:t>
      </w:r>
      <w:r>
        <w:rPr>
          <w:i/>
          <w:sz w:val="13"/>
        </w:rPr>
        <w:t>Court Interpretation: Model </w:t>
      </w:r>
      <w:r>
        <w:rPr>
          <w:i/>
          <w:spacing w:val="2"/>
          <w:sz w:val="13"/>
        </w:rPr>
        <w:t>Guides </w:t>
      </w:r>
      <w:r>
        <w:rPr>
          <w:i/>
          <w:sz w:val="13"/>
        </w:rPr>
        <w:t>for the Policy and Practice in the State </w:t>
      </w:r>
      <w:r>
        <w:rPr>
          <w:i/>
          <w:spacing w:val="2"/>
          <w:sz w:val="13"/>
        </w:rPr>
        <w:t>Courts </w:t>
      </w:r>
      <w:r>
        <w:rPr>
          <w:spacing w:val="2"/>
          <w:sz w:val="13"/>
        </w:rPr>
        <w:t>(Report </w:t>
      </w:r>
      <w:r>
        <w:rPr>
          <w:sz w:val="13"/>
        </w:rPr>
        <w:t>No 167, National Center for State </w:t>
      </w:r>
      <w:r>
        <w:rPr>
          <w:spacing w:val="2"/>
          <w:sz w:val="13"/>
        </w:rPr>
        <w:t>Courts, 1995) </w:t>
      </w:r>
      <w:r>
        <w:rPr>
          <w:sz w:val="13"/>
        </w:rPr>
        <w:t>161–2. See </w:t>
      </w:r>
      <w:r>
        <w:rPr>
          <w:spacing w:val="2"/>
          <w:sz w:val="13"/>
        </w:rPr>
        <w:t>also </w:t>
      </w:r>
      <w:r>
        <w:rPr>
          <w:sz w:val="13"/>
        </w:rPr>
        <w:t>Office for </w:t>
      </w:r>
      <w:r>
        <w:rPr>
          <w:spacing w:val="2"/>
          <w:sz w:val="13"/>
        </w:rPr>
        <w:t>Disability Issues, ‘Some </w:t>
      </w:r>
      <w:r>
        <w:rPr>
          <w:sz w:val="13"/>
        </w:rPr>
        <w:t>Differences in Deaf People Using Interpreters’, </w:t>
      </w:r>
      <w:r>
        <w:rPr>
          <w:i/>
          <w:sz w:val="13"/>
        </w:rPr>
        <w:t>New Zealand Office for Disability Issues </w:t>
      </w:r>
      <w:r>
        <w:rPr>
          <w:sz w:val="13"/>
        </w:rPr>
        <w:t>(Web Page) &lt;</w:t>
      </w:r>
      <w:hyperlink r:id="rId65">
        <w:r>
          <w:rPr>
            <w:sz w:val="13"/>
          </w:rPr>
          <w:t>https://www.odi.govt.nz/nzsl/tools-and-resources/some-differences-in-</w:t>
        </w:r>
      </w:hyperlink>
      <w:hyperlink r:id="rId65">
        <w:r>
          <w:rPr>
            <w:sz w:val="13"/>
          </w:rPr>
          <w:t> deaf-people-using-interpreters/</w:t>
        </w:r>
      </w:hyperlink>
      <w:r>
        <w:rPr>
          <w:sz w:val="13"/>
        </w:rPr>
        <w:t>&gt;.</w:t>
      </w:r>
    </w:p>
    <w:p>
      <w:pPr>
        <w:pStyle w:val="ListParagraph"/>
        <w:numPr>
          <w:ilvl w:val="0"/>
          <w:numId w:val="24"/>
        </w:numPr>
        <w:tabs>
          <w:tab w:pos="1760" w:val="left" w:leader="none"/>
          <w:tab w:pos="1762" w:val="left" w:leader="none"/>
        </w:tabs>
        <w:spacing w:line="151" w:lineRule="exact" w:before="0" w:after="0"/>
        <w:ind w:left="1761" w:right="0" w:hanging="794"/>
        <w:jc w:val="left"/>
        <w:rPr>
          <w:i/>
          <w:sz w:val="13"/>
        </w:rPr>
      </w:pPr>
      <w:r>
        <w:rPr>
          <w:sz w:val="13"/>
        </w:rPr>
        <w:t>Judicial Council on Cultural Diversity, </w:t>
      </w:r>
      <w:r>
        <w:rPr>
          <w:i/>
          <w:spacing w:val="2"/>
          <w:sz w:val="13"/>
        </w:rPr>
        <w:t>Recommended </w:t>
      </w:r>
      <w:r>
        <w:rPr>
          <w:i/>
          <w:sz w:val="13"/>
        </w:rPr>
        <w:t>National Standards for Working with Interpreters in </w:t>
      </w:r>
      <w:r>
        <w:rPr>
          <w:i/>
          <w:spacing w:val="2"/>
          <w:sz w:val="13"/>
        </w:rPr>
        <w:t>Courts </w:t>
      </w:r>
      <w:r>
        <w:rPr>
          <w:i/>
          <w:sz w:val="13"/>
        </w:rPr>
        <w:t>and</w:t>
      </w:r>
      <w:r>
        <w:rPr>
          <w:i/>
          <w:spacing w:val="19"/>
          <w:sz w:val="13"/>
        </w:rPr>
        <w:t> </w:t>
      </w:r>
      <w:r>
        <w:rPr>
          <w:i/>
          <w:sz w:val="13"/>
        </w:rPr>
        <w:t>Tribunals</w:t>
      </w:r>
    </w:p>
    <w:p>
      <w:pPr>
        <w:spacing w:line="160" w:lineRule="exact" w:before="0"/>
        <w:ind w:left="1761" w:right="0" w:firstLine="0"/>
        <w:jc w:val="left"/>
        <w:rPr>
          <w:sz w:val="13"/>
        </w:rPr>
      </w:pPr>
      <w:r>
        <w:rPr>
          <w:sz w:val="13"/>
        </w:rPr>
        <w:t>(Report, Second Edition, March 2022) 36, 88.</w:t>
      </w:r>
    </w:p>
    <w:p>
      <w:pPr>
        <w:pStyle w:val="ListParagraph"/>
        <w:numPr>
          <w:ilvl w:val="0"/>
          <w:numId w:val="24"/>
        </w:numPr>
        <w:tabs>
          <w:tab w:pos="1761" w:val="left" w:leader="none"/>
          <w:tab w:pos="1762" w:val="left" w:leader="none"/>
        </w:tabs>
        <w:spacing w:line="160" w:lineRule="exact" w:before="0" w:after="0"/>
        <w:ind w:left="1761" w:right="0" w:hanging="794"/>
        <w:jc w:val="left"/>
        <w:rPr>
          <w:sz w:val="13"/>
        </w:rPr>
      </w:pPr>
      <w:r>
        <w:rPr>
          <w:i/>
          <w:sz w:val="13"/>
        </w:rPr>
        <w:t>Juries Act 2000 </w:t>
      </w:r>
      <w:r>
        <w:rPr>
          <w:spacing w:val="2"/>
          <w:sz w:val="13"/>
        </w:rPr>
        <w:t>(Vic) </w:t>
      </w:r>
      <w:r>
        <w:rPr>
          <w:sz w:val="13"/>
        </w:rPr>
        <w:t>sch 2 cl</w:t>
      </w:r>
      <w:r>
        <w:rPr>
          <w:spacing w:val="-1"/>
          <w:sz w:val="13"/>
        </w:rPr>
        <w:t> </w:t>
      </w:r>
      <w:r>
        <w:rPr>
          <w:sz w:val="13"/>
        </w:rPr>
        <w:t>3(f).</w:t>
      </w:r>
    </w:p>
    <w:p>
      <w:pPr>
        <w:pStyle w:val="ListParagraph"/>
        <w:numPr>
          <w:ilvl w:val="0"/>
          <w:numId w:val="24"/>
        </w:numPr>
        <w:tabs>
          <w:tab w:pos="1761" w:val="left" w:leader="none"/>
          <w:tab w:pos="1762" w:val="left" w:leader="none"/>
        </w:tabs>
        <w:spacing w:line="213" w:lineRule="auto" w:before="6" w:after="0"/>
        <w:ind w:left="1761" w:right="1361" w:hanging="794"/>
        <w:jc w:val="left"/>
        <w:rPr>
          <w:sz w:val="13"/>
        </w:rPr>
      </w:pPr>
      <w:r>
        <w:rPr>
          <w:sz w:val="13"/>
        </w:rPr>
        <w:t>Australian Bureau of </w:t>
      </w:r>
      <w:r>
        <w:rPr>
          <w:spacing w:val="2"/>
          <w:sz w:val="13"/>
        </w:rPr>
        <w:t>Statistics, </w:t>
      </w:r>
      <w:r>
        <w:rPr>
          <w:i/>
          <w:sz w:val="13"/>
        </w:rPr>
        <w:t>Census of Population and Housing: Reflecting Australia—Stories from the Census, 2016 </w:t>
      </w:r>
      <w:r>
        <w:rPr>
          <w:sz w:val="13"/>
        </w:rPr>
        <w:t>(Catalogue No 2071.0, 23 May 2019).</w:t>
      </w:r>
    </w:p>
    <w:p>
      <w:pPr>
        <w:pStyle w:val="ListParagraph"/>
        <w:numPr>
          <w:ilvl w:val="0"/>
          <w:numId w:val="24"/>
        </w:numPr>
        <w:tabs>
          <w:tab w:pos="1761" w:val="left" w:leader="none"/>
          <w:tab w:pos="1762" w:val="left" w:leader="none"/>
        </w:tabs>
        <w:spacing w:line="213" w:lineRule="auto" w:before="0" w:after="0"/>
        <w:ind w:left="1761" w:right="1486" w:hanging="794"/>
        <w:jc w:val="left"/>
        <w:rPr>
          <w:sz w:val="13"/>
        </w:rPr>
      </w:pPr>
      <w:r>
        <w:rPr>
          <w:sz w:val="13"/>
        </w:rPr>
        <w:t>Australian Bureau of </w:t>
      </w:r>
      <w:r>
        <w:rPr>
          <w:spacing w:val="2"/>
          <w:sz w:val="13"/>
        </w:rPr>
        <w:t>Statistics, </w:t>
      </w:r>
      <w:r>
        <w:rPr>
          <w:i/>
          <w:sz w:val="13"/>
        </w:rPr>
        <w:t>Disability, Ageing and Carers Australia: </w:t>
      </w:r>
      <w:r>
        <w:rPr>
          <w:i/>
          <w:spacing w:val="2"/>
          <w:sz w:val="13"/>
        </w:rPr>
        <w:t>Summary </w:t>
      </w:r>
      <w:r>
        <w:rPr>
          <w:i/>
          <w:sz w:val="13"/>
        </w:rPr>
        <w:t>of Findings </w:t>
      </w:r>
      <w:r>
        <w:rPr>
          <w:sz w:val="13"/>
        </w:rPr>
        <w:t>(Catalogue No 4430.0, 24 October 2019).</w:t>
      </w:r>
    </w:p>
    <w:p>
      <w:pPr>
        <w:pStyle w:val="ListParagraph"/>
        <w:numPr>
          <w:ilvl w:val="0"/>
          <w:numId w:val="24"/>
        </w:numPr>
        <w:tabs>
          <w:tab w:pos="1761" w:val="left" w:leader="none"/>
          <w:tab w:pos="1762" w:val="left" w:leader="none"/>
        </w:tabs>
        <w:spacing w:line="213" w:lineRule="auto" w:before="0" w:after="0"/>
        <w:ind w:left="1761" w:right="1212" w:hanging="794"/>
        <w:jc w:val="left"/>
        <w:rPr>
          <w:sz w:val="13"/>
        </w:rPr>
      </w:pPr>
      <w:r>
        <w:rPr>
          <w:sz w:val="13"/>
        </w:rPr>
        <w:t>Australian Institute of Health and Welfare, </w:t>
      </w:r>
      <w:r>
        <w:rPr>
          <w:i/>
          <w:sz w:val="13"/>
        </w:rPr>
        <w:t>Australia’s Health 2020: In Brief </w:t>
      </w:r>
      <w:r>
        <w:rPr>
          <w:sz w:val="13"/>
        </w:rPr>
        <w:t>(Australia’s Health </w:t>
      </w:r>
      <w:r>
        <w:rPr>
          <w:spacing w:val="2"/>
          <w:sz w:val="13"/>
        </w:rPr>
        <w:t>Series </w:t>
      </w:r>
      <w:r>
        <w:rPr>
          <w:sz w:val="13"/>
        </w:rPr>
        <w:t>No </w:t>
      </w:r>
      <w:r>
        <w:rPr>
          <w:spacing w:val="-4"/>
          <w:sz w:val="13"/>
        </w:rPr>
        <w:t>17, </w:t>
      </w:r>
      <w:r>
        <w:rPr>
          <w:sz w:val="13"/>
        </w:rPr>
        <w:t>Catalogue No AUS 232, 2020) 62 &lt; </w:t>
      </w:r>
      <w:hyperlink r:id="rId66">
        <w:r>
          <w:rPr>
            <w:sz w:val="13"/>
          </w:rPr>
          <w:t>https://www.aihw.gov.au/reports/australias-health/australias-health-2020-in-brief/summary</w:t>
        </w:r>
      </w:hyperlink>
      <w:r>
        <w:rPr>
          <w:sz w:val="13"/>
        </w:rPr>
        <w:t>&gt;. This survey collected information from </w:t>
      </w:r>
      <w:r>
        <w:rPr>
          <w:spacing w:val="2"/>
          <w:sz w:val="13"/>
        </w:rPr>
        <w:t>Aboriginal </w:t>
      </w:r>
      <w:r>
        <w:rPr>
          <w:sz w:val="13"/>
        </w:rPr>
        <w:t>and Torres Strait </w:t>
      </w:r>
      <w:r>
        <w:rPr>
          <w:spacing w:val="2"/>
          <w:sz w:val="13"/>
        </w:rPr>
        <w:t>Islander </w:t>
      </w:r>
      <w:r>
        <w:rPr>
          <w:sz w:val="13"/>
        </w:rPr>
        <w:t>people of all ages in non-remote and remote areas of Australia, including discrete </w:t>
      </w:r>
      <w:r>
        <w:rPr>
          <w:spacing w:val="2"/>
          <w:sz w:val="13"/>
        </w:rPr>
        <w:t>Indigenous </w:t>
      </w:r>
      <w:r>
        <w:rPr>
          <w:sz w:val="13"/>
        </w:rPr>
        <w:t>communities. The scope of the survey was all Aboriginal and Torres Strait </w:t>
      </w:r>
      <w:r>
        <w:rPr>
          <w:spacing w:val="2"/>
          <w:sz w:val="13"/>
        </w:rPr>
        <w:t>Islander </w:t>
      </w:r>
      <w:r>
        <w:rPr>
          <w:sz w:val="13"/>
        </w:rPr>
        <w:t>people living in private dwellings. Interviewers conducted face-to-face interviews in all selected </w:t>
      </w:r>
      <w:r>
        <w:rPr>
          <w:spacing w:val="2"/>
          <w:sz w:val="13"/>
        </w:rPr>
        <w:t>households. </w:t>
      </w:r>
      <w:r>
        <w:rPr>
          <w:sz w:val="13"/>
        </w:rPr>
        <w:t>An adult was asked to respond on behalf      of children aged less than 15 years. The overall coverage of the 2018–19 National </w:t>
      </w:r>
      <w:r>
        <w:rPr>
          <w:spacing w:val="2"/>
          <w:sz w:val="13"/>
        </w:rPr>
        <w:t>Aboriginal </w:t>
      </w:r>
      <w:r>
        <w:rPr>
          <w:sz w:val="13"/>
        </w:rPr>
        <w:t>and Torres Strait </w:t>
      </w:r>
      <w:r>
        <w:rPr>
          <w:spacing w:val="2"/>
          <w:sz w:val="13"/>
        </w:rPr>
        <w:t>Islander </w:t>
      </w:r>
      <w:r>
        <w:rPr>
          <w:sz w:val="13"/>
        </w:rPr>
        <w:t>Health Survey was approximately 33% of Aboriginal and Torres Strait </w:t>
      </w:r>
      <w:r>
        <w:rPr>
          <w:spacing w:val="2"/>
          <w:sz w:val="13"/>
        </w:rPr>
        <w:t>Islander </w:t>
      </w:r>
      <w:r>
        <w:rPr>
          <w:sz w:val="13"/>
        </w:rPr>
        <w:t>persons in Australia: see ‘National Aboriginal and Torres  Strait</w:t>
      </w:r>
      <w:r>
        <w:rPr>
          <w:spacing w:val="7"/>
          <w:sz w:val="13"/>
        </w:rPr>
        <w:t> </w:t>
      </w:r>
      <w:r>
        <w:rPr>
          <w:spacing w:val="2"/>
          <w:sz w:val="13"/>
        </w:rPr>
        <w:t>Islander</w:t>
      </w:r>
      <w:r>
        <w:rPr>
          <w:spacing w:val="8"/>
          <w:sz w:val="13"/>
        </w:rPr>
        <w:t> </w:t>
      </w:r>
      <w:r>
        <w:rPr>
          <w:sz w:val="13"/>
        </w:rPr>
        <w:t>Health</w:t>
      </w:r>
      <w:r>
        <w:rPr>
          <w:spacing w:val="7"/>
          <w:sz w:val="13"/>
        </w:rPr>
        <w:t> </w:t>
      </w:r>
      <w:r>
        <w:rPr>
          <w:sz w:val="13"/>
        </w:rPr>
        <w:t>Survey</w:t>
      </w:r>
      <w:r>
        <w:rPr>
          <w:spacing w:val="8"/>
          <w:sz w:val="13"/>
        </w:rPr>
        <w:t> </w:t>
      </w:r>
      <w:r>
        <w:rPr>
          <w:sz w:val="13"/>
        </w:rPr>
        <w:t>Methodology,</w:t>
      </w:r>
      <w:r>
        <w:rPr>
          <w:spacing w:val="7"/>
          <w:sz w:val="13"/>
        </w:rPr>
        <w:t> </w:t>
      </w:r>
      <w:r>
        <w:rPr>
          <w:sz w:val="13"/>
        </w:rPr>
        <w:t>2018–19</w:t>
      </w:r>
      <w:r>
        <w:rPr>
          <w:spacing w:val="8"/>
          <w:sz w:val="13"/>
        </w:rPr>
        <w:t> </w:t>
      </w:r>
      <w:r>
        <w:rPr>
          <w:sz w:val="13"/>
        </w:rPr>
        <w:t>Financial</w:t>
      </w:r>
      <w:r>
        <w:rPr>
          <w:spacing w:val="8"/>
          <w:sz w:val="13"/>
        </w:rPr>
        <w:t> </w:t>
      </w:r>
      <w:r>
        <w:rPr>
          <w:sz w:val="13"/>
        </w:rPr>
        <w:t>Year’,</w:t>
      </w:r>
      <w:r>
        <w:rPr>
          <w:spacing w:val="7"/>
          <w:sz w:val="13"/>
        </w:rPr>
        <w:t> </w:t>
      </w:r>
      <w:r>
        <w:rPr>
          <w:i/>
          <w:sz w:val="13"/>
        </w:rPr>
        <w:t>Australian</w:t>
      </w:r>
      <w:r>
        <w:rPr>
          <w:i/>
          <w:spacing w:val="8"/>
          <w:sz w:val="13"/>
        </w:rPr>
        <w:t> </w:t>
      </w:r>
      <w:r>
        <w:rPr>
          <w:i/>
          <w:sz w:val="13"/>
        </w:rPr>
        <w:t>Bureau</w:t>
      </w:r>
      <w:r>
        <w:rPr>
          <w:i/>
          <w:spacing w:val="7"/>
          <w:sz w:val="13"/>
        </w:rPr>
        <w:t> </w:t>
      </w:r>
      <w:r>
        <w:rPr>
          <w:i/>
          <w:sz w:val="13"/>
        </w:rPr>
        <w:t>of</w:t>
      </w:r>
      <w:r>
        <w:rPr>
          <w:i/>
          <w:spacing w:val="7"/>
          <w:sz w:val="13"/>
        </w:rPr>
        <w:t> </w:t>
      </w:r>
      <w:r>
        <w:rPr>
          <w:i/>
          <w:sz w:val="13"/>
        </w:rPr>
        <w:t>Statistics</w:t>
      </w:r>
      <w:r>
        <w:rPr>
          <w:i/>
          <w:spacing w:val="8"/>
          <w:sz w:val="13"/>
        </w:rPr>
        <w:t> </w:t>
      </w:r>
      <w:r>
        <w:rPr>
          <w:sz w:val="13"/>
        </w:rPr>
        <w:t>(Web</w:t>
      </w:r>
      <w:r>
        <w:rPr>
          <w:spacing w:val="7"/>
          <w:sz w:val="13"/>
        </w:rPr>
        <w:t> </w:t>
      </w:r>
      <w:r>
        <w:rPr>
          <w:sz w:val="13"/>
        </w:rPr>
        <w:t>Page,</w:t>
      </w:r>
      <w:r>
        <w:rPr>
          <w:spacing w:val="8"/>
          <w:sz w:val="13"/>
        </w:rPr>
        <w:t> </w:t>
      </w:r>
      <w:r>
        <w:rPr>
          <w:sz w:val="13"/>
        </w:rPr>
        <w:t>11</w:t>
      </w:r>
      <w:r>
        <w:rPr>
          <w:spacing w:val="8"/>
          <w:sz w:val="13"/>
        </w:rPr>
        <w:t> </w:t>
      </w:r>
      <w:r>
        <w:rPr>
          <w:spacing w:val="2"/>
          <w:sz w:val="13"/>
        </w:rPr>
        <w:t>December</w:t>
      </w:r>
      <w:r>
        <w:rPr>
          <w:spacing w:val="7"/>
          <w:sz w:val="13"/>
        </w:rPr>
        <w:t> </w:t>
      </w:r>
      <w:r>
        <w:rPr>
          <w:sz w:val="13"/>
        </w:rPr>
        <w:t>2019)</w:t>
      </w:r>
    </w:p>
    <w:p>
      <w:pPr>
        <w:spacing w:line="149" w:lineRule="exact" w:before="0"/>
        <w:ind w:left="1761" w:right="0" w:firstLine="0"/>
        <w:jc w:val="left"/>
        <w:rPr>
          <w:sz w:val="13"/>
        </w:rPr>
      </w:pPr>
      <w:r>
        <w:rPr>
          <w:sz w:val="13"/>
        </w:rPr>
        <w:t>&lt;</w:t>
      </w:r>
      <w:hyperlink r:id="rId67">
        <w:r>
          <w:rPr>
            <w:sz w:val="13"/>
          </w:rPr>
          <w:t>https://www.abs.gov.au/methodologies/national-aboriginal-and-torres-strait-islander-health-survey-methodology/2018-19</w:t>
        </w:r>
      </w:hyperlink>
      <w:r>
        <w:rPr>
          <w:sz w:val="13"/>
        </w:rPr>
        <w:t>&gt;.</w:t>
      </w:r>
    </w:p>
    <w:p>
      <w:pPr>
        <w:pStyle w:val="ListParagraph"/>
        <w:numPr>
          <w:ilvl w:val="0"/>
          <w:numId w:val="24"/>
        </w:numPr>
        <w:tabs>
          <w:tab w:pos="1761" w:val="left" w:leader="none"/>
          <w:tab w:pos="1762" w:val="left" w:leader="none"/>
        </w:tabs>
        <w:spacing w:line="213" w:lineRule="auto" w:before="4" w:after="0"/>
        <w:ind w:left="1761" w:right="1441" w:hanging="794"/>
        <w:jc w:val="left"/>
        <w:rPr>
          <w:sz w:val="13"/>
        </w:rPr>
      </w:pPr>
      <w:r>
        <w:rPr>
          <w:sz w:val="13"/>
        </w:rPr>
        <w:t>Australian Institute of Health and Welfare, </w:t>
      </w:r>
      <w:r>
        <w:rPr>
          <w:i/>
          <w:sz w:val="13"/>
        </w:rPr>
        <w:t>Australia’s Health 2020: Data </w:t>
      </w:r>
      <w:r>
        <w:rPr>
          <w:i/>
          <w:spacing w:val="2"/>
          <w:sz w:val="13"/>
        </w:rPr>
        <w:t>Insights </w:t>
      </w:r>
      <w:r>
        <w:rPr>
          <w:sz w:val="13"/>
        </w:rPr>
        <w:t>(Australia’s Health </w:t>
      </w:r>
      <w:r>
        <w:rPr>
          <w:spacing w:val="2"/>
          <w:sz w:val="13"/>
        </w:rPr>
        <w:t>Series </w:t>
      </w:r>
      <w:r>
        <w:rPr>
          <w:sz w:val="13"/>
        </w:rPr>
        <w:t>No </w:t>
      </w:r>
      <w:r>
        <w:rPr>
          <w:spacing w:val="3"/>
          <w:sz w:val="13"/>
        </w:rPr>
        <w:t>15, </w:t>
      </w:r>
      <w:r>
        <w:rPr>
          <w:sz w:val="13"/>
        </w:rPr>
        <w:t>Catalogue No AUS 231, 2020) </w:t>
      </w:r>
      <w:r>
        <w:rPr>
          <w:spacing w:val="3"/>
          <w:sz w:val="13"/>
        </w:rPr>
        <w:t>114</w:t>
      </w:r>
      <w:r>
        <w:rPr>
          <w:sz w:val="13"/>
        </w:rPr>
        <w:t> &lt;</w:t>
      </w:r>
      <w:hyperlink r:id="rId68">
        <w:r>
          <w:rPr>
            <w:sz w:val="13"/>
          </w:rPr>
          <w:t>https://www.aihw.gov.au/reports</w:t>
        </w:r>
      </w:hyperlink>
      <w:r>
        <w:rPr>
          <w:sz w:val="13"/>
        </w:rPr>
        <w:t>&gt;.</w:t>
      </w:r>
    </w:p>
    <w:p>
      <w:pPr>
        <w:pStyle w:val="ListParagraph"/>
        <w:numPr>
          <w:ilvl w:val="0"/>
          <w:numId w:val="24"/>
        </w:numPr>
        <w:tabs>
          <w:tab w:pos="1761" w:val="left" w:leader="none"/>
          <w:tab w:pos="1762" w:val="left" w:leader="none"/>
        </w:tabs>
        <w:spacing w:line="213" w:lineRule="auto" w:before="0" w:after="0"/>
        <w:ind w:left="1761" w:right="1204" w:hanging="794"/>
        <w:jc w:val="left"/>
        <w:rPr>
          <w:sz w:val="13"/>
        </w:rPr>
      </w:pPr>
      <w:r>
        <w:rPr>
          <w:sz w:val="13"/>
        </w:rPr>
        <w:t>Joshua Foreman et </w:t>
      </w:r>
      <w:r>
        <w:rPr>
          <w:spacing w:val="2"/>
          <w:sz w:val="13"/>
        </w:rPr>
        <w:t>al, </w:t>
      </w:r>
      <w:r>
        <w:rPr>
          <w:i/>
          <w:sz w:val="13"/>
        </w:rPr>
        <w:t>National Eye Health Survey 2016 </w:t>
      </w:r>
      <w:r>
        <w:rPr>
          <w:spacing w:val="2"/>
          <w:sz w:val="13"/>
        </w:rPr>
        <w:t>(Report, </w:t>
      </w:r>
      <w:r>
        <w:rPr>
          <w:sz w:val="13"/>
        </w:rPr>
        <w:t>2016). The National Eye Health Survey used stratified, multistage </w:t>
      </w:r>
      <w:r>
        <w:rPr>
          <w:spacing w:val="2"/>
          <w:sz w:val="13"/>
        </w:rPr>
        <w:t>random-cluster sampling </w:t>
      </w:r>
      <w:r>
        <w:rPr>
          <w:sz w:val="13"/>
        </w:rPr>
        <w:t>and examined a total of </w:t>
      </w:r>
      <w:r>
        <w:rPr>
          <w:spacing w:val="3"/>
          <w:sz w:val="13"/>
        </w:rPr>
        <w:t>3,098 </w:t>
      </w:r>
      <w:r>
        <w:rPr>
          <w:spacing w:val="2"/>
          <w:sz w:val="13"/>
        </w:rPr>
        <w:t>non-Indigenous </w:t>
      </w:r>
      <w:r>
        <w:rPr>
          <w:sz w:val="13"/>
        </w:rPr>
        <w:t>Australians aged 50 years or older and 1,738 </w:t>
      </w:r>
      <w:r>
        <w:rPr>
          <w:spacing w:val="2"/>
          <w:sz w:val="13"/>
        </w:rPr>
        <w:t>Indigenous </w:t>
      </w:r>
      <w:r>
        <w:rPr>
          <w:sz w:val="13"/>
        </w:rPr>
        <w:t>Australians aged 40 years or older. The age-adjusted prevalence of vision impairment </w:t>
      </w:r>
      <w:r>
        <w:rPr>
          <w:spacing w:val="2"/>
          <w:sz w:val="13"/>
        </w:rPr>
        <w:t>(13.60%) </w:t>
      </w:r>
      <w:r>
        <w:rPr>
          <w:sz w:val="13"/>
        </w:rPr>
        <w:t>and </w:t>
      </w:r>
      <w:r>
        <w:rPr>
          <w:spacing w:val="2"/>
          <w:sz w:val="13"/>
        </w:rPr>
        <w:t>blindness </w:t>
      </w:r>
      <w:r>
        <w:rPr>
          <w:sz w:val="13"/>
        </w:rPr>
        <w:t>(0.36%) in    </w:t>
      </w:r>
      <w:r>
        <w:rPr>
          <w:spacing w:val="2"/>
          <w:sz w:val="13"/>
        </w:rPr>
        <w:t>Indigenous</w:t>
      </w:r>
      <w:r>
        <w:rPr>
          <w:spacing w:val="4"/>
          <w:sz w:val="13"/>
        </w:rPr>
        <w:t> </w:t>
      </w:r>
      <w:r>
        <w:rPr>
          <w:sz w:val="13"/>
        </w:rPr>
        <w:t>Australians</w:t>
      </w:r>
      <w:r>
        <w:rPr>
          <w:spacing w:val="4"/>
          <w:sz w:val="13"/>
        </w:rPr>
        <w:t> </w:t>
      </w:r>
      <w:r>
        <w:rPr>
          <w:sz w:val="13"/>
        </w:rPr>
        <w:t>were</w:t>
      </w:r>
      <w:r>
        <w:rPr>
          <w:spacing w:val="4"/>
          <w:sz w:val="13"/>
        </w:rPr>
        <w:t> </w:t>
      </w:r>
      <w:r>
        <w:rPr>
          <w:sz w:val="13"/>
        </w:rPr>
        <w:t>both</w:t>
      </w:r>
      <w:r>
        <w:rPr>
          <w:spacing w:val="4"/>
          <w:sz w:val="13"/>
        </w:rPr>
        <w:t> </w:t>
      </w:r>
      <w:r>
        <w:rPr>
          <w:sz w:val="13"/>
        </w:rPr>
        <w:t>three</w:t>
      </w:r>
      <w:r>
        <w:rPr>
          <w:spacing w:val="4"/>
          <w:sz w:val="13"/>
        </w:rPr>
        <w:t> </w:t>
      </w:r>
      <w:r>
        <w:rPr>
          <w:sz w:val="13"/>
        </w:rPr>
        <w:t>times</w:t>
      </w:r>
      <w:r>
        <w:rPr>
          <w:spacing w:val="4"/>
          <w:sz w:val="13"/>
        </w:rPr>
        <w:t> </w:t>
      </w:r>
      <w:r>
        <w:rPr>
          <w:spacing w:val="2"/>
          <w:sz w:val="13"/>
        </w:rPr>
        <w:t>higher</w:t>
      </w:r>
      <w:r>
        <w:rPr>
          <w:spacing w:val="4"/>
          <w:sz w:val="13"/>
        </w:rPr>
        <w:t> </w:t>
      </w:r>
      <w:r>
        <w:rPr>
          <w:sz w:val="13"/>
        </w:rPr>
        <w:t>than</w:t>
      </w:r>
      <w:r>
        <w:rPr>
          <w:spacing w:val="5"/>
          <w:sz w:val="13"/>
        </w:rPr>
        <w:t> </w:t>
      </w:r>
      <w:r>
        <w:rPr>
          <w:sz w:val="13"/>
        </w:rPr>
        <w:t>in</w:t>
      </w:r>
      <w:r>
        <w:rPr>
          <w:spacing w:val="4"/>
          <w:sz w:val="13"/>
        </w:rPr>
        <w:t> </w:t>
      </w:r>
      <w:r>
        <w:rPr>
          <w:spacing w:val="2"/>
          <w:sz w:val="13"/>
        </w:rPr>
        <w:t>non-Indigenous</w:t>
      </w:r>
      <w:r>
        <w:rPr>
          <w:spacing w:val="4"/>
          <w:sz w:val="13"/>
        </w:rPr>
        <w:t> </w:t>
      </w:r>
      <w:r>
        <w:rPr>
          <w:sz w:val="13"/>
        </w:rPr>
        <w:t>Australians</w:t>
      </w:r>
      <w:r>
        <w:rPr>
          <w:spacing w:val="4"/>
          <w:sz w:val="13"/>
        </w:rPr>
        <w:t> </w:t>
      </w:r>
      <w:r>
        <w:rPr>
          <w:spacing w:val="3"/>
          <w:sz w:val="13"/>
        </w:rPr>
        <w:t>(4.57%</w:t>
      </w:r>
      <w:r>
        <w:rPr>
          <w:spacing w:val="4"/>
          <w:sz w:val="13"/>
        </w:rPr>
        <w:t> </w:t>
      </w:r>
      <w:r>
        <w:rPr>
          <w:sz w:val="13"/>
        </w:rPr>
        <w:t>and</w:t>
      </w:r>
      <w:r>
        <w:rPr>
          <w:spacing w:val="4"/>
          <w:sz w:val="13"/>
        </w:rPr>
        <w:t> </w:t>
      </w:r>
      <w:r>
        <w:rPr>
          <w:spacing w:val="2"/>
          <w:sz w:val="13"/>
        </w:rPr>
        <w:t>0.12%,</w:t>
      </w:r>
      <w:r>
        <w:rPr>
          <w:spacing w:val="4"/>
          <w:sz w:val="13"/>
        </w:rPr>
        <w:t> </w:t>
      </w:r>
      <w:r>
        <w:rPr>
          <w:sz w:val="13"/>
        </w:rPr>
        <w:t>respectively),</w:t>
      </w:r>
      <w:r>
        <w:rPr>
          <w:spacing w:val="5"/>
          <w:sz w:val="13"/>
        </w:rPr>
        <w:t> </w:t>
      </w:r>
      <w:r>
        <w:rPr>
          <w:sz w:val="13"/>
        </w:rPr>
        <w:t>cited</w:t>
      </w:r>
    </w:p>
    <w:p>
      <w:pPr>
        <w:spacing w:line="213" w:lineRule="auto" w:before="0"/>
        <w:ind w:left="1761" w:right="1335" w:firstLine="0"/>
        <w:jc w:val="left"/>
        <w:rPr>
          <w:sz w:val="13"/>
        </w:rPr>
      </w:pPr>
      <w:r>
        <w:rPr>
          <w:sz w:val="13"/>
        </w:rPr>
        <w:t>in Australian Institute of Health and Welfare, </w:t>
      </w:r>
      <w:r>
        <w:rPr>
          <w:i/>
          <w:sz w:val="13"/>
        </w:rPr>
        <w:t>Indigenous Eye Health Measures 2020 </w:t>
      </w:r>
      <w:r>
        <w:rPr>
          <w:sz w:val="13"/>
        </w:rPr>
        <w:t>(Report, Australian Institute of Health and Welfare, 2020) 1 &lt;</w:t>
      </w:r>
      <w:hyperlink r:id="rId68">
        <w:r>
          <w:rPr>
            <w:sz w:val="13"/>
          </w:rPr>
          <w:t>https://www.aihw.gov.au/reports</w:t>
        </w:r>
      </w:hyperlink>
      <w:r>
        <w:rPr>
          <w:sz w:val="13"/>
        </w:rPr>
        <w:t>&gt;.</w:t>
      </w:r>
    </w:p>
    <w:p>
      <w:pPr>
        <w:pStyle w:val="ListParagraph"/>
        <w:numPr>
          <w:ilvl w:val="0"/>
          <w:numId w:val="24"/>
        </w:numPr>
        <w:tabs>
          <w:tab w:pos="1760" w:val="left" w:leader="none"/>
          <w:tab w:pos="1762" w:val="left" w:leader="none"/>
        </w:tabs>
        <w:spacing w:line="213" w:lineRule="auto" w:before="0" w:after="0"/>
        <w:ind w:left="1761" w:right="1441" w:hanging="794"/>
        <w:jc w:val="left"/>
        <w:rPr>
          <w:sz w:val="13"/>
        </w:rPr>
      </w:pPr>
      <w:r>
        <w:rPr/>
        <w:pict>
          <v:shape style="position:absolute;margin-left:36pt;margin-top:11.38719pt;width:14.05pt;height:14.1pt;mso-position-horizontal-relative:page;mso-position-vertical-relative:paragraph;z-index:3136" type="#_x0000_t202" filled="false" stroked="false">
            <v:textbox inset="0,0,0,0">
              <w:txbxContent>
                <w:p>
                  <w:pPr>
                    <w:spacing w:line="282" w:lineRule="exact" w:before="0"/>
                    <w:ind w:left="0" w:right="0" w:firstLine="0"/>
                    <w:jc w:val="left"/>
                    <w:rPr>
                      <w:b/>
                      <w:sz w:val="24"/>
                    </w:rPr>
                  </w:pPr>
                  <w:r>
                    <w:rPr>
                      <w:b/>
                      <w:color w:val="37617A"/>
                      <w:spacing w:val="-1"/>
                      <w:sz w:val="24"/>
                    </w:rPr>
                    <w:t>20</w:t>
                  </w:r>
                </w:p>
              </w:txbxContent>
            </v:textbox>
            <w10:wrap type="none"/>
          </v:shape>
        </w:pict>
      </w:r>
      <w:r>
        <w:rPr>
          <w:sz w:val="13"/>
        </w:rPr>
        <w:t>Australian Institute of Health and Welfare, </w:t>
      </w:r>
      <w:r>
        <w:rPr>
          <w:i/>
          <w:sz w:val="13"/>
        </w:rPr>
        <w:t>Australia’s Health 2020: Data </w:t>
      </w:r>
      <w:r>
        <w:rPr>
          <w:i/>
          <w:spacing w:val="2"/>
          <w:sz w:val="13"/>
        </w:rPr>
        <w:t>Insights </w:t>
      </w:r>
      <w:r>
        <w:rPr>
          <w:sz w:val="13"/>
        </w:rPr>
        <w:t>(Australia’s Health </w:t>
      </w:r>
      <w:r>
        <w:rPr>
          <w:spacing w:val="2"/>
          <w:sz w:val="13"/>
        </w:rPr>
        <w:t>Series </w:t>
      </w:r>
      <w:r>
        <w:rPr>
          <w:sz w:val="13"/>
        </w:rPr>
        <w:t>No </w:t>
      </w:r>
      <w:r>
        <w:rPr>
          <w:spacing w:val="3"/>
          <w:sz w:val="13"/>
        </w:rPr>
        <w:t>15, </w:t>
      </w:r>
      <w:r>
        <w:rPr>
          <w:sz w:val="13"/>
        </w:rPr>
        <w:t>Catalogue No AUS 231, 2020) </w:t>
      </w:r>
      <w:r>
        <w:rPr>
          <w:spacing w:val="3"/>
          <w:sz w:val="13"/>
        </w:rPr>
        <w:t>114</w:t>
      </w:r>
      <w:r>
        <w:rPr>
          <w:sz w:val="13"/>
        </w:rPr>
        <w:t> &lt;</w:t>
      </w:r>
      <w:hyperlink r:id="rId68">
        <w:r>
          <w:rPr>
            <w:sz w:val="13"/>
          </w:rPr>
          <w:t>https://www.aihw.gov.au/reports</w:t>
        </w:r>
      </w:hyperlink>
      <w:r>
        <w:rPr>
          <w:sz w:val="13"/>
        </w:rPr>
        <w:t>&gt;.</w:t>
      </w:r>
    </w:p>
    <w:p>
      <w:pPr>
        <w:pStyle w:val="ListParagraph"/>
        <w:numPr>
          <w:ilvl w:val="0"/>
          <w:numId w:val="24"/>
        </w:numPr>
        <w:tabs>
          <w:tab w:pos="1760" w:val="left" w:leader="none"/>
          <w:tab w:pos="1762" w:val="left" w:leader="none"/>
        </w:tabs>
        <w:spacing w:line="163" w:lineRule="exact" w:before="0" w:after="0"/>
        <w:ind w:left="1761" w:right="0" w:hanging="794"/>
        <w:jc w:val="left"/>
        <w:rPr>
          <w:sz w:val="13"/>
        </w:rPr>
      </w:pPr>
      <w:r>
        <w:rPr>
          <w:sz w:val="13"/>
        </w:rPr>
        <w:t>Ibid </w:t>
      </w:r>
      <w:r>
        <w:rPr>
          <w:spacing w:val="3"/>
          <w:sz w:val="13"/>
        </w:rPr>
        <w:t>111.</w:t>
      </w:r>
    </w:p>
    <w:p>
      <w:pPr>
        <w:spacing w:after="0" w:line="163" w:lineRule="exact"/>
        <w:jc w:val="left"/>
        <w:rPr>
          <w:sz w:val="13"/>
        </w:rPr>
        <w:sectPr>
          <w:headerReference w:type="even" r:id="rId64"/>
          <w:pgSz w:w="11910" w:h="16840"/>
          <w:pgMar w:header="567" w:footer="0" w:top="860" w:bottom="280" w:left="620" w:right="380"/>
        </w:sectPr>
      </w:pPr>
    </w:p>
    <w:p>
      <w:pPr>
        <w:pStyle w:val="BodyText"/>
        <w:rPr>
          <w:sz w:val="11"/>
        </w:rPr>
      </w:pPr>
      <w:r>
        <w:rPr/>
        <w:pict>
          <v:rect style="position:absolute;margin-left:0pt;margin-top:0pt;width:595.276001pt;height:841.890015pt;mso-position-horizontal-relative:page;mso-position-vertical-relative:page;z-index:-357040" filled="true" fillcolor="#37617a" stroked="false">
            <v:fill type="solid"/>
            <w10:wrap type="none"/>
          </v:rect>
        </w:pict>
      </w:r>
    </w:p>
    <w:p>
      <w:pPr>
        <w:spacing w:line="688" w:lineRule="exact" w:before="0"/>
        <w:ind w:left="0" w:right="745" w:firstLine="0"/>
        <w:jc w:val="right"/>
        <w:rPr>
          <w:rFonts w:ascii="Raleway SemiBold"/>
          <w:b/>
          <w:sz w:val="50"/>
        </w:rPr>
      </w:pPr>
      <w:r>
        <w:rPr/>
        <w:pict>
          <v:shape style="position:absolute;margin-left:410.199707pt;margin-top:-3.3143pt;width:136.4pt;height:152.65pt;mso-position-horizontal-relative:page;mso-position-vertical-relative:paragraph;z-index:-357016" type="#_x0000_t202" filled="false" stroked="false">
            <v:textbox inset="0,0,0,0">
              <w:txbxContent>
                <w:p>
                  <w:pPr>
                    <w:spacing w:line="3052" w:lineRule="exact" w:before="0"/>
                    <w:ind w:left="0" w:right="0" w:firstLine="0"/>
                    <w:jc w:val="left"/>
                    <w:rPr>
                      <w:b/>
                      <w:sz w:val="260"/>
                    </w:rPr>
                  </w:pPr>
                  <w:r>
                    <w:rPr>
                      <w:b/>
                      <w:color w:val="FFFFFF"/>
                      <w:spacing w:val="-177"/>
                      <w:sz w:val="260"/>
                    </w:rPr>
                    <w:t>04</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5"/>
        <w:rPr>
          <w:rFonts w:ascii="Raleway SemiBold"/>
          <w:b/>
          <w:sz w:val="17"/>
        </w:rPr>
      </w:pPr>
    </w:p>
    <w:p>
      <w:pPr>
        <w:spacing w:line="180" w:lineRule="auto" w:before="166"/>
        <w:ind w:left="967" w:right="1866" w:firstLine="0"/>
        <w:jc w:val="left"/>
        <w:rPr>
          <w:rFonts w:ascii="Raleway ExtraBold"/>
          <w:b/>
          <w:sz w:val="88"/>
        </w:rPr>
      </w:pPr>
      <w:r>
        <w:rPr>
          <w:rFonts w:ascii="Raleway ExtraBold"/>
          <w:b/>
          <w:color w:val="FFFFFF"/>
          <w:spacing w:val="-20"/>
          <w:sz w:val="88"/>
        </w:rPr>
        <w:t>Barriers </w:t>
      </w:r>
      <w:r>
        <w:rPr>
          <w:rFonts w:ascii="Raleway ExtraBold"/>
          <w:b/>
          <w:color w:val="FFFFFF"/>
          <w:spacing w:val="-16"/>
          <w:sz w:val="88"/>
        </w:rPr>
        <w:t>to </w:t>
      </w:r>
      <w:r>
        <w:rPr>
          <w:rFonts w:ascii="Raleway ExtraBold"/>
          <w:b/>
          <w:color w:val="FFFFFF"/>
          <w:spacing w:val="-24"/>
          <w:sz w:val="88"/>
        </w:rPr>
        <w:t>inclusive </w:t>
      </w:r>
      <w:r>
        <w:rPr>
          <w:rFonts w:ascii="Raleway ExtraBold"/>
          <w:b/>
          <w:color w:val="FFFFFF"/>
          <w:spacing w:val="-20"/>
          <w:sz w:val="88"/>
        </w:rPr>
        <w:t>juries</w:t>
      </w:r>
    </w:p>
    <w:p>
      <w:pPr>
        <w:pStyle w:val="BodyText"/>
        <w:rPr>
          <w:rFonts w:ascii="Raleway ExtraBold"/>
          <w:b/>
        </w:rPr>
      </w:pPr>
    </w:p>
    <w:p>
      <w:pPr>
        <w:pStyle w:val="BodyText"/>
        <w:rPr>
          <w:rFonts w:ascii="Raleway ExtraBold"/>
          <w:b/>
        </w:rPr>
      </w:pPr>
    </w:p>
    <w:p>
      <w:pPr>
        <w:pStyle w:val="BodyText"/>
        <w:spacing w:before="4"/>
        <w:rPr>
          <w:rFonts w:ascii="Raleway ExtraBold"/>
          <w:b/>
          <w:sz w:val="27"/>
        </w:rPr>
      </w:pPr>
    </w:p>
    <w:p>
      <w:pPr>
        <w:tabs>
          <w:tab w:pos="1534" w:val="left" w:leader="none"/>
        </w:tabs>
        <w:spacing w:before="49"/>
        <w:ind w:left="967" w:right="0" w:firstLine="0"/>
        <w:jc w:val="left"/>
        <w:rPr>
          <w:b/>
          <w:sz w:val="24"/>
        </w:rPr>
      </w:pPr>
      <w:r>
        <w:rPr/>
        <w:pict>
          <v:line style="position:absolute;mso-position-horizontal-relative:page;mso-position-vertical-relative:paragraph;z-index:1112;mso-wrap-distance-left:0;mso-wrap-distance-right:0" from="79.370102pt,22.967304pt" to="104.882102pt,22.967304pt" stroked="true" strokeweight="2pt" strokecolor="#8f9dad">
            <v:stroke dashstyle="solid"/>
            <w10:wrap type="topAndBottom"/>
          </v:line>
        </w:pict>
      </w:r>
      <w:hyperlink w:history="true" w:anchor="_bookmark22">
        <w:r>
          <w:rPr>
            <w:b/>
            <w:color w:val="FFFFFF"/>
            <w:sz w:val="24"/>
          </w:rPr>
          <w:t>22</w:t>
          <w:tab/>
          <w:t>Overview</w:t>
        </w:r>
      </w:hyperlink>
    </w:p>
    <w:p>
      <w:pPr>
        <w:tabs>
          <w:tab w:pos="1534" w:val="left" w:leader="none"/>
        </w:tabs>
        <w:spacing w:before="14" w:after="57"/>
        <w:ind w:left="967" w:right="0" w:firstLine="0"/>
        <w:jc w:val="left"/>
        <w:rPr>
          <w:b/>
          <w:sz w:val="24"/>
        </w:rPr>
      </w:pPr>
      <w:hyperlink w:history="true" w:anchor="_bookmark22">
        <w:r>
          <w:rPr>
            <w:b/>
            <w:color w:val="FFFFFF"/>
            <w:sz w:val="24"/>
          </w:rPr>
          <w:t>22</w:t>
          <w:tab/>
          <w:t>How the law and practices </w:t>
        </w:r>
        <w:r>
          <w:rPr>
            <w:b/>
            <w:color w:val="FFFFFF"/>
            <w:spacing w:val="-3"/>
            <w:sz w:val="24"/>
          </w:rPr>
          <w:t>exclude</w:t>
        </w:r>
        <w:r>
          <w:rPr>
            <w:b/>
            <w:color w:val="FFFFFF"/>
            <w:spacing w:val="-2"/>
            <w:sz w:val="24"/>
          </w:rPr>
          <w:t> </w:t>
        </w:r>
        <w:r>
          <w:rPr>
            <w:b/>
            <w:color w:val="FFFFFF"/>
            <w:sz w:val="24"/>
          </w:rPr>
          <w:t>people</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pStyle w:val="ListParagraph"/>
        <w:numPr>
          <w:ilvl w:val="0"/>
          <w:numId w:val="25"/>
        </w:numPr>
        <w:tabs>
          <w:tab w:pos="1534" w:val="left" w:leader="none"/>
          <w:tab w:pos="1535" w:val="left" w:leader="none"/>
        </w:tabs>
        <w:spacing w:line="240" w:lineRule="auto" w:before="43" w:after="0"/>
        <w:ind w:left="1534" w:right="0" w:hanging="567"/>
        <w:jc w:val="left"/>
        <w:rPr>
          <w:b/>
          <w:sz w:val="24"/>
        </w:rPr>
      </w:pPr>
      <w:r>
        <w:rPr/>
        <w:pict>
          <v:line style="position:absolute;mso-position-horizontal-relative:page;mso-position-vertical-relative:paragraph;z-index:1160;mso-wrap-distance-left:0;mso-wrap-distance-right:0" from="79.370102pt,22.667311pt" to="104.882102pt,22.667311pt" stroked="true" strokeweight="2pt" strokecolor="#8f9dad">
            <v:stroke dashstyle="solid"/>
            <w10:wrap type="topAndBottom"/>
          </v:line>
        </w:pict>
      </w:r>
      <w:hyperlink w:history="true" w:anchor="_bookmark24">
        <w:r>
          <w:rPr>
            <w:b/>
            <w:color w:val="FFFFFF"/>
            <w:sz w:val="24"/>
          </w:rPr>
          <w:t>Removing potential jurors through</w:t>
        </w:r>
        <w:r>
          <w:rPr>
            <w:b/>
            <w:color w:val="FFFFFF"/>
            <w:spacing w:val="-3"/>
            <w:sz w:val="24"/>
          </w:rPr>
          <w:t> </w:t>
        </w:r>
        <w:r>
          <w:rPr>
            <w:b/>
            <w:color w:val="FFFFFF"/>
            <w:sz w:val="24"/>
          </w:rPr>
          <w:t>challenges</w:t>
        </w:r>
      </w:hyperlink>
    </w:p>
    <w:p>
      <w:pPr>
        <w:pStyle w:val="ListParagraph"/>
        <w:numPr>
          <w:ilvl w:val="0"/>
          <w:numId w:val="25"/>
        </w:numPr>
        <w:tabs>
          <w:tab w:pos="1534" w:val="left" w:leader="none"/>
          <w:tab w:pos="1535" w:val="left" w:leader="none"/>
        </w:tabs>
        <w:spacing w:line="240" w:lineRule="auto" w:before="14" w:after="57"/>
        <w:ind w:left="1534" w:right="0" w:hanging="567"/>
        <w:jc w:val="left"/>
        <w:rPr>
          <w:b/>
          <w:sz w:val="24"/>
        </w:rPr>
      </w:pPr>
      <w:hyperlink w:history="true" w:anchor="_bookmark25">
        <w:r>
          <w:rPr>
            <w:b/>
            <w:color w:val="FFFFFF"/>
            <w:sz w:val="24"/>
          </w:rPr>
          <w:t>Additional barriers to jury service for Aboriginal</w:t>
        </w:r>
        <w:r>
          <w:rPr>
            <w:b/>
            <w:color w:val="FFFFFF"/>
            <w:spacing w:val="-5"/>
            <w:sz w:val="24"/>
          </w:rPr>
          <w:t> </w:t>
        </w:r>
        <w:r>
          <w:rPr>
            <w:b/>
            <w:color w:val="FFFFFF"/>
            <w:sz w:val="24"/>
          </w:rPr>
          <w:t>people</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spacing w:after="0" w:line="40" w:lineRule="exact"/>
        <w:rPr>
          <w:sz w:val="4"/>
        </w:rPr>
        <w:sectPr>
          <w:headerReference w:type="default" r:id="rId69"/>
          <w:headerReference w:type="even" r:id="rId70"/>
          <w:pgSz w:w="11910" w:h="16840"/>
          <w:pgMar w:header="0" w:footer="0" w:top="480" w:bottom="280" w:left="620" w:right="380"/>
        </w:sectPr>
      </w:pPr>
    </w:p>
    <w:p>
      <w:pPr>
        <w:pStyle w:val="BodyText"/>
        <w:rPr>
          <w:b/>
        </w:rPr>
      </w:pPr>
      <w:r>
        <w:rPr/>
        <w:pict>
          <v:rect style="position:absolute;margin-left:0pt;margin-top:99.213013pt;width:14.173pt;height:85.748pt;mso-position-horizontal-relative:page;mso-position-vertical-relative:page;z-index:3376" filled="true" fillcolor="#37617a" stroked="false">
            <v:fill type="solid"/>
            <w10:wrap type="none"/>
          </v:rect>
        </w:pict>
      </w:r>
    </w:p>
    <w:p>
      <w:pPr>
        <w:pStyle w:val="BodyText"/>
        <w:rPr>
          <w:b/>
        </w:rPr>
      </w:pPr>
    </w:p>
    <w:p>
      <w:pPr>
        <w:pStyle w:val="BodyText"/>
        <w:spacing w:before="4"/>
        <w:rPr>
          <w:b/>
          <w:sz w:val="22"/>
        </w:rPr>
      </w:pPr>
    </w:p>
    <w:p>
      <w:pPr>
        <w:pStyle w:val="ListParagraph"/>
        <w:numPr>
          <w:ilvl w:val="0"/>
          <w:numId w:val="12"/>
        </w:numPr>
        <w:tabs>
          <w:tab w:pos="831" w:val="left" w:leader="none"/>
        </w:tabs>
        <w:spacing w:line="758" w:lineRule="exact" w:before="0" w:after="0"/>
        <w:ind w:left="830" w:right="0" w:hanging="600"/>
        <w:jc w:val="left"/>
        <w:rPr>
          <w:rFonts w:ascii="Raleway ExtraBold"/>
          <w:b/>
          <w:sz w:val="56"/>
        </w:rPr>
      </w:pPr>
      <w:bookmarkStart w:name="4. Barriers to inclusive juries" w:id="57"/>
      <w:bookmarkEnd w:id="57"/>
      <w:r>
        <w:rPr/>
      </w:r>
      <w:bookmarkStart w:name="Overview" w:id="58"/>
      <w:bookmarkEnd w:id="58"/>
      <w:r>
        <w:rPr/>
      </w:r>
      <w:bookmarkStart w:name="How the law and practices exclude people" w:id="59"/>
      <w:bookmarkEnd w:id="59"/>
      <w:r>
        <w:rPr/>
      </w:r>
      <w:bookmarkStart w:name="_bookmark22" w:id="60"/>
      <w:bookmarkEnd w:id="60"/>
      <w:r>
        <w:rPr/>
      </w:r>
      <w:bookmarkStart w:name="_bookmark22" w:id="61"/>
      <w:bookmarkEnd w:id="61"/>
      <w:r>
        <w:rPr>
          <w:rFonts w:ascii="Raleway ExtraBold"/>
          <w:b/>
          <w:color w:val="37617A"/>
          <w:spacing w:val="-4"/>
          <w:sz w:val="56"/>
        </w:rPr>
        <w:t>B</w:t>
      </w:r>
      <w:r>
        <w:rPr>
          <w:rFonts w:ascii="Raleway ExtraBold"/>
          <w:b/>
          <w:color w:val="37617A"/>
          <w:spacing w:val="-4"/>
          <w:sz w:val="56"/>
        </w:rPr>
        <w:t>arriers </w:t>
      </w:r>
      <w:r>
        <w:rPr>
          <w:rFonts w:ascii="Raleway ExtraBold"/>
          <w:b/>
          <w:color w:val="37617A"/>
          <w:spacing w:val="-5"/>
          <w:sz w:val="56"/>
        </w:rPr>
        <w:t>to </w:t>
      </w:r>
      <w:r>
        <w:rPr>
          <w:rFonts w:ascii="Raleway ExtraBold"/>
          <w:b/>
          <w:color w:val="37617A"/>
          <w:spacing w:val="-6"/>
          <w:sz w:val="56"/>
        </w:rPr>
        <w:t>inclusive</w:t>
      </w:r>
      <w:r>
        <w:rPr>
          <w:rFonts w:ascii="Raleway ExtraBold"/>
          <w:b/>
          <w:color w:val="37617A"/>
          <w:spacing w:val="9"/>
          <w:sz w:val="56"/>
        </w:rPr>
        <w:t> </w:t>
      </w:r>
      <w:r>
        <w:rPr>
          <w:rFonts w:ascii="Raleway ExtraBold"/>
          <w:b/>
          <w:color w:val="37617A"/>
          <w:spacing w:val="-4"/>
          <w:sz w:val="56"/>
        </w:rPr>
        <w:t>juries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0"/>
        <w:rPr>
          <w:rFonts w:ascii="Raleway ExtraBold"/>
          <w:b/>
          <w:sz w:val="18"/>
        </w:rPr>
      </w:pPr>
      <w:r>
        <w:rPr/>
        <w:pict>
          <v:line style="position:absolute;mso-position-horizontal-relative:page;mso-position-vertical-relative:paragraph;z-index:1256;mso-wrap-distance-left:0;mso-wrap-distance-right:0" from="79.370102pt,15.234083pt" to="515.905102pt,15.234083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1805" w:right="2044" w:firstLine="0"/>
        <w:jc w:val="center"/>
        <w:rPr>
          <w:rFonts w:ascii="Trebuchet MS" w:hAnsi="Trebuchet MS"/>
          <w:sz w:val="19"/>
        </w:rPr>
      </w:pPr>
      <w:r>
        <w:rPr>
          <w:rFonts w:ascii="Trebuchet MS" w:hAnsi="Trebuchet MS"/>
          <w:i/>
          <w:color w:val="37617A"/>
          <w:spacing w:val="-2"/>
          <w:w w:val="100"/>
          <w:sz w:val="20"/>
        </w:rPr>
        <w:t>T</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2"/>
          <w:w w:val="117"/>
          <w:sz w:val="20"/>
        </w:rPr>
        <w:t>s</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w w:val="106"/>
          <w:sz w:val="20"/>
        </w:rPr>
        <w:t>m</w:t>
      </w:r>
      <w:r>
        <w:rPr>
          <w:rFonts w:ascii="Trebuchet MS" w:hAnsi="Trebuchet MS"/>
          <w:i/>
          <w:color w:val="37617A"/>
          <w:w w:val="115"/>
          <w:sz w:val="20"/>
        </w:rPr>
        <w:t>a</w:t>
      </w:r>
      <w:r>
        <w:rPr>
          <w:rFonts w:ascii="Trebuchet MS" w:hAnsi="Trebuchet MS"/>
          <w:i/>
          <w:color w:val="37617A"/>
          <w:spacing w:val="-4"/>
          <w:w w:val="103"/>
          <w:sz w:val="20"/>
        </w:rPr>
        <w:t>n</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107"/>
          <w:sz w:val="20"/>
        </w:rPr>
        <w:t>b</w:t>
      </w:r>
      <w:r>
        <w:rPr>
          <w:rFonts w:ascii="Trebuchet MS" w:hAnsi="Trebuchet MS"/>
          <w:i/>
          <w:color w:val="37617A"/>
          <w:spacing w:val="-1"/>
          <w:w w:val="117"/>
          <w:sz w:val="20"/>
        </w:rPr>
        <w:t>s</w:t>
      </w:r>
      <w:r>
        <w:rPr>
          <w:rFonts w:ascii="Trebuchet MS" w:hAnsi="Trebuchet MS"/>
          <w:i/>
          <w:color w:val="37617A"/>
          <w:spacing w:val="-4"/>
          <w:w w:val="80"/>
          <w:sz w:val="20"/>
        </w:rPr>
        <w:t>t</w:t>
      </w:r>
      <w:r>
        <w:rPr>
          <w:rFonts w:ascii="Trebuchet MS" w:hAnsi="Trebuchet MS"/>
          <w:i/>
          <w:color w:val="37617A"/>
          <w:spacing w:val="-1"/>
          <w:w w:val="115"/>
          <w:sz w:val="20"/>
        </w:rPr>
        <w:t>a</w:t>
      </w:r>
      <w:r>
        <w:rPr>
          <w:rFonts w:ascii="Trebuchet MS" w:hAnsi="Trebuchet MS"/>
          <w:i/>
          <w:color w:val="37617A"/>
          <w:spacing w:val="-1"/>
          <w:w w:val="115"/>
          <w:sz w:val="20"/>
        </w:rPr>
        <w:t>c</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99"/>
          <w:sz w:val="20"/>
        </w:rPr>
        <w:t>a</w:t>
      </w:r>
      <w:r>
        <w:rPr>
          <w:rFonts w:ascii="Trebuchet MS" w:hAnsi="Trebuchet MS"/>
          <w:i/>
          <w:color w:val="37617A"/>
          <w:w w:val="99"/>
          <w:sz w:val="20"/>
        </w:rPr>
        <w:t>t</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spacing w:val="-1"/>
          <w:w w:val="87"/>
          <w:sz w:val="20"/>
        </w:rPr>
        <w:t>l</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spacing w:val="-3"/>
          <w:w w:val="87"/>
          <w:sz w:val="20"/>
        </w:rPr>
        <w:t>l</w:t>
      </w:r>
      <w:r>
        <w:rPr>
          <w:rFonts w:ascii="Trebuchet MS" w:hAnsi="Trebuchet MS"/>
          <w:i/>
          <w:color w:val="37617A"/>
          <w:spacing w:val="-4"/>
          <w:w w:val="107"/>
          <w:sz w:val="20"/>
        </w:rPr>
        <w:t>o</w:t>
      </w:r>
      <w:r>
        <w:rPr>
          <w:rFonts w:ascii="Trebuchet MS" w:hAnsi="Trebuchet MS"/>
          <w:i/>
          <w:color w:val="37617A"/>
          <w:w w:val="103"/>
          <w:sz w:val="20"/>
        </w:rPr>
        <w:t>w</w:t>
      </w:r>
      <w:r>
        <w:rPr>
          <w:rFonts w:ascii="Trebuchet MS" w:hAnsi="Trebuchet MS"/>
          <w:i/>
          <w:color w:val="37617A"/>
          <w:spacing w:val="-13"/>
          <w:sz w:val="20"/>
        </w:rPr>
        <w:t> </w:t>
      </w:r>
      <w:r>
        <w:rPr>
          <w:rFonts w:ascii="Trebuchet MS" w:hAnsi="Trebuchet MS"/>
          <w:i/>
          <w:color w:val="37617A"/>
          <w:spacing w:val="-3"/>
          <w:w w:val="103"/>
          <w:sz w:val="20"/>
        </w:rPr>
        <w:t>v</w:t>
      </w:r>
      <w:r>
        <w:rPr>
          <w:rFonts w:ascii="Trebuchet MS" w:hAnsi="Trebuchet MS"/>
          <w:i/>
          <w:color w:val="37617A"/>
          <w:w w:val="73"/>
          <w:sz w:val="20"/>
        </w:rPr>
        <w:t>i</w:t>
      </w:r>
      <w:r>
        <w:rPr>
          <w:rFonts w:ascii="Trebuchet MS" w:hAnsi="Trebuchet MS"/>
          <w:i/>
          <w:color w:val="37617A"/>
          <w:spacing w:val="-1"/>
          <w:w w:val="117"/>
          <w:sz w:val="20"/>
        </w:rPr>
        <w:t>s</w:t>
      </w:r>
      <w:r>
        <w:rPr>
          <w:rFonts w:ascii="Trebuchet MS" w:hAnsi="Trebuchet MS"/>
          <w:i/>
          <w:color w:val="37617A"/>
          <w:w w:val="73"/>
          <w:sz w:val="20"/>
        </w:rPr>
        <w:t>i</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2"/>
          <w:w w:val="100"/>
          <w:sz w:val="20"/>
        </w:rPr>
        <w:t>e</w:t>
      </w:r>
      <w:r>
        <w:rPr>
          <w:rFonts w:ascii="Trebuchet MS" w:hAnsi="Trebuchet MS"/>
          <w:i/>
          <w:color w:val="37617A"/>
          <w:spacing w:val="-2"/>
          <w:w w:val="98"/>
          <w:sz w:val="20"/>
        </w:rPr>
        <w:t>x</w:t>
      </w:r>
      <w:r>
        <w:rPr>
          <w:rFonts w:ascii="Trebuchet MS" w:hAnsi="Trebuchet MS"/>
          <w:i/>
          <w:color w:val="37617A"/>
          <w:w w:val="107"/>
          <w:sz w:val="20"/>
        </w:rPr>
        <w:t>p</w:t>
      </w:r>
      <w:r>
        <w:rPr>
          <w:rFonts w:ascii="Trebuchet MS" w:hAnsi="Trebuchet MS"/>
          <w:i/>
          <w:color w:val="37617A"/>
          <w:spacing w:val="1"/>
          <w:w w:val="100"/>
          <w:sz w:val="20"/>
        </w:rPr>
        <w:t>e</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spacing w:val="1"/>
          <w:w w:val="100"/>
          <w:sz w:val="20"/>
        </w:rPr>
        <w:t>e</w:t>
      </w:r>
      <w:r>
        <w:rPr>
          <w:rFonts w:ascii="Trebuchet MS" w:hAnsi="Trebuchet MS"/>
          <w:i/>
          <w:color w:val="37617A"/>
          <w:spacing w:val="-1"/>
          <w:w w:val="103"/>
          <w:sz w:val="20"/>
        </w:rPr>
        <w:t>n</w:t>
      </w:r>
      <w:r>
        <w:rPr>
          <w:rFonts w:ascii="Trebuchet MS" w:hAnsi="Trebuchet MS"/>
          <w:i/>
          <w:color w:val="37617A"/>
          <w:spacing w:val="-1"/>
          <w:w w:val="115"/>
          <w:sz w:val="20"/>
        </w:rPr>
        <w:t>c</w:t>
      </w:r>
      <w:r>
        <w:rPr>
          <w:rFonts w:ascii="Trebuchet MS" w:hAnsi="Trebuchet MS"/>
          <w:i/>
          <w:color w:val="37617A"/>
          <w:spacing w:val="2"/>
          <w:w w:val="100"/>
          <w:sz w:val="20"/>
        </w:rPr>
        <w:t>e</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99"/>
          <w:sz w:val="20"/>
        </w:rPr>
        <w:t>at</w:t>
      </w:r>
      <w:r>
        <w:rPr>
          <w:rFonts w:ascii="Trebuchet MS" w:hAnsi="Trebuchet MS"/>
          <w:i/>
          <w:color w:val="37617A"/>
          <w:spacing w:val="-1"/>
          <w:w w:val="99"/>
          <w:sz w:val="20"/>
        </w:rPr>
        <w:t> </w:t>
      </w:r>
      <w:r>
        <w:rPr>
          <w:rFonts w:ascii="Trebuchet MS" w:hAnsi="Trebuchet MS"/>
          <w:i/>
          <w:color w:val="37617A"/>
          <w:sz w:val="20"/>
        </w:rPr>
        <w:t>even</w:t>
      </w:r>
      <w:r>
        <w:rPr>
          <w:rFonts w:ascii="Trebuchet MS" w:hAnsi="Trebuchet MS"/>
          <w:i/>
          <w:color w:val="37617A"/>
          <w:spacing w:val="-10"/>
          <w:sz w:val="20"/>
        </w:rPr>
        <w:t> </w:t>
      </w:r>
      <w:r>
        <w:rPr>
          <w:rFonts w:ascii="Trebuchet MS" w:hAnsi="Trebuchet MS"/>
          <w:i/>
          <w:color w:val="37617A"/>
          <w:sz w:val="20"/>
        </w:rPr>
        <w:t>those</w:t>
      </w:r>
      <w:r>
        <w:rPr>
          <w:rFonts w:ascii="Trebuchet MS" w:hAnsi="Trebuchet MS"/>
          <w:i/>
          <w:color w:val="37617A"/>
          <w:spacing w:val="-9"/>
          <w:sz w:val="20"/>
        </w:rPr>
        <w:t> </w:t>
      </w:r>
      <w:r>
        <w:rPr>
          <w:rFonts w:ascii="Trebuchet MS" w:hAnsi="Trebuchet MS"/>
          <w:i/>
          <w:color w:val="37617A"/>
          <w:sz w:val="20"/>
        </w:rPr>
        <w:t>who</w:t>
      </w:r>
      <w:r>
        <w:rPr>
          <w:rFonts w:ascii="Trebuchet MS" w:hAnsi="Trebuchet MS"/>
          <w:i/>
          <w:color w:val="37617A"/>
          <w:spacing w:val="-10"/>
          <w:sz w:val="20"/>
        </w:rPr>
        <w:t> </w:t>
      </w:r>
      <w:r>
        <w:rPr>
          <w:rFonts w:ascii="Trebuchet MS" w:hAnsi="Trebuchet MS"/>
          <w:i/>
          <w:color w:val="37617A"/>
          <w:sz w:val="20"/>
        </w:rPr>
        <w:t>have</w:t>
      </w:r>
      <w:r>
        <w:rPr>
          <w:rFonts w:ascii="Trebuchet MS" w:hAnsi="Trebuchet MS"/>
          <w:i/>
          <w:color w:val="37617A"/>
          <w:spacing w:val="-9"/>
          <w:sz w:val="20"/>
        </w:rPr>
        <w:t> </w:t>
      </w:r>
      <w:r>
        <w:rPr>
          <w:rFonts w:ascii="Trebuchet MS" w:hAnsi="Trebuchet MS"/>
          <w:i/>
          <w:color w:val="37617A"/>
          <w:sz w:val="20"/>
        </w:rPr>
        <w:t>a</w:t>
      </w:r>
      <w:r>
        <w:rPr>
          <w:rFonts w:ascii="Trebuchet MS" w:hAnsi="Trebuchet MS"/>
          <w:i/>
          <w:color w:val="37617A"/>
          <w:spacing w:val="-9"/>
          <w:sz w:val="20"/>
        </w:rPr>
        <w:t> </w:t>
      </w:r>
      <w:r>
        <w:rPr>
          <w:rFonts w:ascii="Trebuchet MS" w:hAnsi="Trebuchet MS"/>
          <w:i/>
          <w:color w:val="37617A"/>
          <w:sz w:val="20"/>
        </w:rPr>
        <w:t>good</w:t>
      </w:r>
      <w:r>
        <w:rPr>
          <w:rFonts w:ascii="Trebuchet MS" w:hAnsi="Trebuchet MS"/>
          <w:i/>
          <w:color w:val="37617A"/>
          <w:spacing w:val="-10"/>
          <w:sz w:val="20"/>
        </w:rPr>
        <w:t> </w:t>
      </w:r>
      <w:r>
        <w:rPr>
          <w:rFonts w:ascii="Trebuchet MS" w:hAnsi="Trebuchet MS"/>
          <w:i/>
          <w:color w:val="37617A"/>
          <w:sz w:val="20"/>
        </w:rPr>
        <w:t>level</w:t>
      </w:r>
      <w:r>
        <w:rPr>
          <w:rFonts w:ascii="Trebuchet MS" w:hAnsi="Trebuchet MS"/>
          <w:i/>
          <w:color w:val="37617A"/>
          <w:spacing w:val="-9"/>
          <w:sz w:val="20"/>
        </w:rPr>
        <w:t> </w:t>
      </w:r>
      <w:r>
        <w:rPr>
          <w:rFonts w:ascii="Trebuchet MS" w:hAnsi="Trebuchet MS"/>
          <w:i/>
          <w:color w:val="37617A"/>
          <w:sz w:val="20"/>
        </w:rPr>
        <w:t>of</w:t>
      </w:r>
      <w:r>
        <w:rPr>
          <w:rFonts w:ascii="Trebuchet MS" w:hAnsi="Trebuchet MS"/>
          <w:i/>
          <w:color w:val="37617A"/>
          <w:spacing w:val="-9"/>
          <w:sz w:val="20"/>
        </w:rPr>
        <w:t> </w:t>
      </w:r>
      <w:r>
        <w:rPr>
          <w:rFonts w:ascii="Trebuchet MS" w:hAnsi="Trebuchet MS"/>
          <w:i/>
          <w:color w:val="37617A"/>
          <w:sz w:val="20"/>
        </w:rPr>
        <w:t>energy</w:t>
      </w:r>
      <w:r>
        <w:rPr>
          <w:rFonts w:ascii="Trebuchet MS" w:hAnsi="Trebuchet MS"/>
          <w:i/>
          <w:color w:val="37617A"/>
          <w:spacing w:val="-10"/>
          <w:sz w:val="20"/>
        </w:rPr>
        <w:t> </w:t>
      </w:r>
      <w:r>
        <w:rPr>
          <w:rFonts w:ascii="Trebuchet MS" w:hAnsi="Trebuchet MS"/>
          <w:i/>
          <w:color w:val="37617A"/>
          <w:sz w:val="20"/>
        </w:rPr>
        <w:t>and</w:t>
      </w:r>
      <w:r>
        <w:rPr>
          <w:rFonts w:ascii="Trebuchet MS" w:hAnsi="Trebuchet MS"/>
          <w:i/>
          <w:color w:val="37617A"/>
          <w:spacing w:val="-9"/>
          <w:sz w:val="20"/>
        </w:rPr>
        <w:t> </w:t>
      </w:r>
      <w:r>
        <w:rPr>
          <w:rFonts w:ascii="Trebuchet MS" w:hAnsi="Trebuchet MS"/>
          <w:i/>
          <w:color w:val="37617A"/>
          <w:sz w:val="20"/>
        </w:rPr>
        <w:t>initiative</w:t>
      </w:r>
      <w:r>
        <w:rPr>
          <w:rFonts w:ascii="Trebuchet MS" w:hAnsi="Trebuchet MS"/>
          <w:i/>
          <w:color w:val="37617A"/>
          <w:spacing w:val="-9"/>
          <w:sz w:val="20"/>
        </w:rPr>
        <w:t> </w:t>
      </w:r>
      <w:r>
        <w:rPr>
          <w:rFonts w:ascii="Trebuchet MS" w:hAnsi="Trebuchet MS"/>
          <w:i/>
          <w:color w:val="37617A"/>
          <w:sz w:val="20"/>
        </w:rPr>
        <w:t>to</w:t>
      </w:r>
      <w:r>
        <w:rPr>
          <w:rFonts w:ascii="Trebuchet MS" w:hAnsi="Trebuchet MS"/>
          <w:i/>
          <w:color w:val="37617A"/>
          <w:spacing w:val="-10"/>
          <w:sz w:val="20"/>
        </w:rPr>
        <w:t> </w:t>
      </w:r>
      <w:r>
        <w:rPr>
          <w:rFonts w:ascii="Trebuchet MS" w:hAnsi="Trebuchet MS"/>
          <w:i/>
          <w:color w:val="37617A"/>
          <w:sz w:val="20"/>
        </w:rPr>
        <w:t>change</w:t>
      </w:r>
      <w:r>
        <w:rPr>
          <w:rFonts w:ascii="Trebuchet MS" w:hAnsi="Trebuchet MS"/>
          <w:i/>
          <w:color w:val="37617A"/>
          <w:spacing w:val="-9"/>
          <w:sz w:val="20"/>
        </w:rPr>
        <w:t> </w:t>
      </w:r>
      <w:r>
        <w:rPr>
          <w:rFonts w:ascii="Trebuchet MS" w:hAnsi="Trebuchet MS"/>
          <w:i/>
          <w:color w:val="37617A"/>
          <w:sz w:val="20"/>
        </w:rPr>
        <w:t>things</w:t>
      </w:r>
      <w:r>
        <w:rPr>
          <w:rFonts w:ascii="Trebuchet MS" w:hAnsi="Trebuchet MS"/>
          <w:i/>
          <w:color w:val="37617A"/>
          <w:spacing w:val="-9"/>
          <w:sz w:val="20"/>
        </w:rPr>
        <w:t> </w:t>
      </w:r>
      <w:r>
        <w:rPr>
          <w:rFonts w:ascii="Trebuchet MS" w:hAnsi="Trebuchet MS"/>
          <w:i/>
          <w:color w:val="37617A"/>
          <w:sz w:val="20"/>
        </w:rPr>
        <w:t>for the</w:t>
      </w:r>
      <w:r>
        <w:rPr>
          <w:rFonts w:ascii="Trebuchet MS" w:hAnsi="Trebuchet MS"/>
          <w:i/>
          <w:color w:val="37617A"/>
          <w:spacing w:val="-13"/>
          <w:sz w:val="20"/>
        </w:rPr>
        <w:t> </w:t>
      </w:r>
      <w:r>
        <w:rPr>
          <w:rFonts w:ascii="Trebuchet MS" w:hAnsi="Trebuchet MS"/>
          <w:i/>
          <w:color w:val="37617A"/>
          <w:sz w:val="20"/>
        </w:rPr>
        <w:t>better</w:t>
      </w:r>
      <w:r>
        <w:rPr>
          <w:rFonts w:ascii="Trebuchet MS" w:hAnsi="Trebuchet MS"/>
          <w:i/>
          <w:color w:val="37617A"/>
          <w:spacing w:val="-13"/>
          <w:sz w:val="20"/>
        </w:rPr>
        <w:t> </w:t>
      </w:r>
      <w:r>
        <w:rPr>
          <w:rFonts w:ascii="Trebuchet MS" w:hAnsi="Trebuchet MS"/>
          <w:i/>
          <w:color w:val="37617A"/>
          <w:sz w:val="20"/>
        </w:rPr>
        <w:t>are</w:t>
      </w:r>
      <w:r>
        <w:rPr>
          <w:rFonts w:ascii="Trebuchet MS" w:hAnsi="Trebuchet MS"/>
          <w:i/>
          <w:color w:val="37617A"/>
          <w:spacing w:val="-13"/>
          <w:sz w:val="20"/>
        </w:rPr>
        <w:t> </w:t>
      </w:r>
      <w:r>
        <w:rPr>
          <w:rFonts w:ascii="Trebuchet MS" w:hAnsi="Trebuchet MS"/>
          <w:i/>
          <w:color w:val="37617A"/>
          <w:sz w:val="20"/>
        </w:rPr>
        <w:t>giving</w:t>
      </w:r>
      <w:r>
        <w:rPr>
          <w:rFonts w:ascii="Trebuchet MS" w:hAnsi="Trebuchet MS"/>
          <w:i/>
          <w:color w:val="37617A"/>
          <w:spacing w:val="-13"/>
          <w:sz w:val="20"/>
        </w:rPr>
        <w:t> </w:t>
      </w:r>
      <w:r>
        <w:rPr>
          <w:rFonts w:ascii="Trebuchet MS" w:hAnsi="Trebuchet MS"/>
          <w:i/>
          <w:color w:val="37617A"/>
          <w:sz w:val="20"/>
        </w:rPr>
        <w:t>up.</w:t>
      </w:r>
      <w:r>
        <w:rPr>
          <w:rFonts w:ascii="Trebuchet MS" w:hAnsi="Trebuchet MS"/>
          <w:i/>
          <w:color w:val="37617A"/>
          <w:position w:val="7"/>
          <w:sz w:val="11"/>
        </w:rPr>
        <w:t>1</w:t>
      </w:r>
      <w:r>
        <w:rPr>
          <w:rFonts w:ascii="Trebuchet MS" w:hAnsi="Trebuchet MS"/>
          <w:i/>
          <w:color w:val="37617A"/>
          <w:spacing w:val="17"/>
          <w:position w:val="7"/>
          <w:sz w:val="11"/>
        </w:rPr>
        <w:t> </w:t>
      </w:r>
      <w:r>
        <w:rPr>
          <w:rFonts w:ascii="Trebuchet MS" w:hAnsi="Trebuchet MS"/>
          <w:color w:val="37617A"/>
          <w:sz w:val="19"/>
        </w:rPr>
        <w:t>—Vision</w:t>
      </w:r>
      <w:r>
        <w:rPr>
          <w:rFonts w:ascii="Trebuchet MS" w:hAnsi="Trebuchet MS"/>
          <w:color w:val="37617A"/>
          <w:spacing w:val="-12"/>
          <w:sz w:val="19"/>
        </w:rPr>
        <w:t> </w:t>
      </w:r>
      <w:r>
        <w:rPr>
          <w:rFonts w:ascii="Trebuchet MS" w:hAnsi="Trebuchet MS"/>
          <w:color w:val="37617A"/>
          <w:sz w:val="19"/>
        </w:rPr>
        <w:t>Australia</w:t>
      </w:r>
    </w:p>
    <w:p>
      <w:pPr>
        <w:pStyle w:val="BodyText"/>
        <w:spacing w:before="6"/>
        <w:rPr>
          <w:rFonts w:ascii="Trebuchet MS"/>
          <w:sz w:val="9"/>
        </w:rPr>
      </w:pPr>
      <w:r>
        <w:rPr/>
        <w:pict>
          <v:line style="position:absolute;mso-position-horizontal-relative:page;mso-position-vertical-relative:paragraph;z-index:1280;mso-wrap-distance-left:0;mso-wrap-distance-right:0" from="79.370102pt,7.768996pt" to="515.905102pt,7.768996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26"/>
        </w:numPr>
        <w:tabs>
          <w:tab w:pos="2157" w:val="left" w:leader="none"/>
          <w:tab w:pos="2158" w:val="left" w:leader="none"/>
        </w:tabs>
        <w:spacing w:line="240" w:lineRule="auto" w:before="114" w:after="0"/>
        <w:ind w:left="2157" w:right="0" w:hanging="396"/>
        <w:jc w:val="left"/>
        <w:rPr>
          <w:sz w:val="20"/>
        </w:rPr>
      </w:pPr>
      <w:r>
        <w:rPr>
          <w:spacing w:val="-9"/>
          <w:sz w:val="20"/>
        </w:rPr>
        <w:t>Two </w:t>
      </w:r>
      <w:r>
        <w:rPr>
          <w:spacing w:val="-4"/>
          <w:sz w:val="20"/>
        </w:rPr>
        <w:t>key </w:t>
      </w:r>
      <w:r>
        <w:rPr>
          <w:sz w:val="20"/>
        </w:rPr>
        <w:t>barriers </w:t>
      </w:r>
      <w:r>
        <w:rPr>
          <w:spacing w:val="-4"/>
          <w:sz w:val="20"/>
        </w:rPr>
        <w:t>prevent </w:t>
      </w:r>
      <w:r>
        <w:rPr>
          <w:sz w:val="20"/>
        </w:rPr>
        <w:t>people in the subject groups </w:t>
      </w:r>
      <w:r>
        <w:rPr>
          <w:spacing w:val="-3"/>
          <w:sz w:val="20"/>
        </w:rPr>
        <w:t>from </w:t>
      </w:r>
      <w:r>
        <w:rPr>
          <w:sz w:val="20"/>
        </w:rPr>
        <w:t>being</w:t>
      </w:r>
      <w:r>
        <w:rPr>
          <w:spacing w:val="-35"/>
          <w:sz w:val="20"/>
        </w:rPr>
        <w:t> </w:t>
      </w:r>
      <w:r>
        <w:rPr>
          <w:sz w:val="20"/>
        </w:rPr>
        <w:t>jurors.</w:t>
      </w:r>
    </w:p>
    <w:p>
      <w:pPr>
        <w:pStyle w:val="ListParagraph"/>
        <w:numPr>
          <w:ilvl w:val="0"/>
          <w:numId w:val="26"/>
        </w:numPr>
        <w:tabs>
          <w:tab w:pos="2157" w:val="left" w:leader="none"/>
          <w:tab w:pos="2158" w:val="left" w:leader="none"/>
        </w:tabs>
        <w:spacing w:line="206" w:lineRule="auto" w:before="80" w:after="0"/>
        <w:ind w:left="2157" w:right="1414" w:hanging="396"/>
        <w:jc w:val="left"/>
        <w:rPr>
          <w:sz w:val="20"/>
        </w:rPr>
      </w:pPr>
      <w:r>
        <w:rPr>
          <w:sz w:val="20"/>
        </w:rPr>
        <w:t>The</w:t>
      </w:r>
      <w:r>
        <w:rPr>
          <w:spacing w:val="-10"/>
          <w:sz w:val="20"/>
        </w:rPr>
        <w:t> </w:t>
      </w:r>
      <w:r>
        <w:rPr>
          <w:sz w:val="20"/>
        </w:rPr>
        <w:t>first</w:t>
      </w:r>
      <w:r>
        <w:rPr>
          <w:spacing w:val="-9"/>
          <w:sz w:val="20"/>
        </w:rPr>
        <w:t> </w:t>
      </w:r>
      <w:r>
        <w:rPr>
          <w:sz w:val="20"/>
        </w:rPr>
        <w:t>is</w:t>
      </w:r>
      <w:r>
        <w:rPr>
          <w:spacing w:val="-10"/>
          <w:sz w:val="20"/>
        </w:rPr>
        <w:t> </w:t>
      </w:r>
      <w:r>
        <w:rPr>
          <w:sz w:val="20"/>
        </w:rPr>
        <w:t>silence</w:t>
      </w:r>
      <w:r>
        <w:rPr>
          <w:spacing w:val="-9"/>
          <w:sz w:val="20"/>
        </w:rPr>
        <w:t> </w:t>
      </w:r>
      <w:r>
        <w:rPr>
          <w:sz w:val="20"/>
        </w:rPr>
        <w:t>in</w:t>
      </w:r>
      <w:r>
        <w:rPr>
          <w:spacing w:val="-10"/>
          <w:sz w:val="20"/>
        </w:rPr>
        <w:t> </w:t>
      </w:r>
      <w:r>
        <w:rPr>
          <w:sz w:val="20"/>
        </w:rPr>
        <w:t>the</w:t>
      </w:r>
      <w:r>
        <w:rPr>
          <w:spacing w:val="-9"/>
          <w:sz w:val="20"/>
        </w:rPr>
        <w:t> </w:t>
      </w:r>
      <w:r>
        <w:rPr>
          <w:i/>
          <w:sz w:val="20"/>
        </w:rPr>
        <w:t>Juries</w:t>
      </w:r>
      <w:r>
        <w:rPr>
          <w:i/>
          <w:spacing w:val="-9"/>
          <w:sz w:val="20"/>
        </w:rPr>
        <w:t> </w:t>
      </w:r>
      <w:r>
        <w:rPr>
          <w:i/>
          <w:sz w:val="20"/>
        </w:rPr>
        <w:t>Act</w:t>
      </w:r>
      <w:r>
        <w:rPr>
          <w:i/>
          <w:spacing w:val="-9"/>
          <w:sz w:val="20"/>
        </w:rPr>
        <w:t> </w:t>
      </w:r>
      <w:r>
        <w:rPr>
          <w:i/>
          <w:sz w:val="20"/>
        </w:rPr>
        <w:t>2000</w:t>
      </w:r>
      <w:r>
        <w:rPr>
          <w:i/>
          <w:spacing w:val="-10"/>
          <w:sz w:val="20"/>
        </w:rPr>
        <w:t> </w:t>
      </w:r>
      <w:r>
        <w:rPr>
          <w:sz w:val="20"/>
        </w:rPr>
        <w:t>(Vic)</w:t>
      </w:r>
      <w:r>
        <w:rPr>
          <w:spacing w:val="-9"/>
          <w:sz w:val="20"/>
        </w:rPr>
        <w:t> </w:t>
      </w:r>
      <w:r>
        <w:rPr>
          <w:sz w:val="20"/>
        </w:rPr>
        <w:t>about</w:t>
      </w:r>
      <w:r>
        <w:rPr>
          <w:spacing w:val="-10"/>
          <w:sz w:val="20"/>
        </w:rPr>
        <w:t> </w:t>
      </w:r>
      <w:r>
        <w:rPr>
          <w:sz w:val="20"/>
        </w:rPr>
        <w:t>the</w:t>
      </w:r>
      <w:r>
        <w:rPr>
          <w:spacing w:val="-9"/>
          <w:sz w:val="20"/>
        </w:rPr>
        <w:t> </w:t>
      </w:r>
      <w:r>
        <w:rPr>
          <w:spacing w:val="-3"/>
          <w:sz w:val="20"/>
        </w:rPr>
        <w:t>provision</w:t>
      </w:r>
      <w:r>
        <w:rPr>
          <w:spacing w:val="-9"/>
          <w:sz w:val="20"/>
        </w:rPr>
        <w:t> </w:t>
      </w:r>
      <w:r>
        <w:rPr>
          <w:sz w:val="20"/>
        </w:rPr>
        <w:t>and</w:t>
      </w:r>
      <w:r>
        <w:rPr>
          <w:spacing w:val="-10"/>
          <w:sz w:val="20"/>
        </w:rPr>
        <w:t> </w:t>
      </w:r>
      <w:r>
        <w:rPr>
          <w:sz w:val="20"/>
        </w:rPr>
        <w:t>assessment of reasonable</w:t>
      </w:r>
      <w:r>
        <w:rPr>
          <w:spacing w:val="-9"/>
          <w:sz w:val="20"/>
        </w:rPr>
        <w:t> </w:t>
      </w:r>
      <w:r>
        <w:rPr>
          <w:sz w:val="20"/>
        </w:rPr>
        <w:t>adjustments.</w:t>
      </w:r>
    </w:p>
    <w:p>
      <w:pPr>
        <w:pStyle w:val="ListParagraph"/>
        <w:numPr>
          <w:ilvl w:val="0"/>
          <w:numId w:val="26"/>
        </w:numPr>
        <w:tabs>
          <w:tab w:pos="2157" w:val="left" w:leader="none"/>
          <w:tab w:pos="2158" w:val="left" w:leader="none"/>
        </w:tabs>
        <w:spacing w:line="206" w:lineRule="auto" w:before="87" w:after="0"/>
        <w:ind w:left="2157" w:right="1316" w:hanging="396"/>
        <w:jc w:val="left"/>
        <w:rPr>
          <w:sz w:val="20"/>
        </w:rPr>
      </w:pPr>
      <w:r>
        <w:rPr>
          <w:sz w:val="20"/>
        </w:rPr>
        <w:t>The</w:t>
      </w:r>
      <w:r>
        <w:rPr>
          <w:spacing w:val="-9"/>
          <w:sz w:val="20"/>
        </w:rPr>
        <w:t> </w:t>
      </w:r>
      <w:r>
        <w:rPr>
          <w:sz w:val="20"/>
        </w:rPr>
        <w:t>second</w:t>
      </w:r>
      <w:r>
        <w:rPr>
          <w:spacing w:val="-8"/>
          <w:sz w:val="20"/>
        </w:rPr>
        <w:t> </w:t>
      </w:r>
      <w:r>
        <w:rPr>
          <w:sz w:val="20"/>
        </w:rPr>
        <w:t>is</w:t>
      </w:r>
      <w:r>
        <w:rPr>
          <w:spacing w:val="-8"/>
          <w:sz w:val="20"/>
        </w:rPr>
        <w:t> </w:t>
      </w:r>
      <w:r>
        <w:rPr>
          <w:sz w:val="20"/>
        </w:rPr>
        <w:t>the</w:t>
      </w:r>
      <w:r>
        <w:rPr>
          <w:spacing w:val="-8"/>
          <w:sz w:val="20"/>
        </w:rPr>
        <w:t> </w:t>
      </w:r>
      <w:r>
        <w:rPr>
          <w:sz w:val="20"/>
        </w:rPr>
        <w:t>common</w:t>
      </w:r>
      <w:r>
        <w:rPr>
          <w:spacing w:val="-8"/>
          <w:sz w:val="20"/>
        </w:rPr>
        <w:t> </w:t>
      </w:r>
      <w:r>
        <w:rPr>
          <w:sz w:val="20"/>
        </w:rPr>
        <w:t>law</w:t>
      </w:r>
      <w:r>
        <w:rPr>
          <w:spacing w:val="-8"/>
          <w:sz w:val="20"/>
        </w:rPr>
        <w:t> </w:t>
      </w:r>
      <w:r>
        <w:rPr>
          <w:sz w:val="20"/>
        </w:rPr>
        <w:t>rule</w:t>
      </w:r>
      <w:r>
        <w:rPr>
          <w:spacing w:val="-8"/>
          <w:sz w:val="20"/>
        </w:rPr>
        <w:t> </w:t>
      </w:r>
      <w:r>
        <w:rPr>
          <w:sz w:val="20"/>
        </w:rPr>
        <w:t>that</w:t>
      </w:r>
      <w:r>
        <w:rPr>
          <w:spacing w:val="-8"/>
          <w:sz w:val="20"/>
        </w:rPr>
        <w:t> </w:t>
      </w:r>
      <w:r>
        <w:rPr>
          <w:spacing w:val="-3"/>
          <w:sz w:val="20"/>
        </w:rPr>
        <w:t>prevents</w:t>
      </w:r>
      <w:r>
        <w:rPr>
          <w:spacing w:val="-9"/>
          <w:sz w:val="20"/>
        </w:rPr>
        <w:t> </w:t>
      </w:r>
      <w:r>
        <w:rPr>
          <w:sz w:val="20"/>
        </w:rPr>
        <w:t>Auslan</w:t>
      </w:r>
      <w:r>
        <w:rPr>
          <w:spacing w:val="-8"/>
          <w:sz w:val="20"/>
        </w:rPr>
        <w:t> </w:t>
      </w:r>
      <w:r>
        <w:rPr>
          <w:spacing w:val="-3"/>
          <w:sz w:val="20"/>
        </w:rPr>
        <w:t>interpreters</w:t>
      </w:r>
      <w:r>
        <w:rPr>
          <w:spacing w:val="-8"/>
          <w:sz w:val="20"/>
        </w:rPr>
        <w:t> </w:t>
      </w:r>
      <w:r>
        <w:rPr>
          <w:sz w:val="20"/>
        </w:rPr>
        <w:t>and</w:t>
      </w:r>
      <w:r>
        <w:rPr>
          <w:spacing w:val="-8"/>
          <w:sz w:val="20"/>
        </w:rPr>
        <w:t> </w:t>
      </w:r>
      <w:r>
        <w:rPr>
          <w:sz w:val="20"/>
        </w:rPr>
        <w:t>support people</w:t>
      </w:r>
      <w:r>
        <w:rPr>
          <w:spacing w:val="-6"/>
          <w:sz w:val="20"/>
        </w:rPr>
        <w:t> </w:t>
      </w:r>
      <w:r>
        <w:rPr>
          <w:spacing w:val="-3"/>
          <w:sz w:val="20"/>
        </w:rPr>
        <w:t>from</w:t>
      </w:r>
      <w:r>
        <w:rPr>
          <w:spacing w:val="-5"/>
          <w:sz w:val="20"/>
        </w:rPr>
        <w:t> </w:t>
      </w:r>
      <w:r>
        <w:rPr>
          <w:sz w:val="20"/>
        </w:rPr>
        <w:t>entering</w:t>
      </w:r>
      <w:r>
        <w:rPr>
          <w:spacing w:val="-5"/>
          <w:sz w:val="20"/>
        </w:rPr>
        <w:t> </w:t>
      </w:r>
      <w:r>
        <w:rPr>
          <w:sz w:val="20"/>
        </w:rPr>
        <w:t>the</w:t>
      </w:r>
      <w:r>
        <w:rPr>
          <w:spacing w:val="-5"/>
          <w:sz w:val="20"/>
        </w:rPr>
        <w:t> </w:t>
      </w:r>
      <w:r>
        <w:rPr>
          <w:sz w:val="20"/>
        </w:rPr>
        <w:t>jury</w:t>
      </w:r>
      <w:r>
        <w:rPr>
          <w:spacing w:val="-5"/>
          <w:sz w:val="20"/>
        </w:rPr>
        <w:t> </w:t>
      </w:r>
      <w:r>
        <w:rPr>
          <w:sz w:val="20"/>
        </w:rPr>
        <w:t>room</w:t>
      </w:r>
      <w:r>
        <w:rPr>
          <w:spacing w:val="-5"/>
          <w:sz w:val="20"/>
        </w:rPr>
        <w:t> </w:t>
      </w:r>
      <w:r>
        <w:rPr>
          <w:sz w:val="20"/>
        </w:rPr>
        <w:t>(the</w:t>
      </w:r>
      <w:r>
        <w:rPr>
          <w:spacing w:val="-5"/>
          <w:sz w:val="20"/>
        </w:rPr>
        <w:t> </w:t>
      </w:r>
      <w:r>
        <w:rPr>
          <w:sz w:val="20"/>
        </w:rPr>
        <w:t>‘13th</w:t>
      </w:r>
      <w:r>
        <w:rPr>
          <w:spacing w:val="-5"/>
          <w:sz w:val="20"/>
        </w:rPr>
        <w:t> </w:t>
      </w:r>
      <w:r>
        <w:rPr>
          <w:sz w:val="20"/>
        </w:rPr>
        <w:t>person</w:t>
      </w:r>
      <w:r>
        <w:rPr>
          <w:spacing w:val="-5"/>
          <w:sz w:val="20"/>
        </w:rPr>
        <w:t> </w:t>
      </w:r>
      <w:r>
        <w:rPr>
          <w:spacing w:val="-3"/>
          <w:sz w:val="20"/>
        </w:rPr>
        <w:t>rule’).</w:t>
      </w:r>
    </w:p>
    <w:p>
      <w:pPr>
        <w:pStyle w:val="ListParagraph"/>
        <w:numPr>
          <w:ilvl w:val="0"/>
          <w:numId w:val="26"/>
        </w:numPr>
        <w:tabs>
          <w:tab w:pos="2157" w:val="left" w:leader="none"/>
          <w:tab w:pos="2158" w:val="left" w:leader="none"/>
        </w:tabs>
        <w:spacing w:line="206" w:lineRule="auto" w:before="88" w:after="0"/>
        <w:ind w:left="2157" w:right="1227" w:hanging="396"/>
        <w:jc w:val="left"/>
        <w:rPr>
          <w:sz w:val="20"/>
        </w:rPr>
      </w:pPr>
      <w:r>
        <w:rPr>
          <w:spacing w:val="-4"/>
          <w:sz w:val="20"/>
        </w:rPr>
        <w:t>Arguably, </w:t>
      </w:r>
      <w:r>
        <w:rPr>
          <w:sz w:val="20"/>
        </w:rPr>
        <w:t>a third barrier also arises because of prejudice and misconceptions about the ability of people in the subject groups to serve as jurors with adjustments,</w:t>
      </w:r>
      <w:r>
        <w:rPr>
          <w:spacing w:val="-11"/>
          <w:sz w:val="20"/>
        </w:rPr>
        <w:t> </w:t>
      </w:r>
      <w:r>
        <w:rPr>
          <w:sz w:val="20"/>
        </w:rPr>
        <w:t>and</w:t>
      </w:r>
      <w:r>
        <w:rPr>
          <w:spacing w:val="-11"/>
          <w:sz w:val="20"/>
        </w:rPr>
        <w:t> </w:t>
      </w:r>
      <w:r>
        <w:rPr>
          <w:sz w:val="20"/>
        </w:rPr>
        <w:t>poor</w:t>
      </w:r>
      <w:r>
        <w:rPr>
          <w:spacing w:val="-11"/>
          <w:sz w:val="20"/>
        </w:rPr>
        <w:t> </w:t>
      </w:r>
      <w:r>
        <w:rPr>
          <w:sz w:val="20"/>
        </w:rPr>
        <w:t>understanding</w:t>
      </w:r>
      <w:r>
        <w:rPr>
          <w:spacing w:val="-11"/>
          <w:sz w:val="20"/>
        </w:rPr>
        <w:t> </w:t>
      </w:r>
      <w:r>
        <w:rPr>
          <w:sz w:val="20"/>
        </w:rPr>
        <w:t>about</w:t>
      </w:r>
      <w:r>
        <w:rPr>
          <w:spacing w:val="-11"/>
          <w:sz w:val="20"/>
        </w:rPr>
        <w:t> </w:t>
      </w:r>
      <w:r>
        <w:rPr>
          <w:spacing w:val="-3"/>
          <w:sz w:val="20"/>
        </w:rPr>
        <w:t>how</w:t>
      </w:r>
      <w:r>
        <w:rPr>
          <w:spacing w:val="-11"/>
          <w:sz w:val="20"/>
        </w:rPr>
        <w:t> </w:t>
      </w:r>
      <w:r>
        <w:rPr>
          <w:sz w:val="20"/>
        </w:rPr>
        <w:t>adjustments</w:t>
      </w:r>
      <w:r>
        <w:rPr>
          <w:spacing w:val="-11"/>
          <w:sz w:val="20"/>
        </w:rPr>
        <w:t> </w:t>
      </w:r>
      <w:r>
        <w:rPr>
          <w:spacing w:val="-3"/>
          <w:sz w:val="20"/>
        </w:rPr>
        <w:t>work</w:t>
      </w:r>
      <w:r>
        <w:rPr>
          <w:spacing w:val="-11"/>
          <w:sz w:val="20"/>
        </w:rPr>
        <w:t> </w:t>
      </w:r>
      <w:r>
        <w:rPr>
          <w:sz w:val="20"/>
        </w:rPr>
        <w:t>in</w:t>
      </w:r>
      <w:r>
        <w:rPr>
          <w:spacing w:val="-11"/>
          <w:sz w:val="20"/>
        </w:rPr>
        <w:t> </w:t>
      </w:r>
      <w:r>
        <w:rPr>
          <w:sz w:val="20"/>
        </w:rPr>
        <w:t>practice.</w:t>
      </w:r>
      <w:r>
        <w:rPr>
          <w:spacing w:val="-10"/>
          <w:sz w:val="20"/>
        </w:rPr>
        <w:t> </w:t>
      </w:r>
      <w:r>
        <w:rPr>
          <w:spacing w:val="-6"/>
          <w:sz w:val="20"/>
        </w:rPr>
        <w:t>We </w:t>
      </w:r>
      <w:r>
        <w:rPr>
          <w:spacing w:val="-3"/>
          <w:sz w:val="20"/>
        </w:rPr>
        <w:t>explore </w:t>
      </w:r>
      <w:r>
        <w:rPr>
          <w:sz w:val="20"/>
        </w:rPr>
        <w:t>this in </w:t>
      </w:r>
      <w:r>
        <w:rPr>
          <w:spacing w:val="-2"/>
          <w:sz w:val="20"/>
        </w:rPr>
        <w:t>Chapter</w:t>
      </w:r>
      <w:r>
        <w:rPr>
          <w:spacing w:val="-14"/>
          <w:sz w:val="20"/>
        </w:rPr>
        <w:t> </w:t>
      </w:r>
      <w:r>
        <w:rPr>
          <w:sz w:val="20"/>
        </w:rPr>
        <w:t>9.</w:t>
      </w:r>
    </w:p>
    <w:p>
      <w:pPr>
        <w:pStyle w:val="ListParagraph"/>
        <w:numPr>
          <w:ilvl w:val="0"/>
          <w:numId w:val="26"/>
        </w:numPr>
        <w:tabs>
          <w:tab w:pos="2157" w:val="left" w:leader="none"/>
          <w:tab w:pos="2158" w:val="left" w:leader="none"/>
        </w:tabs>
        <w:spacing w:line="206" w:lineRule="auto" w:before="90" w:after="0"/>
        <w:ind w:left="2157" w:right="1209" w:hanging="396"/>
        <w:jc w:val="left"/>
        <w:rPr>
          <w:sz w:val="20"/>
        </w:rPr>
      </w:pPr>
      <w:r>
        <w:rPr>
          <w:sz w:val="20"/>
        </w:rPr>
        <w:t>The combination of silence in the </w:t>
      </w:r>
      <w:r>
        <w:rPr>
          <w:spacing w:val="-2"/>
          <w:sz w:val="20"/>
        </w:rPr>
        <w:t>Act </w:t>
      </w:r>
      <w:r>
        <w:rPr>
          <w:sz w:val="20"/>
        </w:rPr>
        <w:t>and the 13th person rule means that </w:t>
      </w:r>
      <w:r>
        <w:rPr>
          <w:spacing w:val="-3"/>
          <w:sz w:val="20"/>
        </w:rPr>
        <w:t>many </w:t>
      </w:r>
      <w:r>
        <w:rPr>
          <w:sz w:val="20"/>
        </w:rPr>
        <w:t>people in the subject groups </w:t>
      </w:r>
      <w:r>
        <w:rPr>
          <w:spacing w:val="-3"/>
          <w:sz w:val="20"/>
        </w:rPr>
        <w:t>are </w:t>
      </w:r>
      <w:r>
        <w:rPr>
          <w:sz w:val="20"/>
        </w:rPr>
        <w:t>left with no option other than to seek to be </w:t>
      </w:r>
      <w:r>
        <w:rPr>
          <w:spacing w:val="-3"/>
          <w:sz w:val="20"/>
        </w:rPr>
        <w:t>excused from </w:t>
      </w:r>
      <w:r>
        <w:rPr>
          <w:sz w:val="20"/>
        </w:rPr>
        <w:t>jury duty or be deemed ineligible to serve. Most people in the subject</w:t>
      </w:r>
      <w:r>
        <w:rPr>
          <w:spacing w:val="-8"/>
          <w:sz w:val="20"/>
        </w:rPr>
        <w:t> </w:t>
      </w:r>
      <w:r>
        <w:rPr>
          <w:sz w:val="20"/>
        </w:rPr>
        <w:t>groups</w:t>
      </w:r>
      <w:r>
        <w:rPr>
          <w:spacing w:val="-8"/>
          <w:sz w:val="20"/>
        </w:rPr>
        <w:t> </w:t>
      </w:r>
      <w:r>
        <w:rPr>
          <w:spacing w:val="-3"/>
          <w:sz w:val="20"/>
        </w:rPr>
        <w:t>are</w:t>
      </w:r>
      <w:r>
        <w:rPr>
          <w:spacing w:val="-8"/>
          <w:sz w:val="20"/>
        </w:rPr>
        <w:t> </w:t>
      </w:r>
      <w:r>
        <w:rPr>
          <w:spacing w:val="-3"/>
          <w:sz w:val="20"/>
        </w:rPr>
        <w:t>excused</w:t>
      </w:r>
      <w:r>
        <w:rPr>
          <w:spacing w:val="-8"/>
          <w:sz w:val="20"/>
        </w:rPr>
        <w:t> </w:t>
      </w:r>
      <w:r>
        <w:rPr>
          <w:spacing w:val="-3"/>
          <w:sz w:val="20"/>
        </w:rPr>
        <w:t>from</w:t>
      </w:r>
      <w:r>
        <w:rPr>
          <w:spacing w:val="-8"/>
          <w:sz w:val="20"/>
        </w:rPr>
        <w:t> </w:t>
      </w:r>
      <w:r>
        <w:rPr>
          <w:sz w:val="20"/>
        </w:rPr>
        <w:t>jury</w:t>
      </w:r>
      <w:r>
        <w:rPr>
          <w:spacing w:val="-7"/>
          <w:sz w:val="20"/>
        </w:rPr>
        <w:t> </w:t>
      </w:r>
      <w:r>
        <w:rPr>
          <w:sz w:val="20"/>
        </w:rPr>
        <w:t>duty</w:t>
      </w:r>
      <w:r>
        <w:rPr>
          <w:spacing w:val="-8"/>
          <w:sz w:val="20"/>
        </w:rPr>
        <w:t> </w:t>
      </w:r>
      <w:r>
        <w:rPr>
          <w:sz w:val="20"/>
        </w:rPr>
        <w:t>at</w:t>
      </w:r>
      <w:r>
        <w:rPr>
          <w:spacing w:val="-8"/>
          <w:sz w:val="20"/>
        </w:rPr>
        <w:t> </w:t>
      </w:r>
      <w:r>
        <w:rPr>
          <w:sz w:val="20"/>
        </w:rPr>
        <w:t>the</w:t>
      </w:r>
      <w:r>
        <w:rPr>
          <w:spacing w:val="-8"/>
          <w:sz w:val="20"/>
        </w:rPr>
        <w:t> </w:t>
      </w:r>
      <w:r>
        <w:rPr>
          <w:sz w:val="20"/>
        </w:rPr>
        <w:t>earliest</w:t>
      </w:r>
      <w:r>
        <w:rPr>
          <w:spacing w:val="-8"/>
          <w:sz w:val="20"/>
        </w:rPr>
        <w:t> </w:t>
      </w:r>
      <w:r>
        <w:rPr>
          <w:sz w:val="20"/>
        </w:rPr>
        <w:t>stage</w:t>
      </w:r>
      <w:r>
        <w:rPr>
          <w:spacing w:val="-7"/>
          <w:sz w:val="20"/>
        </w:rPr>
        <w:t> </w:t>
      </w:r>
      <w:r>
        <w:rPr>
          <w:sz w:val="20"/>
        </w:rPr>
        <w:t>of</w:t>
      </w:r>
      <w:r>
        <w:rPr>
          <w:spacing w:val="-8"/>
          <w:sz w:val="20"/>
        </w:rPr>
        <w:t> </w:t>
      </w:r>
      <w:r>
        <w:rPr>
          <w:sz w:val="20"/>
        </w:rPr>
        <w:t>the</w:t>
      </w:r>
      <w:r>
        <w:rPr>
          <w:spacing w:val="-8"/>
          <w:sz w:val="20"/>
        </w:rPr>
        <w:t> </w:t>
      </w:r>
      <w:r>
        <w:rPr>
          <w:sz w:val="20"/>
        </w:rPr>
        <w:t>jury</w:t>
      </w:r>
      <w:r>
        <w:rPr>
          <w:spacing w:val="-8"/>
          <w:sz w:val="20"/>
        </w:rPr>
        <w:t> </w:t>
      </w:r>
      <w:r>
        <w:rPr>
          <w:sz w:val="20"/>
        </w:rPr>
        <w:t>selection process.</w:t>
      </w:r>
    </w:p>
    <w:p>
      <w:pPr>
        <w:pStyle w:val="ListParagraph"/>
        <w:numPr>
          <w:ilvl w:val="0"/>
          <w:numId w:val="26"/>
        </w:numPr>
        <w:tabs>
          <w:tab w:pos="2157" w:val="left" w:leader="none"/>
          <w:tab w:pos="2158" w:val="left" w:leader="none"/>
        </w:tabs>
        <w:spacing w:line="206" w:lineRule="auto" w:before="91" w:after="0"/>
        <w:ind w:left="2157" w:right="1508" w:hanging="396"/>
        <w:jc w:val="left"/>
        <w:rPr>
          <w:sz w:val="20"/>
        </w:rPr>
      </w:pPr>
      <w:r>
        <w:rPr>
          <w:sz w:val="20"/>
        </w:rPr>
        <w:t>Peremptory</w:t>
      </w:r>
      <w:r>
        <w:rPr>
          <w:spacing w:val="-13"/>
          <w:sz w:val="20"/>
        </w:rPr>
        <w:t> </w:t>
      </w:r>
      <w:r>
        <w:rPr>
          <w:sz w:val="20"/>
        </w:rPr>
        <w:t>challenges</w:t>
      </w:r>
      <w:r>
        <w:rPr>
          <w:spacing w:val="-12"/>
          <w:sz w:val="20"/>
        </w:rPr>
        <w:t> </w:t>
      </w:r>
      <w:r>
        <w:rPr>
          <w:sz w:val="20"/>
        </w:rPr>
        <w:t>and</w:t>
      </w:r>
      <w:r>
        <w:rPr>
          <w:spacing w:val="-12"/>
          <w:sz w:val="20"/>
        </w:rPr>
        <w:t> </w:t>
      </w:r>
      <w:r>
        <w:rPr>
          <w:sz w:val="20"/>
        </w:rPr>
        <w:t>stand</w:t>
      </w:r>
      <w:r>
        <w:rPr>
          <w:spacing w:val="-12"/>
          <w:sz w:val="20"/>
        </w:rPr>
        <w:t> </w:t>
      </w:r>
      <w:r>
        <w:rPr>
          <w:sz w:val="20"/>
        </w:rPr>
        <w:t>asides</w:t>
      </w:r>
      <w:r>
        <w:rPr>
          <w:spacing w:val="-12"/>
          <w:sz w:val="20"/>
        </w:rPr>
        <w:t> </w:t>
      </w:r>
      <w:r>
        <w:rPr>
          <w:spacing w:val="-3"/>
          <w:sz w:val="20"/>
        </w:rPr>
        <w:t>exercised</w:t>
      </w:r>
      <w:r>
        <w:rPr>
          <w:spacing w:val="-12"/>
          <w:sz w:val="20"/>
        </w:rPr>
        <w:t> </w:t>
      </w:r>
      <w:r>
        <w:rPr>
          <w:sz w:val="20"/>
        </w:rPr>
        <w:t>late</w:t>
      </w:r>
      <w:r>
        <w:rPr>
          <w:spacing w:val="-12"/>
          <w:sz w:val="20"/>
        </w:rPr>
        <w:t> </w:t>
      </w:r>
      <w:r>
        <w:rPr>
          <w:sz w:val="20"/>
        </w:rPr>
        <w:t>in</w:t>
      </w:r>
      <w:r>
        <w:rPr>
          <w:spacing w:val="-12"/>
          <w:sz w:val="20"/>
        </w:rPr>
        <w:t> </w:t>
      </w:r>
      <w:r>
        <w:rPr>
          <w:sz w:val="20"/>
        </w:rPr>
        <w:t>the</w:t>
      </w:r>
      <w:r>
        <w:rPr>
          <w:spacing w:val="-12"/>
          <w:sz w:val="20"/>
        </w:rPr>
        <w:t> </w:t>
      </w:r>
      <w:r>
        <w:rPr>
          <w:sz w:val="20"/>
        </w:rPr>
        <w:t>selection</w:t>
      </w:r>
      <w:r>
        <w:rPr>
          <w:spacing w:val="-12"/>
          <w:sz w:val="20"/>
        </w:rPr>
        <w:t> </w:t>
      </w:r>
      <w:r>
        <w:rPr>
          <w:sz w:val="20"/>
        </w:rPr>
        <w:t>process </w:t>
      </w:r>
      <w:r>
        <w:rPr>
          <w:spacing w:val="-3"/>
          <w:sz w:val="20"/>
        </w:rPr>
        <w:t>may</w:t>
      </w:r>
      <w:r>
        <w:rPr>
          <w:spacing w:val="-6"/>
          <w:sz w:val="20"/>
        </w:rPr>
        <w:t> </w:t>
      </w:r>
      <w:r>
        <w:rPr>
          <w:sz w:val="20"/>
        </w:rPr>
        <w:t>also</w:t>
      </w:r>
      <w:r>
        <w:rPr>
          <w:spacing w:val="-5"/>
          <w:sz w:val="20"/>
        </w:rPr>
        <w:t> </w:t>
      </w:r>
      <w:r>
        <w:rPr>
          <w:spacing w:val="-4"/>
          <w:sz w:val="20"/>
        </w:rPr>
        <w:t>prevent</w:t>
      </w:r>
      <w:r>
        <w:rPr>
          <w:spacing w:val="-6"/>
          <w:sz w:val="20"/>
        </w:rPr>
        <w:t> </w:t>
      </w:r>
      <w:r>
        <w:rPr>
          <w:sz w:val="20"/>
        </w:rPr>
        <w:t>people</w:t>
      </w:r>
      <w:r>
        <w:rPr>
          <w:spacing w:val="-5"/>
          <w:sz w:val="20"/>
        </w:rPr>
        <w:t> </w:t>
      </w:r>
      <w:r>
        <w:rPr>
          <w:sz w:val="20"/>
        </w:rPr>
        <w:t>in</w:t>
      </w:r>
      <w:r>
        <w:rPr>
          <w:spacing w:val="-6"/>
          <w:sz w:val="20"/>
        </w:rPr>
        <w:t> </w:t>
      </w:r>
      <w:r>
        <w:rPr>
          <w:sz w:val="20"/>
        </w:rPr>
        <w:t>the</w:t>
      </w:r>
      <w:r>
        <w:rPr>
          <w:spacing w:val="-5"/>
          <w:sz w:val="20"/>
        </w:rPr>
        <w:t> </w:t>
      </w:r>
      <w:r>
        <w:rPr>
          <w:sz w:val="20"/>
        </w:rPr>
        <w:t>subject</w:t>
      </w:r>
      <w:r>
        <w:rPr>
          <w:spacing w:val="-5"/>
          <w:sz w:val="20"/>
        </w:rPr>
        <w:t> </w:t>
      </w:r>
      <w:r>
        <w:rPr>
          <w:sz w:val="20"/>
        </w:rPr>
        <w:t>groups</w:t>
      </w:r>
      <w:r>
        <w:rPr>
          <w:spacing w:val="-6"/>
          <w:sz w:val="20"/>
        </w:rPr>
        <w:t> </w:t>
      </w:r>
      <w:r>
        <w:rPr>
          <w:spacing w:val="-3"/>
          <w:sz w:val="20"/>
        </w:rPr>
        <w:t>from</w:t>
      </w:r>
      <w:r>
        <w:rPr>
          <w:spacing w:val="-5"/>
          <w:sz w:val="20"/>
        </w:rPr>
        <w:t> </w:t>
      </w:r>
      <w:r>
        <w:rPr>
          <w:sz w:val="20"/>
        </w:rPr>
        <w:t>serving</w:t>
      </w:r>
      <w:r>
        <w:rPr>
          <w:spacing w:val="-6"/>
          <w:sz w:val="20"/>
        </w:rPr>
        <w:t> </w:t>
      </w:r>
      <w:r>
        <w:rPr>
          <w:sz w:val="20"/>
        </w:rPr>
        <w:t>as</w:t>
      </w:r>
      <w:r>
        <w:rPr>
          <w:spacing w:val="-5"/>
          <w:sz w:val="20"/>
        </w:rPr>
        <w:t> </w:t>
      </w:r>
      <w:r>
        <w:rPr>
          <w:sz w:val="20"/>
        </w:rPr>
        <w:t>jurors.</w:t>
      </w:r>
    </w:p>
    <w:p>
      <w:pPr>
        <w:spacing w:before="193"/>
        <w:ind w:left="967" w:right="0" w:firstLine="0"/>
        <w:jc w:val="left"/>
        <w:rPr>
          <w:rFonts w:ascii="Raleway ExtraBold"/>
          <w:b/>
          <w:sz w:val="28"/>
        </w:rPr>
      </w:pPr>
      <w:r>
        <w:rPr>
          <w:rFonts w:ascii="Raleway ExtraBold"/>
          <w:b/>
          <w:color w:val="37617A"/>
          <w:sz w:val="28"/>
        </w:rPr>
        <w:t>How the law and practices exclude people</w:t>
      </w:r>
    </w:p>
    <w:p>
      <w:pPr>
        <w:pStyle w:val="ListParagraph"/>
        <w:numPr>
          <w:ilvl w:val="1"/>
          <w:numId w:val="12"/>
        </w:numPr>
        <w:tabs>
          <w:tab w:pos="1761" w:val="left" w:leader="none"/>
          <w:tab w:pos="1762" w:val="left" w:leader="none"/>
        </w:tabs>
        <w:spacing w:line="206" w:lineRule="auto" w:before="146" w:after="0"/>
        <w:ind w:left="1761" w:right="1204" w:hanging="794"/>
        <w:jc w:val="left"/>
        <w:rPr>
          <w:sz w:val="20"/>
        </w:rPr>
      </w:pPr>
      <w:r>
        <w:rPr>
          <w:sz w:val="20"/>
        </w:rPr>
        <w:t>A</w:t>
      </w:r>
      <w:r>
        <w:rPr>
          <w:spacing w:val="-9"/>
          <w:sz w:val="20"/>
        </w:rPr>
        <w:t> </w:t>
      </w:r>
      <w:r>
        <w:rPr>
          <w:sz w:val="20"/>
        </w:rPr>
        <w:t>combination</w:t>
      </w:r>
      <w:r>
        <w:rPr>
          <w:spacing w:val="-9"/>
          <w:sz w:val="20"/>
        </w:rPr>
        <w:t> </w:t>
      </w:r>
      <w:r>
        <w:rPr>
          <w:sz w:val="20"/>
        </w:rPr>
        <w:t>of</w:t>
      </w:r>
      <w:r>
        <w:rPr>
          <w:spacing w:val="-8"/>
          <w:sz w:val="20"/>
        </w:rPr>
        <w:t> </w:t>
      </w:r>
      <w:r>
        <w:rPr>
          <w:sz w:val="20"/>
        </w:rPr>
        <w:t>law</w:t>
      </w:r>
      <w:r>
        <w:rPr>
          <w:spacing w:val="-9"/>
          <w:sz w:val="20"/>
        </w:rPr>
        <w:t> </w:t>
      </w:r>
      <w:r>
        <w:rPr>
          <w:sz w:val="20"/>
        </w:rPr>
        <w:t>and</w:t>
      </w:r>
      <w:r>
        <w:rPr>
          <w:spacing w:val="-9"/>
          <w:sz w:val="20"/>
        </w:rPr>
        <w:t> </w:t>
      </w:r>
      <w:r>
        <w:rPr>
          <w:sz w:val="20"/>
        </w:rPr>
        <w:t>practices</w:t>
      </w:r>
      <w:r>
        <w:rPr>
          <w:spacing w:val="-8"/>
          <w:sz w:val="20"/>
        </w:rPr>
        <w:t> </w:t>
      </w:r>
      <w:r>
        <w:rPr>
          <w:spacing w:val="-4"/>
          <w:sz w:val="20"/>
        </w:rPr>
        <w:t>prevent</w:t>
      </w:r>
      <w:r>
        <w:rPr>
          <w:spacing w:val="-9"/>
          <w:sz w:val="20"/>
        </w:rPr>
        <w:t> </w:t>
      </w:r>
      <w:r>
        <w:rPr>
          <w:spacing w:val="-3"/>
          <w:sz w:val="20"/>
        </w:rPr>
        <w:t>many</w:t>
      </w:r>
      <w:r>
        <w:rPr>
          <w:spacing w:val="-9"/>
          <w:sz w:val="20"/>
        </w:rPr>
        <w:t> </w:t>
      </w:r>
      <w:r>
        <w:rPr>
          <w:sz w:val="20"/>
        </w:rPr>
        <w:t>people</w:t>
      </w:r>
      <w:r>
        <w:rPr>
          <w:spacing w:val="-8"/>
          <w:sz w:val="20"/>
        </w:rPr>
        <w:t> </w:t>
      </w:r>
      <w:r>
        <w:rPr>
          <w:sz w:val="20"/>
        </w:rPr>
        <w:t>who</w:t>
      </w:r>
      <w:r>
        <w:rPr>
          <w:spacing w:val="-9"/>
          <w:sz w:val="20"/>
        </w:rPr>
        <w:t> </w:t>
      </w:r>
      <w:r>
        <w:rPr>
          <w:spacing w:val="-3"/>
          <w:sz w:val="20"/>
        </w:rPr>
        <w:t>are</w:t>
      </w:r>
      <w:r>
        <w:rPr>
          <w:spacing w:val="-9"/>
          <w:sz w:val="20"/>
        </w:rPr>
        <w:t> </w:t>
      </w:r>
      <w:r>
        <w:rPr>
          <w:spacing w:val="-4"/>
          <w:sz w:val="20"/>
        </w:rPr>
        <w:t>deaf,</w:t>
      </w:r>
      <w:r>
        <w:rPr>
          <w:spacing w:val="-8"/>
          <w:sz w:val="20"/>
        </w:rPr>
        <w:t> </w:t>
      </w:r>
      <w:r>
        <w:rPr>
          <w:sz w:val="20"/>
        </w:rPr>
        <w:t>hard</w:t>
      </w:r>
      <w:r>
        <w:rPr>
          <w:spacing w:val="-9"/>
          <w:sz w:val="20"/>
        </w:rPr>
        <w:t> </w:t>
      </w:r>
      <w:r>
        <w:rPr>
          <w:sz w:val="20"/>
        </w:rPr>
        <w:t>of</w:t>
      </w:r>
      <w:r>
        <w:rPr>
          <w:spacing w:val="-9"/>
          <w:sz w:val="20"/>
        </w:rPr>
        <w:t> </w:t>
      </w:r>
      <w:r>
        <w:rPr>
          <w:sz w:val="20"/>
        </w:rPr>
        <w:t>hearing, blind or </w:t>
      </w:r>
      <w:r>
        <w:rPr>
          <w:spacing w:val="-4"/>
          <w:sz w:val="20"/>
        </w:rPr>
        <w:t>have low </w:t>
      </w:r>
      <w:r>
        <w:rPr>
          <w:sz w:val="20"/>
        </w:rPr>
        <w:t>vision </w:t>
      </w:r>
      <w:r>
        <w:rPr>
          <w:spacing w:val="-3"/>
          <w:sz w:val="20"/>
        </w:rPr>
        <w:t>from </w:t>
      </w:r>
      <w:r>
        <w:rPr>
          <w:sz w:val="20"/>
        </w:rPr>
        <w:t>serving as</w:t>
      </w:r>
      <w:r>
        <w:rPr>
          <w:spacing w:val="-24"/>
          <w:sz w:val="20"/>
        </w:rPr>
        <w:t> </w:t>
      </w:r>
      <w:r>
        <w:rPr>
          <w:sz w:val="20"/>
        </w:rPr>
        <w:t>jurors.</w:t>
      </w:r>
    </w:p>
    <w:p>
      <w:pPr>
        <w:spacing w:before="161"/>
        <w:ind w:left="967" w:right="0" w:firstLine="0"/>
        <w:jc w:val="left"/>
        <w:rPr>
          <w:b/>
          <w:sz w:val="24"/>
        </w:rPr>
      </w:pPr>
      <w:r>
        <w:rPr>
          <w:b/>
          <w:sz w:val="24"/>
        </w:rPr>
        <w:t>Limitations in the Juries Act</w:t>
      </w:r>
    </w:p>
    <w:p>
      <w:pPr>
        <w:pStyle w:val="ListParagraph"/>
        <w:numPr>
          <w:ilvl w:val="1"/>
          <w:numId w:val="12"/>
        </w:numPr>
        <w:tabs>
          <w:tab w:pos="1761" w:val="left" w:leader="none"/>
          <w:tab w:pos="1762" w:val="left" w:leader="none"/>
        </w:tabs>
        <w:spacing w:line="206" w:lineRule="auto" w:before="127" w:after="0"/>
        <w:ind w:left="1761" w:right="1336" w:hanging="794"/>
        <w:jc w:val="left"/>
        <w:rPr>
          <w:sz w:val="11"/>
        </w:rPr>
      </w:pPr>
      <w:r>
        <w:rPr>
          <w:sz w:val="20"/>
        </w:rPr>
        <w:t>The </w:t>
      </w:r>
      <w:r>
        <w:rPr>
          <w:i/>
          <w:sz w:val="20"/>
        </w:rPr>
        <w:t>Juries Act 2000 </w:t>
      </w:r>
      <w:r>
        <w:rPr>
          <w:sz w:val="20"/>
        </w:rPr>
        <w:t>(Vic) (the Act) states that, if a person has a </w:t>
      </w:r>
      <w:r>
        <w:rPr>
          <w:spacing w:val="-3"/>
          <w:sz w:val="20"/>
        </w:rPr>
        <w:t>‘physical </w:t>
      </w:r>
      <w:r>
        <w:rPr>
          <w:sz w:val="20"/>
        </w:rPr>
        <w:t>disability that renders the person incapable of performing the duties of jury service’ or is ‘unable to communicate</w:t>
      </w:r>
      <w:r>
        <w:rPr>
          <w:spacing w:val="-13"/>
          <w:sz w:val="20"/>
        </w:rPr>
        <w:t> </w:t>
      </w:r>
      <w:r>
        <w:rPr>
          <w:sz w:val="20"/>
        </w:rPr>
        <w:t>in</w:t>
      </w:r>
      <w:r>
        <w:rPr>
          <w:spacing w:val="-12"/>
          <w:sz w:val="20"/>
        </w:rPr>
        <w:t> </w:t>
      </w:r>
      <w:r>
        <w:rPr>
          <w:sz w:val="20"/>
        </w:rPr>
        <w:t>or</w:t>
      </w:r>
      <w:r>
        <w:rPr>
          <w:spacing w:val="-12"/>
          <w:sz w:val="20"/>
        </w:rPr>
        <w:t> </w:t>
      </w:r>
      <w:r>
        <w:rPr>
          <w:sz w:val="20"/>
        </w:rPr>
        <w:t>understand</w:t>
      </w:r>
      <w:r>
        <w:rPr>
          <w:spacing w:val="-12"/>
          <w:sz w:val="20"/>
        </w:rPr>
        <w:t> </w:t>
      </w:r>
      <w:r>
        <w:rPr>
          <w:sz w:val="20"/>
        </w:rPr>
        <w:t>the</w:t>
      </w:r>
      <w:r>
        <w:rPr>
          <w:spacing w:val="-12"/>
          <w:sz w:val="20"/>
        </w:rPr>
        <w:t> </w:t>
      </w:r>
      <w:r>
        <w:rPr>
          <w:sz w:val="20"/>
        </w:rPr>
        <w:t>English</w:t>
      </w:r>
      <w:r>
        <w:rPr>
          <w:spacing w:val="-12"/>
          <w:sz w:val="20"/>
        </w:rPr>
        <w:t> </w:t>
      </w:r>
      <w:r>
        <w:rPr>
          <w:sz w:val="20"/>
        </w:rPr>
        <w:t>language</w:t>
      </w:r>
      <w:r>
        <w:rPr>
          <w:spacing w:val="-13"/>
          <w:sz w:val="20"/>
        </w:rPr>
        <w:t> </w:t>
      </w:r>
      <w:r>
        <w:rPr>
          <w:spacing w:val="-3"/>
          <w:sz w:val="20"/>
        </w:rPr>
        <w:t>adequately’,</w:t>
      </w:r>
      <w:r>
        <w:rPr>
          <w:spacing w:val="-12"/>
          <w:sz w:val="20"/>
        </w:rPr>
        <w:t> </w:t>
      </w:r>
      <w:r>
        <w:rPr>
          <w:sz w:val="20"/>
        </w:rPr>
        <w:t>they</w:t>
      </w:r>
      <w:r>
        <w:rPr>
          <w:spacing w:val="-12"/>
          <w:sz w:val="20"/>
        </w:rPr>
        <w:t> </w:t>
      </w:r>
      <w:r>
        <w:rPr>
          <w:spacing w:val="-3"/>
          <w:sz w:val="20"/>
        </w:rPr>
        <w:t>are</w:t>
      </w:r>
      <w:r>
        <w:rPr>
          <w:spacing w:val="-12"/>
          <w:sz w:val="20"/>
        </w:rPr>
        <w:t> </w:t>
      </w:r>
      <w:r>
        <w:rPr>
          <w:sz w:val="20"/>
        </w:rPr>
        <w:t>ineligible</w:t>
      </w:r>
      <w:r>
        <w:rPr>
          <w:spacing w:val="-12"/>
          <w:sz w:val="20"/>
        </w:rPr>
        <w:t> </w:t>
      </w:r>
      <w:r>
        <w:rPr>
          <w:sz w:val="20"/>
        </w:rPr>
        <w:t>to serve.</w:t>
      </w:r>
      <w:r>
        <w:rPr>
          <w:position w:val="7"/>
          <w:sz w:val="11"/>
        </w:rPr>
        <w:t>2</w:t>
      </w:r>
    </w:p>
    <w:p>
      <w:pPr>
        <w:pStyle w:val="BodyText"/>
      </w:pPr>
    </w:p>
    <w:p>
      <w:pPr>
        <w:pStyle w:val="BodyText"/>
      </w:pPr>
    </w:p>
    <w:p>
      <w:pPr>
        <w:pStyle w:val="BodyText"/>
      </w:pPr>
    </w:p>
    <w:p>
      <w:pPr>
        <w:pStyle w:val="BodyText"/>
        <w:spacing w:before="10"/>
        <w:rPr>
          <w:sz w:val="10"/>
        </w:rPr>
      </w:pPr>
      <w:r>
        <w:rPr/>
        <w:pict>
          <v:line style="position:absolute;mso-position-horizontal-relative:page;mso-position-vertical-relative:paragraph;z-index:1304;mso-wrap-distance-left:0;mso-wrap-distance-right:0" from="79.370003pt,9.938344pt" to="515.905003pt,9.938344pt" stroked="true" strokeweight="1pt" strokecolor="#b6bdc8">
            <v:stroke dashstyle="solid"/>
            <w10:wrap type="topAndBottom"/>
          </v:line>
        </w:pict>
      </w:r>
    </w:p>
    <w:p>
      <w:pPr>
        <w:pStyle w:val="ListParagraph"/>
        <w:numPr>
          <w:ilvl w:val="0"/>
          <w:numId w:val="27"/>
        </w:numPr>
        <w:tabs>
          <w:tab w:pos="1760" w:val="left" w:leader="none"/>
          <w:tab w:pos="1762" w:val="left" w:leader="none"/>
        </w:tabs>
        <w:spacing w:line="170" w:lineRule="exact" w:before="91" w:after="0"/>
        <w:ind w:left="1761" w:right="0" w:hanging="794"/>
        <w:jc w:val="left"/>
        <w:rPr>
          <w:sz w:val="13"/>
        </w:rPr>
      </w:pPr>
      <w:r>
        <w:rPr>
          <w:sz w:val="13"/>
        </w:rPr>
        <w:t>Comment by a person who was </w:t>
      </w:r>
      <w:r>
        <w:rPr>
          <w:spacing w:val="2"/>
          <w:sz w:val="13"/>
        </w:rPr>
        <w:t>deemed </w:t>
      </w:r>
      <w:r>
        <w:rPr>
          <w:sz w:val="13"/>
        </w:rPr>
        <w:t>ineligible to serve, referred to by Vision Australia: see </w:t>
      </w:r>
      <w:r>
        <w:rPr>
          <w:spacing w:val="2"/>
          <w:sz w:val="13"/>
        </w:rPr>
        <w:t>Submission </w:t>
      </w:r>
      <w:r>
        <w:rPr>
          <w:sz w:val="13"/>
        </w:rPr>
        <w:t>10 </w:t>
      </w:r>
      <w:r>
        <w:rPr>
          <w:spacing w:val="2"/>
          <w:sz w:val="13"/>
        </w:rPr>
        <w:t>(Vision</w:t>
      </w:r>
      <w:r>
        <w:rPr>
          <w:spacing w:val="36"/>
          <w:sz w:val="13"/>
        </w:rPr>
        <w:t> </w:t>
      </w:r>
      <w:r>
        <w:rPr>
          <w:sz w:val="13"/>
        </w:rPr>
        <w:t>Australia).</w:t>
      </w:r>
    </w:p>
    <w:p>
      <w:pPr>
        <w:pStyle w:val="ListParagraph"/>
        <w:numPr>
          <w:ilvl w:val="0"/>
          <w:numId w:val="27"/>
        </w:numPr>
        <w:tabs>
          <w:tab w:pos="1761" w:val="left" w:leader="none"/>
          <w:tab w:pos="1762" w:val="left" w:leader="none"/>
        </w:tabs>
        <w:spacing w:line="170" w:lineRule="exact" w:before="0" w:after="0"/>
        <w:ind w:left="1761" w:right="0" w:hanging="794"/>
        <w:jc w:val="left"/>
        <w:rPr>
          <w:sz w:val="13"/>
        </w:rPr>
      </w:pPr>
      <w:r>
        <w:rPr/>
        <w:pict>
          <v:shape style="position:absolute;margin-left:36pt;margin-top:-4.289850pt;width:13.55pt;height:14.1pt;mso-position-horizontal-relative:page;mso-position-vertical-relative:paragraph;z-index:3400" type="#_x0000_t202" filled="false" stroked="false">
            <v:textbox inset="0,0,0,0">
              <w:txbxContent>
                <w:p>
                  <w:pPr>
                    <w:spacing w:line="282" w:lineRule="exact" w:before="0"/>
                    <w:ind w:left="0" w:right="0" w:firstLine="0"/>
                    <w:jc w:val="left"/>
                    <w:rPr>
                      <w:b/>
                      <w:sz w:val="24"/>
                    </w:rPr>
                  </w:pPr>
                  <w:r>
                    <w:rPr>
                      <w:b/>
                      <w:color w:val="37617A"/>
                      <w:sz w:val="24"/>
                    </w:rPr>
                    <w:t>22</w:t>
                  </w:r>
                </w:p>
              </w:txbxContent>
            </v:textbox>
            <w10:wrap type="none"/>
          </v:shape>
        </w:pict>
      </w:r>
      <w:r>
        <w:rPr>
          <w:i/>
          <w:sz w:val="13"/>
        </w:rPr>
        <w:t>Juries Act 2000 </w:t>
      </w:r>
      <w:r>
        <w:rPr>
          <w:spacing w:val="2"/>
          <w:sz w:val="13"/>
        </w:rPr>
        <w:t>(Vic) </w:t>
      </w:r>
      <w:r>
        <w:rPr>
          <w:sz w:val="13"/>
        </w:rPr>
        <w:t>sch 2 cls 3(a), </w:t>
      </w:r>
      <w:r>
        <w:rPr>
          <w:spacing w:val="2"/>
          <w:sz w:val="13"/>
        </w:rPr>
        <w:t>(f)</w:t>
      </w:r>
      <w:r>
        <w:rPr>
          <w:sz w:val="13"/>
        </w:rPr>
        <w:t> respectively.</w:t>
      </w:r>
    </w:p>
    <w:p>
      <w:pPr>
        <w:spacing w:after="0" w:line="170"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34" w:hanging="794"/>
        <w:jc w:val="left"/>
        <w:rPr>
          <w:sz w:val="11"/>
        </w:rPr>
      </w:pPr>
      <w:bookmarkStart w:name="_bookmark23" w:id="62"/>
      <w:bookmarkEnd w:id="62"/>
      <w:r>
        <w:rPr/>
      </w:r>
      <w:bookmarkStart w:name="_bookmark23" w:id="63"/>
      <w:bookmarkEnd w:id="63"/>
      <w:r>
        <w:rPr>
          <w:sz w:val="20"/>
        </w:rPr>
        <w:t>R</w:t>
      </w:r>
      <w:r>
        <w:rPr>
          <w:sz w:val="20"/>
        </w:rPr>
        <w:t>easonable adjustments </w:t>
      </w:r>
      <w:r>
        <w:rPr>
          <w:spacing w:val="-3"/>
          <w:sz w:val="20"/>
        </w:rPr>
        <w:t>may </w:t>
      </w:r>
      <w:r>
        <w:rPr>
          <w:sz w:val="20"/>
        </w:rPr>
        <w:t>enable a person to meet the eligibility requirements of the Act.</w:t>
      </w:r>
      <w:r>
        <w:rPr>
          <w:position w:val="7"/>
          <w:sz w:val="11"/>
        </w:rPr>
        <w:t>3 </w:t>
      </w:r>
      <w:r>
        <w:rPr>
          <w:sz w:val="20"/>
        </w:rPr>
        <w:t>But the </w:t>
      </w:r>
      <w:r>
        <w:rPr>
          <w:spacing w:val="-2"/>
          <w:sz w:val="20"/>
        </w:rPr>
        <w:t>Act </w:t>
      </w:r>
      <w:r>
        <w:rPr>
          <w:sz w:val="20"/>
        </w:rPr>
        <w:t>is silent about the </w:t>
      </w:r>
      <w:r>
        <w:rPr>
          <w:spacing w:val="-3"/>
          <w:sz w:val="20"/>
        </w:rPr>
        <w:t>provision </w:t>
      </w:r>
      <w:r>
        <w:rPr>
          <w:sz w:val="20"/>
        </w:rPr>
        <w:t>of </w:t>
      </w:r>
      <w:r>
        <w:rPr>
          <w:spacing w:val="-3"/>
          <w:sz w:val="20"/>
        </w:rPr>
        <w:t>‘reasonable adjustments’. Currently only</w:t>
      </w:r>
      <w:r>
        <w:rPr>
          <w:spacing w:val="-7"/>
          <w:sz w:val="20"/>
        </w:rPr>
        <w:t> </w:t>
      </w:r>
      <w:r>
        <w:rPr>
          <w:sz w:val="20"/>
        </w:rPr>
        <w:t>a</w:t>
      </w:r>
      <w:r>
        <w:rPr>
          <w:spacing w:val="-7"/>
          <w:sz w:val="20"/>
        </w:rPr>
        <w:t> </w:t>
      </w:r>
      <w:r>
        <w:rPr>
          <w:spacing w:val="-3"/>
          <w:sz w:val="20"/>
        </w:rPr>
        <w:t>few</w:t>
      </w:r>
      <w:r>
        <w:rPr>
          <w:spacing w:val="-6"/>
          <w:sz w:val="20"/>
        </w:rPr>
        <w:t> </w:t>
      </w:r>
      <w:r>
        <w:rPr>
          <w:sz w:val="20"/>
        </w:rPr>
        <w:t>adjustments</w:t>
      </w:r>
      <w:r>
        <w:rPr>
          <w:spacing w:val="-7"/>
          <w:sz w:val="20"/>
        </w:rPr>
        <w:t> </w:t>
      </w:r>
      <w:r>
        <w:rPr>
          <w:spacing w:val="-3"/>
          <w:sz w:val="20"/>
        </w:rPr>
        <w:t>are</w:t>
      </w:r>
      <w:r>
        <w:rPr>
          <w:spacing w:val="-6"/>
          <w:sz w:val="20"/>
        </w:rPr>
        <w:t> </w:t>
      </w:r>
      <w:r>
        <w:rPr>
          <w:spacing w:val="-3"/>
          <w:sz w:val="20"/>
        </w:rPr>
        <w:t>provided</w:t>
      </w:r>
      <w:r>
        <w:rPr>
          <w:spacing w:val="-7"/>
          <w:sz w:val="20"/>
        </w:rPr>
        <w:t> </w:t>
      </w:r>
      <w:r>
        <w:rPr>
          <w:spacing w:val="-3"/>
          <w:sz w:val="20"/>
        </w:rPr>
        <w:t>by</w:t>
      </w:r>
      <w:r>
        <w:rPr>
          <w:spacing w:val="-6"/>
          <w:sz w:val="20"/>
        </w:rPr>
        <w:t> </w:t>
      </w:r>
      <w:r>
        <w:rPr>
          <w:sz w:val="20"/>
        </w:rPr>
        <w:t>the</w:t>
      </w:r>
      <w:r>
        <w:rPr>
          <w:spacing w:val="-7"/>
          <w:sz w:val="20"/>
        </w:rPr>
        <w:t> </w:t>
      </w:r>
      <w:r>
        <w:rPr>
          <w:sz w:val="20"/>
        </w:rPr>
        <w:t>courts</w:t>
      </w:r>
      <w:r>
        <w:rPr>
          <w:spacing w:val="-6"/>
          <w:sz w:val="20"/>
        </w:rPr>
        <w:t> </w:t>
      </w:r>
      <w:r>
        <w:rPr>
          <w:sz w:val="20"/>
        </w:rPr>
        <w:t>that</w:t>
      </w:r>
      <w:r>
        <w:rPr>
          <w:spacing w:val="-7"/>
          <w:sz w:val="20"/>
        </w:rPr>
        <w:t> </w:t>
      </w:r>
      <w:r>
        <w:rPr>
          <w:spacing w:val="-3"/>
          <w:sz w:val="20"/>
        </w:rPr>
        <w:t>would</w:t>
      </w:r>
      <w:r>
        <w:rPr>
          <w:spacing w:val="-7"/>
          <w:sz w:val="20"/>
        </w:rPr>
        <w:t> </w:t>
      </w:r>
      <w:r>
        <w:rPr>
          <w:sz w:val="20"/>
        </w:rPr>
        <w:t>assist</w:t>
      </w:r>
      <w:r>
        <w:rPr>
          <w:spacing w:val="-6"/>
          <w:sz w:val="20"/>
        </w:rPr>
        <w:t> </w:t>
      </w:r>
      <w:r>
        <w:rPr>
          <w:sz w:val="20"/>
        </w:rPr>
        <w:t>jurors,</w:t>
      </w:r>
      <w:r>
        <w:rPr>
          <w:spacing w:val="-7"/>
          <w:sz w:val="20"/>
        </w:rPr>
        <w:t> </w:t>
      </w:r>
      <w:r>
        <w:rPr>
          <w:sz w:val="20"/>
        </w:rPr>
        <w:t>for</w:t>
      </w:r>
      <w:r>
        <w:rPr>
          <w:spacing w:val="-6"/>
          <w:sz w:val="20"/>
        </w:rPr>
        <w:t> </w:t>
      </w:r>
      <w:r>
        <w:rPr>
          <w:spacing w:val="-3"/>
          <w:sz w:val="20"/>
        </w:rPr>
        <w:t>example, </w:t>
      </w:r>
      <w:r>
        <w:rPr>
          <w:sz w:val="20"/>
        </w:rPr>
        <w:t>hearing loops </w:t>
      </w:r>
      <w:r>
        <w:rPr>
          <w:spacing w:val="-3"/>
          <w:sz w:val="20"/>
        </w:rPr>
        <w:t>are </w:t>
      </w:r>
      <w:r>
        <w:rPr>
          <w:sz w:val="20"/>
        </w:rPr>
        <w:t>installed in courtrooms to assist people who use hearing aids. Headphones </w:t>
      </w:r>
      <w:r>
        <w:rPr>
          <w:spacing w:val="-3"/>
          <w:sz w:val="20"/>
        </w:rPr>
        <w:t>may </w:t>
      </w:r>
      <w:r>
        <w:rPr>
          <w:sz w:val="20"/>
        </w:rPr>
        <w:t>also be </w:t>
      </w:r>
      <w:r>
        <w:rPr>
          <w:spacing w:val="-3"/>
          <w:sz w:val="20"/>
        </w:rPr>
        <w:t>available </w:t>
      </w:r>
      <w:r>
        <w:rPr>
          <w:sz w:val="20"/>
        </w:rPr>
        <w:t>for those who </w:t>
      </w:r>
      <w:r>
        <w:rPr>
          <w:spacing w:val="-3"/>
          <w:sz w:val="20"/>
        </w:rPr>
        <w:t>are </w:t>
      </w:r>
      <w:r>
        <w:rPr>
          <w:sz w:val="20"/>
        </w:rPr>
        <w:t>hard of hearing and do not use hearing</w:t>
      </w:r>
      <w:r>
        <w:rPr>
          <w:spacing w:val="-5"/>
          <w:sz w:val="20"/>
        </w:rPr>
        <w:t> </w:t>
      </w:r>
      <w:r>
        <w:rPr>
          <w:sz w:val="20"/>
        </w:rPr>
        <w:t>aids.</w:t>
      </w:r>
      <w:r>
        <w:rPr>
          <w:position w:val="7"/>
          <w:sz w:val="11"/>
        </w:rPr>
        <w:t>4</w:t>
      </w:r>
    </w:p>
    <w:p>
      <w:pPr>
        <w:pStyle w:val="ListParagraph"/>
        <w:numPr>
          <w:ilvl w:val="1"/>
          <w:numId w:val="12"/>
        </w:numPr>
        <w:tabs>
          <w:tab w:pos="1761" w:val="left" w:leader="none"/>
          <w:tab w:pos="1762" w:val="left" w:leader="none"/>
        </w:tabs>
        <w:spacing w:line="206" w:lineRule="auto" w:before="128" w:after="0"/>
        <w:ind w:left="1761" w:right="1314" w:hanging="794"/>
        <w:jc w:val="left"/>
        <w:rPr>
          <w:sz w:val="11"/>
        </w:rPr>
      </w:pPr>
      <w:r>
        <w:rPr>
          <w:sz w:val="20"/>
        </w:rPr>
        <w:t>In the last </w:t>
      </w:r>
      <w:r>
        <w:rPr>
          <w:spacing w:val="-3"/>
          <w:sz w:val="20"/>
        </w:rPr>
        <w:t>five </w:t>
      </w:r>
      <w:r>
        <w:rPr>
          <w:sz w:val="20"/>
        </w:rPr>
        <w:t>years, Juries Victoria has </w:t>
      </w:r>
      <w:r>
        <w:rPr>
          <w:spacing w:val="-3"/>
          <w:sz w:val="20"/>
        </w:rPr>
        <w:t>received ‘approximately </w:t>
      </w:r>
      <w:r>
        <w:rPr>
          <w:sz w:val="20"/>
        </w:rPr>
        <w:t>six enquiries </w:t>
      </w:r>
      <w:r>
        <w:rPr>
          <w:spacing w:val="-3"/>
          <w:sz w:val="20"/>
        </w:rPr>
        <w:t>from </w:t>
      </w:r>
      <w:r>
        <w:rPr>
          <w:sz w:val="20"/>
        </w:rPr>
        <w:t>people</w:t>
      </w:r>
      <w:r>
        <w:rPr>
          <w:spacing w:val="-11"/>
          <w:sz w:val="20"/>
        </w:rPr>
        <w:t> </w:t>
      </w:r>
      <w:r>
        <w:rPr>
          <w:sz w:val="20"/>
        </w:rPr>
        <w:t>with</w:t>
      </w:r>
      <w:r>
        <w:rPr>
          <w:spacing w:val="-10"/>
          <w:sz w:val="20"/>
        </w:rPr>
        <w:t> </w:t>
      </w:r>
      <w:r>
        <w:rPr>
          <w:sz w:val="20"/>
        </w:rPr>
        <w:t>hearing</w:t>
      </w:r>
      <w:r>
        <w:rPr>
          <w:spacing w:val="-11"/>
          <w:sz w:val="20"/>
        </w:rPr>
        <w:t> </w:t>
      </w:r>
      <w:r>
        <w:rPr>
          <w:sz w:val="20"/>
        </w:rPr>
        <w:t>or</w:t>
      </w:r>
      <w:r>
        <w:rPr>
          <w:spacing w:val="-10"/>
          <w:sz w:val="20"/>
        </w:rPr>
        <w:t> </w:t>
      </w:r>
      <w:r>
        <w:rPr>
          <w:sz w:val="20"/>
        </w:rPr>
        <w:t>vision</w:t>
      </w:r>
      <w:r>
        <w:rPr>
          <w:spacing w:val="-11"/>
          <w:sz w:val="20"/>
        </w:rPr>
        <w:t> </w:t>
      </w:r>
      <w:r>
        <w:rPr>
          <w:sz w:val="20"/>
        </w:rPr>
        <w:t>impairments</w:t>
      </w:r>
      <w:r>
        <w:rPr>
          <w:spacing w:val="-10"/>
          <w:sz w:val="20"/>
        </w:rPr>
        <w:t> </w:t>
      </w:r>
      <w:r>
        <w:rPr>
          <w:sz w:val="20"/>
        </w:rPr>
        <w:t>who</w:t>
      </w:r>
      <w:r>
        <w:rPr>
          <w:spacing w:val="-10"/>
          <w:sz w:val="20"/>
        </w:rPr>
        <w:t> </w:t>
      </w:r>
      <w:r>
        <w:rPr>
          <w:sz w:val="20"/>
        </w:rPr>
        <w:t>wished</w:t>
      </w:r>
      <w:r>
        <w:rPr>
          <w:spacing w:val="-11"/>
          <w:sz w:val="20"/>
        </w:rPr>
        <w:t> </w:t>
      </w:r>
      <w:r>
        <w:rPr>
          <w:sz w:val="20"/>
        </w:rPr>
        <w:t>to</w:t>
      </w:r>
      <w:r>
        <w:rPr>
          <w:spacing w:val="-10"/>
          <w:sz w:val="20"/>
        </w:rPr>
        <w:t> </w:t>
      </w:r>
      <w:r>
        <w:rPr>
          <w:sz w:val="20"/>
        </w:rPr>
        <w:t>serve</w:t>
      </w:r>
      <w:r>
        <w:rPr>
          <w:spacing w:val="-11"/>
          <w:sz w:val="20"/>
        </w:rPr>
        <w:t> </w:t>
      </w:r>
      <w:r>
        <w:rPr>
          <w:sz w:val="20"/>
        </w:rPr>
        <w:t>as</w:t>
      </w:r>
      <w:r>
        <w:rPr>
          <w:spacing w:val="-10"/>
          <w:sz w:val="20"/>
        </w:rPr>
        <w:t> </w:t>
      </w:r>
      <w:r>
        <w:rPr>
          <w:sz w:val="20"/>
        </w:rPr>
        <w:t>jurors</w:t>
      </w:r>
      <w:r>
        <w:rPr>
          <w:spacing w:val="-11"/>
          <w:sz w:val="20"/>
        </w:rPr>
        <w:t> </w:t>
      </w:r>
      <w:r>
        <w:rPr>
          <w:sz w:val="20"/>
        </w:rPr>
        <w:t>but</w:t>
      </w:r>
      <w:r>
        <w:rPr>
          <w:spacing w:val="-10"/>
          <w:sz w:val="20"/>
        </w:rPr>
        <w:t> </w:t>
      </w:r>
      <w:r>
        <w:rPr>
          <w:sz w:val="20"/>
        </w:rPr>
        <w:t>for</w:t>
      </w:r>
      <w:r>
        <w:rPr>
          <w:spacing w:val="-10"/>
          <w:sz w:val="20"/>
        </w:rPr>
        <w:t> </w:t>
      </w:r>
      <w:r>
        <w:rPr>
          <w:sz w:val="20"/>
        </w:rPr>
        <w:t>whom adjustments</w:t>
      </w:r>
      <w:r>
        <w:rPr>
          <w:spacing w:val="-6"/>
          <w:sz w:val="20"/>
        </w:rPr>
        <w:t> </w:t>
      </w:r>
      <w:r>
        <w:rPr>
          <w:spacing w:val="-4"/>
          <w:sz w:val="20"/>
        </w:rPr>
        <w:t>were</w:t>
      </w:r>
      <w:r>
        <w:rPr>
          <w:spacing w:val="-5"/>
          <w:sz w:val="20"/>
        </w:rPr>
        <w:t> </w:t>
      </w:r>
      <w:r>
        <w:rPr>
          <w:sz w:val="20"/>
        </w:rPr>
        <w:t>unable</w:t>
      </w:r>
      <w:r>
        <w:rPr>
          <w:spacing w:val="-6"/>
          <w:sz w:val="20"/>
        </w:rPr>
        <w:t> </w:t>
      </w:r>
      <w:r>
        <w:rPr>
          <w:sz w:val="20"/>
        </w:rPr>
        <w:t>to</w:t>
      </w:r>
      <w:r>
        <w:rPr>
          <w:spacing w:val="-5"/>
          <w:sz w:val="20"/>
        </w:rPr>
        <w:t> </w:t>
      </w:r>
      <w:r>
        <w:rPr>
          <w:sz w:val="20"/>
        </w:rPr>
        <w:t>be</w:t>
      </w:r>
      <w:r>
        <w:rPr>
          <w:spacing w:val="-6"/>
          <w:sz w:val="20"/>
        </w:rPr>
        <w:t> </w:t>
      </w:r>
      <w:r>
        <w:rPr>
          <w:spacing w:val="-3"/>
          <w:sz w:val="20"/>
        </w:rPr>
        <w:t>provided</w:t>
      </w:r>
      <w:r>
        <w:rPr>
          <w:spacing w:val="-5"/>
          <w:sz w:val="20"/>
        </w:rPr>
        <w:t> </w:t>
      </w:r>
      <w:r>
        <w:rPr>
          <w:sz w:val="20"/>
        </w:rPr>
        <w:t>and</w:t>
      </w:r>
      <w:r>
        <w:rPr>
          <w:spacing w:val="-6"/>
          <w:sz w:val="20"/>
        </w:rPr>
        <w:t> </w:t>
      </w:r>
      <w:r>
        <w:rPr>
          <w:sz w:val="20"/>
        </w:rPr>
        <w:t>who</w:t>
      </w:r>
      <w:r>
        <w:rPr>
          <w:spacing w:val="-5"/>
          <w:sz w:val="20"/>
        </w:rPr>
        <w:t> </w:t>
      </w:r>
      <w:r>
        <w:rPr>
          <w:spacing w:val="-4"/>
          <w:sz w:val="20"/>
        </w:rPr>
        <w:t>were</w:t>
      </w:r>
      <w:r>
        <w:rPr>
          <w:spacing w:val="-5"/>
          <w:sz w:val="20"/>
        </w:rPr>
        <w:t> </w:t>
      </w:r>
      <w:r>
        <w:rPr>
          <w:spacing w:val="-3"/>
          <w:sz w:val="20"/>
        </w:rPr>
        <w:t>therefore</w:t>
      </w:r>
      <w:r>
        <w:rPr>
          <w:spacing w:val="-6"/>
          <w:sz w:val="20"/>
        </w:rPr>
        <w:t> </w:t>
      </w:r>
      <w:r>
        <w:rPr>
          <w:sz w:val="20"/>
        </w:rPr>
        <w:t>unable</w:t>
      </w:r>
      <w:r>
        <w:rPr>
          <w:spacing w:val="-5"/>
          <w:sz w:val="20"/>
        </w:rPr>
        <w:t> </w:t>
      </w:r>
      <w:r>
        <w:rPr>
          <w:sz w:val="20"/>
        </w:rPr>
        <w:t>to</w:t>
      </w:r>
      <w:r>
        <w:rPr>
          <w:spacing w:val="-6"/>
          <w:sz w:val="20"/>
        </w:rPr>
        <w:t> </w:t>
      </w:r>
      <w:r>
        <w:rPr>
          <w:spacing w:val="-3"/>
          <w:sz w:val="20"/>
        </w:rPr>
        <w:t>serve’.</w:t>
      </w:r>
      <w:r>
        <w:rPr>
          <w:spacing w:val="-3"/>
          <w:position w:val="7"/>
          <w:sz w:val="11"/>
        </w:rPr>
        <w:t>5</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Juries</w:t>
      </w:r>
      <w:r>
        <w:rPr>
          <w:spacing w:val="-5"/>
          <w:sz w:val="20"/>
        </w:rPr>
        <w:t> </w:t>
      </w:r>
      <w:r>
        <w:rPr>
          <w:sz w:val="20"/>
        </w:rPr>
        <w:t>Victoria</w:t>
      </w:r>
      <w:r>
        <w:rPr>
          <w:spacing w:val="-5"/>
          <w:sz w:val="20"/>
        </w:rPr>
        <w:t> </w:t>
      </w:r>
      <w:r>
        <w:rPr>
          <w:sz w:val="20"/>
        </w:rPr>
        <w:t>noted</w:t>
      </w:r>
      <w:r>
        <w:rPr>
          <w:spacing w:val="-5"/>
          <w:sz w:val="20"/>
        </w:rPr>
        <w:t> </w:t>
      </w:r>
      <w:r>
        <w:rPr>
          <w:sz w:val="20"/>
        </w:rPr>
        <w:t>about</w:t>
      </w:r>
      <w:r>
        <w:rPr>
          <w:spacing w:val="-5"/>
          <w:sz w:val="20"/>
        </w:rPr>
        <w:t> </w:t>
      </w:r>
      <w:r>
        <w:rPr>
          <w:sz w:val="20"/>
        </w:rPr>
        <w:t>the</w:t>
      </w:r>
      <w:r>
        <w:rPr>
          <w:spacing w:val="-5"/>
          <w:sz w:val="20"/>
        </w:rPr>
        <w:t> </w:t>
      </w:r>
      <w:r>
        <w:rPr>
          <w:spacing w:val="-3"/>
          <w:sz w:val="20"/>
        </w:rPr>
        <w:t>provision</w:t>
      </w:r>
      <w:r>
        <w:rPr>
          <w:spacing w:val="-5"/>
          <w:sz w:val="20"/>
        </w:rPr>
        <w:t> </w:t>
      </w:r>
      <w:r>
        <w:rPr>
          <w:sz w:val="20"/>
        </w:rPr>
        <w:t>of</w:t>
      </w:r>
      <w:r>
        <w:rPr>
          <w:spacing w:val="-5"/>
          <w:sz w:val="20"/>
        </w:rPr>
        <w:t> </w:t>
      </w:r>
      <w:r>
        <w:rPr>
          <w:sz w:val="20"/>
        </w:rPr>
        <w:t>adjustments</w:t>
      </w:r>
      <w:r>
        <w:rPr>
          <w:spacing w:val="-5"/>
          <w:sz w:val="20"/>
        </w:rPr>
        <w:t> </w:t>
      </w:r>
      <w:r>
        <w:rPr>
          <w:sz w:val="20"/>
        </w:rPr>
        <w:t>that</w:t>
      </w:r>
      <w:r>
        <w:rPr>
          <w:spacing w:val="-5"/>
          <w:sz w:val="20"/>
        </w:rPr>
        <w:t> </w:t>
      </w:r>
      <w:r>
        <w:rPr>
          <w:sz w:val="20"/>
        </w:rPr>
        <w:t>in</w:t>
      </w:r>
      <w:r>
        <w:rPr>
          <w:spacing w:val="-4"/>
          <w:sz w:val="20"/>
        </w:rPr>
        <w:t> </w:t>
      </w:r>
      <w:r>
        <w:rPr>
          <w:sz w:val="20"/>
        </w:rPr>
        <w:t>the</w:t>
      </w:r>
      <w:r>
        <w:rPr>
          <w:spacing w:val="-5"/>
          <w:sz w:val="20"/>
        </w:rPr>
        <w:t> </w:t>
      </w:r>
      <w:r>
        <w:rPr>
          <w:spacing w:val="-3"/>
          <w:sz w:val="20"/>
        </w:rPr>
        <w:t>future:</w:t>
      </w:r>
    </w:p>
    <w:p>
      <w:pPr>
        <w:spacing w:line="208" w:lineRule="auto" w:before="112"/>
        <w:ind w:left="2157" w:right="1335" w:firstLine="0"/>
        <w:jc w:val="left"/>
        <w:rPr>
          <w:sz w:val="19"/>
        </w:rPr>
      </w:pPr>
      <w:r>
        <w:rPr>
          <w:sz w:val="19"/>
        </w:rPr>
        <w:t>Where the common law exclusion remains unchanged, other support options may be offered, including but not limited to adjusting seating arrangements to facilitate lip</w:t>
      </w:r>
      <w:r>
        <w:rPr>
          <w:spacing w:val="-7"/>
          <w:sz w:val="19"/>
        </w:rPr>
        <w:t> </w:t>
      </w:r>
      <w:r>
        <w:rPr>
          <w:sz w:val="19"/>
        </w:rPr>
        <w:t>reading,</w:t>
      </w:r>
      <w:r>
        <w:rPr>
          <w:spacing w:val="-6"/>
          <w:sz w:val="19"/>
        </w:rPr>
        <w:t> </w:t>
      </w:r>
      <w:r>
        <w:rPr>
          <w:sz w:val="19"/>
        </w:rPr>
        <w:t>the</w:t>
      </w:r>
      <w:r>
        <w:rPr>
          <w:spacing w:val="-6"/>
          <w:sz w:val="19"/>
        </w:rPr>
        <w:t> </w:t>
      </w:r>
      <w:r>
        <w:rPr>
          <w:sz w:val="19"/>
        </w:rPr>
        <w:t>provision</w:t>
      </w:r>
      <w:r>
        <w:rPr>
          <w:spacing w:val="-6"/>
          <w:sz w:val="19"/>
        </w:rPr>
        <w:t> </w:t>
      </w:r>
      <w:r>
        <w:rPr>
          <w:sz w:val="19"/>
        </w:rPr>
        <w:t>of</w:t>
      </w:r>
      <w:r>
        <w:rPr>
          <w:spacing w:val="-6"/>
          <w:sz w:val="19"/>
        </w:rPr>
        <w:t> </w:t>
      </w:r>
      <w:r>
        <w:rPr>
          <w:sz w:val="19"/>
        </w:rPr>
        <w:t>talk-to-text</w:t>
      </w:r>
      <w:r>
        <w:rPr>
          <w:spacing w:val="-6"/>
          <w:sz w:val="19"/>
        </w:rPr>
        <w:t> </w:t>
      </w:r>
      <w:r>
        <w:rPr>
          <w:sz w:val="19"/>
        </w:rPr>
        <w:t>or</w:t>
      </w:r>
      <w:r>
        <w:rPr>
          <w:spacing w:val="-6"/>
          <w:sz w:val="19"/>
        </w:rPr>
        <w:t> </w:t>
      </w:r>
      <w:r>
        <w:rPr>
          <w:sz w:val="19"/>
        </w:rPr>
        <w:t>other</w:t>
      </w:r>
      <w:r>
        <w:rPr>
          <w:spacing w:val="-6"/>
          <w:sz w:val="19"/>
        </w:rPr>
        <w:t> </w:t>
      </w:r>
      <w:r>
        <w:rPr>
          <w:sz w:val="19"/>
        </w:rPr>
        <w:t>technological</w:t>
      </w:r>
      <w:r>
        <w:rPr>
          <w:spacing w:val="-6"/>
          <w:sz w:val="19"/>
        </w:rPr>
        <w:t> </w:t>
      </w:r>
      <w:r>
        <w:rPr>
          <w:sz w:val="19"/>
        </w:rPr>
        <w:t>supports,</w:t>
      </w:r>
      <w:r>
        <w:rPr>
          <w:spacing w:val="-7"/>
          <w:sz w:val="19"/>
        </w:rPr>
        <w:t> </w:t>
      </w:r>
      <w:r>
        <w:rPr>
          <w:sz w:val="19"/>
        </w:rPr>
        <w:t>the</w:t>
      </w:r>
      <w:r>
        <w:rPr>
          <w:spacing w:val="-6"/>
          <w:sz w:val="19"/>
        </w:rPr>
        <w:t> </w:t>
      </w:r>
      <w:r>
        <w:rPr>
          <w:sz w:val="19"/>
        </w:rPr>
        <w:t>provision of</w:t>
      </w:r>
      <w:r>
        <w:rPr>
          <w:spacing w:val="-4"/>
          <w:sz w:val="19"/>
        </w:rPr>
        <w:t> </w:t>
      </w:r>
      <w:r>
        <w:rPr>
          <w:sz w:val="19"/>
        </w:rPr>
        <w:t>evidence</w:t>
      </w:r>
      <w:r>
        <w:rPr>
          <w:spacing w:val="-4"/>
          <w:sz w:val="19"/>
        </w:rPr>
        <w:t> </w:t>
      </w:r>
      <w:r>
        <w:rPr>
          <w:sz w:val="19"/>
        </w:rPr>
        <w:t>in</w:t>
      </w:r>
      <w:r>
        <w:rPr>
          <w:spacing w:val="-3"/>
          <w:sz w:val="19"/>
        </w:rPr>
        <w:t> </w:t>
      </w:r>
      <w:r>
        <w:rPr>
          <w:sz w:val="19"/>
        </w:rPr>
        <w:t>Braille</w:t>
      </w:r>
      <w:r>
        <w:rPr>
          <w:spacing w:val="-4"/>
          <w:sz w:val="19"/>
        </w:rPr>
        <w:t> </w:t>
      </w:r>
      <w:r>
        <w:rPr>
          <w:sz w:val="19"/>
        </w:rPr>
        <w:t>or</w:t>
      </w:r>
      <w:r>
        <w:rPr>
          <w:spacing w:val="-3"/>
          <w:sz w:val="19"/>
        </w:rPr>
        <w:t> </w:t>
      </w:r>
      <w:r>
        <w:rPr>
          <w:sz w:val="19"/>
        </w:rPr>
        <w:t>large</w:t>
      </w:r>
      <w:r>
        <w:rPr>
          <w:spacing w:val="-4"/>
          <w:sz w:val="19"/>
        </w:rPr>
        <w:t> </w:t>
      </w:r>
      <w:r>
        <w:rPr>
          <w:sz w:val="19"/>
        </w:rPr>
        <w:t>print,</w:t>
      </w:r>
      <w:r>
        <w:rPr>
          <w:spacing w:val="-3"/>
          <w:sz w:val="19"/>
        </w:rPr>
        <w:t> </w:t>
      </w:r>
      <w:r>
        <w:rPr>
          <w:sz w:val="19"/>
        </w:rPr>
        <w:t>and</w:t>
      </w:r>
      <w:r>
        <w:rPr>
          <w:spacing w:val="-4"/>
          <w:sz w:val="19"/>
        </w:rPr>
        <w:t> </w:t>
      </w:r>
      <w:r>
        <w:rPr>
          <w:sz w:val="19"/>
        </w:rPr>
        <w:t>the</w:t>
      </w:r>
      <w:r>
        <w:rPr>
          <w:spacing w:val="-3"/>
          <w:sz w:val="19"/>
        </w:rPr>
        <w:t> </w:t>
      </w:r>
      <w:r>
        <w:rPr>
          <w:sz w:val="19"/>
        </w:rPr>
        <w:t>assistance</w:t>
      </w:r>
      <w:r>
        <w:rPr>
          <w:spacing w:val="-4"/>
          <w:sz w:val="19"/>
        </w:rPr>
        <w:t> </w:t>
      </w:r>
      <w:r>
        <w:rPr>
          <w:sz w:val="19"/>
        </w:rPr>
        <w:t>of</w:t>
      </w:r>
      <w:r>
        <w:rPr>
          <w:spacing w:val="-3"/>
          <w:sz w:val="19"/>
        </w:rPr>
        <w:t> </w:t>
      </w:r>
      <w:r>
        <w:rPr>
          <w:sz w:val="19"/>
        </w:rPr>
        <w:t>fellow</w:t>
      </w:r>
      <w:r>
        <w:rPr>
          <w:spacing w:val="-4"/>
          <w:sz w:val="19"/>
        </w:rPr>
        <w:t> </w:t>
      </w:r>
      <w:r>
        <w:rPr>
          <w:sz w:val="19"/>
        </w:rPr>
        <w:t>jurors</w:t>
      </w:r>
      <w:r>
        <w:rPr>
          <w:spacing w:val="-3"/>
          <w:sz w:val="19"/>
        </w:rPr>
        <w:t> </w:t>
      </w:r>
      <w:r>
        <w:rPr>
          <w:sz w:val="19"/>
        </w:rPr>
        <w:t>(eg</w:t>
      </w:r>
      <w:r>
        <w:rPr>
          <w:spacing w:val="-4"/>
          <w:sz w:val="19"/>
        </w:rPr>
        <w:t> </w:t>
      </w:r>
      <w:r>
        <w:rPr>
          <w:sz w:val="19"/>
        </w:rPr>
        <w:t>assisting</w:t>
      </w:r>
    </w:p>
    <w:p>
      <w:pPr>
        <w:spacing w:line="221" w:lineRule="exact" w:before="0"/>
        <w:ind w:left="2157" w:right="0" w:firstLine="0"/>
        <w:jc w:val="left"/>
        <w:rPr>
          <w:sz w:val="19"/>
        </w:rPr>
      </w:pPr>
      <w:r>
        <w:rPr>
          <w:sz w:val="19"/>
        </w:rPr>
        <w:t>a</w:t>
      </w:r>
      <w:r>
        <w:rPr>
          <w:spacing w:val="-6"/>
          <w:sz w:val="19"/>
        </w:rPr>
        <w:t> </w:t>
      </w:r>
      <w:r>
        <w:rPr>
          <w:sz w:val="19"/>
        </w:rPr>
        <w:t>vision</w:t>
      </w:r>
      <w:r>
        <w:rPr>
          <w:spacing w:val="-6"/>
          <w:sz w:val="19"/>
        </w:rPr>
        <w:t> </w:t>
      </w:r>
      <w:r>
        <w:rPr>
          <w:sz w:val="19"/>
        </w:rPr>
        <w:t>impaired</w:t>
      </w:r>
      <w:r>
        <w:rPr>
          <w:spacing w:val="-6"/>
          <w:sz w:val="19"/>
        </w:rPr>
        <w:t> </w:t>
      </w:r>
      <w:r>
        <w:rPr>
          <w:sz w:val="19"/>
        </w:rPr>
        <w:t>individual</w:t>
      </w:r>
      <w:r>
        <w:rPr>
          <w:spacing w:val="-6"/>
          <w:sz w:val="19"/>
        </w:rPr>
        <w:t> </w:t>
      </w:r>
      <w:r>
        <w:rPr>
          <w:sz w:val="19"/>
        </w:rPr>
        <w:t>with</w:t>
      </w:r>
      <w:r>
        <w:rPr>
          <w:spacing w:val="-6"/>
          <w:sz w:val="19"/>
        </w:rPr>
        <w:t> </w:t>
      </w:r>
      <w:r>
        <w:rPr>
          <w:sz w:val="19"/>
        </w:rPr>
        <w:t>navigation</w:t>
      </w:r>
      <w:r>
        <w:rPr>
          <w:spacing w:val="-6"/>
          <w:sz w:val="19"/>
        </w:rPr>
        <w:t> </w:t>
      </w:r>
      <w:r>
        <w:rPr>
          <w:sz w:val="19"/>
        </w:rPr>
        <w:t>around</w:t>
      </w:r>
      <w:r>
        <w:rPr>
          <w:spacing w:val="-6"/>
          <w:sz w:val="19"/>
        </w:rPr>
        <w:t> </w:t>
      </w:r>
      <w:r>
        <w:rPr>
          <w:sz w:val="19"/>
        </w:rPr>
        <w:t>the</w:t>
      </w:r>
      <w:r>
        <w:rPr>
          <w:spacing w:val="-6"/>
          <w:sz w:val="19"/>
        </w:rPr>
        <w:t> </w:t>
      </w:r>
      <w:r>
        <w:rPr>
          <w:sz w:val="19"/>
        </w:rPr>
        <w:t>deliberation</w:t>
      </w:r>
      <w:r>
        <w:rPr>
          <w:spacing w:val="-6"/>
          <w:sz w:val="19"/>
        </w:rPr>
        <w:t> </w:t>
      </w:r>
      <w:r>
        <w:rPr>
          <w:sz w:val="19"/>
        </w:rPr>
        <w:t>room,</w:t>
      </w:r>
      <w:r>
        <w:rPr>
          <w:spacing w:val="-6"/>
          <w:sz w:val="19"/>
        </w:rPr>
        <w:t> </w:t>
      </w:r>
      <w:r>
        <w:rPr>
          <w:sz w:val="19"/>
        </w:rPr>
        <w:t>making</w:t>
      </w:r>
      <w:r>
        <w:rPr>
          <w:spacing w:val="-5"/>
          <w:sz w:val="19"/>
        </w:rPr>
        <w:t> </w:t>
      </w:r>
      <w:r>
        <w:rPr>
          <w:sz w:val="19"/>
        </w:rPr>
        <w:t>a</w:t>
      </w:r>
    </w:p>
    <w:p>
      <w:pPr>
        <w:spacing w:line="247" w:lineRule="exact" w:before="0"/>
        <w:ind w:left="2157" w:right="0" w:firstLine="0"/>
        <w:jc w:val="left"/>
        <w:rPr>
          <w:sz w:val="11"/>
        </w:rPr>
      </w:pPr>
      <w:r>
        <w:rPr>
          <w:sz w:val="19"/>
        </w:rPr>
        <w:t>coffee/tea, etc).</w:t>
      </w:r>
      <w:r>
        <w:rPr>
          <w:position w:val="6"/>
          <w:sz w:val="11"/>
        </w:rPr>
        <w:t>6</w:t>
      </w:r>
    </w:p>
    <w:p>
      <w:pPr>
        <w:spacing w:before="155"/>
        <w:ind w:left="967" w:right="0" w:firstLine="0"/>
        <w:jc w:val="left"/>
        <w:rPr>
          <w:b/>
          <w:sz w:val="24"/>
        </w:rPr>
      </w:pPr>
      <w:r>
        <w:rPr>
          <w:b/>
          <w:sz w:val="24"/>
        </w:rPr>
        <w:t>The ‘13th person rule’</w:t>
      </w:r>
    </w:p>
    <w:p>
      <w:pPr>
        <w:pStyle w:val="ListParagraph"/>
        <w:numPr>
          <w:ilvl w:val="1"/>
          <w:numId w:val="12"/>
        </w:numPr>
        <w:tabs>
          <w:tab w:pos="1761" w:val="left" w:leader="none"/>
          <w:tab w:pos="1762" w:val="left" w:leader="none"/>
        </w:tabs>
        <w:spacing w:line="206" w:lineRule="auto" w:before="127" w:after="0"/>
        <w:ind w:left="1761" w:right="1472" w:hanging="794"/>
        <w:jc w:val="left"/>
        <w:rPr>
          <w:sz w:val="20"/>
        </w:rPr>
      </w:pPr>
      <w:r>
        <w:rPr>
          <w:sz w:val="20"/>
        </w:rPr>
        <w:t>A further significant barrier for people in the subject groups is the long-standing common</w:t>
      </w:r>
      <w:r>
        <w:rPr>
          <w:spacing w:val="-12"/>
          <w:sz w:val="20"/>
        </w:rPr>
        <w:t> </w:t>
      </w:r>
      <w:r>
        <w:rPr>
          <w:sz w:val="20"/>
        </w:rPr>
        <w:t>law</w:t>
      </w:r>
      <w:r>
        <w:rPr>
          <w:spacing w:val="-11"/>
          <w:sz w:val="20"/>
        </w:rPr>
        <w:t> </w:t>
      </w:r>
      <w:r>
        <w:rPr>
          <w:sz w:val="20"/>
        </w:rPr>
        <w:t>rule</w:t>
      </w:r>
      <w:r>
        <w:rPr>
          <w:spacing w:val="-11"/>
          <w:sz w:val="20"/>
        </w:rPr>
        <w:t> </w:t>
      </w:r>
      <w:r>
        <w:rPr>
          <w:sz w:val="20"/>
        </w:rPr>
        <w:t>that</w:t>
      </w:r>
      <w:r>
        <w:rPr>
          <w:spacing w:val="-11"/>
          <w:sz w:val="20"/>
        </w:rPr>
        <w:t> </w:t>
      </w:r>
      <w:r>
        <w:rPr>
          <w:sz w:val="20"/>
        </w:rPr>
        <w:t>the</w:t>
      </w:r>
      <w:r>
        <w:rPr>
          <w:spacing w:val="-11"/>
          <w:sz w:val="20"/>
        </w:rPr>
        <w:t> </w:t>
      </w:r>
      <w:r>
        <w:rPr>
          <w:sz w:val="20"/>
        </w:rPr>
        <w:t>jury</w:t>
      </w:r>
      <w:r>
        <w:rPr>
          <w:spacing w:val="-11"/>
          <w:sz w:val="20"/>
        </w:rPr>
        <w:t> </w:t>
      </w:r>
      <w:r>
        <w:rPr>
          <w:sz w:val="20"/>
        </w:rPr>
        <w:t>must</w:t>
      </w:r>
      <w:r>
        <w:rPr>
          <w:spacing w:val="-11"/>
          <w:sz w:val="20"/>
        </w:rPr>
        <w:t> </w:t>
      </w:r>
      <w:r>
        <w:rPr>
          <w:sz w:val="20"/>
        </w:rPr>
        <w:t>be</w:t>
      </w:r>
      <w:r>
        <w:rPr>
          <w:spacing w:val="-11"/>
          <w:sz w:val="20"/>
        </w:rPr>
        <w:t> </w:t>
      </w:r>
      <w:r>
        <w:rPr>
          <w:spacing w:val="-3"/>
          <w:sz w:val="20"/>
        </w:rPr>
        <w:t>kept</w:t>
      </w:r>
      <w:r>
        <w:rPr>
          <w:spacing w:val="-11"/>
          <w:sz w:val="20"/>
        </w:rPr>
        <w:t> </w:t>
      </w:r>
      <w:r>
        <w:rPr>
          <w:sz w:val="20"/>
        </w:rPr>
        <w:t>separate</w:t>
      </w:r>
      <w:r>
        <w:rPr>
          <w:spacing w:val="-11"/>
          <w:sz w:val="20"/>
        </w:rPr>
        <w:t> </w:t>
      </w:r>
      <w:r>
        <w:rPr>
          <w:sz w:val="20"/>
        </w:rPr>
        <w:t>to</w:t>
      </w:r>
      <w:r>
        <w:rPr>
          <w:spacing w:val="-11"/>
          <w:sz w:val="20"/>
        </w:rPr>
        <w:t> </w:t>
      </w:r>
      <w:r>
        <w:rPr>
          <w:sz w:val="20"/>
        </w:rPr>
        <w:t>preserve</w:t>
      </w:r>
      <w:r>
        <w:rPr>
          <w:spacing w:val="-11"/>
          <w:sz w:val="20"/>
        </w:rPr>
        <w:t> </w:t>
      </w:r>
      <w:r>
        <w:rPr>
          <w:sz w:val="20"/>
        </w:rPr>
        <w:t>the</w:t>
      </w:r>
      <w:r>
        <w:rPr>
          <w:spacing w:val="-11"/>
          <w:sz w:val="20"/>
        </w:rPr>
        <w:t> </w:t>
      </w:r>
      <w:r>
        <w:rPr>
          <w:sz w:val="20"/>
        </w:rPr>
        <w:t>confidentiality of</w:t>
      </w:r>
      <w:r>
        <w:rPr>
          <w:spacing w:val="-9"/>
          <w:sz w:val="20"/>
        </w:rPr>
        <w:t> </w:t>
      </w:r>
      <w:r>
        <w:rPr>
          <w:sz w:val="20"/>
        </w:rPr>
        <w:t>the</w:t>
      </w:r>
      <w:r>
        <w:rPr>
          <w:spacing w:val="-9"/>
          <w:sz w:val="20"/>
        </w:rPr>
        <w:t> </w:t>
      </w:r>
      <w:r>
        <w:rPr>
          <w:sz w:val="20"/>
        </w:rPr>
        <w:t>deliberation</w:t>
      </w:r>
      <w:r>
        <w:rPr>
          <w:spacing w:val="-9"/>
          <w:sz w:val="20"/>
        </w:rPr>
        <w:t> </w:t>
      </w:r>
      <w:r>
        <w:rPr>
          <w:sz w:val="20"/>
        </w:rPr>
        <w:t>process</w:t>
      </w:r>
      <w:r>
        <w:rPr>
          <w:spacing w:val="-9"/>
          <w:sz w:val="20"/>
        </w:rPr>
        <w:t> </w:t>
      </w:r>
      <w:r>
        <w:rPr>
          <w:sz w:val="20"/>
        </w:rPr>
        <w:t>and</w:t>
      </w:r>
      <w:r>
        <w:rPr>
          <w:spacing w:val="-9"/>
          <w:sz w:val="20"/>
        </w:rPr>
        <w:t> </w:t>
      </w:r>
      <w:r>
        <w:rPr>
          <w:sz w:val="20"/>
        </w:rPr>
        <w:t>the</w:t>
      </w:r>
      <w:r>
        <w:rPr>
          <w:spacing w:val="-9"/>
          <w:sz w:val="20"/>
        </w:rPr>
        <w:t> </w:t>
      </w:r>
      <w:r>
        <w:rPr>
          <w:sz w:val="20"/>
        </w:rPr>
        <w:t>validity</w:t>
      </w:r>
      <w:r>
        <w:rPr>
          <w:spacing w:val="-9"/>
          <w:sz w:val="20"/>
        </w:rPr>
        <w:t> </w:t>
      </w:r>
      <w:r>
        <w:rPr>
          <w:sz w:val="20"/>
        </w:rPr>
        <w:t>of</w:t>
      </w:r>
      <w:r>
        <w:rPr>
          <w:spacing w:val="-9"/>
          <w:sz w:val="20"/>
        </w:rPr>
        <w:t> </w:t>
      </w:r>
      <w:r>
        <w:rPr>
          <w:sz w:val="20"/>
        </w:rPr>
        <w:t>a</w:t>
      </w:r>
      <w:r>
        <w:rPr>
          <w:spacing w:val="-8"/>
          <w:sz w:val="20"/>
        </w:rPr>
        <w:t> </w:t>
      </w:r>
      <w:r>
        <w:rPr>
          <w:spacing w:val="-3"/>
          <w:sz w:val="20"/>
        </w:rPr>
        <w:t>verdict.</w:t>
      </w:r>
      <w:r>
        <w:rPr>
          <w:spacing w:val="-3"/>
          <w:position w:val="7"/>
          <w:sz w:val="11"/>
        </w:rPr>
        <w:t>7</w:t>
      </w:r>
      <w:r>
        <w:rPr>
          <w:spacing w:val="16"/>
          <w:position w:val="7"/>
          <w:sz w:val="11"/>
        </w:rPr>
        <w:t> </w:t>
      </w:r>
      <w:r>
        <w:rPr>
          <w:sz w:val="20"/>
        </w:rPr>
        <w:t>It</w:t>
      </w:r>
      <w:r>
        <w:rPr>
          <w:spacing w:val="-9"/>
          <w:sz w:val="20"/>
        </w:rPr>
        <w:t> </w:t>
      </w:r>
      <w:r>
        <w:rPr>
          <w:sz w:val="20"/>
        </w:rPr>
        <w:t>means</w:t>
      </w:r>
      <w:r>
        <w:rPr>
          <w:spacing w:val="-9"/>
          <w:sz w:val="20"/>
        </w:rPr>
        <w:t> </w:t>
      </w:r>
      <w:r>
        <w:rPr>
          <w:sz w:val="20"/>
        </w:rPr>
        <w:t>that</w:t>
      </w:r>
      <w:r>
        <w:rPr>
          <w:spacing w:val="-9"/>
          <w:sz w:val="20"/>
        </w:rPr>
        <w:t> </w:t>
      </w:r>
      <w:r>
        <w:rPr>
          <w:sz w:val="20"/>
        </w:rPr>
        <w:t>the</w:t>
      </w:r>
      <w:r>
        <w:rPr>
          <w:spacing w:val="-9"/>
          <w:sz w:val="20"/>
        </w:rPr>
        <w:t> </w:t>
      </w:r>
      <w:r>
        <w:rPr>
          <w:sz w:val="20"/>
        </w:rPr>
        <w:t>jury</w:t>
      </w:r>
      <w:r>
        <w:rPr>
          <w:spacing w:val="-9"/>
          <w:sz w:val="20"/>
        </w:rPr>
        <w:t> </w:t>
      </w:r>
      <w:r>
        <w:rPr>
          <w:sz w:val="20"/>
        </w:rPr>
        <w:t>should be </w:t>
      </w:r>
      <w:r>
        <w:rPr>
          <w:spacing w:val="-3"/>
          <w:sz w:val="20"/>
        </w:rPr>
        <w:t>kept </w:t>
      </w:r>
      <w:r>
        <w:rPr>
          <w:sz w:val="20"/>
        </w:rPr>
        <w:t>to </w:t>
      </w:r>
      <w:r>
        <w:rPr>
          <w:spacing w:val="-3"/>
          <w:sz w:val="20"/>
        </w:rPr>
        <w:t>itself. </w:t>
      </w:r>
      <w:r>
        <w:rPr>
          <w:sz w:val="20"/>
        </w:rPr>
        <w:t>This is known as the ‘13th person </w:t>
      </w:r>
      <w:r>
        <w:rPr>
          <w:spacing w:val="-5"/>
          <w:sz w:val="20"/>
        </w:rPr>
        <w:t>rule’. </w:t>
      </w:r>
      <w:r>
        <w:rPr>
          <w:sz w:val="20"/>
        </w:rPr>
        <w:t>A consequence of the rule is that non-jurors (ie the 13th person), including Auslan </w:t>
      </w:r>
      <w:r>
        <w:rPr>
          <w:spacing w:val="-3"/>
          <w:sz w:val="20"/>
        </w:rPr>
        <w:t>interpreters </w:t>
      </w:r>
      <w:r>
        <w:rPr>
          <w:sz w:val="20"/>
        </w:rPr>
        <w:t>or communication supporters, </w:t>
      </w:r>
      <w:r>
        <w:rPr>
          <w:spacing w:val="-3"/>
          <w:sz w:val="20"/>
        </w:rPr>
        <w:t>are </w:t>
      </w:r>
      <w:r>
        <w:rPr>
          <w:sz w:val="20"/>
        </w:rPr>
        <w:t>prohibited </w:t>
      </w:r>
      <w:r>
        <w:rPr>
          <w:spacing w:val="-3"/>
          <w:sz w:val="20"/>
        </w:rPr>
        <w:t>from </w:t>
      </w:r>
      <w:r>
        <w:rPr>
          <w:sz w:val="20"/>
        </w:rPr>
        <w:t>entering the jury</w:t>
      </w:r>
      <w:r>
        <w:rPr>
          <w:spacing w:val="-29"/>
          <w:sz w:val="20"/>
        </w:rPr>
        <w:t> </w:t>
      </w:r>
      <w:r>
        <w:rPr>
          <w:sz w:val="20"/>
        </w:rPr>
        <w:t>room.</w:t>
      </w:r>
    </w:p>
    <w:p>
      <w:pPr>
        <w:pStyle w:val="ListParagraph"/>
        <w:numPr>
          <w:ilvl w:val="1"/>
          <w:numId w:val="12"/>
        </w:numPr>
        <w:tabs>
          <w:tab w:pos="1761" w:val="left" w:leader="none"/>
          <w:tab w:pos="1762" w:val="left" w:leader="none"/>
        </w:tabs>
        <w:spacing w:line="206" w:lineRule="auto" w:before="128" w:after="0"/>
        <w:ind w:left="1761" w:right="1279" w:hanging="794"/>
        <w:jc w:val="left"/>
        <w:rPr>
          <w:sz w:val="20"/>
        </w:rPr>
      </w:pPr>
      <w:r>
        <w:rPr>
          <w:sz w:val="20"/>
        </w:rPr>
        <w:t>The term ‘13th person </w:t>
      </w:r>
      <w:r>
        <w:rPr>
          <w:spacing w:val="-3"/>
          <w:sz w:val="20"/>
        </w:rPr>
        <w:t>rule’ </w:t>
      </w:r>
      <w:r>
        <w:rPr>
          <w:sz w:val="20"/>
        </w:rPr>
        <w:t>is misleading because the </w:t>
      </w:r>
      <w:r>
        <w:rPr>
          <w:spacing w:val="-2"/>
          <w:sz w:val="20"/>
        </w:rPr>
        <w:t>Act </w:t>
      </w:r>
      <w:r>
        <w:rPr>
          <w:spacing w:val="-3"/>
          <w:sz w:val="20"/>
        </w:rPr>
        <w:t>now provides </w:t>
      </w:r>
      <w:r>
        <w:rPr>
          <w:sz w:val="20"/>
        </w:rPr>
        <w:t>for more than 12</w:t>
      </w:r>
      <w:r>
        <w:rPr>
          <w:spacing w:val="-10"/>
          <w:sz w:val="20"/>
        </w:rPr>
        <w:t> </w:t>
      </w:r>
      <w:r>
        <w:rPr>
          <w:sz w:val="20"/>
        </w:rPr>
        <w:t>jurors,</w:t>
      </w:r>
      <w:r>
        <w:rPr>
          <w:position w:val="7"/>
          <w:sz w:val="11"/>
        </w:rPr>
        <w:t>8</w:t>
      </w:r>
      <w:r>
        <w:rPr>
          <w:spacing w:val="15"/>
          <w:position w:val="7"/>
          <w:sz w:val="11"/>
        </w:rPr>
        <w:t> </w:t>
      </w:r>
      <w:r>
        <w:rPr>
          <w:sz w:val="20"/>
        </w:rPr>
        <w:t>but</w:t>
      </w:r>
      <w:r>
        <w:rPr>
          <w:spacing w:val="-10"/>
          <w:sz w:val="20"/>
        </w:rPr>
        <w:t> </w:t>
      </w:r>
      <w:r>
        <w:rPr>
          <w:sz w:val="20"/>
        </w:rPr>
        <w:t>it</w:t>
      </w:r>
      <w:r>
        <w:rPr>
          <w:spacing w:val="-9"/>
          <w:sz w:val="20"/>
        </w:rPr>
        <w:t> </w:t>
      </w:r>
      <w:r>
        <w:rPr>
          <w:sz w:val="20"/>
        </w:rPr>
        <w:t>remains</w:t>
      </w:r>
      <w:r>
        <w:rPr>
          <w:spacing w:val="-10"/>
          <w:sz w:val="20"/>
        </w:rPr>
        <w:t> </w:t>
      </w:r>
      <w:r>
        <w:rPr>
          <w:sz w:val="20"/>
        </w:rPr>
        <w:t>commonly</w:t>
      </w:r>
      <w:r>
        <w:rPr>
          <w:spacing w:val="-10"/>
          <w:sz w:val="20"/>
        </w:rPr>
        <w:t> </w:t>
      </w:r>
      <w:r>
        <w:rPr>
          <w:sz w:val="20"/>
        </w:rPr>
        <w:t>used.</w:t>
      </w:r>
      <w:r>
        <w:rPr>
          <w:spacing w:val="-9"/>
          <w:sz w:val="20"/>
        </w:rPr>
        <w:t> </w:t>
      </w:r>
      <w:r>
        <w:rPr>
          <w:sz w:val="20"/>
        </w:rPr>
        <w:t>In</w:t>
      </w:r>
      <w:r>
        <w:rPr>
          <w:spacing w:val="-10"/>
          <w:sz w:val="20"/>
        </w:rPr>
        <w:t> </w:t>
      </w:r>
      <w:r>
        <w:rPr>
          <w:sz w:val="20"/>
        </w:rPr>
        <w:t>practice</w:t>
      </w:r>
      <w:r>
        <w:rPr>
          <w:spacing w:val="-10"/>
          <w:sz w:val="20"/>
        </w:rPr>
        <w:t> </w:t>
      </w:r>
      <w:r>
        <w:rPr>
          <w:sz w:val="20"/>
        </w:rPr>
        <w:t>it</w:t>
      </w:r>
      <w:r>
        <w:rPr>
          <w:spacing w:val="-10"/>
          <w:sz w:val="20"/>
        </w:rPr>
        <w:t> </w:t>
      </w:r>
      <w:r>
        <w:rPr>
          <w:spacing w:val="-3"/>
          <w:sz w:val="20"/>
        </w:rPr>
        <w:t>refers</w:t>
      </w:r>
      <w:r>
        <w:rPr>
          <w:spacing w:val="-9"/>
          <w:sz w:val="20"/>
        </w:rPr>
        <w:t> </w:t>
      </w:r>
      <w:r>
        <w:rPr>
          <w:sz w:val="20"/>
        </w:rPr>
        <w:t>to</w:t>
      </w:r>
      <w:r>
        <w:rPr>
          <w:spacing w:val="-10"/>
          <w:sz w:val="20"/>
        </w:rPr>
        <w:t> </w:t>
      </w:r>
      <w:r>
        <w:rPr>
          <w:sz w:val="20"/>
        </w:rPr>
        <w:t>all</w:t>
      </w:r>
      <w:r>
        <w:rPr>
          <w:spacing w:val="-10"/>
          <w:sz w:val="20"/>
        </w:rPr>
        <w:t> </w:t>
      </w:r>
      <w:r>
        <w:rPr>
          <w:sz w:val="20"/>
        </w:rPr>
        <w:t>non-jurors</w:t>
      </w:r>
      <w:r>
        <w:rPr>
          <w:spacing w:val="-9"/>
          <w:sz w:val="20"/>
        </w:rPr>
        <w:t> </w:t>
      </w:r>
      <w:r>
        <w:rPr>
          <w:sz w:val="20"/>
        </w:rPr>
        <w:t>in</w:t>
      </w:r>
      <w:r>
        <w:rPr>
          <w:spacing w:val="-10"/>
          <w:sz w:val="20"/>
        </w:rPr>
        <w:t> </w:t>
      </w:r>
      <w:r>
        <w:rPr>
          <w:sz w:val="20"/>
        </w:rPr>
        <w:t>the</w:t>
      </w:r>
      <w:r>
        <w:rPr>
          <w:spacing w:val="-10"/>
          <w:sz w:val="20"/>
        </w:rPr>
        <w:t> </w:t>
      </w:r>
      <w:r>
        <w:rPr>
          <w:sz w:val="20"/>
        </w:rPr>
        <w:t>jury room.</w:t>
      </w:r>
    </w:p>
    <w:p>
      <w:pPr>
        <w:pStyle w:val="Heading6"/>
        <w:spacing w:before="128"/>
        <w:rPr>
          <w:b/>
        </w:rPr>
      </w:pPr>
      <w:r>
        <w:rPr>
          <w:b/>
        </w:rPr>
        <w:t>The High Court upholds the 13th person rule</w:t>
      </w:r>
    </w:p>
    <w:p>
      <w:pPr>
        <w:pStyle w:val="ListParagraph"/>
        <w:numPr>
          <w:ilvl w:val="1"/>
          <w:numId w:val="12"/>
        </w:numPr>
        <w:tabs>
          <w:tab w:pos="1761" w:val="left" w:leader="none"/>
          <w:tab w:pos="1762" w:val="left" w:leader="none"/>
        </w:tabs>
        <w:spacing w:line="206" w:lineRule="auto" w:before="132" w:after="0"/>
        <w:ind w:left="1761" w:right="1288" w:hanging="794"/>
        <w:jc w:val="left"/>
        <w:rPr>
          <w:sz w:val="20"/>
        </w:rPr>
      </w:pPr>
      <w:r>
        <w:rPr>
          <w:sz w:val="20"/>
        </w:rPr>
        <w:t>In </w:t>
      </w:r>
      <w:r>
        <w:rPr>
          <w:spacing w:val="-3"/>
          <w:sz w:val="20"/>
        </w:rPr>
        <w:t>2016 </w:t>
      </w:r>
      <w:r>
        <w:rPr>
          <w:sz w:val="20"/>
        </w:rPr>
        <w:t>the High Court upheld the 13th person rule in </w:t>
      </w:r>
      <w:r>
        <w:rPr>
          <w:i/>
          <w:spacing w:val="-4"/>
          <w:sz w:val="20"/>
        </w:rPr>
        <w:t>Lyons </w:t>
      </w:r>
      <w:r>
        <w:rPr>
          <w:i/>
          <w:sz w:val="20"/>
        </w:rPr>
        <w:t>v </w:t>
      </w:r>
      <w:r>
        <w:rPr>
          <w:i/>
          <w:spacing w:val="-4"/>
          <w:sz w:val="20"/>
        </w:rPr>
        <w:t>State </w:t>
      </w:r>
      <w:r>
        <w:rPr>
          <w:i/>
          <w:sz w:val="20"/>
        </w:rPr>
        <w:t>of Queensland</w:t>
      </w:r>
      <w:r>
        <w:rPr>
          <w:sz w:val="20"/>
        </w:rPr>
        <w:t>.</w:t>
      </w:r>
      <w:r>
        <w:rPr>
          <w:position w:val="7"/>
          <w:sz w:val="11"/>
        </w:rPr>
        <w:t>9</w:t>
      </w:r>
      <w:r>
        <w:rPr>
          <w:sz w:val="11"/>
        </w:rPr>
        <w:t> </w:t>
      </w:r>
      <w:r>
        <w:rPr>
          <w:sz w:val="20"/>
        </w:rPr>
        <w:t>That</w:t>
      </w:r>
      <w:r>
        <w:rPr>
          <w:spacing w:val="-9"/>
          <w:sz w:val="20"/>
        </w:rPr>
        <w:t> </w:t>
      </w:r>
      <w:r>
        <w:rPr>
          <w:sz w:val="20"/>
        </w:rPr>
        <w:t>case</w:t>
      </w:r>
      <w:r>
        <w:rPr>
          <w:spacing w:val="-9"/>
          <w:sz w:val="20"/>
        </w:rPr>
        <w:t> </w:t>
      </w:r>
      <w:r>
        <w:rPr>
          <w:sz w:val="20"/>
        </w:rPr>
        <w:t>originated</w:t>
      </w:r>
      <w:r>
        <w:rPr>
          <w:spacing w:val="-9"/>
          <w:sz w:val="20"/>
        </w:rPr>
        <w:t> </w:t>
      </w:r>
      <w:r>
        <w:rPr>
          <w:sz w:val="20"/>
        </w:rPr>
        <w:t>in</w:t>
      </w:r>
      <w:r>
        <w:rPr>
          <w:spacing w:val="-9"/>
          <w:sz w:val="20"/>
        </w:rPr>
        <w:t> </w:t>
      </w:r>
      <w:r>
        <w:rPr>
          <w:sz w:val="20"/>
        </w:rPr>
        <w:t>the</w:t>
      </w:r>
      <w:r>
        <w:rPr>
          <w:spacing w:val="-8"/>
          <w:sz w:val="20"/>
        </w:rPr>
        <w:t> </w:t>
      </w:r>
      <w:r>
        <w:rPr>
          <w:sz w:val="20"/>
        </w:rPr>
        <w:t>District</w:t>
      </w:r>
      <w:r>
        <w:rPr>
          <w:spacing w:val="-9"/>
          <w:sz w:val="20"/>
        </w:rPr>
        <w:t> </w:t>
      </w:r>
      <w:r>
        <w:rPr>
          <w:sz w:val="20"/>
        </w:rPr>
        <w:t>Court</w:t>
      </w:r>
      <w:r>
        <w:rPr>
          <w:spacing w:val="-9"/>
          <w:sz w:val="20"/>
        </w:rPr>
        <w:t> </w:t>
      </w:r>
      <w:r>
        <w:rPr>
          <w:sz w:val="20"/>
        </w:rPr>
        <w:t>in</w:t>
      </w:r>
      <w:r>
        <w:rPr>
          <w:spacing w:val="-9"/>
          <w:sz w:val="20"/>
        </w:rPr>
        <w:t> </w:t>
      </w:r>
      <w:r>
        <w:rPr>
          <w:sz w:val="20"/>
        </w:rPr>
        <w:t>2012,</w:t>
      </w:r>
      <w:r>
        <w:rPr>
          <w:spacing w:val="-9"/>
          <w:sz w:val="20"/>
        </w:rPr>
        <w:t> </w:t>
      </w:r>
      <w:r>
        <w:rPr>
          <w:sz w:val="20"/>
        </w:rPr>
        <w:t>when</w:t>
      </w:r>
      <w:r>
        <w:rPr>
          <w:spacing w:val="-8"/>
          <w:sz w:val="20"/>
        </w:rPr>
        <w:t> </w:t>
      </w:r>
      <w:r>
        <w:rPr>
          <w:spacing w:val="-3"/>
          <w:sz w:val="20"/>
        </w:rPr>
        <w:t>Gaye</w:t>
      </w:r>
      <w:r>
        <w:rPr>
          <w:spacing w:val="-9"/>
          <w:sz w:val="20"/>
        </w:rPr>
        <w:t> </w:t>
      </w:r>
      <w:r>
        <w:rPr>
          <w:spacing w:val="-5"/>
          <w:sz w:val="20"/>
        </w:rPr>
        <w:t>Lyons</w:t>
      </w:r>
      <w:r>
        <w:rPr>
          <w:spacing w:val="-9"/>
          <w:sz w:val="20"/>
        </w:rPr>
        <w:t> </w:t>
      </w:r>
      <w:r>
        <w:rPr>
          <w:sz w:val="20"/>
        </w:rPr>
        <w:t>was</w:t>
      </w:r>
      <w:r>
        <w:rPr>
          <w:spacing w:val="-9"/>
          <w:sz w:val="20"/>
        </w:rPr>
        <w:t> </w:t>
      </w:r>
      <w:r>
        <w:rPr>
          <w:sz w:val="20"/>
        </w:rPr>
        <w:t>summonsed</w:t>
      </w:r>
      <w:r>
        <w:rPr>
          <w:spacing w:val="-9"/>
          <w:sz w:val="20"/>
        </w:rPr>
        <w:t> </w:t>
      </w:r>
      <w:r>
        <w:rPr>
          <w:sz w:val="20"/>
        </w:rPr>
        <w:t>to serve as a </w:t>
      </w:r>
      <w:r>
        <w:rPr>
          <w:spacing w:val="-4"/>
          <w:sz w:val="20"/>
        </w:rPr>
        <w:t>juror.</w:t>
      </w:r>
      <w:r>
        <w:rPr>
          <w:spacing w:val="-4"/>
          <w:position w:val="7"/>
          <w:sz w:val="11"/>
        </w:rPr>
        <w:t>10 </w:t>
      </w:r>
      <w:r>
        <w:rPr>
          <w:sz w:val="20"/>
        </w:rPr>
        <w:t>Although she could lip-read, Ms </w:t>
      </w:r>
      <w:r>
        <w:rPr>
          <w:spacing w:val="-5"/>
          <w:sz w:val="20"/>
        </w:rPr>
        <w:t>Lyons </w:t>
      </w:r>
      <w:r>
        <w:rPr>
          <w:spacing w:val="-3"/>
          <w:sz w:val="20"/>
        </w:rPr>
        <w:t>required </w:t>
      </w:r>
      <w:r>
        <w:rPr>
          <w:sz w:val="20"/>
        </w:rPr>
        <w:t>the assistance of an Auslan </w:t>
      </w:r>
      <w:r>
        <w:rPr>
          <w:spacing w:val="-3"/>
          <w:sz w:val="20"/>
        </w:rPr>
        <w:t>interpreter </w:t>
      </w:r>
      <w:r>
        <w:rPr>
          <w:sz w:val="20"/>
        </w:rPr>
        <w:t>to serve. This request was</w:t>
      </w:r>
      <w:r>
        <w:rPr>
          <w:spacing w:val="-29"/>
          <w:sz w:val="20"/>
        </w:rPr>
        <w:t> </w:t>
      </w:r>
      <w:r>
        <w:rPr>
          <w:sz w:val="20"/>
        </w:rPr>
        <w:t>denied.</w:t>
      </w:r>
    </w:p>
    <w:p>
      <w:pPr>
        <w:pStyle w:val="ListParagraph"/>
        <w:numPr>
          <w:ilvl w:val="1"/>
          <w:numId w:val="12"/>
        </w:numPr>
        <w:tabs>
          <w:tab w:pos="1761" w:val="left" w:leader="none"/>
          <w:tab w:pos="1762" w:val="left" w:leader="none"/>
        </w:tabs>
        <w:spacing w:line="206" w:lineRule="auto" w:before="125" w:after="0"/>
        <w:ind w:left="1761" w:right="1517" w:hanging="794"/>
        <w:jc w:val="left"/>
        <w:rPr>
          <w:sz w:val="20"/>
        </w:rPr>
      </w:pPr>
      <w:r>
        <w:rPr>
          <w:sz w:val="20"/>
        </w:rPr>
        <w:t>The High Court held that the 13th person rule prohibited the </w:t>
      </w:r>
      <w:r>
        <w:rPr>
          <w:spacing w:val="-3"/>
          <w:sz w:val="20"/>
        </w:rPr>
        <w:t>interpreter from </w:t>
      </w:r>
      <w:r>
        <w:rPr>
          <w:sz w:val="20"/>
        </w:rPr>
        <w:t>being present</w:t>
      </w:r>
      <w:r>
        <w:rPr>
          <w:spacing w:val="-12"/>
          <w:sz w:val="20"/>
        </w:rPr>
        <w:t> </w:t>
      </w:r>
      <w:r>
        <w:rPr>
          <w:sz w:val="20"/>
        </w:rPr>
        <w:t>during</w:t>
      </w:r>
      <w:r>
        <w:rPr>
          <w:spacing w:val="-12"/>
          <w:sz w:val="20"/>
        </w:rPr>
        <w:t> </w:t>
      </w:r>
      <w:r>
        <w:rPr>
          <w:sz w:val="20"/>
        </w:rPr>
        <w:t>jury</w:t>
      </w:r>
      <w:r>
        <w:rPr>
          <w:spacing w:val="-11"/>
          <w:sz w:val="20"/>
        </w:rPr>
        <w:t> </w:t>
      </w:r>
      <w:r>
        <w:rPr>
          <w:sz w:val="20"/>
        </w:rPr>
        <w:t>deliberations.</w:t>
      </w:r>
      <w:r>
        <w:rPr>
          <w:position w:val="7"/>
          <w:sz w:val="11"/>
        </w:rPr>
        <w:t>11</w:t>
      </w:r>
      <w:r>
        <w:rPr>
          <w:spacing w:val="13"/>
          <w:position w:val="7"/>
          <w:sz w:val="11"/>
        </w:rPr>
        <w:t> </w:t>
      </w:r>
      <w:r>
        <w:rPr>
          <w:sz w:val="20"/>
        </w:rPr>
        <w:t>The</w:t>
      </w:r>
      <w:r>
        <w:rPr>
          <w:spacing w:val="-12"/>
          <w:sz w:val="20"/>
        </w:rPr>
        <w:t> </w:t>
      </w:r>
      <w:r>
        <w:rPr>
          <w:sz w:val="20"/>
        </w:rPr>
        <w:t>plurality</w:t>
      </w:r>
      <w:r>
        <w:rPr>
          <w:position w:val="7"/>
          <w:sz w:val="11"/>
        </w:rPr>
        <w:t>12</w:t>
      </w:r>
      <w:r>
        <w:rPr>
          <w:spacing w:val="13"/>
          <w:position w:val="7"/>
          <w:sz w:val="11"/>
        </w:rPr>
        <w:t> </w:t>
      </w:r>
      <w:r>
        <w:rPr>
          <w:sz w:val="20"/>
        </w:rPr>
        <w:t>(Chief</w:t>
      </w:r>
      <w:r>
        <w:rPr>
          <w:spacing w:val="-11"/>
          <w:sz w:val="20"/>
        </w:rPr>
        <w:t> </w:t>
      </w:r>
      <w:r>
        <w:rPr>
          <w:sz w:val="20"/>
        </w:rPr>
        <w:t>Justice</w:t>
      </w:r>
      <w:r>
        <w:rPr>
          <w:spacing w:val="-12"/>
          <w:sz w:val="20"/>
        </w:rPr>
        <w:t> </w:t>
      </w:r>
      <w:r>
        <w:rPr>
          <w:spacing w:val="-3"/>
          <w:sz w:val="20"/>
        </w:rPr>
        <w:t>French,</w:t>
      </w:r>
      <w:r>
        <w:rPr>
          <w:spacing w:val="-11"/>
          <w:sz w:val="20"/>
        </w:rPr>
        <w:t> </w:t>
      </w:r>
      <w:r>
        <w:rPr>
          <w:sz w:val="20"/>
        </w:rPr>
        <w:t>Justices</w:t>
      </w:r>
      <w:r>
        <w:rPr>
          <w:spacing w:val="-12"/>
          <w:sz w:val="20"/>
        </w:rPr>
        <w:t> </w:t>
      </w:r>
      <w:r>
        <w:rPr>
          <w:sz w:val="20"/>
        </w:rPr>
        <w:t>Bell, </w:t>
      </w:r>
      <w:r>
        <w:rPr>
          <w:spacing w:val="-3"/>
          <w:sz w:val="20"/>
        </w:rPr>
        <w:t>Keane </w:t>
      </w:r>
      <w:r>
        <w:rPr>
          <w:sz w:val="20"/>
        </w:rPr>
        <w:t>and </w:t>
      </w:r>
      <w:r>
        <w:rPr>
          <w:spacing w:val="-3"/>
          <w:sz w:val="20"/>
        </w:rPr>
        <w:t>Nettle)</w:t>
      </w:r>
      <w:r>
        <w:rPr>
          <w:spacing w:val="-10"/>
          <w:sz w:val="20"/>
        </w:rPr>
        <w:t> </w:t>
      </w:r>
      <w:r>
        <w:rPr>
          <w:sz w:val="20"/>
        </w:rPr>
        <w:t>stated:</w:t>
      </w:r>
    </w:p>
    <w:p>
      <w:pPr>
        <w:spacing w:line="208" w:lineRule="auto" w:before="122"/>
        <w:ind w:left="2157" w:right="1335" w:firstLine="0"/>
        <w:jc w:val="left"/>
        <w:rPr>
          <w:sz w:val="19"/>
        </w:rPr>
      </w:pPr>
      <w:r>
        <w:rPr>
          <w:sz w:val="19"/>
        </w:rPr>
        <w:t>Absent specific statutory provision, the contention that disclosure of the jury’s deliberations to an Auslan interpreter is ‘allowed by law’ must be rejected. The common law has long required that the jury be kept separate … The presence of a person other than a juror in the jury room during the course of deliberations is an incurable irregularity regardless of whether the person takes any part in the jury’s</w:t>
      </w:r>
    </w:p>
    <w:p>
      <w:pPr>
        <w:pStyle w:val="BodyText"/>
        <w:spacing w:before="5"/>
        <w:rPr>
          <w:sz w:val="7"/>
        </w:rPr>
      </w:pPr>
      <w:r>
        <w:rPr/>
        <w:pict>
          <v:line style="position:absolute;mso-position-horizontal-relative:page;mso-position-vertical-relative:paragraph;z-index:1376;mso-wrap-distance-left:0;mso-wrap-distance-right:0" from="79.370102pt,7.599168pt" to="515.905102pt,7.599168pt" stroked="true" strokeweight="1pt" strokecolor="#b6bdc8">
            <v:stroke dashstyle="solid"/>
            <w10:wrap type="topAndBottom"/>
          </v:line>
        </w:pict>
      </w:r>
    </w:p>
    <w:p>
      <w:pPr>
        <w:pStyle w:val="ListParagraph"/>
        <w:numPr>
          <w:ilvl w:val="0"/>
          <w:numId w:val="27"/>
        </w:numPr>
        <w:tabs>
          <w:tab w:pos="1760" w:val="left" w:leader="none"/>
          <w:tab w:pos="1762" w:val="left" w:leader="none"/>
        </w:tabs>
        <w:spacing w:line="213" w:lineRule="auto" w:before="107" w:after="0"/>
        <w:ind w:left="1761" w:right="1249" w:hanging="794"/>
        <w:jc w:val="left"/>
        <w:rPr>
          <w:sz w:val="13"/>
        </w:rPr>
      </w:pPr>
      <w:r>
        <w:rPr>
          <w:sz w:val="13"/>
        </w:rPr>
        <w:t>Reasonable accommodations (which we call ‘reasonable adjustments’) are defined in the Convention on the Rights of Persons    with </w:t>
      </w:r>
      <w:r>
        <w:rPr>
          <w:spacing w:val="2"/>
          <w:sz w:val="13"/>
        </w:rPr>
        <w:t>Disabilities </w:t>
      </w:r>
      <w:r>
        <w:rPr>
          <w:sz w:val="13"/>
        </w:rPr>
        <w:t>as </w:t>
      </w:r>
      <w:r>
        <w:rPr>
          <w:spacing w:val="2"/>
          <w:sz w:val="13"/>
        </w:rPr>
        <w:t>‘necessary </w:t>
      </w:r>
      <w:r>
        <w:rPr>
          <w:sz w:val="13"/>
        </w:rPr>
        <w:t>and appropriate </w:t>
      </w:r>
      <w:r>
        <w:rPr>
          <w:spacing w:val="2"/>
          <w:sz w:val="13"/>
        </w:rPr>
        <w:t>modifications </w:t>
      </w:r>
      <w:r>
        <w:rPr>
          <w:sz w:val="13"/>
        </w:rPr>
        <w:t>and </w:t>
      </w:r>
      <w:r>
        <w:rPr>
          <w:spacing w:val="2"/>
          <w:sz w:val="13"/>
        </w:rPr>
        <w:t>adjustments </w:t>
      </w:r>
      <w:r>
        <w:rPr>
          <w:sz w:val="13"/>
        </w:rPr>
        <w:t>not imposing a disproportionate or undue burden, where </w:t>
      </w:r>
      <w:r>
        <w:rPr>
          <w:spacing w:val="2"/>
          <w:sz w:val="13"/>
        </w:rPr>
        <w:t>needed </w:t>
      </w:r>
      <w:r>
        <w:rPr>
          <w:sz w:val="13"/>
        </w:rPr>
        <w:t>in a </w:t>
      </w:r>
      <w:r>
        <w:rPr>
          <w:spacing w:val="2"/>
          <w:sz w:val="13"/>
        </w:rPr>
        <w:t>particular </w:t>
      </w:r>
      <w:r>
        <w:rPr>
          <w:sz w:val="13"/>
        </w:rPr>
        <w:t>case, to ensure to persons with </w:t>
      </w:r>
      <w:r>
        <w:rPr>
          <w:spacing w:val="2"/>
          <w:sz w:val="13"/>
        </w:rPr>
        <w:t>disabilities </w:t>
      </w:r>
      <w:r>
        <w:rPr>
          <w:sz w:val="13"/>
        </w:rPr>
        <w:t>the enjoyment or exercise on an equal basis with others  of all human rights and fundamental freedoms’. </w:t>
      </w: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 </w:t>
      </w:r>
      <w:r>
        <w:rPr>
          <w:spacing w:val="2"/>
          <w:sz w:val="13"/>
        </w:rPr>
        <w:t>art</w:t>
      </w:r>
      <w:r>
        <w:rPr>
          <w:spacing w:val="4"/>
          <w:sz w:val="13"/>
        </w:rPr>
        <w:t> </w:t>
      </w:r>
      <w:r>
        <w:rPr>
          <w:sz w:val="13"/>
        </w:rPr>
        <w:t>2.</w:t>
      </w:r>
    </w:p>
    <w:p>
      <w:pPr>
        <w:pStyle w:val="ListParagraph"/>
        <w:numPr>
          <w:ilvl w:val="0"/>
          <w:numId w:val="27"/>
        </w:numPr>
        <w:tabs>
          <w:tab w:pos="1760" w:val="left" w:leader="none"/>
          <w:tab w:pos="1762" w:val="left" w:leader="none"/>
        </w:tabs>
        <w:spacing w:line="151"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pStyle w:val="ListParagraph"/>
        <w:numPr>
          <w:ilvl w:val="0"/>
          <w:numId w:val="27"/>
        </w:numPr>
        <w:tabs>
          <w:tab w:pos="1760" w:val="left" w:leader="none"/>
          <w:tab w:pos="1762" w:val="left" w:leader="none"/>
        </w:tabs>
        <w:spacing w:line="160" w:lineRule="exact" w:before="0" w:after="0"/>
        <w:ind w:left="1761" w:right="0" w:hanging="794"/>
        <w:jc w:val="left"/>
        <w:rPr>
          <w:sz w:val="13"/>
        </w:rPr>
      </w:pPr>
      <w:r>
        <w:rPr>
          <w:sz w:val="13"/>
        </w:rPr>
        <w:t>Information provided by Juries Victoria to Victorian Law Reform </w:t>
      </w:r>
      <w:r>
        <w:rPr>
          <w:spacing w:val="2"/>
          <w:sz w:val="13"/>
        </w:rPr>
        <w:t>Commission, </w:t>
      </w:r>
      <w:r>
        <w:rPr>
          <w:sz w:val="13"/>
        </w:rPr>
        <w:t>6 October</w:t>
      </w:r>
      <w:r>
        <w:rPr>
          <w:spacing w:val="9"/>
          <w:sz w:val="13"/>
        </w:rPr>
        <w:t> </w:t>
      </w:r>
      <w:r>
        <w:rPr>
          <w:sz w:val="13"/>
        </w:rPr>
        <w:t>2020.</w:t>
      </w:r>
    </w:p>
    <w:p>
      <w:pPr>
        <w:pStyle w:val="ListParagraph"/>
        <w:numPr>
          <w:ilvl w:val="0"/>
          <w:numId w:val="27"/>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z w:val="13"/>
        </w:rPr>
        <w:t>13 </w:t>
      </w:r>
      <w:r>
        <w:rPr>
          <w:spacing w:val="2"/>
          <w:sz w:val="13"/>
        </w:rPr>
        <w:t>(Juries</w:t>
      </w:r>
      <w:r>
        <w:rPr>
          <w:spacing w:val="-2"/>
          <w:sz w:val="13"/>
        </w:rPr>
        <w:t> </w:t>
      </w:r>
      <w:r>
        <w:rPr>
          <w:sz w:val="13"/>
        </w:rPr>
        <w:t>Victoria).</w:t>
      </w:r>
    </w:p>
    <w:p>
      <w:pPr>
        <w:pStyle w:val="ListParagraph"/>
        <w:numPr>
          <w:ilvl w:val="0"/>
          <w:numId w:val="27"/>
        </w:numPr>
        <w:tabs>
          <w:tab w:pos="1760" w:val="left" w:leader="none"/>
          <w:tab w:pos="1762" w:val="left" w:leader="none"/>
        </w:tabs>
        <w:spacing w:line="160" w:lineRule="exact" w:before="0" w:after="0"/>
        <w:ind w:left="1761" w:right="0" w:hanging="794"/>
        <w:jc w:val="left"/>
        <w:rPr>
          <w:sz w:val="13"/>
        </w:rPr>
      </w:pPr>
      <w:r>
        <w:rPr>
          <w:sz w:val="13"/>
        </w:rPr>
        <w:t>Sir William </w:t>
      </w:r>
      <w:r>
        <w:rPr>
          <w:spacing w:val="2"/>
          <w:sz w:val="13"/>
        </w:rPr>
        <w:t>Blackstone, </w:t>
      </w:r>
      <w:r>
        <w:rPr>
          <w:i/>
          <w:sz w:val="13"/>
        </w:rPr>
        <w:t>Commentaries on the Laws of England </w:t>
      </w:r>
      <w:r>
        <w:rPr>
          <w:sz w:val="13"/>
        </w:rPr>
        <w:t>(Sweet, Maxwell &amp; Son, </w:t>
      </w:r>
      <w:r>
        <w:rPr>
          <w:spacing w:val="2"/>
          <w:sz w:val="13"/>
        </w:rPr>
        <w:t>21st </w:t>
      </w:r>
      <w:r>
        <w:rPr>
          <w:sz w:val="13"/>
        </w:rPr>
        <w:t>ed, </w:t>
      </w:r>
      <w:r>
        <w:rPr>
          <w:spacing w:val="2"/>
          <w:sz w:val="13"/>
        </w:rPr>
        <w:t>1844) </w:t>
      </w:r>
      <w:r>
        <w:rPr>
          <w:sz w:val="13"/>
        </w:rPr>
        <w:t>vol </w:t>
      </w:r>
      <w:r>
        <w:rPr>
          <w:spacing w:val="3"/>
          <w:sz w:val="13"/>
        </w:rPr>
        <w:t>3, </w:t>
      </w:r>
      <w:r>
        <w:rPr>
          <w:sz w:val="13"/>
        </w:rPr>
        <w:t>375; Sir Patrick</w:t>
      </w:r>
      <w:r>
        <w:rPr>
          <w:spacing w:val="24"/>
          <w:sz w:val="13"/>
        </w:rPr>
        <w:t> </w:t>
      </w:r>
      <w:r>
        <w:rPr>
          <w:sz w:val="13"/>
        </w:rPr>
        <w:t>Devlin,</w:t>
      </w:r>
    </w:p>
    <w:p>
      <w:pPr>
        <w:spacing w:line="160" w:lineRule="exact" w:before="0"/>
        <w:ind w:left="1761" w:right="0" w:firstLine="0"/>
        <w:jc w:val="left"/>
        <w:rPr>
          <w:sz w:val="13"/>
        </w:rPr>
      </w:pPr>
      <w:r>
        <w:rPr>
          <w:i/>
          <w:sz w:val="13"/>
        </w:rPr>
        <w:t>Trial by Jury </w:t>
      </w:r>
      <w:r>
        <w:rPr>
          <w:sz w:val="13"/>
        </w:rPr>
        <w:t>(Stevens &amp; Sons, 1956) 41–42; Sir William Holdsworth, </w:t>
      </w:r>
      <w:r>
        <w:rPr>
          <w:i/>
          <w:sz w:val="13"/>
        </w:rPr>
        <w:t>A History of English Law </w:t>
      </w:r>
      <w:r>
        <w:rPr>
          <w:sz w:val="13"/>
        </w:rPr>
        <w:t>(Methuen, 1938) vol 11, 553–4.</w:t>
      </w:r>
    </w:p>
    <w:p>
      <w:pPr>
        <w:pStyle w:val="ListParagraph"/>
        <w:numPr>
          <w:ilvl w:val="0"/>
          <w:numId w:val="27"/>
        </w:numPr>
        <w:tabs>
          <w:tab w:pos="1760" w:val="left" w:leader="none"/>
          <w:tab w:pos="1762" w:val="left" w:leader="none"/>
        </w:tabs>
        <w:spacing w:line="160" w:lineRule="exact" w:before="0" w:after="0"/>
        <w:ind w:left="1761" w:right="0" w:hanging="794"/>
        <w:jc w:val="left"/>
        <w:rPr>
          <w:sz w:val="13"/>
        </w:rPr>
      </w:pPr>
      <w:r>
        <w:rPr>
          <w:sz w:val="13"/>
        </w:rPr>
        <w:t>See provisions for additional jurors to be empanelled and balloted off: </w:t>
      </w:r>
      <w:r>
        <w:rPr>
          <w:i/>
          <w:sz w:val="13"/>
        </w:rPr>
        <w:t>Juries Act 2000 </w:t>
      </w:r>
      <w:r>
        <w:rPr>
          <w:spacing w:val="2"/>
          <w:sz w:val="13"/>
        </w:rPr>
        <w:t>(Vic) </w:t>
      </w:r>
      <w:r>
        <w:rPr>
          <w:sz w:val="13"/>
        </w:rPr>
        <w:t>ss </w:t>
      </w:r>
      <w:r>
        <w:rPr>
          <w:spacing w:val="2"/>
          <w:sz w:val="13"/>
        </w:rPr>
        <w:t>23,</w:t>
      </w:r>
      <w:r>
        <w:rPr>
          <w:spacing w:val="14"/>
          <w:sz w:val="13"/>
        </w:rPr>
        <w:t> </w:t>
      </w:r>
      <w:r>
        <w:rPr>
          <w:spacing w:val="2"/>
          <w:sz w:val="13"/>
        </w:rPr>
        <w:t>48.</w:t>
      </w:r>
    </w:p>
    <w:p>
      <w:pPr>
        <w:pStyle w:val="ListParagraph"/>
        <w:numPr>
          <w:ilvl w:val="0"/>
          <w:numId w:val="27"/>
        </w:numPr>
        <w:tabs>
          <w:tab w:pos="1761" w:val="left" w:leader="none"/>
          <w:tab w:pos="1762" w:val="left" w:leader="none"/>
        </w:tabs>
        <w:spacing w:line="160" w:lineRule="exact" w:before="0" w:after="0"/>
        <w:ind w:left="1761" w:right="0" w:hanging="794"/>
        <w:jc w:val="left"/>
        <w:rPr>
          <w:sz w:val="13"/>
        </w:rPr>
      </w:pPr>
      <w:r>
        <w:rPr>
          <w:i/>
          <w:sz w:val="13"/>
        </w:rPr>
        <w:t>Lyons v State of Queensland </w:t>
      </w:r>
      <w:r>
        <w:rPr>
          <w:sz w:val="13"/>
        </w:rPr>
        <w:t>[2016] HCA 38, (2016) 259 CLR</w:t>
      </w:r>
      <w:r>
        <w:rPr>
          <w:spacing w:val="4"/>
          <w:sz w:val="13"/>
        </w:rPr>
        <w:t> </w:t>
      </w:r>
      <w:r>
        <w:rPr>
          <w:sz w:val="13"/>
        </w:rPr>
        <w:t>518.</w:t>
      </w:r>
    </w:p>
    <w:p>
      <w:pPr>
        <w:pStyle w:val="ListParagraph"/>
        <w:numPr>
          <w:ilvl w:val="0"/>
          <w:numId w:val="27"/>
        </w:numPr>
        <w:tabs>
          <w:tab w:pos="1760" w:val="left" w:leader="none"/>
          <w:tab w:pos="1762" w:val="left" w:leader="none"/>
        </w:tabs>
        <w:spacing w:line="213" w:lineRule="auto" w:before="6" w:after="0"/>
        <w:ind w:left="1761" w:right="1258" w:hanging="794"/>
        <w:jc w:val="left"/>
        <w:rPr>
          <w:sz w:val="13"/>
        </w:rPr>
      </w:pPr>
      <w:r>
        <w:rPr>
          <w:sz w:val="13"/>
        </w:rPr>
        <w:t>Ms Lyons unsuccessfully appealed to the </w:t>
      </w:r>
      <w:r>
        <w:rPr>
          <w:spacing w:val="2"/>
          <w:sz w:val="13"/>
        </w:rPr>
        <w:t>Queensland </w:t>
      </w:r>
      <w:r>
        <w:rPr>
          <w:sz w:val="13"/>
        </w:rPr>
        <w:t>Administrative Tribunal and </w:t>
      </w:r>
      <w:r>
        <w:rPr>
          <w:spacing w:val="2"/>
          <w:sz w:val="13"/>
        </w:rPr>
        <w:t>its Appeal </w:t>
      </w:r>
      <w:r>
        <w:rPr>
          <w:sz w:val="13"/>
        </w:rPr>
        <w:t>Division as well as the </w:t>
      </w:r>
      <w:r>
        <w:rPr>
          <w:spacing w:val="2"/>
          <w:sz w:val="13"/>
        </w:rPr>
        <w:t>Queensland </w:t>
      </w:r>
      <w:r>
        <w:rPr>
          <w:sz w:val="13"/>
        </w:rPr>
        <w:t>Supreme </w:t>
      </w:r>
      <w:r>
        <w:rPr>
          <w:spacing w:val="2"/>
          <w:sz w:val="13"/>
        </w:rPr>
        <w:t>Court </w:t>
      </w:r>
      <w:r>
        <w:rPr>
          <w:sz w:val="13"/>
        </w:rPr>
        <w:t>and ultimately the High </w:t>
      </w:r>
      <w:r>
        <w:rPr>
          <w:spacing w:val="2"/>
          <w:sz w:val="13"/>
        </w:rPr>
        <w:t>Court. </w:t>
      </w:r>
      <w:r>
        <w:rPr>
          <w:sz w:val="13"/>
        </w:rPr>
        <w:t>See </w:t>
      </w:r>
      <w:r>
        <w:rPr>
          <w:i/>
          <w:sz w:val="13"/>
        </w:rPr>
        <w:t>Lyons v State of Queensland (No 2) </w:t>
      </w:r>
      <w:r>
        <w:rPr>
          <w:sz w:val="13"/>
        </w:rPr>
        <w:t>[2013] QCAT 731; </w:t>
      </w:r>
      <w:r>
        <w:rPr>
          <w:i/>
          <w:sz w:val="13"/>
        </w:rPr>
        <w:t>Lyons v State of    </w:t>
      </w:r>
      <w:r>
        <w:rPr>
          <w:i/>
          <w:sz w:val="13"/>
        </w:rPr>
        <w:t>Queensland </w:t>
      </w:r>
      <w:r>
        <w:rPr>
          <w:sz w:val="13"/>
        </w:rPr>
        <w:t>[2014] </w:t>
      </w:r>
      <w:r>
        <w:rPr>
          <w:spacing w:val="-3"/>
          <w:sz w:val="13"/>
        </w:rPr>
        <w:t>QCATA </w:t>
      </w:r>
      <w:r>
        <w:rPr>
          <w:sz w:val="13"/>
        </w:rPr>
        <w:t>302; </w:t>
      </w:r>
      <w:r>
        <w:rPr>
          <w:i/>
          <w:sz w:val="13"/>
        </w:rPr>
        <w:t>Lyons v State of Queensland </w:t>
      </w:r>
      <w:r>
        <w:rPr>
          <w:sz w:val="13"/>
        </w:rPr>
        <w:t>[2015] QCA </w:t>
      </w:r>
      <w:r>
        <w:rPr>
          <w:spacing w:val="2"/>
          <w:sz w:val="13"/>
        </w:rPr>
        <w:t>159, </w:t>
      </w:r>
      <w:r>
        <w:rPr>
          <w:sz w:val="13"/>
        </w:rPr>
        <w:t>2 QD R</w:t>
      </w:r>
      <w:r>
        <w:rPr>
          <w:spacing w:val="14"/>
          <w:sz w:val="13"/>
        </w:rPr>
        <w:t> </w:t>
      </w:r>
      <w:r>
        <w:rPr>
          <w:spacing w:val="2"/>
          <w:sz w:val="13"/>
        </w:rPr>
        <w:t>41.</w:t>
      </w:r>
    </w:p>
    <w:p>
      <w:pPr>
        <w:pStyle w:val="ListParagraph"/>
        <w:numPr>
          <w:ilvl w:val="0"/>
          <w:numId w:val="27"/>
        </w:numPr>
        <w:tabs>
          <w:tab w:pos="1761" w:val="left" w:leader="none"/>
          <w:tab w:pos="1762" w:val="left" w:leader="none"/>
        </w:tabs>
        <w:spacing w:line="152" w:lineRule="exact" w:before="0" w:after="0"/>
        <w:ind w:left="1761" w:right="0" w:hanging="794"/>
        <w:jc w:val="left"/>
        <w:rPr>
          <w:sz w:val="13"/>
        </w:rPr>
      </w:pPr>
      <w:r>
        <w:rPr>
          <w:i/>
          <w:sz w:val="13"/>
        </w:rPr>
        <w:t>Lyons v State of Queensland </w:t>
      </w:r>
      <w:r>
        <w:rPr>
          <w:sz w:val="13"/>
        </w:rPr>
        <w:t>[2016] HCA 38, </w:t>
      </w:r>
      <w:r>
        <w:rPr>
          <w:spacing w:val="2"/>
          <w:sz w:val="13"/>
        </w:rPr>
        <w:t>[33], </w:t>
      </w:r>
      <w:r>
        <w:rPr>
          <w:sz w:val="13"/>
        </w:rPr>
        <w:t>[38].</w:t>
      </w:r>
    </w:p>
    <w:p>
      <w:pPr>
        <w:pStyle w:val="ListParagraph"/>
        <w:numPr>
          <w:ilvl w:val="0"/>
          <w:numId w:val="27"/>
        </w:numPr>
        <w:tabs>
          <w:tab w:pos="1761" w:val="left" w:leader="none"/>
          <w:tab w:pos="1762" w:val="left" w:leader="none"/>
        </w:tabs>
        <w:spacing w:line="213" w:lineRule="auto" w:before="7" w:after="0"/>
        <w:ind w:left="1761" w:right="1298" w:hanging="794"/>
        <w:jc w:val="left"/>
        <w:rPr>
          <w:sz w:val="13"/>
        </w:rPr>
      </w:pPr>
      <w:r>
        <w:rPr/>
        <w:pict>
          <v:shape style="position:absolute;margin-left:548.972473pt;margin-top:27.744591pt;width:13.05pt;height:14.1pt;mso-position-horizontal-relative:page;mso-position-vertical-relative:paragraph;z-index:3448" type="#_x0000_t202" filled="false" stroked="false">
            <v:textbox inset="0,0,0,0">
              <w:txbxContent>
                <w:p>
                  <w:pPr>
                    <w:spacing w:line="282" w:lineRule="exact" w:before="0"/>
                    <w:ind w:left="0" w:right="0" w:firstLine="0"/>
                    <w:jc w:val="left"/>
                    <w:rPr>
                      <w:b/>
                      <w:sz w:val="24"/>
                    </w:rPr>
                  </w:pPr>
                  <w:r>
                    <w:rPr>
                      <w:b/>
                      <w:color w:val="37617A"/>
                      <w:spacing w:val="-5"/>
                      <w:sz w:val="24"/>
                    </w:rPr>
                    <w:t>23</w:t>
                  </w:r>
                </w:p>
              </w:txbxContent>
            </v:textbox>
            <w10:wrap type="none"/>
          </v:shape>
        </w:pict>
      </w:r>
      <w:r>
        <w:rPr>
          <w:sz w:val="13"/>
        </w:rPr>
        <w:t>A </w:t>
      </w:r>
      <w:r>
        <w:rPr>
          <w:spacing w:val="2"/>
          <w:sz w:val="13"/>
        </w:rPr>
        <w:t>plurality </w:t>
      </w:r>
      <w:r>
        <w:rPr>
          <w:sz w:val="13"/>
        </w:rPr>
        <w:t>opinion has </w:t>
      </w:r>
      <w:r>
        <w:rPr>
          <w:spacing w:val="2"/>
          <w:sz w:val="13"/>
        </w:rPr>
        <w:t>been </w:t>
      </w:r>
      <w:r>
        <w:rPr>
          <w:sz w:val="13"/>
        </w:rPr>
        <w:t>defined as ‘an appellate opinion not having enough judges’ votes to constitute a majority but receiving the greatest </w:t>
      </w:r>
      <w:r>
        <w:rPr>
          <w:spacing w:val="2"/>
          <w:sz w:val="13"/>
        </w:rPr>
        <w:t>number </w:t>
      </w:r>
      <w:r>
        <w:rPr>
          <w:sz w:val="13"/>
        </w:rPr>
        <w:t>of votes in </w:t>
      </w:r>
      <w:r>
        <w:rPr>
          <w:spacing w:val="2"/>
          <w:sz w:val="13"/>
        </w:rPr>
        <w:t>support </w:t>
      </w:r>
      <w:r>
        <w:rPr>
          <w:sz w:val="13"/>
        </w:rPr>
        <w:t>of the </w:t>
      </w:r>
      <w:r>
        <w:rPr>
          <w:spacing w:val="2"/>
          <w:sz w:val="13"/>
        </w:rPr>
        <w:t>decision. </w:t>
      </w:r>
      <w:r>
        <w:rPr>
          <w:sz w:val="13"/>
        </w:rPr>
        <w:t>With a </w:t>
      </w:r>
      <w:r>
        <w:rPr>
          <w:spacing w:val="2"/>
          <w:sz w:val="13"/>
        </w:rPr>
        <w:t>plurality decision, </w:t>
      </w:r>
      <w:r>
        <w:rPr>
          <w:sz w:val="13"/>
        </w:rPr>
        <w:t>the only opinion to be accorded precedential value is that which decides the case on the narrowest grounds’: </w:t>
      </w:r>
      <w:r>
        <w:rPr>
          <w:spacing w:val="2"/>
          <w:sz w:val="13"/>
        </w:rPr>
        <w:t>Bryan </w:t>
      </w:r>
      <w:r>
        <w:rPr>
          <w:sz w:val="13"/>
        </w:rPr>
        <w:t>A </w:t>
      </w:r>
      <w:r>
        <w:rPr>
          <w:spacing w:val="2"/>
          <w:sz w:val="13"/>
        </w:rPr>
        <w:t>Garner </w:t>
      </w:r>
      <w:r>
        <w:rPr>
          <w:sz w:val="13"/>
        </w:rPr>
        <w:t>et </w:t>
      </w:r>
      <w:r>
        <w:rPr>
          <w:spacing w:val="2"/>
          <w:sz w:val="13"/>
        </w:rPr>
        <w:t>al, </w:t>
      </w:r>
      <w:r>
        <w:rPr>
          <w:i/>
          <w:sz w:val="13"/>
        </w:rPr>
        <w:t>The Law of Judicial Precedent </w:t>
      </w:r>
      <w:r>
        <w:rPr>
          <w:spacing w:val="2"/>
          <w:sz w:val="13"/>
        </w:rPr>
        <w:t>(Thomson </w:t>
      </w:r>
      <w:r>
        <w:rPr>
          <w:sz w:val="13"/>
        </w:rPr>
        <w:t>Reuters, 2016) </w:t>
      </w:r>
      <w:r>
        <w:rPr>
          <w:spacing w:val="2"/>
          <w:sz w:val="13"/>
        </w:rPr>
        <w:t>195, </w:t>
      </w:r>
      <w:r>
        <w:rPr>
          <w:sz w:val="13"/>
        </w:rPr>
        <w:t>cited in David </w:t>
      </w:r>
      <w:r>
        <w:rPr>
          <w:spacing w:val="2"/>
          <w:sz w:val="13"/>
        </w:rPr>
        <w:t>Ash, </w:t>
      </w:r>
      <w:r>
        <w:rPr>
          <w:sz w:val="13"/>
        </w:rPr>
        <w:t>‘The Vogue Word </w:t>
      </w:r>
      <w:r>
        <w:rPr>
          <w:spacing w:val="2"/>
          <w:sz w:val="13"/>
        </w:rPr>
        <w:t>“Plurality”’ </w:t>
      </w:r>
      <w:r>
        <w:rPr>
          <w:sz w:val="13"/>
        </w:rPr>
        <w:t>[2018] (Summer) </w:t>
      </w:r>
      <w:r>
        <w:rPr>
          <w:i/>
          <w:sz w:val="13"/>
        </w:rPr>
        <w:t>Bar News: The Journal of the NSW </w:t>
      </w:r>
      <w:r>
        <w:rPr>
          <w:i/>
          <w:sz w:val="13"/>
        </w:rPr>
        <w:t>Bar Association</w:t>
      </w:r>
      <w:r>
        <w:rPr>
          <w:sz w:val="13"/>
        </w:rPr>
        <w:t>.</w:t>
      </w:r>
    </w:p>
    <w:p>
      <w:pPr>
        <w:spacing w:after="0" w:line="213" w:lineRule="auto"/>
        <w:jc w:val="left"/>
        <w:rPr>
          <w:sz w:val="13"/>
        </w:rPr>
        <w:sectPr>
          <w:headerReference w:type="default" r:id="rId71"/>
          <w:headerReference w:type="even" r:id="rId72"/>
          <w:pgSz w:w="11910" w:h="16840"/>
          <w:pgMar w:header="0" w:footer="0" w:top="840" w:bottom="280" w:left="620" w:right="380"/>
        </w:sectPr>
      </w:pPr>
    </w:p>
    <w:p>
      <w:pPr>
        <w:pStyle w:val="BodyText"/>
      </w:pPr>
    </w:p>
    <w:p>
      <w:pPr>
        <w:pStyle w:val="BodyText"/>
      </w:pPr>
    </w:p>
    <w:p>
      <w:pPr>
        <w:pStyle w:val="BodyText"/>
      </w:pPr>
    </w:p>
    <w:p>
      <w:pPr>
        <w:pStyle w:val="BodyText"/>
        <w:spacing w:before="9"/>
        <w:rPr>
          <w:sz w:val="18"/>
        </w:rPr>
      </w:pPr>
    </w:p>
    <w:p>
      <w:pPr>
        <w:spacing w:line="208" w:lineRule="auto" w:before="1"/>
        <w:ind w:left="2157" w:right="1335" w:firstLine="0"/>
        <w:jc w:val="left"/>
        <w:rPr>
          <w:sz w:val="11"/>
        </w:rPr>
      </w:pPr>
      <w:r>
        <w:rPr>
          <w:sz w:val="19"/>
        </w:rPr>
        <w:t>deliberations. The prohibition on the presence of a 13th person in the jury room protects the jury from the suggestion of external influence and promotes the frank exchange of views.</w:t>
      </w:r>
      <w:r>
        <w:rPr>
          <w:position w:val="6"/>
          <w:sz w:val="11"/>
        </w:rPr>
        <w:t>13</w:t>
      </w:r>
    </w:p>
    <w:p>
      <w:pPr>
        <w:pStyle w:val="ListParagraph"/>
        <w:numPr>
          <w:ilvl w:val="1"/>
          <w:numId w:val="12"/>
        </w:numPr>
        <w:tabs>
          <w:tab w:pos="1761" w:val="left" w:leader="none"/>
          <w:tab w:pos="1762" w:val="left" w:leader="none"/>
        </w:tabs>
        <w:spacing w:line="206" w:lineRule="auto" w:before="124" w:after="0"/>
        <w:ind w:left="1761" w:right="1205" w:hanging="794"/>
        <w:jc w:val="left"/>
        <w:rPr>
          <w:sz w:val="11"/>
        </w:rPr>
      </w:pPr>
      <w:r>
        <w:rPr>
          <w:sz w:val="20"/>
        </w:rPr>
        <w:t>The High Court’s decision concerned Queensland’s </w:t>
      </w:r>
      <w:r>
        <w:rPr>
          <w:i/>
          <w:sz w:val="20"/>
        </w:rPr>
        <w:t>Jury Act 1995</w:t>
      </w:r>
      <w:r>
        <w:rPr>
          <w:sz w:val="20"/>
        </w:rPr>
        <w:t>. The plurality considered that the law as it stood ‘did not permit an Auslan </w:t>
      </w:r>
      <w:r>
        <w:rPr>
          <w:spacing w:val="-3"/>
          <w:sz w:val="20"/>
        </w:rPr>
        <w:t>interpreter </w:t>
      </w:r>
      <w:r>
        <w:rPr>
          <w:sz w:val="20"/>
        </w:rPr>
        <w:t>to be </w:t>
      </w:r>
      <w:r>
        <w:rPr>
          <w:spacing w:val="-3"/>
          <w:sz w:val="20"/>
        </w:rPr>
        <w:t>present </w:t>
      </w:r>
      <w:r>
        <w:rPr>
          <w:sz w:val="20"/>
        </w:rPr>
        <w:t>during</w:t>
      </w:r>
      <w:r>
        <w:rPr>
          <w:spacing w:val="-13"/>
          <w:sz w:val="20"/>
        </w:rPr>
        <w:t> </w:t>
      </w:r>
      <w:r>
        <w:rPr>
          <w:sz w:val="20"/>
        </w:rPr>
        <w:t>the</w:t>
      </w:r>
      <w:r>
        <w:rPr>
          <w:spacing w:val="-12"/>
          <w:sz w:val="20"/>
        </w:rPr>
        <w:t> </w:t>
      </w:r>
      <w:r>
        <w:rPr>
          <w:sz w:val="20"/>
        </w:rPr>
        <w:t>jury’s</w:t>
      </w:r>
      <w:r>
        <w:rPr>
          <w:spacing w:val="-12"/>
          <w:sz w:val="20"/>
        </w:rPr>
        <w:t> </w:t>
      </w:r>
      <w:r>
        <w:rPr>
          <w:sz w:val="20"/>
        </w:rPr>
        <w:t>deliberations’.</w:t>
      </w:r>
      <w:r>
        <w:rPr>
          <w:position w:val="7"/>
          <w:sz w:val="11"/>
        </w:rPr>
        <w:t>14</w:t>
      </w:r>
      <w:r>
        <w:rPr>
          <w:spacing w:val="13"/>
          <w:position w:val="7"/>
          <w:sz w:val="11"/>
        </w:rPr>
        <w:t> </w:t>
      </w:r>
      <w:r>
        <w:rPr>
          <w:sz w:val="20"/>
        </w:rPr>
        <w:t>The</w:t>
      </w:r>
      <w:r>
        <w:rPr>
          <w:spacing w:val="-12"/>
          <w:sz w:val="20"/>
        </w:rPr>
        <w:t> </w:t>
      </w:r>
      <w:r>
        <w:rPr>
          <w:sz w:val="20"/>
        </w:rPr>
        <w:t>plurality</w:t>
      </w:r>
      <w:r>
        <w:rPr>
          <w:spacing w:val="-12"/>
          <w:sz w:val="20"/>
        </w:rPr>
        <w:t> </w:t>
      </w:r>
      <w:r>
        <w:rPr>
          <w:sz w:val="20"/>
        </w:rPr>
        <w:t>identified</w:t>
      </w:r>
      <w:r>
        <w:rPr>
          <w:spacing w:val="-12"/>
          <w:sz w:val="20"/>
        </w:rPr>
        <w:t> </w:t>
      </w:r>
      <w:r>
        <w:rPr>
          <w:sz w:val="20"/>
        </w:rPr>
        <w:t>that</w:t>
      </w:r>
      <w:r>
        <w:rPr>
          <w:spacing w:val="-13"/>
          <w:sz w:val="20"/>
        </w:rPr>
        <w:t> </w:t>
      </w:r>
      <w:r>
        <w:rPr>
          <w:sz w:val="20"/>
        </w:rPr>
        <w:t>its</w:t>
      </w:r>
      <w:r>
        <w:rPr>
          <w:spacing w:val="-12"/>
          <w:sz w:val="20"/>
        </w:rPr>
        <w:t> </w:t>
      </w:r>
      <w:r>
        <w:rPr>
          <w:sz w:val="20"/>
        </w:rPr>
        <w:t>‘conclusion</w:t>
      </w:r>
      <w:r>
        <w:rPr>
          <w:spacing w:val="-12"/>
          <w:sz w:val="20"/>
        </w:rPr>
        <w:t> </w:t>
      </w:r>
      <w:r>
        <w:rPr>
          <w:sz w:val="20"/>
        </w:rPr>
        <w:t>is</w:t>
      </w:r>
      <w:r>
        <w:rPr>
          <w:spacing w:val="-12"/>
          <w:sz w:val="20"/>
        </w:rPr>
        <w:t> </w:t>
      </w:r>
      <w:r>
        <w:rPr>
          <w:spacing w:val="-3"/>
          <w:sz w:val="20"/>
        </w:rPr>
        <w:t>reinforced by </w:t>
      </w:r>
      <w:r>
        <w:rPr>
          <w:sz w:val="20"/>
        </w:rPr>
        <w:t>the absence of </w:t>
      </w:r>
      <w:r>
        <w:rPr>
          <w:spacing w:val="-3"/>
          <w:sz w:val="20"/>
        </w:rPr>
        <w:t>provision </w:t>
      </w:r>
      <w:r>
        <w:rPr>
          <w:sz w:val="20"/>
        </w:rPr>
        <w:t>to administer an oath to an </w:t>
      </w:r>
      <w:r>
        <w:rPr>
          <w:spacing w:val="-3"/>
          <w:sz w:val="20"/>
        </w:rPr>
        <w:t>interpreter </w:t>
      </w:r>
      <w:r>
        <w:rPr>
          <w:sz w:val="20"/>
        </w:rPr>
        <w:t>assisting a juror’.</w:t>
      </w:r>
      <w:r>
        <w:rPr>
          <w:position w:val="7"/>
          <w:sz w:val="11"/>
        </w:rPr>
        <w:t>15</w:t>
      </w:r>
      <w:r>
        <w:rPr>
          <w:sz w:val="11"/>
        </w:rPr>
        <w:t> </w:t>
      </w:r>
      <w:r>
        <w:rPr>
          <w:sz w:val="20"/>
        </w:rPr>
        <w:t>Such an oath </w:t>
      </w:r>
      <w:r>
        <w:rPr>
          <w:spacing w:val="-3"/>
          <w:sz w:val="20"/>
        </w:rPr>
        <w:t>would </w:t>
      </w:r>
      <w:r>
        <w:rPr>
          <w:sz w:val="20"/>
        </w:rPr>
        <w:t>address the </w:t>
      </w:r>
      <w:r>
        <w:rPr>
          <w:spacing w:val="-3"/>
          <w:sz w:val="20"/>
        </w:rPr>
        <w:t>role </w:t>
      </w:r>
      <w:r>
        <w:rPr>
          <w:sz w:val="20"/>
        </w:rPr>
        <w:t>of an </w:t>
      </w:r>
      <w:r>
        <w:rPr>
          <w:spacing w:val="-4"/>
          <w:sz w:val="20"/>
        </w:rPr>
        <w:t>interpreter, </w:t>
      </w:r>
      <w:r>
        <w:rPr>
          <w:sz w:val="20"/>
        </w:rPr>
        <w:t>including that they understand Auslan, and that they will not participate in or disclose deliberations. The plurality also </w:t>
      </w:r>
      <w:r>
        <w:rPr>
          <w:spacing w:val="-3"/>
          <w:sz w:val="20"/>
        </w:rPr>
        <w:t>referred </w:t>
      </w:r>
      <w:r>
        <w:rPr>
          <w:sz w:val="20"/>
        </w:rPr>
        <w:t>to the absence of provisions to </w:t>
      </w:r>
      <w:r>
        <w:rPr>
          <w:spacing w:val="-4"/>
          <w:sz w:val="20"/>
        </w:rPr>
        <w:t>prevent </w:t>
      </w:r>
      <w:r>
        <w:rPr>
          <w:sz w:val="20"/>
        </w:rPr>
        <w:t>an Auslan </w:t>
      </w:r>
      <w:r>
        <w:rPr>
          <w:spacing w:val="-3"/>
          <w:sz w:val="20"/>
        </w:rPr>
        <w:t>interpreter from </w:t>
      </w:r>
      <w:r>
        <w:rPr>
          <w:sz w:val="20"/>
        </w:rPr>
        <w:t>publishing information</w:t>
      </w:r>
      <w:r>
        <w:rPr>
          <w:spacing w:val="-17"/>
          <w:sz w:val="20"/>
        </w:rPr>
        <w:t> </w:t>
      </w:r>
      <w:r>
        <w:rPr>
          <w:sz w:val="20"/>
        </w:rPr>
        <w:t>about</w:t>
      </w:r>
      <w:r>
        <w:rPr>
          <w:spacing w:val="-17"/>
          <w:sz w:val="20"/>
        </w:rPr>
        <w:t> </w:t>
      </w:r>
      <w:r>
        <w:rPr>
          <w:sz w:val="20"/>
        </w:rPr>
        <w:t>statements</w:t>
      </w:r>
      <w:r>
        <w:rPr>
          <w:spacing w:val="-16"/>
          <w:sz w:val="20"/>
        </w:rPr>
        <w:t> </w:t>
      </w:r>
      <w:r>
        <w:rPr>
          <w:sz w:val="20"/>
        </w:rPr>
        <w:t>made,</w:t>
      </w:r>
      <w:r>
        <w:rPr>
          <w:spacing w:val="-17"/>
          <w:sz w:val="20"/>
        </w:rPr>
        <w:t> </w:t>
      </w:r>
      <w:r>
        <w:rPr>
          <w:sz w:val="20"/>
        </w:rPr>
        <w:t>opinions</w:t>
      </w:r>
      <w:r>
        <w:rPr>
          <w:spacing w:val="-16"/>
          <w:sz w:val="20"/>
        </w:rPr>
        <w:t> </w:t>
      </w:r>
      <w:r>
        <w:rPr>
          <w:sz w:val="20"/>
        </w:rPr>
        <w:t>expressed,</w:t>
      </w:r>
      <w:r>
        <w:rPr>
          <w:spacing w:val="-17"/>
          <w:sz w:val="20"/>
        </w:rPr>
        <w:t> </w:t>
      </w:r>
      <w:r>
        <w:rPr>
          <w:sz w:val="20"/>
        </w:rPr>
        <w:t>arguments</w:t>
      </w:r>
      <w:r>
        <w:rPr>
          <w:spacing w:val="-16"/>
          <w:sz w:val="20"/>
        </w:rPr>
        <w:t> </w:t>
      </w:r>
      <w:r>
        <w:rPr>
          <w:sz w:val="20"/>
        </w:rPr>
        <w:t>advanced</w:t>
      </w:r>
      <w:r>
        <w:rPr>
          <w:spacing w:val="-17"/>
          <w:sz w:val="20"/>
        </w:rPr>
        <w:t> </w:t>
      </w:r>
      <w:r>
        <w:rPr>
          <w:sz w:val="20"/>
        </w:rPr>
        <w:t>or</w:t>
      </w:r>
      <w:r>
        <w:rPr>
          <w:spacing w:val="-16"/>
          <w:sz w:val="20"/>
        </w:rPr>
        <w:t> </w:t>
      </w:r>
      <w:r>
        <w:rPr>
          <w:spacing w:val="-3"/>
          <w:sz w:val="20"/>
        </w:rPr>
        <w:t>votes </w:t>
      </w:r>
      <w:r>
        <w:rPr>
          <w:sz w:val="20"/>
        </w:rPr>
        <w:t>cast in the course of a jury’s</w:t>
      </w:r>
      <w:r>
        <w:rPr>
          <w:spacing w:val="-31"/>
          <w:sz w:val="20"/>
        </w:rPr>
        <w:t> </w:t>
      </w:r>
      <w:r>
        <w:rPr>
          <w:sz w:val="20"/>
        </w:rPr>
        <w:t>deliberations.</w:t>
      </w:r>
      <w:r>
        <w:rPr>
          <w:position w:val="7"/>
          <w:sz w:val="11"/>
        </w:rPr>
        <w:t>16</w:t>
      </w:r>
    </w:p>
    <w:p>
      <w:pPr>
        <w:pStyle w:val="ListParagraph"/>
        <w:numPr>
          <w:ilvl w:val="1"/>
          <w:numId w:val="12"/>
        </w:numPr>
        <w:tabs>
          <w:tab w:pos="1761" w:val="left" w:leader="none"/>
          <w:tab w:pos="1762" w:val="left" w:leader="none"/>
        </w:tabs>
        <w:spacing w:line="206" w:lineRule="auto" w:before="131" w:after="0"/>
        <w:ind w:left="1761" w:right="1304" w:hanging="794"/>
        <w:jc w:val="left"/>
        <w:rPr>
          <w:sz w:val="20"/>
        </w:rPr>
      </w:pPr>
      <w:r>
        <w:rPr>
          <w:sz w:val="20"/>
        </w:rPr>
        <w:t>Nevertheless,</w:t>
      </w:r>
      <w:r>
        <w:rPr>
          <w:spacing w:val="-14"/>
          <w:sz w:val="20"/>
        </w:rPr>
        <w:t> </w:t>
      </w:r>
      <w:r>
        <w:rPr>
          <w:sz w:val="20"/>
        </w:rPr>
        <w:t>the</w:t>
      </w:r>
      <w:r>
        <w:rPr>
          <w:spacing w:val="-13"/>
          <w:sz w:val="20"/>
        </w:rPr>
        <w:t> </w:t>
      </w:r>
      <w:r>
        <w:rPr>
          <w:sz w:val="20"/>
        </w:rPr>
        <w:t>plurality</w:t>
      </w:r>
      <w:r>
        <w:rPr>
          <w:spacing w:val="-13"/>
          <w:sz w:val="20"/>
        </w:rPr>
        <w:t> </w:t>
      </w:r>
      <w:r>
        <w:rPr>
          <w:sz w:val="20"/>
        </w:rPr>
        <w:t>left</w:t>
      </w:r>
      <w:r>
        <w:rPr>
          <w:spacing w:val="-13"/>
          <w:sz w:val="20"/>
        </w:rPr>
        <w:t> </w:t>
      </w:r>
      <w:r>
        <w:rPr>
          <w:sz w:val="20"/>
        </w:rPr>
        <w:t>open</w:t>
      </w:r>
      <w:r>
        <w:rPr>
          <w:spacing w:val="-13"/>
          <w:sz w:val="20"/>
        </w:rPr>
        <w:t> </w:t>
      </w:r>
      <w:r>
        <w:rPr>
          <w:sz w:val="20"/>
        </w:rPr>
        <w:t>the</w:t>
      </w:r>
      <w:r>
        <w:rPr>
          <w:spacing w:val="-13"/>
          <w:sz w:val="20"/>
        </w:rPr>
        <w:t> </w:t>
      </w:r>
      <w:r>
        <w:rPr>
          <w:sz w:val="20"/>
        </w:rPr>
        <w:t>possibility</w:t>
      </w:r>
      <w:r>
        <w:rPr>
          <w:spacing w:val="-13"/>
          <w:sz w:val="20"/>
        </w:rPr>
        <w:t> </w:t>
      </w:r>
      <w:r>
        <w:rPr>
          <w:sz w:val="20"/>
        </w:rPr>
        <w:t>that</w:t>
      </w:r>
      <w:r>
        <w:rPr>
          <w:spacing w:val="-13"/>
          <w:sz w:val="20"/>
        </w:rPr>
        <w:t> </w:t>
      </w:r>
      <w:r>
        <w:rPr>
          <w:sz w:val="20"/>
        </w:rPr>
        <w:t>state</w:t>
      </w:r>
      <w:r>
        <w:rPr>
          <w:spacing w:val="-13"/>
          <w:sz w:val="20"/>
        </w:rPr>
        <w:t> </w:t>
      </w:r>
      <w:r>
        <w:rPr>
          <w:sz w:val="20"/>
        </w:rPr>
        <w:t>legislation</w:t>
      </w:r>
      <w:r>
        <w:rPr>
          <w:spacing w:val="-13"/>
          <w:sz w:val="20"/>
        </w:rPr>
        <w:t> </w:t>
      </w:r>
      <w:r>
        <w:rPr>
          <w:sz w:val="20"/>
        </w:rPr>
        <w:t>could</w:t>
      </w:r>
      <w:r>
        <w:rPr>
          <w:spacing w:val="-13"/>
          <w:sz w:val="20"/>
        </w:rPr>
        <w:t> </w:t>
      </w:r>
      <w:r>
        <w:rPr>
          <w:spacing w:val="-3"/>
          <w:sz w:val="20"/>
        </w:rPr>
        <w:t>allow</w:t>
      </w:r>
      <w:r>
        <w:rPr>
          <w:spacing w:val="-13"/>
          <w:sz w:val="20"/>
        </w:rPr>
        <w:t> </w:t>
      </w:r>
      <w:r>
        <w:rPr>
          <w:sz w:val="20"/>
        </w:rPr>
        <w:t>for the</w:t>
      </w:r>
      <w:r>
        <w:rPr>
          <w:spacing w:val="-5"/>
          <w:sz w:val="20"/>
        </w:rPr>
        <w:t> </w:t>
      </w:r>
      <w:r>
        <w:rPr>
          <w:sz w:val="20"/>
        </w:rPr>
        <w:t>presence</w:t>
      </w:r>
      <w:r>
        <w:rPr>
          <w:spacing w:val="-5"/>
          <w:sz w:val="20"/>
        </w:rPr>
        <w:t> </w:t>
      </w:r>
      <w:r>
        <w:rPr>
          <w:sz w:val="20"/>
        </w:rPr>
        <w:t>of</w:t>
      </w:r>
      <w:r>
        <w:rPr>
          <w:spacing w:val="-5"/>
          <w:sz w:val="20"/>
        </w:rPr>
        <w:t> </w:t>
      </w:r>
      <w:r>
        <w:rPr>
          <w:sz w:val="20"/>
        </w:rPr>
        <w:t>a</w:t>
      </w:r>
      <w:r>
        <w:rPr>
          <w:spacing w:val="-5"/>
          <w:sz w:val="20"/>
        </w:rPr>
        <w:t> </w:t>
      </w:r>
      <w:r>
        <w:rPr>
          <w:sz w:val="20"/>
        </w:rPr>
        <w:t>13th</w:t>
      </w:r>
      <w:r>
        <w:rPr>
          <w:spacing w:val="-5"/>
          <w:sz w:val="20"/>
        </w:rPr>
        <w:t> </w:t>
      </w:r>
      <w:r>
        <w:rPr>
          <w:sz w:val="20"/>
        </w:rPr>
        <w:t>person</w:t>
      </w:r>
      <w:r>
        <w:rPr>
          <w:spacing w:val="-5"/>
          <w:sz w:val="20"/>
        </w:rPr>
        <w:t> </w:t>
      </w:r>
      <w:r>
        <w:rPr>
          <w:sz w:val="20"/>
        </w:rPr>
        <w:t>in</w:t>
      </w:r>
      <w:r>
        <w:rPr>
          <w:spacing w:val="-4"/>
          <w:sz w:val="20"/>
        </w:rPr>
        <w:t> </w:t>
      </w:r>
      <w:r>
        <w:rPr>
          <w:sz w:val="20"/>
        </w:rPr>
        <w:t>the</w:t>
      </w:r>
      <w:r>
        <w:rPr>
          <w:spacing w:val="-5"/>
          <w:sz w:val="20"/>
        </w:rPr>
        <w:t> </w:t>
      </w:r>
      <w:r>
        <w:rPr>
          <w:sz w:val="20"/>
        </w:rPr>
        <w:t>jury</w:t>
      </w:r>
      <w:r>
        <w:rPr>
          <w:spacing w:val="-5"/>
          <w:sz w:val="20"/>
        </w:rPr>
        <w:t> </w:t>
      </w:r>
      <w:r>
        <w:rPr>
          <w:sz w:val="20"/>
        </w:rPr>
        <w:t>room,</w:t>
      </w:r>
      <w:r>
        <w:rPr>
          <w:spacing w:val="-5"/>
          <w:sz w:val="20"/>
        </w:rPr>
        <w:t> </w:t>
      </w:r>
      <w:r>
        <w:rPr>
          <w:sz w:val="20"/>
        </w:rPr>
        <w:t>noting:</w:t>
      </w:r>
    </w:p>
    <w:p>
      <w:pPr>
        <w:spacing w:line="208" w:lineRule="auto" w:before="120"/>
        <w:ind w:left="2157" w:right="1277" w:firstLine="0"/>
        <w:jc w:val="left"/>
        <w:rPr>
          <w:sz w:val="19"/>
        </w:rPr>
      </w:pPr>
      <w:r>
        <w:rPr>
          <w:sz w:val="19"/>
        </w:rPr>
        <w:t>It may be, as the appellant submits, that the secrecy of the jury’s deliberations would not be compromised by the presence of an accredited Auslan interpreter in the jury room during the jury’s deliberations.</w:t>
      </w:r>
    </w:p>
    <w:p>
      <w:pPr>
        <w:pStyle w:val="ListParagraph"/>
        <w:numPr>
          <w:ilvl w:val="1"/>
          <w:numId w:val="12"/>
        </w:numPr>
        <w:tabs>
          <w:tab w:pos="1761" w:val="left" w:leader="none"/>
          <w:tab w:pos="1762" w:val="left" w:leader="none"/>
        </w:tabs>
        <w:spacing w:line="206" w:lineRule="auto" w:before="124" w:after="0"/>
        <w:ind w:left="1761" w:right="1250" w:hanging="794"/>
        <w:jc w:val="left"/>
        <w:rPr>
          <w:sz w:val="11"/>
        </w:rPr>
      </w:pPr>
      <w:r>
        <w:rPr>
          <w:spacing w:val="-3"/>
          <w:sz w:val="20"/>
        </w:rPr>
        <w:t>Following</w:t>
      </w:r>
      <w:r>
        <w:rPr>
          <w:spacing w:val="-9"/>
          <w:sz w:val="20"/>
        </w:rPr>
        <w:t> </w:t>
      </w:r>
      <w:r>
        <w:rPr>
          <w:sz w:val="20"/>
        </w:rPr>
        <w:t>the</w:t>
      </w:r>
      <w:r>
        <w:rPr>
          <w:spacing w:val="-9"/>
          <w:sz w:val="20"/>
        </w:rPr>
        <w:t> </w:t>
      </w:r>
      <w:r>
        <w:rPr>
          <w:sz w:val="20"/>
        </w:rPr>
        <w:t>High</w:t>
      </w:r>
      <w:r>
        <w:rPr>
          <w:spacing w:val="-8"/>
          <w:sz w:val="20"/>
        </w:rPr>
        <w:t> </w:t>
      </w:r>
      <w:r>
        <w:rPr>
          <w:sz w:val="20"/>
        </w:rPr>
        <w:t>Court</w:t>
      </w:r>
      <w:r>
        <w:rPr>
          <w:spacing w:val="-9"/>
          <w:sz w:val="20"/>
        </w:rPr>
        <w:t> </w:t>
      </w:r>
      <w:r>
        <w:rPr>
          <w:sz w:val="20"/>
        </w:rPr>
        <w:t>decision,</w:t>
      </w:r>
      <w:r>
        <w:rPr>
          <w:spacing w:val="-8"/>
          <w:sz w:val="20"/>
        </w:rPr>
        <w:t> </w:t>
      </w:r>
      <w:r>
        <w:rPr>
          <w:sz w:val="20"/>
        </w:rPr>
        <w:t>the</w:t>
      </w:r>
      <w:r>
        <w:rPr>
          <w:spacing w:val="-9"/>
          <w:sz w:val="20"/>
        </w:rPr>
        <w:t> </w:t>
      </w:r>
      <w:r>
        <w:rPr>
          <w:spacing w:val="-2"/>
          <w:sz w:val="20"/>
        </w:rPr>
        <w:t>President</w:t>
      </w:r>
      <w:r>
        <w:rPr>
          <w:spacing w:val="-8"/>
          <w:sz w:val="20"/>
        </w:rPr>
        <w:t> </w:t>
      </w:r>
      <w:r>
        <w:rPr>
          <w:sz w:val="20"/>
        </w:rPr>
        <w:t>of</w:t>
      </w:r>
      <w:r>
        <w:rPr>
          <w:spacing w:val="-9"/>
          <w:sz w:val="20"/>
        </w:rPr>
        <w:t> </w:t>
      </w:r>
      <w:r>
        <w:rPr>
          <w:sz w:val="20"/>
        </w:rPr>
        <w:t>the</w:t>
      </w:r>
      <w:r>
        <w:rPr>
          <w:spacing w:val="-9"/>
          <w:sz w:val="20"/>
        </w:rPr>
        <w:t> </w:t>
      </w:r>
      <w:r>
        <w:rPr>
          <w:sz w:val="20"/>
        </w:rPr>
        <w:t>Queensland</w:t>
      </w:r>
      <w:r>
        <w:rPr>
          <w:spacing w:val="-8"/>
          <w:sz w:val="20"/>
        </w:rPr>
        <w:t> </w:t>
      </w:r>
      <w:r>
        <w:rPr>
          <w:sz w:val="20"/>
        </w:rPr>
        <w:t>Law</w:t>
      </w:r>
      <w:r>
        <w:rPr>
          <w:spacing w:val="-9"/>
          <w:sz w:val="20"/>
        </w:rPr>
        <w:t> </w:t>
      </w:r>
      <w:r>
        <w:rPr>
          <w:sz w:val="20"/>
        </w:rPr>
        <w:t>Society</w:t>
      </w:r>
      <w:r>
        <w:rPr>
          <w:spacing w:val="-8"/>
          <w:sz w:val="20"/>
        </w:rPr>
        <w:t> </w:t>
      </w:r>
      <w:r>
        <w:rPr>
          <w:sz w:val="20"/>
        </w:rPr>
        <w:t>called for that </w:t>
      </w:r>
      <w:r>
        <w:rPr>
          <w:spacing w:val="-3"/>
          <w:sz w:val="20"/>
        </w:rPr>
        <w:t>state’s </w:t>
      </w:r>
      <w:r>
        <w:rPr>
          <w:sz w:val="20"/>
        </w:rPr>
        <w:t>Jury </w:t>
      </w:r>
      <w:r>
        <w:rPr>
          <w:spacing w:val="-2"/>
          <w:sz w:val="20"/>
        </w:rPr>
        <w:t>Act </w:t>
      </w:r>
      <w:r>
        <w:rPr>
          <w:sz w:val="20"/>
        </w:rPr>
        <w:t>to be</w:t>
      </w:r>
      <w:r>
        <w:rPr>
          <w:spacing w:val="-24"/>
          <w:sz w:val="20"/>
        </w:rPr>
        <w:t> </w:t>
      </w:r>
      <w:r>
        <w:rPr>
          <w:sz w:val="20"/>
        </w:rPr>
        <w:t>changed.</w:t>
      </w:r>
      <w:r>
        <w:rPr>
          <w:position w:val="7"/>
          <w:sz w:val="11"/>
        </w:rPr>
        <w:t>17</w:t>
      </w:r>
    </w:p>
    <w:p>
      <w:pPr>
        <w:pStyle w:val="ListParagraph"/>
        <w:numPr>
          <w:ilvl w:val="1"/>
          <w:numId w:val="12"/>
        </w:numPr>
        <w:tabs>
          <w:tab w:pos="1761" w:val="left" w:leader="none"/>
          <w:tab w:pos="1762" w:val="left" w:leader="none"/>
        </w:tabs>
        <w:spacing w:line="259" w:lineRule="exact" w:before="90" w:after="0"/>
        <w:ind w:left="1761" w:right="0" w:hanging="794"/>
        <w:jc w:val="left"/>
        <w:rPr>
          <w:i/>
          <w:sz w:val="20"/>
        </w:rPr>
      </w:pPr>
      <w:r>
        <w:rPr>
          <w:sz w:val="20"/>
        </w:rPr>
        <w:t>The</w:t>
      </w:r>
      <w:r>
        <w:rPr>
          <w:spacing w:val="-5"/>
          <w:sz w:val="20"/>
        </w:rPr>
        <w:t> </w:t>
      </w:r>
      <w:r>
        <w:rPr>
          <w:sz w:val="20"/>
        </w:rPr>
        <w:t>High</w:t>
      </w:r>
      <w:r>
        <w:rPr>
          <w:spacing w:val="-5"/>
          <w:sz w:val="20"/>
        </w:rPr>
        <w:t> </w:t>
      </w:r>
      <w:r>
        <w:rPr>
          <w:sz w:val="20"/>
        </w:rPr>
        <w:t>Court</w:t>
      </w:r>
      <w:r>
        <w:rPr>
          <w:spacing w:val="-5"/>
          <w:sz w:val="20"/>
        </w:rPr>
        <w:t> </w:t>
      </w:r>
      <w:r>
        <w:rPr>
          <w:sz w:val="20"/>
        </w:rPr>
        <w:t>decision</w:t>
      </w:r>
      <w:r>
        <w:rPr>
          <w:spacing w:val="-5"/>
          <w:sz w:val="20"/>
        </w:rPr>
        <w:t> </w:t>
      </w:r>
      <w:r>
        <w:rPr>
          <w:sz w:val="20"/>
        </w:rPr>
        <w:t>is</w:t>
      </w:r>
      <w:r>
        <w:rPr>
          <w:spacing w:val="-5"/>
          <w:sz w:val="20"/>
        </w:rPr>
        <w:t> </w:t>
      </w:r>
      <w:r>
        <w:rPr>
          <w:spacing w:val="-3"/>
          <w:sz w:val="20"/>
        </w:rPr>
        <w:t>referenced</w:t>
      </w:r>
      <w:r>
        <w:rPr>
          <w:spacing w:val="-5"/>
          <w:sz w:val="20"/>
        </w:rPr>
        <w:t> </w:t>
      </w:r>
      <w:r>
        <w:rPr>
          <w:sz w:val="20"/>
        </w:rPr>
        <w:t>in</w:t>
      </w:r>
      <w:r>
        <w:rPr>
          <w:spacing w:val="-4"/>
          <w:sz w:val="20"/>
        </w:rPr>
        <w:t> </w:t>
      </w:r>
      <w:r>
        <w:rPr>
          <w:sz w:val="20"/>
        </w:rPr>
        <w:t>the</w:t>
      </w:r>
      <w:r>
        <w:rPr>
          <w:spacing w:val="-5"/>
          <w:sz w:val="20"/>
        </w:rPr>
        <w:t> </w:t>
      </w:r>
      <w:r>
        <w:rPr>
          <w:i/>
          <w:spacing w:val="-3"/>
          <w:sz w:val="20"/>
        </w:rPr>
        <w:t>Victorian</w:t>
      </w:r>
      <w:r>
        <w:rPr>
          <w:i/>
          <w:spacing w:val="-5"/>
          <w:sz w:val="20"/>
        </w:rPr>
        <w:t> </w:t>
      </w:r>
      <w:r>
        <w:rPr>
          <w:i/>
          <w:sz w:val="20"/>
        </w:rPr>
        <w:t>Criminal</w:t>
      </w:r>
      <w:r>
        <w:rPr>
          <w:i/>
          <w:spacing w:val="-5"/>
          <w:sz w:val="20"/>
        </w:rPr>
        <w:t> </w:t>
      </w:r>
      <w:r>
        <w:rPr>
          <w:i/>
          <w:sz w:val="20"/>
        </w:rPr>
        <w:t>Proceedings</w:t>
      </w:r>
      <w:r>
        <w:rPr>
          <w:i/>
          <w:spacing w:val="-5"/>
          <w:sz w:val="20"/>
        </w:rPr>
        <w:t> </w:t>
      </w:r>
      <w:r>
        <w:rPr>
          <w:i/>
          <w:sz w:val="20"/>
        </w:rPr>
        <w:t>Manual,</w:t>
      </w:r>
    </w:p>
    <w:p>
      <w:pPr>
        <w:pStyle w:val="BodyText"/>
        <w:spacing w:line="259" w:lineRule="exact"/>
        <w:ind w:left="1761"/>
      </w:pPr>
      <w:r>
        <w:rPr/>
        <w:t>which confirms the application of the 13th person rule:</w:t>
      </w:r>
    </w:p>
    <w:p>
      <w:pPr>
        <w:spacing w:line="208" w:lineRule="auto" w:before="113"/>
        <w:ind w:left="2157" w:right="1335" w:firstLine="0"/>
        <w:jc w:val="left"/>
        <w:rPr>
          <w:sz w:val="11"/>
        </w:rPr>
      </w:pPr>
      <w:r>
        <w:rPr>
          <w:sz w:val="19"/>
        </w:rPr>
        <w:t>In the absence of express statutory provisions, there is no power for a judge to empanel an interpreter for a juror, or allow a non-juror to be present during jury deliberations. At least in Queensland (and likely also in Victoria), this means that a person who is deaf is not eligible for jury service.</w:t>
      </w:r>
      <w:r>
        <w:rPr>
          <w:position w:val="6"/>
          <w:sz w:val="11"/>
        </w:rPr>
        <w:t>18</w:t>
      </w:r>
    </w:p>
    <w:p>
      <w:pPr>
        <w:pStyle w:val="ListParagraph"/>
        <w:numPr>
          <w:ilvl w:val="1"/>
          <w:numId w:val="12"/>
        </w:numPr>
        <w:tabs>
          <w:tab w:pos="1761" w:val="left" w:leader="none"/>
          <w:tab w:pos="1762" w:val="left" w:leader="none"/>
        </w:tabs>
        <w:spacing w:line="206" w:lineRule="auto" w:before="124" w:after="0"/>
        <w:ind w:left="1761" w:right="1299" w:hanging="794"/>
        <w:jc w:val="left"/>
        <w:rPr>
          <w:sz w:val="20"/>
        </w:rPr>
      </w:pPr>
      <w:r>
        <w:rPr>
          <w:sz w:val="20"/>
        </w:rPr>
        <w:t>The Commission believes it </w:t>
      </w:r>
      <w:r>
        <w:rPr>
          <w:spacing w:val="-3"/>
          <w:sz w:val="20"/>
        </w:rPr>
        <w:t>would </w:t>
      </w:r>
      <w:r>
        <w:rPr>
          <w:sz w:val="20"/>
        </w:rPr>
        <w:t>be </w:t>
      </w:r>
      <w:r>
        <w:rPr>
          <w:spacing w:val="-3"/>
          <w:sz w:val="20"/>
        </w:rPr>
        <w:t>relatively </w:t>
      </w:r>
      <w:r>
        <w:rPr>
          <w:sz w:val="20"/>
        </w:rPr>
        <w:t>straightforward to amend the </w:t>
      </w:r>
      <w:r>
        <w:rPr>
          <w:spacing w:val="-2"/>
          <w:sz w:val="20"/>
        </w:rPr>
        <w:t>Act </w:t>
      </w:r>
      <w:r>
        <w:rPr>
          <w:sz w:val="20"/>
        </w:rPr>
        <w:t>to limit</w:t>
      </w:r>
      <w:r>
        <w:rPr>
          <w:spacing w:val="-10"/>
          <w:sz w:val="20"/>
        </w:rPr>
        <w:t> </w:t>
      </w:r>
      <w:r>
        <w:rPr>
          <w:sz w:val="20"/>
        </w:rPr>
        <w:t>the</w:t>
      </w:r>
      <w:r>
        <w:rPr>
          <w:spacing w:val="-9"/>
          <w:sz w:val="20"/>
        </w:rPr>
        <w:t> </w:t>
      </w:r>
      <w:r>
        <w:rPr>
          <w:sz w:val="20"/>
        </w:rPr>
        <w:t>application</w:t>
      </w:r>
      <w:r>
        <w:rPr>
          <w:spacing w:val="-9"/>
          <w:sz w:val="20"/>
        </w:rPr>
        <w:t> </w:t>
      </w:r>
      <w:r>
        <w:rPr>
          <w:sz w:val="20"/>
        </w:rPr>
        <w:t>of</w:t>
      </w:r>
      <w:r>
        <w:rPr>
          <w:spacing w:val="-9"/>
          <w:sz w:val="20"/>
        </w:rPr>
        <w:t> </w:t>
      </w:r>
      <w:r>
        <w:rPr>
          <w:sz w:val="20"/>
        </w:rPr>
        <w:t>the</w:t>
      </w:r>
      <w:r>
        <w:rPr>
          <w:spacing w:val="-9"/>
          <w:sz w:val="20"/>
        </w:rPr>
        <w:t> </w:t>
      </w:r>
      <w:r>
        <w:rPr>
          <w:sz w:val="20"/>
        </w:rPr>
        <w:t>13th</w:t>
      </w:r>
      <w:r>
        <w:rPr>
          <w:spacing w:val="-9"/>
          <w:sz w:val="20"/>
        </w:rPr>
        <w:t> </w:t>
      </w:r>
      <w:r>
        <w:rPr>
          <w:sz w:val="20"/>
        </w:rPr>
        <w:t>person</w:t>
      </w:r>
      <w:r>
        <w:rPr>
          <w:spacing w:val="-9"/>
          <w:sz w:val="20"/>
        </w:rPr>
        <w:t> </w:t>
      </w:r>
      <w:r>
        <w:rPr>
          <w:sz w:val="20"/>
        </w:rPr>
        <w:t>rule</w:t>
      </w:r>
      <w:r>
        <w:rPr>
          <w:spacing w:val="-9"/>
          <w:sz w:val="20"/>
        </w:rPr>
        <w:t> </w:t>
      </w:r>
      <w:r>
        <w:rPr>
          <w:sz w:val="20"/>
        </w:rPr>
        <w:t>with</w:t>
      </w:r>
      <w:r>
        <w:rPr>
          <w:spacing w:val="-9"/>
          <w:sz w:val="20"/>
        </w:rPr>
        <w:t> </w:t>
      </w:r>
      <w:r>
        <w:rPr>
          <w:spacing w:val="-3"/>
          <w:sz w:val="20"/>
        </w:rPr>
        <w:t>appropriate</w:t>
      </w:r>
      <w:r>
        <w:rPr>
          <w:spacing w:val="-9"/>
          <w:sz w:val="20"/>
        </w:rPr>
        <w:t> </w:t>
      </w:r>
      <w:r>
        <w:rPr>
          <w:sz w:val="20"/>
        </w:rPr>
        <w:t>safeguards.</w:t>
      </w:r>
      <w:r>
        <w:rPr>
          <w:spacing w:val="-9"/>
          <w:sz w:val="20"/>
        </w:rPr>
        <w:t> </w:t>
      </w:r>
      <w:r>
        <w:rPr>
          <w:sz w:val="20"/>
        </w:rPr>
        <w:t>(See</w:t>
      </w:r>
      <w:r>
        <w:rPr>
          <w:spacing w:val="-9"/>
          <w:sz w:val="20"/>
        </w:rPr>
        <w:t> </w:t>
      </w:r>
      <w:r>
        <w:rPr>
          <w:spacing w:val="-2"/>
          <w:sz w:val="20"/>
        </w:rPr>
        <w:t>Chapters </w:t>
      </w:r>
      <w:r>
        <w:rPr>
          <w:sz w:val="20"/>
        </w:rPr>
        <w:t>9, 11 and</w:t>
      </w:r>
      <w:r>
        <w:rPr>
          <w:spacing w:val="-13"/>
          <w:sz w:val="20"/>
        </w:rPr>
        <w:t> </w:t>
      </w:r>
      <w:r>
        <w:rPr>
          <w:sz w:val="20"/>
        </w:rPr>
        <w:t>12.)</w:t>
      </w:r>
    </w:p>
    <w:p>
      <w:pPr>
        <w:pStyle w:val="Heading6"/>
        <w:spacing w:before="129"/>
        <w:rPr>
          <w:b/>
        </w:rPr>
      </w:pPr>
      <w:r>
        <w:rPr>
          <w:b/>
        </w:rPr>
        <w:t>Application of the 13th person rule</w:t>
      </w:r>
    </w:p>
    <w:p>
      <w:pPr>
        <w:pStyle w:val="ListParagraph"/>
        <w:numPr>
          <w:ilvl w:val="1"/>
          <w:numId w:val="12"/>
        </w:numPr>
        <w:tabs>
          <w:tab w:pos="1761" w:val="left" w:leader="none"/>
          <w:tab w:pos="1762" w:val="left" w:leader="none"/>
        </w:tabs>
        <w:spacing w:line="206" w:lineRule="auto" w:before="131" w:after="0"/>
        <w:ind w:left="1761" w:right="1589" w:hanging="794"/>
        <w:jc w:val="left"/>
        <w:rPr>
          <w:sz w:val="20"/>
        </w:rPr>
      </w:pPr>
      <w:r>
        <w:rPr>
          <w:sz w:val="20"/>
        </w:rPr>
        <w:t>It is often said that the 13th person rule is the reason </w:t>
      </w:r>
      <w:r>
        <w:rPr>
          <w:spacing w:val="-3"/>
          <w:sz w:val="20"/>
        </w:rPr>
        <w:t>why </w:t>
      </w:r>
      <w:r>
        <w:rPr>
          <w:sz w:val="20"/>
        </w:rPr>
        <w:t>courts do not </w:t>
      </w:r>
      <w:r>
        <w:rPr>
          <w:spacing w:val="-3"/>
          <w:sz w:val="20"/>
        </w:rPr>
        <w:t>provide </w:t>
      </w:r>
      <w:r>
        <w:rPr>
          <w:sz w:val="20"/>
        </w:rPr>
        <w:t>adjustments to enable a person to serve in Victoria. The </w:t>
      </w:r>
      <w:r>
        <w:rPr>
          <w:spacing w:val="-2"/>
          <w:sz w:val="20"/>
        </w:rPr>
        <w:t>Act </w:t>
      </w:r>
      <w:r>
        <w:rPr>
          <w:sz w:val="20"/>
        </w:rPr>
        <w:t>does not </w:t>
      </w:r>
      <w:r>
        <w:rPr>
          <w:spacing w:val="-3"/>
          <w:sz w:val="20"/>
        </w:rPr>
        <w:t>say </w:t>
      </w:r>
      <w:r>
        <w:rPr>
          <w:sz w:val="20"/>
        </w:rPr>
        <w:t>anything about</w:t>
      </w:r>
      <w:r>
        <w:rPr>
          <w:spacing w:val="-11"/>
          <w:sz w:val="20"/>
        </w:rPr>
        <w:t> </w:t>
      </w:r>
      <w:r>
        <w:rPr>
          <w:spacing w:val="-3"/>
          <w:sz w:val="20"/>
        </w:rPr>
        <w:t>providing</w:t>
      </w:r>
      <w:r>
        <w:rPr>
          <w:spacing w:val="-11"/>
          <w:sz w:val="20"/>
        </w:rPr>
        <w:t> </w:t>
      </w:r>
      <w:r>
        <w:rPr>
          <w:sz w:val="20"/>
        </w:rPr>
        <w:t>reasonable</w:t>
      </w:r>
      <w:r>
        <w:rPr>
          <w:spacing w:val="-10"/>
          <w:sz w:val="20"/>
        </w:rPr>
        <w:t> </w:t>
      </w:r>
      <w:r>
        <w:rPr>
          <w:sz w:val="20"/>
        </w:rPr>
        <w:t>adjustments,</w:t>
      </w:r>
      <w:r>
        <w:rPr>
          <w:spacing w:val="-11"/>
          <w:sz w:val="20"/>
        </w:rPr>
        <w:t> </w:t>
      </w:r>
      <w:r>
        <w:rPr>
          <w:sz w:val="20"/>
        </w:rPr>
        <w:t>which</w:t>
      </w:r>
      <w:r>
        <w:rPr>
          <w:spacing w:val="-11"/>
          <w:sz w:val="20"/>
        </w:rPr>
        <w:t> </w:t>
      </w:r>
      <w:r>
        <w:rPr>
          <w:spacing w:val="-3"/>
          <w:sz w:val="20"/>
        </w:rPr>
        <w:t>reinforces</w:t>
      </w:r>
      <w:r>
        <w:rPr>
          <w:spacing w:val="-10"/>
          <w:sz w:val="20"/>
        </w:rPr>
        <w:t> </w:t>
      </w:r>
      <w:r>
        <w:rPr>
          <w:sz w:val="20"/>
        </w:rPr>
        <w:t>the</w:t>
      </w:r>
      <w:r>
        <w:rPr>
          <w:spacing w:val="-11"/>
          <w:sz w:val="20"/>
        </w:rPr>
        <w:t> </w:t>
      </w:r>
      <w:r>
        <w:rPr>
          <w:sz w:val="20"/>
        </w:rPr>
        <w:t>position</w:t>
      </w:r>
      <w:r>
        <w:rPr>
          <w:spacing w:val="-10"/>
          <w:sz w:val="20"/>
        </w:rPr>
        <w:t> </w:t>
      </w:r>
      <w:r>
        <w:rPr>
          <w:sz w:val="20"/>
        </w:rPr>
        <w:t>taken</w:t>
      </w:r>
      <w:r>
        <w:rPr>
          <w:spacing w:val="-11"/>
          <w:sz w:val="20"/>
        </w:rPr>
        <w:t> </w:t>
      </w:r>
      <w:r>
        <w:rPr>
          <w:spacing w:val="-3"/>
          <w:sz w:val="20"/>
        </w:rPr>
        <w:t>by</w:t>
      </w:r>
      <w:r>
        <w:rPr>
          <w:spacing w:val="-11"/>
          <w:sz w:val="20"/>
        </w:rPr>
        <w:t> </w:t>
      </w:r>
      <w:r>
        <w:rPr>
          <w:sz w:val="20"/>
        </w:rPr>
        <w:t>the courts.</w:t>
      </w:r>
    </w:p>
    <w:p>
      <w:pPr>
        <w:pStyle w:val="ListParagraph"/>
        <w:numPr>
          <w:ilvl w:val="1"/>
          <w:numId w:val="12"/>
        </w:numPr>
        <w:tabs>
          <w:tab w:pos="1761" w:val="left" w:leader="none"/>
          <w:tab w:pos="1762" w:val="left" w:leader="none"/>
        </w:tabs>
        <w:spacing w:line="206" w:lineRule="auto" w:before="126" w:after="0"/>
        <w:ind w:left="1761" w:right="1526" w:hanging="794"/>
        <w:jc w:val="left"/>
        <w:rPr>
          <w:sz w:val="11"/>
        </w:rPr>
      </w:pPr>
      <w:r>
        <w:rPr>
          <w:sz w:val="20"/>
        </w:rPr>
        <w:t>Brent Phillips, a deaf Victorian who </w:t>
      </w:r>
      <w:r>
        <w:rPr>
          <w:spacing w:val="-3"/>
          <w:sz w:val="20"/>
        </w:rPr>
        <w:t>received </w:t>
      </w:r>
      <w:r>
        <w:rPr>
          <w:sz w:val="20"/>
        </w:rPr>
        <w:t>a summons for jury duty in 2014, requested an Auslan </w:t>
      </w:r>
      <w:r>
        <w:rPr>
          <w:spacing w:val="-3"/>
          <w:sz w:val="20"/>
        </w:rPr>
        <w:t>interpreter </w:t>
      </w:r>
      <w:r>
        <w:rPr>
          <w:sz w:val="20"/>
        </w:rPr>
        <w:t>to assist him. But he reported that the Juries Commissioner</w:t>
      </w:r>
      <w:r>
        <w:rPr>
          <w:spacing w:val="-10"/>
          <w:sz w:val="20"/>
        </w:rPr>
        <w:t> </w:t>
      </w:r>
      <w:r>
        <w:rPr>
          <w:sz w:val="20"/>
        </w:rPr>
        <w:t>‘explained</w:t>
      </w:r>
      <w:r>
        <w:rPr>
          <w:spacing w:val="-10"/>
          <w:sz w:val="20"/>
        </w:rPr>
        <w:t> </w:t>
      </w:r>
      <w:r>
        <w:rPr>
          <w:sz w:val="20"/>
        </w:rPr>
        <w:t>that</w:t>
      </w:r>
      <w:r>
        <w:rPr>
          <w:spacing w:val="-10"/>
          <w:sz w:val="20"/>
        </w:rPr>
        <w:t> </w:t>
      </w:r>
      <w:r>
        <w:rPr>
          <w:sz w:val="20"/>
        </w:rPr>
        <w:t>they</w:t>
      </w:r>
      <w:r>
        <w:rPr>
          <w:spacing w:val="-10"/>
          <w:sz w:val="20"/>
        </w:rPr>
        <w:t> </w:t>
      </w:r>
      <w:r>
        <w:rPr>
          <w:spacing w:val="-3"/>
          <w:sz w:val="20"/>
        </w:rPr>
        <w:t>would</w:t>
      </w:r>
      <w:r>
        <w:rPr>
          <w:spacing w:val="-10"/>
          <w:sz w:val="20"/>
        </w:rPr>
        <w:t> </w:t>
      </w:r>
      <w:r>
        <w:rPr>
          <w:sz w:val="20"/>
        </w:rPr>
        <w:t>not</w:t>
      </w:r>
      <w:r>
        <w:rPr>
          <w:spacing w:val="-10"/>
          <w:sz w:val="20"/>
        </w:rPr>
        <w:t> </w:t>
      </w:r>
      <w:r>
        <w:rPr>
          <w:sz w:val="20"/>
        </w:rPr>
        <w:t>be</w:t>
      </w:r>
      <w:r>
        <w:rPr>
          <w:spacing w:val="-10"/>
          <w:sz w:val="20"/>
        </w:rPr>
        <w:t> </w:t>
      </w:r>
      <w:r>
        <w:rPr>
          <w:sz w:val="20"/>
        </w:rPr>
        <w:t>able</w:t>
      </w:r>
      <w:r>
        <w:rPr>
          <w:spacing w:val="-10"/>
          <w:sz w:val="20"/>
        </w:rPr>
        <w:t> </w:t>
      </w:r>
      <w:r>
        <w:rPr>
          <w:sz w:val="20"/>
        </w:rPr>
        <w:t>to</w:t>
      </w:r>
      <w:r>
        <w:rPr>
          <w:spacing w:val="-10"/>
          <w:sz w:val="20"/>
        </w:rPr>
        <w:t> </w:t>
      </w:r>
      <w:r>
        <w:rPr>
          <w:spacing w:val="-3"/>
          <w:sz w:val="20"/>
        </w:rPr>
        <w:t>provide</w:t>
      </w:r>
      <w:r>
        <w:rPr>
          <w:spacing w:val="-10"/>
          <w:sz w:val="20"/>
        </w:rPr>
        <w:t> </w:t>
      </w:r>
      <w:r>
        <w:rPr>
          <w:sz w:val="20"/>
        </w:rPr>
        <w:t>Auslan</w:t>
      </w:r>
      <w:r>
        <w:rPr>
          <w:spacing w:val="-10"/>
          <w:sz w:val="20"/>
        </w:rPr>
        <w:t> </w:t>
      </w:r>
      <w:r>
        <w:rPr>
          <w:spacing w:val="-3"/>
          <w:sz w:val="20"/>
        </w:rPr>
        <w:t>interpreters, </w:t>
      </w:r>
      <w:r>
        <w:rPr>
          <w:sz w:val="20"/>
        </w:rPr>
        <w:t>and that essentially deaf people </w:t>
      </w:r>
      <w:r>
        <w:rPr>
          <w:spacing w:val="-4"/>
          <w:sz w:val="20"/>
        </w:rPr>
        <w:t>were </w:t>
      </w:r>
      <w:r>
        <w:rPr>
          <w:sz w:val="20"/>
        </w:rPr>
        <w:t>not able to serve on juries given the fact our presence on the jury </w:t>
      </w:r>
      <w:r>
        <w:rPr>
          <w:spacing w:val="-3"/>
          <w:sz w:val="20"/>
        </w:rPr>
        <w:t>would </w:t>
      </w:r>
      <w:r>
        <w:rPr>
          <w:sz w:val="20"/>
        </w:rPr>
        <w:t>necessitate a “13th person” which is a breach of jury legislation in</w:t>
      </w:r>
      <w:r>
        <w:rPr>
          <w:spacing w:val="-9"/>
          <w:sz w:val="20"/>
        </w:rPr>
        <w:t> </w:t>
      </w:r>
      <w:r>
        <w:rPr>
          <w:spacing w:val="-3"/>
          <w:sz w:val="20"/>
        </w:rPr>
        <w:t>Victoria’.</w:t>
      </w:r>
      <w:r>
        <w:rPr>
          <w:spacing w:val="-3"/>
          <w:position w:val="7"/>
          <w:sz w:val="11"/>
        </w:rPr>
        <w:t>19</w:t>
      </w:r>
    </w:p>
    <w:p>
      <w:pPr>
        <w:pStyle w:val="ListParagraph"/>
        <w:numPr>
          <w:ilvl w:val="1"/>
          <w:numId w:val="12"/>
        </w:numPr>
        <w:tabs>
          <w:tab w:pos="1761" w:val="left" w:leader="none"/>
          <w:tab w:pos="1762" w:val="left" w:leader="none"/>
        </w:tabs>
        <w:spacing w:line="206" w:lineRule="auto" w:before="127" w:after="0"/>
        <w:ind w:left="1761" w:right="1323" w:hanging="794"/>
        <w:jc w:val="left"/>
        <w:rPr>
          <w:sz w:val="20"/>
        </w:rPr>
      </w:pPr>
      <w:r>
        <w:rPr>
          <w:sz w:val="20"/>
        </w:rPr>
        <w:t>In a media </w:t>
      </w:r>
      <w:r>
        <w:rPr>
          <w:spacing w:val="-3"/>
          <w:sz w:val="20"/>
        </w:rPr>
        <w:t>interview, </w:t>
      </w:r>
      <w:r>
        <w:rPr>
          <w:sz w:val="20"/>
        </w:rPr>
        <w:t>Mr Phillips argued that the 13th person rule should not </w:t>
      </w:r>
      <w:r>
        <w:rPr>
          <w:spacing w:val="-3"/>
          <w:sz w:val="20"/>
        </w:rPr>
        <w:t>apply </w:t>
      </w:r>
      <w:r>
        <w:rPr>
          <w:sz w:val="20"/>
        </w:rPr>
        <w:t>to Auslan </w:t>
      </w:r>
      <w:r>
        <w:rPr>
          <w:spacing w:val="-3"/>
          <w:sz w:val="20"/>
        </w:rPr>
        <w:t>interpreters, </w:t>
      </w:r>
      <w:r>
        <w:rPr>
          <w:sz w:val="20"/>
        </w:rPr>
        <w:t>because they </w:t>
      </w:r>
      <w:r>
        <w:rPr>
          <w:spacing w:val="-3"/>
          <w:sz w:val="20"/>
        </w:rPr>
        <w:t>are </w:t>
      </w:r>
      <w:r>
        <w:rPr>
          <w:sz w:val="20"/>
        </w:rPr>
        <w:t>qualified and accredited and abide </w:t>
      </w:r>
      <w:r>
        <w:rPr>
          <w:spacing w:val="-3"/>
          <w:sz w:val="20"/>
        </w:rPr>
        <w:t>by </w:t>
      </w:r>
      <w:r>
        <w:rPr>
          <w:sz w:val="20"/>
        </w:rPr>
        <w:t>a strict code</w:t>
      </w:r>
      <w:r>
        <w:rPr>
          <w:spacing w:val="-13"/>
          <w:sz w:val="20"/>
        </w:rPr>
        <w:t> </w:t>
      </w:r>
      <w:r>
        <w:rPr>
          <w:sz w:val="20"/>
        </w:rPr>
        <w:t>of</w:t>
      </w:r>
      <w:r>
        <w:rPr>
          <w:spacing w:val="-13"/>
          <w:sz w:val="20"/>
        </w:rPr>
        <w:t> </w:t>
      </w:r>
      <w:r>
        <w:rPr>
          <w:sz w:val="20"/>
        </w:rPr>
        <w:t>ethics</w:t>
      </w:r>
      <w:r>
        <w:rPr>
          <w:spacing w:val="-13"/>
          <w:sz w:val="20"/>
        </w:rPr>
        <w:t> </w:t>
      </w:r>
      <w:r>
        <w:rPr>
          <w:sz w:val="20"/>
        </w:rPr>
        <w:t>that</w:t>
      </w:r>
      <w:r>
        <w:rPr>
          <w:spacing w:val="-13"/>
          <w:sz w:val="20"/>
        </w:rPr>
        <w:t> </w:t>
      </w:r>
      <w:r>
        <w:rPr>
          <w:sz w:val="20"/>
        </w:rPr>
        <w:t>includes</w:t>
      </w:r>
      <w:r>
        <w:rPr>
          <w:spacing w:val="-13"/>
          <w:sz w:val="20"/>
        </w:rPr>
        <w:t> </w:t>
      </w:r>
      <w:r>
        <w:rPr>
          <w:sz w:val="20"/>
        </w:rPr>
        <w:t>confidentiality</w:t>
      </w:r>
      <w:r>
        <w:rPr>
          <w:spacing w:val="-12"/>
          <w:sz w:val="20"/>
        </w:rPr>
        <w:t> </w:t>
      </w:r>
      <w:r>
        <w:rPr>
          <w:sz w:val="20"/>
        </w:rPr>
        <w:t>and</w:t>
      </w:r>
      <w:r>
        <w:rPr>
          <w:spacing w:val="-13"/>
          <w:sz w:val="20"/>
        </w:rPr>
        <w:t> </w:t>
      </w:r>
      <w:r>
        <w:rPr>
          <w:sz w:val="20"/>
        </w:rPr>
        <w:t>impartiality.</w:t>
      </w:r>
      <w:r>
        <w:rPr>
          <w:position w:val="7"/>
          <w:sz w:val="11"/>
        </w:rPr>
        <w:t>20</w:t>
      </w:r>
      <w:r>
        <w:rPr>
          <w:spacing w:val="12"/>
          <w:position w:val="7"/>
          <w:sz w:val="11"/>
        </w:rPr>
        <w:t> </w:t>
      </w:r>
      <w:r>
        <w:rPr>
          <w:sz w:val="20"/>
        </w:rPr>
        <w:t>Their</w:t>
      </w:r>
      <w:r>
        <w:rPr>
          <w:spacing w:val="-13"/>
          <w:sz w:val="20"/>
        </w:rPr>
        <w:t> </w:t>
      </w:r>
      <w:r>
        <w:rPr>
          <w:sz w:val="20"/>
        </w:rPr>
        <w:t>presence</w:t>
      </w:r>
      <w:r>
        <w:rPr>
          <w:spacing w:val="-13"/>
          <w:sz w:val="20"/>
        </w:rPr>
        <w:t> </w:t>
      </w:r>
      <w:r>
        <w:rPr>
          <w:sz w:val="20"/>
        </w:rPr>
        <w:t>in</w:t>
      </w:r>
      <w:r>
        <w:rPr>
          <w:spacing w:val="-13"/>
          <w:sz w:val="20"/>
        </w:rPr>
        <w:t> </w:t>
      </w:r>
      <w:r>
        <w:rPr>
          <w:sz w:val="20"/>
        </w:rPr>
        <w:t>the</w:t>
      </w:r>
      <w:r>
        <w:rPr>
          <w:spacing w:val="-13"/>
          <w:sz w:val="20"/>
        </w:rPr>
        <w:t> </w:t>
      </w:r>
      <w:r>
        <w:rPr>
          <w:sz w:val="20"/>
        </w:rPr>
        <w:t>jury room </w:t>
      </w:r>
      <w:r>
        <w:rPr>
          <w:spacing w:val="-3"/>
          <w:sz w:val="20"/>
        </w:rPr>
        <w:t>would </w:t>
      </w:r>
      <w:r>
        <w:rPr>
          <w:sz w:val="20"/>
        </w:rPr>
        <w:t>not, </w:t>
      </w:r>
      <w:r>
        <w:rPr>
          <w:spacing w:val="-3"/>
          <w:sz w:val="20"/>
        </w:rPr>
        <w:t>therefore, negatively </w:t>
      </w:r>
      <w:r>
        <w:rPr>
          <w:sz w:val="20"/>
        </w:rPr>
        <w:t>impact jury</w:t>
      </w:r>
      <w:r>
        <w:rPr>
          <w:spacing w:val="-25"/>
          <w:sz w:val="20"/>
        </w:rPr>
        <w:t> </w:t>
      </w:r>
      <w:r>
        <w:rPr>
          <w:sz w:val="20"/>
        </w:rPr>
        <w:t>deliberations.</w:t>
      </w:r>
    </w:p>
    <w:p>
      <w:pPr>
        <w:pStyle w:val="BodyText"/>
        <w:rPr>
          <w:sz w:val="8"/>
        </w:rPr>
      </w:pPr>
      <w:r>
        <w:rPr/>
        <w:pict>
          <v:line style="position:absolute;mso-position-horizontal-relative:page;mso-position-vertical-relative:paragraph;z-index:1424;mso-wrap-distance-left:0;mso-wrap-distance-right:0" from="79.370102pt,8.0105pt" to="515.905102pt,8.0105pt" stroked="true" strokeweight="1pt" strokecolor="#b6bdc8">
            <v:stroke dashstyle="solid"/>
            <w10:wrap type="topAndBottom"/>
          </v:line>
        </w:pict>
      </w:r>
    </w:p>
    <w:p>
      <w:pPr>
        <w:pStyle w:val="ListParagraph"/>
        <w:numPr>
          <w:ilvl w:val="0"/>
          <w:numId w:val="27"/>
        </w:numPr>
        <w:tabs>
          <w:tab w:pos="1760" w:val="left" w:leader="none"/>
          <w:tab w:pos="1762" w:val="left" w:leader="none"/>
        </w:tabs>
        <w:spacing w:line="213" w:lineRule="auto" w:before="107" w:after="0"/>
        <w:ind w:left="967" w:right="6254" w:firstLine="0"/>
        <w:jc w:val="left"/>
        <w:rPr>
          <w:sz w:val="13"/>
        </w:rPr>
      </w:pPr>
      <w:r>
        <w:rPr>
          <w:i/>
          <w:sz w:val="13"/>
        </w:rPr>
        <w:t>Lyons v State of Queensland </w:t>
      </w:r>
      <w:r>
        <w:rPr>
          <w:sz w:val="13"/>
        </w:rPr>
        <w:t>[2016] HCA 38, [33]. </w:t>
      </w:r>
      <w:r>
        <w:rPr>
          <w:spacing w:val="3"/>
          <w:sz w:val="13"/>
        </w:rPr>
        <w:t>14</w:t>
        <w:tab/>
      </w:r>
      <w:r>
        <w:rPr>
          <w:sz w:val="13"/>
        </w:rPr>
        <w:t>Ibid [37].</w:t>
      </w:r>
    </w:p>
    <w:p>
      <w:pPr>
        <w:tabs>
          <w:tab w:pos="1760" w:val="left" w:leader="none"/>
        </w:tabs>
        <w:spacing w:line="153" w:lineRule="exact" w:before="0"/>
        <w:ind w:left="967" w:right="0" w:firstLine="0"/>
        <w:jc w:val="left"/>
        <w:rPr>
          <w:sz w:val="13"/>
        </w:rPr>
      </w:pPr>
      <w:r>
        <w:rPr>
          <w:sz w:val="13"/>
        </w:rPr>
        <w:t>15</w:t>
        <w:tab/>
        <w:t>Ibid</w:t>
      </w:r>
      <w:r>
        <w:rPr>
          <w:spacing w:val="6"/>
          <w:sz w:val="13"/>
        </w:rPr>
        <w:t> </w:t>
      </w:r>
      <w:r>
        <w:rPr>
          <w:spacing w:val="2"/>
          <w:sz w:val="13"/>
        </w:rPr>
        <w:t>[35].</w:t>
      </w:r>
    </w:p>
    <w:p>
      <w:pPr>
        <w:tabs>
          <w:tab w:pos="1761" w:val="left" w:leader="none"/>
        </w:tabs>
        <w:spacing w:line="160" w:lineRule="exact" w:before="0"/>
        <w:ind w:left="967" w:right="0" w:firstLine="0"/>
        <w:jc w:val="left"/>
        <w:rPr>
          <w:sz w:val="13"/>
        </w:rPr>
      </w:pPr>
      <w:r>
        <w:rPr>
          <w:sz w:val="13"/>
        </w:rPr>
        <w:t>16</w:t>
        <w:tab/>
        <w:t>Ibid</w:t>
      </w:r>
      <w:r>
        <w:rPr>
          <w:spacing w:val="5"/>
          <w:sz w:val="13"/>
        </w:rPr>
        <w:t> </w:t>
      </w:r>
      <w:r>
        <w:rPr>
          <w:spacing w:val="2"/>
          <w:sz w:val="13"/>
        </w:rPr>
        <w:t>[36].</w:t>
      </w:r>
    </w:p>
    <w:p>
      <w:pPr>
        <w:pStyle w:val="ListParagraph"/>
        <w:numPr>
          <w:ilvl w:val="0"/>
          <w:numId w:val="28"/>
        </w:numPr>
        <w:tabs>
          <w:tab w:pos="1760" w:val="left" w:leader="none"/>
          <w:tab w:pos="1762" w:val="left" w:leader="none"/>
        </w:tabs>
        <w:spacing w:line="160" w:lineRule="exact" w:before="0" w:after="0"/>
        <w:ind w:left="1761" w:right="0" w:hanging="794"/>
        <w:jc w:val="left"/>
        <w:rPr>
          <w:sz w:val="13"/>
        </w:rPr>
      </w:pPr>
      <w:r>
        <w:rPr>
          <w:sz w:val="13"/>
        </w:rPr>
        <w:t>Kim Sharnie, ‘Deaf </w:t>
      </w:r>
      <w:r>
        <w:rPr>
          <w:spacing w:val="2"/>
          <w:sz w:val="13"/>
        </w:rPr>
        <w:t>Queensland </w:t>
      </w:r>
      <w:r>
        <w:rPr>
          <w:sz w:val="13"/>
        </w:rPr>
        <w:t>Woman Gaye Lyons Loses High </w:t>
      </w:r>
      <w:r>
        <w:rPr>
          <w:spacing w:val="2"/>
          <w:sz w:val="13"/>
        </w:rPr>
        <w:t>Court </w:t>
      </w:r>
      <w:r>
        <w:rPr>
          <w:sz w:val="13"/>
        </w:rPr>
        <w:t>Bid to Become Juror’, </w:t>
      </w:r>
      <w:r>
        <w:rPr>
          <w:i/>
          <w:sz w:val="13"/>
        </w:rPr>
        <w:t>ABC News </w:t>
      </w:r>
      <w:r>
        <w:rPr>
          <w:sz w:val="13"/>
        </w:rPr>
        <w:t>(online, 5 October</w:t>
      </w:r>
      <w:r>
        <w:rPr>
          <w:spacing w:val="29"/>
          <w:sz w:val="13"/>
        </w:rPr>
        <w:t> </w:t>
      </w:r>
      <w:r>
        <w:rPr>
          <w:sz w:val="13"/>
        </w:rPr>
        <w:t>2016)</w:t>
      </w:r>
    </w:p>
    <w:p>
      <w:pPr>
        <w:spacing w:line="213" w:lineRule="auto" w:before="6"/>
        <w:ind w:left="1761" w:right="1335" w:firstLine="0"/>
        <w:jc w:val="left"/>
        <w:rPr>
          <w:sz w:val="13"/>
        </w:rPr>
      </w:pPr>
      <w:r>
        <w:rPr>
          <w:sz w:val="13"/>
        </w:rPr>
        <w:t>&lt;</w:t>
      </w:r>
      <w:hyperlink r:id="rId73">
        <w:r>
          <w:rPr>
            <w:sz w:val="13"/>
          </w:rPr>
          <w:t>https://www.abc.net.au/news/2016-10-05/deaf-woman-gaye-lyons-loses-high-court-challenge-juror/7904324</w:t>
        </w:r>
      </w:hyperlink>
      <w:r>
        <w:rPr>
          <w:sz w:val="13"/>
        </w:rPr>
        <w:t>&gt;. For further commentary on the Lyons case and calls for legal reform see David Spencer et al, ‘Justice Is Blind as Long as It Isn’t Deaf: Excluding Deaf People from Jury Duty—an Australian Human Rights Breach’ (2017) 23(3) </w:t>
      </w:r>
      <w:r>
        <w:rPr>
          <w:i/>
          <w:sz w:val="13"/>
        </w:rPr>
        <w:t>Australian Journal of Human Rights </w:t>
      </w:r>
      <w:r>
        <w:rPr>
          <w:sz w:val="13"/>
        </w:rPr>
        <w:t>332.</w:t>
      </w:r>
    </w:p>
    <w:p>
      <w:pPr>
        <w:pStyle w:val="ListParagraph"/>
        <w:numPr>
          <w:ilvl w:val="0"/>
          <w:numId w:val="28"/>
        </w:numPr>
        <w:tabs>
          <w:tab w:pos="1761" w:val="left" w:leader="none"/>
          <w:tab w:pos="1762" w:val="left" w:leader="none"/>
        </w:tabs>
        <w:spacing w:line="152" w:lineRule="exact" w:before="0" w:after="0"/>
        <w:ind w:left="1761" w:right="0" w:hanging="794"/>
        <w:jc w:val="left"/>
        <w:rPr>
          <w:sz w:val="13"/>
        </w:rPr>
      </w:pPr>
      <w:r>
        <w:rPr>
          <w:sz w:val="13"/>
        </w:rPr>
        <w:t>Judicial</w:t>
      </w:r>
      <w:r>
        <w:rPr>
          <w:spacing w:val="2"/>
          <w:sz w:val="13"/>
        </w:rPr>
        <w:t> </w:t>
      </w:r>
      <w:r>
        <w:rPr>
          <w:sz w:val="13"/>
        </w:rPr>
        <w:t>College</w:t>
      </w:r>
      <w:r>
        <w:rPr>
          <w:spacing w:val="3"/>
          <w:sz w:val="13"/>
        </w:rPr>
        <w:t> </w:t>
      </w:r>
      <w:r>
        <w:rPr>
          <w:sz w:val="13"/>
        </w:rPr>
        <w:t>of</w:t>
      </w:r>
      <w:r>
        <w:rPr>
          <w:spacing w:val="2"/>
          <w:sz w:val="13"/>
        </w:rPr>
        <w:t> </w:t>
      </w:r>
      <w:r>
        <w:rPr>
          <w:sz w:val="13"/>
        </w:rPr>
        <w:t>Victoria,</w:t>
      </w:r>
      <w:r>
        <w:rPr>
          <w:spacing w:val="3"/>
          <w:sz w:val="13"/>
        </w:rPr>
        <w:t> </w:t>
      </w:r>
      <w:r>
        <w:rPr>
          <w:spacing w:val="2"/>
          <w:sz w:val="13"/>
        </w:rPr>
        <w:t>‘11.1 </w:t>
      </w:r>
      <w:r>
        <w:rPr>
          <w:sz w:val="13"/>
        </w:rPr>
        <w:t>Selecting</w:t>
      </w:r>
      <w:r>
        <w:rPr>
          <w:spacing w:val="3"/>
          <w:sz w:val="13"/>
        </w:rPr>
        <w:t> </w:t>
      </w:r>
      <w:r>
        <w:rPr>
          <w:sz w:val="13"/>
        </w:rPr>
        <w:t>a</w:t>
      </w:r>
      <w:r>
        <w:rPr>
          <w:spacing w:val="3"/>
          <w:sz w:val="13"/>
        </w:rPr>
        <w:t> </w:t>
      </w:r>
      <w:r>
        <w:rPr>
          <w:sz w:val="13"/>
        </w:rPr>
        <w:t>Jury’,</w:t>
      </w:r>
      <w:r>
        <w:rPr>
          <w:spacing w:val="2"/>
          <w:sz w:val="13"/>
        </w:rPr>
        <w:t> </w:t>
      </w:r>
      <w:r>
        <w:rPr>
          <w:i/>
          <w:sz w:val="13"/>
        </w:rPr>
        <w:t>Victorian</w:t>
      </w:r>
      <w:r>
        <w:rPr>
          <w:i/>
          <w:spacing w:val="3"/>
          <w:sz w:val="13"/>
        </w:rPr>
        <w:t> </w:t>
      </w:r>
      <w:r>
        <w:rPr>
          <w:i/>
          <w:sz w:val="13"/>
        </w:rPr>
        <w:t>Criminal</w:t>
      </w:r>
      <w:r>
        <w:rPr>
          <w:i/>
          <w:spacing w:val="2"/>
          <w:sz w:val="13"/>
        </w:rPr>
        <w:t> </w:t>
      </w:r>
      <w:r>
        <w:rPr>
          <w:i/>
          <w:sz w:val="13"/>
        </w:rPr>
        <w:t>Proceedings</w:t>
      </w:r>
      <w:r>
        <w:rPr>
          <w:i/>
          <w:spacing w:val="3"/>
          <w:sz w:val="13"/>
        </w:rPr>
        <w:t> </w:t>
      </w:r>
      <w:r>
        <w:rPr>
          <w:i/>
          <w:sz w:val="13"/>
        </w:rPr>
        <w:t>Manual</w:t>
      </w:r>
      <w:r>
        <w:rPr>
          <w:i/>
          <w:spacing w:val="2"/>
          <w:sz w:val="13"/>
        </w:rPr>
        <w:t> </w:t>
      </w:r>
      <w:r>
        <w:rPr>
          <w:sz w:val="13"/>
        </w:rPr>
        <w:t>(Online</w:t>
      </w:r>
      <w:r>
        <w:rPr>
          <w:spacing w:val="3"/>
          <w:sz w:val="13"/>
        </w:rPr>
        <w:t> </w:t>
      </w:r>
      <w:r>
        <w:rPr>
          <w:sz w:val="13"/>
        </w:rPr>
        <w:t>Manual,</w:t>
      </w:r>
      <w:r>
        <w:rPr>
          <w:spacing w:val="3"/>
          <w:sz w:val="13"/>
        </w:rPr>
        <w:t> </w:t>
      </w:r>
      <w:r>
        <w:rPr>
          <w:sz w:val="13"/>
        </w:rPr>
        <w:t>30</w:t>
      </w:r>
      <w:r>
        <w:rPr>
          <w:spacing w:val="2"/>
          <w:sz w:val="13"/>
        </w:rPr>
        <w:t> </w:t>
      </w:r>
      <w:r>
        <w:rPr>
          <w:sz w:val="13"/>
        </w:rPr>
        <w:t>August</w:t>
      </w:r>
      <w:r>
        <w:rPr>
          <w:spacing w:val="3"/>
          <w:sz w:val="13"/>
        </w:rPr>
        <w:t> </w:t>
      </w:r>
      <w:r>
        <w:rPr>
          <w:sz w:val="13"/>
        </w:rPr>
        <w:t>2021)</w:t>
      </w:r>
      <w:r>
        <w:rPr>
          <w:spacing w:val="2"/>
          <w:sz w:val="13"/>
        </w:rPr>
        <w:t> </w:t>
      </w:r>
      <w:r>
        <w:rPr>
          <w:sz w:val="13"/>
        </w:rPr>
        <w:t>[7]</w:t>
      </w:r>
    </w:p>
    <w:p>
      <w:pPr>
        <w:spacing w:line="213" w:lineRule="auto" w:before="7"/>
        <w:ind w:left="1760" w:right="1335" w:firstLine="0"/>
        <w:jc w:val="left"/>
        <w:rPr>
          <w:sz w:val="13"/>
        </w:rPr>
      </w:pPr>
      <w:r>
        <w:rPr>
          <w:sz w:val="13"/>
        </w:rPr>
        <w:t>&lt;</w:t>
      </w:r>
      <w:hyperlink r:id="rId49">
        <w:r>
          <w:rPr>
            <w:sz w:val="13"/>
          </w:rPr>
          <w:t>https://www.judicialcollege.vic.edu.au/eManuals/VCPM/index.htm#27318.htm</w:t>
        </w:r>
      </w:hyperlink>
      <w:r>
        <w:rPr>
          <w:sz w:val="13"/>
        </w:rPr>
        <w:t>&gt;, citing </w:t>
      </w:r>
      <w:r>
        <w:rPr>
          <w:i/>
          <w:sz w:val="13"/>
        </w:rPr>
        <w:t>Lyons v State of Queensland </w:t>
      </w:r>
      <w:r>
        <w:rPr>
          <w:sz w:val="13"/>
        </w:rPr>
        <w:t>[2016] HCA  38, </w:t>
      </w:r>
      <w:r>
        <w:rPr>
          <w:spacing w:val="2"/>
          <w:sz w:val="13"/>
        </w:rPr>
        <w:t>[1],</w:t>
      </w:r>
      <w:r>
        <w:rPr>
          <w:spacing w:val="-1"/>
          <w:sz w:val="13"/>
        </w:rPr>
        <w:t> </w:t>
      </w:r>
      <w:r>
        <w:rPr>
          <w:spacing w:val="2"/>
          <w:sz w:val="13"/>
        </w:rPr>
        <w:t>[33]–[36].</w:t>
      </w:r>
    </w:p>
    <w:p>
      <w:pPr>
        <w:pStyle w:val="ListParagraph"/>
        <w:numPr>
          <w:ilvl w:val="0"/>
          <w:numId w:val="28"/>
        </w:numPr>
        <w:tabs>
          <w:tab w:pos="1760" w:val="left" w:leader="none"/>
          <w:tab w:pos="1762" w:val="left" w:leader="none"/>
        </w:tabs>
        <w:spacing w:line="213" w:lineRule="auto" w:before="0" w:after="0"/>
        <w:ind w:left="1761" w:right="1416" w:hanging="794"/>
        <w:jc w:val="both"/>
        <w:rPr>
          <w:sz w:val="13"/>
        </w:rPr>
      </w:pPr>
      <w:r>
        <w:rPr/>
        <w:pict>
          <v:shape style="position:absolute;margin-left:36pt;margin-top:19.391691pt;width:13.65pt;height:14.1pt;mso-position-horizontal-relative:page;mso-position-vertical-relative:paragraph;z-index:3496" type="#_x0000_t202" filled="false" stroked="false">
            <v:textbox inset="0,0,0,0">
              <w:txbxContent>
                <w:p>
                  <w:pPr>
                    <w:spacing w:line="282" w:lineRule="exact" w:before="0"/>
                    <w:ind w:left="0" w:right="0" w:firstLine="0"/>
                    <w:jc w:val="left"/>
                    <w:rPr>
                      <w:b/>
                      <w:sz w:val="24"/>
                    </w:rPr>
                  </w:pPr>
                  <w:r>
                    <w:rPr>
                      <w:b/>
                      <w:color w:val="37617A"/>
                      <w:sz w:val="24"/>
                    </w:rPr>
                    <w:t>24</w:t>
                  </w:r>
                </w:p>
              </w:txbxContent>
            </v:textbox>
            <w10:wrap type="none"/>
          </v:shape>
        </w:pict>
      </w:r>
      <w:r>
        <w:rPr>
          <w:sz w:val="13"/>
        </w:rPr>
        <w:t>Sylvia Varnham O’Regan, ‘Deaf Victorian Man </w:t>
      </w:r>
      <w:r>
        <w:rPr>
          <w:spacing w:val="2"/>
          <w:sz w:val="13"/>
        </w:rPr>
        <w:t>Denied </w:t>
      </w:r>
      <w:r>
        <w:rPr>
          <w:sz w:val="13"/>
        </w:rPr>
        <w:t>from </w:t>
      </w:r>
      <w:r>
        <w:rPr>
          <w:spacing w:val="2"/>
          <w:sz w:val="13"/>
        </w:rPr>
        <w:t>Serving </w:t>
      </w:r>
      <w:r>
        <w:rPr>
          <w:sz w:val="13"/>
        </w:rPr>
        <w:t>on </w:t>
      </w:r>
      <w:r>
        <w:rPr>
          <w:spacing w:val="2"/>
          <w:sz w:val="13"/>
        </w:rPr>
        <w:t>Jury Calls </w:t>
      </w:r>
      <w:r>
        <w:rPr>
          <w:sz w:val="13"/>
        </w:rPr>
        <w:t>for </w:t>
      </w:r>
      <w:r>
        <w:rPr>
          <w:spacing w:val="2"/>
          <w:sz w:val="13"/>
        </w:rPr>
        <w:t>“Discriminatory” </w:t>
      </w:r>
      <w:r>
        <w:rPr>
          <w:sz w:val="13"/>
        </w:rPr>
        <w:t>Law to be Changed’, </w:t>
      </w:r>
      <w:r>
        <w:rPr>
          <w:i/>
          <w:sz w:val="13"/>
        </w:rPr>
        <w:t>SBS </w:t>
      </w:r>
      <w:r>
        <w:rPr>
          <w:i/>
          <w:sz w:val="13"/>
        </w:rPr>
        <w:t>News </w:t>
      </w:r>
      <w:r>
        <w:rPr>
          <w:sz w:val="13"/>
        </w:rPr>
        <w:t>(online, 24 November </w:t>
      </w:r>
      <w:r>
        <w:rPr>
          <w:spacing w:val="2"/>
          <w:sz w:val="13"/>
        </w:rPr>
        <w:t>2014) </w:t>
      </w:r>
      <w:r>
        <w:rPr>
          <w:sz w:val="13"/>
        </w:rPr>
        <w:t>&lt;</w:t>
      </w:r>
      <w:hyperlink r:id="rId74">
        <w:r>
          <w:rPr>
            <w:sz w:val="13"/>
          </w:rPr>
          <w:t>https://www.sbs.com.au/news/article/deaf-victorian-man-denied-from-serving-on-jury-</w:t>
        </w:r>
      </w:hyperlink>
      <w:hyperlink r:id="rId74">
        <w:r>
          <w:rPr>
            <w:sz w:val="13"/>
          </w:rPr>
          <w:t> calls-for-discriminatory-law-to-be-changed/cvjppq9j2</w:t>
        </w:r>
      </w:hyperlink>
      <w:r>
        <w:rPr>
          <w:sz w:val="13"/>
        </w:rPr>
        <w:t>&gt;.</w:t>
      </w:r>
    </w:p>
    <w:p>
      <w:pPr>
        <w:pStyle w:val="ListParagraph"/>
        <w:numPr>
          <w:ilvl w:val="0"/>
          <w:numId w:val="28"/>
        </w:numPr>
        <w:tabs>
          <w:tab w:pos="1760" w:val="left" w:leader="none"/>
          <w:tab w:pos="1762" w:val="left" w:leader="none"/>
        </w:tabs>
        <w:spacing w:line="162" w:lineRule="exact" w:before="0" w:after="0"/>
        <w:ind w:left="1761" w:right="0" w:hanging="794"/>
        <w:jc w:val="left"/>
        <w:rPr>
          <w:sz w:val="13"/>
        </w:rPr>
      </w:pPr>
      <w:r>
        <w:rPr>
          <w:spacing w:val="2"/>
          <w:sz w:val="13"/>
        </w:rPr>
        <w:t>Ibid.</w:t>
      </w:r>
    </w:p>
    <w:p>
      <w:pPr>
        <w:spacing w:after="0" w:line="162"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spacing w:before="49"/>
        <w:ind w:left="967" w:right="0" w:firstLine="0"/>
        <w:jc w:val="left"/>
        <w:rPr>
          <w:b/>
          <w:sz w:val="24"/>
        </w:rPr>
      </w:pPr>
      <w:bookmarkStart w:name="Removing potential jurors through challe" w:id="64"/>
      <w:bookmarkEnd w:id="64"/>
      <w:r>
        <w:rPr/>
      </w:r>
      <w:bookmarkStart w:name="_bookmark24" w:id="65"/>
      <w:bookmarkEnd w:id="65"/>
      <w:r>
        <w:rPr/>
      </w:r>
      <w:r>
        <w:rPr>
          <w:b/>
          <w:sz w:val="24"/>
        </w:rPr>
        <w:t>There are too many barriers to jury service</w:t>
      </w:r>
    </w:p>
    <w:p>
      <w:pPr>
        <w:pStyle w:val="ListParagraph"/>
        <w:numPr>
          <w:ilvl w:val="1"/>
          <w:numId w:val="12"/>
        </w:numPr>
        <w:tabs>
          <w:tab w:pos="1762" w:val="left" w:leader="none"/>
        </w:tabs>
        <w:spacing w:line="206" w:lineRule="auto" w:before="127" w:after="0"/>
        <w:ind w:left="1761" w:right="1687" w:hanging="794"/>
        <w:jc w:val="both"/>
        <w:rPr>
          <w:sz w:val="20"/>
        </w:rPr>
      </w:pPr>
      <w:r>
        <w:rPr>
          <w:sz w:val="20"/>
        </w:rPr>
        <w:t>A</w:t>
      </w:r>
      <w:r>
        <w:rPr>
          <w:spacing w:val="-12"/>
          <w:sz w:val="20"/>
        </w:rPr>
        <w:t> </w:t>
      </w:r>
      <w:r>
        <w:rPr>
          <w:sz w:val="20"/>
        </w:rPr>
        <w:t>person</w:t>
      </w:r>
      <w:r>
        <w:rPr>
          <w:spacing w:val="-11"/>
          <w:sz w:val="20"/>
        </w:rPr>
        <w:t> </w:t>
      </w:r>
      <w:r>
        <w:rPr>
          <w:sz w:val="20"/>
        </w:rPr>
        <w:t>in</w:t>
      </w:r>
      <w:r>
        <w:rPr>
          <w:spacing w:val="-11"/>
          <w:sz w:val="20"/>
        </w:rPr>
        <w:t> </w:t>
      </w:r>
      <w:r>
        <w:rPr>
          <w:sz w:val="20"/>
        </w:rPr>
        <w:t>the</w:t>
      </w:r>
      <w:r>
        <w:rPr>
          <w:spacing w:val="-11"/>
          <w:sz w:val="20"/>
        </w:rPr>
        <w:t> </w:t>
      </w:r>
      <w:r>
        <w:rPr>
          <w:sz w:val="20"/>
        </w:rPr>
        <w:t>subject</w:t>
      </w:r>
      <w:r>
        <w:rPr>
          <w:spacing w:val="-11"/>
          <w:sz w:val="20"/>
        </w:rPr>
        <w:t> </w:t>
      </w:r>
      <w:r>
        <w:rPr>
          <w:sz w:val="20"/>
        </w:rPr>
        <w:t>groups</w:t>
      </w:r>
      <w:r>
        <w:rPr>
          <w:spacing w:val="-11"/>
          <w:sz w:val="20"/>
        </w:rPr>
        <w:t> </w:t>
      </w:r>
      <w:r>
        <w:rPr>
          <w:sz w:val="20"/>
        </w:rPr>
        <w:t>who</w:t>
      </w:r>
      <w:r>
        <w:rPr>
          <w:spacing w:val="-11"/>
          <w:sz w:val="20"/>
        </w:rPr>
        <w:t> </w:t>
      </w:r>
      <w:r>
        <w:rPr>
          <w:sz w:val="20"/>
        </w:rPr>
        <w:t>cannot</w:t>
      </w:r>
      <w:r>
        <w:rPr>
          <w:spacing w:val="-11"/>
          <w:sz w:val="20"/>
        </w:rPr>
        <w:t> </w:t>
      </w:r>
      <w:r>
        <w:rPr>
          <w:sz w:val="20"/>
        </w:rPr>
        <w:t>undertake</w:t>
      </w:r>
      <w:r>
        <w:rPr>
          <w:spacing w:val="-11"/>
          <w:sz w:val="20"/>
        </w:rPr>
        <w:t> </w:t>
      </w:r>
      <w:r>
        <w:rPr>
          <w:sz w:val="20"/>
        </w:rPr>
        <w:t>jury</w:t>
      </w:r>
      <w:r>
        <w:rPr>
          <w:spacing w:val="-11"/>
          <w:sz w:val="20"/>
        </w:rPr>
        <w:t> </w:t>
      </w:r>
      <w:r>
        <w:rPr>
          <w:sz w:val="20"/>
        </w:rPr>
        <w:t>duty</w:t>
      </w:r>
      <w:r>
        <w:rPr>
          <w:spacing w:val="-11"/>
          <w:sz w:val="20"/>
        </w:rPr>
        <w:t> </w:t>
      </w:r>
      <w:r>
        <w:rPr>
          <w:sz w:val="20"/>
        </w:rPr>
        <w:t>unless</w:t>
      </w:r>
      <w:r>
        <w:rPr>
          <w:spacing w:val="-11"/>
          <w:sz w:val="20"/>
        </w:rPr>
        <w:t> </w:t>
      </w:r>
      <w:r>
        <w:rPr>
          <w:sz w:val="20"/>
        </w:rPr>
        <w:t>reasonable adjustments</w:t>
      </w:r>
      <w:r>
        <w:rPr>
          <w:spacing w:val="-9"/>
          <w:sz w:val="20"/>
        </w:rPr>
        <w:t> </w:t>
      </w:r>
      <w:r>
        <w:rPr>
          <w:spacing w:val="-3"/>
          <w:sz w:val="20"/>
        </w:rPr>
        <w:t>are</w:t>
      </w:r>
      <w:r>
        <w:rPr>
          <w:spacing w:val="-8"/>
          <w:sz w:val="20"/>
        </w:rPr>
        <w:t> </w:t>
      </w:r>
      <w:r>
        <w:rPr>
          <w:spacing w:val="-3"/>
          <w:sz w:val="20"/>
        </w:rPr>
        <w:t>provided</w:t>
      </w:r>
      <w:r>
        <w:rPr>
          <w:spacing w:val="-9"/>
          <w:sz w:val="20"/>
        </w:rPr>
        <w:t> </w:t>
      </w:r>
      <w:r>
        <w:rPr>
          <w:spacing w:val="-3"/>
          <w:sz w:val="20"/>
        </w:rPr>
        <w:t>currently</w:t>
      </w:r>
      <w:r>
        <w:rPr>
          <w:spacing w:val="-8"/>
          <w:sz w:val="20"/>
        </w:rPr>
        <w:t> </w:t>
      </w:r>
      <w:r>
        <w:rPr>
          <w:sz w:val="20"/>
        </w:rPr>
        <w:t>has</w:t>
      </w:r>
      <w:r>
        <w:rPr>
          <w:spacing w:val="-8"/>
          <w:sz w:val="20"/>
        </w:rPr>
        <w:t> </w:t>
      </w:r>
      <w:r>
        <w:rPr>
          <w:sz w:val="20"/>
        </w:rPr>
        <w:t>limited</w:t>
      </w:r>
      <w:r>
        <w:rPr>
          <w:spacing w:val="-9"/>
          <w:sz w:val="20"/>
        </w:rPr>
        <w:t> </w:t>
      </w:r>
      <w:r>
        <w:rPr>
          <w:sz w:val="20"/>
        </w:rPr>
        <w:t>options.</w:t>
      </w:r>
      <w:r>
        <w:rPr>
          <w:spacing w:val="-8"/>
          <w:sz w:val="20"/>
        </w:rPr>
        <w:t> </w:t>
      </w:r>
      <w:r>
        <w:rPr>
          <w:sz w:val="20"/>
        </w:rPr>
        <w:t>They</w:t>
      </w:r>
      <w:r>
        <w:rPr>
          <w:spacing w:val="-9"/>
          <w:sz w:val="20"/>
        </w:rPr>
        <w:t> </w:t>
      </w:r>
      <w:r>
        <w:rPr>
          <w:sz w:val="20"/>
        </w:rPr>
        <w:t>can</w:t>
      </w:r>
      <w:r>
        <w:rPr>
          <w:spacing w:val="-8"/>
          <w:sz w:val="20"/>
        </w:rPr>
        <w:t> </w:t>
      </w:r>
      <w:r>
        <w:rPr>
          <w:sz w:val="20"/>
        </w:rPr>
        <w:t>either</w:t>
      </w:r>
      <w:r>
        <w:rPr>
          <w:spacing w:val="-8"/>
          <w:sz w:val="20"/>
        </w:rPr>
        <w:t> </w:t>
      </w:r>
      <w:r>
        <w:rPr>
          <w:sz w:val="20"/>
        </w:rPr>
        <w:t>seek</w:t>
      </w:r>
      <w:r>
        <w:rPr>
          <w:spacing w:val="-9"/>
          <w:sz w:val="20"/>
        </w:rPr>
        <w:t> </w:t>
      </w:r>
      <w:r>
        <w:rPr>
          <w:sz w:val="20"/>
        </w:rPr>
        <w:t>to</w:t>
      </w:r>
      <w:r>
        <w:rPr>
          <w:spacing w:val="-8"/>
          <w:sz w:val="20"/>
        </w:rPr>
        <w:t> </w:t>
      </w:r>
      <w:r>
        <w:rPr>
          <w:sz w:val="20"/>
        </w:rPr>
        <w:t>be </w:t>
      </w:r>
      <w:r>
        <w:rPr>
          <w:spacing w:val="-3"/>
          <w:sz w:val="20"/>
        </w:rPr>
        <w:t>excused,</w:t>
      </w:r>
      <w:r>
        <w:rPr>
          <w:spacing w:val="-7"/>
          <w:sz w:val="20"/>
        </w:rPr>
        <w:t> </w:t>
      </w:r>
      <w:r>
        <w:rPr>
          <w:sz w:val="20"/>
        </w:rPr>
        <w:t>or</w:t>
      </w:r>
      <w:r>
        <w:rPr>
          <w:spacing w:val="-6"/>
          <w:sz w:val="20"/>
        </w:rPr>
        <w:t> </w:t>
      </w:r>
      <w:r>
        <w:rPr>
          <w:sz w:val="20"/>
        </w:rPr>
        <w:t>the</w:t>
      </w:r>
      <w:r>
        <w:rPr>
          <w:spacing w:val="-6"/>
          <w:sz w:val="20"/>
        </w:rPr>
        <w:t> </w:t>
      </w:r>
      <w:r>
        <w:rPr>
          <w:sz w:val="20"/>
        </w:rPr>
        <w:t>court</w:t>
      </w:r>
      <w:r>
        <w:rPr>
          <w:spacing w:val="-6"/>
          <w:sz w:val="20"/>
        </w:rPr>
        <w:t> </w:t>
      </w:r>
      <w:r>
        <w:rPr>
          <w:spacing w:val="-3"/>
          <w:sz w:val="20"/>
        </w:rPr>
        <w:t>(or</w:t>
      </w:r>
      <w:r>
        <w:rPr>
          <w:spacing w:val="-6"/>
          <w:sz w:val="20"/>
        </w:rPr>
        <w:t> </w:t>
      </w:r>
      <w:r>
        <w:rPr>
          <w:sz w:val="20"/>
        </w:rPr>
        <w:t>Juries</w:t>
      </w:r>
      <w:r>
        <w:rPr>
          <w:spacing w:val="-6"/>
          <w:sz w:val="20"/>
        </w:rPr>
        <w:t> </w:t>
      </w:r>
      <w:r>
        <w:rPr>
          <w:sz w:val="20"/>
        </w:rPr>
        <w:t>Victoria)</w:t>
      </w:r>
      <w:r>
        <w:rPr>
          <w:spacing w:val="-6"/>
          <w:sz w:val="20"/>
        </w:rPr>
        <w:t> </w:t>
      </w:r>
      <w:r>
        <w:rPr>
          <w:sz w:val="20"/>
        </w:rPr>
        <w:t>deems</w:t>
      </w:r>
      <w:r>
        <w:rPr>
          <w:spacing w:val="-6"/>
          <w:sz w:val="20"/>
        </w:rPr>
        <w:t> </w:t>
      </w:r>
      <w:r>
        <w:rPr>
          <w:sz w:val="20"/>
        </w:rPr>
        <w:t>them</w:t>
      </w:r>
      <w:r>
        <w:rPr>
          <w:spacing w:val="-6"/>
          <w:sz w:val="20"/>
        </w:rPr>
        <w:t> </w:t>
      </w:r>
      <w:r>
        <w:rPr>
          <w:sz w:val="20"/>
        </w:rPr>
        <w:t>ineligible</w:t>
      </w:r>
      <w:r>
        <w:rPr>
          <w:spacing w:val="-7"/>
          <w:sz w:val="20"/>
        </w:rPr>
        <w:t> </w:t>
      </w:r>
      <w:r>
        <w:rPr>
          <w:sz w:val="20"/>
        </w:rPr>
        <w:t>to</w:t>
      </w:r>
      <w:r>
        <w:rPr>
          <w:spacing w:val="-6"/>
          <w:sz w:val="20"/>
        </w:rPr>
        <w:t> </w:t>
      </w:r>
      <w:r>
        <w:rPr>
          <w:sz w:val="20"/>
        </w:rPr>
        <w:t>serve.</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Vision Australia noted</w:t>
      </w:r>
      <w:r>
        <w:rPr>
          <w:spacing w:val="-13"/>
          <w:sz w:val="20"/>
        </w:rPr>
        <w:t> </w:t>
      </w:r>
      <w:r>
        <w:rPr>
          <w:sz w:val="20"/>
        </w:rPr>
        <w:t>that:</w:t>
      </w:r>
    </w:p>
    <w:p>
      <w:pPr>
        <w:spacing w:line="208" w:lineRule="auto" w:before="112"/>
        <w:ind w:left="2157" w:right="1258" w:firstLine="0"/>
        <w:jc w:val="both"/>
        <w:rPr>
          <w:sz w:val="11"/>
        </w:rPr>
      </w:pPr>
      <w:r>
        <w:rPr>
          <w:sz w:val="19"/>
        </w:rPr>
        <w:t>When people who are blind or </w:t>
      </w:r>
      <w:r>
        <w:rPr>
          <w:spacing w:val="-3"/>
          <w:sz w:val="19"/>
        </w:rPr>
        <w:t>have low </w:t>
      </w:r>
      <w:r>
        <w:rPr>
          <w:sz w:val="19"/>
        </w:rPr>
        <w:t>vision seek an exemption from jury service, it is</w:t>
      </w:r>
      <w:r>
        <w:rPr>
          <w:spacing w:val="-5"/>
          <w:sz w:val="19"/>
        </w:rPr>
        <w:t> </w:t>
      </w:r>
      <w:r>
        <w:rPr>
          <w:sz w:val="19"/>
        </w:rPr>
        <w:t>most</w:t>
      </w:r>
      <w:r>
        <w:rPr>
          <w:spacing w:val="-4"/>
          <w:sz w:val="19"/>
        </w:rPr>
        <w:t> </w:t>
      </w:r>
      <w:r>
        <w:rPr>
          <w:sz w:val="19"/>
        </w:rPr>
        <w:t>likely</w:t>
      </w:r>
      <w:r>
        <w:rPr>
          <w:spacing w:val="-5"/>
          <w:sz w:val="19"/>
        </w:rPr>
        <w:t> </w:t>
      </w:r>
      <w:r>
        <w:rPr>
          <w:sz w:val="19"/>
        </w:rPr>
        <w:t>because</w:t>
      </w:r>
      <w:r>
        <w:rPr>
          <w:spacing w:val="-4"/>
          <w:sz w:val="19"/>
        </w:rPr>
        <w:t> </w:t>
      </w:r>
      <w:r>
        <w:rPr>
          <w:sz w:val="19"/>
        </w:rPr>
        <w:t>they</w:t>
      </w:r>
      <w:r>
        <w:rPr>
          <w:spacing w:val="-5"/>
          <w:sz w:val="19"/>
        </w:rPr>
        <w:t> </w:t>
      </w:r>
      <w:r>
        <w:rPr>
          <w:sz w:val="19"/>
        </w:rPr>
        <w:t>anticipate</w:t>
      </w:r>
      <w:r>
        <w:rPr>
          <w:spacing w:val="-4"/>
          <w:sz w:val="19"/>
        </w:rPr>
        <w:t> </w:t>
      </w:r>
      <w:r>
        <w:rPr>
          <w:sz w:val="19"/>
        </w:rPr>
        <w:t>that</w:t>
      </w:r>
      <w:r>
        <w:rPr>
          <w:spacing w:val="-5"/>
          <w:sz w:val="19"/>
        </w:rPr>
        <w:t> </w:t>
      </w:r>
      <w:r>
        <w:rPr>
          <w:sz w:val="19"/>
        </w:rPr>
        <w:t>their</w:t>
      </w:r>
      <w:r>
        <w:rPr>
          <w:spacing w:val="-4"/>
          <w:sz w:val="19"/>
        </w:rPr>
        <w:t> </w:t>
      </w:r>
      <w:r>
        <w:rPr>
          <w:sz w:val="19"/>
        </w:rPr>
        <w:t>needs</w:t>
      </w:r>
      <w:r>
        <w:rPr>
          <w:spacing w:val="-5"/>
          <w:sz w:val="19"/>
        </w:rPr>
        <w:t> </w:t>
      </w:r>
      <w:r>
        <w:rPr>
          <w:sz w:val="19"/>
        </w:rPr>
        <w:t>for</w:t>
      </w:r>
      <w:r>
        <w:rPr>
          <w:spacing w:val="-4"/>
          <w:sz w:val="19"/>
        </w:rPr>
        <w:t> </w:t>
      </w:r>
      <w:r>
        <w:rPr>
          <w:sz w:val="19"/>
        </w:rPr>
        <w:t>reasonable</w:t>
      </w:r>
      <w:r>
        <w:rPr>
          <w:spacing w:val="-5"/>
          <w:sz w:val="19"/>
        </w:rPr>
        <w:t> </w:t>
      </w:r>
      <w:r>
        <w:rPr>
          <w:sz w:val="19"/>
        </w:rPr>
        <w:t>adjustments</w:t>
      </w:r>
      <w:r>
        <w:rPr>
          <w:spacing w:val="-4"/>
          <w:sz w:val="19"/>
        </w:rPr>
        <w:t> </w:t>
      </w:r>
      <w:r>
        <w:rPr>
          <w:sz w:val="19"/>
        </w:rPr>
        <w:t>will not be met, and that they will therefore face insurmountable frustrating</w:t>
      </w:r>
      <w:r>
        <w:rPr>
          <w:spacing w:val="-34"/>
          <w:sz w:val="19"/>
        </w:rPr>
        <w:t> </w:t>
      </w:r>
      <w:r>
        <w:rPr>
          <w:sz w:val="19"/>
        </w:rPr>
        <w:t>barriers.</w:t>
      </w:r>
      <w:r>
        <w:rPr>
          <w:position w:val="6"/>
          <w:sz w:val="11"/>
        </w:rPr>
        <w:t>21</w:t>
      </w:r>
    </w:p>
    <w:p>
      <w:pPr>
        <w:pStyle w:val="ListParagraph"/>
        <w:numPr>
          <w:ilvl w:val="1"/>
          <w:numId w:val="12"/>
        </w:numPr>
        <w:tabs>
          <w:tab w:pos="1761" w:val="left" w:leader="none"/>
          <w:tab w:pos="1762" w:val="left" w:leader="none"/>
        </w:tabs>
        <w:spacing w:line="206" w:lineRule="auto" w:before="124" w:after="0"/>
        <w:ind w:left="1761" w:right="1340" w:hanging="794"/>
        <w:jc w:val="left"/>
        <w:rPr>
          <w:sz w:val="11"/>
        </w:rPr>
      </w:pPr>
      <w:r>
        <w:rPr>
          <w:sz w:val="20"/>
        </w:rPr>
        <w:t>Vision</w:t>
      </w:r>
      <w:r>
        <w:rPr>
          <w:spacing w:val="-10"/>
          <w:sz w:val="20"/>
        </w:rPr>
        <w:t> </w:t>
      </w:r>
      <w:r>
        <w:rPr>
          <w:sz w:val="20"/>
        </w:rPr>
        <w:t>Australia</w:t>
      </w:r>
      <w:r>
        <w:rPr>
          <w:spacing w:val="-10"/>
          <w:sz w:val="20"/>
        </w:rPr>
        <w:t> </w:t>
      </w:r>
      <w:r>
        <w:rPr>
          <w:sz w:val="20"/>
        </w:rPr>
        <w:t>concluded</w:t>
      </w:r>
      <w:r>
        <w:rPr>
          <w:spacing w:val="-10"/>
          <w:sz w:val="20"/>
        </w:rPr>
        <w:t> </w:t>
      </w:r>
      <w:r>
        <w:rPr>
          <w:sz w:val="20"/>
        </w:rPr>
        <w:t>that</w:t>
      </w:r>
      <w:r>
        <w:rPr>
          <w:spacing w:val="-9"/>
          <w:sz w:val="20"/>
        </w:rPr>
        <w:t> </w:t>
      </w:r>
      <w:r>
        <w:rPr>
          <w:sz w:val="20"/>
        </w:rPr>
        <w:t>in</w:t>
      </w:r>
      <w:r>
        <w:rPr>
          <w:spacing w:val="-10"/>
          <w:sz w:val="20"/>
        </w:rPr>
        <w:t> </w:t>
      </w:r>
      <w:r>
        <w:rPr>
          <w:sz w:val="20"/>
        </w:rPr>
        <w:t>practice,</w:t>
      </w:r>
      <w:r>
        <w:rPr>
          <w:spacing w:val="-10"/>
          <w:sz w:val="20"/>
        </w:rPr>
        <w:t> </w:t>
      </w:r>
      <w:r>
        <w:rPr>
          <w:sz w:val="20"/>
        </w:rPr>
        <w:t>‘very</w:t>
      </w:r>
      <w:r>
        <w:rPr>
          <w:spacing w:val="-10"/>
          <w:sz w:val="20"/>
        </w:rPr>
        <w:t> </w:t>
      </w:r>
      <w:r>
        <w:rPr>
          <w:spacing w:val="-3"/>
          <w:sz w:val="20"/>
        </w:rPr>
        <w:t>few</w:t>
      </w:r>
      <w:r>
        <w:rPr>
          <w:spacing w:val="-9"/>
          <w:sz w:val="20"/>
        </w:rPr>
        <w:t> </w:t>
      </w:r>
      <w:r>
        <w:rPr>
          <w:sz w:val="20"/>
        </w:rPr>
        <w:t>people</w:t>
      </w:r>
      <w:r>
        <w:rPr>
          <w:spacing w:val="-10"/>
          <w:sz w:val="20"/>
        </w:rPr>
        <w:t> </w:t>
      </w:r>
      <w:r>
        <w:rPr>
          <w:sz w:val="20"/>
        </w:rPr>
        <w:t>who</w:t>
      </w:r>
      <w:r>
        <w:rPr>
          <w:spacing w:val="-10"/>
          <w:sz w:val="20"/>
        </w:rPr>
        <w:t> </w:t>
      </w:r>
      <w:r>
        <w:rPr>
          <w:spacing w:val="-3"/>
          <w:sz w:val="20"/>
        </w:rPr>
        <w:t>are</w:t>
      </w:r>
      <w:r>
        <w:rPr>
          <w:spacing w:val="-10"/>
          <w:sz w:val="20"/>
        </w:rPr>
        <w:t> </w:t>
      </w:r>
      <w:r>
        <w:rPr>
          <w:sz w:val="20"/>
        </w:rPr>
        <w:t>blind</w:t>
      </w:r>
      <w:r>
        <w:rPr>
          <w:spacing w:val="-9"/>
          <w:sz w:val="20"/>
        </w:rPr>
        <w:t> </w:t>
      </w:r>
      <w:r>
        <w:rPr>
          <w:sz w:val="20"/>
        </w:rPr>
        <w:t>or</w:t>
      </w:r>
      <w:r>
        <w:rPr>
          <w:spacing w:val="-10"/>
          <w:sz w:val="20"/>
        </w:rPr>
        <w:t> </w:t>
      </w:r>
      <w:r>
        <w:rPr>
          <w:spacing w:val="-4"/>
          <w:sz w:val="20"/>
        </w:rPr>
        <w:t>have</w:t>
      </w:r>
      <w:r>
        <w:rPr>
          <w:spacing w:val="-10"/>
          <w:sz w:val="20"/>
        </w:rPr>
        <w:t> </w:t>
      </w:r>
      <w:r>
        <w:rPr>
          <w:spacing w:val="-4"/>
          <w:sz w:val="20"/>
        </w:rPr>
        <w:t>low </w:t>
      </w:r>
      <w:r>
        <w:rPr>
          <w:sz w:val="20"/>
        </w:rPr>
        <w:t>vision</w:t>
      </w:r>
      <w:r>
        <w:rPr>
          <w:spacing w:val="-6"/>
          <w:sz w:val="20"/>
        </w:rPr>
        <w:t> </w:t>
      </w:r>
      <w:r>
        <w:rPr>
          <w:spacing w:val="-4"/>
          <w:sz w:val="20"/>
        </w:rPr>
        <w:t>have</w:t>
      </w:r>
      <w:r>
        <w:rPr>
          <w:spacing w:val="-6"/>
          <w:sz w:val="20"/>
        </w:rPr>
        <w:t> </w:t>
      </w:r>
      <w:r>
        <w:rPr>
          <w:sz w:val="20"/>
        </w:rPr>
        <w:t>served</w:t>
      </w:r>
      <w:r>
        <w:rPr>
          <w:spacing w:val="-5"/>
          <w:sz w:val="20"/>
        </w:rPr>
        <w:t> </w:t>
      </w:r>
      <w:r>
        <w:rPr>
          <w:sz w:val="20"/>
        </w:rPr>
        <w:t>on</w:t>
      </w:r>
      <w:r>
        <w:rPr>
          <w:spacing w:val="-6"/>
          <w:sz w:val="20"/>
        </w:rPr>
        <w:t> </w:t>
      </w:r>
      <w:r>
        <w:rPr>
          <w:sz w:val="20"/>
        </w:rPr>
        <w:t>juries</w:t>
      </w:r>
      <w:r>
        <w:rPr>
          <w:spacing w:val="-5"/>
          <w:sz w:val="20"/>
        </w:rPr>
        <w:t> </w:t>
      </w:r>
      <w:r>
        <w:rPr>
          <w:sz w:val="20"/>
        </w:rPr>
        <w:t>anywhere</w:t>
      </w:r>
      <w:r>
        <w:rPr>
          <w:spacing w:val="-6"/>
          <w:sz w:val="20"/>
        </w:rPr>
        <w:t> </w:t>
      </w:r>
      <w:r>
        <w:rPr>
          <w:sz w:val="20"/>
        </w:rPr>
        <w:t>in</w:t>
      </w:r>
      <w:r>
        <w:rPr>
          <w:spacing w:val="-5"/>
          <w:sz w:val="20"/>
        </w:rPr>
        <w:t> </w:t>
      </w:r>
      <w:r>
        <w:rPr>
          <w:sz w:val="20"/>
        </w:rPr>
        <w:t>Australia</w:t>
      </w:r>
      <w:r>
        <w:rPr>
          <w:spacing w:val="-6"/>
          <w:sz w:val="20"/>
        </w:rPr>
        <w:t> </w:t>
      </w:r>
      <w:r>
        <w:rPr>
          <w:sz w:val="20"/>
        </w:rPr>
        <w:t>during</w:t>
      </w:r>
      <w:r>
        <w:rPr>
          <w:spacing w:val="-5"/>
          <w:sz w:val="20"/>
        </w:rPr>
        <w:t> </w:t>
      </w:r>
      <w:r>
        <w:rPr>
          <w:sz w:val="20"/>
        </w:rPr>
        <w:t>the</w:t>
      </w:r>
      <w:r>
        <w:rPr>
          <w:spacing w:val="-6"/>
          <w:sz w:val="20"/>
        </w:rPr>
        <w:t> </w:t>
      </w:r>
      <w:r>
        <w:rPr>
          <w:sz w:val="20"/>
        </w:rPr>
        <w:t>last</w:t>
      </w:r>
      <w:r>
        <w:rPr>
          <w:spacing w:val="-5"/>
          <w:sz w:val="20"/>
        </w:rPr>
        <w:t> </w:t>
      </w:r>
      <w:r>
        <w:rPr>
          <w:sz w:val="20"/>
        </w:rPr>
        <w:t>30</w:t>
      </w:r>
      <w:r>
        <w:rPr>
          <w:spacing w:val="-6"/>
          <w:sz w:val="20"/>
        </w:rPr>
        <w:t> </w:t>
      </w:r>
      <w:r>
        <w:rPr>
          <w:spacing w:val="-3"/>
          <w:sz w:val="20"/>
        </w:rPr>
        <w:t>years’.</w:t>
      </w:r>
      <w:r>
        <w:rPr>
          <w:spacing w:val="-3"/>
          <w:position w:val="7"/>
          <w:sz w:val="11"/>
        </w:rPr>
        <w:t>22</w:t>
      </w:r>
    </w:p>
    <w:p>
      <w:pPr>
        <w:pStyle w:val="ListParagraph"/>
        <w:numPr>
          <w:ilvl w:val="1"/>
          <w:numId w:val="12"/>
        </w:numPr>
        <w:tabs>
          <w:tab w:pos="1761" w:val="left" w:leader="none"/>
          <w:tab w:pos="1762" w:val="left" w:leader="none"/>
        </w:tabs>
        <w:spacing w:line="206" w:lineRule="auto" w:before="123" w:after="0"/>
        <w:ind w:left="1761" w:right="1228" w:hanging="794"/>
        <w:jc w:val="left"/>
        <w:rPr>
          <w:sz w:val="11"/>
        </w:rPr>
      </w:pPr>
      <w:r>
        <w:rPr>
          <w:sz w:val="20"/>
        </w:rPr>
        <w:t>People</w:t>
      </w:r>
      <w:r>
        <w:rPr>
          <w:spacing w:val="-10"/>
          <w:sz w:val="20"/>
        </w:rPr>
        <w:t> </w:t>
      </w:r>
      <w:r>
        <w:rPr>
          <w:sz w:val="20"/>
        </w:rPr>
        <w:t>in</w:t>
      </w:r>
      <w:r>
        <w:rPr>
          <w:spacing w:val="-9"/>
          <w:sz w:val="20"/>
        </w:rPr>
        <w:t> </w:t>
      </w:r>
      <w:r>
        <w:rPr>
          <w:sz w:val="20"/>
        </w:rPr>
        <w:t>the</w:t>
      </w:r>
      <w:r>
        <w:rPr>
          <w:spacing w:val="-10"/>
          <w:sz w:val="20"/>
        </w:rPr>
        <w:t> </w:t>
      </w:r>
      <w:r>
        <w:rPr>
          <w:sz w:val="20"/>
        </w:rPr>
        <w:t>subject</w:t>
      </w:r>
      <w:r>
        <w:rPr>
          <w:spacing w:val="-9"/>
          <w:sz w:val="20"/>
        </w:rPr>
        <w:t> </w:t>
      </w:r>
      <w:r>
        <w:rPr>
          <w:sz w:val="20"/>
        </w:rPr>
        <w:t>groups</w:t>
      </w:r>
      <w:r>
        <w:rPr>
          <w:spacing w:val="-10"/>
          <w:sz w:val="20"/>
        </w:rPr>
        <w:t> </w:t>
      </w:r>
      <w:r>
        <w:rPr>
          <w:spacing w:val="-3"/>
          <w:sz w:val="20"/>
        </w:rPr>
        <w:t>are</w:t>
      </w:r>
      <w:r>
        <w:rPr>
          <w:spacing w:val="-9"/>
          <w:sz w:val="20"/>
        </w:rPr>
        <w:t> </w:t>
      </w:r>
      <w:r>
        <w:rPr>
          <w:sz w:val="20"/>
        </w:rPr>
        <w:t>generally</w:t>
      </w:r>
      <w:r>
        <w:rPr>
          <w:spacing w:val="-10"/>
          <w:sz w:val="20"/>
        </w:rPr>
        <w:t> </w:t>
      </w:r>
      <w:r>
        <w:rPr>
          <w:spacing w:val="-3"/>
          <w:sz w:val="20"/>
        </w:rPr>
        <w:t>excused</w:t>
      </w:r>
      <w:r>
        <w:rPr>
          <w:spacing w:val="-9"/>
          <w:sz w:val="20"/>
        </w:rPr>
        <w:t> </w:t>
      </w:r>
      <w:r>
        <w:rPr>
          <w:spacing w:val="-3"/>
          <w:sz w:val="20"/>
        </w:rPr>
        <w:t>from</w:t>
      </w:r>
      <w:r>
        <w:rPr>
          <w:spacing w:val="-10"/>
          <w:sz w:val="20"/>
        </w:rPr>
        <w:t> </w:t>
      </w:r>
      <w:r>
        <w:rPr>
          <w:sz w:val="20"/>
        </w:rPr>
        <w:t>jury</w:t>
      </w:r>
      <w:r>
        <w:rPr>
          <w:spacing w:val="-9"/>
          <w:sz w:val="20"/>
        </w:rPr>
        <w:t> </w:t>
      </w:r>
      <w:r>
        <w:rPr>
          <w:sz w:val="20"/>
        </w:rPr>
        <w:t>service</w:t>
      </w:r>
      <w:r>
        <w:rPr>
          <w:spacing w:val="-10"/>
          <w:sz w:val="20"/>
        </w:rPr>
        <w:t> </w:t>
      </w:r>
      <w:r>
        <w:rPr>
          <w:sz w:val="20"/>
        </w:rPr>
        <w:t>in</w:t>
      </w:r>
      <w:r>
        <w:rPr>
          <w:spacing w:val="-9"/>
          <w:sz w:val="20"/>
        </w:rPr>
        <w:t> </w:t>
      </w:r>
      <w:r>
        <w:rPr>
          <w:sz w:val="20"/>
        </w:rPr>
        <w:t>response</w:t>
      </w:r>
      <w:r>
        <w:rPr>
          <w:spacing w:val="-10"/>
          <w:sz w:val="20"/>
        </w:rPr>
        <w:t> </w:t>
      </w:r>
      <w:r>
        <w:rPr>
          <w:sz w:val="20"/>
        </w:rPr>
        <w:t>to</w:t>
      </w:r>
      <w:r>
        <w:rPr>
          <w:spacing w:val="-9"/>
          <w:sz w:val="20"/>
        </w:rPr>
        <w:t> </w:t>
      </w:r>
      <w:r>
        <w:rPr>
          <w:sz w:val="20"/>
        </w:rPr>
        <w:t>the questionnaire (the jury eligibility form) at the earliest stage of the selection process. A handful of people </w:t>
      </w:r>
      <w:r>
        <w:rPr>
          <w:spacing w:val="-3"/>
          <w:sz w:val="20"/>
        </w:rPr>
        <w:t>are excused </w:t>
      </w:r>
      <w:r>
        <w:rPr>
          <w:spacing w:val="-4"/>
          <w:sz w:val="20"/>
        </w:rPr>
        <w:t>later, </w:t>
      </w:r>
      <w:r>
        <w:rPr>
          <w:sz w:val="20"/>
        </w:rPr>
        <w:t>in response to the</w:t>
      </w:r>
      <w:r>
        <w:rPr>
          <w:spacing w:val="-37"/>
          <w:sz w:val="20"/>
        </w:rPr>
        <w:t> </w:t>
      </w:r>
      <w:r>
        <w:rPr>
          <w:sz w:val="20"/>
        </w:rPr>
        <w:t>summons.</w:t>
      </w:r>
      <w:r>
        <w:rPr>
          <w:position w:val="7"/>
          <w:sz w:val="11"/>
        </w:rPr>
        <w:t>23</w:t>
      </w:r>
    </w:p>
    <w:p>
      <w:pPr>
        <w:pStyle w:val="ListParagraph"/>
        <w:numPr>
          <w:ilvl w:val="1"/>
          <w:numId w:val="12"/>
        </w:numPr>
        <w:tabs>
          <w:tab w:pos="1761" w:val="left" w:leader="none"/>
          <w:tab w:pos="1762" w:val="left" w:leader="none"/>
        </w:tabs>
        <w:spacing w:line="206" w:lineRule="auto" w:before="123" w:after="0"/>
        <w:ind w:left="1761" w:right="1346" w:hanging="794"/>
        <w:jc w:val="left"/>
        <w:rPr>
          <w:sz w:val="11"/>
        </w:rPr>
      </w:pPr>
      <w:r>
        <w:rPr>
          <w:sz w:val="20"/>
        </w:rPr>
        <w:t>The </w:t>
      </w:r>
      <w:r>
        <w:rPr>
          <w:spacing w:val="-3"/>
          <w:sz w:val="20"/>
        </w:rPr>
        <w:t>current </w:t>
      </w:r>
      <w:r>
        <w:rPr>
          <w:sz w:val="20"/>
        </w:rPr>
        <w:t>jury selection forms do not ask for information about disability or enquire what</w:t>
      </w:r>
      <w:r>
        <w:rPr>
          <w:spacing w:val="-11"/>
          <w:sz w:val="20"/>
        </w:rPr>
        <w:t> </w:t>
      </w:r>
      <w:r>
        <w:rPr>
          <w:sz w:val="20"/>
        </w:rPr>
        <w:t>adjustments</w:t>
      </w:r>
      <w:r>
        <w:rPr>
          <w:spacing w:val="-10"/>
          <w:sz w:val="20"/>
        </w:rPr>
        <w:t> </w:t>
      </w:r>
      <w:r>
        <w:rPr>
          <w:sz w:val="20"/>
        </w:rPr>
        <w:t>might</w:t>
      </w:r>
      <w:r>
        <w:rPr>
          <w:spacing w:val="-11"/>
          <w:sz w:val="20"/>
        </w:rPr>
        <w:t> </w:t>
      </w:r>
      <w:r>
        <w:rPr>
          <w:sz w:val="20"/>
        </w:rPr>
        <w:t>assist</w:t>
      </w:r>
      <w:r>
        <w:rPr>
          <w:spacing w:val="-10"/>
          <w:sz w:val="20"/>
        </w:rPr>
        <w:t> </w:t>
      </w:r>
      <w:r>
        <w:rPr>
          <w:sz w:val="20"/>
        </w:rPr>
        <w:t>people</w:t>
      </w:r>
      <w:r>
        <w:rPr>
          <w:spacing w:val="-11"/>
          <w:sz w:val="20"/>
        </w:rPr>
        <w:t> </w:t>
      </w:r>
      <w:r>
        <w:rPr>
          <w:sz w:val="20"/>
        </w:rPr>
        <w:t>to</w:t>
      </w:r>
      <w:r>
        <w:rPr>
          <w:spacing w:val="-10"/>
          <w:sz w:val="20"/>
        </w:rPr>
        <w:t> </w:t>
      </w:r>
      <w:r>
        <w:rPr>
          <w:sz w:val="20"/>
        </w:rPr>
        <w:t>serve.</w:t>
      </w:r>
      <w:r>
        <w:rPr>
          <w:position w:val="7"/>
          <w:sz w:val="11"/>
        </w:rPr>
        <w:t>24</w:t>
      </w:r>
      <w:r>
        <w:rPr>
          <w:spacing w:val="14"/>
          <w:position w:val="7"/>
          <w:sz w:val="11"/>
        </w:rPr>
        <w:t> </w:t>
      </w:r>
      <w:r>
        <w:rPr>
          <w:sz w:val="20"/>
        </w:rPr>
        <w:t>The</w:t>
      </w:r>
      <w:r>
        <w:rPr>
          <w:spacing w:val="-11"/>
          <w:sz w:val="20"/>
        </w:rPr>
        <w:t> </w:t>
      </w:r>
      <w:r>
        <w:rPr>
          <w:sz w:val="20"/>
        </w:rPr>
        <w:t>questionnaire</w:t>
      </w:r>
      <w:r>
        <w:rPr>
          <w:spacing w:val="-10"/>
          <w:sz w:val="20"/>
        </w:rPr>
        <w:t> </w:t>
      </w:r>
      <w:r>
        <w:rPr>
          <w:spacing w:val="-3"/>
          <w:sz w:val="20"/>
        </w:rPr>
        <w:t>only</w:t>
      </w:r>
      <w:r>
        <w:rPr>
          <w:spacing w:val="-10"/>
          <w:sz w:val="20"/>
        </w:rPr>
        <w:t> </w:t>
      </w:r>
      <w:r>
        <w:rPr>
          <w:sz w:val="20"/>
        </w:rPr>
        <w:t>asks</w:t>
      </w:r>
      <w:r>
        <w:rPr>
          <w:spacing w:val="-11"/>
          <w:sz w:val="20"/>
        </w:rPr>
        <w:t> </w:t>
      </w:r>
      <w:r>
        <w:rPr>
          <w:sz w:val="20"/>
        </w:rPr>
        <w:t>whether a person wishes to be permanently </w:t>
      </w:r>
      <w:r>
        <w:rPr>
          <w:spacing w:val="-3"/>
          <w:sz w:val="20"/>
        </w:rPr>
        <w:t>excused </w:t>
      </w:r>
      <w:r>
        <w:rPr>
          <w:sz w:val="20"/>
        </w:rPr>
        <w:t>due to advanced age or medical reasons, or </w:t>
      </w:r>
      <w:r>
        <w:rPr>
          <w:spacing w:val="-3"/>
          <w:sz w:val="20"/>
        </w:rPr>
        <w:t>excused </w:t>
      </w:r>
      <w:r>
        <w:rPr>
          <w:sz w:val="20"/>
        </w:rPr>
        <w:t>on a particular occasion for medical reasons.</w:t>
      </w:r>
      <w:r>
        <w:rPr>
          <w:position w:val="7"/>
          <w:sz w:val="11"/>
        </w:rPr>
        <w:t>25 </w:t>
      </w:r>
      <w:r>
        <w:rPr>
          <w:sz w:val="20"/>
        </w:rPr>
        <w:t>The Commission understands</w:t>
      </w:r>
      <w:r>
        <w:rPr>
          <w:spacing w:val="-11"/>
          <w:sz w:val="20"/>
        </w:rPr>
        <w:t> </w:t>
      </w:r>
      <w:r>
        <w:rPr>
          <w:sz w:val="20"/>
        </w:rPr>
        <w:t>that</w:t>
      </w:r>
      <w:r>
        <w:rPr>
          <w:spacing w:val="-11"/>
          <w:sz w:val="20"/>
        </w:rPr>
        <w:t> </w:t>
      </w:r>
      <w:r>
        <w:rPr>
          <w:sz w:val="20"/>
        </w:rPr>
        <w:t>most</w:t>
      </w:r>
      <w:r>
        <w:rPr>
          <w:spacing w:val="-11"/>
          <w:sz w:val="20"/>
        </w:rPr>
        <w:t> </w:t>
      </w:r>
      <w:r>
        <w:rPr>
          <w:sz w:val="20"/>
        </w:rPr>
        <w:t>people</w:t>
      </w:r>
      <w:r>
        <w:rPr>
          <w:spacing w:val="-11"/>
          <w:sz w:val="20"/>
        </w:rPr>
        <w:t> </w:t>
      </w:r>
      <w:r>
        <w:rPr>
          <w:sz w:val="20"/>
        </w:rPr>
        <w:t>in</w:t>
      </w:r>
      <w:r>
        <w:rPr>
          <w:spacing w:val="-10"/>
          <w:sz w:val="20"/>
        </w:rPr>
        <w:t> </w:t>
      </w:r>
      <w:r>
        <w:rPr>
          <w:sz w:val="20"/>
        </w:rPr>
        <w:t>the</w:t>
      </w:r>
      <w:r>
        <w:rPr>
          <w:spacing w:val="-11"/>
          <w:sz w:val="20"/>
        </w:rPr>
        <w:t> </w:t>
      </w:r>
      <w:r>
        <w:rPr>
          <w:sz w:val="20"/>
        </w:rPr>
        <w:t>subject</w:t>
      </w:r>
      <w:r>
        <w:rPr>
          <w:spacing w:val="-11"/>
          <w:sz w:val="20"/>
        </w:rPr>
        <w:t> </w:t>
      </w:r>
      <w:r>
        <w:rPr>
          <w:sz w:val="20"/>
        </w:rPr>
        <w:t>groups</w:t>
      </w:r>
      <w:r>
        <w:rPr>
          <w:spacing w:val="-11"/>
          <w:sz w:val="20"/>
        </w:rPr>
        <w:t> </w:t>
      </w:r>
      <w:r>
        <w:rPr>
          <w:sz w:val="20"/>
        </w:rPr>
        <w:t>identify</w:t>
      </w:r>
      <w:r>
        <w:rPr>
          <w:spacing w:val="-11"/>
          <w:sz w:val="20"/>
        </w:rPr>
        <w:t> </w:t>
      </w:r>
      <w:r>
        <w:rPr>
          <w:sz w:val="20"/>
        </w:rPr>
        <w:t>that</w:t>
      </w:r>
      <w:r>
        <w:rPr>
          <w:spacing w:val="-10"/>
          <w:sz w:val="20"/>
        </w:rPr>
        <w:t> </w:t>
      </w:r>
      <w:r>
        <w:rPr>
          <w:sz w:val="20"/>
        </w:rPr>
        <w:t>they</w:t>
      </w:r>
      <w:r>
        <w:rPr>
          <w:spacing w:val="-11"/>
          <w:sz w:val="20"/>
        </w:rPr>
        <w:t> </w:t>
      </w:r>
      <w:r>
        <w:rPr>
          <w:spacing w:val="-4"/>
          <w:sz w:val="20"/>
        </w:rPr>
        <w:t>have</w:t>
      </w:r>
      <w:r>
        <w:rPr>
          <w:spacing w:val="-11"/>
          <w:sz w:val="20"/>
        </w:rPr>
        <w:t> </w:t>
      </w:r>
      <w:r>
        <w:rPr>
          <w:sz w:val="20"/>
        </w:rPr>
        <w:t>a</w:t>
      </w:r>
      <w:r>
        <w:rPr>
          <w:spacing w:val="-11"/>
          <w:sz w:val="20"/>
        </w:rPr>
        <w:t> </w:t>
      </w:r>
      <w:r>
        <w:rPr>
          <w:sz w:val="20"/>
        </w:rPr>
        <w:t>disability in the ‘medical </w:t>
      </w:r>
      <w:r>
        <w:rPr>
          <w:spacing w:val="-3"/>
          <w:sz w:val="20"/>
        </w:rPr>
        <w:t>reasons’ </w:t>
      </w:r>
      <w:r>
        <w:rPr>
          <w:sz w:val="20"/>
        </w:rPr>
        <w:t>section of the form, and generally raise the issue of disability </w:t>
      </w:r>
      <w:r>
        <w:rPr>
          <w:spacing w:val="-3"/>
          <w:sz w:val="20"/>
        </w:rPr>
        <w:t>themselves </w:t>
      </w:r>
      <w:r>
        <w:rPr>
          <w:sz w:val="20"/>
        </w:rPr>
        <w:t>with Juries</w:t>
      </w:r>
      <w:r>
        <w:rPr>
          <w:spacing w:val="-10"/>
          <w:sz w:val="20"/>
        </w:rPr>
        <w:t> </w:t>
      </w:r>
      <w:r>
        <w:rPr>
          <w:sz w:val="20"/>
        </w:rPr>
        <w:t>Victoria.</w:t>
      </w:r>
      <w:r>
        <w:rPr>
          <w:position w:val="7"/>
          <w:sz w:val="11"/>
        </w:rPr>
        <w:t>26</w:t>
      </w:r>
    </w:p>
    <w:p>
      <w:pPr>
        <w:pStyle w:val="ListParagraph"/>
        <w:numPr>
          <w:ilvl w:val="1"/>
          <w:numId w:val="12"/>
        </w:numPr>
        <w:tabs>
          <w:tab w:pos="1761" w:val="left" w:leader="none"/>
          <w:tab w:pos="1762" w:val="left" w:leader="none"/>
        </w:tabs>
        <w:spacing w:line="206" w:lineRule="auto" w:before="129" w:after="0"/>
        <w:ind w:left="1761" w:right="1283" w:hanging="794"/>
        <w:jc w:val="left"/>
        <w:rPr>
          <w:sz w:val="11"/>
        </w:rPr>
      </w:pPr>
      <w:r>
        <w:rPr>
          <w:sz w:val="20"/>
        </w:rPr>
        <w:t>Juries Victoria responds to these requests on a case-by-case basis. It often speaks with the person via an </w:t>
      </w:r>
      <w:r>
        <w:rPr>
          <w:spacing w:val="-3"/>
          <w:sz w:val="20"/>
        </w:rPr>
        <w:t>interpreter </w:t>
      </w:r>
      <w:r>
        <w:rPr>
          <w:sz w:val="20"/>
        </w:rPr>
        <w:t>service or on the phone to discuss the expectation the</w:t>
      </w:r>
      <w:r>
        <w:rPr>
          <w:spacing w:val="-11"/>
          <w:sz w:val="20"/>
        </w:rPr>
        <w:t> </w:t>
      </w:r>
      <w:r>
        <w:rPr>
          <w:sz w:val="20"/>
        </w:rPr>
        <w:t>courts</w:t>
      </w:r>
      <w:r>
        <w:rPr>
          <w:spacing w:val="-10"/>
          <w:sz w:val="20"/>
        </w:rPr>
        <w:t> </w:t>
      </w:r>
      <w:r>
        <w:rPr>
          <w:spacing w:val="-4"/>
          <w:sz w:val="20"/>
        </w:rPr>
        <w:t>have</w:t>
      </w:r>
      <w:r>
        <w:rPr>
          <w:spacing w:val="-11"/>
          <w:sz w:val="20"/>
        </w:rPr>
        <w:t> </w:t>
      </w:r>
      <w:r>
        <w:rPr>
          <w:sz w:val="20"/>
        </w:rPr>
        <w:t>of</w:t>
      </w:r>
      <w:r>
        <w:rPr>
          <w:spacing w:val="-10"/>
          <w:sz w:val="20"/>
        </w:rPr>
        <w:t> </w:t>
      </w:r>
      <w:r>
        <w:rPr>
          <w:sz w:val="20"/>
        </w:rPr>
        <w:t>jurors</w:t>
      </w:r>
      <w:r>
        <w:rPr>
          <w:spacing w:val="-10"/>
          <w:sz w:val="20"/>
        </w:rPr>
        <w:t> </w:t>
      </w:r>
      <w:r>
        <w:rPr>
          <w:sz w:val="20"/>
        </w:rPr>
        <w:t>and</w:t>
      </w:r>
      <w:r>
        <w:rPr>
          <w:spacing w:val="-11"/>
          <w:sz w:val="20"/>
        </w:rPr>
        <w:t> </w:t>
      </w:r>
      <w:r>
        <w:rPr>
          <w:sz w:val="20"/>
        </w:rPr>
        <w:t>the</w:t>
      </w:r>
      <w:r>
        <w:rPr>
          <w:spacing w:val="-10"/>
          <w:sz w:val="20"/>
        </w:rPr>
        <w:t> </w:t>
      </w:r>
      <w:r>
        <w:rPr>
          <w:sz w:val="20"/>
        </w:rPr>
        <w:t>person’s</w:t>
      </w:r>
      <w:r>
        <w:rPr>
          <w:spacing w:val="-11"/>
          <w:sz w:val="20"/>
        </w:rPr>
        <w:t> </w:t>
      </w:r>
      <w:r>
        <w:rPr>
          <w:sz w:val="20"/>
        </w:rPr>
        <w:t>concerns.</w:t>
      </w:r>
      <w:r>
        <w:rPr>
          <w:spacing w:val="-10"/>
          <w:sz w:val="20"/>
        </w:rPr>
        <w:t> </w:t>
      </w:r>
      <w:r>
        <w:rPr>
          <w:sz w:val="20"/>
        </w:rPr>
        <w:t>Sometimes</w:t>
      </w:r>
      <w:r>
        <w:rPr>
          <w:spacing w:val="-10"/>
          <w:sz w:val="20"/>
        </w:rPr>
        <w:t> </w:t>
      </w:r>
      <w:r>
        <w:rPr>
          <w:sz w:val="20"/>
        </w:rPr>
        <w:t>a</w:t>
      </w:r>
      <w:r>
        <w:rPr>
          <w:spacing w:val="-11"/>
          <w:sz w:val="20"/>
        </w:rPr>
        <w:t> </w:t>
      </w:r>
      <w:r>
        <w:rPr>
          <w:sz w:val="20"/>
        </w:rPr>
        <w:t>medical</w:t>
      </w:r>
      <w:r>
        <w:rPr>
          <w:spacing w:val="-10"/>
          <w:sz w:val="20"/>
        </w:rPr>
        <w:t> </w:t>
      </w:r>
      <w:r>
        <w:rPr>
          <w:sz w:val="20"/>
        </w:rPr>
        <w:t>certificate</w:t>
      </w:r>
      <w:r>
        <w:rPr>
          <w:spacing w:val="-11"/>
          <w:sz w:val="20"/>
        </w:rPr>
        <w:t> </w:t>
      </w:r>
      <w:r>
        <w:rPr>
          <w:sz w:val="20"/>
        </w:rPr>
        <w:t>is </w:t>
      </w:r>
      <w:r>
        <w:rPr>
          <w:spacing w:val="-3"/>
          <w:sz w:val="20"/>
        </w:rPr>
        <w:t>required</w:t>
      </w:r>
      <w:r>
        <w:rPr>
          <w:spacing w:val="-5"/>
          <w:sz w:val="20"/>
        </w:rPr>
        <w:t> </w:t>
      </w:r>
      <w:r>
        <w:rPr>
          <w:sz w:val="20"/>
        </w:rPr>
        <w:t>to</w:t>
      </w:r>
      <w:r>
        <w:rPr>
          <w:spacing w:val="-5"/>
          <w:sz w:val="20"/>
        </w:rPr>
        <w:t> </w:t>
      </w:r>
      <w:r>
        <w:rPr>
          <w:sz w:val="20"/>
        </w:rPr>
        <w:t>support</w:t>
      </w:r>
      <w:r>
        <w:rPr>
          <w:spacing w:val="-4"/>
          <w:sz w:val="20"/>
        </w:rPr>
        <w:t> </w:t>
      </w:r>
      <w:r>
        <w:rPr>
          <w:sz w:val="20"/>
        </w:rPr>
        <w:t>a</w:t>
      </w:r>
      <w:r>
        <w:rPr>
          <w:spacing w:val="-5"/>
          <w:sz w:val="20"/>
        </w:rPr>
        <w:t> </w:t>
      </w:r>
      <w:r>
        <w:rPr>
          <w:sz w:val="20"/>
        </w:rPr>
        <w:t>request</w:t>
      </w:r>
      <w:r>
        <w:rPr>
          <w:spacing w:val="-5"/>
          <w:sz w:val="20"/>
        </w:rPr>
        <w:t> </w:t>
      </w:r>
      <w:r>
        <w:rPr>
          <w:sz w:val="20"/>
        </w:rPr>
        <w:t>to</w:t>
      </w:r>
      <w:r>
        <w:rPr>
          <w:spacing w:val="-4"/>
          <w:sz w:val="20"/>
        </w:rPr>
        <w:t> </w:t>
      </w:r>
      <w:r>
        <w:rPr>
          <w:sz w:val="20"/>
        </w:rPr>
        <w:t>be</w:t>
      </w:r>
      <w:r>
        <w:rPr>
          <w:spacing w:val="-5"/>
          <w:sz w:val="20"/>
        </w:rPr>
        <w:t> </w:t>
      </w:r>
      <w:r>
        <w:rPr>
          <w:spacing w:val="-3"/>
          <w:sz w:val="20"/>
        </w:rPr>
        <w:t>excused</w:t>
      </w:r>
      <w:r>
        <w:rPr>
          <w:spacing w:val="-5"/>
          <w:sz w:val="20"/>
        </w:rPr>
        <w:t> </w:t>
      </w:r>
      <w:r>
        <w:rPr>
          <w:sz w:val="20"/>
        </w:rPr>
        <w:t>because</w:t>
      </w:r>
      <w:r>
        <w:rPr>
          <w:spacing w:val="-4"/>
          <w:sz w:val="20"/>
        </w:rPr>
        <w:t> </w:t>
      </w:r>
      <w:r>
        <w:rPr>
          <w:sz w:val="20"/>
        </w:rPr>
        <w:t>of</w:t>
      </w:r>
      <w:r>
        <w:rPr>
          <w:spacing w:val="-5"/>
          <w:sz w:val="20"/>
        </w:rPr>
        <w:t> </w:t>
      </w:r>
      <w:r>
        <w:rPr>
          <w:sz w:val="20"/>
        </w:rPr>
        <w:t>disability.</w:t>
      </w:r>
      <w:r>
        <w:rPr>
          <w:position w:val="7"/>
          <w:sz w:val="11"/>
        </w:rPr>
        <w:t>27</w:t>
      </w:r>
    </w:p>
    <w:p>
      <w:pPr>
        <w:pStyle w:val="BodyText"/>
        <w:spacing w:before="8"/>
        <w:rPr>
          <w:sz w:val="16"/>
        </w:rPr>
      </w:pPr>
    </w:p>
    <w:p>
      <w:pPr>
        <w:spacing w:before="1"/>
        <w:ind w:left="967" w:right="0" w:firstLine="0"/>
        <w:jc w:val="left"/>
        <w:rPr>
          <w:rFonts w:ascii="Raleway ExtraBold"/>
          <w:b/>
          <w:sz w:val="28"/>
        </w:rPr>
      </w:pPr>
      <w:r>
        <w:rPr>
          <w:rFonts w:ascii="Raleway ExtraBold"/>
          <w:b/>
          <w:color w:val="37617A"/>
          <w:sz w:val="28"/>
        </w:rPr>
        <w:t>Removing potential jurors through challenges</w:t>
      </w:r>
    </w:p>
    <w:p>
      <w:pPr>
        <w:pStyle w:val="ListParagraph"/>
        <w:numPr>
          <w:ilvl w:val="1"/>
          <w:numId w:val="12"/>
        </w:numPr>
        <w:tabs>
          <w:tab w:pos="1761" w:val="left" w:leader="none"/>
          <w:tab w:pos="1762" w:val="left" w:leader="none"/>
        </w:tabs>
        <w:spacing w:line="206" w:lineRule="auto" w:before="146" w:after="0"/>
        <w:ind w:left="1761" w:right="1307" w:hanging="794"/>
        <w:jc w:val="left"/>
        <w:rPr>
          <w:sz w:val="20"/>
        </w:rPr>
      </w:pPr>
      <w:r>
        <w:rPr>
          <w:sz w:val="20"/>
        </w:rPr>
        <w:t>The other </w:t>
      </w:r>
      <w:r>
        <w:rPr>
          <w:spacing w:val="-4"/>
          <w:sz w:val="20"/>
        </w:rPr>
        <w:t>way </w:t>
      </w:r>
      <w:r>
        <w:rPr>
          <w:sz w:val="20"/>
        </w:rPr>
        <w:t>that people in the subject groups </w:t>
      </w:r>
      <w:r>
        <w:rPr>
          <w:spacing w:val="-3"/>
          <w:sz w:val="20"/>
        </w:rPr>
        <w:t>may </w:t>
      </w:r>
      <w:r>
        <w:rPr>
          <w:sz w:val="20"/>
        </w:rPr>
        <w:t>be </w:t>
      </w:r>
      <w:r>
        <w:rPr>
          <w:spacing w:val="-3"/>
          <w:sz w:val="20"/>
        </w:rPr>
        <w:t>excluded from </w:t>
      </w:r>
      <w:r>
        <w:rPr>
          <w:sz w:val="20"/>
        </w:rPr>
        <w:t>jury service is through</w:t>
      </w:r>
      <w:r>
        <w:rPr>
          <w:spacing w:val="-10"/>
          <w:sz w:val="20"/>
        </w:rPr>
        <w:t> </w:t>
      </w:r>
      <w:r>
        <w:rPr>
          <w:sz w:val="20"/>
        </w:rPr>
        <w:t>challenges</w:t>
      </w:r>
      <w:r>
        <w:rPr>
          <w:spacing w:val="-10"/>
          <w:sz w:val="20"/>
        </w:rPr>
        <w:t> </w:t>
      </w:r>
      <w:r>
        <w:rPr>
          <w:sz w:val="20"/>
        </w:rPr>
        <w:t>at</w:t>
      </w:r>
      <w:r>
        <w:rPr>
          <w:spacing w:val="-10"/>
          <w:sz w:val="20"/>
        </w:rPr>
        <w:t> </w:t>
      </w:r>
      <w:r>
        <w:rPr>
          <w:sz w:val="20"/>
        </w:rPr>
        <w:t>the</w:t>
      </w:r>
      <w:r>
        <w:rPr>
          <w:spacing w:val="-10"/>
          <w:sz w:val="20"/>
        </w:rPr>
        <w:t> </w:t>
      </w:r>
      <w:r>
        <w:rPr>
          <w:sz w:val="20"/>
        </w:rPr>
        <w:t>end</w:t>
      </w:r>
      <w:r>
        <w:rPr>
          <w:spacing w:val="-10"/>
          <w:sz w:val="20"/>
        </w:rPr>
        <w:t> </w:t>
      </w:r>
      <w:r>
        <w:rPr>
          <w:sz w:val="20"/>
        </w:rPr>
        <w:t>of</w:t>
      </w:r>
      <w:r>
        <w:rPr>
          <w:spacing w:val="-10"/>
          <w:sz w:val="20"/>
        </w:rPr>
        <w:t> </w:t>
      </w:r>
      <w:r>
        <w:rPr>
          <w:sz w:val="20"/>
        </w:rPr>
        <w:t>the</w:t>
      </w:r>
      <w:r>
        <w:rPr>
          <w:spacing w:val="-10"/>
          <w:sz w:val="20"/>
        </w:rPr>
        <w:t> </w:t>
      </w:r>
      <w:r>
        <w:rPr>
          <w:sz w:val="20"/>
        </w:rPr>
        <w:t>jury</w:t>
      </w:r>
      <w:r>
        <w:rPr>
          <w:spacing w:val="-10"/>
          <w:sz w:val="20"/>
        </w:rPr>
        <w:t> </w:t>
      </w:r>
      <w:r>
        <w:rPr>
          <w:sz w:val="20"/>
        </w:rPr>
        <w:t>selection</w:t>
      </w:r>
      <w:r>
        <w:rPr>
          <w:spacing w:val="-10"/>
          <w:sz w:val="20"/>
        </w:rPr>
        <w:t> </w:t>
      </w:r>
      <w:r>
        <w:rPr>
          <w:sz w:val="20"/>
        </w:rPr>
        <w:t>process.</w:t>
      </w:r>
      <w:r>
        <w:rPr>
          <w:spacing w:val="-10"/>
          <w:sz w:val="20"/>
        </w:rPr>
        <w:t> </w:t>
      </w:r>
      <w:r>
        <w:rPr>
          <w:sz w:val="20"/>
        </w:rPr>
        <w:t>A</w:t>
      </w:r>
      <w:r>
        <w:rPr>
          <w:spacing w:val="-10"/>
          <w:sz w:val="20"/>
        </w:rPr>
        <w:t> </w:t>
      </w:r>
      <w:r>
        <w:rPr>
          <w:sz w:val="20"/>
        </w:rPr>
        <w:t>range</w:t>
      </w:r>
      <w:r>
        <w:rPr>
          <w:spacing w:val="-10"/>
          <w:sz w:val="20"/>
        </w:rPr>
        <w:t> </w:t>
      </w:r>
      <w:r>
        <w:rPr>
          <w:sz w:val="20"/>
        </w:rPr>
        <w:t>of</w:t>
      </w:r>
      <w:r>
        <w:rPr>
          <w:spacing w:val="-10"/>
          <w:sz w:val="20"/>
        </w:rPr>
        <w:t> </w:t>
      </w:r>
      <w:r>
        <w:rPr>
          <w:sz w:val="20"/>
        </w:rPr>
        <w:t>challenges</w:t>
      </w:r>
      <w:r>
        <w:rPr>
          <w:spacing w:val="-10"/>
          <w:sz w:val="20"/>
        </w:rPr>
        <w:t> </w:t>
      </w:r>
      <w:r>
        <w:rPr>
          <w:spacing w:val="-3"/>
          <w:sz w:val="20"/>
        </w:rPr>
        <w:t>are available </w:t>
      </w:r>
      <w:r>
        <w:rPr>
          <w:sz w:val="20"/>
        </w:rPr>
        <w:t>in jury trials. The two challenges </w:t>
      </w:r>
      <w:r>
        <w:rPr>
          <w:spacing w:val="-3"/>
          <w:sz w:val="20"/>
        </w:rPr>
        <w:t>we </w:t>
      </w:r>
      <w:r>
        <w:rPr>
          <w:sz w:val="20"/>
        </w:rPr>
        <w:t>consider in this inquiry </w:t>
      </w:r>
      <w:r>
        <w:rPr>
          <w:spacing w:val="-3"/>
          <w:sz w:val="20"/>
        </w:rPr>
        <w:t>are </w:t>
      </w:r>
      <w:r>
        <w:rPr>
          <w:sz w:val="20"/>
        </w:rPr>
        <w:t>‘peremptory </w:t>
      </w:r>
      <w:r>
        <w:rPr>
          <w:spacing w:val="-3"/>
          <w:sz w:val="20"/>
        </w:rPr>
        <w:t>challenges’ </w:t>
      </w:r>
      <w:r>
        <w:rPr>
          <w:sz w:val="20"/>
        </w:rPr>
        <w:t>and ‘stand </w:t>
      </w:r>
      <w:r>
        <w:rPr>
          <w:spacing w:val="-3"/>
          <w:sz w:val="20"/>
        </w:rPr>
        <w:t>asides’.</w:t>
      </w:r>
      <w:r>
        <w:rPr>
          <w:spacing w:val="-3"/>
          <w:position w:val="7"/>
          <w:sz w:val="11"/>
        </w:rPr>
        <w:t>28 </w:t>
      </w:r>
      <w:r>
        <w:rPr>
          <w:sz w:val="20"/>
        </w:rPr>
        <w:t>They </w:t>
      </w:r>
      <w:r>
        <w:rPr>
          <w:spacing w:val="-3"/>
          <w:sz w:val="20"/>
        </w:rPr>
        <w:t>are available </w:t>
      </w:r>
      <w:r>
        <w:rPr>
          <w:sz w:val="20"/>
        </w:rPr>
        <w:t>at the final stage of the selection of the jury (see </w:t>
      </w:r>
      <w:r>
        <w:rPr>
          <w:spacing w:val="-2"/>
          <w:sz w:val="20"/>
        </w:rPr>
        <w:t>Chapter </w:t>
      </w:r>
      <w:r>
        <w:rPr>
          <w:spacing w:val="-5"/>
          <w:sz w:val="20"/>
        </w:rPr>
        <w:t>17). </w:t>
      </w:r>
      <w:r>
        <w:rPr>
          <w:sz w:val="20"/>
        </w:rPr>
        <w:t>Parties and the </w:t>
      </w:r>
      <w:r>
        <w:rPr>
          <w:spacing w:val="-4"/>
          <w:sz w:val="20"/>
        </w:rPr>
        <w:t>Crown </w:t>
      </w:r>
      <w:r>
        <w:rPr>
          <w:sz w:val="20"/>
        </w:rPr>
        <w:t>can challenge potential jurors without giving</w:t>
      </w:r>
      <w:r>
        <w:rPr>
          <w:spacing w:val="-10"/>
          <w:sz w:val="20"/>
        </w:rPr>
        <w:t> </w:t>
      </w:r>
      <w:r>
        <w:rPr>
          <w:sz w:val="20"/>
        </w:rPr>
        <w:t>reasons.</w:t>
      </w:r>
      <w:r>
        <w:rPr>
          <w:spacing w:val="-9"/>
          <w:sz w:val="20"/>
        </w:rPr>
        <w:t> </w:t>
      </w:r>
      <w:r>
        <w:rPr>
          <w:sz w:val="20"/>
        </w:rPr>
        <w:t>These</w:t>
      </w:r>
      <w:r>
        <w:rPr>
          <w:spacing w:val="-10"/>
          <w:sz w:val="20"/>
        </w:rPr>
        <w:t> </w:t>
      </w:r>
      <w:r>
        <w:rPr>
          <w:sz w:val="20"/>
        </w:rPr>
        <w:t>challenges</w:t>
      </w:r>
      <w:r>
        <w:rPr>
          <w:spacing w:val="-9"/>
          <w:sz w:val="20"/>
        </w:rPr>
        <w:t> </w:t>
      </w:r>
      <w:r>
        <w:rPr>
          <w:spacing w:val="-4"/>
          <w:sz w:val="20"/>
        </w:rPr>
        <w:t>prevent</w:t>
      </w:r>
      <w:r>
        <w:rPr>
          <w:spacing w:val="-9"/>
          <w:sz w:val="20"/>
        </w:rPr>
        <w:t> </w:t>
      </w:r>
      <w:r>
        <w:rPr>
          <w:sz w:val="20"/>
        </w:rPr>
        <w:t>a</w:t>
      </w:r>
      <w:r>
        <w:rPr>
          <w:spacing w:val="-10"/>
          <w:sz w:val="20"/>
        </w:rPr>
        <w:t> </w:t>
      </w:r>
      <w:r>
        <w:rPr>
          <w:sz w:val="20"/>
        </w:rPr>
        <w:t>potential</w:t>
      </w:r>
      <w:r>
        <w:rPr>
          <w:spacing w:val="-9"/>
          <w:sz w:val="20"/>
        </w:rPr>
        <w:t> </w:t>
      </w:r>
      <w:r>
        <w:rPr>
          <w:sz w:val="20"/>
        </w:rPr>
        <w:t>juror</w:t>
      </w:r>
      <w:r>
        <w:rPr>
          <w:spacing w:val="-9"/>
          <w:sz w:val="20"/>
        </w:rPr>
        <w:t> </w:t>
      </w:r>
      <w:r>
        <w:rPr>
          <w:spacing w:val="-3"/>
          <w:sz w:val="20"/>
        </w:rPr>
        <w:t>from</w:t>
      </w:r>
      <w:r>
        <w:rPr>
          <w:spacing w:val="-10"/>
          <w:sz w:val="20"/>
        </w:rPr>
        <w:t> </w:t>
      </w:r>
      <w:r>
        <w:rPr>
          <w:sz w:val="20"/>
        </w:rPr>
        <w:t>serving</w:t>
      </w:r>
      <w:r>
        <w:rPr>
          <w:spacing w:val="-9"/>
          <w:sz w:val="20"/>
        </w:rPr>
        <w:t> </w:t>
      </w:r>
      <w:r>
        <w:rPr>
          <w:sz w:val="20"/>
        </w:rPr>
        <w:t>on</w:t>
      </w:r>
      <w:r>
        <w:rPr>
          <w:spacing w:val="-9"/>
          <w:sz w:val="20"/>
        </w:rPr>
        <w:t> </w:t>
      </w:r>
      <w:r>
        <w:rPr>
          <w:sz w:val="20"/>
        </w:rPr>
        <w:t>the</w:t>
      </w:r>
      <w:r>
        <w:rPr>
          <w:spacing w:val="-10"/>
          <w:sz w:val="20"/>
        </w:rPr>
        <w:t> </w:t>
      </w:r>
      <w:r>
        <w:rPr>
          <w:sz w:val="20"/>
        </w:rPr>
        <w:t>trial.</w:t>
      </w:r>
      <w:r>
        <w:rPr>
          <w:spacing w:val="-9"/>
          <w:sz w:val="20"/>
        </w:rPr>
        <w:t> </w:t>
      </w:r>
      <w:r>
        <w:rPr>
          <w:sz w:val="20"/>
        </w:rPr>
        <w:t>If</w:t>
      </w:r>
      <w:r>
        <w:rPr>
          <w:spacing w:val="-9"/>
          <w:sz w:val="20"/>
        </w:rPr>
        <w:t> </w:t>
      </w:r>
      <w:r>
        <w:rPr>
          <w:sz w:val="20"/>
        </w:rPr>
        <w:t>a person</w:t>
      </w:r>
      <w:r>
        <w:rPr>
          <w:spacing w:val="-9"/>
          <w:sz w:val="20"/>
        </w:rPr>
        <w:t> </w:t>
      </w:r>
      <w:r>
        <w:rPr>
          <w:sz w:val="20"/>
        </w:rPr>
        <w:t>is</w:t>
      </w:r>
      <w:r>
        <w:rPr>
          <w:spacing w:val="-8"/>
          <w:sz w:val="20"/>
        </w:rPr>
        <w:t> </w:t>
      </w:r>
      <w:r>
        <w:rPr>
          <w:sz w:val="20"/>
        </w:rPr>
        <w:t>challenged,</w:t>
      </w:r>
      <w:r>
        <w:rPr>
          <w:spacing w:val="-8"/>
          <w:sz w:val="20"/>
        </w:rPr>
        <w:t> </w:t>
      </w:r>
      <w:r>
        <w:rPr>
          <w:sz w:val="20"/>
        </w:rPr>
        <w:t>they</w:t>
      </w:r>
      <w:r>
        <w:rPr>
          <w:spacing w:val="-8"/>
          <w:sz w:val="20"/>
        </w:rPr>
        <w:t> </w:t>
      </w:r>
      <w:r>
        <w:rPr>
          <w:spacing w:val="-3"/>
          <w:sz w:val="20"/>
        </w:rPr>
        <w:t>return</w:t>
      </w:r>
      <w:r>
        <w:rPr>
          <w:spacing w:val="-9"/>
          <w:sz w:val="20"/>
        </w:rPr>
        <w:t> </w:t>
      </w:r>
      <w:r>
        <w:rPr>
          <w:sz w:val="20"/>
        </w:rPr>
        <w:t>to</w:t>
      </w:r>
      <w:r>
        <w:rPr>
          <w:spacing w:val="-8"/>
          <w:sz w:val="20"/>
        </w:rPr>
        <w:t> </w:t>
      </w:r>
      <w:r>
        <w:rPr>
          <w:sz w:val="20"/>
        </w:rPr>
        <w:t>the</w:t>
      </w:r>
      <w:r>
        <w:rPr>
          <w:spacing w:val="-8"/>
          <w:sz w:val="20"/>
        </w:rPr>
        <w:t> </w:t>
      </w:r>
      <w:r>
        <w:rPr>
          <w:sz w:val="20"/>
        </w:rPr>
        <w:t>jury</w:t>
      </w:r>
      <w:r>
        <w:rPr>
          <w:spacing w:val="-8"/>
          <w:sz w:val="20"/>
        </w:rPr>
        <w:t> </w:t>
      </w:r>
      <w:r>
        <w:rPr>
          <w:sz w:val="20"/>
        </w:rPr>
        <w:t>pool</w:t>
      </w:r>
      <w:r>
        <w:rPr>
          <w:spacing w:val="-8"/>
          <w:sz w:val="20"/>
        </w:rPr>
        <w:t> </w:t>
      </w:r>
      <w:r>
        <w:rPr>
          <w:sz w:val="20"/>
        </w:rPr>
        <w:t>and</w:t>
      </w:r>
      <w:r>
        <w:rPr>
          <w:spacing w:val="-9"/>
          <w:sz w:val="20"/>
        </w:rPr>
        <w:t> </w:t>
      </w:r>
      <w:r>
        <w:rPr>
          <w:spacing w:val="-3"/>
          <w:sz w:val="20"/>
        </w:rPr>
        <w:t>may</w:t>
      </w:r>
      <w:r>
        <w:rPr>
          <w:spacing w:val="-8"/>
          <w:sz w:val="20"/>
        </w:rPr>
        <w:t> </w:t>
      </w:r>
      <w:r>
        <w:rPr>
          <w:sz w:val="20"/>
        </w:rPr>
        <w:t>be</w:t>
      </w:r>
      <w:r>
        <w:rPr>
          <w:spacing w:val="-8"/>
          <w:sz w:val="20"/>
        </w:rPr>
        <w:t> </w:t>
      </w:r>
      <w:r>
        <w:rPr>
          <w:sz w:val="20"/>
        </w:rPr>
        <w:t>selected</w:t>
      </w:r>
      <w:r>
        <w:rPr>
          <w:spacing w:val="-8"/>
          <w:sz w:val="20"/>
        </w:rPr>
        <w:t> </w:t>
      </w:r>
      <w:r>
        <w:rPr>
          <w:sz w:val="20"/>
        </w:rPr>
        <w:t>for</w:t>
      </w:r>
      <w:r>
        <w:rPr>
          <w:spacing w:val="-9"/>
          <w:sz w:val="20"/>
        </w:rPr>
        <w:t> </w:t>
      </w:r>
      <w:r>
        <w:rPr>
          <w:sz w:val="20"/>
        </w:rPr>
        <w:t>a</w:t>
      </w:r>
      <w:r>
        <w:rPr>
          <w:spacing w:val="-8"/>
          <w:sz w:val="20"/>
        </w:rPr>
        <w:t> </w:t>
      </w:r>
      <w:r>
        <w:rPr>
          <w:sz w:val="20"/>
        </w:rPr>
        <w:t>panel</w:t>
      </w:r>
      <w:r>
        <w:rPr>
          <w:spacing w:val="-8"/>
          <w:sz w:val="20"/>
        </w:rPr>
        <w:t> </w:t>
      </w:r>
      <w:r>
        <w:rPr>
          <w:sz w:val="20"/>
        </w:rPr>
        <w:t>on</w:t>
      </w:r>
      <w:r>
        <w:rPr>
          <w:spacing w:val="-8"/>
          <w:sz w:val="20"/>
        </w:rPr>
        <w:t> </w:t>
      </w:r>
      <w:r>
        <w:rPr>
          <w:sz w:val="20"/>
        </w:rPr>
        <w:t>a different</w:t>
      </w:r>
      <w:r>
        <w:rPr>
          <w:spacing w:val="-5"/>
          <w:sz w:val="20"/>
        </w:rPr>
        <w:t> </w:t>
      </w:r>
      <w:r>
        <w:rPr>
          <w:sz w:val="20"/>
        </w:rPr>
        <w:t>trial.</w:t>
      </w:r>
    </w:p>
    <w:p>
      <w:pPr>
        <w:pStyle w:val="ListParagraph"/>
        <w:numPr>
          <w:ilvl w:val="1"/>
          <w:numId w:val="12"/>
        </w:numPr>
        <w:tabs>
          <w:tab w:pos="1761" w:val="left" w:leader="none"/>
          <w:tab w:pos="1762" w:val="left" w:leader="none"/>
        </w:tabs>
        <w:spacing w:line="206" w:lineRule="auto" w:before="130" w:after="0"/>
        <w:ind w:left="1761" w:right="1557" w:hanging="794"/>
        <w:jc w:val="left"/>
        <w:rPr>
          <w:sz w:val="11"/>
        </w:rPr>
      </w:pPr>
      <w:r>
        <w:rPr>
          <w:sz w:val="20"/>
        </w:rPr>
        <w:t>Section</w:t>
      </w:r>
      <w:r>
        <w:rPr>
          <w:spacing w:val="-8"/>
          <w:sz w:val="20"/>
        </w:rPr>
        <w:t> </w:t>
      </w:r>
      <w:r>
        <w:rPr>
          <w:spacing w:val="-3"/>
          <w:sz w:val="20"/>
        </w:rPr>
        <w:t>37</w:t>
      </w:r>
      <w:r>
        <w:rPr>
          <w:spacing w:val="-8"/>
          <w:sz w:val="20"/>
        </w:rPr>
        <w:t> </w:t>
      </w:r>
      <w:r>
        <w:rPr>
          <w:sz w:val="20"/>
        </w:rPr>
        <w:t>of</w:t>
      </w:r>
      <w:r>
        <w:rPr>
          <w:spacing w:val="-7"/>
          <w:sz w:val="20"/>
        </w:rPr>
        <w:t> </w:t>
      </w:r>
      <w:r>
        <w:rPr>
          <w:sz w:val="20"/>
        </w:rPr>
        <w:t>the</w:t>
      </w:r>
      <w:r>
        <w:rPr>
          <w:spacing w:val="-8"/>
          <w:sz w:val="20"/>
        </w:rPr>
        <w:t> </w:t>
      </w:r>
      <w:r>
        <w:rPr>
          <w:spacing w:val="-2"/>
          <w:sz w:val="20"/>
        </w:rPr>
        <w:t>Act</w:t>
      </w:r>
      <w:r>
        <w:rPr>
          <w:spacing w:val="-8"/>
          <w:sz w:val="20"/>
        </w:rPr>
        <w:t> </w:t>
      </w:r>
      <w:r>
        <w:rPr>
          <w:sz w:val="20"/>
        </w:rPr>
        <w:t>also</w:t>
      </w:r>
      <w:r>
        <w:rPr>
          <w:spacing w:val="-7"/>
          <w:sz w:val="20"/>
        </w:rPr>
        <w:t> </w:t>
      </w:r>
      <w:r>
        <w:rPr>
          <w:spacing w:val="-3"/>
          <w:sz w:val="20"/>
        </w:rPr>
        <w:t>provides</w:t>
      </w:r>
      <w:r>
        <w:rPr>
          <w:spacing w:val="-8"/>
          <w:sz w:val="20"/>
        </w:rPr>
        <w:t> </w:t>
      </w:r>
      <w:r>
        <w:rPr>
          <w:sz w:val="20"/>
        </w:rPr>
        <w:t>for</w:t>
      </w:r>
      <w:r>
        <w:rPr>
          <w:spacing w:val="-8"/>
          <w:sz w:val="20"/>
        </w:rPr>
        <w:t> </w:t>
      </w:r>
      <w:r>
        <w:rPr>
          <w:sz w:val="20"/>
        </w:rPr>
        <w:t>an</w:t>
      </w:r>
      <w:r>
        <w:rPr>
          <w:spacing w:val="-7"/>
          <w:sz w:val="20"/>
        </w:rPr>
        <w:t> </w:t>
      </w:r>
      <w:r>
        <w:rPr>
          <w:sz w:val="20"/>
        </w:rPr>
        <w:t>unlimited</w:t>
      </w:r>
      <w:r>
        <w:rPr>
          <w:spacing w:val="-8"/>
          <w:sz w:val="20"/>
        </w:rPr>
        <w:t> </w:t>
      </w:r>
      <w:r>
        <w:rPr>
          <w:sz w:val="20"/>
        </w:rPr>
        <w:t>right</w:t>
      </w:r>
      <w:r>
        <w:rPr>
          <w:spacing w:val="-8"/>
          <w:sz w:val="20"/>
        </w:rPr>
        <w:t> </w:t>
      </w:r>
      <w:r>
        <w:rPr>
          <w:sz w:val="20"/>
        </w:rPr>
        <w:t>to</w:t>
      </w:r>
      <w:r>
        <w:rPr>
          <w:spacing w:val="-7"/>
          <w:sz w:val="20"/>
        </w:rPr>
        <w:t> </w:t>
      </w:r>
      <w:r>
        <w:rPr>
          <w:sz w:val="20"/>
        </w:rPr>
        <w:t>‘challenge</w:t>
      </w:r>
      <w:r>
        <w:rPr>
          <w:spacing w:val="-8"/>
          <w:sz w:val="20"/>
        </w:rPr>
        <w:t> </w:t>
      </w:r>
      <w:r>
        <w:rPr>
          <w:sz w:val="20"/>
        </w:rPr>
        <w:t>for</w:t>
      </w:r>
      <w:r>
        <w:rPr>
          <w:spacing w:val="-8"/>
          <w:sz w:val="20"/>
        </w:rPr>
        <w:t> </w:t>
      </w:r>
      <w:r>
        <w:rPr>
          <w:spacing w:val="-2"/>
          <w:sz w:val="20"/>
        </w:rPr>
        <w:t>cause’</w:t>
      </w:r>
      <w:r>
        <w:rPr>
          <w:spacing w:val="-7"/>
          <w:sz w:val="20"/>
        </w:rPr>
        <w:t> </w:t>
      </w:r>
      <w:r>
        <w:rPr>
          <w:sz w:val="20"/>
        </w:rPr>
        <w:t>in</w:t>
      </w:r>
      <w:r>
        <w:rPr>
          <w:spacing w:val="-8"/>
          <w:sz w:val="20"/>
        </w:rPr>
        <w:t> </w:t>
      </w:r>
      <w:r>
        <w:rPr>
          <w:sz w:val="20"/>
        </w:rPr>
        <w:t>a criminal trial. This type of challenge </w:t>
      </w:r>
      <w:r>
        <w:rPr>
          <w:spacing w:val="-3"/>
          <w:sz w:val="20"/>
        </w:rPr>
        <w:t>requires </w:t>
      </w:r>
      <w:r>
        <w:rPr>
          <w:sz w:val="20"/>
        </w:rPr>
        <w:t>a party to </w:t>
      </w:r>
      <w:r>
        <w:rPr>
          <w:spacing w:val="-3"/>
          <w:sz w:val="20"/>
        </w:rPr>
        <w:t>provide </w:t>
      </w:r>
      <w:r>
        <w:rPr>
          <w:sz w:val="20"/>
        </w:rPr>
        <w:t>a reason to the trial judge</w:t>
      </w:r>
      <w:r>
        <w:rPr>
          <w:spacing w:val="-6"/>
          <w:sz w:val="20"/>
        </w:rPr>
        <w:t> </w:t>
      </w:r>
      <w:r>
        <w:rPr>
          <w:sz w:val="20"/>
        </w:rPr>
        <w:t>as</w:t>
      </w:r>
      <w:r>
        <w:rPr>
          <w:spacing w:val="-5"/>
          <w:sz w:val="20"/>
        </w:rPr>
        <w:t> </w:t>
      </w:r>
      <w:r>
        <w:rPr>
          <w:sz w:val="20"/>
        </w:rPr>
        <w:t>to</w:t>
      </w:r>
      <w:r>
        <w:rPr>
          <w:spacing w:val="-6"/>
          <w:sz w:val="20"/>
        </w:rPr>
        <w:t> </w:t>
      </w:r>
      <w:r>
        <w:rPr>
          <w:spacing w:val="-3"/>
          <w:sz w:val="20"/>
        </w:rPr>
        <w:t>why</w:t>
      </w:r>
      <w:r>
        <w:rPr>
          <w:spacing w:val="-5"/>
          <w:sz w:val="20"/>
        </w:rPr>
        <w:t> </w:t>
      </w:r>
      <w:r>
        <w:rPr>
          <w:sz w:val="20"/>
        </w:rPr>
        <w:t>the</w:t>
      </w:r>
      <w:r>
        <w:rPr>
          <w:spacing w:val="-6"/>
          <w:sz w:val="20"/>
        </w:rPr>
        <w:t> </w:t>
      </w:r>
      <w:r>
        <w:rPr>
          <w:sz w:val="20"/>
        </w:rPr>
        <w:t>potential</w:t>
      </w:r>
      <w:r>
        <w:rPr>
          <w:spacing w:val="-5"/>
          <w:sz w:val="20"/>
        </w:rPr>
        <w:t> </w:t>
      </w:r>
      <w:r>
        <w:rPr>
          <w:sz w:val="20"/>
        </w:rPr>
        <w:t>juror</w:t>
      </w:r>
      <w:r>
        <w:rPr>
          <w:spacing w:val="-5"/>
          <w:sz w:val="20"/>
        </w:rPr>
        <w:t> </w:t>
      </w:r>
      <w:r>
        <w:rPr>
          <w:sz w:val="20"/>
        </w:rPr>
        <w:t>should</w:t>
      </w:r>
      <w:r>
        <w:rPr>
          <w:spacing w:val="-6"/>
          <w:sz w:val="20"/>
        </w:rPr>
        <w:t> </w:t>
      </w:r>
      <w:r>
        <w:rPr>
          <w:sz w:val="20"/>
        </w:rPr>
        <w:t>not</w:t>
      </w:r>
      <w:r>
        <w:rPr>
          <w:spacing w:val="-5"/>
          <w:sz w:val="20"/>
        </w:rPr>
        <w:t> </w:t>
      </w:r>
      <w:r>
        <w:rPr>
          <w:sz w:val="20"/>
        </w:rPr>
        <w:t>be</w:t>
      </w:r>
      <w:r>
        <w:rPr>
          <w:spacing w:val="-6"/>
          <w:sz w:val="20"/>
        </w:rPr>
        <w:t> </w:t>
      </w:r>
      <w:r>
        <w:rPr>
          <w:sz w:val="20"/>
        </w:rPr>
        <w:t>a</w:t>
      </w:r>
      <w:r>
        <w:rPr>
          <w:spacing w:val="-5"/>
          <w:sz w:val="20"/>
        </w:rPr>
        <w:t> </w:t>
      </w:r>
      <w:r>
        <w:rPr>
          <w:sz w:val="20"/>
        </w:rPr>
        <w:t>part</w:t>
      </w:r>
      <w:r>
        <w:rPr>
          <w:spacing w:val="-5"/>
          <w:sz w:val="20"/>
        </w:rPr>
        <w:t> </w:t>
      </w:r>
      <w:r>
        <w:rPr>
          <w:sz w:val="20"/>
        </w:rPr>
        <w:t>of</w:t>
      </w:r>
      <w:r>
        <w:rPr>
          <w:spacing w:val="-6"/>
          <w:sz w:val="20"/>
        </w:rPr>
        <w:t> </w:t>
      </w:r>
      <w:r>
        <w:rPr>
          <w:sz w:val="20"/>
        </w:rPr>
        <w:t>the</w:t>
      </w:r>
      <w:r>
        <w:rPr>
          <w:spacing w:val="-5"/>
          <w:sz w:val="20"/>
        </w:rPr>
        <w:t> </w:t>
      </w:r>
      <w:r>
        <w:rPr>
          <w:sz w:val="20"/>
        </w:rPr>
        <w:t>jury.</w:t>
      </w:r>
      <w:r>
        <w:rPr>
          <w:position w:val="7"/>
          <w:sz w:val="11"/>
        </w:rPr>
        <w:t>29</w:t>
      </w:r>
    </w:p>
    <w:p>
      <w:pPr>
        <w:pStyle w:val="BodyText"/>
      </w:pPr>
    </w:p>
    <w:p>
      <w:pPr>
        <w:pStyle w:val="BodyText"/>
      </w:pPr>
    </w:p>
    <w:p>
      <w:pPr>
        <w:pStyle w:val="BodyText"/>
      </w:pPr>
    </w:p>
    <w:p>
      <w:pPr>
        <w:pStyle w:val="BodyText"/>
        <w:spacing w:before="5"/>
        <w:rPr>
          <w:sz w:val="19"/>
        </w:rPr>
      </w:pPr>
      <w:r>
        <w:rPr/>
        <w:pict>
          <v:line style="position:absolute;mso-position-horizontal-relative:page;mso-position-vertical-relative:paragraph;z-index:1472;mso-wrap-distance-left:0;mso-wrap-distance-right:0" from="79.370003pt,15.93424pt" to="515.905003pt,15.93424pt" stroked="true" strokeweight="1pt" strokecolor="#b6bdc8">
            <v:stroke dashstyle="solid"/>
            <w10:wrap type="topAndBottom"/>
          </v:line>
        </w:pict>
      </w:r>
    </w:p>
    <w:p>
      <w:pPr>
        <w:pStyle w:val="ListParagraph"/>
        <w:numPr>
          <w:ilvl w:val="0"/>
          <w:numId w:val="28"/>
        </w:numPr>
        <w:tabs>
          <w:tab w:pos="1760" w:val="left" w:leader="none"/>
          <w:tab w:pos="1762" w:val="left" w:leader="none"/>
        </w:tabs>
        <w:spacing w:line="170" w:lineRule="exact" w:before="91" w:after="0"/>
        <w:ind w:left="1761" w:right="0" w:hanging="794"/>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28"/>
        </w:numPr>
        <w:tabs>
          <w:tab w:pos="1760"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28"/>
        </w:numPr>
        <w:tabs>
          <w:tab w:pos="1761" w:val="left" w:leader="none"/>
          <w:tab w:pos="1762" w:val="left" w:leader="none"/>
        </w:tabs>
        <w:spacing w:line="213" w:lineRule="auto" w:before="6" w:after="0"/>
        <w:ind w:left="1761" w:right="1263" w:hanging="794"/>
        <w:jc w:val="left"/>
        <w:rPr>
          <w:sz w:val="13"/>
        </w:rPr>
      </w:pPr>
      <w:r>
        <w:rPr>
          <w:sz w:val="13"/>
        </w:rPr>
        <w:t>Information provided by Juries Victoria to Victorian Law Reform </w:t>
      </w:r>
      <w:r>
        <w:rPr>
          <w:spacing w:val="2"/>
          <w:sz w:val="13"/>
        </w:rPr>
        <w:t>Commission, </w:t>
      </w:r>
      <w:r>
        <w:rPr>
          <w:sz w:val="13"/>
        </w:rPr>
        <w:t>6 October 2020. Vision Australia commented in </w:t>
      </w:r>
      <w:r>
        <w:rPr>
          <w:spacing w:val="2"/>
          <w:sz w:val="13"/>
        </w:rPr>
        <w:t>its </w:t>
      </w:r>
      <w:r>
        <w:rPr>
          <w:sz w:val="13"/>
        </w:rPr>
        <w:t>submission that when people who are blind or have low vision are summonsed for </w:t>
      </w:r>
      <w:r>
        <w:rPr>
          <w:spacing w:val="2"/>
          <w:sz w:val="13"/>
        </w:rPr>
        <w:t>jury service, </w:t>
      </w:r>
      <w:r>
        <w:rPr>
          <w:sz w:val="13"/>
        </w:rPr>
        <w:t>they </w:t>
      </w:r>
      <w:r>
        <w:rPr>
          <w:spacing w:val="2"/>
          <w:sz w:val="13"/>
        </w:rPr>
        <w:t>either </w:t>
      </w:r>
      <w:r>
        <w:rPr>
          <w:sz w:val="13"/>
        </w:rPr>
        <w:t>seek an exemption at the </w:t>
      </w:r>
      <w:r>
        <w:rPr>
          <w:spacing w:val="2"/>
          <w:sz w:val="13"/>
        </w:rPr>
        <w:t>earliest stage </w:t>
      </w:r>
      <w:r>
        <w:rPr>
          <w:sz w:val="13"/>
        </w:rPr>
        <w:t>of the process, or </w:t>
      </w:r>
      <w:r>
        <w:rPr>
          <w:spacing w:val="2"/>
          <w:sz w:val="13"/>
        </w:rPr>
        <w:t>else </w:t>
      </w:r>
      <w:r>
        <w:rPr>
          <w:sz w:val="13"/>
        </w:rPr>
        <w:t>are excluded or </w:t>
      </w:r>
      <w:r>
        <w:rPr>
          <w:spacing w:val="2"/>
          <w:sz w:val="13"/>
        </w:rPr>
        <w:t>deemed </w:t>
      </w:r>
      <w:r>
        <w:rPr>
          <w:sz w:val="13"/>
        </w:rPr>
        <w:t>ineligible at a later </w:t>
      </w:r>
      <w:r>
        <w:rPr>
          <w:spacing w:val="2"/>
          <w:sz w:val="13"/>
        </w:rPr>
        <w:t>stage. </w:t>
      </w:r>
      <w:r>
        <w:rPr>
          <w:sz w:val="13"/>
        </w:rPr>
        <w:t>Vision Australia noted that ‘it may be that people who have low vision are marginally less likely to be prima facie excluded than people who are blind’: </w:t>
      </w:r>
      <w:r>
        <w:rPr>
          <w:spacing w:val="2"/>
          <w:sz w:val="13"/>
        </w:rPr>
        <w:t>Submission </w:t>
      </w:r>
      <w:r>
        <w:rPr>
          <w:sz w:val="13"/>
        </w:rPr>
        <w:t>10 </w:t>
      </w:r>
      <w:r>
        <w:rPr>
          <w:spacing w:val="2"/>
          <w:sz w:val="13"/>
        </w:rPr>
        <w:t>(Vision</w:t>
      </w:r>
      <w:r>
        <w:rPr>
          <w:sz w:val="13"/>
        </w:rPr>
        <w:t> Australia).</w:t>
      </w:r>
    </w:p>
    <w:p>
      <w:pPr>
        <w:pStyle w:val="ListParagraph"/>
        <w:numPr>
          <w:ilvl w:val="0"/>
          <w:numId w:val="28"/>
        </w:numPr>
        <w:tabs>
          <w:tab w:pos="1761" w:val="left" w:leader="none"/>
          <w:tab w:pos="1762" w:val="left" w:leader="none"/>
        </w:tabs>
        <w:spacing w:line="151" w:lineRule="exact" w:before="0" w:after="0"/>
        <w:ind w:left="1761" w:right="0" w:hanging="794"/>
        <w:jc w:val="left"/>
        <w:rPr>
          <w:sz w:val="13"/>
        </w:rPr>
      </w:pPr>
      <w:r>
        <w:rPr>
          <w:sz w:val="13"/>
        </w:rPr>
        <w:t>Information provided by Juries Victoria to Victorian Law Reform </w:t>
      </w:r>
      <w:r>
        <w:rPr>
          <w:spacing w:val="2"/>
          <w:sz w:val="13"/>
        </w:rPr>
        <w:t>Commission, </w:t>
      </w:r>
      <w:r>
        <w:rPr>
          <w:sz w:val="13"/>
        </w:rPr>
        <w:t>6 October</w:t>
      </w:r>
      <w:r>
        <w:rPr>
          <w:spacing w:val="9"/>
          <w:sz w:val="13"/>
        </w:rPr>
        <w:t> </w:t>
      </w:r>
      <w:r>
        <w:rPr>
          <w:sz w:val="13"/>
        </w:rPr>
        <w:t>2020.</w:t>
      </w:r>
    </w:p>
    <w:p>
      <w:pPr>
        <w:pStyle w:val="ListParagraph"/>
        <w:numPr>
          <w:ilvl w:val="0"/>
          <w:numId w:val="28"/>
        </w:numPr>
        <w:tabs>
          <w:tab w:pos="1761" w:val="left" w:leader="none"/>
          <w:tab w:pos="1762" w:val="left" w:leader="none"/>
        </w:tabs>
        <w:spacing w:line="160" w:lineRule="exact" w:before="0" w:after="0"/>
        <w:ind w:left="1761" w:right="0" w:hanging="794"/>
        <w:jc w:val="left"/>
        <w:rPr>
          <w:sz w:val="13"/>
        </w:rPr>
      </w:pPr>
      <w:r>
        <w:rPr>
          <w:spacing w:val="2"/>
          <w:sz w:val="13"/>
        </w:rPr>
        <w:t>Ibid. </w:t>
      </w:r>
      <w:r>
        <w:rPr>
          <w:sz w:val="13"/>
        </w:rPr>
        <w:t>Information about the questionnaire is set out in the </w:t>
      </w:r>
      <w:r>
        <w:rPr>
          <w:i/>
          <w:sz w:val="13"/>
        </w:rPr>
        <w:t>Juries Act 2000 </w:t>
      </w:r>
      <w:r>
        <w:rPr>
          <w:spacing w:val="2"/>
          <w:sz w:val="13"/>
        </w:rPr>
        <w:t>(Vic) </w:t>
      </w:r>
      <w:r>
        <w:rPr>
          <w:sz w:val="13"/>
        </w:rPr>
        <w:t>s</w:t>
      </w:r>
      <w:r>
        <w:rPr>
          <w:spacing w:val="5"/>
          <w:sz w:val="13"/>
        </w:rPr>
        <w:t> </w:t>
      </w:r>
      <w:r>
        <w:rPr>
          <w:sz w:val="13"/>
        </w:rPr>
        <w:t>20.</w:t>
      </w:r>
    </w:p>
    <w:p>
      <w:pPr>
        <w:pStyle w:val="ListParagraph"/>
        <w:numPr>
          <w:ilvl w:val="0"/>
          <w:numId w:val="28"/>
        </w:numPr>
        <w:tabs>
          <w:tab w:pos="1761" w:val="left" w:leader="none"/>
          <w:tab w:pos="1762" w:val="left" w:leader="none"/>
        </w:tabs>
        <w:spacing w:line="160" w:lineRule="exact" w:before="0" w:after="0"/>
        <w:ind w:left="1761" w:right="0" w:hanging="794"/>
        <w:jc w:val="left"/>
        <w:rPr>
          <w:sz w:val="13"/>
        </w:rPr>
      </w:pPr>
      <w:r>
        <w:rPr>
          <w:sz w:val="13"/>
        </w:rPr>
        <w:t>Information provided by Juries Victoria to Victorian Law Reform </w:t>
      </w:r>
      <w:r>
        <w:rPr>
          <w:spacing w:val="2"/>
          <w:sz w:val="13"/>
        </w:rPr>
        <w:t>Commission, </w:t>
      </w:r>
      <w:r>
        <w:rPr>
          <w:sz w:val="13"/>
        </w:rPr>
        <w:t>6 October 2020; </w:t>
      </w:r>
      <w:r>
        <w:rPr>
          <w:i/>
          <w:sz w:val="13"/>
        </w:rPr>
        <w:t>Juries Act 2000 </w:t>
      </w:r>
      <w:r>
        <w:rPr>
          <w:spacing w:val="2"/>
          <w:sz w:val="13"/>
        </w:rPr>
        <w:t>(Vic) </w:t>
      </w:r>
      <w:r>
        <w:rPr>
          <w:sz w:val="13"/>
        </w:rPr>
        <w:t>s</w:t>
      </w:r>
      <w:r>
        <w:rPr>
          <w:spacing w:val="27"/>
          <w:sz w:val="13"/>
        </w:rPr>
        <w:t> </w:t>
      </w:r>
      <w:r>
        <w:rPr>
          <w:sz w:val="13"/>
        </w:rPr>
        <w:t>20.</w:t>
      </w:r>
    </w:p>
    <w:p>
      <w:pPr>
        <w:pStyle w:val="ListParagraph"/>
        <w:numPr>
          <w:ilvl w:val="0"/>
          <w:numId w:val="28"/>
        </w:numPr>
        <w:tabs>
          <w:tab w:pos="1761" w:val="left" w:leader="none"/>
          <w:tab w:pos="1762" w:val="left" w:leader="none"/>
        </w:tabs>
        <w:spacing w:line="213" w:lineRule="auto" w:before="6" w:after="0"/>
        <w:ind w:left="967" w:right="3621" w:firstLine="0"/>
        <w:jc w:val="left"/>
        <w:rPr>
          <w:sz w:val="13"/>
        </w:rPr>
      </w:pPr>
      <w:r>
        <w:rPr>
          <w:sz w:val="13"/>
        </w:rPr>
        <w:t>Information provided by Juries Victoria to Victorian Law Reform </w:t>
      </w:r>
      <w:r>
        <w:rPr>
          <w:spacing w:val="2"/>
          <w:sz w:val="13"/>
        </w:rPr>
        <w:t>Commission, </w:t>
      </w:r>
      <w:r>
        <w:rPr>
          <w:sz w:val="13"/>
        </w:rPr>
        <w:t>9 June 2021. 28</w:t>
        <w:tab/>
      </w:r>
      <w:r>
        <w:rPr>
          <w:i/>
          <w:sz w:val="13"/>
        </w:rPr>
        <w:t>Juries Act 2000 </w:t>
      </w:r>
      <w:r>
        <w:rPr>
          <w:spacing w:val="2"/>
          <w:sz w:val="13"/>
        </w:rPr>
        <w:t>(Vic) </w:t>
      </w:r>
      <w:r>
        <w:rPr>
          <w:sz w:val="13"/>
        </w:rPr>
        <w:t>ss </w:t>
      </w:r>
      <w:r>
        <w:rPr>
          <w:spacing w:val="3"/>
          <w:sz w:val="13"/>
        </w:rPr>
        <w:t>35, </w:t>
      </w:r>
      <w:r>
        <w:rPr>
          <w:sz w:val="13"/>
        </w:rPr>
        <w:t>38,</w:t>
      </w:r>
      <w:r>
        <w:rPr>
          <w:spacing w:val="-4"/>
          <w:sz w:val="13"/>
        </w:rPr>
        <w:t> </w:t>
      </w:r>
      <w:r>
        <w:rPr>
          <w:spacing w:val="2"/>
          <w:sz w:val="13"/>
        </w:rPr>
        <w:t>39.</w:t>
      </w:r>
    </w:p>
    <w:p>
      <w:pPr>
        <w:pStyle w:val="ListParagraph"/>
        <w:numPr>
          <w:ilvl w:val="0"/>
          <w:numId w:val="29"/>
        </w:numPr>
        <w:tabs>
          <w:tab w:pos="1760" w:val="left" w:leader="none"/>
          <w:tab w:pos="1762" w:val="left" w:leader="none"/>
        </w:tabs>
        <w:spacing w:line="213" w:lineRule="auto" w:before="0" w:after="0"/>
        <w:ind w:left="1761" w:right="1284" w:hanging="794"/>
        <w:jc w:val="left"/>
        <w:rPr>
          <w:sz w:val="13"/>
        </w:rPr>
      </w:pPr>
      <w:r>
        <w:rPr/>
        <w:pict>
          <v:shape style="position:absolute;margin-left:548.894592pt;margin-top:35.394592pt;width:13.4pt;height:14.1pt;mso-position-horizontal-relative:page;mso-position-vertical-relative:paragraph;z-index:3544" type="#_x0000_t202" filled="false" stroked="false">
            <v:textbox inset="0,0,0,0">
              <w:txbxContent>
                <w:p>
                  <w:pPr>
                    <w:spacing w:line="282" w:lineRule="exact" w:before="0"/>
                    <w:ind w:left="0" w:right="0" w:firstLine="0"/>
                    <w:jc w:val="left"/>
                    <w:rPr>
                      <w:b/>
                      <w:sz w:val="24"/>
                    </w:rPr>
                  </w:pPr>
                  <w:r>
                    <w:rPr>
                      <w:b/>
                      <w:color w:val="37617A"/>
                      <w:spacing w:val="-1"/>
                      <w:sz w:val="24"/>
                    </w:rPr>
                    <w:t>25</w:t>
                  </w:r>
                </w:p>
              </w:txbxContent>
            </v:textbox>
            <w10:wrap type="none"/>
          </v:shape>
        </w:pict>
      </w:r>
      <w:r>
        <w:rPr>
          <w:sz w:val="13"/>
        </w:rPr>
        <w:t>The Judicial College explains that a ‘challenge for cause may be exercised if there is a risk that a potential juror is not </w:t>
      </w:r>
      <w:r>
        <w:rPr>
          <w:spacing w:val="2"/>
          <w:sz w:val="13"/>
        </w:rPr>
        <w:t>impartial     </w:t>
      </w:r>
      <w:r>
        <w:rPr>
          <w:sz w:val="13"/>
        </w:rPr>
        <w:t>as between the accused and the Crown; or a potential juror is not </w:t>
      </w:r>
      <w:r>
        <w:rPr>
          <w:spacing w:val="2"/>
          <w:sz w:val="13"/>
        </w:rPr>
        <w:t>qualified </w:t>
      </w:r>
      <w:r>
        <w:rPr>
          <w:sz w:val="13"/>
        </w:rPr>
        <w:t>to sit as a juror’: Judicial College of Victoria, </w:t>
      </w:r>
      <w:r>
        <w:rPr>
          <w:spacing w:val="2"/>
          <w:sz w:val="13"/>
        </w:rPr>
        <w:t>‘11.1 </w:t>
      </w:r>
      <w:r>
        <w:rPr>
          <w:sz w:val="13"/>
        </w:rPr>
        <w:t>Selecting a Jury’, </w:t>
      </w:r>
      <w:r>
        <w:rPr>
          <w:i/>
          <w:sz w:val="13"/>
        </w:rPr>
        <w:t>Victorian Criminal Proceedings Manual </w:t>
      </w:r>
      <w:r>
        <w:rPr>
          <w:sz w:val="13"/>
        </w:rPr>
        <w:t>(Online Manual, 30 August 2021) </w:t>
      </w:r>
      <w:r>
        <w:rPr>
          <w:spacing w:val="2"/>
          <w:sz w:val="13"/>
        </w:rPr>
        <w:t>[54] </w:t>
      </w:r>
      <w:r>
        <w:rPr>
          <w:sz w:val="13"/>
        </w:rPr>
        <w:t>&lt;</w:t>
      </w:r>
      <w:hyperlink r:id="rId49">
        <w:r>
          <w:rPr>
            <w:sz w:val="13"/>
          </w:rPr>
          <w:t>https://www.judicialcollege.vic.</w:t>
        </w:r>
      </w:hyperlink>
      <w:hyperlink r:id="rId49">
        <w:r>
          <w:rPr>
            <w:sz w:val="13"/>
          </w:rPr>
          <w:t> edu.au/eManuals/VCPM/index.htm#27318.htm</w:t>
        </w:r>
      </w:hyperlink>
      <w:r>
        <w:rPr>
          <w:sz w:val="13"/>
        </w:rPr>
        <w:t>&gt;, citing </w:t>
      </w:r>
      <w:r>
        <w:rPr>
          <w:i/>
          <w:sz w:val="13"/>
        </w:rPr>
        <w:t>Bush v The </w:t>
      </w:r>
      <w:r>
        <w:rPr>
          <w:i/>
          <w:spacing w:val="2"/>
          <w:sz w:val="13"/>
        </w:rPr>
        <w:t>Queen </w:t>
      </w:r>
      <w:r>
        <w:rPr>
          <w:sz w:val="13"/>
        </w:rPr>
        <w:t>(1993) 43 FCR </w:t>
      </w:r>
      <w:r>
        <w:rPr>
          <w:spacing w:val="3"/>
          <w:sz w:val="13"/>
        </w:rPr>
        <w:t>549, </w:t>
      </w:r>
      <w:r>
        <w:rPr>
          <w:sz w:val="13"/>
        </w:rPr>
        <w:t>(Federal </w:t>
      </w:r>
      <w:r>
        <w:rPr>
          <w:spacing w:val="2"/>
          <w:sz w:val="13"/>
        </w:rPr>
        <w:t>Court </w:t>
      </w:r>
      <w:r>
        <w:rPr>
          <w:sz w:val="13"/>
        </w:rPr>
        <w:t>of Australia, Davies, Miles and </w:t>
      </w:r>
      <w:r>
        <w:rPr>
          <w:spacing w:val="2"/>
          <w:sz w:val="13"/>
        </w:rPr>
        <w:t>Drummond </w:t>
      </w:r>
      <w:r>
        <w:rPr>
          <w:sz w:val="13"/>
        </w:rPr>
        <w:t>JJ, 2 August 1993); </w:t>
      </w:r>
      <w:r>
        <w:rPr>
          <w:i/>
          <w:sz w:val="13"/>
        </w:rPr>
        <w:t>R v Judge of District </w:t>
      </w:r>
      <w:r>
        <w:rPr>
          <w:i/>
          <w:spacing w:val="2"/>
          <w:sz w:val="13"/>
        </w:rPr>
        <w:t>Courts; </w:t>
      </w:r>
      <w:r>
        <w:rPr>
          <w:i/>
          <w:sz w:val="13"/>
        </w:rPr>
        <w:t>Ex-parte Attorney-General (Qld) </w:t>
      </w:r>
      <w:r>
        <w:rPr>
          <w:spacing w:val="2"/>
          <w:sz w:val="13"/>
        </w:rPr>
        <w:t>[1991] </w:t>
      </w:r>
      <w:r>
        <w:rPr>
          <w:sz w:val="13"/>
        </w:rPr>
        <w:t>1 Qd R 170, (Supreme </w:t>
      </w:r>
      <w:r>
        <w:rPr>
          <w:spacing w:val="2"/>
          <w:sz w:val="13"/>
        </w:rPr>
        <w:t>Court Queensland, </w:t>
      </w:r>
      <w:r>
        <w:rPr>
          <w:sz w:val="13"/>
        </w:rPr>
        <w:t>Kelly SPJ, Connolly and Dowsett JJ, 13 June</w:t>
      </w:r>
      <w:r>
        <w:rPr>
          <w:spacing w:val="-1"/>
          <w:sz w:val="13"/>
        </w:rPr>
        <w:t> </w:t>
      </w:r>
      <w:r>
        <w:rPr>
          <w:sz w:val="13"/>
        </w:rPr>
        <w:t>1990).</w:t>
      </w:r>
    </w:p>
    <w:p>
      <w:pPr>
        <w:spacing w:after="0" w:line="213" w:lineRule="auto"/>
        <w:jc w:val="left"/>
        <w:rPr>
          <w:sz w:val="13"/>
        </w:rPr>
        <w:sectPr>
          <w:pgSz w:w="11910" w:h="16840"/>
          <w:pgMar w:header="0" w:footer="0" w:top="840" w:bottom="280" w:left="620" w:right="380"/>
        </w:sectPr>
      </w:pPr>
    </w:p>
    <w:p>
      <w:pPr>
        <w:pStyle w:val="BodyText"/>
      </w:pPr>
    </w:p>
    <w:p>
      <w:pPr>
        <w:pStyle w:val="BodyText"/>
      </w:pPr>
    </w:p>
    <w:p>
      <w:pPr>
        <w:pStyle w:val="BodyText"/>
      </w:pPr>
    </w:p>
    <w:p>
      <w:pPr>
        <w:spacing w:before="212"/>
        <w:ind w:left="967" w:right="0" w:firstLine="0"/>
        <w:jc w:val="left"/>
        <w:rPr>
          <w:rFonts w:ascii="Raleway ExtraBold"/>
          <w:b/>
          <w:sz w:val="28"/>
        </w:rPr>
      </w:pPr>
      <w:bookmarkStart w:name="Additional barriers to jury service for " w:id="66"/>
      <w:bookmarkEnd w:id="66"/>
      <w:r>
        <w:rPr/>
      </w:r>
      <w:bookmarkStart w:name="_bookmark25" w:id="67"/>
      <w:bookmarkEnd w:id="67"/>
      <w:r>
        <w:rPr/>
      </w:r>
      <w:r>
        <w:rPr>
          <w:rFonts w:ascii="Raleway ExtraBold"/>
          <w:b/>
          <w:color w:val="37617A"/>
          <w:sz w:val="28"/>
        </w:rPr>
        <w:t>Additional barriers to jury service for Aboriginal people</w:t>
      </w:r>
    </w:p>
    <w:p>
      <w:pPr>
        <w:pStyle w:val="ListParagraph"/>
        <w:numPr>
          <w:ilvl w:val="1"/>
          <w:numId w:val="12"/>
        </w:numPr>
        <w:tabs>
          <w:tab w:pos="1761" w:val="left" w:leader="none"/>
          <w:tab w:pos="1762" w:val="left" w:leader="none"/>
        </w:tabs>
        <w:spacing w:line="206" w:lineRule="auto" w:before="146" w:after="0"/>
        <w:ind w:left="1761" w:right="1208" w:hanging="794"/>
        <w:jc w:val="left"/>
        <w:rPr>
          <w:sz w:val="20"/>
        </w:rPr>
      </w:pPr>
      <w:r>
        <w:rPr>
          <w:sz w:val="20"/>
        </w:rPr>
        <w:t>In</w:t>
      </w:r>
      <w:r>
        <w:rPr>
          <w:spacing w:val="-9"/>
          <w:sz w:val="20"/>
        </w:rPr>
        <w:t> </w:t>
      </w:r>
      <w:r>
        <w:rPr>
          <w:spacing w:val="-2"/>
          <w:sz w:val="20"/>
        </w:rPr>
        <w:t>Chapter</w:t>
      </w:r>
      <w:r>
        <w:rPr>
          <w:spacing w:val="-9"/>
          <w:sz w:val="20"/>
        </w:rPr>
        <w:t> </w:t>
      </w:r>
      <w:r>
        <w:rPr>
          <w:sz w:val="20"/>
        </w:rPr>
        <w:t>3</w:t>
      </w:r>
      <w:r>
        <w:rPr>
          <w:spacing w:val="-9"/>
          <w:sz w:val="20"/>
        </w:rPr>
        <w:t> </w:t>
      </w:r>
      <w:r>
        <w:rPr>
          <w:spacing w:val="-3"/>
          <w:sz w:val="20"/>
        </w:rPr>
        <w:t>we</w:t>
      </w:r>
      <w:r>
        <w:rPr>
          <w:spacing w:val="-8"/>
          <w:sz w:val="20"/>
        </w:rPr>
        <w:t> </w:t>
      </w:r>
      <w:r>
        <w:rPr>
          <w:sz w:val="20"/>
        </w:rPr>
        <w:t>noted</w:t>
      </w:r>
      <w:r>
        <w:rPr>
          <w:spacing w:val="-9"/>
          <w:sz w:val="20"/>
        </w:rPr>
        <w:t> </w:t>
      </w:r>
      <w:r>
        <w:rPr>
          <w:sz w:val="20"/>
        </w:rPr>
        <w:t>that</w:t>
      </w:r>
      <w:r>
        <w:rPr>
          <w:spacing w:val="-9"/>
          <w:sz w:val="20"/>
        </w:rPr>
        <w:t> </w:t>
      </w:r>
      <w:r>
        <w:rPr>
          <w:sz w:val="20"/>
        </w:rPr>
        <w:t>Aboriginal</w:t>
      </w:r>
      <w:r>
        <w:rPr>
          <w:spacing w:val="-8"/>
          <w:sz w:val="20"/>
        </w:rPr>
        <w:t> </w:t>
      </w:r>
      <w:r>
        <w:rPr>
          <w:sz w:val="20"/>
        </w:rPr>
        <w:t>people</w:t>
      </w:r>
      <w:r>
        <w:rPr>
          <w:spacing w:val="-9"/>
          <w:sz w:val="20"/>
        </w:rPr>
        <w:t> </w:t>
      </w:r>
      <w:r>
        <w:rPr>
          <w:spacing w:val="-3"/>
          <w:sz w:val="20"/>
        </w:rPr>
        <w:t>are</w:t>
      </w:r>
      <w:r>
        <w:rPr>
          <w:spacing w:val="-9"/>
          <w:sz w:val="20"/>
        </w:rPr>
        <w:t> </w:t>
      </w:r>
      <w:r>
        <w:rPr>
          <w:sz w:val="20"/>
        </w:rPr>
        <w:t>more</w:t>
      </w:r>
      <w:r>
        <w:rPr>
          <w:spacing w:val="-8"/>
          <w:sz w:val="20"/>
        </w:rPr>
        <w:t> </w:t>
      </w:r>
      <w:r>
        <w:rPr>
          <w:spacing w:val="-3"/>
          <w:sz w:val="20"/>
        </w:rPr>
        <w:t>likely</w:t>
      </w:r>
      <w:r>
        <w:rPr>
          <w:spacing w:val="-9"/>
          <w:sz w:val="20"/>
        </w:rPr>
        <w:t> </w:t>
      </w:r>
      <w:r>
        <w:rPr>
          <w:sz w:val="20"/>
        </w:rPr>
        <w:t>to</w:t>
      </w:r>
      <w:r>
        <w:rPr>
          <w:spacing w:val="-9"/>
          <w:sz w:val="20"/>
        </w:rPr>
        <w:t> </w:t>
      </w:r>
      <w:r>
        <w:rPr>
          <w:sz w:val="20"/>
        </w:rPr>
        <w:t>be</w:t>
      </w:r>
      <w:r>
        <w:rPr>
          <w:spacing w:val="-8"/>
          <w:sz w:val="20"/>
        </w:rPr>
        <w:t> </w:t>
      </w:r>
      <w:r>
        <w:rPr>
          <w:spacing w:val="-4"/>
          <w:sz w:val="20"/>
        </w:rPr>
        <w:t>deaf,</w:t>
      </w:r>
      <w:r>
        <w:rPr>
          <w:spacing w:val="-9"/>
          <w:sz w:val="20"/>
        </w:rPr>
        <w:t> </w:t>
      </w:r>
      <w:r>
        <w:rPr>
          <w:sz w:val="20"/>
        </w:rPr>
        <w:t>hard</w:t>
      </w:r>
      <w:r>
        <w:rPr>
          <w:spacing w:val="-9"/>
          <w:sz w:val="20"/>
        </w:rPr>
        <w:t> </w:t>
      </w:r>
      <w:r>
        <w:rPr>
          <w:sz w:val="20"/>
        </w:rPr>
        <w:t>of</w:t>
      </w:r>
      <w:r>
        <w:rPr>
          <w:spacing w:val="-8"/>
          <w:sz w:val="20"/>
        </w:rPr>
        <w:t> </w:t>
      </w:r>
      <w:r>
        <w:rPr>
          <w:sz w:val="20"/>
        </w:rPr>
        <w:t>hearing, blind or </w:t>
      </w:r>
      <w:r>
        <w:rPr>
          <w:spacing w:val="-4"/>
          <w:sz w:val="20"/>
        </w:rPr>
        <w:t>have low </w:t>
      </w:r>
      <w:r>
        <w:rPr>
          <w:sz w:val="20"/>
        </w:rPr>
        <w:t>vision than other Victorians. Aboriginal people </w:t>
      </w:r>
      <w:r>
        <w:rPr>
          <w:spacing w:val="-3"/>
          <w:sz w:val="20"/>
        </w:rPr>
        <w:t>from </w:t>
      </w:r>
      <w:r>
        <w:rPr>
          <w:sz w:val="20"/>
        </w:rPr>
        <w:t>the subject groups </w:t>
      </w:r>
      <w:r>
        <w:rPr>
          <w:spacing w:val="-3"/>
          <w:sz w:val="20"/>
        </w:rPr>
        <w:t>may </w:t>
      </w:r>
      <w:r>
        <w:rPr>
          <w:sz w:val="20"/>
        </w:rPr>
        <w:t>face additional barriers to jury</w:t>
      </w:r>
      <w:r>
        <w:rPr>
          <w:spacing w:val="-30"/>
          <w:sz w:val="20"/>
        </w:rPr>
        <w:t> </w:t>
      </w:r>
      <w:r>
        <w:rPr>
          <w:sz w:val="20"/>
        </w:rPr>
        <w:t>service.</w:t>
      </w:r>
    </w:p>
    <w:p>
      <w:pPr>
        <w:spacing w:before="162"/>
        <w:ind w:left="967" w:right="0" w:firstLine="0"/>
        <w:jc w:val="left"/>
        <w:rPr>
          <w:b/>
          <w:sz w:val="24"/>
        </w:rPr>
      </w:pPr>
      <w:r>
        <w:rPr>
          <w:b/>
          <w:sz w:val="24"/>
        </w:rPr>
        <w:t>Aboriginal people’s access to disability services</w:t>
      </w:r>
    </w:p>
    <w:p>
      <w:pPr>
        <w:pStyle w:val="ListParagraph"/>
        <w:numPr>
          <w:ilvl w:val="1"/>
          <w:numId w:val="12"/>
        </w:numPr>
        <w:tabs>
          <w:tab w:pos="1762" w:val="left" w:leader="none"/>
        </w:tabs>
        <w:spacing w:line="206" w:lineRule="auto" w:before="127" w:after="0"/>
        <w:ind w:left="1761" w:right="1612" w:hanging="794"/>
        <w:jc w:val="both"/>
        <w:rPr>
          <w:sz w:val="20"/>
        </w:rPr>
      </w:pPr>
      <w:r>
        <w:rPr>
          <w:sz w:val="20"/>
        </w:rPr>
        <w:t>The</w:t>
      </w:r>
      <w:r>
        <w:rPr>
          <w:spacing w:val="-15"/>
          <w:sz w:val="20"/>
        </w:rPr>
        <w:t> </w:t>
      </w:r>
      <w:r>
        <w:rPr>
          <w:sz w:val="20"/>
        </w:rPr>
        <w:t>Victorian</w:t>
      </w:r>
      <w:r>
        <w:rPr>
          <w:spacing w:val="-15"/>
          <w:sz w:val="20"/>
        </w:rPr>
        <w:t> </w:t>
      </w:r>
      <w:r>
        <w:rPr>
          <w:sz w:val="20"/>
        </w:rPr>
        <w:t>Aboriginal</w:t>
      </w:r>
      <w:r>
        <w:rPr>
          <w:spacing w:val="-14"/>
          <w:sz w:val="20"/>
        </w:rPr>
        <w:t> </w:t>
      </w:r>
      <w:r>
        <w:rPr>
          <w:sz w:val="20"/>
        </w:rPr>
        <w:t>Community</w:t>
      </w:r>
      <w:r>
        <w:rPr>
          <w:spacing w:val="-15"/>
          <w:sz w:val="20"/>
        </w:rPr>
        <w:t> </w:t>
      </w:r>
      <w:r>
        <w:rPr>
          <w:sz w:val="20"/>
        </w:rPr>
        <w:t>Controlled</w:t>
      </w:r>
      <w:r>
        <w:rPr>
          <w:spacing w:val="-14"/>
          <w:sz w:val="20"/>
        </w:rPr>
        <w:t> </w:t>
      </w:r>
      <w:r>
        <w:rPr>
          <w:sz w:val="20"/>
        </w:rPr>
        <w:t>Health</w:t>
      </w:r>
      <w:r>
        <w:rPr>
          <w:spacing w:val="-15"/>
          <w:sz w:val="20"/>
        </w:rPr>
        <w:t> </w:t>
      </w:r>
      <w:r>
        <w:rPr>
          <w:sz w:val="20"/>
        </w:rPr>
        <w:t>Organisation</w:t>
      </w:r>
      <w:r>
        <w:rPr>
          <w:spacing w:val="-14"/>
          <w:sz w:val="20"/>
        </w:rPr>
        <w:t> </w:t>
      </w:r>
      <w:r>
        <w:rPr>
          <w:spacing w:val="-4"/>
          <w:sz w:val="20"/>
        </w:rPr>
        <w:t>(VACCHO)</w:t>
      </w:r>
      <w:r>
        <w:rPr>
          <w:spacing w:val="-15"/>
          <w:sz w:val="20"/>
        </w:rPr>
        <w:t> </w:t>
      </w:r>
      <w:r>
        <w:rPr>
          <w:spacing w:val="-3"/>
          <w:sz w:val="20"/>
        </w:rPr>
        <w:t>told </w:t>
      </w:r>
      <w:r>
        <w:rPr>
          <w:sz w:val="20"/>
        </w:rPr>
        <w:t>us</w:t>
      </w:r>
      <w:r>
        <w:rPr>
          <w:spacing w:val="-13"/>
          <w:sz w:val="20"/>
        </w:rPr>
        <w:t> </w:t>
      </w:r>
      <w:r>
        <w:rPr>
          <w:sz w:val="20"/>
        </w:rPr>
        <w:t>that</w:t>
      </w:r>
      <w:r>
        <w:rPr>
          <w:spacing w:val="-13"/>
          <w:sz w:val="20"/>
        </w:rPr>
        <w:t> </w:t>
      </w:r>
      <w:r>
        <w:rPr>
          <w:sz w:val="20"/>
        </w:rPr>
        <w:t>access</w:t>
      </w:r>
      <w:r>
        <w:rPr>
          <w:spacing w:val="-13"/>
          <w:sz w:val="20"/>
        </w:rPr>
        <w:t> </w:t>
      </w:r>
      <w:r>
        <w:rPr>
          <w:sz w:val="20"/>
        </w:rPr>
        <w:t>to</w:t>
      </w:r>
      <w:r>
        <w:rPr>
          <w:spacing w:val="-13"/>
          <w:sz w:val="20"/>
        </w:rPr>
        <w:t> </w:t>
      </w:r>
      <w:r>
        <w:rPr>
          <w:sz w:val="20"/>
        </w:rPr>
        <w:t>disability</w:t>
      </w:r>
      <w:r>
        <w:rPr>
          <w:spacing w:val="-13"/>
          <w:sz w:val="20"/>
        </w:rPr>
        <w:t> </w:t>
      </w:r>
      <w:r>
        <w:rPr>
          <w:sz w:val="20"/>
        </w:rPr>
        <w:t>services</w:t>
      </w:r>
      <w:r>
        <w:rPr>
          <w:spacing w:val="-13"/>
          <w:sz w:val="20"/>
        </w:rPr>
        <w:t> </w:t>
      </w:r>
      <w:r>
        <w:rPr>
          <w:sz w:val="20"/>
        </w:rPr>
        <w:t>is</w:t>
      </w:r>
      <w:r>
        <w:rPr>
          <w:spacing w:val="-13"/>
          <w:sz w:val="20"/>
        </w:rPr>
        <w:t> </w:t>
      </w:r>
      <w:r>
        <w:rPr>
          <w:sz w:val="20"/>
        </w:rPr>
        <w:t>more</w:t>
      </w:r>
      <w:r>
        <w:rPr>
          <w:spacing w:val="-13"/>
          <w:sz w:val="20"/>
        </w:rPr>
        <w:t> </w:t>
      </w:r>
      <w:r>
        <w:rPr>
          <w:sz w:val="20"/>
        </w:rPr>
        <w:t>difficult</w:t>
      </w:r>
      <w:r>
        <w:rPr>
          <w:spacing w:val="-13"/>
          <w:sz w:val="20"/>
        </w:rPr>
        <w:t> </w:t>
      </w:r>
      <w:r>
        <w:rPr>
          <w:sz w:val="20"/>
        </w:rPr>
        <w:t>for</w:t>
      </w:r>
      <w:r>
        <w:rPr>
          <w:spacing w:val="-13"/>
          <w:sz w:val="20"/>
        </w:rPr>
        <w:t> </w:t>
      </w:r>
      <w:r>
        <w:rPr>
          <w:sz w:val="20"/>
        </w:rPr>
        <w:t>Aboriginal</w:t>
      </w:r>
      <w:r>
        <w:rPr>
          <w:spacing w:val="-13"/>
          <w:sz w:val="20"/>
        </w:rPr>
        <w:t> </w:t>
      </w:r>
      <w:r>
        <w:rPr>
          <w:sz w:val="20"/>
        </w:rPr>
        <w:t>people</w:t>
      </w:r>
      <w:r>
        <w:rPr>
          <w:spacing w:val="-13"/>
          <w:sz w:val="20"/>
        </w:rPr>
        <w:t> </w:t>
      </w:r>
      <w:r>
        <w:rPr>
          <w:sz w:val="20"/>
        </w:rPr>
        <w:t>than</w:t>
      </w:r>
      <w:r>
        <w:rPr>
          <w:spacing w:val="-13"/>
          <w:sz w:val="20"/>
        </w:rPr>
        <w:t> </w:t>
      </w:r>
      <w:r>
        <w:rPr>
          <w:sz w:val="20"/>
        </w:rPr>
        <w:t>non- Aboriginal</w:t>
      </w:r>
      <w:r>
        <w:rPr>
          <w:spacing w:val="-5"/>
          <w:sz w:val="20"/>
        </w:rPr>
        <w:t> </w:t>
      </w:r>
      <w:r>
        <w:rPr>
          <w:sz w:val="20"/>
        </w:rPr>
        <w:t>people:</w:t>
      </w:r>
    </w:p>
    <w:p>
      <w:pPr>
        <w:spacing w:line="208" w:lineRule="auto" w:before="121"/>
        <w:ind w:left="2157" w:right="1484" w:firstLine="0"/>
        <w:jc w:val="both"/>
        <w:rPr>
          <w:sz w:val="11"/>
        </w:rPr>
      </w:pPr>
      <w:r>
        <w:rPr>
          <w:sz w:val="19"/>
        </w:rPr>
        <w:t>One of the biggest barriers [for Indigenous health] is the disability service system. It is</w:t>
      </w:r>
      <w:r>
        <w:rPr>
          <w:spacing w:val="-7"/>
          <w:sz w:val="19"/>
        </w:rPr>
        <w:t> </w:t>
      </w:r>
      <w:r>
        <w:rPr>
          <w:sz w:val="19"/>
        </w:rPr>
        <w:t>very</w:t>
      </w:r>
      <w:r>
        <w:rPr>
          <w:spacing w:val="-6"/>
          <w:sz w:val="19"/>
        </w:rPr>
        <w:t> </w:t>
      </w:r>
      <w:r>
        <w:rPr>
          <w:sz w:val="19"/>
        </w:rPr>
        <w:t>difficult</w:t>
      </w:r>
      <w:r>
        <w:rPr>
          <w:spacing w:val="-6"/>
          <w:sz w:val="19"/>
        </w:rPr>
        <w:t> </w:t>
      </w:r>
      <w:r>
        <w:rPr>
          <w:sz w:val="19"/>
        </w:rPr>
        <w:t>to</w:t>
      </w:r>
      <w:r>
        <w:rPr>
          <w:spacing w:val="-6"/>
          <w:sz w:val="19"/>
        </w:rPr>
        <w:t> </w:t>
      </w:r>
      <w:r>
        <w:rPr>
          <w:sz w:val="19"/>
        </w:rPr>
        <w:t>navigate</w:t>
      </w:r>
      <w:r>
        <w:rPr>
          <w:spacing w:val="-6"/>
          <w:sz w:val="19"/>
        </w:rPr>
        <w:t> </w:t>
      </w:r>
      <w:r>
        <w:rPr>
          <w:sz w:val="19"/>
        </w:rPr>
        <w:t>these</w:t>
      </w:r>
      <w:r>
        <w:rPr>
          <w:spacing w:val="-7"/>
          <w:sz w:val="19"/>
        </w:rPr>
        <w:t> </w:t>
      </w:r>
      <w:r>
        <w:rPr>
          <w:sz w:val="19"/>
        </w:rPr>
        <w:t>systems</w:t>
      </w:r>
      <w:r>
        <w:rPr>
          <w:spacing w:val="-6"/>
          <w:sz w:val="19"/>
        </w:rPr>
        <w:t> </w:t>
      </w:r>
      <w:r>
        <w:rPr>
          <w:sz w:val="19"/>
        </w:rPr>
        <w:t>and</w:t>
      </w:r>
      <w:r>
        <w:rPr>
          <w:spacing w:val="-6"/>
          <w:sz w:val="19"/>
        </w:rPr>
        <w:t> </w:t>
      </w:r>
      <w:r>
        <w:rPr>
          <w:sz w:val="19"/>
        </w:rPr>
        <w:t>it</w:t>
      </w:r>
      <w:r>
        <w:rPr>
          <w:spacing w:val="-6"/>
          <w:sz w:val="19"/>
        </w:rPr>
        <w:t> </w:t>
      </w:r>
      <w:r>
        <w:rPr>
          <w:sz w:val="19"/>
        </w:rPr>
        <w:t>is</w:t>
      </w:r>
      <w:r>
        <w:rPr>
          <w:spacing w:val="-6"/>
          <w:sz w:val="19"/>
        </w:rPr>
        <w:t> </w:t>
      </w:r>
      <w:r>
        <w:rPr>
          <w:sz w:val="19"/>
        </w:rPr>
        <w:t>hard</w:t>
      </w:r>
      <w:r>
        <w:rPr>
          <w:spacing w:val="-6"/>
          <w:sz w:val="19"/>
        </w:rPr>
        <w:t> </w:t>
      </w:r>
      <w:r>
        <w:rPr>
          <w:sz w:val="19"/>
        </w:rPr>
        <w:t>for</w:t>
      </w:r>
      <w:r>
        <w:rPr>
          <w:spacing w:val="-7"/>
          <w:sz w:val="19"/>
        </w:rPr>
        <w:t> </w:t>
      </w:r>
      <w:r>
        <w:rPr>
          <w:sz w:val="19"/>
        </w:rPr>
        <w:t>Aboriginal</w:t>
      </w:r>
      <w:r>
        <w:rPr>
          <w:spacing w:val="-6"/>
          <w:sz w:val="19"/>
        </w:rPr>
        <w:t> </w:t>
      </w:r>
      <w:r>
        <w:rPr>
          <w:sz w:val="19"/>
        </w:rPr>
        <w:t>people</w:t>
      </w:r>
      <w:r>
        <w:rPr>
          <w:spacing w:val="-6"/>
          <w:sz w:val="19"/>
        </w:rPr>
        <w:t> </w:t>
      </w:r>
      <w:r>
        <w:rPr>
          <w:sz w:val="19"/>
        </w:rPr>
        <w:t>to</w:t>
      </w:r>
      <w:r>
        <w:rPr>
          <w:spacing w:val="-6"/>
          <w:sz w:val="19"/>
        </w:rPr>
        <w:t> </w:t>
      </w:r>
      <w:r>
        <w:rPr>
          <w:sz w:val="19"/>
        </w:rPr>
        <w:t>gain equitable access to services through the</w:t>
      </w:r>
      <w:r>
        <w:rPr>
          <w:spacing w:val="-13"/>
          <w:sz w:val="19"/>
        </w:rPr>
        <w:t> </w:t>
      </w:r>
      <w:r>
        <w:rPr>
          <w:sz w:val="19"/>
        </w:rPr>
        <w:t>NDIS.</w:t>
      </w:r>
      <w:r>
        <w:rPr>
          <w:position w:val="6"/>
          <w:sz w:val="11"/>
        </w:rPr>
        <w:t>30</w:t>
      </w:r>
    </w:p>
    <w:p>
      <w:pPr>
        <w:pStyle w:val="ListParagraph"/>
        <w:numPr>
          <w:ilvl w:val="1"/>
          <w:numId w:val="12"/>
        </w:numPr>
        <w:tabs>
          <w:tab w:pos="1761" w:val="left" w:leader="none"/>
          <w:tab w:pos="1762" w:val="left" w:leader="none"/>
        </w:tabs>
        <w:spacing w:line="206" w:lineRule="auto" w:before="124" w:after="0"/>
        <w:ind w:left="1761" w:right="1370" w:hanging="794"/>
        <w:jc w:val="left"/>
        <w:rPr>
          <w:sz w:val="20"/>
        </w:rPr>
      </w:pPr>
      <w:r>
        <w:rPr>
          <w:sz w:val="20"/>
        </w:rPr>
        <w:t>This</w:t>
      </w:r>
      <w:r>
        <w:rPr>
          <w:spacing w:val="-10"/>
          <w:sz w:val="20"/>
        </w:rPr>
        <w:t> </w:t>
      </w:r>
      <w:r>
        <w:rPr>
          <w:spacing w:val="-3"/>
          <w:sz w:val="20"/>
        </w:rPr>
        <w:t>may</w:t>
      </w:r>
      <w:r>
        <w:rPr>
          <w:spacing w:val="-9"/>
          <w:sz w:val="20"/>
        </w:rPr>
        <w:t> </w:t>
      </w:r>
      <w:r>
        <w:rPr>
          <w:sz w:val="20"/>
        </w:rPr>
        <w:t>mean</w:t>
      </w:r>
      <w:r>
        <w:rPr>
          <w:spacing w:val="-10"/>
          <w:sz w:val="20"/>
        </w:rPr>
        <w:t> </w:t>
      </w:r>
      <w:r>
        <w:rPr>
          <w:sz w:val="20"/>
        </w:rPr>
        <w:t>that</w:t>
      </w:r>
      <w:r>
        <w:rPr>
          <w:spacing w:val="-9"/>
          <w:sz w:val="20"/>
        </w:rPr>
        <w:t> </w:t>
      </w:r>
      <w:r>
        <w:rPr>
          <w:spacing w:val="-3"/>
          <w:sz w:val="20"/>
        </w:rPr>
        <w:t>many</w:t>
      </w:r>
      <w:r>
        <w:rPr>
          <w:spacing w:val="-9"/>
          <w:sz w:val="20"/>
        </w:rPr>
        <w:t> </w:t>
      </w:r>
      <w:r>
        <w:rPr>
          <w:sz w:val="20"/>
        </w:rPr>
        <w:t>Aboriginal</w:t>
      </w:r>
      <w:r>
        <w:rPr>
          <w:spacing w:val="-10"/>
          <w:sz w:val="20"/>
        </w:rPr>
        <w:t> </w:t>
      </w:r>
      <w:r>
        <w:rPr>
          <w:sz w:val="20"/>
        </w:rPr>
        <w:t>people</w:t>
      </w:r>
      <w:r>
        <w:rPr>
          <w:spacing w:val="-9"/>
          <w:sz w:val="20"/>
        </w:rPr>
        <w:t> </w:t>
      </w:r>
      <w:r>
        <w:rPr>
          <w:sz w:val="20"/>
        </w:rPr>
        <w:t>in</w:t>
      </w:r>
      <w:r>
        <w:rPr>
          <w:spacing w:val="-10"/>
          <w:sz w:val="20"/>
        </w:rPr>
        <w:t> </w:t>
      </w:r>
      <w:r>
        <w:rPr>
          <w:sz w:val="20"/>
        </w:rPr>
        <w:t>the</w:t>
      </w:r>
      <w:r>
        <w:rPr>
          <w:spacing w:val="-9"/>
          <w:sz w:val="20"/>
        </w:rPr>
        <w:t> </w:t>
      </w:r>
      <w:r>
        <w:rPr>
          <w:sz w:val="20"/>
        </w:rPr>
        <w:t>subject</w:t>
      </w:r>
      <w:r>
        <w:rPr>
          <w:spacing w:val="-9"/>
          <w:sz w:val="20"/>
        </w:rPr>
        <w:t> </w:t>
      </w:r>
      <w:r>
        <w:rPr>
          <w:sz w:val="20"/>
        </w:rPr>
        <w:t>groups</w:t>
      </w:r>
      <w:r>
        <w:rPr>
          <w:spacing w:val="-10"/>
          <w:sz w:val="20"/>
        </w:rPr>
        <w:t> </w:t>
      </w:r>
      <w:r>
        <w:rPr>
          <w:sz w:val="20"/>
        </w:rPr>
        <w:t>do</w:t>
      </w:r>
      <w:r>
        <w:rPr>
          <w:spacing w:val="-9"/>
          <w:sz w:val="20"/>
        </w:rPr>
        <w:t> </w:t>
      </w:r>
      <w:r>
        <w:rPr>
          <w:sz w:val="20"/>
        </w:rPr>
        <w:t>not</w:t>
      </w:r>
      <w:r>
        <w:rPr>
          <w:spacing w:val="-9"/>
          <w:sz w:val="20"/>
        </w:rPr>
        <w:t> </w:t>
      </w:r>
      <w:r>
        <w:rPr>
          <w:spacing w:val="-4"/>
          <w:sz w:val="20"/>
        </w:rPr>
        <w:t>have</w:t>
      </w:r>
      <w:r>
        <w:rPr>
          <w:spacing w:val="-10"/>
          <w:sz w:val="20"/>
        </w:rPr>
        <w:t> </w:t>
      </w:r>
      <w:r>
        <w:rPr>
          <w:sz w:val="20"/>
        </w:rPr>
        <w:t>access to the technological supports </w:t>
      </w:r>
      <w:r>
        <w:rPr>
          <w:spacing w:val="-3"/>
          <w:sz w:val="20"/>
        </w:rPr>
        <w:t>available </w:t>
      </w:r>
      <w:r>
        <w:rPr>
          <w:sz w:val="20"/>
        </w:rPr>
        <w:t>to people in the broader community.</w:t>
      </w:r>
      <w:r>
        <w:rPr>
          <w:position w:val="7"/>
          <w:sz w:val="11"/>
        </w:rPr>
        <w:t>31 </w:t>
      </w:r>
      <w:r>
        <w:rPr>
          <w:sz w:val="20"/>
        </w:rPr>
        <w:t>This is </w:t>
      </w:r>
      <w:r>
        <w:rPr>
          <w:spacing w:val="-3"/>
          <w:sz w:val="20"/>
        </w:rPr>
        <w:t>likely </w:t>
      </w:r>
      <w:r>
        <w:rPr>
          <w:sz w:val="20"/>
        </w:rPr>
        <w:t>to limit their participation as</w:t>
      </w:r>
      <w:r>
        <w:rPr>
          <w:spacing w:val="-25"/>
          <w:sz w:val="20"/>
        </w:rPr>
        <w:t> </w:t>
      </w:r>
      <w:r>
        <w:rPr>
          <w:sz w:val="20"/>
        </w:rPr>
        <w:t>jurors.</w:t>
      </w:r>
    </w:p>
    <w:p>
      <w:pPr>
        <w:spacing w:line="216" w:lineRule="auto" w:before="190"/>
        <w:ind w:left="967" w:right="1574" w:firstLine="0"/>
        <w:jc w:val="left"/>
        <w:rPr>
          <w:b/>
          <w:sz w:val="24"/>
        </w:rPr>
      </w:pPr>
      <w:r>
        <w:rPr>
          <w:b/>
          <w:sz w:val="24"/>
        </w:rPr>
        <w:t>Higher rates of incarceration may mean that fewer Aboriginal people are eligible to be jurors</w:t>
      </w:r>
    </w:p>
    <w:p>
      <w:pPr>
        <w:pStyle w:val="ListParagraph"/>
        <w:numPr>
          <w:ilvl w:val="1"/>
          <w:numId w:val="12"/>
        </w:numPr>
        <w:tabs>
          <w:tab w:pos="1761" w:val="left" w:leader="none"/>
          <w:tab w:pos="1762" w:val="left" w:leader="none"/>
        </w:tabs>
        <w:spacing w:line="206" w:lineRule="auto" w:before="133" w:after="0"/>
        <w:ind w:left="1761" w:right="1478" w:hanging="794"/>
        <w:jc w:val="left"/>
        <w:rPr>
          <w:sz w:val="11"/>
        </w:rPr>
      </w:pPr>
      <w:r>
        <w:rPr>
          <w:sz w:val="20"/>
        </w:rPr>
        <w:t>A person is disqualified </w:t>
      </w:r>
      <w:r>
        <w:rPr>
          <w:spacing w:val="-3"/>
          <w:sz w:val="20"/>
        </w:rPr>
        <w:t>(usually </w:t>
      </w:r>
      <w:r>
        <w:rPr>
          <w:sz w:val="20"/>
        </w:rPr>
        <w:t>for a limited period) </w:t>
      </w:r>
      <w:r>
        <w:rPr>
          <w:spacing w:val="-3"/>
          <w:sz w:val="20"/>
        </w:rPr>
        <w:t>from </w:t>
      </w:r>
      <w:r>
        <w:rPr>
          <w:sz w:val="20"/>
        </w:rPr>
        <w:t>jury service if they </w:t>
      </w:r>
      <w:r>
        <w:rPr>
          <w:spacing w:val="-4"/>
          <w:sz w:val="20"/>
        </w:rPr>
        <w:t>have </w:t>
      </w:r>
      <w:r>
        <w:rPr>
          <w:sz w:val="20"/>
        </w:rPr>
        <w:t>been</w:t>
      </w:r>
      <w:r>
        <w:rPr>
          <w:spacing w:val="-10"/>
          <w:sz w:val="20"/>
        </w:rPr>
        <w:t> </w:t>
      </w:r>
      <w:r>
        <w:rPr>
          <w:spacing w:val="-2"/>
          <w:sz w:val="20"/>
        </w:rPr>
        <w:t>convicted</w:t>
      </w:r>
      <w:r>
        <w:rPr>
          <w:spacing w:val="-10"/>
          <w:sz w:val="20"/>
        </w:rPr>
        <w:t> </w:t>
      </w:r>
      <w:r>
        <w:rPr>
          <w:sz w:val="20"/>
        </w:rPr>
        <w:t>of</w:t>
      </w:r>
      <w:r>
        <w:rPr>
          <w:spacing w:val="-9"/>
          <w:sz w:val="20"/>
        </w:rPr>
        <w:t> </w:t>
      </w:r>
      <w:r>
        <w:rPr>
          <w:sz w:val="20"/>
        </w:rPr>
        <w:t>specified</w:t>
      </w:r>
      <w:r>
        <w:rPr>
          <w:spacing w:val="-10"/>
          <w:sz w:val="20"/>
        </w:rPr>
        <w:t> </w:t>
      </w:r>
      <w:r>
        <w:rPr>
          <w:sz w:val="20"/>
        </w:rPr>
        <w:t>serious</w:t>
      </w:r>
      <w:r>
        <w:rPr>
          <w:spacing w:val="-10"/>
          <w:sz w:val="20"/>
        </w:rPr>
        <w:t> </w:t>
      </w:r>
      <w:r>
        <w:rPr>
          <w:sz w:val="20"/>
        </w:rPr>
        <w:t>offences</w:t>
      </w:r>
      <w:r>
        <w:rPr>
          <w:spacing w:val="-9"/>
          <w:sz w:val="20"/>
        </w:rPr>
        <w:t> </w:t>
      </w:r>
      <w:r>
        <w:rPr>
          <w:sz w:val="20"/>
        </w:rPr>
        <w:t>or</w:t>
      </w:r>
      <w:r>
        <w:rPr>
          <w:spacing w:val="-10"/>
          <w:sz w:val="20"/>
        </w:rPr>
        <w:t> </w:t>
      </w:r>
      <w:r>
        <w:rPr>
          <w:spacing w:val="-3"/>
          <w:sz w:val="20"/>
        </w:rPr>
        <w:t>are</w:t>
      </w:r>
      <w:r>
        <w:rPr>
          <w:spacing w:val="-10"/>
          <w:sz w:val="20"/>
        </w:rPr>
        <w:t> </w:t>
      </w:r>
      <w:r>
        <w:rPr>
          <w:sz w:val="20"/>
        </w:rPr>
        <w:t>on</w:t>
      </w:r>
      <w:r>
        <w:rPr>
          <w:spacing w:val="-9"/>
          <w:sz w:val="20"/>
        </w:rPr>
        <w:t> </w:t>
      </w:r>
      <w:r>
        <w:rPr>
          <w:spacing w:val="-3"/>
          <w:sz w:val="20"/>
        </w:rPr>
        <w:t>bail/remand</w:t>
      </w:r>
      <w:r>
        <w:rPr>
          <w:spacing w:val="-10"/>
          <w:sz w:val="20"/>
        </w:rPr>
        <w:t> </w:t>
      </w:r>
      <w:r>
        <w:rPr>
          <w:sz w:val="20"/>
        </w:rPr>
        <w:t>or</w:t>
      </w:r>
      <w:r>
        <w:rPr>
          <w:spacing w:val="-9"/>
          <w:sz w:val="20"/>
        </w:rPr>
        <w:t> </w:t>
      </w:r>
      <w:r>
        <w:rPr>
          <w:sz w:val="20"/>
        </w:rPr>
        <w:t>undischarged bankrupts.</w:t>
      </w:r>
      <w:r>
        <w:rPr>
          <w:position w:val="7"/>
          <w:sz w:val="11"/>
        </w:rPr>
        <w:t>32</w:t>
      </w:r>
    </w:p>
    <w:p>
      <w:pPr>
        <w:pStyle w:val="ListParagraph"/>
        <w:numPr>
          <w:ilvl w:val="1"/>
          <w:numId w:val="12"/>
        </w:numPr>
        <w:tabs>
          <w:tab w:pos="1761" w:val="left" w:leader="none"/>
          <w:tab w:pos="1762" w:val="left" w:leader="none"/>
        </w:tabs>
        <w:spacing w:line="206" w:lineRule="auto" w:before="124" w:after="0"/>
        <w:ind w:left="1761" w:right="1247" w:hanging="794"/>
        <w:jc w:val="left"/>
        <w:rPr>
          <w:sz w:val="20"/>
        </w:rPr>
      </w:pPr>
      <w:r>
        <w:rPr>
          <w:sz w:val="20"/>
        </w:rPr>
        <w:t>In 2019, the Australian Law Reform Commission noted in response to the Committee on</w:t>
      </w:r>
      <w:r>
        <w:rPr>
          <w:spacing w:val="-10"/>
          <w:sz w:val="20"/>
        </w:rPr>
        <w:t> </w:t>
      </w:r>
      <w:r>
        <w:rPr>
          <w:sz w:val="20"/>
        </w:rPr>
        <w:t>the</w:t>
      </w:r>
      <w:r>
        <w:rPr>
          <w:spacing w:val="-9"/>
          <w:sz w:val="20"/>
        </w:rPr>
        <w:t> </w:t>
      </w:r>
      <w:r>
        <w:rPr>
          <w:sz w:val="20"/>
        </w:rPr>
        <w:t>Rights</w:t>
      </w:r>
      <w:r>
        <w:rPr>
          <w:spacing w:val="-9"/>
          <w:sz w:val="20"/>
        </w:rPr>
        <w:t> </w:t>
      </w:r>
      <w:r>
        <w:rPr>
          <w:sz w:val="20"/>
        </w:rPr>
        <w:t>of</w:t>
      </w:r>
      <w:r>
        <w:rPr>
          <w:spacing w:val="-9"/>
          <w:sz w:val="20"/>
        </w:rPr>
        <w:t> </w:t>
      </w:r>
      <w:r>
        <w:rPr>
          <w:sz w:val="20"/>
        </w:rPr>
        <w:t>Persons</w:t>
      </w:r>
      <w:r>
        <w:rPr>
          <w:spacing w:val="-9"/>
          <w:sz w:val="20"/>
        </w:rPr>
        <w:t> </w:t>
      </w:r>
      <w:r>
        <w:rPr>
          <w:sz w:val="20"/>
        </w:rPr>
        <w:t>with</w:t>
      </w:r>
      <w:r>
        <w:rPr>
          <w:spacing w:val="-9"/>
          <w:sz w:val="20"/>
        </w:rPr>
        <w:t> </w:t>
      </w:r>
      <w:r>
        <w:rPr>
          <w:sz w:val="20"/>
        </w:rPr>
        <w:t>Disabilities’</w:t>
      </w:r>
      <w:r>
        <w:rPr>
          <w:spacing w:val="-9"/>
          <w:sz w:val="20"/>
        </w:rPr>
        <w:t> </w:t>
      </w:r>
      <w:r>
        <w:rPr>
          <w:sz w:val="20"/>
        </w:rPr>
        <w:t>periodic</w:t>
      </w:r>
      <w:r>
        <w:rPr>
          <w:spacing w:val="-9"/>
          <w:sz w:val="20"/>
        </w:rPr>
        <w:t> </w:t>
      </w:r>
      <w:r>
        <w:rPr>
          <w:spacing w:val="-4"/>
          <w:sz w:val="20"/>
        </w:rPr>
        <w:t>review</w:t>
      </w:r>
      <w:r>
        <w:rPr>
          <w:spacing w:val="-9"/>
          <w:sz w:val="20"/>
        </w:rPr>
        <w:t> </w:t>
      </w:r>
      <w:r>
        <w:rPr>
          <w:sz w:val="20"/>
        </w:rPr>
        <w:t>of</w:t>
      </w:r>
      <w:r>
        <w:rPr>
          <w:spacing w:val="-9"/>
          <w:sz w:val="20"/>
        </w:rPr>
        <w:t> </w:t>
      </w:r>
      <w:r>
        <w:rPr>
          <w:spacing w:val="-3"/>
          <w:sz w:val="20"/>
        </w:rPr>
        <w:t>Australia’s</w:t>
      </w:r>
      <w:r>
        <w:rPr>
          <w:spacing w:val="-10"/>
          <w:sz w:val="20"/>
        </w:rPr>
        <w:t> </w:t>
      </w:r>
      <w:r>
        <w:rPr>
          <w:sz w:val="20"/>
        </w:rPr>
        <w:t>compliance</w:t>
      </w:r>
      <w:r>
        <w:rPr>
          <w:spacing w:val="-9"/>
          <w:sz w:val="20"/>
        </w:rPr>
        <w:t> </w:t>
      </w:r>
      <w:r>
        <w:rPr>
          <w:sz w:val="20"/>
        </w:rPr>
        <w:t>with the</w:t>
      </w:r>
      <w:r>
        <w:rPr>
          <w:spacing w:val="-6"/>
          <w:sz w:val="20"/>
        </w:rPr>
        <w:t> </w:t>
      </w:r>
      <w:r>
        <w:rPr>
          <w:sz w:val="20"/>
        </w:rPr>
        <w:t>Convention</w:t>
      </w:r>
      <w:r>
        <w:rPr>
          <w:spacing w:val="-5"/>
          <w:sz w:val="20"/>
        </w:rPr>
        <w:t> </w:t>
      </w:r>
      <w:r>
        <w:rPr>
          <w:sz w:val="20"/>
        </w:rPr>
        <w:t>on</w:t>
      </w:r>
      <w:r>
        <w:rPr>
          <w:spacing w:val="-5"/>
          <w:sz w:val="20"/>
        </w:rPr>
        <w:t> </w:t>
      </w:r>
      <w:r>
        <w:rPr>
          <w:sz w:val="20"/>
        </w:rPr>
        <w:t>the</w:t>
      </w:r>
      <w:r>
        <w:rPr>
          <w:spacing w:val="-5"/>
          <w:sz w:val="20"/>
        </w:rPr>
        <w:t> </w:t>
      </w:r>
      <w:r>
        <w:rPr>
          <w:sz w:val="20"/>
        </w:rPr>
        <w:t>Rights</w:t>
      </w:r>
      <w:r>
        <w:rPr>
          <w:spacing w:val="-6"/>
          <w:sz w:val="20"/>
        </w:rPr>
        <w:t> </w:t>
      </w:r>
      <w:r>
        <w:rPr>
          <w:sz w:val="20"/>
        </w:rPr>
        <w:t>of</w:t>
      </w:r>
      <w:r>
        <w:rPr>
          <w:spacing w:val="-5"/>
          <w:sz w:val="20"/>
        </w:rPr>
        <w:t> </w:t>
      </w:r>
      <w:r>
        <w:rPr>
          <w:sz w:val="20"/>
        </w:rPr>
        <w:t>Persons</w:t>
      </w:r>
      <w:r>
        <w:rPr>
          <w:spacing w:val="-5"/>
          <w:sz w:val="20"/>
        </w:rPr>
        <w:t> </w:t>
      </w:r>
      <w:r>
        <w:rPr>
          <w:sz w:val="20"/>
        </w:rPr>
        <w:t>with</w:t>
      </w:r>
      <w:r>
        <w:rPr>
          <w:spacing w:val="-5"/>
          <w:sz w:val="20"/>
        </w:rPr>
        <w:t> </w:t>
      </w:r>
      <w:r>
        <w:rPr>
          <w:sz w:val="20"/>
        </w:rPr>
        <w:t>Disabilities</w:t>
      </w:r>
      <w:r>
        <w:rPr>
          <w:spacing w:val="-6"/>
          <w:sz w:val="20"/>
        </w:rPr>
        <w:t> </w:t>
      </w:r>
      <w:r>
        <w:rPr>
          <w:sz w:val="20"/>
        </w:rPr>
        <w:t>that:</w:t>
      </w:r>
    </w:p>
    <w:p>
      <w:pPr>
        <w:spacing w:line="208" w:lineRule="auto" w:before="121"/>
        <w:ind w:left="2157" w:right="1474" w:firstLine="0"/>
        <w:jc w:val="both"/>
        <w:rPr>
          <w:sz w:val="11"/>
        </w:rPr>
      </w:pPr>
      <w:r>
        <w:rPr>
          <w:sz w:val="19"/>
        </w:rPr>
        <w:t>People</w:t>
      </w:r>
      <w:r>
        <w:rPr>
          <w:spacing w:val="-5"/>
          <w:sz w:val="19"/>
        </w:rPr>
        <w:t> </w:t>
      </w:r>
      <w:r>
        <w:rPr>
          <w:sz w:val="19"/>
        </w:rPr>
        <w:t>with</w:t>
      </w:r>
      <w:r>
        <w:rPr>
          <w:spacing w:val="-5"/>
          <w:sz w:val="19"/>
        </w:rPr>
        <w:t> </w:t>
      </w:r>
      <w:r>
        <w:rPr>
          <w:sz w:val="19"/>
        </w:rPr>
        <w:t>disability,</w:t>
      </w:r>
      <w:r>
        <w:rPr>
          <w:spacing w:val="-5"/>
          <w:sz w:val="19"/>
        </w:rPr>
        <w:t> </w:t>
      </w:r>
      <w:r>
        <w:rPr>
          <w:sz w:val="19"/>
        </w:rPr>
        <w:t>particularly</w:t>
      </w:r>
      <w:r>
        <w:rPr>
          <w:spacing w:val="-5"/>
          <w:sz w:val="19"/>
        </w:rPr>
        <w:t> </w:t>
      </w:r>
      <w:r>
        <w:rPr>
          <w:sz w:val="19"/>
        </w:rPr>
        <w:t>Aboriginal</w:t>
      </w:r>
      <w:r>
        <w:rPr>
          <w:spacing w:val="-5"/>
          <w:sz w:val="19"/>
        </w:rPr>
        <w:t> </w:t>
      </w:r>
      <w:r>
        <w:rPr>
          <w:sz w:val="19"/>
        </w:rPr>
        <w:t>and</w:t>
      </w:r>
      <w:r>
        <w:rPr>
          <w:spacing w:val="-5"/>
          <w:sz w:val="19"/>
        </w:rPr>
        <w:t> </w:t>
      </w:r>
      <w:r>
        <w:rPr>
          <w:spacing w:val="-4"/>
          <w:sz w:val="19"/>
        </w:rPr>
        <w:t>Torres</w:t>
      </w:r>
      <w:r>
        <w:rPr>
          <w:spacing w:val="-5"/>
          <w:sz w:val="19"/>
        </w:rPr>
        <w:t> </w:t>
      </w:r>
      <w:r>
        <w:rPr>
          <w:sz w:val="19"/>
        </w:rPr>
        <w:t>Strait</w:t>
      </w:r>
      <w:r>
        <w:rPr>
          <w:spacing w:val="-5"/>
          <w:sz w:val="19"/>
        </w:rPr>
        <w:t> </w:t>
      </w:r>
      <w:r>
        <w:rPr>
          <w:sz w:val="19"/>
        </w:rPr>
        <w:t>Islander</w:t>
      </w:r>
      <w:r>
        <w:rPr>
          <w:spacing w:val="-5"/>
          <w:sz w:val="19"/>
        </w:rPr>
        <w:t> </w:t>
      </w:r>
      <w:r>
        <w:rPr>
          <w:sz w:val="19"/>
        </w:rPr>
        <w:t>peoples</w:t>
      </w:r>
      <w:r>
        <w:rPr>
          <w:spacing w:val="-5"/>
          <w:sz w:val="19"/>
        </w:rPr>
        <w:t> </w:t>
      </w:r>
      <w:r>
        <w:rPr>
          <w:sz w:val="19"/>
        </w:rPr>
        <w:t>with disability, are overrepresented in the criminal justice system in</w:t>
      </w:r>
      <w:r>
        <w:rPr>
          <w:spacing w:val="-34"/>
          <w:sz w:val="19"/>
        </w:rPr>
        <w:t> </w:t>
      </w:r>
      <w:r>
        <w:rPr>
          <w:sz w:val="19"/>
        </w:rPr>
        <w:t>Australia.</w:t>
      </w:r>
      <w:r>
        <w:rPr>
          <w:position w:val="6"/>
          <w:sz w:val="11"/>
        </w:rPr>
        <w:t>33</w:t>
      </w:r>
    </w:p>
    <w:p>
      <w:pPr>
        <w:pStyle w:val="ListParagraph"/>
        <w:numPr>
          <w:ilvl w:val="1"/>
          <w:numId w:val="12"/>
        </w:numPr>
        <w:tabs>
          <w:tab w:pos="1761" w:val="left" w:leader="none"/>
          <w:tab w:pos="1762" w:val="left" w:leader="none"/>
        </w:tabs>
        <w:spacing w:line="206" w:lineRule="auto" w:before="124" w:after="0"/>
        <w:ind w:left="1761" w:right="1502" w:hanging="794"/>
        <w:jc w:val="left"/>
        <w:rPr>
          <w:sz w:val="11"/>
        </w:rPr>
      </w:pPr>
      <w:r>
        <w:rPr>
          <w:sz w:val="20"/>
        </w:rPr>
        <w:t>The Australian Law </w:t>
      </w:r>
      <w:r>
        <w:rPr>
          <w:spacing w:val="-2"/>
          <w:sz w:val="20"/>
        </w:rPr>
        <w:t>Reform </w:t>
      </w:r>
      <w:r>
        <w:rPr>
          <w:sz w:val="20"/>
        </w:rPr>
        <w:t>Commission reported in </w:t>
      </w:r>
      <w:r>
        <w:rPr>
          <w:spacing w:val="-5"/>
          <w:sz w:val="20"/>
        </w:rPr>
        <w:t>2017 </w:t>
      </w:r>
      <w:r>
        <w:rPr>
          <w:sz w:val="20"/>
        </w:rPr>
        <w:t>that, while Aboriginal and </w:t>
      </w:r>
      <w:r>
        <w:rPr>
          <w:spacing w:val="-5"/>
          <w:sz w:val="20"/>
        </w:rPr>
        <w:t>Torres</w:t>
      </w:r>
      <w:r>
        <w:rPr>
          <w:spacing w:val="-11"/>
          <w:sz w:val="20"/>
        </w:rPr>
        <w:t> </w:t>
      </w:r>
      <w:r>
        <w:rPr>
          <w:sz w:val="20"/>
        </w:rPr>
        <w:t>Strait</w:t>
      </w:r>
      <w:r>
        <w:rPr>
          <w:spacing w:val="-10"/>
          <w:sz w:val="20"/>
        </w:rPr>
        <w:t> </w:t>
      </w:r>
      <w:r>
        <w:rPr>
          <w:sz w:val="20"/>
        </w:rPr>
        <w:t>Islander</w:t>
      </w:r>
      <w:r>
        <w:rPr>
          <w:spacing w:val="-10"/>
          <w:sz w:val="20"/>
        </w:rPr>
        <w:t> </w:t>
      </w:r>
      <w:r>
        <w:rPr>
          <w:sz w:val="20"/>
        </w:rPr>
        <w:t>adults</w:t>
      </w:r>
      <w:r>
        <w:rPr>
          <w:spacing w:val="-10"/>
          <w:sz w:val="20"/>
        </w:rPr>
        <w:t> </w:t>
      </w:r>
      <w:r>
        <w:rPr>
          <w:spacing w:val="-3"/>
          <w:sz w:val="20"/>
        </w:rPr>
        <w:t>make</w:t>
      </w:r>
      <w:r>
        <w:rPr>
          <w:spacing w:val="-10"/>
          <w:sz w:val="20"/>
        </w:rPr>
        <w:t> </w:t>
      </w:r>
      <w:r>
        <w:rPr>
          <w:sz w:val="20"/>
        </w:rPr>
        <w:t>up</w:t>
      </w:r>
      <w:r>
        <w:rPr>
          <w:spacing w:val="-11"/>
          <w:sz w:val="20"/>
        </w:rPr>
        <w:t> </w:t>
      </w:r>
      <w:r>
        <w:rPr>
          <w:sz w:val="20"/>
        </w:rPr>
        <w:t>around</w:t>
      </w:r>
      <w:r>
        <w:rPr>
          <w:spacing w:val="-10"/>
          <w:sz w:val="20"/>
        </w:rPr>
        <w:t> </w:t>
      </w:r>
      <w:r>
        <w:rPr>
          <w:sz w:val="20"/>
        </w:rPr>
        <w:t>two</w:t>
      </w:r>
      <w:r>
        <w:rPr>
          <w:spacing w:val="-10"/>
          <w:sz w:val="20"/>
        </w:rPr>
        <w:t> </w:t>
      </w:r>
      <w:r>
        <w:rPr>
          <w:sz w:val="20"/>
        </w:rPr>
        <w:t>per</w:t>
      </w:r>
      <w:r>
        <w:rPr>
          <w:spacing w:val="-10"/>
          <w:sz w:val="20"/>
        </w:rPr>
        <w:t> </w:t>
      </w:r>
      <w:r>
        <w:rPr>
          <w:sz w:val="20"/>
        </w:rPr>
        <w:t>cent</w:t>
      </w:r>
      <w:r>
        <w:rPr>
          <w:spacing w:val="-10"/>
          <w:sz w:val="20"/>
        </w:rPr>
        <w:t> </w:t>
      </w:r>
      <w:r>
        <w:rPr>
          <w:sz w:val="20"/>
        </w:rPr>
        <w:t>of</w:t>
      </w:r>
      <w:r>
        <w:rPr>
          <w:spacing w:val="-10"/>
          <w:sz w:val="20"/>
        </w:rPr>
        <w:t> </w:t>
      </w:r>
      <w:r>
        <w:rPr>
          <w:sz w:val="20"/>
        </w:rPr>
        <w:t>the</w:t>
      </w:r>
      <w:r>
        <w:rPr>
          <w:spacing w:val="-11"/>
          <w:sz w:val="20"/>
        </w:rPr>
        <w:t> </w:t>
      </w:r>
      <w:r>
        <w:rPr>
          <w:sz w:val="20"/>
        </w:rPr>
        <w:t>national</w:t>
      </w:r>
      <w:r>
        <w:rPr>
          <w:spacing w:val="-10"/>
          <w:sz w:val="20"/>
        </w:rPr>
        <w:t> </w:t>
      </w:r>
      <w:r>
        <w:rPr>
          <w:sz w:val="20"/>
        </w:rPr>
        <w:t>population, they</w:t>
      </w:r>
      <w:r>
        <w:rPr>
          <w:spacing w:val="-6"/>
          <w:sz w:val="20"/>
        </w:rPr>
        <w:t> </w:t>
      </w:r>
      <w:r>
        <w:rPr>
          <w:sz w:val="20"/>
        </w:rPr>
        <w:t>constitute</w:t>
      </w:r>
      <w:r>
        <w:rPr>
          <w:spacing w:val="-5"/>
          <w:sz w:val="20"/>
        </w:rPr>
        <w:t> </w:t>
      </w:r>
      <w:r>
        <w:rPr>
          <w:spacing w:val="-3"/>
          <w:sz w:val="20"/>
        </w:rPr>
        <w:t>27</w:t>
      </w:r>
      <w:r>
        <w:rPr>
          <w:spacing w:val="-5"/>
          <w:sz w:val="20"/>
        </w:rPr>
        <w:t> </w:t>
      </w:r>
      <w:r>
        <w:rPr>
          <w:sz w:val="20"/>
        </w:rPr>
        <w:t>per</w:t>
      </w:r>
      <w:r>
        <w:rPr>
          <w:spacing w:val="-5"/>
          <w:sz w:val="20"/>
        </w:rPr>
        <w:t> </w:t>
      </w:r>
      <w:r>
        <w:rPr>
          <w:sz w:val="20"/>
        </w:rPr>
        <w:t>cent</w:t>
      </w:r>
      <w:r>
        <w:rPr>
          <w:spacing w:val="-5"/>
          <w:sz w:val="20"/>
        </w:rPr>
        <w:t> </w:t>
      </w:r>
      <w:r>
        <w:rPr>
          <w:sz w:val="20"/>
        </w:rPr>
        <w:t>of</w:t>
      </w:r>
      <w:r>
        <w:rPr>
          <w:spacing w:val="-6"/>
          <w:sz w:val="20"/>
        </w:rPr>
        <w:t> </w:t>
      </w:r>
      <w:r>
        <w:rPr>
          <w:sz w:val="20"/>
        </w:rPr>
        <w:t>the</w:t>
      </w:r>
      <w:r>
        <w:rPr>
          <w:spacing w:val="-5"/>
          <w:sz w:val="20"/>
        </w:rPr>
        <w:t> </w:t>
      </w:r>
      <w:r>
        <w:rPr>
          <w:sz w:val="20"/>
        </w:rPr>
        <w:t>national</w:t>
      </w:r>
      <w:r>
        <w:rPr>
          <w:spacing w:val="-5"/>
          <w:sz w:val="20"/>
        </w:rPr>
        <w:t> </w:t>
      </w:r>
      <w:r>
        <w:rPr>
          <w:sz w:val="20"/>
        </w:rPr>
        <w:t>prison</w:t>
      </w:r>
      <w:r>
        <w:rPr>
          <w:spacing w:val="-5"/>
          <w:sz w:val="20"/>
        </w:rPr>
        <w:t> </w:t>
      </w:r>
      <w:r>
        <w:rPr>
          <w:sz w:val="20"/>
        </w:rPr>
        <w:t>population.</w:t>
      </w:r>
      <w:r>
        <w:rPr>
          <w:position w:val="7"/>
          <w:sz w:val="11"/>
        </w:rPr>
        <w:t>34</w:t>
      </w:r>
    </w:p>
    <w:p>
      <w:pPr>
        <w:pStyle w:val="ListParagraph"/>
        <w:numPr>
          <w:ilvl w:val="1"/>
          <w:numId w:val="12"/>
        </w:numPr>
        <w:tabs>
          <w:tab w:pos="1761" w:val="left" w:leader="none"/>
          <w:tab w:pos="1762" w:val="left" w:leader="none"/>
        </w:tabs>
        <w:spacing w:line="206" w:lineRule="auto" w:before="123" w:after="0"/>
        <w:ind w:left="1761" w:right="1259" w:hanging="794"/>
        <w:jc w:val="left"/>
        <w:rPr>
          <w:sz w:val="11"/>
        </w:rPr>
      </w:pPr>
      <w:r>
        <w:rPr>
          <w:sz w:val="20"/>
        </w:rPr>
        <w:t>In Victoria, the imprisonment </w:t>
      </w:r>
      <w:r>
        <w:rPr>
          <w:spacing w:val="-3"/>
          <w:sz w:val="20"/>
        </w:rPr>
        <w:t>rate </w:t>
      </w:r>
      <w:r>
        <w:rPr>
          <w:sz w:val="20"/>
        </w:rPr>
        <w:t>for Aboriginal people is significantly higher than the </w:t>
      </w:r>
      <w:r>
        <w:rPr>
          <w:spacing w:val="-3"/>
          <w:sz w:val="20"/>
        </w:rPr>
        <w:t>rate </w:t>
      </w:r>
      <w:r>
        <w:rPr>
          <w:sz w:val="20"/>
        </w:rPr>
        <w:t>for the total Victorian population. The Sentencing Advisory Council identifies that the </w:t>
      </w:r>
      <w:r>
        <w:rPr>
          <w:spacing w:val="-3"/>
          <w:sz w:val="20"/>
        </w:rPr>
        <w:t>‘Aboriginal </w:t>
      </w:r>
      <w:r>
        <w:rPr>
          <w:sz w:val="20"/>
        </w:rPr>
        <w:t>and </w:t>
      </w:r>
      <w:r>
        <w:rPr>
          <w:spacing w:val="-5"/>
          <w:sz w:val="20"/>
        </w:rPr>
        <w:t>Torres </w:t>
      </w:r>
      <w:r>
        <w:rPr>
          <w:sz w:val="20"/>
        </w:rPr>
        <w:t>Strait Islander imprisonment </w:t>
      </w:r>
      <w:r>
        <w:rPr>
          <w:spacing w:val="-3"/>
          <w:sz w:val="20"/>
        </w:rPr>
        <w:t>rate </w:t>
      </w:r>
      <w:r>
        <w:rPr>
          <w:sz w:val="20"/>
        </w:rPr>
        <w:t>almost doubled between 2011</w:t>
      </w:r>
      <w:r>
        <w:rPr>
          <w:spacing w:val="-8"/>
          <w:sz w:val="20"/>
        </w:rPr>
        <w:t> </w:t>
      </w:r>
      <w:r>
        <w:rPr>
          <w:sz w:val="20"/>
        </w:rPr>
        <w:t>and</w:t>
      </w:r>
      <w:r>
        <w:rPr>
          <w:spacing w:val="-8"/>
          <w:sz w:val="20"/>
        </w:rPr>
        <w:t> </w:t>
      </w:r>
      <w:r>
        <w:rPr>
          <w:spacing w:val="-3"/>
          <w:sz w:val="20"/>
        </w:rPr>
        <w:t>2021,</w:t>
      </w:r>
      <w:r>
        <w:rPr>
          <w:spacing w:val="-8"/>
          <w:sz w:val="20"/>
        </w:rPr>
        <w:t> </w:t>
      </w:r>
      <w:r>
        <w:rPr>
          <w:spacing w:val="-3"/>
          <w:sz w:val="20"/>
        </w:rPr>
        <w:t>from</w:t>
      </w:r>
      <w:r>
        <w:rPr>
          <w:spacing w:val="-7"/>
          <w:sz w:val="20"/>
        </w:rPr>
        <w:t> </w:t>
      </w:r>
      <w:r>
        <w:rPr>
          <w:spacing w:val="2"/>
          <w:sz w:val="20"/>
        </w:rPr>
        <w:t>965.2</w:t>
      </w:r>
      <w:r>
        <w:rPr>
          <w:spacing w:val="-8"/>
          <w:sz w:val="20"/>
        </w:rPr>
        <w:t> </w:t>
      </w:r>
      <w:r>
        <w:rPr>
          <w:sz w:val="20"/>
        </w:rPr>
        <w:t>to</w:t>
      </w:r>
      <w:r>
        <w:rPr>
          <w:spacing w:val="-8"/>
          <w:sz w:val="20"/>
        </w:rPr>
        <w:t> </w:t>
      </w:r>
      <w:r>
        <w:rPr>
          <w:sz w:val="20"/>
        </w:rPr>
        <w:t>1903.5</w:t>
      </w:r>
      <w:r>
        <w:rPr>
          <w:spacing w:val="-8"/>
          <w:sz w:val="20"/>
        </w:rPr>
        <w:t> </w:t>
      </w:r>
      <w:r>
        <w:rPr>
          <w:sz w:val="20"/>
        </w:rPr>
        <w:t>per</w:t>
      </w:r>
      <w:r>
        <w:rPr>
          <w:spacing w:val="-7"/>
          <w:sz w:val="20"/>
        </w:rPr>
        <w:t> </w:t>
      </w:r>
      <w:r>
        <w:rPr>
          <w:sz w:val="20"/>
        </w:rPr>
        <w:t>100,000</w:t>
      </w:r>
      <w:r>
        <w:rPr>
          <w:spacing w:val="-8"/>
          <w:sz w:val="20"/>
        </w:rPr>
        <w:t> </w:t>
      </w:r>
      <w:r>
        <w:rPr>
          <w:sz w:val="20"/>
        </w:rPr>
        <w:t>adults.</w:t>
      </w:r>
      <w:r>
        <w:rPr>
          <w:spacing w:val="-8"/>
          <w:sz w:val="20"/>
        </w:rPr>
        <w:t> </w:t>
      </w:r>
      <w:r>
        <w:rPr>
          <w:sz w:val="20"/>
        </w:rPr>
        <w:t>Overall,</w:t>
      </w:r>
      <w:r>
        <w:rPr>
          <w:spacing w:val="-7"/>
          <w:sz w:val="20"/>
        </w:rPr>
        <w:t> </w:t>
      </w:r>
      <w:r>
        <w:rPr>
          <w:spacing w:val="-3"/>
          <w:sz w:val="20"/>
        </w:rPr>
        <w:t>Victoria’s</w:t>
      </w:r>
      <w:r>
        <w:rPr>
          <w:spacing w:val="-8"/>
          <w:sz w:val="20"/>
        </w:rPr>
        <w:t> </w:t>
      </w:r>
      <w:r>
        <w:rPr>
          <w:sz w:val="20"/>
        </w:rPr>
        <w:t>imprisonment </w:t>
      </w:r>
      <w:r>
        <w:rPr>
          <w:spacing w:val="-3"/>
          <w:sz w:val="20"/>
        </w:rPr>
        <w:t>rate</w:t>
      </w:r>
      <w:r>
        <w:rPr>
          <w:spacing w:val="-10"/>
          <w:sz w:val="20"/>
        </w:rPr>
        <w:t> </w:t>
      </w:r>
      <w:r>
        <w:rPr>
          <w:sz w:val="20"/>
        </w:rPr>
        <w:t>also</w:t>
      </w:r>
      <w:r>
        <w:rPr>
          <w:spacing w:val="-9"/>
          <w:sz w:val="20"/>
        </w:rPr>
        <w:t> </w:t>
      </w:r>
      <w:r>
        <w:rPr>
          <w:spacing w:val="-5"/>
          <w:sz w:val="20"/>
        </w:rPr>
        <w:t>grew,</w:t>
      </w:r>
      <w:r>
        <w:rPr>
          <w:spacing w:val="-9"/>
          <w:sz w:val="20"/>
        </w:rPr>
        <w:t> </w:t>
      </w:r>
      <w:r>
        <w:rPr>
          <w:sz w:val="20"/>
        </w:rPr>
        <w:t>albeit</w:t>
      </w:r>
      <w:r>
        <w:rPr>
          <w:spacing w:val="-9"/>
          <w:sz w:val="20"/>
        </w:rPr>
        <w:t> </w:t>
      </w:r>
      <w:r>
        <w:rPr>
          <w:sz w:val="20"/>
        </w:rPr>
        <w:t>to</w:t>
      </w:r>
      <w:r>
        <w:rPr>
          <w:spacing w:val="-10"/>
          <w:sz w:val="20"/>
        </w:rPr>
        <w:t> </w:t>
      </w:r>
      <w:r>
        <w:rPr>
          <w:sz w:val="20"/>
        </w:rPr>
        <w:t>a</w:t>
      </w:r>
      <w:r>
        <w:rPr>
          <w:spacing w:val="-9"/>
          <w:sz w:val="20"/>
        </w:rPr>
        <w:t> </w:t>
      </w:r>
      <w:r>
        <w:rPr>
          <w:sz w:val="20"/>
        </w:rPr>
        <w:t>smaller</w:t>
      </w:r>
      <w:r>
        <w:rPr>
          <w:spacing w:val="-9"/>
          <w:sz w:val="20"/>
        </w:rPr>
        <w:t> </w:t>
      </w:r>
      <w:r>
        <w:rPr>
          <w:sz w:val="20"/>
        </w:rPr>
        <w:t>extent,</w:t>
      </w:r>
      <w:r>
        <w:rPr>
          <w:spacing w:val="-9"/>
          <w:sz w:val="20"/>
        </w:rPr>
        <w:t> </w:t>
      </w:r>
      <w:r>
        <w:rPr>
          <w:spacing w:val="-3"/>
          <w:sz w:val="20"/>
        </w:rPr>
        <w:t>from</w:t>
      </w:r>
      <w:r>
        <w:rPr>
          <w:spacing w:val="-10"/>
          <w:sz w:val="20"/>
        </w:rPr>
        <w:t> </w:t>
      </w:r>
      <w:r>
        <w:rPr>
          <w:sz w:val="20"/>
        </w:rPr>
        <w:t>110.2</w:t>
      </w:r>
      <w:r>
        <w:rPr>
          <w:spacing w:val="-9"/>
          <w:sz w:val="20"/>
        </w:rPr>
        <w:t> </w:t>
      </w:r>
      <w:r>
        <w:rPr>
          <w:sz w:val="20"/>
        </w:rPr>
        <w:t>in</w:t>
      </w:r>
      <w:r>
        <w:rPr>
          <w:spacing w:val="-9"/>
          <w:sz w:val="20"/>
        </w:rPr>
        <w:t> </w:t>
      </w:r>
      <w:r>
        <w:rPr>
          <w:sz w:val="20"/>
        </w:rPr>
        <w:t>2011</w:t>
      </w:r>
      <w:r>
        <w:rPr>
          <w:spacing w:val="-9"/>
          <w:sz w:val="20"/>
        </w:rPr>
        <w:t> </w:t>
      </w:r>
      <w:r>
        <w:rPr>
          <w:sz w:val="20"/>
        </w:rPr>
        <w:t>to</w:t>
      </w:r>
      <w:r>
        <w:rPr>
          <w:spacing w:val="-9"/>
          <w:sz w:val="20"/>
        </w:rPr>
        <w:t> </w:t>
      </w:r>
      <w:r>
        <w:rPr>
          <w:sz w:val="20"/>
        </w:rPr>
        <w:t>138.7</w:t>
      </w:r>
      <w:r>
        <w:rPr>
          <w:spacing w:val="-10"/>
          <w:sz w:val="20"/>
        </w:rPr>
        <w:t> </w:t>
      </w:r>
      <w:r>
        <w:rPr>
          <w:sz w:val="20"/>
        </w:rPr>
        <w:t>[per</w:t>
      </w:r>
      <w:r>
        <w:rPr>
          <w:spacing w:val="-9"/>
          <w:sz w:val="20"/>
        </w:rPr>
        <w:t> </w:t>
      </w:r>
      <w:r>
        <w:rPr>
          <w:sz w:val="20"/>
        </w:rPr>
        <w:t>100,000</w:t>
      </w:r>
      <w:r>
        <w:rPr>
          <w:spacing w:val="-9"/>
          <w:sz w:val="20"/>
        </w:rPr>
        <w:t> </w:t>
      </w:r>
      <w:r>
        <w:rPr>
          <w:sz w:val="20"/>
        </w:rPr>
        <w:t>adults] in</w:t>
      </w:r>
      <w:r>
        <w:rPr>
          <w:spacing w:val="-4"/>
          <w:sz w:val="20"/>
        </w:rPr>
        <w:t> </w:t>
      </w:r>
      <w:r>
        <w:rPr>
          <w:spacing w:val="-3"/>
          <w:sz w:val="20"/>
        </w:rPr>
        <w:t>2021.’</w:t>
      </w:r>
      <w:r>
        <w:rPr>
          <w:spacing w:val="-3"/>
          <w:position w:val="7"/>
          <w:sz w:val="11"/>
        </w:rPr>
        <w:t>35</w:t>
      </w:r>
    </w:p>
    <w:p>
      <w:pPr>
        <w:pStyle w:val="ListParagraph"/>
        <w:numPr>
          <w:ilvl w:val="1"/>
          <w:numId w:val="12"/>
        </w:numPr>
        <w:tabs>
          <w:tab w:pos="1761" w:val="left" w:leader="none"/>
          <w:tab w:pos="1762" w:val="left" w:leader="none"/>
        </w:tabs>
        <w:spacing w:line="259" w:lineRule="exact" w:before="96" w:after="0"/>
        <w:ind w:left="1761" w:right="0" w:hanging="794"/>
        <w:jc w:val="left"/>
        <w:rPr>
          <w:sz w:val="20"/>
        </w:rPr>
      </w:pPr>
      <w:r>
        <w:rPr>
          <w:sz w:val="20"/>
        </w:rPr>
        <w:t>Disproportionately</w:t>
      </w:r>
      <w:r>
        <w:rPr>
          <w:spacing w:val="-7"/>
          <w:sz w:val="20"/>
        </w:rPr>
        <w:t> </w:t>
      </w:r>
      <w:r>
        <w:rPr>
          <w:sz w:val="20"/>
        </w:rPr>
        <w:t>high</w:t>
      </w:r>
      <w:r>
        <w:rPr>
          <w:spacing w:val="-7"/>
          <w:sz w:val="20"/>
        </w:rPr>
        <w:t> </w:t>
      </w:r>
      <w:r>
        <w:rPr>
          <w:spacing w:val="-3"/>
          <w:sz w:val="20"/>
        </w:rPr>
        <w:t>rates</w:t>
      </w:r>
      <w:r>
        <w:rPr>
          <w:spacing w:val="-7"/>
          <w:sz w:val="20"/>
        </w:rPr>
        <w:t> </w:t>
      </w:r>
      <w:r>
        <w:rPr>
          <w:sz w:val="20"/>
        </w:rPr>
        <w:t>of</w:t>
      </w:r>
      <w:r>
        <w:rPr>
          <w:spacing w:val="-7"/>
          <w:sz w:val="20"/>
        </w:rPr>
        <w:t> </w:t>
      </w:r>
      <w:r>
        <w:rPr>
          <w:sz w:val="20"/>
        </w:rPr>
        <w:t>incarceration</w:t>
      </w:r>
      <w:r>
        <w:rPr>
          <w:spacing w:val="-7"/>
          <w:sz w:val="20"/>
        </w:rPr>
        <w:t> </w:t>
      </w:r>
      <w:r>
        <w:rPr>
          <w:sz w:val="20"/>
        </w:rPr>
        <w:t>for</w:t>
      </w:r>
      <w:r>
        <w:rPr>
          <w:spacing w:val="-6"/>
          <w:sz w:val="20"/>
        </w:rPr>
        <w:t> </w:t>
      </w:r>
      <w:r>
        <w:rPr>
          <w:sz w:val="20"/>
        </w:rPr>
        <w:t>Aboriginal</w:t>
      </w:r>
      <w:r>
        <w:rPr>
          <w:spacing w:val="-7"/>
          <w:sz w:val="20"/>
        </w:rPr>
        <w:t> </w:t>
      </w:r>
      <w:r>
        <w:rPr>
          <w:sz w:val="20"/>
        </w:rPr>
        <w:t>people</w:t>
      </w:r>
      <w:r>
        <w:rPr>
          <w:spacing w:val="-7"/>
          <w:sz w:val="20"/>
        </w:rPr>
        <w:t> </w:t>
      </w:r>
      <w:r>
        <w:rPr>
          <w:sz w:val="20"/>
        </w:rPr>
        <w:t>mean</w:t>
      </w:r>
      <w:r>
        <w:rPr>
          <w:spacing w:val="-7"/>
          <w:sz w:val="20"/>
        </w:rPr>
        <w:t> </w:t>
      </w:r>
      <w:r>
        <w:rPr>
          <w:sz w:val="20"/>
        </w:rPr>
        <w:t>that</w:t>
      </w:r>
      <w:r>
        <w:rPr>
          <w:spacing w:val="-7"/>
          <w:sz w:val="20"/>
        </w:rPr>
        <w:t> </w:t>
      </w:r>
      <w:r>
        <w:rPr>
          <w:sz w:val="20"/>
        </w:rPr>
        <w:t>there</w:t>
      </w:r>
      <w:r>
        <w:rPr>
          <w:spacing w:val="-7"/>
          <w:sz w:val="20"/>
        </w:rPr>
        <w:t> </w:t>
      </w:r>
      <w:r>
        <w:rPr>
          <w:sz w:val="20"/>
        </w:rPr>
        <w:t>is</w:t>
      </w:r>
      <w:r>
        <w:rPr>
          <w:spacing w:val="-6"/>
          <w:sz w:val="20"/>
        </w:rPr>
        <w:t> </w:t>
      </w:r>
      <w:r>
        <w:rPr>
          <w:sz w:val="20"/>
        </w:rPr>
        <w:t>a</w:t>
      </w:r>
    </w:p>
    <w:p>
      <w:pPr>
        <w:pStyle w:val="BodyText"/>
        <w:spacing w:line="259" w:lineRule="exact"/>
        <w:ind w:left="206" w:right="1836"/>
        <w:jc w:val="center"/>
      </w:pPr>
      <w:r>
        <w:rPr/>
        <w:t>greater likelihood of disqualification from service under the Act.</w:t>
      </w:r>
    </w:p>
    <w:p>
      <w:pPr>
        <w:pStyle w:val="BodyText"/>
      </w:pPr>
    </w:p>
    <w:p>
      <w:pPr>
        <w:pStyle w:val="BodyText"/>
      </w:pPr>
    </w:p>
    <w:p>
      <w:pPr>
        <w:pStyle w:val="BodyText"/>
      </w:pPr>
    </w:p>
    <w:p>
      <w:pPr>
        <w:pStyle w:val="BodyText"/>
      </w:pPr>
    </w:p>
    <w:p>
      <w:pPr>
        <w:pStyle w:val="BodyText"/>
      </w:pPr>
    </w:p>
    <w:p>
      <w:pPr>
        <w:pStyle w:val="BodyText"/>
        <w:rPr>
          <w:sz w:val="29"/>
        </w:rPr>
      </w:pPr>
      <w:r>
        <w:rPr/>
        <w:pict>
          <v:line style="position:absolute;mso-position-horizontal-relative:page;mso-position-vertical-relative:paragraph;z-index:1520;mso-wrap-distance-left:0;mso-wrap-distance-right:0" from="79.370003pt,22.581699pt" to="515.905003pt,22.581699pt" stroked="true" strokeweight="1pt" strokecolor="#b6bdc8">
            <v:stroke dashstyle="solid"/>
            <w10:wrap type="topAndBottom"/>
          </v:line>
        </w:pict>
      </w:r>
    </w:p>
    <w:p>
      <w:pPr>
        <w:pStyle w:val="ListParagraph"/>
        <w:numPr>
          <w:ilvl w:val="0"/>
          <w:numId w:val="29"/>
        </w:numPr>
        <w:tabs>
          <w:tab w:pos="1761" w:val="left" w:leader="none"/>
          <w:tab w:pos="1762" w:val="left" w:leader="none"/>
        </w:tabs>
        <w:spacing w:line="170" w:lineRule="exact" w:before="91" w:after="0"/>
        <w:ind w:left="1761" w:right="0" w:hanging="794"/>
        <w:jc w:val="left"/>
        <w:rPr>
          <w:sz w:val="13"/>
        </w:rPr>
      </w:pPr>
      <w:r>
        <w:rPr>
          <w:sz w:val="13"/>
        </w:rPr>
        <w:t>Consultation 23 </w:t>
      </w:r>
      <w:r>
        <w:rPr>
          <w:spacing w:val="2"/>
          <w:sz w:val="13"/>
        </w:rPr>
        <w:t>(Victorian </w:t>
      </w:r>
      <w:r>
        <w:rPr>
          <w:sz w:val="13"/>
        </w:rPr>
        <w:t>Aboriginal </w:t>
      </w:r>
      <w:r>
        <w:rPr>
          <w:spacing w:val="2"/>
          <w:sz w:val="13"/>
        </w:rPr>
        <w:t>Community </w:t>
      </w:r>
      <w:r>
        <w:rPr>
          <w:sz w:val="13"/>
        </w:rPr>
        <w:t>Controlled Health Organisation</w:t>
      </w:r>
      <w:r>
        <w:rPr>
          <w:spacing w:val="2"/>
          <w:sz w:val="13"/>
        </w:rPr>
        <w:t> </w:t>
      </w:r>
      <w:r>
        <w:rPr>
          <w:sz w:val="13"/>
        </w:rPr>
        <w:t>(VACCHO)).</w:t>
      </w:r>
    </w:p>
    <w:p>
      <w:pPr>
        <w:pStyle w:val="ListParagraph"/>
        <w:numPr>
          <w:ilvl w:val="0"/>
          <w:numId w:val="29"/>
        </w:numPr>
        <w:tabs>
          <w:tab w:pos="1760"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29"/>
        </w:numPr>
        <w:tabs>
          <w:tab w:pos="1761" w:val="left" w:leader="none"/>
          <w:tab w:pos="1762" w:val="left" w:leader="none"/>
        </w:tabs>
        <w:spacing w:line="160" w:lineRule="exact" w:before="0" w:after="0"/>
        <w:ind w:left="1761" w:right="0" w:hanging="794"/>
        <w:jc w:val="left"/>
        <w:rPr>
          <w:sz w:val="13"/>
        </w:rPr>
      </w:pPr>
      <w:r>
        <w:rPr>
          <w:i/>
          <w:sz w:val="13"/>
        </w:rPr>
        <w:t>Juries Act 2000 </w:t>
      </w:r>
      <w:r>
        <w:rPr>
          <w:spacing w:val="2"/>
          <w:sz w:val="13"/>
        </w:rPr>
        <w:t>(Vic) </w:t>
      </w:r>
      <w:r>
        <w:rPr>
          <w:sz w:val="13"/>
        </w:rPr>
        <w:t>sch</w:t>
      </w:r>
      <w:r>
        <w:rPr>
          <w:spacing w:val="-2"/>
          <w:sz w:val="13"/>
        </w:rPr>
        <w:t> </w:t>
      </w:r>
      <w:r>
        <w:rPr>
          <w:spacing w:val="3"/>
          <w:sz w:val="13"/>
        </w:rPr>
        <w:t>1.</w:t>
      </w:r>
    </w:p>
    <w:p>
      <w:pPr>
        <w:pStyle w:val="ListParagraph"/>
        <w:numPr>
          <w:ilvl w:val="0"/>
          <w:numId w:val="29"/>
        </w:numPr>
        <w:tabs>
          <w:tab w:pos="1760" w:val="left" w:leader="none"/>
          <w:tab w:pos="1762" w:val="left" w:leader="none"/>
        </w:tabs>
        <w:spacing w:line="213" w:lineRule="auto" w:before="6" w:after="0"/>
        <w:ind w:left="1761" w:right="1223" w:hanging="794"/>
        <w:jc w:val="left"/>
        <w:rPr>
          <w:sz w:val="13"/>
        </w:rPr>
      </w:pPr>
      <w:r>
        <w:rPr>
          <w:sz w:val="13"/>
        </w:rPr>
        <w:t>Australian Human Rights </w:t>
      </w:r>
      <w:r>
        <w:rPr>
          <w:spacing w:val="2"/>
          <w:sz w:val="13"/>
        </w:rPr>
        <w:t>Commission, Submission </w:t>
      </w:r>
      <w:r>
        <w:rPr>
          <w:sz w:val="13"/>
        </w:rPr>
        <w:t>to United Nations Committee on the Rights of Persons with </w:t>
      </w:r>
      <w:r>
        <w:rPr>
          <w:spacing w:val="2"/>
          <w:sz w:val="13"/>
        </w:rPr>
        <w:t>Disabilities, </w:t>
      </w:r>
      <w:r>
        <w:rPr>
          <w:i/>
          <w:sz w:val="13"/>
        </w:rPr>
        <w:t>Information Concerning Australia’s Compliance with the Convention on the </w:t>
      </w:r>
      <w:r>
        <w:rPr>
          <w:i/>
          <w:spacing w:val="2"/>
          <w:sz w:val="13"/>
        </w:rPr>
        <w:t>Rights </w:t>
      </w:r>
      <w:r>
        <w:rPr>
          <w:i/>
          <w:sz w:val="13"/>
        </w:rPr>
        <w:t>of Persons with Disabilities </w:t>
      </w:r>
      <w:r>
        <w:rPr>
          <w:sz w:val="13"/>
        </w:rPr>
        <w:t>(25 July 2019) 18, [60].   This includes children with disability, who are similarly overrepresented in the juvenile justice system. See </w:t>
      </w:r>
      <w:r>
        <w:rPr>
          <w:spacing w:val="2"/>
          <w:sz w:val="13"/>
        </w:rPr>
        <w:t>also </w:t>
      </w:r>
      <w:r>
        <w:rPr>
          <w:sz w:val="13"/>
        </w:rPr>
        <w:t>Australian Human Rights </w:t>
      </w:r>
      <w:r>
        <w:rPr>
          <w:spacing w:val="2"/>
          <w:sz w:val="13"/>
        </w:rPr>
        <w:t>Commission, </w:t>
      </w:r>
      <w:r>
        <w:rPr>
          <w:i/>
          <w:sz w:val="13"/>
        </w:rPr>
        <w:t>Equal before the Law: Towards Disability Justice Strategies </w:t>
      </w:r>
      <w:r>
        <w:rPr>
          <w:spacing w:val="2"/>
          <w:sz w:val="13"/>
        </w:rPr>
        <w:t>(Report, </w:t>
      </w:r>
      <w:r>
        <w:rPr>
          <w:sz w:val="13"/>
        </w:rPr>
        <w:t>February </w:t>
      </w:r>
      <w:r>
        <w:rPr>
          <w:spacing w:val="2"/>
          <w:sz w:val="13"/>
        </w:rPr>
        <w:t>2014); </w:t>
      </w:r>
      <w:r>
        <w:rPr>
          <w:sz w:val="13"/>
        </w:rPr>
        <w:t>Law Council of Australia, </w:t>
      </w:r>
      <w:r>
        <w:rPr>
          <w:i/>
          <w:sz w:val="13"/>
        </w:rPr>
        <w:t>People with Disability </w:t>
      </w:r>
      <w:r>
        <w:rPr>
          <w:spacing w:val="2"/>
          <w:sz w:val="13"/>
        </w:rPr>
        <w:t>(The </w:t>
      </w:r>
      <w:r>
        <w:rPr>
          <w:sz w:val="13"/>
        </w:rPr>
        <w:t>Justice Project, Final </w:t>
      </w:r>
      <w:r>
        <w:rPr>
          <w:spacing w:val="2"/>
          <w:sz w:val="13"/>
        </w:rPr>
        <w:t>Report Part </w:t>
      </w:r>
      <w:r>
        <w:rPr>
          <w:sz w:val="13"/>
        </w:rPr>
        <w:t>1, August 2018); Human Rights Watch, </w:t>
      </w:r>
      <w:r>
        <w:rPr>
          <w:i/>
          <w:spacing w:val="2"/>
          <w:sz w:val="13"/>
        </w:rPr>
        <w:t>‘“I Needed </w:t>
      </w:r>
      <w:r>
        <w:rPr>
          <w:i/>
          <w:sz w:val="13"/>
        </w:rPr>
        <w:t>Help, Instead I Was </w:t>
      </w:r>
      <w:r>
        <w:rPr>
          <w:i/>
          <w:sz w:val="13"/>
        </w:rPr>
        <w:t>Punished”: Abuse and Neglect of Prisoners with Disabilities in Australia’ </w:t>
      </w:r>
      <w:r>
        <w:rPr>
          <w:spacing w:val="2"/>
          <w:sz w:val="13"/>
        </w:rPr>
        <w:t>(Report, </w:t>
      </w:r>
      <w:r>
        <w:rPr>
          <w:sz w:val="13"/>
        </w:rPr>
        <w:t>6 February</w:t>
      </w:r>
      <w:r>
        <w:rPr>
          <w:spacing w:val="16"/>
          <w:sz w:val="13"/>
        </w:rPr>
        <w:t> </w:t>
      </w:r>
      <w:r>
        <w:rPr>
          <w:sz w:val="13"/>
        </w:rPr>
        <w:t>2018).</w:t>
      </w:r>
    </w:p>
    <w:p>
      <w:pPr>
        <w:pStyle w:val="ListParagraph"/>
        <w:numPr>
          <w:ilvl w:val="0"/>
          <w:numId w:val="29"/>
        </w:numPr>
        <w:tabs>
          <w:tab w:pos="1761" w:val="left" w:leader="none"/>
          <w:tab w:pos="1762" w:val="left" w:leader="none"/>
        </w:tabs>
        <w:spacing w:line="213" w:lineRule="auto" w:before="0" w:after="0"/>
        <w:ind w:left="1761" w:right="1538" w:hanging="794"/>
        <w:jc w:val="left"/>
        <w:rPr>
          <w:sz w:val="13"/>
        </w:rPr>
      </w:pPr>
      <w:r>
        <w:rPr>
          <w:sz w:val="13"/>
        </w:rPr>
        <w:t>Australian Law Reform </w:t>
      </w:r>
      <w:r>
        <w:rPr>
          <w:spacing w:val="2"/>
          <w:sz w:val="13"/>
        </w:rPr>
        <w:t>Commission, </w:t>
      </w:r>
      <w:r>
        <w:rPr>
          <w:i/>
          <w:sz w:val="13"/>
        </w:rPr>
        <w:t>Pathways to Justice—An </w:t>
      </w:r>
      <w:r>
        <w:rPr>
          <w:i/>
          <w:spacing w:val="2"/>
          <w:sz w:val="13"/>
        </w:rPr>
        <w:t>Inquiry </w:t>
      </w:r>
      <w:r>
        <w:rPr>
          <w:i/>
          <w:sz w:val="13"/>
        </w:rPr>
        <w:t>into the Incarceration Rate of Aboriginal and Torres Strait </w:t>
      </w:r>
      <w:r>
        <w:rPr>
          <w:i/>
          <w:sz w:val="13"/>
        </w:rPr>
        <w:t>Islander Peoples </w:t>
      </w:r>
      <w:r>
        <w:rPr>
          <w:spacing w:val="2"/>
          <w:sz w:val="13"/>
        </w:rPr>
        <w:t>(Report </w:t>
      </w:r>
      <w:r>
        <w:rPr>
          <w:sz w:val="13"/>
        </w:rPr>
        <w:t>No </w:t>
      </w:r>
      <w:r>
        <w:rPr>
          <w:spacing w:val="2"/>
          <w:sz w:val="13"/>
        </w:rPr>
        <w:t>133, December </w:t>
      </w:r>
      <w:r>
        <w:rPr>
          <w:sz w:val="13"/>
        </w:rPr>
        <w:t>2017) 40</w:t>
      </w:r>
      <w:r>
        <w:rPr>
          <w:spacing w:val="-4"/>
          <w:sz w:val="13"/>
        </w:rPr>
        <w:t> </w:t>
      </w:r>
      <w:r>
        <w:rPr>
          <w:spacing w:val="2"/>
          <w:sz w:val="13"/>
        </w:rPr>
        <w:t>[1.16].</w:t>
      </w:r>
    </w:p>
    <w:p>
      <w:pPr>
        <w:pStyle w:val="ListParagraph"/>
        <w:numPr>
          <w:ilvl w:val="0"/>
          <w:numId w:val="29"/>
        </w:numPr>
        <w:tabs>
          <w:tab w:pos="1760" w:val="left" w:leader="none"/>
          <w:tab w:pos="1762" w:val="left" w:leader="none"/>
        </w:tabs>
        <w:spacing w:line="152" w:lineRule="exact" w:before="0" w:after="0"/>
        <w:ind w:left="1761" w:right="0" w:hanging="794"/>
        <w:jc w:val="left"/>
        <w:rPr>
          <w:sz w:val="13"/>
        </w:rPr>
      </w:pPr>
      <w:r>
        <w:rPr/>
        <w:pict>
          <v:shape style="position:absolute;margin-left:36pt;margin-top:3.329529pt;width:14.15pt;height:14.1pt;mso-position-horizontal-relative:page;mso-position-vertical-relative:paragraph;z-index:3592" type="#_x0000_t202" filled="false" stroked="false">
            <v:textbox inset="0,0,0,0">
              <w:txbxContent>
                <w:p>
                  <w:pPr>
                    <w:spacing w:line="282" w:lineRule="exact" w:before="0"/>
                    <w:ind w:left="0" w:right="0" w:firstLine="0"/>
                    <w:jc w:val="left"/>
                    <w:rPr>
                      <w:b/>
                      <w:sz w:val="24"/>
                    </w:rPr>
                  </w:pPr>
                  <w:r>
                    <w:rPr>
                      <w:b/>
                      <w:color w:val="37617A"/>
                      <w:sz w:val="24"/>
                    </w:rPr>
                    <w:t>26</w:t>
                  </w:r>
                </w:p>
              </w:txbxContent>
            </v:textbox>
            <w10:wrap type="none"/>
          </v:shape>
        </w:pict>
      </w:r>
      <w:r>
        <w:rPr>
          <w:sz w:val="13"/>
        </w:rPr>
        <w:t>Sentencing Advisory Council (Vic), ‘Victoria’s </w:t>
      </w:r>
      <w:r>
        <w:rPr>
          <w:spacing w:val="2"/>
          <w:sz w:val="13"/>
        </w:rPr>
        <w:t>Indigenous </w:t>
      </w:r>
      <w:r>
        <w:rPr>
          <w:sz w:val="13"/>
        </w:rPr>
        <w:t>Imprisonment Rates’, </w:t>
      </w:r>
      <w:r>
        <w:rPr>
          <w:i/>
          <w:sz w:val="13"/>
        </w:rPr>
        <w:t>Sentencing Statistics </w:t>
      </w:r>
      <w:r>
        <w:rPr>
          <w:sz w:val="13"/>
        </w:rPr>
        <w:t>(Web Page, 28 April 2022)</w:t>
      </w:r>
    </w:p>
    <w:p>
      <w:pPr>
        <w:spacing w:line="170" w:lineRule="exact" w:before="0"/>
        <w:ind w:left="1761" w:right="0" w:firstLine="0"/>
        <w:jc w:val="left"/>
        <w:rPr>
          <w:sz w:val="13"/>
        </w:rPr>
      </w:pPr>
      <w:r>
        <w:rPr>
          <w:sz w:val="13"/>
        </w:rPr>
        <w:t>&lt;</w:t>
      </w:r>
      <w:hyperlink r:id="rId75">
        <w:r>
          <w:rPr>
            <w:sz w:val="13"/>
          </w:rPr>
          <w:t>https://www.sentencingcouncil.vic.gov.au/sentencing-statistics/victorias-indigenous-imprisonment-rates</w:t>
        </w:r>
      </w:hyperlink>
      <w:r>
        <w:rPr>
          <w:sz w:val="13"/>
        </w:rPr>
        <w:t>&gt;.</w:t>
      </w:r>
    </w:p>
    <w:p>
      <w:pPr>
        <w:spacing w:after="0" w:line="170"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spacing w:before="49"/>
        <w:ind w:left="967" w:right="0" w:firstLine="0"/>
        <w:jc w:val="left"/>
        <w:rPr>
          <w:b/>
          <w:sz w:val="24"/>
        </w:rPr>
      </w:pPr>
      <w:bookmarkStart w:name="_bookmark26" w:id="68"/>
      <w:bookmarkEnd w:id="68"/>
      <w:r>
        <w:rPr/>
      </w:r>
      <w:r>
        <w:rPr>
          <w:b/>
          <w:sz w:val="24"/>
        </w:rPr>
        <w:t>Aboriginal people may be wary about participating in the justice system</w:t>
      </w:r>
    </w:p>
    <w:p>
      <w:pPr>
        <w:pStyle w:val="ListParagraph"/>
        <w:numPr>
          <w:ilvl w:val="1"/>
          <w:numId w:val="12"/>
        </w:numPr>
        <w:tabs>
          <w:tab w:pos="1761" w:val="left" w:leader="none"/>
          <w:tab w:pos="1762" w:val="left" w:leader="none"/>
        </w:tabs>
        <w:spacing w:line="206" w:lineRule="auto" w:before="127" w:after="0"/>
        <w:ind w:left="1761" w:right="1285" w:hanging="794"/>
        <w:jc w:val="left"/>
        <w:rPr>
          <w:sz w:val="20"/>
        </w:rPr>
      </w:pPr>
      <w:r>
        <w:rPr>
          <w:spacing w:val="-5"/>
          <w:sz w:val="20"/>
        </w:rPr>
        <w:t>VACCHO</w:t>
      </w:r>
      <w:r>
        <w:rPr>
          <w:spacing w:val="-13"/>
          <w:sz w:val="20"/>
        </w:rPr>
        <w:t> </w:t>
      </w:r>
      <w:r>
        <w:rPr>
          <w:sz w:val="20"/>
        </w:rPr>
        <w:t>explained</w:t>
      </w:r>
      <w:r>
        <w:rPr>
          <w:spacing w:val="-12"/>
          <w:sz w:val="20"/>
        </w:rPr>
        <w:t> </w:t>
      </w:r>
      <w:r>
        <w:rPr>
          <w:sz w:val="20"/>
        </w:rPr>
        <w:t>to</w:t>
      </w:r>
      <w:r>
        <w:rPr>
          <w:spacing w:val="-12"/>
          <w:sz w:val="20"/>
        </w:rPr>
        <w:t> </w:t>
      </w:r>
      <w:r>
        <w:rPr>
          <w:sz w:val="20"/>
        </w:rPr>
        <w:t>the</w:t>
      </w:r>
      <w:r>
        <w:rPr>
          <w:spacing w:val="-12"/>
          <w:sz w:val="20"/>
        </w:rPr>
        <w:t> </w:t>
      </w:r>
      <w:r>
        <w:rPr>
          <w:sz w:val="20"/>
        </w:rPr>
        <w:t>Commission</w:t>
      </w:r>
      <w:r>
        <w:rPr>
          <w:spacing w:val="-12"/>
          <w:sz w:val="20"/>
        </w:rPr>
        <w:t> </w:t>
      </w:r>
      <w:r>
        <w:rPr>
          <w:sz w:val="20"/>
        </w:rPr>
        <w:t>that</w:t>
      </w:r>
      <w:r>
        <w:rPr>
          <w:spacing w:val="-12"/>
          <w:sz w:val="20"/>
        </w:rPr>
        <w:t> </w:t>
      </w:r>
      <w:r>
        <w:rPr>
          <w:sz w:val="20"/>
        </w:rPr>
        <w:t>Aboriginal</w:t>
      </w:r>
      <w:r>
        <w:rPr>
          <w:spacing w:val="-12"/>
          <w:sz w:val="20"/>
        </w:rPr>
        <w:t> </w:t>
      </w:r>
      <w:r>
        <w:rPr>
          <w:sz w:val="20"/>
        </w:rPr>
        <w:t>people</w:t>
      </w:r>
      <w:r>
        <w:rPr>
          <w:spacing w:val="-12"/>
          <w:sz w:val="20"/>
        </w:rPr>
        <w:t> </w:t>
      </w:r>
      <w:r>
        <w:rPr>
          <w:sz w:val="20"/>
        </w:rPr>
        <w:t>with</w:t>
      </w:r>
      <w:r>
        <w:rPr>
          <w:spacing w:val="-12"/>
          <w:sz w:val="20"/>
        </w:rPr>
        <w:t> </w:t>
      </w:r>
      <w:r>
        <w:rPr>
          <w:sz w:val="20"/>
        </w:rPr>
        <w:t>disabilities</w:t>
      </w:r>
      <w:r>
        <w:rPr>
          <w:spacing w:val="-12"/>
          <w:sz w:val="20"/>
        </w:rPr>
        <w:t> </w:t>
      </w:r>
      <w:r>
        <w:rPr>
          <w:sz w:val="20"/>
        </w:rPr>
        <w:t>face</w:t>
      </w:r>
      <w:r>
        <w:rPr>
          <w:spacing w:val="-12"/>
          <w:sz w:val="20"/>
        </w:rPr>
        <w:t> </w:t>
      </w:r>
      <w:r>
        <w:rPr>
          <w:sz w:val="20"/>
        </w:rPr>
        <w:t>two </w:t>
      </w:r>
      <w:r>
        <w:rPr>
          <w:spacing w:val="-3"/>
          <w:sz w:val="20"/>
        </w:rPr>
        <w:t>layers </w:t>
      </w:r>
      <w:r>
        <w:rPr>
          <w:sz w:val="20"/>
        </w:rPr>
        <w:t>of</w:t>
      </w:r>
      <w:r>
        <w:rPr>
          <w:spacing w:val="-6"/>
          <w:sz w:val="20"/>
        </w:rPr>
        <w:t> </w:t>
      </w:r>
      <w:r>
        <w:rPr>
          <w:sz w:val="20"/>
        </w:rPr>
        <w:t>discrimination:</w:t>
      </w:r>
    </w:p>
    <w:p>
      <w:pPr>
        <w:pStyle w:val="ListParagraph"/>
        <w:numPr>
          <w:ilvl w:val="0"/>
          <w:numId w:val="30"/>
        </w:numPr>
        <w:tabs>
          <w:tab w:pos="2157" w:val="left" w:leader="none"/>
          <w:tab w:pos="2158" w:val="left" w:leader="none"/>
        </w:tabs>
        <w:spacing w:line="240" w:lineRule="auto" w:before="90" w:after="0"/>
        <w:ind w:left="2157" w:right="0" w:hanging="396"/>
        <w:jc w:val="left"/>
        <w:rPr>
          <w:sz w:val="20"/>
        </w:rPr>
      </w:pPr>
      <w:r>
        <w:rPr>
          <w:sz w:val="20"/>
        </w:rPr>
        <w:t>institutional discrimination against Aboriginal people due to their race;</w:t>
      </w:r>
      <w:r>
        <w:rPr>
          <w:position w:val="7"/>
          <w:sz w:val="11"/>
        </w:rPr>
        <w:t>36</w:t>
      </w:r>
      <w:r>
        <w:rPr>
          <w:spacing w:val="-3"/>
          <w:position w:val="7"/>
          <w:sz w:val="11"/>
        </w:rPr>
        <w:t> </w:t>
      </w:r>
      <w:r>
        <w:rPr>
          <w:sz w:val="20"/>
        </w:rPr>
        <w:t>and</w:t>
      </w:r>
    </w:p>
    <w:p>
      <w:pPr>
        <w:pStyle w:val="ListParagraph"/>
        <w:numPr>
          <w:ilvl w:val="0"/>
          <w:numId w:val="30"/>
        </w:numPr>
        <w:tabs>
          <w:tab w:pos="2157" w:val="left" w:leader="none"/>
          <w:tab w:pos="2158" w:val="left" w:leader="none"/>
        </w:tabs>
        <w:spacing w:line="240" w:lineRule="auto" w:before="48" w:after="0"/>
        <w:ind w:left="2157" w:right="0" w:hanging="396"/>
        <w:jc w:val="left"/>
        <w:rPr>
          <w:sz w:val="11"/>
        </w:rPr>
      </w:pPr>
      <w:r>
        <w:rPr>
          <w:sz w:val="20"/>
        </w:rPr>
        <w:t>discrimination on the basis of</w:t>
      </w:r>
      <w:r>
        <w:rPr>
          <w:spacing w:val="-11"/>
          <w:sz w:val="20"/>
        </w:rPr>
        <w:t> </w:t>
      </w:r>
      <w:r>
        <w:rPr>
          <w:sz w:val="20"/>
        </w:rPr>
        <w:t>disability.</w:t>
      </w:r>
      <w:r>
        <w:rPr>
          <w:position w:val="7"/>
          <w:sz w:val="11"/>
        </w:rPr>
        <w:t>37</w:t>
      </w:r>
    </w:p>
    <w:p>
      <w:pPr>
        <w:pStyle w:val="ListParagraph"/>
        <w:numPr>
          <w:ilvl w:val="1"/>
          <w:numId w:val="12"/>
        </w:numPr>
        <w:tabs>
          <w:tab w:pos="1761" w:val="left" w:leader="none"/>
          <w:tab w:pos="1762" w:val="left" w:leader="none"/>
        </w:tabs>
        <w:spacing w:line="240" w:lineRule="auto" w:before="47" w:after="0"/>
        <w:ind w:left="1761" w:right="0" w:hanging="794"/>
        <w:jc w:val="left"/>
        <w:rPr>
          <w:sz w:val="20"/>
        </w:rPr>
      </w:pPr>
      <w:r>
        <w:rPr>
          <w:spacing w:val="-5"/>
          <w:sz w:val="20"/>
        </w:rPr>
        <w:t>VACCHO </w:t>
      </w:r>
      <w:r>
        <w:rPr>
          <w:sz w:val="20"/>
        </w:rPr>
        <w:t>observed</w:t>
      </w:r>
      <w:r>
        <w:rPr>
          <w:spacing w:val="-4"/>
          <w:sz w:val="20"/>
        </w:rPr>
        <w:t> </w:t>
      </w:r>
      <w:r>
        <w:rPr>
          <w:sz w:val="20"/>
        </w:rPr>
        <w:t>that:</w:t>
      </w:r>
    </w:p>
    <w:p>
      <w:pPr>
        <w:spacing w:line="208" w:lineRule="auto" w:before="113"/>
        <w:ind w:left="2157" w:right="1277" w:firstLine="0"/>
        <w:jc w:val="left"/>
        <w:rPr>
          <w:sz w:val="11"/>
        </w:rPr>
      </w:pPr>
      <w:r>
        <w:rPr>
          <w:sz w:val="19"/>
        </w:rPr>
        <w:t>Aboriginal people often don’t trust the justice system. Many have had negative experiences with the law. There is a long history of systemic and institutional discrimination against Indigenous people. The legal system is often associated with institutionalisation and intervention. As a result, many Aboriginal people try to get out of jury duty.</w:t>
      </w:r>
      <w:r>
        <w:rPr>
          <w:position w:val="6"/>
          <w:sz w:val="11"/>
        </w:rPr>
        <w:t>38</w:t>
      </w:r>
    </w:p>
    <w:p>
      <w:pPr>
        <w:pStyle w:val="ListParagraph"/>
        <w:numPr>
          <w:ilvl w:val="1"/>
          <w:numId w:val="12"/>
        </w:numPr>
        <w:tabs>
          <w:tab w:pos="1761" w:val="left" w:leader="none"/>
          <w:tab w:pos="1762" w:val="left" w:leader="none"/>
        </w:tabs>
        <w:spacing w:line="206" w:lineRule="auto" w:before="125" w:after="0"/>
        <w:ind w:left="1761" w:right="1343" w:hanging="794"/>
        <w:jc w:val="left"/>
        <w:rPr>
          <w:sz w:val="20"/>
        </w:rPr>
      </w:pPr>
      <w:r>
        <w:rPr>
          <w:sz w:val="20"/>
        </w:rPr>
        <w:t>The</w:t>
      </w:r>
      <w:r>
        <w:rPr>
          <w:spacing w:val="-11"/>
          <w:sz w:val="20"/>
        </w:rPr>
        <w:t> </w:t>
      </w:r>
      <w:r>
        <w:rPr>
          <w:sz w:val="20"/>
        </w:rPr>
        <w:t>Commission</w:t>
      </w:r>
      <w:r>
        <w:rPr>
          <w:spacing w:val="-10"/>
          <w:sz w:val="20"/>
        </w:rPr>
        <w:t> </w:t>
      </w:r>
      <w:r>
        <w:rPr>
          <w:sz w:val="20"/>
        </w:rPr>
        <w:t>agrees</w:t>
      </w:r>
      <w:r>
        <w:rPr>
          <w:spacing w:val="-11"/>
          <w:sz w:val="20"/>
        </w:rPr>
        <w:t> </w:t>
      </w:r>
      <w:r>
        <w:rPr>
          <w:sz w:val="20"/>
        </w:rPr>
        <w:t>with</w:t>
      </w:r>
      <w:r>
        <w:rPr>
          <w:spacing w:val="-10"/>
          <w:sz w:val="20"/>
        </w:rPr>
        <w:t> </w:t>
      </w:r>
      <w:r>
        <w:rPr>
          <w:sz w:val="20"/>
        </w:rPr>
        <w:t>the</w:t>
      </w:r>
      <w:r>
        <w:rPr>
          <w:spacing w:val="-10"/>
          <w:sz w:val="20"/>
        </w:rPr>
        <w:t> </w:t>
      </w:r>
      <w:r>
        <w:rPr>
          <w:sz w:val="20"/>
        </w:rPr>
        <w:t>view</w:t>
      </w:r>
      <w:r>
        <w:rPr>
          <w:spacing w:val="-11"/>
          <w:sz w:val="20"/>
        </w:rPr>
        <w:t> </w:t>
      </w:r>
      <w:r>
        <w:rPr>
          <w:sz w:val="20"/>
        </w:rPr>
        <w:t>of</w:t>
      </w:r>
      <w:r>
        <w:rPr>
          <w:spacing w:val="-10"/>
          <w:sz w:val="20"/>
        </w:rPr>
        <w:t> </w:t>
      </w:r>
      <w:r>
        <w:rPr>
          <w:spacing w:val="-5"/>
          <w:sz w:val="20"/>
        </w:rPr>
        <w:t>VACCHO,</w:t>
      </w:r>
      <w:r>
        <w:rPr>
          <w:spacing w:val="-10"/>
          <w:sz w:val="20"/>
        </w:rPr>
        <w:t> </w:t>
      </w:r>
      <w:r>
        <w:rPr>
          <w:sz w:val="20"/>
        </w:rPr>
        <w:t>which</w:t>
      </w:r>
      <w:r>
        <w:rPr>
          <w:spacing w:val="-11"/>
          <w:sz w:val="20"/>
        </w:rPr>
        <w:t> </w:t>
      </w:r>
      <w:r>
        <w:rPr>
          <w:sz w:val="20"/>
        </w:rPr>
        <w:t>emphasised</w:t>
      </w:r>
      <w:r>
        <w:rPr>
          <w:spacing w:val="-10"/>
          <w:sz w:val="20"/>
        </w:rPr>
        <w:t> </w:t>
      </w:r>
      <w:r>
        <w:rPr>
          <w:sz w:val="20"/>
        </w:rPr>
        <w:t>the</w:t>
      </w:r>
      <w:r>
        <w:rPr>
          <w:spacing w:val="-10"/>
          <w:sz w:val="20"/>
        </w:rPr>
        <w:t> </w:t>
      </w:r>
      <w:r>
        <w:rPr>
          <w:sz w:val="20"/>
        </w:rPr>
        <w:t>importance of</w:t>
      </w:r>
      <w:r>
        <w:rPr>
          <w:spacing w:val="-6"/>
          <w:sz w:val="20"/>
        </w:rPr>
        <w:t> </w:t>
      </w:r>
      <w:r>
        <w:rPr>
          <w:sz w:val="20"/>
        </w:rPr>
        <w:t>Aboriginal</w:t>
      </w:r>
      <w:r>
        <w:rPr>
          <w:spacing w:val="-5"/>
          <w:sz w:val="20"/>
        </w:rPr>
        <w:t> </w:t>
      </w:r>
      <w:r>
        <w:rPr>
          <w:sz w:val="20"/>
        </w:rPr>
        <w:t>people</w:t>
      </w:r>
      <w:r>
        <w:rPr>
          <w:spacing w:val="-5"/>
          <w:sz w:val="20"/>
        </w:rPr>
        <w:t> </w:t>
      </w:r>
      <w:r>
        <w:rPr>
          <w:sz w:val="20"/>
        </w:rPr>
        <w:t>in</w:t>
      </w:r>
      <w:r>
        <w:rPr>
          <w:spacing w:val="-5"/>
          <w:sz w:val="20"/>
        </w:rPr>
        <w:t> </w:t>
      </w:r>
      <w:r>
        <w:rPr>
          <w:sz w:val="20"/>
        </w:rPr>
        <w:t>the</w:t>
      </w:r>
      <w:r>
        <w:rPr>
          <w:spacing w:val="-5"/>
          <w:sz w:val="20"/>
        </w:rPr>
        <w:t> </w:t>
      </w:r>
      <w:r>
        <w:rPr>
          <w:sz w:val="20"/>
        </w:rPr>
        <w:t>subject</w:t>
      </w:r>
      <w:r>
        <w:rPr>
          <w:spacing w:val="-6"/>
          <w:sz w:val="20"/>
        </w:rPr>
        <w:t> </w:t>
      </w:r>
      <w:r>
        <w:rPr>
          <w:sz w:val="20"/>
        </w:rPr>
        <w:t>groups</w:t>
      </w:r>
      <w:r>
        <w:rPr>
          <w:spacing w:val="-5"/>
          <w:sz w:val="20"/>
        </w:rPr>
        <w:t> </w:t>
      </w:r>
      <w:r>
        <w:rPr>
          <w:sz w:val="20"/>
        </w:rPr>
        <w:t>serving</w:t>
      </w:r>
      <w:r>
        <w:rPr>
          <w:spacing w:val="-5"/>
          <w:sz w:val="20"/>
        </w:rPr>
        <w:t> </w:t>
      </w:r>
      <w:r>
        <w:rPr>
          <w:sz w:val="20"/>
        </w:rPr>
        <w:t>as</w:t>
      </w:r>
      <w:r>
        <w:rPr>
          <w:spacing w:val="-5"/>
          <w:sz w:val="20"/>
        </w:rPr>
        <w:t> </w:t>
      </w:r>
      <w:r>
        <w:rPr>
          <w:sz w:val="20"/>
        </w:rPr>
        <w:t>jurors:</w:t>
      </w:r>
    </w:p>
    <w:p>
      <w:pPr>
        <w:spacing w:line="208" w:lineRule="auto" w:before="120"/>
        <w:ind w:left="2157" w:right="1236" w:firstLine="0"/>
        <w:jc w:val="both"/>
        <w:rPr>
          <w:sz w:val="19"/>
        </w:rPr>
      </w:pPr>
      <w:r>
        <w:rPr>
          <w:sz w:val="19"/>
        </w:rPr>
        <w:t>As</w:t>
      </w:r>
      <w:r>
        <w:rPr>
          <w:spacing w:val="-4"/>
          <w:sz w:val="19"/>
        </w:rPr>
        <w:t> </w:t>
      </w:r>
      <w:r>
        <w:rPr>
          <w:sz w:val="19"/>
        </w:rPr>
        <w:t>Aboriginal</w:t>
      </w:r>
      <w:r>
        <w:rPr>
          <w:spacing w:val="-3"/>
          <w:sz w:val="19"/>
        </w:rPr>
        <w:t> </w:t>
      </w:r>
      <w:r>
        <w:rPr>
          <w:sz w:val="19"/>
        </w:rPr>
        <w:t>people,</w:t>
      </w:r>
      <w:r>
        <w:rPr>
          <w:spacing w:val="-3"/>
          <w:sz w:val="19"/>
        </w:rPr>
        <w:t> </w:t>
      </w:r>
      <w:r>
        <w:rPr>
          <w:sz w:val="19"/>
        </w:rPr>
        <w:t>we</w:t>
      </w:r>
      <w:r>
        <w:rPr>
          <w:spacing w:val="-3"/>
          <w:sz w:val="19"/>
        </w:rPr>
        <w:t> </w:t>
      </w:r>
      <w:r>
        <w:rPr>
          <w:sz w:val="19"/>
        </w:rPr>
        <w:t>often</w:t>
      </w:r>
      <w:r>
        <w:rPr>
          <w:spacing w:val="-3"/>
          <w:sz w:val="19"/>
        </w:rPr>
        <w:t> </w:t>
      </w:r>
      <w:r>
        <w:rPr>
          <w:sz w:val="19"/>
        </w:rPr>
        <w:t>see</w:t>
      </w:r>
      <w:r>
        <w:rPr>
          <w:spacing w:val="-3"/>
          <w:sz w:val="19"/>
        </w:rPr>
        <w:t> </w:t>
      </w:r>
      <w:r>
        <w:rPr>
          <w:sz w:val="19"/>
        </w:rPr>
        <w:t>ourselves</w:t>
      </w:r>
      <w:r>
        <w:rPr>
          <w:spacing w:val="-3"/>
          <w:sz w:val="19"/>
        </w:rPr>
        <w:t> </w:t>
      </w:r>
      <w:r>
        <w:rPr>
          <w:sz w:val="19"/>
        </w:rPr>
        <w:t>as</w:t>
      </w:r>
      <w:r>
        <w:rPr>
          <w:spacing w:val="-3"/>
          <w:sz w:val="19"/>
        </w:rPr>
        <w:t> </w:t>
      </w:r>
      <w:r>
        <w:rPr>
          <w:sz w:val="19"/>
        </w:rPr>
        <w:t>victims</w:t>
      </w:r>
      <w:r>
        <w:rPr>
          <w:spacing w:val="-3"/>
          <w:sz w:val="19"/>
        </w:rPr>
        <w:t> </w:t>
      </w:r>
      <w:r>
        <w:rPr>
          <w:sz w:val="19"/>
        </w:rPr>
        <w:t>of</w:t>
      </w:r>
      <w:r>
        <w:rPr>
          <w:spacing w:val="-3"/>
          <w:sz w:val="19"/>
        </w:rPr>
        <w:t> </w:t>
      </w:r>
      <w:r>
        <w:rPr>
          <w:sz w:val="19"/>
        </w:rPr>
        <w:t>the</w:t>
      </w:r>
      <w:r>
        <w:rPr>
          <w:spacing w:val="-3"/>
          <w:sz w:val="19"/>
        </w:rPr>
        <w:t> </w:t>
      </w:r>
      <w:r>
        <w:rPr>
          <w:sz w:val="19"/>
        </w:rPr>
        <w:t>court</w:t>
      </w:r>
      <w:r>
        <w:rPr>
          <w:spacing w:val="-3"/>
          <w:sz w:val="19"/>
        </w:rPr>
        <w:t> </w:t>
      </w:r>
      <w:r>
        <w:rPr>
          <w:sz w:val="19"/>
        </w:rPr>
        <w:t>system.</w:t>
      </w:r>
      <w:r>
        <w:rPr>
          <w:spacing w:val="-3"/>
          <w:sz w:val="19"/>
        </w:rPr>
        <w:t> </w:t>
      </w:r>
      <w:r>
        <w:rPr>
          <w:sz w:val="19"/>
        </w:rPr>
        <w:t>But</w:t>
      </w:r>
      <w:r>
        <w:rPr>
          <w:spacing w:val="-3"/>
          <w:sz w:val="19"/>
        </w:rPr>
        <w:t> </w:t>
      </w:r>
      <w:r>
        <w:rPr>
          <w:spacing w:val="-4"/>
          <w:sz w:val="19"/>
        </w:rPr>
        <w:t>we’re </w:t>
      </w:r>
      <w:r>
        <w:rPr>
          <w:sz w:val="19"/>
        </w:rPr>
        <w:t>also members of the community and need to be part of the justice system by serving on</w:t>
      </w:r>
      <w:r>
        <w:rPr>
          <w:spacing w:val="-2"/>
          <w:sz w:val="19"/>
        </w:rPr>
        <w:t> </w:t>
      </w:r>
      <w:r>
        <w:rPr>
          <w:sz w:val="19"/>
        </w:rPr>
        <w:t>juries.</w:t>
      </w:r>
    </w:p>
    <w:p>
      <w:pPr>
        <w:spacing w:line="208" w:lineRule="auto" w:before="122"/>
        <w:ind w:left="2157" w:right="1335" w:firstLine="0"/>
        <w:jc w:val="left"/>
        <w:rPr>
          <w:sz w:val="11"/>
        </w:rPr>
      </w:pPr>
      <w:r>
        <w:rPr>
          <w:sz w:val="19"/>
        </w:rPr>
        <w:t>Traditionally courts have been places where people go in and don’t go out, but here we’re talking about serving the community. This is a different relationship with the criminal justice system.</w:t>
      </w:r>
      <w:r>
        <w:rPr>
          <w:position w:val="6"/>
          <w:sz w:val="11"/>
        </w:rPr>
        <w:t>39</w:t>
      </w:r>
    </w:p>
    <w:p>
      <w:pPr>
        <w:pStyle w:val="ListParagraph"/>
        <w:numPr>
          <w:ilvl w:val="1"/>
          <w:numId w:val="12"/>
        </w:numPr>
        <w:tabs>
          <w:tab w:pos="1761" w:val="left" w:leader="none"/>
          <w:tab w:pos="1762" w:val="left" w:leader="none"/>
        </w:tabs>
        <w:spacing w:line="206" w:lineRule="auto" w:before="124" w:after="0"/>
        <w:ind w:left="1761" w:right="1363" w:hanging="794"/>
        <w:jc w:val="left"/>
        <w:rPr>
          <w:sz w:val="20"/>
        </w:rPr>
      </w:pPr>
      <w:r>
        <w:rPr>
          <w:spacing w:val="-6"/>
          <w:sz w:val="20"/>
        </w:rPr>
        <w:t>We</w:t>
      </w:r>
      <w:r>
        <w:rPr>
          <w:spacing w:val="-11"/>
          <w:sz w:val="20"/>
        </w:rPr>
        <w:t> </w:t>
      </w:r>
      <w:r>
        <w:rPr>
          <w:sz w:val="20"/>
        </w:rPr>
        <w:t>also</w:t>
      </w:r>
      <w:r>
        <w:rPr>
          <w:spacing w:val="-10"/>
          <w:sz w:val="20"/>
        </w:rPr>
        <w:t> </w:t>
      </w:r>
      <w:r>
        <w:rPr>
          <w:sz w:val="20"/>
        </w:rPr>
        <w:t>agree</w:t>
      </w:r>
      <w:r>
        <w:rPr>
          <w:spacing w:val="-11"/>
          <w:sz w:val="20"/>
        </w:rPr>
        <w:t> </w:t>
      </w:r>
      <w:r>
        <w:rPr>
          <w:sz w:val="20"/>
        </w:rPr>
        <w:t>with</w:t>
      </w:r>
      <w:r>
        <w:rPr>
          <w:spacing w:val="-10"/>
          <w:sz w:val="20"/>
        </w:rPr>
        <w:t> </w:t>
      </w:r>
      <w:r>
        <w:rPr>
          <w:sz w:val="20"/>
        </w:rPr>
        <w:t>the</w:t>
      </w:r>
      <w:r>
        <w:rPr>
          <w:spacing w:val="-10"/>
          <w:sz w:val="20"/>
        </w:rPr>
        <w:t> </w:t>
      </w:r>
      <w:r>
        <w:rPr>
          <w:sz w:val="20"/>
        </w:rPr>
        <w:t>Queensland</w:t>
      </w:r>
      <w:r>
        <w:rPr>
          <w:spacing w:val="-11"/>
          <w:sz w:val="20"/>
        </w:rPr>
        <w:t> </w:t>
      </w:r>
      <w:r>
        <w:rPr>
          <w:sz w:val="20"/>
        </w:rPr>
        <w:t>Law</w:t>
      </w:r>
      <w:r>
        <w:rPr>
          <w:spacing w:val="-10"/>
          <w:sz w:val="20"/>
        </w:rPr>
        <w:t> </w:t>
      </w:r>
      <w:r>
        <w:rPr>
          <w:sz w:val="20"/>
        </w:rPr>
        <w:t>Reform</w:t>
      </w:r>
      <w:r>
        <w:rPr>
          <w:spacing w:val="-11"/>
          <w:sz w:val="20"/>
        </w:rPr>
        <w:t> </w:t>
      </w:r>
      <w:r>
        <w:rPr>
          <w:sz w:val="20"/>
        </w:rPr>
        <w:t>Commission</w:t>
      </w:r>
      <w:r>
        <w:rPr>
          <w:spacing w:val="-10"/>
          <w:sz w:val="20"/>
        </w:rPr>
        <w:t> </w:t>
      </w:r>
      <w:r>
        <w:rPr>
          <w:sz w:val="20"/>
        </w:rPr>
        <w:t>which</w:t>
      </w:r>
      <w:r>
        <w:rPr>
          <w:spacing w:val="-10"/>
          <w:sz w:val="20"/>
        </w:rPr>
        <w:t> </w:t>
      </w:r>
      <w:r>
        <w:rPr>
          <w:sz w:val="20"/>
        </w:rPr>
        <w:t>concluded</w:t>
      </w:r>
      <w:r>
        <w:rPr>
          <w:spacing w:val="-11"/>
          <w:sz w:val="20"/>
        </w:rPr>
        <w:t> </w:t>
      </w:r>
      <w:r>
        <w:rPr>
          <w:sz w:val="20"/>
        </w:rPr>
        <w:t>that</w:t>
      </w:r>
      <w:r>
        <w:rPr>
          <w:spacing w:val="-10"/>
          <w:sz w:val="20"/>
        </w:rPr>
        <w:t> </w:t>
      </w:r>
      <w:r>
        <w:rPr>
          <w:sz w:val="20"/>
        </w:rPr>
        <w:t>it was</w:t>
      </w:r>
      <w:r>
        <w:rPr>
          <w:spacing w:val="-13"/>
          <w:sz w:val="20"/>
        </w:rPr>
        <w:t> </w:t>
      </w:r>
      <w:r>
        <w:rPr>
          <w:sz w:val="20"/>
        </w:rPr>
        <w:t>‘critical</w:t>
      </w:r>
      <w:r>
        <w:rPr>
          <w:spacing w:val="-12"/>
          <w:sz w:val="20"/>
        </w:rPr>
        <w:t> </w:t>
      </w:r>
      <w:r>
        <w:rPr>
          <w:sz w:val="20"/>
        </w:rPr>
        <w:t>that</w:t>
      </w:r>
      <w:r>
        <w:rPr>
          <w:spacing w:val="-12"/>
          <w:sz w:val="20"/>
        </w:rPr>
        <w:t> </w:t>
      </w:r>
      <w:r>
        <w:rPr>
          <w:sz w:val="20"/>
        </w:rPr>
        <w:t>steps</w:t>
      </w:r>
      <w:r>
        <w:rPr>
          <w:spacing w:val="-12"/>
          <w:sz w:val="20"/>
        </w:rPr>
        <w:t> </w:t>
      </w:r>
      <w:r>
        <w:rPr>
          <w:sz w:val="20"/>
        </w:rPr>
        <w:t>be</w:t>
      </w:r>
      <w:r>
        <w:rPr>
          <w:spacing w:val="-13"/>
          <w:sz w:val="20"/>
        </w:rPr>
        <w:t> </w:t>
      </w:r>
      <w:r>
        <w:rPr>
          <w:sz w:val="20"/>
        </w:rPr>
        <w:t>taken</w:t>
      </w:r>
      <w:r>
        <w:rPr>
          <w:spacing w:val="-12"/>
          <w:sz w:val="20"/>
        </w:rPr>
        <w:t> </w:t>
      </w:r>
      <w:r>
        <w:rPr>
          <w:sz w:val="20"/>
        </w:rPr>
        <w:t>to</w:t>
      </w:r>
      <w:r>
        <w:rPr>
          <w:spacing w:val="-12"/>
          <w:sz w:val="20"/>
        </w:rPr>
        <w:t> </w:t>
      </w:r>
      <w:r>
        <w:rPr>
          <w:sz w:val="20"/>
        </w:rPr>
        <w:t>increase</w:t>
      </w:r>
      <w:r>
        <w:rPr>
          <w:spacing w:val="-12"/>
          <w:sz w:val="20"/>
        </w:rPr>
        <w:t> </w:t>
      </w:r>
      <w:r>
        <w:rPr>
          <w:sz w:val="20"/>
        </w:rPr>
        <w:t>Indigenous</w:t>
      </w:r>
      <w:r>
        <w:rPr>
          <w:spacing w:val="-12"/>
          <w:sz w:val="20"/>
        </w:rPr>
        <w:t> </w:t>
      </w:r>
      <w:r>
        <w:rPr>
          <w:sz w:val="20"/>
        </w:rPr>
        <w:t>participation</w:t>
      </w:r>
      <w:r>
        <w:rPr>
          <w:spacing w:val="-13"/>
          <w:sz w:val="20"/>
        </w:rPr>
        <w:t> </w:t>
      </w:r>
      <w:r>
        <w:rPr>
          <w:sz w:val="20"/>
        </w:rPr>
        <w:t>in</w:t>
      </w:r>
      <w:r>
        <w:rPr>
          <w:spacing w:val="-12"/>
          <w:sz w:val="20"/>
        </w:rPr>
        <w:t> </w:t>
      </w:r>
      <w:r>
        <w:rPr>
          <w:sz w:val="20"/>
        </w:rPr>
        <w:t>the</w:t>
      </w:r>
      <w:r>
        <w:rPr>
          <w:spacing w:val="-12"/>
          <w:sz w:val="20"/>
        </w:rPr>
        <w:t> </w:t>
      </w:r>
      <w:r>
        <w:rPr>
          <w:sz w:val="20"/>
        </w:rPr>
        <w:t>jury</w:t>
      </w:r>
      <w:r>
        <w:rPr>
          <w:spacing w:val="-12"/>
          <w:sz w:val="20"/>
        </w:rPr>
        <w:t> </w:t>
      </w:r>
      <w:r>
        <w:rPr>
          <w:sz w:val="20"/>
        </w:rPr>
        <w:t>system</w:t>
      </w:r>
    </w:p>
    <w:p>
      <w:pPr>
        <w:pStyle w:val="BodyText"/>
        <w:spacing w:line="206" w:lineRule="auto" w:before="2"/>
        <w:ind w:left="1761" w:right="1419"/>
      </w:pPr>
      <w:r>
        <w:rPr/>
        <w:t>... not </w:t>
      </w:r>
      <w:r>
        <w:rPr>
          <w:spacing w:val="-3"/>
        </w:rPr>
        <w:t>only </w:t>
      </w:r>
      <w:r>
        <w:rPr/>
        <w:t>to increase the </w:t>
      </w:r>
      <w:r>
        <w:rPr>
          <w:spacing w:val="-3"/>
        </w:rPr>
        <w:t>representativeness </w:t>
      </w:r>
      <w:r>
        <w:rPr/>
        <w:t>of juries, but also to </w:t>
      </w:r>
      <w:r>
        <w:rPr>
          <w:spacing w:val="-3"/>
        </w:rPr>
        <w:t>reduce </w:t>
      </w:r>
      <w:r>
        <w:rPr/>
        <w:t>the sense of</w:t>
      </w:r>
      <w:r>
        <w:rPr>
          <w:spacing w:val="-10"/>
        </w:rPr>
        <w:t> </w:t>
      </w:r>
      <w:r>
        <w:rPr>
          <w:spacing w:val="-3"/>
        </w:rPr>
        <w:t>exclusion</w:t>
      </w:r>
      <w:r>
        <w:rPr>
          <w:spacing w:val="-10"/>
        </w:rPr>
        <w:t> </w:t>
      </w:r>
      <w:r>
        <w:rPr>
          <w:spacing w:val="-3"/>
        </w:rPr>
        <w:t>from</w:t>
      </w:r>
      <w:r>
        <w:rPr>
          <w:spacing w:val="-9"/>
        </w:rPr>
        <w:t> </w:t>
      </w:r>
      <w:r>
        <w:rPr/>
        <w:t>the</w:t>
      </w:r>
      <w:r>
        <w:rPr>
          <w:spacing w:val="-10"/>
        </w:rPr>
        <w:t> </w:t>
      </w:r>
      <w:r>
        <w:rPr/>
        <w:t>criminal</w:t>
      </w:r>
      <w:r>
        <w:rPr>
          <w:spacing w:val="-9"/>
        </w:rPr>
        <w:t> </w:t>
      </w:r>
      <w:r>
        <w:rPr/>
        <w:t>justice</w:t>
      </w:r>
      <w:r>
        <w:rPr>
          <w:spacing w:val="-10"/>
        </w:rPr>
        <w:t> </w:t>
      </w:r>
      <w:r>
        <w:rPr/>
        <w:t>system</w:t>
      </w:r>
      <w:r>
        <w:rPr>
          <w:spacing w:val="-9"/>
        </w:rPr>
        <w:t> </w:t>
      </w:r>
      <w:r>
        <w:rPr/>
        <w:t>that</w:t>
      </w:r>
      <w:r>
        <w:rPr>
          <w:spacing w:val="-10"/>
        </w:rPr>
        <w:t> </w:t>
      </w:r>
      <w:r>
        <w:rPr/>
        <w:t>is</w:t>
      </w:r>
      <w:r>
        <w:rPr>
          <w:spacing w:val="-10"/>
        </w:rPr>
        <w:t> </w:t>
      </w:r>
      <w:r>
        <w:rPr/>
        <w:t>experienced</w:t>
      </w:r>
      <w:r>
        <w:rPr>
          <w:spacing w:val="-9"/>
        </w:rPr>
        <w:t> </w:t>
      </w:r>
      <w:r>
        <w:rPr>
          <w:spacing w:val="-3"/>
        </w:rPr>
        <w:t>by</w:t>
      </w:r>
      <w:r>
        <w:rPr>
          <w:spacing w:val="-10"/>
        </w:rPr>
        <w:t> </w:t>
      </w:r>
      <w:r>
        <w:rPr>
          <w:spacing w:val="-3"/>
        </w:rPr>
        <w:t>many</w:t>
      </w:r>
      <w:r>
        <w:rPr>
          <w:spacing w:val="-9"/>
        </w:rPr>
        <w:t> </w:t>
      </w:r>
      <w:r>
        <w:rPr/>
        <w:t>Indigenous </w:t>
      </w:r>
      <w:r>
        <w:rPr>
          <w:spacing w:val="-3"/>
        </w:rPr>
        <w:t>people.’ </w:t>
      </w:r>
      <w:r>
        <w:rPr>
          <w:position w:val="7"/>
          <w:sz w:val="11"/>
        </w:rPr>
        <w:t>40 </w:t>
      </w:r>
      <w:r>
        <w:rPr>
          <w:spacing w:val="-6"/>
        </w:rPr>
        <w:t>We </w:t>
      </w:r>
      <w:r>
        <w:rPr/>
        <w:t>discuss this further in </w:t>
      </w:r>
      <w:r>
        <w:rPr>
          <w:spacing w:val="-2"/>
        </w:rPr>
        <w:t>Chapter</w:t>
      </w:r>
      <w:r>
        <w:rPr>
          <w:spacing w:val="-28"/>
        </w:rPr>
        <w:t> </w:t>
      </w:r>
      <w:r>
        <w:rPr/>
        <w:t>18.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0"/>
        </w:rPr>
      </w:pPr>
      <w:r>
        <w:rPr/>
        <w:pict>
          <v:line style="position:absolute;mso-position-horizontal-relative:page;mso-position-vertical-relative:paragraph;z-index:1568;mso-wrap-distance-left:0;mso-wrap-distance-right:0" from="79.370003pt,9.61898pt" to="515.905003pt,9.61898pt" stroked="true" strokeweight="1pt" strokecolor="#b6bdc8">
            <v:stroke dashstyle="solid"/>
            <w10:wrap type="topAndBottom"/>
          </v:line>
        </w:pict>
      </w:r>
    </w:p>
    <w:p>
      <w:pPr>
        <w:pStyle w:val="ListParagraph"/>
        <w:numPr>
          <w:ilvl w:val="0"/>
          <w:numId w:val="29"/>
        </w:numPr>
        <w:tabs>
          <w:tab w:pos="1761" w:val="left" w:leader="none"/>
          <w:tab w:pos="1762" w:val="left" w:leader="none"/>
        </w:tabs>
        <w:spacing w:line="213" w:lineRule="auto" w:before="107" w:after="0"/>
        <w:ind w:left="1761" w:right="1749" w:hanging="794"/>
        <w:jc w:val="left"/>
        <w:rPr>
          <w:sz w:val="13"/>
        </w:rPr>
      </w:pPr>
      <w:r>
        <w:rPr>
          <w:sz w:val="13"/>
        </w:rPr>
        <w:t>See, eg, Thalia Anthony and Craig Longman, </w:t>
      </w:r>
      <w:r>
        <w:rPr>
          <w:spacing w:val="2"/>
          <w:sz w:val="13"/>
        </w:rPr>
        <w:t>‘Blinded </w:t>
      </w:r>
      <w:r>
        <w:rPr>
          <w:sz w:val="13"/>
        </w:rPr>
        <w:t>by the White: A Comparative Analysis of </w:t>
      </w:r>
      <w:r>
        <w:rPr>
          <w:spacing w:val="2"/>
          <w:sz w:val="13"/>
        </w:rPr>
        <w:t>Jury </w:t>
      </w:r>
      <w:r>
        <w:rPr>
          <w:sz w:val="13"/>
        </w:rPr>
        <w:t>Challenges on Racial Grounds’ [2016] </w:t>
      </w:r>
      <w:r>
        <w:rPr>
          <w:spacing w:val="2"/>
          <w:sz w:val="13"/>
        </w:rPr>
        <w:t>6(3) </w:t>
      </w:r>
      <w:r>
        <w:rPr>
          <w:i/>
          <w:sz w:val="13"/>
        </w:rPr>
        <w:t>International Journal for Crime, Justice and Social Democracy </w:t>
      </w:r>
      <w:r>
        <w:rPr>
          <w:spacing w:val="2"/>
          <w:sz w:val="13"/>
        </w:rPr>
        <w:t>25,</w:t>
      </w:r>
      <w:r>
        <w:rPr>
          <w:spacing w:val="13"/>
          <w:sz w:val="13"/>
        </w:rPr>
        <w:t> </w:t>
      </w:r>
      <w:r>
        <w:rPr>
          <w:sz w:val="13"/>
        </w:rPr>
        <w:t>26.</w:t>
      </w:r>
    </w:p>
    <w:p>
      <w:pPr>
        <w:pStyle w:val="ListParagraph"/>
        <w:numPr>
          <w:ilvl w:val="0"/>
          <w:numId w:val="29"/>
        </w:numPr>
        <w:tabs>
          <w:tab w:pos="1760" w:val="left" w:leader="none"/>
          <w:tab w:pos="1762" w:val="left" w:leader="none"/>
        </w:tabs>
        <w:spacing w:line="213" w:lineRule="auto" w:before="0" w:after="0"/>
        <w:ind w:left="1761" w:right="1215" w:hanging="794"/>
        <w:jc w:val="left"/>
        <w:rPr>
          <w:sz w:val="13"/>
        </w:rPr>
      </w:pPr>
      <w:r>
        <w:rPr>
          <w:sz w:val="13"/>
        </w:rPr>
        <w:t>Consultation 23 </w:t>
      </w:r>
      <w:r>
        <w:rPr>
          <w:spacing w:val="2"/>
          <w:sz w:val="13"/>
        </w:rPr>
        <w:t>(Victorian </w:t>
      </w:r>
      <w:r>
        <w:rPr>
          <w:sz w:val="13"/>
        </w:rPr>
        <w:t>Aboriginal </w:t>
      </w:r>
      <w:r>
        <w:rPr>
          <w:spacing w:val="2"/>
          <w:sz w:val="13"/>
        </w:rPr>
        <w:t>Community </w:t>
      </w:r>
      <w:r>
        <w:rPr>
          <w:sz w:val="13"/>
        </w:rPr>
        <w:t>Controlled Health Organisation (VACCHO)).  The  CRPD  </w:t>
      </w:r>
      <w:r>
        <w:rPr>
          <w:spacing w:val="2"/>
          <w:sz w:val="13"/>
        </w:rPr>
        <w:t>also </w:t>
      </w:r>
      <w:r>
        <w:rPr>
          <w:sz w:val="13"/>
        </w:rPr>
        <w:t>notes  concerns about </w:t>
      </w:r>
      <w:r>
        <w:rPr>
          <w:spacing w:val="2"/>
          <w:sz w:val="13"/>
        </w:rPr>
        <w:t>‘the </w:t>
      </w:r>
      <w:r>
        <w:rPr>
          <w:sz w:val="13"/>
        </w:rPr>
        <w:t>difficult conditions faced by persons with </w:t>
      </w:r>
      <w:r>
        <w:rPr>
          <w:spacing w:val="2"/>
          <w:sz w:val="13"/>
        </w:rPr>
        <w:t>disabilities </w:t>
      </w:r>
      <w:r>
        <w:rPr>
          <w:sz w:val="13"/>
        </w:rPr>
        <w:t>who are subject to multiple or aggravated forms of discrimination on the basis of race, ... </w:t>
      </w:r>
      <w:r>
        <w:rPr>
          <w:spacing w:val="2"/>
          <w:sz w:val="13"/>
        </w:rPr>
        <w:t>indigenous </w:t>
      </w:r>
      <w:r>
        <w:rPr>
          <w:sz w:val="13"/>
        </w:rPr>
        <w:t>... or other status’. See </w:t>
      </w: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w:t>
      </w:r>
      <w:r>
        <w:rPr>
          <w:i/>
          <w:sz w:val="13"/>
        </w:rPr>
        <w:t>)</w:t>
      </w:r>
      <w:r>
        <w:rPr>
          <w:i/>
          <w:spacing w:val="6"/>
          <w:sz w:val="13"/>
        </w:rPr>
        <w:t> </w:t>
      </w:r>
      <w:r>
        <w:rPr>
          <w:sz w:val="13"/>
        </w:rPr>
        <w:t>Preamble.</w:t>
      </w:r>
    </w:p>
    <w:p>
      <w:pPr>
        <w:pStyle w:val="ListParagraph"/>
        <w:numPr>
          <w:ilvl w:val="0"/>
          <w:numId w:val="29"/>
        </w:numPr>
        <w:tabs>
          <w:tab w:pos="1761" w:val="left" w:leader="none"/>
          <w:tab w:pos="1762" w:val="left" w:leader="none"/>
        </w:tabs>
        <w:spacing w:line="151" w:lineRule="exact" w:before="0" w:after="0"/>
        <w:ind w:left="1761" w:right="0" w:hanging="794"/>
        <w:jc w:val="left"/>
        <w:rPr>
          <w:sz w:val="13"/>
        </w:rPr>
      </w:pPr>
      <w:r>
        <w:rPr>
          <w:sz w:val="13"/>
        </w:rPr>
        <w:t>Consultation 23 </w:t>
      </w:r>
      <w:r>
        <w:rPr>
          <w:spacing w:val="2"/>
          <w:sz w:val="13"/>
        </w:rPr>
        <w:t>(Victorian </w:t>
      </w:r>
      <w:r>
        <w:rPr>
          <w:sz w:val="13"/>
        </w:rPr>
        <w:t>Aboriginal </w:t>
      </w:r>
      <w:r>
        <w:rPr>
          <w:spacing w:val="2"/>
          <w:sz w:val="13"/>
        </w:rPr>
        <w:t>Community </w:t>
      </w:r>
      <w:r>
        <w:rPr>
          <w:sz w:val="13"/>
        </w:rPr>
        <w:t>Controlled Health Organisation</w:t>
      </w:r>
      <w:r>
        <w:rPr>
          <w:spacing w:val="2"/>
          <w:sz w:val="13"/>
        </w:rPr>
        <w:t> </w:t>
      </w:r>
      <w:r>
        <w:rPr>
          <w:sz w:val="13"/>
        </w:rPr>
        <w:t>(VACCHO)).</w:t>
      </w:r>
    </w:p>
    <w:p>
      <w:pPr>
        <w:pStyle w:val="ListParagraph"/>
        <w:numPr>
          <w:ilvl w:val="0"/>
          <w:numId w:val="29"/>
        </w:numPr>
        <w:tabs>
          <w:tab w:pos="1761" w:val="left" w:leader="none"/>
          <w:tab w:pos="1762" w:val="left" w:leader="none"/>
        </w:tabs>
        <w:spacing w:line="160" w:lineRule="exact" w:before="0" w:after="0"/>
        <w:ind w:left="1761" w:right="0" w:hanging="794"/>
        <w:jc w:val="left"/>
        <w:rPr>
          <w:sz w:val="13"/>
        </w:rPr>
      </w:pPr>
      <w:r>
        <w:rPr/>
        <w:pict>
          <v:shape style="position:absolute;margin-left:548.915588pt;margin-top:3.70805pt;width:13.35pt;height:14.1pt;mso-position-horizontal-relative:page;mso-position-vertical-relative:paragraph;z-index:3640" type="#_x0000_t202" filled="false" stroked="false">
            <v:textbox inset="0,0,0,0">
              <w:txbxContent>
                <w:p>
                  <w:pPr>
                    <w:spacing w:line="282" w:lineRule="exact" w:before="0"/>
                    <w:ind w:left="0" w:right="0" w:firstLine="0"/>
                    <w:jc w:val="left"/>
                    <w:rPr>
                      <w:b/>
                      <w:sz w:val="24"/>
                    </w:rPr>
                  </w:pPr>
                  <w:r>
                    <w:rPr>
                      <w:b/>
                      <w:color w:val="37617A"/>
                      <w:spacing w:val="-2"/>
                      <w:sz w:val="24"/>
                    </w:rPr>
                    <w:t>27</w:t>
                  </w:r>
                </w:p>
              </w:txbxContent>
            </v:textbox>
            <w10:wrap type="none"/>
          </v:shape>
        </w:pict>
      </w:r>
      <w:r>
        <w:rPr>
          <w:spacing w:val="2"/>
          <w:sz w:val="13"/>
        </w:rPr>
        <w:t>Ibid.</w:t>
      </w:r>
    </w:p>
    <w:p>
      <w:pPr>
        <w:pStyle w:val="ListParagraph"/>
        <w:numPr>
          <w:ilvl w:val="0"/>
          <w:numId w:val="29"/>
        </w:numPr>
        <w:tabs>
          <w:tab w:pos="1760" w:val="left" w:leader="none"/>
          <w:tab w:pos="1762" w:val="left" w:leader="none"/>
        </w:tabs>
        <w:spacing w:line="170" w:lineRule="exact" w:before="0" w:after="0"/>
        <w:ind w:left="1761" w:right="0" w:hanging="794"/>
        <w:jc w:val="left"/>
        <w:rPr>
          <w:sz w:val="13"/>
        </w:rPr>
      </w:pPr>
      <w:r>
        <w:rPr>
          <w:spacing w:val="2"/>
          <w:sz w:val="13"/>
        </w:rPr>
        <w:t>Queensland </w:t>
      </w:r>
      <w:r>
        <w:rPr>
          <w:sz w:val="13"/>
        </w:rPr>
        <w:t>Law Reform </w:t>
      </w:r>
      <w:r>
        <w:rPr>
          <w:spacing w:val="2"/>
          <w:sz w:val="13"/>
        </w:rPr>
        <w:t>Commission, </w:t>
      </w:r>
      <w:r>
        <w:rPr>
          <w:i/>
          <w:sz w:val="13"/>
        </w:rPr>
        <w:t>A Review of </w:t>
      </w:r>
      <w:r>
        <w:rPr>
          <w:i/>
          <w:spacing w:val="2"/>
          <w:sz w:val="13"/>
        </w:rPr>
        <w:t>Jury </w:t>
      </w:r>
      <w:r>
        <w:rPr>
          <w:i/>
          <w:sz w:val="13"/>
        </w:rPr>
        <w:t>Selection </w:t>
      </w:r>
      <w:r>
        <w:rPr>
          <w:spacing w:val="2"/>
          <w:sz w:val="13"/>
        </w:rPr>
        <w:t>(Report </w:t>
      </w:r>
      <w:r>
        <w:rPr>
          <w:sz w:val="13"/>
        </w:rPr>
        <w:t>No 68, 2011) Executive Summary, v</w:t>
      </w:r>
      <w:r>
        <w:rPr>
          <w:spacing w:val="7"/>
          <w:sz w:val="13"/>
        </w:rPr>
        <w:t> </w:t>
      </w:r>
      <w:r>
        <w:rPr>
          <w:spacing w:val="2"/>
          <w:sz w:val="13"/>
        </w:rPr>
        <w:t>[14].</w:t>
      </w:r>
    </w:p>
    <w:p>
      <w:pPr>
        <w:spacing w:after="0" w:line="170" w:lineRule="exact"/>
        <w:jc w:val="left"/>
        <w:rPr>
          <w:sz w:val="13"/>
        </w:rPr>
        <w:sectPr>
          <w:pgSz w:w="11910" w:h="16840"/>
          <w:pgMar w:header="0" w:footer="0" w:top="840" w:bottom="280" w:left="620" w:right="380"/>
        </w:sectPr>
      </w:pPr>
    </w:p>
    <w:p>
      <w:pPr>
        <w:pStyle w:val="BodyText"/>
      </w:pPr>
      <w:r>
        <w:rPr/>
        <w:pict>
          <v:rect style="position:absolute;margin-left:79.370003pt;margin-top:0pt;width:515.906000pt;height:841.890015pt;mso-position-horizontal-relative:page;mso-position-vertical-relative:page;z-index:3664" filled="true" fillcolor="#37617a" stroked="false">
            <v:fill type="solid"/>
            <w10:wrap type="none"/>
          </v:rect>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4"/>
        </w:rPr>
      </w:pPr>
    </w:p>
    <w:p>
      <w:pPr>
        <w:spacing w:before="49"/>
        <w:ind w:left="100" w:right="0" w:firstLine="0"/>
        <w:jc w:val="left"/>
        <w:rPr>
          <w:b/>
          <w:sz w:val="24"/>
        </w:rPr>
      </w:pPr>
      <w:r>
        <w:rPr>
          <w:b/>
          <w:color w:val="37617A"/>
          <w:sz w:val="24"/>
        </w:rPr>
        <w:t>28</w:t>
      </w:r>
    </w:p>
    <w:p>
      <w:pPr>
        <w:spacing w:after="0"/>
        <w:jc w:val="left"/>
        <w:rPr>
          <w:sz w:val="24"/>
        </w:rPr>
        <w:sectPr>
          <w:headerReference w:type="even" r:id="rId76"/>
          <w:pgSz w:w="11910" w:h="16840"/>
          <w:pgMar w:header="0" w:footer="0" w:top="1580" w:bottom="280" w:left="620" w:right="380"/>
        </w:sectPr>
      </w:pPr>
    </w:p>
    <w:p>
      <w:pPr>
        <w:pStyle w:val="BodyText"/>
        <w:rPr>
          <w:b/>
          <w:sz w:val="11"/>
        </w:rPr>
      </w:pPr>
      <w:r>
        <w:rPr/>
        <w:pict>
          <v:rect style="position:absolute;margin-left:0pt;margin-top:0pt;width:595.276001pt;height:841.890015pt;mso-position-horizontal-relative:page;mso-position-vertical-relative:page;z-index:-356440" filled="true" fillcolor="#37617a" stroked="false">
            <v:fill type="solid"/>
            <w10:wrap type="none"/>
          </v:rect>
        </w:pict>
      </w:r>
    </w:p>
    <w:p>
      <w:pPr>
        <w:spacing w:line="688" w:lineRule="exact" w:before="0"/>
        <w:ind w:left="0" w:right="745" w:firstLine="0"/>
        <w:jc w:val="right"/>
        <w:rPr>
          <w:rFonts w:ascii="Raleway SemiBold"/>
          <w:b/>
          <w:sz w:val="50"/>
        </w:rPr>
      </w:pPr>
      <w:r>
        <w:rPr/>
        <w:pict>
          <v:shape style="position:absolute;margin-left:410.811615pt;margin-top:-3.3143pt;width:136.25pt;height:152.65pt;mso-position-horizontal-relative:page;mso-position-vertical-relative:paragraph;z-index:-356416" type="#_x0000_t202" filled="false" stroked="false">
            <v:textbox inset="0,0,0,0">
              <w:txbxContent>
                <w:p>
                  <w:pPr>
                    <w:spacing w:line="3052" w:lineRule="exact" w:before="0"/>
                    <w:ind w:left="0" w:right="0" w:firstLine="0"/>
                    <w:jc w:val="left"/>
                    <w:rPr>
                      <w:b/>
                      <w:sz w:val="260"/>
                    </w:rPr>
                  </w:pPr>
                  <w:r>
                    <w:rPr>
                      <w:b/>
                      <w:color w:val="FFFFFF"/>
                      <w:spacing w:val="-156"/>
                      <w:sz w:val="260"/>
                    </w:rPr>
                    <w:t>05</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5"/>
        <w:rPr>
          <w:rFonts w:ascii="Raleway SemiBold"/>
          <w:b/>
          <w:sz w:val="17"/>
        </w:rPr>
      </w:pPr>
    </w:p>
    <w:p>
      <w:pPr>
        <w:spacing w:line="180" w:lineRule="auto" w:before="166"/>
        <w:ind w:left="967" w:right="3129" w:firstLine="0"/>
        <w:jc w:val="left"/>
        <w:rPr>
          <w:rFonts w:ascii="Raleway ExtraBold"/>
          <w:b/>
          <w:sz w:val="88"/>
        </w:rPr>
      </w:pPr>
      <w:r>
        <w:rPr>
          <w:rFonts w:ascii="Raleway ExtraBold"/>
          <w:b/>
          <w:color w:val="FFFFFF"/>
          <w:spacing w:val="-17"/>
          <w:sz w:val="88"/>
        </w:rPr>
        <w:t>The </w:t>
      </w:r>
      <w:r>
        <w:rPr>
          <w:rFonts w:ascii="Raleway ExtraBold"/>
          <w:b/>
          <w:color w:val="FFFFFF"/>
          <w:spacing w:val="-23"/>
          <w:sz w:val="88"/>
        </w:rPr>
        <w:t>slow </w:t>
      </w:r>
      <w:r>
        <w:rPr>
          <w:rFonts w:ascii="Raleway ExtraBold"/>
          <w:b/>
          <w:color w:val="FFFFFF"/>
          <w:spacing w:val="-19"/>
          <w:sz w:val="88"/>
        </w:rPr>
        <w:t>road </w:t>
      </w:r>
      <w:r>
        <w:rPr>
          <w:rFonts w:ascii="Raleway ExtraBold"/>
          <w:b/>
          <w:color w:val="FFFFFF"/>
          <w:spacing w:val="-24"/>
          <w:sz w:val="88"/>
        </w:rPr>
        <w:t>to inclusive </w:t>
      </w:r>
      <w:r>
        <w:rPr>
          <w:rFonts w:ascii="Raleway ExtraBold"/>
          <w:b/>
          <w:color w:val="FFFFFF"/>
          <w:spacing w:val="-20"/>
          <w:sz w:val="88"/>
        </w:rPr>
        <w:t>juries</w:t>
      </w:r>
    </w:p>
    <w:p>
      <w:pPr>
        <w:pStyle w:val="BodyText"/>
        <w:rPr>
          <w:rFonts w:ascii="Raleway ExtraBold"/>
          <w:b/>
        </w:rPr>
      </w:pPr>
    </w:p>
    <w:p>
      <w:pPr>
        <w:pStyle w:val="BodyText"/>
        <w:rPr>
          <w:rFonts w:ascii="Raleway ExtraBold"/>
          <w:b/>
        </w:rPr>
      </w:pPr>
    </w:p>
    <w:p>
      <w:pPr>
        <w:pStyle w:val="BodyText"/>
        <w:spacing w:before="4"/>
        <w:rPr>
          <w:rFonts w:ascii="Raleway ExtraBold"/>
          <w:b/>
          <w:sz w:val="27"/>
        </w:rPr>
      </w:pPr>
    </w:p>
    <w:p>
      <w:pPr>
        <w:tabs>
          <w:tab w:pos="1534" w:val="left" w:leader="none"/>
        </w:tabs>
        <w:spacing w:before="49"/>
        <w:ind w:left="967" w:right="0" w:firstLine="0"/>
        <w:jc w:val="left"/>
        <w:rPr>
          <w:b/>
          <w:sz w:val="24"/>
        </w:rPr>
      </w:pPr>
      <w:r>
        <w:rPr/>
        <w:pict>
          <v:line style="position:absolute;mso-position-horizontal-relative:page;mso-position-vertical-relative:paragraph;z-index:1640;mso-wrap-distance-left:0;mso-wrap-distance-right:0" from="79.370102pt,22.967304pt" to="104.882102pt,22.967304pt" stroked="true" strokeweight="2pt" strokecolor="#8f9dad">
            <v:stroke dashstyle="solid"/>
            <w10:wrap type="topAndBottom"/>
          </v:line>
        </w:pict>
      </w:r>
      <w:hyperlink w:history="true" w:anchor="_bookmark27">
        <w:r>
          <w:rPr>
            <w:b/>
            <w:color w:val="FFFFFF"/>
            <w:sz w:val="24"/>
          </w:rPr>
          <w:t>30</w:t>
          <w:tab/>
          <w:t>Overview</w:t>
        </w:r>
      </w:hyperlink>
    </w:p>
    <w:p>
      <w:pPr>
        <w:tabs>
          <w:tab w:pos="1534" w:val="left" w:leader="none"/>
        </w:tabs>
        <w:spacing w:before="14" w:after="57"/>
        <w:ind w:left="967" w:right="0" w:firstLine="0"/>
        <w:jc w:val="left"/>
        <w:rPr>
          <w:b/>
          <w:sz w:val="24"/>
        </w:rPr>
      </w:pPr>
      <w:hyperlink w:history="true" w:anchor="_bookmark27">
        <w:r>
          <w:rPr>
            <w:b/>
            <w:color w:val="FFFFFF"/>
            <w:sz w:val="24"/>
          </w:rPr>
          <w:t>30</w:t>
          <w:tab/>
          <w:t>The </w:t>
        </w:r>
        <w:r>
          <w:rPr>
            <w:b/>
            <w:color w:val="FFFFFF"/>
            <w:spacing w:val="-3"/>
            <w:sz w:val="24"/>
          </w:rPr>
          <w:t>evolution </w:t>
        </w:r>
        <w:r>
          <w:rPr>
            <w:b/>
            <w:color w:val="FFFFFF"/>
            <w:sz w:val="24"/>
          </w:rPr>
          <w:t>of the</w:t>
        </w:r>
        <w:r>
          <w:rPr>
            <w:b/>
            <w:color w:val="FFFFFF"/>
            <w:spacing w:val="3"/>
            <w:sz w:val="24"/>
          </w:rPr>
          <w:t> </w:t>
        </w:r>
        <w:r>
          <w:rPr>
            <w:b/>
            <w:color w:val="FFFFFF"/>
            <w:sz w:val="24"/>
          </w:rPr>
          <w:t>jury</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pStyle w:val="ListParagraph"/>
        <w:numPr>
          <w:ilvl w:val="0"/>
          <w:numId w:val="31"/>
        </w:numPr>
        <w:tabs>
          <w:tab w:pos="1534" w:val="left" w:leader="none"/>
          <w:tab w:pos="1535" w:val="left" w:leader="none"/>
        </w:tabs>
        <w:spacing w:line="240" w:lineRule="auto" w:before="43" w:after="0"/>
        <w:ind w:left="1534" w:right="0" w:hanging="567"/>
        <w:jc w:val="left"/>
        <w:rPr>
          <w:b/>
          <w:sz w:val="24"/>
        </w:rPr>
      </w:pPr>
      <w:r>
        <w:rPr/>
        <w:pict>
          <v:line style="position:absolute;mso-position-horizontal-relative:page;mso-position-vertical-relative:paragraph;z-index:1688;mso-wrap-distance-left:0;mso-wrap-distance-right:0" from="79.370102pt,22.667311pt" to="104.882102pt,22.667311pt" stroked="true" strokeweight="2pt" strokecolor="#8f9dad">
            <v:stroke dashstyle="solid"/>
            <w10:wrap type="topAndBottom"/>
          </v:line>
        </w:pict>
      </w:r>
      <w:hyperlink w:history="true" w:anchor="_bookmark29">
        <w:r>
          <w:rPr>
            <w:b/>
            <w:color w:val="FFFFFF"/>
            <w:sz w:val="24"/>
          </w:rPr>
          <w:t>Eligibility to serve on a Victorian</w:t>
        </w:r>
        <w:r>
          <w:rPr>
            <w:b/>
            <w:color w:val="FFFFFF"/>
            <w:spacing w:val="-2"/>
            <w:sz w:val="24"/>
          </w:rPr>
          <w:t> </w:t>
        </w:r>
        <w:r>
          <w:rPr>
            <w:b/>
            <w:color w:val="FFFFFF"/>
            <w:sz w:val="24"/>
          </w:rPr>
          <w:t>jury</w:t>
        </w:r>
      </w:hyperlink>
    </w:p>
    <w:p>
      <w:pPr>
        <w:pStyle w:val="ListParagraph"/>
        <w:numPr>
          <w:ilvl w:val="0"/>
          <w:numId w:val="31"/>
        </w:numPr>
        <w:tabs>
          <w:tab w:pos="1534" w:val="left" w:leader="none"/>
          <w:tab w:pos="1535" w:val="left" w:leader="none"/>
        </w:tabs>
        <w:spacing w:line="240" w:lineRule="auto" w:before="14" w:after="57"/>
        <w:ind w:left="1534" w:right="0" w:hanging="567"/>
        <w:jc w:val="left"/>
        <w:rPr>
          <w:b/>
          <w:sz w:val="24"/>
        </w:rPr>
      </w:pPr>
      <w:hyperlink w:history="true" w:anchor="_bookmark30">
        <w:r>
          <w:rPr>
            <w:b/>
            <w:color w:val="FFFFFF"/>
            <w:sz w:val="24"/>
          </w:rPr>
          <w:t>A comparable reform: the inclusion of</w:t>
        </w:r>
        <w:r>
          <w:rPr>
            <w:b/>
            <w:color w:val="FFFFFF"/>
            <w:spacing w:val="-4"/>
            <w:sz w:val="24"/>
          </w:rPr>
          <w:t> </w:t>
        </w:r>
        <w:r>
          <w:rPr>
            <w:b/>
            <w:color w:val="FFFFFF"/>
            <w:sz w:val="24"/>
          </w:rPr>
          <w:t>women</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tabs>
          <w:tab w:pos="1534" w:val="left" w:leader="none"/>
        </w:tabs>
        <w:spacing w:before="43"/>
        <w:ind w:left="967" w:right="0" w:firstLine="0"/>
        <w:jc w:val="left"/>
        <w:rPr>
          <w:b/>
          <w:sz w:val="24"/>
        </w:rPr>
      </w:pPr>
      <w:r>
        <w:rPr/>
        <w:pict>
          <v:line style="position:absolute;mso-position-horizontal-relative:page;mso-position-vertical-relative:paragraph;z-index:1736;mso-wrap-distance-left:0;mso-wrap-distance-right:0" from="79.370102pt,22.667189pt" to="104.882102pt,22.667189pt" stroked="true" strokeweight="2pt" strokecolor="#8f9dad">
            <v:stroke dashstyle="solid"/>
            <w10:wrap type="topAndBottom"/>
          </v:line>
        </w:pict>
      </w:r>
      <w:hyperlink w:history="true" w:anchor="_bookmark34">
        <w:r>
          <w:rPr>
            <w:b/>
            <w:color w:val="FFFFFF"/>
            <w:sz w:val="24"/>
          </w:rPr>
          <w:t>37</w:t>
          <w:tab/>
          <w:t>The </w:t>
        </w:r>
        <w:r>
          <w:rPr>
            <w:b/>
            <w:color w:val="FFFFFF"/>
            <w:spacing w:val="-2"/>
            <w:sz w:val="24"/>
          </w:rPr>
          <w:t>exclusion </w:t>
        </w:r>
        <w:r>
          <w:rPr>
            <w:b/>
            <w:color w:val="FFFFFF"/>
            <w:sz w:val="24"/>
          </w:rPr>
          <w:t>of people in the subject groups</w:t>
        </w:r>
      </w:hyperlink>
    </w:p>
    <w:p>
      <w:pPr>
        <w:tabs>
          <w:tab w:pos="1534" w:val="left" w:leader="none"/>
        </w:tabs>
        <w:spacing w:before="14" w:after="57"/>
        <w:ind w:left="967" w:right="0" w:firstLine="0"/>
        <w:jc w:val="left"/>
        <w:rPr>
          <w:b/>
          <w:sz w:val="24"/>
        </w:rPr>
      </w:pPr>
      <w:hyperlink w:history="true" w:anchor="_bookmark34">
        <w:r>
          <w:rPr>
            <w:b/>
            <w:color w:val="FFFFFF"/>
            <w:sz w:val="24"/>
          </w:rPr>
          <w:t>37</w:t>
          <w:tab/>
          <w:t>Community responses: support for</w:t>
        </w:r>
        <w:r>
          <w:rPr>
            <w:b/>
            <w:color w:val="FFFFFF"/>
            <w:spacing w:val="-2"/>
            <w:sz w:val="24"/>
          </w:rPr>
          <w:t> </w:t>
        </w:r>
        <w:r>
          <w:rPr>
            <w:b/>
            <w:color w:val="FFFFFF"/>
            <w:sz w:val="24"/>
          </w:rPr>
          <w:t>reform</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tabs>
          <w:tab w:pos="1534" w:val="left" w:leader="none"/>
        </w:tabs>
        <w:spacing w:before="43"/>
        <w:ind w:left="967" w:right="0" w:firstLine="0"/>
        <w:jc w:val="left"/>
        <w:rPr>
          <w:b/>
          <w:sz w:val="24"/>
        </w:rPr>
      </w:pPr>
      <w:r>
        <w:rPr/>
        <w:pict>
          <v:line style="position:absolute;mso-position-horizontal-relative:page;mso-position-vertical-relative:paragraph;z-index:1784;mso-wrap-distance-left:0;mso-wrap-distance-right:0" from="79.370102pt,22.667288pt" to="104.882102pt,22.667288pt" stroked="true" strokeweight="2pt" strokecolor="#8f9dad">
            <v:stroke dashstyle="solid"/>
            <w10:wrap type="topAndBottom"/>
          </v:line>
        </w:pict>
      </w:r>
      <w:hyperlink w:history="true" w:anchor="_bookmark35">
        <w:r>
          <w:rPr>
            <w:b/>
            <w:color w:val="FFFFFF"/>
            <w:sz w:val="24"/>
          </w:rPr>
          <w:t>39</w:t>
          <w:tab/>
          <w:t>Reform is</w:t>
        </w:r>
        <w:r>
          <w:rPr>
            <w:b/>
            <w:color w:val="FFFFFF"/>
            <w:spacing w:val="-1"/>
            <w:sz w:val="24"/>
          </w:rPr>
          <w:t> </w:t>
        </w:r>
        <w:r>
          <w:rPr>
            <w:b/>
            <w:color w:val="FFFFFF"/>
            <w:spacing w:val="-3"/>
            <w:sz w:val="24"/>
          </w:rPr>
          <w:t>overdue</w:t>
        </w:r>
      </w:hyperlink>
    </w:p>
    <w:p>
      <w:pPr>
        <w:spacing w:after="0"/>
        <w:jc w:val="left"/>
        <w:rPr>
          <w:sz w:val="24"/>
        </w:rPr>
        <w:sectPr>
          <w:headerReference w:type="default" r:id="rId77"/>
          <w:headerReference w:type="even" r:id="rId78"/>
          <w:pgSz w:w="11910" w:h="16840"/>
          <w:pgMar w:header="0" w:footer="0" w:top="480" w:bottom="280" w:left="620" w:right="380"/>
        </w:sectPr>
      </w:pPr>
    </w:p>
    <w:p>
      <w:pPr>
        <w:pStyle w:val="BodyText"/>
        <w:rPr>
          <w:b/>
        </w:rPr>
      </w:pPr>
      <w:r>
        <w:rPr/>
        <w:pict>
          <v:rect style="position:absolute;margin-left:0pt;margin-top:99.213013pt;width:14.173pt;height:85.748pt;mso-position-horizontal-relative:page;mso-position-vertical-relative:page;z-index:3976" filled="true" fillcolor="#37617a" stroked="false">
            <v:fill type="solid"/>
            <w10:wrap type="none"/>
          </v:rect>
        </w:pict>
      </w:r>
    </w:p>
    <w:p>
      <w:pPr>
        <w:pStyle w:val="BodyText"/>
        <w:rPr>
          <w:b/>
        </w:rPr>
      </w:pPr>
    </w:p>
    <w:p>
      <w:pPr>
        <w:pStyle w:val="BodyText"/>
        <w:spacing w:before="2"/>
        <w:rPr>
          <w:b/>
          <w:sz w:val="25"/>
        </w:rPr>
      </w:pPr>
    </w:p>
    <w:p>
      <w:pPr>
        <w:pStyle w:val="ListParagraph"/>
        <w:numPr>
          <w:ilvl w:val="0"/>
          <w:numId w:val="12"/>
        </w:numPr>
        <w:tabs>
          <w:tab w:pos="822" w:val="left" w:leader="none"/>
        </w:tabs>
        <w:spacing w:line="758" w:lineRule="exact" w:before="0" w:after="0"/>
        <w:ind w:left="821" w:right="0" w:hanging="591"/>
        <w:jc w:val="left"/>
        <w:rPr>
          <w:rFonts w:ascii="Raleway ExtraBold"/>
          <w:b/>
          <w:sz w:val="56"/>
        </w:rPr>
      </w:pPr>
      <w:bookmarkStart w:name="5. The slow road to inclusive juries" w:id="69"/>
      <w:bookmarkEnd w:id="69"/>
      <w:r>
        <w:rPr/>
      </w:r>
      <w:bookmarkStart w:name="Overview" w:id="70"/>
      <w:bookmarkEnd w:id="70"/>
      <w:r>
        <w:rPr/>
      </w:r>
      <w:bookmarkStart w:name="The evolution of the jury" w:id="71"/>
      <w:bookmarkEnd w:id="71"/>
      <w:r>
        <w:rPr/>
      </w:r>
      <w:bookmarkStart w:name="_bookmark27" w:id="72"/>
      <w:bookmarkEnd w:id="72"/>
      <w:r>
        <w:rPr/>
      </w:r>
      <w:bookmarkStart w:name="_bookmark27" w:id="73"/>
      <w:bookmarkEnd w:id="73"/>
      <w:r>
        <w:rPr>
          <w:rFonts w:ascii="Raleway ExtraBold"/>
          <w:b/>
          <w:color w:val="37617A"/>
          <w:spacing w:val="-4"/>
          <w:sz w:val="56"/>
        </w:rPr>
        <w:t>T</w:t>
      </w:r>
      <w:r>
        <w:rPr>
          <w:rFonts w:ascii="Raleway ExtraBold"/>
          <w:b/>
          <w:color w:val="37617A"/>
          <w:spacing w:val="-4"/>
          <w:sz w:val="56"/>
        </w:rPr>
        <w:t>he </w:t>
      </w:r>
      <w:r>
        <w:rPr>
          <w:rFonts w:ascii="Raleway ExtraBold"/>
          <w:b/>
          <w:color w:val="37617A"/>
          <w:spacing w:val="-7"/>
          <w:sz w:val="56"/>
        </w:rPr>
        <w:t>slow </w:t>
      </w:r>
      <w:r>
        <w:rPr>
          <w:rFonts w:ascii="Raleway ExtraBold"/>
          <w:b/>
          <w:color w:val="37617A"/>
          <w:spacing w:val="-4"/>
          <w:sz w:val="56"/>
        </w:rPr>
        <w:t>road </w:t>
      </w:r>
      <w:r>
        <w:rPr>
          <w:rFonts w:ascii="Raleway ExtraBold"/>
          <w:b/>
          <w:color w:val="37617A"/>
          <w:spacing w:val="-5"/>
          <w:sz w:val="56"/>
        </w:rPr>
        <w:t>to </w:t>
      </w:r>
      <w:r>
        <w:rPr>
          <w:rFonts w:ascii="Raleway ExtraBold"/>
          <w:b/>
          <w:color w:val="37617A"/>
          <w:spacing w:val="-6"/>
          <w:sz w:val="56"/>
        </w:rPr>
        <w:t>inclusive</w:t>
      </w:r>
      <w:r>
        <w:rPr>
          <w:rFonts w:ascii="Raleway ExtraBold"/>
          <w:b/>
          <w:color w:val="37617A"/>
          <w:spacing w:val="24"/>
          <w:sz w:val="56"/>
        </w:rPr>
        <w:t> </w:t>
      </w:r>
      <w:r>
        <w:rPr>
          <w:rFonts w:ascii="Raleway ExtraBold"/>
          <w:b/>
          <w:color w:val="37617A"/>
          <w:spacing w:val="-4"/>
          <w:sz w:val="56"/>
        </w:rPr>
        <w:t>juries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2"/>
        <w:rPr>
          <w:rFonts w:ascii="Raleway ExtraBold"/>
          <w:b/>
          <w:sz w:val="15"/>
        </w:rPr>
      </w:pPr>
      <w:r>
        <w:rPr/>
        <w:pict>
          <v:line style="position:absolute;mso-position-horizontal-relative:page;mso-position-vertical-relative:paragraph;z-index:1856;mso-wrap-distance-left:0;mso-wrap-distance-right:0" from="79.370102pt,13.234083pt" to="515.905102pt,13.234083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1997" w:right="2235" w:hanging="1"/>
        <w:jc w:val="center"/>
        <w:rPr>
          <w:rFonts w:ascii="Trebuchet MS" w:hAnsi="Trebuchet MS"/>
          <w:sz w:val="19"/>
        </w:rPr>
      </w:pPr>
      <w:r>
        <w:rPr>
          <w:rFonts w:ascii="Trebuchet MS" w:hAnsi="Trebuchet MS"/>
          <w:i/>
          <w:color w:val="37617A"/>
          <w:spacing w:val="-2"/>
          <w:w w:val="100"/>
          <w:sz w:val="20"/>
        </w:rPr>
        <w:t>T</w:t>
      </w:r>
      <w:r>
        <w:rPr>
          <w:rFonts w:ascii="Trebuchet MS" w:hAnsi="Trebuchet MS"/>
          <w:i/>
          <w:color w:val="37617A"/>
          <w:w w:val="101"/>
          <w:sz w:val="20"/>
        </w:rPr>
        <w:t>h</w:t>
      </w:r>
      <w:r>
        <w:rPr>
          <w:rFonts w:ascii="Trebuchet MS" w:hAnsi="Trebuchet MS"/>
          <w:i/>
          <w:color w:val="37617A"/>
          <w:w w:val="73"/>
          <w:sz w:val="20"/>
        </w:rPr>
        <w:t>i</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106"/>
          <w:sz w:val="20"/>
        </w:rPr>
        <w:t>m</w:t>
      </w:r>
      <w:r>
        <w:rPr>
          <w:rFonts w:ascii="Trebuchet MS" w:hAnsi="Trebuchet MS"/>
          <w:i/>
          <w:color w:val="37617A"/>
          <w:w w:val="100"/>
          <w:sz w:val="20"/>
        </w:rPr>
        <w:t>e</w:t>
      </w:r>
      <w:r>
        <w:rPr>
          <w:rFonts w:ascii="Trebuchet MS" w:hAnsi="Trebuchet MS"/>
          <w:i/>
          <w:color w:val="37617A"/>
          <w:spacing w:val="-1"/>
          <w:w w:val="100"/>
          <w:sz w:val="20"/>
        </w:rPr>
        <w:t>e</w:t>
      </w:r>
      <w:r>
        <w:rPr>
          <w:rFonts w:ascii="Trebuchet MS" w:hAnsi="Trebuchet MS"/>
          <w:i/>
          <w:color w:val="37617A"/>
          <w:spacing w:val="-1"/>
          <w:w w:val="80"/>
          <w:sz w:val="20"/>
        </w:rPr>
        <w:t>t</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15"/>
          <w:sz w:val="20"/>
        </w:rPr>
        <w:t>a</w:t>
      </w:r>
      <w:r>
        <w:rPr>
          <w:rFonts w:ascii="Trebuchet MS" w:hAnsi="Trebuchet MS"/>
          <w:i/>
          <w:color w:val="37617A"/>
          <w:spacing w:val="-1"/>
          <w:w w:val="117"/>
          <w:sz w:val="20"/>
        </w:rPr>
        <w:t>s</w:t>
      </w:r>
      <w:r>
        <w:rPr>
          <w:rFonts w:ascii="Trebuchet MS" w:hAnsi="Trebuchet MS"/>
          <w:i/>
          <w:color w:val="37617A"/>
          <w:spacing w:val="-5"/>
          <w:w w:val="80"/>
          <w:sz w:val="20"/>
        </w:rPr>
        <w:t>t</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73"/>
          <w:sz w:val="20"/>
        </w:rPr>
        <w:t>i</w:t>
      </w:r>
      <w:r>
        <w:rPr>
          <w:rFonts w:ascii="Trebuchet MS" w:hAnsi="Trebuchet MS"/>
          <w:i/>
          <w:color w:val="37617A"/>
          <w:spacing w:val="-1"/>
          <w:w w:val="106"/>
          <w:sz w:val="20"/>
        </w:rPr>
        <w:t>m</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67"/>
          <w:sz w:val="20"/>
        </w:rPr>
        <w:t>…</w:t>
      </w:r>
      <w:r>
        <w:rPr>
          <w:rFonts w:ascii="Trebuchet MS" w:hAnsi="Trebuchet MS"/>
          <w:i/>
          <w:color w:val="37617A"/>
          <w:spacing w:val="-13"/>
          <w:sz w:val="20"/>
        </w:rPr>
        <w:t> </w:t>
      </w:r>
      <w:r>
        <w:rPr>
          <w:rFonts w:ascii="Trebuchet MS" w:hAnsi="Trebuchet MS"/>
          <w:i/>
          <w:color w:val="37617A"/>
          <w:spacing w:val="-11"/>
          <w:w w:val="117"/>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03"/>
          <w:sz w:val="20"/>
        </w:rPr>
        <w:t>n</w:t>
      </w:r>
      <w:r>
        <w:rPr>
          <w:rFonts w:ascii="Trebuchet MS" w:hAnsi="Trebuchet MS"/>
          <w:i/>
          <w:color w:val="37617A"/>
          <w:spacing w:val="-2"/>
          <w:w w:val="107"/>
          <w:sz w:val="20"/>
        </w:rPr>
        <w:t>o</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
          <w:w w:val="117"/>
          <w:sz w:val="20"/>
        </w:rPr>
        <w:t>s</w:t>
      </w:r>
      <w:r>
        <w:rPr>
          <w:rFonts w:ascii="Trebuchet MS" w:hAnsi="Trebuchet MS"/>
          <w:i/>
          <w:color w:val="37617A"/>
          <w:w w:val="107"/>
          <w:sz w:val="20"/>
        </w:rPr>
        <w:t>k</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spacing w:val="-13"/>
          <w:sz w:val="20"/>
        </w:rPr>
        <w:t> </w:t>
      </w:r>
      <w:r>
        <w:rPr>
          <w:rFonts w:ascii="Trebuchet MS" w:hAnsi="Trebuchet MS"/>
          <w:i/>
          <w:color w:val="37617A"/>
          <w:spacing w:val="-5"/>
          <w:w w:val="83"/>
          <w:sz w:val="20"/>
        </w:rPr>
        <w:t>f</w:t>
      </w:r>
      <w:r>
        <w:rPr>
          <w:rFonts w:ascii="Trebuchet MS" w:hAnsi="Trebuchet MS"/>
          <w:i/>
          <w:color w:val="37617A"/>
          <w:w w:val="107"/>
          <w:sz w:val="20"/>
        </w:rPr>
        <w:t>o</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spacing w:val="-2"/>
          <w:w w:val="84"/>
          <w:sz w:val="20"/>
        </w:rPr>
        <w:t>r</w:t>
      </w:r>
      <w:r>
        <w:rPr>
          <w:rFonts w:ascii="Trebuchet MS" w:hAnsi="Trebuchet MS"/>
          <w:i/>
          <w:color w:val="37617A"/>
          <w:spacing w:val="-2"/>
          <w:w w:val="73"/>
          <w:sz w:val="20"/>
        </w:rPr>
        <w:t>i</w:t>
      </w:r>
      <w:r>
        <w:rPr>
          <w:rFonts w:ascii="Trebuchet MS" w:hAnsi="Trebuchet MS"/>
          <w:i/>
          <w:color w:val="37617A"/>
          <w:spacing w:val="-3"/>
          <w:w w:val="103"/>
          <w:sz w:val="20"/>
        </w:rPr>
        <w:t>v</w:t>
      </w:r>
      <w:r>
        <w:rPr>
          <w:rFonts w:ascii="Trebuchet MS" w:hAnsi="Trebuchet MS"/>
          <w:i/>
          <w:color w:val="37617A"/>
          <w:spacing w:val="-1"/>
          <w:w w:val="73"/>
          <w:sz w:val="20"/>
        </w:rPr>
        <w:t>i</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spacing w:val="-1"/>
          <w:w w:val="119"/>
          <w:sz w:val="20"/>
        </w:rPr>
        <w:t>g</w:t>
      </w:r>
      <w:r>
        <w:rPr>
          <w:rFonts w:ascii="Trebuchet MS" w:hAnsi="Trebuchet MS"/>
          <w:i/>
          <w:color w:val="37617A"/>
          <w:spacing w:val="-2"/>
          <w:w w:val="100"/>
          <w:sz w:val="20"/>
        </w:rPr>
        <w:t>e</w:t>
      </w:r>
      <w:r>
        <w:rPr>
          <w:rFonts w:ascii="Trebuchet MS" w:hAnsi="Trebuchet MS"/>
          <w:i/>
          <w:color w:val="37617A"/>
          <w:w w:val="55"/>
          <w:sz w:val="20"/>
        </w:rPr>
        <w: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w w:val="100"/>
          <w:sz w:val="20"/>
        </w:rPr>
        <w:t> </w:t>
      </w:r>
      <w:r>
        <w:rPr>
          <w:rFonts w:ascii="Trebuchet MS" w:hAnsi="Trebuchet MS"/>
          <w:i/>
          <w:color w:val="37617A"/>
          <w:sz w:val="20"/>
        </w:rPr>
        <w:t>asking</w:t>
      </w:r>
      <w:r>
        <w:rPr>
          <w:rFonts w:ascii="Trebuchet MS" w:hAnsi="Trebuchet MS"/>
          <w:i/>
          <w:color w:val="37617A"/>
          <w:spacing w:val="-12"/>
          <w:sz w:val="20"/>
        </w:rPr>
        <w:t> </w:t>
      </w:r>
      <w:r>
        <w:rPr>
          <w:rFonts w:ascii="Trebuchet MS" w:hAnsi="Trebuchet MS"/>
          <w:i/>
          <w:color w:val="37617A"/>
          <w:sz w:val="20"/>
        </w:rPr>
        <w:t>for</w:t>
      </w:r>
      <w:r>
        <w:rPr>
          <w:rFonts w:ascii="Trebuchet MS" w:hAnsi="Trebuchet MS"/>
          <w:i/>
          <w:color w:val="37617A"/>
          <w:spacing w:val="-11"/>
          <w:sz w:val="20"/>
        </w:rPr>
        <w:t> </w:t>
      </w:r>
      <w:r>
        <w:rPr>
          <w:rFonts w:ascii="Trebuchet MS" w:hAnsi="Trebuchet MS"/>
          <w:i/>
          <w:color w:val="37617A"/>
          <w:sz w:val="20"/>
        </w:rPr>
        <w:t>a</w:t>
      </w:r>
      <w:r>
        <w:rPr>
          <w:rFonts w:ascii="Trebuchet MS" w:hAnsi="Trebuchet MS"/>
          <w:i/>
          <w:color w:val="37617A"/>
          <w:spacing w:val="-11"/>
          <w:sz w:val="20"/>
        </w:rPr>
        <w:t> </w:t>
      </w:r>
      <w:r>
        <w:rPr>
          <w:rFonts w:ascii="Trebuchet MS" w:hAnsi="Trebuchet MS"/>
          <w:i/>
          <w:color w:val="37617A"/>
          <w:sz w:val="20"/>
        </w:rPr>
        <w:t>very</w:t>
      </w:r>
      <w:r>
        <w:rPr>
          <w:rFonts w:ascii="Trebuchet MS" w:hAnsi="Trebuchet MS"/>
          <w:i/>
          <w:color w:val="37617A"/>
          <w:spacing w:val="-11"/>
          <w:sz w:val="20"/>
        </w:rPr>
        <w:t> </w:t>
      </w:r>
      <w:r>
        <w:rPr>
          <w:rFonts w:ascii="Trebuchet MS" w:hAnsi="Trebuchet MS"/>
          <w:i/>
          <w:color w:val="37617A"/>
          <w:sz w:val="20"/>
        </w:rPr>
        <w:t>unpleasant</w:t>
      </w:r>
      <w:r>
        <w:rPr>
          <w:rFonts w:ascii="Trebuchet MS" w:hAnsi="Trebuchet MS"/>
          <w:i/>
          <w:color w:val="37617A"/>
          <w:spacing w:val="-11"/>
          <w:sz w:val="20"/>
        </w:rPr>
        <w:t> </w:t>
      </w:r>
      <w:r>
        <w:rPr>
          <w:rFonts w:ascii="Trebuchet MS" w:hAnsi="Trebuchet MS"/>
          <w:i/>
          <w:color w:val="37617A"/>
          <w:sz w:val="20"/>
        </w:rPr>
        <w:t>right</w:t>
      </w:r>
      <w:r>
        <w:rPr>
          <w:rFonts w:ascii="Trebuchet MS" w:hAnsi="Trebuchet MS"/>
          <w:i/>
          <w:color w:val="37617A"/>
          <w:spacing w:val="-11"/>
          <w:sz w:val="20"/>
        </w:rPr>
        <w:t> </w:t>
      </w:r>
      <w:r>
        <w:rPr>
          <w:rFonts w:ascii="Trebuchet MS" w:hAnsi="Trebuchet MS"/>
          <w:i/>
          <w:color w:val="37617A"/>
          <w:sz w:val="20"/>
        </w:rPr>
        <w:t>…</w:t>
      </w:r>
      <w:r>
        <w:rPr>
          <w:rFonts w:ascii="Trebuchet MS" w:hAnsi="Trebuchet MS"/>
          <w:i/>
          <w:color w:val="37617A"/>
          <w:spacing w:val="-11"/>
          <w:sz w:val="20"/>
        </w:rPr>
        <w:t> </w:t>
      </w:r>
      <w:r>
        <w:rPr>
          <w:rFonts w:ascii="Trebuchet MS" w:hAnsi="Trebuchet MS"/>
          <w:i/>
          <w:color w:val="37617A"/>
          <w:spacing w:val="-6"/>
          <w:sz w:val="20"/>
        </w:rPr>
        <w:t>We</w:t>
      </w:r>
      <w:r>
        <w:rPr>
          <w:rFonts w:ascii="Trebuchet MS" w:hAnsi="Trebuchet MS"/>
          <w:i/>
          <w:color w:val="37617A"/>
          <w:spacing w:val="-11"/>
          <w:sz w:val="20"/>
        </w:rPr>
        <w:t> </w:t>
      </w:r>
      <w:r>
        <w:rPr>
          <w:rFonts w:ascii="Trebuchet MS" w:hAnsi="Trebuchet MS"/>
          <w:i/>
          <w:color w:val="37617A"/>
          <w:sz w:val="20"/>
        </w:rPr>
        <w:t>think</w:t>
      </w:r>
      <w:r>
        <w:rPr>
          <w:rFonts w:ascii="Trebuchet MS" w:hAnsi="Trebuchet MS"/>
          <w:i/>
          <w:color w:val="37617A"/>
          <w:spacing w:val="-11"/>
          <w:sz w:val="20"/>
        </w:rPr>
        <w:t> </w:t>
      </w:r>
      <w:r>
        <w:rPr>
          <w:rFonts w:ascii="Trebuchet MS" w:hAnsi="Trebuchet MS"/>
          <w:i/>
          <w:color w:val="37617A"/>
          <w:sz w:val="20"/>
        </w:rPr>
        <w:t>it</w:t>
      </w:r>
      <w:r>
        <w:rPr>
          <w:rFonts w:ascii="Trebuchet MS" w:hAnsi="Trebuchet MS"/>
          <w:i/>
          <w:color w:val="37617A"/>
          <w:spacing w:val="-11"/>
          <w:sz w:val="20"/>
        </w:rPr>
        <w:t> </w:t>
      </w:r>
      <w:r>
        <w:rPr>
          <w:rFonts w:ascii="Trebuchet MS" w:hAnsi="Trebuchet MS"/>
          <w:i/>
          <w:color w:val="37617A"/>
          <w:sz w:val="20"/>
        </w:rPr>
        <w:t>is</w:t>
      </w:r>
      <w:r>
        <w:rPr>
          <w:rFonts w:ascii="Trebuchet MS" w:hAnsi="Trebuchet MS"/>
          <w:i/>
          <w:color w:val="37617A"/>
          <w:spacing w:val="-11"/>
          <w:sz w:val="20"/>
        </w:rPr>
        <w:t> </w:t>
      </w:r>
      <w:r>
        <w:rPr>
          <w:rFonts w:ascii="Trebuchet MS" w:hAnsi="Trebuchet MS"/>
          <w:i/>
          <w:color w:val="37617A"/>
          <w:sz w:val="20"/>
        </w:rPr>
        <w:t>work</w:t>
      </w:r>
      <w:r>
        <w:rPr>
          <w:rFonts w:ascii="Trebuchet MS" w:hAnsi="Trebuchet MS"/>
          <w:i/>
          <w:color w:val="37617A"/>
          <w:spacing w:val="-11"/>
          <w:sz w:val="20"/>
        </w:rPr>
        <w:t> </w:t>
      </w:r>
      <w:r>
        <w:rPr>
          <w:rFonts w:ascii="Trebuchet MS" w:hAnsi="Trebuchet MS"/>
          <w:i/>
          <w:color w:val="37617A"/>
          <w:sz w:val="20"/>
        </w:rPr>
        <w:t>we</w:t>
      </w:r>
      <w:r>
        <w:rPr>
          <w:rFonts w:ascii="Trebuchet MS" w:hAnsi="Trebuchet MS"/>
          <w:i/>
          <w:color w:val="37617A"/>
          <w:spacing w:val="-11"/>
          <w:sz w:val="20"/>
        </w:rPr>
        <w:t> </w:t>
      </w:r>
      <w:r>
        <w:rPr>
          <w:rFonts w:ascii="Trebuchet MS" w:hAnsi="Trebuchet MS"/>
          <w:i/>
          <w:color w:val="37617A"/>
          <w:sz w:val="20"/>
        </w:rPr>
        <w:t>should</w:t>
      </w:r>
      <w:r>
        <w:rPr>
          <w:rFonts w:ascii="Trebuchet MS" w:hAnsi="Trebuchet MS"/>
          <w:i/>
          <w:color w:val="37617A"/>
          <w:spacing w:val="-11"/>
          <w:sz w:val="20"/>
        </w:rPr>
        <w:t> </w:t>
      </w:r>
      <w:r>
        <w:rPr>
          <w:rFonts w:ascii="Trebuchet MS" w:hAnsi="Trebuchet MS"/>
          <w:i/>
          <w:color w:val="37617A"/>
          <w:sz w:val="20"/>
        </w:rPr>
        <w:t>be</w:t>
      </w:r>
      <w:r>
        <w:rPr>
          <w:rFonts w:ascii="Trebuchet MS" w:hAnsi="Trebuchet MS"/>
          <w:i/>
          <w:color w:val="37617A"/>
          <w:spacing w:val="-11"/>
          <w:sz w:val="20"/>
        </w:rPr>
        <w:t> </w:t>
      </w:r>
      <w:r>
        <w:rPr>
          <w:rFonts w:ascii="Trebuchet MS" w:hAnsi="Trebuchet MS"/>
          <w:i/>
          <w:color w:val="37617A"/>
          <w:sz w:val="20"/>
        </w:rPr>
        <w:t>doing and it is our right to do it.</w:t>
      </w:r>
      <w:r>
        <w:rPr>
          <w:i/>
          <w:color w:val="37617A"/>
          <w:position w:val="7"/>
          <w:sz w:val="11"/>
        </w:rPr>
        <w:t>1 </w:t>
      </w:r>
      <w:r>
        <w:rPr>
          <w:rFonts w:ascii="Trebuchet MS" w:hAnsi="Trebuchet MS"/>
          <w:color w:val="37617A"/>
          <w:sz w:val="19"/>
        </w:rPr>
        <w:t>—Comment by a woman to a New South </w:t>
      </w:r>
      <w:r>
        <w:rPr>
          <w:rFonts w:ascii="Trebuchet MS" w:hAnsi="Trebuchet MS"/>
          <w:color w:val="37617A"/>
          <w:spacing w:val="-3"/>
          <w:sz w:val="19"/>
        </w:rPr>
        <w:t>Wales </w:t>
      </w:r>
      <w:r>
        <w:rPr>
          <w:rFonts w:ascii="Trebuchet MS" w:hAnsi="Trebuchet MS"/>
          <w:color w:val="37617A"/>
          <w:sz w:val="19"/>
        </w:rPr>
        <w:t>Committee in the</w:t>
      </w:r>
      <w:r>
        <w:rPr>
          <w:rFonts w:ascii="Trebuchet MS" w:hAnsi="Trebuchet MS"/>
          <w:color w:val="37617A"/>
          <w:spacing w:val="-31"/>
          <w:sz w:val="19"/>
        </w:rPr>
        <w:t> </w:t>
      </w:r>
      <w:r>
        <w:rPr>
          <w:rFonts w:ascii="Trebuchet MS" w:hAnsi="Trebuchet MS"/>
          <w:color w:val="37617A"/>
          <w:sz w:val="19"/>
        </w:rPr>
        <w:t>1940s</w:t>
      </w:r>
    </w:p>
    <w:p>
      <w:pPr>
        <w:pStyle w:val="BodyText"/>
        <w:spacing w:before="10"/>
        <w:rPr>
          <w:rFonts w:ascii="Trebuchet MS"/>
          <w:sz w:val="9"/>
        </w:rPr>
      </w:pPr>
      <w:r>
        <w:rPr/>
        <w:pict>
          <v:line style="position:absolute;mso-position-horizontal-relative:page;mso-position-vertical-relative:paragraph;z-index:1880;mso-wrap-distance-left:0;mso-wrap-distance-right:0" from="79.370102pt,7.94996pt" to="515.905102pt,7.94996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32"/>
        </w:numPr>
        <w:tabs>
          <w:tab w:pos="2157" w:val="left" w:leader="none"/>
          <w:tab w:pos="2158" w:val="left" w:leader="none"/>
        </w:tabs>
        <w:spacing w:line="240" w:lineRule="auto" w:before="114" w:after="0"/>
        <w:ind w:left="2157" w:right="0" w:hanging="396"/>
        <w:jc w:val="left"/>
        <w:rPr>
          <w:sz w:val="11"/>
        </w:rPr>
      </w:pPr>
      <w:r>
        <w:rPr>
          <w:sz w:val="20"/>
        </w:rPr>
        <w:t>The</w:t>
      </w:r>
      <w:r>
        <w:rPr>
          <w:spacing w:val="-5"/>
          <w:sz w:val="20"/>
        </w:rPr>
        <w:t> </w:t>
      </w:r>
      <w:r>
        <w:rPr>
          <w:sz w:val="20"/>
        </w:rPr>
        <w:t>jury</w:t>
      </w:r>
      <w:r>
        <w:rPr>
          <w:spacing w:val="-4"/>
          <w:sz w:val="20"/>
        </w:rPr>
        <w:t> </w:t>
      </w:r>
      <w:r>
        <w:rPr>
          <w:sz w:val="20"/>
        </w:rPr>
        <w:t>that</w:t>
      </w:r>
      <w:r>
        <w:rPr>
          <w:spacing w:val="-5"/>
          <w:sz w:val="20"/>
        </w:rPr>
        <w:t> </w:t>
      </w:r>
      <w:r>
        <w:rPr>
          <w:spacing w:val="-3"/>
          <w:sz w:val="20"/>
        </w:rPr>
        <w:t>we</w:t>
      </w:r>
      <w:r>
        <w:rPr>
          <w:spacing w:val="-4"/>
          <w:sz w:val="20"/>
        </w:rPr>
        <w:t> </w:t>
      </w:r>
      <w:r>
        <w:rPr>
          <w:spacing w:val="-3"/>
          <w:sz w:val="20"/>
        </w:rPr>
        <w:t>are</w:t>
      </w:r>
      <w:r>
        <w:rPr>
          <w:spacing w:val="-5"/>
          <w:sz w:val="20"/>
        </w:rPr>
        <w:t> </w:t>
      </w:r>
      <w:r>
        <w:rPr>
          <w:sz w:val="20"/>
        </w:rPr>
        <w:t>familiar</w:t>
      </w:r>
      <w:r>
        <w:rPr>
          <w:spacing w:val="-4"/>
          <w:sz w:val="20"/>
        </w:rPr>
        <w:t> </w:t>
      </w:r>
      <w:r>
        <w:rPr>
          <w:sz w:val="20"/>
        </w:rPr>
        <w:t>with</w:t>
      </w:r>
      <w:r>
        <w:rPr>
          <w:spacing w:val="-5"/>
          <w:sz w:val="20"/>
        </w:rPr>
        <w:t> </w:t>
      </w:r>
      <w:r>
        <w:rPr>
          <w:spacing w:val="-3"/>
          <w:sz w:val="20"/>
        </w:rPr>
        <w:t>today</w:t>
      </w:r>
      <w:r>
        <w:rPr>
          <w:spacing w:val="-4"/>
          <w:sz w:val="20"/>
        </w:rPr>
        <w:t> </w:t>
      </w:r>
      <w:r>
        <w:rPr>
          <w:sz w:val="20"/>
        </w:rPr>
        <w:t>has</w:t>
      </w:r>
      <w:r>
        <w:rPr>
          <w:spacing w:val="-5"/>
          <w:sz w:val="20"/>
        </w:rPr>
        <w:t> </w:t>
      </w:r>
      <w:r>
        <w:rPr>
          <w:spacing w:val="-3"/>
          <w:sz w:val="20"/>
        </w:rPr>
        <w:t>only</w:t>
      </w:r>
      <w:r>
        <w:rPr>
          <w:spacing w:val="-4"/>
          <w:sz w:val="20"/>
        </w:rPr>
        <w:t> </w:t>
      </w:r>
      <w:r>
        <w:rPr>
          <w:sz w:val="20"/>
        </w:rPr>
        <w:t>emerged</w:t>
      </w:r>
      <w:r>
        <w:rPr>
          <w:spacing w:val="-5"/>
          <w:sz w:val="20"/>
        </w:rPr>
        <w:t> </w:t>
      </w:r>
      <w:r>
        <w:rPr>
          <w:spacing w:val="-3"/>
          <w:sz w:val="20"/>
        </w:rPr>
        <w:t>recently.</w:t>
      </w:r>
      <w:r>
        <w:rPr>
          <w:spacing w:val="-3"/>
          <w:position w:val="7"/>
          <w:sz w:val="11"/>
        </w:rPr>
        <w:t>2</w:t>
      </w:r>
    </w:p>
    <w:p>
      <w:pPr>
        <w:pStyle w:val="ListParagraph"/>
        <w:numPr>
          <w:ilvl w:val="0"/>
          <w:numId w:val="32"/>
        </w:numPr>
        <w:tabs>
          <w:tab w:pos="2157" w:val="left" w:leader="none"/>
          <w:tab w:pos="2158" w:val="left" w:leader="none"/>
        </w:tabs>
        <w:spacing w:line="206" w:lineRule="auto" w:before="80" w:after="0"/>
        <w:ind w:left="2157" w:right="1520" w:hanging="396"/>
        <w:jc w:val="left"/>
        <w:rPr>
          <w:sz w:val="20"/>
        </w:rPr>
      </w:pPr>
      <w:r>
        <w:rPr>
          <w:sz w:val="20"/>
        </w:rPr>
        <w:t>Who</w:t>
      </w:r>
      <w:r>
        <w:rPr>
          <w:spacing w:val="-9"/>
          <w:sz w:val="20"/>
        </w:rPr>
        <w:t> </w:t>
      </w:r>
      <w:r>
        <w:rPr>
          <w:sz w:val="20"/>
        </w:rPr>
        <w:t>can</w:t>
      </w:r>
      <w:r>
        <w:rPr>
          <w:spacing w:val="-8"/>
          <w:sz w:val="20"/>
        </w:rPr>
        <w:t> </w:t>
      </w:r>
      <w:r>
        <w:rPr>
          <w:sz w:val="20"/>
        </w:rPr>
        <w:t>be</w:t>
      </w:r>
      <w:r>
        <w:rPr>
          <w:spacing w:val="-9"/>
          <w:sz w:val="20"/>
        </w:rPr>
        <w:t> </w:t>
      </w:r>
      <w:r>
        <w:rPr>
          <w:sz w:val="20"/>
        </w:rPr>
        <w:t>a</w:t>
      </w:r>
      <w:r>
        <w:rPr>
          <w:spacing w:val="-8"/>
          <w:sz w:val="20"/>
        </w:rPr>
        <w:t> </w:t>
      </w:r>
      <w:r>
        <w:rPr>
          <w:sz w:val="20"/>
        </w:rPr>
        <w:t>juror</w:t>
      </w:r>
      <w:r>
        <w:rPr>
          <w:spacing w:val="-9"/>
          <w:sz w:val="20"/>
        </w:rPr>
        <w:t> </w:t>
      </w:r>
      <w:r>
        <w:rPr>
          <w:sz w:val="20"/>
        </w:rPr>
        <w:t>has</w:t>
      </w:r>
      <w:r>
        <w:rPr>
          <w:spacing w:val="-8"/>
          <w:sz w:val="20"/>
        </w:rPr>
        <w:t> </w:t>
      </w:r>
      <w:r>
        <w:rPr>
          <w:sz w:val="20"/>
        </w:rPr>
        <w:t>changed</w:t>
      </w:r>
      <w:r>
        <w:rPr>
          <w:spacing w:val="-8"/>
          <w:sz w:val="20"/>
        </w:rPr>
        <w:t> </w:t>
      </w:r>
      <w:r>
        <w:rPr>
          <w:spacing w:val="-4"/>
          <w:sz w:val="20"/>
        </w:rPr>
        <w:t>over</w:t>
      </w:r>
      <w:r>
        <w:rPr>
          <w:spacing w:val="-9"/>
          <w:sz w:val="20"/>
        </w:rPr>
        <w:t> </w:t>
      </w:r>
      <w:r>
        <w:rPr>
          <w:sz w:val="20"/>
        </w:rPr>
        <w:t>time.</w:t>
      </w:r>
      <w:r>
        <w:rPr>
          <w:spacing w:val="-8"/>
          <w:sz w:val="20"/>
        </w:rPr>
        <w:t> </w:t>
      </w:r>
      <w:r>
        <w:rPr>
          <w:spacing w:val="-3"/>
          <w:sz w:val="20"/>
        </w:rPr>
        <w:t>Women</w:t>
      </w:r>
      <w:r>
        <w:rPr>
          <w:spacing w:val="-9"/>
          <w:sz w:val="20"/>
        </w:rPr>
        <w:t> </w:t>
      </w:r>
      <w:r>
        <w:rPr>
          <w:sz w:val="20"/>
        </w:rPr>
        <w:t>and</w:t>
      </w:r>
      <w:r>
        <w:rPr>
          <w:spacing w:val="-8"/>
          <w:sz w:val="20"/>
        </w:rPr>
        <w:t> </w:t>
      </w:r>
      <w:r>
        <w:rPr>
          <w:sz w:val="20"/>
        </w:rPr>
        <w:t>Aboriginal</w:t>
      </w:r>
      <w:r>
        <w:rPr>
          <w:spacing w:val="-8"/>
          <w:sz w:val="20"/>
        </w:rPr>
        <w:t> </w:t>
      </w:r>
      <w:r>
        <w:rPr>
          <w:sz w:val="20"/>
        </w:rPr>
        <w:t>people</w:t>
      </w:r>
      <w:r>
        <w:rPr>
          <w:spacing w:val="-9"/>
          <w:sz w:val="20"/>
        </w:rPr>
        <w:t> </w:t>
      </w:r>
      <w:r>
        <w:rPr>
          <w:spacing w:val="-4"/>
          <w:sz w:val="20"/>
        </w:rPr>
        <w:t>have </w:t>
      </w:r>
      <w:r>
        <w:rPr>
          <w:spacing w:val="-3"/>
          <w:sz w:val="20"/>
        </w:rPr>
        <w:t>only</w:t>
      </w:r>
      <w:r>
        <w:rPr>
          <w:spacing w:val="-6"/>
          <w:sz w:val="20"/>
        </w:rPr>
        <w:t> </w:t>
      </w:r>
      <w:r>
        <w:rPr>
          <w:sz w:val="20"/>
        </w:rPr>
        <w:t>gained</w:t>
      </w:r>
      <w:r>
        <w:rPr>
          <w:spacing w:val="-5"/>
          <w:sz w:val="20"/>
        </w:rPr>
        <w:t> </w:t>
      </w:r>
      <w:r>
        <w:rPr>
          <w:sz w:val="20"/>
        </w:rPr>
        <w:t>the</w:t>
      </w:r>
      <w:r>
        <w:rPr>
          <w:spacing w:val="-6"/>
          <w:sz w:val="20"/>
        </w:rPr>
        <w:t> </w:t>
      </w:r>
      <w:r>
        <w:rPr>
          <w:sz w:val="20"/>
        </w:rPr>
        <w:t>right</w:t>
      </w:r>
      <w:r>
        <w:rPr>
          <w:spacing w:val="-5"/>
          <w:sz w:val="20"/>
        </w:rPr>
        <w:t> </w:t>
      </w:r>
      <w:r>
        <w:rPr>
          <w:sz w:val="20"/>
        </w:rPr>
        <w:t>to</w:t>
      </w:r>
      <w:r>
        <w:rPr>
          <w:spacing w:val="-6"/>
          <w:sz w:val="20"/>
        </w:rPr>
        <w:t> </w:t>
      </w:r>
      <w:r>
        <w:rPr>
          <w:sz w:val="20"/>
        </w:rPr>
        <w:t>participate</w:t>
      </w:r>
      <w:r>
        <w:rPr>
          <w:spacing w:val="-5"/>
          <w:sz w:val="20"/>
        </w:rPr>
        <w:t> </w:t>
      </w:r>
      <w:r>
        <w:rPr>
          <w:sz w:val="20"/>
        </w:rPr>
        <w:t>in</w:t>
      </w:r>
      <w:r>
        <w:rPr>
          <w:spacing w:val="-5"/>
          <w:sz w:val="20"/>
        </w:rPr>
        <w:t> </w:t>
      </w:r>
      <w:r>
        <w:rPr>
          <w:sz w:val="20"/>
        </w:rPr>
        <w:t>jury</w:t>
      </w:r>
      <w:r>
        <w:rPr>
          <w:spacing w:val="-6"/>
          <w:sz w:val="20"/>
        </w:rPr>
        <w:t> </w:t>
      </w:r>
      <w:r>
        <w:rPr>
          <w:sz w:val="20"/>
        </w:rPr>
        <w:t>service</w:t>
      </w:r>
      <w:r>
        <w:rPr>
          <w:spacing w:val="-5"/>
          <w:sz w:val="20"/>
        </w:rPr>
        <w:t> </w:t>
      </w:r>
      <w:r>
        <w:rPr>
          <w:sz w:val="20"/>
        </w:rPr>
        <w:t>quite</w:t>
      </w:r>
      <w:r>
        <w:rPr>
          <w:spacing w:val="-6"/>
          <w:sz w:val="20"/>
        </w:rPr>
        <w:t> </w:t>
      </w:r>
      <w:r>
        <w:rPr>
          <w:spacing w:val="-4"/>
          <w:sz w:val="20"/>
        </w:rPr>
        <w:t>recently.</w:t>
      </w:r>
    </w:p>
    <w:p>
      <w:pPr>
        <w:pStyle w:val="ListParagraph"/>
        <w:numPr>
          <w:ilvl w:val="0"/>
          <w:numId w:val="32"/>
        </w:numPr>
        <w:tabs>
          <w:tab w:pos="2157" w:val="left" w:leader="none"/>
          <w:tab w:pos="2158" w:val="left" w:leader="none"/>
        </w:tabs>
        <w:spacing w:line="206" w:lineRule="auto" w:before="87" w:after="0"/>
        <w:ind w:left="2157" w:right="1247" w:hanging="396"/>
        <w:jc w:val="left"/>
        <w:rPr>
          <w:sz w:val="20"/>
        </w:rPr>
      </w:pPr>
      <w:r>
        <w:rPr>
          <w:spacing w:val="-3"/>
          <w:sz w:val="20"/>
        </w:rPr>
        <w:t>For</w:t>
      </w:r>
      <w:r>
        <w:rPr>
          <w:spacing w:val="-10"/>
          <w:sz w:val="20"/>
        </w:rPr>
        <w:t> </w:t>
      </w:r>
      <w:r>
        <w:rPr>
          <w:sz w:val="20"/>
        </w:rPr>
        <w:t>decades</w:t>
      </w:r>
      <w:r>
        <w:rPr>
          <w:spacing w:val="-9"/>
          <w:sz w:val="20"/>
        </w:rPr>
        <w:t> </w:t>
      </w:r>
      <w:r>
        <w:rPr>
          <w:sz w:val="20"/>
        </w:rPr>
        <w:t>there</w:t>
      </w:r>
      <w:r>
        <w:rPr>
          <w:spacing w:val="-10"/>
          <w:sz w:val="20"/>
        </w:rPr>
        <w:t> </w:t>
      </w:r>
      <w:r>
        <w:rPr>
          <w:spacing w:val="-4"/>
          <w:sz w:val="20"/>
        </w:rPr>
        <w:t>have</w:t>
      </w:r>
      <w:r>
        <w:rPr>
          <w:spacing w:val="-9"/>
          <w:sz w:val="20"/>
        </w:rPr>
        <w:t> </w:t>
      </w:r>
      <w:r>
        <w:rPr>
          <w:sz w:val="20"/>
        </w:rPr>
        <w:t>been</w:t>
      </w:r>
      <w:r>
        <w:rPr>
          <w:spacing w:val="-10"/>
          <w:sz w:val="20"/>
        </w:rPr>
        <w:t> </w:t>
      </w:r>
      <w:r>
        <w:rPr>
          <w:sz w:val="20"/>
        </w:rPr>
        <w:t>calls</w:t>
      </w:r>
      <w:r>
        <w:rPr>
          <w:spacing w:val="-9"/>
          <w:sz w:val="20"/>
        </w:rPr>
        <w:t> </w:t>
      </w:r>
      <w:r>
        <w:rPr>
          <w:sz w:val="20"/>
        </w:rPr>
        <w:t>to</w:t>
      </w:r>
      <w:r>
        <w:rPr>
          <w:spacing w:val="-9"/>
          <w:sz w:val="20"/>
        </w:rPr>
        <w:t> </w:t>
      </w:r>
      <w:r>
        <w:rPr>
          <w:sz w:val="20"/>
        </w:rPr>
        <w:t>enable</w:t>
      </w:r>
      <w:r>
        <w:rPr>
          <w:spacing w:val="-10"/>
          <w:sz w:val="20"/>
        </w:rPr>
        <w:t> </w:t>
      </w:r>
      <w:r>
        <w:rPr>
          <w:sz w:val="20"/>
        </w:rPr>
        <w:t>people</w:t>
      </w:r>
      <w:r>
        <w:rPr>
          <w:spacing w:val="-9"/>
          <w:sz w:val="20"/>
        </w:rPr>
        <w:t> </w:t>
      </w:r>
      <w:r>
        <w:rPr>
          <w:sz w:val="20"/>
        </w:rPr>
        <w:t>in</w:t>
      </w:r>
      <w:r>
        <w:rPr>
          <w:spacing w:val="-10"/>
          <w:sz w:val="20"/>
        </w:rPr>
        <w:t> </w:t>
      </w:r>
      <w:r>
        <w:rPr>
          <w:sz w:val="20"/>
        </w:rPr>
        <w:t>the</w:t>
      </w:r>
      <w:r>
        <w:rPr>
          <w:spacing w:val="-9"/>
          <w:sz w:val="20"/>
        </w:rPr>
        <w:t> </w:t>
      </w:r>
      <w:r>
        <w:rPr>
          <w:sz w:val="20"/>
        </w:rPr>
        <w:t>subject</w:t>
      </w:r>
      <w:r>
        <w:rPr>
          <w:spacing w:val="-9"/>
          <w:sz w:val="20"/>
        </w:rPr>
        <w:t> </w:t>
      </w:r>
      <w:r>
        <w:rPr>
          <w:sz w:val="20"/>
        </w:rPr>
        <w:t>groups</w:t>
      </w:r>
      <w:r>
        <w:rPr>
          <w:spacing w:val="-10"/>
          <w:sz w:val="20"/>
        </w:rPr>
        <w:t> </w:t>
      </w:r>
      <w:r>
        <w:rPr>
          <w:sz w:val="20"/>
        </w:rPr>
        <w:t>to</w:t>
      </w:r>
      <w:r>
        <w:rPr>
          <w:spacing w:val="-9"/>
          <w:sz w:val="20"/>
        </w:rPr>
        <w:t> </w:t>
      </w:r>
      <w:r>
        <w:rPr>
          <w:sz w:val="20"/>
        </w:rPr>
        <w:t>serve as jurors. Parallels can be </w:t>
      </w:r>
      <w:r>
        <w:rPr>
          <w:spacing w:val="-3"/>
          <w:sz w:val="20"/>
        </w:rPr>
        <w:t>drawn </w:t>
      </w:r>
      <w:r>
        <w:rPr>
          <w:sz w:val="20"/>
        </w:rPr>
        <w:t>between the arguments that </w:t>
      </w:r>
      <w:r>
        <w:rPr>
          <w:spacing w:val="-3"/>
          <w:sz w:val="20"/>
        </w:rPr>
        <w:t>slowed </w:t>
      </w:r>
      <w:r>
        <w:rPr>
          <w:sz w:val="20"/>
        </w:rPr>
        <w:t>change for women</w:t>
      </w:r>
      <w:r>
        <w:rPr>
          <w:spacing w:val="-9"/>
          <w:sz w:val="20"/>
        </w:rPr>
        <w:t> </w:t>
      </w:r>
      <w:r>
        <w:rPr>
          <w:sz w:val="20"/>
        </w:rPr>
        <w:t>and</w:t>
      </w:r>
      <w:r>
        <w:rPr>
          <w:spacing w:val="-9"/>
          <w:sz w:val="20"/>
        </w:rPr>
        <w:t> </w:t>
      </w:r>
      <w:r>
        <w:rPr>
          <w:sz w:val="20"/>
        </w:rPr>
        <w:t>those</w:t>
      </w:r>
      <w:r>
        <w:rPr>
          <w:spacing w:val="-8"/>
          <w:sz w:val="20"/>
        </w:rPr>
        <w:t> </w:t>
      </w:r>
      <w:r>
        <w:rPr>
          <w:sz w:val="20"/>
        </w:rPr>
        <w:t>stalling</w:t>
      </w:r>
      <w:r>
        <w:rPr>
          <w:spacing w:val="-9"/>
          <w:sz w:val="20"/>
        </w:rPr>
        <w:t> </w:t>
      </w:r>
      <w:r>
        <w:rPr>
          <w:spacing w:val="-3"/>
          <w:sz w:val="20"/>
        </w:rPr>
        <w:t>reform</w:t>
      </w:r>
      <w:r>
        <w:rPr>
          <w:spacing w:val="-8"/>
          <w:sz w:val="20"/>
        </w:rPr>
        <w:t> </w:t>
      </w:r>
      <w:r>
        <w:rPr>
          <w:sz w:val="20"/>
        </w:rPr>
        <w:t>for</w:t>
      </w:r>
      <w:r>
        <w:rPr>
          <w:spacing w:val="-9"/>
          <w:sz w:val="20"/>
        </w:rPr>
        <w:t> </w:t>
      </w:r>
      <w:r>
        <w:rPr>
          <w:sz w:val="20"/>
        </w:rPr>
        <w:t>people</w:t>
      </w:r>
      <w:r>
        <w:rPr>
          <w:spacing w:val="-8"/>
          <w:sz w:val="20"/>
        </w:rPr>
        <w:t> </w:t>
      </w:r>
      <w:r>
        <w:rPr>
          <w:sz w:val="20"/>
        </w:rPr>
        <w:t>who</w:t>
      </w:r>
      <w:r>
        <w:rPr>
          <w:spacing w:val="-9"/>
          <w:sz w:val="20"/>
        </w:rPr>
        <w:t> </w:t>
      </w:r>
      <w:r>
        <w:rPr>
          <w:spacing w:val="-3"/>
          <w:sz w:val="20"/>
        </w:rPr>
        <w:t>are</w:t>
      </w:r>
      <w:r>
        <w:rPr>
          <w:spacing w:val="-8"/>
          <w:sz w:val="20"/>
        </w:rPr>
        <w:t> </w:t>
      </w:r>
      <w:r>
        <w:rPr>
          <w:spacing w:val="-4"/>
          <w:sz w:val="20"/>
        </w:rPr>
        <w:t>deaf,</w:t>
      </w:r>
      <w:r>
        <w:rPr>
          <w:spacing w:val="-9"/>
          <w:sz w:val="20"/>
        </w:rPr>
        <w:t> </w:t>
      </w:r>
      <w:r>
        <w:rPr>
          <w:sz w:val="20"/>
        </w:rPr>
        <w:t>hard</w:t>
      </w:r>
      <w:r>
        <w:rPr>
          <w:spacing w:val="-8"/>
          <w:sz w:val="20"/>
        </w:rPr>
        <w:t> </w:t>
      </w:r>
      <w:r>
        <w:rPr>
          <w:sz w:val="20"/>
        </w:rPr>
        <w:t>of</w:t>
      </w:r>
      <w:r>
        <w:rPr>
          <w:spacing w:val="-9"/>
          <w:sz w:val="20"/>
        </w:rPr>
        <w:t> </w:t>
      </w:r>
      <w:r>
        <w:rPr>
          <w:sz w:val="20"/>
        </w:rPr>
        <w:t>hearing,</w:t>
      </w:r>
      <w:r>
        <w:rPr>
          <w:spacing w:val="-9"/>
          <w:sz w:val="20"/>
        </w:rPr>
        <w:t> </w:t>
      </w:r>
      <w:r>
        <w:rPr>
          <w:sz w:val="20"/>
        </w:rPr>
        <w:t>blind</w:t>
      </w:r>
      <w:r>
        <w:rPr>
          <w:spacing w:val="-8"/>
          <w:sz w:val="20"/>
        </w:rPr>
        <w:t> </w:t>
      </w:r>
      <w:r>
        <w:rPr>
          <w:sz w:val="20"/>
        </w:rPr>
        <w:t>or </w:t>
      </w:r>
      <w:r>
        <w:rPr>
          <w:spacing w:val="-4"/>
          <w:sz w:val="20"/>
        </w:rPr>
        <w:t>have low</w:t>
      </w:r>
      <w:r>
        <w:rPr>
          <w:spacing w:val="-5"/>
          <w:sz w:val="20"/>
        </w:rPr>
        <w:t> </w:t>
      </w:r>
      <w:r>
        <w:rPr>
          <w:sz w:val="20"/>
        </w:rPr>
        <w:t>vision.</w:t>
      </w:r>
    </w:p>
    <w:p>
      <w:pPr>
        <w:pStyle w:val="ListParagraph"/>
        <w:numPr>
          <w:ilvl w:val="0"/>
          <w:numId w:val="32"/>
        </w:numPr>
        <w:tabs>
          <w:tab w:pos="2157" w:val="left" w:leader="none"/>
          <w:tab w:pos="2158" w:val="left" w:leader="none"/>
        </w:tabs>
        <w:spacing w:line="206" w:lineRule="auto" w:before="90" w:after="0"/>
        <w:ind w:left="2157" w:right="1221" w:hanging="396"/>
        <w:jc w:val="left"/>
        <w:rPr>
          <w:sz w:val="20"/>
        </w:rPr>
      </w:pPr>
      <w:r>
        <w:rPr>
          <w:sz w:val="20"/>
        </w:rPr>
        <w:t>Community</w:t>
      </w:r>
      <w:r>
        <w:rPr>
          <w:spacing w:val="-9"/>
          <w:sz w:val="20"/>
        </w:rPr>
        <w:t> </w:t>
      </w:r>
      <w:r>
        <w:rPr>
          <w:sz w:val="20"/>
        </w:rPr>
        <w:t>responses</w:t>
      </w:r>
      <w:r>
        <w:rPr>
          <w:spacing w:val="-9"/>
          <w:sz w:val="20"/>
        </w:rPr>
        <w:t> </w:t>
      </w:r>
      <w:r>
        <w:rPr>
          <w:sz w:val="20"/>
        </w:rPr>
        <w:t>support</w:t>
      </w:r>
      <w:r>
        <w:rPr>
          <w:spacing w:val="-9"/>
          <w:sz w:val="20"/>
        </w:rPr>
        <w:t> </w:t>
      </w:r>
      <w:r>
        <w:rPr>
          <w:spacing w:val="-3"/>
          <w:sz w:val="20"/>
        </w:rPr>
        <w:t>reform</w:t>
      </w:r>
      <w:r>
        <w:rPr>
          <w:spacing w:val="-9"/>
          <w:sz w:val="20"/>
        </w:rPr>
        <w:t> </w:t>
      </w:r>
      <w:r>
        <w:rPr>
          <w:sz w:val="20"/>
        </w:rPr>
        <w:t>to</w:t>
      </w:r>
      <w:r>
        <w:rPr>
          <w:spacing w:val="-8"/>
          <w:sz w:val="20"/>
        </w:rPr>
        <w:t> </w:t>
      </w:r>
      <w:r>
        <w:rPr>
          <w:spacing w:val="-4"/>
          <w:sz w:val="20"/>
        </w:rPr>
        <w:t>remove</w:t>
      </w:r>
      <w:r>
        <w:rPr>
          <w:spacing w:val="-9"/>
          <w:sz w:val="20"/>
        </w:rPr>
        <w:t> </w:t>
      </w:r>
      <w:r>
        <w:rPr>
          <w:sz w:val="20"/>
        </w:rPr>
        <w:t>barriers</w:t>
      </w:r>
      <w:r>
        <w:rPr>
          <w:spacing w:val="-9"/>
          <w:sz w:val="20"/>
        </w:rPr>
        <w:t> </w:t>
      </w:r>
      <w:r>
        <w:rPr>
          <w:sz w:val="20"/>
        </w:rPr>
        <w:t>to</w:t>
      </w:r>
      <w:r>
        <w:rPr>
          <w:spacing w:val="-9"/>
          <w:sz w:val="20"/>
        </w:rPr>
        <w:t> </w:t>
      </w:r>
      <w:r>
        <w:rPr>
          <w:sz w:val="20"/>
        </w:rPr>
        <w:t>jury</w:t>
      </w:r>
      <w:r>
        <w:rPr>
          <w:spacing w:val="-8"/>
          <w:sz w:val="20"/>
        </w:rPr>
        <w:t> </w:t>
      </w:r>
      <w:r>
        <w:rPr>
          <w:sz w:val="20"/>
        </w:rPr>
        <w:t>service</w:t>
      </w:r>
      <w:r>
        <w:rPr>
          <w:spacing w:val="-9"/>
          <w:sz w:val="20"/>
        </w:rPr>
        <w:t> </w:t>
      </w:r>
      <w:r>
        <w:rPr>
          <w:sz w:val="20"/>
        </w:rPr>
        <w:t>for</w:t>
      </w:r>
      <w:r>
        <w:rPr>
          <w:spacing w:val="-9"/>
          <w:sz w:val="20"/>
        </w:rPr>
        <w:t> </w:t>
      </w:r>
      <w:r>
        <w:rPr>
          <w:sz w:val="20"/>
        </w:rPr>
        <w:t>people in the subject</w:t>
      </w:r>
      <w:r>
        <w:rPr>
          <w:spacing w:val="-13"/>
          <w:sz w:val="20"/>
        </w:rPr>
        <w:t> </w:t>
      </w:r>
      <w:r>
        <w:rPr>
          <w:sz w:val="20"/>
        </w:rPr>
        <w:t>groups.</w:t>
      </w:r>
    </w:p>
    <w:p>
      <w:pPr>
        <w:spacing w:before="193"/>
        <w:ind w:left="967" w:right="0" w:firstLine="0"/>
        <w:jc w:val="left"/>
        <w:rPr>
          <w:rFonts w:ascii="Raleway ExtraBold"/>
          <w:b/>
          <w:sz w:val="28"/>
        </w:rPr>
      </w:pPr>
      <w:r>
        <w:rPr>
          <w:rFonts w:ascii="Raleway ExtraBold"/>
          <w:b/>
          <w:color w:val="37617A"/>
          <w:sz w:val="28"/>
        </w:rPr>
        <w:t>The evolution of the jury</w:t>
      </w:r>
    </w:p>
    <w:p>
      <w:pPr>
        <w:pStyle w:val="ListParagraph"/>
        <w:numPr>
          <w:ilvl w:val="1"/>
          <w:numId w:val="12"/>
        </w:numPr>
        <w:tabs>
          <w:tab w:pos="1761" w:val="left" w:leader="none"/>
          <w:tab w:pos="1762" w:val="left" w:leader="none"/>
        </w:tabs>
        <w:spacing w:line="206" w:lineRule="auto" w:before="146" w:after="0"/>
        <w:ind w:left="1761" w:right="1555" w:hanging="794"/>
        <w:jc w:val="left"/>
        <w:rPr>
          <w:sz w:val="20"/>
        </w:rPr>
      </w:pPr>
      <w:r>
        <w:rPr>
          <w:sz w:val="20"/>
        </w:rPr>
        <w:t>This</w:t>
      </w:r>
      <w:r>
        <w:rPr>
          <w:spacing w:val="-8"/>
          <w:sz w:val="20"/>
        </w:rPr>
        <w:t> </w:t>
      </w:r>
      <w:r>
        <w:rPr>
          <w:sz w:val="20"/>
        </w:rPr>
        <w:t>chapter</w:t>
      </w:r>
      <w:r>
        <w:rPr>
          <w:spacing w:val="-8"/>
          <w:sz w:val="20"/>
        </w:rPr>
        <w:t> </w:t>
      </w:r>
      <w:r>
        <w:rPr>
          <w:spacing w:val="-3"/>
          <w:sz w:val="20"/>
        </w:rPr>
        <w:t>provides</w:t>
      </w:r>
      <w:r>
        <w:rPr>
          <w:spacing w:val="-9"/>
          <w:sz w:val="20"/>
        </w:rPr>
        <w:t> </w:t>
      </w:r>
      <w:r>
        <w:rPr>
          <w:sz w:val="20"/>
        </w:rPr>
        <w:t>a</w:t>
      </w:r>
      <w:r>
        <w:rPr>
          <w:spacing w:val="-8"/>
          <w:sz w:val="20"/>
        </w:rPr>
        <w:t> </w:t>
      </w:r>
      <w:r>
        <w:rPr>
          <w:sz w:val="20"/>
        </w:rPr>
        <w:t>brief</w:t>
      </w:r>
      <w:r>
        <w:rPr>
          <w:spacing w:val="-8"/>
          <w:sz w:val="20"/>
        </w:rPr>
        <w:t> </w:t>
      </w:r>
      <w:r>
        <w:rPr>
          <w:sz w:val="20"/>
        </w:rPr>
        <w:t>summary</w:t>
      </w:r>
      <w:r>
        <w:rPr>
          <w:spacing w:val="-8"/>
          <w:sz w:val="20"/>
        </w:rPr>
        <w:t> </w:t>
      </w:r>
      <w:r>
        <w:rPr>
          <w:sz w:val="20"/>
        </w:rPr>
        <w:t>of</w:t>
      </w:r>
      <w:r>
        <w:rPr>
          <w:spacing w:val="-8"/>
          <w:sz w:val="20"/>
        </w:rPr>
        <w:t> </w:t>
      </w:r>
      <w:r>
        <w:rPr>
          <w:sz w:val="20"/>
        </w:rPr>
        <w:t>the</w:t>
      </w:r>
      <w:r>
        <w:rPr>
          <w:spacing w:val="-8"/>
          <w:sz w:val="20"/>
        </w:rPr>
        <w:t> </w:t>
      </w:r>
      <w:r>
        <w:rPr>
          <w:spacing w:val="-3"/>
          <w:sz w:val="20"/>
        </w:rPr>
        <w:t>evolution</w:t>
      </w:r>
      <w:r>
        <w:rPr>
          <w:spacing w:val="-8"/>
          <w:sz w:val="20"/>
        </w:rPr>
        <w:t> </w:t>
      </w:r>
      <w:r>
        <w:rPr>
          <w:sz w:val="20"/>
        </w:rPr>
        <w:t>of</w:t>
      </w:r>
      <w:r>
        <w:rPr>
          <w:spacing w:val="-8"/>
          <w:sz w:val="20"/>
        </w:rPr>
        <w:t> </w:t>
      </w:r>
      <w:r>
        <w:rPr>
          <w:sz w:val="20"/>
        </w:rPr>
        <w:t>the</w:t>
      </w:r>
      <w:r>
        <w:rPr>
          <w:spacing w:val="-8"/>
          <w:sz w:val="20"/>
        </w:rPr>
        <w:t> </w:t>
      </w:r>
      <w:r>
        <w:rPr>
          <w:sz w:val="20"/>
        </w:rPr>
        <w:t>jury.</w:t>
      </w:r>
      <w:r>
        <w:rPr>
          <w:spacing w:val="-8"/>
          <w:sz w:val="20"/>
        </w:rPr>
        <w:t> </w:t>
      </w:r>
      <w:r>
        <w:rPr>
          <w:sz w:val="20"/>
        </w:rPr>
        <w:t>It</w:t>
      </w:r>
      <w:r>
        <w:rPr>
          <w:spacing w:val="-8"/>
          <w:sz w:val="20"/>
        </w:rPr>
        <w:t> </w:t>
      </w:r>
      <w:r>
        <w:rPr>
          <w:sz w:val="20"/>
        </w:rPr>
        <w:t>is</w:t>
      </w:r>
      <w:r>
        <w:rPr>
          <w:spacing w:val="-8"/>
          <w:sz w:val="20"/>
        </w:rPr>
        <w:t> </w:t>
      </w:r>
      <w:r>
        <w:rPr>
          <w:sz w:val="20"/>
        </w:rPr>
        <w:t>instructive</w:t>
      </w:r>
      <w:r>
        <w:rPr>
          <w:spacing w:val="-8"/>
          <w:sz w:val="20"/>
        </w:rPr>
        <w:t> </w:t>
      </w:r>
      <w:r>
        <w:rPr>
          <w:sz w:val="20"/>
        </w:rPr>
        <w:t>to consider</w:t>
      </w:r>
      <w:r>
        <w:rPr>
          <w:spacing w:val="-11"/>
          <w:sz w:val="20"/>
        </w:rPr>
        <w:t> </w:t>
      </w:r>
      <w:r>
        <w:rPr>
          <w:sz w:val="20"/>
        </w:rPr>
        <w:t>the</w:t>
      </w:r>
      <w:r>
        <w:rPr>
          <w:spacing w:val="-10"/>
          <w:sz w:val="20"/>
        </w:rPr>
        <w:t> </w:t>
      </w:r>
      <w:r>
        <w:rPr>
          <w:spacing w:val="-3"/>
          <w:sz w:val="20"/>
        </w:rPr>
        <w:t>reforms</w:t>
      </w:r>
      <w:r>
        <w:rPr>
          <w:spacing w:val="-11"/>
          <w:sz w:val="20"/>
        </w:rPr>
        <w:t> </w:t>
      </w:r>
      <w:r>
        <w:rPr>
          <w:spacing w:val="-3"/>
          <w:sz w:val="20"/>
        </w:rPr>
        <w:t>we</w:t>
      </w:r>
      <w:r>
        <w:rPr>
          <w:spacing w:val="-10"/>
          <w:sz w:val="20"/>
        </w:rPr>
        <w:t> </w:t>
      </w:r>
      <w:r>
        <w:rPr>
          <w:spacing w:val="-3"/>
          <w:sz w:val="20"/>
        </w:rPr>
        <w:t>are</w:t>
      </w:r>
      <w:r>
        <w:rPr>
          <w:spacing w:val="-11"/>
          <w:sz w:val="20"/>
        </w:rPr>
        <w:t> </w:t>
      </w:r>
      <w:r>
        <w:rPr>
          <w:sz w:val="20"/>
        </w:rPr>
        <w:t>proposing</w:t>
      </w:r>
      <w:r>
        <w:rPr>
          <w:spacing w:val="-10"/>
          <w:sz w:val="20"/>
        </w:rPr>
        <w:t> </w:t>
      </w:r>
      <w:r>
        <w:rPr>
          <w:sz w:val="20"/>
        </w:rPr>
        <w:t>in</w:t>
      </w:r>
      <w:r>
        <w:rPr>
          <w:spacing w:val="-10"/>
          <w:sz w:val="20"/>
        </w:rPr>
        <w:t> </w:t>
      </w:r>
      <w:r>
        <w:rPr>
          <w:sz w:val="20"/>
        </w:rPr>
        <w:t>the</w:t>
      </w:r>
      <w:r>
        <w:rPr>
          <w:spacing w:val="-11"/>
          <w:sz w:val="20"/>
        </w:rPr>
        <w:t> </w:t>
      </w:r>
      <w:r>
        <w:rPr>
          <w:sz w:val="20"/>
        </w:rPr>
        <w:t>light</w:t>
      </w:r>
      <w:r>
        <w:rPr>
          <w:spacing w:val="-10"/>
          <w:sz w:val="20"/>
        </w:rPr>
        <w:t> </w:t>
      </w:r>
      <w:r>
        <w:rPr>
          <w:sz w:val="20"/>
        </w:rPr>
        <w:t>of</w:t>
      </w:r>
      <w:r>
        <w:rPr>
          <w:spacing w:val="-11"/>
          <w:sz w:val="20"/>
        </w:rPr>
        <w:t> </w:t>
      </w:r>
      <w:r>
        <w:rPr>
          <w:sz w:val="20"/>
        </w:rPr>
        <w:t>these</w:t>
      </w:r>
      <w:r>
        <w:rPr>
          <w:spacing w:val="-10"/>
          <w:sz w:val="20"/>
        </w:rPr>
        <w:t> </w:t>
      </w:r>
      <w:r>
        <w:rPr>
          <w:sz w:val="20"/>
        </w:rPr>
        <w:t>historical</w:t>
      </w:r>
      <w:r>
        <w:rPr>
          <w:spacing w:val="-11"/>
          <w:sz w:val="20"/>
        </w:rPr>
        <w:t> </w:t>
      </w:r>
      <w:r>
        <w:rPr>
          <w:sz w:val="20"/>
        </w:rPr>
        <w:t>developments.</w:t>
      </w:r>
    </w:p>
    <w:p>
      <w:pPr>
        <w:pStyle w:val="ListParagraph"/>
        <w:numPr>
          <w:ilvl w:val="1"/>
          <w:numId w:val="12"/>
        </w:numPr>
        <w:tabs>
          <w:tab w:pos="1761" w:val="left" w:leader="none"/>
          <w:tab w:pos="1762" w:val="left" w:leader="none"/>
        </w:tabs>
        <w:spacing w:line="206" w:lineRule="auto" w:before="123" w:after="0"/>
        <w:ind w:left="1761" w:right="1336" w:hanging="794"/>
        <w:jc w:val="left"/>
        <w:rPr>
          <w:sz w:val="20"/>
        </w:rPr>
      </w:pPr>
      <w:r>
        <w:rPr>
          <w:sz w:val="20"/>
        </w:rPr>
        <w:t>The</w:t>
      </w:r>
      <w:r>
        <w:rPr>
          <w:spacing w:val="-11"/>
          <w:sz w:val="20"/>
        </w:rPr>
        <w:t> </w:t>
      </w:r>
      <w:r>
        <w:rPr>
          <w:sz w:val="20"/>
        </w:rPr>
        <w:t>British</w:t>
      </w:r>
      <w:r>
        <w:rPr>
          <w:spacing w:val="-10"/>
          <w:sz w:val="20"/>
        </w:rPr>
        <w:t> </w:t>
      </w:r>
      <w:r>
        <w:rPr>
          <w:sz w:val="20"/>
        </w:rPr>
        <w:t>Parliament,</w:t>
      </w:r>
      <w:r>
        <w:rPr>
          <w:spacing w:val="-11"/>
          <w:sz w:val="20"/>
        </w:rPr>
        <w:t> </w:t>
      </w:r>
      <w:r>
        <w:rPr>
          <w:sz w:val="20"/>
        </w:rPr>
        <w:t>in</w:t>
      </w:r>
      <w:r>
        <w:rPr>
          <w:spacing w:val="-10"/>
          <w:sz w:val="20"/>
        </w:rPr>
        <w:t> </w:t>
      </w:r>
      <w:r>
        <w:rPr>
          <w:sz w:val="20"/>
        </w:rPr>
        <w:t>formulating</w:t>
      </w:r>
      <w:r>
        <w:rPr>
          <w:spacing w:val="-11"/>
          <w:sz w:val="20"/>
        </w:rPr>
        <w:t> </w:t>
      </w:r>
      <w:r>
        <w:rPr>
          <w:sz w:val="20"/>
        </w:rPr>
        <w:t>the</w:t>
      </w:r>
      <w:r>
        <w:rPr>
          <w:spacing w:val="-10"/>
          <w:sz w:val="20"/>
        </w:rPr>
        <w:t> </w:t>
      </w:r>
      <w:r>
        <w:rPr>
          <w:sz w:val="20"/>
        </w:rPr>
        <w:t>Bill</w:t>
      </w:r>
      <w:r>
        <w:rPr>
          <w:spacing w:val="-11"/>
          <w:sz w:val="20"/>
        </w:rPr>
        <w:t> </w:t>
      </w:r>
      <w:r>
        <w:rPr>
          <w:sz w:val="20"/>
        </w:rPr>
        <w:t>of</w:t>
      </w:r>
      <w:r>
        <w:rPr>
          <w:spacing w:val="-10"/>
          <w:sz w:val="20"/>
        </w:rPr>
        <w:t> </w:t>
      </w:r>
      <w:r>
        <w:rPr>
          <w:sz w:val="20"/>
        </w:rPr>
        <w:t>Rights</w:t>
      </w:r>
      <w:r>
        <w:rPr>
          <w:spacing w:val="-10"/>
          <w:sz w:val="20"/>
        </w:rPr>
        <w:t> </w:t>
      </w:r>
      <w:r>
        <w:rPr>
          <w:sz w:val="20"/>
        </w:rPr>
        <w:t>of</w:t>
      </w:r>
      <w:r>
        <w:rPr>
          <w:spacing w:val="-11"/>
          <w:sz w:val="20"/>
        </w:rPr>
        <w:t> </w:t>
      </w:r>
      <w:r>
        <w:rPr>
          <w:sz w:val="20"/>
        </w:rPr>
        <w:t>1689,</w:t>
      </w:r>
      <w:r>
        <w:rPr>
          <w:spacing w:val="-10"/>
          <w:sz w:val="20"/>
        </w:rPr>
        <w:t> </w:t>
      </w:r>
      <w:r>
        <w:rPr>
          <w:sz w:val="20"/>
        </w:rPr>
        <w:t>defined</w:t>
      </w:r>
      <w:r>
        <w:rPr>
          <w:spacing w:val="-11"/>
          <w:sz w:val="20"/>
        </w:rPr>
        <w:t> </w:t>
      </w:r>
      <w:r>
        <w:rPr>
          <w:sz w:val="20"/>
        </w:rPr>
        <w:t>the</w:t>
      </w:r>
      <w:r>
        <w:rPr>
          <w:spacing w:val="-10"/>
          <w:sz w:val="20"/>
        </w:rPr>
        <w:t> </w:t>
      </w:r>
      <w:r>
        <w:rPr>
          <w:sz w:val="20"/>
        </w:rPr>
        <w:t>jury</w:t>
      </w:r>
      <w:r>
        <w:rPr>
          <w:spacing w:val="-11"/>
          <w:sz w:val="20"/>
        </w:rPr>
        <w:t> </w:t>
      </w:r>
      <w:r>
        <w:rPr>
          <w:sz w:val="20"/>
        </w:rPr>
        <w:t>as</w:t>
      </w:r>
      <w:r>
        <w:rPr>
          <w:spacing w:val="-10"/>
          <w:sz w:val="20"/>
        </w:rPr>
        <w:t> </w:t>
      </w:r>
      <w:r>
        <w:rPr>
          <w:sz w:val="20"/>
        </w:rPr>
        <w:t>‘one of the </w:t>
      </w:r>
      <w:r>
        <w:rPr>
          <w:spacing w:val="-3"/>
          <w:sz w:val="20"/>
        </w:rPr>
        <w:t>“ancient liberties”, </w:t>
      </w:r>
      <w:r>
        <w:rPr>
          <w:sz w:val="20"/>
        </w:rPr>
        <w:t>a precondition to a constitutional </w:t>
      </w:r>
      <w:r>
        <w:rPr>
          <w:spacing w:val="-4"/>
          <w:sz w:val="20"/>
        </w:rPr>
        <w:t>monarchy’.</w:t>
      </w:r>
      <w:r>
        <w:rPr>
          <w:spacing w:val="-4"/>
          <w:position w:val="7"/>
          <w:sz w:val="11"/>
        </w:rPr>
        <w:t>3 </w:t>
      </w:r>
      <w:r>
        <w:rPr>
          <w:spacing w:val="-5"/>
          <w:sz w:val="20"/>
        </w:rPr>
        <w:t>However, </w:t>
      </w:r>
      <w:r>
        <w:rPr>
          <w:sz w:val="20"/>
        </w:rPr>
        <w:t>while the</w:t>
      </w:r>
      <w:r>
        <w:rPr>
          <w:spacing w:val="-6"/>
          <w:sz w:val="20"/>
        </w:rPr>
        <w:t> </w:t>
      </w:r>
      <w:r>
        <w:rPr>
          <w:sz w:val="20"/>
        </w:rPr>
        <w:t>jury</w:t>
      </w:r>
      <w:r>
        <w:rPr>
          <w:spacing w:val="-6"/>
          <w:sz w:val="20"/>
        </w:rPr>
        <w:t> </w:t>
      </w:r>
      <w:r>
        <w:rPr>
          <w:sz w:val="20"/>
        </w:rPr>
        <w:t>is</w:t>
      </w:r>
      <w:r>
        <w:rPr>
          <w:spacing w:val="-6"/>
          <w:sz w:val="20"/>
        </w:rPr>
        <w:t> </w:t>
      </w:r>
      <w:r>
        <w:rPr>
          <w:sz w:val="20"/>
        </w:rPr>
        <w:t>ancient,</w:t>
      </w:r>
      <w:r>
        <w:rPr>
          <w:spacing w:val="-5"/>
          <w:sz w:val="20"/>
        </w:rPr>
        <w:t> </w:t>
      </w:r>
      <w:r>
        <w:rPr>
          <w:sz w:val="20"/>
        </w:rPr>
        <w:t>it</w:t>
      </w:r>
      <w:r>
        <w:rPr>
          <w:spacing w:val="-6"/>
          <w:sz w:val="20"/>
        </w:rPr>
        <w:t> </w:t>
      </w:r>
      <w:r>
        <w:rPr>
          <w:sz w:val="20"/>
        </w:rPr>
        <w:t>has</w:t>
      </w:r>
      <w:r>
        <w:rPr>
          <w:spacing w:val="-6"/>
          <w:sz w:val="20"/>
        </w:rPr>
        <w:t> </w:t>
      </w:r>
      <w:r>
        <w:rPr>
          <w:sz w:val="20"/>
        </w:rPr>
        <w:t>changed</w:t>
      </w:r>
      <w:r>
        <w:rPr>
          <w:spacing w:val="-5"/>
          <w:sz w:val="20"/>
        </w:rPr>
        <w:t> </w:t>
      </w:r>
      <w:r>
        <w:rPr>
          <w:sz w:val="20"/>
        </w:rPr>
        <w:t>enormously</w:t>
      </w:r>
      <w:r>
        <w:rPr>
          <w:spacing w:val="-6"/>
          <w:sz w:val="20"/>
        </w:rPr>
        <w:t> </w:t>
      </w:r>
      <w:r>
        <w:rPr>
          <w:spacing w:val="-4"/>
          <w:sz w:val="20"/>
        </w:rPr>
        <w:t>over</w:t>
      </w:r>
      <w:r>
        <w:rPr>
          <w:spacing w:val="-6"/>
          <w:sz w:val="20"/>
        </w:rPr>
        <w:t> </w:t>
      </w:r>
      <w:r>
        <w:rPr>
          <w:sz w:val="20"/>
        </w:rPr>
        <w:t>time.</w:t>
      </w:r>
      <w:r>
        <w:rPr>
          <w:spacing w:val="-5"/>
          <w:sz w:val="20"/>
        </w:rPr>
        <w:t> </w:t>
      </w:r>
      <w:r>
        <w:rPr>
          <w:sz w:val="20"/>
        </w:rPr>
        <w:t>As</w:t>
      </w:r>
      <w:r>
        <w:rPr>
          <w:spacing w:val="-6"/>
          <w:sz w:val="20"/>
        </w:rPr>
        <w:t> </w:t>
      </w:r>
      <w:r>
        <w:rPr>
          <w:sz w:val="20"/>
        </w:rPr>
        <w:t>Horan</w:t>
      </w:r>
      <w:r>
        <w:rPr>
          <w:spacing w:val="-6"/>
          <w:sz w:val="20"/>
        </w:rPr>
        <w:t> </w:t>
      </w:r>
      <w:r>
        <w:rPr>
          <w:sz w:val="20"/>
        </w:rPr>
        <w:t>puts</w:t>
      </w:r>
      <w:r>
        <w:rPr>
          <w:spacing w:val="-6"/>
          <w:sz w:val="20"/>
        </w:rPr>
        <w:t> </w:t>
      </w:r>
      <w:r>
        <w:rPr>
          <w:sz w:val="20"/>
        </w:rPr>
        <w:t>it:</w:t>
      </w:r>
    </w:p>
    <w:p>
      <w:pPr>
        <w:spacing w:line="208" w:lineRule="auto" w:before="121"/>
        <w:ind w:left="2157" w:right="1215" w:firstLine="0"/>
        <w:jc w:val="left"/>
        <w:rPr>
          <w:sz w:val="19"/>
        </w:rPr>
      </w:pPr>
      <w:r>
        <w:rPr>
          <w:sz w:val="19"/>
        </w:rPr>
        <w:t>the present form of the civil jury bears little resemblance to earlier manifestations. Since the twelfth century the juror has undergone a metamorphosis from representative of the feudal lords, to local community representative, to impartial trier of fact and representative of the general community. Intimacy has been replaced</w:t>
      </w:r>
    </w:p>
    <w:p>
      <w:pPr>
        <w:spacing w:line="208" w:lineRule="auto" w:before="3"/>
        <w:ind w:left="2157" w:right="1335" w:firstLine="0"/>
        <w:jc w:val="left"/>
        <w:rPr>
          <w:sz w:val="11"/>
        </w:rPr>
      </w:pPr>
      <w:r>
        <w:rPr>
          <w:sz w:val="19"/>
        </w:rPr>
        <w:t>by objectivity. Whilst the image of the jury for contemporary Australians is an image of an institution that has always been there to protect all citizens, the history of the institution shows otherwise.</w:t>
      </w:r>
      <w:r>
        <w:rPr>
          <w:position w:val="6"/>
          <w:sz w:val="11"/>
        </w:rPr>
        <w:t>4</w:t>
      </w:r>
    </w:p>
    <w:p>
      <w:pPr>
        <w:pStyle w:val="BodyText"/>
      </w:pPr>
    </w:p>
    <w:p>
      <w:pPr>
        <w:pStyle w:val="BodyText"/>
      </w:pPr>
    </w:p>
    <w:p>
      <w:pPr>
        <w:pStyle w:val="BodyText"/>
        <w:spacing w:before="1"/>
        <w:rPr>
          <w:sz w:val="29"/>
        </w:rPr>
      </w:pPr>
      <w:r>
        <w:rPr/>
        <w:pict>
          <v:line style="position:absolute;mso-position-horizontal-relative:page;mso-position-vertical-relative:paragraph;z-index:1904;mso-wrap-distance-left:0;mso-wrap-distance-right:0" from="79.370102pt,22.665804pt" to="515.905102pt,22.665804pt" stroked="true" strokeweight="1pt" strokecolor="#b6bdc8">
            <v:stroke dashstyle="solid"/>
            <w10:wrap type="topAndBottom"/>
          </v:line>
        </w:pict>
      </w:r>
    </w:p>
    <w:p>
      <w:pPr>
        <w:pStyle w:val="ListParagraph"/>
        <w:numPr>
          <w:ilvl w:val="0"/>
          <w:numId w:val="33"/>
        </w:numPr>
        <w:tabs>
          <w:tab w:pos="1760" w:val="left" w:leader="none"/>
          <w:tab w:pos="1762" w:val="left" w:leader="none"/>
        </w:tabs>
        <w:spacing w:line="213" w:lineRule="auto" w:before="107" w:after="0"/>
        <w:ind w:left="1761" w:right="1830" w:hanging="794"/>
        <w:jc w:val="left"/>
        <w:rPr>
          <w:sz w:val="13"/>
        </w:rPr>
      </w:pPr>
      <w:r>
        <w:rPr>
          <w:sz w:val="13"/>
        </w:rPr>
        <w:t>Quote by a ‘well-known </w:t>
      </w:r>
      <w:r>
        <w:rPr>
          <w:spacing w:val="2"/>
          <w:sz w:val="13"/>
        </w:rPr>
        <w:t>Labour </w:t>
      </w:r>
      <w:r>
        <w:rPr>
          <w:sz w:val="13"/>
        </w:rPr>
        <w:t>woman’ to a </w:t>
      </w:r>
      <w:r>
        <w:rPr>
          <w:spacing w:val="2"/>
          <w:sz w:val="13"/>
        </w:rPr>
        <w:t>‘NSW </w:t>
      </w:r>
      <w:r>
        <w:rPr>
          <w:sz w:val="13"/>
        </w:rPr>
        <w:t>deputation in the 1940s’, cited in Alecia </w:t>
      </w:r>
      <w:r>
        <w:rPr>
          <w:spacing w:val="2"/>
          <w:sz w:val="13"/>
        </w:rPr>
        <w:t>Simmonds, </w:t>
      </w:r>
      <w:r>
        <w:rPr>
          <w:sz w:val="13"/>
        </w:rPr>
        <w:t>‘Friendless in the Courtroom’, </w:t>
      </w:r>
      <w:r>
        <w:rPr>
          <w:i/>
          <w:sz w:val="13"/>
        </w:rPr>
        <w:t>Inside Story </w:t>
      </w:r>
      <w:r>
        <w:rPr>
          <w:sz w:val="13"/>
        </w:rPr>
        <w:t>(Web Page, </w:t>
      </w:r>
      <w:r>
        <w:rPr>
          <w:spacing w:val="3"/>
          <w:sz w:val="13"/>
        </w:rPr>
        <w:t>14 </w:t>
      </w:r>
      <w:r>
        <w:rPr>
          <w:sz w:val="13"/>
        </w:rPr>
        <w:t>May 2021)</w:t>
      </w:r>
      <w:r>
        <w:rPr>
          <w:spacing w:val="1"/>
          <w:sz w:val="13"/>
        </w:rPr>
        <w:t> </w:t>
      </w:r>
      <w:r>
        <w:rPr>
          <w:sz w:val="13"/>
        </w:rPr>
        <w:t>&lt;</w:t>
      </w:r>
      <w:hyperlink r:id="rId79">
        <w:r>
          <w:rPr>
            <w:sz w:val="13"/>
          </w:rPr>
          <w:t>https://insidestory.org.au/friendless-in-the-courtroom/</w:t>
        </w:r>
      </w:hyperlink>
      <w:r>
        <w:rPr>
          <w:sz w:val="13"/>
        </w:rPr>
        <w:t>&gt;.</w:t>
      </w:r>
    </w:p>
    <w:p>
      <w:pPr>
        <w:pStyle w:val="ListParagraph"/>
        <w:numPr>
          <w:ilvl w:val="0"/>
          <w:numId w:val="33"/>
        </w:numPr>
        <w:tabs>
          <w:tab w:pos="1760" w:val="left" w:leader="none"/>
          <w:tab w:pos="1762" w:val="left" w:leader="none"/>
        </w:tabs>
        <w:spacing w:line="213" w:lineRule="auto" w:before="0" w:after="0"/>
        <w:ind w:left="1761" w:right="1326" w:hanging="794"/>
        <w:jc w:val="left"/>
        <w:rPr>
          <w:sz w:val="13"/>
        </w:rPr>
      </w:pPr>
      <w:r>
        <w:rPr>
          <w:sz w:val="13"/>
        </w:rPr>
        <w:t>The </w:t>
      </w:r>
      <w:r>
        <w:rPr>
          <w:spacing w:val="2"/>
          <w:sz w:val="13"/>
        </w:rPr>
        <w:t>Parliamentary </w:t>
      </w:r>
      <w:r>
        <w:rPr>
          <w:sz w:val="13"/>
        </w:rPr>
        <w:t>Law Reform Committee outlines the historical evolution of the </w:t>
      </w:r>
      <w:r>
        <w:rPr>
          <w:spacing w:val="2"/>
          <w:sz w:val="13"/>
        </w:rPr>
        <w:t>jury </w:t>
      </w:r>
      <w:r>
        <w:rPr>
          <w:sz w:val="13"/>
        </w:rPr>
        <w:t>trial in Australia: Law Reform Committee, Parliament of Victoria, </w:t>
      </w:r>
      <w:r>
        <w:rPr>
          <w:i/>
          <w:spacing w:val="2"/>
          <w:sz w:val="13"/>
        </w:rPr>
        <w:t>Jury Service </w:t>
      </w:r>
      <w:r>
        <w:rPr>
          <w:i/>
          <w:sz w:val="13"/>
        </w:rPr>
        <w:t>in Victoria </w:t>
      </w:r>
      <w:r>
        <w:rPr>
          <w:sz w:val="13"/>
        </w:rPr>
        <w:t>(Final </w:t>
      </w:r>
      <w:r>
        <w:rPr>
          <w:spacing w:val="2"/>
          <w:sz w:val="13"/>
        </w:rPr>
        <w:t>Report, December </w:t>
      </w:r>
      <w:r>
        <w:rPr>
          <w:sz w:val="13"/>
        </w:rPr>
        <w:t>1997) vol </w:t>
      </w:r>
      <w:r>
        <w:rPr>
          <w:spacing w:val="3"/>
          <w:sz w:val="13"/>
        </w:rPr>
        <w:t>3,</w:t>
      </w:r>
      <w:r>
        <w:rPr>
          <w:spacing w:val="1"/>
          <w:sz w:val="13"/>
        </w:rPr>
        <w:t> </w:t>
      </w:r>
      <w:r>
        <w:rPr>
          <w:sz w:val="13"/>
        </w:rPr>
        <w:t>3–36.</w:t>
      </w:r>
    </w:p>
    <w:p>
      <w:pPr>
        <w:pStyle w:val="ListParagraph"/>
        <w:numPr>
          <w:ilvl w:val="0"/>
          <w:numId w:val="33"/>
        </w:numPr>
        <w:tabs>
          <w:tab w:pos="1760" w:val="left" w:leader="none"/>
          <w:tab w:pos="1762" w:val="left" w:leader="none"/>
        </w:tabs>
        <w:spacing w:line="153" w:lineRule="exact" w:before="0" w:after="0"/>
        <w:ind w:left="1761" w:right="0" w:hanging="794"/>
        <w:jc w:val="left"/>
        <w:rPr>
          <w:sz w:val="13"/>
        </w:rPr>
      </w:pPr>
      <w:r>
        <w:rPr/>
        <w:pict>
          <v:shape style="position:absolute;margin-left:36pt;margin-top:3.337132pt;width:14.05pt;height:14.1pt;mso-position-horizontal-relative:page;mso-position-vertical-relative:paragraph;z-index:4000" type="#_x0000_t202" filled="false" stroked="false">
            <v:textbox inset="0,0,0,0">
              <w:txbxContent>
                <w:p>
                  <w:pPr>
                    <w:spacing w:line="282" w:lineRule="exact" w:before="0"/>
                    <w:ind w:left="0" w:right="0" w:firstLine="0"/>
                    <w:jc w:val="left"/>
                    <w:rPr>
                      <w:b/>
                      <w:sz w:val="24"/>
                    </w:rPr>
                  </w:pPr>
                  <w:r>
                    <w:rPr>
                      <w:b/>
                      <w:color w:val="37617A"/>
                      <w:spacing w:val="-1"/>
                      <w:sz w:val="24"/>
                    </w:rPr>
                    <w:t>30</w:t>
                  </w:r>
                </w:p>
              </w:txbxContent>
            </v:textbox>
            <w10:wrap type="none"/>
          </v:shape>
        </w:pict>
      </w:r>
      <w:r>
        <w:rPr>
          <w:sz w:val="13"/>
        </w:rPr>
        <w:t>Jacqueline Horan, ‘Perceptions of the Civil </w:t>
      </w:r>
      <w:r>
        <w:rPr>
          <w:spacing w:val="2"/>
          <w:sz w:val="13"/>
        </w:rPr>
        <w:t>Jury </w:t>
      </w:r>
      <w:r>
        <w:rPr>
          <w:sz w:val="13"/>
        </w:rPr>
        <w:t>System’ </w:t>
      </w:r>
      <w:r>
        <w:rPr>
          <w:spacing w:val="2"/>
          <w:sz w:val="13"/>
        </w:rPr>
        <w:t>(2005) </w:t>
      </w:r>
      <w:r>
        <w:rPr>
          <w:sz w:val="13"/>
        </w:rPr>
        <w:t>31(1) </w:t>
      </w:r>
      <w:r>
        <w:rPr>
          <w:i/>
          <w:sz w:val="13"/>
        </w:rPr>
        <w:t>Monash University Law Review </w:t>
      </w:r>
      <w:r>
        <w:rPr>
          <w:sz w:val="13"/>
        </w:rPr>
        <w:t>120,</w:t>
      </w:r>
      <w:r>
        <w:rPr>
          <w:spacing w:val="15"/>
          <w:sz w:val="13"/>
        </w:rPr>
        <w:t> </w:t>
      </w:r>
      <w:r>
        <w:rPr>
          <w:spacing w:val="3"/>
          <w:sz w:val="13"/>
        </w:rPr>
        <w:t>125.</w:t>
      </w:r>
    </w:p>
    <w:p>
      <w:pPr>
        <w:pStyle w:val="ListParagraph"/>
        <w:numPr>
          <w:ilvl w:val="0"/>
          <w:numId w:val="33"/>
        </w:numPr>
        <w:tabs>
          <w:tab w:pos="1760" w:val="left" w:leader="none"/>
          <w:tab w:pos="1762" w:val="left" w:leader="none"/>
        </w:tabs>
        <w:spacing w:line="170" w:lineRule="exact" w:before="0" w:after="0"/>
        <w:ind w:left="1761" w:right="0" w:hanging="794"/>
        <w:jc w:val="left"/>
        <w:rPr>
          <w:sz w:val="13"/>
        </w:rPr>
      </w:pPr>
      <w:r>
        <w:rPr>
          <w:sz w:val="13"/>
        </w:rPr>
        <w:t>Jacqueline Horan, </w:t>
      </w:r>
      <w:r>
        <w:rPr>
          <w:i/>
          <w:sz w:val="13"/>
        </w:rPr>
        <w:t>Juries in the 21st Century </w:t>
      </w:r>
      <w:r>
        <w:rPr>
          <w:spacing w:val="2"/>
          <w:sz w:val="13"/>
        </w:rPr>
        <w:t>(The </w:t>
      </w:r>
      <w:r>
        <w:rPr>
          <w:sz w:val="13"/>
        </w:rPr>
        <w:t>Federation Press, 2012)</w:t>
      </w:r>
      <w:r>
        <w:rPr>
          <w:spacing w:val="5"/>
          <w:sz w:val="13"/>
        </w:rPr>
        <w:t> </w:t>
      </w:r>
      <w:r>
        <w:rPr>
          <w:spacing w:val="3"/>
          <w:sz w:val="13"/>
        </w:rPr>
        <w:t>11.</w:t>
      </w:r>
    </w:p>
    <w:p>
      <w:pPr>
        <w:spacing w:after="0" w:line="170"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07" w:hanging="794"/>
        <w:jc w:val="left"/>
        <w:rPr>
          <w:sz w:val="11"/>
        </w:rPr>
      </w:pPr>
      <w:bookmarkStart w:name="_bookmark28" w:id="74"/>
      <w:bookmarkEnd w:id="74"/>
      <w:r>
        <w:rPr/>
      </w:r>
      <w:bookmarkStart w:name="_bookmark28" w:id="75"/>
      <w:bookmarkEnd w:id="75"/>
      <w:r>
        <w:rPr>
          <w:sz w:val="20"/>
        </w:rPr>
        <w:t>J</w:t>
      </w:r>
      <w:r>
        <w:rPr>
          <w:sz w:val="20"/>
        </w:rPr>
        <w:t>uries </w:t>
      </w:r>
      <w:r>
        <w:rPr>
          <w:spacing w:val="-4"/>
          <w:sz w:val="20"/>
        </w:rPr>
        <w:t>were </w:t>
      </w:r>
      <w:r>
        <w:rPr>
          <w:sz w:val="20"/>
        </w:rPr>
        <w:t>first introduced to England after the Norman Conquest during the period 1066–1075.</w:t>
      </w:r>
      <w:r>
        <w:rPr>
          <w:position w:val="7"/>
          <w:sz w:val="11"/>
        </w:rPr>
        <w:t>5 </w:t>
      </w:r>
      <w:r>
        <w:rPr>
          <w:sz w:val="20"/>
        </w:rPr>
        <w:t>Initially a jury was used for administrative purposes at the request of the king</w:t>
      </w:r>
      <w:r>
        <w:rPr>
          <w:spacing w:val="-9"/>
          <w:sz w:val="20"/>
        </w:rPr>
        <w:t> </w:t>
      </w:r>
      <w:r>
        <w:rPr>
          <w:sz w:val="20"/>
        </w:rPr>
        <w:t>and</w:t>
      </w:r>
      <w:r>
        <w:rPr>
          <w:spacing w:val="-9"/>
          <w:sz w:val="20"/>
        </w:rPr>
        <w:t> </w:t>
      </w:r>
      <w:r>
        <w:rPr>
          <w:sz w:val="20"/>
        </w:rPr>
        <w:t>for</w:t>
      </w:r>
      <w:r>
        <w:rPr>
          <w:spacing w:val="-8"/>
          <w:sz w:val="20"/>
        </w:rPr>
        <w:t> </w:t>
      </w:r>
      <w:r>
        <w:rPr>
          <w:sz w:val="20"/>
        </w:rPr>
        <w:t>the</w:t>
      </w:r>
      <w:r>
        <w:rPr>
          <w:spacing w:val="-9"/>
          <w:sz w:val="20"/>
        </w:rPr>
        <w:t> </w:t>
      </w:r>
      <w:r>
        <w:rPr>
          <w:sz w:val="20"/>
        </w:rPr>
        <w:t>benefit</w:t>
      </w:r>
      <w:r>
        <w:rPr>
          <w:spacing w:val="-8"/>
          <w:sz w:val="20"/>
        </w:rPr>
        <w:t> </w:t>
      </w:r>
      <w:r>
        <w:rPr>
          <w:sz w:val="20"/>
        </w:rPr>
        <w:t>of</w:t>
      </w:r>
      <w:r>
        <w:rPr>
          <w:spacing w:val="-10"/>
          <w:sz w:val="20"/>
        </w:rPr>
        <w:t> </w:t>
      </w:r>
      <w:r>
        <w:rPr>
          <w:sz w:val="20"/>
        </w:rPr>
        <w:t>the</w:t>
      </w:r>
      <w:r>
        <w:rPr>
          <w:spacing w:val="-8"/>
          <w:sz w:val="20"/>
        </w:rPr>
        <w:t> </w:t>
      </w:r>
      <w:r>
        <w:rPr>
          <w:spacing w:val="-3"/>
          <w:sz w:val="20"/>
        </w:rPr>
        <w:t>Crown.</w:t>
      </w:r>
      <w:r>
        <w:rPr>
          <w:spacing w:val="-3"/>
          <w:position w:val="7"/>
          <w:sz w:val="11"/>
        </w:rPr>
        <w:t>6</w:t>
      </w:r>
      <w:r>
        <w:rPr>
          <w:spacing w:val="15"/>
          <w:position w:val="7"/>
          <w:sz w:val="11"/>
        </w:rPr>
        <w:t> </w:t>
      </w:r>
      <w:r>
        <w:rPr>
          <w:sz w:val="20"/>
        </w:rPr>
        <w:t>Only</w:t>
      </w:r>
      <w:r>
        <w:rPr>
          <w:spacing w:val="-9"/>
          <w:sz w:val="20"/>
        </w:rPr>
        <w:t> </w:t>
      </w:r>
      <w:r>
        <w:rPr>
          <w:sz w:val="20"/>
        </w:rPr>
        <w:t>during</w:t>
      </w:r>
      <w:r>
        <w:rPr>
          <w:spacing w:val="-8"/>
          <w:sz w:val="20"/>
        </w:rPr>
        <w:t> </w:t>
      </w:r>
      <w:r>
        <w:rPr>
          <w:sz w:val="20"/>
        </w:rPr>
        <w:t>the</w:t>
      </w:r>
      <w:r>
        <w:rPr>
          <w:spacing w:val="-9"/>
          <w:sz w:val="20"/>
        </w:rPr>
        <w:t> </w:t>
      </w:r>
      <w:r>
        <w:rPr>
          <w:sz w:val="20"/>
        </w:rPr>
        <w:t>12th</w:t>
      </w:r>
      <w:r>
        <w:rPr>
          <w:spacing w:val="-8"/>
          <w:sz w:val="20"/>
        </w:rPr>
        <w:t> </w:t>
      </w:r>
      <w:r>
        <w:rPr>
          <w:sz w:val="20"/>
        </w:rPr>
        <w:t>century</w:t>
      </w:r>
      <w:r>
        <w:rPr>
          <w:spacing w:val="-9"/>
          <w:sz w:val="20"/>
        </w:rPr>
        <w:t> </w:t>
      </w:r>
      <w:r>
        <w:rPr>
          <w:sz w:val="20"/>
        </w:rPr>
        <w:t>did</w:t>
      </w:r>
      <w:r>
        <w:rPr>
          <w:spacing w:val="-9"/>
          <w:sz w:val="20"/>
        </w:rPr>
        <w:t> </w:t>
      </w:r>
      <w:r>
        <w:rPr>
          <w:sz w:val="20"/>
        </w:rPr>
        <w:t>they</w:t>
      </w:r>
      <w:r>
        <w:rPr>
          <w:spacing w:val="-8"/>
          <w:sz w:val="20"/>
        </w:rPr>
        <w:t> </w:t>
      </w:r>
      <w:r>
        <w:rPr>
          <w:sz w:val="20"/>
        </w:rPr>
        <w:t>come</w:t>
      </w:r>
      <w:r>
        <w:rPr>
          <w:spacing w:val="-9"/>
          <w:sz w:val="20"/>
        </w:rPr>
        <w:t> </w:t>
      </w:r>
      <w:r>
        <w:rPr>
          <w:sz w:val="20"/>
        </w:rPr>
        <w:t>to</w:t>
      </w:r>
      <w:r>
        <w:rPr>
          <w:spacing w:val="-8"/>
          <w:sz w:val="20"/>
        </w:rPr>
        <w:t> </w:t>
      </w:r>
      <w:r>
        <w:rPr>
          <w:sz w:val="20"/>
        </w:rPr>
        <w:t>be used in the administration of</w:t>
      </w:r>
      <w:r>
        <w:rPr>
          <w:spacing w:val="-22"/>
          <w:sz w:val="20"/>
        </w:rPr>
        <w:t> </w:t>
      </w:r>
      <w:r>
        <w:rPr>
          <w:spacing w:val="-3"/>
          <w:sz w:val="20"/>
        </w:rPr>
        <w:t>justice.</w:t>
      </w:r>
      <w:r>
        <w:rPr>
          <w:spacing w:val="-3"/>
          <w:position w:val="7"/>
          <w:sz w:val="11"/>
        </w:rPr>
        <w:t>7</w:t>
      </w:r>
    </w:p>
    <w:p>
      <w:pPr>
        <w:pStyle w:val="ListParagraph"/>
        <w:numPr>
          <w:ilvl w:val="1"/>
          <w:numId w:val="12"/>
        </w:numPr>
        <w:tabs>
          <w:tab w:pos="1761" w:val="left" w:leader="none"/>
          <w:tab w:pos="1762" w:val="left" w:leader="none"/>
        </w:tabs>
        <w:spacing w:line="206" w:lineRule="auto" w:before="125" w:after="0"/>
        <w:ind w:left="1761" w:right="1346" w:hanging="794"/>
        <w:jc w:val="left"/>
        <w:rPr>
          <w:sz w:val="11"/>
        </w:rPr>
      </w:pPr>
      <w:r>
        <w:rPr>
          <w:spacing w:val="-3"/>
          <w:sz w:val="20"/>
        </w:rPr>
        <w:t>Over</w:t>
      </w:r>
      <w:r>
        <w:rPr>
          <w:spacing w:val="-7"/>
          <w:sz w:val="20"/>
        </w:rPr>
        <w:t> </w:t>
      </w:r>
      <w:r>
        <w:rPr>
          <w:sz w:val="20"/>
        </w:rPr>
        <w:t>time,</w:t>
      </w:r>
      <w:r>
        <w:rPr>
          <w:spacing w:val="-7"/>
          <w:sz w:val="20"/>
        </w:rPr>
        <w:t> </w:t>
      </w:r>
      <w:r>
        <w:rPr>
          <w:sz w:val="20"/>
        </w:rPr>
        <w:t>the</w:t>
      </w:r>
      <w:r>
        <w:rPr>
          <w:spacing w:val="-7"/>
          <w:sz w:val="20"/>
        </w:rPr>
        <w:t> </w:t>
      </w:r>
      <w:r>
        <w:rPr>
          <w:sz w:val="20"/>
        </w:rPr>
        <w:t>jury</w:t>
      </w:r>
      <w:r>
        <w:rPr>
          <w:spacing w:val="-7"/>
          <w:sz w:val="20"/>
        </w:rPr>
        <w:t> </w:t>
      </w:r>
      <w:r>
        <w:rPr>
          <w:spacing w:val="-4"/>
          <w:sz w:val="20"/>
        </w:rPr>
        <w:t>evolved</w:t>
      </w:r>
      <w:r>
        <w:rPr>
          <w:spacing w:val="-6"/>
          <w:sz w:val="20"/>
        </w:rPr>
        <w:t> </w:t>
      </w:r>
      <w:r>
        <w:rPr>
          <w:spacing w:val="-3"/>
          <w:sz w:val="20"/>
        </w:rPr>
        <w:t>from</w:t>
      </w:r>
      <w:r>
        <w:rPr>
          <w:spacing w:val="-7"/>
          <w:sz w:val="20"/>
        </w:rPr>
        <w:t> </w:t>
      </w:r>
      <w:r>
        <w:rPr>
          <w:sz w:val="20"/>
        </w:rPr>
        <w:t>a</w:t>
      </w:r>
      <w:r>
        <w:rPr>
          <w:spacing w:val="-7"/>
          <w:sz w:val="20"/>
        </w:rPr>
        <w:t> </w:t>
      </w:r>
      <w:r>
        <w:rPr>
          <w:sz w:val="20"/>
        </w:rPr>
        <w:t>body</w:t>
      </w:r>
      <w:r>
        <w:rPr>
          <w:spacing w:val="-7"/>
          <w:sz w:val="20"/>
        </w:rPr>
        <w:t> </w:t>
      </w:r>
      <w:r>
        <w:rPr>
          <w:sz w:val="20"/>
        </w:rPr>
        <w:t>of</w:t>
      </w:r>
      <w:r>
        <w:rPr>
          <w:spacing w:val="-7"/>
          <w:sz w:val="20"/>
        </w:rPr>
        <w:t> </w:t>
      </w:r>
      <w:r>
        <w:rPr>
          <w:sz w:val="20"/>
        </w:rPr>
        <w:t>witnesses</w:t>
      </w:r>
      <w:r>
        <w:rPr>
          <w:spacing w:val="-6"/>
          <w:sz w:val="20"/>
        </w:rPr>
        <w:t> </w:t>
      </w:r>
      <w:r>
        <w:rPr>
          <w:sz w:val="20"/>
        </w:rPr>
        <w:t>who</w:t>
      </w:r>
      <w:r>
        <w:rPr>
          <w:spacing w:val="-7"/>
          <w:sz w:val="20"/>
        </w:rPr>
        <w:t> </w:t>
      </w:r>
      <w:r>
        <w:rPr>
          <w:sz w:val="20"/>
        </w:rPr>
        <w:t>decided</w:t>
      </w:r>
      <w:r>
        <w:rPr>
          <w:spacing w:val="-7"/>
          <w:sz w:val="20"/>
        </w:rPr>
        <w:t> </w:t>
      </w:r>
      <w:r>
        <w:rPr>
          <w:sz w:val="20"/>
        </w:rPr>
        <w:t>cases</w:t>
      </w:r>
      <w:r>
        <w:rPr>
          <w:spacing w:val="-7"/>
          <w:sz w:val="20"/>
        </w:rPr>
        <w:t> </w:t>
      </w:r>
      <w:r>
        <w:rPr>
          <w:sz w:val="20"/>
        </w:rPr>
        <w:t>on</w:t>
      </w:r>
      <w:r>
        <w:rPr>
          <w:spacing w:val="-7"/>
          <w:sz w:val="20"/>
        </w:rPr>
        <w:t> </w:t>
      </w:r>
      <w:r>
        <w:rPr>
          <w:sz w:val="20"/>
        </w:rPr>
        <w:t>the</w:t>
      </w:r>
      <w:r>
        <w:rPr>
          <w:spacing w:val="-6"/>
          <w:sz w:val="20"/>
        </w:rPr>
        <w:t> </w:t>
      </w:r>
      <w:r>
        <w:rPr>
          <w:sz w:val="20"/>
        </w:rPr>
        <w:t>basis of</w:t>
      </w:r>
      <w:r>
        <w:rPr>
          <w:spacing w:val="-12"/>
          <w:sz w:val="20"/>
        </w:rPr>
        <w:t> </w:t>
      </w:r>
      <w:r>
        <w:rPr>
          <w:sz w:val="20"/>
        </w:rPr>
        <w:t>their</w:t>
      </w:r>
      <w:r>
        <w:rPr>
          <w:spacing w:val="-11"/>
          <w:sz w:val="20"/>
        </w:rPr>
        <w:t> </w:t>
      </w:r>
      <w:r>
        <w:rPr>
          <w:spacing w:val="-3"/>
          <w:sz w:val="20"/>
        </w:rPr>
        <w:t>own</w:t>
      </w:r>
      <w:r>
        <w:rPr>
          <w:spacing w:val="-12"/>
          <w:sz w:val="20"/>
        </w:rPr>
        <w:t> </w:t>
      </w:r>
      <w:r>
        <w:rPr>
          <w:sz w:val="20"/>
        </w:rPr>
        <w:t>observations</w:t>
      </w:r>
      <w:r>
        <w:rPr>
          <w:spacing w:val="-11"/>
          <w:sz w:val="20"/>
        </w:rPr>
        <w:t> </w:t>
      </w:r>
      <w:r>
        <w:rPr>
          <w:sz w:val="20"/>
        </w:rPr>
        <w:t>to</w:t>
      </w:r>
      <w:r>
        <w:rPr>
          <w:spacing w:val="-12"/>
          <w:sz w:val="20"/>
        </w:rPr>
        <w:t> </w:t>
      </w:r>
      <w:r>
        <w:rPr>
          <w:sz w:val="20"/>
        </w:rPr>
        <w:t>a</w:t>
      </w:r>
      <w:r>
        <w:rPr>
          <w:spacing w:val="-11"/>
          <w:sz w:val="20"/>
        </w:rPr>
        <w:t> </w:t>
      </w:r>
      <w:r>
        <w:rPr>
          <w:sz w:val="20"/>
        </w:rPr>
        <w:t>body</w:t>
      </w:r>
      <w:r>
        <w:rPr>
          <w:spacing w:val="-12"/>
          <w:sz w:val="20"/>
        </w:rPr>
        <w:t> </w:t>
      </w:r>
      <w:r>
        <w:rPr>
          <w:sz w:val="20"/>
        </w:rPr>
        <w:t>that</w:t>
      </w:r>
      <w:r>
        <w:rPr>
          <w:spacing w:val="-12"/>
          <w:sz w:val="20"/>
        </w:rPr>
        <w:t> </w:t>
      </w:r>
      <w:r>
        <w:rPr>
          <w:spacing w:val="-3"/>
          <w:sz w:val="20"/>
        </w:rPr>
        <w:t>‘exercised</w:t>
      </w:r>
      <w:r>
        <w:rPr>
          <w:spacing w:val="-11"/>
          <w:sz w:val="20"/>
        </w:rPr>
        <w:t> </w:t>
      </w:r>
      <w:r>
        <w:rPr>
          <w:sz w:val="20"/>
        </w:rPr>
        <w:t>independent</w:t>
      </w:r>
      <w:r>
        <w:rPr>
          <w:spacing w:val="-12"/>
          <w:sz w:val="20"/>
        </w:rPr>
        <w:t> </w:t>
      </w:r>
      <w:r>
        <w:rPr>
          <w:sz w:val="20"/>
        </w:rPr>
        <w:t>judgement</w:t>
      </w:r>
      <w:r>
        <w:rPr>
          <w:spacing w:val="-11"/>
          <w:sz w:val="20"/>
        </w:rPr>
        <w:t> </w:t>
      </w:r>
      <w:r>
        <w:rPr>
          <w:sz w:val="20"/>
        </w:rPr>
        <w:t>according to evidence </w:t>
      </w:r>
      <w:r>
        <w:rPr>
          <w:spacing w:val="-3"/>
          <w:sz w:val="20"/>
        </w:rPr>
        <w:t>presented </w:t>
      </w:r>
      <w:r>
        <w:rPr>
          <w:sz w:val="20"/>
        </w:rPr>
        <w:t>in court’.</w:t>
      </w:r>
      <w:r>
        <w:rPr>
          <w:position w:val="7"/>
          <w:sz w:val="11"/>
        </w:rPr>
        <w:t>8 </w:t>
      </w:r>
      <w:r>
        <w:rPr>
          <w:sz w:val="20"/>
        </w:rPr>
        <w:t>Juror challenges </w:t>
      </w:r>
      <w:r>
        <w:rPr>
          <w:spacing w:val="-4"/>
          <w:sz w:val="20"/>
        </w:rPr>
        <w:t>were </w:t>
      </w:r>
      <w:r>
        <w:rPr>
          <w:sz w:val="20"/>
        </w:rPr>
        <w:t>introduced to guard against juror</w:t>
      </w:r>
      <w:r>
        <w:rPr>
          <w:spacing w:val="-12"/>
          <w:sz w:val="20"/>
        </w:rPr>
        <w:t> </w:t>
      </w:r>
      <w:r>
        <w:rPr>
          <w:sz w:val="20"/>
        </w:rPr>
        <w:t>bias.</w:t>
      </w:r>
      <w:r>
        <w:rPr>
          <w:position w:val="7"/>
          <w:sz w:val="11"/>
        </w:rPr>
        <w:t>9</w:t>
      </w:r>
      <w:r>
        <w:rPr>
          <w:spacing w:val="13"/>
          <w:position w:val="7"/>
          <w:sz w:val="11"/>
        </w:rPr>
        <w:t> </w:t>
      </w:r>
      <w:r>
        <w:rPr>
          <w:sz w:val="20"/>
        </w:rPr>
        <w:t>Special</w:t>
      </w:r>
      <w:r>
        <w:rPr>
          <w:spacing w:val="-12"/>
          <w:sz w:val="20"/>
        </w:rPr>
        <w:t> </w:t>
      </w:r>
      <w:r>
        <w:rPr>
          <w:sz w:val="20"/>
        </w:rPr>
        <w:t>juries,</w:t>
      </w:r>
      <w:r>
        <w:rPr>
          <w:spacing w:val="-12"/>
          <w:sz w:val="20"/>
        </w:rPr>
        <w:t> </w:t>
      </w:r>
      <w:r>
        <w:rPr>
          <w:sz w:val="20"/>
        </w:rPr>
        <w:t>consisting</w:t>
      </w:r>
      <w:r>
        <w:rPr>
          <w:spacing w:val="-12"/>
          <w:sz w:val="20"/>
        </w:rPr>
        <w:t> </w:t>
      </w:r>
      <w:r>
        <w:rPr>
          <w:sz w:val="20"/>
        </w:rPr>
        <w:t>of</w:t>
      </w:r>
      <w:r>
        <w:rPr>
          <w:spacing w:val="-12"/>
          <w:sz w:val="20"/>
        </w:rPr>
        <w:t> </w:t>
      </w:r>
      <w:r>
        <w:rPr>
          <w:sz w:val="20"/>
        </w:rPr>
        <w:t>jurors</w:t>
      </w:r>
      <w:r>
        <w:rPr>
          <w:spacing w:val="-11"/>
          <w:sz w:val="20"/>
        </w:rPr>
        <w:t> </w:t>
      </w:r>
      <w:r>
        <w:rPr>
          <w:sz w:val="20"/>
        </w:rPr>
        <w:t>wealthier</w:t>
      </w:r>
      <w:r>
        <w:rPr>
          <w:spacing w:val="-12"/>
          <w:sz w:val="20"/>
        </w:rPr>
        <w:t> </w:t>
      </w:r>
      <w:r>
        <w:rPr>
          <w:sz w:val="20"/>
        </w:rPr>
        <w:t>than</w:t>
      </w:r>
      <w:r>
        <w:rPr>
          <w:spacing w:val="-12"/>
          <w:sz w:val="20"/>
        </w:rPr>
        <w:t> </w:t>
      </w:r>
      <w:r>
        <w:rPr>
          <w:sz w:val="20"/>
        </w:rPr>
        <w:t>common</w:t>
      </w:r>
      <w:r>
        <w:rPr>
          <w:spacing w:val="-12"/>
          <w:sz w:val="20"/>
        </w:rPr>
        <w:t> </w:t>
      </w:r>
      <w:r>
        <w:rPr>
          <w:sz w:val="20"/>
        </w:rPr>
        <w:t>jurors</w:t>
      </w:r>
      <w:r>
        <w:rPr>
          <w:spacing w:val="-12"/>
          <w:sz w:val="20"/>
        </w:rPr>
        <w:t> </w:t>
      </w:r>
      <w:r>
        <w:rPr>
          <w:sz w:val="20"/>
        </w:rPr>
        <w:t>or</w:t>
      </w:r>
      <w:r>
        <w:rPr>
          <w:spacing w:val="-11"/>
          <w:sz w:val="20"/>
        </w:rPr>
        <w:t> </w:t>
      </w:r>
      <w:r>
        <w:rPr>
          <w:sz w:val="20"/>
        </w:rPr>
        <w:t>chosen for their specialist professional </w:t>
      </w:r>
      <w:r>
        <w:rPr>
          <w:spacing w:val="-3"/>
          <w:sz w:val="20"/>
        </w:rPr>
        <w:t>knowledge, </w:t>
      </w:r>
      <w:r>
        <w:rPr>
          <w:spacing w:val="-4"/>
          <w:sz w:val="20"/>
        </w:rPr>
        <w:t>were </w:t>
      </w:r>
      <w:r>
        <w:rPr>
          <w:sz w:val="20"/>
        </w:rPr>
        <w:t>also</w:t>
      </w:r>
      <w:r>
        <w:rPr>
          <w:spacing w:val="-25"/>
          <w:sz w:val="20"/>
        </w:rPr>
        <w:t> </w:t>
      </w:r>
      <w:r>
        <w:rPr>
          <w:sz w:val="20"/>
        </w:rPr>
        <w:t>used.</w:t>
      </w:r>
      <w:r>
        <w:rPr>
          <w:position w:val="7"/>
          <w:sz w:val="11"/>
        </w:rPr>
        <w:t>10</w:t>
      </w:r>
    </w:p>
    <w:p>
      <w:pPr>
        <w:pStyle w:val="ListParagraph"/>
        <w:numPr>
          <w:ilvl w:val="1"/>
          <w:numId w:val="12"/>
        </w:numPr>
        <w:tabs>
          <w:tab w:pos="1761" w:val="left" w:leader="none"/>
          <w:tab w:pos="1762" w:val="left" w:leader="none"/>
        </w:tabs>
        <w:spacing w:line="206" w:lineRule="auto" w:before="126" w:after="0"/>
        <w:ind w:left="1761" w:right="1246" w:hanging="794"/>
        <w:jc w:val="left"/>
        <w:rPr>
          <w:sz w:val="20"/>
        </w:rPr>
      </w:pPr>
      <w:r>
        <w:rPr>
          <w:sz w:val="20"/>
        </w:rPr>
        <w:t>Further changes occurred in the </w:t>
      </w:r>
      <w:r>
        <w:rPr>
          <w:spacing w:val="-3"/>
          <w:sz w:val="20"/>
        </w:rPr>
        <w:t>17th century, </w:t>
      </w:r>
      <w:r>
        <w:rPr>
          <w:sz w:val="20"/>
        </w:rPr>
        <w:t>when jurors </w:t>
      </w:r>
      <w:r>
        <w:rPr>
          <w:spacing w:val="-4"/>
          <w:sz w:val="20"/>
        </w:rPr>
        <w:t>were </w:t>
      </w:r>
      <w:r>
        <w:rPr>
          <w:sz w:val="20"/>
        </w:rPr>
        <w:t>held to be immune </w:t>
      </w:r>
      <w:r>
        <w:rPr>
          <w:spacing w:val="-3"/>
          <w:sz w:val="20"/>
        </w:rPr>
        <w:t>from</w:t>
      </w:r>
      <w:r>
        <w:rPr>
          <w:spacing w:val="-11"/>
          <w:sz w:val="20"/>
        </w:rPr>
        <w:t> </w:t>
      </w:r>
      <w:r>
        <w:rPr>
          <w:sz w:val="20"/>
        </w:rPr>
        <w:t>judicial</w:t>
      </w:r>
      <w:r>
        <w:rPr>
          <w:spacing w:val="-11"/>
          <w:sz w:val="20"/>
        </w:rPr>
        <w:t> </w:t>
      </w:r>
      <w:r>
        <w:rPr>
          <w:sz w:val="20"/>
        </w:rPr>
        <w:t>punishment.</w:t>
      </w:r>
      <w:r>
        <w:rPr>
          <w:position w:val="7"/>
          <w:sz w:val="11"/>
        </w:rPr>
        <w:t>11</w:t>
      </w:r>
      <w:r>
        <w:rPr>
          <w:spacing w:val="14"/>
          <w:position w:val="7"/>
          <w:sz w:val="11"/>
        </w:rPr>
        <w:t> </w:t>
      </w:r>
      <w:r>
        <w:rPr>
          <w:sz w:val="20"/>
        </w:rPr>
        <w:t>Horan</w:t>
      </w:r>
      <w:r>
        <w:rPr>
          <w:spacing w:val="-11"/>
          <w:sz w:val="20"/>
        </w:rPr>
        <w:t> </w:t>
      </w:r>
      <w:r>
        <w:rPr>
          <w:sz w:val="20"/>
        </w:rPr>
        <w:t>observes</w:t>
      </w:r>
      <w:r>
        <w:rPr>
          <w:spacing w:val="-11"/>
          <w:sz w:val="20"/>
        </w:rPr>
        <w:t> </w:t>
      </w:r>
      <w:r>
        <w:rPr>
          <w:sz w:val="20"/>
        </w:rPr>
        <w:t>that</w:t>
      </w:r>
      <w:r>
        <w:rPr>
          <w:spacing w:val="-11"/>
          <w:sz w:val="20"/>
        </w:rPr>
        <w:t> </w:t>
      </w:r>
      <w:r>
        <w:rPr>
          <w:spacing w:val="-3"/>
          <w:sz w:val="20"/>
        </w:rPr>
        <w:t>‘as</w:t>
      </w:r>
      <w:r>
        <w:rPr>
          <w:spacing w:val="-11"/>
          <w:sz w:val="20"/>
        </w:rPr>
        <w:t> </w:t>
      </w:r>
      <w:r>
        <w:rPr>
          <w:sz w:val="20"/>
        </w:rPr>
        <w:t>juries</w:t>
      </w:r>
      <w:r>
        <w:rPr>
          <w:spacing w:val="-11"/>
          <w:sz w:val="20"/>
        </w:rPr>
        <w:t> </w:t>
      </w:r>
      <w:r>
        <w:rPr>
          <w:sz w:val="20"/>
        </w:rPr>
        <w:t>became</w:t>
      </w:r>
      <w:r>
        <w:rPr>
          <w:spacing w:val="-11"/>
          <w:sz w:val="20"/>
        </w:rPr>
        <w:t> </w:t>
      </w:r>
      <w:r>
        <w:rPr>
          <w:sz w:val="20"/>
        </w:rPr>
        <w:t>more</w:t>
      </w:r>
      <w:r>
        <w:rPr>
          <w:spacing w:val="-10"/>
          <w:sz w:val="20"/>
        </w:rPr>
        <w:t> </w:t>
      </w:r>
      <w:r>
        <w:rPr>
          <w:sz w:val="20"/>
        </w:rPr>
        <w:t>independent</w:t>
      </w:r>
      <w:r>
        <w:rPr>
          <w:spacing w:val="-11"/>
          <w:sz w:val="20"/>
        </w:rPr>
        <w:t> </w:t>
      </w:r>
      <w:r>
        <w:rPr>
          <w:sz w:val="20"/>
        </w:rPr>
        <w:t>of judges, they became more </w:t>
      </w:r>
      <w:r>
        <w:rPr>
          <w:spacing w:val="-3"/>
          <w:sz w:val="20"/>
        </w:rPr>
        <w:t>reflective </w:t>
      </w:r>
      <w:r>
        <w:rPr>
          <w:sz w:val="20"/>
        </w:rPr>
        <w:t>of the community’s </w:t>
      </w:r>
      <w:r>
        <w:rPr>
          <w:spacing w:val="-3"/>
          <w:sz w:val="20"/>
        </w:rPr>
        <w:t>views </w:t>
      </w:r>
      <w:r>
        <w:rPr>
          <w:sz w:val="20"/>
        </w:rPr>
        <w:t>about </w:t>
      </w:r>
      <w:r>
        <w:rPr>
          <w:spacing w:val="-3"/>
          <w:sz w:val="20"/>
        </w:rPr>
        <w:t>justice’.</w:t>
      </w:r>
      <w:r>
        <w:rPr>
          <w:spacing w:val="-3"/>
          <w:position w:val="7"/>
          <w:sz w:val="11"/>
        </w:rPr>
        <w:t>12 </w:t>
      </w:r>
      <w:r>
        <w:rPr>
          <w:spacing w:val="-8"/>
          <w:sz w:val="20"/>
        </w:rPr>
        <w:t>Today, </w:t>
      </w:r>
      <w:r>
        <w:rPr>
          <w:sz w:val="20"/>
        </w:rPr>
        <w:t>a jury</w:t>
      </w:r>
      <w:r>
        <w:rPr>
          <w:spacing w:val="-8"/>
          <w:sz w:val="20"/>
        </w:rPr>
        <w:t> </w:t>
      </w:r>
      <w:r>
        <w:rPr>
          <w:sz w:val="20"/>
        </w:rPr>
        <w:t>is</w:t>
      </w:r>
      <w:r>
        <w:rPr>
          <w:spacing w:val="-7"/>
          <w:sz w:val="20"/>
        </w:rPr>
        <w:t> </w:t>
      </w:r>
      <w:r>
        <w:rPr>
          <w:sz w:val="20"/>
        </w:rPr>
        <w:t>regarded</w:t>
      </w:r>
      <w:r>
        <w:rPr>
          <w:spacing w:val="-7"/>
          <w:sz w:val="20"/>
        </w:rPr>
        <w:t> </w:t>
      </w:r>
      <w:r>
        <w:rPr>
          <w:sz w:val="20"/>
        </w:rPr>
        <w:t>as</w:t>
      </w:r>
      <w:r>
        <w:rPr>
          <w:spacing w:val="-7"/>
          <w:sz w:val="20"/>
        </w:rPr>
        <w:t> </w:t>
      </w:r>
      <w:r>
        <w:rPr>
          <w:sz w:val="20"/>
        </w:rPr>
        <w:t>an</w:t>
      </w:r>
      <w:r>
        <w:rPr>
          <w:spacing w:val="-7"/>
          <w:sz w:val="20"/>
        </w:rPr>
        <w:t> </w:t>
      </w:r>
      <w:r>
        <w:rPr>
          <w:sz w:val="20"/>
        </w:rPr>
        <w:t>important</w:t>
      </w:r>
      <w:r>
        <w:rPr>
          <w:spacing w:val="-8"/>
          <w:sz w:val="20"/>
        </w:rPr>
        <w:t> </w:t>
      </w:r>
      <w:r>
        <w:rPr>
          <w:sz w:val="20"/>
        </w:rPr>
        <w:t>check</w:t>
      </w:r>
      <w:r>
        <w:rPr>
          <w:spacing w:val="-7"/>
          <w:sz w:val="20"/>
        </w:rPr>
        <w:t> </w:t>
      </w:r>
      <w:r>
        <w:rPr>
          <w:sz w:val="20"/>
        </w:rPr>
        <w:t>on</w:t>
      </w:r>
      <w:r>
        <w:rPr>
          <w:spacing w:val="-7"/>
          <w:sz w:val="20"/>
        </w:rPr>
        <w:t> </w:t>
      </w:r>
      <w:r>
        <w:rPr>
          <w:sz w:val="20"/>
        </w:rPr>
        <w:t>the</w:t>
      </w:r>
      <w:r>
        <w:rPr>
          <w:spacing w:val="-7"/>
          <w:sz w:val="20"/>
        </w:rPr>
        <w:t> </w:t>
      </w:r>
      <w:r>
        <w:rPr>
          <w:spacing w:val="-3"/>
          <w:sz w:val="20"/>
        </w:rPr>
        <w:t>power</w:t>
      </w:r>
      <w:r>
        <w:rPr>
          <w:spacing w:val="-7"/>
          <w:sz w:val="20"/>
        </w:rPr>
        <w:t> </w:t>
      </w:r>
      <w:r>
        <w:rPr>
          <w:sz w:val="20"/>
        </w:rPr>
        <w:t>of</w:t>
      </w:r>
      <w:r>
        <w:rPr>
          <w:spacing w:val="-8"/>
          <w:sz w:val="20"/>
        </w:rPr>
        <w:t> </w:t>
      </w:r>
      <w:r>
        <w:rPr>
          <w:sz w:val="20"/>
        </w:rPr>
        <w:t>the</w:t>
      </w:r>
      <w:r>
        <w:rPr>
          <w:spacing w:val="-7"/>
          <w:sz w:val="20"/>
        </w:rPr>
        <w:t> </w:t>
      </w:r>
      <w:r>
        <w:rPr>
          <w:sz w:val="20"/>
        </w:rPr>
        <w:t>state</w:t>
      </w:r>
      <w:r>
        <w:rPr>
          <w:spacing w:val="-7"/>
          <w:sz w:val="20"/>
        </w:rPr>
        <w:t> </w:t>
      </w:r>
      <w:r>
        <w:rPr>
          <w:sz w:val="20"/>
        </w:rPr>
        <w:t>(see</w:t>
      </w:r>
      <w:r>
        <w:rPr>
          <w:spacing w:val="-7"/>
          <w:sz w:val="20"/>
        </w:rPr>
        <w:t> </w:t>
      </w:r>
      <w:r>
        <w:rPr>
          <w:spacing w:val="-2"/>
          <w:sz w:val="20"/>
        </w:rPr>
        <w:t>Chapter</w:t>
      </w:r>
      <w:r>
        <w:rPr>
          <w:spacing w:val="-7"/>
          <w:sz w:val="20"/>
        </w:rPr>
        <w:t> </w:t>
      </w:r>
      <w:r>
        <w:rPr>
          <w:spacing w:val="-3"/>
          <w:sz w:val="20"/>
        </w:rPr>
        <w:t>2).</w:t>
      </w:r>
      <w:r>
        <w:rPr>
          <w:spacing w:val="-8"/>
          <w:sz w:val="20"/>
        </w:rPr>
        <w:t> </w:t>
      </w:r>
      <w:r>
        <w:rPr>
          <w:sz w:val="20"/>
        </w:rPr>
        <w:t>Juries enable the community to participate in the justice system and ensure that justice is administered in line with community</w:t>
      </w:r>
      <w:r>
        <w:rPr>
          <w:spacing w:val="-24"/>
          <w:sz w:val="20"/>
        </w:rPr>
        <w:t> </w:t>
      </w:r>
      <w:r>
        <w:rPr>
          <w:sz w:val="20"/>
        </w:rPr>
        <w:t>standards.</w:t>
      </w:r>
    </w:p>
    <w:p>
      <w:pPr>
        <w:pStyle w:val="ListParagraph"/>
        <w:numPr>
          <w:ilvl w:val="1"/>
          <w:numId w:val="12"/>
        </w:numPr>
        <w:tabs>
          <w:tab w:pos="1761" w:val="left" w:leader="none"/>
          <w:tab w:pos="1762" w:val="left" w:leader="none"/>
        </w:tabs>
        <w:spacing w:line="206" w:lineRule="auto" w:before="128" w:after="0"/>
        <w:ind w:left="1761" w:right="1407" w:hanging="794"/>
        <w:jc w:val="left"/>
        <w:rPr>
          <w:sz w:val="20"/>
        </w:rPr>
      </w:pPr>
      <w:r>
        <w:rPr>
          <w:sz w:val="20"/>
        </w:rPr>
        <w:t>Eligibility requirements for jurors </w:t>
      </w:r>
      <w:r>
        <w:rPr>
          <w:spacing w:val="-4"/>
          <w:sz w:val="20"/>
        </w:rPr>
        <w:t>have </w:t>
      </w:r>
      <w:r>
        <w:rPr>
          <w:sz w:val="20"/>
        </w:rPr>
        <w:t>also changed </w:t>
      </w:r>
      <w:r>
        <w:rPr>
          <w:spacing w:val="-4"/>
          <w:sz w:val="20"/>
        </w:rPr>
        <w:t>over </w:t>
      </w:r>
      <w:r>
        <w:rPr>
          <w:sz w:val="20"/>
        </w:rPr>
        <w:t>the centuries, though this change</w:t>
      </w:r>
      <w:r>
        <w:rPr>
          <w:spacing w:val="-10"/>
          <w:sz w:val="20"/>
        </w:rPr>
        <w:t> </w:t>
      </w:r>
      <w:r>
        <w:rPr>
          <w:sz w:val="20"/>
        </w:rPr>
        <w:t>has</w:t>
      </w:r>
      <w:r>
        <w:rPr>
          <w:spacing w:val="-9"/>
          <w:sz w:val="20"/>
        </w:rPr>
        <w:t> </w:t>
      </w:r>
      <w:r>
        <w:rPr>
          <w:sz w:val="20"/>
        </w:rPr>
        <w:t>been</w:t>
      </w:r>
      <w:r>
        <w:rPr>
          <w:spacing w:val="-10"/>
          <w:sz w:val="20"/>
        </w:rPr>
        <w:t> </w:t>
      </w:r>
      <w:r>
        <w:rPr>
          <w:sz w:val="20"/>
        </w:rPr>
        <w:t>very</w:t>
      </w:r>
      <w:r>
        <w:rPr>
          <w:spacing w:val="-9"/>
          <w:sz w:val="20"/>
        </w:rPr>
        <w:t> </w:t>
      </w:r>
      <w:r>
        <w:rPr>
          <w:spacing w:val="-5"/>
          <w:sz w:val="20"/>
        </w:rPr>
        <w:t>slow.</w:t>
      </w:r>
      <w:r>
        <w:rPr>
          <w:spacing w:val="-10"/>
          <w:sz w:val="20"/>
        </w:rPr>
        <w:t> </w:t>
      </w:r>
      <w:r>
        <w:rPr>
          <w:sz w:val="20"/>
        </w:rPr>
        <w:t>Since</w:t>
      </w:r>
      <w:r>
        <w:rPr>
          <w:spacing w:val="-9"/>
          <w:sz w:val="20"/>
        </w:rPr>
        <w:t> </w:t>
      </w:r>
      <w:r>
        <w:rPr>
          <w:sz w:val="20"/>
        </w:rPr>
        <w:t>juries</w:t>
      </w:r>
      <w:r>
        <w:rPr>
          <w:spacing w:val="-10"/>
          <w:sz w:val="20"/>
        </w:rPr>
        <w:t> </w:t>
      </w:r>
      <w:r>
        <w:rPr>
          <w:spacing w:val="-4"/>
          <w:sz w:val="20"/>
        </w:rPr>
        <w:t>were</w:t>
      </w:r>
      <w:r>
        <w:rPr>
          <w:spacing w:val="-9"/>
          <w:sz w:val="20"/>
        </w:rPr>
        <w:t> </w:t>
      </w:r>
      <w:r>
        <w:rPr>
          <w:sz w:val="20"/>
        </w:rPr>
        <w:t>first</w:t>
      </w:r>
      <w:r>
        <w:rPr>
          <w:spacing w:val="-10"/>
          <w:sz w:val="20"/>
        </w:rPr>
        <w:t> </w:t>
      </w:r>
      <w:r>
        <w:rPr>
          <w:sz w:val="20"/>
        </w:rPr>
        <w:t>introduced</w:t>
      </w:r>
      <w:r>
        <w:rPr>
          <w:spacing w:val="-9"/>
          <w:sz w:val="20"/>
        </w:rPr>
        <w:t> </w:t>
      </w:r>
      <w:r>
        <w:rPr>
          <w:sz w:val="20"/>
        </w:rPr>
        <w:t>to</w:t>
      </w:r>
      <w:r>
        <w:rPr>
          <w:spacing w:val="-10"/>
          <w:sz w:val="20"/>
        </w:rPr>
        <w:t> </w:t>
      </w:r>
      <w:r>
        <w:rPr>
          <w:sz w:val="20"/>
        </w:rPr>
        <w:t>England,</w:t>
      </w:r>
      <w:r>
        <w:rPr>
          <w:spacing w:val="-9"/>
          <w:sz w:val="20"/>
        </w:rPr>
        <w:t> </w:t>
      </w:r>
      <w:r>
        <w:rPr>
          <w:sz w:val="20"/>
        </w:rPr>
        <w:t>the</w:t>
      </w:r>
      <w:r>
        <w:rPr>
          <w:spacing w:val="-9"/>
          <w:sz w:val="20"/>
        </w:rPr>
        <w:t> </w:t>
      </w:r>
      <w:r>
        <w:rPr>
          <w:spacing w:val="-3"/>
          <w:sz w:val="20"/>
        </w:rPr>
        <w:t>role</w:t>
      </w:r>
      <w:r>
        <w:rPr>
          <w:spacing w:val="-10"/>
          <w:sz w:val="20"/>
        </w:rPr>
        <w:t> </w:t>
      </w:r>
      <w:r>
        <w:rPr>
          <w:sz w:val="20"/>
        </w:rPr>
        <w:t>of</w:t>
      </w:r>
      <w:r>
        <w:rPr>
          <w:spacing w:val="-9"/>
          <w:sz w:val="20"/>
        </w:rPr>
        <w:t> </w:t>
      </w:r>
      <w:r>
        <w:rPr>
          <w:sz w:val="20"/>
        </w:rPr>
        <w:t>a juror has primarily been performed </w:t>
      </w:r>
      <w:r>
        <w:rPr>
          <w:spacing w:val="-3"/>
          <w:sz w:val="20"/>
        </w:rPr>
        <w:t>by wealthy </w:t>
      </w:r>
      <w:r>
        <w:rPr>
          <w:sz w:val="20"/>
        </w:rPr>
        <w:t>white</w:t>
      </w:r>
      <w:r>
        <w:rPr>
          <w:spacing w:val="-34"/>
          <w:sz w:val="20"/>
        </w:rPr>
        <w:t> </w:t>
      </w:r>
      <w:r>
        <w:rPr>
          <w:sz w:val="20"/>
        </w:rPr>
        <w:t>men.</w:t>
      </w:r>
    </w:p>
    <w:p>
      <w:pPr>
        <w:spacing w:before="162"/>
        <w:ind w:left="967" w:right="0" w:firstLine="0"/>
        <w:jc w:val="left"/>
        <w:rPr>
          <w:b/>
          <w:sz w:val="24"/>
        </w:rPr>
      </w:pPr>
      <w:r>
        <w:rPr>
          <w:b/>
          <w:sz w:val="24"/>
        </w:rPr>
        <w:t>Australia’s first juries</w:t>
      </w:r>
    </w:p>
    <w:p>
      <w:pPr>
        <w:pStyle w:val="Heading6"/>
        <w:spacing w:before="132"/>
        <w:rPr>
          <w:b/>
        </w:rPr>
      </w:pPr>
      <w:r>
        <w:rPr>
          <w:b/>
        </w:rPr>
        <w:t>New South Wales</w:t>
      </w:r>
    </w:p>
    <w:p>
      <w:pPr>
        <w:pStyle w:val="ListParagraph"/>
        <w:numPr>
          <w:ilvl w:val="1"/>
          <w:numId w:val="12"/>
        </w:numPr>
        <w:tabs>
          <w:tab w:pos="1761" w:val="left" w:leader="none"/>
          <w:tab w:pos="1762" w:val="left" w:leader="none"/>
        </w:tabs>
        <w:spacing w:line="206" w:lineRule="auto" w:before="131" w:after="0"/>
        <w:ind w:left="1761" w:right="2025" w:hanging="794"/>
        <w:jc w:val="left"/>
        <w:rPr>
          <w:sz w:val="11"/>
        </w:rPr>
      </w:pPr>
      <w:r>
        <w:rPr>
          <w:sz w:val="20"/>
        </w:rPr>
        <w:t>The</w:t>
      </w:r>
      <w:r>
        <w:rPr>
          <w:spacing w:val="-10"/>
          <w:sz w:val="20"/>
        </w:rPr>
        <w:t> </w:t>
      </w:r>
      <w:r>
        <w:rPr>
          <w:sz w:val="20"/>
        </w:rPr>
        <w:t>introduction</w:t>
      </w:r>
      <w:r>
        <w:rPr>
          <w:spacing w:val="-9"/>
          <w:sz w:val="20"/>
        </w:rPr>
        <w:t> </w:t>
      </w:r>
      <w:r>
        <w:rPr>
          <w:sz w:val="20"/>
        </w:rPr>
        <w:t>of</w:t>
      </w:r>
      <w:r>
        <w:rPr>
          <w:spacing w:val="-9"/>
          <w:sz w:val="20"/>
        </w:rPr>
        <w:t> </w:t>
      </w:r>
      <w:r>
        <w:rPr>
          <w:sz w:val="20"/>
        </w:rPr>
        <w:t>the</w:t>
      </w:r>
      <w:r>
        <w:rPr>
          <w:spacing w:val="-9"/>
          <w:sz w:val="20"/>
        </w:rPr>
        <w:t> </w:t>
      </w:r>
      <w:r>
        <w:rPr>
          <w:sz w:val="20"/>
        </w:rPr>
        <w:t>jury</w:t>
      </w:r>
      <w:r>
        <w:rPr>
          <w:spacing w:val="-9"/>
          <w:sz w:val="20"/>
        </w:rPr>
        <w:t> </w:t>
      </w:r>
      <w:r>
        <w:rPr>
          <w:sz w:val="20"/>
        </w:rPr>
        <w:t>system</w:t>
      </w:r>
      <w:r>
        <w:rPr>
          <w:spacing w:val="-9"/>
          <w:sz w:val="20"/>
        </w:rPr>
        <w:t> </w:t>
      </w:r>
      <w:r>
        <w:rPr>
          <w:sz w:val="20"/>
        </w:rPr>
        <w:t>in</w:t>
      </w:r>
      <w:r>
        <w:rPr>
          <w:spacing w:val="-9"/>
          <w:sz w:val="20"/>
        </w:rPr>
        <w:t> </w:t>
      </w:r>
      <w:r>
        <w:rPr>
          <w:sz w:val="20"/>
        </w:rPr>
        <w:t>Australia</w:t>
      </w:r>
      <w:r>
        <w:rPr>
          <w:spacing w:val="-9"/>
          <w:sz w:val="20"/>
        </w:rPr>
        <w:t> </w:t>
      </w:r>
      <w:r>
        <w:rPr>
          <w:sz w:val="20"/>
        </w:rPr>
        <w:t>‘did</w:t>
      </w:r>
      <w:r>
        <w:rPr>
          <w:spacing w:val="-9"/>
          <w:sz w:val="20"/>
        </w:rPr>
        <w:t> </w:t>
      </w:r>
      <w:r>
        <w:rPr>
          <w:sz w:val="20"/>
        </w:rPr>
        <w:t>not</w:t>
      </w:r>
      <w:r>
        <w:rPr>
          <w:spacing w:val="-9"/>
          <w:sz w:val="20"/>
        </w:rPr>
        <w:t> </w:t>
      </w:r>
      <w:r>
        <w:rPr>
          <w:spacing w:val="-2"/>
          <w:sz w:val="20"/>
        </w:rPr>
        <w:t>simply</w:t>
      </w:r>
      <w:r>
        <w:rPr>
          <w:spacing w:val="-9"/>
          <w:sz w:val="20"/>
        </w:rPr>
        <w:t> </w:t>
      </w:r>
      <w:r>
        <w:rPr>
          <w:spacing w:val="-4"/>
          <w:sz w:val="20"/>
        </w:rPr>
        <w:t>involve</w:t>
      </w:r>
      <w:r>
        <w:rPr>
          <w:spacing w:val="-9"/>
          <w:sz w:val="20"/>
        </w:rPr>
        <w:t> </w:t>
      </w:r>
      <w:r>
        <w:rPr>
          <w:sz w:val="20"/>
        </w:rPr>
        <w:t>the</w:t>
      </w:r>
      <w:r>
        <w:rPr>
          <w:spacing w:val="-9"/>
          <w:sz w:val="20"/>
        </w:rPr>
        <w:t> </w:t>
      </w:r>
      <w:r>
        <w:rPr>
          <w:spacing w:val="-3"/>
          <w:sz w:val="20"/>
        </w:rPr>
        <w:t>early </w:t>
      </w:r>
      <w:r>
        <w:rPr>
          <w:sz w:val="20"/>
        </w:rPr>
        <w:t>colonists importing the English </w:t>
      </w:r>
      <w:r>
        <w:rPr>
          <w:spacing w:val="-4"/>
          <w:sz w:val="20"/>
        </w:rPr>
        <w:t>system’. </w:t>
      </w:r>
      <w:r>
        <w:rPr>
          <w:sz w:val="20"/>
        </w:rPr>
        <w:t>It was </w:t>
      </w:r>
      <w:r>
        <w:rPr>
          <w:spacing w:val="-4"/>
          <w:sz w:val="20"/>
        </w:rPr>
        <w:t>‘a </w:t>
      </w:r>
      <w:r>
        <w:rPr>
          <w:sz w:val="20"/>
        </w:rPr>
        <w:t>gradual process, with </w:t>
      </w:r>
      <w:r>
        <w:rPr>
          <w:spacing w:val="-3"/>
          <w:sz w:val="20"/>
        </w:rPr>
        <w:t>many </w:t>
      </w:r>
      <w:r>
        <w:rPr>
          <w:sz w:val="20"/>
        </w:rPr>
        <w:t>modifications’.</w:t>
      </w:r>
      <w:r>
        <w:rPr>
          <w:position w:val="7"/>
          <w:sz w:val="11"/>
        </w:rPr>
        <w:t>13</w:t>
      </w:r>
    </w:p>
    <w:p>
      <w:pPr>
        <w:pStyle w:val="ListParagraph"/>
        <w:numPr>
          <w:ilvl w:val="1"/>
          <w:numId w:val="12"/>
        </w:numPr>
        <w:tabs>
          <w:tab w:pos="1761" w:val="left" w:leader="none"/>
          <w:tab w:pos="1762" w:val="left" w:leader="none"/>
        </w:tabs>
        <w:spacing w:line="206" w:lineRule="auto" w:before="124" w:after="0"/>
        <w:ind w:left="1761" w:right="1238" w:hanging="794"/>
        <w:jc w:val="left"/>
        <w:rPr>
          <w:sz w:val="11"/>
        </w:rPr>
      </w:pPr>
      <w:r>
        <w:rPr>
          <w:spacing w:val="-3"/>
          <w:sz w:val="20"/>
        </w:rPr>
        <w:t>Initially,</w:t>
      </w:r>
      <w:r>
        <w:rPr>
          <w:spacing w:val="-13"/>
          <w:sz w:val="20"/>
        </w:rPr>
        <w:t> </w:t>
      </w:r>
      <w:r>
        <w:rPr>
          <w:sz w:val="20"/>
        </w:rPr>
        <w:t>instead</w:t>
      </w:r>
      <w:r>
        <w:rPr>
          <w:spacing w:val="-12"/>
          <w:sz w:val="20"/>
        </w:rPr>
        <w:t> </w:t>
      </w:r>
      <w:r>
        <w:rPr>
          <w:sz w:val="20"/>
        </w:rPr>
        <w:t>of</w:t>
      </w:r>
      <w:r>
        <w:rPr>
          <w:spacing w:val="-12"/>
          <w:sz w:val="20"/>
        </w:rPr>
        <w:t> </w:t>
      </w:r>
      <w:r>
        <w:rPr>
          <w:sz w:val="20"/>
        </w:rPr>
        <w:t>jury</w:t>
      </w:r>
      <w:r>
        <w:rPr>
          <w:spacing w:val="-12"/>
          <w:sz w:val="20"/>
        </w:rPr>
        <w:t> </w:t>
      </w:r>
      <w:r>
        <w:rPr>
          <w:sz w:val="20"/>
        </w:rPr>
        <w:t>trials,</w:t>
      </w:r>
      <w:r>
        <w:rPr>
          <w:spacing w:val="-12"/>
          <w:sz w:val="20"/>
        </w:rPr>
        <w:t> </w:t>
      </w:r>
      <w:r>
        <w:rPr>
          <w:sz w:val="20"/>
        </w:rPr>
        <w:t>serious</w:t>
      </w:r>
      <w:r>
        <w:rPr>
          <w:spacing w:val="-12"/>
          <w:sz w:val="20"/>
        </w:rPr>
        <w:t> </w:t>
      </w:r>
      <w:r>
        <w:rPr>
          <w:sz w:val="20"/>
        </w:rPr>
        <w:t>criminal</w:t>
      </w:r>
      <w:r>
        <w:rPr>
          <w:spacing w:val="-12"/>
          <w:sz w:val="20"/>
        </w:rPr>
        <w:t> </w:t>
      </w:r>
      <w:r>
        <w:rPr>
          <w:sz w:val="20"/>
        </w:rPr>
        <w:t>offences</w:t>
      </w:r>
      <w:r>
        <w:rPr>
          <w:spacing w:val="-12"/>
          <w:sz w:val="20"/>
        </w:rPr>
        <w:t> </w:t>
      </w:r>
      <w:r>
        <w:rPr>
          <w:spacing w:val="-4"/>
          <w:sz w:val="20"/>
        </w:rPr>
        <w:t>were</w:t>
      </w:r>
      <w:r>
        <w:rPr>
          <w:spacing w:val="-12"/>
          <w:sz w:val="20"/>
        </w:rPr>
        <w:t> </w:t>
      </w:r>
      <w:r>
        <w:rPr>
          <w:sz w:val="20"/>
        </w:rPr>
        <w:t>heard</w:t>
      </w:r>
      <w:r>
        <w:rPr>
          <w:spacing w:val="-12"/>
          <w:sz w:val="20"/>
        </w:rPr>
        <w:t> </w:t>
      </w:r>
      <w:r>
        <w:rPr>
          <w:spacing w:val="-3"/>
          <w:sz w:val="20"/>
        </w:rPr>
        <w:t>before</w:t>
      </w:r>
      <w:r>
        <w:rPr>
          <w:spacing w:val="-12"/>
          <w:sz w:val="20"/>
        </w:rPr>
        <w:t> </w:t>
      </w:r>
      <w:r>
        <w:rPr>
          <w:sz w:val="20"/>
        </w:rPr>
        <w:t>an</w:t>
      </w:r>
      <w:r>
        <w:rPr>
          <w:spacing w:val="-12"/>
          <w:sz w:val="20"/>
        </w:rPr>
        <w:t> </w:t>
      </w:r>
      <w:r>
        <w:rPr>
          <w:sz w:val="20"/>
        </w:rPr>
        <w:t>inquisitorial tribunal comprising six military or </w:t>
      </w:r>
      <w:r>
        <w:rPr>
          <w:spacing w:val="-3"/>
          <w:sz w:val="20"/>
        </w:rPr>
        <w:t>naval </w:t>
      </w:r>
      <w:r>
        <w:rPr>
          <w:sz w:val="20"/>
        </w:rPr>
        <w:t>officers and a deputy judge advocate.</w:t>
      </w:r>
      <w:r>
        <w:rPr>
          <w:position w:val="7"/>
          <w:sz w:val="11"/>
        </w:rPr>
        <w:t>14 </w:t>
      </w:r>
      <w:r>
        <w:rPr>
          <w:spacing w:val="-4"/>
          <w:sz w:val="20"/>
        </w:rPr>
        <w:t>There </w:t>
      </w:r>
      <w:r>
        <w:rPr>
          <w:sz w:val="20"/>
        </w:rPr>
        <w:t>was</w:t>
      </w:r>
      <w:r>
        <w:rPr>
          <w:spacing w:val="-7"/>
          <w:sz w:val="20"/>
        </w:rPr>
        <w:t> </w:t>
      </w:r>
      <w:r>
        <w:rPr>
          <w:spacing w:val="-3"/>
          <w:sz w:val="20"/>
        </w:rPr>
        <w:t>great</w:t>
      </w:r>
      <w:r>
        <w:rPr>
          <w:spacing w:val="-7"/>
          <w:sz w:val="20"/>
        </w:rPr>
        <w:t> </w:t>
      </w:r>
      <w:r>
        <w:rPr>
          <w:sz w:val="20"/>
        </w:rPr>
        <w:t>unease</w:t>
      </w:r>
      <w:r>
        <w:rPr>
          <w:spacing w:val="-7"/>
          <w:sz w:val="20"/>
        </w:rPr>
        <w:t> </w:t>
      </w:r>
      <w:r>
        <w:rPr>
          <w:sz w:val="20"/>
        </w:rPr>
        <w:t>about</w:t>
      </w:r>
      <w:r>
        <w:rPr>
          <w:spacing w:val="-7"/>
          <w:sz w:val="20"/>
        </w:rPr>
        <w:t> </w:t>
      </w:r>
      <w:r>
        <w:rPr>
          <w:sz w:val="20"/>
        </w:rPr>
        <w:t>‘the</w:t>
      </w:r>
      <w:r>
        <w:rPr>
          <w:spacing w:val="-7"/>
          <w:sz w:val="20"/>
        </w:rPr>
        <w:t> </w:t>
      </w:r>
      <w:r>
        <w:rPr>
          <w:sz w:val="20"/>
        </w:rPr>
        <w:t>advisability</w:t>
      </w:r>
      <w:r>
        <w:rPr>
          <w:spacing w:val="-7"/>
          <w:sz w:val="20"/>
        </w:rPr>
        <w:t> </w:t>
      </w:r>
      <w:r>
        <w:rPr>
          <w:sz w:val="20"/>
        </w:rPr>
        <w:t>of</w:t>
      </w:r>
      <w:r>
        <w:rPr>
          <w:spacing w:val="-7"/>
          <w:sz w:val="20"/>
        </w:rPr>
        <w:t> </w:t>
      </w:r>
      <w:r>
        <w:rPr>
          <w:spacing w:val="-3"/>
          <w:sz w:val="20"/>
        </w:rPr>
        <w:t>having</w:t>
      </w:r>
      <w:r>
        <w:rPr>
          <w:spacing w:val="-7"/>
          <w:sz w:val="20"/>
        </w:rPr>
        <w:t> </w:t>
      </w:r>
      <w:r>
        <w:rPr>
          <w:sz w:val="20"/>
        </w:rPr>
        <w:t>trial</w:t>
      </w:r>
      <w:r>
        <w:rPr>
          <w:spacing w:val="-6"/>
          <w:sz w:val="20"/>
        </w:rPr>
        <w:t> </w:t>
      </w:r>
      <w:r>
        <w:rPr>
          <w:spacing w:val="-3"/>
          <w:sz w:val="20"/>
        </w:rPr>
        <w:t>by</w:t>
      </w:r>
      <w:r>
        <w:rPr>
          <w:spacing w:val="-7"/>
          <w:sz w:val="20"/>
        </w:rPr>
        <w:t> </w:t>
      </w:r>
      <w:r>
        <w:rPr>
          <w:sz w:val="20"/>
        </w:rPr>
        <w:t>jury</w:t>
      </w:r>
      <w:r>
        <w:rPr>
          <w:spacing w:val="-7"/>
          <w:sz w:val="20"/>
        </w:rPr>
        <w:t> </w:t>
      </w:r>
      <w:r>
        <w:rPr>
          <w:sz w:val="20"/>
        </w:rPr>
        <w:t>in</w:t>
      </w:r>
      <w:r>
        <w:rPr>
          <w:spacing w:val="-7"/>
          <w:sz w:val="20"/>
        </w:rPr>
        <w:t> </w:t>
      </w:r>
      <w:r>
        <w:rPr>
          <w:sz w:val="20"/>
        </w:rPr>
        <w:t>a</w:t>
      </w:r>
      <w:r>
        <w:rPr>
          <w:spacing w:val="-7"/>
          <w:sz w:val="20"/>
        </w:rPr>
        <w:t> </w:t>
      </w:r>
      <w:r>
        <w:rPr>
          <w:spacing w:val="-3"/>
          <w:sz w:val="20"/>
        </w:rPr>
        <w:t>colony</w:t>
      </w:r>
      <w:r>
        <w:rPr>
          <w:spacing w:val="-7"/>
          <w:sz w:val="20"/>
        </w:rPr>
        <w:t> </w:t>
      </w:r>
      <w:r>
        <w:rPr>
          <w:sz w:val="20"/>
        </w:rPr>
        <w:t>composed</w:t>
      </w:r>
      <w:r>
        <w:rPr>
          <w:spacing w:val="-7"/>
          <w:sz w:val="20"/>
        </w:rPr>
        <w:t> </w:t>
      </w:r>
      <w:r>
        <w:rPr>
          <w:sz w:val="20"/>
        </w:rPr>
        <w:t>of largely </w:t>
      </w:r>
      <w:r>
        <w:rPr>
          <w:spacing w:val="-3"/>
          <w:sz w:val="20"/>
        </w:rPr>
        <w:t>ex</w:t>
      </w:r>
      <w:r>
        <w:rPr>
          <w:spacing w:val="-8"/>
          <w:sz w:val="20"/>
        </w:rPr>
        <w:t> </w:t>
      </w:r>
      <w:r>
        <w:rPr>
          <w:spacing w:val="-3"/>
          <w:sz w:val="20"/>
        </w:rPr>
        <w:t>convicts’.</w:t>
      </w:r>
      <w:r>
        <w:rPr>
          <w:spacing w:val="-3"/>
          <w:position w:val="7"/>
          <w:sz w:val="11"/>
        </w:rPr>
        <w:t>15</w:t>
      </w:r>
    </w:p>
    <w:p>
      <w:pPr>
        <w:pStyle w:val="ListParagraph"/>
        <w:numPr>
          <w:ilvl w:val="1"/>
          <w:numId w:val="12"/>
        </w:numPr>
        <w:tabs>
          <w:tab w:pos="1761" w:val="left" w:leader="none"/>
          <w:tab w:pos="1762" w:val="left" w:leader="none"/>
        </w:tabs>
        <w:spacing w:line="206" w:lineRule="auto" w:before="125" w:after="0"/>
        <w:ind w:left="1761" w:right="1333" w:hanging="794"/>
        <w:jc w:val="left"/>
        <w:rPr>
          <w:sz w:val="11"/>
        </w:rPr>
      </w:pPr>
      <w:r>
        <w:rPr/>
        <w:pict>
          <v:line style="position:absolute;mso-position-horizontal-relative:page;mso-position-vertical-relative:paragraph;z-index:1976;mso-wrap-distance-left:0;mso-wrap-distance-right:0" from="79.370102pt,84.095108pt" to="515.905102pt,84.095108pt" stroked="true" strokeweight="1pt" strokecolor="#b6bdc8">
            <v:stroke dashstyle="solid"/>
            <w10:wrap type="topAndBottom"/>
          </v:line>
        </w:pict>
      </w:r>
      <w:r>
        <w:rPr>
          <w:sz w:val="20"/>
        </w:rPr>
        <w:t>A campaign </w:t>
      </w:r>
      <w:r>
        <w:rPr>
          <w:spacing w:val="-3"/>
          <w:sz w:val="20"/>
        </w:rPr>
        <w:t>by free </w:t>
      </w:r>
      <w:r>
        <w:rPr>
          <w:sz w:val="20"/>
        </w:rPr>
        <w:t>settlers for the introduction of jury trials gathered momentum </w:t>
      </w:r>
      <w:r>
        <w:rPr>
          <w:spacing w:val="-2"/>
          <w:sz w:val="20"/>
        </w:rPr>
        <w:t>gradually </w:t>
      </w:r>
      <w:r>
        <w:rPr>
          <w:sz w:val="20"/>
        </w:rPr>
        <w:t>during the </w:t>
      </w:r>
      <w:r>
        <w:rPr>
          <w:spacing w:val="-3"/>
          <w:sz w:val="20"/>
        </w:rPr>
        <w:t>early </w:t>
      </w:r>
      <w:r>
        <w:rPr>
          <w:sz w:val="20"/>
        </w:rPr>
        <w:t>19th </w:t>
      </w:r>
      <w:r>
        <w:rPr>
          <w:spacing w:val="-3"/>
          <w:sz w:val="20"/>
        </w:rPr>
        <w:t>century. </w:t>
      </w:r>
      <w:r>
        <w:rPr>
          <w:sz w:val="20"/>
        </w:rPr>
        <w:t>Campaigners considered jury trials important because of the ‘threat to judicial independence posed </w:t>
      </w:r>
      <w:r>
        <w:rPr>
          <w:spacing w:val="-3"/>
          <w:sz w:val="20"/>
        </w:rPr>
        <w:t>by </w:t>
      </w:r>
      <w:r>
        <w:rPr>
          <w:sz w:val="20"/>
        </w:rPr>
        <w:t>the British </w:t>
      </w:r>
      <w:r>
        <w:rPr>
          <w:spacing w:val="-3"/>
          <w:sz w:val="20"/>
        </w:rPr>
        <w:t>government’s power</w:t>
      </w:r>
      <w:r>
        <w:rPr>
          <w:spacing w:val="-9"/>
          <w:sz w:val="20"/>
        </w:rPr>
        <w:t> </w:t>
      </w:r>
      <w:r>
        <w:rPr>
          <w:sz w:val="20"/>
        </w:rPr>
        <w:t>to</w:t>
      </w:r>
      <w:r>
        <w:rPr>
          <w:spacing w:val="-9"/>
          <w:sz w:val="20"/>
        </w:rPr>
        <w:t> </w:t>
      </w:r>
      <w:r>
        <w:rPr>
          <w:sz w:val="20"/>
        </w:rPr>
        <w:t>dismiss</w:t>
      </w:r>
      <w:r>
        <w:rPr>
          <w:spacing w:val="-9"/>
          <w:sz w:val="20"/>
        </w:rPr>
        <w:t> </w:t>
      </w:r>
      <w:r>
        <w:rPr>
          <w:sz w:val="20"/>
        </w:rPr>
        <w:t>colonial</w:t>
      </w:r>
      <w:r>
        <w:rPr>
          <w:spacing w:val="-9"/>
          <w:sz w:val="20"/>
        </w:rPr>
        <w:t> </w:t>
      </w:r>
      <w:r>
        <w:rPr>
          <w:spacing w:val="-3"/>
          <w:sz w:val="20"/>
        </w:rPr>
        <w:t>judges’</w:t>
      </w:r>
      <w:r>
        <w:rPr>
          <w:spacing w:val="-9"/>
          <w:sz w:val="20"/>
        </w:rPr>
        <w:t> </w:t>
      </w:r>
      <w:r>
        <w:rPr>
          <w:sz w:val="20"/>
        </w:rPr>
        <w:t>and</w:t>
      </w:r>
      <w:r>
        <w:rPr>
          <w:spacing w:val="-9"/>
          <w:sz w:val="20"/>
        </w:rPr>
        <w:t> </w:t>
      </w:r>
      <w:r>
        <w:rPr>
          <w:sz w:val="20"/>
        </w:rPr>
        <w:t>because</w:t>
      </w:r>
      <w:r>
        <w:rPr>
          <w:spacing w:val="-9"/>
          <w:sz w:val="20"/>
        </w:rPr>
        <w:t> </w:t>
      </w:r>
      <w:r>
        <w:rPr>
          <w:sz w:val="20"/>
        </w:rPr>
        <w:t>of</w:t>
      </w:r>
      <w:r>
        <w:rPr>
          <w:spacing w:val="-8"/>
          <w:sz w:val="20"/>
        </w:rPr>
        <w:t> </w:t>
      </w:r>
      <w:r>
        <w:rPr>
          <w:sz w:val="20"/>
        </w:rPr>
        <w:t>concerns</w:t>
      </w:r>
      <w:r>
        <w:rPr>
          <w:spacing w:val="-9"/>
          <w:sz w:val="20"/>
        </w:rPr>
        <w:t> </w:t>
      </w:r>
      <w:r>
        <w:rPr>
          <w:sz w:val="20"/>
        </w:rPr>
        <w:t>about</w:t>
      </w:r>
      <w:r>
        <w:rPr>
          <w:spacing w:val="-9"/>
          <w:sz w:val="20"/>
        </w:rPr>
        <w:t> </w:t>
      </w:r>
      <w:r>
        <w:rPr>
          <w:sz w:val="20"/>
        </w:rPr>
        <w:t>a</w:t>
      </w:r>
      <w:r>
        <w:rPr>
          <w:spacing w:val="-9"/>
          <w:sz w:val="20"/>
        </w:rPr>
        <w:t> </w:t>
      </w:r>
      <w:r>
        <w:rPr>
          <w:sz w:val="20"/>
        </w:rPr>
        <w:t>lack</w:t>
      </w:r>
      <w:r>
        <w:rPr>
          <w:spacing w:val="-9"/>
          <w:sz w:val="20"/>
        </w:rPr>
        <w:t> </w:t>
      </w:r>
      <w:r>
        <w:rPr>
          <w:sz w:val="20"/>
        </w:rPr>
        <w:t>of</w:t>
      </w:r>
      <w:r>
        <w:rPr>
          <w:spacing w:val="-9"/>
          <w:sz w:val="20"/>
        </w:rPr>
        <w:t> </w:t>
      </w:r>
      <w:r>
        <w:rPr>
          <w:sz w:val="20"/>
        </w:rPr>
        <w:t>impartiality </w:t>
      </w:r>
      <w:r>
        <w:rPr>
          <w:spacing w:val="-3"/>
          <w:sz w:val="20"/>
        </w:rPr>
        <w:t>by </w:t>
      </w:r>
      <w:r>
        <w:rPr>
          <w:sz w:val="20"/>
        </w:rPr>
        <w:t>military officers in cases </w:t>
      </w:r>
      <w:r>
        <w:rPr>
          <w:spacing w:val="-3"/>
          <w:sz w:val="20"/>
        </w:rPr>
        <w:t>involving </w:t>
      </w:r>
      <w:r>
        <w:rPr>
          <w:sz w:val="20"/>
        </w:rPr>
        <w:t>the military.</w:t>
      </w:r>
      <w:r>
        <w:rPr>
          <w:position w:val="7"/>
          <w:sz w:val="11"/>
        </w:rPr>
        <w:t>16 </w:t>
      </w:r>
      <w:r>
        <w:rPr>
          <w:sz w:val="20"/>
        </w:rPr>
        <w:t>The call to include </w:t>
      </w:r>
      <w:r>
        <w:rPr>
          <w:spacing w:val="-3"/>
          <w:sz w:val="20"/>
        </w:rPr>
        <w:t>free </w:t>
      </w:r>
      <w:r>
        <w:rPr>
          <w:sz w:val="20"/>
        </w:rPr>
        <w:t>convicts as jurors faced strong opposition </w:t>
      </w:r>
      <w:r>
        <w:rPr>
          <w:spacing w:val="-3"/>
          <w:sz w:val="20"/>
        </w:rPr>
        <w:t>from </w:t>
      </w:r>
      <w:r>
        <w:rPr>
          <w:sz w:val="20"/>
        </w:rPr>
        <w:t>the British</w:t>
      </w:r>
      <w:r>
        <w:rPr>
          <w:spacing w:val="-30"/>
          <w:sz w:val="20"/>
        </w:rPr>
        <w:t> </w:t>
      </w:r>
      <w:r>
        <w:rPr>
          <w:spacing w:val="-3"/>
          <w:sz w:val="20"/>
        </w:rPr>
        <w:t>government.</w:t>
      </w:r>
      <w:r>
        <w:rPr>
          <w:spacing w:val="-3"/>
          <w:position w:val="7"/>
          <w:sz w:val="11"/>
        </w:rPr>
        <w:t>17</w:t>
      </w:r>
    </w:p>
    <w:p>
      <w:pPr>
        <w:pStyle w:val="ListParagraph"/>
        <w:numPr>
          <w:ilvl w:val="0"/>
          <w:numId w:val="33"/>
        </w:numPr>
        <w:tabs>
          <w:tab w:pos="1760" w:val="left" w:leader="none"/>
          <w:tab w:pos="1762" w:val="left" w:leader="none"/>
        </w:tabs>
        <w:spacing w:line="213" w:lineRule="auto" w:before="107" w:after="0"/>
        <w:ind w:left="1761" w:right="1706" w:hanging="794"/>
        <w:jc w:val="left"/>
        <w:rPr>
          <w:sz w:val="13"/>
        </w:rPr>
      </w:pPr>
      <w:r>
        <w:rPr>
          <w:sz w:val="13"/>
        </w:rPr>
        <w:t>Law Reform Committee, Parliament of Victoria, </w:t>
      </w:r>
      <w:r>
        <w:rPr>
          <w:i/>
          <w:spacing w:val="2"/>
          <w:sz w:val="13"/>
        </w:rPr>
        <w:t>Jury Service </w:t>
      </w:r>
      <w:r>
        <w:rPr>
          <w:i/>
          <w:sz w:val="13"/>
        </w:rPr>
        <w:t>in Victoria </w:t>
      </w:r>
      <w:r>
        <w:rPr>
          <w:sz w:val="13"/>
        </w:rPr>
        <w:t>(Final </w:t>
      </w:r>
      <w:r>
        <w:rPr>
          <w:spacing w:val="2"/>
          <w:sz w:val="13"/>
        </w:rPr>
        <w:t>Report, December </w:t>
      </w:r>
      <w:r>
        <w:rPr>
          <w:sz w:val="13"/>
        </w:rPr>
        <w:t>1997) vol 3 </w:t>
      </w:r>
      <w:r>
        <w:rPr>
          <w:spacing w:val="2"/>
          <w:sz w:val="13"/>
        </w:rPr>
        <w:t>[1.29]. </w:t>
      </w:r>
      <w:r>
        <w:rPr>
          <w:sz w:val="13"/>
        </w:rPr>
        <w:t>See </w:t>
      </w:r>
      <w:r>
        <w:rPr>
          <w:spacing w:val="2"/>
          <w:sz w:val="13"/>
        </w:rPr>
        <w:t>also </w:t>
      </w:r>
      <w:r>
        <w:rPr>
          <w:sz w:val="13"/>
        </w:rPr>
        <w:t>Jacqueline Horan, </w:t>
      </w:r>
      <w:r>
        <w:rPr>
          <w:i/>
          <w:sz w:val="13"/>
        </w:rPr>
        <w:t>Juries in the 21st Century </w:t>
      </w:r>
      <w:r>
        <w:rPr>
          <w:spacing w:val="2"/>
          <w:sz w:val="13"/>
        </w:rPr>
        <w:t>(The </w:t>
      </w:r>
      <w:r>
        <w:rPr>
          <w:sz w:val="13"/>
        </w:rPr>
        <w:t>Federation Press, 2012)</w:t>
      </w:r>
      <w:r>
        <w:rPr>
          <w:spacing w:val="10"/>
          <w:sz w:val="13"/>
        </w:rPr>
        <w:t> </w:t>
      </w:r>
      <w:r>
        <w:rPr>
          <w:sz w:val="13"/>
        </w:rPr>
        <w:t>10,11.</w:t>
      </w:r>
    </w:p>
    <w:p>
      <w:pPr>
        <w:pStyle w:val="ListParagraph"/>
        <w:numPr>
          <w:ilvl w:val="0"/>
          <w:numId w:val="33"/>
        </w:numPr>
        <w:tabs>
          <w:tab w:pos="1760" w:val="left" w:leader="none"/>
          <w:tab w:pos="1762" w:val="left" w:leader="none"/>
        </w:tabs>
        <w:spacing w:line="213" w:lineRule="auto" w:before="0" w:after="0"/>
        <w:ind w:left="1761" w:right="1375" w:hanging="794"/>
        <w:jc w:val="left"/>
        <w:rPr>
          <w:sz w:val="13"/>
        </w:rPr>
      </w:pPr>
      <w:r>
        <w:rPr>
          <w:sz w:val="13"/>
        </w:rPr>
        <w:t>For example, in 1086, William I used the </w:t>
      </w:r>
      <w:r>
        <w:rPr>
          <w:spacing w:val="2"/>
          <w:sz w:val="13"/>
        </w:rPr>
        <w:t>jury </w:t>
      </w:r>
      <w:r>
        <w:rPr>
          <w:sz w:val="13"/>
        </w:rPr>
        <w:t>system to collect information for the Domesday </w:t>
      </w:r>
      <w:r>
        <w:rPr>
          <w:spacing w:val="2"/>
          <w:sz w:val="13"/>
        </w:rPr>
        <w:t>Book, </w:t>
      </w:r>
      <w:r>
        <w:rPr>
          <w:sz w:val="13"/>
        </w:rPr>
        <w:t>a survey of wealth and   assets across </w:t>
      </w:r>
      <w:r>
        <w:rPr>
          <w:spacing w:val="2"/>
          <w:sz w:val="13"/>
        </w:rPr>
        <w:t>England </w:t>
      </w:r>
      <w:r>
        <w:rPr>
          <w:sz w:val="13"/>
        </w:rPr>
        <w:t>and </w:t>
      </w:r>
      <w:r>
        <w:rPr>
          <w:spacing w:val="2"/>
          <w:sz w:val="13"/>
        </w:rPr>
        <w:t>parts </w:t>
      </w:r>
      <w:r>
        <w:rPr>
          <w:sz w:val="13"/>
        </w:rPr>
        <w:t>of Wales: Law Reform Committee, Parliament of Victoria, </w:t>
      </w:r>
      <w:r>
        <w:rPr>
          <w:i/>
          <w:spacing w:val="2"/>
          <w:sz w:val="13"/>
        </w:rPr>
        <w:t>Jury Service </w:t>
      </w:r>
      <w:r>
        <w:rPr>
          <w:i/>
          <w:sz w:val="13"/>
        </w:rPr>
        <w:t>in Victoria </w:t>
      </w:r>
      <w:r>
        <w:rPr>
          <w:sz w:val="13"/>
        </w:rPr>
        <w:t>(Final </w:t>
      </w:r>
      <w:r>
        <w:rPr>
          <w:spacing w:val="2"/>
          <w:sz w:val="13"/>
        </w:rPr>
        <w:t>Report, December </w:t>
      </w:r>
      <w:r>
        <w:rPr>
          <w:sz w:val="13"/>
        </w:rPr>
        <w:t>1997) vol 3</w:t>
      </w:r>
      <w:r>
        <w:rPr>
          <w:spacing w:val="-2"/>
          <w:sz w:val="13"/>
        </w:rPr>
        <w:t> </w:t>
      </w:r>
      <w:r>
        <w:rPr>
          <w:spacing w:val="2"/>
          <w:sz w:val="13"/>
        </w:rPr>
        <w:t>[1.31]–[1.32].</w:t>
      </w:r>
    </w:p>
    <w:p>
      <w:pPr>
        <w:pStyle w:val="ListParagraph"/>
        <w:numPr>
          <w:ilvl w:val="0"/>
          <w:numId w:val="33"/>
        </w:numPr>
        <w:tabs>
          <w:tab w:pos="1760" w:val="left" w:leader="none"/>
          <w:tab w:pos="1762" w:val="left" w:leader="none"/>
        </w:tabs>
        <w:spacing w:line="213" w:lineRule="auto" w:before="0" w:after="0"/>
        <w:ind w:left="1761" w:right="1265" w:hanging="794"/>
        <w:jc w:val="left"/>
        <w:rPr>
          <w:sz w:val="13"/>
        </w:rPr>
      </w:pPr>
      <w:r>
        <w:rPr>
          <w:sz w:val="13"/>
        </w:rPr>
        <w:t>Following </w:t>
      </w:r>
      <w:r>
        <w:rPr>
          <w:spacing w:val="2"/>
          <w:sz w:val="13"/>
        </w:rPr>
        <w:t>Henry </w:t>
      </w:r>
      <w:r>
        <w:rPr>
          <w:sz w:val="13"/>
        </w:rPr>
        <w:t>II’s </w:t>
      </w:r>
      <w:r>
        <w:rPr>
          <w:spacing w:val="2"/>
          <w:sz w:val="13"/>
        </w:rPr>
        <w:t>Grand </w:t>
      </w:r>
      <w:r>
        <w:rPr>
          <w:sz w:val="13"/>
        </w:rPr>
        <w:t>Assize of Clarendon, juries were used to </w:t>
      </w:r>
      <w:r>
        <w:rPr>
          <w:spacing w:val="2"/>
          <w:sz w:val="13"/>
        </w:rPr>
        <w:t>try neighbours </w:t>
      </w:r>
      <w:r>
        <w:rPr>
          <w:sz w:val="13"/>
        </w:rPr>
        <w:t>suspected of committing crimes as well as to resolve </w:t>
      </w:r>
      <w:r>
        <w:rPr>
          <w:spacing w:val="2"/>
          <w:sz w:val="13"/>
        </w:rPr>
        <w:t>land </w:t>
      </w:r>
      <w:r>
        <w:rPr>
          <w:sz w:val="13"/>
        </w:rPr>
        <w:t>disputes </w:t>
      </w:r>
      <w:r>
        <w:rPr>
          <w:spacing w:val="2"/>
          <w:sz w:val="13"/>
        </w:rPr>
        <w:t>amongst </w:t>
      </w:r>
      <w:r>
        <w:rPr>
          <w:sz w:val="13"/>
        </w:rPr>
        <w:t>the </w:t>
      </w:r>
      <w:r>
        <w:rPr>
          <w:spacing w:val="2"/>
          <w:sz w:val="13"/>
        </w:rPr>
        <w:t>nobility: </w:t>
      </w:r>
      <w:r>
        <w:rPr>
          <w:sz w:val="13"/>
        </w:rPr>
        <w:t>John Guinther, </w:t>
      </w:r>
      <w:r>
        <w:rPr>
          <w:i/>
          <w:sz w:val="13"/>
        </w:rPr>
        <w:t>The </w:t>
      </w:r>
      <w:r>
        <w:rPr>
          <w:i/>
          <w:spacing w:val="2"/>
          <w:sz w:val="13"/>
        </w:rPr>
        <w:t>Jury </w:t>
      </w:r>
      <w:r>
        <w:rPr>
          <w:i/>
          <w:sz w:val="13"/>
        </w:rPr>
        <w:t>in America and the Civil Juror; A Research Project Sponsored     </w:t>
      </w:r>
      <w:r>
        <w:rPr>
          <w:i/>
          <w:sz w:val="13"/>
        </w:rPr>
        <w:t>by the Roscoe Pound Foundation </w:t>
      </w:r>
      <w:r>
        <w:rPr>
          <w:sz w:val="13"/>
        </w:rPr>
        <w:t>(Facts on File </w:t>
      </w:r>
      <w:r>
        <w:rPr>
          <w:spacing w:val="2"/>
          <w:sz w:val="13"/>
        </w:rPr>
        <w:t>Publications, </w:t>
      </w:r>
      <w:r>
        <w:rPr>
          <w:sz w:val="13"/>
        </w:rPr>
        <w:t>1988) 11–12, cited in Jacqueline Horan, ‘Perceptions of the Civil </w:t>
      </w:r>
      <w:r>
        <w:rPr>
          <w:spacing w:val="2"/>
          <w:sz w:val="13"/>
        </w:rPr>
        <w:t>Jury </w:t>
      </w:r>
      <w:r>
        <w:rPr>
          <w:sz w:val="13"/>
        </w:rPr>
        <w:t>System’ </w:t>
      </w:r>
      <w:r>
        <w:rPr>
          <w:spacing w:val="2"/>
          <w:sz w:val="13"/>
        </w:rPr>
        <w:t>(2005) </w:t>
      </w:r>
      <w:r>
        <w:rPr>
          <w:sz w:val="13"/>
        </w:rPr>
        <w:t>31(1) </w:t>
      </w:r>
      <w:r>
        <w:rPr>
          <w:i/>
          <w:sz w:val="13"/>
        </w:rPr>
        <w:t>Monash University Law Review </w:t>
      </w:r>
      <w:r>
        <w:rPr>
          <w:sz w:val="13"/>
        </w:rPr>
        <w:t>120, </w:t>
      </w:r>
      <w:r>
        <w:rPr>
          <w:spacing w:val="2"/>
          <w:sz w:val="13"/>
        </w:rPr>
        <w:t>123. </w:t>
      </w:r>
      <w:r>
        <w:rPr>
          <w:sz w:val="13"/>
        </w:rPr>
        <w:t>Trial by </w:t>
      </w:r>
      <w:r>
        <w:rPr>
          <w:spacing w:val="2"/>
          <w:sz w:val="13"/>
        </w:rPr>
        <w:t>jury </w:t>
      </w:r>
      <w:r>
        <w:rPr>
          <w:sz w:val="13"/>
        </w:rPr>
        <w:t>was fully adopted when Pope Innocent III withdrew </w:t>
      </w:r>
      <w:r>
        <w:rPr>
          <w:spacing w:val="2"/>
          <w:sz w:val="13"/>
        </w:rPr>
        <w:t>support </w:t>
      </w:r>
      <w:r>
        <w:rPr>
          <w:sz w:val="13"/>
        </w:rPr>
        <w:t>for trial by ordeal in </w:t>
      </w:r>
      <w:r>
        <w:rPr>
          <w:spacing w:val="3"/>
          <w:sz w:val="13"/>
        </w:rPr>
        <w:t>1215. </w:t>
      </w:r>
      <w:r>
        <w:rPr>
          <w:sz w:val="13"/>
        </w:rPr>
        <w:t>See Law Reform Committee, Parliament of Victoria, </w:t>
      </w:r>
      <w:r>
        <w:rPr>
          <w:i/>
          <w:spacing w:val="2"/>
          <w:sz w:val="13"/>
        </w:rPr>
        <w:t>Jury Service </w:t>
      </w:r>
      <w:r>
        <w:rPr>
          <w:i/>
          <w:sz w:val="13"/>
        </w:rPr>
        <w:t>in Victoria </w:t>
      </w:r>
      <w:r>
        <w:rPr>
          <w:sz w:val="13"/>
        </w:rPr>
        <w:t>(Final </w:t>
      </w:r>
      <w:r>
        <w:rPr>
          <w:spacing w:val="2"/>
          <w:sz w:val="13"/>
        </w:rPr>
        <w:t>Report, December </w:t>
      </w:r>
      <w:r>
        <w:rPr>
          <w:sz w:val="13"/>
        </w:rPr>
        <w:t>1997) vol 3 </w:t>
      </w:r>
      <w:r>
        <w:rPr>
          <w:spacing w:val="2"/>
          <w:sz w:val="13"/>
        </w:rPr>
        <w:t>[1.35], </w:t>
      </w:r>
      <w:r>
        <w:rPr>
          <w:spacing w:val="3"/>
          <w:sz w:val="13"/>
        </w:rPr>
        <w:t>[1.43],</w:t>
      </w:r>
      <w:r>
        <w:rPr>
          <w:spacing w:val="-4"/>
          <w:sz w:val="13"/>
        </w:rPr>
        <w:t> </w:t>
      </w:r>
      <w:r>
        <w:rPr>
          <w:spacing w:val="3"/>
          <w:sz w:val="13"/>
        </w:rPr>
        <w:t>[1.46].</w:t>
      </w:r>
    </w:p>
    <w:p>
      <w:pPr>
        <w:pStyle w:val="ListParagraph"/>
        <w:numPr>
          <w:ilvl w:val="0"/>
          <w:numId w:val="33"/>
        </w:numPr>
        <w:tabs>
          <w:tab w:pos="1760" w:val="left" w:leader="none"/>
          <w:tab w:pos="1762" w:val="left" w:leader="none"/>
        </w:tabs>
        <w:spacing w:line="213" w:lineRule="auto" w:before="0" w:after="0"/>
        <w:ind w:left="967" w:right="2276" w:firstLine="0"/>
        <w:jc w:val="left"/>
        <w:rPr>
          <w:sz w:val="13"/>
        </w:rPr>
      </w:pPr>
      <w:r>
        <w:rPr>
          <w:sz w:val="13"/>
        </w:rPr>
        <w:t>Law Reform Committee, Parliament of Victoria, </w:t>
      </w:r>
      <w:r>
        <w:rPr>
          <w:i/>
          <w:spacing w:val="2"/>
          <w:sz w:val="13"/>
        </w:rPr>
        <w:t>Jury Service </w:t>
      </w:r>
      <w:r>
        <w:rPr>
          <w:i/>
          <w:sz w:val="13"/>
        </w:rPr>
        <w:t>in Victoria </w:t>
      </w:r>
      <w:r>
        <w:rPr>
          <w:sz w:val="13"/>
        </w:rPr>
        <w:t>(Final </w:t>
      </w:r>
      <w:r>
        <w:rPr>
          <w:spacing w:val="2"/>
          <w:sz w:val="13"/>
        </w:rPr>
        <w:t>Report, December </w:t>
      </w:r>
      <w:r>
        <w:rPr>
          <w:sz w:val="13"/>
        </w:rPr>
        <w:t>1997) vol 3 </w:t>
      </w:r>
      <w:r>
        <w:rPr>
          <w:spacing w:val="2"/>
          <w:sz w:val="13"/>
        </w:rPr>
        <w:t>[1.47].</w:t>
      </w:r>
      <w:r>
        <w:rPr>
          <w:spacing w:val="37"/>
          <w:sz w:val="13"/>
        </w:rPr>
        <w:t> </w:t>
      </w:r>
      <w:r>
        <w:rPr>
          <w:sz w:val="13"/>
        </w:rPr>
        <w:t>9</w:t>
        <w:tab/>
        <w:t>Ibid vol 3 </w:t>
      </w:r>
      <w:r>
        <w:rPr>
          <w:spacing w:val="2"/>
          <w:sz w:val="13"/>
        </w:rPr>
        <w:t>[1.50].</w:t>
      </w:r>
    </w:p>
    <w:p>
      <w:pPr>
        <w:pStyle w:val="ListParagraph"/>
        <w:numPr>
          <w:ilvl w:val="0"/>
          <w:numId w:val="34"/>
        </w:numPr>
        <w:tabs>
          <w:tab w:pos="1760" w:val="left" w:leader="none"/>
          <w:tab w:pos="1762" w:val="left" w:leader="none"/>
        </w:tabs>
        <w:spacing w:line="153" w:lineRule="exact" w:before="0" w:after="0"/>
        <w:ind w:left="1761" w:right="0" w:hanging="794"/>
        <w:jc w:val="left"/>
        <w:rPr>
          <w:sz w:val="13"/>
        </w:rPr>
      </w:pPr>
      <w:r>
        <w:rPr>
          <w:sz w:val="13"/>
        </w:rPr>
        <w:t>Some examples of ‘special juries’ include those made up of merchants, </w:t>
      </w:r>
      <w:r>
        <w:rPr>
          <w:spacing w:val="2"/>
          <w:sz w:val="13"/>
        </w:rPr>
        <w:t>cooks, fishmongers, booksellers, </w:t>
      </w:r>
      <w:r>
        <w:rPr>
          <w:sz w:val="13"/>
        </w:rPr>
        <w:t>printers,</w:t>
      </w:r>
      <w:r>
        <w:rPr>
          <w:spacing w:val="16"/>
          <w:sz w:val="13"/>
        </w:rPr>
        <w:t> </w:t>
      </w:r>
      <w:r>
        <w:rPr>
          <w:sz w:val="13"/>
        </w:rPr>
        <w:t>matrons,</w:t>
      </w:r>
    </w:p>
    <w:p>
      <w:pPr>
        <w:spacing w:line="160" w:lineRule="exact" w:before="0"/>
        <w:ind w:left="1761" w:right="0" w:firstLine="0"/>
        <w:jc w:val="left"/>
        <w:rPr>
          <w:sz w:val="13"/>
        </w:rPr>
      </w:pPr>
      <w:r>
        <w:rPr>
          <w:sz w:val="13"/>
        </w:rPr>
        <w:t>clerks or attorneys: ibid [1.60]–[1.69]; </w:t>
      </w:r>
      <w:r>
        <w:rPr>
          <w:i/>
          <w:sz w:val="13"/>
        </w:rPr>
        <w:t>Juries Act 1825</w:t>
      </w:r>
      <w:r>
        <w:rPr>
          <w:sz w:val="13"/>
        </w:rPr>
        <w:t>, 6 Geo IV c 50.</w:t>
      </w:r>
    </w:p>
    <w:p>
      <w:pPr>
        <w:pStyle w:val="ListParagraph"/>
        <w:numPr>
          <w:ilvl w:val="0"/>
          <w:numId w:val="34"/>
        </w:numPr>
        <w:tabs>
          <w:tab w:pos="1760" w:val="left" w:leader="none"/>
          <w:tab w:pos="1762" w:val="left" w:leader="none"/>
        </w:tabs>
        <w:spacing w:line="160" w:lineRule="exact" w:before="0" w:after="0"/>
        <w:ind w:left="1761" w:right="0" w:hanging="794"/>
        <w:jc w:val="left"/>
        <w:rPr>
          <w:sz w:val="13"/>
        </w:rPr>
      </w:pPr>
      <w:r>
        <w:rPr>
          <w:sz w:val="13"/>
        </w:rPr>
        <w:t>Jacqueline Horan, </w:t>
      </w:r>
      <w:r>
        <w:rPr>
          <w:i/>
          <w:sz w:val="13"/>
        </w:rPr>
        <w:t>Juries in the 21st Century </w:t>
      </w:r>
      <w:r>
        <w:rPr>
          <w:spacing w:val="2"/>
          <w:sz w:val="13"/>
        </w:rPr>
        <w:t>(The </w:t>
      </w:r>
      <w:r>
        <w:rPr>
          <w:sz w:val="13"/>
        </w:rPr>
        <w:t>Federation Press, 2012) </w:t>
      </w:r>
      <w:r>
        <w:rPr>
          <w:spacing w:val="3"/>
          <w:sz w:val="13"/>
        </w:rPr>
        <w:t>13, </w:t>
      </w:r>
      <w:r>
        <w:rPr>
          <w:sz w:val="13"/>
        </w:rPr>
        <w:t>citing </w:t>
      </w:r>
      <w:r>
        <w:rPr>
          <w:i/>
          <w:sz w:val="13"/>
        </w:rPr>
        <w:t>Bushell </w:t>
      </w:r>
      <w:r>
        <w:rPr>
          <w:sz w:val="13"/>
        </w:rPr>
        <w:t>(1670) </w:t>
      </w:r>
      <w:r>
        <w:rPr>
          <w:spacing w:val="2"/>
          <w:sz w:val="13"/>
        </w:rPr>
        <w:t>124 </w:t>
      </w:r>
      <w:r>
        <w:rPr>
          <w:sz w:val="13"/>
        </w:rPr>
        <w:t>ER</w:t>
      </w:r>
      <w:r>
        <w:rPr>
          <w:spacing w:val="18"/>
          <w:sz w:val="13"/>
        </w:rPr>
        <w:t> </w:t>
      </w:r>
      <w:r>
        <w:rPr>
          <w:sz w:val="13"/>
        </w:rPr>
        <w:t>1006.</w:t>
      </w:r>
    </w:p>
    <w:p>
      <w:pPr>
        <w:pStyle w:val="ListParagraph"/>
        <w:numPr>
          <w:ilvl w:val="0"/>
          <w:numId w:val="34"/>
        </w:numPr>
        <w:tabs>
          <w:tab w:pos="1761" w:val="left" w:leader="none"/>
          <w:tab w:pos="1762" w:val="left" w:leader="none"/>
        </w:tabs>
        <w:spacing w:line="160" w:lineRule="exact" w:before="0" w:after="0"/>
        <w:ind w:left="1761" w:right="0" w:hanging="794"/>
        <w:jc w:val="left"/>
        <w:rPr>
          <w:sz w:val="13"/>
        </w:rPr>
      </w:pPr>
      <w:r>
        <w:rPr>
          <w:sz w:val="13"/>
        </w:rPr>
        <w:t>Jacqueline Horan, </w:t>
      </w:r>
      <w:r>
        <w:rPr>
          <w:i/>
          <w:sz w:val="13"/>
        </w:rPr>
        <w:t>Juries in the 21st Century </w:t>
      </w:r>
      <w:r>
        <w:rPr>
          <w:spacing w:val="2"/>
          <w:sz w:val="13"/>
        </w:rPr>
        <w:t>(The </w:t>
      </w:r>
      <w:r>
        <w:rPr>
          <w:sz w:val="13"/>
        </w:rPr>
        <w:t>Federation Press, 2012)</w:t>
      </w:r>
      <w:r>
        <w:rPr>
          <w:spacing w:val="5"/>
          <w:sz w:val="13"/>
        </w:rPr>
        <w:t> </w:t>
      </w:r>
      <w:r>
        <w:rPr>
          <w:spacing w:val="3"/>
          <w:sz w:val="13"/>
        </w:rPr>
        <w:t>13.</w:t>
      </w:r>
    </w:p>
    <w:p>
      <w:pPr>
        <w:pStyle w:val="ListParagraph"/>
        <w:numPr>
          <w:ilvl w:val="0"/>
          <w:numId w:val="34"/>
        </w:numPr>
        <w:tabs>
          <w:tab w:pos="1761" w:val="left" w:leader="none"/>
          <w:tab w:pos="1762" w:val="left" w:leader="none"/>
        </w:tabs>
        <w:spacing w:line="213" w:lineRule="auto" w:before="0" w:after="0"/>
        <w:ind w:left="1761" w:right="1314" w:hanging="794"/>
        <w:jc w:val="left"/>
        <w:rPr>
          <w:sz w:val="13"/>
        </w:rPr>
      </w:pPr>
      <w:r>
        <w:rPr>
          <w:sz w:val="13"/>
        </w:rPr>
        <w:t>Law Reform Committee, Parliament of Victoria, </w:t>
      </w:r>
      <w:r>
        <w:rPr>
          <w:i/>
          <w:spacing w:val="2"/>
          <w:sz w:val="13"/>
        </w:rPr>
        <w:t>Jury Service </w:t>
      </w:r>
      <w:r>
        <w:rPr>
          <w:i/>
          <w:sz w:val="13"/>
        </w:rPr>
        <w:t>in Victoria </w:t>
      </w:r>
      <w:r>
        <w:rPr>
          <w:sz w:val="13"/>
        </w:rPr>
        <w:t>(Final </w:t>
      </w:r>
      <w:r>
        <w:rPr>
          <w:spacing w:val="2"/>
          <w:sz w:val="13"/>
        </w:rPr>
        <w:t>Report, December </w:t>
      </w:r>
      <w:r>
        <w:rPr>
          <w:sz w:val="13"/>
        </w:rPr>
        <w:t>1997) vol 3 [1.73], citing HV Evatt, ‘The </w:t>
      </w:r>
      <w:r>
        <w:rPr>
          <w:spacing w:val="2"/>
          <w:sz w:val="13"/>
        </w:rPr>
        <w:t>Jury </w:t>
      </w:r>
      <w:r>
        <w:rPr>
          <w:sz w:val="13"/>
        </w:rPr>
        <w:t>System in Australia’ (1936) 10 </w:t>
      </w:r>
      <w:r>
        <w:rPr>
          <w:i/>
          <w:sz w:val="13"/>
        </w:rPr>
        <w:t>Australian Law Journal Supplement </w:t>
      </w:r>
      <w:r>
        <w:rPr>
          <w:spacing w:val="2"/>
          <w:sz w:val="13"/>
        </w:rPr>
        <w:t>49,</w:t>
      </w:r>
      <w:r>
        <w:rPr>
          <w:spacing w:val="8"/>
          <w:sz w:val="13"/>
        </w:rPr>
        <w:t> </w:t>
      </w:r>
      <w:r>
        <w:rPr>
          <w:spacing w:val="3"/>
          <w:sz w:val="13"/>
        </w:rPr>
        <w:t>52.</w:t>
      </w:r>
    </w:p>
    <w:p>
      <w:pPr>
        <w:pStyle w:val="ListParagraph"/>
        <w:numPr>
          <w:ilvl w:val="0"/>
          <w:numId w:val="34"/>
        </w:numPr>
        <w:tabs>
          <w:tab w:pos="1760" w:val="left" w:leader="none"/>
          <w:tab w:pos="1762" w:val="left" w:leader="none"/>
        </w:tabs>
        <w:spacing w:line="213" w:lineRule="auto" w:before="0" w:after="0"/>
        <w:ind w:left="1761" w:right="1242" w:hanging="794"/>
        <w:jc w:val="left"/>
        <w:rPr>
          <w:sz w:val="13"/>
        </w:rPr>
      </w:pPr>
      <w:r>
        <w:rPr>
          <w:sz w:val="13"/>
        </w:rPr>
        <w:t>Elise Histed, ‘The Introduction and Use of the </w:t>
      </w:r>
      <w:r>
        <w:rPr>
          <w:spacing w:val="2"/>
          <w:sz w:val="13"/>
        </w:rPr>
        <w:t>Grand Jury </w:t>
      </w:r>
      <w:r>
        <w:rPr>
          <w:sz w:val="13"/>
        </w:rPr>
        <w:t>in Victoria’ (1987) </w:t>
      </w:r>
      <w:r>
        <w:rPr>
          <w:spacing w:val="2"/>
          <w:sz w:val="13"/>
        </w:rPr>
        <w:t>8(2) </w:t>
      </w:r>
      <w:r>
        <w:rPr>
          <w:i/>
          <w:sz w:val="13"/>
        </w:rPr>
        <w:t>The Journal of Legal History </w:t>
      </w:r>
      <w:r>
        <w:rPr>
          <w:sz w:val="13"/>
        </w:rPr>
        <w:t>167, 167. The English  </w:t>
      </w:r>
      <w:r>
        <w:rPr>
          <w:spacing w:val="2"/>
          <w:sz w:val="13"/>
        </w:rPr>
        <w:t>jury </w:t>
      </w:r>
      <w:r>
        <w:rPr>
          <w:sz w:val="13"/>
        </w:rPr>
        <w:t>system was first used in Australia in 1789. A special </w:t>
      </w:r>
      <w:r>
        <w:rPr>
          <w:spacing w:val="2"/>
          <w:sz w:val="13"/>
        </w:rPr>
        <w:t>jury </w:t>
      </w:r>
      <w:r>
        <w:rPr>
          <w:sz w:val="13"/>
        </w:rPr>
        <w:t>of matrons was used in the case of Ann(e) Davis who </w:t>
      </w:r>
      <w:r>
        <w:rPr>
          <w:spacing w:val="2"/>
          <w:sz w:val="13"/>
        </w:rPr>
        <w:t>claimed </w:t>
      </w:r>
      <w:r>
        <w:rPr>
          <w:sz w:val="13"/>
        </w:rPr>
        <w:t>to be pregnant and sought to avoid a potential death sentence for </w:t>
      </w:r>
      <w:r>
        <w:rPr>
          <w:spacing w:val="2"/>
          <w:sz w:val="13"/>
        </w:rPr>
        <w:t>theft: </w:t>
      </w:r>
      <w:r>
        <w:rPr>
          <w:sz w:val="13"/>
        </w:rPr>
        <w:t>Law Reform Committee, Parliament of Victoria, </w:t>
      </w:r>
      <w:r>
        <w:rPr>
          <w:i/>
          <w:spacing w:val="2"/>
          <w:sz w:val="13"/>
        </w:rPr>
        <w:t>Jury Service </w:t>
      </w:r>
      <w:r>
        <w:rPr>
          <w:i/>
          <w:sz w:val="13"/>
        </w:rPr>
        <w:t>in </w:t>
      </w:r>
      <w:r>
        <w:rPr>
          <w:i/>
          <w:sz w:val="13"/>
        </w:rPr>
        <w:t>Victoria </w:t>
      </w:r>
      <w:r>
        <w:rPr>
          <w:sz w:val="13"/>
        </w:rPr>
        <w:t>(Final </w:t>
      </w:r>
      <w:r>
        <w:rPr>
          <w:spacing w:val="2"/>
          <w:sz w:val="13"/>
        </w:rPr>
        <w:t>Report, December </w:t>
      </w:r>
      <w:r>
        <w:rPr>
          <w:sz w:val="13"/>
        </w:rPr>
        <w:t>1997) vol 3 [174], citing AC </w:t>
      </w:r>
      <w:r>
        <w:rPr>
          <w:spacing w:val="2"/>
          <w:sz w:val="13"/>
        </w:rPr>
        <w:t>Castles, </w:t>
      </w:r>
      <w:r>
        <w:rPr>
          <w:sz w:val="13"/>
        </w:rPr>
        <w:t>‘The Unmarked Bicentennial of </w:t>
      </w:r>
      <w:r>
        <w:rPr>
          <w:spacing w:val="2"/>
          <w:sz w:val="13"/>
        </w:rPr>
        <w:t>Jury </w:t>
      </w:r>
      <w:r>
        <w:rPr>
          <w:sz w:val="13"/>
        </w:rPr>
        <w:t>Usage in Australia and Some </w:t>
      </w:r>
      <w:r>
        <w:rPr>
          <w:spacing w:val="2"/>
          <w:sz w:val="13"/>
        </w:rPr>
        <w:t>Consequences </w:t>
      </w:r>
      <w:r>
        <w:rPr>
          <w:sz w:val="13"/>
        </w:rPr>
        <w:t>of </w:t>
      </w:r>
      <w:r>
        <w:rPr>
          <w:spacing w:val="2"/>
          <w:sz w:val="13"/>
        </w:rPr>
        <w:t>Its </w:t>
      </w:r>
      <w:r>
        <w:rPr>
          <w:sz w:val="13"/>
        </w:rPr>
        <w:t>Decline’ (1990) 64 </w:t>
      </w:r>
      <w:r>
        <w:rPr>
          <w:i/>
          <w:sz w:val="13"/>
        </w:rPr>
        <w:t>Australian Law Journal </w:t>
      </w:r>
      <w:r>
        <w:rPr>
          <w:spacing w:val="2"/>
          <w:sz w:val="13"/>
        </w:rPr>
        <w:t>509, </w:t>
      </w:r>
      <w:r>
        <w:rPr>
          <w:sz w:val="13"/>
        </w:rPr>
        <w:t>506. In 1823 the </w:t>
      </w:r>
      <w:r>
        <w:rPr>
          <w:i/>
          <w:sz w:val="13"/>
        </w:rPr>
        <w:t>New South Wales Act 1823 </w:t>
      </w:r>
      <w:r>
        <w:rPr>
          <w:sz w:val="13"/>
        </w:rPr>
        <w:t>(UK), 4 </w:t>
      </w:r>
      <w:r>
        <w:rPr>
          <w:spacing w:val="2"/>
          <w:sz w:val="13"/>
        </w:rPr>
        <w:t>Geo   </w:t>
      </w:r>
      <w:r>
        <w:rPr>
          <w:sz w:val="13"/>
        </w:rPr>
        <w:t>IV, c </w:t>
      </w:r>
      <w:r>
        <w:rPr>
          <w:spacing w:val="2"/>
          <w:sz w:val="13"/>
        </w:rPr>
        <w:t>96 </w:t>
      </w:r>
      <w:r>
        <w:rPr>
          <w:sz w:val="13"/>
        </w:rPr>
        <w:t>was enacted by the English </w:t>
      </w:r>
      <w:r>
        <w:rPr>
          <w:spacing w:val="2"/>
          <w:sz w:val="13"/>
        </w:rPr>
        <w:t>Parliament. </w:t>
      </w:r>
      <w:r>
        <w:rPr>
          <w:sz w:val="13"/>
        </w:rPr>
        <w:t>It provided for a ‘ judge and </w:t>
      </w:r>
      <w:r>
        <w:rPr>
          <w:spacing w:val="2"/>
          <w:sz w:val="13"/>
        </w:rPr>
        <w:t>jury </w:t>
      </w:r>
      <w:r>
        <w:rPr>
          <w:sz w:val="13"/>
        </w:rPr>
        <w:t>of seven </w:t>
      </w:r>
      <w:r>
        <w:rPr>
          <w:spacing w:val="2"/>
          <w:sz w:val="13"/>
        </w:rPr>
        <w:t>commissioned </w:t>
      </w:r>
      <w:r>
        <w:rPr>
          <w:sz w:val="13"/>
        </w:rPr>
        <w:t>officers, nominated by  the Governor, to </w:t>
      </w:r>
      <w:r>
        <w:rPr>
          <w:spacing w:val="2"/>
          <w:sz w:val="13"/>
        </w:rPr>
        <w:t>try </w:t>
      </w:r>
      <w:r>
        <w:rPr>
          <w:sz w:val="13"/>
        </w:rPr>
        <w:t>criminal issues before the Supreme </w:t>
      </w:r>
      <w:r>
        <w:rPr>
          <w:spacing w:val="2"/>
          <w:sz w:val="13"/>
        </w:rPr>
        <w:t>Court: </w:t>
      </w:r>
      <w:r>
        <w:rPr>
          <w:sz w:val="13"/>
        </w:rPr>
        <w:t>see Law Reform Committee, Parliament of Victoria, </w:t>
      </w:r>
      <w:r>
        <w:rPr>
          <w:i/>
          <w:spacing w:val="2"/>
          <w:sz w:val="13"/>
        </w:rPr>
        <w:t>Jury Service </w:t>
      </w:r>
      <w:r>
        <w:rPr>
          <w:i/>
          <w:sz w:val="13"/>
        </w:rPr>
        <w:t>in </w:t>
      </w:r>
      <w:r>
        <w:rPr>
          <w:i/>
          <w:sz w:val="13"/>
        </w:rPr>
        <w:t>Victoria </w:t>
      </w:r>
      <w:r>
        <w:rPr>
          <w:sz w:val="13"/>
        </w:rPr>
        <w:t>(Final </w:t>
      </w:r>
      <w:r>
        <w:rPr>
          <w:spacing w:val="2"/>
          <w:sz w:val="13"/>
        </w:rPr>
        <w:t>Report, December </w:t>
      </w:r>
      <w:r>
        <w:rPr>
          <w:sz w:val="13"/>
        </w:rPr>
        <w:t>1997] vol 3</w:t>
      </w:r>
      <w:r>
        <w:rPr>
          <w:spacing w:val="-3"/>
          <w:sz w:val="13"/>
        </w:rPr>
        <w:t> </w:t>
      </w:r>
      <w:r>
        <w:rPr>
          <w:spacing w:val="2"/>
          <w:sz w:val="13"/>
        </w:rPr>
        <w:t>[1.82].</w:t>
      </w:r>
    </w:p>
    <w:p>
      <w:pPr>
        <w:pStyle w:val="ListParagraph"/>
        <w:numPr>
          <w:ilvl w:val="0"/>
          <w:numId w:val="34"/>
        </w:numPr>
        <w:tabs>
          <w:tab w:pos="1760" w:val="left" w:leader="none"/>
          <w:tab w:pos="1762" w:val="left" w:leader="none"/>
        </w:tabs>
        <w:spacing w:line="149" w:lineRule="exact" w:before="0" w:after="0"/>
        <w:ind w:left="1761" w:right="0" w:hanging="794"/>
        <w:jc w:val="left"/>
        <w:rPr>
          <w:sz w:val="13"/>
        </w:rPr>
      </w:pPr>
      <w:r>
        <w:rPr>
          <w:sz w:val="13"/>
        </w:rPr>
        <w:t>Law Reform Committee, Parliament of Victoria, </w:t>
      </w:r>
      <w:r>
        <w:rPr>
          <w:i/>
          <w:spacing w:val="2"/>
          <w:sz w:val="13"/>
        </w:rPr>
        <w:t>Jury Service </w:t>
      </w:r>
      <w:r>
        <w:rPr>
          <w:i/>
          <w:sz w:val="13"/>
        </w:rPr>
        <w:t>in Victoria </w:t>
      </w:r>
      <w:r>
        <w:rPr>
          <w:sz w:val="13"/>
        </w:rPr>
        <w:t>(Final </w:t>
      </w:r>
      <w:r>
        <w:rPr>
          <w:spacing w:val="2"/>
          <w:sz w:val="13"/>
        </w:rPr>
        <w:t>Report, December </w:t>
      </w:r>
      <w:r>
        <w:rPr>
          <w:sz w:val="13"/>
        </w:rPr>
        <w:t>1997) vol 3</w:t>
      </w:r>
      <w:r>
        <w:rPr>
          <w:spacing w:val="10"/>
          <w:sz w:val="13"/>
        </w:rPr>
        <w:t> </w:t>
      </w:r>
      <w:r>
        <w:rPr>
          <w:sz w:val="13"/>
        </w:rPr>
        <w:t>[1.76].</w:t>
      </w:r>
    </w:p>
    <w:p>
      <w:pPr>
        <w:pStyle w:val="ListParagraph"/>
        <w:numPr>
          <w:ilvl w:val="0"/>
          <w:numId w:val="34"/>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34"/>
        </w:numPr>
        <w:tabs>
          <w:tab w:pos="1760" w:val="left" w:leader="none"/>
          <w:tab w:pos="1762" w:val="left" w:leader="none"/>
        </w:tabs>
        <w:spacing w:line="213" w:lineRule="auto" w:before="5" w:after="0"/>
        <w:ind w:left="1761" w:right="1552" w:hanging="794"/>
        <w:jc w:val="left"/>
        <w:rPr>
          <w:sz w:val="13"/>
        </w:rPr>
      </w:pPr>
      <w:r>
        <w:rPr/>
        <w:pict>
          <v:shape style="position:absolute;margin-left:549.238403pt;margin-top:3.64599pt;width:12.8pt;height:14.1pt;mso-position-horizontal-relative:page;mso-position-vertical-relative:paragraph;z-index:4048" type="#_x0000_t202" filled="false" stroked="false">
            <v:textbox inset="0,0,0,0">
              <w:txbxContent>
                <w:p>
                  <w:pPr>
                    <w:spacing w:line="282" w:lineRule="exact" w:before="0"/>
                    <w:ind w:left="0" w:right="0" w:firstLine="0"/>
                    <w:jc w:val="left"/>
                    <w:rPr>
                      <w:b/>
                      <w:sz w:val="24"/>
                    </w:rPr>
                  </w:pPr>
                  <w:r>
                    <w:rPr>
                      <w:b/>
                      <w:color w:val="37617A"/>
                      <w:sz w:val="24"/>
                    </w:rPr>
                    <w:t>31</w:t>
                  </w:r>
                </w:p>
              </w:txbxContent>
            </v:textbox>
            <w10:wrap type="none"/>
          </v:shape>
        </w:pict>
      </w:r>
      <w:r>
        <w:rPr>
          <w:sz w:val="13"/>
        </w:rPr>
        <w:t>Ibid vol 3 </w:t>
      </w:r>
      <w:r>
        <w:rPr>
          <w:spacing w:val="2"/>
          <w:sz w:val="13"/>
        </w:rPr>
        <w:t>[1.80] </w:t>
      </w:r>
      <w:r>
        <w:rPr>
          <w:sz w:val="13"/>
        </w:rPr>
        <w:t>referring to a Royal </w:t>
      </w:r>
      <w:r>
        <w:rPr>
          <w:spacing w:val="2"/>
          <w:sz w:val="13"/>
        </w:rPr>
        <w:t>Commission </w:t>
      </w:r>
      <w:r>
        <w:rPr>
          <w:sz w:val="13"/>
        </w:rPr>
        <w:t>report conducted by John Thomas </w:t>
      </w:r>
      <w:r>
        <w:rPr>
          <w:spacing w:val="2"/>
          <w:sz w:val="13"/>
        </w:rPr>
        <w:t>Bigge </w:t>
      </w:r>
      <w:r>
        <w:rPr>
          <w:sz w:val="13"/>
        </w:rPr>
        <w:t>in 1823. See </w:t>
      </w:r>
      <w:r>
        <w:rPr>
          <w:spacing w:val="2"/>
          <w:sz w:val="13"/>
        </w:rPr>
        <w:t>also </w:t>
      </w:r>
      <w:r>
        <w:rPr>
          <w:sz w:val="13"/>
        </w:rPr>
        <w:t>JM </w:t>
      </w:r>
      <w:r>
        <w:rPr>
          <w:spacing w:val="2"/>
          <w:sz w:val="13"/>
        </w:rPr>
        <w:t>Bennett, </w:t>
      </w:r>
      <w:r>
        <w:rPr>
          <w:sz w:val="13"/>
        </w:rPr>
        <w:t>‘The </w:t>
      </w:r>
      <w:r>
        <w:rPr>
          <w:spacing w:val="2"/>
          <w:sz w:val="13"/>
        </w:rPr>
        <w:t>Establishment </w:t>
      </w:r>
      <w:r>
        <w:rPr>
          <w:sz w:val="13"/>
        </w:rPr>
        <w:t>of </w:t>
      </w:r>
      <w:r>
        <w:rPr>
          <w:spacing w:val="2"/>
          <w:sz w:val="13"/>
        </w:rPr>
        <w:t>Jury </w:t>
      </w:r>
      <w:r>
        <w:rPr>
          <w:sz w:val="13"/>
        </w:rPr>
        <w:t>Trial in New South Wales’ </w:t>
      </w:r>
      <w:r>
        <w:rPr>
          <w:spacing w:val="2"/>
          <w:sz w:val="13"/>
        </w:rPr>
        <w:t>(1961) 3(3) </w:t>
      </w:r>
      <w:r>
        <w:rPr>
          <w:i/>
          <w:sz w:val="13"/>
        </w:rPr>
        <w:t>Sydney Law Review </w:t>
      </w:r>
      <w:r>
        <w:rPr>
          <w:sz w:val="13"/>
        </w:rPr>
        <w:t>463,</w:t>
      </w:r>
      <w:r>
        <w:rPr>
          <w:spacing w:val="-2"/>
          <w:sz w:val="13"/>
        </w:rPr>
        <w:t> </w:t>
      </w:r>
      <w:r>
        <w:rPr>
          <w:sz w:val="13"/>
        </w:rPr>
        <w:t>467.</w:t>
      </w:r>
    </w:p>
    <w:p>
      <w:pPr>
        <w:spacing w:after="0" w:line="213" w:lineRule="auto"/>
        <w:jc w:val="left"/>
        <w:rPr>
          <w:sz w:val="13"/>
        </w:rPr>
        <w:sectPr>
          <w:headerReference w:type="default" r:id="rId80"/>
          <w:headerReference w:type="even" r:id="rId81"/>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286" w:hanging="794"/>
        <w:jc w:val="left"/>
        <w:rPr>
          <w:sz w:val="20"/>
        </w:rPr>
      </w:pPr>
      <w:bookmarkStart w:name="Eligibility to serve on a Victorian jury" w:id="76"/>
      <w:bookmarkEnd w:id="76"/>
      <w:r>
        <w:rPr/>
      </w:r>
      <w:bookmarkStart w:name="_bookmark29" w:id="77"/>
      <w:bookmarkEnd w:id="77"/>
      <w:r>
        <w:rPr/>
      </w:r>
      <w:bookmarkStart w:name="_bookmark29" w:id="78"/>
      <w:bookmarkEnd w:id="78"/>
      <w:r>
        <w:rPr>
          <w:sz w:val="20"/>
        </w:rPr>
        <w:t>I</w:t>
      </w:r>
      <w:r>
        <w:rPr>
          <w:sz w:val="20"/>
        </w:rPr>
        <w:t>n</w:t>
      </w:r>
      <w:r>
        <w:rPr>
          <w:spacing w:val="-9"/>
          <w:sz w:val="20"/>
        </w:rPr>
        <w:t> </w:t>
      </w:r>
      <w:r>
        <w:rPr>
          <w:spacing w:val="-3"/>
          <w:sz w:val="20"/>
        </w:rPr>
        <w:t>1832,</w:t>
      </w:r>
      <w:r>
        <w:rPr>
          <w:spacing w:val="-9"/>
          <w:sz w:val="20"/>
        </w:rPr>
        <w:t> </w:t>
      </w:r>
      <w:r>
        <w:rPr>
          <w:sz w:val="20"/>
        </w:rPr>
        <w:t>an</w:t>
      </w:r>
      <w:r>
        <w:rPr>
          <w:spacing w:val="-8"/>
          <w:sz w:val="20"/>
        </w:rPr>
        <w:t> </w:t>
      </w:r>
      <w:r>
        <w:rPr>
          <w:spacing w:val="-2"/>
          <w:sz w:val="20"/>
        </w:rPr>
        <w:t>Act</w:t>
      </w:r>
      <w:r>
        <w:rPr>
          <w:spacing w:val="-9"/>
          <w:sz w:val="20"/>
        </w:rPr>
        <w:t> </w:t>
      </w:r>
      <w:r>
        <w:rPr>
          <w:sz w:val="20"/>
        </w:rPr>
        <w:t>was</w:t>
      </w:r>
      <w:r>
        <w:rPr>
          <w:spacing w:val="-9"/>
          <w:sz w:val="20"/>
        </w:rPr>
        <w:t> </w:t>
      </w:r>
      <w:r>
        <w:rPr>
          <w:sz w:val="20"/>
        </w:rPr>
        <w:t>passed</w:t>
      </w:r>
      <w:r>
        <w:rPr>
          <w:spacing w:val="-8"/>
          <w:sz w:val="20"/>
        </w:rPr>
        <w:t> </w:t>
      </w:r>
      <w:r>
        <w:rPr>
          <w:spacing w:val="-3"/>
          <w:sz w:val="20"/>
        </w:rPr>
        <w:t>by</w:t>
      </w:r>
      <w:r>
        <w:rPr>
          <w:spacing w:val="-9"/>
          <w:sz w:val="20"/>
        </w:rPr>
        <w:t> </w:t>
      </w:r>
      <w:r>
        <w:rPr>
          <w:sz w:val="20"/>
        </w:rPr>
        <w:t>the</w:t>
      </w:r>
      <w:r>
        <w:rPr>
          <w:spacing w:val="-8"/>
          <w:sz w:val="20"/>
        </w:rPr>
        <w:t> </w:t>
      </w:r>
      <w:r>
        <w:rPr>
          <w:sz w:val="20"/>
        </w:rPr>
        <w:t>Legislative</w:t>
      </w:r>
      <w:r>
        <w:rPr>
          <w:spacing w:val="-9"/>
          <w:sz w:val="20"/>
        </w:rPr>
        <w:t> </w:t>
      </w:r>
      <w:r>
        <w:rPr>
          <w:sz w:val="20"/>
        </w:rPr>
        <w:t>Council</w:t>
      </w:r>
      <w:r>
        <w:rPr>
          <w:spacing w:val="-9"/>
          <w:sz w:val="20"/>
        </w:rPr>
        <w:t> </w:t>
      </w:r>
      <w:r>
        <w:rPr>
          <w:sz w:val="20"/>
        </w:rPr>
        <w:t>of</w:t>
      </w:r>
      <w:r>
        <w:rPr>
          <w:spacing w:val="-8"/>
          <w:sz w:val="20"/>
        </w:rPr>
        <w:t> </w:t>
      </w:r>
      <w:r>
        <w:rPr>
          <w:sz w:val="20"/>
        </w:rPr>
        <w:t>New</w:t>
      </w:r>
      <w:r>
        <w:rPr>
          <w:spacing w:val="-9"/>
          <w:sz w:val="20"/>
        </w:rPr>
        <w:t> </w:t>
      </w:r>
      <w:r>
        <w:rPr>
          <w:sz w:val="20"/>
        </w:rPr>
        <w:t>South</w:t>
      </w:r>
      <w:r>
        <w:rPr>
          <w:spacing w:val="-9"/>
          <w:sz w:val="20"/>
        </w:rPr>
        <w:t> </w:t>
      </w:r>
      <w:r>
        <w:rPr>
          <w:spacing w:val="-4"/>
          <w:sz w:val="20"/>
        </w:rPr>
        <w:t>Wales</w:t>
      </w:r>
      <w:r>
        <w:rPr>
          <w:spacing w:val="-8"/>
          <w:sz w:val="20"/>
        </w:rPr>
        <w:t> </w:t>
      </w:r>
      <w:r>
        <w:rPr>
          <w:sz w:val="20"/>
        </w:rPr>
        <w:t>prescribing that</w:t>
      </w:r>
      <w:r>
        <w:rPr>
          <w:spacing w:val="-7"/>
          <w:sz w:val="20"/>
        </w:rPr>
        <w:t> </w:t>
      </w:r>
      <w:r>
        <w:rPr>
          <w:sz w:val="20"/>
        </w:rPr>
        <w:t>trials</w:t>
      </w:r>
      <w:r>
        <w:rPr>
          <w:spacing w:val="-6"/>
          <w:sz w:val="20"/>
        </w:rPr>
        <w:t> </w:t>
      </w:r>
      <w:r>
        <w:rPr>
          <w:sz w:val="20"/>
        </w:rPr>
        <w:t>of</w:t>
      </w:r>
      <w:r>
        <w:rPr>
          <w:spacing w:val="-6"/>
          <w:sz w:val="20"/>
        </w:rPr>
        <w:t> </w:t>
      </w:r>
      <w:r>
        <w:rPr>
          <w:sz w:val="20"/>
        </w:rPr>
        <w:t>all</w:t>
      </w:r>
      <w:r>
        <w:rPr>
          <w:spacing w:val="-6"/>
          <w:sz w:val="20"/>
        </w:rPr>
        <w:t> </w:t>
      </w:r>
      <w:r>
        <w:rPr>
          <w:sz w:val="20"/>
        </w:rPr>
        <w:t>civil</w:t>
      </w:r>
      <w:r>
        <w:rPr>
          <w:spacing w:val="-6"/>
          <w:sz w:val="20"/>
        </w:rPr>
        <w:t> </w:t>
      </w:r>
      <w:r>
        <w:rPr>
          <w:sz w:val="20"/>
        </w:rPr>
        <w:t>matters</w:t>
      </w:r>
      <w:r>
        <w:rPr>
          <w:spacing w:val="-6"/>
          <w:sz w:val="20"/>
        </w:rPr>
        <w:t> </w:t>
      </w:r>
      <w:r>
        <w:rPr>
          <w:spacing w:val="-4"/>
          <w:sz w:val="20"/>
        </w:rPr>
        <w:t>were</w:t>
      </w:r>
      <w:r>
        <w:rPr>
          <w:spacing w:val="-6"/>
          <w:sz w:val="20"/>
        </w:rPr>
        <w:t> </w:t>
      </w:r>
      <w:r>
        <w:rPr>
          <w:sz w:val="20"/>
        </w:rPr>
        <w:t>to</w:t>
      </w:r>
      <w:r>
        <w:rPr>
          <w:spacing w:val="-6"/>
          <w:sz w:val="20"/>
        </w:rPr>
        <w:t> </w:t>
      </w:r>
      <w:r>
        <w:rPr>
          <w:sz w:val="20"/>
        </w:rPr>
        <w:t>be</w:t>
      </w:r>
      <w:r>
        <w:rPr>
          <w:spacing w:val="-6"/>
          <w:sz w:val="20"/>
        </w:rPr>
        <w:t> </w:t>
      </w:r>
      <w:r>
        <w:rPr>
          <w:sz w:val="20"/>
        </w:rPr>
        <w:t>heard</w:t>
      </w:r>
      <w:r>
        <w:rPr>
          <w:spacing w:val="-6"/>
          <w:sz w:val="20"/>
        </w:rPr>
        <w:t> </w:t>
      </w:r>
      <w:r>
        <w:rPr>
          <w:spacing w:val="-3"/>
          <w:sz w:val="20"/>
        </w:rPr>
        <w:t>before</w:t>
      </w:r>
      <w:r>
        <w:rPr>
          <w:spacing w:val="-7"/>
          <w:sz w:val="20"/>
        </w:rPr>
        <w:t> </w:t>
      </w:r>
      <w:r>
        <w:rPr>
          <w:sz w:val="20"/>
        </w:rPr>
        <w:t>a</w:t>
      </w:r>
      <w:r>
        <w:rPr>
          <w:spacing w:val="-6"/>
          <w:sz w:val="20"/>
        </w:rPr>
        <w:t> </w:t>
      </w:r>
      <w:r>
        <w:rPr>
          <w:sz w:val="20"/>
        </w:rPr>
        <w:t>jury</w:t>
      </w:r>
      <w:r>
        <w:rPr>
          <w:spacing w:val="-6"/>
          <w:sz w:val="20"/>
        </w:rPr>
        <w:t> </w:t>
      </w:r>
      <w:r>
        <w:rPr>
          <w:sz w:val="20"/>
        </w:rPr>
        <w:t>of</w:t>
      </w:r>
      <w:r>
        <w:rPr>
          <w:spacing w:val="-6"/>
          <w:sz w:val="20"/>
        </w:rPr>
        <w:t> </w:t>
      </w:r>
      <w:r>
        <w:rPr>
          <w:sz w:val="20"/>
        </w:rPr>
        <w:t>12.</w:t>
      </w:r>
      <w:r>
        <w:rPr>
          <w:position w:val="7"/>
          <w:sz w:val="11"/>
        </w:rPr>
        <w:t>18</w:t>
      </w:r>
      <w:r>
        <w:rPr>
          <w:spacing w:val="19"/>
          <w:position w:val="7"/>
          <w:sz w:val="11"/>
        </w:rPr>
        <w:t> </w:t>
      </w:r>
      <w:r>
        <w:rPr>
          <w:sz w:val="20"/>
        </w:rPr>
        <w:t>The</w:t>
      </w:r>
      <w:r>
        <w:rPr>
          <w:spacing w:val="-6"/>
          <w:sz w:val="20"/>
        </w:rPr>
        <w:t> </w:t>
      </w:r>
      <w:r>
        <w:rPr>
          <w:spacing w:val="-2"/>
          <w:sz w:val="20"/>
        </w:rPr>
        <w:t>Act</w:t>
      </w:r>
      <w:r>
        <w:rPr>
          <w:spacing w:val="-6"/>
          <w:sz w:val="20"/>
        </w:rPr>
        <w:t> </w:t>
      </w:r>
      <w:r>
        <w:rPr>
          <w:sz w:val="20"/>
        </w:rPr>
        <w:t>also</w:t>
      </w:r>
      <w:r>
        <w:rPr>
          <w:spacing w:val="-6"/>
          <w:sz w:val="20"/>
        </w:rPr>
        <w:t> </w:t>
      </w:r>
      <w:r>
        <w:rPr>
          <w:spacing w:val="-3"/>
          <w:sz w:val="20"/>
        </w:rPr>
        <w:t>allowed </w:t>
      </w:r>
      <w:r>
        <w:rPr>
          <w:sz w:val="20"/>
        </w:rPr>
        <w:t>for limited use of trial </w:t>
      </w:r>
      <w:r>
        <w:rPr>
          <w:spacing w:val="-3"/>
          <w:sz w:val="20"/>
        </w:rPr>
        <w:t>by </w:t>
      </w:r>
      <w:r>
        <w:rPr>
          <w:sz w:val="20"/>
        </w:rPr>
        <w:t>jury for criminal trials, essentially to address concerns about impartiality</w:t>
      </w:r>
      <w:r>
        <w:rPr>
          <w:spacing w:val="-8"/>
          <w:sz w:val="20"/>
        </w:rPr>
        <w:t> </w:t>
      </w:r>
      <w:r>
        <w:rPr>
          <w:sz w:val="20"/>
        </w:rPr>
        <w:t>of</w:t>
      </w:r>
      <w:r>
        <w:rPr>
          <w:spacing w:val="-8"/>
          <w:sz w:val="20"/>
        </w:rPr>
        <w:t> </w:t>
      </w:r>
      <w:r>
        <w:rPr>
          <w:sz w:val="20"/>
        </w:rPr>
        <w:t>colonial</w:t>
      </w:r>
      <w:r>
        <w:rPr>
          <w:spacing w:val="-8"/>
          <w:sz w:val="20"/>
        </w:rPr>
        <w:t> </w:t>
      </w:r>
      <w:r>
        <w:rPr>
          <w:sz w:val="20"/>
        </w:rPr>
        <w:t>officials</w:t>
      </w:r>
      <w:r>
        <w:rPr>
          <w:spacing w:val="-8"/>
          <w:sz w:val="20"/>
        </w:rPr>
        <w:t> </w:t>
      </w:r>
      <w:r>
        <w:rPr>
          <w:sz w:val="20"/>
        </w:rPr>
        <w:t>or</w:t>
      </w:r>
      <w:r>
        <w:rPr>
          <w:spacing w:val="-8"/>
          <w:sz w:val="20"/>
        </w:rPr>
        <w:t> </w:t>
      </w:r>
      <w:r>
        <w:rPr>
          <w:sz w:val="20"/>
        </w:rPr>
        <w:t>officers.</w:t>
      </w:r>
      <w:r>
        <w:rPr>
          <w:position w:val="7"/>
          <w:sz w:val="11"/>
        </w:rPr>
        <w:t>19</w:t>
      </w:r>
      <w:r>
        <w:rPr>
          <w:spacing w:val="18"/>
          <w:position w:val="7"/>
          <w:sz w:val="11"/>
        </w:rPr>
        <w:t> </w:t>
      </w:r>
      <w:r>
        <w:rPr>
          <w:sz w:val="20"/>
        </w:rPr>
        <w:t>Those</w:t>
      </w:r>
      <w:r>
        <w:rPr>
          <w:spacing w:val="-8"/>
          <w:sz w:val="20"/>
        </w:rPr>
        <w:t> </w:t>
      </w:r>
      <w:r>
        <w:rPr>
          <w:spacing w:val="-3"/>
          <w:sz w:val="20"/>
        </w:rPr>
        <w:t>‘competent’</w:t>
      </w:r>
      <w:r>
        <w:rPr>
          <w:spacing w:val="-8"/>
          <w:sz w:val="20"/>
        </w:rPr>
        <w:t> </w:t>
      </w:r>
      <w:r>
        <w:rPr>
          <w:sz w:val="20"/>
        </w:rPr>
        <w:t>for</w:t>
      </w:r>
      <w:r>
        <w:rPr>
          <w:spacing w:val="-8"/>
          <w:sz w:val="20"/>
        </w:rPr>
        <w:t> </w:t>
      </w:r>
      <w:r>
        <w:rPr>
          <w:sz w:val="20"/>
        </w:rPr>
        <w:t>jury</w:t>
      </w:r>
      <w:r>
        <w:rPr>
          <w:spacing w:val="-8"/>
          <w:sz w:val="20"/>
        </w:rPr>
        <w:t> </w:t>
      </w:r>
      <w:r>
        <w:rPr>
          <w:sz w:val="20"/>
        </w:rPr>
        <w:t>duty</w:t>
      </w:r>
      <w:r>
        <w:rPr>
          <w:spacing w:val="-8"/>
          <w:sz w:val="20"/>
        </w:rPr>
        <w:t> </w:t>
      </w:r>
      <w:r>
        <w:rPr>
          <w:spacing w:val="-4"/>
          <w:sz w:val="20"/>
        </w:rPr>
        <w:t>were:</w:t>
      </w:r>
    </w:p>
    <w:p>
      <w:pPr>
        <w:spacing w:line="208" w:lineRule="auto" w:before="123"/>
        <w:ind w:left="2157" w:right="1335" w:firstLine="0"/>
        <w:jc w:val="left"/>
        <w:rPr>
          <w:sz w:val="11"/>
        </w:rPr>
      </w:pPr>
      <w:r>
        <w:rPr>
          <w:sz w:val="19"/>
        </w:rPr>
        <w:t>Every male resident in the County of Cumberland, subject to exemptions, aged between twenty one and sixty having real estate producing income of at least thirty pounds annually, or a personal estate worth three hundred pounds […] Esquires or persons of higher degree, Justices of the Peace, merchants and bank directors were eligible to serve as special jurors.</w:t>
      </w:r>
      <w:r>
        <w:rPr>
          <w:position w:val="6"/>
          <w:sz w:val="11"/>
        </w:rPr>
        <w:t>20</w:t>
      </w:r>
    </w:p>
    <w:p>
      <w:pPr>
        <w:pStyle w:val="ListParagraph"/>
        <w:numPr>
          <w:ilvl w:val="1"/>
          <w:numId w:val="12"/>
        </w:numPr>
        <w:tabs>
          <w:tab w:pos="1761" w:val="left" w:leader="none"/>
          <w:tab w:pos="1762" w:val="left" w:leader="none"/>
        </w:tabs>
        <w:spacing w:line="206" w:lineRule="auto" w:before="125" w:after="0"/>
        <w:ind w:left="1761" w:right="1359" w:hanging="794"/>
        <w:jc w:val="left"/>
        <w:rPr>
          <w:sz w:val="11"/>
        </w:rPr>
      </w:pPr>
      <w:r>
        <w:rPr>
          <w:sz w:val="20"/>
        </w:rPr>
        <w:t>In</w:t>
      </w:r>
      <w:r>
        <w:rPr>
          <w:spacing w:val="-10"/>
          <w:sz w:val="20"/>
        </w:rPr>
        <w:t> </w:t>
      </w:r>
      <w:r>
        <w:rPr>
          <w:sz w:val="20"/>
        </w:rPr>
        <w:t>1839,</w:t>
      </w:r>
      <w:r>
        <w:rPr>
          <w:spacing w:val="-10"/>
          <w:sz w:val="20"/>
        </w:rPr>
        <w:t> </w:t>
      </w:r>
      <w:r>
        <w:rPr>
          <w:sz w:val="20"/>
        </w:rPr>
        <w:t>legislation</w:t>
      </w:r>
      <w:r>
        <w:rPr>
          <w:spacing w:val="-10"/>
          <w:sz w:val="20"/>
        </w:rPr>
        <w:t> </w:t>
      </w:r>
      <w:r>
        <w:rPr>
          <w:sz w:val="20"/>
        </w:rPr>
        <w:t>abolished</w:t>
      </w:r>
      <w:r>
        <w:rPr>
          <w:spacing w:val="-9"/>
          <w:sz w:val="20"/>
        </w:rPr>
        <w:t> </w:t>
      </w:r>
      <w:r>
        <w:rPr>
          <w:sz w:val="20"/>
        </w:rPr>
        <w:t>military</w:t>
      </w:r>
      <w:r>
        <w:rPr>
          <w:spacing w:val="-10"/>
          <w:sz w:val="20"/>
        </w:rPr>
        <w:t> </w:t>
      </w:r>
      <w:r>
        <w:rPr>
          <w:sz w:val="20"/>
        </w:rPr>
        <w:t>trials</w:t>
      </w:r>
      <w:r>
        <w:rPr>
          <w:spacing w:val="-10"/>
          <w:sz w:val="20"/>
        </w:rPr>
        <w:t> </w:t>
      </w:r>
      <w:r>
        <w:rPr>
          <w:sz w:val="20"/>
        </w:rPr>
        <w:t>and</w:t>
      </w:r>
      <w:r>
        <w:rPr>
          <w:spacing w:val="-10"/>
          <w:sz w:val="20"/>
        </w:rPr>
        <w:t> </w:t>
      </w:r>
      <w:r>
        <w:rPr>
          <w:spacing w:val="-3"/>
          <w:sz w:val="20"/>
        </w:rPr>
        <w:t>allowed</w:t>
      </w:r>
      <w:r>
        <w:rPr>
          <w:spacing w:val="-9"/>
          <w:sz w:val="20"/>
        </w:rPr>
        <w:t> </w:t>
      </w:r>
      <w:r>
        <w:rPr>
          <w:sz w:val="20"/>
        </w:rPr>
        <w:t>criminal</w:t>
      </w:r>
      <w:r>
        <w:rPr>
          <w:spacing w:val="-10"/>
          <w:sz w:val="20"/>
        </w:rPr>
        <w:t> </w:t>
      </w:r>
      <w:r>
        <w:rPr>
          <w:sz w:val="20"/>
        </w:rPr>
        <w:t>trials</w:t>
      </w:r>
      <w:r>
        <w:rPr>
          <w:spacing w:val="-10"/>
          <w:sz w:val="20"/>
        </w:rPr>
        <w:t> </w:t>
      </w:r>
      <w:r>
        <w:rPr>
          <w:sz w:val="20"/>
        </w:rPr>
        <w:t>on</w:t>
      </w:r>
      <w:r>
        <w:rPr>
          <w:spacing w:val="-10"/>
          <w:sz w:val="20"/>
        </w:rPr>
        <w:t> </w:t>
      </w:r>
      <w:r>
        <w:rPr>
          <w:sz w:val="20"/>
        </w:rPr>
        <w:t>issues</w:t>
      </w:r>
      <w:r>
        <w:rPr>
          <w:spacing w:val="-9"/>
          <w:sz w:val="20"/>
        </w:rPr>
        <w:t> </w:t>
      </w:r>
      <w:r>
        <w:rPr>
          <w:sz w:val="20"/>
        </w:rPr>
        <w:t>of</w:t>
      </w:r>
      <w:r>
        <w:rPr>
          <w:spacing w:val="-10"/>
          <w:sz w:val="20"/>
        </w:rPr>
        <w:t> </w:t>
      </w:r>
      <w:r>
        <w:rPr>
          <w:sz w:val="20"/>
        </w:rPr>
        <w:t>fact to be determined </w:t>
      </w:r>
      <w:r>
        <w:rPr>
          <w:spacing w:val="-3"/>
          <w:sz w:val="20"/>
        </w:rPr>
        <w:t>by </w:t>
      </w:r>
      <w:r>
        <w:rPr>
          <w:sz w:val="20"/>
        </w:rPr>
        <w:t>a jury of 12 men.</w:t>
      </w:r>
      <w:r>
        <w:rPr>
          <w:position w:val="7"/>
          <w:sz w:val="11"/>
        </w:rPr>
        <w:t>21 </w:t>
      </w:r>
      <w:r>
        <w:rPr>
          <w:sz w:val="20"/>
        </w:rPr>
        <w:t>In </w:t>
      </w:r>
      <w:r>
        <w:rPr>
          <w:spacing w:val="-6"/>
          <w:sz w:val="20"/>
        </w:rPr>
        <w:t>1847, </w:t>
      </w:r>
      <w:r>
        <w:rPr>
          <w:sz w:val="20"/>
        </w:rPr>
        <w:t>an </w:t>
      </w:r>
      <w:r>
        <w:rPr>
          <w:spacing w:val="-2"/>
          <w:sz w:val="20"/>
        </w:rPr>
        <w:t>Act </w:t>
      </w:r>
      <w:r>
        <w:rPr>
          <w:sz w:val="20"/>
        </w:rPr>
        <w:t>amending the law relating to juries</w:t>
      </w:r>
      <w:r>
        <w:rPr>
          <w:spacing w:val="-9"/>
          <w:sz w:val="20"/>
        </w:rPr>
        <w:t> </w:t>
      </w:r>
      <w:r>
        <w:rPr>
          <w:sz w:val="20"/>
        </w:rPr>
        <w:t>and</w:t>
      </w:r>
      <w:r>
        <w:rPr>
          <w:spacing w:val="-8"/>
          <w:sz w:val="20"/>
        </w:rPr>
        <w:t> </w:t>
      </w:r>
      <w:r>
        <w:rPr>
          <w:sz w:val="20"/>
        </w:rPr>
        <w:t>jurors</w:t>
      </w:r>
      <w:r>
        <w:rPr>
          <w:spacing w:val="-8"/>
          <w:sz w:val="20"/>
        </w:rPr>
        <w:t> </w:t>
      </w:r>
      <w:r>
        <w:rPr>
          <w:sz w:val="20"/>
        </w:rPr>
        <w:t>in</w:t>
      </w:r>
      <w:r>
        <w:rPr>
          <w:spacing w:val="-8"/>
          <w:sz w:val="20"/>
        </w:rPr>
        <w:t> </w:t>
      </w:r>
      <w:r>
        <w:rPr>
          <w:sz w:val="20"/>
        </w:rPr>
        <w:t>New</w:t>
      </w:r>
      <w:r>
        <w:rPr>
          <w:spacing w:val="-8"/>
          <w:sz w:val="20"/>
        </w:rPr>
        <w:t> </w:t>
      </w:r>
      <w:r>
        <w:rPr>
          <w:sz w:val="20"/>
        </w:rPr>
        <w:t>South</w:t>
      </w:r>
      <w:r>
        <w:rPr>
          <w:spacing w:val="-8"/>
          <w:sz w:val="20"/>
        </w:rPr>
        <w:t> </w:t>
      </w:r>
      <w:r>
        <w:rPr>
          <w:spacing w:val="-3"/>
          <w:sz w:val="20"/>
        </w:rPr>
        <w:t>Wales</w:t>
      </w:r>
      <w:r>
        <w:rPr>
          <w:spacing w:val="-3"/>
          <w:position w:val="7"/>
          <w:sz w:val="11"/>
        </w:rPr>
        <w:t>22</w:t>
      </w:r>
      <w:r>
        <w:rPr>
          <w:spacing w:val="17"/>
          <w:position w:val="7"/>
          <w:sz w:val="11"/>
        </w:rPr>
        <w:t> </w:t>
      </w:r>
      <w:r>
        <w:rPr>
          <w:sz w:val="20"/>
        </w:rPr>
        <w:t>led</w:t>
      </w:r>
      <w:r>
        <w:rPr>
          <w:spacing w:val="-8"/>
          <w:sz w:val="20"/>
        </w:rPr>
        <w:t> </w:t>
      </w:r>
      <w:r>
        <w:rPr>
          <w:sz w:val="20"/>
        </w:rPr>
        <w:t>to</w:t>
      </w:r>
      <w:r>
        <w:rPr>
          <w:spacing w:val="-8"/>
          <w:sz w:val="20"/>
        </w:rPr>
        <w:t> </w:t>
      </w:r>
      <w:r>
        <w:rPr>
          <w:sz w:val="20"/>
        </w:rPr>
        <w:t>jury</w:t>
      </w:r>
      <w:r>
        <w:rPr>
          <w:spacing w:val="-8"/>
          <w:sz w:val="20"/>
        </w:rPr>
        <w:t> </w:t>
      </w:r>
      <w:r>
        <w:rPr>
          <w:sz w:val="20"/>
        </w:rPr>
        <w:t>trials</w:t>
      </w:r>
      <w:r>
        <w:rPr>
          <w:spacing w:val="-8"/>
          <w:sz w:val="20"/>
        </w:rPr>
        <w:t> </w:t>
      </w:r>
      <w:r>
        <w:rPr>
          <w:sz w:val="20"/>
        </w:rPr>
        <w:t>becoming</w:t>
      </w:r>
      <w:r>
        <w:rPr>
          <w:spacing w:val="-8"/>
          <w:sz w:val="20"/>
        </w:rPr>
        <w:t> </w:t>
      </w:r>
      <w:r>
        <w:rPr>
          <w:sz w:val="20"/>
        </w:rPr>
        <w:t>a</w:t>
      </w:r>
      <w:r>
        <w:rPr>
          <w:spacing w:val="-8"/>
          <w:sz w:val="20"/>
        </w:rPr>
        <w:t> </w:t>
      </w:r>
      <w:r>
        <w:rPr>
          <w:sz w:val="20"/>
        </w:rPr>
        <w:t>permanent</w:t>
      </w:r>
      <w:r>
        <w:rPr>
          <w:spacing w:val="-9"/>
          <w:sz w:val="20"/>
        </w:rPr>
        <w:t> </w:t>
      </w:r>
      <w:r>
        <w:rPr>
          <w:spacing w:val="-3"/>
          <w:sz w:val="20"/>
        </w:rPr>
        <w:t>feature </w:t>
      </w:r>
      <w:r>
        <w:rPr>
          <w:sz w:val="20"/>
        </w:rPr>
        <w:t>of</w:t>
      </w:r>
      <w:r>
        <w:rPr>
          <w:spacing w:val="-5"/>
          <w:sz w:val="20"/>
        </w:rPr>
        <w:t> </w:t>
      </w:r>
      <w:r>
        <w:rPr>
          <w:sz w:val="20"/>
        </w:rPr>
        <w:t>the</w:t>
      </w:r>
      <w:r>
        <w:rPr>
          <w:spacing w:val="-5"/>
          <w:sz w:val="20"/>
        </w:rPr>
        <w:t> </w:t>
      </w:r>
      <w:r>
        <w:rPr>
          <w:sz w:val="20"/>
        </w:rPr>
        <w:t>administration</w:t>
      </w:r>
      <w:r>
        <w:rPr>
          <w:spacing w:val="-5"/>
          <w:sz w:val="20"/>
        </w:rPr>
        <w:t> </w:t>
      </w:r>
      <w:r>
        <w:rPr>
          <w:sz w:val="20"/>
        </w:rPr>
        <w:t>of</w:t>
      </w:r>
      <w:r>
        <w:rPr>
          <w:spacing w:val="-4"/>
          <w:sz w:val="20"/>
        </w:rPr>
        <w:t> </w:t>
      </w:r>
      <w:r>
        <w:rPr>
          <w:sz w:val="20"/>
        </w:rPr>
        <w:t>justice</w:t>
      </w:r>
      <w:r>
        <w:rPr>
          <w:spacing w:val="-5"/>
          <w:sz w:val="20"/>
        </w:rPr>
        <w:t> </w:t>
      </w:r>
      <w:r>
        <w:rPr>
          <w:sz w:val="20"/>
        </w:rPr>
        <w:t>in</w:t>
      </w:r>
      <w:r>
        <w:rPr>
          <w:spacing w:val="-5"/>
          <w:sz w:val="20"/>
        </w:rPr>
        <w:t> </w:t>
      </w:r>
      <w:r>
        <w:rPr>
          <w:sz w:val="20"/>
        </w:rPr>
        <w:t>New</w:t>
      </w:r>
      <w:r>
        <w:rPr>
          <w:spacing w:val="-5"/>
          <w:sz w:val="20"/>
        </w:rPr>
        <w:t> </w:t>
      </w:r>
      <w:r>
        <w:rPr>
          <w:sz w:val="20"/>
        </w:rPr>
        <w:t>South</w:t>
      </w:r>
      <w:r>
        <w:rPr>
          <w:spacing w:val="-4"/>
          <w:sz w:val="20"/>
        </w:rPr>
        <w:t> </w:t>
      </w:r>
      <w:r>
        <w:rPr>
          <w:sz w:val="20"/>
        </w:rPr>
        <w:t>Wales.</w:t>
      </w:r>
      <w:r>
        <w:rPr>
          <w:position w:val="7"/>
          <w:sz w:val="11"/>
        </w:rPr>
        <w:t>23</w:t>
      </w:r>
    </w:p>
    <w:p>
      <w:pPr>
        <w:pStyle w:val="Heading6"/>
        <w:rPr>
          <w:b/>
        </w:rPr>
      </w:pPr>
      <w:r>
        <w:rPr>
          <w:b/>
        </w:rPr>
        <w:t>Victoria</w:t>
      </w:r>
    </w:p>
    <w:p>
      <w:pPr>
        <w:pStyle w:val="ListParagraph"/>
        <w:numPr>
          <w:ilvl w:val="1"/>
          <w:numId w:val="12"/>
        </w:numPr>
        <w:tabs>
          <w:tab w:pos="1761" w:val="left" w:leader="none"/>
          <w:tab w:pos="1762" w:val="left" w:leader="none"/>
        </w:tabs>
        <w:spacing w:line="206" w:lineRule="auto" w:before="132" w:after="0"/>
        <w:ind w:left="1761" w:right="1459" w:hanging="794"/>
        <w:jc w:val="left"/>
        <w:rPr>
          <w:sz w:val="11"/>
        </w:rPr>
      </w:pPr>
      <w:r>
        <w:rPr>
          <w:sz w:val="20"/>
        </w:rPr>
        <w:t>The Victorian jury </w:t>
      </w:r>
      <w:r>
        <w:rPr>
          <w:spacing w:val="-4"/>
          <w:sz w:val="20"/>
        </w:rPr>
        <w:t>evolved </w:t>
      </w:r>
      <w:r>
        <w:rPr>
          <w:spacing w:val="-3"/>
          <w:sz w:val="20"/>
        </w:rPr>
        <w:t>from </w:t>
      </w:r>
      <w:r>
        <w:rPr>
          <w:sz w:val="20"/>
        </w:rPr>
        <w:t>the English </w:t>
      </w:r>
      <w:r>
        <w:rPr>
          <w:spacing w:val="-3"/>
          <w:sz w:val="20"/>
        </w:rPr>
        <w:t>jury, </w:t>
      </w:r>
      <w:r>
        <w:rPr>
          <w:sz w:val="20"/>
        </w:rPr>
        <w:t>modified </w:t>
      </w:r>
      <w:r>
        <w:rPr>
          <w:spacing w:val="-3"/>
          <w:sz w:val="20"/>
        </w:rPr>
        <w:t>by early </w:t>
      </w:r>
      <w:r>
        <w:rPr>
          <w:sz w:val="20"/>
        </w:rPr>
        <w:t>practices in New South </w:t>
      </w:r>
      <w:r>
        <w:rPr>
          <w:spacing w:val="-3"/>
          <w:sz w:val="20"/>
        </w:rPr>
        <w:t>Wales. </w:t>
      </w:r>
      <w:r>
        <w:rPr>
          <w:sz w:val="20"/>
        </w:rPr>
        <w:t>In </w:t>
      </w:r>
      <w:r>
        <w:rPr>
          <w:spacing w:val="-3"/>
          <w:sz w:val="20"/>
        </w:rPr>
        <w:t>1847 </w:t>
      </w:r>
      <w:r>
        <w:rPr>
          <w:sz w:val="20"/>
        </w:rPr>
        <w:t>the New South </w:t>
      </w:r>
      <w:r>
        <w:rPr>
          <w:spacing w:val="-4"/>
          <w:sz w:val="20"/>
        </w:rPr>
        <w:t>Wales </w:t>
      </w:r>
      <w:r>
        <w:rPr>
          <w:sz w:val="20"/>
        </w:rPr>
        <w:t>juries legislation was applied to the Port Phillip district. It </w:t>
      </w:r>
      <w:r>
        <w:rPr>
          <w:spacing w:val="-3"/>
          <w:sz w:val="20"/>
        </w:rPr>
        <w:t>provided </w:t>
      </w:r>
      <w:r>
        <w:rPr>
          <w:sz w:val="20"/>
        </w:rPr>
        <w:t>for trial </w:t>
      </w:r>
      <w:r>
        <w:rPr>
          <w:spacing w:val="-3"/>
          <w:sz w:val="20"/>
        </w:rPr>
        <w:t>by </w:t>
      </w:r>
      <w:r>
        <w:rPr>
          <w:sz w:val="20"/>
        </w:rPr>
        <w:t>a common jury of 12 </w:t>
      </w:r>
      <w:r>
        <w:rPr>
          <w:spacing w:val="-3"/>
          <w:sz w:val="20"/>
        </w:rPr>
        <w:t>free </w:t>
      </w:r>
      <w:r>
        <w:rPr>
          <w:sz w:val="20"/>
        </w:rPr>
        <w:t>local men. Ordinary jurors</w:t>
      </w:r>
      <w:r>
        <w:rPr>
          <w:spacing w:val="-10"/>
          <w:sz w:val="20"/>
        </w:rPr>
        <w:t> </w:t>
      </w:r>
      <w:r>
        <w:rPr>
          <w:spacing w:val="-4"/>
          <w:sz w:val="20"/>
        </w:rPr>
        <w:t>were</w:t>
      </w:r>
      <w:r>
        <w:rPr>
          <w:spacing w:val="-9"/>
          <w:sz w:val="20"/>
        </w:rPr>
        <w:t> </w:t>
      </w:r>
      <w:r>
        <w:rPr>
          <w:spacing w:val="-3"/>
          <w:sz w:val="20"/>
        </w:rPr>
        <w:t>required</w:t>
      </w:r>
      <w:r>
        <w:rPr>
          <w:spacing w:val="-9"/>
          <w:sz w:val="20"/>
        </w:rPr>
        <w:t> </w:t>
      </w:r>
      <w:r>
        <w:rPr>
          <w:sz w:val="20"/>
        </w:rPr>
        <w:t>to</w:t>
      </w:r>
      <w:r>
        <w:rPr>
          <w:spacing w:val="-9"/>
          <w:sz w:val="20"/>
        </w:rPr>
        <w:t> </w:t>
      </w:r>
      <w:r>
        <w:rPr>
          <w:spacing w:val="-4"/>
          <w:sz w:val="20"/>
        </w:rPr>
        <w:t>have</w:t>
      </w:r>
      <w:r>
        <w:rPr>
          <w:spacing w:val="-9"/>
          <w:sz w:val="20"/>
        </w:rPr>
        <w:t> </w:t>
      </w:r>
      <w:r>
        <w:rPr>
          <w:sz w:val="20"/>
        </w:rPr>
        <w:t>substantial</w:t>
      </w:r>
      <w:r>
        <w:rPr>
          <w:spacing w:val="-10"/>
          <w:sz w:val="20"/>
        </w:rPr>
        <w:t> </w:t>
      </w:r>
      <w:r>
        <w:rPr>
          <w:sz w:val="20"/>
        </w:rPr>
        <w:t>income</w:t>
      </w:r>
      <w:r>
        <w:rPr>
          <w:spacing w:val="-9"/>
          <w:sz w:val="20"/>
        </w:rPr>
        <w:t> </w:t>
      </w:r>
      <w:r>
        <w:rPr>
          <w:sz w:val="20"/>
        </w:rPr>
        <w:t>or</w:t>
      </w:r>
      <w:r>
        <w:rPr>
          <w:spacing w:val="-9"/>
          <w:sz w:val="20"/>
        </w:rPr>
        <w:t> </w:t>
      </w:r>
      <w:r>
        <w:rPr>
          <w:sz w:val="20"/>
        </w:rPr>
        <w:t>property</w:t>
      </w:r>
      <w:r>
        <w:rPr>
          <w:spacing w:val="-9"/>
          <w:sz w:val="20"/>
        </w:rPr>
        <w:t> </w:t>
      </w:r>
      <w:r>
        <w:rPr>
          <w:sz w:val="20"/>
        </w:rPr>
        <w:t>holdings.</w:t>
      </w:r>
      <w:r>
        <w:rPr>
          <w:spacing w:val="-9"/>
          <w:sz w:val="20"/>
        </w:rPr>
        <w:t> </w:t>
      </w:r>
      <w:r>
        <w:rPr>
          <w:sz w:val="20"/>
        </w:rPr>
        <w:t>There</w:t>
      </w:r>
      <w:r>
        <w:rPr>
          <w:spacing w:val="-10"/>
          <w:sz w:val="20"/>
        </w:rPr>
        <w:t> </w:t>
      </w:r>
      <w:r>
        <w:rPr>
          <w:sz w:val="20"/>
        </w:rPr>
        <w:t>was</w:t>
      </w:r>
      <w:r>
        <w:rPr>
          <w:spacing w:val="-9"/>
          <w:sz w:val="20"/>
        </w:rPr>
        <w:t> </w:t>
      </w:r>
      <w:r>
        <w:rPr>
          <w:sz w:val="20"/>
        </w:rPr>
        <w:t>also </w:t>
      </w:r>
      <w:r>
        <w:rPr>
          <w:spacing w:val="-3"/>
          <w:sz w:val="20"/>
        </w:rPr>
        <w:t>provision </w:t>
      </w:r>
      <w:r>
        <w:rPr>
          <w:sz w:val="20"/>
        </w:rPr>
        <w:t>for special</w:t>
      </w:r>
      <w:r>
        <w:rPr>
          <w:spacing w:val="-9"/>
          <w:sz w:val="20"/>
        </w:rPr>
        <w:t> </w:t>
      </w:r>
      <w:r>
        <w:rPr>
          <w:sz w:val="20"/>
        </w:rPr>
        <w:t>juries.</w:t>
      </w:r>
      <w:r>
        <w:rPr>
          <w:position w:val="7"/>
          <w:sz w:val="11"/>
        </w:rPr>
        <w:t>24</w:t>
      </w:r>
    </w:p>
    <w:p>
      <w:pPr>
        <w:pStyle w:val="ListParagraph"/>
        <w:numPr>
          <w:ilvl w:val="1"/>
          <w:numId w:val="12"/>
        </w:numPr>
        <w:tabs>
          <w:tab w:pos="1761" w:val="left" w:leader="none"/>
          <w:tab w:pos="1762" w:val="left" w:leader="none"/>
        </w:tabs>
        <w:spacing w:line="206" w:lineRule="auto" w:before="126" w:after="0"/>
        <w:ind w:left="1761" w:right="1233" w:hanging="794"/>
        <w:jc w:val="left"/>
        <w:rPr>
          <w:sz w:val="11"/>
        </w:rPr>
      </w:pPr>
      <w:r>
        <w:rPr>
          <w:sz w:val="20"/>
        </w:rPr>
        <w:t>In</w:t>
      </w:r>
      <w:r>
        <w:rPr>
          <w:spacing w:val="-11"/>
          <w:sz w:val="20"/>
        </w:rPr>
        <w:t> </w:t>
      </w:r>
      <w:r>
        <w:rPr>
          <w:sz w:val="20"/>
        </w:rPr>
        <w:t>1850,</w:t>
      </w:r>
      <w:r>
        <w:rPr>
          <w:spacing w:val="-10"/>
          <w:sz w:val="20"/>
        </w:rPr>
        <w:t> </w:t>
      </w:r>
      <w:r>
        <w:rPr>
          <w:sz w:val="20"/>
        </w:rPr>
        <w:t>the</w:t>
      </w:r>
      <w:r>
        <w:rPr>
          <w:spacing w:val="-11"/>
          <w:sz w:val="20"/>
        </w:rPr>
        <w:t> </w:t>
      </w:r>
      <w:r>
        <w:rPr>
          <w:sz w:val="20"/>
        </w:rPr>
        <w:t>Parliament</w:t>
      </w:r>
      <w:r>
        <w:rPr>
          <w:spacing w:val="-10"/>
          <w:sz w:val="20"/>
        </w:rPr>
        <w:t> </w:t>
      </w:r>
      <w:r>
        <w:rPr>
          <w:sz w:val="20"/>
        </w:rPr>
        <w:t>of</w:t>
      </w:r>
      <w:r>
        <w:rPr>
          <w:spacing w:val="-11"/>
          <w:sz w:val="20"/>
        </w:rPr>
        <w:t> </w:t>
      </w:r>
      <w:r>
        <w:rPr>
          <w:sz w:val="20"/>
        </w:rPr>
        <w:t>the</w:t>
      </w:r>
      <w:r>
        <w:rPr>
          <w:spacing w:val="-10"/>
          <w:sz w:val="20"/>
        </w:rPr>
        <w:t> </w:t>
      </w:r>
      <w:r>
        <w:rPr>
          <w:sz w:val="20"/>
        </w:rPr>
        <w:t>United</w:t>
      </w:r>
      <w:r>
        <w:rPr>
          <w:spacing w:val="-11"/>
          <w:sz w:val="20"/>
        </w:rPr>
        <w:t> </w:t>
      </w:r>
      <w:r>
        <w:rPr>
          <w:sz w:val="20"/>
        </w:rPr>
        <w:t>Kingdom</w:t>
      </w:r>
      <w:r>
        <w:rPr>
          <w:spacing w:val="-10"/>
          <w:sz w:val="20"/>
        </w:rPr>
        <w:t> </w:t>
      </w:r>
      <w:r>
        <w:rPr>
          <w:sz w:val="20"/>
        </w:rPr>
        <w:t>passed</w:t>
      </w:r>
      <w:r>
        <w:rPr>
          <w:spacing w:val="-11"/>
          <w:sz w:val="20"/>
        </w:rPr>
        <w:t> </w:t>
      </w:r>
      <w:r>
        <w:rPr>
          <w:sz w:val="20"/>
        </w:rPr>
        <w:t>the</w:t>
      </w:r>
      <w:r>
        <w:rPr>
          <w:spacing w:val="-10"/>
          <w:sz w:val="20"/>
        </w:rPr>
        <w:t> </w:t>
      </w:r>
      <w:r>
        <w:rPr>
          <w:i/>
          <w:sz w:val="20"/>
        </w:rPr>
        <w:t>Act</w:t>
      </w:r>
      <w:r>
        <w:rPr>
          <w:i/>
          <w:spacing w:val="-11"/>
          <w:sz w:val="20"/>
        </w:rPr>
        <w:t> </w:t>
      </w:r>
      <w:r>
        <w:rPr>
          <w:i/>
          <w:spacing w:val="-3"/>
          <w:sz w:val="20"/>
        </w:rPr>
        <w:t>for</w:t>
      </w:r>
      <w:r>
        <w:rPr>
          <w:i/>
          <w:spacing w:val="-10"/>
          <w:sz w:val="20"/>
        </w:rPr>
        <w:t> </w:t>
      </w:r>
      <w:r>
        <w:rPr>
          <w:i/>
          <w:sz w:val="20"/>
        </w:rPr>
        <w:t>the</w:t>
      </w:r>
      <w:r>
        <w:rPr>
          <w:i/>
          <w:spacing w:val="-10"/>
          <w:sz w:val="20"/>
        </w:rPr>
        <w:t> </w:t>
      </w:r>
      <w:r>
        <w:rPr>
          <w:i/>
          <w:sz w:val="20"/>
        </w:rPr>
        <w:t>Better</w:t>
      </w:r>
      <w:r>
        <w:rPr>
          <w:i/>
          <w:spacing w:val="-11"/>
          <w:sz w:val="20"/>
        </w:rPr>
        <w:t> </w:t>
      </w:r>
      <w:r>
        <w:rPr>
          <w:i/>
          <w:sz w:val="20"/>
        </w:rPr>
        <w:t>Government </w:t>
      </w:r>
      <w:r>
        <w:rPr>
          <w:i/>
          <w:sz w:val="20"/>
        </w:rPr>
        <w:t>of</w:t>
      </w:r>
      <w:r>
        <w:rPr>
          <w:i/>
          <w:spacing w:val="-10"/>
          <w:sz w:val="20"/>
        </w:rPr>
        <w:t> </w:t>
      </w:r>
      <w:r>
        <w:rPr>
          <w:i/>
          <w:sz w:val="20"/>
        </w:rPr>
        <w:t>Her</w:t>
      </w:r>
      <w:r>
        <w:rPr>
          <w:i/>
          <w:spacing w:val="-11"/>
          <w:sz w:val="20"/>
        </w:rPr>
        <w:t> </w:t>
      </w:r>
      <w:r>
        <w:rPr>
          <w:i/>
          <w:sz w:val="20"/>
        </w:rPr>
        <w:t>Majesty’s</w:t>
      </w:r>
      <w:r>
        <w:rPr>
          <w:i/>
          <w:spacing w:val="-10"/>
          <w:sz w:val="20"/>
        </w:rPr>
        <w:t> </w:t>
      </w:r>
      <w:r>
        <w:rPr>
          <w:i/>
          <w:sz w:val="20"/>
        </w:rPr>
        <w:t>Australian</w:t>
      </w:r>
      <w:r>
        <w:rPr>
          <w:i/>
          <w:spacing w:val="-10"/>
          <w:sz w:val="20"/>
        </w:rPr>
        <w:t> </w:t>
      </w:r>
      <w:r>
        <w:rPr>
          <w:i/>
          <w:sz w:val="20"/>
        </w:rPr>
        <w:t>Colonies,</w:t>
      </w:r>
      <w:r>
        <w:rPr>
          <w:i/>
          <w:spacing w:val="-9"/>
          <w:sz w:val="20"/>
        </w:rPr>
        <w:t> </w:t>
      </w:r>
      <w:r>
        <w:rPr>
          <w:sz w:val="20"/>
        </w:rPr>
        <w:t>which</w:t>
      </w:r>
      <w:r>
        <w:rPr>
          <w:spacing w:val="-10"/>
          <w:sz w:val="20"/>
        </w:rPr>
        <w:t> </w:t>
      </w:r>
      <w:r>
        <w:rPr>
          <w:sz w:val="20"/>
        </w:rPr>
        <w:t>permitted</w:t>
      </w:r>
      <w:r>
        <w:rPr>
          <w:spacing w:val="-10"/>
          <w:sz w:val="20"/>
        </w:rPr>
        <w:t> </w:t>
      </w:r>
      <w:r>
        <w:rPr>
          <w:sz w:val="20"/>
        </w:rPr>
        <w:t>Victoria</w:t>
      </w:r>
      <w:r>
        <w:rPr>
          <w:spacing w:val="-10"/>
          <w:sz w:val="20"/>
        </w:rPr>
        <w:t> </w:t>
      </w:r>
      <w:r>
        <w:rPr>
          <w:sz w:val="20"/>
        </w:rPr>
        <w:t>to</w:t>
      </w:r>
      <w:r>
        <w:rPr>
          <w:spacing w:val="-10"/>
          <w:sz w:val="20"/>
        </w:rPr>
        <w:t> </w:t>
      </w:r>
      <w:r>
        <w:rPr>
          <w:spacing w:val="-3"/>
          <w:sz w:val="20"/>
        </w:rPr>
        <w:t>govern</w:t>
      </w:r>
      <w:r>
        <w:rPr>
          <w:spacing w:val="-10"/>
          <w:sz w:val="20"/>
        </w:rPr>
        <w:t> </w:t>
      </w:r>
      <w:r>
        <w:rPr>
          <w:spacing w:val="-3"/>
          <w:sz w:val="20"/>
        </w:rPr>
        <w:t>itself.</w:t>
      </w:r>
      <w:r>
        <w:rPr>
          <w:spacing w:val="-11"/>
          <w:sz w:val="20"/>
        </w:rPr>
        <w:t> </w:t>
      </w:r>
      <w:r>
        <w:rPr>
          <w:sz w:val="20"/>
        </w:rPr>
        <w:t>In</w:t>
      </w:r>
      <w:r>
        <w:rPr>
          <w:spacing w:val="-10"/>
          <w:sz w:val="20"/>
        </w:rPr>
        <w:t> </w:t>
      </w:r>
      <w:r>
        <w:rPr>
          <w:sz w:val="20"/>
        </w:rPr>
        <w:t>1851</w:t>
      </w:r>
      <w:r>
        <w:rPr>
          <w:spacing w:val="-10"/>
          <w:sz w:val="20"/>
        </w:rPr>
        <w:t> </w:t>
      </w:r>
      <w:r>
        <w:rPr>
          <w:sz w:val="20"/>
        </w:rPr>
        <w:t>the </w:t>
      </w:r>
      <w:r>
        <w:rPr>
          <w:spacing w:val="-3"/>
          <w:sz w:val="20"/>
        </w:rPr>
        <w:t>State </w:t>
      </w:r>
      <w:r>
        <w:rPr>
          <w:spacing w:val="-2"/>
          <w:sz w:val="20"/>
        </w:rPr>
        <w:t>Government </w:t>
      </w:r>
      <w:r>
        <w:rPr>
          <w:sz w:val="20"/>
        </w:rPr>
        <w:t>of Victoria was established and in 1852 the parliament established the</w:t>
      </w:r>
      <w:r>
        <w:rPr>
          <w:spacing w:val="-13"/>
          <w:sz w:val="20"/>
        </w:rPr>
        <w:t> </w:t>
      </w:r>
      <w:r>
        <w:rPr>
          <w:sz w:val="20"/>
        </w:rPr>
        <w:t>Supreme</w:t>
      </w:r>
      <w:r>
        <w:rPr>
          <w:spacing w:val="-12"/>
          <w:sz w:val="20"/>
        </w:rPr>
        <w:t> </w:t>
      </w:r>
      <w:r>
        <w:rPr>
          <w:sz w:val="20"/>
        </w:rPr>
        <w:t>Court</w:t>
      </w:r>
      <w:r>
        <w:rPr>
          <w:spacing w:val="-12"/>
          <w:sz w:val="20"/>
        </w:rPr>
        <w:t> </w:t>
      </w:r>
      <w:r>
        <w:rPr>
          <w:sz w:val="20"/>
        </w:rPr>
        <w:t>of</w:t>
      </w:r>
      <w:r>
        <w:rPr>
          <w:spacing w:val="-12"/>
          <w:sz w:val="20"/>
        </w:rPr>
        <w:t> </w:t>
      </w:r>
      <w:r>
        <w:rPr>
          <w:sz w:val="20"/>
        </w:rPr>
        <w:t>Victoria.</w:t>
      </w:r>
      <w:r>
        <w:rPr>
          <w:position w:val="7"/>
          <w:sz w:val="11"/>
        </w:rPr>
        <w:t>25</w:t>
      </w:r>
      <w:r>
        <w:rPr>
          <w:spacing w:val="12"/>
          <w:position w:val="7"/>
          <w:sz w:val="11"/>
        </w:rPr>
        <w:t> </w:t>
      </w:r>
      <w:r>
        <w:rPr>
          <w:sz w:val="20"/>
        </w:rPr>
        <w:t>Victoria</w:t>
      </w:r>
      <w:r>
        <w:rPr>
          <w:spacing w:val="-12"/>
          <w:sz w:val="20"/>
        </w:rPr>
        <w:t> </w:t>
      </w:r>
      <w:r>
        <w:rPr>
          <w:sz w:val="20"/>
        </w:rPr>
        <w:t>subsequently</w:t>
      </w:r>
      <w:r>
        <w:rPr>
          <w:spacing w:val="-12"/>
          <w:sz w:val="20"/>
        </w:rPr>
        <w:t> </w:t>
      </w:r>
      <w:r>
        <w:rPr>
          <w:sz w:val="20"/>
        </w:rPr>
        <w:t>enacted</w:t>
      </w:r>
      <w:r>
        <w:rPr>
          <w:spacing w:val="-12"/>
          <w:sz w:val="20"/>
        </w:rPr>
        <w:t> </w:t>
      </w:r>
      <w:r>
        <w:rPr>
          <w:sz w:val="20"/>
        </w:rPr>
        <w:t>juries</w:t>
      </w:r>
      <w:r>
        <w:rPr>
          <w:spacing w:val="-12"/>
          <w:sz w:val="20"/>
        </w:rPr>
        <w:t> </w:t>
      </w:r>
      <w:r>
        <w:rPr>
          <w:sz w:val="20"/>
        </w:rPr>
        <w:t>legislation</w:t>
      </w:r>
      <w:r>
        <w:rPr>
          <w:spacing w:val="-13"/>
          <w:sz w:val="20"/>
        </w:rPr>
        <w:t> </w:t>
      </w:r>
      <w:r>
        <w:rPr>
          <w:sz w:val="20"/>
        </w:rPr>
        <w:t>similar to that of New South</w:t>
      </w:r>
      <w:r>
        <w:rPr>
          <w:spacing w:val="-22"/>
          <w:sz w:val="20"/>
        </w:rPr>
        <w:t> </w:t>
      </w:r>
      <w:r>
        <w:rPr>
          <w:sz w:val="20"/>
        </w:rPr>
        <w:t>Wales.</w:t>
      </w:r>
      <w:r>
        <w:rPr>
          <w:position w:val="7"/>
          <w:sz w:val="11"/>
        </w:rPr>
        <w:t>26</w:t>
      </w:r>
    </w:p>
    <w:p>
      <w:pPr>
        <w:pStyle w:val="BodyText"/>
        <w:spacing w:before="9"/>
        <w:rPr>
          <w:sz w:val="16"/>
        </w:rPr>
      </w:pPr>
    </w:p>
    <w:p>
      <w:pPr>
        <w:spacing w:before="1"/>
        <w:ind w:left="967" w:right="0" w:firstLine="0"/>
        <w:jc w:val="left"/>
        <w:rPr>
          <w:rFonts w:ascii="Raleway ExtraBold"/>
          <w:b/>
          <w:sz w:val="28"/>
        </w:rPr>
      </w:pPr>
      <w:r>
        <w:rPr>
          <w:rFonts w:ascii="Raleway ExtraBold"/>
          <w:b/>
          <w:color w:val="37617A"/>
          <w:sz w:val="28"/>
        </w:rPr>
        <w:t>Eligibility to serve on a Victorian jury</w:t>
      </w:r>
    </w:p>
    <w:p>
      <w:pPr>
        <w:pStyle w:val="ListParagraph"/>
        <w:numPr>
          <w:ilvl w:val="1"/>
          <w:numId w:val="12"/>
        </w:numPr>
        <w:tabs>
          <w:tab w:pos="1761" w:val="left" w:leader="none"/>
          <w:tab w:pos="1762" w:val="left" w:leader="none"/>
        </w:tabs>
        <w:spacing w:line="206" w:lineRule="auto" w:before="146" w:after="0"/>
        <w:ind w:left="1761" w:right="1205" w:hanging="794"/>
        <w:jc w:val="left"/>
        <w:rPr>
          <w:sz w:val="20"/>
        </w:rPr>
      </w:pPr>
      <w:r>
        <w:rPr>
          <w:sz w:val="20"/>
        </w:rPr>
        <w:t>Law makers </w:t>
      </w:r>
      <w:r>
        <w:rPr>
          <w:spacing w:val="-4"/>
          <w:sz w:val="20"/>
        </w:rPr>
        <w:t>have </w:t>
      </w:r>
      <w:r>
        <w:rPr>
          <w:sz w:val="20"/>
        </w:rPr>
        <w:t>either ignored or resisted opportunities to increase the </w:t>
      </w:r>
      <w:r>
        <w:rPr>
          <w:spacing w:val="-3"/>
          <w:sz w:val="20"/>
        </w:rPr>
        <w:t>representativeness</w:t>
      </w:r>
      <w:r>
        <w:rPr>
          <w:spacing w:val="-11"/>
          <w:sz w:val="20"/>
        </w:rPr>
        <w:t> </w:t>
      </w:r>
      <w:r>
        <w:rPr>
          <w:sz w:val="20"/>
        </w:rPr>
        <w:t>of</w:t>
      </w:r>
      <w:r>
        <w:rPr>
          <w:spacing w:val="-11"/>
          <w:sz w:val="20"/>
        </w:rPr>
        <w:t> </w:t>
      </w:r>
      <w:r>
        <w:rPr>
          <w:sz w:val="20"/>
        </w:rPr>
        <w:t>juries,</w:t>
      </w:r>
      <w:r>
        <w:rPr>
          <w:spacing w:val="-11"/>
          <w:sz w:val="20"/>
        </w:rPr>
        <w:t> </w:t>
      </w:r>
      <w:r>
        <w:rPr>
          <w:sz w:val="20"/>
        </w:rPr>
        <w:t>particularly</w:t>
      </w:r>
      <w:r>
        <w:rPr>
          <w:spacing w:val="-10"/>
          <w:sz w:val="20"/>
        </w:rPr>
        <w:t> </w:t>
      </w:r>
      <w:r>
        <w:rPr>
          <w:sz w:val="20"/>
        </w:rPr>
        <w:t>in</w:t>
      </w:r>
      <w:r>
        <w:rPr>
          <w:spacing w:val="-11"/>
          <w:sz w:val="20"/>
        </w:rPr>
        <w:t> </w:t>
      </w:r>
      <w:r>
        <w:rPr>
          <w:sz w:val="20"/>
        </w:rPr>
        <w:t>the</w:t>
      </w:r>
      <w:r>
        <w:rPr>
          <w:spacing w:val="-11"/>
          <w:sz w:val="20"/>
        </w:rPr>
        <w:t> </w:t>
      </w:r>
      <w:r>
        <w:rPr>
          <w:sz w:val="20"/>
        </w:rPr>
        <w:t>19th</w:t>
      </w:r>
      <w:r>
        <w:rPr>
          <w:spacing w:val="-10"/>
          <w:sz w:val="20"/>
        </w:rPr>
        <w:t> </w:t>
      </w:r>
      <w:r>
        <w:rPr>
          <w:sz w:val="20"/>
        </w:rPr>
        <w:t>and</w:t>
      </w:r>
      <w:r>
        <w:rPr>
          <w:spacing w:val="-11"/>
          <w:sz w:val="20"/>
        </w:rPr>
        <w:t> </w:t>
      </w:r>
      <w:r>
        <w:rPr>
          <w:sz w:val="20"/>
        </w:rPr>
        <w:t>20th</w:t>
      </w:r>
      <w:r>
        <w:rPr>
          <w:spacing w:val="-11"/>
          <w:sz w:val="20"/>
        </w:rPr>
        <w:t> </w:t>
      </w:r>
      <w:r>
        <w:rPr>
          <w:sz w:val="20"/>
        </w:rPr>
        <w:t>centuries.</w:t>
      </w:r>
      <w:r>
        <w:rPr>
          <w:spacing w:val="-11"/>
          <w:sz w:val="20"/>
        </w:rPr>
        <w:t> </w:t>
      </w:r>
      <w:r>
        <w:rPr>
          <w:sz w:val="20"/>
        </w:rPr>
        <w:t>Juries,</w:t>
      </w:r>
      <w:r>
        <w:rPr>
          <w:spacing w:val="-10"/>
          <w:sz w:val="20"/>
        </w:rPr>
        <w:t> </w:t>
      </w:r>
      <w:r>
        <w:rPr>
          <w:sz w:val="20"/>
        </w:rPr>
        <w:t>unlike</w:t>
      </w:r>
      <w:r>
        <w:rPr>
          <w:spacing w:val="-11"/>
          <w:sz w:val="20"/>
        </w:rPr>
        <w:t> </w:t>
      </w:r>
      <w:r>
        <w:rPr>
          <w:sz w:val="20"/>
        </w:rPr>
        <w:t>the broader</w:t>
      </w:r>
      <w:r>
        <w:rPr>
          <w:spacing w:val="-11"/>
          <w:sz w:val="20"/>
        </w:rPr>
        <w:t> </w:t>
      </w:r>
      <w:r>
        <w:rPr>
          <w:sz w:val="20"/>
        </w:rPr>
        <w:t>justice</w:t>
      </w:r>
      <w:r>
        <w:rPr>
          <w:spacing w:val="-11"/>
          <w:sz w:val="20"/>
        </w:rPr>
        <w:t> </w:t>
      </w:r>
      <w:r>
        <w:rPr>
          <w:sz w:val="20"/>
        </w:rPr>
        <w:t>system,</w:t>
      </w:r>
      <w:r>
        <w:rPr>
          <w:spacing w:val="-11"/>
          <w:sz w:val="20"/>
        </w:rPr>
        <w:t> </w:t>
      </w:r>
      <w:r>
        <w:rPr>
          <w:sz w:val="20"/>
        </w:rPr>
        <w:t>seem</w:t>
      </w:r>
      <w:r>
        <w:rPr>
          <w:spacing w:val="-11"/>
          <w:sz w:val="20"/>
        </w:rPr>
        <w:t> </w:t>
      </w:r>
      <w:r>
        <w:rPr>
          <w:sz w:val="20"/>
        </w:rPr>
        <w:t>to</w:t>
      </w:r>
      <w:r>
        <w:rPr>
          <w:spacing w:val="-11"/>
          <w:sz w:val="20"/>
        </w:rPr>
        <w:t> </w:t>
      </w:r>
      <w:r>
        <w:rPr>
          <w:spacing w:val="-4"/>
          <w:sz w:val="20"/>
        </w:rPr>
        <w:t>have</w:t>
      </w:r>
      <w:r>
        <w:rPr>
          <w:spacing w:val="-11"/>
          <w:sz w:val="20"/>
        </w:rPr>
        <w:t> </w:t>
      </w:r>
      <w:r>
        <w:rPr>
          <w:sz w:val="20"/>
        </w:rPr>
        <w:t>remained</w:t>
      </w:r>
      <w:r>
        <w:rPr>
          <w:spacing w:val="-11"/>
          <w:sz w:val="20"/>
        </w:rPr>
        <w:t> </w:t>
      </w:r>
      <w:r>
        <w:rPr>
          <w:sz w:val="20"/>
        </w:rPr>
        <w:t>shielded</w:t>
      </w:r>
      <w:r>
        <w:rPr>
          <w:spacing w:val="-11"/>
          <w:sz w:val="20"/>
        </w:rPr>
        <w:t> </w:t>
      </w:r>
      <w:r>
        <w:rPr>
          <w:spacing w:val="-3"/>
          <w:sz w:val="20"/>
        </w:rPr>
        <w:t>from</w:t>
      </w:r>
      <w:r>
        <w:rPr>
          <w:spacing w:val="-11"/>
          <w:sz w:val="20"/>
        </w:rPr>
        <w:t> </w:t>
      </w:r>
      <w:r>
        <w:rPr>
          <w:sz w:val="20"/>
        </w:rPr>
        <w:t>broader</w:t>
      </w:r>
      <w:r>
        <w:rPr>
          <w:spacing w:val="-11"/>
          <w:sz w:val="20"/>
        </w:rPr>
        <w:t> </w:t>
      </w:r>
      <w:r>
        <w:rPr>
          <w:sz w:val="20"/>
        </w:rPr>
        <w:t>social</w:t>
      </w:r>
      <w:r>
        <w:rPr>
          <w:spacing w:val="-11"/>
          <w:sz w:val="20"/>
        </w:rPr>
        <w:t> </w:t>
      </w:r>
      <w:r>
        <w:rPr>
          <w:sz w:val="20"/>
        </w:rPr>
        <w:t>changes.</w:t>
      </w:r>
    </w:p>
    <w:p>
      <w:pPr>
        <w:pStyle w:val="ListParagraph"/>
        <w:numPr>
          <w:ilvl w:val="1"/>
          <w:numId w:val="12"/>
        </w:numPr>
        <w:tabs>
          <w:tab w:pos="1761" w:val="left" w:leader="none"/>
          <w:tab w:pos="1762" w:val="left" w:leader="none"/>
        </w:tabs>
        <w:spacing w:line="206" w:lineRule="auto" w:before="123" w:after="0"/>
        <w:ind w:left="1761" w:right="1204" w:hanging="794"/>
        <w:jc w:val="left"/>
        <w:rPr>
          <w:sz w:val="11"/>
        </w:rPr>
      </w:pPr>
      <w:r>
        <w:rPr>
          <w:spacing w:val="-3"/>
          <w:sz w:val="20"/>
        </w:rPr>
        <w:t>For </w:t>
      </w:r>
      <w:r>
        <w:rPr>
          <w:sz w:val="20"/>
        </w:rPr>
        <w:t>more than a century in Victoria, </w:t>
      </w:r>
      <w:r>
        <w:rPr>
          <w:spacing w:val="-3"/>
          <w:sz w:val="20"/>
        </w:rPr>
        <w:t>only </w:t>
      </w:r>
      <w:r>
        <w:rPr>
          <w:sz w:val="20"/>
        </w:rPr>
        <w:t>men of a certain age who owned a specified amount of property </w:t>
      </w:r>
      <w:r>
        <w:rPr>
          <w:spacing w:val="-4"/>
          <w:sz w:val="20"/>
        </w:rPr>
        <w:t>were </w:t>
      </w:r>
      <w:r>
        <w:rPr>
          <w:sz w:val="20"/>
        </w:rPr>
        <w:t>eligible for jury service. The property ownership </w:t>
      </w:r>
      <w:r>
        <w:rPr>
          <w:spacing w:val="-3"/>
          <w:sz w:val="20"/>
        </w:rPr>
        <w:t>requirement </w:t>
      </w:r>
      <w:r>
        <w:rPr>
          <w:sz w:val="20"/>
        </w:rPr>
        <w:t>was</w:t>
      </w:r>
      <w:r>
        <w:rPr>
          <w:spacing w:val="-10"/>
          <w:sz w:val="20"/>
        </w:rPr>
        <w:t> </w:t>
      </w:r>
      <w:r>
        <w:rPr>
          <w:spacing w:val="-3"/>
          <w:sz w:val="20"/>
        </w:rPr>
        <w:t>removed</w:t>
      </w:r>
      <w:r>
        <w:rPr>
          <w:spacing w:val="-9"/>
          <w:sz w:val="20"/>
        </w:rPr>
        <w:t> </w:t>
      </w:r>
      <w:r>
        <w:rPr>
          <w:sz w:val="20"/>
        </w:rPr>
        <w:t>in</w:t>
      </w:r>
      <w:r>
        <w:rPr>
          <w:spacing w:val="-9"/>
          <w:sz w:val="20"/>
        </w:rPr>
        <w:t> </w:t>
      </w:r>
      <w:r>
        <w:rPr>
          <w:sz w:val="20"/>
        </w:rPr>
        <w:t>1956,</w:t>
      </w:r>
      <w:r>
        <w:rPr>
          <w:spacing w:val="-9"/>
          <w:sz w:val="20"/>
        </w:rPr>
        <w:t> </w:t>
      </w:r>
      <w:r>
        <w:rPr>
          <w:sz w:val="20"/>
        </w:rPr>
        <w:t>when</w:t>
      </w:r>
      <w:r>
        <w:rPr>
          <w:spacing w:val="-9"/>
          <w:sz w:val="20"/>
        </w:rPr>
        <w:t> </w:t>
      </w:r>
      <w:r>
        <w:rPr>
          <w:sz w:val="20"/>
        </w:rPr>
        <w:t>jury</w:t>
      </w:r>
      <w:r>
        <w:rPr>
          <w:spacing w:val="-9"/>
          <w:sz w:val="20"/>
        </w:rPr>
        <w:t> </w:t>
      </w:r>
      <w:r>
        <w:rPr>
          <w:sz w:val="20"/>
        </w:rPr>
        <w:t>service</w:t>
      </w:r>
      <w:r>
        <w:rPr>
          <w:spacing w:val="-9"/>
          <w:sz w:val="20"/>
        </w:rPr>
        <w:t> </w:t>
      </w:r>
      <w:r>
        <w:rPr>
          <w:sz w:val="20"/>
        </w:rPr>
        <w:t>was</w:t>
      </w:r>
      <w:r>
        <w:rPr>
          <w:spacing w:val="-10"/>
          <w:sz w:val="20"/>
        </w:rPr>
        <w:t> </w:t>
      </w:r>
      <w:r>
        <w:rPr>
          <w:sz w:val="20"/>
        </w:rPr>
        <w:t>extended</w:t>
      </w:r>
      <w:r>
        <w:rPr>
          <w:spacing w:val="-9"/>
          <w:sz w:val="20"/>
        </w:rPr>
        <w:t> </w:t>
      </w:r>
      <w:r>
        <w:rPr>
          <w:sz w:val="20"/>
        </w:rPr>
        <w:t>to</w:t>
      </w:r>
      <w:r>
        <w:rPr>
          <w:spacing w:val="-9"/>
          <w:sz w:val="20"/>
        </w:rPr>
        <w:t> </w:t>
      </w:r>
      <w:r>
        <w:rPr>
          <w:spacing w:val="-3"/>
          <w:sz w:val="20"/>
        </w:rPr>
        <w:t>‘every</w:t>
      </w:r>
      <w:r>
        <w:rPr>
          <w:spacing w:val="-9"/>
          <w:sz w:val="20"/>
        </w:rPr>
        <w:t> </w:t>
      </w:r>
      <w:r>
        <w:rPr>
          <w:sz w:val="20"/>
        </w:rPr>
        <w:t>man</w:t>
      </w:r>
      <w:r>
        <w:rPr>
          <w:spacing w:val="-9"/>
          <w:sz w:val="20"/>
        </w:rPr>
        <w:t> </w:t>
      </w:r>
      <w:r>
        <w:rPr>
          <w:sz w:val="20"/>
        </w:rPr>
        <w:t>residing</w:t>
      </w:r>
      <w:r>
        <w:rPr>
          <w:spacing w:val="-9"/>
          <w:sz w:val="20"/>
        </w:rPr>
        <w:t> </w:t>
      </w:r>
      <w:r>
        <w:rPr>
          <w:sz w:val="20"/>
        </w:rPr>
        <w:t>in</w:t>
      </w:r>
      <w:r>
        <w:rPr>
          <w:spacing w:val="-9"/>
          <w:sz w:val="20"/>
        </w:rPr>
        <w:t> </w:t>
      </w:r>
      <w:r>
        <w:rPr>
          <w:sz w:val="20"/>
        </w:rPr>
        <w:t>Victoria and enrolled as an elector for the Legislative Assembly’.</w:t>
      </w:r>
      <w:r>
        <w:rPr>
          <w:position w:val="7"/>
          <w:sz w:val="11"/>
        </w:rPr>
        <w:t>27 </w:t>
      </w:r>
      <w:r>
        <w:rPr>
          <w:spacing w:val="-5"/>
          <w:sz w:val="20"/>
        </w:rPr>
        <w:t>However, </w:t>
      </w:r>
      <w:r>
        <w:rPr>
          <w:sz w:val="20"/>
        </w:rPr>
        <w:t>women continued to be </w:t>
      </w:r>
      <w:r>
        <w:rPr>
          <w:spacing w:val="-3"/>
          <w:sz w:val="20"/>
        </w:rPr>
        <w:t>excluded from </w:t>
      </w:r>
      <w:r>
        <w:rPr>
          <w:sz w:val="20"/>
        </w:rPr>
        <w:t>juries, as </w:t>
      </w:r>
      <w:r>
        <w:rPr>
          <w:spacing w:val="-4"/>
          <w:sz w:val="20"/>
        </w:rPr>
        <w:t>were </w:t>
      </w:r>
      <w:r>
        <w:rPr>
          <w:sz w:val="20"/>
        </w:rPr>
        <w:t>Aboriginal people. As Simmonds notes, an ‘institution that was meant to be the democratic </w:t>
      </w:r>
      <w:r>
        <w:rPr>
          <w:spacing w:val="-3"/>
          <w:sz w:val="20"/>
        </w:rPr>
        <w:t>voice </w:t>
      </w:r>
      <w:r>
        <w:rPr>
          <w:sz w:val="20"/>
        </w:rPr>
        <w:t>of a </w:t>
      </w:r>
      <w:r>
        <w:rPr>
          <w:spacing w:val="-3"/>
          <w:sz w:val="20"/>
        </w:rPr>
        <w:t>sovereign </w:t>
      </w:r>
      <w:r>
        <w:rPr>
          <w:sz w:val="20"/>
        </w:rPr>
        <w:t>community was instead</w:t>
      </w:r>
      <w:r>
        <w:rPr>
          <w:spacing w:val="-6"/>
          <w:sz w:val="20"/>
        </w:rPr>
        <w:t> </w:t>
      </w:r>
      <w:r>
        <w:rPr>
          <w:sz w:val="20"/>
        </w:rPr>
        <w:t>one</w:t>
      </w:r>
      <w:r>
        <w:rPr>
          <w:spacing w:val="-5"/>
          <w:sz w:val="20"/>
        </w:rPr>
        <w:t> </w:t>
      </w:r>
      <w:r>
        <w:rPr>
          <w:sz w:val="20"/>
        </w:rPr>
        <w:t>of</w:t>
      </w:r>
      <w:r>
        <w:rPr>
          <w:spacing w:val="-5"/>
          <w:sz w:val="20"/>
        </w:rPr>
        <w:t> </w:t>
      </w:r>
      <w:r>
        <w:rPr>
          <w:sz w:val="20"/>
        </w:rPr>
        <w:t>the</w:t>
      </w:r>
      <w:r>
        <w:rPr>
          <w:spacing w:val="-5"/>
          <w:sz w:val="20"/>
        </w:rPr>
        <w:t> </w:t>
      </w:r>
      <w:r>
        <w:rPr>
          <w:sz w:val="20"/>
        </w:rPr>
        <w:t>most</w:t>
      </w:r>
      <w:r>
        <w:rPr>
          <w:spacing w:val="-5"/>
          <w:sz w:val="20"/>
        </w:rPr>
        <w:t> </w:t>
      </w:r>
      <w:r>
        <w:rPr>
          <w:spacing w:val="-3"/>
          <w:sz w:val="20"/>
        </w:rPr>
        <w:t>unrepresentative</w:t>
      </w:r>
      <w:r>
        <w:rPr>
          <w:spacing w:val="-5"/>
          <w:sz w:val="20"/>
        </w:rPr>
        <w:t> </w:t>
      </w:r>
      <w:r>
        <w:rPr>
          <w:sz w:val="20"/>
        </w:rPr>
        <w:t>institutions</w:t>
      </w:r>
      <w:r>
        <w:rPr>
          <w:spacing w:val="-5"/>
          <w:sz w:val="20"/>
        </w:rPr>
        <w:t> </w:t>
      </w:r>
      <w:r>
        <w:rPr>
          <w:sz w:val="20"/>
        </w:rPr>
        <w:t>in</w:t>
      </w:r>
      <w:r>
        <w:rPr>
          <w:spacing w:val="-5"/>
          <w:sz w:val="20"/>
        </w:rPr>
        <w:t> </w:t>
      </w:r>
      <w:r>
        <w:rPr>
          <w:sz w:val="20"/>
        </w:rPr>
        <w:t>Australia’.</w:t>
      </w:r>
      <w:r>
        <w:rPr>
          <w:position w:val="7"/>
          <w:sz w:val="11"/>
        </w:rPr>
        <w:t>28</w:t>
      </w:r>
    </w:p>
    <w:p>
      <w:pPr>
        <w:pStyle w:val="BodyText"/>
      </w:pPr>
    </w:p>
    <w:p>
      <w:pPr>
        <w:pStyle w:val="BodyText"/>
      </w:pPr>
    </w:p>
    <w:p>
      <w:pPr>
        <w:pStyle w:val="BodyText"/>
        <w:spacing w:before="8"/>
        <w:rPr>
          <w:sz w:val="16"/>
        </w:rPr>
      </w:pPr>
      <w:r>
        <w:rPr/>
        <w:pict>
          <v:line style="position:absolute;mso-position-horizontal-relative:page;mso-position-vertical-relative:paragraph;z-index:2024;mso-wrap-distance-left:0;mso-wrap-distance-right:0" from="79.370102pt,13.9769pt" to="515.905102pt,13.9769pt" stroked="true" strokeweight="1pt" strokecolor="#b6bdc8">
            <v:stroke dashstyle="solid"/>
            <w10:wrap type="topAndBottom"/>
          </v:line>
        </w:pict>
      </w:r>
    </w:p>
    <w:p>
      <w:pPr>
        <w:pStyle w:val="ListParagraph"/>
        <w:numPr>
          <w:ilvl w:val="0"/>
          <w:numId w:val="34"/>
        </w:numPr>
        <w:tabs>
          <w:tab w:pos="1761" w:val="left" w:leader="none"/>
          <w:tab w:pos="1762" w:val="left" w:leader="none"/>
        </w:tabs>
        <w:spacing w:line="213" w:lineRule="auto" w:before="107" w:after="0"/>
        <w:ind w:left="1761" w:right="1428" w:hanging="794"/>
        <w:jc w:val="left"/>
        <w:rPr>
          <w:sz w:val="13"/>
        </w:rPr>
      </w:pPr>
      <w:r>
        <w:rPr>
          <w:i/>
          <w:spacing w:val="2"/>
          <w:sz w:val="13"/>
        </w:rPr>
        <w:t>Jury </w:t>
      </w:r>
      <w:r>
        <w:rPr>
          <w:i/>
          <w:sz w:val="13"/>
        </w:rPr>
        <w:t>Trials Act 1832 </w:t>
      </w:r>
      <w:r>
        <w:rPr>
          <w:spacing w:val="2"/>
          <w:sz w:val="13"/>
        </w:rPr>
        <w:t>(NSW): </w:t>
      </w:r>
      <w:r>
        <w:rPr>
          <w:sz w:val="13"/>
        </w:rPr>
        <w:t>see Law Reform Committee, Parliament of Victoria, </w:t>
      </w:r>
      <w:r>
        <w:rPr>
          <w:i/>
          <w:spacing w:val="2"/>
          <w:sz w:val="13"/>
        </w:rPr>
        <w:t>Jury Service </w:t>
      </w:r>
      <w:r>
        <w:rPr>
          <w:i/>
          <w:sz w:val="13"/>
        </w:rPr>
        <w:t>in Victoria </w:t>
      </w:r>
      <w:r>
        <w:rPr>
          <w:sz w:val="13"/>
        </w:rPr>
        <w:t>(Final </w:t>
      </w:r>
      <w:r>
        <w:rPr>
          <w:spacing w:val="2"/>
          <w:sz w:val="13"/>
        </w:rPr>
        <w:t>Report, December </w:t>
      </w:r>
      <w:r>
        <w:rPr>
          <w:sz w:val="13"/>
        </w:rPr>
        <w:t>1997) vol 3 </w:t>
      </w:r>
      <w:r>
        <w:rPr>
          <w:spacing w:val="2"/>
          <w:sz w:val="13"/>
        </w:rPr>
        <w:t>[1.86].</w:t>
      </w:r>
    </w:p>
    <w:p>
      <w:pPr>
        <w:pStyle w:val="ListParagraph"/>
        <w:numPr>
          <w:ilvl w:val="0"/>
          <w:numId w:val="34"/>
        </w:numPr>
        <w:tabs>
          <w:tab w:pos="1760" w:val="left" w:leader="none"/>
          <w:tab w:pos="1762" w:val="left" w:leader="none"/>
        </w:tabs>
        <w:spacing w:line="153" w:lineRule="exact" w:before="0" w:after="0"/>
        <w:ind w:left="1761" w:right="0" w:hanging="794"/>
        <w:jc w:val="left"/>
        <w:rPr>
          <w:sz w:val="13"/>
        </w:rPr>
      </w:pPr>
      <w:r>
        <w:rPr>
          <w:sz w:val="13"/>
        </w:rPr>
        <w:t>Elise Histed, ‘The Introduction and Use of the </w:t>
      </w:r>
      <w:r>
        <w:rPr>
          <w:spacing w:val="2"/>
          <w:sz w:val="13"/>
        </w:rPr>
        <w:t>Grand Jury </w:t>
      </w:r>
      <w:r>
        <w:rPr>
          <w:sz w:val="13"/>
        </w:rPr>
        <w:t>in Victoria’ (1987) </w:t>
      </w:r>
      <w:r>
        <w:rPr>
          <w:spacing w:val="2"/>
          <w:sz w:val="13"/>
        </w:rPr>
        <w:t>8(2) </w:t>
      </w:r>
      <w:r>
        <w:rPr>
          <w:i/>
          <w:sz w:val="13"/>
        </w:rPr>
        <w:t>The Journal of Legal History </w:t>
      </w:r>
      <w:r>
        <w:rPr>
          <w:sz w:val="13"/>
        </w:rPr>
        <w:t>167,</w:t>
      </w:r>
      <w:r>
        <w:rPr>
          <w:spacing w:val="21"/>
          <w:sz w:val="13"/>
        </w:rPr>
        <w:t> </w:t>
      </w:r>
      <w:r>
        <w:rPr>
          <w:sz w:val="13"/>
        </w:rPr>
        <w:t>167.</w:t>
      </w:r>
    </w:p>
    <w:p>
      <w:pPr>
        <w:pStyle w:val="ListParagraph"/>
        <w:numPr>
          <w:ilvl w:val="0"/>
          <w:numId w:val="34"/>
        </w:numPr>
        <w:tabs>
          <w:tab w:pos="1760" w:val="left" w:leader="none"/>
          <w:tab w:pos="1762" w:val="left" w:leader="none"/>
        </w:tabs>
        <w:spacing w:line="160" w:lineRule="exact" w:before="0" w:after="0"/>
        <w:ind w:left="1761" w:right="0" w:hanging="794"/>
        <w:jc w:val="left"/>
        <w:rPr>
          <w:sz w:val="13"/>
        </w:rPr>
      </w:pPr>
      <w:r>
        <w:rPr>
          <w:sz w:val="13"/>
        </w:rPr>
        <w:t>JM </w:t>
      </w:r>
      <w:r>
        <w:rPr>
          <w:spacing w:val="2"/>
          <w:sz w:val="13"/>
        </w:rPr>
        <w:t>Bennett, </w:t>
      </w:r>
      <w:r>
        <w:rPr>
          <w:sz w:val="13"/>
        </w:rPr>
        <w:t>‘The </w:t>
      </w:r>
      <w:r>
        <w:rPr>
          <w:spacing w:val="2"/>
          <w:sz w:val="13"/>
        </w:rPr>
        <w:t>Establishment </w:t>
      </w:r>
      <w:r>
        <w:rPr>
          <w:sz w:val="13"/>
        </w:rPr>
        <w:t>of </w:t>
      </w:r>
      <w:r>
        <w:rPr>
          <w:spacing w:val="2"/>
          <w:sz w:val="13"/>
        </w:rPr>
        <w:t>Jury </w:t>
      </w:r>
      <w:r>
        <w:rPr>
          <w:sz w:val="13"/>
        </w:rPr>
        <w:t>Trial in New South Wales’ </w:t>
      </w:r>
      <w:r>
        <w:rPr>
          <w:spacing w:val="2"/>
          <w:sz w:val="13"/>
        </w:rPr>
        <w:t>(1961) 3(3) </w:t>
      </w:r>
      <w:r>
        <w:rPr>
          <w:i/>
          <w:sz w:val="13"/>
        </w:rPr>
        <w:t>Sydney Law Review </w:t>
      </w:r>
      <w:r>
        <w:rPr>
          <w:sz w:val="13"/>
        </w:rPr>
        <w:t>463, 473–4.</w:t>
      </w:r>
    </w:p>
    <w:p>
      <w:pPr>
        <w:pStyle w:val="ListParagraph"/>
        <w:numPr>
          <w:ilvl w:val="0"/>
          <w:numId w:val="34"/>
        </w:numPr>
        <w:tabs>
          <w:tab w:pos="1761" w:val="left" w:leader="none"/>
          <w:tab w:pos="1762" w:val="left" w:leader="none"/>
        </w:tabs>
        <w:spacing w:line="213" w:lineRule="auto" w:before="6" w:after="0"/>
        <w:ind w:left="1761" w:right="1222" w:hanging="794"/>
        <w:jc w:val="left"/>
        <w:rPr>
          <w:sz w:val="13"/>
        </w:rPr>
      </w:pPr>
      <w:r>
        <w:rPr>
          <w:i/>
          <w:sz w:val="13"/>
        </w:rPr>
        <w:t>Juries Act 1839 </w:t>
      </w:r>
      <w:r>
        <w:rPr>
          <w:spacing w:val="2"/>
          <w:sz w:val="13"/>
        </w:rPr>
        <w:t>(NSW) </w:t>
      </w:r>
      <w:r>
        <w:rPr>
          <w:sz w:val="13"/>
        </w:rPr>
        <w:t>cl 2 which </w:t>
      </w:r>
      <w:r>
        <w:rPr>
          <w:spacing w:val="2"/>
          <w:sz w:val="13"/>
        </w:rPr>
        <w:t>amended </w:t>
      </w:r>
      <w:r>
        <w:rPr>
          <w:i/>
          <w:spacing w:val="2"/>
          <w:sz w:val="13"/>
        </w:rPr>
        <w:t>Jury </w:t>
      </w:r>
      <w:r>
        <w:rPr>
          <w:i/>
          <w:sz w:val="13"/>
        </w:rPr>
        <w:t>Trials Act 1832 </w:t>
      </w:r>
      <w:r>
        <w:rPr>
          <w:sz w:val="13"/>
        </w:rPr>
        <w:t>(NSW). See </w:t>
      </w:r>
      <w:r>
        <w:rPr>
          <w:spacing w:val="2"/>
          <w:sz w:val="13"/>
        </w:rPr>
        <w:t>also </w:t>
      </w:r>
      <w:r>
        <w:rPr>
          <w:sz w:val="13"/>
        </w:rPr>
        <w:t>Law Reform Committee, Parliament of Victoria,    </w:t>
      </w:r>
      <w:r>
        <w:rPr>
          <w:i/>
          <w:spacing w:val="2"/>
          <w:sz w:val="13"/>
        </w:rPr>
        <w:t>Jury Service </w:t>
      </w:r>
      <w:r>
        <w:rPr>
          <w:i/>
          <w:sz w:val="13"/>
        </w:rPr>
        <w:t>in Victoria </w:t>
      </w:r>
      <w:r>
        <w:rPr>
          <w:sz w:val="13"/>
        </w:rPr>
        <w:t>(Final </w:t>
      </w:r>
      <w:r>
        <w:rPr>
          <w:spacing w:val="2"/>
          <w:sz w:val="13"/>
        </w:rPr>
        <w:t>Report, December </w:t>
      </w:r>
      <w:r>
        <w:rPr>
          <w:sz w:val="13"/>
        </w:rPr>
        <w:t>1997) vol 3 </w:t>
      </w:r>
      <w:r>
        <w:rPr>
          <w:spacing w:val="2"/>
          <w:sz w:val="13"/>
        </w:rPr>
        <w:t>[1.88]; </w:t>
      </w:r>
      <w:r>
        <w:rPr>
          <w:sz w:val="13"/>
        </w:rPr>
        <w:t>JM </w:t>
      </w:r>
      <w:r>
        <w:rPr>
          <w:spacing w:val="2"/>
          <w:sz w:val="13"/>
        </w:rPr>
        <w:t>Bennett, </w:t>
      </w:r>
      <w:r>
        <w:rPr>
          <w:sz w:val="13"/>
        </w:rPr>
        <w:t>‘The </w:t>
      </w:r>
      <w:r>
        <w:rPr>
          <w:spacing w:val="2"/>
          <w:sz w:val="13"/>
        </w:rPr>
        <w:t>Establishment </w:t>
      </w:r>
      <w:r>
        <w:rPr>
          <w:sz w:val="13"/>
        </w:rPr>
        <w:t>of </w:t>
      </w:r>
      <w:r>
        <w:rPr>
          <w:spacing w:val="2"/>
          <w:sz w:val="13"/>
        </w:rPr>
        <w:t>Jury </w:t>
      </w:r>
      <w:r>
        <w:rPr>
          <w:sz w:val="13"/>
        </w:rPr>
        <w:t>Trial in New South  Wales’ </w:t>
      </w:r>
      <w:r>
        <w:rPr>
          <w:spacing w:val="2"/>
          <w:sz w:val="13"/>
        </w:rPr>
        <w:t>(1961) 3(3) </w:t>
      </w:r>
      <w:r>
        <w:rPr>
          <w:i/>
          <w:sz w:val="13"/>
        </w:rPr>
        <w:t>Sydney Law Review </w:t>
      </w:r>
      <w:r>
        <w:rPr>
          <w:sz w:val="13"/>
        </w:rPr>
        <w:t>463, 476; Elise Histed, ‘The Introduction and Use of the </w:t>
      </w:r>
      <w:r>
        <w:rPr>
          <w:spacing w:val="2"/>
          <w:sz w:val="13"/>
        </w:rPr>
        <w:t>Grand Jury </w:t>
      </w:r>
      <w:r>
        <w:rPr>
          <w:sz w:val="13"/>
        </w:rPr>
        <w:t>in Victoria’ (1987) </w:t>
      </w:r>
      <w:r>
        <w:rPr>
          <w:spacing w:val="2"/>
          <w:sz w:val="13"/>
        </w:rPr>
        <w:t>8(2) </w:t>
      </w:r>
      <w:r>
        <w:rPr>
          <w:i/>
          <w:sz w:val="13"/>
        </w:rPr>
        <w:t>The </w:t>
      </w:r>
      <w:r>
        <w:rPr>
          <w:i/>
          <w:sz w:val="13"/>
        </w:rPr>
        <w:t>Journal of Legal History </w:t>
      </w:r>
      <w:r>
        <w:rPr>
          <w:sz w:val="13"/>
        </w:rPr>
        <w:t>167, 167.</w:t>
      </w:r>
    </w:p>
    <w:p>
      <w:pPr>
        <w:pStyle w:val="ListParagraph"/>
        <w:numPr>
          <w:ilvl w:val="0"/>
          <w:numId w:val="34"/>
        </w:numPr>
        <w:tabs>
          <w:tab w:pos="1761" w:val="left" w:leader="none"/>
          <w:tab w:pos="1762" w:val="left" w:leader="none"/>
        </w:tabs>
        <w:spacing w:line="151" w:lineRule="exact" w:before="0" w:after="0"/>
        <w:ind w:left="1761" w:right="0" w:hanging="794"/>
        <w:jc w:val="left"/>
        <w:rPr>
          <w:sz w:val="13"/>
        </w:rPr>
      </w:pPr>
      <w:r>
        <w:rPr>
          <w:i/>
          <w:sz w:val="13"/>
        </w:rPr>
        <w:t>Jurors and Juries Consolidation Act 1847 </w:t>
      </w:r>
      <w:r>
        <w:rPr>
          <w:sz w:val="13"/>
        </w:rPr>
        <w:t>(NSW).</w:t>
      </w:r>
    </w:p>
    <w:p>
      <w:pPr>
        <w:pStyle w:val="ListParagraph"/>
        <w:numPr>
          <w:ilvl w:val="0"/>
          <w:numId w:val="34"/>
        </w:numPr>
        <w:tabs>
          <w:tab w:pos="1761" w:val="left" w:leader="none"/>
          <w:tab w:pos="1762" w:val="left" w:leader="none"/>
        </w:tabs>
        <w:spacing w:line="213" w:lineRule="auto" w:before="7" w:after="0"/>
        <w:ind w:left="1761" w:right="1287" w:hanging="794"/>
        <w:jc w:val="left"/>
        <w:rPr>
          <w:sz w:val="13"/>
        </w:rPr>
      </w:pPr>
      <w:r>
        <w:rPr>
          <w:sz w:val="13"/>
        </w:rPr>
        <w:t>Law Reform Committee, Parliament of Victoria, </w:t>
      </w:r>
      <w:r>
        <w:rPr>
          <w:i/>
          <w:spacing w:val="2"/>
          <w:sz w:val="13"/>
        </w:rPr>
        <w:t>Jury Service </w:t>
      </w:r>
      <w:r>
        <w:rPr>
          <w:i/>
          <w:sz w:val="13"/>
        </w:rPr>
        <w:t>in Victoria </w:t>
      </w:r>
      <w:r>
        <w:rPr>
          <w:sz w:val="13"/>
        </w:rPr>
        <w:t>(Final </w:t>
      </w:r>
      <w:r>
        <w:rPr>
          <w:spacing w:val="2"/>
          <w:sz w:val="13"/>
        </w:rPr>
        <w:t>Report, December </w:t>
      </w:r>
      <w:r>
        <w:rPr>
          <w:sz w:val="13"/>
        </w:rPr>
        <w:t>1997) vol 3 </w:t>
      </w:r>
      <w:r>
        <w:rPr>
          <w:spacing w:val="2"/>
          <w:sz w:val="13"/>
        </w:rPr>
        <w:t>[1.90]. </w:t>
      </w:r>
      <w:r>
        <w:rPr>
          <w:sz w:val="13"/>
        </w:rPr>
        <w:t>The Act  rendered all men (subject to exemptions and disqualifications) over the age of 21 resident in the colony and having an annual income of at least 30 pounds or real or personal estate worth 300 pounds liable to serve on civil or criminal </w:t>
      </w:r>
      <w:r>
        <w:rPr>
          <w:spacing w:val="2"/>
          <w:sz w:val="13"/>
        </w:rPr>
        <w:t>juries. </w:t>
      </w:r>
      <w:r>
        <w:rPr>
          <w:sz w:val="13"/>
        </w:rPr>
        <w:t>A special </w:t>
      </w:r>
      <w:r>
        <w:rPr>
          <w:spacing w:val="2"/>
          <w:sz w:val="13"/>
        </w:rPr>
        <w:t>jury</w:t>
      </w:r>
      <w:r>
        <w:rPr>
          <w:spacing w:val="37"/>
          <w:sz w:val="13"/>
        </w:rPr>
        <w:t> </w:t>
      </w:r>
      <w:r>
        <w:rPr>
          <w:sz w:val="13"/>
        </w:rPr>
        <w:t>list was retained of people of esquire or higher, Justices of the Peace, bank directors and councillors of the city of Sydney or the town of </w:t>
      </w:r>
      <w:r>
        <w:rPr>
          <w:spacing w:val="2"/>
          <w:sz w:val="13"/>
        </w:rPr>
        <w:t>Melbourne: </w:t>
      </w:r>
      <w:r>
        <w:rPr>
          <w:sz w:val="13"/>
        </w:rPr>
        <w:t>JM </w:t>
      </w:r>
      <w:r>
        <w:rPr>
          <w:spacing w:val="2"/>
          <w:sz w:val="13"/>
        </w:rPr>
        <w:t>Bennett, </w:t>
      </w:r>
      <w:r>
        <w:rPr>
          <w:sz w:val="13"/>
        </w:rPr>
        <w:t>‘The </w:t>
      </w:r>
      <w:r>
        <w:rPr>
          <w:spacing w:val="2"/>
          <w:sz w:val="13"/>
        </w:rPr>
        <w:t>Establishment </w:t>
      </w:r>
      <w:r>
        <w:rPr>
          <w:sz w:val="13"/>
        </w:rPr>
        <w:t>of </w:t>
      </w:r>
      <w:r>
        <w:rPr>
          <w:spacing w:val="2"/>
          <w:sz w:val="13"/>
        </w:rPr>
        <w:t>Jury </w:t>
      </w:r>
      <w:r>
        <w:rPr>
          <w:sz w:val="13"/>
        </w:rPr>
        <w:t>Trial in New South Wales’ </w:t>
      </w:r>
      <w:r>
        <w:rPr>
          <w:spacing w:val="2"/>
          <w:sz w:val="13"/>
        </w:rPr>
        <w:t>(1961) 3(3) </w:t>
      </w:r>
      <w:r>
        <w:rPr>
          <w:i/>
          <w:sz w:val="13"/>
        </w:rPr>
        <w:t>Sydney Law Review </w:t>
      </w:r>
      <w:r>
        <w:rPr>
          <w:sz w:val="13"/>
        </w:rPr>
        <w:t>463,</w:t>
      </w:r>
      <w:r>
        <w:rPr>
          <w:spacing w:val="27"/>
          <w:sz w:val="13"/>
        </w:rPr>
        <w:t> </w:t>
      </w:r>
      <w:r>
        <w:rPr>
          <w:spacing w:val="2"/>
          <w:sz w:val="13"/>
        </w:rPr>
        <w:t>481.</w:t>
      </w:r>
    </w:p>
    <w:p>
      <w:pPr>
        <w:pStyle w:val="ListParagraph"/>
        <w:numPr>
          <w:ilvl w:val="0"/>
          <w:numId w:val="34"/>
        </w:numPr>
        <w:tabs>
          <w:tab w:pos="1761" w:val="left" w:leader="none"/>
          <w:tab w:pos="1762" w:val="left" w:leader="none"/>
        </w:tabs>
        <w:spacing w:line="151" w:lineRule="exact" w:before="0" w:after="0"/>
        <w:ind w:left="1761" w:right="0" w:hanging="794"/>
        <w:jc w:val="left"/>
        <w:rPr>
          <w:i/>
          <w:sz w:val="13"/>
        </w:rPr>
      </w:pPr>
      <w:r>
        <w:rPr>
          <w:i/>
          <w:sz w:val="13"/>
        </w:rPr>
        <w:t>Jurors and Juries Consolidation Act 1847 </w:t>
      </w:r>
      <w:r>
        <w:rPr>
          <w:sz w:val="13"/>
        </w:rPr>
        <w:t>(NSW). See </w:t>
      </w:r>
      <w:r>
        <w:rPr>
          <w:spacing w:val="2"/>
          <w:sz w:val="13"/>
        </w:rPr>
        <w:t>also </w:t>
      </w:r>
      <w:r>
        <w:rPr>
          <w:sz w:val="13"/>
        </w:rPr>
        <w:t>Law Reform Committee, Parliament of Victoria, </w:t>
      </w:r>
      <w:r>
        <w:rPr>
          <w:i/>
          <w:spacing w:val="2"/>
          <w:sz w:val="13"/>
        </w:rPr>
        <w:t>Jury Service </w:t>
      </w:r>
      <w:r>
        <w:rPr>
          <w:i/>
          <w:sz w:val="13"/>
        </w:rPr>
        <w:t>in Victoria</w:t>
      </w:r>
    </w:p>
    <w:p>
      <w:pPr>
        <w:spacing w:line="160" w:lineRule="exact" w:before="0"/>
        <w:ind w:left="1761" w:right="0" w:firstLine="0"/>
        <w:jc w:val="left"/>
        <w:rPr>
          <w:sz w:val="13"/>
        </w:rPr>
      </w:pPr>
      <w:r>
        <w:rPr>
          <w:sz w:val="13"/>
        </w:rPr>
        <w:t>(Final Report, December 1997) vol 3 [1.100].</w:t>
      </w:r>
    </w:p>
    <w:p>
      <w:pPr>
        <w:pStyle w:val="ListParagraph"/>
        <w:numPr>
          <w:ilvl w:val="0"/>
          <w:numId w:val="34"/>
        </w:numPr>
        <w:tabs>
          <w:tab w:pos="1761" w:val="left" w:leader="none"/>
          <w:tab w:pos="1762" w:val="left" w:leader="none"/>
        </w:tabs>
        <w:spacing w:line="160" w:lineRule="exact" w:before="0" w:after="0"/>
        <w:ind w:left="1761" w:right="0" w:hanging="794"/>
        <w:jc w:val="left"/>
        <w:rPr>
          <w:sz w:val="13"/>
        </w:rPr>
      </w:pPr>
      <w:r>
        <w:rPr>
          <w:sz w:val="13"/>
        </w:rPr>
        <w:t>‘Our History’, </w:t>
      </w:r>
      <w:r>
        <w:rPr>
          <w:i/>
          <w:sz w:val="13"/>
        </w:rPr>
        <w:t>Supreme Court of Victoria </w:t>
      </w:r>
      <w:r>
        <w:rPr>
          <w:sz w:val="13"/>
        </w:rPr>
        <w:t>(Web Page)</w:t>
      </w:r>
      <w:r>
        <w:rPr>
          <w:spacing w:val="17"/>
          <w:sz w:val="13"/>
        </w:rPr>
        <w:t> </w:t>
      </w:r>
      <w:r>
        <w:rPr>
          <w:sz w:val="13"/>
        </w:rPr>
        <w:t>&lt;</w:t>
      </w:r>
      <w:hyperlink r:id="rId82">
        <w:r>
          <w:rPr>
            <w:sz w:val="13"/>
          </w:rPr>
          <w:t>https://www.supremecourt.vic.gov.au/about-the-court/our-history</w:t>
        </w:r>
      </w:hyperlink>
      <w:r>
        <w:rPr>
          <w:sz w:val="13"/>
        </w:rPr>
        <w:t>&gt;.</w:t>
      </w:r>
    </w:p>
    <w:p>
      <w:pPr>
        <w:pStyle w:val="ListParagraph"/>
        <w:numPr>
          <w:ilvl w:val="0"/>
          <w:numId w:val="34"/>
        </w:numPr>
        <w:tabs>
          <w:tab w:pos="1761" w:val="left" w:leader="none"/>
          <w:tab w:pos="1762" w:val="left" w:leader="none"/>
        </w:tabs>
        <w:spacing w:line="160" w:lineRule="exact" w:before="0" w:after="0"/>
        <w:ind w:left="1761" w:right="0" w:hanging="794"/>
        <w:jc w:val="left"/>
        <w:rPr>
          <w:sz w:val="13"/>
        </w:rPr>
      </w:pPr>
      <w:r>
        <w:rPr>
          <w:i/>
          <w:sz w:val="13"/>
        </w:rPr>
        <w:t>Act to Alter the Laws Relative to Jurors and Juries in Certain Districts 1852</w:t>
      </w:r>
      <w:r>
        <w:rPr>
          <w:i/>
          <w:spacing w:val="7"/>
          <w:sz w:val="13"/>
        </w:rPr>
        <w:t> </w:t>
      </w:r>
      <w:r>
        <w:rPr>
          <w:sz w:val="13"/>
        </w:rPr>
        <w:t>(Vic).</w:t>
      </w:r>
    </w:p>
    <w:p>
      <w:pPr>
        <w:pStyle w:val="ListParagraph"/>
        <w:numPr>
          <w:ilvl w:val="0"/>
          <w:numId w:val="34"/>
        </w:numPr>
        <w:tabs>
          <w:tab w:pos="1761" w:val="left" w:leader="none"/>
          <w:tab w:pos="1762" w:val="left" w:leader="none"/>
        </w:tabs>
        <w:spacing w:line="213" w:lineRule="auto" w:before="6" w:after="0"/>
        <w:ind w:left="1761" w:right="1515" w:hanging="794"/>
        <w:jc w:val="left"/>
        <w:rPr>
          <w:sz w:val="13"/>
        </w:rPr>
      </w:pPr>
      <w:r>
        <w:rPr>
          <w:i/>
          <w:sz w:val="13"/>
        </w:rPr>
        <w:t>Juries Act 1956 </w:t>
      </w:r>
      <w:r>
        <w:rPr>
          <w:spacing w:val="2"/>
          <w:sz w:val="13"/>
        </w:rPr>
        <w:t>(Vic) </w:t>
      </w:r>
      <w:r>
        <w:rPr>
          <w:sz w:val="13"/>
        </w:rPr>
        <w:t>s 4; Law Reform Committee, Parliament of Victoria, </w:t>
      </w:r>
      <w:r>
        <w:rPr>
          <w:i/>
          <w:spacing w:val="2"/>
          <w:sz w:val="13"/>
        </w:rPr>
        <w:t>Jury Service </w:t>
      </w:r>
      <w:r>
        <w:rPr>
          <w:i/>
          <w:sz w:val="13"/>
        </w:rPr>
        <w:t>in Victoria </w:t>
      </w:r>
      <w:r>
        <w:rPr>
          <w:sz w:val="13"/>
        </w:rPr>
        <w:t>(Issues Paper No 1, November </w:t>
      </w:r>
      <w:r>
        <w:rPr>
          <w:spacing w:val="2"/>
          <w:sz w:val="13"/>
        </w:rPr>
        <w:t>1994)</w:t>
      </w:r>
      <w:r>
        <w:rPr>
          <w:sz w:val="13"/>
        </w:rPr>
        <w:t> </w:t>
      </w:r>
      <w:r>
        <w:rPr>
          <w:spacing w:val="2"/>
          <w:sz w:val="13"/>
        </w:rPr>
        <w:t>[2.2.1].</w:t>
      </w:r>
    </w:p>
    <w:p>
      <w:pPr>
        <w:pStyle w:val="ListParagraph"/>
        <w:numPr>
          <w:ilvl w:val="0"/>
          <w:numId w:val="34"/>
        </w:numPr>
        <w:tabs>
          <w:tab w:pos="1760" w:val="left" w:leader="none"/>
          <w:tab w:pos="1762" w:val="left" w:leader="none"/>
        </w:tabs>
        <w:spacing w:line="213" w:lineRule="auto" w:before="0" w:after="0"/>
        <w:ind w:left="1761" w:right="1446" w:hanging="794"/>
        <w:jc w:val="left"/>
        <w:rPr>
          <w:sz w:val="13"/>
        </w:rPr>
      </w:pPr>
      <w:r>
        <w:rPr/>
        <w:pict>
          <v:shape style="position:absolute;margin-left:36pt;margin-top:11.393091pt;width:13.55pt;height:14.1pt;mso-position-horizontal-relative:page;mso-position-vertical-relative:paragraph;z-index:4096" type="#_x0000_t202" filled="false" stroked="false">
            <v:textbox inset="0,0,0,0">
              <w:txbxContent>
                <w:p>
                  <w:pPr>
                    <w:spacing w:line="282" w:lineRule="exact" w:before="0"/>
                    <w:ind w:left="0" w:right="0" w:firstLine="0"/>
                    <w:jc w:val="left"/>
                    <w:rPr>
                      <w:b/>
                      <w:sz w:val="24"/>
                    </w:rPr>
                  </w:pPr>
                  <w:r>
                    <w:rPr>
                      <w:b/>
                      <w:color w:val="37617A"/>
                      <w:sz w:val="24"/>
                    </w:rPr>
                    <w:t>32</w:t>
                  </w:r>
                </w:p>
              </w:txbxContent>
            </v:textbox>
            <w10:wrap type="none"/>
          </v:shape>
        </w:pict>
      </w:r>
      <w:r>
        <w:rPr>
          <w:sz w:val="13"/>
        </w:rPr>
        <w:t>Alecia </w:t>
      </w:r>
      <w:r>
        <w:rPr>
          <w:spacing w:val="2"/>
          <w:sz w:val="13"/>
        </w:rPr>
        <w:t>Simmonds, </w:t>
      </w:r>
      <w:r>
        <w:rPr>
          <w:sz w:val="13"/>
        </w:rPr>
        <w:t>‘Friendless in the Courtroom’, </w:t>
      </w:r>
      <w:r>
        <w:rPr>
          <w:i/>
          <w:sz w:val="13"/>
        </w:rPr>
        <w:t>Inside Story </w:t>
      </w:r>
      <w:r>
        <w:rPr>
          <w:sz w:val="13"/>
        </w:rPr>
        <w:t>(Web Page, </w:t>
      </w:r>
      <w:r>
        <w:rPr>
          <w:spacing w:val="3"/>
          <w:sz w:val="13"/>
        </w:rPr>
        <w:t>14 </w:t>
      </w:r>
      <w:r>
        <w:rPr>
          <w:sz w:val="13"/>
        </w:rPr>
        <w:t>May 2021) &lt;</w:t>
      </w:r>
      <w:hyperlink r:id="rId79">
        <w:r>
          <w:rPr>
            <w:sz w:val="13"/>
          </w:rPr>
          <w:t>https://insidestory.org.au/friendless-</w:t>
        </w:r>
      </w:hyperlink>
      <w:hyperlink r:id="rId79">
        <w:r>
          <w:rPr>
            <w:sz w:val="13"/>
          </w:rPr>
          <w:t> in-the-courtroom/</w:t>
        </w:r>
      </w:hyperlink>
      <w:r>
        <w:rPr>
          <w:sz w:val="13"/>
        </w:rPr>
        <w:t>&gt;. See </w:t>
      </w:r>
      <w:r>
        <w:rPr>
          <w:spacing w:val="2"/>
          <w:sz w:val="13"/>
        </w:rPr>
        <w:t>also </w:t>
      </w:r>
      <w:r>
        <w:rPr>
          <w:sz w:val="13"/>
        </w:rPr>
        <w:t>Andrew </w:t>
      </w:r>
      <w:r>
        <w:rPr>
          <w:spacing w:val="-5"/>
          <w:sz w:val="13"/>
        </w:rPr>
        <w:t>LT </w:t>
      </w:r>
      <w:r>
        <w:rPr>
          <w:sz w:val="13"/>
        </w:rPr>
        <w:t>Choo and Jill Hunter, </w:t>
      </w:r>
      <w:r>
        <w:rPr>
          <w:spacing w:val="2"/>
          <w:sz w:val="13"/>
        </w:rPr>
        <w:t>‘Gender </w:t>
      </w:r>
      <w:r>
        <w:rPr>
          <w:sz w:val="13"/>
        </w:rPr>
        <w:t>Discrimination and Juries in the 20th </w:t>
      </w:r>
      <w:r>
        <w:rPr>
          <w:spacing w:val="2"/>
          <w:sz w:val="13"/>
        </w:rPr>
        <w:t>Century: </w:t>
      </w:r>
      <w:r>
        <w:rPr>
          <w:sz w:val="13"/>
        </w:rPr>
        <w:t>Judging Women Judging Men’ (2018) </w:t>
      </w:r>
      <w:r>
        <w:rPr>
          <w:spacing w:val="2"/>
          <w:sz w:val="13"/>
        </w:rPr>
        <w:t>22(3) </w:t>
      </w:r>
      <w:r>
        <w:rPr>
          <w:i/>
          <w:sz w:val="13"/>
        </w:rPr>
        <w:t>The International Journal of Evidence &amp; Proof </w:t>
      </w:r>
      <w:r>
        <w:rPr>
          <w:sz w:val="13"/>
        </w:rPr>
        <w:t>192,</w:t>
      </w:r>
      <w:r>
        <w:rPr>
          <w:spacing w:val="12"/>
          <w:sz w:val="13"/>
        </w:rPr>
        <w:t> </w:t>
      </w:r>
      <w:r>
        <w:rPr>
          <w:sz w:val="13"/>
        </w:rPr>
        <w:t>208.</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spacing w:before="49"/>
        <w:ind w:left="967" w:right="0" w:firstLine="0"/>
        <w:jc w:val="left"/>
        <w:rPr>
          <w:b/>
          <w:sz w:val="24"/>
        </w:rPr>
      </w:pPr>
      <w:bookmarkStart w:name="A comparable reform: the inclusion of wo" w:id="79"/>
      <w:bookmarkEnd w:id="79"/>
      <w:r>
        <w:rPr/>
      </w:r>
      <w:bookmarkStart w:name="_bookmark30" w:id="80"/>
      <w:bookmarkEnd w:id="80"/>
      <w:r>
        <w:rPr/>
      </w:r>
      <w:r>
        <w:rPr>
          <w:b/>
          <w:sz w:val="24"/>
        </w:rPr>
        <w:t>The exclusion of Aboriginal people</w:t>
      </w:r>
    </w:p>
    <w:p>
      <w:pPr>
        <w:pStyle w:val="ListParagraph"/>
        <w:numPr>
          <w:ilvl w:val="1"/>
          <w:numId w:val="12"/>
        </w:numPr>
        <w:tabs>
          <w:tab w:pos="1761" w:val="left" w:leader="none"/>
          <w:tab w:pos="1762" w:val="left" w:leader="none"/>
        </w:tabs>
        <w:spacing w:line="206" w:lineRule="auto" w:before="127" w:after="0"/>
        <w:ind w:left="1761" w:right="1281" w:hanging="794"/>
        <w:jc w:val="left"/>
        <w:rPr>
          <w:sz w:val="11"/>
        </w:rPr>
      </w:pPr>
      <w:r>
        <w:rPr>
          <w:sz w:val="20"/>
        </w:rPr>
        <w:t>Choo and Hunter observe that the </w:t>
      </w:r>
      <w:r>
        <w:rPr>
          <w:spacing w:val="-3"/>
          <w:sz w:val="20"/>
        </w:rPr>
        <w:t>failure </w:t>
      </w:r>
      <w:r>
        <w:rPr>
          <w:sz w:val="20"/>
        </w:rPr>
        <w:t>to </w:t>
      </w:r>
      <w:r>
        <w:rPr>
          <w:spacing w:val="-3"/>
          <w:sz w:val="20"/>
        </w:rPr>
        <w:t>provide </w:t>
      </w:r>
      <w:r>
        <w:rPr>
          <w:sz w:val="20"/>
        </w:rPr>
        <w:t>full </w:t>
      </w:r>
      <w:r>
        <w:rPr>
          <w:spacing w:val="-3"/>
          <w:sz w:val="20"/>
        </w:rPr>
        <w:t>voting </w:t>
      </w:r>
      <w:r>
        <w:rPr>
          <w:sz w:val="20"/>
        </w:rPr>
        <w:t>rights in state and federal elections </w:t>
      </w:r>
      <w:r>
        <w:rPr>
          <w:spacing w:val="-3"/>
          <w:sz w:val="20"/>
        </w:rPr>
        <w:t>excluded </w:t>
      </w:r>
      <w:r>
        <w:rPr>
          <w:sz w:val="20"/>
        </w:rPr>
        <w:t>Aboriginal people </w:t>
      </w:r>
      <w:r>
        <w:rPr>
          <w:spacing w:val="-3"/>
          <w:sz w:val="20"/>
        </w:rPr>
        <w:t>from </w:t>
      </w:r>
      <w:r>
        <w:rPr>
          <w:sz w:val="20"/>
        </w:rPr>
        <w:t>electoral rolls and inclusion on the lists </w:t>
      </w:r>
      <w:r>
        <w:rPr>
          <w:spacing w:val="-3"/>
          <w:sz w:val="20"/>
        </w:rPr>
        <w:t>from </w:t>
      </w:r>
      <w:r>
        <w:rPr>
          <w:sz w:val="20"/>
        </w:rPr>
        <w:t>which jurors </w:t>
      </w:r>
      <w:r>
        <w:rPr>
          <w:spacing w:val="-4"/>
          <w:sz w:val="20"/>
        </w:rPr>
        <w:t>were </w:t>
      </w:r>
      <w:r>
        <w:rPr>
          <w:sz w:val="20"/>
        </w:rPr>
        <w:t>drawn.</w:t>
      </w:r>
      <w:r>
        <w:rPr>
          <w:position w:val="7"/>
          <w:sz w:val="11"/>
        </w:rPr>
        <w:t>29 </w:t>
      </w:r>
      <w:r>
        <w:rPr>
          <w:sz w:val="20"/>
        </w:rPr>
        <w:t>In 1962 the Australian </w:t>
      </w:r>
      <w:r>
        <w:rPr>
          <w:spacing w:val="-2"/>
          <w:sz w:val="20"/>
        </w:rPr>
        <w:t>Government </w:t>
      </w:r>
      <w:r>
        <w:rPr>
          <w:sz w:val="20"/>
        </w:rPr>
        <w:t>amended the </w:t>
      </w:r>
      <w:r>
        <w:rPr>
          <w:i/>
          <w:spacing w:val="-2"/>
          <w:sz w:val="20"/>
        </w:rPr>
        <w:t>Commonwealth </w:t>
      </w:r>
      <w:r>
        <w:rPr>
          <w:i/>
          <w:spacing w:val="-4"/>
          <w:sz w:val="20"/>
        </w:rPr>
        <w:t>Electoral </w:t>
      </w:r>
      <w:r>
        <w:rPr>
          <w:i/>
          <w:sz w:val="20"/>
        </w:rPr>
        <w:t>Act </w:t>
      </w:r>
      <w:r>
        <w:rPr>
          <w:sz w:val="20"/>
        </w:rPr>
        <w:t>to </w:t>
      </w:r>
      <w:r>
        <w:rPr>
          <w:spacing w:val="-3"/>
          <w:sz w:val="20"/>
        </w:rPr>
        <w:t>give </w:t>
      </w:r>
      <w:r>
        <w:rPr>
          <w:sz w:val="20"/>
        </w:rPr>
        <w:t>Aboriginal people the right to enrol and </w:t>
      </w:r>
      <w:r>
        <w:rPr>
          <w:spacing w:val="-4"/>
          <w:sz w:val="20"/>
        </w:rPr>
        <w:t>vote </w:t>
      </w:r>
      <w:r>
        <w:rPr>
          <w:sz w:val="20"/>
        </w:rPr>
        <w:t>in federal elections </w:t>
      </w:r>
      <w:r>
        <w:rPr>
          <w:spacing w:val="-3"/>
          <w:sz w:val="20"/>
        </w:rPr>
        <w:t>irrespective </w:t>
      </w:r>
      <w:r>
        <w:rPr>
          <w:sz w:val="20"/>
        </w:rPr>
        <w:t>of their </w:t>
      </w:r>
      <w:r>
        <w:rPr>
          <w:spacing w:val="-3"/>
          <w:sz w:val="20"/>
        </w:rPr>
        <w:t>voting </w:t>
      </w:r>
      <w:r>
        <w:rPr>
          <w:sz w:val="20"/>
        </w:rPr>
        <w:t>rights at the state level.</w:t>
      </w:r>
      <w:r>
        <w:rPr>
          <w:position w:val="7"/>
          <w:sz w:val="11"/>
        </w:rPr>
        <w:t>30 </w:t>
      </w:r>
      <w:r>
        <w:rPr>
          <w:sz w:val="20"/>
        </w:rPr>
        <w:t>Only in 1983 was the </w:t>
      </w:r>
      <w:r>
        <w:rPr>
          <w:spacing w:val="-3"/>
          <w:sz w:val="20"/>
        </w:rPr>
        <w:t>Electoral </w:t>
      </w:r>
      <w:r>
        <w:rPr>
          <w:spacing w:val="-2"/>
          <w:sz w:val="20"/>
        </w:rPr>
        <w:t>Act </w:t>
      </w:r>
      <w:r>
        <w:rPr>
          <w:sz w:val="20"/>
        </w:rPr>
        <w:t>amended to </w:t>
      </w:r>
      <w:r>
        <w:rPr>
          <w:spacing w:val="-3"/>
          <w:sz w:val="20"/>
        </w:rPr>
        <w:t>make </w:t>
      </w:r>
      <w:r>
        <w:rPr>
          <w:sz w:val="20"/>
        </w:rPr>
        <w:t>enrolling and </w:t>
      </w:r>
      <w:r>
        <w:rPr>
          <w:spacing w:val="-3"/>
          <w:sz w:val="20"/>
        </w:rPr>
        <w:t>voting </w:t>
      </w:r>
      <w:r>
        <w:rPr>
          <w:sz w:val="20"/>
        </w:rPr>
        <w:t>at all elections compulsory for</w:t>
      </w:r>
      <w:r>
        <w:rPr>
          <w:spacing w:val="-12"/>
          <w:sz w:val="20"/>
        </w:rPr>
        <w:t> </w:t>
      </w:r>
      <w:r>
        <w:rPr>
          <w:sz w:val="20"/>
        </w:rPr>
        <w:t>all</w:t>
      </w:r>
      <w:r>
        <w:rPr>
          <w:spacing w:val="-12"/>
          <w:sz w:val="20"/>
        </w:rPr>
        <w:t> </w:t>
      </w:r>
      <w:r>
        <w:rPr>
          <w:sz w:val="20"/>
        </w:rPr>
        <w:t>Australians.</w:t>
      </w:r>
      <w:r>
        <w:rPr>
          <w:position w:val="7"/>
          <w:sz w:val="11"/>
        </w:rPr>
        <w:t>31</w:t>
      </w:r>
      <w:r>
        <w:rPr>
          <w:spacing w:val="13"/>
          <w:position w:val="7"/>
          <w:sz w:val="11"/>
        </w:rPr>
        <w:t> </w:t>
      </w:r>
      <w:r>
        <w:rPr>
          <w:sz w:val="20"/>
        </w:rPr>
        <w:t>Aboriginal</w:t>
      </w:r>
      <w:r>
        <w:rPr>
          <w:spacing w:val="-11"/>
          <w:sz w:val="20"/>
        </w:rPr>
        <w:t> </w:t>
      </w:r>
      <w:r>
        <w:rPr>
          <w:sz w:val="20"/>
        </w:rPr>
        <w:t>people</w:t>
      </w:r>
      <w:r>
        <w:rPr>
          <w:spacing w:val="-12"/>
          <w:sz w:val="20"/>
        </w:rPr>
        <w:t> </w:t>
      </w:r>
      <w:r>
        <w:rPr>
          <w:spacing w:val="-4"/>
          <w:sz w:val="20"/>
        </w:rPr>
        <w:t>were</w:t>
      </w:r>
      <w:r>
        <w:rPr>
          <w:spacing w:val="-12"/>
          <w:sz w:val="20"/>
        </w:rPr>
        <w:t> </w:t>
      </w:r>
      <w:r>
        <w:rPr>
          <w:sz w:val="20"/>
        </w:rPr>
        <w:t>finally</w:t>
      </w:r>
      <w:r>
        <w:rPr>
          <w:spacing w:val="-11"/>
          <w:sz w:val="20"/>
        </w:rPr>
        <w:t> </w:t>
      </w:r>
      <w:r>
        <w:rPr>
          <w:sz w:val="20"/>
        </w:rPr>
        <w:t>included</w:t>
      </w:r>
      <w:r>
        <w:rPr>
          <w:spacing w:val="-12"/>
          <w:sz w:val="20"/>
        </w:rPr>
        <w:t> </w:t>
      </w:r>
      <w:r>
        <w:rPr>
          <w:sz w:val="20"/>
        </w:rPr>
        <w:t>as</w:t>
      </w:r>
      <w:r>
        <w:rPr>
          <w:spacing w:val="-12"/>
          <w:sz w:val="20"/>
        </w:rPr>
        <w:t> </w:t>
      </w:r>
      <w:r>
        <w:rPr>
          <w:spacing w:val="-3"/>
          <w:sz w:val="20"/>
        </w:rPr>
        <w:t>citizens</w:t>
      </w:r>
      <w:r>
        <w:rPr>
          <w:spacing w:val="-11"/>
          <w:sz w:val="20"/>
        </w:rPr>
        <w:t> </w:t>
      </w:r>
      <w:r>
        <w:rPr>
          <w:sz w:val="20"/>
        </w:rPr>
        <w:t>on</w:t>
      </w:r>
      <w:r>
        <w:rPr>
          <w:spacing w:val="-12"/>
          <w:sz w:val="20"/>
        </w:rPr>
        <w:t> </w:t>
      </w:r>
      <w:r>
        <w:rPr>
          <w:sz w:val="20"/>
        </w:rPr>
        <w:t>electoral</w:t>
      </w:r>
      <w:r>
        <w:rPr>
          <w:spacing w:val="-11"/>
          <w:sz w:val="20"/>
        </w:rPr>
        <w:t> </w:t>
      </w:r>
      <w:r>
        <w:rPr>
          <w:sz w:val="20"/>
        </w:rPr>
        <w:t>rolls equally with other</w:t>
      </w:r>
      <w:r>
        <w:rPr>
          <w:spacing w:val="-13"/>
          <w:sz w:val="20"/>
        </w:rPr>
        <w:t> </w:t>
      </w:r>
      <w:r>
        <w:rPr>
          <w:sz w:val="20"/>
        </w:rPr>
        <w:t>electors.</w:t>
      </w:r>
      <w:r>
        <w:rPr>
          <w:position w:val="7"/>
          <w:sz w:val="11"/>
        </w:rPr>
        <w:t>32</w:t>
      </w:r>
    </w:p>
    <w:p>
      <w:pPr>
        <w:pStyle w:val="ListParagraph"/>
        <w:numPr>
          <w:ilvl w:val="1"/>
          <w:numId w:val="12"/>
        </w:numPr>
        <w:tabs>
          <w:tab w:pos="1761" w:val="left" w:leader="none"/>
          <w:tab w:pos="1762" w:val="left" w:leader="none"/>
        </w:tabs>
        <w:spacing w:line="206" w:lineRule="auto" w:before="130" w:after="0"/>
        <w:ind w:left="1761" w:right="1248" w:hanging="794"/>
        <w:jc w:val="left"/>
        <w:rPr>
          <w:sz w:val="20"/>
        </w:rPr>
      </w:pPr>
      <w:r>
        <w:rPr>
          <w:sz w:val="20"/>
        </w:rPr>
        <w:t>Choo and Hunter note that, ‘in theory at </w:t>
      </w:r>
      <w:r>
        <w:rPr>
          <w:spacing w:val="-3"/>
          <w:sz w:val="20"/>
        </w:rPr>
        <w:t>least’, </w:t>
      </w:r>
      <w:r>
        <w:rPr>
          <w:sz w:val="20"/>
        </w:rPr>
        <w:t>the change in 1983 </w:t>
      </w:r>
      <w:r>
        <w:rPr>
          <w:spacing w:val="-3"/>
          <w:sz w:val="20"/>
        </w:rPr>
        <w:t>created </w:t>
      </w:r>
      <w:r>
        <w:rPr>
          <w:spacing w:val="-4"/>
          <w:sz w:val="20"/>
        </w:rPr>
        <w:t>‘a </w:t>
      </w:r>
      <w:r>
        <w:rPr>
          <w:sz w:val="20"/>
        </w:rPr>
        <w:t>base for Indigenous Australians to be </w:t>
      </w:r>
      <w:r>
        <w:rPr>
          <w:spacing w:val="-3"/>
          <w:sz w:val="20"/>
        </w:rPr>
        <w:t>fully </w:t>
      </w:r>
      <w:r>
        <w:rPr>
          <w:sz w:val="20"/>
        </w:rPr>
        <w:t>included in jury </w:t>
      </w:r>
      <w:r>
        <w:rPr>
          <w:spacing w:val="-3"/>
          <w:sz w:val="20"/>
        </w:rPr>
        <w:t>lists’.</w:t>
      </w:r>
      <w:r>
        <w:rPr>
          <w:spacing w:val="-3"/>
          <w:position w:val="7"/>
          <w:sz w:val="11"/>
        </w:rPr>
        <w:t>33 </w:t>
      </w:r>
      <w:r>
        <w:rPr>
          <w:sz w:val="20"/>
        </w:rPr>
        <w:t>In </w:t>
      </w:r>
      <w:r>
        <w:rPr>
          <w:spacing w:val="-2"/>
          <w:sz w:val="20"/>
        </w:rPr>
        <w:t>Chapter </w:t>
      </w:r>
      <w:r>
        <w:rPr>
          <w:sz w:val="20"/>
        </w:rPr>
        <w:t>4 </w:t>
      </w:r>
      <w:r>
        <w:rPr>
          <w:spacing w:val="-3"/>
          <w:sz w:val="20"/>
        </w:rPr>
        <w:t>we </w:t>
      </w:r>
      <w:r>
        <w:rPr>
          <w:sz w:val="20"/>
        </w:rPr>
        <w:t>outlined a range of additional barriers that continue to limit participation on juries </w:t>
      </w:r>
      <w:r>
        <w:rPr>
          <w:spacing w:val="-3"/>
          <w:sz w:val="20"/>
        </w:rPr>
        <w:t>by </w:t>
      </w:r>
      <w:r>
        <w:rPr>
          <w:sz w:val="20"/>
        </w:rPr>
        <w:t>Aboriginal Victorians.</w:t>
      </w:r>
      <w:r>
        <w:rPr>
          <w:position w:val="7"/>
          <w:sz w:val="11"/>
        </w:rPr>
        <w:t>34</w:t>
      </w:r>
      <w:r>
        <w:rPr>
          <w:spacing w:val="10"/>
          <w:position w:val="7"/>
          <w:sz w:val="11"/>
        </w:rPr>
        <w:t> </w:t>
      </w:r>
      <w:r>
        <w:rPr>
          <w:sz w:val="20"/>
        </w:rPr>
        <w:t>Aboriginal</w:t>
      </w:r>
      <w:r>
        <w:rPr>
          <w:spacing w:val="-15"/>
          <w:sz w:val="20"/>
        </w:rPr>
        <w:t> </w:t>
      </w:r>
      <w:r>
        <w:rPr>
          <w:sz w:val="20"/>
        </w:rPr>
        <w:t>women</w:t>
      </w:r>
      <w:r>
        <w:rPr>
          <w:spacing w:val="-15"/>
          <w:sz w:val="20"/>
        </w:rPr>
        <w:t> </w:t>
      </w:r>
      <w:r>
        <w:rPr>
          <w:sz w:val="20"/>
        </w:rPr>
        <w:t>shared</w:t>
      </w:r>
      <w:r>
        <w:rPr>
          <w:spacing w:val="-14"/>
          <w:sz w:val="20"/>
        </w:rPr>
        <w:t> </w:t>
      </w:r>
      <w:r>
        <w:rPr>
          <w:sz w:val="20"/>
        </w:rPr>
        <w:t>additional</w:t>
      </w:r>
      <w:r>
        <w:rPr>
          <w:spacing w:val="-15"/>
          <w:sz w:val="20"/>
        </w:rPr>
        <w:t> </w:t>
      </w:r>
      <w:r>
        <w:rPr>
          <w:sz w:val="20"/>
        </w:rPr>
        <w:t>barriers</w:t>
      </w:r>
      <w:r>
        <w:rPr>
          <w:spacing w:val="-14"/>
          <w:sz w:val="20"/>
        </w:rPr>
        <w:t> </w:t>
      </w:r>
      <w:r>
        <w:rPr>
          <w:sz w:val="20"/>
        </w:rPr>
        <w:t>with</w:t>
      </w:r>
      <w:r>
        <w:rPr>
          <w:spacing w:val="-15"/>
          <w:sz w:val="20"/>
        </w:rPr>
        <w:t> </w:t>
      </w:r>
      <w:r>
        <w:rPr>
          <w:sz w:val="20"/>
        </w:rPr>
        <w:t>other</w:t>
      </w:r>
      <w:r>
        <w:rPr>
          <w:spacing w:val="-14"/>
          <w:sz w:val="20"/>
        </w:rPr>
        <w:t> </w:t>
      </w:r>
      <w:r>
        <w:rPr>
          <w:sz w:val="20"/>
        </w:rPr>
        <w:t>Victorian</w:t>
      </w:r>
      <w:r>
        <w:rPr>
          <w:spacing w:val="-15"/>
          <w:sz w:val="20"/>
        </w:rPr>
        <w:t> </w:t>
      </w:r>
      <w:r>
        <w:rPr>
          <w:sz w:val="20"/>
        </w:rPr>
        <w:t>women</w:t>
      </w:r>
      <w:r>
        <w:rPr>
          <w:spacing w:val="-14"/>
          <w:sz w:val="20"/>
        </w:rPr>
        <w:t> </w:t>
      </w:r>
      <w:r>
        <w:rPr>
          <w:sz w:val="20"/>
        </w:rPr>
        <w:t>in accessing</w:t>
      </w:r>
      <w:r>
        <w:rPr>
          <w:spacing w:val="-11"/>
          <w:sz w:val="20"/>
        </w:rPr>
        <w:t> </w:t>
      </w:r>
      <w:r>
        <w:rPr>
          <w:sz w:val="20"/>
        </w:rPr>
        <w:t>jury</w:t>
      </w:r>
      <w:r>
        <w:rPr>
          <w:spacing w:val="-10"/>
          <w:sz w:val="20"/>
        </w:rPr>
        <w:t> </w:t>
      </w:r>
      <w:r>
        <w:rPr>
          <w:spacing w:val="-4"/>
          <w:sz w:val="20"/>
        </w:rPr>
        <w:t>duty.</w:t>
      </w:r>
      <w:r>
        <w:rPr>
          <w:spacing w:val="-10"/>
          <w:sz w:val="20"/>
        </w:rPr>
        <w:t> </w:t>
      </w:r>
      <w:r>
        <w:rPr>
          <w:spacing w:val="-3"/>
          <w:sz w:val="20"/>
        </w:rPr>
        <w:t>Having</w:t>
      </w:r>
      <w:r>
        <w:rPr>
          <w:spacing w:val="-11"/>
          <w:sz w:val="20"/>
        </w:rPr>
        <w:t> </w:t>
      </w:r>
      <w:r>
        <w:rPr>
          <w:sz w:val="20"/>
        </w:rPr>
        <w:t>fought</w:t>
      </w:r>
      <w:r>
        <w:rPr>
          <w:spacing w:val="-10"/>
          <w:sz w:val="20"/>
        </w:rPr>
        <w:t> </w:t>
      </w:r>
      <w:r>
        <w:rPr>
          <w:sz w:val="20"/>
        </w:rPr>
        <w:t>for</w:t>
      </w:r>
      <w:r>
        <w:rPr>
          <w:spacing w:val="-10"/>
          <w:sz w:val="20"/>
        </w:rPr>
        <w:t> </w:t>
      </w:r>
      <w:r>
        <w:rPr>
          <w:sz w:val="20"/>
        </w:rPr>
        <w:t>the</w:t>
      </w:r>
      <w:r>
        <w:rPr>
          <w:spacing w:val="-11"/>
          <w:sz w:val="20"/>
        </w:rPr>
        <w:t> </w:t>
      </w:r>
      <w:r>
        <w:rPr>
          <w:sz w:val="20"/>
        </w:rPr>
        <w:t>right</w:t>
      </w:r>
      <w:r>
        <w:rPr>
          <w:spacing w:val="-10"/>
          <w:sz w:val="20"/>
        </w:rPr>
        <w:t> </w:t>
      </w:r>
      <w:r>
        <w:rPr>
          <w:sz w:val="20"/>
        </w:rPr>
        <w:t>to</w:t>
      </w:r>
      <w:r>
        <w:rPr>
          <w:spacing w:val="-10"/>
          <w:sz w:val="20"/>
        </w:rPr>
        <w:t> </w:t>
      </w:r>
      <w:r>
        <w:rPr>
          <w:sz w:val="20"/>
        </w:rPr>
        <w:t>be</w:t>
      </w:r>
      <w:r>
        <w:rPr>
          <w:spacing w:val="-11"/>
          <w:sz w:val="20"/>
        </w:rPr>
        <w:t> </w:t>
      </w:r>
      <w:r>
        <w:rPr>
          <w:sz w:val="20"/>
        </w:rPr>
        <w:t>considered</w:t>
      </w:r>
      <w:r>
        <w:rPr>
          <w:spacing w:val="-10"/>
          <w:sz w:val="20"/>
        </w:rPr>
        <w:t> </w:t>
      </w:r>
      <w:r>
        <w:rPr>
          <w:sz w:val="20"/>
        </w:rPr>
        <w:t>citizens,</w:t>
      </w:r>
      <w:r>
        <w:rPr>
          <w:spacing w:val="-10"/>
          <w:sz w:val="20"/>
        </w:rPr>
        <w:t> </w:t>
      </w:r>
      <w:r>
        <w:rPr>
          <w:sz w:val="20"/>
        </w:rPr>
        <w:t>they</w:t>
      </w:r>
      <w:r>
        <w:rPr>
          <w:spacing w:val="-11"/>
          <w:sz w:val="20"/>
        </w:rPr>
        <w:t> </w:t>
      </w:r>
      <w:r>
        <w:rPr>
          <w:sz w:val="20"/>
        </w:rPr>
        <w:t>then</w:t>
      </w:r>
      <w:r>
        <w:rPr>
          <w:spacing w:val="-10"/>
          <w:sz w:val="20"/>
        </w:rPr>
        <w:t> </w:t>
      </w:r>
      <w:r>
        <w:rPr>
          <w:sz w:val="20"/>
        </w:rPr>
        <w:t>had to</w:t>
      </w:r>
      <w:r>
        <w:rPr>
          <w:spacing w:val="-10"/>
          <w:sz w:val="20"/>
        </w:rPr>
        <w:t> </w:t>
      </w:r>
      <w:r>
        <w:rPr>
          <w:sz w:val="20"/>
        </w:rPr>
        <w:t>wait</w:t>
      </w:r>
      <w:r>
        <w:rPr>
          <w:spacing w:val="-9"/>
          <w:sz w:val="20"/>
        </w:rPr>
        <w:t> </w:t>
      </w:r>
      <w:r>
        <w:rPr>
          <w:sz w:val="20"/>
        </w:rPr>
        <w:t>for</w:t>
      </w:r>
      <w:r>
        <w:rPr>
          <w:spacing w:val="-9"/>
          <w:sz w:val="20"/>
        </w:rPr>
        <w:t> </w:t>
      </w:r>
      <w:r>
        <w:rPr>
          <w:sz w:val="20"/>
        </w:rPr>
        <w:t>parliament</w:t>
      </w:r>
      <w:r>
        <w:rPr>
          <w:spacing w:val="-9"/>
          <w:sz w:val="20"/>
        </w:rPr>
        <w:t> </w:t>
      </w:r>
      <w:r>
        <w:rPr>
          <w:sz w:val="20"/>
        </w:rPr>
        <w:t>to</w:t>
      </w:r>
      <w:r>
        <w:rPr>
          <w:spacing w:val="-9"/>
          <w:sz w:val="20"/>
        </w:rPr>
        <w:t> </w:t>
      </w:r>
      <w:r>
        <w:rPr>
          <w:sz w:val="20"/>
        </w:rPr>
        <w:t>be</w:t>
      </w:r>
      <w:r>
        <w:rPr>
          <w:spacing w:val="-10"/>
          <w:sz w:val="20"/>
        </w:rPr>
        <w:t> </w:t>
      </w:r>
      <w:r>
        <w:rPr>
          <w:sz w:val="20"/>
        </w:rPr>
        <w:t>convinced</w:t>
      </w:r>
      <w:r>
        <w:rPr>
          <w:spacing w:val="-9"/>
          <w:sz w:val="20"/>
        </w:rPr>
        <w:t> </w:t>
      </w:r>
      <w:r>
        <w:rPr>
          <w:sz w:val="20"/>
        </w:rPr>
        <w:t>that,</w:t>
      </w:r>
      <w:r>
        <w:rPr>
          <w:spacing w:val="-9"/>
          <w:sz w:val="20"/>
        </w:rPr>
        <w:t> </w:t>
      </w:r>
      <w:r>
        <w:rPr>
          <w:sz w:val="20"/>
        </w:rPr>
        <w:t>as</w:t>
      </w:r>
      <w:r>
        <w:rPr>
          <w:spacing w:val="-9"/>
          <w:sz w:val="20"/>
        </w:rPr>
        <w:t> </w:t>
      </w:r>
      <w:r>
        <w:rPr>
          <w:sz w:val="20"/>
        </w:rPr>
        <w:t>women,</w:t>
      </w:r>
      <w:r>
        <w:rPr>
          <w:spacing w:val="-9"/>
          <w:sz w:val="20"/>
        </w:rPr>
        <w:t> </w:t>
      </w:r>
      <w:r>
        <w:rPr>
          <w:sz w:val="20"/>
        </w:rPr>
        <w:t>they</w:t>
      </w:r>
      <w:r>
        <w:rPr>
          <w:spacing w:val="-10"/>
          <w:sz w:val="20"/>
        </w:rPr>
        <w:t> </w:t>
      </w:r>
      <w:r>
        <w:rPr>
          <w:spacing w:val="-4"/>
          <w:sz w:val="20"/>
        </w:rPr>
        <w:t>were</w:t>
      </w:r>
      <w:r>
        <w:rPr>
          <w:spacing w:val="-9"/>
          <w:sz w:val="20"/>
        </w:rPr>
        <w:t> </w:t>
      </w:r>
      <w:r>
        <w:rPr>
          <w:sz w:val="20"/>
        </w:rPr>
        <w:t>capable</w:t>
      </w:r>
      <w:r>
        <w:rPr>
          <w:spacing w:val="-9"/>
          <w:sz w:val="20"/>
        </w:rPr>
        <w:t> </w:t>
      </w:r>
      <w:r>
        <w:rPr>
          <w:sz w:val="20"/>
        </w:rPr>
        <w:t>of</w:t>
      </w:r>
      <w:r>
        <w:rPr>
          <w:spacing w:val="-9"/>
          <w:sz w:val="20"/>
        </w:rPr>
        <w:t> </w:t>
      </w:r>
      <w:r>
        <w:rPr>
          <w:sz w:val="20"/>
        </w:rPr>
        <w:t>serving.</w:t>
      </w:r>
    </w:p>
    <w:p>
      <w:pPr>
        <w:pStyle w:val="BodyText"/>
        <w:spacing w:before="11"/>
        <w:rPr>
          <w:sz w:val="16"/>
        </w:rPr>
      </w:pPr>
    </w:p>
    <w:p>
      <w:pPr>
        <w:spacing w:before="0"/>
        <w:ind w:left="967" w:right="0" w:firstLine="0"/>
        <w:jc w:val="left"/>
        <w:rPr>
          <w:rFonts w:ascii="Raleway ExtraBold"/>
          <w:b/>
          <w:sz w:val="28"/>
        </w:rPr>
      </w:pPr>
      <w:r>
        <w:rPr>
          <w:rFonts w:ascii="Raleway ExtraBold"/>
          <w:b/>
          <w:color w:val="37617A"/>
          <w:sz w:val="28"/>
        </w:rPr>
        <w:t>A comparable reform: the inclusion of women</w:t>
      </w:r>
    </w:p>
    <w:p>
      <w:pPr>
        <w:pStyle w:val="ListParagraph"/>
        <w:numPr>
          <w:ilvl w:val="1"/>
          <w:numId w:val="12"/>
        </w:numPr>
        <w:tabs>
          <w:tab w:pos="1761" w:val="left" w:leader="none"/>
          <w:tab w:pos="1762" w:val="left" w:leader="none"/>
        </w:tabs>
        <w:spacing w:line="206" w:lineRule="auto" w:before="146" w:after="0"/>
        <w:ind w:left="1761" w:right="1402" w:hanging="794"/>
        <w:jc w:val="left"/>
        <w:rPr>
          <w:sz w:val="20"/>
        </w:rPr>
      </w:pPr>
      <w:r>
        <w:rPr>
          <w:sz w:val="20"/>
        </w:rPr>
        <w:t>Clear</w:t>
      </w:r>
      <w:r>
        <w:rPr>
          <w:spacing w:val="-11"/>
          <w:sz w:val="20"/>
        </w:rPr>
        <w:t> </w:t>
      </w:r>
      <w:r>
        <w:rPr>
          <w:sz w:val="20"/>
        </w:rPr>
        <w:t>parallels</w:t>
      </w:r>
      <w:r>
        <w:rPr>
          <w:spacing w:val="-10"/>
          <w:sz w:val="20"/>
        </w:rPr>
        <w:t> </w:t>
      </w:r>
      <w:r>
        <w:rPr>
          <w:sz w:val="20"/>
        </w:rPr>
        <w:t>can</w:t>
      </w:r>
      <w:r>
        <w:rPr>
          <w:spacing w:val="-11"/>
          <w:sz w:val="20"/>
        </w:rPr>
        <w:t> </w:t>
      </w:r>
      <w:r>
        <w:rPr>
          <w:sz w:val="20"/>
        </w:rPr>
        <w:t>be</w:t>
      </w:r>
      <w:r>
        <w:rPr>
          <w:spacing w:val="-10"/>
          <w:sz w:val="20"/>
        </w:rPr>
        <w:t> </w:t>
      </w:r>
      <w:r>
        <w:rPr>
          <w:sz w:val="20"/>
        </w:rPr>
        <w:t>seen</w:t>
      </w:r>
      <w:r>
        <w:rPr>
          <w:spacing w:val="-10"/>
          <w:sz w:val="20"/>
        </w:rPr>
        <w:t> </w:t>
      </w:r>
      <w:r>
        <w:rPr>
          <w:sz w:val="20"/>
        </w:rPr>
        <w:t>between</w:t>
      </w:r>
      <w:r>
        <w:rPr>
          <w:spacing w:val="-11"/>
          <w:sz w:val="20"/>
        </w:rPr>
        <w:t> </w:t>
      </w:r>
      <w:r>
        <w:rPr>
          <w:sz w:val="20"/>
        </w:rPr>
        <w:t>the</w:t>
      </w:r>
      <w:r>
        <w:rPr>
          <w:spacing w:val="-10"/>
          <w:sz w:val="20"/>
        </w:rPr>
        <w:t> </w:t>
      </w:r>
      <w:r>
        <w:rPr>
          <w:sz w:val="20"/>
        </w:rPr>
        <w:t>arguments</w:t>
      </w:r>
      <w:r>
        <w:rPr>
          <w:spacing w:val="-10"/>
          <w:sz w:val="20"/>
        </w:rPr>
        <w:t> </w:t>
      </w:r>
      <w:r>
        <w:rPr>
          <w:sz w:val="20"/>
        </w:rPr>
        <w:t>that</w:t>
      </w:r>
      <w:r>
        <w:rPr>
          <w:spacing w:val="-11"/>
          <w:sz w:val="20"/>
        </w:rPr>
        <w:t> </w:t>
      </w:r>
      <w:r>
        <w:rPr>
          <w:spacing w:val="-4"/>
          <w:sz w:val="20"/>
        </w:rPr>
        <w:t>were</w:t>
      </w:r>
      <w:r>
        <w:rPr>
          <w:spacing w:val="-10"/>
          <w:sz w:val="20"/>
        </w:rPr>
        <w:t> </w:t>
      </w:r>
      <w:r>
        <w:rPr>
          <w:sz w:val="20"/>
        </w:rPr>
        <w:t>raised</w:t>
      </w:r>
      <w:r>
        <w:rPr>
          <w:spacing w:val="-10"/>
          <w:sz w:val="20"/>
        </w:rPr>
        <w:t> </w:t>
      </w:r>
      <w:r>
        <w:rPr>
          <w:sz w:val="20"/>
        </w:rPr>
        <w:t>in</w:t>
      </w:r>
      <w:r>
        <w:rPr>
          <w:spacing w:val="-11"/>
          <w:sz w:val="20"/>
        </w:rPr>
        <w:t> </w:t>
      </w:r>
      <w:r>
        <w:rPr>
          <w:sz w:val="20"/>
        </w:rPr>
        <w:t>relation</w:t>
      </w:r>
      <w:r>
        <w:rPr>
          <w:spacing w:val="-10"/>
          <w:sz w:val="20"/>
        </w:rPr>
        <w:t> </w:t>
      </w:r>
      <w:r>
        <w:rPr>
          <w:sz w:val="20"/>
        </w:rPr>
        <w:t>to</w:t>
      </w:r>
      <w:r>
        <w:rPr>
          <w:spacing w:val="-11"/>
          <w:sz w:val="20"/>
        </w:rPr>
        <w:t> </w:t>
      </w:r>
      <w:r>
        <w:rPr>
          <w:sz w:val="20"/>
        </w:rPr>
        <w:t>the participation</w:t>
      </w:r>
      <w:r>
        <w:rPr>
          <w:spacing w:val="-8"/>
          <w:sz w:val="20"/>
        </w:rPr>
        <w:t> </w:t>
      </w:r>
      <w:r>
        <w:rPr>
          <w:sz w:val="20"/>
        </w:rPr>
        <w:t>of</w:t>
      </w:r>
      <w:r>
        <w:rPr>
          <w:spacing w:val="-7"/>
          <w:sz w:val="20"/>
        </w:rPr>
        <w:t> </w:t>
      </w:r>
      <w:r>
        <w:rPr>
          <w:sz w:val="20"/>
        </w:rPr>
        <w:t>women</w:t>
      </w:r>
      <w:r>
        <w:rPr>
          <w:spacing w:val="-8"/>
          <w:sz w:val="20"/>
        </w:rPr>
        <w:t> </w:t>
      </w:r>
      <w:r>
        <w:rPr>
          <w:sz w:val="20"/>
        </w:rPr>
        <w:t>jurors</w:t>
      </w:r>
      <w:r>
        <w:rPr>
          <w:spacing w:val="-7"/>
          <w:sz w:val="20"/>
        </w:rPr>
        <w:t> </w:t>
      </w:r>
      <w:r>
        <w:rPr>
          <w:sz w:val="20"/>
        </w:rPr>
        <w:t>and</w:t>
      </w:r>
      <w:r>
        <w:rPr>
          <w:spacing w:val="-8"/>
          <w:sz w:val="20"/>
        </w:rPr>
        <w:t> </w:t>
      </w:r>
      <w:r>
        <w:rPr>
          <w:sz w:val="20"/>
        </w:rPr>
        <w:t>those</w:t>
      </w:r>
      <w:r>
        <w:rPr>
          <w:spacing w:val="-7"/>
          <w:sz w:val="20"/>
        </w:rPr>
        <w:t> </w:t>
      </w:r>
      <w:r>
        <w:rPr>
          <w:sz w:val="20"/>
        </w:rPr>
        <w:t>raised</w:t>
      </w:r>
      <w:r>
        <w:rPr>
          <w:spacing w:val="-8"/>
          <w:sz w:val="20"/>
        </w:rPr>
        <w:t> </w:t>
      </w:r>
      <w:r>
        <w:rPr>
          <w:sz w:val="20"/>
        </w:rPr>
        <w:t>about</w:t>
      </w:r>
      <w:r>
        <w:rPr>
          <w:spacing w:val="-7"/>
          <w:sz w:val="20"/>
        </w:rPr>
        <w:t> </w:t>
      </w:r>
      <w:r>
        <w:rPr>
          <w:sz w:val="20"/>
        </w:rPr>
        <w:t>people</w:t>
      </w:r>
      <w:r>
        <w:rPr>
          <w:spacing w:val="-7"/>
          <w:sz w:val="20"/>
        </w:rPr>
        <w:t> </w:t>
      </w:r>
      <w:r>
        <w:rPr>
          <w:sz w:val="20"/>
        </w:rPr>
        <w:t>with</w:t>
      </w:r>
      <w:r>
        <w:rPr>
          <w:spacing w:val="-8"/>
          <w:sz w:val="20"/>
        </w:rPr>
        <w:t> </w:t>
      </w:r>
      <w:r>
        <w:rPr>
          <w:sz w:val="20"/>
        </w:rPr>
        <w:t>disabilities.</w:t>
      </w:r>
    </w:p>
    <w:p>
      <w:pPr>
        <w:pStyle w:val="ListParagraph"/>
        <w:numPr>
          <w:ilvl w:val="1"/>
          <w:numId w:val="12"/>
        </w:numPr>
        <w:tabs>
          <w:tab w:pos="1761" w:val="left" w:leader="none"/>
          <w:tab w:pos="1762" w:val="left" w:leader="none"/>
        </w:tabs>
        <w:spacing w:line="206" w:lineRule="auto" w:before="123" w:after="0"/>
        <w:ind w:left="1761" w:right="1205" w:hanging="794"/>
        <w:jc w:val="left"/>
        <w:rPr>
          <w:sz w:val="11"/>
        </w:rPr>
      </w:pPr>
      <w:r>
        <w:rPr>
          <w:spacing w:val="-4"/>
          <w:sz w:val="20"/>
        </w:rPr>
        <w:t>From </w:t>
      </w:r>
      <w:r>
        <w:rPr>
          <w:sz w:val="20"/>
        </w:rPr>
        <w:t>the time women in Victoria gained the </w:t>
      </w:r>
      <w:r>
        <w:rPr>
          <w:spacing w:val="-4"/>
          <w:sz w:val="20"/>
        </w:rPr>
        <w:t>vote </w:t>
      </w:r>
      <w:r>
        <w:rPr>
          <w:sz w:val="20"/>
        </w:rPr>
        <w:t>in 1908, the issue of their possible participation</w:t>
      </w:r>
      <w:r>
        <w:rPr>
          <w:spacing w:val="-12"/>
          <w:sz w:val="20"/>
        </w:rPr>
        <w:t> </w:t>
      </w:r>
      <w:r>
        <w:rPr>
          <w:sz w:val="20"/>
        </w:rPr>
        <w:t>as</w:t>
      </w:r>
      <w:r>
        <w:rPr>
          <w:spacing w:val="-12"/>
          <w:sz w:val="20"/>
        </w:rPr>
        <w:t> </w:t>
      </w:r>
      <w:r>
        <w:rPr>
          <w:sz w:val="20"/>
        </w:rPr>
        <w:t>jurors</w:t>
      </w:r>
      <w:r>
        <w:rPr>
          <w:spacing w:val="-12"/>
          <w:sz w:val="20"/>
        </w:rPr>
        <w:t> </w:t>
      </w:r>
      <w:r>
        <w:rPr>
          <w:sz w:val="20"/>
        </w:rPr>
        <w:t>was</w:t>
      </w:r>
      <w:r>
        <w:rPr>
          <w:spacing w:val="-12"/>
          <w:sz w:val="20"/>
        </w:rPr>
        <w:t> </w:t>
      </w:r>
      <w:r>
        <w:rPr>
          <w:sz w:val="20"/>
        </w:rPr>
        <w:t>debated</w:t>
      </w:r>
      <w:r>
        <w:rPr>
          <w:spacing w:val="-12"/>
          <w:sz w:val="20"/>
        </w:rPr>
        <w:t> </w:t>
      </w:r>
      <w:r>
        <w:rPr>
          <w:sz w:val="20"/>
        </w:rPr>
        <w:t>at</w:t>
      </w:r>
      <w:r>
        <w:rPr>
          <w:spacing w:val="-12"/>
          <w:sz w:val="20"/>
        </w:rPr>
        <w:t> </w:t>
      </w:r>
      <w:r>
        <w:rPr>
          <w:sz w:val="20"/>
        </w:rPr>
        <w:t>least</w:t>
      </w:r>
      <w:r>
        <w:rPr>
          <w:spacing w:val="-11"/>
          <w:sz w:val="20"/>
        </w:rPr>
        <w:t> </w:t>
      </w:r>
      <w:r>
        <w:rPr>
          <w:spacing w:val="-3"/>
          <w:sz w:val="20"/>
        </w:rPr>
        <w:t>seven</w:t>
      </w:r>
      <w:r>
        <w:rPr>
          <w:spacing w:val="-12"/>
          <w:sz w:val="20"/>
        </w:rPr>
        <w:t> </w:t>
      </w:r>
      <w:r>
        <w:rPr>
          <w:sz w:val="20"/>
        </w:rPr>
        <w:t>times</w:t>
      </w:r>
      <w:r>
        <w:rPr>
          <w:spacing w:val="-12"/>
          <w:sz w:val="20"/>
        </w:rPr>
        <w:t> </w:t>
      </w:r>
      <w:r>
        <w:rPr>
          <w:sz w:val="20"/>
        </w:rPr>
        <w:t>in</w:t>
      </w:r>
      <w:r>
        <w:rPr>
          <w:spacing w:val="-12"/>
          <w:sz w:val="20"/>
        </w:rPr>
        <w:t> </w:t>
      </w:r>
      <w:r>
        <w:rPr>
          <w:sz w:val="20"/>
        </w:rPr>
        <w:t>Parliament</w:t>
      </w:r>
      <w:r>
        <w:rPr>
          <w:spacing w:val="-12"/>
          <w:sz w:val="20"/>
        </w:rPr>
        <w:t> </w:t>
      </w:r>
      <w:r>
        <w:rPr>
          <w:spacing w:val="-3"/>
          <w:sz w:val="20"/>
        </w:rPr>
        <w:t>before</w:t>
      </w:r>
      <w:r>
        <w:rPr>
          <w:spacing w:val="-12"/>
          <w:sz w:val="20"/>
        </w:rPr>
        <w:t> </w:t>
      </w:r>
      <w:r>
        <w:rPr>
          <w:sz w:val="20"/>
        </w:rPr>
        <w:t>they</w:t>
      </w:r>
      <w:r>
        <w:rPr>
          <w:spacing w:val="-11"/>
          <w:sz w:val="20"/>
        </w:rPr>
        <w:t> </w:t>
      </w:r>
      <w:r>
        <w:rPr>
          <w:sz w:val="20"/>
        </w:rPr>
        <w:t>finally </w:t>
      </w:r>
      <w:r>
        <w:rPr>
          <w:spacing w:val="-3"/>
          <w:sz w:val="20"/>
        </w:rPr>
        <w:t>achieved </w:t>
      </w:r>
      <w:r>
        <w:rPr>
          <w:sz w:val="20"/>
        </w:rPr>
        <w:t>the right to participate on equal terms with men in </w:t>
      </w:r>
      <w:r>
        <w:rPr>
          <w:spacing w:val="-4"/>
          <w:sz w:val="20"/>
        </w:rPr>
        <w:t>1977.</w:t>
      </w:r>
      <w:r>
        <w:rPr>
          <w:spacing w:val="-4"/>
          <w:position w:val="7"/>
          <w:sz w:val="11"/>
        </w:rPr>
        <w:t>35 </w:t>
      </w:r>
      <w:r>
        <w:rPr>
          <w:sz w:val="20"/>
        </w:rPr>
        <w:t>This pattern was similar in every Australian jurisdiction.</w:t>
      </w:r>
      <w:r>
        <w:rPr>
          <w:position w:val="7"/>
          <w:sz w:val="11"/>
        </w:rPr>
        <w:t>36 </w:t>
      </w:r>
      <w:r>
        <w:rPr>
          <w:sz w:val="20"/>
        </w:rPr>
        <w:t>Simmonds points out: ‘By the middle of the twentieth century white Australian women could </w:t>
      </w:r>
      <w:r>
        <w:rPr>
          <w:spacing w:val="-4"/>
          <w:sz w:val="20"/>
        </w:rPr>
        <w:t>vote, </w:t>
      </w:r>
      <w:r>
        <w:rPr>
          <w:sz w:val="20"/>
        </w:rPr>
        <w:t>sit in parliament and practise as barristers and </w:t>
      </w:r>
      <w:r>
        <w:rPr>
          <w:spacing w:val="-3"/>
          <w:sz w:val="20"/>
        </w:rPr>
        <w:t>solicitors’ </w:t>
      </w:r>
      <w:r>
        <w:rPr>
          <w:sz w:val="20"/>
        </w:rPr>
        <w:t>but they could not be</w:t>
      </w:r>
      <w:r>
        <w:rPr>
          <w:spacing w:val="-34"/>
          <w:sz w:val="20"/>
        </w:rPr>
        <w:t> </w:t>
      </w:r>
      <w:r>
        <w:rPr>
          <w:sz w:val="20"/>
        </w:rPr>
        <w:t>jurors.</w:t>
      </w:r>
      <w:r>
        <w:rPr>
          <w:position w:val="7"/>
          <w:sz w:val="11"/>
        </w:rPr>
        <w:t>37</w:t>
      </w:r>
    </w:p>
    <w:p>
      <w:pPr>
        <w:pStyle w:val="ListParagraph"/>
        <w:numPr>
          <w:ilvl w:val="1"/>
          <w:numId w:val="12"/>
        </w:numPr>
        <w:tabs>
          <w:tab w:pos="1761" w:val="left" w:leader="none"/>
          <w:tab w:pos="1762" w:val="left" w:leader="none"/>
        </w:tabs>
        <w:spacing w:line="206" w:lineRule="auto" w:before="127" w:after="0"/>
        <w:ind w:left="1761" w:right="1556" w:hanging="794"/>
        <w:jc w:val="left"/>
        <w:rPr>
          <w:sz w:val="11"/>
        </w:rPr>
      </w:pPr>
      <w:r>
        <w:rPr>
          <w:spacing w:val="-3"/>
          <w:sz w:val="20"/>
        </w:rPr>
        <w:t>Early progress </w:t>
      </w:r>
      <w:r>
        <w:rPr>
          <w:sz w:val="20"/>
        </w:rPr>
        <w:t>for women jurors in England and </w:t>
      </w:r>
      <w:r>
        <w:rPr>
          <w:spacing w:val="-4"/>
          <w:sz w:val="20"/>
        </w:rPr>
        <w:t>Wales </w:t>
      </w:r>
      <w:r>
        <w:rPr>
          <w:sz w:val="20"/>
        </w:rPr>
        <w:t>was not </w:t>
      </w:r>
      <w:r>
        <w:rPr>
          <w:spacing w:val="-3"/>
          <w:sz w:val="20"/>
        </w:rPr>
        <w:t>mirrored </w:t>
      </w:r>
      <w:r>
        <w:rPr>
          <w:sz w:val="20"/>
        </w:rPr>
        <w:t>in other common law countries.</w:t>
      </w:r>
      <w:r>
        <w:rPr>
          <w:position w:val="7"/>
          <w:sz w:val="11"/>
        </w:rPr>
        <w:t>38 </w:t>
      </w:r>
      <w:r>
        <w:rPr>
          <w:sz w:val="20"/>
        </w:rPr>
        <w:t>Choo and Hunter’s </w:t>
      </w:r>
      <w:r>
        <w:rPr>
          <w:spacing w:val="-3"/>
          <w:sz w:val="20"/>
        </w:rPr>
        <w:t>comparative </w:t>
      </w:r>
      <w:r>
        <w:rPr>
          <w:sz w:val="20"/>
        </w:rPr>
        <w:t>study of 20th century juries</w:t>
      </w:r>
      <w:r>
        <w:rPr>
          <w:spacing w:val="-14"/>
          <w:sz w:val="20"/>
        </w:rPr>
        <w:t> </w:t>
      </w:r>
      <w:r>
        <w:rPr>
          <w:sz w:val="20"/>
        </w:rPr>
        <w:t>in</w:t>
      </w:r>
      <w:r>
        <w:rPr>
          <w:spacing w:val="-14"/>
          <w:sz w:val="20"/>
        </w:rPr>
        <w:t> </w:t>
      </w:r>
      <w:r>
        <w:rPr>
          <w:sz w:val="20"/>
        </w:rPr>
        <w:t>Ireland,</w:t>
      </w:r>
      <w:r>
        <w:rPr>
          <w:spacing w:val="-14"/>
          <w:sz w:val="20"/>
        </w:rPr>
        <w:t> </w:t>
      </w:r>
      <w:r>
        <w:rPr>
          <w:sz w:val="20"/>
        </w:rPr>
        <w:t>Canada,</w:t>
      </w:r>
      <w:r>
        <w:rPr>
          <w:spacing w:val="-13"/>
          <w:sz w:val="20"/>
        </w:rPr>
        <w:t> </w:t>
      </w:r>
      <w:r>
        <w:rPr>
          <w:sz w:val="20"/>
        </w:rPr>
        <w:t>the</w:t>
      </w:r>
      <w:r>
        <w:rPr>
          <w:spacing w:val="-14"/>
          <w:sz w:val="20"/>
        </w:rPr>
        <w:t> </w:t>
      </w:r>
      <w:r>
        <w:rPr>
          <w:sz w:val="20"/>
        </w:rPr>
        <w:t>United</w:t>
      </w:r>
      <w:r>
        <w:rPr>
          <w:spacing w:val="-14"/>
          <w:sz w:val="20"/>
        </w:rPr>
        <w:t> </w:t>
      </w:r>
      <w:r>
        <w:rPr>
          <w:sz w:val="20"/>
        </w:rPr>
        <w:t>States,</w:t>
      </w:r>
      <w:r>
        <w:rPr>
          <w:spacing w:val="-14"/>
          <w:sz w:val="20"/>
        </w:rPr>
        <w:t> </w:t>
      </w:r>
      <w:r>
        <w:rPr>
          <w:sz w:val="20"/>
        </w:rPr>
        <w:t>New</w:t>
      </w:r>
      <w:r>
        <w:rPr>
          <w:spacing w:val="-13"/>
          <w:sz w:val="20"/>
        </w:rPr>
        <w:t> </w:t>
      </w:r>
      <w:r>
        <w:rPr>
          <w:sz w:val="20"/>
        </w:rPr>
        <w:t>Zealand</w:t>
      </w:r>
      <w:r>
        <w:rPr>
          <w:spacing w:val="-14"/>
          <w:sz w:val="20"/>
        </w:rPr>
        <w:t> </w:t>
      </w:r>
      <w:r>
        <w:rPr>
          <w:sz w:val="20"/>
        </w:rPr>
        <w:t>and</w:t>
      </w:r>
      <w:r>
        <w:rPr>
          <w:spacing w:val="-14"/>
          <w:sz w:val="20"/>
        </w:rPr>
        <w:t> </w:t>
      </w:r>
      <w:r>
        <w:rPr>
          <w:sz w:val="20"/>
        </w:rPr>
        <w:t>Australia</w:t>
      </w:r>
      <w:r>
        <w:rPr>
          <w:spacing w:val="-14"/>
          <w:sz w:val="20"/>
        </w:rPr>
        <w:t> </w:t>
      </w:r>
      <w:r>
        <w:rPr>
          <w:sz w:val="20"/>
        </w:rPr>
        <w:t>identifies</w:t>
      </w:r>
      <w:r>
        <w:rPr>
          <w:spacing w:val="-13"/>
          <w:sz w:val="20"/>
        </w:rPr>
        <w:t> </w:t>
      </w:r>
      <w:r>
        <w:rPr>
          <w:sz w:val="20"/>
        </w:rPr>
        <w:t>the ‘widespread and pervasive </w:t>
      </w:r>
      <w:r>
        <w:rPr>
          <w:spacing w:val="-3"/>
          <w:sz w:val="20"/>
        </w:rPr>
        <w:t>nature </w:t>
      </w:r>
      <w:r>
        <w:rPr>
          <w:sz w:val="20"/>
        </w:rPr>
        <w:t>of gender discrimination on common law jury eligibility’.</w:t>
      </w:r>
      <w:r>
        <w:rPr>
          <w:position w:val="7"/>
          <w:sz w:val="11"/>
        </w:rPr>
        <w:t>39</w:t>
      </w:r>
    </w:p>
    <w:p>
      <w:pPr>
        <w:pStyle w:val="BodyText"/>
      </w:pPr>
    </w:p>
    <w:p>
      <w:pPr>
        <w:pStyle w:val="BodyText"/>
      </w:pPr>
    </w:p>
    <w:p>
      <w:pPr>
        <w:pStyle w:val="BodyText"/>
        <w:spacing w:before="2"/>
      </w:pPr>
      <w:r>
        <w:rPr/>
        <w:pict>
          <v:line style="position:absolute;mso-position-horizontal-relative:page;mso-position-vertical-relative:paragraph;z-index:2072;mso-wrap-distance-left:0;mso-wrap-distance-right:0" from="79.370102pt,16.469999pt" to="515.905102pt,16.469999pt" stroked="true" strokeweight="1pt" strokecolor="#b6bdc8">
            <v:stroke dashstyle="solid"/>
            <w10:wrap type="topAndBottom"/>
          </v:line>
        </w:pict>
      </w:r>
    </w:p>
    <w:p>
      <w:pPr>
        <w:pStyle w:val="ListParagraph"/>
        <w:numPr>
          <w:ilvl w:val="0"/>
          <w:numId w:val="34"/>
        </w:numPr>
        <w:tabs>
          <w:tab w:pos="1760" w:val="left" w:leader="none"/>
          <w:tab w:pos="1762" w:val="left" w:leader="none"/>
        </w:tabs>
        <w:spacing w:line="213" w:lineRule="auto" w:before="107" w:after="0"/>
        <w:ind w:left="1761" w:right="1512" w:hanging="794"/>
        <w:jc w:val="left"/>
        <w:rPr>
          <w:sz w:val="13"/>
        </w:rPr>
      </w:pPr>
      <w:r>
        <w:rPr>
          <w:sz w:val="13"/>
        </w:rPr>
        <w:t>Andrew </w:t>
      </w:r>
      <w:r>
        <w:rPr>
          <w:spacing w:val="-5"/>
          <w:sz w:val="13"/>
        </w:rPr>
        <w:t>LT </w:t>
      </w:r>
      <w:r>
        <w:rPr>
          <w:sz w:val="13"/>
        </w:rPr>
        <w:t>Choo and Jill Hunter, </w:t>
      </w:r>
      <w:r>
        <w:rPr>
          <w:spacing w:val="2"/>
          <w:sz w:val="13"/>
        </w:rPr>
        <w:t>‘Gender </w:t>
      </w:r>
      <w:r>
        <w:rPr>
          <w:sz w:val="13"/>
        </w:rPr>
        <w:t>Discrimination and Juries in the 20th </w:t>
      </w:r>
      <w:r>
        <w:rPr>
          <w:spacing w:val="2"/>
          <w:sz w:val="13"/>
        </w:rPr>
        <w:t>Century: </w:t>
      </w:r>
      <w:r>
        <w:rPr>
          <w:sz w:val="13"/>
        </w:rPr>
        <w:t>Judging Women Judging Men’ (2018) </w:t>
      </w:r>
      <w:r>
        <w:rPr>
          <w:spacing w:val="2"/>
          <w:sz w:val="13"/>
        </w:rPr>
        <w:t>22(3) </w:t>
      </w:r>
      <w:r>
        <w:rPr>
          <w:i/>
          <w:sz w:val="13"/>
        </w:rPr>
        <w:t>The International Journal of Evidence &amp; Proof </w:t>
      </w:r>
      <w:r>
        <w:rPr>
          <w:sz w:val="13"/>
        </w:rPr>
        <w:t>192,</w:t>
      </w:r>
      <w:r>
        <w:rPr>
          <w:spacing w:val="-1"/>
          <w:sz w:val="13"/>
        </w:rPr>
        <w:t> </w:t>
      </w:r>
      <w:r>
        <w:rPr>
          <w:sz w:val="13"/>
        </w:rPr>
        <w:t>208.</w:t>
      </w:r>
    </w:p>
    <w:p>
      <w:pPr>
        <w:pStyle w:val="ListParagraph"/>
        <w:numPr>
          <w:ilvl w:val="0"/>
          <w:numId w:val="34"/>
        </w:numPr>
        <w:tabs>
          <w:tab w:pos="1761" w:val="left" w:leader="none"/>
          <w:tab w:pos="1762" w:val="left" w:leader="none"/>
        </w:tabs>
        <w:spacing w:line="153" w:lineRule="exact" w:before="0" w:after="0"/>
        <w:ind w:left="1761" w:right="0" w:hanging="794"/>
        <w:jc w:val="left"/>
        <w:rPr>
          <w:sz w:val="13"/>
        </w:rPr>
      </w:pPr>
      <w:r>
        <w:rPr>
          <w:sz w:val="13"/>
        </w:rPr>
        <w:t>‘Electoral Milestones for </w:t>
      </w:r>
      <w:r>
        <w:rPr>
          <w:spacing w:val="2"/>
          <w:sz w:val="13"/>
        </w:rPr>
        <w:t>Indigenous </w:t>
      </w:r>
      <w:r>
        <w:rPr>
          <w:sz w:val="13"/>
        </w:rPr>
        <w:t>Australians’, </w:t>
      </w:r>
      <w:r>
        <w:rPr>
          <w:i/>
          <w:sz w:val="13"/>
        </w:rPr>
        <w:t>Australian Electoral Commission </w:t>
      </w:r>
      <w:r>
        <w:rPr>
          <w:sz w:val="13"/>
        </w:rPr>
        <w:t>(Web Page, 12 November</w:t>
      </w:r>
      <w:r>
        <w:rPr>
          <w:spacing w:val="17"/>
          <w:sz w:val="13"/>
        </w:rPr>
        <w:t> </w:t>
      </w:r>
      <w:r>
        <w:rPr>
          <w:sz w:val="13"/>
        </w:rPr>
        <w:t>2020)</w:t>
      </w:r>
    </w:p>
    <w:p>
      <w:pPr>
        <w:spacing w:line="213" w:lineRule="auto" w:before="6"/>
        <w:ind w:left="1760" w:right="1335" w:firstLine="0"/>
        <w:jc w:val="left"/>
        <w:rPr>
          <w:sz w:val="13"/>
        </w:rPr>
      </w:pPr>
      <w:r>
        <w:rPr>
          <w:sz w:val="13"/>
        </w:rPr>
        <w:t>&lt;</w:t>
      </w:r>
      <w:hyperlink r:id="rId83">
        <w:r>
          <w:rPr>
            <w:sz w:val="13"/>
          </w:rPr>
          <w:t>https://www.aec.gov.au/indigenous/milestones.htm</w:t>
        </w:r>
      </w:hyperlink>
      <w:r>
        <w:rPr>
          <w:sz w:val="13"/>
        </w:rPr>
        <w:t>&gt;. If Indigenous Australians were enrolled, it was compulsory for them to vote as per non-Indigenous citizens. However, enrolment itself was not compulsory.</w:t>
      </w:r>
    </w:p>
    <w:p>
      <w:pPr>
        <w:pStyle w:val="ListParagraph"/>
        <w:numPr>
          <w:ilvl w:val="0"/>
          <w:numId w:val="34"/>
        </w:numPr>
        <w:tabs>
          <w:tab w:pos="1760" w:val="left" w:leader="none"/>
          <w:tab w:pos="1762" w:val="left" w:leader="none"/>
        </w:tabs>
        <w:spacing w:line="153" w:lineRule="exact" w:before="0" w:after="0"/>
        <w:ind w:left="1761" w:right="0" w:hanging="794"/>
        <w:jc w:val="left"/>
        <w:rPr>
          <w:sz w:val="13"/>
        </w:rPr>
      </w:pPr>
      <w:r>
        <w:rPr>
          <w:spacing w:val="2"/>
          <w:sz w:val="13"/>
        </w:rPr>
        <w:t>Ibid.</w:t>
      </w:r>
    </w:p>
    <w:p>
      <w:pPr>
        <w:pStyle w:val="ListParagraph"/>
        <w:numPr>
          <w:ilvl w:val="0"/>
          <w:numId w:val="34"/>
        </w:numPr>
        <w:tabs>
          <w:tab w:pos="1761" w:val="left" w:leader="none"/>
          <w:tab w:pos="1762" w:val="left" w:leader="none"/>
        </w:tabs>
        <w:spacing w:line="213" w:lineRule="auto" w:before="7" w:after="0"/>
        <w:ind w:left="1761" w:right="1383" w:hanging="794"/>
        <w:jc w:val="left"/>
        <w:rPr>
          <w:sz w:val="13"/>
        </w:rPr>
      </w:pPr>
      <w:r>
        <w:rPr>
          <w:i/>
          <w:sz w:val="13"/>
        </w:rPr>
        <w:t>Commonwealth Electoral Legislation Amendment Act 1983 </w:t>
      </w:r>
      <w:r>
        <w:rPr>
          <w:sz w:val="13"/>
        </w:rPr>
        <w:t>(Cth); ‘Electoral Milestones for </w:t>
      </w:r>
      <w:r>
        <w:rPr>
          <w:spacing w:val="2"/>
          <w:sz w:val="13"/>
        </w:rPr>
        <w:t>Indigenous </w:t>
      </w:r>
      <w:r>
        <w:rPr>
          <w:sz w:val="13"/>
        </w:rPr>
        <w:t>Australians’, </w:t>
      </w:r>
      <w:r>
        <w:rPr>
          <w:i/>
          <w:sz w:val="13"/>
        </w:rPr>
        <w:t>Australian </w:t>
      </w:r>
      <w:r>
        <w:rPr>
          <w:i/>
          <w:sz w:val="13"/>
        </w:rPr>
        <w:t>Electoral Commission </w:t>
      </w:r>
      <w:r>
        <w:rPr>
          <w:sz w:val="13"/>
        </w:rPr>
        <w:t>(Web Page, 12 November 2020)  &lt;</w:t>
      </w:r>
      <w:hyperlink r:id="rId83">
        <w:r>
          <w:rPr>
            <w:sz w:val="13"/>
          </w:rPr>
          <w:t>https://www.aec.gov.au/indigenous/milestones.htm</w:t>
        </w:r>
      </w:hyperlink>
      <w:r>
        <w:rPr>
          <w:sz w:val="13"/>
        </w:rPr>
        <w:t>&gt;.  This  followed the 1967 Referendum formally recognising </w:t>
      </w:r>
      <w:r>
        <w:rPr>
          <w:spacing w:val="2"/>
          <w:sz w:val="13"/>
        </w:rPr>
        <w:t>Aboriginal </w:t>
      </w:r>
      <w:r>
        <w:rPr>
          <w:sz w:val="13"/>
        </w:rPr>
        <w:t>people as Australian citizens: Matthew Thomas, ‘The 1967 Referendum’, </w:t>
      </w:r>
      <w:r>
        <w:rPr>
          <w:i/>
          <w:sz w:val="13"/>
        </w:rPr>
        <w:t>Parliament of Australia </w:t>
      </w:r>
      <w:r>
        <w:rPr>
          <w:sz w:val="13"/>
        </w:rPr>
        <w:t>(Web Page, 25 May 2017) &lt;</w:t>
      </w:r>
      <w:hyperlink r:id="rId84">
        <w:r>
          <w:rPr>
            <w:sz w:val="13"/>
          </w:rPr>
          <w:t>https://www.aph.gov.au/About_Parliament/Parliamentary_Departments/</w:t>
        </w:r>
      </w:hyperlink>
      <w:hyperlink r:id="rId84">
        <w:r>
          <w:rPr>
            <w:sz w:val="13"/>
          </w:rPr>
          <w:t> Parliamentary_Library/FlagPost/2017/May/The_1967_Referendum</w:t>
        </w:r>
      </w:hyperlink>
      <w:r>
        <w:rPr>
          <w:sz w:val="13"/>
        </w:rPr>
        <w:t>&gt;. See </w:t>
      </w:r>
      <w:r>
        <w:rPr>
          <w:spacing w:val="2"/>
          <w:sz w:val="13"/>
        </w:rPr>
        <w:t>also ‘Indigenous </w:t>
      </w:r>
      <w:r>
        <w:rPr>
          <w:sz w:val="13"/>
        </w:rPr>
        <w:t>Australians’ Right to Vote’, </w:t>
      </w:r>
      <w:r>
        <w:rPr>
          <w:i/>
          <w:sz w:val="13"/>
        </w:rPr>
        <w:t>National </w:t>
      </w:r>
      <w:r>
        <w:rPr>
          <w:i/>
          <w:sz w:val="13"/>
        </w:rPr>
        <w:t>Museum of Australia </w:t>
      </w:r>
      <w:r>
        <w:rPr>
          <w:sz w:val="13"/>
        </w:rPr>
        <w:t>(Web Page) &lt;</w:t>
      </w:r>
      <w:hyperlink r:id="rId85">
        <w:r>
          <w:rPr>
            <w:sz w:val="13"/>
          </w:rPr>
          <w:t>https://www.nma.gov.au/defining-moments/resources/indigenous-australians-right-to-</w:t>
        </w:r>
      </w:hyperlink>
      <w:hyperlink r:id="rId85">
        <w:r>
          <w:rPr>
            <w:sz w:val="13"/>
          </w:rPr>
          <w:t> vote</w:t>
        </w:r>
      </w:hyperlink>
      <w:r>
        <w:rPr>
          <w:sz w:val="13"/>
        </w:rPr>
        <w:t>&gt;.</w:t>
      </w:r>
    </w:p>
    <w:p>
      <w:pPr>
        <w:pStyle w:val="ListParagraph"/>
        <w:numPr>
          <w:ilvl w:val="0"/>
          <w:numId w:val="34"/>
        </w:numPr>
        <w:tabs>
          <w:tab w:pos="1760" w:val="left" w:leader="none"/>
          <w:tab w:pos="1762" w:val="left" w:leader="none"/>
        </w:tabs>
        <w:spacing w:line="213" w:lineRule="auto" w:before="0" w:after="0"/>
        <w:ind w:left="1761" w:right="1512" w:hanging="794"/>
        <w:jc w:val="left"/>
        <w:rPr>
          <w:sz w:val="13"/>
        </w:rPr>
      </w:pPr>
      <w:r>
        <w:rPr>
          <w:sz w:val="13"/>
        </w:rPr>
        <w:t>Andrew </w:t>
      </w:r>
      <w:r>
        <w:rPr>
          <w:spacing w:val="-5"/>
          <w:sz w:val="13"/>
        </w:rPr>
        <w:t>LT </w:t>
      </w:r>
      <w:r>
        <w:rPr>
          <w:sz w:val="13"/>
        </w:rPr>
        <w:t>Choo and Jill Hunter, </w:t>
      </w:r>
      <w:r>
        <w:rPr>
          <w:spacing w:val="2"/>
          <w:sz w:val="13"/>
        </w:rPr>
        <w:t>‘Gender </w:t>
      </w:r>
      <w:r>
        <w:rPr>
          <w:sz w:val="13"/>
        </w:rPr>
        <w:t>Discrimination and Juries in the 20th </w:t>
      </w:r>
      <w:r>
        <w:rPr>
          <w:spacing w:val="2"/>
          <w:sz w:val="13"/>
        </w:rPr>
        <w:t>Century: </w:t>
      </w:r>
      <w:r>
        <w:rPr>
          <w:sz w:val="13"/>
        </w:rPr>
        <w:t>Judging Women Judging Men’ (2018) </w:t>
      </w:r>
      <w:r>
        <w:rPr>
          <w:spacing w:val="2"/>
          <w:sz w:val="13"/>
        </w:rPr>
        <w:t>22(3) </w:t>
      </w:r>
      <w:r>
        <w:rPr>
          <w:i/>
          <w:sz w:val="13"/>
        </w:rPr>
        <w:t>The International Journal of Evidence &amp; Proof </w:t>
      </w:r>
      <w:r>
        <w:rPr>
          <w:sz w:val="13"/>
        </w:rPr>
        <w:t>192,</w:t>
      </w:r>
      <w:r>
        <w:rPr>
          <w:spacing w:val="-1"/>
          <w:sz w:val="13"/>
        </w:rPr>
        <w:t> </w:t>
      </w:r>
      <w:r>
        <w:rPr>
          <w:sz w:val="13"/>
        </w:rPr>
        <w:t>208.</w:t>
      </w:r>
    </w:p>
    <w:p>
      <w:pPr>
        <w:pStyle w:val="ListParagraph"/>
        <w:numPr>
          <w:ilvl w:val="0"/>
          <w:numId w:val="34"/>
        </w:numPr>
        <w:tabs>
          <w:tab w:pos="1761" w:val="left" w:leader="none"/>
          <w:tab w:pos="1762" w:val="left" w:leader="none"/>
        </w:tabs>
        <w:spacing w:line="152" w:lineRule="exact" w:before="0" w:after="0"/>
        <w:ind w:left="1761" w:right="0" w:hanging="794"/>
        <w:jc w:val="left"/>
        <w:rPr>
          <w:sz w:val="13"/>
        </w:rPr>
      </w:pPr>
      <w:r>
        <w:rPr>
          <w:sz w:val="13"/>
        </w:rPr>
        <w:t>Choo and Hunter refer to other factors, including low literacy, many living without fixed homes and others living in</w:t>
      </w:r>
      <w:r>
        <w:rPr>
          <w:spacing w:val="1"/>
          <w:sz w:val="13"/>
        </w:rPr>
        <w:t> </w:t>
      </w:r>
      <w:r>
        <w:rPr>
          <w:sz w:val="13"/>
        </w:rPr>
        <w:t>remote</w:t>
      </w:r>
    </w:p>
    <w:p>
      <w:pPr>
        <w:spacing w:line="160" w:lineRule="exact" w:before="0"/>
        <w:ind w:left="1761" w:right="0" w:firstLine="0"/>
        <w:jc w:val="left"/>
        <w:rPr>
          <w:sz w:val="13"/>
        </w:rPr>
      </w:pPr>
      <w:r>
        <w:rPr>
          <w:sz w:val="13"/>
        </w:rPr>
        <w:t>communities: ibid 209.</w:t>
      </w:r>
    </w:p>
    <w:p>
      <w:pPr>
        <w:pStyle w:val="ListParagraph"/>
        <w:numPr>
          <w:ilvl w:val="0"/>
          <w:numId w:val="34"/>
        </w:numPr>
        <w:tabs>
          <w:tab w:pos="1760" w:val="left" w:leader="none"/>
          <w:tab w:pos="1762" w:val="left" w:leader="none"/>
        </w:tabs>
        <w:spacing w:line="213" w:lineRule="auto" w:before="2" w:after="0"/>
        <w:ind w:left="1761" w:right="1479" w:hanging="794"/>
        <w:jc w:val="left"/>
        <w:rPr>
          <w:sz w:val="13"/>
        </w:rPr>
      </w:pPr>
      <w:r>
        <w:rPr>
          <w:sz w:val="13"/>
        </w:rPr>
        <w:t>See </w:t>
      </w:r>
      <w:r>
        <w:rPr>
          <w:i/>
          <w:sz w:val="13"/>
        </w:rPr>
        <w:t>Women’s Qualification Act 1926 </w:t>
      </w:r>
      <w:r>
        <w:rPr>
          <w:spacing w:val="2"/>
          <w:sz w:val="13"/>
        </w:rPr>
        <w:t>(Vic); </w:t>
      </w:r>
      <w:r>
        <w:rPr>
          <w:i/>
          <w:sz w:val="13"/>
        </w:rPr>
        <w:t>Women’s Qualification Act 1928 </w:t>
      </w:r>
      <w:r>
        <w:rPr>
          <w:spacing w:val="2"/>
          <w:sz w:val="13"/>
        </w:rPr>
        <w:t>(Vic); </w:t>
      </w:r>
      <w:r>
        <w:rPr>
          <w:sz w:val="13"/>
        </w:rPr>
        <w:t>Juries Bill 1956 </w:t>
      </w:r>
      <w:r>
        <w:rPr>
          <w:spacing w:val="2"/>
          <w:sz w:val="13"/>
        </w:rPr>
        <w:t>(Vic); </w:t>
      </w:r>
      <w:r>
        <w:rPr>
          <w:sz w:val="13"/>
        </w:rPr>
        <w:t>Juries (Women Jurors) Bill 1958 </w:t>
      </w:r>
      <w:r>
        <w:rPr>
          <w:spacing w:val="2"/>
          <w:sz w:val="13"/>
        </w:rPr>
        <w:t>(Vic); </w:t>
      </w:r>
      <w:r>
        <w:rPr>
          <w:i/>
          <w:sz w:val="13"/>
        </w:rPr>
        <w:t>Juries (Women Jurors) Act 1964 </w:t>
      </w:r>
      <w:r>
        <w:rPr>
          <w:spacing w:val="2"/>
          <w:sz w:val="13"/>
        </w:rPr>
        <w:t>(Vic); </w:t>
      </w:r>
      <w:r>
        <w:rPr>
          <w:i/>
          <w:sz w:val="13"/>
        </w:rPr>
        <w:t>Juries Act 1967 </w:t>
      </w:r>
      <w:r>
        <w:rPr>
          <w:spacing w:val="2"/>
          <w:sz w:val="13"/>
        </w:rPr>
        <w:t>(Vic); </w:t>
      </w:r>
      <w:r>
        <w:rPr>
          <w:sz w:val="13"/>
        </w:rPr>
        <w:t>Juries Bill 1975</w:t>
      </w:r>
      <w:r>
        <w:rPr>
          <w:spacing w:val="8"/>
          <w:sz w:val="13"/>
        </w:rPr>
        <w:t> </w:t>
      </w:r>
      <w:r>
        <w:rPr>
          <w:sz w:val="13"/>
        </w:rPr>
        <w:t>(Vic).</w:t>
      </w:r>
    </w:p>
    <w:p>
      <w:pPr>
        <w:pStyle w:val="ListParagraph"/>
        <w:numPr>
          <w:ilvl w:val="0"/>
          <w:numId w:val="34"/>
        </w:numPr>
        <w:tabs>
          <w:tab w:pos="1761" w:val="left" w:leader="none"/>
          <w:tab w:pos="1762" w:val="left" w:leader="none"/>
        </w:tabs>
        <w:spacing w:line="213" w:lineRule="auto" w:before="0" w:after="0"/>
        <w:ind w:left="1761" w:right="1335" w:hanging="794"/>
        <w:jc w:val="left"/>
        <w:rPr>
          <w:sz w:val="13"/>
        </w:rPr>
      </w:pPr>
      <w:r>
        <w:rPr>
          <w:sz w:val="13"/>
        </w:rPr>
        <w:t>The contrast is </w:t>
      </w:r>
      <w:r>
        <w:rPr>
          <w:spacing w:val="2"/>
          <w:sz w:val="13"/>
        </w:rPr>
        <w:t>particularly </w:t>
      </w:r>
      <w:r>
        <w:rPr>
          <w:sz w:val="13"/>
        </w:rPr>
        <w:t>stark in South Australia, where women were the first in the world to gain equal rights to vote in 1895 (including </w:t>
      </w:r>
      <w:r>
        <w:rPr>
          <w:spacing w:val="2"/>
          <w:sz w:val="13"/>
        </w:rPr>
        <w:t>Indigenous </w:t>
      </w:r>
      <w:r>
        <w:rPr>
          <w:sz w:val="13"/>
        </w:rPr>
        <w:t>women) but did not gain equal </w:t>
      </w:r>
      <w:r>
        <w:rPr>
          <w:spacing w:val="2"/>
          <w:sz w:val="13"/>
        </w:rPr>
        <w:t>jury </w:t>
      </w:r>
      <w:r>
        <w:rPr>
          <w:sz w:val="13"/>
        </w:rPr>
        <w:t>franchise until 1976: see Andrew </w:t>
      </w:r>
      <w:r>
        <w:rPr>
          <w:spacing w:val="-5"/>
          <w:sz w:val="13"/>
        </w:rPr>
        <w:t>LT </w:t>
      </w:r>
      <w:r>
        <w:rPr>
          <w:sz w:val="13"/>
        </w:rPr>
        <w:t>Choo and Jill Hunter, </w:t>
      </w:r>
      <w:r>
        <w:rPr>
          <w:spacing w:val="2"/>
          <w:sz w:val="13"/>
        </w:rPr>
        <w:t>‘Gender </w:t>
      </w:r>
      <w:r>
        <w:rPr>
          <w:sz w:val="13"/>
        </w:rPr>
        <w:t>Discrimination and Juries in the 20th </w:t>
      </w:r>
      <w:r>
        <w:rPr>
          <w:spacing w:val="2"/>
          <w:sz w:val="13"/>
        </w:rPr>
        <w:t>Century: </w:t>
      </w:r>
      <w:r>
        <w:rPr>
          <w:sz w:val="13"/>
        </w:rPr>
        <w:t>Judging Women Judging Men’ (2018) </w:t>
      </w:r>
      <w:r>
        <w:rPr>
          <w:spacing w:val="2"/>
          <w:sz w:val="13"/>
        </w:rPr>
        <w:t>22(3) </w:t>
      </w:r>
      <w:r>
        <w:rPr>
          <w:i/>
          <w:sz w:val="13"/>
        </w:rPr>
        <w:t>The International Journal of Evidence &amp; </w:t>
      </w:r>
      <w:r>
        <w:rPr>
          <w:i/>
          <w:sz w:val="13"/>
        </w:rPr>
        <w:t>Proof </w:t>
      </w:r>
      <w:r>
        <w:rPr>
          <w:sz w:val="13"/>
        </w:rPr>
        <w:t>192, 208.</w:t>
      </w:r>
    </w:p>
    <w:p>
      <w:pPr>
        <w:pStyle w:val="ListParagraph"/>
        <w:numPr>
          <w:ilvl w:val="0"/>
          <w:numId w:val="34"/>
        </w:numPr>
        <w:tabs>
          <w:tab w:pos="1760" w:val="left" w:leader="none"/>
          <w:tab w:pos="1762" w:val="left" w:leader="none"/>
        </w:tabs>
        <w:spacing w:line="213" w:lineRule="auto" w:before="0" w:after="0"/>
        <w:ind w:left="1761" w:right="1328" w:hanging="794"/>
        <w:jc w:val="left"/>
        <w:rPr>
          <w:sz w:val="13"/>
        </w:rPr>
      </w:pPr>
      <w:r>
        <w:rPr>
          <w:sz w:val="13"/>
        </w:rPr>
        <w:t>Alecia </w:t>
      </w:r>
      <w:r>
        <w:rPr>
          <w:spacing w:val="2"/>
          <w:sz w:val="13"/>
        </w:rPr>
        <w:t>Simmonds, </w:t>
      </w:r>
      <w:r>
        <w:rPr>
          <w:sz w:val="13"/>
        </w:rPr>
        <w:t>‘Friendless in the Courtroom’, </w:t>
      </w:r>
      <w:r>
        <w:rPr>
          <w:i/>
          <w:sz w:val="13"/>
        </w:rPr>
        <w:t>Inside Story </w:t>
      </w:r>
      <w:r>
        <w:rPr>
          <w:sz w:val="13"/>
        </w:rPr>
        <w:t>(Web Page, </w:t>
      </w:r>
      <w:r>
        <w:rPr>
          <w:spacing w:val="3"/>
          <w:sz w:val="13"/>
        </w:rPr>
        <w:t>14 </w:t>
      </w:r>
      <w:r>
        <w:rPr>
          <w:sz w:val="13"/>
        </w:rPr>
        <w:t>May 2021) &lt;</w:t>
      </w:r>
      <w:hyperlink r:id="rId79">
        <w:r>
          <w:rPr>
            <w:sz w:val="13"/>
          </w:rPr>
          <w:t>https://insidestory.org.au/friendless-in-</w:t>
        </w:r>
      </w:hyperlink>
      <w:hyperlink r:id="rId79">
        <w:r>
          <w:rPr>
            <w:sz w:val="13"/>
          </w:rPr>
          <w:t> the-courtroom/</w:t>
        </w:r>
      </w:hyperlink>
      <w:r>
        <w:rPr>
          <w:sz w:val="13"/>
        </w:rPr>
        <w:t>&gt;.</w:t>
      </w:r>
    </w:p>
    <w:p>
      <w:pPr>
        <w:pStyle w:val="ListParagraph"/>
        <w:numPr>
          <w:ilvl w:val="0"/>
          <w:numId w:val="34"/>
        </w:numPr>
        <w:tabs>
          <w:tab w:pos="1761" w:val="left" w:leader="none"/>
          <w:tab w:pos="1762" w:val="left" w:leader="none"/>
        </w:tabs>
        <w:spacing w:line="213" w:lineRule="auto" w:before="0" w:after="0"/>
        <w:ind w:left="1761" w:right="1259" w:hanging="794"/>
        <w:jc w:val="left"/>
        <w:rPr>
          <w:sz w:val="13"/>
        </w:rPr>
      </w:pPr>
      <w:r>
        <w:rPr>
          <w:sz w:val="13"/>
        </w:rPr>
        <w:t>The </w:t>
      </w:r>
      <w:r>
        <w:rPr>
          <w:i/>
          <w:sz w:val="13"/>
        </w:rPr>
        <w:t>Sex Disqualification (Removal) Act 1919 </w:t>
      </w:r>
      <w:r>
        <w:rPr>
          <w:spacing w:val="2"/>
          <w:sz w:val="13"/>
        </w:rPr>
        <w:t>(UK) </w:t>
      </w:r>
      <w:r>
        <w:rPr>
          <w:sz w:val="13"/>
        </w:rPr>
        <w:t>9 &amp; 10 </w:t>
      </w:r>
      <w:r>
        <w:rPr>
          <w:spacing w:val="2"/>
          <w:sz w:val="13"/>
        </w:rPr>
        <w:t>Geo </w:t>
      </w:r>
      <w:r>
        <w:rPr>
          <w:spacing w:val="3"/>
          <w:sz w:val="13"/>
        </w:rPr>
        <w:t>5, </w:t>
      </w:r>
      <w:r>
        <w:rPr>
          <w:sz w:val="13"/>
        </w:rPr>
        <w:t>c 71 was the basis for the </w:t>
      </w:r>
      <w:r>
        <w:rPr>
          <w:spacing w:val="2"/>
          <w:sz w:val="13"/>
        </w:rPr>
        <w:t>change </w:t>
      </w:r>
      <w:r>
        <w:rPr>
          <w:sz w:val="13"/>
        </w:rPr>
        <w:t>to </w:t>
      </w:r>
      <w:r>
        <w:rPr>
          <w:spacing w:val="2"/>
          <w:sz w:val="13"/>
        </w:rPr>
        <w:t>jury </w:t>
      </w:r>
      <w:r>
        <w:rPr>
          <w:sz w:val="13"/>
        </w:rPr>
        <w:t>franchise for women in </w:t>
      </w:r>
      <w:r>
        <w:rPr>
          <w:spacing w:val="2"/>
          <w:sz w:val="13"/>
        </w:rPr>
        <w:t>England. Section </w:t>
      </w:r>
      <w:r>
        <w:rPr>
          <w:sz w:val="13"/>
        </w:rPr>
        <w:t>1 provided that ‘a person shall not be exempted by sex or marriage from the </w:t>
      </w:r>
      <w:r>
        <w:rPr>
          <w:spacing w:val="2"/>
          <w:sz w:val="13"/>
        </w:rPr>
        <w:t>liability </w:t>
      </w:r>
      <w:r>
        <w:rPr>
          <w:sz w:val="13"/>
        </w:rPr>
        <w:t>to serve as a juror’. Despite these reforms women’s </w:t>
      </w:r>
      <w:r>
        <w:rPr>
          <w:spacing w:val="2"/>
          <w:sz w:val="13"/>
        </w:rPr>
        <w:t>participation </w:t>
      </w:r>
      <w:r>
        <w:rPr>
          <w:sz w:val="13"/>
        </w:rPr>
        <w:t>in </w:t>
      </w:r>
      <w:r>
        <w:rPr>
          <w:spacing w:val="2"/>
          <w:sz w:val="13"/>
        </w:rPr>
        <w:t>England </w:t>
      </w:r>
      <w:r>
        <w:rPr>
          <w:sz w:val="13"/>
        </w:rPr>
        <w:t>was restricted by an </w:t>
      </w:r>
      <w:r>
        <w:rPr>
          <w:spacing w:val="2"/>
          <w:sz w:val="13"/>
        </w:rPr>
        <w:t>ongoing property </w:t>
      </w:r>
      <w:r>
        <w:rPr>
          <w:sz w:val="13"/>
        </w:rPr>
        <w:t>ownership requirement and through peremptory challenges before they were </w:t>
      </w:r>
      <w:r>
        <w:rPr>
          <w:spacing w:val="2"/>
          <w:sz w:val="13"/>
        </w:rPr>
        <w:t>abolished. </w:t>
      </w:r>
      <w:r>
        <w:rPr>
          <w:sz w:val="13"/>
        </w:rPr>
        <w:t>The </w:t>
      </w:r>
      <w:r>
        <w:rPr>
          <w:spacing w:val="2"/>
          <w:sz w:val="13"/>
        </w:rPr>
        <w:t>property </w:t>
      </w:r>
      <w:r>
        <w:rPr>
          <w:sz w:val="13"/>
        </w:rPr>
        <w:t>requirement was not removed until 1972 and peremptory challenges were </w:t>
      </w:r>
      <w:r>
        <w:rPr>
          <w:spacing w:val="2"/>
          <w:sz w:val="13"/>
        </w:rPr>
        <w:t>abolished </w:t>
      </w:r>
      <w:r>
        <w:rPr>
          <w:sz w:val="13"/>
        </w:rPr>
        <w:t>in 1988: see Andrew </w:t>
      </w:r>
      <w:r>
        <w:rPr>
          <w:spacing w:val="-5"/>
          <w:sz w:val="13"/>
        </w:rPr>
        <w:t>LT </w:t>
      </w:r>
      <w:r>
        <w:rPr>
          <w:sz w:val="13"/>
        </w:rPr>
        <w:t>Choo and Jill Hunter, </w:t>
      </w:r>
      <w:r>
        <w:rPr>
          <w:spacing w:val="2"/>
          <w:sz w:val="13"/>
        </w:rPr>
        <w:t>‘Gender </w:t>
      </w:r>
      <w:r>
        <w:rPr>
          <w:sz w:val="13"/>
        </w:rPr>
        <w:t>Discrimination and Juries in the 20th </w:t>
      </w:r>
      <w:r>
        <w:rPr>
          <w:spacing w:val="2"/>
          <w:sz w:val="13"/>
        </w:rPr>
        <w:t>Century: </w:t>
      </w:r>
      <w:r>
        <w:rPr>
          <w:sz w:val="13"/>
        </w:rPr>
        <w:t>Judging Women Judging Men’ (2018) </w:t>
      </w:r>
      <w:r>
        <w:rPr>
          <w:spacing w:val="2"/>
          <w:sz w:val="13"/>
        </w:rPr>
        <w:t>22(3) </w:t>
      </w:r>
      <w:r>
        <w:rPr>
          <w:i/>
          <w:sz w:val="13"/>
        </w:rPr>
        <w:t>The International Journal of Evidence &amp; Proof </w:t>
      </w:r>
      <w:r>
        <w:rPr>
          <w:sz w:val="13"/>
        </w:rPr>
        <w:t>192, 194–198,</w:t>
      </w:r>
      <w:r>
        <w:rPr>
          <w:spacing w:val="27"/>
          <w:sz w:val="13"/>
        </w:rPr>
        <w:t> </w:t>
      </w:r>
      <w:r>
        <w:rPr>
          <w:spacing w:val="2"/>
          <w:sz w:val="13"/>
        </w:rPr>
        <w:t>204.</w:t>
      </w:r>
    </w:p>
    <w:p>
      <w:pPr>
        <w:pStyle w:val="ListParagraph"/>
        <w:numPr>
          <w:ilvl w:val="0"/>
          <w:numId w:val="34"/>
        </w:numPr>
        <w:tabs>
          <w:tab w:pos="1761" w:val="left" w:leader="none"/>
          <w:tab w:pos="1762" w:val="left" w:leader="none"/>
        </w:tabs>
        <w:spacing w:line="213" w:lineRule="auto" w:before="0" w:after="0"/>
        <w:ind w:left="1761" w:right="1512" w:hanging="794"/>
        <w:jc w:val="left"/>
        <w:rPr>
          <w:sz w:val="13"/>
        </w:rPr>
      </w:pPr>
      <w:r>
        <w:rPr/>
        <w:pict>
          <v:shape style="position:absolute;margin-left:548.966492pt;margin-top:3.387091pt;width:13.15pt;height:14.1pt;mso-position-horizontal-relative:page;mso-position-vertical-relative:paragraph;z-index:4144" type="#_x0000_t202" filled="false" stroked="false">
            <v:textbox inset="0,0,0,0">
              <w:txbxContent>
                <w:p>
                  <w:pPr>
                    <w:spacing w:line="282" w:lineRule="exact" w:before="0"/>
                    <w:ind w:left="0" w:right="0" w:firstLine="0"/>
                    <w:jc w:val="left"/>
                    <w:rPr>
                      <w:b/>
                      <w:sz w:val="24"/>
                    </w:rPr>
                  </w:pPr>
                  <w:r>
                    <w:rPr>
                      <w:b/>
                      <w:color w:val="37617A"/>
                      <w:spacing w:val="-3"/>
                      <w:sz w:val="24"/>
                    </w:rPr>
                    <w:t>33</w:t>
                  </w:r>
                </w:p>
              </w:txbxContent>
            </v:textbox>
            <w10:wrap type="none"/>
          </v:shape>
        </w:pict>
      </w:r>
      <w:r>
        <w:rPr>
          <w:sz w:val="13"/>
        </w:rPr>
        <w:t>Andrew </w:t>
      </w:r>
      <w:r>
        <w:rPr>
          <w:spacing w:val="-5"/>
          <w:sz w:val="13"/>
        </w:rPr>
        <w:t>LT </w:t>
      </w:r>
      <w:r>
        <w:rPr>
          <w:sz w:val="13"/>
        </w:rPr>
        <w:t>Choo and Jill Hunter, </w:t>
      </w:r>
      <w:r>
        <w:rPr>
          <w:spacing w:val="2"/>
          <w:sz w:val="13"/>
        </w:rPr>
        <w:t>‘Gender </w:t>
      </w:r>
      <w:r>
        <w:rPr>
          <w:sz w:val="13"/>
        </w:rPr>
        <w:t>Discrimination and Juries in the 20th </w:t>
      </w:r>
      <w:r>
        <w:rPr>
          <w:spacing w:val="2"/>
          <w:sz w:val="13"/>
        </w:rPr>
        <w:t>Century: </w:t>
      </w:r>
      <w:r>
        <w:rPr>
          <w:sz w:val="13"/>
        </w:rPr>
        <w:t>Judging Women Judging Men’ (2018) </w:t>
      </w:r>
      <w:r>
        <w:rPr>
          <w:spacing w:val="2"/>
          <w:sz w:val="13"/>
        </w:rPr>
        <w:t>22(3) </w:t>
      </w:r>
      <w:r>
        <w:rPr>
          <w:i/>
          <w:sz w:val="13"/>
        </w:rPr>
        <w:t>The International Journal of Evidence &amp; Proof </w:t>
      </w:r>
      <w:r>
        <w:rPr>
          <w:sz w:val="13"/>
        </w:rPr>
        <w:t>192,</w:t>
      </w:r>
      <w:r>
        <w:rPr>
          <w:spacing w:val="-1"/>
          <w:sz w:val="13"/>
        </w:rPr>
        <w:t> </w:t>
      </w:r>
      <w:r>
        <w:rPr>
          <w:sz w:val="13"/>
        </w:rPr>
        <w:t>193.</w:t>
      </w:r>
    </w:p>
    <w:p>
      <w:pPr>
        <w:spacing w:after="0" w:line="213" w:lineRule="auto"/>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290" w:hanging="794"/>
        <w:jc w:val="left"/>
        <w:rPr>
          <w:sz w:val="20"/>
        </w:rPr>
      </w:pPr>
      <w:bookmarkStart w:name="_bookmark31" w:id="81"/>
      <w:bookmarkEnd w:id="81"/>
      <w:r>
        <w:rPr/>
      </w:r>
      <w:bookmarkStart w:name="_bookmark31" w:id="82"/>
      <w:bookmarkEnd w:id="82"/>
      <w:r>
        <w:rPr>
          <w:spacing w:val="-4"/>
          <w:sz w:val="20"/>
        </w:rPr>
        <w:t>W</w:t>
      </w:r>
      <w:r>
        <w:rPr>
          <w:spacing w:val="-4"/>
          <w:sz w:val="20"/>
        </w:rPr>
        <w:t>alker</w:t>
      </w:r>
      <w:r>
        <w:rPr>
          <w:spacing w:val="-7"/>
          <w:sz w:val="20"/>
        </w:rPr>
        <w:t> </w:t>
      </w:r>
      <w:r>
        <w:rPr>
          <w:spacing w:val="-3"/>
          <w:sz w:val="20"/>
        </w:rPr>
        <w:t>examines</w:t>
      </w:r>
      <w:r>
        <w:rPr>
          <w:spacing w:val="-7"/>
          <w:sz w:val="20"/>
        </w:rPr>
        <w:t> </w:t>
      </w:r>
      <w:r>
        <w:rPr>
          <w:sz w:val="20"/>
        </w:rPr>
        <w:t>the</w:t>
      </w:r>
      <w:r>
        <w:rPr>
          <w:spacing w:val="-6"/>
          <w:sz w:val="20"/>
        </w:rPr>
        <w:t> </w:t>
      </w:r>
      <w:r>
        <w:rPr>
          <w:spacing w:val="-3"/>
          <w:sz w:val="20"/>
        </w:rPr>
        <w:t>failure</w:t>
      </w:r>
      <w:r>
        <w:rPr>
          <w:spacing w:val="-7"/>
          <w:sz w:val="20"/>
        </w:rPr>
        <w:t> </w:t>
      </w:r>
      <w:r>
        <w:rPr>
          <w:sz w:val="20"/>
        </w:rPr>
        <w:t>of</w:t>
      </w:r>
      <w:r>
        <w:rPr>
          <w:spacing w:val="-6"/>
          <w:sz w:val="20"/>
        </w:rPr>
        <w:t> </w:t>
      </w:r>
      <w:r>
        <w:rPr>
          <w:sz w:val="20"/>
        </w:rPr>
        <w:t>six</w:t>
      </w:r>
      <w:r>
        <w:rPr>
          <w:spacing w:val="-7"/>
          <w:sz w:val="20"/>
        </w:rPr>
        <w:t> </w:t>
      </w:r>
      <w:r>
        <w:rPr>
          <w:sz w:val="20"/>
        </w:rPr>
        <w:t>Bills</w:t>
      </w:r>
      <w:r>
        <w:rPr>
          <w:spacing w:val="-7"/>
          <w:sz w:val="20"/>
        </w:rPr>
        <w:t> </w:t>
      </w:r>
      <w:r>
        <w:rPr>
          <w:sz w:val="20"/>
        </w:rPr>
        <w:t>to</w:t>
      </w:r>
      <w:r>
        <w:rPr>
          <w:spacing w:val="-6"/>
          <w:sz w:val="20"/>
        </w:rPr>
        <w:t> </w:t>
      </w:r>
      <w:r>
        <w:rPr>
          <w:spacing w:val="-3"/>
          <w:sz w:val="20"/>
        </w:rPr>
        <w:t>provide</w:t>
      </w:r>
      <w:r>
        <w:rPr>
          <w:spacing w:val="-7"/>
          <w:sz w:val="20"/>
        </w:rPr>
        <w:t> </w:t>
      </w:r>
      <w:r>
        <w:rPr>
          <w:sz w:val="20"/>
        </w:rPr>
        <w:t>women</w:t>
      </w:r>
      <w:r>
        <w:rPr>
          <w:spacing w:val="-6"/>
          <w:sz w:val="20"/>
        </w:rPr>
        <w:t> </w:t>
      </w:r>
      <w:r>
        <w:rPr>
          <w:sz w:val="20"/>
        </w:rPr>
        <w:t>with</w:t>
      </w:r>
      <w:r>
        <w:rPr>
          <w:spacing w:val="-7"/>
          <w:sz w:val="20"/>
        </w:rPr>
        <w:t> </w:t>
      </w:r>
      <w:r>
        <w:rPr>
          <w:sz w:val="20"/>
        </w:rPr>
        <w:t>the</w:t>
      </w:r>
      <w:r>
        <w:rPr>
          <w:spacing w:val="-7"/>
          <w:sz w:val="20"/>
        </w:rPr>
        <w:t> </w:t>
      </w:r>
      <w:r>
        <w:rPr>
          <w:sz w:val="20"/>
        </w:rPr>
        <w:t>opportunity</w:t>
      </w:r>
      <w:r>
        <w:rPr>
          <w:spacing w:val="-6"/>
          <w:sz w:val="20"/>
        </w:rPr>
        <w:t> </w:t>
      </w:r>
      <w:r>
        <w:rPr>
          <w:sz w:val="20"/>
        </w:rPr>
        <w:t>to</w:t>
      </w:r>
      <w:r>
        <w:rPr>
          <w:spacing w:val="-7"/>
          <w:sz w:val="20"/>
        </w:rPr>
        <w:t> </w:t>
      </w:r>
      <w:r>
        <w:rPr>
          <w:sz w:val="20"/>
        </w:rPr>
        <w:t>serve on juries in </w:t>
      </w:r>
      <w:r>
        <w:rPr>
          <w:spacing w:val="-4"/>
          <w:sz w:val="20"/>
        </w:rPr>
        <w:t>Western </w:t>
      </w:r>
      <w:r>
        <w:rPr>
          <w:sz w:val="20"/>
        </w:rPr>
        <w:t>Australia </w:t>
      </w:r>
      <w:r>
        <w:rPr>
          <w:spacing w:val="-3"/>
          <w:sz w:val="20"/>
        </w:rPr>
        <w:t>from </w:t>
      </w:r>
      <w:r>
        <w:rPr>
          <w:sz w:val="20"/>
        </w:rPr>
        <w:t>1898 to 1956.</w:t>
      </w:r>
      <w:r>
        <w:rPr>
          <w:position w:val="7"/>
          <w:sz w:val="11"/>
        </w:rPr>
        <w:t>40 </w:t>
      </w:r>
      <w:r>
        <w:rPr>
          <w:sz w:val="20"/>
        </w:rPr>
        <w:t>Her </w:t>
      </w:r>
      <w:r>
        <w:rPr>
          <w:spacing w:val="-3"/>
          <w:sz w:val="20"/>
        </w:rPr>
        <w:t>research </w:t>
      </w:r>
      <w:r>
        <w:rPr>
          <w:sz w:val="20"/>
        </w:rPr>
        <w:t>focuses on </w:t>
      </w:r>
      <w:r>
        <w:rPr>
          <w:spacing w:val="-3"/>
          <w:sz w:val="20"/>
        </w:rPr>
        <w:t>why </w:t>
      </w:r>
      <w:r>
        <w:rPr>
          <w:sz w:val="20"/>
        </w:rPr>
        <w:t>those Bills failed and what arguments </w:t>
      </w:r>
      <w:r>
        <w:rPr>
          <w:spacing w:val="-4"/>
          <w:sz w:val="20"/>
        </w:rPr>
        <w:t>were </w:t>
      </w:r>
      <w:r>
        <w:rPr>
          <w:sz w:val="20"/>
        </w:rPr>
        <w:t>used </w:t>
      </w:r>
      <w:r>
        <w:rPr>
          <w:spacing w:val="-3"/>
          <w:sz w:val="20"/>
        </w:rPr>
        <w:t>by </w:t>
      </w:r>
      <w:r>
        <w:rPr>
          <w:sz w:val="20"/>
        </w:rPr>
        <w:t>politicians to justify their support or opposition</w:t>
      </w:r>
      <w:r>
        <w:rPr>
          <w:spacing w:val="-9"/>
          <w:sz w:val="20"/>
        </w:rPr>
        <w:t> </w:t>
      </w:r>
      <w:r>
        <w:rPr>
          <w:sz w:val="20"/>
        </w:rPr>
        <w:t>to</w:t>
      </w:r>
      <w:r>
        <w:rPr>
          <w:spacing w:val="-9"/>
          <w:sz w:val="20"/>
        </w:rPr>
        <w:t> </w:t>
      </w:r>
      <w:r>
        <w:rPr>
          <w:sz w:val="20"/>
        </w:rPr>
        <w:t>amendments</w:t>
      </w:r>
      <w:r>
        <w:rPr>
          <w:spacing w:val="-9"/>
          <w:sz w:val="20"/>
        </w:rPr>
        <w:t> </w:t>
      </w:r>
      <w:r>
        <w:rPr>
          <w:sz w:val="20"/>
        </w:rPr>
        <w:t>to</w:t>
      </w:r>
      <w:r>
        <w:rPr>
          <w:spacing w:val="-9"/>
          <w:sz w:val="20"/>
        </w:rPr>
        <w:t> </w:t>
      </w:r>
      <w:r>
        <w:rPr>
          <w:sz w:val="20"/>
        </w:rPr>
        <w:t>the</w:t>
      </w:r>
      <w:r>
        <w:rPr>
          <w:spacing w:val="-9"/>
          <w:sz w:val="20"/>
        </w:rPr>
        <w:t> </w:t>
      </w:r>
      <w:r>
        <w:rPr>
          <w:sz w:val="20"/>
        </w:rPr>
        <w:t>Jury</w:t>
      </w:r>
      <w:r>
        <w:rPr>
          <w:spacing w:val="-9"/>
          <w:sz w:val="20"/>
        </w:rPr>
        <w:t> </w:t>
      </w:r>
      <w:r>
        <w:rPr>
          <w:sz w:val="20"/>
        </w:rPr>
        <w:t>Act.</w:t>
      </w:r>
      <w:r>
        <w:rPr>
          <w:spacing w:val="-9"/>
          <w:sz w:val="20"/>
        </w:rPr>
        <w:t> </w:t>
      </w:r>
      <w:r>
        <w:rPr>
          <w:spacing w:val="-4"/>
          <w:sz w:val="20"/>
        </w:rPr>
        <w:t>Walker</w:t>
      </w:r>
      <w:r>
        <w:rPr>
          <w:spacing w:val="-9"/>
          <w:sz w:val="20"/>
        </w:rPr>
        <w:t> </w:t>
      </w:r>
      <w:r>
        <w:rPr>
          <w:sz w:val="20"/>
        </w:rPr>
        <w:t>identifies</w:t>
      </w:r>
      <w:r>
        <w:rPr>
          <w:spacing w:val="-9"/>
          <w:sz w:val="20"/>
        </w:rPr>
        <w:t> </w:t>
      </w:r>
      <w:r>
        <w:rPr>
          <w:sz w:val="20"/>
        </w:rPr>
        <w:t>four</w:t>
      </w:r>
      <w:r>
        <w:rPr>
          <w:spacing w:val="-9"/>
          <w:sz w:val="20"/>
        </w:rPr>
        <w:t> </w:t>
      </w:r>
      <w:r>
        <w:rPr>
          <w:spacing w:val="-4"/>
          <w:sz w:val="20"/>
        </w:rPr>
        <w:t>key</w:t>
      </w:r>
      <w:r>
        <w:rPr>
          <w:spacing w:val="-8"/>
          <w:sz w:val="20"/>
        </w:rPr>
        <w:t> </w:t>
      </w:r>
      <w:r>
        <w:rPr>
          <w:sz w:val="20"/>
        </w:rPr>
        <w:t>themes</w:t>
      </w:r>
      <w:r>
        <w:rPr>
          <w:spacing w:val="-9"/>
          <w:sz w:val="20"/>
        </w:rPr>
        <w:t> </w:t>
      </w:r>
      <w:r>
        <w:rPr>
          <w:sz w:val="20"/>
        </w:rPr>
        <w:t>raised</w:t>
      </w:r>
      <w:r>
        <w:rPr>
          <w:spacing w:val="-9"/>
          <w:sz w:val="20"/>
        </w:rPr>
        <w:t> </w:t>
      </w:r>
      <w:r>
        <w:rPr>
          <w:sz w:val="20"/>
        </w:rPr>
        <w:t>in the</w:t>
      </w:r>
      <w:r>
        <w:rPr>
          <w:spacing w:val="-4"/>
          <w:sz w:val="20"/>
        </w:rPr>
        <w:t> </w:t>
      </w:r>
      <w:r>
        <w:rPr>
          <w:spacing w:val="-3"/>
          <w:sz w:val="20"/>
        </w:rPr>
        <w:t>debates:</w:t>
      </w:r>
    </w:p>
    <w:p>
      <w:pPr>
        <w:pStyle w:val="ListParagraph"/>
        <w:numPr>
          <w:ilvl w:val="2"/>
          <w:numId w:val="12"/>
        </w:numPr>
        <w:tabs>
          <w:tab w:pos="2157" w:val="left" w:leader="none"/>
          <w:tab w:pos="2158" w:val="left" w:leader="none"/>
        </w:tabs>
        <w:spacing w:line="240" w:lineRule="auto" w:before="94" w:after="0"/>
        <w:ind w:left="2157" w:right="0" w:hanging="396"/>
        <w:jc w:val="left"/>
        <w:rPr>
          <w:sz w:val="11"/>
        </w:rPr>
      </w:pPr>
      <w:r>
        <w:rPr>
          <w:spacing w:val="-3"/>
          <w:sz w:val="20"/>
        </w:rPr>
        <w:t>women’s</w:t>
      </w:r>
      <w:r>
        <w:rPr>
          <w:spacing w:val="-5"/>
          <w:sz w:val="20"/>
        </w:rPr>
        <w:t> </w:t>
      </w:r>
      <w:r>
        <w:rPr>
          <w:sz w:val="20"/>
        </w:rPr>
        <w:t>temperament</w:t>
      </w:r>
      <w:r>
        <w:rPr>
          <w:position w:val="7"/>
          <w:sz w:val="11"/>
        </w:rPr>
        <w:t>41</w:t>
      </w:r>
    </w:p>
    <w:p>
      <w:pPr>
        <w:pStyle w:val="ListParagraph"/>
        <w:numPr>
          <w:ilvl w:val="2"/>
          <w:numId w:val="12"/>
        </w:numPr>
        <w:tabs>
          <w:tab w:pos="2157" w:val="left" w:leader="none"/>
          <w:tab w:pos="2158" w:val="left" w:leader="none"/>
        </w:tabs>
        <w:spacing w:line="240" w:lineRule="auto" w:before="48" w:after="0"/>
        <w:ind w:left="2157" w:right="0" w:hanging="396"/>
        <w:jc w:val="left"/>
        <w:rPr>
          <w:sz w:val="11"/>
        </w:rPr>
      </w:pPr>
      <w:r>
        <w:rPr>
          <w:sz w:val="20"/>
        </w:rPr>
        <w:t>whether women should </w:t>
      </w:r>
      <w:r>
        <w:rPr>
          <w:spacing w:val="-3"/>
          <w:sz w:val="20"/>
        </w:rPr>
        <w:t>voluntarily </w:t>
      </w:r>
      <w:r>
        <w:rPr>
          <w:sz w:val="20"/>
        </w:rPr>
        <w:t>or compulsorily</w:t>
      </w:r>
      <w:r>
        <w:rPr>
          <w:spacing w:val="-25"/>
          <w:sz w:val="20"/>
        </w:rPr>
        <w:t> </w:t>
      </w:r>
      <w:r>
        <w:rPr>
          <w:sz w:val="20"/>
        </w:rPr>
        <w:t>serve</w:t>
      </w:r>
      <w:r>
        <w:rPr>
          <w:position w:val="7"/>
          <w:sz w:val="11"/>
        </w:rPr>
        <w:t>42</w:t>
      </w:r>
    </w:p>
    <w:p>
      <w:pPr>
        <w:pStyle w:val="ListParagraph"/>
        <w:numPr>
          <w:ilvl w:val="2"/>
          <w:numId w:val="12"/>
        </w:numPr>
        <w:tabs>
          <w:tab w:pos="2157" w:val="left" w:leader="none"/>
          <w:tab w:pos="2158" w:val="left" w:leader="none"/>
        </w:tabs>
        <w:spacing w:line="240" w:lineRule="auto" w:before="47" w:after="0"/>
        <w:ind w:left="2157" w:right="0" w:hanging="396"/>
        <w:jc w:val="left"/>
        <w:rPr>
          <w:sz w:val="11"/>
        </w:rPr>
      </w:pPr>
      <w:r>
        <w:rPr>
          <w:sz w:val="20"/>
        </w:rPr>
        <w:t>property</w:t>
      </w:r>
      <w:r>
        <w:rPr>
          <w:spacing w:val="-5"/>
          <w:sz w:val="20"/>
        </w:rPr>
        <w:t> </w:t>
      </w:r>
      <w:r>
        <w:rPr>
          <w:sz w:val="20"/>
        </w:rPr>
        <w:t>ownership</w:t>
      </w:r>
      <w:r>
        <w:rPr>
          <w:position w:val="7"/>
          <w:sz w:val="11"/>
        </w:rPr>
        <w:t>43</w:t>
      </w:r>
    </w:p>
    <w:p>
      <w:pPr>
        <w:pStyle w:val="ListParagraph"/>
        <w:numPr>
          <w:ilvl w:val="2"/>
          <w:numId w:val="12"/>
        </w:numPr>
        <w:tabs>
          <w:tab w:pos="2157" w:val="left" w:leader="none"/>
          <w:tab w:pos="2158" w:val="left" w:leader="none"/>
        </w:tabs>
        <w:spacing w:line="206" w:lineRule="auto" w:before="80" w:after="0"/>
        <w:ind w:left="2157" w:right="1283" w:hanging="396"/>
        <w:jc w:val="left"/>
        <w:rPr>
          <w:sz w:val="11"/>
        </w:rPr>
      </w:pPr>
      <w:r>
        <w:rPr>
          <w:sz w:val="20"/>
        </w:rPr>
        <w:t>the</w:t>
      </w:r>
      <w:r>
        <w:rPr>
          <w:spacing w:val="-11"/>
          <w:sz w:val="20"/>
        </w:rPr>
        <w:t> </w:t>
      </w:r>
      <w:r>
        <w:rPr>
          <w:sz w:val="20"/>
        </w:rPr>
        <w:t>age</w:t>
      </w:r>
      <w:r>
        <w:rPr>
          <w:spacing w:val="-11"/>
          <w:sz w:val="20"/>
        </w:rPr>
        <w:t> </w:t>
      </w:r>
      <w:r>
        <w:rPr>
          <w:sz w:val="20"/>
        </w:rPr>
        <w:t>of</w:t>
      </w:r>
      <w:r>
        <w:rPr>
          <w:spacing w:val="-11"/>
          <w:sz w:val="20"/>
        </w:rPr>
        <w:t> </w:t>
      </w:r>
      <w:r>
        <w:rPr>
          <w:sz w:val="20"/>
        </w:rPr>
        <w:t>service,</w:t>
      </w:r>
      <w:r>
        <w:rPr>
          <w:spacing w:val="-11"/>
          <w:sz w:val="20"/>
        </w:rPr>
        <w:t> </w:t>
      </w:r>
      <w:r>
        <w:rPr>
          <w:sz w:val="20"/>
        </w:rPr>
        <w:t>with</w:t>
      </w:r>
      <w:r>
        <w:rPr>
          <w:spacing w:val="-11"/>
          <w:sz w:val="20"/>
        </w:rPr>
        <w:t> </w:t>
      </w:r>
      <w:r>
        <w:rPr>
          <w:sz w:val="20"/>
        </w:rPr>
        <w:t>some</w:t>
      </w:r>
      <w:r>
        <w:rPr>
          <w:spacing w:val="-11"/>
          <w:sz w:val="20"/>
        </w:rPr>
        <w:t> </w:t>
      </w:r>
      <w:r>
        <w:rPr>
          <w:sz w:val="20"/>
        </w:rPr>
        <w:t>arguing</w:t>
      </w:r>
      <w:r>
        <w:rPr>
          <w:spacing w:val="-11"/>
          <w:sz w:val="20"/>
        </w:rPr>
        <w:t> </w:t>
      </w:r>
      <w:r>
        <w:rPr>
          <w:sz w:val="20"/>
        </w:rPr>
        <w:t>women</w:t>
      </w:r>
      <w:r>
        <w:rPr>
          <w:spacing w:val="-11"/>
          <w:sz w:val="20"/>
        </w:rPr>
        <w:t> </w:t>
      </w:r>
      <w:r>
        <w:rPr>
          <w:sz w:val="20"/>
        </w:rPr>
        <w:t>should</w:t>
      </w:r>
      <w:r>
        <w:rPr>
          <w:spacing w:val="-11"/>
          <w:sz w:val="20"/>
        </w:rPr>
        <w:t> </w:t>
      </w:r>
      <w:r>
        <w:rPr>
          <w:spacing w:val="-3"/>
          <w:sz w:val="20"/>
        </w:rPr>
        <w:t>only</w:t>
      </w:r>
      <w:r>
        <w:rPr>
          <w:spacing w:val="-11"/>
          <w:sz w:val="20"/>
        </w:rPr>
        <w:t> </w:t>
      </w:r>
      <w:r>
        <w:rPr>
          <w:sz w:val="20"/>
        </w:rPr>
        <w:t>serve</w:t>
      </w:r>
      <w:r>
        <w:rPr>
          <w:spacing w:val="-11"/>
          <w:sz w:val="20"/>
        </w:rPr>
        <w:t> </w:t>
      </w:r>
      <w:r>
        <w:rPr>
          <w:sz w:val="20"/>
        </w:rPr>
        <w:t>when</w:t>
      </w:r>
      <w:r>
        <w:rPr>
          <w:spacing w:val="-11"/>
          <w:sz w:val="20"/>
        </w:rPr>
        <w:t> </w:t>
      </w:r>
      <w:r>
        <w:rPr>
          <w:sz w:val="20"/>
        </w:rPr>
        <w:t>they</w:t>
      </w:r>
      <w:r>
        <w:rPr>
          <w:spacing w:val="-11"/>
          <w:sz w:val="20"/>
        </w:rPr>
        <w:t> </w:t>
      </w:r>
      <w:r>
        <w:rPr>
          <w:sz w:val="20"/>
        </w:rPr>
        <w:t>turned 30 </w:t>
      </w:r>
      <w:r>
        <w:rPr>
          <w:spacing w:val="-3"/>
          <w:sz w:val="20"/>
        </w:rPr>
        <w:t>(unlike </w:t>
      </w:r>
      <w:r>
        <w:rPr>
          <w:sz w:val="20"/>
        </w:rPr>
        <w:t>men who </w:t>
      </w:r>
      <w:r>
        <w:rPr>
          <w:spacing w:val="-3"/>
          <w:sz w:val="20"/>
        </w:rPr>
        <w:t>only </w:t>
      </w:r>
      <w:r>
        <w:rPr>
          <w:sz w:val="20"/>
        </w:rPr>
        <w:t>needed to turn</w:t>
      </w:r>
      <w:r>
        <w:rPr>
          <w:spacing w:val="-27"/>
          <w:sz w:val="20"/>
        </w:rPr>
        <w:t> </w:t>
      </w:r>
      <w:r>
        <w:rPr>
          <w:sz w:val="20"/>
        </w:rPr>
        <w:t>21).</w:t>
      </w:r>
      <w:r>
        <w:rPr>
          <w:position w:val="7"/>
          <w:sz w:val="11"/>
        </w:rPr>
        <w:t>44</w:t>
      </w:r>
    </w:p>
    <w:p>
      <w:pPr>
        <w:pStyle w:val="ListParagraph"/>
        <w:numPr>
          <w:ilvl w:val="1"/>
          <w:numId w:val="12"/>
        </w:numPr>
        <w:tabs>
          <w:tab w:pos="1761" w:val="left" w:leader="none"/>
          <w:tab w:pos="1762" w:val="left" w:leader="none"/>
        </w:tabs>
        <w:spacing w:line="206" w:lineRule="auto" w:before="87" w:after="0"/>
        <w:ind w:left="1761" w:right="1543" w:hanging="794"/>
        <w:jc w:val="left"/>
        <w:rPr>
          <w:sz w:val="20"/>
        </w:rPr>
      </w:pPr>
      <w:r>
        <w:rPr>
          <w:sz w:val="20"/>
        </w:rPr>
        <w:t>In</w:t>
      </w:r>
      <w:r>
        <w:rPr>
          <w:spacing w:val="-13"/>
          <w:sz w:val="20"/>
        </w:rPr>
        <w:t> </w:t>
      </w:r>
      <w:r>
        <w:rPr>
          <w:sz w:val="20"/>
        </w:rPr>
        <w:t>Victoria,</w:t>
      </w:r>
      <w:r>
        <w:rPr>
          <w:spacing w:val="-13"/>
          <w:sz w:val="20"/>
        </w:rPr>
        <w:t> </w:t>
      </w:r>
      <w:r>
        <w:rPr>
          <w:sz w:val="20"/>
        </w:rPr>
        <w:t>similar</w:t>
      </w:r>
      <w:r>
        <w:rPr>
          <w:spacing w:val="-12"/>
          <w:sz w:val="20"/>
        </w:rPr>
        <w:t> </w:t>
      </w:r>
      <w:r>
        <w:rPr>
          <w:sz w:val="20"/>
        </w:rPr>
        <w:t>themes</w:t>
      </w:r>
      <w:r>
        <w:rPr>
          <w:spacing w:val="-13"/>
          <w:sz w:val="20"/>
        </w:rPr>
        <w:t> </w:t>
      </w:r>
      <w:r>
        <w:rPr>
          <w:spacing w:val="-4"/>
          <w:sz w:val="20"/>
        </w:rPr>
        <w:t>were</w:t>
      </w:r>
      <w:r>
        <w:rPr>
          <w:spacing w:val="-12"/>
          <w:sz w:val="20"/>
        </w:rPr>
        <w:t> </w:t>
      </w:r>
      <w:r>
        <w:rPr>
          <w:sz w:val="20"/>
        </w:rPr>
        <w:t>raised</w:t>
      </w:r>
      <w:r>
        <w:rPr>
          <w:spacing w:val="-13"/>
          <w:sz w:val="20"/>
        </w:rPr>
        <w:t> </w:t>
      </w:r>
      <w:r>
        <w:rPr>
          <w:sz w:val="20"/>
        </w:rPr>
        <w:t>when</w:t>
      </w:r>
      <w:r>
        <w:rPr>
          <w:spacing w:val="-13"/>
          <w:sz w:val="20"/>
        </w:rPr>
        <w:t> </w:t>
      </w:r>
      <w:r>
        <w:rPr>
          <w:sz w:val="20"/>
        </w:rPr>
        <w:t>Parliament</w:t>
      </w:r>
      <w:r>
        <w:rPr>
          <w:spacing w:val="-12"/>
          <w:sz w:val="20"/>
        </w:rPr>
        <w:t> </w:t>
      </w:r>
      <w:r>
        <w:rPr>
          <w:sz w:val="20"/>
        </w:rPr>
        <w:t>debated</w:t>
      </w:r>
      <w:r>
        <w:rPr>
          <w:spacing w:val="-13"/>
          <w:sz w:val="20"/>
        </w:rPr>
        <w:t> </w:t>
      </w:r>
      <w:r>
        <w:rPr>
          <w:sz w:val="20"/>
        </w:rPr>
        <w:t>whether</w:t>
      </w:r>
      <w:r>
        <w:rPr>
          <w:spacing w:val="-12"/>
          <w:sz w:val="20"/>
        </w:rPr>
        <w:t> </w:t>
      </w:r>
      <w:r>
        <w:rPr>
          <w:sz w:val="20"/>
        </w:rPr>
        <w:t>to</w:t>
      </w:r>
      <w:r>
        <w:rPr>
          <w:spacing w:val="-13"/>
          <w:sz w:val="20"/>
        </w:rPr>
        <w:t> </w:t>
      </w:r>
      <w:r>
        <w:rPr>
          <w:sz w:val="20"/>
        </w:rPr>
        <w:t>include women as jurors in 1956, 1964, 1967 and</w:t>
      </w:r>
      <w:r>
        <w:rPr>
          <w:spacing w:val="-35"/>
          <w:sz w:val="20"/>
        </w:rPr>
        <w:t> </w:t>
      </w:r>
      <w:r>
        <w:rPr>
          <w:spacing w:val="-3"/>
          <w:sz w:val="20"/>
        </w:rPr>
        <w:t>1975.</w:t>
      </w:r>
    </w:p>
    <w:p>
      <w:pPr>
        <w:spacing w:before="161"/>
        <w:ind w:left="967" w:right="0" w:firstLine="0"/>
        <w:jc w:val="left"/>
        <w:rPr>
          <w:b/>
          <w:sz w:val="24"/>
        </w:rPr>
      </w:pPr>
      <w:r>
        <w:rPr>
          <w:b/>
          <w:sz w:val="24"/>
        </w:rPr>
        <w:t>Generalisations and assumptions about abilities</w:t>
      </w:r>
    </w:p>
    <w:p>
      <w:pPr>
        <w:pStyle w:val="ListParagraph"/>
        <w:numPr>
          <w:ilvl w:val="1"/>
          <w:numId w:val="12"/>
        </w:numPr>
        <w:tabs>
          <w:tab w:pos="1761" w:val="left" w:leader="none"/>
          <w:tab w:pos="1762" w:val="left" w:leader="none"/>
        </w:tabs>
        <w:spacing w:line="206" w:lineRule="auto" w:before="127" w:after="0"/>
        <w:ind w:left="1761" w:right="1215" w:hanging="794"/>
        <w:jc w:val="left"/>
        <w:rPr>
          <w:sz w:val="20"/>
        </w:rPr>
      </w:pPr>
      <w:r>
        <w:rPr>
          <w:sz w:val="20"/>
        </w:rPr>
        <w:t>The </w:t>
      </w:r>
      <w:r>
        <w:rPr>
          <w:spacing w:val="-2"/>
          <w:sz w:val="20"/>
        </w:rPr>
        <w:t>debate </w:t>
      </w:r>
      <w:r>
        <w:rPr>
          <w:sz w:val="20"/>
        </w:rPr>
        <w:t>about </w:t>
      </w:r>
      <w:r>
        <w:rPr>
          <w:spacing w:val="-3"/>
          <w:sz w:val="20"/>
        </w:rPr>
        <w:t>women’s </w:t>
      </w:r>
      <w:r>
        <w:rPr>
          <w:sz w:val="20"/>
        </w:rPr>
        <w:t>participation was framed around whether they could perform</w:t>
      </w:r>
      <w:r>
        <w:rPr>
          <w:spacing w:val="-10"/>
          <w:sz w:val="20"/>
        </w:rPr>
        <w:t> </w:t>
      </w:r>
      <w:r>
        <w:rPr>
          <w:sz w:val="20"/>
        </w:rPr>
        <w:t>the</w:t>
      </w:r>
      <w:r>
        <w:rPr>
          <w:spacing w:val="-10"/>
          <w:sz w:val="20"/>
        </w:rPr>
        <w:t> </w:t>
      </w:r>
      <w:r>
        <w:rPr>
          <w:spacing w:val="-3"/>
          <w:sz w:val="20"/>
        </w:rPr>
        <w:t>role.</w:t>
      </w:r>
      <w:r>
        <w:rPr>
          <w:spacing w:val="-10"/>
          <w:sz w:val="20"/>
        </w:rPr>
        <w:t> </w:t>
      </w:r>
      <w:r>
        <w:rPr>
          <w:sz w:val="20"/>
        </w:rPr>
        <w:t>Old-fashioned</w:t>
      </w:r>
      <w:r>
        <w:rPr>
          <w:spacing w:val="-10"/>
          <w:sz w:val="20"/>
        </w:rPr>
        <w:t> </w:t>
      </w:r>
      <w:r>
        <w:rPr>
          <w:sz w:val="20"/>
        </w:rPr>
        <w:t>generalisations</w:t>
      </w:r>
      <w:r>
        <w:rPr>
          <w:spacing w:val="-10"/>
          <w:sz w:val="20"/>
        </w:rPr>
        <w:t> </w:t>
      </w:r>
      <w:r>
        <w:rPr>
          <w:spacing w:val="-4"/>
          <w:sz w:val="20"/>
        </w:rPr>
        <w:t>were</w:t>
      </w:r>
      <w:r>
        <w:rPr>
          <w:spacing w:val="-10"/>
          <w:sz w:val="20"/>
        </w:rPr>
        <w:t> </w:t>
      </w:r>
      <w:r>
        <w:rPr>
          <w:sz w:val="20"/>
        </w:rPr>
        <w:t>imposed</w:t>
      </w:r>
      <w:r>
        <w:rPr>
          <w:spacing w:val="-10"/>
          <w:sz w:val="20"/>
        </w:rPr>
        <w:t> </w:t>
      </w:r>
      <w:r>
        <w:rPr>
          <w:spacing w:val="-3"/>
          <w:sz w:val="20"/>
        </w:rPr>
        <w:t>by</w:t>
      </w:r>
      <w:r>
        <w:rPr>
          <w:spacing w:val="-10"/>
          <w:sz w:val="20"/>
        </w:rPr>
        <w:t> </w:t>
      </w:r>
      <w:r>
        <w:rPr>
          <w:sz w:val="20"/>
        </w:rPr>
        <w:t>men</w:t>
      </w:r>
      <w:r>
        <w:rPr>
          <w:spacing w:val="-10"/>
          <w:sz w:val="20"/>
        </w:rPr>
        <w:t> </w:t>
      </w:r>
      <w:r>
        <w:rPr>
          <w:sz w:val="20"/>
        </w:rPr>
        <w:t>on</w:t>
      </w:r>
      <w:r>
        <w:rPr>
          <w:spacing w:val="-10"/>
          <w:sz w:val="20"/>
        </w:rPr>
        <w:t> </w:t>
      </w:r>
      <w:r>
        <w:rPr>
          <w:sz w:val="20"/>
        </w:rPr>
        <w:t>what</w:t>
      </w:r>
      <w:r>
        <w:rPr>
          <w:spacing w:val="-10"/>
          <w:sz w:val="20"/>
        </w:rPr>
        <w:t> </w:t>
      </w:r>
      <w:r>
        <w:rPr>
          <w:sz w:val="20"/>
        </w:rPr>
        <w:t>women could</w:t>
      </w:r>
      <w:r>
        <w:rPr>
          <w:spacing w:val="-10"/>
          <w:sz w:val="20"/>
        </w:rPr>
        <w:t> </w:t>
      </w:r>
      <w:r>
        <w:rPr>
          <w:sz w:val="20"/>
        </w:rPr>
        <w:t>and</w:t>
      </w:r>
      <w:r>
        <w:rPr>
          <w:spacing w:val="-9"/>
          <w:sz w:val="20"/>
        </w:rPr>
        <w:t> </w:t>
      </w:r>
      <w:r>
        <w:rPr>
          <w:sz w:val="20"/>
        </w:rPr>
        <w:t>could</w:t>
      </w:r>
      <w:r>
        <w:rPr>
          <w:spacing w:val="-9"/>
          <w:sz w:val="20"/>
        </w:rPr>
        <w:t> </w:t>
      </w:r>
      <w:r>
        <w:rPr>
          <w:sz w:val="20"/>
        </w:rPr>
        <w:t>not</w:t>
      </w:r>
      <w:r>
        <w:rPr>
          <w:spacing w:val="-10"/>
          <w:sz w:val="20"/>
        </w:rPr>
        <w:t> </w:t>
      </w:r>
      <w:r>
        <w:rPr>
          <w:sz w:val="20"/>
        </w:rPr>
        <w:t>do.</w:t>
      </w:r>
      <w:r>
        <w:rPr>
          <w:spacing w:val="-9"/>
          <w:sz w:val="20"/>
        </w:rPr>
        <w:t> </w:t>
      </w:r>
      <w:r>
        <w:rPr>
          <w:sz w:val="20"/>
        </w:rPr>
        <w:t>It</w:t>
      </w:r>
      <w:r>
        <w:rPr>
          <w:spacing w:val="-9"/>
          <w:sz w:val="20"/>
        </w:rPr>
        <w:t> </w:t>
      </w:r>
      <w:r>
        <w:rPr>
          <w:sz w:val="20"/>
        </w:rPr>
        <w:t>was</w:t>
      </w:r>
      <w:r>
        <w:rPr>
          <w:spacing w:val="-10"/>
          <w:sz w:val="20"/>
        </w:rPr>
        <w:t> </w:t>
      </w:r>
      <w:r>
        <w:rPr>
          <w:sz w:val="20"/>
        </w:rPr>
        <w:t>thought</w:t>
      </w:r>
      <w:r>
        <w:rPr>
          <w:spacing w:val="-9"/>
          <w:sz w:val="20"/>
        </w:rPr>
        <w:t> </w:t>
      </w:r>
      <w:r>
        <w:rPr>
          <w:sz w:val="20"/>
        </w:rPr>
        <w:t>that</w:t>
      </w:r>
      <w:r>
        <w:rPr>
          <w:spacing w:val="-9"/>
          <w:sz w:val="20"/>
        </w:rPr>
        <w:t> </w:t>
      </w:r>
      <w:r>
        <w:rPr>
          <w:spacing w:val="-3"/>
          <w:sz w:val="20"/>
        </w:rPr>
        <w:t>women’s</w:t>
      </w:r>
      <w:r>
        <w:rPr>
          <w:spacing w:val="-9"/>
          <w:sz w:val="20"/>
        </w:rPr>
        <w:t> </w:t>
      </w:r>
      <w:r>
        <w:rPr>
          <w:sz w:val="20"/>
        </w:rPr>
        <w:t>biology</w:t>
      </w:r>
      <w:r>
        <w:rPr>
          <w:spacing w:val="-10"/>
          <w:sz w:val="20"/>
        </w:rPr>
        <w:t> </w:t>
      </w:r>
      <w:r>
        <w:rPr>
          <w:sz w:val="20"/>
        </w:rPr>
        <w:t>meant</w:t>
      </w:r>
      <w:r>
        <w:rPr>
          <w:spacing w:val="-9"/>
          <w:sz w:val="20"/>
        </w:rPr>
        <w:t> </w:t>
      </w:r>
      <w:r>
        <w:rPr>
          <w:sz w:val="20"/>
        </w:rPr>
        <w:t>that</w:t>
      </w:r>
      <w:r>
        <w:rPr>
          <w:spacing w:val="-9"/>
          <w:sz w:val="20"/>
        </w:rPr>
        <w:t> </w:t>
      </w:r>
      <w:r>
        <w:rPr>
          <w:sz w:val="20"/>
        </w:rPr>
        <w:t>they</w:t>
      </w:r>
      <w:r>
        <w:rPr>
          <w:spacing w:val="-10"/>
          <w:sz w:val="20"/>
        </w:rPr>
        <w:t> </w:t>
      </w:r>
      <w:r>
        <w:rPr>
          <w:spacing w:val="-4"/>
          <w:sz w:val="20"/>
        </w:rPr>
        <w:t>were</w:t>
      </w:r>
      <w:r>
        <w:rPr>
          <w:spacing w:val="-9"/>
          <w:sz w:val="20"/>
        </w:rPr>
        <w:t> </w:t>
      </w:r>
      <w:r>
        <w:rPr>
          <w:sz w:val="20"/>
        </w:rPr>
        <w:t>not up to serving on juries or </w:t>
      </w:r>
      <w:r>
        <w:rPr>
          <w:spacing w:val="-4"/>
          <w:sz w:val="20"/>
        </w:rPr>
        <w:t>were </w:t>
      </w:r>
      <w:r>
        <w:rPr>
          <w:sz w:val="20"/>
        </w:rPr>
        <w:t>better suited to managing their </w:t>
      </w:r>
      <w:r>
        <w:rPr>
          <w:spacing w:val="-3"/>
          <w:sz w:val="20"/>
        </w:rPr>
        <w:t>family </w:t>
      </w:r>
      <w:r>
        <w:rPr>
          <w:sz w:val="20"/>
        </w:rPr>
        <w:t>responsibilities. Some argued that perhaps this could be </w:t>
      </w:r>
      <w:r>
        <w:rPr>
          <w:spacing w:val="-2"/>
          <w:sz w:val="20"/>
        </w:rPr>
        <w:t>corrected </w:t>
      </w:r>
      <w:r>
        <w:rPr>
          <w:sz w:val="20"/>
        </w:rPr>
        <w:t>with age and experience. Others argued that it was </w:t>
      </w:r>
      <w:r>
        <w:rPr>
          <w:spacing w:val="-3"/>
          <w:sz w:val="20"/>
        </w:rPr>
        <w:t>precisely </w:t>
      </w:r>
      <w:r>
        <w:rPr>
          <w:sz w:val="20"/>
        </w:rPr>
        <w:t>this unique experience that meant that they </w:t>
      </w:r>
      <w:r>
        <w:rPr>
          <w:spacing w:val="-3"/>
          <w:sz w:val="20"/>
        </w:rPr>
        <w:t>would make excellent </w:t>
      </w:r>
      <w:r>
        <w:rPr>
          <w:sz w:val="20"/>
        </w:rPr>
        <w:t>jurors. </w:t>
      </w:r>
      <w:r>
        <w:rPr>
          <w:spacing w:val="-3"/>
          <w:sz w:val="20"/>
        </w:rPr>
        <w:t>For example, </w:t>
      </w:r>
      <w:r>
        <w:rPr>
          <w:sz w:val="20"/>
        </w:rPr>
        <w:t>Mr Cain, Leader of the Opposition, commented in 1956 that:</w:t>
      </w:r>
    </w:p>
    <w:p>
      <w:pPr>
        <w:spacing w:line="208" w:lineRule="auto" w:before="128"/>
        <w:ind w:left="2157" w:right="1446" w:firstLine="0"/>
        <w:jc w:val="left"/>
        <w:rPr>
          <w:sz w:val="19"/>
        </w:rPr>
      </w:pPr>
      <w:r>
        <w:rPr>
          <w:sz w:val="19"/>
        </w:rPr>
        <w:t>I </w:t>
      </w:r>
      <w:r>
        <w:rPr>
          <w:spacing w:val="-3"/>
          <w:sz w:val="19"/>
        </w:rPr>
        <w:t>have </w:t>
      </w:r>
      <w:r>
        <w:rPr>
          <w:sz w:val="19"/>
        </w:rPr>
        <w:t>no strong objections to the principle of having women serve on juries. In fact, I believe that there are some women in the community who would probably be equally</w:t>
      </w:r>
      <w:r>
        <w:rPr>
          <w:spacing w:val="-5"/>
          <w:sz w:val="19"/>
        </w:rPr>
        <w:t> </w:t>
      </w:r>
      <w:r>
        <w:rPr>
          <w:sz w:val="19"/>
        </w:rPr>
        <w:t>good</w:t>
      </w:r>
      <w:r>
        <w:rPr>
          <w:spacing w:val="-4"/>
          <w:sz w:val="19"/>
        </w:rPr>
        <w:t> </w:t>
      </w:r>
      <w:r>
        <w:rPr>
          <w:sz w:val="19"/>
        </w:rPr>
        <w:t>as</w:t>
      </w:r>
      <w:r>
        <w:rPr>
          <w:spacing w:val="-5"/>
          <w:sz w:val="19"/>
        </w:rPr>
        <w:t> </w:t>
      </w:r>
      <w:r>
        <w:rPr>
          <w:sz w:val="19"/>
        </w:rPr>
        <w:t>jurors</w:t>
      </w:r>
      <w:r>
        <w:rPr>
          <w:spacing w:val="-4"/>
          <w:sz w:val="19"/>
        </w:rPr>
        <w:t> </w:t>
      </w:r>
      <w:r>
        <w:rPr>
          <w:sz w:val="19"/>
        </w:rPr>
        <w:t>as</w:t>
      </w:r>
      <w:r>
        <w:rPr>
          <w:spacing w:val="-4"/>
          <w:sz w:val="19"/>
        </w:rPr>
        <w:t> </w:t>
      </w:r>
      <w:r>
        <w:rPr>
          <w:sz w:val="19"/>
        </w:rPr>
        <w:t>some</w:t>
      </w:r>
      <w:r>
        <w:rPr>
          <w:spacing w:val="-5"/>
          <w:sz w:val="19"/>
        </w:rPr>
        <w:t> </w:t>
      </w:r>
      <w:r>
        <w:rPr>
          <w:sz w:val="19"/>
        </w:rPr>
        <w:t>men,</w:t>
      </w:r>
      <w:r>
        <w:rPr>
          <w:spacing w:val="-4"/>
          <w:sz w:val="19"/>
        </w:rPr>
        <w:t> </w:t>
      </w:r>
      <w:r>
        <w:rPr>
          <w:sz w:val="19"/>
        </w:rPr>
        <w:t>or</w:t>
      </w:r>
      <w:r>
        <w:rPr>
          <w:spacing w:val="-4"/>
          <w:sz w:val="19"/>
        </w:rPr>
        <w:t> </w:t>
      </w:r>
      <w:r>
        <w:rPr>
          <w:sz w:val="19"/>
        </w:rPr>
        <w:t>even</w:t>
      </w:r>
      <w:r>
        <w:rPr>
          <w:spacing w:val="-5"/>
          <w:sz w:val="19"/>
        </w:rPr>
        <w:t> </w:t>
      </w:r>
      <w:r>
        <w:rPr>
          <w:sz w:val="19"/>
        </w:rPr>
        <w:t>better.</w:t>
      </w:r>
      <w:r>
        <w:rPr>
          <w:spacing w:val="-4"/>
          <w:sz w:val="19"/>
        </w:rPr>
        <w:t> </w:t>
      </w:r>
      <w:r>
        <w:rPr>
          <w:sz w:val="19"/>
        </w:rPr>
        <w:t>There</w:t>
      </w:r>
      <w:r>
        <w:rPr>
          <w:spacing w:val="-5"/>
          <w:sz w:val="19"/>
        </w:rPr>
        <w:t> </w:t>
      </w:r>
      <w:r>
        <w:rPr>
          <w:spacing w:val="-3"/>
          <w:sz w:val="19"/>
        </w:rPr>
        <w:t>have</w:t>
      </w:r>
      <w:r>
        <w:rPr>
          <w:spacing w:val="-4"/>
          <w:sz w:val="19"/>
        </w:rPr>
        <w:t> </w:t>
      </w:r>
      <w:r>
        <w:rPr>
          <w:sz w:val="19"/>
        </w:rPr>
        <w:t>been</w:t>
      </w:r>
      <w:r>
        <w:rPr>
          <w:spacing w:val="-4"/>
          <w:sz w:val="19"/>
        </w:rPr>
        <w:t> </w:t>
      </w:r>
      <w:r>
        <w:rPr>
          <w:sz w:val="19"/>
        </w:rPr>
        <w:t>some</w:t>
      </w:r>
      <w:r>
        <w:rPr>
          <w:spacing w:val="-5"/>
          <w:sz w:val="19"/>
        </w:rPr>
        <w:t> </w:t>
      </w:r>
      <w:r>
        <w:rPr>
          <w:sz w:val="19"/>
        </w:rPr>
        <w:t>women members of this House who were as capable as the men. In every walk of life there are outstanding</w:t>
      </w:r>
      <w:r>
        <w:rPr>
          <w:spacing w:val="-5"/>
          <w:sz w:val="19"/>
        </w:rPr>
        <w:t> </w:t>
      </w:r>
      <w:r>
        <w:rPr>
          <w:sz w:val="19"/>
        </w:rPr>
        <w:t>women.</w:t>
      </w:r>
    </w:p>
    <w:p>
      <w:pPr>
        <w:spacing w:line="208" w:lineRule="auto" w:before="123"/>
        <w:ind w:left="2157" w:right="1252" w:firstLine="0"/>
        <w:jc w:val="left"/>
        <w:rPr>
          <w:sz w:val="19"/>
        </w:rPr>
      </w:pPr>
      <w:r>
        <w:rPr>
          <w:sz w:val="19"/>
        </w:rPr>
        <w:t>… the mere fact that a woman is a mother makes her better than she otherwise would be. Such a person has a keener sense of judgement, more common sense and is more practical than women without children. She has lived the real life.</w:t>
      </w:r>
    </w:p>
    <w:p>
      <w:pPr>
        <w:spacing w:line="247" w:lineRule="exact" w:before="94"/>
        <w:ind w:left="2157" w:right="0" w:firstLine="0"/>
        <w:jc w:val="left"/>
        <w:rPr>
          <w:sz w:val="19"/>
        </w:rPr>
      </w:pPr>
      <w:r>
        <w:rPr>
          <w:sz w:val="19"/>
        </w:rPr>
        <w:t>… But everybody knows that there would be great difficulties in attempting to compel</w:t>
      </w:r>
    </w:p>
    <w:p>
      <w:pPr>
        <w:spacing w:line="247" w:lineRule="exact" w:before="0"/>
        <w:ind w:left="2157" w:right="0" w:firstLine="0"/>
        <w:jc w:val="left"/>
        <w:rPr>
          <w:sz w:val="19"/>
        </w:rPr>
      </w:pPr>
      <w:r>
        <w:rPr>
          <w:sz w:val="19"/>
        </w:rPr>
        <w:t>women to serve on juries...</w:t>
      </w:r>
    </w:p>
    <w:p>
      <w:pPr>
        <w:spacing w:line="208" w:lineRule="auto" w:before="114"/>
        <w:ind w:left="2157" w:right="1110" w:firstLine="0"/>
        <w:jc w:val="left"/>
        <w:rPr>
          <w:sz w:val="11"/>
        </w:rPr>
      </w:pPr>
      <w:r>
        <w:rPr>
          <w:sz w:val="19"/>
        </w:rPr>
        <w:t>… the vast majority of mothers in the community will not be able, in their most effective years—when they are young, because those are the child-bearing years—to give service on juries.</w:t>
      </w:r>
      <w:r>
        <w:rPr>
          <w:position w:val="6"/>
          <w:sz w:val="11"/>
        </w:rPr>
        <w:t>45</w:t>
      </w:r>
    </w:p>
    <w:p>
      <w:pPr>
        <w:pStyle w:val="ListParagraph"/>
        <w:numPr>
          <w:ilvl w:val="1"/>
          <w:numId w:val="12"/>
        </w:numPr>
        <w:tabs>
          <w:tab w:pos="1761" w:val="left" w:leader="none"/>
          <w:tab w:pos="1762" w:val="left" w:leader="none"/>
        </w:tabs>
        <w:spacing w:line="206" w:lineRule="auto" w:before="124" w:after="0"/>
        <w:ind w:left="1761" w:right="1533" w:hanging="794"/>
        <w:jc w:val="left"/>
        <w:rPr>
          <w:sz w:val="20"/>
        </w:rPr>
      </w:pPr>
      <w:r>
        <w:rPr>
          <w:spacing w:val="-6"/>
          <w:sz w:val="20"/>
        </w:rPr>
        <w:t>We</w:t>
      </w:r>
      <w:r>
        <w:rPr>
          <w:spacing w:val="-12"/>
          <w:sz w:val="20"/>
        </w:rPr>
        <w:t> </w:t>
      </w:r>
      <w:r>
        <w:rPr>
          <w:sz w:val="20"/>
        </w:rPr>
        <w:t>look</w:t>
      </w:r>
      <w:r>
        <w:rPr>
          <w:spacing w:val="-11"/>
          <w:sz w:val="20"/>
        </w:rPr>
        <w:t> </w:t>
      </w:r>
      <w:r>
        <w:rPr>
          <w:sz w:val="20"/>
        </w:rPr>
        <w:t>back</w:t>
      </w:r>
      <w:r>
        <w:rPr>
          <w:spacing w:val="-11"/>
          <w:sz w:val="20"/>
        </w:rPr>
        <w:t> </w:t>
      </w:r>
      <w:r>
        <w:rPr>
          <w:sz w:val="20"/>
        </w:rPr>
        <w:t>on</w:t>
      </w:r>
      <w:r>
        <w:rPr>
          <w:spacing w:val="-11"/>
          <w:sz w:val="20"/>
        </w:rPr>
        <w:t> </w:t>
      </w:r>
      <w:r>
        <w:rPr>
          <w:sz w:val="20"/>
        </w:rPr>
        <w:t>these</w:t>
      </w:r>
      <w:r>
        <w:rPr>
          <w:spacing w:val="-11"/>
          <w:sz w:val="20"/>
        </w:rPr>
        <w:t> </w:t>
      </w:r>
      <w:r>
        <w:rPr>
          <w:sz w:val="20"/>
        </w:rPr>
        <w:t>generalisations</w:t>
      </w:r>
      <w:r>
        <w:rPr>
          <w:spacing w:val="-11"/>
          <w:sz w:val="20"/>
        </w:rPr>
        <w:t> </w:t>
      </w:r>
      <w:r>
        <w:rPr>
          <w:sz w:val="20"/>
        </w:rPr>
        <w:t>and</w:t>
      </w:r>
      <w:r>
        <w:rPr>
          <w:spacing w:val="-12"/>
          <w:sz w:val="20"/>
        </w:rPr>
        <w:t> </w:t>
      </w:r>
      <w:r>
        <w:rPr>
          <w:sz w:val="20"/>
        </w:rPr>
        <w:t>misconceptions</w:t>
      </w:r>
      <w:r>
        <w:rPr>
          <w:spacing w:val="-11"/>
          <w:sz w:val="20"/>
        </w:rPr>
        <w:t> </w:t>
      </w:r>
      <w:r>
        <w:rPr>
          <w:spacing w:val="-3"/>
          <w:sz w:val="20"/>
        </w:rPr>
        <w:t>now</w:t>
      </w:r>
      <w:r>
        <w:rPr>
          <w:spacing w:val="-11"/>
          <w:sz w:val="20"/>
        </w:rPr>
        <w:t> </w:t>
      </w:r>
      <w:r>
        <w:rPr>
          <w:sz w:val="20"/>
        </w:rPr>
        <w:t>and</w:t>
      </w:r>
      <w:r>
        <w:rPr>
          <w:spacing w:val="-11"/>
          <w:sz w:val="20"/>
        </w:rPr>
        <w:t> </w:t>
      </w:r>
      <w:r>
        <w:rPr>
          <w:sz w:val="20"/>
        </w:rPr>
        <w:t>consider</w:t>
      </w:r>
      <w:r>
        <w:rPr>
          <w:spacing w:val="-11"/>
          <w:sz w:val="20"/>
        </w:rPr>
        <w:t> </w:t>
      </w:r>
      <w:r>
        <w:rPr>
          <w:sz w:val="20"/>
        </w:rPr>
        <w:t>them nonsense, as did women campaigners at the time. </w:t>
      </w:r>
      <w:r>
        <w:rPr>
          <w:spacing w:val="-5"/>
          <w:sz w:val="20"/>
        </w:rPr>
        <w:t>However, </w:t>
      </w:r>
      <w:r>
        <w:rPr>
          <w:sz w:val="20"/>
        </w:rPr>
        <w:t>they </w:t>
      </w:r>
      <w:r>
        <w:rPr>
          <w:spacing w:val="-3"/>
          <w:sz w:val="20"/>
        </w:rPr>
        <w:t>slowed progress </w:t>
      </w:r>
      <w:r>
        <w:rPr>
          <w:sz w:val="20"/>
        </w:rPr>
        <w:t>for women for most of the 20th </w:t>
      </w:r>
      <w:r>
        <w:rPr>
          <w:spacing w:val="-3"/>
          <w:sz w:val="20"/>
        </w:rPr>
        <w:t>century. </w:t>
      </w:r>
      <w:r>
        <w:rPr>
          <w:spacing w:val="-8"/>
          <w:sz w:val="20"/>
        </w:rPr>
        <w:t>Today, </w:t>
      </w:r>
      <w:r>
        <w:rPr>
          <w:sz w:val="20"/>
        </w:rPr>
        <w:t>people with disabilities face similar prejudices, generalisations and misconceptions (see </w:t>
      </w:r>
      <w:r>
        <w:rPr>
          <w:spacing w:val="-2"/>
          <w:sz w:val="20"/>
        </w:rPr>
        <w:t>Chapter</w:t>
      </w:r>
      <w:r>
        <w:rPr>
          <w:spacing w:val="-34"/>
          <w:sz w:val="20"/>
        </w:rPr>
        <w:t> </w:t>
      </w:r>
      <w:r>
        <w:rPr>
          <w:spacing w:val="-3"/>
          <w:sz w:val="20"/>
        </w:rPr>
        <w:t>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4"/>
        </w:rPr>
      </w:pPr>
      <w:r>
        <w:rPr/>
        <w:pict>
          <v:line style="position:absolute;mso-position-horizontal-relative:page;mso-position-vertical-relative:paragraph;z-index:2120;mso-wrap-distance-left:0;mso-wrap-distance-right:0" from="79.370102pt,12.641363pt" to="515.905102pt,12.641363pt" stroked="true" strokeweight="1pt" strokecolor="#b6bdc8">
            <v:stroke dashstyle="solid"/>
            <w10:wrap type="topAndBottom"/>
          </v:line>
        </w:pict>
      </w:r>
    </w:p>
    <w:p>
      <w:pPr>
        <w:pStyle w:val="ListParagraph"/>
        <w:numPr>
          <w:ilvl w:val="0"/>
          <w:numId w:val="34"/>
        </w:numPr>
        <w:tabs>
          <w:tab w:pos="1760" w:val="left" w:leader="none"/>
          <w:tab w:pos="1762" w:val="left" w:leader="none"/>
        </w:tabs>
        <w:spacing w:line="213" w:lineRule="auto" w:before="107" w:after="0"/>
        <w:ind w:left="1761" w:right="1363" w:hanging="794"/>
        <w:jc w:val="left"/>
        <w:rPr>
          <w:sz w:val="13"/>
        </w:rPr>
      </w:pPr>
      <w:r>
        <w:rPr>
          <w:sz w:val="13"/>
        </w:rPr>
        <w:t>Sonia Walker, </w:t>
      </w:r>
      <w:r>
        <w:rPr>
          <w:spacing w:val="2"/>
          <w:sz w:val="13"/>
        </w:rPr>
        <w:t>‘Battle-Axes </w:t>
      </w:r>
      <w:r>
        <w:rPr>
          <w:sz w:val="13"/>
        </w:rPr>
        <w:t>and </w:t>
      </w:r>
      <w:r>
        <w:rPr>
          <w:spacing w:val="2"/>
          <w:sz w:val="13"/>
        </w:rPr>
        <w:t>Sticky-Beaks: </w:t>
      </w:r>
      <w:r>
        <w:rPr>
          <w:sz w:val="13"/>
        </w:rPr>
        <w:t>Women and </w:t>
      </w:r>
      <w:r>
        <w:rPr>
          <w:spacing w:val="2"/>
          <w:sz w:val="13"/>
        </w:rPr>
        <w:t>Jury Service </w:t>
      </w:r>
      <w:r>
        <w:rPr>
          <w:sz w:val="13"/>
        </w:rPr>
        <w:t>in Western Australia </w:t>
      </w:r>
      <w:r>
        <w:rPr>
          <w:spacing w:val="2"/>
          <w:sz w:val="13"/>
        </w:rPr>
        <w:t>1898–1957’ </w:t>
      </w:r>
      <w:r>
        <w:rPr>
          <w:sz w:val="13"/>
        </w:rPr>
        <w:t>(2004) 11(4) </w:t>
      </w:r>
      <w:r>
        <w:rPr>
          <w:i/>
          <w:sz w:val="13"/>
        </w:rPr>
        <w:t>Murdoch </w:t>
      </w:r>
      <w:r>
        <w:rPr>
          <w:i/>
          <w:sz w:val="13"/>
        </w:rPr>
        <w:t>University Electronic Journal of Law </w:t>
      </w:r>
      <w:r>
        <w:rPr>
          <w:sz w:val="13"/>
        </w:rPr>
        <w:t>&lt;</w:t>
      </w:r>
      <w:hyperlink r:id="rId86">
        <w:r>
          <w:rPr>
            <w:sz w:val="13"/>
          </w:rPr>
          <w:t>http://www.murdoch.edu.au/elaw/issues/v11n4/walker114_text.html</w:t>
        </w:r>
      </w:hyperlink>
      <w:r>
        <w:rPr>
          <w:sz w:val="13"/>
        </w:rPr>
        <w:t>&gt;. Walker notes that </w:t>
      </w:r>
      <w:r>
        <w:rPr>
          <w:spacing w:val="2"/>
          <w:sz w:val="13"/>
        </w:rPr>
        <w:t>Aboriginal </w:t>
      </w:r>
      <w:r>
        <w:rPr>
          <w:sz w:val="13"/>
        </w:rPr>
        <w:t>women were not able to serve until 1962 when they were eligible to vote in the Legislative Assembly.</w:t>
      </w:r>
    </w:p>
    <w:p>
      <w:pPr>
        <w:tabs>
          <w:tab w:pos="1760" w:val="left" w:leader="none"/>
        </w:tabs>
        <w:spacing w:line="152" w:lineRule="exact" w:before="0"/>
        <w:ind w:left="967" w:right="0" w:firstLine="0"/>
        <w:jc w:val="left"/>
        <w:rPr>
          <w:sz w:val="13"/>
        </w:rPr>
      </w:pPr>
      <w:r>
        <w:rPr>
          <w:sz w:val="13"/>
        </w:rPr>
        <w:t>41</w:t>
        <w:tab/>
        <w:t>Ibid </w:t>
      </w:r>
      <w:r>
        <w:rPr>
          <w:spacing w:val="2"/>
          <w:sz w:val="13"/>
        </w:rPr>
        <w:t>[6]–[14].</w:t>
      </w:r>
    </w:p>
    <w:p>
      <w:pPr>
        <w:tabs>
          <w:tab w:pos="1761" w:val="left" w:leader="none"/>
        </w:tabs>
        <w:spacing w:line="160" w:lineRule="exact" w:before="0"/>
        <w:ind w:left="967" w:right="0" w:firstLine="0"/>
        <w:jc w:val="left"/>
        <w:rPr>
          <w:sz w:val="13"/>
        </w:rPr>
      </w:pPr>
      <w:r>
        <w:rPr>
          <w:sz w:val="13"/>
        </w:rPr>
        <w:t>42</w:t>
        <w:tab/>
        <w:t>Ibid</w:t>
      </w:r>
      <w:r>
        <w:rPr>
          <w:spacing w:val="22"/>
          <w:sz w:val="13"/>
        </w:rPr>
        <w:t> </w:t>
      </w:r>
      <w:r>
        <w:rPr>
          <w:sz w:val="13"/>
        </w:rPr>
        <w:t>[15]–[18].</w:t>
      </w:r>
    </w:p>
    <w:p>
      <w:pPr>
        <w:tabs>
          <w:tab w:pos="1760" w:val="left" w:leader="none"/>
        </w:tabs>
        <w:spacing w:line="160" w:lineRule="exact" w:before="0"/>
        <w:ind w:left="967" w:right="0" w:firstLine="0"/>
        <w:jc w:val="left"/>
        <w:rPr>
          <w:sz w:val="13"/>
        </w:rPr>
      </w:pPr>
      <w:r>
        <w:rPr>
          <w:sz w:val="13"/>
        </w:rPr>
        <w:t>43</w:t>
        <w:tab/>
        <w:t>Ibid</w:t>
      </w:r>
      <w:r>
        <w:rPr>
          <w:spacing w:val="23"/>
          <w:sz w:val="13"/>
        </w:rPr>
        <w:t> </w:t>
      </w:r>
      <w:r>
        <w:rPr>
          <w:sz w:val="13"/>
        </w:rPr>
        <w:t>[20]–[24].</w:t>
      </w:r>
    </w:p>
    <w:p>
      <w:pPr>
        <w:tabs>
          <w:tab w:pos="1761" w:val="left" w:leader="none"/>
        </w:tabs>
        <w:spacing w:line="160" w:lineRule="exact" w:before="0"/>
        <w:ind w:left="967" w:right="0" w:firstLine="0"/>
        <w:jc w:val="left"/>
        <w:rPr>
          <w:sz w:val="13"/>
        </w:rPr>
      </w:pPr>
      <w:r>
        <w:rPr/>
        <w:pict>
          <v:shape style="position:absolute;margin-left:36pt;margin-top:3.71035pt;width:13.6pt;height:14.1pt;mso-position-horizontal-relative:page;mso-position-vertical-relative:paragraph;z-index:4192" type="#_x0000_t202" filled="false" stroked="false">
            <v:textbox inset="0,0,0,0">
              <w:txbxContent>
                <w:p>
                  <w:pPr>
                    <w:spacing w:line="282" w:lineRule="exact" w:before="0"/>
                    <w:ind w:left="0" w:right="0" w:firstLine="0"/>
                    <w:jc w:val="left"/>
                    <w:rPr>
                      <w:b/>
                      <w:sz w:val="24"/>
                    </w:rPr>
                  </w:pPr>
                  <w:r>
                    <w:rPr>
                      <w:b/>
                      <w:color w:val="37617A"/>
                      <w:sz w:val="24"/>
                    </w:rPr>
                    <w:t>34</w:t>
                  </w:r>
                </w:p>
              </w:txbxContent>
            </v:textbox>
            <w10:wrap type="none"/>
          </v:shape>
        </w:pict>
      </w:r>
      <w:r>
        <w:rPr>
          <w:spacing w:val="2"/>
          <w:sz w:val="13"/>
        </w:rPr>
        <w:t>44</w:t>
        <w:tab/>
      </w:r>
      <w:r>
        <w:rPr>
          <w:sz w:val="13"/>
        </w:rPr>
        <w:t>Ibid</w:t>
      </w:r>
      <w:r>
        <w:rPr>
          <w:spacing w:val="5"/>
          <w:sz w:val="13"/>
        </w:rPr>
        <w:t> </w:t>
      </w:r>
      <w:r>
        <w:rPr>
          <w:spacing w:val="2"/>
          <w:sz w:val="13"/>
        </w:rPr>
        <w:t>[25]–[30].</w:t>
      </w:r>
    </w:p>
    <w:p>
      <w:pPr>
        <w:pStyle w:val="ListParagraph"/>
        <w:numPr>
          <w:ilvl w:val="0"/>
          <w:numId w:val="35"/>
        </w:numPr>
        <w:tabs>
          <w:tab w:pos="1761" w:val="left" w:leader="none"/>
          <w:tab w:pos="1762" w:val="left" w:leader="none"/>
        </w:tabs>
        <w:spacing w:line="170" w:lineRule="exact" w:before="0" w:after="0"/>
        <w:ind w:left="1761" w:right="0" w:hanging="794"/>
        <w:jc w:val="left"/>
        <w:rPr>
          <w:sz w:val="13"/>
        </w:rPr>
      </w:pPr>
      <w:r>
        <w:rPr>
          <w:sz w:val="13"/>
        </w:rPr>
        <w:t>Victoria, </w:t>
      </w:r>
      <w:r>
        <w:rPr>
          <w:i/>
          <w:sz w:val="13"/>
        </w:rPr>
        <w:t>Parliamentary Debates</w:t>
      </w:r>
      <w:r>
        <w:rPr>
          <w:sz w:val="13"/>
        </w:rPr>
        <w:t>, Legislative Assembly, 29 August 1956, 3803 (John </w:t>
      </w:r>
      <w:r>
        <w:rPr>
          <w:spacing w:val="2"/>
          <w:sz w:val="13"/>
        </w:rPr>
        <w:t>Cain, </w:t>
      </w:r>
      <w:r>
        <w:rPr>
          <w:sz w:val="13"/>
        </w:rPr>
        <w:t>Leader of the</w:t>
      </w:r>
      <w:r>
        <w:rPr>
          <w:spacing w:val="23"/>
          <w:sz w:val="13"/>
        </w:rPr>
        <w:t> </w:t>
      </w:r>
      <w:r>
        <w:rPr>
          <w:sz w:val="13"/>
        </w:rPr>
        <w:t>Opposition).</w:t>
      </w:r>
    </w:p>
    <w:p>
      <w:pPr>
        <w:spacing w:after="0" w:line="170"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spacing w:before="49"/>
        <w:ind w:left="967" w:right="0" w:firstLine="0"/>
        <w:jc w:val="left"/>
        <w:rPr>
          <w:b/>
          <w:sz w:val="24"/>
        </w:rPr>
      </w:pPr>
      <w:bookmarkStart w:name="_bookmark32" w:id="83"/>
      <w:bookmarkEnd w:id="83"/>
      <w:r>
        <w:rPr/>
      </w:r>
      <w:r>
        <w:rPr>
          <w:b/>
          <w:sz w:val="24"/>
        </w:rPr>
        <w:t>‘A lot of rot!’: logistical issues and costs</w:t>
      </w:r>
    </w:p>
    <w:p>
      <w:pPr>
        <w:pStyle w:val="ListParagraph"/>
        <w:numPr>
          <w:ilvl w:val="1"/>
          <w:numId w:val="12"/>
        </w:numPr>
        <w:tabs>
          <w:tab w:pos="1761" w:val="left" w:leader="none"/>
          <w:tab w:pos="1762" w:val="left" w:leader="none"/>
        </w:tabs>
        <w:spacing w:line="206" w:lineRule="auto" w:before="127" w:after="0"/>
        <w:ind w:left="1761" w:right="1427" w:hanging="794"/>
        <w:jc w:val="left"/>
        <w:rPr>
          <w:sz w:val="20"/>
        </w:rPr>
      </w:pPr>
      <w:r>
        <w:rPr>
          <w:sz w:val="20"/>
        </w:rPr>
        <w:t>Logistical issues with the </w:t>
      </w:r>
      <w:r>
        <w:rPr>
          <w:spacing w:val="-3"/>
          <w:sz w:val="20"/>
        </w:rPr>
        <w:t>provision </w:t>
      </w:r>
      <w:r>
        <w:rPr>
          <w:sz w:val="20"/>
        </w:rPr>
        <w:t>of </w:t>
      </w:r>
      <w:r>
        <w:rPr>
          <w:spacing w:val="-3"/>
          <w:sz w:val="20"/>
        </w:rPr>
        <w:t>appropriate </w:t>
      </w:r>
      <w:r>
        <w:rPr>
          <w:sz w:val="20"/>
        </w:rPr>
        <w:t>facilities for women in the courts </w:t>
      </w:r>
      <w:r>
        <w:rPr>
          <w:spacing w:val="-4"/>
          <w:sz w:val="20"/>
        </w:rPr>
        <w:t>were </w:t>
      </w:r>
      <w:r>
        <w:rPr>
          <w:sz w:val="20"/>
        </w:rPr>
        <w:t>also raised to block </w:t>
      </w:r>
      <w:r>
        <w:rPr>
          <w:spacing w:val="-3"/>
          <w:sz w:val="20"/>
        </w:rPr>
        <w:t>women’s </w:t>
      </w:r>
      <w:r>
        <w:rPr>
          <w:sz w:val="20"/>
        </w:rPr>
        <w:t>attempts to gain equal jury franchise </w:t>
      </w:r>
      <w:r>
        <w:rPr>
          <w:spacing w:val="-3"/>
          <w:sz w:val="20"/>
        </w:rPr>
        <w:t>from </w:t>
      </w:r>
      <w:r>
        <w:rPr>
          <w:sz w:val="20"/>
        </w:rPr>
        <w:t>the 1940s to the </w:t>
      </w:r>
      <w:r>
        <w:rPr>
          <w:spacing w:val="-3"/>
          <w:sz w:val="20"/>
        </w:rPr>
        <w:t>1970s. </w:t>
      </w:r>
      <w:r>
        <w:rPr>
          <w:sz w:val="20"/>
        </w:rPr>
        <w:t>One of the </w:t>
      </w:r>
      <w:r>
        <w:rPr>
          <w:spacing w:val="-4"/>
          <w:sz w:val="20"/>
        </w:rPr>
        <w:t>key </w:t>
      </w:r>
      <w:r>
        <w:rPr>
          <w:sz w:val="20"/>
        </w:rPr>
        <w:t>arguments against women being able to serve as jurors</w:t>
      </w:r>
      <w:r>
        <w:rPr>
          <w:spacing w:val="-11"/>
          <w:sz w:val="20"/>
        </w:rPr>
        <w:t> </w:t>
      </w:r>
      <w:r>
        <w:rPr>
          <w:sz w:val="20"/>
        </w:rPr>
        <w:t>was</w:t>
      </w:r>
      <w:r>
        <w:rPr>
          <w:spacing w:val="-10"/>
          <w:sz w:val="20"/>
        </w:rPr>
        <w:t> </w:t>
      </w:r>
      <w:r>
        <w:rPr>
          <w:sz w:val="20"/>
        </w:rPr>
        <w:t>that</w:t>
      </w:r>
      <w:r>
        <w:rPr>
          <w:spacing w:val="-11"/>
          <w:sz w:val="20"/>
        </w:rPr>
        <w:t> </w:t>
      </w:r>
      <w:r>
        <w:rPr>
          <w:sz w:val="20"/>
        </w:rPr>
        <w:t>the</w:t>
      </w:r>
      <w:r>
        <w:rPr>
          <w:spacing w:val="-10"/>
          <w:sz w:val="20"/>
        </w:rPr>
        <w:t> </w:t>
      </w:r>
      <w:r>
        <w:rPr>
          <w:sz w:val="20"/>
        </w:rPr>
        <w:t>‘courts</w:t>
      </w:r>
      <w:r>
        <w:rPr>
          <w:spacing w:val="-11"/>
          <w:sz w:val="20"/>
        </w:rPr>
        <w:t> </w:t>
      </w:r>
      <w:r>
        <w:rPr>
          <w:sz w:val="20"/>
        </w:rPr>
        <w:t>lacked</w:t>
      </w:r>
      <w:r>
        <w:rPr>
          <w:spacing w:val="-10"/>
          <w:sz w:val="20"/>
        </w:rPr>
        <w:t> </w:t>
      </w:r>
      <w:r>
        <w:rPr>
          <w:sz w:val="20"/>
        </w:rPr>
        <w:t>female</w:t>
      </w:r>
      <w:r>
        <w:rPr>
          <w:spacing w:val="-11"/>
          <w:sz w:val="20"/>
        </w:rPr>
        <w:t> </w:t>
      </w:r>
      <w:r>
        <w:rPr>
          <w:sz w:val="20"/>
        </w:rPr>
        <w:t>toilets</w:t>
      </w:r>
      <w:r>
        <w:rPr>
          <w:spacing w:val="-10"/>
          <w:sz w:val="20"/>
        </w:rPr>
        <w:t> </w:t>
      </w:r>
      <w:r>
        <w:rPr>
          <w:sz w:val="20"/>
        </w:rPr>
        <w:t>and</w:t>
      </w:r>
      <w:r>
        <w:rPr>
          <w:spacing w:val="-11"/>
          <w:sz w:val="20"/>
        </w:rPr>
        <w:t> </w:t>
      </w:r>
      <w:r>
        <w:rPr>
          <w:sz w:val="20"/>
        </w:rPr>
        <w:t>it</w:t>
      </w:r>
      <w:r>
        <w:rPr>
          <w:spacing w:val="-10"/>
          <w:sz w:val="20"/>
        </w:rPr>
        <w:t> </w:t>
      </w:r>
      <w:r>
        <w:rPr>
          <w:spacing w:val="-3"/>
          <w:sz w:val="20"/>
        </w:rPr>
        <w:t>would</w:t>
      </w:r>
      <w:r>
        <w:rPr>
          <w:spacing w:val="-11"/>
          <w:sz w:val="20"/>
        </w:rPr>
        <w:t> </w:t>
      </w:r>
      <w:r>
        <w:rPr>
          <w:sz w:val="20"/>
        </w:rPr>
        <w:t>cost</w:t>
      </w:r>
      <w:r>
        <w:rPr>
          <w:spacing w:val="-10"/>
          <w:sz w:val="20"/>
        </w:rPr>
        <w:t> </w:t>
      </w:r>
      <w:r>
        <w:rPr>
          <w:sz w:val="20"/>
        </w:rPr>
        <w:t>too</w:t>
      </w:r>
      <w:r>
        <w:rPr>
          <w:spacing w:val="-11"/>
          <w:sz w:val="20"/>
        </w:rPr>
        <w:t> </w:t>
      </w:r>
      <w:r>
        <w:rPr>
          <w:sz w:val="20"/>
        </w:rPr>
        <w:t>much</w:t>
      </w:r>
      <w:r>
        <w:rPr>
          <w:spacing w:val="-10"/>
          <w:sz w:val="20"/>
        </w:rPr>
        <w:t> </w:t>
      </w:r>
      <w:r>
        <w:rPr>
          <w:sz w:val="20"/>
        </w:rPr>
        <w:t>money</w:t>
      </w:r>
      <w:r>
        <w:rPr>
          <w:spacing w:val="-11"/>
          <w:sz w:val="20"/>
        </w:rPr>
        <w:t> </w:t>
      </w:r>
      <w:r>
        <w:rPr>
          <w:sz w:val="20"/>
        </w:rPr>
        <w:t>to build</w:t>
      </w:r>
      <w:r>
        <w:rPr>
          <w:spacing w:val="-12"/>
          <w:sz w:val="20"/>
        </w:rPr>
        <w:t> </w:t>
      </w:r>
      <w:r>
        <w:rPr>
          <w:sz w:val="20"/>
        </w:rPr>
        <w:t>them’.</w:t>
      </w:r>
      <w:r>
        <w:rPr>
          <w:position w:val="7"/>
          <w:sz w:val="11"/>
        </w:rPr>
        <w:t>46</w:t>
      </w:r>
      <w:r>
        <w:rPr>
          <w:spacing w:val="14"/>
          <w:position w:val="7"/>
          <w:sz w:val="11"/>
        </w:rPr>
        <w:t> </w:t>
      </w:r>
      <w:r>
        <w:rPr>
          <w:sz w:val="20"/>
        </w:rPr>
        <w:t>A</w:t>
      </w:r>
      <w:r>
        <w:rPr>
          <w:spacing w:val="-12"/>
          <w:sz w:val="20"/>
        </w:rPr>
        <w:t> </w:t>
      </w:r>
      <w:r>
        <w:rPr>
          <w:sz w:val="20"/>
        </w:rPr>
        <w:t>justice</w:t>
      </w:r>
      <w:r>
        <w:rPr>
          <w:spacing w:val="-11"/>
          <w:sz w:val="20"/>
        </w:rPr>
        <w:t> </w:t>
      </w:r>
      <w:r>
        <w:rPr>
          <w:sz w:val="20"/>
        </w:rPr>
        <w:t>minister</w:t>
      </w:r>
      <w:r>
        <w:rPr>
          <w:spacing w:val="-11"/>
          <w:sz w:val="20"/>
        </w:rPr>
        <w:t> </w:t>
      </w:r>
      <w:r>
        <w:rPr>
          <w:sz w:val="20"/>
        </w:rPr>
        <w:t>commented</w:t>
      </w:r>
      <w:r>
        <w:rPr>
          <w:spacing w:val="-12"/>
          <w:sz w:val="20"/>
        </w:rPr>
        <w:t> </w:t>
      </w:r>
      <w:r>
        <w:rPr>
          <w:sz w:val="20"/>
        </w:rPr>
        <w:t>in</w:t>
      </w:r>
      <w:r>
        <w:rPr>
          <w:spacing w:val="-11"/>
          <w:sz w:val="20"/>
        </w:rPr>
        <w:t> </w:t>
      </w:r>
      <w:r>
        <w:rPr>
          <w:sz w:val="20"/>
        </w:rPr>
        <w:t>1942:</w:t>
      </w:r>
      <w:r>
        <w:rPr>
          <w:spacing w:val="-12"/>
          <w:sz w:val="20"/>
        </w:rPr>
        <w:t> </w:t>
      </w:r>
      <w:r>
        <w:rPr>
          <w:sz w:val="20"/>
        </w:rPr>
        <w:t>‘The</w:t>
      </w:r>
      <w:r>
        <w:rPr>
          <w:spacing w:val="-11"/>
          <w:sz w:val="20"/>
        </w:rPr>
        <w:t> </w:t>
      </w:r>
      <w:r>
        <w:rPr>
          <w:spacing w:val="-3"/>
          <w:sz w:val="20"/>
        </w:rPr>
        <w:t>greatest</w:t>
      </w:r>
      <w:r>
        <w:rPr>
          <w:spacing w:val="-11"/>
          <w:sz w:val="20"/>
        </w:rPr>
        <w:t> </w:t>
      </w:r>
      <w:r>
        <w:rPr>
          <w:sz w:val="20"/>
        </w:rPr>
        <w:t>difficulty</w:t>
      </w:r>
      <w:r>
        <w:rPr>
          <w:spacing w:val="-12"/>
          <w:sz w:val="20"/>
        </w:rPr>
        <w:t> </w:t>
      </w:r>
      <w:r>
        <w:rPr>
          <w:sz w:val="20"/>
        </w:rPr>
        <w:t>in</w:t>
      </w:r>
      <w:r>
        <w:rPr>
          <w:spacing w:val="-11"/>
          <w:sz w:val="20"/>
        </w:rPr>
        <w:t> </w:t>
      </w:r>
      <w:r>
        <w:rPr>
          <w:sz w:val="20"/>
        </w:rPr>
        <w:t>the</w:t>
      </w:r>
      <w:r>
        <w:rPr>
          <w:spacing w:val="-11"/>
          <w:sz w:val="20"/>
        </w:rPr>
        <w:t> </w:t>
      </w:r>
      <w:r>
        <w:rPr>
          <w:spacing w:val="-4"/>
          <w:sz w:val="20"/>
        </w:rPr>
        <w:t>way </w:t>
      </w:r>
      <w:r>
        <w:rPr>
          <w:sz w:val="20"/>
        </w:rPr>
        <w:t>of</w:t>
      </w:r>
      <w:r>
        <w:rPr>
          <w:spacing w:val="-12"/>
          <w:sz w:val="20"/>
        </w:rPr>
        <w:t> </w:t>
      </w:r>
      <w:r>
        <w:rPr>
          <w:sz w:val="20"/>
        </w:rPr>
        <w:t>anything</w:t>
      </w:r>
      <w:r>
        <w:rPr>
          <w:spacing w:val="-11"/>
          <w:sz w:val="20"/>
        </w:rPr>
        <w:t> </w:t>
      </w:r>
      <w:r>
        <w:rPr>
          <w:sz w:val="20"/>
        </w:rPr>
        <w:t>being</w:t>
      </w:r>
      <w:r>
        <w:rPr>
          <w:spacing w:val="-12"/>
          <w:sz w:val="20"/>
        </w:rPr>
        <w:t> </w:t>
      </w:r>
      <w:r>
        <w:rPr>
          <w:sz w:val="20"/>
        </w:rPr>
        <w:t>done</w:t>
      </w:r>
      <w:r>
        <w:rPr>
          <w:spacing w:val="-11"/>
          <w:sz w:val="20"/>
        </w:rPr>
        <w:t> </w:t>
      </w:r>
      <w:r>
        <w:rPr>
          <w:sz w:val="20"/>
        </w:rPr>
        <w:t>immediately</w:t>
      </w:r>
      <w:r>
        <w:rPr>
          <w:spacing w:val="-12"/>
          <w:sz w:val="20"/>
        </w:rPr>
        <w:t> </w:t>
      </w:r>
      <w:r>
        <w:rPr>
          <w:sz w:val="20"/>
        </w:rPr>
        <w:t>is</w:t>
      </w:r>
      <w:r>
        <w:rPr>
          <w:spacing w:val="-11"/>
          <w:sz w:val="20"/>
        </w:rPr>
        <w:t> </w:t>
      </w:r>
      <w:r>
        <w:rPr>
          <w:sz w:val="20"/>
        </w:rPr>
        <w:t>the</w:t>
      </w:r>
      <w:r>
        <w:rPr>
          <w:spacing w:val="-12"/>
          <w:sz w:val="20"/>
        </w:rPr>
        <w:t> </w:t>
      </w:r>
      <w:r>
        <w:rPr>
          <w:spacing w:val="-3"/>
          <w:sz w:val="20"/>
        </w:rPr>
        <w:t>provision</w:t>
      </w:r>
      <w:r>
        <w:rPr>
          <w:spacing w:val="-11"/>
          <w:sz w:val="20"/>
        </w:rPr>
        <w:t> </w:t>
      </w:r>
      <w:r>
        <w:rPr>
          <w:sz w:val="20"/>
        </w:rPr>
        <w:t>of</w:t>
      </w:r>
      <w:r>
        <w:rPr>
          <w:spacing w:val="-12"/>
          <w:sz w:val="20"/>
        </w:rPr>
        <w:t> </w:t>
      </w:r>
      <w:r>
        <w:rPr>
          <w:sz w:val="20"/>
        </w:rPr>
        <w:t>accommodation’.</w:t>
      </w:r>
      <w:r>
        <w:rPr>
          <w:position w:val="7"/>
          <w:sz w:val="11"/>
        </w:rPr>
        <w:t>47</w:t>
      </w:r>
      <w:r>
        <w:rPr>
          <w:spacing w:val="14"/>
          <w:position w:val="7"/>
          <w:sz w:val="11"/>
        </w:rPr>
        <w:t> </w:t>
      </w:r>
      <w:r>
        <w:rPr>
          <w:sz w:val="20"/>
        </w:rPr>
        <w:t>Simmonds notes that a </w:t>
      </w:r>
      <w:r>
        <w:rPr>
          <w:spacing w:val="-3"/>
          <w:sz w:val="20"/>
        </w:rPr>
        <w:t>‘well-known </w:t>
      </w:r>
      <w:r>
        <w:rPr>
          <w:sz w:val="20"/>
        </w:rPr>
        <w:t>Labour </w:t>
      </w:r>
      <w:r>
        <w:rPr>
          <w:spacing w:val="-3"/>
          <w:sz w:val="20"/>
        </w:rPr>
        <w:t>woman’ </w:t>
      </w:r>
      <w:r>
        <w:rPr>
          <w:sz w:val="20"/>
        </w:rPr>
        <w:t>responded to the ‘toilet objection’ in a New South </w:t>
      </w:r>
      <w:r>
        <w:rPr>
          <w:spacing w:val="-4"/>
          <w:sz w:val="20"/>
        </w:rPr>
        <w:t>Wales </w:t>
      </w:r>
      <w:r>
        <w:rPr>
          <w:sz w:val="20"/>
        </w:rPr>
        <w:t>deputation in the 1940s</w:t>
      </w:r>
      <w:r>
        <w:rPr>
          <w:spacing w:val="-23"/>
          <w:sz w:val="20"/>
        </w:rPr>
        <w:t> </w:t>
      </w:r>
      <w:r>
        <w:rPr>
          <w:sz w:val="20"/>
        </w:rPr>
        <w:t>stating:</w:t>
      </w:r>
    </w:p>
    <w:p>
      <w:pPr>
        <w:spacing w:line="208" w:lineRule="auto" w:before="128"/>
        <w:ind w:left="2157" w:right="1705" w:firstLine="0"/>
        <w:jc w:val="both"/>
        <w:rPr>
          <w:sz w:val="11"/>
        </w:rPr>
      </w:pPr>
      <w:r>
        <w:rPr>
          <w:sz w:val="19"/>
        </w:rPr>
        <w:t>A lot of rot! The minister is only pulling your association’s leg. Accommodation! … the</w:t>
      </w:r>
      <w:r>
        <w:rPr>
          <w:spacing w:val="-4"/>
          <w:sz w:val="19"/>
        </w:rPr>
        <w:t> </w:t>
      </w:r>
      <w:r>
        <w:rPr>
          <w:sz w:val="19"/>
        </w:rPr>
        <w:t>government</w:t>
      </w:r>
      <w:r>
        <w:rPr>
          <w:spacing w:val="-4"/>
          <w:sz w:val="19"/>
        </w:rPr>
        <w:t> </w:t>
      </w:r>
      <w:r>
        <w:rPr>
          <w:sz w:val="19"/>
        </w:rPr>
        <w:t>can</w:t>
      </w:r>
      <w:r>
        <w:rPr>
          <w:spacing w:val="-3"/>
          <w:sz w:val="19"/>
        </w:rPr>
        <w:t> </w:t>
      </w:r>
      <w:r>
        <w:rPr>
          <w:sz w:val="19"/>
        </w:rPr>
        <w:t>put</w:t>
      </w:r>
      <w:r>
        <w:rPr>
          <w:spacing w:val="-4"/>
          <w:sz w:val="19"/>
        </w:rPr>
        <w:t> </w:t>
      </w:r>
      <w:r>
        <w:rPr>
          <w:sz w:val="19"/>
        </w:rPr>
        <w:t>an</w:t>
      </w:r>
      <w:r>
        <w:rPr>
          <w:spacing w:val="-3"/>
          <w:sz w:val="19"/>
        </w:rPr>
        <w:t> </w:t>
      </w:r>
      <w:r>
        <w:rPr>
          <w:sz w:val="19"/>
        </w:rPr>
        <w:t>extra</w:t>
      </w:r>
      <w:r>
        <w:rPr>
          <w:spacing w:val="-4"/>
          <w:sz w:val="19"/>
        </w:rPr>
        <w:t> </w:t>
      </w:r>
      <w:r>
        <w:rPr>
          <w:sz w:val="19"/>
        </w:rPr>
        <w:t>lavatory</w:t>
      </w:r>
      <w:r>
        <w:rPr>
          <w:spacing w:val="-3"/>
          <w:sz w:val="19"/>
        </w:rPr>
        <w:t> </w:t>
      </w:r>
      <w:r>
        <w:rPr>
          <w:sz w:val="19"/>
        </w:rPr>
        <w:t>and</w:t>
      </w:r>
      <w:r>
        <w:rPr>
          <w:spacing w:val="-4"/>
          <w:sz w:val="19"/>
        </w:rPr>
        <w:t> </w:t>
      </w:r>
      <w:r>
        <w:rPr>
          <w:sz w:val="19"/>
        </w:rPr>
        <w:t>a</w:t>
      </w:r>
      <w:r>
        <w:rPr>
          <w:spacing w:val="-3"/>
          <w:sz w:val="19"/>
        </w:rPr>
        <w:t> </w:t>
      </w:r>
      <w:r>
        <w:rPr>
          <w:sz w:val="19"/>
        </w:rPr>
        <w:t>bit</w:t>
      </w:r>
      <w:r>
        <w:rPr>
          <w:spacing w:val="-4"/>
          <w:sz w:val="19"/>
        </w:rPr>
        <w:t> </w:t>
      </w:r>
      <w:r>
        <w:rPr>
          <w:sz w:val="19"/>
        </w:rPr>
        <w:t>of</w:t>
      </w:r>
      <w:r>
        <w:rPr>
          <w:spacing w:val="-3"/>
          <w:sz w:val="19"/>
        </w:rPr>
        <w:t> </w:t>
      </w:r>
      <w:r>
        <w:rPr>
          <w:sz w:val="19"/>
        </w:rPr>
        <w:t>a</w:t>
      </w:r>
      <w:r>
        <w:rPr>
          <w:spacing w:val="-4"/>
          <w:sz w:val="19"/>
        </w:rPr>
        <w:t> </w:t>
      </w:r>
      <w:r>
        <w:rPr>
          <w:sz w:val="19"/>
        </w:rPr>
        <w:t>wooden</w:t>
      </w:r>
      <w:r>
        <w:rPr>
          <w:spacing w:val="-3"/>
          <w:sz w:val="19"/>
        </w:rPr>
        <w:t> </w:t>
      </w:r>
      <w:r>
        <w:rPr>
          <w:sz w:val="19"/>
        </w:rPr>
        <w:t>partition</w:t>
      </w:r>
      <w:r>
        <w:rPr>
          <w:spacing w:val="-4"/>
          <w:sz w:val="19"/>
        </w:rPr>
        <w:t> </w:t>
      </w:r>
      <w:r>
        <w:rPr>
          <w:sz w:val="19"/>
        </w:rPr>
        <w:t>in</w:t>
      </w:r>
      <w:r>
        <w:rPr>
          <w:spacing w:val="-3"/>
          <w:sz w:val="19"/>
        </w:rPr>
        <w:t> </w:t>
      </w:r>
      <w:r>
        <w:rPr>
          <w:sz w:val="19"/>
        </w:rPr>
        <w:t>other departments quick enough, why not in the</w:t>
      </w:r>
      <w:r>
        <w:rPr>
          <w:spacing w:val="-17"/>
          <w:sz w:val="19"/>
        </w:rPr>
        <w:t> </w:t>
      </w:r>
      <w:r>
        <w:rPr>
          <w:sz w:val="19"/>
        </w:rPr>
        <w:t>courts?</w:t>
      </w:r>
      <w:r>
        <w:rPr>
          <w:position w:val="6"/>
          <w:sz w:val="11"/>
        </w:rPr>
        <w:t>48</w:t>
      </w:r>
    </w:p>
    <w:p>
      <w:pPr>
        <w:pStyle w:val="ListParagraph"/>
        <w:numPr>
          <w:ilvl w:val="1"/>
          <w:numId w:val="12"/>
        </w:numPr>
        <w:tabs>
          <w:tab w:pos="1761" w:val="left" w:leader="none"/>
          <w:tab w:pos="1762" w:val="left" w:leader="none"/>
        </w:tabs>
        <w:spacing w:line="206" w:lineRule="auto" w:before="124" w:after="0"/>
        <w:ind w:left="1761" w:right="2207" w:hanging="794"/>
        <w:jc w:val="left"/>
        <w:rPr>
          <w:sz w:val="20"/>
        </w:rPr>
      </w:pPr>
      <w:r>
        <w:rPr>
          <w:sz w:val="20"/>
        </w:rPr>
        <w:t>The</w:t>
      </w:r>
      <w:r>
        <w:rPr>
          <w:spacing w:val="-11"/>
          <w:sz w:val="20"/>
        </w:rPr>
        <w:t> </w:t>
      </w:r>
      <w:r>
        <w:rPr>
          <w:sz w:val="20"/>
        </w:rPr>
        <w:t>Hon.</w:t>
      </w:r>
      <w:r>
        <w:rPr>
          <w:spacing w:val="-11"/>
          <w:sz w:val="20"/>
        </w:rPr>
        <w:t> </w:t>
      </w:r>
      <w:r>
        <w:rPr>
          <w:sz w:val="20"/>
        </w:rPr>
        <w:t>T</w:t>
      </w:r>
      <w:r>
        <w:rPr>
          <w:spacing w:val="-10"/>
          <w:sz w:val="20"/>
        </w:rPr>
        <w:t> </w:t>
      </w:r>
      <w:r>
        <w:rPr>
          <w:sz w:val="20"/>
        </w:rPr>
        <w:t>W</w:t>
      </w:r>
      <w:r>
        <w:rPr>
          <w:spacing w:val="-11"/>
          <w:sz w:val="20"/>
        </w:rPr>
        <w:t> </w:t>
      </w:r>
      <w:r>
        <w:rPr>
          <w:sz w:val="20"/>
        </w:rPr>
        <w:t>Brennan,</w:t>
      </w:r>
      <w:r>
        <w:rPr>
          <w:spacing w:val="-11"/>
          <w:sz w:val="20"/>
        </w:rPr>
        <w:t> </w:t>
      </w:r>
      <w:r>
        <w:rPr>
          <w:sz w:val="20"/>
        </w:rPr>
        <w:t>a</w:t>
      </w:r>
      <w:r>
        <w:rPr>
          <w:spacing w:val="-10"/>
          <w:sz w:val="20"/>
        </w:rPr>
        <w:t> </w:t>
      </w:r>
      <w:r>
        <w:rPr>
          <w:sz w:val="20"/>
        </w:rPr>
        <w:t>staunch</w:t>
      </w:r>
      <w:r>
        <w:rPr>
          <w:spacing w:val="-11"/>
          <w:sz w:val="20"/>
        </w:rPr>
        <w:t> </w:t>
      </w:r>
      <w:r>
        <w:rPr>
          <w:sz w:val="20"/>
        </w:rPr>
        <w:t>supporter</w:t>
      </w:r>
      <w:r>
        <w:rPr>
          <w:spacing w:val="-11"/>
          <w:sz w:val="20"/>
        </w:rPr>
        <w:t> </w:t>
      </w:r>
      <w:r>
        <w:rPr>
          <w:sz w:val="20"/>
        </w:rPr>
        <w:t>of</w:t>
      </w:r>
      <w:r>
        <w:rPr>
          <w:spacing w:val="-10"/>
          <w:sz w:val="20"/>
        </w:rPr>
        <w:t> </w:t>
      </w:r>
      <w:r>
        <w:rPr>
          <w:sz w:val="20"/>
        </w:rPr>
        <w:t>women</w:t>
      </w:r>
      <w:r>
        <w:rPr>
          <w:spacing w:val="-11"/>
          <w:sz w:val="20"/>
        </w:rPr>
        <w:t> </w:t>
      </w:r>
      <w:r>
        <w:rPr>
          <w:sz w:val="20"/>
        </w:rPr>
        <w:t>jurors,</w:t>
      </w:r>
      <w:r>
        <w:rPr>
          <w:spacing w:val="-10"/>
          <w:sz w:val="20"/>
        </w:rPr>
        <w:t> </w:t>
      </w:r>
      <w:r>
        <w:rPr>
          <w:sz w:val="20"/>
        </w:rPr>
        <w:t>commented</w:t>
      </w:r>
      <w:r>
        <w:rPr>
          <w:spacing w:val="-11"/>
          <w:sz w:val="20"/>
        </w:rPr>
        <w:t> </w:t>
      </w:r>
      <w:r>
        <w:rPr>
          <w:sz w:val="20"/>
        </w:rPr>
        <w:t>in parliament in</w:t>
      </w:r>
      <w:r>
        <w:rPr>
          <w:spacing w:val="-9"/>
          <w:sz w:val="20"/>
        </w:rPr>
        <w:t> </w:t>
      </w:r>
      <w:r>
        <w:rPr>
          <w:sz w:val="20"/>
        </w:rPr>
        <w:t>1956:</w:t>
      </w:r>
    </w:p>
    <w:p>
      <w:pPr>
        <w:spacing w:line="208" w:lineRule="auto" w:before="120"/>
        <w:ind w:left="2157" w:right="1150" w:firstLine="0"/>
        <w:jc w:val="left"/>
        <w:rPr>
          <w:sz w:val="11"/>
        </w:rPr>
      </w:pPr>
      <w:r>
        <w:rPr>
          <w:sz w:val="19"/>
        </w:rPr>
        <w:t>why should not this Government show courage and provide at least a few powder rooms in the Supreme Court buildings during the present reconstruction so that women might be enabled to serve on our juries? We have a notable opportunity in this community in these modern days to follow advanced thinking.</w:t>
      </w:r>
      <w:r>
        <w:rPr>
          <w:position w:val="6"/>
          <w:sz w:val="11"/>
        </w:rPr>
        <w:t>49</w:t>
      </w:r>
    </w:p>
    <w:p>
      <w:pPr>
        <w:pStyle w:val="ListParagraph"/>
        <w:numPr>
          <w:ilvl w:val="1"/>
          <w:numId w:val="12"/>
        </w:numPr>
        <w:tabs>
          <w:tab w:pos="1761" w:val="left" w:leader="none"/>
          <w:tab w:pos="1762" w:val="left" w:leader="none"/>
        </w:tabs>
        <w:spacing w:line="206" w:lineRule="auto" w:before="125" w:after="0"/>
        <w:ind w:left="1761" w:right="1373" w:hanging="794"/>
        <w:jc w:val="left"/>
        <w:rPr>
          <w:sz w:val="11"/>
        </w:rPr>
      </w:pPr>
      <w:r>
        <w:rPr>
          <w:sz w:val="20"/>
        </w:rPr>
        <w:t>Concerns about enabling jury service for people with disabilities </w:t>
      </w:r>
      <w:r>
        <w:rPr>
          <w:spacing w:val="-3"/>
          <w:sz w:val="20"/>
        </w:rPr>
        <w:t>are </w:t>
      </w:r>
      <w:r>
        <w:rPr>
          <w:sz w:val="20"/>
        </w:rPr>
        <w:t>reminiscent of objections</w:t>
      </w:r>
      <w:r>
        <w:rPr>
          <w:spacing w:val="-10"/>
          <w:sz w:val="20"/>
        </w:rPr>
        <w:t> </w:t>
      </w:r>
      <w:r>
        <w:rPr>
          <w:sz w:val="20"/>
        </w:rPr>
        <w:t>made</w:t>
      </w:r>
      <w:r>
        <w:rPr>
          <w:spacing w:val="-10"/>
          <w:sz w:val="20"/>
        </w:rPr>
        <w:t> </w:t>
      </w:r>
      <w:r>
        <w:rPr>
          <w:sz w:val="20"/>
        </w:rPr>
        <w:t>about</w:t>
      </w:r>
      <w:r>
        <w:rPr>
          <w:spacing w:val="-9"/>
          <w:sz w:val="20"/>
        </w:rPr>
        <w:t> </w:t>
      </w:r>
      <w:r>
        <w:rPr>
          <w:sz w:val="20"/>
        </w:rPr>
        <w:t>women</w:t>
      </w:r>
      <w:r>
        <w:rPr>
          <w:spacing w:val="-10"/>
          <w:sz w:val="20"/>
        </w:rPr>
        <w:t> </w:t>
      </w:r>
      <w:r>
        <w:rPr>
          <w:sz w:val="20"/>
        </w:rPr>
        <w:t>serving</w:t>
      </w:r>
      <w:r>
        <w:rPr>
          <w:spacing w:val="-9"/>
          <w:sz w:val="20"/>
        </w:rPr>
        <w:t> </w:t>
      </w:r>
      <w:r>
        <w:rPr>
          <w:sz w:val="20"/>
        </w:rPr>
        <w:t>without</w:t>
      </w:r>
      <w:r>
        <w:rPr>
          <w:spacing w:val="-10"/>
          <w:sz w:val="20"/>
        </w:rPr>
        <w:t> </w:t>
      </w:r>
      <w:r>
        <w:rPr>
          <w:spacing w:val="-3"/>
          <w:sz w:val="20"/>
        </w:rPr>
        <w:t>appropriate</w:t>
      </w:r>
      <w:r>
        <w:rPr>
          <w:spacing w:val="-9"/>
          <w:sz w:val="20"/>
        </w:rPr>
        <w:t> </w:t>
      </w:r>
      <w:r>
        <w:rPr>
          <w:sz w:val="20"/>
        </w:rPr>
        <w:t>facilities</w:t>
      </w:r>
      <w:r>
        <w:rPr>
          <w:spacing w:val="-10"/>
          <w:sz w:val="20"/>
        </w:rPr>
        <w:t> </w:t>
      </w:r>
      <w:r>
        <w:rPr>
          <w:sz w:val="20"/>
        </w:rPr>
        <w:t>in</w:t>
      </w:r>
      <w:r>
        <w:rPr>
          <w:spacing w:val="-10"/>
          <w:sz w:val="20"/>
        </w:rPr>
        <w:t> </w:t>
      </w:r>
      <w:r>
        <w:rPr>
          <w:sz w:val="20"/>
        </w:rPr>
        <w:t>the</w:t>
      </w:r>
      <w:r>
        <w:rPr>
          <w:spacing w:val="-9"/>
          <w:sz w:val="20"/>
        </w:rPr>
        <w:t> </w:t>
      </w:r>
      <w:r>
        <w:rPr>
          <w:sz w:val="20"/>
        </w:rPr>
        <w:t>courts.</w:t>
      </w:r>
      <w:r>
        <w:rPr>
          <w:spacing w:val="-10"/>
          <w:sz w:val="20"/>
        </w:rPr>
        <w:t> </w:t>
      </w:r>
      <w:r>
        <w:rPr>
          <w:spacing w:val="-6"/>
          <w:sz w:val="20"/>
        </w:rPr>
        <w:t>We </w:t>
      </w:r>
      <w:r>
        <w:rPr>
          <w:spacing w:val="-4"/>
          <w:sz w:val="20"/>
        </w:rPr>
        <w:t>have </w:t>
      </w:r>
      <w:r>
        <w:rPr>
          <w:sz w:val="20"/>
        </w:rPr>
        <w:t>heard that the courts will need time to </w:t>
      </w:r>
      <w:r>
        <w:rPr>
          <w:spacing w:val="-3"/>
          <w:sz w:val="20"/>
        </w:rPr>
        <w:t>reorganise, pay </w:t>
      </w:r>
      <w:r>
        <w:rPr>
          <w:sz w:val="20"/>
        </w:rPr>
        <w:t>for and plan to </w:t>
      </w:r>
      <w:r>
        <w:rPr>
          <w:spacing w:val="-3"/>
          <w:sz w:val="20"/>
        </w:rPr>
        <w:t>provide </w:t>
      </w:r>
      <w:r>
        <w:rPr>
          <w:sz w:val="20"/>
        </w:rPr>
        <w:t>adjustments. In a submission to the New South </w:t>
      </w:r>
      <w:r>
        <w:rPr>
          <w:spacing w:val="-4"/>
          <w:sz w:val="20"/>
        </w:rPr>
        <w:t>Wales </w:t>
      </w:r>
      <w:r>
        <w:rPr>
          <w:sz w:val="20"/>
        </w:rPr>
        <w:t>Law Reform Committee </w:t>
      </w:r>
      <w:r>
        <w:rPr>
          <w:spacing w:val="-3"/>
          <w:sz w:val="20"/>
        </w:rPr>
        <w:t>(NSWLRC), </w:t>
      </w:r>
      <w:r>
        <w:rPr>
          <w:sz w:val="20"/>
        </w:rPr>
        <w:t>Justice Hulme argued that permitting blind or deaf persons to serve on juries </w:t>
      </w:r>
      <w:r>
        <w:rPr>
          <w:spacing w:val="-3"/>
          <w:sz w:val="20"/>
        </w:rPr>
        <w:t>‘would </w:t>
      </w:r>
      <w:r>
        <w:rPr>
          <w:sz w:val="20"/>
        </w:rPr>
        <w:t>impose a cost on the community </w:t>
      </w:r>
      <w:r>
        <w:rPr>
          <w:spacing w:val="-3"/>
          <w:sz w:val="20"/>
        </w:rPr>
        <w:t>vastly </w:t>
      </w:r>
      <w:r>
        <w:rPr>
          <w:sz w:val="20"/>
        </w:rPr>
        <w:t>out of proportion to </w:t>
      </w:r>
      <w:r>
        <w:rPr>
          <w:spacing w:val="-3"/>
          <w:sz w:val="20"/>
        </w:rPr>
        <w:t>any </w:t>
      </w:r>
      <w:r>
        <w:rPr>
          <w:sz w:val="20"/>
        </w:rPr>
        <w:t>benefit which could be</w:t>
      </w:r>
      <w:r>
        <w:rPr>
          <w:spacing w:val="-13"/>
          <w:sz w:val="20"/>
        </w:rPr>
        <w:t> </w:t>
      </w:r>
      <w:r>
        <w:rPr>
          <w:sz w:val="20"/>
        </w:rPr>
        <w:t>achieved’.</w:t>
      </w:r>
      <w:r>
        <w:rPr>
          <w:position w:val="7"/>
          <w:sz w:val="11"/>
        </w:rPr>
        <w:t>50</w:t>
      </w:r>
    </w:p>
    <w:p>
      <w:pPr>
        <w:pStyle w:val="ListParagraph"/>
        <w:numPr>
          <w:ilvl w:val="1"/>
          <w:numId w:val="12"/>
        </w:numPr>
        <w:tabs>
          <w:tab w:pos="1761" w:val="left" w:leader="none"/>
          <w:tab w:pos="1762" w:val="left" w:leader="none"/>
        </w:tabs>
        <w:spacing w:line="206" w:lineRule="auto" w:before="129" w:after="0"/>
        <w:ind w:left="1761" w:right="1290" w:hanging="794"/>
        <w:jc w:val="left"/>
        <w:rPr>
          <w:sz w:val="20"/>
        </w:rPr>
      </w:pPr>
      <w:r>
        <w:rPr>
          <w:sz w:val="20"/>
        </w:rPr>
        <w:t>In</w:t>
      </w:r>
      <w:r>
        <w:rPr>
          <w:spacing w:val="-9"/>
          <w:sz w:val="20"/>
        </w:rPr>
        <w:t> </w:t>
      </w:r>
      <w:r>
        <w:rPr>
          <w:spacing w:val="-2"/>
          <w:sz w:val="20"/>
        </w:rPr>
        <w:t>Chapter</w:t>
      </w:r>
      <w:r>
        <w:rPr>
          <w:spacing w:val="-8"/>
          <w:sz w:val="20"/>
        </w:rPr>
        <w:t> </w:t>
      </w:r>
      <w:r>
        <w:rPr>
          <w:sz w:val="20"/>
        </w:rPr>
        <w:t>6</w:t>
      </w:r>
      <w:r>
        <w:rPr>
          <w:spacing w:val="-8"/>
          <w:sz w:val="20"/>
        </w:rPr>
        <w:t> </w:t>
      </w:r>
      <w:r>
        <w:rPr>
          <w:spacing w:val="-3"/>
          <w:sz w:val="20"/>
        </w:rPr>
        <w:t>we</w:t>
      </w:r>
      <w:r>
        <w:rPr>
          <w:spacing w:val="-8"/>
          <w:sz w:val="20"/>
        </w:rPr>
        <w:t> </w:t>
      </w:r>
      <w:r>
        <w:rPr>
          <w:sz w:val="20"/>
        </w:rPr>
        <w:t>discuss</w:t>
      </w:r>
      <w:r>
        <w:rPr>
          <w:spacing w:val="-8"/>
          <w:sz w:val="20"/>
        </w:rPr>
        <w:t> </w:t>
      </w:r>
      <w:r>
        <w:rPr>
          <w:spacing w:val="-3"/>
          <w:sz w:val="20"/>
        </w:rPr>
        <w:t>how</w:t>
      </w:r>
      <w:r>
        <w:rPr>
          <w:spacing w:val="-8"/>
          <w:sz w:val="20"/>
        </w:rPr>
        <w:t> </w:t>
      </w:r>
      <w:r>
        <w:rPr>
          <w:sz w:val="20"/>
        </w:rPr>
        <w:t>Australia</w:t>
      </w:r>
      <w:r>
        <w:rPr>
          <w:spacing w:val="-8"/>
          <w:sz w:val="20"/>
        </w:rPr>
        <w:t> </w:t>
      </w:r>
      <w:r>
        <w:rPr>
          <w:sz w:val="20"/>
        </w:rPr>
        <w:t>defends</w:t>
      </w:r>
      <w:r>
        <w:rPr>
          <w:spacing w:val="-8"/>
          <w:sz w:val="20"/>
        </w:rPr>
        <w:t> </w:t>
      </w:r>
      <w:r>
        <w:rPr>
          <w:sz w:val="20"/>
        </w:rPr>
        <w:t>its</w:t>
      </w:r>
      <w:r>
        <w:rPr>
          <w:spacing w:val="-8"/>
          <w:sz w:val="20"/>
        </w:rPr>
        <w:t> </w:t>
      </w:r>
      <w:r>
        <w:rPr>
          <w:sz w:val="20"/>
        </w:rPr>
        <w:t>decision</w:t>
      </w:r>
      <w:r>
        <w:rPr>
          <w:spacing w:val="-8"/>
          <w:sz w:val="20"/>
        </w:rPr>
        <w:t> </w:t>
      </w:r>
      <w:r>
        <w:rPr>
          <w:sz w:val="20"/>
        </w:rPr>
        <w:t>not</w:t>
      </w:r>
      <w:r>
        <w:rPr>
          <w:spacing w:val="-8"/>
          <w:sz w:val="20"/>
        </w:rPr>
        <w:t> </w:t>
      </w:r>
      <w:r>
        <w:rPr>
          <w:sz w:val="20"/>
        </w:rPr>
        <w:t>to</w:t>
      </w:r>
      <w:r>
        <w:rPr>
          <w:spacing w:val="-8"/>
          <w:sz w:val="20"/>
        </w:rPr>
        <w:t> </w:t>
      </w:r>
      <w:r>
        <w:rPr>
          <w:spacing w:val="-3"/>
          <w:sz w:val="20"/>
        </w:rPr>
        <w:t>provide</w:t>
      </w:r>
      <w:r>
        <w:rPr>
          <w:spacing w:val="-8"/>
          <w:sz w:val="20"/>
        </w:rPr>
        <w:t> </w:t>
      </w:r>
      <w:r>
        <w:rPr>
          <w:sz w:val="20"/>
        </w:rPr>
        <w:t>adjustments to deaf prospective jurors in its response to United Nations decisions. It </w:t>
      </w:r>
      <w:r>
        <w:rPr>
          <w:spacing w:val="-3"/>
          <w:sz w:val="20"/>
        </w:rPr>
        <w:t>refers </w:t>
      </w:r>
      <w:r>
        <w:rPr>
          <w:sz w:val="20"/>
        </w:rPr>
        <w:t>to practical concerns about trial delay and added complexity and costs.</w:t>
      </w:r>
      <w:r>
        <w:rPr>
          <w:position w:val="7"/>
          <w:sz w:val="11"/>
        </w:rPr>
        <w:t>51 </w:t>
      </w:r>
      <w:r>
        <w:rPr>
          <w:sz w:val="20"/>
        </w:rPr>
        <w:t>While these </w:t>
      </w:r>
      <w:r>
        <w:rPr>
          <w:spacing w:val="-3"/>
          <w:sz w:val="20"/>
        </w:rPr>
        <w:t>may</w:t>
      </w:r>
      <w:r>
        <w:rPr>
          <w:spacing w:val="-11"/>
          <w:sz w:val="20"/>
        </w:rPr>
        <w:t> </w:t>
      </w:r>
      <w:r>
        <w:rPr>
          <w:sz w:val="20"/>
        </w:rPr>
        <w:t>be</w:t>
      </w:r>
      <w:r>
        <w:rPr>
          <w:spacing w:val="-11"/>
          <w:sz w:val="20"/>
        </w:rPr>
        <w:t> </w:t>
      </w:r>
      <w:r>
        <w:rPr>
          <w:sz w:val="20"/>
        </w:rPr>
        <w:t>valid</w:t>
      </w:r>
      <w:r>
        <w:rPr>
          <w:spacing w:val="-10"/>
          <w:sz w:val="20"/>
        </w:rPr>
        <w:t> </w:t>
      </w:r>
      <w:r>
        <w:rPr>
          <w:sz w:val="20"/>
        </w:rPr>
        <w:t>issues</w:t>
      </w:r>
      <w:r>
        <w:rPr>
          <w:spacing w:val="-11"/>
          <w:sz w:val="20"/>
        </w:rPr>
        <w:t> </w:t>
      </w:r>
      <w:r>
        <w:rPr>
          <w:sz w:val="20"/>
        </w:rPr>
        <w:t>to</w:t>
      </w:r>
      <w:r>
        <w:rPr>
          <w:spacing w:val="-10"/>
          <w:sz w:val="20"/>
        </w:rPr>
        <w:t> </w:t>
      </w:r>
      <w:r>
        <w:rPr>
          <w:spacing w:val="-3"/>
          <w:sz w:val="20"/>
        </w:rPr>
        <w:t>work</w:t>
      </w:r>
      <w:r>
        <w:rPr>
          <w:spacing w:val="-11"/>
          <w:sz w:val="20"/>
        </w:rPr>
        <w:t> </w:t>
      </w:r>
      <w:r>
        <w:rPr>
          <w:sz w:val="20"/>
        </w:rPr>
        <w:t>through,</w:t>
      </w:r>
      <w:r>
        <w:rPr>
          <w:spacing w:val="-10"/>
          <w:sz w:val="20"/>
        </w:rPr>
        <w:t> </w:t>
      </w:r>
      <w:r>
        <w:rPr>
          <w:sz w:val="20"/>
        </w:rPr>
        <w:t>they</w:t>
      </w:r>
      <w:r>
        <w:rPr>
          <w:spacing w:val="-11"/>
          <w:sz w:val="20"/>
        </w:rPr>
        <w:t> </w:t>
      </w:r>
      <w:r>
        <w:rPr>
          <w:sz w:val="20"/>
        </w:rPr>
        <w:t>should</w:t>
      </w:r>
      <w:r>
        <w:rPr>
          <w:spacing w:val="-10"/>
          <w:sz w:val="20"/>
        </w:rPr>
        <w:t> </w:t>
      </w:r>
      <w:r>
        <w:rPr>
          <w:sz w:val="20"/>
        </w:rPr>
        <w:t>not</w:t>
      </w:r>
      <w:r>
        <w:rPr>
          <w:spacing w:val="-11"/>
          <w:sz w:val="20"/>
        </w:rPr>
        <w:t> </w:t>
      </w:r>
      <w:r>
        <w:rPr>
          <w:sz w:val="20"/>
        </w:rPr>
        <w:t>preclude</w:t>
      </w:r>
      <w:r>
        <w:rPr>
          <w:spacing w:val="-11"/>
          <w:sz w:val="20"/>
        </w:rPr>
        <w:t> </w:t>
      </w:r>
      <w:r>
        <w:rPr>
          <w:sz w:val="20"/>
        </w:rPr>
        <w:t>reform.</w:t>
      </w:r>
      <w:r>
        <w:rPr>
          <w:spacing w:val="-10"/>
          <w:sz w:val="20"/>
        </w:rPr>
        <w:t> </w:t>
      </w:r>
      <w:r>
        <w:rPr>
          <w:sz w:val="20"/>
        </w:rPr>
        <w:t>In</w:t>
      </w:r>
      <w:r>
        <w:rPr>
          <w:spacing w:val="-11"/>
          <w:sz w:val="20"/>
        </w:rPr>
        <w:t> </w:t>
      </w:r>
      <w:r>
        <w:rPr>
          <w:sz w:val="20"/>
        </w:rPr>
        <w:t>this</w:t>
      </w:r>
      <w:r>
        <w:rPr>
          <w:spacing w:val="-10"/>
          <w:sz w:val="20"/>
        </w:rPr>
        <w:t> </w:t>
      </w:r>
      <w:r>
        <w:rPr>
          <w:sz w:val="20"/>
        </w:rPr>
        <w:t>report</w:t>
      </w:r>
      <w:r>
        <w:rPr>
          <w:spacing w:val="-11"/>
          <w:sz w:val="20"/>
        </w:rPr>
        <w:t> </w:t>
      </w:r>
      <w:r>
        <w:rPr>
          <w:spacing w:val="-3"/>
          <w:sz w:val="20"/>
        </w:rPr>
        <w:t>we </w:t>
      </w:r>
      <w:r>
        <w:rPr>
          <w:sz w:val="20"/>
        </w:rPr>
        <w:t>conclude that the benefits, including compliance with </w:t>
      </w:r>
      <w:r>
        <w:rPr>
          <w:spacing w:val="-3"/>
          <w:sz w:val="20"/>
        </w:rPr>
        <w:t>Australia’s </w:t>
      </w:r>
      <w:r>
        <w:rPr>
          <w:sz w:val="20"/>
        </w:rPr>
        <w:t>international human rights obligations, outweigh the costs of</w:t>
      </w:r>
      <w:r>
        <w:rPr>
          <w:spacing w:val="-29"/>
          <w:sz w:val="20"/>
        </w:rPr>
        <w:t> </w:t>
      </w:r>
      <w:r>
        <w:rPr>
          <w:sz w:val="20"/>
        </w:rPr>
        <w:t>reform.</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3"/>
        </w:rPr>
      </w:pPr>
      <w:r>
        <w:rPr/>
        <w:pict>
          <v:line style="position:absolute;mso-position-horizontal-relative:page;mso-position-vertical-relative:paragraph;z-index:2168;mso-wrap-distance-left:0;mso-wrap-distance-right:0" from="79.370102pt,18.48086pt" to="515.905102pt,18.48086pt" stroked="true" strokeweight="1pt" strokecolor="#b6bdc8">
            <v:stroke dashstyle="solid"/>
            <w10:wrap type="topAndBottom"/>
          </v:line>
        </w:pict>
      </w:r>
    </w:p>
    <w:p>
      <w:pPr>
        <w:pStyle w:val="ListParagraph"/>
        <w:numPr>
          <w:ilvl w:val="0"/>
          <w:numId w:val="35"/>
        </w:numPr>
        <w:tabs>
          <w:tab w:pos="1761" w:val="left" w:leader="none"/>
          <w:tab w:pos="1762" w:val="left" w:leader="none"/>
        </w:tabs>
        <w:spacing w:line="213" w:lineRule="auto" w:before="107" w:after="0"/>
        <w:ind w:left="1761" w:right="1495" w:hanging="794"/>
        <w:jc w:val="left"/>
        <w:rPr>
          <w:sz w:val="13"/>
        </w:rPr>
      </w:pPr>
      <w:r>
        <w:rPr>
          <w:sz w:val="13"/>
        </w:rPr>
        <w:t>Alecia </w:t>
      </w:r>
      <w:r>
        <w:rPr>
          <w:spacing w:val="2"/>
          <w:sz w:val="13"/>
        </w:rPr>
        <w:t>Simmonds, </w:t>
      </w:r>
      <w:r>
        <w:rPr>
          <w:sz w:val="13"/>
        </w:rPr>
        <w:t>‘Friendless in the Courtroom’, </w:t>
      </w:r>
      <w:r>
        <w:rPr>
          <w:i/>
          <w:sz w:val="13"/>
        </w:rPr>
        <w:t>Inside Story </w:t>
      </w:r>
      <w:r>
        <w:rPr>
          <w:sz w:val="13"/>
        </w:rPr>
        <w:t>(Web Page, </w:t>
      </w:r>
      <w:r>
        <w:rPr>
          <w:spacing w:val="3"/>
          <w:sz w:val="13"/>
        </w:rPr>
        <w:t>14 </w:t>
      </w:r>
      <w:r>
        <w:rPr>
          <w:sz w:val="13"/>
        </w:rPr>
        <w:t>May 2021) &lt;</w:t>
      </w:r>
      <w:hyperlink r:id="rId79">
        <w:r>
          <w:rPr>
            <w:sz w:val="13"/>
          </w:rPr>
          <w:t>https://insidestory.org.au/friendless-</w:t>
        </w:r>
      </w:hyperlink>
      <w:hyperlink r:id="rId79">
        <w:r>
          <w:rPr>
            <w:sz w:val="13"/>
          </w:rPr>
          <w:t> in-the-courtroom/</w:t>
        </w:r>
      </w:hyperlink>
      <w:r>
        <w:rPr>
          <w:sz w:val="13"/>
        </w:rPr>
        <w:t>&gt;.</w:t>
      </w:r>
      <w:r>
        <w:rPr>
          <w:spacing w:val="3"/>
          <w:sz w:val="13"/>
        </w:rPr>
        <w:t> </w:t>
      </w:r>
      <w:r>
        <w:rPr>
          <w:sz w:val="13"/>
        </w:rPr>
        <w:t>Similarly,</w:t>
      </w:r>
      <w:r>
        <w:rPr>
          <w:spacing w:val="4"/>
          <w:sz w:val="13"/>
        </w:rPr>
        <w:t> </w:t>
      </w:r>
      <w:r>
        <w:rPr>
          <w:sz w:val="13"/>
        </w:rPr>
        <w:t>in</w:t>
      </w:r>
      <w:r>
        <w:rPr>
          <w:spacing w:val="4"/>
          <w:sz w:val="13"/>
        </w:rPr>
        <w:t> </w:t>
      </w:r>
      <w:r>
        <w:rPr>
          <w:sz w:val="13"/>
        </w:rPr>
        <w:t>NSW,</w:t>
      </w:r>
      <w:r>
        <w:rPr>
          <w:spacing w:val="4"/>
          <w:sz w:val="13"/>
        </w:rPr>
        <w:t> </w:t>
      </w:r>
      <w:r>
        <w:rPr>
          <w:sz w:val="13"/>
        </w:rPr>
        <w:t>even</w:t>
      </w:r>
      <w:r>
        <w:rPr>
          <w:spacing w:val="4"/>
          <w:sz w:val="13"/>
        </w:rPr>
        <w:t> </w:t>
      </w:r>
      <w:r>
        <w:rPr>
          <w:sz w:val="13"/>
        </w:rPr>
        <w:t>by</w:t>
      </w:r>
      <w:r>
        <w:rPr>
          <w:spacing w:val="4"/>
          <w:sz w:val="13"/>
        </w:rPr>
        <w:t> </w:t>
      </w:r>
      <w:r>
        <w:rPr>
          <w:sz w:val="13"/>
        </w:rPr>
        <w:t>1977,</w:t>
      </w:r>
      <w:r>
        <w:rPr>
          <w:spacing w:val="3"/>
          <w:sz w:val="13"/>
        </w:rPr>
        <w:t> </w:t>
      </w:r>
      <w:r>
        <w:rPr>
          <w:sz w:val="13"/>
        </w:rPr>
        <w:t>‘on</w:t>
      </w:r>
      <w:r>
        <w:rPr>
          <w:spacing w:val="4"/>
          <w:sz w:val="13"/>
        </w:rPr>
        <w:t> </w:t>
      </w:r>
      <w:r>
        <w:rPr>
          <w:sz w:val="13"/>
        </w:rPr>
        <w:t>the</w:t>
      </w:r>
      <w:r>
        <w:rPr>
          <w:spacing w:val="4"/>
          <w:sz w:val="13"/>
        </w:rPr>
        <w:t> </w:t>
      </w:r>
      <w:r>
        <w:rPr>
          <w:sz w:val="13"/>
        </w:rPr>
        <w:t>eve</w:t>
      </w:r>
      <w:r>
        <w:rPr>
          <w:spacing w:val="4"/>
          <w:sz w:val="13"/>
        </w:rPr>
        <w:t> </w:t>
      </w:r>
      <w:r>
        <w:rPr>
          <w:sz w:val="13"/>
        </w:rPr>
        <w:t>of</w:t>
      </w:r>
      <w:r>
        <w:rPr>
          <w:spacing w:val="4"/>
          <w:sz w:val="13"/>
        </w:rPr>
        <w:t> </w:t>
      </w:r>
      <w:r>
        <w:rPr>
          <w:sz w:val="13"/>
        </w:rPr>
        <w:t>New</w:t>
      </w:r>
      <w:r>
        <w:rPr>
          <w:spacing w:val="4"/>
          <w:sz w:val="13"/>
        </w:rPr>
        <w:t> </w:t>
      </w:r>
      <w:r>
        <w:rPr>
          <w:sz w:val="13"/>
        </w:rPr>
        <w:t>South</w:t>
      </w:r>
      <w:r>
        <w:rPr>
          <w:spacing w:val="4"/>
          <w:sz w:val="13"/>
        </w:rPr>
        <w:t> </w:t>
      </w:r>
      <w:r>
        <w:rPr>
          <w:sz w:val="13"/>
        </w:rPr>
        <w:t>Wales</w:t>
      </w:r>
      <w:r>
        <w:rPr>
          <w:spacing w:val="3"/>
          <w:sz w:val="13"/>
        </w:rPr>
        <w:t> </w:t>
      </w:r>
      <w:r>
        <w:rPr>
          <w:sz w:val="13"/>
        </w:rPr>
        <w:t>women</w:t>
      </w:r>
      <w:r>
        <w:rPr>
          <w:spacing w:val="4"/>
          <w:sz w:val="13"/>
        </w:rPr>
        <w:t> </w:t>
      </w:r>
      <w:r>
        <w:rPr>
          <w:sz w:val="13"/>
        </w:rPr>
        <w:t>gaining</w:t>
      </w:r>
      <w:r>
        <w:rPr>
          <w:spacing w:val="4"/>
          <w:sz w:val="13"/>
        </w:rPr>
        <w:t> </w:t>
      </w:r>
      <w:r>
        <w:rPr>
          <w:sz w:val="13"/>
        </w:rPr>
        <w:t>full</w:t>
      </w:r>
      <w:r>
        <w:rPr>
          <w:spacing w:val="4"/>
          <w:sz w:val="13"/>
        </w:rPr>
        <w:t> </w:t>
      </w:r>
      <w:r>
        <w:rPr>
          <w:spacing w:val="2"/>
          <w:sz w:val="13"/>
        </w:rPr>
        <w:t>jury</w:t>
      </w:r>
      <w:r>
        <w:rPr>
          <w:spacing w:val="4"/>
          <w:sz w:val="13"/>
        </w:rPr>
        <w:t> </w:t>
      </w:r>
      <w:r>
        <w:rPr>
          <w:sz w:val="13"/>
        </w:rPr>
        <w:t>franchise,</w:t>
      </w:r>
      <w:r>
        <w:rPr>
          <w:spacing w:val="4"/>
          <w:sz w:val="13"/>
        </w:rPr>
        <w:t> </w:t>
      </w:r>
      <w:r>
        <w:rPr>
          <w:sz w:val="13"/>
        </w:rPr>
        <w:t>the</w:t>
      </w:r>
    </w:p>
    <w:p>
      <w:pPr>
        <w:spacing w:line="213" w:lineRule="auto" w:before="0"/>
        <w:ind w:left="1761" w:right="1335" w:firstLine="0"/>
        <w:jc w:val="left"/>
        <w:rPr>
          <w:sz w:val="13"/>
        </w:rPr>
      </w:pPr>
      <w:r>
        <w:rPr>
          <w:sz w:val="13"/>
        </w:rPr>
        <w:t>failure to provide women’s toilets was still treated as an </w:t>
      </w:r>
      <w:r>
        <w:rPr>
          <w:spacing w:val="2"/>
          <w:sz w:val="13"/>
        </w:rPr>
        <w:t>impediment </w:t>
      </w:r>
      <w:r>
        <w:rPr>
          <w:sz w:val="13"/>
        </w:rPr>
        <w:t>to women in 8–10 New South Wales </w:t>
      </w:r>
      <w:r>
        <w:rPr>
          <w:spacing w:val="2"/>
          <w:sz w:val="13"/>
        </w:rPr>
        <w:t>Jury </w:t>
      </w:r>
      <w:r>
        <w:rPr>
          <w:sz w:val="13"/>
        </w:rPr>
        <w:t>Districts’: Andrew </w:t>
      </w:r>
      <w:r>
        <w:rPr>
          <w:spacing w:val="-5"/>
          <w:sz w:val="13"/>
        </w:rPr>
        <w:t>LT </w:t>
      </w:r>
      <w:r>
        <w:rPr>
          <w:sz w:val="13"/>
        </w:rPr>
        <w:t>Choo and Jill Hunter, </w:t>
      </w:r>
      <w:r>
        <w:rPr>
          <w:spacing w:val="2"/>
          <w:sz w:val="13"/>
        </w:rPr>
        <w:t>‘Gender </w:t>
      </w:r>
      <w:r>
        <w:rPr>
          <w:sz w:val="13"/>
        </w:rPr>
        <w:t>Discrimination and Juries in the 20th </w:t>
      </w:r>
      <w:r>
        <w:rPr>
          <w:spacing w:val="2"/>
          <w:sz w:val="13"/>
        </w:rPr>
        <w:t>Century: </w:t>
      </w:r>
      <w:r>
        <w:rPr>
          <w:sz w:val="13"/>
        </w:rPr>
        <w:t>Judging Women Judging Men’ (2018) </w:t>
      </w:r>
      <w:r>
        <w:rPr>
          <w:spacing w:val="2"/>
          <w:sz w:val="13"/>
        </w:rPr>
        <w:t>22(3) </w:t>
      </w:r>
      <w:r>
        <w:rPr>
          <w:i/>
          <w:sz w:val="13"/>
        </w:rPr>
        <w:t>The </w:t>
      </w:r>
      <w:r>
        <w:rPr>
          <w:i/>
          <w:sz w:val="13"/>
        </w:rPr>
        <w:t>International Journal of Evidence &amp; Proof </w:t>
      </w:r>
      <w:r>
        <w:rPr>
          <w:sz w:val="13"/>
        </w:rPr>
        <w:t>192, </w:t>
      </w:r>
      <w:r>
        <w:rPr>
          <w:spacing w:val="-3"/>
          <w:sz w:val="13"/>
        </w:rPr>
        <w:t>207, </w:t>
      </w:r>
      <w:r>
        <w:rPr>
          <w:sz w:val="13"/>
        </w:rPr>
        <w:t>citing New South Wales, </w:t>
      </w:r>
      <w:r>
        <w:rPr>
          <w:i/>
          <w:sz w:val="13"/>
        </w:rPr>
        <w:t>Parliamentary Debates</w:t>
      </w:r>
      <w:r>
        <w:rPr>
          <w:sz w:val="13"/>
        </w:rPr>
        <w:t>, Legislative Assembly, 24 February 1977, 4477 (Francis Walker, </w:t>
      </w:r>
      <w:r>
        <w:rPr>
          <w:spacing w:val="2"/>
          <w:sz w:val="13"/>
        </w:rPr>
        <w:t>Attorney-General). </w:t>
      </w:r>
      <w:r>
        <w:rPr>
          <w:sz w:val="13"/>
        </w:rPr>
        <w:t>This was despite complaint: see, eg, ‘Judicial Lack of Facilities’, </w:t>
      </w:r>
      <w:r>
        <w:rPr>
          <w:i/>
          <w:sz w:val="13"/>
        </w:rPr>
        <w:t>Tribune </w:t>
      </w:r>
      <w:r>
        <w:rPr>
          <w:sz w:val="13"/>
        </w:rPr>
        <w:t>(Sydney, 3 September 1974) </w:t>
      </w:r>
      <w:r>
        <w:rPr>
          <w:spacing w:val="3"/>
          <w:sz w:val="13"/>
        </w:rPr>
        <w:t>12.</w:t>
      </w:r>
    </w:p>
    <w:p>
      <w:pPr>
        <w:pStyle w:val="ListParagraph"/>
        <w:numPr>
          <w:ilvl w:val="0"/>
          <w:numId w:val="35"/>
        </w:numPr>
        <w:tabs>
          <w:tab w:pos="1760" w:val="left" w:leader="none"/>
          <w:tab w:pos="1762" w:val="left" w:leader="none"/>
        </w:tabs>
        <w:spacing w:line="213" w:lineRule="auto" w:before="0" w:after="0"/>
        <w:ind w:left="1761" w:right="1495" w:hanging="794"/>
        <w:jc w:val="left"/>
        <w:rPr>
          <w:sz w:val="13"/>
        </w:rPr>
      </w:pPr>
      <w:r>
        <w:rPr>
          <w:sz w:val="13"/>
        </w:rPr>
        <w:t>Alecia </w:t>
      </w:r>
      <w:r>
        <w:rPr>
          <w:spacing w:val="2"/>
          <w:sz w:val="13"/>
        </w:rPr>
        <w:t>Simmonds, </w:t>
      </w:r>
      <w:r>
        <w:rPr>
          <w:sz w:val="13"/>
        </w:rPr>
        <w:t>‘Friendless in the Courtroom’, </w:t>
      </w:r>
      <w:r>
        <w:rPr>
          <w:i/>
          <w:sz w:val="13"/>
        </w:rPr>
        <w:t>Inside Story </w:t>
      </w:r>
      <w:r>
        <w:rPr>
          <w:sz w:val="13"/>
        </w:rPr>
        <w:t>(Web Page, </w:t>
      </w:r>
      <w:r>
        <w:rPr>
          <w:spacing w:val="3"/>
          <w:sz w:val="13"/>
        </w:rPr>
        <w:t>14 </w:t>
      </w:r>
      <w:r>
        <w:rPr>
          <w:sz w:val="13"/>
        </w:rPr>
        <w:t>May 2021) &lt;</w:t>
      </w:r>
      <w:hyperlink r:id="rId79">
        <w:r>
          <w:rPr>
            <w:sz w:val="13"/>
          </w:rPr>
          <w:t>https://insidestory.org.au/friendless-</w:t>
        </w:r>
      </w:hyperlink>
      <w:hyperlink r:id="rId79">
        <w:r>
          <w:rPr>
            <w:sz w:val="13"/>
          </w:rPr>
          <w:t> in-the-courtroom/</w:t>
        </w:r>
      </w:hyperlink>
      <w:r>
        <w:rPr>
          <w:sz w:val="13"/>
        </w:rPr>
        <w:t>&gt;. Similarly, in Ireland, Choo and Hunter identify that Beatrice Dixon, a </w:t>
      </w:r>
      <w:r>
        <w:rPr>
          <w:spacing w:val="2"/>
          <w:sz w:val="13"/>
        </w:rPr>
        <w:t>member </w:t>
      </w:r>
      <w:r>
        <w:rPr>
          <w:sz w:val="13"/>
        </w:rPr>
        <w:t>of the Irish Housewives </w:t>
      </w:r>
      <w:r>
        <w:rPr>
          <w:spacing w:val="2"/>
          <w:sz w:val="13"/>
        </w:rPr>
        <w:t>Association, </w:t>
      </w:r>
      <w:r>
        <w:rPr>
          <w:sz w:val="13"/>
        </w:rPr>
        <w:t>was remarkably included on a </w:t>
      </w:r>
      <w:r>
        <w:rPr>
          <w:spacing w:val="2"/>
          <w:sz w:val="13"/>
        </w:rPr>
        <w:t>jury </w:t>
      </w:r>
      <w:r>
        <w:rPr>
          <w:sz w:val="13"/>
        </w:rPr>
        <w:t>panel in </w:t>
      </w:r>
      <w:r>
        <w:rPr>
          <w:spacing w:val="2"/>
          <w:sz w:val="13"/>
        </w:rPr>
        <w:t>1955, </w:t>
      </w:r>
      <w:r>
        <w:rPr>
          <w:sz w:val="13"/>
        </w:rPr>
        <w:t>despite numerous ‘layers of resistance a woman in 1955 faced when</w:t>
      </w:r>
      <w:r>
        <w:rPr>
          <w:spacing w:val="3"/>
          <w:sz w:val="13"/>
        </w:rPr>
        <w:t> </w:t>
      </w:r>
      <w:r>
        <w:rPr>
          <w:spacing w:val="2"/>
          <w:sz w:val="13"/>
        </w:rPr>
        <w:t>seeking</w:t>
      </w:r>
      <w:r>
        <w:rPr>
          <w:spacing w:val="4"/>
          <w:sz w:val="13"/>
        </w:rPr>
        <w:t> </w:t>
      </w:r>
      <w:r>
        <w:rPr>
          <w:sz w:val="13"/>
        </w:rPr>
        <w:t>to</w:t>
      </w:r>
      <w:r>
        <w:rPr>
          <w:spacing w:val="4"/>
          <w:sz w:val="13"/>
        </w:rPr>
        <w:t> </w:t>
      </w:r>
      <w:r>
        <w:rPr>
          <w:sz w:val="13"/>
        </w:rPr>
        <w:t>participate</w:t>
      </w:r>
      <w:r>
        <w:rPr>
          <w:spacing w:val="4"/>
          <w:sz w:val="13"/>
        </w:rPr>
        <w:t> </w:t>
      </w:r>
      <w:r>
        <w:rPr>
          <w:sz w:val="13"/>
        </w:rPr>
        <w:t>on</w:t>
      </w:r>
      <w:r>
        <w:rPr>
          <w:spacing w:val="3"/>
          <w:sz w:val="13"/>
        </w:rPr>
        <w:t> </w:t>
      </w:r>
      <w:r>
        <w:rPr>
          <w:sz w:val="13"/>
        </w:rPr>
        <w:t>a</w:t>
      </w:r>
      <w:r>
        <w:rPr>
          <w:spacing w:val="4"/>
          <w:sz w:val="13"/>
        </w:rPr>
        <w:t> </w:t>
      </w:r>
      <w:r>
        <w:rPr>
          <w:sz w:val="13"/>
        </w:rPr>
        <w:t>jury’.</w:t>
      </w:r>
      <w:r>
        <w:rPr>
          <w:spacing w:val="4"/>
          <w:sz w:val="13"/>
        </w:rPr>
        <w:t> </w:t>
      </w:r>
      <w:r>
        <w:rPr>
          <w:sz w:val="13"/>
        </w:rPr>
        <w:t>In</w:t>
      </w:r>
      <w:r>
        <w:rPr>
          <w:spacing w:val="4"/>
          <w:sz w:val="13"/>
        </w:rPr>
        <w:t> </w:t>
      </w:r>
      <w:r>
        <w:rPr>
          <w:sz w:val="13"/>
        </w:rPr>
        <w:t>a</w:t>
      </w:r>
      <w:r>
        <w:rPr>
          <w:spacing w:val="4"/>
          <w:sz w:val="13"/>
        </w:rPr>
        <w:t> </w:t>
      </w:r>
      <w:r>
        <w:rPr>
          <w:sz w:val="13"/>
        </w:rPr>
        <w:t>letter</w:t>
      </w:r>
      <w:r>
        <w:rPr>
          <w:spacing w:val="3"/>
          <w:sz w:val="13"/>
        </w:rPr>
        <w:t> </w:t>
      </w:r>
      <w:r>
        <w:rPr>
          <w:sz w:val="13"/>
        </w:rPr>
        <w:t>to</w:t>
      </w:r>
      <w:r>
        <w:rPr>
          <w:spacing w:val="4"/>
          <w:sz w:val="13"/>
        </w:rPr>
        <w:t> </w:t>
      </w:r>
      <w:r>
        <w:rPr>
          <w:sz w:val="13"/>
        </w:rPr>
        <w:t>the</w:t>
      </w:r>
      <w:r>
        <w:rPr>
          <w:spacing w:val="4"/>
          <w:sz w:val="13"/>
        </w:rPr>
        <w:t> </w:t>
      </w:r>
      <w:r>
        <w:rPr>
          <w:sz w:val="13"/>
        </w:rPr>
        <w:t>editor</w:t>
      </w:r>
      <w:r>
        <w:rPr>
          <w:spacing w:val="4"/>
          <w:sz w:val="13"/>
        </w:rPr>
        <w:t> </w:t>
      </w:r>
      <w:r>
        <w:rPr>
          <w:sz w:val="13"/>
        </w:rPr>
        <w:t>of</w:t>
      </w:r>
      <w:r>
        <w:rPr>
          <w:spacing w:val="4"/>
          <w:sz w:val="13"/>
        </w:rPr>
        <w:t> </w:t>
      </w:r>
      <w:r>
        <w:rPr>
          <w:sz w:val="13"/>
        </w:rPr>
        <w:t>‘The</w:t>
      </w:r>
      <w:r>
        <w:rPr>
          <w:spacing w:val="3"/>
          <w:sz w:val="13"/>
        </w:rPr>
        <w:t> </w:t>
      </w:r>
      <w:r>
        <w:rPr>
          <w:sz w:val="13"/>
        </w:rPr>
        <w:t>Irish</w:t>
      </w:r>
      <w:r>
        <w:rPr>
          <w:spacing w:val="4"/>
          <w:sz w:val="13"/>
        </w:rPr>
        <w:t> </w:t>
      </w:r>
      <w:r>
        <w:rPr>
          <w:sz w:val="13"/>
        </w:rPr>
        <w:t>Times’,</w:t>
      </w:r>
      <w:r>
        <w:rPr>
          <w:spacing w:val="4"/>
          <w:sz w:val="13"/>
        </w:rPr>
        <w:t> </w:t>
      </w:r>
      <w:r>
        <w:rPr>
          <w:sz w:val="13"/>
        </w:rPr>
        <w:t>Dixon</w:t>
      </w:r>
      <w:r>
        <w:rPr>
          <w:spacing w:val="4"/>
          <w:sz w:val="13"/>
        </w:rPr>
        <w:t> </w:t>
      </w:r>
      <w:r>
        <w:rPr>
          <w:sz w:val="13"/>
        </w:rPr>
        <w:t>reported</w:t>
      </w:r>
      <w:r>
        <w:rPr>
          <w:spacing w:val="4"/>
          <w:sz w:val="13"/>
        </w:rPr>
        <w:t> </w:t>
      </w:r>
      <w:r>
        <w:rPr>
          <w:spacing w:val="2"/>
          <w:sz w:val="13"/>
        </w:rPr>
        <w:t>being</w:t>
      </w:r>
      <w:r>
        <w:rPr>
          <w:spacing w:val="3"/>
          <w:sz w:val="13"/>
        </w:rPr>
        <w:t> </w:t>
      </w:r>
      <w:r>
        <w:rPr>
          <w:sz w:val="13"/>
        </w:rPr>
        <w:t>informed</w:t>
      </w:r>
      <w:r>
        <w:rPr>
          <w:spacing w:val="4"/>
          <w:sz w:val="13"/>
        </w:rPr>
        <w:t> </w:t>
      </w:r>
      <w:r>
        <w:rPr>
          <w:sz w:val="13"/>
        </w:rPr>
        <w:t>that</w:t>
      </w:r>
      <w:r>
        <w:rPr>
          <w:spacing w:val="4"/>
          <w:sz w:val="13"/>
        </w:rPr>
        <w:t> </w:t>
      </w:r>
      <w:r>
        <w:rPr>
          <w:sz w:val="13"/>
        </w:rPr>
        <w:t>the</w:t>
      </w:r>
    </w:p>
    <w:p>
      <w:pPr>
        <w:spacing w:line="213" w:lineRule="auto" w:before="0"/>
        <w:ind w:left="1761" w:right="1335" w:firstLine="0"/>
        <w:jc w:val="left"/>
        <w:rPr>
          <w:sz w:val="13"/>
        </w:rPr>
      </w:pPr>
      <w:r>
        <w:rPr>
          <w:sz w:val="13"/>
        </w:rPr>
        <w:t>inadequacy of female toilets for jurors was ‘one of the administrative difficulties of accepting women jurors’: Andrew </w:t>
      </w:r>
      <w:r>
        <w:rPr>
          <w:spacing w:val="-5"/>
          <w:sz w:val="13"/>
        </w:rPr>
        <w:t>LT </w:t>
      </w:r>
      <w:r>
        <w:rPr>
          <w:sz w:val="13"/>
        </w:rPr>
        <w:t>Choo and  Jill Hunter, </w:t>
      </w:r>
      <w:r>
        <w:rPr>
          <w:spacing w:val="2"/>
          <w:sz w:val="13"/>
        </w:rPr>
        <w:t>‘Gender </w:t>
      </w:r>
      <w:r>
        <w:rPr>
          <w:sz w:val="13"/>
        </w:rPr>
        <w:t>Discrimination and Juries in the 20th </w:t>
      </w:r>
      <w:r>
        <w:rPr>
          <w:spacing w:val="2"/>
          <w:sz w:val="13"/>
        </w:rPr>
        <w:t>Century: </w:t>
      </w:r>
      <w:r>
        <w:rPr>
          <w:sz w:val="13"/>
        </w:rPr>
        <w:t>Judging Women Judging Men’ (2018) </w:t>
      </w:r>
      <w:r>
        <w:rPr>
          <w:spacing w:val="2"/>
          <w:sz w:val="13"/>
        </w:rPr>
        <w:t>22(3) </w:t>
      </w:r>
      <w:r>
        <w:rPr>
          <w:i/>
          <w:sz w:val="13"/>
        </w:rPr>
        <w:t>The International </w:t>
      </w:r>
      <w:r>
        <w:rPr>
          <w:i/>
          <w:sz w:val="13"/>
        </w:rPr>
        <w:t>Journal of Evidence &amp; Proof </w:t>
      </w:r>
      <w:r>
        <w:rPr>
          <w:sz w:val="13"/>
        </w:rPr>
        <w:t>192,</w:t>
      </w:r>
      <w:r>
        <w:rPr>
          <w:spacing w:val="1"/>
          <w:sz w:val="13"/>
        </w:rPr>
        <w:t> </w:t>
      </w:r>
      <w:r>
        <w:rPr>
          <w:spacing w:val="2"/>
          <w:sz w:val="13"/>
        </w:rPr>
        <w:t>205.</w:t>
      </w:r>
    </w:p>
    <w:p>
      <w:pPr>
        <w:pStyle w:val="ListParagraph"/>
        <w:numPr>
          <w:ilvl w:val="0"/>
          <w:numId w:val="35"/>
        </w:numPr>
        <w:tabs>
          <w:tab w:pos="1761" w:val="left" w:leader="none"/>
          <w:tab w:pos="1762" w:val="left" w:leader="none"/>
        </w:tabs>
        <w:spacing w:line="213" w:lineRule="auto" w:before="0" w:after="0"/>
        <w:ind w:left="1761" w:right="1328" w:hanging="794"/>
        <w:jc w:val="left"/>
        <w:rPr>
          <w:sz w:val="13"/>
        </w:rPr>
      </w:pPr>
      <w:r>
        <w:rPr>
          <w:sz w:val="13"/>
        </w:rPr>
        <w:t>Alecia </w:t>
      </w:r>
      <w:r>
        <w:rPr>
          <w:spacing w:val="2"/>
          <w:sz w:val="13"/>
        </w:rPr>
        <w:t>Simmonds, </w:t>
      </w:r>
      <w:r>
        <w:rPr>
          <w:sz w:val="13"/>
        </w:rPr>
        <w:t>‘Friendless in the Courtroom’, </w:t>
      </w:r>
      <w:r>
        <w:rPr>
          <w:i/>
          <w:sz w:val="13"/>
        </w:rPr>
        <w:t>Inside Story </w:t>
      </w:r>
      <w:r>
        <w:rPr>
          <w:sz w:val="13"/>
        </w:rPr>
        <w:t>(Web Page, </w:t>
      </w:r>
      <w:r>
        <w:rPr>
          <w:spacing w:val="3"/>
          <w:sz w:val="13"/>
        </w:rPr>
        <w:t>14 </w:t>
      </w:r>
      <w:r>
        <w:rPr>
          <w:sz w:val="13"/>
        </w:rPr>
        <w:t>May 2021) &lt;</w:t>
      </w:r>
      <w:hyperlink r:id="rId79">
        <w:r>
          <w:rPr>
            <w:sz w:val="13"/>
          </w:rPr>
          <w:t>https://insidestory.org.au/friendless-in-</w:t>
        </w:r>
      </w:hyperlink>
      <w:hyperlink r:id="rId79">
        <w:r>
          <w:rPr>
            <w:sz w:val="13"/>
          </w:rPr>
          <w:t> the-courtroom/</w:t>
        </w:r>
      </w:hyperlink>
      <w:r>
        <w:rPr>
          <w:sz w:val="13"/>
        </w:rPr>
        <w:t>&gt;.</w:t>
      </w:r>
    </w:p>
    <w:p>
      <w:pPr>
        <w:pStyle w:val="ListParagraph"/>
        <w:numPr>
          <w:ilvl w:val="0"/>
          <w:numId w:val="35"/>
        </w:numPr>
        <w:tabs>
          <w:tab w:pos="1761" w:val="left" w:leader="none"/>
          <w:tab w:pos="1762" w:val="left" w:leader="none"/>
        </w:tabs>
        <w:spacing w:line="152" w:lineRule="exact" w:before="0" w:after="0"/>
        <w:ind w:left="1761" w:right="0" w:hanging="794"/>
        <w:jc w:val="left"/>
        <w:rPr>
          <w:sz w:val="13"/>
        </w:rPr>
      </w:pPr>
      <w:r>
        <w:rPr>
          <w:sz w:val="13"/>
        </w:rPr>
        <w:t>Victoria, </w:t>
      </w:r>
      <w:r>
        <w:rPr>
          <w:i/>
          <w:sz w:val="13"/>
        </w:rPr>
        <w:t>Parliamentary Debates</w:t>
      </w:r>
      <w:r>
        <w:rPr>
          <w:sz w:val="13"/>
        </w:rPr>
        <w:t>, Legislative </w:t>
      </w:r>
      <w:r>
        <w:rPr>
          <w:spacing w:val="2"/>
          <w:sz w:val="13"/>
        </w:rPr>
        <w:t>Council, </w:t>
      </w:r>
      <w:r>
        <w:rPr>
          <w:sz w:val="13"/>
        </w:rPr>
        <w:t>18 September 1956, 4027 </w:t>
      </w:r>
      <w:r>
        <w:rPr>
          <w:spacing w:val="2"/>
          <w:sz w:val="13"/>
        </w:rPr>
        <w:t>(Thomas </w:t>
      </w:r>
      <w:r>
        <w:rPr>
          <w:sz w:val="13"/>
        </w:rPr>
        <w:t>William</w:t>
      </w:r>
      <w:r>
        <w:rPr>
          <w:spacing w:val="9"/>
          <w:sz w:val="13"/>
        </w:rPr>
        <w:t> </w:t>
      </w:r>
      <w:r>
        <w:rPr>
          <w:sz w:val="13"/>
        </w:rPr>
        <w:t>Brennan).</w:t>
      </w:r>
    </w:p>
    <w:p>
      <w:pPr>
        <w:pStyle w:val="ListParagraph"/>
        <w:numPr>
          <w:ilvl w:val="0"/>
          <w:numId w:val="35"/>
        </w:numPr>
        <w:tabs>
          <w:tab w:pos="1760" w:val="left" w:leader="none"/>
          <w:tab w:pos="1762" w:val="left" w:leader="none"/>
        </w:tabs>
        <w:spacing w:line="213" w:lineRule="auto" w:before="0" w:after="0"/>
        <w:ind w:left="1761" w:right="1345" w:hanging="794"/>
        <w:jc w:val="left"/>
        <w:rPr>
          <w:sz w:val="13"/>
        </w:rPr>
      </w:pPr>
      <w:r>
        <w:rPr>
          <w:sz w:val="13"/>
        </w:rPr>
        <w:t>Brock Budworth, Trevor Ryan and Lorana </w:t>
      </w:r>
      <w:r>
        <w:rPr>
          <w:spacing w:val="2"/>
          <w:sz w:val="13"/>
        </w:rPr>
        <w:t>Bartels, ‘Reigniting </w:t>
      </w:r>
      <w:r>
        <w:rPr>
          <w:sz w:val="13"/>
        </w:rPr>
        <w:t>the Lamp: The Case for Including People Who Are </w:t>
      </w:r>
      <w:r>
        <w:rPr>
          <w:spacing w:val="2"/>
          <w:sz w:val="13"/>
        </w:rPr>
        <w:t>Blind </w:t>
      </w:r>
      <w:r>
        <w:rPr>
          <w:sz w:val="13"/>
        </w:rPr>
        <w:t>or Deaf     as Jurors’ (2017) 42 </w:t>
      </w:r>
      <w:r>
        <w:rPr>
          <w:i/>
          <w:sz w:val="13"/>
        </w:rPr>
        <w:t>University of Western Australia Law Review </w:t>
      </w:r>
      <w:r>
        <w:rPr>
          <w:spacing w:val="2"/>
          <w:sz w:val="13"/>
        </w:rPr>
        <w:t>29, </w:t>
      </w:r>
      <w:r>
        <w:rPr>
          <w:spacing w:val="3"/>
          <w:sz w:val="13"/>
        </w:rPr>
        <w:t>35, </w:t>
      </w:r>
      <w:r>
        <w:rPr>
          <w:sz w:val="13"/>
        </w:rPr>
        <w:t>citing Justice </w:t>
      </w:r>
      <w:r>
        <w:rPr>
          <w:spacing w:val="2"/>
          <w:sz w:val="13"/>
        </w:rPr>
        <w:t>Hulme, </w:t>
      </w:r>
      <w:r>
        <w:rPr>
          <w:sz w:val="13"/>
        </w:rPr>
        <w:t>Supreme </w:t>
      </w:r>
      <w:r>
        <w:rPr>
          <w:spacing w:val="2"/>
          <w:sz w:val="13"/>
        </w:rPr>
        <w:t>Court </w:t>
      </w:r>
      <w:r>
        <w:rPr>
          <w:sz w:val="13"/>
        </w:rPr>
        <w:t>of New South Wales, </w:t>
      </w:r>
      <w:r>
        <w:rPr>
          <w:spacing w:val="2"/>
          <w:sz w:val="13"/>
        </w:rPr>
        <w:t>Submission </w:t>
      </w:r>
      <w:r>
        <w:rPr>
          <w:sz w:val="13"/>
        </w:rPr>
        <w:t>to New South Wales Law Reform </w:t>
      </w:r>
      <w:r>
        <w:rPr>
          <w:spacing w:val="2"/>
          <w:sz w:val="13"/>
        </w:rPr>
        <w:t>Commission, </w:t>
      </w:r>
      <w:r>
        <w:rPr>
          <w:i/>
          <w:sz w:val="13"/>
        </w:rPr>
        <w:t>Blind or Deaf Jurors </w:t>
      </w:r>
      <w:r>
        <w:rPr>
          <w:sz w:val="13"/>
        </w:rPr>
        <w:t>(20 May 2004). See </w:t>
      </w:r>
      <w:r>
        <w:rPr>
          <w:spacing w:val="2"/>
          <w:sz w:val="13"/>
        </w:rPr>
        <w:t>also </w:t>
      </w:r>
      <w:r>
        <w:rPr>
          <w:sz w:val="13"/>
        </w:rPr>
        <w:t>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w:t>
      </w:r>
      <w:r>
        <w:rPr>
          <w:spacing w:val="-3"/>
          <w:sz w:val="13"/>
        </w:rPr>
        <w:t> </w:t>
      </w:r>
      <w:r>
        <w:rPr>
          <w:sz w:val="13"/>
        </w:rPr>
        <w:t>6.</w:t>
      </w:r>
    </w:p>
    <w:p>
      <w:pPr>
        <w:pStyle w:val="ListParagraph"/>
        <w:numPr>
          <w:ilvl w:val="0"/>
          <w:numId w:val="35"/>
        </w:numPr>
        <w:tabs>
          <w:tab w:pos="1760" w:val="left" w:leader="none"/>
          <w:tab w:pos="1762" w:val="left" w:leader="none"/>
        </w:tabs>
        <w:spacing w:line="213" w:lineRule="auto" w:before="0" w:after="0"/>
        <w:ind w:left="1761" w:right="1345" w:hanging="794"/>
        <w:jc w:val="left"/>
        <w:rPr>
          <w:sz w:val="13"/>
        </w:rPr>
      </w:pPr>
      <w:r>
        <w:rPr/>
        <w:pict>
          <v:shape style="position:absolute;margin-left:548.912598pt;margin-top:19.391691pt;width:13.4pt;height:14.1pt;mso-position-horizontal-relative:page;mso-position-vertical-relative:paragraph;z-index:4240" type="#_x0000_t202" filled="false" stroked="false">
            <v:textbox inset="0,0,0,0">
              <w:txbxContent>
                <w:p>
                  <w:pPr>
                    <w:spacing w:line="282" w:lineRule="exact" w:before="0"/>
                    <w:ind w:left="0" w:right="0" w:firstLine="0"/>
                    <w:jc w:val="left"/>
                    <w:rPr>
                      <w:b/>
                      <w:sz w:val="24"/>
                    </w:rPr>
                  </w:pPr>
                  <w:r>
                    <w:rPr>
                      <w:b/>
                      <w:color w:val="37617A"/>
                      <w:sz w:val="24"/>
                    </w:rPr>
                    <w:t>35</w:t>
                  </w:r>
                </w:p>
              </w:txbxContent>
            </v:textbox>
            <w10:wrap type="none"/>
          </v:shape>
        </w:pict>
      </w:r>
      <w:r>
        <w:rPr>
          <w:sz w:val="13"/>
        </w:rPr>
        <w:t>Australian Government, </w:t>
      </w:r>
      <w:r>
        <w:rPr>
          <w:i/>
          <w:sz w:val="13"/>
        </w:rPr>
        <w:t>Response of Australia to the Committee on the </w:t>
      </w:r>
      <w:r>
        <w:rPr>
          <w:i/>
          <w:spacing w:val="2"/>
          <w:sz w:val="13"/>
        </w:rPr>
        <w:t>Rights </w:t>
      </w:r>
      <w:r>
        <w:rPr>
          <w:i/>
          <w:sz w:val="13"/>
        </w:rPr>
        <w:t>of Persons with Disabilities in Communication No </w:t>
      </w:r>
      <w:r>
        <w:rPr>
          <w:i/>
          <w:sz w:val="13"/>
        </w:rPr>
        <w:t>35/2016 (JH v Australia) </w:t>
      </w:r>
      <w:r>
        <w:rPr>
          <w:sz w:val="13"/>
        </w:rPr>
        <w:t>(Human Rights </w:t>
      </w:r>
      <w:r>
        <w:rPr>
          <w:spacing w:val="2"/>
          <w:sz w:val="13"/>
        </w:rPr>
        <w:t>Communication, </w:t>
      </w:r>
      <w:r>
        <w:rPr>
          <w:sz w:val="13"/>
        </w:rPr>
        <w:t>11 February 2020) [12]; Australian Government, </w:t>
      </w:r>
      <w:r>
        <w:rPr>
          <w:i/>
          <w:sz w:val="13"/>
        </w:rPr>
        <w:t>Response of Australia to  </w:t>
      </w:r>
      <w:r>
        <w:rPr>
          <w:i/>
          <w:sz w:val="13"/>
        </w:rPr>
        <w:t>the Committee on the </w:t>
      </w:r>
      <w:r>
        <w:rPr>
          <w:i/>
          <w:spacing w:val="2"/>
          <w:sz w:val="13"/>
        </w:rPr>
        <w:t>Rights </w:t>
      </w:r>
      <w:r>
        <w:rPr>
          <w:i/>
          <w:sz w:val="13"/>
        </w:rPr>
        <w:t>of Persons with Disabilities in Communication No 11/2013 (GB v Australia) and 13/2013 (ML v Australia) </w:t>
      </w:r>
      <w:r>
        <w:rPr>
          <w:sz w:val="13"/>
        </w:rPr>
        <w:t>(Human Rights </w:t>
      </w:r>
      <w:r>
        <w:rPr>
          <w:spacing w:val="2"/>
          <w:sz w:val="13"/>
        </w:rPr>
        <w:t>Communication, </w:t>
      </w:r>
      <w:r>
        <w:rPr>
          <w:sz w:val="13"/>
        </w:rPr>
        <w:t>24 October 2016) [10].</w:t>
      </w:r>
    </w:p>
    <w:p>
      <w:pPr>
        <w:spacing w:after="0" w:line="213" w:lineRule="auto"/>
        <w:jc w:val="left"/>
        <w:rPr>
          <w:sz w:val="13"/>
        </w:rPr>
        <w:sectPr>
          <w:pgSz w:w="11910" w:h="16840"/>
          <w:pgMar w:header="0" w:footer="0" w:top="840" w:bottom="280" w:left="620" w:right="380"/>
        </w:sectPr>
      </w:pPr>
    </w:p>
    <w:p>
      <w:pPr>
        <w:pStyle w:val="BodyText"/>
      </w:pPr>
    </w:p>
    <w:p>
      <w:pPr>
        <w:pStyle w:val="BodyText"/>
      </w:pPr>
    </w:p>
    <w:p>
      <w:pPr>
        <w:pStyle w:val="BodyText"/>
      </w:pPr>
    </w:p>
    <w:p>
      <w:pPr>
        <w:spacing w:before="220"/>
        <w:ind w:left="967" w:right="0" w:firstLine="0"/>
        <w:jc w:val="left"/>
        <w:rPr>
          <w:b/>
          <w:sz w:val="24"/>
        </w:rPr>
      </w:pPr>
      <w:bookmarkStart w:name="_bookmark33" w:id="84"/>
      <w:bookmarkEnd w:id="84"/>
      <w:r>
        <w:rPr/>
      </w:r>
      <w:r>
        <w:rPr>
          <w:b/>
          <w:sz w:val="24"/>
        </w:rPr>
        <w:t>Voluntary or compulsory participation</w:t>
      </w:r>
    </w:p>
    <w:p>
      <w:pPr>
        <w:pStyle w:val="ListParagraph"/>
        <w:numPr>
          <w:ilvl w:val="1"/>
          <w:numId w:val="12"/>
        </w:numPr>
        <w:tabs>
          <w:tab w:pos="1761" w:val="left" w:leader="none"/>
          <w:tab w:pos="1762" w:val="left" w:leader="none"/>
        </w:tabs>
        <w:spacing w:line="206" w:lineRule="auto" w:before="127" w:after="0"/>
        <w:ind w:left="1761" w:right="1476" w:hanging="794"/>
        <w:jc w:val="left"/>
        <w:rPr>
          <w:sz w:val="20"/>
        </w:rPr>
      </w:pPr>
      <w:r>
        <w:rPr>
          <w:sz w:val="20"/>
        </w:rPr>
        <w:t>Debate</w:t>
      </w:r>
      <w:r>
        <w:rPr>
          <w:spacing w:val="-10"/>
          <w:sz w:val="20"/>
        </w:rPr>
        <w:t> </w:t>
      </w:r>
      <w:r>
        <w:rPr>
          <w:sz w:val="20"/>
        </w:rPr>
        <w:t>about</w:t>
      </w:r>
      <w:r>
        <w:rPr>
          <w:spacing w:val="-9"/>
          <w:sz w:val="20"/>
        </w:rPr>
        <w:t> </w:t>
      </w:r>
      <w:r>
        <w:rPr>
          <w:spacing w:val="-3"/>
          <w:sz w:val="20"/>
        </w:rPr>
        <w:t>women’s</w:t>
      </w:r>
      <w:r>
        <w:rPr>
          <w:spacing w:val="-10"/>
          <w:sz w:val="20"/>
        </w:rPr>
        <w:t> </w:t>
      </w:r>
      <w:r>
        <w:rPr>
          <w:sz w:val="20"/>
        </w:rPr>
        <w:t>participation</w:t>
      </w:r>
      <w:r>
        <w:rPr>
          <w:spacing w:val="-9"/>
          <w:sz w:val="20"/>
        </w:rPr>
        <w:t> </w:t>
      </w:r>
      <w:r>
        <w:rPr>
          <w:sz w:val="20"/>
        </w:rPr>
        <w:t>also</w:t>
      </w:r>
      <w:r>
        <w:rPr>
          <w:spacing w:val="-10"/>
          <w:sz w:val="20"/>
        </w:rPr>
        <w:t> </w:t>
      </w:r>
      <w:r>
        <w:rPr>
          <w:sz w:val="20"/>
        </w:rPr>
        <w:t>stalled</w:t>
      </w:r>
      <w:r>
        <w:rPr>
          <w:spacing w:val="-9"/>
          <w:sz w:val="20"/>
        </w:rPr>
        <w:t> </w:t>
      </w:r>
      <w:r>
        <w:rPr>
          <w:sz w:val="20"/>
        </w:rPr>
        <w:t>on</w:t>
      </w:r>
      <w:r>
        <w:rPr>
          <w:spacing w:val="-10"/>
          <w:sz w:val="20"/>
        </w:rPr>
        <w:t> </w:t>
      </w:r>
      <w:r>
        <w:rPr>
          <w:sz w:val="20"/>
        </w:rPr>
        <w:t>the</w:t>
      </w:r>
      <w:r>
        <w:rPr>
          <w:spacing w:val="-9"/>
          <w:sz w:val="20"/>
        </w:rPr>
        <w:t> </w:t>
      </w:r>
      <w:r>
        <w:rPr>
          <w:sz w:val="20"/>
        </w:rPr>
        <w:t>issue</w:t>
      </w:r>
      <w:r>
        <w:rPr>
          <w:spacing w:val="-10"/>
          <w:sz w:val="20"/>
        </w:rPr>
        <w:t> </w:t>
      </w:r>
      <w:r>
        <w:rPr>
          <w:sz w:val="20"/>
        </w:rPr>
        <w:t>of</w:t>
      </w:r>
      <w:r>
        <w:rPr>
          <w:spacing w:val="-9"/>
          <w:sz w:val="20"/>
        </w:rPr>
        <w:t> </w:t>
      </w:r>
      <w:r>
        <w:rPr>
          <w:sz w:val="20"/>
        </w:rPr>
        <w:t>whether</w:t>
      </w:r>
      <w:r>
        <w:rPr>
          <w:spacing w:val="-10"/>
          <w:sz w:val="20"/>
        </w:rPr>
        <w:t> </w:t>
      </w:r>
      <w:r>
        <w:rPr>
          <w:sz w:val="20"/>
        </w:rPr>
        <w:t>jury</w:t>
      </w:r>
      <w:r>
        <w:rPr>
          <w:spacing w:val="-9"/>
          <w:sz w:val="20"/>
        </w:rPr>
        <w:t> </w:t>
      </w:r>
      <w:r>
        <w:rPr>
          <w:sz w:val="20"/>
        </w:rPr>
        <w:t>service should be compulsory for all women or remain voluntary because of their other responsibilities at home. In </w:t>
      </w:r>
      <w:r>
        <w:rPr>
          <w:spacing w:val="-2"/>
          <w:sz w:val="20"/>
        </w:rPr>
        <w:t>Chapter </w:t>
      </w:r>
      <w:r>
        <w:rPr>
          <w:sz w:val="20"/>
        </w:rPr>
        <w:t>16 </w:t>
      </w:r>
      <w:r>
        <w:rPr>
          <w:spacing w:val="-3"/>
          <w:sz w:val="20"/>
        </w:rPr>
        <w:t>we </w:t>
      </w:r>
      <w:r>
        <w:rPr>
          <w:sz w:val="20"/>
        </w:rPr>
        <w:t>consider similar questions in relation to the</w:t>
      </w:r>
      <w:r>
        <w:rPr>
          <w:spacing w:val="-8"/>
          <w:sz w:val="20"/>
        </w:rPr>
        <w:t> </w:t>
      </w:r>
      <w:r>
        <w:rPr>
          <w:sz w:val="20"/>
        </w:rPr>
        <w:t>right</w:t>
      </w:r>
      <w:r>
        <w:rPr>
          <w:spacing w:val="-7"/>
          <w:sz w:val="20"/>
        </w:rPr>
        <w:t> </w:t>
      </w:r>
      <w:r>
        <w:rPr>
          <w:sz w:val="20"/>
        </w:rPr>
        <w:t>to</w:t>
      </w:r>
      <w:r>
        <w:rPr>
          <w:spacing w:val="-7"/>
          <w:sz w:val="20"/>
        </w:rPr>
        <w:t> </w:t>
      </w:r>
      <w:r>
        <w:rPr>
          <w:sz w:val="20"/>
        </w:rPr>
        <w:t>be</w:t>
      </w:r>
      <w:r>
        <w:rPr>
          <w:spacing w:val="-7"/>
          <w:sz w:val="20"/>
        </w:rPr>
        <w:t> </w:t>
      </w:r>
      <w:r>
        <w:rPr>
          <w:spacing w:val="-3"/>
          <w:sz w:val="20"/>
        </w:rPr>
        <w:t>excused</w:t>
      </w:r>
      <w:r>
        <w:rPr>
          <w:spacing w:val="-8"/>
          <w:sz w:val="20"/>
        </w:rPr>
        <w:t> </w:t>
      </w:r>
      <w:r>
        <w:rPr>
          <w:spacing w:val="-3"/>
          <w:sz w:val="20"/>
        </w:rPr>
        <w:t>from</w:t>
      </w:r>
      <w:r>
        <w:rPr>
          <w:spacing w:val="-7"/>
          <w:sz w:val="20"/>
        </w:rPr>
        <w:t> </w:t>
      </w:r>
      <w:r>
        <w:rPr>
          <w:sz w:val="20"/>
        </w:rPr>
        <w:t>jury</w:t>
      </w:r>
      <w:r>
        <w:rPr>
          <w:spacing w:val="-7"/>
          <w:sz w:val="20"/>
        </w:rPr>
        <w:t> </w:t>
      </w:r>
      <w:r>
        <w:rPr>
          <w:sz w:val="20"/>
        </w:rPr>
        <w:t>service</w:t>
      </w:r>
      <w:r>
        <w:rPr>
          <w:spacing w:val="-7"/>
          <w:sz w:val="20"/>
        </w:rPr>
        <w:t> </w:t>
      </w:r>
      <w:r>
        <w:rPr>
          <w:sz w:val="20"/>
        </w:rPr>
        <w:t>because</w:t>
      </w:r>
      <w:r>
        <w:rPr>
          <w:spacing w:val="-7"/>
          <w:sz w:val="20"/>
        </w:rPr>
        <w:t> </w:t>
      </w:r>
      <w:r>
        <w:rPr>
          <w:sz w:val="20"/>
        </w:rPr>
        <w:t>of</w:t>
      </w:r>
      <w:r>
        <w:rPr>
          <w:spacing w:val="-8"/>
          <w:sz w:val="20"/>
        </w:rPr>
        <w:t> </w:t>
      </w:r>
      <w:r>
        <w:rPr>
          <w:sz w:val="20"/>
        </w:rPr>
        <w:t>disability:</w:t>
      </w:r>
      <w:r>
        <w:rPr>
          <w:spacing w:val="-7"/>
          <w:sz w:val="20"/>
        </w:rPr>
        <w:t> </w:t>
      </w:r>
      <w:r>
        <w:rPr>
          <w:spacing w:val="-4"/>
          <w:sz w:val="20"/>
        </w:rPr>
        <w:t>namely,</w:t>
      </w:r>
      <w:r>
        <w:rPr>
          <w:spacing w:val="-7"/>
          <w:sz w:val="20"/>
        </w:rPr>
        <w:t> </w:t>
      </w:r>
      <w:r>
        <w:rPr>
          <w:sz w:val="20"/>
        </w:rPr>
        <w:t>whether</w:t>
      </w:r>
      <w:r>
        <w:rPr>
          <w:spacing w:val="-7"/>
          <w:sz w:val="20"/>
        </w:rPr>
        <w:t> </w:t>
      </w:r>
      <w:r>
        <w:rPr>
          <w:sz w:val="20"/>
        </w:rPr>
        <w:t>the</w:t>
      </w:r>
    </w:p>
    <w:p>
      <w:pPr>
        <w:pStyle w:val="BodyText"/>
        <w:spacing w:line="206" w:lineRule="auto" w:before="5"/>
        <w:ind w:left="1761" w:right="1324"/>
      </w:pPr>
      <w:r>
        <w:rPr/>
        <w:t>grounds for </w:t>
      </w:r>
      <w:r>
        <w:rPr>
          <w:spacing w:val="-3"/>
        </w:rPr>
        <w:t>excuse </w:t>
      </w:r>
      <w:r>
        <w:rPr/>
        <w:t>should be the same as </w:t>
      </w:r>
      <w:r>
        <w:rPr>
          <w:spacing w:val="-3"/>
        </w:rPr>
        <w:t>are available </w:t>
      </w:r>
      <w:r>
        <w:rPr/>
        <w:t>to the broader community or whether special considerations should </w:t>
      </w:r>
      <w:r>
        <w:rPr>
          <w:spacing w:val="-4"/>
        </w:rPr>
        <w:t>apply.</w:t>
      </w:r>
    </w:p>
    <w:p>
      <w:pPr>
        <w:pStyle w:val="ListParagraph"/>
        <w:numPr>
          <w:ilvl w:val="1"/>
          <w:numId w:val="12"/>
        </w:numPr>
        <w:tabs>
          <w:tab w:pos="1761" w:val="left" w:leader="none"/>
          <w:tab w:pos="1762" w:val="left" w:leader="none"/>
        </w:tabs>
        <w:spacing w:line="206" w:lineRule="auto" w:before="123" w:after="0"/>
        <w:ind w:left="1761" w:right="1640" w:hanging="794"/>
        <w:jc w:val="left"/>
        <w:rPr>
          <w:sz w:val="20"/>
        </w:rPr>
      </w:pPr>
      <w:r>
        <w:rPr>
          <w:sz w:val="20"/>
        </w:rPr>
        <w:t>In</w:t>
      </w:r>
      <w:r>
        <w:rPr>
          <w:spacing w:val="-12"/>
          <w:sz w:val="20"/>
        </w:rPr>
        <w:t> </w:t>
      </w:r>
      <w:r>
        <w:rPr>
          <w:spacing w:val="-4"/>
          <w:sz w:val="20"/>
        </w:rPr>
        <w:t>Western</w:t>
      </w:r>
      <w:r>
        <w:rPr>
          <w:spacing w:val="-11"/>
          <w:sz w:val="20"/>
        </w:rPr>
        <w:t> </w:t>
      </w:r>
      <w:r>
        <w:rPr>
          <w:sz w:val="20"/>
        </w:rPr>
        <w:t>Australia,</w:t>
      </w:r>
      <w:r>
        <w:rPr>
          <w:spacing w:val="-11"/>
          <w:sz w:val="20"/>
        </w:rPr>
        <w:t> </w:t>
      </w:r>
      <w:r>
        <w:rPr>
          <w:sz w:val="20"/>
        </w:rPr>
        <w:t>some</w:t>
      </w:r>
      <w:r>
        <w:rPr>
          <w:spacing w:val="-11"/>
          <w:sz w:val="20"/>
        </w:rPr>
        <w:t> </w:t>
      </w:r>
      <w:r>
        <w:rPr>
          <w:sz w:val="20"/>
        </w:rPr>
        <w:t>politicians</w:t>
      </w:r>
      <w:r>
        <w:rPr>
          <w:spacing w:val="-11"/>
          <w:sz w:val="20"/>
        </w:rPr>
        <w:t> </w:t>
      </w:r>
      <w:r>
        <w:rPr>
          <w:sz w:val="20"/>
        </w:rPr>
        <w:t>argued</w:t>
      </w:r>
      <w:r>
        <w:rPr>
          <w:spacing w:val="-11"/>
          <w:sz w:val="20"/>
        </w:rPr>
        <w:t> </w:t>
      </w:r>
      <w:r>
        <w:rPr>
          <w:sz w:val="20"/>
        </w:rPr>
        <w:t>that</w:t>
      </w:r>
      <w:r>
        <w:rPr>
          <w:spacing w:val="-11"/>
          <w:sz w:val="20"/>
        </w:rPr>
        <w:t> </w:t>
      </w:r>
      <w:r>
        <w:rPr>
          <w:sz w:val="20"/>
        </w:rPr>
        <w:t>requiring</w:t>
      </w:r>
      <w:r>
        <w:rPr>
          <w:spacing w:val="-11"/>
          <w:sz w:val="20"/>
        </w:rPr>
        <w:t> </w:t>
      </w:r>
      <w:r>
        <w:rPr>
          <w:sz w:val="20"/>
        </w:rPr>
        <w:t>women</w:t>
      </w:r>
      <w:r>
        <w:rPr>
          <w:spacing w:val="-11"/>
          <w:sz w:val="20"/>
        </w:rPr>
        <w:t> </w:t>
      </w:r>
      <w:r>
        <w:rPr>
          <w:sz w:val="20"/>
        </w:rPr>
        <w:t>to</w:t>
      </w:r>
      <w:r>
        <w:rPr>
          <w:spacing w:val="-11"/>
          <w:sz w:val="20"/>
        </w:rPr>
        <w:t> </w:t>
      </w:r>
      <w:r>
        <w:rPr>
          <w:sz w:val="20"/>
        </w:rPr>
        <w:t>opt</w:t>
      </w:r>
      <w:r>
        <w:rPr>
          <w:spacing w:val="-11"/>
          <w:sz w:val="20"/>
        </w:rPr>
        <w:t> </w:t>
      </w:r>
      <w:r>
        <w:rPr>
          <w:sz w:val="20"/>
        </w:rPr>
        <w:t>in</w:t>
      </w:r>
      <w:r>
        <w:rPr>
          <w:spacing w:val="-11"/>
          <w:sz w:val="20"/>
        </w:rPr>
        <w:t> </w:t>
      </w:r>
      <w:r>
        <w:rPr>
          <w:sz w:val="20"/>
        </w:rPr>
        <w:t>to</w:t>
      </w:r>
      <w:r>
        <w:rPr>
          <w:spacing w:val="-11"/>
          <w:sz w:val="20"/>
        </w:rPr>
        <w:t> </w:t>
      </w:r>
      <w:r>
        <w:rPr>
          <w:sz w:val="20"/>
        </w:rPr>
        <w:t>jury service was wrong. They said it was an ‘obnoxious </w:t>
      </w:r>
      <w:r>
        <w:rPr>
          <w:spacing w:val="-4"/>
          <w:sz w:val="20"/>
        </w:rPr>
        <w:t>way </w:t>
      </w:r>
      <w:r>
        <w:rPr>
          <w:sz w:val="20"/>
        </w:rPr>
        <w:t>of </w:t>
      </w:r>
      <w:r>
        <w:rPr>
          <w:spacing w:val="-3"/>
          <w:sz w:val="20"/>
        </w:rPr>
        <w:t>bestowing citizen </w:t>
      </w:r>
      <w:r>
        <w:rPr>
          <w:sz w:val="20"/>
        </w:rPr>
        <w:t>rights to</w:t>
      </w:r>
      <w:r>
        <w:rPr>
          <w:spacing w:val="-7"/>
          <w:sz w:val="20"/>
        </w:rPr>
        <w:t> </w:t>
      </w:r>
      <w:r>
        <w:rPr>
          <w:spacing w:val="-3"/>
          <w:sz w:val="20"/>
        </w:rPr>
        <w:t>provide</w:t>
      </w:r>
      <w:r>
        <w:rPr>
          <w:spacing w:val="-7"/>
          <w:sz w:val="20"/>
        </w:rPr>
        <w:t> </w:t>
      </w:r>
      <w:r>
        <w:rPr>
          <w:sz w:val="20"/>
        </w:rPr>
        <w:t>that</w:t>
      </w:r>
      <w:r>
        <w:rPr>
          <w:spacing w:val="-7"/>
          <w:sz w:val="20"/>
        </w:rPr>
        <w:t> </w:t>
      </w:r>
      <w:r>
        <w:rPr>
          <w:spacing w:val="-3"/>
          <w:sz w:val="20"/>
        </w:rPr>
        <w:t>only</w:t>
      </w:r>
      <w:r>
        <w:rPr>
          <w:spacing w:val="-7"/>
          <w:sz w:val="20"/>
        </w:rPr>
        <w:t> </w:t>
      </w:r>
      <w:r>
        <w:rPr>
          <w:sz w:val="20"/>
        </w:rPr>
        <w:t>those</w:t>
      </w:r>
      <w:r>
        <w:rPr>
          <w:spacing w:val="-6"/>
          <w:sz w:val="20"/>
        </w:rPr>
        <w:t> </w:t>
      </w:r>
      <w:r>
        <w:rPr>
          <w:sz w:val="20"/>
        </w:rPr>
        <w:t>who</w:t>
      </w:r>
      <w:r>
        <w:rPr>
          <w:spacing w:val="-7"/>
          <w:sz w:val="20"/>
        </w:rPr>
        <w:t> </w:t>
      </w:r>
      <w:r>
        <w:rPr>
          <w:sz w:val="20"/>
        </w:rPr>
        <w:t>demand</w:t>
      </w:r>
      <w:r>
        <w:rPr>
          <w:spacing w:val="-7"/>
          <w:sz w:val="20"/>
        </w:rPr>
        <w:t> </w:t>
      </w:r>
      <w:r>
        <w:rPr>
          <w:sz w:val="20"/>
        </w:rPr>
        <w:t>them</w:t>
      </w:r>
      <w:r>
        <w:rPr>
          <w:spacing w:val="-7"/>
          <w:sz w:val="20"/>
        </w:rPr>
        <w:t> </w:t>
      </w:r>
      <w:r>
        <w:rPr>
          <w:sz w:val="20"/>
        </w:rPr>
        <w:t>shall</w:t>
      </w:r>
      <w:r>
        <w:rPr>
          <w:spacing w:val="-6"/>
          <w:sz w:val="20"/>
        </w:rPr>
        <w:t> </w:t>
      </w:r>
      <w:r>
        <w:rPr>
          <w:sz w:val="20"/>
        </w:rPr>
        <w:t>be</w:t>
      </w:r>
      <w:r>
        <w:rPr>
          <w:spacing w:val="-7"/>
          <w:sz w:val="20"/>
        </w:rPr>
        <w:t> </w:t>
      </w:r>
      <w:r>
        <w:rPr>
          <w:sz w:val="20"/>
        </w:rPr>
        <w:t>entitled</w:t>
      </w:r>
      <w:r>
        <w:rPr>
          <w:spacing w:val="-7"/>
          <w:sz w:val="20"/>
        </w:rPr>
        <w:t> </w:t>
      </w:r>
      <w:r>
        <w:rPr>
          <w:sz w:val="20"/>
        </w:rPr>
        <w:t>to</w:t>
      </w:r>
      <w:r>
        <w:rPr>
          <w:spacing w:val="-7"/>
          <w:sz w:val="20"/>
        </w:rPr>
        <w:t> </w:t>
      </w:r>
      <w:r>
        <w:rPr>
          <w:spacing w:val="-3"/>
          <w:sz w:val="20"/>
        </w:rPr>
        <w:t>them’.</w:t>
      </w:r>
      <w:r>
        <w:rPr>
          <w:spacing w:val="-3"/>
          <w:position w:val="7"/>
          <w:sz w:val="11"/>
        </w:rPr>
        <w:t>52</w:t>
      </w:r>
      <w:r>
        <w:rPr>
          <w:spacing w:val="19"/>
          <w:position w:val="7"/>
          <w:sz w:val="11"/>
        </w:rPr>
        <w:t> </w:t>
      </w:r>
      <w:r>
        <w:rPr>
          <w:sz w:val="20"/>
        </w:rPr>
        <w:t>Others</w:t>
      </w:r>
    </w:p>
    <w:p>
      <w:pPr>
        <w:pStyle w:val="BodyText"/>
        <w:spacing w:line="206" w:lineRule="auto" w:before="4"/>
        <w:ind w:left="1761" w:right="1531"/>
        <w:rPr>
          <w:sz w:val="11"/>
        </w:rPr>
      </w:pPr>
      <w:r>
        <w:rPr/>
        <w:t>championed</w:t>
      </w:r>
      <w:r>
        <w:rPr>
          <w:spacing w:val="-10"/>
        </w:rPr>
        <w:t> </w:t>
      </w:r>
      <w:r>
        <w:rPr/>
        <w:t>the</w:t>
      </w:r>
      <w:r>
        <w:rPr>
          <w:spacing w:val="-10"/>
        </w:rPr>
        <w:t> </w:t>
      </w:r>
      <w:r>
        <w:rPr/>
        <w:t>view</w:t>
      </w:r>
      <w:r>
        <w:rPr>
          <w:spacing w:val="-10"/>
        </w:rPr>
        <w:t> </w:t>
      </w:r>
      <w:r>
        <w:rPr/>
        <w:t>that</w:t>
      </w:r>
      <w:r>
        <w:rPr>
          <w:spacing w:val="-10"/>
        </w:rPr>
        <w:t> </w:t>
      </w:r>
      <w:r>
        <w:rPr/>
        <w:t>a</w:t>
      </w:r>
      <w:r>
        <w:rPr>
          <w:spacing w:val="-10"/>
        </w:rPr>
        <w:t> </w:t>
      </w:r>
      <w:r>
        <w:rPr>
          <w:spacing w:val="-3"/>
        </w:rPr>
        <w:t>woman’s</w:t>
      </w:r>
      <w:r>
        <w:rPr>
          <w:spacing w:val="-9"/>
        </w:rPr>
        <w:t> </w:t>
      </w:r>
      <w:r>
        <w:rPr/>
        <w:t>first</w:t>
      </w:r>
      <w:r>
        <w:rPr>
          <w:spacing w:val="-10"/>
        </w:rPr>
        <w:t> </w:t>
      </w:r>
      <w:r>
        <w:rPr/>
        <w:t>responsibility</w:t>
      </w:r>
      <w:r>
        <w:rPr>
          <w:spacing w:val="-10"/>
        </w:rPr>
        <w:t> </w:t>
      </w:r>
      <w:r>
        <w:rPr/>
        <w:t>was</w:t>
      </w:r>
      <w:r>
        <w:rPr>
          <w:spacing w:val="-10"/>
        </w:rPr>
        <w:t> </w:t>
      </w:r>
      <w:r>
        <w:rPr/>
        <w:t>to</w:t>
      </w:r>
      <w:r>
        <w:rPr>
          <w:spacing w:val="-10"/>
        </w:rPr>
        <w:t> </w:t>
      </w:r>
      <w:r>
        <w:rPr/>
        <w:t>the</w:t>
      </w:r>
      <w:r>
        <w:rPr>
          <w:spacing w:val="-9"/>
        </w:rPr>
        <w:t> </w:t>
      </w:r>
      <w:r>
        <w:rPr/>
        <w:t>home</w:t>
      </w:r>
      <w:r>
        <w:rPr>
          <w:spacing w:val="-10"/>
        </w:rPr>
        <w:t> </w:t>
      </w:r>
      <w:r>
        <w:rPr/>
        <w:t>and</w:t>
      </w:r>
      <w:r>
        <w:rPr>
          <w:spacing w:val="-10"/>
        </w:rPr>
        <w:t> </w:t>
      </w:r>
      <w:r>
        <w:rPr>
          <w:spacing w:val="-4"/>
        </w:rPr>
        <w:t>family. </w:t>
      </w:r>
      <w:r>
        <w:rPr>
          <w:spacing w:val="-3"/>
        </w:rPr>
        <w:t>Therefore, </w:t>
      </w:r>
      <w:r>
        <w:rPr/>
        <w:t>‘it was more straightforward and made more sense administratively if women had to elect to be placed on a jury list’.</w:t>
      </w:r>
      <w:r>
        <w:rPr>
          <w:position w:val="7"/>
          <w:sz w:val="11"/>
        </w:rPr>
        <w:t>53 </w:t>
      </w:r>
      <w:r>
        <w:rPr>
          <w:spacing w:val="-4"/>
        </w:rPr>
        <w:t>Walker </w:t>
      </w:r>
      <w:r>
        <w:rPr/>
        <w:t>identifies that this raised further concerns about the ‘wrong sort of </w:t>
      </w:r>
      <w:r>
        <w:rPr>
          <w:spacing w:val="-3"/>
        </w:rPr>
        <w:t>women’ </w:t>
      </w:r>
      <w:r>
        <w:rPr/>
        <w:t>opting in to jury service, namely ‘battle-axes and sticky</w:t>
      </w:r>
      <w:r>
        <w:rPr>
          <w:spacing w:val="-13"/>
        </w:rPr>
        <w:t> </w:t>
      </w:r>
      <w:r>
        <w:rPr/>
        <w:t>beaks’.</w:t>
      </w:r>
      <w:r>
        <w:rPr>
          <w:position w:val="7"/>
          <w:sz w:val="11"/>
        </w:rPr>
        <w:t>54</w:t>
      </w:r>
    </w:p>
    <w:p>
      <w:pPr>
        <w:pStyle w:val="ListParagraph"/>
        <w:numPr>
          <w:ilvl w:val="1"/>
          <w:numId w:val="12"/>
        </w:numPr>
        <w:tabs>
          <w:tab w:pos="1761" w:val="left" w:leader="none"/>
          <w:tab w:pos="1762" w:val="left" w:leader="none"/>
        </w:tabs>
        <w:spacing w:line="206" w:lineRule="auto" w:before="126" w:after="0"/>
        <w:ind w:left="1760" w:right="1245" w:hanging="793"/>
        <w:jc w:val="left"/>
        <w:rPr>
          <w:sz w:val="20"/>
        </w:rPr>
      </w:pPr>
      <w:r>
        <w:rPr>
          <w:sz w:val="20"/>
        </w:rPr>
        <w:t>In Victoria in 1964 the Juries (Women </w:t>
      </w:r>
      <w:r>
        <w:rPr>
          <w:spacing w:val="-3"/>
          <w:sz w:val="20"/>
        </w:rPr>
        <w:t>Jurors) </w:t>
      </w:r>
      <w:r>
        <w:rPr>
          <w:sz w:val="20"/>
        </w:rPr>
        <w:t>Bill was </w:t>
      </w:r>
      <w:r>
        <w:rPr>
          <w:spacing w:val="-3"/>
          <w:sz w:val="20"/>
        </w:rPr>
        <w:t>presented </w:t>
      </w:r>
      <w:r>
        <w:rPr>
          <w:sz w:val="20"/>
        </w:rPr>
        <w:t>to amend the </w:t>
      </w:r>
      <w:r>
        <w:rPr>
          <w:i/>
          <w:sz w:val="20"/>
        </w:rPr>
        <w:t>Juries </w:t>
      </w:r>
      <w:r>
        <w:rPr>
          <w:i/>
          <w:sz w:val="20"/>
        </w:rPr>
        <w:t>Act 1958 </w:t>
      </w:r>
      <w:r>
        <w:rPr>
          <w:sz w:val="20"/>
        </w:rPr>
        <w:t>(Vic) and the </w:t>
      </w:r>
      <w:r>
        <w:rPr>
          <w:i/>
          <w:spacing w:val="-4"/>
          <w:sz w:val="20"/>
        </w:rPr>
        <w:t>Women’s </w:t>
      </w:r>
      <w:r>
        <w:rPr>
          <w:i/>
          <w:sz w:val="20"/>
        </w:rPr>
        <w:t>Qualification Act 1958 </w:t>
      </w:r>
      <w:r>
        <w:rPr>
          <w:sz w:val="20"/>
        </w:rPr>
        <w:t>(Vic) with respect to jury service </w:t>
      </w:r>
      <w:r>
        <w:rPr>
          <w:spacing w:val="-3"/>
          <w:sz w:val="20"/>
        </w:rPr>
        <w:t>by </w:t>
      </w:r>
      <w:r>
        <w:rPr>
          <w:sz w:val="20"/>
        </w:rPr>
        <w:t>women. The amendments </w:t>
      </w:r>
      <w:r>
        <w:rPr>
          <w:spacing w:val="-3"/>
          <w:sz w:val="20"/>
        </w:rPr>
        <w:t>provided </w:t>
      </w:r>
      <w:r>
        <w:rPr>
          <w:sz w:val="20"/>
        </w:rPr>
        <w:t>that all </w:t>
      </w:r>
      <w:r>
        <w:rPr>
          <w:spacing w:val="-3"/>
          <w:sz w:val="20"/>
        </w:rPr>
        <w:t>‘persons’ </w:t>
      </w:r>
      <w:r>
        <w:rPr>
          <w:spacing w:val="-4"/>
          <w:sz w:val="20"/>
        </w:rPr>
        <w:t>were </w:t>
      </w:r>
      <w:r>
        <w:rPr>
          <w:sz w:val="20"/>
        </w:rPr>
        <w:t>eligible for jury service not just </w:t>
      </w:r>
      <w:r>
        <w:rPr>
          <w:spacing w:val="-4"/>
          <w:sz w:val="20"/>
        </w:rPr>
        <w:t>‘men’. </w:t>
      </w:r>
      <w:r>
        <w:rPr>
          <w:spacing w:val="-5"/>
          <w:sz w:val="20"/>
        </w:rPr>
        <w:t>However, </w:t>
      </w:r>
      <w:r>
        <w:rPr>
          <w:sz w:val="20"/>
        </w:rPr>
        <w:t>women could claim </w:t>
      </w:r>
      <w:r>
        <w:rPr>
          <w:spacing w:val="-3"/>
          <w:sz w:val="20"/>
        </w:rPr>
        <w:t>exemption from </w:t>
      </w:r>
      <w:r>
        <w:rPr>
          <w:sz w:val="20"/>
        </w:rPr>
        <w:t>serving </w:t>
      </w:r>
      <w:r>
        <w:rPr>
          <w:spacing w:val="-3"/>
          <w:sz w:val="20"/>
        </w:rPr>
        <w:t>by </w:t>
      </w:r>
      <w:r>
        <w:rPr>
          <w:sz w:val="20"/>
        </w:rPr>
        <w:t>reason of their </w:t>
      </w:r>
      <w:r>
        <w:rPr>
          <w:spacing w:val="-3"/>
          <w:sz w:val="20"/>
        </w:rPr>
        <w:t>sex</w:t>
      </w:r>
      <w:r>
        <w:rPr>
          <w:spacing w:val="-11"/>
          <w:sz w:val="20"/>
        </w:rPr>
        <w:t> </w:t>
      </w:r>
      <w:r>
        <w:rPr>
          <w:sz w:val="20"/>
        </w:rPr>
        <w:t>alone.</w:t>
      </w:r>
      <w:r>
        <w:rPr>
          <w:spacing w:val="-10"/>
          <w:sz w:val="20"/>
        </w:rPr>
        <w:t> </w:t>
      </w:r>
      <w:r>
        <w:rPr>
          <w:sz w:val="20"/>
        </w:rPr>
        <w:t>The</w:t>
      </w:r>
      <w:r>
        <w:rPr>
          <w:spacing w:val="-11"/>
          <w:sz w:val="20"/>
        </w:rPr>
        <w:t> </w:t>
      </w:r>
      <w:r>
        <w:rPr>
          <w:sz w:val="20"/>
        </w:rPr>
        <w:t>Hon.</w:t>
      </w:r>
      <w:r>
        <w:rPr>
          <w:spacing w:val="-10"/>
          <w:sz w:val="20"/>
        </w:rPr>
        <w:t> </w:t>
      </w:r>
      <w:r>
        <w:rPr>
          <w:sz w:val="20"/>
        </w:rPr>
        <w:t>R</w:t>
      </w:r>
      <w:r>
        <w:rPr>
          <w:spacing w:val="-10"/>
          <w:sz w:val="20"/>
        </w:rPr>
        <w:t> </w:t>
      </w:r>
      <w:r>
        <w:rPr>
          <w:sz w:val="20"/>
        </w:rPr>
        <w:t>J</w:t>
      </w:r>
      <w:r>
        <w:rPr>
          <w:spacing w:val="-11"/>
          <w:sz w:val="20"/>
        </w:rPr>
        <w:t> </w:t>
      </w:r>
      <w:r>
        <w:rPr>
          <w:sz w:val="20"/>
        </w:rPr>
        <w:t>Hamer</w:t>
      </w:r>
      <w:r>
        <w:rPr>
          <w:spacing w:val="-10"/>
          <w:sz w:val="20"/>
        </w:rPr>
        <w:t> </w:t>
      </w:r>
      <w:r>
        <w:rPr>
          <w:sz w:val="20"/>
        </w:rPr>
        <w:t>(Minister</w:t>
      </w:r>
      <w:r>
        <w:rPr>
          <w:spacing w:val="-10"/>
          <w:sz w:val="20"/>
        </w:rPr>
        <w:t> </w:t>
      </w:r>
      <w:r>
        <w:rPr>
          <w:sz w:val="20"/>
        </w:rPr>
        <w:t>for</w:t>
      </w:r>
      <w:r>
        <w:rPr>
          <w:spacing w:val="-11"/>
          <w:sz w:val="20"/>
        </w:rPr>
        <w:t> </w:t>
      </w:r>
      <w:r>
        <w:rPr>
          <w:sz w:val="20"/>
        </w:rPr>
        <w:t>Local</w:t>
      </w:r>
      <w:r>
        <w:rPr>
          <w:spacing w:val="-10"/>
          <w:sz w:val="20"/>
        </w:rPr>
        <w:t> </w:t>
      </w:r>
      <w:r>
        <w:rPr>
          <w:sz w:val="20"/>
        </w:rPr>
        <w:t>Government)</w:t>
      </w:r>
      <w:r>
        <w:rPr>
          <w:spacing w:val="-11"/>
          <w:sz w:val="20"/>
        </w:rPr>
        <w:t> </w:t>
      </w:r>
      <w:r>
        <w:rPr>
          <w:sz w:val="20"/>
        </w:rPr>
        <w:t>concluded</w:t>
      </w:r>
      <w:r>
        <w:rPr>
          <w:spacing w:val="-10"/>
          <w:sz w:val="20"/>
        </w:rPr>
        <w:t> </w:t>
      </w:r>
      <w:r>
        <w:rPr>
          <w:sz w:val="20"/>
        </w:rPr>
        <w:t>that</w:t>
      </w:r>
      <w:r>
        <w:rPr>
          <w:spacing w:val="-10"/>
          <w:sz w:val="20"/>
        </w:rPr>
        <w:t> </w:t>
      </w:r>
      <w:r>
        <w:rPr>
          <w:sz w:val="20"/>
        </w:rPr>
        <w:t>the</w:t>
      </w:r>
      <w:r>
        <w:rPr>
          <w:spacing w:val="-11"/>
          <w:sz w:val="20"/>
        </w:rPr>
        <w:t> </w:t>
      </w:r>
      <w:r>
        <w:rPr>
          <w:sz w:val="20"/>
        </w:rPr>
        <w:t>new provisions,</w:t>
      </w:r>
      <w:r>
        <w:rPr>
          <w:spacing w:val="-7"/>
          <w:sz w:val="20"/>
        </w:rPr>
        <w:t> </w:t>
      </w:r>
      <w:r>
        <w:rPr>
          <w:sz w:val="20"/>
        </w:rPr>
        <w:t>including</w:t>
      </w:r>
      <w:r>
        <w:rPr>
          <w:spacing w:val="-6"/>
          <w:sz w:val="20"/>
        </w:rPr>
        <w:t> </w:t>
      </w:r>
      <w:r>
        <w:rPr>
          <w:sz w:val="20"/>
        </w:rPr>
        <w:t>the</w:t>
      </w:r>
      <w:r>
        <w:rPr>
          <w:spacing w:val="-6"/>
          <w:sz w:val="20"/>
        </w:rPr>
        <w:t> </w:t>
      </w:r>
      <w:r>
        <w:rPr>
          <w:spacing w:val="-2"/>
          <w:sz w:val="20"/>
        </w:rPr>
        <w:t>exemption,</w:t>
      </w:r>
      <w:r>
        <w:rPr>
          <w:spacing w:val="-6"/>
          <w:sz w:val="20"/>
        </w:rPr>
        <w:t> </w:t>
      </w:r>
      <w:r>
        <w:rPr>
          <w:spacing w:val="-3"/>
          <w:sz w:val="20"/>
        </w:rPr>
        <w:t>represented</w:t>
      </w:r>
      <w:r>
        <w:rPr>
          <w:spacing w:val="-6"/>
          <w:sz w:val="20"/>
        </w:rPr>
        <w:t> </w:t>
      </w:r>
      <w:r>
        <w:rPr>
          <w:sz w:val="20"/>
        </w:rPr>
        <w:t>a</w:t>
      </w:r>
      <w:r>
        <w:rPr>
          <w:spacing w:val="-7"/>
          <w:sz w:val="20"/>
        </w:rPr>
        <w:t> </w:t>
      </w:r>
      <w:r>
        <w:rPr>
          <w:sz w:val="20"/>
        </w:rPr>
        <w:t>compromise</w:t>
      </w:r>
      <w:r>
        <w:rPr>
          <w:spacing w:val="-6"/>
          <w:sz w:val="20"/>
        </w:rPr>
        <w:t> </w:t>
      </w:r>
      <w:r>
        <w:rPr>
          <w:sz w:val="20"/>
        </w:rPr>
        <w:t>because:</w:t>
      </w:r>
    </w:p>
    <w:p>
      <w:pPr>
        <w:spacing w:line="208" w:lineRule="auto" w:before="125"/>
        <w:ind w:left="2157" w:right="1170" w:firstLine="0"/>
        <w:jc w:val="left"/>
        <w:rPr>
          <w:sz w:val="11"/>
        </w:rPr>
      </w:pPr>
      <w:r>
        <w:rPr>
          <w:sz w:val="19"/>
        </w:rPr>
        <w:t>it does not put women in exactly the same position as men. I think it is proper to recognize that women have special duties, including responsibilities to young families, which put them in a somewhat special position and for which special provision ought to be made. I commend the Bill to the House.</w:t>
      </w:r>
      <w:r>
        <w:rPr>
          <w:position w:val="6"/>
          <w:sz w:val="11"/>
        </w:rPr>
        <w:t>55</w:t>
      </w:r>
    </w:p>
    <w:p>
      <w:pPr>
        <w:pStyle w:val="ListParagraph"/>
        <w:numPr>
          <w:ilvl w:val="1"/>
          <w:numId w:val="12"/>
        </w:numPr>
        <w:tabs>
          <w:tab w:pos="1761" w:val="left" w:leader="none"/>
          <w:tab w:pos="1762" w:val="left" w:leader="none"/>
        </w:tabs>
        <w:spacing w:line="206" w:lineRule="auto" w:before="125" w:after="0"/>
        <w:ind w:left="1761" w:right="1304" w:hanging="794"/>
        <w:jc w:val="left"/>
        <w:rPr>
          <w:sz w:val="11"/>
        </w:rPr>
      </w:pPr>
      <w:r>
        <w:rPr>
          <w:sz w:val="20"/>
        </w:rPr>
        <w:t>It</w:t>
      </w:r>
      <w:r>
        <w:rPr>
          <w:spacing w:val="-9"/>
          <w:sz w:val="20"/>
        </w:rPr>
        <w:t> </w:t>
      </w:r>
      <w:r>
        <w:rPr>
          <w:sz w:val="20"/>
        </w:rPr>
        <w:t>was</w:t>
      </w:r>
      <w:r>
        <w:rPr>
          <w:spacing w:val="-8"/>
          <w:sz w:val="20"/>
        </w:rPr>
        <w:t> </w:t>
      </w:r>
      <w:r>
        <w:rPr>
          <w:sz w:val="20"/>
        </w:rPr>
        <w:t>not</w:t>
      </w:r>
      <w:r>
        <w:rPr>
          <w:spacing w:val="-8"/>
          <w:sz w:val="20"/>
        </w:rPr>
        <w:t> </w:t>
      </w:r>
      <w:r>
        <w:rPr>
          <w:sz w:val="20"/>
        </w:rPr>
        <w:t>until</w:t>
      </w:r>
      <w:r>
        <w:rPr>
          <w:spacing w:val="-8"/>
          <w:sz w:val="20"/>
        </w:rPr>
        <w:t> </w:t>
      </w:r>
      <w:r>
        <w:rPr>
          <w:spacing w:val="-5"/>
          <w:sz w:val="20"/>
        </w:rPr>
        <w:t>1975</w:t>
      </w:r>
      <w:r>
        <w:rPr>
          <w:spacing w:val="-8"/>
          <w:sz w:val="20"/>
        </w:rPr>
        <w:t> </w:t>
      </w:r>
      <w:r>
        <w:rPr>
          <w:sz w:val="20"/>
        </w:rPr>
        <w:t>that</w:t>
      </w:r>
      <w:r>
        <w:rPr>
          <w:spacing w:val="-8"/>
          <w:sz w:val="20"/>
        </w:rPr>
        <w:t> </w:t>
      </w:r>
      <w:r>
        <w:rPr>
          <w:sz w:val="20"/>
        </w:rPr>
        <w:t>the</w:t>
      </w:r>
      <w:r>
        <w:rPr>
          <w:spacing w:val="-8"/>
          <w:sz w:val="20"/>
        </w:rPr>
        <w:t> </w:t>
      </w:r>
      <w:r>
        <w:rPr>
          <w:sz w:val="20"/>
        </w:rPr>
        <w:t>automatic</w:t>
      </w:r>
      <w:r>
        <w:rPr>
          <w:spacing w:val="-8"/>
          <w:sz w:val="20"/>
        </w:rPr>
        <w:t> </w:t>
      </w:r>
      <w:r>
        <w:rPr>
          <w:sz w:val="20"/>
        </w:rPr>
        <w:t>right</w:t>
      </w:r>
      <w:r>
        <w:rPr>
          <w:spacing w:val="-8"/>
          <w:sz w:val="20"/>
        </w:rPr>
        <w:t> </w:t>
      </w:r>
      <w:r>
        <w:rPr>
          <w:sz w:val="20"/>
        </w:rPr>
        <w:t>of</w:t>
      </w:r>
      <w:r>
        <w:rPr>
          <w:spacing w:val="-8"/>
          <w:sz w:val="20"/>
        </w:rPr>
        <w:t> </w:t>
      </w:r>
      <w:r>
        <w:rPr>
          <w:spacing w:val="-3"/>
          <w:sz w:val="20"/>
        </w:rPr>
        <w:t>exemption</w:t>
      </w:r>
      <w:r>
        <w:rPr>
          <w:spacing w:val="-8"/>
          <w:sz w:val="20"/>
        </w:rPr>
        <w:t> </w:t>
      </w:r>
      <w:r>
        <w:rPr>
          <w:spacing w:val="-3"/>
          <w:sz w:val="20"/>
        </w:rPr>
        <w:t>from</w:t>
      </w:r>
      <w:r>
        <w:rPr>
          <w:spacing w:val="-8"/>
          <w:sz w:val="20"/>
        </w:rPr>
        <w:t> </w:t>
      </w:r>
      <w:r>
        <w:rPr>
          <w:sz w:val="20"/>
        </w:rPr>
        <w:t>service</w:t>
      </w:r>
      <w:r>
        <w:rPr>
          <w:spacing w:val="-9"/>
          <w:sz w:val="20"/>
        </w:rPr>
        <w:t> </w:t>
      </w:r>
      <w:r>
        <w:rPr>
          <w:sz w:val="20"/>
        </w:rPr>
        <w:t>was</w:t>
      </w:r>
      <w:r>
        <w:rPr>
          <w:spacing w:val="-8"/>
          <w:sz w:val="20"/>
        </w:rPr>
        <w:t> </w:t>
      </w:r>
      <w:r>
        <w:rPr>
          <w:sz w:val="20"/>
        </w:rPr>
        <w:t>removed.</w:t>
      </w:r>
      <w:r>
        <w:rPr>
          <w:position w:val="7"/>
          <w:sz w:val="11"/>
        </w:rPr>
        <w:t>56</w:t>
      </w:r>
      <w:r>
        <w:rPr>
          <w:sz w:val="11"/>
        </w:rPr>
        <w:t> </w:t>
      </w:r>
      <w:r>
        <w:rPr>
          <w:sz w:val="20"/>
        </w:rPr>
        <w:t>Only since </w:t>
      </w:r>
      <w:r>
        <w:rPr>
          <w:spacing w:val="-3"/>
          <w:sz w:val="20"/>
        </w:rPr>
        <w:t>1977 </w:t>
      </w:r>
      <w:r>
        <w:rPr>
          <w:spacing w:val="-4"/>
          <w:sz w:val="20"/>
        </w:rPr>
        <w:t>have </w:t>
      </w:r>
      <w:r>
        <w:rPr>
          <w:sz w:val="20"/>
        </w:rPr>
        <w:t>women had the right to participate on juries on an equal footing with men in Victoria.</w:t>
      </w:r>
      <w:r>
        <w:rPr>
          <w:position w:val="7"/>
          <w:sz w:val="11"/>
        </w:rPr>
        <w:t>57 </w:t>
      </w:r>
      <w:r>
        <w:rPr>
          <w:sz w:val="20"/>
        </w:rPr>
        <w:t>If there </w:t>
      </w:r>
      <w:r>
        <w:rPr>
          <w:spacing w:val="-3"/>
          <w:sz w:val="20"/>
        </w:rPr>
        <w:t>are </w:t>
      </w:r>
      <w:r>
        <w:rPr>
          <w:sz w:val="20"/>
        </w:rPr>
        <w:t>circumstances that mean they cannot serve, then they</w:t>
      </w:r>
      <w:r>
        <w:rPr>
          <w:spacing w:val="-7"/>
          <w:sz w:val="20"/>
        </w:rPr>
        <w:t> </w:t>
      </w:r>
      <w:r>
        <w:rPr>
          <w:sz w:val="20"/>
        </w:rPr>
        <w:t>can</w:t>
      </w:r>
      <w:r>
        <w:rPr>
          <w:spacing w:val="-6"/>
          <w:sz w:val="20"/>
        </w:rPr>
        <w:t> </w:t>
      </w:r>
      <w:r>
        <w:rPr>
          <w:spacing w:val="-3"/>
          <w:sz w:val="20"/>
        </w:rPr>
        <w:t>apply</w:t>
      </w:r>
      <w:r>
        <w:rPr>
          <w:spacing w:val="-6"/>
          <w:sz w:val="20"/>
        </w:rPr>
        <w:t> </w:t>
      </w:r>
      <w:r>
        <w:rPr>
          <w:sz w:val="20"/>
        </w:rPr>
        <w:t>to</w:t>
      </w:r>
      <w:r>
        <w:rPr>
          <w:spacing w:val="-6"/>
          <w:sz w:val="20"/>
        </w:rPr>
        <w:t> </w:t>
      </w:r>
      <w:r>
        <w:rPr>
          <w:sz w:val="20"/>
        </w:rPr>
        <w:t>be</w:t>
      </w:r>
      <w:r>
        <w:rPr>
          <w:spacing w:val="-6"/>
          <w:sz w:val="20"/>
        </w:rPr>
        <w:t> </w:t>
      </w:r>
      <w:r>
        <w:rPr>
          <w:spacing w:val="-3"/>
          <w:sz w:val="20"/>
        </w:rPr>
        <w:t>excused</w:t>
      </w:r>
      <w:r>
        <w:rPr>
          <w:spacing w:val="-7"/>
          <w:sz w:val="20"/>
        </w:rPr>
        <w:t> </w:t>
      </w:r>
      <w:r>
        <w:rPr>
          <w:sz w:val="20"/>
        </w:rPr>
        <w:t>in</w:t>
      </w:r>
      <w:r>
        <w:rPr>
          <w:spacing w:val="-6"/>
          <w:sz w:val="20"/>
        </w:rPr>
        <w:t> </w:t>
      </w:r>
      <w:r>
        <w:rPr>
          <w:sz w:val="20"/>
        </w:rPr>
        <w:t>the</w:t>
      </w:r>
      <w:r>
        <w:rPr>
          <w:spacing w:val="-6"/>
          <w:sz w:val="20"/>
        </w:rPr>
        <w:t> </w:t>
      </w:r>
      <w:r>
        <w:rPr>
          <w:sz w:val="20"/>
        </w:rPr>
        <w:t>same</w:t>
      </w:r>
      <w:r>
        <w:rPr>
          <w:spacing w:val="-6"/>
          <w:sz w:val="20"/>
        </w:rPr>
        <w:t> </w:t>
      </w:r>
      <w:r>
        <w:rPr>
          <w:spacing w:val="-4"/>
          <w:sz w:val="20"/>
        </w:rPr>
        <w:t>way</w:t>
      </w:r>
      <w:r>
        <w:rPr>
          <w:spacing w:val="-6"/>
          <w:sz w:val="20"/>
        </w:rPr>
        <w:t> </w:t>
      </w:r>
      <w:r>
        <w:rPr>
          <w:sz w:val="20"/>
        </w:rPr>
        <w:t>as</w:t>
      </w:r>
      <w:r>
        <w:rPr>
          <w:spacing w:val="-7"/>
          <w:sz w:val="20"/>
        </w:rPr>
        <w:t> </w:t>
      </w:r>
      <w:r>
        <w:rPr>
          <w:sz w:val="20"/>
        </w:rPr>
        <w:t>men.</w:t>
      </w:r>
      <w:r>
        <w:rPr>
          <w:spacing w:val="-6"/>
          <w:sz w:val="20"/>
        </w:rPr>
        <w:t> We </w:t>
      </w:r>
      <w:r>
        <w:rPr>
          <w:sz w:val="20"/>
        </w:rPr>
        <w:t>might</w:t>
      </w:r>
      <w:r>
        <w:rPr>
          <w:spacing w:val="-6"/>
          <w:sz w:val="20"/>
        </w:rPr>
        <w:t> </w:t>
      </w:r>
      <w:r>
        <w:rPr>
          <w:sz w:val="20"/>
        </w:rPr>
        <w:t>also</w:t>
      </w:r>
      <w:r>
        <w:rPr>
          <w:spacing w:val="-6"/>
          <w:sz w:val="20"/>
        </w:rPr>
        <w:t> </w:t>
      </w:r>
      <w:r>
        <w:rPr>
          <w:sz w:val="20"/>
        </w:rPr>
        <w:t>ask</w:t>
      </w:r>
      <w:r>
        <w:rPr>
          <w:spacing w:val="-7"/>
          <w:sz w:val="20"/>
        </w:rPr>
        <w:t> </w:t>
      </w:r>
      <w:r>
        <w:rPr>
          <w:spacing w:val="-3"/>
          <w:sz w:val="20"/>
        </w:rPr>
        <w:t>why</w:t>
      </w:r>
      <w:r>
        <w:rPr>
          <w:spacing w:val="-6"/>
          <w:sz w:val="20"/>
        </w:rPr>
        <w:t> </w:t>
      </w:r>
      <w:r>
        <w:rPr>
          <w:sz w:val="20"/>
        </w:rPr>
        <w:t>change has</w:t>
      </w:r>
      <w:r>
        <w:rPr>
          <w:spacing w:val="-6"/>
          <w:sz w:val="20"/>
        </w:rPr>
        <w:t> </w:t>
      </w:r>
      <w:r>
        <w:rPr>
          <w:sz w:val="20"/>
        </w:rPr>
        <w:t>not</w:t>
      </w:r>
      <w:r>
        <w:rPr>
          <w:spacing w:val="-6"/>
          <w:sz w:val="20"/>
        </w:rPr>
        <w:t> </w:t>
      </w:r>
      <w:r>
        <w:rPr>
          <w:sz w:val="20"/>
        </w:rPr>
        <w:t>already</w:t>
      </w:r>
      <w:r>
        <w:rPr>
          <w:spacing w:val="-6"/>
          <w:sz w:val="20"/>
        </w:rPr>
        <w:t> </w:t>
      </w:r>
      <w:r>
        <w:rPr>
          <w:sz w:val="20"/>
        </w:rPr>
        <w:t>occurred</w:t>
      </w:r>
      <w:r>
        <w:rPr>
          <w:spacing w:val="-6"/>
          <w:sz w:val="20"/>
        </w:rPr>
        <w:t> </w:t>
      </w:r>
      <w:r>
        <w:rPr>
          <w:sz w:val="20"/>
        </w:rPr>
        <w:t>to</w:t>
      </w:r>
      <w:r>
        <w:rPr>
          <w:spacing w:val="-6"/>
          <w:sz w:val="20"/>
        </w:rPr>
        <w:t> </w:t>
      </w:r>
      <w:r>
        <w:rPr>
          <w:sz w:val="20"/>
        </w:rPr>
        <w:t>enable</w:t>
      </w:r>
      <w:r>
        <w:rPr>
          <w:spacing w:val="-6"/>
          <w:sz w:val="20"/>
        </w:rPr>
        <w:t> </w:t>
      </w:r>
      <w:r>
        <w:rPr>
          <w:sz w:val="20"/>
        </w:rPr>
        <w:t>people</w:t>
      </w:r>
      <w:r>
        <w:rPr>
          <w:spacing w:val="-6"/>
          <w:sz w:val="20"/>
        </w:rPr>
        <w:t> </w:t>
      </w:r>
      <w:r>
        <w:rPr>
          <w:sz w:val="20"/>
        </w:rPr>
        <w:t>with</w:t>
      </w:r>
      <w:r>
        <w:rPr>
          <w:spacing w:val="-6"/>
          <w:sz w:val="20"/>
        </w:rPr>
        <w:t> </w:t>
      </w:r>
      <w:r>
        <w:rPr>
          <w:sz w:val="20"/>
        </w:rPr>
        <w:t>disabilities</w:t>
      </w:r>
      <w:r>
        <w:rPr>
          <w:spacing w:val="-6"/>
          <w:sz w:val="20"/>
        </w:rPr>
        <w:t> </w:t>
      </w:r>
      <w:r>
        <w:rPr>
          <w:sz w:val="20"/>
        </w:rPr>
        <w:t>to</w:t>
      </w:r>
      <w:r>
        <w:rPr>
          <w:spacing w:val="-6"/>
          <w:sz w:val="20"/>
        </w:rPr>
        <w:t> </w:t>
      </w:r>
      <w:r>
        <w:rPr>
          <w:sz w:val="20"/>
        </w:rPr>
        <w:t>serve.</w:t>
      </w:r>
      <w:r>
        <w:rPr>
          <w:position w:val="7"/>
          <w:sz w:val="11"/>
        </w:rPr>
        <w:t>58</w:t>
      </w:r>
    </w:p>
    <w:p>
      <w:pPr>
        <w:pStyle w:val="ListParagraph"/>
        <w:numPr>
          <w:ilvl w:val="1"/>
          <w:numId w:val="12"/>
        </w:numPr>
        <w:tabs>
          <w:tab w:pos="1761" w:val="left" w:leader="none"/>
          <w:tab w:pos="1762" w:val="left" w:leader="none"/>
        </w:tabs>
        <w:spacing w:line="206" w:lineRule="auto" w:before="126" w:after="0"/>
        <w:ind w:left="1761" w:right="1235" w:hanging="794"/>
        <w:jc w:val="left"/>
        <w:rPr>
          <w:sz w:val="11"/>
        </w:rPr>
      </w:pPr>
      <w:r>
        <w:rPr>
          <w:sz w:val="20"/>
        </w:rPr>
        <w:t>The Commission is </w:t>
      </w:r>
      <w:r>
        <w:rPr>
          <w:spacing w:val="-4"/>
          <w:sz w:val="20"/>
        </w:rPr>
        <w:t>aware </w:t>
      </w:r>
      <w:r>
        <w:rPr>
          <w:sz w:val="20"/>
        </w:rPr>
        <w:t>that </w:t>
      </w:r>
      <w:r>
        <w:rPr>
          <w:spacing w:val="-3"/>
          <w:sz w:val="20"/>
        </w:rPr>
        <w:t>even now </w:t>
      </w:r>
      <w:r>
        <w:rPr>
          <w:sz w:val="20"/>
        </w:rPr>
        <w:t>that women </w:t>
      </w:r>
      <w:r>
        <w:rPr>
          <w:spacing w:val="-4"/>
          <w:sz w:val="20"/>
        </w:rPr>
        <w:t>have </w:t>
      </w:r>
      <w:r>
        <w:rPr>
          <w:sz w:val="20"/>
        </w:rPr>
        <w:t>gained access to juries on an</w:t>
      </w:r>
      <w:r>
        <w:rPr>
          <w:spacing w:val="-12"/>
          <w:sz w:val="20"/>
        </w:rPr>
        <w:t> </w:t>
      </w:r>
      <w:r>
        <w:rPr>
          <w:sz w:val="20"/>
        </w:rPr>
        <w:t>equal</w:t>
      </w:r>
      <w:r>
        <w:rPr>
          <w:spacing w:val="-12"/>
          <w:sz w:val="20"/>
        </w:rPr>
        <w:t> </w:t>
      </w:r>
      <w:r>
        <w:rPr>
          <w:sz w:val="20"/>
        </w:rPr>
        <w:t>footing</w:t>
      </w:r>
      <w:r>
        <w:rPr>
          <w:spacing w:val="-12"/>
          <w:sz w:val="20"/>
        </w:rPr>
        <w:t> </w:t>
      </w:r>
      <w:r>
        <w:rPr>
          <w:sz w:val="20"/>
        </w:rPr>
        <w:t>to</w:t>
      </w:r>
      <w:r>
        <w:rPr>
          <w:spacing w:val="-12"/>
          <w:sz w:val="20"/>
        </w:rPr>
        <w:t> </w:t>
      </w:r>
      <w:r>
        <w:rPr>
          <w:sz w:val="20"/>
        </w:rPr>
        <w:t>men,</w:t>
      </w:r>
      <w:r>
        <w:rPr>
          <w:spacing w:val="-12"/>
          <w:sz w:val="20"/>
        </w:rPr>
        <w:t> </w:t>
      </w:r>
      <w:r>
        <w:rPr>
          <w:sz w:val="20"/>
        </w:rPr>
        <w:t>they</w:t>
      </w:r>
      <w:r>
        <w:rPr>
          <w:spacing w:val="-12"/>
          <w:sz w:val="20"/>
        </w:rPr>
        <w:t> </w:t>
      </w:r>
      <w:r>
        <w:rPr>
          <w:spacing w:val="-3"/>
          <w:sz w:val="20"/>
        </w:rPr>
        <w:t>are</w:t>
      </w:r>
      <w:r>
        <w:rPr>
          <w:spacing w:val="-12"/>
          <w:sz w:val="20"/>
        </w:rPr>
        <w:t> </w:t>
      </w:r>
      <w:r>
        <w:rPr>
          <w:sz w:val="20"/>
        </w:rPr>
        <w:t>disproportionately</w:t>
      </w:r>
      <w:r>
        <w:rPr>
          <w:spacing w:val="-12"/>
          <w:sz w:val="20"/>
        </w:rPr>
        <w:t> </w:t>
      </w:r>
      <w:r>
        <w:rPr>
          <w:sz w:val="20"/>
        </w:rPr>
        <w:t>challenged</w:t>
      </w:r>
      <w:r>
        <w:rPr>
          <w:spacing w:val="-12"/>
          <w:sz w:val="20"/>
        </w:rPr>
        <w:t> </w:t>
      </w:r>
      <w:r>
        <w:rPr>
          <w:sz w:val="20"/>
        </w:rPr>
        <w:t>as</w:t>
      </w:r>
      <w:r>
        <w:rPr>
          <w:spacing w:val="-12"/>
          <w:sz w:val="20"/>
        </w:rPr>
        <w:t> </w:t>
      </w:r>
      <w:r>
        <w:rPr>
          <w:sz w:val="20"/>
        </w:rPr>
        <w:t>compared</w:t>
      </w:r>
      <w:r>
        <w:rPr>
          <w:spacing w:val="-12"/>
          <w:sz w:val="20"/>
        </w:rPr>
        <w:t> </w:t>
      </w:r>
      <w:r>
        <w:rPr>
          <w:sz w:val="20"/>
        </w:rPr>
        <w:t>to</w:t>
      </w:r>
      <w:r>
        <w:rPr>
          <w:spacing w:val="-12"/>
          <w:sz w:val="20"/>
        </w:rPr>
        <w:t> </w:t>
      </w:r>
      <w:r>
        <w:rPr>
          <w:sz w:val="20"/>
        </w:rPr>
        <w:t>men.</w:t>
      </w:r>
      <w:r>
        <w:rPr>
          <w:position w:val="7"/>
          <w:sz w:val="11"/>
        </w:rPr>
        <w:t>59</w:t>
      </w:r>
      <w:r>
        <w:rPr>
          <w:sz w:val="11"/>
        </w:rPr>
        <w:t> </w:t>
      </w:r>
      <w:r>
        <w:rPr>
          <w:sz w:val="20"/>
        </w:rPr>
        <w:t>A </w:t>
      </w:r>
      <w:r>
        <w:rPr>
          <w:spacing w:val="-4"/>
          <w:sz w:val="20"/>
        </w:rPr>
        <w:t>lower </w:t>
      </w:r>
      <w:r>
        <w:rPr>
          <w:sz w:val="20"/>
        </w:rPr>
        <w:t>proportion of women on juries was a pattern observed in England prior to the abolition of peremptory</w:t>
      </w:r>
      <w:r>
        <w:rPr>
          <w:spacing w:val="-13"/>
          <w:sz w:val="20"/>
        </w:rPr>
        <w:t> </w:t>
      </w:r>
      <w:r>
        <w:rPr>
          <w:sz w:val="20"/>
        </w:rPr>
        <w:t>challenges.</w:t>
      </w:r>
      <w:r>
        <w:rPr>
          <w:position w:val="7"/>
          <w:sz w:val="11"/>
        </w:rPr>
        <w:t>60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8"/>
        </w:rPr>
      </w:pPr>
      <w:r>
        <w:rPr/>
        <w:pict>
          <v:line style="position:absolute;mso-position-horizontal-relative:page;mso-position-vertical-relative:paragraph;z-index:2216;mso-wrap-distance-left:0;mso-wrap-distance-right:0" from="79.370102pt,15.00202pt" to="515.905102pt,15.00202pt" stroked="true" strokeweight="1pt" strokecolor="#b6bdc8">
            <v:stroke dashstyle="solid"/>
            <w10:wrap type="topAndBottom"/>
          </v:line>
        </w:pict>
      </w:r>
    </w:p>
    <w:p>
      <w:pPr>
        <w:pStyle w:val="ListParagraph"/>
        <w:numPr>
          <w:ilvl w:val="0"/>
          <w:numId w:val="35"/>
        </w:numPr>
        <w:tabs>
          <w:tab w:pos="1761" w:val="left" w:leader="none"/>
          <w:tab w:pos="1762" w:val="left" w:leader="none"/>
        </w:tabs>
        <w:spacing w:line="213" w:lineRule="auto" w:before="107" w:after="0"/>
        <w:ind w:left="1761" w:right="1506" w:hanging="794"/>
        <w:jc w:val="left"/>
        <w:rPr>
          <w:sz w:val="13"/>
        </w:rPr>
      </w:pPr>
      <w:r>
        <w:rPr>
          <w:sz w:val="13"/>
        </w:rPr>
        <w:t>Sonia Walker, </w:t>
      </w:r>
      <w:r>
        <w:rPr>
          <w:spacing w:val="2"/>
          <w:sz w:val="13"/>
        </w:rPr>
        <w:t>‘Battle-Axes </w:t>
      </w:r>
      <w:r>
        <w:rPr>
          <w:sz w:val="13"/>
        </w:rPr>
        <w:t>and </w:t>
      </w:r>
      <w:r>
        <w:rPr>
          <w:spacing w:val="2"/>
          <w:sz w:val="13"/>
        </w:rPr>
        <w:t>Sticky-Beaks: </w:t>
      </w:r>
      <w:r>
        <w:rPr>
          <w:sz w:val="13"/>
        </w:rPr>
        <w:t>Women and </w:t>
      </w:r>
      <w:r>
        <w:rPr>
          <w:spacing w:val="2"/>
          <w:sz w:val="13"/>
        </w:rPr>
        <w:t>Jury Service </w:t>
      </w:r>
      <w:r>
        <w:rPr>
          <w:sz w:val="13"/>
        </w:rPr>
        <w:t>in Western Australia </w:t>
      </w:r>
      <w:r>
        <w:rPr>
          <w:spacing w:val="2"/>
          <w:sz w:val="13"/>
        </w:rPr>
        <w:t>1898–1957’ </w:t>
      </w:r>
      <w:r>
        <w:rPr>
          <w:sz w:val="13"/>
        </w:rPr>
        <w:t>(2004) 11(4) </w:t>
      </w:r>
      <w:r>
        <w:rPr>
          <w:i/>
          <w:sz w:val="13"/>
        </w:rPr>
        <w:t>Murdoch </w:t>
      </w:r>
      <w:r>
        <w:rPr>
          <w:i/>
          <w:sz w:val="13"/>
        </w:rPr>
        <w:t>University Electronic Journal of Law </w:t>
      </w:r>
      <w:r>
        <w:rPr>
          <w:spacing w:val="2"/>
          <w:sz w:val="13"/>
        </w:rPr>
        <w:t>[15]</w:t>
      </w:r>
      <w:r>
        <w:rPr>
          <w:spacing w:val="22"/>
          <w:sz w:val="13"/>
        </w:rPr>
        <w:t> </w:t>
      </w:r>
      <w:r>
        <w:rPr>
          <w:sz w:val="13"/>
        </w:rPr>
        <w:t>&lt;</w:t>
      </w:r>
      <w:hyperlink r:id="rId86">
        <w:r>
          <w:rPr>
            <w:sz w:val="13"/>
          </w:rPr>
          <w:t>http://www.murdoch.edu.au/elaw/issues/v11n4/walker114_text.html</w:t>
        </w:r>
      </w:hyperlink>
      <w:r>
        <w:rPr>
          <w:sz w:val="13"/>
        </w:rPr>
        <w:t>&gt;.</w:t>
      </w:r>
    </w:p>
    <w:p>
      <w:pPr>
        <w:tabs>
          <w:tab w:pos="1760" w:val="left" w:leader="none"/>
        </w:tabs>
        <w:spacing w:line="153" w:lineRule="exact" w:before="0"/>
        <w:ind w:left="967" w:right="0" w:firstLine="0"/>
        <w:jc w:val="left"/>
        <w:rPr>
          <w:sz w:val="13"/>
        </w:rPr>
      </w:pPr>
      <w:r>
        <w:rPr>
          <w:sz w:val="13"/>
        </w:rPr>
        <w:t>53</w:t>
        <w:tab/>
        <w:t>Ibid</w:t>
      </w:r>
      <w:r>
        <w:rPr>
          <w:spacing w:val="11"/>
          <w:sz w:val="13"/>
        </w:rPr>
        <w:t> </w:t>
      </w:r>
      <w:r>
        <w:rPr>
          <w:sz w:val="13"/>
        </w:rPr>
        <w:t>[16].</w:t>
      </w:r>
    </w:p>
    <w:p>
      <w:pPr>
        <w:tabs>
          <w:tab w:pos="1761" w:val="left" w:leader="none"/>
        </w:tabs>
        <w:spacing w:line="160" w:lineRule="exact" w:before="0"/>
        <w:ind w:left="967" w:right="0" w:firstLine="0"/>
        <w:jc w:val="left"/>
        <w:rPr>
          <w:sz w:val="13"/>
        </w:rPr>
      </w:pPr>
      <w:r>
        <w:rPr>
          <w:spacing w:val="2"/>
          <w:sz w:val="13"/>
        </w:rPr>
        <w:t>54</w:t>
        <w:tab/>
      </w:r>
      <w:r>
        <w:rPr>
          <w:sz w:val="13"/>
        </w:rPr>
        <w:t>Ibid</w:t>
      </w:r>
      <w:r>
        <w:rPr>
          <w:spacing w:val="12"/>
          <w:sz w:val="13"/>
        </w:rPr>
        <w:t> </w:t>
      </w:r>
      <w:r>
        <w:rPr>
          <w:sz w:val="13"/>
        </w:rPr>
        <w:t>[19].</w:t>
      </w:r>
    </w:p>
    <w:p>
      <w:pPr>
        <w:pStyle w:val="ListParagraph"/>
        <w:numPr>
          <w:ilvl w:val="0"/>
          <w:numId w:val="36"/>
        </w:numPr>
        <w:tabs>
          <w:tab w:pos="1761" w:val="left" w:leader="none"/>
          <w:tab w:pos="1762" w:val="left" w:leader="none"/>
        </w:tabs>
        <w:spacing w:line="160" w:lineRule="exact" w:before="0" w:after="0"/>
        <w:ind w:left="1761" w:right="0" w:hanging="794"/>
        <w:jc w:val="left"/>
        <w:rPr>
          <w:sz w:val="13"/>
        </w:rPr>
      </w:pPr>
      <w:r>
        <w:rPr>
          <w:sz w:val="13"/>
        </w:rPr>
        <w:t>Victoria, </w:t>
      </w:r>
      <w:r>
        <w:rPr>
          <w:i/>
          <w:sz w:val="13"/>
        </w:rPr>
        <w:t>Parliamentary Debates</w:t>
      </w:r>
      <w:r>
        <w:rPr>
          <w:sz w:val="13"/>
        </w:rPr>
        <w:t>, Legislative Assembly, 18 November </w:t>
      </w:r>
      <w:r>
        <w:rPr>
          <w:spacing w:val="3"/>
          <w:sz w:val="13"/>
        </w:rPr>
        <w:t>1964, </w:t>
      </w:r>
      <w:r>
        <w:rPr>
          <w:spacing w:val="2"/>
          <w:sz w:val="13"/>
        </w:rPr>
        <w:t>1549 (Rupert</w:t>
      </w:r>
      <w:r>
        <w:rPr>
          <w:spacing w:val="3"/>
          <w:sz w:val="13"/>
        </w:rPr>
        <w:t> </w:t>
      </w:r>
      <w:r>
        <w:rPr>
          <w:sz w:val="13"/>
        </w:rPr>
        <w:t>Hamer).</w:t>
      </w:r>
    </w:p>
    <w:p>
      <w:pPr>
        <w:pStyle w:val="ListParagraph"/>
        <w:numPr>
          <w:ilvl w:val="0"/>
          <w:numId w:val="36"/>
        </w:numPr>
        <w:tabs>
          <w:tab w:pos="1761" w:val="left" w:leader="none"/>
          <w:tab w:pos="1762" w:val="left" w:leader="none"/>
        </w:tabs>
        <w:spacing w:line="160" w:lineRule="exact" w:before="0" w:after="0"/>
        <w:ind w:left="1761" w:right="0" w:hanging="794"/>
        <w:jc w:val="left"/>
        <w:rPr>
          <w:sz w:val="13"/>
        </w:rPr>
      </w:pPr>
      <w:r>
        <w:rPr>
          <w:i/>
          <w:sz w:val="13"/>
        </w:rPr>
        <w:t>Juries Amendment Act 1975 </w:t>
      </w:r>
      <w:r>
        <w:rPr>
          <w:spacing w:val="2"/>
          <w:sz w:val="13"/>
        </w:rPr>
        <w:t>(VIC) </w:t>
      </w:r>
      <w:r>
        <w:rPr>
          <w:sz w:val="13"/>
        </w:rPr>
        <w:t>s</w:t>
      </w:r>
      <w:r>
        <w:rPr>
          <w:spacing w:val="-2"/>
          <w:sz w:val="13"/>
        </w:rPr>
        <w:t> </w:t>
      </w:r>
      <w:r>
        <w:rPr>
          <w:sz w:val="13"/>
        </w:rPr>
        <w:t>6.</w:t>
      </w:r>
    </w:p>
    <w:p>
      <w:pPr>
        <w:pStyle w:val="ListParagraph"/>
        <w:numPr>
          <w:ilvl w:val="0"/>
          <w:numId w:val="36"/>
        </w:numPr>
        <w:tabs>
          <w:tab w:pos="1760" w:val="left" w:leader="none"/>
          <w:tab w:pos="1762" w:val="left" w:leader="none"/>
        </w:tabs>
        <w:spacing w:line="160" w:lineRule="exact" w:before="0" w:after="0"/>
        <w:ind w:left="1761" w:right="0" w:hanging="794"/>
        <w:jc w:val="left"/>
        <w:rPr>
          <w:sz w:val="13"/>
        </w:rPr>
      </w:pPr>
      <w:r>
        <w:rPr>
          <w:sz w:val="13"/>
        </w:rPr>
        <w:t>Ibid;</w:t>
      </w:r>
      <w:r>
        <w:rPr>
          <w:spacing w:val="2"/>
          <w:sz w:val="13"/>
        </w:rPr>
        <w:t> </w:t>
      </w:r>
      <w:r>
        <w:rPr>
          <w:i/>
          <w:sz w:val="13"/>
        </w:rPr>
        <w:t>Equal</w:t>
      </w:r>
      <w:r>
        <w:rPr>
          <w:i/>
          <w:spacing w:val="2"/>
          <w:sz w:val="13"/>
        </w:rPr>
        <w:t> </w:t>
      </w:r>
      <w:r>
        <w:rPr>
          <w:i/>
          <w:sz w:val="13"/>
        </w:rPr>
        <w:t>Opportunity</w:t>
      </w:r>
      <w:r>
        <w:rPr>
          <w:i/>
          <w:spacing w:val="2"/>
          <w:sz w:val="13"/>
        </w:rPr>
        <w:t> </w:t>
      </w:r>
      <w:r>
        <w:rPr>
          <w:i/>
          <w:sz w:val="13"/>
        </w:rPr>
        <w:t>Act</w:t>
      </w:r>
      <w:r>
        <w:rPr>
          <w:i/>
          <w:spacing w:val="2"/>
          <w:sz w:val="13"/>
        </w:rPr>
        <w:t> </w:t>
      </w:r>
      <w:r>
        <w:rPr>
          <w:i/>
          <w:sz w:val="13"/>
        </w:rPr>
        <w:t>1977</w:t>
      </w:r>
      <w:r>
        <w:rPr>
          <w:i/>
          <w:spacing w:val="2"/>
          <w:sz w:val="13"/>
        </w:rPr>
        <w:t> </w:t>
      </w:r>
      <w:r>
        <w:rPr>
          <w:spacing w:val="2"/>
          <w:sz w:val="13"/>
        </w:rPr>
        <w:t>(VIC) </w:t>
      </w:r>
      <w:r>
        <w:rPr>
          <w:sz w:val="13"/>
        </w:rPr>
        <w:t>s</w:t>
      </w:r>
      <w:r>
        <w:rPr>
          <w:spacing w:val="2"/>
          <w:sz w:val="13"/>
        </w:rPr>
        <w:t> </w:t>
      </w:r>
      <w:r>
        <w:rPr>
          <w:sz w:val="13"/>
        </w:rPr>
        <w:t>57.</w:t>
      </w:r>
      <w:r>
        <w:rPr>
          <w:spacing w:val="2"/>
          <w:sz w:val="13"/>
        </w:rPr>
        <w:t> </w:t>
      </w:r>
      <w:r>
        <w:rPr>
          <w:sz w:val="13"/>
        </w:rPr>
        <w:t>This</w:t>
      </w:r>
      <w:r>
        <w:rPr>
          <w:spacing w:val="2"/>
          <w:sz w:val="13"/>
        </w:rPr>
        <w:t> </w:t>
      </w:r>
      <w:r>
        <w:rPr>
          <w:sz w:val="13"/>
        </w:rPr>
        <w:t>section</w:t>
      </w:r>
      <w:r>
        <w:rPr>
          <w:spacing w:val="2"/>
          <w:sz w:val="13"/>
        </w:rPr>
        <w:t> </w:t>
      </w:r>
      <w:r>
        <w:rPr>
          <w:sz w:val="13"/>
        </w:rPr>
        <w:t>removed</w:t>
      </w:r>
      <w:r>
        <w:rPr>
          <w:spacing w:val="2"/>
          <w:sz w:val="13"/>
        </w:rPr>
        <w:t> </w:t>
      </w:r>
      <w:r>
        <w:rPr>
          <w:sz w:val="13"/>
        </w:rPr>
        <w:t>the</w:t>
      </w:r>
      <w:r>
        <w:rPr>
          <w:spacing w:val="2"/>
          <w:sz w:val="13"/>
        </w:rPr>
        <w:t> </w:t>
      </w:r>
      <w:r>
        <w:rPr>
          <w:sz w:val="13"/>
        </w:rPr>
        <w:t>discretion</w:t>
      </w:r>
      <w:r>
        <w:rPr>
          <w:spacing w:val="2"/>
          <w:sz w:val="13"/>
        </w:rPr>
        <w:t> </w:t>
      </w:r>
      <w:r>
        <w:rPr>
          <w:sz w:val="13"/>
        </w:rPr>
        <w:t>of</w:t>
      </w:r>
      <w:r>
        <w:rPr>
          <w:spacing w:val="2"/>
          <w:sz w:val="13"/>
        </w:rPr>
        <w:t> </w:t>
      </w:r>
      <w:r>
        <w:rPr>
          <w:sz w:val="13"/>
        </w:rPr>
        <w:t>the</w:t>
      </w:r>
      <w:r>
        <w:rPr>
          <w:spacing w:val="2"/>
          <w:sz w:val="13"/>
        </w:rPr>
        <w:t> </w:t>
      </w:r>
      <w:r>
        <w:rPr>
          <w:sz w:val="13"/>
        </w:rPr>
        <w:t>Chief</w:t>
      </w:r>
      <w:r>
        <w:rPr>
          <w:spacing w:val="3"/>
          <w:sz w:val="13"/>
        </w:rPr>
        <w:t> </w:t>
      </w:r>
      <w:r>
        <w:rPr>
          <w:sz w:val="13"/>
        </w:rPr>
        <w:t>Electoral</w:t>
      </w:r>
      <w:r>
        <w:rPr>
          <w:spacing w:val="2"/>
          <w:sz w:val="13"/>
        </w:rPr>
        <w:t> </w:t>
      </w:r>
      <w:r>
        <w:rPr>
          <w:sz w:val="13"/>
        </w:rPr>
        <w:t>Officer</w:t>
      </w:r>
      <w:r>
        <w:rPr>
          <w:spacing w:val="2"/>
          <w:sz w:val="13"/>
        </w:rPr>
        <w:t> </w:t>
      </w:r>
      <w:r>
        <w:rPr>
          <w:sz w:val="13"/>
        </w:rPr>
        <w:t>not</w:t>
      </w:r>
      <w:r>
        <w:rPr>
          <w:spacing w:val="2"/>
          <w:sz w:val="13"/>
        </w:rPr>
        <w:t> </w:t>
      </w:r>
      <w:r>
        <w:rPr>
          <w:sz w:val="13"/>
        </w:rPr>
        <w:t>to</w:t>
      </w:r>
      <w:r>
        <w:rPr>
          <w:spacing w:val="2"/>
          <w:sz w:val="13"/>
        </w:rPr>
        <w:t> </w:t>
      </w:r>
      <w:r>
        <w:rPr>
          <w:sz w:val="13"/>
        </w:rPr>
        <w:t>include</w:t>
      </w:r>
      <w:r>
        <w:rPr>
          <w:spacing w:val="2"/>
          <w:sz w:val="13"/>
        </w:rPr>
        <w:t> </w:t>
      </w:r>
      <w:r>
        <w:rPr>
          <w:sz w:val="13"/>
        </w:rPr>
        <w:t>women</w:t>
      </w:r>
    </w:p>
    <w:p>
      <w:pPr>
        <w:spacing w:line="160" w:lineRule="exact" w:before="0"/>
        <w:ind w:left="1761" w:right="0" w:firstLine="0"/>
        <w:jc w:val="left"/>
        <w:rPr>
          <w:sz w:val="13"/>
        </w:rPr>
      </w:pPr>
      <w:r>
        <w:rPr>
          <w:sz w:val="13"/>
        </w:rPr>
        <w:t>in the jury list.</w:t>
      </w:r>
    </w:p>
    <w:p>
      <w:pPr>
        <w:pStyle w:val="ListParagraph"/>
        <w:numPr>
          <w:ilvl w:val="0"/>
          <w:numId w:val="36"/>
        </w:numPr>
        <w:tabs>
          <w:tab w:pos="1760" w:val="left" w:leader="none"/>
          <w:tab w:pos="1762" w:val="left" w:leader="none"/>
        </w:tabs>
        <w:spacing w:line="213" w:lineRule="auto" w:before="6" w:after="0"/>
        <w:ind w:left="1761" w:right="1333" w:hanging="794"/>
        <w:jc w:val="left"/>
        <w:rPr>
          <w:sz w:val="13"/>
        </w:rPr>
      </w:pPr>
      <w:r>
        <w:rPr>
          <w:sz w:val="13"/>
        </w:rPr>
        <w:t>Walker </w:t>
      </w:r>
      <w:r>
        <w:rPr>
          <w:spacing w:val="2"/>
          <w:sz w:val="13"/>
        </w:rPr>
        <w:t>also suggests </w:t>
      </w:r>
      <w:r>
        <w:rPr>
          <w:sz w:val="13"/>
        </w:rPr>
        <w:t>that the refusal to accept anything less than equal rights with men may have slowed progress in Western </w:t>
      </w:r>
      <w:r>
        <w:rPr>
          <w:spacing w:val="2"/>
          <w:sz w:val="13"/>
        </w:rPr>
        <w:t>Australia. </w:t>
      </w:r>
      <w:r>
        <w:rPr>
          <w:sz w:val="13"/>
        </w:rPr>
        <w:t>See Sonia Walker, </w:t>
      </w:r>
      <w:r>
        <w:rPr>
          <w:spacing w:val="2"/>
          <w:sz w:val="13"/>
        </w:rPr>
        <w:t>‘Battle-Axes </w:t>
      </w:r>
      <w:r>
        <w:rPr>
          <w:sz w:val="13"/>
        </w:rPr>
        <w:t>and </w:t>
      </w:r>
      <w:r>
        <w:rPr>
          <w:spacing w:val="2"/>
          <w:sz w:val="13"/>
        </w:rPr>
        <w:t>Sticky-Beaks: </w:t>
      </w:r>
      <w:r>
        <w:rPr>
          <w:sz w:val="13"/>
        </w:rPr>
        <w:t>Women and </w:t>
      </w:r>
      <w:r>
        <w:rPr>
          <w:spacing w:val="2"/>
          <w:sz w:val="13"/>
        </w:rPr>
        <w:t>Jury Service </w:t>
      </w:r>
      <w:r>
        <w:rPr>
          <w:sz w:val="13"/>
        </w:rPr>
        <w:t>in Western Australia </w:t>
      </w:r>
      <w:r>
        <w:rPr>
          <w:spacing w:val="2"/>
          <w:sz w:val="13"/>
        </w:rPr>
        <w:t>1898–1957’ </w:t>
      </w:r>
      <w:r>
        <w:rPr>
          <w:sz w:val="13"/>
        </w:rPr>
        <w:t>(2004) 11(4) </w:t>
      </w:r>
      <w:r>
        <w:rPr>
          <w:i/>
          <w:sz w:val="13"/>
        </w:rPr>
        <w:t>Murdoch University Electronic Journal of Law </w:t>
      </w:r>
      <w:r>
        <w:rPr>
          <w:sz w:val="13"/>
        </w:rPr>
        <w:t>[32] &lt;</w:t>
      </w:r>
      <w:hyperlink r:id="rId86">
        <w:r>
          <w:rPr>
            <w:sz w:val="13"/>
          </w:rPr>
          <w:t>http://www.murdoch.edu.au/elaw/issues/v11n4/walker114_text.html</w:t>
        </w:r>
      </w:hyperlink>
      <w:r>
        <w:rPr>
          <w:sz w:val="13"/>
        </w:rPr>
        <w:t>&gt;. </w:t>
      </w:r>
      <w:r>
        <w:rPr>
          <w:spacing w:val="2"/>
          <w:sz w:val="13"/>
        </w:rPr>
        <w:t>Simmonds also </w:t>
      </w:r>
      <w:r>
        <w:rPr>
          <w:sz w:val="13"/>
        </w:rPr>
        <w:t>discusses the campaign for equal </w:t>
      </w:r>
      <w:r>
        <w:rPr>
          <w:spacing w:val="2"/>
          <w:sz w:val="13"/>
        </w:rPr>
        <w:t>jury </w:t>
      </w:r>
      <w:r>
        <w:rPr>
          <w:sz w:val="13"/>
        </w:rPr>
        <w:t>franchise: Alecia </w:t>
      </w:r>
      <w:r>
        <w:rPr>
          <w:spacing w:val="2"/>
          <w:sz w:val="13"/>
        </w:rPr>
        <w:t>Simmonds, </w:t>
      </w:r>
      <w:r>
        <w:rPr>
          <w:sz w:val="13"/>
        </w:rPr>
        <w:t>‘Friendless in the Courtroom’, </w:t>
      </w:r>
      <w:r>
        <w:rPr>
          <w:i/>
          <w:sz w:val="13"/>
        </w:rPr>
        <w:t>Inside Story </w:t>
      </w:r>
      <w:r>
        <w:rPr>
          <w:sz w:val="13"/>
        </w:rPr>
        <w:t>(Web Page, </w:t>
      </w:r>
      <w:r>
        <w:rPr>
          <w:spacing w:val="3"/>
          <w:sz w:val="13"/>
        </w:rPr>
        <w:t>14 </w:t>
      </w:r>
      <w:r>
        <w:rPr>
          <w:sz w:val="13"/>
        </w:rPr>
        <w:t>May 2021)</w:t>
      </w:r>
      <w:r>
        <w:rPr>
          <w:spacing w:val="3"/>
          <w:sz w:val="13"/>
        </w:rPr>
        <w:t> </w:t>
      </w:r>
      <w:r>
        <w:rPr>
          <w:sz w:val="13"/>
        </w:rPr>
        <w:t>&lt;</w:t>
      </w:r>
      <w:hyperlink r:id="rId79">
        <w:r>
          <w:rPr>
            <w:sz w:val="13"/>
          </w:rPr>
          <w:t>https://insidestory.org.au/friendless-in-the-courtroom/</w:t>
        </w:r>
      </w:hyperlink>
      <w:r>
        <w:rPr>
          <w:sz w:val="13"/>
        </w:rPr>
        <w:t>&gt;.</w:t>
      </w:r>
    </w:p>
    <w:p>
      <w:pPr>
        <w:pStyle w:val="ListParagraph"/>
        <w:numPr>
          <w:ilvl w:val="0"/>
          <w:numId w:val="36"/>
        </w:numPr>
        <w:tabs>
          <w:tab w:pos="1761" w:val="left" w:leader="none"/>
          <w:tab w:pos="1762" w:val="left" w:leader="none"/>
        </w:tabs>
        <w:spacing w:line="213" w:lineRule="auto" w:before="0" w:after="0"/>
        <w:ind w:left="1761" w:right="1332" w:hanging="794"/>
        <w:jc w:val="left"/>
        <w:rPr>
          <w:sz w:val="13"/>
        </w:rPr>
      </w:pPr>
      <w:r>
        <w:rPr>
          <w:sz w:val="13"/>
        </w:rPr>
        <w:t>The Juries </w:t>
      </w:r>
      <w:r>
        <w:rPr>
          <w:spacing w:val="2"/>
          <w:sz w:val="13"/>
        </w:rPr>
        <w:t>Commissioner </w:t>
      </w:r>
      <w:r>
        <w:rPr>
          <w:sz w:val="13"/>
        </w:rPr>
        <w:t>told us that in 2018 and 2019, </w:t>
      </w:r>
      <w:r>
        <w:rPr>
          <w:spacing w:val="2"/>
          <w:sz w:val="13"/>
        </w:rPr>
        <w:t>69.5% </w:t>
      </w:r>
      <w:r>
        <w:rPr>
          <w:sz w:val="13"/>
        </w:rPr>
        <w:t>of peremptory challenges were made against women, compared with 30.5% against </w:t>
      </w:r>
      <w:r>
        <w:rPr>
          <w:spacing w:val="2"/>
          <w:sz w:val="13"/>
        </w:rPr>
        <w:t>men, </w:t>
      </w:r>
      <w:r>
        <w:rPr>
          <w:sz w:val="13"/>
        </w:rPr>
        <w:t>and juries were made up of 46.6% women and </w:t>
      </w:r>
      <w:r>
        <w:rPr>
          <w:spacing w:val="3"/>
          <w:sz w:val="13"/>
        </w:rPr>
        <w:t>53.4% </w:t>
      </w:r>
      <w:r>
        <w:rPr>
          <w:sz w:val="13"/>
        </w:rPr>
        <w:t>men: Information provided by Juries Victoria to Victorian Law Reform </w:t>
      </w:r>
      <w:r>
        <w:rPr>
          <w:spacing w:val="2"/>
          <w:sz w:val="13"/>
        </w:rPr>
        <w:t>Commission, </w:t>
      </w:r>
      <w:r>
        <w:rPr>
          <w:sz w:val="13"/>
        </w:rPr>
        <w:t>8 September 2021. See </w:t>
      </w:r>
      <w:r>
        <w:rPr>
          <w:spacing w:val="2"/>
          <w:sz w:val="13"/>
        </w:rPr>
        <w:t>also </w:t>
      </w:r>
      <w:r>
        <w:rPr>
          <w:sz w:val="13"/>
        </w:rPr>
        <w:t>Alecia </w:t>
      </w:r>
      <w:r>
        <w:rPr>
          <w:spacing w:val="2"/>
          <w:sz w:val="13"/>
        </w:rPr>
        <w:t>Simmonds, </w:t>
      </w:r>
      <w:r>
        <w:rPr>
          <w:sz w:val="13"/>
        </w:rPr>
        <w:t>‘Friendless in the Courtroom’, </w:t>
      </w:r>
      <w:r>
        <w:rPr>
          <w:i/>
          <w:sz w:val="13"/>
        </w:rPr>
        <w:t>Inside Story  </w:t>
      </w:r>
      <w:r>
        <w:rPr>
          <w:sz w:val="13"/>
        </w:rPr>
        <w:t>(Web Page, </w:t>
      </w:r>
      <w:r>
        <w:rPr>
          <w:spacing w:val="3"/>
          <w:sz w:val="13"/>
        </w:rPr>
        <w:t>14 </w:t>
      </w:r>
      <w:r>
        <w:rPr>
          <w:sz w:val="13"/>
        </w:rPr>
        <w:t>May 2021) &lt;</w:t>
      </w:r>
      <w:hyperlink r:id="rId79">
        <w:r>
          <w:rPr>
            <w:sz w:val="13"/>
          </w:rPr>
          <w:t>https://insidestory.org.au/friendless-in-the-courtroom/</w:t>
        </w:r>
      </w:hyperlink>
      <w:r>
        <w:rPr>
          <w:sz w:val="13"/>
        </w:rPr>
        <w:t>&gt;. (See Chapter</w:t>
      </w:r>
      <w:r>
        <w:rPr>
          <w:spacing w:val="14"/>
          <w:sz w:val="13"/>
        </w:rPr>
        <w:t> </w:t>
      </w:r>
      <w:r>
        <w:rPr>
          <w:sz w:val="13"/>
        </w:rPr>
        <w:t>17).</w:t>
      </w:r>
    </w:p>
    <w:p>
      <w:pPr>
        <w:pStyle w:val="ListParagraph"/>
        <w:numPr>
          <w:ilvl w:val="0"/>
          <w:numId w:val="36"/>
        </w:numPr>
        <w:tabs>
          <w:tab w:pos="1760" w:val="left" w:leader="none"/>
          <w:tab w:pos="1762" w:val="left" w:leader="none"/>
        </w:tabs>
        <w:spacing w:line="213" w:lineRule="auto" w:before="0" w:after="0"/>
        <w:ind w:left="1761" w:right="1512" w:hanging="794"/>
        <w:jc w:val="left"/>
        <w:rPr>
          <w:sz w:val="13"/>
        </w:rPr>
      </w:pPr>
      <w:r>
        <w:rPr/>
        <w:pict>
          <v:shape style="position:absolute;margin-left:36pt;margin-top:3.391691pt;width:14.2pt;height:14.1pt;mso-position-horizontal-relative:page;mso-position-vertical-relative:paragraph;z-index:4288" type="#_x0000_t202" filled="false" stroked="false">
            <v:textbox inset="0,0,0,0">
              <w:txbxContent>
                <w:p>
                  <w:pPr>
                    <w:spacing w:line="282" w:lineRule="exact" w:before="0"/>
                    <w:ind w:left="0" w:right="0" w:firstLine="0"/>
                    <w:jc w:val="left"/>
                    <w:rPr>
                      <w:b/>
                      <w:sz w:val="24"/>
                    </w:rPr>
                  </w:pPr>
                  <w:r>
                    <w:rPr>
                      <w:b/>
                      <w:color w:val="37617A"/>
                      <w:sz w:val="24"/>
                    </w:rPr>
                    <w:t>36</w:t>
                  </w:r>
                </w:p>
              </w:txbxContent>
            </v:textbox>
            <w10:wrap type="none"/>
          </v:shape>
        </w:pict>
      </w:r>
      <w:r>
        <w:rPr>
          <w:sz w:val="13"/>
        </w:rPr>
        <w:t>Andrew </w:t>
      </w:r>
      <w:r>
        <w:rPr>
          <w:spacing w:val="-5"/>
          <w:sz w:val="13"/>
        </w:rPr>
        <w:t>LT </w:t>
      </w:r>
      <w:r>
        <w:rPr>
          <w:sz w:val="13"/>
        </w:rPr>
        <w:t>Choo and Jill Hunter, </w:t>
      </w:r>
      <w:r>
        <w:rPr>
          <w:spacing w:val="2"/>
          <w:sz w:val="13"/>
        </w:rPr>
        <w:t>‘Gender </w:t>
      </w:r>
      <w:r>
        <w:rPr>
          <w:sz w:val="13"/>
        </w:rPr>
        <w:t>Discrimination and Juries in the 20th </w:t>
      </w:r>
      <w:r>
        <w:rPr>
          <w:spacing w:val="2"/>
          <w:sz w:val="13"/>
        </w:rPr>
        <w:t>Century: </w:t>
      </w:r>
      <w:r>
        <w:rPr>
          <w:sz w:val="13"/>
        </w:rPr>
        <w:t>Judging Women Judging Men’ (2018) </w:t>
      </w:r>
      <w:r>
        <w:rPr>
          <w:spacing w:val="2"/>
          <w:sz w:val="13"/>
        </w:rPr>
        <w:t>22(3) </w:t>
      </w:r>
      <w:r>
        <w:rPr>
          <w:i/>
          <w:sz w:val="13"/>
        </w:rPr>
        <w:t>The International Journal of Evidence &amp; Proof </w:t>
      </w:r>
      <w:r>
        <w:rPr>
          <w:sz w:val="13"/>
        </w:rPr>
        <w:t>192, 193–198.</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spacing w:before="41"/>
        <w:ind w:left="967" w:right="0" w:firstLine="0"/>
        <w:jc w:val="left"/>
        <w:rPr>
          <w:rFonts w:ascii="Raleway ExtraBold"/>
          <w:b/>
          <w:sz w:val="28"/>
        </w:rPr>
      </w:pPr>
      <w:bookmarkStart w:name="The exclusion of people in the subject g" w:id="85"/>
      <w:bookmarkEnd w:id="85"/>
      <w:r>
        <w:rPr/>
      </w:r>
      <w:bookmarkStart w:name="Community responses: support for reform" w:id="86"/>
      <w:bookmarkEnd w:id="86"/>
      <w:r>
        <w:rPr/>
      </w:r>
      <w:bookmarkStart w:name="_bookmark34" w:id="87"/>
      <w:bookmarkEnd w:id="87"/>
      <w:r>
        <w:rPr/>
      </w:r>
      <w:r>
        <w:rPr>
          <w:rFonts w:ascii="Raleway ExtraBold"/>
          <w:b/>
          <w:color w:val="37617A"/>
          <w:sz w:val="28"/>
        </w:rPr>
        <w:t>The exclusion of people in the subject groups</w:t>
      </w:r>
    </w:p>
    <w:p>
      <w:pPr>
        <w:pStyle w:val="ListParagraph"/>
        <w:numPr>
          <w:ilvl w:val="1"/>
          <w:numId w:val="12"/>
        </w:numPr>
        <w:tabs>
          <w:tab w:pos="1761" w:val="left" w:leader="none"/>
          <w:tab w:pos="1762" w:val="left" w:leader="none"/>
        </w:tabs>
        <w:spacing w:line="206" w:lineRule="auto" w:before="146" w:after="0"/>
        <w:ind w:left="1761" w:right="1716" w:hanging="794"/>
        <w:jc w:val="left"/>
        <w:rPr>
          <w:sz w:val="20"/>
        </w:rPr>
      </w:pPr>
      <w:r>
        <w:rPr>
          <w:spacing w:val="-3"/>
          <w:sz w:val="20"/>
        </w:rPr>
        <w:t>Early</w:t>
      </w:r>
      <w:r>
        <w:rPr>
          <w:spacing w:val="-8"/>
          <w:sz w:val="20"/>
        </w:rPr>
        <w:t> </w:t>
      </w:r>
      <w:r>
        <w:rPr>
          <w:sz w:val="20"/>
        </w:rPr>
        <w:t>Christian</w:t>
      </w:r>
      <w:r>
        <w:rPr>
          <w:spacing w:val="-8"/>
          <w:sz w:val="20"/>
        </w:rPr>
        <w:t> </w:t>
      </w:r>
      <w:r>
        <w:rPr>
          <w:sz w:val="20"/>
        </w:rPr>
        <w:t>canon</w:t>
      </w:r>
      <w:r>
        <w:rPr>
          <w:spacing w:val="-8"/>
          <w:sz w:val="20"/>
        </w:rPr>
        <w:t> </w:t>
      </w:r>
      <w:r>
        <w:rPr>
          <w:sz w:val="20"/>
        </w:rPr>
        <w:t>law</w:t>
      </w:r>
      <w:r>
        <w:rPr>
          <w:spacing w:val="-7"/>
          <w:sz w:val="20"/>
        </w:rPr>
        <w:t> </w:t>
      </w:r>
      <w:r>
        <w:rPr>
          <w:spacing w:val="-3"/>
          <w:sz w:val="20"/>
        </w:rPr>
        <w:t>excluded</w:t>
      </w:r>
      <w:r>
        <w:rPr>
          <w:spacing w:val="-8"/>
          <w:sz w:val="20"/>
        </w:rPr>
        <w:t> </w:t>
      </w:r>
      <w:r>
        <w:rPr>
          <w:sz w:val="20"/>
        </w:rPr>
        <w:t>witness</w:t>
      </w:r>
      <w:r>
        <w:rPr>
          <w:spacing w:val="-8"/>
          <w:sz w:val="20"/>
        </w:rPr>
        <w:t> </w:t>
      </w:r>
      <w:r>
        <w:rPr>
          <w:spacing w:val="-2"/>
          <w:sz w:val="20"/>
        </w:rPr>
        <w:t>testimony</w:t>
      </w:r>
      <w:r>
        <w:rPr>
          <w:spacing w:val="-7"/>
          <w:sz w:val="20"/>
        </w:rPr>
        <w:t> </w:t>
      </w:r>
      <w:r>
        <w:rPr>
          <w:spacing w:val="-3"/>
          <w:sz w:val="20"/>
        </w:rPr>
        <w:t>from</w:t>
      </w:r>
      <w:r>
        <w:rPr>
          <w:spacing w:val="-8"/>
          <w:sz w:val="20"/>
        </w:rPr>
        <w:t> </w:t>
      </w:r>
      <w:r>
        <w:rPr>
          <w:sz w:val="20"/>
        </w:rPr>
        <w:t>‘blind,</w:t>
      </w:r>
      <w:r>
        <w:rPr>
          <w:spacing w:val="-8"/>
          <w:sz w:val="20"/>
        </w:rPr>
        <w:t> </w:t>
      </w:r>
      <w:r>
        <w:rPr>
          <w:sz w:val="20"/>
        </w:rPr>
        <w:t>deaf</w:t>
      </w:r>
      <w:r>
        <w:rPr>
          <w:spacing w:val="-7"/>
          <w:sz w:val="20"/>
        </w:rPr>
        <w:t> </w:t>
      </w:r>
      <w:r>
        <w:rPr>
          <w:sz w:val="20"/>
        </w:rPr>
        <w:t>and</w:t>
      </w:r>
      <w:r>
        <w:rPr>
          <w:spacing w:val="-8"/>
          <w:sz w:val="20"/>
        </w:rPr>
        <w:t> </w:t>
      </w:r>
      <w:r>
        <w:rPr>
          <w:sz w:val="20"/>
        </w:rPr>
        <w:t>dumb’ people.</w:t>
      </w:r>
      <w:r>
        <w:rPr>
          <w:position w:val="7"/>
          <w:sz w:val="11"/>
        </w:rPr>
        <w:t>61 </w:t>
      </w:r>
      <w:r>
        <w:rPr>
          <w:sz w:val="20"/>
        </w:rPr>
        <w:t>This found its </w:t>
      </w:r>
      <w:r>
        <w:rPr>
          <w:spacing w:val="-4"/>
          <w:sz w:val="20"/>
        </w:rPr>
        <w:t>way </w:t>
      </w:r>
      <w:r>
        <w:rPr>
          <w:spacing w:val="-3"/>
          <w:sz w:val="20"/>
        </w:rPr>
        <w:t>into </w:t>
      </w:r>
      <w:r>
        <w:rPr>
          <w:sz w:val="20"/>
        </w:rPr>
        <w:t>English law and was applied to automatically </w:t>
      </w:r>
      <w:r>
        <w:rPr>
          <w:spacing w:val="-3"/>
          <w:sz w:val="20"/>
        </w:rPr>
        <w:t>exclude</w:t>
      </w:r>
      <w:r>
        <w:rPr>
          <w:spacing w:val="-9"/>
          <w:sz w:val="20"/>
        </w:rPr>
        <w:t> </w:t>
      </w:r>
      <w:r>
        <w:rPr>
          <w:sz w:val="20"/>
        </w:rPr>
        <w:t>jurors</w:t>
      </w:r>
      <w:r>
        <w:rPr>
          <w:spacing w:val="-9"/>
          <w:sz w:val="20"/>
        </w:rPr>
        <w:t> </w:t>
      </w:r>
      <w:r>
        <w:rPr>
          <w:sz w:val="20"/>
        </w:rPr>
        <w:t>with</w:t>
      </w:r>
      <w:r>
        <w:rPr>
          <w:spacing w:val="-9"/>
          <w:sz w:val="20"/>
        </w:rPr>
        <w:t> </w:t>
      </w:r>
      <w:r>
        <w:rPr>
          <w:sz w:val="20"/>
        </w:rPr>
        <w:t>those</w:t>
      </w:r>
      <w:r>
        <w:rPr>
          <w:spacing w:val="-9"/>
          <w:sz w:val="20"/>
        </w:rPr>
        <w:t> </w:t>
      </w:r>
      <w:r>
        <w:rPr>
          <w:sz w:val="20"/>
        </w:rPr>
        <w:t>disabilities.</w:t>
      </w:r>
      <w:r>
        <w:rPr>
          <w:position w:val="7"/>
          <w:sz w:val="11"/>
        </w:rPr>
        <w:t>62</w:t>
      </w:r>
      <w:r>
        <w:rPr>
          <w:spacing w:val="16"/>
          <w:position w:val="7"/>
          <w:sz w:val="11"/>
        </w:rPr>
        <w:t> </w:t>
      </w:r>
      <w:r>
        <w:rPr>
          <w:sz w:val="20"/>
        </w:rPr>
        <w:t>Budworth</w:t>
      </w:r>
      <w:r>
        <w:rPr>
          <w:spacing w:val="-9"/>
          <w:sz w:val="20"/>
        </w:rPr>
        <w:t> </w:t>
      </w:r>
      <w:r>
        <w:rPr>
          <w:sz w:val="20"/>
        </w:rPr>
        <w:t>et</w:t>
      </w:r>
      <w:r>
        <w:rPr>
          <w:spacing w:val="-9"/>
          <w:sz w:val="20"/>
        </w:rPr>
        <w:t> </w:t>
      </w:r>
      <w:r>
        <w:rPr>
          <w:sz w:val="20"/>
        </w:rPr>
        <w:t>al</w:t>
      </w:r>
      <w:r>
        <w:rPr>
          <w:spacing w:val="-8"/>
          <w:sz w:val="20"/>
        </w:rPr>
        <w:t> </w:t>
      </w:r>
      <w:r>
        <w:rPr>
          <w:sz w:val="20"/>
        </w:rPr>
        <w:t>observe</w:t>
      </w:r>
      <w:r>
        <w:rPr>
          <w:spacing w:val="-9"/>
          <w:sz w:val="20"/>
        </w:rPr>
        <w:t> </w:t>
      </w:r>
      <w:r>
        <w:rPr>
          <w:sz w:val="20"/>
        </w:rPr>
        <w:t>that</w:t>
      </w:r>
      <w:r>
        <w:rPr>
          <w:spacing w:val="-9"/>
          <w:sz w:val="20"/>
        </w:rPr>
        <w:t> </w:t>
      </w:r>
      <w:r>
        <w:rPr>
          <w:spacing w:val="-3"/>
          <w:sz w:val="20"/>
        </w:rPr>
        <w:t>‘as</w:t>
      </w:r>
      <w:r>
        <w:rPr>
          <w:spacing w:val="-9"/>
          <w:sz w:val="20"/>
        </w:rPr>
        <w:t> </w:t>
      </w:r>
      <w:r>
        <w:rPr>
          <w:sz w:val="20"/>
        </w:rPr>
        <w:t>with</w:t>
      </w:r>
      <w:r>
        <w:rPr>
          <w:spacing w:val="-9"/>
          <w:sz w:val="20"/>
        </w:rPr>
        <w:t> </w:t>
      </w:r>
      <w:r>
        <w:rPr>
          <w:sz w:val="20"/>
        </w:rPr>
        <w:t>other</w:t>
      </w:r>
    </w:p>
    <w:p>
      <w:pPr>
        <w:pStyle w:val="BodyText"/>
        <w:spacing w:line="206" w:lineRule="auto" w:before="3"/>
        <w:ind w:left="1761" w:right="1182"/>
        <w:rPr>
          <w:sz w:val="11"/>
        </w:rPr>
      </w:pPr>
      <w:r>
        <w:rPr>
          <w:spacing w:val="-3"/>
        </w:rPr>
        <w:t>exclusions from </w:t>
      </w:r>
      <w:r>
        <w:rPr/>
        <w:t>full citizenship … this is a historical </w:t>
      </w:r>
      <w:r>
        <w:rPr>
          <w:spacing w:val="-3"/>
        </w:rPr>
        <w:t>contingency, </w:t>
      </w:r>
      <w:r>
        <w:rPr/>
        <w:t>rather than the </w:t>
      </w:r>
      <w:r>
        <w:rPr>
          <w:spacing w:val="-3"/>
        </w:rPr>
        <w:t>result </w:t>
      </w:r>
      <w:r>
        <w:rPr/>
        <w:t>of reasonableness or </w:t>
      </w:r>
      <w:r>
        <w:rPr>
          <w:spacing w:val="-4"/>
        </w:rPr>
        <w:t>logic’.</w:t>
      </w:r>
      <w:r>
        <w:rPr>
          <w:spacing w:val="-4"/>
          <w:position w:val="7"/>
          <w:sz w:val="11"/>
        </w:rPr>
        <w:t>63</w:t>
      </w:r>
    </w:p>
    <w:p>
      <w:pPr>
        <w:pStyle w:val="ListParagraph"/>
        <w:numPr>
          <w:ilvl w:val="1"/>
          <w:numId w:val="12"/>
        </w:numPr>
        <w:tabs>
          <w:tab w:pos="1761" w:val="left" w:leader="none"/>
          <w:tab w:pos="1762" w:val="left" w:leader="none"/>
        </w:tabs>
        <w:spacing w:line="206" w:lineRule="auto" w:before="123" w:after="0"/>
        <w:ind w:left="1761" w:right="1362" w:hanging="794"/>
        <w:jc w:val="left"/>
        <w:rPr>
          <w:sz w:val="20"/>
        </w:rPr>
      </w:pPr>
      <w:r>
        <w:rPr>
          <w:spacing w:val="-4"/>
          <w:sz w:val="20"/>
        </w:rPr>
        <w:t>From</w:t>
      </w:r>
      <w:r>
        <w:rPr>
          <w:spacing w:val="-7"/>
          <w:sz w:val="20"/>
        </w:rPr>
        <w:t> </w:t>
      </w:r>
      <w:r>
        <w:rPr>
          <w:sz w:val="20"/>
        </w:rPr>
        <w:t>1847</w:t>
      </w:r>
      <w:r>
        <w:rPr>
          <w:position w:val="7"/>
          <w:sz w:val="11"/>
        </w:rPr>
        <w:t>64</w:t>
      </w:r>
      <w:r>
        <w:rPr>
          <w:spacing w:val="18"/>
          <w:position w:val="7"/>
          <w:sz w:val="11"/>
        </w:rPr>
        <w:t> </w:t>
      </w:r>
      <w:r>
        <w:rPr>
          <w:spacing w:val="-3"/>
          <w:sz w:val="20"/>
        </w:rPr>
        <w:t>any</w:t>
      </w:r>
      <w:r>
        <w:rPr>
          <w:spacing w:val="-7"/>
          <w:sz w:val="20"/>
        </w:rPr>
        <w:t> </w:t>
      </w:r>
      <w:r>
        <w:rPr>
          <w:sz w:val="20"/>
        </w:rPr>
        <w:t>‘person</w:t>
      </w:r>
      <w:r>
        <w:rPr>
          <w:spacing w:val="-7"/>
          <w:sz w:val="20"/>
        </w:rPr>
        <w:t> </w:t>
      </w:r>
      <w:r>
        <w:rPr>
          <w:sz w:val="20"/>
        </w:rPr>
        <w:t>who</w:t>
      </w:r>
      <w:r>
        <w:rPr>
          <w:spacing w:val="-7"/>
          <w:sz w:val="20"/>
        </w:rPr>
        <w:t> </w:t>
      </w:r>
      <w:r>
        <w:rPr>
          <w:sz w:val="20"/>
        </w:rPr>
        <w:t>is</w:t>
      </w:r>
      <w:r>
        <w:rPr>
          <w:spacing w:val="-6"/>
          <w:sz w:val="20"/>
        </w:rPr>
        <w:t> </w:t>
      </w:r>
      <w:r>
        <w:rPr>
          <w:sz w:val="20"/>
        </w:rPr>
        <w:t>unable</w:t>
      </w:r>
      <w:r>
        <w:rPr>
          <w:spacing w:val="-7"/>
          <w:sz w:val="20"/>
        </w:rPr>
        <w:t> </w:t>
      </w:r>
      <w:r>
        <w:rPr>
          <w:spacing w:val="-3"/>
          <w:sz w:val="20"/>
        </w:rPr>
        <w:t>adequately</w:t>
      </w:r>
      <w:r>
        <w:rPr>
          <w:spacing w:val="-7"/>
          <w:sz w:val="20"/>
        </w:rPr>
        <w:t> </w:t>
      </w:r>
      <w:r>
        <w:rPr>
          <w:sz w:val="20"/>
        </w:rPr>
        <w:t>to</w:t>
      </w:r>
      <w:r>
        <w:rPr>
          <w:spacing w:val="-7"/>
          <w:sz w:val="20"/>
        </w:rPr>
        <w:t> </w:t>
      </w:r>
      <w:r>
        <w:rPr>
          <w:sz w:val="20"/>
        </w:rPr>
        <w:t>see,</w:t>
      </w:r>
      <w:r>
        <w:rPr>
          <w:spacing w:val="-7"/>
          <w:sz w:val="20"/>
        </w:rPr>
        <w:t> </w:t>
      </w:r>
      <w:r>
        <w:rPr>
          <w:sz w:val="20"/>
        </w:rPr>
        <w:t>hear</w:t>
      </w:r>
      <w:r>
        <w:rPr>
          <w:spacing w:val="-6"/>
          <w:sz w:val="20"/>
        </w:rPr>
        <w:t> </w:t>
      </w:r>
      <w:r>
        <w:rPr>
          <w:sz w:val="20"/>
        </w:rPr>
        <w:t>or</w:t>
      </w:r>
      <w:r>
        <w:rPr>
          <w:spacing w:val="-7"/>
          <w:sz w:val="20"/>
        </w:rPr>
        <w:t> </w:t>
      </w:r>
      <w:r>
        <w:rPr>
          <w:sz w:val="20"/>
        </w:rPr>
        <w:t>speak’</w:t>
      </w:r>
      <w:r>
        <w:rPr>
          <w:spacing w:val="-7"/>
          <w:sz w:val="20"/>
        </w:rPr>
        <w:t> </w:t>
      </w:r>
      <w:r>
        <w:rPr>
          <w:sz w:val="20"/>
        </w:rPr>
        <w:t>was</w:t>
      </w:r>
      <w:r>
        <w:rPr>
          <w:spacing w:val="-7"/>
          <w:sz w:val="20"/>
        </w:rPr>
        <w:t> </w:t>
      </w:r>
      <w:r>
        <w:rPr>
          <w:sz w:val="20"/>
        </w:rPr>
        <w:t>deemed ineligible to serve as a juror in Victoria.</w:t>
      </w:r>
      <w:r>
        <w:rPr>
          <w:position w:val="7"/>
          <w:sz w:val="11"/>
        </w:rPr>
        <w:t>65 </w:t>
      </w:r>
      <w:r>
        <w:rPr>
          <w:sz w:val="20"/>
        </w:rPr>
        <w:t>It was not until 2000 that this </w:t>
      </w:r>
      <w:r>
        <w:rPr>
          <w:spacing w:val="-3"/>
          <w:sz w:val="20"/>
        </w:rPr>
        <w:t>wording </w:t>
      </w:r>
      <w:r>
        <w:rPr>
          <w:sz w:val="20"/>
        </w:rPr>
        <w:t>was </w:t>
      </w:r>
      <w:r>
        <w:rPr>
          <w:spacing w:val="-3"/>
          <w:sz w:val="20"/>
        </w:rPr>
        <w:t>removed, </w:t>
      </w:r>
      <w:r>
        <w:rPr>
          <w:sz w:val="20"/>
        </w:rPr>
        <w:t>when the </w:t>
      </w:r>
      <w:r>
        <w:rPr>
          <w:i/>
          <w:sz w:val="20"/>
        </w:rPr>
        <w:t>Juries Act 2000 </w:t>
      </w:r>
      <w:r>
        <w:rPr>
          <w:sz w:val="20"/>
        </w:rPr>
        <w:t>(Vic) repealed the </w:t>
      </w:r>
      <w:r>
        <w:rPr>
          <w:i/>
          <w:sz w:val="20"/>
        </w:rPr>
        <w:t>Juries Act 1967 </w:t>
      </w:r>
      <w:r>
        <w:rPr>
          <w:sz w:val="20"/>
        </w:rPr>
        <w:t>(Vic). Changes </w:t>
      </w:r>
      <w:r>
        <w:rPr>
          <w:spacing w:val="-4"/>
          <w:sz w:val="20"/>
        </w:rPr>
        <w:t>were </w:t>
      </w:r>
      <w:r>
        <w:rPr>
          <w:sz w:val="20"/>
        </w:rPr>
        <w:t>made </w:t>
      </w:r>
      <w:r>
        <w:rPr>
          <w:spacing w:val="-3"/>
          <w:sz w:val="20"/>
        </w:rPr>
        <w:t>following </w:t>
      </w:r>
      <w:r>
        <w:rPr>
          <w:sz w:val="20"/>
        </w:rPr>
        <w:t>the </w:t>
      </w:r>
      <w:r>
        <w:rPr>
          <w:spacing w:val="-4"/>
          <w:sz w:val="20"/>
        </w:rPr>
        <w:t>review </w:t>
      </w:r>
      <w:r>
        <w:rPr>
          <w:sz w:val="20"/>
        </w:rPr>
        <w:t>and recommendations of the Parliamentary Law Reform Committee report, which noted</w:t>
      </w:r>
      <w:r>
        <w:rPr>
          <w:spacing w:val="-24"/>
          <w:sz w:val="20"/>
        </w:rPr>
        <w:t> </w:t>
      </w:r>
      <w:r>
        <w:rPr>
          <w:sz w:val="20"/>
        </w:rPr>
        <w:t>that:</w:t>
      </w:r>
    </w:p>
    <w:p>
      <w:pPr>
        <w:spacing w:line="208" w:lineRule="auto" w:before="124"/>
        <w:ind w:left="2157" w:right="1219" w:firstLine="0"/>
        <w:jc w:val="left"/>
        <w:rPr>
          <w:sz w:val="11"/>
        </w:rPr>
      </w:pPr>
      <w:r>
        <w:rPr>
          <w:sz w:val="19"/>
        </w:rPr>
        <w:t>There is a need to recognise that the ability of persons with certain disabilities to carry out the functions of a juror may be affected by the availability of facilities and support. For example, in relation to deaf persons it has been suggested that they could serve on juries if they were provided with the appropriate support, such as a sign language interpreter, or through the use of recent technological advances … Similar comments have been made in relation to people with a sight impairment …</w:t>
      </w:r>
      <w:r>
        <w:rPr>
          <w:position w:val="6"/>
          <w:sz w:val="11"/>
        </w:rPr>
        <w:t>66</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z w:val="20"/>
        </w:rPr>
        <w:t>The Committee concluded</w:t>
      </w:r>
      <w:r>
        <w:rPr>
          <w:spacing w:val="-13"/>
          <w:sz w:val="20"/>
        </w:rPr>
        <w:t> </w:t>
      </w:r>
      <w:r>
        <w:rPr>
          <w:sz w:val="20"/>
        </w:rPr>
        <w:t>that:</w:t>
      </w:r>
    </w:p>
    <w:p>
      <w:pPr>
        <w:spacing w:line="208" w:lineRule="auto" w:before="113"/>
        <w:ind w:left="2157" w:right="1175" w:firstLine="0"/>
        <w:jc w:val="left"/>
        <w:rPr>
          <w:sz w:val="11"/>
        </w:rPr>
      </w:pPr>
      <w:r>
        <w:rPr>
          <w:sz w:val="19"/>
        </w:rPr>
        <w:t>persons should only be ineligible for jury service if their physical, intellectual or mental disability or disorder makes them incapable of effectively performing the functions of a juror.</w:t>
      </w:r>
      <w:r>
        <w:rPr>
          <w:position w:val="6"/>
          <w:sz w:val="11"/>
        </w:rPr>
        <w:t>67</w:t>
      </w:r>
    </w:p>
    <w:p>
      <w:pPr>
        <w:pStyle w:val="ListParagraph"/>
        <w:numPr>
          <w:ilvl w:val="1"/>
          <w:numId w:val="12"/>
        </w:numPr>
        <w:tabs>
          <w:tab w:pos="1761" w:val="left" w:leader="none"/>
          <w:tab w:pos="1762" w:val="left" w:leader="none"/>
        </w:tabs>
        <w:spacing w:line="206" w:lineRule="auto" w:before="124" w:after="0"/>
        <w:ind w:left="1761" w:right="1515" w:hanging="794"/>
        <w:jc w:val="left"/>
        <w:rPr>
          <w:sz w:val="20"/>
        </w:rPr>
      </w:pPr>
      <w:r>
        <w:rPr>
          <w:sz w:val="20"/>
        </w:rPr>
        <w:t>Despite these </w:t>
      </w:r>
      <w:r>
        <w:rPr>
          <w:spacing w:val="-3"/>
          <w:sz w:val="20"/>
        </w:rPr>
        <w:t>reforms </w:t>
      </w:r>
      <w:r>
        <w:rPr>
          <w:sz w:val="20"/>
        </w:rPr>
        <w:t>in 2000 and the policy underpinning them, reasonable adjustments</w:t>
      </w:r>
      <w:r>
        <w:rPr>
          <w:spacing w:val="-10"/>
          <w:sz w:val="20"/>
        </w:rPr>
        <w:t> </w:t>
      </w:r>
      <w:r>
        <w:rPr>
          <w:spacing w:val="-3"/>
          <w:sz w:val="20"/>
        </w:rPr>
        <w:t>are</w:t>
      </w:r>
      <w:r>
        <w:rPr>
          <w:spacing w:val="-10"/>
          <w:sz w:val="20"/>
        </w:rPr>
        <w:t> </w:t>
      </w:r>
      <w:r>
        <w:rPr>
          <w:sz w:val="20"/>
        </w:rPr>
        <w:t>still</w:t>
      </w:r>
      <w:r>
        <w:rPr>
          <w:spacing w:val="-10"/>
          <w:sz w:val="20"/>
        </w:rPr>
        <w:t> </w:t>
      </w:r>
      <w:r>
        <w:rPr>
          <w:sz w:val="20"/>
        </w:rPr>
        <w:t>not</w:t>
      </w:r>
      <w:r>
        <w:rPr>
          <w:spacing w:val="-9"/>
          <w:sz w:val="20"/>
        </w:rPr>
        <w:t> </w:t>
      </w:r>
      <w:r>
        <w:rPr>
          <w:spacing w:val="-3"/>
          <w:sz w:val="20"/>
        </w:rPr>
        <w:t>provided</w:t>
      </w:r>
      <w:r>
        <w:rPr>
          <w:spacing w:val="-10"/>
          <w:sz w:val="20"/>
        </w:rPr>
        <w:t> </w:t>
      </w:r>
      <w:r>
        <w:rPr>
          <w:sz w:val="20"/>
        </w:rPr>
        <w:t>to</w:t>
      </w:r>
      <w:r>
        <w:rPr>
          <w:spacing w:val="-10"/>
          <w:sz w:val="20"/>
        </w:rPr>
        <w:t> </w:t>
      </w:r>
      <w:r>
        <w:rPr>
          <w:sz w:val="20"/>
        </w:rPr>
        <w:t>enable</w:t>
      </w:r>
      <w:r>
        <w:rPr>
          <w:spacing w:val="-9"/>
          <w:sz w:val="20"/>
        </w:rPr>
        <w:t> </w:t>
      </w:r>
      <w:r>
        <w:rPr>
          <w:sz w:val="20"/>
        </w:rPr>
        <w:t>people</w:t>
      </w:r>
      <w:r>
        <w:rPr>
          <w:spacing w:val="-10"/>
          <w:sz w:val="20"/>
        </w:rPr>
        <w:t> </w:t>
      </w:r>
      <w:r>
        <w:rPr>
          <w:sz w:val="20"/>
        </w:rPr>
        <w:t>in</w:t>
      </w:r>
      <w:r>
        <w:rPr>
          <w:spacing w:val="-10"/>
          <w:sz w:val="20"/>
        </w:rPr>
        <w:t> </w:t>
      </w:r>
      <w:r>
        <w:rPr>
          <w:sz w:val="20"/>
        </w:rPr>
        <w:t>the</w:t>
      </w:r>
      <w:r>
        <w:rPr>
          <w:spacing w:val="-10"/>
          <w:sz w:val="20"/>
        </w:rPr>
        <w:t> </w:t>
      </w:r>
      <w:r>
        <w:rPr>
          <w:sz w:val="20"/>
        </w:rPr>
        <w:t>subject</w:t>
      </w:r>
      <w:r>
        <w:rPr>
          <w:spacing w:val="-9"/>
          <w:sz w:val="20"/>
        </w:rPr>
        <w:t> </w:t>
      </w:r>
      <w:r>
        <w:rPr>
          <w:sz w:val="20"/>
        </w:rPr>
        <w:t>groups</w:t>
      </w:r>
      <w:r>
        <w:rPr>
          <w:spacing w:val="-10"/>
          <w:sz w:val="20"/>
        </w:rPr>
        <w:t> </w:t>
      </w:r>
      <w:r>
        <w:rPr>
          <w:sz w:val="20"/>
        </w:rPr>
        <w:t>to</w:t>
      </w:r>
      <w:r>
        <w:rPr>
          <w:spacing w:val="-10"/>
          <w:sz w:val="20"/>
        </w:rPr>
        <w:t> </w:t>
      </w:r>
      <w:r>
        <w:rPr>
          <w:sz w:val="20"/>
        </w:rPr>
        <w:t>serve</w:t>
      </w:r>
      <w:r>
        <w:rPr>
          <w:spacing w:val="-9"/>
          <w:sz w:val="20"/>
        </w:rPr>
        <w:t> </w:t>
      </w:r>
      <w:r>
        <w:rPr>
          <w:sz w:val="20"/>
        </w:rPr>
        <w:t>as jurors,</w:t>
      </w:r>
      <w:r>
        <w:rPr>
          <w:spacing w:val="-9"/>
          <w:sz w:val="20"/>
        </w:rPr>
        <w:t> </w:t>
      </w:r>
      <w:r>
        <w:rPr>
          <w:sz w:val="20"/>
        </w:rPr>
        <w:t>and</w:t>
      </w:r>
      <w:r>
        <w:rPr>
          <w:spacing w:val="-8"/>
          <w:sz w:val="20"/>
        </w:rPr>
        <w:t> </w:t>
      </w:r>
      <w:r>
        <w:rPr>
          <w:sz w:val="20"/>
        </w:rPr>
        <w:t>legislation</w:t>
      </w:r>
      <w:r>
        <w:rPr>
          <w:spacing w:val="-9"/>
          <w:sz w:val="20"/>
        </w:rPr>
        <w:t> </w:t>
      </w:r>
      <w:r>
        <w:rPr>
          <w:sz w:val="20"/>
        </w:rPr>
        <w:t>has</w:t>
      </w:r>
      <w:r>
        <w:rPr>
          <w:spacing w:val="-8"/>
          <w:sz w:val="20"/>
        </w:rPr>
        <w:t> </w:t>
      </w:r>
      <w:r>
        <w:rPr>
          <w:sz w:val="20"/>
        </w:rPr>
        <w:t>not</w:t>
      </w:r>
      <w:r>
        <w:rPr>
          <w:spacing w:val="-8"/>
          <w:sz w:val="20"/>
        </w:rPr>
        <w:t> </w:t>
      </w:r>
      <w:r>
        <w:rPr>
          <w:sz w:val="20"/>
        </w:rPr>
        <w:t>been</w:t>
      </w:r>
      <w:r>
        <w:rPr>
          <w:spacing w:val="-9"/>
          <w:sz w:val="20"/>
        </w:rPr>
        <w:t> </w:t>
      </w:r>
      <w:r>
        <w:rPr>
          <w:sz w:val="20"/>
        </w:rPr>
        <w:t>introduced</w:t>
      </w:r>
      <w:r>
        <w:rPr>
          <w:spacing w:val="-8"/>
          <w:sz w:val="20"/>
        </w:rPr>
        <w:t> </w:t>
      </w:r>
      <w:r>
        <w:rPr>
          <w:sz w:val="20"/>
        </w:rPr>
        <w:t>to</w:t>
      </w:r>
      <w:r>
        <w:rPr>
          <w:spacing w:val="-8"/>
          <w:sz w:val="20"/>
        </w:rPr>
        <w:t> </w:t>
      </w:r>
      <w:r>
        <w:rPr>
          <w:spacing w:val="-3"/>
          <w:sz w:val="20"/>
        </w:rPr>
        <w:t>overcome</w:t>
      </w:r>
      <w:r>
        <w:rPr>
          <w:spacing w:val="-9"/>
          <w:sz w:val="20"/>
        </w:rPr>
        <w:t> </w:t>
      </w:r>
      <w:r>
        <w:rPr>
          <w:sz w:val="20"/>
        </w:rPr>
        <w:t>the</w:t>
      </w:r>
      <w:r>
        <w:rPr>
          <w:spacing w:val="-8"/>
          <w:sz w:val="20"/>
        </w:rPr>
        <w:t> </w:t>
      </w:r>
      <w:r>
        <w:rPr>
          <w:sz w:val="20"/>
        </w:rPr>
        <w:t>13th</w:t>
      </w:r>
      <w:r>
        <w:rPr>
          <w:spacing w:val="-8"/>
          <w:sz w:val="20"/>
        </w:rPr>
        <w:t> </w:t>
      </w:r>
      <w:r>
        <w:rPr>
          <w:sz w:val="20"/>
        </w:rPr>
        <w:t>person</w:t>
      </w:r>
      <w:r>
        <w:rPr>
          <w:spacing w:val="-9"/>
          <w:sz w:val="20"/>
        </w:rPr>
        <w:t> </w:t>
      </w:r>
      <w:r>
        <w:rPr>
          <w:spacing w:val="-3"/>
          <w:sz w:val="20"/>
        </w:rPr>
        <w:t>rule.</w:t>
      </w:r>
    </w:p>
    <w:p>
      <w:pPr>
        <w:pStyle w:val="BodyText"/>
        <w:spacing w:before="7"/>
        <w:rPr>
          <w:sz w:val="16"/>
        </w:rPr>
      </w:pPr>
    </w:p>
    <w:p>
      <w:pPr>
        <w:spacing w:before="0"/>
        <w:ind w:left="967" w:right="0" w:firstLine="0"/>
        <w:jc w:val="left"/>
        <w:rPr>
          <w:rFonts w:ascii="Raleway ExtraBold"/>
          <w:b/>
          <w:sz w:val="28"/>
        </w:rPr>
      </w:pPr>
      <w:r>
        <w:rPr>
          <w:rFonts w:ascii="Raleway ExtraBold"/>
          <w:b/>
          <w:color w:val="37617A"/>
          <w:sz w:val="28"/>
        </w:rPr>
        <w:t>Community responses: support for reform</w:t>
      </w:r>
    </w:p>
    <w:p>
      <w:pPr>
        <w:pStyle w:val="ListParagraph"/>
        <w:numPr>
          <w:ilvl w:val="1"/>
          <w:numId w:val="12"/>
        </w:numPr>
        <w:tabs>
          <w:tab w:pos="1761" w:val="left" w:leader="none"/>
          <w:tab w:pos="1762" w:val="left" w:leader="none"/>
        </w:tabs>
        <w:spacing w:line="206" w:lineRule="auto" w:before="146" w:after="0"/>
        <w:ind w:left="1761" w:right="1334" w:hanging="794"/>
        <w:jc w:val="left"/>
        <w:rPr>
          <w:sz w:val="20"/>
        </w:rPr>
      </w:pPr>
      <w:r>
        <w:rPr>
          <w:sz w:val="20"/>
        </w:rPr>
        <w:t>Responses</w:t>
      </w:r>
      <w:r>
        <w:rPr>
          <w:spacing w:val="-13"/>
          <w:sz w:val="20"/>
        </w:rPr>
        <w:t> </w:t>
      </w:r>
      <w:r>
        <w:rPr>
          <w:sz w:val="20"/>
        </w:rPr>
        <w:t>to</w:t>
      </w:r>
      <w:r>
        <w:rPr>
          <w:spacing w:val="-12"/>
          <w:sz w:val="20"/>
        </w:rPr>
        <w:t> </w:t>
      </w:r>
      <w:r>
        <w:rPr>
          <w:sz w:val="20"/>
        </w:rPr>
        <w:t>the</w:t>
      </w:r>
      <w:r>
        <w:rPr>
          <w:spacing w:val="-12"/>
          <w:sz w:val="20"/>
        </w:rPr>
        <w:t> </w:t>
      </w:r>
      <w:r>
        <w:rPr>
          <w:sz w:val="20"/>
        </w:rPr>
        <w:t>consultation</w:t>
      </w:r>
      <w:r>
        <w:rPr>
          <w:spacing w:val="-12"/>
          <w:sz w:val="20"/>
        </w:rPr>
        <w:t> </w:t>
      </w:r>
      <w:r>
        <w:rPr>
          <w:sz w:val="20"/>
        </w:rPr>
        <w:t>paper</w:t>
      </w:r>
      <w:r>
        <w:rPr>
          <w:spacing w:val="-12"/>
          <w:sz w:val="20"/>
        </w:rPr>
        <w:t> </w:t>
      </w:r>
      <w:r>
        <w:rPr>
          <w:spacing w:val="-4"/>
          <w:sz w:val="20"/>
        </w:rPr>
        <w:t>were</w:t>
      </w:r>
      <w:r>
        <w:rPr>
          <w:spacing w:val="-12"/>
          <w:sz w:val="20"/>
        </w:rPr>
        <w:t> </w:t>
      </w:r>
      <w:r>
        <w:rPr>
          <w:sz w:val="20"/>
        </w:rPr>
        <w:t>overwhelmingly</w:t>
      </w:r>
      <w:r>
        <w:rPr>
          <w:spacing w:val="-12"/>
          <w:sz w:val="20"/>
        </w:rPr>
        <w:t> </w:t>
      </w:r>
      <w:r>
        <w:rPr>
          <w:sz w:val="20"/>
        </w:rPr>
        <w:t>supportive</w:t>
      </w:r>
      <w:r>
        <w:rPr>
          <w:spacing w:val="-13"/>
          <w:sz w:val="20"/>
        </w:rPr>
        <w:t> </w:t>
      </w:r>
      <w:r>
        <w:rPr>
          <w:sz w:val="20"/>
        </w:rPr>
        <w:t>of</w:t>
      </w:r>
      <w:r>
        <w:rPr>
          <w:spacing w:val="-12"/>
          <w:sz w:val="20"/>
        </w:rPr>
        <w:t> </w:t>
      </w:r>
      <w:r>
        <w:rPr>
          <w:sz w:val="20"/>
        </w:rPr>
        <w:t>reform.</w:t>
      </w:r>
      <w:r>
        <w:rPr>
          <w:position w:val="7"/>
          <w:sz w:val="11"/>
        </w:rPr>
        <w:t>68</w:t>
      </w:r>
      <w:r>
        <w:rPr>
          <w:spacing w:val="13"/>
          <w:position w:val="7"/>
          <w:sz w:val="11"/>
        </w:rPr>
        <w:t> </w:t>
      </w:r>
      <w:r>
        <w:rPr>
          <w:spacing w:val="-3"/>
          <w:sz w:val="20"/>
        </w:rPr>
        <w:t>For example,</w:t>
      </w:r>
      <w:r>
        <w:rPr>
          <w:spacing w:val="-6"/>
          <w:sz w:val="20"/>
        </w:rPr>
        <w:t> </w:t>
      </w:r>
      <w:r>
        <w:rPr>
          <w:sz w:val="20"/>
        </w:rPr>
        <w:t>Victoria</w:t>
      </w:r>
      <w:r>
        <w:rPr>
          <w:spacing w:val="-5"/>
          <w:sz w:val="20"/>
        </w:rPr>
        <w:t> </w:t>
      </w:r>
      <w:r>
        <w:rPr>
          <w:sz w:val="20"/>
        </w:rPr>
        <w:t>Legal</w:t>
      </w:r>
      <w:r>
        <w:rPr>
          <w:spacing w:val="-5"/>
          <w:sz w:val="20"/>
        </w:rPr>
        <w:t> </w:t>
      </w:r>
      <w:r>
        <w:rPr>
          <w:sz w:val="20"/>
        </w:rPr>
        <w:t>Aid</w:t>
      </w:r>
      <w:r>
        <w:rPr>
          <w:spacing w:val="-6"/>
          <w:sz w:val="20"/>
        </w:rPr>
        <w:t> </w:t>
      </w:r>
      <w:r>
        <w:rPr>
          <w:sz w:val="20"/>
        </w:rPr>
        <w:t>commented</w:t>
      </w:r>
      <w:r>
        <w:rPr>
          <w:spacing w:val="-5"/>
          <w:sz w:val="20"/>
        </w:rPr>
        <w:t> </w:t>
      </w:r>
      <w:r>
        <w:rPr>
          <w:sz w:val="20"/>
        </w:rPr>
        <w:t>in</w:t>
      </w:r>
      <w:r>
        <w:rPr>
          <w:spacing w:val="-5"/>
          <w:sz w:val="20"/>
        </w:rPr>
        <w:t> </w:t>
      </w:r>
      <w:r>
        <w:rPr>
          <w:sz w:val="20"/>
        </w:rPr>
        <w:t>its</w:t>
      </w:r>
      <w:r>
        <w:rPr>
          <w:spacing w:val="-6"/>
          <w:sz w:val="20"/>
        </w:rPr>
        <w:t> </w:t>
      </w:r>
      <w:r>
        <w:rPr>
          <w:sz w:val="20"/>
        </w:rPr>
        <w:t>submission</w:t>
      </w:r>
      <w:r>
        <w:rPr>
          <w:spacing w:val="-5"/>
          <w:sz w:val="20"/>
        </w:rPr>
        <w:t> </w:t>
      </w:r>
      <w:r>
        <w:rPr>
          <w:sz w:val="20"/>
        </w:rPr>
        <w:t>that</w:t>
      </w:r>
      <w:r>
        <w:rPr>
          <w:spacing w:val="-5"/>
          <w:sz w:val="20"/>
        </w:rPr>
        <w:t> </w:t>
      </w:r>
      <w:r>
        <w:rPr>
          <w:sz w:val="20"/>
        </w:rPr>
        <w:t>it:</w:t>
      </w:r>
    </w:p>
    <w:p>
      <w:pPr>
        <w:spacing w:line="208" w:lineRule="auto" w:before="120"/>
        <w:ind w:left="2157" w:right="1110" w:firstLine="0"/>
        <w:jc w:val="left"/>
        <w:rPr>
          <w:sz w:val="11"/>
        </w:rPr>
      </w:pPr>
      <w:r>
        <w:rPr>
          <w:sz w:val="19"/>
        </w:rPr>
        <w:t>welcomes change to better enable people who are vision or hearing impaired to serve on juries, where appropriate supports can facilitate effective participation, and ensure that defendants receive a fair trial.</w:t>
      </w:r>
      <w:r>
        <w:rPr>
          <w:position w:val="6"/>
          <w:sz w:val="11"/>
        </w:rPr>
        <w:t>69</w:t>
      </w:r>
    </w:p>
    <w:p>
      <w:pPr>
        <w:pStyle w:val="BodyText"/>
      </w:pPr>
    </w:p>
    <w:p>
      <w:pPr>
        <w:pStyle w:val="BodyText"/>
      </w:pPr>
    </w:p>
    <w:p>
      <w:pPr>
        <w:pStyle w:val="BodyText"/>
        <w:spacing w:before="11"/>
        <w:rPr>
          <w:sz w:val="26"/>
        </w:rPr>
      </w:pPr>
      <w:r>
        <w:rPr/>
        <w:pict>
          <v:line style="position:absolute;mso-position-horizontal-relative:page;mso-position-vertical-relative:paragraph;z-index:2264;mso-wrap-distance-left:0;mso-wrap-distance-right:0" from="79.370102pt,21.043859pt" to="515.905102pt,21.043859pt" stroked="true" strokeweight="1pt" strokecolor="#b6bdc8">
            <v:stroke dashstyle="solid"/>
            <w10:wrap type="topAndBottom"/>
          </v:line>
        </w:pict>
      </w:r>
    </w:p>
    <w:p>
      <w:pPr>
        <w:pStyle w:val="ListParagraph"/>
        <w:numPr>
          <w:ilvl w:val="0"/>
          <w:numId w:val="36"/>
        </w:numPr>
        <w:tabs>
          <w:tab w:pos="1761" w:val="left" w:leader="none"/>
          <w:tab w:pos="1762" w:val="left" w:leader="none"/>
        </w:tabs>
        <w:spacing w:line="213" w:lineRule="auto" w:before="107" w:after="0"/>
        <w:ind w:left="1761" w:right="1290" w:hanging="794"/>
        <w:jc w:val="left"/>
        <w:rPr>
          <w:sz w:val="13"/>
        </w:rPr>
      </w:pPr>
      <w:r>
        <w:rPr>
          <w:sz w:val="13"/>
        </w:rPr>
        <w:t>Brock Budworth, Trevor Ryan and Lorana </w:t>
      </w:r>
      <w:r>
        <w:rPr>
          <w:spacing w:val="2"/>
          <w:sz w:val="13"/>
        </w:rPr>
        <w:t>Bartels, ‘Reigniting </w:t>
      </w:r>
      <w:r>
        <w:rPr>
          <w:sz w:val="13"/>
        </w:rPr>
        <w:t>the Lamp: The Case for Including People Who Are </w:t>
      </w:r>
      <w:r>
        <w:rPr>
          <w:spacing w:val="2"/>
          <w:sz w:val="13"/>
        </w:rPr>
        <w:t>Blind </w:t>
      </w:r>
      <w:r>
        <w:rPr>
          <w:sz w:val="13"/>
        </w:rPr>
        <w:t>or Deaf as Jurors’ (2017) 42 </w:t>
      </w:r>
      <w:r>
        <w:rPr>
          <w:i/>
          <w:sz w:val="13"/>
        </w:rPr>
        <w:t>University of Western Australia Law Review </w:t>
      </w:r>
      <w:r>
        <w:rPr>
          <w:spacing w:val="2"/>
          <w:sz w:val="13"/>
        </w:rPr>
        <w:t>29,</w:t>
      </w:r>
      <w:r>
        <w:rPr>
          <w:spacing w:val="5"/>
          <w:sz w:val="13"/>
        </w:rPr>
        <w:t> </w:t>
      </w:r>
      <w:r>
        <w:rPr>
          <w:sz w:val="13"/>
        </w:rPr>
        <w:t>32.</w:t>
      </w:r>
    </w:p>
    <w:p>
      <w:pPr>
        <w:pStyle w:val="ListParagraph"/>
        <w:numPr>
          <w:ilvl w:val="0"/>
          <w:numId w:val="36"/>
        </w:numPr>
        <w:tabs>
          <w:tab w:pos="1761" w:val="left" w:leader="none"/>
          <w:tab w:pos="1762" w:val="left" w:leader="none"/>
        </w:tabs>
        <w:spacing w:line="213" w:lineRule="auto" w:before="0" w:after="0"/>
        <w:ind w:left="1761" w:right="1380" w:hanging="794"/>
        <w:jc w:val="left"/>
        <w:rPr>
          <w:sz w:val="13"/>
        </w:rPr>
      </w:pPr>
      <w:r>
        <w:rPr>
          <w:sz w:val="13"/>
        </w:rPr>
        <w:t>Ibid; </w:t>
      </w:r>
      <w:r>
        <w:rPr>
          <w:i/>
          <w:sz w:val="13"/>
        </w:rPr>
        <w:t>Mansell v The </w:t>
      </w:r>
      <w:r>
        <w:rPr>
          <w:i/>
          <w:spacing w:val="2"/>
          <w:sz w:val="13"/>
        </w:rPr>
        <w:t>Queen </w:t>
      </w:r>
      <w:r>
        <w:rPr>
          <w:sz w:val="13"/>
        </w:rPr>
        <w:t>(1857) 120 ER 20, 30, (1857) 8 El &amp; Bl 52, 79. Budworth et al note that ‘Well into the 20th and </w:t>
      </w:r>
      <w:r>
        <w:rPr>
          <w:spacing w:val="2"/>
          <w:sz w:val="13"/>
        </w:rPr>
        <w:t>21st </w:t>
      </w:r>
      <w:r>
        <w:rPr>
          <w:sz w:val="13"/>
        </w:rPr>
        <w:t>Centuries, Mansell has </w:t>
      </w:r>
      <w:r>
        <w:rPr>
          <w:spacing w:val="2"/>
          <w:sz w:val="13"/>
        </w:rPr>
        <w:t>been </w:t>
      </w:r>
      <w:r>
        <w:rPr>
          <w:sz w:val="13"/>
        </w:rPr>
        <w:t>cited with approval in </w:t>
      </w:r>
      <w:r>
        <w:rPr>
          <w:spacing w:val="2"/>
          <w:sz w:val="13"/>
        </w:rPr>
        <w:t>courts </w:t>
      </w:r>
      <w:r>
        <w:rPr>
          <w:sz w:val="13"/>
        </w:rPr>
        <w:t>in Australia and the United Kingdom’: see </w:t>
      </w:r>
      <w:r>
        <w:rPr>
          <w:i/>
          <w:sz w:val="13"/>
        </w:rPr>
        <w:t>Vella v State of Western </w:t>
      </w:r>
      <w:r>
        <w:rPr>
          <w:i/>
          <w:sz w:val="13"/>
        </w:rPr>
        <w:t>Australia </w:t>
      </w:r>
      <w:r>
        <w:rPr>
          <w:sz w:val="13"/>
        </w:rPr>
        <w:t>[2007] WASCA 59, (2007) 33 WAR </w:t>
      </w:r>
      <w:r>
        <w:rPr>
          <w:spacing w:val="2"/>
          <w:sz w:val="13"/>
        </w:rPr>
        <w:t>411, </w:t>
      </w:r>
      <w:r>
        <w:rPr>
          <w:sz w:val="13"/>
        </w:rPr>
        <w:t>[70]; </w:t>
      </w:r>
      <w:r>
        <w:rPr>
          <w:i/>
          <w:sz w:val="13"/>
        </w:rPr>
        <w:t>R v Searle </w:t>
      </w:r>
      <w:r>
        <w:rPr>
          <w:sz w:val="13"/>
        </w:rPr>
        <w:t>(1993) 2 VR 367 (Marks and McDonald JJ), (Supreme </w:t>
      </w:r>
      <w:r>
        <w:rPr>
          <w:spacing w:val="2"/>
          <w:sz w:val="13"/>
        </w:rPr>
        <w:t>Court </w:t>
      </w:r>
      <w:r>
        <w:rPr>
          <w:sz w:val="13"/>
        </w:rPr>
        <w:t>of Victoria, </w:t>
      </w:r>
      <w:r>
        <w:rPr>
          <w:spacing w:val="2"/>
          <w:sz w:val="13"/>
        </w:rPr>
        <w:t>Marks, </w:t>
      </w:r>
      <w:r>
        <w:rPr>
          <w:sz w:val="13"/>
        </w:rPr>
        <w:t>Hampel and McDonald JJ, 24 June 1993); </w:t>
      </w:r>
      <w:r>
        <w:rPr>
          <w:i/>
          <w:sz w:val="13"/>
        </w:rPr>
        <w:t>Johns v The </w:t>
      </w:r>
      <w:r>
        <w:rPr>
          <w:i/>
          <w:spacing w:val="2"/>
          <w:sz w:val="13"/>
        </w:rPr>
        <w:t>Queen </w:t>
      </w:r>
      <w:r>
        <w:rPr>
          <w:sz w:val="13"/>
        </w:rPr>
        <w:t>(1979) </w:t>
      </w:r>
      <w:r>
        <w:rPr>
          <w:spacing w:val="2"/>
          <w:sz w:val="13"/>
        </w:rPr>
        <w:t>141 </w:t>
      </w:r>
      <w:r>
        <w:rPr>
          <w:sz w:val="13"/>
        </w:rPr>
        <w:t>CLR </w:t>
      </w:r>
      <w:r>
        <w:rPr>
          <w:spacing w:val="2"/>
          <w:sz w:val="13"/>
        </w:rPr>
        <w:t>409, [15] </w:t>
      </w:r>
      <w:r>
        <w:rPr>
          <w:sz w:val="13"/>
        </w:rPr>
        <w:t>(Gibbs J), (High </w:t>
      </w:r>
      <w:r>
        <w:rPr>
          <w:spacing w:val="2"/>
          <w:sz w:val="13"/>
        </w:rPr>
        <w:t>Court </w:t>
      </w:r>
      <w:r>
        <w:rPr>
          <w:sz w:val="13"/>
        </w:rPr>
        <w:t>of Australia, </w:t>
      </w:r>
      <w:r>
        <w:rPr>
          <w:spacing w:val="2"/>
          <w:sz w:val="13"/>
        </w:rPr>
        <w:t>Barwick </w:t>
      </w:r>
      <w:r>
        <w:rPr>
          <w:sz w:val="13"/>
        </w:rPr>
        <w:t>CJ, </w:t>
      </w:r>
      <w:r>
        <w:rPr>
          <w:spacing w:val="2"/>
          <w:sz w:val="13"/>
        </w:rPr>
        <w:t>Gibbs, </w:t>
      </w:r>
      <w:r>
        <w:rPr>
          <w:sz w:val="13"/>
        </w:rPr>
        <w:t>Stephen, Mason and Murphy JJ, 8 August 1979). See generally </w:t>
      </w:r>
      <w:r>
        <w:rPr>
          <w:i/>
          <w:sz w:val="13"/>
        </w:rPr>
        <w:t>R v Ford </w:t>
      </w:r>
      <w:r>
        <w:rPr>
          <w:spacing w:val="2"/>
          <w:sz w:val="13"/>
        </w:rPr>
        <w:t>[1989] </w:t>
      </w:r>
      <w:r>
        <w:rPr>
          <w:sz w:val="13"/>
        </w:rPr>
        <w:t>1 QB 868; </w:t>
      </w:r>
      <w:r>
        <w:rPr>
          <w:i/>
          <w:sz w:val="13"/>
        </w:rPr>
        <w:t>R v Mason </w:t>
      </w:r>
      <w:r>
        <w:rPr>
          <w:sz w:val="13"/>
        </w:rPr>
        <w:t>[1980]</w:t>
      </w:r>
      <w:r>
        <w:rPr>
          <w:spacing w:val="4"/>
          <w:sz w:val="13"/>
        </w:rPr>
        <w:t> </w:t>
      </w:r>
      <w:r>
        <w:rPr>
          <w:sz w:val="13"/>
        </w:rPr>
        <w:t>3</w:t>
      </w:r>
      <w:r>
        <w:rPr>
          <w:spacing w:val="5"/>
          <w:sz w:val="13"/>
        </w:rPr>
        <w:t> </w:t>
      </w:r>
      <w:r>
        <w:rPr>
          <w:sz w:val="13"/>
        </w:rPr>
        <w:t>All</w:t>
      </w:r>
      <w:r>
        <w:rPr>
          <w:spacing w:val="5"/>
          <w:sz w:val="13"/>
        </w:rPr>
        <w:t> </w:t>
      </w:r>
      <w:r>
        <w:rPr>
          <w:sz w:val="13"/>
        </w:rPr>
        <w:t>ER</w:t>
      </w:r>
      <w:r>
        <w:rPr>
          <w:spacing w:val="4"/>
          <w:sz w:val="13"/>
        </w:rPr>
        <w:t> </w:t>
      </w:r>
      <w:r>
        <w:rPr>
          <w:spacing w:val="2"/>
          <w:sz w:val="13"/>
        </w:rPr>
        <w:t>777;</w:t>
      </w:r>
      <w:r>
        <w:rPr>
          <w:spacing w:val="5"/>
          <w:sz w:val="13"/>
        </w:rPr>
        <w:t> </w:t>
      </w:r>
      <w:r>
        <w:rPr>
          <w:i/>
          <w:sz w:val="13"/>
        </w:rPr>
        <w:t>R</w:t>
      </w:r>
      <w:r>
        <w:rPr>
          <w:i/>
          <w:spacing w:val="5"/>
          <w:sz w:val="13"/>
        </w:rPr>
        <w:t> </w:t>
      </w:r>
      <w:r>
        <w:rPr>
          <w:i/>
          <w:sz w:val="13"/>
        </w:rPr>
        <w:t>v</w:t>
      </w:r>
      <w:r>
        <w:rPr>
          <w:i/>
          <w:spacing w:val="4"/>
          <w:sz w:val="13"/>
        </w:rPr>
        <w:t> </w:t>
      </w:r>
      <w:r>
        <w:rPr>
          <w:i/>
          <w:sz w:val="13"/>
        </w:rPr>
        <w:t>Burns</w:t>
      </w:r>
      <w:r>
        <w:rPr>
          <w:i/>
          <w:spacing w:val="5"/>
          <w:sz w:val="13"/>
        </w:rPr>
        <w:t> </w:t>
      </w:r>
      <w:r>
        <w:rPr>
          <w:sz w:val="13"/>
        </w:rPr>
        <w:t>(1883)</w:t>
      </w:r>
      <w:r>
        <w:rPr>
          <w:spacing w:val="5"/>
          <w:sz w:val="13"/>
        </w:rPr>
        <w:t> </w:t>
      </w:r>
      <w:r>
        <w:rPr>
          <w:sz w:val="13"/>
        </w:rPr>
        <w:t>9</w:t>
      </w:r>
      <w:r>
        <w:rPr>
          <w:spacing w:val="5"/>
          <w:sz w:val="13"/>
        </w:rPr>
        <w:t> </w:t>
      </w:r>
      <w:r>
        <w:rPr>
          <w:sz w:val="13"/>
        </w:rPr>
        <w:t>VLR</w:t>
      </w:r>
      <w:r>
        <w:rPr>
          <w:spacing w:val="4"/>
          <w:sz w:val="13"/>
        </w:rPr>
        <w:t> </w:t>
      </w:r>
      <w:r>
        <w:rPr>
          <w:sz w:val="13"/>
        </w:rPr>
        <w:t>191,</w:t>
      </w:r>
      <w:r>
        <w:rPr>
          <w:spacing w:val="5"/>
          <w:sz w:val="13"/>
        </w:rPr>
        <w:t> </w:t>
      </w:r>
      <w:r>
        <w:rPr>
          <w:sz w:val="13"/>
        </w:rPr>
        <w:t>193–194</w:t>
      </w:r>
      <w:r>
        <w:rPr>
          <w:spacing w:val="5"/>
          <w:sz w:val="13"/>
        </w:rPr>
        <w:t> </w:t>
      </w:r>
      <w:r>
        <w:rPr>
          <w:sz w:val="13"/>
        </w:rPr>
        <w:t>(Supreme</w:t>
      </w:r>
      <w:r>
        <w:rPr>
          <w:spacing w:val="5"/>
          <w:sz w:val="13"/>
        </w:rPr>
        <w:t> </w:t>
      </w:r>
      <w:r>
        <w:rPr>
          <w:spacing w:val="2"/>
          <w:sz w:val="13"/>
        </w:rPr>
        <w:t>Court</w:t>
      </w:r>
      <w:r>
        <w:rPr>
          <w:spacing w:val="4"/>
          <w:sz w:val="13"/>
        </w:rPr>
        <w:t> </w:t>
      </w:r>
      <w:r>
        <w:rPr>
          <w:sz w:val="13"/>
        </w:rPr>
        <w:t>of</w:t>
      </w:r>
      <w:r>
        <w:rPr>
          <w:spacing w:val="5"/>
          <w:sz w:val="13"/>
        </w:rPr>
        <w:t> </w:t>
      </w:r>
      <w:r>
        <w:rPr>
          <w:sz w:val="13"/>
        </w:rPr>
        <w:t>Victoria,</w:t>
      </w:r>
      <w:r>
        <w:rPr>
          <w:spacing w:val="5"/>
          <w:sz w:val="13"/>
        </w:rPr>
        <w:t> </w:t>
      </w:r>
      <w:r>
        <w:rPr>
          <w:sz w:val="13"/>
        </w:rPr>
        <w:t>Stawell</w:t>
      </w:r>
      <w:r>
        <w:rPr>
          <w:spacing w:val="5"/>
          <w:sz w:val="13"/>
        </w:rPr>
        <w:t> </w:t>
      </w:r>
      <w:r>
        <w:rPr>
          <w:sz w:val="13"/>
        </w:rPr>
        <w:t>CJ,</w:t>
      </w:r>
      <w:r>
        <w:rPr>
          <w:spacing w:val="4"/>
          <w:sz w:val="13"/>
        </w:rPr>
        <w:t> </w:t>
      </w:r>
      <w:r>
        <w:rPr>
          <w:sz w:val="13"/>
        </w:rPr>
        <w:t>Higginbotham</w:t>
      </w:r>
      <w:r>
        <w:rPr>
          <w:spacing w:val="5"/>
          <w:sz w:val="13"/>
        </w:rPr>
        <w:t> </w:t>
      </w:r>
      <w:r>
        <w:rPr>
          <w:sz w:val="13"/>
        </w:rPr>
        <w:t>and</w:t>
      </w:r>
      <w:r>
        <w:rPr>
          <w:spacing w:val="5"/>
          <w:sz w:val="13"/>
        </w:rPr>
        <w:t> </w:t>
      </w:r>
      <w:r>
        <w:rPr>
          <w:sz w:val="13"/>
        </w:rPr>
        <w:t>Holroyd</w:t>
      </w:r>
      <w:r>
        <w:rPr>
          <w:spacing w:val="4"/>
          <w:sz w:val="13"/>
        </w:rPr>
        <w:t> </w:t>
      </w:r>
      <w:r>
        <w:rPr>
          <w:sz w:val="13"/>
        </w:rPr>
        <w:t>JJ,</w:t>
      </w:r>
    </w:p>
    <w:p>
      <w:pPr>
        <w:spacing w:line="213" w:lineRule="auto" w:before="0"/>
        <w:ind w:left="1761" w:right="1488" w:firstLine="0"/>
        <w:jc w:val="left"/>
        <w:rPr>
          <w:sz w:val="13"/>
        </w:rPr>
      </w:pPr>
      <w:r>
        <w:rPr>
          <w:sz w:val="13"/>
        </w:rPr>
        <w:t>6 September 1883). For example, in </w:t>
      </w:r>
      <w:r>
        <w:rPr>
          <w:i/>
          <w:sz w:val="13"/>
        </w:rPr>
        <w:t>R v Ford </w:t>
      </w:r>
      <w:r>
        <w:rPr>
          <w:sz w:val="13"/>
        </w:rPr>
        <w:t>it was noted that </w:t>
      </w:r>
      <w:r>
        <w:rPr>
          <w:spacing w:val="-3"/>
          <w:sz w:val="13"/>
        </w:rPr>
        <w:t>‘At </w:t>
      </w:r>
      <w:r>
        <w:rPr>
          <w:sz w:val="13"/>
        </w:rPr>
        <w:t>common law a judge has a residual discretion to discharge a </w:t>
      </w:r>
      <w:r>
        <w:rPr>
          <w:spacing w:val="2"/>
          <w:sz w:val="13"/>
        </w:rPr>
        <w:t>particular </w:t>
      </w:r>
      <w:r>
        <w:rPr>
          <w:sz w:val="13"/>
        </w:rPr>
        <w:t>juror who ought not to be </w:t>
      </w:r>
      <w:r>
        <w:rPr>
          <w:spacing w:val="2"/>
          <w:sz w:val="13"/>
        </w:rPr>
        <w:t>serving </w:t>
      </w:r>
      <w:r>
        <w:rPr>
          <w:sz w:val="13"/>
        </w:rPr>
        <w:t>on the </w:t>
      </w:r>
      <w:r>
        <w:rPr>
          <w:spacing w:val="2"/>
          <w:sz w:val="13"/>
        </w:rPr>
        <w:t>jury: </w:t>
      </w:r>
      <w:r>
        <w:rPr>
          <w:sz w:val="13"/>
        </w:rPr>
        <w:t>at </w:t>
      </w:r>
      <w:r>
        <w:rPr>
          <w:spacing w:val="2"/>
          <w:sz w:val="13"/>
        </w:rPr>
        <w:t>871. </w:t>
      </w:r>
      <w:r>
        <w:rPr>
          <w:sz w:val="13"/>
        </w:rPr>
        <w:t>This is </w:t>
      </w:r>
      <w:r>
        <w:rPr>
          <w:spacing w:val="2"/>
          <w:sz w:val="13"/>
        </w:rPr>
        <w:t>part </w:t>
      </w:r>
      <w:r>
        <w:rPr>
          <w:sz w:val="13"/>
        </w:rPr>
        <w:t>of the judge’s duty to ensure that there is a fair </w:t>
      </w:r>
      <w:r>
        <w:rPr>
          <w:spacing w:val="2"/>
          <w:sz w:val="13"/>
        </w:rPr>
        <w:t>trial.    </w:t>
      </w:r>
      <w:r>
        <w:rPr>
          <w:sz w:val="13"/>
        </w:rPr>
        <w:t>It is based on the duty of a judge expressed by Lord </w:t>
      </w:r>
      <w:r>
        <w:rPr>
          <w:spacing w:val="2"/>
          <w:sz w:val="13"/>
        </w:rPr>
        <w:t>Campbell </w:t>
      </w:r>
      <w:r>
        <w:rPr>
          <w:sz w:val="13"/>
        </w:rPr>
        <w:t>CJ in </w:t>
      </w:r>
      <w:r>
        <w:rPr>
          <w:i/>
          <w:sz w:val="13"/>
        </w:rPr>
        <w:t>Mansell v The </w:t>
      </w:r>
      <w:r>
        <w:rPr>
          <w:i/>
          <w:spacing w:val="2"/>
          <w:sz w:val="13"/>
        </w:rPr>
        <w:t>Queen </w:t>
      </w:r>
      <w:r>
        <w:rPr>
          <w:sz w:val="13"/>
        </w:rPr>
        <w:t>as a duty “to prevent scandal and the </w:t>
      </w:r>
      <w:r>
        <w:rPr>
          <w:spacing w:val="2"/>
          <w:sz w:val="13"/>
        </w:rPr>
        <w:t>perversion</w:t>
      </w:r>
      <w:r>
        <w:rPr>
          <w:spacing w:val="3"/>
          <w:sz w:val="13"/>
        </w:rPr>
        <w:t> </w:t>
      </w:r>
      <w:r>
        <w:rPr>
          <w:sz w:val="13"/>
        </w:rPr>
        <w:t>of</w:t>
      </w:r>
      <w:r>
        <w:rPr>
          <w:spacing w:val="4"/>
          <w:sz w:val="13"/>
        </w:rPr>
        <w:t> </w:t>
      </w:r>
      <w:r>
        <w:rPr>
          <w:sz w:val="13"/>
        </w:rPr>
        <w:t>justice”.</w:t>
      </w:r>
      <w:r>
        <w:rPr>
          <w:spacing w:val="4"/>
          <w:sz w:val="13"/>
        </w:rPr>
        <w:t> </w:t>
      </w:r>
      <w:r>
        <w:rPr>
          <w:sz w:val="13"/>
        </w:rPr>
        <w:t>A</w:t>
      </w:r>
      <w:r>
        <w:rPr>
          <w:spacing w:val="4"/>
          <w:sz w:val="13"/>
        </w:rPr>
        <w:t> </w:t>
      </w:r>
      <w:r>
        <w:rPr>
          <w:sz w:val="13"/>
        </w:rPr>
        <w:t>judge</w:t>
      </w:r>
      <w:r>
        <w:rPr>
          <w:spacing w:val="3"/>
          <w:sz w:val="13"/>
        </w:rPr>
        <w:t> </w:t>
      </w:r>
      <w:r>
        <w:rPr>
          <w:sz w:val="13"/>
        </w:rPr>
        <w:t>must</w:t>
      </w:r>
      <w:r>
        <w:rPr>
          <w:spacing w:val="4"/>
          <w:sz w:val="13"/>
        </w:rPr>
        <w:t> </w:t>
      </w:r>
      <w:r>
        <w:rPr>
          <w:sz w:val="13"/>
        </w:rPr>
        <w:t>achieve</w:t>
      </w:r>
      <w:r>
        <w:rPr>
          <w:spacing w:val="4"/>
          <w:sz w:val="13"/>
        </w:rPr>
        <w:t> </w:t>
      </w:r>
      <w:r>
        <w:rPr>
          <w:sz w:val="13"/>
        </w:rPr>
        <w:t>that</w:t>
      </w:r>
      <w:r>
        <w:rPr>
          <w:spacing w:val="3"/>
          <w:sz w:val="13"/>
        </w:rPr>
        <w:t> </w:t>
      </w:r>
      <w:r>
        <w:rPr>
          <w:sz w:val="13"/>
        </w:rPr>
        <w:t>for</w:t>
      </w:r>
      <w:r>
        <w:rPr>
          <w:spacing w:val="4"/>
          <w:sz w:val="13"/>
        </w:rPr>
        <w:t> </w:t>
      </w:r>
      <w:r>
        <w:rPr>
          <w:sz w:val="13"/>
        </w:rPr>
        <w:t>example</w:t>
      </w:r>
      <w:r>
        <w:rPr>
          <w:spacing w:val="4"/>
          <w:sz w:val="13"/>
        </w:rPr>
        <w:t> </w:t>
      </w:r>
      <w:r>
        <w:rPr>
          <w:sz w:val="13"/>
        </w:rPr>
        <w:t>by</w:t>
      </w:r>
      <w:r>
        <w:rPr>
          <w:spacing w:val="4"/>
          <w:sz w:val="13"/>
        </w:rPr>
        <w:t> </w:t>
      </w:r>
      <w:r>
        <w:rPr>
          <w:sz w:val="13"/>
        </w:rPr>
        <w:t>preventing</w:t>
      </w:r>
      <w:r>
        <w:rPr>
          <w:spacing w:val="3"/>
          <w:sz w:val="13"/>
        </w:rPr>
        <w:t> </w:t>
      </w:r>
      <w:r>
        <w:rPr>
          <w:sz w:val="13"/>
        </w:rPr>
        <w:t>a</w:t>
      </w:r>
      <w:r>
        <w:rPr>
          <w:spacing w:val="4"/>
          <w:sz w:val="13"/>
        </w:rPr>
        <w:t> </w:t>
      </w:r>
      <w:r>
        <w:rPr>
          <w:spacing w:val="2"/>
          <w:sz w:val="13"/>
        </w:rPr>
        <w:t>juryman</w:t>
      </w:r>
      <w:r>
        <w:rPr>
          <w:spacing w:val="4"/>
          <w:sz w:val="13"/>
        </w:rPr>
        <w:t> </w:t>
      </w:r>
      <w:r>
        <w:rPr>
          <w:sz w:val="13"/>
        </w:rPr>
        <w:t>from</w:t>
      </w:r>
      <w:r>
        <w:rPr>
          <w:spacing w:val="4"/>
          <w:sz w:val="13"/>
        </w:rPr>
        <w:t> </w:t>
      </w:r>
      <w:r>
        <w:rPr>
          <w:spacing w:val="2"/>
          <w:sz w:val="13"/>
        </w:rPr>
        <w:t>serving</w:t>
      </w:r>
      <w:r>
        <w:rPr>
          <w:spacing w:val="3"/>
          <w:sz w:val="13"/>
        </w:rPr>
        <w:t> </w:t>
      </w:r>
      <w:r>
        <w:rPr>
          <w:sz w:val="13"/>
        </w:rPr>
        <w:t>who</w:t>
      </w:r>
      <w:r>
        <w:rPr>
          <w:spacing w:val="4"/>
          <w:sz w:val="13"/>
        </w:rPr>
        <w:t> </w:t>
      </w:r>
      <w:r>
        <w:rPr>
          <w:sz w:val="13"/>
        </w:rPr>
        <w:t>is</w:t>
      </w:r>
      <w:r>
        <w:rPr>
          <w:spacing w:val="4"/>
          <w:sz w:val="13"/>
        </w:rPr>
        <w:t> </w:t>
      </w:r>
      <w:r>
        <w:rPr>
          <w:sz w:val="13"/>
        </w:rPr>
        <w:t>completely</w:t>
      </w:r>
      <w:r>
        <w:rPr>
          <w:spacing w:val="4"/>
          <w:sz w:val="13"/>
        </w:rPr>
        <w:t> </w:t>
      </w:r>
      <w:r>
        <w:rPr>
          <w:sz w:val="13"/>
        </w:rPr>
        <w:t>deaf</w:t>
      </w:r>
      <w:r>
        <w:rPr>
          <w:spacing w:val="3"/>
          <w:sz w:val="13"/>
        </w:rPr>
        <w:t> </w:t>
      </w:r>
      <w:r>
        <w:rPr>
          <w:sz w:val="13"/>
        </w:rPr>
        <w:t>or</w:t>
      </w:r>
    </w:p>
    <w:p>
      <w:pPr>
        <w:spacing w:line="151" w:lineRule="exact" w:before="0"/>
        <w:ind w:left="1761" w:right="0" w:firstLine="0"/>
        <w:jc w:val="left"/>
        <w:rPr>
          <w:sz w:val="13"/>
        </w:rPr>
      </w:pPr>
      <w:r>
        <w:rPr>
          <w:sz w:val="13"/>
        </w:rPr>
        <w:t>blind or otherwise incompetent to give a verdict’: at 30, 81. See further discussion in New South Wales Law Reform Commission,</w:t>
      </w:r>
    </w:p>
    <w:p>
      <w:pPr>
        <w:spacing w:line="160" w:lineRule="exact" w:before="0"/>
        <w:ind w:left="1761" w:right="0" w:firstLine="0"/>
        <w:jc w:val="left"/>
        <w:rPr>
          <w:sz w:val="13"/>
        </w:rPr>
      </w:pPr>
      <w:r>
        <w:rPr>
          <w:i/>
          <w:sz w:val="13"/>
        </w:rPr>
        <w:t>Blind or Deaf Jurors </w:t>
      </w:r>
      <w:r>
        <w:rPr>
          <w:sz w:val="13"/>
        </w:rPr>
        <w:t>(Report No 114, September 2006) 6–9.</w:t>
      </w:r>
    </w:p>
    <w:p>
      <w:pPr>
        <w:pStyle w:val="ListParagraph"/>
        <w:numPr>
          <w:ilvl w:val="0"/>
          <w:numId w:val="36"/>
        </w:numPr>
        <w:tabs>
          <w:tab w:pos="1761" w:val="left" w:leader="none"/>
          <w:tab w:pos="1762" w:val="left" w:leader="none"/>
        </w:tabs>
        <w:spacing w:line="211" w:lineRule="auto" w:before="3" w:after="0"/>
        <w:ind w:left="1761" w:right="1290" w:hanging="794"/>
        <w:jc w:val="left"/>
        <w:rPr>
          <w:sz w:val="13"/>
        </w:rPr>
      </w:pPr>
      <w:r>
        <w:rPr>
          <w:sz w:val="13"/>
        </w:rPr>
        <w:t>Brock Budworth, Trevor Ryan and Lorana </w:t>
      </w:r>
      <w:r>
        <w:rPr>
          <w:spacing w:val="2"/>
          <w:sz w:val="13"/>
        </w:rPr>
        <w:t>Bartels, ‘Reigniting </w:t>
      </w:r>
      <w:r>
        <w:rPr>
          <w:sz w:val="13"/>
        </w:rPr>
        <w:t>the Lamp: The Case for Including People Who Are </w:t>
      </w:r>
      <w:r>
        <w:rPr>
          <w:spacing w:val="2"/>
          <w:sz w:val="13"/>
        </w:rPr>
        <w:t>Blind </w:t>
      </w:r>
      <w:r>
        <w:rPr>
          <w:sz w:val="13"/>
        </w:rPr>
        <w:t>or Deaf as Jurors’ (2017) 42 </w:t>
      </w:r>
      <w:r>
        <w:rPr>
          <w:i/>
          <w:sz w:val="13"/>
        </w:rPr>
        <w:t>University of Western Australia Law Review </w:t>
      </w:r>
      <w:r>
        <w:rPr>
          <w:spacing w:val="2"/>
          <w:sz w:val="13"/>
        </w:rPr>
        <w:t>29,</w:t>
      </w:r>
      <w:r>
        <w:rPr>
          <w:spacing w:val="5"/>
          <w:sz w:val="13"/>
        </w:rPr>
        <w:t> </w:t>
      </w:r>
      <w:r>
        <w:rPr>
          <w:sz w:val="13"/>
        </w:rPr>
        <w:t>32.</w:t>
      </w:r>
    </w:p>
    <w:p>
      <w:pPr>
        <w:pStyle w:val="ListParagraph"/>
        <w:numPr>
          <w:ilvl w:val="0"/>
          <w:numId w:val="36"/>
        </w:numPr>
        <w:tabs>
          <w:tab w:pos="1761" w:val="left" w:leader="none"/>
          <w:tab w:pos="1762" w:val="left" w:leader="none"/>
        </w:tabs>
        <w:spacing w:line="213" w:lineRule="auto" w:before="1" w:after="0"/>
        <w:ind w:left="1761" w:right="1315" w:hanging="794"/>
        <w:jc w:val="both"/>
        <w:rPr>
          <w:sz w:val="13"/>
        </w:rPr>
      </w:pPr>
      <w:r>
        <w:rPr>
          <w:i/>
          <w:sz w:val="13"/>
        </w:rPr>
        <w:t>Jurors and Juries Consolidation Act 1847 </w:t>
      </w:r>
      <w:r>
        <w:rPr>
          <w:spacing w:val="2"/>
          <w:sz w:val="13"/>
        </w:rPr>
        <w:t>(NSW) </w:t>
      </w:r>
      <w:r>
        <w:rPr>
          <w:sz w:val="13"/>
        </w:rPr>
        <w:t>s 8: required people to be removed from the </w:t>
      </w:r>
      <w:r>
        <w:rPr>
          <w:spacing w:val="2"/>
          <w:sz w:val="13"/>
        </w:rPr>
        <w:t>jury </w:t>
      </w:r>
      <w:r>
        <w:rPr>
          <w:sz w:val="13"/>
        </w:rPr>
        <w:t>list who ‘are disabled by lunacy  or </w:t>
      </w:r>
      <w:r>
        <w:rPr>
          <w:spacing w:val="2"/>
          <w:sz w:val="13"/>
        </w:rPr>
        <w:t>imbecility </w:t>
      </w:r>
      <w:r>
        <w:rPr>
          <w:sz w:val="13"/>
        </w:rPr>
        <w:t>of mind or by deafness </w:t>
      </w:r>
      <w:r>
        <w:rPr>
          <w:spacing w:val="2"/>
          <w:sz w:val="13"/>
        </w:rPr>
        <w:t>blindness </w:t>
      </w:r>
      <w:r>
        <w:rPr>
          <w:sz w:val="13"/>
        </w:rPr>
        <w:t>or other </w:t>
      </w:r>
      <w:r>
        <w:rPr>
          <w:spacing w:val="2"/>
          <w:sz w:val="13"/>
        </w:rPr>
        <w:t>permanent </w:t>
      </w:r>
      <w:r>
        <w:rPr>
          <w:sz w:val="13"/>
        </w:rPr>
        <w:t>infirmity of body and </w:t>
      </w:r>
      <w:r>
        <w:rPr>
          <w:spacing w:val="2"/>
          <w:sz w:val="13"/>
        </w:rPr>
        <w:t>also </w:t>
      </w:r>
      <w:r>
        <w:rPr>
          <w:sz w:val="13"/>
        </w:rPr>
        <w:t>the names of all men of bad fame  or of immoral character and repute</w:t>
      </w:r>
      <w:r>
        <w:rPr>
          <w:spacing w:val="1"/>
          <w:sz w:val="13"/>
        </w:rPr>
        <w:t> </w:t>
      </w:r>
      <w:r>
        <w:rPr>
          <w:spacing w:val="-3"/>
          <w:sz w:val="13"/>
        </w:rPr>
        <w:t>…’.</w:t>
      </w:r>
    </w:p>
    <w:p>
      <w:pPr>
        <w:pStyle w:val="ListParagraph"/>
        <w:numPr>
          <w:ilvl w:val="0"/>
          <w:numId w:val="36"/>
        </w:numPr>
        <w:tabs>
          <w:tab w:pos="1761" w:val="left" w:leader="none"/>
          <w:tab w:pos="1762" w:val="left" w:leader="none"/>
        </w:tabs>
        <w:spacing w:line="213" w:lineRule="auto" w:before="0" w:after="0"/>
        <w:ind w:left="1761" w:right="1259" w:hanging="794"/>
        <w:jc w:val="left"/>
        <w:rPr>
          <w:sz w:val="13"/>
        </w:rPr>
      </w:pPr>
      <w:r>
        <w:rPr>
          <w:sz w:val="13"/>
        </w:rPr>
        <w:t>Law Reform Committee, Parliament of Victoria, </w:t>
      </w:r>
      <w:r>
        <w:rPr>
          <w:i/>
          <w:spacing w:val="2"/>
          <w:sz w:val="13"/>
        </w:rPr>
        <w:t>Jury Service </w:t>
      </w:r>
      <w:r>
        <w:rPr>
          <w:i/>
          <w:sz w:val="13"/>
        </w:rPr>
        <w:t>in Victoria </w:t>
      </w:r>
      <w:r>
        <w:rPr>
          <w:sz w:val="13"/>
        </w:rPr>
        <w:t>(Issues Paper No 1, November </w:t>
      </w:r>
      <w:r>
        <w:rPr>
          <w:spacing w:val="2"/>
          <w:sz w:val="13"/>
        </w:rPr>
        <w:t>1994) </w:t>
      </w:r>
      <w:r>
        <w:rPr>
          <w:spacing w:val="3"/>
          <w:sz w:val="13"/>
        </w:rPr>
        <w:t>[2.4.12]. </w:t>
      </w:r>
      <w:r>
        <w:rPr>
          <w:sz w:val="13"/>
        </w:rPr>
        <w:t>The </w:t>
      </w:r>
      <w:r>
        <w:rPr>
          <w:i/>
          <w:sz w:val="13"/>
        </w:rPr>
        <w:t>Juries Act </w:t>
      </w:r>
      <w:r>
        <w:rPr>
          <w:i/>
          <w:sz w:val="13"/>
        </w:rPr>
        <w:t>1967 </w:t>
      </w:r>
      <w:r>
        <w:rPr>
          <w:spacing w:val="2"/>
          <w:sz w:val="13"/>
        </w:rPr>
        <w:t>(Vic) </w:t>
      </w:r>
      <w:r>
        <w:rPr>
          <w:sz w:val="13"/>
        </w:rPr>
        <w:t>sch 3 cl 2 stated ‘Any person who - (a) is unable adequately to see hear or </w:t>
      </w:r>
      <w:r>
        <w:rPr>
          <w:spacing w:val="2"/>
          <w:sz w:val="13"/>
        </w:rPr>
        <w:t>speak’ </w:t>
      </w:r>
      <w:r>
        <w:rPr>
          <w:sz w:val="13"/>
        </w:rPr>
        <w:t>is a person ineligible to serve as a   juror.</w:t>
      </w:r>
    </w:p>
    <w:p>
      <w:pPr>
        <w:pStyle w:val="ListParagraph"/>
        <w:numPr>
          <w:ilvl w:val="0"/>
          <w:numId w:val="36"/>
        </w:numPr>
        <w:tabs>
          <w:tab w:pos="1760" w:val="left" w:leader="none"/>
          <w:tab w:pos="1762" w:val="left" w:leader="none"/>
        </w:tabs>
        <w:spacing w:line="213" w:lineRule="auto" w:before="0" w:after="0"/>
        <w:ind w:left="1761" w:right="1418" w:hanging="794"/>
        <w:jc w:val="left"/>
        <w:rPr>
          <w:sz w:val="13"/>
        </w:rPr>
      </w:pPr>
      <w:r>
        <w:rPr>
          <w:sz w:val="13"/>
        </w:rPr>
        <w:t>Law Reform Committee, Parliament of Victoria, </w:t>
      </w:r>
      <w:r>
        <w:rPr>
          <w:i/>
          <w:spacing w:val="2"/>
          <w:sz w:val="13"/>
        </w:rPr>
        <w:t>Jury Service </w:t>
      </w:r>
      <w:r>
        <w:rPr>
          <w:i/>
          <w:sz w:val="13"/>
        </w:rPr>
        <w:t>in Victoria </w:t>
      </w:r>
      <w:r>
        <w:rPr>
          <w:sz w:val="13"/>
        </w:rPr>
        <w:t>(Final </w:t>
      </w:r>
      <w:r>
        <w:rPr>
          <w:spacing w:val="2"/>
          <w:sz w:val="13"/>
        </w:rPr>
        <w:t>Report, December 1996) </w:t>
      </w:r>
      <w:r>
        <w:rPr>
          <w:sz w:val="13"/>
        </w:rPr>
        <w:t>vol 1 </w:t>
      </w:r>
      <w:r>
        <w:rPr>
          <w:spacing w:val="2"/>
          <w:sz w:val="13"/>
        </w:rPr>
        <w:t>[3.134]–[3.135]. </w:t>
      </w:r>
      <w:r>
        <w:rPr>
          <w:sz w:val="13"/>
        </w:rPr>
        <w:t>Notably, despite the Committee’s reference to the possible use of interpreters, </w:t>
      </w:r>
      <w:r>
        <w:rPr>
          <w:spacing w:val="2"/>
          <w:sz w:val="13"/>
        </w:rPr>
        <w:t>neither </w:t>
      </w:r>
      <w:r>
        <w:rPr>
          <w:sz w:val="13"/>
        </w:rPr>
        <w:t>their final report nor the Act addressed the 13th person rule.</w:t>
      </w:r>
    </w:p>
    <w:p>
      <w:pPr>
        <w:tabs>
          <w:tab w:pos="1761" w:val="left" w:leader="none"/>
        </w:tabs>
        <w:spacing w:line="152" w:lineRule="exact" w:before="0"/>
        <w:ind w:left="967" w:right="0" w:firstLine="0"/>
        <w:jc w:val="left"/>
        <w:rPr>
          <w:sz w:val="13"/>
        </w:rPr>
      </w:pPr>
      <w:r>
        <w:rPr>
          <w:sz w:val="13"/>
        </w:rPr>
        <w:t>67</w:t>
        <w:tab/>
        <w:t>Ibid </w:t>
      </w:r>
      <w:r>
        <w:rPr>
          <w:spacing w:val="3"/>
          <w:sz w:val="13"/>
        </w:rPr>
        <w:t>[3.140].</w:t>
      </w:r>
    </w:p>
    <w:p>
      <w:pPr>
        <w:pStyle w:val="ListParagraph"/>
        <w:numPr>
          <w:ilvl w:val="0"/>
          <w:numId w:val="37"/>
        </w:numPr>
        <w:tabs>
          <w:tab w:pos="1761" w:val="left" w:leader="none"/>
          <w:tab w:pos="1762" w:val="left" w:leader="none"/>
        </w:tabs>
        <w:spacing w:line="213" w:lineRule="auto" w:before="3" w:after="0"/>
        <w:ind w:left="1761" w:right="1451" w:hanging="794"/>
        <w:jc w:val="left"/>
        <w:rPr>
          <w:sz w:val="13"/>
        </w:rPr>
      </w:pPr>
      <w:r>
        <w:rPr/>
        <w:pict>
          <v:shape style="position:absolute;margin-left:548.945618pt;margin-top:11.546089pt;width:13.3pt;height:14.1pt;mso-position-horizontal-relative:page;mso-position-vertical-relative:paragraph;z-index:4336" type="#_x0000_t202" filled="false" stroked="false">
            <v:textbox inset="0,0,0,0">
              <w:txbxContent>
                <w:p>
                  <w:pPr>
                    <w:spacing w:line="282" w:lineRule="exact" w:before="0"/>
                    <w:ind w:left="0" w:right="0" w:firstLine="0"/>
                    <w:jc w:val="left"/>
                    <w:rPr>
                      <w:b/>
                      <w:sz w:val="24"/>
                    </w:rPr>
                  </w:pPr>
                  <w:r>
                    <w:rPr>
                      <w:b/>
                      <w:color w:val="37617A"/>
                      <w:spacing w:val="-2"/>
                      <w:sz w:val="24"/>
                    </w:rPr>
                    <w:t>37</w:t>
                  </w:r>
                </w:p>
              </w:txbxContent>
            </v:textbox>
            <w10:wrap type="none"/>
          </v:shape>
        </w:pict>
      </w:r>
      <w:r>
        <w:rPr>
          <w:sz w:val="13"/>
        </w:rPr>
        <w:t>We note that the </w:t>
      </w:r>
      <w:r>
        <w:rPr>
          <w:spacing w:val="2"/>
          <w:sz w:val="13"/>
        </w:rPr>
        <w:t>Commission </w:t>
      </w:r>
      <w:r>
        <w:rPr>
          <w:sz w:val="13"/>
        </w:rPr>
        <w:t>received 27 online survey responses to the consultation paper. </w:t>
      </w:r>
      <w:r>
        <w:rPr>
          <w:spacing w:val="-4"/>
          <w:sz w:val="13"/>
        </w:rPr>
        <w:t>Two </w:t>
      </w:r>
      <w:r>
        <w:rPr>
          <w:sz w:val="13"/>
        </w:rPr>
        <w:t>survey responses were not supportive of reform and two were neutral about</w:t>
      </w:r>
      <w:r>
        <w:rPr>
          <w:spacing w:val="3"/>
          <w:sz w:val="13"/>
        </w:rPr>
        <w:t> </w:t>
      </w:r>
      <w:r>
        <w:rPr>
          <w:spacing w:val="2"/>
          <w:sz w:val="13"/>
        </w:rPr>
        <w:t>it.</w:t>
      </w:r>
    </w:p>
    <w:p>
      <w:pPr>
        <w:pStyle w:val="ListParagraph"/>
        <w:numPr>
          <w:ilvl w:val="0"/>
          <w:numId w:val="37"/>
        </w:numPr>
        <w:tabs>
          <w:tab w:pos="1761" w:val="left" w:leader="none"/>
          <w:tab w:pos="1762" w:val="left" w:leader="none"/>
        </w:tabs>
        <w:spacing w:line="163" w:lineRule="exact" w:before="0" w:after="0"/>
        <w:ind w:left="1761" w:right="0" w:hanging="794"/>
        <w:jc w:val="left"/>
        <w:rPr>
          <w:sz w:val="13"/>
        </w:rPr>
      </w:pP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spacing w:after="0" w:line="163" w:lineRule="exact"/>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488" w:hanging="794"/>
        <w:jc w:val="left"/>
        <w:rPr>
          <w:sz w:val="11"/>
        </w:rPr>
      </w:pPr>
      <w:r>
        <w:rPr>
          <w:spacing w:val="-3"/>
          <w:sz w:val="20"/>
        </w:rPr>
        <w:t>Similarly,</w:t>
      </w:r>
      <w:r>
        <w:rPr>
          <w:spacing w:val="-12"/>
          <w:sz w:val="20"/>
        </w:rPr>
        <w:t> </w:t>
      </w:r>
      <w:r>
        <w:rPr>
          <w:sz w:val="20"/>
        </w:rPr>
        <w:t>Juries</w:t>
      </w:r>
      <w:r>
        <w:rPr>
          <w:spacing w:val="-12"/>
          <w:sz w:val="20"/>
        </w:rPr>
        <w:t> </w:t>
      </w:r>
      <w:r>
        <w:rPr>
          <w:sz w:val="20"/>
        </w:rPr>
        <w:t>Victoria</w:t>
      </w:r>
      <w:r>
        <w:rPr>
          <w:spacing w:val="-12"/>
          <w:sz w:val="20"/>
        </w:rPr>
        <w:t> </w:t>
      </w:r>
      <w:r>
        <w:rPr>
          <w:sz w:val="20"/>
        </w:rPr>
        <w:t>submitted</w:t>
      </w:r>
      <w:r>
        <w:rPr>
          <w:spacing w:val="-11"/>
          <w:sz w:val="20"/>
        </w:rPr>
        <w:t> </w:t>
      </w:r>
      <w:r>
        <w:rPr>
          <w:sz w:val="20"/>
        </w:rPr>
        <w:t>that</w:t>
      </w:r>
      <w:r>
        <w:rPr>
          <w:spacing w:val="-12"/>
          <w:sz w:val="20"/>
        </w:rPr>
        <w:t> </w:t>
      </w:r>
      <w:r>
        <w:rPr>
          <w:sz w:val="20"/>
        </w:rPr>
        <w:t>‘the</w:t>
      </w:r>
      <w:r>
        <w:rPr>
          <w:spacing w:val="-12"/>
          <w:sz w:val="20"/>
        </w:rPr>
        <w:t> </w:t>
      </w:r>
      <w:r>
        <w:rPr>
          <w:sz w:val="20"/>
        </w:rPr>
        <w:t>jury</w:t>
      </w:r>
      <w:r>
        <w:rPr>
          <w:spacing w:val="-12"/>
          <w:sz w:val="20"/>
        </w:rPr>
        <w:t> </w:t>
      </w:r>
      <w:r>
        <w:rPr>
          <w:sz w:val="20"/>
        </w:rPr>
        <w:t>system</w:t>
      </w:r>
      <w:r>
        <w:rPr>
          <w:spacing w:val="-11"/>
          <w:sz w:val="20"/>
        </w:rPr>
        <w:t> </w:t>
      </w:r>
      <w:r>
        <w:rPr>
          <w:sz w:val="20"/>
        </w:rPr>
        <w:t>and,</w:t>
      </w:r>
      <w:r>
        <w:rPr>
          <w:spacing w:val="-12"/>
          <w:sz w:val="20"/>
        </w:rPr>
        <w:t> </w:t>
      </w:r>
      <w:r>
        <w:rPr>
          <w:spacing w:val="-3"/>
          <w:sz w:val="20"/>
        </w:rPr>
        <w:t>by</w:t>
      </w:r>
      <w:r>
        <w:rPr>
          <w:spacing w:val="-12"/>
          <w:sz w:val="20"/>
        </w:rPr>
        <w:t> </w:t>
      </w:r>
      <w:r>
        <w:rPr>
          <w:sz w:val="20"/>
        </w:rPr>
        <w:t>extension,</w:t>
      </w:r>
      <w:r>
        <w:rPr>
          <w:spacing w:val="-11"/>
          <w:sz w:val="20"/>
        </w:rPr>
        <w:t> </w:t>
      </w:r>
      <w:r>
        <w:rPr>
          <w:sz w:val="20"/>
        </w:rPr>
        <w:t>the</w:t>
      </w:r>
      <w:r>
        <w:rPr>
          <w:spacing w:val="-12"/>
          <w:sz w:val="20"/>
        </w:rPr>
        <w:t> </w:t>
      </w:r>
      <w:r>
        <w:rPr>
          <w:sz w:val="20"/>
        </w:rPr>
        <w:t>justice system can </w:t>
      </w:r>
      <w:r>
        <w:rPr>
          <w:spacing w:val="-3"/>
          <w:sz w:val="20"/>
        </w:rPr>
        <w:t>only </w:t>
      </w:r>
      <w:r>
        <w:rPr>
          <w:sz w:val="20"/>
        </w:rPr>
        <w:t>be enhanced </w:t>
      </w:r>
      <w:r>
        <w:rPr>
          <w:spacing w:val="-3"/>
          <w:sz w:val="20"/>
        </w:rPr>
        <w:t>by </w:t>
      </w:r>
      <w:r>
        <w:rPr>
          <w:sz w:val="20"/>
        </w:rPr>
        <w:t>more </w:t>
      </w:r>
      <w:r>
        <w:rPr>
          <w:spacing w:val="-3"/>
          <w:sz w:val="20"/>
        </w:rPr>
        <w:t>inclusive</w:t>
      </w:r>
      <w:r>
        <w:rPr>
          <w:spacing w:val="-29"/>
          <w:sz w:val="20"/>
        </w:rPr>
        <w:t> </w:t>
      </w:r>
      <w:r>
        <w:rPr>
          <w:spacing w:val="-4"/>
          <w:sz w:val="20"/>
        </w:rPr>
        <w:t>juries’.</w:t>
      </w:r>
      <w:r>
        <w:rPr>
          <w:spacing w:val="-4"/>
          <w:position w:val="7"/>
          <w:sz w:val="11"/>
        </w:rPr>
        <w:t>70</w:t>
      </w:r>
    </w:p>
    <w:p>
      <w:pPr>
        <w:pStyle w:val="ListParagraph"/>
        <w:numPr>
          <w:ilvl w:val="1"/>
          <w:numId w:val="12"/>
        </w:numPr>
        <w:tabs>
          <w:tab w:pos="1761" w:val="left" w:leader="none"/>
          <w:tab w:pos="1762" w:val="left" w:leader="none"/>
        </w:tabs>
        <w:spacing w:line="206" w:lineRule="auto" w:before="123" w:after="0"/>
        <w:ind w:left="1761" w:right="1541" w:hanging="794"/>
        <w:jc w:val="left"/>
        <w:rPr>
          <w:sz w:val="11"/>
        </w:rPr>
      </w:pPr>
      <w:r>
        <w:rPr>
          <w:sz w:val="20"/>
        </w:rPr>
        <w:t>The Supreme Court commented that participation ‘where it is consistent with the accused’s</w:t>
      </w:r>
      <w:r>
        <w:rPr>
          <w:spacing w:val="-9"/>
          <w:sz w:val="20"/>
        </w:rPr>
        <w:t> </w:t>
      </w:r>
      <w:r>
        <w:rPr>
          <w:sz w:val="20"/>
        </w:rPr>
        <w:t>right</w:t>
      </w:r>
      <w:r>
        <w:rPr>
          <w:spacing w:val="-8"/>
          <w:sz w:val="20"/>
        </w:rPr>
        <w:t> </w:t>
      </w:r>
      <w:r>
        <w:rPr>
          <w:sz w:val="20"/>
        </w:rPr>
        <w:t>to</w:t>
      </w:r>
      <w:r>
        <w:rPr>
          <w:spacing w:val="-8"/>
          <w:sz w:val="20"/>
        </w:rPr>
        <w:t> </w:t>
      </w:r>
      <w:r>
        <w:rPr>
          <w:sz w:val="20"/>
        </w:rPr>
        <w:t>a</w:t>
      </w:r>
      <w:r>
        <w:rPr>
          <w:spacing w:val="-8"/>
          <w:sz w:val="20"/>
        </w:rPr>
        <w:t> </w:t>
      </w:r>
      <w:r>
        <w:rPr>
          <w:sz w:val="20"/>
        </w:rPr>
        <w:t>fair</w:t>
      </w:r>
      <w:r>
        <w:rPr>
          <w:spacing w:val="-8"/>
          <w:sz w:val="20"/>
        </w:rPr>
        <w:t> </w:t>
      </w:r>
      <w:r>
        <w:rPr>
          <w:sz w:val="20"/>
        </w:rPr>
        <w:t>trial,</w:t>
      </w:r>
      <w:r>
        <w:rPr>
          <w:spacing w:val="-8"/>
          <w:sz w:val="20"/>
        </w:rPr>
        <w:t> </w:t>
      </w:r>
      <w:r>
        <w:rPr>
          <w:spacing w:val="-3"/>
          <w:sz w:val="20"/>
        </w:rPr>
        <w:t>would</w:t>
      </w:r>
      <w:r>
        <w:rPr>
          <w:spacing w:val="-8"/>
          <w:sz w:val="20"/>
        </w:rPr>
        <w:t> </w:t>
      </w:r>
      <w:r>
        <w:rPr>
          <w:sz w:val="20"/>
        </w:rPr>
        <w:t>advance</w:t>
      </w:r>
      <w:r>
        <w:rPr>
          <w:spacing w:val="-8"/>
          <w:sz w:val="20"/>
        </w:rPr>
        <w:t> </w:t>
      </w:r>
      <w:r>
        <w:rPr>
          <w:sz w:val="20"/>
        </w:rPr>
        <w:t>the</w:t>
      </w:r>
      <w:r>
        <w:rPr>
          <w:spacing w:val="-8"/>
          <w:sz w:val="20"/>
        </w:rPr>
        <w:t> </w:t>
      </w:r>
      <w:r>
        <w:rPr>
          <w:spacing w:val="-3"/>
          <w:sz w:val="20"/>
        </w:rPr>
        <w:t>representativeness</w:t>
      </w:r>
      <w:r>
        <w:rPr>
          <w:spacing w:val="-8"/>
          <w:sz w:val="20"/>
        </w:rPr>
        <w:t> </w:t>
      </w:r>
      <w:r>
        <w:rPr>
          <w:sz w:val="20"/>
        </w:rPr>
        <w:t>of</w:t>
      </w:r>
      <w:r>
        <w:rPr>
          <w:spacing w:val="-8"/>
          <w:sz w:val="20"/>
        </w:rPr>
        <w:t> </w:t>
      </w:r>
      <w:r>
        <w:rPr>
          <w:sz w:val="20"/>
        </w:rPr>
        <w:t>juries</w:t>
      </w:r>
      <w:r>
        <w:rPr>
          <w:spacing w:val="-8"/>
          <w:sz w:val="20"/>
        </w:rPr>
        <w:t> </w:t>
      </w:r>
      <w:r>
        <w:rPr>
          <w:sz w:val="20"/>
        </w:rPr>
        <w:t>and</w:t>
      </w:r>
      <w:r>
        <w:rPr>
          <w:spacing w:val="-8"/>
          <w:sz w:val="20"/>
        </w:rPr>
        <w:t> </w:t>
      </w:r>
      <w:r>
        <w:rPr>
          <w:sz w:val="20"/>
        </w:rPr>
        <w:t>the community’s confidence in the jury</w:t>
      </w:r>
      <w:r>
        <w:rPr>
          <w:spacing w:val="-23"/>
          <w:sz w:val="20"/>
        </w:rPr>
        <w:t> </w:t>
      </w:r>
      <w:r>
        <w:rPr>
          <w:spacing w:val="-4"/>
          <w:sz w:val="20"/>
        </w:rPr>
        <w:t>system’.</w:t>
      </w:r>
      <w:r>
        <w:rPr>
          <w:spacing w:val="-4"/>
          <w:position w:val="7"/>
          <w:sz w:val="11"/>
        </w:rPr>
        <w:t>71</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The County Court stated</w:t>
      </w:r>
      <w:r>
        <w:rPr>
          <w:spacing w:val="-17"/>
          <w:sz w:val="20"/>
        </w:rPr>
        <w:t> </w:t>
      </w:r>
      <w:r>
        <w:rPr>
          <w:sz w:val="20"/>
        </w:rPr>
        <w:t>that:</w:t>
      </w:r>
    </w:p>
    <w:p>
      <w:pPr>
        <w:spacing w:line="208" w:lineRule="auto" w:before="113"/>
        <w:ind w:left="2157" w:right="1335" w:firstLine="0"/>
        <w:jc w:val="left"/>
        <w:rPr>
          <w:sz w:val="11"/>
        </w:rPr>
      </w:pPr>
      <w:r>
        <w:rPr>
          <w:sz w:val="19"/>
        </w:rPr>
        <w:t>with reasonable accommodations, whilst balancing the rights of the accused and other jurors, and the appropriate funding and resourcing, there may be scope for persons in the subject groups to be able to competently discharge their duties as jurors.</w:t>
      </w:r>
      <w:r>
        <w:rPr>
          <w:position w:val="6"/>
          <w:sz w:val="11"/>
        </w:rPr>
        <w:t>72</w:t>
      </w:r>
    </w:p>
    <w:p>
      <w:pPr>
        <w:pStyle w:val="ListParagraph"/>
        <w:numPr>
          <w:ilvl w:val="1"/>
          <w:numId w:val="12"/>
        </w:numPr>
        <w:tabs>
          <w:tab w:pos="1761" w:val="left" w:leader="none"/>
          <w:tab w:pos="1762" w:val="left" w:leader="none"/>
        </w:tabs>
        <w:spacing w:line="259" w:lineRule="exact" w:before="92" w:after="0"/>
        <w:ind w:left="1761" w:right="0" w:hanging="794"/>
        <w:jc w:val="left"/>
        <w:rPr>
          <w:sz w:val="20"/>
        </w:rPr>
      </w:pPr>
      <w:r>
        <w:rPr>
          <w:sz w:val="20"/>
        </w:rPr>
        <w:t>People</w:t>
      </w:r>
      <w:r>
        <w:rPr>
          <w:spacing w:val="-6"/>
          <w:sz w:val="20"/>
        </w:rPr>
        <w:t> </w:t>
      </w:r>
      <w:r>
        <w:rPr>
          <w:sz w:val="20"/>
        </w:rPr>
        <w:t>in</w:t>
      </w:r>
      <w:r>
        <w:rPr>
          <w:spacing w:val="-6"/>
          <w:sz w:val="20"/>
        </w:rPr>
        <w:t> </w:t>
      </w:r>
      <w:r>
        <w:rPr>
          <w:sz w:val="20"/>
        </w:rPr>
        <w:t>the</w:t>
      </w:r>
      <w:r>
        <w:rPr>
          <w:spacing w:val="-6"/>
          <w:sz w:val="20"/>
        </w:rPr>
        <w:t> </w:t>
      </w:r>
      <w:r>
        <w:rPr>
          <w:sz w:val="20"/>
        </w:rPr>
        <w:t>subject</w:t>
      </w:r>
      <w:r>
        <w:rPr>
          <w:spacing w:val="-6"/>
          <w:sz w:val="20"/>
        </w:rPr>
        <w:t> </w:t>
      </w:r>
      <w:r>
        <w:rPr>
          <w:sz w:val="20"/>
        </w:rPr>
        <w:t>groups</w:t>
      </w:r>
      <w:r>
        <w:rPr>
          <w:spacing w:val="-6"/>
          <w:sz w:val="20"/>
        </w:rPr>
        <w:t> </w:t>
      </w:r>
      <w:r>
        <w:rPr>
          <w:spacing w:val="-3"/>
          <w:sz w:val="20"/>
        </w:rPr>
        <w:t>told</w:t>
      </w:r>
      <w:r>
        <w:rPr>
          <w:spacing w:val="-6"/>
          <w:sz w:val="20"/>
        </w:rPr>
        <w:t> </w:t>
      </w:r>
      <w:r>
        <w:rPr>
          <w:sz w:val="20"/>
        </w:rPr>
        <w:t>us</w:t>
      </w:r>
      <w:r>
        <w:rPr>
          <w:spacing w:val="-6"/>
          <w:sz w:val="20"/>
        </w:rPr>
        <w:t> </w:t>
      </w:r>
      <w:r>
        <w:rPr>
          <w:sz w:val="20"/>
        </w:rPr>
        <w:t>that</w:t>
      </w:r>
      <w:r>
        <w:rPr>
          <w:spacing w:val="-5"/>
          <w:sz w:val="20"/>
        </w:rPr>
        <w:t> </w:t>
      </w:r>
      <w:r>
        <w:rPr>
          <w:sz w:val="20"/>
        </w:rPr>
        <w:t>they</w:t>
      </w:r>
      <w:r>
        <w:rPr>
          <w:spacing w:val="-6"/>
          <w:sz w:val="20"/>
        </w:rPr>
        <w:t> </w:t>
      </w:r>
      <w:r>
        <w:rPr>
          <w:sz w:val="20"/>
        </w:rPr>
        <w:t>want</w:t>
      </w:r>
      <w:r>
        <w:rPr>
          <w:spacing w:val="-6"/>
          <w:sz w:val="20"/>
        </w:rPr>
        <w:t> </w:t>
      </w:r>
      <w:r>
        <w:rPr>
          <w:sz w:val="20"/>
        </w:rPr>
        <w:t>the</w:t>
      </w:r>
      <w:r>
        <w:rPr>
          <w:spacing w:val="-6"/>
          <w:sz w:val="20"/>
        </w:rPr>
        <w:t> </w:t>
      </w:r>
      <w:r>
        <w:rPr>
          <w:sz w:val="20"/>
        </w:rPr>
        <w:t>opportunity</w:t>
      </w:r>
      <w:r>
        <w:rPr>
          <w:spacing w:val="-6"/>
          <w:sz w:val="20"/>
        </w:rPr>
        <w:t> </w:t>
      </w:r>
      <w:r>
        <w:rPr>
          <w:sz w:val="20"/>
        </w:rPr>
        <w:t>to</w:t>
      </w:r>
      <w:r>
        <w:rPr>
          <w:spacing w:val="-6"/>
          <w:sz w:val="20"/>
        </w:rPr>
        <w:t> </w:t>
      </w:r>
      <w:r>
        <w:rPr>
          <w:spacing w:val="-3"/>
          <w:sz w:val="20"/>
        </w:rPr>
        <w:t>exercise</w:t>
      </w:r>
      <w:r>
        <w:rPr>
          <w:spacing w:val="-6"/>
          <w:sz w:val="20"/>
        </w:rPr>
        <w:t> </w:t>
      </w:r>
      <w:r>
        <w:rPr>
          <w:sz w:val="20"/>
        </w:rPr>
        <w:t>their</w:t>
      </w:r>
    </w:p>
    <w:p>
      <w:pPr>
        <w:pStyle w:val="BodyText"/>
        <w:spacing w:line="259" w:lineRule="exact"/>
        <w:ind w:left="1761"/>
      </w:pPr>
      <w:r>
        <w:rPr/>
        <w:t>civic duty. Consultation participants from Deaf Victoria told us:</w:t>
      </w:r>
    </w:p>
    <w:p>
      <w:pPr>
        <w:spacing w:line="247" w:lineRule="exact" w:before="84"/>
        <w:ind w:left="2157" w:right="0" w:firstLine="0"/>
        <w:jc w:val="left"/>
        <w:rPr>
          <w:sz w:val="19"/>
        </w:rPr>
      </w:pPr>
      <w:r>
        <w:rPr>
          <w:sz w:val="19"/>
        </w:rPr>
        <w:t>Nobody is perfect and so why should we aim for a perfect jury? It adds to the richness</w:t>
      </w:r>
    </w:p>
    <w:p>
      <w:pPr>
        <w:spacing w:line="247" w:lineRule="exact" w:before="0"/>
        <w:ind w:left="2157" w:right="0" w:firstLine="0"/>
        <w:jc w:val="left"/>
        <w:rPr>
          <w:sz w:val="19"/>
        </w:rPr>
      </w:pPr>
      <w:r>
        <w:rPr>
          <w:sz w:val="19"/>
        </w:rPr>
        <w:t>of a jury that deaf people are able to serve alongside hearing jurors.</w:t>
      </w:r>
    </w:p>
    <w:p>
      <w:pPr>
        <w:spacing w:line="208" w:lineRule="auto" w:before="115"/>
        <w:ind w:left="2157" w:right="1206" w:firstLine="0"/>
        <w:jc w:val="left"/>
        <w:rPr>
          <w:sz w:val="19"/>
        </w:rPr>
      </w:pPr>
      <w:r>
        <w:rPr>
          <w:sz w:val="19"/>
        </w:rPr>
        <w:t>Just like other members of the community, deaf people need to grow and learn. If we don’t have the opportunity to sit on a jury, then we won’t have the opportunity to grow and become more experienced members of civil society. It’s about playing our part in the community. If we’re not seen and not recognised as members of the community, then the community doesn’t know what we can do.</w:t>
      </w:r>
    </w:p>
    <w:p>
      <w:pPr>
        <w:spacing w:before="94"/>
        <w:ind w:left="2157" w:right="0" w:firstLine="0"/>
        <w:jc w:val="left"/>
        <w:rPr>
          <w:sz w:val="11"/>
        </w:rPr>
      </w:pPr>
      <w:r>
        <w:rPr>
          <w:sz w:val="19"/>
        </w:rPr>
        <w:t>I would love to be on a jury but at the moment I’m excluded.</w:t>
      </w:r>
      <w:r>
        <w:rPr>
          <w:position w:val="6"/>
          <w:sz w:val="11"/>
        </w:rPr>
        <w:t>73</w:t>
      </w:r>
    </w:p>
    <w:p>
      <w:pPr>
        <w:pStyle w:val="ListParagraph"/>
        <w:numPr>
          <w:ilvl w:val="1"/>
          <w:numId w:val="12"/>
        </w:numPr>
        <w:tabs>
          <w:tab w:pos="1761" w:val="left" w:leader="none"/>
          <w:tab w:pos="1762" w:val="left" w:leader="none"/>
        </w:tabs>
        <w:spacing w:line="240" w:lineRule="auto" w:before="85" w:after="0"/>
        <w:ind w:left="1761" w:right="0" w:hanging="794"/>
        <w:jc w:val="left"/>
        <w:rPr>
          <w:sz w:val="20"/>
        </w:rPr>
      </w:pPr>
      <w:r>
        <w:rPr>
          <w:sz w:val="20"/>
        </w:rPr>
        <w:t>Consultation participants </w:t>
      </w:r>
      <w:r>
        <w:rPr>
          <w:spacing w:val="-3"/>
          <w:sz w:val="20"/>
        </w:rPr>
        <w:t>from </w:t>
      </w:r>
      <w:r>
        <w:rPr>
          <w:sz w:val="20"/>
        </w:rPr>
        <w:t>Blind </w:t>
      </w:r>
      <w:r>
        <w:rPr>
          <w:spacing w:val="-3"/>
          <w:sz w:val="20"/>
        </w:rPr>
        <w:t>Citizens </w:t>
      </w:r>
      <w:r>
        <w:rPr>
          <w:sz w:val="20"/>
        </w:rPr>
        <w:t>Australia</w:t>
      </w:r>
      <w:r>
        <w:rPr>
          <w:spacing w:val="-24"/>
          <w:sz w:val="20"/>
        </w:rPr>
        <w:t> </w:t>
      </w:r>
      <w:r>
        <w:rPr>
          <w:sz w:val="20"/>
        </w:rPr>
        <w:t>commented:</w:t>
      </w:r>
    </w:p>
    <w:p>
      <w:pPr>
        <w:spacing w:before="84"/>
        <w:ind w:left="2157" w:right="0" w:firstLine="0"/>
        <w:jc w:val="left"/>
        <w:rPr>
          <w:sz w:val="19"/>
        </w:rPr>
      </w:pPr>
      <w:r>
        <w:rPr>
          <w:sz w:val="19"/>
        </w:rPr>
        <w:t>As a blind person, you face very low expectations.</w:t>
      </w:r>
    </w:p>
    <w:p>
      <w:pPr>
        <w:spacing w:before="86"/>
        <w:ind w:left="2157" w:right="0" w:firstLine="0"/>
        <w:jc w:val="left"/>
        <w:rPr>
          <w:sz w:val="19"/>
        </w:rPr>
      </w:pPr>
      <w:r>
        <w:rPr>
          <w:sz w:val="19"/>
        </w:rPr>
        <w:t>We often refer to blindness as an information-based disability.</w:t>
      </w:r>
    </w:p>
    <w:p>
      <w:pPr>
        <w:spacing w:line="208" w:lineRule="auto" w:before="115"/>
        <w:ind w:left="2157" w:right="1335" w:firstLine="0"/>
        <w:jc w:val="left"/>
        <w:rPr>
          <w:sz w:val="19"/>
        </w:rPr>
      </w:pPr>
      <w:r>
        <w:rPr>
          <w:sz w:val="19"/>
        </w:rPr>
        <w:t>[Serving on a jury] was something I wanted to do but I didn’t have the opportunity to, because I am blind.</w:t>
      </w:r>
    </w:p>
    <w:p>
      <w:pPr>
        <w:spacing w:line="208" w:lineRule="auto" w:before="121"/>
        <w:ind w:left="2157" w:right="1335" w:firstLine="0"/>
        <w:jc w:val="left"/>
        <w:rPr>
          <w:sz w:val="19"/>
        </w:rPr>
      </w:pPr>
      <w:r>
        <w:rPr>
          <w:sz w:val="19"/>
        </w:rPr>
        <w:t>If we want to be regarded as equal citizens, then we should uphold our civic responsibilities.</w:t>
      </w:r>
    </w:p>
    <w:p>
      <w:pPr>
        <w:spacing w:line="208" w:lineRule="auto" w:before="121"/>
        <w:ind w:left="2157" w:right="1535" w:firstLine="0"/>
        <w:jc w:val="left"/>
        <w:rPr>
          <w:sz w:val="19"/>
        </w:rPr>
      </w:pPr>
      <w:r>
        <w:rPr>
          <w:sz w:val="19"/>
        </w:rPr>
        <w:t>There is a tendency for the public to think that inclusion is a service provider’s responsibility but actually it’s the whole community’s responsibility to involve us in society.</w:t>
      </w:r>
    </w:p>
    <w:p>
      <w:pPr>
        <w:spacing w:line="208" w:lineRule="auto" w:before="122"/>
        <w:ind w:left="2157" w:right="1277" w:firstLine="0"/>
        <w:jc w:val="left"/>
        <w:rPr>
          <w:sz w:val="11"/>
        </w:rPr>
      </w:pPr>
      <w:r>
        <w:rPr>
          <w:sz w:val="19"/>
        </w:rPr>
        <w:t>It is important that we are seen to be doing important work because then people will understand our capabilities more.</w:t>
      </w:r>
      <w:r>
        <w:rPr>
          <w:position w:val="6"/>
          <w:sz w:val="11"/>
        </w:rPr>
        <w:t>74</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Daniel Stubbs observed</w:t>
      </w:r>
      <w:r>
        <w:rPr>
          <w:spacing w:val="-13"/>
          <w:sz w:val="20"/>
        </w:rPr>
        <w:t> </w:t>
      </w:r>
      <w:r>
        <w:rPr>
          <w:sz w:val="20"/>
        </w:rPr>
        <w:t>that:</w:t>
      </w:r>
    </w:p>
    <w:p>
      <w:pPr>
        <w:spacing w:line="208" w:lineRule="auto" w:before="112"/>
        <w:ind w:left="2157" w:right="1202" w:firstLine="0"/>
        <w:jc w:val="left"/>
        <w:rPr>
          <w:sz w:val="19"/>
        </w:rPr>
      </w:pPr>
      <w:r>
        <w:rPr>
          <w:sz w:val="19"/>
        </w:rPr>
        <w:t>the project is an important opportunity to allow people with disabilities to be involved in and contribute to the community. If more people with disabilities participate</w:t>
      </w:r>
    </w:p>
    <w:p>
      <w:pPr>
        <w:spacing w:line="208" w:lineRule="auto" w:before="1"/>
        <w:ind w:left="2157" w:right="1335" w:firstLine="0"/>
        <w:jc w:val="left"/>
        <w:rPr>
          <w:sz w:val="11"/>
        </w:rPr>
      </w:pPr>
      <w:r>
        <w:rPr>
          <w:sz w:val="19"/>
        </w:rPr>
        <w:t>and have access to normal community services/life they are more visible in the community and more likely to be safe.</w:t>
      </w:r>
      <w:r>
        <w:rPr>
          <w:position w:val="6"/>
          <w:sz w:val="11"/>
        </w:rPr>
        <w:t>75</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The Australian Institute of </w:t>
      </w:r>
      <w:r>
        <w:rPr>
          <w:spacing w:val="-3"/>
          <w:sz w:val="20"/>
        </w:rPr>
        <w:t>Interpreters </w:t>
      </w:r>
      <w:r>
        <w:rPr>
          <w:sz w:val="20"/>
        </w:rPr>
        <w:t>and </w:t>
      </w:r>
      <w:r>
        <w:rPr>
          <w:spacing w:val="-4"/>
          <w:sz w:val="20"/>
        </w:rPr>
        <w:t>Translators</w:t>
      </w:r>
      <w:r>
        <w:rPr>
          <w:spacing w:val="-28"/>
          <w:sz w:val="20"/>
        </w:rPr>
        <w:t> </w:t>
      </w:r>
      <w:r>
        <w:rPr>
          <w:sz w:val="20"/>
        </w:rPr>
        <w:t>said:</w:t>
      </w:r>
    </w:p>
    <w:p>
      <w:pPr>
        <w:spacing w:line="208" w:lineRule="auto" w:before="113"/>
        <w:ind w:left="2157" w:right="1481" w:firstLine="0"/>
        <w:jc w:val="left"/>
        <w:rPr>
          <w:sz w:val="11"/>
        </w:rPr>
      </w:pPr>
      <w:r>
        <w:rPr>
          <w:sz w:val="19"/>
        </w:rPr>
        <w:t>Just because a person has a disability, it does not mean that they cannot contribute. All people, including those with disabilities, have rights, obligations, and community responsibilities. They should be able to contribute to society.</w:t>
      </w:r>
      <w:r>
        <w:rPr>
          <w:position w:val="6"/>
          <w:sz w:val="11"/>
        </w:rPr>
        <w:t>76</w:t>
      </w:r>
    </w:p>
    <w:p>
      <w:pPr>
        <w:pStyle w:val="BodyText"/>
      </w:pPr>
    </w:p>
    <w:p>
      <w:pPr>
        <w:pStyle w:val="BodyText"/>
      </w:pPr>
    </w:p>
    <w:p>
      <w:pPr>
        <w:pStyle w:val="BodyText"/>
      </w:pPr>
    </w:p>
    <w:p>
      <w:pPr>
        <w:pStyle w:val="BodyText"/>
      </w:pPr>
    </w:p>
    <w:p>
      <w:pPr>
        <w:pStyle w:val="BodyText"/>
        <w:spacing w:before="6"/>
        <w:rPr>
          <w:sz w:val="12"/>
        </w:rPr>
      </w:pPr>
      <w:r>
        <w:rPr/>
        <w:pict>
          <v:line style="position:absolute;mso-position-horizontal-relative:page;mso-position-vertical-relative:paragraph;z-index:2312;mso-wrap-distance-left:0;mso-wrap-distance-right:0" from="79.370102pt,11.1199pt" to="515.905102pt,11.1199pt" stroked="true" strokeweight="1pt" strokecolor="#b6bdc8">
            <v:stroke dashstyle="solid"/>
            <w10:wrap type="topAndBottom"/>
          </v:line>
        </w:pict>
      </w:r>
    </w:p>
    <w:p>
      <w:pPr>
        <w:pStyle w:val="ListParagraph"/>
        <w:numPr>
          <w:ilvl w:val="0"/>
          <w:numId w:val="37"/>
        </w:numPr>
        <w:tabs>
          <w:tab w:pos="1761" w:val="left" w:leader="none"/>
          <w:tab w:pos="1762" w:val="left" w:leader="none"/>
        </w:tabs>
        <w:spacing w:line="170" w:lineRule="exact" w:before="91" w:after="0"/>
        <w:ind w:left="1761" w:right="0" w:hanging="794"/>
        <w:jc w:val="left"/>
        <w:rPr>
          <w:sz w:val="13"/>
        </w:rPr>
      </w:pPr>
      <w:r>
        <w:rPr>
          <w:spacing w:val="2"/>
          <w:sz w:val="13"/>
        </w:rPr>
        <w:t>Submission </w:t>
      </w:r>
      <w:r>
        <w:rPr>
          <w:sz w:val="13"/>
        </w:rPr>
        <w:t>13 </w:t>
      </w:r>
      <w:r>
        <w:rPr>
          <w:spacing w:val="2"/>
          <w:sz w:val="13"/>
        </w:rPr>
        <w:t>(Juries</w:t>
      </w:r>
      <w:r>
        <w:rPr>
          <w:spacing w:val="-2"/>
          <w:sz w:val="13"/>
        </w:rPr>
        <w:t> </w:t>
      </w:r>
      <w:r>
        <w:rPr>
          <w:sz w:val="13"/>
        </w:rPr>
        <w:t>Victoria).</w:t>
      </w:r>
    </w:p>
    <w:p>
      <w:pPr>
        <w:pStyle w:val="ListParagraph"/>
        <w:numPr>
          <w:ilvl w:val="0"/>
          <w:numId w:val="37"/>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pStyle w:val="ListParagraph"/>
        <w:numPr>
          <w:ilvl w:val="0"/>
          <w:numId w:val="37"/>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pStyle w:val="ListParagraph"/>
        <w:numPr>
          <w:ilvl w:val="0"/>
          <w:numId w:val="37"/>
        </w:numPr>
        <w:tabs>
          <w:tab w:pos="1761" w:val="left" w:leader="none"/>
          <w:tab w:pos="1762" w:val="left" w:leader="none"/>
        </w:tabs>
        <w:spacing w:line="160" w:lineRule="exact" w:before="0" w:after="0"/>
        <w:ind w:left="1761" w:right="0" w:hanging="794"/>
        <w:jc w:val="left"/>
        <w:rPr>
          <w:sz w:val="13"/>
        </w:rPr>
      </w:pPr>
      <w:r>
        <w:rPr>
          <w:sz w:val="13"/>
        </w:rPr>
        <w:t>Consultation 6 (Deaf Victoria and community</w:t>
      </w:r>
      <w:r>
        <w:rPr>
          <w:spacing w:val="3"/>
          <w:sz w:val="13"/>
        </w:rPr>
        <w:t> </w:t>
      </w:r>
      <w:r>
        <w:rPr>
          <w:sz w:val="13"/>
        </w:rPr>
        <w:t>participants).</w:t>
      </w:r>
    </w:p>
    <w:p>
      <w:pPr>
        <w:pStyle w:val="ListParagraph"/>
        <w:numPr>
          <w:ilvl w:val="0"/>
          <w:numId w:val="37"/>
        </w:numPr>
        <w:tabs>
          <w:tab w:pos="1760" w:val="left" w:leader="none"/>
          <w:tab w:pos="1762" w:val="left" w:leader="none"/>
        </w:tabs>
        <w:spacing w:line="160" w:lineRule="exact" w:before="0" w:after="0"/>
        <w:ind w:left="1761" w:right="0" w:hanging="794"/>
        <w:jc w:val="left"/>
        <w:rPr>
          <w:sz w:val="13"/>
        </w:rPr>
      </w:pPr>
      <w:r>
        <w:rPr>
          <w:sz w:val="13"/>
        </w:rPr>
        <w:t>Consultation 1 </w:t>
      </w:r>
      <w:r>
        <w:rPr>
          <w:spacing w:val="2"/>
          <w:sz w:val="13"/>
        </w:rPr>
        <w:t>(Blind </w:t>
      </w:r>
      <w:r>
        <w:rPr>
          <w:sz w:val="13"/>
        </w:rPr>
        <w:t>Citizens</w:t>
      </w:r>
      <w:r>
        <w:rPr>
          <w:spacing w:val="-2"/>
          <w:sz w:val="13"/>
        </w:rPr>
        <w:t> </w:t>
      </w:r>
      <w:r>
        <w:rPr>
          <w:sz w:val="13"/>
        </w:rPr>
        <w:t>Australia).</w:t>
      </w:r>
    </w:p>
    <w:p>
      <w:pPr>
        <w:pStyle w:val="ListParagraph"/>
        <w:numPr>
          <w:ilvl w:val="0"/>
          <w:numId w:val="37"/>
        </w:numPr>
        <w:tabs>
          <w:tab w:pos="1760" w:val="left" w:leader="none"/>
          <w:tab w:pos="1762" w:val="left" w:leader="none"/>
        </w:tabs>
        <w:spacing w:line="112" w:lineRule="exact" w:before="0" w:after="0"/>
        <w:ind w:left="1761" w:right="0" w:hanging="794"/>
        <w:jc w:val="left"/>
        <w:rPr>
          <w:sz w:val="13"/>
        </w:rPr>
      </w:pPr>
      <w:r>
        <w:rPr>
          <w:sz w:val="13"/>
        </w:rPr>
        <w:t>Consultation 22 (Daniel Stubbs, Victorian </w:t>
      </w:r>
      <w:r>
        <w:rPr>
          <w:spacing w:val="2"/>
          <w:sz w:val="13"/>
        </w:rPr>
        <w:t>Disability </w:t>
      </w:r>
      <w:r>
        <w:rPr>
          <w:sz w:val="13"/>
        </w:rPr>
        <w:t>Worker Commissioner, in his personal</w:t>
      </w:r>
      <w:r>
        <w:rPr>
          <w:spacing w:val="10"/>
          <w:sz w:val="13"/>
        </w:rPr>
        <w:t> </w:t>
      </w:r>
      <w:r>
        <w:rPr>
          <w:sz w:val="13"/>
        </w:rPr>
        <w:t>capacity).</w:t>
      </w:r>
    </w:p>
    <w:p>
      <w:pPr>
        <w:tabs>
          <w:tab w:pos="967" w:val="left" w:leader="none"/>
          <w:tab w:pos="1761" w:val="left" w:leader="none"/>
        </w:tabs>
        <w:spacing w:line="274" w:lineRule="exact" w:before="0"/>
        <w:ind w:left="100" w:right="0" w:firstLine="0"/>
        <w:jc w:val="left"/>
        <w:rPr>
          <w:sz w:val="13"/>
        </w:rPr>
      </w:pPr>
      <w:r>
        <w:rPr>
          <w:b/>
          <w:color w:val="37617A"/>
          <w:position w:val="-2"/>
          <w:sz w:val="24"/>
        </w:rPr>
        <w:t>38</w:t>
        <w:tab/>
      </w:r>
      <w:r>
        <w:rPr>
          <w:sz w:val="13"/>
        </w:rPr>
        <w:t>76</w:t>
        <w:tab/>
        <w:t>Consultation 19 </w:t>
      </w:r>
      <w:r>
        <w:rPr>
          <w:spacing w:val="2"/>
          <w:sz w:val="13"/>
        </w:rPr>
        <w:t>(Australian </w:t>
      </w:r>
      <w:r>
        <w:rPr>
          <w:sz w:val="13"/>
        </w:rPr>
        <w:t>Institute of Interpreters and Translators</w:t>
      </w:r>
      <w:r>
        <w:rPr>
          <w:spacing w:val="2"/>
          <w:sz w:val="13"/>
        </w:rPr>
        <w:t> </w:t>
      </w:r>
      <w:r>
        <w:rPr>
          <w:sz w:val="13"/>
        </w:rPr>
        <w:t>(AUSIT)).</w:t>
      </w:r>
    </w:p>
    <w:p>
      <w:pPr>
        <w:spacing w:after="0" w:line="274"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40" w:lineRule="auto" w:before="58" w:after="0"/>
        <w:ind w:left="1761" w:right="0" w:hanging="794"/>
        <w:jc w:val="left"/>
        <w:rPr>
          <w:sz w:val="20"/>
        </w:rPr>
      </w:pPr>
      <w:bookmarkStart w:name="Reform is overdue" w:id="88"/>
      <w:bookmarkEnd w:id="88"/>
      <w:r>
        <w:rPr/>
      </w:r>
      <w:bookmarkStart w:name="_bookmark35" w:id="89"/>
      <w:bookmarkEnd w:id="89"/>
      <w:r>
        <w:rPr/>
      </w:r>
      <w:bookmarkStart w:name="_bookmark35" w:id="90"/>
      <w:bookmarkEnd w:id="90"/>
      <w:r>
        <w:rPr>
          <w:sz w:val="20"/>
        </w:rPr>
        <w:t>S</w:t>
      </w:r>
      <w:r>
        <w:rPr>
          <w:sz w:val="20"/>
        </w:rPr>
        <w:t>urvey participants</w:t>
      </w:r>
      <w:r>
        <w:rPr>
          <w:spacing w:val="-9"/>
          <w:sz w:val="20"/>
        </w:rPr>
        <w:t> </w:t>
      </w:r>
      <w:r>
        <w:rPr>
          <w:sz w:val="20"/>
        </w:rPr>
        <w:t>agreed:</w:t>
      </w:r>
    </w:p>
    <w:p>
      <w:pPr>
        <w:spacing w:line="208" w:lineRule="auto" w:before="112"/>
        <w:ind w:left="2157" w:right="1590" w:firstLine="0"/>
        <w:jc w:val="left"/>
        <w:rPr>
          <w:sz w:val="11"/>
        </w:rPr>
      </w:pPr>
      <w:r>
        <w:rPr>
          <w:sz w:val="19"/>
        </w:rPr>
        <w:t>At the end of the day, we are entitled to serve the same civic duties as everybody else. Why should we pay taxes when we don’t have a voice?</w:t>
      </w:r>
      <w:r>
        <w:rPr>
          <w:position w:val="6"/>
          <w:sz w:val="11"/>
        </w:rPr>
        <w:t>77</w:t>
      </w:r>
    </w:p>
    <w:p>
      <w:pPr>
        <w:spacing w:line="208" w:lineRule="auto" w:before="121"/>
        <w:ind w:left="2157" w:right="1202" w:firstLine="0"/>
        <w:jc w:val="left"/>
        <w:rPr>
          <w:sz w:val="11"/>
        </w:rPr>
      </w:pPr>
      <w:r>
        <w:rPr>
          <w:sz w:val="19"/>
        </w:rPr>
        <w:t>I was discouraged from joining in the pool of potential jury members and was advised that being blind, I did not have to participate even though I take my community responsibility seriously and was happy to serve.</w:t>
      </w:r>
      <w:r>
        <w:rPr>
          <w:position w:val="6"/>
          <w:sz w:val="11"/>
        </w:rPr>
        <w:t>78</w:t>
      </w:r>
    </w:p>
    <w:p>
      <w:pPr>
        <w:pStyle w:val="BodyText"/>
        <w:spacing w:before="7"/>
        <w:rPr>
          <w:sz w:val="16"/>
        </w:rPr>
      </w:pPr>
    </w:p>
    <w:p>
      <w:pPr>
        <w:spacing w:before="1"/>
        <w:ind w:left="967" w:right="0" w:firstLine="0"/>
        <w:jc w:val="left"/>
        <w:rPr>
          <w:rFonts w:ascii="Raleway ExtraBold"/>
          <w:b/>
          <w:sz w:val="28"/>
        </w:rPr>
      </w:pPr>
      <w:r>
        <w:rPr>
          <w:rFonts w:ascii="Raleway ExtraBold"/>
          <w:b/>
          <w:color w:val="37617A"/>
          <w:sz w:val="28"/>
        </w:rPr>
        <w:t>Reform is overdue</w:t>
      </w:r>
    </w:p>
    <w:p>
      <w:pPr>
        <w:pStyle w:val="ListParagraph"/>
        <w:numPr>
          <w:ilvl w:val="1"/>
          <w:numId w:val="12"/>
        </w:numPr>
        <w:tabs>
          <w:tab w:pos="1761" w:val="left" w:leader="none"/>
          <w:tab w:pos="1762" w:val="left" w:leader="none"/>
        </w:tabs>
        <w:spacing w:line="259" w:lineRule="exact" w:before="113" w:after="0"/>
        <w:ind w:left="1761" w:right="0" w:hanging="794"/>
        <w:jc w:val="left"/>
        <w:rPr>
          <w:sz w:val="20"/>
        </w:rPr>
      </w:pPr>
      <w:r>
        <w:rPr>
          <w:sz w:val="20"/>
        </w:rPr>
        <w:t>As</w:t>
      </w:r>
      <w:r>
        <w:rPr>
          <w:spacing w:val="-7"/>
          <w:sz w:val="20"/>
        </w:rPr>
        <w:t> </w:t>
      </w:r>
      <w:r>
        <w:rPr>
          <w:sz w:val="20"/>
        </w:rPr>
        <w:t>this</w:t>
      </w:r>
      <w:r>
        <w:rPr>
          <w:spacing w:val="-6"/>
          <w:sz w:val="20"/>
        </w:rPr>
        <w:t> </w:t>
      </w:r>
      <w:r>
        <w:rPr>
          <w:sz w:val="20"/>
        </w:rPr>
        <w:t>chapter</w:t>
      </w:r>
      <w:r>
        <w:rPr>
          <w:spacing w:val="-7"/>
          <w:sz w:val="20"/>
        </w:rPr>
        <w:t> </w:t>
      </w:r>
      <w:r>
        <w:rPr>
          <w:sz w:val="20"/>
        </w:rPr>
        <w:t>has</w:t>
      </w:r>
      <w:r>
        <w:rPr>
          <w:spacing w:val="-6"/>
          <w:sz w:val="20"/>
        </w:rPr>
        <w:t> </w:t>
      </w:r>
      <w:r>
        <w:rPr>
          <w:sz w:val="20"/>
        </w:rPr>
        <w:t>explained,</w:t>
      </w:r>
      <w:r>
        <w:rPr>
          <w:spacing w:val="-7"/>
          <w:sz w:val="20"/>
        </w:rPr>
        <w:t> </w:t>
      </w:r>
      <w:r>
        <w:rPr>
          <w:sz w:val="20"/>
        </w:rPr>
        <w:t>the</w:t>
      </w:r>
      <w:r>
        <w:rPr>
          <w:spacing w:val="-6"/>
          <w:sz w:val="20"/>
        </w:rPr>
        <w:t> </w:t>
      </w:r>
      <w:r>
        <w:rPr>
          <w:sz w:val="20"/>
        </w:rPr>
        <w:t>make-up</w:t>
      </w:r>
      <w:r>
        <w:rPr>
          <w:spacing w:val="-7"/>
          <w:sz w:val="20"/>
        </w:rPr>
        <w:t> </w:t>
      </w:r>
      <w:r>
        <w:rPr>
          <w:sz w:val="20"/>
        </w:rPr>
        <w:t>of</w:t>
      </w:r>
      <w:r>
        <w:rPr>
          <w:spacing w:val="-6"/>
          <w:sz w:val="20"/>
        </w:rPr>
        <w:t> </w:t>
      </w:r>
      <w:r>
        <w:rPr>
          <w:sz w:val="20"/>
        </w:rPr>
        <w:t>juries</w:t>
      </w:r>
      <w:r>
        <w:rPr>
          <w:spacing w:val="-6"/>
          <w:sz w:val="20"/>
        </w:rPr>
        <w:t> </w:t>
      </w:r>
      <w:r>
        <w:rPr>
          <w:sz w:val="20"/>
        </w:rPr>
        <w:t>has</w:t>
      </w:r>
      <w:r>
        <w:rPr>
          <w:spacing w:val="-7"/>
          <w:sz w:val="20"/>
        </w:rPr>
        <w:t> </w:t>
      </w:r>
      <w:r>
        <w:rPr>
          <w:sz w:val="20"/>
        </w:rPr>
        <w:t>changed</w:t>
      </w:r>
      <w:r>
        <w:rPr>
          <w:spacing w:val="-6"/>
          <w:sz w:val="20"/>
        </w:rPr>
        <w:t> </w:t>
      </w:r>
      <w:r>
        <w:rPr>
          <w:sz w:val="20"/>
        </w:rPr>
        <w:t>significantly</w:t>
      </w:r>
      <w:r>
        <w:rPr>
          <w:spacing w:val="-7"/>
          <w:sz w:val="20"/>
        </w:rPr>
        <w:t> </w:t>
      </w:r>
      <w:r>
        <w:rPr>
          <w:spacing w:val="-4"/>
          <w:sz w:val="20"/>
        </w:rPr>
        <w:t>over</w:t>
      </w:r>
      <w:r>
        <w:rPr>
          <w:spacing w:val="-6"/>
          <w:sz w:val="20"/>
        </w:rPr>
        <w:t> </w:t>
      </w:r>
      <w:r>
        <w:rPr>
          <w:sz w:val="20"/>
        </w:rPr>
        <w:t>the</w:t>
      </w:r>
    </w:p>
    <w:p>
      <w:pPr>
        <w:pStyle w:val="BodyText"/>
        <w:spacing w:line="259" w:lineRule="exact"/>
        <w:ind w:left="1761"/>
      </w:pPr>
      <w:r>
        <w:rPr/>
        <w:t>years, but often at a glacial pace.</w:t>
      </w:r>
    </w:p>
    <w:p>
      <w:pPr>
        <w:pStyle w:val="ListParagraph"/>
        <w:numPr>
          <w:ilvl w:val="1"/>
          <w:numId w:val="12"/>
        </w:numPr>
        <w:tabs>
          <w:tab w:pos="1761" w:val="left" w:leader="none"/>
          <w:tab w:pos="1762" w:val="left" w:leader="none"/>
        </w:tabs>
        <w:spacing w:line="206" w:lineRule="auto" w:before="115" w:after="0"/>
        <w:ind w:left="1761" w:right="1265" w:hanging="794"/>
        <w:jc w:val="left"/>
        <w:rPr>
          <w:sz w:val="20"/>
        </w:rPr>
      </w:pPr>
      <w:r>
        <w:rPr>
          <w:sz w:val="20"/>
        </w:rPr>
        <w:t>Change for people in the subject groups has been </w:t>
      </w:r>
      <w:r>
        <w:rPr>
          <w:spacing w:val="-5"/>
          <w:sz w:val="20"/>
        </w:rPr>
        <w:t>slow. </w:t>
      </w:r>
      <w:r>
        <w:rPr>
          <w:sz w:val="20"/>
        </w:rPr>
        <w:t>With the </w:t>
      </w:r>
      <w:r>
        <w:rPr>
          <w:spacing w:val="-3"/>
          <w:sz w:val="20"/>
        </w:rPr>
        <w:t>exception </w:t>
      </w:r>
      <w:r>
        <w:rPr>
          <w:sz w:val="20"/>
        </w:rPr>
        <w:t>of </w:t>
      </w:r>
      <w:r>
        <w:rPr>
          <w:spacing w:val="-3"/>
          <w:sz w:val="20"/>
        </w:rPr>
        <w:t>recent </w:t>
      </w:r>
      <w:r>
        <w:rPr>
          <w:sz w:val="20"/>
        </w:rPr>
        <w:t>changes in the Australian Capital </w:t>
      </w:r>
      <w:r>
        <w:rPr>
          <w:spacing w:val="-5"/>
          <w:sz w:val="20"/>
        </w:rPr>
        <w:t>Territory,</w:t>
      </w:r>
      <w:r>
        <w:rPr>
          <w:spacing w:val="-5"/>
          <w:position w:val="7"/>
          <w:sz w:val="11"/>
        </w:rPr>
        <w:t>79 </w:t>
      </w:r>
      <w:r>
        <w:rPr>
          <w:spacing w:val="-3"/>
          <w:sz w:val="20"/>
        </w:rPr>
        <w:t>progress </w:t>
      </w:r>
      <w:r>
        <w:rPr>
          <w:sz w:val="20"/>
        </w:rPr>
        <w:t>in Australia seems to </w:t>
      </w:r>
      <w:r>
        <w:rPr>
          <w:spacing w:val="-4"/>
          <w:sz w:val="20"/>
        </w:rPr>
        <w:t>have </w:t>
      </w:r>
      <w:r>
        <w:rPr>
          <w:sz w:val="20"/>
        </w:rPr>
        <w:t>stalled at the point of </w:t>
      </w:r>
      <w:r>
        <w:rPr>
          <w:spacing w:val="-3"/>
          <w:sz w:val="20"/>
        </w:rPr>
        <w:t>removing </w:t>
      </w:r>
      <w:r>
        <w:rPr>
          <w:sz w:val="20"/>
        </w:rPr>
        <w:t>the old blanket </w:t>
      </w:r>
      <w:r>
        <w:rPr>
          <w:spacing w:val="-3"/>
          <w:sz w:val="20"/>
        </w:rPr>
        <w:t>exclusion </w:t>
      </w:r>
      <w:r>
        <w:rPr>
          <w:sz w:val="20"/>
        </w:rPr>
        <w:t>that </w:t>
      </w:r>
      <w:r>
        <w:rPr>
          <w:spacing w:val="-3"/>
          <w:sz w:val="20"/>
        </w:rPr>
        <w:t>prevented </w:t>
      </w:r>
      <w:r>
        <w:rPr>
          <w:sz w:val="20"/>
        </w:rPr>
        <w:t>people with disabilities </w:t>
      </w:r>
      <w:r>
        <w:rPr>
          <w:spacing w:val="-3"/>
          <w:sz w:val="20"/>
        </w:rPr>
        <w:t>from </w:t>
      </w:r>
      <w:r>
        <w:rPr>
          <w:sz w:val="20"/>
        </w:rPr>
        <w:t>serving at all.</w:t>
      </w:r>
      <w:r>
        <w:rPr>
          <w:position w:val="7"/>
          <w:sz w:val="11"/>
        </w:rPr>
        <w:t>80 </w:t>
      </w:r>
      <w:r>
        <w:rPr>
          <w:sz w:val="20"/>
        </w:rPr>
        <w:t>As </w:t>
      </w:r>
      <w:r>
        <w:rPr>
          <w:spacing w:val="-3"/>
          <w:sz w:val="20"/>
        </w:rPr>
        <w:t>we </w:t>
      </w:r>
      <w:r>
        <w:rPr>
          <w:sz w:val="20"/>
        </w:rPr>
        <w:t>discussed in </w:t>
      </w:r>
      <w:r>
        <w:rPr>
          <w:spacing w:val="-2"/>
          <w:sz w:val="20"/>
        </w:rPr>
        <w:t>Chapter </w:t>
      </w:r>
      <w:r>
        <w:rPr>
          <w:spacing w:val="2"/>
          <w:sz w:val="20"/>
        </w:rPr>
        <w:t>4, </w:t>
      </w:r>
      <w:r>
        <w:rPr>
          <w:sz w:val="20"/>
        </w:rPr>
        <w:t>the </w:t>
      </w:r>
      <w:r>
        <w:rPr>
          <w:spacing w:val="-3"/>
          <w:sz w:val="20"/>
        </w:rPr>
        <w:t>failure </w:t>
      </w:r>
      <w:r>
        <w:rPr>
          <w:sz w:val="20"/>
        </w:rPr>
        <w:t>to </w:t>
      </w:r>
      <w:r>
        <w:rPr>
          <w:spacing w:val="-3"/>
          <w:sz w:val="20"/>
        </w:rPr>
        <w:t>provide </w:t>
      </w:r>
      <w:r>
        <w:rPr>
          <w:sz w:val="20"/>
        </w:rPr>
        <w:t>reasonable</w:t>
      </w:r>
      <w:r>
        <w:rPr>
          <w:spacing w:val="-12"/>
          <w:sz w:val="20"/>
        </w:rPr>
        <w:t> </w:t>
      </w:r>
      <w:r>
        <w:rPr>
          <w:sz w:val="20"/>
        </w:rPr>
        <w:t>adjustments</w:t>
      </w:r>
      <w:r>
        <w:rPr>
          <w:spacing w:val="-11"/>
          <w:sz w:val="20"/>
        </w:rPr>
        <w:t> </w:t>
      </w:r>
      <w:r>
        <w:rPr>
          <w:sz w:val="20"/>
        </w:rPr>
        <w:t>or</w:t>
      </w:r>
      <w:r>
        <w:rPr>
          <w:spacing w:val="-12"/>
          <w:sz w:val="20"/>
        </w:rPr>
        <w:t> </w:t>
      </w:r>
      <w:r>
        <w:rPr>
          <w:sz w:val="20"/>
        </w:rPr>
        <w:t>limit</w:t>
      </w:r>
      <w:r>
        <w:rPr>
          <w:spacing w:val="-11"/>
          <w:sz w:val="20"/>
        </w:rPr>
        <w:t> </w:t>
      </w:r>
      <w:r>
        <w:rPr>
          <w:sz w:val="20"/>
        </w:rPr>
        <w:t>the</w:t>
      </w:r>
      <w:r>
        <w:rPr>
          <w:spacing w:val="-11"/>
          <w:sz w:val="20"/>
        </w:rPr>
        <w:t> </w:t>
      </w:r>
      <w:r>
        <w:rPr>
          <w:sz w:val="20"/>
        </w:rPr>
        <w:t>13th</w:t>
      </w:r>
      <w:r>
        <w:rPr>
          <w:spacing w:val="-12"/>
          <w:sz w:val="20"/>
        </w:rPr>
        <w:t> </w:t>
      </w:r>
      <w:r>
        <w:rPr>
          <w:sz w:val="20"/>
        </w:rPr>
        <w:t>person</w:t>
      </w:r>
      <w:r>
        <w:rPr>
          <w:spacing w:val="-11"/>
          <w:sz w:val="20"/>
        </w:rPr>
        <w:t> </w:t>
      </w:r>
      <w:r>
        <w:rPr>
          <w:sz w:val="20"/>
        </w:rPr>
        <w:t>rule</w:t>
      </w:r>
      <w:r>
        <w:rPr>
          <w:spacing w:val="-12"/>
          <w:sz w:val="20"/>
        </w:rPr>
        <w:t> </w:t>
      </w:r>
      <w:r>
        <w:rPr>
          <w:sz w:val="20"/>
        </w:rPr>
        <w:t>continues</w:t>
      </w:r>
      <w:r>
        <w:rPr>
          <w:spacing w:val="-11"/>
          <w:sz w:val="20"/>
        </w:rPr>
        <w:t> </w:t>
      </w:r>
      <w:r>
        <w:rPr>
          <w:sz w:val="20"/>
        </w:rPr>
        <w:t>to</w:t>
      </w:r>
      <w:r>
        <w:rPr>
          <w:spacing w:val="-11"/>
          <w:sz w:val="20"/>
        </w:rPr>
        <w:t> </w:t>
      </w:r>
      <w:r>
        <w:rPr>
          <w:spacing w:val="-4"/>
          <w:sz w:val="20"/>
        </w:rPr>
        <w:t>prevent</w:t>
      </w:r>
      <w:r>
        <w:rPr>
          <w:spacing w:val="-12"/>
          <w:sz w:val="20"/>
        </w:rPr>
        <w:t> </w:t>
      </w:r>
      <w:r>
        <w:rPr>
          <w:sz w:val="20"/>
        </w:rPr>
        <w:t>people</w:t>
      </w:r>
      <w:r>
        <w:rPr>
          <w:spacing w:val="-11"/>
          <w:sz w:val="20"/>
        </w:rPr>
        <w:t> </w:t>
      </w:r>
      <w:r>
        <w:rPr>
          <w:sz w:val="20"/>
        </w:rPr>
        <w:t>in</w:t>
      </w:r>
      <w:r>
        <w:rPr>
          <w:spacing w:val="-12"/>
          <w:sz w:val="20"/>
        </w:rPr>
        <w:t> </w:t>
      </w:r>
      <w:r>
        <w:rPr>
          <w:sz w:val="20"/>
        </w:rPr>
        <w:t>the subject groups </w:t>
      </w:r>
      <w:r>
        <w:rPr>
          <w:spacing w:val="-3"/>
          <w:sz w:val="20"/>
        </w:rPr>
        <w:t>from</w:t>
      </w:r>
      <w:r>
        <w:rPr>
          <w:spacing w:val="-13"/>
          <w:sz w:val="20"/>
        </w:rPr>
        <w:t> </w:t>
      </w:r>
      <w:r>
        <w:rPr>
          <w:sz w:val="20"/>
        </w:rPr>
        <w:t>serving.</w:t>
      </w:r>
    </w:p>
    <w:p>
      <w:pPr>
        <w:pStyle w:val="ListParagraph"/>
        <w:numPr>
          <w:ilvl w:val="1"/>
          <w:numId w:val="12"/>
        </w:numPr>
        <w:tabs>
          <w:tab w:pos="1761" w:val="left" w:leader="none"/>
          <w:tab w:pos="1762" w:val="left" w:leader="none"/>
        </w:tabs>
        <w:spacing w:line="206" w:lineRule="auto" w:before="128" w:after="0"/>
        <w:ind w:left="1761" w:right="1394" w:hanging="794"/>
        <w:jc w:val="left"/>
        <w:rPr>
          <w:sz w:val="20"/>
        </w:rPr>
      </w:pPr>
      <w:r>
        <w:rPr>
          <w:sz w:val="20"/>
        </w:rPr>
        <w:t>The same arguments </w:t>
      </w:r>
      <w:r>
        <w:rPr>
          <w:spacing w:val="-3"/>
          <w:sz w:val="20"/>
        </w:rPr>
        <w:t>are </w:t>
      </w:r>
      <w:r>
        <w:rPr>
          <w:sz w:val="20"/>
        </w:rPr>
        <w:t>made </w:t>
      </w:r>
      <w:r>
        <w:rPr>
          <w:spacing w:val="-3"/>
          <w:sz w:val="20"/>
        </w:rPr>
        <w:t>today </w:t>
      </w:r>
      <w:r>
        <w:rPr>
          <w:sz w:val="20"/>
        </w:rPr>
        <w:t>to oppose people with disabilities serving on juries that </w:t>
      </w:r>
      <w:r>
        <w:rPr>
          <w:spacing w:val="-4"/>
          <w:sz w:val="20"/>
        </w:rPr>
        <w:t>were </w:t>
      </w:r>
      <w:r>
        <w:rPr>
          <w:spacing w:val="-3"/>
          <w:sz w:val="20"/>
        </w:rPr>
        <w:t>previously </w:t>
      </w:r>
      <w:r>
        <w:rPr>
          <w:sz w:val="20"/>
        </w:rPr>
        <w:t>made about women. They </w:t>
      </w:r>
      <w:r>
        <w:rPr>
          <w:spacing w:val="-3"/>
          <w:sz w:val="20"/>
        </w:rPr>
        <w:t>usually </w:t>
      </w:r>
      <w:r>
        <w:rPr>
          <w:sz w:val="20"/>
        </w:rPr>
        <w:t>focus on the supposed incapacity of the people concerned; logistical challenges such as modifying courtrooms;</w:t>
      </w:r>
      <w:r>
        <w:rPr>
          <w:spacing w:val="-11"/>
          <w:sz w:val="20"/>
        </w:rPr>
        <w:t> </w:t>
      </w:r>
      <w:r>
        <w:rPr>
          <w:sz w:val="20"/>
        </w:rPr>
        <w:t>and</w:t>
      </w:r>
      <w:r>
        <w:rPr>
          <w:spacing w:val="-11"/>
          <w:sz w:val="20"/>
        </w:rPr>
        <w:t> </w:t>
      </w:r>
      <w:r>
        <w:rPr>
          <w:sz w:val="20"/>
        </w:rPr>
        <w:t>the</w:t>
      </w:r>
      <w:r>
        <w:rPr>
          <w:spacing w:val="-11"/>
          <w:sz w:val="20"/>
        </w:rPr>
        <w:t> </w:t>
      </w:r>
      <w:r>
        <w:rPr>
          <w:sz w:val="20"/>
        </w:rPr>
        <w:t>assumed</w:t>
      </w:r>
      <w:r>
        <w:rPr>
          <w:spacing w:val="-11"/>
          <w:sz w:val="20"/>
        </w:rPr>
        <w:t> </w:t>
      </w:r>
      <w:r>
        <w:rPr>
          <w:sz w:val="20"/>
        </w:rPr>
        <w:t>reluctance</w:t>
      </w:r>
      <w:r>
        <w:rPr>
          <w:spacing w:val="-11"/>
          <w:sz w:val="20"/>
        </w:rPr>
        <w:t> </w:t>
      </w:r>
      <w:r>
        <w:rPr>
          <w:sz w:val="20"/>
        </w:rPr>
        <w:t>of</w:t>
      </w:r>
      <w:r>
        <w:rPr>
          <w:spacing w:val="-10"/>
          <w:sz w:val="20"/>
        </w:rPr>
        <w:t> </w:t>
      </w:r>
      <w:r>
        <w:rPr>
          <w:sz w:val="20"/>
        </w:rPr>
        <w:t>people</w:t>
      </w:r>
      <w:r>
        <w:rPr>
          <w:spacing w:val="-11"/>
          <w:sz w:val="20"/>
        </w:rPr>
        <w:t> </w:t>
      </w:r>
      <w:r>
        <w:rPr>
          <w:sz w:val="20"/>
        </w:rPr>
        <w:t>to</w:t>
      </w:r>
      <w:r>
        <w:rPr>
          <w:spacing w:val="-11"/>
          <w:sz w:val="20"/>
        </w:rPr>
        <w:t> </w:t>
      </w:r>
      <w:r>
        <w:rPr>
          <w:sz w:val="20"/>
        </w:rPr>
        <w:t>serve.</w:t>
      </w:r>
      <w:r>
        <w:rPr>
          <w:spacing w:val="-11"/>
          <w:sz w:val="20"/>
        </w:rPr>
        <w:t> </w:t>
      </w:r>
      <w:r>
        <w:rPr>
          <w:sz w:val="20"/>
        </w:rPr>
        <w:t>These</w:t>
      </w:r>
      <w:r>
        <w:rPr>
          <w:spacing w:val="-11"/>
          <w:sz w:val="20"/>
        </w:rPr>
        <w:t> </w:t>
      </w:r>
      <w:r>
        <w:rPr>
          <w:sz w:val="20"/>
        </w:rPr>
        <w:t>arguments</w:t>
      </w:r>
      <w:r>
        <w:rPr>
          <w:spacing w:val="-11"/>
          <w:sz w:val="20"/>
        </w:rPr>
        <w:t> </w:t>
      </w:r>
      <w:r>
        <w:rPr>
          <w:spacing w:val="-3"/>
          <w:sz w:val="20"/>
        </w:rPr>
        <w:t>are</w:t>
      </w:r>
      <w:r>
        <w:rPr>
          <w:spacing w:val="-10"/>
          <w:sz w:val="20"/>
        </w:rPr>
        <w:t> </w:t>
      </w:r>
      <w:r>
        <w:rPr>
          <w:sz w:val="20"/>
        </w:rPr>
        <w:t>as spurious </w:t>
      </w:r>
      <w:r>
        <w:rPr>
          <w:spacing w:val="-3"/>
          <w:sz w:val="20"/>
        </w:rPr>
        <w:t>today </w:t>
      </w:r>
      <w:r>
        <w:rPr>
          <w:sz w:val="20"/>
        </w:rPr>
        <w:t>as they </w:t>
      </w:r>
      <w:r>
        <w:rPr>
          <w:spacing w:val="-4"/>
          <w:sz w:val="20"/>
        </w:rPr>
        <w:t>were </w:t>
      </w:r>
      <w:r>
        <w:rPr>
          <w:sz w:val="20"/>
        </w:rPr>
        <w:t>in the</w:t>
      </w:r>
      <w:r>
        <w:rPr>
          <w:spacing w:val="-23"/>
          <w:sz w:val="20"/>
        </w:rPr>
        <w:t> </w:t>
      </w:r>
      <w:r>
        <w:rPr>
          <w:sz w:val="20"/>
        </w:rPr>
        <w:t>past.</w:t>
      </w:r>
    </w:p>
    <w:p>
      <w:pPr>
        <w:pStyle w:val="ListParagraph"/>
        <w:numPr>
          <w:ilvl w:val="1"/>
          <w:numId w:val="12"/>
        </w:numPr>
        <w:tabs>
          <w:tab w:pos="1761" w:val="left" w:leader="none"/>
          <w:tab w:pos="1762" w:val="left" w:leader="none"/>
        </w:tabs>
        <w:spacing w:line="206" w:lineRule="auto" w:before="126" w:after="0"/>
        <w:ind w:left="1761" w:right="1527" w:hanging="794"/>
        <w:jc w:val="left"/>
        <w:rPr>
          <w:sz w:val="20"/>
        </w:rPr>
      </w:pPr>
      <w:r>
        <w:rPr>
          <w:sz w:val="20"/>
        </w:rPr>
        <w:t>Community</w:t>
      </w:r>
      <w:r>
        <w:rPr>
          <w:spacing w:val="-15"/>
          <w:sz w:val="20"/>
        </w:rPr>
        <w:t> </w:t>
      </w:r>
      <w:r>
        <w:rPr>
          <w:sz w:val="20"/>
        </w:rPr>
        <w:t>responses</w:t>
      </w:r>
      <w:r>
        <w:rPr>
          <w:spacing w:val="-15"/>
          <w:sz w:val="20"/>
        </w:rPr>
        <w:t> </w:t>
      </w:r>
      <w:r>
        <w:rPr>
          <w:sz w:val="20"/>
        </w:rPr>
        <w:t>to</w:t>
      </w:r>
      <w:r>
        <w:rPr>
          <w:spacing w:val="-15"/>
          <w:sz w:val="20"/>
        </w:rPr>
        <w:t> </w:t>
      </w:r>
      <w:r>
        <w:rPr>
          <w:sz w:val="20"/>
        </w:rPr>
        <w:t>the</w:t>
      </w:r>
      <w:r>
        <w:rPr>
          <w:spacing w:val="-15"/>
          <w:sz w:val="20"/>
        </w:rPr>
        <w:t> </w:t>
      </w:r>
      <w:r>
        <w:rPr>
          <w:sz w:val="20"/>
        </w:rPr>
        <w:t>consultation</w:t>
      </w:r>
      <w:r>
        <w:rPr>
          <w:spacing w:val="-15"/>
          <w:sz w:val="20"/>
        </w:rPr>
        <w:t> </w:t>
      </w:r>
      <w:r>
        <w:rPr>
          <w:sz w:val="20"/>
        </w:rPr>
        <w:t>paper</w:t>
      </w:r>
      <w:r>
        <w:rPr>
          <w:spacing w:val="-15"/>
          <w:sz w:val="20"/>
        </w:rPr>
        <w:t> </w:t>
      </w:r>
      <w:r>
        <w:rPr>
          <w:sz w:val="20"/>
        </w:rPr>
        <w:t>overwhelmingly</w:t>
      </w:r>
      <w:r>
        <w:rPr>
          <w:spacing w:val="-15"/>
          <w:sz w:val="20"/>
        </w:rPr>
        <w:t> </w:t>
      </w:r>
      <w:r>
        <w:rPr>
          <w:sz w:val="20"/>
        </w:rPr>
        <w:t>supported</w:t>
      </w:r>
      <w:r>
        <w:rPr>
          <w:spacing w:val="-14"/>
          <w:sz w:val="20"/>
        </w:rPr>
        <w:t> </w:t>
      </w:r>
      <w:r>
        <w:rPr>
          <w:spacing w:val="-3"/>
          <w:sz w:val="20"/>
        </w:rPr>
        <w:t>reform, </w:t>
      </w:r>
      <w:r>
        <w:rPr>
          <w:sz w:val="20"/>
        </w:rPr>
        <w:t>subject</w:t>
      </w:r>
      <w:r>
        <w:rPr>
          <w:spacing w:val="-6"/>
          <w:sz w:val="20"/>
        </w:rPr>
        <w:t> </w:t>
      </w:r>
      <w:r>
        <w:rPr>
          <w:sz w:val="20"/>
        </w:rPr>
        <w:t>to</w:t>
      </w:r>
      <w:r>
        <w:rPr>
          <w:spacing w:val="-5"/>
          <w:sz w:val="20"/>
        </w:rPr>
        <w:t> </w:t>
      </w:r>
      <w:r>
        <w:rPr>
          <w:spacing w:val="-3"/>
          <w:sz w:val="20"/>
        </w:rPr>
        <w:t>appropriate</w:t>
      </w:r>
      <w:r>
        <w:rPr>
          <w:spacing w:val="-6"/>
          <w:sz w:val="20"/>
        </w:rPr>
        <w:t> </w:t>
      </w:r>
      <w:r>
        <w:rPr>
          <w:sz w:val="20"/>
        </w:rPr>
        <w:t>fair</w:t>
      </w:r>
      <w:r>
        <w:rPr>
          <w:spacing w:val="-5"/>
          <w:sz w:val="20"/>
        </w:rPr>
        <w:t> </w:t>
      </w:r>
      <w:r>
        <w:rPr>
          <w:sz w:val="20"/>
        </w:rPr>
        <w:t>trial</w:t>
      </w:r>
      <w:r>
        <w:rPr>
          <w:spacing w:val="-5"/>
          <w:sz w:val="20"/>
        </w:rPr>
        <w:t> </w:t>
      </w:r>
      <w:r>
        <w:rPr>
          <w:sz w:val="20"/>
        </w:rPr>
        <w:t>safeguards</w:t>
      </w:r>
      <w:r>
        <w:rPr>
          <w:spacing w:val="-6"/>
          <w:sz w:val="20"/>
        </w:rPr>
        <w:t> </w:t>
      </w:r>
      <w:r>
        <w:rPr>
          <w:sz w:val="20"/>
        </w:rPr>
        <w:t>which</w:t>
      </w:r>
      <w:r>
        <w:rPr>
          <w:spacing w:val="-5"/>
          <w:sz w:val="20"/>
        </w:rPr>
        <w:t> </w:t>
      </w:r>
      <w:r>
        <w:rPr>
          <w:spacing w:val="-3"/>
          <w:sz w:val="20"/>
        </w:rPr>
        <w:t>we</w:t>
      </w:r>
      <w:r>
        <w:rPr>
          <w:spacing w:val="-5"/>
          <w:sz w:val="20"/>
        </w:rPr>
        <w:t> </w:t>
      </w:r>
      <w:r>
        <w:rPr>
          <w:sz w:val="20"/>
        </w:rPr>
        <w:t>discuss</w:t>
      </w:r>
      <w:r>
        <w:rPr>
          <w:spacing w:val="-6"/>
          <w:sz w:val="20"/>
        </w:rPr>
        <w:t> </w:t>
      </w:r>
      <w:r>
        <w:rPr>
          <w:sz w:val="20"/>
        </w:rPr>
        <w:t>in</w:t>
      </w:r>
      <w:r>
        <w:rPr>
          <w:spacing w:val="-5"/>
          <w:sz w:val="20"/>
        </w:rPr>
        <w:t> </w:t>
      </w:r>
      <w:r>
        <w:rPr>
          <w:spacing w:val="-2"/>
          <w:sz w:val="20"/>
        </w:rPr>
        <w:t>Chapter</w:t>
      </w:r>
      <w:r>
        <w:rPr>
          <w:spacing w:val="-6"/>
          <w:sz w:val="20"/>
        </w:rPr>
        <w:t> </w:t>
      </w:r>
      <w:r>
        <w:rPr>
          <w:sz w:val="20"/>
        </w:rPr>
        <w:t>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9"/>
        </w:rPr>
      </w:pPr>
      <w:r>
        <w:rPr/>
        <w:pict>
          <v:line style="position:absolute;mso-position-horizontal-relative:page;mso-position-vertical-relative:paragraph;z-index:2336;mso-wrap-distance-left:0;mso-wrap-distance-right:0" from="79.370102pt,22.825399pt" to="515.905102pt,22.825399pt" stroked="true" strokeweight="1pt" strokecolor="#b6bdc8">
            <v:stroke dashstyle="solid"/>
            <w10:wrap type="topAndBottom"/>
          </v:line>
        </w:pict>
      </w:r>
    </w:p>
    <w:p>
      <w:pPr>
        <w:pStyle w:val="ListParagraph"/>
        <w:numPr>
          <w:ilvl w:val="0"/>
          <w:numId w:val="38"/>
        </w:numPr>
        <w:tabs>
          <w:tab w:pos="1760" w:val="left" w:leader="none"/>
          <w:tab w:pos="1762" w:val="left" w:leader="none"/>
        </w:tabs>
        <w:spacing w:line="170" w:lineRule="exact" w:before="91" w:after="0"/>
        <w:ind w:left="1761" w:right="0" w:hanging="794"/>
        <w:jc w:val="left"/>
        <w:rPr>
          <w:sz w:val="13"/>
        </w:rPr>
      </w:pPr>
      <w:r>
        <w:rPr>
          <w:spacing w:val="2"/>
          <w:sz w:val="13"/>
        </w:rPr>
        <w:t>Online </w:t>
      </w:r>
      <w:r>
        <w:rPr>
          <w:sz w:val="13"/>
        </w:rPr>
        <w:t>Survey (Response</w:t>
      </w:r>
      <w:r>
        <w:rPr>
          <w:spacing w:val="-2"/>
          <w:sz w:val="13"/>
        </w:rPr>
        <w:t> </w:t>
      </w:r>
      <w:r>
        <w:rPr>
          <w:sz w:val="13"/>
        </w:rPr>
        <w:t>20).</w:t>
      </w:r>
    </w:p>
    <w:p>
      <w:pPr>
        <w:pStyle w:val="ListParagraph"/>
        <w:numPr>
          <w:ilvl w:val="0"/>
          <w:numId w:val="38"/>
        </w:numPr>
        <w:tabs>
          <w:tab w:pos="1760" w:val="left" w:leader="none"/>
          <w:tab w:pos="1762" w:val="left" w:leader="none"/>
        </w:tabs>
        <w:spacing w:line="160" w:lineRule="exact" w:before="0" w:after="0"/>
        <w:ind w:left="1761" w:right="0" w:hanging="794"/>
        <w:jc w:val="left"/>
        <w:rPr>
          <w:sz w:val="13"/>
        </w:rPr>
      </w:pPr>
      <w:r>
        <w:rPr>
          <w:spacing w:val="2"/>
          <w:sz w:val="13"/>
        </w:rPr>
        <w:t>Online </w:t>
      </w:r>
      <w:r>
        <w:rPr>
          <w:sz w:val="13"/>
        </w:rPr>
        <w:t>Survey (Response</w:t>
      </w:r>
      <w:r>
        <w:rPr>
          <w:spacing w:val="-2"/>
          <w:sz w:val="13"/>
        </w:rPr>
        <w:t> </w:t>
      </w:r>
      <w:r>
        <w:rPr>
          <w:sz w:val="13"/>
        </w:rPr>
        <w:t>1).</w:t>
      </w:r>
    </w:p>
    <w:p>
      <w:pPr>
        <w:pStyle w:val="ListParagraph"/>
        <w:numPr>
          <w:ilvl w:val="0"/>
          <w:numId w:val="38"/>
        </w:numPr>
        <w:tabs>
          <w:tab w:pos="1761" w:val="left" w:leader="none"/>
          <w:tab w:pos="1762" w:val="left" w:leader="none"/>
        </w:tabs>
        <w:spacing w:line="160" w:lineRule="exact" w:before="0" w:after="0"/>
        <w:ind w:left="1761" w:right="0" w:hanging="794"/>
        <w:jc w:val="left"/>
        <w:rPr>
          <w:sz w:val="13"/>
        </w:rPr>
      </w:pPr>
      <w:r>
        <w:rPr>
          <w:i/>
          <w:sz w:val="13"/>
        </w:rPr>
        <w:t>Juries Act 1967 </w:t>
      </w:r>
      <w:r>
        <w:rPr>
          <w:sz w:val="13"/>
        </w:rPr>
        <w:t>(ACT) s 16. This section was introduced in</w:t>
      </w:r>
      <w:r>
        <w:rPr>
          <w:spacing w:val="5"/>
          <w:sz w:val="13"/>
        </w:rPr>
        <w:t> </w:t>
      </w:r>
      <w:r>
        <w:rPr>
          <w:sz w:val="13"/>
        </w:rPr>
        <w:t>2018.</w:t>
      </w:r>
    </w:p>
    <w:p>
      <w:pPr>
        <w:pStyle w:val="ListParagraph"/>
        <w:numPr>
          <w:ilvl w:val="0"/>
          <w:numId w:val="38"/>
        </w:numPr>
        <w:tabs>
          <w:tab w:pos="1760" w:val="left" w:leader="none"/>
          <w:tab w:pos="1762" w:val="left" w:leader="none"/>
        </w:tabs>
        <w:spacing w:line="160" w:lineRule="exact" w:before="0" w:after="0"/>
        <w:ind w:left="1761" w:right="0" w:hanging="794"/>
        <w:jc w:val="left"/>
        <w:rPr>
          <w:sz w:val="13"/>
        </w:rPr>
      </w:pPr>
      <w:r>
        <w:rPr>
          <w:sz w:val="13"/>
        </w:rPr>
        <w:t>However, note that in the </w:t>
      </w:r>
      <w:r>
        <w:rPr>
          <w:spacing w:val="2"/>
          <w:sz w:val="13"/>
        </w:rPr>
        <w:t>Northern </w:t>
      </w:r>
      <w:r>
        <w:rPr>
          <w:sz w:val="13"/>
        </w:rPr>
        <w:t>Territory a person ‘who is </w:t>
      </w:r>
      <w:r>
        <w:rPr>
          <w:spacing w:val="2"/>
          <w:sz w:val="13"/>
        </w:rPr>
        <w:t>blind, </w:t>
      </w:r>
      <w:r>
        <w:rPr>
          <w:sz w:val="13"/>
        </w:rPr>
        <w:t>deaf or dumb or </w:t>
      </w:r>
      <w:r>
        <w:rPr>
          <w:spacing w:val="2"/>
          <w:sz w:val="13"/>
        </w:rPr>
        <w:t>otherwise </w:t>
      </w:r>
      <w:r>
        <w:rPr>
          <w:sz w:val="13"/>
        </w:rPr>
        <w:t>incapacitated by disease</w:t>
      </w:r>
      <w:r>
        <w:rPr>
          <w:spacing w:val="19"/>
          <w:sz w:val="13"/>
        </w:rPr>
        <w:t> </w:t>
      </w:r>
      <w:r>
        <w:rPr>
          <w:sz w:val="13"/>
        </w:rPr>
        <w:t>or</w:t>
      </w:r>
    </w:p>
    <w:p>
      <w:pPr>
        <w:spacing w:line="112" w:lineRule="exact" w:before="0"/>
        <w:ind w:left="1761" w:right="0" w:firstLine="0"/>
        <w:jc w:val="left"/>
        <w:rPr>
          <w:sz w:val="13"/>
        </w:rPr>
      </w:pPr>
      <w:r>
        <w:rPr>
          <w:sz w:val="13"/>
        </w:rPr>
        <w:t>infirmity from discharging the duties of a juror’ is exempt from jury service. The name of an exempt person must not be included</w:t>
      </w:r>
    </w:p>
    <w:p>
      <w:pPr>
        <w:tabs>
          <w:tab w:pos="10630" w:val="right" w:leader="none"/>
        </w:tabs>
        <w:spacing w:line="274" w:lineRule="exact" w:before="0"/>
        <w:ind w:left="1761" w:right="0" w:firstLine="0"/>
        <w:jc w:val="left"/>
        <w:rPr>
          <w:b/>
          <w:sz w:val="24"/>
        </w:rPr>
      </w:pPr>
      <w:r>
        <w:rPr>
          <w:sz w:val="13"/>
        </w:rPr>
        <w:t>in the </w:t>
      </w:r>
      <w:r>
        <w:rPr>
          <w:spacing w:val="2"/>
          <w:sz w:val="13"/>
        </w:rPr>
        <w:t>jury list: </w:t>
      </w:r>
      <w:r>
        <w:rPr>
          <w:i/>
          <w:sz w:val="13"/>
        </w:rPr>
        <w:t>Juries Act 1962 </w:t>
      </w:r>
      <w:r>
        <w:rPr>
          <w:spacing w:val="2"/>
          <w:sz w:val="13"/>
        </w:rPr>
        <w:t>(NT) </w:t>
      </w:r>
      <w:r>
        <w:rPr>
          <w:sz w:val="13"/>
        </w:rPr>
        <w:t>s </w:t>
      </w:r>
      <w:r>
        <w:rPr>
          <w:spacing w:val="2"/>
          <w:sz w:val="13"/>
        </w:rPr>
        <w:t>11,</w:t>
      </w:r>
      <w:r>
        <w:rPr>
          <w:spacing w:val="-5"/>
          <w:sz w:val="13"/>
        </w:rPr>
        <w:t> </w:t>
      </w:r>
      <w:r>
        <w:rPr>
          <w:sz w:val="13"/>
        </w:rPr>
        <w:t>sch </w:t>
      </w:r>
      <w:r>
        <w:rPr>
          <w:spacing w:val="-3"/>
          <w:sz w:val="13"/>
        </w:rPr>
        <w:t>7.</w:t>
        <w:tab/>
      </w:r>
      <w:r>
        <w:rPr>
          <w:b/>
          <w:color w:val="37617A"/>
          <w:position w:val="-2"/>
          <w:sz w:val="24"/>
        </w:rPr>
        <w:t>39</w:t>
      </w:r>
    </w:p>
    <w:p>
      <w:pPr>
        <w:spacing w:after="0" w:line="274" w:lineRule="exact"/>
        <w:jc w:val="left"/>
        <w:rPr>
          <w:sz w:val="24"/>
        </w:rPr>
        <w:sectPr>
          <w:pgSz w:w="11910" w:h="16840"/>
          <w:pgMar w:header="0" w:footer="0" w:top="840" w:bottom="280" w:left="620" w:right="380"/>
        </w:sectPr>
      </w:pPr>
    </w:p>
    <w:p>
      <w:pPr>
        <w:pStyle w:val="BodyText"/>
        <w:rPr>
          <w:b/>
          <w:sz w:val="28"/>
        </w:rPr>
      </w:pPr>
      <w:r>
        <w:rPr/>
        <w:pict>
          <v:rect style="position:absolute;margin-left:79.370003pt;margin-top:0pt;width:515.906000pt;height:841.890015pt;mso-position-horizontal-relative:page;mso-position-vertical-relative:page;z-index:4408" filled="true" fillcolor="#37617a" stroked="false">
            <v:fill type="solid"/>
            <w10:wrap type="none"/>
          </v:rect>
        </w:pic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
        <w:rPr>
          <w:b/>
          <w:sz w:val="30"/>
        </w:rPr>
      </w:pPr>
    </w:p>
    <w:p>
      <w:pPr>
        <w:spacing w:before="0"/>
        <w:ind w:left="100" w:right="0" w:firstLine="0"/>
        <w:jc w:val="left"/>
        <w:rPr>
          <w:b/>
          <w:sz w:val="24"/>
        </w:rPr>
      </w:pPr>
      <w:r>
        <w:rPr>
          <w:b/>
          <w:color w:val="37617A"/>
          <w:sz w:val="24"/>
        </w:rPr>
        <w:t>40</w:t>
      </w:r>
    </w:p>
    <w:p>
      <w:pPr>
        <w:spacing w:after="0"/>
        <w:jc w:val="left"/>
        <w:rPr>
          <w:sz w:val="24"/>
        </w:rPr>
        <w:sectPr>
          <w:headerReference w:type="even" r:id="rId87"/>
          <w:pgSz w:w="11910" w:h="16840"/>
          <w:pgMar w:header="0" w:footer="0" w:top="1580" w:bottom="280" w:left="620" w:right="380"/>
        </w:sectPr>
      </w:pPr>
    </w:p>
    <w:p>
      <w:pPr>
        <w:spacing w:before="6"/>
        <w:ind w:left="7949" w:right="0" w:firstLine="0"/>
        <w:jc w:val="left"/>
        <w:rPr>
          <w:rFonts w:ascii="Raleway SemiBold"/>
          <w:b/>
          <w:sz w:val="50"/>
        </w:rPr>
      </w:pPr>
      <w:r>
        <w:rPr/>
        <w:pict>
          <v:rect style="position:absolute;margin-left:0pt;margin-top:0pt;width:595.276001pt;height:841.890015pt;mso-position-horizontal-relative:page;mso-position-vertical-relative:page;z-index:-355792" filled="true" fillcolor="#37617a" stroked="false">
            <v:fill type="solid"/>
            <w10:wrap type="none"/>
          </v:rect>
        </w:pict>
      </w:r>
      <w:r>
        <w:rPr/>
        <w:pict>
          <v:shape style="position:absolute;margin-left:406.481995pt;margin-top:4.300694pt;width:146.550pt;height:152.65pt;mso-position-horizontal-relative:page;mso-position-vertical-relative:paragraph;z-index:-355768" type="#_x0000_t202" filled="false" stroked="false">
            <v:textbox inset="0,0,0,0">
              <w:txbxContent>
                <w:p>
                  <w:pPr>
                    <w:spacing w:line="3052" w:lineRule="exact" w:before="0"/>
                    <w:ind w:left="0" w:right="0" w:firstLine="0"/>
                    <w:jc w:val="left"/>
                    <w:rPr>
                      <w:b/>
                      <w:sz w:val="260"/>
                    </w:rPr>
                  </w:pPr>
                  <w:r>
                    <w:rPr>
                      <w:b/>
                      <w:color w:val="FFFFFF"/>
                      <w:spacing w:val="-123"/>
                      <w:sz w:val="260"/>
                    </w:rPr>
                    <w:t>06</w:t>
                  </w:r>
                </w:p>
              </w:txbxContent>
            </v:textbox>
            <w10:wrap type="none"/>
          </v:shape>
        </w:pict>
      </w:r>
      <w:r>
        <w:rPr>
          <w:rFonts w:ascii="Raleway SemiBold"/>
          <w:b/>
          <w:color w:val="FFFFFF"/>
          <w:sz w:val="50"/>
        </w:rPr>
        <w:t>CHAPTER</w:t>
      </w:r>
    </w:p>
    <w:p>
      <w:pPr>
        <w:pStyle w:val="BodyText"/>
        <w:rPr>
          <w:rFonts w:ascii="Raleway SemiBold"/>
          <w:b/>
          <w:sz w:val="58"/>
        </w:rPr>
      </w:pPr>
    </w:p>
    <w:p>
      <w:pPr>
        <w:pStyle w:val="BodyText"/>
        <w:rPr>
          <w:rFonts w:ascii="Raleway SemiBold"/>
          <w:b/>
          <w:sz w:val="58"/>
        </w:rPr>
      </w:pPr>
    </w:p>
    <w:p>
      <w:pPr>
        <w:pStyle w:val="BodyText"/>
        <w:spacing w:before="10"/>
        <w:rPr>
          <w:rFonts w:ascii="Raleway SemiBold"/>
          <w:b/>
          <w:sz w:val="40"/>
        </w:rPr>
      </w:pPr>
    </w:p>
    <w:p>
      <w:pPr>
        <w:spacing w:line="180" w:lineRule="auto" w:before="1"/>
        <w:ind w:left="967" w:right="1187" w:firstLine="0"/>
        <w:jc w:val="left"/>
        <w:rPr>
          <w:rFonts w:ascii="Raleway ExtraBold"/>
          <w:b/>
          <w:sz w:val="88"/>
        </w:rPr>
      </w:pPr>
      <w:r>
        <w:rPr>
          <w:rFonts w:ascii="Raleway ExtraBold"/>
          <w:b/>
          <w:color w:val="FFFFFF"/>
          <w:spacing w:val="-24"/>
          <w:sz w:val="88"/>
        </w:rPr>
        <w:t>International </w:t>
      </w:r>
      <w:r>
        <w:rPr>
          <w:rFonts w:ascii="Raleway ExtraBold"/>
          <w:b/>
          <w:color w:val="FFFFFF"/>
          <w:spacing w:val="-21"/>
          <w:sz w:val="88"/>
        </w:rPr>
        <w:t>obligations </w:t>
      </w:r>
      <w:r>
        <w:rPr>
          <w:rFonts w:ascii="Raleway ExtraBold"/>
          <w:b/>
          <w:color w:val="FFFFFF"/>
          <w:spacing w:val="-19"/>
          <w:sz w:val="88"/>
        </w:rPr>
        <w:t>about </w:t>
      </w:r>
      <w:r>
        <w:rPr>
          <w:rFonts w:ascii="Raleway ExtraBold"/>
          <w:b/>
          <w:color w:val="FFFFFF"/>
          <w:spacing w:val="-23"/>
          <w:sz w:val="88"/>
        </w:rPr>
        <w:t>the </w:t>
      </w:r>
      <w:r>
        <w:rPr>
          <w:rFonts w:ascii="Raleway ExtraBold"/>
          <w:b/>
          <w:color w:val="FFFFFF"/>
          <w:spacing w:val="-20"/>
          <w:sz w:val="88"/>
        </w:rPr>
        <w:t>rights </w:t>
      </w:r>
      <w:r>
        <w:rPr>
          <w:rFonts w:ascii="Raleway ExtraBold"/>
          <w:b/>
          <w:color w:val="FFFFFF"/>
          <w:spacing w:val="-13"/>
          <w:sz w:val="88"/>
        </w:rPr>
        <w:t>of </w:t>
      </w:r>
      <w:r>
        <w:rPr>
          <w:rFonts w:ascii="Raleway ExtraBold"/>
          <w:b/>
          <w:color w:val="FFFFFF"/>
          <w:spacing w:val="-18"/>
          <w:sz w:val="88"/>
        </w:rPr>
        <w:t>people with </w:t>
      </w:r>
      <w:r>
        <w:rPr>
          <w:rFonts w:ascii="Raleway ExtraBold"/>
          <w:b/>
          <w:color w:val="FFFFFF"/>
          <w:spacing w:val="-20"/>
          <w:sz w:val="88"/>
        </w:rPr>
        <w:t>disabilities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3"/>
        <w:rPr>
          <w:rFonts w:ascii="Raleway ExtraBold"/>
          <w:b/>
          <w:sz w:val="12"/>
        </w:rPr>
      </w:pPr>
      <w:r>
        <w:rPr/>
        <w:pict>
          <v:group style="position:absolute;margin-left:79.370003pt;margin-top:10.4637pt;width:453.55pt;height:352.95pt;mso-position-horizontal-relative:page;mso-position-vertical-relative:paragraph;z-index:2432;mso-wrap-distance-left:0;mso-wrap-distance-right:0" coordorigin="1587,209" coordsize="9071,7059">
            <v:rect style="position:absolute;left:1587;top:209;width:9071;height:7059" filled="true" fillcolor="#37617a" stroked="false">
              <v:fill type="solid"/>
            </v:rect>
            <v:line style="position:absolute" from="1587,568" to="2098,568" stroked="true" strokeweight="2pt" strokecolor="#8f9dad">
              <v:stroke dashstyle="solid"/>
            </v:line>
            <v:line style="position:absolute" from="1587,1042" to="2098,1042" stroked="true" strokeweight="2pt" strokecolor="#8f9dad">
              <v:stroke dashstyle="solid"/>
            </v:line>
            <v:line style="position:absolute" from="1587,1515" to="2098,1515" stroked="true" strokeweight="2pt" strokecolor="#8f9dad">
              <v:stroke dashstyle="solid"/>
            </v:line>
            <v:line style="position:absolute" from="1587,1988" to="2098,1988" stroked="true" strokeweight="2pt" strokecolor="#8f9dad">
              <v:stroke dashstyle="solid"/>
            </v:line>
            <v:line style="position:absolute" from="1587,2822" to="2098,2822" stroked="true" strokeweight="2pt" strokecolor="#8f9dad">
              <v:stroke dashstyle="solid"/>
            </v:line>
            <v:line style="position:absolute" from="1587,3655" to="2098,3655" stroked="true" strokeweight="2pt" strokecolor="#8f9dad">
              <v:stroke dashstyle="solid"/>
            </v:line>
            <v:line style="position:absolute" from="1587,4129" to="2098,4129" stroked="true" strokeweight="2pt" strokecolor="#8f9dad">
              <v:stroke dashstyle="solid"/>
            </v:line>
            <v:shape style="position:absolute;left:1587;top:209;width:299;height:3843" type="#_x0000_t202" filled="false" stroked="false">
              <v:textbox inset="0,0,0,0">
                <w:txbxContent>
                  <w:p>
                    <w:pPr>
                      <w:spacing w:line="282" w:lineRule="exact" w:before="0"/>
                      <w:ind w:left="0" w:right="0" w:firstLine="0"/>
                      <w:jc w:val="left"/>
                      <w:rPr>
                        <w:b/>
                        <w:sz w:val="24"/>
                      </w:rPr>
                    </w:pPr>
                    <w:hyperlink w:history="true" w:anchor="_bookmark36">
                      <w:r>
                        <w:rPr>
                          <w:b/>
                          <w:color w:val="FFFFFF"/>
                          <w:sz w:val="24"/>
                        </w:rPr>
                        <w:t>42</w:t>
                      </w:r>
                    </w:hyperlink>
                  </w:p>
                  <w:p>
                    <w:pPr>
                      <w:spacing w:before="140"/>
                      <w:ind w:left="0" w:right="0" w:firstLine="0"/>
                      <w:jc w:val="left"/>
                      <w:rPr>
                        <w:b/>
                        <w:sz w:val="24"/>
                      </w:rPr>
                    </w:pPr>
                    <w:hyperlink w:history="true" w:anchor="_bookmark36">
                      <w:r>
                        <w:rPr>
                          <w:b/>
                          <w:color w:val="FFFFFF"/>
                          <w:sz w:val="24"/>
                        </w:rPr>
                        <w:t>42</w:t>
                      </w:r>
                    </w:hyperlink>
                  </w:p>
                  <w:p>
                    <w:pPr>
                      <w:spacing w:before="140"/>
                      <w:ind w:left="0" w:right="0" w:firstLine="0"/>
                      <w:jc w:val="left"/>
                      <w:rPr>
                        <w:b/>
                        <w:sz w:val="24"/>
                      </w:rPr>
                    </w:pPr>
                    <w:hyperlink w:history="true" w:anchor="_bookmark37">
                      <w:r>
                        <w:rPr>
                          <w:b/>
                          <w:color w:val="FFFFFF"/>
                          <w:spacing w:val="-3"/>
                          <w:sz w:val="24"/>
                        </w:rPr>
                        <w:t>43</w:t>
                      </w:r>
                    </w:hyperlink>
                  </w:p>
                  <w:p>
                    <w:pPr>
                      <w:spacing w:before="140"/>
                      <w:ind w:left="0" w:right="0" w:firstLine="0"/>
                      <w:jc w:val="left"/>
                      <w:rPr>
                        <w:b/>
                        <w:sz w:val="24"/>
                      </w:rPr>
                    </w:pPr>
                    <w:hyperlink w:history="true" w:anchor="_bookmark39">
                      <w:r>
                        <w:rPr>
                          <w:b/>
                          <w:color w:val="FFFFFF"/>
                          <w:sz w:val="24"/>
                        </w:rPr>
                        <w:t>45</w:t>
                      </w:r>
                    </w:hyperlink>
                  </w:p>
                  <w:p>
                    <w:pPr>
                      <w:spacing w:before="141"/>
                      <w:ind w:left="0" w:right="0" w:firstLine="0"/>
                      <w:jc w:val="left"/>
                      <w:rPr>
                        <w:b/>
                        <w:sz w:val="24"/>
                      </w:rPr>
                    </w:pPr>
                    <w:hyperlink w:history="true" w:anchor="_bookmark42">
                      <w:r>
                        <w:rPr>
                          <w:b/>
                          <w:color w:val="FFFFFF"/>
                          <w:sz w:val="24"/>
                        </w:rPr>
                        <w:t>49</w:t>
                      </w:r>
                    </w:hyperlink>
                  </w:p>
                  <w:p>
                    <w:pPr>
                      <w:spacing w:line="240" w:lineRule="auto" w:before="0"/>
                      <w:rPr>
                        <w:rFonts w:ascii="Raleway ExtraBold"/>
                        <w:b/>
                        <w:sz w:val="36"/>
                      </w:rPr>
                    </w:pPr>
                  </w:p>
                  <w:p>
                    <w:pPr>
                      <w:spacing w:before="0"/>
                      <w:ind w:left="0" w:right="0" w:firstLine="0"/>
                      <w:jc w:val="left"/>
                      <w:rPr>
                        <w:b/>
                        <w:sz w:val="24"/>
                      </w:rPr>
                    </w:pPr>
                    <w:hyperlink w:history="true" w:anchor="_bookmark43">
                      <w:r>
                        <w:rPr>
                          <w:b/>
                          <w:color w:val="FFFFFF"/>
                          <w:sz w:val="24"/>
                        </w:rPr>
                        <w:t>50</w:t>
                      </w:r>
                    </w:hyperlink>
                  </w:p>
                  <w:p>
                    <w:pPr>
                      <w:spacing w:line="240" w:lineRule="auto" w:before="1"/>
                      <w:rPr>
                        <w:rFonts w:ascii="Raleway ExtraBold"/>
                        <w:b/>
                        <w:sz w:val="36"/>
                      </w:rPr>
                    </w:pPr>
                  </w:p>
                  <w:p>
                    <w:pPr>
                      <w:spacing w:before="0"/>
                      <w:ind w:left="0" w:right="0" w:firstLine="0"/>
                      <w:jc w:val="left"/>
                      <w:rPr>
                        <w:b/>
                        <w:sz w:val="24"/>
                      </w:rPr>
                    </w:pPr>
                    <w:hyperlink w:history="true" w:anchor="_bookmark44">
                      <w:r>
                        <w:rPr>
                          <w:b/>
                          <w:color w:val="FFFFFF"/>
                          <w:sz w:val="24"/>
                        </w:rPr>
                        <w:t>51</w:t>
                      </w:r>
                    </w:hyperlink>
                  </w:p>
                </w:txbxContent>
              </v:textbox>
              <w10:wrap type="none"/>
            </v:shape>
            <v:shape style="position:absolute;left:2154;top:209;width:8239;height:3843" type="#_x0000_t202" filled="false" stroked="false">
              <v:textbox inset="0,0,0,0">
                <w:txbxContent>
                  <w:p>
                    <w:pPr>
                      <w:spacing w:line="282" w:lineRule="exact" w:before="0"/>
                      <w:ind w:left="0" w:right="0" w:firstLine="0"/>
                      <w:jc w:val="left"/>
                      <w:rPr>
                        <w:b/>
                        <w:sz w:val="24"/>
                      </w:rPr>
                    </w:pPr>
                    <w:hyperlink w:history="true" w:anchor="_bookmark36">
                      <w:r>
                        <w:rPr>
                          <w:b/>
                          <w:color w:val="FFFFFF"/>
                          <w:sz w:val="24"/>
                        </w:rPr>
                        <w:t>Overview</w:t>
                      </w:r>
                    </w:hyperlink>
                  </w:p>
                  <w:p>
                    <w:pPr>
                      <w:spacing w:line="340" w:lineRule="auto" w:before="140"/>
                      <w:ind w:left="0" w:right="2924" w:firstLine="0"/>
                      <w:jc w:val="left"/>
                      <w:rPr>
                        <w:b/>
                        <w:sz w:val="24"/>
                      </w:rPr>
                    </w:pPr>
                    <w:hyperlink w:history="true" w:anchor="_bookmark36">
                      <w:r>
                        <w:rPr>
                          <w:b/>
                          <w:color w:val="FFFFFF"/>
                          <w:sz w:val="24"/>
                        </w:rPr>
                        <w:t>Australia’s obligations under international law</w:t>
                      </w:r>
                    </w:hyperlink>
                    <w:r>
                      <w:rPr>
                        <w:b/>
                        <w:color w:val="FFFFFF"/>
                        <w:sz w:val="24"/>
                      </w:rPr>
                      <w:t> </w:t>
                    </w:r>
                    <w:hyperlink w:history="true" w:anchor="_bookmark37">
                      <w:r>
                        <w:rPr>
                          <w:b/>
                          <w:color w:val="FFFFFF"/>
                          <w:sz w:val="24"/>
                        </w:rPr>
                        <w:t>Implementation of the CRPD in Australia</w:t>
                      </w:r>
                    </w:hyperlink>
                    <w:r>
                      <w:rPr>
                        <w:b/>
                        <w:color w:val="FFFFFF"/>
                        <w:sz w:val="24"/>
                      </w:rPr>
                      <w:t> </w:t>
                    </w:r>
                    <w:hyperlink w:history="true" w:anchor="_bookmark39">
                      <w:r>
                        <w:rPr>
                          <w:b/>
                          <w:color w:val="FFFFFF"/>
                          <w:sz w:val="24"/>
                        </w:rPr>
                        <w:t>Australia is in breach of the </w:t>
                      </w:r>
                    </w:hyperlink>
                    <w:r>
                      <w:rPr>
                        <w:b/>
                        <w:color w:val="FFFFFF"/>
                        <w:sz w:val="24"/>
                      </w:rPr>
                      <w:t>CRPD</w:t>
                    </w:r>
                  </w:p>
                  <w:p>
                    <w:pPr>
                      <w:spacing w:line="259" w:lineRule="auto" w:before="1"/>
                      <w:ind w:left="0" w:right="0" w:hanging="1"/>
                      <w:jc w:val="left"/>
                      <w:rPr>
                        <w:b/>
                        <w:sz w:val="24"/>
                      </w:rPr>
                    </w:pPr>
                    <w:hyperlink w:history="true" w:anchor="_bookmark42">
                      <w:r>
                        <w:rPr>
                          <w:b/>
                          <w:color w:val="FFFFFF"/>
                          <w:sz w:val="24"/>
                        </w:rPr>
                        <w:t>United Nations principles and guidelines on the rights of persons with</w:t>
                      </w:r>
                    </w:hyperlink>
                    <w:r>
                      <w:rPr>
                        <w:b/>
                        <w:color w:val="FFFFFF"/>
                        <w:sz w:val="24"/>
                      </w:rPr>
                      <w:t> </w:t>
                    </w:r>
                    <w:hyperlink w:history="true" w:anchor="_bookmark42">
                      <w:r>
                        <w:rPr>
                          <w:b/>
                          <w:color w:val="FFFFFF"/>
                          <w:sz w:val="24"/>
                        </w:rPr>
                        <w:t>disabilities</w:t>
                      </w:r>
                    </w:hyperlink>
                  </w:p>
                  <w:p>
                    <w:pPr>
                      <w:spacing w:line="259" w:lineRule="auto" w:before="114"/>
                      <w:ind w:left="0" w:right="0" w:hanging="1"/>
                      <w:jc w:val="left"/>
                      <w:rPr>
                        <w:b/>
                        <w:sz w:val="24"/>
                      </w:rPr>
                    </w:pPr>
                    <w:hyperlink w:history="true" w:anchor="_bookmark43">
                      <w:r>
                        <w:rPr>
                          <w:b/>
                          <w:color w:val="FFFFFF"/>
                          <w:sz w:val="24"/>
                        </w:rPr>
                        <w:t>Community</w:t>
                      </w:r>
                      <w:r>
                        <w:rPr>
                          <w:b/>
                          <w:color w:val="FFFFFF"/>
                          <w:spacing w:val="-6"/>
                          <w:sz w:val="24"/>
                        </w:rPr>
                        <w:t> </w:t>
                      </w:r>
                      <w:r>
                        <w:rPr>
                          <w:b/>
                          <w:color w:val="FFFFFF"/>
                          <w:sz w:val="24"/>
                        </w:rPr>
                        <w:t>responses:</w:t>
                      </w:r>
                      <w:r>
                        <w:rPr>
                          <w:b/>
                          <w:color w:val="FFFFFF"/>
                          <w:spacing w:val="-5"/>
                          <w:sz w:val="24"/>
                        </w:rPr>
                        <w:t> </w:t>
                      </w:r>
                      <w:r>
                        <w:rPr>
                          <w:b/>
                          <w:color w:val="FFFFFF"/>
                          <w:sz w:val="24"/>
                        </w:rPr>
                        <w:t>Victorian</w:t>
                      </w:r>
                      <w:r>
                        <w:rPr>
                          <w:b/>
                          <w:color w:val="FFFFFF"/>
                          <w:spacing w:val="-5"/>
                          <w:sz w:val="24"/>
                        </w:rPr>
                        <w:t> </w:t>
                      </w:r>
                      <w:r>
                        <w:rPr>
                          <w:b/>
                          <w:color w:val="FFFFFF"/>
                          <w:spacing w:val="-3"/>
                          <w:sz w:val="24"/>
                        </w:rPr>
                        <w:t>laws</w:t>
                      </w:r>
                      <w:r>
                        <w:rPr>
                          <w:b/>
                          <w:color w:val="FFFFFF"/>
                          <w:spacing w:val="-5"/>
                          <w:sz w:val="24"/>
                        </w:rPr>
                        <w:t> </w:t>
                      </w:r>
                      <w:r>
                        <w:rPr>
                          <w:b/>
                          <w:color w:val="FFFFFF"/>
                          <w:sz w:val="24"/>
                        </w:rPr>
                        <w:t>should</w:t>
                      </w:r>
                      <w:r>
                        <w:rPr>
                          <w:b/>
                          <w:color w:val="FFFFFF"/>
                          <w:spacing w:val="-5"/>
                          <w:sz w:val="24"/>
                        </w:rPr>
                        <w:t> </w:t>
                      </w:r>
                      <w:r>
                        <w:rPr>
                          <w:b/>
                          <w:color w:val="FFFFFF"/>
                          <w:sz w:val="24"/>
                        </w:rPr>
                        <w:t>be</w:t>
                      </w:r>
                      <w:r>
                        <w:rPr>
                          <w:b/>
                          <w:color w:val="FFFFFF"/>
                          <w:spacing w:val="-5"/>
                          <w:sz w:val="24"/>
                        </w:rPr>
                        <w:t> </w:t>
                      </w:r>
                      <w:r>
                        <w:rPr>
                          <w:b/>
                          <w:color w:val="FFFFFF"/>
                          <w:sz w:val="24"/>
                        </w:rPr>
                        <w:t>reformed</w:t>
                      </w:r>
                      <w:r>
                        <w:rPr>
                          <w:b/>
                          <w:color w:val="FFFFFF"/>
                          <w:spacing w:val="-6"/>
                          <w:sz w:val="24"/>
                        </w:rPr>
                        <w:t> </w:t>
                      </w:r>
                      <w:r>
                        <w:rPr>
                          <w:b/>
                          <w:color w:val="FFFFFF"/>
                          <w:sz w:val="24"/>
                        </w:rPr>
                        <w:t>to</w:t>
                      </w:r>
                      <w:r>
                        <w:rPr>
                          <w:b/>
                          <w:color w:val="FFFFFF"/>
                          <w:spacing w:val="-5"/>
                          <w:sz w:val="24"/>
                        </w:rPr>
                        <w:t> </w:t>
                      </w:r>
                      <w:r>
                        <w:rPr>
                          <w:b/>
                          <w:color w:val="FFFFFF"/>
                          <w:sz w:val="24"/>
                        </w:rPr>
                        <w:t>respond</w:t>
                      </w:r>
                      <w:r>
                        <w:rPr>
                          <w:b/>
                          <w:color w:val="FFFFFF"/>
                          <w:spacing w:val="-5"/>
                          <w:sz w:val="24"/>
                        </w:rPr>
                        <w:t> </w:t>
                      </w:r>
                      <w:r>
                        <w:rPr>
                          <w:b/>
                          <w:color w:val="FFFFFF"/>
                          <w:sz w:val="24"/>
                        </w:rPr>
                        <w:t>to</w:t>
                      </w:r>
                    </w:hyperlink>
                    <w:r>
                      <w:rPr>
                        <w:b/>
                        <w:color w:val="FFFFFF"/>
                        <w:sz w:val="24"/>
                      </w:rPr>
                      <w:t> </w:t>
                    </w:r>
                    <w:hyperlink w:history="true" w:anchor="_bookmark43">
                      <w:r>
                        <w:rPr>
                          <w:b/>
                          <w:color w:val="FFFFFF"/>
                          <w:sz w:val="24"/>
                        </w:rPr>
                        <w:t>the recommendations of the Convention</w:t>
                      </w:r>
                      <w:r>
                        <w:rPr>
                          <w:b/>
                          <w:color w:val="FFFFFF"/>
                          <w:spacing w:val="-6"/>
                          <w:sz w:val="24"/>
                        </w:rPr>
                        <w:t> </w:t>
                      </w:r>
                      <w:r>
                        <w:rPr>
                          <w:b/>
                          <w:color w:val="FFFFFF"/>
                          <w:sz w:val="24"/>
                        </w:rPr>
                        <w:t>Committee</w:t>
                      </w:r>
                    </w:hyperlink>
                  </w:p>
                  <w:p>
                    <w:pPr>
                      <w:spacing w:before="114"/>
                      <w:ind w:left="0" w:right="0" w:firstLine="0"/>
                      <w:jc w:val="left"/>
                      <w:rPr>
                        <w:b/>
                        <w:sz w:val="24"/>
                      </w:rPr>
                    </w:pPr>
                    <w:hyperlink w:history="true" w:anchor="_bookmark44">
                      <w:r>
                        <w:rPr>
                          <w:b/>
                          <w:color w:val="FFFFFF"/>
                          <w:sz w:val="24"/>
                        </w:rPr>
                        <w:t>Reforms would improve compliance with the CRPD in Victoria</w:t>
                      </w:r>
                    </w:hyperlink>
                  </w:p>
                </w:txbxContent>
              </v:textbox>
              <w10:wrap type="none"/>
            </v:shape>
            <w10:wrap type="topAndBottom"/>
          </v:group>
        </w:pict>
      </w:r>
    </w:p>
    <w:p>
      <w:pPr>
        <w:spacing w:after="0"/>
        <w:rPr>
          <w:rFonts w:ascii="Raleway ExtraBold"/>
          <w:sz w:val="12"/>
        </w:rPr>
        <w:sectPr>
          <w:headerReference w:type="default" r:id="rId88"/>
          <w:headerReference w:type="even" r:id="rId89"/>
          <w:pgSz w:w="11910" w:h="16840"/>
          <w:pgMar w:header="0" w:footer="0" w:top="620" w:bottom="280" w:left="620" w:right="380"/>
        </w:sectPr>
      </w:pPr>
    </w:p>
    <w:p>
      <w:pPr>
        <w:pStyle w:val="BodyText"/>
        <w:rPr>
          <w:rFonts w:ascii="Raleway ExtraBold"/>
          <w:b/>
        </w:rPr>
      </w:pPr>
      <w:r>
        <w:rPr/>
        <w:pict>
          <v:rect style="position:absolute;margin-left:0pt;margin-top:99.213013pt;width:14.173pt;height:85.748pt;mso-position-horizontal-relative:page;mso-position-vertical-relative:page;z-index:4624" filled="true" fillcolor="#37617a" stroked="false">
            <v:fill type="solid"/>
            <w10:wrap type="none"/>
          </v:rect>
        </w:pict>
      </w:r>
    </w:p>
    <w:p>
      <w:pPr>
        <w:pStyle w:val="BodyText"/>
        <w:rPr>
          <w:rFonts w:ascii="Raleway ExtraBold"/>
          <w:b/>
        </w:rPr>
      </w:pPr>
    </w:p>
    <w:p>
      <w:pPr>
        <w:pStyle w:val="BodyText"/>
        <w:spacing w:before="2"/>
        <w:rPr>
          <w:rFonts w:ascii="Raleway ExtraBold"/>
          <w:b/>
          <w:sz w:val="25"/>
        </w:rPr>
      </w:pPr>
    </w:p>
    <w:p>
      <w:pPr>
        <w:pStyle w:val="ListParagraph"/>
        <w:numPr>
          <w:ilvl w:val="0"/>
          <w:numId w:val="12"/>
        </w:numPr>
        <w:tabs>
          <w:tab w:pos="815" w:val="left" w:leader="none"/>
        </w:tabs>
        <w:spacing w:line="184" w:lineRule="auto" w:before="129" w:after="0"/>
        <w:ind w:left="211" w:right="2345" w:firstLine="0"/>
        <w:jc w:val="left"/>
        <w:rPr>
          <w:rFonts w:ascii="Raleway ExtraBold"/>
          <w:b/>
          <w:sz w:val="56"/>
        </w:rPr>
      </w:pPr>
      <w:bookmarkStart w:name="6. International obligations about the r" w:id="91"/>
      <w:bookmarkEnd w:id="91"/>
      <w:r>
        <w:rPr/>
      </w:r>
      <w:bookmarkStart w:name="Overview" w:id="92"/>
      <w:bookmarkEnd w:id="92"/>
      <w:r>
        <w:rPr/>
      </w:r>
      <w:bookmarkStart w:name="Australia’s obligations under internatio" w:id="93"/>
      <w:bookmarkEnd w:id="93"/>
      <w:r>
        <w:rPr/>
      </w:r>
      <w:bookmarkStart w:name="_bookmark36" w:id="94"/>
      <w:bookmarkEnd w:id="94"/>
      <w:r>
        <w:rPr/>
      </w:r>
      <w:bookmarkStart w:name="_bookmark36" w:id="95"/>
      <w:bookmarkEnd w:id="95"/>
      <w:r>
        <w:rPr>
          <w:rFonts w:ascii="Raleway ExtraBold"/>
          <w:b/>
          <w:color w:val="37617A"/>
          <w:spacing w:val="-6"/>
          <w:sz w:val="56"/>
        </w:rPr>
        <w:t>I</w:t>
      </w:r>
      <w:r>
        <w:rPr>
          <w:rFonts w:ascii="Raleway ExtraBold"/>
          <w:b/>
          <w:color w:val="37617A"/>
          <w:spacing w:val="-6"/>
          <w:sz w:val="56"/>
        </w:rPr>
        <w:t>nternational </w:t>
      </w:r>
      <w:r>
        <w:rPr>
          <w:rFonts w:ascii="Raleway ExtraBold"/>
          <w:b/>
          <w:color w:val="37617A"/>
          <w:spacing w:val="-4"/>
          <w:sz w:val="56"/>
        </w:rPr>
        <w:t>obligations about </w:t>
      </w:r>
      <w:r>
        <w:rPr>
          <w:rFonts w:ascii="Raleway ExtraBold"/>
          <w:b/>
          <w:color w:val="37617A"/>
          <w:spacing w:val="-3"/>
          <w:sz w:val="56"/>
        </w:rPr>
        <w:t>the </w:t>
      </w:r>
      <w:r>
        <w:rPr>
          <w:rFonts w:ascii="Raleway ExtraBold"/>
          <w:b/>
          <w:color w:val="37617A"/>
          <w:spacing w:val="-4"/>
          <w:sz w:val="56"/>
        </w:rPr>
        <w:t>rights </w:t>
      </w:r>
      <w:r>
        <w:rPr>
          <w:rFonts w:ascii="Raleway ExtraBold"/>
          <w:b/>
          <w:color w:val="37617A"/>
          <w:spacing w:val="-3"/>
          <w:sz w:val="56"/>
        </w:rPr>
        <w:t>of people with </w:t>
      </w:r>
      <w:r>
        <w:rPr>
          <w:rFonts w:ascii="Raleway ExtraBold"/>
          <w:b/>
          <w:color w:val="37617A"/>
          <w:spacing w:val="-4"/>
          <w:sz w:val="56"/>
        </w:rPr>
        <w:t>disabilities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1"/>
        <w:rPr>
          <w:rFonts w:ascii="Raleway ExtraBold"/>
          <w:b/>
          <w:sz w:val="11"/>
        </w:rPr>
      </w:pPr>
      <w:r>
        <w:rPr/>
        <w:pict>
          <v:line style="position:absolute;mso-position-horizontal-relative:page;mso-position-vertical-relative:paragraph;z-index:2504;mso-wrap-distance-left:0;mso-wrap-distance-right:0" from="79.370102pt,10.42356pt" to="515.905102pt,10.42356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1806" w:right="2044" w:firstLine="0"/>
        <w:jc w:val="center"/>
        <w:rPr>
          <w:rFonts w:ascii="Trebuchet MS" w:hAnsi="Trebuchet MS"/>
          <w:sz w:val="19"/>
        </w:rPr>
      </w:pPr>
      <w:r>
        <w:rPr>
          <w:rFonts w:ascii="Trebuchet MS" w:hAnsi="Trebuchet MS"/>
          <w:i/>
          <w:color w:val="37617A"/>
          <w:spacing w:val="-6"/>
          <w:sz w:val="20"/>
        </w:rPr>
        <w:t>We</w:t>
      </w:r>
      <w:r>
        <w:rPr>
          <w:rFonts w:ascii="Trebuchet MS" w:hAnsi="Trebuchet MS"/>
          <w:i/>
          <w:color w:val="37617A"/>
          <w:spacing w:val="-18"/>
          <w:sz w:val="20"/>
        </w:rPr>
        <w:t> </w:t>
      </w:r>
      <w:r>
        <w:rPr>
          <w:rFonts w:ascii="Trebuchet MS" w:hAnsi="Trebuchet MS"/>
          <w:i/>
          <w:color w:val="37617A"/>
          <w:sz w:val="20"/>
        </w:rPr>
        <w:t>want</w:t>
      </w:r>
      <w:r>
        <w:rPr>
          <w:rFonts w:ascii="Trebuchet MS" w:hAnsi="Trebuchet MS"/>
          <w:i/>
          <w:color w:val="37617A"/>
          <w:spacing w:val="-17"/>
          <w:sz w:val="20"/>
        </w:rPr>
        <w:t> </w:t>
      </w:r>
      <w:r>
        <w:rPr>
          <w:rFonts w:ascii="Trebuchet MS" w:hAnsi="Trebuchet MS"/>
          <w:i/>
          <w:color w:val="37617A"/>
          <w:sz w:val="20"/>
        </w:rPr>
        <w:t>a</w:t>
      </w:r>
      <w:r>
        <w:rPr>
          <w:rFonts w:ascii="Trebuchet MS" w:hAnsi="Trebuchet MS"/>
          <w:i/>
          <w:color w:val="37617A"/>
          <w:spacing w:val="-18"/>
          <w:sz w:val="20"/>
        </w:rPr>
        <w:t> </w:t>
      </w:r>
      <w:r>
        <w:rPr>
          <w:rFonts w:ascii="Trebuchet MS" w:hAnsi="Trebuchet MS"/>
          <w:i/>
          <w:color w:val="37617A"/>
          <w:sz w:val="20"/>
        </w:rPr>
        <w:t>human</w:t>
      </w:r>
      <w:r>
        <w:rPr>
          <w:rFonts w:ascii="Trebuchet MS" w:hAnsi="Trebuchet MS"/>
          <w:i/>
          <w:color w:val="37617A"/>
          <w:spacing w:val="-17"/>
          <w:sz w:val="20"/>
        </w:rPr>
        <w:t> </w:t>
      </w:r>
      <w:r>
        <w:rPr>
          <w:rFonts w:ascii="Trebuchet MS" w:hAnsi="Trebuchet MS"/>
          <w:i/>
          <w:color w:val="37617A"/>
          <w:sz w:val="20"/>
        </w:rPr>
        <w:t>rights</w:t>
      </w:r>
      <w:r>
        <w:rPr>
          <w:rFonts w:ascii="Trebuchet MS" w:hAnsi="Trebuchet MS"/>
          <w:i/>
          <w:color w:val="37617A"/>
          <w:spacing w:val="-17"/>
          <w:sz w:val="20"/>
        </w:rPr>
        <w:t> </w:t>
      </w:r>
      <w:r>
        <w:rPr>
          <w:rFonts w:ascii="Trebuchet MS" w:hAnsi="Trebuchet MS"/>
          <w:i/>
          <w:color w:val="37617A"/>
          <w:sz w:val="20"/>
        </w:rPr>
        <w:t>model</w:t>
      </w:r>
      <w:r>
        <w:rPr>
          <w:rFonts w:ascii="Trebuchet MS" w:hAnsi="Trebuchet MS"/>
          <w:i/>
          <w:color w:val="37617A"/>
          <w:spacing w:val="-18"/>
          <w:sz w:val="20"/>
        </w:rPr>
        <w:t> </w:t>
      </w:r>
      <w:r>
        <w:rPr>
          <w:rFonts w:ascii="Trebuchet MS" w:hAnsi="Trebuchet MS"/>
          <w:i/>
          <w:color w:val="37617A"/>
          <w:spacing w:val="-3"/>
          <w:sz w:val="20"/>
        </w:rPr>
        <w:t>[for</w:t>
      </w:r>
      <w:r>
        <w:rPr>
          <w:rFonts w:ascii="Trebuchet MS" w:hAnsi="Trebuchet MS"/>
          <w:i/>
          <w:color w:val="37617A"/>
          <w:spacing w:val="-17"/>
          <w:sz w:val="20"/>
        </w:rPr>
        <w:t> </w:t>
      </w:r>
      <w:r>
        <w:rPr>
          <w:rFonts w:ascii="Trebuchet MS" w:hAnsi="Trebuchet MS"/>
          <w:i/>
          <w:color w:val="37617A"/>
          <w:sz w:val="20"/>
        </w:rPr>
        <w:t>jury</w:t>
      </w:r>
      <w:r>
        <w:rPr>
          <w:rFonts w:ascii="Trebuchet MS" w:hAnsi="Trebuchet MS"/>
          <w:i/>
          <w:color w:val="37617A"/>
          <w:spacing w:val="-17"/>
          <w:sz w:val="20"/>
        </w:rPr>
        <w:t> </w:t>
      </w:r>
      <w:r>
        <w:rPr>
          <w:rFonts w:ascii="Trebuchet MS" w:hAnsi="Trebuchet MS"/>
          <w:i/>
          <w:color w:val="37617A"/>
          <w:sz w:val="20"/>
        </w:rPr>
        <w:t>duty];</w:t>
      </w:r>
      <w:r>
        <w:rPr>
          <w:rFonts w:ascii="Trebuchet MS" w:hAnsi="Trebuchet MS"/>
          <w:i/>
          <w:color w:val="37617A"/>
          <w:spacing w:val="-18"/>
          <w:sz w:val="20"/>
        </w:rPr>
        <w:t> </w:t>
      </w:r>
      <w:r>
        <w:rPr>
          <w:rFonts w:ascii="Trebuchet MS" w:hAnsi="Trebuchet MS"/>
          <w:i/>
          <w:color w:val="37617A"/>
          <w:sz w:val="20"/>
        </w:rPr>
        <w:t>we</w:t>
      </w:r>
      <w:r>
        <w:rPr>
          <w:rFonts w:ascii="Trebuchet MS" w:hAnsi="Trebuchet MS"/>
          <w:i/>
          <w:color w:val="37617A"/>
          <w:spacing w:val="-17"/>
          <w:sz w:val="20"/>
        </w:rPr>
        <w:t> </w:t>
      </w:r>
      <w:r>
        <w:rPr>
          <w:rFonts w:ascii="Trebuchet MS" w:hAnsi="Trebuchet MS"/>
          <w:i/>
          <w:color w:val="37617A"/>
          <w:sz w:val="20"/>
        </w:rPr>
        <w:t>don’t</w:t>
      </w:r>
      <w:r>
        <w:rPr>
          <w:rFonts w:ascii="Trebuchet MS" w:hAnsi="Trebuchet MS"/>
          <w:i/>
          <w:color w:val="37617A"/>
          <w:spacing w:val="-17"/>
          <w:sz w:val="20"/>
        </w:rPr>
        <w:t> </w:t>
      </w:r>
      <w:r>
        <w:rPr>
          <w:rFonts w:ascii="Trebuchet MS" w:hAnsi="Trebuchet MS"/>
          <w:i/>
          <w:color w:val="37617A"/>
          <w:sz w:val="20"/>
        </w:rPr>
        <w:t>want</w:t>
      </w:r>
      <w:r>
        <w:rPr>
          <w:rFonts w:ascii="Trebuchet MS" w:hAnsi="Trebuchet MS"/>
          <w:i/>
          <w:color w:val="37617A"/>
          <w:spacing w:val="-18"/>
          <w:sz w:val="20"/>
        </w:rPr>
        <w:t> </w:t>
      </w:r>
      <w:r>
        <w:rPr>
          <w:rFonts w:ascii="Trebuchet MS" w:hAnsi="Trebuchet MS"/>
          <w:i/>
          <w:color w:val="37617A"/>
          <w:sz w:val="20"/>
        </w:rPr>
        <w:t>a</w:t>
      </w:r>
      <w:r>
        <w:rPr>
          <w:rFonts w:ascii="Trebuchet MS" w:hAnsi="Trebuchet MS"/>
          <w:i/>
          <w:color w:val="37617A"/>
          <w:spacing w:val="-17"/>
          <w:sz w:val="20"/>
        </w:rPr>
        <w:t> </w:t>
      </w:r>
      <w:r>
        <w:rPr>
          <w:rFonts w:ascii="Trebuchet MS" w:hAnsi="Trebuchet MS"/>
          <w:i/>
          <w:color w:val="37617A"/>
          <w:sz w:val="20"/>
        </w:rPr>
        <w:t>discriminatory </w:t>
      </w:r>
      <w:r>
        <w:rPr>
          <w:rFonts w:ascii="Trebuchet MS" w:hAnsi="Trebuchet MS"/>
          <w:i/>
          <w:color w:val="37617A"/>
          <w:sz w:val="20"/>
        </w:rPr>
        <w:t>model. </w:t>
      </w:r>
      <w:r>
        <w:rPr>
          <w:rFonts w:ascii="Trebuchet MS" w:hAnsi="Trebuchet MS"/>
          <w:i/>
          <w:color w:val="37617A"/>
          <w:spacing w:val="-6"/>
          <w:sz w:val="20"/>
        </w:rPr>
        <w:t>We </w:t>
      </w:r>
      <w:r>
        <w:rPr>
          <w:rFonts w:ascii="Trebuchet MS" w:hAnsi="Trebuchet MS"/>
          <w:i/>
          <w:color w:val="37617A"/>
          <w:sz w:val="20"/>
        </w:rPr>
        <w:t>need to be assessed if we can do a task—not just subjected to </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spacing w:val="-6"/>
          <w:w w:val="100"/>
          <w:sz w:val="20"/>
        </w:rPr>
        <w:t>e</w:t>
      </w:r>
      <w:r>
        <w:rPr>
          <w:rFonts w:ascii="Trebuchet MS" w:hAnsi="Trebuchet MS"/>
          <w:i/>
          <w:color w:val="37617A"/>
          <w:spacing w:val="-1"/>
          <w:w w:val="54"/>
          <w:sz w:val="20"/>
        </w:rPr>
        <w:t>’</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3"/>
          <w:w w:val="103"/>
          <w:sz w:val="20"/>
        </w:rPr>
        <w:t>v</w:t>
      </w:r>
      <w:r>
        <w:rPr>
          <w:rFonts w:ascii="Trebuchet MS" w:hAnsi="Trebuchet MS"/>
          <w:i/>
          <w:color w:val="37617A"/>
          <w:w w:val="73"/>
          <w:sz w:val="20"/>
        </w:rPr>
        <w:t>i</w:t>
      </w:r>
      <w:r>
        <w:rPr>
          <w:rFonts w:ascii="Trebuchet MS" w:hAnsi="Trebuchet MS"/>
          <w:i/>
          <w:color w:val="37617A"/>
          <w:spacing w:val="-3"/>
          <w:w w:val="100"/>
          <w:sz w:val="20"/>
        </w:rPr>
        <w:t>e</w:t>
      </w:r>
      <w:r>
        <w:rPr>
          <w:rFonts w:ascii="Trebuchet MS" w:hAnsi="Trebuchet MS"/>
          <w:i/>
          <w:color w:val="37617A"/>
          <w:spacing w:val="-3"/>
          <w:w w:val="103"/>
          <w:sz w:val="20"/>
        </w:rPr>
        <w:t>w</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1"/>
          <w:sz w:val="20"/>
        </w:rPr>
        <w:t>h</w:t>
      </w:r>
      <w:r>
        <w:rPr>
          <w:rFonts w:ascii="Trebuchet MS" w:hAnsi="Trebuchet MS"/>
          <w:i/>
          <w:color w:val="37617A"/>
          <w:spacing w:val="-1"/>
          <w:w w:val="99"/>
          <w:sz w:val="20"/>
        </w:rPr>
        <w:t>a</w:t>
      </w:r>
      <w:r>
        <w:rPr>
          <w:rFonts w:ascii="Trebuchet MS" w:hAnsi="Trebuchet MS"/>
          <w:i/>
          <w:color w:val="37617A"/>
          <w:w w:val="99"/>
          <w:sz w:val="20"/>
        </w:rPr>
        <w:t>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spacing w:val="-1"/>
          <w:w w:val="103"/>
          <w:sz w:val="20"/>
        </w:rPr>
        <w:t>n</w:t>
      </w:r>
      <w:r>
        <w:rPr>
          <w:rFonts w:ascii="Trebuchet MS" w:hAnsi="Trebuchet MS"/>
          <w:i/>
          <w:color w:val="37617A"/>
          <w:spacing w:val="-2"/>
          <w:w w:val="107"/>
          <w:sz w:val="20"/>
        </w:rPr>
        <w:t>o</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1"/>
          <w:w w:val="108"/>
          <w:sz w:val="20"/>
        </w:rPr>
        <w:t>d</w:t>
      </w:r>
      <w:r>
        <w:rPr>
          <w:rFonts w:ascii="Trebuchet MS" w:hAnsi="Trebuchet MS"/>
          <w:i/>
          <w:color w:val="37617A"/>
          <w:w w:val="107"/>
          <w:sz w:val="20"/>
        </w:rPr>
        <w:t>o</w:t>
      </w:r>
      <w:r>
        <w:rPr>
          <w:rFonts w:ascii="Trebuchet MS" w:hAnsi="Trebuchet MS"/>
          <w:i/>
          <w:color w:val="37617A"/>
          <w:w w:val="54"/>
          <w:sz w:val="20"/>
        </w:rPr>
        <w:t>.</w:t>
      </w:r>
      <w:r>
        <w:rPr>
          <w:rFonts w:ascii="Trebuchet MS" w:hAnsi="Trebuchet MS"/>
          <w:i/>
          <w:color w:val="37617A"/>
          <w:w w:val="87"/>
          <w:position w:val="7"/>
          <w:sz w:val="11"/>
        </w:rPr>
        <w:t>1</w:t>
      </w:r>
      <w:r>
        <w:rPr>
          <w:rFonts w:ascii="Trebuchet MS" w:hAnsi="Trebuchet MS"/>
          <w:i/>
          <w:color w:val="37617A"/>
          <w:spacing w:val="16"/>
          <w:position w:val="7"/>
          <w:sz w:val="11"/>
        </w:rPr>
        <w:t> </w:t>
      </w:r>
      <w:r>
        <w:rPr>
          <w:rFonts w:ascii="Trebuchet MS" w:hAnsi="Trebuchet MS"/>
          <w:color w:val="37617A"/>
          <w:spacing w:val="1"/>
          <w:w w:val="124"/>
          <w:sz w:val="19"/>
        </w:rPr>
        <w:t>—</w:t>
      </w:r>
      <w:r>
        <w:rPr>
          <w:rFonts w:ascii="Trebuchet MS" w:hAnsi="Trebuchet MS"/>
          <w:color w:val="37617A"/>
          <w:spacing w:val="-1"/>
          <w:w w:val="111"/>
          <w:sz w:val="19"/>
        </w:rPr>
        <w:t>P</w:t>
      </w:r>
      <w:r>
        <w:rPr>
          <w:rFonts w:ascii="Trebuchet MS" w:hAnsi="Trebuchet MS"/>
          <w:color w:val="37617A"/>
          <w:w w:val="105"/>
          <w:sz w:val="19"/>
        </w:rPr>
        <w:t>a</w:t>
      </w:r>
      <w:r>
        <w:rPr>
          <w:rFonts w:ascii="Trebuchet MS" w:hAnsi="Trebuchet MS"/>
          <w:color w:val="37617A"/>
          <w:spacing w:val="3"/>
          <w:w w:val="93"/>
          <w:sz w:val="19"/>
        </w:rPr>
        <w:t>r</w:t>
      </w:r>
      <w:r>
        <w:rPr>
          <w:rFonts w:ascii="Trebuchet MS" w:hAnsi="Trebuchet MS"/>
          <w:color w:val="37617A"/>
          <w:w w:val="88"/>
          <w:sz w:val="19"/>
        </w:rPr>
        <w:t>t</w:t>
      </w:r>
      <w:r>
        <w:rPr>
          <w:rFonts w:ascii="Trebuchet MS" w:hAnsi="Trebuchet MS"/>
          <w:color w:val="37617A"/>
          <w:w w:val="80"/>
          <w:sz w:val="19"/>
        </w:rPr>
        <w:t>i</w:t>
      </w:r>
      <w:r>
        <w:rPr>
          <w:rFonts w:ascii="Trebuchet MS" w:hAnsi="Trebuchet MS"/>
          <w:color w:val="37617A"/>
          <w:spacing w:val="-1"/>
          <w:w w:val="111"/>
          <w:sz w:val="19"/>
        </w:rPr>
        <w:t>c</w:t>
      </w:r>
      <w:r>
        <w:rPr>
          <w:rFonts w:ascii="Trebuchet MS" w:hAnsi="Trebuchet MS"/>
          <w:color w:val="37617A"/>
          <w:spacing w:val="-1"/>
          <w:w w:val="80"/>
          <w:sz w:val="19"/>
        </w:rPr>
        <w:t>i</w:t>
      </w:r>
      <w:r>
        <w:rPr>
          <w:rFonts w:ascii="Trebuchet MS" w:hAnsi="Trebuchet MS"/>
          <w:color w:val="37617A"/>
          <w:w w:val="111"/>
          <w:sz w:val="19"/>
        </w:rPr>
        <w:t>p</w:t>
      </w:r>
      <w:r>
        <w:rPr>
          <w:rFonts w:ascii="Trebuchet MS" w:hAnsi="Trebuchet MS"/>
          <w:color w:val="37617A"/>
          <w:w w:val="105"/>
          <w:sz w:val="19"/>
        </w:rPr>
        <w:t>a</w:t>
      </w:r>
      <w:r>
        <w:rPr>
          <w:rFonts w:ascii="Trebuchet MS" w:hAnsi="Trebuchet MS"/>
          <w:color w:val="37617A"/>
          <w:spacing w:val="-2"/>
          <w:w w:val="107"/>
          <w:sz w:val="19"/>
        </w:rPr>
        <w:t>n</w:t>
      </w:r>
      <w:r>
        <w:rPr>
          <w:rFonts w:ascii="Trebuchet MS" w:hAnsi="Trebuchet MS"/>
          <w:color w:val="37617A"/>
          <w:w w:val="88"/>
          <w:sz w:val="19"/>
        </w:rPr>
        <w:t>t</w:t>
      </w:r>
      <w:r>
        <w:rPr>
          <w:rFonts w:ascii="Trebuchet MS" w:hAnsi="Trebuchet MS"/>
          <w:color w:val="37617A"/>
          <w:spacing w:val="-12"/>
          <w:sz w:val="19"/>
        </w:rPr>
        <w:t> </w:t>
      </w:r>
      <w:r>
        <w:rPr>
          <w:rFonts w:ascii="Trebuchet MS" w:hAnsi="Trebuchet MS"/>
          <w:color w:val="37617A"/>
          <w:spacing w:val="-1"/>
          <w:w w:val="80"/>
          <w:sz w:val="19"/>
        </w:rPr>
        <w:t>i</w:t>
      </w:r>
      <w:r>
        <w:rPr>
          <w:rFonts w:ascii="Trebuchet MS" w:hAnsi="Trebuchet MS"/>
          <w:color w:val="37617A"/>
          <w:w w:val="107"/>
          <w:sz w:val="19"/>
        </w:rPr>
        <w:t>n</w:t>
      </w:r>
      <w:r>
        <w:rPr>
          <w:rFonts w:ascii="Trebuchet MS" w:hAnsi="Trebuchet MS"/>
          <w:color w:val="37617A"/>
          <w:spacing w:val="-12"/>
          <w:sz w:val="19"/>
        </w:rPr>
        <w:t> </w:t>
      </w:r>
      <w:r>
        <w:rPr>
          <w:rFonts w:ascii="Trebuchet MS" w:hAnsi="Trebuchet MS"/>
          <w:color w:val="37617A"/>
          <w:w w:val="88"/>
          <w:sz w:val="19"/>
        </w:rPr>
        <w:t>t</w:t>
      </w:r>
      <w:r>
        <w:rPr>
          <w:rFonts w:ascii="Trebuchet MS" w:hAnsi="Trebuchet MS"/>
          <w:color w:val="37617A"/>
          <w:w w:val="107"/>
          <w:sz w:val="19"/>
        </w:rPr>
        <w:t>h</w:t>
      </w:r>
      <w:r>
        <w:rPr>
          <w:rFonts w:ascii="Trebuchet MS" w:hAnsi="Trebuchet MS"/>
          <w:color w:val="37617A"/>
          <w:w w:val="108"/>
          <w:sz w:val="19"/>
        </w:rPr>
        <w:t>e</w:t>
      </w:r>
      <w:r>
        <w:rPr>
          <w:rFonts w:ascii="Trebuchet MS" w:hAnsi="Trebuchet MS"/>
          <w:color w:val="37617A"/>
          <w:spacing w:val="-12"/>
          <w:sz w:val="19"/>
        </w:rPr>
        <w:t> </w:t>
      </w:r>
      <w:r>
        <w:rPr>
          <w:rFonts w:ascii="Trebuchet MS" w:hAnsi="Trebuchet MS"/>
          <w:color w:val="37617A"/>
          <w:spacing w:val="1"/>
          <w:w w:val="118"/>
          <w:sz w:val="19"/>
        </w:rPr>
        <w:t>B</w:t>
      </w:r>
      <w:r>
        <w:rPr>
          <w:rFonts w:ascii="Trebuchet MS" w:hAnsi="Trebuchet MS"/>
          <w:color w:val="37617A"/>
          <w:spacing w:val="1"/>
          <w:w w:val="96"/>
          <w:sz w:val="19"/>
        </w:rPr>
        <w:t>l</w:t>
      </w:r>
      <w:r>
        <w:rPr>
          <w:rFonts w:ascii="Trebuchet MS" w:hAnsi="Trebuchet MS"/>
          <w:color w:val="37617A"/>
          <w:spacing w:val="-1"/>
          <w:w w:val="80"/>
          <w:sz w:val="19"/>
        </w:rPr>
        <w:t>i</w:t>
      </w:r>
      <w:r>
        <w:rPr>
          <w:rFonts w:ascii="Trebuchet MS" w:hAnsi="Trebuchet MS"/>
          <w:color w:val="37617A"/>
          <w:w w:val="107"/>
          <w:sz w:val="19"/>
        </w:rPr>
        <w:t>n</w:t>
      </w:r>
      <w:r>
        <w:rPr>
          <w:rFonts w:ascii="Trebuchet MS" w:hAnsi="Trebuchet MS"/>
          <w:color w:val="37617A"/>
          <w:w w:val="112"/>
          <w:sz w:val="19"/>
        </w:rPr>
        <w:t>d </w:t>
      </w:r>
      <w:r>
        <w:rPr>
          <w:rFonts w:ascii="Trebuchet MS" w:hAnsi="Trebuchet MS"/>
          <w:color w:val="37617A"/>
          <w:sz w:val="19"/>
        </w:rPr>
        <w:t>Citizens Australia</w:t>
      </w:r>
      <w:r>
        <w:rPr>
          <w:rFonts w:ascii="Trebuchet MS" w:hAnsi="Trebuchet MS"/>
          <w:color w:val="37617A"/>
          <w:spacing w:val="-21"/>
          <w:sz w:val="19"/>
        </w:rPr>
        <w:t> </w:t>
      </w:r>
      <w:r>
        <w:rPr>
          <w:rFonts w:ascii="Trebuchet MS" w:hAnsi="Trebuchet MS"/>
          <w:color w:val="37617A"/>
          <w:sz w:val="19"/>
        </w:rPr>
        <w:t>consultation</w:t>
      </w:r>
    </w:p>
    <w:p>
      <w:pPr>
        <w:pStyle w:val="BodyText"/>
        <w:spacing w:before="9"/>
        <w:rPr>
          <w:rFonts w:ascii="Trebuchet MS"/>
          <w:sz w:val="9"/>
        </w:rPr>
      </w:pPr>
      <w:r>
        <w:rPr/>
        <w:pict>
          <v:line style="position:absolute;mso-position-horizontal-relative:page;mso-position-vertical-relative:paragraph;z-index:2528;mso-wrap-distance-left:0;mso-wrap-distance-right:0" from="79.370102pt,7.907311pt" to="515.905102pt,7.907311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39"/>
        </w:numPr>
        <w:tabs>
          <w:tab w:pos="2158" w:val="left" w:leader="none"/>
        </w:tabs>
        <w:spacing w:line="206" w:lineRule="auto" w:before="146" w:after="0"/>
        <w:ind w:left="2157" w:right="1215" w:hanging="396"/>
        <w:jc w:val="both"/>
        <w:rPr>
          <w:sz w:val="20"/>
        </w:rPr>
      </w:pPr>
      <w:r>
        <w:rPr>
          <w:sz w:val="20"/>
        </w:rPr>
        <w:t>Australia</w:t>
      </w:r>
      <w:r>
        <w:rPr>
          <w:spacing w:val="-10"/>
          <w:sz w:val="20"/>
        </w:rPr>
        <w:t> </w:t>
      </w:r>
      <w:r>
        <w:rPr>
          <w:sz w:val="20"/>
        </w:rPr>
        <w:t>is</w:t>
      </w:r>
      <w:r>
        <w:rPr>
          <w:spacing w:val="-9"/>
          <w:sz w:val="20"/>
        </w:rPr>
        <w:t> </w:t>
      </w:r>
      <w:r>
        <w:rPr>
          <w:sz w:val="20"/>
        </w:rPr>
        <w:t>a</w:t>
      </w:r>
      <w:r>
        <w:rPr>
          <w:spacing w:val="-10"/>
          <w:sz w:val="20"/>
        </w:rPr>
        <w:t> </w:t>
      </w:r>
      <w:r>
        <w:rPr>
          <w:spacing w:val="-3"/>
          <w:sz w:val="20"/>
        </w:rPr>
        <w:t>State</w:t>
      </w:r>
      <w:r>
        <w:rPr>
          <w:spacing w:val="-9"/>
          <w:sz w:val="20"/>
        </w:rPr>
        <w:t> </w:t>
      </w:r>
      <w:r>
        <w:rPr>
          <w:sz w:val="20"/>
        </w:rPr>
        <w:t>Party</w:t>
      </w:r>
      <w:r>
        <w:rPr>
          <w:spacing w:val="-10"/>
          <w:sz w:val="20"/>
        </w:rPr>
        <w:t> </w:t>
      </w:r>
      <w:r>
        <w:rPr>
          <w:sz w:val="20"/>
        </w:rPr>
        <w:t>to</w:t>
      </w:r>
      <w:r>
        <w:rPr>
          <w:spacing w:val="-9"/>
          <w:sz w:val="20"/>
        </w:rPr>
        <w:t> </w:t>
      </w:r>
      <w:r>
        <w:rPr>
          <w:sz w:val="20"/>
        </w:rPr>
        <w:t>the</w:t>
      </w:r>
      <w:r>
        <w:rPr>
          <w:spacing w:val="-10"/>
          <w:sz w:val="20"/>
        </w:rPr>
        <w:t> </w:t>
      </w:r>
      <w:r>
        <w:rPr>
          <w:sz w:val="20"/>
        </w:rPr>
        <w:t>United</w:t>
      </w:r>
      <w:r>
        <w:rPr>
          <w:spacing w:val="-9"/>
          <w:sz w:val="20"/>
        </w:rPr>
        <w:t> </w:t>
      </w:r>
      <w:r>
        <w:rPr>
          <w:sz w:val="20"/>
        </w:rPr>
        <w:t>Nations</w:t>
      </w:r>
      <w:r>
        <w:rPr>
          <w:spacing w:val="-9"/>
          <w:sz w:val="20"/>
        </w:rPr>
        <w:t> </w:t>
      </w:r>
      <w:r>
        <w:rPr>
          <w:sz w:val="20"/>
        </w:rPr>
        <w:t>Convention</w:t>
      </w:r>
      <w:r>
        <w:rPr>
          <w:spacing w:val="-10"/>
          <w:sz w:val="20"/>
        </w:rPr>
        <w:t> </w:t>
      </w:r>
      <w:r>
        <w:rPr>
          <w:sz w:val="20"/>
        </w:rPr>
        <w:t>on</w:t>
      </w:r>
      <w:r>
        <w:rPr>
          <w:spacing w:val="-9"/>
          <w:sz w:val="20"/>
        </w:rPr>
        <w:t> </w:t>
      </w:r>
      <w:r>
        <w:rPr>
          <w:sz w:val="20"/>
        </w:rPr>
        <w:t>the</w:t>
      </w:r>
      <w:r>
        <w:rPr>
          <w:spacing w:val="-10"/>
          <w:sz w:val="20"/>
        </w:rPr>
        <w:t> </w:t>
      </w:r>
      <w:r>
        <w:rPr>
          <w:sz w:val="20"/>
        </w:rPr>
        <w:t>Rights</w:t>
      </w:r>
      <w:r>
        <w:rPr>
          <w:spacing w:val="-9"/>
          <w:sz w:val="20"/>
        </w:rPr>
        <w:t> </w:t>
      </w:r>
      <w:r>
        <w:rPr>
          <w:sz w:val="20"/>
        </w:rPr>
        <w:t>of</w:t>
      </w:r>
      <w:r>
        <w:rPr>
          <w:spacing w:val="-10"/>
          <w:sz w:val="20"/>
        </w:rPr>
        <w:t> </w:t>
      </w:r>
      <w:r>
        <w:rPr>
          <w:sz w:val="20"/>
        </w:rPr>
        <w:t>Persons with</w:t>
      </w:r>
      <w:r>
        <w:rPr>
          <w:spacing w:val="-10"/>
          <w:sz w:val="20"/>
        </w:rPr>
        <w:t> </w:t>
      </w:r>
      <w:r>
        <w:rPr>
          <w:sz w:val="20"/>
        </w:rPr>
        <w:t>Disabilities</w:t>
      </w:r>
      <w:r>
        <w:rPr>
          <w:spacing w:val="-9"/>
          <w:sz w:val="20"/>
        </w:rPr>
        <w:t> </w:t>
      </w:r>
      <w:r>
        <w:rPr>
          <w:spacing w:val="-4"/>
          <w:sz w:val="20"/>
        </w:rPr>
        <w:t>(CRPD).</w:t>
      </w:r>
      <w:r>
        <w:rPr>
          <w:spacing w:val="-9"/>
          <w:sz w:val="20"/>
        </w:rPr>
        <w:t> </w:t>
      </w:r>
      <w:r>
        <w:rPr>
          <w:sz w:val="20"/>
        </w:rPr>
        <w:t>The</w:t>
      </w:r>
      <w:r>
        <w:rPr>
          <w:spacing w:val="-10"/>
          <w:sz w:val="20"/>
        </w:rPr>
        <w:t> </w:t>
      </w:r>
      <w:r>
        <w:rPr>
          <w:sz w:val="20"/>
        </w:rPr>
        <w:t>CRPD</w:t>
      </w:r>
      <w:r>
        <w:rPr>
          <w:spacing w:val="-9"/>
          <w:sz w:val="20"/>
        </w:rPr>
        <w:t> </w:t>
      </w:r>
      <w:r>
        <w:rPr>
          <w:sz w:val="20"/>
        </w:rPr>
        <w:t>sets</w:t>
      </w:r>
      <w:r>
        <w:rPr>
          <w:spacing w:val="-9"/>
          <w:sz w:val="20"/>
        </w:rPr>
        <w:t> </w:t>
      </w:r>
      <w:r>
        <w:rPr>
          <w:sz w:val="20"/>
        </w:rPr>
        <w:t>out</w:t>
      </w:r>
      <w:r>
        <w:rPr>
          <w:spacing w:val="-9"/>
          <w:sz w:val="20"/>
        </w:rPr>
        <w:t> </w:t>
      </w:r>
      <w:r>
        <w:rPr>
          <w:sz w:val="20"/>
        </w:rPr>
        <w:t>the</w:t>
      </w:r>
      <w:r>
        <w:rPr>
          <w:spacing w:val="-10"/>
          <w:sz w:val="20"/>
        </w:rPr>
        <w:t> </w:t>
      </w:r>
      <w:r>
        <w:rPr>
          <w:sz w:val="20"/>
        </w:rPr>
        <w:t>rights</w:t>
      </w:r>
      <w:r>
        <w:rPr>
          <w:spacing w:val="-9"/>
          <w:sz w:val="20"/>
        </w:rPr>
        <w:t> </w:t>
      </w:r>
      <w:r>
        <w:rPr>
          <w:sz w:val="20"/>
        </w:rPr>
        <w:t>of</w:t>
      </w:r>
      <w:r>
        <w:rPr>
          <w:spacing w:val="-9"/>
          <w:sz w:val="20"/>
        </w:rPr>
        <w:t> </w:t>
      </w:r>
      <w:r>
        <w:rPr>
          <w:sz w:val="20"/>
        </w:rPr>
        <w:t>people</w:t>
      </w:r>
      <w:r>
        <w:rPr>
          <w:spacing w:val="-10"/>
          <w:sz w:val="20"/>
        </w:rPr>
        <w:t> </w:t>
      </w:r>
      <w:r>
        <w:rPr>
          <w:sz w:val="20"/>
        </w:rPr>
        <w:t>with</w:t>
      </w:r>
      <w:r>
        <w:rPr>
          <w:spacing w:val="-9"/>
          <w:sz w:val="20"/>
        </w:rPr>
        <w:t> </w:t>
      </w:r>
      <w:r>
        <w:rPr>
          <w:sz w:val="20"/>
        </w:rPr>
        <w:t>disabilities</w:t>
      </w:r>
      <w:r>
        <w:rPr>
          <w:spacing w:val="-9"/>
          <w:sz w:val="20"/>
        </w:rPr>
        <w:t> </w:t>
      </w:r>
      <w:r>
        <w:rPr>
          <w:sz w:val="20"/>
        </w:rPr>
        <w:t>and reflects international consensus and</w:t>
      </w:r>
      <w:r>
        <w:rPr>
          <w:spacing w:val="-20"/>
          <w:sz w:val="20"/>
        </w:rPr>
        <w:t> </w:t>
      </w:r>
      <w:r>
        <w:rPr>
          <w:sz w:val="20"/>
        </w:rPr>
        <w:t>standards.</w:t>
      </w:r>
    </w:p>
    <w:p>
      <w:pPr>
        <w:pStyle w:val="ListParagraph"/>
        <w:numPr>
          <w:ilvl w:val="0"/>
          <w:numId w:val="39"/>
        </w:numPr>
        <w:tabs>
          <w:tab w:pos="2157" w:val="left" w:leader="none"/>
          <w:tab w:pos="2158" w:val="left" w:leader="none"/>
        </w:tabs>
        <w:spacing w:line="206" w:lineRule="auto" w:before="89" w:after="0"/>
        <w:ind w:left="2157" w:right="1348" w:hanging="396"/>
        <w:jc w:val="left"/>
        <w:rPr>
          <w:sz w:val="20"/>
        </w:rPr>
      </w:pPr>
      <w:r>
        <w:rPr>
          <w:sz w:val="20"/>
        </w:rPr>
        <w:t>The United Nations Committee on the Rights of Persons with Disabilities (the Convention Committee) has found that Australia is in breach of its obligations under</w:t>
      </w:r>
      <w:r>
        <w:rPr>
          <w:spacing w:val="-11"/>
          <w:sz w:val="20"/>
        </w:rPr>
        <w:t> </w:t>
      </w:r>
      <w:r>
        <w:rPr>
          <w:sz w:val="20"/>
        </w:rPr>
        <w:t>the</w:t>
      </w:r>
      <w:r>
        <w:rPr>
          <w:spacing w:val="-11"/>
          <w:sz w:val="20"/>
        </w:rPr>
        <w:t> </w:t>
      </w:r>
      <w:r>
        <w:rPr>
          <w:sz w:val="20"/>
        </w:rPr>
        <w:t>CRPD</w:t>
      </w:r>
      <w:r>
        <w:rPr>
          <w:spacing w:val="-11"/>
          <w:sz w:val="20"/>
        </w:rPr>
        <w:t> </w:t>
      </w:r>
      <w:r>
        <w:rPr>
          <w:spacing w:val="-3"/>
          <w:sz w:val="20"/>
        </w:rPr>
        <w:t>by</w:t>
      </w:r>
      <w:r>
        <w:rPr>
          <w:spacing w:val="-11"/>
          <w:sz w:val="20"/>
        </w:rPr>
        <w:t> </w:t>
      </w:r>
      <w:r>
        <w:rPr>
          <w:sz w:val="20"/>
        </w:rPr>
        <w:t>failing</w:t>
      </w:r>
      <w:r>
        <w:rPr>
          <w:spacing w:val="-11"/>
          <w:sz w:val="20"/>
        </w:rPr>
        <w:t> </w:t>
      </w:r>
      <w:r>
        <w:rPr>
          <w:sz w:val="20"/>
        </w:rPr>
        <w:t>to</w:t>
      </w:r>
      <w:r>
        <w:rPr>
          <w:spacing w:val="-10"/>
          <w:sz w:val="20"/>
        </w:rPr>
        <w:t> </w:t>
      </w:r>
      <w:r>
        <w:rPr>
          <w:sz w:val="20"/>
        </w:rPr>
        <w:t>enable</w:t>
      </w:r>
      <w:r>
        <w:rPr>
          <w:spacing w:val="-11"/>
          <w:sz w:val="20"/>
        </w:rPr>
        <w:t> </w:t>
      </w:r>
      <w:r>
        <w:rPr>
          <w:sz w:val="20"/>
        </w:rPr>
        <w:t>people</w:t>
      </w:r>
      <w:r>
        <w:rPr>
          <w:spacing w:val="-11"/>
          <w:sz w:val="20"/>
        </w:rPr>
        <w:t> </w:t>
      </w:r>
      <w:r>
        <w:rPr>
          <w:sz w:val="20"/>
        </w:rPr>
        <w:t>with</w:t>
      </w:r>
      <w:r>
        <w:rPr>
          <w:spacing w:val="-11"/>
          <w:sz w:val="20"/>
        </w:rPr>
        <w:t> </w:t>
      </w:r>
      <w:r>
        <w:rPr>
          <w:sz w:val="20"/>
        </w:rPr>
        <w:t>disabilities</w:t>
      </w:r>
      <w:r>
        <w:rPr>
          <w:spacing w:val="-11"/>
          <w:sz w:val="20"/>
        </w:rPr>
        <w:t> </w:t>
      </w:r>
      <w:r>
        <w:rPr>
          <w:sz w:val="20"/>
        </w:rPr>
        <w:t>to</w:t>
      </w:r>
      <w:r>
        <w:rPr>
          <w:spacing w:val="-10"/>
          <w:sz w:val="20"/>
        </w:rPr>
        <w:t> </w:t>
      </w:r>
      <w:r>
        <w:rPr>
          <w:sz w:val="20"/>
        </w:rPr>
        <w:t>serve</w:t>
      </w:r>
      <w:r>
        <w:rPr>
          <w:spacing w:val="-11"/>
          <w:sz w:val="20"/>
        </w:rPr>
        <w:t> </w:t>
      </w:r>
      <w:r>
        <w:rPr>
          <w:sz w:val="20"/>
        </w:rPr>
        <w:t>on</w:t>
      </w:r>
      <w:r>
        <w:rPr>
          <w:spacing w:val="-11"/>
          <w:sz w:val="20"/>
        </w:rPr>
        <w:t> </w:t>
      </w:r>
      <w:r>
        <w:rPr>
          <w:sz w:val="20"/>
        </w:rPr>
        <w:t>juries</w:t>
      </w:r>
      <w:r>
        <w:rPr>
          <w:spacing w:val="-11"/>
          <w:sz w:val="20"/>
        </w:rPr>
        <w:t> </w:t>
      </w:r>
      <w:r>
        <w:rPr>
          <w:sz w:val="20"/>
        </w:rPr>
        <w:t>with reasonable</w:t>
      </w:r>
      <w:r>
        <w:rPr>
          <w:spacing w:val="-5"/>
          <w:sz w:val="20"/>
        </w:rPr>
        <w:t> </w:t>
      </w:r>
      <w:r>
        <w:rPr>
          <w:sz w:val="20"/>
        </w:rPr>
        <w:t>adjustments.</w:t>
      </w:r>
    </w:p>
    <w:p>
      <w:pPr>
        <w:pStyle w:val="ListParagraph"/>
        <w:numPr>
          <w:ilvl w:val="0"/>
          <w:numId w:val="39"/>
        </w:numPr>
        <w:tabs>
          <w:tab w:pos="2157" w:val="left" w:leader="none"/>
          <w:tab w:pos="2158" w:val="left" w:leader="none"/>
        </w:tabs>
        <w:spacing w:line="206" w:lineRule="auto" w:before="90" w:after="0"/>
        <w:ind w:left="2157" w:right="1566" w:hanging="396"/>
        <w:jc w:val="left"/>
        <w:rPr>
          <w:sz w:val="20"/>
        </w:rPr>
      </w:pPr>
      <w:r>
        <w:rPr>
          <w:sz w:val="20"/>
        </w:rPr>
        <w:t>Victoria</w:t>
      </w:r>
      <w:r>
        <w:rPr>
          <w:spacing w:val="-13"/>
          <w:sz w:val="20"/>
        </w:rPr>
        <w:t> </w:t>
      </w:r>
      <w:r>
        <w:rPr>
          <w:sz w:val="20"/>
        </w:rPr>
        <w:t>should</w:t>
      </w:r>
      <w:r>
        <w:rPr>
          <w:spacing w:val="-12"/>
          <w:sz w:val="20"/>
        </w:rPr>
        <w:t> </w:t>
      </w:r>
      <w:r>
        <w:rPr>
          <w:sz w:val="20"/>
        </w:rPr>
        <w:t>act</w:t>
      </w:r>
      <w:r>
        <w:rPr>
          <w:spacing w:val="-12"/>
          <w:sz w:val="20"/>
        </w:rPr>
        <w:t> </w:t>
      </w:r>
      <w:r>
        <w:rPr>
          <w:sz w:val="20"/>
        </w:rPr>
        <w:t>in</w:t>
      </w:r>
      <w:r>
        <w:rPr>
          <w:spacing w:val="-12"/>
          <w:sz w:val="20"/>
        </w:rPr>
        <w:t> </w:t>
      </w:r>
      <w:r>
        <w:rPr>
          <w:spacing w:val="-3"/>
          <w:sz w:val="20"/>
        </w:rPr>
        <w:t>accordance</w:t>
      </w:r>
      <w:r>
        <w:rPr>
          <w:spacing w:val="-12"/>
          <w:sz w:val="20"/>
        </w:rPr>
        <w:t> </w:t>
      </w:r>
      <w:r>
        <w:rPr>
          <w:sz w:val="20"/>
        </w:rPr>
        <w:t>with</w:t>
      </w:r>
      <w:r>
        <w:rPr>
          <w:spacing w:val="-12"/>
          <w:sz w:val="20"/>
        </w:rPr>
        <w:t> </w:t>
      </w:r>
      <w:r>
        <w:rPr>
          <w:sz w:val="20"/>
        </w:rPr>
        <w:t>the</w:t>
      </w:r>
      <w:r>
        <w:rPr>
          <w:spacing w:val="-12"/>
          <w:sz w:val="20"/>
        </w:rPr>
        <w:t> </w:t>
      </w:r>
      <w:r>
        <w:rPr>
          <w:sz w:val="20"/>
        </w:rPr>
        <w:t>recommendations</w:t>
      </w:r>
      <w:r>
        <w:rPr>
          <w:spacing w:val="-12"/>
          <w:sz w:val="20"/>
        </w:rPr>
        <w:t> </w:t>
      </w:r>
      <w:r>
        <w:rPr>
          <w:sz w:val="20"/>
        </w:rPr>
        <w:t>of</w:t>
      </w:r>
      <w:r>
        <w:rPr>
          <w:spacing w:val="-13"/>
          <w:sz w:val="20"/>
        </w:rPr>
        <w:t> </w:t>
      </w:r>
      <w:r>
        <w:rPr>
          <w:sz w:val="20"/>
        </w:rPr>
        <w:t>the</w:t>
      </w:r>
      <w:r>
        <w:rPr>
          <w:spacing w:val="-12"/>
          <w:sz w:val="20"/>
        </w:rPr>
        <w:t> </w:t>
      </w:r>
      <w:r>
        <w:rPr>
          <w:sz w:val="20"/>
        </w:rPr>
        <w:t>Convention Committee. Our recommendations in Part 2 of this report </w:t>
      </w:r>
      <w:r>
        <w:rPr>
          <w:spacing w:val="-3"/>
          <w:sz w:val="20"/>
        </w:rPr>
        <w:t>are </w:t>
      </w:r>
      <w:r>
        <w:rPr>
          <w:sz w:val="20"/>
        </w:rPr>
        <w:t>guided </w:t>
      </w:r>
      <w:r>
        <w:rPr>
          <w:spacing w:val="-3"/>
          <w:sz w:val="20"/>
        </w:rPr>
        <w:t>by </w:t>
      </w:r>
      <w:r>
        <w:rPr>
          <w:sz w:val="20"/>
        </w:rPr>
        <w:t>those findings.</w:t>
      </w:r>
    </w:p>
    <w:p>
      <w:pPr>
        <w:spacing w:before="194"/>
        <w:ind w:left="967" w:right="0" w:firstLine="0"/>
        <w:jc w:val="left"/>
        <w:rPr>
          <w:rFonts w:ascii="Raleway ExtraBold" w:hAnsi="Raleway ExtraBold"/>
          <w:b/>
          <w:sz w:val="28"/>
        </w:rPr>
      </w:pPr>
      <w:r>
        <w:rPr>
          <w:rFonts w:ascii="Raleway ExtraBold" w:hAnsi="Raleway ExtraBold"/>
          <w:b/>
          <w:color w:val="37617A"/>
          <w:sz w:val="28"/>
        </w:rPr>
        <w:t>Australia’s obligations under international law</w:t>
      </w:r>
    </w:p>
    <w:p>
      <w:pPr>
        <w:pStyle w:val="ListParagraph"/>
        <w:numPr>
          <w:ilvl w:val="1"/>
          <w:numId w:val="12"/>
        </w:numPr>
        <w:tabs>
          <w:tab w:pos="1761" w:val="left" w:leader="none"/>
          <w:tab w:pos="1762" w:val="left" w:leader="none"/>
        </w:tabs>
        <w:spacing w:line="206" w:lineRule="auto" w:before="146" w:after="0"/>
        <w:ind w:left="1761" w:right="1238" w:hanging="794"/>
        <w:jc w:val="left"/>
        <w:rPr>
          <w:sz w:val="20"/>
        </w:rPr>
      </w:pPr>
      <w:r>
        <w:rPr>
          <w:sz w:val="20"/>
        </w:rPr>
        <w:t>Australia is a party to the </w:t>
      </w:r>
      <w:r>
        <w:rPr>
          <w:spacing w:val="-3"/>
          <w:sz w:val="20"/>
        </w:rPr>
        <w:t>seven core </w:t>
      </w:r>
      <w:r>
        <w:rPr>
          <w:sz w:val="20"/>
        </w:rPr>
        <w:t>international human rights treaties, including the Convention</w:t>
      </w:r>
      <w:r>
        <w:rPr>
          <w:spacing w:val="-10"/>
          <w:sz w:val="20"/>
        </w:rPr>
        <w:t> </w:t>
      </w:r>
      <w:r>
        <w:rPr>
          <w:sz w:val="20"/>
        </w:rPr>
        <w:t>on</w:t>
      </w:r>
      <w:r>
        <w:rPr>
          <w:spacing w:val="-9"/>
          <w:sz w:val="20"/>
        </w:rPr>
        <w:t> </w:t>
      </w:r>
      <w:r>
        <w:rPr>
          <w:sz w:val="20"/>
        </w:rPr>
        <w:t>the</w:t>
      </w:r>
      <w:r>
        <w:rPr>
          <w:spacing w:val="-9"/>
          <w:sz w:val="20"/>
        </w:rPr>
        <w:t> </w:t>
      </w:r>
      <w:r>
        <w:rPr>
          <w:sz w:val="20"/>
        </w:rPr>
        <w:t>Rights</w:t>
      </w:r>
      <w:r>
        <w:rPr>
          <w:spacing w:val="-9"/>
          <w:sz w:val="20"/>
        </w:rPr>
        <w:t> </w:t>
      </w:r>
      <w:r>
        <w:rPr>
          <w:sz w:val="20"/>
        </w:rPr>
        <w:t>of</w:t>
      </w:r>
      <w:r>
        <w:rPr>
          <w:spacing w:val="-9"/>
          <w:sz w:val="20"/>
        </w:rPr>
        <w:t> </w:t>
      </w:r>
      <w:r>
        <w:rPr>
          <w:sz w:val="20"/>
        </w:rPr>
        <w:t>Persons</w:t>
      </w:r>
      <w:r>
        <w:rPr>
          <w:spacing w:val="-9"/>
          <w:sz w:val="20"/>
        </w:rPr>
        <w:t> </w:t>
      </w:r>
      <w:r>
        <w:rPr>
          <w:sz w:val="20"/>
        </w:rPr>
        <w:t>with</w:t>
      </w:r>
      <w:r>
        <w:rPr>
          <w:spacing w:val="-10"/>
          <w:sz w:val="20"/>
        </w:rPr>
        <w:t> </w:t>
      </w:r>
      <w:r>
        <w:rPr>
          <w:sz w:val="20"/>
        </w:rPr>
        <w:t>Disabilities</w:t>
      </w:r>
      <w:r>
        <w:rPr>
          <w:spacing w:val="-9"/>
          <w:sz w:val="20"/>
        </w:rPr>
        <w:t> </w:t>
      </w:r>
      <w:r>
        <w:rPr>
          <w:spacing w:val="-3"/>
          <w:sz w:val="20"/>
        </w:rPr>
        <w:t>(CRPD).</w:t>
      </w:r>
      <w:r>
        <w:rPr>
          <w:spacing w:val="-3"/>
          <w:position w:val="7"/>
          <w:sz w:val="11"/>
        </w:rPr>
        <w:t>2</w:t>
      </w:r>
      <w:r>
        <w:rPr>
          <w:spacing w:val="16"/>
          <w:position w:val="7"/>
          <w:sz w:val="11"/>
        </w:rPr>
        <w:t> </w:t>
      </w:r>
      <w:r>
        <w:rPr>
          <w:sz w:val="20"/>
        </w:rPr>
        <w:t>The</w:t>
      </w:r>
      <w:r>
        <w:rPr>
          <w:spacing w:val="-9"/>
          <w:sz w:val="20"/>
        </w:rPr>
        <w:t> </w:t>
      </w:r>
      <w:r>
        <w:rPr>
          <w:sz w:val="20"/>
        </w:rPr>
        <w:t>purpose</w:t>
      </w:r>
      <w:r>
        <w:rPr>
          <w:spacing w:val="-9"/>
          <w:sz w:val="20"/>
        </w:rPr>
        <w:t> </w:t>
      </w:r>
      <w:r>
        <w:rPr>
          <w:sz w:val="20"/>
        </w:rPr>
        <w:t>of</w:t>
      </w:r>
      <w:r>
        <w:rPr>
          <w:spacing w:val="-9"/>
          <w:sz w:val="20"/>
        </w:rPr>
        <w:t> </w:t>
      </w:r>
      <w:r>
        <w:rPr>
          <w:sz w:val="20"/>
        </w:rPr>
        <w:t>the</w:t>
      </w:r>
      <w:r>
        <w:rPr>
          <w:spacing w:val="-10"/>
          <w:sz w:val="20"/>
        </w:rPr>
        <w:t> </w:t>
      </w:r>
      <w:r>
        <w:rPr>
          <w:sz w:val="20"/>
        </w:rPr>
        <w:t>CRPD is</w:t>
      </w:r>
      <w:r>
        <w:rPr>
          <w:spacing w:val="-4"/>
          <w:sz w:val="20"/>
        </w:rPr>
        <w:t> to:</w:t>
      </w:r>
    </w:p>
    <w:p>
      <w:pPr>
        <w:spacing w:line="208" w:lineRule="auto" w:before="122"/>
        <w:ind w:left="2157" w:right="1623" w:firstLine="0"/>
        <w:jc w:val="both"/>
        <w:rPr>
          <w:sz w:val="11"/>
        </w:rPr>
      </w:pPr>
      <w:r>
        <w:rPr>
          <w:sz w:val="19"/>
        </w:rPr>
        <w:t>promote,</w:t>
      </w:r>
      <w:r>
        <w:rPr>
          <w:spacing w:val="-6"/>
          <w:sz w:val="19"/>
        </w:rPr>
        <w:t> </w:t>
      </w:r>
      <w:r>
        <w:rPr>
          <w:sz w:val="19"/>
        </w:rPr>
        <w:t>protect</w:t>
      </w:r>
      <w:r>
        <w:rPr>
          <w:spacing w:val="-5"/>
          <w:sz w:val="19"/>
        </w:rPr>
        <w:t> </w:t>
      </w:r>
      <w:r>
        <w:rPr>
          <w:sz w:val="19"/>
        </w:rPr>
        <w:t>and</w:t>
      </w:r>
      <w:r>
        <w:rPr>
          <w:spacing w:val="-6"/>
          <w:sz w:val="19"/>
        </w:rPr>
        <w:t> </w:t>
      </w:r>
      <w:r>
        <w:rPr>
          <w:sz w:val="19"/>
        </w:rPr>
        <w:t>ensure</w:t>
      </w:r>
      <w:r>
        <w:rPr>
          <w:spacing w:val="-5"/>
          <w:sz w:val="19"/>
        </w:rPr>
        <w:t> </w:t>
      </w:r>
      <w:r>
        <w:rPr>
          <w:sz w:val="19"/>
        </w:rPr>
        <w:t>the</w:t>
      </w:r>
      <w:r>
        <w:rPr>
          <w:spacing w:val="-5"/>
          <w:sz w:val="19"/>
        </w:rPr>
        <w:t> </w:t>
      </w:r>
      <w:r>
        <w:rPr>
          <w:sz w:val="19"/>
        </w:rPr>
        <w:t>full</w:t>
      </w:r>
      <w:r>
        <w:rPr>
          <w:spacing w:val="-6"/>
          <w:sz w:val="19"/>
        </w:rPr>
        <w:t> </w:t>
      </w:r>
      <w:r>
        <w:rPr>
          <w:sz w:val="19"/>
        </w:rPr>
        <w:t>and</w:t>
      </w:r>
      <w:r>
        <w:rPr>
          <w:spacing w:val="-5"/>
          <w:sz w:val="19"/>
        </w:rPr>
        <w:t> </w:t>
      </w:r>
      <w:r>
        <w:rPr>
          <w:sz w:val="19"/>
        </w:rPr>
        <w:t>equal</w:t>
      </w:r>
      <w:r>
        <w:rPr>
          <w:spacing w:val="-5"/>
          <w:sz w:val="19"/>
        </w:rPr>
        <w:t> </w:t>
      </w:r>
      <w:r>
        <w:rPr>
          <w:sz w:val="19"/>
        </w:rPr>
        <w:t>enjoyment</w:t>
      </w:r>
      <w:r>
        <w:rPr>
          <w:spacing w:val="-6"/>
          <w:sz w:val="19"/>
        </w:rPr>
        <w:t> </w:t>
      </w:r>
      <w:r>
        <w:rPr>
          <w:sz w:val="19"/>
        </w:rPr>
        <w:t>of</w:t>
      </w:r>
      <w:r>
        <w:rPr>
          <w:spacing w:val="-5"/>
          <w:sz w:val="19"/>
        </w:rPr>
        <w:t> </w:t>
      </w:r>
      <w:r>
        <w:rPr>
          <w:sz w:val="19"/>
        </w:rPr>
        <w:t>all</w:t>
      </w:r>
      <w:r>
        <w:rPr>
          <w:spacing w:val="-5"/>
          <w:sz w:val="19"/>
        </w:rPr>
        <w:t> </w:t>
      </w:r>
      <w:r>
        <w:rPr>
          <w:sz w:val="19"/>
        </w:rPr>
        <w:t>human</w:t>
      </w:r>
      <w:r>
        <w:rPr>
          <w:spacing w:val="-6"/>
          <w:sz w:val="19"/>
        </w:rPr>
        <w:t> </w:t>
      </w:r>
      <w:r>
        <w:rPr>
          <w:sz w:val="19"/>
        </w:rPr>
        <w:t>rights</w:t>
      </w:r>
      <w:r>
        <w:rPr>
          <w:spacing w:val="-5"/>
          <w:sz w:val="19"/>
        </w:rPr>
        <w:t> </w:t>
      </w:r>
      <w:r>
        <w:rPr>
          <w:sz w:val="19"/>
        </w:rPr>
        <w:t>and fundamental</w:t>
      </w:r>
      <w:r>
        <w:rPr>
          <w:spacing w:val="-5"/>
          <w:sz w:val="19"/>
        </w:rPr>
        <w:t> </w:t>
      </w:r>
      <w:r>
        <w:rPr>
          <w:sz w:val="19"/>
        </w:rPr>
        <w:t>freedoms</w:t>
      </w:r>
      <w:r>
        <w:rPr>
          <w:spacing w:val="-4"/>
          <w:sz w:val="19"/>
        </w:rPr>
        <w:t> </w:t>
      </w:r>
      <w:r>
        <w:rPr>
          <w:sz w:val="19"/>
        </w:rPr>
        <w:t>by</w:t>
      </w:r>
      <w:r>
        <w:rPr>
          <w:spacing w:val="-5"/>
          <w:sz w:val="19"/>
        </w:rPr>
        <w:t> </w:t>
      </w:r>
      <w:r>
        <w:rPr>
          <w:sz w:val="19"/>
        </w:rPr>
        <w:t>all</w:t>
      </w:r>
      <w:r>
        <w:rPr>
          <w:spacing w:val="-4"/>
          <w:sz w:val="19"/>
        </w:rPr>
        <w:t> </w:t>
      </w:r>
      <w:r>
        <w:rPr>
          <w:sz w:val="19"/>
        </w:rPr>
        <w:t>persons</w:t>
      </w:r>
      <w:r>
        <w:rPr>
          <w:spacing w:val="-4"/>
          <w:sz w:val="19"/>
        </w:rPr>
        <w:t> </w:t>
      </w:r>
      <w:r>
        <w:rPr>
          <w:sz w:val="19"/>
        </w:rPr>
        <w:t>with</w:t>
      </w:r>
      <w:r>
        <w:rPr>
          <w:spacing w:val="-5"/>
          <w:sz w:val="19"/>
        </w:rPr>
        <w:t> </w:t>
      </w:r>
      <w:r>
        <w:rPr>
          <w:sz w:val="19"/>
        </w:rPr>
        <w:t>disabilities,</w:t>
      </w:r>
      <w:r>
        <w:rPr>
          <w:spacing w:val="-4"/>
          <w:sz w:val="19"/>
        </w:rPr>
        <w:t> </w:t>
      </w:r>
      <w:r>
        <w:rPr>
          <w:sz w:val="19"/>
        </w:rPr>
        <w:t>and</w:t>
      </w:r>
      <w:r>
        <w:rPr>
          <w:spacing w:val="-4"/>
          <w:sz w:val="19"/>
        </w:rPr>
        <w:t> </w:t>
      </w:r>
      <w:r>
        <w:rPr>
          <w:sz w:val="19"/>
        </w:rPr>
        <w:t>to</w:t>
      </w:r>
      <w:r>
        <w:rPr>
          <w:spacing w:val="-5"/>
          <w:sz w:val="19"/>
        </w:rPr>
        <w:t> </w:t>
      </w:r>
      <w:r>
        <w:rPr>
          <w:sz w:val="19"/>
        </w:rPr>
        <w:t>promote</w:t>
      </w:r>
      <w:r>
        <w:rPr>
          <w:spacing w:val="-4"/>
          <w:sz w:val="19"/>
        </w:rPr>
        <w:t> </w:t>
      </w:r>
      <w:r>
        <w:rPr>
          <w:sz w:val="19"/>
        </w:rPr>
        <w:t>respect</w:t>
      </w:r>
      <w:r>
        <w:rPr>
          <w:spacing w:val="-4"/>
          <w:sz w:val="19"/>
        </w:rPr>
        <w:t> </w:t>
      </w:r>
      <w:r>
        <w:rPr>
          <w:sz w:val="19"/>
        </w:rPr>
        <w:t>for their inherent</w:t>
      </w:r>
      <w:r>
        <w:rPr>
          <w:spacing w:val="-5"/>
          <w:sz w:val="19"/>
        </w:rPr>
        <w:t> </w:t>
      </w:r>
      <w:r>
        <w:rPr>
          <w:sz w:val="19"/>
        </w:rPr>
        <w:t>dignity.</w:t>
      </w:r>
      <w:r>
        <w:rPr>
          <w:position w:val="6"/>
          <w:sz w:val="11"/>
        </w:rPr>
        <w:t>3</w:t>
      </w:r>
    </w:p>
    <w:p>
      <w:pPr>
        <w:pStyle w:val="BodyText"/>
      </w:pPr>
    </w:p>
    <w:p>
      <w:pPr>
        <w:pStyle w:val="BodyText"/>
      </w:pPr>
    </w:p>
    <w:p>
      <w:pPr>
        <w:pStyle w:val="BodyText"/>
      </w:pPr>
    </w:p>
    <w:p>
      <w:pPr>
        <w:pStyle w:val="BodyText"/>
        <w:spacing w:before="13"/>
        <w:rPr>
          <w:sz w:val="15"/>
        </w:rPr>
      </w:pPr>
      <w:r>
        <w:rPr/>
        <w:pict>
          <v:line style="position:absolute;mso-position-horizontal-relative:page;mso-position-vertical-relative:paragraph;z-index:2552;mso-wrap-distance-left:0;mso-wrap-distance-right:0" from="79.370102pt,13.553184pt" to="515.905102pt,13.553184pt" stroked="true" strokeweight="1pt" strokecolor="#b6bdc8">
            <v:stroke dashstyle="solid"/>
            <w10:wrap type="topAndBottom"/>
          </v:line>
        </w:pict>
      </w:r>
    </w:p>
    <w:p>
      <w:pPr>
        <w:pStyle w:val="ListParagraph"/>
        <w:numPr>
          <w:ilvl w:val="0"/>
          <w:numId w:val="40"/>
        </w:numPr>
        <w:tabs>
          <w:tab w:pos="1760" w:val="left" w:leader="none"/>
          <w:tab w:pos="1762" w:val="left" w:leader="none"/>
        </w:tabs>
        <w:spacing w:line="170" w:lineRule="exact" w:before="91" w:after="0"/>
        <w:ind w:left="1761" w:right="0" w:hanging="794"/>
        <w:jc w:val="left"/>
        <w:rPr>
          <w:sz w:val="13"/>
        </w:rPr>
      </w:pPr>
      <w:r>
        <w:rPr>
          <w:sz w:val="13"/>
        </w:rPr>
        <w:t>Consultation 1 </w:t>
      </w:r>
      <w:r>
        <w:rPr>
          <w:spacing w:val="2"/>
          <w:sz w:val="13"/>
        </w:rPr>
        <w:t>(Blind </w:t>
      </w:r>
      <w:r>
        <w:rPr>
          <w:sz w:val="13"/>
        </w:rPr>
        <w:t>Citizens</w:t>
      </w:r>
      <w:r>
        <w:rPr>
          <w:spacing w:val="-2"/>
          <w:sz w:val="13"/>
        </w:rPr>
        <w:t> </w:t>
      </w:r>
      <w:r>
        <w:rPr>
          <w:sz w:val="13"/>
        </w:rPr>
        <w:t>Australia).</w:t>
      </w:r>
    </w:p>
    <w:p>
      <w:pPr>
        <w:pStyle w:val="ListParagraph"/>
        <w:numPr>
          <w:ilvl w:val="0"/>
          <w:numId w:val="40"/>
        </w:numPr>
        <w:tabs>
          <w:tab w:pos="1761" w:val="left" w:leader="none"/>
          <w:tab w:pos="1762" w:val="left" w:leader="none"/>
        </w:tabs>
        <w:spacing w:line="213" w:lineRule="auto" w:before="6" w:after="0"/>
        <w:ind w:left="1761" w:right="1236" w:hanging="794"/>
        <w:jc w:val="left"/>
        <w:rPr>
          <w:sz w:val="13"/>
        </w:rPr>
      </w:pPr>
      <w:r>
        <w:rPr>
          <w:i/>
          <w:sz w:val="13"/>
        </w:rPr>
        <w:t>International Covenant on Civil and Political </w:t>
      </w:r>
      <w:r>
        <w:rPr>
          <w:i/>
          <w:spacing w:val="2"/>
          <w:sz w:val="13"/>
        </w:rPr>
        <w:t>Rights, </w:t>
      </w:r>
      <w:r>
        <w:rPr>
          <w:sz w:val="13"/>
        </w:rPr>
        <w:t>GA Res 2200A </w:t>
      </w:r>
      <w:r>
        <w:rPr>
          <w:spacing w:val="2"/>
          <w:sz w:val="13"/>
        </w:rPr>
        <w:t>(XXI), </w:t>
      </w:r>
      <w:r>
        <w:rPr>
          <w:sz w:val="13"/>
        </w:rPr>
        <w:t>UN Doc A/RES/2200A(XXI) (16 </w:t>
      </w:r>
      <w:r>
        <w:rPr>
          <w:spacing w:val="2"/>
          <w:sz w:val="13"/>
        </w:rPr>
        <w:t>December </w:t>
      </w:r>
      <w:r>
        <w:rPr>
          <w:sz w:val="13"/>
        </w:rPr>
        <w:t>1966); </w:t>
      </w:r>
      <w:r>
        <w:rPr>
          <w:i/>
          <w:sz w:val="13"/>
        </w:rPr>
        <w:t>International Covenant on Economic, Social and Cultural </w:t>
      </w:r>
      <w:r>
        <w:rPr>
          <w:i/>
          <w:spacing w:val="2"/>
          <w:sz w:val="13"/>
        </w:rPr>
        <w:t>Rights, </w:t>
      </w:r>
      <w:r>
        <w:rPr>
          <w:spacing w:val="2"/>
          <w:sz w:val="13"/>
        </w:rPr>
        <w:t>opened </w:t>
      </w:r>
      <w:r>
        <w:rPr>
          <w:sz w:val="13"/>
        </w:rPr>
        <w:t>for signature 19 </w:t>
      </w:r>
      <w:r>
        <w:rPr>
          <w:spacing w:val="2"/>
          <w:sz w:val="13"/>
        </w:rPr>
        <w:t>December 1966, 999 </w:t>
      </w:r>
      <w:r>
        <w:rPr>
          <w:sz w:val="13"/>
        </w:rPr>
        <w:t>UNTS 3 (entered    into force 3 </w:t>
      </w:r>
      <w:r>
        <w:rPr>
          <w:spacing w:val="2"/>
          <w:sz w:val="13"/>
        </w:rPr>
        <w:t>January </w:t>
      </w:r>
      <w:r>
        <w:rPr>
          <w:sz w:val="13"/>
        </w:rPr>
        <w:t>1976); </w:t>
      </w:r>
      <w:r>
        <w:rPr>
          <w:i/>
          <w:sz w:val="13"/>
        </w:rPr>
        <w:t>International Convention on the Elimination of All Forms of Racial Discrimination, </w:t>
      </w:r>
      <w:r>
        <w:rPr>
          <w:spacing w:val="2"/>
          <w:sz w:val="13"/>
        </w:rPr>
        <w:t>opened </w:t>
      </w:r>
      <w:r>
        <w:rPr>
          <w:sz w:val="13"/>
        </w:rPr>
        <w:t>for signature       21 </w:t>
      </w:r>
      <w:r>
        <w:rPr>
          <w:spacing w:val="2"/>
          <w:sz w:val="13"/>
        </w:rPr>
        <w:t>December </w:t>
      </w:r>
      <w:r>
        <w:rPr>
          <w:spacing w:val="3"/>
          <w:sz w:val="13"/>
        </w:rPr>
        <w:t>1965, </w:t>
      </w:r>
      <w:r>
        <w:rPr>
          <w:sz w:val="13"/>
        </w:rPr>
        <w:t>660 UNTS 195 (entered into force 4 </w:t>
      </w:r>
      <w:r>
        <w:rPr>
          <w:spacing w:val="2"/>
          <w:sz w:val="13"/>
        </w:rPr>
        <w:t>January </w:t>
      </w:r>
      <w:r>
        <w:rPr>
          <w:sz w:val="13"/>
        </w:rPr>
        <w:t>1969); </w:t>
      </w:r>
      <w:r>
        <w:rPr>
          <w:i/>
          <w:sz w:val="13"/>
        </w:rPr>
        <w:t>Convention on the Elimination of All Forms of Discrimination </w:t>
      </w:r>
      <w:r>
        <w:rPr>
          <w:i/>
          <w:sz w:val="13"/>
        </w:rPr>
        <w:t>against Women </w:t>
      </w:r>
      <w:r>
        <w:rPr>
          <w:spacing w:val="2"/>
          <w:sz w:val="13"/>
        </w:rPr>
        <w:t>opened </w:t>
      </w:r>
      <w:r>
        <w:rPr>
          <w:sz w:val="13"/>
        </w:rPr>
        <w:t>for signature 1 March 1980, </w:t>
      </w:r>
      <w:r>
        <w:rPr>
          <w:spacing w:val="2"/>
          <w:sz w:val="13"/>
        </w:rPr>
        <w:t>1249 </w:t>
      </w:r>
      <w:r>
        <w:rPr>
          <w:sz w:val="13"/>
        </w:rPr>
        <w:t>UNTS 13 (entered into force 3 </w:t>
      </w:r>
      <w:r>
        <w:rPr>
          <w:spacing w:val="2"/>
          <w:sz w:val="13"/>
        </w:rPr>
        <w:t>January 1981); </w:t>
      </w:r>
      <w:r>
        <w:rPr>
          <w:i/>
          <w:sz w:val="13"/>
        </w:rPr>
        <w:t>Convention against Torture </w:t>
      </w:r>
      <w:r>
        <w:rPr>
          <w:i/>
          <w:sz w:val="13"/>
        </w:rPr>
        <w:t>and Other Cruel, Inhuman or Degrading Treatment of Punishment, </w:t>
      </w:r>
      <w:r>
        <w:rPr>
          <w:spacing w:val="2"/>
          <w:sz w:val="13"/>
        </w:rPr>
        <w:t>opened </w:t>
      </w:r>
      <w:r>
        <w:rPr>
          <w:sz w:val="13"/>
        </w:rPr>
        <w:t>for  signature  10  </w:t>
      </w:r>
      <w:r>
        <w:rPr>
          <w:spacing w:val="2"/>
          <w:sz w:val="13"/>
        </w:rPr>
        <w:t>December 1984, </w:t>
      </w:r>
      <w:r>
        <w:rPr>
          <w:spacing w:val="3"/>
          <w:sz w:val="13"/>
        </w:rPr>
        <w:t>1465 </w:t>
      </w:r>
      <w:r>
        <w:rPr>
          <w:sz w:val="13"/>
        </w:rPr>
        <w:t>UNTS  85 (entered into force 26 June 1987); </w:t>
      </w:r>
      <w:r>
        <w:rPr>
          <w:i/>
          <w:sz w:val="13"/>
        </w:rPr>
        <w:t>Convention on the </w:t>
      </w:r>
      <w:r>
        <w:rPr>
          <w:i/>
          <w:spacing w:val="2"/>
          <w:sz w:val="13"/>
        </w:rPr>
        <w:t>Rights </w:t>
      </w:r>
      <w:r>
        <w:rPr>
          <w:i/>
          <w:sz w:val="13"/>
        </w:rPr>
        <w:t>of the Child, </w:t>
      </w:r>
      <w:r>
        <w:rPr>
          <w:spacing w:val="2"/>
          <w:sz w:val="13"/>
        </w:rPr>
        <w:t>opened </w:t>
      </w:r>
      <w:r>
        <w:rPr>
          <w:sz w:val="13"/>
        </w:rPr>
        <w:t>for signature 20 November </w:t>
      </w:r>
      <w:r>
        <w:rPr>
          <w:spacing w:val="2"/>
          <w:sz w:val="13"/>
        </w:rPr>
        <w:t>1989, 1577 </w:t>
      </w:r>
      <w:r>
        <w:rPr>
          <w:sz w:val="13"/>
        </w:rPr>
        <w:t>UNTS 3 (entered into force 2 September 1990); </w:t>
      </w: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w:t>
      </w:r>
      <w:r>
        <w:rPr>
          <w:spacing w:val="2"/>
          <w:sz w:val="13"/>
        </w:rPr>
        <w:t> </w:t>
      </w:r>
      <w:r>
        <w:rPr>
          <w:sz w:val="13"/>
        </w:rPr>
        <w:t>2008).</w:t>
      </w:r>
    </w:p>
    <w:p>
      <w:pPr>
        <w:pStyle w:val="ListParagraph"/>
        <w:numPr>
          <w:ilvl w:val="0"/>
          <w:numId w:val="40"/>
        </w:numPr>
        <w:tabs>
          <w:tab w:pos="1761" w:val="left" w:leader="none"/>
          <w:tab w:pos="1762" w:val="left" w:leader="none"/>
        </w:tabs>
        <w:spacing w:line="213" w:lineRule="auto" w:before="0" w:after="0"/>
        <w:ind w:left="1761" w:right="1267" w:hanging="794"/>
        <w:jc w:val="left"/>
        <w:rPr>
          <w:sz w:val="13"/>
        </w:rPr>
      </w:pPr>
      <w:r>
        <w:rPr/>
        <w:pict>
          <v:shape style="position:absolute;margin-left:36pt;margin-top:19.39609pt;width:13.5pt;height:14.1pt;mso-position-horizontal-relative:page;mso-position-vertical-relative:paragraph;z-index:4648" type="#_x0000_t202" filled="false" stroked="false">
            <v:textbox inset="0,0,0,0">
              <w:txbxContent>
                <w:p>
                  <w:pPr>
                    <w:spacing w:line="282" w:lineRule="exact" w:before="0"/>
                    <w:ind w:left="0" w:right="0" w:firstLine="0"/>
                    <w:jc w:val="left"/>
                    <w:rPr>
                      <w:b/>
                      <w:sz w:val="24"/>
                    </w:rPr>
                  </w:pPr>
                  <w:r>
                    <w:rPr>
                      <w:b/>
                      <w:color w:val="37617A"/>
                      <w:spacing w:val="-2"/>
                      <w:sz w:val="24"/>
                    </w:rPr>
                    <w:t>42</w:t>
                  </w:r>
                </w:p>
              </w:txbxContent>
            </v:textbox>
            <w10:wrap type="none"/>
          </v:shape>
        </w:pict>
      </w: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 </w:t>
      </w:r>
      <w:r>
        <w:rPr>
          <w:spacing w:val="2"/>
          <w:sz w:val="13"/>
        </w:rPr>
        <w:t>art </w:t>
      </w:r>
      <w:r>
        <w:rPr>
          <w:spacing w:val="3"/>
          <w:sz w:val="13"/>
        </w:rPr>
        <w:t>1. </w:t>
      </w:r>
      <w:r>
        <w:rPr>
          <w:spacing w:val="2"/>
          <w:sz w:val="13"/>
        </w:rPr>
        <w:t>Article </w:t>
      </w:r>
      <w:r>
        <w:rPr>
          <w:sz w:val="13"/>
        </w:rPr>
        <w:t>1 defines ‘persons with disabilities’ as </w:t>
      </w:r>
      <w:r>
        <w:rPr>
          <w:spacing w:val="2"/>
          <w:sz w:val="13"/>
        </w:rPr>
        <w:t>‘those </w:t>
      </w:r>
      <w:r>
        <w:rPr>
          <w:sz w:val="13"/>
        </w:rPr>
        <w:t>who have long-term physical, </w:t>
      </w:r>
      <w:r>
        <w:rPr>
          <w:spacing w:val="2"/>
          <w:sz w:val="13"/>
        </w:rPr>
        <w:t>mental, </w:t>
      </w:r>
      <w:r>
        <w:rPr>
          <w:sz w:val="13"/>
        </w:rPr>
        <w:t>intellectual or </w:t>
      </w:r>
      <w:r>
        <w:rPr>
          <w:spacing w:val="2"/>
          <w:sz w:val="13"/>
        </w:rPr>
        <w:t>sensory impairments </w:t>
      </w:r>
      <w:r>
        <w:rPr>
          <w:sz w:val="13"/>
        </w:rPr>
        <w:t>which in interaction with various barries may hinder their full and effective </w:t>
      </w:r>
      <w:r>
        <w:rPr>
          <w:spacing w:val="2"/>
          <w:sz w:val="13"/>
        </w:rPr>
        <w:t>participation </w:t>
      </w:r>
      <w:r>
        <w:rPr>
          <w:sz w:val="13"/>
        </w:rPr>
        <w:t>in </w:t>
      </w:r>
      <w:r>
        <w:rPr>
          <w:spacing w:val="2"/>
          <w:sz w:val="13"/>
        </w:rPr>
        <w:t>society </w:t>
      </w:r>
      <w:r>
        <w:rPr>
          <w:sz w:val="13"/>
        </w:rPr>
        <w:t>on an equal basis with others’. This is known as the ‘social </w:t>
      </w:r>
      <w:r>
        <w:rPr>
          <w:spacing w:val="3"/>
          <w:sz w:val="13"/>
        </w:rPr>
        <w:t>model’ </w:t>
      </w:r>
      <w:r>
        <w:rPr>
          <w:sz w:val="13"/>
        </w:rPr>
        <w:t>of disability. For </w:t>
      </w:r>
      <w:r>
        <w:rPr>
          <w:spacing w:val="2"/>
          <w:sz w:val="13"/>
        </w:rPr>
        <w:t>further </w:t>
      </w:r>
      <w:r>
        <w:rPr>
          <w:sz w:val="13"/>
        </w:rPr>
        <w:t>discussion, see Chapter</w:t>
      </w:r>
      <w:r>
        <w:rPr>
          <w:spacing w:val="16"/>
          <w:sz w:val="13"/>
        </w:rPr>
        <w:t> </w:t>
      </w:r>
      <w:r>
        <w:rPr>
          <w:spacing w:val="3"/>
          <w:sz w:val="13"/>
        </w:rPr>
        <w:t>1.</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52" w:hanging="794"/>
        <w:jc w:val="left"/>
        <w:rPr>
          <w:sz w:val="11"/>
        </w:rPr>
      </w:pPr>
      <w:bookmarkStart w:name="Implementation of the CRPD in Australia" w:id="96"/>
      <w:bookmarkEnd w:id="96"/>
      <w:r>
        <w:rPr/>
      </w:r>
      <w:bookmarkStart w:name="_bookmark37" w:id="97"/>
      <w:bookmarkEnd w:id="97"/>
      <w:r>
        <w:rPr/>
      </w:r>
      <w:bookmarkStart w:name="_bookmark37" w:id="98"/>
      <w:bookmarkEnd w:id="98"/>
      <w:r>
        <w:rPr>
          <w:sz w:val="20"/>
        </w:rPr>
        <w:t>H</w:t>
      </w:r>
      <w:r>
        <w:rPr>
          <w:sz w:val="20"/>
        </w:rPr>
        <w:t>uman rights </w:t>
      </w:r>
      <w:r>
        <w:rPr>
          <w:spacing w:val="-3"/>
          <w:sz w:val="20"/>
        </w:rPr>
        <w:t>apply </w:t>
      </w:r>
      <w:r>
        <w:rPr>
          <w:sz w:val="20"/>
        </w:rPr>
        <w:t>to </w:t>
      </w:r>
      <w:r>
        <w:rPr>
          <w:spacing w:val="-3"/>
          <w:sz w:val="20"/>
        </w:rPr>
        <w:t>everyone, </w:t>
      </w:r>
      <w:r>
        <w:rPr>
          <w:sz w:val="20"/>
        </w:rPr>
        <w:t>including people with disabilities. The CRPD applies human rights specifically to people with disabilities. As </w:t>
      </w:r>
      <w:r>
        <w:rPr>
          <w:spacing w:val="-3"/>
          <w:sz w:val="20"/>
        </w:rPr>
        <w:t>Professor </w:t>
      </w:r>
      <w:r>
        <w:rPr>
          <w:sz w:val="20"/>
        </w:rPr>
        <w:t>Ron McCallum said, the</w:t>
      </w:r>
      <w:r>
        <w:rPr>
          <w:spacing w:val="-9"/>
          <w:sz w:val="20"/>
        </w:rPr>
        <w:t> </w:t>
      </w:r>
      <w:r>
        <w:rPr>
          <w:sz w:val="20"/>
        </w:rPr>
        <w:t>CRPD</w:t>
      </w:r>
      <w:r>
        <w:rPr>
          <w:spacing w:val="-9"/>
          <w:sz w:val="20"/>
        </w:rPr>
        <w:t> </w:t>
      </w:r>
      <w:r>
        <w:rPr>
          <w:sz w:val="20"/>
        </w:rPr>
        <w:t>‘does</w:t>
      </w:r>
      <w:r>
        <w:rPr>
          <w:spacing w:val="-9"/>
          <w:sz w:val="20"/>
        </w:rPr>
        <w:t> </w:t>
      </w:r>
      <w:r>
        <w:rPr>
          <w:sz w:val="20"/>
        </w:rPr>
        <w:t>not</w:t>
      </w:r>
      <w:r>
        <w:rPr>
          <w:spacing w:val="-9"/>
          <w:sz w:val="20"/>
        </w:rPr>
        <w:t> </w:t>
      </w:r>
      <w:r>
        <w:rPr>
          <w:sz w:val="20"/>
        </w:rPr>
        <w:t>grant</w:t>
      </w:r>
      <w:r>
        <w:rPr>
          <w:spacing w:val="-9"/>
          <w:sz w:val="20"/>
        </w:rPr>
        <w:t> </w:t>
      </w:r>
      <w:r>
        <w:rPr>
          <w:sz w:val="20"/>
        </w:rPr>
        <w:t>us</w:t>
      </w:r>
      <w:r>
        <w:rPr>
          <w:spacing w:val="-8"/>
          <w:sz w:val="20"/>
        </w:rPr>
        <w:t> </w:t>
      </w:r>
      <w:r>
        <w:rPr>
          <w:sz w:val="20"/>
        </w:rPr>
        <w:t>new</w:t>
      </w:r>
      <w:r>
        <w:rPr>
          <w:spacing w:val="-9"/>
          <w:sz w:val="20"/>
        </w:rPr>
        <w:t> </w:t>
      </w:r>
      <w:r>
        <w:rPr>
          <w:sz w:val="20"/>
        </w:rPr>
        <w:t>human</w:t>
      </w:r>
      <w:r>
        <w:rPr>
          <w:spacing w:val="-9"/>
          <w:sz w:val="20"/>
        </w:rPr>
        <w:t> </w:t>
      </w:r>
      <w:r>
        <w:rPr>
          <w:sz w:val="20"/>
        </w:rPr>
        <w:t>rights:</w:t>
      </w:r>
      <w:r>
        <w:rPr>
          <w:spacing w:val="-9"/>
          <w:sz w:val="20"/>
        </w:rPr>
        <w:t> </w:t>
      </w:r>
      <w:r>
        <w:rPr>
          <w:spacing w:val="-4"/>
          <w:sz w:val="20"/>
        </w:rPr>
        <w:t>rather,</w:t>
      </w:r>
      <w:r>
        <w:rPr>
          <w:spacing w:val="-9"/>
          <w:sz w:val="20"/>
        </w:rPr>
        <w:t> </w:t>
      </w:r>
      <w:r>
        <w:rPr>
          <w:sz w:val="20"/>
        </w:rPr>
        <w:t>it</w:t>
      </w:r>
      <w:r>
        <w:rPr>
          <w:spacing w:val="-9"/>
          <w:sz w:val="20"/>
        </w:rPr>
        <w:t> </w:t>
      </w:r>
      <w:r>
        <w:rPr>
          <w:sz w:val="20"/>
        </w:rPr>
        <w:t>recognises</w:t>
      </w:r>
      <w:r>
        <w:rPr>
          <w:spacing w:val="-8"/>
          <w:sz w:val="20"/>
        </w:rPr>
        <w:t> </w:t>
      </w:r>
      <w:r>
        <w:rPr>
          <w:sz w:val="20"/>
        </w:rPr>
        <w:t>that</w:t>
      </w:r>
      <w:r>
        <w:rPr>
          <w:spacing w:val="-9"/>
          <w:sz w:val="20"/>
        </w:rPr>
        <w:t> </w:t>
      </w:r>
      <w:r>
        <w:rPr>
          <w:sz w:val="20"/>
        </w:rPr>
        <w:t>for</w:t>
      </w:r>
      <w:r>
        <w:rPr>
          <w:spacing w:val="-9"/>
          <w:sz w:val="20"/>
        </w:rPr>
        <w:t> </w:t>
      </w:r>
      <w:r>
        <w:rPr>
          <w:sz w:val="20"/>
        </w:rPr>
        <w:t>most</w:t>
      </w:r>
      <w:r>
        <w:rPr>
          <w:spacing w:val="-9"/>
          <w:sz w:val="20"/>
        </w:rPr>
        <w:t> </w:t>
      </w:r>
      <w:r>
        <w:rPr>
          <w:sz w:val="20"/>
        </w:rPr>
        <w:t>of</w:t>
      </w:r>
      <w:r>
        <w:rPr>
          <w:spacing w:val="-9"/>
          <w:sz w:val="20"/>
        </w:rPr>
        <w:t> </w:t>
      </w:r>
      <w:r>
        <w:rPr>
          <w:sz w:val="20"/>
        </w:rPr>
        <w:t>the world’s history our human rights, needs and aspirations </w:t>
      </w:r>
      <w:r>
        <w:rPr>
          <w:spacing w:val="-4"/>
          <w:sz w:val="20"/>
        </w:rPr>
        <w:t>have </w:t>
      </w:r>
      <w:r>
        <w:rPr>
          <w:sz w:val="20"/>
        </w:rPr>
        <w:t>been ignored’.</w:t>
      </w:r>
      <w:r>
        <w:rPr>
          <w:position w:val="7"/>
          <w:sz w:val="11"/>
        </w:rPr>
        <w:t>4 </w:t>
      </w:r>
      <w:r>
        <w:rPr>
          <w:spacing w:val="-3"/>
          <w:sz w:val="20"/>
        </w:rPr>
        <w:t>Similarly, </w:t>
      </w:r>
      <w:r>
        <w:rPr>
          <w:sz w:val="20"/>
        </w:rPr>
        <w:t>Alastair </w:t>
      </w:r>
      <w:r>
        <w:rPr>
          <w:spacing w:val="-3"/>
          <w:sz w:val="20"/>
        </w:rPr>
        <w:t>McEwin told </w:t>
      </w:r>
      <w:r>
        <w:rPr>
          <w:sz w:val="20"/>
        </w:rPr>
        <w:t>us that ‘the CRPD is not </w:t>
      </w:r>
      <w:r>
        <w:rPr>
          <w:spacing w:val="-3"/>
          <w:sz w:val="20"/>
        </w:rPr>
        <w:t>creating </w:t>
      </w:r>
      <w:r>
        <w:rPr>
          <w:sz w:val="20"/>
        </w:rPr>
        <w:t>new human rights but looking at [existing] human rights through a disability</w:t>
      </w:r>
      <w:r>
        <w:rPr>
          <w:spacing w:val="-29"/>
          <w:sz w:val="20"/>
        </w:rPr>
        <w:t> </w:t>
      </w:r>
      <w:r>
        <w:rPr>
          <w:spacing w:val="-4"/>
          <w:sz w:val="20"/>
        </w:rPr>
        <w:t>lens’.</w:t>
      </w:r>
      <w:r>
        <w:rPr>
          <w:spacing w:val="-4"/>
          <w:position w:val="7"/>
          <w:sz w:val="11"/>
        </w:rPr>
        <w:t>5</w:t>
      </w:r>
    </w:p>
    <w:p>
      <w:pPr>
        <w:pStyle w:val="ListParagraph"/>
        <w:numPr>
          <w:ilvl w:val="1"/>
          <w:numId w:val="12"/>
        </w:numPr>
        <w:tabs>
          <w:tab w:pos="1762" w:val="left" w:leader="none"/>
        </w:tabs>
        <w:spacing w:line="206" w:lineRule="auto" w:before="128" w:after="0"/>
        <w:ind w:left="1761" w:right="1259" w:hanging="794"/>
        <w:jc w:val="both"/>
        <w:rPr>
          <w:sz w:val="11"/>
        </w:rPr>
      </w:pPr>
      <w:r>
        <w:rPr>
          <w:sz w:val="20"/>
        </w:rPr>
        <w:t>Australia</w:t>
      </w:r>
      <w:r>
        <w:rPr>
          <w:spacing w:val="-9"/>
          <w:sz w:val="20"/>
        </w:rPr>
        <w:t> </w:t>
      </w:r>
      <w:r>
        <w:rPr>
          <w:sz w:val="20"/>
        </w:rPr>
        <w:t>ratified</w:t>
      </w:r>
      <w:r>
        <w:rPr>
          <w:spacing w:val="-9"/>
          <w:sz w:val="20"/>
        </w:rPr>
        <w:t> </w:t>
      </w:r>
      <w:r>
        <w:rPr>
          <w:sz w:val="20"/>
        </w:rPr>
        <w:t>the</w:t>
      </w:r>
      <w:r>
        <w:rPr>
          <w:spacing w:val="-8"/>
          <w:sz w:val="20"/>
        </w:rPr>
        <w:t> </w:t>
      </w:r>
      <w:r>
        <w:rPr>
          <w:sz w:val="20"/>
        </w:rPr>
        <w:t>CRPD</w:t>
      </w:r>
      <w:r>
        <w:rPr>
          <w:spacing w:val="-9"/>
          <w:sz w:val="20"/>
        </w:rPr>
        <w:t> </w:t>
      </w:r>
      <w:r>
        <w:rPr>
          <w:sz w:val="20"/>
        </w:rPr>
        <w:t>on</w:t>
      </w:r>
      <w:r>
        <w:rPr>
          <w:spacing w:val="-9"/>
          <w:sz w:val="20"/>
        </w:rPr>
        <w:t> </w:t>
      </w:r>
      <w:r>
        <w:rPr>
          <w:spacing w:val="-5"/>
          <w:sz w:val="20"/>
        </w:rPr>
        <w:t>17</w:t>
      </w:r>
      <w:r>
        <w:rPr>
          <w:spacing w:val="-8"/>
          <w:sz w:val="20"/>
        </w:rPr>
        <w:t> </w:t>
      </w:r>
      <w:r>
        <w:rPr>
          <w:spacing w:val="-3"/>
          <w:sz w:val="20"/>
        </w:rPr>
        <w:t>July</w:t>
      </w:r>
      <w:r>
        <w:rPr>
          <w:spacing w:val="-9"/>
          <w:sz w:val="20"/>
        </w:rPr>
        <w:t> </w:t>
      </w:r>
      <w:r>
        <w:rPr>
          <w:sz w:val="20"/>
        </w:rPr>
        <w:t>2008</w:t>
      </w:r>
      <w:r>
        <w:rPr>
          <w:spacing w:val="-9"/>
          <w:sz w:val="20"/>
        </w:rPr>
        <w:t> </w:t>
      </w:r>
      <w:r>
        <w:rPr>
          <w:sz w:val="20"/>
        </w:rPr>
        <w:t>and</w:t>
      </w:r>
      <w:r>
        <w:rPr>
          <w:spacing w:val="-8"/>
          <w:sz w:val="20"/>
        </w:rPr>
        <w:t> </w:t>
      </w:r>
      <w:r>
        <w:rPr>
          <w:sz w:val="20"/>
        </w:rPr>
        <w:t>was</w:t>
      </w:r>
      <w:r>
        <w:rPr>
          <w:spacing w:val="-9"/>
          <w:sz w:val="20"/>
        </w:rPr>
        <w:t> </w:t>
      </w:r>
      <w:r>
        <w:rPr>
          <w:sz w:val="20"/>
        </w:rPr>
        <w:t>amongst</w:t>
      </w:r>
      <w:r>
        <w:rPr>
          <w:spacing w:val="-9"/>
          <w:sz w:val="20"/>
        </w:rPr>
        <w:t> </w:t>
      </w:r>
      <w:r>
        <w:rPr>
          <w:sz w:val="20"/>
        </w:rPr>
        <w:t>the</w:t>
      </w:r>
      <w:r>
        <w:rPr>
          <w:spacing w:val="-8"/>
          <w:sz w:val="20"/>
        </w:rPr>
        <w:t> </w:t>
      </w:r>
      <w:r>
        <w:rPr>
          <w:sz w:val="20"/>
        </w:rPr>
        <w:t>first</w:t>
      </w:r>
      <w:r>
        <w:rPr>
          <w:spacing w:val="-9"/>
          <w:sz w:val="20"/>
        </w:rPr>
        <w:t> </w:t>
      </w:r>
      <w:r>
        <w:rPr>
          <w:sz w:val="20"/>
        </w:rPr>
        <w:t>nations</w:t>
      </w:r>
      <w:r>
        <w:rPr>
          <w:spacing w:val="-8"/>
          <w:sz w:val="20"/>
        </w:rPr>
        <w:t> </w:t>
      </w:r>
      <w:r>
        <w:rPr>
          <w:sz w:val="20"/>
        </w:rPr>
        <w:t>to</w:t>
      </w:r>
      <w:r>
        <w:rPr>
          <w:spacing w:val="-9"/>
          <w:sz w:val="20"/>
        </w:rPr>
        <w:t> </w:t>
      </w:r>
      <w:r>
        <w:rPr>
          <w:sz w:val="20"/>
        </w:rPr>
        <w:t>do</w:t>
      </w:r>
      <w:r>
        <w:rPr>
          <w:spacing w:val="-9"/>
          <w:sz w:val="20"/>
        </w:rPr>
        <w:t> </w:t>
      </w:r>
      <w:r>
        <w:rPr>
          <w:sz w:val="20"/>
        </w:rPr>
        <w:t>so.</w:t>
      </w:r>
      <w:r>
        <w:rPr>
          <w:position w:val="7"/>
          <w:sz w:val="11"/>
        </w:rPr>
        <w:t>6</w:t>
      </w:r>
      <w:r>
        <w:rPr>
          <w:sz w:val="11"/>
        </w:rPr>
        <w:t> </w:t>
      </w:r>
      <w:r>
        <w:rPr>
          <w:sz w:val="20"/>
        </w:rPr>
        <w:t>In</w:t>
      </w:r>
      <w:r>
        <w:rPr>
          <w:spacing w:val="-10"/>
          <w:sz w:val="20"/>
        </w:rPr>
        <w:t> </w:t>
      </w:r>
      <w:r>
        <w:rPr>
          <w:sz w:val="20"/>
        </w:rPr>
        <w:t>ratifying</w:t>
      </w:r>
      <w:r>
        <w:rPr>
          <w:spacing w:val="-9"/>
          <w:sz w:val="20"/>
        </w:rPr>
        <w:t> </w:t>
      </w:r>
      <w:r>
        <w:rPr>
          <w:sz w:val="20"/>
        </w:rPr>
        <w:t>the</w:t>
      </w:r>
      <w:r>
        <w:rPr>
          <w:spacing w:val="-10"/>
          <w:sz w:val="20"/>
        </w:rPr>
        <w:t> </w:t>
      </w:r>
      <w:r>
        <w:rPr>
          <w:spacing w:val="-3"/>
          <w:sz w:val="20"/>
        </w:rPr>
        <w:t>CRPD,</w:t>
      </w:r>
      <w:r>
        <w:rPr>
          <w:spacing w:val="-9"/>
          <w:sz w:val="20"/>
        </w:rPr>
        <w:t> </w:t>
      </w:r>
      <w:r>
        <w:rPr>
          <w:sz w:val="20"/>
        </w:rPr>
        <w:t>Australia</w:t>
      </w:r>
      <w:r>
        <w:rPr>
          <w:spacing w:val="-10"/>
          <w:sz w:val="20"/>
        </w:rPr>
        <w:t> </w:t>
      </w:r>
      <w:r>
        <w:rPr>
          <w:sz w:val="20"/>
        </w:rPr>
        <w:t>‘</w:t>
      </w:r>
      <w:r>
        <w:rPr>
          <w:spacing w:val="-33"/>
          <w:sz w:val="20"/>
        </w:rPr>
        <w:t> </w:t>
      </w:r>
      <w:r>
        <w:rPr>
          <w:sz w:val="20"/>
        </w:rPr>
        <w:t>joined</w:t>
      </w:r>
      <w:r>
        <w:rPr>
          <w:spacing w:val="-10"/>
          <w:sz w:val="20"/>
        </w:rPr>
        <w:t> </w:t>
      </w:r>
      <w:r>
        <w:rPr>
          <w:sz w:val="20"/>
        </w:rPr>
        <w:t>other</w:t>
      </w:r>
      <w:r>
        <w:rPr>
          <w:spacing w:val="-9"/>
          <w:sz w:val="20"/>
        </w:rPr>
        <w:t> </w:t>
      </w:r>
      <w:r>
        <w:rPr>
          <w:sz w:val="20"/>
        </w:rPr>
        <w:t>countries</w:t>
      </w:r>
      <w:r>
        <w:rPr>
          <w:spacing w:val="-10"/>
          <w:sz w:val="20"/>
        </w:rPr>
        <w:t> </w:t>
      </w:r>
      <w:r>
        <w:rPr>
          <w:sz w:val="20"/>
        </w:rPr>
        <w:t>in</w:t>
      </w:r>
      <w:r>
        <w:rPr>
          <w:spacing w:val="-9"/>
          <w:sz w:val="20"/>
        </w:rPr>
        <w:t> </w:t>
      </w:r>
      <w:r>
        <w:rPr>
          <w:sz w:val="20"/>
        </w:rPr>
        <w:t>a</w:t>
      </w:r>
      <w:r>
        <w:rPr>
          <w:spacing w:val="-10"/>
          <w:sz w:val="20"/>
        </w:rPr>
        <w:t> </w:t>
      </w:r>
      <w:r>
        <w:rPr>
          <w:sz w:val="20"/>
        </w:rPr>
        <w:t>global</w:t>
      </w:r>
      <w:r>
        <w:rPr>
          <w:spacing w:val="-9"/>
          <w:sz w:val="20"/>
        </w:rPr>
        <w:t> </w:t>
      </w:r>
      <w:r>
        <w:rPr>
          <w:sz w:val="20"/>
        </w:rPr>
        <w:t>effort</w:t>
      </w:r>
      <w:r>
        <w:rPr>
          <w:spacing w:val="-10"/>
          <w:sz w:val="20"/>
        </w:rPr>
        <w:t> </w:t>
      </w:r>
      <w:r>
        <w:rPr>
          <w:sz w:val="20"/>
        </w:rPr>
        <w:t>to</w:t>
      </w:r>
      <w:r>
        <w:rPr>
          <w:spacing w:val="-9"/>
          <w:sz w:val="20"/>
        </w:rPr>
        <w:t> </w:t>
      </w:r>
      <w:r>
        <w:rPr>
          <w:spacing w:val="-3"/>
          <w:sz w:val="20"/>
        </w:rPr>
        <w:t>promote</w:t>
      </w:r>
      <w:r>
        <w:rPr>
          <w:spacing w:val="-10"/>
          <w:sz w:val="20"/>
        </w:rPr>
        <w:t> </w:t>
      </w:r>
      <w:r>
        <w:rPr>
          <w:sz w:val="20"/>
        </w:rPr>
        <w:t>the equal</w:t>
      </w:r>
      <w:r>
        <w:rPr>
          <w:spacing w:val="-9"/>
          <w:sz w:val="20"/>
        </w:rPr>
        <w:t> </w:t>
      </w:r>
      <w:r>
        <w:rPr>
          <w:sz w:val="20"/>
        </w:rPr>
        <w:t>and</w:t>
      </w:r>
      <w:r>
        <w:rPr>
          <w:spacing w:val="-8"/>
          <w:sz w:val="20"/>
        </w:rPr>
        <w:t> </w:t>
      </w:r>
      <w:r>
        <w:rPr>
          <w:spacing w:val="-3"/>
          <w:sz w:val="20"/>
        </w:rPr>
        <w:t>active</w:t>
      </w:r>
      <w:r>
        <w:rPr>
          <w:spacing w:val="-8"/>
          <w:sz w:val="20"/>
        </w:rPr>
        <w:t> </w:t>
      </w:r>
      <w:r>
        <w:rPr>
          <w:sz w:val="20"/>
        </w:rPr>
        <w:t>participation</w:t>
      </w:r>
      <w:r>
        <w:rPr>
          <w:spacing w:val="-8"/>
          <w:sz w:val="20"/>
        </w:rPr>
        <w:t> </w:t>
      </w:r>
      <w:r>
        <w:rPr>
          <w:sz w:val="20"/>
        </w:rPr>
        <w:t>of</w:t>
      </w:r>
      <w:r>
        <w:rPr>
          <w:spacing w:val="-8"/>
          <w:sz w:val="20"/>
        </w:rPr>
        <w:t> </w:t>
      </w:r>
      <w:r>
        <w:rPr>
          <w:sz w:val="20"/>
        </w:rPr>
        <w:t>all</w:t>
      </w:r>
      <w:r>
        <w:rPr>
          <w:spacing w:val="-9"/>
          <w:sz w:val="20"/>
        </w:rPr>
        <w:t> </w:t>
      </w:r>
      <w:r>
        <w:rPr>
          <w:sz w:val="20"/>
        </w:rPr>
        <w:t>people</w:t>
      </w:r>
      <w:r>
        <w:rPr>
          <w:spacing w:val="-8"/>
          <w:sz w:val="20"/>
        </w:rPr>
        <w:t> </w:t>
      </w:r>
      <w:r>
        <w:rPr>
          <w:sz w:val="20"/>
        </w:rPr>
        <w:t>with</w:t>
      </w:r>
      <w:r>
        <w:rPr>
          <w:spacing w:val="-8"/>
          <w:sz w:val="20"/>
        </w:rPr>
        <w:t> </w:t>
      </w:r>
      <w:r>
        <w:rPr>
          <w:spacing w:val="-3"/>
          <w:sz w:val="20"/>
        </w:rPr>
        <w:t>disability’.</w:t>
      </w:r>
      <w:r>
        <w:rPr>
          <w:spacing w:val="-3"/>
          <w:position w:val="7"/>
          <w:sz w:val="11"/>
        </w:rPr>
        <w:t>7</w:t>
      </w:r>
      <w:r>
        <w:rPr>
          <w:spacing w:val="17"/>
          <w:position w:val="7"/>
          <w:sz w:val="11"/>
        </w:rPr>
        <w:t> </w:t>
      </w:r>
      <w:r>
        <w:rPr>
          <w:sz w:val="20"/>
        </w:rPr>
        <w:t>A</w:t>
      </w:r>
      <w:r>
        <w:rPr>
          <w:spacing w:val="-9"/>
          <w:sz w:val="20"/>
        </w:rPr>
        <w:t> </w:t>
      </w:r>
      <w:r>
        <w:rPr>
          <w:sz w:val="20"/>
        </w:rPr>
        <w:t>total</w:t>
      </w:r>
      <w:r>
        <w:rPr>
          <w:spacing w:val="-8"/>
          <w:sz w:val="20"/>
        </w:rPr>
        <w:t> </w:t>
      </w:r>
      <w:r>
        <w:rPr>
          <w:sz w:val="20"/>
        </w:rPr>
        <w:t>of</w:t>
      </w:r>
      <w:r>
        <w:rPr>
          <w:spacing w:val="-8"/>
          <w:sz w:val="20"/>
        </w:rPr>
        <w:t> </w:t>
      </w:r>
      <w:r>
        <w:rPr>
          <w:sz w:val="20"/>
        </w:rPr>
        <w:t>185</w:t>
      </w:r>
      <w:r>
        <w:rPr>
          <w:spacing w:val="-8"/>
          <w:sz w:val="20"/>
        </w:rPr>
        <w:t> </w:t>
      </w:r>
      <w:r>
        <w:rPr>
          <w:sz w:val="20"/>
        </w:rPr>
        <w:t>countries</w:t>
      </w:r>
      <w:r>
        <w:rPr>
          <w:spacing w:val="-8"/>
          <w:sz w:val="20"/>
        </w:rPr>
        <w:t> </w:t>
      </w:r>
      <w:r>
        <w:rPr>
          <w:spacing w:val="-4"/>
          <w:sz w:val="20"/>
        </w:rPr>
        <w:t>have </w:t>
      </w:r>
      <w:r>
        <w:rPr>
          <w:spacing w:val="-3"/>
          <w:sz w:val="20"/>
        </w:rPr>
        <w:t>now </w:t>
      </w:r>
      <w:r>
        <w:rPr>
          <w:sz w:val="20"/>
        </w:rPr>
        <w:t>ratified and thus become </w:t>
      </w:r>
      <w:r>
        <w:rPr>
          <w:spacing w:val="-3"/>
          <w:sz w:val="20"/>
        </w:rPr>
        <w:t>States </w:t>
      </w:r>
      <w:r>
        <w:rPr>
          <w:sz w:val="20"/>
        </w:rPr>
        <w:t>Parties to the</w:t>
      </w:r>
      <w:r>
        <w:rPr>
          <w:spacing w:val="-36"/>
          <w:sz w:val="20"/>
        </w:rPr>
        <w:t> </w:t>
      </w:r>
      <w:r>
        <w:rPr>
          <w:sz w:val="20"/>
        </w:rPr>
        <w:t>CRPD.</w:t>
      </w:r>
      <w:r>
        <w:rPr>
          <w:position w:val="7"/>
          <w:sz w:val="11"/>
        </w:rPr>
        <w:t>8</w:t>
      </w:r>
    </w:p>
    <w:p>
      <w:pPr>
        <w:pStyle w:val="ListParagraph"/>
        <w:numPr>
          <w:ilvl w:val="1"/>
          <w:numId w:val="12"/>
        </w:numPr>
        <w:tabs>
          <w:tab w:pos="1761" w:val="left" w:leader="none"/>
          <w:tab w:pos="1762" w:val="left" w:leader="none"/>
        </w:tabs>
        <w:spacing w:line="206" w:lineRule="auto" w:before="125" w:after="0"/>
        <w:ind w:left="1761" w:right="1288" w:hanging="794"/>
        <w:jc w:val="left"/>
        <w:rPr>
          <w:sz w:val="11"/>
        </w:rPr>
      </w:pPr>
      <w:r>
        <w:rPr>
          <w:sz w:val="20"/>
        </w:rPr>
        <w:t>A body of independent experts—the Committee on the Rights of Persons with Disabilities</w:t>
      </w:r>
      <w:r>
        <w:rPr>
          <w:spacing w:val="-19"/>
          <w:sz w:val="20"/>
        </w:rPr>
        <w:t> </w:t>
      </w:r>
      <w:r>
        <w:rPr>
          <w:sz w:val="20"/>
        </w:rPr>
        <w:t>(the</w:t>
      </w:r>
      <w:r>
        <w:rPr>
          <w:spacing w:val="-18"/>
          <w:sz w:val="20"/>
        </w:rPr>
        <w:t> </w:t>
      </w:r>
      <w:r>
        <w:rPr>
          <w:sz w:val="20"/>
        </w:rPr>
        <w:t>Convention</w:t>
      </w:r>
      <w:r>
        <w:rPr>
          <w:spacing w:val="-18"/>
          <w:sz w:val="20"/>
        </w:rPr>
        <w:t> </w:t>
      </w:r>
      <w:r>
        <w:rPr>
          <w:sz w:val="20"/>
        </w:rPr>
        <w:t>Committee)—is</w:t>
      </w:r>
      <w:r>
        <w:rPr>
          <w:spacing w:val="-19"/>
          <w:sz w:val="20"/>
        </w:rPr>
        <w:t> </w:t>
      </w:r>
      <w:r>
        <w:rPr>
          <w:sz w:val="20"/>
        </w:rPr>
        <w:t>responsible</w:t>
      </w:r>
      <w:r>
        <w:rPr>
          <w:spacing w:val="-18"/>
          <w:sz w:val="20"/>
        </w:rPr>
        <w:t> </w:t>
      </w:r>
      <w:r>
        <w:rPr>
          <w:sz w:val="20"/>
        </w:rPr>
        <w:t>for</w:t>
      </w:r>
      <w:r>
        <w:rPr>
          <w:spacing w:val="-18"/>
          <w:sz w:val="20"/>
        </w:rPr>
        <w:t> </w:t>
      </w:r>
      <w:r>
        <w:rPr>
          <w:spacing w:val="-3"/>
          <w:sz w:val="20"/>
        </w:rPr>
        <w:t>overseeing</w:t>
      </w:r>
      <w:r>
        <w:rPr>
          <w:spacing w:val="-19"/>
          <w:sz w:val="20"/>
        </w:rPr>
        <w:t> </w:t>
      </w:r>
      <w:r>
        <w:rPr>
          <w:sz w:val="20"/>
        </w:rPr>
        <w:t>implementation of the</w:t>
      </w:r>
      <w:r>
        <w:rPr>
          <w:spacing w:val="-8"/>
          <w:sz w:val="20"/>
        </w:rPr>
        <w:t> </w:t>
      </w:r>
      <w:r>
        <w:rPr>
          <w:spacing w:val="-3"/>
          <w:sz w:val="20"/>
        </w:rPr>
        <w:t>CRPD.</w:t>
      </w:r>
      <w:r>
        <w:rPr>
          <w:spacing w:val="-3"/>
          <w:position w:val="7"/>
          <w:sz w:val="11"/>
        </w:rPr>
        <w:t>9</w:t>
      </w:r>
    </w:p>
    <w:p>
      <w:pPr>
        <w:pStyle w:val="ListParagraph"/>
        <w:numPr>
          <w:ilvl w:val="1"/>
          <w:numId w:val="12"/>
        </w:numPr>
        <w:tabs>
          <w:tab w:pos="1761" w:val="left" w:leader="none"/>
          <w:tab w:pos="1762" w:val="left" w:leader="none"/>
        </w:tabs>
        <w:spacing w:line="206" w:lineRule="auto" w:before="123" w:after="0"/>
        <w:ind w:left="1761" w:right="1953" w:hanging="794"/>
        <w:jc w:val="left"/>
        <w:rPr>
          <w:sz w:val="20"/>
        </w:rPr>
      </w:pPr>
      <w:r>
        <w:rPr>
          <w:sz w:val="20"/>
        </w:rPr>
        <w:t>Australia is also party to the Optional </w:t>
      </w:r>
      <w:r>
        <w:rPr>
          <w:spacing w:val="-3"/>
          <w:sz w:val="20"/>
        </w:rPr>
        <w:t>Protocol </w:t>
      </w:r>
      <w:r>
        <w:rPr>
          <w:sz w:val="20"/>
        </w:rPr>
        <w:t>to the Convention on the Rights of</w:t>
      </w:r>
      <w:r>
        <w:rPr>
          <w:spacing w:val="-11"/>
          <w:sz w:val="20"/>
        </w:rPr>
        <w:t> </w:t>
      </w:r>
      <w:r>
        <w:rPr>
          <w:sz w:val="20"/>
        </w:rPr>
        <w:t>Persons</w:t>
      </w:r>
      <w:r>
        <w:rPr>
          <w:spacing w:val="-10"/>
          <w:sz w:val="20"/>
        </w:rPr>
        <w:t> </w:t>
      </w:r>
      <w:r>
        <w:rPr>
          <w:sz w:val="20"/>
        </w:rPr>
        <w:t>with</w:t>
      </w:r>
      <w:r>
        <w:rPr>
          <w:spacing w:val="-10"/>
          <w:sz w:val="20"/>
        </w:rPr>
        <w:t> </w:t>
      </w:r>
      <w:r>
        <w:rPr>
          <w:sz w:val="20"/>
        </w:rPr>
        <w:t>Disabilities.</w:t>
      </w:r>
      <w:r>
        <w:rPr>
          <w:position w:val="7"/>
          <w:sz w:val="11"/>
        </w:rPr>
        <w:t>10</w:t>
      </w:r>
      <w:r>
        <w:rPr>
          <w:spacing w:val="14"/>
          <w:position w:val="7"/>
          <w:sz w:val="11"/>
        </w:rPr>
        <w:t> </w:t>
      </w:r>
      <w:r>
        <w:rPr>
          <w:sz w:val="20"/>
        </w:rPr>
        <w:t>The</w:t>
      </w:r>
      <w:r>
        <w:rPr>
          <w:spacing w:val="-10"/>
          <w:sz w:val="20"/>
        </w:rPr>
        <w:t> </w:t>
      </w:r>
      <w:r>
        <w:rPr>
          <w:sz w:val="20"/>
        </w:rPr>
        <w:t>Optional</w:t>
      </w:r>
      <w:r>
        <w:rPr>
          <w:spacing w:val="-10"/>
          <w:sz w:val="20"/>
        </w:rPr>
        <w:t> </w:t>
      </w:r>
      <w:r>
        <w:rPr>
          <w:spacing w:val="-3"/>
          <w:sz w:val="20"/>
        </w:rPr>
        <w:t>Protocol</w:t>
      </w:r>
      <w:r>
        <w:rPr>
          <w:spacing w:val="-10"/>
          <w:sz w:val="20"/>
        </w:rPr>
        <w:t> </w:t>
      </w:r>
      <w:r>
        <w:rPr>
          <w:sz w:val="20"/>
        </w:rPr>
        <w:t>enables</w:t>
      </w:r>
      <w:r>
        <w:rPr>
          <w:spacing w:val="-11"/>
          <w:sz w:val="20"/>
        </w:rPr>
        <w:t> </w:t>
      </w:r>
      <w:r>
        <w:rPr>
          <w:sz w:val="20"/>
        </w:rPr>
        <w:t>individuals</w:t>
      </w:r>
      <w:r>
        <w:rPr>
          <w:spacing w:val="-10"/>
          <w:sz w:val="20"/>
        </w:rPr>
        <w:t> </w:t>
      </w:r>
      <w:r>
        <w:rPr>
          <w:sz w:val="20"/>
        </w:rPr>
        <w:t>to</w:t>
      </w:r>
      <w:r>
        <w:rPr>
          <w:spacing w:val="-10"/>
          <w:sz w:val="20"/>
        </w:rPr>
        <w:t> </w:t>
      </w:r>
      <w:r>
        <w:rPr>
          <w:spacing w:val="-3"/>
          <w:sz w:val="20"/>
        </w:rPr>
        <w:t>make</w:t>
      </w:r>
    </w:p>
    <w:p>
      <w:pPr>
        <w:pStyle w:val="BodyText"/>
        <w:spacing w:line="206" w:lineRule="auto" w:before="3"/>
        <w:ind w:left="1761" w:right="1277"/>
        <w:rPr>
          <w:sz w:val="11"/>
        </w:rPr>
      </w:pPr>
      <w:r>
        <w:rPr/>
        <w:t>complaints</w:t>
      </w:r>
      <w:r>
        <w:rPr>
          <w:spacing w:val="-11"/>
        </w:rPr>
        <w:t> </w:t>
      </w:r>
      <w:r>
        <w:rPr>
          <w:spacing w:val="-3"/>
        </w:rPr>
        <w:t>directly</w:t>
      </w:r>
      <w:r>
        <w:rPr>
          <w:spacing w:val="-11"/>
        </w:rPr>
        <w:t> </w:t>
      </w:r>
      <w:r>
        <w:rPr/>
        <w:t>to</w:t>
      </w:r>
      <w:r>
        <w:rPr>
          <w:spacing w:val="-11"/>
        </w:rPr>
        <w:t> </w:t>
      </w:r>
      <w:r>
        <w:rPr/>
        <w:t>the</w:t>
      </w:r>
      <w:r>
        <w:rPr>
          <w:spacing w:val="-11"/>
        </w:rPr>
        <w:t> </w:t>
      </w:r>
      <w:r>
        <w:rPr/>
        <w:t>Convention</w:t>
      </w:r>
      <w:r>
        <w:rPr>
          <w:spacing w:val="-11"/>
        </w:rPr>
        <w:t> </w:t>
      </w:r>
      <w:r>
        <w:rPr/>
        <w:t>Committee</w:t>
      </w:r>
      <w:r>
        <w:rPr>
          <w:spacing w:val="-11"/>
        </w:rPr>
        <w:t> </w:t>
      </w:r>
      <w:r>
        <w:rPr/>
        <w:t>if</w:t>
      </w:r>
      <w:r>
        <w:rPr>
          <w:spacing w:val="-11"/>
        </w:rPr>
        <w:t> </w:t>
      </w:r>
      <w:r>
        <w:rPr/>
        <w:t>they</w:t>
      </w:r>
      <w:r>
        <w:rPr>
          <w:spacing w:val="-11"/>
        </w:rPr>
        <w:t> </w:t>
      </w:r>
      <w:r>
        <w:rPr/>
        <w:t>feel</w:t>
      </w:r>
      <w:r>
        <w:rPr>
          <w:spacing w:val="-11"/>
        </w:rPr>
        <w:t> </w:t>
      </w:r>
      <w:r>
        <w:rPr/>
        <w:t>that</w:t>
      </w:r>
      <w:r>
        <w:rPr>
          <w:spacing w:val="-11"/>
        </w:rPr>
        <w:t> </w:t>
      </w:r>
      <w:r>
        <w:rPr/>
        <w:t>their</w:t>
      </w:r>
      <w:r>
        <w:rPr>
          <w:spacing w:val="-11"/>
        </w:rPr>
        <w:t> </w:t>
      </w:r>
      <w:r>
        <w:rPr/>
        <w:t>rights</w:t>
      </w:r>
      <w:r>
        <w:rPr>
          <w:spacing w:val="-11"/>
        </w:rPr>
        <w:t> </w:t>
      </w:r>
      <w:r>
        <w:rPr/>
        <w:t>under</w:t>
      </w:r>
      <w:r>
        <w:rPr>
          <w:spacing w:val="-11"/>
        </w:rPr>
        <w:t> </w:t>
      </w:r>
      <w:r>
        <w:rPr/>
        <w:t>the CRPD </w:t>
      </w:r>
      <w:r>
        <w:rPr>
          <w:spacing w:val="-4"/>
        </w:rPr>
        <w:t>have </w:t>
      </w:r>
      <w:r>
        <w:rPr/>
        <w:t>been</w:t>
      </w:r>
      <w:r>
        <w:rPr>
          <w:spacing w:val="-9"/>
        </w:rPr>
        <w:t> </w:t>
      </w:r>
      <w:r>
        <w:rPr/>
        <w:t>violated.</w:t>
      </w:r>
      <w:r>
        <w:rPr>
          <w:position w:val="7"/>
          <w:sz w:val="11"/>
        </w:rPr>
        <w:t>11</w:t>
      </w:r>
    </w:p>
    <w:p>
      <w:pPr>
        <w:pStyle w:val="BodyText"/>
        <w:spacing w:before="6"/>
        <w:rPr>
          <w:sz w:val="16"/>
        </w:rPr>
      </w:pPr>
    </w:p>
    <w:p>
      <w:pPr>
        <w:spacing w:before="0"/>
        <w:ind w:left="967" w:right="0" w:firstLine="0"/>
        <w:jc w:val="left"/>
        <w:rPr>
          <w:rFonts w:ascii="Raleway ExtraBold"/>
          <w:b/>
          <w:sz w:val="28"/>
        </w:rPr>
      </w:pPr>
      <w:r>
        <w:rPr>
          <w:rFonts w:ascii="Raleway ExtraBold"/>
          <w:b/>
          <w:color w:val="37617A"/>
          <w:sz w:val="28"/>
        </w:rPr>
        <w:t>Implementation of the CRPD in Australia</w:t>
      </w:r>
    </w:p>
    <w:p>
      <w:pPr>
        <w:pStyle w:val="ListParagraph"/>
        <w:numPr>
          <w:ilvl w:val="1"/>
          <w:numId w:val="12"/>
        </w:numPr>
        <w:tabs>
          <w:tab w:pos="1761" w:val="left" w:leader="none"/>
          <w:tab w:pos="1762" w:val="left" w:leader="none"/>
        </w:tabs>
        <w:spacing w:line="206" w:lineRule="auto" w:before="146" w:after="0"/>
        <w:ind w:left="1761" w:right="1446" w:hanging="794"/>
        <w:jc w:val="left"/>
        <w:rPr>
          <w:sz w:val="11"/>
        </w:rPr>
      </w:pPr>
      <w:r>
        <w:rPr>
          <w:sz w:val="20"/>
        </w:rPr>
        <w:t>Article 4(1)(a) of the CRPD </w:t>
      </w:r>
      <w:r>
        <w:rPr>
          <w:spacing w:val="-3"/>
          <w:sz w:val="20"/>
        </w:rPr>
        <w:t>requires States </w:t>
      </w:r>
      <w:r>
        <w:rPr>
          <w:sz w:val="20"/>
        </w:rPr>
        <w:t>Parties to </w:t>
      </w:r>
      <w:r>
        <w:rPr>
          <w:spacing w:val="-3"/>
          <w:sz w:val="20"/>
        </w:rPr>
        <w:t>‘adopt </w:t>
      </w:r>
      <w:r>
        <w:rPr>
          <w:sz w:val="20"/>
        </w:rPr>
        <w:t>all </w:t>
      </w:r>
      <w:r>
        <w:rPr>
          <w:spacing w:val="-3"/>
          <w:sz w:val="20"/>
        </w:rPr>
        <w:t>appropriate </w:t>
      </w:r>
      <w:r>
        <w:rPr>
          <w:sz w:val="20"/>
        </w:rPr>
        <w:t>legislative, administrative</w:t>
      </w:r>
      <w:r>
        <w:rPr>
          <w:spacing w:val="-12"/>
          <w:sz w:val="20"/>
        </w:rPr>
        <w:t> </w:t>
      </w:r>
      <w:r>
        <w:rPr>
          <w:sz w:val="20"/>
        </w:rPr>
        <w:t>and</w:t>
      </w:r>
      <w:r>
        <w:rPr>
          <w:spacing w:val="-12"/>
          <w:sz w:val="20"/>
        </w:rPr>
        <w:t> </w:t>
      </w:r>
      <w:r>
        <w:rPr>
          <w:sz w:val="20"/>
        </w:rPr>
        <w:t>other</w:t>
      </w:r>
      <w:r>
        <w:rPr>
          <w:spacing w:val="-12"/>
          <w:sz w:val="20"/>
        </w:rPr>
        <w:t> </w:t>
      </w:r>
      <w:r>
        <w:rPr>
          <w:sz w:val="20"/>
        </w:rPr>
        <w:t>measures</w:t>
      </w:r>
      <w:r>
        <w:rPr>
          <w:spacing w:val="-12"/>
          <w:sz w:val="20"/>
        </w:rPr>
        <w:t> </w:t>
      </w:r>
      <w:r>
        <w:rPr>
          <w:sz w:val="20"/>
        </w:rPr>
        <w:t>for</w:t>
      </w:r>
      <w:r>
        <w:rPr>
          <w:spacing w:val="-12"/>
          <w:sz w:val="20"/>
        </w:rPr>
        <w:t> </w:t>
      </w:r>
      <w:r>
        <w:rPr>
          <w:sz w:val="20"/>
        </w:rPr>
        <w:t>the</w:t>
      </w:r>
      <w:r>
        <w:rPr>
          <w:spacing w:val="-12"/>
          <w:sz w:val="20"/>
        </w:rPr>
        <w:t> </w:t>
      </w:r>
      <w:r>
        <w:rPr>
          <w:sz w:val="20"/>
        </w:rPr>
        <w:t>implementation</w:t>
      </w:r>
      <w:r>
        <w:rPr>
          <w:spacing w:val="-12"/>
          <w:sz w:val="20"/>
        </w:rPr>
        <w:t> </w:t>
      </w:r>
      <w:r>
        <w:rPr>
          <w:sz w:val="20"/>
        </w:rPr>
        <w:t>of</w:t>
      </w:r>
      <w:r>
        <w:rPr>
          <w:spacing w:val="-12"/>
          <w:sz w:val="20"/>
        </w:rPr>
        <w:t> </w:t>
      </w:r>
      <w:r>
        <w:rPr>
          <w:sz w:val="20"/>
        </w:rPr>
        <w:t>the</w:t>
      </w:r>
      <w:r>
        <w:rPr>
          <w:spacing w:val="-12"/>
          <w:sz w:val="20"/>
        </w:rPr>
        <w:t> </w:t>
      </w:r>
      <w:r>
        <w:rPr>
          <w:sz w:val="20"/>
        </w:rPr>
        <w:t>rights</w:t>
      </w:r>
      <w:r>
        <w:rPr>
          <w:spacing w:val="-11"/>
          <w:sz w:val="20"/>
        </w:rPr>
        <w:t> </w:t>
      </w:r>
      <w:r>
        <w:rPr>
          <w:spacing w:val="-3"/>
          <w:sz w:val="20"/>
        </w:rPr>
        <w:t>recognized</w:t>
      </w:r>
      <w:r>
        <w:rPr>
          <w:spacing w:val="-12"/>
          <w:sz w:val="20"/>
        </w:rPr>
        <w:t> </w:t>
      </w:r>
      <w:r>
        <w:rPr>
          <w:sz w:val="20"/>
        </w:rPr>
        <w:t>in the </w:t>
      </w:r>
      <w:r>
        <w:rPr>
          <w:spacing w:val="-3"/>
          <w:sz w:val="20"/>
        </w:rPr>
        <w:t>present</w:t>
      </w:r>
      <w:r>
        <w:rPr>
          <w:spacing w:val="-8"/>
          <w:sz w:val="20"/>
        </w:rPr>
        <w:t> </w:t>
      </w:r>
      <w:r>
        <w:rPr>
          <w:spacing w:val="-3"/>
          <w:sz w:val="20"/>
        </w:rPr>
        <w:t>Convention’.</w:t>
      </w:r>
      <w:r>
        <w:rPr>
          <w:spacing w:val="-3"/>
          <w:position w:val="7"/>
          <w:sz w:val="11"/>
        </w:rPr>
        <w:t>12</w:t>
      </w:r>
    </w:p>
    <w:p>
      <w:pPr>
        <w:pStyle w:val="ListParagraph"/>
        <w:numPr>
          <w:ilvl w:val="1"/>
          <w:numId w:val="12"/>
        </w:numPr>
        <w:tabs>
          <w:tab w:pos="1761" w:val="left" w:leader="none"/>
          <w:tab w:pos="1762" w:val="left" w:leader="none"/>
        </w:tabs>
        <w:spacing w:line="206" w:lineRule="auto" w:before="124" w:after="0"/>
        <w:ind w:left="1761" w:right="1373" w:hanging="794"/>
        <w:jc w:val="left"/>
        <w:rPr>
          <w:sz w:val="11"/>
        </w:rPr>
      </w:pPr>
      <w:r>
        <w:rPr>
          <w:sz w:val="20"/>
        </w:rPr>
        <w:t>While</w:t>
      </w:r>
      <w:r>
        <w:rPr>
          <w:spacing w:val="-11"/>
          <w:sz w:val="20"/>
        </w:rPr>
        <w:t> </w:t>
      </w:r>
      <w:r>
        <w:rPr>
          <w:sz w:val="20"/>
        </w:rPr>
        <w:t>ratification</w:t>
      </w:r>
      <w:r>
        <w:rPr>
          <w:spacing w:val="-11"/>
          <w:sz w:val="20"/>
        </w:rPr>
        <w:t> </w:t>
      </w:r>
      <w:r>
        <w:rPr>
          <w:sz w:val="20"/>
        </w:rPr>
        <w:t>means</w:t>
      </w:r>
      <w:r>
        <w:rPr>
          <w:spacing w:val="-10"/>
          <w:sz w:val="20"/>
        </w:rPr>
        <w:t> </w:t>
      </w:r>
      <w:r>
        <w:rPr>
          <w:sz w:val="20"/>
        </w:rPr>
        <w:t>Australia</w:t>
      </w:r>
      <w:r>
        <w:rPr>
          <w:spacing w:val="-11"/>
          <w:sz w:val="20"/>
        </w:rPr>
        <w:t> </w:t>
      </w:r>
      <w:r>
        <w:rPr>
          <w:sz w:val="20"/>
        </w:rPr>
        <w:t>is</w:t>
      </w:r>
      <w:r>
        <w:rPr>
          <w:spacing w:val="-10"/>
          <w:sz w:val="20"/>
        </w:rPr>
        <w:t> </w:t>
      </w:r>
      <w:r>
        <w:rPr>
          <w:sz w:val="20"/>
        </w:rPr>
        <w:t>bound</w:t>
      </w:r>
      <w:r>
        <w:rPr>
          <w:spacing w:val="-11"/>
          <w:sz w:val="20"/>
        </w:rPr>
        <w:t> </w:t>
      </w:r>
      <w:r>
        <w:rPr>
          <w:sz w:val="20"/>
        </w:rPr>
        <w:t>to</w:t>
      </w:r>
      <w:r>
        <w:rPr>
          <w:spacing w:val="-11"/>
          <w:sz w:val="20"/>
        </w:rPr>
        <w:t> </w:t>
      </w:r>
      <w:r>
        <w:rPr>
          <w:spacing w:val="-3"/>
          <w:sz w:val="20"/>
        </w:rPr>
        <w:t>comply</w:t>
      </w:r>
      <w:r>
        <w:rPr>
          <w:spacing w:val="-10"/>
          <w:sz w:val="20"/>
        </w:rPr>
        <w:t> </w:t>
      </w:r>
      <w:r>
        <w:rPr>
          <w:sz w:val="20"/>
        </w:rPr>
        <w:t>with</w:t>
      </w:r>
      <w:r>
        <w:rPr>
          <w:spacing w:val="-11"/>
          <w:sz w:val="20"/>
        </w:rPr>
        <w:t> </w:t>
      </w:r>
      <w:r>
        <w:rPr>
          <w:sz w:val="20"/>
        </w:rPr>
        <w:t>the</w:t>
      </w:r>
      <w:r>
        <w:rPr>
          <w:spacing w:val="-10"/>
          <w:sz w:val="20"/>
        </w:rPr>
        <w:t> </w:t>
      </w:r>
      <w:r>
        <w:rPr>
          <w:spacing w:val="-3"/>
          <w:sz w:val="20"/>
        </w:rPr>
        <w:t>CRPD,</w:t>
      </w:r>
      <w:r>
        <w:rPr>
          <w:spacing w:val="-11"/>
          <w:sz w:val="20"/>
        </w:rPr>
        <w:t> </w:t>
      </w:r>
      <w:r>
        <w:rPr>
          <w:sz w:val="20"/>
        </w:rPr>
        <w:t>its</w:t>
      </w:r>
      <w:r>
        <w:rPr>
          <w:spacing w:val="-11"/>
          <w:sz w:val="20"/>
        </w:rPr>
        <w:t> </w:t>
      </w:r>
      <w:r>
        <w:rPr>
          <w:sz w:val="20"/>
        </w:rPr>
        <w:t>provisions</w:t>
      </w:r>
      <w:r>
        <w:rPr>
          <w:spacing w:val="-10"/>
          <w:sz w:val="20"/>
        </w:rPr>
        <w:t> </w:t>
      </w:r>
      <w:r>
        <w:rPr>
          <w:sz w:val="20"/>
        </w:rPr>
        <w:t>do not</w:t>
      </w:r>
      <w:r>
        <w:rPr>
          <w:spacing w:val="-13"/>
          <w:sz w:val="20"/>
        </w:rPr>
        <w:t> </w:t>
      </w:r>
      <w:r>
        <w:rPr>
          <w:sz w:val="20"/>
        </w:rPr>
        <w:t>form</w:t>
      </w:r>
      <w:r>
        <w:rPr>
          <w:spacing w:val="-13"/>
          <w:sz w:val="20"/>
        </w:rPr>
        <w:t> </w:t>
      </w:r>
      <w:r>
        <w:rPr>
          <w:sz w:val="20"/>
        </w:rPr>
        <w:t>part</w:t>
      </w:r>
      <w:r>
        <w:rPr>
          <w:spacing w:val="-13"/>
          <w:sz w:val="20"/>
        </w:rPr>
        <w:t> </w:t>
      </w:r>
      <w:r>
        <w:rPr>
          <w:sz w:val="20"/>
        </w:rPr>
        <w:t>of</w:t>
      </w:r>
      <w:r>
        <w:rPr>
          <w:spacing w:val="-13"/>
          <w:sz w:val="20"/>
        </w:rPr>
        <w:t> </w:t>
      </w:r>
      <w:r>
        <w:rPr>
          <w:sz w:val="20"/>
        </w:rPr>
        <w:t>Australian</w:t>
      </w:r>
      <w:r>
        <w:rPr>
          <w:spacing w:val="-13"/>
          <w:sz w:val="20"/>
        </w:rPr>
        <w:t> </w:t>
      </w:r>
      <w:r>
        <w:rPr>
          <w:sz w:val="20"/>
        </w:rPr>
        <w:t>law</w:t>
      </w:r>
      <w:r>
        <w:rPr>
          <w:spacing w:val="-13"/>
          <w:sz w:val="20"/>
        </w:rPr>
        <w:t> </w:t>
      </w:r>
      <w:r>
        <w:rPr>
          <w:sz w:val="20"/>
        </w:rPr>
        <w:t>unless</w:t>
      </w:r>
      <w:r>
        <w:rPr>
          <w:spacing w:val="-13"/>
          <w:sz w:val="20"/>
        </w:rPr>
        <w:t> </w:t>
      </w:r>
      <w:r>
        <w:rPr>
          <w:sz w:val="20"/>
        </w:rPr>
        <w:t>they</w:t>
      </w:r>
      <w:r>
        <w:rPr>
          <w:spacing w:val="-12"/>
          <w:sz w:val="20"/>
        </w:rPr>
        <w:t> </w:t>
      </w:r>
      <w:r>
        <w:rPr>
          <w:spacing w:val="-3"/>
          <w:sz w:val="20"/>
        </w:rPr>
        <w:t>are</w:t>
      </w:r>
      <w:r>
        <w:rPr>
          <w:spacing w:val="-13"/>
          <w:sz w:val="20"/>
        </w:rPr>
        <w:t> </w:t>
      </w:r>
      <w:r>
        <w:rPr>
          <w:sz w:val="20"/>
        </w:rPr>
        <w:t>specifically</w:t>
      </w:r>
      <w:r>
        <w:rPr>
          <w:spacing w:val="-13"/>
          <w:sz w:val="20"/>
        </w:rPr>
        <w:t> </w:t>
      </w:r>
      <w:r>
        <w:rPr>
          <w:sz w:val="20"/>
        </w:rPr>
        <w:t>incorporated</w:t>
      </w:r>
      <w:r>
        <w:rPr>
          <w:spacing w:val="-13"/>
          <w:sz w:val="20"/>
        </w:rPr>
        <w:t> </w:t>
      </w:r>
      <w:r>
        <w:rPr>
          <w:spacing w:val="-3"/>
          <w:sz w:val="20"/>
        </w:rPr>
        <w:t>by</w:t>
      </w:r>
      <w:r>
        <w:rPr>
          <w:spacing w:val="-13"/>
          <w:sz w:val="20"/>
        </w:rPr>
        <w:t> </w:t>
      </w:r>
      <w:r>
        <w:rPr>
          <w:sz w:val="20"/>
        </w:rPr>
        <w:t>parliament </w:t>
      </w:r>
      <w:r>
        <w:rPr>
          <w:spacing w:val="-3"/>
          <w:sz w:val="20"/>
        </w:rPr>
        <w:t>into </w:t>
      </w:r>
      <w:r>
        <w:rPr>
          <w:sz w:val="20"/>
        </w:rPr>
        <w:t>domestic legislation.</w:t>
      </w:r>
      <w:r>
        <w:rPr>
          <w:position w:val="7"/>
          <w:sz w:val="11"/>
        </w:rPr>
        <w:t>13 </w:t>
      </w:r>
      <w:r>
        <w:rPr>
          <w:sz w:val="20"/>
        </w:rPr>
        <w:t>The CRPD is incorporated in a piecemeal </w:t>
      </w:r>
      <w:r>
        <w:rPr>
          <w:spacing w:val="-4"/>
          <w:sz w:val="20"/>
        </w:rPr>
        <w:t>way </w:t>
      </w:r>
      <w:r>
        <w:rPr>
          <w:sz w:val="20"/>
        </w:rPr>
        <w:t>in Australia through legislation, policy and programs at the federal, state and territory </w:t>
      </w:r>
      <w:r>
        <w:rPr>
          <w:spacing w:val="-2"/>
          <w:sz w:val="20"/>
        </w:rPr>
        <w:t>levels </w:t>
      </w:r>
      <w:r>
        <w:rPr>
          <w:sz w:val="20"/>
        </w:rPr>
        <w:t>and through various</w:t>
      </w:r>
      <w:r>
        <w:rPr>
          <w:spacing w:val="-9"/>
          <w:sz w:val="20"/>
        </w:rPr>
        <w:t> </w:t>
      </w:r>
      <w:r>
        <w:rPr>
          <w:sz w:val="20"/>
        </w:rPr>
        <w:t>institutions.</w:t>
      </w:r>
      <w:r>
        <w:rPr>
          <w:position w:val="7"/>
          <w:sz w:val="11"/>
        </w:rPr>
        <w:t>14</w:t>
      </w:r>
    </w:p>
    <w:p>
      <w:pPr>
        <w:pStyle w:val="BodyText"/>
      </w:pPr>
    </w:p>
    <w:p>
      <w:pPr>
        <w:pStyle w:val="BodyText"/>
      </w:pPr>
    </w:p>
    <w:p>
      <w:pPr>
        <w:pStyle w:val="BodyText"/>
      </w:pPr>
    </w:p>
    <w:p>
      <w:pPr>
        <w:pStyle w:val="BodyText"/>
      </w:pPr>
    </w:p>
    <w:p>
      <w:pPr>
        <w:pStyle w:val="BodyText"/>
        <w:spacing w:before="10"/>
        <w:rPr>
          <w:sz w:val="24"/>
        </w:rPr>
      </w:pPr>
      <w:r>
        <w:rPr/>
        <w:pict>
          <v:line style="position:absolute;mso-position-horizontal-relative:page;mso-position-vertical-relative:paragraph;z-index:2624;mso-wrap-distance-left:0;mso-wrap-distance-right:0" from="79.370102pt,19.639601pt" to="515.905102pt,19.639601pt" stroked="true" strokeweight="1pt" strokecolor="#b6bdc8">
            <v:stroke dashstyle="solid"/>
            <w10:wrap type="topAndBottom"/>
          </v:line>
        </w:pict>
      </w:r>
    </w:p>
    <w:p>
      <w:pPr>
        <w:pStyle w:val="ListParagraph"/>
        <w:numPr>
          <w:ilvl w:val="0"/>
          <w:numId w:val="40"/>
        </w:numPr>
        <w:tabs>
          <w:tab w:pos="1760" w:val="left" w:leader="none"/>
          <w:tab w:pos="1762" w:val="left" w:leader="none"/>
        </w:tabs>
        <w:spacing w:line="213" w:lineRule="auto" w:before="107" w:after="0"/>
        <w:ind w:left="1761" w:right="1599" w:hanging="794"/>
        <w:jc w:val="left"/>
        <w:rPr>
          <w:sz w:val="13"/>
        </w:rPr>
      </w:pPr>
      <w:r>
        <w:rPr>
          <w:sz w:val="13"/>
        </w:rPr>
        <w:t>Ron </w:t>
      </w:r>
      <w:r>
        <w:rPr>
          <w:spacing w:val="2"/>
          <w:sz w:val="13"/>
        </w:rPr>
        <w:t>McCallum, ‘“Nothing </w:t>
      </w:r>
      <w:r>
        <w:rPr>
          <w:sz w:val="13"/>
        </w:rPr>
        <w:t>About Us Without Us”: National Responses to the CRPD Six Years On’ </w:t>
      </w:r>
      <w:r>
        <w:rPr>
          <w:spacing w:val="2"/>
          <w:sz w:val="13"/>
        </w:rPr>
        <w:t>(Speech, </w:t>
      </w:r>
      <w:r>
        <w:rPr>
          <w:sz w:val="13"/>
        </w:rPr>
        <w:t>The King &amp; Wood Mallesons and </w:t>
      </w:r>
      <w:r>
        <w:rPr>
          <w:spacing w:val="2"/>
          <w:sz w:val="13"/>
        </w:rPr>
        <w:t>Castan </w:t>
      </w:r>
      <w:r>
        <w:rPr>
          <w:sz w:val="13"/>
        </w:rPr>
        <w:t>Centre Annual Human Rights Lecture, 22 August </w:t>
      </w:r>
      <w:r>
        <w:rPr>
          <w:spacing w:val="2"/>
          <w:sz w:val="13"/>
        </w:rPr>
        <w:t>2014) </w:t>
      </w:r>
      <w:r>
        <w:rPr>
          <w:sz w:val="13"/>
        </w:rPr>
        <w:t>2 &lt;</w:t>
      </w:r>
      <w:hyperlink r:id="rId92">
        <w:r>
          <w:rPr>
            <w:sz w:val="13"/>
          </w:rPr>
          <w:t>https://www.monash.edu/__data/assets/</w:t>
        </w:r>
      </w:hyperlink>
      <w:hyperlink r:id="rId92">
        <w:r>
          <w:rPr>
            <w:sz w:val="13"/>
          </w:rPr>
          <w:t> pdf_file/0010/140986/ron-mccallums-lecture-2014.pdf</w:t>
        </w:r>
      </w:hyperlink>
      <w:r>
        <w:rPr>
          <w:sz w:val="13"/>
        </w:rPr>
        <w:t>&gt;.</w:t>
      </w:r>
    </w:p>
    <w:p>
      <w:pPr>
        <w:pStyle w:val="ListParagraph"/>
        <w:numPr>
          <w:ilvl w:val="0"/>
          <w:numId w:val="40"/>
        </w:numPr>
        <w:tabs>
          <w:tab w:pos="1760" w:val="left" w:leader="none"/>
          <w:tab w:pos="1762" w:val="left" w:leader="none"/>
        </w:tabs>
        <w:spacing w:line="213" w:lineRule="auto" w:before="0" w:after="0"/>
        <w:ind w:left="1761" w:right="1305" w:hanging="794"/>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40"/>
        </w:numPr>
        <w:tabs>
          <w:tab w:pos="1760" w:val="left" w:leader="none"/>
          <w:tab w:pos="1762" w:val="left" w:leader="none"/>
        </w:tabs>
        <w:spacing w:line="213" w:lineRule="auto" w:before="0" w:after="0"/>
        <w:ind w:left="1761" w:right="1599" w:hanging="794"/>
        <w:jc w:val="left"/>
        <w:rPr>
          <w:sz w:val="13"/>
        </w:rPr>
      </w:pPr>
      <w:r>
        <w:rPr>
          <w:sz w:val="13"/>
        </w:rPr>
        <w:t>United Nations, ‘Chapter IV 15 Human Rights: Convention on the Rights of Persons with Disabilities’, </w:t>
      </w:r>
      <w:r>
        <w:rPr>
          <w:i/>
          <w:sz w:val="13"/>
        </w:rPr>
        <w:t>United Nations Treaty </w:t>
      </w:r>
      <w:r>
        <w:rPr>
          <w:i/>
          <w:sz w:val="13"/>
        </w:rPr>
        <w:t>Collection </w:t>
      </w:r>
      <w:r>
        <w:rPr>
          <w:sz w:val="13"/>
        </w:rPr>
        <w:t>(Online </w:t>
      </w:r>
      <w:r>
        <w:rPr>
          <w:spacing w:val="2"/>
          <w:sz w:val="13"/>
        </w:rPr>
        <w:t>Collection, </w:t>
      </w:r>
      <w:r>
        <w:rPr>
          <w:spacing w:val="3"/>
          <w:sz w:val="13"/>
        </w:rPr>
        <w:t>14 </w:t>
      </w:r>
      <w:r>
        <w:rPr>
          <w:sz w:val="13"/>
        </w:rPr>
        <w:t>June 2022) &lt; </w:t>
      </w:r>
      <w:hyperlink r:id="rId93">
        <w:r>
          <w:rPr>
            <w:sz w:val="13"/>
          </w:rPr>
          <w:t>https://treaties.un.org/pages/Treaties.aspx?id=4&amp;subid=A&amp;lang=en </w:t>
        </w:r>
      </w:hyperlink>
      <w:r>
        <w:rPr>
          <w:sz w:val="13"/>
        </w:rPr>
        <w:t>&gt;; Ron </w:t>
      </w:r>
      <w:r>
        <w:rPr>
          <w:spacing w:val="2"/>
          <w:sz w:val="13"/>
        </w:rPr>
        <w:t>McCallum, ‘“Nothing </w:t>
      </w:r>
      <w:r>
        <w:rPr>
          <w:sz w:val="13"/>
        </w:rPr>
        <w:t>About Us Without Us”: National Responses to the CRPD Six Years On’ </w:t>
      </w:r>
      <w:r>
        <w:rPr>
          <w:spacing w:val="2"/>
          <w:sz w:val="13"/>
        </w:rPr>
        <w:t>(Speech, </w:t>
      </w:r>
      <w:r>
        <w:rPr>
          <w:sz w:val="13"/>
        </w:rPr>
        <w:t>The King &amp; Wood Mallesons and </w:t>
      </w:r>
      <w:r>
        <w:rPr>
          <w:spacing w:val="2"/>
          <w:sz w:val="13"/>
        </w:rPr>
        <w:t>Castan </w:t>
      </w:r>
      <w:r>
        <w:rPr>
          <w:sz w:val="13"/>
        </w:rPr>
        <w:t>Centre Annual Human Rights Lecture, 22 August </w:t>
      </w:r>
      <w:r>
        <w:rPr>
          <w:spacing w:val="2"/>
          <w:sz w:val="13"/>
        </w:rPr>
        <w:t>2014) </w:t>
      </w:r>
      <w:r>
        <w:rPr>
          <w:sz w:val="13"/>
        </w:rPr>
        <w:t>2 &lt;</w:t>
      </w:r>
      <w:hyperlink r:id="rId92">
        <w:r>
          <w:rPr>
            <w:sz w:val="13"/>
          </w:rPr>
          <w:t>https://www.monash.edu/__data/assets/</w:t>
        </w:r>
      </w:hyperlink>
      <w:hyperlink r:id="rId92">
        <w:r>
          <w:rPr>
            <w:sz w:val="13"/>
          </w:rPr>
          <w:t> pdf_file/0010/140986/ron-mccallums-lecture-2014.pdf</w:t>
        </w:r>
      </w:hyperlink>
      <w:r>
        <w:rPr>
          <w:sz w:val="13"/>
        </w:rPr>
        <w:t>&gt;.</w:t>
      </w:r>
    </w:p>
    <w:p>
      <w:pPr>
        <w:pStyle w:val="ListParagraph"/>
        <w:numPr>
          <w:ilvl w:val="0"/>
          <w:numId w:val="40"/>
        </w:numPr>
        <w:tabs>
          <w:tab w:pos="1760" w:val="left" w:leader="none"/>
          <w:tab w:pos="1762" w:val="left" w:leader="none"/>
        </w:tabs>
        <w:spacing w:line="151" w:lineRule="exact" w:before="0" w:after="0"/>
        <w:ind w:left="1761" w:right="0" w:hanging="794"/>
        <w:jc w:val="left"/>
        <w:rPr>
          <w:sz w:val="13"/>
        </w:rPr>
      </w:pPr>
      <w:r>
        <w:rPr>
          <w:sz w:val="13"/>
        </w:rPr>
        <w:t>Council of Australian Governments, </w:t>
      </w:r>
      <w:r>
        <w:rPr>
          <w:i/>
          <w:sz w:val="13"/>
        </w:rPr>
        <w:t>National Disability Strategy 2010–2020 </w:t>
      </w:r>
      <w:r>
        <w:rPr>
          <w:spacing w:val="2"/>
          <w:sz w:val="13"/>
        </w:rPr>
        <w:t>(Report, </w:t>
      </w:r>
      <w:r>
        <w:rPr>
          <w:sz w:val="13"/>
        </w:rPr>
        <w:t>2011)</w:t>
      </w:r>
      <w:r>
        <w:rPr>
          <w:spacing w:val="7"/>
          <w:sz w:val="13"/>
        </w:rPr>
        <w:t> </w:t>
      </w:r>
      <w:r>
        <w:rPr>
          <w:spacing w:val="3"/>
          <w:sz w:val="13"/>
        </w:rPr>
        <w:t>3.</w:t>
      </w:r>
    </w:p>
    <w:p>
      <w:pPr>
        <w:pStyle w:val="ListParagraph"/>
        <w:numPr>
          <w:ilvl w:val="0"/>
          <w:numId w:val="40"/>
        </w:numPr>
        <w:tabs>
          <w:tab w:pos="1760" w:val="left" w:leader="none"/>
          <w:tab w:pos="1762" w:val="left" w:leader="none"/>
        </w:tabs>
        <w:spacing w:line="160" w:lineRule="exact" w:before="0" w:after="0"/>
        <w:ind w:left="1761" w:right="0" w:hanging="794"/>
        <w:jc w:val="left"/>
        <w:rPr>
          <w:sz w:val="13"/>
        </w:rPr>
      </w:pPr>
      <w:r>
        <w:rPr>
          <w:sz w:val="13"/>
        </w:rPr>
        <w:t>‘Status of Ratification Interactive Dashboard’, </w:t>
      </w:r>
      <w:r>
        <w:rPr>
          <w:i/>
          <w:sz w:val="13"/>
        </w:rPr>
        <w:t>United Nations Human </w:t>
      </w:r>
      <w:r>
        <w:rPr>
          <w:i/>
          <w:spacing w:val="2"/>
          <w:sz w:val="13"/>
        </w:rPr>
        <w:t>Rights </w:t>
      </w:r>
      <w:r>
        <w:rPr>
          <w:i/>
          <w:sz w:val="13"/>
        </w:rPr>
        <w:t>Office of the High Commissioner </w:t>
      </w:r>
      <w:r>
        <w:rPr>
          <w:sz w:val="13"/>
        </w:rPr>
        <w:t>(Web</w:t>
      </w:r>
      <w:r>
        <w:rPr>
          <w:spacing w:val="22"/>
          <w:sz w:val="13"/>
        </w:rPr>
        <w:t> </w:t>
      </w:r>
      <w:r>
        <w:rPr>
          <w:sz w:val="13"/>
        </w:rPr>
        <w:t>Page)</w:t>
      </w:r>
    </w:p>
    <w:p>
      <w:pPr>
        <w:spacing w:line="213" w:lineRule="auto" w:before="4"/>
        <w:ind w:left="1761" w:right="1481" w:firstLine="0"/>
        <w:jc w:val="left"/>
        <w:rPr>
          <w:sz w:val="13"/>
        </w:rPr>
      </w:pPr>
      <w:r>
        <w:rPr>
          <w:sz w:val="13"/>
        </w:rPr>
        <w:t>&lt;</w:t>
      </w:r>
      <w:hyperlink r:id="rId94">
        <w:r>
          <w:rPr>
            <w:sz w:val="13"/>
          </w:rPr>
          <w:t>https://indicators.ohchr.org/</w:t>
        </w:r>
      </w:hyperlink>
      <w:r>
        <w:rPr>
          <w:sz w:val="13"/>
        </w:rPr>
        <w:t>&gt;. This is correct as at 17 May 2022. Eight additional countries are signatories to the CRPD, making    a preliminary </w:t>
      </w:r>
      <w:r>
        <w:rPr>
          <w:spacing w:val="2"/>
          <w:sz w:val="13"/>
        </w:rPr>
        <w:t>endorsement </w:t>
      </w:r>
      <w:r>
        <w:rPr>
          <w:sz w:val="13"/>
        </w:rPr>
        <w:t>of the treaty and </w:t>
      </w:r>
      <w:r>
        <w:rPr>
          <w:spacing w:val="2"/>
          <w:sz w:val="13"/>
        </w:rPr>
        <w:t>demonstrating </w:t>
      </w:r>
      <w:r>
        <w:rPr>
          <w:sz w:val="13"/>
        </w:rPr>
        <w:t>an intent to consider ratifying </w:t>
      </w:r>
      <w:r>
        <w:rPr>
          <w:spacing w:val="2"/>
          <w:sz w:val="13"/>
        </w:rPr>
        <w:t>it. </w:t>
      </w:r>
      <w:r>
        <w:rPr>
          <w:sz w:val="13"/>
        </w:rPr>
        <w:t>Just five countries have taken no action in relation to the CRPD.</w:t>
      </w:r>
    </w:p>
    <w:p>
      <w:pPr>
        <w:pStyle w:val="ListParagraph"/>
        <w:numPr>
          <w:ilvl w:val="0"/>
          <w:numId w:val="40"/>
        </w:numPr>
        <w:tabs>
          <w:tab w:pos="1761" w:val="left" w:leader="none"/>
          <w:tab w:pos="1762" w:val="left" w:leader="none"/>
        </w:tabs>
        <w:spacing w:line="213" w:lineRule="auto" w:before="0" w:after="0"/>
        <w:ind w:left="1760" w:right="1307" w:hanging="793"/>
        <w:jc w:val="left"/>
        <w:rPr>
          <w:sz w:val="13"/>
        </w:rPr>
      </w:pP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 </w:t>
      </w:r>
      <w:r>
        <w:rPr>
          <w:spacing w:val="2"/>
          <w:sz w:val="13"/>
        </w:rPr>
        <w:t>art 34; </w:t>
      </w:r>
      <w:r>
        <w:rPr>
          <w:sz w:val="13"/>
        </w:rPr>
        <w:t>‘Committee on the Rights of Persons with Disabilities’, </w:t>
      </w:r>
      <w:r>
        <w:rPr>
          <w:i/>
          <w:sz w:val="13"/>
        </w:rPr>
        <w:t>United Nations Human </w:t>
      </w:r>
      <w:r>
        <w:rPr>
          <w:i/>
          <w:spacing w:val="2"/>
          <w:sz w:val="13"/>
        </w:rPr>
        <w:t>Rights </w:t>
      </w:r>
      <w:r>
        <w:rPr>
          <w:i/>
          <w:sz w:val="13"/>
        </w:rPr>
        <w:t>Office of the High Commissioner </w:t>
      </w:r>
      <w:r>
        <w:rPr>
          <w:sz w:val="13"/>
        </w:rPr>
        <w:t>(Web Page) &lt;</w:t>
      </w:r>
      <w:hyperlink r:id="rId95">
        <w:r>
          <w:rPr>
            <w:sz w:val="13"/>
          </w:rPr>
          <w:t>https://www.ohchr.org/en/treaty-bodies/crpd</w:t>
        </w:r>
      </w:hyperlink>
      <w:r>
        <w:rPr>
          <w:sz w:val="13"/>
        </w:rPr>
        <w:t>&gt;. Professor Emeritus Ron </w:t>
      </w:r>
      <w:r>
        <w:rPr>
          <w:spacing w:val="2"/>
          <w:sz w:val="13"/>
        </w:rPr>
        <w:t>McCallum  </w:t>
      </w:r>
      <w:r>
        <w:rPr>
          <w:sz w:val="13"/>
        </w:rPr>
        <w:t>AO,  former  Chairperson  of the Convention Committee, observed that the ‘Committee marked a </w:t>
      </w:r>
      <w:r>
        <w:rPr>
          <w:spacing w:val="2"/>
          <w:sz w:val="13"/>
        </w:rPr>
        <w:t>change </w:t>
      </w:r>
      <w:r>
        <w:rPr>
          <w:sz w:val="13"/>
        </w:rPr>
        <w:t>in the representation of persons with </w:t>
      </w:r>
      <w:r>
        <w:rPr>
          <w:spacing w:val="2"/>
          <w:sz w:val="13"/>
        </w:rPr>
        <w:t>disabilities </w:t>
      </w:r>
      <w:r>
        <w:rPr>
          <w:sz w:val="13"/>
        </w:rPr>
        <w:t>throughout the United Nations (UN) </w:t>
      </w:r>
      <w:r>
        <w:rPr>
          <w:spacing w:val="2"/>
          <w:sz w:val="13"/>
        </w:rPr>
        <w:t>bodies. </w:t>
      </w:r>
      <w:r>
        <w:rPr>
          <w:sz w:val="13"/>
        </w:rPr>
        <w:t>Never before had so many persons with </w:t>
      </w:r>
      <w:r>
        <w:rPr>
          <w:spacing w:val="2"/>
          <w:sz w:val="13"/>
        </w:rPr>
        <w:t>disabilities </w:t>
      </w:r>
      <w:r>
        <w:rPr>
          <w:sz w:val="13"/>
        </w:rPr>
        <w:t>played such significant roles in  the human rights treaty </w:t>
      </w:r>
      <w:r>
        <w:rPr>
          <w:spacing w:val="2"/>
          <w:sz w:val="13"/>
        </w:rPr>
        <w:t>bodies </w:t>
      </w:r>
      <w:r>
        <w:rPr>
          <w:sz w:val="13"/>
        </w:rPr>
        <w:t>system’: Ron </w:t>
      </w:r>
      <w:r>
        <w:rPr>
          <w:spacing w:val="2"/>
          <w:sz w:val="13"/>
        </w:rPr>
        <w:t>McCallum, ‘“Nothing </w:t>
      </w:r>
      <w:r>
        <w:rPr>
          <w:sz w:val="13"/>
        </w:rPr>
        <w:t>About Us Without Us”: National Responses to the CRPD Six Years On’ </w:t>
      </w:r>
      <w:r>
        <w:rPr>
          <w:spacing w:val="2"/>
          <w:sz w:val="13"/>
        </w:rPr>
        <w:t>(Speech, </w:t>
      </w:r>
      <w:r>
        <w:rPr>
          <w:sz w:val="13"/>
        </w:rPr>
        <w:t>The King &amp; Wood Mallesons and </w:t>
      </w:r>
      <w:r>
        <w:rPr>
          <w:spacing w:val="2"/>
          <w:sz w:val="13"/>
        </w:rPr>
        <w:t>Castan </w:t>
      </w:r>
      <w:r>
        <w:rPr>
          <w:sz w:val="13"/>
        </w:rPr>
        <w:t>Centre Annual Human Rights Lecture, 22 August </w:t>
      </w:r>
      <w:r>
        <w:rPr>
          <w:spacing w:val="2"/>
          <w:sz w:val="13"/>
        </w:rPr>
        <w:t>2014) </w:t>
      </w:r>
      <w:r>
        <w:rPr>
          <w:sz w:val="13"/>
        </w:rPr>
        <w:t>6 &lt;</w:t>
      </w:r>
      <w:hyperlink r:id="rId92">
        <w:r>
          <w:rPr>
            <w:sz w:val="13"/>
          </w:rPr>
          <w:t>https://</w:t>
        </w:r>
      </w:hyperlink>
      <w:hyperlink r:id="rId92">
        <w:r>
          <w:rPr>
            <w:sz w:val="13"/>
          </w:rPr>
          <w:t> www.monash.edu/__data/assets/pdf_file/0010/140986/ron-mccallums-lecture-2014.pdf</w:t>
        </w:r>
      </w:hyperlink>
      <w:r>
        <w:rPr>
          <w:sz w:val="13"/>
        </w:rPr>
        <w:t>&gt;.</w:t>
      </w:r>
    </w:p>
    <w:p>
      <w:pPr>
        <w:pStyle w:val="ListParagraph"/>
        <w:numPr>
          <w:ilvl w:val="0"/>
          <w:numId w:val="40"/>
        </w:numPr>
        <w:tabs>
          <w:tab w:pos="1761" w:val="left" w:leader="none"/>
          <w:tab w:pos="1762" w:val="left" w:leader="none"/>
        </w:tabs>
        <w:spacing w:line="213" w:lineRule="auto" w:before="0" w:after="0"/>
        <w:ind w:left="1761" w:right="1682" w:hanging="794"/>
        <w:jc w:val="left"/>
        <w:rPr>
          <w:sz w:val="13"/>
        </w:rPr>
      </w:pPr>
      <w:r>
        <w:rPr>
          <w:i/>
          <w:sz w:val="13"/>
        </w:rPr>
        <w:t>Convention on the </w:t>
      </w:r>
      <w:r>
        <w:rPr>
          <w:i/>
          <w:spacing w:val="2"/>
          <w:sz w:val="13"/>
        </w:rPr>
        <w:t>Rights </w:t>
      </w:r>
      <w:r>
        <w:rPr>
          <w:i/>
          <w:sz w:val="13"/>
        </w:rPr>
        <w:t>of Persons with Disabilities </w:t>
      </w:r>
      <w:r>
        <w:rPr>
          <w:sz w:val="13"/>
        </w:rPr>
        <w:t>, GA Res 61/106, UN Doc A/RES/61/106 (13 </w:t>
      </w:r>
      <w:r>
        <w:rPr>
          <w:spacing w:val="2"/>
          <w:sz w:val="13"/>
        </w:rPr>
        <w:t>December </w:t>
      </w:r>
      <w:r>
        <w:rPr>
          <w:sz w:val="13"/>
        </w:rPr>
        <w:t>2006), Annex II Optional Protocol to the Convention on the Rights of Persons with </w:t>
      </w:r>
      <w:r>
        <w:rPr>
          <w:spacing w:val="2"/>
          <w:sz w:val="13"/>
        </w:rPr>
        <w:t>Disabilities</w:t>
      </w:r>
      <w:r>
        <w:rPr>
          <w:spacing w:val="11"/>
          <w:sz w:val="13"/>
        </w:rPr>
        <w:t> </w:t>
      </w:r>
      <w:r>
        <w:rPr>
          <w:spacing w:val="2"/>
          <w:sz w:val="13"/>
        </w:rPr>
        <w:t>2006.</w:t>
      </w:r>
    </w:p>
    <w:p>
      <w:pPr>
        <w:pStyle w:val="ListParagraph"/>
        <w:numPr>
          <w:ilvl w:val="0"/>
          <w:numId w:val="40"/>
        </w:numPr>
        <w:tabs>
          <w:tab w:pos="1760" w:val="left" w:leader="none"/>
          <w:tab w:pos="1762" w:val="left" w:leader="none"/>
        </w:tabs>
        <w:spacing w:line="213" w:lineRule="auto" w:before="0" w:after="0"/>
        <w:ind w:left="1761" w:right="1204" w:hanging="794"/>
        <w:jc w:val="left"/>
        <w:rPr>
          <w:sz w:val="13"/>
        </w:rPr>
      </w:pPr>
      <w:r>
        <w:rPr>
          <w:sz w:val="13"/>
        </w:rPr>
        <w:t>The Optional Protocol was ratified by Australia on 21 August 2009 and came into force on 20 September </w:t>
      </w:r>
      <w:r>
        <w:rPr>
          <w:spacing w:val="2"/>
          <w:sz w:val="13"/>
        </w:rPr>
        <w:t>2009. </w:t>
      </w:r>
      <w:r>
        <w:rPr>
          <w:sz w:val="13"/>
        </w:rPr>
        <w:t>It has </w:t>
      </w:r>
      <w:r>
        <w:rPr>
          <w:spacing w:val="2"/>
          <w:sz w:val="13"/>
        </w:rPr>
        <w:t>been </w:t>
      </w:r>
      <w:r>
        <w:rPr>
          <w:sz w:val="13"/>
        </w:rPr>
        <w:t>ratified  by 100 countries and has 26 signatories: ‘Status of Ratification Interactive Dashboard’, </w:t>
      </w:r>
      <w:r>
        <w:rPr>
          <w:i/>
          <w:sz w:val="13"/>
        </w:rPr>
        <w:t>United Nations Human </w:t>
      </w:r>
      <w:r>
        <w:rPr>
          <w:i/>
          <w:spacing w:val="2"/>
          <w:sz w:val="13"/>
        </w:rPr>
        <w:t>Rights </w:t>
      </w:r>
      <w:r>
        <w:rPr>
          <w:i/>
          <w:sz w:val="13"/>
        </w:rPr>
        <w:t>Office of the   </w:t>
      </w:r>
      <w:r>
        <w:rPr>
          <w:i/>
          <w:sz w:val="13"/>
        </w:rPr>
        <w:t>High Commissioner </w:t>
      </w:r>
      <w:r>
        <w:rPr>
          <w:sz w:val="13"/>
        </w:rPr>
        <w:t>(Web Page) &lt;</w:t>
      </w:r>
      <w:hyperlink r:id="rId94">
        <w:r>
          <w:rPr>
            <w:sz w:val="13"/>
          </w:rPr>
          <w:t>https://indicators.ohchr.org/</w:t>
        </w:r>
      </w:hyperlink>
      <w:r>
        <w:rPr>
          <w:sz w:val="13"/>
        </w:rPr>
        <w:t>&gt;. Correct as at 13 April</w:t>
      </w:r>
      <w:r>
        <w:rPr>
          <w:spacing w:val="12"/>
          <w:sz w:val="13"/>
        </w:rPr>
        <w:t> </w:t>
      </w:r>
      <w:r>
        <w:rPr>
          <w:sz w:val="13"/>
        </w:rPr>
        <w:t>2022.</w:t>
      </w:r>
    </w:p>
    <w:p>
      <w:pPr>
        <w:pStyle w:val="ListParagraph"/>
        <w:numPr>
          <w:ilvl w:val="0"/>
          <w:numId w:val="40"/>
        </w:numPr>
        <w:tabs>
          <w:tab w:pos="1761" w:val="left" w:leader="none"/>
          <w:tab w:pos="1762" w:val="left" w:leader="none"/>
        </w:tabs>
        <w:spacing w:line="213" w:lineRule="auto" w:before="0" w:after="0"/>
        <w:ind w:left="1761" w:right="1333" w:hanging="794"/>
        <w:jc w:val="left"/>
        <w:rPr>
          <w:sz w:val="13"/>
        </w:rPr>
      </w:pP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 </w:t>
      </w:r>
      <w:r>
        <w:rPr>
          <w:spacing w:val="2"/>
          <w:sz w:val="13"/>
        </w:rPr>
        <w:t>art</w:t>
      </w:r>
      <w:r>
        <w:rPr>
          <w:sz w:val="13"/>
        </w:rPr>
        <w:t> 4(1)(a).</w:t>
      </w:r>
    </w:p>
    <w:p>
      <w:pPr>
        <w:pStyle w:val="ListParagraph"/>
        <w:numPr>
          <w:ilvl w:val="0"/>
          <w:numId w:val="40"/>
        </w:numPr>
        <w:tabs>
          <w:tab w:pos="1761" w:val="left" w:leader="none"/>
          <w:tab w:pos="1762" w:val="left" w:leader="none"/>
        </w:tabs>
        <w:spacing w:line="153" w:lineRule="exact" w:before="0" w:after="0"/>
        <w:ind w:left="1761" w:right="0" w:hanging="794"/>
        <w:jc w:val="left"/>
        <w:rPr>
          <w:sz w:val="13"/>
        </w:rPr>
      </w:pPr>
      <w:r>
        <w:rPr>
          <w:i/>
          <w:sz w:val="13"/>
        </w:rPr>
        <w:t>Kioa v West </w:t>
      </w:r>
      <w:r>
        <w:rPr>
          <w:spacing w:val="2"/>
          <w:sz w:val="13"/>
        </w:rPr>
        <w:t>(1985) </w:t>
      </w:r>
      <w:r>
        <w:rPr>
          <w:sz w:val="13"/>
        </w:rPr>
        <w:t>CLR 550, 570, (High </w:t>
      </w:r>
      <w:r>
        <w:rPr>
          <w:spacing w:val="2"/>
          <w:sz w:val="13"/>
        </w:rPr>
        <w:t>Court </w:t>
      </w:r>
      <w:r>
        <w:rPr>
          <w:sz w:val="13"/>
        </w:rPr>
        <w:t>of Australia, Gibbs CJ, Mason, </w:t>
      </w:r>
      <w:r>
        <w:rPr>
          <w:spacing w:val="2"/>
          <w:sz w:val="13"/>
        </w:rPr>
        <w:t>Wilson, </w:t>
      </w:r>
      <w:r>
        <w:rPr>
          <w:sz w:val="13"/>
        </w:rPr>
        <w:t>Brennan and Deane JJ, 18 </w:t>
      </w:r>
      <w:r>
        <w:rPr>
          <w:spacing w:val="2"/>
          <w:sz w:val="13"/>
        </w:rPr>
        <w:t>December</w:t>
      </w:r>
      <w:r>
        <w:rPr>
          <w:spacing w:val="29"/>
          <w:sz w:val="13"/>
        </w:rPr>
        <w:t> </w:t>
      </w:r>
      <w:r>
        <w:rPr>
          <w:sz w:val="13"/>
        </w:rPr>
        <w:t>1985).</w:t>
      </w:r>
    </w:p>
    <w:p>
      <w:pPr>
        <w:pStyle w:val="ListParagraph"/>
        <w:numPr>
          <w:ilvl w:val="0"/>
          <w:numId w:val="40"/>
        </w:numPr>
        <w:tabs>
          <w:tab w:pos="1760" w:val="left" w:leader="none"/>
          <w:tab w:pos="1762" w:val="left" w:leader="none"/>
        </w:tabs>
        <w:spacing w:line="213" w:lineRule="auto" w:before="0" w:after="0"/>
        <w:ind w:left="1761" w:right="1254" w:hanging="794"/>
        <w:jc w:val="both"/>
        <w:rPr>
          <w:sz w:val="13"/>
        </w:rPr>
      </w:pPr>
      <w:r>
        <w:rPr/>
        <w:pict>
          <v:shape style="position:absolute;margin-left:548.966492pt;margin-top:11.39459pt;width:12.95pt;height:14.1pt;mso-position-horizontal-relative:page;mso-position-vertical-relative:paragraph;z-index:4696" type="#_x0000_t202" filled="false" stroked="false">
            <v:textbox inset="0,0,0,0">
              <w:txbxContent>
                <w:p>
                  <w:pPr>
                    <w:spacing w:line="282" w:lineRule="exact" w:before="0"/>
                    <w:ind w:left="0" w:right="0" w:firstLine="0"/>
                    <w:jc w:val="left"/>
                    <w:rPr>
                      <w:b/>
                      <w:sz w:val="24"/>
                    </w:rPr>
                  </w:pPr>
                  <w:r>
                    <w:rPr>
                      <w:b/>
                      <w:color w:val="37617A"/>
                      <w:spacing w:val="-6"/>
                      <w:sz w:val="24"/>
                    </w:rPr>
                    <w:t>43</w:t>
                  </w:r>
                </w:p>
              </w:txbxContent>
            </v:textbox>
            <w10:wrap type="none"/>
          </v:shape>
        </w:pict>
      </w:r>
      <w:r>
        <w:rPr>
          <w:sz w:val="13"/>
        </w:rPr>
        <w:t>For a detailed analysis see Ron </w:t>
      </w:r>
      <w:r>
        <w:rPr>
          <w:spacing w:val="2"/>
          <w:sz w:val="13"/>
        </w:rPr>
        <w:t>McCallum, </w:t>
      </w:r>
      <w:r>
        <w:rPr>
          <w:i/>
          <w:sz w:val="13"/>
        </w:rPr>
        <w:t>The United Nations Convention on the </w:t>
      </w:r>
      <w:r>
        <w:rPr>
          <w:i/>
          <w:spacing w:val="2"/>
          <w:sz w:val="13"/>
        </w:rPr>
        <w:t>Rights </w:t>
      </w:r>
      <w:r>
        <w:rPr>
          <w:i/>
          <w:sz w:val="13"/>
        </w:rPr>
        <w:t>of Persons with Disabilities: An Assessment   </w:t>
      </w:r>
      <w:r>
        <w:rPr>
          <w:i/>
          <w:sz w:val="13"/>
        </w:rPr>
        <w:t>of Australia’s Level of Compliance </w:t>
      </w:r>
      <w:r>
        <w:rPr>
          <w:sz w:val="13"/>
        </w:rPr>
        <w:t>(Research </w:t>
      </w:r>
      <w:r>
        <w:rPr>
          <w:spacing w:val="2"/>
          <w:sz w:val="13"/>
        </w:rPr>
        <w:t>Report, </w:t>
      </w:r>
      <w:r>
        <w:rPr>
          <w:sz w:val="13"/>
        </w:rPr>
        <w:t>Royal </w:t>
      </w:r>
      <w:r>
        <w:rPr>
          <w:spacing w:val="2"/>
          <w:sz w:val="13"/>
        </w:rPr>
        <w:t>Commission </w:t>
      </w:r>
      <w:r>
        <w:rPr>
          <w:sz w:val="13"/>
        </w:rPr>
        <w:t>into Violence, Abuse, Neglect and </w:t>
      </w:r>
      <w:r>
        <w:rPr>
          <w:spacing w:val="2"/>
          <w:sz w:val="13"/>
        </w:rPr>
        <w:t>Exploitation </w:t>
      </w:r>
      <w:r>
        <w:rPr>
          <w:sz w:val="13"/>
        </w:rPr>
        <w:t>of People with Disability, October 2020).</w:t>
      </w:r>
    </w:p>
    <w:p>
      <w:pPr>
        <w:spacing w:after="0" w:line="213" w:lineRule="auto"/>
        <w:jc w:val="both"/>
        <w:rPr>
          <w:sz w:val="13"/>
        </w:rPr>
        <w:sectPr>
          <w:headerReference w:type="default" r:id="rId90"/>
          <w:headerReference w:type="even" r:id="rId91"/>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699" w:hanging="794"/>
        <w:jc w:val="left"/>
        <w:rPr>
          <w:sz w:val="11"/>
        </w:rPr>
      </w:pPr>
      <w:bookmarkStart w:name="_bookmark38" w:id="99"/>
      <w:bookmarkEnd w:id="99"/>
      <w:r>
        <w:rPr/>
      </w:r>
      <w:bookmarkStart w:name="_bookmark38" w:id="100"/>
      <w:bookmarkEnd w:id="100"/>
      <w:r>
        <w:rPr>
          <w:spacing w:val="-3"/>
          <w:sz w:val="20"/>
        </w:rPr>
        <w:t>A</w:t>
      </w:r>
      <w:r>
        <w:rPr>
          <w:spacing w:val="-3"/>
          <w:sz w:val="20"/>
        </w:rPr>
        <w:t>ccording</w:t>
      </w:r>
      <w:r>
        <w:rPr>
          <w:spacing w:val="-6"/>
          <w:sz w:val="20"/>
        </w:rPr>
        <w:t> </w:t>
      </w:r>
      <w:r>
        <w:rPr>
          <w:sz w:val="20"/>
        </w:rPr>
        <w:t>to</w:t>
      </w:r>
      <w:r>
        <w:rPr>
          <w:spacing w:val="-6"/>
          <w:sz w:val="20"/>
        </w:rPr>
        <w:t> </w:t>
      </w:r>
      <w:r>
        <w:rPr>
          <w:spacing w:val="-3"/>
          <w:sz w:val="20"/>
        </w:rPr>
        <w:t>Professor</w:t>
      </w:r>
      <w:r>
        <w:rPr>
          <w:spacing w:val="-6"/>
          <w:sz w:val="20"/>
        </w:rPr>
        <w:t> </w:t>
      </w:r>
      <w:r>
        <w:rPr>
          <w:sz w:val="20"/>
        </w:rPr>
        <w:t>McCallum,</w:t>
      </w:r>
      <w:r>
        <w:rPr>
          <w:spacing w:val="-6"/>
          <w:sz w:val="20"/>
        </w:rPr>
        <w:t> </w:t>
      </w:r>
      <w:r>
        <w:rPr>
          <w:spacing w:val="-3"/>
          <w:sz w:val="20"/>
        </w:rPr>
        <w:t>Australia’s</w:t>
      </w:r>
      <w:r>
        <w:rPr>
          <w:spacing w:val="-6"/>
          <w:sz w:val="20"/>
        </w:rPr>
        <w:t> </w:t>
      </w:r>
      <w:r>
        <w:rPr>
          <w:sz w:val="20"/>
        </w:rPr>
        <w:t>ratification</w:t>
      </w:r>
      <w:r>
        <w:rPr>
          <w:spacing w:val="-6"/>
          <w:sz w:val="20"/>
        </w:rPr>
        <w:t> </w:t>
      </w:r>
      <w:r>
        <w:rPr>
          <w:sz w:val="20"/>
        </w:rPr>
        <w:t>of</w:t>
      </w:r>
      <w:r>
        <w:rPr>
          <w:spacing w:val="-6"/>
          <w:sz w:val="20"/>
        </w:rPr>
        <w:t> </w:t>
      </w:r>
      <w:r>
        <w:rPr>
          <w:sz w:val="20"/>
        </w:rPr>
        <w:t>the</w:t>
      </w:r>
      <w:r>
        <w:rPr>
          <w:spacing w:val="-6"/>
          <w:sz w:val="20"/>
        </w:rPr>
        <w:t> </w:t>
      </w:r>
      <w:r>
        <w:rPr>
          <w:sz w:val="20"/>
        </w:rPr>
        <w:t>CRPD</w:t>
      </w:r>
      <w:r>
        <w:rPr>
          <w:spacing w:val="-6"/>
          <w:sz w:val="20"/>
        </w:rPr>
        <w:t> </w:t>
      </w:r>
      <w:r>
        <w:rPr>
          <w:sz w:val="20"/>
        </w:rPr>
        <w:t>has</w:t>
      </w:r>
      <w:r>
        <w:rPr>
          <w:spacing w:val="-6"/>
          <w:sz w:val="20"/>
        </w:rPr>
        <w:t> </w:t>
      </w:r>
      <w:r>
        <w:rPr>
          <w:spacing w:val="-3"/>
          <w:sz w:val="20"/>
        </w:rPr>
        <w:t>‘acted</w:t>
      </w:r>
      <w:r>
        <w:rPr>
          <w:spacing w:val="-6"/>
          <w:sz w:val="20"/>
        </w:rPr>
        <w:t> </w:t>
      </w:r>
      <w:r>
        <w:rPr>
          <w:sz w:val="20"/>
        </w:rPr>
        <w:t>as a </w:t>
      </w:r>
      <w:r>
        <w:rPr>
          <w:spacing w:val="-3"/>
          <w:sz w:val="20"/>
        </w:rPr>
        <w:t>catalyst </w:t>
      </w:r>
      <w:r>
        <w:rPr>
          <w:sz w:val="20"/>
        </w:rPr>
        <w:t>for the establishment of a national approach to fulfilling the needs and aspirations of persons with disabilities in </w:t>
      </w:r>
      <w:r>
        <w:rPr>
          <w:spacing w:val="-3"/>
          <w:sz w:val="20"/>
        </w:rPr>
        <w:t>Australia’, </w:t>
      </w:r>
      <w:r>
        <w:rPr>
          <w:sz w:val="20"/>
        </w:rPr>
        <w:t>including </w:t>
      </w:r>
      <w:r>
        <w:rPr>
          <w:spacing w:val="-3"/>
          <w:sz w:val="20"/>
        </w:rPr>
        <w:t>Australia’s </w:t>
      </w:r>
      <w:r>
        <w:rPr>
          <w:sz w:val="20"/>
        </w:rPr>
        <w:t>National Disability</w:t>
      </w:r>
      <w:r>
        <w:rPr>
          <w:spacing w:val="-6"/>
          <w:sz w:val="20"/>
        </w:rPr>
        <w:t> </w:t>
      </w:r>
      <w:r>
        <w:rPr>
          <w:sz w:val="20"/>
        </w:rPr>
        <w:t>Strategy</w:t>
      </w:r>
      <w:r>
        <w:rPr>
          <w:spacing w:val="-6"/>
          <w:sz w:val="20"/>
        </w:rPr>
        <w:t> </w:t>
      </w:r>
      <w:r>
        <w:rPr>
          <w:sz w:val="20"/>
        </w:rPr>
        <w:t>and</w:t>
      </w:r>
      <w:r>
        <w:rPr>
          <w:spacing w:val="-5"/>
          <w:sz w:val="20"/>
        </w:rPr>
        <w:t> </w:t>
      </w:r>
      <w:r>
        <w:rPr>
          <w:sz w:val="20"/>
        </w:rPr>
        <w:t>the</w:t>
      </w:r>
      <w:r>
        <w:rPr>
          <w:spacing w:val="-6"/>
          <w:sz w:val="20"/>
        </w:rPr>
        <w:t> </w:t>
      </w:r>
      <w:r>
        <w:rPr>
          <w:sz w:val="20"/>
        </w:rPr>
        <w:t>National</w:t>
      </w:r>
      <w:r>
        <w:rPr>
          <w:spacing w:val="-6"/>
          <w:sz w:val="20"/>
        </w:rPr>
        <w:t> </w:t>
      </w:r>
      <w:r>
        <w:rPr>
          <w:sz w:val="20"/>
        </w:rPr>
        <w:t>Disability</w:t>
      </w:r>
      <w:r>
        <w:rPr>
          <w:spacing w:val="-5"/>
          <w:sz w:val="20"/>
        </w:rPr>
        <w:t> </w:t>
      </w:r>
      <w:r>
        <w:rPr>
          <w:sz w:val="20"/>
        </w:rPr>
        <w:t>Insurance</w:t>
      </w:r>
      <w:r>
        <w:rPr>
          <w:spacing w:val="-6"/>
          <w:sz w:val="20"/>
        </w:rPr>
        <w:t> </w:t>
      </w:r>
      <w:r>
        <w:rPr>
          <w:sz w:val="20"/>
        </w:rPr>
        <w:t>Scheme.</w:t>
      </w:r>
      <w:r>
        <w:rPr>
          <w:position w:val="7"/>
          <w:sz w:val="11"/>
        </w:rPr>
        <w:t>15</w:t>
      </w:r>
    </w:p>
    <w:p>
      <w:pPr>
        <w:pStyle w:val="ListParagraph"/>
        <w:numPr>
          <w:ilvl w:val="1"/>
          <w:numId w:val="12"/>
        </w:numPr>
        <w:tabs>
          <w:tab w:pos="1761" w:val="left" w:leader="none"/>
          <w:tab w:pos="1762" w:val="left" w:leader="none"/>
        </w:tabs>
        <w:spacing w:line="206" w:lineRule="auto" w:before="125" w:after="0"/>
        <w:ind w:left="1761" w:right="1566" w:hanging="794"/>
        <w:jc w:val="left"/>
        <w:rPr>
          <w:sz w:val="11"/>
        </w:rPr>
      </w:pPr>
      <w:r>
        <w:rPr>
          <w:sz w:val="20"/>
        </w:rPr>
        <w:t>Although it is Australia that is party to the </w:t>
      </w:r>
      <w:r>
        <w:rPr>
          <w:spacing w:val="-3"/>
          <w:sz w:val="20"/>
        </w:rPr>
        <w:t>CRPD, </w:t>
      </w:r>
      <w:r>
        <w:rPr>
          <w:sz w:val="20"/>
        </w:rPr>
        <w:t>the Victorian </w:t>
      </w:r>
      <w:r>
        <w:rPr>
          <w:spacing w:val="-2"/>
          <w:sz w:val="20"/>
        </w:rPr>
        <w:t>Government </w:t>
      </w:r>
      <w:r>
        <w:rPr>
          <w:sz w:val="20"/>
        </w:rPr>
        <w:t>has committed</w:t>
      </w:r>
      <w:r>
        <w:rPr>
          <w:spacing w:val="-8"/>
          <w:sz w:val="20"/>
        </w:rPr>
        <w:t> </w:t>
      </w:r>
      <w:r>
        <w:rPr>
          <w:sz w:val="20"/>
        </w:rPr>
        <w:t>to</w:t>
      </w:r>
      <w:r>
        <w:rPr>
          <w:spacing w:val="-8"/>
          <w:sz w:val="20"/>
        </w:rPr>
        <w:t> </w:t>
      </w:r>
      <w:r>
        <w:rPr>
          <w:spacing w:val="-3"/>
          <w:sz w:val="20"/>
        </w:rPr>
        <w:t>comply</w:t>
      </w:r>
      <w:r>
        <w:rPr>
          <w:spacing w:val="-8"/>
          <w:sz w:val="20"/>
        </w:rPr>
        <w:t> </w:t>
      </w:r>
      <w:r>
        <w:rPr>
          <w:sz w:val="20"/>
        </w:rPr>
        <w:t>with</w:t>
      </w:r>
      <w:r>
        <w:rPr>
          <w:spacing w:val="-8"/>
          <w:sz w:val="20"/>
        </w:rPr>
        <w:t> </w:t>
      </w:r>
      <w:r>
        <w:rPr>
          <w:sz w:val="20"/>
        </w:rPr>
        <w:t>the</w:t>
      </w:r>
      <w:r>
        <w:rPr>
          <w:spacing w:val="-7"/>
          <w:sz w:val="20"/>
        </w:rPr>
        <w:t> </w:t>
      </w:r>
      <w:r>
        <w:rPr>
          <w:sz w:val="20"/>
        </w:rPr>
        <w:t>CRPD</w:t>
      </w:r>
      <w:r>
        <w:rPr>
          <w:spacing w:val="-8"/>
          <w:sz w:val="20"/>
        </w:rPr>
        <w:t> </w:t>
      </w:r>
      <w:r>
        <w:rPr>
          <w:sz w:val="20"/>
        </w:rPr>
        <w:t>in</w:t>
      </w:r>
      <w:r>
        <w:rPr>
          <w:spacing w:val="-8"/>
          <w:sz w:val="20"/>
        </w:rPr>
        <w:t> </w:t>
      </w:r>
      <w:r>
        <w:rPr>
          <w:sz w:val="20"/>
        </w:rPr>
        <w:t>its</w:t>
      </w:r>
      <w:r>
        <w:rPr>
          <w:spacing w:val="-8"/>
          <w:sz w:val="20"/>
        </w:rPr>
        <w:t> </w:t>
      </w:r>
      <w:r>
        <w:rPr>
          <w:sz w:val="20"/>
        </w:rPr>
        <w:t>new</w:t>
      </w:r>
      <w:r>
        <w:rPr>
          <w:spacing w:val="-8"/>
          <w:sz w:val="20"/>
        </w:rPr>
        <w:t> </w:t>
      </w:r>
      <w:r>
        <w:rPr>
          <w:i/>
          <w:spacing w:val="-2"/>
          <w:sz w:val="20"/>
        </w:rPr>
        <w:t>Inclusive</w:t>
      </w:r>
      <w:r>
        <w:rPr>
          <w:i/>
          <w:spacing w:val="-7"/>
          <w:sz w:val="20"/>
        </w:rPr>
        <w:t> </w:t>
      </w:r>
      <w:r>
        <w:rPr>
          <w:i/>
          <w:spacing w:val="-3"/>
          <w:sz w:val="20"/>
        </w:rPr>
        <w:t>Victoria:</w:t>
      </w:r>
      <w:r>
        <w:rPr>
          <w:i/>
          <w:spacing w:val="-8"/>
          <w:sz w:val="20"/>
        </w:rPr>
        <w:t> </w:t>
      </w:r>
      <w:r>
        <w:rPr>
          <w:i/>
          <w:spacing w:val="-4"/>
          <w:sz w:val="20"/>
        </w:rPr>
        <w:t>State</w:t>
      </w:r>
      <w:r>
        <w:rPr>
          <w:i/>
          <w:spacing w:val="-8"/>
          <w:sz w:val="20"/>
        </w:rPr>
        <w:t> </w:t>
      </w:r>
      <w:r>
        <w:rPr>
          <w:i/>
          <w:sz w:val="20"/>
        </w:rPr>
        <w:t>Disability</w:t>
      </w:r>
      <w:r>
        <w:rPr>
          <w:i/>
          <w:spacing w:val="-7"/>
          <w:sz w:val="20"/>
        </w:rPr>
        <w:t> </w:t>
      </w:r>
      <w:r>
        <w:rPr>
          <w:i/>
          <w:sz w:val="20"/>
        </w:rPr>
        <w:t>Plan </w:t>
      </w:r>
      <w:r>
        <w:rPr>
          <w:i/>
          <w:spacing w:val="-3"/>
          <w:sz w:val="20"/>
        </w:rPr>
        <w:t>2022–2026 </w:t>
      </w:r>
      <w:r>
        <w:rPr>
          <w:sz w:val="20"/>
        </w:rPr>
        <w:t>(see </w:t>
      </w:r>
      <w:r>
        <w:rPr>
          <w:spacing w:val="-2"/>
          <w:sz w:val="20"/>
        </w:rPr>
        <w:t>Chapter</w:t>
      </w:r>
      <w:r>
        <w:rPr>
          <w:spacing w:val="-8"/>
          <w:sz w:val="20"/>
        </w:rPr>
        <w:t> </w:t>
      </w:r>
      <w:r>
        <w:rPr>
          <w:spacing w:val="-3"/>
          <w:sz w:val="20"/>
        </w:rPr>
        <w:t>7).</w:t>
      </w:r>
      <w:r>
        <w:rPr>
          <w:spacing w:val="-3"/>
          <w:position w:val="7"/>
          <w:sz w:val="11"/>
        </w:rPr>
        <w:t>16</w:t>
      </w:r>
    </w:p>
    <w:p>
      <w:pPr>
        <w:spacing w:before="162"/>
        <w:ind w:left="967" w:right="0" w:firstLine="0"/>
        <w:jc w:val="left"/>
        <w:rPr>
          <w:b/>
          <w:sz w:val="24"/>
        </w:rPr>
      </w:pPr>
      <w:r>
        <w:rPr>
          <w:b/>
          <w:sz w:val="24"/>
        </w:rPr>
        <w:t>CRPD rights relevant to inclusive juries</w:t>
      </w:r>
    </w:p>
    <w:p>
      <w:pPr>
        <w:pStyle w:val="ListParagraph"/>
        <w:numPr>
          <w:ilvl w:val="1"/>
          <w:numId w:val="12"/>
        </w:numPr>
        <w:tabs>
          <w:tab w:pos="1761" w:val="left" w:leader="none"/>
          <w:tab w:pos="1762" w:val="left" w:leader="none"/>
        </w:tabs>
        <w:spacing w:line="240" w:lineRule="auto" w:before="95" w:after="0"/>
        <w:ind w:left="1761" w:right="0" w:hanging="794"/>
        <w:jc w:val="left"/>
        <w:rPr>
          <w:sz w:val="11"/>
        </w:rPr>
      </w:pPr>
      <w:r>
        <w:rPr>
          <w:sz w:val="20"/>
        </w:rPr>
        <w:t>The</w:t>
      </w:r>
      <w:r>
        <w:rPr>
          <w:spacing w:val="-7"/>
          <w:sz w:val="20"/>
        </w:rPr>
        <w:t> </w:t>
      </w:r>
      <w:r>
        <w:rPr>
          <w:sz w:val="20"/>
        </w:rPr>
        <w:t>Convention</w:t>
      </w:r>
      <w:r>
        <w:rPr>
          <w:spacing w:val="-6"/>
          <w:sz w:val="20"/>
        </w:rPr>
        <w:t> </w:t>
      </w:r>
      <w:r>
        <w:rPr>
          <w:sz w:val="20"/>
        </w:rPr>
        <w:t>Committee</w:t>
      </w:r>
      <w:r>
        <w:rPr>
          <w:spacing w:val="-6"/>
          <w:sz w:val="20"/>
        </w:rPr>
        <w:t> </w:t>
      </w:r>
      <w:r>
        <w:rPr>
          <w:sz w:val="20"/>
        </w:rPr>
        <w:t>has</w:t>
      </w:r>
      <w:r>
        <w:rPr>
          <w:spacing w:val="-6"/>
          <w:sz w:val="20"/>
        </w:rPr>
        <w:t> </w:t>
      </w:r>
      <w:r>
        <w:rPr>
          <w:sz w:val="20"/>
        </w:rPr>
        <w:t>identified</w:t>
      </w:r>
      <w:r>
        <w:rPr>
          <w:spacing w:val="-6"/>
          <w:sz w:val="20"/>
        </w:rPr>
        <w:t> </w:t>
      </w:r>
      <w:r>
        <w:rPr>
          <w:sz w:val="20"/>
        </w:rPr>
        <w:t>CRPD</w:t>
      </w:r>
      <w:r>
        <w:rPr>
          <w:spacing w:val="-6"/>
          <w:sz w:val="20"/>
        </w:rPr>
        <w:t> </w:t>
      </w:r>
      <w:r>
        <w:rPr>
          <w:sz w:val="20"/>
        </w:rPr>
        <w:t>rights</w:t>
      </w:r>
      <w:r>
        <w:rPr>
          <w:spacing w:val="-6"/>
          <w:sz w:val="20"/>
        </w:rPr>
        <w:t> </w:t>
      </w:r>
      <w:r>
        <w:rPr>
          <w:sz w:val="20"/>
        </w:rPr>
        <w:t>that</w:t>
      </w:r>
      <w:r>
        <w:rPr>
          <w:spacing w:val="-6"/>
          <w:sz w:val="20"/>
        </w:rPr>
        <w:t> </w:t>
      </w:r>
      <w:r>
        <w:rPr>
          <w:spacing w:val="-3"/>
          <w:sz w:val="20"/>
        </w:rPr>
        <w:t>are</w:t>
      </w:r>
      <w:r>
        <w:rPr>
          <w:spacing w:val="-6"/>
          <w:sz w:val="20"/>
        </w:rPr>
        <w:t> </w:t>
      </w:r>
      <w:r>
        <w:rPr>
          <w:spacing w:val="-3"/>
          <w:sz w:val="20"/>
        </w:rPr>
        <w:t>relevant</w:t>
      </w:r>
      <w:r>
        <w:rPr>
          <w:spacing w:val="-6"/>
          <w:sz w:val="20"/>
        </w:rPr>
        <w:t> </w:t>
      </w:r>
      <w:r>
        <w:rPr>
          <w:sz w:val="20"/>
        </w:rPr>
        <w:t>to</w:t>
      </w:r>
      <w:r>
        <w:rPr>
          <w:spacing w:val="-6"/>
          <w:sz w:val="20"/>
        </w:rPr>
        <w:t> </w:t>
      </w:r>
      <w:r>
        <w:rPr>
          <w:sz w:val="20"/>
        </w:rPr>
        <w:t>jury</w:t>
      </w:r>
      <w:r>
        <w:rPr>
          <w:spacing w:val="-6"/>
          <w:sz w:val="20"/>
        </w:rPr>
        <w:t> </w:t>
      </w:r>
      <w:r>
        <w:rPr>
          <w:sz w:val="20"/>
        </w:rPr>
        <w:t>duty:</w:t>
      </w:r>
      <w:r>
        <w:rPr>
          <w:position w:val="7"/>
          <w:sz w:val="11"/>
        </w:rPr>
        <w:t>17</w:t>
      </w:r>
    </w:p>
    <w:p>
      <w:pPr>
        <w:pStyle w:val="Heading8"/>
        <w:numPr>
          <w:ilvl w:val="2"/>
          <w:numId w:val="12"/>
        </w:numPr>
        <w:tabs>
          <w:tab w:pos="2157" w:val="left" w:leader="none"/>
          <w:tab w:pos="2158" w:val="left" w:leader="none"/>
        </w:tabs>
        <w:spacing w:line="259" w:lineRule="exact" w:before="82" w:after="0"/>
        <w:ind w:left="2157" w:right="0" w:hanging="396"/>
        <w:jc w:val="left"/>
      </w:pPr>
      <w:r>
        <w:rPr/>
        <w:t>Equality and non-discrimination (article</w:t>
      </w:r>
      <w:r>
        <w:rPr>
          <w:spacing w:val="-19"/>
        </w:rPr>
        <w:t> </w:t>
      </w:r>
      <w:r>
        <w:rPr/>
        <w:t>5)</w:t>
      </w:r>
    </w:p>
    <w:p>
      <w:pPr>
        <w:pStyle w:val="BodyText"/>
        <w:spacing w:line="206" w:lineRule="auto" w:before="14"/>
        <w:ind w:left="2157" w:right="1419"/>
        <w:rPr>
          <w:sz w:val="11"/>
        </w:rPr>
      </w:pPr>
      <w:r>
        <w:rPr>
          <w:spacing w:val="-3"/>
        </w:rPr>
        <w:t>States </w:t>
      </w:r>
      <w:r>
        <w:rPr/>
        <w:t>Parties to the CRPD must prohibit discrimination on the basis of disability and guarantee equal and effective legal protection against indirect and direct discrimination on all grounds to persons with disabilities. The Convention Committee’s view is that Australia must take all </w:t>
      </w:r>
      <w:r>
        <w:rPr>
          <w:spacing w:val="-3"/>
        </w:rPr>
        <w:t>appropriate </w:t>
      </w:r>
      <w:r>
        <w:rPr/>
        <w:t>steps to ensure reasonable accommodations </w:t>
      </w:r>
      <w:r>
        <w:rPr>
          <w:spacing w:val="-3"/>
        </w:rPr>
        <w:t>are provided </w:t>
      </w:r>
      <w:r>
        <w:rPr/>
        <w:t>to persons with disabilities, including undertaking</w:t>
      </w:r>
      <w:r>
        <w:rPr>
          <w:spacing w:val="-15"/>
        </w:rPr>
        <w:t> </w:t>
      </w:r>
      <w:r>
        <w:rPr/>
        <w:t>a</w:t>
      </w:r>
      <w:r>
        <w:rPr>
          <w:spacing w:val="-15"/>
        </w:rPr>
        <w:t> </w:t>
      </w:r>
      <w:r>
        <w:rPr/>
        <w:t>‘thorough</w:t>
      </w:r>
      <w:r>
        <w:rPr>
          <w:spacing w:val="-15"/>
        </w:rPr>
        <w:t> </w:t>
      </w:r>
      <w:r>
        <w:rPr/>
        <w:t>and</w:t>
      </w:r>
      <w:r>
        <w:rPr>
          <w:spacing w:val="-15"/>
        </w:rPr>
        <w:t> </w:t>
      </w:r>
      <w:r>
        <w:rPr/>
        <w:t>objective’</w:t>
      </w:r>
      <w:r>
        <w:rPr>
          <w:spacing w:val="-15"/>
        </w:rPr>
        <w:t> </w:t>
      </w:r>
      <w:r>
        <w:rPr/>
        <w:t>assessment</w:t>
      </w:r>
      <w:r>
        <w:rPr>
          <w:spacing w:val="-15"/>
        </w:rPr>
        <w:t> </w:t>
      </w:r>
      <w:r>
        <w:rPr/>
        <w:t>of</w:t>
      </w:r>
      <w:r>
        <w:rPr>
          <w:spacing w:val="-15"/>
        </w:rPr>
        <w:t> </w:t>
      </w:r>
      <w:r>
        <w:rPr/>
        <w:t>whether</w:t>
      </w:r>
      <w:r>
        <w:rPr>
          <w:spacing w:val="-15"/>
        </w:rPr>
        <w:t> </w:t>
      </w:r>
      <w:r>
        <w:rPr/>
        <w:t>accommodations </w:t>
      </w:r>
      <w:r>
        <w:rPr>
          <w:spacing w:val="-3"/>
        </w:rPr>
        <w:t>are</w:t>
      </w:r>
      <w:r>
        <w:rPr>
          <w:spacing w:val="-5"/>
        </w:rPr>
        <w:t> </w:t>
      </w:r>
      <w:r>
        <w:rPr/>
        <w:t>reasonable.</w:t>
      </w:r>
      <w:r>
        <w:rPr>
          <w:position w:val="7"/>
          <w:sz w:val="11"/>
        </w:rPr>
        <w:t>18</w:t>
      </w:r>
    </w:p>
    <w:p>
      <w:pPr>
        <w:pStyle w:val="Heading8"/>
        <w:numPr>
          <w:ilvl w:val="2"/>
          <w:numId w:val="12"/>
        </w:numPr>
        <w:tabs>
          <w:tab w:pos="2157" w:val="left" w:leader="none"/>
          <w:tab w:pos="2158" w:val="left" w:leader="none"/>
        </w:tabs>
        <w:spacing w:line="259" w:lineRule="exact" w:before="62" w:after="0"/>
        <w:ind w:left="2157" w:right="0" w:hanging="396"/>
        <w:jc w:val="left"/>
      </w:pPr>
      <w:r>
        <w:rPr/>
        <w:t>Accessibility (article</w:t>
      </w:r>
      <w:r>
        <w:rPr>
          <w:spacing w:val="-9"/>
        </w:rPr>
        <w:t> </w:t>
      </w:r>
      <w:r>
        <w:rPr/>
        <w:t>9)</w:t>
      </w:r>
    </w:p>
    <w:p>
      <w:pPr>
        <w:pStyle w:val="BodyText"/>
        <w:spacing w:line="206" w:lineRule="auto" w:before="13"/>
        <w:ind w:left="2157" w:right="1277"/>
      </w:pPr>
      <w:r>
        <w:rPr>
          <w:spacing w:val="-3"/>
        </w:rPr>
        <w:t>States </w:t>
      </w:r>
      <w:r>
        <w:rPr/>
        <w:t>Parties must take </w:t>
      </w:r>
      <w:r>
        <w:rPr>
          <w:spacing w:val="-3"/>
        </w:rPr>
        <w:t>appropriate </w:t>
      </w:r>
      <w:r>
        <w:rPr/>
        <w:t>measures to </w:t>
      </w:r>
      <w:r>
        <w:rPr>
          <w:spacing w:val="-3"/>
        </w:rPr>
        <w:t>‘enable </w:t>
      </w:r>
      <w:r>
        <w:rPr/>
        <w:t>persons with disabilities to live independently and participate </w:t>
      </w:r>
      <w:r>
        <w:rPr>
          <w:spacing w:val="-3"/>
        </w:rPr>
        <w:t>fully </w:t>
      </w:r>
      <w:r>
        <w:rPr/>
        <w:t>in all aspects of </w:t>
      </w:r>
      <w:r>
        <w:rPr>
          <w:spacing w:val="-4"/>
        </w:rPr>
        <w:t>life’.</w:t>
      </w:r>
      <w:r>
        <w:rPr>
          <w:spacing w:val="-4"/>
          <w:position w:val="7"/>
          <w:sz w:val="11"/>
        </w:rPr>
        <w:t>19 </w:t>
      </w:r>
      <w:r>
        <w:rPr/>
        <w:t>The Convention Committee </w:t>
      </w:r>
      <w:r>
        <w:rPr>
          <w:spacing w:val="-3"/>
        </w:rPr>
        <w:t>views </w:t>
      </w:r>
      <w:r>
        <w:rPr/>
        <w:t>performance of jury duty as </w:t>
      </w:r>
      <w:r>
        <w:rPr>
          <w:spacing w:val="-3"/>
        </w:rPr>
        <w:t>‘an </w:t>
      </w:r>
      <w:r>
        <w:rPr/>
        <w:t>important aspect of civic</w:t>
      </w:r>
    </w:p>
    <w:p>
      <w:pPr>
        <w:pStyle w:val="BodyText"/>
        <w:spacing w:line="206" w:lineRule="auto" w:before="4"/>
        <w:ind w:left="2158" w:right="1335"/>
        <w:rPr>
          <w:sz w:val="11"/>
        </w:rPr>
      </w:pPr>
      <w:r>
        <w:rPr/>
        <w:t>life</w:t>
      </w:r>
      <w:r>
        <w:rPr>
          <w:spacing w:val="-11"/>
        </w:rPr>
        <w:t> </w:t>
      </w:r>
      <w:r>
        <w:rPr/>
        <w:t>within</w:t>
      </w:r>
      <w:r>
        <w:rPr>
          <w:spacing w:val="-10"/>
        </w:rPr>
        <w:t> </w:t>
      </w:r>
      <w:r>
        <w:rPr/>
        <w:t>the</w:t>
      </w:r>
      <w:r>
        <w:rPr>
          <w:spacing w:val="-11"/>
        </w:rPr>
        <w:t> </w:t>
      </w:r>
      <w:r>
        <w:rPr/>
        <w:t>meaning</w:t>
      </w:r>
      <w:r>
        <w:rPr>
          <w:spacing w:val="-10"/>
        </w:rPr>
        <w:t> </w:t>
      </w:r>
      <w:r>
        <w:rPr/>
        <w:t>of</w:t>
      </w:r>
      <w:r>
        <w:rPr>
          <w:spacing w:val="-11"/>
        </w:rPr>
        <w:t> </w:t>
      </w:r>
      <w:r>
        <w:rPr/>
        <w:t>Article</w:t>
      </w:r>
      <w:r>
        <w:rPr>
          <w:spacing w:val="-10"/>
        </w:rPr>
        <w:t> </w:t>
      </w:r>
      <w:r>
        <w:rPr/>
        <w:t>9(1),</w:t>
      </w:r>
      <w:r>
        <w:rPr>
          <w:spacing w:val="-10"/>
        </w:rPr>
        <w:t> </w:t>
      </w:r>
      <w:r>
        <w:rPr/>
        <w:t>as</w:t>
      </w:r>
      <w:r>
        <w:rPr>
          <w:spacing w:val="-11"/>
        </w:rPr>
        <w:t> </w:t>
      </w:r>
      <w:r>
        <w:rPr/>
        <w:t>it</w:t>
      </w:r>
      <w:r>
        <w:rPr>
          <w:spacing w:val="-10"/>
        </w:rPr>
        <w:t> </w:t>
      </w:r>
      <w:r>
        <w:rPr/>
        <w:t>constitutes</w:t>
      </w:r>
      <w:r>
        <w:rPr>
          <w:spacing w:val="-11"/>
        </w:rPr>
        <w:t> </w:t>
      </w:r>
      <w:r>
        <w:rPr/>
        <w:t>a</w:t>
      </w:r>
      <w:r>
        <w:rPr>
          <w:spacing w:val="-10"/>
        </w:rPr>
        <w:t> </w:t>
      </w:r>
      <w:r>
        <w:rPr/>
        <w:t>manifestation</w:t>
      </w:r>
      <w:r>
        <w:rPr>
          <w:spacing w:val="-11"/>
        </w:rPr>
        <w:t> </w:t>
      </w:r>
      <w:r>
        <w:rPr/>
        <w:t>of</w:t>
      </w:r>
      <w:r>
        <w:rPr>
          <w:spacing w:val="-10"/>
        </w:rPr>
        <w:t> </w:t>
      </w:r>
      <w:r>
        <w:rPr>
          <w:spacing w:val="-3"/>
        </w:rPr>
        <w:t>active citizenship’.</w:t>
      </w:r>
      <w:r>
        <w:rPr>
          <w:spacing w:val="-3"/>
          <w:position w:val="7"/>
          <w:sz w:val="11"/>
        </w:rPr>
        <w:t>20</w:t>
      </w:r>
    </w:p>
    <w:p>
      <w:pPr>
        <w:pStyle w:val="Heading8"/>
        <w:numPr>
          <w:ilvl w:val="2"/>
          <w:numId w:val="12"/>
        </w:numPr>
        <w:tabs>
          <w:tab w:pos="2157" w:val="left" w:leader="none"/>
          <w:tab w:pos="2158" w:val="left" w:leader="none"/>
        </w:tabs>
        <w:spacing w:line="259" w:lineRule="exact" w:before="55" w:after="0"/>
        <w:ind w:left="2157" w:right="0" w:hanging="396"/>
        <w:jc w:val="left"/>
      </w:pPr>
      <w:r>
        <w:rPr/>
        <w:t>Effective</w:t>
      </w:r>
      <w:r>
        <w:rPr>
          <w:spacing w:val="-7"/>
        </w:rPr>
        <w:t> </w:t>
      </w:r>
      <w:r>
        <w:rPr/>
        <w:t>access</w:t>
      </w:r>
      <w:r>
        <w:rPr>
          <w:spacing w:val="-7"/>
        </w:rPr>
        <w:t> </w:t>
      </w:r>
      <w:r>
        <w:rPr/>
        <w:t>to</w:t>
      </w:r>
      <w:r>
        <w:rPr>
          <w:spacing w:val="-7"/>
        </w:rPr>
        <w:t> </w:t>
      </w:r>
      <w:r>
        <w:rPr/>
        <w:t>justice,</w:t>
      </w:r>
      <w:r>
        <w:rPr>
          <w:spacing w:val="-6"/>
        </w:rPr>
        <w:t> </w:t>
      </w:r>
      <w:r>
        <w:rPr/>
        <w:t>including</w:t>
      </w:r>
      <w:r>
        <w:rPr>
          <w:spacing w:val="-7"/>
        </w:rPr>
        <w:t> </w:t>
      </w:r>
      <w:r>
        <w:rPr/>
        <w:t>in</w:t>
      </w:r>
      <w:r>
        <w:rPr>
          <w:spacing w:val="-7"/>
        </w:rPr>
        <w:t> </w:t>
      </w:r>
      <w:r>
        <w:rPr/>
        <w:t>relation</w:t>
      </w:r>
      <w:r>
        <w:rPr>
          <w:spacing w:val="-6"/>
        </w:rPr>
        <w:t> </w:t>
      </w:r>
      <w:r>
        <w:rPr/>
        <w:t>to</w:t>
      </w:r>
      <w:r>
        <w:rPr>
          <w:spacing w:val="-7"/>
        </w:rPr>
        <w:t> </w:t>
      </w:r>
      <w:r>
        <w:rPr/>
        <w:t>the</w:t>
      </w:r>
      <w:r>
        <w:rPr>
          <w:spacing w:val="-7"/>
        </w:rPr>
        <w:t> </w:t>
      </w:r>
      <w:r>
        <w:rPr/>
        <w:t>provision</w:t>
      </w:r>
      <w:r>
        <w:rPr>
          <w:spacing w:val="-6"/>
        </w:rPr>
        <w:t> </w:t>
      </w:r>
      <w:r>
        <w:rPr/>
        <w:t>of</w:t>
      </w:r>
      <w:r>
        <w:rPr>
          <w:spacing w:val="-7"/>
        </w:rPr>
        <w:t> </w:t>
      </w:r>
      <w:r>
        <w:rPr/>
        <w:t>procedural</w:t>
      </w:r>
    </w:p>
    <w:p>
      <w:pPr>
        <w:pStyle w:val="Heading8"/>
        <w:spacing w:line="240" w:lineRule="exact"/>
      </w:pPr>
      <w:r>
        <w:rPr/>
        <w:t>accommodations (article 13)</w:t>
      </w:r>
    </w:p>
    <w:p>
      <w:pPr>
        <w:pStyle w:val="BodyText"/>
        <w:spacing w:line="206" w:lineRule="auto" w:before="14"/>
        <w:ind w:left="2157" w:right="1444"/>
        <w:rPr>
          <w:sz w:val="11"/>
        </w:rPr>
      </w:pPr>
      <w:r>
        <w:rPr/>
        <w:t>The Convention Committee </w:t>
      </w:r>
      <w:r>
        <w:rPr>
          <w:spacing w:val="-3"/>
        </w:rPr>
        <w:t>views </w:t>
      </w:r>
      <w:r>
        <w:rPr/>
        <w:t>performance of jury duty as an integral part of</w:t>
      </w:r>
      <w:r>
        <w:rPr>
          <w:spacing w:val="-15"/>
        </w:rPr>
        <w:t> </w:t>
      </w:r>
      <w:r>
        <w:rPr/>
        <w:t>the</w:t>
      </w:r>
      <w:r>
        <w:rPr>
          <w:spacing w:val="-14"/>
        </w:rPr>
        <w:t> </w:t>
      </w:r>
      <w:r>
        <w:rPr/>
        <w:t>Australian</w:t>
      </w:r>
      <w:r>
        <w:rPr>
          <w:spacing w:val="-14"/>
        </w:rPr>
        <w:t> </w:t>
      </w:r>
      <w:r>
        <w:rPr/>
        <w:t>judicial</w:t>
      </w:r>
      <w:r>
        <w:rPr>
          <w:spacing w:val="-14"/>
        </w:rPr>
        <w:t> </w:t>
      </w:r>
      <w:r>
        <w:rPr/>
        <w:t>system,</w:t>
      </w:r>
      <w:r>
        <w:rPr>
          <w:spacing w:val="-15"/>
        </w:rPr>
        <w:t> </w:t>
      </w:r>
      <w:r>
        <w:rPr/>
        <w:t>and</w:t>
      </w:r>
      <w:r>
        <w:rPr>
          <w:spacing w:val="-14"/>
        </w:rPr>
        <w:t> </w:t>
      </w:r>
      <w:r>
        <w:rPr/>
        <w:t>as</w:t>
      </w:r>
      <w:r>
        <w:rPr>
          <w:spacing w:val="-14"/>
        </w:rPr>
        <w:t> </w:t>
      </w:r>
      <w:r>
        <w:rPr/>
        <w:t>such,</w:t>
      </w:r>
      <w:r>
        <w:rPr>
          <w:spacing w:val="-14"/>
        </w:rPr>
        <w:t> </w:t>
      </w:r>
      <w:r>
        <w:rPr/>
        <w:t>it</w:t>
      </w:r>
      <w:r>
        <w:rPr>
          <w:spacing w:val="-15"/>
        </w:rPr>
        <w:t> </w:t>
      </w:r>
      <w:r>
        <w:rPr/>
        <w:t>constitutes</w:t>
      </w:r>
      <w:r>
        <w:rPr>
          <w:spacing w:val="-14"/>
        </w:rPr>
        <w:t> </w:t>
      </w:r>
      <w:r>
        <w:rPr/>
        <w:t>‘participation’</w:t>
      </w:r>
      <w:r>
        <w:rPr>
          <w:spacing w:val="-14"/>
        </w:rPr>
        <w:t> </w:t>
      </w:r>
      <w:r>
        <w:rPr/>
        <w:t>in</w:t>
      </w:r>
      <w:r>
        <w:rPr>
          <w:spacing w:val="-14"/>
        </w:rPr>
        <w:t> </w:t>
      </w:r>
      <w:r>
        <w:rPr/>
        <w:t>legal proceedings.</w:t>
      </w:r>
      <w:r>
        <w:rPr>
          <w:position w:val="7"/>
          <w:sz w:val="11"/>
        </w:rPr>
        <w:t>21</w:t>
      </w:r>
    </w:p>
    <w:p>
      <w:pPr>
        <w:pStyle w:val="ListParagraph"/>
        <w:numPr>
          <w:ilvl w:val="2"/>
          <w:numId w:val="12"/>
        </w:numPr>
        <w:tabs>
          <w:tab w:pos="2157" w:val="left" w:leader="none"/>
          <w:tab w:pos="2158" w:val="left" w:leader="none"/>
        </w:tabs>
        <w:spacing w:line="206" w:lineRule="auto" w:before="88" w:after="0"/>
        <w:ind w:left="2157" w:right="1579" w:hanging="396"/>
        <w:jc w:val="left"/>
        <w:rPr>
          <w:sz w:val="11"/>
        </w:rPr>
      </w:pPr>
      <w:r>
        <w:rPr>
          <w:b/>
          <w:sz w:val="20"/>
        </w:rPr>
        <w:t>Freedom of expression and opinion, and access to information (article 21) </w:t>
      </w:r>
      <w:r>
        <w:rPr>
          <w:sz w:val="20"/>
        </w:rPr>
        <w:t>The Convention Committee considers that </w:t>
      </w:r>
      <w:r>
        <w:rPr>
          <w:spacing w:val="-4"/>
          <w:sz w:val="20"/>
        </w:rPr>
        <w:t>‘a </w:t>
      </w:r>
      <w:r>
        <w:rPr>
          <w:sz w:val="20"/>
        </w:rPr>
        <w:t>juror is a person holding a public responsibility</w:t>
      </w:r>
      <w:r>
        <w:rPr>
          <w:spacing w:val="-16"/>
          <w:sz w:val="20"/>
        </w:rPr>
        <w:t> </w:t>
      </w:r>
      <w:r>
        <w:rPr>
          <w:sz w:val="20"/>
        </w:rPr>
        <w:t>in</w:t>
      </w:r>
      <w:r>
        <w:rPr>
          <w:spacing w:val="-16"/>
          <w:sz w:val="20"/>
        </w:rPr>
        <w:t> </w:t>
      </w:r>
      <w:r>
        <w:rPr>
          <w:sz w:val="20"/>
        </w:rPr>
        <w:t>the</w:t>
      </w:r>
      <w:r>
        <w:rPr>
          <w:spacing w:val="-16"/>
          <w:sz w:val="20"/>
        </w:rPr>
        <w:t> </w:t>
      </w:r>
      <w:r>
        <w:rPr>
          <w:sz w:val="20"/>
        </w:rPr>
        <w:t>administration</w:t>
      </w:r>
      <w:r>
        <w:rPr>
          <w:spacing w:val="-16"/>
          <w:sz w:val="20"/>
        </w:rPr>
        <w:t> </w:t>
      </w:r>
      <w:r>
        <w:rPr>
          <w:sz w:val="20"/>
        </w:rPr>
        <w:t>of</w:t>
      </w:r>
      <w:r>
        <w:rPr>
          <w:spacing w:val="-16"/>
          <w:sz w:val="20"/>
        </w:rPr>
        <w:t> </w:t>
      </w:r>
      <w:r>
        <w:rPr>
          <w:sz w:val="20"/>
        </w:rPr>
        <w:t>justice</w:t>
      </w:r>
      <w:r>
        <w:rPr>
          <w:spacing w:val="-16"/>
          <w:sz w:val="20"/>
        </w:rPr>
        <w:t> </w:t>
      </w:r>
      <w:r>
        <w:rPr>
          <w:sz w:val="20"/>
        </w:rPr>
        <w:t>in</w:t>
      </w:r>
      <w:r>
        <w:rPr>
          <w:spacing w:val="-15"/>
          <w:sz w:val="20"/>
        </w:rPr>
        <w:t> </w:t>
      </w:r>
      <w:r>
        <w:rPr>
          <w:sz w:val="20"/>
        </w:rPr>
        <w:t>interaction</w:t>
      </w:r>
      <w:r>
        <w:rPr>
          <w:spacing w:val="-16"/>
          <w:sz w:val="20"/>
        </w:rPr>
        <w:t> </w:t>
      </w:r>
      <w:r>
        <w:rPr>
          <w:sz w:val="20"/>
        </w:rPr>
        <w:t>with</w:t>
      </w:r>
      <w:r>
        <w:rPr>
          <w:spacing w:val="-16"/>
          <w:sz w:val="20"/>
        </w:rPr>
        <w:t> </w:t>
      </w:r>
      <w:r>
        <w:rPr>
          <w:sz w:val="20"/>
        </w:rPr>
        <w:t>others,</w:t>
      </w:r>
      <w:r>
        <w:rPr>
          <w:spacing w:val="-16"/>
          <w:sz w:val="20"/>
        </w:rPr>
        <w:t> </w:t>
      </w:r>
      <w:r>
        <w:rPr>
          <w:sz w:val="20"/>
        </w:rPr>
        <w:t>including other jurors and judicial officers, and that such interaction constitutes “official </w:t>
      </w:r>
      <w:r>
        <w:rPr>
          <w:spacing w:val="-3"/>
          <w:sz w:val="20"/>
        </w:rPr>
        <w:t>interactions”</w:t>
      </w:r>
      <w:r>
        <w:rPr>
          <w:spacing w:val="-3"/>
          <w:position w:val="7"/>
          <w:sz w:val="11"/>
        </w:rPr>
        <w:t>22 </w:t>
      </w:r>
      <w:r>
        <w:rPr>
          <w:sz w:val="20"/>
        </w:rPr>
        <w:t>within the meaning of article</w:t>
      </w:r>
      <w:r>
        <w:rPr>
          <w:spacing w:val="-21"/>
          <w:sz w:val="20"/>
        </w:rPr>
        <w:t> </w:t>
      </w:r>
      <w:r>
        <w:rPr>
          <w:spacing w:val="-3"/>
          <w:sz w:val="20"/>
        </w:rPr>
        <w:t>21’.</w:t>
      </w:r>
      <w:r>
        <w:rPr>
          <w:spacing w:val="-3"/>
          <w:position w:val="7"/>
          <w:sz w:val="11"/>
        </w:rPr>
        <w:t>23</w:t>
      </w:r>
    </w:p>
    <w:p>
      <w:pPr>
        <w:pStyle w:val="BodyText"/>
      </w:pPr>
    </w:p>
    <w:p>
      <w:pPr>
        <w:pStyle w:val="BodyText"/>
      </w:pPr>
    </w:p>
    <w:p>
      <w:pPr>
        <w:pStyle w:val="BodyText"/>
      </w:pPr>
    </w:p>
    <w:p>
      <w:pPr>
        <w:pStyle w:val="BodyText"/>
        <w:spacing w:before="8"/>
        <w:rPr>
          <w:sz w:val="13"/>
        </w:rPr>
      </w:pPr>
      <w:r>
        <w:rPr/>
        <w:pict>
          <v:line style="position:absolute;mso-position-horizontal-relative:page;mso-position-vertical-relative:paragraph;z-index:2672;mso-wrap-distance-left:0;mso-wrap-distance-right:0" from="79.370102pt,11.8909pt" to="515.905102pt,11.8909pt" stroked="true" strokeweight="1pt" strokecolor="#b6bdc8">
            <v:stroke dashstyle="solid"/>
            <w10:wrap type="topAndBottom"/>
          </v:line>
        </w:pict>
      </w:r>
    </w:p>
    <w:p>
      <w:pPr>
        <w:pStyle w:val="ListParagraph"/>
        <w:numPr>
          <w:ilvl w:val="0"/>
          <w:numId w:val="40"/>
        </w:numPr>
        <w:tabs>
          <w:tab w:pos="1760" w:val="left" w:leader="none"/>
          <w:tab w:pos="1762" w:val="left" w:leader="none"/>
        </w:tabs>
        <w:spacing w:line="213" w:lineRule="auto" w:before="107" w:after="0"/>
        <w:ind w:left="1761" w:right="1216" w:hanging="794"/>
        <w:jc w:val="left"/>
        <w:rPr>
          <w:sz w:val="13"/>
        </w:rPr>
      </w:pPr>
      <w:r>
        <w:rPr>
          <w:sz w:val="13"/>
        </w:rPr>
        <w:t>Ron </w:t>
      </w:r>
      <w:r>
        <w:rPr>
          <w:spacing w:val="2"/>
          <w:sz w:val="13"/>
        </w:rPr>
        <w:t>McCallum, ‘“Nothing </w:t>
      </w:r>
      <w:r>
        <w:rPr>
          <w:sz w:val="13"/>
        </w:rPr>
        <w:t>About Us Without Us”: National Responses to the CRPD Six Years On’ </w:t>
      </w:r>
      <w:r>
        <w:rPr>
          <w:spacing w:val="2"/>
          <w:sz w:val="13"/>
        </w:rPr>
        <w:t>(Speech, </w:t>
      </w:r>
      <w:r>
        <w:rPr>
          <w:sz w:val="13"/>
        </w:rPr>
        <w:t>The King &amp; Wood Mallesons and </w:t>
      </w:r>
      <w:r>
        <w:rPr>
          <w:spacing w:val="2"/>
          <w:sz w:val="13"/>
        </w:rPr>
        <w:t>Castan </w:t>
      </w:r>
      <w:r>
        <w:rPr>
          <w:sz w:val="13"/>
        </w:rPr>
        <w:t>Centre Annual Human Rights Lecture, 22 August </w:t>
      </w:r>
      <w:r>
        <w:rPr>
          <w:spacing w:val="2"/>
          <w:sz w:val="13"/>
        </w:rPr>
        <w:t>2014) </w:t>
      </w:r>
      <w:r>
        <w:rPr>
          <w:sz w:val="13"/>
        </w:rPr>
        <w:t>3 &lt;</w:t>
      </w:r>
      <w:hyperlink r:id="rId92">
        <w:r>
          <w:rPr>
            <w:sz w:val="13"/>
          </w:rPr>
          <w:t>https://www.monash.edu/__data/assets/</w:t>
        </w:r>
      </w:hyperlink>
      <w:hyperlink r:id="rId92">
        <w:r>
          <w:rPr>
            <w:sz w:val="13"/>
          </w:rPr>
          <w:t> pdf_file/0010/140986/ron-mccallums-lecture-2014.pdf</w:t>
        </w:r>
      </w:hyperlink>
      <w:r>
        <w:rPr>
          <w:sz w:val="13"/>
        </w:rPr>
        <w:t>&gt;. </w:t>
      </w:r>
      <w:r>
        <w:rPr>
          <w:spacing w:val="2"/>
          <w:sz w:val="13"/>
        </w:rPr>
        <w:t>Article </w:t>
      </w:r>
      <w:r>
        <w:rPr>
          <w:sz w:val="13"/>
        </w:rPr>
        <w:t>33 requires countries to </w:t>
      </w:r>
      <w:r>
        <w:rPr>
          <w:spacing w:val="2"/>
          <w:sz w:val="13"/>
        </w:rPr>
        <w:t>establish </w:t>
      </w:r>
      <w:r>
        <w:rPr>
          <w:sz w:val="13"/>
        </w:rPr>
        <w:t>and designate a framework to promote, protect and monitor implementation of the</w:t>
      </w:r>
      <w:r>
        <w:rPr>
          <w:spacing w:val="3"/>
          <w:sz w:val="13"/>
        </w:rPr>
        <w:t> </w:t>
      </w:r>
      <w:r>
        <w:rPr>
          <w:sz w:val="13"/>
        </w:rPr>
        <w:t>CRPD.</w:t>
      </w:r>
    </w:p>
    <w:p>
      <w:pPr>
        <w:pStyle w:val="ListParagraph"/>
        <w:numPr>
          <w:ilvl w:val="0"/>
          <w:numId w:val="40"/>
        </w:numPr>
        <w:tabs>
          <w:tab w:pos="1761" w:val="left" w:leader="none"/>
          <w:tab w:pos="1762" w:val="left" w:leader="none"/>
        </w:tabs>
        <w:spacing w:line="151" w:lineRule="exact" w:before="0" w:after="0"/>
        <w:ind w:left="1761" w:right="0" w:hanging="794"/>
        <w:jc w:val="left"/>
        <w:rPr>
          <w:sz w:val="13"/>
        </w:rPr>
      </w:pPr>
      <w:r>
        <w:rPr>
          <w:spacing w:val="2"/>
          <w:sz w:val="13"/>
        </w:rPr>
        <w:t>Department </w:t>
      </w:r>
      <w:r>
        <w:rPr>
          <w:sz w:val="13"/>
        </w:rPr>
        <w:t>of Families, Fairness and Housing (Vic), </w:t>
      </w:r>
      <w:r>
        <w:rPr>
          <w:i/>
          <w:sz w:val="13"/>
        </w:rPr>
        <w:t>Inclusive Victoria: State Disability Plan 2022–2026 </w:t>
      </w:r>
      <w:r>
        <w:rPr>
          <w:spacing w:val="2"/>
          <w:sz w:val="13"/>
        </w:rPr>
        <w:t>(Report, </w:t>
      </w:r>
      <w:r>
        <w:rPr>
          <w:sz w:val="13"/>
        </w:rPr>
        <w:t>March 2022)</w:t>
      </w:r>
      <w:r>
        <w:rPr>
          <w:spacing w:val="26"/>
          <w:sz w:val="13"/>
        </w:rPr>
        <w:t> </w:t>
      </w:r>
      <w:r>
        <w:rPr>
          <w:spacing w:val="4"/>
          <w:sz w:val="13"/>
        </w:rPr>
        <w:t>14.</w:t>
      </w:r>
    </w:p>
    <w:p>
      <w:pPr>
        <w:pStyle w:val="ListParagraph"/>
        <w:numPr>
          <w:ilvl w:val="0"/>
          <w:numId w:val="40"/>
        </w:numPr>
        <w:tabs>
          <w:tab w:pos="1760" w:val="left" w:leader="none"/>
          <w:tab w:pos="1762" w:val="left" w:leader="none"/>
        </w:tabs>
        <w:spacing w:line="213" w:lineRule="auto" w:before="6" w:after="0"/>
        <w:ind w:left="1761" w:right="1358" w:hanging="794"/>
        <w:jc w:val="left"/>
        <w:rPr>
          <w:sz w:val="13"/>
        </w:rPr>
      </w:pPr>
      <w:r>
        <w:rPr>
          <w:sz w:val="13"/>
        </w:rPr>
        <w:t>The CRPD articles discussed below are those that the Convention Committee found were breached in the three cases brought  by</w:t>
      </w:r>
      <w:r>
        <w:rPr>
          <w:spacing w:val="2"/>
          <w:sz w:val="13"/>
        </w:rPr>
        <w:t> </w:t>
      </w:r>
      <w:r>
        <w:rPr>
          <w:sz w:val="13"/>
        </w:rPr>
        <w:t>Australians</w:t>
      </w:r>
      <w:r>
        <w:rPr>
          <w:spacing w:val="3"/>
          <w:sz w:val="13"/>
        </w:rPr>
        <w:t> </w:t>
      </w:r>
      <w:r>
        <w:rPr>
          <w:sz w:val="13"/>
        </w:rPr>
        <w:t>who</w:t>
      </w:r>
      <w:r>
        <w:rPr>
          <w:spacing w:val="3"/>
          <w:sz w:val="13"/>
        </w:rPr>
        <w:t> </w:t>
      </w:r>
      <w:r>
        <w:rPr>
          <w:sz w:val="13"/>
        </w:rPr>
        <w:t>were</w:t>
      </w:r>
      <w:r>
        <w:rPr>
          <w:spacing w:val="2"/>
          <w:sz w:val="13"/>
        </w:rPr>
        <w:t> </w:t>
      </w:r>
      <w:r>
        <w:rPr>
          <w:sz w:val="13"/>
        </w:rPr>
        <w:t>deaf</w:t>
      </w:r>
      <w:r>
        <w:rPr>
          <w:spacing w:val="3"/>
          <w:sz w:val="13"/>
        </w:rPr>
        <w:t> </w:t>
      </w:r>
      <w:r>
        <w:rPr>
          <w:sz w:val="13"/>
        </w:rPr>
        <w:t>and</w:t>
      </w:r>
      <w:r>
        <w:rPr>
          <w:spacing w:val="3"/>
          <w:sz w:val="13"/>
        </w:rPr>
        <w:t> </w:t>
      </w:r>
      <w:r>
        <w:rPr>
          <w:sz w:val="13"/>
        </w:rPr>
        <w:t>were</w:t>
      </w:r>
      <w:r>
        <w:rPr>
          <w:spacing w:val="3"/>
          <w:sz w:val="13"/>
        </w:rPr>
        <w:t> </w:t>
      </w:r>
      <w:r>
        <w:rPr>
          <w:sz w:val="13"/>
        </w:rPr>
        <w:t>refused</w:t>
      </w:r>
      <w:r>
        <w:rPr>
          <w:spacing w:val="2"/>
          <w:sz w:val="13"/>
        </w:rPr>
        <w:t> </w:t>
      </w:r>
      <w:r>
        <w:rPr>
          <w:sz w:val="13"/>
        </w:rPr>
        <w:t>accommodations</w:t>
      </w:r>
      <w:r>
        <w:rPr>
          <w:spacing w:val="3"/>
          <w:sz w:val="13"/>
        </w:rPr>
        <w:t> </w:t>
      </w:r>
      <w:r>
        <w:rPr>
          <w:sz w:val="13"/>
        </w:rPr>
        <w:t>to</w:t>
      </w:r>
      <w:r>
        <w:rPr>
          <w:spacing w:val="3"/>
          <w:sz w:val="13"/>
        </w:rPr>
        <w:t> </w:t>
      </w:r>
      <w:r>
        <w:rPr>
          <w:sz w:val="13"/>
        </w:rPr>
        <w:t>serve</w:t>
      </w:r>
      <w:r>
        <w:rPr>
          <w:spacing w:val="3"/>
          <w:sz w:val="13"/>
        </w:rPr>
        <w:t> </w:t>
      </w:r>
      <w:r>
        <w:rPr>
          <w:sz w:val="13"/>
        </w:rPr>
        <w:t>as</w:t>
      </w:r>
      <w:r>
        <w:rPr>
          <w:spacing w:val="2"/>
          <w:sz w:val="13"/>
        </w:rPr>
        <w:t> </w:t>
      </w:r>
      <w:r>
        <w:rPr>
          <w:sz w:val="13"/>
        </w:rPr>
        <w:t>jurors</w:t>
      </w:r>
      <w:r>
        <w:rPr>
          <w:spacing w:val="3"/>
          <w:sz w:val="13"/>
        </w:rPr>
        <w:t> </w:t>
      </w:r>
      <w:r>
        <w:rPr>
          <w:sz w:val="13"/>
        </w:rPr>
        <w:t>(discussed</w:t>
      </w:r>
      <w:r>
        <w:rPr>
          <w:spacing w:val="3"/>
          <w:sz w:val="13"/>
        </w:rPr>
        <w:t> </w:t>
      </w:r>
      <w:r>
        <w:rPr>
          <w:sz w:val="13"/>
        </w:rPr>
        <w:t>in</w:t>
      </w:r>
      <w:r>
        <w:rPr>
          <w:spacing w:val="2"/>
          <w:sz w:val="13"/>
        </w:rPr>
        <w:t> </w:t>
      </w:r>
      <w:r>
        <w:rPr>
          <w:sz w:val="13"/>
        </w:rPr>
        <w:t>detail</w:t>
      </w:r>
      <w:r>
        <w:rPr>
          <w:spacing w:val="3"/>
          <w:sz w:val="13"/>
        </w:rPr>
        <w:t> </w:t>
      </w:r>
      <w:r>
        <w:rPr>
          <w:sz w:val="13"/>
        </w:rPr>
        <w:t>below).</w:t>
      </w:r>
    </w:p>
    <w:p>
      <w:pPr>
        <w:pStyle w:val="ListParagraph"/>
        <w:numPr>
          <w:ilvl w:val="0"/>
          <w:numId w:val="40"/>
        </w:numPr>
        <w:tabs>
          <w:tab w:pos="1761" w:val="left" w:leader="none"/>
          <w:tab w:pos="1762" w:val="left" w:leader="none"/>
        </w:tabs>
        <w:spacing w:line="213" w:lineRule="auto" w:before="0" w:after="0"/>
        <w:ind w:left="1761" w:right="1417" w:hanging="794"/>
        <w:jc w:val="left"/>
        <w:rPr>
          <w:sz w:val="13"/>
        </w:rPr>
      </w:pPr>
      <w:r>
        <w:rPr>
          <w:sz w:val="13"/>
        </w:rPr>
        <w:t>Committee on the Rights of Persons with </w:t>
      </w:r>
      <w:r>
        <w:rPr>
          <w:spacing w:val="2"/>
          <w:sz w:val="13"/>
        </w:rPr>
        <w:t>Disabilities, </w:t>
      </w:r>
      <w:r>
        <w:rPr>
          <w:i/>
          <w:sz w:val="13"/>
        </w:rPr>
        <w:t>Views: Communication No 35/2016, </w:t>
      </w:r>
      <w:r>
        <w:rPr>
          <w:sz w:val="13"/>
        </w:rPr>
        <w:t>20th sess, UN Doc CRPD/ C/20/D/35/2016 </w:t>
      </w:r>
      <w:r>
        <w:rPr>
          <w:spacing w:val="2"/>
          <w:sz w:val="13"/>
        </w:rPr>
        <w:t>(31 </w:t>
      </w:r>
      <w:r>
        <w:rPr>
          <w:sz w:val="13"/>
        </w:rPr>
        <w:t>August 2018) [7.4] (‘</w:t>
      </w:r>
      <w:r>
        <w:rPr>
          <w:i/>
          <w:sz w:val="13"/>
        </w:rPr>
        <w:t>JH v Australia</w:t>
      </w:r>
      <w:r>
        <w:rPr>
          <w:sz w:val="13"/>
        </w:rPr>
        <w:t>’). See </w:t>
      </w:r>
      <w:r>
        <w:rPr>
          <w:spacing w:val="2"/>
          <w:sz w:val="13"/>
        </w:rPr>
        <w:t>also </w:t>
      </w:r>
      <w:r>
        <w:rPr>
          <w:sz w:val="13"/>
        </w:rPr>
        <w:t>Committee on the Rights of Persons with </w:t>
      </w:r>
      <w:r>
        <w:rPr>
          <w:spacing w:val="2"/>
          <w:sz w:val="13"/>
        </w:rPr>
        <w:t>Disabilities, </w:t>
      </w:r>
      <w:r>
        <w:rPr>
          <w:i/>
          <w:sz w:val="13"/>
        </w:rPr>
        <w:t>General </w:t>
      </w:r>
      <w:r>
        <w:rPr>
          <w:i/>
          <w:sz w:val="13"/>
        </w:rPr>
        <w:t>Comment No 6: Article 5: Equality and Non Discrimination</w:t>
      </w:r>
      <w:r>
        <w:rPr>
          <w:sz w:val="13"/>
        </w:rPr>
        <w:t>, 19th sess, UN Doc CRPD/C/GC/6 (26 April 2018). The Australian Government acknowledges that ‘article 5 encompasses a prohibition on both ‘direct’ and ‘indirect’ discrimination. Direct discrimination</w:t>
      </w:r>
      <w:r>
        <w:rPr>
          <w:spacing w:val="4"/>
          <w:sz w:val="13"/>
        </w:rPr>
        <w:t> </w:t>
      </w:r>
      <w:r>
        <w:rPr>
          <w:sz w:val="13"/>
        </w:rPr>
        <w:t>occurs</w:t>
      </w:r>
      <w:r>
        <w:rPr>
          <w:spacing w:val="5"/>
          <w:sz w:val="13"/>
        </w:rPr>
        <w:t> </w:t>
      </w:r>
      <w:r>
        <w:rPr>
          <w:sz w:val="13"/>
        </w:rPr>
        <w:t>when</w:t>
      </w:r>
      <w:r>
        <w:rPr>
          <w:spacing w:val="5"/>
          <w:sz w:val="13"/>
        </w:rPr>
        <w:t> </w:t>
      </w:r>
      <w:r>
        <w:rPr>
          <w:spacing w:val="2"/>
          <w:sz w:val="13"/>
        </w:rPr>
        <w:t>individuals</w:t>
      </w:r>
      <w:r>
        <w:rPr>
          <w:spacing w:val="5"/>
          <w:sz w:val="13"/>
        </w:rPr>
        <w:t> </w:t>
      </w:r>
      <w:r>
        <w:rPr>
          <w:sz w:val="13"/>
        </w:rPr>
        <w:t>who</w:t>
      </w:r>
      <w:r>
        <w:rPr>
          <w:spacing w:val="5"/>
          <w:sz w:val="13"/>
        </w:rPr>
        <w:t> </w:t>
      </w:r>
      <w:r>
        <w:rPr>
          <w:sz w:val="13"/>
        </w:rPr>
        <w:t>are</w:t>
      </w:r>
      <w:r>
        <w:rPr>
          <w:spacing w:val="5"/>
          <w:sz w:val="13"/>
        </w:rPr>
        <w:t> </w:t>
      </w:r>
      <w:r>
        <w:rPr>
          <w:sz w:val="13"/>
        </w:rPr>
        <w:t>similarly</w:t>
      </w:r>
      <w:r>
        <w:rPr>
          <w:spacing w:val="5"/>
          <w:sz w:val="13"/>
        </w:rPr>
        <w:t> </w:t>
      </w:r>
      <w:r>
        <w:rPr>
          <w:sz w:val="13"/>
        </w:rPr>
        <w:t>situated</w:t>
      </w:r>
      <w:r>
        <w:rPr>
          <w:spacing w:val="5"/>
          <w:sz w:val="13"/>
        </w:rPr>
        <w:t> </w:t>
      </w:r>
      <w:r>
        <w:rPr>
          <w:sz w:val="13"/>
        </w:rPr>
        <w:t>are</w:t>
      </w:r>
      <w:r>
        <w:rPr>
          <w:spacing w:val="5"/>
          <w:sz w:val="13"/>
        </w:rPr>
        <w:t> </w:t>
      </w:r>
      <w:r>
        <w:rPr>
          <w:sz w:val="13"/>
        </w:rPr>
        <w:t>unjustifiably</w:t>
      </w:r>
      <w:r>
        <w:rPr>
          <w:spacing w:val="4"/>
          <w:sz w:val="13"/>
        </w:rPr>
        <w:t> </w:t>
      </w:r>
      <w:r>
        <w:rPr>
          <w:sz w:val="13"/>
        </w:rPr>
        <w:t>treated</w:t>
      </w:r>
      <w:r>
        <w:rPr>
          <w:spacing w:val="5"/>
          <w:sz w:val="13"/>
        </w:rPr>
        <w:t> </w:t>
      </w:r>
      <w:r>
        <w:rPr>
          <w:sz w:val="13"/>
        </w:rPr>
        <w:t>differently</w:t>
      </w:r>
      <w:r>
        <w:rPr>
          <w:spacing w:val="5"/>
          <w:sz w:val="13"/>
        </w:rPr>
        <w:t> </w:t>
      </w:r>
      <w:r>
        <w:rPr>
          <w:sz w:val="13"/>
        </w:rPr>
        <w:t>for</w:t>
      </w:r>
      <w:r>
        <w:rPr>
          <w:spacing w:val="5"/>
          <w:sz w:val="13"/>
        </w:rPr>
        <w:t> </w:t>
      </w:r>
      <w:r>
        <w:rPr>
          <w:sz w:val="13"/>
        </w:rPr>
        <w:t>a</w:t>
      </w:r>
      <w:r>
        <w:rPr>
          <w:spacing w:val="5"/>
          <w:sz w:val="13"/>
        </w:rPr>
        <w:t> </w:t>
      </w:r>
      <w:r>
        <w:rPr>
          <w:sz w:val="13"/>
        </w:rPr>
        <w:t>reason</w:t>
      </w:r>
      <w:r>
        <w:rPr>
          <w:spacing w:val="5"/>
          <w:sz w:val="13"/>
        </w:rPr>
        <w:t> </w:t>
      </w:r>
      <w:r>
        <w:rPr>
          <w:sz w:val="13"/>
        </w:rPr>
        <w:t>related</w:t>
      </w:r>
      <w:r>
        <w:rPr>
          <w:spacing w:val="5"/>
          <w:sz w:val="13"/>
        </w:rPr>
        <w:t> </w:t>
      </w:r>
      <w:r>
        <w:rPr>
          <w:sz w:val="13"/>
        </w:rPr>
        <w:t>to</w:t>
      </w:r>
    </w:p>
    <w:p>
      <w:pPr>
        <w:spacing w:line="213" w:lineRule="auto" w:before="0"/>
        <w:ind w:left="1761" w:right="1387" w:firstLine="0"/>
        <w:jc w:val="left"/>
        <w:rPr>
          <w:sz w:val="13"/>
        </w:rPr>
      </w:pPr>
      <w:r>
        <w:rPr>
          <w:sz w:val="13"/>
        </w:rPr>
        <w:t>a prohibited ground, while indirect discrimination may occur when a law, </w:t>
      </w:r>
      <w:r>
        <w:rPr>
          <w:spacing w:val="2"/>
          <w:sz w:val="13"/>
        </w:rPr>
        <w:t>policy </w:t>
      </w:r>
      <w:r>
        <w:rPr>
          <w:sz w:val="13"/>
        </w:rPr>
        <w:t>or practice is neutral on </w:t>
      </w:r>
      <w:r>
        <w:rPr>
          <w:spacing w:val="2"/>
          <w:sz w:val="13"/>
        </w:rPr>
        <w:t>its </w:t>
      </w:r>
      <w:r>
        <w:rPr>
          <w:sz w:val="13"/>
        </w:rPr>
        <w:t>face but has an unjustified disproportionate impact on </w:t>
      </w:r>
      <w:r>
        <w:rPr>
          <w:spacing w:val="2"/>
          <w:sz w:val="13"/>
        </w:rPr>
        <w:t>certain individuals </w:t>
      </w:r>
      <w:r>
        <w:rPr>
          <w:sz w:val="13"/>
        </w:rPr>
        <w:t>for reasons related to prohibited grounds’: Australian Government, </w:t>
      </w:r>
      <w:r>
        <w:rPr>
          <w:i/>
          <w:sz w:val="13"/>
        </w:rPr>
        <w:t>Background Paper on the United Nations Convention on the </w:t>
      </w:r>
      <w:r>
        <w:rPr>
          <w:i/>
          <w:spacing w:val="2"/>
          <w:sz w:val="13"/>
        </w:rPr>
        <w:t>Rights </w:t>
      </w:r>
      <w:r>
        <w:rPr>
          <w:i/>
          <w:sz w:val="13"/>
        </w:rPr>
        <w:t>of Persons with Disabilities </w:t>
      </w:r>
      <w:r>
        <w:rPr>
          <w:spacing w:val="2"/>
          <w:sz w:val="13"/>
        </w:rPr>
        <w:t>(Part </w:t>
      </w:r>
      <w:r>
        <w:rPr>
          <w:sz w:val="13"/>
        </w:rPr>
        <w:t>1—Australia’s Position and Interpretive Approach, Prepared for Royal </w:t>
      </w:r>
      <w:r>
        <w:rPr>
          <w:spacing w:val="2"/>
          <w:sz w:val="13"/>
        </w:rPr>
        <w:t>Commission </w:t>
      </w:r>
      <w:r>
        <w:rPr>
          <w:sz w:val="13"/>
        </w:rPr>
        <w:t>into Violence, Abuse, Neglect and </w:t>
      </w:r>
      <w:r>
        <w:rPr>
          <w:spacing w:val="2"/>
          <w:sz w:val="13"/>
        </w:rPr>
        <w:t>Exploitation </w:t>
      </w:r>
      <w:r>
        <w:rPr>
          <w:sz w:val="13"/>
        </w:rPr>
        <w:t>of People with Disability, 16 June 2020) [21]</w:t>
      </w:r>
      <w:r>
        <w:rPr>
          <w:spacing w:val="15"/>
          <w:sz w:val="13"/>
        </w:rPr>
        <w:t> </w:t>
      </w:r>
      <w:r>
        <w:rPr>
          <w:sz w:val="13"/>
        </w:rPr>
        <w:t>&lt;</w:t>
      </w:r>
      <w:hyperlink r:id="rId96">
        <w:r>
          <w:rPr>
            <w:sz w:val="13"/>
          </w:rPr>
          <w:t>https://disability.royalcommission.gov.au/publications/australian-government-position-paper-uncrpd</w:t>
        </w:r>
      </w:hyperlink>
      <w:r>
        <w:rPr>
          <w:sz w:val="13"/>
        </w:rPr>
        <w:t>&gt;.</w:t>
      </w:r>
    </w:p>
    <w:p>
      <w:pPr>
        <w:pStyle w:val="ListParagraph"/>
        <w:numPr>
          <w:ilvl w:val="0"/>
          <w:numId w:val="40"/>
        </w:numPr>
        <w:tabs>
          <w:tab w:pos="1760" w:val="left" w:leader="none"/>
          <w:tab w:pos="1762" w:val="left" w:leader="none"/>
        </w:tabs>
        <w:spacing w:line="213" w:lineRule="auto" w:before="0" w:after="0"/>
        <w:ind w:left="1761" w:right="1810" w:hanging="794"/>
        <w:jc w:val="left"/>
        <w:rPr>
          <w:sz w:val="13"/>
        </w:rPr>
      </w:pPr>
      <w:r>
        <w:rPr>
          <w:sz w:val="13"/>
        </w:rPr>
        <w:t>For </w:t>
      </w:r>
      <w:r>
        <w:rPr>
          <w:spacing w:val="2"/>
          <w:sz w:val="13"/>
        </w:rPr>
        <w:t>further </w:t>
      </w:r>
      <w:r>
        <w:rPr>
          <w:sz w:val="13"/>
        </w:rPr>
        <w:t>information on the </w:t>
      </w:r>
      <w:r>
        <w:rPr>
          <w:spacing w:val="2"/>
          <w:sz w:val="13"/>
        </w:rPr>
        <w:t>application </w:t>
      </w:r>
      <w:r>
        <w:rPr>
          <w:sz w:val="13"/>
        </w:rPr>
        <w:t>of </w:t>
      </w:r>
      <w:r>
        <w:rPr>
          <w:spacing w:val="2"/>
          <w:sz w:val="13"/>
        </w:rPr>
        <w:t>Article </w:t>
      </w:r>
      <w:r>
        <w:rPr>
          <w:sz w:val="13"/>
        </w:rPr>
        <w:t>9: see Committee on the Rights of Persons with </w:t>
      </w:r>
      <w:r>
        <w:rPr>
          <w:spacing w:val="2"/>
          <w:sz w:val="13"/>
        </w:rPr>
        <w:t>Disabilities, </w:t>
      </w:r>
      <w:r>
        <w:rPr>
          <w:i/>
          <w:sz w:val="13"/>
        </w:rPr>
        <w:t>General </w:t>
      </w:r>
      <w:r>
        <w:rPr>
          <w:i/>
          <w:sz w:val="13"/>
        </w:rPr>
        <w:t>Comment No 2: Article 9: Accessibility, </w:t>
      </w:r>
      <w:r>
        <w:rPr>
          <w:sz w:val="13"/>
        </w:rPr>
        <w:t>11th sess, UN Doc CRPD/C/GC/2 (22 May</w:t>
      </w:r>
      <w:r>
        <w:rPr>
          <w:spacing w:val="14"/>
          <w:sz w:val="13"/>
        </w:rPr>
        <w:t> </w:t>
      </w:r>
      <w:r>
        <w:rPr>
          <w:sz w:val="13"/>
        </w:rPr>
        <w:t>2014).</w:t>
      </w:r>
    </w:p>
    <w:p>
      <w:pPr>
        <w:pStyle w:val="ListParagraph"/>
        <w:numPr>
          <w:ilvl w:val="0"/>
          <w:numId w:val="40"/>
        </w:numPr>
        <w:tabs>
          <w:tab w:pos="1760" w:val="left" w:leader="none"/>
          <w:tab w:pos="1762" w:val="left" w:leader="none"/>
        </w:tabs>
        <w:spacing w:line="213" w:lineRule="auto" w:before="0" w:after="0"/>
        <w:ind w:left="1761" w:right="1911" w:hanging="794"/>
        <w:jc w:val="left"/>
        <w:rPr>
          <w:sz w:val="13"/>
        </w:rPr>
      </w:pPr>
      <w:r>
        <w:rPr>
          <w:sz w:val="13"/>
        </w:rPr>
        <w:t>Committee on the Rights of Persons with </w:t>
      </w:r>
      <w:r>
        <w:rPr>
          <w:spacing w:val="2"/>
          <w:sz w:val="13"/>
        </w:rPr>
        <w:t>Disabilities, </w:t>
      </w:r>
      <w:r>
        <w:rPr>
          <w:i/>
          <w:sz w:val="13"/>
        </w:rPr>
        <w:t>Views: Communication No 11/2013, </w:t>
      </w:r>
      <w:r>
        <w:rPr>
          <w:sz w:val="13"/>
        </w:rPr>
        <w:t>15th sess, UN Doc CRPD/ C/15/D/11/2013 (25 May 2016) </w:t>
      </w:r>
      <w:r>
        <w:rPr>
          <w:spacing w:val="2"/>
          <w:sz w:val="13"/>
        </w:rPr>
        <w:t>[8.6] </w:t>
      </w:r>
      <w:r>
        <w:rPr>
          <w:sz w:val="13"/>
        </w:rPr>
        <w:t>(</w:t>
      </w:r>
      <w:r>
        <w:rPr>
          <w:i/>
          <w:sz w:val="13"/>
        </w:rPr>
        <w:t>‘Beasley v Australia’</w:t>
      </w:r>
      <w:r>
        <w:rPr>
          <w:sz w:val="13"/>
        </w:rPr>
        <w:t>) ; Committee on the Rights of Persons with </w:t>
      </w:r>
      <w:r>
        <w:rPr>
          <w:spacing w:val="2"/>
          <w:sz w:val="13"/>
        </w:rPr>
        <w:t>Disabilities, </w:t>
      </w:r>
      <w:r>
        <w:rPr>
          <w:i/>
          <w:sz w:val="13"/>
        </w:rPr>
        <w:t>Views: </w:t>
      </w:r>
      <w:r>
        <w:rPr>
          <w:i/>
          <w:sz w:val="13"/>
        </w:rPr>
        <w:t>Communication</w:t>
      </w:r>
      <w:r>
        <w:rPr>
          <w:i/>
          <w:spacing w:val="3"/>
          <w:sz w:val="13"/>
        </w:rPr>
        <w:t> </w:t>
      </w:r>
      <w:r>
        <w:rPr>
          <w:i/>
          <w:sz w:val="13"/>
        </w:rPr>
        <w:t>No</w:t>
      </w:r>
      <w:r>
        <w:rPr>
          <w:i/>
          <w:spacing w:val="4"/>
          <w:sz w:val="13"/>
        </w:rPr>
        <w:t> </w:t>
      </w:r>
      <w:r>
        <w:rPr>
          <w:i/>
          <w:sz w:val="13"/>
        </w:rPr>
        <w:t>11/2013,</w:t>
      </w:r>
      <w:r>
        <w:rPr>
          <w:i/>
          <w:spacing w:val="3"/>
          <w:sz w:val="13"/>
        </w:rPr>
        <w:t> </w:t>
      </w:r>
      <w:r>
        <w:rPr>
          <w:sz w:val="13"/>
        </w:rPr>
        <w:t>15th</w:t>
      </w:r>
      <w:r>
        <w:rPr>
          <w:spacing w:val="4"/>
          <w:sz w:val="13"/>
        </w:rPr>
        <w:t> </w:t>
      </w:r>
      <w:r>
        <w:rPr>
          <w:sz w:val="13"/>
        </w:rPr>
        <w:t>sess,</w:t>
      </w:r>
      <w:r>
        <w:rPr>
          <w:spacing w:val="4"/>
          <w:sz w:val="13"/>
        </w:rPr>
        <w:t> </w:t>
      </w:r>
      <w:r>
        <w:rPr>
          <w:sz w:val="13"/>
        </w:rPr>
        <w:t>UN</w:t>
      </w:r>
      <w:r>
        <w:rPr>
          <w:spacing w:val="3"/>
          <w:sz w:val="13"/>
        </w:rPr>
        <w:t> </w:t>
      </w:r>
      <w:r>
        <w:rPr>
          <w:sz w:val="13"/>
        </w:rPr>
        <w:t>Doc</w:t>
      </w:r>
      <w:r>
        <w:rPr>
          <w:spacing w:val="4"/>
          <w:sz w:val="13"/>
        </w:rPr>
        <w:t> </w:t>
      </w:r>
      <w:r>
        <w:rPr>
          <w:sz w:val="13"/>
        </w:rPr>
        <w:t>CRPD/C/15/D/13/2013</w:t>
      </w:r>
      <w:r>
        <w:rPr>
          <w:spacing w:val="4"/>
          <w:sz w:val="13"/>
        </w:rPr>
        <w:t> </w:t>
      </w:r>
      <w:r>
        <w:rPr>
          <w:spacing w:val="2"/>
          <w:sz w:val="13"/>
        </w:rPr>
        <w:t>(30</w:t>
      </w:r>
      <w:r>
        <w:rPr>
          <w:spacing w:val="3"/>
          <w:sz w:val="13"/>
        </w:rPr>
        <w:t> </w:t>
      </w:r>
      <w:r>
        <w:rPr>
          <w:sz w:val="13"/>
        </w:rPr>
        <w:t>May</w:t>
      </w:r>
      <w:r>
        <w:rPr>
          <w:spacing w:val="4"/>
          <w:sz w:val="13"/>
        </w:rPr>
        <w:t> </w:t>
      </w:r>
      <w:r>
        <w:rPr>
          <w:sz w:val="13"/>
        </w:rPr>
        <w:t>2016)</w:t>
      </w:r>
      <w:r>
        <w:rPr>
          <w:spacing w:val="4"/>
          <w:sz w:val="13"/>
        </w:rPr>
        <w:t> </w:t>
      </w:r>
      <w:r>
        <w:rPr>
          <w:spacing w:val="2"/>
          <w:sz w:val="13"/>
        </w:rPr>
        <w:t>[8.6]</w:t>
      </w:r>
      <w:r>
        <w:rPr>
          <w:spacing w:val="3"/>
          <w:sz w:val="13"/>
        </w:rPr>
        <w:t> </w:t>
      </w:r>
      <w:r>
        <w:rPr>
          <w:sz w:val="13"/>
        </w:rPr>
        <w:t>(</w:t>
      </w:r>
      <w:r>
        <w:rPr>
          <w:i/>
          <w:sz w:val="13"/>
        </w:rPr>
        <w:t>‘Lockrey</w:t>
      </w:r>
      <w:r>
        <w:rPr>
          <w:i/>
          <w:spacing w:val="4"/>
          <w:sz w:val="13"/>
        </w:rPr>
        <w:t> </w:t>
      </w:r>
      <w:r>
        <w:rPr>
          <w:i/>
          <w:sz w:val="13"/>
        </w:rPr>
        <w:t>v</w:t>
      </w:r>
      <w:r>
        <w:rPr>
          <w:i/>
          <w:spacing w:val="4"/>
          <w:sz w:val="13"/>
        </w:rPr>
        <w:t> </w:t>
      </w:r>
      <w:r>
        <w:rPr>
          <w:i/>
          <w:sz w:val="13"/>
        </w:rPr>
        <w:t>Australia’</w:t>
      </w:r>
      <w:r>
        <w:rPr>
          <w:sz w:val="13"/>
        </w:rPr>
        <w:t>).</w:t>
      </w:r>
    </w:p>
    <w:p>
      <w:pPr>
        <w:pStyle w:val="ListParagraph"/>
        <w:numPr>
          <w:ilvl w:val="0"/>
          <w:numId w:val="40"/>
        </w:numPr>
        <w:tabs>
          <w:tab w:pos="1761" w:val="left" w:leader="none"/>
          <w:tab w:pos="1762" w:val="left" w:leader="none"/>
        </w:tabs>
        <w:spacing w:line="152" w:lineRule="exact" w:before="0" w:after="0"/>
        <w:ind w:left="1761" w:right="0" w:hanging="794"/>
        <w:jc w:val="left"/>
        <w:rPr>
          <w:sz w:val="13"/>
        </w:rPr>
      </w:pPr>
      <w:r>
        <w:rPr>
          <w:i/>
          <w:sz w:val="13"/>
        </w:rPr>
        <w:t>Beasley v Australia </w:t>
      </w:r>
      <w:r>
        <w:rPr>
          <w:sz w:val="13"/>
        </w:rPr>
        <w:t>[8.9]; </w:t>
      </w:r>
      <w:r>
        <w:rPr>
          <w:i/>
          <w:sz w:val="13"/>
        </w:rPr>
        <w:t>Lockrey v Australia’</w:t>
      </w:r>
      <w:r>
        <w:rPr>
          <w:i/>
          <w:spacing w:val="2"/>
          <w:sz w:val="13"/>
        </w:rPr>
        <w:t> </w:t>
      </w:r>
      <w:r>
        <w:rPr>
          <w:sz w:val="13"/>
        </w:rPr>
        <w:t>[8.9].</w:t>
      </w:r>
    </w:p>
    <w:p>
      <w:pPr>
        <w:pStyle w:val="ListParagraph"/>
        <w:numPr>
          <w:ilvl w:val="0"/>
          <w:numId w:val="40"/>
        </w:numPr>
        <w:tabs>
          <w:tab w:pos="1760" w:val="left" w:leader="none"/>
          <w:tab w:pos="1762" w:val="left" w:leader="none"/>
        </w:tabs>
        <w:spacing w:line="160" w:lineRule="exact" w:before="0" w:after="0"/>
        <w:ind w:left="1761" w:right="0" w:hanging="794"/>
        <w:jc w:val="left"/>
        <w:rPr>
          <w:sz w:val="13"/>
        </w:rPr>
      </w:pPr>
      <w:r>
        <w:rPr>
          <w:sz w:val="13"/>
        </w:rPr>
        <w:t>Official interactions means dealings with official actors such as government officials. For </w:t>
      </w:r>
      <w:r>
        <w:rPr>
          <w:spacing w:val="2"/>
          <w:sz w:val="13"/>
        </w:rPr>
        <w:t>further </w:t>
      </w:r>
      <w:r>
        <w:rPr>
          <w:sz w:val="13"/>
        </w:rPr>
        <w:t>discussion, see: Valentina</w:t>
      </w:r>
      <w:r>
        <w:rPr>
          <w:spacing w:val="26"/>
          <w:sz w:val="13"/>
        </w:rPr>
        <w:t> </w:t>
      </w:r>
      <w:r>
        <w:rPr>
          <w:spacing w:val="2"/>
          <w:sz w:val="13"/>
        </w:rPr>
        <w:t>Della</w:t>
      </w:r>
    </w:p>
    <w:p>
      <w:pPr>
        <w:spacing w:line="213" w:lineRule="auto" w:before="0"/>
        <w:ind w:left="1761" w:right="1635" w:firstLine="0"/>
        <w:jc w:val="left"/>
        <w:rPr>
          <w:sz w:val="13"/>
        </w:rPr>
      </w:pPr>
      <w:r>
        <w:rPr/>
        <w:pict>
          <v:shape style="position:absolute;margin-left:36pt;margin-top:11.39609pt;width:13.8pt;height:14.1pt;mso-position-horizontal-relative:page;mso-position-vertical-relative:paragraph;z-index:4744" type="#_x0000_t202" filled="false" stroked="false">
            <v:textbox inset="0,0,0,0">
              <w:txbxContent>
                <w:p>
                  <w:pPr>
                    <w:spacing w:line="282" w:lineRule="exact" w:before="0"/>
                    <w:ind w:left="0" w:right="0" w:firstLine="0"/>
                    <w:jc w:val="left"/>
                    <w:rPr>
                      <w:b/>
                      <w:sz w:val="24"/>
                    </w:rPr>
                  </w:pPr>
                  <w:r>
                    <w:rPr>
                      <w:b/>
                      <w:color w:val="37617A"/>
                      <w:sz w:val="24"/>
                    </w:rPr>
                    <w:t>44</w:t>
                  </w:r>
                </w:p>
              </w:txbxContent>
            </v:textbox>
            <w10:wrap type="none"/>
          </v:shape>
        </w:pict>
      </w:r>
      <w:r>
        <w:rPr>
          <w:sz w:val="13"/>
        </w:rPr>
        <w:t>Fina, Rachele Cera and </w:t>
      </w:r>
      <w:r>
        <w:rPr>
          <w:spacing w:val="2"/>
          <w:sz w:val="13"/>
        </w:rPr>
        <w:t>Giuseppe Palmisano </w:t>
      </w:r>
      <w:r>
        <w:rPr>
          <w:sz w:val="13"/>
        </w:rPr>
        <w:t>(Editors), </w:t>
      </w:r>
      <w:r>
        <w:rPr>
          <w:i/>
          <w:sz w:val="13"/>
        </w:rPr>
        <w:t>The United Nations Convention on the </w:t>
      </w:r>
      <w:r>
        <w:rPr>
          <w:i/>
          <w:spacing w:val="2"/>
          <w:sz w:val="13"/>
        </w:rPr>
        <w:t>Rights </w:t>
      </w:r>
      <w:r>
        <w:rPr>
          <w:i/>
          <w:sz w:val="13"/>
        </w:rPr>
        <w:t>of Persons with Disabilities:   </w:t>
      </w:r>
      <w:r>
        <w:rPr>
          <w:i/>
          <w:sz w:val="13"/>
        </w:rPr>
        <w:t>A Commentary </w:t>
      </w:r>
      <w:r>
        <w:rPr>
          <w:spacing w:val="2"/>
          <w:sz w:val="13"/>
        </w:rPr>
        <w:t>(Springer </w:t>
      </w:r>
      <w:r>
        <w:rPr>
          <w:sz w:val="13"/>
        </w:rPr>
        <w:t>International,</w:t>
      </w:r>
      <w:r>
        <w:rPr>
          <w:spacing w:val="-1"/>
          <w:sz w:val="13"/>
        </w:rPr>
        <w:t> </w:t>
      </w:r>
      <w:r>
        <w:rPr>
          <w:sz w:val="13"/>
        </w:rPr>
        <w:t>2017).</w:t>
      </w:r>
    </w:p>
    <w:p>
      <w:pPr>
        <w:pStyle w:val="ListParagraph"/>
        <w:numPr>
          <w:ilvl w:val="0"/>
          <w:numId w:val="40"/>
        </w:numPr>
        <w:tabs>
          <w:tab w:pos="1761" w:val="left" w:leader="none"/>
          <w:tab w:pos="1762" w:val="left" w:leader="none"/>
        </w:tabs>
        <w:spacing w:line="163" w:lineRule="exact" w:before="0" w:after="0"/>
        <w:ind w:left="1761" w:right="0" w:hanging="794"/>
        <w:jc w:val="left"/>
        <w:rPr>
          <w:sz w:val="13"/>
        </w:rPr>
      </w:pPr>
      <w:r>
        <w:rPr>
          <w:i/>
          <w:sz w:val="13"/>
        </w:rPr>
        <w:t>JH v Australia </w:t>
      </w:r>
      <w:r>
        <w:rPr>
          <w:sz w:val="13"/>
        </w:rPr>
        <w:t>[7.7]. See </w:t>
      </w:r>
      <w:r>
        <w:rPr>
          <w:spacing w:val="2"/>
          <w:sz w:val="13"/>
        </w:rPr>
        <w:t>also </w:t>
      </w:r>
      <w:r>
        <w:rPr>
          <w:i/>
          <w:sz w:val="13"/>
        </w:rPr>
        <w:t>Beasley v Australia </w:t>
      </w:r>
      <w:r>
        <w:rPr>
          <w:spacing w:val="2"/>
          <w:sz w:val="13"/>
        </w:rPr>
        <w:t>[8.8]; </w:t>
      </w:r>
      <w:r>
        <w:rPr>
          <w:i/>
          <w:sz w:val="13"/>
        </w:rPr>
        <w:t>Lockrey v Australia</w:t>
      </w:r>
      <w:r>
        <w:rPr>
          <w:i/>
          <w:spacing w:val="1"/>
          <w:sz w:val="13"/>
        </w:rPr>
        <w:t> </w:t>
      </w:r>
      <w:r>
        <w:rPr>
          <w:spacing w:val="2"/>
          <w:sz w:val="13"/>
        </w:rPr>
        <w:t>[8.8].</w:t>
      </w:r>
    </w:p>
    <w:p>
      <w:pPr>
        <w:spacing w:after="0" w:line="163"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Heading8"/>
        <w:numPr>
          <w:ilvl w:val="1"/>
          <w:numId w:val="40"/>
        </w:numPr>
        <w:tabs>
          <w:tab w:pos="2157" w:val="left" w:leader="none"/>
          <w:tab w:pos="2158" w:val="left" w:leader="none"/>
        </w:tabs>
        <w:spacing w:line="259" w:lineRule="exact" w:before="58" w:after="0"/>
        <w:ind w:left="2157" w:right="0" w:hanging="396"/>
        <w:jc w:val="left"/>
      </w:pPr>
      <w:bookmarkStart w:name="Australia is in breach of the CRPD" w:id="101"/>
      <w:bookmarkEnd w:id="101"/>
      <w:r>
        <w:rPr>
          <w:b w:val="0"/>
        </w:rPr>
      </w:r>
      <w:bookmarkStart w:name="_bookmark39" w:id="102"/>
      <w:bookmarkEnd w:id="102"/>
      <w:r>
        <w:rPr>
          <w:b w:val="0"/>
        </w:rPr>
      </w:r>
      <w:bookmarkStart w:name="_bookmark39" w:id="103"/>
      <w:bookmarkEnd w:id="103"/>
      <w:r>
        <w:rPr/>
        <w:t>P</w:t>
      </w:r>
      <w:r>
        <w:rPr/>
        <w:t>articipation in political and public life (article</w:t>
      </w:r>
      <w:r>
        <w:rPr>
          <w:spacing w:val="-33"/>
        </w:rPr>
        <w:t> </w:t>
      </w:r>
      <w:r>
        <w:rPr/>
        <w:t>29)</w:t>
      </w:r>
    </w:p>
    <w:p>
      <w:pPr>
        <w:pStyle w:val="BodyText"/>
        <w:spacing w:line="206" w:lineRule="auto" w:before="13"/>
        <w:ind w:left="2157" w:right="1335"/>
        <w:rPr>
          <w:sz w:val="11"/>
        </w:rPr>
      </w:pPr>
      <w:r>
        <w:rPr/>
        <w:t>In conjunction with article 13(1) </w:t>
      </w:r>
      <w:r>
        <w:rPr>
          <w:spacing w:val="-3"/>
        </w:rPr>
        <w:t>(access </w:t>
      </w:r>
      <w:r>
        <w:rPr/>
        <w:t>to </w:t>
      </w:r>
      <w:r>
        <w:rPr>
          <w:spacing w:val="-3"/>
        </w:rPr>
        <w:t>justice), </w:t>
      </w:r>
      <w:r>
        <w:rPr/>
        <w:t>the Convention Committee considers that attention must be given to ‘the participation of persons with disability</w:t>
      </w:r>
      <w:r>
        <w:rPr>
          <w:spacing w:val="-12"/>
        </w:rPr>
        <w:t> </w:t>
      </w:r>
      <w:r>
        <w:rPr/>
        <w:t>in</w:t>
      </w:r>
      <w:r>
        <w:rPr>
          <w:spacing w:val="-12"/>
        </w:rPr>
        <w:t> </w:t>
      </w:r>
      <w:r>
        <w:rPr/>
        <w:t>the</w:t>
      </w:r>
      <w:r>
        <w:rPr>
          <w:spacing w:val="-12"/>
        </w:rPr>
        <w:t> </w:t>
      </w:r>
      <w:r>
        <w:rPr/>
        <w:t>justice</w:t>
      </w:r>
      <w:r>
        <w:rPr>
          <w:spacing w:val="-12"/>
        </w:rPr>
        <w:t> </w:t>
      </w:r>
      <w:r>
        <w:rPr/>
        <w:t>system</w:t>
      </w:r>
      <w:r>
        <w:rPr>
          <w:spacing w:val="-12"/>
        </w:rPr>
        <w:t> </w:t>
      </w:r>
      <w:r>
        <w:rPr/>
        <w:t>in</w:t>
      </w:r>
      <w:r>
        <w:rPr>
          <w:spacing w:val="-12"/>
        </w:rPr>
        <w:t> </w:t>
      </w:r>
      <w:r>
        <w:rPr/>
        <w:t>capacities</w:t>
      </w:r>
      <w:r>
        <w:rPr>
          <w:spacing w:val="-12"/>
        </w:rPr>
        <w:t> </w:t>
      </w:r>
      <w:r>
        <w:rPr/>
        <w:t>besides</w:t>
      </w:r>
      <w:r>
        <w:rPr>
          <w:spacing w:val="-12"/>
        </w:rPr>
        <w:t> </w:t>
      </w:r>
      <w:r>
        <w:rPr/>
        <w:t>those</w:t>
      </w:r>
      <w:r>
        <w:rPr>
          <w:spacing w:val="-11"/>
        </w:rPr>
        <w:t> </w:t>
      </w:r>
      <w:r>
        <w:rPr/>
        <w:t>of</w:t>
      </w:r>
      <w:r>
        <w:rPr>
          <w:spacing w:val="-12"/>
        </w:rPr>
        <w:t> </w:t>
      </w:r>
      <w:r>
        <w:rPr/>
        <w:t>claimant,</w:t>
      </w:r>
      <w:r>
        <w:rPr>
          <w:spacing w:val="-12"/>
        </w:rPr>
        <w:t> </w:t>
      </w:r>
      <w:r>
        <w:rPr/>
        <w:t>victim</w:t>
      </w:r>
      <w:r>
        <w:rPr>
          <w:spacing w:val="-12"/>
        </w:rPr>
        <w:t> </w:t>
      </w:r>
      <w:r>
        <w:rPr/>
        <w:t>or defendant,</w:t>
      </w:r>
      <w:r>
        <w:rPr>
          <w:spacing w:val="-7"/>
        </w:rPr>
        <w:t> </w:t>
      </w:r>
      <w:r>
        <w:rPr/>
        <w:t>including</w:t>
      </w:r>
      <w:r>
        <w:rPr>
          <w:spacing w:val="-6"/>
        </w:rPr>
        <w:t> </w:t>
      </w:r>
      <w:r>
        <w:rPr/>
        <w:t>in</w:t>
      </w:r>
      <w:r>
        <w:rPr>
          <w:spacing w:val="-7"/>
        </w:rPr>
        <w:t> </w:t>
      </w:r>
      <w:r>
        <w:rPr/>
        <w:t>jury</w:t>
      </w:r>
      <w:r>
        <w:rPr>
          <w:spacing w:val="-6"/>
        </w:rPr>
        <w:t> </w:t>
      </w:r>
      <w:r>
        <w:rPr/>
        <w:t>service,</w:t>
      </w:r>
      <w:r>
        <w:rPr>
          <w:spacing w:val="-7"/>
        </w:rPr>
        <w:t> </w:t>
      </w:r>
      <w:r>
        <w:rPr/>
        <w:t>on</w:t>
      </w:r>
      <w:r>
        <w:rPr>
          <w:spacing w:val="-6"/>
        </w:rPr>
        <w:t> </w:t>
      </w:r>
      <w:r>
        <w:rPr/>
        <w:t>an</w:t>
      </w:r>
      <w:r>
        <w:rPr>
          <w:spacing w:val="-7"/>
        </w:rPr>
        <w:t> </w:t>
      </w:r>
      <w:r>
        <w:rPr/>
        <w:t>equal</w:t>
      </w:r>
      <w:r>
        <w:rPr>
          <w:spacing w:val="-6"/>
        </w:rPr>
        <w:t> </w:t>
      </w:r>
      <w:r>
        <w:rPr/>
        <w:t>basis</w:t>
      </w:r>
      <w:r>
        <w:rPr>
          <w:spacing w:val="-7"/>
        </w:rPr>
        <w:t> </w:t>
      </w:r>
      <w:r>
        <w:rPr/>
        <w:t>with</w:t>
      </w:r>
      <w:r>
        <w:rPr>
          <w:spacing w:val="-6"/>
        </w:rPr>
        <w:t> </w:t>
      </w:r>
      <w:r>
        <w:rPr/>
        <w:t>others’.</w:t>
      </w:r>
      <w:r>
        <w:rPr>
          <w:position w:val="7"/>
          <w:sz w:val="11"/>
        </w:rPr>
        <w:t>24</w:t>
      </w:r>
    </w:p>
    <w:p>
      <w:pPr>
        <w:spacing w:before="196"/>
        <w:ind w:left="967" w:right="0" w:firstLine="0"/>
        <w:jc w:val="left"/>
        <w:rPr>
          <w:rFonts w:ascii="Raleway ExtraBold"/>
          <w:b/>
          <w:sz w:val="28"/>
        </w:rPr>
      </w:pPr>
      <w:r>
        <w:rPr>
          <w:rFonts w:ascii="Raleway ExtraBold"/>
          <w:b/>
          <w:color w:val="37617A"/>
          <w:sz w:val="28"/>
        </w:rPr>
        <w:t>Australia is in breach of the CRPD</w:t>
      </w:r>
    </w:p>
    <w:p>
      <w:pPr>
        <w:pStyle w:val="ListParagraph"/>
        <w:numPr>
          <w:ilvl w:val="1"/>
          <w:numId w:val="12"/>
        </w:numPr>
        <w:tabs>
          <w:tab w:pos="1761" w:val="left" w:leader="none"/>
          <w:tab w:pos="1762" w:val="left" w:leader="none"/>
        </w:tabs>
        <w:spacing w:line="206" w:lineRule="auto" w:before="146" w:after="0"/>
        <w:ind w:left="1761" w:right="1315" w:hanging="794"/>
        <w:jc w:val="left"/>
        <w:rPr>
          <w:sz w:val="20"/>
        </w:rPr>
      </w:pPr>
      <w:r>
        <w:rPr>
          <w:sz w:val="20"/>
        </w:rPr>
        <w:t>The Convention Committee has considered four complaints </w:t>
      </w:r>
      <w:r>
        <w:rPr>
          <w:spacing w:val="-3"/>
          <w:sz w:val="20"/>
        </w:rPr>
        <w:t>from </w:t>
      </w:r>
      <w:r>
        <w:rPr>
          <w:sz w:val="20"/>
        </w:rPr>
        <w:t>people who </w:t>
      </w:r>
      <w:r>
        <w:rPr>
          <w:spacing w:val="-4"/>
          <w:sz w:val="20"/>
        </w:rPr>
        <w:t>were </w:t>
      </w:r>
      <w:r>
        <w:rPr>
          <w:sz w:val="20"/>
        </w:rPr>
        <w:t>not </w:t>
      </w:r>
      <w:r>
        <w:rPr>
          <w:spacing w:val="-3"/>
          <w:sz w:val="20"/>
        </w:rPr>
        <w:t>allowed </w:t>
      </w:r>
      <w:r>
        <w:rPr>
          <w:sz w:val="20"/>
        </w:rPr>
        <w:t>to participate in jury service in Australia because they </w:t>
      </w:r>
      <w:r>
        <w:rPr>
          <w:spacing w:val="-4"/>
          <w:sz w:val="20"/>
        </w:rPr>
        <w:t>were </w:t>
      </w:r>
      <w:r>
        <w:rPr>
          <w:sz w:val="20"/>
        </w:rPr>
        <w:t>deaf.</w:t>
      </w:r>
      <w:r>
        <w:rPr>
          <w:position w:val="7"/>
          <w:sz w:val="11"/>
        </w:rPr>
        <w:t>25 </w:t>
      </w:r>
      <w:r>
        <w:rPr>
          <w:sz w:val="20"/>
        </w:rPr>
        <w:t>In all but one of the cases,</w:t>
      </w:r>
      <w:r>
        <w:rPr>
          <w:position w:val="7"/>
          <w:sz w:val="11"/>
        </w:rPr>
        <w:t>26 </w:t>
      </w:r>
      <w:r>
        <w:rPr>
          <w:sz w:val="20"/>
        </w:rPr>
        <w:t>the Convention Committee’s view was that Australia was in breach of its obligations under international </w:t>
      </w:r>
      <w:r>
        <w:rPr>
          <w:spacing w:val="-5"/>
          <w:sz w:val="20"/>
        </w:rPr>
        <w:t>law. </w:t>
      </w:r>
      <w:r>
        <w:rPr>
          <w:sz w:val="20"/>
        </w:rPr>
        <w:t>It held that reasonable adjustments should </w:t>
      </w:r>
      <w:r>
        <w:rPr>
          <w:spacing w:val="-4"/>
          <w:sz w:val="20"/>
        </w:rPr>
        <w:t>have </w:t>
      </w:r>
      <w:r>
        <w:rPr>
          <w:sz w:val="20"/>
        </w:rPr>
        <w:t>been </w:t>
      </w:r>
      <w:r>
        <w:rPr>
          <w:spacing w:val="-3"/>
          <w:sz w:val="20"/>
        </w:rPr>
        <w:t>provided </w:t>
      </w:r>
      <w:r>
        <w:rPr>
          <w:sz w:val="20"/>
        </w:rPr>
        <w:t>to enable the deaf complainants to serve as jurors.</w:t>
      </w:r>
      <w:r>
        <w:rPr>
          <w:position w:val="7"/>
          <w:sz w:val="11"/>
        </w:rPr>
        <w:t>27 </w:t>
      </w:r>
      <w:r>
        <w:rPr>
          <w:sz w:val="20"/>
        </w:rPr>
        <w:t>The Convention</w:t>
      </w:r>
      <w:r>
        <w:rPr>
          <w:spacing w:val="-17"/>
          <w:sz w:val="20"/>
        </w:rPr>
        <w:t> </w:t>
      </w:r>
      <w:r>
        <w:rPr>
          <w:sz w:val="20"/>
        </w:rPr>
        <w:t>Committee’s</w:t>
      </w:r>
      <w:r>
        <w:rPr>
          <w:spacing w:val="-16"/>
          <w:sz w:val="20"/>
        </w:rPr>
        <w:t> </w:t>
      </w:r>
      <w:r>
        <w:rPr>
          <w:sz w:val="20"/>
        </w:rPr>
        <w:t>jurisprudence</w:t>
      </w:r>
      <w:r>
        <w:rPr>
          <w:spacing w:val="-16"/>
          <w:sz w:val="20"/>
        </w:rPr>
        <w:t> </w:t>
      </w:r>
      <w:r>
        <w:rPr>
          <w:spacing w:val="-3"/>
          <w:sz w:val="20"/>
        </w:rPr>
        <w:t>provides</w:t>
      </w:r>
      <w:r>
        <w:rPr>
          <w:spacing w:val="-16"/>
          <w:sz w:val="20"/>
        </w:rPr>
        <w:t> </w:t>
      </w:r>
      <w:r>
        <w:rPr>
          <w:sz w:val="20"/>
        </w:rPr>
        <w:t>authoritative</w:t>
      </w:r>
      <w:r>
        <w:rPr>
          <w:spacing w:val="-16"/>
          <w:sz w:val="20"/>
        </w:rPr>
        <w:t> </w:t>
      </w:r>
      <w:r>
        <w:rPr>
          <w:sz w:val="20"/>
        </w:rPr>
        <w:t>guidance</w:t>
      </w:r>
      <w:r>
        <w:rPr>
          <w:spacing w:val="-16"/>
          <w:sz w:val="20"/>
        </w:rPr>
        <w:t> </w:t>
      </w:r>
      <w:r>
        <w:rPr>
          <w:sz w:val="20"/>
        </w:rPr>
        <w:t>on</w:t>
      </w:r>
      <w:r>
        <w:rPr>
          <w:spacing w:val="-16"/>
          <w:sz w:val="20"/>
        </w:rPr>
        <w:t> </w:t>
      </w:r>
      <w:r>
        <w:rPr>
          <w:sz w:val="20"/>
        </w:rPr>
        <w:t>the</w:t>
      </w:r>
      <w:r>
        <w:rPr>
          <w:spacing w:val="-16"/>
          <w:sz w:val="20"/>
        </w:rPr>
        <w:t> </w:t>
      </w:r>
      <w:r>
        <w:rPr>
          <w:spacing w:val="-3"/>
          <w:sz w:val="20"/>
        </w:rPr>
        <w:t>content </w:t>
      </w:r>
      <w:r>
        <w:rPr>
          <w:sz w:val="20"/>
        </w:rPr>
        <w:t>of those CRPD obligations. As a party to the </w:t>
      </w:r>
      <w:r>
        <w:rPr>
          <w:spacing w:val="-3"/>
          <w:sz w:val="20"/>
        </w:rPr>
        <w:t>CRPD, </w:t>
      </w:r>
      <w:r>
        <w:rPr>
          <w:sz w:val="20"/>
        </w:rPr>
        <w:t>Australia has agreed to take steps to implement its provisions. While Australia cannot be compelled to remedy these breaches, it is obliged to respond to decisions of the Convention Committee (see </w:t>
      </w:r>
      <w:r>
        <w:rPr>
          <w:spacing w:val="-4"/>
          <w:sz w:val="20"/>
        </w:rPr>
        <w:t>below).</w:t>
      </w:r>
    </w:p>
    <w:p>
      <w:pPr>
        <w:pStyle w:val="ListParagraph"/>
        <w:numPr>
          <w:ilvl w:val="1"/>
          <w:numId w:val="12"/>
        </w:numPr>
        <w:tabs>
          <w:tab w:pos="1761" w:val="left" w:leader="none"/>
          <w:tab w:pos="1762" w:val="left" w:leader="none"/>
        </w:tabs>
        <w:spacing w:line="206" w:lineRule="auto" w:before="132" w:after="0"/>
        <w:ind w:left="1761" w:right="1551" w:hanging="794"/>
        <w:jc w:val="left"/>
        <w:rPr>
          <w:sz w:val="20"/>
        </w:rPr>
      </w:pPr>
      <w:r>
        <w:rPr>
          <w:sz w:val="20"/>
        </w:rPr>
        <w:t>The</w:t>
      </w:r>
      <w:r>
        <w:rPr>
          <w:spacing w:val="-11"/>
          <w:sz w:val="20"/>
        </w:rPr>
        <w:t> </w:t>
      </w:r>
      <w:r>
        <w:rPr>
          <w:sz w:val="20"/>
        </w:rPr>
        <w:t>Commission</w:t>
      </w:r>
      <w:r>
        <w:rPr>
          <w:spacing w:val="-10"/>
          <w:sz w:val="20"/>
        </w:rPr>
        <w:t> </w:t>
      </w:r>
      <w:r>
        <w:rPr>
          <w:sz w:val="20"/>
        </w:rPr>
        <w:t>has</w:t>
      </w:r>
      <w:r>
        <w:rPr>
          <w:spacing w:val="-11"/>
          <w:sz w:val="20"/>
        </w:rPr>
        <w:t> </w:t>
      </w:r>
      <w:r>
        <w:rPr>
          <w:sz w:val="20"/>
        </w:rPr>
        <w:t>been</w:t>
      </w:r>
      <w:r>
        <w:rPr>
          <w:spacing w:val="-10"/>
          <w:sz w:val="20"/>
        </w:rPr>
        <w:t> </w:t>
      </w:r>
      <w:r>
        <w:rPr>
          <w:sz w:val="20"/>
        </w:rPr>
        <w:t>guided</w:t>
      </w:r>
      <w:r>
        <w:rPr>
          <w:spacing w:val="-10"/>
          <w:sz w:val="20"/>
        </w:rPr>
        <w:t> </w:t>
      </w:r>
      <w:r>
        <w:rPr>
          <w:spacing w:val="-3"/>
          <w:sz w:val="20"/>
        </w:rPr>
        <w:t>by</w:t>
      </w:r>
      <w:r>
        <w:rPr>
          <w:spacing w:val="-11"/>
          <w:sz w:val="20"/>
        </w:rPr>
        <w:t> </w:t>
      </w:r>
      <w:r>
        <w:rPr>
          <w:sz w:val="20"/>
        </w:rPr>
        <w:t>the</w:t>
      </w:r>
      <w:r>
        <w:rPr>
          <w:spacing w:val="-10"/>
          <w:sz w:val="20"/>
        </w:rPr>
        <w:t> </w:t>
      </w:r>
      <w:r>
        <w:rPr>
          <w:sz w:val="20"/>
        </w:rPr>
        <w:t>decisions</w:t>
      </w:r>
      <w:r>
        <w:rPr>
          <w:spacing w:val="-10"/>
          <w:sz w:val="20"/>
        </w:rPr>
        <w:t> </w:t>
      </w:r>
      <w:r>
        <w:rPr>
          <w:sz w:val="20"/>
        </w:rPr>
        <w:t>of</w:t>
      </w:r>
      <w:r>
        <w:rPr>
          <w:spacing w:val="-11"/>
          <w:sz w:val="20"/>
        </w:rPr>
        <w:t> </w:t>
      </w:r>
      <w:r>
        <w:rPr>
          <w:sz w:val="20"/>
        </w:rPr>
        <w:t>the</w:t>
      </w:r>
      <w:r>
        <w:rPr>
          <w:spacing w:val="-10"/>
          <w:sz w:val="20"/>
        </w:rPr>
        <w:t> </w:t>
      </w:r>
      <w:r>
        <w:rPr>
          <w:sz w:val="20"/>
        </w:rPr>
        <w:t>Convention</w:t>
      </w:r>
      <w:r>
        <w:rPr>
          <w:spacing w:val="-11"/>
          <w:sz w:val="20"/>
        </w:rPr>
        <w:t> </w:t>
      </w:r>
      <w:r>
        <w:rPr>
          <w:sz w:val="20"/>
        </w:rPr>
        <w:t>Committee</w:t>
      </w:r>
      <w:r>
        <w:rPr>
          <w:spacing w:val="-10"/>
          <w:sz w:val="20"/>
        </w:rPr>
        <w:t> </w:t>
      </w:r>
      <w:r>
        <w:rPr>
          <w:sz w:val="20"/>
        </w:rPr>
        <w:t>in framing our</w:t>
      </w:r>
      <w:r>
        <w:rPr>
          <w:spacing w:val="-9"/>
          <w:sz w:val="20"/>
        </w:rPr>
        <w:t> </w:t>
      </w:r>
      <w:r>
        <w:rPr>
          <w:sz w:val="20"/>
        </w:rPr>
        <w:t>recommendations.</w:t>
      </w:r>
    </w:p>
    <w:p>
      <w:pPr>
        <w:spacing w:before="161"/>
        <w:ind w:left="967" w:right="0" w:firstLine="0"/>
        <w:jc w:val="left"/>
        <w:rPr>
          <w:b/>
          <w:i/>
          <w:sz w:val="24"/>
        </w:rPr>
      </w:pPr>
      <w:r>
        <w:rPr>
          <w:b/>
          <w:sz w:val="24"/>
        </w:rPr>
        <w:t>The cases of </w:t>
      </w:r>
      <w:r>
        <w:rPr>
          <w:b/>
          <w:i/>
          <w:sz w:val="24"/>
        </w:rPr>
        <w:t>Beasley </w:t>
      </w:r>
      <w:r>
        <w:rPr>
          <w:b/>
          <w:sz w:val="24"/>
        </w:rPr>
        <w:t>and </w:t>
      </w:r>
      <w:r>
        <w:rPr>
          <w:b/>
          <w:i/>
          <w:sz w:val="24"/>
        </w:rPr>
        <w:t>Lockrey</w:t>
      </w:r>
    </w:p>
    <w:p>
      <w:pPr>
        <w:pStyle w:val="ListParagraph"/>
        <w:numPr>
          <w:ilvl w:val="1"/>
          <w:numId w:val="12"/>
        </w:numPr>
        <w:tabs>
          <w:tab w:pos="1761" w:val="left" w:leader="none"/>
          <w:tab w:pos="1762" w:val="left" w:leader="none"/>
        </w:tabs>
        <w:spacing w:line="206" w:lineRule="auto" w:before="127" w:after="0"/>
        <w:ind w:left="1761" w:right="1234" w:hanging="794"/>
        <w:jc w:val="left"/>
        <w:rPr>
          <w:sz w:val="11"/>
        </w:rPr>
      </w:pPr>
      <w:r>
        <w:rPr>
          <w:sz w:val="20"/>
        </w:rPr>
        <w:t>In</w:t>
      </w:r>
      <w:r>
        <w:rPr>
          <w:spacing w:val="-10"/>
          <w:sz w:val="20"/>
        </w:rPr>
        <w:t> </w:t>
      </w:r>
      <w:r>
        <w:rPr>
          <w:i/>
          <w:spacing w:val="-3"/>
          <w:sz w:val="20"/>
        </w:rPr>
        <w:t>Beasley</w:t>
      </w:r>
      <w:r>
        <w:rPr>
          <w:i/>
          <w:spacing w:val="-9"/>
          <w:sz w:val="20"/>
        </w:rPr>
        <w:t> </w:t>
      </w:r>
      <w:r>
        <w:rPr>
          <w:i/>
          <w:sz w:val="20"/>
        </w:rPr>
        <w:t>v</w:t>
      </w:r>
      <w:r>
        <w:rPr>
          <w:i/>
          <w:spacing w:val="-9"/>
          <w:sz w:val="20"/>
        </w:rPr>
        <w:t> </w:t>
      </w:r>
      <w:r>
        <w:rPr>
          <w:i/>
          <w:sz w:val="20"/>
        </w:rPr>
        <w:t>Australia</w:t>
      </w:r>
      <w:r>
        <w:rPr>
          <w:position w:val="7"/>
          <w:sz w:val="11"/>
        </w:rPr>
        <w:t>28</w:t>
      </w:r>
      <w:r>
        <w:rPr>
          <w:spacing w:val="5"/>
          <w:position w:val="7"/>
          <w:sz w:val="11"/>
        </w:rPr>
        <w:t> </w:t>
      </w:r>
      <w:r>
        <w:rPr>
          <w:sz w:val="20"/>
        </w:rPr>
        <w:t>and</w:t>
      </w:r>
      <w:r>
        <w:rPr>
          <w:spacing w:val="-9"/>
          <w:sz w:val="20"/>
        </w:rPr>
        <w:t> </w:t>
      </w:r>
      <w:r>
        <w:rPr>
          <w:i/>
          <w:spacing w:val="-3"/>
          <w:sz w:val="20"/>
        </w:rPr>
        <w:t>Lockrey</w:t>
      </w:r>
      <w:r>
        <w:rPr>
          <w:i/>
          <w:spacing w:val="-9"/>
          <w:sz w:val="20"/>
        </w:rPr>
        <w:t> </w:t>
      </w:r>
      <w:r>
        <w:rPr>
          <w:i/>
          <w:sz w:val="20"/>
        </w:rPr>
        <w:t>v</w:t>
      </w:r>
      <w:r>
        <w:rPr>
          <w:i/>
          <w:spacing w:val="-9"/>
          <w:sz w:val="20"/>
        </w:rPr>
        <w:t> </w:t>
      </w:r>
      <w:r>
        <w:rPr>
          <w:i/>
          <w:sz w:val="20"/>
        </w:rPr>
        <w:t>Australia</w:t>
      </w:r>
      <w:r>
        <w:rPr>
          <w:position w:val="7"/>
          <w:sz w:val="11"/>
        </w:rPr>
        <w:t>29</w:t>
      </w:r>
      <w:r>
        <w:rPr>
          <w:spacing w:val="5"/>
          <w:position w:val="7"/>
          <w:sz w:val="11"/>
        </w:rPr>
        <w:t> </w:t>
      </w:r>
      <w:r>
        <w:rPr>
          <w:sz w:val="20"/>
        </w:rPr>
        <w:t>the</w:t>
      </w:r>
      <w:r>
        <w:rPr>
          <w:spacing w:val="-9"/>
          <w:sz w:val="20"/>
        </w:rPr>
        <w:t> </w:t>
      </w:r>
      <w:r>
        <w:rPr>
          <w:sz w:val="20"/>
        </w:rPr>
        <w:t>Convention</w:t>
      </w:r>
      <w:r>
        <w:rPr>
          <w:spacing w:val="-9"/>
          <w:sz w:val="20"/>
        </w:rPr>
        <w:t> </w:t>
      </w:r>
      <w:r>
        <w:rPr>
          <w:sz w:val="20"/>
        </w:rPr>
        <w:t>Committee</w:t>
      </w:r>
      <w:r>
        <w:rPr>
          <w:spacing w:val="-9"/>
          <w:sz w:val="20"/>
        </w:rPr>
        <w:t> </w:t>
      </w:r>
      <w:r>
        <w:rPr>
          <w:sz w:val="20"/>
        </w:rPr>
        <w:t>ruled</w:t>
      </w:r>
      <w:r>
        <w:rPr>
          <w:spacing w:val="-9"/>
          <w:sz w:val="20"/>
        </w:rPr>
        <w:t> </w:t>
      </w:r>
      <w:r>
        <w:rPr>
          <w:sz w:val="20"/>
        </w:rPr>
        <w:t>on</w:t>
      </w:r>
      <w:r>
        <w:rPr>
          <w:spacing w:val="-9"/>
          <w:sz w:val="20"/>
        </w:rPr>
        <w:t> </w:t>
      </w:r>
      <w:r>
        <w:rPr>
          <w:sz w:val="20"/>
        </w:rPr>
        <w:t>the cases</w:t>
      </w:r>
      <w:r>
        <w:rPr>
          <w:spacing w:val="-9"/>
          <w:sz w:val="20"/>
        </w:rPr>
        <w:t> </w:t>
      </w:r>
      <w:r>
        <w:rPr>
          <w:sz w:val="20"/>
        </w:rPr>
        <w:t>of</w:t>
      </w:r>
      <w:r>
        <w:rPr>
          <w:spacing w:val="-8"/>
          <w:sz w:val="20"/>
        </w:rPr>
        <w:t> </w:t>
      </w:r>
      <w:r>
        <w:rPr>
          <w:sz w:val="20"/>
        </w:rPr>
        <w:t>two</w:t>
      </w:r>
      <w:r>
        <w:rPr>
          <w:spacing w:val="-9"/>
          <w:sz w:val="20"/>
        </w:rPr>
        <w:t> </w:t>
      </w:r>
      <w:r>
        <w:rPr>
          <w:sz w:val="20"/>
        </w:rPr>
        <w:t>people,</w:t>
      </w:r>
      <w:r>
        <w:rPr>
          <w:spacing w:val="-8"/>
          <w:sz w:val="20"/>
        </w:rPr>
        <w:t> </w:t>
      </w:r>
      <w:r>
        <w:rPr>
          <w:sz w:val="20"/>
        </w:rPr>
        <w:t>both</w:t>
      </w:r>
      <w:r>
        <w:rPr>
          <w:spacing w:val="-9"/>
          <w:sz w:val="20"/>
        </w:rPr>
        <w:t> </w:t>
      </w:r>
      <w:r>
        <w:rPr>
          <w:spacing w:val="-4"/>
          <w:sz w:val="20"/>
        </w:rPr>
        <w:t>deaf,</w:t>
      </w:r>
      <w:r>
        <w:rPr>
          <w:spacing w:val="-8"/>
          <w:sz w:val="20"/>
        </w:rPr>
        <w:t> </w:t>
      </w:r>
      <w:r>
        <w:rPr>
          <w:sz w:val="20"/>
        </w:rPr>
        <w:t>who</w:t>
      </w:r>
      <w:r>
        <w:rPr>
          <w:spacing w:val="-9"/>
          <w:sz w:val="20"/>
        </w:rPr>
        <w:t> </w:t>
      </w:r>
      <w:r>
        <w:rPr>
          <w:sz w:val="20"/>
        </w:rPr>
        <w:t>had</w:t>
      </w:r>
      <w:r>
        <w:rPr>
          <w:spacing w:val="-8"/>
          <w:sz w:val="20"/>
        </w:rPr>
        <w:t> </w:t>
      </w:r>
      <w:r>
        <w:rPr>
          <w:sz w:val="20"/>
        </w:rPr>
        <w:t>sought</w:t>
      </w:r>
      <w:r>
        <w:rPr>
          <w:spacing w:val="-9"/>
          <w:sz w:val="20"/>
        </w:rPr>
        <w:t> </w:t>
      </w:r>
      <w:r>
        <w:rPr>
          <w:sz w:val="20"/>
        </w:rPr>
        <w:t>to</w:t>
      </w:r>
      <w:r>
        <w:rPr>
          <w:spacing w:val="-8"/>
          <w:sz w:val="20"/>
        </w:rPr>
        <w:t> </w:t>
      </w:r>
      <w:r>
        <w:rPr>
          <w:sz w:val="20"/>
        </w:rPr>
        <w:t>serve</w:t>
      </w:r>
      <w:r>
        <w:rPr>
          <w:spacing w:val="-8"/>
          <w:sz w:val="20"/>
        </w:rPr>
        <w:t> </w:t>
      </w:r>
      <w:r>
        <w:rPr>
          <w:sz w:val="20"/>
        </w:rPr>
        <w:t>on</w:t>
      </w:r>
      <w:r>
        <w:rPr>
          <w:spacing w:val="-9"/>
          <w:sz w:val="20"/>
        </w:rPr>
        <w:t> </w:t>
      </w:r>
      <w:r>
        <w:rPr>
          <w:sz w:val="20"/>
        </w:rPr>
        <w:t>juries</w:t>
      </w:r>
      <w:r>
        <w:rPr>
          <w:spacing w:val="-8"/>
          <w:sz w:val="20"/>
        </w:rPr>
        <w:t> </w:t>
      </w:r>
      <w:r>
        <w:rPr>
          <w:sz w:val="20"/>
        </w:rPr>
        <w:t>in</w:t>
      </w:r>
      <w:r>
        <w:rPr>
          <w:spacing w:val="-9"/>
          <w:sz w:val="20"/>
        </w:rPr>
        <w:t> </w:t>
      </w:r>
      <w:r>
        <w:rPr>
          <w:sz w:val="20"/>
        </w:rPr>
        <w:t>New</w:t>
      </w:r>
      <w:r>
        <w:rPr>
          <w:spacing w:val="-8"/>
          <w:sz w:val="20"/>
        </w:rPr>
        <w:t> </w:t>
      </w:r>
      <w:r>
        <w:rPr>
          <w:sz w:val="20"/>
        </w:rPr>
        <w:t>South</w:t>
      </w:r>
      <w:r>
        <w:rPr>
          <w:spacing w:val="-9"/>
          <w:sz w:val="20"/>
        </w:rPr>
        <w:t> </w:t>
      </w:r>
      <w:r>
        <w:rPr>
          <w:spacing w:val="-4"/>
          <w:sz w:val="20"/>
        </w:rPr>
        <w:t>Wales </w:t>
      </w:r>
      <w:r>
        <w:rPr>
          <w:sz w:val="20"/>
        </w:rPr>
        <w:t>but </w:t>
      </w:r>
      <w:r>
        <w:rPr>
          <w:spacing w:val="-4"/>
          <w:sz w:val="20"/>
        </w:rPr>
        <w:t>were </w:t>
      </w:r>
      <w:r>
        <w:rPr>
          <w:spacing w:val="-3"/>
          <w:sz w:val="20"/>
        </w:rPr>
        <w:t>excluded </w:t>
      </w:r>
      <w:r>
        <w:rPr>
          <w:sz w:val="20"/>
        </w:rPr>
        <w:t>because accommodations (Auslan </w:t>
      </w:r>
      <w:r>
        <w:rPr>
          <w:spacing w:val="-3"/>
          <w:sz w:val="20"/>
        </w:rPr>
        <w:t>interpreter </w:t>
      </w:r>
      <w:r>
        <w:rPr>
          <w:sz w:val="20"/>
        </w:rPr>
        <w:t>or captioning) </w:t>
      </w:r>
      <w:r>
        <w:rPr>
          <w:spacing w:val="-4"/>
          <w:sz w:val="20"/>
        </w:rPr>
        <w:t>were </w:t>
      </w:r>
      <w:r>
        <w:rPr>
          <w:sz w:val="20"/>
        </w:rPr>
        <w:t>not provided. The complainants </w:t>
      </w:r>
      <w:r>
        <w:rPr>
          <w:spacing w:val="-4"/>
          <w:sz w:val="20"/>
        </w:rPr>
        <w:t>were </w:t>
      </w:r>
      <w:r>
        <w:rPr>
          <w:sz w:val="20"/>
        </w:rPr>
        <w:t>left without domestic remedies and </w:t>
      </w:r>
      <w:r>
        <w:rPr>
          <w:spacing w:val="-3"/>
          <w:sz w:val="20"/>
        </w:rPr>
        <w:t>therefore </w:t>
      </w:r>
      <w:r>
        <w:rPr>
          <w:sz w:val="20"/>
        </w:rPr>
        <w:t>took their complaints to the Convention Committee.</w:t>
      </w:r>
      <w:r>
        <w:rPr>
          <w:position w:val="7"/>
          <w:sz w:val="11"/>
        </w:rPr>
        <w:t>30 </w:t>
      </w:r>
      <w:r>
        <w:rPr>
          <w:spacing w:val="-6"/>
          <w:sz w:val="20"/>
        </w:rPr>
        <w:t>We </w:t>
      </w:r>
      <w:r>
        <w:rPr>
          <w:sz w:val="20"/>
        </w:rPr>
        <w:t>described these cases in </w:t>
      </w:r>
      <w:r>
        <w:rPr>
          <w:spacing w:val="-2"/>
          <w:sz w:val="20"/>
        </w:rPr>
        <w:t>Chapter </w:t>
      </w:r>
      <w:r>
        <w:rPr>
          <w:sz w:val="20"/>
        </w:rPr>
        <w:t>5 of the consultation</w:t>
      </w:r>
      <w:r>
        <w:rPr>
          <w:spacing w:val="-19"/>
          <w:sz w:val="20"/>
        </w:rPr>
        <w:t> </w:t>
      </w:r>
      <w:r>
        <w:rPr>
          <w:spacing w:val="-3"/>
          <w:sz w:val="20"/>
        </w:rPr>
        <w:t>paper.</w:t>
      </w:r>
      <w:r>
        <w:rPr>
          <w:spacing w:val="-3"/>
          <w:position w:val="7"/>
          <w:sz w:val="11"/>
        </w:rPr>
        <w:t>31</w:t>
      </w:r>
    </w:p>
    <w:p>
      <w:pPr>
        <w:pStyle w:val="ListParagraph"/>
        <w:numPr>
          <w:ilvl w:val="1"/>
          <w:numId w:val="12"/>
        </w:numPr>
        <w:tabs>
          <w:tab w:pos="1761" w:val="left" w:leader="none"/>
          <w:tab w:pos="1762" w:val="left" w:leader="none"/>
        </w:tabs>
        <w:spacing w:line="240" w:lineRule="auto" w:before="96" w:after="0"/>
        <w:ind w:left="1761" w:right="0" w:hanging="794"/>
        <w:jc w:val="left"/>
        <w:rPr>
          <w:sz w:val="20"/>
        </w:rPr>
      </w:pPr>
      <w:r>
        <w:rPr>
          <w:sz w:val="20"/>
        </w:rPr>
        <w:t>In </w:t>
      </w:r>
      <w:r>
        <w:rPr>
          <w:i/>
          <w:spacing w:val="-4"/>
          <w:sz w:val="20"/>
        </w:rPr>
        <w:t>Beasley, </w:t>
      </w:r>
      <w:r>
        <w:rPr>
          <w:sz w:val="20"/>
        </w:rPr>
        <w:t>the Convention Committee</w:t>
      </w:r>
      <w:r>
        <w:rPr>
          <w:spacing w:val="-18"/>
          <w:sz w:val="20"/>
        </w:rPr>
        <w:t> </w:t>
      </w:r>
      <w:r>
        <w:rPr>
          <w:sz w:val="20"/>
        </w:rPr>
        <w:t>held:</w:t>
      </w:r>
    </w:p>
    <w:p>
      <w:pPr>
        <w:pStyle w:val="ListParagraph"/>
        <w:numPr>
          <w:ilvl w:val="2"/>
          <w:numId w:val="12"/>
        </w:numPr>
        <w:tabs>
          <w:tab w:pos="2157" w:val="left" w:leader="none"/>
          <w:tab w:pos="2158" w:val="left" w:leader="none"/>
        </w:tabs>
        <w:spacing w:line="206" w:lineRule="auto" w:before="114" w:after="0"/>
        <w:ind w:left="2157" w:right="1453" w:hanging="396"/>
        <w:jc w:val="left"/>
        <w:rPr>
          <w:sz w:val="11"/>
        </w:rPr>
      </w:pPr>
      <w:r>
        <w:rPr>
          <w:sz w:val="20"/>
        </w:rPr>
        <w:t>The </w:t>
      </w:r>
      <w:r>
        <w:rPr>
          <w:spacing w:val="-3"/>
          <w:sz w:val="20"/>
        </w:rPr>
        <w:t>refusal </w:t>
      </w:r>
      <w:r>
        <w:rPr>
          <w:sz w:val="20"/>
        </w:rPr>
        <w:t>to </w:t>
      </w:r>
      <w:r>
        <w:rPr>
          <w:spacing w:val="-3"/>
          <w:sz w:val="20"/>
        </w:rPr>
        <w:t>provide </w:t>
      </w:r>
      <w:r>
        <w:rPr>
          <w:sz w:val="20"/>
        </w:rPr>
        <w:t>an Auslan </w:t>
      </w:r>
      <w:r>
        <w:rPr>
          <w:spacing w:val="-3"/>
          <w:sz w:val="20"/>
        </w:rPr>
        <w:t>interpreter </w:t>
      </w:r>
      <w:r>
        <w:rPr>
          <w:sz w:val="20"/>
        </w:rPr>
        <w:t>or steno-captioning, without </w:t>
      </w:r>
      <w:r>
        <w:rPr>
          <w:spacing w:val="-3"/>
          <w:sz w:val="20"/>
        </w:rPr>
        <w:t>thoroughly</w:t>
      </w:r>
      <w:r>
        <w:rPr>
          <w:spacing w:val="-12"/>
          <w:sz w:val="20"/>
        </w:rPr>
        <w:t> </w:t>
      </w:r>
      <w:r>
        <w:rPr>
          <w:sz w:val="20"/>
        </w:rPr>
        <w:t>assessing</w:t>
      </w:r>
      <w:r>
        <w:rPr>
          <w:spacing w:val="-12"/>
          <w:sz w:val="20"/>
        </w:rPr>
        <w:t> </w:t>
      </w:r>
      <w:r>
        <w:rPr>
          <w:sz w:val="20"/>
        </w:rPr>
        <w:t>whether</w:t>
      </w:r>
      <w:r>
        <w:rPr>
          <w:spacing w:val="-12"/>
          <w:sz w:val="20"/>
        </w:rPr>
        <w:t> </w:t>
      </w:r>
      <w:r>
        <w:rPr>
          <w:sz w:val="20"/>
        </w:rPr>
        <w:t>that</w:t>
      </w:r>
      <w:r>
        <w:rPr>
          <w:spacing w:val="-12"/>
          <w:sz w:val="20"/>
        </w:rPr>
        <w:t> </w:t>
      </w:r>
      <w:r>
        <w:rPr>
          <w:spacing w:val="-3"/>
          <w:sz w:val="20"/>
        </w:rPr>
        <w:t>would</w:t>
      </w:r>
      <w:r>
        <w:rPr>
          <w:spacing w:val="-12"/>
          <w:sz w:val="20"/>
        </w:rPr>
        <w:t> </w:t>
      </w:r>
      <w:r>
        <w:rPr>
          <w:sz w:val="20"/>
        </w:rPr>
        <w:t>constitute</w:t>
      </w:r>
      <w:r>
        <w:rPr>
          <w:spacing w:val="-12"/>
          <w:sz w:val="20"/>
        </w:rPr>
        <w:t> </w:t>
      </w:r>
      <w:r>
        <w:rPr>
          <w:sz w:val="20"/>
        </w:rPr>
        <w:t>a</w:t>
      </w:r>
      <w:r>
        <w:rPr>
          <w:spacing w:val="-12"/>
          <w:sz w:val="20"/>
        </w:rPr>
        <w:t> </w:t>
      </w:r>
      <w:r>
        <w:rPr>
          <w:sz w:val="20"/>
        </w:rPr>
        <w:t>disproportionate</w:t>
      </w:r>
      <w:r>
        <w:rPr>
          <w:spacing w:val="-11"/>
          <w:sz w:val="20"/>
        </w:rPr>
        <w:t> </w:t>
      </w:r>
      <w:r>
        <w:rPr>
          <w:sz w:val="20"/>
        </w:rPr>
        <w:t>or</w:t>
      </w:r>
      <w:r>
        <w:rPr>
          <w:spacing w:val="-12"/>
          <w:sz w:val="20"/>
        </w:rPr>
        <w:t> </w:t>
      </w:r>
      <w:r>
        <w:rPr>
          <w:sz w:val="20"/>
        </w:rPr>
        <w:t>undue burden,</w:t>
      </w:r>
      <w:r>
        <w:rPr>
          <w:spacing w:val="-12"/>
          <w:sz w:val="20"/>
        </w:rPr>
        <w:t> </w:t>
      </w:r>
      <w:r>
        <w:rPr>
          <w:sz w:val="20"/>
        </w:rPr>
        <w:t>amounted</w:t>
      </w:r>
      <w:r>
        <w:rPr>
          <w:spacing w:val="-12"/>
          <w:sz w:val="20"/>
        </w:rPr>
        <w:t> </w:t>
      </w:r>
      <w:r>
        <w:rPr>
          <w:sz w:val="20"/>
        </w:rPr>
        <w:t>to</w:t>
      </w:r>
      <w:r>
        <w:rPr>
          <w:spacing w:val="-11"/>
          <w:sz w:val="20"/>
        </w:rPr>
        <w:t> </w:t>
      </w:r>
      <w:r>
        <w:rPr>
          <w:sz w:val="20"/>
        </w:rPr>
        <w:t>disability-based</w:t>
      </w:r>
      <w:r>
        <w:rPr>
          <w:spacing w:val="-12"/>
          <w:sz w:val="20"/>
        </w:rPr>
        <w:t> </w:t>
      </w:r>
      <w:r>
        <w:rPr>
          <w:sz w:val="20"/>
        </w:rPr>
        <w:t>discrimination</w:t>
      </w:r>
      <w:r>
        <w:rPr>
          <w:spacing w:val="-11"/>
          <w:sz w:val="20"/>
        </w:rPr>
        <w:t> </w:t>
      </w:r>
      <w:r>
        <w:rPr>
          <w:sz w:val="20"/>
        </w:rPr>
        <w:t>in</w:t>
      </w:r>
      <w:r>
        <w:rPr>
          <w:spacing w:val="-12"/>
          <w:sz w:val="20"/>
        </w:rPr>
        <w:t> </w:t>
      </w:r>
      <w:r>
        <w:rPr>
          <w:sz w:val="20"/>
        </w:rPr>
        <w:t>violation</w:t>
      </w:r>
      <w:r>
        <w:rPr>
          <w:spacing w:val="-11"/>
          <w:sz w:val="20"/>
        </w:rPr>
        <w:t> </w:t>
      </w:r>
      <w:r>
        <w:rPr>
          <w:sz w:val="20"/>
        </w:rPr>
        <w:t>of</w:t>
      </w:r>
      <w:r>
        <w:rPr>
          <w:spacing w:val="-12"/>
          <w:sz w:val="20"/>
        </w:rPr>
        <w:t> </w:t>
      </w:r>
      <w:r>
        <w:rPr>
          <w:sz w:val="20"/>
        </w:rPr>
        <w:t>Ms</w:t>
      </w:r>
      <w:r>
        <w:rPr>
          <w:spacing w:val="-11"/>
          <w:sz w:val="20"/>
        </w:rPr>
        <w:t> </w:t>
      </w:r>
      <w:r>
        <w:rPr>
          <w:spacing w:val="-3"/>
          <w:sz w:val="20"/>
        </w:rPr>
        <w:t>Beasley’s </w:t>
      </w:r>
      <w:r>
        <w:rPr>
          <w:sz w:val="20"/>
        </w:rPr>
        <w:t>rights under article 5(1) and</w:t>
      </w:r>
      <w:r>
        <w:rPr>
          <w:spacing w:val="-22"/>
          <w:sz w:val="20"/>
        </w:rPr>
        <w:t> </w:t>
      </w:r>
      <w:r>
        <w:rPr>
          <w:sz w:val="20"/>
        </w:rPr>
        <w:t>(3).</w:t>
      </w:r>
      <w:r>
        <w:rPr>
          <w:position w:val="7"/>
          <w:sz w:val="11"/>
        </w:rPr>
        <w:t>32</w:t>
      </w:r>
    </w:p>
    <w:p>
      <w:pPr>
        <w:pStyle w:val="BodyText"/>
      </w:pPr>
    </w:p>
    <w:p>
      <w:pPr>
        <w:pStyle w:val="BodyText"/>
        <w:spacing w:before="13"/>
        <w:rPr>
          <w:sz w:val="10"/>
        </w:rPr>
      </w:pPr>
      <w:r>
        <w:rPr/>
        <w:pict>
          <v:line style="position:absolute;mso-position-horizontal-relative:page;mso-position-vertical-relative:paragraph;z-index:2720;mso-wrap-distance-left:0;mso-wrap-distance-right:0" from="79.370102pt,10.0709pt" to="515.905102pt,10.0709pt" stroked="true" strokeweight="1pt" strokecolor="#b6bdc8">
            <v:stroke dashstyle="solid"/>
            <w10:wrap type="topAndBottom"/>
          </v:line>
        </w:pict>
      </w:r>
    </w:p>
    <w:p>
      <w:pPr>
        <w:pStyle w:val="ListParagraph"/>
        <w:numPr>
          <w:ilvl w:val="0"/>
          <w:numId w:val="40"/>
        </w:numPr>
        <w:tabs>
          <w:tab w:pos="1761" w:val="left" w:leader="none"/>
          <w:tab w:pos="1762" w:val="left" w:leader="none"/>
        </w:tabs>
        <w:spacing w:line="213" w:lineRule="auto" w:before="107" w:after="0"/>
        <w:ind w:left="1761" w:right="1592" w:hanging="794"/>
        <w:jc w:val="both"/>
        <w:rPr>
          <w:sz w:val="13"/>
        </w:rPr>
      </w:pPr>
      <w:r>
        <w:rPr>
          <w:sz w:val="13"/>
        </w:rPr>
        <w:t>These rights should </w:t>
      </w:r>
      <w:r>
        <w:rPr>
          <w:spacing w:val="2"/>
          <w:sz w:val="13"/>
        </w:rPr>
        <w:t>also </w:t>
      </w:r>
      <w:r>
        <w:rPr>
          <w:sz w:val="13"/>
        </w:rPr>
        <w:t>be read in conjunction with the definitions found in </w:t>
      </w:r>
      <w:r>
        <w:rPr>
          <w:spacing w:val="2"/>
          <w:sz w:val="13"/>
        </w:rPr>
        <w:t>Article </w:t>
      </w:r>
      <w:r>
        <w:rPr>
          <w:sz w:val="13"/>
        </w:rPr>
        <w:t>2 and the </w:t>
      </w:r>
      <w:r>
        <w:rPr>
          <w:spacing w:val="2"/>
          <w:sz w:val="13"/>
        </w:rPr>
        <w:t>General Obligations </w:t>
      </w:r>
      <w:r>
        <w:rPr>
          <w:sz w:val="13"/>
        </w:rPr>
        <w:t>set out in </w:t>
      </w:r>
      <w:r>
        <w:rPr>
          <w:spacing w:val="2"/>
          <w:sz w:val="13"/>
        </w:rPr>
        <w:t>Article </w:t>
      </w:r>
      <w:r>
        <w:rPr>
          <w:spacing w:val="3"/>
          <w:sz w:val="13"/>
        </w:rPr>
        <w:t>4. </w:t>
      </w:r>
      <w:r>
        <w:rPr>
          <w:sz w:val="13"/>
        </w:rPr>
        <w:t>They were analysed in relation to people with </w:t>
      </w:r>
      <w:r>
        <w:rPr>
          <w:spacing w:val="2"/>
          <w:sz w:val="13"/>
        </w:rPr>
        <w:t>disabilities serving </w:t>
      </w:r>
      <w:r>
        <w:rPr>
          <w:sz w:val="13"/>
        </w:rPr>
        <w:t>on juries in the cases of: </w:t>
      </w:r>
      <w:r>
        <w:rPr>
          <w:i/>
          <w:sz w:val="13"/>
        </w:rPr>
        <w:t>Lockrey v Australia </w:t>
      </w:r>
      <w:r>
        <w:rPr>
          <w:sz w:val="13"/>
        </w:rPr>
        <w:t>[8.9]; </w:t>
      </w:r>
      <w:r>
        <w:rPr>
          <w:i/>
          <w:sz w:val="13"/>
        </w:rPr>
        <w:t>Beasley v Australia </w:t>
      </w:r>
      <w:r>
        <w:rPr>
          <w:sz w:val="13"/>
        </w:rPr>
        <w:t>[8.9].</w:t>
      </w:r>
    </w:p>
    <w:p>
      <w:pPr>
        <w:pStyle w:val="ListParagraph"/>
        <w:numPr>
          <w:ilvl w:val="0"/>
          <w:numId w:val="40"/>
        </w:numPr>
        <w:tabs>
          <w:tab w:pos="1761" w:val="left" w:leader="none"/>
          <w:tab w:pos="1762" w:val="left" w:leader="none"/>
        </w:tabs>
        <w:spacing w:line="213" w:lineRule="auto" w:before="0" w:after="0"/>
        <w:ind w:left="1761" w:right="1207" w:hanging="794"/>
        <w:jc w:val="left"/>
        <w:rPr>
          <w:sz w:val="13"/>
        </w:rPr>
      </w:pPr>
      <w:r>
        <w:rPr>
          <w:i/>
          <w:sz w:val="13"/>
        </w:rPr>
        <w:t>JH v Australia; Beasley v Australia; Lockrey v Australia</w:t>
      </w:r>
      <w:r>
        <w:rPr>
          <w:sz w:val="13"/>
        </w:rPr>
        <w:t>; Committee on the Rights of Persons with </w:t>
      </w:r>
      <w:r>
        <w:rPr>
          <w:spacing w:val="2"/>
          <w:sz w:val="13"/>
        </w:rPr>
        <w:t>Disabilities, </w:t>
      </w:r>
      <w:r>
        <w:rPr>
          <w:i/>
          <w:sz w:val="13"/>
        </w:rPr>
        <w:t>Views: Communication  </w:t>
      </w:r>
      <w:r>
        <w:rPr>
          <w:i/>
          <w:sz w:val="13"/>
        </w:rPr>
        <w:t>No 12/2013, 13th sess, </w:t>
      </w:r>
      <w:r>
        <w:rPr>
          <w:sz w:val="13"/>
        </w:rPr>
        <w:t>CRPD/C/13/D/12/2013 </w:t>
      </w:r>
      <w:r>
        <w:rPr>
          <w:spacing w:val="2"/>
          <w:sz w:val="13"/>
        </w:rPr>
        <w:t>[2.4], [8.1]–[9] </w:t>
      </w:r>
      <w:r>
        <w:rPr>
          <w:sz w:val="13"/>
        </w:rPr>
        <w:t>(‘</w:t>
      </w:r>
      <w:r>
        <w:rPr>
          <w:i/>
          <w:sz w:val="13"/>
        </w:rPr>
        <w:t>AM v</w:t>
      </w:r>
      <w:r>
        <w:rPr>
          <w:i/>
          <w:spacing w:val="-2"/>
          <w:sz w:val="13"/>
        </w:rPr>
        <w:t> </w:t>
      </w:r>
      <w:r>
        <w:rPr>
          <w:i/>
          <w:sz w:val="13"/>
        </w:rPr>
        <w:t>Australia</w:t>
      </w:r>
      <w:r>
        <w:rPr>
          <w:sz w:val="13"/>
        </w:rPr>
        <w:t>’</w:t>
      </w:r>
      <w:r>
        <w:rPr>
          <w:i/>
          <w:sz w:val="13"/>
        </w:rPr>
        <w:t>)</w:t>
      </w:r>
      <w:r>
        <w:rPr>
          <w:sz w:val="13"/>
        </w:rPr>
        <w:t>.</w:t>
      </w:r>
    </w:p>
    <w:p>
      <w:pPr>
        <w:pStyle w:val="ListParagraph"/>
        <w:numPr>
          <w:ilvl w:val="0"/>
          <w:numId w:val="40"/>
        </w:numPr>
        <w:tabs>
          <w:tab w:pos="1761" w:val="left" w:leader="none"/>
          <w:tab w:pos="1762" w:val="left" w:leader="none"/>
        </w:tabs>
        <w:spacing w:line="213" w:lineRule="auto" w:before="0" w:after="0"/>
        <w:ind w:left="1761" w:right="1223" w:hanging="794"/>
        <w:jc w:val="left"/>
        <w:rPr>
          <w:sz w:val="13"/>
        </w:rPr>
      </w:pPr>
      <w:r>
        <w:rPr>
          <w:sz w:val="13"/>
        </w:rPr>
        <w:t>In </w:t>
      </w:r>
      <w:r>
        <w:rPr>
          <w:spacing w:val="2"/>
          <w:sz w:val="13"/>
        </w:rPr>
        <w:t>2013, Alastair </w:t>
      </w:r>
      <w:r>
        <w:rPr>
          <w:sz w:val="13"/>
        </w:rPr>
        <w:t>McEwin, a deaf man who required an Auslan interpreter to </w:t>
      </w:r>
      <w:r>
        <w:rPr>
          <w:spacing w:val="2"/>
          <w:sz w:val="13"/>
        </w:rPr>
        <w:t>undertake jury service, </w:t>
      </w:r>
      <w:r>
        <w:rPr>
          <w:sz w:val="13"/>
        </w:rPr>
        <w:t>submitted a complaint to the Convention Committee, arguing that while he had never </w:t>
      </w:r>
      <w:r>
        <w:rPr>
          <w:spacing w:val="2"/>
          <w:sz w:val="13"/>
        </w:rPr>
        <w:t>been </w:t>
      </w:r>
      <w:r>
        <w:rPr>
          <w:sz w:val="13"/>
        </w:rPr>
        <w:t>personally selected for </w:t>
      </w:r>
      <w:r>
        <w:rPr>
          <w:spacing w:val="2"/>
          <w:sz w:val="13"/>
        </w:rPr>
        <w:t>jury service, </w:t>
      </w:r>
      <w:r>
        <w:rPr>
          <w:sz w:val="13"/>
        </w:rPr>
        <w:t>he ‘considers that the practice  of</w:t>
      </w:r>
      <w:r>
        <w:rPr>
          <w:spacing w:val="4"/>
          <w:sz w:val="13"/>
        </w:rPr>
        <w:t> </w:t>
      </w:r>
      <w:r>
        <w:rPr>
          <w:sz w:val="13"/>
        </w:rPr>
        <w:t>the</w:t>
      </w:r>
      <w:r>
        <w:rPr>
          <w:spacing w:val="5"/>
          <w:sz w:val="13"/>
        </w:rPr>
        <w:t> </w:t>
      </w:r>
      <w:r>
        <w:rPr>
          <w:sz w:val="13"/>
        </w:rPr>
        <w:t>Sheriff</w:t>
      </w:r>
      <w:r>
        <w:rPr>
          <w:spacing w:val="5"/>
          <w:sz w:val="13"/>
        </w:rPr>
        <w:t> </w:t>
      </w:r>
      <w:r>
        <w:rPr>
          <w:sz w:val="13"/>
        </w:rPr>
        <w:t>of</w:t>
      </w:r>
      <w:r>
        <w:rPr>
          <w:spacing w:val="4"/>
          <w:sz w:val="13"/>
        </w:rPr>
        <w:t> </w:t>
      </w:r>
      <w:r>
        <w:rPr>
          <w:sz w:val="13"/>
        </w:rPr>
        <w:t>excluding</w:t>
      </w:r>
      <w:r>
        <w:rPr>
          <w:spacing w:val="5"/>
          <w:sz w:val="13"/>
        </w:rPr>
        <w:t> </w:t>
      </w:r>
      <w:r>
        <w:rPr>
          <w:sz w:val="13"/>
        </w:rPr>
        <w:t>deaf</w:t>
      </w:r>
      <w:r>
        <w:rPr>
          <w:spacing w:val="5"/>
          <w:sz w:val="13"/>
        </w:rPr>
        <w:t> </w:t>
      </w:r>
      <w:r>
        <w:rPr>
          <w:sz w:val="13"/>
        </w:rPr>
        <w:t>persons</w:t>
      </w:r>
      <w:r>
        <w:rPr>
          <w:spacing w:val="4"/>
          <w:sz w:val="13"/>
        </w:rPr>
        <w:t> </w:t>
      </w:r>
      <w:r>
        <w:rPr>
          <w:sz w:val="13"/>
        </w:rPr>
        <w:t>from</w:t>
      </w:r>
      <w:r>
        <w:rPr>
          <w:spacing w:val="5"/>
          <w:sz w:val="13"/>
        </w:rPr>
        <w:t> </w:t>
      </w:r>
      <w:r>
        <w:rPr>
          <w:spacing w:val="2"/>
          <w:sz w:val="13"/>
        </w:rPr>
        <w:t>jury</w:t>
      </w:r>
      <w:r>
        <w:rPr>
          <w:spacing w:val="5"/>
          <w:sz w:val="13"/>
        </w:rPr>
        <w:t> </w:t>
      </w:r>
      <w:r>
        <w:rPr>
          <w:sz w:val="13"/>
        </w:rPr>
        <w:t>duty</w:t>
      </w:r>
      <w:r>
        <w:rPr>
          <w:spacing w:val="4"/>
          <w:sz w:val="13"/>
        </w:rPr>
        <w:t> </w:t>
      </w:r>
      <w:r>
        <w:rPr>
          <w:sz w:val="13"/>
        </w:rPr>
        <w:t>is</w:t>
      </w:r>
      <w:r>
        <w:rPr>
          <w:spacing w:val="5"/>
          <w:sz w:val="13"/>
        </w:rPr>
        <w:t> </w:t>
      </w:r>
      <w:r>
        <w:rPr>
          <w:sz w:val="13"/>
        </w:rPr>
        <w:t>discriminatory,</w:t>
      </w:r>
      <w:r>
        <w:rPr>
          <w:spacing w:val="5"/>
          <w:sz w:val="13"/>
        </w:rPr>
        <w:t> </w:t>
      </w:r>
      <w:r>
        <w:rPr>
          <w:sz w:val="13"/>
        </w:rPr>
        <w:t>and</w:t>
      </w:r>
      <w:r>
        <w:rPr>
          <w:spacing w:val="5"/>
          <w:sz w:val="13"/>
        </w:rPr>
        <w:t> </w:t>
      </w:r>
      <w:r>
        <w:rPr>
          <w:sz w:val="13"/>
        </w:rPr>
        <w:t>would</w:t>
      </w:r>
      <w:r>
        <w:rPr>
          <w:spacing w:val="4"/>
          <w:sz w:val="13"/>
        </w:rPr>
        <w:t> </w:t>
      </w:r>
      <w:r>
        <w:rPr>
          <w:sz w:val="13"/>
        </w:rPr>
        <w:t>affect</w:t>
      </w:r>
      <w:r>
        <w:rPr>
          <w:spacing w:val="5"/>
          <w:sz w:val="13"/>
        </w:rPr>
        <w:t> </w:t>
      </w:r>
      <w:r>
        <w:rPr>
          <w:sz w:val="13"/>
        </w:rPr>
        <w:t>him</w:t>
      </w:r>
      <w:r>
        <w:rPr>
          <w:spacing w:val="5"/>
          <w:sz w:val="13"/>
        </w:rPr>
        <w:t> </w:t>
      </w:r>
      <w:r>
        <w:rPr>
          <w:sz w:val="13"/>
        </w:rPr>
        <w:t>should</w:t>
      </w:r>
      <w:r>
        <w:rPr>
          <w:spacing w:val="4"/>
          <w:sz w:val="13"/>
        </w:rPr>
        <w:t> </w:t>
      </w:r>
      <w:r>
        <w:rPr>
          <w:sz w:val="13"/>
        </w:rPr>
        <w:t>he</w:t>
      </w:r>
      <w:r>
        <w:rPr>
          <w:spacing w:val="5"/>
          <w:sz w:val="13"/>
        </w:rPr>
        <w:t> </w:t>
      </w:r>
      <w:r>
        <w:rPr>
          <w:sz w:val="13"/>
        </w:rPr>
        <w:t>be</w:t>
      </w:r>
      <w:r>
        <w:rPr>
          <w:spacing w:val="5"/>
          <w:sz w:val="13"/>
        </w:rPr>
        <w:t> </w:t>
      </w:r>
      <w:r>
        <w:rPr>
          <w:sz w:val="13"/>
        </w:rPr>
        <w:t>randomly</w:t>
      </w:r>
      <w:r>
        <w:rPr>
          <w:spacing w:val="4"/>
          <w:sz w:val="13"/>
        </w:rPr>
        <w:t> </w:t>
      </w:r>
      <w:r>
        <w:rPr>
          <w:sz w:val="13"/>
        </w:rPr>
        <w:t>selected</w:t>
      </w:r>
    </w:p>
    <w:p>
      <w:pPr>
        <w:spacing w:line="213" w:lineRule="auto" w:before="0"/>
        <w:ind w:left="1761" w:right="1297" w:firstLine="0"/>
        <w:jc w:val="left"/>
        <w:rPr>
          <w:sz w:val="13"/>
        </w:rPr>
      </w:pPr>
      <w:r>
        <w:rPr>
          <w:sz w:val="13"/>
        </w:rPr>
        <w:t>to perform jury duty’. The Convention Committee decided that this case was inadmissible because he had never been selected for jury service, and therefore his complaint was ‘hypothetical and insufficient for the author to claim victim status within the meaning of article 1 (1) of the Optional Protocol’: </w:t>
      </w:r>
      <w:r>
        <w:rPr>
          <w:i/>
          <w:sz w:val="13"/>
        </w:rPr>
        <w:t>AM v Australia </w:t>
      </w:r>
      <w:r>
        <w:rPr>
          <w:sz w:val="13"/>
        </w:rPr>
        <w:t>[8.7].</w:t>
      </w:r>
    </w:p>
    <w:p>
      <w:pPr>
        <w:pStyle w:val="ListParagraph"/>
        <w:numPr>
          <w:ilvl w:val="0"/>
          <w:numId w:val="40"/>
        </w:numPr>
        <w:tabs>
          <w:tab w:pos="1761" w:val="left" w:leader="none"/>
          <w:tab w:pos="1762" w:val="left" w:leader="none"/>
        </w:tabs>
        <w:spacing w:line="213" w:lineRule="auto" w:before="0" w:after="0"/>
        <w:ind w:left="1761" w:right="1209" w:hanging="794"/>
        <w:jc w:val="left"/>
        <w:rPr>
          <w:sz w:val="13"/>
        </w:rPr>
      </w:pPr>
      <w:r>
        <w:rPr>
          <w:sz w:val="13"/>
        </w:rPr>
        <w:t>In 2021, the </w:t>
      </w:r>
      <w:r>
        <w:rPr>
          <w:spacing w:val="2"/>
          <w:sz w:val="13"/>
        </w:rPr>
        <w:t>Court </w:t>
      </w:r>
      <w:r>
        <w:rPr>
          <w:sz w:val="13"/>
        </w:rPr>
        <w:t>of Justice of the European Union heard a case regarding a Bulgarian person who was excluded from working      as a juror on a case </w:t>
      </w:r>
      <w:r>
        <w:rPr>
          <w:spacing w:val="2"/>
          <w:sz w:val="13"/>
        </w:rPr>
        <w:t>because </w:t>
      </w:r>
      <w:r>
        <w:rPr>
          <w:sz w:val="13"/>
        </w:rPr>
        <w:t>she was </w:t>
      </w:r>
      <w:r>
        <w:rPr>
          <w:spacing w:val="2"/>
          <w:sz w:val="13"/>
        </w:rPr>
        <w:t>blind. </w:t>
      </w:r>
      <w:r>
        <w:rPr>
          <w:sz w:val="13"/>
        </w:rPr>
        <w:t>Applying both the CRPD and European Law, the </w:t>
      </w:r>
      <w:r>
        <w:rPr>
          <w:spacing w:val="2"/>
          <w:sz w:val="13"/>
        </w:rPr>
        <w:t>Court </w:t>
      </w:r>
      <w:r>
        <w:rPr>
          <w:sz w:val="13"/>
        </w:rPr>
        <w:t>held that her complete  exclusion was </w:t>
      </w:r>
      <w:r>
        <w:rPr>
          <w:spacing w:val="2"/>
          <w:sz w:val="13"/>
        </w:rPr>
        <w:t>impermissible </w:t>
      </w:r>
      <w:r>
        <w:rPr>
          <w:sz w:val="13"/>
        </w:rPr>
        <w:t>and that there should have </w:t>
      </w:r>
      <w:r>
        <w:rPr>
          <w:spacing w:val="2"/>
          <w:sz w:val="13"/>
        </w:rPr>
        <w:t>been </w:t>
      </w:r>
      <w:r>
        <w:rPr>
          <w:sz w:val="13"/>
        </w:rPr>
        <w:t>‘an evaluation of her individual </w:t>
      </w:r>
      <w:r>
        <w:rPr>
          <w:spacing w:val="2"/>
          <w:sz w:val="13"/>
        </w:rPr>
        <w:t>ability </w:t>
      </w:r>
      <w:r>
        <w:rPr>
          <w:sz w:val="13"/>
        </w:rPr>
        <w:t>to </w:t>
      </w:r>
      <w:r>
        <w:rPr>
          <w:spacing w:val="2"/>
          <w:sz w:val="13"/>
        </w:rPr>
        <w:t>perform </w:t>
      </w:r>
      <w:r>
        <w:rPr>
          <w:sz w:val="13"/>
        </w:rPr>
        <w:t>her duties and … investigation of the </w:t>
      </w:r>
      <w:r>
        <w:rPr>
          <w:spacing w:val="2"/>
          <w:sz w:val="13"/>
        </w:rPr>
        <w:t>possibility </w:t>
      </w:r>
      <w:r>
        <w:rPr>
          <w:sz w:val="13"/>
        </w:rPr>
        <w:t>of rectifying any difficulties that may arise [by providing reasonable adjustments]’: </w:t>
      </w:r>
      <w:r>
        <w:rPr>
          <w:i/>
          <w:sz w:val="13"/>
        </w:rPr>
        <w:t>TC, UB v Komisia   </w:t>
      </w:r>
      <w:r>
        <w:rPr>
          <w:i/>
          <w:sz w:val="13"/>
        </w:rPr>
        <w:t>za zashtita ot diskriminatsia, </w:t>
      </w:r>
      <w:r>
        <w:rPr>
          <w:i/>
          <w:spacing w:val="-3"/>
          <w:sz w:val="13"/>
        </w:rPr>
        <w:t>VA </w:t>
      </w:r>
      <w:r>
        <w:rPr>
          <w:spacing w:val="2"/>
          <w:sz w:val="13"/>
        </w:rPr>
        <w:t>(Court </w:t>
      </w:r>
      <w:r>
        <w:rPr>
          <w:sz w:val="13"/>
        </w:rPr>
        <w:t>of Justice of the European Union, Second Chamber, C-824/19, 21 October 2021) [56]. We    note that jurors are paid employees in Bulgaria, unlike in Victoria where </w:t>
      </w:r>
      <w:r>
        <w:rPr>
          <w:spacing w:val="2"/>
          <w:sz w:val="13"/>
        </w:rPr>
        <w:t>jury </w:t>
      </w:r>
      <w:r>
        <w:rPr>
          <w:sz w:val="13"/>
        </w:rPr>
        <w:t>duty is a civic responsibility. However, the </w:t>
      </w:r>
      <w:r>
        <w:rPr>
          <w:spacing w:val="2"/>
          <w:sz w:val="13"/>
        </w:rPr>
        <w:t>application</w:t>
      </w:r>
      <w:r>
        <w:rPr>
          <w:spacing w:val="37"/>
          <w:sz w:val="13"/>
        </w:rPr>
        <w:t> </w:t>
      </w:r>
      <w:r>
        <w:rPr>
          <w:sz w:val="13"/>
        </w:rPr>
        <w:t>of</w:t>
      </w:r>
      <w:r>
        <w:rPr>
          <w:spacing w:val="3"/>
          <w:sz w:val="13"/>
        </w:rPr>
        <w:t> </w:t>
      </w:r>
      <w:r>
        <w:rPr>
          <w:sz w:val="13"/>
        </w:rPr>
        <w:t>the</w:t>
      </w:r>
      <w:r>
        <w:rPr>
          <w:spacing w:val="4"/>
          <w:sz w:val="13"/>
        </w:rPr>
        <w:t> </w:t>
      </w:r>
      <w:r>
        <w:rPr>
          <w:sz w:val="13"/>
        </w:rPr>
        <w:t>CRPD</w:t>
      </w:r>
      <w:r>
        <w:rPr>
          <w:spacing w:val="4"/>
          <w:sz w:val="13"/>
        </w:rPr>
        <w:t> </w:t>
      </w:r>
      <w:r>
        <w:rPr>
          <w:sz w:val="13"/>
        </w:rPr>
        <w:t>by</w:t>
      </w:r>
      <w:r>
        <w:rPr>
          <w:spacing w:val="3"/>
          <w:sz w:val="13"/>
        </w:rPr>
        <w:t> </w:t>
      </w:r>
      <w:r>
        <w:rPr>
          <w:sz w:val="13"/>
        </w:rPr>
        <w:t>the</w:t>
      </w:r>
      <w:r>
        <w:rPr>
          <w:spacing w:val="4"/>
          <w:sz w:val="13"/>
        </w:rPr>
        <w:t> </w:t>
      </w:r>
      <w:r>
        <w:rPr>
          <w:spacing w:val="2"/>
          <w:sz w:val="13"/>
        </w:rPr>
        <w:t>Court</w:t>
      </w:r>
      <w:r>
        <w:rPr>
          <w:spacing w:val="4"/>
          <w:sz w:val="13"/>
        </w:rPr>
        <w:t> </w:t>
      </w:r>
      <w:r>
        <w:rPr>
          <w:sz w:val="13"/>
        </w:rPr>
        <w:t>of</w:t>
      </w:r>
      <w:r>
        <w:rPr>
          <w:spacing w:val="3"/>
          <w:sz w:val="13"/>
        </w:rPr>
        <w:t> </w:t>
      </w:r>
      <w:r>
        <w:rPr>
          <w:sz w:val="13"/>
        </w:rPr>
        <w:t>Justice</w:t>
      </w:r>
      <w:r>
        <w:rPr>
          <w:spacing w:val="4"/>
          <w:sz w:val="13"/>
        </w:rPr>
        <w:t> </w:t>
      </w:r>
      <w:r>
        <w:rPr>
          <w:sz w:val="13"/>
        </w:rPr>
        <w:t>of</w:t>
      </w:r>
      <w:r>
        <w:rPr>
          <w:spacing w:val="4"/>
          <w:sz w:val="13"/>
        </w:rPr>
        <w:t> </w:t>
      </w:r>
      <w:r>
        <w:rPr>
          <w:sz w:val="13"/>
        </w:rPr>
        <w:t>the</w:t>
      </w:r>
      <w:r>
        <w:rPr>
          <w:spacing w:val="3"/>
          <w:sz w:val="13"/>
        </w:rPr>
        <w:t> </w:t>
      </w:r>
      <w:r>
        <w:rPr>
          <w:sz w:val="13"/>
        </w:rPr>
        <w:t>European</w:t>
      </w:r>
      <w:r>
        <w:rPr>
          <w:spacing w:val="4"/>
          <w:sz w:val="13"/>
        </w:rPr>
        <w:t> </w:t>
      </w:r>
      <w:r>
        <w:rPr>
          <w:sz w:val="13"/>
        </w:rPr>
        <w:t>Union</w:t>
      </w:r>
      <w:r>
        <w:rPr>
          <w:spacing w:val="4"/>
          <w:sz w:val="13"/>
        </w:rPr>
        <w:t> </w:t>
      </w:r>
      <w:r>
        <w:rPr>
          <w:sz w:val="13"/>
        </w:rPr>
        <w:t>is</w:t>
      </w:r>
      <w:r>
        <w:rPr>
          <w:spacing w:val="3"/>
          <w:sz w:val="13"/>
        </w:rPr>
        <w:t> </w:t>
      </w:r>
      <w:r>
        <w:rPr>
          <w:sz w:val="13"/>
        </w:rPr>
        <w:t>in</w:t>
      </w:r>
      <w:r>
        <w:rPr>
          <w:spacing w:val="4"/>
          <w:sz w:val="13"/>
        </w:rPr>
        <w:t> </w:t>
      </w:r>
      <w:r>
        <w:rPr>
          <w:sz w:val="13"/>
        </w:rPr>
        <w:t>line</w:t>
      </w:r>
      <w:r>
        <w:rPr>
          <w:spacing w:val="4"/>
          <w:sz w:val="13"/>
        </w:rPr>
        <w:t> </w:t>
      </w:r>
      <w:r>
        <w:rPr>
          <w:sz w:val="13"/>
        </w:rPr>
        <w:t>with</w:t>
      </w:r>
      <w:r>
        <w:rPr>
          <w:spacing w:val="4"/>
          <w:sz w:val="13"/>
        </w:rPr>
        <w:t> </w:t>
      </w:r>
      <w:r>
        <w:rPr>
          <w:sz w:val="13"/>
        </w:rPr>
        <w:t>the</w:t>
      </w:r>
      <w:r>
        <w:rPr>
          <w:spacing w:val="3"/>
          <w:sz w:val="13"/>
        </w:rPr>
        <w:t> </w:t>
      </w:r>
      <w:r>
        <w:rPr>
          <w:sz w:val="13"/>
        </w:rPr>
        <w:t>Convention</w:t>
      </w:r>
      <w:r>
        <w:rPr>
          <w:spacing w:val="4"/>
          <w:sz w:val="13"/>
        </w:rPr>
        <w:t> </w:t>
      </w:r>
      <w:r>
        <w:rPr>
          <w:sz w:val="13"/>
        </w:rPr>
        <w:t>Committee’s</w:t>
      </w:r>
      <w:r>
        <w:rPr>
          <w:spacing w:val="4"/>
          <w:sz w:val="13"/>
        </w:rPr>
        <w:t> </w:t>
      </w:r>
      <w:r>
        <w:rPr>
          <w:sz w:val="13"/>
        </w:rPr>
        <w:t>interpretation</w:t>
      </w:r>
      <w:r>
        <w:rPr>
          <w:spacing w:val="3"/>
          <w:sz w:val="13"/>
        </w:rPr>
        <w:t> </w:t>
      </w:r>
      <w:r>
        <w:rPr>
          <w:sz w:val="13"/>
        </w:rPr>
        <w:t>of</w:t>
      </w:r>
      <w:r>
        <w:rPr>
          <w:spacing w:val="4"/>
          <w:sz w:val="13"/>
        </w:rPr>
        <w:t> </w:t>
      </w:r>
      <w:r>
        <w:rPr>
          <w:sz w:val="13"/>
        </w:rPr>
        <w:t>the</w:t>
      </w:r>
    </w:p>
    <w:p>
      <w:pPr>
        <w:spacing w:line="213" w:lineRule="auto" w:before="0"/>
        <w:ind w:left="1761" w:right="1277" w:firstLine="0"/>
        <w:jc w:val="left"/>
        <w:rPr>
          <w:sz w:val="13"/>
        </w:rPr>
      </w:pPr>
      <w:r>
        <w:rPr>
          <w:sz w:val="13"/>
        </w:rPr>
        <w:t>CRPD, which informs our recommendations in this </w:t>
      </w:r>
      <w:r>
        <w:rPr>
          <w:spacing w:val="2"/>
          <w:sz w:val="13"/>
        </w:rPr>
        <w:t>report. </w:t>
      </w:r>
      <w:r>
        <w:rPr>
          <w:sz w:val="13"/>
        </w:rPr>
        <w:t>See </w:t>
      </w:r>
      <w:r>
        <w:rPr>
          <w:spacing w:val="2"/>
          <w:sz w:val="13"/>
        </w:rPr>
        <w:t>also </w:t>
      </w:r>
      <w:r>
        <w:rPr>
          <w:i/>
          <w:sz w:val="13"/>
        </w:rPr>
        <w:t>TC, UB v Komisia za zashtita ot diskriminatsia, </w:t>
      </w:r>
      <w:r>
        <w:rPr>
          <w:i/>
          <w:spacing w:val="-3"/>
          <w:sz w:val="13"/>
        </w:rPr>
        <w:t>VA </w:t>
      </w:r>
      <w:r>
        <w:rPr>
          <w:sz w:val="13"/>
        </w:rPr>
        <w:t>(Opinion of Advocate </w:t>
      </w:r>
      <w:r>
        <w:rPr>
          <w:spacing w:val="2"/>
          <w:sz w:val="13"/>
        </w:rPr>
        <w:t>General </w:t>
      </w:r>
      <w:r>
        <w:rPr>
          <w:sz w:val="13"/>
        </w:rPr>
        <w:t>Saugmandsgaard Øe, </w:t>
      </w:r>
      <w:r>
        <w:rPr>
          <w:spacing w:val="2"/>
          <w:sz w:val="13"/>
        </w:rPr>
        <w:t>Court </w:t>
      </w:r>
      <w:r>
        <w:rPr>
          <w:sz w:val="13"/>
        </w:rPr>
        <w:t>of Justice of the European Union, C-824/19, 22 April 2021). For case </w:t>
      </w:r>
      <w:r>
        <w:rPr>
          <w:spacing w:val="2"/>
          <w:sz w:val="13"/>
        </w:rPr>
        <w:t>commentary: </w:t>
      </w:r>
      <w:r>
        <w:rPr>
          <w:sz w:val="13"/>
        </w:rPr>
        <w:t>see Lisa Waddington, ‘Komisia Za Zashtita Ot Diskriminatsia (HvJ EU, C-824/19)—No  Blanket  Exclusion  of  </w:t>
      </w:r>
      <w:r>
        <w:rPr>
          <w:spacing w:val="2"/>
          <w:sz w:val="13"/>
        </w:rPr>
        <w:t>Blind </w:t>
      </w:r>
      <w:r>
        <w:rPr>
          <w:sz w:val="13"/>
        </w:rPr>
        <w:t>Person  from </w:t>
      </w:r>
      <w:r>
        <w:rPr>
          <w:spacing w:val="2"/>
          <w:sz w:val="13"/>
        </w:rPr>
        <w:t>Being </w:t>
      </w:r>
      <w:r>
        <w:rPr>
          <w:sz w:val="13"/>
        </w:rPr>
        <w:t>Employed as a Juror’, </w:t>
      </w:r>
      <w:r>
        <w:rPr>
          <w:i/>
          <w:sz w:val="13"/>
        </w:rPr>
        <w:t>European Human </w:t>
      </w:r>
      <w:r>
        <w:rPr>
          <w:i/>
          <w:spacing w:val="2"/>
          <w:sz w:val="13"/>
        </w:rPr>
        <w:t>Rights </w:t>
      </w:r>
      <w:r>
        <w:rPr>
          <w:i/>
          <w:sz w:val="13"/>
        </w:rPr>
        <w:t>Cases Updates </w:t>
      </w:r>
      <w:r>
        <w:rPr>
          <w:sz w:val="13"/>
        </w:rPr>
        <w:t>(Web Page, </w:t>
      </w:r>
      <w:r>
        <w:rPr>
          <w:spacing w:val="3"/>
          <w:sz w:val="13"/>
        </w:rPr>
        <w:t>14 </w:t>
      </w:r>
      <w:r>
        <w:rPr>
          <w:spacing w:val="2"/>
          <w:sz w:val="13"/>
        </w:rPr>
        <w:t>January </w:t>
      </w:r>
      <w:r>
        <w:rPr>
          <w:sz w:val="13"/>
        </w:rPr>
        <w:t>2022) &lt;</w:t>
      </w:r>
      <w:hyperlink r:id="rId97">
        <w:r>
          <w:rPr>
            <w:sz w:val="13"/>
          </w:rPr>
          <w:t>https://www.ehrc-updates.nl/</w:t>
        </w:r>
      </w:hyperlink>
      <w:r>
        <w:rPr>
          <w:sz w:val="13"/>
        </w:rPr>
        <w:t> </w:t>
      </w:r>
      <w:hyperlink r:id="rId97">
        <w:r>
          <w:rPr>
            <w:sz w:val="13"/>
          </w:rPr>
          <w:t>commentaar/211849</w:t>
        </w:r>
      </w:hyperlink>
      <w:r>
        <w:rPr>
          <w:sz w:val="13"/>
        </w:rPr>
        <w:t>&gt;.</w:t>
      </w:r>
    </w:p>
    <w:p>
      <w:pPr>
        <w:pStyle w:val="ListParagraph"/>
        <w:numPr>
          <w:ilvl w:val="0"/>
          <w:numId w:val="40"/>
        </w:numPr>
        <w:tabs>
          <w:tab w:pos="1760" w:val="left" w:leader="none"/>
          <w:tab w:pos="1762" w:val="left" w:leader="none"/>
        </w:tabs>
        <w:spacing w:line="213" w:lineRule="auto" w:before="0" w:after="0"/>
        <w:ind w:left="1761" w:right="2163" w:hanging="794"/>
        <w:jc w:val="left"/>
        <w:rPr>
          <w:sz w:val="13"/>
        </w:rPr>
      </w:pPr>
      <w:r>
        <w:rPr>
          <w:sz w:val="13"/>
        </w:rPr>
        <w:t>Committee on the Rights of Persons with </w:t>
      </w:r>
      <w:r>
        <w:rPr>
          <w:spacing w:val="2"/>
          <w:sz w:val="13"/>
        </w:rPr>
        <w:t>Disabilities, </w:t>
      </w:r>
      <w:r>
        <w:rPr>
          <w:i/>
          <w:sz w:val="13"/>
        </w:rPr>
        <w:t>Views: Communication No 11/2013</w:t>
      </w:r>
      <w:r>
        <w:rPr>
          <w:sz w:val="13"/>
        </w:rPr>
        <w:t>, 15th sess, UN Doc CRPD/ C/15/D/11/2013 (25 May 2016) (‘</w:t>
      </w:r>
      <w:r>
        <w:rPr>
          <w:i/>
          <w:sz w:val="13"/>
        </w:rPr>
        <w:t>Beasley v</w:t>
      </w:r>
      <w:r>
        <w:rPr>
          <w:i/>
          <w:spacing w:val="2"/>
          <w:sz w:val="13"/>
        </w:rPr>
        <w:t> </w:t>
      </w:r>
      <w:r>
        <w:rPr>
          <w:i/>
          <w:sz w:val="13"/>
        </w:rPr>
        <w:t>Australia</w:t>
      </w:r>
      <w:r>
        <w:rPr>
          <w:sz w:val="13"/>
        </w:rPr>
        <w:t>’).</w:t>
      </w:r>
    </w:p>
    <w:p>
      <w:pPr>
        <w:pStyle w:val="ListParagraph"/>
        <w:numPr>
          <w:ilvl w:val="0"/>
          <w:numId w:val="40"/>
        </w:numPr>
        <w:tabs>
          <w:tab w:pos="1760" w:val="left" w:leader="none"/>
          <w:tab w:pos="1762" w:val="left" w:leader="none"/>
        </w:tabs>
        <w:spacing w:line="213" w:lineRule="auto" w:before="0" w:after="0"/>
        <w:ind w:left="1761" w:right="2163" w:hanging="794"/>
        <w:jc w:val="left"/>
        <w:rPr>
          <w:sz w:val="13"/>
        </w:rPr>
      </w:pPr>
      <w:r>
        <w:rPr>
          <w:sz w:val="13"/>
        </w:rPr>
        <w:t>Committee on the Rights of Persons with </w:t>
      </w:r>
      <w:r>
        <w:rPr>
          <w:spacing w:val="2"/>
          <w:sz w:val="13"/>
        </w:rPr>
        <w:t>Disabilities, </w:t>
      </w:r>
      <w:r>
        <w:rPr>
          <w:i/>
          <w:sz w:val="13"/>
        </w:rPr>
        <w:t>Views: Communication No 11/2013</w:t>
      </w:r>
      <w:r>
        <w:rPr>
          <w:sz w:val="13"/>
        </w:rPr>
        <w:t>, 15th sess, UN Doc CRPD/ C/15/D/13/2013 </w:t>
      </w:r>
      <w:r>
        <w:rPr>
          <w:spacing w:val="2"/>
          <w:sz w:val="13"/>
        </w:rPr>
        <w:t>(30 </w:t>
      </w:r>
      <w:r>
        <w:rPr>
          <w:sz w:val="13"/>
        </w:rPr>
        <w:t>May 2016) (‘</w:t>
      </w:r>
      <w:r>
        <w:rPr>
          <w:i/>
          <w:sz w:val="13"/>
        </w:rPr>
        <w:t>Lockrey v Australia</w:t>
      </w:r>
      <w:r>
        <w:rPr>
          <w:sz w:val="13"/>
        </w:rPr>
        <w:t>’).</w:t>
      </w:r>
    </w:p>
    <w:p>
      <w:pPr>
        <w:pStyle w:val="ListParagraph"/>
        <w:numPr>
          <w:ilvl w:val="0"/>
          <w:numId w:val="40"/>
        </w:numPr>
        <w:tabs>
          <w:tab w:pos="1761" w:val="left" w:leader="none"/>
          <w:tab w:pos="1762" w:val="left" w:leader="none"/>
        </w:tabs>
        <w:spacing w:line="213" w:lineRule="auto" w:before="0" w:after="0"/>
        <w:ind w:left="1761" w:right="1403" w:hanging="794"/>
        <w:jc w:val="left"/>
        <w:rPr>
          <w:sz w:val="13"/>
        </w:rPr>
      </w:pPr>
      <w:r>
        <w:rPr>
          <w:sz w:val="13"/>
        </w:rPr>
        <w:t>Under the </w:t>
      </w:r>
      <w:r>
        <w:rPr>
          <w:i/>
          <w:sz w:val="13"/>
        </w:rPr>
        <w:t>Disability Discrimination Act 1992 </w:t>
      </w:r>
      <w:r>
        <w:rPr>
          <w:sz w:val="13"/>
        </w:rPr>
        <w:t>(Cth) and the </w:t>
      </w:r>
      <w:r>
        <w:rPr>
          <w:i/>
          <w:sz w:val="13"/>
        </w:rPr>
        <w:t>Anti-Discrimination Act 1977 </w:t>
      </w:r>
      <w:r>
        <w:rPr>
          <w:spacing w:val="2"/>
          <w:sz w:val="13"/>
        </w:rPr>
        <w:t>(NSW) </w:t>
      </w:r>
      <w:r>
        <w:rPr>
          <w:sz w:val="13"/>
        </w:rPr>
        <w:t>it was not unlawful to discriminate against them on the basis of </w:t>
      </w:r>
      <w:r>
        <w:rPr>
          <w:spacing w:val="2"/>
          <w:sz w:val="13"/>
        </w:rPr>
        <w:t>disability </w:t>
      </w:r>
      <w:r>
        <w:rPr>
          <w:sz w:val="13"/>
        </w:rPr>
        <w:t>in the ‘area of civic duties’ or ‘in areas of </w:t>
      </w:r>
      <w:r>
        <w:rPr>
          <w:spacing w:val="2"/>
          <w:sz w:val="13"/>
        </w:rPr>
        <w:t>public </w:t>
      </w:r>
      <w:r>
        <w:rPr>
          <w:sz w:val="13"/>
        </w:rPr>
        <w:t>life’, which includes </w:t>
      </w:r>
      <w:r>
        <w:rPr>
          <w:spacing w:val="2"/>
          <w:sz w:val="13"/>
        </w:rPr>
        <w:t>jury </w:t>
      </w:r>
      <w:r>
        <w:rPr>
          <w:sz w:val="13"/>
        </w:rPr>
        <w:t>duty; </w:t>
      </w:r>
      <w:r>
        <w:rPr>
          <w:i/>
          <w:sz w:val="13"/>
        </w:rPr>
        <w:t>Beasley v </w:t>
      </w:r>
      <w:r>
        <w:rPr>
          <w:i/>
          <w:sz w:val="13"/>
        </w:rPr>
        <w:t>Australia </w:t>
      </w:r>
      <w:r>
        <w:rPr>
          <w:sz w:val="13"/>
        </w:rPr>
        <w:t>[7.3]–[7.4]; </w:t>
      </w:r>
      <w:r>
        <w:rPr>
          <w:i/>
          <w:sz w:val="13"/>
        </w:rPr>
        <w:t>Lockrey v Australia</w:t>
      </w:r>
      <w:r>
        <w:rPr>
          <w:i/>
          <w:spacing w:val="1"/>
          <w:sz w:val="13"/>
        </w:rPr>
        <w:t> </w:t>
      </w:r>
      <w:r>
        <w:rPr>
          <w:sz w:val="13"/>
        </w:rPr>
        <w:t>[7.3]–[7.4].</w:t>
      </w:r>
    </w:p>
    <w:p>
      <w:pPr>
        <w:pStyle w:val="ListParagraph"/>
        <w:numPr>
          <w:ilvl w:val="0"/>
          <w:numId w:val="40"/>
        </w:numPr>
        <w:tabs>
          <w:tab w:pos="1760" w:val="left" w:leader="none"/>
          <w:tab w:pos="1762" w:val="left" w:leader="none"/>
        </w:tabs>
        <w:spacing w:line="152" w:lineRule="exact" w:before="0" w:after="0"/>
        <w:ind w:left="1761" w:right="0" w:hanging="794"/>
        <w:jc w:val="left"/>
        <w:rPr>
          <w:i/>
          <w:sz w:val="13"/>
        </w:rPr>
      </w:pPr>
      <w:r>
        <w:rPr>
          <w:sz w:val="13"/>
        </w:rPr>
        <w:t>Victorian Law Reform </w:t>
      </w:r>
      <w:r>
        <w:rPr>
          <w:spacing w:val="2"/>
          <w:sz w:val="13"/>
        </w:rPr>
        <w:t>Commission, </w:t>
      </w:r>
      <w:r>
        <w:rPr>
          <w:i/>
          <w:sz w:val="13"/>
        </w:rPr>
        <w:t>Inclusive Juries—Access for People Who Are Deaf, Hard of Hearing, Blind or Have Low</w:t>
      </w:r>
      <w:r>
        <w:rPr>
          <w:i/>
          <w:spacing w:val="2"/>
          <w:sz w:val="13"/>
        </w:rPr>
        <w:t> </w:t>
      </w:r>
      <w:r>
        <w:rPr>
          <w:i/>
          <w:sz w:val="13"/>
        </w:rPr>
        <w:t>Vision</w:t>
      </w:r>
    </w:p>
    <w:p>
      <w:pPr>
        <w:spacing w:line="160" w:lineRule="exact" w:before="0"/>
        <w:ind w:left="1761" w:right="0" w:firstLine="0"/>
        <w:jc w:val="left"/>
        <w:rPr>
          <w:sz w:val="13"/>
        </w:rPr>
      </w:pPr>
      <w:r>
        <w:rPr/>
        <w:pict>
          <v:shape style="position:absolute;margin-left:548.88739pt;margin-top:3.707251pt;width:13.35pt;height:14.1pt;mso-position-horizontal-relative:page;mso-position-vertical-relative:paragraph;z-index:4792" type="#_x0000_t202" filled="false" stroked="false">
            <v:textbox inset="0,0,0,0">
              <w:txbxContent>
                <w:p>
                  <w:pPr>
                    <w:spacing w:line="282" w:lineRule="exact" w:before="0"/>
                    <w:ind w:left="0" w:right="0" w:firstLine="0"/>
                    <w:jc w:val="left"/>
                    <w:rPr>
                      <w:b/>
                      <w:sz w:val="24"/>
                    </w:rPr>
                  </w:pPr>
                  <w:r>
                    <w:rPr>
                      <w:b/>
                      <w:color w:val="37617A"/>
                      <w:spacing w:val="-2"/>
                      <w:sz w:val="24"/>
                    </w:rPr>
                    <w:t>45</w:t>
                  </w:r>
                </w:p>
              </w:txbxContent>
            </v:textbox>
            <w10:wrap type="none"/>
          </v:shape>
        </w:pict>
      </w:r>
      <w:r>
        <w:rPr>
          <w:sz w:val="13"/>
        </w:rPr>
        <w:t>(Consultation Paper, December 2020) [5.23]–[5.27].</w:t>
      </w:r>
    </w:p>
    <w:p>
      <w:pPr>
        <w:pStyle w:val="ListParagraph"/>
        <w:numPr>
          <w:ilvl w:val="0"/>
          <w:numId w:val="40"/>
        </w:numPr>
        <w:tabs>
          <w:tab w:pos="1761" w:val="left" w:leader="none"/>
          <w:tab w:pos="1762" w:val="left" w:leader="none"/>
        </w:tabs>
        <w:spacing w:line="170" w:lineRule="exact" w:before="0" w:after="0"/>
        <w:ind w:left="1761" w:right="0" w:hanging="794"/>
        <w:jc w:val="left"/>
        <w:rPr>
          <w:sz w:val="13"/>
        </w:rPr>
      </w:pPr>
      <w:r>
        <w:rPr>
          <w:i/>
          <w:sz w:val="13"/>
        </w:rPr>
        <w:t>Beasley v Australia </w:t>
      </w:r>
      <w:r>
        <w:rPr>
          <w:spacing w:val="2"/>
          <w:sz w:val="13"/>
        </w:rPr>
        <w:t>[8.3]–[8.5].</w:t>
      </w:r>
    </w:p>
    <w:p>
      <w:pPr>
        <w:spacing w:after="0" w:line="170" w:lineRule="exact"/>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40"/>
        </w:numPr>
        <w:tabs>
          <w:tab w:pos="2157" w:val="left" w:leader="none"/>
          <w:tab w:pos="2158" w:val="left" w:leader="none"/>
        </w:tabs>
        <w:spacing w:line="206" w:lineRule="auto" w:before="0" w:after="0"/>
        <w:ind w:left="2157" w:right="1361" w:hanging="396"/>
        <w:jc w:val="left"/>
        <w:rPr>
          <w:sz w:val="20"/>
        </w:rPr>
      </w:pPr>
      <w:bookmarkStart w:name="_bookmark40" w:id="104"/>
      <w:bookmarkEnd w:id="104"/>
      <w:r>
        <w:rPr/>
      </w:r>
      <w:bookmarkStart w:name="_bookmark40" w:id="105"/>
      <w:bookmarkEnd w:id="105"/>
      <w:r>
        <w:rPr>
          <w:sz w:val="20"/>
        </w:rPr>
        <w:t>A</w:t>
      </w:r>
      <w:r>
        <w:rPr>
          <w:sz w:val="20"/>
        </w:rPr>
        <w:t>rticle 9(1) was breached because Australia failed to take </w:t>
      </w:r>
      <w:r>
        <w:rPr>
          <w:spacing w:val="-3"/>
          <w:sz w:val="20"/>
        </w:rPr>
        <w:t>appropriate </w:t>
      </w:r>
      <w:r>
        <w:rPr>
          <w:sz w:val="20"/>
        </w:rPr>
        <w:t>measures to</w:t>
      </w:r>
      <w:r>
        <w:rPr>
          <w:spacing w:val="-12"/>
          <w:sz w:val="20"/>
        </w:rPr>
        <w:t> </w:t>
      </w:r>
      <w:r>
        <w:rPr>
          <w:spacing w:val="-3"/>
          <w:sz w:val="20"/>
        </w:rPr>
        <w:t>‘enable</w:t>
      </w:r>
      <w:r>
        <w:rPr>
          <w:spacing w:val="-12"/>
          <w:sz w:val="20"/>
        </w:rPr>
        <w:t> </w:t>
      </w:r>
      <w:r>
        <w:rPr>
          <w:sz w:val="20"/>
        </w:rPr>
        <w:t>persons</w:t>
      </w:r>
      <w:r>
        <w:rPr>
          <w:spacing w:val="-12"/>
          <w:sz w:val="20"/>
        </w:rPr>
        <w:t> </w:t>
      </w:r>
      <w:r>
        <w:rPr>
          <w:sz w:val="20"/>
        </w:rPr>
        <w:t>with</w:t>
      </w:r>
      <w:r>
        <w:rPr>
          <w:spacing w:val="-12"/>
          <w:sz w:val="20"/>
        </w:rPr>
        <w:t> </w:t>
      </w:r>
      <w:r>
        <w:rPr>
          <w:sz w:val="20"/>
        </w:rPr>
        <w:t>disabilities</w:t>
      </w:r>
      <w:r>
        <w:rPr>
          <w:spacing w:val="-12"/>
          <w:sz w:val="20"/>
        </w:rPr>
        <w:t> </w:t>
      </w:r>
      <w:r>
        <w:rPr>
          <w:sz w:val="20"/>
        </w:rPr>
        <w:t>to</w:t>
      </w:r>
      <w:r>
        <w:rPr>
          <w:spacing w:val="-12"/>
          <w:sz w:val="20"/>
        </w:rPr>
        <w:t> </w:t>
      </w:r>
      <w:r>
        <w:rPr>
          <w:sz w:val="20"/>
        </w:rPr>
        <w:t>live</w:t>
      </w:r>
      <w:r>
        <w:rPr>
          <w:spacing w:val="-12"/>
          <w:sz w:val="20"/>
        </w:rPr>
        <w:t> </w:t>
      </w:r>
      <w:r>
        <w:rPr>
          <w:sz w:val="20"/>
        </w:rPr>
        <w:t>independently</w:t>
      </w:r>
      <w:r>
        <w:rPr>
          <w:spacing w:val="-12"/>
          <w:sz w:val="20"/>
        </w:rPr>
        <w:t> </w:t>
      </w:r>
      <w:r>
        <w:rPr>
          <w:sz w:val="20"/>
        </w:rPr>
        <w:t>and</w:t>
      </w:r>
      <w:r>
        <w:rPr>
          <w:spacing w:val="-11"/>
          <w:sz w:val="20"/>
        </w:rPr>
        <w:t> </w:t>
      </w:r>
      <w:r>
        <w:rPr>
          <w:sz w:val="20"/>
        </w:rPr>
        <w:t>participate</w:t>
      </w:r>
      <w:r>
        <w:rPr>
          <w:spacing w:val="-12"/>
          <w:sz w:val="20"/>
        </w:rPr>
        <w:t> </w:t>
      </w:r>
      <w:r>
        <w:rPr>
          <w:spacing w:val="-3"/>
          <w:sz w:val="20"/>
        </w:rPr>
        <w:t>fully</w:t>
      </w:r>
      <w:r>
        <w:rPr>
          <w:spacing w:val="-12"/>
          <w:sz w:val="20"/>
        </w:rPr>
        <w:t> </w:t>
      </w:r>
      <w:r>
        <w:rPr>
          <w:sz w:val="20"/>
        </w:rPr>
        <w:t>in</w:t>
      </w:r>
      <w:r>
        <w:rPr>
          <w:spacing w:val="-12"/>
          <w:sz w:val="20"/>
        </w:rPr>
        <w:t> </w:t>
      </w:r>
      <w:r>
        <w:rPr>
          <w:sz w:val="20"/>
        </w:rPr>
        <w:t>all aspects</w:t>
      </w:r>
      <w:r>
        <w:rPr>
          <w:spacing w:val="-8"/>
          <w:sz w:val="20"/>
        </w:rPr>
        <w:t> </w:t>
      </w:r>
      <w:r>
        <w:rPr>
          <w:sz w:val="20"/>
        </w:rPr>
        <w:t>of</w:t>
      </w:r>
      <w:r>
        <w:rPr>
          <w:spacing w:val="-8"/>
          <w:sz w:val="20"/>
        </w:rPr>
        <w:t> </w:t>
      </w:r>
      <w:r>
        <w:rPr>
          <w:spacing w:val="-4"/>
          <w:sz w:val="20"/>
        </w:rPr>
        <w:t>life’.</w:t>
      </w:r>
      <w:r>
        <w:rPr>
          <w:spacing w:val="-8"/>
          <w:sz w:val="20"/>
        </w:rPr>
        <w:t> </w:t>
      </w:r>
      <w:r>
        <w:rPr>
          <w:sz w:val="20"/>
        </w:rPr>
        <w:t>The</w:t>
      </w:r>
      <w:r>
        <w:rPr>
          <w:spacing w:val="-8"/>
          <w:sz w:val="20"/>
        </w:rPr>
        <w:t> </w:t>
      </w:r>
      <w:r>
        <w:rPr>
          <w:sz w:val="20"/>
        </w:rPr>
        <w:t>Convention</w:t>
      </w:r>
      <w:r>
        <w:rPr>
          <w:spacing w:val="-8"/>
          <w:sz w:val="20"/>
        </w:rPr>
        <w:t> </w:t>
      </w:r>
      <w:r>
        <w:rPr>
          <w:sz w:val="20"/>
        </w:rPr>
        <w:t>Committee</w:t>
      </w:r>
      <w:r>
        <w:rPr>
          <w:spacing w:val="-8"/>
          <w:sz w:val="20"/>
        </w:rPr>
        <w:t> </w:t>
      </w:r>
      <w:r>
        <w:rPr>
          <w:sz w:val="20"/>
        </w:rPr>
        <w:t>noted</w:t>
      </w:r>
      <w:r>
        <w:rPr>
          <w:spacing w:val="-8"/>
          <w:sz w:val="20"/>
        </w:rPr>
        <w:t> </w:t>
      </w:r>
      <w:r>
        <w:rPr>
          <w:sz w:val="20"/>
        </w:rPr>
        <w:t>that</w:t>
      </w:r>
      <w:r>
        <w:rPr>
          <w:spacing w:val="-8"/>
          <w:sz w:val="20"/>
        </w:rPr>
        <w:t> </w:t>
      </w:r>
      <w:r>
        <w:rPr>
          <w:sz w:val="20"/>
        </w:rPr>
        <w:t>jury</w:t>
      </w:r>
      <w:r>
        <w:rPr>
          <w:spacing w:val="-8"/>
          <w:sz w:val="20"/>
        </w:rPr>
        <w:t> </w:t>
      </w:r>
      <w:r>
        <w:rPr>
          <w:sz w:val="20"/>
        </w:rPr>
        <w:t>duty</w:t>
      </w:r>
      <w:r>
        <w:rPr>
          <w:spacing w:val="-9"/>
          <w:sz w:val="20"/>
        </w:rPr>
        <w:t> </w:t>
      </w:r>
      <w:r>
        <w:rPr>
          <w:sz w:val="20"/>
        </w:rPr>
        <w:t>is</w:t>
      </w:r>
      <w:r>
        <w:rPr>
          <w:spacing w:val="-8"/>
          <w:sz w:val="20"/>
        </w:rPr>
        <w:t> </w:t>
      </w:r>
      <w:r>
        <w:rPr>
          <w:spacing w:val="-3"/>
          <w:sz w:val="20"/>
        </w:rPr>
        <w:t>‘an</w:t>
      </w:r>
      <w:r>
        <w:rPr>
          <w:spacing w:val="-8"/>
          <w:sz w:val="20"/>
        </w:rPr>
        <w:t> </w:t>
      </w:r>
      <w:r>
        <w:rPr>
          <w:sz w:val="20"/>
        </w:rPr>
        <w:t>important</w:t>
      </w:r>
    </w:p>
    <w:p>
      <w:pPr>
        <w:pStyle w:val="BodyText"/>
        <w:spacing w:line="206" w:lineRule="auto" w:before="4"/>
        <w:ind w:left="2157" w:right="1202"/>
        <w:rPr>
          <w:sz w:val="11"/>
        </w:rPr>
      </w:pPr>
      <w:r>
        <w:rPr/>
        <w:t>aspect</w:t>
      </w:r>
      <w:r>
        <w:rPr>
          <w:spacing w:val="-11"/>
        </w:rPr>
        <w:t> </w:t>
      </w:r>
      <w:r>
        <w:rPr/>
        <w:t>of</w:t>
      </w:r>
      <w:r>
        <w:rPr>
          <w:spacing w:val="-10"/>
        </w:rPr>
        <w:t> </w:t>
      </w:r>
      <w:r>
        <w:rPr/>
        <w:t>civic</w:t>
      </w:r>
      <w:r>
        <w:rPr>
          <w:spacing w:val="-11"/>
        </w:rPr>
        <w:t> </w:t>
      </w:r>
      <w:r>
        <w:rPr/>
        <w:t>life</w:t>
      </w:r>
      <w:r>
        <w:rPr>
          <w:spacing w:val="-10"/>
        </w:rPr>
        <w:t> </w:t>
      </w:r>
      <w:r>
        <w:rPr/>
        <w:t>within</w:t>
      </w:r>
      <w:r>
        <w:rPr>
          <w:spacing w:val="-11"/>
        </w:rPr>
        <w:t> </w:t>
      </w:r>
      <w:r>
        <w:rPr/>
        <w:t>the</w:t>
      </w:r>
      <w:r>
        <w:rPr>
          <w:spacing w:val="-10"/>
        </w:rPr>
        <w:t> </w:t>
      </w:r>
      <w:r>
        <w:rPr/>
        <w:t>meaning</w:t>
      </w:r>
      <w:r>
        <w:rPr>
          <w:spacing w:val="-11"/>
        </w:rPr>
        <w:t> </w:t>
      </w:r>
      <w:r>
        <w:rPr/>
        <w:t>of</w:t>
      </w:r>
      <w:r>
        <w:rPr>
          <w:spacing w:val="-10"/>
        </w:rPr>
        <w:t> </w:t>
      </w:r>
      <w:r>
        <w:rPr/>
        <w:t>article</w:t>
      </w:r>
      <w:r>
        <w:rPr>
          <w:spacing w:val="-11"/>
        </w:rPr>
        <w:t> </w:t>
      </w:r>
      <w:r>
        <w:rPr/>
        <w:t>9(1)</w:t>
      </w:r>
      <w:r>
        <w:rPr>
          <w:spacing w:val="-10"/>
        </w:rPr>
        <w:t> </w:t>
      </w:r>
      <w:r>
        <w:rPr/>
        <w:t>as</w:t>
      </w:r>
      <w:r>
        <w:rPr>
          <w:spacing w:val="-10"/>
        </w:rPr>
        <w:t> </w:t>
      </w:r>
      <w:r>
        <w:rPr/>
        <w:t>it</w:t>
      </w:r>
      <w:r>
        <w:rPr>
          <w:spacing w:val="-11"/>
        </w:rPr>
        <w:t> </w:t>
      </w:r>
      <w:r>
        <w:rPr/>
        <w:t>constitutes</w:t>
      </w:r>
      <w:r>
        <w:rPr>
          <w:spacing w:val="-10"/>
        </w:rPr>
        <w:t> </w:t>
      </w:r>
      <w:r>
        <w:rPr/>
        <w:t>a</w:t>
      </w:r>
      <w:r>
        <w:rPr>
          <w:spacing w:val="-11"/>
        </w:rPr>
        <w:t> </w:t>
      </w:r>
      <w:r>
        <w:rPr/>
        <w:t>manifestation of </w:t>
      </w:r>
      <w:r>
        <w:rPr>
          <w:spacing w:val="-3"/>
        </w:rPr>
        <w:t>active</w:t>
      </w:r>
      <w:r>
        <w:rPr>
          <w:spacing w:val="-8"/>
        </w:rPr>
        <w:t> </w:t>
      </w:r>
      <w:r>
        <w:rPr>
          <w:spacing w:val="-3"/>
        </w:rPr>
        <w:t>citizenship’.</w:t>
      </w:r>
      <w:r>
        <w:rPr>
          <w:spacing w:val="-3"/>
          <w:position w:val="7"/>
          <w:sz w:val="11"/>
        </w:rPr>
        <w:t>33</w:t>
      </w:r>
    </w:p>
    <w:p>
      <w:pPr>
        <w:pStyle w:val="ListParagraph"/>
        <w:numPr>
          <w:ilvl w:val="1"/>
          <w:numId w:val="40"/>
        </w:numPr>
        <w:tabs>
          <w:tab w:pos="2158" w:val="left" w:leader="none"/>
        </w:tabs>
        <w:spacing w:line="206" w:lineRule="auto" w:before="88" w:after="0"/>
        <w:ind w:left="2157" w:right="1396" w:hanging="396"/>
        <w:jc w:val="both"/>
        <w:rPr>
          <w:sz w:val="11"/>
        </w:rPr>
      </w:pPr>
      <w:r>
        <w:rPr>
          <w:sz w:val="20"/>
        </w:rPr>
        <w:t>Australia</w:t>
      </w:r>
      <w:r>
        <w:rPr>
          <w:spacing w:val="-12"/>
          <w:sz w:val="20"/>
        </w:rPr>
        <w:t> </w:t>
      </w:r>
      <w:r>
        <w:rPr>
          <w:sz w:val="20"/>
        </w:rPr>
        <w:t>failed</w:t>
      </w:r>
      <w:r>
        <w:rPr>
          <w:spacing w:val="-12"/>
          <w:sz w:val="20"/>
        </w:rPr>
        <w:t> </w:t>
      </w:r>
      <w:r>
        <w:rPr>
          <w:sz w:val="20"/>
        </w:rPr>
        <w:t>to</w:t>
      </w:r>
      <w:r>
        <w:rPr>
          <w:spacing w:val="-12"/>
          <w:sz w:val="20"/>
        </w:rPr>
        <w:t> </w:t>
      </w:r>
      <w:r>
        <w:rPr>
          <w:sz w:val="20"/>
        </w:rPr>
        <w:t>uphold</w:t>
      </w:r>
      <w:r>
        <w:rPr>
          <w:spacing w:val="-12"/>
          <w:sz w:val="20"/>
        </w:rPr>
        <w:t> </w:t>
      </w:r>
      <w:r>
        <w:rPr>
          <w:sz w:val="20"/>
        </w:rPr>
        <w:t>article</w:t>
      </w:r>
      <w:r>
        <w:rPr>
          <w:spacing w:val="-11"/>
          <w:sz w:val="20"/>
        </w:rPr>
        <w:t> </w:t>
      </w:r>
      <w:r>
        <w:rPr>
          <w:spacing w:val="-4"/>
          <w:sz w:val="20"/>
        </w:rPr>
        <w:t>21(b),</w:t>
      </w:r>
      <w:r>
        <w:rPr>
          <w:spacing w:val="-12"/>
          <w:sz w:val="20"/>
        </w:rPr>
        <w:t> </w:t>
      </w:r>
      <w:r>
        <w:rPr>
          <w:sz w:val="20"/>
        </w:rPr>
        <w:t>which</w:t>
      </w:r>
      <w:r>
        <w:rPr>
          <w:spacing w:val="-12"/>
          <w:sz w:val="20"/>
        </w:rPr>
        <w:t> </w:t>
      </w:r>
      <w:r>
        <w:rPr>
          <w:sz w:val="20"/>
        </w:rPr>
        <w:t>protects</w:t>
      </w:r>
      <w:r>
        <w:rPr>
          <w:spacing w:val="-12"/>
          <w:sz w:val="20"/>
        </w:rPr>
        <w:t> </w:t>
      </w:r>
      <w:r>
        <w:rPr>
          <w:sz w:val="20"/>
        </w:rPr>
        <w:t>freedom</w:t>
      </w:r>
      <w:r>
        <w:rPr>
          <w:spacing w:val="-11"/>
          <w:sz w:val="20"/>
        </w:rPr>
        <w:t> </w:t>
      </w:r>
      <w:r>
        <w:rPr>
          <w:sz w:val="20"/>
        </w:rPr>
        <w:t>of</w:t>
      </w:r>
      <w:r>
        <w:rPr>
          <w:spacing w:val="-12"/>
          <w:sz w:val="20"/>
        </w:rPr>
        <w:t> </w:t>
      </w:r>
      <w:r>
        <w:rPr>
          <w:sz w:val="20"/>
        </w:rPr>
        <w:t>expression</w:t>
      </w:r>
      <w:r>
        <w:rPr>
          <w:spacing w:val="-12"/>
          <w:sz w:val="20"/>
        </w:rPr>
        <w:t> </w:t>
      </w:r>
      <w:r>
        <w:rPr>
          <w:sz w:val="20"/>
        </w:rPr>
        <w:t>and access</w:t>
      </w:r>
      <w:r>
        <w:rPr>
          <w:spacing w:val="-14"/>
          <w:sz w:val="20"/>
        </w:rPr>
        <w:t> </w:t>
      </w:r>
      <w:r>
        <w:rPr>
          <w:sz w:val="20"/>
        </w:rPr>
        <w:t>to</w:t>
      </w:r>
      <w:r>
        <w:rPr>
          <w:spacing w:val="-13"/>
          <w:sz w:val="20"/>
        </w:rPr>
        <w:t> </w:t>
      </w:r>
      <w:r>
        <w:rPr>
          <w:sz w:val="20"/>
        </w:rPr>
        <w:t>information,</w:t>
      </w:r>
      <w:r>
        <w:rPr>
          <w:spacing w:val="-14"/>
          <w:sz w:val="20"/>
        </w:rPr>
        <w:t> </w:t>
      </w:r>
      <w:r>
        <w:rPr>
          <w:sz w:val="20"/>
        </w:rPr>
        <w:t>including</w:t>
      </w:r>
      <w:r>
        <w:rPr>
          <w:spacing w:val="-13"/>
          <w:sz w:val="20"/>
        </w:rPr>
        <w:t> </w:t>
      </w:r>
      <w:r>
        <w:rPr>
          <w:sz w:val="20"/>
        </w:rPr>
        <w:t>in</w:t>
      </w:r>
      <w:r>
        <w:rPr>
          <w:spacing w:val="-14"/>
          <w:sz w:val="20"/>
        </w:rPr>
        <w:t> </w:t>
      </w:r>
      <w:r>
        <w:rPr>
          <w:sz w:val="20"/>
        </w:rPr>
        <w:t>‘official</w:t>
      </w:r>
      <w:r>
        <w:rPr>
          <w:spacing w:val="-13"/>
          <w:sz w:val="20"/>
        </w:rPr>
        <w:t> </w:t>
      </w:r>
      <w:r>
        <w:rPr>
          <w:spacing w:val="-3"/>
          <w:sz w:val="20"/>
        </w:rPr>
        <w:t>interactions’</w:t>
      </w:r>
      <w:r>
        <w:rPr>
          <w:spacing w:val="-13"/>
          <w:sz w:val="20"/>
        </w:rPr>
        <w:t> </w:t>
      </w:r>
      <w:r>
        <w:rPr>
          <w:sz w:val="20"/>
        </w:rPr>
        <w:t>because</w:t>
      </w:r>
      <w:r>
        <w:rPr>
          <w:spacing w:val="-14"/>
          <w:sz w:val="20"/>
        </w:rPr>
        <w:t> </w:t>
      </w:r>
      <w:r>
        <w:rPr>
          <w:sz w:val="20"/>
        </w:rPr>
        <w:t>Australia</w:t>
      </w:r>
      <w:r>
        <w:rPr>
          <w:spacing w:val="-13"/>
          <w:sz w:val="20"/>
        </w:rPr>
        <w:t> </w:t>
      </w:r>
      <w:r>
        <w:rPr>
          <w:spacing w:val="-3"/>
          <w:sz w:val="20"/>
        </w:rPr>
        <w:t>refused </w:t>
      </w:r>
      <w:r>
        <w:rPr>
          <w:sz w:val="20"/>
        </w:rPr>
        <w:t>to</w:t>
      </w:r>
      <w:r>
        <w:rPr>
          <w:spacing w:val="-10"/>
          <w:sz w:val="20"/>
        </w:rPr>
        <w:t> </w:t>
      </w:r>
      <w:r>
        <w:rPr>
          <w:spacing w:val="-3"/>
          <w:sz w:val="20"/>
        </w:rPr>
        <w:t>provide</w:t>
      </w:r>
      <w:r>
        <w:rPr>
          <w:spacing w:val="-10"/>
          <w:sz w:val="20"/>
        </w:rPr>
        <w:t> </w:t>
      </w:r>
      <w:r>
        <w:rPr>
          <w:sz w:val="20"/>
        </w:rPr>
        <w:t>Beasley</w:t>
      </w:r>
      <w:r>
        <w:rPr>
          <w:spacing w:val="-10"/>
          <w:sz w:val="20"/>
        </w:rPr>
        <w:t> </w:t>
      </w:r>
      <w:r>
        <w:rPr>
          <w:sz w:val="20"/>
        </w:rPr>
        <w:t>with</w:t>
      </w:r>
      <w:r>
        <w:rPr>
          <w:spacing w:val="-10"/>
          <w:sz w:val="20"/>
        </w:rPr>
        <w:t> </w:t>
      </w:r>
      <w:r>
        <w:rPr>
          <w:sz w:val="20"/>
        </w:rPr>
        <w:t>‘the</w:t>
      </w:r>
      <w:r>
        <w:rPr>
          <w:spacing w:val="-10"/>
          <w:sz w:val="20"/>
        </w:rPr>
        <w:t> </w:t>
      </w:r>
      <w:r>
        <w:rPr>
          <w:sz w:val="20"/>
        </w:rPr>
        <w:t>format</w:t>
      </w:r>
      <w:r>
        <w:rPr>
          <w:spacing w:val="-10"/>
          <w:sz w:val="20"/>
        </w:rPr>
        <w:t> </w:t>
      </w:r>
      <w:r>
        <w:rPr>
          <w:sz w:val="20"/>
        </w:rPr>
        <w:t>of</w:t>
      </w:r>
      <w:r>
        <w:rPr>
          <w:spacing w:val="-10"/>
          <w:sz w:val="20"/>
        </w:rPr>
        <w:t> </w:t>
      </w:r>
      <w:r>
        <w:rPr>
          <w:sz w:val="20"/>
        </w:rPr>
        <w:t>communication</w:t>
      </w:r>
      <w:r>
        <w:rPr>
          <w:spacing w:val="-10"/>
          <w:sz w:val="20"/>
        </w:rPr>
        <w:t> </w:t>
      </w:r>
      <w:r>
        <w:rPr>
          <w:sz w:val="20"/>
        </w:rPr>
        <w:t>she</w:t>
      </w:r>
      <w:r>
        <w:rPr>
          <w:spacing w:val="-10"/>
          <w:sz w:val="20"/>
        </w:rPr>
        <w:t> </w:t>
      </w:r>
      <w:r>
        <w:rPr>
          <w:sz w:val="20"/>
        </w:rPr>
        <w:t>needs</w:t>
      </w:r>
      <w:r>
        <w:rPr>
          <w:spacing w:val="-10"/>
          <w:sz w:val="20"/>
        </w:rPr>
        <w:t> </w:t>
      </w:r>
      <w:r>
        <w:rPr>
          <w:sz w:val="20"/>
        </w:rPr>
        <w:t>to</w:t>
      </w:r>
      <w:r>
        <w:rPr>
          <w:spacing w:val="-10"/>
          <w:sz w:val="20"/>
        </w:rPr>
        <w:t> </w:t>
      </w:r>
      <w:r>
        <w:rPr>
          <w:sz w:val="20"/>
        </w:rPr>
        <w:t>enable</w:t>
      </w:r>
      <w:r>
        <w:rPr>
          <w:spacing w:val="-10"/>
          <w:sz w:val="20"/>
        </w:rPr>
        <w:t> </w:t>
      </w:r>
      <w:r>
        <w:rPr>
          <w:sz w:val="20"/>
        </w:rPr>
        <w:t>her</w:t>
      </w:r>
      <w:r>
        <w:rPr>
          <w:spacing w:val="-10"/>
          <w:sz w:val="20"/>
        </w:rPr>
        <w:t> </w:t>
      </w:r>
      <w:r>
        <w:rPr>
          <w:sz w:val="20"/>
        </w:rPr>
        <w:t>to perform</w:t>
      </w:r>
      <w:r>
        <w:rPr>
          <w:spacing w:val="-6"/>
          <w:sz w:val="20"/>
        </w:rPr>
        <w:t> </w:t>
      </w:r>
      <w:r>
        <w:rPr>
          <w:sz w:val="20"/>
        </w:rPr>
        <w:t>jury</w:t>
      </w:r>
      <w:r>
        <w:rPr>
          <w:spacing w:val="-5"/>
          <w:sz w:val="20"/>
        </w:rPr>
        <w:t> </w:t>
      </w:r>
      <w:r>
        <w:rPr>
          <w:sz w:val="20"/>
        </w:rPr>
        <w:t>duty</w:t>
      </w:r>
      <w:r>
        <w:rPr>
          <w:spacing w:val="-6"/>
          <w:sz w:val="20"/>
        </w:rPr>
        <w:t> </w:t>
      </w:r>
      <w:r>
        <w:rPr>
          <w:sz w:val="20"/>
        </w:rPr>
        <w:t>and</w:t>
      </w:r>
      <w:r>
        <w:rPr>
          <w:spacing w:val="-5"/>
          <w:sz w:val="20"/>
        </w:rPr>
        <w:t> </w:t>
      </w:r>
      <w:r>
        <w:rPr>
          <w:spacing w:val="-3"/>
          <w:sz w:val="20"/>
        </w:rPr>
        <w:t>therefore</w:t>
      </w:r>
      <w:r>
        <w:rPr>
          <w:spacing w:val="-5"/>
          <w:sz w:val="20"/>
        </w:rPr>
        <w:t> </w:t>
      </w:r>
      <w:r>
        <w:rPr>
          <w:sz w:val="20"/>
        </w:rPr>
        <w:t>to</w:t>
      </w:r>
      <w:r>
        <w:rPr>
          <w:spacing w:val="-6"/>
          <w:sz w:val="20"/>
        </w:rPr>
        <w:t> </w:t>
      </w:r>
      <w:r>
        <w:rPr>
          <w:spacing w:val="-3"/>
          <w:sz w:val="20"/>
        </w:rPr>
        <w:t>express</w:t>
      </w:r>
      <w:r>
        <w:rPr>
          <w:spacing w:val="-5"/>
          <w:sz w:val="20"/>
        </w:rPr>
        <w:t> </w:t>
      </w:r>
      <w:r>
        <w:rPr>
          <w:sz w:val="20"/>
        </w:rPr>
        <w:t>herself</w:t>
      </w:r>
      <w:r>
        <w:rPr>
          <w:spacing w:val="-5"/>
          <w:sz w:val="20"/>
        </w:rPr>
        <w:t> </w:t>
      </w:r>
      <w:r>
        <w:rPr>
          <w:sz w:val="20"/>
        </w:rPr>
        <w:t>in</w:t>
      </w:r>
      <w:r>
        <w:rPr>
          <w:spacing w:val="-6"/>
          <w:sz w:val="20"/>
        </w:rPr>
        <w:t> </w:t>
      </w:r>
      <w:r>
        <w:rPr>
          <w:sz w:val="20"/>
        </w:rPr>
        <w:t>official</w:t>
      </w:r>
      <w:r>
        <w:rPr>
          <w:spacing w:val="-5"/>
          <w:sz w:val="20"/>
        </w:rPr>
        <w:t> </w:t>
      </w:r>
      <w:r>
        <w:rPr>
          <w:spacing w:val="-3"/>
          <w:sz w:val="20"/>
        </w:rPr>
        <w:t>interactions’.</w:t>
      </w:r>
      <w:r>
        <w:rPr>
          <w:spacing w:val="-3"/>
          <w:position w:val="7"/>
          <w:sz w:val="11"/>
        </w:rPr>
        <w:t>34</w:t>
      </w:r>
    </w:p>
    <w:p>
      <w:pPr>
        <w:pStyle w:val="ListParagraph"/>
        <w:numPr>
          <w:ilvl w:val="1"/>
          <w:numId w:val="40"/>
        </w:numPr>
        <w:tabs>
          <w:tab w:pos="2157" w:val="left" w:leader="none"/>
          <w:tab w:pos="2158" w:val="left" w:leader="none"/>
        </w:tabs>
        <w:spacing w:line="206" w:lineRule="auto" w:before="90" w:after="0"/>
        <w:ind w:left="2157" w:right="1028" w:hanging="396"/>
        <w:jc w:val="left"/>
        <w:rPr>
          <w:sz w:val="11"/>
        </w:rPr>
      </w:pPr>
      <w:r>
        <w:rPr>
          <w:sz w:val="20"/>
        </w:rPr>
        <w:t>Refusing to </w:t>
      </w:r>
      <w:r>
        <w:rPr>
          <w:spacing w:val="-3"/>
          <w:sz w:val="20"/>
        </w:rPr>
        <w:t>provide </w:t>
      </w:r>
      <w:r>
        <w:rPr>
          <w:sz w:val="20"/>
        </w:rPr>
        <w:t>an Auslan </w:t>
      </w:r>
      <w:r>
        <w:rPr>
          <w:spacing w:val="-3"/>
          <w:sz w:val="20"/>
        </w:rPr>
        <w:t>interpreter </w:t>
      </w:r>
      <w:r>
        <w:rPr>
          <w:sz w:val="20"/>
        </w:rPr>
        <w:t>amounted to a denial of access to justice (article 13) in conjunction with the right to participate in public life (article </w:t>
      </w:r>
      <w:r>
        <w:rPr>
          <w:spacing w:val="-3"/>
          <w:sz w:val="20"/>
        </w:rPr>
        <w:t>29(b)). </w:t>
      </w:r>
      <w:r>
        <w:rPr>
          <w:sz w:val="20"/>
        </w:rPr>
        <w:t>The Convention Committee took a broad view of access to justice, noting that it should extend to the ‘participation of persons with disabilities in the justice system in capacities</w:t>
      </w:r>
      <w:r>
        <w:rPr>
          <w:spacing w:val="-13"/>
          <w:sz w:val="20"/>
        </w:rPr>
        <w:t> </w:t>
      </w:r>
      <w:r>
        <w:rPr>
          <w:sz w:val="20"/>
        </w:rPr>
        <w:t>besides</w:t>
      </w:r>
      <w:r>
        <w:rPr>
          <w:spacing w:val="-13"/>
          <w:sz w:val="20"/>
        </w:rPr>
        <w:t> </w:t>
      </w:r>
      <w:r>
        <w:rPr>
          <w:sz w:val="20"/>
        </w:rPr>
        <w:t>those</w:t>
      </w:r>
      <w:r>
        <w:rPr>
          <w:spacing w:val="-13"/>
          <w:sz w:val="20"/>
        </w:rPr>
        <w:t> </w:t>
      </w:r>
      <w:r>
        <w:rPr>
          <w:sz w:val="20"/>
        </w:rPr>
        <w:t>of</w:t>
      </w:r>
      <w:r>
        <w:rPr>
          <w:spacing w:val="-13"/>
          <w:sz w:val="20"/>
        </w:rPr>
        <w:t> </w:t>
      </w:r>
      <w:r>
        <w:rPr>
          <w:sz w:val="20"/>
        </w:rPr>
        <w:t>claimant,</w:t>
      </w:r>
      <w:r>
        <w:rPr>
          <w:spacing w:val="-13"/>
          <w:sz w:val="20"/>
        </w:rPr>
        <w:t> </w:t>
      </w:r>
      <w:r>
        <w:rPr>
          <w:sz w:val="20"/>
        </w:rPr>
        <w:t>victim</w:t>
      </w:r>
      <w:r>
        <w:rPr>
          <w:spacing w:val="-13"/>
          <w:sz w:val="20"/>
        </w:rPr>
        <w:t> </w:t>
      </w:r>
      <w:r>
        <w:rPr>
          <w:sz w:val="20"/>
        </w:rPr>
        <w:t>or</w:t>
      </w:r>
      <w:r>
        <w:rPr>
          <w:spacing w:val="-12"/>
          <w:sz w:val="20"/>
        </w:rPr>
        <w:t> </w:t>
      </w:r>
      <w:r>
        <w:rPr>
          <w:sz w:val="20"/>
        </w:rPr>
        <w:t>defendant,</w:t>
      </w:r>
      <w:r>
        <w:rPr>
          <w:spacing w:val="-13"/>
          <w:sz w:val="20"/>
        </w:rPr>
        <w:t> </w:t>
      </w:r>
      <w:r>
        <w:rPr>
          <w:sz w:val="20"/>
        </w:rPr>
        <w:t>including</w:t>
      </w:r>
      <w:r>
        <w:rPr>
          <w:spacing w:val="-13"/>
          <w:sz w:val="20"/>
        </w:rPr>
        <w:t> </w:t>
      </w:r>
      <w:r>
        <w:rPr>
          <w:sz w:val="20"/>
        </w:rPr>
        <w:t>in</w:t>
      </w:r>
      <w:r>
        <w:rPr>
          <w:spacing w:val="-13"/>
          <w:sz w:val="20"/>
        </w:rPr>
        <w:t> </w:t>
      </w:r>
      <w:r>
        <w:rPr>
          <w:sz w:val="20"/>
        </w:rPr>
        <w:t>jury</w:t>
      </w:r>
      <w:r>
        <w:rPr>
          <w:spacing w:val="-13"/>
          <w:sz w:val="20"/>
        </w:rPr>
        <w:t> </w:t>
      </w:r>
      <w:r>
        <w:rPr>
          <w:sz w:val="20"/>
        </w:rPr>
        <w:t>service,</w:t>
      </w:r>
      <w:r>
        <w:rPr>
          <w:spacing w:val="-13"/>
          <w:sz w:val="20"/>
        </w:rPr>
        <w:t> </w:t>
      </w:r>
      <w:r>
        <w:rPr>
          <w:sz w:val="20"/>
        </w:rPr>
        <w:t>on an equal basis with</w:t>
      </w:r>
      <w:r>
        <w:rPr>
          <w:spacing w:val="-17"/>
          <w:sz w:val="20"/>
        </w:rPr>
        <w:t> </w:t>
      </w:r>
      <w:r>
        <w:rPr>
          <w:spacing w:val="-3"/>
          <w:sz w:val="20"/>
        </w:rPr>
        <w:t>others’.</w:t>
      </w:r>
      <w:r>
        <w:rPr>
          <w:spacing w:val="-3"/>
          <w:position w:val="7"/>
          <w:sz w:val="11"/>
        </w:rPr>
        <w:t>35</w:t>
      </w:r>
    </w:p>
    <w:p>
      <w:pPr>
        <w:pStyle w:val="ListParagraph"/>
        <w:numPr>
          <w:ilvl w:val="1"/>
          <w:numId w:val="12"/>
        </w:numPr>
        <w:tabs>
          <w:tab w:pos="1761" w:val="left" w:leader="none"/>
          <w:tab w:pos="1762" w:val="left" w:leader="none"/>
        </w:tabs>
        <w:spacing w:line="206" w:lineRule="auto" w:before="92" w:after="0"/>
        <w:ind w:left="1761" w:right="1048" w:hanging="794"/>
        <w:jc w:val="left"/>
        <w:rPr>
          <w:sz w:val="20"/>
        </w:rPr>
      </w:pPr>
      <w:r>
        <w:rPr>
          <w:sz w:val="20"/>
        </w:rPr>
        <w:t>The</w:t>
      </w:r>
      <w:r>
        <w:rPr>
          <w:spacing w:val="-15"/>
          <w:sz w:val="20"/>
        </w:rPr>
        <w:t> </w:t>
      </w:r>
      <w:r>
        <w:rPr>
          <w:sz w:val="20"/>
        </w:rPr>
        <w:t>Convention</w:t>
      </w:r>
      <w:r>
        <w:rPr>
          <w:spacing w:val="-15"/>
          <w:sz w:val="20"/>
        </w:rPr>
        <w:t> </w:t>
      </w:r>
      <w:r>
        <w:rPr>
          <w:sz w:val="20"/>
        </w:rPr>
        <w:t>Committee</w:t>
      </w:r>
      <w:r>
        <w:rPr>
          <w:spacing w:val="-15"/>
          <w:sz w:val="20"/>
        </w:rPr>
        <w:t> </w:t>
      </w:r>
      <w:r>
        <w:rPr>
          <w:sz w:val="20"/>
        </w:rPr>
        <w:t>recommended</w:t>
      </w:r>
      <w:r>
        <w:rPr>
          <w:spacing w:val="-14"/>
          <w:sz w:val="20"/>
        </w:rPr>
        <w:t> </w:t>
      </w:r>
      <w:r>
        <w:rPr>
          <w:sz w:val="20"/>
        </w:rPr>
        <w:t>that</w:t>
      </w:r>
      <w:r>
        <w:rPr>
          <w:spacing w:val="-15"/>
          <w:sz w:val="20"/>
        </w:rPr>
        <w:t> </w:t>
      </w:r>
      <w:r>
        <w:rPr>
          <w:sz w:val="20"/>
        </w:rPr>
        <w:t>Australia</w:t>
      </w:r>
      <w:r>
        <w:rPr>
          <w:spacing w:val="-15"/>
          <w:sz w:val="20"/>
        </w:rPr>
        <w:t> </w:t>
      </w:r>
      <w:r>
        <w:rPr>
          <w:sz w:val="20"/>
        </w:rPr>
        <w:t>enable</w:t>
      </w:r>
      <w:r>
        <w:rPr>
          <w:spacing w:val="-14"/>
          <w:sz w:val="20"/>
        </w:rPr>
        <w:t> </w:t>
      </w:r>
      <w:r>
        <w:rPr>
          <w:sz w:val="20"/>
        </w:rPr>
        <w:t>participation</w:t>
      </w:r>
      <w:r>
        <w:rPr>
          <w:spacing w:val="-15"/>
          <w:sz w:val="20"/>
        </w:rPr>
        <w:t> </w:t>
      </w:r>
      <w:r>
        <w:rPr>
          <w:sz w:val="20"/>
        </w:rPr>
        <w:t>in</w:t>
      </w:r>
      <w:r>
        <w:rPr>
          <w:spacing w:val="-15"/>
          <w:sz w:val="20"/>
        </w:rPr>
        <w:t> </w:t>
      </w:r>
      <w:r>
        <w:rPr>
          <w:sz w:val="20"/>
        </w:rPr>
        <w:t>jury</w:t>
      </w:r>
      <w:r>
        <w:rPr>
          <w:spacing w:val="-14"/>
          <w:sz w:val="20"/>
        </w:rPr>
        <w:t> </w:t>
      </w:r>
      <w:r>
        <w:rPr>
          <w:sz w:val="20"/>
        </w:rPr>
        <w:t>duty </w:t>
      </w:r>
      <w:r>
        <w:rPr>
          <w:spacing w:val="-3"/>
          <w:sz w:val="20"/>
        </w:rPr>
        <w:t>by</w:t>
      </w:r>
      <w:r>
        <w:rPr>
          <w:spacing w:val="-7"/>
          <w:sz w:val="20"/>
        </w:rPr>
        <w:t> </w:t>
      </w:r>
      <w:r>
        <w:rPr>
          <w:spacing w:val="-3"/>
          <w:sz w:val="20"/>
        </w:rPr>
        <w:t>providing</w:t>
      </w:r>
      <w:r>
        <w:rPr>
          <w:spacing w:val="-6"/>
          <w:sz w:val="20"/>
        </w:rPr>
        <w:t> </w:t>
      </w:r>
      <w:r>
        <w:rPr>
          <w:spacing w:val="-3"/>
          <w:sz w:val="20"/>
        </w:rPr>
        <w:t>‘reasonable</w:t>
      </w:r>
      <w:r>
        <w:rPr>
          <w:spacing w:val="-7"/>
          <w:sz w:val="20"/>
        </w:rPr>
        <w:t> </w:t>
      </w:r>
      <w:r>
        <w:rPr>
          <w:sz w:val="20"/>
        </w:rPr>
        <w:t>accommodation</w:t>
      </w:r>
      <w:r>
        <w:rPr>
          <w:spacing w:val="-6"/>
          <w:sz w:val="20"/>
        </w:rPr>
        <w:t> </w:t>
      </w:r>
      <w:r>
        <w:rPr>
          <w:sz w:val="20"/>
        </w:rPr>
        <w:t>in</w:t>
      </w:r>
      <w:r>
        <w:rPr>
          <w:spacing w:val="-7"/>
          <w:sz w:val="20"/>
        </w:rPr>
        <w:t> </w:t>
      </w:r>
      <w:r>
        <w:rPr>
          <w:sz w:val="20"/>
        </w:rPr>
        <w:t>the</w:t>
      </w:r>
      <w:r>
        <w:rPr>
          <w:spacing w:val="-6"/>
          <w:sz w:val="20"/>
        </w:rPr>
        <w:t> </w:t>
      </w:r>
      <w:r>
        <w:rPr>
          <w:sz w:val="20"/>
        </w:rPr>
        <w:t>form</w:t>
      </w:r>
      <w:r>
        <w:rPr>
          <w:spacing w:val="-6"/>
          <w:sz w:val="20"/>
        </w:rPr>
        <w:t> </w:t>
      </w:r>
      <w:r>
        <w:rPr>
          <w:sz w:val="20"/>
        </w:rPr>
        <w:t>of</w:t>
      </w:r>
      <w:r>
        <w:rPr>
          <w:spacing w:val="-7"/>
          <w:sz w:val="20"/>
        </w:rPr>
        <w:t> </w:t>
      </w:r>
      <w:r>
        <w:rPr>
          <w:sz w:val="20"/>
        </w:rPr>
        <w:t>Auslan</w:t>
      </w:r>
      <w:r>
        <w:rPr>
          <w:spacing w:val="-6"/>
          <w:sz w:val="20"/>
        </w:rPr>
        <w:t> </w:t>
      </w:r>
      <w:r>
        <w:rPr>
          <w:spacing w:val="-3"/>
          <w:sz w:val="20"/>
        </w:rPr>
        <w:t>interpretation</w:t>
      </w:r>
      <w:r>
        <w:rPr>
          <w:spacing w:val="-7"/>
          <w:sz w:val="20"/>
        </w:rPr>
        <w:t> </w:t>
      </w:r>
      <w:r>
        <w:rPr>
          <w:sz w:val="20"/>
        </w:rPr>
        <w:t>in</w:t>
      </w:r>
      <w:r>
        <w:rPr>
          <w:spacing w:val="-6"/>
          <w:sz w:val="20"/>
        </w:rPr>
        <w:t> </w:t>
      </w:r>
      <w:r>
        <w:rPr>
          <w:sz w:val="20"/>
        </w:rPr>
        <w:t>a</w:t>
      </w:r>
      <w:r>
        <w:rPr>
          <w:spacing w:val="-6"/>
          <w:sz w:val="20"/>
        </w:rPr>
        <w:t> </w:t>
      </w:r>
      <w:r>
        <w:rPr>
          <w:sz w:val="20"/>
        </w:rPr>
        <w:t>manner that respects the confidentiality of proceedings at all stages of jury selection and court </w:t>
      </w:r>
      <w:r>
        <w:rPr>
          <w:spacing w:val="-3"/>
          <w:sz w:val="20"/>
        </w:rPr>
        <w:t>proceedings’.</w:t>
      </w:r>
      <w:r>
        <w:rPr>
          <w:spacing w:val="-3"/>
          <w:position w:val="7"/>
          <w:sz w:val="11"/>
        </w:rPr>
        <w:t>36 </w:t>
      </w:r>
      <w:r>
        <w:rPr>
          <w:spacing w:val="-3"/>
          <w:sz w:val="20"/>
        </w:rPr>
        <w:t>Additionally, </w:t>
      </w:r>
      <w:r>
        <w:rPr>
          <w:sz w:val="20"/>
        </w:rPr>
        <w:t>the </w:t>
      </w:r>
      <w:r>
        <w:rPr>
          <w:spacing w:val="-3"/>
          <w:sz w:val="20"/>
        </w:rPr>
        <w:t>following </w:t>
      </w:r>
      <w:r>
        <w:rPr>
          <w:sz w:val="20"/>
        </w:rPr>
        <w:t>steps </w:t>
      </w:r>
      <w:r>
        <w:rPr>
          <w:spacing w:val="-4"/>
          <w:sz w:val="20"/>
        </w:rPr>
        <w:t>were</w:t>
      </w:r>
      <w:r>
        <w:rPr>
          <w:spacing w:val="-17"/>
          <w:sz w:val="20"/>
        </w:rPr>
        <w:t> </w:t>
      </w:r>
      <w:r>
        <w:rPr>
          <w:sz w:val="20"/>
        </w:rPr>
        <w:t>recommended:</w:t>
      </w:r>
    </w:p>
    <w:p>
      <w:pPr>
        <w:pStyle w:val="ListParagraph"/>
        <w:numPr>
          <w:ilvl w:val="2"/>
          <w:numId w:val="12"/>
        </w:numPr>
        <w:tabs>
          <w:tab w:pos="2157" w:val="left" w:leader="none"/>
          <w:tab w:pos="2158" w:val="left" w:leader="none"/>
        </w:tabs>
        <w:spacing w:line="206" w:lineRule="auto" w:before="125" w:after="0"/>
        <w:ind w:left="2157" w:right="1010" w:hanging="396"/>
        <w:jc w:val="left"/>
        <w:rPr>
          <w:sz w:val="20"/>
        </w:rPr>
      </w:pPr>
      <w:r>
        <w:rPr>
          <w:sz w:val="20"/>
        </w:rPr>
        <w:t>ensuring</w:t>
      </w:r>
      <w:r>
        <w:rPr>
          <w:spacing w:val="-10"/>
          <w:sz w:val="20"/>
        </w:rPr>
        <w:t> </w:t>
      </w:r>
      <w:r>
        <w:rPr>
          <w:sz w:val="20"/>
        </w:rPr>
        <w:t>that</w:t>
      </w:r>
      <w:r>
        <w:rPr>
          <w:spacing w:val="-9"/>
          <w:sz w:val="20"/>
        </w:rPr>
        <w:t> </w:t>
      </w:r>
      <w:r>
        <w:rPr>
          <w:sz w:val="20"/>
        </w:rPr>
        <w:t>every</w:t>
      </w:r>
      <w:r>
        <w:rPr>
          <w:spacing w:val="-10"/>
          <w:sz w:val="20"/>
        </w:rPr>
        <w:t> </w:t>
      </w:r>
      <w:r>
        <w:rPr>
          <w:sz w:val="20"/>
        </w:rPr>
        <w:t>time</w:t>
      </w:r>
      <w:r>
        <w:rPr>
          <w:spacing w:val="-9"/>
          <w:sz w:val="20"/>
        </w:rPr>
        <w:t> </w:t>
      </w:r>
      <w:r>
        <w:rPr>
          <w:sz w:val="20"/>
        </w:rPr>
        <w:t>a</w:t>
      </w:r>
      <w:r>
        <w:rPr>
          <w:spacing w:val="-10"/>
          <w:sz w:val="20"/>
        </w:rPr>
        <w:t> </w:t>
      </w:r>
      <w:r>
        <w:rPr>
          <w:sz w:val="20"/>
        </w:rPr>
        <w:t>person</w:t>
      </w:r>
      <w:r>
        <w:rPr>
          <w:spacing w:val="-9"/>
          <w:sz w:val="20"/>
        </w:rPr>
        <w:t> </w:t>
      </w:r>
      <w:r>
        <w:rPr>
          <w:sz w:val="20"/>
        </w:rPr>
        <w:t>with</w:t>
      </w:r>
      <w:r>
        <w:rPr>
          <w:spacing w:val="-10"/>
          <w:sz w:val="20"/>
        </w:rPr>
        <w:t> </w:t>
      </w:r>
      <w:r>
        <w:rPr>
          <w:sz w:val="20"/>
        </w:rPr>
        <w:t>disabilities</w:t>
      </w:r>
      <w:r>
        <w:rPr>
          <w:spacing w:val="-9"/>
          <w:sz w:val="20"/>
        </w:rPr>
        <w:t> </w:t>
      </w:r>
      <w:r>
        <w:rPr>
          <w:sz w:val="20"/>
        </w:rPr>
        <w:t>is</w:t>
      </w:r>
      <w:r>
        <w:rPr>
          <w:spacing w:val="-10"/>
          <w:sz w:val="20"/>
        </w:rPr>
        <w:t> </w:t>
      </w:r>
      <w:r>
        <w:rPr>
          <w:sz w:val="20"/>
        </w:rPr>
        <w:t>summoned</w:t>
      </w:r>
      <w:r>
        <w:rPr>
          <w:spacing w:val="-9"/>
          <w:sz w:val="20"/>
        </w:rPr>
        <w:t> </w:t>
      </w:r>
      <w:r>
        <w:rPr>
          <w:sz w:val="20"/>
        </w:rPr>
        <w:t>to</w:t>
      </w:r>
      <w:r>
        <w:rPr>
          <w:spacing w:val="-10"/>
          <w:sz w:val="20"/>
        </w:rPr>
        <w:t> </w:t>
      </w:r>
      <w:r>
        <w:rPr>
          <w:sz w:val="20"/>
        </w:rPr>
        <w:t>perform</w:t>
      </w:r>
      <w:r>
        <w:rPr>
          <w:spacing w:val="-9"/>
          <w:sz w:val="20"/>
        </w:rPr>
        <w:t> </w:t>
      </w:r>
      <w:r>
        <w:rPr>
          <w:sz w:val="20"/>
        </w:rPr>
        <w:t>jury</w:t>
      </w:r>
      <w:r>
        <w:rPr>
          <w:spacing w:val="-10"/>
          <w:sz w:val="20"/>
        </w:rPr>
        <w:t> </w:t>
      </w:r>
      <w:r>
        <w:rPr>
          <w:spacing w:val="-4"/>
          <w:sz w:val="20"/>
        </w:rPr>
        <w:t>duty, </w:t>
      </w:r>
      <w:r>
        <w:rPr>
          <w:sz w:val="20"/>
        </w:rPr>
        <w:t>a</w:t>
      </w:r>
      <w:r>
        <w:rPr>
          <w:spacing w:val="-15"/>
          <w:sz w:val="20"/>
        </w:rPr>
        <w:t> </w:t>
      </w:r>
      <w:r>
        <w:rPr>
          <w:sz w:val="20"/>
        </w:rPr>
        <w:t>thorough,</w:t>
      </w:r>
      <w:r>
        <w:rPr>
          <w:spacing w:val="-15"/>
          <w:sz w:val="20"/>
        </w:rPr>
        <w:t> </w:t>
      </w:r>
      <w:r>
        <w:rPr>
          <w:sz w:val="20"/>
        </w:rPr>
        <w:t>objective</w:t>
      </w:r>
      <w:r>
        <w:rPr>
          <w:spacing w:val="-15"/>
          <w:sz w:val="20"/>
        </w:rPr>
        <w:t> </w:t>
      </w:r>
      <w:r>
        <w:rPr>
          <w:sz w:val="20"/>
        </w:rPr>
        <w:t>and</w:t>
      </w:r>
      <w:r>
        <w:rPr>
          <w:spacing w:val="-15"/>
          <w:sz w:val="20"/>
        </w:rPr>
        <w:t> </w:t>
      </w:r>
      <w:r>
        <w:rPr>
          <w:sz w:val="20"/>
        </w:rPr>
        <w:t>comprehensive</w:t>
      </w:r>
      <w:r>
        <w:rPr>
          <w:spacing w:val="-15"/>
          <w:sz w:val="20"/>
        </w:rPr>
        <w:t> </w:t>
      </w:r>
      <w:r>
        <w:rPr>
          <w:sz w:val="20"/>
        </w:rPr>
        <w:t>assessment</w:t>
      </w:r>
      <w:r>
        <w:rPr>
          <w:spacing w:val="-15"/>
          <w:sz w:val="20"/>
        </w:rPr>
        <w:t> </w:t>
      </w:r>
      <w:r>
        <w:rPr>
          <w:sz w:val="20"/>
        </w:rPr>
        <w:t>of</w:t>
      </w:r>
      <w:r>
        <w:rPr>
          <w:spacing w:val="-15"/>
          <w:sz w:val="20"/>
        </w:rPr>
        <w:t> </w:t>
      </w:r>
      <w:r>
        <w:rPr>
          <w:sz w:val="20"/>
        </w:rPr>
        <w:t>their</w:t>
      </w:r>
      <w:r>
        <w:rPr>
          <w:spacing w:val="-15"/>
          <w:sz w:val="20"/>
        </w:rPr>
        <w:t> </w:t>
      </w:r>
      <w:r>
        <w:rPr>
          <w:sz w:val="20"/>
        </w:rPr>
        <w:t>request</w:t>
      </w:r>
      <w:r>
        <w:rPr>
          <w:spacing w:val="-14"/>
          <w:sz w:val="20"/>
        </w:rPr>
        <w:t> </w:t>
      </w:r>
      <w:r>
        <w:rPr>
          <w:sz w:val="20"/>
        </w:rPr>
        <w:t>for</w:t>
      </w:r>
      <w:r>
        <w:rPr>
          <w:spacing w:val="-15"/>
          <w:sz w:val="20"/>
        </w:rPr>
        <w:t> </w:t>
      </w:r>
      <w:r>
        <w:rPr>
          <w:sz w:val="20"/>
        </w:rPr>
        <w:t>adjustment is carried out and all reasonable accommodation is </w:t>
      </w:r>
      <w:r>
        <w:rPr>
          <w:spacing w:val="-3"/>
          <w:sz w:val="20"/>
        </w:rPr>
        <w:t>duly provided </w:t>
      </w:r>
      <w:r>
        <w:rPr>
          <w:sz w:val="20"/>
        </w:rPr>
        <w:t>to enable their full participation</w:t>
      </w:r>
    </w:p>
    <w:p>
      <w:pPr>
        <w:pStyle w:val="ListParagraph"/>
        <w:numPr>
          <w:ilvl w:val="2"/>
          <w:numId w:val="12"/>
        </w:numPr>
        <w:tabs>
          <w:tab w:pos="2157" w:val="left" w:leader="none"/>
          <w:tab w:pos="2158" w:val="left" w:leader="none"/>
        </w:tabs>
        <w:spacing w:line="206" w:lineRule="auto" w:before="90" w:after="0"/>
        <w:ind w:left="2157" w:right="1600" w:hanging="396"/>
        <w:jc w:val="left"/>
        <w:rPr>
          <w:sz w:val="20"/>
        </w:rPr>
      </w:pPr>
      <w:r>
        <w:rPr>
          <w:sz w:val="20"/>
        </w:rPr>
        <w:t>adopting</w:t>
      </w:r>
      <w:r>
        <w:rPr>
          <w:spacing w:val="-13"/>
          <w:sz w:val="20"/>
        </w:rPr>
        <w:t> </w:t>
      </w:r>
      <w:r>
        <w:rPr>
          <w:sz w:val="20"/>
        </w:rPr>
        <w:t>the</w:t>
      </w:r>
      <w:r>
        <w:rPr>
          <w:spacing w:val="-13"/>
          <w:sz w:val="20"/>
        </w:rPr>
        <w:t> </w:t>
      </w:r>
      <w:r>
        <w:rPr>
          <w:sz w:val="20"/>
        </w:rPr>
        <w:t>necessary</w:t>
      </w:r>
      <w:r>
        <w:rPr>
          <w:spacing w:val="-13"/>
          <w:sz w:val="20"/>
        </w:rPr>
        <w:t> </w:t>
      </w:r>
      <w:r>
        <w:rPr>
          <w:sz w:val="20"/>
        </w:rPr>
        <w:t>amendments</w:t>
      </w:r>
      <w:r>
        <w:rPr>
          <w:spacing w:val="-13"/>
          <w:sz w:val="20"/>
        </w:rPr>
        <w:t> </w:t>
      </w:r>
      <w:r>
        <w:rPr>
          <w:sz w:val="20"/>
        </w:rPr>
        <w:t>to</w:t>
      </w:r>
      <w:r>
        <w:rPr>
          <w:spacing w:val="-13"/>
          <w:sz w:val="20"/>
        </w:rPr>
        <w:t> </w:t>
      </w:r>
      <w:r>
        <w:rPr>
          <w:sz w:val="20"/>
        </w:rPr>
        <w:t>the</w:t>
      </w:r>
      <w:r>
        <w:rPr>
          <w:spacing w:val="-13"/>
          <w:sz w:val="20"/>
        </w:rPr>
        <w:t> </w:t>
      </w:r>
      <w:r>
        <w:rPr>
          <w:spacing w:val="-3"/>
          <w:sz w:val="20"/>
        </w:rPr>
        <w:t>relevant</w:t>
      </w:r>
      <w:r>
        <w:rPr>
          <w:spacing w:val="-13"/>
          <w:sz w:val="20"/>
        </w:rPr>
        <w:t> </w:t>
      </w:r>
      <w:r>
        <w:rPr>
          <w:sz w:val="20"/>
        </w:rPr>
        <w:t>laws,</w:t>
      </w:r>
      <w:r>
        <w:rPr>
          <w:spacing w:val="-13"/>
          <w:sz w:val="20"/>
        </w:rPr>
        <w:t> </w:t>
      </w:r>
      <w:r>
        <w:rPr>
          <w:sz w:val="20"/>
        </w:rPr>
        <w:t>regulations,</w:t>
      </w:r>
      <w:r>
        <w:rPr>
          <w:spacing w:val="-13"/>
          <w:sz w:val="20"/>
        </w:rPr>
        <w:t> </w:t>
      </w:r>
      <w:r>
        <w:rPr>
          <w:sz w:val="20"/>
        </w:rPr>
        <w:t>policies and programmes, in </w:t>
      </w:r>
      <w:r>
        <w:rPr>
          <w:spacing w:val="-3"/>
          <w:sz w:val="20"/>
        </w:rPr>
        <w:t>close </w:t>
      </w:r>
      <w:r>
        <w:rPr>
          <w:sz w:val="20"/>
        </w:rPr>
        <w:t>consultation with persons with disabilities and their </w:t>
      </w:r>
      <w:r>
        <w:rPr>
          <w:spacing w:val="-3"/>
          <w:sz w:val="20"/>
        </w:rPr>
        <w:t>representative</w:t>
      </w:r>
      <w:r>
        <w:rPr>
          <w:spacing w:val="-5"/>
          <w:sz w:val="20"/>
        </w:rPr>
        <w:t> </w:t>
      </w:r>
      <w:r>
        <w:rPr>
          <w:sz w:val="20"/>
        </w:rPr>
        <w:t>organisations</w:t>
      </w:r>
    </w:p>
    <w:p>
      <w:pPr>
        <w:pStyle w:val="ListParagraph"/>
        <w:numPr>
          <w:ilvl w:val="2"/>
          <w:numId w:val="12"/>
        </w:numPr>
        <w:tabs>
          <w:tab w:pos="2157" w:val="left" w:leader="none"/>
          <w:tab w:pos="2158" w:val="left" w:leader="none"/>
        </w:tabs>
        <w:spacing w:line="206" w:lineRule="auto" w:before="89" w:after="0"/>
        <w:ind w:left="2157" w:right="1068" w:hanging="396"/>
        <w:jc w:val="left"/>
        <w:rPr>
          <w:sz w:val="11"/>
        </w:rPr>
      </w:pPr>
      <w:r>
        <w:rPr>
          <w:sz w:val="20"/>
        </w:rPr>
        <w:t>ensuring</w:t>
      </w:r>
      <w:r>
        <w:rPr>
          <w:spacing w:val="-10"/>
          <w:sz w:val="20"/>
        </w:rPr>
        <w:t> </w:t>
      </w:r>
      <w:r>
        <w:rPr>
          <w:sz w:val="20"/>
        </w:rPr>
        <w:t>that</w:t>
      </w:r>
      <w:r>
        <w:rPr>
          <w:spacing w:val="-10"/>
          <w:sz w:val="20"/>
        </w:rPr>
        <w:t> </w:t>
      </w:r>
      <w:r>
        <w:rPr>
          <w:spacing w:val="-3"/>
          <w:sz w:val="20"/>
        </w:rPr>
        <w:t>appropriate</w:t>
      </w:r>
      <w:r>
        <w:rPr>
          <w:spacing w:val="-10"/>
          <w:sz w:val="20"/>
        </w:rPr>
        <w:t> </w:t>
      </w:r>
      <w:r>
        <w:rPr>
          <w:sz w:val="20"/>
        </w:rPr>
        <w:t>and</w:t>
      </w:r>
      <w:r>
        <w:rPr>
          <w:spacing w:val="-9"/>
          <w:sz w:val="20"/>
        </w:rPr>
        <w:t> </w:t>
      </w:r>
      <w:r>
        <w:rPr>
          <w:sz w:val="20"/>
        </w:rPr>
        <w:t>regular</w:t>
      </w:r>
      <w:r>
        <w:rPr>
          <w:spacing w:val="-10"/>
          <w:sz w:val="20"/>
        </w:rPr>
        <w:t> </w:t>
      </w:r>
      <w:r>
        <w:rPr>
          <w:sz w:val="20"/>
        </w:rPr>
        <w:t>training</w:t>
      </w:r>
      <w:r>
        <w:rPr>
          <w:spacing w:val="-10"/>
          <w:sz w:val="20"/>
        </w:rPr>
        <w:t> </w:t>
      </w:r>
      <w:r>
        <w:rPr>
          <w:sz w:val="20"/>
        </w:rPr>
        <w:t>on</w:t>
      </w:r>
      <w:r>
        <w:rPr>
          <w:spacing w:val="-10"/>
          <w:sz w:val="20"/>
        </w:rPr>
        <w:t> </w:t>
      </w:r>
      <w:r>
        <w:rPr>
          <w:sz w:val="20"/>
        </w:rPr>
        <w:t>the</w:t>
      </w:r>
      <w:r>
        <w:rPr>
          <w:spacing w:val="-9"/>
          <w:sz w:val="20"/>
        </w:rPr>
        <w:t> </w:t>
      </w:r>
      <w:r>
        <w:rPr>
          <w:sz w:val="20"/>
        </w:rPr>
        <w:t>scope</w:t>
      </w:r>
      <w:r>
        <w:rPr>
          <w:spacing w:val="-10"/>
          <w:sz w:val="20"/>
        </w:rPr>
        <w:t> </w:t>
      </w:r>
      <w:r>
        <w:rPr>
          <w:sz w:val="20"/>
        </w:rPr>
        <w:t>of</w:t>
      </w:r>
      <w:r>
        <w:rPr>
          <w:spacing w:val="-10"/>
          <w:sz w:val="20"/>
        </w:rPr>
        <w:t> </w:t>
      </w:r>
      <w:r>
        <w:rPr>
          <w:sz w:val="20"/>
        </w:rPr>
        <w:t>the</w:t>
      </w:r>
      <w:r>
        <w:rPr>
          <w:spacing w:val="-10"/>
          <w:sz w:val="20"/>
        </w:rPr>
        <w:t> </w:t>
      </w:r>
      <w:r>
        <w:rPr>
          <w:sz w:val="20"/>
        </w:rPr>
        <w:t>Convention</w:t>
      </w:r>
      <w:r>
        <w:rPr>
          <w:spacing w:val="-9"/>
          <w:sz w:val="20"/>
        </w:rPr>
        <w:t> </w:t>
      </w:r>
      <w:r>
        <w:rPr>
          <w:sz w:val="20"/>
        </w:rPr>
        <w:t>and</w:t>
      </w:r>
      <w:r>
        <w:rPr>
          <w:spacing w:val="-10"/>
          <w:sz w:val="20"/>
        </w:rPr>
        <w:t> </w:t>
      </w:r>
      <w:r>
        <w:rPr>
          <w:sz w:val="20"/>
        </w:rPr>
        <w:t>its Optional </w:t>
      </w:r>
      <w:r>
        <w:rPr>
          <w:spacing w:val="-3"/>
          <w:sz w:val="20"/>
        </w:rPr>
        <w:t>Protocol, </w:t>
      </w:r>
      <w:r>
        <w:rPr>
          <w:sz w:val="20"/>
        </w:rPr>
        <w:t>including on accessibility for persons with disabilities, is </w:t>
      </w:r>
      <w:r>
        <w:rPr>
          <w:spacing w:val="-3"/>
          <w:sz w:val="20"/>
        </w:rPr>
        <w:t>provided </w:t>
      </w:r>
      <w:r>
        <w:rPr>
          <w:sz w:val="20"/>
        </w:rPr>
        <w:t>to local authorities, such as the </w:t>
      </w:r>
      <w:r>
        <w:rPr>
          <w:spacing w:val="-3"/>
          <w:sz w:val="20"/>
        </w:rPr>
        <w:t>sheriff, </w:t>
      </w:r>
      <w:r>
        <w:rPr>
          <w:sz w:val="20"/>
        </w:rPr>
        <w:t>and the judicial officers and staff </w:t>
      </w:r>
      <w:r>
        <w:rPr>
          <w:spacing w:val="-4"/>
          <w:sz w:val="20"/>
        </w:rPr>
        <w:t>involved </w:t>
      </w:r>
      <w:r>
        <w:rPr>
          <w:sz w:val="20"/>
        </w:rPr>
        <w:t>in facilitating the </w:t>
      </w:r>
      <w:r>
        <w:rPr>
          <w:spacing w:val="-3"/>
          <w:sz w:val="20"/>
        </w:rPr>
        <w:t>work </w:t>
      </w:r>
      <w:r>
        <w:rPr>
          <w:sz w:val="20"/>
        </w:rPr>
        <w:t>of the</w:t>
      </w:r>
      <w:r>
        <w:rPr>
          <w:spacing w:val="-20"/>
          <w:sz w:val="20"/>
        </w:rPr>
        <w:t> </w:t>
      </w:r>
      <w:r>
        <w:rPr>
          <w:sz w:val="20"/>
        </w:rPr>
        <w:t>judiciary.</w:t>
      </w:r>
      <w:r>
        <w:rPr>
          <w:position w:val="7"/>
          <w:sz w:val="11"/>
        </w:rPr>
        <w:t>37</w:t>
      </w:r>
    </w:p>
    <w:p>
      <w:pPr>
        <w:pStyle w:val="ListParagraph"/>
        <w:numPr>
          <w:ilvl w:val="1"/>
          <w:numId w:val="12"/>
        </w:numPr>
        <w:tabs>
          <w:tab w:pos="1761" w:val="left" w:leader="none"/>
          <w:tab w:pos="1762" w:val="left" w:leader="none"/>
        </w:tabs>
        <w:spacing w:line="240" w:lineRule="auto" w:before="58" w:after="0"/>
        <w:ind w:left="1761" w:right="0" w:hanging="794"/>
        <w:jc w:val="left"/>
        <w:rPr>
          <w:i/>
          <w:sz w:val="20"/>
        </w:rPr>
      </w:pPr>
      <w:r>
        <w:rPr>
          <w:sz w:val="20"/>
        </w:rPr>
        <w:t>Similar findings </w:t>
      </w:r>
      <w:r>
        <w:rPr>
          <w:spacing w:val="-4"/>
          <w:sz w:val="20"/>
        </w:rPr>
        <w:t>were </w:t>
      </w:r>
      <w:r>
        <w:rPr>
          <w:sz w:val="20"/>
        </w:rPr>
        <w:t>made in </w:t>
      </w:r>
      <w:r>
        <w:rPr>
          <w:i/>
          <w:spacing w:val="-3"/>
          <w:sz w:val="20"/>
        </w:rPr>
        <w:t>Lockrey </w:t>
      </w:r>
      <w:r>
        <w:rPr>
          <w:i/>
          <w:sz w:val="20"/>
        </w:rPr>
        <w:t>v</w:t>
      </w:r>
      <w:r>
        <w:rPr>
          <w:i/>
          <w:spacing w:val="-26"/>
          <w:sz w:val="20"/>
        </w:rPr>
        <w:t> </w:t>
      </w:r>
      <w:r>
        <w:rPr>
          <w:i/>
          <w:sz w:val="20"/>
        </w:rPr>
        <w:t>Australia.</w:t>
      </w:r>
    </w:p>
    <w:p>
      <w:pPr>
        <w:pStyle w:val="Heading3"/>
        <w:spacing w:before="153"/>
        <w:rPr>
          <w:i/>
        </w:rPr>
      </w:pPr>
      <w:r>
        <w:rPr/>
        <w:t>The case of </w:t>
      </w:r>
      <w:r>
        <w:rPr>
          <w:i/>
        </w:rPr>
        <w:t>JH</w:t>
      </w:r>
    </w:p>
    <w:p>
      <w:pPr>
        <w:pStyle w:val="ListParagraph"/>
        <w:numPr>
          <w:ilvl w:val="1"/>
          <w:numId w:val="12"/>
        </w:numPr>
        <w:tabs>
          <w:tab w:pos="1761" w:val="left" w:leader="none"/>
          <w:tab w:pos="1762" w:val="left" w:leader="none"/>
        </w:tabs>
        <w:spacing w:line="206" w:lineRule="auto" w:before="127" w:after="0"/>
        <w:ind w:left="1761" w:right="1264" w:hanging="794"/>
        <w:jc w:val="left"/>
        <w:rPr>
          <w:sz w:val="11"/>
        </w:rPr>
      </w:pPr>
      <w:r>
        <w:rPr>
          <w:sz w:val="20"/>
        </w:rPr>
        <w:t>The</w:t>
      </w:r>
      <w:r>
        <w:rPr>
          <w:spacing w:val="-11"/>
          <w:sz w:val="20"/>
        </w:rPr>
        <w:t> </w:t>
      </w:r>
      <w:r>
        <w:rPr>
          <w:sz w:val="20"/>
        </w:rPr>
        <w:t>most</w:t>
      </w:r>
      <w:r>
        <w:rPr>
          <w:spacing w:val="-11"/>
          <w:sz w:val="20"/>
        </w:rPr>
        <w:t> </w:t>
      </w:r>
      <w:r>
        <w:rPr>
          <w:spacing w:val="-3"/>
          <w:sz w:val="20"/>
        </w:rPr>
        <w:t>recent</w:t>
      </w:r>
      <w:r>
        <w:rPr>
          <w:spacing w:val="-11"/>
          <w:sz w:val="20"/>
        </w:rPr>
        <w:t> </w:t>
      </w:r>
      <w:r>
        <w:rPr>
          <w:sz w:val="20"/>
        </w:rPr>
        <w:t>case</w:t>
      </w:r>
      <w:r>
        <w:rPr>
          <w:spacing w:val="-11"/>
          <w:sz w:val="20"/>
        </w:rPr>
        <w:t> </w:t>
      </w:r>
      <w:r>
        <w:rPr>
          <w:sz w:val="20"/>
        </w:rPr>
        <w:t>regarding</w:t>
      </w:r>
      <w:r>
        <w:rPr>
          <w:spacing w:val="-11"/>
          <w:sz w:val="20"/>
        </w:rPr>
        <w:t> </w:t>
      </w:r>
      <w:r>
        <w:rPr>
          <w:sz w:val="20"/>
        </w:rPr>
        <w:t>disability</w:t>
      </w:r>
      <w:r>
        <w:rPr>
          <w:spacing w:val="-11"/>
          <w:sz w:val="20"/>
        </w:rPr>
        <w:t> </w:t>
      </w:r>
      <w:r>
        <w:rPr>
          <w:sz w:val="20"/>
        </w:rPr>
        <w:t>and</w:t>
      </w:r>
      <w:r>
        <w:rPr>
          <w:spacing w:val="-11"/>
          <w:sz w:val="20"/>
        </w:rPr>
        <w:t> </w:t>
      </w:r>
      <w:r>
        <w:rPr>
          <w:sz w:val="20"/>
        </w:rPr>
        <w:t>jury</w:t>
      </w:r>
      <w:r>
        <w:rPr>
          <w:spacing w:val="-11"/>
          <w:sz w:val="20"/>
        </w:rPr>
        <w:t> </w:t>
      </w:r>
      <w:r>
        <w:rPr>
          <w:sz w:val="20"/>
        </w:rPr>
        <w:t>service</w:t>
      </w:r>
      <w:r>
        <w:rPr>
          <w:spacing w:val="-11"/>
          <w:sz w:val="20"/>
        </w:rPr>
        <w:t> </w:t>
      </w:r>
      <w:r>
        <w:rPr>
          <w:sz w:val="20"/>
        </w:rPr>
        <w:t>against</w:t>
      </w:r>
      <w:r>
        <w:rPr>
          <w:spacing w:val="-11"/>
          <w:sz w:val="20"/>
        </w:rPr>
        <w:t> </w:t>
      </w:r>
      <w:r>
        <w:rPr>
          <w:sz w:val="20"/>
        </w:rPr>
        <w:t>Australia</w:t>
      </w:r>
      <w:r>
        <w:rPr>
          <w:spacing w:val="-11"/>
          <w:sz w:val="20"/>
        </w:rPr>
        <w:t> </w:t>
      </w:r>
      <w:r>
        <w:rPr>
          <w:sz w:val="20"/>
        </w:rPr>
        <w:t>considered </w:t>
      </w:r>
      <w:r>
        <w:rPr>
          <w:spacing w:val="-3"/>
          <w:sz w:val="20"/>
        </w:rPr>
        <w:t>by</w:t>
      </w:r>
      <w:r>
        <w:rPr>
          <w:spacing w:val="-11"/>
          <w:sz w:val="20"/>
        </w:rPr>
        <w:t> </w:t>
      </w:r>
      <w:r>
        <w:rPr>
          <w:sz w:val="20"/>
        </w:rPr>
        <w:t>the</w:t>
      </w:r>
      <w:r>
        <w:rPr>
          <w:spacing w:val="-10"/>
          <w:sz w:val="20"/>
        </w:rPr>
        <w:t> </w:t>
      </w:r>
      <w:r>
        <w:rPr>
          <w:sz w:val="20"/>
        </w:rPr>
        <w:t>Convention</w:t>
      </w:r>
      <w:r>
        <w:rPr>
          <w:spacing w:val="-10"/>
          <w:sz w:val="20"/>
        </w:rPr>
        <w:t> </w:t>
      </w:r>
      <w:r>
        <w:rPr>
          <w:sz w:val="20"/>
        </w:rPr>
        <w:t>Committee</w:t>
      </w:r>
      <w:r>
        <w:rPr>
          <w:spacing w:val="-10"/>
          <w:sz w:val="20"/>
        </w:rPr>
        <w:t> </w:t>
      </w:r>
      <w:r>
        <w:rPr>
          <w:spacing w:val="-3"/>
          <w:sz w:val="20"/>
        </w:rPr>
        <w:t>arose</w:t>
      </w:r>
      <w:r>
        <w:rPr>
          <w:spacing w:val="-10"/>
          <w:sz w:val="20"/>
        </w:rPr>
        <w:t> </w:t>
      </w:r>
      <w:r>
        <w:rPr>
          <w:sz w:val="20"/>
        </w:rPr>
        <w:t>in</w:t>
      </w:r>
      <w:r>
        <w:rPr>
          <w:spacing w:val="-10"/>
          <w:sz w:val="20"/>
        </w:rPr>
        <w:t> </w:t>
      </w:r>
      <w:r>
        <w:rPr>
          <w:sz w:val="20"/>
        </w:rPr>
        <w:t>2018,</w:t>
      </w:r>
      <w:r>
        <w:rPr>
          <w:spacing w:val="-10"/>
          <w:sz w:val="20"/>
        </w:rPr>
        <w:t> </w:t>
      </w:r>
      <w:r>
        <w:rPr>
          <w:spacing w:val="-3"/>
          <w:sz w:val="20"/>
        </w:rPr>
        <w:t>following</w:t>
      </w:r>
      <w:r>
        <w:rPr>
          <w:spacing w:val="-11"/>
          <w:sz w:val="20"/>
        </w:rPr>
        <w:t> </w:t>
      </w:r>
      <w:r>
        <w:rPr>
          <w:sz w:val="20"/>
        </w:rPr>
        <w:t>the</w:t>
      </w:r>
      <w:r>
        <w:rPr>
          <w:spacing w:val="-10"/>
          <w:sz w:val="20"/>
        </w:rPr>
        <w:t> </w:t>
      </w:r>
      <w:r>
        <w:rPr>
          <w:sz w:val="20"/>
        </w:rPr>
        <w:t>complaint</w:t>
      </w:r>
      <w:r>
        <w:rPr>
          <w:spacing w:val="-10"/>
          <w:sz w:val="20"/>
        </w:rPr>
        <w:t> </w:t>
      </w:r>
      <w:r>
        <w:rPr>
          <w:sz w:val="20"/>
        </w:rPr>
        <w:t>of</w:t>
      </w:r>
      <w:r>
        <w:rPr>
          <w:spacing w:val="-10"/>
          <w:sz w:val="20"/>
        </w:rPr>
        <w:t> </w:t>
      </w:r>
      <w:r>
        <w:rPr>
          <w:sz w:val="20"/>
        </w:rPr>
        <w:t>Perth</w:t>
      </w:r>
      <w:r>
        <w:rPr>
          <w:spacing w:val="-10"/>
          <w:sz w:val="20"/>
        </w:rPr>
        <w:t> </w:t>
      </w:r>
      <w:r>
        <w:rPr>
          <w:sz w:val="20"/>
        </w:rPr>
        <w:t>resident, JH, who was born deaf and uses</w:t>
      </w:r>
      <w:r>
        <w:rPr>
          <w:spacing w:val="-30"/>
          <w:sz w:val="20"/>
        </w:rPr>
        <w:t> </w:t>
      </w:r>
      <w:r>
        <w:rPr>
          <w:sz w:val="20"/>
        </w:rPr>
        <w:t>Auslan.</w:t>
      </w:r>
      <w:r>
        <w:rPr>
          <w:position w:val="7"/>
          <w:sz w:val="11"/>
        </w:rPr>
        <w:t>38</w:t>
      </w:r>
    </w:p>
    <w:p>
      <w:pPr>
        <w:pStyle w:val="ListParagraph"/>
        <w:numPr>
          <w:ilvl w:val="1"/>
          <w:numId w:val="12"/>
        </w:numPr>
        <w:tabs>
          <w:tab w:pos="1761" w:val="left" w:leader="none"/>
          <w:tab w:pos="1762" w:val="left" w:leader="none"/>
        </w:tabs>
        <w:spacing w:line="206" w:lineRule="auto" w:before="124" w:after="0"/>
        <w:ind w:left="1761" w:right="1003" w:hanging="794"/>
        <w:jc w:val="left"/>
        <w:rPr>
          <w:sz w:val="11"/>
        </w:rPr>
      </w:pPr>
      <w:r>
        <w:rPr>
          <w:sz w:val="20"/>
        </w:rPr>
        <w:t>JH</w:t>
      </w:r>
      <w:r>
        <w:rPr>
          <w:spacing w:val="-9"/>
          <w:sz w:val="20"/>
        </w:rPr>
        <w:t> </w:t>
      </w:r>
      <w:r>
        <w:rPr>
          <w:sz w:val="20"/>
        </w:rPr>
        <w:t>was</w:t>
      </w:r>
      <w:r>
        <w:rPr>
          <w:spacing w:val="-9"/>
          <w:sz w:val="20"/>
        </w:rPr>
        <w:t> </w:t>
      </w:r>
      <w:r>
        <w:rPr>
          <w:sz w:val="20"/>
        </w:rPr>
        <w:t>summonsed</w:t>
      </w:r>
      <w:r>
        <w:rPr>
          <w:spacing w:val="-8"/>
          <w:sz w:val="20"/>
        </w:rPr>
        <w:t> </w:t>
      </w:r>
      <w:r>
        <w:rPr>
          <w:sz w:val="20"/>
        </w:rPr>
        <w:t>to</w:t>
      </w:r>
      <w:r>
        <w:rPr>
          <w:spacing w:val="-9"/>
          <w:sz w:val="20"/>
        </w:rPr>
        <w:t> </w:t>
      </w:r>
      <w:r>
        <w:rPr>
          <w:sz w:val="20"/>
        </w:rPr>
        <w:t>serve</w:t>
      </w:r>
      <w:r>
        <w:rPr>
          <w:spacing w:val="-9"/>
          <w:sz w:val="20"/>
        </w:rPr>
        <w:t> </w:t>
      </w:r>
      <w:r>
        <w:rPr>
          <w:sz w:val="20"/>
        </w:rPr>
        <w:t>as</w:t>
      </w:r>
      <w:r>
        <w:rPr>
          <w:spacing w:val="-8"/>
          <w:sz w:val="20"/>
        </w:rPr>
        <w:t> </w:t>
      </w:r>
      <w:r>
        <w:rPr>
          <w:sz w:val="20"/>
        </w:rPr>
        <w:t>a</w:t>
      </w:r>
      <w:r>
        <w:rPr>
          <w:spacing w:val="-9"/>
          <w:sz w:val="20"/>
        </w:rPr>
        <w:t> </w:t>
      </w:r>
      <w:r>
        <w:rPr>
          <w:sz w:val="20"/>
        </w:rPr>
        <w:t>juror</w:t>
      </w:r>
      <w:r>
        <w:rPr>
          <w:spacing w:val="-9"/>
          <w:sz w:val="20"/>
        </w:rPr>
        <w:t> </w:t>
      </w:r>
      <w:r>
        <w:rPr>
          <w:sz w:val="20"/>
        </w:rPr>
        <w:t>in</w:t>
      </w:r>
      <w:r>
        <w:rPr>
          <w:spacing w:val="-8"/>
          <w:sz w:val="20"/>
        </w:rPr>
        <w:t> </w:t>
      </w:r>
      <w:r>
        <w:rPr>
          <w:sz w:val="20"/>
        </w:rPr>
        <w:t>the</w:t>
      </w:r>
      <w:r>
        <w:rPr>
          <w:spacing w:val="-9"/>
          <w:sz w:val="20"/>
        </w:rPr>
        <w:t> </w:t>
      </w:r>
      <w:r>
        <w:rPr>
          <w:spacing w:val="-4"/>
          <w:sz w:val="20"/>
        </w:rPr>
        <w:t>Western</w:t>
      </w:r>
      <w:r>
        <w:rPr>
          <w:spacing w:val="-9"/>
          <w:sz w:val="20"/>
        </w:rPr>
        <w:t> </w:t>
      </w:r>
      <w:r>
        <w:rPr>
          <w:sz w:val="20"/>
        </w:rPr>
        <w:t>Australia</w:t>
      </w:r>
      <w:r>
        <w:rPr>
          <w:spacing w:val="-8"/>
          <w:sz w:val="20"/>
        </w:rPr>
        <w:t> </w:t>
      </w:r>
      <w:r>
        <w:rPr>
          <w:sz w:val="20"/>
        </w:rPr>
        <w:t>District</w:t>
      </w:r>
      <w:r>
        <w:rPr>
          <w:spacing w:val="-9"/>
          <w:sz w:val="20"/>
        </w:rPr>
        <w:t> </w:t>
      </w:r>
      <w:r>
        <w:rPr>
          <w:sz w:val="20"/>
        </w:rPr>
        <w:t>Court.</w:t>
      </w:r>
      <w:r>
        <w:rPr>
          <w:spacing w:val="-9"/>
          <w:sz w:val="20"/>
        </w:rPr>
        <w:t> </w:t>
      </w:r>
      <w:r>
        <w:rPr>
          <w:sz w:val="20"/>
        </w:rPr>
        <w:t>She</w:t>
      </w:r>
      <w:r>
        <w:rPr>
          <w:spacing w:val="-8"/>
          <w:sz w:val="20"/>
        </w:rPr>
        <w:t> </w:t>
      </w:r>
      <w:r>
        <w:rPr>
          <w:sz w:val="20"/>
        </w:rPr>
        <w:t>notified the Department of the Attorney-General</w:t>
      </w:r>
      <w:r>
        <w:rPr>
          <w:position w:val="7"/>
          <w:sz w:val="11"/>
        </w:rPr>
        <w:t>39 </w:t>
      </w:r>
      <w:r>
        <w:rPr>
          <w:sz w:val="20"/>
        </w:rPr>
        <w:t>that she required an Auslan </w:t>
      </w:r>
      <w:r>
        <w:rPr>
          <w:spacing w:val="-3"/>
          <w:sz w:val="20"/>
        </w:rPr>
        <w:t>interpreter </w:t>
      </w:r>
      <w:r>
        <w:rPr>
          <w:sz w:val="20"/>
        </w:rPr>
        <w:t>and </w:t>
      </w:r>
      <w:r>
        <w:rPr>
          <w:spacing w:val="-3"/>
          <w:sz w:val="20"/>
        </w:rPr>
        <w:t>provided </w:t>
      </w:r>
      <w:r>
        <w:rPr>
          <w:sz w:val="20"/>
        </w:rPr>
        <w:t>the details of an </w:t>
      </w:r>
      <w:r>
        <w:rPr>
          <w:spacing w:val="-3"/>
          <w:sz w:val="20"/>
        </w:rPr>
        <w:t>interpreter </w:t>
      </w:r>
      <w:r>
        <w:rPr>
          <w:sz w:val="20"/>
        </w:rPr>
        <w:t>booking</w:t>
      </w:r>
      <w:r>
        <w:rPr>
          <w:spacing w:val="-23"/>
          <w:sz w:val="20"/>
        </w:rPr>
        <w:t> </w:t>
      </w:r>
      <w:r>
        <w:rPr>
          <w:sz w:val="20"/>
        </w:rPr>
        <w:t>service.</w:t>
      </w:r>
      <w:r>
        <w:rPr>
          <w:position w:val="7"/>
          <w:sz w:val="11"/>
        </w:rPr>
        <w:t>40</w:t>
      </w:r>
    </w:p>
    <w:p>
      <w:pPr>
        <w:pStyle w:val="ListParagraph"/>
        <w:numPr>
          <w:ilvl w:val="1"/>
          <w:numId w:val="12"/>
        </w:numPr>
        <w:tabs>
          <w:tab w:pos="1761" w:val="left" w:leader="none"/>
          <w:tab w:pos="1762" w:val="left" w:leader="none"/>
        </w:tabs>
        <w:spacing w:line="206" w:lineRule="auto" w:before="124" w:after="0"/>
        <w:ind w:left="1761" w:right="1393" w:hanging="794"/>
        <w:jc w:val="left"/>
        <w:rPr>
          <w:sz w:val="20"/>
        </w:rPr>
      </w:pPr>
      <w:r>
        <w:rPr>
          <w:sz w:val="20"/>
        </w:rPr>
        <w:t>The</w:t>
      </w:r>
      <w:r>
        <w:rPr>
          <w:spacing w:val="-7"/>
          <w:sz w:val="20"/>
        </w:rPr>
        <w:t> </w:t>
      </w:r>
      <w:r>
        <w:rPr>
          <w:sz w:val="20"/>
        </w:rPr>
        <w:t>Manager</w:t>
      </w:r>
      <w:r>
        <w:rPr>
          <w:spacing w:val="-6"/>
          <w:sz w:val="20"/>
        </w:rPr>
        <w:t> </w:t>
      </w:r>
      <w:r>
        <w:rPr>
          <w:sz w:val="20"/>
        </w:rPr>
        <w:t>of</w:t>
      </w:r>
      <w:r>
        <w:rPr>
          <w:spacing w:val="-6"/>
          <w:sz w:val="20"/>
        </w:rPr>
        <w:t> </w:t>
      </w:r>
      <w:r>
        <w:rPr>
          <w:sz w:val="20"/>
        </w:rPr>
        <w:t>Jury</w:t>
      </w:r>
      <w:r>
        <w:rPr>
          <w:spacing w:val="-6"/>
          <w:sz w:val="20"/>
        </w:rPr>
        <w:t> </w:t>
      </w:r>
      <w:r>
        <w:rPr>
          <w:sz w:val="20"/>
        </w:rPr>
        <w:t>Services</w:t>
      </w:r>
      <w:r>
        <w:rPr>
          <w:spacing w:val="-7"/>
          <w:sz w:val="20"/>
        </w:rPr>
        <w:t> </w:t>
      </w:r>
      <w:r>
        <w:rPr>
          <w:spacing w:val="-3"/>
          <w:sz w:val="20"/>
        </w:rPr>
        <w:t>excused</w:t>
      </w:r>
      <w:r>
        <w:rPr>
          <w:spacing w:val="-6"/>
          <w:sz w:val="20"/>
        </w:rPr>
        <w:t> </w:t>
      </w:r>
      <w:r>
        <w:rPr>
          <w:sz w:val="20"/>
        </w:rPr>
        <w:t>JH</w:t>
      </w:r>
      <w:r>
        <w:rPr>
          <w:spacing w:val="-6"/>
          <w:sz w:val="20"/>
        </w:rPr>
        <w:t> </w:t>
      </w:r>
      <w:r>
        <w:rPr>
          <w:spacing w:val="-3"/>
          <w:sz w:val="20"/>
        </w:rPr>
        <w:t>from</w:t>
      </w:r>
      <w:r>
        <w:rPr>
          <w:spacing w:val="-6"/>
          <w:sz w:val="20"/>
        </w:rPr>
        <w:t> </w:t>
      </w:r>
      <w:r>
        <w:rPr>
          <w:sz w:val="20"/>
        </w:rPr>
        <w:t>her</w:t>
      </w:r>
      <w:r>
        <w:rPr>
          <w:spacing w:val="-7"/>
          <w:sz w:val="20"/>
        </w:rPr>
        <w:t> </w:t>
      </w:r>
      <w:r>
        <w:rPr>
          <w:sz w:val="20"/>
        </w:rPr>
        <w:t>summons</w:t>
      </w:r>
      <w:r>
        <w:rPr>
          <w:spacing w:val="-6"/>
          <w:sz w:val="20"/>
        </w:rPr>
        <w:t> </w:t>
      </w:r>
      <w:r>
        <w:rPr>
          <w:sz w:val="20"/>
        </w:rPr>
        <w:t>because</w:t>
      </w:r>
      <w:r>
        <w:rPr>
          <w:spacing w:val="-6"/>
          <w:sz w:val="20"/>
        </w:rPr>
        <w:t> </w:t>
      </w:r>
      <w:r>
        <w:rPr>
          <w:sz w:val="20"/>
        </w:rPr>
        <w:t>the</w:t>
      </w:r>
      <w:r>
        <w:rPr>
          <w:spacing w:val="-6"/>
          <w:sz w:val="20"/>
        </w:rPr>
        <w:t> </w:t>
      </w:r>
      <w:r>
        <w:rPr>
          <w:sz w:val="20"/>
        </w:rPr>
        <w:t>court</w:t>
      </w:r>
      <w:r>
        <w:rPr>
          <w:spacing w:val="-7"/>
          <w:sz w:val="20"/>
        </w:rPr>
        <w:t> </w:t>
      </w:r>
      <w:r>
        <w:rPr>
          <w:sz w:val="20"/>
        </w:rPr>
        <w:t>was unable to </w:t>
      </w:r>
      <w:r>
        <w:rPr>
          <w:spacing w:val="-3"/>
          <w:sz w:val="20"/>
        </w:rPr>
        <w:t>provide </w:t>
      </w:r>
      <w:r>
        <w:rPr>
          <w:sz w:val="20"/>
        </w:rPr>
        <w:t>her with an Auslan </w:t>
      </w:r>
      <w:r>
        <w:rPr>
          <w:spacing w:val="-3"/>
          <w:sz w:val="20"/>
        </w:rPr>
        <w:t>interpreter </w:t>
      </w:r>
      <w:r>
        <w:rPr>
          <w:sz w:val="20"/>
        </w:rPr>
        <w:t>due</w:t>
      </w:r>
      <w:r>
        <w:rPr>
          <w:spacing w:val="-35"/>
          <w:sz w:val="20"/>
        </w:rPr>
        <w:t> </w:t>
      </w:r>
      <w:r>
        <w:rPr>
          <w:spacing w:val="-3"/>
          <w:sz w:val="20"/>
        </w:rPr>
        <w:t>to:</w:t>
      </w:r>
    </w:p>
    <w:p>
      <w:pPr>
        <w:pStyle w:val="ListParagraph"/>
        <w:numPr>
          <w:ilvl w:val="0"/>
          <w:numId w:val="41"/>
        </w:numPr>
        <w:tabs>
          <w:tab w:pos="2157" w:val="left" w:leader="none"/>
          <w:tab w:pos="2158" w:val="left" w:leader="none"/>
        </w:tabs>
        <w:spacing w:line="240" w:lineRule="auto" w:before="90" w:after="0"/>
        <w:ind w:left="2157" w:right="0" w:hanging="396"/>
        <w:jc w:val="left"/>
        <w:rPr>
          <w:sz w:val="20"/>
        </w:rPr>
      </w:pPr>
      <w:r>
        <w:rPr>
          <w:sz w:val="20"/>
        </w:rPr>
        <w:t>the requirements of the </w:t>
      </w:r>
      <w:r>
        <w:rPr>
          <w:i/>
          <w:sz w:val="20"/>
        </w:rPr>
        <w:t>Juries Act 1957</w:t>
      </w:r>
      <w:r>
        <w:rPr>
          <w:i/>
          <w:spacing w:val="-17"/>
          <w:sz w:val="20"/>
        </w:rPr>
        <w:t> </w:t>
      </w:r>
      <w:r>
        <w:rPr>
          <w:sz w:val="20"/>
        </w:rPr>
        <w:t>(WA);</w:t>
      </w:r>
      <w:r>
        <w:rPr>
          <w:position w:val="7"/>
          <w:sz w:val="11"/>
        </w:rPr>
        <w:t>41 </w:t>
      </w:r>
      <w:r>
        <w:rPr>
          <w:sz w:val="20"/>
        </w:rPr>
        <w:t>and</w:t>
      </w:r>
    </w:p>
    <w:p>
      <w:pPr>
        <w:pStyle w:val="ListParagraph"/>
        <w:numPr>
          <w:ilvl w:val="0"/>
          <w:numId w:val="41"/>
        </w:numPr>
        <w:tabs>
          <w:tab w:pos="2157" w:val="left" w:leader="none"/>
          <w:tab w:pos="2158" w:val="left" w:leader="none"/>
        </w:tabs>
        <w:spacing w:line="259" w:lineRule="exact" w:before="47" w:after="0"/>
        <w:ind w:left="2157" w:right="0" w:hanging="396"/>
        <w:jc w:val="left"/>
        <w:rPr>
          <w:sz w:val="20"/>
        </w:rPr>
      </w:pPr>
      <w:r>
        <w:rPr>
          <w:sz w:val="20"/>
        </w:rPr>
        <w:t>the</w:t>
      </w:r>
      <w:r>
        <w:rPr>
          <w:spacing w:val="-4"/>
          <w:sz w:val="20"/>
        </w:rPr>
        <w:t> </w:t>
      </w:r>
      <w:r>
        <w:rPr>
          <w:sz w:val="20"/>
        </w:rPr>
        <w:t>overriding</w:t>
      </w:r>
      <w:r>
        <w:rPr>
          <w:spacing w:val="-3"/>
          <w:sz w:val="20"/>
        </w:rPr>
        <w:t> </w:t>
      </w:r>
      <w:r>
        <w:rPr>
          <w:sz w:val="20"/>
        </w:rPr>
        <w:t>necessity</w:t>
      </w:r>
      <w:r>
        <w:rPr>
          <w:spacing w:val="-4"/>
          <w:sz w:val="20"/>
        </w:rPr>
        <w:t> </w:t>
      </w:r>
      <w:r>
        <w:rPr>
          <w:sz w:val="20"/>
        </w:rPr>
        <w:t>of</w:t>
      </w:r>
      <w:r>
        <w:rPr>
          <w:spacing w:val="-3"/>
          <w:sz w:val="20"/>
        </w:rPr>
        <w:t> </w:t>
      </w:r>
      <w:r>
        <w:rPr>
          <w:sz w:val="20"/>
        </w:rPr>
        <w:t>affording</w:t>
      </w:r>
      <w:r>
        <w:rPr>
          <w:spacing w:val="-3"/>
          <w:sz w:val="20"/>
        </w:rPr>
        <w:t> </w:t>
      </w:r>
      <w:r>
        <w:rPr>
          <w:sz w:val="20"/>
        </w:rPr>
        <w:t>a</w:t>
      </w:r>
      <w:r>
        <w:rPr>
          <w:spacing w:val="-4"/>
          <w:sz w:val="20"/>
        </w:rPr>
        <w:t> </w:t>
      </w:r>
      <w:r>
        <w:rPr>
          <w:sz w:val="20"/>
        </w:rPr>
        <w:t>fair</w:t>
      </w:r>
      <w:r>
        <w:rPr>
          <w:spacing w:val="-3"/>
          <w:sz w:val="20"/>
        </w:rPr>
        <w:t> </w:t>
      </w:r>
      <w:r>
        <w:rPr>
          <w:sz w:val="20"/>
        </w:rPr>
        <w:t>trial</w:t>
      </w:r>
      <w:r>
        <w:rPr>
          <w:spacing w:val="-3"/>
          <w:sz w:val="20"/>
        </w:rPr>
        <w:t> </w:t>
      </w:r>
      <w:r>
        <w:rPr>
          <w:sz w:val="20"/>
        </w:rPr>
        <w:t>to</w:t>
      </w:r>
      <w:r>
        <w:rPr>
          <w:spacing w:val="-4"/>
          <w:sz w:val="20"/>
        </w:rPr>
        <w:t> </w:t>
      </w:r>
      <w:r>
        <w:rPr>
          <w:sz w:val="20"/>
        </w:rPr>
        <w:t>the</w:t>
      </w:r>
      <w:r>
        <w:rPr>
          <w:spacing w:val="-3"/>
          <w:sz w:val="20"/>
        </w:rPr>
        <w:t> </w:t>
      </w:r>
      <w:r>
        <w:rPr>
          <w:sz w:val="20"/>
        </w:rPr>
        <w:t>accused,</w:t>
      </w:r>
      <w:r>
        <w:rPr>
          <w:spacing w:val="-3"/>
          <w:sz w:val="20"/>
        </w:rPr>
        <w:t> </w:t>
      </w:r>
      <w:r>
        <w:rPr>
          <w:sz w:val="20"/>
        </w:rPr>
        <w:t>including</w:t>
      </w:r>
      <w:r>
        <w:rPr>
          <w:spacing w:val="-4"/>
          <w:sz w:val="20"/>
        </w:rPr>
        <w:t> </w:t>
      </w:r>
      <w:r>
        <w:rPr>
          <w:sz w:val="20"/>
        </w:rPr>
        <w:t>the</w:t>
      </w:r>
    </w:p>
    <w:p>
      <w:pPr>
        <w:pStyle w:val="BodyText"/>
        <w:spacing w:line="259" w:lineRule="exact"/>
        <w:ind w:left="2157"/>
        <w:rPr>
          <w:sz w:val="11"/>
        </w:rPr>
      </w:pPr>
      <w:r>
        <w:rPr/>
        <w:t>preservation of secrecy of jury deliberations.</w:t>
      </w:r>
      <w:r>
        <w:rPr>
          <w:position w:val="7"/>
          <w:sz w:val="11"/>
        </w:rPr>
        <w:t>42</w:t>
      </w:r>
    </w:p>
    <w:p>
      <w:pPr>
        <w:pStyle w:val="BodyText"/>
        <w:spacing w:before="12"/>
        <w:rPr>
          <w:sz w:val="7"/>
        </w:rPr>
      </w:pPr>
      <w:r>
        <w:rPr/>
        <w:pict>
          <v:line style="position:absolute;mso-position-horizontal-relative:page;mso-position-vertical-relative:paragraph;z-index:2768;mso-wrap-distance-left:0;mso-wrap-distance-right:0" from="79.370102pt,7.936pt" to="531.968102pt,7.936pt" stroked="true" strokeweight="1pt" strokecolor="#b6bdc8">
            <v:stroke dashstyle="solid"/>
            <w10:wrap type="topAndBottom"/>
          </v:line>
        </w:pict>
      </w:r>
    </w:p>
    <w:p>
      <w:pPr>
        <w:tabs>
          <w:tab w:pos="1760" w:val="left" w:leader="none"/>
        </w:tabs>
        <w:spacing w:line="170" w:lineRule="exact" w:before="91"/>
        <w:ind w:left="967" w:right="0" w:firstLine="0"/>
        <w:jc w:val="left"/>
        <w:rPr>
          <w:sz w:val="13"/>
        </w:rPr>
      </w:pPr>
      <w:r>
        <w:rPr>
          <w:sz w:val="13"/>
        </w:rPr>
        <w:t>33</w:t>
        <w:tab/>
        <w:t>Ibid </w:t>
      </w:r>
      <w:r>
        <w:rPr>
          <w:spacing w:val="2"/>
          <w:sz w:val="13"/>
        </w:rPr>
        <w:t>[8.6].</w:t>
      </w:r>
    </w:p>
    <w:p>
      <w:pPr>
        <w:pStyle w:val="ListParagraph"/>
        <w:numPr>
          <w:ilvl w:val="0"/>
          <w:numId w:val="42"/>
        </w:numPr>
        <w:tabs>
          <w:tab w:pos="1761" w:val="left" w:leader="none"/>
          <w:tab w:pos="1762" w:val="left" w:leader="none"/>
        </w:tabs>
        <w:spacing w:line="160" w:lineRule="exact" w:before="0" w:after="0"/>
        <w:ind w:left="1761" w:right="0" w:hanging="794"/>
        <w:jc w:val="left"/>
        <w:rPr>
          <w:sz w:val="13"/>
        </w:rPr>
      </w:pPr>
      <w:r>
        <w:rPr>
          <w:sz w:val="13"/>
        </w:rPr>
        <w:t>Ibid [8.7]–[8.8] This amounted to a </w:t>
      </w:r>
      <w:r>
        <w:rPr>
          <w:spacing w:val="2"/>
          <w:sz w:val="13"/>
        </w:rPr>
        <w:t>violation </w:t>
      </w:r>
      <w:r>
        <w:rPr>
          <w:sz w:val="13"/>
        </w:rPr>
        <w:t>of article 21(b) read alone and in conjunction with articles 2, </w:t>
      </w:r>
      <w:r>
        <w:rPr>
          <w:spacing w:val="3"/>
          <w:sz w:val="13"/>
        </w:rPr>
        <w:t>4,</w:t>
      </w:r>
      <w:r>
        <w:rPr>
          <w:spacing w:val="20"/>
          <w:sz w:val="13"/>
        </w:rPr>
        <w:t> </w:t>
      </w:r>
      <w:r>
        <w:rPr>
          <w:sz w:val="13"/>
        </w:rPr>
        <w:t>and </w:t>
      </w:r>
      <w:r>
        <w:rPr>
          <w:spacing w:val="2"/>
          <w:sz w:val="13"/>
        </w:rPr>
        <w:t>5(1) </w:t>
      </w:r>
      <w:r>
        <w:rPr>
          <w:sz w:val="13"/>
        </w:rPr>
        <w:t>and </w:t>
      </w:r>
      <w:r>
        <w:rPr>
          <w:spacing w:val="2"/>
          <w:sz w:val="13"/>
        </w:rPr>
        <w:t>(3) </w:t>
      </w:r>
      <w:r>
        <w:rPr>
          <w:sz w:val="13"/>
        </w:rPr>
        <w:t>of the CRPD.</w:t>
      </w:r>
    </w:p>
    <w:p>
      <w:pPr>
        <w:pStyle w:val="ListParagraph"/>
        <w:numPr>
          <w:ilvl w:val="0"/>
          <w:numId w:val="42"/>
        </w:numPr>
        <w:tabs>
          <w:tab w:pos="1760" w:val="left" w:leader="none"/>
          <w:tab w:pos="1762" w:val="left" w:leader="none"/>
        </w:tabs>
        <w:spacing w:line="160" w:lineRule="exact" w:before="0" w:after="0"/>
        <w:ind w:left="1761" w:right="0" w:hanging="794"/>
        <w:jc w:val="left"/>
        <w:rPr>
          <w:sz w:val="13"/>
        </w:rPr>
      </w:pPr>
      <w:r>
        <w:rPr>
          <w:sz w:val="13"/>
        </w:rPr>
        <w:t>Ibid</w:t>
      </w:r>
      <w:r>
        <w:rPr>
          <w:spacing w:val="2"/>
          <w:sz w:val="13"/>
        </w:rPr>
        <w:t> </w:t>
      </w:r>
      <w:r>
        <w:rPr>
          <w:sz w:val="13"/>
        </w:rPr>
        <w:t>[8.9].</w:t>
      </w:r>
      <w:r>
        <w:rPr>
          <w:spacing w:val="3"/>
          <w:sz w:val="13"/>
        </w:rPr>
        <w:t> </w:t>
      </w:r>
      <w:r>
        <w:rPr>
          <w:sz w:val="13"/>
        </w:rPr>
        <w:t>The</w:t>
      </w:r>
      <w:r>
        <w:rPr>
          <w:spacing w:val="2"/>
          <w:sz w:val="13"/>
        </w:rPr>
        <w:t> </w:t>
      </w:r>
      <w:r>
        <w:rPr>
          <w:sz w:val="13"/>
        </w:rPr>
        <w:t>Committee</w:t>
      </w:r>
      <w:r>
        <w:rPr>
          <w:spacing w:val="3"/>
          <w:sz w:val="13"/>
        </w:rPr>
        <w:t> </w:t>
      </w:r>
      <w:r>
        <w:rPr>
          <w:sz w:val="13"/>
        </w:rPr>
        <w:t>considered</w:t>
      </w:r>
      <w:r>
        <w:rPr>
          <w:spacing w:val="2"/>
          <w:sz w:val="13"/>
        </w:rPr>
        <w:t> </w:t>
      </w:r>
      <w:r>
        <w:rPr>
          <w:sz w:val="13"/>
        </w:rPr>
        <w:t>that</w:t>
      </w:r>
      <w:r>
        <w:rPr>
          <w:spacing w:val="3"/>
          <w:sz w:val="13"/>
        </w:rPr>
        <w:t> </w:t>
      </w:r>
      <w:r>
        <w:rPr>
          <w:sz w:val="13"/>
        </w:rPr>
        <w:t>the</w:t>
      </w:r>
      <w:r>
        <w:rPr>
          <w:spacing w:val="3"/>
          <w:sz w:val="13"/>
        </w:rPr>
        <w:t> </w:t>
      </w:r>
      <w:r>
        <w:rPr>
          <w:sz w:val="13"/>
        </w:rPr>
        <w:t>decision</w:t>
      </w:r>
      <w:r>
        <w:rPr>
          <w:spacing w:val="2"/>
          <w:sz w:val="13"/>
        </w:rPr>
        <w:t> </w:t>
      </w:r>
      <w:r>
        <w:rPr>
          <w:sz w:val="13"/>
        </w:rPr>
        <w:t>of</w:t>
      </w:r>
      <w:r>
        <w:rPr>
          <w:spacing w:val="3"/>
          <w:sz w:val="13"/>
        </w:rPr>
        <w:t> </w:t>
      </w:r>
      <w:r>
        <w:rPr>
          <w:sz w:val="13"/>
        </w:rPr>
        <w:t>the</w:t>
      </w:r>
      <w:r>
        <w:rPr>
          <w:spacing w:val="2"/>
          <w:sz w:val="13"/>
        </w:rPr>
        <w:t> </w:t>
      </w:r>
      <w:r>
        <w:rPr>
          <w:sz w:val="13"/>
        </w:rPr>
        <w:t>sheriff</w:t>
      </w:r>
      <w:r>
        <w:rPr>
          <w:spacing w:val="3"/>
          <w:sz w:val="13"/>
        </w:rPr>
        <w:t> </w:t>
      </w:r>
      <w:r>
        <w:rPr>
          <w:sz w:val="13"/>
        </w:rPr>
        <w:t>not</w:t>
      </w:r>
      <w:r>
        <w:rPr>
          <w:spacing w:val="2"/>
          <w:sz w:val="13"/>
        </w:rPr>
        <w:t> </w:t>
      </w:r>
      <w:r>
        <w:rPr>
          <w:sz w:val="13"/>
        </w:rPr>
        <w:t>to</w:t>
      </w:r>
      <w:r>
        <w:rPr>
          <w:spacing w:val="3"/>
          <w:sz w:val="13"/>
        </w:rPr>
        <w:t> </w:t>
      </w:r>
      <w:r>
        <w:rPr>
          <w:sz w:val="13"/>
        </w:rPr>
        <w:t>provide</w:t>
      </w:r>
      <w:r>
        <w:rPr>
          <w:spacing w:val="3"/>
          <w:sz w:val="13"/>
        </w:rPr>
        <w:t> </w:t>
      </w:r>
      <w:r>
        <w:rPr>
          <w:sz w:val="13"/>
        </w:rPr>
        <w:t>Auslan</w:t>
      </w:r>
      <w:r>
        <w:rPr>
          <w:spacing w:val="2"/>
          <w:sz w:val="13"/>
        </w:rPr>
        <w:t> </w:t>
      </w:r>
      <w:r>
        <w:rPr>
          <w:sz w:val="13"/>
        </w:rPr>
        <w:t>interpretation</w:t>
      </w:r>
      <w:r>
        <w:rPr>
          <w:spacing w:val="3"/>
          <w:sz w:val="13"/>
        </w:rPr>
        <w:t> </w:t>
      </w:r>
      <w:r>
        <w:rPr>
          <w:sz w:val="13"/>
        </w:rPr>
        <w:t>amounted</w:t>
      </w:r>
      <w:r>
        <w:rPr>
          <w:spacing w:val="2"/>
          <w:sz w:val="13"/>
        </w:rPr>
        <w:t> </w:t>
      </w:r>
      <w:r>
        <w:rPr>
          <w:sz w:val="13"/>
        </w:rPr>
        <w:t>to</w:t>
      </w:r>
      <w:r>
        <w:rPr>
          <w:spacing w:val="3"/>
          <w:sz w:val="13"/>
        </w:rPr>
        <w:t> </w:t>
      </w:r>
      <w:r>
        <w:rPr>
          <w:sz w:val="13"/>
        </w:rPr>
        <w:t>a</w:t>
      </w:r>
      <w:r>
        <w:rPr>
          <w:spacing w:val="2"/>
          <w:sz w:val="13"/>
        </w:rPr>
        <w:t> violation</w:t>
      </w:r>
      <w:r>
        <w:rPr>
          <w:spacing w:val="3"/>
          <w:sz w:val="13"/>
        </w:rPr>
        <w:t> </w:t>
      </w:r>
      <w:r>
        <w:rPr>
          <w:sz w:val="13"/>
        </w:rPr>
        <w:t>of</w:t>
      </w:r>
    </w:p>
    <w:p>
      <w:pPr>
        <w:spacing w:line="160" w:lineRule="exact" w:before="0"/>
        <w:ind w:left="1761" w:right="0" w:firstLine="0"/>
        <w:jc w:val="left"/>
        <w:rPr>
          <w:sz w:val="13"/>
        </w:rPr>
      </w:pPr>
      <w:r>
        <w:rPr>
          <w:sz w:val="13"/>
        </w:rPr>
        <w:t>article 13(1) read alone and in conjunction with articles 3, 5(1), and 29(b) of the CRPD.</w:t>
      </w:r>
    </w:p>
    <w:p>
      <w:pPr>
        <w:tabs>
          <w:tab w:pos="1761" w:val="left" w:leader="none"/>
        </w:tabs>
        <w:spacing w:line="160" w:lineRule="exact" w:before="0"/>
        <w:ind w:left="967" w:right="0" w:firstLine="0"/>
        <w:jc w:val="left"/>
        <w:rPr>
          <w:sz w:val="13"/>
        </w:rPr>
      </w:pPr>
      <w:r>
        <w:rPr>
          <w:sz w:val="13"/>
        </w:rPr>
        <w:t>36</w:t>
        <w:tab/>
        <w:t>Ibid</w:t>
      </w:r>
      <w:r>
        <w:rPr>
          <w:spacing w:val="17"/>
          <w:sz w:val="13"/>
        </w:rPr>
        <w:t> </w:t>
      </w:r>
      <w:r>
        <w:rPr>
          <w:sz w:val="13"/>
        </w:rPr>
        <w:t>[9(a)].</w:t>
      </w:r>
    </w:p>
    <w:p>
      <w:pPr>
        <w:tabs>
          <w:tab w:pos="1760" w:val="left" w:leader="none"/>
        </w:tabs>
        <w:spacing w:line="160" w:lineRule="exact" w:before="0"/>
        <w:ind w:left="967" w:right="0" w:firstLine="0"/>
        <w:jc w:val="left"/>
        <w:rPr>
          <w:sz w:val="13"/>
        </w:rPr>
      </w:pPr>
      <w:r>
        <w:rPr>
          <w:sz w:val="13"/>
        </w:rPr>
        <w:t>37</w:t>
        <w:tab/>
        <w:t>Ibid [9</w:t>
      </w:r>
      <w:r>
        <w:rPr>
          <w:spacing w:val="9"/>
          <w:sz w:val="13"/>
        </w:rPr>
        <w:t> </w:t>
      </w:r>
      <w:r>
        <w:rPr>
          <w:sz w:val="13"/>
        </w:rPr>
        <w:t>(b)].</w:t>
      </w:r>
    </w:p>
    <w:p>
      <w:pPr>
        <w:pStyle w:val="ListParagraph"/>
        <w:numPr>
          <w:ilvl w:val="0"/>
          <w:numId w:val="43"/>
        </w:numPr>
        <w:tabs>
          <w:tab w:pos="1761" w:val="left" w:leader="none"/>
          <w:tab w:pos="1762" w:val="left" w:leader="none"/>
        </w:tabs>
        <w:spacing w:line="160" w:lineRule="exact" w:before="0" w:after="0"/>
        <w:ind w:left="1761" w:right="0" w:hanging="794"/>
        <w:jc w:val="left"/>
        <w:rPr>
          <w:sz w:val="13"/>
        </w:rPr>
      </w:pPr>
      <w:r>
        <w:rPr>
          <w:i/>
          <w:sz w:val="13"/>
        </w:rPr>
        <w:t>JH v Australia </w:t>
      </w:r>
      <w:r>
        <w:rPr>
          <w:spacing w:val="2"/>
          <w:sz w:val="13"/>
        </w:rPr>
        <w:t>[2.1].</w:t>
      </w:r>
    </w:p>
    <w:p>
      <w:pPr>
        <w:pStyle w:val="ListParagraph"/>
        <w:numPr>
          <w:ilvl w:val="0"/>
          <w:numId w:val="43"/>
        </w:numPr>
        <w:tabs>
          <w:tab w:pos="1761" w:val="left" w:leader="none"/>
          <w:tab w:pos="1762" w:val="left" w:leader="none"/>
        </w:tabs>
        <w:spacing w:line="160" w:lineRule="exact" w:before="0" w:after="0"/>
        <w:ind w:left="1761" w:right="0" w:hanging="794"/>
        <w:jc w:val="left"/>
        <w:rPr>
          <w:sz w:val="13"/>
        </w:rPr>
      </w:pPr>
      <w:r>
        <w:rPr>
          <w:sz w:val="13"/>
        </w:rPr>
        <w:t>This is the </w:t>
      </w:r>
      <w:r>
        <w:rPr>
          <w:spacing w:val="2"/>
          <w:sz w:val="13"/>
        </w:rPr>
        <w:t>department </w:t>
      </w:r>
      <w:r>
        <w:rPr>
          <w:sz w:val="13"/>
        </w:rPr>
        <w:t>in Western Australia that sends out the summons for </w:t>
      </w:r>
      <w:r>
        <w:rPr>
          <w:spacing w:val="2"/>
          <w:sz w:val="13"/>
        </w:rPr>
        <w:t>jury</w:t>
      </w:r>
      <w:r>
        <w:rPr>
          <w:spacing w:val="6"/>
          <w:sz w:val="13"/>
        </w:rPr>
        <w:t> </w:t>
      </w:r>
      <w:r>
        <w:rPr>
          <w:sz w:val="13"/>
        </w:rPr>
        <w:t>duty.</w:t>
      </w:r>
    </w:p>
    <w:p>
      <w:pPr>
        <w:pStyle w:val="ListParagraph"/>
        <w:numPr>
          <w:ilvl w:val="0"/>
          <w:numId w:val="43"/>
        </w:numPr>
        <w:tabs>
          <w:tab w:pos="1761" w:val="left" w:leader="none"/>
          <w:tab w:pos="1762" w:val="left" w:leader="none"/>
        </w:tabs>
        <w:spacing w:line="160" w:lineRule="exact" w:before="0" w:after="0"/>
        <w:ind w:left="1761" w:right="0" w:hanging="794"/>
        <w:jc w:val="left"/>
        <w:rPr>
          <w:sz w:val="13"/>
        </w:rPr>
      </w:pPr>
      <w:r>
        <w:rPr>
          <w:i/>
          <w:sz w:val="13"/>
        </w:rPr>
        <w:t>JH v Australia </w:t>
      </w:r>
      <w:r>
        <w:rPr>
          <w:spacing w:val="2"/>
          <w:sz w:val="13"/>
        </w:rPr>
        <w:t>[2.1].</w:t>
      </w:r>
    </w:p>
    <w:p>
      <w:pPr>
        <w:pStyle w:val="ListParagraph"/>
        <w:numPr>
          <w:ilvl w:val="0"/>
          <w:numId w:val="43"/>
        </w:numPr>
        <w:tabs>
          <w:tab w:pos="1760" w:val="left" w:leader="none"/>
          <w:tab w:pos="1762" w:val="left" w:leader="none"/>
        </w:tabs>
        <w:spacing w:line="213" w:lineRule="auto" w:before="6" w:after="0"/>
        <w:ind w:left="1761" w:right="1001" w:hanging="794"/>
        <w:jc w:val="left"/>
        <w:rPr>
          <w:sz w:val="13"/>
        </w:rPr>
      </w:pPr>
      <w:r>
        <w:rPr/>
        <w:pict>
          <v:shape style="position:absolute;margin-left:36pt;margin-top:27.694689pt;width:14pt;height:14.1pt;mso-position-horizontal-relative:page;mso-position-vertical-relative:paragraph;z-index:4840" type="#_x0000_t202" filled="false" stroked="false">
            <v:textbox inset="0,0,0,0">
              <w:txbxContent>
                <w:p>
                  <w:pPr>
                    <w:spacing w:line="282" w:lineRule="exact" w:before="0"/>
                    <w:ind w:left="0" w:right="0" w:firstLine="0"/>
                    <w:jc w:val="left"/>
                    <w:rPr>
                      <w:b/>
                      <w:sz w:val="24"/>
                    </w:rPr>
                  </w:pPr>
                  <w:r>
                    <w:rPr>
                      <w:b/>
                      <w:color w:val="37617A"/>
                      <w:spacing w:val="-2"/>
                      <w:sz w:val="24"/>
                    </w:rPr>
                    <w:t>46</w:t>
                  </w:r>
                </w:p>
              </w:txbxContent>
            </v:textbox>
            <w10:wrap type="none"/>
          </v:shape>
        </w:pict>
      </w:r>
      <w:r>
        <w:rPr>
          <w:spacing w:val="2"/>
          <w:sz w:val="13"/>
        </w:rPr>
        <w:t>Section 34G: General </w:t>
      </w:r>
      <w:r>
        <w:rPr>
          <w:sz w:val="13"/>
        </w:rPr>
        <w:t>powers to excuse </w:t>
      </w:r>
      <w:r>
        <w:rPr>
          <w:spacing w:val="2"/>
          <w:sz w:val="13"/>
        </w:rPr>
        <w:t>summoned </w:t>
      </w:r>
      <w:r>
        <w:rPr>
          <w:sz w:val="13"/>
        </w:rPr>
        <w:t>people: </w:t>
      </w:r>
      <w:r>
        <w:rPr>
          <w:spacing w:val="2"/>
          <w:sz w:val="13"/>
        </w:rPr>
        <w:t>(1) </w:t>
      </w:r>
      <w:r>
        <w:rPr>
          <w:sz w:val="13"/>
        </w:rPr>
        <w:t>A judge or summoning officer may excuse a person under this section when he/she (e) does not </w:t>
      </w:r>
      <w:r>
        <w:rPr>
          <w:spacing w:val="2"/>
          <w:sz w:val="13"/>
        </w:rPr>
        <w:t>understand </w:t>
      </w:r>
      <w:r>
        <w:rPr>
          <w:sz w:val="13"/>
        </w:rPr>
        <w:t>spoken or written English, or cannot speak English, well enough to be capable of </w:t>
      </w:r>
      <w:r>
        <w:rPr>
          <w:spacing w:val="2"/>
          <w:sz w:val="13"/>
        </w:rPr>
        <w:t>serving </w:t>
      </w:r>
      <w:r>
        <w:rPr>
          <w:sz w:val="13"/>
        </w:rPr>
        <w:t>effectively as a juror; or </w:t>
      </w:r>
      <w:r>
        <w:rPr>
          <w:spacing w:val="2"/>
          <w:sz w:val="13"/>
        </w:rPr>
        <w:t>(f) </w:t>
      </w:r>
      <w:r>
        <w:rPr>
          <w:sz w:val="13"/>
        </w:rPr>
        <w:t>is not capable of </w:t>
      </w:r>
      <w:r>
        <w:rPr>
          <w:spacing w:val="2"/>
          <w:sz w:val="13"/>
        </w:rPr>
        <w:t>serving </w:t>
      </w:r>
      <w:r>
        <w:rPr>
          <w:sz w:val="13"/>
        </w:rPr>
        <w:t>effectively as a juror </w:t>
      </w:r>
      <w:r>
        <w:rPr>
          <w:spacing w:val="2"/>
          <w:sz w:val="13"/>
        </w:rPr>
        <w:t>because </w:t>
      </w:r>
      <w:r>
        <w:rPr>
          <w:sz w:val="13"/>
        </w:rPr>
        <w:t>he or she has a physical </w:t>
      </w:r>
      <w:r>
        <w:rPr>
          <w:spacing w:val="2"/>
          <w:sz w:val="13"/>
        </w:rPr>
        <w:t>disability </w:t>
      </w:r>
      <w:r>
        <w:rPr>
          <w:sz w:val="13"/>
        </w:rPr>
        <w:t>or a mental impairment, the judge or summoning officer must excuse the person from the</w:t>
      </w:r>
      <w:r>
        <w:rPr>
          <w:spacing w:val="9"/>
          <w:sz w:val="13"/>
        </w:rPr>
        <w:t> </w:t>
      </w:r>
      <w:r>
        <w:rPr>
          <w:spacing w:val="2"/>
          <w:sz w:val="13"/>
        </w:rPr>
        <w:t>summons.</w:t>
      </w:r>
    </w:p>
    <w:p>
      <w:pPr>
        <w:tabs>
          <w:tab w:pos="1761" w:val="left" w:leader="none"/>
        </w:tabs>
        <w:spacing w:line="162" w:lineRule="exact" w:before="0"/>
        <w:ind w:left="967" w:right="0" w:firstLine="0"/>
        <w:jc w:val="left"/>
        <w:rPr>
          <w:sz w:val="13"/>
        </w:rPr>
      </w:pPr>
      <w:r>
        <w:rPr>
          <w:sz w:val="13"/>
        </w:rPr>
        <w:t>42</w:t>
        <w:tab/>
        <w:t>Ibid </w:t>
      </w:r>
      <w:r>
        <w:rPr>
          <w:spacing w:val="2"/>
          <w:sz w:val="13"/>
        </w:rPr>
        <w:t>[2.4].</w:t>
      </w:r>
    </w:p>
    <w:p>
      <w:pPr>
        <w:spacing w:after="0" w:line="162"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964" w:hanging="794"/>
        <w:jc w:val="left"/>
        <w:rPr>
          <w:sz w:val="11"/>
        </w:rPr>
      </w:pPr>
      <w:bookmarkStart w:name="_bookmark41" w:id="106"/>
      <w:bookmarkEnd w:id="106"/>
      <w:r>
        <w:rPr/>
      </w:r>
      <w:bookmarkStart w:name="_bookmark41" w:id="107"/>
      <w:bookmarkEnd w:id="107"/>
      <w:r>
        <w:rPr>
          <w:sz w:val="20"/>
        </w:rPr>
        <w:t>T</w:t>
      </w:r>
      <w:r>
        <w:rPr>
          <w:sz w:val="20"/>
        </w:rPr>
        <w:t>he</w:t>
      </w:r>
      <w:r>
        <w:rPr>
          <w:spacing w:val="-9"/>
          <w:sz w:val="20"/>
        </w:rPr>
        <w:t> </w:t>
      </w:r>
      <w:r>
        <w:rPr>
          <w:sz w:val="20"/>
        </w:rPr>
        <w:t>main</w:t>
      </w:r>
      <w:r>
        <w:rPr>
          <w:spacing w:val="-9"/>
          <w:sz w:val="20"/>
        </w:rPr>
        <w:t> </w:t>
      </w:r>
      <w:r>
        <w:rPr>
          <w:sz w:val="20"/>
        </w:rPr>
        <w:t>rationale</w:t>
      </w:r>
      <w:r>
        <w:rPr>
          <w:spacing w:val="-9"/>
          <w:sz w:val="20"/>
        </w:rPr>
        <w:t> </w:t>
      </w:r>
      <w:r>
        <w:rPr>
          <w:sz w:val="20"/>
        </w:rPr>
        <w:t>for</w:t>
      </w:r>
      <w:r>
        <w:rPr>
          <w:spacing w:val="-9"/>
          <w:sz w:val="20"/>
        </w:rPr>
        <w:t> </w:t>
      </w:r>
      <w:r>
        <w:rPr>
          <w:sz w:val="20"/>
        </w:rPr>
        <w:t>this</w:t>
      </w:r>
      <w:r>
        <w:rPr>
          <w:spacing w:val="-9"/>
          <w:sz w:val="20"/>
        </w:rPr>
        <w:t> </w:t>
      </w:r>
      <w:r>
        <w:rPr>
          <w:sz w:val="20"/>
        </w:rPr>
        <w:t>decision</w:t>
      </w:r>
      <w:r>
        <w:rPr>
          <w:spacing w:val="-8"/>
          <w:sz w:val="20"/>
        </w:rPr>
        <w:t> </w:t>
      </w:r>
      <w:r>
        <w:rPr>
          <w:sz w:val="20"/>
        </w:rPr>
        <w:t>was</w:t>
      </w:r>
      <w:r>
        <w:rPr>
          <w:spacing w:val="-9"/>
          <w:sz w:val="20"/>
        </w:rPr>
        <w:t> </w:t>
      </w:r>
      <w:r>
        <w:rPr>
          <w:sz w:val="20"/>
        </w:rPr>
        <w:t>‘to</w:t>
      </w:r>
      <w:r>
        <w:rPr>
          <w:spacing w:val="-9"/>
          <w:sz w:val="20"/>
        </w:rPr>
        <w:t> </w:t>
      </w:r>
      <w:r>
        <w:rPr>
          <w:spacing w:val="-3"/>
          <w:sz w:val="20"/>
        </w:rPr>
        <w:t>provide</w:t>
      </w:r>
      <w:r>
        <w:rPr>
          <w:spacing w:val="-9"/>
          <w:sz w:val="20"/>
        </w:rPr>
        <w:t> </w:t>
      </w:r>
      <w:r>
        <w:rPr>
          <w:sz w:val="20"/>
        </w:rPr>
        <w:t>a</w:t>
      </w:r>
      <w:r>
        <w:rPr>
          <w:spacing w:val="-9"/>
          <w:sz w:val="20"/>
        </w:rPr>
        <w:t> </w:t>
      </w:r>
      <w:r>
        <w:rPr>
          <w:sz w:val="20"/>
        </w:rPr>
        <w:t>system</w:t>
      </w:r>
      <w:r>
        <w:rPr>
          <w:spacing w:val="-9"/>
          <w:sz w:val="20"/>
        </w:rPr>
        <w:t> </w:t>
      </w:r>
      <w:r>
        <w:rPr>
          <w:sz w:val="20"/>
        </w:rPr>
        <w:t>that</w:t>
      </w:r>
      <w:r>
        <w:rPr>
          <w:spacing w:val="-8"/>
          <w:sz w:val="20"/>
        </w:rPr>
        <w:t> </w:t>
      </w:r>
      <w:r>
        <w:rPr>
          <w:sz w:val="20"/>
        </w:rPr>
        <w:t>was</w:t>
      </w:r>
      <w:r>
        <w:rPr>
          <w:spacing w:val="-9"/>
          <w:sz w:val="20"/>
        </w:rPr>
        <w:t> </w:t>
      </w:r>
      <w:r>
        <w:rPr>
          <w:sz w:val="20"/>
        </w:rPr>
        <w:t>fair</w:t>
      </w:r>
      <w:r>
        <w:rPr>
          <w:spacing w:val="-9"/>
          <w:sz w:val="20"/>
        </w:rPr>
        <w:t> </w:t>
      </w:r>
      <w:r>
        <w:rPr>
          <w:sz w:val="20"/>
        </w:rPr>
        <w:t>to</w:t>
      </w:r>
      <w:r>
        <w:rPr>
          <w:spacing w:val="-9"/>
          <w:sz w:val="20"/>
        </w:rPr>
        <w:t> </w:t>
      </w:r>
      <w:r>
        <w:rPr>
          <w:sz w:val="20"/>
        </w:rPr>
        <w:t>the accused and complies with applicable</w:t>
      </w:r>
      <w:r>
        <w:rPr>
          <w:spacing w:val="-26"/>
          <w:sz w:val="20"/>
        </w:rPr>
        <w:t> </w:t>
      </w:r>
      <w:r>
        <w:rPr>
          <w:sz w:val="20"/>
        </w:rPr>
        <w:t>legislation’.</w:t>
      </w:r>
      <w:r>
        <w:rPr>
          <w:position w:val="7"/>
          <w:sz w:val="11"/>
        </w:rPr>
        <w:t>43</w:t>
      </w:r>
    </w:p>
    <w:p>
      <w:pPr>
        <w:pStyle w:val="ListParagraph"/>
        <w:numPr>
          <w:ilvl w:val="1"/>
          <w:numId w:val="12"/>
        </w:numPr>
        <w:tabs>
          <w:tab w:pos="1761" w:val="left" w:leader="none"/>
          <w:tab w:pos="1762" w:val="left" w:leader="none"/>
        </w:tabs>
        <w:spacing w:line="206" w:lineRule="auto" w:before="122" w:after="0"/>
        <w:ind w:left="1761" w:right="1347" w:hanging="794"/>
        <w:jc w:val="left"/>
        <w:rPr>
          <w:sz w:val="20"/>
        </w:rPr>
      </w:pPr>
      <w:r>
        <w:rPr>
          <w:sz w:val="20"/>
        </w:rPr>
        <w:t>Australia</w:t>
      </w:r>
      <w:r>
        <w:rPr>
          <w:spacing w:val="-11"/>
          <w:sz w:val="20"/>
        </w:rPr>
        <w:t> </w:t>
      </w:r>
      <w:r>
        <w:rPr>
          <w:spacing w:val="-3"/>
          <w:sz w:val="20"/>
        </w:rPr>
        <w:t>presented</w:t>
      </w:r>
      <w:r>
        <w:rPr>
          <w:spacing w:val="-10"/>
          <w:sz w:val="20"/>
        </w:rPr>
        <w:t> </w:t>
      </w:r>
      <w:r>
        <w:rPr>
          <w:sz w:val="20"/>
        </w:rPr>
        <w:t>the</w:t>
      </w:r>
      <w:r>
        <w:rPr>
          <w:spacing w:val="-11"/>
          <w:sz w:val="20"/>
        </w:rPr>
        <w:t> </w:t>
      </w:r>
      <w:r>
        <w:rPr>
          <w:spacing w:val="-3"/>
          <w:sz w:val="20"/>
        </w:rPr>
        <w:t>following</w:t>
      </w:r>
      <w:r>
        <w:rPr>
          <w:spacing w:val="-10"/>
          <w:sz w:val="20"/>
        </w:rPr>
        <w:t> </w:t>
      </w:r>
      <w:r>
        <w:rPr>
          <w:sz w:val="20"/>
        </w:rPr>
        <w:t>arguments</w:t>
      </w:r>
      <w:r>
        <w:rPr>
          <w:spacing w:val="-11"/>
          <w:sz w:val="20"/>
        </w:rPr>
        <w:t> </w:t>
      </w:r>
      <w:r>
        <w:rPr>
          <w:sz w:val="20"/>
        </w:rPr>
        <w:t>to</w:t>
      </w:r>
      <w:r>
        <w:rPr>
          <w:spacing w:val="-10"/>
          <w:sz w:val="20"/>
        </w:rPr>
        <w:t> </w:t>
      </w:r>
      <w:r>
        <w:rPr>
          <w:sz w:val="20"/>
        </w:rPr>
        <w:t>the</w:t>
      </w:r>
      <w:r>
        <w:rPr>
          <w:spacing w:val="-10"/>
          <w:sz w:val="20"/>
        </w:rPr>
        <w:t> </w:t>
      </w:r>
      <w:r>
        <w:rPr>
          <w:sz w:val="20"/>
        </w:rPr>
        <w:t>Convention</w:t>
      </w:r>
      <w:r>
        <w:rPr>
          <w:spacing w:val="-11"/>
          <w:sz w:val="20"/>
        </w:rPr>
        <w:t> </w:t>
      </w:r>
      <w:r>
        <w:rPr>
          <w:sz w:val="20"/>
        </w:rPr>
        <w:t>Committee</w:t>
      </w:r>
      <w:r>
        <w:rPr>
          <w:spacing w:val="-10"/>
          <w:sz w:val="20"/>
        </w:rPr>
        <w:t> </w:t>
      </w:r>
      <w:r>
        <w:rPr>
          <w:sz w:val="20"/>
        </w:rPr>
        <w:t>about</w:t>
      </w:r>
      <w:r>
        <w:rPr>
          <w:spacing w:val="-11"/>
          <w:sz w:val="20"/>
        </w:rPr>
        <w:t> </w:t>
      </w:r>
      <w:r>
        <w:rPr>
          <w:spacing w:val="-3"/>
          <w:sz w:val="20"/>
        </w:rPr>
        <w:t>why </w:t>
      </w:r>
      <w:r>
        <w:rPr>
          <w:sz w:val="20"/>
        </w:rPr>
        <w:t>this decision was</w:t>
      </w:r>
      <w:r>
        <w:rPr>
          <w:spacing w:val="-13"/>
          <w:sz w:val="20"/>
        </w:rPr>
        <w:t> </w:t>
      </w:r>
      <w:r>
        <w:rPr>
          <w:spacing w:val="-3"/>
          <w:sz w:val="20"/>
        </w:rPr>
        <w:t>reasonable:</w:t>
      </w:r>
    </w:p>
    <w:p>
      <w:pPr>
        <w:pStyle w:val="ListParagraph"/>
        <w:numPr>
          <w:ilvl w:val="2"/>
          <w:numId w:val="12"/>
        </w:numPr>
        <w:tabs>
          <w:tab w:pos="2157" w:val="left" w:leader="none"/>
          <w:tab w:pos="2158" w:val="left" w:leader="none"/>
        </w:tabs>
        <w:spacing w:line="206" w:lineRule="auto" w:before="123" w:after="0"/>
        <w:ind w:left="2157" w:right="1347" w:hanging="396"/>
        <w:jc w:val="left"/>
        <w:rPr>
          <w:sz w:val="11"/>
        </w:rPr>
      </w:pPr>
      <w:r>
        <w:rPr>
          <w:sz w:val="20"/>
        </w:rPr>
        <w:t>It ‘did not take a blanket approach’ in </w:t>
      </w:r>
      <w:r>
        <w:rPr>
          <w:spacing w:val="-3"/>
          <w:sz w:val="20"/>
        </w:rPr>
        <w:t>excusing </w:t>
      </w:r>
      <w:r>
        <w:rPr>
          <w:sz w:val="20"/>
        </w:rPr>
        <w:t>JH </w:t>
      </w:r>
      <w:r>
        <w:rPr>
          <w:spacing w:val="-3"/>
          <w:sz w:val="20"/>
        </w:rPr>
        <w:t>from </w:t>
      </w:r>
      <w:r>
        <w:rPr>
          <w:sz w:val="20"/>
        </w:rPr>
        <w:t>jury duty but considered her</w:t>
      </w:r>
      <w:r>
        <w:rPr>
          <w:spacing w:val="-12"/>
          <w:sz w:val="20"/>
        </w:rPr>
        <w:t> </w:t>
      </w:r>
      <w:r>
        <w:rPr>
          <w:sz w:val="20"/>
        </w:rPr>
        <w:t>circumstances,</w:t>
      </w:r>
      <w:r>
        <w:rPr>
          <w:spacing w:val="-12"/>
          <w:sz w:val="20"/>
        </w:rPr>
        <w:t> </w:t>
      </w:r>
      <w:r>
        <w:rPr>
          <w:sz w:val="20"/>
        </w:rPr>
        <w:t>enquired</w:t>
      </w:r>
      <w:r>
        <w:rPr>
          <w:spacing w:val="-12"/>
          <w:sz w:val="20"/>
        </w:rPr>
        <w:t> </w:t>
      </w:r>
      <w:r>
        <w:rPr>
          <w:spacing w:val="-3"/>
          <w:sz w:val="20"/>
        </w:rPr>
        <w:t>into</w:t>
      </w:r>
      <w:r>
        <w:rPr>
          <w:spacing w:val="-12"/>
          <w:sz w:val="20"/>
        </w:rPr>
        <w:t> </w:t>
      </w:r>
      <w:r>
        <w:rPr>
          <w:sz w:val="20"/>
        </w:rPr>
        <w:t>her</w:t>
      </w:r>
      <w:r>
        <w:rPr>
          <w:spacing w:val="-12"/>
          <w:sz w:val="20"/>
        </w:rPr>
        <w:t> </w:t>
      </w:r>
      <w:r>
        <w:rPr>
          <w:sz w:val="20"/>
        </w:rPr>
        <w:t>assistance</w:t>
      </w:r>
      <w:r>
        <w:rPr>
          <w:spacing w:val="-12"/>
          <w:sz w:val="20"/>
        </w:rPr>
        <w:t> </w:t>
      </w:r>
      <w:r>
        <w:rPr>
          <w:sz w:val="20"/>
        </w:rPr>
        <w:t>requirements</w:t>
      </w:r>
      <w:r>
        <w:rPr>
          <w:spacing w:val="-12"/>
          <w:sz w:val="20"/>
        </w:rPr>
        <w:t> </w:t>
      </w:r>
      <w:r>
        <w:rPr>
          <w:sz w:val="20"/>
        </w:rPr>
        <w:t>and,</w:t>
      </w:r>
      <w:r>
        <w:rPr>
          <w:spacing w:val="-12"/>
          <w:sz w:val="20"/>
        </w:rPr>
        <w:t> </w:t>
      </w:r>
      <w:r>
        <w:rPr>
          <w:sz w:val="20"/>
        </w:rPr>
        <w:t>based</w:t>
      </w:r>
      <w:r>
        <w:rPr>
          <w:spacing w:val="-12"/>
          <w:sz w:val="20"/>
        </w:rPr>
        <w:t> </w:t>
      </w:r>
      <w:r>
        <w:rPr>
          <w:sz w:val="20"/>
        </w:rPr>
        <w:t>on</w:t>
      </w:r>
      <w:r>
        <w:rPr>
          <w:spacing w:val="-12"/>
          <w:sz w:val="20"/>
        </w:rPr>
        <w:t> </w:t>
      </w:r>
      <w:r>
        <w:rPr>
          <w:sz w:val="20"/>
        </w:rPr>
        <w:t>that information,</w:t>
      </w:r>
      <w:r>
        <w:rPr>
          <w:spacing w:val="-14"/>
          <w:sz w:val="20"/>
        </w:rPr>
        <w:t> </w:t>
      </w:r>
      <w:r>
        <w:rPr>
          <w:sz w:val="20"/>
        </w:rPr>
        <w:t>determined</w:t>
      </w:r>
      <w:r>
        <w:rPr>
          <w:spacing w:val="-13"/>
          <w:sz w:val="20"/>
        </w:rPr>
        <w:t> </w:t>
      </w:r>
      <w:r>
        <w:rPr>
          <w:sz w:val="20"/>
        </w:rPr>
        <w:t>that</w:t>
      </w:r>
      <w:r>
        <w:rPr>
          <w:spacing w:val="-13"/>
          <w:sz w:val="20"/>
        </w:rPr>
        <w:t> </w:t>
      </w:r>
      <w:r>
        <w:rPr>
          <w:sz w:val="20"/>
        </w:rPr>
        <w:t>she</w:t>
      </w:r>
      <w:r>
        <w:rPr>
          <w:spacing w:val="-13"/>
          <w:sz w:val="20"/>
        </w:rPr>
        <w:t> </w:t>
      </w:r>
      <w:r>
        <w:rPr>
          <w:sz w:val="20"/>
        </w:rPr>
        <w:t>was</w:t>
      </w:r>
      <w:r>
        <w:rPr>
          <w:spacing w:val="-13"/>
          <w:sz w:val="20"/>
        </w:rPr>
        <w:t> </w:t>
      </w:r>
      <w:r>
        <w:rPr>
          <w:sz w:val="20"/>
        </w:rPr>
        <w:t>‘not</w:t>
      </w:r>
      <w:r>
        <w:rPr>
          <w:spacing w:val="-13"/>
          <w:sz w:val="20"/>
        </w:rPr>
        <w:t> </w:t>
      </w:r>
      <w:r>
        <w:rPr>
          <w:sz w:val="20"/>
        </w:rPr>
        <w:t>capable</w:t>
      </w:r>
      <w:r>
        <w:rPr>
          <w:spacing w:val="-13"/>
          <w:sz w:val="20"/>
        </w:rPr>
        <w:t> </w:t>
      </w:r>
      <w:r>
        <w:rPr>
          <w:sz w:val="20"/>
        </w:rPr>
        <w:t>of</w:t>
      </w:r>
      <w:r>
        <w:rPr>
          <w:spacing w:val="-13"/>
          <w:sz w:val="20"/>
        </w:rPr>
        <w:t> </w:t>
      </w:r>
      <w:r>
        <w:rPr>
          <w:sz w:val="20"/>
        </w:rPr>
        <w:t>serving</w:t>
      </w:r>
      <w:r>
        <w:rPr>
          <w:spacing w:val="-13"/>
          <w:sz w:val="20"/>
        </w:rPr>
        <w:t> </w:t>
      </w:r>
      <w:r>
        <w:rPr>
          <w:sz w:val="20"/>
        </w:rPr>
        <w:t>effectively</w:t>
      </w:r>
      <w:r>
        <w:rPr>
          <w:spacing w:val="-13"/>
          <w:sz w:val="20"/>
        </w:rPr>
        <w:t> </w:t>
      </w:r>
      <w:r>
        <w:rPr>
          <w:sz w:val="20"/>
        </w:rPr>
        <w:t>as</w:t>
      </w:r>
      <w:r>
        <w:rPr>
          <w:spacing w:val="-13"/>
          <w:sz w:val="20"/>
        </w:rPr>
        <w:t> </w:t>
      </w:r>
      <w:r>
        <w:rPr>
          <w:sz w:val="20"/>
        </w:rPr>
        <w:t>a</w:t>
      </w:r>
      <w:r>
        <w:rPr>
          <w:spacing w:val="-13"/>
          <w:sz w:val="20"/>
        </w:rPr>
        <w:t> </w:t>
      </w:r>
      <w:r>
        <w:rPr>
          <w:spacing w:val="-3"/>
          <w:sz w:val="20"/>
        </w:rPr>
        <w:t>juror’ </w:t>
      </w:r>
      <w:r>
        <w:rPr>
          <w:sz w:val="20"/>
        </w:rPr>
        <w:t>under domestic</w:t>
      </w:r>
      <w:r>
        <w:rPr>
          <w:spacing w:val="-9"/>
          <w:sz w:val="20"/>
        </w:rPr>
        <w:t> </w:t>
      </w:r>
      <w:r>
        <w:rPr>
          <w:sz w:val="20"/>
        </w:rPr>
        <w:t>law.</w:t>
      </w:r>
      <w:r>
        <w:rPr>
          <w:position w:val="7"/>
          <w:sz w:val="11"/>
        </w:rPr>
        <w:t>44</w:t>
      </w:r>
    </w:p>
    <w:p>
      <w:pPr>
        <w:pStyle w:val="ListParagraph"/>
        <w:numPr>
          <w:ilvl w:val="2"/>
          <w:numId w:val="12"/>
        </w:numPr>
        <w:tabs>
          <w:tab w:pos="2157" w:val="left" w:leader="none"/>
          <w:tab w:pos="2158" w:val="left" w:leader="none"/>
        </w:tabs>
        <w:spacing w:line="206" w:lineRule="auto" w:before="90" w:after="0"/>
        <w:ind w:left="2157" w:right="1229" w:hanging="396"/>
        <w:jc w:val="left"/>
        <w:rPr>
          <w:sz w:val="11"/>
        </w:rPr>
      </w:pPr>
      <w:r>
        <w:rPr>
          <w:sz w:val="20"/>
        </w:rPr>
        <w:t>The</w:t>
      </w:r>
      <w:r>
        <w:rPr>
          <w:spacing w:val="-15"/>
          <w:sz w:val="20"/>
        </w:rPr>
        <w:t> </w:t>
      </w:r>
      <w:r>
        <w:rPr>
          <w:spacing w:val="-3"/>
          <w:sz w:val="20"/>
        </w:rPr>
        <w:t>relevant</w:t>
      </w:r>
      <w:r>
        <w:rPr>
          <w:spacing w:val="-14"/>
          <w:sz w:val="20"/>
        </w:rPr>
        <w:t> </w:t>
      </w:r>
      <w:r>
        <w:rPr>
          <w:sz w:val="20"/>
        </w:rPr>
        <w:t>domestic</w:t>
      </w:r>
      <w:r>
        <w:rPr>
          <w:spacing w:val="-14"/>
          <w:sz w:val="20"/>
        </w:rPr>
        <w:t> </w:t>
      </w:r>
      <w:r>
        <w:rPr>
          <w:sz w:val="20"/>
        </w:rPr>
        <w:t>law</w:t>
      </w:r>
      <w:r>
        <w:rPr>
          <w:spacing w:val="-15"/>
          <w:sz w:val="20"/>
        </w:rPr>
        <w:t> </w:t>
      </w:r>
      <w:r>
        <w:rPr>
          <w:sz w:val="20"/>
        </w:rPr>
        <w:t>‘establishes</w:t>
      </w:r>
      <w:r>
        <w:rPr>
          <w:spacing w:val="-14"/>
          <w:sz w:val="20"/>
        </w:rPr>
        <w:t> </w:t>
      </w:r>
      <w:r>
        <w:rPr>
          <w:sz w:val="20"/>
        </w:rPr>
        <w:t>a</w:t>
      </w:r>
      <w:r>
        <w:rPr>
          <w:spacing w:val="-14"/>
          <w:sz w:val="20"/>
        </w:rPr>
        <w:t> </w:t>
      </w:r>
      <w:r>
        <w:rPr>
          <w:sz w:val="20"/>
        </w:rPr>
        <w:t>legitimate</w:t>
      </w:r>
      <w:r>
        <w:rPr>
          <w:spacing w:val="-15"/>
          <w:sz w:val="20"/>
        </w:rPr>
        <w:t> </w:t>
      </w:r>
      <w:r>
        <w:rPr>
          <w:sz w:val="20"/>
        </w:rPr>
        <w:t>differential</w:t>
      </w:r>
      <w:r>
        <w:rPr>
          <w:spacing w:val="-14"/>
          <w:sz w:val="20"/>
        </w:rPr>
        <w:t> </w:t>
      </w:r>
      <w:r>
        <w:rPr>
          <w:spacing w:val="-2"/>
          <w:sz w:val="20"/>
        </w:rPr>
        <w:t>treatment</w:t>
      </w:r>
      <w:r>
        <w:rPr>
          <w:spacing w:val="-14"/>
          <w:sz w:val="20"/>
        </w:rPr>
        <w:t> </w:t>
      </w:r>
      <w:r>
        <w:rPr>
          <w:sz w:val="20"/>
        </w:rPr>
        <w:t>of</w:t>
      </w:r>
      <w:r>
        <w:rPr>
          <w:spacing w:val="-15"/>
          <w:sz w:val="20"/>
        </w:rPr>
        <w:t> </w:t>
      </w:r>
      <w:r>
        <w:rPr>
          <w:sz w:val="20"/>
        </w:rPr>
        <w:t>people who </w:t>
      </w:r>
      <w:r>
        <w:rPr>
          <w:spacing w:val="-3"/>
          <w:sz w:val="20"/>
        </w:rPr>
        <w:t>require </w:t>
      </w:r>
      <w:r>
        <w:rPr>
          <w:sz w:val="20"/>
        </w:rPr>
        <w:t>an </w:t>
      </w:r>
      <w:r>
        <w:rPr>
          <w:spacing w:val="-3"/>
          <w:sz w:val="20"/>
        </w:rPr>
        <w:t>interpreter </w:t>
      </w:r>
      <w:r>
        <w:rPr>
          <w:sz w:val="20"/>
        </w:rPr>
        <w:t>and thus is not discriminatory under article 5(2) of the Convention’.</w:t>
      </w:r>
      <w:r>
        <w:rPr>
          <w:position w:val="7"/>
          <w:sz w:val="11"/>
        </w:rPr>
        <w:t>45</w:t>
      </w:r>
    </w:p>
    <w:p>
      <w:pPr>
        <w:pStyle w:val="ListParagraph"/>
        <w:numPr>
          <w:ilvl w:val="2"/>
          <w:numId w:val="12"/>
        </w:numPr>
        <w:tabs>
          <w:tab w:pos="2157" w:val="left" w:leader="none"/>
          <w:tab w:pos="2158" w:val="left" w:leader="none"/>
        </w:tabs>
        <w:spacing w:line="206" w:lineRule="auto" w:before="89" w:after="0"/>
        <w:ind w:left="2157" w:right="1417" w:hanging="396"/>
        <w:jc w:val="left"/>
        <w:rPr>
          <w:sz w:val="11"/>
        </w:rPr>
      </w:pPr>
      <w:r>
        <w:rPr>
          <w:sz w:val="20"/>
        </w:rPr>
        <w:t>The </w:t>
      </w:r>
      <w:r>
        <w:rPr>
          <w:spacing w:val="-3"/>
          <w:sz w:val="20"/>
        </w:rPr>
        <w:t>provision </w:t>
      </w:r>
      <w:r>
        <w:rPr>
          <w:sz w:val="20"/>
        </w:rPr>
        <w:t>of an Auslan </w:t>
      </w:r>
      <w:r>
        <w:rPr>
          <w:spacing w:val="-3"/>
          <w:sz w:val="20"/>
        </w:rPr>
        <w:t>interpreter </w:t>
      </w:r>
      <w:r>
        <w:rPr>
          <w:sz w:val="20"/>
        </w:rPr>
        <w:t>is not feasible in cases that </w:t>
      </w:r>
      <w:r>
        <w:rPr>
          <w:spacing w:val="-4"/>
          <w:sz w:val="20"/>
        </w:rPr>
        <w:t>involve </w:t>
      </w:r>
      <w:r>
        <w:rPr>
          <w:sz w:val="20"/>
        </w:rPr>
        <w:t>non- verbal audio </w:t>
      </w:r>
      <w:r>
        <w:rPr>
          <w:spacing w:val="-3"/>
          <w:sz w:val="20"/>
        </w:rPr>
        <w:t>evidence, </w:t>
      </w:r>
      <w:r>
        <w:rPr>
          <w:sz w:val="20"/>
        </w:rPr>
        <w:t>or </w:t>
      </w:r>
      <w:r>
        <w:rPr>
          <w:spacing w:val="-3"/>
          <w:sz w:val="20"/>
        </w:rPr>
        <w:t>are </w:t>
      </w:r>
      <w:r>
        <w:rPr>
          <w:sz w:val="20"/>
        </w:rPr>
        <w:t>scheduled for </w:t>
      </w:r>
      <w:r>
        <w:rPr>
          <w:spacing w:val="-3"/>
          <w:sz w:val="20"/>
        </w:rPr>
        <w:t>many </w:t>
      </w:r>
      <w:r>
        <w:rPr>
          <w:sz w:val="20"/>
        </w:rPr>
        <w:t>weeks, and that </w:t>
      </w:r>
      <w:r>
        <w:rPr>
          <w:spacing w:val="-3"/>
          <w:sz w:val="20"/>
        </w:rPr>
        <w:t>interpreters </w:t>
      </w:r>
      <w:r>
        <w:rPr>
          <w:sz w:val="20"/>
        </w:rPr>
        <w:t>added</w:t>
      </w:r>
      <w:r>
        <w:rPr>
          <w:spacing w:val="-11"/>
          <w:sz w:val="20"/>
        </w:rPr>
        <w:t> </w:t>
      </w:r>
      <w:r>
        <w:rPr>
          <w:sz w:val="20"/>
        </w:rPr>
        <w:t>complexity</w:t>
      </w:r>
      <w:r>
        <w:rPr>
          <w:spacing w:val="-11"/>
          <w:sz w:val="20"/>
        </w:rPr>
        <w:t> </w:t>
      </w:r>
      <w:r>
        <w:rPr>
          <w:sz w:val="20"/>
        </w:rPr>
        <w:t>and</w:t>
      </w:r>
      <w:r>
        <w:rPr>
          <w:spacing w:val="-11"/>
          <w:sz w:val="20"/>
        </w:rPr>
        <w:t> </w:t>
      </w:r>
      <w:r>
        <w:rPr>
          <w:sz w:val="20"/>
        </w:rPr>
        <w:t>cost</w:t>
      </w:r>
      <w:r>
        <w:rPr>
          <w:spacing w:val="-10"/>
          <w:sz w:val="20"/>
        </w:rPr>
        <w:t> </w:t>
      </w:r>
      <w:r>
        <w:rPr>
          <w:sz w:val="20"/>
        </w:rPr>
        <w:t>to</w:t>
      </w:r>
      <w:r>
        <w:rPr>
          <w:spacing w:val="-11"/>
          <w:sz w:val="20"/>
        </w:rPr>
        <w:t> </w:t>
      </w:r>
      <w:r>
        <w:rPr>
          <w:sz w:val="20"/>
        </w:rPr>
        <w:t>trials,</w:t>
      </w:r>
      <w:r>
        <w:rPr>
          <w:spacing w:val="-11"/>
          <w:sz w:val="20"/>
        </w:rPr>
        <w:t> </w:t>
      </w:r>
      <w:r>
        <w:rPr>
          <w:sz w:val="20"/>
        </w:rPr>
        <w:t>as</w:t>
      </w:r>
      <w:r>
        <w:rPr>
          <w:spacing w:val="-10"/>
          <w:sz w:val="20"/>
        </w:rPr>
        <w:t> </w:t>
      </w:r>
      <w:r>
        <w:rPr>
          <w:sz w:val="20"/>
        </w:rPr>
        <w:t>well</w:t>
      </w:r>
      <w:r>
        <w:rPr>
          <w:spacing w:val="-11"/>
          <w:sz w:val="20"/>
        </w:rPr>
        <w:t> </w:t>
      </w:r>
      <w:r>
        <w:rPr>
          <w:sz w:val="20"/>
        </w:rPr>
        <w:t>as</w:t>
      </w:r>
      <w:r>
        <w:rPr>
          <w:spacing w:val="-11"/>
          <w:sz w:val="20"/>
        </w:rPr>
        <w:t> </w:t>
      </w:r>
      <w:r>
        <w:rPr>
          <w:sz w:val="20"/>
        </w:rPr>
        <w:t>interfering</w:t>
      </w:r>
      <w:r>
        <w:rPr>
          <w:spacing w:val="-10"/>
          <w:sz w:val="20"/>
        </w:rPr>
        <w:t> </w:t>
      </w:r>
      <w:r>
        <w:rPr>
          <w:sz w:val="20"/>
        </w:rPr>
        <w:t>with</w:t>
      </w:r>
      <w:r>
        <w:rPr>
          <w:spacing w:val="-11"/>
          <w:sz w:val="20"/>
        </w:rPr>
        <w:t> </w:t>
      </w:r>
      <w:r>
        <w:rPr>
          <w:sz w:val="20"/>
        </w:rPr>
        <w:t>the</w:t>
      </w:r>
      <w:r>
        <w:rPr>
          <w:spacing w:val="-11"/>
          <w:sz w:val="20"/>
        </w:rPr>
        <w:t> </w:t>
      </w:r>
      <w:r>
        <w:rPr>
          <w:sz w:val="20"/>
        </w:rPr>
        <w:t>secrecy</w:t>
      </w:r>
      <w:r>
        <w:rPr>
          <w:spacing w:val="-10"/>
          <w:sz w:val="20"/>
        </w:rPr>
        <w:t> </w:t>
      </w:r>
      <w:r>
        <w:rPr>
          <w:sz w:val="20"/>
        </w:rPr>
        <w:t>of</w:t>
      </w:r>
      <w:r>
        <w:rPr>
          <w:spacing w:val="-11"/>
          <w:sz w:val="20"/>
        </w:rPr>
        <w:t> </w:t>
      </w:r>
      <w:r>
        <w:rPr>
          <w:sz w:val="20"/>
        </w:rPr>
        <w:t>jury deliberations.</w:t>
      </w:r>
      <w:r>
        <w:rPr>
          <w:position w:val="7"/>
          <w:sz w:val="11"/>
        </w:rPr>
        <w:t>46 </w:t>
      </w:r>
      <w:r>
        <w:rPr>
          <w:sz w:val="20"/>
        </w:rPr>
        <w:t>The </w:t>
      </w:r>
      <w:r>
        <w:rPr>
          <w:spacing w:val="-3"/>
          <w:sz w:val="20"/>
        </w:rPr>
        <w:t>provision </w:t>
      </w:r>
      <w:r>
        <w:rPr>
          <w:sz w:val="20"/>
        </w:rPr>
        <w:t>of an Auslan </w:t>
      </w:r>
      <w:r>
        <w:rPr>
          <w:spacing w:val="-3"/>
          <w:sz w:val="20"/>
        </w:rPr>
        <w:t>interpreter </w:t>
      </w:r>
      <w:r>
        <w:rPr>
          <w:sz w:val="20"/>
        </w:rPr>
        <w:t>was </w:t>
      </w:r>
      <w:r>
        <w:rPr>
          <w:spacing w:val="-3"/>
          <w:sz w:val="20"/>
        </w:rPr>
        <w:t>therefore </w:t>
      </w:r>
      <w:r>
        <w:rPr>
          <w:sz w:val="20"/>
        </w:rPr>
        <w:t>considered not</w:t>
      </w:r>
      <w:r>
        <w:rPr>
          <w:spacing w:val="-7"/>
          <w:sz w:val="20"/>
        </w:rPr>
        <w:t> </w:t>
      </w:r>
      <w:r>
        <w:rPr>
          <w:sz w:val="20"/>
        </w:rPr>
        <w:t>to</w:t>
      </w:r>
      <w:r>
        <w:rPr>
          <w:spacing w:val="-7"/>
          <w:sz w:val="20"/>
        </w:rPr>
        <w:t> </w:t>
      </w:r>
      <w:r>
        <w:rPr>
          <w:sz w:val="20"/>
        </w:rPr>
        <w:t>be</w:t>
      </w:r>
      <w:r>
        <w:rPr>
          <w:spacing w:val="-6"/>
          <w:sz w:val="20"/>
        </w:rPr>
        <w:t> </w:t>
      </w:r>
      <w:r>
        <w:rPr>
          <w:sz w:val="20"/>
        </w:rPr>
        <w:t>an</w:t>
      </w:r>
      <w:r>
        <w:rPr>
          <w:spacing w:val="-7"/>
          <w:sz w:val="20"/>
        </w:rPr>
        <w:t> </w:t>
      </w:r>
      <w:r>
        <w:rPr>
          <w:spacing w:val="-3"/>
          <w:sz w:val="20"/>
        </w:rPr>
        <w:t>‘appropriate</w:t>
      </w:r>
      <w:r>
        <w:rPr>
          <w:spacing w:val="-6"/>
          <w:sz w:val="20"/>
        </w:rPr>
        <w:t> </w:t>
      </w:r>
      <w:r>
        <w:rPr>
          <w:spacing w:val="-3"/>
          <w:sz w:val="20"/>
        </w:rPr>
        <w:t>measure’</w:t>
      </w:r>
      <w:r>
        <w:rPr>
          <w:spacing w:val="-7"/>
          <w:sz w:val="20"/>
        </w:rPr>
        <w:t> </w:t>
      </w:r>
      <w:r>
        <w:rPr>
          <w:sz w:val="20"/>
        </w:rPr>
        <w:t>given</w:t>
      </w:r>
      <w:r>
        <w:rPr>
          <w:spacing w:val="-7"/>
          <w:sz w:val="20"/>
        </w:rPr>
        <w:t> </w:t>
      </w:r>
      <w:r>
        <w:rPr>
          <w:sz w:val="20"/>
        </w:rPr>
        <w:t>‘the</w:t>
      </w:r>
      <w:r>
        <w:rPr>
          <w:spacing w:val="-6"/>
          <w:sz w:val="20"/>
        </w:rPr>
        <w:t> </w:t>
      </w:r>
      <w:r>
        <w:rPr>
          <w:spacing w:val="-3"/>
          <w:sz w:val="20"/>
        </w:rPr>
        <w:t>overriding</w:t>
      </w:r>
      <w:r>
        <w:rPr>
          <w:spacing w:val="-7"/>
          <w:sz w:val="20"/>
        </w:rPr>
        <w:t> </w:t>
      </w:r>
      <w:r>
        <w:rPr>
          <w:sz w:val="20"/>
        </w:rPr>
        <w:t>necessity</w:t>
      </w:r>
      <w:r>
        <w:rPr>
          <w:spacing w:val="-6"/>
          <w:sz w:val="20"/>
        </w:rPr>
        <w:t> </w:t>
      </w:r>
      <w:r>
        <w:rPr>
          <w:sz w:val="20"/>
        </w:rPr>
        <w:t>to</w:t>
      </w:r>
      <w:r>
        <w:rPr>
          <w:spacing w:val="-7"/>
          <w:sz w:val="20"/>
        </w:rPr>
        <w:t> </w:t>
      </w:r>
      <w:r>
        <w:rPr>
          <w:sz w:val="20"/>
        </w:rPr>
        <w:t>ensure</w:t>
      </w:r>
      <w:r>
        <w:rPr>
          <w:spacing w:val="-6"/>
          <w:sz w:val="20"/>
        </w:rPr>
        <w:t> </w:t>
      </w:r>
      <w:r>
        <w:rPr>
          <w:sz w:val="20"/>
        </w:rPr>
        <w:t>a</w:t>
      </w:r>
      <w:r>
        <w:rPr>
          <w:spacing w:val="-7"/>
          <w:sz w:val="20"/>
        </w:rPr>
        <w:t> </w:t>
      </w:r>
      <w:r>
        <w:rPr>
          <w:sz w:val="20"/>
        </w:rPr>
        <w:t>fair trial’.</w:t>
      </w:r>
      <w:r>
        <w:rPr>
          <w:position w:val="7"/>
          <w:sz w:val="11"/>
        </w:rPr>
        <w:t>47</w:t>
      </w:r>
    </w:p>
    <w:p>
      <w:pPr>
        <w:pStyle w:val="ListParagraph"/>
        <w:numPr>
          <w:ilvl w:val="1"/>
          <w:numId w:val="12"/>
        </w:numPr>
        <w:tabs>
          <w:tab w:pos="1761" w:val="left" w:leader="none"/>
          <w:tab w:pos="1762" w:val="left" w:leader="none"/>
        </w:tabs>
        <w:spacing w:line="206" w:lineRule="auto" w:before="93" w:after="0"/>
        <w:ind w:left="1761" w:right="1218" w:hanging="794"/>
        <w:jc w:val="left"/>
        <w:rPr>
          <w:sz w:val="11"/>
        </w:rPr>
      </w:pPr>
      <w:r>
        <w:rPr>
          <w:sz w:val="20"/>
        </w:rPr>
        <w:t>As</w:t>
      </w:r>
      <w:r>
        <w:rPr>
          <w:spacing w:val="-11"/>
          <w:sz w:val="20"/>
        </w:rPr>
        <w:t> </w:t>
      </w:r>
      <w:r>
        <w:rPr>
          <w:sz w:val="20"/>
        </w:rPr>
        <w:t>in</w:t>
      </w:r>
      <w:r>
        <w:rPr>
          <w:spacing w:val="-11"/>
          <w:sz w:val="20"/>
        </w:rPr>
        <w:t> </w:t>
      </w:r>
      <w:r>
        <w:rPr>
          <w:sz w:val="20"/>
        </w:rPr>
        <w:t>the</w:t>
      </w:r>
      <w:r>
        <w:rPr>
          <w:spacing w:val="-11"/>
          <w:sz w:val="20"/>
        </w:rPr>
        <w:t> </w:t>
      </w:r>
      <w:r>
        <w:rPr>
          <w:i/>
          <w:sz w:val="20"/>
        </w:rPr>
        <w:t>Beasley</w:t>
      </w:r>
      <w:r>
        <w:rPr>
          <w:i/>
          <w:spacing w:val="-10"/>
          <w:sz w:val="20"/>
        </w:rPr>
        <w:t> </w:t>
      </w:r>
      <w:r>
        <w:rPr>
          <w:sz w:val="20"/>
        </w:rPr>
        <w:t>and</w:t>
      </w:r>
      <w:r>
        <w:rPr>
          <w:spacing w:val="-11"/>
          <w:sz w:val="20"/>
        </w:rPr>
        <w:t> </w:t>
      </w:r>
      <w:r>
        <w:rPr>
          <w:i/>
          <w:spacing w:val="-3"/>
          <w:sz w:val="20"/>
        </w:rPr>
        <w:t>Lockrey</w:t>
      </w:r>
      <w:r>
        <w:rPr>
          <w:i/>
          <w:spacing w:val="-10"/>
          <w:sz w:val="20"/>
        </w:rPr>
        <w:t> </w:t>
      </w:r>
      <w:r>
        <w:rPr>
          <w:sz w:val="20"/>
        </w:rPr>
        <w:t>decisions,</w:t>
      </w:r>
      <w:r>
        <w:rPr>
          <w:spacing w:val="-11"/>
          <w:sz w:val="20"/>
        </w:rPr>
        <w:t> </w:t>
      </w:r>
      <w:r>
        <w:rPr>
          <w:sz w:val="20"/>
        </w:rPr>
        <w:t>the</w:t>
      </w:r>
      <w:r>
        <w:rPr>
          <w:spacing w:val="-11"/>
          <w:sz w:val="20"/>
        </w:rPr>
        <w:t> </w:t>
      </w:r>
      <w:r>
        <w:rPr>
          <w:sz w:val="20"/>
        </w:rPr>
        <w:t>Convention</w:t>
      </w:r>
      <w:r>
        <w:rPr>
          <w:spacing w:val="-11"/>
          <w:sz w:val="20"/>
        </w:rPr>
        <w:t> </w:t>
      </w:r>
      <w:r>
        <w:rPr>
          <w:sz w:val="20"/>
        </w:rPr>
        <w:t>Committee</w:t>
      </w:r>
      <w:r>
        <w:rPr>
          <w:spacing w:val="-10"/>
          <w:sz w:val="20"/>
        </w:rPr>
        <w:t> </w:t>
      </w:r>
      <w:r>
        <w:rPr>
          <w:sz w:val="20"/>
        </w:rPr>
        <w:t>was</w:t>
      </w:r>
      <w:r>
        <w:rPr>
          <w:spacing w:val="-11"/>
          <w:sz w:val="20"/>
        </w:rPr>
        <w:t> </w:t>
      </w:r>
      <w:r>
        <w:rPr>
          <w:sz w:val="20"/>
        </w:rPr>
        <w:t>not</w:t>
      </w:r>
      <w:r>
        <w:rPr>
          <w:spacing w:val="-11"/>
          <w:sz w:val="20"/>
        </w:rPr>
        <w:t> </w:t>
      </w:r>
      <w:r>
        <w:rPr>
          <w:sz w:val="20"/>
        </w:rPr>
        <w:t>persuaded that the </w:t>
      </w:r>
      <w:r>
        <w:rPr>
          <w:spacing w:val="-3"/>
          <w:sz w:val="20"/>
        </w:rPr>
        <w:t>provision </w:t>
      </w:r>
      <w:r>
        <w:rPr>
          <w:sz w:val="20"/>
        </w:rPr>
        <w:t>of an Auslan </w:t>
      </w:r>
      <w:r>
        <w:rPr>
          <w:spacing w:val="-3"/>
          <w:sz w:val="20"/>
        </w:rPr>
        <w:t>interpreter would </w:t>
      </w:r>
      <w:r>
        <w:rPr>
          <w:sz w:val="20"/>
        </w:rPr>
        <w:t>amount to a ‘disproportionate or undue </w:t>
      </w:r>
      <w:r>
        <w:rPr>
          <w:spacing w:val="-4"/>
          <w:sz w:val="20"/>
        </w:rPr>
        <w:t>burden’. </w:t>
      </w:r>
      <w:r>
        <w:rPr>
          <w:sz w:val="20"/>
        </w:rPr>
        <w:t>The Convention Committee noted that </w:t>
      </w:r>
      <w:r>
        <w:rPr>
          <w:spacing w:val="-4"/>
          <w:sz w:val="20"/>
        </w:rPr>
        <w:t>‘Auslan </w:t>
      </w:r>
      <w:r>
        <w:rPr>
          <w:spacing w:val="-3"/>
          <w:sz w:val="20"/>
        </w:rPr>
        <w:t>interpretation </w:t>
      </w:r>
      <w:r>
        <w:rPr>
          <w:sz w:val="20"/>
        </w:rPr>
        <w:t>is a common</w:t>
      </w:r>
      <w:r>
        <w:rPr>
          <w:spacing w:val="-11"/>
          <w:sz w:val="20"/>
        </w:rPr>
        <w:t> </w:t>
      </w:r>
      <w:r>
        <w:rPr>
          <w:sz w:val="20"/>
        </w:rPr>
        <w:t>accommodation,</w:t>
      </w:r>
      <w:r>
        <w:rPr>
          <w:spacing w:val="-11"/>
          <w:sz w:val="20"/>
        </w:rPr>
        <w:t> </w:t>
      </w:r>
      <w:r>
        <w:rPr>
          <w:sz w:val="20"/>
        </w:rPr>
        <w:t>largely</w:t>
      </w:r>
      <w:r>
        <w:rPr>
          <w:spacing w:val="-11"/>
          <w:sz w:val="20"/>
        </w:rPr>
        <w:t> </w:t>
      </w:r>
      <w:r>
        <w:rPr>
          <w:sz w:val="20"/>
        </w:rPr>
        <w:t>used</w:t>
      </w:r>
      <w:r>
        <w:rPr>
          <w:spacing w:val="-11"/>
          <w:sz w:val="20"/>
        </w:rPr>
        <w:t> </w:t>
      </w:r>
      <w:r>
        <w:rPr>
          <w:spacing w:val="-3"/>
          <w:sz w:val="20"/>
        </w:rPr>
        <w:t>by</w:t>
      </w:r>
      <w:r>
        <w:rPr>
          <w:spacing w:val="-11"/>
          <w:sz w:val="20"/>
        </w:rPr>
        <w:t> </w:t>
      </w:r>
      <w:r>
        <w:rPr>
          <w:sz w:val="20"/>
        </w:rPr>
        <w:t>Australian</w:t>
      </w:r>
      <w:r>
        <w:rPr>
          <w:spacing w:val="-11"/>
          <w:sz w:val="20"/>
        </w:rPr>
        <w:t> </w:t>
      </w:r>
      <w:r>
        <w:rPr>
          <w:sz w:val="20"/>
        </w:rPr>
        <w:t>deaf</w:t>
      </w:r>
      <w:r>
        <w:rPr>
          <w:spacing w:val="-11"/>
          <w:sz w:val="20"/>
        </w:rPr>
        <w:t> </w:t>
      </w:r>
      <w:r>
        <w:rPr>
          <w:sz w:val="20"/>
        </w:rPr>
        <w:t>people</w:t>
      </w:r>
      <w:r>
        <w:rPr>
          <w:spacing w:val="-11"/>
          <w:sz w:val="20"/>
        </w:rPr>
        <w:t> </w:t>
      </w:r>
      <w:r>
        <w:rPr>
          <w:sz w:val="20"/>
        </w:rPr>
        <w:t>in</w:t>
      </w:r>
      <w:r>
        <w:rPr>
          <w:spacing w:val="-11"/>
          <w:sz w:val="20"/>
        </w:rPr>
        <w:t> </w:t>
      </w:r>
      <w:r>
        <w:rPr>
          <w:sz w:val="20"/>
        </w:rPr>
        <w:t>their</w:t>
      </w:r>
      <w:r>
        <w:rPr>
          <w:spacing w:val="-11"/>
          <w:sz w:val="20"/>
        </w:rPr>
        <w:t> </w:t>
      </w:r>
      <w:r>
        <w:rPr>
          <w:spacing w:val="-3"/>
          <w:sz w:val="20"/>
        </w:rPr>
        <w:t>daily</w:t>
      </w:r>
      <w:r>
        <w:rPr>
          <w:spacing w:val="-11"/>
          <w:sz w:val="20"/>
        </w:rPr>
        <w:t> </w:t>
      </w:r>
      <w:r>
        <w:rPr>
          <w:spacing w:val="-4"/>
          <w:sz w:val="20"/>
        </w:rPr>
        <w:t>life’,</w:t>
      </w:r>
      <w:r>
        <w:rPr>
          <w:spacing w:val="-11"/>
          <w:sz w:val="20"/>
        </w:rPr>
        <w:t> </w:t>
      </w:r>
      <w:r>
        <w:rPr>
          <w:sz w:val="20"/>
        </w:rPr>
        <w:t>and that JH ‘indicated to the </w:t>
      </w:r>
      <w:r>
        <w:rPr>
          <w:spacing w:val="-3"/>
          <w:sz w:val="20"/>
        </w:rPr>
        <w:t>State </w:t>
      </w:r>
      <w:r>
        <w:rPr>
          <w:sz w:val="20"/>
        </w:rPr>
        <w:t>Party’s authorities </w:t>
      </w:r>
      <w:r>
        <w:rPr>
          <w:spacing w:val="-3"/>
          <w:sz w:val="20"/>
        </w:rPr>
        <w:t>how </w:t>
      </w:r>
      <w:r>
        <w:rPr>
          <w:sz w:val="20"/>
        </w:rPr>
        <w:t>to book Auslan </w:t>
      </w:r>
      <w:r>
        <w:rPr>
          <w:spacing w:val="-3"/>
          <w:sz w:val="20"/>
        </w:rPr>
        <w:t>interpreters </w:t>
      </w:r>
      <w:r>
        <w:rPr>
          <w:sz w:val="20"/>
        </w:rPr>
        <w:t>when she informed them about her hearing</w:t>
      </w:r>
      <w:r>
        <w:rPr>
          <w:spacing w:val="-28"/>
          <w:sz w:val="20"/>
        </w:rPr>
        <w:t> </w:t>
      </w:r>
      <w:r>
        <w:rPr>
          <w:sz w:val="20"/>
        </w:rPr>
        <w:t>impairment’.</w:t>
      </w:r>
      <w:r>
        <w:rPr>
          <w:position w:val="7"/>
          <w:sz w:val="11"/>
        </w:rPr>
        <w:t>48</w:t>
      </w:r>
    </w:p>
    <w:p>
      <w:pPr>
        <w:pStyle w:val="ListParagraph"/>
        <w:numPr>
          <w:ilvl w:val="1"/>
          <w:numId w:val="12"/>
        </w:numPr>
        <w:tabs>
          <w:tab w:pos="1762" w:val="left" w:leader="none"/>
        </w:tabs>
        <w:spacing w:line="206" w:lineRule="auto" w:before="127" w:after="0"/>
        <w:ind w:left="1761" w:right="1292" w:hanging="794"/>
        <w:jc w:val="both"/>
        <w:rPr>
          <w:sz w:val="20"/>
        </w:rPr>
      </w:pPr>
      <w:r>
        <w:rPr>
          <w:sz w:val="20"/>
        </w:rPr>
        <w:t>The</w:t>
      </w:r>
      <w:r>
        <w:rPr>
          <w:spacing w:val="-11"/>
          <w:sz w:val="20"/>
        </w:rPr>
        <w:t> </w:t>
      </w:r>
      <w:r>
        <w:rPr>
          <w:sz w:val="20"/>
        </w:rPr>
        <w:t>Convention</w:t>
      </w:r>
      <w:r>
        <w:rPr>
          <w:spacing w:val="-11"/>
          <w:sz w:val="20"/>
        </w:rPr>
        <w:t> </w:t>
      </w:r>
      <w:r>
        <w:rPr>
          <w:sz w:val="20"/>
        </w:rPr>
        <w:t>Committee</w:t>
      </w:r>
      <w:r>
        <w:rPr>
          <w:spacing w:val="-11"/>
          <w:sz w:val="20"/>
        </w:rPr>
        <w:t> </w:t>
      </w:r>
      <w:r>
        <w:rPr>
          <w:sz w:val="20"/>
        </w:rPr>
        <w:t>decided</w:t>
      </w:r>
      <w:r>
        <w:rPr>
          <w:spacing w:val="-10"/>
          <w:sz w:val="20"/>
        </w:rPr>
        <w:t> </w:t>
      </w:r>
      <w:r>
        <w:rPr>
          <w:sz w:val="20"/>
        </w:rPr>
        <w:t>that</w:t>
      </w:r>
      <w:r>
        <w:rPr>
          <w:spacing w:val="-11"/>
          <w:sz w:val="20"/>
        </w:rPr>
        <w:t> </w:t>
      </w:r>
      <w:r>
        <w:rPr>
          <w:sz w:val="20"/>
        </w:rPr>
        <w:t>Australia</w:t>
      </w:r>
      <w:r>
        <w:rPr>
          <w:spacing w:val="-11"/>
          <w:sz w:val="20"/>
        </w:rPr>
        <w:t> </w:t>
      </w:r>
      <w:r>
        <w:rPr>
          <w:sz w:val="20"/>
        </w:rPr>
        <w:t>had</w:t>
      </w:r>
      <w:r>
        <w:rPr>
          <w:spacing w:val="-11"/>
          <w:sz w:val="20"/>
        </w:rPr>
        <w:t> </w:t>
      </w:r>
      <w:r>
        <w:rPr>
          <w:sz w:val="20"/>
        </w:rPr>
        <w:t>not</w:t>
      </w:r>
      <w:r>
        <w:rPr>
          <w:spacing w:val="-10"/>
          <w:sz w:val="20"/>
        </w:rPr>
        <w:t> </w:t>
      </w:r>
      <w:r>
        <w:rPr>
          <w:sz w:val="20"/>
        </w:rPr>
        <w:t>‘taken</w:t>
      </w:r>
      <w:r>
        <w:rPr>
          <w:spacing w:val="-11"/>
          <w:sz w:val="20"/>
        </w:rPr>
        <w:t> </w:t>
      </w:r>
      <w:r>
        <w:rPr>
          <w:sz w:val="20"/>
        </w:rPr>
        <w:t>the</w:t>
      </w:r>
      <w:r>
        <w:rPr>
          <w:spacing w:val="-11"/>
          <w:sz w:val="20"/>
        </w:rPr>
        <w:t> </w:t>
      </w:r>
      <w:r>
        <w:rPr>
          <w:sz w:val="20"/>
        </w:rPr>
        <w:t>necessary</w:t>
      </w:r>
      <w:r>
        <w:rPr>
          <w:spacing w:val="-11"/>
          <w:sz w:val="20"/>
        </w:rPr>
        <w:t> </w:t>
      </w:r>
      <w:r>
        <w:rPr>
          <w:spacing w:val="-3"/>
          <w:sz w:val="20"/>
        </w:rPr>
        <w:t>steps’ </w:t>
      </w:r>
      <w:r>
        <w:rPr>
          <w:sz w:val="20"/>
        </w:rPr>
        <w:t>to</w:t>
      </w:r>
      <w:r>
        <w:rPr>
          <w:spacing w:val="-13"/>
          <w:sz w:val="20"/>
        </w:rPr>
        <w:t> </w:t>
      </w:r>
      <w:r>
        <w:rPr>
          <w:sz w:val="20"/>
        </w:rPr>
        <w:t>ensure</w:t>
      </w:r>
      <w:r>
        <w:rPr>
          <w:spacing w:val="-12"/>
          <w:sz w:val="20"/>
        </w:rPr>
        <w:t> </w:t>
      </w:r>
      <w:r>
        <w:rPr>
          <w:sz w:val="20"/>
        </w:rPr>
        <w:t>reasonable</w:t>
      </w:r>
      <w:r>
        <w:rPr>
          <w:spacing w:val="-13"/>
          <w:sz w:val="20"/>
        </w:rPr>
        <w:t> </w:t>
      </w:r>
      <w:r>
        <w:rPr>
          <w:sz w:val="20"/>
        </w:rPr>
        <w:t>accommodations</w:t>
      </w:r>
      <w:r>
        <w:rPr>
          <w:spacing w:val="-12"/>
          <w:sz w:val="20"/>
        </w:rPr>
        <w:t> </w:t>
      </w:r>
      <w:r>
        <w:rPr>
          <w:spacing w:val="-4"/>
          <w:sz w:val="20"/>
        </w:rPr>
        <w:t>were</w:t>
      </w:r>
      <w:r>
        <w:rPr>
          <w:spacing w:val="-12"/>
          <w:sz w:val="20"/>
        </w:rPr>
        <w:t> </w:t>
      </w:r>
      <w:r>
        <w:rPr>
          <w:sz w:val="20"/>
        </w:rPr>
        <w:t>made</w:t>
      </w:r>
      <w:r>
        <w:rPr>
          <w:spacing w:val="-13"/>
          <w:sz w:val="20"/>
        </w:rPr>
        <w:t> </w:t>
      </w:r>
      <w:r>
        <w:rPr>
          <w:sz w:val="20"/>
        </w:rPr>
        <w:t>to</w:t>
      </w:r>
      <w:r>
        <w:rPr>
          <w:spacing w:val="-12"/>
          <w:sz w:val="20"/>
        </w:rPr>
        <w:t> </w:t>
      </w:r>
      <w:r>
        <w:rPr>
          <w:sz w:val="20"/>
        </w:rPr>
        <w:t>enable</w:t>
      </w:r>
      <w:r>
        <w:rPr>
          <w:spacing w:val="-13"/>
          <w:sz w:val="20"/>
        </w:rPr>
        <w:t> </w:t>
      </w:r>
      <w:r>
        <w:rPr>
          <w:sz w:val="20"/>
        </w:rPr>
        <w:t>JH</w:t>
      </w:r>
      <w:r>
        <w:rPr>
          <w:spacing w:val="-12"/>
          <w:sz w:val="20"/>
        </w:rPr>
        <w:t> </w:t>
      </w:r>
      <w:r>
        <w:rPr>
          <w:sz w:val="20"/>
        </w:rPr>
        <w:t>to</w:t>
      </w:r>
      <w:r>
        <w:rPr>
          <w:spacing w:val="-12"/>
          <w:sz w:val="20"/>
        </w:rPr>
        <w:t> </w:t>
      </w:r>
      <w:r>
        <w:rPr>
          <w:sz w:val="20"/>
        </w:rPr>
        <w:t>serve.</w:t>
      </w:r>
      <w:r>
        <w:rPr>
          <w:spacing w:val="-13"/>
          <w:sz w:val="20"/>
        </w:rPr>
        <w:t> </w:t>
      </w:r>
      <w:r>
        <w:rPr>
          <w:sz w:val="20"/>
        </w:rPr>
        <w:t>It</w:t>
      </w:r>
      <w:r>
        <w:rPr>
          <w:spacing w:val="-12"/>
          <w:sz w:val="20"/>
        </w:rPr>
        <w:t> </w:t>
      </w:r>
      <w:r>
        <w:rPr>
          <w:sz w:val="20"/>
        </w:rPr>
        <w:t>concluded that:</w:t>
      </w:r>
    </w:p>
    <w:p>
      <w:pPr>
        <w:spacing w:line="208" w:lineRule="auto" w:before="122"/>
        <w:ind w:left="2157" w:right="1277" w:firstLine="0"/>
        <w:jc w:val="left"/>
        <w:rPr>
          <w:sz w:val="11"/>
        </w:rPr>
      </w:pPr>
      <w:r>
        <w:rPr>
          <w:sz w:val="19"/>
        </w:rPr>
        <w:t>the refusal to provide Auslan interpretation, without thoroughly assessing whether that would constitute a disproportionate or undue burden, amounts to discrimination on the basis of disability.</w:t>
      </w:r>
      <w:r>
        <w:rPr>
          <w:position w:val="6"/>
          <w:sz w:val="11"/>
        </w:rPr>
        <w:t>49</w:t>
      </w:r>
    </w:p>
    <w:p>
      <w:pPr>
        <w:pStyle w:val="ListParagraph"/>
        <w:numPr>
          <w:ilvl w:val="1"/>
          <w:numId w:val="12"/>
        </w:numPr>
        <w:tabs>
          <w:tab w:pos="1761" w:val="left" w:leader="none"/>
          <w:tab w:pos="1762" w:val="left" w:leader="none"/>
        </w:tabs>
        <w:spacing w:line="206" w:lineRule="auto" w:before="124" w:after="0"/>
        <w:ind w:left="1761" w:right="1593" w:hanging="794"/>
        <w:jc w:val="left"/>
        <w:rPr>
          <w:sz w:val="11"/>
        </w:rPr>
      </w:pPr>
      <w:r>
        <w:rPr>
          <w:sz w:val="20"/>
        </w:rPr>
        <w:t>The Convention Committee </w:t>
      </w:r>
      <w:r>
        <w:rPr>
          <w:spacing w:val="-3"/>
          <w:sz w:val="20"/>
        </w:rPr>
        <w:t>reiterated </w:t>
      </w:r>
      <w:r>
        <w:rPr>
          <w:sz w:val="20"/>
        </w:rPr>
        <w:t>that Australia had not justified its concerns about</w:t>
      </w:r>
      <w:r>
        <w:rPr>
          <w:spacing w:val="-14"/>
          <w:sz w:val="20"/>
        </w:rPr>
        <w:t> </w:t>
      </w:r>
      <w:r>
        <w:rPr>
          <w:sz w:val="20"/>
        </w:rPr>
        <w:t>confidentiality</w:t>
      </w:r>
      <w:r>
        <w:rPr>
          <w:spacing w:val="-14"/>
          <w:sz w:val="20"/>
        </w:rPr>
        <w:t> </w:t>
      </w:r>
      <w:r>
        <w:rPr>
          <w:sz w:val="20"/>
        </w:rPr>
        <w:t>in</w:t>
      </w:r>
      <w:r>
        <w:rPr>
          <w:spacing w:val="-14"/>
          <w:sz w:val="20"/>
        </w:rPr>
        <w:t> </w:t>
      </w:r>
      <w:r>
        <w:rPr>
          <w:sz w:val="20"/>
        </w:rPr>
        <w:t>jury</w:t>
      </w:r>
      <w:r>
        <w:rPr>
          <w:spacing w:val="-14"/>
          <w:sz w:val="20"/>
        </w:rPr>
        <w:t> </w:t>
      </w:r>
      <w:r>
        <w:rPr>
          <w:sz w:val="20"/>
        </w:rPr>
        <w:t>deliberations,</w:t>
      </w:r>
      <w:r>
        <w:rPr>
          <w:spacing w:val="-14"/>
          <w:sz w:val="20"/>
        </w:rPr>
        <w:t> </w:t>
      </w:r>
      <w:r>
        <w:rPr>
          <w:sz w:val="20"/>
        </w:rPr>
        <w:t>as</w:t>
      </w:r>
      <w:r>
        <w:rPr>
          <w:spacing w:val="-14"/>
          <w:sz w:val="20"/>
        </w:rPr>
        <w:t> </w:t>
      </w:r>
      <w:r>
        <w:rPr>
          <w:sz w:val="20"/>
        </w:rPr>
        <w:t>these</w:t>
      </w:r>
      <w:r>
        <w:rPr>
          <w:spacing w:val="-14"/>
          <w:sz w:val="20"/>
        </w:rPr>
        <w:t> </w:t>
      </w:r>
      <w:r>
        <w:rPr>
          <w:sz w:val="20"/>
        </w:rPr>
        <w:t>could</w:t>
      </w:r>
      <w:r>
        <w:rPr>
          <w:spacing w:val="-14"/>
          <w:sz w:val="20"/>
        </w:rPr>
        <w:t> </w:t>
      </w:r>
      <w:r>
        <w:rPr>
          <w:sz w:val="20"/>
        </w:rPr>
        <w:t>be</w:t>
      </w:r>
      <w:r>
        <w:rPr>
          <w:spacing w:val="-14"/>
          <w:sz w:val="20"/>
        </w:rPr>
        <w:t> </w:t>
      </w:r>
      <w:r>
        <w:rPr>
          <w:sz w:val="20"/>
        </w:rPr>
        <w:t>addressed</w:t>
      </w:r>
      <w:r>
        <w:rPr>
          <w:spacing w:val="-14"/>
          <w:sz w:val="20"/>
        </w:rPr>
        <w:t> </w:t>
      </w:r>
      <w:r>
        <w:rPr>
          <w:spacing w:val="-3"/>
          <w:sz w:val="20"/>
        </w:rPr>
        <w:t>by</w:t>
      </w:r>
      <w:r>
        <w:rPr>
          <w:spacing w:val="-14"/>
          <w:sz w:val="20"/>
        </w:rPr>
        <w:t> </w:t>
      </w:r>
      <w:r>
        <w:rPr>
          <w:sz w:val="20"/>
        </w:rPr>
        <w:t>requiring </w:t>
      </w:r>
      <w:r>
        <w:rPr>
          <w:spacing w:val="-3"/>
          <w:sz w:val="20"/>
        </w:rPr>
        <w:t>interpreters</w:t>
      </w:r>
      <w:r>
        <w:rPr>
          <w:spacing w:val="-8"/>
          <w:sz w:val="20"/>
        </w:rPr>
        <w:t> </w:t>
      </w:r>
      <w:r>
        <w:rPr>
          <w:sz w:val="20"/>
        </w:rPr>
        <w:t>to</w:t>
      </w:r>
      <w:r>
        <w:rPr>
          <w:spacing w:val="-8"/>
          <w:sz w:val="20"/>
        </w:rPr>
        <w:t> </w:t>
      </w:r>
      <w:r>
        <w:rPr>
          <w:sz w:val="20"/>
        </w:rPr>
        <w:t>take</w:t>
      </w:r>
      <w:r>
        <w:rPr>
          <w:spacing w:val="-8"/>
          <w:sz w:val="20"/>
        </w:rPr>
        <w:t> </w:t>
      </w:r>
      <w:r>
        <w:rPr>
          <w:sz w:val="20"/>
        </w:rPr>
        <w:t>a</w:t>
      </w:r>
      <w:r>
        <w:rPr>
          <w:spacing w:val="-7"/>
          <w:sz w:val="20"/>
        </w:rPr>
        <w:t> </w:t>
      </w:r>
      <w:r>
        <w:rPr>
          <w:sz w:val="20"/>
        </w:rPr>
        <w:t>‘special</w:t>
      </w:r>
      <w:r>
        <w:rPr>
          <w:spacing w:val="-8"/>
          <w:sz w:val="20"/>
        </w:rPr>
        <w:t> </w:t>
      </w:r>
      <w:r>
        <w:rPr>
          <w:sz w:val="20"/>
        </w:rPr>
        <w:t>oath’</w:t>
      </w:r>
      <w:r>
        <w:rPr>
          <w:spacing w:val="-8"/>
          <w:sz w:val="20"/>
        </w:rPr>
        <w:t> </w:t>
      </w:r>
      <w:r>
        <w:rPr>
          <w:sz w:val="20"/>
        </w:rPr>
        <w:t>to</w:t>
      </w:r>
      <w:r>
        <w:rPr>
          <w:spacing w:val="-7"/>
          <w:sz w:val="20"/>
        </w:rPr>
        <w:t> </w:t>
      </w:r>
      <w:r>
        <w:rPr>
          <w:sz w:val="20"/>
        </w:rPr>
        <w:t>preserve</w:t>
      </w:r>
      <w:r>
        <w:rPr>
          <w:spacing w:val="-8"/>
          <w:sz w:val="20"/>
        </w:rPr>
        <w:t> </w:t>
      </w:r>
      <w:r>
        <w:rPr>
          <w:sz w:val="20"/>
        </w:rPr>
        <w:t>the</w:t>
      </w:r>
      <w:r>
        <w:rPr>
          <w:spacing w:val="-8"/>
          <w:sz w:val="20"/>
        </w:rPr>
        <w:t> </w:t>
      </w:r>
      <w:r>
        <w:rPr>
          <w:sz w:val="20"/>
        </w:rPr>
        <w:t>secrecy</w:t>
      </w:r>
      <w:r>
        <w:rPr>
          <w:spacing w:val="-7"/>
          <w:sz w:val="20"/>
        </w:rPr>
        <w:t> </w:t>
      </w:r>
      <w:r>
        <w:rPr>
          <w:sz w:val="20"/>
        </w:rPr>
        <w:t>of</w:t>
      </w:r>
      <w:r>
        <w:rPr>
          <w:spacing w:val="-8"/>
          <w:sz w:val="20"/>
        </w:rPr>
        <w:t> </w:t>
      </w:r>
      <w:r>
        <w:rPr>
          <w:sz w:val="20"/>
        </w:rPr>
        <w:t>jury</w:t>
      </w:r>
      <w:r>
        <w:rPr>
          <w:spacing w:val="-8"/>
          <w:sz w:val="20"/>
        </w:rPr>
        <w:t> </w:t>
      </w:r>
      <w:r>
        <w:rPr>
          <w:sz w:val="20"/>
        </w:rPr>
        <w:t>deliberations.</w:t>
      </w:r>
      <w:r>
        <w:rPr>
          <w:position w:val="7"/>
          <w:sz w:val="11"/>
        </w:rPr>
        <w:t>50</w:t>
      </w:r>
    </w:p>
    <w:p>
      <w:pPr>
        <w:pStyle w:val="ListParagraph"/>
        <w:numPr>
          <w:ilvl w:val="1"/>
          <w:numId w:val="12"/>
        </w:numPr>
        <w:tabs>
          <w:tab w:pos="1762" w:val="left" w:leader="none"/>
        </w:tabs>
        <w:spacing w:line="206" w:lineRule="auto" w:before="123" w:after="0"/>
        <w:ind w:left="1761" w:right="1276" w:hanging="794"/>
        <w:jc w:val="both"/>
        <w:rPr>
          <w:sz w:val="20"/>
        </w:rPr>
      </w:pPr>
      <w:r>
        <w:rPr>
          <w:spacing w:val="-3"/>
          <w:sz w:val="20"/>
        </w:rPr>
        <w:t>Further,</w:t>
      </w:r>
      <w:r>
        <w:rPr>
          <w:spacing w:val="-11"/>
          <w:sz w:val="20"/>
        </w:rPr>
        <w:t> </w:t>
      </w:r>
      <w:r>
        <w:rPr>
          <w:sz w:val="20"/>
        </w:rPr>
        <w:t>the</w:t>
      </w:r>
      <w:r>
        <w:rPr>
          <w:spacing w:val="-11"/>
          <w:sz w:val="20"/>
        </w:rPr>
        <w:t> </w:t>
      </w:r>
      <w:r>
        <w:rPr>
          <w:sz w:val="20"/>
        </w:rPr>
        <w:t>Convention</w:t>
      </w:r>
      <w:r>
        <w:rPr>
          <w:spacing w:val="-10"/>
          <w:sz w:val="20"/>
        </w:rPr>
        <w:t> </w:t>
      </w:r>
      <w:r>
        <w:rPr>
          <w:sz w:val="20"/>
        </w:rPr>
        <w:t>Committee</w:t>
      </w:r>
      <w:r>
        <w:rPr>
          <w:spacing w:val="-11"/>
          <w:sz w:val="20"/>
        </w:rPr>
        <w:t> </w:t>
      </w:r>
      <w:r>
        <w:rPr>
          <w:sz w:val="20"/>
        </w:rPr>
        <w:t>again</w:t>
      </w:r>
      <w:r>
        <w:rPr>
          <w:spacing w:val="-10"/>
          <w:sz w:val="20"/>
        </w:rPr>
        <w:t> </w:t>
      </w:r>
      <w:r>
        <w:rPr>
          <w:sz w:val="20"/>
        </w:rPr>
        <w:t>found</w:t>
      </w:r>
      <w:r>
        <w:rPr>
          <w:spacing w:val="-11"/>
          <w:sz w:val="20"/>
        </w:rPr>
        <w:t> </w:t>
      </w:r>
      <w:r>
        <w:rPr>
          <w:sz w:val="20"/>
        </w:rPr>
        <w:t>that</w:t>
      </w:r>
      <w:r>
        <w:rPr>
          <w:spacing w:val="-10"/>
          <w:sz w:val="20"/>
        </w:rPr>
        <w:t> </w:t>
      </w:r>
      <w:r>
        <w:rPr>
          <w:sz w:val="20"/>
        </w:rPr>
        <w:t>the</w:t>
      </w:r>
      <w:r>
        <w:rPr>
          <w:spacing w:val="-11"/>
          <w:sz w:val="20"/>
        </w:rPr>
        <w:t> </w:t>
      </w:r>
      <w:r>
        <w:rPr>
          <w:sz w:val="20"/>
        </w:rPr>
        <w:t>denial</w:t>
      </w:r>
      <w:r>
        <w:rPr>
          <w:spacing w:val="-10"/>
          <w:sz w:val="20"/>
        </w:rPr>
        <w:t> </w:t>
      </w:r>
      <w:r>
        <w:rPr>
          <w:sz w:val="20"/>
        </w:rPr>
        <w:t>of</w:t>
      </w:r>
      <w:r>
        <w:rPr>
          <w:spacing w:val="-11"/>
          <w:sz w:val="20"/>
        </w:rPr>
        <w:t> </w:t>
      </w:r>
      <w:r>
        <w:rPr>
          <w:sz w:val="20"/>
        </w:rPr>
        <w:t>an</w:t>
      </w:r>
      <w:r>
        <w:rPr>
          <w:spacing w:val="-10"/>
          <w:sz w:val="20"/>
        </w:rPr>
        <w:t> </w:t>
      </w:r>
      <w:r>
        <w:rPr>
          <w:sz w:val="20"/>
        </w:rPr>
        <w:t>Auslan</w:t>
      </w:r>
      <w:r>
        <w:rPr>
          <w:spacing w:val="-11"/>
          <w:sz w:val="20"/>
        </w:rPr>
        <w:t> </w:t>
      </w:r>
      <w:r>
        <w:rPr>
          <w:spacing w:val="-3"/>
          <w:sz w:val="20"/>
        </w:rPr>
        <w:t>interpreter resulted</w:t>
      </w:r>
      <w:r>
        <w:rPr>
          <w:spacing w:val="-10"/>
          <w:sz w:val="20"/>
        </w:rPr>
        <w:t> </w:t>
      </w:r>
      <w:r>
        <w:rPr>
          <w:sz w:val="20"/>
        </w:rPr>
        <w:t>in</w:t>
      </w:r>
      <w:r>
        <w:rPr>
          <w:spacing w:val="-10"/>
          <w:sz w:val="20"/>
        </w:rPr>
        <w:t> </w:t>
      </w:r>
      <w:r>
        <w:rPr>
          <w:sz w:val="20"/>
        </w:rPr>
        <w:t>a</w:t>
      </w:r>
      <w:r>
        <w:rPr>
          <w:spacing w:val="-10"/>
          <w:sz w:val="20"/>
        </w:rPr>
        <w:t> </w:t>
      </w:r>
      <w:r>
        <w:rPr>
          <w:sz w:val="20"/>
        </w:rPr>
        <w:t>violation</w:t>
      </w:r>
      <w:r>
        <w:rPr>
          <w:spacing w:val="-10"/>
          <w:sz w:val="20"/>
        </w:rPr>
        <w:t> </w:t>
      </w:r>
      <w:r>
        <w:rPr>
          <w:sz w:val="20"/>
        </w:rPr>
        <w:t>of</w:t>
      </w:r>
      <w:r>
        <w:rPr>
          <w:spacing w:val="-10"/>
          <w:sz w:val="20"/>
        </w:rPr>
        <w:t> </w:t>
      </w:r>
      <w:r>
        <w:rPr>
          <w:sz w:val="20"/>
        </w:rPr>
        <w:t>JH’s</w:t>
      </w:r>
      <w:r>
        <w:rPr>
          <w:spacing w:val="-10"/>
          <w:sz w:val="20"/>
        </w:rPr>
        <w:t> </w:t>
      </w:r>
      <w:r>
        <w:rPr>
          <w:sz w:val="20"/>
        </w:rPr>
        <w:t>right</w:t>
      </w:r>
      <w:r>
        <w:rPr>
          <w:spacing w:val="-9"/>
          <w:sz w:val="20"/>
        </w:rPr>
        <w:t> </w:t>
      </w:r>
      <w:r>
        <w:rPr>
          <w:sz w:val="20"/>
        </w:rPr>
        <w:t>to</w:t>
      </w:r>
      <w:r>
        <w:rPr>
          <w:spacing w:val="-10"/>
          <w:sz w:val="20"/>
        </w:rPr>
        <w:t> </w:t>
      </w:r>
      <w:r>
        <w:rPr>
          <w:sz w:val="20"/>
        </w:rPr>
        <w:t>freedom</w:t>
      </w:r>
      <w:r>
        <w:rPr>
          <w:spacing w:val="-10"/>
          <w:sz w:val="20"/>
        </w:rPr>
        <w:t> </w:t>
      </w:r>
      <w:r>
        <w:rPr>
          <w:sz w:val="20"/>
        </w:rPr>
        <w:t>of</w:t>
      </w:r>
      <w:r>
        <w:rPr>
          <w:spacing w:val="-10"/>
          <w:sz w:val="20"/>
        </w:rPr>
        <w:t> </w:t>
      </w:r>
      <w:r>
        <w:rPr>
          <w:sz w:val="20"/>
        </w:rPr>
        <w:t>expression</w:t>
      </w:r>
      <w:r>
        <w:rPr>
          <w:spacing w:val="-10"/>
          <w:sz w:val="20"/>
        </w:rPr>
        <w:t> </w:t>
      </w:r>
      <w:r>
        <w:rPr>
          <w:sz w:val="20"/>
        </w:rPr>
        <w:t>and</w:t>
      </w:r>
      <w:r>
        <w:rPr>
          <w:spacing w:val="-10"/>
          <w:sz w:val="20"/>
        </w:rPr>
        <w:t> </w:t>
      </w:r>
      <w:r>
        <w:rPr>
          <w:sz w:val="20"/>
        </w:rPr>
        <w:t>opinion</w:t>
      </w:r>
      <w:r>
        <w:rPr>
          <w:spacing w:val="-9"/>
          <w:sz w:val="20"/>
        </w:rPr>
        <w:t> </w:t>
      </w:r>
      <w:r>
        <w:rPr>
          <w:sz w:val="20"/>
        </w:rPr>
        <w:t>in</w:t>
      </w:r>
      <w:r>
        <w:rPr>
          <w:spacing w:val="-10"/>
          <w:sz w:val="20"/>
        </w:rPr>
        <w:t> </w:t>
      </w:r>
      <w:r>
        <w:rPr>
          <w:sz w:val="20"/>
        </w:rPr>
        <w:t>undertaking ‘official</w:t>
      </w:r>
      <w:r>
        <w:rPr>
          <w:spacing w:val="-8"/>
          <w:sz w:val="20"/>
        </w:rPr>
        <w:t> </w:t>
      </w:r>
      <w:r>
        <w:rPr>
          <w:spacing w:val="-3"/>
          <w:sz w:val="20"/>
        </w:rPr>
        <w:t>interactions’</w:t>
      </w:r>
      <w:r>
        <w:rPr>
          <w:spacing w:val="-7"/>
          <w:sz w:val="20"/>
        </w:rPr>
        <w:t> </w:t>
      </w:r>
      <w:r>
        <w:rPr>
          <w:spacing w:val="-4"/>
          <w:sz w:val="20"/>
        </w:rPr>
        <w:t>involved</w:t>
      </w:r>
      <w:r>
        <w:rPr>
          <w:spacing w:val="-7"/>
          <w:sz w:val="20"/>
        </w:rPr>
        <w:t> </w:t>
      </w:r>
      <w:r>
        <w:rPr>
          <w:sz w:val="20"/>
        </w:rPr>
        <w:t>in</w:t>
      </w:r>
      <w:r>
        <w:rPr>
          <w:spacing w:val="-7"/>
          <w:sz w:val="20"/>
        </w:rPr>
        <w:t> </w:t>
      </w:r>
      <w:r>
        <w:rPr>
          <w:sz w:val="20"/>
        </w:rPr>
        <w:t>jury</w:t>
      </w:r>
      <w:r>
        <w:rPr>
          <w:spacing w:val="-7"/>
          <w:sz w:val="20"/>
        </w:rPr>
        <w:t> </w:t>
      </w:r>
      <w:r>
        <w:rPr>
          <w:spacing w:val="-4"/>
          <w:sz w:val="20"/>
        </w:rPr>
        <w:t>duty,</w:t>
      </w:r>
      <w:r>
        <w:rPr>
          <w:spacing w:val="-7"/>
          <w:sz w:val="20"/>
        </w:rPr>
        <w:t> </w:t>
      </w:r>
      <w:r>
        <w:rPr>
          <w:sz w:val="20"/>
        </w:rPr>
        <w:t>amounting</w:t>
      </w:r>
      <w:r>
        <w:rPr>
          <w:spacing w:val="-7"/>
          <w:sz w:val="20"/>
        </w:rPr>
        <w:t> </w:t>
      </w:r>
      <w:r>
        <w:rPr>
          <w:sz w:val="20"/>
        </w:rPr>
        <w:t>to</w:t>
      </w:r>
      <w:r>
        <w:rPr>
          <w:spacing w:val="-7"/>
          <w:sz w:val="20"/>
        </w:rPr>
        <w:t> </w:t>
      </w:r>
      <w:r>
        <w:rPr>
          <w:sz w:val="20"/>
        </w:rPr>
        <w:t>a</w:t>
      </w:r>
      <w:r>
        <w:rPr>
          <w:spacing w:val="-7"/>
          <w:sz w:val="20"/>
        </w:rPr>
        <w:t> </w:t>
      </w:r>
      <w:r>
        <w:rPr>
          <w:sz w:val="20"/>
        </w:rPr>
        <w:t>violation</w:t>
      </w:r>
      <w:r>
        <w:rPr>
          <w:spacing w:val="-7"/>
          <w:sz w:val="20"/>
        </w:rPr>
        <w:t> </w:t>
      </w:r>
      <w:r>
        <w:rPr>
          <w:sz w:val="20"/>
        </w:rPr>
        <w:t>of</w:t>
      </w:r>
      <w:r>
        <w:rPr>
          <w:spacing w:val="-7"/>
          <w:sz w:val="20"/>
        </w:rPr>
        <w:t> </w:t>
      </w:r>
      <w:r>
        <w:rPr>
          <w:sz w:val="20"/>
        </w:rPr>
        <w:t>article</w:t>
      </w:r>
      <w:r>
        <w:rPr>
          <w:spacing w:val="-7"/>
          <w:sz w:val="20"/>
        </w:rPr>
        <w:t> </w:t>
      </w:r>
      <w:r>
        <w:rPr>
          <w:spacing w:val="-3"/>
          <w:sz w:val="20"/>
        </w:rPr>
        <w:t>21(b)</w:t>
      </w:r>
    </w:p>
    <w:p>
      <w:pPr>
        <w:pStyle w:val="BodyText"/>
        <w:spacing w:line="249" w:lineRule="exact"/>
        <w:ind w:left="1761"/>
        <w:rPr>
          <w:sz w:val="11"/>
        </w:rPr>
      </w:pPr>
      <w:r>
        <w:rPr/>
        <w:t>and (e).</w:t>
      </w:r>
      <w:r>
        <w:rPr>
          <w:position w:val="7"/>
          <w:sz w:val="11"/>
        </w:rPr>
        <w:t>51</w:t>
      </w:r>
    </w:p>
    <w:p>
      <w:pPr>
        <w:spacing w:before="153"/>
        <w:ind w:left="967" w:right="0" w:firstLine="0"/>
        <w:jc w:val="left"/>
        <w:rPr>
          <w:b/>
          <w:sz w:val="24"/>
        </w:rPr>
      </w:pPr>
      <w:r>
        <w:rPr>
          <w:b/>
          <w:sz w:val="24"/>
        </w:rPr>
        <w:t>Australia’s responses to the United Nations decisions</w:t>
      </w:r>
    </w:p>
    <w:p>
      <w:pPr>
        <w:pStyle w:val="ListParagraph"/>
        <w:numPr>
          <w:ilvl w:val="1"/>
          <w:numId w:val="12"/>
        </w:numPr>
        <w:tabs>
          <w:tab w:pos="1761" w:val="left" w:leader="none"/>
          <w:tab w:pos="1762" w:val="left" w:leader="none"/>
        </w:tabs>
        <w:spacing w:line="206" w:lineRule="auto" w:before="127" w:after="0"/>
        <w:ind w:left="1761" w:right="1358" w:hanging="794"/>
        <w:jc w:val="left"/>
        <w:rPr>
          <w:sz w:val="11"/>
        </w:rPr>
      </w:pPr>
      <w:r>
        <w:rPr>
          <w:sz w:val="20"/>
        </w:rPr>
        <w:t>Australia rejected the Convention Committee’s decisions in the cases of </w:t>
      </w:r>
      <w:r>
        <w:rPr>
          <w:i/>
          <w:spacing w:val="-4"/>
          <w:sz w:val="20"/>
        </w:rPr>
        <w:t>Beasley</w:t>
      </w:r>
      <w:r>
        <w:rPr>
          <w:spacing w:val="-4"/>
          <w:sz w:val="20"/>
        </w:rPr>
        <w:t>, </w:t>
      </w:r>
      <w:r>
        <w:rPr>
          <w:i/>
          <w:spacing w:val="-3"/>
          <w:sz w:val="20"/>
        </w:rPr>
        <w:t>Lockrey</w:t>
      </w:r>
      <w:r>
        <w:rPr>
          <w:i/>
          <w:spacing w:val="-6"/>
          <w:sz w:val="20"/>
        </w:rPr>
        <w:t> </w:t>
      </w:r>
      <w:r>
        <w:rPr>
          <w:sz w:val="20"/>
        </w:rPr>
        <w:t>and</w:t>
      </w:r>
      <w:r>
        <w:rPr>
          <w:spacing w:val="-6"/>
          <w:sz w:val="20"/>
        </w:rPr>
        <w:t> </w:t>
      </w:r>
      <w:r>
        <w:rPr>
          <w:i/>
          <w:sz w:val="20"/>
        </w:rPr>
        <w:t>JH</w:t>
      </w:r>
      <w:r>
        <w:rPr>
          <w:sz w:val="20"/>
        </w:rPr>
        <w:t>.</w:t>
      </w:r>
      <w:r>
        <w:rPr>
          <w:spacing w:val="-7"/>
          <w:sz w:val="20"/>
        </w:rPr>
        <w:t> </w:t>
      </w:r>
      <w:r>
        <w:rPr>
          <w:sz w:val="20"/>
        </w:rPr>
        <w:t>Australia</w:t>
      </w:r>
      <w:r>
        <w:rPr>
          <w:spacing w:val="-7"/>
          <w:sz w:val="20"/>
        </w:rPr>
        <w:t> </w:t>
      </w:r>
      <w:r>
        <w:rPr>
          <w:sz w:val="20"/>
        </w:rPr>
        <w:t>‘does</w:t>
      </w:r>
      <w:r>
        <w:rPr>
          <w:spacing w:val="-6"/>
          <w:sz w:val="20"/>
        </w:rPr>
        <w:t> </w:t>
      </w:r>
      <w:r>
        <w:rPr>
          <w:sz w:val="20"/>
        </w:rPr>
        <w:t>not</w:t>
      </w:r>
      <w:r>
        <w:rPr>
          <w:spacing w:val="-7"/>
          <w:sz w:val="20"/>
        </w:rPr>
        <w:t> </w:t>
      </w:r>
      <w:r>
        <w:rPr>
          <w:sz w:val="20"/>
        </w:rPr>
        <w:t>consider</w:t>
      </w:r>
      <w:r>
        <w:rPr>
          <w:spacing w:val="-6"/>
          <w:sz w:val="20"/>
        </w:rPr>
        <w:t> </w:t>
      </w:r>
      <w:r>
        <w:rPr>
          <w:sz w:val="20"/>
        </w:rPr>
        <w:t>the</w:t>
      </w:r>
      <w:r>
        <w:rPr>
          <w:spacing w:val="-7"/>
          <w:sz w:val="20"/>
        </w:rPr>
        <w:t> </w:t>
      </w:r>
      <w:r>
        <w:rPr>
          <w:spacing w:val="-3"/>
          <w:sz w:val="20"/>
        </w:rPr>
        <w:t>provision</w:t>
      </w:r>
      <w:r>
        <w:rPr>
          <w:spacing w:val="-6"/>
          <w:sz w:val="20"/>
        </w:rPr>
        <w:t> </w:t>
      </w:r>
      <w:r>
        <w:rPr>
          <w:sz w:val="20"/>
        </w:rPr>
        <w:t>of</w:t>
      </w:r>
      <w:r>
        <w:rPr>
          <w:spacing w:val="-7"/>
          <w:sz w:val="20"/>
        </w:rPr>
        <w:t> </w:t>
      </w:r>
      <w:r>
        <w:rPr>
          <w:sz w:val="20"/>
        </w:rPr>
        <w:t>Auslan</w:t>
      </w:r>
      <w:r>
        <w:rPr>
          <w:spacing w:val="-6"/>
          <w:sz w:val="20"/>
        </w:rPr>
        <w:t> </w:t>
      </w:r>
      <w:r>
        <w:rPr>
          <w:spacing w:val="-3"/>
          <w:sz w:val="20"/>
        </w:rPr>
        <w:t>interpretation</w:t>
      </w:r>
      <w:r>
        <w:rPr>
          <w:spacing w:val="-7"/>
          <w:sz w:val="20"/>
        </w:rPr>
        <w:t> </w:t>
      </w:r>
      <w:r>
        <w:rPr>
          <w:sz w:val="20"/>
        </w:rPr>
        <w:t>and stenography</w:t>
      </w:r>
      <w:r>
        <w:rPr>
          <w:spacing w:val="-13"/>
          <w:sz w:val="20"/>
        </w:rPr>
        <w:t> </w:t>
      </w:r>
      <w:r>
        <w:rPr>
          <w:sz w:val="20"/>
        </w:rPr>
        <w:t>to</w:t>
      </w:r>
      <w:r>
        <w:rPr>
          <w:spacing w:val="-13"/>
          <w:sz w:val="20"/>
        </w:rPr>
        <w:t> </w:t>
      </w:r>
      <w:r>
        <w:rPr>
          <w:sz w:val="20"/>
        </w:rPr>
        <w:t>potential</w:t>
      </w:r>
      <w:r>
        <w:rPr>
          <w:spacing w:val="-12"/>
          <w:sz w:val="20"/>
        </w:rPr>
        <w:t> </w:t>
      </w:r>
      <w:r>
        <w:rPr>
          <w:sz w:val="20"/>
        </w:rPr>
        <w:t>jurors</w:t>
      </w:r>
      <w:r>
        <w:rPr>
          <w:spacing w:val="-13"/>
          <w:sz w:val="20"/>
        </w:rPr>
        <w:t> </w:t>
      </w:r>
      <w:r>
        <w:rPr>
          <w:sz w:val="20"/>
        </w:rPr>
        <w:t>to</w:t>
      </w:r>
      <w:r>
        <w:rPr>
          <w:spacing w:val="-13"/>
          <w:sz w:val="20"/>
        </w:rPr>
        <w:t> </w:t>
      </w:r>
      <w:r>
        <w:rPr>
          <w:sz w:val="20"/>
        </w:rPr>
        <w:t>be</w:t>
      </w:r>
      <w:r>
        <w:rPr>
          <w:spacing w:val="-12"/>
          <w:sz w:val="20"/>
        </w:rPr>
        <w:t> </w:t>
      </w:r>
      <w:r>
        <w:rPr>
          <w:sz w:val="20"/>
        </w:rPr>
        <w:t>an</w:t>
      </w:r>
      <w:r>
        <w:rPr>
          <w:spacing w:val="-13"/>
          <w:sz w:val="20"/>
        </w:rPr>
        <w:t> </w:t>
      </w:r>
      <w:r>
        <w:rPr>
          <w:spacing w:val="-3"/>
          <w:sz w:val="20"/>
        </w:rPr>
        <w:t>appropriate</w:t>
      </w:r>
      <w:r>
        <w:rPr>
          <w:spacing w:val="-12"/>
          <w:sz w:val="20"/>
        </w:rPr>
        <w:t> </w:t>
      </w:r>
      <w:r>
        <w:rPr>
          <w:sz w:val="20"/>
        </w:rPr>
        <w:t>measure</w:t>
      </w:r>
      <w:r>
        <w:rPr>
          <w:spacing w:val="-13"/>
          <w:sz w:val="20"/>
        </w:rPr>
        <w:t> </w:t>
      </w:r>
      <w:r>
        <w:rPr>
          <w:sz w:val="20"/>
        </w:rPr>
        <w:t>to</w:t>
      </w:r>
      <w:r>
        <w:rPr>
          <w:spacing w:val="-13"/>
          <w:sz w:val="20"/>
        </w:rPr>
        <w:t> </w:t>
      </w:r>
      <w:r>
        <w:rPr>
          <w:sz w:val="20"/>
        </w:rPr>
        <w:t>ensure</w:t>
      </w:r>
      <w:r>
        <w:rPr>
          <w:spacing w:val="-12"/>
          <w:sz w:val="20"/>
        </w:rPr>
        <w:t> </w:t>
      </w:r>
      <w:r>
        <w:rPr>
          <w:sz w:val="20"/>
        </w:rPr>
        <w:t>accessibility’.</w:t>
      </w:r>
      <w:r>
        <w:rPr>
          <w:position w:val="7"/>
          <w:sz w:val="11"/>
        </w:rPr>
        <w:t>52</w:t>
      </w:r>
    </w:p>
    <w:p>
      <w:pPr>
        <w:pStyle w:val="BodyText"/>
      </w:pPr>
    </w:p>
    <w:p>
      <w:pPr>
        <w:pStyle w:val="BodyText"/>
      </w:pPr>
    </w:p>
    <w:p>
      <w:pPr>
        <w:pStyle w:val="BodyText"/>
        <w:spacing w:before="11"/>
        <w:rPr>
          <w:sz w:val="29"/>
        </w:rPr>
      </w:pPr>
      <w:r>
        <w:rPr/>
        <w:pict>
          <v:line style="position:absolute;mso-position-horizontal-relative:page;mso-position-vertical-relative:paragraph;z-index:2816;mso-wrap-distance-left:0;mso-wrap-distance-right:0" from="79.370102pt,23.142139pt" to="515.905102pt,23.142139pt" stroked="true" strokeweight="1pt" strokecolor="#b6bdc8">
            <v:stroke dashstyle="solid"/>
            <w10:wrap type="topAndBottom"/>
          </v:line>
        </w:pict>
      </w:r>
    </w:p>
    <w:p>
      <w:pPr>
        <w:tabs>
          <w:tab w:pos="1760" w:val="left" w:leader="none"/>
        </w:tabs>
        <w:spacing w:line="170" w:lineRule="exact" w:before="91"/>
        <w:ind w:left="967" w:right="0" w:firstLine="0"/>
        <w:jc w:val="left"/>
        <w:rPr>
          <w:sz w:val="13"/>
        </w:rPr>
      </w:pPr>
      <w:r>
        <w:rPr>
          <w:sz w:val="13"/>
        </w:rPr>
        <w:t>43</w:t>
        <w:tab/>
        <w:t>Ibid [2.6].</w:t>
      </w:r>
    </w:p>
    <w:p>
      <w:pPr>
        <w:pStyle w:val="ListParagraph"/>
        <w:numPr>
          <w:ilvl w:val="0"/>
          <w:numId w:val="44"/>
        </w:numPr>
        <w:tabs>
          <w:tab w:pos="1761" w:val="left" w:leader="none"/>
          <w:tab w:pos="1762" w:val="left" w:leader="none"/>
        </w:tabs>
        <w:spacing w:line="160" w:lineRule="exact" w:before="0" w:after="0"/>
        <w:ind w:left="1761" w:right="0" w:hanging="794"/>
        <w:jc w:val="left"/>
        <w:rPr>
          <w:sz w:val="13"/>
        </w:rPr>
      </w:pPr>
      <w:r>
        <w:rPr>
          <w:sz w:val="13"/>
        </w:rPr>
        <w:t>Ibid </w:t>
      </w:r>
      <w:r>
        <w:rPr>
          <w:spacing w:val="2"/>
          <w:sz w:val="13"/>
        </w:rPr>
        <w:t>[4.3]: </w:t>
      </w:r>
      <w:r>
        <w:rPr>
          <w:sz w:val="13"/>
        </w:rPr>
        <w:t>see </w:t>
      </w:r>
      <w:r>
        <w:rPr>
          <w:i/>
          <w:sz w:val="13"/>
        </w:rPr>
        <w:t>Juries Act 1957 </w:t>
      </w:r>
      <w:r>
        <w:rPr>
          <w:sz w:val="13"/>
        </w:rPr>
        <w:t>(WA) s</w:t>
      </w:r>
      <w:r>
        <w:rPr>
          <w:spacing w:val="-1"/>
          <w:sz w:val="13"/>
        </w:rPr>
        <w:t> </w:t>
      </w:r>
      <w:r>
        <w:rPr>
          <w:spacing w:val="2"/>
          <w:sz w:val="13"/>
        </w:rPr>
        <w:t>34G(2).</w:t>
      </w:r>
    </w:p>
    <w:p>
      <w:pPr>
        <w:pStyle w:val="ListParagraph"/>
        <w:numPr>
          <w:ilvl w:val="0"/>
          <w:numId w:val="44"/>
        </w:numPr>
        <w:tabs>
          <w:tab w:pos="1761" w:val="left" w:leader="none"/>
          <w:tab w:pos="1762" w:val="left" w:leader="none"/>
        </w:tabs>
        <w:spacing w:line="160" w:lineRule="exact" w:before="0" w:after="0"/>
        <w:ind w:left="1761" w:right="0" w:hanging="794"/>
        <w:jc w:val="left"/>
        <w:rPr>
          <w:sz w:val="13"/>
        </w:rPr>
      </w:pPr>
      <w:r>
        <w:rPr>
          <w:i/>
          <w:sz w:val="13"/>
        </w:rPr>
        <w:t>JH v Australia </w:t>
      </w:r>
      <w:r>
        <w:rPr>
          <w:spacing w:val="2"/>
          <w:sz w:val="13"/>
        </w:rPr>
        <w:t>[4.6].</w:t>
      </w:r>
    </w:p>
    <w:p>
      <w:pPr>
        <w:tabs>
          <w:tab w:pos="1761" w:val="left" w:leader="none"/>
        </w:tabs>
        <w:spacing w:line="160" w:lineRule="exact" w:before="0"/>
        <w:ind w:left="967" w:right="0" w:firstLine="0"/>
        <w:jc w:val="left"/>
        <w:rPr>
          <w:sz w:val="13"/>
        </w:rPr>
      </w:pPr>
      <w:r>
        <w:rPr>
          <w:sz w:val="13"/>
        </w:rPr>
        <w:t>46</w:t>
        <w:tab/>
        <w:t>Ibid</w:t>
      </w:r>
      <w:r>
        <w:rPr>
          <w:spacing w:val="15"/>
          <w:sz w:val="13"/>
        </w:rPr>
        <w:t> </w:t>
      </w:r>
      <w:r>
        <w:rPr>
          <w:sz w:val="13"/>
        </w:rPr>
        <w:t>[4.7].</w:t>
      </w:r>
    </w:p>
    <w:p>
      <w:pPr>
        <w:tabs>
          <w:tab w:pos="1760" w:val="left" w:leader="none"/>
        </w:tabs>
        <w:spacing w:line="160" w:lineRule="exact" w:before="0"/>
        <w:ind w:left="967" w:right="0" w:firstLine="0"/>
        <w:jc w:val="left"/>
        <w:rPr>
          <w:sz w:val="13"/>
        </w:rPr>
      </w:pPr>
      <w:r>
        <w:rPr>
          <w:sz w:val="13"/>
        </w:rPr>
        <w:t>47</w:t>
        <w:tab/>
        <w:t>Ibid</w:t>
      </w:r>
      <w:r>
        <w:rPr>
          <w:spacing w:val="3"/>
          <w:sz w:val="13"/>
        </w:rPr>
        <w:t> [4.8].</w:t>
      </w:r>
    </w:p>
    <w:p>
      <w:pPr>
        <w:tabs>
          <w:tab w:pos="1761" w:val="left" w:leader="none"/>
        </w:tabs>
        <w:spacing w:line="160" w:lineRule="exact" w:before="0"/>
        <w:ind w:left="967" w:right="0" w:firstLine="0"/>
        <w:jc w:val="left"/>
        <w:rPr>
          <w:sz w:val="13"/>
        </w:rPr>
      </w:pPr>
      <w:r>
        <w:rPr>
          <w:sz w:val="13"/>
        </w:rPr>
        <w:t>48</w:t>
        <w:tab/>
        <w:t>Ibid</w:t>
      </w:r>
      <w:r>
        <w:rPr>
          <w:spacing w:val="8"/>
          <w:sz w:val="13"/>
        </w:rPr>
        <w:t> </w:t>
      </w:r>
      <w:r>
        <w:rPr>
          <w:sz w:val="13"/>
        </w:rPr>
        <w:t>[7.5].</w:t>
      </w:r>
    </w:p>
    <w:p>
      <w:pPr>
        <w:pStyle w:val="ListParagraph"/>
        <w:numPr>
          <w:ilvl w:val="0"/>
          <w:numId w:val="45"/>
        </w:numPr>
        <w:tabs>
          <w:tab w:pos="1761" w:val="left" w:leader="none"/>
          <w:tab w:pos="1762" w:val="left" w:leader="none"/>
        </w:tabs>
        <w:spacing w:line="213" w:lineRule="auto" w:before="6" w:after="0"/>
        <w:ind w:left="1761" w:right="1297" w:hanging="794"/>
        <w:jc w:val="left"/>
        <w:rPr>
          <w:sz w:val="13"/>
        </w:rPr>
      </w:pPr>
      <w:r>
        <w:rPr>
          <w:sz w:val="13"/>
        </w:rPr>
        <w:t>Ibid: By failing to provide reasonable accommodations, Australia violated JH’s rights under </w:t>
      </w:r>
      <w:r>
        <w:rPr>
          <w:spacing w:val="2"/>
          <w:sz w:val="13"/>
        </w:rPr>
        <w:t>arts </w:t>
      </w:r>
      <w:r>
        <w:rPr>
          <w:sz w:val="13"/>
        </w:rPr>
        <w:t>5(2) and </w:t>
      </w:r>
      <w:r>
        <w:rPr>
          <w:spacing w:val="2"/>
          <w:sz w:val="13"/>
        </w:rPr>
        <w:t>(3) </w:t>
      </w:r>
      <w:r>
        <w:rPr>
          <w:sz w:val="13"/>
        </w:rPr>
        <w:t>of the Committee on  the Rights of Persons with</w:t>
      </w:r>
      <w:r>
        <w:rPr>
          <w:spacing w:val="1"/>
          <w:sz w:val="13"/>
        </w:rPr>
        <w:t> </w:t>
      </w:r>
      <w:r>
        <w:rPr>
          <w:spacing w:val="2"/>
          <w:sz w:val="13"/>
        </w:rPr>
        <w:t>Disabilities.</w:t>
      </w:r>
    </w:p>
    <w:p>
      <w:pPr>
        <w:pStyle w:val="ListParagraph"/>
        <w:numPr>
          <w:ilvl w:val="0"/>
          <w:numId w:val="45"/>
        </w:numPr>
        <w:tabs>
          <w:tab w:pos="1760" w:val="left" w:leader="none"/>
          <w:tab w:pos="1762" w:val="left" w:leader="none"/>
        </w:tabs>
        <w:spacing w:line="153" w:lineRule="exact" w:before="0" w:after="0"/>
        <w:ind w:left="1761" w:right="0" w:hanging="794"/>
        <w:jc w:val="left"/>
        <w:rPr>
          <w:sz w:val="13"/>
        </w:rPr>
      </w:pPr>
      <w:r>
        <w:rPr>
          <w:spacing w:val="2"/>
          <w:sz w:val="13"/>
        </w:rPr>
        <w:t>Ibid.</w:t>
      </w:r>
    </w:p>
    <w:p>
      <w:pPr>
        <w:pStyle w:val="ListParagraph"/>
        <w:numPr>
          <w:ilvl w:val="0"/>
          <w:numId w:val="45"/>
        </w:numPr>
        <w:tabs>
          <w:tab w:pos="1760" w:val="left" w:leader="none"/>
          <w:tab w:pos="1762" w:val="left" w:leader="none"/>
        </w:tabs>
        <w:spacing w:line="160" w:lineRule="exact" w:before="0" w:after="0"/>
        <w:ind w:left="1761" w:right="0" w:hanging="794"/>
        <w:jc w:val="left"/>
        <w:rPr>
          <w:sz w:val="13"/>
        </w:rPr>
      </w:pPr>
      <w:r>
        <w:rPr>
          <w:sz w:val="13"/>
        </w:rPr>
        <w:t>Ibid [7.7]. See </w:t>
      </w:r>
      <w:r>
        <w:rPr>
          <w:spacing w:val="2"/>
          <w:sz w:val="13"/>
        </w:rPr>
        <w:t>arts </w:t>
      </w:r>
      <w:r>
        <w:rPr>
          <w:sz w:val="13"/>
        </w:rPr>
        <w:t>21(b) and (e) of the</w:t>
      </w:r>
      <w:r>
        <w:rPr>
          <w:spacing w:val="-1"/>
          <w:sz w:val="13"/>
        </w:rPr>
        <w:t> </w:t>
      </w:r>
      <w:r>
        <w:rPr>
          <w:sz w:val="13"/>
        </w:rPr>
        <w:t>CRPD.</w:t>
      </w:r>
    </w:p>
    <w:p>
      <w:pPr>
        <w:pStyle w:val="ListParagraph"/>
        <w:numPr>
          <w:ilvl w:val="0"/>
          <w:numId w:val="45"/>
        </w:numPr>
        <w:tabs>
          <w:tab w:pos="1760" w:val="left" w:leader="none"/>
          <w:tab w:pos="1762" w:val="left" w:leader="none"/>
        </w:tabs>
        <w:spacing w:line="213" w:lineRule="auto" w:before="6" w:after="0"/>
        <w:ind w:left="1761" w:right="1655" w:hanging="794"/>
        <w:jc w:val="both"/>
        <w:rPr>
          <w:sz w:val="13"/>
        </w:rPr>
      </w:pPr>
      <w:r>
        <w:rPr/>
        <w:pict>
          <v:shape style="position:absolute;margin-left:549.071472pt;margin-top:19.695990pt;width:13.05pt;height:14.1pt;mso-position-horizontal-relative:page;mso-position-vertical-relative:paragraph;z-index:4888" type="#_x0000_t202" filled="false" stroked="false">
            <v:textbox inset="0,0,0,0">
              <w:txbxContent>
                <w:p>
                  <w:pPr>
                    <w:spacing w:line="282" w:lineRule="exact" w:before="0"/>
                    <w:ind w:left="0" w:right="0" w:firstLine="0"/>
                    <w:jc w:val="left"/>
                    <w:rPr>
                      <w:b/>
                      <w:sz w:val="24"/>
                    </w:rPr>
                  </w:pPr>
                  <w:r>
                    <w:rPr>
                      <w:b/>
                      <w:color w:val="37617A"/>
                      <w:spacing w:val="-6"/>
                      <w:sz w:val="24"/>
                    </w:rPr>
                    <w:t>47</w:t>
                  </w:r>
                </w:p>
              </w:txbxContent>
            </v:textbox>
            <w10:wrap type="none"/>
          </v:shape>
        </w:pict>
      </w:r>
      <w:r>
        <w:rPr>
          <w:sz w:val="13"/>
        </w:rPr>
        <w:t>Australian Government, </w:t>
      </w:r>
      <w:r>
        <w:rPr>
          <w:i/>
          <w:sz w:val="13"/>
        </w:rPr>
        <w:t>Response of Australia to the Committee on the </w:t>
      </w:r>
      <w:r>
        <w:rPr>
          <w:i/>
          <w:spacing w:val="2"/>
          <w:sz w:val="13"/>
        </w:rPr>
        <w:t>Rights </w:t>
      </w:r>
      <w:r>
        <w:rPr>
          <w:i/>
          <w:sz w:val="13"/>
        </w:rPr>
        <w:t>of Persons with Disabilities in Communication    </w:t>
      </w:r>
      <w:r>
        <w:rPr>
          <w:i/>
          <w:sz w:val="13"/>
        </w:rPr>
        <w:t>No 11/2013 (GB v Australia) and 13/2013 (ML v Australia) </w:t>
      </w:r>
      <w:r>
        <w:rPr>
          <w:sz w:val="13"/>
        </w:rPr>
        <w:t>(Human Rights </w:t>
      </w:r>
      <w:r>
        <w:rPr>
          <w:spacing w:val="2"/>
          <w:sz w:val="13"/>
        </w:rPr>
        <w:t>Communication, </w:t>
      </w:r>
      <w:r>
        <w:rPr>
          <w:sz w:val="13"/>
        </w:rPr>
        <w:t>24 October 2016) 8 [29]; Australian Government, </w:t>
      </w:r>
      <w:r>
        <w:rPr>
          <w:i/>
          <w:sz w:val="13"/>
        </w:rPr>
        <w:t>Response of Australia to the Committee on the </w:t>
      </w:r>
      <w:r>
        <w:rPr>
          <w:i/>
          <w:spacing w:val="2"/>
          <w:sz w:val="13"/>
        </w:rPr>
        <w:t>Rights </w:t>
      </w:r>
      <w:r>
        <w:rPr>
          <w:i/>
          <w:sz w:val="13"/>
        </w:rPr>
        <w:t>of Persons with Disabilities in Communication No 35/2016 </w:t>
      </w:r>
      <w:r>
        <w:rPr>
          <w:i/>
          <w:sz w:val="13"/>
        </w:rPr>
        <w:t>(JH v Australia) </w:t>
      </w:r>
      <w:r>
        <w:rPr>
          <w:sz w:val="13"/>
        </w:rPr>
        <w:t>(Human Rights </w:t>
      </w:r>
      <w:r>
        <w:rPr>
          <w:spacing w:val="2"/>
          <w:sz w:val="13"/>
        </w:rPr>
        <w:t>Communication, </w:t>
      </w:r>
      <w:r>
        <w:rPr>
          <w:sz w:val="13"/>
        </w:rPr>
        <w:t>11 February 2020) 1</w:t>
      </w:r>
      <w:r>
        <w:rPr>
          <w:spacing w:val="4"/>
          <w:sz w:val="13"/>
        </w:rPr>
        <w:t> </w:t>
      </w:r>
      <w:r>
        <w:rPr>
          <w:sz w:val="13"/>
        </w:rPr>
        <w:t>[6].</w:t>
      </w:r>
    </w:p>
    <w:p>
      <w:pPr>
        <w:spacing w:after="0" w:line="213" w:lineRule="auto"/>
        <w:jc w:val="both"/>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0"/>
        <w:rPr>
          <w:sz w:val="16"/>
        </w:rPr>
      </w:pPr>
    </w:p>
    <w:p>
      <w:pPr>
        <w:pStyle w:val="ListParagraph"/>
        <w:numPr>
          <w:ilvl w:val="1"/>
          <w:numId w:val="12"/>
        </w:numPr>
        <w:tabs>
          <w:tab w:pos="1761" w:val="left" w:leader="none"/>
          <w:tab w:pos="1762" w:val="left" w:leader="none"/>
        </w:tabs>
        <w:spacing w:line="240" w:lineRule="auto" w:before="0" w:after="0"/>
        <w:ind w:left="1761" w:right="0" w:hanging="794"/>
        <w:jc w:val="left"/>
        <w:rPr>
          <w:sz w:val="20"/>
        </w:rPr>
      </w:pPr>
      <w:r>
        <w:rPr>
          <w:sz w:val="20"/>
        </w:rPr>
        <w:t>The </w:t>
      </w:r>
      <w:r>
        <w:rPr>
          <w:spacing w:val="-4"/>
          <w:sz w:val="20"/>
        </w:rPr>
        <w:t>key </w:t>
      </w:r>
      <w:r>
        <w:rPr>
          <w:sz w:val="20"/>
        </w:rPr>
        <w:t>practical concerns identified in </w:t>
      </w:r>
      <w:r>
        <w:rPr>
          <w:spacing w:val="-3"/>
          <w:sz w:val="20"/>
        </w:rPr>
        <w:t>Australia’s </w:t>
      </w:r>
      <w:r>
        <w:rPr>
          <w:sz w:val="20"/>
        </w:rPr>
        <w:t>responses</w:t>
      </w:r>
      <w:r>
        <w:rPr>
          <w:spacing w:val="-11"/>
          <w:sz w:val="20"/>
        </w:rPr>
        <w:t> </w:t>
      </w:r>
      <w:r>
        <w:rPr>
          <w:spacing w:val="-4"/>
          <w:sz w:val="20"/>
        </w:rPr>
        <w:t>were:</w:t>
      </w:r>
    </w:p>
    <w:p>
      <w:pPr>
        <w:pStyle w:val="ListParagraph"/>
        <w:numPr>
          <w:ilvl w:val="2"/>
          <w:numId w:val="12"/>
        </w:numPr>
        <w:tabs>
          <w:tab w:pos="2157" w:val="left" w:leader="none"/>
          <w:tab w:pos="2158" w:val="left" w:leader="none"/>
        </w:tabs>
        <w:spacing w:line="206" w:lineRule="auto" w:before="115" w:after="0"/>
        <w:ind w:left="2157" w:right="1771" w:hanging="396"/>
        <w:jc w:val="left"/>
        <w:rPr>
          <w:sz w:val="11"/>
        </w:rPr>
      </w:pPr>
      <w:r>
        <w:rPr>
          <w:sz w:val="20"/>
        </w:rPr>
        <w:t>The presence of an Auslan </w:t>
      </w:r>
      <w:r>
        <w:rPr>
          <w:spacing w:val="-3"/>
          <w:sz w:val="20"/>
        </w:rPr>
        <w:t>interpreter would </w:t>
      </w:r>
      <w:r>
        <w:rPr>
          <w:sz w:val="20"/>
        </w:rPr>
        <w:t>affect the ability of the jury to deliberate in secret, and it was possible that an </w:t>
      </w:r>
      <w:r>
        <w:rPr>
          <w:spacing w:val="-3"/>
          <w:sz w:val="20"/>
        </w:rPr>
        <w:t>interpreter may </w:t>
      </w:r>
      <w:r>
        <w:rPr>
          <w:sz w:val="20"/>
        </w:rPr>
        <w:t>become an </w:t>
      </w:r>
      <w:r>
        <w:rPr>
          <w:spacing w:val="-3"/>
          <w:sz w:val="20"/>
        </w:rPr>
        <w:t>indirect/direct</w:t>
      </w:r>
      <w:r>
        <w:rPr>
          <w:spacing w:val="-12"/>
          <w:sz w:val="20"/>
        </w:rPr>
        <w:t> </w:t>
      </w:r>
      <w:r>
        <w:rPr>
          <w:sz w:val="20"/>
        </w:rPr>
        <w:t>participant</w:t>
      </w:r>
      <w:r>
        <w:rPr>
          <w:spacing w:val="-11"/>
          <w:sz w:val="20"/>
        </w:rPr>
        <w:t> </w:t>
      </w:r>
      <w:r>
        <w:rPr>
          <w:sz w:val="20"/>
        </w:rPr>
        <w:t>in</w:t>
      </w:r>
      <w:r>
        <w:rPr>
          <w:spacing w:val="-11"/>
          <w:sz w:val="20"/>
        </w:rPr>
        <w:t> </w:t>
      </w:r>
      <w:r>
        <w:rPr>
          <w:sz w:val="20"/>
        </w:rPr>
        <w:t>deliberations,</w:t>
      </w:r>
      <w:r>
        <w:rPr>
          <w:spacing w:val="-11"/>
          <w:sz w:val="20"/>
        </w:rPr>
        <w:t> </w:t>
      </w:r>
      <w:r>
        <w:rPr>
          <w:sz w:val="20"/>
        </w:rPr>
        <w:t>or</w:t>
      </w:r>
      <w:r>
        <w:rPr>
          <w:spacing w:val="-12"/>
          <w:sz w:val="20"/>
        </w:rPr>
        <w:t> </w:t>
      </w:r>
      <w:r>
        <w:rPr>
          <w:sz w:val="20"/>
        </w:rPr>
        <w:t>influence</w:t>
      </w:r>
      <w:r>
        <w:rPr>
          <w:spacing w:val="-11"/>
          <w:sz w:val="20"/>
        </w:rPr>
        <w:t> </w:t>
      </w:r>
      <w:r>
        <w:rPr>
          <w:sz w:val="20"/>
        </w:rPr>
        <w:t>their</w:t>
      </w:r>
      <w:r>
        <w:rPr>
          <w:spacing w:val="-11"/>
          <w:sz w:val="20"/>
        </w:rPr>
        <w:t> </w:t>
      </w:r>
      <w:r>
        <w:rPr>
          <w:spacing w:val="-3"/>
          <w:sz w:val="20"/>
        </w:rPr>
        <w:t>structure,</w:t>
      </w:r>
      <w:r>
        <w:rPr>
          <w:spacing w:val="-11"/>
          <w:sz w:val="20"/>
        </w:rPr>
        <w:t> </w:t>
      </w:r>
      <w:r>
        <w:rPr>
          <w:spacing w:val="-3"/>
          <w:sz w:val="20"/>
        </w:rPr>
        <w:t>flow</w:t>
      </w:r>
      <w:r>
        <w:rPr>
          <w:spacing w:val="-12"/>
          <w:sz w:val="20"/>
        </w:rPr>
        <w:t> </w:t>
      </w:r>
      <w:r>
        <w:rPr>
          <w:sz w:val="20"/>
        </w:rPr>
        <w:t>or nature.</w:t>
      </w:r>
      <w:r>
        <w:rPr>
          <w:position w:val="7"/>
          <w:sz w:val="11"/>
        </w:rPr>
        <w:t>53</w:t>
      </w:r>
    </w:p>
    <w:p>
      <w:pPr>
        <w:pStyle w:val="ListParagraph"/>
        <w:numPr>
          <w:ilvl w:val="2"/>
          <w:numId w:val="12"/>
        </w:numPr>
        <w:tabs>
          <w:tab w:pos="2157" w:val="left" w:leader="none"/>
          <w:tab w:pos="2158" w:val="left" w:leader="none"/>
        </w:tabs>
        <w:spacing w:line="206" w:lineRule="auto" w:before="90" w:after="0"/>
        <w:ind w:left="2157" w:right="1897" w:hanging="396"/>
        <w:jc w:val="left"/>
        <w:rPr>
          <w:sz w:val="20"/>
        </w:rPr>
      </w:pPr>
      <w:r>
        <w:rPr>
          <w:sz w:val="20"/>
        </w:rPr>
        <w:t>The</w:t>
      </w:r>
      <w:r>
        <w:rPr>
          <w:spacing w:val="-10"/>
          <w:sz w:val="20"/>
        </w:rPr>
        <w:t> </w:t>
      </w:r>
      <w:r>
        <w:rPr>
          <w:sz w:val="20"/>
        </w:rPr>
        <w:t>impact</w:t>
      </w:r>
      <w:r>
        <w:rPr>
          <w:spacing w:val="-9"/>
          <w:sz w:val="20"/>
        </w:rPr>
        <w:t> </w:t>
      </w:r>
      <w:r>
        <w:rPr>
          <w:sz w:val="20"/>
        </w:rPr>
        <w:t>of</w:t>
      </w:r>
      <w:r>
        <w:rPr>
          <w:spacing w:val="-10"/>
          <w:sz w:val="20"/>
        </w:rPr>
        <w:t> </w:t>
      </w:r>
      <w:r>
        <w:rPr>
          <w:sz w:val="20"/>
        </w:rPr>
        <w:t>Auslan</w:t>
      </w:r>
      <w:r>
        <w:rPr>
          <w:spacing w:val="-9"/>
          <w:sz w:val="20"/>
        </w:rPr>
        <w:t> </w:t>
      </w:r>
      <w:r>
        <w:rPr>
          <w:spacing w:val="-3"/>
          <w:sz w:val="20"/>
        </w:rPr>
        <w:t>interpretation</w:t>
      </w:r>
      <w:r>
        <w:rPr>
          <w:spacing w:val="-10"/>
          <w:sz w:val="20"/>
        </w:rPr>
        <w:t> </w:t>
      </w:r>
      <w:r>
        <w:rPr>
          <w:sz w:val="20"/>
        </w:rPr>
        <w:t>on</w:t>
      </w:r>
      <w:r>
        <w:rPr>
          <w:spacing w:val="-9"/>
          <w:sz w:val="20"/>
        </w:rPr>
        <w:t> </w:t>
      </w:r>
      <w:r>
        <w:rPr>
          <w:sz w:val="20"/>
        </w:rPr>
        <w:t>the</w:t>
      </w:r>
      <w:r>
        <w:rPr>
          <w:spacing w:val="-10"/>
          <w:sz w:val="20"/>
        </w:rPr>
        <w:t> </w:t>
      </w:r>
      <w:r>
        <w:rPr>
          <w:sz w:val="20"/>
        </w:rPr>
        <w:t>duration</w:t>
      </w:r>
      <w:r>
        <w:rPr>
          <w:spacing w:val="-9"/>
          <w:sz w:val="20"/>
        </w:rPr>
        <w:t> </w:t>
      </w:r>
      <w:r>
        <w:rPr>
          <w:sz w:val="20"/>
        </w:rPr>
        <w:t>and</w:t>
      </w:r>
      <w:r>
        <w:rPr>
          <w:spacing w:val="-10"/>
          <w:sz w:val="20"/>
        </w:rPr>
        <w:t> </w:t>
      </w:r>
      <w:r>
        <w:rPr>
          <w:sz w:val="20"/>
        </w:rPr>
        <w:t>complexity</w:t>
      </w:r>
      <w:r>
        <w:rPr>
          <w:spacing w:val="-9"/>
          <w:sz w:val="20"/>
        </w:rPr>
        <w:t> </w:t>
      </w:r>
      <w:r>
        <w:rPr>
          <w:sz w:val="20"/>
        </w:rPr>
        <w:t>of</w:t>
      </w:r>
      <w:r>
        <w:rPr>
          <w:spacing w:val="-10"/>
          <w:sz w:val="20"/>
        </w:rPr>
        <w:t> </w:t>
      </w:r>
      <w:r>
        <w:rPr>
          <w:sz w:val="20"/>
        </w:rPr>
        <w:t>trials, including:</w:t>
      </w:r>
    </w:p>
    <w:p>
      <w:pPr>
        <w:pStyle w:val="Heading7"/>
        <w:numPr>
          <w:ilvl w:val="0"/>
          <w:numId w:val="46"/>
        </w:numPr>
        <w:tabs>
          <w:tab w:pos="2457" w:val="left" w:leader="none"/>
        </w:tabs>
        <w:spacing w:line="218" w:lineRule="auto" w:before="91" w:after="0"/>
        <w:ind w:left="2456" w:right="1317" w:hanging="344"/>
        <w:jc w:val="left"/>
        <w:rPr>
          <w:sz w:val="12"/>
        </w:rPr>
      </w:pPr>
      <w:r>
        <w:rPr/>
        <w:t>the impact on continuity of proceedings due to the need to </w:t>
      </w:r>
      <w:r>
        <w:rPr>
          <w:spacing w:val="-3"/>
        </w:rPr>
        <w:t>rotate </w:t>
      </w:r>
      <w:r>
        <w:rPr/>
        <w:t>Auslan interpreters</w:t>
      </w:r>
      <w:r>
        <w:rPr>
          <w:position w:val="7"/>
          <w:sz w:val="12"/>
        </w:rPr>
        <w:t>54</w:t>
      </w:r>
    </w:p>
    <w:p>
      <w:pPr>
        <w:pStyle w:val="Heading7"/>
        <w:numPr>
          <w:ilvl w:val="0"/>
          <w:numId w:val="46"/>
        </w:numPr>
        <w:tabs>
          <w:tab w:pos="2457" w:val="left" w:leader="none"/>
        </w:tabs>
        <w:spacing w:line="240" w:lineRule="auto" w:before="65" w:after="0"/>
        <w:ind w:left="2456" w:right="0" w:hanging="344"/>
        <w:jc w:val="left"/>
      </w:pPr>
      <w:r>
        <w:rPr>
          <w:spacing w:val="-2"/>
        </w:rPr>
        <w:t>delays </w:t>
      </w:r>
      <w:r>
        <w:rPr/>
        <w:t>to trials caused </w:t>
      </w:r>
      <w:r>
        <w:rPr>
          <w:spacing w:val="-3"/>
        </w:rPr>
        <w:t>by </w:t>
      </w:r>
      <w:r>
        <w:rPr/>
        <w:t>providing reasonable adjustments,</w:t>
      </w:r>
      <w:r>
        <w:rPr>
          <w:spacing w:val="8"/>
        </w:rPr>
        <w:t> </w:t>
      </w:r>
      <w:r>
        <w:rPr/>
        <w:t>including:</w:t>
      </w:r>
    </w:p>
    <w:p>
      <w:pPr>
        <w:pStyle w:val="ListParagraph"/>
        <w:numPr>
          <w:ilvl w:val="1"/>
          <w:numId w:val="46"/>
        </w:numPr>
        <w:tabs>
          <w:tab w:pos="2781" w:val="left" w:leader="none"/>
          <w:tab w:pos="2782" w:val="left" w:leader="none"/>
        </w:tabs>
        <w:spacing w:line="240" w:lineRule="auto" w:before="52" w:after="0"/>
        <w:ind w:left="2781" w:right="0" w:hanging="340"/>
        <w:jc w:val="left"/>
        <w:rPr>
          <w:sz w:val="12"/>
        </w:rPr>
      </w:pPr>
      <w:r>
        <w:rPr>
          <w:sz w:val="20"/>
        </w:rPr>
        <w:t>the need for pre-trial preparation of the</w:t>
      </w:r>
      <w:r>
        <w:rPr>
          <w:spacing w:val="-2"/>
          <w:sz w:val="20"/>
        </w:rPr>
        <w:t> </w:t>
      </w:r>
      <w:r>
        <w:rPr>
          <w:sz w:val="20"/>
        </w:rPr>
        <w:t>courtroom</w:t>
      </w:r>
      <w:r>
        <w:rPr>
          <w:position w:val="7"/>
          <w:sz w:val="12"/>
        </w:rPr>
        <w:t>55</w:t>
      </w:r>
    </w:p>
    <w:p>
      <w:pPr>
        <w:pStyle w:val="ListParagraph"/>
        <w:numPr>
          <w:ilvl w:val="1"/>
          <w:numId w:val="46"/>
        </w:numPr>
        <w:tabs>
          <w:tab w:pos="2782" w:val="left" w:leader="none"/>
        </w:tabs>
        <w:spacing w:line="211" w:lineRule="auto" w:before="81" w:after="0"/>
        <w:ind w:left="2781" w:right="1262" w:hanging="340"/>
        <w:jc w:val="both"/>
        <w:rPr>
          <w:sz w:val="12"/>
        </w:rPr>
      </w:pPr>
      <w:r>
        <w:rPr>
          <w:sz w:val="20"/>
        </w:rPr>
        <w:t>additional practice and procedural requirements in the courtroom (eg </w:t>
      </w:r>
      <w:r>
        <w:rPr>
          <w:spacing w:val="-4"/>
          <w:sz w:val="20"/>
        </w:rPr>
        <w:t>the </w:t>
      </w:r>
      <w:r>
        <w:rPr>
          <w:sz w:val="20"/>
        </w:rPr>
        <w:t>requirement for interpreters to rotate at regular intervals, and the need to modify pace of</w:t>
      </w:r>
      <w:r>
        <w:rPr>
          <w:spacing w:val="-6"/>
          <w:sz w:val="20"/>
        </w:rPr>
        <w:t> </w:t>
      </w:r>
      <w:r>
        <w:rPr>
          <w:sz w:val="20"/>
        </w:rPr>
        <w:t>delivery)</w:t>
      </w:r>
      <w:r>
        <w:rPr>
          <w:position w:val="7"/>
          <w:sz w:val="12"/>
        </w:rPr>
        <w:t>56</w:t>
      </w:r>
    </w:p>
    <w:p>
      <w:pPr>
        <w:pStyle w:val="ListParagraph"/>
        <w:numPr>
          <w:ilvl w:val="1"/>
          <w:numId w:val="46"/>
        </w:numPr>
        <w:tabs>
          <w:tab w:pos="2782" w:val="left" w:leader="none"/>
        </w:tabs>
        <w:spacing w:line="211" w:lineRule="auto" w:before="89" w:after="0"/>
        <w:ind w:left="2781" w:right="1337" w:hanging="340"/>
        <w:jc w:val="left"/>
        <w:rPr>
          <w:sz w:val="20"/>
        </w:rPr>
      </w:pPr>
      <w:r>
        <w:rPr>
          <w:sz w:val="20"/>
        </w:rPr>
        <w:t>the need for an assessment of any request for reasonable adjustments  to take place after a juror is empanelled on a particular trial, delaying </w:t>
      </w:r>
      <w:r>
        <w:rPr>
          <w:spacing w:val="-4"/>
          <w:sz w:val="20"/>
        </w:rPr>
        <w:t>the </w:t>
      </w:r>
      <w:r>
        <w:rPr>
          <w:sz w:val="20"/>
        </w:rPr>
        <w:t>start of the trial,</w:t>
      </w:r>
      <w:r>
        <w:rPr>
          <w:position w:val="7"/>
          <w:sz w:val="12"/>
        </w:rPr>
        <w:t>57</w:t>
      </w:r>
      <w:r>
        <w:rPr>
          <w:spacing w:val="20"/>
          <w:position w:val="7"/>
          <w:sz w:val="12"/>
        </w:rPr>
        <w:t> </w:t>
      </w:r>
      <w:r>
        <w:rPr>
          <w:sz w:val="20"/>
        </w:rPr>
        <w:t>and</w:t>
      </w:r>
    </w:p>
    <w:p>
      <w:pPr>
        <w:pStyle w:val="ListParagraph"/>
        <w:numPr>
          <w:ilvl w:val="1"/>
          <w:numId w:val="46"/>
        </w:numPr>
        <w:tabs>
          <w:tab w:pos="2782" w:val="left" w:leader="none"/>
        </w:tabs>
        <w:spacing w:line="211" w:lineRule="auto" w:before="88" w:after="0"/>
        <w:ind w:left="2781" w:right="1706" w:hanging="340"/>
        <w:jc w:val="left"/>
        <w:rPr>
          <w:sz w:val="12"/>
        </w:rPr>
      </w:pPr>
      <w:r>
        <w:rPr>
          <w:sz w:val="20"/>
        </w:rPr>
        <w:t>the ‘added risk of non-sitting days where an interpreter is unable to attend (particularly in the context of the current skills shortage in this </w:t>
      </w:r>
      <w:r>
        <w:rPr>
          <w:spacing w:val="-3"/>
          <w:sz w:val="20"/>
        </w:rPr>
        <w:t>area)’.</w:t>
      </w:r>
      <w:r>
        <w:rPr>
          <w:spacing w:val="-3"/>
          <w:position w:val="7"/>
          <w:sz w:val="12"/>
        </w:rPr>
        <w:t>58</w:t>
      </w:r>
    </w:p>
    <w:p>
      <w:pPr>
        <w:pStyle w:val="Heading7"/>
        <w:numPr>
          <w:ilvl w:val="0"/>
          <w:numId w:val="46"/>
        </w:numPr>
        <w:tabs>
          <w:tab w:pos="2457" w:val="left" w:leader="none"/>
        </w:tabs>
        <w:spacing w:line="218" w:lineRule="auto" w:before="91" w:after="0"/>
        <w:ind w:left="2456" w:right="1699" w:hanging="344"/>
        <w:jc w:val="left"/>
        <w:rPr>
          <w:sz w:val="12"/>
        </w:rPr>
      </w:pPr>
      <w:r>
        <w:rPr/>
        <w:t>an Auslan </w:t>
      </w:r>
      <w:r>
        <w:rPr>
          <w:spacing w:val="-3"/>
        </w:rPr>
        <w:t>interpreter would </w:t>
      </w:r>
      <w:r>
        <w:rPr/>
        <w:t>introduce an element of subjective interpretation because a deaf juror will not be able to make their </w:t>
      </w:r>
      <w:r>
        <w:rPr>
          <w:spacing w:val="-3"/>
        </w:rPr>
        <w:t>own </w:t>
      </w:r>
      <w:r>
        <w:rPr/>
        <w:t>direct assessment of evidence, but </w:t>
      </w:r>
      <w:r>
        <w:rPr>
          <w:spacing w:val="-3"/>
        </w:rPr>
        <w:t>would </w:t>
      </w:r>
      <w:r>
        <w:rPr/>
        <w:t>instead need to </w:t>
      </w:r>
      <w:r>
        <w:rPr>
          <w:spacing w:val="-4"/>
        </w:rPr>
        <w:t>rely </w:t>
      </w:r>
      <w:r>
        <w:rPr/>
        <w:t>on the interpretation of the</w:t>
      </w:r>
      <w:r>
        <w:rPr>
          <w:spacing w:val="-3"/>
        </w:rPr>
        <w:t> </w:t>
      </w:r>
      <w:r>
        <w:rPr/>
        <w:t>interpreter</w:t>
      </w:r>
      <w:r>
        <w:rPr>
          <w:position w:val="7"/>
          <w:sz w:val="12"/>
        </w:rPr>
        <w:t>59</w:t>
      </w:r>
    </w:p>
    <w:p>
      <w:pPr>
        <w:pStyle w:val="Heading7"/>
        <w:numPr>
          <w:ilvl w:val="0"/>
          <w:numId w:val="46"/>
        </w:numPr>
        <w:tabs>
          <w:tab w:pos="2457" w:val="left" w:leader="none"/>
        </w:tabs>
        <w:spacing w:line="278" w:lineRule="exact" w:before="65" w:after="0"/>
        <w:ind w:left="2456" w:right="0" w:hanging="344"/>
        <w:jc w:val="left"/>
      </w:pPr>
      <w:r>
        <w:rPr/>
        <w:t>difficulties associated with interpreting </w:t>
      </w:r>
      <w:r>
        <w:rPr>
          <w:spacing w:val="-3"/>
        </w:rPr>
        <w:t>complex </w:t>
      </w:r>
      <w:r>
        <w:rPr/>
        <w:t>technological</w:t>
      </w:r>
      <w:r>
        <w:rPr>
          <w:spacing w:val="-2"/>
        </w:rPr>
        <w:t> </w:t>
      </w:r>
      <w:r>
        <w:rPr/>
        <w:t>evidence</w:t>
      </w:r>
    </w:p>
    <w:p>
      <w:pPr>
        <w:pStyle w:val="Heading7"/>
        <w:spacing w:line="278" w:lineRule="exact" w:before="0"/>
        <w:ind w:firstLine="0"/>
        <w:rPr>
          <w:sz w:val="12"/>
        </w:rPr>
      </w:pPr>
      <w:r>
        <w:rPr/>
        <w:t>(e.g. body-worn video equipment; telephone intercepts)</w:t>
      </w:r>
      <w:r>
        <w:rPr>
          <w:position w:val="7"/>
          <w:sz w:val="12"/>
        </w:rPr>
        <w:t>60</w:t>
      </w:r>
    </w:p>
    <w:p>
      <w:pPr>
        <w:pStyle w:val="ListParagraph"/>
        <w:numPr>
          <w:ilvl w:val="2"/>
          <w:numId w:val="12"/>
        </w:numPr>
        <w:tabs>
          <w:tab w:pos="2157" w:val="left" w:leader="none"/>
          <w:tab w:pos="2158" w:val="left" w:leader="none"/>
        </w:tabs>
        <w:spacing w:line="206" w:lineRule="auto" w:before="79" w:after="0"/>
        <w:ind w:left="2157" w:right="1302" w:hanging="396"/>
        <w:jc w:val="left"/>
        <w:rPr>
          <w:sz w:val="11"/>
        </w:rPr>
      </w:pPr>
      <w:r>
        <w:rPr>
          <w:sz w:val="20"/>
        </w:rPr>
        <w:t>The</w:t>
      </w:r>
      <w:r>
        <w:rPr>
          <w:spacing w:val="-11"/>
          <w:sz w:val="20"/>
        </w:rPr>
        <w:t> </w:t>
      </w:r>
      <w:r>
        <w:rPr>
          <w:sz w:val="20"/>
        </w:rPr>
        <w:t>cost</w:t>
      </w:r>
      <w:r>
        <w:rPr>
          <w:spacing w:val="-11"/>
          <w:sz w:val="20"/>
        </w:rPr>
        <w:t> </w:t>
      </w:r>
      <w:r>
        <w:rPr>
          <w:sz w:val="20"/>
        </w:rPr>
        <w:t>of</w:t>
      </w:r>
      <w:r>
        <w:rPr>
          <w:spacing w:val="-11"/>
          <w:sz w:val="20"/>
        </w:rPr>
        <w:t> </w:t>
      </w:r>
      <w:r>
        <w:rPr>
          <w:spacing w:val="-3"/>
          <w:sz w:val="20"/>
        </w:rPr>
        <w:t>providing</w:t>
      </w:r>
      <w:r>
        <w:rPr>
          <w:spacing w:val="-11"/>
          <w:sz w:val="20"/>
        </w:rPr>
        <w:t> </w:t>
      </w:r>
      <w:r>
        <w:rPr>
          <w:sz w:val="20"/>
        </w:rPr>
        <w:t>reasonable</w:t>
      </w:r>
      <w:r>
        <w:rPr>
          <w:spacing w:val="-11"/>
          <w:sz w:val="20"/>
        </w:rPr>
        <w:t> </w:t>
      </w:r>
      <w:r>
        <w:rPr>
          <w:sz w:val="20"/>
        </w:rPr>
        <w:t>accommodations,</w:t>
      </w:r>
      <w:r>
        <w:rPr>
          <w:spacing w:val="-11"/>
          <w:sz w:val="20"/>
        </w:rPr>
        <w:t> </w:t>
      </w:r>
      <w:r>
        <w:rPr>
          <w:sz w:val="20"/>
        </w:rPr>
        <w:t>including</w:t>
      </w:r>
      <w:r>
        <w:rPr>
          <w:spacing w:val="-11"/>
          <w:sz w:val="20"/>
        </w:rPr>
        <w:t> </w:t>
      </w:r>
      <w:r>
        <w:rPr>
          <w:sz w:val="20"/>
        </w:rPr>
        <w:t>Auslan</w:t>
      </w:r>
      <w:r>
        <w:rPr>
          <w:spacing w:val="-11"/>
          <w:sz w:val="20"/>
        </w:rPr>
        <w:t> </w:t>
      </w:r>
      <w:r>
        <w:rPr>
          <w:spacing w:val="-3"/>
          <w:sz w:val="20"/>
        </w:rPr>
        <w:t>interpreters</w:t>
      </w:r>
      <w:r>
        <w:rPr>
          <w:spacing w:val="-3"/>
          <w:position w:val="7"/>
          <w:sz w:val="11"/>
        </w:rPr>
        <w:t>61</w:t>
      </w:r>
      <w:r>
        <w:rPr>
          <w:spacing w:val="-3"/>
          <w:sz w:val="11"/>
        </w:rPr>
        <w:t> </w:t>
      </w:r>
      <w:r>
        <w:rPr>
          <w:sz w:val="20"/>
        </w:rPr>
        <w:t>‘with</w:t>
      </w:r>
      <w:r>
        <w:rPr>
          <w:spacing w:val="-6"/>
          <w:sz w:val="20"/>
        </w:rPr>
        <w:t> </w:t>
      </w:r>
      <w:r>
        <w:rPr>
          <w:sz w:val="20"/>
        </w:rPr>
        <w:t>no</w:t>
      </w:r>
      <w:r>
        <w:rPr>
          <w:spacing w:val="-5"/>
          <w:sz w:val="20"/>
        </w:rPr>
        <w:t> </w:t>
      </w:r>
      <w:r>
        <w:rPr>
          <w:sz w:val="20"/>
        </w:rPr>
        <w:t>certainty</w:t>
      </w:r>
      <w:r>
        <w:rPr>
          <w:spacing w:val="-5"/>
          <w:sz w:val="20"/>
        </w:rPr>
        <w:t> </w:t>
      </w:r>
      <w:r>
        <w:rPr>
          <w:sz w:val="20"/>
        </w:rPr>
        <w:t>that</w:t>
      </w:r>
      <w:r>
        <w:rPr>
          <w:spacing w:val="-5"/>
          <w:sz w:val="20"/>
        </w:rPr>
        <w:t> </w:t>
      </w:r>
      <w:r>
        <w:rPr>
          <w:sz w:val="20"/>
        </w:rPr>
        <w:t>a</w:t>
      </w:r>
      <w:r>
        <w:rPr>
          <w:spacing w:val="-5"/>
          <w:sz w:val="20"/>
        </w:rPr>
        <w:t> </w:t>
      </w:r>
      <w:r>
        <w:rPr>
          <w:sz w:val="20"/>
        </w:rPr>
        <w:t>deaf</w:t>
      </w:r>
      <w:r>
        <w:rPr>
          <w:spacing w:val="-5"/>
          <w:sz w:val="20"/>
        </w:rPr>
        <w:t> </w:t>
      </w:r>
      <w:r>
        <w:rPr>
          <w:sz w:val="20"/>
        </w:rPr>
        <w:t>juror</w:t>
      </w:r>
      <w:r>
        <w:rPr>
          <w:spacing w:val="-5"/>
          <w:sz w:val="20"/>
        </w:rPr>
        <w:t> </w:t>
      </w:r>
      <w:r>
        <w:rPr>
          <w:spacing w:val="-3"/>
          <w:sz w:val="20"/>
        </w:rPr>
        <w:t>would</w:t>
      </w:r>
      <w:r>
        <w:rPr>
          <w:spacing w:val="-5"/>
          <w:sz w:val="20"/>
        </w:rPr>
        <w:t> </w:t>
      </w:r>
      <w:r>
        <w:rPr>
          <w:sz w:val="20"/>
        </w:rPr>
        <w:t>be</w:t>
      </w:r>
      <w:r>
        <w:rPr>
          <w:spacing w:val="-6"/>
          <w:sz w:val="20"/>
        </w:rPr>
        <w:t> </w:t>
      </w:r>
      <w:r>
        <w:rPr>
          <w:spacing w:val="-3"/>
          <w:sz w:val="20"/>
        </w:rPr>
        <w:t>ultimately</w:t>
      </w:r>
      <w:r>
        <w:rPr>
          <w:spacing w:val="-5"/>
          <w:sz w:val="20"/>
        </w:rPr>
        <w:t> </w:t>
      </w:r>
      <w:r>
        <w:rPr>
          <w:sz w:val="20"/>
        </w:rPr>
        <w:t>selected’.</w:t>
      </w:r>
      <w:r>
        <w:rPr>
          <w:position w:val="7"/>
          <w:sz w:val="11"/>
        </w:rPr>
        <w:t>62</w:t>
      </w:r>
    </w:p>
    <w:p>
      <w:pPr>
        <w:pStyle w:val="BodyText"/>
      </w:pPr>
    </w:p>
    <w:p>
      <w:pPr>
        <w:pStyle w:val="BodyText"/>
      </w:pPr>
    </w:p>
    <w:p>
      <w:pPr>
        <w:pStyle w:val="BodyText"/>
      </w:pPr>
    </w:p>
    <w:p>
      <w:pPr>
        <w:pStyle w:val="BodyText"/>
      </w:pPr>
    </w:p>
    <w:p>
      <w:pPr>
        <w:pStyle w:val="BodyText"/>
        <w:spacing w:before="12"/>
        <w:rPr>
          <w:sz w:val="21"/>
        </w:rPr>
      </w:pPr>
      <w:r>
        <w:rPr/>
        <w:pict>
          <v:line style="position:absolute;mso-position-horizontal-relative:page;mso-position-vertical-relative:paragraph;z-index:2864;mso-wrap-distance-left:0;mso-wrap-distance-right:0" from="79.370102pt,17.668715pt" to="515.905102pt,17.668715pt" stroked="true" strokeweight="1pt" strokecolor="#b6bdc8">
            <v:stroke dashstyle="solid"/>
            <w10:wrap type="topAndBottom"/>
          </v:line>
        </w:pict>
      </w:r>
    </w:p>
    <w:p>
      <w:pPr>
        <w:pStyle w:val="ListParagraph"/>
        <w:numPr>
          <w:ilvl w:val="0"/>
          <w:numId w:val="45"/>
        </w:numPr>
        <w:tabs>
          <w:tab w:pos="1776" w:val="left" w:leader="none"/>
          <w:tab w:pos="1778" w:val="left" w:leader="none"/>
        </w:tabs>
        <w:spacing w:line="216" w:lineRule="auto" w:before="109" w:after="0"/>
        <w:ind w:left="1777" w:right="1362" w:hanging="810"/>
        <w:jc w:val="left"/>
        <w:rPr>
          <w:sz w:val="13"/>
        </w:rPr>
      </w:pPr>
      <w:r>
        <w:rPr>
          <w:sz w:val="13"/>
        </w:rPr>
        <w:t>Australian Government, </w:t>
      </w:r>
      <w:r>
        <w:rPr>
          <w:i/>
          <w:sz w:val="13"/>
        </w:rPr>
        <w:t>Response of Australia to the Committee on the </w:t>
      </w:r>
      <w:r>
        <w:rPr>
          <w:i/>
          <w:spacing w:val="2"/>
          <w:sz w:val="13"/>
        </w:rPr>
        <w:t>Rights </w:t>
      </w:r>
      <w:r>
        <w:rPr>
          <w:i/>
          <w:sz w:val="13"/>
        </w:rPr>
        <w:t>of Persons with Disabilities in Communication No </w:t>
      </w:r>
      <w:r>
        <w:rPr>
          <w:i/>
          <w:sz w:val="13"/>
        </w:rPr>
        <w:t>11/2013</w:t>
      </w:r>
      <w:r>
        <w:rPr>
          <w:i/>
          <w:spacing w:val="3"/>
          <w:sz w:val="13"/>
        </w:rPr>
        <w:t> </w:t>
      </w:r>
      <w:r>
        <w:rPr>
          <w:i/>
          <w:sz w:val="13"/>
        </w:rPr>
        <w:t>(GB</w:t>
      </w:r>
      <w:r>
        <w:rPr>
          <w:i/>
          <w:spacing w:val="4"/>
          <w:sz w:val="13"/>
        </w:rPr>
        <w:t> </w:t>
      </w:r>
      <w:r>
        <w:rPr>
          <w:i/>
          <w:sz w:val="13"/>
        </w:rPr>
        <w:t>v</w:t>
      </w:r>
      <w:r>
        <w:rPr>
          <w:i/>
          <w:spacing w:val="4"/>
          <w:sz w:val="13"/>
        </w:rPr>
        <w:t> </w:t>
      </w:r>
      <w:r>
        <w:rPr>
          <w:i/>
          <w:sz w:val="13"/>
        </w:rPr>
        <w:t>Australia)</w:t>
      </w:r>
      <w:r>
        <w:rPr>
          <w:i/>
          <w:spacing w:val="4"/>
          <w:sz w:val="13"/>
        </w:rPr>
        <w:t> </w:t>
      </w:r>
      <w:r>
        <w:rPr>
          <w:i/>
          <w:sz w:val="13"/>
        </w:rPr>
        <w:t>and</w:t>
      </w:r>
      <w:r>
        <w:rPr>
          <w:i/>
          <w:spacing w:val="4"/>
          <w:sz w:val="13"/>
        </w:rPr>
        <w:t> </w:t>
      </w:r>
      <w:r>
        <w:rPr>
          <w:i/>
          <w:sz w:val="13"/>
        </w:rPr>
        <w:t>13/2013</w:t>
      </w:r>
      <w:r>
        <w:rPr>
          <w:i/>
          <w:spacing w:val="4"/>
          <w:sz w:val="13"/>
        </w:rPr>
        <w:t> </w:t>
      </w:r>
      <w:r>
        <w:rPr>
          <w:i/>
          <w:sz w:val="13"/>
        </w:rPr>
        <w:t>(ML</w:t>
      </w:r>
      <w:r>
        <w:rPr>
          <w:i/>
          <w:spacing w:val="4"/>
          <w:sz w:val="13"/>
        </w:rPr>
        <w:t> </w:t>
      </w:r>
      <w:r>
        <w:rPr>
          <w:i/>
          <w:sz w:val="13"/>
        </w:rPr>
        <w:t>v</w:t>
      </w:r>
      <w:r>
        <w:rPr>
          <w:i/>
          <w:spacing w:val="4"/>
          <w:sz w:val="13"/>
        </w:rPr>
        <w:t> </w:t>
      </w:r>
      <w:r>
        <w:rPr>
          <w:i/>
          <w:sz w:val="13"/>
        </w:rPr>
        <w:t>Australia)</w:t>
      </w:r>
      <w:r>
        <w:rPr>
          <w:i/>
          <w:spacing w:val="5"/>
          <w:sz w:val="13"/>
        </w:rPr>
        <w:t> </w:t>
      </w:r>
      <w:r>
        <w:rPr>
          <w:sz w:val="13"/>
        </w:rPr>
        <w:t>(Human</w:t>
      </w:r>
      <w:r>
        <w:rPr>
          <w:spacing w:val="4"/>
          <w:sz w:val="13"/>
        </w:rPr>
        <w:t> </w:t>
      </w:r>
      <w:r>
        <w:rPr>
          <w:spacing w:val="2"/>
          <w:sz w:val="13"/>
        </w:rPr>
        <w:t>Rights</w:t>
      </w:r>
      <w:r>
        <w:rPr>
          <w:spacing w:val="4"/>
          <w:sz w:val="13"/>
        </w:rPr>
        <w:t> </w:t>
      </w:r>
      <w:r>
        <w:rPr>
          <w:spacing w:val="2"/>
          <w:sz w:val="13"/>
        </w:rPr>
        <w:t>Communication,</w:t>
      </w:r>
      <w:r>
        <w:rPr>
          <w:spacing w:val="4"/>
          <w:sz w:val="13"/>
        </w:rPr>
        <w:t> </w:t>
      </w:r>
      <w:r>
        <w:rPr>
          <w:sz w:val="13"/>
        </w:rPr>
        <w:t>24</w:t>
      </w:r>
      <w:r>
        <w:rPr>
          <w:spacing w:val="4"/>
          <w:sz w:val="13"/>
        </w:rPr>
        <w:t> </w:t>
      </w:r>
      <w:r>
        <w:rPr>
          <w:sz w:val="13"/>
        </w:rPr>
        <w:t>October</w:t>
      </w:r>
      <w:r>
        <w:rPr>
          <w:spacing w:val="4"/>
          <w:sz w:val="13"/>
        </w:rPr>
        <w:t> </w:t>
      </w:r>
      <w:r>
        <w:rPr>
          <w:sz w:val="13"/>
        </w:rPr>
        <w:t>2016)</w:t>
      </w:r>
      <w:r>
        <w:rPr>
          <w:spacing w:val="4"/>
          <w:sz w:val="13"/>
        </w:rPr>
        <w:t> </w:t>
      </w:r>
      <w:r>
        <w:rPr>
          <w:sz w:val="13"/>
        </w:rPr>
        <w:t>3</w:t>
      </w:r>
      <w:r>
        <w:rPr>
          <w:spacing w:val="4"/>
          <w:sz w:val="13"/>
        </w:rPr>
        <w:t> </w:t>
      </w:r>
      <w:r>
        <w:rPr>
          <w:sz w:val="13"/>
        </w:rPr>
        <w:t>[10].</w:t>
      </w:r>
    </w:p>
    <w:p>
      <w:pPr>
        <w:pStyle w:val="ListParagraph"/>
        <w:numPr>
          <w:ilvl w:val="0"/>
          <w:numId w:val="45"/>
        </w:numPr>
        <w:tabs>
          <w:tab w:pos="1776" w:val="left" w:leader="none"/>
          <w:tab w:pos="1778" w:val="left" w:leader="none"/>
        </w:tabs>
        <w:spacing w:line="216" w:lineRule="auto" w:before="2" w:after="0"/>
        <w:ind w:left="1777" w:right="1271" w:hanging="810"/>
        <w:jc w:val="left"/>
        <w:rPr>
          <w:sz w:val="13"/>
        </w:rPr>
      </w:pPr>
      <w:r>
        <w:rPr>
          <w:sz w:val="13"/>
        </w:rPr>
        <w:t>Ibid; Australian Government, </w:t>
      </w:r>
      <w:r>
        <w:rPr>
          <w:i/>
          <w:sz w:val="13"/>
        </w:rPr>
        <w:t>Response of Australia to the Committee on the </w:t>
      </w:r>
      <w:r>
        <w:rPr>
          <w:i/>
          <w:spacing w:val="2"/>
          <w:sz w:val="13"/>
        </w:rPr>
        <w:t>Rights </w:t>
      </w:r>
      <w:r>
        <w:rPr>
          <w:i/>
          <w:sz w:val="13"/>
        </w:rPr>
        <w:t>of Persons with Disabilities in Communication    </w:t>
      </w:r>
      <w:r>
        <w:rPr>
          <w:i/>
          <w:spacing w:val="32"/>
          <w:sz w:val="13"/>
        </w:rPr>
        <w:t> </w:t>
      </w:r>
      <w:r>
        <w:rPr>
          <w:i/>
          <w:sz w:val="13"/>
        </w:rPr>
        <w:t>No 35/2016 (JH v Australia) </w:t>
      </w:r>
      <w:r>
        <w:rPr>
          <w:sz w:val="13"/>
        </w:rPr>
        <w:t>(Human </w:t>
      </w:r>
      <w:r>
        <w:rPr>
          <w:spacing w:val="2"/>
          <w:sz w:val="13"/>
        </w:rPr>
        <w:t>Rights Communication, </w:t>
      </w:r>
      <w:r>
        <w:rPr>
          <w:sz w:val="13"/>
        </w:rPr>
        <w:t>11 February 2020) 4</w:t>
      </w:r>
      <w:r>
        <w:rPr>
          <w:spacing w:val="16"/>
          <w:sz w:val="13"/>
        </w:rPr>
        <w:t> </w:t>
      </w:r>
      <w:r>
        <w:rPr>
          <w:sz w:val="13"/>
        </w:rPr>
        <w:t>[12].</w:t>
      </w:r>
    </w:p>
    <w:p>
      <w:pPr>
        <w:pStyle w:val="ListParagraph"/>
        <w:numPr>
          <w:ilvl w:val="0"/>
          <w:numId w:val="45"/>
        </w:numPr>
        <w:tabs>
          <w:tab w:pos="1776" w:val="left" w:leader="none"/>
          <w:tab w:pos="1777" w:val="left" w:leader="none"/>
        </w:tabs>
        <w:spacing w:line="216" w:lineRule="auto" w:before="1" w:after="0"/>
        <w:ind w:left="1777" w:right="1362" w:hanging="810"/>
        <w:jc w:val="left"/>
        <w:rPr>
          <w:sz w:val="13"/>
        </w:rPr>
      </w:pPr>
      <w:r>
        <w:rPr>
          <w:sz w:val="13"/>
        </w:rPr>
        <w:t>Australian Government, </w:t>
      </w:r>
      <w:r>
        <w:rPr>
          <w:i/>
          <w:sz w:val="13"/>
        </w:rPr>
        <w:t>Response of Australia to the Committee on the </w:t>
      </w:r>
      <w:r>
        <w:rPr>
          <w:i/>
          <w:spacing w:val="2"/>
          <w:sz w:val="13"/>
        </w:rPr>
        <w:t>Rights </w:t>
      </w:r>
      <w:r>
        <w:rPr>
          <w:i/>
          <w:sz w:val="13"/>
        </w:rPr>
        <w:t>of Persons with Disabilities in Communication No </w:t>
      </w:r>
      <w:r>
        <w:rPr>
          <w:i/>
          <w:sz w:val="13"/>
        </w:rPr>
        <w:t>11/2013</w:t>
      </w:r>
      <w:r>
        <w:rPr>
          <w:i/>
          <w:spacing w:val="3"/>
          <w:sz w:val="13"/>
        </w:rPr>
        <w:t> </w:t>
      </w:r>
      <w:r>
        <w:rPr>
          <w:i/>
          <w:sz w:val="13"/>
        </w:rPr>
        <w:t>(GB</w:t>
      </w:r>
      <w:r>
        <w:rPr>
          <w:i/>
          <w:spacing w:val="4"/>
          <w:sz w:val="13"/>
        </w:rPr>
        <w:t> </w:t>
      </w:r>
      <w:r>
        <w:rPr>
          <w:i/>
          <w:sz w:val="13"/>
        </w:rPr>
        <w:t>v</w:t>
      </w:r>
      <w:r>
        <w:rPr>
          <w:i/>
          <w:spacing w:val="4"/>
          <w:sz w:val="13"/>
        </w:rPr>
        <w:t> </w:t>
      </w:r>
      <w:r>
        <w:rPr>
          <w:i/>
          <w:sz w:val="13"/>
        </w:rPr>
        <w:t>Australia)</w:t>
      </w:r>
      <w:r>
        <w:rPr>
          <w:i/>
          <w:spacing w:val="4"/>
          <w:sz w:val="13"/>
        </w:rPr>
        <w:t> </w:t>
      </w:r>
      <w:r>
        <w:rPr>
          <w:i/>
          <w:sz w:val="13"/>
        </w:rPr>
        <w:t>and</w:t>
      </w:r>
      <w:r>
        <w:rPr>
          <w:i/>
          <w:spacing w:val="4"/>
          <w:sz w:val="13"/>
        </w:rPr>
        <w:t> </w:t>
      </w:r>
      <w:r>
        <w:rPr>
          <w:i/>
          <w:sz w:val="13"/>
        </w:rPr>
        <w:t>13/2013</w:t>
      </w:r>
      <w:r>
        <w:rPr>
          <w:i/>
          <w:spacing w:val="4"/>
          <w:sz w:val="13"/>
        </w:rPr>
        <w:t> </w:t>
      </w:r>
      <w:r>
        <w:rPr>
          <w:i/>
          <w:sz w:val="13"/>
        </w:rPr>
        <w:t>(ML</w:t>
      </w:r>
      <w:r>
        <w:rPr>
          <w:i/>
          <w:spacing w:val="4"/>
          <w:sz w:val="13"/>
        </w:rPr>
        <w:t> </w:t>
      </w:r>
      <w:r>
        <w:rPr>
          <w:i/>
          <w:sz w:val="13"/>
        </w:rPr>
        <w:t>v</w:t>
      </w:r>
      <w:r>
        <w:rPr>
          <w:i/>
          <w:spacing w:val="4"/>
          <w:sz w:val="13"/>
        </w:rPr>
        <w:t> </w:t>
      </w:r>
      <w:r>
        <w:rPr>
          <w:i/>
          <w:sz w:val="13"/>
        </w:rPr>
        <w:t>Australia)</w:t>
      </w:r>
      <w:r>
        <w:rPr>
          <w:i/>
          <w:spacing w:val="5"/>
          <w:sz w:val="13"/>
        </w:rPr>
        <w:t> </w:t>
      </w:r>
      <w:r>
        <w:rPr>
          <w:sz w:val="13"/>
        </w:rPr>
        <w:t>(Human</w:t>
      </w:r>
      <w:r>
        <w:rPr>
          <w:spacing w:val="4"/>
          <w:sz w:val="13"/>
        </w:rPr>
        <w:t> </w:t>
      </w:r>
      <w:r>
        <w:rPr>
          <w:spacing w:val="2"/>
          <w:sz w:val="13"/>
        </w:rPr>
        <w:t>Rights</w:t>
      </w:r>
      <w:r>
        <w:rPr>
          <w:spacing w:val="4"/>
          <w:sz w:val="13"/>
        </w:rPr>
        <w:t> </w:t>
      </w:r>
      <w:r>
        <w:rPr>
          <w:spacing w:val="2"/>
          <w:sz w:val="13"/>
        </w:rPr>
        <w:t>Communication,</w:t>
      </w:r>
      <w:r>
        <w:rPr>
          <w:spacing w:val="4"/>
          <w:sz w:val="13"/>
        </w:rPr>
        <w:t> </w:t>
      </w:r>
      <w:r>
        <w:rPr>
          <w:sz w:val="13"/>
        </w:rPr>
        <w:t>24</w:t>
      </w:r>
      <w:r>
        <w:rPr>
          <w:spacing w:val="4"/>
          <w:sz w:val="13"/>
        </w:rPr>
        <w:t> </w:t>
      </w:r>
      <w:r>
        <w:rPr>
          <w:sz w:val="13"/>
        </w:rPr>
        <w:t>October</w:t>
      </w:r>
      <w:r>
        <w:rPr>
          <w:spacing w:val="4"/>
          <w:sz w:val="13"/>
        </w:rPr>
        <w:t> </w:t>
      </w:r>
      <w:r>
        <w:rPr>
          <w:sz w:val="13"/>
        </w:rPr>
        <w:t>2016)</w:t>
      </w:r>
      <w:r>
        <w:rPr>
          <w:spacing w:val="4"/>
          <w:sz w:val="13"/>
        </w:rPr>
        <w:t> </w:t>
      </w:r>
      <w:r>
        <w:rPr>
          <w:sz w:val="13"/>
        </w:rPr>
        <w:t>4</w:t>
      </w:r>
      <w:r>
        <w:rPr>
          <w:spacing w:val="4"/>
          <w:sz w:val="13"/>
        </w:rPr>
        <w:t> </w:t>
      </w:r>
      <w:r>
        <w:rPr>
          <w:sz w:val="13"/>
        </w:rPr>
        <w:t>[16].</w:t>
      </w:r>
    </w:p>
    <w:p>
      <w:pPr>
        <w:pStyle w:val="ListParagraph"/>
        <w:numPr>
          <w:ilvl w:val="0"/>
          <w:numId w:val="45"/>
        </w:numPr>
        <w:tabs>
          <w:tab w:pos="1776" w:val="left" w:leader="none"/>
          <w:tab w:pos="1777" w:val="left" w:leader="none"/>
        </w:tabs>
        <w:spacing w:line="216" w:lineRule="auto" w:before="2" w:after="0"/>
        <w:ind w:left="1777" w:right="1271" w:hanging="810"/>
        <w:jc w:val="left"/>
        <w:rPr>
          <w:sz w:val="13"/>
        </w:rPr>
      </w:pPr>
      <w:r>
        <w:rPr>
          <w:sz w:val="13"/>
        </w:rPr>
        <w:t>Ibid; Australian Government, </w:t>
      </w:r>
      <w:r>
        <w:rPr>
          <w:i/>
          <w:sz w:val="13"/>
        </w:rPr>
        <w:t>Response of Australia to the Committee on the </w:t>
      </w:r>
      <w:r>
        <w:rPr>
          <w:i/>
          <w:spacing w:val="2"/>
          <w:sz w:val="13"/>
        </w:rPr>
        <w:t>Rights </w:t>
      </w:r>
      <w:r>
        <w:rPr>
          <w:i/>
          <w:sz w:val="13"/>
        </w:rPr>
        <w:t>of Persons with Disabilities in Communication    </w:t>
      </w:r>
      <w:r>
        <w:rPr>
          <w:i/>
          <w:spacing w:val="32"/>
          <w:sz w:val="13"/>
        </w:rPr>
        <w:t> </w:t>
      </w:r>
      <w:r>
        <w:rPr>
          <w:i/>
          <w:sz w:val="13"/>
        </w:rPr>
        <w:t>No 35/2016 (JH v Australia) </w:t>
      </w:r>
      <w:r>
        <w:rPr>
          <w:sz w:val="13"/>
        </w:rPr>
        <w:t>(Human </w:t>
      </w:r>
      <w:r>
        <w:rPr>
          <w:spacing w:val="2"/>
          <w:sz w:val="13"/>
        </w:rPr>
        <w:t>Rights Communication, </w:t>
      </w:r>
      <w:r>
        <w:rPr>
          <w:sz w:val="13"/>
        </w:rPr>
        <w:t>11 February 2020) 4</w:t>
      </w:r>
      <w:r>
        <w:rPr>
          <w:spacing w:val="16"/>
          <w:sz w:val="13"/>
        </w:rPr>
        <w:t> </w:t>
      </w:r>
      <w:r>
        <w:rPr>
          <w:sz w:val="13"/>
        </w:rPr>
        <w:t>[12].</w:t>
      </w:r>
    </w:p>
    <w:p>
      <w:pPr>
        <w:pStyle w:val="ListParagraph"/>
        <w:numPr>
          <w:ilvl w:val="0"/>
          <w:numId w:val="45"/>
        </w:numPr>
        <w:tabs>
          <w:tab w:pos="1776" w:val="left" w:leader="none"/>
          <w:tab w:pos="1778" w:val="left" w:leader="none"/>
        </w:tabs>
        <w:spacing w:line="216" w:lineRule="auto" w:before="2" w:after="0"/>
        <w:ind w:left="1777" w:right="1213" w:hanging="810"/>
        <w:jc w:val="left"/>
        <w:rPr>
          <w:sz w:val="13"/>
        </w:rPr>
      </w:pPr>
      <w:r>
        <w:rPr>
          <w:sz w:val="13"/>
        </w:rPr>
        <w:t>The Australian Government </w:t>
      </w:r>
      <w:r>
        <w:rPr>
          <w:spacing w:val="2"/>
          <w:sz w:val="13"/>
        </w:rPr>
        <w:t>further comments </w:t>
      </w:r>
      <w:r>
        <w:rPr>
          <w:sz w:val="13"/>
        </w:rPr>
        <w:t>that: </w:t>
      </w:r>
      <w:r>
        <w:rPr>
          <w:spacing w:val="2"/>
          <w:sz w:val="13"/>
        </w:rPr>
        <w:t>‘While </w:t>
      </w:r>
      <w:r>
        <w:rPr>
          <w:sz w:val="13"/>
        </w:rPr>
        <w:t>the Committee has recommended that the State </w:t>
      </w:r>
      <w:r>
        <w:rPr>
          <w:spacing w:val="2"/>
          <w:sz w:val="13"/>
        </w:rPr>
        <w:t>party </w:t>
      </w:r>
      <w:r>
        <w:rPr>
          <w:sz w:val="13"/>
        </w:rPr>
        <w:t>ensure a comprehensive </w:t>
      </w:r>
      <w:r>
        <w:rPr>
          <w:spacing w:val="2"/>
          <w:sz w:val="13"/>
        </w:rPr>
        <w:t>assessment </w:t>
      </w:r>
      <w:r>
        <w:rPr>
          <w:sz w:val="13"/>
        </w:rPr>
        <w:t>be </w:t>
      </w:r>
      <w:r>
        <w:rPr>
          <w:spacing w:val="2"/>
          <w:sz w:val="13"/>
        </w:rPr>
        <w:t>carried </w:t>
      </w:r>
      <w:r>
        <w:rPr>
          <w:sz w:val="13"/>
        </w:rPr>
        <w:t>out every time a person with </w:t>
      </w:r>
      <w:r>
        <w:rPr>
          <w:spacing w:val="2"/>
          <w:sz w:val="13"/>
        </w:rPr>
        <w:t>disabilities </w:t>
      </w:r>
      <w:r>
        <w:rPr>
          <w:sz w:val="13"/>
        </w:rPr>
        <w:t>is </w:t>
      </w:r>
      <w:r>
        <w:rPr>
          <w:spacing w:val="2"/>
          <w:sz w:val="13"/>
        </w:rPr>
        <w:t>summoned </w:t>
      </w:r>
      <w:r>
        <w:rPr>
          <w:sz w:val="13"/>
        </w:rPr>
        <w:t>to </w:t>
      </w:r>
      <w:r>
        <w:rPr>
          <w:spacing w:val="2"/>
          <w:sz w:val="13"/>
        </w:rPr>
        <w:t>perform jury </w:t>
      </w:r>
      <w:r>
        <w:rPr>
          <w:sz w:val="13"/>
        </w:rPr>
        <w:t>duty, in NSW     jurors are not </w:t>
      </w:r>
      <w:r>
        <w:rPr>
          <w:spacing w:val="2"/>
          <w:sz w:val="13"/>
        </w:rPr>
        <w:t>summoned </w:t>
      </w:r>
      <w:r>
        <w:rPr>
          <w:sz w:val="13"/>
        </w:rPr>
        <w:t>for a </w:t>
      </w:r>
      <w:r>
        <w:rPr>
          <w:spacing w:val="2"/>
          <w:sz w:val="13"/>
        </w:rPr>
        <w:t>particular </w:t>
      </w:r>
      <w:r>
        <w:rPr>
          <w:sz w:val="13"/>
        </w:rPr>
        <w:t>trial – rather they are </w:t>
      </w:r>
      <w:r>
        <w:rPr>
          <w:spacing w:val="2"/>
          <w:sz w:val="13"/>
        </w:rPr>
        <w:t>summoned </w:t>
      </w:r>
      <w:r>
        <w:rPr>
          <w:sz w:val="13"/>
        </w:rPr>
        <w:t>for a </w:t>
      </w:r>
      <w:r>
        <w:rPr>
          <w:spacing w:val="2"/>
          <w:sz w:val="13"/>
        </w:rPr>
        <w:t>particular </w:t>
      </w:r>
      <w:r>
        <w:rPr>
          <w:sz w:val="13"/>
        </w:rPr>
        <w:t>court for a </w:t>
      </w:r>
      <w:r>
        <w:rPr>
          <w:spacing w:val="2"/>
          <w:sz w:val="13"/>
        </w:rPr>
        <w:t>particular </w:t>
      </w:r>
      <w:r>
        <w:rPr>
          <w:sz w:val="13"/>
        </w:rPr>
        <w:t>date. A </w:t>
      </w:r>
      <w:r>
        <w:rPr>
          <w:spacing w:val="2"/>
          <w:sz w:val="13"/>
        </w:rPr>
        <w:t>number     </w:t>
      </w:r>
      <w:r>
        <w:rPr>
          <w:sz w:val="13"/>
        </w:rPr>
        <w:t>of potential </w:t>
      </w:r>
      <w:r>
        <w:rPr>
          <w:spacing w:val="2"/>
          <w:sz w:val="13"/>
        </w:rPr>
        <w:t>trials </w:t>
      </w:r>
      <w:r>
        <w:rPr>
          <w:sz w:val="13"/>
        </w:rPr>
        <w:t>could be ready to commence that day, so an </w:t>
      </w:r>
      <w:r>
        <w:rPr>
          <w:spacing w:val="2"/>
          <w:sz w:val="13"/>
        </w:rPr>
        <w:t>assessment </w:t>
      </w:r>
      <w:r>
        <w:rPr>
          <w:sz w:val="13"/>
        </w:rPr>
        <w:t>could not be made until the juror is empanelled         and the </w:t>
      </w:r>
      <w:r>
        <w:rPr>
          <w:spacing w:val="2"/>
          <w:sz w:val="13"/>
        </w:rPr>
        <w:t>specifics </w:t>
      </w:r>
      <w:r>
        <w:rPr>
          <w:sz w:val="13"/>
        </w:rPr>
        <w:t>of that trial are known, delaying the </w:t>
      </w:r>
      <w:r>
        <w:rPr>
          <w:spacing w:val="2"/>
          <w:sz w:val="13"/>
        </w:rPr>
        <w:t>start </w:t>
      </w:r>
      <w:r>
        <w:rPr>
          <w:sz w:val="13"/>
        </w:rPr>
        <w:t>of the </w:t>
      </w:r>
      <w:r>
        <w:rPr>
          <w:spacing w:val="2"/>
          <w:sz w:val="13"/>
        </w:rPr>
        <w:t>trial’: </w:t>
      </w:r>
      <w:r>
        <w:rPr>
          <w:sz w:val="13"/>
        </w:rPr>
        <w:t>Australian Government, </w:t>
      </w:r>
      <w:r>
        <w:rPr>
          <w:i/>
          <w:sz w:val="13"/>
        </w:rPr>
        <w:t>Response of Australia to the </w:t>
      </w:r>
      <w:r>
        <w:rPr>
          <w:i/>
          <w:sz w:val="13"/>
        </w:rPr>
        <w:t>Committee on the </w:t>
      </w:r>
      <w:r>
        <w:rPr>
          <w:i/>
          <w:spacing w:val="2"/>
          <w:sz w:val="13"/>
        </w:rPr>
        <w:t>Rights </w:t>
      </w:r>
      <w:r>
        <w:rPr>
          <w:i/>
          <w:sz w:val="13"/>
        </w:rPr>
        <w:t>of Persons with Disabilities in Communication No 11/2013 (GB v Australia) and 13/2013 (ML v Australia)  </w:t>
      </w:r>
      <w:r>
        <w:rPr>
          <w:sz w:val="13"/>
        </w:rPr>
        <w:t>(Human </w:t>
      </w:r>
      <w:r>
        <w:rPr>
          <w:spacing w:val="2"/>
          <w:sz w:val="13"/>
        </w:rPr>
        <w:t>Rights Communication, </w:t>
      </w:r>
      <w:r>
        <w:rPr>
          <w:sz w:val="13"/>
        </w:rPr>
        <w:t>24 October 2016) 4 [16].</w:t>
      </w:r>
    </w:p>
    <w:p>
      <w:pPr>
        <w:tabs>
          <w:tab w:pos="1776" w:val="left" w:leader="none"/>
        </w:tabs>
        <w:spacing w:line="163" w:lineRule="exact" w:before="0"/>
        <w:ind w:left="967" w:right="0" w:firstLine="0"/>
        <w:jc w:val="left"/>
        <w:rPr>
          <w:sz w:val="13"/>
        </w:rPr>
      </w:pPr>
      <w:r>
        <w:rPr>
          <w:sz w:val="13"/>
        </w:rPr>
        <w:t>58</w:t>
        <w:tab/>
        <w:t>Ibid 5 [16].</w:t>
      </w:r>
    </w:p>
    <w:p>
      <w:pPr>
        <w:pStyle w:val="ListParagraph"/>
        <w:numPr>
          <w:ilvl w:val="0"/>
          <w:numId w:val="47"/>
        </w:numPr>
        <w:tabs>
          <w:tab w:pos="1777" w:val="left" w:leader="none"/>
          <w:tab w:pos="1778" w:val="left" w:leader="none"/>
        </w:tabs>
        <w:spacing w:line="216" w:lineRule="auto" w:before="6" w:after="0"/>
        <w:ind w:left="1777" w:right="1362" w:hanging="810"/>
        <w:jc w:val="left"/>
        <w:rPr>
          <w:sz w:val="13"/>
        </w:rPr>
      </w:pPr>
      <w:r>
        <w:rPr>
          <w:sz w:val="13"/>
        </w:rPr>
        <w:t>Australian Government, </w:t>
      </w:r>
      <w:r>
        <w:rPr>
          <w:i/>
          <w:sz w:val="13"/>
        </w:rPr>
        <w:t>Response of Australia to the Committee on the </w:t>
      </w:r>
      <w:r>
        <w:rPr>
          <w:i/>
          <w:spacing w:val="2"/>
          <w:sz w:val="13"/>
        </w:rPr>
        <w:t>Rights </w:t>
      </w:r>
      <w:r>
        <w:rPr>
          <w:i/>
          <w:sz w:val="13"/>
        </w:rPr>
        <w:t>of Persons with Disabilities in Communication No </w:t>
      </w:r>
      <w:r>
        <w:rPr>
          <w:i/>
          <w:sz w:val="13"/>
        </w:rPr>
        <w:t>35/2016 (JH v Australia) </w:t>
      </w:r>
      <w:r>
        <w:rPr>
          <w:sz w:val="13"/>
        </w:rPr>
        <w:t>(Human </w:t>
      </w:r>
      <w:r>
        <w:rPr>
          <w:spacing w:val="2"/>
          <w:sz w:val="13"/>
        </w:rPr>
        <w:t>Rights Communication, </w:t>
      </w:r>
      <w:r>
        <w:rPr>
          <w:sz w:val="13"/>
        </w:rPr>
        <w:t>11 February 2020) 4 [12]. </w:t>
      </w:r>
      <w:r>
        <w:rPr>
          <w:spacing w:val="2"/>
          <w:sz w:val="13"/>
        </w:rPr>
        <w:t>Similar comments </w:t>
      </w:r>
      <w:r>
        <w:rPr>
          <w:sz w:val="13"/>
        </w:rPr>
        <w:t>were made in response        to Beasley and Lockrey’s cases: Australian Government, </w:t>
      </w:r>
      <w:r>
        <w:rPr>
          <w:i/>
          <w:sz w:val="13"/>
        </w:rPr>
        <w:t>Response of Australia to the Committee on the </w:t>
      </w:r>
      <w:r>
        <w:rPr>
          <w:i/>
          <w:spacing w:val="2"/>
          <w:sz w:val="13"/>
        </w:rPr>
        <w:t>Rights </w:t>
      </w:r>
      <w:r>
        <w:rPr>
          <w:i/>
          <w:sz w:val="13"/>
        </w:rPr>
        <w:t>of Persons with </w:t>
      </w:r>
      <w:r>
        <w:rPr>
          <w:i/>
          <w:sz w:val="13"/>
        </w:rPr>
        <w:t>Disabilities</w:t>
      </w:r>
      <w:r>
        <w:rPr>
          <w:i/>
          <w:spacing w:val="7"/>
          <w:sz w:val="13"/>
        </w:rPr>
        <w:t> </w:t>
      </w:r>
      <w:r>
        <w:rPr>
          <w:i/>
          <w:sz w:val="13"/>
        </w:rPr>
        <w:t>in</w:t>
      </w:r>
      <w:r>
        <w:rPr>
          <w:i/>
          <w:spacing w:val="7"/>
          <w:sz w:val="13"/>
        </w:rPr>
        <w:t> </w:t>
      </w:r>
      <w:r>
        <w:rPr>
          <w:i/>
          <w:sz w:val="13"/>
        </w:rPr>
        <w:t>Communication</w:t>
      </w:r>
      <w:r>
        <w:rPr>
          <w:i/>
          <w:spacing w:val="7"/>
          <w:sz w:val="13"/>
        </w:rPr>
        <w:t> </w:t>
      </w:r>
      <w:r>
        <w:rPr>
          <w:i/>
          <w:sz w:val="13"/>
        </w:rPr>
        <w:t>No</w:t>
      </w:r>
      <w:r>
        <w:rPr>
          <w:i/>
          <w:spacing w:val="7"/>
          <w:sz w:val="13"/>
        </w:rPr>
        <w:t> </w:t>
      </w:r>
      <w:r>
        <w:rPr>
          <w:i/>
          <w:sz w:val="13"/>
        </w:rPr>
        <w:t>11/2013</w:t>
      </w:r>
      <w:r>
        <w:rPr>
          <w:i/>
          <w:spacing w:val="8"/>
          <w:sz w:val="13"/>
        </w:rPr>
        <w:t> </w:t>
      </w:r>
      <w:r>
        <w:rPr>
          <w:i/>
          <w:sz w:val="13"/>
        </w:rPr>
        <w:t>(GB</w:t>
      </w:r>
      <w:r>
        <w:rPr>
          <w:i/>
          <w:spacing w:val="7"/>
          <w:sz w:val="13"/>
        </w:rPr>
        <w:t> </w:t>
      </w:r>
      <w:r>
        <w:rPr>
          <w:i/>
          <w:sz w:val="13"/>
        </w:rPr>
        <w:t>v</w:t>
      </w:r>
      <w:r>
        <w:rPr>
          <w:i/>
          <w:spacing w:val="7"/>
          <w:sz w:val="13"/>
        </w:rPr>
        <w:t> </w:t>
      </w:r>
      <w:r>
        <w:rPr>
          <w:i/>
          <w:sz w:val="13"/>
        </w:rPr>
        <w:t>Australia)</w:t>
      </w:r>
      <w:r>
        <w:rPr>
          <w:i/>
          <w:spacing w:val="7"/>
          <w:sz w:val="13"/>
        </w:rPr>
        <w:t> </w:t>
      </w:r>
      <w:r>
        <w:rPr>
          <w:i/>
          <w:sz w:val="13"/>
        </w:rPr>
        <w:t>and</w:t>
      </w:r>
      <w:r>
        <w:rPr>
          <w:i/>
          <w:spacing w:val="8"/>
          <w:sz w:val="13"/>
        </w:rPr>
        <w:t> </w:t>
      </w:r>
      <w:r>
        <w:rPr>
          <w:i/>
          <w:sz w:val="13"/>
        </w:rPr>
        <w:t>13/2013</w:t>
      </w:r>
      <w:r>
        <w:rPr>
          <w:i/>
          <w:spacing w:val="7"/>
          <w:sz w:val="13"/>
        </w:rPr>
        <w:t> </w:t>
      </w:r>
      <w:r>
        <w:rPr>
          <w:i/>
          <w:sz w:val="13"/>
        </w:rPr>
        <w:t>(ML</w:t>
      </w:r>
      <w:r>
        <w:rPr>
          <w:i/>
          <w:spacing w:val="7"/>
          <w:sz w:val="13"/>
        </w:rPr>
        <w:t> </w:t>
      </w:r>
      <w:r>
        <w:rPr>
          <w:i/>
          <w:sz w:val="13"/>
        </w:rPr>
        <w:t>v</w:t>
      </w:r>
      <w:r>
        <w:rPr>
          <w:i/>
          <w:spacing w:val="7"/>
          <w:sz w:val="13"/>
        </w:rPr>
        <w:t> </w:t>
      </w:r>
      <w:r>
        <w:rPr>
          <w:i/>
          <w:sz w:val="13"/>
        </w:rPr>
        <w:t>Australia)</w:t>
      </w:r>
      <w:r>
        <w:rPr>
          <w:i/>
          <w:spacing w:val="9"/>
          <w:sz w:val="13"/>
        </w:rPr>
        <w:t> </w:t>
      </w:r>
      <w:r>
        <w:rPr>
          <w:sz w:val="13"/>
        </w:rPr>
        <w:t>(Human</w:t>
      </w:r>
      <w:r>
        <w:rPr>
          <w:spacing w:val="7"/>
          <w:sz w:val="13"/>
        </w:rPr>
        <w:t> </w:t>
      </w:r>
      <w:r>
        <w:rPr>
          <w:spacing w:val="2"/>
          <w:sz w:val="13"/>
        </w:rPr>
        <w:t>Rights</w:t>
      </w:r>
      <w:r>
        <w:rPr>
          <w:spacing w:val="8"/>
          <w:sz w:val="13"/>
        </w:rPr>
        <w:t> </w:t>
      </w:r>
      <w:r>
        <w:rPr>
          <w:spacing w:val="2"/>
          <w:sz w:val="13"/>
        </w:rPr>
        <w:t>Communication,</w:t>
      </w:r>
    </w:p>
    <w:p>
      <w:pPr>
        <w:spacing w:line="160" w:lineRule="exact" w:before="0"/>
        <w:ind w:left="1777" w:right="0" w:firstLine="0"/>
        <w:jc w:val="left"/>
        <w:rPr>
          <w:sz w:val="13"/>
        </w:rPr>
      </w:pPr>
      <w:r>
        <w:rPr>
          <w:sz w:val="13"/>
        </w:rPr>
        <w:t>24 October 2016) 3 [13]. See further discussion in Chapter 9.</w:t>
      </w:r>
    </w:p>
    <w:p>
      <w:pPr>
        <w:pStyle w:val="ListParagraph"/>
        <w:numPr>
          <w:ilvl w:val="0"/>
          <w:numId w:val="47"/>
        </w:numPr>
        <w:tabs>
          <w:tab w:pos="1776" w:val="left" w:leader="none"/>
          <w:tab w:pos="1778" w:val="left" w:leader="none"/>
        </w:tabs>
        <w:spacing w:line="216" w:lineRule="auto" w:before="6" w:after="0"/>
        <w:ind w:left="1777" w:right="1341" w:hanging="810"/>
        <w:jc w:val="left"/>
        <w:rPr>
          <w:sz w:val="13"/>
        </w:rPr>
      </w:pPr>
      <w:r>
        <w:rPr>
          <w:sz w:val="13"/>
        </w:rPr>
        <w:t>Australian Government, </w:t>
      </w:r>
      <w:r>
        <w:rPr>
          <w:i/>
          <w:sz w:val="13"/>
        </w:rPr>
        <w:t>Response of Australia to the Committee on the </w:t>
      </w:r>
      <w:r>
        <w:rPr>
          <w:i/>
          <w:spacing w:val="2"/>
          <w:sz w:val="13"/>
        </w:rPr>
        <w:t>Rights </w:t>
      </w:r>
      <w:r>
        <w:rPr>
          <w:i/>
          <w:sz w:val="13"/>
        </w:rPr>
        <w:t>of Persons with Disabilities in Communication No </w:t>
      </w:r>
      <w:r>
        <w:rPr>
          <w:i/>
          <w:sz w:val="13"/>
        </w:rPr>
        <w:t>11/2013 (GB v Australia) and 13/2013 (ML v Australia) </w:t>
      </w:r>
      <w:r>
        <w:rPr>
          <w:sz w:val="13"/>
        </w:rPr>
        <w:t>(Human </w:t>
      </w:r>
      <w:r>
        <w:rPr>
          <w:spacing w:val="2"/>
          <w:sz w:val="13"/>
        </w:rPr>
        <w:t>Rights Communication, </w:t>
      </w:r>
      <w:r>
        <w:rPr>
          <w:sz w:val="13"/>
        </w:rPr>
        <w:t>24 October 2016) 3–4 [12]–[13]; Australian Government, </w:t>
      </w:r>
      <w:r>
        <w:rPr>
          <w:i/>
          <w:sz w:val="13"/>
        </w:rPr>
        <w:t>Response of Australia to the Committee on the </w:t>
      </w:r>
      <w:r>
        <w:rPr>
          <w:i/>
          <w:spacing w:val="2"/>
          <w:sz w:val="13"/>
        </w:rPr>
        <w:t>Rights </w:t>
      </w:r>
      <w:r>
        <w:rPr>
          <w:i/>
          <w:sz w:val="13"/>
        </w:rPr>
        <w:t>of Persons with Disabilities in Communication No 35/2016          </w:t>
      </w:r>
      <w:r>
        <w:rPr>
          <w:i/>
          <w:sz w:val="13"/>
        </w:rPr>
        <w:t>(JH v Australia) </w:t>
      </w:r>
      <w:r>
        <w:rPr>
          <w:sz w:val="13"/>
        </w:rPr>
        <w:t>(Human </w:t>
      </w:r>
      <w:r>
        <w:rPr>
          <w:spacing w:val="2"/>
          <w:sz w:val="13"/>
        </w:rPr>
        <w:t>Rights Communication, </w:t>
      </w:r>
      <w:r>
        <w:rPr>
          <w:sz w:val="13"/>
        </w:rPr>
        <w:t>11 February 2020) 2–3 [9], 4</w:t>
      </w:r>
      <w:r>
        <w:rPr>
          <w:spacing w:val="14"/>
          <w:sz w:val="13"/>
        </w:rPr>
        <w:t> </w:t>
      </w:r>
      <w:r>
        <w:rPr>
          <w:sz w:val="13"/>
        </w:rPr>
        <w:t>[12].</w:t>
      </w:r>
    </w:p>
    <w:p>
      <w:pPr>
        <w:pStyle w:val="ListParagraph"/>
        <w:numPr>
          <w:ilvl w:val="0"/>
          <w:numId w:val="47"/>
        </w:numPr>
        <w:tabs>
          <w:tab w:pos="1776" w:val="left" w:leader="none"/>
          <w:tab w:pos="1777" w:val="left" w:leader="none"/>
        </w:tabs>
        <w:spacing w:line="216" w:lineRule="auto" w:before="4" w:after="0"/>
        <w:ind w:left="1777" w:right="1362" w:hanging="810"/>
        <w:jc w:val="left"/>
        <w:rPr>
          <w:sz w:val="13"/>
        </w:rPr>
      </w:pPr>
      <w:r>
        <w:rPr>
          <w:sz w:val="13"/>
        </w:rPr>
        <w:t>Australian Government, </w:t>
      </w:r>
      <w:r>
        <w:rPr>
          <w:i/>
          <w:sz w:val="13"/>
        </w:rPr>
        <w:t>Response of Australia to the Committee on the </w:t>
      </w:r>
      <w:r>
        <w:rPr>
          <w:i/>
          <w:spacing w:val="2"/>
          <w:sz w:val="13"/>
        </w:rPr>
        <w:t>Rights </w:t>
      </w:r>
      <w:r>
        <w:rPr>
          <w:i/>
          <w:sz w:val="13"/>
        </w:rPr>
        <w:t>of Persons with Disabilities in Communication No </w:t>
      </w:r>
      <w:r>
        <w:rPr>
          <w:i/>
          <w:sz w:val="13"/>
        </w:rPr>
        <w:t>35/2016 (JH v Australia) </w:t>
      </w:r>
      <w:r>
        <w:rPr>
          <w:sz w:val="13"/>
        </w:rPr>
        <w:t>(Human </w:t>
      </w:r>
      <w:r>
        <w:rPr>
          <w:spacing w:val="2"/>
          <w:sz w:val="13"/>
        </w:rPr>
        <w:t>Rights Communication, </w:t>
      </w:r>
      <w:r>
        <w:rPr>
          <w:sz w:val="13"/>
        </w:rPr>
        <w:t>11 February 2020) 4</w:t>
      </w:r>
      <w:r>
        <w:rPr>
          <w:spacing w:val="13"/>
          <w:sz w:val="13"/>
        </w:rPr>
        <w:t> </w:t>
      </w:r>
      <w:r>
        <w:rPr>
          <w:sz w:val="13"/>
        </w:rPr>
        <w:t>[10].</w:t>
      </w:r>
    </w:p>
    <w:p>
      <w:pPr>
        <w:pStyle w:val="ListParagraph"/>
        <w:numPr>
          <w:ilvl w:val="0"/>
          <w:numId w:val="47"/>
        </w:numPr>
        <w:tabs>
          <w:tab w:pos="1777" w:val="left" w:leader="none"/>
          <w:tab w:pos="1778" w:val="left" w:leader="none"/>
        </w:tabs>
        <w:spacing w:line="216" w:lineRule="auto" w:before="1" w:after="0"/>
        <w:ind w:left="1777" w:right="1362" w:hanging="810"/>
        <w:jc w:val="left"/>
        <w:rPr>
          <w:sz w:val="13"/>
        </w:rPr>
      </w:pPr>
      <w:r>
        <w:rPr/>
        <w:pict>
          <v:shape style="position:absolute;margin-left:36pt;margin-top:3.678818pt;width:14pt;height:14.1pt;mso-position-horizontal-relative:page;mso-position-vertical-relative:paragraph;z-index:4936" type="#_x0000_t202" filled="false" stroked="false">
            <v:textbox inset="0,0,0,0">
              <w:txbxContent>
                <w:p>
                  <w:pPr>
                    <w:spacing w:line="282" w:lineRule="exact" w:before="0"/>
                    <w:ind w:left="0" w:right="0" w:firstLine="0"/>
                    <w:jc w:val="left"/>
                    <w:rPr>
                      <w:b/>
                      <w:sz w:val="24"/>
                    </w:rPr>
                  </w:pPr>
                  <w:r>
                    <w:rPr>
                      <w:b/>
                      <w:color w:val="37617A"/>
                      <w:spacing w:val="-2"/>
                      <w:sz w:val="24"/>
                    </w:rPr>
                    <w:t>48</w:t>
                  </w:r>
                </w:p>
              </w:txbxContent>
            </v:textbox>
            <w10:wrap type="none"/>
          </v:shape>
        </w:pict>
      </w:r>
      <w:r>
        <w:rPr>
          <w:sz w:val="13"/>
        </w:rPr>
        <w:t>Australian Government, </w:t>
      </w:r>
      <w:r>
        <w:rPr>
          <w:i/>
          <w:sz w:val="13"/>
        </w:rPr>
        <w:t>Response of Australia to the Committee on the </w:t>
      </w:r>
      <w:r>
        <w:rPr>
          <w:i/>
          <w:spacing w:val="2"/>
          <w:sz w:val="13"/>
        </w:rPr>
        <w:t>Rights </w:t>
      </w:r>
      <w:r>
        <w:rPr>
          <w:i/>
          <w:sz w:val="13"/>
        </w:rPr>
        <w:t>of Persons with Disabilities in Communication No </w:t>
      </w:r>
      <w:r>
        <w:rPr>
          <w:i/>
          <w:sz w:val="13"/>
        </w:rPr>
        <w:t>11/2013</w:t>
      </w:r>
      <w:r>
        <w:rPr>
          <w:i/>
          <w:spacing w:val="4"/>
          <w:sz w:val="13"/>
        </w:rPr>
        <w:t> </w:t>
      </w:r>
      <w:r>
        <w:rPr>
          <w:i/>
          <w:sz w:val="13"/>
        </w:rPr>
        <w:t>(GB</w:t>
      </w:r>
      <w:r>
        <w:rPr>
          <w:i/>
          <w:spacing w:val="4"/>
          <w:sz w:val="13"/>
        </w:rPr>
        <w:t> </w:t>
      </w:r>
      <w:r>
        <w:rPr>
          <w:i/>
          <w:sz w:val="13"/>
        </w:rPr>
        <w:t>v</w:t>
      </w:r>
      <w:r>
        <w:rPr>
          <w:i/>
          <w:spacing w:val="4"/>
          <w:sz w:val="13"/>
        </w:rPr>
        <w:t> </w:t>
      </w:r>
      <w:r>
        <w:rPr>
          <w:i/>
          <w:sz w:val="13"/>
        </w:rPr>
        <w:t>Australia)</w:t>
      </w:r>
      <w:r>
        <w:rPr>
          <w:i/>
          <w:spacing w:val="4"/>
          <w:sz w:val="13"/>
        </w:rPr>
        <w:t> </w:t>
      </w:r>
      <w:r>
        <w:rPr>
          <w:i/>
          <w:sz w:val="13"/>
        </w:rPr>
        <w:t>and</w:t>
      </w:r>
      <w:r>
        <w:rPr>
          <w:i/>
          <w:spacing w:val="4"/>
          <w:sz w:val="13"/>
        </w:rPr>
        <w:t> </w:t>
      </w:r>
      <w:r>
        <w:rPr>
          <w:i/>
          <w:sz w:val="13"/>
        </w:rPr>
        <w:t>13/2013</w:t>
      </w:r>
      <w:r>
        <w:rPr>
          <w:i/>
          <w:spacing w:val="4"/>
          <w:sz w:val="13"/>
        </w:rPr>
        <w:t> </w:t>
      </w:r>
      <w:r>
        <w:rPr>
          <w:i/>
          <w:sz w:val="13"/>
        </w:rPr>
        <w:t>(ML</w:t>
      </w:r>
      <w:r>
        <w:rPr>
          <w:i/>
          <w:spacing w:val="4"/>
          <w:sz w:val="13"/>
        </w:rPr>
        <w:t> </w:t>
      </w:r>
      <w:r>
        <w:rPr>
          <w:i/>
          <w:sz w:val="13"/>
        </w:rPr>
        <w:t>v</w:t>
      </w:r>
      <w:r>
        <w:rPr>
          <w:i/>
          <w:spacing w:val="4"/>
          <w:sz w:val="13"/>
        </w:rPr>
        <w:t> </w:t>
      </w:r>
      <w:r>
        <w:rPr>
          <w:i/>
          <w:sz w:val="13"/>
        </w:rPr>
        <w:t>Australia)</w:t>
      </w:r>
      <w:r>
        <w:rPr>
          <w:i/>
          <w:spacing w:val="5"/>
          <w:sz w:val="13"/>
        </w:rPr>
        <w:t> </w:t>
      </w:r>
      <w:r>
        <w:rPr>
          <w:sz w:val="13"/>
        </w:rPr>
        <w:t>(Human</w:t>
      </w:r>
      <w:r>
        <w:rPr>
          <w:spacing w:val="4"/>
          <w:sz w:val="13"/>
        </w:rPr>
        <w:t> </w:t>
      </w:r>
      <w:r>
        <w:rPr>
          <w:spacing w:val="2"/>
          <w:sz w:val="13"/>
        </w:rPr>
        <w:t>Rights</w:t>
      </w:r>
      <w:r>
        <w:rPr>
          <w:spacing w:val="4"/>
          <w:sz w:val="13"/>
        </w:rPr>
        <w:t> </w:t>
      </w:r>
      <w:r>
        <w:rPr>
          <w:spacing w:val="2"/>
          <w:sz w:val="13"/>
        </w:rPr>
        <w:t>Communication,</w:t>
      </w:r>
      <w:r>
        <w:rPr>
          <w:spacing w:val="4"/>
          <w:sz w:val="13"/>
        </w:rPr>
        <w:t> </w:t>
      </w:r>
      <w:r>
        <w:rPr>
          <w:sz w:val="13"/>
        </w:rPr>
        <w:t>24</w:t>
      </w:r>
      <w:r>
        <w:rPr>
          <w:spacing w:val="4"/>
          <w:sz w:val="13"/>
        </w:rPr>
        <w:t> </w:t>
      </w:r>
      <w:r>
        <w:rPr>
          <w:sz w:val="13"/>
        </w:rPr>
        <w:t>October</w:t>
      </w:r>
      <w:r>
        <w:rPr>
          <w:spacing w:val="4"/>
          <w:sz w:val="13"/>
        </w:rPr>
        <w:t> </w:t>
      </w:r>
      <w:r>
        <w:rPr>
          <w:sz w:val="13"/>
        </w:rPr>
        <w:t>2016)</w:t>
      </w:r>
      <w:r>
        <w:rPr>
          <w:spacing w:val="4"/>
          <w:sz w:val="13"/>
        </w:rPr>
        <w:t> </w:t>
      </w:r>
      <w:r>
        <w:rPr>
          <w:sz w:val="13"/>
        </w:rPr>
        <w:t>4</w:t>
      </w:r>
      <w:r>
        <w:rPr>
          <w:spacing w:val="5"/>
          <w:sz w:val="13"/>
        </w:rPr>
        <w:t> </w:t>
      </w:r>
      <w:r>
        <w:rPr>
          <w:sz w:val="13"/>
        </w:rPr>
        <w:t>[15].</w:t>
      </w:r>
    </w:p>
    <w:p>
      <w:pPr>
        <w:spacing w:after="0" w:line="216"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Heading3"/>
        <w:spacing w:before="54"/>
      </w:pPr>
      <w:bookmarkStart w:name="United Nations principles and guidelines" w:id="108"/>
      <w:bookmarkEnd w:id="108"/>
      <w:r>
        <w:rPr>
          <w:b w:val="0"/>
        </w:rPr>
      </w:r>
      <w:bookmarkStart w:name="_bookmark42" w:id="109"/>
      <w:bookmarkEnd w:id="109"/>
      <w:r>
        <w:rPr>
          <w:b w:val="0"/>
        </w:rPr>
      </w:r>
      <w:r>
        <w:rPr/>
        <w:t>Australia’s report to the Convention Committee</w:t>
      </w:r>
    </w:p>
    <w:p>
      <w:pPr>
        <w:pStyle w:val="ListParagraph"/>
        <w:numPr>
          <w:ilvl w:val="1"/>
          <w:numId w:val="12"/>
        </w:numPr>
        <w:tabs>
          <w:tab w:pos="1761" w:val="left" w:leader="none"/>
          <w:tab w:pos="1762" w:val="left" w:leader="none"/>
        </w:tabs>
        <w:spacing w:line="206" w:lineRule="auto" w:before="130" w:after="0"/>
        <w:ind w:left="1761" w:right="1205" w:hanging="794"/>
        <w:jc w:val="left"/>
        <w:rPr>
          <w:sz w:val="20"/>
        </w:rPr>
      </w:pPr>
      <w:r>
        <w:rPr>
          <w:spacing w:val="-3"/>
          <w:sz w:val="20"/>
        </w:rPr>
        <w:t>States </w:t>
      </w:r>
      <w:r>
        <w:rPr>
          <w:sz w:val="20"/>
        </w:rPr>
        <w:t>Parties to the CRPD must deliver a report to the Convention Committee two </w:t>
      </w:r>
      <w:r>
        <w:rPr>
          <w:spacing w:val="-3"/>
          <w:sz w:val="20"/>
        </w:rPr>
        <w:t>years</w:t>
      </w:r>
      <w:r>
        <w:rPr>
          <w:spacing w:val="-10"/>
          <w:sz w:val="20"/>
        </w:rPr>
        <w:t> </w:t>
      </w:r>
      <w:r>
        <w:rPr>
          <w:sz w:val="20"/>
        </w:rPr>
        <w:t>after</w:t>
      </w:r>
      <w:r>
        <w:rPr>
          <w:spacing w:val="-9"/>
          <w:sz w:val="20"/>
        </w:rPr>
        <w:t> </w:t>
      </w:r>
      <w:r>
        <w:rPr>
          <w:sz w:val="20"/>
        </w:rPr>
        <w:t>ratification,</w:t>
      </w:r>
      <w:r>
        <w:rPr>
          <w:spacing w:val="-10"/>
          <w:sz w:val="20"/>
        </w:rPr>
        <w:t> </w:t>
      </w:r>
      <w:r>
        <w:rPr>
          <w:sz w:val="20"/>
        </w:rPr>
        <w:t>and</w:t>
      </w:r>
      <w:r>
        <w:rPr>
          <w:spacing w:val="-9"/>
          <w:sz w:val="20"/>
        </w:rPr>
        <w:t> </w:t>
      </w:r>
      <w:r>
        <w:rPr>
          <w:sz w:val="20"/>
        </w:rPr>
        <w:t>then</w:t>
      </w:r>
      <w:r>
        <w:rPr>
          <w:spacing w:val="-9"/>
          <w:sz w:val="20"/>
        </w:rPr>
        <w:t> </w:t>
      </w:r>
      <w:r>
        <w:rPr>
          <w:sz w:val="20"/>
        </w:rPr>
        <w:t>every</w:t>
      </w:r>
      <w:r>
        <w:rPr>
          <w:spacing w:val="-10"/>
          <w:sz w:val="20"/>
        </w:rPr>
        <w:t> </w:t>
      </w:r>
      <w:r>
        <w:rPr>
          <w:sz w:val="20"/>
        </w:rPr>
        <w:t>four</w:t>
      </w:r>
      <w:r>
        <w:rPr>
          <w:spacing w:val="-9"/>
          <w:sz w:val="20"/>
        </w:rPr>
        <w:t> </w:t>
      </w:r>
      <w:r>
        <w:rPr>
          <w:sz w:val="20"/>
        </w:rPr>
        <w:t>years.</w:t>
      </w:r>
      <w:r>
        <w:rPr>
          <w:position w:val="7"/>
          <w:sz w:val="11"/>
        </w:rPr>
        <w:t>63</w:t>
      </w:r>
      <w:r>
        <w:rPr>
          <w:spacing w:val="14"/>
          <w:position w:val="7"/>
          <w:sz w:val="11"/>
        </w:rPr>
        <w:t> </w:t>
      </w:r>
      <w:r>
        <w:rPr>
          <w:sz w:val="20"/>
        </w:rPr>
        <w:t>The</w:t>
      </w:r>
      <w:r>
        <w:rPr>
          <w:spacing w:val="-9"/>
          <w:sz w:val="20"/>
        </w:rPr>
        <w:t> </w:t>
      </w:r>
      <w:r>
        <w:rPr>
          <w:sz w:val="20"/>
        </w:rPr>
        <w:t>reports</w:t>
      </w:r>
      <w:r>
        <w:rPr>
          <w:spacing w:val="-9"/>
          <w:sz w:val="20"/>
        </w:rPr>
        <w:t> </w:t>
      </w:r>
      <w:r>
        <w:rPr>
          <w:sz w:val="20"/>
        </w:rPr>
        <w:t>detail</w:t>
      </w:r>
      <w:r>
        <w:rPr>
          <w:spacing w:val="-10"/>
          <w:sz w:val="20"/>
        </w:rPr>
        <w:t> </w:t>
      </w:r>
      <w:r>
        <w:rPr>
          <w:spacing w:val="-3"/>
          <w:sz w:val="20"/>
        </w:rPr>
        <w:t>how</w:t>
      </w:r>
      <w:r>
        <w:rPr>
          <w:spacing w:val="-9"/>
          <w:sz w:val="20"/>
        </w:rPr>
        <w:t> </w:t>
      </w:r>
      <w:r>
        <w:rPr>
          <w:sz w:val="20"/>
        </w:rPr>
        <w:t>the</w:t>
      </w:r>
      <w:r>
        <w:rPr>
          <w:spacing w:val="-9"/>
          <w:sz w:val="20"/>
        </w:rPr>
        <w:t> </w:t>
      </w:r>
      <w:r>
        <w:rPr>
          <w:sz w:val="20"/>
        </w:rPr>
        <w:t>country</w:t>
      </w:r>
      <w:r>
        <w:rPr>
          <w:spacing w:val="-10"/>
          <w:sz w:val="20"/>
        </w:rPr>
        <w:t> </w:t>
      </w:r>
      <w:r>
        <w:rPr>
          <w:sz w:val="20"/>
        </w:rPr>
        <w:t>is implementing the</w:t>
      </w:r>
      <w:r>
        <w:rPr>
          <w:spacing w:val="-9"/>
          <w:sz w:val="20"/>
        </w:rPr>
        <w:t> </w:t>
      </w:r>
      <w:r>
        <w:rPr>
          <w:spacing w:val="-3"/>
          <w:sz w:val="20"/>
        </w:rPr>
        <w:t>CRPD.</w:t>
      </w:r>
    </w:p>
    <w:p>
      <w:pPr>
        <w:pStyle w:val="ListParagraph"/>
        <w:numPr>
          <w:ilvl w:val="1"/>
          <w:numId w:val="12"/>
        </w:numPr>
        <w:tabs>
          <w:tab w:pos="1761" w:val="left" w:leader="none"/>
          <w:tab w:pos="1762" w:val="left" w:leader="none"/>
        </w:tabs>
        <w:spacing w:line="206" w:lineRule="auto" w:before="123" w:after="0"/>
        <w:ind w:left="1761" w:right="1238" w:hanging="794"/>
        <w:jc w:val="left"/>
        <w:rPr>
          <w:sz w:val="11"/>
        </w:rPr>
      </w:pPr>
      <w:r>
        <w:rPr>
          <w:spacing w:val="-3"/>
          <w:sz w:val="20"/>
        </w:rPr>
        <w:t>Australia’s</w:t>
      </w:r>
      <w:r>
        <w:rPr>
          <w:spacing w:val="-9"/>
          <w:sz w:val="20"/>
        </w:rPr>
        <w:t> </w:t>
      </w:r>
      <w:r>
        <w:rPr>
          <w:sz w:val="20"/>
        </w:rPr>
        <w:t>most</w:t>
      </w:r>
      <w:r>
        <w:rPr>
          <w:spacing w:val="-8"/>
          <w:sz w:val="20"/>
        </w:rPr>
        <w:t> </w:t>
      </w:r>
      <w:r>
        <w:rPr>
          <w:spacing w:val="-3"/>
          <w:sz w:val="20"/>
        </w:rPr>
        <w:t>recent</w:t>
      </w:r>
      <w:r>
        <w:rPr>
          <w:spacing w:val="-8"/>
          <w:sz w:val="20"/>
        </w:rPr>
        <w:t> </w:t>
      </w:r>
      <w:r>
        <w:rPr>
          <w:sz w:val="20"/>
        </w:rPr>
        <w:t>report</w:t>
      </w:r>
      <w:r>
        <w:rPr>
          <w:spacing w:val="-8"/>
          <w:sz w:val="20"/>
        </w:rPr>
        <w:t> </w:t>
      </w:r>
      <w:r>
        <w:rPr>
          <w:sz w:val="20"/>
        </w:rPr>
        <w:t>was</w:t>
      </w:r>
      <w:r>
        <w:rPr>
          <w:spacing w:val="-8"/>
          <w:sz w:val="20"/>
        </w:rPr>
        <w:t> </w:t>
      </w:r>
      <w:r>
        <w:rPr>
          <w:sz w:val="20"/>
        </w:rPr>
        <w:t>made</w:t>
      </w:r>
      <w:r>
        <w:rPr>
          <w:spacing w:val="-8"/>
          <w:sz w:val="20"/>
        </w:rPr>
        <w:t> </w:t>
      </w:r>
      <w:r>
        <w:rPr>
          <w:sz w:val="20"/>
        </w:rPr>
        <w:t>in</w:t>
      </w:r>
      <w:r>
        <w:rPr>
          <w:spacing w:val="-9"/>
          <w:sz w:val="20"/>
        </w:rPr>
        <w:t> </w:t>
      </w:r>
      <w:r>
        <w:rPr>
          <w:sz w:val="20"/>
        </w:rPr>
        <w:t>2018.</w:t>
      </w:r>
      <w:r>
        <w:rPr>
          <w:spacing w:val="-8"/>
          <w:sz w:val="20"/>
        </w:rPr>
        <w:t> </w:t>
      </w:r>
      <w:r>
        <w:rPr>
          <w:sz w:val="20"/>
        </w:rPr>
        <w:t>Regarding</w:t>
      </w:r>
      <w:r>
        <w:rPr>
          <w:spacing w:val="-8"/>
          <w:sz w:val="20"/>
        </w:rPr>
        <w:t> </w:t>
      </w:r>
      <w:r>
        <w:rPr>
          <w:sz w:val="20"/>
        </w:rPr>
        <w:t>access</w:t>
      </w:r>
      <w:r>
        <w:rPr>
          <w:spacing w:val="-8"/>
          <w:sz w:val="20"/>
        </w:rPr>
        <w:t> </w:t>
      </w:r>
      <w:r>
        <w:rPr>
          <w:sz w:val="20"/>
        </w:rPr>
        <w:t>to</w:t>
      </w:r>
      <w:r>
        <w:rPr>
          <w:spacing w:val="-8"/>
          <w:sz w:val="20"/>
        </w:rPr>
        <w:t> </w:t>
      </w:r>
      <w:r>
        <w:rPr>
          <w:sz w:val="20"/>
        </w:rPr>
        <w:t>justice,</w:t>
      </w:r>
      <w:r>
        <w:rPr>
          <w:spacing w:val="-8"/>
          <w:sz w:val="20"/>
        </w:rPr>
        <w:t> </w:t>
      </w:r>
      <w:r>
        <w:rPr>
          <w:sz w:val="20"/>
        </w:rPr>
        <w:t>it</w:t>
      </w:r>
      <w:r>
        <w:rPr>
          <w:spacing w:val="-9"/>
          <w:sz w:val="20"/>
        </w:rPr>
        <w:t> </w:t>
      </w:r>
      <w:r>
        <w:rPr>
          <w:spacing w:val="-3"/>
          <w:sz w:val="20"/>
        </w:rPr>
        <w:t>referred </w:t>
      </w:r>
      <w:r>
        <w:rPr>
          <w:sz w:val="20"/>
        </w:rPr>
        <w:t>to </w:t>
      </w:r>
      <w:r>
        <w:rPr>
          <w:spacing w:val="-3"/>
          <w:sz w:val="20"/>
        </w:rPr>
        <w:t>recent reforms </w:t>
      </w:r>
      <w:r>
        <w:rPr>
          <w:sz w:val="20"/>
        </w:rPr>
        <w:t>in the </w:t>
      </w:r>
      <w:r>
        <w:rPr>
          <w:spacing w:val="-4"/>
          <w:sz w:val="20"/>
        </w:rPr>
        <w:t>ACT </w:t>
      </w:r>
      <w:r>
        <w:rPr>
          <w:sz w:val="20"/>
        </w:rPr>
        <w:t>to ‘facilitate the </w:t>
      </w:r>
      <w:r>
        <w:rPr>
          <w:spacing w:val="-3"/>
          <w:sz w:val="20"/>
        </w:rPr>
        <w:t>provision </w:t>
      </w:r>
      <w:r>
        <w:rPr>
          <w:sz w:val="20"/>
        </w:rPr>
        <w:t>of reasonable support to jurors with disabilities participating in the jury </w:t>
      </w:r>
      <w:r>
        <w:rPr>
          <w:spacing w:val="-3"/>
          <w:sz w:val="20"/>
        </w:rPr>
        <w:t>process’.</w:t>
      </w:r>
      <w:r>
        <w:rPr>
          <w:spacing w:val="-3"/>
          <w:position w:val="7"/>
          <w:sz w:val="11"/>
        </w:rPr>
        <w:t>64 </w:t>
      </w:r>
      <w:r>
        <w:rPr>
          <w:sz w:val="20"/>
        </w:rPr>
        <w:t>Australia also reported </w:t>
      </w:r>
      <w:r>
        <w:rPr>
          <w:spacing w:val="-3"/>
          <w:sz w:val="20"/>
        </w:rPr>
        <w:t>reforms </w:t>
      </w:r>
      <w:r>
        <w:rPr>
          <w:sz w:val="20"/>
        </w:rPr>
        <w:t>in the</w:t>
      </w:r>
      <w:r>
        <w:rPr>
          <w:spacing w:val="-10"/>
          <w:sz w:val="20"/>
        </w:rPr>
        <w:t> </w:t>
      </w:r>
      <w:r>
        <w:rPr>
          <w:sz w:val="20"/>
        </w:rPr>
        <w:t>Federal</w:t>
      </w:r>
      <w:r>
        <w:rPr>
          <w:spacing w:val="-10"/>
          <w:sz w:val="20"/>
        </w:rPr>
        <w:t> </w:t>
      </w:r>
      <w:r>
        <w:rPr>
          <w:sz w:val="20"/>
        </w:rPr>
        <w:t>Court</w:t>
      </w:r>
      <w:r>
        <w:rPr>
          <w:spacing w:val="-10"/>
          <w:sz w:val="20"/>
        </w:rPr>
        <w:t> </w:t>
      </w:r>
      <w:r>
        <w:rPr>
          <w:sz w:val="20"/>
        </w:rPr>
        <w:t>to</w:t>
      </w:r>
      <w:r>
        <w:rPr>
          <w:spacing w:val="-10"/>
          <w:sz w:val="20"/>
        </w:rPr>
        <w:t> </w:t>
      </w:r>
      <w:r>
        <w:rPr>
          <w:sz w:val="20"/>
        </w:rPr>
        <w:t>‘harmonise</w:t>
      </w:r>
      <w:r>
        <w:rPr>
          <w:spacing w:val="-10"/>
          <w:sz w:val="20"/>
        </w:rPr>
        <w:t> </w:t>
      </w:r>
      <w:r>
        <w:rPr>
          <w:sz w:val="20"/>
        </w:rPr>
        <w:t>the</w:t>
      </w:r>
      <w:r>
        <w:rPr>
          <w:spacing w:val="-10"/>
          <w:sz w:val="20"/>
        </w:rPr>
        <w:t> </w:t>
      </w:r>
      <w:r>
        <w:rPr>
          <w:sz w:val="20"/>
        </w:rPr>
        <w:t>regulation</w:t>
      </w:r>
      <w:r>
        <w:rPr>
          <w:spacing w:val="-9"/>
          <w:sz w:val="20"/>
        </w:rPr>
        <w:t> </w:t>
      </w:r>
      <w:r>
        <w:rPr>
          <w:sz w:val="20"/>
        </w:rPr>
        <w:t>of</w:t>
      </w:r>
      <w:r>
        <w:rPr>
          <w:spacing w:val="-10"/>
          <w:sz w:val="20"/>
        </w:rPr>
        <w:t> </w:t>
      </w:r>
      <w:r>
        <w:rPr>
          <w:sz w:val="20"/>
        </w:rPr>
        <w:t>the</w:t>
      </w:r>
      <w:r>
        <w:rPr>
          <w:spacing w:val="-10"/>
          <w:sz w:val="20"/>
        </w:rPr>
        <w:t> </w:t>
      </w:r>
      <w:r>
        <w:rPr>
          <w:sz w:val="20"/>
        </w:rPr>
        <w:t>Court’s</w:t>
      </w:r>
      <w:r>
        <w:rPr>
          <w:spacing w:val="-10"/>
          <w:sz w:val="20"/>
        </w:rPr>
        <w:t> </w:t>
      </w:r>
      <w:r>
        <w:rPr>
          <w:sz w:val="20"/>
        </w:rPr>
        <w:t>jury</w:t>
      </w:r>
      <w:r>
        <w:rPr>
          <w:spacing w:val="-10"/>
          <w:sz w:val="20"/>
        </w:rPr>
        <w:t> </w:t>
      </w:r>
      <w:r>
        <w:rPr>
          <w:sz w:val="20"/>
        </w:rPr>
        <w:t>composition</w:t>
      </w:r>
      <w:r>
        <w:rPr>
          <w:spacing w:val="-10"/>
          <w:sz w:val="20"/>
        </w:rPr>
        <w:t> </w:t>
      </w:r>
      <w:r>
        <w:rPr>
          <w:sz w:val="20"/>
        </w:rPr>
        <w:t>with</w:t>
      </w:r>
      <w:r>
        <w:rPr>
          <w:spacing w:val="-10"/>
          <w:sz w:val="20"/>
        </w:rPr>
        <w:t> </w:t>
      </w:r>
      <w:r>
        <w:rPr>
          <w:sz w:val="20"/>
        </w:rPr>
        <w:t>the </w:t>
      </w:r>
      <w:r>
        <w:rPr>
          <w:spacing w:val="-3"/>
          <w:sz w:val="20"/>
        </w:rPr>
        <w:t>Convention’.</w:t>
      </w:r>
      <w:r>
        <w:rPr>
          <w:spacing w:val="-3"/>
          <w:position w:val="7"/>
          <w:sz w:val="11"/>
        </w:rPr>
        <w:t>65</w:t>
      </w:r>
    </w:p>
    <w:p>
      <w:pPr>
        <w:pStyle w:val="ListParagraph"/>
        <w:numPr>
          <w:ilvl w:val="1"/>
          <w:numId w:val="12"/>
        </w:numPr>
        <w:tabs>
          <w:tab w:pos="1761" w:val="left" w:leader="none"/>
          <w:tab w:pos="1762" w:val="left" w:leader="none"/>
        </w:tabs>
        <w:spacing w:line="206" w:lineRule="auto" w:before="127" w:after="0"/>
        <w:ind w:left="1761" w:right="1591" w:hanging="794"/>
        <w:jc w:val="left"/>
        <w:rPr>
          <w:sz w:val="20"/>
        </w:rPr>
      </w:pPr>
      <w:r>
        <w:rPr>
          <w:sz w:val="20"/>
        </w:rPr>
        <w:t>In</w:t>
      </w:r>
      <w:r>
        <w:rPr>
          <w:spacing w:val="-14"/>
          <w:sz w:val="20"/>
        </w:rPr>
        <w:t> </w:t>
      </w:r>
      <w:r>
        <w:rPr>
          <w:sz w:val="20"/>
        </w:rPr>
        <w:t>2019,</w:t>
      </w:r>
      <w:r>
        <w:rPr>
          <w:spacing w:val="-14"/>
          <w:sz w:val="20"/>
        </w:rPr>
        <w:t> </w:t>
      </w:r>
      <w:r>
        <w:rPr>
          <w:sz w:val="20"/>
        </w:rPr>
        <w:t>the</w:t>
      </w:r>
      <w:r>
        <w:rPr>
          <w:spacing w:val="-14"/>
          <w:sz w:val="20"/>
        </w:rPr>
        <w:t> </w:t>
      </w:r>
      <w:r>
        <w:rPr>
          <w:sz w:val="20"/>
        </w:rPr>
        <w:t>Convention</w:t>
      </w:r>
      <w:r>
        <w:rPr>
          <w:spacing w:val="-14"/>
          <w:sz w:val="20"/>
        </w:rPr>
        <w:t> </w:t>
      </w:r>
      <w:r>
        <w:rPr>
          <w:sz w:val="20"/>
        </w:rPr>
        <w:t>Committee’s</w:t>
      </w:r>
      <w:r>
        <w:rPr>
          <w:spacing w:val="-14"/>
          <w:sz w:val="20"/>
        </w:rPr>
        <w:t> </w:t>
      </w:r>
      <w:r>
        <w:rPr>
          <w:sz w:val="20"/>
        </w:rPr>
        <w:t>concluding</w:t>
      </w:r>
      <w:r>
        <w:rPr>
          <w:spacing w:val="-14"/>
          <w:sz w:val="20"/>
        </w:rPr>
        <w:t> </w:t>
      </w:r>
      <w:r>
        <w:rPr>
          <w:sz w:val="20"/>
        </w:rPr>
        <w:t>observations</w:t>
      </w:r>
      <w:r>
        <w:rPr>
          <w:spacing w:val="-13"/>
          <w:sz w:val="20"/>
        </w:rPr>
        <w:t> </w:t>
      </w:r>
      <w:r>
        <w:rPr>
          <w:sz w:val="20"/>
        </w:rPr>
        <w:t>(in</w:t>
      </w:r>
      <w:r>
        <w:rPr>
          <w:spacing w:val="-14"/>
          <w:sz w:val="20"/>
        </w:rPr>
        <w:t> </w:t>
      </w:r>
      <w:r>
        <w:rPr>
          <w:spacing w:val="-3"/>
          <w:sz w:val="20"/>
        </w:rPr>
        <w:t>reply</w:t>
      </w:r>
      <w:r>
        <w:rPr>
          <w:spacing w:val="-14"/>
          <w:sz w:val="20"/>
        </w:rPr>
        <w:t> </w:t>
      </w:r>
      <w:r>
        <w:rPr>
          <w:sz w:val="20"/>
        </w:rPr>
        <w:t>to</w:t>
      </w:r>
      <w:r>
        <w:rPr>
          <w:spacing w:val="-14"/>
          <w:sz w:val="20"/>
        </w:rPr>
        <w:t> </w:t>
      </w:r>
      <w:r>
        <w:rPr>
          <w:sz w:val="20"/>
        </w:rPr>
        <w:t>the</w:t>
      </w:r>
      <w:r>
        <w:rPr>
          <w:spacing w:val="-14"/>
          <w:sz w:val="20"/>
        </w:rPr>
        <w:t> </w:t>
      </w:r>
      <w:r>
        <w:rPr>
          <w:sz w:val="20"/>
        </w:rPr>
        <w:t>report </w:t>
      </w:r>
      <w:r>
        <w:rPr>
          <w:spacing w:val="-3"/>
          <w:sz w:val="20"/>
        </w:rPr>
        <w:t>from </w:t>
      </w:r>
      <w:r>
        <w:rPr>
          <w:sz w:val="20"/>
        </w:rPr>
        <w:t>the Australian government) </w:t>
      </w:r>
      <w:r>
        <w:rPr>
          <w:spacing w:val="-3"/>
          <w:sz w:val="20"/>
        </w:rPr>
        <w:t>expressed </w:t>
      </w:r>
      <w:r>
        <w:rPr>
          <w:sz w:val="20"/>
        </w:rPr>
        <w:t>concern about </w:t>
      </w:r>
      <w:r>
        <w:rPr>
          <w:spacing w:val="-3"/>
          <w:sz w:val="20"/>
        </w:rPr>
        <w:t>Australia’s </w:t>
      </w:r>
      <w:r>
        <w:rPr>
          <w:spacing w:val="-2"/>
          <w:sz w:val="20"/>
        </w:rPr>
        <w:t>treatment </w:t>
      </w:r>
      <w:r>
        <w:rPr>
          <w:sz w:val="20"/>
        </w:rPr>
        <w:t>of potential jurors with disabilities, observing</w:t>
      </w:r>
      <w:r>
        <w:rPr>
          <w:spacing w:val="-25"/>
          <w:sz w:val="20"/>
        </w:rPr>
        <w:t> </w:t>
      </w:r>
      <w:r>
        <w:rPr>
          <w:sz w:val="20"/>
        </w:rPr>
        <w:t>that:</w:t>
      </w:r>
    </w:p>
    <w:p>
      <w:pPr>
        <w:spacing w:line="208" w:lineRule="auto" w:before="121"/>
        <w:ind w:left="2157" w:right="1335" w:firstLine="0"/>
        <w:jc w:val="left"/>
        <w:rPr>
          <w:sz w:val="11"/>
        </w:rPr>
      </w:pPr>
      <w:r>
        <w:rPr>
          <w:sz w:val="19"/>
        </w:rPr>
        <w:t>only some states and territories have passed legislation to support the equal participation of persons with disabilities in the jury system, while the rest and the federal Government have not done so.</w:t>
      </w:r>
      <w:r>
        <w:rPr>
          <w:position w:val="6"/>
          <w:sz w:val="11"/>
        </w:rPr>
        <w:t>66</w:t>
      </w:r>
    </w:p>
    <w:p>
      <w:pPr>
        <w:pStyle w:val="ListParagraph"/>
        <w:numPr>
          <w:ilvl w:val="1"/>
          <w:numId w:val="12"/>
        </w:numPr>
        <w:tabs>
          <w:tab w:pos="1761" w:val="left" w:leader="none"/>
          <w:tab w:pos="1762" w:val="left" w:leader="none"/>
        </w:tabs>
        <w:spacing w:line="206" w:lineRule="auto" w:before="124" w:after="0"/>
        <w:ind w:left="1761" w:right="1606" w:hanging="794"/>
        <w:jc w:val="left"/>
        <w:rPr>
          <w:sz w:val="20"/>
        </w:rPr>
      </w:pPr>
      <w:r>
        <w:rPr>
          <w:sz w:val="20"/>
        </w:rPr>
        <w:t>The Convention Committee recommended that Australia ensure effective access to justice</w:t>
      </w:r>
      <w:r>
        <w:rPr>
          <w:position w:val="7"/>
          <w:sz w:val="11"/>
        </w:rPr>
        <w:t>67 </w:t>
      </w:r>
      <w:r>
        <w:rPr>
          <w:sz w:val="20"/>
        </w:rPr>
        <w:t>through the </w:t>
      </w:r>
      <w:r>
        <w:rPr>
          <w:spacing w:val="-3"/>
          <w:sz w:val="20"/>
        </w:rPr>
        <w:t>development </w:t>
      </w:r>
      <w:r>
        <w:rPr>
          <w:sz w:val="20"/>
        </w:rPr>
        <w:t>of legislation in all states to ensure </w:t>
      </w:r>
      <w:r>
        <w:rPr>
          <w:spacing w:val="-3"/>
          <w:sz w:val="20"/>
        </w:rPr>
        <w:t>‘equal </w:t>
      </w:r>
      <w:r>
        <w:rPr>
          <w:sz w:val="20"/>
        </w:rPr>
        <w:t>participation of persons with disabilities in the jury </w:t>
      </w:r>
      <w:r>
        <w:rPr>
          <w:spacing w:val="-3"/>
          <w:sz w:val="20"/>
        </w:rPr>
        <w:t>system’.</w:t>
      </w:r>
      <w:r>
        <w:rPr>
          <w:spacing w:val="-3"/>
          <w:position w:val="7"/>
          <w:sz w:val="11"/>
        </w:rPr>
        <w:t>68 </w:t>
      </w:r>
      <w:r>
        <w:rPr>
          <w:sz w:val="20"/>
        </w:rPr>
        <w:t>Australia should do this</w:t>
      </w:r>
      <w:r>
        <w:rPr>
          <w:spacing w:val="-12"/>
          <w:sz w:val="20"/>
        </w:rPr>
        <w:t> </w:t>
      </w:r>
      <w:r>
        <w:rPr>
          <w:sz w:val="20"/>
        </w:rPr>
        <w:t>‘in</w:t>
      </w:r>
      <w:r>
        <w:rPr>
          <w:spacing w:val="-12"/>
          <w:sz w:val="20"/>
        </w:rPr>
        <w:t> </w:t>
      </w:r>
      <w:r>
        <w:rPr>
          <w:spacing w:val="-3"/>
          <w:sz w:val="20"/>
        </w:rPr>
        <w:t>close</w:t>
      </w:r>
      <w:r>
        <w:rPr>
          <w:spacing w:val="-12"/>
          <w:sz w:val="20"/>
        </w:rPr>
        <w:t> </w:t>
      </w:r>
      <w:r>
        <w:rPr>
          <w:sz w:val="20"/>
        </w:rPr>
        <w:t>consultation</w:t>
      </w:r>
      <w:r>
        <w:rPr>
          <w:spacing w:val="-11"/>
          <w:sz w:val="20"/>
        </w:rPr>
        <w:t> </w:t>
      </w:r>
      <w:r>
        <w:rPr>
          <w:sz w:val="20"/>
        </w:rPr>
        <w:t>with</w:t>
      </w:r>
      <w:r>
        <w:rPr>
          <w:spacing w:val="-12"/>
          <w:sz w:val="20"/>
        </w:rPr>
        <w:t> </w:t>
      </w:r>
      <w:r>
        <w:rPr>
          <w:sz w:val="20"/>
        </w:rPr>
        <w:t>persons</w:t>
      </w:r>
      <w:r>
        <w:rPr>
          <w:spacing w:val="-12"/>
          <w:sz w:val="20"/>
        </w:rPr>
        <w:t> </w:t>
      </w:r>
      <w:r>
        <w:rPr>
          <w:sz w:val="20"/>
        </w:rPr>
        <w:t>with</w:t>
      </w:r>
      <w:r>
        <w:rPr>
          <w:spacing w:val="-12"/>
          <w:sz w:val="20"/>
        </w:rPr>
        <w:t> </w:t>
      </w:r>
      <w:r>
        <w:rPr>
          <w:sz w:val="20"/>
        </w:rPr>
        <w:t>disabilities,</w:t>
      </w:r>
      <w:r>
        <w:rPr>
          <w:spacing w:val="-11"/>
          <w:sz w:val="20"/>
        </w:rPr>
        <w:t> </w:t>
      </w:r>
      <w:r>
        <w:rPr>
          <w:sz w:val="20"/>
        </w:rPr>
        <w:t>through</w:t>
      </w:r>
      <w:r>
        <w:rPr>
          <w:spacing w:val="-12"/>
          <w:sz w:val="20"/>
        </w:rPr>
        <w:t> </w:t>
      </w:r>
      <w:r>
        <w:rPr>
          <w:sz w:val="20"/>
        </w:rPr>
        <w:t>their</w:t>
      </w:r>
      <w:r>
        <w:rPr>
          <w:spacing w:val="-12"/>
          <w:sz w:val="20"/>
        </w:rPr>
        <w:t> </w:t>
      </w:r>
      <w:r>
        <w:rPr>
          <w:spacing w:val="-3"/>
          <w:sz w:val="20"/>
        </w:rPr>
        <w:t>representative</w:t>
      </w:r>
    </w:p>
    <w:p>
      <w:pPr>
        <w:pStyle w:val="BodyText"/>
        <w:spacing w:line="232" w:lineRule="exact"/>
        <w:ind w:left="1761"/>
      </w:pPr>
      <w:r>
        <w:rPr/>
        <w:t>organizations, [to] ensure effective access to justice for persons with disabilities, without</w:t>
      </w:r>
    </w:p>
    <w:p>
      <w:pPr>
        <w:pStyle w:val="BodyText"/>
        <w:spacing w:line="259" w:lineRule="exact"/>
        <w:ind w:left="1761"/>
        <w:rPr>
          <w:sz w:val="11"/>
        </w:rPr>
      </w:pPr>
      <w:r>
        <w:rPr/>
        <w:t>any discrimination’.</w:t>
      </w:r>
      <w:r>
        <w:rPr>
          <w:position w:val="7"/>
          <w:sz w:val="11"/>
        </w:rPr>
        <w:t>69</w:t>
      </w:r>
    </w:p>
    <w:p>
      <w:pPr>
        <w:pStyle w:val="BodyText"/>
        <w:spacing w:before="3"/>
        <w:rPr>
          <w:sz w:val="21"/>
        </w:rPr>
      </w:pPr>
    </w:p>
    <w:p>
      <w:pPr>
        <w:pStyle w:val="Heading2"/>
        <w:spacing w:line="184" w:lineRule="auto"/>
        <w:ind w:right="1335"/>
        <w:rPr>
          <w:b/>
        </w:rPr>
      </w:pPr>
      <w:r>
        <w:rPr>
          <w:b/>
          <w:color w:val="37617A"/>
        </w:rPr>
        <w:t>United Nations principles and guidelines on the rights of persons with disabilities</w:t>
      </w:r>
    </w:p>
    <w:p>
      <w:pPr>
        <w:pStyle w:val="ListParagraph"/>
        <w:numPr>
          <w:ilvl w:val="1"/>
          <w:numId w:val="12"/>
        </w:numPr>
        <w:tabs>
          <w:tab w:pos="1761" w:val="left" w:leader="none"/>
          <w:tab w:pos="1762" w:val="left" w:leader="none"/>
        </w:tabs>
        <w:spacing w:line="206" w:lineRule="auto" w:before="162" w:after="0"/>
        <w:ind w:left="1761" w:right="1216" w:hanging="794"/>
        <w:jc w:val="left"/>
        <w:rPr>
          <w:sz w:val="20"/>
        </w:rPr>
      </w:pPr>
      <w:r>
        <w:rPr>
          <w:sz w:val="20"/>
        </w:rPr>
        <w:t>The </w:t>
      </w:r>
      <w:r>
        <w:rPr>
          <w:spacing w:val="-4"/>
          <w:sz w:val="20"/>
        </w:rPr>
        <w:t>2020 </w:t>
      </w:r>
      <w:r>
        <w:rPr>
          <w:i/>
          <w:sz w:val="20"/>
        </w:rPr>
        <w:t>International Principles and Guidelines on Access </w:t>
      </w:r>
      <w:r>
        <w:rPr>
          <w:i/>
          <w:spacing w:val="-3"/>
          <w:sz w:val="20"/>
        </w:rPr>
        <w:t>to </w:t>
      </w:r>
      <w:r>
        <w:rPr>
          <w:i/>
          <w:sz w:val="20"/>
        </w:rPr>
        <w:t>Justice </w:t>
      </w:r>
      <w:r>
        <w:rPr>
          <w:i/>
          <w:spacing w:val="-3"/>
          <w:sz w:val="20"/>
        </w:rPr>
        <w:t>for </w:t>
      </w:r>
      <w:r>
        <w:rPr>
          <w:i/>
          <w:sz w:val="20"/>
        </w:rPr>
        <w:t>Persons </w:t>
      </w:r>
      <w:r>
        <w:rPr>
          <w:i/>
          <w:spacing w:val="-3"/>
          <w:sz w:val="20"/>
        </w:rPr>
        <w:t>with </w:t>
      </w:r>
      <w:r>
        <w:rPr>
          <w:i/>
          <w:sz w:val="20"/>
        </w:rPr>
        <w:t>Disabilities </w:t>
      </w:r>
      <w:r>
        <w:rPr>
          <w:sz w:val="20"/>
        </w:rPr>
        <w:t>(the Principles and Guidelines) </w:t>
      </w:r>
      <w:r>
        <w:rPr>
          <w:spacing w:val="-4"/>
          <w:sz w:val="20"/>
        </w:rPr>
        <w:t>were </w:t>
      </w:r>
      <w:r>
        <w:rPr>
          <w:sz w:val="20"/>
        </w:rPr>
        <w:t>issued </w:t>
      </w:r>
      <w:r>
        <w:rPr>
          <w:spacing w:val="-3"/>
          <w:sz w:val="20"/>
        </w:rPr>
        <w:t>by </w:t>
      </w:r>
      <w:r>
        <w:rPr>
          <w:sz w:val="20"/>
        </w:rPr>
        <w:t>the UN Special Rapporteur on the Rights of Persons with Disabilities.</w:t>
      </w:r>
      <w:r>
        <w:rPr>
          <w:position w:val="7"/>
          <w:sz w:val="11"/>
        </w:rPr>
        <w:t>70 </w:t>
      </w:r>
      <w:r>
        <w:rPr>
          <w:sz w:val="20"/>
        </w:rPr>
        <w:t>Their purpose is to guide states on </w:t>
      </w:r>
      <w:r>
        <w:rPr>
          <w:spacing w:val="-3"/>
          <w:sz w:val="20"/>
        </w:rPr>
        <w:t>how </w:t>
      </w:r>
      <w:r>
        <w:rPr>
          <w:sz w:val="20"/>
        </w:rPr>
        <w:t>to </w:t>
      </w:r>
      <w:r>
        <w:rPr>
          <w:spacing w:val="-4"/>
          <w:sz w:val="20"/>
        </w:rPr>
        <w:t>remove</w:t>
      </w:r>
      <w:r>
        <w:rPr>
          <w:spacing w:val="-12"/>
          <w:sz w:val="20"/>
        </w:rPr>
        <w:t> </w:t>
      </w:r>
      <w:r>
        <w:rPr>
          <w:sz w:val="20"/>
        </w:rPr>
        <w:t>barriers</w:t>
      </w:r>
      <w:r>
        <w:rPr>
          <w:spacing w:val="-12"/>
          <w:sz w:val="20"/>
        </w:rPr>
        <w:t> </w:t>
      </w:r>
      <w:r>
        <w:rPr>
          <w:sz w:val="20"/>
        </w:rPr>
        <w:t>to</w:t>
      </w:r>
      <w:r>
        <w:rPr>
          <w:spacing w:val="-12"/>
          <w:sz w:val="20"/>
        </w:rPr>
        <w:t> </w:t>
      </w:r>
      <w:r>
        <w:rPr>
          <w:sz w:val="20"/>
        </w:rPr>
        <w:t>justice</w:t>
      </w:r>
      <w:r>
        <w:rPr>
          <w:spacing w:val="-11"/>
          <w:sz w:val="20"/>
        </w:rPr>
        <w:t> </w:t>
      </w:r>
      <w:r>
        <w:rPr>
          <w:sz w:val="20"/>
        </w:rPr>
        <w:t>for</w:t>
      </w:r>
      <w:r>
        <w:rPr>
          <w:spacing w:val="-12"/>
          <w:sz w:val="20"/>
        </w:rPr>
        <w:t> </w:t>
      </w:r>
      <w:r>
        <w:rPr>
          <w:sz w:val="20"/>
        </w:rPr>
        <w:t>people</w:t>
      </w:r>
      <w:r>
        <w:rPr>
          <w:spacing w:val="-12"/>
          <w:sz w:val="20"/>
        </w:rPr>
        <w:t> </w:t>
      </w:r>
      <w:r>
        <w:rPr>
          <w:sz w:val="20"/>
        </w:rPr>
        <w:t>with</w:t>
      </w:r>
      <w:r>
        <w:rPr>
          <w:spacing w:val="-11"/>
          <w:sz w:val="20"/>
        </w:rPr>
        <w:t> </w:t>
      </w:r>
      <w:r>
        <w:rPr>
          <w:sz w:val="20"/>
        </w:rPr>
        <w:t>disabilities.</w:t>
      </w:r>
      <w:r>
        <w:rPr>
          <w:position w:val="7"/>
          <w:sz w:val="11"/>
        </w:rPr>
        <w:t>71</w:t>
      </w:r>
      <w:r>
        <w:rPr>
          <w:spacing w:val="13"/>
          <w:position w:val="7"/>
          <w:sz w:val="11"/>
        </w:rPr>
        <w:t> </w:t>
      </w:r>
      <w:r>
        <w:rPr>
          <w:sz w:val="20"/>
        </w:rPr>
        <w:t>They</w:t>
      </w:r>
      <w:r>
        <w:rPr>
          <w:spacing w:val="-12"/>
          <w:sz w:val="20"/>
        </w:rPr>
        <w:t> </w:t>
      </w:r>
      <w:r>
        <w:rPr>
          <w:sz w:val="20"/>
        </w:rPr>
        <w:t>specifically</w:t>
      </w:r>
      <w:r>
        <w:rPr>
          <w:spacing w:val="-12"/>
          <w:sz w:val="20"/>
        </w:rPr>
        <w:t> </w:t>
      </w:r>
      <w:r>
        <w:rPr>
          <w:spacing w:val="-3"/>
          <w:sz w:val="20"/>
        </w:rPr>
        <w:t>relate</w:t>
      </w:r>
      <w:r>
        <w:rPr>
          <w:spacing w:val="-12"/>
          <w:sz w:val="20"/>
        </w:rPr>
        <w:t> </w:t>
      </w:r>
      <w:r>
        <w:rPr>
          <w:sz w:val="20"/>
        </w:rPr>
        <w:t>to</w:t>
      </w:r>
      <w:r>
        <w:rPr>
          <w:spacing w:val="-11"/>
          <w:sz w:val="20"/>
        </w:rPr>
        <w:t> </w:t>
      </w:r>
      <w:r>
        <w:rPr>
          <w:sz w:val="20"/>
        </w:rPr>
        <w:t>access to</w:t>
      </w:r>
      <w:r>
        <w:rPr>
          <w:spacing w:val="-7"/>
          <w:sz w:val="20"/>
        </w:rPr>
        <w:t> </w:t>
      </w:r>
      <w:r>
        <w:rPr>
          <w:sz w:val="20"/>
        </w:rPr>
        <w:t>jury</w:t>
      </w:r>
      <w:r>
        <w:rPr>
          <w:spacing w:val="-6"/>
          <w:sz w:val="20"/>
        </w:rPr>
        <w:t> </w:t>
      </w:r>
      <w:r>
        <w:rPr>
          <w:sz w:val="20"/>
        </w:rPr>
        <w:t>duty</w:t>
      </w:r>
      <w:r>
        <w:rPr>
          <w:spacing w:val="-7"/>
          <w:sz w:val="20"/>
        </w:rPr>
        <w:t> </w:t>
      </w:r>
      <w:r>
        <w:rPr>
          <w:sz w:val="20"/>
        </w:rPr>
        <w:t>and</w:t>
      </w:r>
      <w:r>
        <w:rPr>
          <w:spacing w:val="-6"/>
          <w:sz w:val="20"/>
        </w:rPr>
        <w:t> </w:t>
      </w:r>
      <w:r>
        <w:rPr>
          <w:spacing w:val="-4"/>
          <w:sz w:val="20"/>
        </w:rPr>
        <w:t>have</w:t>
      </w:r>
      <w:r>
        <w:rPr>
          <w:spacing w:val="-7"/>
          <w:sz w:val="20"/>
        </w:rPr>
        <w:t> </w:t>
      </w:r>
      <w:r>
        <w:rPr>
          <w:spacing w:val="-3"/>
          <w:sz w:val="20"/>
        </w:rPr>
        <w:t>therefore</w:t>
      </w:r>
      <w:r>
        <w:rPr>
          <w:spacing w:val="-6"/>
          <w:sz w:val="20"/>
        </w:rPr>
        <w:t> </w:t>
      </w:r>
      <w:r>
        <w:rPr>
          <w:sz w:val="20"/>
        </w:rPr>
        <w:t>also</w:t>
      </w:r>
      <w:r>
        <w:rPr>
          <w:spacing w:val="-7"/>
          <w:sz w:val="20"/>
        </w:rPr>
        <w:t> </w:t>
      </w:r>
      <w:r>
        <w:rPr>
          <w:sz w:val="20"/>
        </w:rPr>
        <w:t>informed</w:t>
      </w:r>
      <w:r>
        <w:rPr>
          <w:spacing w:val="-6"/>
          <w:sz w:val="20"/>
        </w:rPr>
        <w:t> </w:t>
      </w:r>
      <w:r>
        <w:rPr>
          <w:sz w:val="20"/>
        </w:rPr>
        <w:t>the</w:t>
      </w:r>
      <w:r>
        <w:rPr>
          <w:spacing w:val="-6"/>
          <w:sz w:val="20"/>
        </w:rPr>
        <w:t> </w:t>
      </w:r>
      <w:r>
        <w:rPr>
          <w:sz w:val="20"/>
        </w:rPr>
        <w:t>recommendations</w:t>
      </w:r>
      <w:r>
        <w:rPr>
          <w:spacing w:val="-7"/>
          <w:sz w:val="20"/>
        </w:rPr>
        <w:t> </w:t>
      </w:r>
      <w:r>
        <w:rPr>
          <w:sz w:val="20"/>
        </w:rPr>
        <w:t>in</w:t>
      </w:r>
      <w:r>
        <w:rPr>
          <w:spacing w:val="-6"/>
          <w:sz w:val="20"/>
        </w:rPr>
        <w:t> </w:t>
      </w:r>
      <w:r>
        <w:rPr>
          <w:sz w:val="20"/>
        </w:rPr>
        <w:t>this</w:t>
      </w:r>
      <w:r>
        <w:rPr>
          <w:spacing w:val="-7"/>
          <w:sz w:val="20"/>
        </w:rPr>
        <w:t> </w:t>
      </w:r>
      <w:r>
        <w:rPr>
          <w:sz w:val="20"/>
        </w:rPr>
        <w:t>report.</w:t>
      </w:r>
    </w:p>
    <w:p>
      <w:pPr>
        <w:pStyle w:val="BodyText"/>
      </w:pPr>
    </w:p>
    <w:p>
      <w:pPr>
        <w:pStyle w:val="BodyText"/>
      </w:pPr>
    </w:p>
    <w:p>
      <w:pPr>
        <w:pStyle w:val="BodyText"/>
      </w:pPr>
    </w:p>
    <w:p>
      <w:pPr>
        <w:pStyle w:val="BodyText"/>
        <w:spacing w:before="6"/>
        <w:rPr>
          <w:sz w:val="28"/>
        </w:rPr>
      </w:pPr>
      <w:r>
        <w:rPr/>
        <w:pict>
          <v:line style="position:absolute;mso-position-horizontal-relative:page;mso-position-vertical-relative:paragraph;z-index:2912;mso-wrap-distance-left:0;mso-wrap-distance-right:0" from="79.370102pt,22.221729pt" to="515.905102pt,22.221729pt" stroked="true" strokeweight="1pt" strokecolor="#b6bdc8">
            <v:stroke dashstyle="solid"/>
            <w10:wrap type="topAndBottom"/>
          </v:line>
        </w:pict>
      </w:r>
    </w:p>
    <w:p>
      <w:pPr>
        <w:pStyle w:val="ListParagraph"/>
        <w:numPr>
          <w:ilvl w:val="0"/>
          <w:numId w:val="47"/>
        </w:numPr>
        <w:tabs>
          <w:tab w:pos="1768" w:val="left" w:leader="none"/>
          <w:tab w:pos="1769" w:val="left" w:leader="none"/>
        </w:tabs>
        <w:spacing w:line="216" w:lineRule="auto" w:before="107" w:after="0"/>
        <w:ind w:left="1769" w:right="1366" w:hanging="802"/>
        <w:jc w:val="left"/>
        <w:rPr>
          <w:sz w:val="13"/>
        </w:rPr>
      </w:pPr>
      <w:r>
        <w:rPr>
          <w:spacing w:val="2"/>
          <w:sz w:val="13"/>
        </w:rPr>
        <w:t>Article </w:t>
      </w:r>
      <w:r>
        <w:rPr>
          <w:sz w:val="13"/>
        </w:rPr>
        <w:t>35 provides: </w:t>
      </w:r>
      <w:r>
        <w:rPr>
          <w:spacing w:val="3"/>
          <w:sz w:val="13"/>
        </w:rPr>
        <w:t>1. </w:t>
      </w:r>
      <w:r>
        <w:rPr>
          <w:sz w:val="13"/>
        </w:rPr>
        <w:t>Each State </w:t>
      </w:r>
      <w:r>
        <w:rPr>
          <w:spacing w:val="2"/>
          <w:sz w:val="13"/>
        </w:rPr>
        <w:t>Party </w:t>
      </w:r>
      <w:r>
        <w:rPr>
          <w:sz w:val="13"/>
        </w:rPr>
        <w:t>shall submit to the Committee, through the </w:t>
      </w:r>
      <w:r>
        <w:rPr>
          <w:spacing w:val="2"/>
          <w:sz w:val="13"/>
        </w:rPr>
        <w:t>Secretary-General </w:t>
      </w:r>
      <w:r>
        <w:rPr>
          <w:sz w:val="13"/>
        </w:rPr>
        <w:t>of the United Nations, a comprehensive report on measures taken to give effect to </w:t>
      </w:r>
      <w:r>
        <w:rPr>
          <w:spacing w:val="2"/>
          <w:sz w:val="13"/>
        </w:rPr>
        <w:t>its </w:t>
      </w:r>
      <w:r>
        <w:rPr>
          <w:sz w:val="13"/>
        </w:rPr>
        <w:t>obligations under the present Convention and on the progress made in that regard, within two years after the </w:t>
      </w:r>
      <w:r>
        <w:rPr>
          <w:spacing w:val="2"/>
          <w:sz w:val="13"/>
        </w:rPr>
        <w:t>entry </w:t>
      </w:r>
      <w:r>
        <w:rPr>
          <w:sz w:val="13"/>
        </w:rPr>
        <w:t>into force of the present Convention for the State </w:t>
      </w:r>
      <w:r>
        <w:rPr>
          <w:spacing w:val="2"/>
          <w:sz w:val="13"/>
        </w:rPr>
        <w:t>Party concerned. </w:t>
      </w:r>
      <w:r>
        <w:rPr>
          <w:sz w:val="13"/>
        </w:rPr>
        <w:t>2. Thereafter, States </w:t>
      </w:r>
      <w:r>
        <w:rPr>
          <w:spacing w:val="2"/>
          <w:sz w:val="13"/>
        </w:rPr>
        <w:t>Parties </w:t>
      </w:r>
      <w:r>
        <w:rPr>
          <w:sz w:val="13"/>
        </w:rPr>
        <w:t>shall submit subsequent </w:t>
      </w:r>
      <w:r>
        <w:rPr>
          <w:spacing w:val="2"/>
          <w:sz w:val="13"/>
        </w:rPr>
        <w:t>reports </w:t>
      </w:r>
      <w:r>
        <w:rPr>
          <w:sz w:val="13"/>
        </w:rPr>
        <w:t>at least every four years and </w:t>
      </w:r>
      <w:r>
        <w:rPr>
          <w:spacing w:val="2"/>
          <w:sz w:val="13"/>
        </w:rPr>
        <w:t>further </w:t>
      </w:r>
      <w:r>
        <w:rPr>
          <w:sz w:val="13"/>
        </w:rPr>
        <w:t>whenever the Committee so requests: </w:t>
      </w: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w:t>
      </w:r>
    </w:p>
    <w:p>
      <w:pPr>
        <w:pStyle w:val="ListParagraph"/>
        <w:numPr>
          <w:ilvl w:val="0"/>
          <w:numId w:val="47"/>
        </w:numPr>
        <w:tabs>
          <w:tab w:pos="1761" w:val="left" w:leader="none"/>
          <w:tab w:pos="1762" w:val="left" w:leader="none"/>
        </w:tabs>
        <w:spacing w:line="213" w:lineRule="auto" w:before="0" w:after="0"/>
        <w:ind w:left="1761" w:right="1508" w:hanging="794"/>
        <w:jc w:val="left"/>
        <w:rPr>
          <w:sz w:val="13"/>
        </w:rPr>
      </w:pPr>
      <w:r>
        <w:rPr>
          <w:sz w:val="13"/>
        </w:rPr>
        <w:t>Committee on the Rights of Persons with </w:t>
      </w:r>
      <w:r>
        <w:rPr>
          <w:spacing w:val="2"/>
          <w:sz w:val="13"/>
        </w:rPr>
        <w:t>Disabilities, </w:t>
      </w:r>
      <w:r>
        <w:rPr>
          <w:i/>
          <w:sz w:val="13"/>
        </w:rPr>
        <w:t>Combined Second and Third Periodic </w:t>
      </w:r>
      <w:r>
        <w:rPr>
          <w:i/>
          <w:spacing w:val="2"/>
          <w:sz w:val="13"/>
        </w:rPr>
        <w:t>Reports </w:t>
      </w:r>
      <w:r>
        <w:rPr>
          <w:i/>
          <w:sz w:val="13"/>
        </w:rPr>
        <w:t>Submitted by Australia   </w:t>
      </w:r>
      <w:r>
        <w:rPr>
          <w:i/>
          <w:sz w:val="13"/>
        </w:rPr>
        <w:t>under Article 35 of the Convention </w:t>
      </w:r>
      <w:r>
        <w:rPr>
          <w:sz w:val="13"/>
        </w:rPr>
        <w:t>(UN Doc CRPD/C/AUS/2–3, 7 September 2018) 27 [174]–[175] &lt;</w:t>
      </w:r>
      <w:hyperlink r:id="rId98">
        <w:r>
          <w:rPr>
            <w:sz w:val="13"/>
          </w:rPr>
          <w:t>https://digitallibrary.un.org/</w:t>
        </w:r>
      </w:hyperlink>
      <w:hyperlink r:id="rId98">
        <w:r>
          <w:rPr>
            <w:sz w:val="13"/>
          </w:rPr>
          <w:t> record/1663867?ln=en</w:t>
        </w:r>
      </w:hyperlink>
      <w:r>
        <w:rPr>
          <w:sz w:val="13"/>
        </w:rPr>
        <w:t>&gt;.</w:t>
      </w:r>
    </w:p>
    <w:p>
      <w:pPr>
        <w:tabs>
          <w:tab w:pos="1761" w:val="left" w:leader="none"/>
        </w:tabs>
        <w:spacing w:line="152" w:lineRule="exact" w:before="0"/>
        <w:ind w:left="967" w:right="0" w:firstLine="0"/>
        <w:jc w:val="left"/>
        <w:rPr>
          <w:sz w:val="13"/>
        </w:rPr>
      </w:pPr>
      <w:r>
        <w:rPr>
          <w:sz w:val="13"/>
        </w:rPr>
        <w:t>65</w:t>
        <w:tab/>
        <w:t>Ibid [174]–[175].</w:t>
      </w:r>
    </w:p>
    <w:p>
      <w:pPr>
        <w:pStyle w:val="ListParagraph"/>
        <w:numPr>
          <w:ilvl w:val="0"/>
          <w:numId w:val="48"/>
        </w:numPr>
        <w:tabs>
          <w:tab w:pos="1760" w:val="left" w:leader="none"/>
          <w:tab w:pos="1762" w:val="left" w:leader="none"/>
        </w:tabs>
        <w:spacing w:line="213" w:lineRule="auto" w:before="2" w:after="0"/>
        <w:ind w:left="1761" w:right="1679" w:hanging="794"/>
        <w:jc w:val="left"/>
        <w:rPr>
          <w:sz w:val="13"/>
        </w:rPr>
      </w:pPr>
      <w:r>
        <w:rPr>
          <w:sz w:val="13"/>
        </w:rPr>
        <w:t>Committee on the Rights of Persons with </w:t>
      </w:r>
      <w:r>
        <w:rPr>
          <w:spacing w:val="2"/>
          <w:sz w:val="13"/>
        </w:rPr>
        <w:t>Disabilities, </w:t>
      </w:r>
      <w:r>
        <w:rPr>
          <w:i/>
          <w:sz w:val="13"/>
        </w:rPr>
        <w:t>Concluding </w:t>
      </w:r>
      <w:r>
        <w:rPr>
          <w:i/>
          <w:spacing w:val="2"/>
          <w:sz w:val="13"/>
        </w:rPr>
        <w:t>Observations </w:t>
      </w:r>
      <w:r>
        <w:rPr>
          <w:i/>
          <w:sz w:val="13"/>
        </w:rPr>
        <w:t>on the Combined Second and Third Periodic </w:t>
      </w:r>
      <w:r>
        <w:rPr>
          <w:i/>
          <w:spacing w:val="2"/>
          <w:sz w:val="13"/>
        </w:rPr>
        <w:t>Reports </w:t>
      </w:r>
      <w:r>
        <w:rPr>
          <w:i/>
          <w:sz w:val="13"/>
        </w:rPr>
        <w:t>of Australia</w:t>
      </w:r>
      <w:r>
        <w:rPr>
          <w:sz w:val="13"/>
        </w:rPr>
        <w:t>, UN Doc CRPD/C/AUS/CO/2-3 </w:t>
      </w:r>
      <w:r>
        <w:rPr>
          <w:spacing w:val="2"/>
          <w:sz w:val="13"/>
        </w:rPr>
        <w:t>(15 </w:t>
      </w:r>
      <w:r>
        <w:rPr>
          <w:sz w:val="13"/>
        </w:rPr>
        <w:t>October 2019) [25]</w:t>
      </w:r>
      <w:r>
        <w:rPr>
          <w:spacing w:val="-2"/>
          <w:sz w:val="13"/>
        </w:rPr>
        <w:t> </w:t>
      </w:r>
      <w:r>
        <w:rPr>
          <w:sz w:val="13"/>
        </w:rPr>
        <w:t>(a).</w:t>
      </w:r>
    </w:p>
    <w:p>
      <w:pPr>
        <w:pStyle w:val="ListParagraph"/>
        <w:numPr>
          <w:ilvl w:val="0"/>
          <w:numId w:val="48"/>
        </w:numPr>
        <w:tabs>
          <w:tab w:pos="1761" w:val="left" w:leader="none"/>
          <w:tab w:pos="1762" w:val="left" w:leader="none"/>
        </w:tabs>
        <w:spacing w:line="213" w:lineRule="auto" w:before="0" w:after="0"/>
        <w:ind w:left="1761" w:right="1537" w:hanging="794"/>
        <w:jc w:val="left"/>
        <w:rPr>
          <w:sz w:val="13"/>
        </w:rPr>
      </w:pPr>
      <w:r>
        <w:rPr>
          <w:sz w:val="13"/>
        </w:rPr>
        <w:t>Ibid [26]; </w:t>
      </w: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 </w:t>
      </w:r>
      <w:r>
        <w:rPr>
          <w:spacing w:val="2"/>
          <w:sz w:val="13"/>
        </w:rPr>
        <w:t>art</w:t>
      </w:r>
      <w:r>
        <w:rPr>
          <w:sz w:val="13"/>
        </w:rPr>
        <w:t> </w:t>
      </w:r>
      <w:r>
        <w:rPr>
          <w:spacing w:val="3"/>
          <w:sz w:val="13"/>
        </w:rPr>
        <w:t>13.</w:t>
      </w:r>
    </w:p>
    <w:p>
      <w:pPr>
        <w:pStyle w:val="ListParagraph"/>
        <w:numPr>
          <w:ilvl w:val="0"/>
          <w:numId w:val="48"/>
        </w:numPr>
        <w:tabs>
          <w:tab w:pos="1761" w:val="left" w:leader="none"/>
          <w:tab w:pos="1762" w:val="left" w:leader="none"/>
        </w:tabs>
        <w:spacing w:line="213" w:lineRule="auto" w:before="0" w:after="0"/>
        <w:ind w:left="1761" w:right="1679" w:hanging="794"/>
        <w:jc w:val="left"/>
        <w:rPr>
          <w:sz w:val="13"/>
        </w:rPr>
      </w:pPr>
      <w:r>
        <w:rPr>
          <w:sz w:val="13"/>
        </w:rPr>
        <w:t>Committee on the Rights of Persons with </w:t>
      </w:r>
      <w:r>
        <w:rPr>
          <w:spacing w:val="2"/>
          <w:sz w:val="13"/>
        </w:rPr>
        <w:t>Disabilities, </w:t>
      </w:r>
      <w:r>
        <w:rPr>
          <w:i/>
          <w:sz w:val="13"/>
        </w:rPr>
        <w:t>Concluding </w:t>
      </w:r>
      <w:r>
        <w:rPr>
          <w:i/>
          <w:spacing w:val="2"/>
          <w:sz w:val="13"/>
        </w:rPr>
        <w:t>Observations </w:t>
      </w:r>
      <w:r>
        <w:rPr>
          <w:i/>
          <w:sz w:val="13"/>
        </w:rPr>
        <w:t>on the Combined Second and Third Periodic </w:t>
      </w:r>
      <w:r>
        <w:rPr>
          <w:i/>
          <w:spacing w:val="2"/>
          <w:sz w:val="13"/>
        </w:rPr>
        <w:t>Reports </w:t>
      </w:r>
      <w:r>
        <w:rPr>
          <w:i/>
          <w:sz w:val="13"/>
        </w:rPr>
        <w:t>of Australia, </w:t>
      </w:r>
      <w:r>
        <w:rPr>
          <w:sz w:val="13"/>
        </w:rPr>
        <w:t>UN Doc CRPD/C/AUS/CO/2-3 </w:t>
      </w:r>
      <w:r>
        <w:rPr>
          <w:spacing w:val="2"/>
          <w:sz w:val="13"/>
        </w:rPr>
        <w:t>(15 </w:t>
      </w:r>
      <w:r>
        <w:rPr>
          <w:sz w:val="13"/>
        </w:rPr>
        <w:t>October 2019)</w:t>
      </w:r>
      <w:r>
        <w:rPr>
          <w:spacing w:val="-2"/>
          <w:sz w:val="13"/>
        </w:rPr>
        <w:t> </w:t>
      </w:r>
      <w:r>
        <w:rPr>
          <w:sz w:val="13"/>
        </w:rPr>
        <w:t>[26].</w:t>
      </w:r>
    </w:p>
    <w:p>
      <w:pPr>
        <w:pStyle w:val="ListParagraph"/>
        <w:numPr>
          <w:ilvl w:val="0"/>
          <w:numId w:val="48"/>
        </w:numPr>
        <w:tabs>
          <w:tab w:pos="1761" w:val="left" w:leader="none"/>
          <w:tab w:pos="1762" w:val="left" w:leader="none"/>
        </w:tabs>
        <w:spacing w:line="153" w:lineRule="exact" w:before="0" w:after="0"/>
        <w:ind w:left="1761" w:right="0" w:hanging="794"/>
        <w:jc w:val="left"/>
        <w:rPr>
          <w:sz w:val="13"/>
        </w:rPr>
      </w:pPr>
      <w:r>
        <w:rPr>
          <w:spacing w:val="2"/>
          <w:sz w:val="13"/>
        </w:rPr>
        <w:t>Ibid.</w:t>
      </w:r>
    </w:p>
    <w:p>
      <w:pPr>
        <w:pStyle w:val="ListParagraph"/>
        <w:numPr>
          <w:ilvl w:val="0"/>
          <w:numId w:val="48"/>
        </w:numPr>
        <w:tabs>
          <w:tab w:pos="1761" w:val="left" w:leader="none"/>
          <w:tab w:pos="1762" w:val="left" w:leader="none"/>
        </w:tabs>
        <w:spacing w:line="213" w:lineRule="auto" w:before="4" w:after="0"/>
        <w:ind w:left="1761" w:right="1422" w:hanging="794"/>
        <w:jc w:val="left"/>
        <w:rPr>
          <w:sz w:val="13"/>
        </w:rPr>
      </w:pPr>
      <w:r>
        <w:rPr>
          <w:sz w:val="13"/>
        </w:rPr>
        <w:t>United Nations, </w:t>
      </w:r>
      <w:r>
        <w:rPr>
          <w:i/>
          <w:sz w:val="13"/>
        </w:rPr>
        <w:t>International Principles and </w:t>
      </w:r>
      <w:r>
        <w:rPr>
          <w:i/>
          <w:spacing w:val="2"/>
          <w:sz w:val="13"/>
        </w:rPr>
        <w:t>Guidelines </w:t>
      </w:r>
      <w:r>
        <w:rPr>
          <w:i/>
          <w:sz w:val="13"/>
        </w:rPr>
        <w:t>on Access to Justice for Persons with Disabilities </w:t>
      </w:r>
      <w:r>
        <w:rPr>
          <w:sz w:val="13"/>
        </w:rPr>
        <w:t>(Human Rights </w:t>
      </w:r>
      <w:r>
        <w:rPr>
          <w:spacing w:val="2"/>
          <w:sz w:val="13"/>
        </w:rPr>
        <w:t>Special </w:t>
      </w:r>
      <w:r>
        <w:rPr>
          <w:sz w:val="13"/>
        </w:rPr>
        <w:t>Procedures, </w:t>
      </w:r>
      <w:r>
        <w:rPr>
          <w:spacing w:val="2"/>
          <w:sz w:val="13"/>
        </w:rPr>
        <w:t>Special Rapporteur </w:t>
      </w:r>
      <w:r>
        <w:rPr>
          <w:sz w:val="13"/>
        </w:rPr>
        <w:t>on the Rights of Persons with </w:t>
      </w:r>
      <w:r>
        <w:rPr>
          <w:spacing w:val="2"/>
          <w:sz w:val="13"/>
        </w:rPr>
        <w:t>Disabilities, </w:t>
      </w:r>
      <w:r>
        <w:rPr>
          <w:sz w:val="13"/>
        </w:rPr>
        <w:t>2020). The Human Rights Council first </w:t>
      </w:r>
      <w:r>
        <w:rPr>
          <w:spacing w:val="2"/>
          <w:sz w:val="13"/>
        </w:rPr>
        <w:t>established</w:t>
      </w:r>
      <w:r>
        <w:rPr>
          <w:spacing w:val="37"/>
          <w:sz w:val="13"/>
        </w:rPr>
        <w:t> </w:t>
      </w:r>
      <w:r>
        <w:rPr>
          <w:sz w:val="13"/>
        </w:rPr>
        <w:t>the mandate on the rights of persons with </w:t>
      </w:r>
      <w:r>
        <w:rPr>
          <w:spacing w:val="2"/>
          <w:sz w:val="13"/>
        </w:rPr>
        <w:t>disabilities </w:t>
      </w:r>
      <w:r>
        <w:rPr>
          <w:sz w:val="13"/>
        </w:rPr>
        <w:t>in </w:t>
      </w:r>
      <w:r>
        <w:rPr>
          <w:spacing w:val="3"/>
          <w:sz w:val="13"/>
        </w:rPr>
        <w:t>2014. </w:t>
      </w:r>
      <w:r>
        <w:rPr>
          <w:sz w:val="13"/>
        </w:rPr>
        <w:t>This mandate was created to: a) Strengthen efforts to recognise, promote, implement and monitor the rights of persons with </w:t>
      </w:r>
      <w:r>
        <w:rPr>
          <w:spacing w:val="2"/>
          <w:sz w:val="13"/>
        </w:rPr>
        <w:t>disabilities </w:t>
      </w:r>
      <w:r>
        <w:rPr>
          <w:sz w:val="13"/>
        </w:rPr>
        <w:t>from a human rights-based approach, in line with the Convention of the Rights of Persons with </w:t>
      </w:r>
      <w:r>
        <w:rPr>
          <w:spacing w:val="2"/>
          <w:sz w:val="13"/>
        </w:rPr>
        <w:t>Disabilities </w:t>
      </w:r>
      <w:r>
        <w:rPr>
          <w:sz w:val="13"/>
        </w:rPr>
        <w:t>and the broader human rights framework; and b) Recall the universality, indivisibility, interdependence and interrelatedness of all human rights and the </w:t>
      </w:r>
      <w:r>
        <w:rPr>
          <w:spacing w:val="2"/>
          <w:sz w:val="13"/>
        </w:rPr>
        <w:t>need </w:t>
      </w:r>
      <w:r>
        <w:rPr>
          <w:sz w:val="13"/>
        </w:rPr>
        <w:t>for persons with </w:t>
      </w:r>
      <w:r>
        <w:rPr>
          <w:spacing w:val="2"/>
          <w:sz w:val="13"/>
        </w:rPr>
        <w:t>disabilities </w:t>
      </w:r>
      <w:r>
        <w:rPr>
          <w:sz w:val="13"/>
        </w:rPr>
        <w:t>to be guaranteed the full enjoyment of these rights without discrimination: </w:t>
      </w:r>
      <w:r>
        <w:rPr>
          <w:spacing w:val="2"/>
          <w:sz w:val="13"/>
        </w:rPr>
        <w:t>‘Special Rapporteur </w:t>
      </w:r>
      <w:r>
        <w:rPr>
          <w:sz w:val="13"/>
        </w:rPr>
        <w:t>on the Rights of Persons with Disabilities’, </w:t>
      </w:r>
      <w:r>
        <w:rPr>
          <w:i/>
          <w:sz w:val="13"/>
        </w:rPr>
        <w:t>United Nations Human </w:t>
      </w:r>
      <w:r>
        <w:rPr>
          <w:i/>
          <w:spacing w:val="2"/>
          <w:sz w:val="13"/>
        </w:rPr>
        <w:t>Rights </w:t>
      </w:r>
      <w:r>
        <w:rPr>
          <w:i/>
          <w:sz w:val="13"/>
        </w:rPr>
        <w:t>Office of the High Commissioner </w:t>
      </w:r>
      <w:r>
        <w:rPr>
          <w:sz w:val="13"/>
        </w:rPr>
        <w:t>(Web Page) &lt;</w:t>
      </w:r>
      <w:hyperlink r:id="rId99">
        <w:r>
          <w:rPr>
            <w:sz w:val="13"/>
          </w:rPr>
          <w:t>https://www.ohchr.org/EN/Issues/</w:t>
        </w:r>
      </w:hyperlink>
      <w:hyperlink r:id="rId99">
        <w:r>
          <w:rPr>
            <w:sz w:val="13"/>
          </w:rPr>
          <w:t> Disability/SRDisabilities/Pages/SRDisabilitiesIndex.aspx</w:t>
        </w:r>
      </w:hyperlink>
      <w:r>
        <w:rPr>
          <w:sz w:val="13"/>
        </w:rPr>
        <w:t>&gt;.</w:t>
      </w:r>
    </w:p>
    <w:p>
      <w:pPr>
        <w:pStyle w:val="ListParagraph"/>
        <w:numPr>
          <w:ilvl w:val="0"/>
          <w:numId w:val="48"/>
        </w:numPr>
        <w:tabs>
          <w:tab w:pos="1760" w:val="left" w:leader="none"/>
          <w:tab w:pos="1762" w:val="left" w:leader="none"/>
        </w:tabs>
        <w:spacing w:line="213" w:lineRule="auto" w:before="0" w:after="0"/>
        <w:ind w:left="1760" w:right="1321" w:hanging="793"/>
        <w:jc w:val="left"/>
        <w:rPr>
          <w:sz w:val="13"/>
        </w:rPr>
      </w:pPr>
      <w:r>
        <w:rPr/>
        <w:pict>
          <v:shape style="position:absolute;margin-left:548.705627pt;margin-top:27.382589pt;width:13.8pt;height:14.1pt;mso-position-horizontal-relative:page;mso-position-vertical-relative:paragraph;z-index:4984" type="#_x0000_t202" filled="false" stroked="false">
            <v:textbox inset="0,0,0,0">
              <w:txbxContent>
                <w:p>
                  <w:pPr>
                    <w:spacing w:line="282" w:lineRule="exact" w:before="0"/>
                    <w:ind w:left="0" w:right="0" w:firstLine="0"/>
                    <w:jc w:val="left"/>
                    <w:rPr>
                      <w:b/>
                      <w:sz w:val="24"/>
                    </w:rPr>
                  </w:pPr>
                  <w:r>
                    <w:rPr>
                      <w:b/>
                      <w:color w:val="37617A"/>
                      <w:spacing w:val="-2"/>
                      <w:sz w:val="24"/>
                    </w:rPr>
                    <w:t>49</w:t>
                  </w:r>
                </w:p>
              </w:txbxContent>
            </v:textbox>
            <w10:wrap type="none"/>
          </v:shape>
        </w:pict>
      </w:r>
      <w:r>
        <w:rPr>
          <w:sz w:val="13"/>
        </w:rPr>
        <w:t>The Principles and </w:t>
      </w:r>
      <w:r>
        <w:rPr>
          <w:spacing w:val="2"/>
          <w:sz w:val="13"/>
        </w:rPr>
        <w:t>Guidelines </w:t>
      </w:r>
      <w:r>
        <w:rPr>
          <w:sz w:val="13"/>
        </w:rPr>
        <w:t>provide a ‘practical tool to </w:t>
      </w:r>
      <w:r>
        <w:rPr>
          <w:spacing w:val="2"/>
          <w:sz w:val="13"/>
        </w:rPr>
        <w:t>support </w:t>
      </w:r>
      <w:r>
        <w:rPr>
          <w:sz w:val="13"/>
        </w:rPr>
        <w:t>States in designing and implementing justice systems that provide equal access to justice for persons with </w:t>
      </w:r>
      <w:r>
        <w:rPr>
          <w:spacing w:val="2"/>
          <w:sz w:val="13"/>
        </w:rPr>
        <w:t>disabilities, </w:t>
      </w:r>
      <w:r>
        <w:rPr>
          <w:sz w:val="13"/>
        </w:rPr>
        <w:t>in line with international human rights standards’: United Nations, ‘International Principles and </w:t>
      </w:r>
      <w:r>
        <w:rPr>
          <w:spacing w:val="2"/>
          <w:sz w:val="13"/>
        </w:rPr>
        <w:t>Guidelines </w:t>
      </w:r>
      <w:r>
        <w:rPr>
          <w:sz w:val="13"/>
        </w:rPr>
        <w:t>on Access to Justice for Persons with Disabilities’, </w:t>
      </w:r>
      <w:r>
        <w:rPr>
          <w:i/>
          <w:sz w:val="13"/>
        </w:rPr>
        <w:t>United Nations Human </w:t>
      </w:r>
      <w:r>
        <w:rPr>
          <w:i/>
          <w:spacing w:val="2"/>
          <w:sz w:val="13"/>
        </w:rPr>
        <w:t>Rights </w:t>
      </w:r>
      <w:r>
        <w:rPr>
          <w:i/>
          <w:sz w:val="13"/>
        </w:rPr>
        <w:t>Office of </w:t>
      </w:r>
      <w:r>
        <w:rPr>
          <w:i/>
          <w:sz w:val="13"/>
        </w:rPr>
        <w:t>the High Commissioner </w:t>
      </w:r>
      <w:r>
        <w:rPr>
          <w:sz w:val="13"/>
        </w:rPr>
        <w:t>(Web Page) &lt;</w:t>
      </w:r>
      <w:hyperlink r:id="rId100">
        <w:r>
          <w:rPr>
            <w:sz w:val="13"/>
          </w:rPr>
          <w:t>https://www.ohchr.org/en/special-procedures/sr-disability/international-principles-and-</w:t>
        </w:r>
      </w:hyperlink>
      <w:hyperlink r:id="rId100">
        <w:r>
          <w:rPr>
            <w:sz w:val="13"/>
          </w:rPr>
          <w:t> guidelines-access-justice-persons-disabilities</w:t>
        </w:r>
      </w:hyperlink>
      <w:r>
        <w:rPr>
          <w:sz w:val="13"/>
        </w:rPr>
        <w:t>&gt;.</w:t>
      </w:r>
    </w:p>
    <w:p>
      <w:pPr>
        <w:spacing w:after="0" w:line="213" w:lineRule="auto"/>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453" w:hanging="794"/>
        <w:jc w:val="left"/>
        <w:rPr>
          <w:sz w:val="11"/>
        </w:rPr>
      </w:pPr>
      <w:bookmarkStart w:name="Community responses: Victorian laws shou" w:id="110"/>
      <w:bookmarkEnd w:id="110"/>
      <w:r>
        <w:rPr/>
      </w:r>
      <w:bookmarkStart w:name="_bookmark43" w:id="111"/>
      <w:bookmarkEnd w:id="111"/>
      <w:r>
        <w:rPr/>
      </w:r>
      <w:bookmarkStart w:name="_bookmark43" w:id="112"/>
      <w:bookmarkEnd w:id="112"/>
      <w:r>
        <w:rPr>
          <w:sz w:val="20"/>
        </w:rPr>
        <w:t>P</w:t>
      </w:r>
      <w:r>
        <w:rPr>
          <w:sz w:val="20"/>
        </w:rPr>
        <w:t>rinciple 7 concerns the rights of persons with disabilities to ‘participate in the administration</w:t>
      </w:r>
      <w:r>
        <w:rPr>
          <w:spacing w:val="-10"/>
          <w:sz w:val="20"/>
        </w:rPr>
        <w:t> </w:t>
      </w:r>
      <w:r>
        <w:rPr>
          <w:sz w:val="20"/>
        </w:rPr>
        <w:t>of</w:t>
      </w:r>
      <w:r>
        <w:rPr>
          <w:spacing w:val="-10"/>
          <w:sz w:val="20"/>
        </w:rPr>
        <w:t> </w:t>
      </w:r>
      <w:r>
        <w:rPr>
          <w:sz w:val="20"/>
        </w:rPr>
        <w:t>justice</w:t>
      </w:r>
      <w:r>
        <w:rPr>
          <w:spacing w:val="-10"/>
          <w:sz w:val="20"/>
        </w:rPr>
        <w:t> </w:t>
      </w:r>
      <w:r>
        <w:rPr>
          <w:sz w:val="20"/>
        </w:rPr>
        <w:t>on</w:t>
      </w:r>
      <w:r>
        <w:rPr>
          <w:spacing w:val="-9"/>
          <w:sz w:val="20"/>
        </w:rPr>
        <w:t> </w:t>
      </w:r>
      <w:r>
        <w:rPr>
          <w:sz w:val="20"/>
        </w:rPr>
        <w:t>an</w:t>
      </w:r>
      <w:r>
        <w:rPr>
          <w:spacing w:val="-10"/>
          <w:sz w:val="20"/>
        </w:rPr>
        <w:t> </w:t>
      </w:r>
      <w:r>
        <w:rPr>
          <w:sz w:val="20"/>
        </w:rPr>
        <w:t>equal</w:t>
      </w:r>
      <w:r>
        <w:rPr>
          <w:spacing w:val="-10"/>
          <w:sz w:val="20"/>
        </w:rPr>
        <w:t> </w:t>
      </w:r>
      <w:r>
        <w:rPr>
          <w:sz w:val="20"/>
        </w:rPr>
        <w:t>basis</w:t>
      </w:r>
      <w:r>
        <w:rPr>
          <w:spacing w:val="-9"/>
          <w:sz w:val="20"/>
        </w:rPr>
        <w:t> </w:t>
      </w:r>
      <w:r>
        <w:rPr>
          <w:sz w:val="20"/>
        </w:rPr>
        <w:t>with</w:t>
      </w:r>
      <w:r>
        <w:rPr>
          <w:spacing w:val="-10"/>
          <w:sz w:val="20"/>
        </w:rPr>
        <w:t> </w:t>
      </w:r>
      <w:r>
        <w:rPr>
          <w:spacing w:val="-4"/>
          <w:sz w:val="20"/>
        </w:rPr>
        <w:t>others’.</w:t>
      </w:r>
      <w:r>
        <w:rPr>
          <w:spacing w:val="-4"/>
          <w:position w:val="7"/>
          <w:sz w:val="11"/>
        </w:rPr>
        <w:t>72</w:t>
      </w:r>
      <w:r>
        <w:rPr>
          <w:spacing w:val="15"/>
          <w:position w:val="7"/>
          <w:sz w:val="11"/>
        </w:rPr>
        <w:t> </w:t>
      </w:r>
      <w:r>
        <w:rPr>
          <w:sz w:val="20"/>
        </w:rPr>
        <w:t>This</w:t>
      </w:r>
      <w:r>
        <w:rPr>
          <w:spacing w:val="-10"/>
          <w:sz w:val="20"/>
        </w:rPr>
        <w:t> </w:t>
      </w:r>
      <w:r>
        <w:rPr>
          <w:sz w:val="20"/>
        </w:rPr>
        <w:t>principle</w:t>
      </w:r>
      <w:r>
        <w:rPr>
          <w:spacing w:val="-10"/>
          <w:sz w:val="20"/>
        </w:rPr>
        <w:t> </w:t>
      </w:r>
      <w:r>
        <w:rPr>
          <w:sz w:val="20"/>
        </w:rPr>
        <w:t>outlines</w:t>
      </w:r>
      <w:r>
        <w:rPr>
          <w:spacing w:val="-9"/>
          <w:sz w:val="20"/>
        </w:rPr>
        <w:t> </w:t>
      </w:r>
      <w:r>
        <w:rPr>
          <w:spacing w:val="-3"/>
          <w:sz w:val="20"/>
        </w:rPr>
        <w:t>states’ </w:t>
      </w:r>
      <w:r>
        <w:rPr>
          <w:sz w:val="20"/>
        </w:rPr>
        <w:t>obligation</w:t>
      </w:r>
      <w:r>
        <w:rPr>
          <w:spacing w:val="-8"/>
          <w:sz w:val="20"/>
        </w:rPr>
        <w:t> </w:t>
      </w:r>
      <w:r>
        <w:rPr>
          <w:sz w:val="20"/>
        </w:rPr>
        <w:t>to</w:t>
      </w:r>
      <w:r>
        <w:rPr>
          <w:spacing w:val="-7"/>
          <w:sz w:val="20"/>
        </w:rPr>
        <w:t> </w:t>
      </w:r>
      <w:r>
        <w:rPr>
          <w:sz w:val="20"/>
        </w:rPr>
        <w:t>ensure</w:t>
      </w:r>
      <w:r>
        <w:rPr>
          <w:spacing w:val="-7"/>
          <w:sz w:val="20"/>
        </w:rPr>
        <w:t> </w:t>
      </w:r>
      <w:r>
        <w:rPr>
          <w:sz w:val="20"/>
        </w:rPr>
        <w:t>that</w:t>
      </w:r>
      <w:r>
        <w:rPr>
          <w:spacing w:val="-8"/>
          <w:sz w:val="20"/>
        </w:rPr>
        <w:t> </w:t>
      </w:r>
      <w:r>
        <w:rPr>
          <w:sz w:val="20"/>
        </w:rPr>
        <w:t>persons</w:t>
      </w:r>
      <w:r>
        <w:rPr>
          <w:spacing w:val="-7"/>
          <w:sz w:val="20"/>
        </w:rPr>
        <w:t> </w:t>
      </w:r>
      <w:r>
        <w:rPr>
          <w:sz w:val="20"/>
        </w:rPr>
        <w:t>with</w:t>
      </w:r>
      <w:r>
        <w:rPr>
          <w:spacing w:val="-7"/>
          <w:sz w:val="20"/>
        </w:rPr>
        <w:t> </w:t>
      </w:r>
      <w:r>
        <w:rPr>
          <w:sz w:val="20"/>
        </w:rPr>
        <w:t>disabilities</w:t>
      </w:r>
      <w:r>
        <w:rPr>
          <w:spacing w:val="-8"/>
          <w:sz w:val="20"/>
        </w:rPr>
        <w:t> </w:t>
      </w:r>
      <w:r>
        <w:rPr>
          <w:sz w:val="20"/>
        </w:rPr>
        <w:t>can</w:t>
      </w:r>
      <w:r>
        <w:rPr>
          <w:spacing w:val="-7"/>
          <w:sz w:val="20"/>
        </w:rPr>
        <w:t> </w:t>
      </w:r>
      <w:r>
        <w:rPr>
          <w:sz w:val="20"/>
        </w:rPr>
        <w:t>participate</w:t>
      </w:r>
      <w:r>
        <w:rPr>
          <w:spacing w:val="-7"/>
          <w:sz w:val="20"/>
        </w:rPr>
        <w:t> </w:t>
      </w:r>
      <w:r>
        <w:rPr>
          <w:sz w:val="20"/>
        </w:rPr>
        <w:t>as</w:t>
      </w:r>
      <w:r>
        <w:rPr>
          <w:spacing w:val="-8"/>
          <w:sz w:val="20"/>
        </w:rPr>
        <w:t> </w:t>
      </w:r>
      <w:r>
        <w:rPr>
          <w:sz w:val="20"/>
        </w:rPr>
        <w:t>jurors.</w:t>
      </w:r>
      <w:r>
        <w:rPr>
          <w:position w:val="7"/>
          <w:sz w:val="11"/>
        </w:rPr>
        <w:t>73</w:t>
      </w:r>
    </w:p>
    <w:p>
      <w:pPr>
        <w:pStyle w:val="ListParagraph"/>
        <w:numPr>
          <w:ilvl w:val="1"/>
          <w:numId w:val="12"/>
        </w:numPr>
        <w:tabs>
          <w:tab w:pos="1761" w:val="left" w:leader="none"/>
          <w:tab w:pos="1762" w:val="left" w:leader="none"/>
        </w:tabs>
        <w:spacing w:line="206" w:lineRule="auto" w:before="124" w:after="0"/>
        <w:ind w:left="1761" w:right="1288" w:hanging="794"/>
        <w:jc w:val="left"/>
        <w:rPr>
          <w:sz w:val="20"/>
        </w:rPr>
      </w:pPr>
      <w:r>
        <w:rPr>
          <w:sz w:val="20"/>
        </w:rPr>
        <w:t>The guidelines accompanying Principle 7 outline steps that the state and other authorities,</w:t>
      </w:r>
      <w:r>
        <w:rPr>
          <w:spacing w:val="-13"/>
          <w:sz w:val="20"/>
        </w:rPr>
        <w:t> </w:t>
      </w:r>
      <w:r>
        <w:rPr>
          <w:sz w:val="20"/>
        </w:rPr>
        <w:t>including</w:t>
      </w:r>
      <w:r>
        <w:rPr>
          <w:spacing w:val="-12"/>
          <w:sz w:val="20"/>
        </w:rPr>
        <w:t> </w:t>
      </w:r>
      <w:r>
        <w:rPr>
          <w:sz w:val="20"/>
        </w:rPr>
        <w:t>‘</w:t>
      </w:r>
      <w:r>
        <w:rPr>
          <w:spacing w:val="-34"/>
          <w:sz w:val="20"/>
        </w:rPr>
        <w:t> </w:t>
      </w:r>
      <w:r>
        <w:rPr>
          <w:sz w:val="20"/>
        </w:rPr>
        <w:t>judicial</w:t>
      </w:r>
      <w:r>
        <w:rPr>
          <w:spacing w:val="-12"/>
          <w:sz w:val="20"/>
        </w:rPr>
        <w:t> </w:t>
      </w:r>
      <w:r>
        <w:rPr>
          <w:sz w:val="20"/>
        </w:rPr>
        <w:t>councils</w:t>
      </w:r>
      <w:r>
        <w:rPr>
          <w:spacing w:val="-12"/>
          <w:sz w:val="20"/>
        </w:rPr>
        <w:t> </w:t>
      </w:r>
      <w:r>
        <w:rPr>
          <w:sz w:val="20"/>
        </w:rPr>
        <w:t>and</w:t>
      </w:r>
      <w:r>
        <w:rPr>
          <w:spacing w:val="-12"/>
          <w:sz w:val="20"/>
        </w:rPr>
        <w:t> </w:t>
      </w:r>
      <w:r>
        <w:rPr>
          <w:sz w:val="20"/>
        </w:rPr>
        <w:t>other</w:t>
      </w:r>
      <w:r>
        <w:rPr>
          <w:spacing w:val="-12"/>
          <w:sz w:val="20"/>
        </w:rPr>
        <w:t> </w:t>
      </w:r>
      <w:r>
        <w:rPr>
          <w:sz w:val="20"/>
        </w:rPr>
        <w:t>judicial</w:t>
      </w:r>
      <w:r>
        <w:rPr>
          <w:spacing w:val="-12"/>
          <w:sz w:val="20"/>
        </w:rPr>
        <w:t> </w:t>
      </w:r>
      <w:r>
        <w:rPr>
          <w:spacing w:val="-3"/>
          <w:sz w:val="20"/>
        </w:rPr>
        <w:t>governing</w:t>
      </w:r>
      <w:r>
        <w:rPr>
          <w:spacing w:val="-12"/>
          <w:sz w:val="20"/>
        </w:rPr>
        <w:t> </w:t>
      </w:r>
      <w:r>
        <w:rPr>
          <w:spacing w:val="-3"/>
          <w:sz w:val="20"/>
        </w:rPr>
        <w:t>bodies’,</w:t>
      </w:r>
      <w:r>
        <w:rPr>
          <w:spacing w:val="-12"/>
          <w:sz w:val="20"/>
        </w:rPr>
        <w:t> </w:t>
      </w:r>
      <w:r>
        <w:rPr>
          <w:spacing w:val="-3"/>
          <w:sz w:val="20"/>
        </w:rPr>
        <w:t>may</w:t>
      </w:r>
      <w:r>
        <w:rPr>
          <w:spacing w:val="-13"/>
          <w:sz w:val="20"/>
        </w:rPr>
        <w:t> </w:t>
      </w:r>
      <w:r>
        <w:rPr>
          <w:sz w:val="20"/>
        </w:rPr>
        <w:t>take</w:t>
      </w:r>
      <w:r>
        <w:rPr>
          <w:spacing w:val="-12"/>
          <w:sz w:val="20"/>
        </w:rPr>
        <w:t> </w:t>
      </w:r>
      <w:r>
        <w:rPr>
          <w:sz w:val="20"/>
        </w:rPr>
        <w:t>to facilitate</w:t>
      </w:r>
      <w:r>
        <w:rPr>
          <w:spacing w:val="-6"/>
          <w:sz w:val="20"/>
        </w:rPr>
        <w:t> </w:t>
      </w:r>
      <w:r>
        <w:rPr>
          <w:sz w:val="20"/>
        </w:rPr>
        <w:t>the</w:t>
      </w:r>
      <w:r>
        <w:rPr>
          <w:spacing w:val="-6"/>
          <w:sz w:val="20"/>
        </w:rPr>
        <w:t> </w:t>
      </w:r>
      <w:r>
        <w:rPr>
          <w:sz w:val="20"/>
        </w:rPr>
        <w:t>participation</w:t>
      </w:r>
      <w:r>
        <w:rPr>
          <w:spacing w:val="-6"/>
          <w:sz w:val="20"/>
        </w:rPr>
        <w:t> </w:t>
      </w:r>
      <w:r>
        <w:rPr>
          <w:sz w:val="20"/>
        </w:rPr>
        <w:t>of</w:t>
      </w:r>
      <w:r>
        <w:rPr>
          <w:spacing w:val="-6"/>
          <w:sz w:val="20"/>
        </w:rPr>
        <w:t> </w:t>
      </w:r>
      <w:r>
        <w:rPr>
          <w:sz w:val="20"/>
        </w:rPr>
        <w:t>disabled</w:t>
      </w:r>
      <w:r>
        <w:rPr>
          <w:spacing w:val="-6"/>
          <w:sz w:val="20"/>
        </w:rPr>
        <w:t> </w:t>
      </w:r>
      <w:r>
        <w:rPr>
          <w:sz w:val="20"/>
        </w:rPr>
        <w:t>people</w:t>
      </w:r>
      <w:r>
        <w:rPr>
          <w:spacing w:val="-6"/>
          <w:sz w:val="20"/>
        </w:rPr>
        <w:t> </w:t>
      </w:r>
      <w:r>
        <w:rPr>
          <w:sz w:val="20"/>
        </w:rPr>
        <w:t>on</w:t>
      </w:r>
      <w:r>
        <w:rPr>
          <w:spacing w:val="-5"/>
          <w:sz w:val="20"/>
        </w:rPr>
        <w:t> </w:t>
      </w:r>
      <w:r>
        <w:rPr>
          <w:sz w:val="20"/>
        </w:rPr>
        <w:t>juries,</w:t>
      </w:r>
      <w:r>
        <w:rPr>
          <w:spacing w:val="-6"/>
          <w:sz w:val="20"/>
        </w:rPr>
        <w:t> </w:t>
      </w:r>
      <w:r>
        <w:rPr>
          <w:sz w:val="20"/>
        </w:rPr>
        <w:t>including:</w:t>
      </w:r>
    </w:p>
    <w:p>
      <w:pPr>
        <w:pStyle w:val="ListParagraph"/>
        <w:numPr>
          <w:ilvl w:val="2"/>
          <w:numId w:val="12"/>
        </w:numPr>
        <w:tabs>
          <w:tab w:pos="2157" w:val="left" w:leader="none"/>
          <w:tab w:pos="2158" w:val="left" w:leader="none"/>
        </w:tabs>
        <w:spacing w:line="206" w:lineRule="auto" w:before="124" w:after="0"/>
        <w:ind w:left="2157" w:right="1519" w:hanging="396"/>
        <w:jc w:val="left"/>
        <w:rPr>
          <w:sz w:val="11"/>
        </w:rPr>
      </w:pPr>
      <w:r>
        <w:rPr>
          <w:spacing w:val="-3"/>
          <w:sz w:val="20"/>
        </w:rPr>
        <w:t>removing</w:t>
      </w:r>
      <w:r>
        <w:rPr>
          <w:spacing w:val="-14"/>
          <w:sz w:val="20"/>
        </w:rPr>
        <w:t> </w:t>
      </w:r>
      <w:r>
        <w:rPr>
          <w:sz w:val="20"/>
        </w:rPr>
        <w:t>all</w:t>
      </w:r>
      <w:r>
        <w:rPr>
          <w:spacing w:val="-13"/>
          <w:sz w:val="20"/>
        </w:rPr>
        <w:t> </w:t>
      </w:r>
      <w:r>
        <w:rPr>
          <w:sz w:val="20"/>
        </w:rPr>
        <w:t>barriers,</w:t>
      </w:r>
      <w:r>
        <w:rPr>
          <w:spacing w:val="-13"/>
          <w:sz w:val="20"/>
        </w:rPr>
        <w:t> </w:t>
      </w:r>
      <w:r>
        <w:rPr>
          <w:sz w:val="20"/>
        </w:rPr>
        <w:t>including</w:t>
      </w:r>
      <w:r>
        <w:rPr>
          <w:spacing w:val="-13"/>
          <w:sz w:val="20"/>
        </w:rPr>
        <w:t> </w:t>
      </w:r>
      <w:r>
        <w:rPr>
          <w:sz w:val="20"/>
        </w:rPr>
        <w:t>legislation</w:t>
      </w:r>
      <w:r>
        <w:rPr>
          <w:spacing w:val="-14"/>
          <w:sz w:val="20"/>
        </w:rPr>
        <w:t> </w:t>
      </w:r>
      <w:r>
        <w:rPr>
          <w:sz w:val="20"/>
        </w:rPr>
        <w:t>that</w:t>
      </w:r>
      <w:r>
        <w:rPr>
          <w:spacing w:val="-13"/>
          <w:sz w:val="20"/>
        </w:rPr>
        <w:t> </w:t>
      </w:r>
      <w:r>
        <w:rPr>
          <w:spacing w:val="-3"/>
          <w:sz w:val="20"/>
        </w:rPr>
        <w:t>prevents</w:t>
      </w:r>
      <w:r>
        <w:rPr>
          <w:spacing w:val="-13"/>
          <w:sz w:val="20"/>
        </w:rPr>
        <w:t> </w:t>
      </w:r>
      <w:r>
        <w:rPr>
          <w:sz w:val="20"/>
        </w:rPr>
        <w:t>persons</w:t>
      </w:r>
      <w:r>
        <w:rPr>
          <w:spacing w:val="-13"/>
          <w:sz w:val="20"/>
        </w:rPr>
        <w:t> </w:t>
      </w:r>
      <w:r>
        <w:rPr>
          <w:sz w:val="20"/>
        </w:rPr>
        <w:t>with</w:t>
      </w:r>
      <w:r>
        <w:rPr>
          <w:spacing w:val="-13"/>
          <w:sz w:val="20"/>
        </w:rPr>
        <w:t> </w:t>
      </w:r>
      <w:r>
        <w:rPr>
          <w:sz w:val="20"/>
        </w:rPr>
        <w:t>disabilities </w:t>
      </w:r>
      <w:r>
        <w:rPr>
          <w:spacing w:val="-3"/>
          <w:sz w:val="20"/>
        </w:rPr>
        <w:t>from </w:t>
      </w:r>
      <w:r>
        <w:rPr>
          <w:sz w:val="20"/>
        </w:rPr>
        <w:t>serving as</w:t>
      </w:r>
      <w:r>
        <w:rPr>
          <w:spacing w:val="-9"/>
          <w:sz w:val="20"/>
        </w:rPr>
        <w:t> </w:t>
      </w:r>
      <w:r>
        <w:rPr>
          <w:spacing w:val="-4"/>
          <w:sz w:val="20"/>
        </w:rPr>
        <w:t>jurors</w:t>
      </w:r>
      <w:r>
        <w:rPr>
          <w:spacing w:val="-4"/>
          <w:position w:val="7"/>
          <w:sz w:val="11"/>
        </w:rPr>
        <w:t>74</w:t>
      </w:r>
    </w:p>
    <w:p>
      <w:pPr>
        <w:pStyle w:val="ListParagraph"/>
        <w:numPr>
          <w:ilvl w:val="2"/>
          <w:numId w:val="12"/>
        </w:numPr>
        <w:tabs>
          <w:tab w:pos="2157" w:val="left" w:leader="none"/>
          <w:tab w:pos="2158" w:val="left" w:leader="none"/>
        </w:tabs>
        <w:spacing w:line="206" w:lineRule="auto" w:before="87" w:after="0"/>
        <w:ind w:left="2157" w:right="1900" w:hanging="396"/>
        <w:jc w:val="left"/>
        <w:rPr>
          <w:sz w:val="11"/>
        </w:rPr>
      </w:pPr>
      <w:r>
        <w:rPr>
          <w:sz w:val="20"/>
        </w:rPr>
        <w:t>ensuring</w:t>
      </w:r>
      <w:r>
        <w:rPr>
          <w:spacing w:val="-11"/>
          <w:sz w:val="20"/>
        </w:rPr>
        <w:t> </w:t>
      </w:r>
      <w:r>
        <w:rPr>
          <w:sz w:val="20"/>
        </w:rPr>
        <w:t>that</w:t>
      </w:r>
      <w:r>
        <w:rPr>
          <w:spacing w:val="-11"/>
          <w:sz w:val="20"/>
        </w:rPr>
        <w:t> </w:t>
      </w:r>
      <w:r>
        <w:rPr>
          <w:sz w:val="20"/>
        </w:rPr>
        <w:t>persons</w:t>
      </w:r>
      <w:r>
        <w:rPr>
          <w:spacing w:val="-10"/>
          <w:sz w:val="20"/>
        </w:rPr>
        <w:t> </w:t>
      </w:r>
      <w:r>
        <w:rPr>
          <w:sz w:val="20"/>
        </w:rPr>
        <w:t>with</w:t>
      </w:r>
      <w:r>
        <w:rPr>
          <w:spacing w:val="-11"/>
          <w:sz w:val="20"/>
        </w:rPr>
        <w:t> </w:t>
      </w:r>
      <w:r>
        <w:rPr>
          <w:sz w:val="20"/>
        </w:rPr>
        <w:t>disability</w:t>
      </w:r>
      <w:r>
        <w:rPr>
          <w:spacing w:val="-11"/>
          <w:sz w:val="20"/>
        </w:rPr>
        <w:t> </w:t>
      </w:r>
      <w:r>
        <w:rPr>
          <w:sz w:val="20"/>
        </w:rPr>
        <w:t>can</w:t>
      </w:r>
      <w:r>
        <w:rPr>
          <w:spacing w:val="-10"/>
          <w:sz w:val="20"/>
        </w:rPr>
        <w:t> </w:t>
      </w:r>
      <w:r>
        <w:rPr>
          <w:sz w:val="20"/>
        </w:rPr>
        <w:t>participate</w:t>
      </w:r>
      <w:r>
        <w:rPr>
          <w:spacing w:val="-11"/>
          <w:sz w:val="20"/>
        </w:rPr>
        <w:t> </w:t>
      </w:r>
      <w:r>
        <w:rPr>
          <w:sz w:val="20"/>
        </w:rPr>
        <w:t>on</w:t>
      </w:r>
      <w:r>
        <w:rPr>
          <w:spacing w:val="-11"/>
          <w:sz w:val="20"/>
        </w:rPr>
        <w:t> </w:t>
      </w:r>
      <w:r>
        <w:rPr>
          <w:sz w:val="20"/>
        </w:rPr>
        <w:t>an</w:t>
      </w:r>
      <w:r>
        <w:rPr>
          <w:spacing w:val="-10"/>
          <w:sz w:val="20"/>
        </w:rPr>
        <w:t> </w:t>
      </w:r>
      <w:r>
        <w:rPr>
          <w:sz w:val="20"/>
        </w:rPr>
        <w:t>equal</w:t>
      </w:r>
      <w:r>
        <w:rPr>
          <w:spacing w:val="-11"/>
          <w:sz w:val="20"/>
        </w:rPr>
        <w:t> </w:t>
      </w:r>
      <w:r>
        <w:rPr>
          <w:sz w:val="20"/>
        </w:rPr>
        <w:t>basis</w:t>
      </w:r>
      <w:r>
        <w:rPr>
          <w:spacing w:val="-11"/>
          <w:sz w:val="20"/>
        </w:rPr>
        <w:t> </w:t>
      </w:r>
      <w:r>
        <w:rPr>
          <w:sz w:val="20"/>
        </w:rPr>
        <w:t>in</w:t>
      </w:r>
      <w:r>
        <w:rPr>
          <w:spacing w:val="-10"/>
          <w:sz w:val="20"/>
        </w:rPr>
        <w:t> </w:t>
      </w:r>
      <w:r>
        <w:rPr>
          <w:sz w:val="20"/>
        </w:rPr>
        <w:t>the jury system </w:t>
      </w:r>
      <w:r>
        <w:rPr>
          <w:spacing w:val="-3"/>
          <w:sz w:val="20"/>
        </w:rPr>
        <w:t>by </w:t>
      </w:r>
      <w:r>
        <w:rPr>
          <w:sz w:val="20"/>
        </w:rPr>
        <w:t>ensuring the </w:t>
      </w:r>
      <w:r>
        <w:rPr>
          <w:spacing w:val="-3"/>
          <w:sz w:val="20"/>
        </w:rPr>
        <w:t>provision </w:t>
      </w:r>
      <w:r>
        <w:rPr>
          <w:sz w:val="20"/>
        </w:rPr>
        <w:t>of </w:t>
      </w:r>
      <w:r>
        <w:rPr>
          <w:spacing w:val="-3"/>
          <w:sz w:val="20"/>
        </w:rPr>
        <w:t>‘all </w:t>
      </w:r>
      <w:r>
        <w:rPr>
          <w:sz w:val="20"/>
        </w:rPr>
        <w:t>necessary support, reasonable accommodations and procedural</w:t>
      </w:r>
      <w:r>
        <w:rPr>
          <w:spacing w:val="-17"/>
          <w:sz w:val="20"/>
        </w:rPr>
        <w:t> </w:t>
      </w:r>
      <w:r>
        <w:rPr>
          <w:sz w:val="20"/>
        </w:rPr>
        <w:t>accommodations’</w:t>
      </w:r>
      <w:r>
        <w:rPr>
          <w:position w:val="7"/>
          <w:sz w:val="11"/>
        </w:rPr>
        <w:t>75</w:t>
      </w:r>
    </w:p>
    <w:p>
      <w:pPr>
        <w:pStyle w:val="ListParagraph"/>
        <w:numPr>
          <w:ilvl w:val="2"/>
          <w:numId w:val="12"/>
        </w:numPr>
        <w:tabs>
          <w:tab w:pos="2157" w:val="left" w:leader="none"/>
          <w:tab w:pos="2158" w:val="left" w:leader="none"/>
        </w:tabs>
        <w:spacing w:line="206" w:lineRule="auto" w:before="89" w:after="0"/>
        <w:ind w:left="2157" w:right="1315" w:hanging="396"/>
        <w:jc w:val="left"/>
        <w:rPr>
          <w:sz w:val="11"/>
        </w:rPr>
      </w:pPr>
      <w:r>
        <w:rPr>
          <w:sz w:val="20"/>
        </w:rPr>
        <w:t>strengthening</w:t>
      </w:r>
      <w:r>
        <w:rPr>
          <w:spacing w:val="-14"/>
          <w:sz w:val="20"/>
        </w:rPr>
        <w:t> </w:t>
      </w:r>
      <w:r>
        <w:rPr>
          <w:spacing w:val="-3"/>
          <w:sz w:val="20"/>
        </w:rPr>
        <w:t>reform</w:t>
      </w:r>
      <w:r>
        <w:rPr>
          <w:spacing w:val="-14"/>
          <w:sz w:val="20"/>
        </w:rPr>
        <w:t> </w:t>
      </w:r>
      <w:r>
        <w:rPr>
          <w:sz w:val="20"/>
        </w:rPr>
        <w:t>strategies</w:t>
      </w:r>
      <w:r>
        <w:rPr>
          <w:spacing w:val="-14"/>
          <w:sz w:val="20"/>
        </w:rPr>
        <w:t> </w:t>
      </w:r>
      <w:r>
        <w:rPr>
          <w:spacing w:val="-3"/>
          <w:sz w:val="20"/>
        </w:rPr>
        <w:t>by</w:t>
      </w:r>
      <w:r>
        <w:rPr>
          <w:spacing w:val="-14"/>
          <w:sz w:val="20"/>
        </w:rPr>
        <w:t> </w:t>
      </w:r>
      <w:r>
        <w:rPr>
          <w:sz w:val="20"/>
        </w:rPr>
        <w:t>collecting</w:t>
      </w:r>
      <w:r>
        <w:rPr>
          <w:spacing w:val="-14"/>
          <w:sz w:val="20"/>
        </w:rPr>
        <w:t> </w:t>
      </w:r>
      <w:r>
        <w:rPr>
          <w:sz w:val="20"/>
        </w:rPr>
        <w:t>disaggregated</w:t>
      </w:r>
      <w:r>
        <w:rPr>
          <w:spacing w:val="-14"/>
          <w:sz w:val="20"/>
        </w:rPr>
        <w:t> </w:t>
      </w:r>
      <w:r>
        <w:rPr>
          <w:sz w:val="20"/>
        </w:rPr>
        <w:t>data</w:t>
      </w:r>
      <w:r>
        <w:rPr>
          <w:spacing w:val="-14"/>
          <w:sz w:val="20"/>
        </w:rPr>
        <w:t> </w:t>
      </w:r>
      <w:r>
        <w:rPr>
          <w:sz w:val="20"/>
        </w:rPr>
        <w:t>on</w:t>
      </w:r>
      <w:r>
        <w:rPr>
          <w:spacing w:val="-14"/>
          <w:sz w:val="20"/>
        </w:rPr>
        <w:t> </w:t>
      </w:r>
      <w:r>
        <w:rPr>
          <w:sz w:val="20"/>
        </w:rPr>
        <w:t>persons</w:t>
      </w:r>
      <w:r>
        <w:rPr>
          <w:spacing w:val="-14"/>
          <w:sz w:val="20"/>
        </w:rPr>
        <w:t> </w:t>
      </w:r>
      <w:r>
        <w:rPr>
          <w:sz w:val="20"/>
        </w:rPr>
        <w:t>with disabilities and participation in the justice</w:t>
      </w:r>
      <w:r>
        <w:rPr>
          <w:spacing w:val="-28"/>
          <w:sz w:val="20"/>
        </w:rPr>
        <w:t> </w:t>
      </w:r>
      <w:r>
        <w:rPr>
          <w:spacing w:val="-3"/>
          <w:sz w:val="20"/>
        </w:rPr>
        <w:t>system.</w:t>
      </w:r>
      <w:r>
        <w:rPr>
          <w:spacing w:val="-3"/>
          <w:position w:val="7"/>
          <w:sz w:val="11"/>
        </w:rPr>
        <w:t>76</w:t>
      </w:r>
    </w:p>
    <w:p>
      <w:pPr>
        <w:pStyle w:val="ListParagraph"/>
        <w:numPr>
          <w:ilvl w:val="1"/>
          <w:numId w:val="12"/>
        </w:numPr>
        <w:tabs>
          <w:tab w:pos="1761" w:val="left" w:leader="none"/>
          <w:tab w:pos="1762" w:val="left" w:leader="none"/>
        </w:tabs>
        <w:spacing w:line="206" w:lineRule="auto" w:before="88" w:after="0"/>
        <w:ind w:left="1761" w:right="1407" w:hanging="794"/>
        <w:jc w:val="left"/>
        <w:rPr>
          <w:sz w:val="11"/>
        </w:rPr>
      </w:pPr>
      <w:r>
        <w:rPr>
          <w:spacing w:val="-3"/>
          <w:sz w:val="20"/>
        </w:rPr>
        <w:t>States </w:t>
      </w:r>
      <w:r>
        <w:rPr>
          <w:sz w:val="20"/>
        </w:rPr>
        <w:t>should also </w:t>
      </w:r>
      <w:r>
        <w:rPr>
          <w:spacing w:val="-3"/>
          <w:sz w:val="20"/>
        </w:rPr>
        <w:t>provide </w:t>
      </w:r>
      <w:r>
        <w:rPr>
          <w:sz w:val="20"/>
        </w:rPr>
        <w:t>legally mandated training on the rights of persons with disabilities</w:t>
      </w:r>
      <w:r>
        <w:rPr>
          <w:spacing w:val="-12"/>
          <w:sz w:val="20"/>
        </w:rPr>
        <w:t> </w:t>
      </w:r>
      <w:r>
        <w:rPr>
          <w:sz w:val="20"/>
        </w:rPr>
        <w:t>and</w:t>
      </w:r>
      <w:r>
        <w:rPr>
          <w:spacing w:val="-11"/>
          <w:sz w:val="20"/>
        </w:rPr>
        <w:t> </w:t>
      </w:r>
      <w:r>
        <w:rPr>
          <w:spacing w:val="-3"/>
          <w:sz w:val="20"/>
        </w:rPr>
        <w:t>provide</w:t>
      </w:r>
      <w:r>
        <w:rPr>
          <w:spacing w:val="-11"/>
          <w:sz w:val="20"/>
        </w:rPr>
        <w:t> </w:t>
      </w:r>
      <w:r>
        <w:rPr>
          <w:sz w:val="20"/>
        </w:rPr>
        <w:t>accommodations</w:t>
      </w:r>
      <w:r>
        <w:rPr>
          <w:spacing w:val="-11"/>
          <w:sz w:val="20"/>
        </w:rPr>
        <w:t> </w:t>
      </w:r>
      <w:r>
        <w:rPr>
          <w:sz w:val="20"/>
        </w:rPr>
        <w:t>to</w:t>
      </w:r>
      <w:r>
        <w:rPr>
          <w:spacing w:val="-11"/>
          <w:sz w:val="20"/>
        </w:rPr>
        <w:t> </w:t>
      </w:r>
      <w:r>
        <w:rPr>
          <w:spacing w:val="-2"/>
          <w:sz w:val="20"/>
        </w:rPr>
        <w:t>everyone</w:t>
      </w:r>
      <w:r>
        <w:rPr>
          <w:spacing w:val="-11"/>
          <w:sz w:val="20"/>
        </w:rPr>
        <w:t> </w:t>
      </w:r>
      <w:r>
        <w:rPr>
          <w:sz w:val="20"/>
        </w:rPr>
        <w:t>with</w:t>
      </w:r>
      <w:r>
        <w:rPr>
          <w:spacing w:val="-11"/>
          <w:sz w:val="20"/>
        </w:rPr>
        <w:t> </w:t>
      </w:r>
      <w:r>
        <w:rPr>
          <w:sz w:val="20"/>
        </w:rPr>
        <w:t>a</w:t>
      </w:r>
      <w:r>
        <w:rPr>
          <w:spacing w:val="-11"/>
          <w:sz w:val="20"/>
        </w:rPr>
        <w:t> </w:t>
      </w:r>
      <w:r>
        <w:rPr>
          <w:spacing w:val="-3"/>
          <w:sz w:val="20"/>
        </w:rPr>
        <w:t>role</w:t>
      </w:r>
      <w:r>
        <w:rPr>
          <w:spacing w:val="-11"/>
          <w:sz w:val="20"/>
        </w:rPr>
        <w:t> </w:t>
      </w:r>
      <w:r>
        <w:rPr>
          <w:sz w:val="20"/>
        </w:rPr>
        <w:t>in</w:t>
      </w:r>
      <w:r>
        <w:rPr>
          <w:spacing w:val="-11"/>
          <w:sz w:val="20"/>
        </w:rPr>
        <w:t> </w:t>
      </w:r>
      <w:r>
        <w:rPr>
          <w:sz w:val="20"/>
        </w:rPr>
        <w:t>the</w:t>
      </w:r>
      <w:r>
        <w:rPr>
          <w:spacing w:val="-11"/>
          <w:sz w:val="20"/>
        </w:rPr>
        <w:t> </w:t>
      </w:r>
      <w:r>
        <w:rPr>
          <w:sz w:val="20"/>
        </w:rPr>
        <w:t>administration of</w:t>
      </w:r>
      <w:r>
        <w:rPr>
          <w:spacing w:val="-5"/>
          <w:sz w:val="20"/>
        </w:rPr>
        <w:t> </w:t>
      </w:r>
      <w:r>
        <w:rPr>
          <w:sz w:val="20"/>
        </w:rPr>
        <w:t>justice.</w:t>
      </w:r>
      <w:r>
        <w:rPr>
          <w:position w:val="7"/>
          <w:sz w:val="11"/>
        </w:rPr>
        <w:t>77</w:t>
      </w:r>
    </w:p>
    <w:p>
      <w:pPr>
        <w:pStyle w:val="ListParagraph"/>
        <w:numPr>
          <w:ilvl w:val="1"/>
          <w:numId w:val="12"/>
        </w:numPr>
        <w:tabs>
          <w:tab w:pos="1761" w:val="left" w:leader="none"/>
          <w:tab w:pos="1762" w:val="left" w:leader="none"/>
        </w:tabs>
        <w:spacing w:line="206" w:lineRule="auto" w:before="124" w:after="0"/>
        <w:ind w:left="1761" w:right="1764" w:hanging="794"/>
        <w:jc w:val="left"/>
        <w:rPr>
          <w:sz w:val="20"/>
        </w:rPr>
      </w:pPr>
      <w:r>
        <w:rPr>
          <w:spacing w:val="-3"/>
          <w:sz w:val="20"/>
        </w:rPr>
        <w:t>Having</w:t>
      </w:r>
      <w:r>
        <w:rPr>
          <w:spacing w:val="-16"/>
          <w:sz w:val="20"/>
        </w:rPr>
        <w:t> </w:t>
      </w:r>
      <w:r>
        <w:rPr>
          <w:spacing w:val="-4"/>
          <w:sz w:val="20"/>
        </w:rPr>
        <w:t>reviewed</w:t>
      </w:r>
      <w:r>
        <w:rPr>
          <w:spacing w:val="-15"/>
          <w:sz w:val="20"/>
        </w:rPr>
        <w:t> </w:t>
      </w:r>
      <w:r>
        <w:rPr>
          <w:sz w:val="20"/>
        </w:rPr>
        <w:t>these</w:t>
      </w:r>
      <w:r>
        <w:rPr>
          <w:spacing w:val="-16"/>
          <w:sz w:val="20"/>
        </w:rPr>
        <w:t> </w:t>
      </w:r>
      <w:r>
        <w:rPr>
          <w:sz w:val="20"/>
        </w:rPr>
        <w:t>Principles</w:t>
      </w:r>
      <w:r>
        <w:rPr>
          <w:spacing w:val="-15"/>
          <w:sz w:val="20"/>
        </w:rPr>
        <w:t> </w:t>
      </w:r>
      <w:r>
        <w:rPr>
          <w:sz w:val="20"/>
        </w:rPr>
        <w:t>and</w:t>
      </w:r>
      <w:r>
        <w:rPr>
          <w:spacing w:val="-15"/>
          <w:sz w:val="20"/>
        </w:rPr>
        <w:t> </w:t>
      </w:r>
      <w:r>
        <w:rPr>
          <w:sz w:val="20"/>
        </w:rPr>
        <w:t>the</w:t>
      </w:r>
      <w:r>
        <w:rPr>
          <w:spacing w:val="-16"/>
          <w:sz w:val="20"/>
        </w:rPr>
        <w:t> </w:t>
      </w:r>
      <w:r>
        <w:rPr>
          <w:sz w:val="20"/>
        </w:rPr>
        <w:t>Convention</w:t>
      </w:r>
      <w:r>
        <w:rPr>
          <w:spacing w:val="-15"/>
          <w:sz w:val="20"/>
        </w:rPr>
        <w:t> </w:t>
      </w:r>
      <w:r>
        <w:rPr>
          <w:sz w:val="20"/>
        </w:rPr>
        <w:t>Committee’s</w:t>
      </w:r>
      <w:r>
        <w:rPr>
          <w:spacing w:val="-15"/>
          <w:sz w:val="20"/>
        </w:rPr>
        <w:t> </w:t>
      </w:r>
      <w:r>
        <w:rPr>
          <w:sz w:val="20"/>
        </w:rPr>
        <w:t>jurisprudence, Remedy Australia concludes</w:t>
      </w:r>
      <w:r>
        <w:rPr>
          <w:spacing w:val="-14"/>
          <w:sz w:val="20"/>
        </w:rPr>
        <w:t> </w:t>
      </w:r>
      <w:r>
        <w:rPr>
          <w:sz w:val="20"/>
        </w:rPr>
        <w:t>that:</w:t>
      </w:r>
    </w:p>
    <w:p>
      <w:pPr>
        <w:spacing w:line="208" w:lineRule="auto" w:before="120"/>
        <w:ind w:left="2157" w:right="1283" w:firstLine="0"/>
        <w:jc w:val="left"/>
        <w:rPr>
          <w:sz w:val="11"/>
        </w:rPr>
      </w:pPr>
      <w:r>
        <w:rPr>
          <w:sz w:val="19"/>
        </w:rPr>
        <w:t>There can be no doubt, from treaty-body jurisprudence and the most authoritative interpretations of international law, that Australia’s obligation is to provide reasonable accommodations in our courts—including interpreters and steno-captioners—to enable people with disabilities to participate in our juries and public life on an equal basis with others.</w:t>
      </w:r>
      <w:r>
        <w:rPr>
          <w:position w:val="6"/>
          <w:sz w:val="11"/>
        </w:rPr>
        <w:t>78</w:t>
      </w:r>
    </w:p>
    <w:p>
      <w:pPr>
        <w:pStyle w:val="BodyText"/>
        <w:spacing w:before="13"/>
        <w:rPr>
          <w:sz w:val="21"/>
        </w:rPr>
      </w:pPr>
    </w:p>
    <w:p>
      <w:pPr>
        <w:pStyle w:val="Heading2"/>
        <w:spacing w:line="184" w:lineRule="auto"/>
        <w:ind w:right="1277"/>
        <w:rPr>
          <w:b/>
        </w:rPr>
      </w:pPr>
      <w:r>
        <w:rPr>
          <w:b/>
          <w:color w:val="37617A"/>
        </w:rPr>
        <w:t>Community responses: Victorian laws should be reformed to respond to the recommendations of the Convention Committee</w:t>
      </w:r>
    </w:p>
    <w:p>
      <w:pPr>
        <w:pStyle w:val="ListParagraph"/>
        <w:numPr>
          <w:ilvl w:val="1"/>
          <w:numId w:val="12"/>
        </w:numPr>
        <w:tabs>
          <w:tab w:pos="1761" w:val="left" w:leader="none"/>
          <w:tab w:pos="1762" w:val="left" w:leader="none"/>
        </w:tabs>
        <w:spacing w:line="206" w:lineRule="auto" w:before="162" w:after="0"/>
        <w:ind w:left="1761" w:right="1512" w:hanging="794"/>
        <w:jc w:val="left"/>
        <w:rPr>
          <w:sz w:val="20"/>
        </w:rPr>
      </w:pPr>
      <w:r>
        <w:rPr>
          <w:sz w:val="20"/>
        </w:rPr>
        <w:t>Community members </w:t>
      </w:r>
      <w:r>
        <w:rPr>
          <w:spacing w:val="-3"/>
          <w:sz w:val="20"/>
        </w:rPr>
        <w:t>told </w:t>
      </w:r>
      <w:r>
        <w:rPr>
          <w:sz w:val="20"/>
        </w:rPr>
        <w:t>us that they want </w:t>
      </w:r>
      <w:r>
        <w:rPr>
          <w:spacing w:val="-3"/>
          <w:sz w:val="20"/>
        </w:rPr>
        <w:t>Victoria’s </w:t>
      </w:r>
      <w:r>
        <w:rPr>
          <w:sz w:val="20"/>
        </w:rPr>
        <w:t>jury </w:t>
      </w:r>
      <w:r>
        <w:rPr>
          <w:spacing w:val="-3"/>
          <w:sz w:val="20"/>
        </w:rPr>
        <w:t>laws </w:t>
      </w:r>
      <w:r>
        <w:rPr>
          <w:sz w:val="20"/>
        </w:rPr>
        <w:t>to be reformed so they</w:t>
      </w:r>
      <w:r>
        <w:rPr>
          <w:spacing w:val="-11"/>
          <w:sz w:val="20"/>
        </w:rPr>
        <w:t> </w:t>
      </w:r>
      <w:r>
        <w:rPr>
          <w:spacing w:val="-3"/>
          <w:sz w:val="20"/>
        </w:rPr>
        <w:t>are</w:t>
      </w:r>
      <w:r>
        <w:rPr>
          <w:spacing w:val="-11"/>
          <w:sz w:val="20"/>
        </w:rPr>
        <w:t> </w:t>
      </w:r>
      <w:r>
        <w:rPr>
          <w:sz w:val="20"/>
        </w:rPr>
        <w:t>in</w:t>
      </w:r>
      <w:r>
        <w:rPr>
          <w:spacing w:val="-10"/>
          <w:sz w:val="20"/>
        </w:rPr>
        <w:t> </w:t>
      </w:r>
      <w:r>
        <w:rPr>
          <w:sz w:val="20"/>
        </w:rPr>
        <w:t>line</w:t>
      </w:r>
      <w:r>
        <w:rPr>
          <w:spacing w:val="-11"/>
          <w:sz w:val="20"/>
        </w:rPr>
        <w:t> </w:t>
      </w:r>
      <w:r>
        <w:rPr>
          <w:sz w:val="20"/>
        </w:rPr>
        <w:t>with</w:t>
      </w:r>
      <w:r>
        <w:rPr>
          <w:spacing w:val="-10"/>
          <w:sz w:val="20"/>
        </w:rPr>
        <w:t> </w:t>
      </w:r>
      <w:r>
        <w:rPr>
          <w:sz w:val="20"/>
        </w:rPr>
        <w:t>international</w:t>
      </w:r>
      <w:r>
        <w:rPr>
          <w:spacing w:val="-11"/>
          <w:sz w:val="20"/>
        </w:rPr>
        <w:t> </w:t>
      </w:r>
      <w:r>
        <w:rPr>
          <w:sz w:val="20"/>
        </w:rPr>
        <w:t>human</w:t>
      </w:r>
      <w:r>
        <w:rPr>
          <w:spacing w:val="-10"/>
          <w:sz w:val="20"/>
        </w:rPr>
        <w:t> </w:t>
      </w:r>
      <w:r>
        <w:rPr>
          <w:sz w:val="20"/>
        </w:rPr>
        <w:t>rights</w:t>
      </w:r>
      <w:r>
        <w:rPr>
          <w:spacing w:val="-11"/>
          <w:sz w:val="20"/>
        </w:rPr>
        <w:t> </w:t>
      </w:r>
      <w:r>
        <w:rPr>
          <w:sz w:val="20"/>
        </w:rPr>
        <w:t>laws.</w:t>
      </w:r>
      <w:r>
        <w:rPr>
          <w:spacing w:val="-10"/>
          <w:sz w:val="20"/>
        </w:rPr>
        <w:t> </w:t>
      </w:r>
      <w:r>
        <w:rPr>
          <w:spacing w:val="-3"/>
          <w:sz w:val="20"/>
        </w:rPr>
        <w:t>For</w:t>
      </w:r>
      <w:r>
        <w:rPr>
          <w:spacing w:val="-11"/>
          <w:sz w:val="20"/>
        </w:rPr>
        <w:t> </w:t>
      </w:r>
      <w:r>
        <w:rPr>
          <w:spacing w:val="-3"/>
          <w:sz w:val="20"/>
        </w:rPr>
        <w:t>example,</w:t>
      </w:r>
      <w:r>
        <w:rPr>
          <w:spacing w:val="-10"/>
          <w:sz w:val="20"/>
        </w:rPr>
        <w:t> </w:t>
      </w:r>
      <w:r>
        <w:rPr>
          <w:sz w:val="20"/>
        </w:rPr>
        <w:t>a</w:t>
      </w:r>
      <w:r>
        <w:rPr>
          <w:spacing w:val="-11"/>
          <w:sz w:val="20"/>
        </w:rPr>
        <w:t> </w:t>
      </w:r>
      <w:r>
        <w:rPr>
          <w:sz w:val="20"/>
        </w:rPr>
        <w:t>participant</w:t>
      </w:r>
      <w:r>
        <w:rPr>
          <w:spacing w:val="-10"/>
          <w:sz w:val="20"/>
        </w:rPr>
        <w:t> </w:t>
      </w:r>
      <w:r>
        <w:rPr>
          <w:sz w:val="20"/>
        </w:rPr>
        <w:t>in</w:t>
      </w:r>
      <w:r>
        <w:rPr>
          <w:spacing w:val="-11"/>
          <w:sz w:val="20"/>
        </w:rPr>
        <w:t> </w:t>
      </w:r>
      <w:r>
        <w:rPr>
          <w:sz w:val="20"/>
        </w:rPr>
        <w:t>our consultation with Deaf Victoria</w:t>
      </w:r>
      <w:r>
        <w:rPr>
          <w:spacing w:val="-19"/>
          <w:sz w:val="20"/>
        </w:rPr>
        <w:t> </w:t>
      </w:r>
      <w:r>
        <w:rPr>
          <w:sz w:val="20"/>
        </w:rPr>
        <w:t>commented:</w:t>
      </w:r>
    </w:p>
    <w:p>
      <w:pPr>
        <w:spacing w:line="208" w:lineRule="auto" w:before="122"/>
        <w:ind w:left="2157" w:right="1277" w:firstLine="0"/>
        <w:jc w:val="left"/>
        <w:rPr>
          <w:sz w:val="11"/>
        </w:rPr>
      </w:pPr>
      <w:r>
        <w:rPr>
          <w:sz w:val="19"/>
        </w:rPr>
        <w:t>It is important that deaf/hard of hearing people can take part in the legal system and feel equal to the rest of the community. This is a human rights issue because deaf people have been excluded from the community for such a long time.</w:t>
      </w:r>
      <w:r>
        <w:rPr>
          <w:position w:val="6"/>
          <w:sz w:val="11"/>
        </w:rPr>
        <w:t>79</w:t>
      </w:r>
    </w:p>
    <w:p>
      <w:pPr>
        <w:pStyle w:val="ListParagraph"/>
        <w:numPr>
          <w:ilvl w:val="1"/>
          <w:numId w:val="12"/>
        </w:numPr>
        <w:tabs>
          <w:tab w:pos="1761" w:val="left" w:leader="none"/>
          <w:tab w:pos="1762" w:val="left" w:leader="none"/>
        </w:tabs>
        <w:spacing w:line="206" w:lineRule="auto" w:before="124" w:after="0"/>
        <w:ind w:left="1761" w:right="1810" w:hanging="794"/>
        <w:jc w:val="left"/>
        <w:rPr>
          <w:sz w:val="20"/>
        </w:rPr>
      </w:pPr>
      <w:r>
        <w:rPr>
          <w:sz w:val="20"/>
        </w:rPr>
        <w:t>The Castan Centre for Human Rights Law (Castan </w:t>
      </w:r>
      <w:r>
        <w:rPr>
          <w:spacing w:val="-3"/>
          <w:sz w:val="20"/>
        </w:rPr>
        <w:t>Centre) </w:t>
      </w:r>
      <w:r>
        <w:rPr>
          <w:sz w:val="20"/>
        </w:rPr>
        <w:t>identified that the ‘issue</w:t>
      </w:r>
      <w:r>
        <w:rPr>
          <w:spacing w:val="-9"/>
          <w:sz w:val="20"/>
        </w:rPr>
        <w:t> </w:t>
      </w:r>
      <w:r>
        <w:rPr>
          <w:sz w:val="20"/>
        </w:rPr>
        <w:t>of</w:t>
      </w:r>
      <w:r>
        <w:rPr>
          <w:spacing w:val="-9"/>
          <w:sz w:val="20"/>
        </w:rPr>
        <w:t> </w:t>
      </w:r>
      <w:r>
        <w:rPr>
          <w:spacing w:val="-3"/>
          <w:sz w:val="20"/>
        </w:rPr>
        <w:t>inclusive</w:t>
      </w:r>
      <w:r>
        <w:rPr>
          <w:spacing w:val="-9"/>
          <w:sz w:val="20"/>
        </w:rPr>
        <w:t> </w:t>
      </w:r>
      <w:r>
        <w:rPr>
          <w:sz w:val="20"/>
        </w:rPr>
        <w:t>juries</w:t>
      </w:r>
      <w:r>
        <w:rPr>
          <w:spacing w:val="-9"/>
          <w:sz w:val="20"/>
        </w:rPr>
        <w:t> </w:t>
      </w:r>
      <w:r>
        <w:rPr>
          <w:sz w:val="20"/>
        </w:rPr>
        <w:t>goes</w:t>
      </w:r>
      <w:r>
        <w:rPr>
          <w:spacing w:val="-9"/>
          <w:sz w:val="20"/>
        </w:rPr>
        <w:t> </w:t>
      </w:r>
      <w:r>
        <w:rPr>
          <w:sz w:val="20"/>
        </w:rPr>
        <w:t>to</w:t>
      </w:r>
      <w:r>
        <w:rPr>
          <w:spacing w:val="-9"/>
          <w:sz w:val="20"/>
        </w:rPr>
        <w:t> </w:t>
      </w:r>
      <w:r>
        <w:rPr>
          <w:sz w:val="20"/>
        </w:rPr>
        <w:t>the</w:t>
      </w:r>
      <w:r>
        <w:rPr>
          <w:spacing w:val="-9"/>
          <w:sz w:val="20"/>
        </w:rPr>
        <w:t> </w:t>
      </w:r>
      <w:r>
        <w:rPr>
          <w:sz w:val="20"/>
        </w:rPr>
        <w:t>heart</w:t>
      </w:r>
      <w:r>
        <w:rPr>
          <w:spacing w:val="-9"/>
          <w:sz w:val="20"/>
        </w:rPr>
        <w:t> </w:t>
      </w:r>
      <w:r>
        <w:rPr>
          <w:sz w:val="20"/>
        </w:rPr>
        <w:t>of</w:t>
      </w:r>
      <w:r>
        <w:rPr>
          <w:spacing w:val="-9"/>
          <w:sz w:val="20"/>
        </w:rPr>
        <w:t> </w:t>
      </w:r>
      <w:r>
        <w:rPr>
          <w:sz w:val="20"/>
        </w:rPr>
        <w:t>what</w:t>
      </w:r>
      <w:r>
        <w:rPr>
          <w:spacing w:val="-9"/>
          <w:sz w:val="20"/>
        </w:rPr>
        <w:t> </w:t>
      </w:r>
      <w:r>
        <w:rPr>
          <w:sz w:val="20"/>
        </w:rPr>
        <w:t>[the</w:t>
      </w:r>
      <w:r>
        <w:rPr>
          <w:spacing w:val="-9"/>
          <w:sz w:val="20"/>
        </w:rPr>
        <w:t> </w:t>
      </w:r>
      <w:r>
        <w:rPr>
          <w:sz w:val="20"/>
        </w:rPr>
        <w:t>CRPD]</w:t>
      </w:r>
      <w:r>
        <w:rPr>
          <w:spacing w:val="-9"/>
          <w:sz w:val="20"/>
        </w:rPr>
        <w:t> </w:t>
      </w:r>
      <w:r>
        <w:rPr>
          <w:sz w:val="20"/>
        </w:rPr>
        <w:t>stands</w:t>
      </w:r>
      <w:r>
        <w:rPr>
          <w:spacing w:val="-9"/>
          <w:sz w:val="20"/>
        </w:rPr>
        <w:t> </w:t>
      </w:r>
      <w:r>
        <w:rPr>
          <w:spacing w:val="-5"/>
          <w:sz w:val="20"/>
        </w:rPr>
        <w:t>for,</w:t>
      </w:r>
      <w:r>
        <w:rPr>
          <w:spacing w:val="-9"/>
          <w:sz w:val="20"/>
        </w:rPr>
        <w:t> </w:t>
      </w:r>
      <w:r>
        <w:rPr>
          <w:sz w:val="20"/>
        </w:rPr>
        <w:t>including the</w:t>
      </w:r>
      <w:r>
        <w:rPr>
          <w:spacing w:val="-9"/>
          <w:sz w:val="20"/>
        </w:rPr>
        <w:t> </w:t>
      </w:r>
      <w:r>
        <w:rPr>
          <w:sz w:val="20"/>
        </w:rPr>
        <w:t>fundamental</w:t>
      </w:r>
      <w:r>
        <w:rPr>
          <w:spacing w:val="-9"/>
          <w:sz w:val="20"/>
        </w:rPr>
        <w:t> </w:t>
      </w:r>
      <w:r>
        <w:rPr>
          <w:sz w:val="20"/>
        </w:rPr>
        <w:t>values</w:t>
      </w:r>
      <w:r>
        <w:rPr>
          <w:spacing w:val="-8"/>
          <w:sz w:val="20"/>
        </w:rPr>
        <w:t> </w:t>
      </w:r>
      <w:r>
        <w:rPr>
          <w:sz w:val="20"/>
        </w:rPr>
        <w:t>of</w:t>
      </w:r>
      <w:r>
        <w:rPr>
          <w:spacing w:val="-9"/>
          <w:sz w:val="20"/>
        </w:rPr>
        <w:t> </w:t>
      </w:r>
      <w:r>
        <w:rPr>
          <w:spacing w:val="-3"/>
          <w:sz w:val="20"/>
        </w:rPr>
        <w:t>equality,</w:t>
      </w:r>
      <w:r>
        <w:rPr>
          <w:spacing w:val="-9"/>
          <w:sz w:val="20"/>
        </w:rPr>
        <w:t> </w:t>
      </w:r>
      <w:r>
        <w:rPr>
          <w:sz w:val="20"/>
        </w:rPr>
        <w:t>dignity</w:t>
      </w:r>
      <w:r>
        <w:rPr>
          <w:spacing w:val="-8"/>
          <w:sz w:val="20"/>
        </w:rPr>
        <w:t> </w:t>
      </w:r>
      <w:r>
        <w:rPr>
          <w:sz w:val="20"/>
        </w:rPr>
        <w:t>and</w:t>
      </w:r>
      <w:r>
        <w:rPr>
          <w:spacing w:val="-9"/>
          <w:sz w:val="20"/>
        </w:rPr>
        <w:t> </w:t>
      </w:r>
      <w:r>
        <w:rPr>
          <w:sz w:val="20"/>
        </w:rPr>
        <w:t>liberty’.</w:t>
      </w:r>
      <w:r>
        <w:rPr>
          <w:position w:val="7"/>
          <w:sz w:val="11"/>
        </w:rPr>
        <w:t>80</w:t>
      </w:r>
      <w:r>
        <w:rPr>
          <w:spacing w:val="16"/>
          <w:position w:val="7"/>
          <w:sz w:val="11"/>
        </w:rPr>
        <w:t> </w:t>
      </w:r>
      <w:r>
        <w:rPr>
          <w:spacing w:val="-3"/>
          <w:sz w:val="20"/>
        </w:rPr>
        <w:t>Many</w:t>
      </w:r>
      <w:r>
        <w:rPr>
          <w:spacing w:val="-9"/>
          <w:sz w:val="20"/>
        </w:rPr>
        <w:t> </w:t>
      </w:r>
      <w:r>
        <w:rPr>
          <w:sz w:val="20"/>
        </w:rPr>
        <w:t>responses</w:t>
      </w:r>
      <w:r>
        <w:rPr>
          <w:spacing w:val="-8"/>
          <w:sz w:val="20"/>
        </w:rPr>
        <w:t> </w:t>
      </w:r>
      <w:r>
        <w:rPr>
          <w:sz w:val="20"/>
        </w:rPr>
        <w:t>to</w:t>
      </w:r>
      <w:r>
        <w:rPr>
          <w:spacing w:val="-9"/>
          <w:sz w:val="20"/>
        </w:rPr>
        <w:t> </w:t>
      </w:r>
      <w:r>
        <w:rPr>
          <w:sz w:val="20"/>
        </w:rPr>
        <w:t>the</w:t>
      </w:r>
    </w:p>
    <w:p>
      <w:pPr>
        <w:pStyle w:val="BodyText"/>
        <w:spacing w:line="206" w:lineRule="auto" w:before="3"/>
        <w:ind w:left="1761" w:right="1335"/>
      </w:pPr>
      <w:r>
        <w:rPr/>
        <w:t>consultation</w:t>
      </w:r>
      <w:r>
        <w:rPr>
          <w:spacing w:val="-11"/>
        </w:rPr>
        <w:t> </w:t>
      </w:r>
      <w:r>
        <w:rPr/>
        <w:t>paper</w:t>
      </w:r>
      <w:r>
        <w:rPr>
          <w:spacing w:val="-11"/>
        </w:rPr>
        <w:t> </w:t>
      </w:r>
      <w:r>
        <w:rPr/>
        <w:t>called</w:t>
      </w:r>
      <w:r>
        <w:rPr>
          <w:spacing w:val="-10"/>
        </w:rPr>
        <w:t> </w:t>
      </w:r>
      <w:r>
        <w:rPr/>
        <w:t>for</w:t>
      </w:r>
      <w:r>
        <w:rPr>
          <w:spacing w:val="-11"/>
        </w:rPr>
        <w:t> </w:t>
      </w:r>
      <w:r>
        <w:rPr>
          <w:spacing w:val="-3"/>
        </w:rPr>
        <w:t>reform</w:t>
      </w:r>
      <w:r>
        <w:rPr>
          <w:spacing w:val="-10"/>
        </w:rPr>
        <w:t> </w:t>
      </w:r>
      <w:r>
        <w:rPr/>
        <w:t>so</w:t>
      </w:r>
      <w:r>
        <w:rPr>
          <w:spacing w:val="-11"/>
        </w:rPr>
        <w:t> </w:t>
      </w:r>
      <w:r>
        <w:rPr/>
        <w:t>that</w:t>
      </w:r>
      <w:r>
        <w:rPr>
          <w:spacing w:val="-10"/>
        </w:rPr>
        <w:t> </w:t>
      </w:r>
      <w:r>
        <w:rPr/>
        <w:t>our</w:t>
      </w:r>
      <w:r>
        <w:rPr>
          <w:spacing w:val="-11"/>
        </w:rPr>
        <w:t> </w:t>
      </w:r>
      <w:r>
        <w:rPr>
          <w:spacing w:val="-3"/>
        </w:rPr>
        <w:t>laws</w:t>
      </w:r>
      <w:r>
        <w:rPr>
          <w:spacing w:val="-10"/>
        </w:rPr>
        <w:t> </w:t>
      </w:r>
      <w:r>
        <w:rPr>
          <w:spacing w:val="-3"/>
        </w:rPr>
        <w:t>comply</w:t>
      </w:r>
      <w:r>
        <w:rPr>
          <w:spacing w:val="-11"/>
        </w:rPr>
        <w:t> </w:t>
      </w:r>
      <w:r>
        <w:rPr/>
        <w:t>with</w:t>
      </w:r>
      <w:r>
        <w:rPr>
          <w:spacing w:val="-10"/>
        </w:rPr>
        <w:t> </w:t>
      </w:r>
      <w:r>
        <w:rPr/>
        <w:t>international</w:t>
      </w:r>
      <w:r>
        <w:rPr>
          <w:spacing w:val="-11"/>
        </w:rPr>
        <w:t> </w:t>
      </w:r>
      <w:r>
        <w:rPr/>
        <w:t>legal standards.</w:t>
      </w:r>
      <w:r>
        <w:rPr>
          <w:position w:val="7"/>
          <w:sz w:val="11"/>
        </w:rPr>
        <w:t>81 </w:t>
      </w:r>
      <w:r>
        <w:rPr/>
        <w:t>The </w:t>
      </w:r>
      <w:r>
        <w:rPr>
          <w:spacing w:val="-5"/>
        </w:rPr>
        <w:t>Youth </w:t>
      </w:r>
      <w:r>
        <w:rPr/>
        <w:t>Disability </w:t>
      </w:r>
      <w:r>
        <w:rPr>
          <w:spacing w:val="-3"/>
        </w:rPr>
        <w:t>Advocacy </w:t>
      </w:r>
      <w:r>
        <w:rPr/>
        <w:t>Service</w:t>
      </w:r>
      <w:r>
        <w:rPr>
          <w:spacing w:val="-23"/>
        </w:rPr>
        <w:t> </w:t>
      </w:r>
      <w:r>
        <w:rPr/>
        <w:t>submitted:</w:t>
      </w:r>
    </w:p>
    <w:p>
      <w:pPr>
        <w:pStyle w:val="BodyText"/>
      </w:pPr>
    </w:p>
    <w:p>
      <w:pPr>
        <w:pStyle w:val="BodyText"/>
      </w:pPr>
    </w:p>
    <w:p>
      <w:pPr>
        <w:pStyle w:val="BodyText"/>
      </w:pPr>
    </w:p>
    <w:p>
      <w:pPr>
        <w:pStyle w:val="BodyText"/>
      </w:pPr>
    </w:p>
    <w:p>
      <w:pPr>
        <w:pStyle w:val="BodyText"/>
      </w:pPr>
    </w:p>
    <w:p>
      <w:pPr>
        <w:pStyle w:val="BodyText"/>
        <w:spacing w:before="5"/>
        <w:rPr>
          <w:sz w:val="16"/>
        </w:rPr>
      </w:pPr>
      <w:r>
        <w:rPr/>
        <w:pict>
          <v:line style="position:absolute;mso-position-horizontal-relative:page;mso-position-vertical-relative:paragraph;z-index:2960;mso-wrap-distance-left:0;mso-wrap-distance-right:0" from="79.370102pt,13.84976pt" to="515.905102pt,13.84976pt" stroked="true" strokeweight="1pt" strokecolor="#b6bdc8">
            <v:stroke dashstyle="solid"/>
            <w10:wrap type="topAndBottom"/>
          </v:line>
        </w:pict>
      </w:r>
    </w:p>
    <w:p>
      <w:pPr>
        <w:pStyle w:val="ListParagraph"/>
        <w:numPr>
          <w:ilvl w:val="0"/>
          <w:numId w:val="48"/>
        </w:numPr>
        <w:tabs>
          <w:tab w:pos="1761" w:val="left" w:leader="none"/>
          <w:tab w:pos="1762" w:val="left" w:leader="none"/>
        </w:tabs>
        <w:spacing w:line="213" w:lineRule="auto" w:before="107" w:after="0"/>
        <w:ind w:left="1761" w:right="1509" w:hanging="794"/>
        <w:jc w:val="left"/>
        <w:rPr>
          <w:sz w:val="13"/>
        </w:rPr>
      </w:pPr>
      <w:r>
        <w:rPr>
          <w:sz w:val="13"/>
        </w:rPr>
        <w:t>United Nations, </w:t>
      </w:r>
      <w:r>
        <w:rPr>
          <w:i/>
          <w:sz w:val="13"/>
        </w:rPr>
        <w:t>International Principles and </w:t>
      </w:r>
      <w:r>
        <w:rPr>
          <w:i/>
          <w:spacing w:val="2"/>
          <w:sz w:val="13"/>
        </w:rPr>
        <w:t>Guidelines </w:t>
      </w:r>
      <w:r>
        <w:rPr>
          <w:i/>
          <w:sz w:val="13"/>
        </w:rPr>
        <w:t>on Access to Justice for Persons with Disabilities </w:t>
      </w:r>
      <w:r>
        <w:rPr>
          <w:sz w:val="13"/>
        </w:rPr>
        <w:t>(Human Rights </w:t>
      </w:r>
      <w:r>
        <w:rPr>
          <w:spacing w:val="2"/>
          <w:sz w:val="13"/>
        </w:rPr>
        <w:t>Special </w:t>
      </w:r>
      <w:r>
        <w:rPr>
          <w:sz w:val="13"/>
        </w:rPr>
        <w:t>Procedures, </w:t>
      </w:r>
      <w:r>
        <w:rPr>
          <w:spacing w:val="2"/>
          <w:sz w:val="13"/>
        </w:rPr>
        <w:t>Special Rapporteur </w:t>
      </w:r>
      <w:r>
        <w:rPr>
          <w:sz w:val="13"/>
        </w:rPr>
        <w:t>on the Rights of Persons with </w:t>
      </w:r>
      <w:r>
        <w:rPr>
          <w:spacing w:val="2"/>
          <w:sz w:val="13"/>
        </w:rPr>
        <w:t>Disabilities, </w:t>
      </w:r>
      <w:r>
        <w:rPr>
          <w:sz w:val="13"/>
        </w:rPr>
        <w:t>2020) 22, principle</w:t>
      </w:r>
      <w:r>
        <w:rPr>
          <w:spacing w:val="8"/>
          <w:sz w:val="13"/>
        </w:rPr>
        <w:t> </w:t>
      </w:r>
      <w:r>
        <w:rPr>
          <w:spacing w:val="-3"/>
          <w:sz w:val="13"/>
        </w:rPr>
        <w:t>7.</w:t>
      </w:r>
    </w:p>
    <w:p>
      <w:pPr>
        <w:pStyle w:val="ListParagraph"/>
        <w:numPr>
          <w:ilvl w:val="0"/>
          <w:numId w:val="48"/>
        </w:numPr>
        <w:tabs>
          <w:tab w:pos="1761" w:val="left" w:leader="none"/>
          <w:tab w:pos="1762" w:val="left" w:leader="none"/>
        </w:tabs>
        <w:spacing w:line="153" w:lineRule="exact" w:before="0" w:after="0"/>
        <w:ind w:left="1761" w:right="0" w:hanging="794"/>
        <w:jc w:val="left"/>
        <w:rPr>
          <w:sz w:val="13"/>
        </w:rPr>
      </w:pPr>
      <w:r>
        <w:rPr>
          <w:sz w:val="13"/>
        </w:rPr>
        <w:t>Ibid 22, principle 7.1.</w:t>
      </w:r>
    </w:p>
    <w:p>
      <w:pPr>
        <w:pStyle w:val="ListParagraph"/>
        <w:numPr>
          <w:ilvl w:val="0"/>
          <w:numId w:val="48"/>
        </w:numPr>
        <w:tabs>
          <w:tab w:pos="1760" w:val="left" w:leader="none"/>
          <w:tab w:pos="1762" w:val="left" w:leader="none"/>
        </w:tabs>
        <w:spacing w:line="160" w:lineRule="exact" w:before="0" w:after="0"/>
        <w:ind w:left="1761" w:right="0" w:hanging="794"/>
        <w:jc w:val="left"/>
        <w:rPr>
          <w:sz w:val="13"/>
        </w:rPr>
      </w:pPr>
      <w:r>
        <w:rPr>
          <w:sz w:val="13"/>
        </w:rPr>
        <w:t>Ibid 22, principle</w:t>
      </w:r>
      <w:r>
        <w:rPr>
          <w:spacing w:val="28"/>
          <w:sz w:val="13"/>
        </w:rPr>
        <w:t> </w:t>
      </w:r>
      <w:r>
        <w:rPr>
          <w:sz w:val="13"/>
        </w:rPr>
        <w:t>7.2(b).</w:t>
      </w:r>
    </w:p>
    <w:p>
      <w:pPr>
        <w:pStyle w:val="ListParagraph"/>
        <w:numPr>
          <w:ilvl w:val="0"/>
          <w:numId w:val="48"/>
        </w:numPr>
        <w:tabs>
          <w:tab w:pos="1760" w:val="left" w:leader="none"/>
          <w:tab w:pos="1762" w:val="left" w:leader="none"/>
        </w:tabs>
        <w:spacing w:line="160" w:lineRule="exact" w:before="0" w:after="0"/>
        <w:ind w:left="1761" w:right="0" w:hanging="794"/>
        <w:jc w:val="left"/>
        <w:rPr>
          <w:sz w:val="13"/>
        </w:rPr>
      </w:pPr>
      <w:r>
        <w:rPr>
          <w:sz w:val="13"/>
        </w:rPr>
        <w:t>Ibid 22, principle</w:t>
      </w:r>
      <w:r>
        <w:rPr>
          <w:spacing w:val="28"/>
          <w:sz w:val="13"/>
        </w:rPr>
        <w:t> </w:t>
      </w:r>
      <w:r>
        <w:rPr>
          <w:sz w:val="13"/>
        </w:rPr>
        <w:t>7.2(c).</w:t>
      </w:r>
    </w:p>
    <w:p>
      <w:pPr>
        <w:pStyle w:val="ListParagraph"/>
        <w:numPr>
          <w:ilvl w:val="0"/>
          <w:numId w:val="48"/>
        </w:numPr>
        <w:tabs>
          <w:tab w:pos="1761" w:val="left" w:leader="none"/>
          <w:tab w:pos="1762" w:val="left" w:leader="none"/>
        </w:tabs>
        <w:spacing w:line="160" w:lineRule="exact" w:before="0" w:after="0"/>
        <w:ind w:left="1761" w:right="0" w:hanging="794"/>
        <w:jc w:val="left"/>
        <w:rPr>
          <w:sz w:val="13"/>
        </w:rPr>
      </w:pPr>
      <w:r>
        <w:rPr>
          <w:sz w:val="13"/>
        </w:rPr>
        <w:t>Ibid 22, principle</w:t>
      </w:r>
      <w:r>
        <w:rPr>
          <w:spacing w:val="28"/>
          <w:sz w:val="13"/>
        </w:rPr>
        <w:t> </w:t>
      </w:r>
      <w:r>
        <w:rPr>
          <w:sz w:val="13"/>
        </w:rPr>
        <w:t>7.2(e).</w:t>
      </w:r>
    </w:p>
    <w:p>
      <w:pPr>
        <w:pStyle w:val="ListParagraph"/>
        <w:numPr>
          <w:ilvl w:val="0"/>
          <w:numId w:val="48"/>
        </w:numPr>
        <w:tabs>
          <w:tab w:pos="1760" w:val="left" w:leader="none"/>
          <w:tab w:pos="1762" w:val="left" w:leader="none"/>
        </w:tabs>
        <w:spacing w:line="160" w:lineRule="exact" w:before="0" w:after="0"/>
        <w:ind w:left="1761" w:right="0" w:hanging="794"/>
        <w:jc w:val="left"/>
        <w:rPr>
          <w:sz w:val="13"/>
        </w:rPr>
      </w:pPr>
      <w:r>
        <w:rPr>
          <w:sz w:val="13"/>
        </w:rPr>
        <w:t>Ibid principle 10.2(a), </w:t>
      </w:r>
      <w:r>
        <w:rPr>
          <w:spacing w:val="2"/>
          <w:sz w:val="13"/>
        </w:rPr>
        <w:t>10.2.</w:t>
      </w:r>
    </w:p>
    <w:p>
      <w:pPr>
        <w:pStyle w:val="ListParagraph"/>
        <w:numPr>
          <w:ilvl w:val="0"/>
          <w:numId w:val="48"/>
        </w:numPr>
        <w:tabs>
          <w:tab w:pos="1760" w:val="left" w:leader="none"/>
          <w:tab w:pos="1762" w:val="left" w:leader="none"/>
        </w:tabs>
        <w:spacing w:line="213" w:lineRule="auto" w:before="6" w:after="0"/>
        <w:ind w:left="1761" w:right="1622" w:hanging="794"/>
        <w:jc w:val="left"/>
        <w:rPr>
          <w:sz w:val="13"/>
        </w:rPr>
      </w:pPr>
      <w:r>
        <w:rPr>
          <w:sz w:val="13"/>
        </w:rPr>
        <w:t>Eliza Nugent, Preyasi Domun and De Alwis Winuri, </w:t>
      </w:r>
      <w:r>
        <w:rPr>
          <w:i/>
          <w:sz w:val="13"/>
        </w:rPr>
        <w:t>Advancing </w:t>
      </w:r>
      <w:r>
        <w:rPr>
          <w:i/>
          <w:spacing w:val="2"/>
          <w:sz w:val="13"/>
        </w:rPr>
        <w:t>Jury </w:t>
      </w:r>
      <w:r>
        <w:rPr>
          <w:i/>
          <w:sz w:val="13"/>
        </w:rPr>
        <w:t>Inclusivity in Australia </w:t>
      </w:r>
      <w:r>
        <w:rPr>
          <w:spacing w:val="2"/>
          <w:sz w:val="13"/>
        </w:rPr>
        <w:t>(Report, </w:t>
      </w:r>
      <w:r>
        <w:rPr>
          <w:sz w:val="13"/>
        </w:rPr>
        <w:t>Remedy Australia, </w:t>
      </w:r>
      <w:r>
        <w:rPr>
          <w:spacing w:val="2"/>
          <w:sz w:val="13"/>
        </w:rPr>
        <w:t>Castan </w:t>
      </w:r>
      <w:r>
        <w:rPr>
          <w:sz w:val="13"/>
        </w:rPr>
        <w:t>Centre for Human Rights Law, Monash University, August 2021)</w:t>
      </w:r>
      <w:r>
        <w:rPr>
          <w:spacing w:val="6"/>
          <w:sz w:val="13"/>
        </w:rPr>
        <w:t> </w:t>
      </w:r>
      <w:r>
        <w:rPr>
          <w:sz w:val="13"/>
        </w:rPr>
        <w:t>7–8.</w:t>
      </w:r>
    </w:p>
    <w:p>
      <w:pPr>
        <w:pStyle w:val="ListParagraph"/>
        <w:numPr>
          <w:ilvl w:val="0"/>
          <w:numId w:val="48"/>
        </w:numPr>
        <w:tabs>
          <w:tab w:pos="1761" w:val="left" w:leader="none"/>
          <w:tab w:pos="1762" w:val="left" w:leader="none"/>
        </w:tabs>
        <w:spacing w:line="153" w:lineRule="exact" w:before="0" w:after="0"/>
        <w:ind w:left="1761" w:right="0" w:hanging="794"/>
        <w:jc w:val="left"/>
        <w:rPr>
          <w:sz w:val="13"/>
        </w:rPr>
      </w:pPr>
      <w:r>
        <w:rPr>
          <w:sz w:val="13"/>
        </w:rPr>
        <w:t>Consultation 6 (Deaf Victoria and community</w:t>
      </w:r>
      <w:r>
        <w:rPr>
          <w:spacing w:val="3"/>
          <w:sz w:val="13"/>
        </w:rPr>
        <w:t> </w:t>
      </w:r>
      <w:r>
        <w:rPr>
          <w:sz w:val="13"/>
        </w:rPr>
        <w:t>participants).</w:t>
      </w:r>
    </w:p>
    <w:p>
      <w:pPr>
        <w:pStyle w:val="ListParagraph"/>
        <w:numPr>
          <w:ilvl w:val="0"/>
          <w:numId w:val="48"/>
        </w:numPr>
        <w:tabs>
          <w:tab w:pos="1760" w:val="left" w:leader="none"/>
          <w:tab w:pos="1762" w:val="left" w:leader="none"/>
        </w:tabs>
        <w:spacing w:line="213" w:lineRule="auto" w:before="7" w:after="0"/>
        <w:ind w:left="1761" w:right="1330" w:hanging="794"/>
        <w:jc w:val="left"/>
        <w:rPr>
          <w:sz w:val="13"/>
        </w:rPr>
      </w:pPr>
      <w:r>
        <w:rPr>
          <w:spacing w:val="2"/>
          <w:sz w:val="13"/>
        </w:rPr>
        <w:t>Submission </w:t>
      </w:r>
      <w:r>
        <w:rPr>
          <w:sz w:val="13"/>
        </w:rPr>
        <w:t>12 </w:t>
      </w:r>
      <w:r>
        <w:rPr>
          <w:spacing w:val="2"/>
          <w:sz w:val="13"/>
        </w:rPr>
        <w:t>(Castan </w:t>
      </w:r>
      <w:r>
        <w:rPr>
          <w:sz w:val="13"/>
        </w:rPr>
        <w:t>Centre for Human Rights Law, Monash University) </w:t>
      </w:r>
      <w:r>
        <w:rPr>
          <w:spacing w:val="3"/>
          <w:sz w:val="13"/>
        </w:rPr>
        <w:t>11. </w:t>
      </w:r>
      <w:r>
        <w:rPr>
          <w:spacing w:val="2"/>
          <w:sz w:val="13"/>
        </w:rPr>
        <w:t>Similar observations </w:t>
      </w:r>
      <w:r>
        <w:rPr>
          <w:sz w:val="13"/>
        </w:rPr>
        <w:t>were made by Eliza Nugent, Preyasi Domun and De Alwis Winuri, </w:t>
      </w:r>
      <w:r>
        <w:rPr>
          <w:i/>
          <w:sz w:val="13"/>
        </w:rPr>
        <w:t>Advancing </w:t>
      </w:r>
      <w:r>
        <w:rPr>
          <w:i/>
          <w:spacing w:val="2"/>
          <w:sz w:val="13"/>
        </w:rPr>
        <w:t>Jury </w:t>
      </w:r>
      <w:r>
        <w:rPr>
          <w:i/>
          <w:sz w:val="13"/>
        </w:rPr>
        <w:t>Inclusivity in Australia </w:t>
      </w:r>
      <w:r>
        <w:rPr>
          <w:spacing w:val="2"/>
          <w:sz w:val="13"/>
        </w:rPr>
        <w:t>(Report, </w:t>
      </w:r>
      <w:r>
        <w:rPr>
          <w:sz w:val="13"/>
        </w:rPr>
        <w:t>Remedy Australia, </w:t>
      </w:r>
      <w:r>
        <w:rPr>
          <w:spacing w:val="2"/>
          <w:sz w:val="13"/>
        </w:rPr>
        <w:t>Castan </w:t>
      </w:r>
      <w:r>
        <w:rPr>
          <w:sz w:val="13"/>
        </w:rPr>
        <w:t>Centre for Human Rights Law, Monash University, August 2021)</w:t>
      </w:r>
      <w:r>
        <w:rPr>
          <w:spacing w:val="1"/>
          <w:sz w:val="13"/>
        </w:rPr>
        <w:t> </w:t>
      </w:r>
      <w:r>
        <w:rPr>
          <w:spacing w:val="3"/>
          <w:sz w:val="13"/>
        </w:rPr>
        <w:t>4.</w:t>
      </w:r>
    </w:p>
    <w:p>
      <w:pPr>
        <w:pStyle w:val="ListParagraph"/>
        <w:numPr>
          <w:ilvl w:val="0"/>
          <w:numId w:val="48"/>
        </w:numPr>
        <w:tabs>
          <w:tab w:pos="1760" w:val="left" w:leader="none"/>
          <w:tab w:pos="1762" w:val="left" w:leader="none"/>
        </w:tabs>
        <w:spacing w:line="213" w:lineRule="auto" w:before="0" w:after="0"/>
        <w:ind w:left="1761" w:right="1751" w:hanging="794"/>
        <w:jc w:val="left"/>
        <w:rPr>
          <w:sz w:val="13"/>
        </w:rPr>
      </w:pPr>
      <w:r>
        <w:rPr/>
        <w:pict>
          <v:shape style="position:absolute;margin-left:36pt;margin-top:3.393091pt;width:13.8pt;height:14.1pt;mso-position-horizontal-relative:page;mso-position-vertical-relative:paragraph;z-index:5032" type="#_x0000_t202" filled="false" stroked="false">
            <v:textbox inset="0,0,0,0">
              <w:txbxContent>
                <w:p>
                  <w:pPr>
                    <w:spacing w:line="282" w:lineRule="exact" w:before="0"/>
                    <w:ind w:left="0" w:right="0" w:firstLine="0"/>
                    <w:jc w:val="left"/>
                    <w:rPr>
                      <w:b/>
                      <w:sz w:val="24"/>
                    </w:rPr>
                  </w:pPr>
                  <w:r>
                    <w:rPr>
                      <w:b/>
                      <w:color w:val="37617A"/>
                      <w:spacing w:val="-3"/>
                      <w:sz w:val="24"/>
                    </w:rPr>
                    <w:t>50</w:t>
                  </w:r>
                </w:p>
              </w:txbxContent>
            </v:textbox>
            <w10:wrap type="none"/>
          </v:shape>
        </w:pict>
      </w:r>
      <w:r>
        <w:rPr>
          <w:sz w:val="13"/>
        </w:rPr>
        <w:t>Consultations 22 (Daniel Stubbs, Victorian </w:t>
      </w:r>
      <w:r>
        <w:rPr>
          <w:spacing w:val="2"/>
          <w:sz w:val="13"/>
        </w:rPr>
        <w:t>Disability </w:t>
      </w:r>
      <w:r>
        <w:rPr>
          <w:sz w:val="13"/>
        </w:rPr>
        <w:t>Worker Commissioner, in his personal capacity), 6 (Deaf Victoria and community participants); </w:t>
      </w:r>
      <w:r>
        <w:rPr>
          <w:spacing w:val="2"/>
          <w:sz w:val="13"/>
        </w:rPr>
        <w:t>Submissions </w:t>
      </w:r>
      <w:r>
        <w:rPr>
          <w:sz w:val="13"/>
        </w:rPr>
        <w:t>2 (Dr David Squirrell), 9</w:t>
      </w:r>
      <w:r>
        <w:rPr>
          <w:spacing w:val="4"/>
          <w:sz w:val="13"/>
        </w:rPr>
        <w:t> </w:t>
      </w:r>
      <w:r>
        <w:rPr>
          <w:sz w:val="13"/>
        </w:rPr>
        <w:t>(Madison).</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spacing w:line="208" w:lineRule="auto" w:before="88"/>
        <w:ind w:left="2157" w:right="1236" w:firstLine="0"/>
        <w:jc w:val="left"/>
        <w:rPr>
          <w:sz w:val="11"/>
        </w:rPr>
      </w:pPr>
      <w:bookmarkStart w:name="Reforms would improve compliance with th" w:id="113"/>
      <w:bookmarkEnd w:id="113"/>
      <w:r>
        <w:rPr/>
      </w:r>
      <w:bookmarkStart w:name="_bookmark44" w:id="114"/>
      <w:bookmarkEnd w:id="114"/>
      <w:r>
        <w:rPr/>
      </w:r>
      <w:r>
        <w:rPr>
          <w:sz w:val="19"/>
        </w:rPr>
        <w:t>Having ratified the Convention on the Rights of Persons with Disabilities, Australia is obliged to ensure that disabled citizens enjoy and exercise the same rights as every other citizen. This includes ensuring that disabled citizens can participate fully in all aspects of public life. By failing to provide adjustments to deaf and blind Australians to participate as jurors, Australia has violated the human rights of those excluded jurors</w:t>
      </w:r>
      <w:r>
        <w:rPr>
          <w:spacing w:val="-4"/>
          <w:sz w:val="19"/>
        </w:rPr>
        <w:t> </w:t>
      </w:r>
      <w:r>
        <w:rPr>
          <w:sz w:val="19"/>
        </w:rPr>
        <w:t>and</w:t>
      </w:r>
      <w:r>
        <w:rPr>
          <w:spacing w:val="-4"/>
          <w:sz w:val="19"/>
        </w:rPr>
        <w:t> </w:t>
      </w:r>
      <w:r>
        <w:rPr>
          <w:sz w:val="19"/>
        </w:rPr>
        <w:t>more</w:t>
      </w:r>
      <w:r>
        <w:rPr>
          <w:spacing w:val="-4"/>
          <w:sz w:val="19"/>
        </w:rPr>
        <w:t> </w:t>
      </w:r>
      <w:r>
        <w:rPr>
          <w:spacing w:val="-3"/>
          <w:sz w:val="19"/>
        </w:rPr>
        <w:t>broadly,</w:t>
      </w:r>
      <w:r>
        <w:rPr>
          <w:spacing w:val="-4"/>
          <w:sz w:val="19"/>
        </w:rPr>
        <w:t> </w:t>
      </w:r>
      <w:r>
        <w:rPr>
          <w:sz w:val="19"/>
        </w:rPr>
        <w:t>its</w:t>
      </w:r>
      <w:r>
        <w:rPr>
          <w:spacing w:val="-4"/>
          <w:sz w:val="19"/>
        </w:rPr>
        <w:t> </w:t>
      </w:r>
      <w:r>
        <w:rPr>
          <w:sz w:val="19"/>
        </w:rPr>
        <w:t>obligations</w:t>
      </w:r>
      <w:r>
        <w:rPr>
          <w:spacing w:val="-3"/>
          <w:sz w:val="19"/>
        </w:rPr>
        <w:t> </w:t>
      </w:r>
      <w:r>
        <w:rPr>
          <w:sz w:val="19"/>
        </w:rPr>
        <w:t>under</w:t>
      </w:r>
      <w:r>
        <w:rPr>
          <w:spacing w:val="-4"/>
          <w:sz w:val="19"/>
        </w:rPr>
        <w:t> </w:t>
      </w:r>
      <w:r>
        <w:rPr>
          <w:sz w:val="19"/>
        </w:rPr>
        <w:t>the</w:t>
      </w:r>
      <w:r>
        <w:rPr>
          <w:spacing w:val="-4"/>
          <w:sz w:val="19"/>
        </w:rPr>
        <w:t> </w:t>
      </w:r>
      <w:r>
        <w:rPr>
          <w:sz w:val="19"/>
        </w:rPr>
        <w:t>Convention</w:t>
      </w:r>
      <w:r>
        <w:rPr>
          <w:spacing w:val="-4"/>
          <w:sz w:val="19"/>
        </w:rPr>
        <w:t> </w:t>
      </w:r>
      <w:r>
        <w:rPr>
          <w:sz w:val="19"/>
        </w:rPr>
        <w:t>on</w:t>
      </w:r>
      <w:r>
        <w:rPr>
          <w:spacing w:val="-4"/>
          <w:sz w:val="19"/>
        </w:rPr>
        <w:t> </w:t>
      </w:r>
      <w:r>
        <w:rPr>
          <w:sz w:val="19"/>
        </w:rPr>
        <w:t>the</w:t>
      </w:r>
      <w:r>
        <w:rPr>
          <w:spacing w:val="-4"/>
          <w:sz w:val="19"/>
        </w:rPr>
        <w:t> </w:t>
      </w:r>
      <w:r>
        <w:rPr>
          <w:sz w:val="19"/>
        </w:rPr>
        <w:t>Rights</w:t>
      </w:r>
      <w:r>
        <w:rPr>
          <w:spacing w:val="-3"/>
          <w:sz w:val="19"/>
        </w:rPr>
        <w:t> </w:t>
      </w:r>
      <w:r>
        <w:rPr>
          <w:sz w:val="19"/>
        </w:rPr>
        <w:t>of</w:t>
      </w:r>
      <w:r>
        <w:rPr>
          <w:spacing w:val="-4"/>
          <w:sz w:val="19"/>
        </w:rPr>
        <w:t> </w:t>
      </w:r>
      <w:r>
        <w:rPr>
          <w:sz w:val="19"/>
        </w:rPr>
        <w:t>Persons with</w:t>
      </w:r>
      <w:r>
        <w:rPr>
          <w:spacing w:val="-2"/>
          <w:sz w:val="19"/>
        </w:rPr>
        <w:t> </w:t>
      </w:r>
      <w:r>
        <w:rPr>
          <w:sz w:val="19"/>
        </w:rPr>
        <w:t>Disabilities.</w:t>
      </w:r>
      <w:r>
        <w:rPr>
          <w:position w:val="6"/>
          <w:sz w:val="11"/>
        </w:rPr>
        <w:t>82</w:t>
      </w:r>
    </w:p>
    <w:p>
      <w:pPr>
        <w:pStyle w:val="ListParagraph"/>
        <w:numPr>
          <w:ilvl w:val="1"/>
          <w:numId w:val="12"/>
        </w:numPr>
        <w:tabs>
          <w:tab w:pos="1761" w:val="left" w:leader="none"/>
          <w:tab w:pos="1762" w:val="left" w:leader="none"/>
        </w:tabs>
        <w:spacing w:line="206" w:lineRule="auto" w:before="126" w:after="0"/>
        <w:ind w:left="1761" w:right="1205" w:hanging="794"/>
        <w:jc w:val="left"/>
        <w:rPr>
          <w:sz w:val="11"/>
        </w:rPr>
      </w:pPr>
      <w:r>
        <w:rPr>
          <w:sz w:val="20"/>
        </w:rPr>
        <w:t>The</w:t>
      </w:r>
      <w:r>
        <w:rPr>
          <w:spacing w:val="-12"/>
          <w:sz w:val="20"/>
        </w:rPr>
        <w:t> </w:t>
      </w:r>
      <w:r>
        <w:rPr>
          <w:sz w:val="20"/>
        </w:rPr>
        <w:t>Castan</w:t>
      </w:r>
      <w:r>
        <w:rPr>
          <w:spacing w:val="-11"/>
          <w:sz w:val="20"/>
        </w:rPr>
        <w:t> </w:t>
      </w:r>
      <w:r>
        <w:rPr>
          <w:sz w:val="20"/>
        </w:rPr>
        <w:t>Centre</w:t>
      </w:r>
      <w:r>
        <w:rPr>
          <w:spacing w:val="-11"/>
          <w:sz w:val="20"/>
        </w:rPr>
        <w:t> </w:t>
      </w:r>
      <w:r>
        <w:rPr>
          <w:sz w:val="20"/>
        </w:rPr>
        <w:t>highlighted</w:t>
      </w:r>
      <w:r>
        <w:rPr>
          <w:spacing w:val="-11"/>
          <w:sz w:val="20"/>
        </w:rPr>
        <w:t> </w:t>
      </w:r>
      <w:r>
        <w:rPr>
          <w:sz w:val="20"/>
        </w:rPr>
        <w:t>that</w:t>
      </w:r>
      <w:r>
        <w:rPr>
          <w:spacing w:val="-11"/>
          <w:sz w:val="20"/>
        </w:rPr>
        <w:t> </w:t>
      </w:r>
      <w:r>
        <w:rPr>
          <w:sz w:val="20"/>
        </w:rPr>
        <w:t>the</w:t>
      </w:r>
      <w:r>
        <w:rPr>
          <w:spacing w:val="-11"/>
          <w:sz w:val="20"/>
        </w:rPr>
        <w:t> </w:t>
      </w:r>
      <w:r>
        <w:rPr>
          <w:sz w:val="20"/>
        </w:rPr>
        <w:t>UN</w:t>
      </w:r>
      <w:r>
        <w:rPr>
          <w:spacing w:val="-11"/>
          <w:sz w:val="20"/>
        </w:rPr>
        <w:t> </w:t>
      </w:r>
      <w:r>
        <w:rPr>
          <w:sz w:val="20"/>
        </w:rPr>
        <w:t>cases</w:t>
      </w:r>
      <w:r>
        <w:rPr>
          <w:spacing w:val="-11"/>
          <w:sz w:val="20"/>
        </w:rPr>
        <w:t> </w:t>
      </w:r>
      <w:r>
        <w:rPr>
          <w:sz w:val="20"/>
        </w:rPr>
        <w:t>‘illustrate</w:t>
      </w:r>
      <w:r>
        <w:rPr>
          <w:spacing w:val="-11"/>
          <w:sz w:val="20"/>
        </w:rPr>
        <w:t> </w:t>
      </w:r>
      <w:r>
        <w:rPr>
          <w:sz w:val="20"/>
        </w:rPr>
        <w:t>that</w:t>
      </w:r>
      <w:r>
        <w:rPr>
          <w:spacing w:val="-11"/>
          <w:sz w:val="20"/>
        </w:rPr>
        <w:t> </w:t>
      </w:r>
      <w:r>
        <w:rPr>
          <w:sz w:val="20"/>
        </w:rPr>
        <w:t>the</w:t>
      </w:r>
      <w:r>
        <w:rPr>
          <w:spacing w:val="-11"/>
          <w:sz w:val="20"/>
        </w:rPr>
        <w:t> </w:t>
      </w:r>
      <w:r>
        <w:rPr>
          <w:sz w:val="20"/>
        </w:rPr>
        <w:t>state</w:t>
      </w:r>
      <w:r>
        <w:rPr>
          <w:spacing w:val="-11"/>
          <w:sz w:val="20"/>
        </w:rPr>
        <w:t> </w:t>
      </w:r>
      <w:r>
        <w:rPr>
          <w:sz w:val="20"/>
        </w:rPr>
        <w:t>of</w:t>
      </w:r>
      <w:r>
        <w:rPr>
          <w:spacing w:val="-11"/>
          <w:sz w:val="20"/>
        </w:rPr>
        <w:t> </w:t>
      </w:r>
      <w:r>
        <w:rPr>
          <w:sz w:val="20"/>
        </w:rPr>
        <w:t>Victoria</w:t>
      </w:r>
      <w:r>
        <w:rPr>
          <w:spacing w:val="-11"/>
          <w:sz w:val="20"/>
        </w:rPr>
        <w:t> </w:t>
      </w:r>
      <w:r>
        <w:rPr>
          <w:sz w:val="20"/>
        </w:rPr>
        <w:t>has obligations under international human rights law to enable the meaningful inclusion and</w:t>
      </w:r>
      <w:r>
        <w:rPr>
          <w:spacing w:val="-10"/>
          <w:sz w:val="20"/>
        </w:rPr>
        <w:t> </w:t>
      </w:r>
      <w:r>
        <w:rPr>
          <w:sz w:val="20"/>
        </w:rPr>
        <w:t>participation</w:t>
      </w:r>
      <w:r>
        <w:rPr>
          <w:spacing w:val="-9"/>
          <w:sz w:val="20"/>
        </w:rPr>
        <w:t> </w:t>
      </w:r>
      <w:r>
        <w:rPr>
          <w:sz w:val="20"/>
        </w:rPr>
        <w:t>of</w:t>
      </w:r>
      <w:r>
        <w:rPr>
          <w:spacing w:val="-9"/>
          <w:sz w:val="20"/>
        </w:rPr>
        <w:t> </w:t>
      </w:r>
      <w:r>
        <w:rPr>
          <w:sz w:val="20"/>
        </w:rPr>
        <w:t>persons</w:t>
      </w:r>
      <w:r>
        <w:rPr>
          <w:spacing w:val="-9"/>
          <w:sz w:val="20"/>
        </w:rPr>
        <w:t> </w:t>
      </w:r>
      <w:r>
        <w:rPr>
          <w:sz w:val="20"/>
        </w:rPr>
        <w:t>who</w:t>
      </w:r>
      <w:r>
        <w:rPr>
          <w:spacing w:val="-9"/>
          <w:sz w:val="20"/>
        </w:rPr>
        <w:t> </w:t>
      </w:r>
      <w:r>
        <w:rPr>
          <w:spacing w:val="-3"/>
          <w:sz w:val="20"/>
        </w:rPr>
        <w:t>are</w:t>
      </w:r>
      <w:r>
        <w:rPr>
          <w:spacing w:val="-9"/>
          <w:sz w:val="20"/>
        </w:rPr>
        <w:t> </w:t>
      </w:r>
      <w:r>
        <w:rPr>
          <w:sz w:val="20"/>
        </w:rPr>
        <w:t>deaf</w:t>
      </w:r>
      <w:r>
        <w:rPr>
          <w:spacing w:val="-9"/>
          <w:sz w:val="20"/>
        </w:rPr>
        <w:t> </w:t>
      </w:r>
      <w:r>
        <w:rPr>
          <w:sz w:val="20"/>
        </w:rPr>
        <w:t>and</w:t>
      </w:r>
      <w:r>
        <w:rPr>
          <w:spacing w:val="-9"/>
          <w:sz w:val="20"/>
        </w:rPr>
        <w:t> </w:t>
      </w:r>
      <w:r>
        <w:rPr>
          <w:sz w:val="20"/>
        </w:rPr>
        <w:t>hard</w:t>
      </w:r>
      <w:r>
        <w:rPr>
          <w:spacing w:val="-9"/>
          <w:sz w:val="20"/>
        </w:rPr>
        <w:t> </w:t>
      </w:r>
      <w:r>
        <w:rPr>
          <w:sz w:val="20"/>
        </w:rPr>
        <w:t>of</w:t>
      </w:r>
      <w:r>
        <w:rPr>
          <w:spacing w:val="-9"/>
          <w:sz w:val="20"/>
        </w:rPr>
        <w:t> </w:t>
      </w:r>
      <w:r>
        <w:rPr>
          <w:spacing w:val="-3"/>
          <w:sz w:val="20"/>
        </w:rPr>
        <w:t>hearing’.</w:t>
      </w:r>
      <w:r>
        <w:rPr>
          <w:spacing w:val="-3"/>
          <w:position w:val="7"/>
          <w:sz w:val="11"/>
        </w:rPr>
        <w:t>83</w:t>
      </w:r>
      <w:r>
        <w:rPr>
          <w:spacing w:val="16"/>
          <w:position w:val="7"/>
          <w:sz w:val="11"/>
        </w:rPr>
        <w:t> </w:t>
      </w:r>
      <w:r>
        <w:rPr>
          <w:sz w:val="20"/>
        </w:rPr>
        <w:t>It</w:t>
      </w:r>
      <w:r>
        <w:rPr>
          <w:spacing w:val="-10"/>
          <w:sz w:val="20"/>
        </w:rPr>
        <w:t> </w:t>
      </w:r>
      <w:r>
        <w:rPr>
          <w:sz w:val="20"/>
        </w:rPr>
        <w:t>further</w:t>
      </w:r>
      <w:r>
        <w:rPr>
          <w:spacing w:val="-9"/>
          <w:sz w:val="20"/>
        </w:rPr>
        <w:t> </w:t>
      </w:r>
      <w:r>
        <w:rPr>
          <w:sz w:val="20"/>
        </w:rPr>
        <w:t>identified</w:t>
      </w:r>
      <w:r>
        <w:rPr>
          <w:spacing w:val="-9"/>
          <w:sz w:val="20"/>
        </w:rPr>
        <w:t> </w:t>
      </w:r>
      <w:r>
        <w:rPr>
          <w:sz w:val="20"/>
        </w:rPr>
        <w:t>that those</w:t>
      </w:r>
      <w:r>
        <w:rPr>
          <w:spacing w:val="-9"/>
          <w:sz w:val="20"/>
        </w:rPr>
        <w:t> </w:t>
      </w:r>
      <w:r>
        <w:rPr>
          <w:sz w:val="20"/>
        </w:rPr>
        <w:t>decisions</w:t>
      </w:r>
      <w:r>
        <w:rPr>
          <w:spacing w:val="-9"/>
          <w:sz w:val="20"/>
        </w:rPr>
        <w:t> </w:t>
      </w:r>
      <w:r>
        <w:rPr>
          <w:spacing w:val="-3"/>
          <w:sz w:val="20"/>
        </w:rPr>
        <w:t>‘provide</w:t>
      </w:r>
      <w:r>
        <w:rPr>
          <w:spacing w:val="-9"/>
          <w:sz w:val="20"/>
        </w:rPr>
        <w:t> </w:t>
      </w:r>
      <w:r>
        <w:rPr>
          <w:sz w:val="20"/>
        </w:rPr>
        <w:t>tangible</w:t>
      </w:r>
      <w:r>
        <w:rPr>
          <w:spacing w:val="-9"/>
          <w:sz w:val="20"/>
        </w:rPr>
        <w:t> </w:t>
      </w:r>
      <w:r>
        <w:rPr>
          <w:spacing w:val="-3"/>
          <w:sz w:val="20"/>
        </w:rPr>
        <w:t>examples</w:t>
      </w:r>
      <w:r>
        <w:rPr>
          <w:spacing w:val="-8"/>
          <w:sz w:val="20"/>
        </w:rPr>
        <w:t> </w:t>
      </w:r>
      <w:r>
        <w:rPr>
          <w:sz w:val="20"/>
        </w:rPr>
        <w:t>of</w:t>
      </w:r>
      <w:r>
        <w:rPr>
          <w:spacing w:val="-9"/>
          <w:sz w:val="20"/>
        </w:rPr>
        <w:t> </w:t>
      </w:r>
      <w:r>
        <w:rPr>
          <w:sz w:val="20"/>
        </w:rPr>
        <w:t>what</w:t>
      </w:r>
      <w:r>
        <w:rPr>
          <w:spacing w:val="-9"/>
          <w:sz w:val="20"/>
        </w:rPr>
        <w:t> </w:t>
      </w:r>
      <w:r>
        <w:rPr>
          <w:sz w:val="20"/>
        </w:rPr>
        <w:t>needs</w:t>
      </w:r>
      <w:r>
        <w:rPr>
          <w:spacing w:val="-9"/>
          <w:sz w:val="20"/>
        </w:rPr>
        <w:t> </w:t>
      </w:r>
      <w:r>
        <w:rPr>
          <w:sz w:val="20"/>
        </w:rPr>
        <w:t>to</w:t>
      </w:r>
      <w:r>
        <w:rPr>
          <w:spacing w:val="-9"/>
          <w:sz w:val="20"/>
        </w:rPr>
        <w:t> </w:t>
      </w:r>
      <w:r>
        <w:rPr>
          <w:sz w:val="20"/>
        </w:rPr>
        <w:t>change</w:t>
      </w:r>
      <w:r>
        <w:rPr>
          <w:spacing w:val="-8"/>
          <w:sz w:val="20"/>
        </w:rPr>
        <w:t> </w:t>
      </w:r>
      <w:r>
        <w:rPr>
          <w:sz w:val="20"/>
        </w:rPr>
        <w:t>in</w:t>
      </w:r>
      <w:r>
        <w:rPr>
          <w:spacing w:val="-9"/>
          <w:sz w:val="20"/>
        </w:rPr>
        <w:t> </w:t>
      </w:r>
      <w:r>
        <w:rPr>
          <w:sz w:val="20"/>
        </w:rPr>
        <w:t>order</w:t>
      </w:r>
      <w:r>
        <w:rPr>
          <w:spacing w:val="-9"/>
          <w:sz w:val="20"/>
        </w:rPr>
        <w:t> </w:t>
      </w:r>
      <w:r>
        <w:rPr>
          <w:sz w:val="20"/>
        </w:rPr>
        <w:t>to</w:t>
      </w:r>
      <w:r>
        <w:rPr>
          <w:spacing w:val="-9"/>
          <w:sz w:val="20"/>
        </w:rPr>
        <w:t> </w:t>
      </w:r>
      <w:r>
        <w:rPr>
          <w:spacing w:val="-3"/>
          <w:sz w:val="20"/>
        </w:rPr>
        <w:t>comply </w:t>
      </w:r>
      <w:r>
        <w:rPr>
          <w:sz w:val="20"/>
        </w:rPr>
        <w:t>with international human rights </w:t>
      </w:r>
      <w:r>
        <w:rPr>
          <w:spacing w:val="-5"/>
          <w:sz w:val="20"/>
        </w:rPr>
        <w:t>law, </w:t>
      </w:r>
      <w:r>
        <w:rPr>
          <w:spacing w:val="-4"/>
          <w:sz w:val="20"/>
        </w:rPr>
        <w:t>namely, </w:t>
      </w:r>
      <w:r>
        <w:rPr>
          <w:sz w:val="20"/>
        </w:rPr>
        <w:t>change to law and practices that </w:t>
      </w:r>
      <w:r>
        <w:rPr>
          <w:spacing w:val="-3"/>
          <w:sz w:val="20"/>
        </w:rPr>
        <w:t>create </w:t>
      </w:r>
      <w:r>
        <w:rPr>
          <w:sz w:val="20"/>
        </w:rPr>
        <w:t>barriers</w:t>
      </w:r>
      <w:r>
        <w:rPr>
          <w:spacing w:val="-12"/>
          <w:sz w:val="20"/>
        </w:rPr>
        <w:t> </w:t>
      </w:r>
      <w:r>
        <w:rPr>
          <w:sz w:val="20"/>
        </w:rPr>
        <w:t>to</w:t>
      </w:r>
      <w:r>
        <w:rPr>
          <w:spacing w:val="-11"/>
          <w:sz w:val="20"/>
        </w:rPr>
        <w:t> </w:t>
      </w:r>
      <w:r>
        <w:rPr>
          <w:sz w:val="20"/>
        </w:rPr>
        <w:t>participation</w:t>
      </w:r>
      <w:r>
        <w:rPr>
          <w:spacing w:val="-11"/>
          <w:sz w:val="20"/>
        </w:rPr>
        <w:t> </w:t>
      </w:r>
      <w:r>
        <w:rPr>
          <w:sz w:val="20"/>
        </w:rPr>
        <w:t>and</w:t>
      </w:r>
      <w:r>
        <w:rPr>
          <w:spacing w:val="-11"/>
          <w:sz w:val="20"/>
        </w:rPr>
        <w:t> </w:t>
      </w:r>
      <w:r>
        <w:rPr>
          <w:sz w:val="20"/>
        </w:rPr>
        <w:t>consultation</w:t>
      </w:r>
      <w:r>
        <w:rPr>
          <w:spacing w:val="-12"/>
          <w:sz w:val="20"/>
        </w:rPr>
        <w:t> </w:t>
      </w:r>
      <w:r>
        <w:rPr>
          <w:sz w:val="20"/>
        </w:rPr>
        <w:t>with</w:t>
      </w:r>
      <w:r>
        <w:rPr>
          <w:spacing w:val="-11"/>
          <w:sz w:val="20"/>
        </w:rPr>
        <w:t> </w:t>
      </w:r>
      <w:r>
        <w:rPr>
          <w:sz w:val="20"/>
        </w:rPr>
        <w:t>people</w:t>
      </w:r>
      <w:r>
        <w:rPr>
          <w:spacing w:val="-11"/>
          <w:sz w:val="20"/>
        </w:rPr>
        <w:t> </w:t>
      </w:r>
      <w:r>
        <w:rPr>
          <w:sz w:val="20"/>
        </w:rPr>
        <w:t>with</w:t>
      </w:r>
      <w:r>
        <w:rPr>
          <w:spacing w:val="-11"/>
          <w:sz w:val="20"/>
        </w:rPr>
        <w:t> </w:t>
      </w:r>
      <w:r>
        <w:rPr>
          <w:sz w:val="20"/>
        </w:rPr>
        <w:t>disabilities</w:t>
      </w:r>
      <w:r>
        <w:rPr>
          <w:spacing w:val="-12"/>
          <w:sz w:val="20"/>
        </w:rPr>
        <w:t> </w:t>
      </w:r>
      <w:r>
        <w:rPr>
          <w:sz w:val="20"/>
        </w:rPr>
        <w:t>to</w:t>
      </w:r>
      <w:r>
        <w:rPr>
          <w:spacing w:val="-11"/>
          <w:sz w:val="20"/>
        </w:rPr>
        <w:t> </w:t>
      </w:r>
      <w:r>
        <w:rPr>
          <w:sz w:val="20"/>
        </w:rPr>
        <w:t>guide</w:t>
      </w:r>
      <w:r>
        <w:rPr>
          <w:spacing w:val="-11"/>
          <w:sz w:val="20"/>
        </w:rPr>
        <w:t> </w:t>
      </w:r>
      <w:r>
        <w:rPr>
          <w:spacing w:val="-3"/>
          <w:sz w:val="20"/>
        </w:rPr>
        <w:t>reform’.</w:t>
      </w:r>
      <w:r>
        <w:rPr>
          <w:spacing w:val="-3"/>
          <w:position w:val="7"/>
          <w:sz w:val="11"/>
        </w:rPr>
        <w:t>84</w:t>
      </w:r>
    </w:p>
    <w:p>
      <w:pPr>
        <w:pStyle w:val="ListParagraph"/>
        <w:numPr>
          <w:ilvl w:val="1"/>
          <w:numId w:val="12"/>
        </w:numPr>
        <w:tabs>
          <w:tab w:pos="1761" w:val="left" w:leader="none"/>
          <w:tab w:pos="1762" w:val="left" w:leader="none"/>
        </w:tabs>
        <w:spacing w:line="206" w:lineRule="auto" w:before="128" w:after="0"/>
        <w:ind w:left="1761" w:right="1305" w:hanging="794"/>
        <w:jc w:val="left"/>
        <w:rPr>
          <w:sz w:val="20"/>
        </w:rPr>
      </w:pPr>
      <w:r>
        <w:rPr>
          <w:sz w:val="20"/>
        </w:rPr>
        <w:t>The</w:t>
      </w:r>
      <w:r>
        <w:rPr>
          <w:spacing w:val="-14"/>
          <w:sz w:val="20"/>
        </w:rPr>
        <w:t> </w:t>
      </w:r>
      <w:r>
        <w:rPr>
          <w:sz w:val="20"/>
        </w:rPr>
        <w:t>overwhelming</w:t>
      </w:r>
      <w:r>
        <w:rPr>
          <w:spacing w:val="-14"/>
          <w:sz w:val="20"/>
        </w:rPr>
        <w:t> </w:t>
      </w:r>
      <w:r>
        <w:rPr>
          <w:sz w:val="20"/>
        </w:rPr>
        <w:t>community</w:t>
      </w:r>
      <w:r>
        <w:rPr>
          <w:spacing w:val="-14"/>
          <w:sz w:val="20"/>
        </w:rPr>
        <w:t> </w:t>
      </w:r>
      <w:r>
        <w:rPr>
          <w:sz w:val="20"/>
        </w:rPr>
        <w:t>response</w:t>
      </w:r>
      <w:r>
        <w:rPr>
          <w:spacing w:val="-14"/>
          <w:sz w:val="20"/>
        </w:rPr>
        <w:t> </w:t>
      </w:r>
      <w:r>
        <w:rPr>
          <w:sz w:val="20"/>
        </w:rPr>
        <w:t>was</w:t>
      </w:r>
      <w:r>
        <w:rPr>
          <w:spacing w:val="-13"/>
          <w:sz w:val="20"/>
        </w:rPr>
        <w:t> </w:t>
      </w:r>
      <w:r>
        <w:rPr>
          <w:sz w:val="20"/>
        </w:rPr>
        <w:t>that</w:t>
      </w:r>
      <w:r>
        <w:rPr>
          <w:spacing w:val="-14"/>
          <w:sz w:val="20"/>
        </w:rPr>
        <w:t> </w:t>
      </w:r>
      <w:r>
        <w:rPr>
          <w:sz w:val="20"/>
        </w:rPr>
        <w:t>concerns</w:t>
      </w:r>
      <w:r>
        <w:rPr>
          <w:spacing w:val="-14"/>
          <w:sz w:val="20"/>
        </w:rPr>
        <w:t> </w:t>
      </w:r>
      <w:r>
        <w:rPr>
          <w:sz w:val="20"/>
        </w:rPr>
        <w:t>about</w:t>
      </w:r>
      <w:r>
        <w:rPr>
          <w:spacing w:val="-14"/>
          <w:sz w:val="20"/>
        </w:rPr>
        <w:t> </w:t>
      </w:r>
      <w:r>
        <w:rPr>
          <w:sz w:val="20"/>
        </w:rPr>
        <w:t>cost,</w:t>
      </w:r>
      <w:r>
        <w:rPr>
          <w:spacing w:val="-13"/>
          <w:sz w:val="20"/>
        </w:rPr>
        <w:t> </w:t>
      </w:r>
      <w:r>
        <w:rPr>
          <w:spacing w:val="-2"/>
          <w:sz w:val="20"/>
        </w:rPr>
        <w:t>inconvenience </w:t>
      </w:r>
      <w:r>
        <w:rPr>
          <w:sz w:val="20"/>
        </w:rPr>
        <w:t>and added complexity of </w:t>
      </w:r>
      <w:r>
        <w:rPr>
          <w:spacing w:val="-3"/>
          <w:sz w:val="20"/>
        </w:rPr>
        <w:t>removing </w:t>
      </w:r>
      <w:r>
        <w:rPr>
          <w:sz w:val="20"/>
        </w:rPr>
        <w:t>barriers </w:t>
      </w:r>
      <w:r>
        <w:rPr>
          <w:spacing w:val="-3"/>
          <w:sz w:val="20"/>
        </w:rPr>
        <w:t>are </w:t>
      </w:r>
      <w:r>
        <w:rPr>
          <w:sz w:val="20"/>
        </w:rPr>
        <w:t>outweighed </w:t>
      </w:r>
      <w:r>
        <w:rPr>
          <w:spacing w:val="-3"/>
          <w:sz w:val="20"/>
        </w:rPr>
        <w:t>by </w:t>
      </w:r>
      <w:r>
        <w:rPr>
          <w:sz w:val="20"/>
        </w:rPr>
        <w:t>the need for jury service</w:t>
      </w:r>
      <w:r>
        <w:rPr>
          <w:spacing w:val="-7"/>
          <w:sz w:val="20"/>
        </w:rPr>
        <w:t> </w:t>
      </w:r>
      <w:r>
        <w:rPr>
          <w:sz w:val="20"/>
        </w:rPr>
        <w:t>to</w:t>
      </w:r>
      <w:r>
        <w:rPr>
          <w:spacing w:val="-6"/>
          <w:sz w:val="20"/>
        </w:rPr>
        <w:t> </w:t>
      </w:r>
      <w:r>
        <w:rPr>
          <w:sz w:val="20"/>
        </w:rPr>
        <w:t>reflect</w:t>
      </w:r>
      <w:r>
        <w:rPr>
          <w:spacing w:val="-6"/>
          <w:sz w:val="20"/>
        </w:rPr>
        <w:t> </w:t>
      </w:r>
      <w:r>
        <w:rPr>
          <w:sz w:val="20"/>
        </w:rPr>
        <w:t>community</w:t>
      </w:r>
      <w:r>
        <w:rPr>
          <w:spacing w:val="-7"/>
          <w:sz w:val="20"/>
        </w:rPr>
        <w:t> </w:t>
      </w:r>
      <w:r>
        <w:rPr>
          <w:sz w:val="20"/>
        </w:rPr>
        <w:t>standards</w:t>
      </w:r>
      <w:r>
        <w:rPr>
          <w:spacing w:val="-6"/>
          <w:sz w:val="20"/>
        </w:rPr>
        <w:t> </w:t>
      </w:r>
      <w:r>
        <w:rPr>
          <w:sz w:val="20"/>
        </w:rPr>
        <w:t>about</w:t>
      </w:r>
      <w:r>
        <w:rPr>
          <w:spacing w:val="-6"/>
          <w:sz w:val="20"/>
        </w:rPr>
        <w:t> </w:t>
      </w:r>
      <w:r>
        <w:rPr>
          <w:sz w:val="20"/>
        </w:rPr>
        <w:t>inclusion</w:t>
      </w:r>
      <w:r>
        <w:rPr>
          <w:spacing w:val="-7"/>
          <w:sz w:val="20"/>
        </w:rPr>
        <w:t> </w:t>
      </w:r>
      <w:r>
        <w:rPr>
          <w:sz w:val="20"/>
        </w:rPr>
        <w:t>and</w:t>
      </w:r>
      <w:r>
        <w:rPr>
          <w:spacing w:val="-6"/>
          <w:sz w:val="20"/>
        </w:rPr>
        <w:t> </w:t>
      </w:r>
      <w:r>
        <w:rPr>
          <w:sz w:val="20"/>
        </w:rPr>
        <w:t>equality.</w:t>
      </w:r>
    </w:p>
    <w:p>
      <w:pPr>
        <w:pStyle w:val="BodyText"/>
        <w:spacing w:before="7"/>
        <w:rPr>
          <w:sz w:val="16"/>
        </w:rPr>
      </w:pPr>
    </w:p>
    <w:p>
      <w:pPr>
        <w:pStyle w:val="Heading2"/>
        <w:rPr>
          <w:b/>
        </w:rPr>
      </w:pPr>
      <w:r>
        <w:rPr>
          <w:b/>
          <w:color w:val="37617A"/>
        </w:rPr>
        <w:t>Reforms would improve compliance with the CRPD in Victoria</w:t>
      </w:r>
    </w:p>
    <w:p>
      <w:pPr>
        <w:pStyle w:val="ListParagraph"/>
        <w:numPr>
          <w:ilvl w:val="1"/>
          <w:numId w:val="12"/>
        </w:numPr>
        <w:tabs>
          <w:tab w:pos="1761" w:val="left" w:leader="none"/>
          <w:tab w:pos="1762" w:val="left" w:leader="none"/>
        </w:tabs>
        <w:spacing w:line="206" w:lineRule="auto" w:before="146" w:after="0"/>
        <w:ind w:left="1761" w:right="1282" w:hanging="794"/>
        <w:jc w:val="left"/>
        <w:rPr>
          <w:sz w:val="20"/>
        </w:rPr>
      </w:pPr>
      <w:r>
        <w:rPr>
          <w:sz w:val="20"/>
        </w:rPr>
        <w:t>Reforming Victorian legislation and practice to </w:t>
      </w:r>
      <w:r>
        <w:rPr>
          <w:spacing w:val="-4"/>
          <w:sz w:val="20"/>
        </w:rPr>
        <w:t>remove </w:t>
      </w:r>
      <w:r>
        <w:rPr>
          <w:sz w:val="20"/>
        </w:rPr>
        <w:t>barriers to participation for people</w:t>
      </w:r>
      <w:r>
        <w:rPr>
          <w:spacing w:val="-13"/>
          <w:sz w:val="20"/>
        </w:rPr>
        <w:t> </w:t>
      </w:r>
      <w:r>
        <w:rPr>
          <w:sz w:val="20"/>
        </w:rPr>
        <w:t>in</w:t>
      </w:r>
      <w:r>
        <w:rPr>
          <w:spacing w:val="-12"/>
          <w:sz w:val="20"/>
        </w:rPr>
        <w:t> </w:t>
      </w:r>
      <w:r>
        <w:rPr>
          <w:sz w:val="20"/>
        </w:rPr>
        <w:t>the</w:t>
      </w:r>
      <w:r>
        <w:rPr>
          <w:spacing w:val="-13"/>
          <w:sz w:val="20"/>
        </w:rPr>
        <w:t> </w:t>
      </w:r>
      <w:r>
        <w:rPr>
          <w:sz w:val="20"/>
        </w:rPr>
        <w:t>subject</w:t>
      </w:r>
      <w:r>
        <w:rPr>
          <w:spacing w:val="-12"/>
          <w:sz w:val="20"/>
        </w:rPr>
        <w:t> </w:t>
      </w:r>
      <w:r>
        <w:rPr>
          <w:sz w:val="20"/>
        </w:rPr>
        <w:t>groups</w:t>
      </w:r>
      <w:r>
        <w:rPr>
          <w:spacing w:val="-12"/>
          <w:sz w:val="20"/>
        </w:rPr>
        <w:t> </w:t>
      </w:r>
      <w:r>
        <w:rPr>
          <w:sz w:val="20"/>
        </w:rPr>
        <w:t>will</w:t>
      </w:r>
      <w:r>
        <w:rPr>
          <w:spacing w:val="-13"/>
          <w:sz w:val="20"/>
        </w:rPr>
        <w:t> </w:t>
      </w:r>
      <w:r>
        <w:rPr>
          <w:sz w:val="20"/>
        </w:rPr>
        <w:t>be</w:t>
      </w:r>
      <w:r>
        <w:rPr>
          <w:spacing w:val="-12"/>
          <w:sz w:val="20"/>
        </w:rPr>
        <w:t> </w:t>
      </w:r>
      <w:r>
        <w:rPr>
          <w:sz w:val="20"/>
        </w:rPr>
        <w:t>consistent</w:t>
      </w:r>
      <w:r>
        <w:rPr>
          <w:spacing w:val="-12"/>
          <w:sz w:val="20"/>
        </w:rPr>
        <w:t> </w:t>
      </w:r>
      <w:r>
        <w:rPr>
          <w:sz w:val="20"/>
        </w:rPr>
        <w:t>with</w:t>
      </w:r>
      <w:r>
        <w:rPr>
          <w:spacing w:val="-13"/>
          <w:sz w:val="20"/>
        </w:rPr>
        <w:t> </w:t>
      </w:r>
      <w:r>
        <w:rPr>
          <w:sz w:val="20"/>
        </w:rPr>
        <w:t>United</w:t>
      </w:r>
      <w:r>
        <w:rPr>
          <w:spacing w:val="-12"/>
          <w:sz w:val="20"/>
        </w:rPr>
        <w:t> </w:t>
      </w:r>
      <w:r>
        <w:rPr>
          <w:spacing w:val="-3"/>
          <w:sz w:val="20"/>
        </w:rPr>
        <w:t>Nations’</w:t>
      </w:r>
      <w:r>
        <w:rPr>
          <w:spacing w:val="-13"/>
          <w:sz w:val="20"/>
        </w:rPr>
        <w:t> </w:t>
      </w:r>
      <w:r>
        <w:rPr>
          <w:sz w:val="20"/>
        </w:rPr>
        <w:t>recommendations. The second part of this report </w:t>
      </w:r>
      <w:r>
        <w:rPr>
          <w:spacing w:val="-3"/>
          <w:sz w:val="20"/>
        </w:rPr>
        <w:t>makes </w:t>
      </w:r>
      <w:r>
        <w:rPr>
          <w:sz w:val="20"/>
        </w:rPr>
        <w:t>recommendations that aim to address the practical</w:t>
      </w:r>
      <w:r>
        <w:rPr>
          <w:spacing w:val="-6"/>
          <w:sz w:val="20"/>
        </w:rPr>
        <w:t> </w:t>
      </w:r>
      <w:r>
        <w:rPr>
          <w:sz w:val="20"/>
        </w:rPr>
        <w:t>concerns</w:t>
      </w:r>
      <w:r>
        <w:rPr>
          <w:spacing w:val="-5"/>
          <w:sz w:val="20"/>
        </w:rPr>
        <w:t> </w:t>
      </w:r>
      <w:r>
        <w:rPr>
          <w:sz w:val="20"/>
        </w:rPr>
        <w:t>raised</w:t>
      </w:r>
      <w:r>
        <w:rPr>
          <w:spacing w:val="-6"/>
          <w:sz w:val="20"/>
        </w:rPr>
        <w:t> </w:t>
      </w:r>
      <w:r>
        <w:rPr>
          <w:spacing w:val="-3"/>
          <w:sz w:val="20"/>
        </w:rPr>
        <w:t>by</w:t>
      </w:r>
      <w:r>
        <w:rPr>
          <w:spacing w:val="-5"/>
          <w:sz w:val="20"/>
        </w:rPr>
        <w:t> </w:t>
      </w:r>
      <w:r>
        <w:rPr>
          <w:sz w:val="20"/>
        </w:rPr>
        <w:t>Australia</w:t>
      </w:r>
      <w:r>
        <w:rPr>
          <w:spacing w:val="-6"/>
          <w:sz w:val="20"/>
        </w:rPr>
        <w:t> </w:t>
      </w:r>
      <w:r>
        <w:rPr>
          <w:sz w:val="20"/>
        </w:rPr>
        <w:t>in</w:t>
      </w:r>
      <w:r>
        <w:rPr>
          <w:spacing w:val="-5"/>
          <w:sz w:val="20"/>
        </w:rPr>
        <w:t> </w:t>
      </w:r>
      <w:r>
        <w:rPr>
          <w:sz w:val="20"/>
        </w:rPr>
        <w:t>response</w:t>
      </w:r>
      <w:r>
        <w:rPr>
          <w:spacing w:val="-5"/>
          <w:sz w:val="20"/>
        </w:rPr>
        <w:t> </w:t>
      </w:r>
      <w:r>
        <w:rPr>
          <w:sz w:val="20"/>
        </w:rPr>
        <w:t>to</w:t>
      </w:r>
      <w:r>
        <w:rPr>
          <w:spacing w:val="-6"/>
          <w:sz w:val="20"/>
        </w:rPr>
        <w:t> </w:t>
      </w:r>
      <w:r>
        <w:rPr>
          <w:sz w:val="20"/>
        </w:rPr>
        <w:t>the</w:t>
      </w:r>
      <w:r>
        <w:rPr>
          <w:spacing w:val="-5"/>
          <w:sz w:val="20"/>
        </w:rPr>
        <w:t> </w:t>
      </w:r>
      <w:r>
        <w:rPr>
          <w:sz w:val="20"/>
        </w:rPr>
        <w:t>UN</w:t>
      </w:r>
      <w:r>
        <w:rPr>
          <w:spacing w:val="-6"/>
          <w:sz w:val="20"/>
        </w:rPr>
        <w:t> </w:t>
      </w:r>
      <w:r>
        <w:rPr>
          <w:sz w:val="20"/>
        </w:rPr>
        <w:t>cases.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0"/>
        </w:rPr>
      </w:pPr>
      <w:r>
        <w:rPr/>
        <w:pict>
          <v:line style="position:absolute;mso-position-horizontal-relative:page;mso-position-vertical-relative:paragraph;z-index:3008;mso-wrap-distance-left:0;mso-wrap-distance-right:0" from="79.370102pt,9.959160pt" to="515.905102pt,9.959160pt" stroked="true" strokeweight="1pt" strokecolor="#b6bdc8">
            <v:stroke dashstyle="solid"/>
            <w10:wrap type="topAndBottom"/>
          </v:line>
        </w:pict>
      </w:r>
    </w:p>
    <w:p>
      <w:pPr>
        <w:pStyle w:val="ListParagraph"/>
        <w:numPr>
          <w:ilvl w:val="0"/>
          <w:numId w:val="48"/>
        </w:numPr>
        <w:tabs>
          <w:tab w:pos="1761" w:val="left" w:leader="none"/>
          <w:tab w:pos="1762" w:val="left" w:leader="none"/>
        </w:tabs>
        <w:spacing w:line="170" w:lineRule="exact" w:before="91" w:after="0"/>
        <w:ind w:left="1761" w:right="0" w:hanging="794"/>
        <w:jc w:val="left"/>
        <w:rPr>
          <w:sz w:val="13"/>
        </w:rPr>
      </w:pPr>
      <w:r>
        <w:rPr>
          <w:spacing w:val="2"/>
          <w:sz w:val="13"/>
        </w:rPr>
        <w:t>Submission </w:t>
      </w:r>
      <w:r>
        <w:rPr>
          <w:sz w:val="13"/>
        </w:rPr>
        <w:t>3 (Youth </w:t>
      </w:r>
      <w:r>
        <w:rPr>
          <w:spacing w:val="2"/>
          <w:sz w:val="13"/>
        </w:rPr>
        <w:t>Disability </w:t>
      </w:r>
      <w:r>
        <w:rPr>
          <w:sz w:val="13"/>
        </w:rPr>
        <w:t>Advocacy</w:t>
      </w:r>
      <w:r>
        <w:rPr>
          <w:spacing w:val="-4"/>
          <w:sz w:val="13"/>
        </w:rPr>
        <w:t> </w:t>
      </w:r>
      <w:r>
        <w:rPr>
          <w:sz w:val="13"/>
        </w:rPr>
        <w:t>Service).</w:t>
      </w:r>
    </w:p>
    <w:p>
      <w:pPr>
        <w:pStyle w:val="ListParagraph"/>
        <w:numPr>
          <w:ilvl w:val="0"/>
          <w:numId w:val="48"/>
        </w:numPr>
        <w:tabs>
          <w:tab w:pos="1761" w:val="left" w:leader="none"/>
          <w:tab w:pos="1762" w:val="left" w:leader="none"/>
        </w:tabs>
        <w:spacing w:line="160" w:lineRule="exact" w:before="0" w:after="0"/>
        <w:ind w:left="1761" w:right="0" w:hanging="794"/>
        <w:jc w:val="left"/>
        <w:rPr>
          <w:sz w:val="13"/>
        </w:rPr>
      </w:pPr>
      <w:r>
        <w:rPr/>
        <w:pict>
          <v:shape style="position:absolute;margin-left:549.323730pt;margin-top:3.710249pt;width:12.55pt;height:14.1pt;mso-position-horizontal-relative:page;mso-position-vertical-relative:paragraph;z-index:5080" type="#_x0000_t202" filled="false" stroked="false">
            <v:textbox inset="0,0,0,0">
              <w:txbxContent>
                <w:p>
                  <w:pPr>
                    <w:spacing w:line="282" w:lineRule="exact" w:before="0"/>
                    <w:ind w:left="0" w:right="0" w:firstLine="0"/>
                    <w:jc w:val="left"/>
                    <w:rPr>
                      <w:b/>
                      <w:sz w:val="24"/>
                    </w:rPr>
                  </w:pPr>
                  <w:r>
                    <w:rPr>
                      <w:b/>
                      <w:color w:val="37617A"/>
                      <w:spacing w:val="-1"/>
                      <w:sz w:val="24"/>
                    </w:rPr>
                    <w:t>51</w:t>
                  </w:r>
                </w:p>
              </w:txbxContent>
            </v:textbox>
            <w10:wrap type="none"/>
          </v:shape>
        </w:pict>
      </w:r>
      <w:r>
        <w:rPr>
          <w:spacing w:val="2"/>
          <w:sz w:val="13"/>
        </w:rPr>
        <w:t>Submission </w:t>
      </w:r>
      <w:r>
        <w:rPr>
          <w:sz w:val="13"/>
        </w:rPr>
        <w:t>12 </w:t>
      </w:r>
      <w:r>
        <w:rPr>
          <w:spacing w:val="2"/>
          <w:sz w:val="13"/>
        </w:rPr>
        <w:t>(Castan </w:t>
      </w:r>
      <w:r>
        <w:rPr>
          <w:sz w:val="13"/>
        </w:rPr>
        <w:t>Centre for Human Rights Law, Monash</w:t>
      </w:r>
      <w:r>
        <w:rPr>
          <w:spacing w:val="-1"/>
          <w:sz w:val="13"/>
        </w:rPr>
        <w:t> </w:t>
      </w:r>
      <w:r>
        <w:rPr>
          <w:sz w:val="13"/>
        </w:rPr>
        <w:t>University).</w:t>
      </w:r>
    </w:p>
    <w:p>
      <w:pPr>
        <w:pStyle w:val="ListParagraph"/>
        <w:numPr>
          <w:ilvl w:val="0"/>
          <w:numId w:val="48"/>
        </w:numPr>
        <w:tabs>
          <w:tab w:pos="1761" w:val="left" w:leader="none"/>
          <w:tab w:pos="1762" w:val="left" w:leader="none"/>
        </w:tabs>
        <w:spacing w:line="170" w:lineRule="exact" w:before="0" w:after="0"/>
        <w:ind w:left="1761" w:right="0" w:hanging="794"/>
        <w:jc w:val="left"/>
        <w:rPr>
          <w:sz w:val="13"/>
        </w:rPr>
      </w:pPr>
      <w:r>
        <w:rPr>
          <w:spacing w:val="2"/>
          <w:sz w:val="13"/>
        </w:rPr>
        <w:t>Ibid.</w:t>
      </w:r>
    </w:p>
    <w:p>
      <w:pPr>
        <w:spacing w:after="0" w:line="170" w:lineRule="exact"/>
        <w:jc w:val="left"/>
        <w:rPr>
          <w:sz w:val="13"/>
        </w:rPr>
        <w:sectPr>
          <w:pgSz w:w="11910" w:h="16840"/>
          <w:pgMar w:header="0" w:footer="0" w:top="840" w:bottom="280" w:left="620" w:right="380"/>
        </w:sectPr>
      </w:pPr>
    </w:p>
    <w:p>
      <w:pPr>
        <w:pStyle w:val="BodyText"/>
      </w:pPr>
      <w:r>
        <w:rPr/>
        <w:pict>
          <v:rect style="position:absolute;margin-left:79.370003pt;margin-top:0pt;width:515.906000pt;height:841.890015pt;mso-position-horizontal-relative:page;mso-position-vertical-relative:page;z-index:5104" filled="true" fillcolor="#37617a" stroked="false">
            <v:fill type="solid"/>
            <w10:wrap type="none"/>
          </v:rect>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4"/>
        </w:rPr>
      </w:pPr>
    </w:p>
    <w:p>
      <w:pPr>
        <w:spacing w:before="49"/>
        <w:ind w:left="100" w:right="0" w:firstLine="0"/>
        <w:jc w:val="left"/>
        <w:rPr>
          <w:b/>
          <w:sz w:val="24"/>
        </w:rPr>
      </w:pPr>
      <w:r>
        <w:rPr>
          <w:b/>
          <w:color w:val="37617A"/>
          <w:sz w:val="24"/>
        </w:rPr>
        <w:t>52</w:t>
      </w:r>
    </w:p>
    <w:p>
      <w:pPr>
        <w:spacing w:after="0"/>
        <w:jc w:val="left"/>
        <w:rPr>
          <w:sz w:val="24"/>
        </w:rPr>
        <w:sectPr>
          <w:headerReference w:type="even" r:id="rId101"/>
          <w:pgSz w:w="11910" w:h="16840"/>
          <w:pgMar w:header="0" w:footer="0" w:top="1580" w:bottom="280" w:left="620" w:right="380"/>
        </w:sectPr>
      </w:pPr>
    </w:p>
    <w:p>
      <w:pPr>
        <w:pStyle w:val="BodyText"/>
        <w:rPr>
          <w:b/>
          <w:sz w:val="11"/>
        </w:rPr>
      </w:pPr>
      <w:r>
        <w:rPr/>
        <w:pict>
          <v:rect style="position:absolute;margin-left:0pt;margin-top:0pt;width:595.276001pt;height:841.890015pt;mso-position-horizontal-relative:page;mso-position-vertical-relative:page;z-index:-355048" filled="true" fillcolor="#37617a" stroked="false">
            <v:fill type="solid"/>
            <w10:wrap type="none"/>
          </v:rect>
        </w:pict>
      </w:r>
    </w:p>
    <w:p>
      <w:pPr>
        <w:spacing w:line="688" w:lineRule="exact" w:before="0"/>
        <w:ind w:left="0" w:right="745" w:firstLine="0"/>
        <w:jc w:val="right"/>
        <w:rPr>
          <w:rFonts w:ascii="Raleway SemiBold"/>
          <w:b/>
          <w:sz w:val="50"/>
        </w:rPr>
      </w:pPr>
      <w:r>
        <w:rPr/>
        <w:pict>
          <v:shape style="position:absolute;margin-left:411.532806pt;margin-top:-3.3143pt;width:132.5pt;height:152.65pt;mso-position-horizontal-relative:page;mso-position-vertical-relative:paragraph;z-index:-355024" type="#_x0000_t202" filled="false" stroked="false">
            <v:textbox inset="0,0,0,0">
              <w:txbxContent>
                <w:p>
                  <w:pPr>
                    <w:spacing w:line="3052" w:lineRule="exact" w:before="0"/>
                    <w:ind w:left="0" w:right="0" w:firstLine="0"/>
                    <w:jc w:val="left"/>
                    <w:rPr>
                      <w:b/>
                      <w:sz w:val="260"/>
                    </w:rPr>
                  </w:pPr>
                  <w:r>
                    <w:rPr>
                      <w:b/>
                      <w:color w:val="FFFFFF"/>
                      <w:spacing w:val="-203"/>
                      <w:sz w:val="260"/>
                    </w:rPr>
                    <w:t>07</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spacing w:line="180" w:lineRule="auto" w:before="320"/>
        <w:ind w:left="967" w:right="0" w:firstLine="0"/>
        <w:jc w:val="left"/>
        <w:rPr>
          <w:rFonts w:ascii="Raleway ExtraBold" w:hAnsi="Raleway ExtraBold"/>
          <w:b/>
          <w:sz w:val="88"/>
        </w:rPr>
      </w:pPr>
      <w:r>
        <w:rPr>
          <w:rFonts w:ascii="Raleway ExtraBold" w:hAnsi="Raleway ExtraBold"/>
          <w:b/>
          <w:color w:val="FFFFFF"/>
          <w:spacing w:val="-12"/>
          <w:sz w:val="88"/>
        </w:rPr>
        <w:t>Jury </w:t>
      </w:r>
      <w:r>
        <w:rPr>
          <w:rFonts w:ascii="Raleway ExtraBold" w:hAnsi="Raleway ExtraBold"/>
          <w:b/>
          <w:color w:val="FFFFFF"/>
          <w:spacing w:val="-19"/>
          <w:sz w:val="88"/>
        </w:rPr>
        <w:t>selection </w:t>
      </w:r>
      <w:r>
        <w:rPr>
          <w:rFonts w:ascii="Raleway ExtraBold" w:hAnsi="Raleway ExtraBold"/>
          <w:b/>
          <w:color w:val="FFFFFF"/>
          <w:spacing w:val="-20"/>
          <w:sz w:val="88"/>
        </w:rPr>
        <w:t>should </w:t>
      </w:r>
      <w:r>
        <w:rPr>
          <w:rFonts w:ascii="Raleway ExtraBold" w:hAnsi="Raleway ExtraBold"/>
          <w:b/>
          <w:color w:val="FFFFFF"/>
          <w:spacing w:val="-18"/>
          <w:sz w:val="88"/>
        </w:rPr>
        <w:t>meet </w:t>
      </w:r>
      <w:r>
        <w:rPr>
          <w:rFonts w:ascii="Raleway ExtraBold" w:hAnsi="Raleway ExtraBold"/>
          <w:b/>
          <w:color w:val="FFFFFF"/>
          <w:spacing w:val="-28"/>
          <w:sz w:val="88"/>
        </w:rPr>
        <w:t>today’s </w:t>
      </w:r>
      <w:r>
        <w:rPr>
          <w:rFonts w:ascii="Raleway ExtraBold" w:hAnsi="Raleway ExtraBold"/>
          <w:b/>
          <w:color w:val="FFFFFF"/>
          <w:spacing w:val="-21"/>
          <w:sz w:val="88"/>
        </w:rPr>
        <w:t>standards </w:t>
      </w:r>
      <w:r>
        <w:rPr>
          <w:rFonts w:ascii="Raleway ExtraBold" w:hAnsi="Raleway ExtraBold"/>
          <w:b/>
          <w:color w:val="FFFFFF"/>
          <w:spacing w:val="-13"/>
          <w:sz w:val="88"/>
        </w:rPr>
        <w:t>of </w:t>
      </w:r>
      <w:r>
        <w:rPr>
          <w:rFonts w:ascii="Raleway ExtraBold" w:hAnsi="Raleway ExtraBold"/>
          <w:b/>
          <w:color w:val="FFFFFF"/>
          <w:spacing w:val="-21"/>
          <w:sz w:val="88"/>
        </w:rPr>
        <w:t>inclusion</w:t>
      </w:r>
    </w:p>
    <w:p>
      <w:pPr>
        <w:pStyle w:val="BodyText"/>
        <w:rPr>
          <w:rFonts w:ascii="Raleway ExtraBold"/>
          <w:b/>
        </w:rPr>
      </w:pPr>
    </w:p>
    <w:p>
      <w:pPr>
        <w:pStyle w:val="BodyText"/>
        <w:rPr>
          <w:rFonts w:ascii="Raleway ExtraBold"/>
          <w:b/>
        </w:rPr>
      </w:pPr>
    </w:p>
    <w:p>
      <w:pPr>
        <w:pStyle w:val="BodyText"/>
        <w:spacing w:before="8"/>
        <w:rPr>
          <w:rFonts w:ascii="Raleway ExtraBold"/>
          <w:b/>
          <w:sz w:val="27"/>
        </w:rPr>
      </w:pPr>
    </w:p>
    <w:p>
      <w:pPr>
        <w:tabs>
          <w:tab w:pos="1534" w:val="left" w:leader="none"/>
        </w:tabs>
        <w:spacing w:before="48"/>
        <w:ind w:left="967" w:right="0" w:firstLine="0"/>
        <w:jc w:val="left"/>
        <w:rPr>
          <w:b/>
          <w:sz w:val="24"/>
        </w:rPr>
      </w:pPr>
      <w:r>
        <w:rPr/>
        <w:pict>
          <v:line style="position:absolute;mso-position-horizontal-relative:page;mso-position-vertical-relative:paragraph;z-index:3080;mso-wrap-distance-left:0;mso-wrap-distance-right:0" from="79.370102pt,22.917303pt" to="104.882102pt,22.917303pt" stroked="true" strokeweight="2pt" strokecolor="#8f9dad">
            <v:stroke dashstyle="solid"/>
            <w10:wrap type="topAndBottom"/>
          </v:line>
        </w:pict>
      </w:r>
      <w:hyperlink w:history="true" w:anchor="_bookmark45">
        <w:r>
          <w:rPr>
            <w:b/>
            <w:color w:val="FFFFFF"/>
            <w:sz w:val="24"/>
          </w:rPr>
          <w:t>54</w:t>
          <w:tab/>
          <w:t>Overview</w:t>
        </w:r>
      </w:hyperlink>
    </w:p>
    <w:p>
      <w:pPr>
        <w:pStyle w:val="ListParagraph"/>
        <w:numPr>
          <w:ilvl w:val="0"/>
          <w:numId w:val="49"/>
        </w:numPr>
        <w:tabs>
          <w:tab w:pos="1534" w:val="left" w:leader="none"/>
          <w:tab w:pos="1535" w:val="left" w:leader="none"/>
        </w:tabs>
        <w:spacing w:line="240" w:lineRule="auto" w:before="14" w:after="57"/>
        <w:ind w:left="1534" w:right="0" w:hanging="567"/>
        <w:jc w:val="left"/>
        <w:rPr>
          <w:b/>
          <w:sz w:val="24"/>
        </w:rPr>
      </w:pPr>
      <w:hyperlink w:history="true" w:anchor="_bookmark45">
        <w:r>
          <w:rPr>
            <w:b/>
            <w:color w:val="FFFFFF"/>
            <w:sz w:val="24"/>
          </w:rPr>
          <w:t>Community</w:t>
        </w:r>
        <w:r>
          <w:rPr>
            <w:b/>
            <w:color w:val="FFFFFF"/>
            <w:spacing w:val="-1"/>
            <w:sz w:val="24"/>
          </w:rPr>
          <w:t> </w:t>
        </w:r>
        <w:r>
          <w:rPr>
            <w:b/>
            <w:color w:val="FFFFFF"/>
            <w:sz w:val="24"/>
          </w:rPr>
          <w:t>expectations</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pStyle w:val="ListParagraph"/>
        <w:numPr>
          <w:ilvl w:val="0"/>
          <w:numId w:val="49"/>
        </w:numPr>
        <w:tabs>
          <w:tab w:pos="1534" w:val="left" w:leader="none"/>
          <w:tab w:pos="1535" w:val="left" w:leader="none"/>
        </w:tabs>
        <w:spacing w:line="240" w:lineRule="auto" w:before="43" w:after="0"/>
        <w:ind w:left="1534" w:right="0" w:hanging="567"/>
        <w:jc w:val="left"/>
        <w:rPr>
          <w:b/>
          <w:sz w:val="24"/>
        </w:rPr>
      </w:pPr>
      <w:r>
        <w:rPr/>
        <w:pict>
          <v:line style="position:absolute;mso-position-horizontal-relative:page;mso-position-vertical-relative:paragraph;z-index:3128;mso-wrap-distance-left:0;mso-wrap-distance-right:0" from="79.370102pt,22.667311pt" to="104.882102pt,22.667311pt" stroked="true" strokeweight="2pt" strokecolor="#8f9dad">
            <v:stroke dashstyle="solid"/>
            <w10:wrap type="topAndBottom"/>
          </v:line>
        </w:pict>
      </w:r>
      <w:hyperlink w:history="true" w:anchor="_bookmark46">
        <w:r>
          <w:rPr>
            <w:b/>
            <w:color w:val="FFFFFF"/>
            <w:sz w:val="24"/>
          </w:rPr>
          <w:t>Equality and non-discrimination in </w:t>
        </w:r>
        <w:r>
          <w:rPr>
            <w:b/>
            <w:color w:val="FFFFFF"/>
            <w:spacing w:val="-4"/>
            <w:sz w:val="24"/>
          </w:rPr>
          <w:t>today’s</w:t>
        </w:r>
        <w:r>
          <w:rPr>
            <w:b/>
            <w:color w:val="FFFFFF"/>
            <w:spacing w:val="-2"/>
            <w:sz w:val="24"/>
          </w:rPr>
          <w:t> </w:t>
        </w:r>
        <w:r>
          <w:rPr>
            <w:b/>
            <w:color w:val="FFFFFF"/>
            <w:sz w:val="24"/>
          </w:rPr>
          <w:t>society</w:t>
        </w:r>
      </w:hyperlink>
    </w:p>
    <w:p>
      <w:pPr>
        <w:pStyle w:val="ListParagraph"/>
        <w:numPr>
          <w:ilvl w:val="0"/>
          <w:numId w:val="50"/>
        </w:numPr>
        <w:tabs>
          <w:tab w:pos="1534" w:val="left" w:leader="none"/>
          <w:tab w:pos="1535" w:val="left" w:leader="none"/>
        </w:tabs>
        <w:spacing w:line="240" w:lineRule="auto" w:before="14" w:after="57"/>
        <w:ind w:left="1534" w:right="0" w:hanging="567"/>
        <w:jc w:val="left"/>
        <w:rPr>
          <w:b/>
          <w:sz w:val="24"/>
        </w:rPr>
      </w:pPr>
      <w:hyperlink w:history="true" w:anchor="_bookmark49">
        <w:r>
          <w:rPr>
            <w:b/>
            <w:color w:val="FFFFFF"/>
            <w:sz w:val="24"/>
          </w:rPr>
          <w:t>Human rights </w:t>
        </w:r>
        <w:r>
          <w:rPr>
            <w:b/>
            <w:color w:val="FFFFFF"/>
            <w:spacing w:val="-5"/>
            <w:sz w:val="24"/>
          </w:rPr>
          <w:t>law, </w:t>
        </w:r>
        <w:r>
          <w:rPr>
            <w:b/>
            <w:color w:val="FFFFFF"/>
            <w:sz w:val="24"/>
          </w:rPr>
          <w:t>the Charter and jury</w:t>
        </w:r>
        <w:r>
          <w:rPr>
            <w:b/>
            <w:color w:val="FFFFFF"/>
            <w:spacing w:val="3"/>
            <w:sz w:val="24"/>
          </w:rPr>
          <w:t> </w:t>
        </w:r>
        <w:r>
          <w:rPr>
            <w:b/>
            <w:color w:val="FFFFFF"/>
            <w:sz w:val="24"/>
          </w:rPr>
          <w:t>selection</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pStyle w:val="ListParagraph"/>
        <w:numPr>
          <w:ilvl w:val="0"/>
          <w:numId w:val="50"/>
        </w:numPr>
        <w:tabs>
          <w:tab w:pos="1534" w:val="left" w:leader="none"/>
          <w:tab w:pos="1535" w:val="left" w:leader="none"/>
        </w:tabs>
        <w:spacing w:line="240" w:lineRule="auto" w:before="43" w:after="0"/>
        <w:ind w:left="1534" w:right="0" w:hanging="567"/>
        <w:jc w:val="left"/>
        <w:rPr>
          <w:b/>
          <w:sz w:val="24"/>
        </w:rPr>
      </w:pPr>
      <w:r>
        <w:rPr/>
        <w:pict>
          <v:line style="position:absolute;mso-position-horizontal-relative:page;mso-position-vertical-relative:paragraph;z-index:3176;mso-wrap-distance-left:0;mso-wrap-distance-right:0" from="79.370102pt,22.667189pt" to="104.882102pt,22.667189pt" stroked="true" strokeweight="2pt" strokecolor="#8f9dad">
            <v:stroke dashstyle="solid"/>
            <w10:wrap type="topAndBottom"/>
          </v:line>
        </w:pict>
      </w:r>
      <w:hyperlink w:history="true" w:anchor="_bookmark50">
        <w:r>
          <w:rPr>
            <w:b/>
            <w:color w:val="FFFFFF"/>
            <w:sz w:val="24"/>
          </w:rPr>
          <w:t>Jury selection should reflect principles of equality and</w:t>
        </w:r>
        <w:r>
          <w:rPr>
            <w:b/>
            <w:color w:val="FFFFFF"/>
            <w:spacing w:val="-19"/>
            <w:sz w:val="24"/>
          </w:rPr>
          <w:t> </w:t>
        </w:r>
        <w:r>
          <w:rPr>
            <w:b/>
            <w:color w:val="FFFFFF"/>
            <w:sz w:val="24"/>
          </w:rPr>
          <w:t>non-discrimination</w:t>
        </w:r>
      </w:hyperlink>
    </w:p>
    <w:p>
      <w:pPr>
        <w:spacing w:after="0" w:line="240" w:lineRule="auto"/>
        <w:jc w:val="left"/>
        <w:rPr>
          <w:sz w:val="24"/>
        </w:rPr>
        <w:sectPr>
          <w:headerReference w:type="default" r:id="rId102"/>
          <w:headerReference w:type="even" r:id="rId103"/>
          <w:pgSz w:w="11910" w:h="16840"/>
          <w:pgMar w:header="0" w:footer="0" w:top="480" w:bottom="280" w:left="620" w:right="380"/>
        </w:sectPr>
      </w:pPr>
    </w:p>
    <w:p>
      <w:pPr>
        <w:pStyle w:val="BodyText"/>
        <w:rPr>
          <w:b/>
        </w:rPr>
      </w:pPr>
      <w:r>
        <w:rPr/>
        <w:pict>
          <v:rect style="position:absolute;margin-left:0pt;margin-top:99.213013pt;width:14.173pt;height:85.748pt;mso-position-horizontal-relative:page;mso-position-vertical-relative:page;z-index:5368" filled="true" fillcolor="#37617a" stroked="false">
            <v:fill type="solid"/>
            <w10:wrap type="none"/>
          </v:rect>
        </w:pict>
      </w:r>
    </w:p>
    <w:p>
      <w:pPr>
        <w:pStyle w:val="BodyText"/>
        <w:rPr>
          <w:b/>
        </w:rPr>
      </w:pPr>
    </w:p>
    <w:p>
      <w:pPr>
        <w:pStyle w:val="BodyText"/>
        <w:spacing w:before="10"/>
        <w:rPr>
          <w:b/>
          <w:sz w:val="23"/>
        </w:rPr>
      </w:pPr>
    </w:p>
    <w:p>
      <w:pPr>
        <w:pStyle w:val="Heading1"/>
        <w:numPr>
          <w:ilvl w:val="0"/>
          <w:numId w:val="12"/>
        </w:numPr>
        <w:tabs>
          <w:tab w:pos="773" w:val="left" w:leader="none"/>
        </w:tabs>
        <w:spacing w:line="184" w:lineRule="auto" w:before="129" w:after="0"/>
        <w:ind w:left="230" w:right="3665" w:firstLine="0"/>
        <w:jc w:val="left"/>
        <w:rPr>
          <w:b/>
        </w:rPr>
      </w:pPr>
      <w:bookmarkStart w:name="7. Jury selection should meet today’s st" w:id="115"/>
      <w:bookmarkEnd w:id="115"/>
      <w:r>
        <w:rPr>
          <w:b w:val="0"/>
        </w:rPr>
      </w:r>
      <w:bookmarkStart w:name="Overview" w:id="116"/>
      <w:bookmarkEnd w:id="116"/>
      <w:r>
        <w:rPr>
          <w:b w:val="0"/>
        </w:rPr>
      </w:r>
      <w:bookmarkStart w:name="Community expectations" w:id="117"/>
      <w:bookmarkEnd w:id="117"/>
      <w:r>
        <w:rPr>
          <w:b w:val="0"/>
        </w:rPr>
      </w:r>
      <w:bookmarkStart w:name="_bookmark45" w:id="118"/>
      <w:bookmarkEnd w:id="118"/>
      <w:r>
        <w:rPr>
          <w:b w:val="0"/>
        </w:rPr>
      </w:r>
      <w:bookmarkStart w:name="_bookmark45" w:id="119"/>
      <w:bookmarkEnd w:id="119"/>
      <w:r>
        <w:rPr>
          <w:b/>
          <w:color w:val="37617A"/>
        </w:rPr>
        <w:t>J</w:t>
      </w:r>
      <w:r>
        <w:rPr>
          <w:b/>
          <w:color w:val="37617A"/>
        </w:rPr>
        <w:t>ury </w:t>
      </w:r>
      <w:r>
        <w:rPr>
          <w:b/>
          <w:color w:val="37617A"/>
          <w:spacing w:val="-3"/>
        </w:rPr>
        <w:t>selection </w:t>
      </w:r>
      <w:r>
        <w:rPr>
          <w:b/>
          <w:color w:val="37617A"/>
          <w:spacing w:val="-4"/>
        </w:rPr>
        <w:t>should </w:t>
      </w:r>
      <w:r>
        <w:rPr>
          <w:b/>
          <w:color w:val="37617A"/>
          <w:spacing w:val="-3"/>
        </w:rPr>
        <w:t>meet </w:t>
      </w:r>
      <w:r>
        <w:rPr>
          <w:b/>
          <w:color w:val="37617A"/>
          <w:spacing w:val="-9"/>
        </w:rPr>
        <w:t>today’s </w:t>
      </w:r>
      <w:r>
        <w:rPr>
          <w:b/>
          <w:color w:val="37617A"/>
          <w:spacing w:val="-4"/>
        </w:rPr>
        <w:t>standards </w:t>
      </w:r>
      <w:r>
        <w:rPr>
          <w:b/>
          <w:color w:val="37617A"/>
          <w:spacing w:val="-3"/>
        </w:rPr>
        <w:t>of </w:t>
      </w:r>
      <w:r>
        <w:rPr>
          <w:b/>
          <w:color w:val="37617A"/>
          <w:spacing w:val="-4"/>
        </w:rPr>
        <w:t>inclusion</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3"/>
        <w:rPr>
          <w:rFonts w:ascii="Raleway ExtraBold"/>
          <w:b/>
          <w:sz w:val="13"/>
        </w:rPr>
      </w:pPr>
      <w:r>
        <w:rPr/>
        <w:pict>
          <v:line style="position:absolute;mso-position-horizontal-relative:page;mso-position-vertical-relative:paragraph;z-index:3248;mso-wrap-distance-left:0;mso-wrap-distance-right:0" from="79.370102pt,11.41156pt" to="515.905102pt,11.41156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1806" w:right="2044" w:firstLine="0"/>
        <w:jc w:val="center"/>
        <w:rPr>
          <w:rFonts w:ascii="Trebuchet MS" w:hAnsi="Trebuchet MS"/>
          <w:sz w:val="19"/>
        </w:rPr>
      </w:pPr>
      <w:r>
        <w:rPr>
          <w:rFonts w:ascii="Trebuchet MS" w:hAnsi="Trebuchet MS"/>
          <w:i/>
          <w:color w:val="37617A"/>
          <w:spacing w:val="-11"/>
          <w:w w:val="117"/>
          <w:sz w:val="20"/>
        </w:rPr>
        <w:t>W</w:t>
      </w:r>
      <w:r>
        <w:rPr>
          <w:rFonts w:ascii="Trebuchet MS" w:hAnsi="Trebuchet MS"/>
          <w:i/>
          <w:color w:val="37617A"/>
          <w:spacing w:val="-6"/>
          <w:w w:val="100"/>
          <w:sz w:val="20"/>
        </w:rPr>
        <w:t>e</w:t>
      </w:r>
      <w:r>
        <w:rPr>
          <w:rFonts w:ascii="Trebuchet MS" w:hAnsi="Trebuchet MS"/>
          <w:i/>
          <w:color w:val="37617A"/>
          <w:spacing w:val="-1"/>
          <w:w w:val="54"/>
          <w:sz w:val="20"/>
        </w:rPr>
        <w:t>’</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w w:val="115"/>
          <w:sz w:val="20"/>
        </w:rPr>
        <w:t>a</w:t>
      </w:r>
      <w:r>
        <w:rPr>
          <w:rFonts w:ascii="Trebuchet MS" w:hAnsi="Trebuchet MS"/>
          <w:i/>
          <w:color w:val="37617A"/>
          <w:spacing w:val="-1"/>
          <w:w w:val="106"/>
          <w:sz w:val="20"/>
        </w:rPr>
        <w:t>m</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3"/>
          <w:w w:val="100"/>
          <w:sz w:val="20"/>
        </w:rPr>
        <w:t>e</w:t>
      </w:r>
      <w:r>
        <w:rPr>
          <w:rFonts w:ascii="Trebuchet MS" w:hAnsi="Trebuchet MS"/>
          <w:i/>
          <w:color w:val="37617A"/>
          <w:spacing w:val="-3"/>
          <w:w w:val="103"/>
          <w:sz w:val="20"/>
        </w:rPr>
        <w:t>v</w:t>
      </w:r>
      <w:r>
        <w:rPr>
          <w:rFonts w:ascii="Trebuchet MS" w:hAnsi="Trebuchet MS"/>
          <w:i/>
          <w:color w:val="37617A"/>
          <w:spacing w:val="1"/>
          <w:w w:val="100"/>
          <w:sz w:val="20"/>
        </w:rPr>
        <w:t>e</w:t>
      </w:r>
      <w:r>
        <w:rPr>
          <w:rFonts w:ascii="Trebuchet MS" w:hAnsi="Trebuchet MS"/>
          <w:i/>
          <w:color w:val="37617A"/>
          <w:spacing w:val="4"/>
          <w:w w:val="84"/>
          <w:sz w:val="20"/>
        </w:rPr>
        <w:t>r</w:t>
      </w:r>
      <w:r>
        <w:rPr>
          <w:rFonts w:ascii="Trebuchet MS" w:hAnsi="Trebuchet MS"/>
          <w:i/>
          <w:color w:val="37617A"/>
          <w:spacing w:val="-2"/>
          <w:w w:val="101"/>
          <w:sz w:val="20"/>
        </w:rPr>
        <w:t>y</w:t>
      </w:r>
      <w:r>
        <w:rPr>
          <w:rFonts w:ascii="Trebuchet MS" w:hAnsi="Trebuchet MS"/>
          <w:i/>
          <w:color w:val="37617A"/>
          <w:w w:val="107"/>
          <w:sz w:val="20"/>
        </w:rPr>
        <w:t>b</w:t>
      </w:r>
      <w:r>
        <w:rPr>
          <w:rFonts w:ascii="Trebuchet MS" w:hAnsi="Trebuchet MS"/>
          <w:i/>
          <w:color w:val="37617A"/>
          <w:spacing w:val="1"/>
          <w:w w:val="107"/>
          <w:sz w:val="20"/>
        </w:rPr>
        <w:t>o</w:t>
      </w:r>
      <w:r>
        <w:rPr>
          <w:rFonts w:ascii="Trebuchet MS" w:hAnsi="Trebuchet MS"/>
          <w:i/>
          <w:color w:val="37617A"/>
          <w:spacing w:val="-2"/>
          <w:w w:val="108"/>
          <w:sz w:val="20"/>
        </w:rPr>
        <w:t>d</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w w:val="100"/>
          <w:sz w:val="20"/>
        </w:rPr>
        <w:t>e</w:t>
      </w:r>
      <w:r>
        <w:rPr>
          <w:rFonts w:ascii="Trebuchet MS" w:hAnsi="Trebuchet MS"/>
          <w:i/>
          <w:color w:val="37617A"/>
          <w:spacing w:val="2"/>
          <w:w w:val="87"/>
          <w:sz w:val="20"/>
        </w:rPr>
        <w:t>l</w:t>
      </w:r>
      <w:r>
        <w:rPr>
          <w:rFonts w:ascii="Trebuchet MS" w:hAnsi="Trebuchet MS"/>
          <w:i/>
          <w:color w:val="37617A"/>
          <w:spacing w:val="-2"/>
          <w:w w:val="117"/>
          <w:sz w:val="20"/>
        </w:rPr>
        <w:t>s</w:t>
      </w:r>
      <w:r>
        <w:rPr>
          <w:rFonts w:ascii="Trebuchet MS" w:hAnsi="Trebuchet MS"/>
          <w:i/>
          <w:color w:val="37617A"/>
          <w:spacing w:val="2"/>
          <w:w w:val="100"/>
          <w:sz w:val="20"/>
        </w:rPr>
        <w:t>e</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spacing w:val="-6"/>
          <w:w w:val="100"/>
          <w:sz w:val="20"/>
        </w:rPr>
        <w:t>e</w:t>
      </w:r>
      <w:r>
        <w:rPr>
          <w:rFonts w:ascii="Trebuchet MS" w:hAnsi="Trebuchet MS"/>
          <w:i/>
          <w:color w:val="37617A"/>
          <w:spacing w:val="-1"/>
          <w:w w:val="54"/>
          <w:sz w:val="20"/>
        </w:rPr>
        <w:t>’</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w w:val="103"/>
          <w:sz w:val="20"/>
        </w:rPr>
        <w:t>u</w:t>
      </w:r>
      <w:r>
        <w:rPr>
          <w:rFonts w:ascii="Trebuchet MS" w:hAnsi="Trebuchet MS"/>
          <w:i/>
          <w:color w:val="37617A"/>
          <w:w w:val="106"/>
          <w:sz w:val="20"/>
        </w:rPr>
        <w:t>m</w:t>
      </w:r>
      <w:r>
        <w:rPr>
          <w:rFonts w:ascii="Trebuchet MS" w:hAnsi="Trebuchet MS"/>
          <w:i/>
          <w:color w:val="37617A"/>
          <w:w w:val="115"/>
          <w:sz w:val="20"/>
        </w:rPr>
        <w:t>a</w:t>
      </w:r>
      <w:r>
        <w:rPr>
          <w:rFonts w:ascii="Trebuchet MS" w:hAnsi="Trebuchet MS"/>
          <w:i/>
          <w:color w:val="37617A"/>
          <w:spacing w:val="1"/>
          <w:w w:val="103"/>
          <w:sz w:val="20"/>
        </w:rPr>
        <w:t>n</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spacing w:val="-2"/>
          <w:w w:val="115"/>
          <w:sz w:val="20"/>
        </w:rPr>
        <w:t>a</w:t>
      </w:r>
      <w:r>
        <w:rPr>
          <w:rFonts w:ascii="Trebuchet MS" w:hAnsi="Trebuchet MS"/>
          <w:i/>
          <w:color w:val="37617A"/>
          <w:spacing w:val="-3"/>
          <w:w w:val="103"/>
          <w:sz w:val="20"/>
        </w:rPr>
        <w:t>v</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7"/>
          <w:sz w:val="20"/>
        </w:rPr>
        <w:t>k</w:t>
      </w:r>
      <w:r>
        <w:rPr>
          <w:rFonts w:ascii="Trebuchet MS" w:hAnsi="Trebuchet MS"/>
          <w:i/>
          <w:color w:val="37617A"/>
          <w:w w:val="73"/>
          <w:sz w:val="20"/>
        </w:rPr>
        <w:t>i</w:t>
      </w:r>
      <w:r>
        <w:rPr>
          <w:rFonts w:ascii="Trebuchet MS" w:hAnsi="Trebuchet MS"/>
          <w:i/>
          <w:color w:val="37617A"/>
          <w:w w:val="108"/>
          <w:sz w:val="20"/>
        </w:rPr>
        <w:t>d</w:t>
      </w:r>
      <w:r>
        <w:rPr>
          <w:rFonts w:ascii="Trebuchet MS" w:hAnsi="Trebuchet MS"/>
          <w:i/>
          <w:color w:val="37617A"/>
          <w:spacing w:val="3"/>
          <w:w w:val="117"/>
          <w:sz w:val="20"/>
        </w:rPr>
        <w:t>s</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9"/>
          <w:sz w:val="20"/>
        </w:rPr>
        <w:t>g</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7"/>
          <w:sz w:val="20"/>
        </w:rPr>
        <w:t>o</w:t>
      </w:r>
      <w:r>
        <w:rPr>
          <w:rFonts w:ascii="Trebuchet MS" w:hAnsi="Trebuchet MS"/>
          <w:i/>
          <w:color w:val="37617A"/>
          <w:spacing w:val="-2"/>
          <w:w w:val="84"/>
          <w:sz w:val="20"/>
        </w:rPr>
        <w:t>r</w:t>
      </w:r>
      <w:r>
        <w:rPr>
          <w:rFonts w:ascii="Trebuchet MS" w:hAnsi="Trebuchet MS"/>
          <w:i/>
          <w:color w:val="37617A"/>
          <w:w w:val="107"/>
          <w:sz w:val="20"/>
        </w:rPr>
        <w:t>k</w:t>
      </w:r>
      <w:r>
        <w:rPr>
          <w:rFonts w:ascii="Trebuchet MS" w:hAnsi="Trebuchet MS"/>
          <w:i/>
          <w:color w:val="37617A"/>
          <w:w w:val="56"/>
          <w:sz w:val="20"/>
        </w:rPr>
        <w:t>,</w:t>
      </w:r>
      <w:r>
        <w:rPr>
          <w:rFonts w:ascii="Trebuchet MS" w:hAnsi="Trebuchet MS"/>
          <w:i/>
          <w:color w:val="37617A"/>
          <w:w w:val="56"/>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8"/>
          <w:sz w:val="20"/>
        </w:rPr>
        <w:t>d</w:t>
      </w:r>
      <w:r>
        <w:rPr>
          <w:rFonts w:ascii="Trebuchet MS" w:hAnsi="Trebuchet MS"/>
          <w:i/>
          <w:color w:val="37617A"/>
          <w:spacing w:val="-2"/>
          <w:w w:val="84"/>
          <w:sz w:val="20"/>
        </w:rPr>
        <w:t>r</w:t>
      </w:r>
      <w:r>
        <w:rPr>
          <w:rFonts w:ascii="Trebuchet MS" w:hAnsi="Trebuchet MS"/>
          <w:i/>
          <w:color w:val="37617A"/>
          <w:spacing w:val="-2"/>
          <w:w w:val="73"/>
          <w:sz w:val="20"/>
        </w:rPr>
        <w:t>i</w:t>
      </w:r>
      <w:r>
        <w:rPr>
          <w:rFonts w:ascii="Trebuchet MS" w:hAnsi="Trebuchet MS"/>
          <w:i/>
          <w:color w:val="37617A"/>
          <w:spacing w:val="-3"/>
          <w:w w:val="103"/>
          <w:sz w:val="20"/>
        </w:rPr>
        <w:t>v</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15"/>
          <w:sz w:val="20"/>
        </w:rPr>
        <w:t>a</w:t>
      </w:r>
      <w:r>
        <w:rPr>
          <w:rFonts w:ascii="Trebuchet MS" w:hAnsi="Trebuchet MS"/>
          <w:i/>
          <w:color w:val="37617A"/>
          <w:spacing w:val="-1"/>
          <w:w w:val="84"/>
          <w:sz w:val="20"/>
        </w:rPr>
        <w:t>r</w:t>
      </w:r>
      <w:r>
        <w:rPr>
          <w:rFonts w:ascii="Trebuchet MS" w:hAnsi="Trebuchet MS"/>
          <w:i/>
          <w:color w:val="37617A"/>
          <w:spacing w:val="3"/>
          <w:w w:val="117"/>
          <w:sz w:val="20"/>
        </w:rPr>
        <w:t>s</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spacing w:val="-2"/>
          <w:w w:val="115"/>
          <w:sz w:val="20"/>
        </w:rPr>
        <w:t>a</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w w:val="106"/>
          <w:sz w:val="20"/>
        </w:rPr>
        <w:t>m</w:t>
      </w:r>
      <w:r>
        <w:rPr>
          <w:rFonts w:ascii="Trebuchet MS" w:hAnsi="Trebuchet MS"/>
          <w:i/>
          <w:color w:val="37617A"/>
          <w:w w:val="107"/>
          <w:sz w:val="20"/>
        </w:rPr>
        <w:t>o</w:t>
      </w:r>
      <w:r>
        <w:rPr>
          <w:rFonts w:ascii="Trebuchet MS" w:hAnsi="Trebuchet MS"/>
          <w:i/>
          <w:color w:val="37617A"/>
          <w:spacing w:val="2"/>
          <w:w w:val="84"/>
          <w:sz w:val="20"/>
        </w:rPr>
        <w:t>r</w:t>
      </w:r>
      <w:r>
        <w:rPr>
          <w:rFonts w:ascii="Trebuchet MS" w:hAnsi="Trebuchet MS"/>
          <w:i/>
          <w:color w:val="37617A"/>
          <w:spacing w:val="-5"/>
          <w:w w:val="80"/>
          <w:sz w:val="20"/>
        </w:rPr>
        <w:t>t</w:t>
      </w:r>
      <w:r>
        <w:rPr>
          <w:rFonts w:ascii="Trebuchet MS" w:hAnsi="Trebuchet MS"/>
          <w:i/>
          <w:color w:val="37617A"/>
          <w:w w:val="119"/>
          <w:sz w:val="20"/>
        </w:rPr>
        <w:t>g</w:t>
      </w:r>
      <w:r>
        <w:rPr>
          <w:rFonts w:ascii="Trebuchet MS" w:hAnsi="Trebuchet MS"/>
          <w:i/>
          <w:color w:val="37617A"/>
          <w:spacing w:val="-1"/>
          <w:w w:val="115"/>
          <w:sz w:val="20"/>
        </w:rPr>
        <w:t>a</w:t>
      </w:r>
      <w:r>
        <w:rPr>
          <w:rFonts w:ascii="Trebuchet MS" w:hAnsi="Trebuchet MS"/>
          <w:i/>
          <w:color w:val="37617A"/>
          <w:spacing w:val="-1"/>
          <w:w w:val="119"/>
          <w:sz w:val="20"/>
        </w:rPr>
        <w:t>g</w:t>
      </w:r>
      <w:r>
        <w:rPr>
          <w:rFonts w:ascii="Trebuchet MS" w:hAnsi="Trebuchet MS"/>
          <w:i/>
          <w:color w:val="37617A"/>
          <w:w w:val="100"/>
          <w:sz w:val="20"/>
        </w:rPr>
        <w:t>e</w:t>
      </w:r>
      <w:r>
        <w:rPr>
          <w:rFonts w:ascii="Trebuchet MS" w:hAnsi="Trebuchet MS"/>
          <w:i/>
          <w:color w:val="37617A"/>
          <w:spacing w:val="-4"/>
          <w:w w:val="117"/>
          <w:sz w:val="20"/>
        </w:rPr>
        <w:t>s</w:t>
      </w:r>
      <w:r>
        <w:rPr>
          <w:rFonts w:ascii="Trebuchet MS" w:hAnsi="Trebuchet MS"/>
          <w:i/>
          <w:color w:val="37617A"/>
          <w:spacing w:val="2"/>
          <w:w w:val="118"/>
          <w:sz w:val="20"/>
        </w:rPr>
        <w:t>—</w:t>
      </w:r>
      <w:r>
        <w:rPr>
          <w:rFonts w:ascii="Trebuchet MS" w:hAnsi="Trebuchet MS"/>
          <w:i/>
          <w:color w:val="37617A"/>
          <w:w w:val="92"/>
          <w:sz w:val="20"/>
        </w:rPr>
        <w:t>I</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15"/>
          <w:sz w:val="20"/>
        </w:rPr>
        <w:t>a</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1"/>
          <w:w w:val="117"/>
          <w:sz w:val="20"/>
        </w:rPr>
        <w:t>s</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2"/>
          <w:w w:val="83"/>
          <w:sz w:val="20"/>
        </w:rPr>
        <w:t>f</w:t>
      </w:r>
      <w:r>
        <w:rPr>
          <w:rFonts w:ascii="Trebuchet MS" w:hAnsi="Trebuchet MS"/>
          <w:i/>
          <w:color w:val="37617A"/>
          <w:w w:val="103"/>
          <w:sz w:val="20"/>
        </w:rPr>
        <w:t>u</w:t>
      </w:r>
      <w:r>
        <w:rPr>
          <w:rFonts w:ascii="Trebuchet MS" w:hAnsi="Trebuchet MS"/>
          <w:i/>
          <w:color w:val="37617A"/>
          <w:w w:val="106"/>
          <w:sz w:val="20"/>
        </w:rPr>
        <w:t>m</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w w:val="100"/>
          <w:sz w:val="20"/>
        </w:rPr>
        <w:t>e</w:t>
      </w:r>
      <w:r>
        <w:rPr>
          <w:rFonts w:ascii="Trebuchet MS" w:hAnsi="Trebuchet MS"/>
          <w:i/>
          <w:color w:val="37617A"/>
          <w:spacing w:val="-1"/>
          <w:w w:val="115"/>
          <w:sz w:val="20"/>
        </w:rPr>
        <w:t>c</w:t>
      </w:r>
      <w:r>
        <w:rPr>
          <w:rFonts w:ascii="Trebuchet MS" w:hAnsi="Trebuchet MS"/>
          <w:i/>
          <w:color w:val="37617A"/>
          <w:spacing w:val="-1"/>
          <w:w w:val="115"/>
          <w:sz w:val="20"/>
        </w:rPr>
        <w:t>a</w:t>
      </w:r>
      <w:r>
        <w:rPr>
          <w:rFonts w:ascii="Trebuchet MS" w:hAnsi="Trebuchet MS"/>
          <w:i/>
          <w:color w:val="37617A"/>
          <w:w w:val="103"/>
          <w:sz w:val="20"/>
        </w:rPr>
        <w:t>u</w:t>
      </w:r>
      <w:r>
        <w:rPr>
          <w:rFonts w:ascii="Trebuchet MS" w:hAnsi="Trebuchet MS"/>
          <w:i/>
          <w:color w:val="37617A"/>
          <w:spacing w:val="-2"/>
          <w:w w:val="117"/>
          <w:sz w:val="20"/>
        </w:rPr>
        <w:t>s</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92"/>
          <w:sz w:val="20"/>
        </w:rPr>
        <w:t>I</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spacing w:val="-3"/>
          <w:w w:val="87"/>
          <w:sz w:val="20"/>
        </w:rPr>
        <w:t>l</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spacing w:val="-1"/>
          <w:w w:val="103"/>
          <w:sz w:val="20"/>
        </w:rPr>
        <w:t>n</w:t>
      </w:r>
      <w:r>
        <w:rPr>
          <w:rFonts w:ascii="Trebuchet MS" w:hAnsi="Trebuchet MS"/>
          <w:i/>
          <w:color w:val="37617A"/>
          <w:spacing w:val="-2"/>
          <w:w w:val="107"/>
          <w:sz w:val="20"/>
        </w:rPr>
        <w:t>o</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spacing w:val="-2"/>
          <w:w w:val="115"/>
          <w:sz w:val="20"/>
        </w:rPr>
        <w:t>a</w:t>
      </w:r>
      <w:r>
        <w:rPr>
          <w:rFonts w:ascii="Trebuchet MS" w:hAnsi="Trebuchet MS"/>
          <w:i/>
          <w:color w:val="37617A"/>
          <w:spacing w:val="-3"/>
          <w:w w:val="103"/>
          <w:sz w:val="20"/>
        </w:rPr>
        <w:t>v</w:t>
      </w:r>
      <w:r>
        <w:rPr>
          <w:rFonts w:ascii="Trebuchet MS" w:hAnsi="Trebuchet MS"/>
          <w:i/>
          <w:color w:val="37617A"/>
          <w:w w:val="100"/>
          <w:sz w:val="20"/>
        </w:rPr>
        <w:t>e e</w:t>
      </w:r>
      <w:r>
        <w:rPr>
          <w:rFonts w:ascii="Trebuchet MS" w:hAnsi="Trebuchet MS"/>
          <w:i/>
          <w:color w:val="37617A"/>
          <w:w w:val="107"/>
          <w:sz w:val="20"/>
        </w:rPr>
        <w:t>q</w:t>
      </w:r>
      <w:r>
        <w:rPr>
          <w:rFonts w:ascii="Trebuchet MS" w:hAnsi="Trebuchet MS"/>
          <w:i/>
          <w:color w:val="37617A"/>
          <w:spacing w:val="-1"/>
          <w:w w:val="109"/>
          <w:sz w:val="20"/>
        </w:rPr>
        <w:t>u</w:t>
      </w:r>
      <w:r>
        <w:rPr>
          <w:rFonts w:ascii="Trebuchet MS" w:hAnsi="Trebuchet MS"/>
          <w:i/>
          <w:color w:val="37617A"/>
          <w:w w:val="109"/>
          <w:sz w:val="20"/>
        </w:rPr>
        <w:t>a</w:t>
      </w:r>
      <w:r>
        <w:rPr>
          <w:rFonts w:ascii="Trebuchet MS" w:hAnsi="Trebuchet MS"/>
          <w:i/>
          <w:color w:val="37617A"/>
          <w:w w:val="87"/>
          <w:sz w:val="20"/>
        </w:rPr>
        <w:t>l</w:t>
      </w:r>
      <w:r>
        <w:rPr>
          <w:rFonts w:ascii="Trebuchet MS" w:hAnsi="Trebuchet MS"/>
          <w:i/>
          <w:color w:val="37617A"/>
          <w:spacing w:val="-13"/>
          <w:sz w:val="20"/>
        </w:rPr>
        <w:t> </w:t>
      </w:r>
      <w:r>
        <w:rPr>
          <w:rFonts w:ascii="Trebuchet MS" w:hAnsi="Trebuchet MS"/>
          <w:i/>
          <w:color w:val="37617A"/>
          <w:spacing w:val="-1"/>
          <w:w w:val="111"/>
          <w:sz w:val="20"/>
        </w:rPr>
        <w:t>acc</w:t>
      </w:r>
      <w:r>
        <w:rPr>
          <w:rFonts w:ascii="Trebuchet MS" w:hAnsi="Trebuchet MS"/>
          <w:i/>
          <w:color w:val="37617A"/>
          <w:w w:val="111"/>
          <w:sz w:val="20"/>
        </w:rPr>
        <w:t>e</w:t>
      </w:r>
      <w:r>
        <w:rPr>
          <w:rFonts w:ascii="Trebuchet MS" w:hAnsi="Trebuchet MS"/>
          <w:i/>
          <w:color w:val="37617A"/>
          <w:w w:val="117"/>
          <w:sz w:val="20"/>
        </w:rPr>
        <w:t>ss</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73"/>
          <w:sz w:val="20"/>
        </w:rPr>
        <w:t>i</w:t>
      </w:r>
      <w:r>
        <w:rPr>
          <w:rFonts w:ascii="Trebuchet MS" w:hAnsi="Trebuchet MS"/>
          <w:i/>
          <w:color w:val="37617A"/>
          <w:spacing w:val="3"/>
          <w:w w:val="117"/>
          <w:sz w:val="20"/>
        </w:rPr>
        <w:t>s</w:t>
      </w:r>
      <w:r>
        <w:rPr>
          <w:rFonts w:ascii="Trebuchet MS" w:hAnsi="Trebuchet MS"/>
          <w:i/>
          <w:color w:val="37617A"/>
          <w:w w:val="54"/>
          <w:sz w:val="20"/>
        </w:rPr>
        <w:t>.</w:t>
      </w:r>
      <w:r>
        <w:rPr>
          <w:rFonts w:ascii="Trebuchet MS" w:hAnsi="Trebuchet MS"/>
          <w:i/>
          <w:color w:val="37617A"/>
          <w:w w:val="87"/>
          <w:position w:val="7"/>
          <w:sz w:val="11"/>
        </w:rPr>
        <w:t>1</w:t>
      </w:r>
      <w:r>
        <w:rPr>
          <w:rFonts w:ascii="Trebuchet MS" w:hAnsi="Trebuchet MS"/>
          <w:i/>
          <w:color w:val="37617A"/>
          <w:spacing w:val="14"/>
          <w:position w:val="7"/>
          <w:sz w:val="11"/>
        </w:rPr>
        <w:t> </w:t>
      </w:r>
      <w:r>
        <w:rPr>
          <w:rFonts w:ascii="Trebuchet MS" w:hAnsi="Trebuchet MS"/>
          <w:color w:val="37617A"/>
          <w:spacing w:val="4"/>
          <w:w w:val="124"/>
          <w:sz w:val="19"/>
        </w:rPr>
        <w:t>—</w:t>
      </w:r>
      <w:r>
        <w:rPr>
          <w:rFonts w:ascii="Trebuchet MS" w:hAnsi="Trebuchet MS"/>
          <w:color w:val="37617A"/>
          <w:spacing w:val="2"/>
          <w:w w:val="105"/>
          <w:sz w:val="19"/>
        </w:rPr>
        <w:t>G</w:t>
      </w:r>
      <w:r>
        <w:rPr>
          <w:rFonts w:ascii="Trebuchet MS" w:hAnsi="Trebuchet MS"/>
          <w:color w:val="37617A"/>
          <w:spacing w:val="-5"/>
          <w:w w:val="105"/>
          <w:sz w:val="19"/>
        </w:rPr>
        <w:t>a</w:t>
      </w:r>
      <w:r>
        <w:rPr>
          <w:rFonts w:ascii="Trebuchet MS" w:hAnsi="Trebuchet MS"/>
          <w:color w:val="37617A"/>
          <w:spacing w:val="-4"/>
          <w:w w:val="109"/>
          <w:sz w:val="19"/>
        </w:rPr>
        <w:t>y</w:t>
      </w:r>
      <w:r>
        <w:rPr>
          <w:rFonts w:ascii="Trebuchet MS" w:hAnsi="Trebuchet MS"/>
          <w:color w:val="37617A"/>
          <w:w w:val="109"/>
          <w:sz w:val="19"/>
        </w:rPr>
        <w:t>e</w:t>
      </w:r>
      <w:r>
        <w:rPr>
          <w:rFonts w:ascii="Trebuchet MS" w:hAnsi="Trebuchet MS"/>
          <w:color w:val="37617A"/>
          <w:spacing w:val="-12"/>
          <w:sz w:val="19"/>
        </w:rPr>
        <w:t> </w:t>
      </w:r>
      <w:r>
        <w:rPr>
          <w:rFonts w:ascii="Trebuchet MS" w:hAnsi="Trebuchet MS"/>
          <w:color w:val="37617A"/>
          <w:spacing w:val="-11"/>
          <w:w w:val="115"/>
          <w:sz w:val="19"/>
        </w:rPr>
        <w:t>L</w:t>
      </w:r>
      <w:r>
        <w:rPr>
          <w:rFonts w:ascii="Trebuchet MS" w:hAnsi="Trebuchet MS"/>
          <w:color w:val="37617A"/>
          <w:spacing w:val="-4"/>
          <w:w w:val="111"/>
          <w:sz w:val="19"/>
        </w:rPr>
        <w:t>y</w:t>
      </w:r>
      <w:r>
        <w:rPr>
          <w:rFonts w:ascii="Trebuchet MS" w:hAnsi="Trebuchet MS"/>
          <w:color w:val="37617A"/>
          <w:w w:val="111"/>
          <w:sz w:val="19"/>
        </w:rPr>
        <w:t>o</w:t>
      </w:r>
      <w:r>
        <w:rPr>
          <w:rFonts w:ascii="Trebuchet MS" w:hAnsi="Trebuchet MS"/>
          <w:color w:val="37617A"/>
          <w:w w:val="107"/>
          <w:sz w:val="19"/>
        </w:rPr>
        <w:t>n</w:t>
      </w:r>
      <w:r>
        <w:rPr>
          <w:rFonts w:ascii="Trebuchet MS" w:hAnsi="Trebuchet MS"/>
          <w:color w:val="37617A"/>
          <w:w w:val="122"/>
          <w:sz w:val="19"/>
        </w:rPr>
        <w:t>s</w:t>
      </w:r>
    </w:p>
    <w:p>
      <w:pPr>
        <w:pStyle w:val="BodyText"/>
        <w:spacing w:before="6"/>
        <w:rPr>
          <w:rFonts w:ascii="Trebuchet MS"/>
          <w:sz w:val="9"/>
        </w:rPr>
      </w:pPr>
      <w:r>
        <w:rPr/>
        <w:pict>
          <v:line style="position:absolute;mso-position-horizontal-relative:page;mso-position-vertical-relative:paragraph;z-index:3272;mso-wrap-distance-left:0;mso-wrap-distance-right:0" from="79.370102pt,7.768996pt" to="515.905102pt,7.768996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pStyle w:val="Heading2"/>
        <w:rPr>
          <w:b/>
        </w:rPr>
      </w:pPr>
      <w:r>
        <w:rPr>
          <w:b/>
          <w:color w:val="37617A"/>
        </w:rPr>
        <w:t>Overview</w:t>
      </w:r>
    </w:p>
    <w:p>
      <w:pPr>
        <w:pStyle w:val="ListParagraph"/>
        <w:numPr>
          <w:ilvl w:val="0"/>
          <w:numId w:val="51"/>
        </w:numPr>
        <w:tabs>
          <w:tab w:pos="2157" w:val="left" w:leader="none"/>
          <w:tab w:pos="2158" w:val="left" w:leader="none"/>
        </w:tabs>
        <w:spacing w:line="206" w:lineRule="auto" w:before="146" w:after="0"/>
        <w:ind w:left="2157" w:right="1765" w:hanging="396"/>
        <w:jc w:val="left"/>
        <w:rPr>
          <w:sz w:val="20"/>
        </w:rPr>
      </w:pPr>
      <w:r>
        <w:rPr>
          <w:sz w:val="20"/>
        </w:rPr>
        <w:t>Reform is needed to align the jury empanelment process with community expectations,</w:t>
      </w:r>
      <w:r>
        <w:rPr>
          <w:spacing w:val="-14"/>
          <w:sz w:val="20"/>
        </w:rPr>
        <w:t> </w:t>
      </w:r>
      <w:r>
        <w:rPr>
          <w:spacing w:val="-3"/>
          <w:sz w:val="20"/>
        </w:rPr>
        <w:t>laws</w:t>
      </w:r>
      <w:r>
        <w:rPr>
          <w:spacing w:val="-13"/>
          <w:sz w:val="20"/>
        </w:rPr>
        <w:t> </w:t>
      </w:r>
      <w:r>
        <w:rPr>
          <w:sz w:val="20"/>
        </w:rPr>
        <w:t>and</w:t>
      </w:r>
      <w:r>
        <w:rPr>
          <w:spacing w:val="-14"/>
          <w:sz w:val="20"/>
        </w:rPr>
        <w:t> </w:t>
      </w:r>
      <w:r>
        <w:rPr>
          <w:sz w:val="20"/>
        </w:rPr>
        <w:t>policies</w:t>
      </w:r>
      <w:r>
        <w:rPr>
          <w:spacing w:val="-13"/>
          <w:sz w:val="20"/>
        </w:rPr>
        <w:t> </w:t>
      </w:r>
      <w:r>
        <w:rPr>
          <w:sz w:val="20"/>
        </w:rPr>
        <w:t>about</w:t>
      </w:r>
      <w:r>
        <w:rPr>
          <w:spacing w:val="-14"/>
          <w:sz w:val="20"/>
        </w:rPr>
        <w:t> </w:t>
      </w:r>
      <w:r>
        <w:rPr>
          <w:sz w:val="20"/>
        </w:rPr>
        <w:t>non-discrimination</w:t>
      </w:r>
      <w:r>
        <w:rPr>
          <w:spacing w:val="-13"/>
          <w:sz w:val="20"/>
        </w:rPr>
        <w:t> </w:t>
      </w:r>
      <w:r>
        <w:rPr>
          <w:sz w:val="20"/>
        </w:rPr>
        <w:t>and</w:t>
      </w:r>
      <w:r>
        <w:rPr>
          <w:spacing w:val="-13"/>
          <w:sz w:val="20"/>
        </w:rPr>
        <w:t> </w:t>
      </w:r>
      <w:r>
        <w:rPr>
          <w:sz w:val="20"/>
        </w:rPr>
        <w:t>the</w:t>
      </w:r>
      <w:r>
        <w:rPr>
          <w:spacing w:val="-14"/>
          <w:sz w:val="20"/>
        </w:rPr>
        <w:t> </w:t>
      </w:r>
      <w:r>
        <w:rPr>
          <w:sz w:val="20"/>
        </w:rPr>
        <w:t>inclusion</w:t>
      </w:r>
      <w:r>
        <w:rPr>
          <w:spacing w:val="-13"/>
          <w:sz w:val="20"/>
        </w:rPr>
        <w:t> </w:t>
      </w:r>
      <w:r>
        <w:rPr>
          <w:sz w:val="20"/>
        </w:rPr>
        <w:t>of people with disabilities in public</w:t>
      </w:r>
      <w:r>
        <w:rPr>
          <w:spacing w:val="-24"/>
          <w:sz w:val="20"/>
        </w:rPr>
        <w:t> </w:t>
      </w:r>
      <w:r>
        <w:rPr>
          <w:sz w:val="20"/>
        </w:rPr>
        <w:t>life.</w:t>
      </w:r>
    </w:p>
    <w:p>
      <w:pPr>
        <w:pStyle w:val="ListParagraph"/>
        <w:numPr>
          <w:ilvl w:val="0"/>
          <w:numId w:val="51"/>
        </w:numPr>
        <w:tabs>
          <w:tab w:pos="2157" w:val="left" w:leader="none"/>
          <w:tab w:pos="2158" w:val="left" w:leader="none"/>
        </w:tabs>
        <w:spacing w:line="206" w:lineRule="auto" w:before="89" w:after="0"/>
        <w:ind w:left="2157" w:right="1297" w:hanging="396"/>
        <w:jc w:val="left"/>
        <w:rPr>
          <w:sz w:val="20"/>
        </w:rPr>
      </w:pPr>
      <w:r>
        <w:rPr>
          <w:sz w:val="20"/>
        </w:rPr>
        <w:t>Non-discrimination</w:t>
      </w:r>
      <w:r>
        <w:rPr>
          <w:spacing w:val="-16"/>
          <w:sz w:val="20"/>
        </w:rPr>
        <w:t> </w:t>
      </w:r>
      <w:r>
        <w:rPr>
          <w:sz w:val="20"/>
        </w:rPr>
        <w:t>and</w:t>
      </w:r>
      <w:r>
        <w:rPr>
          <w:spacing w:val="-16"/>
          <w:sz w:val="20"/>
        </w:rPr>
        <w:t> </w:t>
      </w:r>
      <w:r>
        <w:rPr>
          <w:sz w:val="20"/>
        </w:rPr>
        <w:t>inclusion</w:t>
      </w:r>
      <w:r>
        <w:rPr>
          <w:spacing w:val="-15"/>
          <w:sz w:val="20"/>
        </w:rPr>
        <w:t> </w:t>
      </w:r>
      <w:r>
        <w:rPr>
          <w:spacing w:val="-3"/>
          <w:sz w:val="20"/>
        </w:rPr>
        <w:t>are</w:t>
      </w:r>
      <w:r>
        <w:rPr>
          <w:spacing w:val="-16"/>
          <w:sz w:val="20"/>
        </w:rPr>
        <w:t> </w:t>
      </w:r>
      <w:r>
        <w:rPr>
          <w:sz w:val="20"/>
        </w:rPr>
        <w:t>principles</w:t>
      </w:r>
      <w:r>
        <w:rPr>
          <w:spacing w:val="-15"/>
          <w:sz w:val="20"/>
        </w:rPr>
        <w:t> </w:t>
      </w:r>
      <w:r>
        <w:rPr>
          <w:sz w:val="20"/>
        </w:rPr>
        <w:t>and</w:t>
      </w:r>
      <w:r>
        <w:rPr>
          <w:spacing w:val="-16"/>
          <w:sz w:val="20"/>
        </w:rPr>
        <w:t> </w:t>
      </w:r>
      <w:r>
        <w:rPr>
          <w:sz w:val="20"/>
        </w:rPr>
        <w:t>legal</w:t>
      </w:r>
      <w:r>
        <w:rPr>
          <w:spacing w:val="-15"/>
          <w:sz w:val="20"/>
        </w:rPr>
        <w:t> </w:t>
      </w:r>
      <w:r>
        <w:rPr>
          <w:sz w:val="20"/>
        </w:rPr>
        <w:t>standards</w:t>
      </w:r>
      <w:r>
        <w:rPr>
          <w:spacing w:val="-16"/>
          <w:sz w:val="20"/>
        </w:rPr>
        <w:t> </w:t>
      </w:r>
      <w:r>
        <w:rPr>
          <w:sz w:val="20"/>
        </w:rPr>
        <w:t>that</w:t>
      </w:r>
      <w:r>
        <w:rPr>
          <w:spacing w:val="-15"/>
          <w:sz w:val="20"/>
        </w:rPr>
        <w:t> </w:t>
      </w:r>
      <w:r>
        <w:rPr>
          <w:sz w:val="20"/>
        </w:rPr>
        <w:t>permeate our </w:t>
      </w:r>
      <w:r>
        <w:rPr>
          <w:spacing w:val="-3"/>
          <w:sz w:val="20"/>
        </w:rPr>
        <w:t>everyday </w:t>
      </w:r>
      <w:r>
        <w:rPr>
          <w:sz w:val="20"/>
        </w:rPr>
        <w:t>lives as well as the justice system. Jury service should align with these fundamental</w:t>
      </w:r>
      <w:r>
        <w:rPr>
          <w:spacing w:val="-9"/>
          <w:sz w:val="20"/>
        </w:rPr>
        <w:t> </w:t>
      </w:r>
      <w:r>
        <w:rPr>
          <w:sz w:val="20"/>
        </w:rPr>
        <w:t>principles.</w:t>
      </w:r>
    </w:p>
    <w:p>
      <w:pPr>
        <w:pStyle w:val="Heading2"/>
        <w:spacing w:before="194"/>
        <w:rPr>
          <w:b/>
        </w:rPr>
      </w:pPr>
      <w:r>
        <w:rPr>
          <w:b/>
          <w:color w:val="37617A"/>
        </w:rPr>
        <w:t>Community expectations</w:t>
      </w:r>
    </w:p>
    <w:p>
      <w:pPr>
        <w:pStyle w:val="ListParagraph"/>
        <w:numPr>
          <w:ilvl w:val="1"/>
          <w:numId w:val="12"/>
        </w:numPr>
        <w:tabs>
          <w:tab w:pos="1761" w:val="left" w:leader="none"/>
          <w:tab w:pos="1762" w:val="left" w:leader="none"/>
        </w:tabs>
        <w:spacing w:line="206" w:lineRule="auto" w:before="146" w:after="0"/>
        <w:ind w:left="1761" w:right="1278" w:hanging="794"/>
        <w:jc w:val="left"/>
        <w:rPr>
          <w:sz w:val="20"/>
        </w:rPr>
      </w:pPr>
      <w:r>
        <w:rPr>
          <w:spacing w:val="-3"/>
          <w:sz w:val="20"/>
        </w:rPr>
        <w:t>Many </w:t>
      </w:r>
      <w:r>
        <w:rPr>
          <w:sz w:val="20"/>
        </w:rPr>
        <w:t>people </w:t>
      </w:r>
      <w:r>
        <w:rPr>
          <w:spacing w:val="-3"/>
          <w:sz w:val="20"/>
        </w:rPr>
        <w:t>may </w:t>
      </w:r>
      <w:r>
        <w:rPr>
          <w:sz w:val="20"/>
        </w:rPr>
        <w:t>be surprised that the law does not oblige the courts or Juries Victoria</w:t>
      </w:r>
      <w:r>
        <w:rPr>
          <w:spacing w:val="-13"/>
          <w:sz w:val="20"/>
        </w:rPr>
        <w:t> </w:t>
      </w:r>
      <w:r>
        <w:rPr>
          <w:sz w:val="20"/>
        </w:rPr>
        <w:t>to</w:t>
      </w:r>
      <w:r>
        <w:rPr>
          <w:spacing w:val="-12"/>
          <w:sz w:val="20"/>
        </w:rPr>
        <w:t> </w:t>
      </w:r>
      <w:r>
        <w:rPr>
          <w:spacing w:val="-3"/>
          <w:sz w:val="20"/>
        </w:rPr>
        <w:t>provide</w:t>
      </w:r>
      <w:r>
        <w:rPr>
          <w:spacing w:val="-12"/>
          <w:sz w:val="20"/>
        </w:rPr>
        <w:t> </w:t>
      </w:r>
      <w:r>
        <w:rPr>
          <w:sz w:val="20"/>
        </w:rPr>
        <w:t>reasonable</w:t>
      </w:r>
      <w:r>
        <w:rPr>
          <w:spacing w:val="-12"/>
          <w:sz w:val="20"/>
        </w:rPr>
        <w:t> </w:t>
      </w:r>
      <w:r>
        <w:rPr>
          <w:sz w:val="20"/>
        </w:rPr>
        <w:t>adjustments</w:t>
      </w:r>
      <w:r>
        <w:rPr>
          <w:spacing w:val="-12"/>
          <w:sz w:val="20"/>
        </w:rPr>
        <w:t> </w:t>
      </w:r>
      <w:r>
        <w:rPr>
          <w:sz w:val="20"/>
        </w:rPr>
        <w:t>so</w:t>
      </w:r>
      <w:r>
        <w:rPr>
          <w:spacing w:val="-13"/>
          <w:sz w:val="20"/>
        </w:rPr>
        <w:t> </w:t>
      </w:r>
      <w:r>
        <w:rPr>
          <w:sz w:val="20"/>
        </w:rPr>
        <w:t>that</w:t>
      </w:r>
      <w:r>
        <w:rPr>
          <w:spacing w:val="-12"/>
          <w:sz w:val="20"/>
        </w:rPr>
        <w:t> </w:t>
      </w:r>
      <w:r>
        <w:rPr>
          <w:sz w:val="20"/>
        </w:rPr>
        <w:t>people</w:t>
      </w:r>
      <w:r>
        <w:rPr>
          <w:spacing w:val="-12"/>
          <w:sz w:val="20"/>
        </w:rPr>
        <w:t> </w:t>
      </w:r>
      <w:r>
        <w:rPr>
          <w:sz w:val="20"/>
        </w:rPr>
        <w:t>with</w:t>
      </w:r>
      <w:r>
        <w:rPr>
          <w:spacing w:val="-12"/>
          <w:sz w:val="20"/>
        </w:rPr>
        <w:t> </w:t>
      </w:r>
      <w:r>
        <w:rPr>
          <w:sz w:val="20"/>
        </w:rPr>
        <w:t>disabilities</w:t>
      </w:r>
      <w:r>
        <w:rPr>
          <w:spacing w:val="-12"/>
          <w:sz w:val="20"/>
        </w:rPr>
        <w:t> </w:t>
      </w:r>
      <w:r>
        <w:rPr>
          <w:sz w:val="20"/>
        </w:rPr>
        <w:t>can</w:t>
      </w:r>
      <w:r>
        <w:rPr>
          <w:spacing w:val="-13"/>
          <w:sz w:val="20"/>
        </w:rPr>
        <w:t> </w:t>
      </w:r>
      <w:r>
        <w:rPr>
          <w:sz w:val="20"/>
        </w:rPr>
        <w:t>perform jury</w:t>
      </w:r>
      <w:r>
        <w:rPr>
          <w:spacing w:val="-11"/>
          <w:sz w:val="20"/>
        </w:rPr>
        <w:t> </w:t>
      </w:r>
      <w:r>
        <w:rPr>
          <w:sz w:val="20"/>
        </w:rPr>
        <w:t>service.</w:t>
      </w:r>
      <w:r>
        <w:rPr>
          <w:spacing w:val="-11"/>
          <w:sz w:val="20"/>
        </w:rPr>
        <w:t> </w:t>
      </w:r>
      <w:r>
        <w:rPr>
          <w:sz w:val="20"/>
        </w:rPr>
        <w:t>This</w:t>
      </w:r>
      <w:r>
        <w:rPr>
          <w:spacing w:val="-11"/>
          <w:sz w:val="20"/>
        </w:rPr>
        <w:t> </w:t>
      </w:r>
      <w:r>
        <w:rPr>
          <w:sz w:val="20"/>
        </w:rPr>
        <w:t>is</w:t>
      </w:r>
      <w:r>
        <w:rPr>
          <w:spacing w:val="-11"/>
          <w:sz w:val="20"/>
        </w:rPr>
        <w:t> </w:t>
      </w:r>
      <w:r>
        <w:rPr>
          <w:sz w:val="20"/>
        </w:rPr>
        <w:t>out</w:t>
      </w:r>
      <w:r>
        <w:rPr>
          <w:spacing w:val="-11"/>
          <w:sz w:val="20"/>
        </w:rPr>
        <w:t> </w:t>
      </w:r>
      <w:r>
        <w:rPr>
          <w:sz w:val="20"/>
        </w:rPr>
        <w:t>of</w:t>
      </w:r>
      <w:r>
        <w:rPr>
          <w:spacing w:val="-11"/>
          <w:sz w:val="20"/>
        </w:rPr>
        <w:t> </w:t>
      </w:r>
      <w:r>
        <w:rPr>
          <w:sz w:val="20"/>
        </w:rPr>
        <w:t>step</w:t>
      </w:r>
      <w:r>
        <w:rPr>
          <w:spacing w:val="-11"/>
          <w:sz w:val="20"/>
        </w:rPr>
        <w:t> </w:t>
      </w:r>
      <w:r>
        <w:rPr>
          <w:sz w:val="20"/>
        </w:rPr>
        <w:t>with</w:t>
      </w:r>
      <w:r>
        <w:rPr>
          <w:spacing w:val="-11"/>
          <w:sz w:val="20"/>
        </w:rPr>
        <w:t> </w:t>
      </w:r>
      <w:r>
        <w:rPr>
          <w:sz w:val="20"/>
        </w:rPr>
        <w:t>community</w:t>
      </w:r>
      <w:r>
        <w:rPr>
          <w:spacing w:val="-11"/>
          <w:sz w:val="20"/>
        </w:rPr>
        <w:t> </w:t>
      </w:r>
      <w:r>
        <w:rPr>
          <w:sz w:val="20"/>
        </w:rPr>
        <w:t>expectations.</w:t>
      </w:r>
      <w:r>
        <w:rPr>
          <w:spacing w:val="-11"/>
          <w:sz w:val="20"/>
        </w:rPr>
        <w:t> </w:t>
      </w:r>
      <w:r>
        <w:rPr>
          <w:sz w:val="20"/>
        </w:rPr>
        <w:t>Vision</w:t>
      </w:r>
      <w:r>
        <w:rPr>
          <w:spacing w:val="-11"/>
          <w:sz w:val="20"/>
        </w:rPr>
        <w:t> </w:t>
      </w:r>
      <w:r>
        <w:rPr>
          <w:sz w:val="20"/>
        </w:rPr>
        <w:t>Australia</w:t>
      </w:r>
      <w:r>
        <w:rPr>
          <w:spacing w:val="-10"/>
          <w:sz w:val="20"/>
        </w:rPr>
        <w:t> </w:t>
      </w:r>
      <w:r>
        <w:rPr>
          <w:sz w:val="20"/>
        </w:rPr>
        <w:t>observed that:</w:t>
      </w:r>
    </w:p>
    <w:p>
      <w:pPr>
        <w:spacing w:line="208" w:lineRule="auto" w:before="123"/>
        <w:ind w:left="2157" w:right="1335" w:firstLine="0"/>
        <w:jc w:val="left"/>
        <w:rPr>
          <w:sz w:val="11"/>
        </w:rPr>
      </w:pPr>
      <w:r>
        <w:rPr>
          <w:sz w:val="19"/>
        </w:rPr>
        <w:t>Over the past 30 years or so a number of factors have combined to reinforce expectations of full, equal, dignified and independent participation by people with disability in every aspect of life, including civic participation such as jury service.</w:t>
      </w:r>
      <w:r>
        <w:rPr>
          <w:position w:val="6"/>
          <w:sz w:val="11"/>
        </w:rPr>
        <w:t>2</w:t>
      </w:r>
    </w:p>
    <w:p>
      <w:pPr>
        <w:pStyle w:val="ListParagraph"/>
        <w:numPr>
          <w:ilvl w:val="1"/>
          <w:numId w:val="12"/>
        </w:numPr>
        <w:tabs>
          <w:tab w:pos="1761" w:val="left" w:leader="none"/>
          <w:tab w:pos="1762" w:val="left" w:leader="none"/>
        </w:tabs>
        <w:spacing w:line="206" w:lineRule="auto" w:before="124" w:after="0"/>
        <w:ind w:left="1761" w:right="1205" w:hanging="794"/>
        <w:jc w:val="left"/>
        <w:rPr>
          <w:sz w:val="20"/>
        </w:rPr>
      </w:pPr>
      <w:r>
        <w:rPr>
          <w:sz w:val="20"/>
        </w:rPr>
        <w:t>Communication tools for people in the subject groups </w:t>
      </w:r>
      <w:r>
        <w:rPr>
          <w:spacing w:val="-3"/>
          <w:sz w:val="20"/>
        </w:rPr>
        <w:t>are increasingly </w:t>
      </w:r>
      <w:r>
        <w:rPr>
          <w:sz w:val="20"/>
        </w:rPr>
        <w:t>visible and familiar in the Victorian </w:t>
      </w:r>
      <w:r>
        <w:rPr>
          <w:spacing w:val="-3"/>
          <w:sz w:val="20"/>
        </w:rPr>
        <w:t>community. </w:t>
      </w:r>
      <w:r>
        <w:rPr>
          <w:sz w:val="20"/>
        </w:rPr>
        <w:t>As technology has </w:t>
      </w:r>
      <w:r>
        <w:rPr>
          <w:spacing w:val="-3"/>
          <w:sz w:val="20"/>
        </w:rPr>
        <w:t>improved, </w:t>
      </w:r>
      <w:r>
        <w:rPr>
          <w:sz w:val="20"/>
        </w:rPr>
        <w:t>accessibility tools </w:t>
      </w:r>
      <w:r>
        <w:rPr>
          <w:spacing w:val="-4"/>
          <w:sz w:val="20"/>
        </w:rPr>
        <w:t>have</w:t>
      </w:r>
      <w:r>
        <w:rPr>
          <w:spacing w:val="-9"/>
          <w:sz w:val="20"/>
        </w:rPr>
        <w:t> </w:t>
      </w:r>
      <w:r>
        <w:rPr>
          <w:sz w:val="20"/>
        </w:rPr>
        <w:t>become</w:t>
      </w:r>
      <w:r>
        <w:rPr>
          <w:spacing w:val="-9"/>
          <w:sz w:val="20"/>
        </w:rPr>
        <w:t> </w:t>
      </w:r>
      <w:r>
        <w:rPr>
          <w:sz w:val="20"/>
        </w:rPr>
        <w:t>more</w:t>
      </w:r>
      <w:r>
        <w:rPr>
          <w:spacing w:val="-9"/>
          <w:sz w:val="20"/>
        </w:rPr>
        <w:t> </w:t>
      </w:r>
      <w:r>
        <w:rPr>
          <w:sz w:val="20"/>
        </w:rPr>
        <w:t>sophisticated</w:t>
      </w:r>
      <w:r>
        <w:rPr>
          <w:spacing w:val="-9"/>
          <w:sz w:val="20"/>
        </w:rPr>
        <w:t> </w:t>
      </w:r>
      <w:r>
        <w:rPr>
          <w:sz w:val="20"/>
        </w:rPr>
        <w:t>and</w:t>
      </w:r>
      <w:r>
        <w:rPr>
          <w:spacing w:val="-9"/>
          <w:sz w:val="20"/>
        </w:rPr>
        <w:t> </w:t>
      </w:r>
      <w:r>
        <w:rPr>
          <w:sz w:val="20"/>
        </w:rPr>
        <w:t>the</w:t>
      </w:r>
      <w:r>
        <w:rPr>
          <w:spacing w:val="-9"/>
          <w:sz w:val="20"/>
        </w:rPr>
        <w:t> </w:t>
      </w:r>
      <w:r>
        <w:rPr>
          <w:sz w:val="20"/>
        </w:rPr>
        <w:t>cost</w:t>
      </w:r>
      <w:r>
        <w:rPr>
          <w:spacing w:val="-9"/>
          <w:sz w:val="20"/>
        </w:rPr>
        <w:t> </w:t>
      </w:r>
      <w:r>
        <w:rPr>
          <w:sz w:val="20"/>
        </w:rPr>
        <w:t>of</w:t>
      </w:r>
      <w:r>
        <w:rPr>
          <w:spacing w:val="-9"/>
          <w:sz w:val="20"/>
        </w:rPr>
        <w:t> </w:t>
      </w:r>
      <w:r>
        <w:rPr>
          <w:spacing w:val="-3"/>
          <w:sz w:val="20"/>
        </w:rPr>
        <w:t>providing</w:t>
      </w:r>
      <w:r>
        <w:rPr>
          <w:spacing w:val="-9"/>
          <w:sz w:val="20"/>
        </w:rPr>
        <w:t> </w:t>
      </w:r>
      <w:r>
        <w:rPr>
          <w:sz w:val="20"/>
        </w:rPr>
        <w:t>them</w:t>
      </w:r>
      <w:r>
        <w:rPr>
          <w:spacing w:val="-9"/>
          <w:sz w:val="20"/>
        </w:rPr>
        <w:t> </w:t>
      </w:r>
      <w:r>
        <w:rPr>
          <w:sz w:val="20"/>
        </w:rPr>
        <w:t>has</w:t>
      </w:r>
      <w:r>
        <w:rPr>
          <w:spacing w:val="-9"/>
          <w:sz w:val="20"/>
        </w:rPr>
        <w:t> </w:t>
      </w:r>
      <w:r>
        <w:rPr>
          <w:sz w:val="20"/>
        </w:rPr>
        <w:t>reduced.</w:t>
      </w:r>
      <w:r>
        <w:rPr>
          <w:spacing w:val="-9"/>
          <w:sz w:val="20"/>
        </w:rPr>
        <w:t> </w:t>
      </w:r>
      <w:r>
        <w:rPr>
          <w:sz w:val="20"/>
        </w:rPr>
        <w:t>With</w:t>
      </w:r>
      <w:r>
        <w:rPr>
          <w:spacing w:val="-9"/>
          <w:sz w:val="20"/>
        </w:rPr>
        <w:t> </w:t>
      </w:r>
      <w:r>
        <w:rPr>
          <w:sz w:val="20"/>
        </w:rPr>
        <w:t>the </w:t>
      </w:r>
      <w:r>
        <w:rPr>
          <w:spacing w:val="-3"/>
          <w:sz w:val="20"/>
        </w:rPr>
        <w:t>coronavirus (COVID-19) </w:t>
      </w:r>
      <w:r>
        <w:rPr>
          <w:sz w:val="20"/>
        </w:rPr>
        <w:t>pandemic </w:t>
      </w:r>
      <w:r>
        <w:rPr>
          <w:spacing w:val="-3"/>
          <w:sz w:val="20"/>
        </w:rPr>
        <w:t>we </w:t>
      </w:r>
      <w:r>
        <w:rPr>
          <w:spacing w:val="-4"/>
          <w:sz w:val="20"/>
        </w:rPr>
        <w:t>have </w:t>
      </w:r>
      <w:r>
        <w:rPr>
          <w:sz w:val="20"/>
        </w:rPr>
        <w:t>been making </w:t>
      </w:r>
      <w:r>
        <w:rPr>
          <w:spacing w:val="-3"/>
          <w:sz w:val="20"/>
        </w:rPr>
        <w:t>greater </w:t>
      </w:r>
      <w:r>
        <w:rPr>
          <w:sz w:val="20"/>
        </w:rPr>
        <w:t>use of technology to communicate</w:t>
      </w:r>
      <w:r>
        <w:rPr>
          <w:spacing w:val="-5"/>
          <w:sz w:val="20"/>
        </w:rPr>
        <w:t> </w:t>
      </w:r>
      <w:r>
        <w:rPr>
          <w:sz w:val="20"/>
        </w:rPr>
        <w:t>at</w:t>
      </w:r>
      <w:r>
        <w:rPr>
          <w:spacing w:val="-5"/>
          <w:sz w:val="20"/>
        </w:rPr>
        <w:t> </w:t>
      </w:r>
      <w:r>
        <w:rPr>
          <w:spacing w:val="-3"/>
          <w:sz w:val="20"/>
        </w:rPr>
        <w:t>work</w:t>
      </w:r>
      <w:r>
        <w:rPr>
          <w:spacing w:val="-5"/>
          <w:sz w:val="20"/>
        </w:rPr>
        <w:t> </w:t>
      </w:r>
      <w:r>
        <w:rPr>
          <w:sz w:val="20"/>
        </w:rPr>
        <w:t>and</w:t>
      </w:r>
      <w:r>
        <w:rPr>
          <w:spacing w:val="-5"/>
          <w:sz w:val="20"/>
        </w:rPr>
        <w:t> </w:t>
      </w:r>
      <w:r>
        <w:rPr>
          <w:sz w:val="20"/>
        </w:rPr>
        <w:t>in</w:t>
      </w:r>
      <w:r>
        <w:rPr>
          <w:spacing w:val="-5"/>
          <w:sz w:val="20"/>
        </w:rPr>
        <w:t> </w:t>
      </w:r>
      <w:r>
        <w:rPr>
          <w:sz w:val="20"/>
        </w:rPr>
        <w:t>our</w:t>
      </w:r>
      <w:r>
        <w:rPr>
          <w:spacing w:val="-5"/>
          <w:sz w:val="20"/>
        </w:rPr>
        <w:t> </w:t>
      </w:r>
      <w:r>
        <w:rPr>
          <w:spacing w:val="-3"/>
          <w:sz w:val="20"/>
        </w:rPr>
        <w:t>private</w:t>
      </w:r>
      <w:r>
        <w:rPr>
          <w:spacing w:val="-5"/>
          <w:sz w:val="20"/>
        </w:rPr>
        <w:t> </w:t>
      </w:r>
      <w:r>
        <w:rPr>
          <w:sz w:val="20"/>
        </w:rPr>
        <w:t>lives.</w:t>
      </w:r>
      <w:r>
        <w:rPr>
          <w:spacing w:val="-5"/>
          <w:sz w:val="20"/>
        </w:rPr>
        <w:t> </w:t>
      </w:r>
      <w:r>
        <w:rPr>
          <w:sz w:val="20"/>
        </w:rPr>
        <w:t>As</w:t>
      </w:r>
      <w:r>
        <w:rPr>
          <w:spacing w:val="-5"/>
          <w:sz w:val="20"/>
        </w:rPr>
        <w:t> </w:t>
      </w:r>
      <w:r>
        <w:rPr>
          <w:sz w:val="20"/>
        </w:rPr>
        <w:t>Alastair</w:t>
      </w:r>
      <w:r>
        <w:rPr>
          <w:spacing w:val="-5"/>
          <w:sz w:val="20"/>
        </w:rPr>
        <w:t> </w:t>
      </w:r>
      <w:r>
        <w:rPr>
          <w:spacing w:val="-3"/>
          <w:sz w:val="20"/>
        </w:rPr>
        <w:t>McEwin</w:t>
      </w:r>
      <w:r>
        <w:rPr>
          <w:spacing w:val="-5"/>
          <w:sz w:val="20"/>
        </w:rPr>
        <w:t> </w:t>
      </w:r>
      <w:r>
        <w:rPr>
          <w:spacing w:val="-3"/>
          <w:sz w:val="20"/>
        </w:rPr>
        <w:t>told</w:t>
      </w:r>
      <w:r>
        <w:rPr>
          <w:spacing w:val="-5"/>
          <w:sz w:val="20"/>
        </w:rPr>
        <w:t> </w:t>
      </w:r>
      <w:r>
        <w:rPr>
          <w:sz w:val="20"/>
        </w:rPr>
        <w:t>us:</w:t>
      </w:r>
    </w:p>
    <w:p>
      <w:pPr>
        <w:spacing w:line="208" w:lineRule="auto" w:before="124"/>
        <w:ind w:left="2157" w:right="1316" w:firstLine="0"/>
        <w:jc w:val="left"/>
        <w:rPr>
          <w:sz w:val="11"/>
        </w:rPr>
      </w:pPr>
      <w:r>
        <w:rPr>
          <w:sz w:val="19"/>
        </w:rPr>
        <w:t>Suddenly everyone had to use online services. People with disabilities have been asking for things like flexible learning and work practices for years. Previously it was perceived as all too hard. Now that everyone must face it however, it has been done. This change has been very helpful … What’s good for people with disabilities is often good for everyone</w:t>
      </w:r>
      <w:r>
        <w:rPr>
          <w:i/>
          <w:sz w:val="19"/>
        </w:rPr>
        <w:t>. </w:t>
      </w:r>
      <w:r>
        <w:rPr>
          <w:sz w:val="19"/>
        </w:rPr>
        <w:t>This should be borne in mind when talking about access tools.</w:t>
      </w:r>
      <w:r>
        <w:rPr>
          <w:position w:val="6"/>
          <w:sz w:val="11"/>
        </w:rPr>
        <w:t>3</w:t>
      </w:r>
    </w:p>
    <w:p>
      <w:pPr>
        <w:pStyle w:val="BodyText"/>
      </w:pPr>
    </w:p>
    <w:p>
      <w:pPr>
        <w:pStyle w:val="BodyText"/>
        <w:spacing w:before="10"/>
        <w:rPr>
          <w:sz w:val="24"/>
        </w:rPr>
      </w:pPr>
      <w:r>
        <w:rPr/>
        <w:pict>
          <v:line style="position:absolute;mso-position-horizontal-relative:page;mso-position-vertical-relative:paragraph;z-index:3296;mso-wrap-distance-left:0;mso-wrap-distance-right:0" from="79.370102pt,19.630484pt" to="515.905102pt,19.630484pt" stroked="true" strokeweight="1pt" strokecolor="#b6bdc8">
            <v:stroke dashstyle="solid"/>
            <w10:wrap type="topAndBottom"/>
          </v:line>
        </w:pict>
      </w:r>
    </w:p>
    <w:p>
      <w:pPr>
        <w:pStyle w:val="ListParagraph"/>
        <w:numPr>
          <w:ilvl w:val="0"/>
          <w:numId w:val="52"/>
        </w:numPr>
        <w:tabs>
          <w:tab w:pos="1760" w:val="left" w:leader="none"/>
          <w:tab w:pos="1762" w:val="left" w:leader="none"/>
        </w:tabs>
        <w:spacing w:line="213" w:lineRule="auto" w:before="107" w:after="0"/>
        <w:ind w:left="1761" w:right="1205" w:hanging="794"/>
        <w:jc w:val="left"/>
        <w:rPr>
          <w:sz w:val="13"/>
        </w:rPr>
      </w:pPr>
      <w:r>
        <w:rPr>
          <w:sz w:val="13"/>
        </w:rPr>
        <w:t>Comment made by Gaye Lyons in response to the </w:t>
      </w:r>
      <w:r>
        <w:rPr>
          <w:spacing w:val="2"/>
          <w:sz w:val="13"/>
        </w:rPr>
        <w:t>Queensland </w:t>
      </w:r>
      <w:r>
        <w:rPr>
          <w:sz w:val="13"/>
        </w:rPr>
        <w:t>Ipswich </w:t>
      </w:r>
      <w:r>
        <w:rPr>
          <w:spacing w:val="2"/>
          <w:sz w:val="13"/>
        </w:rPr>
        <w:t>District Court’s </w:t>
      </w:r>
      <w:r>
        <w:rPr>
          <w:sz w:val="13"/>
        </w:rPr>
        <w:t>refusal to provide an Auslan interpreter so she could </w:t>
      </w:r>
      <w:r>
        <w:rPr>
          <w:spacing w:val="2"/>
          <w:sz w:val="13"/>
        </w:rPr>
        <w:t>perform jury </w:t>
      </w:r>
      <w:r>
        <w:rPr>
          <w:sz w:val="13"/>
        </w:rPr>
        <w:t>duty in 2012, cited in Kim Sharnie, ‘Deaf </w:t>
      </w:r>
      <w:r>
        <w:rPr>
          <w:spacing w:val="2"/>
          <w:sz w:val="13"/>
        </w:rPr>
        <w:t>Queensland </w:t>
      </w:r>
      <w:r>
        <w:rPr>
          <w:sz w:val="13"/>
        </w:rPr>
        <w:t>Woman Gaye Lyons Loses High </w:t>
      </w:r>
      <w:r>
        <w:rPr>
          <w:spacing w:val="2"/>
          <w:sz w:val="13"/>
        </w:rPr>
        <w:t>Court </w:t>
      </w:r>
      <w:r>
        <w:rPr>
          <w:sz w:val="13"/>
        </w:rPr>
        <w:t>Bid to Become Juror’, </w:t>
      </w:r>
      <w:r>
        <w:rPr>
          <w:i/>
          <w:sz w:val="13"/>
        </w:rPr>
        <w:t>ABC News </w:t>
      </w:r>
      <w:r>
        <w:rPr>
          <w:sz w:val="13"/>
        </w:rPr>
        <w:t>(online, 5 October 2016) &lt;</w:t>
      </w:r>
      <w:hyperlink r:id="rId73">
        <w:r>
          <w:rPr>
            <w:sz w:val="13"/>
          </w:rPr>
          <w:t>https://www.abc.net.au/news/2016-10-05/deaf-woman-gaye-lyons-loses-high-</w:t>
        </w:r>
      </w:hyperlink>
      <w:hyperlink r:id="rId73">
        <w:r>
          <w:rPr>
            <w:sz w:val="13"/>
          </w:rPr>
          <w:t> court-challenge-juror/7904324</w:t>
        </w:r>
      </w:hyperlink>
      <w:r>
        <w:rPr>
          <w:sz w:val="13"/>
        </w:rPr>
        <w:t>&gt;.</w:t>
      </w:r>
    </w:p>
    <w:p>
      <w:pPr>
        <w:pStyle w:val="ListParagraph"/>
        <w:numPr>
          <w:ilvl w:val="0"/>
          <w:numId w:val="52"/>
        </w:numPr>
        <w:tabs>
          <w:tab w:pos="1760" w:val="left" w:leader="none"/>
          <w:tab w:pos="1762" w:val="left" w:leader="none"/>
        </w:tabs>
        <w:spacing w:line="151" w:lineRule="exact" w:before="0" w:after="0"/>
        <w:ind w:left="1761" w:right="0" w:hanging="794"/>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52"/>
        </w:numPr>
        <w:tabs>
          <w:tab w:pos="1760" w:val="left" w:leader="none"/>
          <w:tab w:pos="1762" w:val="left" w:leader="none"/>
        </w:tabs>
        <w:spacing w:line="213" w:lineRule="auto" w:before="6" w:after="0"/>
        <w:ind w:left="1761" w:right="1305" w:hanging="794"/>
        <w:jc w:val="left"/>
        <w:rPr>
          <w:sz w:val="13"/>
        </w:rPr>
      </w:pPr>
      <w:r>
        <w:rPr/>
        <w:pict>
          <v:shape style="position:absolute;margin-left:36pt;margin-top:3.69609pt;width:13.6pt;height:14.1pt;mso-position-horizontal-relative:page;mso-position-vertical-relative:paragraph;z-index:5392" type="#_x0000_t202" filled="false" stroked="false">
            <v:textbox inset="0,0,0,0">
              <w:txbxContent>
                <w:p>
                  <w:pPr>
                    <w:spacing w:line="282" w:lineRule="exact" w:before="0"/>
                    <w:ind w:left="0" w:right="0" w:firstLine="0"/>
                    <w:jc w:val="left"/>
                    <w:rPr>
                      <w:b/>
                      <w:sz w:val="24"/>
                    </w:rPr>
                  </w:pPr>
                  <w:r>
                    <w:rPr>
                      <w:b/>
                      <w:color w:val="37617A"/>
                      <w:sz w:val="24"/>
                    </w:rPr>
                    <w:t>54</w:t>
                  </w:r>
                </w:p>
              </w:txbxContent>
            </v:textbox>
            <w10:wrap type="none"/>
          </v:shape>
        </w:pict>
      </w: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37" w:hanging="794"/>
        <w:jc w:val="left"/>
        <w:rPr>
          <w:sz w:val="20"/>
        </w:rPr>
      </w:pPr>
      <w:bookmarkStart w:name="Equality and non-discrimination in today" w:id="120"/>
      <w:bookmarkEnd w:id="120"/>
      <w:r>
        <w:rPr/>
      </w:r>
      <w:bookmarkStart w:name="_bookmark46" w:id="121"/>
      <w:bookmarkEnd w:id="121"/>
      <w:r>
        <w:rPr/>
      </w:r>
      <w:bookmarkStart w:name="_bookmark46" w:id="122"/>
      <w:bookmarkEnd w:id="122"/>
      <w:r>
        <w:rPr>
          <w:spacing w:val="-6"/>
          <w:sz w:val="20"/>
        </w:rPr>
        <w:t>W</w:t>
      </w:r>
      <w:r>
        <w:rPr>
          <w:spacing w:val="-6"/>
          <w:sz w:val="20"/>
        </w:rPr>
        <w:t>e</w:t>
      </w:r>
      <w:r>
        <w:rPr>
          <w:spacing w:val="-8"/>
          <w:sz w:val="20"/>
        </w:rPr>
        <w:t> </w:t>
      </w:r>
      <w:r>
        <w:rPr>
          <w:spacing w:val="-3"/>
          <w:sz w:val="20"/>
        </w:rPr>
        <w:t>are</w:t>
      </w:r>
      <w:r>
        <w:rPr>
          <w:spacing w:val="-7"/>
          <w:sz w:val="20"/>
        </w:rPr>
        <w:t> </w:t>
      </w:r>
      <w:r>
        <w:rPr>
          <w:spacing w:val="-3"/>
          <w:sz w:val="20"/>
        </w:rPr>
        <w:t>now</w:t>
      </w:r>
      <w:r>
        <w:rPr>
          <w:spacing w:val="-7"/>
          <w:sz w:val="20"/>
        </w:rPr>
        <w:t> </w:t>
      </w:r>
      <w:r>
        <w:rPr>
          <w:sz w:val="20"/>
        </w:rPr>
        <w:t>accustomed</w:t>
      </w:r>
      <w:r>
        <w:rPr>
          <w:spacing w:val="-7"/>
          <w:sz w:val="20"/>
        </w:rPr>
        <w:t> </w:t>
      </w:r>
      <w:r>
        <w:rPr>
          <w:sz w:val="20"/>
        </w:rPr>
        <w:t>to</w:t>
      </w:r>
      <w:r>
        <w:rPr>
          <w:spacing w:val="-7"/>
          <w:sz w:val="20"/>
        </w:rPr>
        <w:t> </w:t>
      </w:r>
      <w:r>
        <w:rPr>
          <w:sz w:val="20"/>
        </w:rPr>
        <w:t>seeing</w:t>
      </w:r>
      <w:r>
        <w:rPr>
          <w:spacing w:val="-7"/>
          <w:sz w:val="20"/>
        </w:rPr>
        <w:t> </w:t>
      </w:r>
      <w:r>
        <w:rPr>
          <w:sz w:val="20"/>
        </w:rPr>
        <w:t>Auslan</w:t>
      </w:r>
      <w:r>
        <w:rPr>
          <w:spacing w:val="-7"/>
          <w:sz w:val="20"/>
        </w:rPr>
        <w:t> </w:t>
      </w:r>
      <w:r>
        <w:rPr>
          <w:spacing w:val="-3"/>
          <w:sz w:val="20"/>
        </w:rPr>
        <w:t>interpreters</w:t>
      </w:r>
      <w:r>
        <w:rPr>
          <w:spacing w:val="-7"/>
          <w:sz w:val="20"/>
        </w:rPr>
        <w:t> </w:t>
      </w:r>
      <w:r>
        <w:rPr>
          <w:sz w:val="20"/>
        </w:rPr>
        <w:t>at</w:t>
      </w:r>
      <w:r>
        <w:rPr>
          <w:spacing w:val="-7"/>
          <w:sz w:val="20"/>
        </w:rPr>
        <w:t> </w:t>
      </w:r>
      <w:r>
        <w:rPr>
          <w:sz w:val="20"/>
        </w:rPr>
        <w:t>press</w:t>
      </w:r>
      <w:r>
        <w:rPr>
          <w:spacing w:val="-7"/>
          <w:sz w:val="20"/>
        </w:rPr>
        <w:t> </w:t>
      </w:r>
      <w:r>
        <w:rPr>
          <w:spacing w:val="-3"/>
          <w:sz w:val="20"/>
        </w:rPr>
        <w:t>conferences</w:t>
      </w:r>
      <w:r>
        <w:rPr>
          <w:spacing w:val="-7"/>
          <w:sz w:val="20"/>
        </w:rPr>
        <w:t> </w:t>
      </w:r>
      <w:r>
        <w:rPr>
          <w:sz w:val="20"/>
        </w:rPr>
        <w:t>and</w:t>
      </w:r>
      <w:r>
        <w:rPr>
          <w:spacing w:val="-7"/>
          <w:sz w:val="20"/>
        </w:rPr>
        <w:t> </w:t>
      </w:r>
      <w:r>
        <w:rPr>
          <w:sz w:val="20"/>
        </w:rPr>
        <w:t>public events.</w:t>
      </w:r>
      <w:r>
        <w:rPr>
          <w:position w:val="7"/>
          <w:sz w:val="11"/>
        </w:rPr>
        <w:t>4 </w:t>
      </w:r>
      <w:r>
        <w:rPr>
          <w:spacing w:val="-6"/>
          <w:sz w:val="20"/>
        </w:rPr>
        <w:t>We </w:t>
      </w:r>
      <w:r>
        <w:rPr>
          <w:spacing w:val="-3"/>
          <w:sz w:val="20"/>
        </w:rPr>
        <w:t>are </w:t>
      </w:r>
      <w:r>
        <w:rPr>
          <w:sz w:val="20"/>
        </w:rPr>
        <w:t>familiar with speech-to-text technology and captions on Instagram and </w:t>
      </w:r>
      <w:r>
        <w:rPr>
          <w:spacing w:val="-3"/>
          <w:sz w:val="20"/>
        </w:rPr>
        <w:t>Facebook. </w:t>
      </w:r>
      <w:r>
        <w:rPr>
          <w:sz w:val="20"/>
        </w:rPr>
        <w:t>Audio description is </w:t>
      </w:r>
      <w:r>
        <w:rPr>
          <w:spacing w:val="-3"/>
          <w:sz w:val="20"/>
        </w:rPr>
        <w:t>provided </w:t>
      </w:r>
      <w:r>
        <w:rPr>
          <w:sz w:val="20"/>
        </w:rPr>
        <w:t>regularly in television, film and theatre.</w:t>
      </w:r>
      <w:r>
        <w:rPr>
          <w:position w:val="7"/>
          <w:sz w:val="11"/>
        </w:rPr>
        <w:t>5</w:t>
      </w:r>
      <w:r>
        <w:rPr>
          <w:sz w:val="11"/>
        </w:rPr>
        <w:t> </w:t>
      </w:r>
      <w:r>
        <w:rPr>
          <w:sz w:val="20"/>
        </w:rPr>
        <w:t>Podcasts and audio books </w:t>
      </w:r>
      <w:r>
        <w:rPr>
          <w:spacing w:val="-3"/>
          <w:sz w:val="20"/>
        </w:rPr>
        <w:t>are </w:t>
      </w:r>
      <w:r>
        <w:rPr>
          <w:sz w:val="20"/>
        </w:rPr>
        <w:t>popular </w:t>
      </w:r>
      <w:r>
        <w:rPr>
          <w:spacing w:val="-3"/>
          <w:sz w:val="20"/>
        </w:rPr>
        <w:t>across </w:t>
      </w:r>
      <w:r>
        <w:rPr>
          <w:sz w:val="20"/>
        </w:rPr>
        <w:t>the </w:t>
      </w:r>
      <w:r>
        <w:rPr>
          <w:spacing w:val="-3"/>
          <w:sz w:val="20"/>
        </w:rPr>
        <w:t>community. Theatres now </w:t>
      </w:r>
      <w:r>
        <w:rPr>
          <w:sz w:val="20"/>
        </w:rPr>
        <w:t>stream captioning to a person’s phone.</w:t>
      </w:r>
      <w:r>
        <w:rPr>
          <w:position w:val="7"/>
          <w:sz w:val="11"/>
        </w:rPr>
        <w:t>6 </w:t>
      </w:r>
      <w:r>
        <w:rPr>
          <w:sz w:val="20"/>
        </w:rPr>
        <w:t>Vision Australia explained that</w:t>
      </w:r>
      <w:r>
        <w:rPr>
          <w:spacing w:val="-37"/>
          <w:sz w:val="20"/>
        </w:rPr>
        <w:t> </w:t>
      </w:r>
      <w:r>
        <w:rPr>
          <w:sz w:val="20"/>
        </w:rPr>
        <w:t>it:</w:t>
      </w:r>
    </w:p>
    <w:p>
      <w:pPr>
        <w:spacing w:line="208" w:lineRule="auto" w:before="124"/>
        <w:ind w:left="2157" w:right="1505" w:firstLine="0"/>
        <w:jc w:val="left"/>
        <w:rPr>
          <w:sz w:val="11"/>
        </w:rPr>
      </w:pPr>
      <w:r>
        <w:rPr>
          <w:sz w:val="19"/>
        </w:rPr>
        <w:t>provides AD [audio description] for over 200 live theatre events, including all major dramas, operas and musicals each calendar year across Australia.</w:t>
      </w:r>
      <w:r>
        <w:rPr>
          <w:position w:val="6"/>
          <w:sz w:val="11"/>
        </w:rPr>
        <w:t>7</w:t>
      </w:r>
    </w:p>
    <w:p>
      <w:pPr>
        <w:pStyle w:val="ListParagraph"/>
        <w:numPr>
          <w:ilvl w:val="1"/>
          <w:numId w:val="12"/>
        </w:numPr>
        <w:tabs>
          <w:tab w:pos="1761" w:val="left" w:leader="none"/>
          <w:tab w:pos="1762" w:val="left" w:leader="none"/>
        </w:tabs>
        <w:spacing w:line="206" w:lineRule="auto" w:before="123" w:after="0"/>
        <w:ind w:left="1761" w:right="1329" w:hanging="794"/>
        <w:jc w:val="left"/>
        <w:rPr>
          <w:sz w:val="11"/>
        </w:rPr>
      </w:pPr>
      <w:r>
        <w:rPr>
          <w:spacing w:val="-4"/>
          <w:sz w:val="20"/>
        </w:rPr>
        <w:t>Television</w:t>
      </w:r>
      <w:r>
        <w:rPr>
          <w:spacing w:val="-13"/>
          <w:sz w:val="20"/>
        </w:rPr>
        <w:t> </w:t>
      </w:r>
      <w:r>
        <w:rPr>
          <w:sz w:val="20"/>
        </w:rPr>
        <w:t>and</w:t>
      </w:r>
      <w:r>
        <w:rPr>
          <w:spacing w:val="-13"/>
          <w:sz w:val="20"/>
        </w:rPr>
        <w:t> </w:t>
      </w:r>
      <w:r>
        <w:rPr>
          <w:sz w:val="20"/>
        </w:rPr>
        <w:t>streaming</w:t>
      </w:r>
      <w:r>
        <w:rPr>
          <w:spacing w:val="-13"/>
          <w:sz w:val="20"/>
        </w:rPr>
        <w:t> </w:t>
      </w:r>
      <w:r>
        <w:rPr>
          <w:sz w:val="20"/>
        </w:rPr>
        <w:t>services</w:t>
      </w:r>
      <w:r>
        <w:rPr>
          <w:spacing w:val="-13"/>
          <w:sz w:val="20"/>
        </w:rPr>
        <w:t> </w:t>
      </w:r>
      <w:r>
        <w:rPr>
          <w:spacing w:val="-3"/>
          <w:sz w:val="20"/>
        </w:rPr>
        <w:t>are</w:t>
      </w:r>
      <w:r>
        <w:rPr>
          <w:spacing w:val="-13"/>
          <w:sz w:val="20"/>
        </w:rPr>
        <w:t> </w:t>
      </w:r>
      <w:r>
        <w:rPr>
          <w:sz w:val="20"/>
        </w:rPr>
        <w:t>incorporating</w:t>
      </w:r>
      <w:r>
        <w:rPr>
          <w:spacing w:val="-13"/>
          <w:sz w:val="20"/>
        </w:rPr>
        <w:t> </w:t>
      </w:r>
      <w:r>
        <w:rPr>
          <w:sz w:val="20"/>
        </w:rPr>
        <w:t>accessibility</w:t>
      </w:r>
      <w:r>
        <w:rPr>
          <w:spacing w:val="-12"/>
          <w:sz w:val="20"/>
        </w:rPr>
        <w:t> </w:t>
      </w:r>
      <w:r>
        <w:rPr>
          <w:sz w:val="20"/>
        </w:rPr>
        <w:t>tools.</w:t>
      </w:r>
      <w:r>
        <w:rPr>
          <w:spacing w:val="-13"/>
          <w:sz w:val="20"/>
        </w:rPr>
        <w:t> </w:t>
      </w:r>
      <w:r>
        <w:rPr>
          <w:sz w:val="20"/>
        </w:rPr>
        <w:t>Companies</w:t>
      </w:r>
      <w:r>
        <w:rPr>
          <w:spacing w:val="-13"/>
          <w:sz w:val="20"/>
        </w:rPr>
        <w:t> </w:t>
      </w:r>
      <w:r>
        <w:rPr>
          <w:sz w:val="20"/>
        </w:rPr>
        <w:t>like Netflix,</w:t>
      </w:r>
      <w:r>
        <w:rPr>
          <w:spacing w:val="-10"/>
          <w:sz w:val="20"/>
        </w:rPr>
        <w:t> </w:t>
      </w:r>
      <w:r>
        <w:rPr>
          <w:sz w:val="20"/>
        </w:rPr>
        <w:t>SBS</w:t>
      </w:r>
      <w:r>
        <w:rPr>
          <w:spacing w:val="-9"/>
          <w:sz w:val="20"/>
        </w:rPr>
        <w:t> </w:t>
      </w:r>
      <w:r>
        <w:rPr>
          <w:sz w:val="20"/>
        </w:rPr>
        <w:t>and</w:t>
      </w:r>
      <w:r>
        <w:rPr>
          <w:spacing w:val="-10"/>
          <w:sz w:val="20"/>
        </w:rPr>
        <w:t> </w:t>
      </w:r>
      <w:r>
        <w:rPr>
          <w:sz w:val="20"/>
        </w:rPr>
        <w:t>ABC</w:t>
      </w:r>
      <w:r>
        <w:rPr>
          <w:spacing w:val="-9"/>
          <w:sz w:val="20"/>
        </w:rPr>
        <w:t> </w:t>
      </w:r>
      <w:r>
        <w:rPr>
          <w:spacing w:val="-3"/>
          <w:sz w:val="20"/>
        </w:rPr>
        <w:t>provide</w:t>
      </w:r>
      <w:r>
        <w:rPr>
          <w:spacing w:val="-10"/>
          <w:sz w:val="20"/>
        </w:rPr>
        <w:t> </w:t>
      </w:r>
      <w:r>
        <w:rPr>
          <w:sz w:val="20"/>
        </w:rPr>
        <w:t>audio</w:t>
      </w:r>
      <w:r>
        <w:rPr>
          <w:spacing w:val="-9"/>
          <w:sz w:val="20"/>
        </w:rPr>
        <w:t> </w:t>
      </w:r>
      <w:r>
        <w:rPr>
          <w:sz w:val="20"/>
        </w:rPr>
        <w:t>descriptions</w:t>
      </w:r>
      <w:r>
        <w:rPr>
          <w:position w:val="7"/>
          <w:sz w:val="11"/>
        </w:rPr>
        <w:t>8</w:t>
      </w:r>
      <w:r>
        <w:rPr>
          <w:spacing w:val="15"/>
          <w:position w:val="7"/>
          <w:sz w:val="11"/>
        </w:rPr>
        <w:t> </w:t>
      </w:r>
      <w:r>
        <w:rPr>
          <w:sz w:val="20"/>
        </w:rPr>
        <w:t>which</w:t>
      </w:r>
      <w:r>
        <w:rPr>
          <w:spacing w:val="-10"/>
          <w:sz w:val="20"/>
        </w:rPr>
        <w:t> </w:t>
      </w:r>
      <w:r>
        <w:rPr>
          <w:spacing w:val="-3"/>
          <w:sz w:val="20"/>
        </w:rPr>
        <w:t>‘give</w:t>
      </w:r>
      <w:r>
        <w:rPr>
          <w:spacing w:val="-9"/>
          <w:sz w:val="20"/>
        </w:rPr>
        <w:t> </w:t>
      </w:r>
      <w:r>
        <w:rPr>
          <w:sz w:val="20"/>
        </w:rPr>
        <w:t>more</w:t>
      </w:r>
      <w:r>
        <w:rPr>
          <w:spacing w:val="-10"/>
          <w:sz w:val="20"/>
        </w:rPr>
        <w:t> </w:t>
      </w:r>
      <w:r>
        <w:rPr>
          <w:sz w:val="20"/>
        </w:rPr>
        <w:t>detail</w:t>
      </w:r>
      <w:r>
        <w:rPr>
          <w:spacing w:val="-9"/>
          <w:sz w:val="20"/>
        </w:rPr>
        <w:t> </w:t>
      </w:r>
      <w:r>
        <w:rPr>
          <w:sz w:val="20"/>
        </w:rPr>
        <w:t>about</w:t>
      </w:r>
      <w:r>
        <w:rPr>
          <w:spacing w:val="-10"/>
          <w:sz w:val="20"/>
        </w:rPr>
        <w:t> </w:t>
      </w:r>
      <w:r>
        <w:rPr>
          <w:spacing w:val="-2"/>
          <w:sz w:val="20"/>
        </w:rPr>
        <w:t>what’s </w:t>
      </w:r>
      <w:r>
        <w:rPr>
          <w:sz w:val="20"/>
        </w:rPr>
        <w:t>happening on screen, including facial expressions, physical actions, and changes in </w:t>
      </w:r>
      <w:r>
        <w:rPr>
          <w:spacing w:val="-4"/>
          <w:sz w:val="20"/>
        </w:rPr>
        <w:t>scene’.</w:t>
      </w:r>
      <w:r>
        <w:rPr>
          <w:spacing w:val="-4"/>
          <w:position w:val="7"/>
          <w:sz w:val="11"/>
        </w:rPr>
        <w:t>9 </w:t>
      </w:r>
      <w:r>
        <w:rPr>
          <w:sz w:val="20"/>
        </w:rPr>
        <w:t>Other accessibility </w:t>
      </w:r>
      <w:r>
        <w:rPr>
          <w:spacing w:val="-3"/>
          <w:sz w:val="20"/>
        </w:rPr>
        <w:t>features </w:t>
      </w:r>
      <w:r>
        <w:rPr>
          <w:sz w:val="20"/>
        </w:rPr>
        <w:t>include brightness controls, font </w:t>
      </w:r>
      <w:r>
        <w:rPr>
          <w:spacing w:val="-3"/>
          <w:sz w:val="20"/>
        </w:rPr>
        <w:t>size </w:t>
      </w:r>
      <w:r>
        <w:rPr>
          <w:sz w:val="20"/>
        </w:rPr>
        <w:t>controls and playback</w:t>
      </w:r>
      <w:r>
        <w:rPr>
          <w:spacing w:val="-11"/>
          <w:sz w:val="20"/>
        </w:rPr>
        <w:t> </w:t>
      </w:r>
      <w:r>
        <w:rPr>
          <w:sz w:val="20"/>
        </w:rPr>
        <w:t>speed</w:t>
      </w:r>
      <w:r>
        <w:rPr>
          <w:spacing w:val="-10"/>
          <w:sz w:val="20"/>
        </w:rPr>
        <w:t> </w:t>
      </w:r>
      <w:r>
        <w:rPr>
          <w:sz w:val="20"/>
        </w:rPr>
        <w:t>controls.</w:t>
      </w:r>
      <w:r>
        <w:rPr>
          <w:spacing w:val="-10"/>
          <w:sz w:val="20"/>
        </w:rPr>
        <w:t> </w:t>
      </w:r>
      <w:r>
        <w:rPr>
          <w:sz w:val="20"/>
        </w:rPr>
        <w:t>Netflix</w:t>
      </w:r>
      <w:r>
        <w:rPr>
          <w:spacing w:val="-11"/>
          <w:sz w:val="20"/>
        </w:rPr>
        <w:t> </w:t>
      </w:r>
      <w:r>
        <w:rPr>
          <w:sz w:val="20"/>
        </w:rPr>
        <w:t>can</w:t>
      </w:r>
      <w:r>
        <w:rPr>
          <w:spacing w:val="-10"/>
          <w:sz w:val="20"/>
        </w:rPr>
        <w:t> </w:t>
      </w:r>
      <w:r>
        <w:rPr>
          <w:sz w:val="20"/>
        </w:rPr>
        <w:t>be</w:t>
      </w:r>
      <w:r>
        <w:rPr>
          <w:spacing w:val="-10"/>
          <w:sz w:val="20"/>
        </w:rPr>
        <w:t> </w:t>
      </w:r>
      <w:r>
        <w:rPr>
          <w:spacing w:val="-3"/>
          <w:sz w:val="20"/>
        </w:rPr>
        <w:t>navigated</w:t>
      </w:r>
      <w:r>
        <w:rPr>
          <w:spacing w:val="-11"/>
          <w:sz w:val="20"/>
        </w:rPr>
        <w:t> </w:t>
      </w:r>
      <w:r>
        <w:rPr>
          <w:sz w:val="20"/>
        </w:rPr>
        <w:t>with</w:t>
      </w:r>
      <w:r>
        <w:rPr>
          <w:spacing w:val="-10"/>
          <w:sz w:val="20"/>
        </w:rPr>
        <w:t> </w:t>
      </w:r>
      <w:r>
        <w:rPr>
          <w:spacing w:val="-3"/>
          <w:sz w:val="20"/>
        </w:rPr>
        <w:t>many</w:t>
      </w:r>
      <w:r>
        <w:rPr>
          <w:spacing w:val="-10"/>
          <w:sz w:val="20"/>
        </w:rPr>
        <w:t> </w:t>
      </w:r>
      <w:r>
        <w:rPr>
          <w:sz w:val="20"/>
        </w:rPr>
        <w:t>common</w:t>
      </w:r>
      <w:r>
        <w:rPr>
          <w:spacing w:val="-11"/>
          <w:sz w:val="20"/>
        </w:rPr>
        <w:t> </w:t>
      </w:r>
      <w:r>
        <w:rPr>
          <w:sz w:val="20"/>
        </w:rPr>
        <w:t>screen</w:t>
      </w:r>
      <w:r>
        <w:rPr>
          <w:spacing w:val="-10"/>
          <w:sz w:val="20"/>
        </w:rPr>
        <w:t> </w:t>
      </w:r>
      <w:r>
        <w:rPr>
          <w:sz w:val="20"/>
        </w:rPr>
        <w:t>readers that </w:t>
      </w:r>
      <w:r>
        <w:rPr>
          <w:spacing w:val="-3"/>
          <w:sz w:val="20"/>
        </w:rPr>
        <w:t>read </w:t>
      </w:r>
      <w:r>
        <w:rPr>
          <w:sz w:val="20"/>
        </w:rPr>
        <w:t>text</w:t>
      </w:r>
      <w:r>
        <w:rPr>
          <w:spacing w:val="-10"/>
          <w:sz w:val="20"/>
        </w:rPr>
        <w:t> </w:t>
      </w:r>
      <w:r>
        <w:rPr>
          <w:sz w:val="20"/>
        </w:rPr>
        <w:t>aloud.</w:t>
      </w:r>
      <w:r>
        <w:rPr>
          <w:position w:val="7"/>
          <w:sz w:val="11"/>
        </w:rPr>
        <w:t>10</w:t>
      </w:r>
    </w:p>
    <w:p>
      <w:pPr>
        <w:pStyle w:val="ListParagraph"/>
        <w:numPr>
          <w:ilvl w:val="1"/>
          <w:numId w:val="12"/>
        </w:numPr>
        <w:tabs>
          <w:tab w:pos="1761" w:val="left" w:leader="none"/>
          <w:tab w:pos="1762" w:val="left" w:leader="none"/>
        </w:tabs>
        <w:spacing w:line="206" w:lineRule="auto" w:before="128" w:after="0"/>
        <w:ind w:left="1761" w:right="1300" w:hanging="794"/>
        <w:jc w:val="left"/>
        <w:rPr>
          <w:sz w:val="11"/>
        </w:rPr>
      </w:pPr>
      <w:r>
        <w:rPr>
          <w:sz w:val="20"/>
        </w:rPr>
        <w:t>The</w:t>
      </w:r>
      <w:r>
        <w:rPr>
          <w:spacing w:val="-11"/>
          <w:sz w:val="20"/>
        </w:rPr>
        <w:t> </w:t>
      </w:r>
      <w:r>
        <w:rPr>
          <w:sz w:val="20"/>
        </w:rPr>
        <w:t>benefits</w:t>
      </w:r>
      <w:r>
        <w:rPr>
          <w:spacing w:val="-11"/>
          <w:sz w:val="20"/>
        </w:rPr>
        <w:t> </w:t>
      </w:r>
      <w:r>
        <w:rPr>
          <w:sz w:val="20"/>
        </w:rPr>
        <w:t>of</w:t>
      </w:r>
      <w:r>
        <w:rPr>
          <w:spacing w:val="-11"/>
          <w:sz w:val="20"/>
        </w:rPr>
        <w:t> </w:t>
      </w:r>
      <w:r>
        <w:rPr>
          <w:sz w:val="20"/>
        </w:rPr>
        <w:t>accessibility</w:t>
      </w:r>
      <w:r>
        <w:rPr>
          <w:spacing w:val="-10"/>
          <w:sz w:val="20"/>
        </w:rPr>
        <w:t> </w:t>
      </w:r>
      <w:r>
        <w:rPr>
          <w:spacing w:val="-3"/>
          <w:sz w:val="20"/>
        </w:rPr>
        <w:t>are</w:t>
      </w:r>
      <w:r>
        <w:rPr>
          <w:spacing w:val="-11"/>
          <w:sz w:val="20"/>
        </w:rPr>
        <w:t> </w:t>
      </w:r>
      <w:r>
        <w:rPr>
          <w:sz w:val="20"/>
        </w:rPr>
        <w:t>also</w:t>
      </w:r>
      <w:r>
        <w:rPr>
          <w:spacing w:val="-11"/>
          <w:sz w:val="20"/>
        </w:rPr>
        <w:t> </w:t>
      </w:r>
      <w:r>
        <w:rPr>
          <w:sz w:val="20"/>
        </w:rPr>
        <w:t>being</w:t>
      </w:r>
      <w:r>
        <w:rPr>
          <w:spacing w:val="-10"/>
          <w:sz w:val="20"/>
        </w:rPr>
        <w:t> </w:t>
      </w:r>
      <w:r>
        <w:rPr>
          <w:sz w:val="20"/>
        </w:rPr>
        <w:t>recognised</w:t>
      </w:r>
      <w:r>
        <w:rPr>
          <w:spacing w:val="-11"/>
          <w:sz w:val="20"/>
        </w:rPr>
        <w:t> </w:t>
      </w:r>
      <w:r>
        <w:rPr>
          <w:sz w:val="20"/>
        </w:rPr>
        <w:t>in</w:t>
      </w:r>
      <w:r>
        <w:rPr>
          <w:spacing w:val="-11"/>
          <w:sz w:val="20"/>
        </w:rPr>
        <w:t> </w:t>
      </w:r>
      <w:r>
        <w:rPr>
          <w:sz w:val="20"/>
        </w:rPr>
        <w:t>the</w:t>
      </w:r>
      <w:r>
        <w:rPr>
          <w:spacing w:val="-10"/>
          <w:sz w:val="20"/>
        </w:rPr>
        <w:t> </w:t>
      </w:r>
      <w:r>
        <w:rPr>
          <w:sz w:val="20"/>
        </w:rPr>
        <w:t>business</w:t>
      </w:r>
      <w:r>
        <w:rPr>
          <w:spacing w:val="-11"/>
          <w:sz w:val="20"/>
        </w:rPr>
        <w:t> </w:t>
      </w:r>
      <w:r>
        <w:rPr>
          <w:sz w:val="20"/>
        </w:rPr>
        <w:t>world.</w:t>
      </w:r>
      <w:r>
        <w:rPr>
          <w:position w:val="7"/>
          <w:sz w:val="11"/>
        </w:rPr>
        <w:t>11</w:t>
      </w:r>
      <w:r>
        <w:rPr>
          <w:spacing w:val="14"/>
          <w:position w:val="7"/>
          <w:sz w:val="11"/>
        </w:rPr>
        <w:t> </w:t>
      </w:r>
      <w:r>
        <w:rPr>
          <w:sz w:val="20"/>
        </w:rPr>
        <w:t>Industry is </w:t>
      </w:r>
      <w:r>
        <w:rPr>
          <w:spacing w:val="-3"/>
          <w:sz w:val="20"/>
        </w:rPr>
        <w:t>increasingly </w:t>
      </w:r>
      <w:r>
        <w:rPr>
          <w:sz w:val="20"/>
        </w:rPr>
        <w:t>prioritising social responsibility as a business policy</w:t>
      </w:r>
      <w:r>
        <w:rPr>
          <w:position w:val="7"/>
          <w:sz w:val="11"/>
        </w:rPr>
        <w:t>12 </w:t>
      </w:r>
      <w:r>
        <w:rPr>
          <w:sz w:val="20"/>
        </w:rPr>
        <w:t>and capturing economic benefits that </w:t>
      </w:r>
      <w:r>
        <w:rPr>
          <w:spacing w:val="-3"/>
          <w:sz w:val="20"/>
        </w:rPr>
        <w:t>flow from improved</w:t>
      </w:r>
      <w:r>
        <w:rPr>
          <w:spacing w:val="-23"/>
          <w:sz w:val="20"/>
        </w:rPr>
        <w:t> </w:t>
      </w:r>
      <w:r>
        <w:rPr>
          <w:sz w:val="20"/>
        </w:rPr>
        <w:t>accessibility.</w:t>
      </w:r>
      <w:r>
        <w:rPr>
          <w:position w:val="7"/>
          <w:sz w:val="11"/>
        </w:rPr>
        <w:t>13</w:t>
      </w:r>
    </w:p>
    <w:p>
      <w:pPr>
        <w:pStyle w:val="BodyText"/>
        <w:spacing w:before="7"/>
        <w:rPr>
          <w:sz w:val="16"/>
        </w:rPr>
      </w:pPr>
    </w:p>
    <w:p>
      <w:pPr>
        <w:pStyle w:val="Heading2"/>
        <w:rPr>
          <w:b/>
        </w:rPr>
      </w:pPr>
      <w:r>
        <w:rPr>
          <w:b/>
          <w:color w:val="37617A"/>
        </w:rPr>
        <w:t>Equality and non-discrimination in today’s society</w:t>
      </w:r>
    </w:p>
    <w:p>
      <w:pPr>
        <w:pStyle w:val="ListParagraph"/>
        <w:numPr>
          <w:ilvl w:val="1"/>
          <w:numId w:val="12"/>
        </w:numPr>
        <w:tabs>
          <w:tab w:pos="1761" w:val="left" w:leader="none"/>
          <w:tab w:pos="1762" w:val="left" w:leader="none"/>
        </w:tabs>
        <w:spacing w:line="206" w:lineRule="auto" w:before="146" w:after="0"/>
        <w:ind w:left="1761" w:right="1425" w:hanging="794"/>
        <w:jc w:val="left"/>
        <w:rPr>
          <w:sz w:val="20"/>
        </w:rPr>
      </w:pPr>
      <w:r>
        <w:rPr>
          <w:sz w:val="20"/>
        </w:rPr>
        <w:t>In our report </w:t>
      </w:r>
      <w:r>
        <w:rPr>
          <w:i/>
          <w:sz w:val="20"/>
        </w:rPr>
        <w:t>Guardianship </w:t>
      </w:r>
      <w:r>
        <w:rPr>
          <w:sz w:val="20"/>
        </w:rPr>
        <w:t>(2012) the Commission noted that the social context and community attitudes </w:t>
      </w:r>
      <w:r>
        <w:rPr>
          <w:spacing w:val="-4"/>
          <w:sz w:val="20"/>
        </w:rPr>
        <w:t>towards </w:t>
      </w:r>
      <w:r>
        <w:rPr>
          <w:sz w:val="20"/>
        </w:rPr>
        <w:t>disability </w:t>
      </w:r>
      <w:r>
        <w:rPr>
          <w:spacing w:val="-4"/>
          <w:sz w:val="20"/>
        </w:rPr>
        <w:t>have </w:t>
      </w:r>
      <w:r>
        <w:rPr>
          <w:sz w:val="20"/>
        </w:rPr>
        <w:t>changed. That report and the new </w:t>
      </w:r>
      <w:r>
        <w:rPr>
          <w:spacing w:val="-3"/>
          <w:sz w:val="20"/>
        </w:rPr>
        <w:t>laws </w:t>
      </w:r>
      <w:r>
        <w:rPr>
          <w:sz w:val="20"/>
        </w:rPr>
        <w:t>that</w:t>
      </w:r>
      <w:r>
        <w:rPr>
          <w:spacing w:val="-12"/>
          <w:sz w:val="20"/>
        </w:rPr>
        <w:t> </w:t>
      </w:r>
      <w:r>
        <w:rPr>
          <w:spacing w:val="-3"/>
          <w:sz w:val="20"/>
        </w:rPr>
        <w:t>followed</w:t>
      </w:r>
      <w:r>
        <w:rPr>
          <w:spacing w:val="-11"/>
          <w:sz w:val="20"/>
        </w:rPr>
        <w:t> </w:t>
      </w:r>
      <w:r>
        <w:rPr>
          <w:sz w:val="20"/>
        </w:rPr>
        <w:t>it</w:t>
      </w:r>
      <w:r>
        <w:rPr>
          <w:spacing w:val="-11"/>
          <w:sz w:val="20"/>
        </w:rPr>
        <w:t> </w:t>
      </w:r>
      <w:r>
        <w:rPr>
          <w:sz w:val="20"/>
        </w:rPr>
        <w:t>recognised</w:t>
      </w:r>
      <w:r>
        <w:rPr>
          <w:spacing w:val="-12"/>
          <w:sz w:val="20"/>
        </w:rPr>
        <w:t> </w:t>
      </w:r>
      <w:r>
        <w:rPr>
          <w:sz w:val="20"/>
        </w:rPr>
        <w:t>the</w:t>
      </w:r>
      <w:r>
        <w:rPr>
          <w:spacing w:val="-11"/>
          <w:sz w:val="20"/>
        </w:rPr>
        <w:t> </w:t>
      </w:r>
      <w:r>
        <w:rPr>
          <w:sz w:val="20"/>
        </w:rPr>
        <w:t>importance</w:t>
      </w:r>
      <w:r>
        <w:rPr>
          <w:spacing w:val="-11"/>
          <w:sz w:val="20"/>
        </w:rPr>
        <w:t> </w:t>
      </w:r>
      <w:r>
        <w:rPr>
          <w:sz w:val="20"/>
        </w:rPr>
        <w:t>of</w:t>
      </w:r>
      <w:r>
        <w:rPr>
          <w:spacing w:val="-12"/>
          <w:sz w:val="20"/>
        </w:rPr>
        <w:t> </w:t>
      </w:r>
      <w:r>
        <w:rPr>
          <w:sz w:val="20"/>
        </w:rPr>
        <w:t>equality</w:t>
      </w:r>
      <w:r>
        <w:rPr>
          <w:spacing w:val="-11"/>
          <w:sz w:val="20"/>
        </w:rPr>
        <w:t> </w:t>
      </w:r>
      <w:r>
        <w:rPr>
          <w:sz w:val="20"/>
        </w:rPr>
        <w:t>and</w:t>
      </w:r>
      <w:r>
        <w:rPr>
          <w:spacing w:val="-11"/>
          <w:sz w:val="20"/>
        </w:rPr>
        <w:t> </w:t>
      </w:r>
      <w:r>
        <w:rPr>
          <w:sz w:val="20"/>
        </w:rPr>
        <w:t>citizenship</w:t>
      </w:r>
      <w:r>
        <w:rPr>
          <w:spacing w:val="-11"/>
          <w:sz w:val="20"/>
        </w:rPr>
        <w:t> </w:t>
      </w:r>
      <w:r>
        <w:rPr>
          <w:sz w:val="20"/>
        </w:rPr>
        <w:t>for</w:t>
      </w:r>
      <w:r>
        <w:rPr>
          <w:spacing w:val="-12"/>
          <w:sz w:val="20"/>
        </w:rPr>
        <w:t> </w:t>
      </w:r>
      <w:r>
        <w:rPr>
          <w:sz w:val="20"/>
        </w:rPr>
        <w:t>people</w:t>
      </w:r>
      <w:r>
        <w:rPr>
          <w:spacing w:val="-11"/>
          <w:sz w:val="20"/>
        </w:rPr>
        <w:t> </w:t>
      </w:r>
      <w:r>
        <w:rPr>
          <w:sz w:val="20"/>
        </w:rPr>
        <w:t>with disabilities:</w:t>
      </w:r>
    </w:p>
    <w:p>
      <w:pPr>
        <w:spacing w:line="208" w:lineRule="auto" w:before="123"/>
        <w:ind w:left="2157" w:right="1110" w:firstLine="0"/>
        <w:jc w:val="left"/>
        <w:rPr>
          <w:sz w:val="11"/>
        </w:rPr>
      </w:pPr>
      <w:r>
        <w:rPr>
          <w:sz w:val="19"/>
        </w:rPr>
        <w:t>There is now much greater emphasis upon people with disabilities being supported to be active, participating members of our community. Notions of people with disabilities as passive recipients of services are being replaced with those of people as active citizens of communities, regardless of the nature or extent of their disabilities.</w:t>
      </w:r>
      <w:r>
        <w:rPr>
          <w:position w:val="6"/>
          <w:sz w:val="11"/>
        </w:rPr>
        <w:t>14</w:t>
      </w:r>
    </w:p>
    <w:p>
      <w:pPr>
        <w:pStyle w:val="ListParagraph"/>
        <w:numPr>
          <w:ilvl w:val="1"/>
          <w:numId w:val="12"/>
        </w:numPr>
        <w:tabs>
          <w:tab w:pos="1761" w:val="left" w:leader="none"/>
          <w:tab w:pos="1762" w:val="left" w:leader="none"/>
        </w:tabs>
        <w:spacing w:line="206" w:lineRule="auto" w:before="125" w:after="0"/>
        <w:ind w:left="1761" w:right="1275" w:hanging="794"/>
        <w:jc w:val="left"/>
        <w:rPr>
          <w:sz w:val="20"/>
        </w:rPr>
      </w:pPr>
      <w:r>
        <w:rPr>
          <w:sz w:val="20"/>
        </w:rPr>
        <w:t>People in the subject groups and the broader community expect that the </w:t>
      </w:r>
      <w:r>
        <w:rPr>
          <w:spacing w:val="-3"/>
          <w:sz w:val="20"/>
        </w:rPr>
        <w:t>laws </w:t>
      </w:r>
      <w:r>
        <w:rPr>
          <w:sz w:val="20"/>
        </w:rPr>
        <w:t>and practices</w:t>
      </w:r>
      <w:r>
        <w:rPr>
          <w:spacing w:val="-14"/>
          <w:sz w:val="20"/>
        </w:rPr>
        <w:t> </w:t>
      </w:r>
      <w:r>
        <w:rPr>
          <w:sz w:val="20"/>
        </w:rPr>
        <w:t>that</w:t>
      </w:r>
      <w:r>
        <w:rPr>
          <w:spacing w:val="-13"/>
          <w:sz w:val="20"/>
        </w:rPr>
        <w:t> </w:t>
      </w:r>
      <w:r>
        <w:rPr>
          <w:spacing w:val="-3"/>
          <w:sz w:val="20"/>
        </w:rPr>
        <w:t>govern</w:t>
      </w:r>
      <w:r>
        <w:rPr>
          <w:spacing w:val="-13"/>
          <w:sz w:val="20"/>
        </w:rPr>
        <w:t> </w:t>
      </w:r>
      <w:r>
        <w:rPr>
          <w:sz w:val="20"/>
        </w:rPr>
        <w:t>jury</w:t>
      </w:r>
      <w:r>
        <w:rPr>
          <w:spacing w:val="-13"/>
          <w:sz w:val="20"/>
        </w:rPr>
        <w:t> </w:t>
      </w:r>
      <w:r>
        <w:rPr>
          <w:sz w:val="20"/>
        </w:rPr>
        <w:t>selection</w:t>
      </w:r>
      <w:r>
        <w:rPr>
          <w:spacing w:val="-13"/>
          <w:sz w:val="20"/>
        </w:rPr>
        <w:t> </w:t>
      </w:r>
      <w:r>
        <w:rPr>
          <w:sz w:val="20"/>
        </w:rPr>
        <w:t>reflect</w:t>
      </w:r>
      <w:r>
        <w:rPr>
          <w:spacing w:val="-13"/>
          <w:sz w:val="20"/>
        </w:rPr>
        <w:t> </w:t>
      </w:r>
      <w:r>
        <w:rPr>
          <w:sz w:val="20"/>
        </w:rPr>
        <w:t>fundamental</w:t>
      </w:r>
      <w:r>
        <w:rPr>
          <w:spacing w:val="-13"/>
          <w:sz w:val="20"/>
        </w:rPr>
        <w:t> </w:t>
      </w:r>
      <w:r>
        <w:rPr>
          <w:sz w:val="20"/>
        </w:rPr>
        <w:t>principles</w:t>
      </w:r>
      <w:r>
        <w:rPr>
          <w:spacing w:val="-13"/>
          <w:sz w:val="20"/>
        </w:rPr>
        <w:t> </w:t>
      </w:r>
      <w:r>
        <w:rPr>
          <w:sz w:val="20"/>
        </w:rPr>
        <w:t>of</w:t>
      </w:r>
      <w:r>
        <w:rPr>
          <w:spacing w:val="-13"/>
          <w:sz w:val="20"/>
        </w:rPr>
        <w:t> </w:t>
      </w:r>
      <w:r>
        <w:rPr>
          <w:sz w:val="20"/>
        </w:rPr>
        <w:t>equality</w:t>
      </w:r>
      <w:r>
        <w:rPr>
          <w:spacing w:val="-13"/>
          <w:sz w:val="20"/>
        </w:rPr>
        <w:t> </w:t>
      </w:r>
      <w:r>
        <w:rPr>
          <w:sz w:val="20"/>
        </w:rPr>
        <w:t>and</w:t>
      </w:r>
      <w:r>
        <w:rPr>
          <w:spacing w:val="-13"/>
          <w:sz w:val="20"/>
        </w:rPr>
        <w:t> </w:t>
      </w:r>
      <w:r>
        <w:rPr>
          <w:sz w:val="20"/>
        </w:rPr>
        <w:t>non- discrimination.</w:t>
      </w:r>
    </w:p>
    <w:p>
      <w:pPr>
        <w:pStyle w:val="BodyText"/>
        <w:spacing w:before="7"/>
        <w:rPr>
          <w:sz w:val="19"/>
        </w:rPr>
      </w:pPr>
      <w:r>
        <w:rPr/>
        <w:pict>
          <v:line style="position:absolute;mso-position-horizontal-relative:page;mso-position-vertical-relative:paragraph;z-index:3368;mso-wrap-distance-left:0;mso-wrap-distance-right:0" from="79.370003pt,16.025881pt" to="515.905003pt,16.025881pt" stroked="true" strokeweight="1pt" strokecolor="#b6bdc8">
            <v:stroke dashstyle="solid"/>
            <w10:wrap type="topAndBottom"/>
          </v:line>
        </w:pict>
      </w:r>
    </w:p>
    <w:p>
      <w:pPr>
        <w:pStyle w:val="ListParagraph"/>
        <w:numPr>
          <w:ilvl w:val="0"/>
          <w:numId w:val="52"/>
        </w:numPr>
        <w:tabs>
          <w:tab w:pos="1760" w:val="left" w:leader="none"/>
          <w:tab w:pos="1762" w:val="left" w:leader="none"/>
        </w:tabs>
        <w:spacing w:line="213" w:lineRule="auto" w:before="107" w:after="0"/>
        <w:ind w:left="1761" w:right="1268" w:hanging="794"/>
        <w:jc w:val="left"/>
        <w:rPr>
          <w:sz w:val="13"/>
        </w:rPr>
      </w:pPr>
      <w:r>
        <w:rPr>
          <w:sz w:val="13"/>
        </w:rPr>
        <w:t>Zach Hope, </w:t>
      </w:r>
      <w:r>
        <w:rPr>
          <w:spacing w:val="2"/>
          <w:sz w:val="13"/>
        </w:rPr>
        <w:t>‘“But </w:t>
      </w:r>
      <w:r>
        <w:rPr>
          <w:sz w:val="13"/>
        </w:rPr>
        <w:t>Seriously, I’m Really Nervous”: The Everywhere Faces of Auslan Interpreters and Their Vital Work’, </w:t>
      </w:r>
      <w:r>
        <w:rPr>
          <w:i/>
          <w:sz w:val="13"/>
        </w:rPr>
        <w:t>The Age  </w:t>
      </w:r>
      <w:r>
        <w:rPr>
          <w:sz w:val="13"/>
        </w:rPr>
        <w:t>(online, 10 May 2020) &lt;</w:t>
      </w:r>
      <w:hyperlink r:id="rId106">
        <w:r>
          <w:rPr>
            <w:sz w:val="13"/>
          </w:rPr>
          <w:t>https://www.theage.com.au/national/victoria/but-seriously-i-m-really-nervous-the-everywhere-faces-</w:t>
        </w:r>
      </w:hyperlink>
      <w:hyperlink r:id="rId106">
        <w:r>
          <w:rPr>
            <w:sz w:val="13"/>
          </w:rPr>
          <w:t> of-auslan-interpreters-and-their-vital-work-20200509-p54rcu.html</w:t>
        </w:r>
      </w:hyperlink>
      <w:r>
        <w:rPr>
          <w:sz w:val="13"/>
        </w:rPr>
        <w:t>&gt;; Holly Tregenza, ‘The Coronavirus </w:t>
      </w:r>
      <w:r>
        <w:rPr>
          <w:spacing w:val="2"/>
          <w:sz w:val="13"/>
        </w:rPr>
        <w:t>Pandemic </w:t>
      </w:r>
      <w:r>
        <w:rPr>
          <w:sz w:val="13"/>
        </w:rPr>
        <w:t>and Bushfire Emergency Have Thrust Auslan Interpreters into the Spotlight’, </w:t>
      </w:r>
      <w:r>
        <w:rPr>
          <w:i/>
          <w:sz w:val="13"/>
        </w:rPr>
        <w:t>ABC News </w:t>
      </w:r>
      <w:r>
        <w:rPr>
          <w:sz w:val="13"/>
        </w:rPr>
        <w:t>(online, 11 April 2020) &lt;</w:t>
      </w:r>
      <w:hyperlink r:id="rId107">
        <w:r>
          <w:rPr>
            <w:sz w:val="13"/>
          </w:rPr>
          <w:t>https://www.abc.net.au/</w:t>
        </w:r>
      </w:hyperlink>
      <w:hyperlink r:id="rId107">
        <w:r>
          <w:rPr>
            <w:sz w:val="13"/>
          </w:rPr>
          <w:t> news/2020-04-11/coronavirus-bushfires-thrust-auslan-interpreters-into-spotlight/12140824</w:t>
        </w:r>
      </w:hyperlink>
      <w:r>
        <w:rPr>
          <w:sz w:val="13"/>
        </w:rPr>
        <w:t>&gt;. See </w:t>
      </w:r>
      <w:r>
        <w:rPr>
          <w:spacing w:val="2"/>
          <w:sz w:val="13"/>
        </w:rPr>
        <w:t>also Millie Roberts, </w:t>
      </w:r>
      <w:r>
        <w:rPr>
          <w:sz w:val="13"/>
        </w:rPr>
        <w:t>‘Auslan Interpreters</w:t>
      </w:r>
      <w:r>
        <w:rPr>
          <w:spacing w:val="3"/>
          <w:sz w:val="13"/>
        </w:rPr>
        <w:t> </w:t>
      </w:r>
      <w:r>
        <w:rPr>
          <w:sz w:val="13"/>
        </w:rPr>
        <w:t>Will</w:t>
      </w:r>
      <w:r>
        <w:rPr>
          <w:spacing w:val="3"/>
          <w:sz w:val="13"/>
        </w:rPr>
        <w:t> </w:t>
      </w:r>
      <w:r>
        <w:rPr>
          <w:sz w:val="13"/>
        </w:rPr>
        <w:t>No</w:t>
      </w:r>
      <w:r>
        <w:rPr>
          <w:spacing w:val="3"/>
          <w:sz w:val="13"/>
        </w:rPr>
        <w:t> </w:t>
      </w:r>
      <w:r>
        <w:rPr>
          <w:sz w:val="13"/>
        </w:rPr>
        <w:t>Longer</w:t>
      </w:r>
      <w:r>
        <w:rPr>
          <w:spacing w:val="3"/>
          <w:sz w:val="13"/>
        </w:rPr>
        <w:t> </w:t>
      </w:r>
      <w:r>
        <w:rPr>
          <w:sz w:val="13"/>
        </w:rPr>
        <w:t>Be</w:t>
      </w:r>
      <w:r>
        <w:rPr>
          <w:spacing w:val="3"/>
          <w:sz w:val="13"/>
        </w:rPr>
        <w:t> </w:t>
      </w:r>
      <w:r>
        <w:rPr>
          <w:sz w:val="13"/>
        </w:rPr>
        <w:t>a</w:t>
      </w:r>
      <w:r>
        <w:rPr>
          <w:spacing w:val="3"/>
          <w:sz w:val="13"/>
        </w:rPr>
        <w:t> </w:t>
      </w:r>
      <w:r>
        <w:rPr>
          <w:sz w:val="13"/>
        </w:rPr>
        <w:t>Permanent</w:t>
      </w:r>
      <w:r>
        <w:rPr>
          <w:spacing w:val="3"/>
          <w:sz w:val="13"/>
        </w:rPr>
        <w:t> </w:t>
      </w:r>
      <w:r>
        <w:rPr>
          <w:spacing w:val="2"/>
          <w:sz w:val="13"/>
        </w:rPr>
        <w:t>Part</w:t>
      </w:r>
      <w:r>
        <w:rPr>
          <w:spacing w:val="3"/>
          <w:sz w:val="13"/>
        </w:rPr>
        <w:t> </w:t>
      </w:r>
      <w:r>
        <w:rPr>
          <w:sz w:val="13"/>
        </w:rPr>
        <w:t>of</w:t>
      </w:r>
      <w:r>
        <w:rPr>
          <w:spacing w:val="3"/>
          <w:sz w:val="13"/>
        </w:rPr>
        <w:t> </w:t>
      </w:r>
      <w:r>
        <w:rPr>
          <w:sz w:val="13"/>
        </w:rPr>
        <w:t>NSW</w:t>
      </w:r>
      <w:r>
        <w:rPr>
          <w:spacing w:val="3"/>
          <w:sz w:val="13"/>
        </w:rPr>
        <w:t> </w:t>
      </w:r>
      <w:r>
        <w:rPr>
          <w:sz w:val="13"/>
        </w:rPr>
        <w:t>Press</w:t>
      </w:r>
      <w:r>
        <w:rPr>
          <w:spacing w:val="3"/>
          <w:sz w:val="13"/>
        </w:rPr>
        <w:t> </w:t>
      </w:r>
      <w:r>
        <w:rPr>
          <w:sz w:val="13"/>
        </w:rPr>
        <w:t>Conferences’,</w:t>
      </w:r>
      <w:r>
        <w:rPr>
          <w:spacing w:val="2"/>
          <w:sz w:val="13"/>
        </w:rPr>
        <w:t> </w:t>
      </w:r>
      <w:r>
        <w:rPr>
          <w:i/>
          <w:sz w:val="13"/>
        </w:rPr>
        <w:t>Junkee</w:t>
      </w:r>
      <w:r>
        <w:rPr>
          <w:i/>
          <w:spacing w:val="3"/>
          <w:sz w:val="13"/>
        </w:rPr>
        <w:t> </w:t>
      </w:r>
      <w:r>
        <w:rPr>
          <w:sz w:val="13"/>
        </w:rPr>
        <w:t>(Web</w:t>
      </w:r>
      <w:r>
        <w:rPr>
          <w:spacing w:val="3"/>
          <w:sz w:val="13"/>
        </w:rPr>
        <w:t> </w:t>
      </w:r>
      <w:r>
        <w:rPr>
          <w:sz w:val="13"/>
        </w:rPr>
        <w:t>Page,</w:t>
      </w:r>
      <w:r>
        <w:rPr>
          <w:spacing w:val="3"/>
          <w:sz w:val="13"/>
        </w:rPr>
        <w:t> </w:t>
      </w:r>
      <w:r>
        <w:rPr>
          <w:sz w:val="13"/>
        </w:rPr>
        <w:t>12</w:t>
      </w:r>
      <w:r>
        <w:rPr>
          <w:spacing w:val="3"/>
          <w:sz w:val="13"/>
        </w:rPr>
        <w:t> </w:t>
      </w:r>
      <w:r>
        <w:rPr>
          <w:sz w:val="13"/>
        </w:rPr>
        <w:t>October</w:t>
      </w:r>
      <w:r>
        <w:rPr>
          <w:spacing w:val="3"/>
          <w:sz w:val="13"/>
        </w:rPr>
        <w:t> </w:t>
      </w:r>
      <w:r>
        <w:rPr>
          <w:sz w:val="13"/>
        </w:rPr>
        <w:t>2021)</w:t>
      </w:r>
    </w:p>
    <w:p>
      <w:pPr>
        <w:spacing w:line="150" w:lineRule="exact" w:before="0"/>
        <w:ind w:left="1761" w:right="0" w:firstLine="0"/>
        <w:jc w:val="left"/>
        <w:rPr>
          <w:sz w:val="13"/>
        </w:rPr>
      </w:pPr>
      <w:r>
        <w:rPr>
          <w:sz w:val="13"/>
        </w:rPr>
        <w:t>&lt;</w:t>
      </w:r>
      <w:hyperlink r:id="rId108">
        <w:r>
          <w:rPr>
            <w:sz w:val="13"/>
          </w:rPr>
          <w:t>https://junkee.com/auslan-interpreters-nsw-press-conference/311556</w:t>
        </w:r>
      </w:hyperlink>
      <w:r>
        <w:rPr>
          <w:sz w:val="13"/>
        </w:rPr>
        <w:t>&gt;.</w:t>
      </w:r>
    </w:p>
    <w:p>
      <w:pPr>
        <w:pStyle w:val="ListParagraph"/>
        <w:numPr>
          <w:ilvl w:val="0"/>
          <w:numId w:val="52"/>
        </w:numPr>
        <w:tabs>
          <w:tab w:pos="1760" w:val="left" w:leader="none"/>
          <w:tab w:pos="1762" w:val="left" w:leader="none"/>
        </w:tabs>
        <w:spacing w:line="213" w:lineRule="auto" w:before="6" w:after="0"/>
        <w:ind w:left="1761" w:right="1277" w:hanging="794"/>
        <w:jc w:val="left"/>
        <w:rPr>
          <w:sz w:val="13"/>
        </w:rPr>
      </w:pPr>
      <w:r>
        <w:rPr>
          <w:sz w:val="13"/>
        </w:rPr>
        <w:t>The Australian children’s music band ‘The Wiggles’ is embracing accessibility and improving access for children with </w:t>
      </w:r>
      <w:r>
        <w:rPr>
          <w:spacing w:val="2"/>
          <w:sz w:val="13"/>
        </w:rPr>
        <w:t>disabilities </w:t>
      </w:r>
      <w:r>
        <w:rPr>
          <w:sz w:val="13"/>
        </w:rPr>
        <w:t>through their </w:t>
      </w:r>
      <w:r>
        <w:rPr>
          <w:spacing w:val="2"/>
          <w:sz w:val="13"/>
        </w:rPr>
        <w:t>music. </w:t>
      </w:r>
      <w:r>
        <w:rPr>
          <w:sz w:val="13"/>
        </w:rPr>
        <w:t>The Wiggles, ‘Emma’s Sign </w:t>
      </w:r>
      <w:r>
        <w:rPr>
          <w:spacing w:val="2"/>
          <w:sz w:val="13"/>
        </w:rPr>
        <w:t>Language </w:t>
      </w:r>
      <w:r>
        <w:rPr>
          <w:sz w:val="13"/>
        </w:rPr>
        <w:t>Time’ (YouTube, 16 February 2021) &lt;</w:t>
      </w:r>
      <w:hyperlink r:id="rId109">
        <w:r>
          <w:rPr>
            <w:sz w:val="13"/>
          </w:rPr>
          <w:t>https://www.youtube.com/play</w:t>
        </w:r>
      </w:hyperlink>
      <w:hyperlink r:id="rId109">
        <w:r>
          <w:rPr>
            <w:sz w:val="13"/>
          </w:rPr>
          <w:t> list?app=desktop&amp;list=PLn4s8r0gyEeu5KI4We5jJNTCrG_EEWm31</w:t>
        </w:r>
      </w:hyperlink>
      <w:r>
        <w:rPr>
          <w:sz w:val="13"/>
        </w:rPr>
        <w:t>&gt;. See </w:t>
      </w:r>
      <w:r>
        <w:rPr>
          <w:spacing w:val="2"/>
          <w:sz w:val="13"/>
        </w:rPr>
        <w:t>also </w:t>
      </w:r>
      <w:r>
        <w:rPr>
          <w:sz w:val="13"/>
        </w:rPr>
        <w:t>Naja Later, ‘From CODA to Hawkeye, the Surge of Sign</w:t>
      </w:r>
      <w:r>
        <w:rPr>
          <w:spacing w:val="5"/>
          <w:sz w:val="13"/>
        </w:rPr>
        <w:t> </w:t>
      </w:r>
      <w:r>
        <w:rPr>
          <w:spacing w:val="2"/>
          <w:sz w:val="13"/>
        </w:rPr>
        <w:t>Languages</w:t>
      </w:r>
      <w:r>
        <w:rPr>
          <w:spacing w:val="6"/>
          <w:sz w:val="13"/>
        </w:rPr>
        <w:t> </w:t>
      </w:r>
      <w:r>
        <w:rPr>
          <w:sz w:val="13"/>
        </w:rPr>
        <w:t>on</w:t>
      </w:r>
      <w:r>
        <w:rPr>
          <w:spacing w:val="6"/>
          <w:sz w:val="13"/>
        </w:rPr>
        <w:t> </w:t>
      </w:r>
      <w:r>
        <w:rPr>
          <w:sz w:val="13"/>
        </w:rPr>
        <w:t>Screen</w:t>
      </w:r>
      <w:r>
        <w:rPr>
          <w:spacing w:val="5"/>
          <w:sz w:val="13"/>
        </w:rPr>
        <w:t> </w:t>
      </w:r>
      <w:r>
        <w:rPr>
          <w:sz w:val="13"/>
        </w:rPr>
        <w:t>is</w:t>
      </w:r>
      <w:r>
        <w:rPr>
          <w:spacing w:val="6"/>
          <w:sz w:val="13"/>
        </w:rPr>
        <w:t> </w:t>
      </w:r>
      <w:r>
        <w:rPr>
          <w:sz w:val="13"/>
        </w:rPr>
        <w:t>a</w:t>
      </w:r>
      <w:r>
        <w:rPr>
          <w:spacing w:val="6"/>
          <w:sz w:val="13"/>
        </w:rPr>
        <w:t> </w:t>
      </w:r>
      <w:r>
        <w:rPr>
          <w:sz w:val="13"/>
        </w:rPr>
        <w:t>Sign</w:t>
      </w:r>
      <w:r>
        <w:rPr>
          <w:spacing w:val="6"/>
          <w:sz w:val="13"/>
        </w:rPr>
        <w:t> </w:t>
      </w:r>
      <w:r>
        <w:rPr>
          <w:sz w:val="13"/>
        </w:rPr>
        <w:t>of</w:t>
      </w:r>
      <w:r>
        <w:rPr>
          <w:spacing w:val="5"/>
          <w:sz w:val="13"/>
        </w:rPr>
        <w:t> </w:t>
      </w:r>
      <w:r>
        <w:rPr>
          <w:sz w:val="13"/>
        </w:rPr>
        <w:t>Better</w:t>
      </w:r>
      <w:r>
        <w:rPr>
          <w:spacing w:val="6"/>
          <w:sz w:val="13"/>
        </w:rPr>
        <w:t> </w:t>
      </w:r>
      <w:r>
        <w:rPr>
          <w:sz w:val="13"/>
        </w:rPr>
        <w:t>Things</w:t>
      </w:r>
      <w:r>
        <w:rPr>
          <w:spacing w:val="6"/>
          <w:sz w:val="13"/>
        </w:rPr>
        <w:t> </w:t>
      </w:r>
      <w:r>
        <w:rPr>
          <w:sz w:val="13"/>
        </w:rPr>
        <w:t>to</w:t>
      </w:r>
      <w:r>
        <w:rPr>
          <w:spacing w:val="6"/>
          <w:sz w:val="13"/>
        </w:rPr>
        <w:t> </w:t>
      </w:r>
      <w:r>
        <w:rPr>
          <w:sz w:val="13"/>
        </w:rPr>
        <w:t>Come</w:t>
      </w:r>
      <w:r>
        <w:rPr>
          <w:spacing w:val="5"/>
          <w:sz w:val="13"/>
        </w:rPr>
        <w:t> </w:t>
      </w:r>
      <w:r>
        <w:rPr>
          <w:sz w:val="13"/>
        </w:rPr>
        <w:t>for</w:t>
      </w:r>
      <w:r>
        <w:rPr>
          <w:spacing w:val="6"/>
          <w:sz w:val="13"/>
        </w:rPr>
        <w:t> </w:t>
      </w:r>
      <w:r>
        <w:rPr>
          <w:sz w:val="13"/>
        </w:rPr>
        <w:t>the</w:t>
      </w:r>
      <w:r>
        <w:rPr>
          <w:spacing w:val="6"/>
          <w:sz w:val="13"/>
        </w:rPr>
        <w:t> </w:t>
      </w:r>
      <w:r>
        <w:rPr>
          <w:sz w:val="13"/>
        </w:rPr>
        <w:t>Deaf</w:t>
      </w:r>
      <w:r>
        <w:rPr>
          <w:spacing w:val="6"/>
          <w:sz w:val="13"/>
        </w:rPr>
        <w:t> </w:t>
      </w:r>
      <w:r>
        <w:rPr>
          <w:sz w:val="13"/>
        </w:rPr>
        <w:t>Community’,</w:t>
      </w:r>
      <w:r>
        <w:rPr>
          <w:spacing w:val="5"/>
          <w:sz w:val="13"/>
        </w:rPr>
        <w:t> </w:t>
      </w:r>
      <w:r>
        <w:rPr>
          <w:i/>
          <w:sz w:val="13"/>
        </w:rPr>
        <w:t>The</w:t>
      </w:r>
      <w:r>
        <w:rPr>
          <w:i/>
          <w:spacing w:val="6"/>
          <w:sz w:val="13"/>
        </w:rPr>
        <w:t> </w:t>
      </w:r>
      <w:r>
        <w:rPr>
          <w:i/>
          <w:sz w:val="13"/>
        </w:rPr>
        <w:t>Conversation</w:t>
      </w:r>
      <w:r>
        <w:rPr>
          <w:i/>
          <w:spacing w:val="5"/>
          <w:sz w:val="13"/>
        </w:rPr>
        <w:t> </w:t>
      </w:r>
      <w:r>
        <w:rPr>
          <w:sz w:val="13"/>
        </w:rPr>
        <w:t>(online,</w:t>
      </w:r>
      <w:r>
        <w:rPr>
          <w:spacing w:val="6"/>
          <w:sz w:val="13"/>
        </w:rPr>
        <w:t> </w:t>
      </w:r>
      <w:r>
        <w:rPr>
          <w:sz w:val="13"/>
        </w:rPr>
        <w:t>12</w:t>
      </w:r>
      <w:r>
        <w:rPr>
          <w:spacing w:val="6"/>
          <w:sz w:val="13"/>
        </w:rPr>
        <w:t> </w:t>
      </w:r>
      <w:r>
        <w:rPr>
          <w:sz w:val="13"/>
        </w:rPr>
        <w:t>April</w:t>
      </w:r>
      <w:r>
        <w:rPr>
          <w:spacing w:val="6"/>
          <w:sz w:val="13"/>
        </w:rPr>
        <w:t> </w:t>
      </w:r>
      <w:r>
        <w:rPr>
          <w:sz w:val="13"/>
        </w:rPr>
        <w:t>2022)</w:t>
      </w:r>
    </w:p>
    <w:p>
      <w:pPr>
        <w:spacing w:line="213" w:lineRule="auto" w:before="0"/>
        <w:ind w:left="1761" w:right="1278" w:firstLine="0"/>
        <w:jc w:val="left"/>
        <w:rPr>
          <w:sz w:val="13"/>
        </w:rPr>
      </w:pPr>
      <w:r>
        <w:rPr>
          <w:sz w:val="13"/>
        </w:rPr>
        <w:t>&lt;</w:t>
      </w:r>
      <w:hyperlink r:id="rId110">
        <w:r>
          <w:rPr>
            <w:sz w:val="13"/>
          </w:rPr>
          <w:t>https://theconversation.com/from-coda-to-hawkeye-the-surge-of-sign-languages-on-screen-is-a-sign-of-better-things-to-</w:t>
        </w:r>
      </w:hyperlink>
      <w:r>
        <w:rPr>
          <w:sz w:val="13"/>
        </w:rPr>
        <w:t> </w:t>
      </w:r>
      <w:hyperlink r:id="rId110">
        <w:r>
          <w:rPr>
            <w:sz w:val="13"/>
          </w:rPr>
          <w:t>come-for-the-deaf-community-180304</w:t>
        </w:r>
      </w:hyperlink>
      <w:r>
        <w:rPr>
          <w:sz w:val="13"/>
        </w:rPr>
        <w:t>&gt;.</w:t>
      </w:r>
    </w:p>
    <w:p>
      <w:pPr>
        <w:pStyle w:val="ListParagraph"/>
        <w:numPr>
          <w:ilvl w:val="0"/>
          <w:numId w:val="52"/>
        </w:numPr>
        <w:tabs>
          <w:tab w:pos="1760" w:val="left" w:leader="none"/>
          <w:tab w:pos="1762" w:val="left" w:leader="none"/>
        </w:tabs>
        <w:spacing w:line="213" w:lineRule="auto" w:before="0" w:after="0"/>
        <w:ind w:left="1761" w:right="1305" w:hanging="794"/>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52"/>
        </w:numPr>
        <w:tabs>
          <w:tab w:pos="1760" w:val="left" w:leader="none"/>
          <w:tab w:pos="1762" w:val="left" w:leader="none"/>
        </w:tabs>
        <w:spacing w:line="213" w:lineRule="auto" w:before="0" w:after="0"/>
        <w:ind w:left="1761" w:right="1465" w:hanging="794"/>
        <w:jc w:val="left"/>
        <w:rPr>
          <w:sz w:val="13"/>
        </w:rPr>
      </w:pPr>
      <w:r>
        <w:rPr>
          <w:sz w:val="13"/>
        </w:rPr>
        <w:t>Consultation 28 (National Coordinator of Audio Description, Vision Australia). Similarly, the </w:t>
      </w:r>
      <w:r>
        <w:rPr>
          <w:spacing w:val="2"/>
          <w:sz w:val="13"/>
        </w:rPr>
        <w:t>Service </w:t>
      </w:r>
      <w:r>
        <w:rPr>
          <w:sz w:val="13"/>
        </w:rPr>
        <w:t>Coordinator of </w:t>
      </w:r>
      <w:r>
        <w:rPr>
          <w:spacing w:val="2"/>
          <w:sz w:val="13"/>
        </w:rPr>
        <w:t>Description </w:t>
      </w:r>
      <w:r>
        <w:rPr>
          <w:sz w:val="13"/>
        </w:rPr>
        <w:t>Victoria told us that the organisation regularly provides AD </w:t>
      </w:r>
      <w:r>
        <w:rPr>
          <w:spacing w:val="2"/>
          <w:sz w:val="13"/>
        </w:rPr>
        <w:t>services </w:t>
      </w:r>
      <w:r>
        <w:rPr>
          <w:sz w:val="13"/>
        </w:rPr>
        <w:t>to live theatre performances: Consultation 29 </w:t>
      </w:r>
      <w:r>
        <w:rPr>
          <w:spacing w:val="2"/>
          <w:sz w:val="13"/>
        </w:rPr>
        <w:t>(Service </w:t>
      </w:r>
      <w:r>
        <w:rPr>
          <w:sz w:val="13"/>
        </w:rPr>
        <w:t>Coordinator, Description Victoria).</w:t>
      </w:r>
    </w:p>
    <w:p>
      <w:pPr>
        <w:pStyle w:val="ListParagraph"/>
        <w:numPr>
          <w:ilvl w:val="0"/>
          <w:numId w:val="52"/>
        </w:numPr>
        <w:tabs>
          <w:tab w:pos="1760" w:val="left" w:leader="none"/>
          <w:tab w:pos="1762" w:val="left" w:leader="none"/>
        </w:tabs>
        <w:spacing w:line="213" w:lineRule="auto" w:before="0" w:after="0"/>
        <w:ind w:left="1761" w:right="1239" w:hanging="794"/>
        <w:jc w:val="left"/>
        <w:rPr>
          <w:sz w:val="13"/>
        </w:rPr>
      </w:pPr>
      <w:r>
        <w:rPr>
          <w:sz w:val="13"/>
        </w:rPr>
        <w:t>Netflix, ‘Accessibility on Netflix’, </w:t>
      </w:r>
      <w:r>
        <w:rPr>
          <w:i/>
          <w:sz w:val="13"/>
        </w:rPr>
        <w:t>Help Center </w:t>
      </w:r>
      <w:r>
        <w:rPr>
          <w:sz w:val="13"/>
        </w:rPr>
        <w:t>(Web Page) &lt;</w:t>
      </w:r>
      <w:hyperlink r:id="rId111">
        <w:r>
          <w:rPr>
            <w:sz w:val="13"/>
          </w:rPr>
          <w:t>https://help.netflix.com/en/node/116022</w:t>
        </w:r>
      </w:hyperlink>
      <w:r>
        <w:rPr>
          <w:sz w:val="13"/>
        </w:rPr>
        <w:t>&gt;; </w:t>
      </w:r>
      <w:r>
        <w:rPr>
          <w:spacing w:val="2"/>
          <w:sz w:val="13"/>
        </w:rPr>
        <w:t>Special </w:t>
      </w:r>
      <w:r>
        <w:rPr>
          <w:sz w:val="13"/>
        </w:rPr>
        <w:t>Broadcasting  </w:t>
      </w:r>
      <w:r>
        <w:rPr>
          <w:spacing w:val="2"/>
          <w:sz w:val="13"/>
        </w:rPr>
        <w:t>Service </w:t>
      </w:r>
      <w:r>
        <w:rPr>
          <w:sz w:val="13"/>
        </w:rPr>
        <w:t>(SBS), </w:t>
      </w:r>
      <w:r>
        <w:rPr>
          <w:spacing w:val="2"/>
          <w:sz w:val="13"/>
        </w:rPr>
        <w:t>‘SBS </w:t>
      </w:r>
      <w:r>
        <w:rPr>
          <w:sz w:val="13"/>
        </w:rPr>
        <w:t>and ABC </w:t>
      </w:r>
      <w:r>
        <w:rPr>
          <w:spacing w:val="2"/>
          <w:sz w:val="13"/>
        </w:rPr>
        <w:t>Launch </w:t>
      </w:r>
      <w:r>
        <w:rPr>
          <w:sz w:val="13"/>
        </w:rPr>
        <w:t>Audio Descriptions to Help </w:t>
      </w:r>
      <w:r>
        <w:rPr>
          <w:spacing w:val="2"/>
          <w:sz w:val="13"/>
        </w:rPr>
        <w:t>Blind </w:t>
      </w:r>
      <w:r>
        <w:rPr>
          <w:sz w:val="13"/>
        </w:rPr>
        <w:t>or </w:t>
      </w:r>
      <w:r>
        <w:rPr>
          <w:spacing w:val="2"/>
          <w:sz w:val="13"/>
        </w:rPr>
        <w:t>Vision-Impaired </w:t>
      </w:r>
      <w:r>
        <w:rPr>
          <w:sz w:val="13"/>
        </w:rPr>
        <w:t>Australians Enjoy Television More’, </w:t>
      </w:r>
      <w:r>
        <w:rPr>
          <w:i/>
          <w:sz w:val="13"/>
        </w:rPr>
        <w:t>SBS </w:t>
      </w:r>
      <w:r>
        <w:rPr>
          <w:i/>
          <w:sz w:val="13"/>
        </w:rPr>
        <w:t>News </w:t>
      </w:r>
      <w:r>
        <w:rPr>
          <w:sz w:val="13"/>
        </w:rPr>
        <w:t>(online, 23 June 2020) &lt;</w:t>
      </w:r>
      <w:hyperlink r:id="rId112">
        <w:r>
          <w:rPr>
            <w:sz w:val="13"/>
          </w:rPr>
          <w:t>https://www.sbs.com.au/news/sbs-and-abc-launch-audio-descriptions-to-help-blind-or-vision-</w:t>
        </w:r>
      </w:hyperlink>
      <w:hyperlink r:id="rId112">
        <w:r>
          <w:rPr>
            <w:sz w:val="13"/>
          </w:rPr>
          <w:t> impaired-australians-enjoy-television-more</w:t>
        </w:r>
      </w:hyperlink>
      <w:r>
        <w:rPr>
          <w:sz w:val="13"/>
        </w:rPr>
        <w:t>&gt;. The Vision Australia submission observes that ‘accessible </w:t>
      </w:r>
      <w:r>
        <w:rPr>
          <w:spacing w:val="2"/>
          <w:sz w:val="13"/>
        </w:rPr>
        <w:t>public </w:t>
      </w:r>
      <w:r>
        <w:rPr>
          <w:sz w:val="13"/>
        </w:rPr>
        <w:t>ICT procurement requirements of the Rehabilitation Act have </w:t>
      </w:r>
      <w:r>
        <w:rPr>
          <w:spacing w:val="2"/>
          <w:sz w:val="13"/>
        </w:rPr>
        <w:t>been </w:t>
      </w:r>
      <w:r>
        <w:rPr>
          <w:sz w:val="13"/>
        </w:rPr>
        <w:t>pivotal in improving the accessibility of a wide range of technologies, and have even </w:t>
      </w:r>
      <w:r>
        <w:rPr>
          <w:spacing w:val="2"/>
          <w:sz w:val="13"/>
        </w:rPr>
        <w:t>been </w:t>
      </w:r>
      <w:r>
        <w:rPr>
          <w:sz w:val="13"/>
        </w:rPr>
        <w:t>identified as the catalyst for companies such as Netflix to introduce audio description to their content’: </w:t>
      </w:r>
      <w:r>
        <w:rPr>
          <w:spacing w:val="2"/>
          <w:sz w:val="13"/>
        </w:rPr>
        <w:t>Submission </w:t>
      </w:r>
      <w:r>
        <w:rPr>
          <w:sz w:val="13"/>
        </w:rPr>
        <w:t>10 </w:t>
      </w:r>
      <w:r>
        <w:rPr>
          <w:spacing w:val="2"/>
          <w:sz w:val="13"/>
        </w:rPr>
        <w:t>(Vision </w:t>
      </w:r>
      <w:r>
        <w:rPr>
          <w:sz w:val="13"/>
        </w:rPr>
        <w:t>Australia). See also: </w:t>
      </w:r>
      <w:r>
        <w:rPr>
          <w:i/>
          <w:sz w:val="13"/>
        </w:rPr>
        <w:t>Rehabilitation Act, </w:t>
      </w:r>
      <w:r>
        <w:rPr>
          <w:sz w:val="13"/>
        </w:rPr>
        <w:t>29 USC</w:t>
      </w:r>
      <w:r>
        <w:rPr>
          <w:spacing w:val="2"/>
          <w:sz w:val="13"/>
        </w:rPr>
        <w:t> </w:t>
      </w:r>
      <w:r>
        <w:rPr>
          <w:sz w:val="13"/>
        </w:rPr>
        <w:t>(1973).</w:t>
      </w:r>
    </w:p>
    <w:p>
      <w:pPr>
        <w:pStyle w:val="ListParagraph"/>
        <w:numPr>
          <w:ilvl w:val="0"/>
          <w:numId w:val="52"/>
        </w:numPr>
        <w:tabs>
          <w:tab w:pos="1760" w:val="left" w:leader="none"/>
          <w:tab w:pos="1762" w:val="left" w:leader="none"/>
        </w:tabs>
        <w:spacing w:line="150" w:lineRule="exact" w:before="0" w:after="0"/>
        <w:ind w:left="1761" w:right="0" w:hanging="794"/>
        <w:jc w:val="left"/>
        <w:rPr>
          <w:sz w:val="13"/>
        </w:rPr>
      </w:pPr>
      <w:r>
        <w:rPr>
          <w:sz w:val="13"/>
        </w:rPr>
        <w:t>Consultation 30 (Lead Policy Advisor, Client </w:t>
      </w:r>
      <w:r>
        <w:rPr>
          <w:spacing w:val="2"/>
          <w:sz w:val="13"/>
        </w:rPr>
        <w:t>Services, </w:t>
      </w:r>
      <w:r>
        <w:rPr>
          <w:sz w:val="13"/>
        </w:rPr>
        <w:t>Vision</w:t>
      </w:r>
      <w:r>
        <w:rPr>
          <w:spacing w:val="2"/>
          <w:sz w:val="13"/>
        </w:rPr>
        <w:t> </w:t>
      </w:r>
      <w:r>
        <w:rPr>
          <w:sz w:val="13"/>
        </w:rPr>
        <w:t>Australia).</w:t>
      </w:r>
    </w:p>
    <w:p>
      <w:pPr>
        <w:pStyle w:val="ListParagraph"/>
        <w:numPr>
          <w:ilvl w:val="0"/>
          <w:numId w:val="52"/>
        </w:numPr>
        <w:tabs>
          <w:tab w:pos="1760" w:val="left" w:leader="none"/>
          <w:tab w:pos="1762" w:val="left" w:leader="none"/>
        </w:tabs>
        <w:spacing w:line="160" w:lineRule="exact" w:before="0" w:after="0"/>
        <w:ind w:left="1761" w:right="0" w:hanging="794"/>
        <w:jc w:val="left"/>
        <w:rPr>
          <w:sz w:val="13"/>
        </w:rPr>
      </w:pPr>
      <w:r>
        <w:rPr>
          <w:sz w:val="13"/>
        </w:rPr>
        <w:t>Netflix, ‘Accessibility on Netflix’, </w:t>
      </w:r>
      <w:r>
        <w:rPr>
          <w:i/>
          <w:sz w:val="13"/>
        </w:rPr>
        <w:t>Help Center </w:t>
      </w:r>
      <w:r>
        <w:rPr>
          <w:sz w:val="13"/>
        </w:rPr>
        <w:t>(Web Page)</w:t>
      </w:r>
      <w:r>
        <w:rPr>
          <w:spacing w:val="6"/>
          <w:sz w:val="13"/>
        </w:rPr>
        <w:t> </w:t>
      </w:r>
      <w:r>
        <w:rPr>
          <w:sz w:val="13"/>
        </w:rPr>
        <w:t>&lt;</w:t>
      </w:r>
      <w:hyperlink r:id="rId111">
        <w:r>
          <w:rPr>
            <w:sz w:val="13"/>
          </w:rPr>
          <w:t>https://help.netflix.com/en/node/116022</w:t>
        </w:r>
      </w:hyperlink>
      <w:r>
        <w:rPr>
          <w:sz w:val="13"/>
        </w:rPr>
        <w:t>&gt;.</w:t>
      </w:r>
    </w:p>
    <w:p>
      <w:pPr>
        <w:pStyle w:val="ListParagraph"/>
        <w:numPr>
          <w:ilvl w:val="0"/>
          <w:numId w:val="52"/>
        </w:numPr>
        <w:tabs>
          <w:tab w:pos="1760" w:val="left" w:leader="none"/>
          <w:tab w:pos="1762" w:val="left" w:leader="none"/>
        </w:tabs>
        <w:spacing w:line="160" w:lineRule="exact" w:before="0" w:after="0"/>
        <w:ind w:left="1761" w:right="0" w:hanging="794"/>
        <w:jc w:val="left"/>
        <w:rPr>
          <w:sz w:val="13"/>
        </w:rPr>
      </w:pPr>
      <w:r>
        <w:rPr>
          <w:sz w:val="13"/>
        </w:rPr>
        <w:t>See, eg, the discussion about accessible tourism: ‘Accessible Tourism’, </w:t>
      </w:r>
      <w:r>
        <w:rPr>
          <w:i/>
          <w:sz w:val="13"/>
        </w:rPr>
        <w:t>Business Victoria </w:t>
      </w:r>
      <w:r>
        <w:rPr>
          <w:sz w:val="13"/>
        </w:rPr>
        <w:t>(Web Page, 20 April</w:t>
      </w:r>
      <w:r>
        <w:rPr>
          <w:spacing w:val="23"/>
          <w:sz w:val="13"/>
        </w:rPr>
        <w:t> </w:t>
      </w:r>
      <w:r>
        <w:rPr>
          <w:sz w:val="13"/>
        </w:rPr>
        <w:t>2022)</w:t>
      </w:r>
    </w:p>
    <w:p>
      <w:pPr>
        <w:spacing w:line="160" w:lineRule="exact" w:before="0"/>
        <w:ind w:left="1761" w:right="0" w:firstLine="0"/>
        <w:jc w:val="left"/>
        <w:rPr>
          <w:sz w:val="13"/>
        </w:rPr>
      </w:pPr>
      <w:r>
        <w:rPr>
          <w:sz w:val="13"/>
        </w:rPr>
        <w:t>&lt;</w:t>
      </w:r>
      <w:hyperlink r:id="rId113">
        <w:r>
          <w:rPr>
            <w:sz w:val="13"/>
          </w:rPr>
          <w:t>https://business.vic.gov.au/business-information/tourism-industry-resources/accessible-tourism</w:t>
        </w:r>
      </w:hyperlink>
      <w:r>
        <w:rPr>
          <w:sz w:val="13"/>
        </w:rPr>
        <w:t>&gt;.</w:t>
      </w:r>
    </w:p>
    <w:p>
      <w:pPr>
        <w:pStyle w:val="ListParagraph"/>
        <w:numPr>
          <w:ilvl w:val="0"/>
          <w:numId w:val="52"/>
        </w:numPr>
        <w:tabs>
          <w:tab w:pos="1761" w:val="left" w:leader="none"/>
          <w:tab w:pos="1762" w:val="left" w:leader="none"/>
        </w:tabs>
        <w:spacing w:line="213" w:lineRule="auto" w:before="0" w:after="0"/>
        <w:ind w:left="1761" w:right="1613" w:hanging="794"/>
        <w:jc w:val="left"/>
        <w:rPr>
          <w:sz w:val="13"/>
        </w:rPr>
      </w:pPr>
      <w:r>
        <w:rPr>
          <w:sz w:val="13"/>
        </w:rPr>
        <w:t>For example, Apple is committed to accessibility in </w:t>
      </w:r>
      <w:r>
        <w:rPr>
          <w:spacing w:val="2"/>
          <w:sz w:val="13"/>
        </w:rPr>
        <w:t>its </w:t>
      </w:r>
      <w:r>
        <w:rPr>
          <w:sz w:val="13"/>
        </w:rPr>
        <w:t>designs </w:t>
      </w:r>
      <w:r>
        <w:rPr>
          <w:spacing w:val="2"/>
          <w:sz w:val="13"/>
        </w:rPr>
        <w:t>because </w:t>
      </w:r>
      <w:r>
        <w:rPr>
          <w:sz w:val="13"/>
        </w:rPr>
        <w:t>inclusion is ‘a human right’: Filipe Espósito, ‘Apple’s Accessibility</w:t>
      </w:r>
      <w:r>
        <w:rPr>
          <w:spacing w:val="4"/>
          <w:sz w:val="13"/>
        </w:rPr>
        <w:t> </w:t>
      </w:r>
      <w:r>
        <w:rPr>
          <w:sz w:val="13"/>
        </w:rPr>
        <w:t>Director</w:t>
      </w:r>
      <w:r>
        <w:rPr>
          <w:spacing w:val="4"/>
          <w:sz w:val="13"/>
        </w:rPr>
        <w:t> </w:t>
      </w:r>
      <w:r>
        <w:rPr>
          <w:spacing w:val="2"/>
          <w:sz w:val="13"/>
        </w:rPr>
        <w:t>Highlights</w:t>
      </w:r>
      <w:r>
        <w:rPr>
          <w:spacing w:val="5"/>
          <w:sz w:val="13"/>
        </w:rPr>
        <w:t> </w:t>
      </w:r>
      <w:r>
        <w:rPr>
          <w:sz w:val="13"/>
        </w:rPr>
        <w:t>How</w:t>
      </w:r>
      <w:r>
        <w:rPr>
          <w:spacing w:val="4"/>
          <w:sz w:val="13"/>
        </w:rPr>
        <w:t> </w:t>
      </w:r>
      <w:r>
        <w:rPr>
          <w:sz w:val="13"/>
        </w:rPr>
        <w:t>the</w:t>
      </w:r>
      <w:r>
        <w:rPr>
          <w:spacing w:val="5"/>
          <w:sz w:val="13"/>
        </w:rPr>
        <w:t> </w:t>
      </w:r>
      <w:r>
        <w:rPr>
          <w:sz w:val="13"/>
        </w:rPr>
        <w:t>Company</w:t>
      </w:r>
      <w:r>
        <w:rPr>
          <w:spacing w:val="4"/>
          <w:sz w:val="13"/>
        </w:rPr>
        <w:t> </w:t>
      </w:r>
      <w:r>
        <w:rPr>
          <w:sz w:val="13"/>
        </w:rPr>
        <w:t>Values</w:t>
      </w:r>
      <w:r>
        <w:rPr>
          <w:spacing w:val="4"/>
          <w:sz w:val="13"/>
        </w:rPr>
        <w:t> </w:t>
      </w:r>
      <w:r>
        <w:rPr>
          <w:sz w:val="13"/>
        </w:rPr>
        <w:t>Inclusion</w:t>
      </w:r>
      <w:r>
        <w:rPr>
          <w:spacing w:val="5"/>
          <w:sz w:val="13"/>
        </w:rPr>
        <w:t> </w:t>
      </w:r>
      <w:r>
        <w:rPr>
          <w:sz w:val="13"/>
        </w:rPr>
        <w:t>in</w:t>
      </w:r>
      <w:r>
        <w:rPr>
          <w:spacing w:val="4"/>
          <w:sz w:val="13"/>
        </w:rPr>
        <w:t> </w:t>
      </w:r>
      <w:r>
        <w:rPr>
          <w:spacing w:val="2"/>
          <w:sz w:val="13"/>
        </w:rPr>
        <w:t>its</w:t>
      </w:r>
      <w:r>
        <w:rPr>
          <w:spacing w:val="5"/>
          <w:sz w:val="13"/>
        </w:rPr>
        <w:t> </w:t>
      </w:r>
      <w:r>
        <w:rPr>
          <w:sz w:val="13"/>
        </w:rPr>
        <w:t>Products’,</w:t>
      </w:r>
      <w:r>
        <w:rPr>
          <w:spacing w:val="4"/>
          <w:sz w:val="13"/>
        </w:rPr>
        <w:t> </w:t>
      </w:r>
      <w:r>
        <w:rPr>
          <w:i/>
          <w:sz w:val="13"/>
        </w:rPr>
        <w:t>9to5Mac</w:t>
      </w:r>
      <w:r>
        <w:rPr>
          <w:i/>
          <w:spacing w:val="4"/>
          <w:sz w:val="13"/>
        </w:rPr>
        <w:t> </w:t>
      </w:r>
      <w:r>
        <w:rPr>
          <w:sz w:val="13"/>
        </w:rPr>
        <w:t>(Blog</w:t>
      </w:r>
      <w:r>
        <w:rPr>
          <w:spacing w:val="5"/>
          <w:sz w:val="13"/>
        </w:rPr>
        <w:t> </w:t>
      </w:r>
      <w:r>
        <w:rPr>
          <w:sz w:val="13"/>
        </w:rPr>
        <w:t>Post,</w:t>
      </w:r>
      <w:r>
        <w:rPr>
          <w:spacing w:val="4"/>
          <w:sz w:val="13"/>
        </w:rPr>
        <w:t> </w:t>
      </w:r>
      <w:r>
        <w:rPr>
          <w:sz w:val="13"/>
        </w:rPr>
        <w:t>28</w:t>
      </w:r>
      <w:r>
        <w:rPr>
          <w:spacing w:val="4"/>
          <w:sz w:val="13"/>
        </w:rPr>
        <w:t> </w:t>
      </w:r>
      <w:r>
        <w:rPr>
          <w:sz w:val="13"/>
        </w:rPr>
        <w:t>July</w:t>
      </w:r>
      <w:r>
        <w:rPr>
          <w:spacing w:val="5"/>
          <w:sz w:val="13"/>
        </w:rPr>
        <w:t> </w:t>
      </w:r>
      <w:r>
        <w:rPr>
          <w:sz w:val="13"/>
        </w:rPr>
        <w:t>2020)</w:t>
      </w:r>
    </w:p>
    <w:p>
      <w:pPr>
        <w:spacing w:line="213" w:lineRule="auto" w:before="0"/>
        <w:ind w:left="1761" w:right="1335" w:firstLine="0"/>
        <w:jc w:val="left"/>
        <w:rPr>
          <w:sz w:val="13"/>
        </w:rPr>
      </w:pPr>
      <w:r>
        <w:rPr>
          <w:sz w:val="13"/>
        </w:rPr>
        <w:t>&lt;</w:t>
      </w:r>
      <w:hyperlink r:id="rId114">
        <w:r>
          <w:rPr>
            <w:sz w:val="13"/>
          </w:rPr>
          <w:t>https://9to5mac.com/2020/07/27/apples-accessibility-director-highlights-how-the-company-values-inclusion-in-its-</w:t>
        </w:r>
      </w:hyperlink>
      <w:r>
        <w:rPr>
          <w:sz w:val="13"/>
        </w:rPr>
        <w:t> </w:t>
      </w:r>
      <w:hyperlink r:id="rId114">
        <w:r>
          <w:rPr>
            <w:sz w:val="13"/>
          </w:rPr>
          <w:t>products/</w:t>
        </w:r>
      </w:hyperlink>
      <w:r>
        <w:rPr>
          <w:sz w:val="13"/>
        </w:rPr>
        <w:t>&gt;.</w:t>
      </w:r>
    </w:p>
    <w:p>
      <w:pPr>
        <w:pStyle w:val="ListParagraph"/>
        <w:numPr>
          <w:ilvl w:val="0"/>
          <w:numId w:val="52"/>
        </w:numPr>
        <w:tabs>
          <w:tab w:pos="1761" w:val="left" w:leader="none"/>
          <w:tab w:pos="1762" w:val="left" w:leader="none"/>
        </w:tabs>
        <w:spacing w:line="213" w:lineRule="auto" w:before="0" w:after="0"/>
        <w:ind w:left="1761" w:right="1351" w:hanging="794"/>
        <w:jc w:val="left"/>
        <w:rPr>
          <w:sz w:val="13"/>
        </w:rPr>
      </w:pPr>
      <w:r>
        <w:rPr/>
        <w:pict>
          <v:shape style="position:absolute;margin-left:548.974487pt;margin-top:27.391691pt;width:13.2pt;height:14.1pt;mso-position-horizontal-relative:page;mso-position-vertical-relative:paragraph;z-index:5440" type="#_x0000_t202" filled="false" stroked="false">
            <v:textbox inset="0,0,0,0">
              <w:txbxContent>
                <w:p>
                  <w:pPr>
                    <w:spacing w:line="282" w:lineRule="exact" w:before="0"/>
                    <w:ind w:left="0" w:right="0" w:firstLine="0"/>
                    <w:jc w:val="left"/>
                    <w:rPr>
                      <w:b/>
                      <w:sz w:val="24"/>
                    </w:rPr>
                  </w:pPr>
                  <w:r>
                    <w:rPr>
                      <w:b/>
                      <w:color w:val="37617A"/>
                      <w:spacing w:val="-2"/>
                      <w:sz w:val="24"/>
                    </w:rPr>
                    <w:t>55</w:t>
                  </w:r>
                </w:p>
              </w:txbxContent>
            </v:textbox>
            <w10:wrap type="none"/>
          </v:shape>
        </w:pict>
      </w:r>
      <w:r>
        <w:rPr>
          <w:sz w:val="13"/>
        </w:rPr>
        <w:t>For example, Moreland City </w:t>
      </w:r>
      <w:r>
        <w:rPr>
          <w:spacing w:val="2"/>
          <w:sz w:val="13"/>
        </w:rPr>
        <w:t>Council’s </w:t>
      </w:r>
      <w:r>
        <w:rPr>
          <w:sz w:val="13"/>
        </w:rPr>
        <w:t>website notes that ‘Good access is </w:t>
      </w:r>
      <w:r>
        <w:rPr>
          <w:spacing w:val="2"/>
          <w:sz w:val="13"/>
        </w:rPr>
        <w:t>good business. </w:t>
      </w:r>
      <w:r>
        <w:rPr>
          <w:sz w:val="13"/>
        </w:rPr>
        <w:t>Nearly one in four Moreland residents have a disability. If your premises are not accessible for everyone you may be missing out on significant numbers of potential customers’: ‘Make Your </w:t>
      </w:r>
      <w:r>
        <w:rPr>
          <w:spacing w:val="2"/>
          <w:sz w:val="13"/>
        </w:rPr>
        <w:t>Business </w:t>
      </w:r>
      <w:r>
        <w:rPr>
          <w:sz w:val="13"/>
        </w:rPr>
        <w:t>Accessible’, </w:t>
      </w:r>
      <w:r>
        <w:rPr>
          <w:i/>
          <w:sz w:val="13"/>
        </w:rPr>
        <w:t>Moreland City Council </w:t>
      </w:r>
      <w:r>
        <w:rPr>
          <w:sz w:val="13"/>
        </w:rPr>
        <w:t>(Web Page) &lt;</w:t>
      </w:r>
      <w:hyperlink r:id="rId115">
        <w:r>
          <w:rPr>
            <w:sz w:val="13"/>
          </w:rPr>
          <w:t>https://www.moreland.vic.gov.au/building-</w:t>
        </w:r>
      </w:hyperlink>
      <w:hyperlink r:id="rId115">
        <w:r>
          <w:rPr>
            <w:sz w:val="13"/>
          </w:rPr>
          <w:t> and-business/business/accessible-business/</w:t>
        </w:r>
      </w:hyperlink>
      <w:r>
        <w:rPr>
          <w:sz w:val="13"/>
        </w:rPr>
        <w:t>&gt;.</w:t>
      </w:r>
    </w:p>
    <w:p>
      <w:pPr>
        <w:pStyle w:val="ListParagraph"/>
        <w:numPr>
          <w:ilvl w:val="0"/>
          <w:numId w:val="52"/>
        </w:numPr>
        <w:tabs>
          <w:tab w:pos="1760" w:val="left" w:leader="none"/>
          <w:tab w:pos="1762" w:val="left" w:leader="none"/>
        </w:tabs>
        <w:spacing w:line="162" w:lineRule="exact" w:before="0" w:after="0"/>
        <w:ind w:left="1761" w:right="0" w:hanging="794"/>
        <w:jc w:val="left"/>
        <w:rPr>
          <w:sz w:val="13"/>
        </w:rPr>
      </w:pPr>
      <w:r>
        <w:rPr>
          <w:sz w:val="13"/>
        </w:rPr>
        <w:t>Victorian Law Reform </w:t>
      </w:r>
      <w:r>
        <w:rPr>
          <w:spacing w:val="2"/>
          <w:sz w:val="13"/>
        </w:rPr>
        <w:t>Commission, </w:t>
      </w:r>
      <w:r>
        <w:rPr>
          <w:i/>
          <w:sz w:val="13"/>
        </w:rPr>
        <w:t>Guardianship </w:t>
      </w:r>
      <w:r>
        <w:rPr>
          <w:spacing w:val="2"/>
          <w:sz w:val="13"/>
        </w:rPr>
        <w:t>(Report </w:t>
      </w:r>
      <w:r>
        <w:rPr>
          <w:sz w:val="13"/>
        </w:rPr>
        <w:t>No </w:t>
      </w:r>
      <w:r>
        <w:rPr>
          <w:spacing w:val="3"/>
          <w:sz w:val="13"/>
        </w:rPr>
        <w:t>24, </w:t>
      </w:r>
      <w:r>
        <w:rPr>
          <w:sz w:val="13"/>
        </w:rPr>
        <w:t>2012) Executive Summary, </w:t>
      </w:r>
      <w:r>
        <w:rPr>
          <w:spacing w:val="2"/>
          <w:sz w:val="13"/>
        </w:rPr>
        <w:t>xxi [14].</w:t>
      </w:r>
    </w:p>
    <w:p>
      <w:pPr>
        <w:spacing w:after="0" w:line="162" w:lineRule="exact"/>
        <w:jc w:val="left"/>
        <w:rPr>
          <w:sz w:val="13"/>
        </w:rPr>
        <w:sectPr>
          <w:headerReference w:type="default" r:id="rId104"/>
          <w:headerReference w:type="even" r:id="rId105"/>
          <w:pgSz w:w="11910" w:h="16840"/>
          <w:pgMar w:header="0" w:footer="0" w:top="840" w:bottom="280" w:left="620" w:right="380"/>
        </w:sectPr>
      </w:pPr>
    </w:p>
    <w:p>
      <w:pPr>
        <w:pStyle w:val="BodyText"/>
      </w:pPr>
    </w:p>
    <w:p>
      <w:pPr>
        <w:pStyle w:val="BodyText"/>
      </w:pPr>
    </w:p>
    <w:p>
      <w:pPr>
        <w:pStyle w:val="BodyText"/>
      </w:pPr>
    </w:p>
    <w:p>
      <w:pPr>
        <w:pStyle w:val="BodyText"/>
        <w:spacing w:before="7"/>
        <w:rPr>
          <w:sz w:val="16"/>
        </w:rPr>
      </w:pPr>
    </w:p>
    <w:p>
      <w:pPr>
        <w:pStyle w:val="ListParagraph"/>
        <w:numPr>
          <w:ilvl w:val="1"/>
          <w:numId w:val="12"/>
        </w:numPr>
        <w:tabs>
          <w:tab w:pos="1761" w:val="left" w:leader="none"/>
          <w:tab w:pos="1762" w:val="left" w:leader="none"/>
        </w:tabs>
        <w:spacing w:line="259" w:lineRule="exact" w:before="0" w:after="0"/>
        <w:ind w:left="1761" w:right="0" w:hanging="794"/>
        <w:jc w:val="left"/>
        <w:rPr>
          <w:sz w:val="20"/>
        </w:rPr>
      </w:pPr>
      <w:bookmarkStart w:name="_bookmark47" w:id="123"/>
      <w:bookmarkEnd w:id="123"/>
      <w:r>
        <w:rPr/>
      </w:r>
      <w:bookmarkStart w:name="_bookmark47" w:id="124"/>
      <w:bookmarkEnd w:id="124"/>
      <w:r>
        <w:rPr>
          <w:sz w:val="20"/>
        </w:rPr>
        <w:t>E</w:t>
      </w:r>
      <w:r>
        <w:rPr>
          <w:sz w:val="20"/>
        </w:rPr>
        <w:t>xclusion</w:t>
      </w:r>
      <w:r>
        <w:rPr>
          <w:spacing w:val="-6"/>
          <w:sz w:val="20"/>
        </w:rPr>
        <w:t> </w:t>
      </w:r>
      <w:r>
        <w:rPr>
          <w:spacing w:val="-3"/>
          <w:sz w:val="20"/>
        </w:rPr>
        <w:t>from</w:t>
      </w:r>
      <w:r>
        <w:rPr>
          <w:spacing w:val="-5"/>
          <w:sz w:val="20"/>
        </w:rPr>
        <w:t> </w:t>
      </w:r>
      <w:r>
        <w:rPr>
          <w:sz w:val="20"/>
        </w:rPr>
        <w:t>community</w:t>
      </w:r>
      <w:r>
        <w:rPr>
          <w:spacing w:val="-5"/>
          <w:sz w:val="20"/>
        </w:rPr>
        <w:t> </w:t>
      </w:r>
      <w:r>
        <w:rPr>
          <w:sz w:val="20"/>
        </w:rPr>
        <w:t>life</w:t>
      </w:r>
      <w:r>
        <w:rPr>
          <w:spacing w:val="-5"/>
          <w:sz w:val="20"/>
        </w:rPr>
        <w:t> </w:t>
      </w:r>
      <w:r>
        <w:rPr>
          <w:sz w:val="20"/>
        </w:rPr>
        <w:t>can</w:t>
      </w:r>
      <w:r>
        <w:rPr>
          <w:spacing w:val="-5"/>
          <w:sz w:val="20"/>
        </w:rPr>
        <w:t> </w:t>
      </w:r>
      <w:r>
        <w:rPr>
          <w:spacing w:val="-4"/>
          <w:sz w:val="20"/>
        </w:rPr>
        <w:t>have</w:t>
      </w:r>
      <w:r>
        <w:rPr>
          <w:spacing w:val="-5"/>
          <w:sz w:val="20"/>
        </w:rPr>
        <w:t> </w:t>
      </w:r>
      <w:r>
        <w:rPr>
          <w:sz w:val="20"/>
        </w:rPr>
        <w:t>a</w:t>
      </w:r>
      <w:r>
        <w:rPr>
          <w:spacing w:val="-6"/>
          <w:sz w:val="20"/>
        </w:rPr>
        <w:t> </w:t>
      </w:r>
      <w:r>
        <w:rPr>
          <w:sz w:val="20"/>
        </w:rPr>
        <w:t>debilitating</w:t>
      </w:r>
      <w:r>
        <w:rPr>
          <w:spacing w:val="-5"/>
          <w:sz w:val="20"/>
        </w:rPr>
        <w:t> </w:t>
      </w:r>
      <w:r>
        <w:rPr>
          <w:sz w:val="20"/>
        </w:rPr>
        <w:t>effect</w:t>
      </w:r>
      <w:r>
        <w:rPr>
          <w:spacing w:val="-5"/>
          <w:sz w:val="20"/>
        </w:rPr>
        <w:t> </w:t>
      </w:r>
      <w:r>
        <w:rPr>
          <w:sz w:val="20"/>
        </w:rPr>
        <w:t>on</w:t>
      </w:r>
      <w:r>
        <w:rPr>
          <w:spacing w:val="-5"/>
          <w:sz w:val="20"/>
        </w:rPr>
        <w:t> </w:t>
      </w:r>
      <w:r>
        <w:rPr>
          <w:spacing w:val="-3"/>
          <w:sz w:val="20"/>
        </w:rPr>
        <w:t>self-worth</w:t>
      </w:r>
      <w:r>
        <w:rPr>
          <w:spacing w:val="-5"/>
          <w:sz w:val="20"/>
        </w:rPr>
        <w:t> </w:t>
      </w:r>
      <w:r>
        <w:rPr>
          <w:sz w:val="20"/>
        </w:rPr>
        <w:t>and</w:t>
      </w:r>
    </w:p>
    <w:p>
      <w:pPr>
        <w:pStyle w:val="BodyText"/>
        <w:spacing w:line="259" w:lineRule="exact"/>
        <w:ind w:left="1761"/>
      </w:pPr>
      <w:r>
        <w:rPr/>
        <w:t>compound feelings of isolation.</w:t>
      </w:r>
      <w:r>
        <w:rPr>
          <w:position w:val="7"/>
          <w:sz w:val="11"/>
        </w:rPr>
        <w:t>15 </w:t>
      </w:r>
      <w:r>
        <w:rPr/>
        <w:t>Victoria Legal Aid noted:</w:t>
      </w:r>
    </w:p>
    <w:p>
      <w:pPr>
        <w:spacing w:line="208" w:lineRule="auto" w:before="112"/>
        <w:ind w:left="2157" w:right="1243" w:firstLine="0"/>
        <w:jc w:val="left"/>
        <w:rPr>
          <w:sz w:val="19"/>
        </w:rPr>
      </w:pPr>
      <w:r>
        <w:rPr>
          <w:sz w:val="19"/>
        </w:rPr>
        <w:t>Through our work responding to disability discrimination, we see the impact on people when they are excluded from participating in community life because adjustments are not made to accommodate their disabilities. Not only does this discrimination have a significant impact on the health and wellbeing of people with disability, it can also impact on their ability to complete their education, maintain their employment and have access to services. Our wider community is also adversely impacted when people with disabilities are denied the ability to fully participate</w:t>
      </w:r>
    </w:p>
    <w:p>
      <w:pPr>
        <w:spacing w:line="208" w:lineRule="auto" w:before="5"/>
        <w:ind w:left="2157" w:right="1335" w:firstLine="0"/>
        <w:jc w:val="left"/>
        <w:rPr>
          <w:sz w:val="11"/>
        </w:rPr>
      </w:pPr>
      <w:r>
        <w:rPr>
          <w:sz w:val="19"/>
        </w:rPr>
        <w:t>in public life and contribute their diversity of lived experiences to public decision- making processes, including in the justice system.</w:t>
      </w:r>
      <w:r>
        <w:rPr>
          <w:position w:val="6"/>
          <w:sz w:val="11"/>
        </w:rPr>
        <w:t>16</w:t>
      </w:r>
    </w:p>
    <w:p>
      <w:pPr>
        <w:pStyle w:val="ListParagraph"/>
        <w:numPr>
          <w:ilvl w:val="1"/>
          <w:numId w:val="12"/>
        </w:numPr>
        <w:tabs>
          <w:tab w:pos="1761" w:val="left" w:leader="none"/>
          <w:tab w:pos="1762" w:val="left" w:leader="none"/>
        </w:tabs>
        <w:spacing w:line="240" w:lineRule="auto" w:before="90" w:after="0"/>
        <w:ind w:left="1761" w:right="0" w:hanging="794"/>
        <w:jc w:val="left"/>
        <w:rPr>
          <w:sz w:val="20"/>
        </w:rPr>
      </w:pPr>
      <w:r>
        <w:rPr>
          <w:spacing w:val="-5"/>
          <w:sz w:val="20"/>
        </w:rPr>
        <w:t>Youth </w:t>
      </w:r>
      <w:r>
        <w:rPr>
          <w:sz w:val="20"/>
        </w:rPr>
        <w:t>Disability </w:t>
      </w:r>
      <w:r>
        <w:rPr>
          <w:spacing w:val="-3"/>
          <w:sz w:val="20"/>
        </w:rPr>
        <w:t>Advocacy </w:t>
      </w:r>
      <w:r>
        <w:rPr>
          <w:sz w:val="20"/>
        </w:rPr>
        <w:t>Service stated</w:t>
      </w:r>
      <w:r>
        <w:rPr>
          <w:spacing w:val="-13"/>
          <w:sz w:val="20"/>
        </w:rPr>
        <w:t> </w:t>
      </w:r>
      <w:r>
        <w:rPr>
          <w:sz w:val="20"/>
        </w:rPr>
        <w:t>that:</w:t>
      </w:r>
    </w:p>
    <w:p>
      <w:pPr>
        <w:spacing w:line="208" w:lineRule="auto" w:before="113"/>
        <w:ind w:left="2157" w:right="1110" w:firstLine="0"/>
        <w:jc w:val="left"/>
        <w:rPr>
          <w:sz w:val="11"/>
        </w:rPr>
      </w:pPr>
      <w:r>
        <w:rPr>
          <w:sz w:val="19"/>
        </w:rPr>
        <w:t>the current exclusion of disabled Australians as jurors further stigmatises disability within both the criminal justice system and society broadly. It is vital that disabled people living in Victoria are not only seen in the roles of claimants, victims or defendants within Australia’s justice system. This perpetuates disability stigma and inequality. Jury service is a vital aspect of civil life and the jury must reflect the society we live in.</w:t>
      </w:r>
      <w:r>
        <w:rPr>
          <w:position w:val="6"/>
          <w:sz w:val="11"/>
        </w:rPr>
        <w:t>17</w:t>
      </w:r>
    </w:p>
    <w:p>
      <w:pPr>
        <w:pStyle w:val="ListParagraph"/>
        <w:numPr>
          <w:ilvl w:val="1"/>
          <w:numId w:val="12"/>
        </w:numPr>
        <w:tabs>
          <w:tab w:pos="1761" w:val="left" w:leader="none"/>
          <w:tab w:pos="1762" w:val="left" w:leader="none"/>
        </w:tabs>
        <w:spacing w:line="206" w:lineRule="auto" w:before="125" w:after="0"/>
        <w:ind w:left="1761" w:right="1377" w:hanging="794"/>
        <w:jc w:val="left"/>
        <w:rPr>
          <w:sz w:val="20"/>
        </w:rPr>
      </w:pPr>
      <w:r>
        <w:rPr>
          <w:sz w:val="20"/>
        </w:rPr>
        <w:t>Whilst</w:t>
      </w:r>
      <w:r>
        <w:rPr>
          <w:spacing w:val="-14"/>
          <w:sz w:val="20"/>
        </w:rPr>
        <w:t> </w:t>
      </w:r>
      <w:r>
        <w:rPr>
          <w:sz w:val="20"/>
        </w:rPr>
        <w:t>there</w:t>
      </w:r>
      <w:r>
        <w:rPr>
          <w:spacing w:val="-13"/>
          <w:sz w:val="20"/>
        </w:rPr>
        <w:t> </w:t>
      </w:r>
      <w:r>
        <w:rPr>
          <w:sz w:val="20"/>
        </w:rPr>
        <w:t>has</w:t>
      </w:r>
      <w:r>
        <w:rPr>
          <w:spacing w:val="-13"/>
          <w:sz w:val="20"/>
        </w:rPr>
        <w:t> </w:t>
      </w:r>
      <w:r>
        <w:rPr>
          <w:sz w:val="20"/>
        </w:rPr>
        <w:t>been</w:t>
      </w:r>
      <w:r>
        <w:rPr>
          <w:spacing w:val="-13"/>
          <w:sz w:val="20"/>
        </w:rPr>
        <w:t> </w:t>
      </w:r>
      <w:r>
        <w:rPr>
          <w:sz w:val="20"/>
        </w:rPr>
        <w:t>some</w:t>
      </w:r>
      <w:r>
        <w:rPr>
          <w:spacing w:val="-13"/>
          <w:sz w:val="20"/>
        </w:rPr>
        <w:t> </w:t>
      </w:r>
      <w:r>
        <w:rPr>
          <w:sz w:val="20"/>
        </w:rPr>
        <w:t>significant</w:t>
      </w:r>
      <w:r>
        <w:rPr>
          <w:spacing w:val="-13"/>
          <w:sz w:val="20"/>
        </w:rPr>
        <w:t> </w:t>
      </w:r>
      <w:r>
        <w:rPr>
          <w:sz w:val="20"/>
        </w:rPr>
        <w:t>progress,</w:t>
      </w:r>
      <w:r>
        <w:rPr>
          <w:spacing w:val="-13"/>
          <w:sz w:val="20"/>
        </w:rPr>
        <w:t> </w:t>
      </w:r>
      <w:r>
        <w:rPr>
          <w:sz w:val="20"/>
        </w:rPr>
        <w:t>the</w:t>
      </w:r>
      <w:r>
        <w:rPr>
          <w:spacing w:val="-14"/>
          <w:sz w:val="20"/>
        </w:rPr>
        <w:t> </w:t>
      </w:r>
      <w:r>
        <w:rPr>
          <w:sz w:val="20"/>
        </w:rPr>
        <w:t>Commission</w:t>
      </w:r>
      <w:r>
        <w:rPr>
          <w:spacing w:val="-13"/>
          <w:sz w:val="20"/>
        </w:rPr>
        <w:t> </w:t>
      </w:r>
      <w:r>
        <w:rPr>
          <w:sz w:val="20"/>
        </w:rPr>
        <w:t>observes</w:t>
      </w:r>
      <w:r>
        <w:rPr>
          <w:spacing w:val="-13"/>
          <w:sz w:val="20"/>
        </w:rPr>
        <w:t> </w:t>
      </w:r>
      <w:r>
        <w:rPr>
          <w:sz w:val="20"/>
        </w:rPr>
        <w:t>that</w:t>
      </w:r>
      <w:r>
        <w:rPr>
          <w:spacing w:val="-13"/>
          <w:sz w:val="20"/>
        </w:rPr>
        <w:t> </w:t>
      </w:r>
      <w:r>
        <w:rPr>
          <w:sz w:val="20"/>
        </w:rPr>
        <w:t>there is a long </w:t>
      </w:r>
      <w:r>
        <w:rPr>
          <w:spacing w:val="-4"/>
          <w:sz w:val="20"/>
        </w:rPr>
        <w:t>way </w:t>
      </w:r>
      <w:r>
        <w:rPr>
          <w:sz w:val="20"/>
        </w:rPr>
        <w:t>to go to </w:t>
      </w:r>
      <w:r>
        <w:rPr>
          <w:spacing w:val="-3"/>
          <w:sz w:val="20"/>
        </w:rPr>
        <w:t>achieve </w:t>
      </w:r>
      <w:r>
        <w:rPr>
          <w:sz w:val="20"/>
        </w:rPr>
        <w:t>equality for people with disabilities. Victoria Legal Aid (VLA) identified</w:t>
      </w:r>
      <w:r>
        <w:rPr>
          <w:spacing w:val="-9"/>
          <w:sz w:val="20"/>
        </w:rPr>
        <w:t> </w:t>
      </w:r>
      <w:r>
        <w:rPr>
          <w:sz w:val="20"/>
        </w:rPr>
        <w:t>that:</w:t>
      </w:r>
    </w:p>
    <w:p>
      <w:pPr>
        <w:spacing w:line="208" w:lineRule="auto" w:before="122"/>
        <w:ind w:left="2157" w:right="1198" w:firstLine="0"/>
        <w:jc w:val="left"/>
        <w:rPr>
          <w:sz w:val="11"/>
        </w:rPr>
      </w:pPr>
      <w:r>
        <w:rPr>
          <w:sz w:val="19"/>
        </w:rPr>
        <w:t>Of the discrimination-related inquiries we received, inquiries about disability discrimination are the most common and each year we provide hundreds of instances of legal advice and assistance about this issue. For example, over the past five financial years we gave 345 advices on disability discrimination in education and 1,803 advices on disability discrimination in employment.</w:t>
      </w:r>
      <w:r>
        <w:rPr>
          <w:position w:val="6"/>
          <w:sz w:val="11"/>
        </w:rPr>
        <w:t>18</w:t>
      </w:r>
    </w:p>
    <w:p>
      <w:pPr>
        <w:pStyle w:val="ListParagraph"/>
        <w:numPr>
          <w:ilvl w:val="1"/>
          <w:numId w:val="12"/>
        </w:numPr>
        <w:tabs>
          <w:tab w:pos="1761" w:val="left" w:leader="none"/>
          <w:tab w:pos="1762" w:val="left" w:leader="none"/>
        </w:tabs>
        <w:spacing w:line="259" w:lineRule="exact" w:before="93" w:after="0"/>
        <w:ind w:left="1761" w:right="0" w:hanging="794"/>
        <w:jc w:val="left"/>
        <w:rPr>
          <w:sz w:val="20"/>
        </w:rPr>
      </w:pPr>
      <w:r>
        <w:rPr>
          <w:sz w:val="20"/>
        </w:rPr>
        <w:t>The</w:t>
      </w:r>
      <w:r>
        <w:rPr>
          <w:spacing w:val="-6"/>
          <w:sz w:val="20"/>
        </w:rPr>
        <w:t> </w:t>
      </w:r>
      <w:r>
        <w:rPr>
          <w:sz w:val="20"/>
        </w:rPr>
        <w:t>latest</w:t>
      </w:r>
      <w:r>
        <w:rPr>
          <w:spacing w:val="-5"/>
          <w:sz w:val="20"/>
        </w:rPr>
        <w:t> </w:t>
      </w:r>
      <w:r>
        <w:rPr>
          <w:spacing w:val="-3"/>
          <w:sz w:val="20"/>
        </w:rPr>
        <w:t>‘Australia</w:t>
      </w:r>
      <w:r>
        <w:rPr>
          <w:spacing w:val="-6"/>
          <w:sz w:val="20"/>
        </w:rPr>
        <w:t> </w:t>
      </w:r>
      <w:r>
        <w:rPr>
          <w:spacing w:val="-5"/>
          <w:sz w:val="20"/>
        </w:rPr>
        <w:t>Talks’ </w:t>
      </w:r>
      <w:r>
        <w:rPr>
          <w:sz w:val="20"/>
        </w:rPr>
        <w:t>survey</w:t>
      </w:r>
      <w:r>
        <w:rPr>
          <w:spacing w:val="-5"/>
          <w:sz w:val="20"/>
        </w:rPr>
        <w:t> </w:t>
      </w:r>
      <w:r>
        <w:rPr>
          <w:sz w:val="20"/>
        </w:rPr>
        <w:t>also</w:t>
      </w:r>
      <w:r>
        <w:rPr>
          <w:spacing w:val="-6"/>
          <w:sz w:val="20"/>
        </w:rPr>
        <w:t> </w:t>
      </w:r>
      <w:r>
        <w:rPr>
          <w:sz w:val="20"/>
        </w:rPr>
        <w:t>suggests</w:t>
      </w:r>
      <w:r>
        <w:rPr>
          <w:spacing w:val="-5"/>
          <w:sz w:val="20"/>
        </w:rPr>
        <w:t> </w:t>
      </w:r>
      <w:r>
        <w:rPr>
          <w:sz w:val="20"/>
        </w:rPr>
        <w:t>that</w:t>
      </w:r>
      <w:r>
        <w:rPr>
          <w:spacing w:val="-5"/>
          <w:sz w:val="20"/>
        </w:rPr>
        <w:t> </w:t>
      </w:r>
      <w:r>
        <w:rPr>
          <w:sz w:val="20"/>
        </w:rPr>
        <w:t>Australians</w:t>
      </w:r>
      <w:r>
        <w:rPr>
          <w:spacing w:val="-6"/>
          <w:sz w:val="20"/>
        </w:rPr>
        <w:t> </w:t>
      </w:r>
      <w:r>
        <w:rPr>
          <w:sz w:val="20"/>
        </w:rPr>
        <w:t>think</w:t>
      </w:r>
      <w:r>
        <w:rPr>
          <w:spacing w:val="-5"/>
          <w:sz w:val="20"/>
        </w:rPr>
        <w:t> </w:t>
      </w:r>
      <w:r>
        <w:rPr>
          <w:sz w:val="20"/>
        </w:rPr>
        <w:t>the</w:t>
      </w:r>
      <w:r>
        <w:rPr>
          <w:spacing w:val="-5"/>
          <w:sz w:val="20"/>
        </w:rPr>
        <w:t> </w:t>
      </w:r>
      <w:r>
        <w:rPr>
          <w:sz w:val="20"/>
        </w:rPr>
        <w:t>country</w:t>
      </w:r>
    </w:p>
    <w:p>
      <w:pPr>
        <w:pStyle w:val="BodyText"/>
        <w:spacing w:line="206" w:lineRule="auto" w:before="13"/>
        <w:ind w:left="1761" w:right="1335"/>
        <w:rPr>
          <w:sz w:val="11"/>
        </w:rPr>
      </w:pPr>
      <w:r>
        <w:rPr/>
        <w:t>is doing a poor job of supporting people with disabilities and that significant </w:t>
      </w:r>
      <w:r>
        <w:rPr>
          <w:spacing w:val="-3"/>
        </w:rPr>
        <w:t>improvements </w:t>
      </w:r>
      <w:r>
        <w:rPr/>
        <w:t>need to be made.</w:t>
      </w:r>
      <w:r>
        <w:rPr>
          <w:position w:val="7"/>
          <w:sz w:val="11"/>
        </w:rPr>
        <w:t>19 </w:t>
      </w:r>
      <w:r>
        <w:rPr>
          <w:spacing w:val="-3"/>
        </w:rPr>
        <w:t>Importantly, </w:t>
      </w:r>
      <w:r>
        <w:rPr/>
        <w:t>the </w:t>
      </w:r>
      <w:r>
        <w:rPr>
          <w:spacing w:val="-4"/>
        </w:rPr>
        <w:t>Royal </w:t>
      </w:r>
      <w:r>
        <w:rPr/>
        <w:t>Commission </w:t>
      </w:r>
      <w:r>
        <w:rPr>
          <w:spacing w:val="-3"/>
        </w:rPr>
        <w:t>into </w:t>
      </w:r>
      <w:r>
        <w:rPr/>
        <w:t>Violence, Abuse,</w:t>
      </w:r>
      <w:r>
        <w:rPr>
          <w:spacing w:val="-13"/>
        </w:rPr>
        <w:t> </w:t>
      </w:r>
      <w:r>
        <w:rPr/>
        <w:t>Neglect</w:t>
      </w:r>
      <w:r>
        <w:rPr>
          <w:spacing w:val="-12"/>
        </w:rPr>
        <w:t> </w:t>
      </w:r>
      <w:r>
        <w:rPr/>
        <w:t>and</w:t>
      </w:r>
      <w:r>
        <w:rPr>
          <w:spacing w:val="-12"/>
        </w:rPr>
        <w:t> </w:t>
      </w:r>
      <w:r>
        <w:rPr/>
        <w:t>Exploitation</w:t>
      </w:r>
      <w:r>
        <w:rPr>
          <w:spacing w:val="-12"/>
        </w:rPr>
        <w:t> </w:t>
      </w:r>
      <w:r>
        <w:rPr/>
        <w:t>of</w:t>
      </w:r>
      <w:r>
        <w:rPr>
          <w:spacing w:val="-12"/>
        </w:rPr>
        <w:t> </w:t>
      </w:r>
      <w:r>
        <w:rPr/>
        <w:t>People</w:t>
      </w:r>
      <w:r>
        <w:rPr>
          <w:spacing w:val="-12"/>
        </w:rPr>
        <w:t> </w:t>
      </w:r>
      <w:r>
        <w:rPr/>
        <w:t>with</w:t>
      </w:r>
      <w:r>
        <w:rPr>
          <w:spacing w:val="-12"/>
        </w:rPr>
        <w:t> </w:t>
      </w:r>
      <w:r>
        <w:rPr/>
        <w:t>Disability</w:t>
      </w:r>
      <w:r>
        <w:rPr>
          <w:spacing w:val="-12"/>
        </w:rPr>
        <w:t> </w:t>
      </w:r>
      <w:r>
        <w:rPr>
          <w:spacing w:val="-3"/>
        </w:rPr>
        <w:t>reveals</w:t>
      </w:r>
      <w:r>
        <w:rPr>
          <w:spacing w:val="-12"/>
        </w:rPr>
        <w:t> </w:t>
      </w:r>
      <w:r>
        <w:rPr/>
        <w:t>the</w:t>
      </w:r>
      <w:r>
        <w:rPr>
          <w:spacing w:val="-12"/>
        </w:rPr>
        <w:t> </w:t>
      </w:r>
      <w:r>
        <w:rPr/>
        <w:t>seriousness</w:t>
      </w:r>
      <w:r>
        <w:rPr>
          <w:spacing w:val="-12"/>
        </w:rPr>
        <w:t> </w:t>
      </w:r>
      <w:r>
        <w:rPr/>
        <w:t>with which</w:t>
      </w:r>
      <w:r>
        <w:rPr>
          <w:spacing w:val="-8"/>
        </w:rPr>
        <w:t> </w:t>
      </w:r>
      <w:r>
        <w:rPr/>
        <w:t>our</w:t>
      </w:r>
      <w:r>
        <w:rPr>
          <w:spacing w:val="-8"/>
        </w:rPr>
        <w:t> </w:t>
      </w:r>
      <w:r>
        <w:rPr/>
        <w:t>community</w:t>
      </w:r>
      <w:r>
        <w:rPr>
          <w:spacing w:val="-8"/>
        </w:rPr>
        <w:t> </w:t>
      </w:r>
      <w:r>
        <w:rPr/>
        <w:t>is</w:t>
      </w:r>
      <w:r>
        <w:rPr>
          <w:spacing w:val="-8"/>
        </w:rPr>
        <w:t> </w:t>
      </w:r>
      <w:r>
        <w:rPr>
          <w:spacing w:val="-3"/>
        </w:rPr>
        <w:t>now</w:t>
      </w:r>
      <w:r>
        <w:rPr>
          <w:spacing w:val="-8"/>
        </w:rPr>
        <w:t> </w:t>
      </w:r>
      <w:r>
        <w:rPr/>
        <w:t>treating</w:t>
      </w:r>
      <w:r>
        <w:rPr>
          <w:spacing w:val="-8"/>
        </w:rPr>
        <w:t> </w:t>
      </w:r>
      <w:r>
        <w:rPr/>
        <w:t>the</w:t>
      </w:r>
      <w:r>
        <w:rPr>
          <w:spacing w:val="-8"/>
        </w:rPr>
        <w:t> </w:t>
      </w:r>
      <w:r>
        <w:rPr/>
        <w:t>challenges</w:t>
      </w:r>
      <w:r>
        <w:rPr>
          <w:spacing w:val="-8"/>
        </w:rPr>
        <w:t> </w:t>
      </w:r>
      <w:r>
        <w:rPr/>
        <w:t>people</w:t>
      </w:r>
      <w:r>
        <w:rPr>
          <w:spacing w:val="-8"/>
        </w:rPr>
        <w:t> </w:t>
      </w:r>
      <w:r>
        <w:rPr/>
        <w:t>with</w:t>
      </w:r>
      <w:r>
        <w:rPr>
          <w:spacing w:val="-8"/>
        </w:rPr>
        <w:t> </w:t>
      </w:r>
      <w:r>
        <w:rPr/>
        <w:t>disability</w:t>
      </w:r>
      <w:r>
        <w:rPr>
          <w:spacing w:val="-8"/>
        </w:rPr>
        <w:t> </w:t>
      </w:r>
      <w:r>
        <w:rPr/>
        <w:t>face.</w:t>
      </w:r>
      <w:r>
        <w:rPr>
          <w:position w:val="7"/>
          <w:sz w:val="11"/>
        </w:rPr>
        <w:t>20</w:t>
      </w:r>
    </w:p>
    <w:p>
      <w:pPr>
        <w:pStyle w:val="Heading3"/>
        <w:spacing w:before="163"/>
      </w:pPr>
      <w:r>
        <w:rPr/>
        <w:t>Government inclusion strategies</w:t>
      </w:r>
    </w:p>
    <w:p>
      <w:pPr>
        <w:pStyle w:val="ListParagraph"/>
        <w:numPr>
          <w:ilvl w:val="1"/>
          <w:numId w:val="12"/>
        </w:numPr>
        <w:tabs>
          <w:tab w:pos="1761" w:val="left" w:leader="none"/>
          <w:tab w:pos="1762" w:val="left" w:leader="none"/>
        </w:tabs>
        <w:spacing w:line="206" w:lineRule="auto" w:before="127" w:after="0"/>
        <w:ind w:left="1761" w:right="1290" w:hanging="794"/>
        <w:jc w:val="left"/>
        <w:rPr>
          <w:sz w:val="20"/>
        </w:rPr>
      </w:pPr>
      <w:r>
        <w:rPr>
          <w:spacing w:val="-3"/>
          <w:sz w:val="20"/>
        </w:rPr>
        <w:t>At</w:t>
      </w:r>
      <w:r>
        <w:rPr>
          <w:spacing w:val="-10"/>
          <w:sz w:val="20"/>
        </w:rPr>
        <w:t> </w:t>
      </w:r>
      <w:r>
        <w:rPr>
          <w:sz w:val="20"/>
        </w:rPr>
        <w:t>the</w:t>
      </w:r>
      <w:r>
        <w:rPr>
          <w:spacing w:val="-10"/>
          <w:sz w:val="20"/>
        </w:rPr>
        <w:t> </w:t>
      </w:r>
      <w:r>
        <w:rPr>
          <w:spacing w:val="-2"/>
          <w:sz w:val="20"/>
        </w:rPr>
        <w:t>Commonwealth</w:t>
      </w:r>
      <w:r>
        <w:rPr>
          <w:spacing w:val="-10"/>
          <w:sz w:val="20"/>
        </w:rPr>
        <w:t> </w:t>
      </w:r>
      <w:r>
        <w:rPr>
          <w:sz w:val="20"/>
        </w:rPr>
        <w:t>and</w:t>
      </w:r>
      <w:r>
        <w:rPr>
          <w:spacing w:val="-9"/>
          <w:sz w:val="20"/>
        </w:rPr>
        <w:t> </w:t>
      </w:r>
      <w:r>
        <w:rPr>
          <w:sz w:val="20"/>
        </w:rPr>
        <w:t>state</w:t>
      </w:r>
      <w:r>
        <w:rPr>
          <w:spacing w:val="-10"/>
          <w:sz w:val="20"/>
        </w:rPr>
        <w:t> </w:t>
      </w:r>
      <w:r>
        <w:rPr>
          <w:sz w:val="20"/>
        </w:rPr>
        <w:t>levels,</w:t>
      </w:r>
      <w:r>
        <w:rPr>
          <w:spacing w:val="-10"/>
          <w:sz w:val="20"/>
        </w:rPr>
        <w:t> </w:t>
      </w:r>
      <w:r>
        <w:rPr>
          <w:sz w:val="20"/>
        </w:rPr>
        <w:t>disability</w:t>
      </w:r>
      <w:r>
        <w:rPr>
          <w:spacing w:val="-10"/>
          <w:sz w:val="20"/>
        </w:rPr>
        <w:t> </w:t>
      </w:r>
      <w:r>
        <w:rPr>
          <w:sz w:val="20"/>
        </w:rPr>
        <w:t>action</w:t>
      </w:r>
      <w:r>
        <w:rPr>
          <w:spacing w:val="-9"/>
          <w:sz w:val="20"/>
        </w:rPr>
        <w:t> </w:t>
      </w:r>
      <w:r>
        <w:rPr>
          <w:sz w:val="20"/>
        </w:rPr>
        <w:t>plans</w:t>
      </w:r>
      <w:r>
        <w:rPr>
          <w:spacing w:val="-10"/>
          <w:sz w:val="20"/>
        </w:rPr>
        <w:t> </w:t>
      </w:r>
      <w:r>
        <w:rPr>
          <w:sz w:val="20"/>
        </w:rPr>
        <w:t>outline</w:t>
      </w:r>
      <w:r>
        <w:rPr>
          <w:spacing w:val="-10"/>
          <w:sz w:val="20"/>
        </w:rPr>
        <w:t> </w:t>
      </w:r>
      <w:r>
        <w:rPr>
          <w:spacing w:val="-3"/>
          <w:sz w:val="20"/>
        </w:rPr>
        <w:t>how</w:t>
      </w:r>
      <w:r>
        <w:rPr>
          <w:spacing w:val="-9"/>
          <w:sz w:val="20"/>
        </w:rPr>
        <w:t> </w:t>
      </w:r>
      <w:r>
        <w:rPr>
          <w:spacing w:val="-3"/>
          <w:sz w:val="20"/>
        </w:rPr>
        <w:t>government </w:t>
      </w:r>
      <w:r>
        <w:rPr>
          <w:sz w:val="20"/>
        </w:rPr>
        <w:t>will:</w:t>
      </w:r>
    </w:p>
    <w:p>
      <w:pPr>
        <w:pStyle w:val="ListParagraph"/>
        <w:numPr>
          <w:ilvl w:val="2"/>
          <w:numId w:val="12"/>
        </w:numPr>
        <w:tabs>
          <w:tab w:pos="2157" w:val="left" w:leader="none"/>
          <w:tab w:pos="2158" w:val="left" w:leader="none"/>
        </w:tabs>
        <w:spacing w:line="240" w:lineRule="auto" w:before="91" w:after="0"/>
        <w:ind w:left="2157" w:right="0" w:hanging="396"/>
        <w:jc w:val="left"/>
        <w:rPr>
          <w:sz w:val="20"/>
        </w:rPr>
      </w:pPr>
      <w:r>
        <w:rPr>
          <w:sz w:val="20"/>
        </w:rPr>
        <w:t>support</w:t>
      </w:r>
      <w:r>
        <w:rPr>
          <w:spacing w:val="-5"/>
          <w:sz w:val="20"/>
        </w:rPr>
        <w:t> </w:t>
      </w:r>
      <w:r>
        <w:rPr>
          <w:sz w:val="20"/>
        </w:rPr>
        <w:t>people</w:t>
      </w:r>
      <w:r>
        <w:rPr>
          <w:spacing w:val="-5"/>
          <w:sz w:val="20"/>
        </w:rPr>
        <w:t> </w:t>
      </w:r>
      <w:r>
        <w:rPr>
          <w:sz w:val="20"/>
        </w:rPr>
        <w:t>with</w:t>
      </w:r>
      <w:r>
        <w:rPr>
          <w:spacing w:val="-5"/>
          <w:sz w:val="20"/>
        </w:rPr>
        <w:t> </w:t>
      </w:r>
      <w:r>
        <w:rPr>
          <w:sz w:val="20"/>
        </w:rPr>
        <w:t>disabilities</w:t>
      </w:r>
      <w:r>
        <w:rPr>
          <w:spacing w:val="-5"/>
          <w:sz w:val="20"/>
        </w:rPr>
        <w:t> </w:t>
      </w:r>
      <w:r>
        <w:rPr>
          <w:sz w:val="20"/>
        </w:rPr>
        <w:t>to</w:t>
      </w:r>
      <w:r>
        <w:rPr>
          <w:spacing w:val="-5"/>
          <w:sz w:val="20"/>
        </w:rPr>
        <w:t> </w:t>
      </w:r>
      <w:r>
        <w:rPr>
          <w:sz w:val="20"/>
        </w:rPr>
        <w:t>take</w:t>
      </w:r>
      <w:r>
        <w:rPr>
          <w:spacing w:val="-5"/>
          <w:sz w:val="20"/>
        </w:rPr>
        <w:t> </w:t>
      </w:r>
      <w:r>
        <w:rPr>
          <w:sz w:val="20"/>
        </w:rPr>
        <w:t>part</w:t>
      </w:r>
      <w:r>
        <w:rPr>
          <w:spacing w:val="-5"/>
          <w:sz w:val="20"/>
        </w:rPr>
        <w:t> </w:t>
      </w:r>
      <w:r>
        <w:rPr>
          <w:sz w:val="20"/>
        </w:rPr>
        <w:t>in</w:t>
      </w:r>
      <w:r>
        <w:rPr>
          <w:spacing w:val="-5"/>
          <w:sz w:val="20"/>
        </w:rPr>
        <w:t> </w:t>
      </w:r>
      <w:r>
        <w:rPr>
          <w:sz w:val="20"/>
        </w:rPr>
        <w:t>the</w:t>
      </w:r>
      <w:r>
        <w:rPr>
          <w:spacing w:val="-5"/>
          <w:sz w:val="20"/>
        </w:rPr>
        <w:t> </w:t>
      </w:r>
      <w:r>
        <w:rPr>
          <w:sz w:val="20"/>
        </w:rPr>
        <w:t>community</w:t>
      </w:r>
    </w:p>
    <w:p>
      <w:pPr>
        <w:pStyle w:val="ListParagraph"/>
        <w:numPr>
          <w:ilvl w:val="2"/>
          <w:numId w:val="12"/>
        </w:numPr>
        <w:tabs>
          <w:tab w:pos="2157" w:val="left" w:leader="none"/>
          <w:tab w:pos="2158" w:val="left" w:leader="none"/>
        </w:tabs>
        <w:spacing w:line="240" w:lineRule="auto" w:before="47" w:after="0"/>
        <w:ind w:left="2157" w:right="0" w:hanging="396"/>
        <w:jc w:val="left"/>
        <w:rPr>
          <w:sz w:val="11"/>
        </w:rPr>
      </w:pPr>
      <w:r>
        <w:rPr>
          <w:spacing w:val="-3"/>
          <w:sz w:val="20"/>
        </w:rPr>
        <w:t>make</w:t>
      </w:r>
      <w:r>
        <w:rPr>
          <w:spacing w:val="-5"/>
          <w:sz w:val="20"/>
        </w:rPr>
        <w:t> </w:t>
      </w:r>
      <w:r>
        <w:rPr>
          <w:sz w:val="20"/>
        </w:rPr>
        <w:t>it</w:t>
      </w:r>
      <w:r>
        <w:rPr>
          <w:spacing w:val="-5"/>
          <w:sz w:val="20"/>
        </w:rPr>
        <w:t> </w:t>
      </w:r>
      <w:r>
        <w:rPr>
          <w:sz w:val="20"/>
        </w:rPr>
        <w:t>easier</w:t>
      </w:r>
      <w:r>
        <w:rPr>
          <w:spacing w:val="-5"/>
          <w:sz w:val="20"/>
        </w:rPr>
        <w:t> </w:t>
      </w:r>
      <w:r>
        <w:rPr>
          <w:sz w:val="20"/>
        </w:rPr>
        <w:t>for</w:t>
      </w:r>
      <w:r>
        <w:rPr>
          <w:spacing w:val="-5"/>
          <w:sz w:val="20"/>
        </w:rPr>
        <w:t> </w:t>
      </w:r>
      <w:r>
        <w:rPr>
          <w:sz w:val="20"/>
        </w:rPr>
        <w:t>people</w:t>
      </w:r>
      <w:r>
        <w:rPr>
          <w:spacing w:val="-4"/>
          <w:sz w:val="20"/>
        </w:rPr>
        <w:t> </w:t>
      </w:r>
      <w:r>
        <w:rPr>
          <w:sz w:val="20"/>
        </w:rPr>
        <w:t>with</w:t>
      </w:r>
      <w:r>
        <w:rPr>
          <w:spacing w:val="-5"/>
          <w:sz w:val="20"/>
        </w:rPr>
        <w:t> </w:t>
      </w:r>
      <w:r>
        <w:rPr>
          <w:sz w:val="20"/>
        </w:rPr>
        <w:t>disabilities</w:t>
      </w:r>
      <w:r>
        <w:rPr>
          <w:spacing w:val="-5"/>
          <w:sz w:val="20"/>
        </w:rPr>
        <w:t> </w:t>
      </w:r>
      <w:r>
        <w:rPr>
          <w:sz w:val="20"/>
        </w:rPr>
        <w:t>to</w:t>
      </w:r>
      <w:r>
        <w:rPr>
          <w:spacing w:val="-5"/>
          <w:sz w:val="20"/>
        </w:rPr>
        <w:t> </w:t>
      </w:r>
      <w:r>
        <w:rPr>
          <w:sz w:val="20"/>
        </w:rPr>
        <w:t>use</w:t>
      </w:r>
      <w:r>
        <w:rPr>
          <w:spacing w:val="-5"/>
          <w:sz w:val="20"/>
        </w:rPr>
        <w:t> </w:t>
      </w:r>
      <w:r>
        <w:rPr>
          <w:sz w:val="20"/>
        </w:rPr>
        <w:t>community</w:t>
      </w:r>
      <w:r>
        <w:rPr>
          <w:spacing w:val="-4"/>
          <w:sz w:val="20"/>
        </w:rPr>
        <w:t> </w:t>
      </w:r>
      <w:r>
        <w:rPr>
          <w:sz w:val="20"/>
        </w:rPr>
        <w:t>services.</w:t>
      </w:r>
      <w:r>
        <w:rPr>
          <w:position w:val="7"/>
          <w:sz w:val="11"/>
        </w:rPr>
        <w:t>21</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1"/>
        </w:rPr>
      </w:pPr>
      <w:r>
        <w:rPr/>
        <w:pict>
          <v:line style="position:absolute;mso-position-horizontal-relative:page;mso-position-vertical-relative:paragraph;z-index:3416;mso-wrap-distance-left:0;mso-wrap-distance-right:0" from="79.370102pt,10.155100pt" to="515.905102pt,10.155100pt" stroked="true" strokeweight="1pt" strokecolor="#b6bdc8">
            <v:stroke dashstyle="solid"/>
            <w10:wrap type="topAndBottom"/>
          </v:line>
        </w:pict>
      </w:r>
    </w:p>
    <w:p>
      <w:pPr>
        <w:pStyle w:val="ListParagraph"/>
        <w:numPr>
          <w:ilvl w:val="0"/>
          <w:numId w:val="52"/>
        </w:numPr>
        <w:tabs>
          <w:tab w:pos="1760" w:val="left" w:leader="none"/>
          <w:tab w:pos="1762" w:val="left" w:leader="none"/>
        </w:tabs>
        <w:spacing w:line="213" w:lineRule="auto" w:before="107" w:after="0"/>
        <w:ind w:left="1761" w:right="1345" w:hanging="794"/>
        <w:jc w:val="left"/>
        <w:rPr>
          <w:sz w:val="13"/>
        </w:rPr>
      </w:pPr>
      <w:r>
        <w:rPr>
          <w:spacing w:val="2"/>
          <w:sz w:val="13"/>
        </w:rPr>
        <w:t>Department </w:t>
      </w:r>
      <w:r>
        <w:rPr>
          <w:sz w:val="13"/>
        </w:rPr>
        <w:t>of Social </w:t>
      </w:r>
      <w:r>
        <w:rPr>
          <w:spacing w:val="2"/>
          <w:sz w:val="13"/>
        </w:rPr>
        <w:t>Services </w:t>
      </w:r>
      <w:r>
        <w:rPr>
          <w:sz w:val="13"/>
        </w:rPr>
        <w:t>(Cth), </w:t>
      </w:r>
      <w:r>
        <w:rPr>
          <w:i/>
          <w:sz w:val="13"/>
        </w:rPr>
        <w:t>SHUT OUT: The </w:t>
      </w:r>
      <w:r>
        <w:rPr>
          <w:i/>
          <w:spacing w:val="2"/>
          <w:sz w:val="13"/>
        </w:rPr>
        <w:t>Experience </w:t>
      </w:r>
      <w:r>
        <w:rPr>
          <w:i/>
          <w:sz w:val="13"/>
        </w:rPr>
        <w:t>of People with Disabilities and Their Families in Australia </w:t>
      </w:r>
      <w:r>
        <w:rPr>
          <w:spacing w:val="2"/>
          <w:sz w:val="13"/>
        </w:rPr>
        <w:t>(Report, </w:t>
      </w:r>
      <w:r>
        <w:rPr>
          <w:sz w:val="13"/>
        </w:rPr>
        <w:t>2009) </w:t>
      </w:r>
      <w:r>
        <w:rPr>
          <w:spacing w:val="3"/>
          <w:sz w:val="13"/>
        </w:rPr>
        <w:t>52.</w:t>
      </w:r>
    </w:p>
    <w:p>
      <w:pPr>
        <w:pStyle w:val="ListParagraph"/>
        <w:numPr>
          <w:ilvl w:val="0"/>
          <w:numId w:val="52"/>
        </w:numPr>
        <w:tabs>
          <w:tab w:pos="1761" w:val="left" w:leader="none"/>
          <w:tab w:pos="1762" w:val="left" w:leader="none"/>
        </w:tabs>
        <w:spacing w:line="153" w:lineRule="exact" w:before="0" w:after="0"/>
        <w:ind w:left="1761" w:right="0" w:hanging="794"/>
        <w:jc w:val="left"/>
        <w:rPr>
          <w:sz w:val="13"/>
        </w:rPr>
      </w:pP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pStyle w:val="ListParagraph"/>
        <w:numPr>
          <w:ilvl w:val="0"/>
          <w:numId w:val="52"/>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z w:val="13"/>
        </w:rPr>
        <w:t>3 (Youth </w:t>
      </w:r>
      <w:r>
        <w:rPr>
          <w:spacing w:val="2"/>
          <w:sz w:val="13"/>
        </w:rPr>
        <w:t>Disability </w:t>
      </w:r>
      <w:r>
        <w:rPr>
          <w:sz w:val="13"/>
        </w:rPr>
        <w:t>Advocacy</w:t>
      </w:r>
      <w:r>
        <w:rPr>
          <w:spacing w:val="-4"/>
          <w:sz w:val="13"/>
        </w:rPr>
        <w:t> </w:t>
      </w:r>
      <w:r>
        <w:rPr>
          <w:sz w:val="13"/>
        </w:rPr>
        <w:t>Service).</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pStyle w:val="ListParagraph"/>
        <w:numPr>
          <w:ilvl w:val="0"/>
          <w:numId w:val="52"/>
        </w:numPr>
        <w:tabs>
          <w:tab w:pos="1760" w:val="left" w:leader="none"/>
          <w:tab w:pos="1762" w:val="left" w:leader="none"/>
        </w:tabs>
        <w:spacing w:line="213" w:lineRule="auto" w:before="6" w:after="0"/>
        <w:ind w:left="1761" w:right="1284" w:hanging="794"/>
        <w:jc w:val="left"/>
        <w:rPr>
          <w:sz w:val="13"/>
        </w:rPr>
      </w:pPr>
      <w:r>
        <w:rPr>
          <w:sz w:val="13"/>
        </w:rPr>
        <w:t>82% of Australians think that Australia should do as much as is </w:t>
      </w:r>
      <w:r>
        <w:rPr>
          <w:spacing w:val="2"/>
          <w:sz w:val="13"/>
        </w:rPr>
        <w:t>necessary </w:t>
      </w:r>
      <w:r>
        <w:rPr>
          <w:sz w:val="13"/>
        </w:rPr>
        <w:t>to ensure that people with </w:t>
      </w:r>
      <w:r>
        <w:rPr>
          <w:spacing w:val="2"/>
          <w:sz w:val="13"/>
        </w:rPr>
        <w:t>disability </w:t>
      </w:r>
      <w:r>
        <w:rPr>
          <w:sz w:val="13"/>
        </w:rPr>
        <w:t>have the same </w:t>
      </w:r>
      <w:r>
        <w:rPr>
          <w:spacing w:val="2"/>
          <w:sz w:val="13"/>
        </w:rPr>
        <w:t>opportunities </w:t>
      </w:r>
      <w:r>
        <w:rPr>
          <w:sz w:val="13"/>
        </w:rPr>
        <w:t>as everyone </w:t>
      </w:r>
      <w:r>
        <w:rPr>
          <w:spacing w:val="2"/>
          <w:sz w:val="13"/>
        </w:rPr>
        <w:t>else. </w:t>
      </w:r>
      <w:r>
        <w:rPr>
          <w:sz w:val="13"/>
        </w:rPr>
        <w:t>The survey reveals that more voters agree than disagree on this issue across the entire </w:t>
      </w:r>
      <w:r>
        <w:rPr>
          <w:spacing w:val="2"/>
          <w:sz w:val="13"/>
        </w:rPr>
        <w:t>political spectrum. </w:t>
      </w:r>
      <w:r>
        <w:rPr>
          <w:sz w:val="13"/>
        </w:rPr>
        <w:t>Australian Broadcasting Corporation (ABC), </w:t>
      </w:r>
      <w:r>
        <w:rPr>
          <w:spacing w:val="2"/>
          <w:sz w:val="13"/>
        </w:rPr>
        <w:t>‘Is </w:t>
      </w:r>
      <w:r>
        <w:rPr>
          <w:sz w:val="13"/>
        </w:rPr>
        <w:t>Enough </w:t>
      </w:r>
      <w:r>
        <w:rPr>
          <w:spacing w:val="2"/>
          <w:sz w:val="13"/>
        </w:rPr>
        <w:t>Being </w:t>
      </w:r>
      <w:r>
        <w:rPr>
          <w:sz w:val="13"/>
        </w:rPr>
        <w:t>Done in Australia to </w:t>
      </w:r>
      <w:r>
        <w:rPr>
          <w:spacing w:val="2"/>
          <w:sz w:val="13"/>
        </w:rPr>
        <w:t>Support </w:t>
      </w:r>
      <w:r>
        <w:rPr>
          <w:sz w:val="13"/>
        </w:rPr>
        <w:t>People with Disabilities?’, </w:t>
      </w:r>
      <w:r>
        <w:rPr>
          <w:i/>
          <w:sz w:val="13"/>
        </w:rPr>
        <w:t>Australia Talks </w:t>
      </w:r>
      <w:r>
        <w:rPr>
          <w:spacing w:val="2"/>
          <w:sz w:val="13"/>
        </w:rPr>
        <w:t>(ABC </w:t>
      </w:r>
      <w:r>
        <w:rPr>
          <w:sz w:val="13"/>
        </w:rPr>
        <w:t>News, 1 June 2021) &lt;</w:t>
      </w:r>
      <w:hyperlink r:id="rId116">
        <w:r>
          <w:rPr>
            <w:sz w:val="13"/>
          </w:rPr>
          <w:t>https://www.abc.net.au/news/2021-06-01/is-enough-being-done-to-support-</w:t>
        </w:r>
      </w:hyperlink>
      <w:hyperlink r:id="rId116">
        <w:r>
          <w:rPr>
            <w:sz w:val="13"/>
          </w:rPr>
          <w:t> australians-with-disabilities/13368758</w:t>
        </w:r>
      </w:hyperlink>
      <w:r>
        <w:rPr>
          <w:sz w:val="13"/>
        </w:rPr>
        <w:t>&gt;. For more information about this survey: see Australian Broadcasting Corporation (ABC), </w:t>
      </w:r>
      <w:r>
        <w:rPr>
          <w:spacing w:val="2"/>
          <w:sz w:val="13"/>
        </w:rPr>
        <w:t>‘Where </w:t>
      </w:r>
      <w:r>
        <w:rPr>
          <w:sz w:val="13"/>
        </w:rPr>
        <w:t>Do You Fit?’, </w:t>
      </w:r>
      <w:r>
        <w:rPr>
          <w:i/>
          <w:sz w:val="13"/>
        </w:rPr>
        <w:t>Australia Talks </w:t>
      </w:r>
      <w:r>
        <w:rPr>
          <w:sz w:val="13"/>
        </w:rPr>
        <w:t>(Web Page)</w:t>
      </w:r>
      <w:r>
        <w:rPr>
          <w:spacing w:val="3"/>
          <w:sz w:val="13"/>
        </w:rPr>
        <w:t> </w:t>
      </w:r>
      <w:r>
        <w:rPr>
          <w:sz w:val="13"/>
        </w:rPr>
        <w:t>&lt;</w:t>
      </w:r>
      <w:hyperlink r:id="rId117">
        <w:r>
          <w:rPr>
            <w:sz w:val="13"/>
          </w:rPr>
          <w:t>https://australiatalks.abc.net.au/</w:t>
        </w:r>
      </w:hyperlink>
      <w:r>
        <w:rPr>
          <w:sz w:val="13"/>
        </w:rPr>
        <w:t>&gt;.</w:t>
      </w:r>
    </w:p>
    <w:p>
      <w:pPr>
        <w:pStyle w:val="ListParagraph"/>
        <w:numPr>
          <w:ilvl w:val="0"/>
          <w:numId w:val="52"/>
        </w:numPr>
        <w:tabs>
          <w:tab w:pos="1760" w:val="left" w:leader="none"/>
          <w:tab w:pos="1762" w:val="left" w:leader="none"/>
        </w:tabs>
        <w:spacing w:line="213" w:lineRule="auto" w:before="0" w:after="0"/>
        <w:ind w:left="1761" w:right="1213" w:hanging="794"/>
        <w:jc w:val="left"/>
        <w:rPr>
          <w:sz w:val="13"/>
        </w:rPr>
      </w:pPr>
      <w:r>
        <w:rPr/>
        <w:pict>
          <v:shape style="position:absolute;margin-left:36pt;margin-top:27.388689pt;width:13.9pt;height:14.1pt;mso-position-horizontal-relative:page;mso-position-vertical-relative:paragraph;z-index:5488" type="#_x0000_t202" filled="false" stroked="false">
            <v:textbox inset="0,0,0,0">
              <w:txbxContent>
                <w:p>
                  <w:pPr>
                    <w:spacing w:line="282" w:lineRule="exact" w:before="0"/>
                    <w:ind w:left="0" w:right="0" w:firstLine="0"/>
                    <w:jc w:val="left"/>
                    <w:rPr>
                      <w:b/>
                      <w:sz w:val="24"/>
                    </w:rPr>
                  </w:pPr>
                  <w:r>
                    <w:rPr>
                      <w:b/>
                      <w:color w:val="37617A"/>
                      <w:spacing w:val="-1"/>
                      <w:sz w:val="24"/>
                    </w:rPr>
                    <w:t>56</w:t>
                  </w:r>
                </w:p>
              </w:txbxContent>
            </v:textbox>
            <w10:wrap type="none"/>
          </v:shape>
        </w:pict>
      </w:r>
      <w:r>
        <w:rPr>
          <w:sz w:val="13"/>
        </w:rPr>
        <w:t>The Royal </w:t>
      </w:r>
      <w:r>
        <w:rPr>
          <w:spacing w:val="2"/>
          <w:sz w:val="13"/>
        </w:rPr>
        <w:t>Commission </w:t>
      </w:r>
      <w:r>
        <w:rPr>
          <w:sz w:val="13"/>
        </w:rPr>
        <w:t>into Violence, Abuse, Neglect and </w:t>
      </w:r>
      <w:r>
        <w:rPr>
          <w:spacing w:val="2"/>
          <w:sz w:val="13"/>
        </w:rPr>
        <w:t>Exploitation </w:t>
      </w:r>
      <w:r>
        <w:rPr>
          <w:sz w:val="13"/>
        </w:rPr>
        <w:t>of People with </w:t>
      </w:r>
      <w:r>
        <w:rPr>
          <w:spacing w:val="2"/>
          <w:sz w:val="13"/>
        </w:rPr>
        <w:t>Disability </w:t>
      </w:r>
      <w:r>
        <w:rPr>
          <w:sz w:val="13"/>
        </w:rPr>
        <w:t>is a royal commission </w:t>
      </w:r>
      <w:r>
        <w:rPr>
          <w:spacing w:val="2"/>
          <w:sz w:val="13"/>
        </w:rPr>
        <w:t>established </w:t>
      </w:r>
      <w:r>
        <w:rPr>
          <w:sz w:val="13"/>
        </w:rPr>
        <w:t>on 4 April 2019 by the Australian government pursuant to the </w:t>
      </w:r>
      <w:r>
        <w:rPr>
          <w:i/>
          <w:sz w:val="13"/>
        </w:rPr>
        <w:t>Royal Commissions Act 1902 </w:t>
      </w:r>
      <w:r>
        <w:rPr>
          <w:sz w:val="13"/>
        </w:rPr>
        <w:t>(Cth): ‘About the Royal Commission’,   </w:t>
      </w:r>
      <w:r>
        <w:rPr>
          <w:i/>
          <w:sz w:val="13"/>
        </w:rPr>
        <w:t>Royal Commission into Violence, Abuse, Neglect and Exploitation of People with Disability </w:t>
      </w:r>
      <w:r>
        <w:rPr>
          <w:sz w:val="13"/>
        </w:rPr>
        <w:t>(Web Page) &lt;</w:t>
      </w:r>
      <w:hyperlink r:id="rId118">
        <w:r>
          <w:rPr>
            <w:sz w:val="13"/>
          </w:rPr>
          <w:t>https://disability.</w:t>
        </w:r>
      </w:hyperlink>
      <w:hyperlink r:id="rId118">
        <w:r>
          <w:rPr>
            <w:sz w:val="13"/>
          </w:rPr>
          <w:t> royalcommission.gov.au/about-royal-commission</w:t>
        </w:r>
      </w:hyperlink>
      <w:r>
        <w:rPr>
          <w:sz w:val="13"/>
        </w:rPr>
        <w:t>&gt;.</w:t>
      </w:r>
    </w:p>
    <w:p>
      <w:pPr>
        <w:pStyle w:val="ListParagraph"/>
        <w:numPr>
          <w:ilvl w:val="0"/>
          <w:numId w:val="52"/>
        </w:numPr>
        <w:tabs>
          <w:tab w:pos="1760" w:val="left" w:leader="none"/>
          <w:tab w:pos="1762" w:val="left" w:leader="none"/>
        </w:tabs>
        <w:spacing w:line="162" w:lineRule="exact" w:before="0" w:after="0"/>
        <w:ind w:left="1761" w:right="0" w:hanging="794"/>
        <w:jc w:val="left"/>
        <w:rPr>
          <w:sz w:val="13"/>
        </w:rPr>
      </w:pPr>
      <w:r>
        <w:rPr>
          <w:sz w:val="13"/>
        </w:rPr>
        <w:t>Consultation 7 </w:t>
      </w:r>
      <w:r>
        <w:rPr>
          <w:spacing w:val="2"/>
          <w:sz w:val="13"/>
        </w:rPr>
        <w:t>(Vision</w:t>
      </w:r>
      <w:r>
        <w:rPr>
          <w:sz w:val="13"/>
        </w:rPr>
        <w:t> Australia).</w:t>
      </w:r>
    </w:p>
    <w:p>
      <w:pPr>
        <w:spacing w:after="0" w:line="162"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Heading6"/>
        <w:spacing w:before="53"/>
        <w:rPr>
          <w:b/>
        </w:rPr>
      </w:pPr>
      <w:bookmarkStart w:name="_bookmark48" w:id="125"/>
      <w:bookmarkEnd w:id="125"/>
      <w:r>
        <w:rPr/>
      </w:r>
      <w:r>
        <w:rPr>
          <w:b/>
        </w:rPr>
        <w:t>Commonwealth National Disability Strategy</w:t>
      </w:r>
    </w:p>
    <w:p>
      <w:pPr>
        <w:pStyle w:val="ListParagraph"/>
        <w:numPr>
          <w:ilvl w:val="1"/>
          <w:numId w:val="12"/>
        </w:numPr>
        <w:tabs>
          <w:tab w:pos="1761" w:val="left" w:leader="none"/>
          <w:tab w:pos="1762" w:val="left" w:leader="none"/>
        </w:tabs>
        <w:spacing w:line="206" w:lineRule="auto" w:before="132" w:after="0"/>
        <w:ind w:left="1761" w:right="1534" w:hanging="794"/>
        <w:jc w:val="left"/>
        <w:rPr>
          <w:sz w:val="11"/>
        </w:rPr>
      </w:pPr>
      <w:r>
        <w:rPr>
          <w:sz w:val="20"/>
        </w:rPr>
        <w:t>The Federal </w:t>
      </w:r>
      <w:r>
        <w:rPr>
          <w:spacing w:val="-3"/>
          <w:sz w:val="20"/>
        </w:rPr>
        <w:t>Government’s </w:t>
      </w:r>
      <w:r>
        <w:rPr>
          <w:i/>
          <w:spacing w:val="-3"/>
          <w:sz w:val="20"/>
        </w:rPr>
        <w:t>Australia’s </w:t>
      </w:r>
      <w:r>
        <w:rPr>
          <w:i/>
          <w:sz w:val="20"/>
        </w:rPr>
        <w:t>Disability </w:t>
      </w:r>
      <w:r>
        <w:rPr>
          <w:i/>
          <w:spacing w:val="-3"/>
          <w:sz w:val="20"/>
        </w:rPr>
        <w:t>Strategy </w:t>
      </w:r>
      <w:r>
        <w:rPr>
          <w:i/>
          <w:spacing w:val="-4"/>
          <w:sz w:val="20"/>
        </w:rPr>
        <w:t>2021–2031</w:t>
      </w:r>
      <w:r>
        <w:rPr>
          <w:spacing w:val="-4"/>
          <w:sz w:val="20"/>
        </w:rPr>
        <w:t>, </w:t>
      </w:r>
      <w:r>
        <w:rPr>
          <w:sz w:val="20"/>
        </w:rPr>
        <w:t>released in December </w:t>
      </w:r>
      <w:r>
        <w:rPr>
          <w:spacing w:val="-3"/>
          <w:sz w:val="20"/>
        </w:rPr>
        <w:t>2021, </w:t>
      </w:r>
      <w:r>
        <w:rPr>
          <w:sz w:val="20"/>
        </w:rPr>
        <w:t>‘sets out priorities and plans for all governments to </w:t>
      </w:r>
      <w:r>
        <w:rPr>
          <w:spacing w:val="-3"/>
          <w:sz w:val="20"/>
        </w:rPr>
        <w:t>work </w:t>
      </w:r>
      <w:r>
        <w:rPr>
          <w:sz w:val="20"/>
        </w:rPr>
        <w:t>with the </w:t>
      </w:r>
      <w:r>
        <w:rPr>
          <w:spacing w:val="-3"/>
          <w:sz w:val="20"/>
        </w:rPr>
        <w:t>community, </w:t>
      </w:r>
      <w:r>
        <w:rPr>
          <w:sz w:val="20"/>
        </w:rPr>
        <w:t>business and people with disability’ to ensure a more ‘inclusive and accessible</w:t>
      </w:r>
      <w:r>
        <w:rPr>
          <w:spacing w:val="-16"/>
          <w:sz w:val="20"/>
        </w:rPr>
        <w:t> </w:t>
      </w:r>
      <w:r>
        <w:rPr>
          <w:sz w:val="20"/>
        </w:rPr>
        <w:t>Australian</w:t>
      </w:r>
      <w:r>
        <w:rPr>
          <w:spacing w:val="-15"/>
          <w:sz w:val="20"/>
        </w:rPr>
        <w:t> </w:t>
      </w:r>
      <w:r>
        <w:rPr>
          <w:sz w:val="20"/>
        </w:rPr>
        <w:t>society</w:t>
      </w:r>
      <w:r>
        <w:rPr>
          <w:spacing w:val="-16"/>
          <w:sz w:val="20"/>
        </w:rPr>
        <w:t> </w:t>
      </w:r>
      <w:r>
        <w:rPr>
          <w:sz w:val="20"/>
        </w:rPr>
        <w:t>where</w:t>
      </w:r>
      <w:r>
        <w:rPr>
          <w:spacing w:val="-15"/>
          <w:sz w:val="20"/>
        </w:rPr>
        <w:t> </w:t>
      </w:r>
      <w:r>
        <w:rPr>
          <w:sz w:val="20"/>
        </w:rPr>
        <w:t>all</w:t>
      </w:r>
      <w:r>
        <w:rPr>
          <w:spacing w:val="-15"/>
          <w:sz w:val="20"/>
        </w:rPr>
        <w:t> </w:t>
      </w:r>
      <w:r>
        <w:rPr>
          <w:sz w:val="20"/>
        </w:rPr>
        <w:t>people</w:t>
      </w:r>
      <w:r>
        <w:rPr>
          <w:spacing w:val="-16"/>
          <w:sz w:val="20"/>
        </w:rPr>
        <w:t> </w:t>
      </w:r>
      <w:r>
        <w:rPr>
          <w:sz w:val="20"/>
        </w:rPr>
        <w:t>with</w:t>
      </w:r>
      <w:r>
        <w:rPr>
          <w:spacing w:val="-15"/>
          <w:sz w:val="20"/>
        </w:rPr>
        <w:t> </w:t>
      </w:r>
      <w:r>
        <w:rPr>
          <w:sz w:val="20"/>
        </w:rPr>
        <w:t>disability</w:t>
      </w:r>
      <w:r>
        <w:rPr>
          <w:spacing w:val="-15"/>
          <w:sz w:val="20"/>
        </w:rPr>
        <w:t> </w:t>
      </w:r>
      <w:r>
        <w:rPr>
          <w:sz w:val="20"/>
        </w:rPr>
        <w:t>can</w:t>
      </w:r>
      <w:r>
        <w:rPr>
          <w:spacing w:val="-16"/>
          <w:sz w:val="20"/>
        </w:rPr>
        <w:t> </w:t>
      </w:r>
      <w:r>
        <w:rPr>
          <w:sz w:val="20"/>
        </w:rPr>
        <w:t>fulfil</w:t>
      </w:r>
      <w:r>
        <w:rPr>
          <w:spacing w:val="-15"/>
          <w:sz w:val="20"/>
        </w:rPr>
        <w:t> </w:t>
      </w:r>
      <w:r>
        <w:rPr>
          <w:sz w:val="20"/>
        </w:rPr>
        <w:t>their</w:t>
      </w:r>
      <w:r>
        <w:rPr>
          <w:spacing w:val="-15"/>
          <w:sz w:val="20"/>
        </w:rPr>
        <w:t> </w:t>
      </w:r>
      <w:r>
        <w:rPr>
          <w:sz w:val="20"/>
        </w:rPr>
        <w:t>potential as equal members of the community’.</w:t>
      </w:r>
      <w:r>
        <w:rPr>
          <w:position w:val="7"/>
          <w:sz w:val="11"/>
        </w:rPr>
        <w:t>22 </w:t>
      </w:r>
      <w:r>
        <w:rPr>
          <w:sz w:val="20"/>
        </w:rPr>
        <w:t>Implementing the strategy will assist governments</w:t>
      </w:r>
      <w:r>
        <w:rPr>
          <w:spacing w:val="-12"/>
          <w:sz w:val="20"/>
        </w:rPr>
        <w:t> </w:t>
      </w:r>
      <w:r>
        <w:rPr>
          <w:sz w:val="20"/>
        </w:rPr>
        <w:t>in</w:t>
      </w:r>
      <w:r>
        <w:rPr>
          <w:spacing w:val="-11"/>
          <w:sz w:val="20"/>
        </w:rPr>
        <w:t> </w:t>
      </w:r>
      <w:r>
        <w:rPr>
          <w:sz w:val="20"/>
        </w:rPr>
        <w:t>meeting</w:t>
      </w:r>
      <w:r>
        <w:rPr>
          <w:spacing w:val="-11"/>
          <w:sz w:val="20"/>
        </w:rPr>
        <w:t> </w:t>
      </w:r>
      <w:r>
        <w:rPr>
          <w:sz w:val="20"/>
        </w:rPr>
        <w:t>their</w:t>
      </w:r>
      <w:r>
        <w:rPr>
          <w:spacing w:val="-11"/>
          <w:sz w:val="20"/>
        </w:rPr>
        <w:t> </w:t>
      </w:r>
      <w:r>
        <w:rPr>
          <w:sz w:val="20"/>
        </w:rPr>
        <w:t>obligations</w:t>
      </w:r>
      <w:r>
        <w:rPr>
          <w:spacing w:val="-11"/>
          <w:sz w:val="20"/>
        </w:rPr>
        <w:t> </w:t>
      </w:r>
      <w:r>
        <w:rPr>
          <w:sz w:val="20"/>
        </w:rPr>
        <w:t>under</w:t>
      </w:r>
      <w:r>
        <w:rPr>
          <w:spacing w:val="-12"/>
          <w:sz w:val="20"/>
        </w:rPr>
        <w:t> </w:t>
      </w:r>
      <w:r>
        <w:rPr>
          <w:sz w:val="20"/>
        </w:rPr>
        <w:t>international</w:t>
      </w:r>
      <w:r>
        <w:rPr>
          <w:spacing w:val="-11"/>
          <w:sz w:val="20"/>
        </w:rPr>
        <w:t> </w:t>
      </w:r>
      <w:r>
        <w:rPr>
          <w:sz w:val="20"/>
        </w:rPr>
        <w:t>and</w:t>
      </w:r>
      <w:r>
        <w:rPr>
          <w:spacing w:val="-11"/>
          <w:sz w:val="20"/>
        </w:rPr>
        <w:t> </w:t>
      </w:r>
      <w:r>
        <w:rPr>
          <w:sz w:val="20"/>
        </w:rPr>
        <w:t>domestic</w:t>
      </w:r>
      <w:r>
        <w:rPr>
          <w:spacing w:val="-11"/>
          <w:sz w:val="20"/>
        </w:rPr>
        <w:t> </w:t>
      </w:r>
      <w:r>
        <w:rPr>
          <w:sz w:val="20"/>
        </w:rPr>
        <w:t>law.</w:t>
      </w:r>
      <w:r>
        <w:rPr>
          <w:position w:val="7"/>
          <w:sz w:val="11"/>
        </w:rPr>
        <w:t>23</w:t>
      </w:r>
    </w:p>
    <w:p>
      <w:pPr>
        <w:pStyle w:val="ListParagraph"/>
        <w:numPr>
          <w:ilvl w:val="1"/>
          <w:numId w:val="12"/>
        </w:numPr>
        <w:tabs>
          <w:tab w:pos="1761" w:val="left" w:leader="none"/>
          <w:tab w:pos="1762" w:val="left" w:leader="none"/>
        </w:tabs>
        <w:spacing w:line="206" w:lineRule="auto" w:before="128" w:after="0"/>
        <w:ind w:left="1761" w:right="1212" w:hanging="794"/>
        <w:jc w:val="left"/>
        <w:rPr>
          <w:sz w:val="11"/>
        </w:rPr>
      </w:pPr>
      <w:r>
        <w:rPr>
          <w:sz w:val="20"/>
        </w:rPr>
        <w:t>The</w:t>
      </w:r>
      <w:r>
        <w:rPr>
          <w:spacing w:val="-9"/>
          <w:sz w:val="20"/>
        </w:rPr>
        <w:t> </w:t>
      </w:r>
      <w:r>
        <w:rPr>
          <w:sz w:val="20"/>
        </w:rPr>
        <w:t>strategy</w:t>
      </w:r>
      <w:r>
        <w:rPr>
          <w:spacing w:val="-9"/>
          <w:sz w:val="20"/>
        </w:rPr>
        <w:t> </w:t>
      </w:r>
      <w:r>
        <w:rPr>
          <w:sz w:val="20"/>
        </w:rPr>
        <w:t>builds</w:t>
      </w:r>
      <w:r>
        <w:rPr>
          <w:spacing w:val="-9"/>
          <w:sz w:val="20"/>
        </w:rPr>
        <w:t> </w:t>
      </w:r>
      <w:r>
        <w:rPr>
          <w:sz w:val="20"/>
        </w:rPr>
        <w:t>on</w:t>
      </w:r>
      <w:r>
        <w:rPr>
          <w:spacing w:val="-9"/>
          <w:sz w:val="20"/>
        </w:rPr>
        <w:t> </w:t>
      </w:r>
      <w:r>
        <w:rPr>
          <w:sz w:val="20"/>
        </w:rPr>
        <w:t>its</w:t>
      </w:r>
      <w:r>
        <w:rPr>
          <w:spacing w:val="-8"/>
          <w:sz w:val="20"/>
        </w:rPr>
        <w:t> </w:t>
      </w:r>
      <w:r>
        <w:rPr>
          <w:spacing w:val="-3"/>
          <w:sz w:val="20"/>
        </w:rPr>
        <w:t>predecessor,</w:t>
      </w:r>
      <w:r>
        <w:rPr>
          <w:spacing w:val="-9"/>
          <w:sz w:val="20"/>
        </w:rPr>
        <w:t> </w:t>
      </w:r>
      <w:r>
        <w:rPr>
          <w:sz w:val="20"/>
        </w:rPr>
        <w:t>the</w:t>
      </w:r>
      <w:r>
        <w:rPr>
          <w:spacing w:val="-9"/>
          <w:sz w:val="20"/>
        </w:rPr>
        <w:t> </w:t>
      </w:r>
      <w:r>
        <w:rPr>
          <w:i/>
          <w:sz w:val="20"/>
        </w:rPr>
        <w:t>National</w:t>
      </w:r>
      <w:r>
        <w:rPr>
          <w:i/>
          <w:spacing w:val="-9"/>
          <w:sz w:val="20"/>
        </w:rPr>
        <w:t> </w:t>
      </w:r>
      <w:r>
        <w:rPr>
          <w:i/>
          <w:sz w:val="20"/>
        </w:rPr>
        <w:t>Disability</w:t>
      </w:r>
      <w:r>
        <w:rPr>
          <w:i/>
          <w:spacing w:val="-8"/>
          <w:sz w:val="20"/>
        </w:rPr>
        <w:t> </w:t>
      </w:r>
      <w:r>
        <w:rPr>
          <w:i/>
          <w:spacing w:val="-3"/>
          <w:sz w:val="20"/>
        </w:rPr>
        <w:t>Strategy</w:t>
      </w:r>
      <w:r>
        <w:rPr>
          <w:i/>
          <w:spacing w:val="-9"/>
          <w:sz w:val="20"/>
        </w:rPr>
        <w:t> </w:t>
      </w:r>
      <w:r>
        <w:rPr>
          <w:i/>
          <w:spacing w:val="-3"/>
          <w:sz w:val="20"/>
        </w:rPr>
        <w:t>2010–2020,</w:t>
      </w:r>
      <w:r>
        <w:rPr>
          <w:i/>
          <w:spacing w:val="-8"/>
          <w:sz w:val="20"/>
        </w:rPr>
        <w:t> </w:t>
      </w:r>
      <w:r>
        <w:rPr>
          <w:sz w:val="20"/>
        </w:rPr>
        <w:t>which marked ‘the first time in </w:t>
      </w:r>
      <w:r>
        <w:rPr>
          <w:spacing w:val="-3"/>
          <w:sz w:val="20"/>
        </w:rPr>
        <w:t>Australia’s </w:t>
      </w:r>
      <w:r>
        <w:rPr>
          <w:sz w:val="20"/>
        </w:rPr>
        <w:t>history that all governments </w:t>
      </w:r>
      <w:r>
        <w:rPr>
          <w:spacing w:val="-4"/>
          <w:sz w:val="20"/>
        </w:rPr>
        <w:t>have </w:t>
      </w:r>
      <w:r>
        <w:rPr>
          <w:sz w:val="20"/>
        </w:rPr>
        <w:t>committed to a unified, national approach to </w:t>
      </w:r>
      <w:r>
        <w:rPr>
          <w:spacing w:val="-3"/>
          <w:sz w:val="20"/>
        </w:rPr>
        <w:t>improving </w:t>
      </w:r>
      <w:r>
        <w:rPr>
          <w:sz w:val="20"/>
        </w:rPr>
        <w:t>the lives of people with disability, their families and</w:t>
      </w:r>
      <w:r>
        <w:rPr>
          <w:spacing w:val="-8"/>
          <w:sz w:val="20"/>
        </w:rPr>
        <w:t> </w:t>
      </w:r>
      <w:r>
        <w:rPr>
          <w:sz w:val="20"/>
        </w:rPr>
        <w:t>carers,</w:t>
      </w:r>
      <w:r>
        <w:rPr>
          <w:spacing w:val="-8"/>
          <w:sz w:val="20"/>
        </w:rPr>
        <w:t> </w:t>
      </w:r>
      <w:r>
        <w:rPr>
          <w:sz w:val="20"/>
        </w:rPr>
        <w:t>and</w:t>
      </w:r>
      <w:r>
        <w:rPr>
          <w:spacing w:val="-7"/>
          <w:sz w:val="20"/>
        </w:rPr>
        <w:t> </w:t>
      </w:r>
      <w:r>
        <w:rPr>
          <w:sz w:val="20"/>
        </w:rPr>
        <w:t>to</w:t>
      </w:r>
      <w:r>
        <w:rPr>
          <w:spacing w:val="-8"/>
          <w:sz w:val="20"/>
        </w:rPr>
        <w:t> </w:t>
      </w:r>
      <w:r>
        <w:rPr>
          <w:spacing w:val="-3"/>
          <w:sz w:val="20"/>
        </w:rPr>
        <w:t>providing</w:t>
      </w:r>
      <w:r>
        <w:rPr>
          <w:spacing w:val="-7"/>
          <w:sz w:val="20"/>
        </w:rPr>
        <w:t> </w:t>
      </w:r>
      <w:r>
        <w:rPr>
          <w:sz w:val="20"/>
        </w:rPr>
        <w:t>leadership</w:t>
      </w:r>
      <w:r>
        <w:rPr>
          <w:spacing w:val="-8"/>
          <w:sz w:val="20"/>
        </w:rPr>
        <w:t> </w:t>
      </w:r>
      <w:r>
        <w:rPr>
          <w:sz w:val="20"/>
        </w:rPr>
        <w:t>for</w:t>
      </w:r>
      <w:r>
        <w:rPr>
          <w:spacing w:val="-7"/>
          <w:sz w:val="20"/>
        </w:rPr>
        <w:t> </w:t>
      </w:r>
      <w:r>
        <w:rPr>
          <w:sz w:val="20"/>
        </w:rPr>
        <w:t>a</w:t>
      </w:r>
      <w:r>
        <w:rPr>
          <w:spacing w:val="-8"/>
          <w:sz w:val="20"/>
        </w:rPr>
        <w:t> </w:t>
      </w:r>
      <w:r>
        <w:rPr>
          <w:sz w:val="20"/>
        </w:rPr>
        <w:t>community-wide</w:t>
      </w:r>
      <w:r>
        <w:rPr>
          <w:spacing w:val="-7"/>
          <w:sz w:val="20"/>
        </w:rPr>
        <w:t> </w:t>
      </w:r>
      <w:r>
        <w:rPr>
          <w:sz w:val="20"/>
        </w:rPr>
        <w:t>shift</w:t>
      </w:r>
      <w:r>
        <w:rPr>
          <w:spacing w:val="-8"/>
          <w:sz w:val="20"/>
        </w:rPr>
        <w:t> </w:t>
      </w:r>
      <w:r>
        <w:rPr>
          <w:sz w:val="20"/>
        </w:rPr>
        <w:t>in</w:t>
      </w:r>
      <w:r>
        <w:rPr>
          <w:spacing w:val="-7"/>
          <w:sz w:val="20"/>
        </w:rPr>
        <w:t> </w:t>
      </w:r>
      <w:r>
        <w:rPr>
          <w:sz w:val="20"/>
        </w:rPr>
        <w:t>attitudes’.</w:t>
      </w:r>
      <w:r>
        <w:rPr>
          <w:position w:val="7"/>
          <w:sz w:val="11"/>
        </w:rPr>
        <w:t>24</w:t>
      </w:r>
    </w:p>
    <w:p>
      <w:pPr>
        <w:pStyle w:val="Heading6"/>
        <w:spacing w:before="129"/>
        <w:rPr>
          <w:b/>
        </w:rPr>
      </w:pPr>
      <w:r>
        <w:rPr>
          <w:b/>
        </w:rPr>
        <w:t>Victorian inclusion strategies</w:t>
      </w:r>
    </w:p>
    <w:p>
      <w:pPr>
        <w:pStyle w:val="ListParagraph"/>
        <w:numPr>
          <w:ilvl w:val="1"/>
          <w:numId w:val="12"/>
        </w:numPr>
        <w:tabs>
          <w:tab w:pos="1761" w:val="left" w:leader="none"/>
          <w:tab w:pos="1762" w:val="left" w:leader="none"/>
        </w:tabs>
        <w:spacing w:line="206" w:lineRule="auto" w:before="132" w:after="0"/>
        <w:ind w:left="1761" w:right="1322" w:hanging="794"/>
        <w:jc w:val="left"/>
        <w:rPr>
          <w:sz w:val="11"/>
        </w:rPr>
      </w:pPr>
      <w:r>
        <w:rPr>
          <w:sz w:val="20"/>
        </w:rPr>
        <w:t>The</w:t>
      </w:r>
      <w:r>
        <w:rPr>
          <w:spacing w:val="-9"/>
          <w:sz w:val="20"/>
        </w:rPr>
        <w:t> </w:t>
      </w:r>
      <w:r>
        <w:rPr>
          <w:sz w:val="20"/>
        </w:rPr>
        <w:t>Victorian</w:t>
      </w:r>
      <w:r>
        <w:rPr>
          <w:spacing w:val="-8"/>
          <w:sz w:val="20"/>
        </w:rPr>
        <w:t> </w:t>
      </w:r>
      <w:r>
        <w:rPr>
          <w:spacing w:val="-2"/>
          <w:sz w:val="20"/>
        </w:rPr>
        <w:t>Government</w:t>
      </w:r>
      <w:r>
        <w:rPr>
          <w:spacing w:val="-8"/>
          <w:sz w:val="20"/>
        </w:rPr>
        <w:t> </w:t>
      </w:r>
      <w:r>
        <w:rPr>
          <w:sz w:val="20"/>
        </w:rPr>
        <w:t>launched</w:t>
      </w:r>
      <w:r>
        <w:rPr>
          <w:spacing w:val="-8"/>
          <w:sz w:val="20"/>
        </w:rPr>
        <w:t> </w:t>
      </w:r>
      <w:r>
        <w:rPr>
          <w:sz w:val="20"/>
        </w:rPr>
        <w:t>a</w:t>
      </w:r>
      <w:r>
        <w:rPr>
          <w:spacing w:val="-9"/>
          <w:sz w:val="20"/>
        </w:rPr>
        <w:t> </w:t>
      </w:r>
      <w:r>
        <w:rPr>
          <w:sz w:val="20"/>
        </w:rPr>
        <w:t>new</w:t>
      </w:r>
      <w:r>
        <w:rPr>
          <w:spacing w:val="-8"/>
          <w:sz w:val="20"/>
        </w:rPr>
        <w:t> </w:t>
      </w:r>
      <w:r>
        <w:rPr>
          <w:sz w:val="20"/>
        </w:rPr>
        <w:t>state</w:t>
      </w:r>
      <w:r>
        <w:rPr>
          <w:spacing w:val="-8"/>
          <w:sz w:val="20"/>
        </w:rPr>
        <w:t> </w:t>
      </w:r>
      <w:r>
        <w:rPr>
          <w:sz w:val="20"/>
        </w:rPr>
        <w:t>disability</w:t>
      </w:r>
      <w:r>
        <w:rPr>
          <w:spacing w:val="-8"/>
          <w:sz w:val="20"/>
        </w:rPr>
        <w:t> </w:t>
      </w:r>
      <w:r>
        <w:rPr>
          <w:sz w:val="20"/>
        </w:rPr>
        <w:t>plan</w:t>
      </w:r>
      <w:r>
        <w:rPr>
          <w:spacing w:val="-9"/>
          <w:sz w:val="20"/>
        </w:rPr>
        <w:t> </w:t>
      </w:r>
      <w:r>
        <w:rPr>
          <w:sz w:val="20"/>
        </w:rPr>
        <w:t>in</w:t>
      </w:r>
      <w:r>
        <w:rPr>
          <w:spacing w:val="-8"/>
          <w:sz w:val="20"/>
        </w:rPr>
        <w:t> </w:t>
      </w:r>
      <w:r>
        <w:rPr>
          <w:spacing w:val="-3"/>
          <w:sz w:val="20"/>
        </w:rPr>
        <w:t>March</w:t>
      </w:r>
      <w:r>
        <w:rPr>
          <w:spacing w:val="-8"/>
          <w:sz w:val="20"/>
        </w:rPr>
        <w:t> </w:t>
      </w:r>
      <w:r>
        <w:rPr>
          <w:spacing w:val="-3"/>
          <w:sz w:val="20"/>
        </w:rPr>
        <w:t>2022.</w:t>
      </w:r>
      <w:r>
        <w:rPr>
          <w:spacing w:val="-8"/>
          <w:sz w:val="20"/>
        </w:rPr>
        <w:t> </w:t>
      </w:r>
      <w:r>
        <w:rPr>
          <w:sz w:val="20"/>
        </w:rPr>
        <w:t>It</w:t>
      </w:r>
      <w:r>
        <w:rPr>
          <w:spacing w:val="-9"/>
          <w:sz w:val="20"/>
        </w:rPr>
        <w:t> </w:t>
      </w:r>
      <w:r>
        <w:rPr>
          <w:sz w:val="20"/>
        </w:rPr>
        <w:t>stated that the new plan ‘is a </w:t>
      </w:r>
      <w:r>
        <w:rPr>
          <w:spacing w:val="-4"/>
          <w:sz w:val="20"/>
        </w:rPr>
        <w:t>key way </w:t>
      </w:r>
      <w:r>
        <w:rPr>
          <w:sz w:val="20"/>
        </w:rPr>
        <w:t>for the Victorian </w:t>
      </w:r>
      <w:r>
        <w:rPr>
          <w:spacing w:val="-2"/>
          <w:sz w:val="20"/>
        </w:rPr>
        <w:t>Government </w:t>
      </w:r>
      <w:r>
        <w:rPr>
          <w:sz w:val="20"/>
        </w:rPr>
        <w:t>to be accountable for making</w:t>
      </w:r>
      <w:r>
        <w:rPr>
          <w:spacing w:val="-5"/>
          <w:sz w:val="20"/>
        </w:rPr>
        <w:t> </w:t>
      </w:r>
      <w:r>
        <w:rPr>
          <w:sz w:val="20"/>
        </w:rPr>
        <w:t>all</w:t>
      </w:r>
      <w:r>
        <w:rPr>
          <w:spacing w:val="-5"/>
          <w:sz w:val="20"/>
        </w:rPr>
        <w:t> </w:t>
      </w:r>
      <w:r>
        <w:rPr>
          <w:sz w:val="20"/>
        </w:rPr>
        <w:t>parts</w:t>
      </w:r>
      <w:r>
        <w:rPr>
          <w:spacing w:val="-5"/>
          <w:sz w:val="20"/>
        </w:rPr>
        <w:t> </w:t>
      </w:r>
      <w:r>
        <w:rPr>
          <w:sz w:val="20"/>
        </w:rPr>
        <w:t>of</w:t>
      </w:r>
      <w:r>
        <w:rPr>
          <w:spacing w:val="-5"/>
          <w:sz w:val="20"/>
        </w:rPr>
        <w:t> </w:t>
      </w:r>
      <w:r>
        <w:rPr>
          <w:sz w:val="20"/>
        </w:rPr>
        <w:t>the</w:t>
      </w:r>
      <w:r>
        <w:rPr>
          <w:spacing w:val="-5"/>
          <w:sz w:val="20"/>
        </w:rPr>
        <w:t> </w:t>
      </w:r>
      <w:r>
        <w:rPr>
          <w:sz w:val="20"/>
        </w:rPr>
        <w:t>community</w:t>
      </w:r>
      <w:r>
        <w:rPr>
          <w:spacing w:val="-5"/>
          <w:sz w:val="20"/>
        </w:rPr>
        <w:t> </w:t>
      </w:r>
      <w:r>
        <w:rPr>
          <w:spacing w:val="-3"/>
          <w:sz w:val="20"/>
        </w:rPr>
        <w:t>inclusive</w:t>
      </w:r>
      <w:r>
        <w:rPr>
          <w:spacing w:val="-5"/>
          <w:sz w:val="20"/>
        </w:rPr>
        <w:t> </w:t>
      </w:r>
      <w:r>
        <w:rPr>
          <w:sz w:val="20"/>
        </w:rPr>
        <w:t>and</w:t>
      </w:r>
      <w:r>
        <w:rPr>
          <w:spacing w:val="-4"/>
          <w:sz w:val="20"/>
        </w:rPr>
        <w:t> </w:t>
      </w:r>
      <w:r>
        <w:rPr>
          <w:sz w:val="20"/>
        </w:rPr>
        <w:t>accessible</w:t>
      </w:r>
      <w:r>
        <w:rPr>
          <w:spacing w:val="-5"/>
          <w:sz w:val="20"/>
        </w:rPr>
        <w:t> </w:t>
      </w:r>
      <w:r>
        <w:rPr>
          <w:sz w:val="20"/>
        </w:rPr>
        <w:t>for</w:t>
      </w:r>
      <w:r>
        <w:rPr>
          <w:spacing w:val="-5"/>
          <w:sz w:val="20"/>
        </w:rPr>
        <w:t> </w:t>
      </w:r>
      <w:r>
        <w:rPr>
          <w:spacing w:val="-3"/>
          <w:sz w:val="20"/>
        </w:rPr>
        <w:t>everyone’.</w:t>
      </w:r>
      <w:r>
        <w:rPr>
          <w:spacing w:val="-3"/>
          <w:position w:val="7"/>
          <w:sz w:val="11"/>
        </w:rPr>
        <w:t>25</w:t>
      </w:r>
    </w:p>
    <w:p>
      <w:pPr>
        <w:pStyle w:val="ListParagraph"/>
        <w:numPr>
          <w:ilvl w:val="1"/>
          <w:numId w:val="12"/>
        </w:numPr>
        <w:tabs>
          <w:tab w:pos="1761" w:val="left" w:leader="none"/>
          <w:tab w:pos="1762" w:val="left" w:leader="none"/>
        </w:tabs>
        <w:spacing w:line="206" w:lineRule="auto" w:before="124" w:after="0"/>
        <w:ind w:left="1761" w:right="1259" w:hanging="794"/>
        <w:jc w:val="left"/>
        <w:rPr>
          <w:sz w:val="11"/>
        </w:rPr>
      </w:pPr>
      <w:r>
        <w:rPr>
          <w:sz w:val="20"/>
        </w:rPr>
        <w:t>The</w:t>
      </w:r>
      <w:r>
        <w:rPr>
          <w:spacing w:val="-10"/>
          <w:sz w:val="20"/>
        </w:rPr>
        <w:t> </w:t>
      </w:r>
      <w:r>
        <w:rPr>
          <w:sz w:val="20"/>
        </w:rPr>
        <w:t>Victorian</w:t>
      </w:r>
      <w:r>
        <w:rPr>
          <w:spacing w:val="-9"/>
          <w:sz w:val="20"/>
        </w:rPr>
        <w:t> </w:t>
      </w:r>
      <w:r>
        <w:rPr>
          <w:sz w:val="20"/>
        </w:rPr>
        <w:t>Public</w:t>
      </w:r>
      <w:r>
        <w:rPr>
          <w:spacing w:val="-9"/>
          <w:sz w:val="20"/>
        </w:rPr>
        <w:t> </w:t>
      </w:r>
      <w:r>
        <w:rPr>
          <w:sz w:val="20"/>
        </w:rPr>
        <w:t>Sector</w:t>
      </w:r>
      <w:r>
        <w:rPr>
          <w:spacing w:val="-9"/>
          <w:sz w:val="20"/>
        </w:rPr>
        <w:t> </w:t>
      </w:r>
      <w:r>
        <w:rPr>
          <w:sz w:val="20"/>
        </w:rPr>
        <w:t>Commission</w:t>
      </w:r>
      <w:r>
        <w:rPr>
          <w:spacing w:val="-9"/>
          <w:sz w:val="20"/>
        </w:rPr>
        <w:t> </w:t>
      </w:r>
      <w:r>
        <w:rPr>
          <w:sz w:val="20"/>
        </w:rPr>
        <w:t>has</w:t>
      </w:r>
      <w:r>
        <w:rPr>
          <w:spacing w:val="-10"/>
          <w:sz w:val="20"/>
        </w:rPr>
        <w:t> </w:t>
      </w:r>
      <w:r>
        <w:rPr>
          <w:spacing w:val="-3"/>
          <w:sz w:val="20"/>
        </w:rPr>
        <w:t>developed</w:t>
      </w:r>
      <w:r>
        <w:rPr>
          <w:spacing w:val="-9"/>
          <w:sz w:val="20"/>
        </w:rPr>
        <w:t> </w:t>
      </w:r>
      <w:r>
        <w:rPr>
          <w:sz w:val="20"/>
        </w:rPr>
        <w:t>a</w:t>
      </w:r>
      <w:r>
        <w:rPr>
          <w:spacing w:val="-9"/>
          <w:sz w:val="20"/>
        </w:rPr>
        <w:t> </w:t>
      </w:r>
      <w:r>
        <w:rPr>
          <w:sz w:val="20"/>
        </w:rPr>
        <w:t>disability</w:t>
      </w:r>
      <w:r>
        <w:rPr>
          <w:spacing w:val="-9"/>
          <w:sz w:val="20"/>
        </w:rPr>
        <w:t> </w:t>
      </w:r>
      <w:r>
        <w:rPr>
          <w:spacing w:val="-3"/>
          <w:sz w:val="20"/>
        </w:rPr>
        <w:t>employment</w:t>
      </w:r>
      <w:r>
        <w:rPr>
          <w:spacing w:val="-10"/>
          <w:sz w:val="20"/>
        </w:rPr>
        <w:t> </w:t>
      </w:r>
      <w:r>
        <w:rPr>
          <w:sz w:val="20"/>
        </w:rPr>
        <w:t>action plan, designed to lift the </w:t>
      </w:r>
      <w:r>
        <w:rPr>
          <w:spacing w:val="-3"/>
          <w:sz w:val="20"/>
        </w:rPr>
        <w:t>representation </w:t>
      </w:r>
      <w:r>
        <w:rPr>
          <w:sz w:val="20"/>
        </w:rPr>
        <w:t>of people with disabilities within the public sector </w:t>
      </w:r>
      <w:r>
        <w:rPr>
          <w:spacing w:val="-3"/>
          <w:sz w:val="20"/>
        </w:rPr>
        <w:t>workforce from </w:t>
      </w:r>
      <w:r>
        <w:rPr>
          <w:sz w:val="20"/>
        </w:rPr>
        <w:t>four per cent to 12 per cent</w:t>
      </w:r>
      <w:r>
        <w:rPr>
          <w:spacing w:val="-36"/>
          <w:sz w:val="20"/>
        </w:rPr>
        <w:t> </w:t>
      </w:r>
      <w:r>
        <w:rPr>
          <w:spacing w:val="-3"/>
          <w:sz w:val="20"/>
        </w:rPr>
        <w:t>by </w:t>
      </w:r>
      <w:r>
        <w:rPr>
          <w:sz w:val="20"/>
        </w:rPr>
        <w:t>2025.</w:t>
      </w:r>
      <w:r>
        <w:rPr>
          <w:position w:val="7"/>
          <w:sz w:val="11"/>
        </w:rPr>
        <w:t>26</w:t>
      </w:r>
    </w:p>
    <w:p>
      <w:pPr>
        <w:pStyle w:val="ListParagraph"/>
        <w:numPr>
          <w:ilvl w:val="1"/>
          <w:numId w:val="12"/>
        </w:numPr>
        <w:tabs>
          <w:tab w:pos="1761" w:val="left" w:leader="none"/>
          <w:tab w:pos="1762" w:val="left" w:leader="none"/>
        </w:tabs>
        <w:spacing w:line="206" w:lineRule="auto" w:before="124" w:after="0"/>
        <w:ind w:left="1761" w:right="1385" w:hanging="794"/>
        <w:jc w:val="left"/>
        <w:rPr>
          <w:sz w:val="11"/>
        </w:rPr>
      </w:pPr>
      <w:r>
        <w:rPr>
          <w:sz w:val="20"/>
        </w:rPr>
        <w:t>Accessibility</w:t>
      </w:r>
      <w:r>
        <w:rPr>
          <w:spacing w:val="-9"/>
          <w:sz w:val="20"/>
        </w:rPr>
        <w:t> </w:t>
      </w:r>
      <w:r>
        <w:rPr>
          <w:sz w:val="20"/>
        </w:rPr>
        <w:t>tools</w:t>
      </w:r>
      <w:r>
        <w:rPr>
          <w:spacing w:val="-9"/>
          <w:sz w:val="20"/>
        </w:rPr>
        <w:t> </w:t>
      </w:r>
      <w:r>
        <w:rPr>
          <w:spacing w:val="-3"/>
          <w:sz w:val="20"/>
        </w:rPr>
        <w:t>are</w:t>
      </w:r>
      <w:r>
        <w:rPr>
          <w:spacing w:val="-8"/>
          <w:sz w:val="20"/>
        </w:rPr>
        <w:t> </w:t>
      </w:r>
      <w:r>
        <w:rPr>
          <w:sz w:val="20"/>
        </w:rPr>
        <w:t>being</w:t>
      </w:r>
      <w:r>
        <w:rPr>
          <w:spacing w:val="-9"/>
          <w:sz w:val="20"/>
        </w:rPr>
        <w:t> </w:t>
      </w:r>
      <w:r>
        <w:rPr>
          <w:sz w:val="20"/>
        </w:rPr>
        <w:t>embraced</w:t>
      </w:r>
      <w:r>
        <w:rPr>
          <w:spacing w:val="-8"/>
          <w:sz w:val="20"/>
        </w:rPr>
        <w:t> </w:t>
      </w:r>
      <w:r>
        <w:rPr>
          <w:sz w:val="20"/>
        </w:rPr>
        <w:t>in</w:t>
      </w:r>
      <w:r>
        <w:rPr>
          <w:spacing w:val="-9"/>
          <w:sz w:val="20"/>
        </w:rPr>
        <w:t> </w:t>
      </w:r>
      <w:r>
        <w:rPr>
          <w:sz w:val="20"/>
        </w:rPr>
        <w:t>our</w:t>
      </w:r>
      <w:r>
        <w:rPr>
          <w:spacing w:val="-8"/>
          <w:sz w:val="20"/>
        </w:rPr>
        <w:t> </w:t>
      </w:r>
      <w:r>
        <w:rPr>
          <w:sz w:val="20"/>
        </w:rPr>
        <w:t>schools.</w:t>
      </w:r>
      <w:r>
        <w:rPr>
          <w:spacing w:val="-9"/>
          <w:sz w:val="20"/>
        </w:rPr>
        <w:t> </w:t>
      </w:r>
      <w:r>
        <w:rPr>
          <w:sz w:val="20"/>
        </w:rPr>
        <w:t>In</w:t>
      </w:r>
      <w:r>
        <w:rPr>
          <w:spacing w:val="-8"/>
          <w:sz w:val="20"/>
        </w:rPr>
        <w:t> </w:t>
      </w:r>
      <w:r>
        <w:rPr>
          <w:sz w:val="20"/>
        </w:rPr>
        <w:t>2019,</w:t>
      </w:r>
      <w:r>
        <w:rPr>
          <w:spacing w:val="-9"/>
          <w:sz w:val="20"/>
        </w:rPr>
        <w:t> </w:t>
      </w:r>
      <w:r>
        <w:rPr>
          <w:sz w:val="20"/>
        </w:rPr>
        <w:t>Auslan</w:t>
      </w:r>
      <w:r>
        <w:rPr>
          <w:spacing w:val="-8"/>
          <w:sz w:val="20"/>
        </w:rPr>
        <w:t> </w:t>
      </w:r>
      <w:r>
        <w:rPr>
          <w:sz w:val="20"/>
        </w:rPr>
        <w:t>was</w:t>
      </w:r>
      <w:r>
        <w:rPr>
          <w:spacing w:val="-9"/>
          <w:sz w:val="20"/>
        </w:rPr>
        <w:t> </w:t>
      </w:r>
      <w:r>
        <w:rPr>
          <w:sz w:val="20"/>
        </w:rPr>
        <w:t>one</w:t>
      </w:r>
      <w:r>
        <w:rPr>
          <w:spacing w:val="-8"/>
          <w:sz w:val="20"/>
        </w:rPr>
        <w:t> </w:t>
      </w:r>
      <w:r>
        <w:rPr>
          <w:sz w:val="20"/>
        </w:rPr>
        <w:t>of</w:t>
      </w:r>
      <w:r>
        <w:rPr>
          <w:spacing w:val="-9"/>
          <w:sz w:val="20"/>
        </w:rPr>
        <w:t> </w:t>
      </w:r>
      <w:r>
        <w:rPr>
          <w:sz w:val="20"/>
        </w:rPr>
        <w:t>the most</w:t>
      </w:r>
      <w:r>
        <w:rPr>
          <w:spacing w:val="-10"/>
          <w:sz w:val="20"/>
        </w:rPr>
        <w:t> </w:t>
      </w:r>
      <w:r>
        <w:rPr>
          <w:sz w:val="20"/>
        </w:rPr>
        <w:t>common</w:t>
      </w:r>
      <w:r>
        <w:rPr>
          <w:spacing w:val="-9"/>
          <w:sz w:val="20"/>
        </w:rPr>
        <w:t> </w:t>
      </w:r>
      <w:r>
        <w:rPr>
          <w:sz w:val="20"/>
        </w:rPr>
        <w:t>languages</w:t>
      </w:r>
      <w:r>
        <w:rPr>
          <w:spacing w:val="-9"/>
          <w:sz w:val="20"/>
        </w:rPr>
        <w:t> </w:t>
      </w:r>
      <w:r>
        <w:rPr>
          <w:sz w:val="20"/>
        </w:rPr>
        <w:t>other</w:t>
      </w:r>
      <w:r>
        <w:rPr>
          <w:spacing w:val="-10"/>
          <w:sz w:val="20"/>
        </w:rPr>
        <w:t> </w:t>
      </w:r>
      <w:r>
        <w:rPr>
          <w:sz w:val="20"/>
        </w:rPr>
        <w:t>than</w:t>
      </w:r>
      <w:r>
        <w:rPr>
          <w:spacing w:val="-9"/>
          <w:sz w:val="20"/>
        </w:rPr>
        <w:t> </w:t>
      </w:r>
      <w:r>
        <w:rPr>
          <w:sz w:val="20"/>
        </w:rPr>
        <w:t>English</w:t>
      </w:r>
      <w:r>
        <w:rPr>
          <w:spacing w:val="-9"/>
          <w:sz w:val="20"/>
        </w:rPr>
        <w:t> </w:t>
      </w:r>
      <w:r>
        <w:rPr>
          <w:sz w:val="20"/>
        </w:rPr>
        <w:t>taught</w:t>
      </w:r>
      <w:r>
        <w:rPr>
          <w:spacing w:val="-10"/>
          <w:sz w:val="20"/>
        </w:rPr>
        <w:t> </w:t>
      </w:r>
      <w:r>
        <w:rPr>
          <w:sz w:val="20"/>
        </w:rPr>
        <w:t>in</w:t>
      </w:r>
      <w:r>
        <w:rPr>
          <w:spacing w:val="-9"/>
          <w:sz w:val="20"/>
        </w:rPr>
        <w:t> </w:t>
      </w:r>
      <w:r>
        <w:rPr>
          <w:spacing w:val="-2"/>
          <w:sz w:val="20"/>
        </w:rPr>
        <w:t>Government</w:t>
      </w:r>
      <w:r>
        <w:rPr>
          <w:spacing w:val="-9"/>
          <w:sz w:val="20"/>
        </w:rPr>
        <w:t> </w:t>
      </w:r>
      <w:r>
        <w:rPr>
          <w:sz w:val="20"/>
        </w:rPr>
        <w:t>primary</w:t>
      </w:r>
      <w:r>
        <w:rPr>
          <w:spacing w:val="-10"/>
          <w:sz w:val="20"/>
        </w:rPr>
        <w:t> </w:t>
      </w:r>
      <w:r>
        <w:rPr>
          <w:sz w:val="20"/>
        </w:rPr>
        <w:t>schools.</w:t>
      </w:r>
      <w:r>
        <w:rPr>
          <w:position w:val="7"/>
          <w:sz w:val="11"/>
        </w:rPr>
        <w:t>27</w:t>
      </w:r>
      <w:r>
        <w:rPr>
          <w:sz w:val="11"/>
        </w:rPr>
        <w:t> </w:t>
      </w:r>
      <w:r>
        <w:rPr>
          <w:sz w:val="20"/>
        </w:rPr>
        <w:t>In the same </w:t>
      </w:r>
      <w:r>
        <w:rPr>
          <w:spacing w:val="-5"/>
          <w:sz w:val="20"/>
        </w:rPr>
        <w:t>year, </w:t>
      </w:r>
      <w:r>
        <w:rPr>
          <w:sz w:val="20"/>
        </w:rPr>
        <w:t>the Victorian </w:t>
      </w:r>
      <w:r>
        <w:rPr>
          <w:spacing w:val="-2"/>
          <w:sz w:val="20"/>
        </w:rPr>
        <w:t>Government </w:t>
      </w:r>
      <w:r>
        <w:rPr>
          <w:spacing w:val="-3"/>
          <w:sz w:val="20"/>
        </w:rPr>
        <w:t>invested </w:t>
      </w:r>
      <w:r>
        <w:rPr>
          <w:sz w:val="20"/>
        </w:rPr>
        <w:t>$20.6 million </w:t>
      </w:r>
      <w:r>
        <w:rPr>
          <w:spacing w:val="-4"/>
          <w:sz w:val="20"/>
        </w:rPr>
        <w:t>over </w:t>
      </w:r>
      <w:r>
        <w:rPr>
          <w:spacing w:val="-3"/>
          <w:sz w:val="20"/>
        </w:rPr>
        <w:t>five years </w:t>
      </w:r>
      <w:r>
        <w:rPr>
          <w:sz w:val="20"/>
        </w:rPr>
        <w:t>in an </w:t>
      </w:r>
      <w:r>
        <w:rPr>
          <w:spacing w:val="-3"/>
          <w:sz w:val="20"/>
        </w:rPr>
        <w:t>early </w:t>
      </w:r>
      <w:r>
        <w:rPr>
          <w:sz w:val="20"/>
        </w:rPr>
        <w:t>language program for preschool </w:t>
      </w:r>
      <w:r>
        <w:rPr>
          <w:spacing w:val="-3"/>
          <w:sz w:val="20"/>
        </w:rPr>
        <w:t>children </w:t>
      </w:r>
      <w:r>
        <w:rPr>
          <w:sz w:val="20"/>
        </w:rPr>
        <w:t>in Victoria</w:t>
      </w:r>
      <w:r>
        <w:rPr>
          <w:position w:val="7"/>
          <w:sz w:val="11"/>
        </w:rPr>
        <w:t>28 </w:t>
      </w:r>
      <w:r>
        <w:rPr>
          <w:sz w:val="20"/>
        </w:rPr>
        <w:t>which is </w:t>
      </w:r>
      <w:r>
        <w:rPr>
          <w:spacing w:val="-3"/>
          <w:sz w:val="20"/>
        </w:rPr>
        <w:t>provided </w:t>
      </w:r>
      <w:r>
        <w:rPr>
          <w:sz w:val="20"/>
        </w:rPr>
        <w:t>to </w:t>
      </w:r>
      <w:r>
        <w:rPr>
          <w:spacing w:val="-3"/>
          <w:sz w:val="20"/>
        </w:rPr>
        <w:t>approximately </w:t>
      </w:r>
      <w:r>
        <w:rPr>
          <w:sz w:val="20"/>
        </w:rPr>
        <w:t>6000 children. Auslan is ‘the second-most popular language in the </w:t>
      </w:r>
      <w:r>
        <w:rPr>
          <w:spacing w:val="-3"/>
          <w:sz w:val="20"/>
        </w:rPr>
        <w:t>program’.</w:t>
      </w:r>
      <w:r>
        <w:rPr>
          <w:spacing w:val="-3"/>
          <w:position w:val="7"/>
          <w:sz w:val="11"/>
        </w:rPr>
        <w:t>29</w:t>
      </w:r>
    </w:p>
    <w:p>
      <w:pPr>
        <w:pStyle w:val="Heading3"/>
        <w:spacing w:before="166"/>
      </w:pPr>
      <w:r>
        <w:rPr/>
        <w:t>Laws about equality and inclusion</w:t>
      </w:r>
    </w:p>
    <w:p>
      <w:pPr>
        <w:pStyle w:val="ListParagraph"/>
        <w:numPr>
          <w:ilvl w:val="1"/>
          <w:numId w:val="12"/>
        </w:numPr>
        <w:tabs>
          <w:tab w:pos="1761" w:val="left" w:leader="none"/>
          <w:tab w:pos="1762" w:val="left" w:leader="none"/>
        </w:tabs>
        <w:spacing w:line="240" w:lineRule="auto" w:before="94" w:after="0"/>
        <w:ind w:left="1761" w:right="0" w:hanging="794"/>
        <w:jc w:val="left"/>
        <w:rPr>
          <w:sz w:val="20"/>
        </w:rPr>
      </w:pPr>
      <w:r>
        <w:rPr>
          <w:spacing w:val="-4"/>
          <w:sz w:val="20"/>
        </w:rPr>
        <w:t>Key </w:t>
      </w:r>
      <w:r>
        <w:rPr>
          <w:spacing w:val="-3"/>
          <w:sz w:val="20"/>
        </w:rPr>
        <w:t>laws relevant </w:t>
      </w:r>
      <w:r>
        <w:rPr>
          <w:sz w:val="20"/>
        </w:rPr>
        <w:t>to equality and inclusion in Victoria</w:t>
      </w:r>
      <w:r>
        <w:rPr>
          <w:spacing w:val="-31"/>
          <w:sz w:val="20"/>
        </w:rPr>
        <w:t> </w:t>
      </w:r>
      <w:r>
        <w:rPr>
          <w:spacing w:val="-3"/>
          <w:sz w:val="20"/>
        </w:rPr>
        <w:t>are:</w:t>
      </w:r>
    </w:p>
    <w:p>
      <w:pPr>
        <w:pStyle w:val="ListParagraph"/>
        <w:numPr>
          <w:ilvl w:val="2"/>
          <w:numId w:val="12"/>
        </w:numPr>
        <w:tabs>
          <w:tab w:pos="2157" w:val="left" w:leader="none"/>
          <w:tab w:pos="2158" w:val="left" w:leader="none"/>
        </w:tabs>
        <w:spacing w:line="240" w:lineRule="auto" w:before="83" w:after="0"/>
        <w:ind w:left="2157" w:right="0" w:hanging="396"/>
        <w:jc w:val="left"/>
        <w:rPr>
          <w:sz w:val="20"/>
        </w:rPr>
      </w:pPr>
      <w:r>
        <w:rPr>
          <w:i/>
          <w:sz w:val="20"/>
        </w:rPr>
        <w:t>Equal Opportunity Act </w:t>
      </w:r>
      <w:r>
        <w:rPr>
          <w:i/>
          <w:spacing w:val="-3"/>
          <w:sz w:val="20"/>
        </w:rPr>
        <w:t>2010 </w:t>
      </w:r>
      <w:r>
        <w:rPr>
          <w:sz w:val="20"/>
        </w:rPr>
        <w:t>(Vic)</w:t>
      </w:r>
      <w:r>
        <w:rPr>
          <w:spacing w:val="-18"/>
          <w:sz w:val="20"/>
        </w:rPr>
        <w:t> </w:t>
      </w:r>
      <w:r>
        <w:rPr>
          <w:spacing w:val="-3"/>
          <w:sz w:val="20"/>
        </w:rPr>
        <w:t>(EOA)</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i/>
          <w:sz w:val="20"/>
        </w:rPr>
        <w:t>Disability Act 2006 </w:t>
      </w:r>
      <w:r>
        <w:rPr>
          <w:sz w:val="20"/>
        </w:rPr>
        <w:t>(Vic) relating to disability</w:t>
      </w:r>
      <w:r>
        <w:rPr>
          <w:spacing w:val="-32"/>
          <w:sz w:val="20"/>
        </w:rPr>
        <w:t> </w:t>
      </w:r>
      <w:r>
        <w:rPr>
          <w:sz w:val="20"/>
        </w:rPr>
        <w:t>services</w:t>
      </w:r>
    </w:p>
    <w:p>
      <w:pPr>
        <w:pStyle w:val="ListParagraph"/>
        <w:numPr>
          <w:ilvl w:val="2"/>
          <w:numId w:val="12"/>
        </w:numPr>
        <w:tabs>
          <w:tab w:pos="2157" w:val="left" w:leader="none"/>
          <w:tab w:pos="2158" w:val="left" w:leader="none"/>
        </w:tabs>
        <w:spacing w:line="240" w:lineRule="auto" w:before="48" w:after="0"/>
        <w:ind w:left="2157" w:right="0" w:hanging="396"/>
        <w:jc w:val="left"/>
        <w:rPr>
          <w:sz w:val="11"/>
        </w:rPr>
      </w:pPr>
      <w:r>
        <w:rPr>
          <w:i/>
          <w:sz w:val="20"/>
        </w:rPr>
        <w:t>Charter</w:t>
      </w:r>
      <w:r>
        <w:rPr>
          <w:i/>
          <w:spacing w:val="-6"/>
          <w:sz w:val="20"/>
        </w:rPr>
        <w:t> </w:t>
      </w:r>
      <w:r>
        <w:rPr>
          <w:i/>
          <w:sz w:val="20"/>
        </w:rPr>
        <w:t>of</w:t>
      </w:r>
      <w:r>
        <w:rPr>
          <w:i/>
          <w:spacing w:val="-5"/>
          <w:sz w:val="20"/>
        </w:rPr>
        <w:t> </w:t>
      </w:r>
      <w:r>
        <w:rPr>
          <w:i/>
          <w:sz w:val="20"/>
        </w:rPr>
        <w:t>Human</w:t>
      </w:r>
      <w:r>
        <w:rPr>
          <w:i/>
          <w:spacing w:val="-5"/>
          <w:sz w:val="20"/>
        </w:rPr>
        <w:t> </w:t>
      </w:r>
      <w:r>
        <w:rPr>
          <w:i/>
          <w:sz w:val="20"/>
        </w:rPr>
        <w:t>Rights</w:t>
      </w:r>
      <w:r>
        <w:rPr>
          <w:i/>
          <w:spacing w:val="-5"/>
          <w:sz w:val="20"/>
        </w:rPr>
        <w:t> </w:t>
      </w:r>
      <w:r>
        <w:rPr>
          <w:i/>
          <w:sz w:val="20"/>
        </w:rPr>
        <w:t>and</w:t>
      </w:r>
      <w:r>
        <w:rPr>
          <w:i/>
          <w:spacing w:val="-5"/>
          <w:sz w:val="20"/>
        </w:rPr>
        <w:t> </w:t>
      </w:r>
      <w:r>
        <w:rPr>
          <w:i/>
          <w:sz w:val="20"/>
        </w:rPr>
        <w:t>Responsibilities</w:t>
      </w:r>
      <w:r>
        <w:rPr>
          <w:i/>
          <w:spacing w:val="-5"/>
          <w:sz w:val="20"/>
        </w:rPr>
        <w:t> </w:t>
      </w:r>
      <w:r>
        <w:rPr>
          <w:i/>
          <w:sz w:val="20"/>
        </w:rPr>
        <w:t>Act</w:t>
      </w:r>
      <w:r>
        <w:rPr>
          <w:i/>
          <w:spacing w:val="-5"/>
          <w:sz w:val="20"/>
        </w:rPr>
        <w:t> </w:t>
      </w:r>
      <w:r>
        <w:rPr>
          <w:i/>
          <w:sz w:val="20"/>
        </w:rPr>
        <w:t>2006</w:t>
      </w:r>
      <w:r>
        <w:rPr>
          <w:i/>
          <w:spacing w:val="-6"/>
          <w:sz w:val="20"/>
        </w:rPr>
        <w:t> </w:t>
      </w:r>
      <w:r>
        <w:rPr>
          <w:sz w:val="20"/>
        </w:rPr>
        <w:t>(Vic)</w:t>
      </w:r>
      <w:r>
        <w:rPr>
          <w:spacing w:val="-5"/>
          <w:sz w:val="20"/>
        </w:rPr>
        <w:t> </w:t>
      </w:r>
      <w:r>
        <w:rPr>
          <w:sz w:val="20"/>
        </w:rPr>
        <w:t>(The</w:t>
      </w:r>
      <w:r>
        <w:rPr>
          <w:spacing w:val="-5"/>
          <w:sz w:val="20"/>
        </w:rPr>
        <w:t> </w:t>
      </w:r>
      <w:r>
        <w:rPr>
          <w:sz w:val="20"/>
        </w:rPr>
        <w:t>Charter)</w:t>
      </w:r>
      <w:r>
        <w:rPr>
          <w:position w:val="7"/>
          <w:sz w:val="11"/>
        </w:rPr>
        <w:t>30</w:t>
      </w:r>
    </w:p>
    <w:p>
      <w:pPr>
        <w:pStyle w:val="ListParagraph"/>
        <w:numPr>
          <w:ilvl w:val="1"/>
          <w:numId w:val="12"/>
        </w:numPr>
        <w:tabs>
          <w:tab w:pos="1761" w:val="left" w:leader="none"/>
          <w:tab w:pos="1762" w:val="left" w:leader="none"/>
        </w:tabs>
        <w:spacing w:line="240" w:lineRule="auto" w:before="47" w:after="0"/>
        <w:ind w:left="1761" w:right="0" w:hanging="794"/>
        <w:jc w:val="left"/>
        <w:rPr>
          <w:sz w:val="20"/>
        </w:rPr>
      </w:pPr>
      <w:r>
        <w:rPr>
          <w:spacing w:val="-3"/>
          <w:sz w:val="20"/>
        </w:rPr>
        <w:t>At </w:t>
      </w:r>
      <w:r>
        <w:rPr>
          <w:sz w:val="20"/>
        </w:rPr>
        <w:t>the </w:t>
      </w:r>
      <w:r>
        <w:rPr>
          <w:spacing w:val="-2"/>
          <w:sz w:val="20"/>
        </w:rPr>
        <w:t>Commonwealth </w:t>
      </w:r>
      <w:r>
        <w:rPr>
          <w:spacing w:val="-3"/>
          <w:sz w:val="20"/>
        </w:rPr>
        <w:t>level, </w:t>
      </w:r>
      <w:r>
        <w:rPr>
          <w:spacing w:val="-4"/>
          <w:sz w:val="20"/>
        </w:rPr>
        <w:t>key </w:t>
      </w:r>
      <w:r>
        <w:rPr>
          <w:spacing w:val="-3"/>
          <w:sz w:val="20"/>
        </w:rPr>
        <w:t>laws</w:t>
      </w:r>
      <w:r>
        <w:rPr>
          <w:spacing w:val="-13"/>
          <w:sz w:val="20"/>
        </w:rPr>
        <w:t> </w:t>
      </w:r>
      <w:r>
        <w:rPr>
          <w:spacing w:val="-3"/>
          <w:sz w:val="20"/>
        </w:rPr>
        <w:t>are:</w:t>
      </w:r>
    </w:p>
    <w:p>
      <w:pPr>
        <w:pStyle w:val="ListParagraph"/>
        <w:numPr>
          <w:ilvl w:val="2"/>
          <w:numId w:val="12"/>
        </w:numPr>
        <w:tabs>
          <w:tab w:pos="2157" w:val="left" w:leader="none"/>
          <w:tab w:pos="2158" w:val="left" w:leader="none"/>
        </w:tabs>
        <w:spacing w:line="240" w:lineRule="auto" w:before="82" w:after="0"/>
        <w:ind w:left="2157" w:right="0" w:hanging="396"/>
        <w:jc w:val="left"/>
        <w:rPr>
          <w:sz w:val="11"/>
        </w:rPr>
      </w:pPr>
      <w:r>
        <w:rPr>
          <w:i/>
          <w:sz w:val="20"/>
        </w:rPr>
        <w:t>National Disability Insurance Scheme Act </w:t>
      </w:r>
      <w:r>
        <w:rPr>
          <w:i/>
          <w:spacing w:val="-3"/>
          <w:sz w:val="20"/>
        </w:rPr>
        <w:t>2013</w:t>
      </w:r>
      <w:r>
        <w:rPr>
          <w:i/>
          <w:spacing w:val="-26"/>
          <w:sz w:val="20"/>
        </w:rPr>
        <w:t> </w:t>
      </w:r>
      <w:r>
        <w:rPr>
          <w:sz w:val="20"/>
        </w:rPr>
        <w:t>(Cth)</w:t>
      </w:r>
      <w:r>
        <w:rPr>
          <w:position w:val="7"/>
          <w:sz w:val="11"/>
        </w:rPr>
        <w:t>31</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i/>
          <w:sz w:val="20"/>
        </w:rPr>
        <w:t>Disability Discrimination Act 1992</w:t>
      </w:r>
      <w:r>
        <w:rPr>
          <w:i/>
          <w:spacing w:val="-17"/>
          <w:sz w:val="20"/>
        </w:rPr>
        <w:t> </w:t>
      </w:r>
      <w:r>
        <w:rPr>
          <w:sz w:val="20"/>
        </w:rPr>
        <w:t>(Cth)</w:t>
      </w:r>
    </w:p>
    <w:p>
      <w:pPr>
        <w:pStyle w:val="BodyText"/>
      </w:pPr>
    </w:p>
    <w:p>
      <w:pPr>
        <w:pStyle w:val="BodyText"/>
      </w:pPr>
    </w:p>
    <w:p>
      <w:pPr>
        <w:pStyle w:val="BodyText"/>
      </w:pPr>
    </w:p>
    <w:p>
      <w:pPr>
        <w:pStyle w:val="BodyText"/>
      </w:pPr>
    </w:p>
    <w:p>
      <w:pPr>
        <w:pStyle w:val="BodyText"/>
        <w:spacing w:before="5"/>
        <w:rPr>
          <w:sz w:val="12"/>
        </w:rPr>
      </w:pPr>
      <w:r>
        <w:rPr/>
        <w:pict>
          <v:line style="position:absolute;mso-position-horizontal-relative:page;mso-position-vertical-relative:paragraph;z-index:3464;mso-wrap-distance-left:0;mso-wrap-distance-right:0" from="79.370102pt,11.034pt" to="515.905102pt,11.034pt" stroked="true" strokeweight="1pt" strokecolor="#b6bdc8">
            <v:stroke dashstyle="solid"/>
            <w10:wrap type="topAndBottom"/>
          </v:line>
        </w:pict>
      </w:r>
    </w:p>
    <w:p>
      <w:pPr>
        <w:pStyle w:val="ListParagraph"/>
        <w:numPr>
          <w:ilvl w:val="0"/>
          <w:numId w:val="52"/>
        </w:numPr>
        <w:tabs>
          <w:tab w:pos="1760" w:val="left" w:leader="none"/>
          <w:tab w:pos="1762" w:val="left" w:leader="none"/>
        </w:tabs>
        <w:spacing w:line="170" w:lineRule="exact" w:before="91" w:after="0"/>
        <w:ind w:left="1761" w:right="0" w:hanging="794"/>
        <w:jc w:val="left"/>
        <w:rPr>
          <w:sz w:val="13"/>
        </w:rPr>
      </w:pPr>
      <w:r>
        <w:rPr>
          <w:spacing w:val="2"/>
          <w:sz w:val="13"/>
        </w:rPr>
        <w:t>Department </w:t>
      </w:r>
      <w:r>
        <w:rPr>
          <w:sz w:val="13"/>
        </w:rPr>
        <w:t>of Social </w:t>
      </w:r>
      <w:r>
        <w:rPr>
          <w:spacing w:val="2"/>
          <w:sz w:val="13"/>
        </w:rPr>
        <w:t>Services </w:t>
      </w:r>
      <w:r>
        <w:rPr>
          <w:sz w:val="13"/>
        </w:rPr>
        <w:t>(Cth), </w:t>
      </w:r>
      <w:r>
        <w:rPr>
          <w:i/>
          <w:sz w:val="13"/>
        </w:rPr>
        <w:t>Australia’s Disability Strategy 2021–2031</w:t>
      </w:r>
      <w:r>
        <w:rPr>
          <w:sz w:val="13"/>
        </w:rPr>
        <w:t>, </w:t>
      </w:r>
      <w:r>
        <w:rPr>
          <w:spacing w:val="2"/>
          <w:sz w:val="13"/>
        </w:rPr>
        <w:t>(Report, December </w:t>
      </w:r>
      <w:r>
        <w:rPr>
          <w:sz w:val="13"/>
        </w:rPr>
        <w:t>2021).</w:t>
      </w:r>
    </w:p>
    <w:p>
      <w:pPr>
        <w:pStyle w:val="ListParagraph"/>
        <w:numPr>
          <w:ilvl w:val="0"/>
          <w:numId w:val="52"/>
        </w:numPr>
        <w:tabs>
          <w:tab w:pos="1761" w:val="left" w:leader="none"/>
          <w:tab w:pos="1762" w:val="left" w:leader="none"/>
        </w:tabs>
        <w:spacing w:line="213" w:lineRule="auto" w:before="6" w:after="0"/>
        <w:ind w:left="1761" w:right="1444" w:hanging="794"/>
        <w:jc w:val="left"/>
        <w:rPr>
          <w:sz w:val="13"/>
        </w:rPr>
      </w:pPr>
      <w:r>
        <w:rPr>
          <w:sz w:val="13"/>
        </w:rPr>
        <w:t>Specifically, it will assist governments to meet their obligations under the following  laws  and  </w:t>
      </w:r>
      <w:r>
        <w:rPr>
          <w:spacing w:val="2"/>
          <w:sz w:val="13"/>
        </w:rPr>
        <w:t>policies: </w:t>
      </w: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 </w:t>
      </w:r>
      <w:r>
        <w:rPr>
          <w:i/>
          <w:sz w:val="13"/>
        </w:rPr>
        <w:t>Disability </w:t>
      </w:r>
      <w:r>
        <w:rPr>
          <w:i/>
          <w:sz w:val="13"/>
        </w:rPr>
        <w:t>Discrimination Act 1992 </w:t>
      </w:r>
      <w:r>
        <w:rPr>
          <w:sz w:val="13"/>
        </w:rPr>
        <w:t>(Cth); </w:t>
      </w:r>
      <w:r>
        <w:rPr>
          <w:i/>
          <w:sz w:val="13"/>
        </w:rPr>
        <w:t>Disability </w:t>
      </w:r>
      <w:r>
        <w:rPr>
          <w:i/>
          <w:spacing w:val="2"/>
          <w:sz w:val="13"/>
        </w:rPr>
        <w:t>Services </w:t>
      </w:r>
      <w:r>
        <w:rPr>
          <w:i/>
          <w:sz w:val="13"/>
        </w:rPr>
        <w:t>Act 1986 </w:t>
      </w:r>
      <w:r>
        <w:rPr>
          <w:sz w:val="13"/>
        </w:rPr>
        <w:t>(Cth); </w:t>
      </w:r>
      <w:r>
        <w:rPr>
          <w:i/>
          <w:sz w:val="13"/>
        </w:rPr>
        <w:t>National Disability Insurance Scheme Act 2013 </w:t>
      </w:r>
      <w:r>
        <w:rPr>
          <w:sz w:val="13"/>
        </w:rPr>
        <w:t>(Cth); </w:t>
      </w:r>
      <w:r>
        <w:rPr>
          <w:i/>
          <w:sz w:val="13"/>
        </w:rPr>
        <w:t>Equal </w:t>
      </w:r>
      <w:r>
        <w:rPr>
          <w:i/>
          <w:sz w:val="13"/>
        </w:rPr>
        <w:t>Employment Opportunity (Commonwealth Authorities) Act 1987 </w:t>
      </w:r>
      <w:r>
        <w:rPr>
          <w:sz w:val="13"/>
        </w:rPr>
        <w:t>(Cth). See </w:t>
      </w:r>
      <w:r>
        <w:rPr>
          <w:spacing w:val="2"/>
          <w:sz w:val="13"/>
        </w:rPr>
        <w:t>also </w:t>
      </w:r>
      <w:r>
        <w:rPr>
          <w:sz w:val="13"/>
        </w:rPr>
        <w:t>state and territory </w:t>
      </w:r>
      <w:r>
        <w:rPr>
          <w:spacing w:val="2"/>
          <w:sz w:val="13"/>
        </w:rPr>
        <w:t>legislation, </w:t>
      </w:r>
      <w:r>
        <w:rPr>
          <w:sz w:val="13"/>
        </w:rPr>
        <w:t>including the Australian </w:t>
      </w:r>
      <w:r>
        <w:rPr>
          <w:spacing w:val="2"/>
          <w:sz w:val="13"/>
        </w:rPr>
        <w:t>Capital </w:t>
      </w:r>
      <w:r>
        <w:rPr>
          <w:sz w:val="13"/>
        </w:rPr>
        <w:t>Territory and Victorian Charters of Human </w:t>
      </w:r>
      <w:r>
        <w:rPr>
          <w:spacing w:val="2"/>
          <w:sz w:val="13"/>
        </w:rPr>
        <w:t>Rights, </w:t>
      </w:r>
      <w:r>
        <w:rPr>
          <w:sz w:val="13"/>
        </w:rPr>
        <w:t>and various </w:t>
      </w:r>
      <w:r>
        <w:rPr>
          <w:spacing w:val="2"/>
          <w:sz w:val="13"/>
        </w:rPr>
        <w:t>public service</w:t>
      </w:r>
      <w:r>
        <w:rPr>
          <w:spacing w:val="13"/>
          <w:sz w:val="13"/>
        </w:rPr>
        <w:t> </w:t>
      </w:r>
      <w:r>
        <w:rPr>
          <w:spacing w:val="2"/>
          <w:sz w:val="13"/>
        </w:rPr>
        <w:t>acts.</w:t>
      </w:r>
    </w:p>
    <w:p>
      <w:pPr>
        <w:pStyle w:val="ListParagraph"/>
        <w:numPr>
          <w:ilvl w:val="0"/>
          <w:numId w:val="52"/>
        </w:numPr>
        <w:tabs>
          <w:tab w:pos="1761" w:val="left" w:leader="none"/>
          <w:tab w:pos="1762" w:val="left" w:leader="none"/>
        </w:tabs>
        <w:spacing w:line="151" w:lineRule="exact" w:before="0" w:after="0"/>
        <w:ind w:left="1761" w:right="0" w:hanging="794"/>
        <w:jc w:val="left"/>
        <w:rPr>
          <w:sz w:val="13"/>
        </w:rPr>
      </w:pPr>
      <w:r>
        <w:rPr>
          <w:sz w:val="13"/>
        </w:rPr>
        <w:t>Council of Australian Governments, </w:t>
      </w:r>
      <w:r>
        <w:rPr>
          <w:i/>
          <w:sz w:val="13"/>
        </w:rPr>
        <w:t>National Disability Strategy 2010–2020 </w:t>
      </w:r>
      <w:r>
        <w:rPr>
          <w:spacing w:val="2"/>
          <w:sz w:val="13"/>
        </w:rPr>
        <w:t>(Report, </w:t>
      </w:r>
      <w:r>
        <w:rPr>
          <w:sz w:val="13"/>
        </w:rPr>
        <w:t>2011)</w:t>
      </w:r>
      <w:r>
        <w:rPr>
          <w:spacing w:val="7"/>
          <w:sz w:val="13"/>
        </w:rPr>
        <w:t> </w:t>
      </w:r>
      <w:r>
        <w:rPr>
          <w:spacing w:val="3"/>
          <w:sz w:val="13"/>
        </w:rPr>
        <w:t>3.</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spacing w:val="2"/>
          <w:sz w:val="13"/>
        </w:rPr>
        <w:t>Department </w:t>
      </w:r>
      <w:r>
        <w:rPr>
          <w:sz w:val="13"/>
        </w:rPr>
        <w:t>of Families, Fairness and Housing (Vic), </w:t>
      </w:r>
      <w:r>
        <w:rPr>
          <w:i/>
          <w:sz w:val="13"/>
        </w:rPr>
        <w:t>Inclusive Victoria: State Disability Plan 2022–2026 </w:t>
      </w:r>
      <w:r>
        <w:rPr>
          <w:spacing w:val="2"/>
          <w:sz w:val="13"/>
        </w:rPr>
        <w:t>(Report, </w:t>
      </w:r>
      <w:r>
        <w:rPr>
          <w:sz w:val="13"/>
        </w:rPr>
        <w:t>March 2022)</w:t>
      </w:r>
      <w:r>
        <w:rPr>
          <w:spacing w:val="26"/>
          <w:sz w:val="13"/>
        </w:rPr>
        <w:t> </w:t>
      </w:r>
      <w:r>
        <w:rPr>
          <w:spacing w:val="4"/>
          <w:sz w:val="13"/>
        </w:rPr>
        <w:t>14.</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sz w:val="13"/>
        </w:rPr>
        <w:t>‘Getting to Work: </w:t>
      </w:r>
      <w:r>
        <w:rPr>
          <w:spacing w:val="2"/>
          <w:sz w:val="13"/>
        </w:rPr>
        <w:t>Disability </w:t>
      </w:r>
      <w:r>
        <w:rPr>
          <w:sz w:val="13"/>
        </w:rPr>
        <w:t>Employment Action Plan’, </w:t>
      </w:r>
      <w:r>
        <w:rPr>
          <w:i/>
          <w:sz w:val="13"/>
        </w:rPr>
        <w:t>Victorian Public Sector Commission </w:t>
      </w:r>
      <w:r>
        <w:rPr>
          <w:sz w:val="13"/>
        </w:rPr>
        <w:t>(Web Page, 30 September</w:t>
      </w:r>
      <w:r>
        <w:rPr>
          <w:spacing w:val="24"/>
          <w:sz w:val="13"/>
        </w:rPr>
        <w:t> </w:t>
      </w:r>
      <w:r>
        <w:rPr>
          <w:sz w:val="13"/>
        </w:rPr>
        <w:t>2018)</w:t>
      </w:r>
    </w:p>
    <w:p>
      <w:pPr>
        <w:spacing w:line="160" w:lineRule="exact" w:before="0"/>
        <w:ind w:left="1761" w:right="0" w:firstLine="0"/>
        <w:jc w:val="left"/>
        <w:rPr>
          <w:sz w:val="13"/>
        </w:rPr>
      </w:pPr>
      <w:r>
        <w:rPr>
          <w:sz w:val="13"/>
        </w:rPr>
        <w:t>&lt;</w:t>
      </w:r>
      <w:hyperlink r:id="rId119">
        <w:r>
          <w:rPr>
            <w:sz w:val="13"/>
          </w:rPr>
          <w:t>https://vpsc.vic.gov.au/getting-to-work-disability-employment-action-plan/</w:t>
        </w:r>
      </w:hyperlink>
      <w:r>
        <w:rPr>
          <w:sz w:val="13"/>
        </w:rPr>
        <w:t>&gt;.</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spacing w:val="2"/>
          <w:sz w:val="13"/>
        </w:rPr>
        <w:t>Department </w:t>
      </w:r>
      <w:r>
        <w:rPr>
          <w:sz w:val="13"/>
        </w:rPr>
        <w:t>of Education and Training (Vic), </w:t>
      </w:r>
      <w:r>
        <w:rPr>
          <w:i/>
          <w:sz w:val="13"/>
        </w:rPr>
        <w:t>Languages Provision in Victorian Government </w:t>
      </w:r>
      <w:r>
        <w:rPr>
          <w:i/>
          <w:spacing w:val="2"/>
          <w:sz w:val="13"/>
        </w:rPr>
        <w:t>Schools, </w:t>
      </w:r>
      <w:r>
        <w:rPr>
          <w:i/>
          <w:sz w:val="13"/>
        </w:rPr>
        <w:t>2019 </w:t>
      </w:r>
      <w:r>
        <w:rPr>
          <w:spacing w:val="2"/>
          <w:sz w:val="13"/>
        </w:rPr>
        <w:t>(Report, </w:t>
      </w:r>
      <w:r>
        <w:rPr>
          <w:sz w:val="13"/>
        </w:rPr>
        <w:t>2020)</w:t>
      </w:r>
      <w:r>
        <w:rPr>
          <w:spacing w:val="16"/>
          <w:sz w:val="13"/>
        </w:rPr>
        <w:t> </w:t>
      </w:r>
      <w:r>
        <w:rPr>
          <w:sz w:val="13"/>
        </w:rPr>
        <w:t>8.</w:t>
      </w:r>
    </w:p>
    <w:p>
      <w:pPr>
        <w:pStyle w:val="ListParagraph"/>
        <w:numPr>
          <w:ilvl w:val="0"/>
          <w:numId w:val="52"/>
        </w:numPr>
        <w:tabs>
          <w:tab w:pos="1760" w:val="left" w:leader="none"/>
          <w:tab w:pos="1762" w:val="left" w:leader="none"/>
        </w:tabs>
        <w:spacing w:line="213" w:lineRule="auto" w:before="6" w:after="0"/>
        <w:ind w:left="1761" w:right="1795" w:hanging="794"/>
        <w:jc w:val="left"/>
        <w:rPr>
          <w:sz w:val="13"/>
        </w:rPr>
      </w:pPr>
      <w:r>
        <w:rPr>
          <w:sz w:val="13"/>
        </w:rPr>
        <w:t>‘Early Childhood </w:t>
      </w:r>
      <w:r>
        <w:rPr>
          <w:spacing w:val="2"/>
          <w:sz w:val="13"/>
        </w:rPr>
        <w:t>Language </w:t>
      </w:r>
      <w:r>
        <w:rPr>
          <w:sz w:val="13"/>
        </w:rPr>
        <w:t>Program’, </w:t>
      </w:r>
      <w:r>
        <w:rPr>
          <w:i/>
          <w:spacing w:val="2"/>
          <w:sz w:val="13"/>
        </w:rPr>
        <w:t>Department </w:t>
      </w:r>
      <w:r>
        <w:rPr>
          <w:i/>
          <w:sz w:val="13"/>
        </w:rPr>
        <w:t>of Education </w:t>
      </w:r>
      <w:r>
        <w:rPr>
          <w:sz w:val="13"/>
        </w:rPr>
        <w:t>(Web Page, 8 April 2022) &lt;</w:t>
      </w:r>
      <w:hyperlink r:id="rId120">
        <w:r>
          <w:rPr>
            <w:sz w:val="13"/>
          </w:rPr>
          <w:t>https://www.vic.gov.au/early-</w:t>
        </w:r>
      </w:hyperlink>
      <w:hyperlink r:id="rId120">
        <w:r>
          <w:rPr>
            <w:sz w:val="13"/>
          </w:rPr>
          <w:t> childhood-language-program</w:t>
        </w:r>
      </w:hyperlink>
      <w:r>
        <w:rPr>
          <w:sz w:val="13"/>
        </w:rPr>
        <w:t>&gt;.</w:t>
      </w:r>
    </w:p>
    <w:p>
      <w:pPr>
        <w:pStyle w:val="ListParagraph"/>
        <w:numPr>
          <w:ilvl w:val="0"/>
          <w:numId w:val="52"/>
        </w:numPr>
        <w:tabs>
          <w:tab w:pos="1760" w:val="left" w:leader="none"/>
          <w:tab w:pos="1762" w:val="left" w:leader="none"/>
        </w:tabs>
        <w:spacing w:line="153" w:lineRule="exact" w:before="0" w:after="0"/>
        <w:ind w:left="1761" w:right="0" w:hanging="794"/>
        <w:jc w:val="left"/>
        <w:rPr>
          <w:sz w:val="13"/>
        </w:rPr>
      </w:pPr>
      <w:r>
        <w:rPr>
          <w:sz w:val="13"/>
        </w:rPr>
        <w:t>Madeleine Heffernan, ‘Preschools’ Love of </w:t>
      </w:r>
      <w:r>
        <w:rPr>
          <w:spacing w:val="2"/>
          <w:sz w:val="13"/>
        </w:rPr>
        <w:t>Language </w:t>
      </w:r>
      <w:r>
        <w:rPr>
          <w:sz w:val="13"/>
        </w:rPr>
        <w:t>a </w:t>
      </w:r>
      <w:r>
        <w:rPr>
          <w:spacing w:val="2"/>
          <w:sz w:val="13"/>
        </w:rPr>
        <w:t>Good </w:t>
      </w:r>
      <w:r>
        <w:rPr>
          <w:sz w:val="13"/>
        </w:rPr>
        <w:t>Sign for Auslan’, </w:t>
      </w:r>
      <w:r>
        <w:rPr>
          <w:i/>
          <w:sz w:val="13"/>
        </w:rPr>
        <w:t>The Age </w:t>
      </w:r>
      <w:r>
        <w:rPr>
          <w:sz w:val="13"/>
        </w:rPr>
        <w:t>(online, 22 November</w:t>
      </w:r>
      <w:r>
        <w:rPr>
          <w:spacing w:val="18"/>
          <w:sz w:val="13"/>
        </w:rPr>
        <w:t> </w:t>
      </w:r>
      <w:r>
        <w:rPr>
          <w:sz w:val="13"/>
        </w:rPr>
        <w:t>2021)</w:t>
      </w:r>
    </w:p>
    <w:p>
      <w:pPr>
        <w:spacing w:line="160" w:lineRule="exact" w:before="0"/>
        <w:ind w:left="1761" w:right="0" w:firstLine="0"/>
        <w:jc w:val="left"/>
        <w:rPr>
          <w:sz w:val="13"/>
        </w:rPr>
      </w:pPr>
      <w:r>
        <w:rPr>
          <w:sz w:val="13"/>
        </w:rPr>
        <w:t>&lt;</w:t>
      </w:r>
      <w:hyperlink r:id="rId121">
        <w:r>
          <w:rPr>
            <w:sz w:val="13"/>
          </w:rPr>
          <w:t>https://www.theage.com.au/national/victoria/preschools-love-of-language-a-good-sign-for-auslan-20211109-p597g6.html</w:t>
        </w:r>
      </w:hyperlink>
      <w:r>
        <w:rPr>
          <w:sz w:val="13"/>
        </w:rPr>
        <w:t>&gt;.</w:t>
      </w:r>
    </w:p>
    <w:p>
      <w:pPr>
        <w:pStyle w:val="ListParagraph"/>
        <w:numPr>
          <w:ilvl w:val="0"/>
          <w:numId w:val="52"/>
        </w:numPr>
        <w:tabs>
          <w:tab w:pos="1761" w:val="left" w:leader="none"/>
          <w:tab w:pos="1762" w:val="left" w:leader="none"/>
        </w:tabs>
        <w:spacing w:line="213" w:lineRule="auto" w:before="7" w:after="0"/>
        <w:ind w:left="1761" w:right="1247" w:hanging="794"/>
        <w:jc w:val="left"/>
        <w:rPr>
          <w:sz w:val="13"/>
        </w:rPr>
      </w:pPr>
      <w:r>
        <w:rPr>
          <w:sz w:val="13"/>
        </w:rPr>
        <w:t>Commonwealth laws </w:t>
      </w:r>
      <w:r>
        <w:rPr>
          <w:spacing w:val="2"/>
          <w:sz w:val="13"/>
        </w:rPr>
        <w:t>also </w:t>
      </w:r>
      <w:r>
        <w:rPr>
          <w:sz w:val="13"/>
        </w:rPr>
        <w:t>protect people’s rights in </w:t>
      </w:r>
      <w:r>
        <w:rPr>
          <w:spacing w:val="2"/>
          <w:sz w:val="13"/>
        </w:rPr>
        <w:t>public </w:t>
      </w:r>
      <w:r>
        <w:rPr>
          <w:sz w:val="13"/>
        </w:rPr>
        <w:t>life and when dealing with Commonwealth Government </w:t>
      </w:r>
      <w:r>
        <w:rPr>
          <w:spacing w:val="2"/>
          <w:sz w:val="13"/>
        </w:rPr>
        <w:t>departments </w:t>
      </w:r>
      <w:r>
        <w:rPr>
          <w:sz w:val="13"/>
        </w:rPr>
        <w:t>and </w:t>
      </w:r>
      <w:r>
        <w:rPr>
          <w:spacing w:val="2"/>
          <w:sz w:val="13"/>
        </w:rPr>
        <w:t>agencies: </w:t>
      </w:r>
      <w:r>
        <w:rPr>
          <w:sz w:val="13"/>
        </w:rPr>
        <w:t>see, eg, </w:t>
      </w:r>
      <w:r>
        <w:rPr>
          <w:i/>
          <w:sz w:val="13"/>
        </w:rPr>
        <w:t>Disability Discrimination Act 1992 </w:t>
      </w:r>
      <w:r>
        <w:rPr>
          <w:sz w:val="13"/>
        </w:rPr>
        <w:t>(Cth); </w:t>
      </w:r>
      <w:r>
        <w:rPr>
          <w:i/>
          <w:sz w:val="13"/>
        </w:rPr>
        <w:t>Fair Work Act 2009</w:t>
      </w:r>
      <w:r>
        <w:rPr>
          <w:i/>
          <w:spacing w:val="9"/>
          <w:sz w:val="13"/>
        </w:rPr>
        <w:t> </w:t>
      </w:r>
      <w:r>
        <w:rPr>
          <w:sz w:val="13"/>
        </w:rPr>
        <w:t>(Cth).</w:t>
      </w:r>
    </w:p>
    <w:p>
      <w:pPr>
        <w:pStyle w:val="ListParagraph"/>
        <w:numPr>
          <w:ilvl w:val="0"/>
          <w:numId w:val="52"/>
        </w:numPr>
        <w:tabs>
          <w:tab w:pos="1760" w:val="left" w:leader="none"/>
          <w:tab w:pos="1762" w:val="left" w:leader="none"/>
        </w:tabs>
        <w:spacing w:line="213" w:lineRule="auto" w:before="0" w:after="0"/>
        <w:ind w:left="1761" w:right="1391" w:hanging="794"/>
        <w:jc w:val="left"/>
        <w:rPr>
          <w:sz w:val="13"/>
        </w:rPr>
      </w:pPr>
      <w:r>
        <w:rPr/>
        <w:pict>
          <v:shape style="position:absolute;margin-left:549.02063pt;margin-top:19.39459pt;width:12.9pt;height:14.1pt;mso-position-horizontal-relative:page;mso-position-vertical-relative:paragraph;z-index:5536" type="#_x0000_t202" filled="false" stroked="false">
            <v:textbox inset="0,0,0,0">
              <w:txbxContent>
                <w:p>
                  <w:pPr>
                    <w:spacing w:line="282" w:lineRule="exact" w:before="0"/>
                    <w:ind w:left="0" w:right="0" w:firstLine="0"/>
                    <w:jc w:val="left"/>
                    <w:rPr>
                      <w:b/>
                      <w:sz w:val="24"/>
                    </w:rPr>
                  </w:pPr>
                  <w:r>
                    <w:rPr>
                      <w:b/>
                      <w:color w:val="37617A"/>
                      <w:spacing w:val="-5"/>
                      <w:sz w:val="24"/>
                    </w:rPr>
                    <w:t>57</w:t>
                  </w:r>
                </w:p>
              </w:txbxContent>
            </v:textbox>
            <w10:wrap type="none"/>
          </v:shape>
        </w:pict>
      </w:r>
      <w:r>
        <w:rPr>
          <w:sz w:val="13"/>
        </w:rPr>
        <w:t>In </w:t>
      </w:r>
      <w:r>
        <w:rPr>
          <w:spacing w:val="2"/>
          <w:sz w:val="13"/>
        </w:rPr>
        <w:t>2013, </w:t>
      </w:r>
      <w:r>
        <w:rPr>
          <w:sz w:val="13"/>
        </w:rPr>
        <w:t>the Commonwealth Government introduced the National </w:t>
      </w:r>
      <w:r>
        <w:rPr>
          <w:spacing w:val="2"/>
          <w:sz w:val="13"/>
        </w:rPr>
        <w:t>Disability </w:t>
      </w:r>
      <w:r>
        <w:rPr>
          <w:sz w:val="13"/>
        </w:rPr>
        <w:t>Insurance </w:t>
      </w:r>
      <w:r>
        <w:rPr>
          <w:spacing w:val="2"/>
          <w:sz w:val="13"/>
        </w:rPr>
        <w:t>Scheme </w:t>
      </w:r>
      <w:r>
        <w:rPr>
          <w:sz w:val="13"/>
        </w:rPr>
        <w:t>(NDIS) pursuant to the </w:t>
      </w:r>
      <w:r>
        <w:rPr>
          <w:i/>
          <w:sz w:val="13"/>
        </w:rPr>
        <w:t>National </w:t>
      </w:r>
      <w:r>
        <w:rPr>
          <w:i/>
          <w:sz w:val="13"/>
        </w:rPr>
        <w:t>Disability Insurance Scheme Act 2013 </w:t>
      </w:r>
      <w:r>
        <w:rPr>
          <w:sz w:val="13"/>
        </w:rPr>
        <w:t>(Cth). This was rolled out to all states and territories in 2016 and is Australia’s first national </w:t>
      </w:r>
      <w:r>
        <w:rPr>
          <w:spacing w:val="2"/>
          <w:sz w:val="13"/>
        </w:rPr>
        <w:t>scheme </w:t>
      </w:r>
      <w:r>
        <w:rPr>
          <w:sz w:val="13"/>
        </w:rPr>
        <w:t>providing funding directly to people with disability. National </w:t>
      </w:r>
      <w:r>
        <w:rPr>
          <w:spacing w:val="2"/>
          <w:sz w:val="13"/>
        </w:rPr>
        <w:t>Disability </w:t>
      </w:r>
      <w:r>
        <w:rPr>
          <w:sz w:val="13"/>
        </w:rPr>
        <w:t>Insurance Agency, </w:t>
      </w:r>
      <w:r>
        <w:rPr>
          <w:spacing w:val="2"/>
          <w:sz w:val="13"/>
        </w:rPr>
        <w:t>‘History </w:t>
      </w:r>
      <w:r>
        <w:rPr>
          <w:sz w:val="13"/>
        </w:rPr>
        <w:t>of the NDIS’, </w:t>
      </w:r>
      <w:r>
        <w:rPr>
          <w:i/>
          <w:spacing w:val="2"/>
          <w:sz w:val="13"/>
        </w:rPr>
        <w:t>NDIS</w:t>
      </w:r>
      <w:r>
        <w:rPr>
          <w:i/>
          <w:spacing w:val="36"/>
          <w:sz w:val="13"/>
        </w:rPr>
        <w:t> </w:t>
      </w:r>
      <w:r>
        <w:rPr>
          <w:sz w:val="13"/>
        </w:rPr>
        <w:t>(Web Page, 30 July 2021)</w:t>
      </w:r>
      <w:r>
        <w:rPr>
          <w:spacing w:val="3"/>
          <w:sz w:val="13"/>
        </w:rPr>
        <w:t> </w:t>
      </w:r>
      <w:r>
        <w:rPr>
          <w:sz w:val="13"/>
        </w:rPr>
        <w:t>&lt;</w:t>
      </w:r>
      <w:hyperlink r:id="rId122">
        <w:r>
          <w:rPr>
            <w:sz w:val="13"/>
          </w:rPr>
          <w:t>https://www.ndis.gov.au/about-us/history-ndis</w:t>
        </w:r>
      </w:hyperlink>
      <w:r>
        <w:rPr>
          <w:sz w:val="13"/>
        </w:rPr>
        <w:t>&gt;.</w:t>
      </w:r>
    </w:p>
    <w:p>
      <w:pPr>
        <w:spacing w:after="0" w:line="213" w:lineRule="auto"/>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458" w:hanging="794"/>
        <w:jc w:val="left"/>
        <w:rPr>
          <w:sz w:val="11"/>
        </w:rPr>
      </w:pPr>
      <w:r>
        <w:rPr>
          <w:spacing w:val="-3"/>
          <w:sz w:val="20"/>
        </w:rPr>
        <w:t>State</w:t>
      </w:r>
      <w:r>
        <w:rPr>
          <w:spacing w:val="-11"/>
          <w:sz w:val="20"/>
        </w:rPr>
        <w:t> </w:t>
      </w:r>
      <w:r>
        <w:rPr>
          <w:sz w:val="20"/>
        </w:rPr>
        <w:t>and</w:t>
      </w:r>
      <w:r>
        <w:rPr>
          <w:spacing w:val="-11"/>
          <w:sz w:val="20"/>
        </w:rPr>
        <w:t> </w:t>
      </w:r>
      <w:r>
        <w:rPr>
          <w:spacing w:val="-3"/>
          <w:sz w:val="20"/>
        </w:rPr>
        <w:t>Commonwealth</w:t>
      </w:r>
      <w:r>
        <w:rPr>
          <w:spacing w:val="-10"/>
          <w:sz w:val="20"/>
        </w:rPr>
        <w:t> </w:t>
      </w:r>
      <w:r>
        <w:rPr>
          <w:sz w:val="20"/>
        </w:rPr>
        <w:t>statutory</w:t>
      </w:r>
      <w:r>
        <w:rPr>
          <w:spacing w:val="-11"/>
          <w:sz w:val="20"/>
        </w:rPr>
        <w:t> </w:t>
      </w:r>
      <w:r>
        <w:rPr>
          <w:sz w:val="20"/>
        </w:rPr>
        <w:t>authorities</w:t>
      </w:r>
      <w:r>
        <w:rPr>
          <w:spacing w:val="-11"/>
          <w:sz w:val="20"/>
        </w:rPr>
        <w:t> </w:t>
      </w:r>
      <w:r>
        <w:rPr>
          <w:sz w:val="20"/>
        </w:rPr>
        <w:t>administer</w:t>
      </w:r>
      <w:r>
        <w:rPr>
          <w:spacing w:val="-10"/>
          <w:sz w:val="20"/>
        </w:rPr>
        <w:t> </w:t>
      </w:r>
      <w:r>
        <w:rPr>
          <w:sz w:val="20"/>
        </w:rPr>
        <w:t>these</w:t>
      </w:r>
      <w:r>
        <w:rPr>
          <w:spacing w:val="-11"/>
          <w:sz w:val="20"/>
        </w:rPr>
        <w:t> </w:t>
      </w:r>
      <w:r>
        <w:rPr>
          <w:sz w:val="20"/>
        </w:rPr>
        <w:t>laws.</w:t>
      </w:r>
      <w:r>
        <w:rPr>
          <w:position w:val="7"/>
          <w:sz w:val="11"/>
        </w:rPr>
        <w:t>32</w:t>
      </w:r>
      <w:r>
        <w:rPr>
          <w:spacing w:val="14"/>
          <w:position w:val="7"/>
          <w:sz w:val="11"/>
        </w:rPr>
        <w:t> </w:t>
      </w:r>
      <w:r>
        <w:rPr>
          <w:sz w:val="20"/>
        </w:rPr>
        <w:t>The</w:t>
      </w:r>
      <w:r>
        <w:rPr>
          <w:spacing w:val="-10"/>
          <w:sz w:val="20"/>
        </w:rPr>
        <w:t> </w:t>
      </w:r>
      <w:r>
        <w:rPr>
          <w:sz w:val="20"/>
        </w:rPr>
        <w:t>Victorian </w:t>
      </w:r>
      <w:r>
        <w:rPr>
          <w:spacing w:val="-3"/>
          <w:sz w:val="20"/>
        </w:rPr>
        <w:t>Equal </w:t>
      </w:r>
      <w:r>
        <w:rPr>
          <w:sz w:val="20"/>
        </w:rPr>
        <w:t>Opportunity and Human Rights Commission (VEOHRC) is responsible for administering</w:t>
      </w:r>
      <w:r>
        <w:rPr>
          <w:spacing w:val="-14"/>
          <w:sz w:val="20"/>
        </w:rPr>
        <w:t> </w:t>
      </w:r>
      <w:r>
        <w:rPr>
          <w:spacing w:val="-3"/>
          <w:sz w:val="20"/>
        </w:rPr>
        <w:t>Victoria’s</w:t>
      </w:r>
      <w:r>
        <w:rPr>
          <w:spacing w:val="-14"/>
          <w:sz w:val="20"/>
        </w:rPr>
        <w:t> </w:t>
      </w:r>
      <w:r>
        <w:rPr>
          <w:sz w:val="20"/>
        </w:rPr>
        <w:t>discrimination</w:t>
      </w:r>
      <w:r>
        <w:rPr>
          <w:spacing w:val="-14"/>
          <w:sz w:val="20"/>
        </w:rPr>
        <w:t> </w:t>
      </w:r>
      <w:r>
        <w:rPr>
          <w:spacing w:val="-3"/>
          <w:sz w:val="20"/>
        </w:rPr>
        <w:t>laws</w:t>
      </w:r>
      <w:r>
        <w:rPr>
          <w:spacing w:val="-14"/>
          <w:sz w:val="20"/>
        </w:rPr>
        <w:t> </w:t>
      </w:r>
      <w:r>
        <w:rPr>
          <w:sz w:val="20"/>
        </w:rPr>
        <w:t>and</w:t>
      </w:r>
      <w:r>
        <w:rPr>
          <w:spacing w:val="-14"/>
          <w:sz w:val="20"/>
        </w:rPr>
        <w:t> </w:t>
      </w:r>
      <w:r>
        <w:rPr>
          <w:sz w:val="20"/>
        </w:rPr>
        <w:t>broader</w:t>
      </w:r>
      <w:r>
        <w:rPr>
          <w:spacing w:val="-14"/>
          <w:sz w:val="20"/>
        </w:rPr>
        <w:t> </w:t>
      </w:r>
      <w:r>
        <w:rPr>
          <w:sz w:val="20"/>
        </w:rPr>
        <w:t>human</w:t>
      </w:r>
      <w:r>
        <w:rPr>
          <w:spacing w:val="-13"/>
          <w:sz w:val="20"/>
        </w:rPr>
        <w:t> </w:t>
      </w:r>
      <w:r>
        <w:rPr>
          <w:sz w:val="20"/>
        </w:rPr>
        <w:t>rights</w:t>
      </w:r>
      <w:r>
        <w:rPr>
          <w:spacing w:val="-14"/>
          <w:sz w:val="20"/>
        </w:rPr>
        <w:t> </w:t>
      </w:r>
      <w:r>
        <w:rPr>
          <w:sz w:val="20"/>
        </w:rPr>
        <w:t>laws,</w:t>
      </w:r>
      <w:r>
        <w:rPr>
          <w:spacing w:val="-14"/>
          <w:sz w:val="20"/>
        </w:rPr>
        <w:t> </w:t>
      </w:r>
      <w:r>
        <w:rPr>
          <w:sz w:val="20"/>
        </w:rPr>
        <w:t>including the</w:t>
      </w:r>
      <w:r>
        <w:rPr>
          <w:spacing w:val="-4"/>
          <w:sz w:val="20"/>
        </w:rPr>
        <w:t> </w:t>
      </w:r>
      <w:r>
        <w:rPr>
          <w:spacing w:val="-3"/>
          <w:sz w:val="20"/>
        </w:rPr>
        <w:t>Charter.</w:t>
      </w:r>
      <w:r>
        <w:rPr>
          <w:spacing w:val="-3"/>
          <w:position w:val="7"/>
          <w:sz w:val="11"/>
        </w:rPr>
        <w:t>33</w:t>
      </w:r>
    </w:p>
    <w:p>
      <w:pPr>
        <w:pStyle w:val="Heading6"/>
        <w:rPr>
          <w:b/>
        </w:rPr>
      </w:pPr>
      <w:r>
        <w:rPr>
          <w:b/>
        </w:rPr>
        <w:t>The Victorian Equal Opportunity Act</w:t>
      </w:r>
    </w:p>
    <w:p>
      <w:pPr>
        <w:pStyle w:val="ListParagraph"/>
        <w:numPr>
          <w:ilvl w:val="1"/>
          <w:numId w:val="12"/>
        </w:numPr>
        <w:tabs>
          <w:tab w:pos="1761" w:val="left" w:leader="none"/>
          <w:tab w:pos="1762" w:val="left" w:leader="none"/>
        </w:tabs>
        <w:spacing w:line="206" w:lineRule="auto" w:before="132" w:after="0"/>
        <w:ind w:left="1761" w:right="1240" w:hanging="794"/>
        <w:jc w:val="left"/>
        <w:rPr>
          <w:sz w:val="11"/>
        </w:rPr>
      </w:pPr>
      <w:r>
        <w:rPr>
          <w:spacing w:val="-3"/>
          <w:sz w:val="20"/>
        </w:rPr>
        <w:t>Victoria’s </w:t>
      </w:r>
      <w:r>
        <w:rPr>
          <w:spacing w:val="-5"/>
          <w:sz w:val="20"/>
        </w:rPr>
        <w:t>EOA </w:t>
      </w:r>
      <w:r>
        <w:rPr>
          <w:spacing w:val="-2"/>
          <w:sz w:val="20"/>
        </w:rPr>
        <w:t>‘protects </w:t>
      </w:r>
      <w:r>
        <w:rPr>
          <w:sz w:val="20"/>
        </w:rPr>
        <w:t>people </w:t>
      </w:r>
      <w:r>
        <w:rPr>
          <w:spacing w:val="-3"/>
          <w:sz w:val="20"/>
        </w:rPr>
        <w:t>from </w:t>
      </w:r>
      <w:r>
        <w:rPr>
          <w:sz w:val="20"/>
        </w:rPr>
        <w:t>discrimination on the basis of their individual attributes</w:t>
      </w:r>
      <w:r>
        <w:rPr>
          <w:spacing w:val="-9"/>
          <w:sz w:val="20"/>
        </w:rPr>
        <w:t> </w:t>
      </w:r>
      <w:r>
        <w:rPr>
          <w:sz w:val="20"/>
        </w:rPr>
        <w:t>in</w:t>
      </w:r>
      <w:r>
        <w:rPr>
          <w:spacing w:val="-9"/>
          <w:sz w:val="20"/>
        </w:rPr>
        <w:t> </w:t>
      </w:r>
      <w:r>
        <w:rPr>
          <w:sz w:val="20"/>
        </w:rPr>
        <w:t>certain</w:t>
      </w:r>
      <w:r>
        <w:rPr>
          <w:spacing w:val="-8"/>
          <w:sz w:val="20"/>
        </w:rPr>
        <w:t> </w:t>
      </w:r>
      <w:r>
        <w:rPr>
          <w:sz w:val="20"/>
        </w:rPr>
        <w:t>areas</w:t>
      </w:r>
      <w:r>
        <w:rPr>
          <w:spacing w:val="-9"/>
          <w:sz w:val="20"/>
        </w:rPr>
        <w:t> </w:t>
      </w:r>
      <w:r>
        <w:rPr>
          <w:sz w:val="20"/>
        </w:rPr>
        <w:t>of</w:t>
      </w:r>
      <w:r>
        <w:rPr>
          <w:spacing w:val="-8"/>
          <w:sz w:val="20"/>
        </w:rPr>
        <w:t> </w:t>
      </w:r>
      <w:r>
        <w:rPr>
          <w:sz w:val="20"/>
        </w:rPr>
        <w:t>public</w:t>
      </w:r>
      <w:r>
        <w:rPr>
          <w:spacing w:val="-9"/>
          <w:sz w:val="20"/>
        </w:rPr>
        <w:t> </w:t>
      </w:r>
      <w:r>
        <w:rPr>
          <w:sz w:val="20"/>
        </w:rPr>
        <w:t>life,</w:t>
      </w:r>
      <w:r>
        <w:rPr>
          <w:spacing w:val="-8"/>
          <w:sz w:val="20"/>
        </w:rPr>
        <w:t> </w:t>
      </w:r>
      <w:r>
        <w:rPr>
          <w:sz w:val="20"/>
        </w:rPr>
        <w:t>and</w:t>
      </w:r>
      <w:r>
        <w:rPr>
          <w:spacing w:val="-9"/>
          <w:sz w:val="20"/>
        </w:rPr>
        <w:t> </w:t>
      </w:r>
      <w:r>
        <w:rPr>
          <w:spacing w:val="-3"/>
          <w:sz w:val="20"/>
        </w:rPr>
        <w:t>provides</w:t>
      </w:r>
      <w:r>
        <w:rPr>
          <w:spacing w:val="-8"/>
          <w:sz w:val="20"/>
        </w:rPr>
        <w:t> </w:t>
      </w:r>
      <w:r>
        <w:rPr>
          <w:spacing w:val="-3"/>
          <w:sz w:val="20"/>
        </w:rPr>
        <w:t>redress</w:t>
      </w:r>
      <w:r>
        <w:rPr>
          <w:spacing w:val="-9"/>
          <w:sz w:val="20"/>
        </w:rPr>
        <w:t> </w:t>
      </w:r>
      <w:r>
        <w:rPr>
          <w:sz w:val="20"/>
        </w:rPr>
        <w:t>for</w:t>
      </w:r>
      <w:r>
        <w:rPr>
          <w:spacing w:val="-8"/>
          <w:sz w:val="20"/>
        </w:rPr>
        <w:t> </w:t>
      </w:r>
      <w:r>
        <w:rPr>
          <w:sz w:val="20"/>
        </w:rPr>
        <w:t>people</w:t>
      </w:r>
      <w:r>
        <w:rPr>
          <w:spacing w:val="-9"/>
          <w:sz w:val="20"/>
        </w:rPr>
        <w:t> </w:t>
      </w:r>
      <w:r>
        <w:rPr>
          <w:sz w:val="20"/>
        </w:rPr>
        <w:t>who</w:t>
      </w:r>
      <w:r>
        <w:rPr>
          <w:spacing w:val="-8"/>
          <w:sz w:val="20"/>
        </w:rPr>
        <w:t> </w:t>
      </w:r>
      <w:r>
        <w:rPr>
          <w:spacing w:val="-4"/>
          <w:sz w:val="20"/>
        </w:rPr>
        <w:t>have</w:t>
      </w:r>
      <w:r>
        <w:rPr>
          <w:spacing w:val="-9"/>
          <w:sz w:val="20"/>
        </w:rPr>
        <w:t> </w:t>
      </w:r>
      <w:r>
        <w:rPr>
          <w:sz w:val="20"/>
        </w:rPr>
        <w:t>been discriminated</w:t>
      </w:r>
      <w:r>
        <w:rPr>
          <w:spacing w:val="-5"/>
          <w:sz w:val="20"/>
        </w:rPr>
        <w:t> </w:t>
      </w:r>
      <w:r>
        <w:rPr>
          <w:sz w:val="20"/>
        </w:rPr>
        <w:t>against’.</w:t>
      </w:r>
      <w:r>
        <w:rPr>
          <w:position w:val="7"/>
          <w:sz w:val="11"/>
        </w:rPr>
        <w:t>34</w:t>
      </w:r>
    </w:p>
    <w:p>
      <w:pPr>
        <w:pStyle w:val="ListParagraph"/>
        <w:numPr>
          <w:ilvl w:val="1"/>
          <w:numId w:val="12"/>
        </w:numPr>
        <w:tabs>
          <w:tab w:pos="1761" w:val="left" w:leader="none"/>
          <w:tab w:pos="1762" w:val="left" w:leader="none"/>
        </w:tabs>
        <w:spacing w:line="206" w:lineRule="auto" w:before="123" w:after="0"/>
        <w:ind w:left="1761" w:right="1243" w:hanging="794"/>
        <w:jc w:val="left"/>
        <w:rPr>
          <w:sz w:val="11"/>
        </w:rPr>
      </w:pPr>
      <w:r>
        <w:rPr>
          <w:sz w:val="20"/>
        </w:rPr>
        <w:t>Disability discrimination is unlawful in employment, education, access to premises used </w:t>
      </w:r>
      <w:r>
        <w:rPr>
          <w:spacing w:val="-3"/>
          <w:sz w:val="20"/>
        </w:rPr>
        <w:t>by </w:t>
      </w:r>
      <w:r>
        <w:rPr>
          <w:sz w:val="20"/>
        </w:rPr>
        <w:t>the public, accommodation, the </w:t>
      </w:r>
      <w:r>
        <w:rPr>
          <w:spacing w:val="-3"/>
          <w:sz w:val="20"/>
        </w:rPr>
        <w:t>provision </w:t>
      </w:r>
      <w:r>
        <w:rPr>
          <w:sz w:val="20"/>
        </w:rPr>
        <w:t>of goods and services and disposal of land, accommodation, clubs and associations, sport, and local government.</w:t>
      </w:r>
      <w:r>
        <w:rPr>
          <w:position w:val="7"/>
          <w:sz w:val="11"/>
        </w:rPr>
        <w:t>35</w:t>
      </w:r>
      <w:r>
        <w:rPr>
          <w:sz w:val="11"/>
        </w:rPr>
        <w:t> </w:t>
      </w:r>
      <w:r>
        <w:rPr>
          <w:spacing w:val="-3"/>
          <w:sz w:val="20"/>
        </w:rPr>
        <w:t>Employers </w:t>
      </w:r>
      <w:r>
        <w:rPr>
          <w:sz w:val="20"/>
        </w:rPr>
        <w:t>and </w:t>
      </w:r>
      <w:r>
        <w:rPr>
          <w:spacing w:val="-3"/>
          <w:sz w:val="20"/>
        </w:rPr>
        <w:t>providers </w:t>
      </w:r>
      <w:r>
        <w:rPr>
          <w:sz w:val="20"/>
        </w:rPr>
        <w:t>of education, goods, services and accommodation </w:t>
      </w:r>
      <w:r>
        <w:rPr>
          <w:spacing w:val="-4"/>
          <w:sz w:val="20"/>
        </w:rPr>
        <w:t>have </w:t>
      </w:r>
      <w:r>
        <w:rPr>
          <w:sz w:val="20"/>
        </w:rPr>
        <w:t>an obligation</w:t>
      </w:r>
      <w:r>
        <w:rPr>
          <w:spacing w:val="-13"/>
          <w:sz w:val="20"/>
        </w:rPr>
        <w:t> </w:t>
      </w:r>
      <w:r>
        <w:rPr>
          <w:sz w:val="20"/>
        </w:rPr>
        <w:t>to</w:t>
      </w:r>
      <w:r>
        <w:rPr>
          <w:spacing w:val="-12"/>
          <w:sz w:val="20"/>
        </w:rPr>
        <w:t> </w:t>
      </w:r>
      <w:r>
        <w:rPr>
          <w:spacing w:val="-3"/>
          <w:sz w:val="20"/>
        </w:rPr>
        <w:t>make</w:t>
      </w:r>
      <w:r>
        <w:rPr>
          <w:spacing w:val="-13"/>
          <w:sz w:val="20"/>
        </w:rPr>
        <w:t> </w:t>
      </w:r>
      <w:r>
        <w:rPr>
          <w:sz w:val="20"/>
        </w:rPr>
        <w:t>reasonable</w:t>
      </w:r>
      <w:r>
        <w:rPr>
          <w:spacing w:val="-12"/>
          <w:sz w:val="20"/>
        </w:rPr>
        <w:t> </w:t>
      </w:r>
      <w:r>
        <w:rPr>
          <w:sz w:val="20"/>
        </w:rPr>
        <w:t>adjustments</w:t>
      </w:r>
      <w:r>
        <w:rPr>
          <w:spacing w:val="-13"/>
          <w:sz w:val="20"/>
        </w:rPr>
        <w:t> </w:t>
      </w:r>
      <w:r>
        <w:rPr>
          <w:sz w:val="20"/>
        </w:rPr>
        <w:t>for</w:t>
      </w:r>
      <w:r>
        <w:rPr>
          <w:spacing w:val="-12"/>
          <w:sz w:val="20"/>
        </w:rPr>
        <w:t> </w:t>
      </w:r>
      <w:r>
        <w:rPr>
          <w:sz w:val="20"/>
        </w:rPr>
        <w:t>people</w:t>
      </w:r>
      <w:r>
        <w:rPr>
          <w:spacing w:val="-13"/>
          <w:sz w:val="20"/>
        </w:rPr>
        <w:t> </w:t>
      </w:r>
      <w:r>
        <w:rPr>
          <w:sz w:val="20"/>
        </w:rPr>
        <w:t>with</w:t>
      </w:r>
      <w:r>
        <w:rPr>
          <w:spacing w:val="-12"/>
          <w:sz w:val="20"/>
        </w:rPr>
        <w:t> </w:t>
      </w:r>
      <w:r>
        <w:rPr>
          <w:sz w:val="20"/>
        </w:rPr>
        <w:t>a</w:t>
      </w:r>
      <w:r>
        <w:rPr>
          <w:spacing w:val="-13"/>
          <w:sz w:val="20"/>
        </w:rPr>
        <w:t> </w:t>
      </w:r>
      <w:r>
        <w:rPr>
          <w:sz w:val="20"/>
        </w:rPr>
        <w:t>disability,</w:t>
      </w:r>
      <w:r>
        <w:rPr>
          <w:spacing w:val="-12"/>
          <w:sz w:val="20"/>
        </w:rPr>
        <w:t> </w:t>
      </w:r>
      <w:r>
        <w:rPr>
          <w:sz w:val="20"/>
        </w:rPr>
        <w:t>so</w:t>
      </w:r>
      <w:r>
        <w:rPr>
          <w:spacing w:val="-13"/>
          <w:sz w:val="20"/>
        </w:rPr>
        <w:t> </w:t>
      </w:r>
      <w:r>
        <w:rPr>
          <w:sz w:val="20"/>
        </w:rPr>
        <w:t>that</w:t>
      </w:r>
      <w:r>
        <w:rPr>
          <w:spacing w:val="-12"/>
          <w:sz w:val="20"/>
        </w:rPr>
        <w:t> </w:t>
      </w:r>
      <w:r>
        <w:rPr>
          <w:sz w:val="20"/>
        </w:rPr>
        <w:t>they</w:t>
      </w:r>
      <w:r>
        <w:rPr>
          <w:spacing w:val="-13"/>
          <w:sz w:val="20"/>
        </w:rPr>
        <w:t> </w:t>
      </w:r>
      <w:r>
        <w:rPr>
          <w:sz w:val="20"/>
        </w:rPr>
        <w:t>can </w:t>
      </w:r>
      <w:r>
        <w:rPr>
          <w:spacing w:val="-4"/>
          <w:sz w:val="20"/>
        </w:rPr>
        <w:t>have</w:t>
      </w:r>
      <w:r>
        <w:rPr>
          <w:spacing w:val="-7"/>
          <w:sz w:val="20"/>
        </w:rPr>
        <w:t> </w:t>
      </w:r>
      <w:r>
        <w:rPr>
          <w:sz w:val="20"/>
        </w:rPr>
        <w:t>equal</w:t>
      </w:r>
      <w:r>
        <w:rPr>
          <w:spacing w:val="-6"/>
          <w:sz w:val="20"/>
        </w:rPr>
        <w:t> </w:t>
      </w:r>
      <w:r>
        <w:rPr>
          <w:sz w:val="20"/>
        </w:rPr>
        <w:t>enjoyment</w:t>
      </w:r>
      <w:r>
        <w:rPr>
          <w:spacing w:val="-6"/>
          <w:sz w:val="20"/>
        </w:rPr>
        <w:t> </w:t>
      </w:r>
      <w:r>
        <w:rPr>
          <w:sz w:val="20"/>
        </w:rPr>
        <w:t>and</w:t>
      </w:r>
      <w:r>
        <w:rPr>
          <w:spacing w:val="-7"/>
          <w:sz w:val="20"/>
        </w:rPr>
        <w:t> </w:t>
      </w:r>
      <w:r>
        <w:rPr>
          <w:sz w:val="20"/>
        </w:rPr>
        <w:t>access</w:t>
      </w:r>
      <w:r>
        <w:rPr>
          <w:spacing w:val="-6"/>
          <w:sz w:val="20"/>
        </w:rPr>
        <w:t> </w:t>
      </w:r>
      <w:r>
        <w:rPr>
          <w:sz w:val="20"/>
        </w:rPr>
        <w:t>to</w:t>
      </w:r>
      <w:r>
        <w:rPr>
          <w:spacing w:val="-6"/>
          <w:sz w:val="20"/>
        </w:rPr>
        <w:t> </w:t>
      </w:r>
      <w:r>
        <w:rPr>
          <w:sz w:val="20"/>
        </w:rPr>
        <w:t>services,</w:t>
      </w:r>
      <w:r>
        <w:rPr>
          <w:spacing w:val="-6"/>
          <w:sz w:val="20"/>
        </w:rPr>
        <w:t> </w:t>
      </w:r>
      <w:r>
        <w:rPr>
          <w:sz w:val="20"/>
        </w:rPr>
        <w:t>accommodation</w:t>
      </w:r>
      <w:r>
        <w:rPr>
          <w:spacing w:val="-7"/>
          <w:sz w:val="20"/>
        </w:rPr>
        <w:t> </w:t>
      </w:r>
      <w:r>
        <w:rPr>
          <w:sz w:val="20"/>
        </w:rPr>
        <w:t>and</w:t>
      </w:r>
      <w:r>
        <w:rPr>
          <w:spacing w:val="-6"/>
          <w:sz w:val="20"/>
        </w:rPr>
        <w:t> </w:t>
      </w:r>
      <w:r>
        <w:rPr>
          <w:sz w:val="20"/>
        </w:rPr>
        <w:t>work.</w:t>
      </w:r>
      <w:r>
        <w:rPr>
          <w:position w:val="7"/>
          <w:sz w:val="11"/>
        </w:rPr>
        <w:t>36</w:t>
      </w:r>
    </w:p>
    <w:p>
      <w:pPr>
        <w:pStyle w:val="Heading6"/>
        <w:spacing w:before="133"/>
        <w:rPr>
          <w:b/>
        </w:rPr>
      </w:pPr>
      <w:r>
        <w:rPr>
          <w:b/>
        </w:rPr>
        <w:t>Victorian Charter of Human Rights and Responsibilities</w:t>
      </w:r>
    </w:p>
    <w:p>
      <w:pPr>
        <w:pStyle w:val="ListParagraph"/>
        <w:numPr>
          <w:ilvl w:val="1"/>
          <w:numId w:val="12"/>
        </w:numPr>
        <w:tabs>
          <w:tab w:pos="1761" w:val="left" w:leader="none"/>
          <w:tab w:pos="1762" w:val="left" w:leader="none"/>
        </w:tabs>
        <w:spacing w:line="206" w:lineRule="auto" w:before="131" w:after="0"/>
        <w:ind w:left="1761" w:right="1220" w:hanging="794"/>
        <w:jc w:val="left"/>
        <w:rPr>
          <w:sz w:val="11"/>
        </w:rPr>
      </w:pPr>
      <w:r>
        <w:rPr>
          <w:sz w:val="20"/>
        </w:rPr>
        <w:t>The Charter establishes a legislative </w:t>
      </w:r>
      <w:r>
        <w:rPr>
          <w:spacing w:val="-3"/>
          <w:sz w:val="20"/>
        </w:rPr>
        <w:t>framework </w:t>
      </w:r>
      <w:r>
        <w:rPr>
          <w:sz w:val="20"/>
        </w:rPr>
        <w:t>for the protection and promotion of human rights in Victoria. It </w:t>
      </w:r>
      <w:r>
        <w:rPr>
          <w:spacing w:val="-3"/>
          <w:sz w:val="20"/>
        </w:rPr>
        <w:t>gives </w:t>
      </w:r>
      <w:r>
        <w:rPr>
          <w:sz w:val="20"/>
        </w:rPr>
        <w:t>statutory recognition to civil and political rights and freedoms</w:t>
      </w:r>
      <w:r>
        <w:rPr>
          <w:spacing w:val="-15"/>
          <w:sz w:val="20"/>
        </w:rPr>
        <w:t> </w:t>
      </w:r>
      <w:r>
        <w:rPr>
          <w:sz w:val="20"/>
        </w:rPr>
        <w:t>primarily</w:t>
      </w:r>
      <w:r>
        <w:rPr>
          <w:spacing w:val="-14"/>
          <w:sz w:val="20"/>
        </w:rPr>
        <w:t> </w:t>
      </w:r>
      <w:r>
        <w:rPr>
          <w:sz w:val="20"/>
        </w:rPr>
        <w:t>derived</w:t>
      </w:r>
      <w:r>
        <w:rPr>
          <w:spacing w:val="-15"/>
          <w:sz w:val="20"/>
        </w:rPr>
        <w:t> </w:t>
      </w:r>
      <w:r>
        <w:rPr>
          <w:spacing w:val="-3"/>
          <w:sz w:val="20"/>
        </w:rPr>
        <w:t>from</w:t>
      </w:r>
      <w:r>
        <w:rPr>
          <w:spacing w:val="-14"/>
          <w:sz w:val="20"/>
        </w:rPr>
        <w:t> </w:t>
      </w:r>
      <w:r>
        <w:rPr>
          <w:sz w:val="20"/>
        </w:rPr>
        <w:t>the</w:t>
      </w:r>
      <w:r>
        <w:rPr>
          <w:spacing w:val="-14"/>
          <w:sz w:val="20"/>
        </w:rPr>
        <w:t> </w:t>
      </w:r>
      <w:r>
        <w:rPr>
          <w:i/>
          <w:sz w:val="20"/>
        </w:rPr>
        <w:t>International</w:t>
      </w:r>
      <w:r>
        <w:rPr>
          <w:i/>
          <w:spacing w:val="-14"/>
          <w:sz w:val="20"/>
        </w:rPr>
        <w:t> </w:t>
      </w:r>
      <w:r>
        <w:rPr>
          <w:i/>
          <w:sz w:val="20"/>
        </w:rPr>
        <w:t>Covenant</w:t>
      </w:r>
      <w:r>
        <w:rPr>
          <w:i/>
          <w:spacing w:val="-15"/>
          <w:sz w:val="20"/>
        </w:rPr>
        <w:t> </w:t>
      </w:r>
      <w:r>
        <w:rPr>
          <w:i/>
          <w:sz w:val="20"/>
        </w:rPr>
        <w:t>on</w:t>
      </w:r>
      <w:r>
        <w:rPr>
          <w:i/>
          <w:spacing w:val="-14"/>
          <w:sz w:val="20"/>
        </w:rPr>
        <w:t> </w:t>
      </w:r>
      <w:r>
        <w:rPr>
          <w:i/>
          <w:sz w:val="20"/>
        </w:rPr>
        <w:t>Civil</w:t>
      </w:r>
      <w:r>
        <w:rPr>
          <w:i/>
          <w:spacing w:val="-14"/>
          <w:sz w:val="20"/>
        </w:rPr>
        <w:t> </w:t>
      </w:r>
      <w:r>
        <w:rPr>
          <w:i/>
          <w:sz w:val="20"/>
        </w:rPr>
        <w:t>and</w:t>
      </w:r>
      <w:r>
        <w:rPr>
          <w:i/>
          <w:spacing w:val="-14"/>
          <w:sz w:val="20"/>
        </w:rPr>
        <w:t> </w:t>
      </w:r>
      <w:r>
        <w:rPr>
          <w:i/>
          <w:sz w:val="20"/>
        </w:rPr>
        <w:t>Political</w:t>
      </w:r>
      <w:r>
        <w:rPr>
          <w:i/>
          <w:spacing w:val="-14"/>
          <w:sz w:val="20"/>
        </w:rPr>
        <w:t> </w:t>
      </w:r>
      <w:r>
        <w:rPr>
          <w:i/>
          <w:sz w:val="20"/>
        </w:rPr>
        <w:t>Rights</w:t>
      </w:r>
      <w:r>
        <w:rPr>
          <w:sz w:val="20"/>
        </w:rPr>
        <w:t>.</w:t>
      </w:r>
      <w:r>
        <w:rPr>
          <w:position w:val="7"/>
          <w:sz w:val="11"/>
        </w:rPr>
        <w:t>37</w:t>
      </w:r>
    </w:p>
    <w:p>
      <w:pPr>
        <w:pStyle w:val="ListParagraph"/>
        <w:numPr>
          <w:ilvl w:val="1"/>
          <w:numId w:val="12"/>
        </w:numPr>
        <w:tabs>
          <w:tab w:pos="1761" w:val="left" w:leader="none"/>
          <w:tab w:pos="1762" w:val="left" w:leader="none"/>
        </w:tabs>
        <w:spacing w:line="206" w:lineRule="auto" w:before="124" w:after="0"/>
        <w:ind w:left="1761" w:right="1305" w:hanging="794"/>
        <w:jc w:val="left"/>
        <w:rPr>
          <w:sz w:val="20"/>
        </w:rPr>
      </w:pPr>
      <w:r>
        <w:rPr>
          <w:sz w:val="20"/>
        </w:rPr>
        <w:t>The</w:t>
      </w:r>
      <w:r>
        <w:rPr>
          <w:spacing w:val="-9"/>
          <w:sz w:val="20"/>
        </w:rPr>
        <w:t> </w:t>
      </w:r>
      <w:r>
        <w:rPr>
          <w:sz w:val="20"/>
        </w:rPr>
        <w:t>Charter</w:t>
      </w:r>
      <w:r>
        <w:rPr>
          <w:spacing w:val="-8"/>
          <w:sz w:val="20"/>
        </w:rPr>
        <w:t> </w:t>
      </w:r>
      <w:r>
        <w:rPr>
          <w:sz w:val="20"/>
        </w:rPr>
        <w:t>sets</w:t>
      </w:r>
      <w:r>
        <w:rPr>
          <w:spacing w:val="-9"/>
          <w:sz w:val="20"/>
        </w:rPr>
        <w:t> </w:t>
      </w:r>
      <w:r>
        <w:rPr>
          <w:sz w:val="20"/>
        </w:rPr>
        <w:t>out</w:t>
      </w:r>
      <w:r>
        <w:rPr>
          <w:spacing w:val="-8"/>
          <w:sz w:val="20"/>
        </w:rPr>
        <w:t> </w:t>
      </w:r>
      <w:r>
        <w:rPr>
          <w:sz w:val="20"/>
        </w:rPr>
        <w:t>20</w:t>
      </w:r>
      <w:r>
        <w:rPr>
          <w:spacing w:val="-8"/>
          <w:sz w:val="20"/>
        </w:rPr>
        <w:t> </w:t>
      </w:r>
      <w:r>
        <w:rPr>
          <w:sz w:val="20"/>
        </w:rPr>
        <w:t>basic</w:t>
      </w:r>
      <w:r>
        <w:rPr>
          <w:spacing w:val="-9"/>
          <w:sz w:val="20"/>
        </w:rPr>
        <w:t> </w:t>
      </w:r>
      <w:r>
        <w:rPr>
          <w:sz w:val="20"/>
        </w:rPr>
        <w:t>rights</w:t>
      </w:r>
      <w:r>
        <w:rPr>
          <w:spacing w:val="-8"/>
          <w:sz w:val="20"/>
        </w:rPr>
        <w:t> </w:t>
      </w:r>
      <w:r>
        <w:rPr>
          <w:sz w:val="20"/>
        </w:rPr>
        <w:t>which</w:t>
      </w:r>
      <w:r>
        <w:rPr>
          <w:spacing w:val="-8"/>
          <w:sz w:val="20"/>
        </w:rPr>
        <w:t> </w:t>
      </w:r>
      <w:r>
        <w:rPr>
          <w:spacing w:val="-3"/>
          <w:sz w:val="20"/>
        </w:rPr>
        <w:t>promote</w:t>
      </w:r>
      <w:r>
        <w:rPr>
          <w:spacing w:val="-9"/>
          <w:sz w:val="20"/>
        </w:rPr>
        <w:t> </w:t>
      </w:r>
      <w:r>
        <w:rPr>
          <w:sz w:val="20"/>
        </w:rPr>
        <w:t>and</w:t>
      </w:r>
      <w:r>
        <w:rPr>
          <w:spacing w:val="-8"/>
          <w:sz w:val="20"/>
        </w:rPr>
        <w:t> </w:t>
      </w:r>
      <w:r>
        <w:rPr>
          <w:spacing w:val="-3"/>
          <w:sz w:val="20"/>
        </w:rPr>
        <w:t>protect</w:t>
      </w:r>
      <w:r>
        <w:rPr>
          <w:spacing w:val="-9"/>
          <w:sz w:val="20"/>
        </w:rPr>
        <w:t> </w:t>
      </w:r>
      <w:r>
        <w:rPr>
          <w:sz w:val="20"/>
        </w:rPr>
        <w:t>the</w:t>
      </w:r>
      <w:r>
        <w:rPr>
          <w:spacing w:val="-8"/>
          <w:sz w:val="20"/>
        </w:rPr>
        <w:t> </w:t>
      </w:r>
      <w:r>
        <w:rPr>
          <w:sz w:val="20"/>
        </w:rPr>
        <w:t>values</w:t>
      </w:r>
      <w:r>
        <w:rPr>
          <w:spacing w:val="-8"/>
          <w:sz w:val="20"/>
        </w:rPr>
        <w:t> </w:t>
      </w:r>
      <w:r>
        <w:rPr>
          <w:sz w:val="20"/>
        </w:rPr>
        <w:t>of</w:t>
      </w:r>
      <w:r>
        <w:rPr>
          <w:spacing w:val="-9"/>
          <w:sz w:val="20"/>
        </w:rPr>
        <w:t> </w:t>
      </w:r>
      <w:r>
        <w:rPr>
          <w:sz w:val="20"/>
        </w:rPr>
        <w:t>freedom, respect, equality and dignity.</w:t>
      </w:r>
      <w:r>
        <w:rPr>
          <w:position w:val="7"/>
          <w:sz w:val="11"/>
        </w:rPr>
        <w:t>38 </w:t>
      </w:r>
      <w:r>
        <w:rPr>
          <w:spacing w:val="-4"/>
          <w:sz w:val="20"/>
        </w:rPr>
        <w:t>Key </w:t>
      </w:r>
      <w:r>
        <w:rPr>
          <w:sz w:val="20"/>
        </w:rPr>
        <w:t>rights for the purposes of this report include the right</w:t>
      </w:r>
      <w:r>
        <w:rPr>
          <w:spacing w:val="-5"/>
          <w:sz w:val="20"/>
        </w:rPr>
        <w:t> </w:t>
      </w:r>
      <w:r>
        <w:rPr>
          <w:spacing w:val="-4"/>
          <w:sz w:val="20"/>
        </w:rPr>
        <w:t>to:</w:t>
      </w:r>
    </w:p>
    <w:p>
      <w:pPr>
        <w:pStyle w:val="ListParagraph"/>
        <w:numPr>
          <w:ilvl w:val="2"/>
          <w:numId w:val="12"/>
        </w:numPr>
        <w:tabs>
          <w:tab w:pos="2157" w:val="left" w:leader="none"/>
          <w:tab w:pos="2158" w:val="left" w:leader="none"/>
        </w:tabs>
        <w:spacing w:line="240" w:lineRule="auto" w:before="92" w:after="0"/>
        <w:ind w:left="2157" w:right="0" w:hanging="396"/>
        <w:jc w:val="left"/>
        <w:rPr>
          <w:sz w:val="11"/>
        </w:rPr>
      </w:pPr>
      <w:r>
        <w:rPr>
          <w:sz w:val="20"/>
        </w:rPr>
        <w:t>recognition</w:t>
      </w:r>
      <w:r>
        <w:rPr>
          <w:spacing w:val="-6"/>
          <w:sz w:val="20"/>
        </w:rPr>
        <w:t> </w:t>
      </w:r>
      <w:r>
        <w:rPr>
          <w:sz w:val="20"/>
        </w:rPr>
        <w:t>and</w:t>
      </w:r>
      <w:r>
        <w:rPr>
          <w:spacing w:val="-5"/>
          <w:sz w:val="20"/>
        </w:rPr>
        <w:t> </w:t>
      </w:r>
      <w:r>
        <w:rPr>
          <w:sz w:val="20"/>
        </w:rPr>
        <w:t>equality</w:t>
      </w:r>
      <w:r>
        <w:rPr>
          <w:spacing w:val="-6"/>
          <w:sz w:val="20"/>
        </w:rPr>
        <w:t> </w:t>
      </w:r>
      <w:r>
        <w:rPr>
          <w:spacing w:val="-3"/>
          <w:sz w:val="20"/>
        </w:rPr>
        <w:t>before</w:t>
      </w:r>
      <w:r>
        <w:rPr>
          <w:spacing w:val="-5"/>
          <w:sz w:val="20"/>
        </w:rPr>
        <w:t> </w:t>
      </w:r>
      <w:r>
        <w:rPr>
          <w:sz w:val="20"/>
        </w:rPr>
        <w:t>the</w:t>
      </w:r>
      <w:r>
        <w:rPr>
          <w:spacing w:val="-6"/>
          <w:sz w:val="20"/>
        </w:rPr>
        <w:t> </w:t>
      </w:r>
      <w:r>
        <w:rPr>
          <w:spacing w:val="-5"/>
          <w:sz w:val="20"/>
        </w:rPr>
        <w:t>law, </w:t>
      </w:r>
      <w:r>
        <w:rPr>
          <w:sz w:val="20"/>
        </w:rPr>
        <w:t>and</w:t>
      </w:r>
      <w:r>
        <w:rPr>
          <w:spacing w:val="-6"/>
          <w:sz w:val="20"/>
        </w:rPr>
        <w:t> </w:t>
      </w:r>
      <w:r>
        <w:rPr>
          <w:sz w:val="20"/>
        </w:rPr>
        <w:t>protection</w:t>
      </w:r>
      <w:r>
        <w:rPr>
          <w:spacing w:val="-5"/>
          <w:sz w:val="20"/>
        </w:rPr>
        <w:t> </w:t>
      </w:r>
      <w:r>
        <w:rPr>
          <w:spacing w:val="-3"/>
          <w:sz w:val="20"/>
        </w:rPr>
        <w:t>from</w:t>
      </w:r>
      <w:r>
        <w:rPr>
          <w:spacing w:val="-6"/>
          <w:sz w:val="20"/>
        </w:rPr>
        <w:t> </w:t>
      </w:r>
      <w:r>
        <w:rPr>
          <w:sz w:val="20"/>
        </w:rPr>
        <w:t>discrimination</w:t>
      </w:r>
      <w:r>
        <w:rPr>
          <w:position w:val="7"/>
          <w:sz w:val="11"/>
        </w:rPr>
        <w:t>39</w:t>
      </w:r>
    </w:p>
    <w:p>
      <w:pPr>
        <w:pStyle w:val="ListParagraph"/>
        <w:numPr>
          <w:ilvl w:val="2"/>
          <w:numId w:val="12"/>
        </w:numPr>
        <w:tabs>
          <w:tab w:pos="2157" w:val="left" w:leader="none"/>
          <w:tab w:pos="2158" w:val="left" w:leader="none"/>
        </w:tabs>
        <w:spacing w:line="240" w:lineRule="auto" w:before="47" w:after="0"/>
        <w:ind w:left="2157" w:right="0" w:hanging="396"/>
        <w:jc w:val="left"/>
        <w:rPr>
          <w:sz w:val="11"/>
        </w:rPr>
      </w:pPr>
      <w:r>
        <w:rPr>
          <w:sz w:val="20"/>
        </w:rPr>
        <w:t>take part in public</w:t>
      </w:r>
      <w:r>
        <w:rPr>
          <w:spacing w:val="-17"/>
          <w:sz w:val="20"/>
        </w:rPr>
        <w:t> </w:t>
      </w:r>
      <w:r>
        <w:rPr>
          <w:sz w:val="20"/>
        </w:rPr>
        <w:t>life</w:t>
      </w:r>
      <w:r>
        <w:rPr>
          <w:position w:val="7"/>
          <w:sz w:val="11"/>
        </w:rPr>
        <w:t>40</w:t>
      </w:r>
    </w:p>
    <w:p>
      <w:pPr>
        <w:pStyle w:val="ListParagraph"/>
        <w:numPr>
          <w:ilvl w:val="2"/>
          <w:numId w:val="12"/>
        </w:numPr>
        <w:tabs>
          <w:tab w:pos="2157" w:val="left" w:leader="none"/>
          <w:tab w:pos="2158" w:val="left" w:leader="none"/>
        </w:tabs>
        <w:spacing w:line="240" w:lineRule="auto" w:before="48" w:after="0"/>
        <w:ind w:left="2157" w:right="0" w:hanging="396"/>
        <w:jc w:val="left"/>
        <w:rPr>
          <w:sz w:val="11"/>
        </w:rPr>
      </w:pPr>
      <w:r>
        <w:rPr>
          <w:sz w:val="20"/>
        </w:rPr>
        <w:t>a fair</w:t>
      </w:r>
      <w:r>
        <w:rPr>
          <w:spacing w:val="-8"/>
          <w:sz w:val="20"/>
        </w:rPr>
        <w:t> </w:t>
      </w:r>
      <w:r>
        <w:rPr>
          <w:sz w:val="20"/>
        </w:rPr>
        <w:t>hearing.</w:t>
      </w:r>
      <w:r>
        <w:rPr>
          <w:position w:val="7"/>
          <w:sz w:val="11"/>
        </w:rPr>
        <w:t>41</w:t>
      </w:r>
    </w:p>
    <w:p>
      <w:pPr>
        <w:pStyle w:val="ListParagraph"/>
        <w:numPr>
          <w:ilvl w:val="1"/>
          <w:numId w:val="12"/>
        </w:numPr>
        <w:tabs>
          <w:tab w:pos="1761" w:val="left" w:leader="none"/>
          <w:tab w:pos="1762" w:val="left" w:leader="none"/>
        </w:tabs>
        <w:spacing w:line="206" w:lineRule="auto" w:before="79" w:after="0"/>
        <w:ind w:left="1761" w:right="1488" w:hanging="794"/>
        <w:jc w:val="left"/>
        <w:rPr>
          <w:sz w:val="20"/>
        </w:rPr>
      </w:pPr>
      <w:r>
        <w:rPr>
          <w:sz w:val="20"/>
        </w:rPr>
        <w:t>The Charter adopts a ‘dialogue model’ of human rights protection in which the government,</w:t>
      </w:r>
      <w:r>
        <w:rPr>
          <w:spacing w:val="-13"/>
          <w:sz w:val="20"/>
        </w:rPr>
        <w:t> </w:t>
      </w:r>
      <w:r>
        <w:rPr>
          <w:sz w:val="20"/>
        </w:rPr>
        <w:t>courts</w:t>
      </w:r>
      <w:r>
        <w:rPr>
          <w:spacing w:val="-12"/>
          <w:sz w:val="20"/>
        </w:rPr>
        <w:t> </w:t>
      </w:r>
      <w:r>
        <w:rPr>
          <w:sz w:val="20"/>
        </w:rPr>
        <w:t>and</w:t>
      </w:r>
      <w:r>
        <w:rPr>
          <w:spacing w:val="-12"/>
          <w:sz w:val="20"/>
        </w:rPr>
        <w:t> </w:t>
      </w:r>
      <w:r>
        <w:rPr>
          <w:sz w:val="20"/>
        </w:rPr>
        <w:t>parliament</w:t>
      </w:r>
      <w:r>
        <w:rPr>
          <w:spacing w:val="-13"/>
          <w:sz w:val="20"/>
        </w:rPr>
        <w:t> </w:t>
      </w:r>
      <w:r>
        <w:rPr>
          <w:spacing w:val="-3"/>
          <w:sz w:val="20"/>
        </w:rPr>
        <w:t>are</w:t>
      </w:r>
      <w:r>
        <w:rPr>
          <w:spacing w:val="-12"/>
          <w:sz w:val="20"/>
        </w:rPr>
        <w:t> </w:t>
      </w:r>
      <w:r>
        <w:rPr>
          <w:sz w:val="20"/>
        </w:rPr>
        <w:t>assigned</w:t>
      </w:r>
      <w:r>
        <w:rPr>
          <w:spacing w:val="-12"/>
          <w:sz w:val="20"/>
        </w:rPr>
        <w:t> </w:t>
      </w:r>
      <w:r>
        <w:rPr>
          <w:sz w:val="20"/>
        </w:rPr>
        <w:t>specific</w:t>
      </w:r>
      <w:r>
        <w:rPr>
          <w:spacing w:val="-12"/>
          <w:sz w:val="20"/>
        </w:rPr>
        <w:t> </w:t>
      </w:r>
      <w:r>
        <w:rPr>
          <w:spacing w:val="-3"/>
          <w:sz w:val="20"/>
        </w:rPr>
        <w:t>roles</w:t>
      </w:r>
      <w:r>
        <w:rPr>
          <w:spacing w:val="-13"/>
          <w:sz w:val="20"/>
        </w:rPr>
        <w:t> </w:t>
      </w:r>
      <w:r>
        <w:rPr>
          <w:sz w:val="20"/>
        </w:rPr>
        <w:t>to</w:t>
      </w:r>
      <w:r>
        <w:rPr>
          <w:spacing w:val="-12"/>
          <w:sz w:val="20"/>
        </w:rPr>
        <w:t> </w:t>
      </w:r>
      <w:r>
        <w:rPr>
          <w:sz w:val="20"/>
        </w:rPr>
        <w:t>ensure</w:t>
      </w:r>
      <w:r>
        <w:rPr>
          <w:spacing w:val="-12"/>
          <w:sz w:val="20"/>
        </w:rPr>
        <w:t> </w:t>
      </w:r>
      <w:r>
        <w:rPr>
          <w:sz w:val="20"/>
        </w:rPr>
        <w:t>that</w:t>
      </w:r>
      <w:r>
        <w:rPr>
          <w:spacing w:val="-12"/>
          <w:sz w:val="20"/>
        </w:rPr>
        <w:t> </w:t>
      </w:r>
      <w:r>
        <w:rPr>
          <w:sz w:val="20"/>
        </w:rPr>
        <w:t>human rights</w:t>
      </w:r>
      <w:r>
        <w:rPr>
          <w:spacing w:val="-6"/>
          <w:sz w:val="20"/>
        </w:rPr>
        <w:t> </w:t>
      </w:r>
      <w:r>
        <w:rPr>
          <w:spacing w:val="-3"/>
          <w:sz w:val="20"/>
        </w:rPr>
        <w:t>are</w:t>
      </w:r>
      <w:r>
        <w:rPr>
          <w:spacing w:val="-6"/>
          <w:sz w:val="20"/>
        </w:rPr>
        <w:t> </w:t>
      </w:r>
      <w:r>
        <w:rPr>
          <w:spacing w:val="-3"/>
          <w:sz w:val="20"/>
        </w:rPr>
        <w:t>protected</w:t>
      </w:r>
      <w:r>
        <w:rPr>
          <w:spacing w:val="-6"/>
          <w:sz w:val="20"/>
        </w:rPr>
        <w:t> </w:t>
      </w:r>
      <w:r>
        <w:rPr>
          <w:sz w:val="20"/>
        </w:rPr>
        <w:t>and</w:t>
      </w:r>
      <w:r>
        <w:rPr>
          <w:spacing w:val="-6"/>
          <w:sz w:val="20"/>
        </w:rPr>
        <w:t> </w:t>
      </w:r>
      <w:r>
        <w:rPr>
          <w:sz w:val="20"/>
        </w:rPr>
        <w:t>promoted</w:t>
      </w:r>
      <w:r>
        <w:rPr>
          <w:spacing w:val="-6"/>
          <w:sz w:val="20"/>
        </w:rPr>
        <w:t> </w:t>
      </w:r>
      <w:r>
        <w:rPr>
          <w:sz w:val="20"/>
        </w:rPr>
        <w:t>in</w:t>
      </w:r>
      <w:r>
        <w:rPr>
          <w:spacing w:val="-5"/>
          <w:sz w:val="20"/>
        </w:rPr>
        <w:t> </w:t>
      </w:r>
      <w:r>
        <w:rPr>
          <w:sz w:val="20"/>
        </w:rPr>
        <w:t>Victoria.</w:t>
      </w:r>
      <w:r>
        <w:rPr>
          <w:position w:val="7"/>
          <w:sz w:val="11"/>
        </w:rPr>
        <w:t>42</w:t>
      </w:r>
      <w:r>
        <w:rPr>
          <w:spacing w:val="19"/>
          <w:position w:val="7"/>
          <w:sz w:val="11"/>
        </w:rPr>
        <w:t> </w:t>
      </w:r>
      <w:r>
        <w:rPr>
          <w:sz w:val="20"/>
        </w:rPr>
        <w:t>It</w:t>
      </w:r>
      <w:r>
        <w:rPr>
          <w:spacing w:val="-6"/>
          <w:sz w:val="20"/>
        </w:rPr>
        <w:t> </w:t>
      </w:r>
      <w:r>
        <w:rPr>
          <w:sz w:val="20"/>
        </w:rPr>
        <w:t>operates</w:t>
      </w:r>
      <w:r>
        <w:rPr>
          <w:spacing w:val="-6"/>
          <w:sz w:val="20"/>
        </w:rPr>
        <w:t> </w:t>
      </w:r>
      <w:r>
        <w:rPr>
          <w:sz w:val="20"/>
        </w:rPr>
        <w:t>in</w:t>
      </w:r>
      <w:r>
        <w:rPr>
          <w:spacing w:val="-6"/>
          <w:sz w:val="20"/>
        </w:rPr>
        <w:t> </w:t>
      </w:r>
      <w:r>
        <w:rPr>
          <w:sz w:val="20"/>
        </w:rPr>
        <w:t>three</w:t>
      </w:r>
      <w:r>
        <w:rPr>
          <w:spacing w:val="-6"/>
          <w:sz w:val="20"/>
        </w:rPr>
        <w:t> </w:t>
      </w:r>
      <w:r>
        <w:rPr>
          <w:sz w:val="20"/>
        </w:rPr>
        <w:t>main</w:t>
      </w:r>
      <w:r>
        <w:rPr>
          <w:spacing w:val="-5"/>
          <w:sz w:val="20"/>
        </w:rPr>
        <w:t> </w:t>
      </w:r>
      <w:r>
        <w:rPr>
          <w:spacing w:val="-4"/>
          <w:sz w:val="20"/>
        </w:rPr>
        <w:t>ways:</w:t>
      </w:r>
    </w:p>
    <w:p>
      <w:pPr>
        <w:pStyle w:val="ListParagraph"/>
        <w:numPr>
          <w:ilvl w:val="2"/>
          <w:numId w:val="12"/>
        </w:numPr>
        <w:tabs>
          <w:tab w:pos="2158" w:val="left" w:leader="none"/>
        </w:tabs>
        <w:spacing w:line="206" w:lineRule="auto" w:before="124" w:after="0"/>
        <w:ind w:left="2157" w:right="1263" w:hanging="396"/>
        <w:jc w:val="both"/>
        <w:rPr>
          <w:sz w:val="20"/>
        </w:rPr>
      </w:pPr>
      <w:r>
        <w:rPr>
          <w:sz w:val="20"/>
        </w:rPr>
        <w:t>Public</w:t>
      </w:r>
      <w:r>
        <w:rPr>
          <w:spacing w:val="-13"/>
          <w:sz w:val="20"/>
        </w:rPr>
        <w:t> </w:t>
      </w:r>
      <w:r>
        <w:rPr>
          <w:sz w:val="20"/>
        </w:rPr>
        <w:t>authorities,</w:t>
      </w:r>
      <w:r>
        <w:rPr>
          <w:spacing w:val="-12"/>
          <w:sz w:val="20"/>
        </w:rPr>
        <w:t> </w:t>
      </w:r>
      <w:r>
        <w:rPr>
          <w:sz w:val="20"/>
        </w:rPr>
        <w:t>including</w:t>
      </w:r>
      <w:r>
        <w:rPr>
          <w:spacing w:val="-12"/>
          <w:sz w:val="20"/>
        </w:rPr>
        <w:t> </w:t>
      </w:r>
      <w:r>
        <w:rPr>
          <w:sz w:val="20"/>
        </w:rPr>
        <w:t>local</w:t>
      </w:r>
      <w:r>
        <w:rPr>
          <w:spacing w:val="-12"/>
          <w:sz w:val="20"/>
        </w:rPr>
        <w:t> </w:t>
      </w:r>
      <w:r>
        <w:rPr>
          <w:spacing w:val="-3"/>
          <w:sz w:val="20"/>
        </w:rPr>
        <w:t>government</w:t>
      </w:r>
      <w:r>
        <w:rPr>
          <w:spacing w:val="-13"/>
          <w:sz w:val="20"/>
        </w:rPr>
        <w:t> </w:t>
      </w:r>
      <w:r>
        <w:rPr>
          <w:sz w:val="20"/>
        </w:rPr>
        <w:t>and</w:t>
      </w:r>
      <w:r>
        <w:rPr>
          <w:spacing w:val="-12"/>
          <w:sz w:val="20"/>
        </w:rPr>
        <w:t> </w:t>
      </w:r>
      <w:r>
        <w:rPr>
          <w:sz w:val="20"/>
        </w:rPr>
        <w:t>Victoria</w:t>
      </w:r>
      <w:r>
        <w:rPr>
          <w:spacing w:val="-12"/>
          <w:sz w:val="20"/>
        </w:rPr>
        <w:t> </w:t>
      </w:r>
      <w:r>
        <w:rPr>
          <w:sz w:val="20"/>
        </w:rPr>
        <w:t>Police,</w:t>
      </w:r>
      <w:r>
        <w:rPr>
          <w:spacing w:val="-12"/>
          <w:sz w:val="20"/>
        </w:rPr>
        <w:t> </w:t>
      </w:r>
      <w:r>
        <w:rPr>
          <w:sz w:val="20"/>
        </w:rPr>
        <w:t>must</w:t>
      </w:r>
      <w:r>
        <w:rPr>
          <w:spacing w:val="-13"/>
          <w:sz w:val="20"/>
        </w:rPr>
        <w:t> </w:t>
      </w:r>
      <w:r>
        <w:rPr>
          <w:sz w:val="20"/>
        </w:rPr>
        <w:t>act</w:t>
      </w:r>
      <w:r>
        <w:rPr>
          <w:spacing w:val="-12"/>
          <w:sz w:val="20"/>
        </w:rPr>
        <w:t> </w:t>
      </w:r>
      <w:r>
        <w:rPr>
          <w:sz w:val="20"/>
        </w:rPr>
        <w:t>in</w:t>
      </w:r>
      <w:r>
        <w:rPr>
          <w:spacing w:val="-12"/>
          <w:sz w:val="20"/>
        </w:rPr>
        <w:t> </w:t>
      </w:r>
      <w:r>
        <w:rPr>
          <w:spacing w:val="-4"/>
          <w:sz w:val="20"/>
        </w:rPr>
        <w:t>ways </w:t>
      </w:r>
      <w:r>
        <w:rPr>
          <w:sz w:val="20"/>
        </w:rPr>
        <w:t>that</w:t>
      </w:r>
      <w:r>
        <w:rPr>
          <w:spacing w:val="-11"/>
          <w:sz w:val="20"/>
        </w:rPr>
        <w:t> </w:t>
      </w:r>
      <w:r>
        <w:rPr>
          <w:spacing w:val="-3"/>
          <w:sz w:val="20"/>
        </w:rPr>
        <w:t>are</w:t>
      </w:r>
      <w:r>
        <w:rPr>
          <w:spacing w:val="-11"/>
          <w:sz w:val="20"/>
        </w:rPr>
        <w:t> </w:t>
      </w:r>
      <w:r>
        <w:rPr>
          <w:sz w:val="20"/>
        </w:rPr>
        <w:t>compatible</w:t>
      </w:r>
      <w:r>
        <w:rPr>
          <w:spacing w:val="-11"/>
          <w:sz w:val="20"/>
        </w:rPr>
        <w:t> </w:t>
      </w:r>
      <w:r>
        <w:rPr>
          <w:sz w:val="20"/>
        </w:rPr>
        <w:t>with</w:t>
      </w:r>
      <w:r>
        <w:rPr>
          <w:spacing w:val="-11"/>
          <w:sz w:val="20"/>
        </w:rPr>
        <w:t> </w:t>
      </w:r>
      <w:r>
        <w:rPr>
          <w:sz w:val="20"/>
        </w:rPr>
        <w:t>human</w:t>
      </w:r>
      <w:r>
        <w:rPr>
          <w:spacing w:val="-11"/>
          <w:sz w:val="20"/>
        </w:rPr>
        <w:t> </w:t>
      </w:r>
      <w:r>
        <w:rPr>
          <w:sz w:val="20"/>
        </w:rPr>
        <w:t>rights</w:t>
      </w:r>
      <w:r>
        <w:rPr>
          <w:spacing w:val="-11"/>
          <w:sz w:val="20"/>
        </w:rPr>
        <w:t> </w:t>
      </w:r>
      <w:r>
        <w:rPr>
          <w:sz w:val="20"/>
        </w:rPr>
        <w:t>and</w:t>
      </w:r>
      <w:r>
        <w:rPr>
          <w:spacing w:val="-11"/>
          <w:sz w:val="20"/>
        </w:rPr>
        <w:t> </w:t>
      </w:r>
      <w:r>
        <w:rPr>
          <w:sz w:val="20"/>
        </w:rPr>
        <w:t>take</w:t>
      </w:r>
      <w:r>
        <w:rPr>
          <w:spacing w:val="-11"/>
          <w:sz w:val="20"/>
        </w:rPr>
        <w:t> </w:t>
      </w:r>
      <w:r>
        <w:rPr>
          <w:spacing w:val="-3"/>
          <w:sz w:val="20"/>
        </w:rPr>
        <w:t>relevant</w:t>
      </w:r>
      <w:r>
        <w:rPr>
          <w:spacing w:val="-11"/>
          <w:sz w:val="20"/>
        </w:rPr>
        <w:t> </w:t>
      </w:r>
      <w:r>
        <w:rPr>
          <w:sz w:val="20"/>
        </w:rPr>
        <w:t>human</w:t>
      </w:r>
      <w:r>
        <w:rPr>
          <w:spacing w:val="-11"/>
          <w:sz w:val="20"/>
        </w:rPr>
        <w:t> </w:t>
      </w:r>
      <w:r>
        <w:rPr>
          <w:sz w:val="20"/>
        </w:rPr>
        <w:t>rights</w:t>
      </w:r>
      <w:r>
        <w:rPr>
          <w:spacing w:val="-11"/>
          <w:sz w:val="20"/>
        </w:rPr>
        <w:t> </w:t>
      </w:r>
      <w:r>
        <w:rPr>
          <w:spacing w:val="-3"/>
          <w:sz w:val="20"/>
        </w:rPr>
        <w:t>into</w:t>
      </w:r>
      <w:r>
        <w:rPr>
          <w:spacing w:val="-11"/>
          <w:sz w:val="20"/>
        </w:rPr>
        <w:t> </w:t>
      </w:r>
      <w:r>
        <w:rPr>
          <w:sz w:val="20"/>
        </w:rPr>
        <w:t>account when making</w:t>
      </w:r>
      <w:r>
        <w:rPr>
          <w:spacing w:val="-9"/>
          <w:sz w:val="20"/>
        </w:rPr>
        <w:t> </w:t>
      </w:r>
      <w:r>
        <w:rPr>
          <w:sz w:val="20"/>
        </w:rPr>
        <w:t>decisions.</w:t>
      </w:r>
    </w:p>
    <w:p>
      <w:pPr>
        <w:pStyle w:val="ListParagraph"/>
        <w:numPr>
          <w:ilvl w:val="2"/>
          <w:numId w:val="12"/>
        </w:numPr>
        <w:tabs>
          <w:tab w:pos="2157" w:val="left" w:leader="none"/>
          <w:tab w:pos="2158" w:val="left" w:leader="none"/>
        </w:tabs>
        <w:spacing w:line="240" w:lineRule="auto" w:before="57" w:after="0"/>
        <w:ind w:left="2157" w:right="0" w:hanging="396"/>
        <w:jc w:val="left"/>
        <w:rPr>
          <w:sz w:val="20"/>
        </w:rPr>
      </w:pPr>
      <w:r>
        <w:rPr>
          <w:sz w:val="20"/>
        </w:rPr>
        <w:t>Human</w:t>
      </w:r>
      <w:r>
        <w:rPr>
          <w:spacing w:val="-6"/>
          <w:sz w:val="20"/>
        </w:rPr>
        <w:t> </w:t>
      </w:r>
      <w:r>
        <w:rPr>
          <w:sz w:val="20"/>
        </w:rPr>
        <w:t>rights</w:t>
      </w:r>
      <w:r>
        <w:rPr>
          <w:spacing w:val="-5"/>
          <w:sz w:val="20"/>
        </w:rPr>
        <w:t> </w:t>
      </w:r>
      <w:r>
        <w:rPr>
          <w:sz w:val="20"/>
        </w:rPr>
        <w:t>must</w:t>
      </w:r>
      <w:r>
        <w:rPr>
          <w:spacing w:val="-6"/>
          <w:sz w:val="20"/>
        </w:rPr>
        <w:t> </w:t>
      </w:r>
      <w:r>
        <w:rPr>
          <w:sz w:val="20"/>
        </w:rPr>
        <w:t>be</w:t>
      </w:r>
      <w:r>
        <w:rPr>
          <w:spacing w:val="-5"/>
          <w:sz w:val="20"/>
        </w:rPr>
        <w:t> </w:t>
      </w:r>
      <w:r>
        <w:rPr>
          <w:sz w:val="20"/>
        </w:rPr>
        <w:t>taken</w:t>
      </w:r>
      <w:r>
        <w:rPr>
          <w:spacing w:val="-6"/>
          <w:sz w:val="20"/>
        </w:rPr>
        <w:t> </w:t>
      </w:r>
      <w:r>
        <w:rPr>
          <w:spacing w:val="-3"/>
          <w:sz w:val="20"/>
        </w:rPr>
        <w:t>into</w:t>
      </w:r>
      <w:r>
        <w:rPr>
          <w:spacing w:val="-5"/>
          <w:sz w:val="20"/>
        </w:rPr>
        <w:t> </w:t>
      </w:r>
      <w:r>
        <w:rPr>
          <w:sz w:val="20"/>
        </w:rPr>
        <w:t>account</w:t>
      </w:r>
      <w:r>
        <w:rPr>
          <w:spacing w:val="-6"/>
          <w:sz w:val="20"/>
        </w:rPr>
        <w:t> </w:t>
      </w:r>
      <w:r>
        <w:rPr>
          <w:sz w:val="20"/>
        </w:rPr>
        <w:t>when</w:t>
      </w:r>
      <w:r>
        <w:rPr>
          <w:spacing w:val="-5"/>
          <w:sz w:val="20"/>
        </w:rPr>
        <w:t> </w:t>
      </w:r>
      <w:r>
        <w:rPr>
          <w:sz w:val="20"/>
        </w:rPr>
        <w:t>Parliament</w:t>
      </w:r>
      <w:r>
        <w:rPr>
          <w:spacing w:val="-5"/>
          <w:sz w:val="20"/>
        </w:rPr>
        <w:t> </w:t>
      </w:r>
      <w:r>
        <w:rPr>
          <w:spacing w:val="-3"/>
          <w:sz w:val="20"/>
        </w:rPr>
        <w:t>makes</w:t>
      </w:r>
      <w:r>
        <w:rPr>
          <w:spacing w:val="-6"/>
          <w:sz w:val="20"/>
        </w:rPr>
        <w:t> </w:t>
      </w:r>
      <w:r>
        <w:rPr>
          <w:sz w:val="20"/>
        </w:rPr>
        <w:t>new</w:t>
      </w:r>
      <w:r>
        <w:rPr>
          <w:spacing w:val="-5"/>
          <w:sz w:val="20"/>
        </w:rPr>
        <w:t> </w:t>
      </w:r>
      <w:r>
        <w:rPr>
          <w:sz w:val="20"/>
        </w:rPr>
        <w:t>laws.</w:t>
      </w:r>
    </w:p>
    <w:p>
      <w:pPr>
        <w:pStyle w:val="ListParagraph"/>
        <w:numPr>
          <w:ilvl w:val="2"/>
          <w:numId w:val="12"/>
        </w:numPr>
        <w:tabs>
          <w:tab w:pos="2157" w:val="left" w:leader="none"/>
          <w:tab w:pos="2158" w:val="left" w:leader="none"/>
        </w:tabs>
        <w:spacing w:line="206" w:lineRule="auto" w:before="79" w:after="0"/>
        <w:ind w:left="2157" w:right="1446" w:hanging="396"/>
        <w:jc w:val="left"/>
        <w:rPr>
          <w:sz w:val="11"/>
        </w:rPr>
      </w:pPr>
      <w:r>
        <w:rPr>
          <w:sz w:val="20"/>
        </w:rPr>
        <w:t>Courts</w:t>
      </w:r>
      <w:r>
        <w:rPr>
          <w:spacing w:val="-8"/>
          <w:sz w:val="20"/>
        </w:rPr>
        <w:t> </w:t>
      </w:r>
      <w:r>
        <w:rPr>
          <w:sz w:val="20"/>
        </w:rPr>
        <w:t>and</w:t>
      </w:r>
      <w:r>
        <w:rPr>
          <w:spacing w:val="-7"/>
          <w:sz w:val="20"/>
        </w:rPr>
        <w:t> </w:t>
      </w:r>
      <w:r>
        <w:rPr>
          <w:sz w:val="20"/>
        </w:rPr>
        <w:t>tribunals</w:t>
      </w:r>
      <w:r>
        <w:rPr>
          <w:spacing w:val="-7"/>
          <w:sz w:val="20"/>
        </w:rPr>
        <w:t> </w:t>
      </w:r>
      <w:r>
        <w:rPr>
          <w:sz w:val="20"/>
        </w:rPr>
        <w:t>must</w:t>
      </w:r>
      <w:r>
        <w:rPr>
          <w:spacing w:val="-7"/>
          <w:sz w:val="20"/>
        </w:rPr>
        <w:t> </w:t>
      </w:r>
      <w:r>
        <w:rPr>
          <w:spacing w:val="-3"/>
          <w:sz w:val="20"/>
        </w:rPr>
        <w:t>interpret</w:t>
      </w:r>
      <w:r>
        <w:rPr>
          <w:spacing w:val="-7"/>
          <w:sz w:val="20"/>
        </w:rPr>
        <w:t> </w:t>
      </w:r>
      <w:r>
        <w:rPr>
          <w:sz w:val="20"/>
        </w:rPr>
        <w:t>and</w:t>
      </w:r>
      <w:r>
        <w:rPr>
          <w:spacing w:val="-7"/>
          <w:sz w:val="20"/>
        </w:rPr>
        <w:t> </w:t>
      </w:r>
      <w:r>
        <w:rPr>
          <w:spacing w:val="-3"/>
          <w:sz w:val="20"/>
        </w:rPr>
        <w:t>apply</w:t>
      </w:r>
      <w:r>
        <w:rPr>
          <w:spacing w:val="-8"/>
          <w:sz w:val="20"/>
        </w:rPr>
        <w:t> </w:t>
      </w:r>
      <w:r>
        <w:rPr>
          <w:sz w:val="20"/>
        </w:rPr>
        <w:t>all</w:t>
      </w:r>
      <w:r>
        <w:rPr>
          <w:spacing w:val="-7"/>
          <w:sz w:val="20"/>
        </w:rPr>
        <w:t> </w:t>
      </w:r>
      <w:r>
        <w:rPr>
          <w:spacing w:val="-3"/>
          <w:sz w:val="20"/>
        </w:rPr>
        <w:t>laws</w:t>
      </w:r>
      <w:r>
        <w:rPr>
          <w:spacing w:val="-7"/>
          <w:sz w:val="20"/>
        </w:rPr>
        <w:t> </w:t>
      </w:r>
      <w:r>
        <w:rPr>
          <w:sz w:val="20"/>
        </w:rPr>
        <w:t>in</w:t>
      </w:r>
      <w:r>
        <w:rPr>
          <w:spacing w:val="-7"/>
          <w:sz w:val="20"/>
        </w:rPr>
        <w:t> </w:t>
      </w:r>
      <w:r>
        <w:rPr>
          <w:sz w:val="20"/>
        </w:rPr>
        <w:t>a</w:t>
      </w:r>
      <w:r>
        <w:rPr>
          <w:spacing w:val="-7"/>
          <w:sz w:val="20"/>
        </w:rPr>
        <w:t> </w:t>
      </w:r>
      <w:r>
        <w:rPr>
          <w:spacing w:val="-4"/>
          <w:sz w:val="20"/>
        </w:rPr>
        <w:t>way</w:t>
      </w:r>
      <w:r>
        <w:rPr>
          <w:spacing w:val="-7"/>
          <w:sz w:val="20"/>
        </w:rPr>
        <w:t> </w:t>
      </w:r>
      <w:r>
        <w:rPr>
          <w:sz w:val="20"/>
        </w:rPr>
        <w:t>that</w:t>
      </w:r>
      <w:r>
        <w:rPr>
          <w:spacing w:val="-7"/>
          <w:sz w:val="20"/>
        </w:rPr>
        <w:t> </w:t>
      </w:r>
      <w:r>
        <w:rPr>
          <w:sz w:val="20"/>
        </w:rPr>
        <w:t>is</w:t>
      </w:r>
      <w:r>
        <w:rPr>
          <w:spacing w:val="-8"/>
          <w:sz w:val="20"/>
        </w:rPr>
        <w:t> </w:t>
      </w:r>
      <w:r>
        <w:rPr>
          <w:sz w:val="20"/>
        </w:rPr>
        <w:t>compatible with human</w:t>
      </w:r>
      <w:r>
        <w:rPr>
          <w:spacing w:val="-9"/>
          <w:sz w:val="20"/>
        </w:rPr>
        <w:t> </w:t>
      </w:r>
      <w:r>
        <w:rPr>
          <w:sz w:val="20"/>
        </w:rPr>
        <w:t>rights.</w:t>
      </w:r>
      <w:r>
        <w:rPr>
          <w:position w:val="7"/>
          <w:sz w:val="11"/>
        </w:rPr>
        <w:t>43</w:t>
      </w:r>
    </w:p>
    <w:p>
      <w:pPr>
        <w:pStyle w:val="ListParagraph"/>
        <w:numPr>
          <w:ilvl w:val="1"/>
          <w:numId w:val="12"/>
        </w:numPr>
        <w:tabs>
          <w:tab w:pos="1761" w:val="left" w:leader="none"/>
          <w:tab w:pos="1762" w:val="left" w:leader="none"/>
        </w:tabs>
        <w:spacing w:line="240" w:lineRule="auto" w:before="56" w:after="0"/>
        <w:ind w:left="1761" w:right="0" w:hanging="794"/>
        <w:jc w:val="left"/>
        <w:rPr>
          <w:sz w:val="11"/>
        </w:rPr>
      </w:pPr>
      <w:r>
        <w:rPr>
          <w:sz w:val="20"/>
        </w:rPr>
        <w:t>Charter rights </w:t>
      </w:r>
      <w:r>
        <w:rPr>
          <w:spacing w:val="-3"/>
          <w:sz w:val="20"/>
        </w:rPr>
        <w:t>may </w:t>
      </w:r>
      <w:r>
        <w:rPr>
          <w:sz w:val="20"/>
        </w:rPr>
        <w:t>be limited pursuant to section</w:t>
      </w:r>
      <w:r>
        <w:rPr>
          <w:spacing w:val="-33"/>
          <w:sz w:val="20"/>
        </w:rPr>
        <w:t> </w:t>
      </w:r>
      <w:r>
        <w:rPr>
          <w:sz w:val="20"/>
        </w:rPr>
        <w:t>7.</w:t>
      </w:r>
      <w:r>
        <w:rPr>
          <w:position w:val="7"/>
          <w:sz w:val="11"/>
        </w:rPr>
        <w:t>44</w:t>
      </w:r>
    </w:p>
    <w:p>
      <w:pPr>
        <w:pStyle w:val="BodyText"/>
      </w:pPr>
    </w:p>
    <w:p>
      <w:pPr>
        <w:pStyle w:val="BodyText"/>
      </w:pPr>
    </w:p>
    <w:p>
      <w:pPr>
        <w:pStyle w:val="BodyText"/>
        <w:spacing w:before="3"/>
        <w:rPr>
          <w:sz w:val="18"/>
        </w:rPr>
      </w:pPr>
      <w:r>
        <w:rPr/>
        <w:pict>
          <v:line style="position:absolute;mso-position-horizontal-relative:page;mso-position-vertical-relative:paragraph;z-index:3512;mso-wrap-distance-left:0;mso-wrap-distance-right:0" from="79.370102pt,15.1406pt" to="515.905102pt,15.1406pt" stroked="true" strokeweight="1pt" strokecolor="#b6bdc8">
            <v:stroke dashstyle="solid"/>
            <w10:wrap type="topAndBottom"/>
          </v:line>
        </w:pict>
      </w:r>
    </w:p>
    <w:p>
      <w:pPr>
        <w:pStyle w:val="ListParagraph"/>
        <w:numPr>
          <w:ilvl w:val="0"/>
          <w:numId w:val="52"/>
        </w:numPr>
        <w:tabs>
          <w:tab w:pos="1761" w:val="left" w:leader="none"/>
          <w:tab w:pos="1762" w:val="left" w:leader="none"/>
        </w:tabs>
        <w:spacing w:line="213" w:lineRule="auto" w:before="107" w:after="0"/>
        <w:ind w:left="1761" w:right="1370" w:hanging="794"/>
        <w:jc w:val="left"/>
        <w:rPr>
          <w:sz w:val="13"/>
        </w:rPr>
      </w:pPr>
      <w:r>
        <w:rPr>
          <w:sz w:val="13"/>
        </w:rPr>
        <w:t>Victorian Equal </w:t>
      </w:r>
      <w:r>
        <w:rPr>
          <w:spacing w:val="2"/>
          <w:sz w:val="13"/>
        </w:rPr>
        <w:t>Opportunity </w:t>
      </w:r>
      <w:r>
        <w:rPr>
          <w:sz w:val="13"/>
        </w:rPr>
        <w:t>and Human Rights </w:t>
      </w:r>
      <w:r>
        <w:rPr>
          <w:spacing w:val="2"/>
          <w:sz w:val="13"/>
        </w:rPr>
        <w:t>Commission, </w:t>
      </w:r>
      <w:r>
        <w:rPr>
          <w:i/>
          <w:sz w:val="13"/>
        </w:rPr>
        <w:t>Understand Your </w:t>
      </w:r>
      <w:r>
        <w:rPr>
          <w:i/>
          <w:spacing w:val="2"/>
          <w:sz w:val="13"/>
        </w:rPr>
        <w:t>Rights </w:t>
      </w:r>
      <w:r>
        <w:rPr>
          <w:sz w:val="13"/>
        </w:rPr>
        <w:t>(Web Page) &lt;</w:t>
      </w:r>
      <w:hyperlink r:id="rId123">
        <w:r>
          <w:rPr>
            <w:sz w:val="13"/>
          </w:rPr>
          <w:t>https://www.humanrights.</w:t>
        </w:r>
      </w:hyperlink>
      <w:hyperlink r:id="rId123">
        <w:r>
          <w:rPr>
            <w:sz w:val="13"/>
          </w:rPr>
          <w:t> vic.gov.au/</w:t>
        </w:r>
      </w:hyperlink>
      <w:r>
        <w:rPr>
          <w:sz w:val="13"/>
        </w:rPr>
        <w:t>&gt;; </w:t>
      </w:r>
      <w:r>
        <w:rPr>
          <w:i/>
          <w:sz w:val="13"/>
        </w:rPr>
        <w:t>Australian Human </w:t>
      </w:r>
      <w:r>
        <w:rPr>
          <w:i/>
          <w:spacing w:val="2"/>
          <w:sz w:val="13"/>
        </w:rPr>
        <w:t>Rights </w:t>
      </w:r>
      <w:r>
        <w:rPr>
          <w:i/>
          <w:sz w:val="13"/>
        </w:rPr>
        <w:t>Commission </w:t>
      </w:r>
      <w:r>
        <w:rPr>
          <w:sz w:val="13"/>
        </w:rPr>
        <w:t>(Web Page, 2021) &lt;</w:t>
      </w:r>
      <w:hyperlink r:id="rId124">
        <w:r>
          <w:rPr>
            <w:sz w:val="13"/>
          </w:rPr>
          <w:t>https://humanrights.gov.au/</w:t>
        </w:r>
      </w:hyperlink>
      <w:r>
        <w:rPr>
          <w:sz w:val="13"/>
        </w:rPr>
        <w:t>&gt;; </w:t>
      </w:r>
      <w:r>
        <w:rPr>
          <w:i/>
          <w:sz w:val="13"/>
        </w:rPr>
        <w:t>Fair Work Commission   </w:t>
      </w:r>
      <w:r>
        <w:rPr>
          <w:sz w:val="13"/>
        </w:rPr>
        <w:t>(Web</w:t>
      </w:r>
      <w:r>
        <w:rPr>
          <w:spacing w:val="5"/>
          <w:sz w:val="13"/>
        </w:rPr>
        <w:t> </w:t>
      </w:r>
      <w:r>
        <w:rPr>
          <w:sz w:val="13"/>
        </w:rPr>
        <w:t>Page)</w:t>
      </w:r>
      <w:r>
        <w:rPr>
          <w:spacing w:val="5"/>
          <w:sz w:val="13"/>
        </w:rPr>
        <w:t> </w:t>
      </w:r>
      <w:r>
        <w:rPr>
          <w:sz w:val="13"/>
        </w:rPr>
        <w:t>&lt;</w:t>
      </w:r>
      <w:hyperlink r:id="rId125">
        <w:r>
          <w:rPr>
            <w:sz w:val="13"/>
          </w:rPr>
          <w:t>https://www.fwc.gov.au/</w:t>
        </w:r>
      </w:hyperlink>
      <w:r>
        <w:rPr>
          <w:sz w:val="13"/>
        </w:rPr>
        <w:t>&gt;;</w:t>
      </w:r>
      <w:r>
        <w:rPr>
          <w:spacing w:val="5"/>
          <w:sz w:val="13"/>
        </w:rPr>
        <w:t> </w:t>
      </w:r>
      <w:r>
        <w:rPr>
          <w:sz w:val="13"/>
        </w:rPr>
        <w:t>‘Welcome</w:t>
      </w:r>
      <w:r>
        <w:rPr>
          <w:spacing w:val="5"/>
          <w:sz w:val="13"/>
        </w:rPr>
        <w:t> </w:t>
      </w:r>
      <w:r>
        <w:rPr>
          <w:sz w:val="13"/>
        </w:rPr>
        <w:t>to</w:t>
      </w:r>
      <w:r>
        <w:rPr>
          <w:spacing w:val="6"/>
          <w:sz w:val="13"/>
        </w:rPr>
        <w:t> </w:t>
      </w:r>
      <w:r>
        <w:rPr>
          <w:sz w:val="13"/>
        </w:rPr>
        <w:t>the</w:t>
      </w:r>
      <w:r>
        <w:rPr>
          <w:spacing w:val="5"/>
          <w:sz w:val="13"/>
        </w:rPr>
        <w:t> </w:t>
      </w:r>
      <w:r>
        <w:rPr>
          <w:sz w:val="13"/>
        </w:rPr>
        <w:t>Fair</w:t>
      </w:r>
      <w:r>
        <w:rPr>
          <w:spacing w:val="5"/>
          <w:sz w:val="13"/>
        </w:rPr>
        <w:t> </w:t>
      </w:r>
      <w:r>
        <w:rPr>
          <w:sz w:val="13"/>
        </w:rPr>
        <w:t>Work</w:t>
      </w:r>
      <w:r>
        <w:rPr>
          <w:spacing w:val="5"/>
          <w:sz w:val="13"/>
        </w:rPr>
        <w:t> </w:t>
      </w:r>
      <w:r>
        <w:rPr>
          <w:sz w:val="13"/>
        </w:rPr>
        <w:t>Ombudsman</w:t>
      </w:r>
      <w:r>
        <w:rPr>
          <w:spacing w:val="6"/>
          <w:sz w:val="13"/>
        </w:rPr>
        <w:t> </w:t>
      </w:r>
      <w:r>
        <w:rPr>
          <w:sz w:val="13"/>
        </w:rPr>
        <w:t>Website’,</w:t>
      </w:r>
      <w:r>
        <w:rPr>
          <w:spacing w:val="5"/>
          <w:sz w:val="13"/>
        </w:rPr>
        <w:t> </w:t>
      </w:r>
      <w:r>
        <w:rPr>
          <w:i/>
          <w:sz w:val="13"/>
        </w:rPr>
        <w:t>Fair</w:t>
      </w:r>
      <w:r>
        <w:rPr>
          <w:i/>
          <w:spacing w:val="5"/>
          <w:sz w:val="13"/>
        </w:rPr>
        <w:t> </w:t>
      </w:r>
      <w:r>
        <w:rPr>
          <w:i/>
          <w:sz w:val="13"/>
        </w:rPr>
        <w:t>Work</w:t>
      </w:r>
      <w:r>
        <w:rPr>
          <w:i/>
          <w:spacing w:val="5"/>
          <w:sz w:val="13"/>
        </w:rPr>
        <w:t> </w:t>
      </w:r>
      <w:r>
        <w:rPr>
          <w:i/>
          <w:sz w:val="13"/>
        </w:rPr>
        <w:t>Ombudsman</w:t>
      </w:r>
      <w:r>
        <w:rPr>
          <w:i/>
          <w:spacing w:val="5"/>
          <w:sz w:val="13"/>
        </w:rPr>
        <w:t> </w:t>
      </w:r>
      <w:r>
        <w:rPr>
          <w:sz w:val="13"/>
        </w:rPr>
        <w:t>(Web</w:t>
      </w:r>
      <w:r>
        <w:rPr>
          <w:spacing w:val="5"/>
          <w:sz w:val="13"/>
        </w:rPr>
        <w:t> </w:t>
      </w:r>
      <w:r>
        <w:rPr>
          <w:sz w:val="13"/>
        </w:rPr>
        <w:t>Page)</w:t>
      </w:r>
    </w:p>
    <w:p>
      <w:pPr>
        <w:spacing w:line="152" w:lineRule="exact" w:before="0"/>
        <w:ind w:left="1760" w:right="0" w:firstLine="0"/>
        <w:jc w:val="left"/>
        <w:rPr>
          <w:sz w:val="13"/>
        </w:rPr>
      </w:pPr>
      <w:r>
        <w:rPr>
          <w:sz w:val="13"/>
        </w:rPr>
        <w:t>&lt;</w:t>
      </w:r>
      <w:hyperlink r:id="rId126">
        <w:r>
          <w:rPr>
            <w:sz w:val="13"/>
          </w:rPr>
          <w:t>https://www.fairwork.gov.au/</w:t>
        </w:r>
      </w:hyperlink>
      <w:r>
        <w:rPr>
          <w:sz w:val="13"/>
        </w:rPr>
        <w:t>&gt;.</w:t>
      </w:r>
    </w:p>
    <w:p>
      <w:pPr>
        <w:pStyle w:val="ListParagraph"/>
        <w:numPr>
          <w:ilvl w:val="0"/>
          <w:numId w:val="52"/>
        </w:numPr>
        <w:tabs>
          <w:tab w:pos="1761" w:val="left" w:leader="none"/>
          <w:tab w:pos="1762" w:val="left" w:leader="none"/>
        </w:tabs>
        <w:spacing w:line="213" w:lineRule="auto" w:before="6" w:after="0"/>
        <w:ind w:left="1761" w:right="1204" w:hanging="794"/>
        <w:jc w:val="left"/>
        <w:rPr>
          <w:sz w:val="13"/>
        </w:rPr>
      </w:pPr>
      <w:r>
        <w:rPr>
          <w:i/>
          <w:sz w:val="13"/>
        </w:rPr>
        <w:t>Change or Suppression (Conversion) Practices Prohibition Act 2021 </w:t>
      </w:r>
      <w:r>
        <w:rPr>
          <w:spacing w:val="2"/>
          <w:sz w:val="13"/>
        </w:rPr>
        <w:t>(Vic); </w:t>
      </w:r>
      <w:r>
        <w:rPr>
          <w:i/>
          <w:sz w:val="13"/>
        </w:rPr>
        <w:t>Equal Opportunity Act 2010 </w:t>
      </w:r>
      <w:r>
        <w:rPr>
          <w:spacing w:val="2"/>
          <w:sz w:val="13"/>
        </w:rPr>
        <w:t>(Vic); </w:t>
      </w:r>
      <w:r>
        <w:rPr>
          <w:i/>
          <w:sz w:val="13"/>
        </w:rPr>
        <w:t>Charter of Human </w:t>
      </w:r>
      <w:r>
        <w:rPr>
          <w:i/>
          <w:spacing w:val="2"/>
          <w:sz w:val="13"/>
        </w:rPr>
        <w:t>Rights    </w:t>
      </w:r>
      <w:r>
        <w:rPr>
          <w:i/>
          <w:sz w:val="13"/>
        </w:rPr>
        <w:t>and Responsibilities Act 2006 </w:t>
      </w:r>
      <w:r>
        <w:rPr>
          <w:spacing w:val="2"/>
          <w:sz w:val="13"/>
        </w:rPr>
        <w:t>(Vic); </w:t>
      </w:r>
      <w:r>
        <w:rPr>
          <w:i/>
          <w:sz w:val="13"/>
        </w:rPr>
        <w:t>Racial and Religious Tolerance Act 2001 </w:t>
      </w:r>
      <w:r>
        <w:rPr>
          <w:sz w:val="13"/>
        </w:rPr>
        <w:t>(Vic). The Victorian </w:t>
      </w:r>
      <w:r>
        <w:rPr>
          <w:spacing w:val="2"/>
          <w:sz w:val="13"/>
        </w:rPr>
        <w:t>Disability </w:t>
      </w:r>
      <w:r>
        <w:rPr>
          <w:sz w:val="13"/>
        </w:rPr>
        <w:t>Worker </w:t>
      </w:r>
      <w:r>
        <w:rPr>
          <w:spacing w:val="2"/>
          <w:sz w:val="13"/>
        </w:rPr>
        <w:t>Commission </w:t>
      </w:r>
      <w:r>
        <w:rPr>
          <w:sz w:val="13"/>
        </w:rPr>
        <w:t>is another relevant statutory authority. It regulates unregistered </w:t>
      </w:r>
      <w:r>
        <w:rPr>
          <w:spacing w:val="2"/>
          <w:sz w:val="13"/>
        </w:rPr>
        <w:t>disability </w:t>
      </w:r>
      <w:r>
        <w:rPr>
          <w:sz w:val="13"/>
        </w:rPr>
        <w:t>workers, responds to complaints about </w:t>
      </w:r>
      <w:r>
        <w:rPr>
          <w:spacing w:val="2"/>
          <w:sz w:val="13"/>
        </w:rPr>
        <w:t>disability </w:t>
      </w:r>
      <w:r>
        <w:rPr>
          <w:sz w:val="13"/>
        </w:rPr>
        <w:t>workers, and has the power to ban unregistered workers from the sector for breaching their code of conduct: see Victorian </w:t>
      </w:r>
      <w:r>
        <w:rPr>
          <w:spacing w:val="2"/>
          <w:sz w:val="13"/>
        </w:rPr>
        <w:t>Disability   </w:t>
      </w:r>
      <w:r>
        <w:rPr>
          <w:sz w:val="13"/>
        </w:rPr>
        <w:t>Worker </w:t>
      </w:r>
      <w:r>
        <w:rPr>
          <w:spacing w:val="2"/>
          <w:sz w:val="13"/>
        </w:rPr>
        <w:t>Commission </w:t>
      </w:r>
      <w:r>
        <w:rPr>
          <w:sz w:val="13"/>
        </w:rPr>
        <w:t>(VDWC), </w:t>
      </w:r>
      <w:r>
        <w:rPr>
          <w:i/>
          <w:sz w:val="13"/>
        </w:rPr>
        <w:t>Victorian Disability Worker Commissioner </w:t>
      </w:r>
      <w:r>
        <w:rPr>
          <w:sz w:val="13"/>
        </w:rPr>
        <w:t>(Web Page) &lt;</w:t>
      </w:r>
      <w:hyperlink r:id="rId127">
        <w:r>
          <w:rPr>
            <w:sz w:val="13"/>
          </w:rPr>
          <w:t>https://www.vdwc.vic.gov.au/about/</w:t>
        </w:r>
      </w:hyperlink>
      <w:hyperlink r:id="rId127">
        <w:r>
          <w:rPr>
            <w:sz w:val="13"/>
          </w:rPr>
          <w:t> commissioner</w:t>
        </w:r>
      </w:hyperlink>
      <w:r>
        <w:rPr>
          <w:sz w:val="13"/>
        </w:rPr>
        <w:t>&gt;.</w:t>
      </w:r>
    </w:p>
    <w:p>
      <w:pPr>
        <w:pStyle w:val="ListParagraph"/>
        <w:numPr>
          <w:ilvl w:val="0"/>
          <w:numId w:val="52"/>
        </w:numPr>
        <w:tabs>
          <w:tab w:pos="1761" w:val="left" w:leader="none"/>
          <w:tab w:pos="1762" w:val="left" w:leader="none"/>
        </w:tabs>
        <w:spacing w:line="150" w:lineRule="exact" w:before="0" w:after="0"/>
        <w:ind w:left="1761" w:right="0" w:hanging="794"/>
        <w:jc w:val="left"/>
        <w:rPr>
          <w:sz w:val="13"/>
        </w:rPr>
      </w:pPr>
      <w:r>
        <w:rPr>
          <w:spacing w:val="2"/>
          <w:sz w:val="13"/>
        </w:rPr>
        <w:t>Department </w:t>
      </w:r>
      <w:r>
        <w:rPr>
          <w:sz w:val="13"/>
        </w:rPr>
        <w:t>of Justice and </w:t>
      </w:r>
      <w:r>
        <w:rPr>
          <w:spacing w:val="2"/>
          <w:sz w:val="13"/>
        </w:rPr>
        <w:t>Community </w:t>
      </w:r>
      <w:r>
        <w:rPr>
          <w:sz w:val="13"/>
        </w:rPr>
        <w:t>Safety (Vic), ‘Equal Opportunity’, </w:t>
      </w:r>
      <w:r>
        <w:rPr>
          <w:i/>
          <w:sz w:val="13"/>
        </w:rPr>
        <w:t>Victoria State Government </w:t>
      </w:r>
      <w:r>
        <w:rPr>
          <w:sz w:val="13"/>
        </w:rPr>
        <w:t>(Web Page,</w:t>
      </w:r>
      <w:r>
        <w:rPr>
          <w:spacing w:val="18"/>
          <w:sz w:val="13"/>
        </w:rPr>
        <w:t> </w:t>
      </w:r>
      <w:r>
        <w:rPr>
          <w:sz w:val="13"/>
        </w:rPr>
        <w:t>2021)</w:t>
      </w:r>
    </w:p>
    <w:p>
      <w:pPr>
        <w:spacing w:line="160" w:lineRule="exact" w:before="0"/>
        <w:ind w:left="1761" w:right="0" w:firstLine="0"/>
        <w:jc w:val="left"/>
        <w:rPr>
          <w:sz w:val="13"/>
        </w:rPr>
      </w:pPr>
      <w:r>
        <w:rPr>
          <w:sz w:val="13"/>
        </w:rPr>
        <w:t>&lt;</w:t>
      </w:r>
      <w:hyperlink r:id="rId128">
        <w:r>
          <w:rPr>
            <w:sz w:val="13"/>
          </w:rPr>
          <w:t>https://www.justice.vic.gov.au/equal-opportunity</w:t>
        </w:r>
      </w:hyperlink>
      <w:r>
        <w:rPr>
          <w:sz w:val="13"/>
        </w:rPr>
        <w:t>&gt;.</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i/>
          <w:sz w:val="13"/>
        </w:rPr>
        <w:t>Equal Opportunity Act 2010</w:t>
      </w:r>
      <w:r>
        <w:rPr>
          <w:i/>
          <w:spacing w:val="-1"/>
          <w:sz w:val="13"/>
        </w:rPr>
        <w:t> </w:t>
      </w:r>
      <w:r>
        <w:rPr>
          <w:sz w:val="13"/>
        </w:rPr>
        <w:t>(Vic).</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52"/>
        </w:numPr>
        <w:tabs>
          <w:tab w:pos="1760" w:val="left" w:leader="none"/>
          <w:tab w:pos="1762" w:val="left" w:leader="none"/>
        </w:tabs>
        <w:spacing w:line="160" w:lineRule="exact" w:before="0" w:after="0"/>
        <w:ind w:left="1761" w:right="0" w:hanging="794"/>
        <w:jc w:val="left"/>
        <w:rPr>
          <w:sz w:val="13"/>
        </w:rPr>
      </w:pPr>
      <w:r>
        <w:rPr>
          <w:spacing w:val="2"/>
          <w:sz w:val="13"/>
        </w:rPr>
        <w:t>Explanatory Memorandum, </w:t>
      </w:r>
      <w:r>
        <w:rPr>
          <w:sz w:val="13"/>
        </w:rPr>
        <w:t>Charter of Human Rights and Responsibilities Bill 2006 </w:t>
      </w:r>
      <w:r>
        <w:rPr>
          <w:spacing w:val="2"/>
          <w:sz w:val="13"/>
        </w:rPr>
        <w:t>(Vic)</w:t>
      </w:r>
      <w:r>
        <w:rPr>
          <w:spacing w:val="4"/>
          <w:sz w:val="13"/>
        </w:rPr>
        <w:t> </w:t>
      </w:r>
      <w:r>
        <w:rPr>
          <w:spacing w:val="3"/>
          <w:sz w:val="13"/>
        </w:rPr>
        <w:t>1.</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i/>
          <w:sz w:val="13"/>
        </w:rPr>
        <w:t>Charter of Human </w:t>
      </w:r>
      <w:r>
        <w:rPr>
          <w:i/>
          <w:spacing w:val="2"/>
          <w:sz w:val="13"/>
        </w:rPr>
        <w:t>Rights </w:t>
      </w:r>
      <w:r>
        <w:rPr>
          <w:i/>
          <w:sz w:val="13"/>
        </w:rPr>
        <w:t>and Responsibilities Act 2006 </w:t>
      </w:r>
      <w:r>
        <w:rPr>
          <w:spacing w:val="2"/>
          <w:sz w:val="13"/>
        </w:rPr>
        <w:t>(Vic) </w:t>
      </w:r>
      <w:r>
        <w:rPr>
          <w:sz w:val="13"/>
        </w:rPr>
        <w:t>ss</w:t>
      </w:r>
      <w:r>
        <w:rPr>
          <w:spacing w:val="-1"/>
          <w:sz w:val="13"/>
        </w:rPr>
        <w:t> </w:t>
      </w:r>
      <w:r>
        <w:rPr>
          <w:sz w:val="13"/>
        </w:rPr>
        <w:t>8–27.</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sz w:val="13"/>
        </w:rPr>
        <w:t>Ibid s 8.</w:t>
      </w:r>
    </w:p>
    <w:p>
      <w:pPr>
        <w:pStyle w:val="ListParagraph"/>
        <w:numPr>
          <w:ilvl w:val="0"/>
          <w:numId w:val="52"/>
        </w:numPr>
        <w:tabs>
          <w:tab w:pos="1760" w:val="left" w:leader="none"/>
          <w:tab w:pos="1762" w:val="left" w:leader="none"/>
        </w:tabs>
        <w:spacing w:line="160" w:lineRule="exact" w:before="0" w:after="0"/>
        <w:ind w:left="1761" w:right="0" w:hanging="794"/>
        <w:jc w:val="left"/>
        <w:rPr>
          <w:sz w:val="13"/>
        </w:rPr>
      </w:pPr>
      <w:r>
        <w:rPr>
          <w:sz w:val="13"/>
        </w:rPr>
        <w:t>Ibid s</w:t>
      </w:r>
      <w:r>
        <w:rPr>
          <w:spacing w:val="12"/>
          <w:sz w:val="13"/>
        </w:rPr>
        <w:t> </w:t>
      </w:r>
      <w:r>
        <w:rPr>
          <w:sz w:val="13"/>
        </w:rPr>
        <w:t>18.</w:t>
      </w:r>
    </w:p>
    <w:p>
      <w:pPr>
        <w:pStyle w:val="ListParagraph"/>
        <w:numPr>
          <w:ilvl w:val="0"/>
          <w:numId w:val="52"/>
        </w:numPr>
        <w:tabs>
          <w:tab w:pos="1760" w:val="left" w:leader="none"/>
          <w:tab w:pos="1762" w:val="left" w:leader="none"/>
        </w:tabs>
        <w:spacing w:line="160" w:lineRule="exact" w:before="0" w:after="0"/>
        <w:ind w:left="1761" w:right="0" w:hanging="794"/>
        <w:jc w:val="left"/>
        <w:rPr>
          <w:sz w:val="13"/>
        </w:rPr>
      </w:pPr>
      <w:r>
        <w:rPr>
          <w:sz w:val="13"/>
        </w:rPr>
        <w:t>Ibid s</w:t>
      </w:r>
      <w:r>
        <w:rPr>
          <w:spacing w:val="10"/>
          <w:sz w:val="13"/>
        </w:rPr>
        <w:t> </w:t>
      </w:r>
      <w:r>
        <w:rPr>
          <w:spacing w:val="3"/>
          <w:sz w:val="13"/>
        </w:rPr>
        <w:t>24.</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sz w:val="13"/>
        </w:rPr>
        <w:t>Victorian Law Reform </w:t>
      </w:r>
      <w:r>
        <w:rPr>
          <w:spacing w:val="2"/>
          <w:sz w:val="13"/>
        </w:rPr>
        <w:t>Commission, </w:t>
      </w:r>
      <w:r>
        <w:rPr>
          <w:i/>
          <w:sz w:val="13"/>
        </w:rPr>
        <w:t>Guardianship </w:t>
      </w:r>
      <w:r>
        <w:rPr>
          <w:spacing w:val="2"/>
          <w:sz w:val="13"/>
        </w:rPr>
        <w:t>(Report </w:t>
      </w:r>
      <w:r>
        <w:rPr>
          <w:sz w:val="13"/>
        </w:rPr>
        <w:t>No </w:t>
      </w:r>
      <w:r>
        <w:rPr>
          <w:spacing w:val="3"/>
          <w:sz w:val="13"/>
        </w:rPr>
        <w:t>24, </w:t>
      </w:r>
      <w:r>
        <w:rPr>
          <w:sz w:val="13"/>
        </w:rPr>
        <w:t>2012) </w:t>
      </w:r>
      <w:r>
        <w:rPr>
          <w:spacing w:val="2"/>
          <w:sz w:val="13"/>
        </w:rPr>
        <w:t>44</w:t>
      </w:r>
      <w:r>
        <w:rPr>
          <w:spacing w:val="-2"/>
          <w:sz w:val="13"/>
        </w:rPr>
        <w:t> </w:t>
      </w:r>
      <w:r>
        <w:rPr>
          <w:spacing w:val="2"/>
          <w:sz w:val="13"/>
        </w:rPr>
        <w:t>[4.62].</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pict>
          <v:shape style="position:absolute;margin-left:36pt;margin-top:3.709549pt;width:13.9pt;height:14.1pt;mso-position-horizontal-relative:page;mso-position-vertical-relative:paragraph;z-index:5584" type="#_x0000_t202" filled="false" stroked="false">
            <v:textbox inset="0,0,0,0">
              <w:txbxContent>
                <w:p>
                  <w:pPr>
                    <w:spacing w:line="282" w:lineRule="exact" w:before="0"/>
                    <w:ind w:left="0" w:right="0" w:firstLine="0"/>
                    <w:jc w:val="left"/>
                    <w:rPr>
                      <w:b/>
                      <w:sz w:val="24"/>
                    </w:rPr>
                  </w:pPr>
                  <w:r>
                    <w:rPr>
                      <w:b/>
                      <w:color w:val="37617A"/>
                      <w:sz w:val="24"/>
                    </w:rPr>
                    <w:t>58</w:t>
                  </w:r>
                </w:p>
              </w:txbxContent>
            </v:textbox>
            <w10:wrap type="none"/>
          </v:shape>
        </w:pict>
      </w:r>
      <w:r>
        <w:rPr>
          <w:i/>
          <w:sz w:val="13"/>
        </w:rPr>
        <w:t>Charter of Human </w:t>
      </w:r>
      <w:r>
        <w:rPr>
          <w:i/>
          <w:spacing w:val="2"/>
          <w:sz w:val="13"/>
        </w:rPr>
        <w:t>Rights </w:t>
      </w:r>
      <w:r>
        <w:rPr>
          <w:i/>
          <w:sz w:val="13"/>
        </w:rPr>
        <w:t>and Responsibilities Act 2006 </w:t>
      </w:r>
      <w:r>
        <w:rPr>
          <w:spacing w:val="2"/>
          <w:sz w:val="13"/>
        </w:rPr>
        <w:t>(Vic) </w:t>
      </w:r>
      <w:r>
        <w:rPr>
          <w:sz w:val="13"/>
        </w:rPr>
        <w:t>s</w:t>
      </w:r>
      <w:r>
        <w:rPr>
          <w:spacing w:val="-1"/>
          <w:sz w:val="13"/>
        </w:rPr>
        <w:t> </w:t>
      </w:r>
      <w:r>
        <w:rPr>
          <w:spacing w:val="2"/>
          <w:sz w:val="13"/>
        </w:rPr>
        <w:t>32.</w:t>
      </w:r>
    </w:p>
    <w:p>
      <w:pPr>
        <w:pStyle w:val="ListParagraph"/>
        <w:numPr>
          <w:ilvl w:val="0"/>
          <w:numId w:val="52"/>
        </w:numPr>
        <w:tabs>
          <w:tab w:pos="1761" w:val="left" w:leader="none"/>
          <w:tab w:pos="1762" w:val="left" w:leader="none"/>
        </w:tabs>
        <w:spacing w:line="170" w:lineRule="exact" w:before="0" w:after="0"/>
        <w:ind w:left="1761" w:right="0" w:hanging="794"/>
        <w:jc w:val="left"/>
        <w:rPr>
          <w:sz w:val="13"/>
        </w:rPr>
      </w:pPr>
      <w:r>
        <w:rPr>
          <w:sz w:val="13"/>
        </w:rPr>
        <w:t>The Charter includes a non-exhaustive list of the relevant factors to consider: ibid s</w:t>
      </w:r>
      <w:r>
        <w:rPr>
          <w:spacing w:val="13"/>
          <w:sz w:val="13"/>
        </w:rPr>
        <w:t> </w:t>
      </w:r>
      <w:r>
        <w:rPr>
          <w:sz w:val="13"/>
        </w:rPr>
        <w:t>7(2).</w:t>
      </w:r>
    </w:p>
    <w:p>
      <w:pPr>
        <w:spacing w:after="0" w:line="170"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Heading2"/>
        <w:spacing w:before="41"/>
        <w:rPr>
          <w:b/>
        </w:rPr>
      </w:pPr>
      <w:bookmarkStart w:name="Human rights law, the Charter and jury s" w:id="126"/>
      <w:bookmarkEnd w:id="126"/>
      <w:r>
        <w:rPr>
          <w:b w:val="0"/>
        </w:rPr>
      </w:r>
      <w:bookmarkStart w:name="_bookmark49" w:id="127"/>
      <w:bookmarkEnd w:id="127"/>
      <w:r>
        <w:rPr>
          <w:b w:val="0"/>
        </w:rPr>
      </w:r>
      <w:r>
        <w:rPr>
          <w:b/>
          <w:color w:val="37617A"/>
        </w:rPr>
        <w:t>Human rights law, the Charter and jury selection</w:t>
      </w:r>
    </w:p>
    <w:p>
      <w:pPr>
        <w:pStyle w:val="ListParagraph"/>
        <w:numPr>
          <w:ilvl w:val="1"/>
          <w:numId w:val="12"/>
        </w:numPr>
        <w:tabs>
          <w:tab w:pos="1761" w:val="left" w:leader="none"/>
          <w:tab w:pos="1762" w:val="left" w:leader="none"/>
        </w:tabs>
        <w:spacing w:line="259" w:lineRule="exact" w:before="113" w:after="0"/>
        <w:ind w:left="1761" w:right="0" w:hanging="794"/>
        <w:jc w:val="left"/>
        <w:rPr>
          <w:sz w:val="20"/>
        </w:rPr>
      </w:pPr>
      <w:r>
        <w:rPr>
          <w:sz w:val="20"/>
        </w:rPr>
        <w:t>The</w:t>
      </w:r>
      <w:r>
        <w:rPr>
          <w:spacing w:val="-6"/>
          <w:sz w:val="20"/>
        </w:rPr>
        <w:t> </w:t>
      </w:r>
      <w:r>
        <w:rPr>
          <w:sz w:val="20"/>
        </w:rPr>
        <w:t>application</w:t>
      </w:r>
      <w:r>
        <w:rPr>
          <w:spacing w:val="-6"/>
          <w:sz w:val="20"/>
        </w:rPr>
        <w:t> </w:t>
      </w:r>
      <w:r>
        <w:rPr>
          <w:sz w:val="20"/>
        </w:rPr>
        <w:t>of</w:t>
      </w:r>
      <w:r>
        <w:rPr>
          <w:spacing w:val="-6"/>
          <w:sz w:val="20"/>
        </w:rPr>
        <w:t> </w:t>
      </w:r>
      <w:r>
        <w:rPr>
          <w:sz w:val="20"/>
        </w:rPr>
        <w:t>state</w:t>
      </w:r>
      <w:r>
        <w:rPr>
          <w:spacing w:val="-6"/>
          <w:sz w:val="20"/>
        </w:rPr>
        <w:t> </w:t>
      </w:r>
      <w:r>
        <w:rPr>
          <w:sz w:val="20"/>
        </w:rPr>
        <w:t>discrimination</w:t>
      </w:r>
      <w:r>
        <w:rPr>
          <w:spacing w:val="-6"/>
          <w:sz w:val="20"/>
        </w:rPr>
        <w:t> </w:t>
      </w:r>
      <w:r>
        <w:rPr>
          <w:sz w:val="20"/>
        </w:rPr>
        <w:t>and</w:t>
      </w:r>
      <w:r>
        <w:rPr>
          <w:spacing w:val="-5"/>
          <w:sz w:val="20"/>
        </w:rPr>
        <w:t> </w:t>
      </w:r>
      <w:r>
        <w:rPr>
          <w:sz w:val="20"/>
        </w:rPr>
        <w:t>human</w:t>
      </w:r>
      <w:r>
        <w:rPr>
          <w:spacing w:val="-6"/>
          <w:sz w:val="20"/>
        </w:rPr>
        <w:t> </w:t>
      </w:r>
      <w:r>
        <w:rPr>
          <w:sz w:val="20"/>
        </w:rPr>
        <w:t>rights</w:t>
      </w:r>
      <w:r>
        <w:rPr>
          <w:spacing w:val="-6"/>
          <w:sz w:val="20"/>
        </w:rPr>
        <w:t> </w:t>
      </w:r>
      <w:r>
        <w:rPr>
          <w:spacing w:val="-3"/>
          <w:sz w:val="20"/>
        </w:rPr>
        <w:t>laws</w:t>
      </w:r>
      <w:r>
        <w:rPr>
          <w:spacing w:val="-6"/>
          <w:sz w:val="20"/>
        </w:rPr>
        <w:t> </w:t>
      </w:r>
      <w:r>
        <w:rPr>
          <w:sz w:val="20"/>
        </w:rPr>
        <w:t>to</w:t>
      </w:r>
      <w:r>
        <w:rPr>
          <w:spacing w:val="-6"/>
          <w:sz w:val="20"/>
        </w:rPr>
        <w:t> </w:t>
      </w:r>
      <w:r>
        <w:rPr>
          <w:sz w:val="20"/>
        </w:rPr>
        <w:t>the</w:t>
      </w:r>
      <w:r>
        <w:rPr>
          <w:spacing w:val="-5"/>
          <w:sz w:val="20"/>
        </w:rPr>
        <w:t> </w:t>
      </w:r>
      <w:r>
        <w:rPr>
          <w:sz w:val="20"/>
        </w:rPr>
        <w:t>specific</w:t>
      </w:r>
      <w:r>
        <w:rPr>
          <w:spacing w:val="-6"/>
          <w:sz w:val="20"/>
        </w:rPr>
        <w:t> </w:t>
      </w:r>
      <w:r>
        <w:rPr>
          <w:spacing w:val="-3"/>
          <w:sz w:val="20"/>
        </w:rPr>
        <w:t>area</w:t>
      </w:r>
      <w:r>
        <w:rPr>
          <w:spacing w:val="-6"/>
          <w:sz w:val="20"/>
        </w:rPr>
        <w:t> </w:t>
      </w:r>
      <w:r>
        <w:rPr>
          <w:sz w:val="20"/>
        </w:rPr>
        <w:t>of</w:t>
      </w:r>
    </w:p>
    <w:p>
      <w:pPr>
        <w:pStyle w:val="BodyText"/>
        <w:spacing w:line="259" w:lineRule="exact"/>
        <w:ind w:left="1761"/>
        <w:jc w:val="both"/>
      </w:pPr>
      <w:r>
        <w:rPr/>
        <w:t>jury empanelment is limited and, to some extent, uncertain.</w:t>
      </w:r>
    </w:p>
    <w:p>
      <w:pPr>
        <w:pStyle w:val="Heading3"/>
        <w:spacing w:before="153"/>
      </w:pPr>
      <w:r>
        <w:rPr/>
        <w:t>Jury selection falls outside the Equal Opportunity Act</w:t>
      </w:r>
    </w:p>
    <w:p>
      <w:pPr>
        <w:pStyle w:val="ListParagraph"/>
        <w:numPr>
          <w:ilvl w:val="1"/>
          <w:numId w:val="12"/>
        </w:numPr>
        <w:tabs>
          <w:tab w:pos="1762" w:val="left" w:leader="none"/>
        </w:tabs>
        <w:spacing w:line="206" w:lineRule="auto" w:before="127" w:after="0"/>
        <w:ind w:left="1761" w:right="1252" w:hanging="794"/>
        <w:jc w:val="both"/>
        <w:rPr>
          <w:sz w:val="11"/>
        </w:rPr>
      </w:pPr>
      <w:r>
        <w:rPr>
          <w:sz w:val="20"/>
        </w:rPr>
        <w:t>Jury</w:t>
      </w:r>
      <w:r>
        <w:rPr>
          <w:spacing w:val="-10"/>
          <w:sz w:val="20"/>
        </w:rPr>
        <w:t> </w:t>
      </w:r>
      <w:r>
        <w:rPr>
          <w:sz w:val="20"/>
        </w:rPr>
        <w:t>empanelment</w:t>
      </w:r>
      <w:r>
        <w:rPr>
          <w:spacing w:val="-10"/>
          <w:sz w:val="20"/>
        </w:rPr>
        <w:t> </w:t>
      </w:r>
      <w:r>
        <w:rPr>
          <w:sz w:val="20"/>
        </w:rPr>
        <w:t>is</w:t>
      </w:r>
      <w:r>
        <w:rPr>
          <w:spacing w:val="-10"/>
          <w:sz w:val="20"/>
        </w:rPr>
        <w:t> </w:t>
      </w:r>
      <w:r>
        <w:rPr>
          <w:sz w:val="20"/>
        </w:rPr>
        <w:t>not</w:t>
      </w:r>
      <w:r>
        <w:rPr>
          <w:spacing w:val="-10"/>
          <w:sz w:val="20"/>
        </w:rPr>
        <w:t> </w:t>
      </w:r>
      <w:r>
        <w:rPr>
          <w:sz w:val="20"/>
        </w:rPr>
        <w:t>an</w:t>
      </w:r>
      <w:r>
        <w:rPr>
          <w:spacing w:val="-9"/>
          <w:sz w:val="20"/>
        </w:rPr>
        <w:t> </w:t>
      </w:r>
      <w:r>
        <w:rPr>
          <w:spacing w:val="-3"/>
          <w:sz w:val="20"/>
        </w:rPr>
        <w:t>area</w:t>
      </w:r>
      <w:r>
        <w:rPr>
          <w:spacing w:val="-10"/>
          <w:sz w:val="20"/>
        </w:rPr>
        <w:t> </w:t>
      </w:r>
      <w:r>
        <w:rPr>
          <w:sz w:val="20"/>
        </w:rPr>
        <w:t>of</w:t>
      </w:r>
      <w:r>
        <w:rPr>
          <w:spacing w:val="-10"/>
          <w:sz w:val="20"/>
        </w:rPr>
        <w:t> </w:t>
      </w:r>
      <w:r>
        <w:rPr>
          <w:sz w:val="20"/>
        </w:rPr>
        <w:t>public</w:t>
      </w:r>
      <w:r>
        <w:rPr>
          <w:spacing w:val="-10"/>
          <w:sz w:val="20"/>
        </w:rPr>
        <w:t> </w:t>
      </w:r>
      <w:r>
        <w:rPr>
          <w:sz w:val="20"/>
        </w:rPr>
        <w:t>life</w:t>
      </w:r>
      <w:r>
        <w:rPr>
          <w:spacing w:val="-10"/>
          <w:sz w:val="20"/>
        </w:rPr>
        <w:t> </w:t>
      </w:r>
      <w:r>
        <w:rPr>
          <w:sz w:val="20"/>
        </w:rPr>
        <w:t>in</w:t>
      </w:r>
      <w:r>
        <w:rPr>
          <w:spacing w:val="-9"/>
          <w:sz w:val="20"/>
        </w:rPr>
        <w:t> </w:t>
      </w:r>
      <w:r>
        <w:rPr>
          <w:sz w:val="20"/>
        </w:rPr>
        <w:t>which</w:t>
      </w:r>
      <w:r>
        <w:rPr>
          <w:spacing w:val="-10"/>
          <w:sz w:val="20"/>
        </w:rPr>
        <w:t> </w:t>
      </w:r>
      <w:r>
        <w:rPr>
          <w:sz w:val="20"/>
        </w:rPr>
        <w:t>discrimination</w:t>
      </w:r>
      <w:r>
        <w:rPr>
          <w:spacing w:val="-10"/>
          <w:sz w:val="20"/>
        </w:rPr>
        <w:t> </w:t>
      </w:r>
      <w:r>
        <w:rPr>
          <w:sz w:val="20"/>
        </w:rPr>
        <w:t>is</w:t>
      </w:r>
      <w:r>
        <w:rPr>
          <w:spacing w:val="-10"/>
          <w:sz w:val="20"/>
        </w:rPr>
        <w:t> </w:t>
      </w:r>
      <w:r>
        <w:rPr>
          <w:sz w:val="20"/>
        </w:rPr>
        <w:t>unlawful</w:t>
      </w:r>
      <w:r>
        <w:rPr>
          <w:spacing w:val="-9"/>
          <w:sz w:val="20"/>
        </w:rPr>
        <w:t> </w:t>
      </w:r>
      <w:r>
        <w:rPr>
          <w:sz w:val="20"/>
        </w:rPr>
        <w:t>under the EOA.</w:t>
      </w:r>
      <w:r>
        <w:rPr>
          <w:position w:val="7"/>
          <w:sz w:val="11"/>
        </w:rPr>
        <w:t>45 </w:t>
      </w:r>
      <w:r>
        <w:rPr>
          <w:sz w:val="20"/>
        </w:rPr>
        <w:t>The </w:t>
      </w:r>
      <w:r>
        <w:rPr>
          <w:spacing w:val="-5"/>
          <w:sz w:val="20"/>
        </w:rPr>
        <w:t>EOA </w:t>
      </w:r>
      <w:r>
        <w:rPr>
          <w:sz w:val="20"/>
        </w:rPr>
        <w:t>also </w:t>
      </w:r>
      <w:r>
        <w:rPr>
          <w:spacing w:val="-3"/>
          <w:sz w:val="20"/>
        </w:rPr>
        <w:t>provides </w:t>
      </w:r>
      <w:r>
        <w:rPr>
          <w:sz w:val="20"/>
        </w:rPr>
        <w:t>an </w:t>
      </w:r>
      <w:r>
        <w:rPr>
          <w:spacing w:val="-3"/>
          <w:sz w:val="20"/>
        </w:rPr>
        <w:t>exemption </w:t>
      </w:r>
      <w:r>
        <w:rPr>
          <w:sz w:val="20"/>
        </w:rPr>
        <w:t>to compliance if action is necessary to </w:t>
      </w:r>
      <w:r>
        <w:rPr>
          <w:spacing w:val="-3"/>
          <w:sz w:val="20"/>
        </w:rPr>
        <w:t>comply</w:t>
      </w:r>
      <w:r>
        <w:rPr>
          <w:spacing w:val="-5"/>
          <w:sz w:val="20"/>
        </w:rPr>
        <w:t> </w:t>
      </w:r>
      <w:r>
        <w:rPr>
          <w:sz w:val="20"/>
        </w:rPr>
        <w:t>with</w:t>
      </w:r>
      <w:r>
        <w:rPr>
          <w:spacing w:val="-4"/>
          <w:sz w:val="20"/>
        </w:rPr>
        <w:t> </w:t>
      </w:r>
      <w:r>
        <w:rPr>
          <w:sz w:val="20"/>
        </w:rPr>
        <w:t>the</w:t>
      </w:r>
      <w:r>
        <w:rPr>
          <w:spacing w:val="-4"/>
          <w:sz w:val="20"/>
        </w:rPr>
        <w:t> </w:t>
      </w:r>
      <w:r>
        <w:rPr>
          <w:spacing w:val="-3"/>
          <w:sz w:val="20"/>
        </w:rPr>
        <w:t>provision</w:t>
      </w:r>
      <w:r>
        <w:rPr>
          <w:spacing w:val="-4"/>
          <w:sz w:val="20"/>
        </w:rPr>
        <w:t> </w:t>
      </w:r>
      <w:r>
        <w:rPr>
          <w:sz w:val="20"/>
        </w:rPr>
        <w:t>of</w:t>
      </w:r>
      <w:r>
        <w:rPr>
          <w:spacing w:val="-4"/>
          <w:sz w:val="20"/>
        </w:rPr>
        <w:t> </w:t>
      </w:r>
      <w:r>
        <w:rPr>
          <w:sz w:val="20"/>
        </w:rPr>
        <w:t>another</w:t>
      </w:r>
      <w:r>
        <w:rPr>
          <w:spacing w:val="-5"/>
          <w:sz w:val="20"/>
        </w:rPr>
        <w:t> </w:t>
      </w:r>
      <w:r>
        <w:rPr>
          <w:spacing w:val="-2"/>
          <w:sz w:val="20"/>
        </w:rPr>
        <w:t>Act</w:t>
      </w:r>
      <w:r>
        <w:rPr>
          <w:spacing w:val="-4"/>
          <w:sz w:val="20"/>
        </w:rPr>
        <w:t> </w:t>
      </w:r>
      <w:r>
        <w:rPr>
          <w:sz w:val="20"/>
        </w:rPr>
        <w:t>or</w:t>
      </w:r>
      <w:r>
        <w:rPr>
          <w:spacing w:val="-4"/>
          <w:sz w:val="20"/>
        </w:rPr>
        <w:t> </w:t>
      </w:r>
      <w:r>
        <w:rPr>
          <w:sz w:val="20"/>
        </w:rPr>
        <w:t>an</w:t>
      </w:r>
      <w:r>
        <w:rPr>
          <w:spacing w:val="-4"/>
          <w:sz w:val="20"/>
        </w:rPr>
        <w:t> </w:t>
      </w:r>
      <w:r>
        <w:rPr>
          <w:sz w:val="20"/>
        </w:rPr>
        <w:t>order</w:t>
      </w:r>
      <w:r>
        <w:rPr>
          <w:spacing w:val="-4"/>
          <w:sz w:val="20"/>
        </w:rPr>
        <w:t> </w:t>
      </w:r>
      <w:r>
        <w:rPr>
          <w:sz w:val="20"/>
        </w:rPr>
        <w:t>of</w:t>
      </w:r>
      <w:r>
        <w:rPr>
          <w:spacing w:val="-5"/>
          <w:sz w:val="20"/>
        </w:rPr>
        <w:t> </w:t>
      </w:r>
      <w:r>
        <w:rPr>
          <w:sz w:val="20"/>
        </w:rPr>
        <w:t>the</w:t>
      </w:r>
      <w:r>
        <w:rPr>
          <w:spacing w:val="-4"/>
          <w:sz w:val="20"/>
        </w:rPr>
        <w:t> </w:t>
      </w:r>
      <w:r>
        <w:rPr>
          <w:sz w:val="20"/>
        </w:rPr>
        <w:t>court.</w:t>
      </w:r>
      <w:r>
        <w:rPr>
          <w:position w:val="7"/>
          <w:sz w:val="11"/>
        </w:rPr>
        <w:t>46</w:t>
      </w:r>
    </w:p>
    <w:p>
      <w:pPr>
        <w:pStyle w:val="Heading3"/>
        <w:spacing w:before="162"/>
      </w:pPr>
      <w:r>
        <w:rPr/>
        <w:t>The Charter</w:t>
      </w:r>
    </w:p>
    <w:p>
      <w:pPr>
        <w:pStyle w:val="ListParagraph"/>
        <w:numPr>
          <w:ilvl w:val="1"/>
          <w:numId w:val="12"/>
        </w:numPr>
        <w:tabs>
          <w:tab w:pos="1761" w:val="left" w:leader="none"/>
          <w:tab w:pos="1762" w:val="left" w:leader="none"/>
        </w:tabs>
        <w:spacing w:line="206" w:lineRule="auto" w:before="127" w:after="0"/>
        <w:ind w:left="1761" w:right="1791" w:hanging="794"/>
        <w:jc w:val="left"/>
        <w:rPr>
          <w:sz w:val="20"/>
        </w:rPr>
      </w:pPr>
      <w:r>
        <w:rPr>
          <w:sz w:val="20"/>
        </w:rPr>
        <w:t>The</w:t>
      </w:r>
      <w:r>
        <w:rPr>
          <w:spacing w:val="-12"/>
          <w:sz w:val="20"/>
        </w:rPr>
        <w:t> </w:t>
      </w:r>
      <w:r>
        <w:rPr>
          <w:sz w:val="20"/>
        </w:rPr>
        <w:t>application</w:t>
      </w:r>
      <w:r>
        <w:rPr>
          <w:spacing w:val="-11"/>
          <w:sz w:val="20"/>
        </w:rPr>
        <w:t> </w:t>
      </w:r>
      <w:r>
        <w:rPr>
          <w:sz w:val="20"/>
        </w:rPr>
        <w:t>of</w:t>
      </w:r>
      <w:r>
        <w:rPr>
          <w:spacing w:val="-11"/>
          <w:sz w:val="20"/>
        </w:rPr>
        <w:t> </w:t>
      </w:r>
      <w:r>
        <w:rPr>
          <w:sz w:val="20"/>
        </w:rPr>
        <w:t>the</w:t>
      </w:r>
      <w:r>
        <w:rPr>
          <w:spacing w:val="-12"/>
          <w:sz w:val="20"/>
        </w:rPr>
        <w:t> </w:t>
      </w:r>
      <w:r>
        <w:rPr>
          <w:sz w:val="20"/>
        </w:rPr>
        <w:t>Charter</w:t>
      </w:r>
      <w:r>
        <w:rPr>
          <w:spacing w:val="-11"/>
          <w:sz w:val="20"/>
        </w:rPr>
        <w:t> </w:t>
      </w:r>
      <w:r>
        <w:rPr>
          <w:sz w:val="20"/>
        </w:rPr>
        <w:t>to</w:t>
      </w:r>
      <w:r>
        <w:rPr>
          <w:spacing w:val="-11"/>
          <w:sz w:val="20"/>
        </w:rPr>
        <w:t> </w:t>
      </w:r>
      <w:r>
        <w:rPr>
          <w:sz w:val="20"/>
        </w:rPr>
        <w:t>the</w:t>
      </w:r>
      <w:r>
        <w:rPr>
          <w:spacing w:val="-11"/>
          <w:sz w:val="20"/>
        </w:rPr>
        <w:t> </w:t>
      </w:r>
      <w:r>
        <w:rPr>
          <w:sz w:val="20"/>
        </w:rPr>
        <w:t>jury</w:t>
      </w:r>
      <w:r>
        <w:rPr>
          <w:spacing w:val="-12"/>
          <w:sz w:val="20"/>
        </w:rPr>
        <w:t> </w:t>
      </w:r>
      <w:r>
        <w:rPr>
          <w:sz w:val="20"/>
        </w:rPr>
        <w:t>selection</w:t>
      </w:r>
      <w:r>
        <w:rPr>
          <w:spacing w:val="-11"/>
          <w:sz w:val="20"/>
        </w:rPr>
        <w:t> </w:t>
      </w:r>
      <w:r>
        <w:rPr>
          <w:sz w:val="20"/>
        </w:rPr>
        <w:t>process</w:t>
      </w:r>
      <w:r>
        <w:rPr>
          <w:spacing w:val="-11"/>
          <w:sz w:val="20"/>
        </w:rPr>
        <w:t> </w:t>
      </w:r>
      <w:r>
        <w:rPr>
          <w:sz w:val="20"/>
        </w:rPr>
        <w:t>is</w:t>
      </w:r>
      <w:r>
        <w:rPr>
          <w:spacing w:val="-11"/>
          <w:sz w:val="20"/>
        </w:rPr>
        <w:t> </w:t>
      </w:r>
      <w:r>
        <w:rPr>
          <w:sz w:val="20"/>
        </w:rPr>
        <w:t>not</w:t>
      </w:r>
      <w:r>
        <w:rPr>
          <w:spacing w:val="-12"/>
          <w:sz w:val="20"/>
        </w:rPr>
        <w:t> </w:t>
      </w:r>
      <w:r>
        <w:rPr>
          <w:sz w:val="20"/>
        </w:rPr>
        <w:t>straightforward. It differs depending on who is </w:t>
      </w:r>
      <w:r>
        <w:rPr>
          <w:spacing w:val="-3"/>
          <w:sz w:val="20"/>
        </w:rPr>
        <w:t>exercising </w:t>
      </w:r>
      <w:r>
        <w:rPr>
          <w:spacing w:val="-4"/>
          <w:sz w:val="20"/>
        </w:rPr>
        <w:t>power—the </w:t>
      </w:r>
      <w:r>
        <w:rPr>
          <w:sz w:val="20"/>
        </w:rPr>
        <w:t>Juries Commissioner or the courts—and</w:t>
      </w:r>
      <w:r>
        <w:rPr>
          <w:spacing w:val="-6"/>
          <w:sz w:val="20"/>
        </w:rPr>
        <w:t> </w:t>
      </w:r>
      <w:r>
        <w:rPr>
          <w:sz w:val="20"/>
        </w:rPr>
        <w:t>in</w:t>
      </w:r>
      <w:r>
        <w:rPr>
          <w:spacing w:val="-6"/>
          <w:sz w:val="20"/>
        </w:rPr>
        <w:t> </w:t>
      </w:r>
      <w:r>
        <w:rPr>
          <w:sz w:val="20"/>
        </w:rPr>
        <w:t>what</w:t>
      </w:r>
      <w:r>
        <w:rPr>
          <w:spacing w:val="-5"/>
          <w:sz w:val="20"/>
        </w:rPr>
        <w:t> </w:t>
      </w:r>
      <w:r>
        <w:rPr>
          <w:sz w:val="20"/>
        </w:rPr>
        <w:t>capacity</w:t>
      </w:r>
      <w:r>
        <w:rPr>
          <w:spacing w:val="-6"/>
          <w:sz w:val="20"/>
        </w:rPr>
        <w:t> </w:t>
      </w:r>
      <w:r>
        <w:rPr>
          <w:sz w:val="20"/>
        </w:rPr>
        <w:t>that</w:t>
      </w:r>
      <w:r>
        <w:rPr>
          <w:spacing w:val="-6"/>
          <w:sz w:val="20"/>
        </w:rPr>
        <w:t> </w:t>
      </w:r>
      <w:r>
        <w:rPr>
          <w:spacing w:val="-3"/>
          <w:sz w:val="20"/>
        </w:rPr>
        <w:t>power</w:t>
      </w:r>
      <w:r>
        <w:rPr>
          <w:spacing w:val="-5"/>
          <w:sz w:val="20"/>
        </w:rPr>
        <w:t> </w:t>
      </w:r>
      <w:r>
        <w:rPr>
          <w:sz w:val="20"/>
        </w:rPr>
        <w:t>is</w:t>
      </w:r>
      <w:r>
        <w:rPr>
          <w:spacing w:val="-6"/>
          <w:sz w:val="20"/>
        </w:rPr>
        <w:t> </w:t>
      </w:r>
      <w:r>
        <w:rPr>
          <w:spacing w:val="-3"/>
          <w:sz w:val="20"/>
        </w:rPr>
        <w:t>exercised</w:t>
      </w:r>
      <w:r>
        <w:rPr>
          <w:spacing w:val="-6"/>
          <w:sz w:val="20"/>
        </w:rPr>
        <w:t> </w:t>
      </w:r>
      <w:r>
        <w:rPr>
          <w:sz w:val="20"/>
        </w:rPr>
        <w:t>(discussed</w:t>
      </w:r>
      <w:r>
        <w:rPr>
          <w:spacing w:val="-5"/>
          <w:sz w:val="20"/>
        </w:rPr>
        <w:t> </w:t>
      </w:r>
      <w:r>
        <w:rPr>
          <w:spacing w:val="-4"/>
          <w:sz w:val="20"/>
        </w:rPr>
        <w:t>below).</w:t>
      </w:r>
    </w:p>
    <w:p>
      <w:pPr>
        <w:pStyle w:val="Heading6"/>
        <w:spacing w:before="129"/>
        <w:rPr>
          <w:b/>
        </w:rPr>
      </w:pPr>
      <w:r>
        <w:rPr>
          <w:b/>
        </w:rPr>
        <w:t>Does the Charter apply to the Juries Commissioner and Juries Victoria?</w:t>
      </w:r>
    </w:p>
    <w:p>
      <w:pPr>
        <w:pStyle w:val="ListParagraph"/>
        <w:numPr>
          <w:ilvl w:val="1"/>
          <w:numId w:val="12"/>
        </w:numPr>
        <w:tabs>
          <w:tab w:pos="1761" w:val="left" w:leader="none"/>
          <w:tab w:pos="1762" w:val="left" w:leader="none"/>
        </w:tabs>
        <w:spacing w:line="206" w:lineRule="auto" w:before="132" w:after="0"/>
        <w:ind w:left="1761" w:right="1376" w:hanging="794"/>
        <w:jc w:val="left"/>
        <w:rPr>
          <w:sz w:val="11"/>
        </w:rPr>
      </w:pPr>
      <w:r>
        <w:rPr>
          <w:sz w:val="20"/>
        </w:rPr>
        <w:t>The</w:t>
      </w:r>
      <w:r>
        <w:rPr>
          <w:spacing w:val="-10"/>
          <w:sz w:val="20"/>
        </w:rPr>
        <w:t> </w:t>
      </w:r>
      <w:r>
        <w:rPr>
          <w:sz w:val="20"/>
        </w:rPr>
        <w:t>Juries</w:t>
      </w:r>
      <w:r>
        <w:rPr>
          <w:spacing w:val="-9"/>
          <w:sz w:val="20"/>
        </w:rPr>
        <w:t> </w:t>
      </w:r>
      <w:r>
        <w:rPr>
          <w:sz w:val="20"/>
        </w:rPr>
        <w:t>Commission</w:t>
      </w:r>
      <w:r>
        <w:rPr>
          <w:spacing w:val="-9"/>
          <w:sz w:val="20"/>
        </w:rPr>
        <w:t> </w:t>
      </w:r>
      <w:r>
        <w:rPr>
          <w:sz w:val="20"/>
        </w:rPr>
        <w:t>is</w:t>
      </w:r>
      <w:r>
        <w:rPr>
          <w:spacing w:val="-9"/>
          <w:sz w:val="20"/>
        </w:rPr>
        <w:t> </w:t>
      </w:r>
      <w:r>
        <w:rPr>
          <w:sz w:val="20"/>
        </w:rPr>
        <w:t>a</w:t>
      </w:r>
      <w:r>
        <w:rPr>
          <w:spacing w:val="-9"/>
          <w:sz w:val="20"/>
        </w:rPr>
        <w:t> </w:t>
      </w:r>
      <w:r>
        <w:rPr>
          <w:sz w:val="20"/>
        </w:rPr>
        <w:t>public</w:t>
      </w:r>
      <w:r>
        <w:rPr>
          <w:spacing w:val="-9"/>
          <w:sz w:val="20"/>
        </w:rPr>
        <w:t> </w:t>
      </w:r>
      <w:r>
        <w:rPr>
          <w:sz w:val="20"/>
        </w:rPr>
        <w:t>authority</w:t>
      </w:r>
      <w:r>
        <w:rPr>
          <w:spacing w:val="-9"/>
          <w:sz w:val="20"/>
        </w:rPr>
        <w:t> </w:t>
      </w:r>
      <w:r>
        <w:rPr>
          <w:sz w:val="20"/>
        </w:rPr>
        <w:t>for</w:t>
      </w:r>
      <w:r>
        <w:rPr>
          <w:spacing w:val="-9"/>
          <w:sz w:val="20"/>
        </w:rPr>
        <w:t> </w:t>
      </w:r>
      <w:r>
        <w:rPr>
          <w:sz w:val="20"/>
        </w:rPr>
        <w:t>the</w:t>
      </w:r>
      <w:r>
        <w:rPr>
          <w:spacing w:val="-9"/>
          <w:sz w:val="20"/>
        </w:rPr>
        <w:t> </w:t>
      </w:r>
      <w:r>
        <w:rPr>
          <w:sz w:val="20"/>
        </w:rPr>
        <w:t>purposes</w:t>
      </w:r>
      <w:r>
        <w:rPr>
          <w:spacing w:val="-9"/>
          <w:sz w:val="20"/>
        </w:rPr>
        <w:t> </w:t>
      </w:r>
      <w:r>
        <w:rPr>
          <w:sz w:val="20"/>
        </w:rPr>
        <w:t>of</w:t>
      </w:r>
      <w:r>
        <w:rPr>
          <w:spacing w:val="-9"/>
          <w:sz w:val="20"/>
        </w:rPr>
        <w:t> </w:t>
      </w:r>
      <w:r>
        <w:rPr>
          <w:sz w:val="20"/>
        </w:rPr>
        <w:t>the</w:t>
      </w:r>
      <w:r>
        <w:rPr>
          <w:spacing w:val="-9"/>
          <w:sz w:val="20"/>
        </w:rPr>
        <w:t> </w:t>
      </w:r>
      <w:r>
        <w:rPr>
          <w:sz w:val="20"/>
        </w:rPr>
        <w:t>Charter.</w:t>
      </w:r>
      <w:r>
        <w:rPr>
          <w:position w:val="7"/>
          <w:sz w:val="11"/>
        </w:rPr>
        <w:t>47</w:t>
      </w:r>
      <w:r>
        <w:rPr>
          <w:spacing w:val="16"/>
          <w:position w:val="7"/>
          <w:sz w:val="11"/>
        </w:rPr>
        <w:t> </w:t>
      </w:r>
      <w:r>
        <w:rPr>
          <w:sz w:val="20"/>
        </w:rPr>
        <w:t>As</w:t>
      </w:r>
      <w:r>
        <w:rPr>
          <w:spacing w:val="-9"/>
          <w:sz w:val="20"/>
        </w:rPr>
        <w:t> </w:t>
      </w:r>
      <w:r>
        <w:rPr>
          <w:sz w:val="20"/>
        </w:rPr>
        <w:t>such, the Juries Commissioner must </w:t>
      </w:r>
      <w:r>
        <w:rPr>
          <w:spacing w:val="-3"/>
          <w:sz w:val="20"/>
        </w:rPr>
        <w:t>give </w:t>
      </w:r>
      <w:r>
        <w:rPr>
          <w:sz w:val="20"/>
        </w:rPr>
        <w:t>proper consideration to human rights and act </w:t>
      </w:r>
      <w:r>
        <w:rPr>
          <w:spacing w:val="-3"/>
          <w:sz w:val="20"/>
        </w:rPr>
        <w:t>compatibly </w:t>
      </w:r>
      <w:r>
        <w:rPr>
          <w:sz w:val="20"/>
        </w:rPr>
        <w:t>with the</w:t>
      </w:r>
      <w:r>
        <w:rPr>
          <w:spacing w:val="-10"/>
          <w:sz w:val="20"/>
        </w:rPr>
        <w:t> </w:t>
      </w:r>
      <w:r>
        <w:rPr>
          <w:sz w:val="20"/>
        </w:rPr>
        <w:t>Charter.</w:t>
      </w:r>
      <w:r>
        <w:rPr>
          <w:position w:val="7"/>
          <w:sz w:val="11"/>
        </w:rPr>
        <w:t>48</w:t>
      </w:r>
    </w:p>
    <w:p>
      <w:pPr>
        <w:pStyle w:val="ListParagraph"/>
        <w:numPr>
          <w:ilvl w:val="1"/>
          <w:numId w:val="12"/>
        </w:numPr>
        <w:tabs>
          <w:tab w:pos="1761" w:val="left" w:leader="none"/>
          <w:tab w:pos="1762" w:val="left" w:leader="none"/>
        </w:tabs>
        <w:spacing w:line="206" w:lineRule="auto" w:before="123" w:after="0"/>
        <w:ind w:left="1761" w:right="1251" w:hanging="794"/>
        <w:jc w:val="left"/>
        <w:rPr>
          <w:sz w:val="20"/>
        </w:rPr>
      </w:pPr>
      <w:r>
        <w:rPr>
          <w:sz w:val="20"/>
        </w:rPr>
        <w:t>Section</w:t>
      </w:r>
      <w:r>
        <w:rPr>
          <w:spacing w:val="-10"/>
          <w:sz w:val="20"/>
        </w:rPr>
        <w:t> </w:t>
      </w:r>
      <w:r>
        <w:rPr>
          <w:sz w:val="20"/>
        </w:rPr>
        <w:t>38</w:t>
      </w:r>
      <w:r>
        <w:rPr>
          <w:spacing w:val="-9"/>
          <w:sz w:val="20"/>
        </w:rPr>
        <w:t> </w:t>
      </w:r>
      <w:r>
        <w:rPr>
          <w:sz w:val="20"/>
        </w:rPr>
        <w:t>of</w:t>
      </w:r>
      <w:r>
        <w:rPr>
          <w:spacing w:val="-9"/>
          <w:sz w:val="20"/>
        </w:rPr>
        <w:t> </w:t>
      </w:r>
      <w:r>
        <w:rPr>
          <w:sz w:val="20"/>
        </w:rPr>
        <w:t>the</w:t>
      </w:r>
      <w:r>
        <w:rPr>
          <w:spacing w:val="-10"/>
          <w:sz w:val="20"/>
        </w:rPr>
        <w:t> </w:t>
      </w:r>
      <w:r>
        <w:rPr>
          <w:sz w:val="20"/>
        </w:rPr>
        <w:t>Charter</w:t>
      </w:r>
      <w:r>
        <w:rPr>
          <w:spacing w:val="-9"/>
          <w:sz w:val="20"/>
        </w:rPr>
        <w:t> </w:t>
      </w:r>
      <w:r>
        <w:rPr>
          <w:sz w:val="20"/>
        </w:rPr>
        <w:t>enables</w:t>
      </w:r>
      <w:r>
        <w:rPr>
          <w:spacing w:val="-9"/>
          <w:sz w:val="20"/>
        </w:rPr>
        <w:t> </w:t>
      </w:r>
      <w:r>
        <w:rPr>
          <w:sz w:val="20"/>
        </w:rPr>
        <w:t>a</w:t>
      </w:r>
      <w:r>
        <w:rPr>
          <w:spacing w:val="-10"/>
          <w:sz w:val="20"/>
        </w:rPr>
        <w:t> </w:t>
      </w:r>
      <w:r>
        <w:rPr>
          <w:sz w:val="20"/>
        </w:rPr>
        <w:t>public</w:t>
      </w:r>
      <w:r>
        <w:rPr>
          <w:spacing w:val="-9"/>
          <w:sz w:val="20"/>
        </w:rPr>
        <w:t> </w:t>
      </w:r>
      <w:r>
        <w:rPr>
          <w:sz w:val="20"/>
        </w:rPr>
        <w:t>authority</w:t>
      </w:r>
      <w:r>
        <w:rPr>
          <w:spacing w:val="-9"/>
          <w:sz w:val="20"/>
        </w:rPr>
        <w:t> </w:t>
      </w:r>
      <w:r>
        <w:rPr>
          <w:sz w:val="20"/>
        </w:rPr>
        <w:t>to</w:t>
      </w:r>
      <w:r>
        <w:rPr>
          <w:spacing w:val="-9"/>
          <w:sz w:val="20"/>
        </w:rPr>
        <w:t> </w:t>
      </w:r>
      <w:r>
        <w:rPr>
          <w:sz w:val="20"/>
        </w:rPr>
        <w:t>act</w:t>
      </w:r>
      <w:r>
        <w:rPr>
          <w:spacing w:val="-10"/>
          <w:sz w:val="20"/>
        </w:rPr>
        <w:t> </w:t>
      </w:r>
      <w:r>
        <w:rPr>
          <w:sz w:val="20"/>
        </w:rPr>
        <w:t>in</w:t>
      </w:r>
      <w:r>
        <w:rPr>
          <w:spacing w:val="-9"/>
          <w:sz w:val="20"/>
        </w:rPr>
        <w:t> </w:t>
      </w:r>
      <w:r>
        <w:rPr>
          <w:sz w:val="20"/>
        </w:rPr>
        <w:t>a</w:t>
      </w:r>
      <w:r>
        <w:rPr>
          <w:spacing w:val="-9"/>
          <w:sz w:val="20"/>
        </w:rPr>
        <w:t> </w:t>
      </w:r>
      <w:r>
        <w:rPr>
          <w:spacing w:val="-4"/>
          <w:sz w:val="20"/>
        </w:rPr>
        <w:t>way</w:t>
      </w:r>
      <w:r>
        <w:rPr>
          <w:spacing w:val="-10"/>
          <w:sz w:val="20"/>
        </w:rPr>
        <w:t> </w:t>
      </w:r>
      <w:r>
        <w:rPr>
          <w:sz w:val="20"/>
        </w:rPr>
        <w:t>that</w:t>
      </w:r>
      <w:r>
        <w:rPr>
          <w:spacing w:val="-9"/>
          <w:sz w:val="20"/>
        </w:rPr>
        <w:t> </w:t>
      </w:r>
      <w:r>
        <w:rPr>
          <w:sz w:val="20"/>
        </w:rPr>
        <w:t>is</w:t>
      </w:r>
      <w:r>
        <w:rPr>
          <w:spacing w:val="-9"/>
          <w:sz w:val="20"/>
        </w:rPr>
        <w:t> </w:t>
      </w:r>
      <w:r>
        <w:rPr>
          <w:sz w:val="20"/>
        </w:rPr>
        <w:t>incompatible with a human right or fails to </w:t>
      </w:r>
      <w:r>
        <w:rPr>
          <w:spacing w:val="-3"/>
          <w:sz w:val="20"/>
        </w:rPr>
        <w:t>give </w:t>
      </w:r>
      <w:r>
        <w:rPr>
          <w:sz w:val="20"/>
        </w:rPr>
        <w:t>proper consideration to a human right if it is giving effect to another law and could not </w:t>
      </w:r>
      <w:r>
        <w:rPr>
          <w:spacing w:val="-4"/>
          <w:sz w:val="20"/>
        </w:rPr>
        <w:t>have </w:t>
      </w:r>
      <w:r>
        <w:rPr>
          <w:sz w:val="20"/>
        </w:rPr>
        <w:t>acted </w:t>
      </w:r>
      <w:r>
        <w:rPr>
          <w:spacing w:val="-3"/>
          <w:sz w:val="20"/>
        </w:rPr>
        <w:t>differently </w:t>
      </w:r>
      <w:r>
        <w:rPr>
          <w:sz w:val="20"/>
        </w:rPr>
        <w:t>or made a different decision.</w:t>
      </w:r>
      <w:r>
        <w:rPr>
          <w:position w:val="7"/>
          <w:sz w:val="11"/>
        </w:rPr>
        <w:t>49 </w:t>
      </w:r>
      <w:r>
        <w:rPr>
          <w:sz w:val="20"/>
        </w:rPr>
        <w:t>Part 4 of the </w:t>
      </w:r>
      <w:r>
        <w:rPr>
          <w:i/>
          <w:sz w:val="20"/>
        </w:rPr>
        <w:t>Juries Act 2000 </w:t>
      </w:r>
      <w:r>
        <w:rPr>
          <w:sz w:val="20"/>
        </w:rPr>
        <w:t>(Vic) outlines various </w:t>
      </w:r>
      <w:r>
        <w:rPr>
          <w:spacing w:val="-3"/>
          <w:sz w:val="20"/>
        </w:rPr>
        <w:t>roles </w:t>
      </w:r>
      <w:r>
        <w:rPr>
          <w:sz w:val="20"/>
        </w:rPr>
        <w:t>of the Juries Commissioner. The Juries Commissioner has the statutory authority to determine eligibility</w:t>
      </w:r>
      <w:r>
        <w:rPr>
          <w:spacing w:val="-9"/>
          <w:sz w:val="20"/>
        </w:rPr>
        <w:t> </w:t>
      </w:r>
      <w:r>
        <w:rPr>
          <w:sz w:val="20"/>
        </w:rPr>
        <w:t>for</w:t>
      </w:r>
      <w:r>
        <w:rPr>
          <w:spacing w:val="-8"/>
          <w:sz w:val="20"/>
        </w:rPr>
        <w:t> </w:t>
      </w:r>
      <w:r>
        <w:rPr>
          <w:sz w:val="20"/>
        </w:rPr>
        <w:t>jury</w:t>
      </w:r>
      <w:r>
        <w:rPr>
          <w:spacing w:val="-8"/>
          <w:sz w:val="20"/>
        </w:rPr>
        <w:t> </w:t>
      </w:r>
      <w:r>
        <w:rPr>
          <w:sz w:val="20"/>
        </w:rPr>
        <w:t>duty</w:t>
      </w:r>
      <w:r>
        <w:rPr>
          <w:spacing w:val="-9"/>
          <w:sz w:val="20"/>
        </w:rPr>
        <w:t> </w:t>
      </w:r>
      <w:r>
        <w:rPr>
          <w:sz w:val="20"/>
        </w:rPr>
        <w:t>in</w:t>
      </w:r>
      <w:r>
        <w:rPr>
          <w:spacing w:val="-8"/>
          <w:sz w:val="20"/>
        </w:rPr>
        <w:t> </w:t>
      </w:r>
      <w:r>
        <w:rPr>
          <w:spacing w:val="-3"/>
          <w:sz w:val="20"/>
        </w:rPr>
        <w:t>accordance</w:t>
      </w:r>
      <w:r>
        <w:rPr>
          <w:spacing w:val="-8"/>
          <w:sz w:val="20"/>
        </w:rPr>
        <w:t> </w:t>
      </w:r>
      <w:r>
        <w:rPr>
          <w:sz w:val="20"/>
        </w:rPr>
        <w:t>with</w:t>
      </w:r>
      <w:r>
        <w:rPr>
          <w:spacing w:val="-9"/>
          <w:sz w:val="20"/>
        </w:rPr>
        <w:t> </w:t>
      </w:r>
      <w:r>
        <w:rPr>
          <w:sz w:val="20"/>
        </w:rPr>
        <w:t>the</w:t>
      </w:r>
      <w:r>
        <w:rPr>
          <w:spacing w:val="-8"/>
          <w:sz w:val="20"/>
        </w:rPr>
        <w:t> </w:t>
      </w:r>
      <w:r>
        <w:rPr>
          <w:sz w:val="20"/>
        </w:rPr>
        <w:t>Act.</w:t>
      </w:r>
      <w:r>
        <w:rPr>
          <w:position w:val="7"/>
          <w:sz w:val="11"/>
        </w:rPr>
        <w:t>50</w:t>
      </w:r>
      <w:r>
        <w:rPr>
          <w:spacing w:val="17"/>
          <w:position w:val="7"/>
          <w:sz w:val="11"/>
        </w:rPr>
        <w:t> </w:t>
      </w:r>
      <w:r>
        <w:rPr>
          <w:sz w:val="20"/>
        </w:rPr>
        <w:t>Without</w:t>
      </w:r>
      <w:r>
        <w:rPr>
          <w:spacing w:val="-9"/>
          <w:sz w:val="20"/>
        </w:rPr>
        <w:t> </w:t>
      </w:r>
      <w:r>
        <w:rPr>
          <w:sz w:val="20"/>
        </w:rPr>
        <w:t>provisions</w:t>
      </w:r>
      <w:r>
        <w:rPr>
          <w:spacing w:val="-8"/>
          <w:sz w:val="20"/>
        </w:rPr>
        <w:t> </w:t>
      </w:r>
      <w:r>
        <w:rPr>
          <w:sz w:val="20"/>
        </w:rPr>
        <w:t>in</w:t>
      </w:r>
      <w:r>
        <w:rPr>
          <w:spacing w:val="-8"/>
          <w:sz w:val="20"/>
        </w:rPr>
        <w:t> </w:t>
      </w:r>
      <w:r>
        <w:rPr>
          <w:sz w:val="20"/>
        </w:rPr>
        <w:t>the</w:t>
      </w:r>
      <w:r>
        <w:rPr>
          <w:spacing w:val="-8"/>
          <w:sz w:val="20"/>
        </w:rPr>
        <w:t> </w:t>
      </w:r>
      <w:r>
        <w:rPr>
          <w:sz w:val="20"/>
        </w:rPr>
        <w:t>Juries</w:t>
      </w:r>
      <w:r>
        <w:rPr>
          <w:spacing w:val="-9"/>
          <w:sz w:val="20"/>
        </w:rPr>
        <w:t> </w:t>
      </w:r>
      <w:r>
        <w:rPr>
          <w:spacing w:val="-2"/>
          <w:sz w:val="20"/>
        </w:rPr>
        <w:t>Act </w:t>
      </w:r>
      <w:r>
        <w:rPr>
          <w:sz w:val="20"/>
        </w:rPr>
        <w:t>to</w:t>
      </w:r>
      <w:r>
        <w:rPr>
          <w:spacing w:val="-11"/>
          <w:sz w:val="20"/>
        </w:rPr>
        <w:t> </w:t>
      </w:r>
      <w:r>
        <w:rPr>
          <w:spacing w:val="-3"/>
          <w:sz w:val="20"/>
        </w:rPr>
        <w:t>overcome</w:t>
      </w:r>
      <w:r>
        <w:rPr>
          <w:spacing w:val="-11"/>
          <w:sz w:val="20"/>
        </w:rPr>
        <w:t> </w:t>
      </w:r>
      <w:r>
        <w:rPr>
          <w:sz w:val="20"/>
        </w:rPr>
        <w:t>the</w:t>
      </w:r>
      <w:r>
        <w:rPr>
          <w:spacing w:val="-10"/>
          <w:sz w:val="20"/>
        </w:rPr>
        <w:t> </w:t>
      </w:r>
      <w:r>
        <w:rPr>
          <w:sz w:val="20"/>
        </w:rPr>
        <w:t>13th</w:t>
      </w:r>
      <w:r>
        <w:rPr>
          <w:spacing w:val="-11"/>
          <w:sz w:val="20"/>
        </w:rPr>
        <w:t> </w:t>
      </w:r>
      <w:r>
        <w:rPr>
          <w:sz w:val="20"/>
        </w:rPr>
        <w:t>person</w:t>
      </w:r>
      <w:r>
        <w:rPr>
          <w:spacing w:val="-11"/>
          <w:sz w:val="20"/>
        </w:rPr>
        <w:t> </w:t>
      </w:r>
      <w:r>
        <w:rPr>
          <w:spacing w:val="-3"/>
          <w:sz w:val="20"/>
        </w:rPr>
        <w:t>rule,</w:t>
      </w:r>
      <w:r>
        <w:rPr>
          <w:spacing w:val="-10"/>
          <w:sz w:val="20"/>
        </w:rPr>
        <w:t> </w:t>
      </w:r>
      <w:r>
        <w:rPr>
          <w:sz w:val="20"/>
        </w:rPr>
        <w:t>potential</w:t>
      </w:r>
      <w:r>
        <w:rPr>
          <w:spacing w:val="-11"/>
          <w:sz w:val="20"/>
        </w:rPr>
        <w:t> </w:t>
      </w:r>
      <w:r>
        <w:rPr>
          <w:sz w:val="20"/>
        </w:rPr>
        <w:t>jurors</w:t>
      </w:r>
      <w:r>
        <w:rPr>
          <w:spacing w:val="-11"/>
          <w:sz w:val="20"/>
        </w:rPr>
        <w:t> </w:t>
      </w:r>
      <w:r>
        <w:rPr>
          <w:sz w:val="20"/>
        </w:rPr>
        <w:t>in</w:t>
      </w:r>
      <w:r>
        <w:rPr>
          <w:spacing w:val="-10"/>
          <w:sz w:val="20"/>
        </w:rPr>
        <w:t> </w:t>
      </w:r>
      <w:r>
        <w:rPr>
          <w:sz w:val="20"/>
        </w:rPr>
        <w:t>the</w:t>
      </w:r>
      <w:r>
        <w:rPr>
          <w:spacing w:val="-11"/>
          <w:sz w:val="20"/>
        </w:rPr>
        <w:t> </w:t>
      </w:r>
      <w:r>
        <w:rPr>
          <w:sz w:val="20"/>
        </w:rPr>
        <w:t>subject</w:t>
      </w:r>
      <w:r>
        <w:rPr>
          <w:spacing w:val="-11"/>
          <w:sz w:val="20"/>
        </w:rPr>
        <w:t> </w:t>
      </w:r>
      <w:r>
        <w:rPr>
          <w:sz w:val="20"/>
        </w:rPr>
        <w:t>groups</w:t>
      </w:r>
      <w:r>
        <w:rPr>
          <w:spacing w:val="-10"/>
          <w:sz w:val="20"/>
        </w:rPr>
        <w:t> </w:t>
      </w:r>
      <w:r>
        <w:rPr>
          <w:spacing w:val="-3"/>
          <w:sz w:val="20"/>
        </w:rPr>
        <w:t>may</w:t>
      </w:r>
      <w:r>
        <w:rPr>
          <w:spacing w:val="-11"/>
          <w:sz w:val="20"/>
        </w:rPr>
        <w:t> </w:t>
      </w:r>
      <w:r>
        <w:rPr>
          <w:sz w:val="20"/>
        </w:rPr>
        <w:t>lawfully</w:t>
      </w:r>
      <w:r>
        <w:rPr>
          <w:spacing w:val="-11"/>
          <w:sz w:val="20"/>
        </w:rPr>
        <w:t> </w:t>
      </w:r>
      <w:r>
        <w:rPr>
          <w:sz w:val="20"/>
        </w:rPr>
        <w:t>be deemed ineligible to</w:t>
      </w:r>
      <w:r>
        <w:rPr>
          <w:spacing w:val="-13"/>
          <w:sz w:val="20"/>
        </w:rPr>
        <w:t> </w:t>
      </w:r>
      <w:r>
        <w:rPr>
          <w:sz w:val="20"/>
        </w:rPr>
        <w:t>serve.</w:t>
      </w:r>
    </w:p>
    <w:p>
      <w:pPr>
        <w:pStyle w:val="ListParagraph"/>
        <w:numPr>
          <w:ilvl w:val="1"/>
          <w:numId w:val="12"/>
        </w:numPr>
        <w:tabs>
          <w:tab w:pos="1761" w:val="left" w:leader="none"/>
          <w:tab w:pos="1762" w:val="left" w:leader="none"/>
        </w:tabs>
        <w:spacing w:line="206" w:lineRule="auto" w:before="130" w:after="0"/>
        <w:ind w:left="1761" w:right="1496" w:hanging="794"/>
        <w:jc w:val="left"/>
        <w:rPr>
          <w:sz w:val="20"/>
        </w:rPr>
      </w:pPr>
      <w:r>
        <w:rPr>
          <w:spacing w:val="-5"/>
          <w:sz w:val="20"/>
        </w:rPr>
        <w:t>However,</w:t>
      </w:r>
      <w:r>
        <w:rPr>
          <w:spacing w:val="-7"/>
          <w:sz w:val="20"/>
        </w:rPr>
        <w:t> </w:t>
      </w:r>
      <w:r>
        <w:rPr>
          <w:sz w:val="20"/>
        </w:rPr>
        <w:t>in</w:t>
      </w:r>
      <w:r>
        <w:rPr>
          <w:spacing w:val="-7"/>
          <w:sz w:val="20"/>
        </w:rPr>
        <w:t> </w:t>
      </w:r>
      <w:r>
        <w:rPr>
          <w:sz w:val="20"/>
        </w:rPr>
        <w:t>England</w:t>
      </w:r>
      <w:r>
        <w:rPr>
          <w:spacing w:val="-7"/>
          <w:sz w:val="20"/>
        </w:rPr>
        <w:t> </w:t>
      </w:r>
      <w:r>
        <w:rPr>
          <w:sz w:val="20"/>
        </w:rPr>
        <w:t>and</w:t>
      </w:r>
      <w:r>
        <w:rPr>
          <w:spacing w:val="-7"/>
          <w:sz w:val="20"/>
        </w:rPr>
        <w:t> </w:t>
      </w:r>
      <w:r>
        <w:rPr>
          <w:spacing w:val="-4"/>
          <w:sz w:val="20"/>
        </w:rPr>
        <w:t>Wales</w:t>
      </w:r>
      <w:r>
        <w:rPr>
          <w:spacing w:val="-7"/>
          <w:sz w:val="20"/>
        </w:rPr>
        <w:t> </w:t>
      </w:r>
      <w:r>
        <w:rPr>
          <w:spacing w:val="-3"/>
          <w:sz w:val="20"/>
        </w:rPr>
        <w:t>‘reasonable</w:t>
      </w:r>
      <w:r>
        <w:rPr>
          <w:spacing w:val="-7"/>
          <w:sz w:val="20"/>
        </w:rPr>
        <w:t> </w:t>
      </w:r>
      <w:r>
        <w:rPr>
          <w:spacing w:val="-2"/>
          <w:sz w:val="20"/>
        </w:rPr>
        <w:t>accommodations’</w:t>
      </w:r>
      <w:r>
        <w:rPr>
          <w:spacing w:val="-7"/>
          <w:sz w:val="20"/>
        </w:rPr>
        <w:t> </w:t>
      </w:r>
      <w:r>
        <w:rPr>
          <w:sz w:val="20"/>
        </w:rPr>
        <w:t>to</w:t>
      </w:r>
      <w:r>
        <w:rPr>
          <w:spacing w:val="-7"/>
          <w:sz w:val="20"/>
        </w:rPr>
        <w:t> </w:t>
      </w:r>
      <w:r>
        <w:rPr>
          <w:sz w:val="20"/>
        </w:rPr>
        <w:t>enable</w:t>
      </w:r>
      <w:r>
        <w:rPr>
          <w:spacing w:val="-7"/>
          <w:sz w:val="20"/>
        </w:rPr>
        <w:t> </w:t>
      </w:r>
      <w:r>
        <w:rPr>
          <w:sz w:val="20"/>
        </w:rPr>
        <w:t>jury</w:t>
      </w:r>
      <w:r>
        <w:rPr>
          <w:spacing w:val="-6"/>
          <w:sz w:val="20"/>
        </w:rPr>
        <w:t> </w:t>
      </w:r>
      <w:r>
        <w:rPr>
          <w:sz w:val="20"/>
        </w:rPr>
        <w:t>service </w:t>
      </w:r>
      <w:r>
        <w:rPr>
          <w:spacing w:val="-4"/>
          <w:sz w:val="20"/>
        </w:rPr>
        <w:t>have </w:t>
      </w:r>
      <w:r>
        <w:rPr>
          <w:sz w:val="20"/>
        </w:rPr>
        <w:t>been </w:t>
      </w:r>
      <w:r>
        <w:rPr>
          <w:spacing w:val="-3"/>
          <w:sz w:val="20"/>
        </w:rPr>
        <w:t>provided </w:t>
      </w:r>
      <w:r>
        <w:rPr>
          <w:sz w:val="20"/>
        </w:rPr>
        <w:t>to people in the subject groups for </w:t>
      </w:r>
      <w:r>
        <w:rPr>
          <w:spacing w:val="-3"/>
          <w:sz w:val="20"/>
        </w:rPr>
        <w:t>many </w:t>
      </w:r>
      <w:r>
        <w:rPr>
          <w:sz w:val="20"/>
        </w:rPr>
        <w:t>years. There </w:t>
      </w:r>
      <w:r>
        <w:rPr>
          <w:spacing w:val="-3"/>
          <w:sz w:val="20"/>
        </w:rPr>
        <w:t>are </w:t>
      </w:r>
      <w:r>
        <w:rPr>
          <w:sz w:val="20"/>
        </w:rPr>
        <w:t>protocols in place to accommodate people with disabilities and enable them to serve</w:t>
      </w:r>
      <w:r>
        <w:rPr>
          <w:spacing w:val="-7"/>
          <w:sz w:val="20"/>
        </w:rPr>
        <w:t> </w:t>
      </w:r>
      <w:r>
        <w:rPr>
          <w:sz w:val="20"/>
        </w:rPr>
        <w:t>on</w:t>
      </w:r>
      <w:r>
        <w:rPr>
          <w:spacing w:val="-7"/>
          <w:sz w:val="20"/>
        </w:rPr>
        <w:t> </w:t>
      </w:r>
      <w:r>
        <w:rPr>
          <w:sz w:val="20"/>
        </w:rPr>
        <w:t>juries</w:t>
      </w:r>
      <w:r>
        <w:rPr>
          <w:spacing w:val="-7"/>
          <w:sz w:val="20"/>
        </w:rPr>
        <w:t> </w:t>
      </w:r>
      <w:r>
        <w:rPr>
          <w:spacing w:val="-3"/>
          <w:sz w:val="20"/>
        </w:rPr>
        <w:t>provided</w:t>
      </w:r>
      <w:r>
        <w:rPr>
          <w:spacing w:val="-7"/>
          <w:sz w:val="20"/>
        </w:rPr>
        <w:t> </w:t>
      </w:r>
      <w:r>
        <w:rPr>
          <w:sz w:val="20"/>
        </w:rPr>
        <w:t>they</w:t>
      </w:r>
      <w:r>
        <w:rPr>
          <w:spacing w:val="-7"/>
          <w:sz w:val="20"/>
        </w:rPr>
        <w:t> </w:t>
      </w:r>
      <w:r>
        <w:rPr>
          <w:spacing w:val="-4"/>
          <w:sz w:val="20"/>
        </w:rPr>
        <w:t>have</w:t>
      </w:r>
      <w:r>
        <w:rPr>
          <w:spacing w:val="-7"/>
          <w:sz w:val="20"/>
        </w:rPr>
        <w:t> </w:t>
      </w:r>
      <w:r>
        <w:rPr>
          <w:sz w:val="20"/>
        </w:rPr>
        <w:t>not</w:t>
      </w:r>
      <w:r>
        <w:rPr>
          <w:spacing w:val="-7"/>
          <w:sz w:val="20"/>
        </w:rPr>
        <w:t> </w:t>
      </w:r>
      <w:r>
        <w:rPr>
          <w:spacing w:val="-3"/>
          <w:sz w:val="20"/>
        </w:rPr>
        <w:t>required</w:t>
      </w:r>
      <w:r>
        <w:rPr>
          <w:spacing w:val="-7"/>
          <w:sz w:val="20"/>
        </w:rPr>
        <w:t> </w:t>
      </w:r>
      <w:r>
        <w:rPr>
          <w:sz w:val="20"/>
        </w:rPr>
        <w:t>the</w:t>
      </w:r>
      <w:r>
        <w:rPr>
          <w:spacing w:val="-6"/>
          <w:sz w:val="20"/>
        </w:rPr>
        <w:t> </w:t>
      </w:r>
      <w:r>
        <w:rPr>
          <w:sz w:val="20"/>
        </w:rPr>
        <w:t>assistance</w:t>
      </w:r>
      <w:r>
        <w:rPr>
          <w:spacing w:val="-7"/>
          <w:sz w:val="20"/>
        </w:rPr>
        <w:t> </w:t>
      </w:r>
      <w:r>
        <w:rPr>
          <w:sz w:val="20"/>
        </w:rPr>
        <w:t>of</w:t>
      </w:r>
      <w:r>
        <w:rPr>
          <w:spacing w:val="-7"/>
          <w:sz w:val="20"/>
        </w:rPr>
        <w:t> </w:t>
      </w:r>
      <w:r>
        <w:rPr>
          <w:sz w:val="20"/>
        </w:rPr>
        <w:t>a</w:t>
      </w:r>
      <w:r>
        <w:rPr>
          <w:spacing w:val="-7"/>
          <w:sz w:val="20"/>
        </w:rPr>
        <w:t> </w:t>
      </w:r>
      <w:r>
        <w:rPr>
          <w:sz w:val="20"/>
        </w:rPr>
        <w:t>non-juror</w:t>
      </w:r>
      <w:r>
        <w:rPr>
          <w:spacing w:val="-7"/>
          <w:sz w:val="20"/>
        </w:rPr>
        <w:t> </w:t>
      </w:r>
      <w:r>
        <w:rPr>
          <w:sz w:val="20"/>
        </w:rPr>
        <w:t>in</w:t>
      </w:r>
      <w:r>
        <w:rPr>
          <w:spacing w:val="-7"/>
          <w:sz w:val="20"/>
        </w:rPr>
        <w:t> </w:t>
      </w:r>
      <w:r>
        <w:rPr>
          <w:sz w:val="20"/>
        </w:rPr>
        <w:t>jury</w:t>
      </w:r>
    </w:p>
    <w:p>
      <w:pPr>
        <w:pStyle w:val="BodyText"/>
        <w:spacing w:line="206" w:lineRule="auto" w:before="6"/>
        <w:ind w:left="1761" w:right="1369"/>
        <w:jc w:val="both"/>
      </w:pPr>
      <w:r>
        <w:rPr/>
        <w:t>deliberations.</w:t>
      </w:r>
      <w:r>
        <w:rPr>
          <w:position w:val="7"/>
          <w:sz w:val="11"/>
        </w:rPr>
        <w:t>51</w:t>
      </w:r>
      <w:r>
        <w:rPr>
          <w:spacing w:val="12"/>
          <w:position w:val="7"/>
          <w:sz w:val="11"/>
        </w:rPr>
        <w:t> </w:t>
      </w:r>
      <w:r>
        <w:rPr/>
        <w:t>This</w:t>
      </w:r>
      <w:r>
        <w:rPr>
          <w:spacing w:val="-12"/>
        </w:rPr>
        <w:t> </w:t>
      </w:r>
      <w:r>
        <w:rPr/>
        <w:t>has</w:t>
      </w:r>
      <w:r>
        <w:rPr>
          <w:spacing w:val="-12"/>
        </w:rPr>
        <w:t> </w:t>
      </w:r>
      <w:r>
        <w:rPr/>
        <w:t>occurred</w:t>
      </w:r>
      <w:r>
        <w:rPr>
          <w:spacing w:val="-13"/>
        </w:rPr>
        <w:t> </w:t>
      </w:r>
      <w:r>
        <w:rPr/>
        <w:t>through</w:t>
      </w:r>
      <w:r>
        <w:rPr>
          <w:spacing w:val="-12"/>
        </w:rPr>
        <w:t> </w:t>
      </w:r>
      <w:r>
        <w:rPr/>
        <w:t>a</w:t>
      </w:r>
      <w:r>
        <w:rPr>
          <w:spacing w:val="-12"/>
        </w:rPr>
        <w:t> </w:t>
      </w:r>
      <w:r>
        <w:rPr/>
        <w:t>coordinated</w:t>
      </w:r>
      <w:r>
        <w:rPr>
          <w:spacing w:val="-12"/>
        </w:rPr>
        <w:t> </w:t>
      </w:r>
      <w:r>
        <w:rPr/>
        <w:t>approach</w:t>
      </w:r>
      <w:r>
        <w:rPr>
          <w:spacing w:val="-12"/>
        </w:rPr>
        <w:t> </w:t>
      </w:r>
      <w:r>
        <w:rPr>
          <w:spacing w:val="-3"/>
        </w:rPr>
        <w:t>by</w:t>
      </w:r>
      <w:r>
        <w:rPr>
          <w:spacing w:val="-12"/>
        </w:rPr>
        <w:t> </w:t>
      </w:r>
      <w:r>
        <w:rPr/>
        <w:t>the</w:t>
      </w:r>
      <w:r>
        <w:rPr>
          <w:spacing w:val="-13"/>
        </w:rPr>
        <w:t> </w:t>
      </w:r>
      <w:r>
        <w:rPr/>
        <w:t>Jury</w:t>
      </w:r>
      <w:r>
        <w:rPr>
          <w:spacing w:val="-12"/>
        </w:rPr>
        <w:t> </w:t>
      </w:r>
      <w:r>
        <w:rPr/>
        <w:t>Central Summoning</w:t>
      </w:r>
      <w:r>
        <w:rPr>
          <w:spacing w:val="-11"/>
        </w:rPr>
        <w:t> </w:t>
      </w:r>
      <w:r>
        <w:rPr/>
        <w:t>Bureau</w:t>
      </w:r>
      <w:r>
        <w:rPr>
          <w:spacing w:val="-11"/>
        </w:rPr>
        <w:t> </w:t>
      </w:r>
      <w:r>
        <w:rPr/>
        <w:t>(the</w:t>
      </w:r>
      <w:r>
        <w:rPr>
          <w:spacing w:val="-10"/>
        </w:rPr>
        <w:t> </w:t>
      </w:r>
      <w:r>
        <w:rPr/>
        <w:t>equivalent</w:t>
      </w:r>
      <w:r>
        <w:rPr>
          <w:spacing w:val="-11"/>
        </w:rPr>
        <w:t> </w:t>
      </w:r>
      <w:r>
        <w:rPr/>
        <w:t>of</w:t>
      </w:r>
      <w:r>
        <w:rPr>
          <w:spacing w:val="-10"/>
        </w:rPr>
        <w:t> </w:t>
      </w:r>
      <w:r>
        <w:rPr>
          <w:spacing w:val="-3"/>
        </w:rPr>
        <w:t>Victoria’s</w:t>
      </w:r>
      <w:r>
        <w:rPr>
          <w:spacing w:val="-11"/>
        </w:rPr>
        <w:t> </w:t>
      </w:r>
      <w:r>
        <w:rPr/>
        <w:t>Juries</w:t>
      </w:r>
      <w:r>
        <w:rPr>
          <w:spacing w:val="-10"/>
        </w:rPr>
        <w:t> </w:t>
      </w:r>
      <w:r>
        <w:rPr/>
        <w:t>Commissioner)</w:t>
      </w:r>
      <w:r>
        <w:rPr>
          <w:spacing w:val="-11"/>
        </w:rPr>
        <w:t> </w:t>
      </w:r>
      <w:r>
        <w:rPr/>
        <w:t>and</w:t>
      </w:r>
      <w:r>
        <w:rPr>
          <w:spacing w:val="-10"/>
        </w:rPr>
        <w:t> </w:t>
      </w:r>
      <w:r>
        <w:rPr/>
        <w:t>the</w:t>
      </w:r>
      <w:r>
        <w:rPr>
          <w:spacing w:val="-11"/>
        </w:rPr>
        <w:t> </w:t>
      </w:r>
      <w:r>
        <w:rPr/>
        <w:t>courts. The</w:t>
      </w:r>
      <w:r>
        <w:rPr>
          <w:spacing w:val="-8"/>
        </w:rPr>
        <w:t> </w:t>
      </w:r>
      <w:r>
        <w:rPr>
          <w:i/>
        </w:rPr>
        <w:t>Equal</w:t>
      </w:r>
      <w:r>
        <w:rPr>
          <w:i/>
          <w:spacing w:val="-7"/>
        </w:rPr>
        <w:t> </w:t>
      </w:r>
      <w:r>
        <w:rPr>
          <w:i/>
          <w:spacing w:val="-4"/>
        </w:rPr>
        <w:t>Treatment</w:t>
      </w:r>
      <w:r>
        <w:rPr>
          <w:i/>
          <w:spacing w:val="-7"/>
        </w:rPr>
        <w:t> </w:t>
      </w:r>
      <w:r>
        <w:rPr>
          <w:i/>
        </w:rPr>
        <w:t>Bench</w:t>
      </w:r>
      <w:r>
        <w:rPr>
          <w:i/>
          <w:spacing w:val="-7"/>
        </w:rPr>
        <w:t> </w:t>
      </w:r>
      <w:r>
        <w:rPr>
          <w:i/>
        </w:rPr>
        <w:t>Book</w:t>
      </w:r>
      <w:r>
        <w:rPr>
          <w:i/>
          <w:spacing w:val="-6"/>
        </w:rPr>
        <w:t> </w:t>
      </w:r>
      <w:r>
        <w:rPr/>
        <w:t>for</w:t>
      </w:r>
      <w:r>
        <w:rPr>
          <w:spacing w:val="-7"/>
        </w:rPr>
        <w:t> </w:t>
      </w:r>
      <w:r>
        <w:rPr/>
        <w:t>judges</w:t>
      </w:r>
      <w:r>
        <w:rPr>
          <w:spacing w:val="-7"/>
        </w:rPr>
        <w:t> </w:t>
      </w:r>
      <w:r>
        <w:rPr/>
        <w:t>in</w:t>
      </w:r>
      <w:r>
        <w:rPr>
          <w:spacing w:val="-7"/>
        </w:rPr>
        <w:t> </w:t>
      </w:r>
      <w:r>
        <w:rPr/>
        <w:t>the</w:t>
      </w:r>
      <w:r>
        <w:rPr>
          <w:spacing w:val="-7"/>
        </w:rPr>
        <w:t> </w:t>
      </w:r>
      <w:r>
        <w:rPr/>
        <w:t>United</w:t>
      </w:r>
      <w:r>
        <w:rPr>
          <w:spacing w:val="-8"/>
        </w:rPr>
        <w:t> </w:t>
      </w:r>
      <w:r>
        <w:rPr/>
        <w:t>Kingdom</w:t>
      </w:r>
      <w:r>
        <w:rPr>
          <w:spacing w:val="-7"/>
        </w:rPr>
        <w:t> </w:t>
      </w:r>
      <w:r>
        <w:rPr/>
        <w:t>explains</w:t>
      </w:r>
      <w:r>
        <w:rPr>
          <w:spacing w:val="-7"/>
        </w:rPr>
        <w:t> </w:t>
      </w:r>
      <w:r>
        <w:rPr/>
        <w:t>that:</w:t>
      </w:r>
    </w:p>
    <w:p>
      <w:pPr>
        <w:spacing w:line="208" w:lineRule="auto" w:before="121"/>
        <w:ind w:left="2157" w:right="1335" w:firstLine="0"/>
        <w:jc w:val="left"/>
        <w:rPr>
          <w:sz w:val="19"/>
        </w:rPr>
      </w:pPr>
      <w:r>
        <w:rPr>
          <w:sz w:val="19"/>
        </w:rPr>
        <w:t>It</w:t>
      </w:r>
      <w:r>
        <w:rPr>
          <w:spacing w:val="-4"/>
          <w:sz w:val="19"/>
        </w:rPr>
        <w:t> </w:t>
      </w:r>
      <w:r>
        <w:rPr>
          <w:sz w:val="19"/>
        </w:rPr>
        <w:t>is</w:t>
      </w:r>
      <w:r>
        <w:rPr>
          <w:spacing w:val="-3"/>
          <w:sz w:val="19"/>
        </w:rPr>
        <w:t> </w:t>
      </w:r>
      <w:r>
        <w:rPr>
          <w:sz w:val="19"/>
        </w:rPr>
        <w:t>not</w:t>
      </w:r>
      <w:r>
        <w:rPr>
          <w:spacing w:val="-3"/>
          <w:sz w:val="19"/>
        </w:rPr>
        <w:t> </w:t>
      </w:r>
      <w:r>
        <w:rPr>
          <w:sz w:val="19"/>
        </w:rPr>
        <w:t>a</w:t>
      </w:r>
      <w:r>
        <w:rPr>
          <w:spacing w:val="-3"/>
          <w:sz w:val="19"/>
        </w:rPr>
        <w:t> </w:t>
      </w:r>
      <w:r>
        <w:rPr>
          <w:sz w:val="19"/>
        </w:rPr>
        <w:t>question</w:t>
      </w:r>
      <w:r>
        <w:rPr>
          <w:spacing w:val="-3"/>
          <w:sz w:val="19"/>
        </w:rPr>
        <w:t> </w:t>
      </w:r>
      <w:r>
        <w:rPr>
          <w:sz w:val="19"/>
        </w:rPr>
        <w:t>of</w:t>
      </w:r>
      <w:r>
        <w:rPr>
          <w:spacing w:val="-3"/>
          <w:sz w:val="19"/>
        </w:rPr>
        <w:t> </w:t>
      </w:r>
      <w:r>
        <w:rPr>
          <w:sz w:val="19"/>
        </w:rPr>
        <w:t>being</w:t>
      </w:r>
      <w:r>
        <w:rPr>
          <w:spacing w:val="-4"/>
          <w:sz w:val="19"/>
        </w:rPr>
        <w:t> </w:t>
      </w:r>
      <w:r>
        <w:rPr>
          <w:sz w:val="19"/>
        </w:rPr>
        <w:t>‘kind</w:t>
      </w:r>
      <w:r>
        <w:rPr>
          <w:spacing w:val="-3"/>
          <w:sz w:val="19"/>
        </w:rPr>
        <w:t> </w:t>
      </w:r>
      <w:r>
        <w:rPr>
          <w:sz w:val="19"/>
        </w:rPr>
        <w:t>and</w:t>
      </w:r>
      <w:r>
        <w:rPr>
          <w:spacing w:val="-3"/>
          <w:sz w:val="19"/>
        </w:rPr>
        <w:t> </w:t>
      </w:r>
      <w:r>
        <w:rPr>
          <w:sz w:val="19"/>
        </w:rPr>
        <w:t>sympathetic’</w:t>
      </w:r>
      <w:r>
        <w:rPr>
          <w:spacing w:val="-3"/>
          <w:sz w:val="19"/>
        </w:rPr>
        <w:t> </w:t>
      </w:r>
      <w:r>
        <w:rPr>
          <w:sz w:val="19"/>
        </w:rPr>
        <w:t>towards</w:t>
      </w:r>
      <w:r>
        <w:rPr>
          <w:spacing w:val="-3"/>
          <w:sz w:val="19"/>
        </w:rPr>
        <w:t> </w:t>
      </w:r>
      <w:r>
        <w:rPr>
          <w:sz w:val="19"/>
        </w:rPr>
        <w:t>a</w:t>
      </w:r>
      <w:r>
        <w:rPr>
          <w:spacing w:val="-3"/>
          <w:sz w:val="19"/>
        </w:rPr>
        <w:t> </w:t>
      </w:r>
      <w:r>
        <w:rPr>
          <w:sz w:val="19"/>
        </w:rPr>
        <w:t>disabled</w:t>
      </w:r>
      <w:r>
        <w:rPr>
          <w:spacing w:val="-4"/>
          <w:sz w:val="19"/>
        </w:rPr>
        <w:t> </w:t>
      </w:r>
      <w:r>
        <w:rPr>
          <w:sz w:val="19"/>
        </w:rPr>
        <w:t>person.</w:t>
      </w:r>
      <w:r>
        <w:rPr>
          <w:spacing w:val="-3"/>
          <w:sz w:val="19"/>
        </w:rPr>
        <w:t> </w:t>
      </w:r>
      <w:r>
        <w:rPr>
          <w:sz w:val="19"/>
        </w:rPr>
        <w:t>That</w:t>
      </w:r>
      <w:r>
        <w:rPr>
          <w:spacing w:val="-3"/>
          <w:sz w:val="19"/>
        </w:rPr>
        <w:t> </w:t>
      </w:r>
      <w:r>
        <w:rPr>
          <w:sz w:val="19"/>
        </w:rPr>
        <w:t>is patronising. The important point is that disabled litigants, defendants and witnesses (and where appropriate, advocates, jurors and others involved in the court process) are able to participate fully in the process of justice. Making reasonable adjustments or accommodating the needs of disabled people is not a form of favouritism or bias towards</w:t>
      </w:r>
      <w:r>
        <w:rPr>
          <w:spacing w:val="-4"/>
          <w:sz w:val="19"/>
        </w:rPr>
        <w:t> </w:t>
      </w:r>
      <w:r>
        <w:rPr>
          <w:sz w:val="19"/>
        </w:rPr>
        <w:t>them,</w:t>
      </w:r>
      <w:r>
        <w:rPr>
          <w:spacing w:val="-4"/>
          <w:sz w:val="19"/>
        </w:rPr>
        <w:t> </w:t>
      </w:r>
      <w:r>
        <w:rPr>
          <w:sz w:val="19"/>
        </w:rPr>
        <w:t>but</w:t>
      </w:r>
      <w:r>
        <w:rPr>
          <w:spacing w:val="-4"/>
          <w:sz w:val="19"/>
        </w:rPr>
        <w:t> </w:t>
      </w:r>
      <w:r>
        <w:rPr>
          <w:sz w:val="19"/>
        </w:rPr>
        <w:t>part</w:t>
      </w:r>
      <w:r>
        <w:rPr>
          <w:spacing w:val="-4"/>
          <w:sz w:val="19"/>
        </w:rPr>
        <w:t> </w:t>
      </w:r>
      <w:r>
        <w:rPr>
          <w:sz w:val="19"/>
        </w:rPr>
        <w:t>of</w:t>
      </w:r>
      <w:r>
        <w:rPr>
          <w:spacing w:val="-4"/>
          <w:sz w:val="19"/>
        </w:rPr>
        <w:t> </w:t>
      </w:r>
      <w:r>
        <w:rPr>
          <w:sz w:val="19"/>
        </w:rPr>
        <w:t>showing</w:t>
      </w:r>
      <w:r>
        <w:rPr>
          <w:spacing w:val="-4"/>
          <w:sz w:val="19"/>
        </w:rPr>
        <w:t> </w:t>
      </w:r>
      <w:r>
        <w:rPr>
          <w:sz w:val="19"/>
        </w:rPr>
        <w:t>respect</w:t>
      </w:r>
      <w:r>
        <w:rPr>
          <w:spacing w:val="-4"/>
          <w:sz w:val="19"/>
        </w:rPr>
        <w:t> </w:t>
      </w:r>
      <w:r>
        <w:rPr>
          <w:sz w:val="19"/>
        </w:rPr>
        <w:t>for</w:t>
      </w:r>
      <w:r>
        <w:rPr>
          <w:spacing w:val="-4"/>
          <w:sz w:val="19"/>
        </w:rPr>
        <w:t> </w:t>
      </w:r>
      <w:r>
        <w:rPr>
          <w:sz w:val="19"/>
        </w:rPr>
        <w:t>people’s</w:t>
      </w:r>
      <w:r>
        <w:rPr>
          <w:spacing w:val="-4"/>
          <w:sz w:val="19"/>
        </w:rPr>
        <w:t> </w:t>
      </w:r>
      <w:r>
        <w:rPr>
          <w:sz w:val="19"/>
        </w:rPr>
        <w:t>differences</w:t>
      </w:r>
      <w:r>
        <w:rPr>
          <w:spacing w:val="-4"/>
          <w:sz w:val="19"/>
        </w:rPr>
        <w:t> </w:t>
      </w:r>
      <w:r>
        <w:rPr>
          <w:sz w:val="19"/>
        </w:rPr>
        <w:t>and</w:t>
      </w:r>
      <w:r>
        <w:rPr>
          <w:spacing w:val="-4"/>
          <w:sz w:val="19"/>
        </w:rPr>
        <w:t> </w:t>
      </w:r>
      <w:r>
        <w:rPr>
          <w:sz w:val="19"/>
        </w:rPr>
        <w:t>helping</w:t>
      </w:r>
    </w:p>
    <w:p>
      <w:pPr>
        <w:spacing w:line="222" w:lineRule="exact" w:before="0"/>
        <w:ind w:left="2157" w:right="0" w:firstLine="0"/>
        <w:jc w:val="left"/>
        <w:rPr>
          <w:sz w:val="19"/>
        </w:rPr>
      </w:pPr>
      <w:r>
        <w:rPr>
          <w:sz w:val="19"/>
        </w:rPr>
        <w:t>to</w:t>
      </w:r>
      <w:r>
        <w:rPr>
          <w:spacing w:val="-7"/>
          <w:sz w:val="19"/>
        </w:rPr>
        <w:t> </w:t>
      </w:r>
      <w:r>
        <w:rPr>
          <w:sz w:val="19"/>
        </w:rPr>
        <w:t>provide</w:t>
      </w:r>
      <w:r>
        <w:rPr>
          <w:spacing w:val="-6"/>
          <w:sz w:val="19"/>
        </w:rPr>
        <w:t> </w:t>
      </w:r>
      <w:r>
        <w:rPr>
          <w:sz w:val="19"/>
        </w:rPr>
        <w:t>a</w:t>
      </w:r>
      <w:r>
        <w:rPr>
          <w:spacing w:val="-7"/>
          <w:sz w:val="19"/>
        </w:rPr>
        <w:t> </w:t>
      </w:r>
      <w:r>
        <w:rPr>
          <w:sz w:val="19"/>
        </w:rPr>
        <w:t>level</w:t>
      </w:r>
      <w:r>
        <w:rPr>
          <w:spacing w:val="-6"/>
          <w:sz w:val="19"/>
        </w:rPr>
        <w:t> </w:t>
      </w:r>
      <w:r>
        <w:rPr>
          <w:sz w:val="19"/>
        </w:rPr>
        <w:t>playing</w:t>
      </w:r>
      <w:r>
        <w:rPr>
          <w:spacing w:val="-7"/>
          <w:sz w:val="19"/>
        </w:rPr>
        <w:t> </w:t>
      </w:r>
      <w:r>
        <w:rPr>
          <w:sz w:val="19"/>
        </w:rPr>
        <w:t>field.</w:t>
      </w:r>
      <w:r>
        <w:rPr>
          <w:spacing w:val="-6"/>
          <w:sz w:val="19"/>
        </w:rPr>
        <w:t> </w:t>
      </w:r>
      <w:r>
        <w:rPr>
          <w:sz w:val="19"/>
        </w:rPr>
        <w:t>The</w:t>
      </w:r>
      <w:r>
        <w:rPr>
          <w:spacing w:val="-7"/>
          <w:sz w:val="19"/>
        </w:rPr>
        <w:t> </w:t>
      </w:r>
      <w:r>
        <w:rPr>
          <w:sz w:val="19"/>
        </w:rPr>
        <w:t>focus</w:t>
      </w:r>
      <w:r>
        <w:rPr>
          <w:spacing w:val="-6"/>
          <w:sz w:val="19"/>
        </w:rPr>
        <w:t> </w:t>
      </w:r>
      <w:r>
        <w:rPr>
          <w:sz w:val="19"/>
        </w:rPr>
        <w:t>should</w:t>
      </w:r>
      <w:r>
        <w:rPr>
          <w:spacing w:val="-7"/>
          <w:sz w:val="19"/>
        </w:rPr>
        <w:t> </w:t>
      </w:r>
      <w:r>
        <w:rPr>
          <w:sz w:val="19"/>
        </w:rPr>
        <w:t>be</w:t>
      </w:r>
      <w:r>
        <w:rPr>
          <w:spacing w:val="-6"/>
          <w:sz w:val="19"/>
        </w:rPr>
        <w:t> </w:t>
      </w:r>
      <w:r>
        <w:rPr>
          <w:sz w:val="19"/>
        </w:rPr>
        <w:t>on</w:t>
      </w:r>
      <w:r>
        <w:rPr>
          <w:spacing w:val="-7"/>
          <w:sz w:val="19"/>
        </w:rPr>
        <w:t> </w:t>
      </w:r>
      <w:r>
        <w:rPr>
          <w:sz w:val="19"/>
        </w:rPr>
        <w:t>actions</w:t>
      </w:r>
      <w:r>
        <w:rPr>
          <w:spacing w:val="-6"/>
          <w:sz w:val="19"/>
        </w:rPr>
        <w:t> </w:t>
      </w:r>
      <w:r>
        <w:rPr>
          <w:sz w:val="19"/>
        </w:rPr>
        <w:t>that</w:t>
      </w:r>
      <w:r>
        <w:rPr>
          <w:spacing w:val="-7"/>
          <w:sz w:val="19"/>
        </w:rPr>
        <w:t> </w:t>
      </w:r>
      <w:r>
        <w:rPr>
          <w:sz w:val="19"/>
        </w:rPr>
        <w:t>remove</w:t>
      </w:r>
      <w:r>
        <w:rPr>
          <w:spacing w:val="-6"/>
          <w:sz w:val="19"/>
        </w:rPr>
        <w:t> </w:t>
      </w:r>
      <w:r>
        <w:rPr>
          <w:sz w:val="19"/>
        </w:rPr>
        <w:t>any</w:t>
      </w:r>
    </w:p>
    <w:p>
      <w:pPr>
        <w:spacing w:line="247" w:lineRule="exact" w:before="0"/>
        <w:ind w:left="2157" w:right="0" w:firstLine="0"/>
        <w:jc w:val="left"/>
        <w:rPr>
          <w:sz w:val="11"/>
        </w:rPr>
      </w:pPr>
      <w:r>
        <w:rPr>
          <w:sz w:val="19"/>
        </w:rPr>
        <w:t>unnecessary barriers to participation.</w:t>
      </w:r>
      <w:r>
        <w:rPr>
          <w:position w:val="6"/>
          <w:sz w:val="11"/>
        </w:rPr>
        <w:t>52</w:t>
      </w:r>
    </w:p>
    <w:p>
      <w:pPr>
        <w:pStyle w:val="ListParagraph"/>
        <w:numPr>
          <w:ilvl w:val="1"/>
          <w:numId w:val="12"/>
        </w:numPr>
        <w:tabs>
          <w:tab w:pos="1761" w:val="left" w:leader="none"/>
          <w:tab w:pos="1762" w:val="left" w:leader="none"/>
        </w:tabs>
        <w:spacing w:line="206" w:lineRule="auto" w:before="116" w:after="0"/>
        <w:ind w:left="1761" w:right="1523" w:hanging="794"/>
        <w:jc w:val="left"/>
        <w:rPr>
          <w:sz w:val="20"/>
        </w:rPr>
      </w:pPr>
      <w:r>
        <w:rPr>
          <w:spacing w:val="-6"/>
          <w:sz w:val="20"/>
        </w:rPr>
        <w:t>We</w:t>
      </w:r>
      <w:r>
        <w:rPr>
          <w:spacing w:val="-8"/>
          <w:sz w:val="20"/>
        </w:rPr>
        <w:t> </w:t>
      </w:r>
      <w:r>
        <w:rPr>
          <w:sz w:val="20"/>
        </w:rPr>
        <w:t>discuss</w:t>
      </w:r>
      <w:r>
        <w:rPr>
          <w:spacing w:val="-7"/>
          <w:sz w:val="20"/>
        </w:rPr>
        <w:t> </w:t>
      </w:r>
      <w:r>
        <w:rPr>
          <w:sz w:val="20"/>
        </w:rPr>
        <w:t>the</w:t>
      </w:r>
      <w:r>
        <w:rPr>
          <w:spacing w:val="-7"/>
          <w:sz w:val="20"/>
        </w:rPr>
        <w:t> </w:t>
      </w:r>
      <w:r>
        <w:rPr>
          <w:sz w:val="20"/>
        </w:rPr>
        <w:t>approach</w:t>
      </w:r>
      <w:r>
        <w:rPr>
          <w:spacing w:val="-7"/>
          <w:sz w:val="20"/>
        </w:rPr>
        <w:t> </w:t>
      </w:r>
      <w:r>
        <w:rPr>
          <w:sz w:val="20"/>
        </w:rPr>
        <w:t>in</w:t>
      </w:r>
      <w:r>
        <w:rPr>
          <w:spacing w:val="-7"/>
          <w:sz w:val="20"/>
        </w:rPr>
        <w:t> </w:t>
      </w:r>
      <w:r>
        <w:rPr>
          <w:sz w:val="20"/>
        </w:rPr>
        <w:t>England</w:t>
      </w:r>
      <w:r>
        <w:rPr>
          <w:spacing w:val="-7"/>
          <w:sz w:val="20"/>
        </w:rPr>
        <w:t> </w:t>
      </w:r>
      <w:r>
        <w:rPr>
          <w:sz w:val="20"/>
        </w:rPr>
        <w:t>and</w:t>
      </w:r>
      <w:r>
        <w:rPr>
          <w:spacing w:val="-7"/>
          <w:sz w:val="20"/>
        </w:rPr>
        <w:t> </w:t>
      </w:r>
      <w:r>
        <w:rPr>
          <w:spacing w:val="-3"/>
          <w:sz w:val="20"/>
        </w:rPr>
        <w:t>Wales,</w:t>
      </w:r>
      <w:r>
        <w:rPr>
          <w:spacing w:val="-7"/>
          <w:sz w:val="20"/>
        </w:rPr>
        <w:t> </w:t>
      </w:r>
      <w:r>
        <w:rPr>
          <w:sz w:val="20"/>
        </w:rPr>
        <w:t>as</w:t>
      </w:r>
      <w:r>
        <w:rPr>
          <w:spacing w:val="-7"/>
          <w:sz w:val="20"/>
        </w:rPr>
        <w:t> </w:t>
      </w:r>
      <w:r>
        <w:rPr>
          <w:sz w:val="20"/>
        </w:rPr>
        <w:t>well</w:t>
      </w:r>
      <w:r>
        <w:rPr>
          <w:spacing w:val="-7"/>
          <w:sz w:val="20"/>
        </w:rPr>
        <w:t> </w:t>
      </w:r>
      <w:r>
        <w:rPr>
          <w:sz w:val="20"/>
        </w:rPr>
        <w:t>as</w:t>
      </w:r>
      <w:r>
        <w:rPr>
          <w:spacing w:val="-7"/>
          <w:sz w:val="20"/>
        </w:rPr>
        <w:t> </w:t>
      </w:r>
      <w:r>
        <w:rPr>
          <w:spacing w:val="-3"/>
          <w:sz w:val="20"/>
        </w:rPr>
        <w:t>recent</w:t>
      </w:r>
      <w:r>
        <w:rPr>
          <w:spacing w:val="-8"/>
          <w:sz w:val="20"/>
        </w:rPr>
        <w:t> </w:t>
      </w:r>
      <w:r>
        <w:rPr>
          <w:spacing w:val="-3"/>
          <w:sz w:val="20"/>
        </w:rPr>
        <w:t>reforms</w:t>
      </w:r>
      <w:r>
        <w:rPr>
          <w:spacing w:val="-7"/>
          <w:sz w:val="20"/>
        </w:rPr>
        <w:t> </w:t>
      </w:r>
      <w:r>
        <w:rPr>
          <w:sz w:val="20"/>
        </w:rPr>
        <w:t>to</w:t>
      </w:r>
      <w:r>
        <w:rPr>
          <w:spacing w:val="-7"/>
          <w:sz w:val="20"/>
        </w:rPr>
        <w:t> </w:t>
      </w:r>
      <w:r>
        <w:rPr>
          <w:spacing w:val="-3"/>
          <w:sz w:val="20"/>
        </w:rPr>
        <w:t>allow</w:t>
      </w:r>
      <w:r>
        <w:rPr>
          <w:spacing w:val="-7"/>
          <w:sz w:val="20"/>
        </w:rPr>
        <w:t> </w:t>
      </w:r>
      <w:r>
        <w:rPr>
          <w:sz w:val="20"/>
        </w:rPr>
        <w:t>a British</w:t>
      </w:r>
      <w:r>
        <w:rPr>
          <w:spacing w:val="-5"/>
          <w:sz w:val="20"/>
        </w:rPr>
        <w:t> </w:t>
      </w:r>
      <w:r>
        <w:rPr>
          <w:sz w:val="20"/>
        </w:rPr>
        <w:t>Sign</w:t>
      </w:r>
      <w:r>
        <w:rPr>
          <w:spacing w:val="-5"/>
          <w:sz w:val="20"/>
        </w:rPr>
        <w:t> </w:t>
      </w:r>
      <w:r>
        <w:rPr>
          <w:sz w:val="20"/>
        </w:rPr>
        <w:t>Language</w:t>
      </w:r>
      <w:r>
        <w:rPr>
          <w:spacing w:val="-5"/>
          <w:sz w:val="20"/>
        </w:rPr>
        <w:t> </w:t>
      </w:r>
      <w:r>
        <w:rPr>
          <w:spacing w:val="-3"/>
          <w:sz w:val="20"/>
        </w:rPr>
        <w:t>interpreter</w:t>
      </w:r>
      <w:r>
        <w:rPr>
          <w:spacing w:val="-5"/>
          <w:sz w:val="20"/>
        </w:rPr>
        <w:t> </w:t>
      </w:r>
      <w:r>
        <w:rPr>
          <w:spacing w:val="-3"/>
          <w:sz w:val="20"/>
        </w:rPr>
        <w:t>into</w:t>
      </w:r>
      <w:r>
        <w:rPr>
          <w:spacing w:val="-4"/>
          <w:sz w:val="20"/>
        </w:rPr>
        <w:t> </w:t>
      </w:r>
      <w:r>
        <w:rPr>
          <w:sz w:val="20"/>
        </w:rPr>
        <w:t>the</w:t>
      </w:r>
      <w:r>
        <w:rPr>
          <w:spacing w:val="-5"/>
          <w:sz w:val="20"/>
        </w:rPr>
        <w:t> </w:t>
      </w:r>
      <w:r>
        <w:rPr>
          <w:sz w:val="20"/>
        </w:rPr>
        <w:t>jury</w:t>
      </w:r>
      <w:r>
        <w:rPr>
          <w:spacing w:val="-5"/>
          <w:sz w:val="20"/>
        </w:rPr>
        <w:t> </w:t>
      </w:r>
      <w:r>
        <w:rPr>
          <w:sz w:val="20"/>
        </w:rPr>
        <w:t>room,</w:t>
      </w:r>
      <w:r>
        <w:rPr>
          <w:spacing w:val="-5"/>
          <w:sz w:val="20"/>
        </w:rPr>
        <w:t> </w:t>
      </w:r>
      <w:r>
        <w:rPr>
          <w:sz w:val="20"/>
        </w:rPr>
        <w:t>in</w:t>
      </w:r>
      <w:r>
        <w:rPr>
          <w:spacing w:val="-5"/>
          <w:sz w:val="20"/>
        </w:rPr>
        <w:t> </w:t>
      </w:r>
      <w:r>
        <w:rPr>
          <w:spacing w:val="-2"/>
          <w:sz w:val="20"/>
        </w:rPr>
        <w:t>Chapter</w:t>
      </w:r>
      <w:r>
        <w:rPr>
          <w:spacing w:val="-4"/>
          <w:sz w:val="20"/>
        </w:rPr>
        <w:t> </w:t>
      </w:r>
      <w:r>
        <w:rPr>
          <w:spacing w:val="-3"/>
          <w:sz w:val="20"/>
        </w:rPr>
        <w:t>10.</w:t>
      </w:r>
    </w:p>
    <w:p>
      <w:pPr>
        <w:pStyle w:val="BodyText"/>
      </w:pPr>
    </w:p>
    <w:p>
      <w:pPr>
        <w:pStyle w:val="BodyText"/>
      </w:pPr>
    </w:p>
    <w:p>
      <w:pPr>
        <w:pStyle w:val="BodyText"/>
      </w:pPr>
    </w:p>
    <w:p>
      <w:pPr>
        <w:pStyle w:val="BodyText"/>
        <w:spacing w:before="13"/>
        <w:rPr>
          <w:sz w:val="26"/>
        </w:rPr>
      </w:pPr>
      <w:r>
        <w:rPr/>
        <w:pict>
          <v:line style="position:absolute;mso-position-horizontal-relative:page;mso-position-vertical-relative:paragraph;z-index:3560;mso-wrap-distance-left:0;mso-wrap-distance-right:0" from="79.370003pt,21.184795pt" to="515.905003pt,21.184795pt" stroked="true" strokeweight="1pt" strokecolor="#b6bdc8">
            <v:stroke dashstyle="solid"/>
            <w10:wrap type="topAndBottom"/>
          </v:line>
        </w:pict>
      </w:r>
    </w:p>
    <w:p>
      <w:pPr>
        <w:pStyle w:val="ListParagraph"/>
        <w:numPr>
          <w:ilvl w:val="0"/>
          <w:numId w:val="52"/>
        </w:numPr>
        <w:tabs>
          <w:tab w:pos="1761" w:val="left" w:leader="none"/>
          <w:tab w:pos="1762" w:val="left" w:leader="none"/>
        </w:tabs>
        <w:spacing w:line="170" w:lineRule="exact" w:before="91" w:after="0"/>
        <w:ind w:left="1761" w:right="0" w:hanging="794"/>
        <w:jc w:val="left"/>
        <w:rPr>
          <w:sz w:val="13"/>
        </w:rPr>
      </w:pPr>
      <w:r>
        <w:rPr>
          <w:spacing w:val="2"/>
          <w:sz w:val="13"/>
        </w:rPr>
        <w:t>Jury service </w:t>
      </w:r>
      <w:r>
        <w:rPr>
          <w:sz w:val="13"/>
        </w:rPr>
        <w:t>is not included in </w:t>
      </w:r>
      <w:r>
        <w:rPr>
          <w:spacing w:val="2"/>
          <w:sz w:val="13"/>
        </w:rPr>
        <w:t>Part </w:t>
      </w:r>
      <w:r>
        <w:rPr>
          <w:sz w:val="13"/>
        </w:rPr>
        <w:t>4 of the </w:t>
      </w:r>
      <w:r>
        <w:rPr>
          <w:i/>
          <w:sz w:val="13"/>
        </w:rPr>
        <w:t>Equal Opportunity Act 2010 </w:t>
      </w:r>
      <w:r>
        <w:rPr>
          <w:sz w:val="13"/>
        </w:rPr>
        <w:t>(Vic), which sets out when discrimination is</w:t>
      </w:r>
      <w:r>
        <w:rPr>
          <w:spacing w:val="2"/>
          <w:sz w:val="13"/>
        </w:rPr>
        <w:t> </w:t>
      </w:r>
      <w:r>
        <w:rPr>
          <w:sz w:val="13"/>
        </w:rPr>
        <w:t>prohibited.</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sz w:val="13"/>
        </w:rPr>
        <w:t>Ibid ss 75, 76.</w:t>
      </w:r>
    </w:p>
    <w:p>
      <w:pPr>
        <w:pStyle w:val="ListParagraph"/>
        <w:numPr>
          <w:ilvl w:val="0"/>
          <w:numId w:val="52"/>
        </w:numPr>
        <w:tabs>
          <w:tab w:pos="1760" w:val="left" w:leader="none"/>
          <w:tab w:pos="1762" w:val="left" w:leader="none"/>
        </w:tabs>
        <w:spacing w:line="160" w:lineRule="exact" w:before="0" w:after="0"/>
        <w:ind w:left="1761" w:right="0" w:hanging="794"/>
        <w:jc w:val="left"/>
        <w:rPr>
          <w:i/>
          <w:sz w:val="13"/>
        </w:rPr>
      </w:pPr>
      <w:r>
        <w:rPr>
          <w:sz w:val="13"/>
        </w:rPr>
        <w:t>See the definition of </w:t>
      </w:r>
      <w:r>
        <w:rPr>
          <w:spacing w:val="2"/>
          <w:sz w:val="13"/>
        </w:rPr>
        <w:t>public </w:t>
      </w:r>
      <w:r>
        <w:rPr>
          <w:sz w:val="13"/>
        </w:rPr>
        <w:t>authority in </w:t>
      </w:r>
      <w:r>
        <w:rPr>
          <w:i/>
          <w:sz w:val="13"/>
        </w:rPr>
        <w:t>Charter of Human </w:t>
      </w:r>
      <w:r>
        <w:rPr>
          <w:i/>
          <w:spacing w:val="2"/>
          <w:sz w:val="13"/>
        </w:rPr>
        <w:t>Rights </w:t>
      </w:r>
      <w:r>
        <w:rPr>
          <w:i/>
          <w:sz w:val="13"/>
        </w:rPr>
        <w:t>and Responsibilities Act 2006 </w:t>
      </w:r>
      <w:r>
        <w:rPr>
          <w:spacing w:val="2"/>
          <w:sz w:val="13"/>
        </w:rPr>
        <w:t>(Vic) </w:t>
      </w:r>
      <w:r>
        <w:rPr>
          <w:sz w:val="13"/>
        </w:rPr>
        <w:t>s </w:t>
      </w:r>
      <w:r>
        <w:rPr>
          <w:spacing w:val="3"/>
          <w:sz w:val="13"/>
        </w:rPr>
        <w:t>4. </w:t>
      </w:r>
      <w:r>
        <w:rPr>
          <w:sz w:val="13"/>
        </w:rPr>
        <w:t>See </w:t>
      </w:r>
      <w:r>
        <w:rPr>
          <w:spacing w:val="2"/>
          <w:sz w:val="13"/>
        </w:rPr>
        <w:t>also </w:t>
      </w:r>
      <w:r>
        <w:rPr>
          <w:i/>
          <w:sz w:val="13"/>
        </w:rPr>
        <w:t>Juries Act 2000</w:t>
      </w:r>
    </w:p>
    <w:p>
      <w:pPr>
        <w:spacing w:line="160" w:lineRule="exact" w:before="0"/>
        <w:ind w:left="1761" w:right="0" w:firstLine="0"/>
        <w:jc w:val="left"/>
        <w:rPr>
          <w:sz w:val="13"/>
        </w:rPr>
      </w:pPr>
      <w:r>
        <w:rPr>
          <w:sz w:val="13"/>
        </w:rPr>
        <w:t>(Vic) s 60.</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i/>
          <w:sz w:val="13"/>
        </w:rPr>
        <w:t>Charter</w:t>
      </w:r>
      <w:r>
        <w:rPr>
          <w:i/>
          <w:spacing w:val="8"/>
          <w:sz w:val="13"/>
        </w:rPr>
        <w:t> </w:t>
      </w:r>
      <w:r>
        <w:rPr>
          <w:i/>
          <w:sz w:val="13"/>
        </w:rPr>
        <w:t>of</w:t>
      </w:r>
      <w:r>
        <w:rPr>
          <w:i/>
          <w:spacing w:val="8"/>
          <w:sz w:val="13"/>
        </w:rPr>
        <w:t> </w:t>
      </w:r>
      <w:r>
        <w:rPr>
          <w:i/>
          <w:sz w:val="13"/>
        </w:rPr>
        <w:t>Human</w:t>
      </w:r>
      <w:r>
        <w:rPr>
          <w:i/>
          <w:spacing w:val="8"/>
          <w:sz w:val="13"/>
        </w:rPr>
        <w:t> </w:t>
      </w:r>
      <w:r>
        <w:rPr>
          <w:i/>
          <w:spacing w:val="2"/>
          <w:sz w:val="13"/>
        </w:rPr>
        <w:t>Rights</w:t>
      </w:r>
      <w:r>
        <w:rPr>
          <w:i/>
          <w:spacing w:val="8"/>
          <w:sz w:val="13"/>
        </w:rPr>
        <w:t> </w:t>
      </w:r>
      <w:r>
        <w:rPr>
          <w:i/>
          <w:sz w:val="13"/>
        </w:rPr>
        <w:t>and</w:t>
      </w:r>
      <w:r>
        <w:rPr>
          <w:i/>
          <w:spacing w:val="8"/>
          <w:sz w:val="13"/>
        </w:rPr>
        <w:t> </w:t>
      </w:r>
      <w:r>
        <w:rPr>
          <w:i/>
          <w:sz w:val="13"/>
        </w:rPr>
        <w:t>Responsibilities</w:t>
      </w:r>
      <w:r>
        <w:rPr>
          <w:i/>
          <w:spacing w:val="7"/>
          <w:sz w:val="13"/>
        </w:rPr>
        <w:t> </w:t>
      </w:r>
      <w:r>
        <w:rPr>
          <w:i/>
          <w:sz w:val="13"/>
        </w:rPr>
        <w:t>Act</w:t>
      </w:r>
      <w:r>
        <w:rPr>
          <w:i/>
          <w:spacing w:val="8"/>
          <w:sz w:val="13"/>
        </w:rPr>
        <w:t> </w:t>
      </w:r>
      <w:r>
        <w:rPr>
          <w:i/>
          <w:sz w:val="13"/>
        </w:rPr>
        <w:t>2006</w:t>
      </w:r>
      <w:r>
        <w:rPr>
          <w:i/>
          <w:spacing w:val="8"/>
          <w:sz w:val="13"/>
        </w:rPr>
        <w:t> </w:t>
      </w:r>
      <w:r>
        <w:rPr>
          <w:spacing w:val="2"/>
          <w:sz w:val="13"/>
        </w:rPr>
        <w:t>(Vic)</w:t>
      </w:r>
      <w:r>
        <w:rPr>
          <w:spacing w:val="8"/>
          <w:sz w:val="13"/>
        </w:rPr>
        <w:t> </w:t>
      </w:r>
      <w:r>
        <w:rPr>
          <w:sz w:val="13"/>
        </w:rPr>
        <w:t>s</w:t>
      </w:r>
      <w:r>
        <w:rPr>
          <w:spacing w:val="8"/>
          <w:sz w:val="13"/>
        </w:rPr>
        <w:t> </w:t>
      </w:r>
      <w:r>
        <w:rPr>
          <w:sz w:val="13"/>
        </w:rPr>
        <w:t>38(1).</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i/>
          <w:sz w:val="13"/>
        </w:rPr>
        <w:t>Charter</w:t>
      </w:r>
      <w:r>
        <w:rPr>
          <w:i/>
          <w:spacing w:val="8"/>
          <w:sz w:val="13"/>
        </w:rPr>
        <w:t> </w:t>
      </w:r>
      <w:r>
        <w:rPr>
          <w:i/>
          <w:sz w:val="13"/>
        </w:rPr>
        <w:t>of</w:t>
      </w:r>
      <w:r>
        <w:rPr>
          <w:i/>
          <w:spacing w:val="8"/>
          <w:sz w:val="13"/>
        </w:rPr>
        <w:t> </w:t>
      </w:r>
      <w:r>
        <w:rPr>
          <w:i/>
          <w:sz w:val="13"/>
        </w:rPr>
        <w:t>Human</w:t>
      </w:r>
      <w:r>
        <w:rPr>
          <w:i/>
          <w:spacing w:val="8"/>
          <w:sz w:val="13"/>
        </w:rPr>
        <w:t> </w:t>
      </w:r>
      <w:r>
        <w:rPr>
          <w:i/>
          <w:spacing w:val="2"/>
          <w:sz w:val="13"/>
        </w:rPr>
        <w:t>Rights</w:t>
      </w:r>
      <w:r>
        <w:rPr>
          <w:i/>
          <w:spacing w:val="8"/>
          <w:sz w:val="13"/>
        </w:rPr>
        <w:t> </w:t>
      </w:r>
      <w:r>
        <w:rPr>
          <w:i/>
          <w:sz w:val="13"/>
        </w:rPr>
        <w:t>and</w:t>
      </w:r>
      <w:r>
        <w:rPr>
          <w:i/>
          <w:spacing w:val="8"/>
          <w:sz w:val="13"/>
        </w:rPr>
        <w:t> </w:t>
      </w:r>
      <w:r>
        <w:rPr>
          <w:i/>
          <w:sz w:val="13"/>
        </w:rPr>
        <w:t>Responsibilities</w:t>
      </w:r>
      <w:r>
        <w:rPr>
          <w:i/>
          <w:spacing w:val="7"/>
          <w:sz w:val="13"/>
        </w:rPr>
        <w:t> </w:t>
      </w:r>
      <w:r>
        <w:rPr>
          <w:i/>
          <w:sz w:val="13"/>
        </w:rPr>
        <w:t>Act</w:t>
      </w:r>
      <w:r>
        <w:rPr>
          <w:i/>
          <w:spacing w:val="8"/>
          <w:sz w:val="13"/>
        </w:rPr>
        <w:t> </w:t>
      </w:r>
      <w:r>
        <w:rPr>
          <w:i/>
          <w:sz w:val="13"/>
        </w:rPr>
        <w:t>2006</w:t>
      </w:r>
      <w:r>
        <w:rPr>
          <w:i/>
          <w:spacing w:val="8"/>
          <w:sz w:val="13"/>
        </w:rPr>
        <w:t> </w:t>
      </w:r>
      <w:r>
        <w:rPr>
          <w:spacing w:val="2"/>
          <w:sz w:val="13"/>
        </w:rPr>
        <w:t>(Vic)</w:t>
      </w:r>
      <w:r>
        <w:rPr>
          <w:spacing w:val="9"/>
          <w:sz w:val="13"/>
        </w:rPr>
        <w:t> </w:t>
      </w:r>
      <w:r>
        <w:rPr>
          <w:sz w:val="13"/>
        </w:rPr>
        <w:t>s</w:t>
      </w:r>
      <w:r>
        <w:rPr>
          <w:spacing w:val="8"/>
          <w:sz w:val="13"/>
        </w:rPr>
        <w:t> </w:t>
      </w:r>
      <w:r>
        <w:rPr>
          <w:sz w:val="13"/>
        </w:rPr>
        <w:t>38(2).</w:t>
      </w:r>
    </w:p>
    <w:p>
      <w:pPr>
        <w:pStyle w:val="ListParagraph"/>
        <w:numPr>
          <w:ilvl w:val="0"/>
          <w:numId w:val="52"/>
        </w:numPr>
        <w:tabs>
          <w:tab w:pos="1761" w:val="left" w:leader="none"/>
          <w:tab w:pos="1762" w:val="left" w:leader="none"/>
        </w:tabs>
        <w:spacing w:line="160" w:lineRule="exact" w:before="0" w:after="0"/>
        <w:ind w:left="1761" w:right="0" w:hanging="794"/>
        <w:jc w:val="left"/>
        <w:rPr>
          <w:sz w:val="13"/>
        </w:rPr>
      </w:pPr>
      <w:r>
        <w:rPr>
          <w:i/>
          <w:sz w:val="13"/>
        </w:rPr>
        <w:t>Juries Act 2000 </w:t>
      </w:r>
      <w:r>
        <w:rPr>
          <w:spacing w:val="2"/>
          <w:sz w:val="13"/>
        </w:rPr>
        <w:t>(Vic) </w:t>
      </w:r>
      <w:r>
        <w:rPr>
          <w:sz w:val="13"/>
        </w:rPr>
        <w:t>s </w:t>
      </w:r>
      <w:r>
        <w:rPr>
          <w:spacing w:val="2"/>
          <w:sz w:val="13"/>
        </w:rPr>
        <w:t>21,</w:t>
      </w:r>
      <w:r>
        <w:rPr>
          <w:spacing w:val="-2"/>
          <w:sz w:val="13"/>
        </w:rPr>
        <w:t> </w:t>
      </w:r>
      <w:r>
        <w:rPr>
          <w:spacing w:val="3"/>
          <w:sz w:val="13"/>
        </w:rPr>
        <w:t>25.</w:t>
      </w:r>
    </w:p>
    <w:p>
      <w:pPr>
        <w:pStyle w:val="ListParagraph"/>
        <w:numPr>
          <w:ilvl w:val="0"/>
          <w:numId w:val="52"/>
        </w:numPr>
        <w:tabs>
          <w:tab w:pos="1760" w:val="left" w:leader="none"/>
          <w:tab w:pos="1762" w:val="left" w:leader="none"/>
        </w:tabs>
        <w:spacing w:line="160" w:lineRule="exact" w:before="0" w:after="0"/>
        <w:ind w:left="1761" w:right="0" w:hanging="794"/>
        <w:jc w:val="left"/>
        <w:rPr>
          <w:sz w:val="13"/>
        </w:rPr>
      </w:pPr>
      <w:r>
        <w:rPr>
          <w:sz w:val="13"/>
        </w:rPr>
        <w:t>Information provided by Her Majesty’s </w:t>
      </w:r>
      <w:r>
        <w:rPr>
          <w:spacing w:val="2"/>
          <w:sz w:val="13"/>
        </w:rPr>
        <w:t>Courts </w:t>
      </w:r>
      <w:r>
        <w:rPr>
          <w:sz w:val="13"/>
        </w:rPr>
        <w:t>and Tribunals </w:t>
      </w:r>
      <w:r>
        <w:rPr>
          <w:spacing w:val="2"/>
          <w:sz w:val="13"/>
        </w:rPr>
        <w:t>Service </w:t>
      </w:r>
      <w:r>
        <w:rPr>
          <w:sz w:val="13"/>
        </w:rPr>
        <w:t>to Victorian Law Reform </w:t>
      </w:r>
      <w:r>
        <w:rPr>
          <w:spacing w:val="2"/>
          <w:sz w:val="13"/>
        </w:rPr>
        <w:t>Commission, </w:t>
      </w:r>
      <w:r>
        <w:rPr>
          <w:sz w:val="13"/>
        </w:rPr>
        <w:t>17 August</w:t>
      </w:r>
      <w:r>
        <w:rPr>
          <w:spacing w:val="22"/>
          <w:sz w:val="13"/>
        </w:rPr>
        <w:t> </w:t>
      </w:r>
      <w:r>
        <w:rPr>
          <w:sz w:val="13"/>
        </w:rPr>
        <w:t>2020.</w:t>
      </w:r>
    </w:p>
    <w:p>
      <w:pPr>
        <w:pStyle w:val="ListParagraph"/>
        <w:numPr>
          <w:ilvl w:val="0"/>
          <w:numId w:val="52"/>
        </w:numPr>
        <w:tabs>
          <w:tab w:pos="1760" w:val="left" w:leader="none"/>
          <w:tab w:pos="1762" w:val="left" w:leader="none"/>
        </w:tabs>
        <w:spacing w:line="213" w:lineRule="auto" w:before="6" w:after="0"/>
        <w:ind w:left="1761" w:right="2089" w:hanging="794"/>
        <w:jc w:val="left"/>
        <w:rPr>
          <w:sz w:val="13"/>
        </w:rPr>
      </w:pPr>
      <w:r>
        <w:rPr/>
        <w:pict>
          <v:shape style="position:absolute;margin-left:548.773376pt;margin-top:3.69599pt;width:13.55pt;height:14.1pt;mso-position-horizontal-relative:page;mso-position-vertical-relative:paragraph;z-index:5632" type="#_x0000_t202" filled="false" stroked="false">
            <v:textbox inset="0,0,0,0">
              <w:txbxContent>
                <w:p>
                  <w:pPr>
                    <w:spacing w:line="282" w:lineRule="exact" w:before="0"/>
                    <w:ind w:left="0" w:right="0" w:firstLine="0"/>
                    <w:jc w:val="left"/>
                    <w:rPr>
                      <w:b/>
                      <w:sz w:val="24"/>
                    </w:rPr>
                  </w:pPr>
                  <w:r>
                    <w:rPr>
                      <w:b/>
                      <w:color w:val="37617A"/>
                      <w:spacing w:val="-2"/>
                      <w:sz w:val="24"/>
                    </w:rPr>
                    <w:t>59</w:t>
                  </w:r>
                </w:p>
              </w:txbxContent>
            </v:textbox>
            <w10:wrap type="none"/>
          </v:shape>
        </w:pict>
      </w:r>
      <w:r>
        <w:rPr>
          <w:sz w:val="13"/>
        </w:rPr>
        <w:t>Judicial College </w:t>
      </w:r>
      <w:r>
        <w:rPr>
          <w:spacing w:val="2"/>
          <w:sz w:val="13"/>
        </w:rPr>
        <w:t>UK, </w:t>
      </w:r>
      <w:r>
        <w:rPr>
          <w:i/>
          <w:sz w:val="13"/>
        </w:rPr>
        <w:t>Equal Treatment Bench Book </w:t>
      </w:r>
      <w:r>
        <w:rPr>
          <w:sz w:val="13"/>
        </w:rPr>
        <w:t>(Manual, February 2021) &lt;</w:t>
      </w:r>
      <w:hyperlink r:id="rId129">
        <w:r>
          <w:rPr>
            <w:sz w:val="13"/>
          </w:rPr>
          <w:t>https://www.judiciary.uk/wp-content/</w:t>
        </w:r>
      </w:hyperlink>
      <w:hyperlink r:id="rId129">
        <w:r>
          <w:rPr>
            <w:sz w:val="13"/>
          </w:rPr>
          <w:t> uploads/2021/02/Equal-Treatment-Bench-Book-February-2021-1.pdf</w:t>
        </w:r>
      </w:hyperlink>
      <w:r>
        <w:rPr>
          <w:sz w:val="13"/>
        </w:rPr>
        <w:t>&gt;, 97</w:t>
      </w:r>
      <w:r>
        <w:rPr>
          <w:spacing w:val="2"/>
          <w:sz w:val="13"/>
        </w:rPr>
        <w:t> </w:t>
      </w:r>
      <w:r>
        <w:rPr>
          <w:sz w:val="13"/>
        </w:rPr>
        <w:t>[8]-[9].</w:t>
      </w:r>
    </w:p>
    <w:p>
      <w:pPr>
        <w:spacing w:after="0" w:line="213" w:lineRule="auto"/>
        <w:jc w:val="left"/>
        <w:rPr>
          <w:sz w:val="13"/>
        </w:rPr>
        <w:sectPr>
          <w:pgSz w:w="11910" w:h="16840"/>
          <w:pgMar w:header="0" w:footer="0" w:top="840" w:bottom="280" w:left="620" w:right="380"/>
        </w:sectPr>
      </w:pPr>
    </w:p>
    <w:p>
      <w:pPr>
        <w:pStyle w:val="BodyText"/>
      </w:pPr>
    </w:p>
    <w:p>
      <w:pPr>
        <w:pStyle w:val="BodyText"/>
      </w:pPr>
    </w:p>
    <w:p>
      <w:pPr>
        <w:pStyle w:val="BodyText"/>
      </w:pPr>
    </w:p>
    <w:p>
      <w:pPr>
        <w:pStyle w:val="Heading6"/>
        <w:spacing w:before="224"/>
        <w:rPr>
          <w:b/>
        </w:rPr>
      </w:pPr>
      <w:bookmarkStart w:name="Jury selection should reflect principles" w:id="128"/>
      <w:bookmarkEnd w:id="128"/>
      <w:r>
        <w:rPr/>
      </w:r>
      <w:bookmarkStart w:name="_bookmark50" w:id="129"/>
      <w:bookmarkEnd w:id="129"/>
      <w:r>
        <w:rPr/>
      </w:r>
      <w:r>
        <w:rPr>
          <w:b/>
        </w:rPr>
        <w:t>Does the Charter apply to the courts?</w:t>
      </w:r>
    </w:p>
    <w:p>
      <w:pPr>
        <w:pStyle w:val="ListParagraph"/>
        <w:numPr>
          <w:ilvl w:val="1"/>
          <w:numId w:val="12"/>
        </w:numPr>
        <w:tabs>
          <w:tab w:pos="1761" w:val="left" w:leader="none"/>
          <w:tab w:pos="1762" w:val="left" w:leader="none"/>
        </w:tabs>
        <w:spacing w:line="240" w:lineRule="auto" w:before="100" w:after="0"/>
        <w:ind w:left="1761" w:right="0" w:hanging="794"/>
        <w:jc w:val="left"/>
        <w:rPr>
          <w:sz w:val="11"/>
        </w:rPr>
      </w:pPr>
      <w:r>
        <w:rPr>
          <w:sz w:val="20"/>
        </w:rPr>
        <w:t>The Charter applies to the courts in </w:t>
      </w:r>
      <w:r>
        <w:rPr>
          <w:spacing w:val="-3"/>
          <w:sz w:val="20"/>
        </w:rPr>
        <w:t>several</w:t>
      </w:r>
      <w:r>
        <w:rPr>
          <w:spacing w:val="-34"/>
          <w:sz w:val="20"/>
        </w:rPr>
        <w:t> </w:t>
      </w:r>
      <w:r>
        <w:rPr>
          <w:spacing w:val="-3"/>
          <w:sz w:val="20"/>
        </w:rPr>
        <w:t>ways:</w:t>
      </w:r>
      <w:r>
        <w:rPr>
          <w:spacing w:val="-3"/>
          <w:position w:val="7"/>
          <w:sz w:val="11"/>
        </w:rPr>
        <w:t>53</w:t>
      </w:r>
    </w:p>
    <w:p>
      <w:pPr>
        <w:pStyle w:val="ListParagraph"/>
        <w:numPr>
          <w:ilvl w:val="2"/>
          <w:numId w:val="12"/>
        </w:numPr>
        <w:tabs>
          <w:tab w:pos="2157" w:val="left" w:leader="none"/>
          <w:tab w:pos="2158" w:val="left" w:leader="none"/>
        </w:tabs>
        <w:spacing w:line="240" w:lineRule="auto" w:before="82" w:after="0"/>
        <w:ind w:left="2157" w:right="0" w:hanging="396"/>
        <w:jc w:val="left"/>
        <w:rPr>
          <w:sz w:val="11"/>
        </w:rPr>
      </w:pPr>
      <w:r>
        <w:rPr>
          <w:sz w:val="20"/>
        </w:rPr>
        <w:t>when </w:t>
      </w:r>
      <w:r>
        <w:rPr>
          <w:spacing w:val="-3"/>
          <w:sz w:val="20"/>
        </w:rPr>
        <w:t>exercising </w:t>
      </w:r>
      <w:r>
        <w:rPr>
          <w:sz w:val="20"/>
        </w:rPr>
        <w:t>certain functions under the</w:t>
      </w:r>
      <w:r>
        <w:rPr>
          <w:spacing w:val="-23"/>
          <w:sz w:val="20"/>
        </w:rPr>
        <w:t> </w:t>
      </w:r>
      <w:r>
        <w:rPr>
          <w:sz w:val="20"/>
        </w:rPr>
        <w:t>Charter</w:t>
      </w:r>
      <w:r>
        <w:rPr>
          <w:position w:val="7"/>
          <w:sz w:val="11"/>
        </w:rPr>
        <w:t>54</w:t>
      </w:r>
    </w:p>
    <w:p>
      <w:pPr>
        <w:pStyle w:val="ListParagraph"/>
        <w:numPr>
          <w:ilvl w:val="2"/>
          <w:numId w:val="12"/>
        </w:numPr>
        <w:tabs>
          <w:tab w:pos="2157" w:val="left" w:leader="none"/>
          <w:tab w:pos="2158" w:val="left" w:leader="none"/>
        </w:tabs>
        <w:spacing w:line="240" w:lineRule="auto" w:before="48" w:after="0"/>
        <w:ind w:left="2157" w:right="0" w:hanging="396"/>
        <w:jc w:val="left"/>
        <w:rPr>
          <w:sz w:val="11"/>
        </w:rPr>
      </w:pPr>
      <w:r>
        <w:rPr>
          <w:sz w:val="20"/>
        </w:rPr>
        <w:t>in their capacity as public authorities</w:t>
      </w:r>
      <w:r>
        <w:rPr>
          <w:position w:val="7"/>
          <w:sz w:val="11"/>
        </w:rPr>
        <w:t>55 </w:t>
      </w:r>
      <w:r>
        <w:rPr>
          <w:sz w:val="20"/>
        </w:rPr>
        <w:t>but </w:t>
      </w:r>
      <w:r>
        <w:rPr>
          <w:spacing w:val="-3"/>
          <w:sz w:val="20"/>
        </w:rPr>
        <w:t>only </w:t>
      </w:r>
      <w:r>
        <w:rPr>
          <w:sz w:val="20"/>
        </w:rPr>
        <w:t>when acting</w:t>
      </w:r>
      <w:r>
        <w:rPr>
          <w:spacing w:val="-20"/>
          <w:sz w:val="20"/>
        </w:rPr>
        <w:t> </w:t>
      </w:r>
      <w:r>
        <w:rPr>
          <w:spacing w:val="-3"/>
          <w:sz w:val="20"/>
        </w:rPr>
        <w:t>administratively.</w:t>
      </w:r>
      <w:r>
        <w:rPr>
          <w:spacing w:val="-3"/>
          <w:position w:val="7"/>
          <w:sz w:val="11"/>
        </w:rPr>
        <w:t>56</w:t>
      </w:r>
    </w:p>
    <w:p>
      <w:pPr>
        <w:pStyle w:val="ListParagraph"/>
        <w:numPr>
          <w:ilvl w:val="1"/>
          <w:numId w:val="12"/>
        </w:numPr>
        <w:tabs>
          <w:tab w:pos="1761" w:val="left" w:leader="none"/>
          <w:tab w:pos="1762" w:val="left" w:leader="none"/>
        </w:tabs>
        <w:spacing w:line="206" w:lineRule="auto" w:before="80" w:after="0"/>
        <w:ind w:left="1761" w:right="1230" w:hanging="794"/>
        <w:jc w:val="left"/>
        <w:rPr>
          <w:sz w:val="20"/>
        </w:rPr>
      </w:pPr>
      <w:r>
        <w:rPr>
          <w:sz w:val="20"/>
        </w:rPr>
        <w:t>There</w:t>
      </w:r>
      <w:r>
        <w:rPr>
          <w:spacing w:val="-10"/>
          <w:sz w:val="20"/>
        </w:rPr>
        <w:t> </w:t>
      </w:r>
      <w:r>
        <w:rPr>
          <w:spacing w:val="-3"/>
          <w:sz w:val="20"/>
        </w:rPr>
        <w:t>are</w:t>
      </w:r>
      <w:r>
        <w:rPr>
          <w:spacing w:val="-9"/>
          <w:sz w:val="20"/>
        </w:rPr>
        <w:t> </w:t>
      </w:r>
      <w:r>
        <w:rPr>
          <w:sz w:val="20"/>
        </w:rPr>
        <w:t>some</w:t>
      </w:r>
      <w:r>
        <w:rPr>
          <w:spacing w:val="-9"/>
          <w:sz w:val="20"/>
        </w:rPr>
        <w:t> </w:t>
      </w:r>
      <w:r>
        <w:rPr>
          <w:spacing w:val="-3"/>
          <w:sz w:val="20"/>
        </w:rPr>
        <w:t>examples</w:t>
      </w:r>
      <w:r>
        <w:rPr>
          <w:spacing w:val="-9"/>
          <w:sz w:val="20"/>
        </w:rPr>
        <w:t> </w:t>
      </w:r>
      <w:r>
        <w:rPr>
          <w:sz w:val="20"/>
        </w:rPr>
        <w:t>in</w:t>
      </w:r>
      <w:r>
        <w:rPr>
          <w:spacing w:val="-10"/>
          <w:sz w:val="20"/>
        </w:rPr>
        <w:t> </w:t>
      </w:r>
      <w:r>
        <w:rPr>
          <w:sz w:val="20"/>
        </w:rPr>
        <w:t>the</w:t>
      </w:r>
      <w:r>
        <w:rPr>
          <w:spacing w:val="-9"/>
          <w:sz w:val="20"/>
        </w:rPr>
        <w:t> </w:t>
      </w:r>
      <w:r>
        <w:rPr>
          <w:sz w:val="20"/>
        </w:rPr>
        <w:t>Charter</w:t>
      </w:r>
      <w:r>
        <w:rPr>
          <w:spacing w:val="-9"/>
          <w:sz w:val="20"/>
        </w:rPr>
        <w:t> </w:t>
      </w:r>
      <w:r>
        <w:rPr>
          <w:sz w:val="20"/>
        </w:rPr>
        <w:t>of</w:t>
      </w:r>
      <w:r>
        <w:rPr>
          <w:spacing w:val="-9"/>
          <w:sz w:val="20"/>
        </w:rPr>
        <w:t> </w:t>
      </w:r>
      <w:r>
        <w:rPr>
          <w:sz w:val="20"/>
        </w:rPr>
        <w:t>when</w:t>
      </w:r>
      <w:r>
        <w:rPr>
          <w:spacing w:val="-10"/>
          <w:sz w:val="20"/>
        </w:rPr>
        <w:t> </w:t>
      </w:r>
      <w:r>
        <w:rPr>
          <w:sz w:val="20"/>
        </w:rPr>
        <w:t>the</w:t>
      </w:r>
      <w:r>
        <w:rPr>
          <w:spacing w:val="-9"/>
          <w:sz w:val="20"/>
        </w:rPr>
        <w:t> </w:t>
      </w:r>
      <w:r>
        <w:rPr>
          <w:sz w:val="20"/>
        </w:rPr>
        <w:t>court</w:t>
      </w:r>
      <w:r>
        <w:rPr>
          <w:spacing w:val="-9"/>
          <w:sz w:val="20"/>
        </w:rPr>
        <w:t> </w:t>
      </w:r>
      <w:r>
        <w:rPr>
          <w:sz w:val="20"/>
        </w:rPr>
        <w:t>is</w:t>
      </w:r>
      <w:r>
        <w:rPr>
          <w:spacing w:val="-9"/>
          <w:sz w:val="20"/>
        </w:rPr>
        <w:t> </w:t>
      </w:r>
      <w:r>
        <w:rPr>
          <w:sz w:val="20"/>
        </w:rPr>
        <w:t>acting</w:t>
      </w:r>
      <w:r>
        <w:rPr>
          <w:spacing w:val="-10"/>
          <w:sz w:val="20"/>
        </w:rPr>
        <w:t> </w:t>
      </w:r>
      <w:r>
        <w:rPr>
          <w:sz w:val="20"/>
        </w:rPr>
        <w:t>in</w:t>
      </w:r>
      <w:r>
        <w:rPr>
          <w:spacing w:val="-9"/>
          <w:sz w:val="20"/>
        </w:rPr>
        <w:t> </w:t>
      </w:r>
      <w:r>
        <w:rPr>
          <w:sz w:val="20"/>
        </w:rPr>
        <w:t>an</w:t>
      </w:r>
      <w:r>
        <w:rPr>
          <w:spacing w:val="-9"/>
          <w:sz w:val="20"/>
        </w:rPr>
        <w:t> </w:t>
      </w:r>
      <w:r>
        <w:rPr>
          <w:sz w:val="20"/>
        </w:rPr>
        <w:t>administrative </w:t>
      </w:r>
      <w:r>
        <w:rPr>
          <w:spacing w:val="-3"/>
          <w:sz w:val="20"/>
        </w:rPr>
        <w:t>capacity. </w:t>
      </w:r>
      <w:r>
        <w:rPr>
          <w:sz w:val="20"/>
        </w:rPr>
        <w:t>These include the issuing of warrants, listing cases and adopting practices and procedures.</w:t>
      </w:r>
      <w:r>
        <w:rPr>
          <w:position w:val="7"/>
          <w:sz w:val="11"/>
        </w:rPr>
        <w:t>57 </w:t>
      </w:r>
      <w:r>
        <w:rPr>
          <w:sz w:val="20"/>
        </w:rPr>
        <w:t>Case law has addressed the scope of the application of the Charter to</w:t>
      </w:r>
      <w:r>
        <w:rPr>
          <w:spacing w:val="-9"/>
          <w:sz w:val="20"/>
        </w:rPr>
        <w:t> </w:t>
      </w:r>
      <w:r>
        <w:rPr>
          <w:sz w:val="20"/>
        </w:rPr>
        <w:t>the</w:t>
      </w:r>
      <w:r>
        <w:rPr>
          <w:spacing w:val="-9"/>
          <w:sz w:val="20"/>
        </w:rPr>
        <w:t> </w:t>
      </w:r>
      <w:r>
        <w:rPr>
          <w:sz w:val="20"/>
        </w:rPr>
        <w:t>courts</w:t>
      </w:r>
      <w:r>
        <w:rPr>
          <w:position w:val="7"/>
          <w:sz w:val="11"/>
        </w:rPr>
        <w:t>58</w:t>
      </w:r>
      <w:r>
        <w:rPr>
          <w:spacing w:val="16"/>
          <w:position w:val="7"/>
          <w:sz w:val="11"/>
        </w:rPr>
        <w:t> </w:t>
      </w:r>
      <w:r>
        <w:rPr>
          <w:sz w:val="20"/>
        </w:rPr>
        <w:t>but</w:t>
      </w:r>
      <w:r>
        <w:rPr>
          <w:spacing w:val="-9"/>
          <w:sz w:val="20"/>
        </w:rPr>
        <w:t> </w:t>
      </w:r>
      <w:r>
        <w:rPr>
          <w:sz w:val="20"/>
        </w:rPr>
        <w:t>neither</w:t>
      </w:r>
      <w:r>
        <w:rPr>
          <w:spacing w:val="-9"/>
          <w:sz w:val="20"/>
        </w:rPr>
        <w:t> </w:t>
      </w:r>
      <w:r>
        <w:rPr>
          <w:sz w:val="20"/>
        </w:rPr>
        <w:t>the</w:t>
      </w:r>
      <w:r>
        <w:rPr>
          <w:spacing w:val="-9"/>
          <w:sz w:val="20"/>
        </w:rPr>
        <w:t> </w:t>
      </w:r>
      <w:r>
        <w:rPr>
          <w:sz w:val="20"/>
        </w:rPr>
        <w:t>Charter</w:t>
      </w:r>
      <w:r>
        <w:rPr>
          <w:spacing w:val="-9"/>
          <w:sz w:val="20"/>
        </w:rPr>
        <w:t> </w:t>
      </w:r>
      <w:r>
        <w:rPr>
          <w:sz w:val="20"/>
        </w:rPr>
        <w:t>nor</w:t>
      </w:r>
      <w:r>
        <w:rPr>
          <w:spacing w:val="-9"/>
          <w:sz w:val="20"/>
        </w:rPr>
        <w:t> </w:t>
      </w:r>
      <w:r>
        <w:rPr>
          <w:sz w:val="20"/>
        </w:rPr>
        <w:t>case</w:t>
      </w:r>
      <w:r>
        <w:rPr>
          <w:spacing w:val="-9"/>
          <w:sz w:val="20"/>
        </w:rPr>
        <w:t> </w:t>
      </w:r>
      <w:r>
        <w:rPr>
          <w:sz w:val="20"/>
        </w:rPr>
        <w:t>law</w:t>
      </w:r>
      <w:r>
        <w:rPr>
          <w:spacing w:val="-9"/>
          <w:sz w:val="20"/>
        </w:rPr>
        <w:t> </w:t>
      </w:r>
      <w:r>
        <w:rPr>
          <w:sz w:val="20"/>
        </w:rPr>
        <w:t>clarifies</w:t>
      </w:r>
      <w:r>
        <w:rPr>
          <w:spacing w:val="-9"/>
          <w:sz w:val="20"/>
        </w:rPr>
        <w:t> </w:t>
      </w:r>
      <w:r>
        <w:rPr>
          <w:sz w:val="20"/>
        </w:rPr>
        <w:t>whether</w:t>
      </w:r>
      <w:r>
        <w:rPr>
          <w:spacing w:val="-8"/>
          <w:sz w:val="20"/>
        </w:rPr>
        <w:t> </w:t>
      </w:r>
      <w:r>
        <w:rPr>
          <w:sz w:val="20"/>
        </w:rPr>
        <w:t>or</w:t>
      </w:r>
      <w:r>
        <w:rPr>
          <w:spacing w:val="-9"/>
          <w:sz w:val="20"/>
        </w:rPr>
        <w:t> </w:t>
      </w:r>
      <w:r>
        <w:rPr>
          <w:spacing w:val="-3"/>
          <w:sz w:val="20"/>
        </w:rPr>
        <w:t>how</w:t>
      </w:r>
      <w:r>
        <w:rPr>
          <w:spacing w:val="-9"/>
          <w:sz w:val="20"/>
        </w:rPr>
        <w:t> </w:t>
      </w:r>
      <w:r>
        <w:rPr>
          <w:sz w:val="20"/>
        </w:rPr>
        <w:t>the</w:t>
      </w:r>
      <w:r>
        <w:rPr>
          <w:spacing w:val="-9"/>
          <w:sz w:val="20"/>
        </w:rPr>
        <w:t> </w:t>
      </w:r>
      <w:r>
        <w:rPr>
          <w:sz w:val="20"/>
        </w:rPr>
        <w:t>Charter applies</w:t>
      </w:r>
      <w:r>
        <w:rPr>
          <w:spacing w:val="-5"/>
          <w:sz w:val="20"/>
        </w:rPr>
        <w:t> </w:t>
      </w:r>
      <w:r>
        <w:rPr>
          <w:sz w:val="20"/>
        </w:rPr>
        <w:t>to</w:t>
      </w:r>
      <w:r>
        <w:rPr>
          <w:spacing w:val="-5"/>
          <w:sz w:val="20"/>
        </w:rPr>
        <w:t> </w:t>
      </w:r>
      <w:r>
        <w:rPr>
          <w:sz w:val="20"/>
        </w:rPr>
        <w:t>a</w:t>
      </w:r>
      <w:r>
        <w:rPr>
          <w:spacing w:val="-4"/>
          <w:sz w:val="20"/>
        </w:rPr>
        <w:t> </w:t>
      </w:r>
      <w:r>
        <w:rPr>
          <w:sz w:val="20"/>
        </w:rPr>
        <w:t>court</w:t>
      </w:r>
      <w:r>
        <w:rPr>
          <w:spacing w:val="-5"/>
          <w:sz w:val="20"/>
        </w:rPr>
        <w:t> </w:t>
      </w:r>
      <w:r>
        <w:rPr>
          <w:sz w:val="20"/>
        </w:rPr>
        <w:t>at</w:t>
      </w:r>
      <w:r>
        <w:rPr>
          <w:spacing w:val="-5"/>
          <w:sz w:val="20"/>
        </w:rPr>
        <w:t> </w:t>
      </w:r>
      <w:r>
        <w:rPr>
          <w:sz w:val="20"/>
        </w:rPr>
        <w:t>the</w:t>
      </w:r>
      <w:r>
        <w:rPr>
          <w:spacing w:val="-4"/>
          <w:sz w:val="20"/>
        </w:rPr>
        <w:t> </w:t>
      </w:r>
      <w:r>
        <w:rPr>
          <w:sz w:val="20"/>
        </w:rPr>
        <w:t>jury</w:t>
      </w:r>
      <w:r>
        <w:rPr>
          <w:spacing w:val="-5"/>
          <w:sz w:val="20"/>
        </w:rPr>
        <w:t> </w:t>
      </w:r>
      <w:r>
        <w:rPr>
          <w:sz w:val="20"/>
        </w:rPr>
        <w:t>selection</w:t>
      </w:r>
      <w:r>
        <w:rPr>
          <w:spacing w:val="-5"/>
          <w:sz w:val="20"/>
        </w:rPr>
        <w:t> </w:t>
      </w:r>
      <w:r>
        <w:rPr>
          <w:sz w:val="20"/>
        </w:rPr>
        <w:t>stage</w:t>
      </w:r>
      <w:r>
        <w:rPr>
          <w:spacing w:val="-4"/>
          <w:sz w:val="20"/>
        </w:rPr>
        <w:t> </w:t>
      </w:r>
      <w:r>
        <w:rPr>
          <w:sz w:val="20"/>
        </w:rPr>
        <w:t>of</w:t>
      </w:r>
      <w:r>
        <w:rPr>
          <w:spacing w:val="-5"/>
          <w:sz w:val="20"/>
        </w:rPr>
        <w:t> </w:t>
      </w:r>
      <w:r>
        <w:rPr>
          <w:sz w:val="20"/>
        </w:rPr>
        <w:t>a</w:t>
      </w:r>
      <w:r>
        <w:rPr>
          <w:spacing w:val="-4"/>
          <w:sz w:val="20"/>
        </w:rPr>
        <w:t> </w:t>
      </w:r>
      <w:r>
        <w:rPr>
          <w:sz w:val="20"/>
        </w:rPr>
        <w:t>trial.</w:t>
      </w:r>
    </w:p>
    <w:p>
      <w:pPr>
        <w:pStyle w:val="BodyText"/>
        <w:rPr>
          <w:sz w:val="22"/>
        </w:rPr>
      </w:pPr>
    </w:p>
    <w:p>
      <w:pPr>
        <w:pStyle w:val="Heading2"/>
        <w:spacing w:line="184" w:lineRule="auto"/>
        <w:rPr>
          <w:b/>
        </w:rPr>
      </w:pPr>
      <w:r>
        <w:rPr>
          <w:b/>
          <w:color w:val="37617A"/>
        </w:rPr>
        <w:t>Jury selection should reflect principles of equality and non- discrimination</w:t>
      </w:r>
    </w:p>
    <w:p>
      <w:pPr>
        <w:pStyle w:val="ListParagraph"/>
        <w:numPr>
          <w:ilvl w:val="1"/>
          <w:numId w:val="12"/>
        </w:numPr>
        <w:tabs>
          <w:tab w:pos="1761" w:val="left" w:leader="none"/>
          <w:tab w:pos="1762" w:val="left" w:leader="none"/>
        </w:tabs>
        <w:spacing w:line="206" w:lineRule="auto" w:before="162" w:after="0"/>
        <w:ind w:left="1761" w:right="1282" w:hanging="794"/>
        <w:jc w:val="left"/>
        <w:rPr>
          <w:sz w:val="20"/>
        </w:rPr>
      </w:pPr>
      <w:r>
        <w:rPr>
          <w:sz w:val="20"/>
        </w:rPr>
        <w:t>The Commission’s view is that </w:t>
      </w:r>
      <w:r>
        <w:rPr>
          <w:spacing w:val="-3"/>
          <w:sz w:val="20"/>
        </w:rPr>
        <w:t>even </w:t>
      </w:r>
      <w:r>
        <w:rPr>
          <w:sz w:val="20"/>
        </w:rPr>
        <w:t>if the Charter and the </w:t>
      </w:r>
      <w:r>
        <w:rPr>
          <w:spacing w:val="-5"/>
          <w:sz w:val="20"/>
        </w:rPr>
        <w:t>EOA </w:t>
      </w:r>
      <w:r>
        <w:rPr>
          <w:sz w:val="20"/>
        </w:rPr>
        <w:t>do not specifically </w:t>
      </w:r>
      <w:r>
        <w:rPr>
          <w:spacing w:val="-3"/>
          <w:sz w:val="20"/>
        </w:rPr>
        <w:t>apply </w:t>
      </w:r>
      <w:r>
        <w:rPr>
          <w:sz w:val="20"/>
        </w:rPr>
        <w:t>to the jury selection process, those processes should still </w:t>
      </w:r>
      <w:r>
        <w:rPr>
          <w:spacing w:val="-3"/>
          <w:sz w:val="20"/>
        </w:rPr>
        <w:t>comply </w:t>
      </w:r>
      <w:r>
        <w:rPr>
          <w:sz w:val="20"/>
        </w:rPr>
        <w:t>with the underlying principles of equality and non-discrimination. The recommendations </w:t>
      </w:r>
      <w:r>
        <w:rPr>
          <w:spacing w:val="-3"/>
          <w:sz w:val="20"/>
        </w:rPr>
        <w:t>we make</w:t>
      </w:r>
      <w:r>
        <w:rPr>
          <w:spacing w:val="-9"/>
          <w:sz w:val="20"/>
        </w:rPr>
        <w:t> </w:t>
      </w:r>
      <w:r>
        <w:rPr>
          <w:spacing w:val="-3"/>
          <w:sz w:val="20"/>
        </w:rPr>
        <w:t>are</w:t>
      </w:r>
      <w:r>
        <w:rPr>
          <w:spacing w:val="-9"/>
          <w:sz w:val="20"/>
        </w:rPr>
        <w:t> </w:t>
      </w:r>
      <w:r>
        <w:rPr>
          <w:sz w:val="20"/>
        </w:rPr>
        <w:t>guided</w:t>
      </w:r>
      <w:r>
        <w:rPr>
          <w:spacing w:val="-9"/>
          <w:sz w:val="20"/>
        </w:rPr>
        <w:t> </w:t>
      </w:r>
      <w:r>
        <w:rPr>
          <w:spacing w:val="-3"/>
          <w:sz w:val="20"/>
        </w:rPr>
        <w:t>by</w:t>
      </w:r>
      <w:r>
        <w:rPr>
          <w:spacing w:val="-8"/>
          <w:sz w:val="20"/>
        </w:rPr>
        <w:t> </w:t>
      </w:r>
      <w:r>
        <w:rPr>
          <w:sz w:val="20"/>
        </w:rPr>
        <w:t>these</w:t>
      </w:r>
      <w:r>
        <w:rPr>
          <w:spacing w:val="-9"/>
          <w:sz w:val="20"/>
        </w:rPr>
        <w:t> </w:t>
      </w:r>
      <w:r>
        <w:rPr>
          <w:sz w:val="20"/>
        </w:rPr>
        <w:t>principles</w:t>
      </w:r>
      <w:r>
        <w:rPr>
          <w:spacing w:val="-9"/>
          <w:sz w:val="20"/>
        </w:rPr>
        <w:t> </w:t>
      </w:r>
      <w:r>
        <w:rPr>
          <w:sz w:val="20"/>
        </w:rPr>
        <w:t>and</w:t>
      </w:r>
      <w:r>
        <w:rPr>
          <w:spacing w:val="-8"/>
          <w:sz w:val="20"/>
        </w:rPr>
        <w:t> </w:t>
      </w:r>
      <w:r>
        <w:rPr>
          <w:spacing w:val="-3"/>
          <w:sz w:val="20"/>
        </w:rPr>
        <w:t>are</w:t>
      </w:r>
      <w:r>
        <w:rPr>
          <w:spacing w:val="-9"/>
          <w:sz w:val="20"/>
        </w:rPr>
        <w:t> </w:t>
      </w:r>
      <w:r>
        <w:rPr>
          <w:sz w:val="20"/>
        </w:rPr>
        <w:t>directed</w:t>
      </w:r>
      <w:r>
        <w:rPr>
          <w:spacing w:val="-9"/>
          <w:sz w:val="20"/>
        </w:rPr>
        <w:t> </w:t>
      </w:r>
      <w:r>
        <w:rPr>
          <w:sz w:val="20"/>
        </w:rPr>
        <w:t>at</w:t>
      </w:r>
      <w:r>
        <w:rPr>
          <w:spacing w:val="-8"/>
          <w:sz w:val="20"/>
        </w:rPr>
        <w:t> </w:t>
      </w:r>
      <w:r>
        <w:rPr>
          <w:spacing w:val="-3"/>
          <w:sz w:val="20"/>
        </w:rPr>
        <w:t>removing</w:t>
      </w:r>
      <w:r>
        <w:rPr>
          <w:spacing w:val="-9"/>
          <w:sz w:val="20"/>
        </w:rPr>
        <w:t> </w:t>
      </w:r>
      <w:r>
        <w:rPr>
          <w:sz w:val="20"/>
        </w:rPr>
        <w:t>barriers</w:t>
      </w:r>
      <w:r>
        <w:rPr>
          <w:spacing w:val="-9"/>
          <w:sz w:val="20"/>
        </w:rPr>
        <w:t> </w:t>
      </w:r>
      <w:r>
        <w:rPr>
          <w:sz w:val="20"/>
        </w:rPr>
        <w:t>that</w:t>
      </w:r>
      <w:r>
        <w:rPr>
          <w:spacing w:val="-8"/>
          <w:sz w:val="20"/>
        </w:rPr>
        <w:t> </w:t>
      </w:r>
      <w:r>
        <w:rPr>
          <w:spacing w:val="-4"/>
          <w:sz w:val="20"/>
        </w:rPr>
        <w:t>prevent </w:t>
      </w:r>
      <w:r>
        <w:rPr>
          <w:sz w:val="20"/>
        </w:rPr>
        <w:t>participation of people </w:t>
      </w:r>
      <w:r>
        <w:rPr>
          <w:spacing w:val="-3"/>
          <w:sz w:val="20"/>
        </w:rPr>
        <w:t>from </w:t>
      </w:r>
      <w:r>
        <w:rPr>
          <w:sz w:val="20"/>
        </w:rPr>
        <w:t>the subject</w:t>
      </w:r>
      <w:r>
        <w:rPr>
          <w:spacing w:val="-25"/>
          <w:sz w:val="20"/>
        </w:rPr>
        <w:t> </w:t>
      </w:r>
      <w:r>
        <w:rPr>
          <w:sz w:val="20"/>
        </w:rPr>
        <w:t>groups.</w:t>
      </w:r>
    </w:p>
    <w:p>
      <w:pPr>
        <w:pStyle w:val="ListParagraph"/>
        <w:numPr>
          <w:ilvl w:val="1"/>
          <w:numId w:val="12"/>
        </w:numPr>
        <w:tabs>
          <w:tab w:pos="1761" w:val="left" w:leader="none"/>
          <w:tab w:pos="1762" w:val="left" w:leader="none"/>
        </w:tabs>
        <w:spacing w:line="206" w:lineRule="auto" w:before="126" w:after="0"/>
        <w:ind w:left="1761" w:right="1580" w:hanging="794"/>
        <w:jc w:val="left"/>
        <w:rPr>
          <w:sz w:val="20"/>
        </w:rPr>
      </w:pPr>
      <w:r>
        <w:rPr>
          <w:sz w:val="20"/>
        </w:rPr>
        <w:t>Participation</w:t>
      </w:r>
      <w:r>
        <w:rPr>
          <w:spacing w:val="-10"/>
          <w:sz w:val="20"/>
        </w:rPr>
        <w:t> </w:t>
      </w:r>
      <w:r>
        <w:rPr>
          <w:sz w:val="20"/>
        </w:rPr>
        <w:t>in</w:t>
      </w:r>
      <w:r>
        <w:rPr>
          <w:spacing w:val="-10"/>
          <w:sz w:val="20"/>
        </w:rPr>
        <w:t> </w:t>
      </w:r>
      <w:r>
        <w:rPr>
          <w:sz w:val="20"/>
        </w:rPr>
        <w:t>jury</w:t>
      </w:r>
      <w:r>
        <w:rPr>
          <w:spacing w:val="-9"/>
          <w:sz w:val="20"/>
        </w:rPr>
        <w:t> </w:t>
      </w:r>
      <w:r>
        <w:rPr>
          <w:sz w:val="20"/>
        </w:rPr>
        <w:t>service</w:t>
      </w:r>
      <w:r>
        <w:rPr>
          <w:spacing w:val="-10"/>
          <w:sz w:val="20"/>
        </w:rPr>
        <w:t> </w:t>
      </w:r>
      <w:r>
        <w:rPr>
          <w:sz w:val="20"/>
        </w:rPr>
        <w:t>is</w:t>
      </w:r>
      <w:r>
        <w:rPr>
          <w:spacing w:val="-10"/>
          <w:sz w:val="20"/>
        </w:rPr>
        <w:t> </w:t>
      </w:r>
      <w:r>
        <w:rPr>
          <w:sz w:val="20"/>
        </w:rPr>
        <w:t>an</w:t>
      </w:r>
      <w:r>
        <w:rPr>
          <w:spacing w:val="-9"/>
          <w:sz w:val="20"/>
        </w:rPr>
        <w:t> </w:t>
      </w:r>
      <w:r>
        <w:rPr>
          <w:sz w:val="20"/>
        </w:rPr>
        <w:t>important</w:t>
      </w:r>
      <w:r>
        <w:rPr>
          <w:spacing w:val="-10"/>
          <w:sz w:val="20"/>
        </w:rPr>
        <w:t> </w:t>
      </w:r>
      <w:r>
        <w:rPr>
          <w:sz w:val="20"/>
        </w:rPr>
        <w:t>aspect</w:t>
      </w:r>
      <w:r>
        <w:rPr>
          <w:spacing w:val="-10"/>
          <w:sz w:val="20"/>
        </w:rPr>
        <w:t> </w:t>
      </w:r>
      <w:r>
        <w:rPr>
          <w:sz w:val="20"/>
        </w:rPr>
        <w:t>of</w:t>
      </w:r>
      <w:r>
        <w:rPr>
          <w:spacing w:val="-9"/>
          <w:sz w:val="20"/>
        </w:rPr>
        <w:t> </w:t>
      </w:r>
      <w:r>
        <w:rPr>
          <w:sz w:val="20"/>
        </w:rPr>
        <w:t>civic</w:t>
      </w:r>
      <w:r>
        <w:rPr>
          <w:spacing w:val="-10"/>
          <w:sz w:val="20"/>
        </w:rPr>
        <w:t> </w:t>
      </w:r>
      <w:r>
        <w:rPr>
          <w:sz w:val="20"/>
        </w:rPr>
        <w:t>life</w:t>
      </w:r>
      <w:r>
        <w:rPr>
          <w:spacing w:val="-9"/>
          <w:sz w:val="20"/>
        </w:rPr>
        <w:t> </w:t>
      </w:r>
      <w:r>
        <w:rPr>
          <w:sz w:val="20"/>
        </w:rPr>
        <w:t>associated</w:t>
      </w:r>
      <w:r>
        <w:rPr>
          <w:spacing w:val="-10"/>
          <w:sz w:val="20"/>
        </w:rPr>
        <w:t> </w:t>
      </w:r>
      <w:r>
        <w:rPr>
          <w:sz w:val="20"/>
        </w:rPr>
        <w:t>with</w:t>
      </w:r>
      <w:r>
        <w:rPr>
          <w:spacing w:val="-10"/>
          <w:sz w:val="20"/>
        </w:rPr>
        <w:t> </w:t>
      </w:r>
      <w:r>
        <w:rPr>
          <w:spacing w:val="-3"/>
          <w:sz w:val="20"/>
        </w:rPr>
        <w:t>active </w:t>
      </w:r>
      <w:r>
        <w:rPr>
          <w:sz w:val="20"/>
        </w:rPr>
        <w:t>citizenship.</w:t>
      </w:r>
      <w:r>
        <w:rPr>
          <w:position w:val="7"/>
          <w:sz w:val="11"/>
        </w:rPr>
        <w:t>59 </w:t>
      </w:r>
      <w:r>
        <w:rPr>
          <w:sz w:val="20"/>
        </w:rPr>
        <w:t>Blind </w:t>
      </w:r>
      <w:r>
        <w:rPr>
          <w:spacing w:val="-3"/>
          <w:sz w:val="20"/>
        </w:rPr>
        <w:t>Citizens </w:t>
      </w:r>
      <w:r>
        <w:rPr>
          <w:sz w:val="20"/>
        </w:rPr>
        <w:t>Australia</w:t>
      </w:r>
      <w:r>
        <w:rPr>
          <w:spacing w:val="-19"/>
          <w:sz w:val="20"/>
        </w:rPr>
        <w:t> </w:t>
      </w:r>
      <w:r>
        <w:rPr>
          <w:sz w:val="20"/>
        </w:rPr>
        <w:t>observed:</w:t>
      </w:r>
    </w:p>
    <w:p>
      <w:pPr>
        <w:spacing w:line="208" w:lineRule="auto" w:before="121"/>
        <w:ind w:left="2157" w:right="2054" w:firstLine="0"/>
        <w:jc w:val="left"/>
        <w:rPr>
          <w:sz w:val="11"/>
        </w:rPr>
      </w:pPr>
      <w:r>
        <w:rPr>
          <w:sz w:val="19"/>
        </w:rPr>
        <w:t>People who are blind or vision impaired have the rights and responsibilities to participate to the fullest extent possible in society. This includes fulfilling civic responsibilities such as voting and jury service. A call to jury service is a civic responsibility for all Australian citizens who are not exempt by law. </w:t>
      </w:r>
      <w:r>
        <w:rPr>
          <w:position w:val="6"/>
          <w:sz w:val="11"/>
        </w:rPr>
        <w:t>60</w:t>
      </w:r>
    </w:p>
    <w:p>
      <w:pPr>
        <w:pStyle w:val="ListParagraph"/>
        <w:numPr>
          <w:ilvl w:val="1"/>
          <w:numId w:val="12"/>
        </w:numPr>
        <w:tabs>
          <w:tab w:pos="1761" w:val="left" w:leader="none"/>
          <w:tab w:pos="1762" w:val="left" w:leader="none"/>
        </w:tabs>
        <w:spacing w:line="206" w:lineRule="auto" w:before="124" w:after="0"/>
        <w:ind w:left="1761" w:right="1372" w:hanging="794"/>
        <w:jc w:val="left"/>
        <w:rPr>
          <w:sz w:val="20"/>
        </w:rPr>
      </w:pPr>
      <w:r>
        <w:rPr>
          <w:sz w:val="20"/>
        </w:rPr>
        <w:t>Not</w:t>
      </w:r>
      <w:r>
        <w:rPr>
          <w:spacing w:val="-10"/>
          <w:sz w:val="20"/>
        </w:rPr>
        <w:t> </w:t>
      </w:r>
      <w:r>
        <w:rPr>
          <w:sz w:val="20"/>
        </w:rPr>
        <w:t>being</w:t>
      </w:r>
      <w:r>
        <w:rPr>
          <w:spacing w:val="-10"/>
          <w:sz w:val="20"/>
        </w:rPr>
        <w:t> </w:t>
      </w:r>
      <w:r>
        <w:rPr>
          <w:sz w:val="20"/>
        </w:rPr>
        <w:t>able</w:t>
      </w:r>
      <w:r>
        <w:rPr>
          <w:spacing w:val="-9"/>
          <w:sz w:val="20"/>
        </w:rPr>
        <w:t> </w:t>
      </w:r>
      <w:r>
        <w:rPr>
          <w:sz w:val="20"/>
        </w:rPr>
        <w:t>to</w:t>
      </w:r>
      <w:r>
        <w:rPr>
          <w:spacing w:val="-10"/>
          <w:sz w:val="20"/>
        </w:rPr>
        <w:t> </w:t>
      </w:r>
      <w:r>
        <w:rPr>
          <w:sz w:val="20"/>
        </w:rPr>
        <w:t>participate</w:t>
      </w:r>
      <w:r>
        <w:rPr>
          <w:spacing w:val="-9"/>
          <w:sz w:val="20"/>
        </w:rPr>
        <w:t> </w:t>
      </w:r>
      <w:r>
        <w:rPr>
          <w:sz w:val="20"/>
        </w:rPr>
        <w:t>in</w:t>
      </w:r>
      <w:r>
        <w:rPr>
          <w:spacing w:val="-10"/>
          <w:sz w:val="20"/>
        </w:rPr>
        <w:t> </w:t>
      </w:r>
      <w:r>
        <w:rPr>
          <w:sz w:val="20"/>
        </w:rPr>
        <w:t>jury</w:t>
      </w:r>
      <w:r>
        <w:rPr>
          <w:spacing w:val="-9"/>
          <w:sz w:val="20"/>
        </w:rPr>
        <w:t> </w:t>
      </w:r>
      <w:r>
        <w:rPr>
          <w:sz w:val="20"/>
        </w:rPr>
        <w:t>service</w:t>
      </w:r>
      <w:r>
        <w:rPr>
          <w:spacing w:val="-10"/>
          <w:sz w:val="20"/>
        </w:rPr>
        <w:t> </w:t>
      </w:r>
      <w:r>
        <w:rPr>
          <w:spacing w:val="-4"/>
          <w:sz w:val="20"/>
        </w:rPr>
        <w:t>conveys</w:t>
      </w:r>
      <w:r>
        <w:rPr>
          <w:spacing w:val="-9"/>
          <w:sz w:val="20"/>
        </w:rPr>
        <w:t> </w:t>
      </w:r>
      <w:r>
        <w:rPr>
          <w:sz w:val="20"/>
        </w:rPr>
        <w:t>the</w:t>
      </w:r>
      <w:r>
        <w:rPr>
          <w:spacing w:val="-10"/>
          <w:sz w:val="20"/>
        </w:rPr>
        <w:t> </w:t>
      </w:r>
      <w:r>
        <w:rPr>
          <w:sz w:val="20"/>
        </w:rPr>
        <w:t>wrong</w:t>
      </w:r>
      <w:r>
        <w:rPr>
          <w:spacing w:val="-9"/>
          <w:sz w:val="20"/>
        </w:rPr>
        <w:t> </w:t>
      </w:r>
      <w:r>
        <w:rPr>
          <w:sz w:val="20"/>
        </w:rPr>
        <w:t>message</w:t>
      </w:r>
      <w:r>
        <w:rPr>
          <w:spacing w:val="-10"/>
          <w:sz w:val="20"/>
        </w:rPr>
        <w:t> </w:t>
      </w:r>
      <w:r>
        <w:rPr>
          <w:sz w:val="20"/>
        </w:rPr>
        <w:t>about</w:t>
      </w:r>
      <w:r>
        <w:rPr>
          <w:spacing w:val="-9"/>
          <w:sz w:val="20"/>
        </w:rPr>
        <w:t> </w:t>
      </w:r>
      <w:r>
        <w:rPr>
          <w:sz w:val="20"/>
        </w:rPr>
        <w:t>who</w:t>
      </w:r>
      <w:r>
        <w:rPr>
          <w:spacing w:val="-10"/>
          <w:sz w:val="20"/>
        </w:rPr>
        <w:t> </w:t>
      </w:r>
      <w:r>
        <w:rPr>
          <w:sz w:val="20"/>
        </w:rPr>
        <w:t>is considered</w:t>
      </w:r>
      <w:r>
        <w:rPr>
          <w:spacing w:val="-6"/>
          <w:sz w:val="20"/>
        </w:rPr>
        <w:t> </w:t>
      </w:r>
      <w:r>
        <w:rPr>
          <w:sz w:val="20"/>
        </w:rPr>
        <w:t>a</w:t>
      </w:r>
      <w:r>
        <w:rPr>
          <w:spacing w:val="-6"/>
          <w:sz w:val="20"/>
        </w:rPr>
        <w:t> </w:t>
      </w:r>
      <w:r>
        <w:rPr>
          <w:sz w:val="20"/>
        </w:rPr>
        <w:t>full</w:t>
      </w:r>
      <w:r>
        <w:rPr>
          <w:spacing w:val="-6"/>
          <w:sz w:val="20"/>
        </w:rPr>
        <w:t> </w:t>
      </w:r>
      <w:r>
        <w:rPr>
          <w:sz w:val="20"/>
        </w:rPr>
        <w:t>and</w:t>
      </w:r>
      <w:r>
        <w:rPr>
          <w:spacing w:val="-5"/>
          <w:sz w:val="20"/>
        </w:rPr>
        <w:t> </w:t>
      </w:r>
      <w:r>
        <w:rPr>
          <w:sz w:val="20"/>
        </w:rPr>
        <w:t>equal</w:t>
      </w:r>
      <w:r>
        <w:rPr>
          <w:spacing w:val="-6"/>
          <w:sz w:val="20"/>
        </w:rPr>
        <w:t> </w:t>
      </w:r>
      <w:r>
        <w:rPr>
          <w:spacing w:val="-3"/>
          <w:sz w:val="20"/>
        </w:rPr>
        <w:t>citizen</w:t>
      </w:r>
      <w:r>
        <w:rPr>
          <w:spacing w:val="-6"/>
          <w:sz w:val="20"/>
        </w:rPr>
        <w:t> </w:t>
      </w:r>
      <w:r>
        <w:rPr>
          <w:sz w:val="20"/>
        </w:rPr>
        <w:t>in</w:t>
      </w:r>
      <w:r>
        <w:rPr>
          <w:spacing w:val="-5"/>
          <w:sz w:val="20"/>
        </w:rPr>
        <w:t> </w:t>
      </w:r>
      <w:r>
        <w:rPr>
          <w:sz w:val="20"/>
        </w:rPr>
        <w:t>the</w:t>
      </w:r>
      <w:r>
        <w:rPr>
          <w:spacing w:val="-6"/>
          <w:sz w:val="20"/>
        </w:rPr>
        <w:t> </w:t>
      </w:r>
      <w:r>
        <w:rPr>
          <w:spacing w:val="-4"/>
          <w:sz w:val="20"/>
        </w:rPr>
        <w:t>eyes</w:t>
      </w:r>
      <w:r>
        <w:rPr>
          <w:spacing w:val="-6"/>
          <w:sz w:val="20"/>
        </w:rPr>
        <w:t> </w:t>
      </w:r>
      <w:r>
        <w:rPr>
          <w:sz w:val="20"/>
        </w:rPr>
        <w:t>of</w:t>
      </w:r>
      <w:r>
        <w:rPr>
          <w:spacing w:val="-5"/>
          <w:sz w:val="20"/>
        </w:rPr>
        <w:t> </w:t>
      </w:r>
      <w:r>
        <w:rPr>
          <w:sz w:val="20"/>
        </w:rPr>
        <w:t>the</w:t>
      </w:r>
      <w:r>
        <w:rPr>
          <w:spacing w:val="-6"/>
          <w:sz w:val="20"/>
        </w:rPr>
        <w:t> </w:t>
      </w:r>
      <w:r>
        <w:rPr>
          <w:sz w:val="20"/>
        </w:rPr>
        <w:t>community</w:t>
      </w:r>
      <w:r>
        <w:rPr>
          <w:spacing w:val="-6"/>
          <w:sz w:val="20"/>
        </w:rPr>
        <w:t> </w:t>
      </w:r>
      <w:r>
        <w:rPr>
          <w:sz w:val="20"/>
        </w:rPr>
        <w:t>and</w:t>
      </w:r>
      <w:r>
        <w:rPr>
          <w:spacing w:val="-6"/>
          <w:sz w:val="20"/>
        </w:rPr>
        <w:t> </w:t>
      </w:r>
      <w:r>
        <w:rPr>
          <w:sz w:val="20"/>
        </w:rPr>
        <w:t>the</w:t>
      </w:r>
      <w:r>
        <w:rPr>
          <w:spacing w:val="-5"/>
          <w:sz w:val="20"/>
        </w:rPr>
        <w:t> </w:t>
      </w:r>
      <w:r>
        <w:rPr>
          <w:spacing w:val="-3"/>
          <w:sz w:val="20"/>
        </w:rPr>
        <w:t>state.</w:t>
      </w:r>
    </w:p>
    <w:p>
      <w:pPr>
        <w:pStyle w:val="ListParagraph"/>
        <w:numPr>
          <w:ilvl w:val="1"/>
          <w:numId w:val="12"/>
        </w:numPr>
        <w:tabs>
          <w:tab w:pos="1761" w:val="left" w:leader="none"/>
          <w:tab w:pos="1762" w:val="left" w:leader="none"/>
        </w:tabs>
        <w:spacing w:line="206" w:lineRule="auto" w:before="123" w:after="0"/>
        <w:ind w:left="1761" w:right="1226" w:hanging="794"/>
        <w:jc w:val="left"/>
        <w:rPr>
          <w:sz w:val="11"/>
        </w:rPr>
      </w:pPr>
      <w:r>
        <w:rPr>
          <w:sz w:val="20"/>
        </w:rPr>
        <w:t>The courts </w:t>
      </w:r>
      <w:r>
        <w:rPr>
          <w:spacing w:val="-3"/>
          <w:sz w:val="20"/>
        </w:rPr>
        <w:t>are </w:t>
      </w:r>
      <w:r>
        <w:rPr>
          <w:sz w:val="20"/>
        </w:rPr>
        <w:t>called upon to uphold the rights of non-discrimination and equality </w:t>
      </w:r>
      <w:r>
        <w:rPr>
          <w:spacing w:val="-3"/>
          <w:sz w:val="20"/>
        </w:rPr>
        <w:t>across </w:t>
      </w:r>
      <w:r>
        <w:rPr>
          <w:sz w:val="20"/>
        </w:rPr>
        <w:t>the </w:t>
      </w:r>
      <w:r>
        <w:rPr>
          <w:spacing w:val="-3"/>
          <w:sz w:val="20"/>
        </w:rPr>
        <w:t>community. </w:t>
      </w:r>
      <w:r>
        <w:rPr>
          <w:sz w:val="20"/>
        </w:rPr>
        <w:t>The Supreme Court identified that ‘the principle of equality </w:t>
      </w:r>
      <w:r>
        <w:rPr>
          <w:spacing w:val="-3"/>
          <w:sz w:val="20"/>
        </w:rPr>
        <w:t>before</w:t>
      </w:r>
      <w:r>
        <w:rPr>
          <w:spacing w:val="-7"/>
          <w:sz w:val="20"/>
        </w:rPr>
        <w:t> </w:t>
      </w:r>
      <w:r>
        <w:rPr>
          <w:sz w:val="20"/>
        </w:rPr>
        <w:t>the</w:t>
      </w:r>
      <w:r>
        <w:rPr>
          <w:spacing w:val="-7"/>
          <w:sz w:val="20"/>
        </w:rPr>
        <w:t> </w:t>
      </w:r>
      <w:r>
        <w:rPr>
          <w:sz w:val="20"/>
        </w:rPr>
        <w:t>law</w:t>
      </w:r>
      <w:r>
        <w:rPr>
          <w:spacing w:val="-7"/>
          <w:sz w:val="20"/>
        </w:rPr>
        <w:t> </w:t>
      </w:r>
      <w:r>
        <w:rPr>
          <w:sz w:val="20"/>
        </w:rPr>
        <w:t>and</w:t>
      </w:r>
      <w:r>
        <w:rPr>
          <w:spacing w:val="-7"/>
          <w:sz w:val="20"/>
        </w:rPr>
        <w:t> </w:t>
      </w:r>
      <w:r>
        <w:rPr>
          <w:sz w:val="20"/>
        </w:rPr>
        <w:t>equal</w:t>
      </w:r>
      <w:r>
        <w:rPr>
          <w:spacing w:val="-7"/>
          <w:sz w:val="20"/>
        </w:rPr>
        <w:t> </w:t>
      </w:r>
      <w:r>
        <w:rPr>
          <w:sz w:val="20"/>
        </w:rPr>
        <w:t>access</w:t>
      </w:r>
      <w:r>
        <w:rPr>
          <w:spacing w:val="-7"/>
          <w:sz w:val="20"/>
        </w:rPr>
        <w:t> </w:t>
      </w:r>
      <w:r>
        <w:rPr>
          <w:sz w:val="20"/>
        </w:rPr>
        <w:t>to</w:t>
      </w:r>
      <w:r>
        <w:rPr>
          <w:spacing w:val="-7"/>
          <w:sz w:val="20"/>
        </w:rPr>
        <w:t> </w:t>
      </w:r>
      <w:r>
        <w:rPr>
          <w:sz w:val="20"/>
        </w:rPr>
        <w:t>the</w:t>
      </w:r>
      <w:r>
        <w:rPr>
          <w:spacing w:val="-7"/>
          <w:sz w:val="20"/>
        </w:rPr>
        <w:t> </w:t>
      </w:r>
      <w:r>
        <w:rPr>
          <w:sz w:val="20"/>
        </w:rPr>
        <w:t>Court</w:t>
      </w:r>
      <w:r>
        <w:rPr>
          <w:spacing w:val="-7"/>
          <w:sz w:val="20"/>
        </w:rPr>
        <w:t> </w:t>
      </w:r>
      <w:r>
        <w:rPr>
          <w:sz w:val="20"/>
        </w:rPr>
        <w:t>is</w:t>
      </w:r>
      <w:r>
        <w:rPr>
          <w:spacing w:val="-7"/>
          <w:sz w:val="20"/>
        </w:rPr>
        <w:t> </w:t>
      </w:r>
      <w:r>
        <w:rPr>
          <w:sz w:val="20"/>
        </w:rPr>
        <w:t>foundational</w:t>
      </w:r>
      <w:r>
        <w:rPr>
          <w:spacing w:val="-7"/>
          <w:sz w:val="20"/>
        </w:rPr>
        <w:t> </w:t>
      </w:r>
      <w:r>
        <w:rPr>
          <w:sz w:val="20"/>
        </w:rPr>
        <w:t>to</w:t>
      </w:r>
      <w:r>
        <w:rPr>
          <w:spacing w:val="-7"/>
          <w:sz w:val="20"/>
        </w:rPr>
        <w:t> </w:t>
      </w:r>
      <w:r>
        <w:rPr>
          <w:sz w:val="20"/>
        </w:rPr>
        <w:t>the</w:t>
      </w:r>
      <w:r>
        <w:rPr>
          <w:spacing w:val="-7"/>
          <w:sz w:val="20"/>
        </w:rPr>
        <w:t> </w:t>
      </w:r>
      <w:r>
        <w:rPr>
          <w:sz w:val="20"/>
        </w:rPr>
        <w:t>court’s</w:t>
      </w:r>
      <w:r>
        <w:rPr>
          <w:spacing w:val="-7"/>
          <w:sz w:val="20"/>
        </w:rPr>
        <w:t> </w:t>
      </w:r>
      <w:r>
        <w:rPr>
          <w:spacing w:val="-3"/>
          <w:sz w:val="20"/>
        </w:rPr>
        <w:t>operations’.</w:t>
      </w:r>
      <w:r>
        <w:rPr>
          <w:spacing w:val="-3"/>
          <w:position w:val="7"/>
          <w:sz w:val="11"/>
        </w:rPr>
        <w:t>61</w:t>
      </w:r>
    </w:p>
    <w:p>
      <w:pPr>
        <w:pStyle w:val="ListParagraph"/>
        <w:numPr>
          <w:ilvl w:val="1"/>
          <w:numId w:val="12"/>
        </w:numPr>
        <w:tabs>
          <w:tab w:pos="1761" w:val="left" w:leader="none"/>
          <w:tab w:pos="1762" w:val="left" w:leader="none"/>
        </w:tabs>
        <w:spacing w:line="206" w:lineRule="auto" w:before="124" w:after="0"/>
        <w:ind w:left="1761" w:right="2324" w:hanging="794"/>
        <w:jc w:val="left"/>
        <w:rPr>
          <w:sz w:val="20"/>
        </w:rPr>
      </w:pPr>
      <w:r>
        <w:rPr>
          <w:sz w:val="20"/>
        </w:rPr>
        <w:t>Jury</w:t>
      </w:r>
      <w:r>
        <w:rPr>
          <w:spacing w:val="-9"/>
          <w:sz w:val="20"/>
        </w:rPr>
        <w:t> </w:t>
      </w:r>
      <w:r>
        <w:rPr>
          <w:sz w:val="20"/>
        </w:rPr>
        <w:t>service</w:t>
      </w:r>
      <w:r>
        <w:rPr>
          <w:spacing w:val="-9"/>
          <w:sz w:val="20"/>
        </w:rPr>
        <w:t> </w:t>
      </w:r>
      <w:r>
        <w:rPr>
          <w:sz w:val="20"/>
        </w:rPr>
        <w:t>should</w:t>
      </w:r>
      <w:r>
        <w:rPr>
          <w:spacing w:val="-9"/>
          <w:sz w:val="20"/>
        </w:rPr>
        <w:t> </w:t>
      </w:r>
      <w:r>
        <w:rPr>
          <w:sz w:val="20"/>
        </w:rPr>
        <w:t>no</w:t>
      </w:r>
      <w:r>
        <w:rPr>
          <w:spacing w:val="-9"/>
          <w:sz w:val="20"/>
        </w:rPr>
        <w:t> </w:t>
      </w:r>
      <w:r>
        <w:rPr>
          <w:sz w:val="20"/>
        </w:rPr>
        <w:t>longer</w:t>
      </w:r>
      <w:r>
        <w:rPr>
          <w:spacing w:val="-9"/>
          <w:sz w:val="20"/>
        </w:rPr>
        <w:t> </w:t>
      </w:r>
      <w:r>
        <w:rPr>
          <w:sz w:val="20"/>
        </w:rPr>
        <w:t>be</w:t>
      </w:r>
      <w:r>
        <w:rPr>
          <w:spacing w:val="-9"/>
          <w:sz w:val="20"/>
        </w:rPr>
        <w:t> </w:t>
      </w:r>
      <w:r>
        <w:rPr>
          <w:spacing w:val="-3"/>
          <w:sz w:val="20"/>
        </w:rPr>
        <w:t>kept</w:t>
      </w:r>
      <w:r>
        <w:rPr>
          <w:spacing w:val="-9"/>
          <w:sz w:val="20"/>
        </w:rPr>
        <w:t> </w:t>
      </w:r>
      <w:r>
        <w:rPr>
          <w:sz w:val="20"/>
        </w:rPr>
        <w:t>separate</w:t>
      </w:r>
      <w:r>
        <w:rPr>
          <w:spacing w:val="-9"/>
          <w:sz w:val="20"/>
        </w:rPr>
        <w:t> </w:t>
      </w:r>
      <w:r>
        <w:rPr>
          <w:spacing w:val="-3"/>
          <w:sz w:val="20"/>
        </w:rPr>
        <w:t>from</w:t>
      </w:r>
      <w:r>
        <w:rPr>
          <w:spacing w:val="-9"/>
          <w:sz w:val="20"/>
        </w:rPr>
        <w:t> </w:t>
      </w:r>
      <w:r>
        <w:rPr>
          <w:sz w:val="20"/>
        </w:rPr>
        <w:t>the</w:t>
      </w:r>
      <w:r>
        <w:rPr>
          <w:spacing w:val="-9"/>
          <w:sz w:val="20"/>
        </w:rPr>
        <w:t> </w:t>
      </w:r>
      <w:r>
        <w:rPr>
          <w:sz w:val="20"/>
        </w:rPr>
        <w:t>operation</w:t>
      </w:r>
      <w:r>
        <w:rPr>
          <w:spacing w:val="-9"/>
          <w:sz w:val="20"/>
        </w:rPr>
        <w:t> </w:t>
      </w:r>
      <w:r>
        <w:rPr>
          <w:sz w:val="20"/>
        </w:rPr>
        <w:t>of</w:t>
      </w:r>
      <w:r>
        <w:rPr>
          <w:spacing w:val="-9"/>
          <w:sz w:val="20"/>
        </w:rPr>
        <w:t> </w:t>
      </w:r>
      <w:r>
        <w:rPr>
          <w:sz w:val="20"/>
        </w:rPr>
        <w:t>these fundamental principles. As Vision Australia</w:t>
      </w:r>
      <w:r>
        <w:rPr>
          <w:spacing w:val="-27"/>
          <w:sz w:val="20"/>
        </w:rPr>
        <w:t> </w:t>
      </w:r>
      <w:r>
        <w:rPr>
          <w:sz w:val="20"/>
        </w:rPr>
        <w:t>observed:</w:t>
      </w:r>
    </w:p>
    <w:p>
      <w:pPr>
        <w:spacing w:line="208" w:lineRule="auto" w:before="120"/>
        <w:ind w:left="2157" w:right="1262" w:firstLine="0"/>
        <w:jc w:val="left"/>
        <w:rPr>
          <w:sz w:val="11"/>
        </w:rPr>
      </w:pPr>
      <w:r>
        <w:rPr>
          <w:sz w:val="19"/>
        </w:rPr>
        <w:t>Access to justice—including participation in judicial processes such as jury service—is no longer seen as occupying a separate or privileged place in society that should be sheltered from the impact of evolving expectations.</w:t>
      </w:r>
      <w:r>
        <w:rPr>
          <w:position w:val="6"/>
          <w:sz w:val="11"/>
        </w:rPr>
        <w:t>62</w:t>
      </w:r>
    </w:p>
    <w:p>
      <w:pPr>
        <w:pStyle w:val="BodyText"/>
      </w:pPr>
    </w:p>
    <w:p>
      <w:pPr>
        <w:pStyle w:val="BodyText"/>
      </w:pPr>
    </w:p>
    <w:p>
      <w:pPr>
        <w:pStyle w:val="BodyText"/>
      </w:pPr>
    </w:p>
    <w:p>
      <w:pPr>
        <w:pStyle w:val="BodyText"/>
      </w:pPr>
    </w:p>
    <w:p>
      <w:pPr>
        <w:pStyle w:val="BodyText"/>
        <w:spacing w:before="9"/>
        <w:rPr>
          <w:sz w:val="21"/>
        </w:rPr>
      </w:pPr>
      <w:r>
        <w:rPr/>
        <w:pict>
          <v:line style="position:absolute;mso-position-horizontal-relative:page;mso-position-vertical-relative:paragraph;z-index:3608;mso-wrap-distance-left:0;mso-wrap-distance-right:0" from="79.370102pt,17.49918pt" to="515.905102pt,17.49918pt" stroked="true" strokeweight="1pt" strokecolor="#b6bdc8">
            <v:stroke dashstyle="solid"/>
            <w10:wrap type="topAndBottom"/>
          </v:line>
        </w:pict>
      </w:r>
    </w:p>
    <w:p>
      <w:pPr>
        <w:pStyle w:val="ListParagraph"/>
        <w:numPr>
          <w:ilvl w:val="0"/>
          <w:numId w:val="52"/>
        </w:numPr>
        <w:tabs>
          <w:tab w:pos="1760" w:val="left" w:leader="none"/>
          <w:tab w:pos="1762" w:val="left" w:leader="none"/>
        </w:tabs>
        <w:spacing w:line="170" w:lineRule="exact" w:before="91" w:after="0"/>
        <w:ind w:left="1761" w:right="0" w:hanging="794"/>
        <w:jc w:val="left"/>
        <w:rPr>
          <w:sz w:val="13"/>
        </w:rPr>
      </w:pPr>
      <w:r>
        <w:rPr>
          <w:sz w:val="13"/>
        </w:rPr>
        <w:t>See generally Judicial College of Victoria, </w:t>
      </w:r>
      <w:r>
        <w:rPr>
          <w:i/>
          <w:sz w:val="13"/>
        </w:rPr>
        <w:t>Charter of Human </w:t>
      </w:r>
      <w:r>
        <w:rPr>
          <w:i/>
          <w:spacing w:val="2"/>
          <w:sz w:val="13"/>
        </w:rPr>
        <w:t>Rights </w:t>
      </w:r>
      <w:r>
        <w:rPr>
          <w:i/>
          <w:sz w:val="13"/>
        </w:rPr>
        <w:t>Bench Book </w:t>
      </w:r>
      <w:r>
        <w:rPr>
          <w:sz w:val="13"/>
        </w:rPr>
        <w:t>(Online Manual, 1 September</w:t>
      </w:r>
      <w:r>
        <w:rPr>
          <w:spacing w:val="26"/>
          <w:sz w:val="13"/>
        </w:rPr>
        <w:t> </w:t>
      </w:r>
      <w:r>
        <w:rPr>
          <w:sz w:val="13"/>
        </w:rPr>
        <w:t>2017)</w:t>
      </w:r>
    </w:p>
    <w:p>
      <w:pPr>
        <w:spacing w:line="160" w:lineRule="exact" w:before="0"/>
        <w:ind w:left="1761" w:right="0" w:firstLine="0"/>
        <w:jc w:val="left"/>
        <w:rPr>
          <w:sz w:val="13"/>
        </w:rPr>
      </w:pPr>
      <w:r>
        <w:rPr>
          <w:sz w:val="13"/>
        </w:rPr>
        <w:t>&lt;</w:t>
      </w:r>
      <w:hyperlink r:id="rId130">
        <w:r>
          <w:rPr>
            <w:sz w:val="13"/>
          </w:rPr>
          <w:t>https://www.judicialcollege.vic.edu.au/eManuals/CHRBB/index.htm#57496.htm</w:t>
        </w:r>
      </w:hyperlink>
      <w:r>
        <w:rPr>
          <w:sz w:val="13"/>
        </w:rPr>
        <w:t>&gt;.</w:t>
      </w:r>
    </w:p>
    <w:p>
      <w:pPr>
        <w:pStyle w:val="ListParagraph"/>
        <w:numPr>
          <w:ilvl w:val="0"/>
          <w:numId w:val="52"/>
        </w:numPr>
        <w:tabs>
          <w:tab w:pos="1761" w:val="left" w:leader="none"/>
          <w:tab w:pos="1762" w:val="left" w:leader="none"/>
        </w:tabs>
        <w:spacing w:line="213" w:lineRule="auto" w:before="6" w:after="0"/>
        <w:ind w:left="1761" w:right="1364" w:hanging="794"/>
        <w:jc w:val="left"/>
        <w:rPr>
          <w:sz w:val="13"/>
        </w:rPr>
      </w:pPr>
      <w:r>
        <w:rPr>
          <w:i/>
          <w:sz w:val="13"/>
        </w:rPr>
        <w:t>Charter of Human </w:t>
      </w:r>
      <w:r>
        <w:rPr>
          <w:i/>
          <w:spacing w:val="2"/>
          <w:sz w:val="13"/>
        </w:rPr>
        <w:t>Rights </w:t>
      </w:r>
      <w:r>
        <w:rPr>
          <w:i/>
          <w:sz w:val="13"/>
        </w:rPr>
        <w:t>and Responsibilities Act 2006 </w:t>
      </w:r>
      <w:r>
        <w:rPr>
          <w:spacing w:val="2"/>
          <w:sz w:val="13"/>
        </w:rPr>
        <w:t>(Vic) </w:t>
      </w:r>
      <w:r>
        <w:rPr>
          <w:sz w:val="13"/>
        </w:rPr>
        <w:t>s 6(2)(b). Note, under </w:t>
      </w:r>
      <w:r>
        <w:rPr>
          <w:spacing w:val="2"/>
          <w:sz w:val="13"/>
        </w:rPr>
        <w:t>part </w:t>
      </w:r>
      <w:r>
        <w:rPr>
          <w:sz w:val="13"/>
        </w:rPr>
        <w:t>3 the court must consider Charter rights when interpretating legislation and </w:t>
      </w:r>
      <w:r>
        <w:rPr>
          <w:spacing w:val="2"/>
          <w:sz w:val="13"/>
        </w:rPr>
        <w:t>part </w:t>
      </w:r>
      <w:r>
        <w:rPr>
          <w:sz w:val="13"/>
        </w:rPr>
        <w:t>2 puts a direct obligation on the </w:t>
      </w:r>
      <w:r>
        <w:rPr>
          <w:spacing w:val="2"/>
          <w:sz w:val="13"/>
        </w:rPr>
        <w:t>courts </w:t>
      </w:r>
      <w:r>
        <w:rPr>
          <w:sz w:val="13"/>
        </w:rPr>
        <w:t>to act compatibly with Charter rights that affect court proceedings.</w:t>
      </w:r>
    </w:p>
    <w:p>
      <w:pPr>
        <w:pStyle w:val="ListParagraph"/>
        <w:numPr>
          <w:ilvl w:val="0"/>
          <w:numId w:val="52"/>
        </w:numPr>
        <w:tabs>
          <w:tab w:pos="1761" w:val="left" w:leader="none"/>
          <w:tab w:pos="1762" w:val="left" w:leader="none"/>
        </w:tabs>
        <w:spacing w:line="152" w:lineRule="exact" w:before="0" w:after="0"/>
        <w:ind w:left="1761" w:right="0" w:hanging="794"/>
        <w:jc w:val="left"/>
        <w:rPr>
          <w:sz w:val="13"/>
        </w:rPr>
      </w:pPr>
      <w:r>
        <w:rPr>
          <w:sz w:val="13"/>
        </w:rPr>
        <w:t>Ibid s </w:t>
      </w:r>
      <w:r>
        <w:rPr>
          <w:spacing w:val="2"/>
          <w:sz w:val="13"/>
        </w:rPr>
        <w:t>38.</w:t>
      </w:r>
    </w:p>
    <w:p>
      <w:pPr>
        <w:tabs>
          <w:tab w:pos="1761" w:val="left" w:leader="none"/>
        </w:tabs>
        <w:spacing w:line="160" w:lineRule="exact" w:before="0"/>
        <w:ind w:left="967" w:right="0" w:firstLine="0"/>
        <w:jc w:val="left"/>
        <w:rPr>
          <w:sz w:val="13"/>
        </w:rPr>
      </w:pPr>
      <w:r>
        <w:rPr>
          <w:sz w:val="13"/>
        </w:rPr>
        <w:t>56</w:t>
        <w:tab/>
        <w:t>Ibid s 4(1)(j).</w:t>
      </w:r>
    </w:p>
    <w:p>
      <w:pPr>
        <w:pStyle w:val="ListParagraph"/>
        <w:numPr>
          <w:ilvl w:val="0"/>
          <w:numId w:val="53"/>
        </w:numPr>
        <w:tabs>
          <w:tab w:pos="1760"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53"/>
        </w:numPr>
        <w:tabs>
          <w:tab w:pos="1760" w:val="left" w:leader="none"/>
          <w:tab w:pos="1762" w:val="left" w:leader="none"/>
        </w:tabs>
        <w:spacing w:line="213" w:lineRule="auto" w:before="6" w:after="0"/>
        <w:ind w:left="1761" w:right="1521" w:hanging="794"/>
        <w:jc w:val="left"/>
        <w:rPr>
          <w:sz w:val="13"/>
        </w:rPr>
      </w:pPr>
      <w:r>
        <w:rPr>
          <w:sz w:val="13"/>
        </w:rPr>
        <w:t>Case law </w:t>
      </w:r>
      <w:r>
        <w:rPr>
          <w:spacing w:val="2"/>
          <w:sz w:val="13"/>
        </w:rPr>
        <w:t>suggests </w:t>
      </w:r>
      <w:r>
        <w:rPr>
          <w:sz w:val="13"/>
        </w:rPr>
        <w:t>that a court is less likely to be acting administratively if it involves the governance of a </w:t>
      </w:r>
      <w:r>
        <w:rPr>
          <w:spacing w:val="2"/>
          <w:sz w:val="13"/>
        </w:rPr>
        <w:t>trial: </w:t>
      </w:r>
      <w:r>
        <w:rPr>
          <w:i/>
          <w:sz w:val="13"/>
        </w:rPr>
        <w:t>Slaveski v The </w:t>
      </w:r>
      <w:r>
        <w:rPr>
          <w:i/>
          <w:spacing w:val="2"/>
          <w:sz w:val="13"/>
        </w:rPr>
        <w:t>Queen </w:t>
      </w:r>
      <w:r>
        <w:rPr>
          <w:sz w:val="13"/>
        </w:rPr>
        <w:t>[2012] VSCA 48, (2012) 40 VR 1, [107].</w:t>
      </w:r>
    </w:p>
    <w:p>
      <w:pPr>
        <w:pStyle w:val="ListParagraph"/>
        <w:numPr>
          <w:ilvl w:val="0"/>
          <w:numId w:val="53"/>
        </w:numPr>
        <w:tabs>
          <w:tab w:pos="1761" w:val="left" w:leader="none"/>
          <w:tab w:pos="1762" w:val="left" w:leader="none"/>
        </w:tabs>
        <w:spacing w:line="213" w:lineRule="auto" w:before="0" w:after="0"/>
        <w:ind w:left="1761" w:right="1342" w:hanging="794"/>
        <w:jc w:val="left"/>
        <w:rPr>
          <w:sz w:val="13"/>
        </w:rPr>
      </w:pPr>
      <w:r>
        <w:rPr>
          <w:sz w:val="13"/>
        </w:rPr>
        <w:t>The Convention Committee notes in the cases of </w:t>
      </w:r>
      <w:r>
        <w:rPr>
          <w:i/>
          <w:sz w:val="13"/>
        </w:rPr>
        <w:t>Lockrey </w:t>
      </w:r>
      <w:r>
        <w:rPr>
          <w:sz w:val="13"/>
        </w:rPr>
        <w:t>and </w:t>
      </w:r>
      <w:r>
        <w:rPr>
          <w:i/>
          <w:sz w:val="13"/>
        </w:rPr>
        <w:t>Beasley </w:t>
      </w:r>
      <w:r>
        <w:rPr>
          <w:sz w:val="13"/>
        </w:rPr>
        <w:t>that </w:t>
      </w:r>
      <w:r>
        <w:rPr>
          <w:spacing w:val="2"/>
          <w:sz w:val="13"/>
        </w:rPr>
        <w:t>‘the performance </w:t>
      </w:r>
      <w:r>
        <w:rPr>
          <w:sz w:val="13"/>
        </w:rPr>
        <w:t>of </w:t>
      </w:r>
      <w:r>
        <w:rPr>
          <w:spacing w:val="2"/>
          <w:sz w:val="13"/>
        </w:rPr>
        <w:t>jury </w:t>
      </w:r>
      <w:r>
        <w:rPr>
          <w:sz w:val="13"/>
        </w:rPr>
        <w:t>duty is an </w:t>
      </w:r>
      <w:r>
        <w:rPr>
          <w:spacing w:val="2"/>
          <w:sz w:val="13"/>
        </w:rPr>
        <w:t>important </w:t>
      </w:r>
      <w:r>
        <w:rPr>
          <w:sz w:val="13"/>
        </w:rPr>
        <w:t>aspect  of</w:t>
      </w:r>
      <w:r>
        <w:rPr>
          <w:spacing w:val="5"/>
          <w:sz w:val="13"/>
        </w:rPr>
        <w:t> </w:t>
      </w:r>
      <w:r>
        <w:rPr>
          <w:sz w:val="13"/>
        </w:rPr>
        <w:t>civic</w:t>
      </w:r>
      <w:r>
        <w:rPr>
          <w:spacing w:val="5"/>
          <w:sz w:val="13"/>
        </w:rPr>
        <w:t> </w:t>
      </w:r>
      <w:r>
        <w:rPr>
          <w:sz w:val="13"/>
        </w:rPr>
        <w:t>life</w:t>
      </w:r>
      <w:r>
        <w:rPr>
          <w:spacing w:val="6"/>
          <w:sz w:val="13"/>
        </w:rPr>
        <w:t> </w:t>
      </w:r>
      <w:r>
        <w:rPr>
          <w:sz w:val="13"/>
        </w:rPr>
        <w:t>within</w:t>
      </w:r>
      <w:r>
        <w:rPr>
          <w:spacing w:val="5"/>
          <w:sz w:val="13"/>
        </w:rPr>
        <w:t> </w:t>
      </w:r>
      <w:r>
        <w:rPr>
          <w:sz w:val="13"/>
        </w:rPr>
        <w:t>the</w:t>
      </w:r>
      <w:r>
        <w:rPr>
          <w:spacing w:val="6"/>
          <w:sz w:val="13"/>
        </w:rPr>
        <w:t> </w:t>
      </w:r>
      <w:r>
        <w:rPr>
          <w:sz w:val="13"/>
        </w:rPr>
        <w:t>meaning</w:t>
      </w:r>
      <w:r>
        <w:rPr>
          <w:spacing w:val="5"/>
          <w:sz w:val="13"/>
        </w:rPr>
        <w:t> </w:t>
      </w:r>
      <w:r>
        <w:rPr>
          <w:sz w:val="13"/>
        </w:rPr>
        <w:t>of</w:t>
      </w:r>
      <w:r>
        <w:rPr>
          <w:spacing w:val="5"/>
          <w:sz w:val="13"/>
        </w:rPr>
        <w:t> </w:t>
      </w:r>
      <w:r>
        <w:rPr>
          <w:sz w:val="13"/>
        </w:rPr>
        <w:t>article</w:t>
      </w:r>
      <w:r>
        <w:rPr>
          <w:spacing w:val="6"/>
          <w:sz w:val="13"/>
        </w:rPr>
        <w:t> </w:t>
      </w:r>
      <w:r>
        <w:rPr>
          <w:spacing w:val="2"/>
          <w:sz w:val="13"/>
        </w:rPr>
        <w:t>9(1),</w:t>
      </w:r>
      <w:r>
        <w:rPr>
          <w:spacing w:val="5"/>
          <w:sz w:val="13"/>
        </w:rPr>
        <w:t> </w:t>
      </w:r>
      <w:r>
        <w:rPr>
          <w:sz w:val="13"/>
        </w:rPr>
        <w:t>as</w:t>
      </w:r>
      <w:r>
        <w:rPr>
          <w:spacing w:val="6"/>
          <w:sz w:val="13"/>
        </w:rPr>
        <w:t> </w:t>
      </w:r>
      <w:r>
        <w:rPr>
          <w:sz w:val="13"/>
        </w:rPr>
        <w:t>it</w:t>
      </w:r>
      <w:r>
        <w:rPr>
          <w:spacing w:val="5"/>
          <w:sz w:val="13"/>
        </w:rPr>
        <w:t> </w:t>
      </w:r>
      <w:r>
        <w:rPr>
          <w:sz w:val="13"/>
        </w:rPr>
        <w:t>constitutes</w:t>
      </w:r>
      <w:r>
        <w:rPr>
          <w:spacing w:val="6"/>
          <w:sz w:val="13"/>
        </w:rPr>
        <w:t> </w:t>
      </w:r>
      <w:r>
        <w:rPr>
          <w:sz w:val="13"/>
        </w:rPr>
        <w:t>a</w:t>
      </w:r>
      <w:r>
        <w:rPr>
          <w:spacing w:val="5"/>
          <w:sz w:val="13"/>
        </w:rPr>
        <w:t> </w:t>
      </w:r>
      <w:r>
        <w:rPr>
          <w:sz w:val="13"/>
        </w:rPr>
        <w:t>manifestation</w:t>
      </w:r>
      <w:r>
        <w:rPr>
          <w:spacing w:val="5"/>
          <w:sz w:val="13"/>
        </w:rPr>
        <w:t> </w:t>
      </w:r>
      <w:r>
        <w:rPr>
          <w:sz w:val="13"/>
        </w:rPr>
        <w:t>of</w:t>
      </w:r>
      <w:r>
        <w:rPr>
          <w:spacing w:val="6"/>
          <w:sz w:val="13"/>
        </w:rPr>
        <w:t> </w:t>
      </w:r>
      <w:r>
        <w:rPr>
          <w:sz w:val="13"/>
        </w:rPr>
        <w:t>active</w:t>
      </w:r>
      <w:r>
        <w:rPr>
          <w:spacing w:val="5"/>
          <w:sz w:val="13"/>
        </w:rPr>
        <w:t> </w:t>
      </w:r>
      <w:r>
        <w:rPr>
          <w:sz w:val="13"/>
        </w:rPr>
        <w:t>citizenship’:</w:t>
      </w:r>
      <w:r>
        <w:rPr>
          <w:spacing w:val="6"/>
          <w:sz w:val="13"/>
        </w:rPr>
        <w:t> </w:t>
      </w:r>
      <w:r>
        <w:rPr>
          <w:sz w:val="13"/>
        </w:rPr>
        <w:t>Committee</w:t>
      </w:r>
      <w:r>
        <w:rPr>
          <w:spacing w:val="5"/>
          <w:sz w:val="13"/>
        </w:rPr>
        <w:t> </w:t>
      </w:r>
      <w:r>
        <w:rPr>
          <w:sz w:val="13"/>
        </w:rPr>
        <w:t>on</w:t>
      </w:r>
      <w:r>
        <w:rPr>
          <w:spacing w:val="5"/>
          <w:sz w:val="13"/>
        </w:rPr>
        <w:t> </w:t>
      </w:r>
      <w:r>
        <w:rPr>
          <w:sz w:val="13"/>
        </w:rPr>
        <w:t>the</w:t>
      </w:r>
      <w:r>
        <w:rPr>
          <w:spacing w:val="6"/>
          <w:sz w:val="13"/>
        </w:rPr>
        <w:t> </w:t>
      </w:r>
      <w:r>
        <w:rPr>
          <w:sz w:val="13"/>
        </w:rPr>
        <w:t>Rights</w:t>
      </w:r>
    </w:p>
    <w:p>
      <w:pPr>
        <w:spacing w:line="213" w:lineRule="auto" w:before="0"/>
        <w:ind w:left="1760" w:right="1354" w:firstLine="0"/>
        <w:jc w:val="left"/>
        <w:rPr>
          <w:sz w:val="13"/>
        </w:rPr>
      </w:pPr>
      <w:r>
        <w:rPr>
          <w:sz w:val="13"/>
        </w:rPr>
        <w:t>of Persons with </w:t>
      </w:r>
      <w:r>
        <w:rPr>
          <w:spacing w:val="2"/>
          <w:sz w:val="13"/>
        </w:rPr>
        <w:t>Disabilities, </w:t>
      </w:r>
      <w:r>
        <w:rPr>
          <w:i/>
          <w:sz w:val="13"/>
        </w:rPr>
        <w:t>Views: Communication No 11/2013, </w:t>
      </w:r>
      <w:r>
        <w:rPr>
          <w:sz w:val="13"/>
        </w:rPr>
        <w:t>15th sess, UN Doc CRPD/C/15/D/13/2013 </w:t>
      </w:r>
      <w:r>
        <w:rPr>
          <w:spacing w:val="2"/>
          <w:sz w:val="13"/>
        </w:rPr>
        <w:t>(30 </w:t>
      </w:r>
      <w:r>
        <w:rPr>
          <w:sz w:val="13"/>
        </w:rPr>
        <w:t>May 2016) </w:t>
      </w:r>
      <w:r>
        <w:rPr>
          <w:spacing w:val="2"/>
          <w:sz w:val="13"/>
        </w:rPr>
        <w:t>[8.6] </w:t>
      </w:r>
      <w:r>
        <w:rPr>
          <w:sz w:val="13"/>
        </w:rPr>
        <w:t>(‘</w:t>
      </w:r>
      <w:r>
        <w:rPr>
          <w:i/>
          <w:sz w:val="13"/>
        </w:rPr>
        <w:t>Lockrey v Australia</w:t>
      </w:r>
      <w:r>
        <w:rPr>
          <w:sz w:val="13"/>
        </w:rPr>
        <w:t>’); Committee on the Rights of Persons with </w:t>
      </w:r>
      <w:r>
        <w:rPr>
          <w:spacing w:val="2"/>
          <w:sz w:val="13"/>
        </w:rPr>
        <w:t>Disabilities</w:t>
      </w:r>
      <w:r>
        <w:rPr>
          <w:i/>
          <w:spacing w:val="2"/>
          <w:sz w:val="13"/>
        </w:rPr>
        <w:t>, </w:t>
      </w:r>
      <w:r>
        <w:rPr>
          <w:i/>
          <w:sz w:val="13"/>
        </w:rPr>
        <w:t>Views: Communication No 11/2013, </w:t>
      </w:r>
      <w:r>
        <w:rPr>
          <w:sz w:val="13"/>
        </w:rPr>
        <w:t>15th sess, UN      Doc CRPD/C/15/D/11/2013 (25 May 2016) </w:t>
      </w:r>
      <w:r>
        <w:rPr>
          <w:spacing w:val="2"/>
          <w:sz w:val="13"/>
        </w:rPr>
        <w:t>[8.6] </w:t>
      </w:r>
      <w:r>
        <w:rPr>
          <w:sz w:val="13"/>
        </w:rPr>
        <w:t>(</w:t>
      </w:r>
      <w:r>
        <w:rPr>
          <w:i/>
          <w:sz w:val="13"/>
        </w:rPr>
        <w:t>‘Beasley v Australia’</w:t>
      </w:r>
      <w:r>
        <w:rPr>
          <w:sz w:val="13"/>
        </w:rPr>
        <w:t>). In </w:t>
      </w:r>
      <w:r>
        <w:rPr>
          <w:i/>
          <w:spacing w:val="2"/>
          <w:sz w:val="13"/>
        </w:rPr>
        <w:t>JH’s </w:t>
      </w:r>
      <w:r>
        <w:rPr>
          <w:sz w:val="13"/>
        </w:rPr>
        <w:t>case, Australia rejected JH’s </w:t>
      </w:r>
      <w:r>
        <w:rPr>
          <w:spacing w:val="2"/>
          <w:sz w:val="13"/>
        </w:rPr>
        <w:t>assertion </w:t>
      </w:r>
      <w:r>
        <w:rPr>
          <w:sz w:val="13"/>
        </w:rPr>
        <w:t>that ‘ </w:t>
      </w:r>
      <w:r>
        <w:rPr>
          <w:spacing w:val="2"/>
          <w:sz w:val="13"/>
        </w:rPr>
        <w:t>jury   </w:t>
      </w:r>
      <w:r>
        <w:rPr>
          <w:sz w:val="13"/>
        </w:rPr>
        <w:t>duty is everyone’s civic responsibility’. The Committee failed to respond to that comment: Committee on the Rights of Persons with </w:t>
      </w:r>
      <w:r>
        <w:rPr>
          <w:spacing w:val="2"/>
          <w:sz w:val="13"/>
        </w:rPr>
        <w:t>Disabilities, </w:t>
      </w:r>
      <w:r>
        <w:rPr>
          <w:i/>
          <w:sz w:val="13"/>
        </w:rPr>
        <w:t>Views: Communication No 35/2016, </w:t>
      </w:r>
      <w:r>
        <w:rPr>
          <w:sz w:val="13"/>
        </w:rPr>
        <w:t>20th sess, UN Doc CRPD/C/20/D/35/2016 </w:t>
      </w:r>
      <w:r>
        <w:rPr>
          <w:spacing w:val="2"/>
          <w:sz w:val="13"/>
        </w:rPr>
        <w:t>(31 </w:t>
      </w:r>
      <w:r>
        <w:rPr>
          <w:sz w:val="13"/>
        </w:rPr>
        <w:t>August 2018) [2.3], </w:t>
      </w:r>
      <w:r>
        <w:rPr>
          <w:spacing w:val="3"/>
          <w:sz w:val="13"/>
        </w:rPr>
        <w:t>[4.2] </w:t>
      </w:r>
      <w:r>
        <w:rPr>
          <w:sz w:val="13"/>
        </w:rPr>
        <w:t>(‘</w:t>
      </w:r>
      <w:r>
        <w:rPr>
          <w:i/>
          <w:sz w:val="13"/>
        </w:rPr>
        <w:t>JH v </w:t>
      </w:r>
      <w:r>
        <w:rPr>
          <w:i/>
          <w:sz w:val="13"/>
        </w:rPr>
        <w:t>Australia</w:t>
      </w:r>
      <w:r>
        <w:rPr>
          <w:sz w:val="13"/>
        </w:rPr>
        <w:t>’).</w:t>
      </w:r>
    </w:p>
    <w:p>
      <w:pPr>
        <w:pStyle w:val="ListParagraph"/>
        <w:numPr>
          <w:ilvl w:val="0"/>
          <w:numId w:val="53"/>
        </w:numPr>
        <w:tabs>
          <w:tab w:pos="1760" w:val="left" w:leader="none"/>
          <w:tab w:pos="1762" w:val="left" w:leader="none"/>
        </w:tabs>
        <w:spacing w:line="150" w:lineRule="exact" w:before="0" w:after="0"/>
        <w:ind w:left="1761" w:right="0" w:hanging="794"/>
        <w:jc w:val="left"/>
        <w:rPr>
          <w:sz w:val="13"/>
        </w:rPr>
      </w:pPr>
      <w:r>
        <w:rPr>
          <w:sz w:val="13"/>
        </w:rPr>
        <w:t>Position Statement 1 </w:t>
      </w:r>
      <w:r>
        <w:rPr>
          <w:spacing w:val="2"/>
          <w:sz w:val="13"/>
        </w:rPr>
        <w:t>(Blind </w:t>
      </w:r>
      <w:r>
        <w:rPr>
          <w:sz w:val="13"/>
        </w:rPr>
        <w:t>Citizens</w:t>
      </w:r>
      <w:r>
        <w:rPr>
          <w:spacing w:val="-1"/>
          <w:sz w:val="13"/>
        </w:rPr>
        <w:t> </w:t>
      </w:r>
      <w:r>
        <w:rPr>
          <w:sz w:val="13"/>
        </w:rPr>
        <w:t>Australia).</w:t>
      </w:r>
    </w:p>
    <w:p>
      <w:pPr>
        <w:pStyle w:val="ListParagraph"/>
        <w:numPr>
          <w:ilvl w:val="0"/>
          <w:numId w:val="53"/>
        </w:numPr>
        <w:tabs>
          <w:tab w:pos="1761" w:val="left" w:leader="none"/>
          <w:tab w:pos="1762" w:val="left" w:leader="none"/>
        </w:tabs>
        <w:spacing w:line="160" w:lineRule="exact" w:before="0" w:after="0"/>
        <w:ind w:left="1761" w:right="0" w:hanging="794"/>
        <w:jc w:val="left"/>
        <w:rPr>
          <w:sz w:val="13"/>
        </w:rPr>
      </w:pPr>
      <w:r>
        <w:rPr/>
        <w:pict>
          <v:shape style="position:absolute;margin-left:36pt;margin-top:3.7043pt;width:14.6pt;height:14.1pt;mso-position-horizontal-relative:page;mso-position-vertical-relative:paragraph;z-index:5680" type="#_x0000_t202" filled="false" stroked="false">
            <v:textbox inset="0,0,0,0">
              <w:txbxContent>
                <w:p>
                  <w:pPr>
                    <w:spacing w:line="282" w:lineRule="exact" w:before="0"/>
                    <w:ind w:left="0" w:right="0" w:firstLine="0"/>
                    <w:jc w:val="left"/>
                    <w:rPr>
                      <w:b/>
                      <w:sz w:val="24"/>
                    </w:rPr>
                  </w:pPr>
                  <w:r>
                    <w:rPr>
                      <w:b/>
                      <w:color w:val="37617A"/>
                      <w:spacing w:val="-1"/>
                      <w:sz w:val="24"/>
                    </w:rPr>
                    <w:t>60</w:t>
                  </w:r>
                </w:p>
              </w:txbxContent>
            </v:textbox>
            <w10:wrap type="none"/>
          </v:shape>
        </w:pict>
      </w: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pStyle w:val="ListParagraph"/>
        <w:numPr>
          <w:ilvl w:val="0"/>
          <w:numId w:val="53"/>
        </w:numPr>
        <w:tabs>
          <w:tab w:pos="1761" w:val="left" w:leader="none"/>
          <w:tab w:pos="1762" w:val="left" w:leader="none"/>
        </w:tabs>
        <w:spacing w:line="170" w:lineRule="exact" w:before="0" w:after="0"/>
        <w:ind w:left="1761" w:right="0" w:hanging="794"/>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spacing w:after="0" w:line="170"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40" w:lineRule="auto" w:before="58" w:after="0"/>
        <w:ind w:left="1761" w:right="0" w:hanging="794"/>
        <w:jc w:val="left"/>
        <w:rPr>
          <w:sz w:val="20"/>
        </w:rPr>
      </w:pPr>
      <w:r>
        <w:rPr>
          <w:sz w:val="20"/>
        </w:rPr>
        <w:t>The Castan Centre for Human Rights Law</w:t>
      </w:r>
      <w:r>
        <w:rPr>
          <w:spacing w:val="-31"/>
          <w:sz w:val="20"/>
        </w:rPr>
        <w:t> </w:t>
      </w:r>
      <w:r>
        <w:rPr>
          <w:sz w:val="20"/>
        </w:rPr>
        <w:t>noted:</w:t>
      </w:r>
    </w:p>
    <w:p>
      <w:pPr>
        <w:spacing w:line="208" w:lineRule="auto" w:before="112"/>
        <w:ind w:left="2157" w:right="1182" w:firstLine="0"/>
        <w:jc w:val="left"/>
        <w:rPr>
          <w:sz w:val="11"/>
        </w:rPr>
      </w:pPr>
      <w:r>
        <w:rPr>
          <w:sz w:val="19"/>
        </w:rPr>
        <w:t>The issue of inclusive juries touches upon the fundamental values of equality, dignity and democratic participation which underpin the Victorian Charter, as well as the international human rights framework which it incorporates into Australian law. Access to justice includes participation as a juror, which is meant to comprise a group of people which reflect our society.</w:t>
      </w:r>
      <w:r>
        <w:rPr>
          <w:position w:val="6"/>
          <w:sz w:val="11"/>
        </w:rPr>
        <w:t>63</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z w:val="20"/>
        </w:rPr>
        <w:t>Regarding</w:t>
      </w:r>
      <w:r>
        <w:rPr>
          <w:spacing w:val="-6"/>
          <w:sz w:val="20"/>
        </w:rPr>
        <w:t> </w:t>
      </w:r>
      <w:r>
        <w:rPr>
          <w:sz w:val="20"/>
        </w:rPr>
        <w:t>the</w:t>
      </w:r>
      <w:r>
        <w:rPr>
          <w:spacing w:val="-5"/>
          <w:sz w:val="20"/>
        </w:rPr>
        <w:t> </w:t>
      </w:r>
      <w:r>
        <w:rPr>
          <w:sz w:val="20"/>
        </w:rPr>
        <w:t>application</w:t>
      </w:r>
      <w:r>
        <w:rPr>
          <w:spacing w:val="-5"/>
          <w:sz w:val="20"/>
        </w:rPr>
        <w:t> </w:t>
      </w:r>
      <w:r>
        <w:rPr>
          <w:sz w:val="20"/>
        </w:rPr>
        <w:t>of</w:t>
      </w:r>
      <w:r>
        <w:rPr>
          <w:spacing w:val="-5"/>
          <w:sz w:val="20"/>
        </w:rPr>
        <w:t> </w:t>
      </w:r>
      <w:r>
        <w:rPr>
          <w:sz w:val="20"/>
        </w:rPr>
        <w:t>the</w:t>
      </w:r>
      <w:r>
        <w:rPr>
          <w:spacing w:val="-6"/>
          <w:sz w:val="20"/>
        </w:rPr>
        <w:t> </w:t>
      </w:r>
      <w:r>
        <w:rPr>
          <w:spacing w:val="-3"/>
          <w:sz w:val="20"/>
        </w:rPr>
        <w:t>Charter,</w:t>
      </w:r>
      <w:r>
        <w:rPr>
          <w:spacing w:val="-5"/>
          <w:sz w:val="20"/>
        </w:rPr>
        <w:t> </w:t>
      </w:r>
      <w:r>
        <w:rPr>
          <w:sz w:val="20"/>
        </w:rPr>
        <w:t>the</w:t>
      </w:r>
      <w:r>
        <w:rPr>
          <w:spacing w:val="-5"/>
          <w:sz w:val="20"/>
        </w:rPr>
        <w:t> </w:t>
      </w:r>
      <w:r>
        <w:rPr>
          <w:sz w:val="20"/>
        </w:rPr>
        <w:t>Castan</w:t>
      </w:r>
      <w:r>
        <w:rPr>
          <w:spacing w:val="-5"/>
          <w:sz w:val="20"/>
        </w:rPr>
        <w:t> </w:t>
      </w:r>
      <w:r>
        <w:rPr>
          <w:sz w:val="20"/>
        </w:rPr>
        <w:t>Centre</w:t>
      </w:r>
      <w:r>
        <w:rPr>
          <w:spacing w:val="-5"/>
          <w:sz w:val="20"/>
        </w:rPr>
        <w:t> </w:t>
      </w:r>
      <w:r>
        <w:rPr>
          <w:sz w:val="20"/>
        </w:rPr>
        <w:t>commented:</w:t>
      </w:r>
    </w:p>
    <w:p>
      <w:pPr>
        <w:spacing w:line="208" w:lineRule="auto" w:before="112"/>
        <w:ind w:left="2157" w:right="1187" w:firstLine="0"/>
        <w:jc w:val="left"/>
        <w:rPr>
          <w:sz w:val="11"/>
        </w:rPr>
      </w:pPr>
      <w:r>
        <w:rPr>
          <w:sz w:val="19"/>
        </w:rPr>
        <w:t>provisions of the Charter provide powerful support for the Commission to recommend that potential jurors with physical disabilities are supported through reasonable adjustments and accommodations so that they are capable of performing the duties of jury service.</w:t>
      </w:r>
      <w:r>
        <w:rPr>
          <w:position w:val="6"/>
          <w:sz w:val="11"/>
        </w:rPr>
        <w:t>64</w:t>
      </w:r>
    </w:p>
    <w:p>
      <w:pPr>
        <w:pStyle w:val="ListParagraph"/>
        <w:numPr>
          <w:ilvl w:val="1"/>
          <w:numId w:val="12"/>
        </w:numPr>
        <w:tabs>
          <w:tab w:pos="1761" w:val="left" w:leader="none"/>
          <w:tab w:pos="1762" w:val="left" w:leader="none"/>
        </w:tabs>
        <w:spacing w:line="206" w:lineRule="auto" w:before="125" w:after="0"/>
        <w:ind w:left="1761" w:right="1447" w:hanging="794"/>
        <w:jc w:val="left"/>
        <w:rPr>
          <w:sz w:val="20"/>
        </w:rPr>
      </w:pPr>
      <w:r>
        <w:rPr>
          <w:spacing w:val="-5"/>
          <w:sz w:val="20"/>
        </w:rPr>
        <w:t>Youth </w:t>
      </w:r>
      <w:r>
        <w:rPr>
          <w:sz w:val="20"/>
        </w:rPr>
        <w:t>Disability </w:t>
      </w:r>
      <w:r>
        <w:rPr>
          <w:spacing w:val="-3"/>
          <w:sz w:val="20"/>
        </w:rPr>
        <w:t>Advocacy </w:t>
      </w:r>
      <w:r>
        <w:rPr>
          <w:sz w:val="20"/>
        </w:rPr>
        <w:t>Service argued that </w:t>
      </w:r>
      <w:r>
        <w:rPr>
          <w:spacing w:val="-3"/>
          <w:sz w:val="20"/>
        </w:rPr>
        <w:t>‘reforming </w:t>
      </w:r>
      <w:r>
        <w:rPr>
          <w:sz w:val="20"/>
        </w:rPr>
        <w:t>the law to </w:t>
      </w:r>
      <w:r>
        <w:rPr>
          <w:spacing w:val="-3"/>
          <w:sz w:val="20"/>
        </w:rPr>
        <w:t>provide </w:t>
      </w:r>
      <w:r>
        <w:rPr>
          <w:sz w:val="20"/>
        </w:rPr>
        <w:t>for </w:t>
      </w:r>
      <w:r>
        <w:rPr>
          <w:spacing w:val="-3"/>
          <w:sz w:val="20"/>
        </w:rPr>
        <w:t>inclusive </w:t>
      </w:r>
      <w:r>
        <w:rPr>
          <w:sz w:val="20"/>
        </w:rPr>
        <w:t>juries is a human rights </w:t>
      </w:r>
      <w:r>
        <w:rPr>
          <w:spacing w:val="-3"/>
          <w:sz w:val="20"/>
        </w:rPr>
        <w:t>issue’.</w:t>
      </w:r>
      <w:r>
        <w:rPr>
          <w:spacing w:val="-3"/>
          <w:position w:val="7"/>
          <w:sz w:val="11"/>
        </w:rPr>
        <w:t>65 </w:t>
      </w:r>
      <w:r>
        <w:rPr>
          <w:sz w:val="20"/>
        </w:rPr>
        <w:t>Associate </w:t>
      </w:r>
      <w:r>
        <w:rPr>
          <w:spacing w:val="-3"/>
          <w:sz w:val="20"/>
        </w:rPr>
        <w:t>Professors </w:t>
      </w:r>
      <w:r>
        <w:rPr>
          <w:sz w:val="20"/>
        </w:rPr>
        <w:t>Bruce Baer Arnold</w:t>
      </w:r>
      <w:r>
        <w:rPr>
          <w:spacing w:val="-37"/>
          <w:sz w:val="20"/>
        </w:rPr>
        <w:t> </w:t>
      </w:r>
      <w:r>
        <w:rPr>
          <w:sz w:val="20"/>
        </w:rPr>
        <w:t>and </w:t>
      </w:r>
      <w:r>
        <w:rPr>
          <w:spacing w:val="-4"/>
          <w:sz w:val="20"/>
        </w:rPr>
        <w:t>Wendy </w:t>
      </w:r>
      <w:r>
        <w:rPr>
          <w:sz w:val="20"/>
        </w:rPr>
        <w:t>Bonython submitted</w:t>
      </w:r>
      <w:r>
        <w:rPr>
          <w:spacing w:val="-9"/>
          <w:sz w:val="20"/>
        </w:rPr>
        <w:t> </w:t>
      </w:r>
      <w:r>
        <w:rPr>
          <w:sz w:val="20"/>
        </w:rPr>
        <w:t>that:</w:t>
      </w:r>
    </w:p>
    <w:p>
      <w:pPr>
        <w:spacing w:line="208" w:lineRule="auto" w:before="121"/>
        <w:ind w:left="2157" w:right="1381" w:firstLine="0"/>
        <w:jc w:val="left"/>
        <w:rPr>
          <w:sz w:val="11"/>
        </w:rPr>
      </w:pPr>
      <w:r>
        <w:rPr>
          <w:sz w:val="19"/>
        </w:rPr>
        <w:t>a more inclusive jury system is a foundation of justice and legitimacy. It is directly consistent with the Victorian Charter of Rights and Responsibilities and, importantly, gives effect to Victoria’s commitment to respect the dignity of all people rather than privilege administrative convenience, a privileging that in practice has served to objectify many people as ‘citizens minus’. </w:t>
      </w:r>
      <w:r>
        <w:rPr>
          <w:position w:val="6"/>
          <w:sz w:val="11"/>
        </w:rPr>
        <w:t>66</w:t>
      </w:r>
    </w:p>
    <w:p>
      <w:pPr>
        <w:pStyle w:val="ListParagraph"/>
        <w:numPr>
          <w:ilvl w:val="1"/>
          <w:numId w:val="12"/>
        </w:numPr>
        <w:tabs>
          <w:tab w:pos="1761" w:val="left" w:leader="none"/>
          <w:tab w:pos="1762" w:val="left" w:leader="none"/>
        </w:tabs>
        <w:spacing w:line="206" w:lineRule="auto" w:before="125" w:after="0"/>
        <w:ind w:left="1761" w:right="1500" w:hanging="794"/>
        <w:jc w:val="left"/>
        <w:rPr>
          <w:sz w:val="20"/>
        </w:rPr>
      </w:pPr>
      <w:r>
        <w:rPr>
          <w:sz w:val="20"/>
        </w:rPr>
        <w:t>Although</w:t>
      </w:r>
      <w:r>
        <w:rPr>
          <w:spacing w:val="-12"/>
          <w:sz w:val="20"/>
        </w:rPr>
        <w:t> </w:t>
      </w:r>
      <w:r>
        <w:rPr>
          <w:sz w:val="20"/>
        </w:rPr>
        <w:t>the</w:t>
      </w:r>
      <w:r>
        <w:rPr>
          <w:spacing w:val="-12"/>
          <w:sz w:val="20"/>
        </w:rPr>
        <w:t> </w:t>
      </w:r>
      <w:r>
        <w:rPr>
          <w:sz w:val="20"/>
        </w:rPr>
        <w:t>actual</w:t>
      </w:r>
      <w:r>
        <w:rPr>
          <w:spacing w:val="-12"/>
          <w:sz w:val="20"/>
        </w:rPr>
        <w:t> </w:t>
      </w:r>
      <w:r>
        <w:rPr>
          <w:sz w:val="20"/>
        </w:rPr>
        <w:t>number</w:t>
      </w:r>
      <w:r>
        <w:rPr>
          <w:spacing w:val="-11"/>
          <w:sz w:val="20"/>
        </w:rPr>
        <w:t> </w:t>
      </w:r>
      <w:r>
        <w:rPr>
          <w:sz w:val="20"/>
        </w:rPr>
        <w:t>of</w:t>
      </w:r>
      <w:r>
        <w:rPr>
          <w:spacing w:val="-12"/>
          <w:sz w:val="20"/>
        </w:rPr>
        <w:t> </w:t>
      </w:r>
      <w:r>
        <w:rPr>
          <w:sz w:val="20"/>
        </w:rPr>
        <w:t>people</w:t>
      </w:r>
      <w:r>
        <w:rPr>
          <w:spacing w:val="-12"/>
          <w:sz w:val="20"/>
        </w:rPr>
        <w:t> </w:t>
      </w:r>
      <w:r>
        <w:rPr>
          <w:sz w:val="20"/>
        </w:rPr>
        <w:t>who</w:t>
      </w:r>
      <w:r>
        <w:rPr>
          <w:spacing w:val="-11"/>
          <w:sz w:val="20"/>
        </w:rPr>
        <w:t> </w:t>
      </w:r>
      <w:r>
        <w:rPr>
          <w:spacing w:val="-3"/>
          <w:sz w:val="20"/>
        </w:rPr>
        <w:t>may</w:t>
      </w:r>
      <w:r>
        <w:rPr>
          <w:spacing w:val="-12"/>
          <w:sz w:val="20"/>
        </w:rPr>
        <w:t> </w:t>
      </w:r>
      <w:r>
        <w:rPr>
          <w:sz w:val="20"/>
        </w:rPr>
        <w:t>serve</w:t>
      </w:r>
      <w:r>
        <w:rPr>
          <w:spacing w:val="-12"/>
          <w:sz w:val="20"/>
        </w:rPr>
        <w:t> </w:t>
      </w:r>
      <w:r>
        <w:rPr>
          <w:sz w:val="20"/>
        </w:rPr>
        <w:t>with</w:t>
      </w:r>
      <w:r>
        <w:rPr>
          <w:spacing w:val="-11"/>
          <w:sz w:val="20"/>
        </w:rPr>
        <w:t> </w:t>
      </w:r>
      <w:r>
        <w:rPr>
          <w:sz w:val="20"/>
        </w:rPr>
        <w:t>reasonable</w:t>
      </w:r>
      <w:r>
        <w:rPr>
          <w:spacing w:val="-12"/>
          <w:sz w:val="20"/>
        </w:rPr>
        <w:t> </w:t>
      </w:r>
      <w:r>
        <w:rPr>
          <w:sz w:val="20"/>
        </w:rPr>
        <w:t>adjustments each </w:t>
      </w:r>
      <w:r>
        <w:rPr>
          <w:spacing w:val="-3"/>
          <w:sz w:val="20"/>
        </w:rPr>
        <w:t>year may </w:t>
      </w:r>
      <w:r>
        <w:rPr>
          <w:sz w:val="20"/>
        </w:rPr>
        <w:t>be </w:t>
      </w:r>
      <w:r>
        <w:rPr>
          <w:spacing w:val="-6"/>
          <w:sz w:val="20"/>
        </w:rPr>
        <w:t>low, </w:t>
      </w:r>
      <w:r>
        <w:rPr>
          <w:spacing w:val="-3"/>
          <w:sz w:val="20"/>
        </w:rPr>
        <w:t>reform </w:t>
      </w:r>
      <w:r>
        <w:rPr>
          <w:sz w:val="20"/>
        </w:rPr>
        <w:t>is important. The Commission agrees with VLA that </w:t>
      </w:r>
      <w:r>
        <w:rPr>
          <w:spacing w:val="-3"/>
          <w:sz w:val="20"/>
        </w:rPr>
        <w:t>providing</w:t>
      </w:r>
      <w:r>
        <w:rPr>
          <w:spacing w:val="-12"/>
          <w:sz w:val="20"/>
        </w:rPr>
        <w:t> </w:t>
      </w:r>
      <w:r>
        <w:rPr>
          <w:sz w:val="20"/>
        </w:rPr>
        <w:t>reasonable</w:t>
      </w:r>
      <w:r>
        <w:rPr>
          <w:spacing w:val="-12"/>
          <w:sz w:val="20"/>
        </w:rPr>
        <w:t> </w:t>
      </w:r>
      <w:r>
        <w:rPr>
          <w:sz w:val="20"/>
        </w:rPr>
        <w:t>adjustments</w:t>
      </w:r>
      <w:r>
        <w:rPr>
          <w:spacing w:val="-11"/>
          <w:sz w:val="20"/>
        </w:rPr>
        <w:t> </w:t>
      </w:r>
      <w:r>
        <w:rPr>
          <w:sz w:val="20"/>
        </w:rPr>
        <w:t>to</w:t>
      </w:r>
      <w:r>
        <w:rPr>
          <w:spacing w:val="-12"/>
          <w:sz w:val="20"/>
        </w:rPr>
        <w:t> </w:t>
      </w:r>
      <w:r>
        <w:rPr>
          <w:sz w:val="20"/>
        </w:rPr>
        <w:t>people</w:t>
      </w:r>
      <w:r>
        <w:rPr>
          <w:spacing w:val="-12"/>
          <w:sz w:val="20"/>
        </w:rPr>
        <w:t> </w:t>
      </w:r>
      <w:r>
        <w:rPr>
          <w:sz w:val="20"/>
        </w:rPr>
        <w:t>in</w:t>
      </w:r>
      <w:r>
        <w:rPr>
          <w:spacing w:val="-11"/>
          <w:sz w:val="20"/>
        </w:rPr>
        <w:t> </w:t>
      </w:r>
      <w:r>
        <w:rPr>
          <w:sz w:val="20"/>
        </w:rPr>
        <w:t>the</w:t>
      </w:r>
      <w:r>
        <w:rPr>
          <w:spacing w:val="-12"/>
          <w:sz w:val="20"/>
        </w:rPr>
        <w:t> </w:t>
      </w:r>
      <w:r>
        <w:rPr>
          <w:sz w:val="20"/>
        </w:rPr>
        <w:t>subject</w:t>
      </w:r>
      <w:r>
        <w:rPr>
          <w:spacing w:val="-12"/>
          <w:sz w:val="20"/>
        </w:rPr>
        <w:t> </w:t>
      </w:r>
      <w:r>
        <w:rPr>
          <w:sz w:val="20"/>
        </w:rPr>
        <w:t>groups</w:t>
      </w:r>
      <w:r>
        <w:rPr>
          <w:spacing w:val="-11"/>
          <w:sz w:val="20"/>
        </w:rPr>
        <w:t> </w:t>
      </w:r>
      <w:r>
        <w:rPr>
          <w:sz w:val="20"/>
        </w:rPr>
        <w:t>to</w:t>
      </w:r>
      <w:r>
        <w:rPr>
          <w:spacing w:val="-12"/>
          <w:sz w:val="20"/>
        </w:rPr>
        <w:t> </w:t>
      </w:r>
      <w:r>
        <w:rPr>
          <w:sz w:val="20"/>
        </w:rPr>
        <w:t>enable</w:t>
      </w:r>
      <w:r>
        <w:rPr>
          <w:spacing w:val="-12"/>
          <w:sz w:val="20"/>
        </w:rPr>
        <w:t> </w:t>
      </w:r>
      <w:r>
        <w:rPr>
          <w:sz w:val="20"/>
        </w:rPr>
        <w:t>them</w:t>
      </w:r>
      <w:r>
        <w:rPr>
          <w:spacing w:val="-11"/>
          <w:sz w:val="20"/>
        </w:rPr>
        <w:t> </w:t>
      </w:r>
      <w:r>
        <w:rPr>
          <w:sz w:val="20"/>
        </w:rPr>
        <w:t>to serve as jurors will also </w:t>
      </w:r>
      <w:r>
        <w:rPr>
          <w:spacing w:val="-4"/>
          <w:sz w:val="20"/>
        </w:rPr>
        <w:t>have </w:t>
      </w:r>
      <w:r>
        <w:rPr>
          <w:sz w:val="20"/>
        </w:rPr>
        <w:t>broader</w:t>
      </w:r>
      <w:r>
        <w:rPr>
          <w:spacing w:val="-29"/>
          <w:sz w:val="20"/>
        </w:rPr>
        <w:t> </w:t>
      </w:r>
      <w:r>
        <w:rPr>
          <w:sz w:val="20"/>
        </w:rPr>
        <w:t>benefits:</w:t>
      </w:r>
    </w:p>
    <w:p>
      <w:pPr>
        <w:spacing w:line="208" w:lineRule="auto" w:before="123"/>
        <w:ind w:left="2157" w:right="1243" w:firstLine="0"/>
        <w:jc w:val="left"/>
        <w:rPr>
          <w:sz w:val="11"/>
        </w:rPr>
      </w:pPr>
      <w:r>
        <w:rPr>
          <w:sz w:val="19"/>
        </w:rPr>
        <w:t>It will enhance the participation of jurors who are currently not excluded, but nevertheless have challenges in hearing or seeing the evidence in court. It will improve the participation of people with these impairments in other roles, whether as judges, advocates, witnesses, parties or other stakeholders.</w:t>
      </w:r>
      <w:r>
        <w:rPr>
          <w:position w:val="6"/>
          <w:sz w:val="11"/>
        </w:rPr>
        <w:t>67</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In its submission Juries Victoria</w:t>
      </w:r>
      <w:r>
        <w:rPr>
          <w:spacing w:val="-23"/>
          <w:sz w:val="20"/>
        </w:rPr>
        <w:t> </w:t>
      </w:r>
      <w:r>
        <w:rPr>
          <w:sz w:val="20"/>
        </w:rPr>
        <w:t>concluded:</w:t>
      </w:r>
    </w:p>
    <w:p>
      <w:pPr>
        <w:spacing w:line="208" w:lineRule="auto" w:before="113"/>
        <w:ind w:left="2157" w:right="1416" w:firstLine="0"/>
        <w:jc w:val="left"/>
        <w:rPr>
          <w:sz w:val="11"/>
        </w:rPr>
      </w:pPr>
      <w:r>
        <w:rPr>
          <w:sz w:val="19"/>
        </w:rPr>
        <w:t>Juries Victoria supports steps towards making juries more inclusive, a position which goes to our very </w:t>
      </w:r>
      <w:r>
        <w:rPr>
          <w:i/>
          <w:sz w:val="19"/>
        </w:rPr>
        <w:t>raison d’etre</w:t>
      </w:r>
      <w:r>
        <w:rPr>
          <w:sz w:val="19"/>
        </w:rPr>
        <w:t>. While the extent to which Juries Victoria can directly</w:t>
      </w:r>
      <w:r>
        <w:rPr>
          <w:spacing w:val="-6"/>
          <w:sz w:val="19"/>
        </w:rPr>
        <w:t> </w:t>
      </w:r>
      <w:r>
        <w:rPr>
          <w:sz w:val="19"/>
        </w:rPr>
        <w:t>influence</w:t>
      </w:r>
      <w:r>
        <w:rPr>
          <w:spacing w:val="-5"/>
          <w:sz w:val="19"/>
        </w:rPr>
        <w:t> </w:t>
      </w:r>
      <w:r>
        <w:rPr>
          <w:sz w:val="19"/>
        </w:rPr>
        <w:t>the</w:t>
      </w:r>
      <w:r>
        <w:rPr>
          <w:spacing w:val="-6"/>
          <w:sz w:val="19"/>
        </w:rPr>
        <w:t> </w:t>
      </w:r>
      <w:r>
        <w:rPr>
          <w:sz w:val="19"/>
        </w:rPr>
        <w:t>broader</w:t>
      </w:r>
      <w:r>
        <w:rPr>
          <w:spacing w:val="-5"/>
          <w:sz w:val="19"/>
        </w:rPr>
        <w:t> </w:t>
      </w:r>
      <w:r>
        <w:rPr>
          <w:sz w:val="19"/>
        </w:rPr>
        <w:t>work</w:t>
      </w:r>
      <w:r>
        <w:rPr>
          <w:spacing w:val="-6"/>
          <w:sz w:val="19"/>
        </w:rPr>
        <w:t> </w:t>
      </w:r>
      <w:r>
        <w:rPr>
          <w:sz w:val="19"/>
        </w:rPr>
        <w:t>required</w:t>
      </w:r>
      <w:r>
        <w:rPr>
          <w:spacing w:val="-5"/>
          <w:sz w:val="19"/>
        </w:rPr>
        <w:t> </w:t>
      </w:r>
      <w:r>
        <w:rPr>
          <w:sz w:val="19"/>
        </w:rPr>
        <w:t>in</w:t>
      </w:r>
      <w:r>
        <w:rPr>
          <w:spacing w:val="-6"/>
          <w:sz w:val="19"/>
        </w:rPr>
        <w:t> </w:t>
      </w:r>
      <w:r>
        <w:rPr>
          <w:sz w:val="19"/>
        </w:rPr>
        <w:t>such</w:t>
      </w:r>
      <w:r>
        <w:rPr>
          <w:spacing w:val="-5"/>
          <w:sz w:val="19"/>
        </w:rPr>
        <w:t> </w:t>
      </w:r>
      <w:r>
        <w:rPr>
          <w:sz w:val="19"/>
        </w:rPr>
        <w:t>an</w:t>
      </w:r>
      <w:r>
        <w:rPr>
          <w:spacing w:val="-5"/>
          <w:sz w:val="19"/>
        </w:rPr>
        <w:t> </w:t>
      </w:r>
      <w:r>
        <w:rPr>
          <w:sz w:val="19"/>
        </w:rPr>
        <w:t>undertaking</w:t>
      </w:r>
      <w:r>
        <w:rPr>
          <w:spacing w:val="-6"/>
          <w:sz w:val="19"/>
        </w:rPr>
        <w:t> </w:t>
      </w:r>
      <w:r>
        <w:rPr>
          <w:sz w:val="19"/>
        </w:rPr>
        <w:t>is</w:t>
      </w:r>
      <w:r>
        <w:rPr>
          <w:spacing w:val="-5"/>
          <w:sz w:val="19"/>
        </w:rPr>
        <w:t> </w:t>
      </w:r>
      <w:r>
        <w:rPr>
          <w:sz w:val="19"/>
        </w:rPr>
        <w:t>limited</w:t>
      </w:r>
      <w:r>
        <w:rPr>
          <w:spacing w:val="-6"/>
          <w:sz w:val="19"/>
        </w:rPr>
        <w:t> </w:t>
      </w:r>
      <w:r>
        <w:rPr>
          <w:sz w:val="19"/>
        </w:rPr>
        <w:t>by</w:t>
      </w:r>
      <w:r>
        <w:rPr>
          <w:spacing w:val="-5"/>
          <w:sz w:val="19"/>
        </w:rPr>
        <w:t> </w:t>
      </w:r>
      <w:r>
        <w:rPr>
          <w:sz w:val="19"/>
        </w:rPr>
        <w:t>the narrow</w:t>
      </w:r>
      <w:r>
        <w:rPr>
          <w:spacing w:val="-7"/>
          <w:sz w:val="19"/>
        </w:rPr>
        <w:t> </w:t>
      </w:r>
      <w:r>
        <w:rPr>
          <w:sz w:val="19"/>
        </w:rPr>
        <w:t>scope</w:t>
      </w:r>
      <w:r>
        <w:rPr>
          <w:spacing w:val="-6"/>
          <w:sz w:val="19"/>
        </w:rPr>
        <w:t> </w:t>
      </w:r>
      <w:r>
        <w:rPr>
          <w:sz w:val="19"/>
        </w:rPr>
        <w:t>of</w:t>
      </w:r>
      <w:r>
        <w:rPr>
          <w:spacing w:val="-6"/>
          <w:sz w:val="19"/>
        </w:rPr>
        <w:t> </w:t>
      </w:r>
      <w:r>
        <w:rPr>
          <w:sz w:val="19"/>
        </w:rPr>
        <w:t>our</w:t>
      </w:r>
      <w:r>
        <w:rPr>
          <w:spacing w:val="-6"/>
          <w:sz w:val="19"/>
        </w:rPr>
        <w:t> </w:t>
      </w:r>
      <w:r>
        <w:rPr>
          <w:sz w:val="19"/>
        </w:rPr>
        <w:t>empowering</w:t>
      </w:r>
      <w:r>
        <w:rPr>
          <w:spacing w:val="-6"/>
          <w:sz w:val="19"/>
        </w:rPr>
        <w:t> </w:t>
      </w:r>
      <w:r>
        <w:rPr>
          <w:sz w:val="19"/>
        </w:rPr>
        <w:t>legislation,</w:t>
      </w:r>
      <w:r>
        <w:rPr>
          <w:spacing w:val="-6"/>
          <w:sz w:val="19"/>
        </w:rPr>
        <w:t> </w:t>
      </w:r>
      <w:r>
        <w:rPr>
          <w:sz w:val="19"/>
        </w:rPr>
        <w:t>we</w:t>
      </w:r>
      <w:r>
        <w:rPr>
          <w:spacing w:val="-6"/>
          <w:sz w:val="19"/>
        </w:rPr>
        <w:t> </w:t>
      </w:r>
      <w:r>
        <w:rPr>
          <w:sz w:val="19"/>
        </w:rPr>
        <w:t>stand</w:t>
      </w:r>
      <w:r>
        <w:rPr>
          <w:spacing w:val="-6"/>
          <w:sz w:val="19"/>
        </w:rPr>
        <w:t> </w:t>
      </w:r>
      <w:r>
        <w:rPr>
          <w:sz w:val="19"/>
        </w:rPr>
        <w:t>prepared</w:t>
      </w:r>
      <w:r>
        <w:rPr>
          <w:spacing w:val="-6"/>
          <w:sz w:val="19"/>
        </w:rPr>
        <w:t> </w:t>
      </w:r>
      <w:r>
        <w:rPr>
          <w:sz w:val="19"/>
        </w:rPr>
        <w:t>to</w:t>
      </w:r>
      <w:r>
        <w:rPr>
          <w:spacing w:val="-6"/>
          <w:sz w:val="19"/>
        </w:rPr>
        <w:t> </w:t>
      </w:r>
      <w:r>
        <w:rPr>
          <w:sz w:val="19"/>
        </w:rPr>
        <w:t>contribute</w:t>
      </w:r>
      <w:r>
        <w:rPr>
          <w:spacing w:val="-6"/>
          <w:sz w:val="19"/>
        </w:rPr>
        <w:t> </w:t>
      </w:r>
      <w:r>
        <w:rPr>
          <w:sz w:val="19"/>
        </w:rPr>
        <w:t>to</w:t>
      </w:r>
      <w:r>
        <w:rPr>
          <w:spacing w:val="-6"/>
          <w:sz w:val="19"/>
        </w:rPr>
        <w:t> </w:t>
      </w:r>
      <w:r>
        <w:rPr>
          <w:sz w:val="19"/>
        </w:rPr>
        <w:t>the discussion and efforts to bring about such changes.</w:t>
      </w:r>
      <w:r>
        <w:rPr>
          <w:spacing w:val="-18"/>
          <w:sz w:val="19"/>
        </w:rPr>
        <w:t> </w:t>
      </w:r>
      <w:r>
        <w:rPr>
          <w:spacing w:val="3"/>
          <w:position w:val="6"/>
          <w:sz w:val="11"/>
        </w:rPr>
        <w:t>68</w:t>
      </w:r>
    </w:p>
    <w:p>
      <w:pPr>
        <w:pStyle w:val="ListParagraph"/>
        <w:numPr>
          <w:ilvl w:val="1"/>
          <w:numId w:val="12"/>
        </w:numPr>
        <w:tabs>
          <w:tab w:pos="1761" w:val="left" w:leader="none"/>
          <w:tab w:pos="1762" w:val="left" w:leader="none"/>
        </w:tabs>
        <w:spacing w:line="206" w:lineRule="auto" w:before="125" w:after="0"/>
        <w:ind w:left="1761" w:right="1746" w:hanging="794"/>
        <w:jc w:val="left"/>
        <w:rPr>
          <w:sz w:val="20"/>
        </w:rPr>
      </w:pPr>
      <w:r>
        <w:rPr>
          <w:sz w:val="20"/>
        </w:rPr>
        <w:t>In</w:t>
      </w:r>
      <w:r>
        <w:rPr>
          <w:spacing w:val="-11"/>
          <w:sz w:val="20"/>
        </w:rPr>
        <w:t> </w:t>
      </w:r>
      <w:r>
        <w:rPr>
          <w:sz w:val="20"/>
        </w:rPr>
        <w:t>view</w:t>
      </w:r>
      <w:r>
        <w:rPr>
          <w:spacing w:val="-11"/>
          <w:sz w:val="20"/>
        </w:rPr>
        <w:t> </w:t>
      </w:r>
      <w:r>
        <w:rPr>
          <w:sz w:val="20"/>
        </w:rPr>
        <w:t>of</w:t>
      </w:r>
      <w:r>
        <w:rPr>
          <w:spacing w:val="-11"/>
          <w:sz w:val="20"/>
        </w:rPr>
        <w:t> </w:t>
      </w:r>
      <w:r>
        <w:rPr>
          <w:sz w:val="20"/>
        </w:rPr>
        <w:t>that</w:t>
      </w:r>
      <w:r>
        <w:rPr>
          <w:spacing w:val="-11"/>
          <w:sz w:val="20"/>
        </w:rPr>
        <w:t> </w:t>
      </w:r>
      <w:r>
        <w:rPr>
          <w:sz w:val="20"/>
        </w:rPr>
        <w:t>positive</w:t>
      </w:r>
      <w:r>
        <w:rPr>
          <w:spacing w:val="-11"/>
          <w:sz w:val="20"/>
        </w:rPr>
        <w:t> </w:t>
      </w:r>
      <w:r>
        <w:rPr>
          <w:sz w:val="20"/>
        </w:rPr>
        <w:t>approach,</w:t>
      </w:r>
      <w:r>
        <w:rPr>
          <w:spacing w:val="-11"/>
          <w:sz w:val="20"/>
        </w:rPr>
        <w:t> </w:t>
      </w:r>
      <w:r>
        <w:rPr>
          <w:sz w:val="20"/>
        </w:rPr>
        <w:t>until</w:t>
      </w:r>
      <w:r>
        <w:rPr>
          <w:spacing w:val="-11"/>
          <w:sz w:val="20"/>
        </w:rPr>
        <w:t> </w:t>
      </w:r>
      <w:r>
        <w:rPr>
          <w:sz w:val="20"/>
        </w:rPr>
        <w:t>the</w:t>
      </w:r>
      <w:r>
        <w:rPr>
          <w:spacing w:val="-10"/>
          <w:sz w:val="20"/>
        </w:rPr>
        <w:t> </w:t>
      </w:r>
      <w:r>
        <w:rPr>
          <w:sz w:val="20"/>
        </w:rPr>
        <w:t>law</w:t>
      </w:r>
      <w:r>
        <w:rPr>
          <w:spacing w:val="-11"/>
          <w:sz w:val="20"/>
        </w:rPr>
        <w:t> </w:t>
      </w:r>
      <w:r>
        <w:rPr>
          <w:sz w:val="20"/>
        </w:rPr>
        <w:t>changes,</w:t>
      </w:r>
      <w:r>
        <w:rPr>
          <w:spacing w:val="-11"/>
          <w:sz w:val="20"/>
        </w:rPr>
        <w:t> </w:t>
      </w:r>
      <w:r>
        <w:rPr>
          <w:spacing w:val="-3"/>
          <w:sz w:val="20"/>
        </w:rPr>
        <w:t>we</w:t>
      </w:r>
      <w:r>
        <w:rPr>
          <w:spacing w:val="-11"/>
          <w:sz w:val="20"/>
        </w:rPr>
        <w:t> </w:t>
      </w:r>
      <w:r>
        <w:rPr>
          <w:sz w:val="20"/>
        </w:rPr>
        <w:t>encourage</w:t>
      </w:r>
      <w:r>
        <w:rPr>
          <w:spacing w:val="-11"/>
          <w:sz w:val="20"/>
        </w:rPr>
        <w:t> </w:t>
      </w:r>
      <w:r>
        <w:rPr>
          <w:sz w:val="20"/>
        </w:rPr>
        <w:t>the</w:t>
      </w:r>
      <w:r>
        <w:rPr>
          <w:spacing w:val="-11"/>
          <w:sz w:val="20"/>
        </w:rPr>
        <w:t> </w:t>
      </w:r>
      <w:r>
        <w:rPr>
          <w:sz w:val="20"/>
        </w:rPr>
        <w:t>Juries Commissioner</w:t>
      </w:r>
      <w:r>
        <w:rPr>
          <w:spacing w:val="-12"/>
          <w:sz w:val="20"/>
        </w:rPr>
        <w:t> </w:t>
      </w:r>
      <w:r>
        <w:rPr>
          <w:sz w:val="20"/>
        </w:rPr>
        <w:t>to</w:t>
      </w:r>
      <w:r>
        <w:rPr>
          <w:spacing w:val="-12"/>
          <w:sz w:val="20"/>
        </w:rPr>
        <w:t> </w:t>
      </w:r>
      <w:r>
        <w:rPr>
          <w:spacing w:val="-3"/>
          <w:sz w:val="20"/>
        </w:rPr>
        <w:t>explore</w:t>
      </w:r>
      <w:r>
        <w:rPr>
          <w:spacing w:val="-12"/>
          <w:sz w:val="20"/>
        </w:rPr>
        <w:t> </w:t>
      </w:r>
      <w:r>
        <w:rPr>
          <w:sz w:val="20"/>
        </w:rPr>
        <w:t>with</w:t>
      </w:r>
      <w:r>
        <w:rPr>
          <w:spacing w:val="-12"/>
          <w:sz w:val="20"/>
        </w:rPr>
        <w:t> </w:t>
      </w:r>
      <w:r>
        <w:rPr>
          <w:sz w:val="20"/>
        </w:rPr>
        <w:t>people</w:t>
      </w:r>
      <w:r>
        <w:rPr>
          <w:spacing w:val="-12"/>
          <w:sz w:val="20"/>
        </w:rPr>
        <w:t> </w:t>
      </w:r>
      <w:r>
        <w:rPr>
          <w:sz w:val="20"/>
        </w:rPr>
        <w:t>in</w:t>
      </w:r>
      <w:r>
        <w:rPr>
          <w:spacing w:val="-12"/>
          <w:sz w:val="20"/>
        </w:rPr>
        <w:t> </w:t>
      </w:r>
      <w:r>
        <w:rPr>
          <w:sz w:val="20"/>
        </w:rPr>
        <w:t>the</w:t>
      </w:r>
      <w:r>
        <w:rPr>
          <w:spacing w:val="-12"/>
          <w:sz w:val="20"/>
        </w:rPr>
        <w:t> </w:t>
      </w:r>
      <w:r>
        <w:rPr>
          <w:sz w:val="20"/>
        </w:rPr>
        <w:t>subject</w:t>
      </w:r>
      <w:r>
        <w:rPr>
          <w:spacing w:val="-11"/>
          <w:sz w:val="20"/>
        </w:rPr>
        <w:t> </w:t>
      </w:r>
      <w:r>
        <w:rPr>
          <w:sz w:val="20"/>
        </w:rPr>
        <w:t>groups</w:t>
      </w:r>
      <w:r>
        <w:rPr>
          <w:spacing w:val="-12"/>
          <w:sz w:val="20"/>
        </w:rPr>
        <w:t> </w:t>
      </w:r>
      <w:r>
        <w:rPr>
          <w:sz w:val="20"/>
        </w:rPr>
        <w:t>what</w:t>
      </w:r>
      <w:r>
        <w:rPr>
          <w:spacing w:val="-12"/>
          <w:sz w:val="20"/>
        </w:rPr>
        <w:t> </w:t>
      </w:r>
      <w:r>
        <w:rPr>
          <w:sz w:val="20"/>
        </w:rPr>
        <w:t>adjustments</w:t>
      </w:r>
      <w:r>
        <w:rPr>
          <w:spacing w:val="-12"/>
          <w:sz w:val="20"/>
        </w:rPr>
        <w:t> </w:t>
      </w:r>
      <w:r>
        <w:rPr>
          <w:sz w:val="20"/>
        </w:rPr>
        <w:t>will facilitate</w:t>
      </w:r>
      <w:r>
        <w:rPr>
          <w:spacing w:val="-10"/>
          <w:sz w:val="20"/>
        </w:rPr>
        <w:t> </w:t>
      </w:r>
      <w:r>
        <w:rPr>
          <w:sz w:val="20"/>
        </w:rPr>
        <w:t>jury</w:t>
      </w:r>
      <w:r>
        <w:rPr>
          <w:spacing w:val="-9"/>
          <w:sz w:val="20"/>
        </w:rPr>
        <w:t> </w:t>
      </w:r>
      <w:r>
        <w:rPr>
          <w:sz w:val="20"/>
        </w:rPr>
        <w:t>service</w:t>
      </w:r>
      <w:r>
        <w:rPr>
          <w:spacing w:val="-10"/>
          <w:sz w:val="20"/>
        </w:rPr>
        <w:t> </w:t>
      </w:r>
      <w:r>
        <w:rPr>
          <w:sz w:val="20"/>
        </w:rPr>
        <w:t>that</w:t>
      </w:r>
      <w:r>
        <w:rPr>
          <w:spacing w:val="-9"/>
          <w:sz w:val="20"/>
        </w:rPr>
        <w:t> </w:t>
      </w:r>
      <w:r>
        <w:rPr>
          <w:sz w:val="20"/>
        </w:rPr>
        <w:t>do</w:t>
      </w:r>
      <w:r>
        <w:rPr>
          <w:spacing w:val="-10"/>
          <w:sz w:val="20"/>
        </w:rPr>
        <w:t> </w:t>
      </w:r>
      <w:r>
        <w:rPr>
          <w:sz w:val="20"/>
        </w:rPr>
        <w:t>not</w:t>
      </w:r>
      <w:r>
        <w:rPr>
          <w:spacing w:val="-9"/>
          <w:sz w:val="20"/>
        </w:rPr>
        <w:t> </w:t>
      </w:r>
      <w:r>
        <w:rPr>
          <w:spacing w:val="-4"/>
          <w:sz w:val="20"/>
        </w:rPr>
        <w:t>involve</w:t>
      </w:r>
      <w:r>
        <w:rPr>
          <w:spacing w:val="-10"/>
          <w:sz w:val="20"/>
        </w:rPr>
        <w:t> </w:t>
      </w:r>
      <w:r>
        <w:rPr>
          <w:sz w:val="20"/>
        </w:rPr>
        <w:t>an</w:t>
      </w:r>
      <w:r>
        <w:rPr>
          <w:spacing w:val="-9"/>
          <w:sz w:val="20"/>
        </w:rPr>
        <w:t> </w:t>
      </w:r>
      <w:r>
        <w:rPr>
          <w:sz w:val="20"/>
        </w:rPr>
        <w:t>additional</w:t>
      </w:r>
      <w:r>
        <w:rPr>
          <w:spacing w:val="-9"/>
          <w:sz w:val="20"/>
        </w:rPr>
        <w:t> </w:t>
      </w:r>
      <w:r>
        <w:rPr>
          <w:sz w:val="20"/>
        </w:rPr>
        <w:t>person</w:t>
      </w:r>
      <w:r>
        <w:rPr>
          <w:spacing w:val="-10"/>
          <w:sz w:val="20"/>
        </w:rPr>
        <w:t> </w:t>
      </w:r>
      <w:r>
        <w:rPr>
          <w:sz w:val="20"/>
        </w:rPr>
        <w:t>in</w:t>
      </w:r>
      <w:r>
        <w:rPr>
          <w:spacing w:val="-9"/>
          <w:sz w:val="20"/>
        </w:rPr>
        <w:t> </w:t>
      </w:r>
      <w:r>
        <w:rPr>
          <w:sz w:val="20"/>
        </w:rPr>
        <w:t>the</w:t>
      </w:r>
      <w:r>
        <w:rPr>
          <w:spacing w:val="-10"/>
          <w:sz w:val="20"/>
        </w:rPr>
        <w:t> </w:t>
      </w:r>
      <w:r>
        <w:rPr>
          <w:sz w:val="20"/>
        </w:rPr>
        <w:t>jury</w:t>
      </w:r>
      <w:r>
        <w:rPr>
          <w:spacing w:val="-9"/>
          <w:sz w:val="20"/>
        </w:rPr>
        <w:t> </w:t>
      </w:r>
      <w:r>
        <w:rPr>
          <w:sz w:val="20"/>
        </w:rPr>
        <w:t>room,</w:t>
      </w:r>
      <w:r>
        <w:rPr>
          <w:spacing w:val="-10"/>
          <w:sz w:val="20"/>
        </w:rPr>
        <w:t> </w:t>
      </w:r>
      <w:r>
        <w:rPr>
          <w:sz w:val="20"/>
        </w:rPr>
        <w:t>for </w:t>
      </w:r>
      <w:r>
        <w:rPr>
          <w:spacing w:val="-3"/>
          <w:sz w:val="20"/>
        </w:rPr>
        <w:t>example, </w:t>
      </w:r>
      <w:r>
        <w:rPr>
          <w:sz w:val="20"/>
        </w:rPr>
        <w:t>lip-reading or technological</w:t>
      </w:r>
      <w:r>
        <w:rPr>
          <w:spacing w:val="-17"/>
          <w:sz w:val="20"/>
        </w:rPr>
        <w:t> </w:t>
      </w:r>
      <w:r>
        <w:rPr>
          <w:sz w:val="20"/>
        </w:rPr>
        <w:t>assistance.</w:t>
      </w:r>
    </w:p>
    <w:p>
      <w:pPr>
        <w:pStyle w:val="ListParagraph"/>
        <w:numPr>
          <w:ilvl w:val="1"/>
          <w:numId w:val="12"/>
        </w:numPr>
        <w:tabs>
          <w:tab w:pos="1761" w:val="left" w:leader="none"/>
          <w:tab w:pos="1762" w:val="left" w:leader="none"/>
        </w:tabs>
        <w:spacing w:line="206" w:lineRule="auto" w:before="125" w:after="0"/>
        <w:ind w:left="1761" w:right="1700" w:hanging="794"/>
        <w:jc w:val="left"/>
        <w:rPr>
          <w:sz w:val="20"/>
        </w:rPr>
      </w:pPr>
      <w:r>
        <w:rPr>
          <w:sz w:val="20"/>
        </w:rPr>
        <w:t>More</w:t>
      </w:r>
      <w:r>
        <w:rPr>
          <w:spacing w:val="-10"/>
          <w:sz w:val="20"/>
        </w:rPr>
        <w:t> </w:t>
      </w:r>
      <w:r>
        <w:rPr>
          <w:spacing w:val="-4"/>
          <w:sz w:val="20"/>
        </w:rPr>
        <w:t>broadly,</w:t>
      </w:r>
      <w:r>
        <w:rPr>
          <w:spacing w:val="-10"/>
          <w:sz w:val="20"/>
        </w:rPr>
        <w:t> </w:t>
      </w:r>
      <w:r>
        <w:rPr>
          <w:sz w:val="20"/>
        </w:rPr>
        <w:t>it</w:t>
      </w:r>
      <w:r>
        <w:rPr>
          <w:spacing w:val="-10"/>
          <w:sz w:val="20"/>
        </w:rPr>
        <w:t> </w:t>
      </w:r>
      <w:r>
        <w:rPr>
          <w:sz w:val="20"/>
        </w:rPr>
        <w:t>is</w:t>
      </w:r>
      <w:r>
        <w:rPr>
          <w:spacing w:val="-9"/>
          <w:sz w:val="20"/>
        </w:rPr>
        <w:t> </w:t>
      </w:r>
      <w:r>
        <w:rPr>
          <w:sz w:val="20"/>
        </w:rPr>
        <w:t>time</w:t>
      </w:r>
      <w:r>
        <w:rPr>
          <w:spacing w:val="-10"/>
          <w:sz w:val="20"/>
        </w:rPr>
        <w:t> </w:t>
      </w:r>
      <w:r>
        <w:rPr>
          <w:sz w:val="20"/>
        </w:rPr>
        <w:t>for</w:t>
      </w:r>
      <w:r>
        <w:rPr>
          <w:spacing w:val="-10"/>
          <w:sz w:val="20"/>
        </w:rPr>
        <w:t> </w:t>
      </w:r>
      <w:r>
        <w:rPr>
          <w:sz w:val="20"/>
        </w:rPr>
        <w:t>the</w:t>
      </w:r>
      <w:r>
        <w:rPr>
          <w:spacing w:val="-9"/>
          <w:sz w:val="20"/>
        </w:rPr>
        <w:t> </w:t>
      </w:r>
      <w:r>
        <w:rPr>
          <w:sz w:val="20"/>
        </w:rPr>
        <w:t>Victorian</w:t>
      </w:r>
      <w:r>
        <w:rPr>
          <w:spacing w:val="-10"/>
          <w:sz w:val="20"/>
        </w:rPr>
        <w:t> </w:t>
      </w:r>
      <w:r>
        <w:rPr>
          <w:sz w:val="20"/>
        </w:rPr>
        <w:t>courts</w:t>
      </w:r>
      <w:r>
        <w:rPr>
          <w:spacing w:val="-10"/>
          <w:sz w:val="20"/>
        </w:rPr>
        <w:t> </w:t>
      </w:r>
      <w:r>
        <w:rPr>
          <w:sz w:val="20"/>
        </w:rPr>
        <w:t>and</w:t>
      </w:r>
      <w:r>
        <w:rPr>
          <w:spacing w:val="-9"/>
          <w:sz w:val="20"/>
        </w:rPr>
        <w:t> </w:t>
      </w:r>
      <w:r>
        <w:rPr>
          <w:sz w:val="20"/>
        </w:rPr>
        <w:t>Juries</w:t>
      </w:r>
      <w:r>
        <w:rPr>
          <w:spacing w:val="-10"/>
          <w:sz w:val="20"/>
        </w:rPr>
        <w:t> </w:t>
      </w:r>
      <w:r>
        <w:rPr>
          <w:sz w:val="20"/>
        </w:rPr>
        <w:t>Victoria</w:t>
      </w:r>
      <w:r>
        <w:rPr>
          <w:spacing w:val="-10"/>
          <w:sz w:val="20"/>
        </w:rPr>
        <w:t> </w:t>
      </w:r>
      <w:r>
        <w:rPr>
          <w:sz w:val="20"/>
        </w:rPr>
        <w:t>to</w:t>
      </w:r>
      <w:r>
        <w:rPr>
          <w:spacing w:val="-9"/>
          <w:sz w:val="20"/>
        </w:rPr>
        <w:t> </w:t>
      </w:r>
      <w:r>
        <w:rPr>
          <w:spacing w:val="-3"/>
          <w:sz w:val="20"/>
        </w:rPr>
        <w:t>work</w:t>
      </w:r>
      <w:r>
        <w:rPr>
          <w:spacing w:val="-10"/>
          <w:sz w:val="20"/>
        </w:rPr>
        <w:t> </w:t>
      </w:r>
      <w:r>
        <w:rPr>
          <w:sz w:val="20"/>
        </w:rPr>
        <w:t>together to</w:t>
      </w:r>
      <w:r>
        <w:rPr>
          <w:spacing w:val="-8"/>
          <w:sz w:val="20"/>
        </w:rPr>
        <w:t> </w:t>
      </w:r>
      <w:r>
        <w:rPr>
          <w:spacing w:val="-3"/>
          <w:sz w:val="20"/>
        </w:rPr>
        <w:t>provide</w:t>
      </w:r>
      <w:r>
        <w:rPr>
          <w:spacing w:val="-8"/>
          <w:sz w:val="20"/>
        </w:rPr>
        <w:t> </w:t>
      </w:r>
      <w:r>
        <w:rPr>
          <w:sz w:val="20"/>
        </w:rPr>
        <w:t>reasonable</w:t>
      </w:r>
      <w:r>
        <w:rPr>
          <w:spacing w:val="-7"/>
          <w:sz w:val="20"/>
        </w:rPr>
        <w:t> </w:t>
      </w:r>
      <w:r>
        <w:rPr>
          <w:sz w:val="20"/>
        </w:rPr>
        <w:t>adjustments</w:t>
      </w:r>
      <w:r>
        <w:rPr>
          <w:spacing w:val="-8"/>
          <w:sz w:val="20"/>
        </w:rPr>
        <w:t> </w:t>
      </w:r>
      <w:r>
        <w:rPr>
          <w:sz w:val="20"/>
        </w:rPr>
        <w:t>to</w:t>
      </w:r>
      <w:r>
        <w:rPr>
          <w:spacing w:val="-7"/>
          <w:sz w:val="20"/>
        </w:rPr>
        <w:t> </w:t>
      </w:r>
      <w:r>
        <w:rPr>
          <w:sz w:val="20"/>
        </w:rPr>
        <w:t>people</w:t>
      </w:r>
      <w:r>
        <w:rPr>
          <w:spacing w:val="-8"/>
          <w:sz w:val="20"/>
        </w:rPr>
        <w:t> </w:t>
      </w:r>
      <w:r>
        <w:rPr>
          <w:sz w:val="20"/>
        </w:rPr>
        <w:t>in</w:t>
      </w:r>
      <w:r>
        <w:rPr>
          <w:spacing w:val="-7"/>
          <w:sz w:val="20"/>
        </w:rPr>
        <w:t> </w:t>
      </w:r>
      <w:r>
        <w:rPr>
          <w:sz w:val="20"/>
        </w:rPr>
        <w:t>the</w:t>
      </w:r>
      <w:r>
        <w:rPr>
          <w:spacing w:val="-8"/>
          <w:sz w:val="20"/>
        </w:rPr>
        <w:t> </w:t>
      </w:r>
      <w:r>
        <w:rPr>
          <w:sz w:val="20"/>
        </w:rPr>
        <w:t>subject</w:t>
      </w:r>
      <w:r>
        <w:rPr>
          <w:spacing w:val="-7"/>
          <w:sz w:val="20"/>
        </w:rPr>
        <w:t> </w:t>
      </w:r>
      <w:r>
        <w:rPr>
          <w:sz w:val="20"/>
        </w:rPr>
        <w:t>groups.</w:t>
      </w:r>
      <w:r>
        <w:rPr>
          <w:spacing w:val="-8"/>
          <w:sz w:val="20"/>
        </w:rPr>
        <w:t> </w:t>
      </w:r>
      <w:r>
        <w:rPr>
          <w:spacing w:val="-6"/>
          <w:sz w:val="20"/>
        </w:rPr>
        <w:t>We</w:t>
      </w:r>
      <w:r>
        <w:rPr>
          <w:spacing w:val="-7"/>
          <w:sz w:val="20"/>
        </w:rPr>
        <w:t> </w:t>
      </w:r>
      <w:r>
        <w:rPr>
          <w:spacing w:val="-3"/>
          <w:sz w:val="20"/>
        </w:rPr>
        <w:t>make</w:t>
      </w:r>
    </w:p>
    <w:p>
      <w:pPr>
        <w:pStyle w:val="BodyText"/>
        <w:spacing w:line="206" w:lineRule="auto" w:before="3"/>
        <w:ind w:left="1761" w:right="1335"/>
      </w:pPr>
      <w:r>
        <w:rPr/>
        <w:t>recommendations</w:t>
      </w:r>
      <w:r>
        <w:rPr>
          <w:spacing w:val="-11"/>
        </w:rPr>
        <w:t> </w:t>
      </w:r>
      <w:r>
        <w:rPr/>
        <w:t>for</w:t>
      </w:r>
      <w:r>
        <w:rPr>
          <w:spacing w:val="-11"/>
        </w:rPr>
        <w:t> </w:t>
      </w:r>
      <w:r>
        <w:rPr/>
        <w:t>a</w:t>
      </w:r>
      <w:r>
        <w:rPr>
          <w:spacing w:val="-10"/>
        </w:rPr>
        <w:t> </w:t>
      </w:r>
      <w:r>
        <w:rPr/>
        <w:t>coordinated</w:t>
      </w:r>
      <w:r>
        <w:rPr>
          <w:spacing w:val="-11"/>
        </w:rPr>
        <w:t> </w:t>
      </w:r>
      <w:r>
        <w:rPr/>
        <w:t>approach</w:t>
      </w:r>
      <w:r>
        <w:rPr>
          <w:spacing w:val="-10"/>
        </w:rPr>
        <w:t> </w:t>
      </w:r>
      <w:r>
        <w:rPr/>
        <w:t>to</w:t>
      </w:r>
      <w:r>
        <w:rPr>
          <w:spacing w:val="-11"/>
        </w:rPr>
        <w:t> </w:t>
      </w:r>
      <w:r>
        <w:rPr/>
        <w:t>law</w:t>
      </w:r>
      <w:r>
        <w:rPr>
          <w:spacing w:val="-10"/>
        </w:rPr>
        <w:t> </w:t>
      </w:r>
      <w:r>
        <w:rPr>
          <w:spacing w:val="-3"/>
        </w:rPr>
        <w:t>reform</w:t>
      </w:r>
      <w:r>
        <w:rPr>
          <w:spacing w:val="-11"/>
        </w:rPr>
        <w:t> </w:t>
      </w:r>
      <w:r>
        <w:rPr/>
        <w:t>for</w:t>
      </w:r>
      <w:r>
        <w:rPr>
          <w:spacing w:val="-10"/>
        </w:rPr>
        <w:t> </w:t>
      </w:r>
      <w:r>
        <w:rPr/>
        <w:t>the</w:t>
      </w:r>
      <w:r>
        <w:rPr>
          <w:spacing w:val="-11"/>
        </w:rPr>
        <w:t> </w:t>
      </w:r>
      <w:r>
        <w:rPr/>
        <w:t>courts</w:t>
      </w:r>
      <w:r>
        <w:rPr>
          <w:spacing w:val="-10"/>
        </w:rPr>
        <w:t> </w:t>
      </w:r>
      <w:r>
        <w:rPr/>
        <w:t>and</w:t>
      </w:r>
      <w:r>
        <w:rPr>
          <w:spacing w:val="-11"/>
        </w:rPr>
        <w:t> </w:t>
      </w:r>
      <w:r>
        <w:rPr/>
        <w:t>Juries Victoria in </w:t>
      </w:r>
      <w:r>
        <w:rPr>
          <w:spacing w:val="-2"/>
        </w:rPr>
        <w:t>Chapters </w:t>
      </w:r>
      <w:r>
        <w:rPr/>
        <w:t>11 and</w:t>
      </w:r>
      <w:r>
        <w:rPr>
          <w:spacing w:val="-19"/>
        </w:rPr>
        <w:t> </w:t>
      </w:r>
      <w:r>
        <w:rPr/>
        <w:t>12.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1"/>
        </w:rPr>
      </w:pPr>
      <w:r>
        <w:rPr/>
        <w:pict>
          <v:line style="position:absolute;mso-position-horizontal-relative:page;mso-position-vertical-relative:paragraph;z-index:3656;mso-wrap-distance-left:0;mso-wrap-distance-right:0" from="79.370102pt,17.31214pt" to="515.905102pt,17.31214pt" stroked="true" strokeweight="1pt" strokecolor="#b6bdc8">
            <v:stroke dashstyle="solid"/>
            <w10:wrap type="topAndBottom"/>
          </v:line>
        </w:pict>
      </w:r>
    </w:p>
    <w:p>
      <w:pPr>
        <w:pStyle w:val="ListParagraph"/>
        <w:numPr>
          <w:ilvl w:val="0"/>
          <w:numId w:val="53"/>
        </w:numPr>
        <w:tabs>
          <w:tab w:pos="1761" w:val="left" w:leader="none"/>
          <w:tab w:pos="1762" w:val="left" w:leader="none"/>
        </w:tabs>
        <w:spacing w:line="170" w:lineRule="exact" w:before="91" w:after="0"/>
        <w:ind w:left="1761" w:right="0" w:hanging="794"/>
        <w:jc w:val="left"/>
        <w:rPr>
          <w:sz w:val="13"/>
        </w:rPr>
      </w:pPr>
      <w:r>
        <w:rPr>
          <w:spacing w:val="2"/>
          <w:sz w:val="13"/>
        </w:rPr>
        <w:t>Submission </w:t>
      </w:r>
      <w:r>
        <w:rPr>
          <w:sz w:val="13"/>
        </w:rPr>
        <w:t>12 </w:t>
      </w:r>
      <w:r>
        <w:rPr>
          <w:spacing w:val="2"/>
          <w:sz w:val="13"/>
        </w:rPr>
        <w:t>(Castan </w:t>
      </w:r>
      <w:r>
        <w:rPr>
          <w:sz w:val="13"/>
        </w:rPr>
        <w:t>Centre for Human Rights Law, Monash</w:t>
      </w:r>
      <w:r>
        <w:rPr>
          <w:spacing w:val="-1"/>
          <w:sz w:val="13"/>
        </w:rPr>
        <w:t> </w:t>
      </w:r>
      <w:r>
        <w:rPr>
          <w:sz w:val="13"/>
        </w:rPr>
        <w:t>University).</w:t>
      </w:r>
    </w:p>
    <w:p>
      <w:pPr>
        <w:pStyle w:val="ListParagraph"/>
        <w:numPr>
          <w:ilvl w:val="0"/>
          <w:numId w:val="53"/>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53"/>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z w:val="13"/>
        </w:rPr>
        <w:t>3 (Youth </w:t>
      </w:r>
      <w:r>
        <w:rPr>
          <w:spacing w:val="2"/>
          <w:sz w:val="13"/>
        </w:rPr>
        <w:t>Disability </w:t>
      </w:r>
      <w:r>
        <w:rPr>
          <w:sz w:val="13"/>
        </w:rPr>
        <w:t>Advocacy</w:t>
      </w:r>
      <w:r>
        <w:rPr>
          <w:spacing w:val="-4"/>
          <w:sz w:val="13"/>
        </w:rPr>
        <w:t> </w:t>
      </w:r>
      <w:r>
        <w:rPr>
          <w:sz w:val="13"/>
        </w:rPr>
        <w:t>Service).</w:t>
      </w:r>
    </w:p>
    <w:p>
      <w:pPr>
        <w:pStyle w:val="ListParagraph"/>
        <w:numPr>
          <w:ilvl w:val="0"/>
          <w:numId w:val="53"/>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z w:val="13"/>
        </w:rPr>
        <w:t>4 </w:t>
      </w:r>
      <w:r>
        <w:rPr>
          <w:spacing w:val="2"/>
          <w:sz w:val="13"/>
        </w:rPr>
        <w:t>(Associate </w:t>
      </w:r>
      <w:r>
        <w:rPr>
          <w:sz w:val="13"/>
        </w:rPr>
        <w:t>Professors Bruce Baer Arnold (University of </w:t>
      </w:r>
      <w:r>
        <w:rPr>
          <w:spacing w:val="2"/>
          <w:sz w:val="13"/>
        </w:rPr>
        <w:t>Canberra) </w:t>
      </w:r>
      <w:r>
        <w:rPr>
          <w:sz w:val="13"/>
        </w:rPr>
        <w:t>and Wendy Bonython (Bond</w:t>
      </w:r>
      <w:r>
        <w:rPr>
          <w:spacing w:val="18"/>
          <w:sz w:val="13"/>
        </w:rPr>
        <w:t> </w:t>
      </w:r>
      <w:r>
        <w:rPr>
          <w:sz w:val="13"/>
        </w:rPr>
        <w:t>University)).</w:t>
      </w:r>
    </w:p>
    <w:p>
      <w:pPr>
        <w:pStyle w:val="ListParagraph"/>
        <w:numPr>
          <w:ilvl w:val="0"/>
          <w:numId w:val="53"/>
        </w:numPr>
        <w:tabs>
          <w:tab w:pos="1761" w:val="left" w:leader="none"/>
          <w:tab w:pos="1762" w:val="left" w:leader="none"/>
        </w:tabs>
        <w:spacing w:line="160" w:lineRule="exact" w:before="0" w:after="0"/>
        <w:ind w:left="1761" w:right="0" w:hanging="794"/>
        <w:jc w:val="left"/>
        <w:rPr>
          <w:sz w:val="13"/>
        </w:rPr>
      </w:pPr>
      <w:r>
        <w:rPr/>
        <w:pict>
          <v:shape style="position:absolute;margin-left:549.029602pt;margin-top:3.710249pt;width:13.15pt;height:14.1pt;mso-position-horizontal-relative:page;mso-position-vertical-relative:paragraph;z-index:5728" type="#_x0000_t202" filled="false" stroked="false">
            <v:textbox inset="0,0,0,0">
              <w:txbxContent>
                <w:p>
                  <w:pPr>
                    <w:spacing w:line="282" w:lineRule="exact" w:before="0"/>
                    <w:ind w:left="0" w:right="0" w:firstLine="0"/>
                    <w:jc w:val="left"/>
                    <w:rPr>
                      <w:b/>
                      <w:sz w:val="24"/>
                    </w:rPr>
                  </w:pPr>
                  <w:r>
                    <w:rPr>
                      <w:b/>
                      <w:color w:val="37617A"/>
                      <w:spacing w:val="-1"/>
                      <w:sz w:val="24"/>
                    </w:rPr>
                    <w:t>61</w:t>
                  </w:r>
                </w:p>
              </w:txbxContent>
            </v:textbox>
            <w10:wrap type="none"/>
          </v:shape>
        </w:pict>
      </w: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pStyle w:val="ListParagraph"/>
        <w:numPr>
          <w:ilvl w:val="0"/>
          <w:numId w:val="53"/>
        </w:numPr>
        <w:tabs>
          <w:tab w:pos="1761" w:val="left" w:leader="none"/>
          <w:tab w:pos="1762" w:val="left" w:leader="none"/>
        </w:tabs>
        <w:spacing w:line="170" w:lineRule="exact" w:before="0" w:after="0"/>
        <w:ind w:left="1761" w:right="0" w:hanging="794"/>
        <w:jc w:val="left"/>
        <w:rPr>
          <w:sz w:val="13"/>
        </w:rPr>
      </w:pPr>
      <w:r>
        <w:rPr>
          <w:spacing w:val="2"/>
          <w:sz w:val="13"/>
        </w:rPr>
        <w:t>Submission </w:t>
      </w:r>
      <w:r>
        <w:rPr>
          <w:sz w:val="13"/>
        </w:rPr>
        <w:t>13 </w:t>
      </w:r>
      <w:r>
        <w:rPr>
          <w:spacing w:val="2"/>
          <w:sz w:val="13"/>
        </w:rPr>
        <w:t>(Juries</w:t>
      </w:r>
      <w:r>
        <w:rPr>
          <w:spacing w:val="-2"/>
          <w:sz w:val="13"/>
        </w:rPr>
        <w:t> </w:t>
      </w:r>
      <w:r>
        <w:rPr>
          <w:sz w:val="13"/>
        </w:rPr>
        <w:t>Victoria).</w:t>
      </w:r>
    </w:p>
    <w:p>
      <w:pPr>
        <w:spacing w:after="0" w:line="170" w:lineRule="exact"/>
        <w:jc w:val="left"/>
        <w:rPr>
          <w:sz w:val="13"/>
        </w:rPr>
        <w:sectPr>
          <w:pgSz w:w="11910" w:h="16840"/>
          <w:pgMar w:header="0" w:footer="0" w:top="840" w:bottom="280" w:left="620" w:right="380"/>
        </w:sectPr>
      </w:pPr>
    </w:p>
    <w:p>
      <w:pPr>
        <w:pStyle w:val="BodyText"/>
      </w:pPr>
      <w:r>
        <w:rPr/>
        <w:pict>
          <v:rect style="position:absolute;margin-left:79.370003pt;margin-top:0pt;width:515.906000pt;height:841.890015pt;mso-position-horizontal-relative:page;mso-position-vertical-relative:page;z-index:5752" filled="true" fillcolor="#37617a" stroked="false">
            <v:fill type="solid"/>
            <w10:wrap type="none"/>
          </v:rect>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4"/>
        </w:rPr>
      </w:pPr>
    </w:p>
    <w:p>
      <w:pPr>
        <w:spacing w:before="49"/>
        <w:ind w:left="100" w:right="0" w:firstLine="0"/>
        <w:jc w:val="left"/>
        <w:rPr>
          <w:b/>
          <w:sz w:val="24"/>
        </w:rPr>
      </w:pPr>
      <w:r>
        <w:rPr>
          <w:b/>
          <w:color w:val="37617A"/>
          <w:sz w:val="24"/>
        </w:rPr>
        <w:t>62</w:t>
      </w:r>
    </w:p>
    <w:p>
      <w:pPr>
        <w:spacing w:after="0"/>
        <w:jc w:val="left"/>
        <w:rPr>
          <w:sz w:val="24"/>
        </w:rPr>
        <w:sectPr>
          <w:headerReference w:type="even" r:id="rId131"/>
          <w:pgSz w:w="11910" w:h="16840"/>
          <w:pgMar w:header="0" w:footer="0" w:top="1580" w:bottom="280" w:left="620" w:right="380"/>
        </w:sectPr>
      </w:pPr>
    </w:p>
    <w:p>
      <w:pPr>
        <w:spacing w:before="6"/>
        <w:ind w:left="0" w:right="745" w:firstLine="0"/>
        <w:jc w:val="right"/>
        <w:rPr>
          <w:rFonts w:ascii="Raleway SemiBold"/>
          <w:b/>
          <w:sz w:val="50"/>
        </w:rPr>
      </w:pPr>
      <w:r>
        <w:rPr/>
        <w:pict>
          <v:rect style="position:absolute;margin-left:0pt;margin-top:0pt;width:595.276001pt;height:841.890015pt;mso-position-horizontal-relative:page;mso-position-vertical-relative:page;z-index:-354400" filled="true" fillcolor="#37617a" stroked="false">
            <v:fill type="solid"/>
            <w10:wrap type="none"/>
          </v:rect>
        </w:pict>
      </w:r>
      <w:r>
        <w:rPr/>
        <w:pict>
          <v:shape style="position:absolute;margin-left:407.112915pt;margin-top:4.300694pt;width:144.6pt;height:152.65pt;mso-position-horizontal-relative:page;mso-position-vertical-relative:paragraph;z-index:-354376" type="#_x0000_t202" filled="false" stroked="false">
            <v:textbox inset="0,0,0,0">
              <w:txbxContent>
                <w:p>
                  <w:pPr>
                    <w:spacing w:line="3052" w:lineRule="exact" w:before="0"/>
                    <w:ind w:left="0" w:right="0" w:firstLine="0"/>
                    <w:jc w:val="left"/>
                    <w:rPr>
                      <w:b/>
                      <w:sz w:val="260"/>
                    </w:rPr>
                  </w:pPr>
                  <w:r>
                    <w:rPr>
                      <w:b/>
                      <w:color w:val="FFFFFF"/>
                      <w:spacing w:val="-138"/>
                      <w:sz w:val="260"/>
                    </w:rPr>
                    <w:t>08</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5"/>
        <w:rPr>
          <w:rFonts w:ascii="Raleway SemiBold"/>
          <w:b/>
          <w:sz w:val="17"/>
        </w:rPr>
      </w:pPr>
    </w:p>
    <w:p>
      <w:pPr>
        <w:spacing w:line="180" w:lineRule="auto" w:before="166"/>
        <w:ind w:left="967" w:right="0" w:firstLine="0"/>
        <w:jc w:val="left"/>
        <w:rPr>
          <w:rFonts w:ascii="Raleway ExtraBold"/>
          <w:b/>
          <w:sz w:val="88"/>
        </w:rPr>
      </w:pPr>
      <w:r>
        <w:rPr>
          <w:rFonts w:ascii="Raleway ExtraBold"/>
          <w:b/>
          <w:color w:val="FFFFFF"/>
          <w:spacing w:val="-17"/>
          <w:sz w:val="88"/>
        </w:rPr>
        <w:t>The </w:t>
      </w:r>
      <w:r>
        <w:rPr>
          <w:rFonts w:ascii="Raleway ExtraBold"/>
          <w:b/>
          <w:color w:val="FFFFFF"/>
          <w:spacing w:val="-20"/>
          <w:sz w:val="88"/>
        </w:rPr>
        <w:t>importance </w:t>
      </w:r>
      <w:r>
        <w:rPr>
          <w:rFonts w:ascii="Raleway ExtraBold"/>
          <w:b/>
          <w:color w:val="FFFFFF"/>
          <w:spacing w:val="-13"/>
          <w:sz w:val="88"/>
        </w:rPr>
        <w:t>of </w:t>
      </w:r>
      <w:r>
        <w:rPr>
          <w:rFonts w:ascii="Raleway ExtraBold"/>
          <w:b/>
          <w:color w:val="FFFFFF"/>
          <w:spacing w:val="-25"/>
          <w:sz w:val="88"/>
        </w:rPr>
        <w:t>representative </w:t>
      </w:r>
      <w:r>
        <w:rPr>
          <w:rFonts w:ascii="Raleway ExtraBold"/>
          <w:b/>
          <w:color w:val="FFFFFF"/>
          <w:spacing w:val="-20"/>
          <w:sz w:val="88"/>
        </w:rPr>
        <w:t>juries</w:t>
      </w:r>
    </w:p>
    <w:p>
      <w:pPr>
        <w:pStyle w:val="BodyText"/>
        <w:rPr>
          <w:rFonts w:ascii="Raleway ExtraBold"/>
          <w:b/>
        </w:rPr>
      </w:pPr>
    </w:p>
    <w:p>
      <w:pPr>
        <w:pStyle w:val="BodyText"/>
        <w:rPr>
          <w:rFonts w:ascii="Raleway ExtraBold"/>
          <w:b/>
        </w:rPr>
      </w:pPr>
    </w:p>
    <w:p>
      <w:pPr>
        <w:pStyle w:val="BodyText"/>
        <w:spacing w:before="4"/>
        <w:rPr>
          <w:rFonts w:ascii="Raleway ExtraBold"/>
          <w:b/>
          <w:sz w:val="27"/>
        </w:rPr>
      </w:pPr>
    </w:p>
    <w:p>
      <w:pPr>
        <w:tabs>
          <w:tab w:pos="1548" w:val="left" w:leader="none"/>
        </w:tabs>
        <w:spacing w:before="49"/>
        <w:ind w:left="981" w:right="0" w:firstLine="0"/>
        <w:jc w:val="left"/>
        <w:rPr>
          <w:b/>
          <w:sz w:val="24"/>
        </w:rPr>
      </w:pPr>
      <w:r>
        <w:rPr/>
        <w:pict>
          <v:line style="position:absolute;mso-position-horizontal-relative:page;mso-position-vertical-relative:paragraph;z-index:3728;mso-wrap-distance-left:0;mso-wrap-distance-right:0" from="80.078697pt,22.967304pt" to="105.590697pt,22.967304pt" stroked="true" strokeweight="2pt" strokecolor="#8f9dad">
            <v:stroke dashstyle="solid"/>
            <w10:wrap type="topAndBottom"/>
          </v:line>
        </w:pict>
      </w:r>
      <w:hyperlink w:history="true" w:anchor="_bookmark51">
        <w:r>
          <w:rPr>
            <w:b/>
            <w:color w:val="FFFFFF"/>
            <w:sz w:val="24"/>
          </w:rPr>
          <w:t>64</w:t>
          <w:tab/>
          <w:t>Overview</w:t>
        </w:r>
      </w:hyperlink>
    </w:p>
    <w:p>
      <w:pPr>
        <w:pStyle w:val="ListParagraph"/>
        <w:numPr>
          <w:ilvl w:val="0"/>
          <w:numId w:val="54"/>
        </w:numPr>
        <w:tabs>
          <w:tab w:pos="1548" w:val="left" w:leader="none"/>
          <w:tab w:pos="1549" w:val="left" w:leader="none"/>
        </w:tabs>
        <w:spacing w:line="240" w:lineRule="auto" w:before="14" w:after="57"/>
        <w:ind w:left="1548" w:right="0" w:hanging="567"/>
        <w:jc w:val="left"/>
        <w:rPr>
          <w:b/>
          <w:sz w:val="24"/>
        </w:rPr>
      </w:pPr>
      <w:hyperlink w:history="true" w:anchor="_bookmark51">
        <w:r>
          <w:rPr>
            <w:b/>
            <w:color w:val="FFFFFF"/>
            <w:sz w:val="24"/>
          </w:rPr>
          <w:t>Improving representativeness is a </w:t>
        </w:r>
        <w:r>
          <w:rPr>
            <w:b/>
            <w:color w:val="FFFFFF"/>
            <w:spacing w:val="-5"/>
            <w:sz w:val="24"/>
          </w:rPr>
          <w:t>key </w:t>
        </w:r>
        <w:r>
          <w:rPr>
            <w:b/>
            <w:color w:val="FFFFFF"/>
            <w:sz w:val="24"/>
          </w:rPr>
          <w:t>purpose of the Juries</w:t>
        </w:r>
        <w:r>
          <w:rPr>
            <w:b/>
            <w:color w:val="FFFFFF"/>
            <w:spacing w:val="-7"/>
            <w:sz w:val="24"/>
          </w:rPr>
          <w:t> </w:t>
        </w:r>
        <w:r>
          <w:rPr>
            <w:b/>
            <w:color w:val="FFFFFF"/>
            <w:sz w:val="24"/>
          </w:rPr>
          <w:t>Act</w:t>
        </w:r>
      </w:hyperlink>
    </w:p>
    <w:p>
      <w:pPr>
        <w:pStyle w:val="BodyText"/>
        <w:spacing w:line="40" w:lineRule="exact"/>
        <w:ind w:left="961"/>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pStyle w:val="ListParagraph"/>
        <w:numPr>
          <w:ilvl w:val="0"/>
          <w:numId w:val="54"/>
        </w:numPr>
        <w:tabs>
          <w:tab w:pos="1548" w:val="left" w:leader="none"/>
          <w:tab w:pos="1549" w:val="left" w:leader="none"/>
        </w:tabs>
        <w:spacing w:line="240" w:lineRule="auto" w:before="43" w:after="0"/>
        <w:ind w:left="1548" w:right="0" w:hanging="567"/>
        <w:jc w:val="left"/>
        <w:rPr>
          <w:b/>
          <w:sz w:val="24"/>
        </w:rPr>
      </w:pPr>
      <w:r>
        <w:rPr/>
        <w:pict>
          <v:line style="position:absolute;mso-position-horizontal-relative:page;mso-position-vertical-relative:paragraph;z-index:3776;mso-wrap-distance-left:0;mso-wrap-distance-right:0" from="80.078697pt,22.667311pt" to="105.590697pt,22.667311pt" stroked="true" strokeweight="2pt" strokecolor="#8f9dad">
            <v:stroke dashstyle="solid"/>
            <w10:wrap type="topAndBottom"/>
          </v:line>
        </w:pict>
      </w:r>
      <w:hyperlink w:history="true" w:anchor="_bookmark52">
        <w:r>
          <w:rPr>
            <w:b/>
            <w:color w:val="FFFFFF"/>
            <w:sz w:val="24"/>
          </w:rPr>
          <w:t>The advantages of representative</w:t>
        </w:r>
        <w:r>
          <w:rPr>
            <w:b/>
            <w:color w:val="FFFFFF"/>
            <w:spacing w:val="-3"/>
            <w:sz w:val="24"/>
          </w:rPr>
          <w:t> </w:t>
        </w:r>
        <w:r>
          <w:rPr>
            <w:b/>
            <w:color w:val="FFFFFF"/>
            <w:sz w:val="24"/>
          </w:rPr>
          <w:t>juries</w:t>
        </w:r>
      </w:hyperlink>
    </w:p>
    <w:p>
      <w:pPr>
        <w:pStyle w:val="ListParagraph"/>
        <w:numPr>
          <w:ilvl w:val="0"/>
          <w:numId w:val="55"/>
        </w:numPr>
        <w:tabs>
          <w:tab w:pos="1548" w:val="left" w:leader="none"/>
          <w:tab w:pos="1549" w:val="left" w:leader="none"/>
        </w:tabs>
        <w:spacing w:line="240" w:lineRule="auto" w:before="14" w:after="57"/>
        <w:ind w:left="1548" w:right="0" w:hanging="567"/>
        <w:jc w:val="left"/>
        <w:rPr>
          <w:b/>
          <w:sz w:val="24"/>
        </w:rPr>
      </w:pPr>
      <w:hyperlink w:history="true" w:anchor="_bookmark54">
        <w:r>
          <w:rPr>
            <w:b/>
            <w:color w:val="FFFFFF"/>
            <w:sz w:val="24"/>
          </w:rPr>
          <w:t>Community responses: representative</w:t>
        </w:r>
        <w:r>
          <w:rPr>
            <w:b/>
            <w:color w:val="FFFFFF"/>
            <w:spacing w:val="-2"/>
            <w:sz w:val="24"/>
          </w:rPr>
          <w:t> </w:t>
        </w:r>
        <w:r>
          <w:rPr>
            <w:b/>
            <w:color w:val="FFFFFF"/>
            <w:sz w:val="24"/>
          </w:rPr>
          <w:t>juries</w:t>
        </w:r>
      </w:hyperlink>
    </w:p>
    <w:p>
      <w:pPr>
        <w:pStyle w:val="BodyText"/>
        <w:spacing w:line="40" w:lineRule="exact"/>
        <w:ind w:left="961"/>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pStyle w:val="ListParagraph"/>
        <w:numPr>
          <w:ilvl w:val="0"/>
          <w:numId w:val="55"/>
        </w:numPr>
        <w:tabs>
          <w:tab w:pos="1548" w:val="left" w:leader="none"/>
          <w:tab w:pos="1549" w:val="left" w:leader="none"/>
        </w:tabs>
        <w:spacing w:line="240" w:lineRule="auto" w:before="43" w:after="0"/>
        <w:ind w:left="1548" w:right="0" w:hanging="567"/>
        <w:jc w:val="left"/>
        <w:rPr>
          <w:b/>
          <w:sz w:val="24"/>
        </w:rPr>
      </w:pPr>
      <w:r>
        <w:rPr/>
        <w:pict>
          <v:line style="position:absolute;mso-position-horizontal-relative:page;mso-position-vertical-relative:paragraph;z-index:3824;mso-wrap-distance-left:0;mso-wrap-distance-right:0" from="80.078697pt,22.667189pt" to="105.590697pt,22.667189pt" stroked="true" strokeweight="2pt" strokecolor="#8f9dad">
            <v:stroke dashstyle="solid"/>
            <w10:wrap type="topAndBottom"/>
          </v:line>
        </w:pict>
      </w:r>
      <w:hyperlink w:history="true" w:anchor="_bookmark55">
        <w:r>
          <w:rPr>
            <w:b/>
            <w:color w:val="FFFFFF"/>
            <w:sz w:val="24"/>
          </w:rPr>
          <w:t>Sharing the obligation of jury service among the</w:t>
        </w:r>
        <w:r>
          <w:rPr>
            <w:b/>
            <w:color w:val="FFFFFF"/>
            <w:spacing w:val="-6"/>
            <w:sz w:val="24"/>
          </w:rPr>
          <w:t> </w:t>
        </w:r>
        <w:r>
          <w:rPr>
            <w:b/>
            <w:color w:val="FFFFFF"/>
            <w:sz w:val="24"/>
          </w:rPr>
          <w:t>community</w:t>
        </w:r>
      </w:hyperlink>
    </w:p>
    <w:p>
      <w:pPr>
        <w:spacing w:after="0" w:line="240" w:lineRule="auto"/>
        <w:jc w:val="left"/>
        <w:rPr>
          <w:sz w:val="24"/>
        </w:rPr>
        <w:sectPr>
          <w:headerReference w:type="default" r:id="rId132"/>
          <w:headerReference w:type="even" r:id="rId133"/>
          <w:pgSz w:w="11910" w:h="16840"/>
          <w:pgMar w:header="0" w:footer="0" w:top="620" w:bottom="280" w:left="620" w:right="380"/>
        </w:sectPr>
      </w:pPr>
    </w:p>
    <w:p>
      <w:pPr>
        <w:pStyle w:val="BodyText"/>
        <w:rPr>
          <w:b/>
        </w:rPr>
      </w:pPr>
      <w:r>
        <w:rPr/>
        <w:pict>
          <v:rect style="position:absolute;margin-left:0pt;margin-top:99.213013pt;width:14.173pt;height:85.748pt;mso-position-horizontal-relative:page;mso-position-vertical-relative:page;z-index:6016" filled="true" fillcolor="#37617a" stroked="false">
            <v:fill type="solid"/>
            <w10:wrap type="none"/>
          </v:rect>
        </w:pict>
      </w:r>
    </w:p>
    <w:p>
      <w:pPr>
        <w:pStyle w:val="BodyText"/>
        <w:rPr>
          <w:b/>
        </w:rPr>
      </w:pPr>
    </w:p>
    <w:p>
      <w:pPr>
        <w:pStyle w:val="BodyText"/>
        <w:spacing w:before="2"/>
        <w:rPr>
          <w:b/>
          <w:sz w:val="25"/>
        </w:rPr>
      </w:pPr>
    </w:p>
    <w:p>
      <w:pPr>
        <w:pStyle w:val="Heading1"/>
        <w:numPr>
          <w:ilvl w:val="0"/>
          <w:numId w:val="12"/>
        </w:numPr>
        <w:tabs>
          <w:tab w:pos="835" w:val="left" w:leader="none"/>
        </w:tabs>
        <w:spacing w:line="184" w:lineRule="auto" w:before="129" w:after="0"/>
        <w:ind w:left="230" w:right="5109" w:firstLine="0"/>
        <w:jc w:val="left"/>
        <w:rPr>
          <w:b/>
        </w:rPr>
      </w:pPr>
      <w:bookmarkStart w:name="8. The importance of representative juri" w:id="130"/>
      <w:bookmarkEnd w:id="130"/>
      <w:r>
        <w:rPr>
          <w:b w:val="0"/>
        </w:rPr>
      </w:r>
      <w:bookmarkStart w:name="Overview" w:id="131"/>
      <w:bookmarkEnd w:id="131"/>
      <w:r>
        <w:rPr>
          <w:b w:val="0"/>
        </w:rPr>
      </w:r>
      <w:bookmarkStart w:name="Improving representativeness is a key pu" w:id="132"/>
      <w:bookmarkEnd w:id="132"/>
      <w:r>
        <w:rPr>
          <w:b w:val="0"/>
        </w:rPr>
      </w:r>
      <w:bookmarkStart w:name="_bookmark51" w:id="133"/>
      <w:bookmarkEnd w:id="133"/>
      <w:r>
        <w:rPr>
          <w:b w:val="0"/>
        </w:rPr>
      </w:r>
      <w:bookmarkStart w:name="_bookmark51" w:id="134"/>
      <w:bookmarkEnd w:id="134"/>
      <w:r>
        <w:rPr>
          <w:b/>
          <w:color w:val="37617A"/>
          <w:spacing w:val="-4"/>
        </w:rPr>
        <w:t>T</w:t>
      </w:r>
      <w:r>
        <w:rPr>
          <w:b/>
          <w:color w:val="37617A"/>
          <w:spacing w:val="-4"/>
        </w:rPr>
        <w:t>he </w:t>
      </w:r>
      <w:r>
        <w:rPr>
          <w:b/>
          <w:color w:val="37617A"/>
          <w:spacing w:val="-3"/>
        </w:rPr>
        <w:t>importance </w:t>
      </w:r>
      <w:r>
        <w:rPr>
          <w:b/>
          <w:color w:val="37617A"/>
          <w:spacing w:val="-12"/>
        </w:rPr>
        <w:t>of </w:t>
      </w:r>
      <w:r>
        <w:rPr>
          <w:b/>
          <w:color w:val="37617A"/>
          <w:spacing w:val="-6"/>
        </w:rPr>
        <w:t>representative</w:t>
      </w:r>
      <w:r>
        <w:rPr>
          <w:b/>
          <w:color w:val="37617A"/>
          <w:spacing w:val="9"/>
        </w:rPr>
        <w:t> </w:t>
      </w:r>
      <w:r>
        <w:rPr>
          <w:b/>
          <w:color w:val="37617A"/>
          <w:spacing w:val="-4"/>
        </w:rPr>
        <w:t>juries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3"/>
        <w:rPr>
          <w:rFonts w:ascii="Raleway ExtraBold"/>
          <w:b/>
          <w:sz w:val="14"/>
        </w:rPr>
      </w:pPr>
      <w:r>
        <w:rPr/>
        <w:pict>
          <v:line style="position:absolute;mso-position-horizontal-relative:page;mso-position-vertical-relative:paragraph;z-index:3896;mso-wrap-distance-left:0;mso-wrap-distance-right:0" from="79.370102pt,12.58884pt" to="515.905102pt,12.58884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1767" w:right="2005" w:firstLine="0"/>
        <w:jc w:val="center"/>
        <w:rPr>
          <w:rFonts w:ascii="Trebuchet MS" w:hAnsi="Trebuchet MS"/>
          <w:sz w:val="19"/>
        </w:rPr>
      </w:pPr>
      <w:r>
        <w:rPr>
          <w:rFonts w:ascii="Trebuchet MS" w:hAnsi="Trebuchet MS"/>
          <w:i/>
          <w:color w:val="37617A"/>
          <w:spacing w:val="-1"/>
          <w:w w:val="108"/>
          <w:sz w:val="20"/>
        </w:rPr>
        <w:t>R</w:t>
      </w:r>
      <w:r>
        <w:rPr>
          <w:rFonts w:ascii="Trebuchet MS" w:hAnsi="Trebuchet MS"/>
          <w:i/>
          <w:color w:val="37617A"/>
          <w:spacing w:val="-1"/>
          <w:w w:val="100"/>
          <w:sz w:val="20"/>
        </w:rPr>
        <w:t>e</w:t>
      </w:r>
      <w:r>
        <w:rPr>
          <w:rFonts w:ascii="Trebuchet MS" w:hAnsi="Trebuchet MS"/>
          <w:i/>
          <w:color w:val="37617A"/>
          <w:spacing w:val="-5"/>
          <w:w w:val="83"/>
          <w:sz w:val="20"/>
        </w:rPr>
        <w:t>f</w:t>
      </w:r>
      <w:r>
        <w:rPr>
          <w:rFonts w:ascii="Trebuchet MS" w:hAnsi="Trebuchet MS"/>
          <w:i/>
          <w:color w:val="37617A"/>
          <w:w w:val="107"/>
          <w:sz w:val="20"/>
        </w:rPr>
        <w:t>o</w:t>
      </w:r>
      <w:r>
        <w:rPr>
          <w:rFonts w:ascii="Trebuchet MS" w:hAnsi="Trebuchet MS"/>
          <w:i/>
          <w:color w:val="37617A"/>
          <w:spacing w:val="-2"/>
          <w:w w:val="84"/>
          <w:sz w:val="20"/>
        </w:rPr>
        <w:t>r</w:t>
      </w:r>
      <w:r>
        <w:rPr>
          <w:rFonts w:ascii="Trebuchet MS" w:hAnsi="Trebuchet MS"/>
          <w:i/>
          <w:color w:val="37617A"/>
          <w:w w:val="106"/>
          <w:sz w:val="20"/>
        </w:rPr>
        <w:t>m</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spacing w:val="-1"/>
          <w:w w:val="73"/>
          <w:sz w:val="20"/>
        </w:rPr>
        <w:t>i</w:t>
      </w:r>
      <w:r>
        <w:rPr>
          <w:rFonts w:ascii="Trebuchet MS" w:hAnsi="Trebuchet MS"/>
          <w:i/>
          <w:color w:val="37617A"/>
          <w:spacing w:val="-2"/>
          <w:w w:val="87"/>
          <w:sz w:val="20"/>
        </w:rPr>
        <w:t>l</w:t>
      </w:r>
      <w:r>
        <w:rPr>
          <w:rFonts w:ascii="Trebuchet MS" w:hAnsi="Trebuchet MS"/>
          <w:i/>
          <w:color w:val="37617A"/>
          <w:w w:val="87"/>
          <w:sz w:val="20"/>
        </w:rPr>
        <w:t>l</w:t>
      </w:r>
      <w:r>
        <w:rPr>
          <w:rFonts w:ascii="Trebuchet MS" w:hAnsi="Trebuchet MS"/>
          <w:i/>
          <w:color w:val="37617A"/>
          <w:spacing w:val="-13"/>
          <w:sz w:val="20"/>
        </w:rPr>
        <w:t> </w:t>
      </w:r>
      <w:r>
        <w:rPr>
          <w:rFonts w:ascii="Trebuchet MS" w:hAnsi="Trebuchet MS"/>
          <w:i/>
          <w:color w:val="37617A"/>
          <w:w w:val="106"/>
          <w:sz w:val="20"/>
        </w:rPr>
        <w:t>m</w:t>
      </w:r>
      <w:r>
        <w:rPr>
          <w:rFonts w:ascii="Trebuchet MS" w:hAnsi="Trebuchet MS"/>
          <w:i/>
          <w:color w:val="37617A"/>
          <w:w w:val="115"/>
          <w:sz w:val="20"/>
        </w:rPr>
        <w:t>a</w:t>
      </w:r>
      <w:r>
        <w:rPr>
          <w:rFonts w:ascii="Trebuchet MS" w:hAnsi="Trebuchet MS"/>
          <w:i/>
          <w:color w:val="37617A"/>
          <w:spacing w:val="-1"/>
          <w:w w:val="103"/>
          <w:sz w:val="20"/>
        </w:rPr>
        <w:t>k</w:t>
      </w:r>
      <w:r>
        <w:rPr>
          <w:rFonts w:ascii="Trebuchet MS" w:hAnsi="Trebuchet MS"/>
          <w:i/>
          <w:color w:val="37617A"/>
          <w:w w:val="103"/>
          <w:sz w:val="20"/>
        </w:rPr>
        <w:t>e</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spacing w:val="-2"/>
          <w:w w:val="117"/>
          <w:sz w:val="20"/>
        </w:rPr>
        <w:t>s</w:t>
      </w:r>
      <w:r>
        <w:rPr>
          <w:rFonts w:ascii="Trebuchet MS" w:hAnsi="Trebuchet MS"/>
          <w:i/>
          <w:color w:val="37617A"/>
          <w:w w:val="107"/>
          <w:sz w:val="20"/>
        </w:rPr>
        <w:t>o</w:t>
      </w:r>
      <w:r>
        <w:rPr>
          <w:rFonts w:ascii="Trebuchet MS" w:hAnsi="Trebuchet MS"/>
          <w:i/>
          <w:color w:val="37617A"/>
          <w:w w:val="115"/>
          <w:sz w:val="20"/>
        </w:rPr>
        <w:t>c</w:t>
      </w:r>
      <w:r>
        <w:rPr>
          <w:rFonts w:ascii="Trebuchet MS" w:hAnsi="Trebuchet MS"/>
          <w:i/>
          <w:color w:val="37617A"/>
          <w:w w:val="73"/>
          <w:sz w:val="20"/>
        </w:rPr>
        <w:t>i</w:t>
      </w:r>
      <w:r>
        <w:rPr>
          <w:rFonts w:ascii="Trebuchet MS" w:hAnsi="Trebuchet MS"/>
          <w:i/>
          <w:color w:val="37617A"/>
          <w:spacing w:val="-1"/>
          <w:w w:val="100"/>
          <w:sz w:val="20"/>
        </w:rPr>
        <w:t>e</w:t>
      </w:r>
      <w:r>
        <w:rPr>
          <w:rFonts w:ascii="Trebuchet MS" w:hAnsi="Trebuchet MS"/>
          <w:i/>
          <w:color w:val="37617A"/>
          <w:spacing w:val="1"/>
          <w:w w:val="80"/>
          <w:sz w:val="20"/>
        </w:rPr>
        <w:t>t</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w w:val="106"/>
          <w:sz w:val="20"/>
        </w:rPr>
        <w:t>m</w:t>
      </w:r>
      <w:r>
        <w:rPr>
          <w:rFonts w:ascii="Trebuchet MS" w:hAnsi="Trebuchet MS"/>
          <w:i/>
          <w:color w:val="37617A"/>
          <w:w w:val="107"/>
          <w:sz w:val="20"/>
        </w:rPr>
        <w:t>o</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spacing w:val="-1"/>
          <w:w w:val="115"/>
          <w:sz w:val="20"/>
        </w:rPr>
        <w:t>c</w:t>
      </w:r>
      <w:r>
        <w:rPr>
          <w:rFonts w:ascii="Trebuchet MS" w:hAnsi="Trebuchet MS"/>
          <w:i/>
          <w:color w:val="37617A"/>
          <w:spacing w:val="-3"/>
          <w:w w:val="87"/>
          <w:sz w:val="20"/>
        </w:rPr>
        <w:t>l</w:t>
      </w:r>
      <w:r>
        <w:rPr>
          <w:rFonts w:ascii="Trebuchet MS" w:hAnsi="Trebuchet MS"/>
          <w:i/>
          <w:color w:val="37617A"/>
          <w:w w:val="103"/>
          <w:sz w:val="20"/>
        </w:rPr>
        <w:t>u</w:t>
      </w:r>
      <w:r>
        <w:rPr>
          <w:rFonts w:ascii="Trebuchet MS" w:hAnsi="Trebuchet MS"/>
          <w:i/>
          <w:color w:val="37617A"/>
          <w:spacing w:val="-1"/>
          <w:w w:val="117"/>
          <w:sz w:val="20"/>
        </w:rPr>
        <w:t>s</w:t>
      </w:r>
      <w:r>
        <w:rPr>
          <w:rFonts w:ascii="Trebuchet MS" w:hAnsi="Trebuchet MS"/>
          <w:i/>
          <w:color w:val="37617A"/>
          <w:spacing w:val="-2"/>
          <w:w w:val="73"/>
          <w:sz w:val="20"/>
        </w:rPr>
        <w:t>i</w:t>
      </w:r>
      <w:r>
        <w:rPr>
          <w:rFonts w:ascii="Trebuchet MS" w:hAnsi="Trebuchet MS"/>
          <w:i/>
          <w:color w:val="37617A"/>
          <w:spacing w:val="-3"/>
          <w:w w:val="103"/>
          <w:sz w:val="20"/>
        </w:rPr>
        <w:t>v</w:t>
      </w:r>
      <w:r>
        <w:rPr>
          <w:rFonts w:ascii="Trebuchet MS" w:hAnsi="Trebuchet MS"/>
          <w:i/>
          <w:color w:val="37617A"/>
          <w:spacing w:val="1"/>
          <w:w w:val="100"/>
          <w:sz w:val="20"/>
        </w:rPr>
        <w:t>e</w:t>
      </w:r>
      <w:r>
        <w:rPr>
          <w:rFonts w:ascii="Trebuchet MS" w:hAnsi="Trebuchet MS"/>
          <w:i/>
          <w:color w:val="37617A"/>
          <w:w w:val="54"/>
          <w:sz w:val="20"/>
        </w:rPr>
        <w:t>.</w:t>
      </w:r>
      <w:r>
        <w:rPr>
          <w:rFonts w:ascii="Trebuchet MS" w:hAnsi="Trebuchet MS"/>
          <w:i/>
          <w:color w:val="37617A"/>
          <w:spacing w:val="-13"/>
          <w:sz w:val="20"/>
        </w:rPr>
        <w:t> </w:t>
      </w:r>
      <w:r>
        <w:rPr>
          <w:rFonts w:ascii="Trebuchet MS" w:hAnsi="Trebuchet MS"/>
          <w:i/>
          <w:color w:val="37617A"/>
          <w:spacing w:val="-1"/>
          <w:w w:val="92"/>
          <w:sz w:val="20"/>
        </w:rPr>
        <w:t>I</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w w:val="100"/>
          <w:sz w:val="20"/>
        </w:rPr>
        <w:t>e</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spacing w:val="-1"/>
          <w:w w:val="115"/>
          <w:sz w:val="20"/>
        </w:rPr>
        <w:t>c</w:t>
      </w:r>
      <w:r>
        <w:rPr>
          <w:rFonts w:ascii="Trebuchet MS" w:hAnsi="Trebuchet MS"/>
          <w:i/>
          <w:color w:val="37617A"/>
          <w:spacing w:val="-3"/>
          <w:w w:val="87"/>
          <w:sz w:val="20"/>
        </w:rPr>
        <w:t>l</w:t>
      </w:r>
      <w:r>
        <w:rPr>
          <w:rFonts w:ascii="Trebuchet MS" w:hAnsi="Trebuchet MS"/>
          <w:i/>
          <w:color w:val="37617A"/>
          <w:spacing w:val="-1"/>
          <w:w w:val="103"/>
          <w:sz w:val="20"/>
        </w:rPr>
        <w:t>u</w:t>
      </w:r>
      <w:r>
        <w:rPr>
          <w:rFonts w:ascii="Trebuchet MS" w:hAnsi="Trebuchet MS"/>
          <w:i/>
          <w:color w:val="37617A"/>
          <w:spacing w:val="-1"/>
          <w:w w:val="108"/>
          <w:sz w:val="20"/>
        </w:rPr>
        <w:t>d</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73"/>
          <w:sz w:val="20"/>
        </w:rPr>
        <w:t>i</w:t>
      </w:r>
      <w:r>
        <w:rPr>
          <w:rFonts w:ascii="Trebuchet MS" w:hAnsi="Trebuchet MS"/>
          <w:i/>
          <w:color w:val="37617A"/>
          <w:spacing w:val="-1"/>
          <w:w w:val="108"/>
          <w:sz w:val="20"/>
        </w:rPr>
        <w:t>d</w:t>
      </w:r>
      <w:r>
        <w:rPr>
          <w:rFonts w:ascii="Trebuchet MS" w:hAnsi="Trebuchet MS"/>
          <w:i/>
          <w:color w:val="37617A"/>
          <w:spacing w:val="1"/>
          <w:w w:val="100"/>
          <w:sz w:val="20"/>
        </w:rPr>
        <w:t>e</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spacing w:val="-3"/>
          <w:w w:val="84"/>
          <w:sz w:val="20"/>
        </w:rPr>
        <w:t>r</w:t>
      </w:r>
      <w:r>
        <w:rPr>
          <w:rFonts w:ascii="Trebuchet MS" w:hAnsi="Trebuchet MS"/>
          <w:i/>
          <w:color w:val="37617A"/>
          <w:w w:val="115"/>
          <w:sz w:val="20"/>
        </w:rPr>
        <w:t>a</w:t>
      </w:r>
      <w:r>
        <w:rPr>
          <w:rFonts w:ascii="Trebuchet MS" w:hAnsi="Trebuchet MS"/>
          <w:i/>
          <w:color w:val="37617A"/>
          <w:spacing w:val="-1"/>
          <w:w w:val="103"/>
          <w:sz w:val="20"/>
        </w:rPr>
        <w:t>n</w:t>
      </w:r>
      <w:r>
        <w:rPr>
          <w:rFonts w:ascii="Trebuchet MS" w:hAnsi="Trebuchet MS"/>
          <w:i/>
          <w:color w:val="37617A"/>
          <w:spacing w:val="-1"/>
          <w:w w:val="119"/>
          <w:sz w:val="20"/>
        </w:rPr>
        <w:t>g</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w w:val="83"/>
          <w:sz w:val="20"/>
        </w:rPr>
        <w:t> </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spacing w:val="2"/>
          <w:w w:val="100"/>
          <w:sz w:val="20"/>
        </w:rPr>
        <w:t>e</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73"/>
          <w:sz w:val="20"/>
        </w:rPr>
        <w:t>i</w:t>
      </w:r>
      <w:r>
        <w:rPr>
          <w:rFonts w:ascii="Trebuchet MS" w:hAnsi="Trebuchet MS"/>
          <w:i/>
          <w:color w:val="37617A"/>
          <w:spacing w:val="-1"/>
          <w:w w:val="108"/>
          <w:sz w:val="20"/>
        </w:rPr>
        <w:t>d</w:t>
      </w:r>
      <w:r>
        <w:rPr>
          <w:rFonts w:ascii="Trebuchet MS" w:hAnsi="Trebuchet MS"/>
          <w:i/>
          <w:color w:val="37617A"/>
          <w:spacing w:val="1"/>
          <w:w w:val="100"/>
          <w:sz w:val="20"/>
        </w:rPr>
        <w:t>e</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spacing w:val="-3"/>
          <w:w w:val="84"/>
          <w:sz w:val="20"/>
        </w:rPr>
        <w:t>r</w:t>
      </w:r>
      <w:r>
        <w:rPr>
          <w:rFonts w:ascii="Trebuchet MS" w:hAnsi="Trebuchet MS"/>
          <w:i/>
          <w:color w:val="37617A"/>
          <w:w w:val="115"/>
          <w:sz w:val="20"/>
        </w:rPr>
        <w:t>a</w:t>
      </w:r>
      <w:r>
        <w:rPr>
          <w:rFonts w:ascii="Trebuchet MS" w:hAnsi="Trebuchet MS"/>
          <w:i/>
          <w:color w:val="37617A"/>
          <w:spacing w:val="-1"/>
          <w:w w:val="103"/>
          <w:sz w:val="20"/>
        </w:rPr>
        <w:t>n</w:t>
      </w:r>
      <w:r>
        <w:rPr>
          <w:rFonts w:ascii="Trebuchet MS" w:hAnsi="Trebuchet MS"/>
          <w:i/>
          <w:color w:val="37617A"/>
          <w:spacing w:val="-1"/>
          <w:w w:val="119"/>
          <w:sz w:val="20"/>
        </w:rPr>
        <w:t>g</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spacing w:val="-3"/>
          <w:w w:val="103"/>
          <w:sz w:val="20"/>
        </w:rPr>
        <w:t>v</w:t>
      </w:r>
      <w:r>
        <w:rPr>
          <w:rFonts w:ascii="Trebuchet MS" w:hAnsi="Trebuchet MS"/>
          <w:i/>
          <w:color w:val="37617A"/>
          <w:w w:val="73"/>
          <w:sz w:val="20"/>
        </w:rPr>
        <w:t>i</w:t>
      </w:r>
      <w:r>
        <w:rPr>
          <w:rFonts w:ascii="Trebuchet MS" w:hAnsi="Trebuchet MS"/>
          <w:i/>
          <w:color w:val="37617A"/>
          <w:spacing w:val="-3"/>
          <w:w w:val="100"/>
          <w:sz w:val="20"/>
        </w:rPr>
        <w:t>e</w:t>
      </w:r>
      <w:r>
        <w:rPr>
          <w:rFonts w:ascii="Trebuchet MS" w:hAnsi="Trebuchet MS"/>
          <w:i/>
          <w:color w:val="37617A"/>
          <w:spacing w:val="-3"/>
          <w:w w:val="103"/>
          <w:sz w:val="20"/>
        </w:rPr>
        <w:t>w</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spacing w:val="-1"/>
          <w:w w:val="73"/>
          <w:sz w:val="20"/>
        </w:rPr>
        <w:t>i</w:t>
      </w:r>
      <w:r>
        <w:rPr>
          <w:rFonts w:ascii="Trebuchet MS" w:hAnsi="Trebuchet MS"/>
          <w:i/>
          <w:color w:val="37617A"/>
          <w:spacing w:val="-2"/>
          <w:w w:val="87"/>
          <w:sz w:val="20"/>
        </w:rPr>
        <w:t>l</w:t>
      </w:r>
      <w:r>
        <w:rPr>
          <w:rFonts w:ascii="Trebuchet MS" w:hAnsi="Trebuchet MS"/>
          <w:i/>
          <w:color w:val="37617A"/>
          <w:w w:val="87"/>
          <w:sz w:val="20"/>
        </w:rPr>
        <w:t>l</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07"/>
          <w:sz w:val="20"/>
        </w:rPr>
        <w:t>o</w:t>
      </w:r>
      <w:r>
        <w:rPr>
          <w:rFonts w:ascii="Trebuchet MS" w:hAnsi="Trebuchet MS"/>
          <w:i/>
          <w:color w:val="37617A"/>
          <w:w w:val="72"/>
          <w:sz w:val="20"/>
        </w:rPr>
        <w:t>f</w:t>
      </w:r>
      <w:r>
        <w:rPr>
          <w:rFonts w:ascii="Trebuchet MS" w:hAnsi="Trebuchet MS"/>
          <w:i/>
          <w:color w:val="37617A"/>
          <w:spacing w:val="-3"/>
          <w:w w:val="72"/>
          <w:sz w:val="20"/>
        </w:rPr>
        <w:t>f</w:t>
      </w:r>
      <w:r>
        <w:rPr>
          <w:rFonts w:ascii="Trebuchet MS" w:hAnsi="Trebuchet MS"/>
          <w:i/>
          <w:color w:val="37617A"/>
          <w:spacing w:val="1"/>
          <w:w w:val="100"/>
          <w:sz w:val="20"/>
        </w:rPr>
        <w:t>e</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08"/>
          <w:sz w:val="20"/>
        </w:rPr>
        <w:t>d</w:t>
      </w:r>
      <w:r>
        <w:rPr>
          <w:rFonts w:ascii="Trebuchet MS" w:hAnsi="Trebuchet MS"/>
          <w:i/>
          <w:color w:val="37617A"/>
          <w:w w:val="100"/>
          <w:sz w:val="20"/>
        </w:rPr>
        <w:t>e</w:t>
      </w:r>
      <w:r>
        <w:rPr>
          <w:rFonts w:ascii="Trebuchet MS" w:hAnsi="Trebuchet MS"/>
          <w:i/>
          <w:color w:val="37617A"/>
          <w:spacing w:val="-1"/>
          <w:w w:val="87"/>
          <w:sz w:val="20"/>
        </w:rPr>
        <w:t>l</w:t>
      </w:r>
      <w:r>
        <w:rPr>
          <w:rFonts w:ascii="Trebuchet MS" w:hAnsi="Trebuchet MS"/>
          <w:i/>
          <w:color w:val="37617A"/>
          <w:w w:val="73"/>
          <w:sz w:val="20"/>
        </w:rPr>
        <w:t>i</w:t>
      </w:r>
      <w:r>
        <w:rPr>
          <w:rFonts w:ascii="Trebuchet MS" w:hAnsi="Trebuchet MS"/>
          <w:i/>
          <w:color w:val="37617A"/>
          <w:w w:val="107"/>
          <w:sz w:val="20"/>
        </w:rPr>
        <w:t>b</w:t>
      </w:r>
      <w:r>
        <w:rPr>
          <w:rFonts w:ascii="Trebuchet MS" w:hAnsi="Trebuchet MS"/>
          <w:i/>
          <w:color w:val="37617A"/>
          <w:spacing w:val="1"/>
          <w:w w:val="100"/>
          <w:sz w:val="20"/>
        </w:rPr>
        <w:t>e</w:t>
      </w:r>
      <w:r>
        <w:rPr>
          <w:rFonts w:ascii="Trebuchet MS" w:hAnsi="Trebuchet MS"/>
          <w:i/>
          <w:color w:val="37617A"/>
          <w:spacing w:val="-3"/>
          <w:w w:val="84"/>
          <w:sz w:val="20"/>
        </w:rPr>
        <w:t>r</w:t>
      </w:r>
      <w:r>
        <w:rPr>
          <w:rFonts w:ascii="Trebuchet MS" w:hAnsi="Trebuchet MS"/>
          <w:i/>
          <w:color w:val="37617A"/>
          <w:spacing w:val="-1"/>
          <w:w w:val="99"/>
          <w:sz w:val="20"/>
        </w:rPr>
        <w:t>at</w:t>
      </w:r>
      <w:r>
        <w:rPr>
          <w:rFonts w:ascii="Trebuchet MS" w:hAnsi="Trebuchet MS"/>
          <w:i/>
          <w:color w:val="37617A"/>
          <w:w w:val="73"/>
          <w:sz w:val="20"/>
        </w:rPr>
        <w:t>i</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spacing w:val="-4"/>
          <w:w w:val="84"/>
          <w:sz w:val="20"/>
        </w:rPr>
        <w:t>r</w:t>
      </w:r>
      <w:r>
        <w:rPr>
          <w:rFonts w:ascii="Trebuchet MS" w:hAnsi="Trebuchet MS"/>
          <w:i/>
          <w:color w:val="37617A"/>
          <w:w w:val="107"/>
          <w:sz w:val="20"/>
        </w:rPr>
        <w:t>o</w:t>
      </w:r>
      <w:r>
        <w:rPr>
          <w:rFonts w:ascii="Trebuchet MS" w:hAnsi="Trebuchet MS"/>
          <w:i/>
          <w:color w:val="37617A"/>
          <w:spacing w:val="-1"/>
          <w:w w:val="115"/>
          <w:sz w:val="20"/>
        </w:rPr>
        <w:t>c</w:t>
      </w:r>
      <w:r>
        <w:rPr>
          <w:rFonts w:ascii="Trebuchet MS" w:hAnsi="Trebuchet MS"/>
          <w:i/>
          <w:color w:val="37617A"/>
          <w:w w:val="100"/>
          <w:sz w:val="20"/>
        </w:rPr>
        <w:t>e</w:t>
      </w:r>
      <w:r>
        <w:rPr>
          <w:rFonts w:ascii="Trebuchet MS" w:hAnsi="Trebuchet MS"/>
          <w:i/>
          <w:color w:val="37617A"/>
          <w:w w:val="117"/>
          <w:sz w:val="20"/>
        </w:rPr>
        <w:t>s</w:t>
      </w:r>
      <w:r>
        <w:rPr>
          <w:rFonts w:ascii="Trebuchet MS" w:hAnsi="Trebuchet MS"/>
          <w:i/>
          <w:color w:val="37617A"/>
          <w:spacing w:val="3"/>
          <w:w w:val="117"/>
          <w:sz w:val="20"/>
        </w:rPr>
        <w:t>s</w:t>
      </w:r>
      <w:r>
        <w:rPr>
          <w:rFonts w:ascii="Trebuchet MS" w:hAnsi="Trebuchet MS"/>
          <w:i/>
          <w:color w:val="37617A"/>
          <w:w w:val="54"/>
          <w:sz w:val="20"/>
        </w:rPr>
        <w:t>. </w:t>
      </w:r>
      <w:r>
        <w:rPr>
          <w:rFonts w:ascii="Trebuchet MS" w:hAnsi="Trebuchet MS"/>
          <w:i/>
          <w:color w:val="37617A"/>
          <w:w w:val="106"/>
          <w:sz w:val="20"/>
        </w:rPr>
        <w:t> </w:t>
      </w:r>
      <w:r>
        <w:rPr>
          <w:rFonts w:ascii="Trebuchet MS" w:hAnsi="Trebuchet MS"/>
          <w:i/>
          <w:color w:val="37617A"/>
          <w:sz w:val="20"/>
        </w:rPr>
        <w:t>A</w:t>
      </w:r>
      <w:r>
        <w:rPr>
          <w:rFonts w:ascii="Trebuchet MS" w:hAnsi="Trebuchet MS"/>
          <w:i/>
          <w:color w:val="37617A"/>
          <w:spacing w:val="-14"/>
          <w:sz w:val="20"/>
        </w:rPr>
        <w:t> </w:t>
      </w:r>
      <w:r>
        <w:rPr>
          <w:rFonts w:ascii="Trebuchet MS" w:hAnsi="Trebuchet MS"/>
          <w:i/>
          <w:color w:val="37617A"/>
          <w:sz w:val="20"/>
        </w:rPr>
        <w:t>broader</w:t>
      </w:r>
      <w:r>
        <w:rPr>
          <w:rFonts w:ascii="Trebuchet MS" w:hAnsi="Trebuchet MS"/>
          <w:i/>
          <w:color w:val="37617A"/>
          <w:spacing w:val="-13"/>
          <w:sz w:val="20"/>
        </w:rPr>
        <w:t> </w:t>
      </w:r>
      <w:r>
        <w:rPr>
          <w:rFonts w:ascii="Trebuchet MS" w:hAnsi="Trebuchet MS"/>
          <w:i/>
          <w:color w:val="37617A"/>
          <w:sz w:val="20"/>
        </w:rPr>
        <w:t>cross-section</w:t>
      </w:r>
      <w:r>
        <w:rPr>
          <w:rFonts w:ascii="Trebuchet MS" w:hAnsi="Trebuchet MS"/>
          <w:i/>
          <w:color w:val="37617A"/>
          <w:spacing w:val="-14"/>
          <w:sz w:val="20"/>
        </w:rPr>
        <w:t> </w:t>
      </w:r>
      <w:r>
        <w:rPr>
          <w:rFonts w:ascii="Trebuchet MS" w:hAnsi="Trebuchet MS"/>
          <w:i/>
          <w:color w:val="37617A"/>
          <w:sz w:val="20"/>
        </w:rPr>
        <w:t>of</w:t>
      </w:r>
      <w:r>
        <w:rPr>
          <w:rFonts w:ascii="Trebuchet MS" w:hAnsi="Trebuchet MS"/>
          <w:i/>
          <w:color w:val="37617A"/>
          <w:spacing w:val="-13"/>
          <w:sz w:val="20"/>
        </w:rPr>
        <w:t> </w:t>
      </w:r>
      <w:r>
        <w:rPr>
          <w:rFonts w:ascii="Trebuchet MS" w:hAnsi="Trebuchet MS"/>
          <w:i/>
          <w:color w:val="37617A"/>
          <w:sz w:val="20"/>
        </w:rPr>
        <w:t>people</w:t>
      </w:r>
      <w:r>
        <w:rPr>
          <w:rFonts w:ascii="Trebuchet MS" w:hAnsi="Trebuchet MS"/>
          <w:i/>
          <w:color w:val="37617A"/>
          <w:spacing w:val="-14"/>
          <w:sz w:val="20"/>
        </w:rPr>
        <w:t> </w:t>
      </w:r>
      <w:r>
        <w:rPr>
          <w:rFonts w:ascii="Trebuchet MS" w:hAnsi="Trebuchet MS"/>
          <w:i/>
          <w:color w:val="37617A"/>
          <w:sz w:val="20"/>
        </w:rPr>
        <w:t>will</w:t>
      </w:r>
      <w:r>
        <w:rPr>
          <w:rFonts w:ascii="Trebuchet MS" w:hAnsi="Trebuchet MS"/>
          <w:i/>
          <w:color w:val="37617A"/>
          <w:spacing w:val="-13"/>
          <w:sz w:val="20"/>
        </w:rPr>
        <w:t> </w:t>
      </w:r>
      <w:r>
        <w:rPr>
          <w:rFonts w:ascii="Trebuchet MS" w:hAnsi="Trebuchet MS"/>
          <w:i/>
          <w:color w:val="37617A"/>
          <w:sz w:val="20"/>
        </w:rPr>
        <w:t>provide</w:t>
      </w:r>
      <w:r>
        <w:rPr>
          <w:rFonts w:ascii="Trebuchet MS" w:hAnsi="Trebuchet MS"/>
          <w:i/>
          <w:color w:val="37617A"/>
          <w:spacing w:val="-14"/>
          <w:sz w:val="20"/>
        </w:rPr>
        <w:t> </w:t>
      </w:r>
      <w:r>
        <w:rPr>
          <w:rFonts w:ascii="Trebuchet MS" w:hAnsi="Trebuchet MS"/>
          <w:i/>
          <w:color w:val="37617A"/>
          <w:sz w:val="20"/>
        </w:rPr>
        <w:t>a</w:t>
      </w:r>
      <w:r>
        <w:rPr>
          <w:rFonts w:ascii="Trebuchet MS" w:hAnsi="Trebuchet MS"/>
          <w:i/>
          <w:color w:val="37617A"/>
          <w:spacing w:val="-13"/>
          <w:sz w:val="20"/>
        </w:rPr>
        <w:t> </w:t>
      </w:r>
      <w:r>
        <w:rPr>
          <w:rFonts w:ascii="Trebuchet MS" w:hAnsi="Trebuchet MS"/>
          <w:i/>
          <w:color w:val="37617A"/>
          <w:sz w:val="20"/>
        </w:rPr>
        <w:t>more</w:t>
      </w:r>
      <w:r>
        <w:rPr>
          <w:rFonts w:ascii="Trebuchet MS" w:hAnsi="Trebuchet MS"/>
          <w:i/>
          <w:color w:val="37617A"/>
          <w:spacing w:val="-14"/>
          <w:sz w:val="20"/>
        </w:rPr>
        <w:t> </w:t>
      </w:r>
      <w:r>
        <w:rPr>
          <w:rFonts w:ascii="Trebuchet MS" w:hAnsi="Trebuchet MS"/>
          <w:i/>
          <w:color w:val="37617A"/>
          <w:sz w:val="20"/>
        </w:rPr>
        <w:t>accurate</w:t>
      </w:r>
      <w:r>
        <w:rPr>
          <w:rFonts w:ascii="Trebuchet MS" w:hAnsi="Trebuchet MS"/>
          <w:i/>
          <w:color w:val="37617A"/>
          <w:spacing w:val="-13"/>
          <w:sz w:val="20"/>
        </w:rPr>
        <w:t> </w:t>
      </w:r>
      <w:r>
        <w:rPr>
          <w:rFonts w:ascii="Trebuchet MS" w:hAnsi="Trebuchet MS"/>
          <w:i/>
          <w:color w:val="37617A"/>
          <w:sz w:val="20"/>
        </w:rPr>
        <w:t>reflection</w:t>
      </w:r>
      <w:r>
        <w:rPr>
          <w:rFonts w:ascii="Trebuchet MS" w:hAnsi="Trebuchet MS"/>
          <w:i/>
          <w:color w:val="37617A"/>
          <w:spacing w:val="-14"/>
          <w:sz w:val="20"/>
        </w:rPr>
        <w:t> </w:t>
      </w:r>
      <w:r>
        <w:rPr>
          <w:rFonts w:ascii="Trebuchet MS" w:hAnsi="Trebuchet MS"/>
          <w:i/>
          <w:color w:val="37617A"/>
          <w:sz w:val="20"/>
        </w:rPr>
        <w:t>of</w:t>
      </w:r>
      <w:r>
        <w:rPr>
          <w:rFonts w:ascii="Trebuchet MS" w:hAnsi="Trebuchet MS"/>
          <w:i/>
          <w:color w:val="37617A"/>
          <w:spacing w:val="-13"/>
          <w:sz w:val="20"/>
        </w:rPr>
        <w:t> </w:t>
      </w:r>
      <w:r>
        <w:rPr>
          <w:rFonts w:ascii="Trebuchet MS" w:hAnsi="Trebuchet MS"/>
          <w:i/>
          <w:color w:val="37617A"/>
          <w:sz w:val="20"/>
        </w:rPr>
        <w:t>the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6"/>
          <w:sz w:val="20"/>
        </w:rPr>
        <w:t>m</w:t>
      </w:r>
      <w:r>
        <w:rPr>
          <w:rFonts w:ascii="Trebuchet MS" w:hAnsi="Trebuchet MS"/>
          <w:i/>
          <w:color w:val="37617A"/>
          <w:spacing w:val="-1"/>
          <w:w w:val="106"/>
          <w:sz w:val="20"/>
        </w:rPr>
        <w:t>m</w:t>
      </w:r>
      <w:r>
        <w:rPr>
          <w:rFonts w:ascii="Trebuchet MS" w:hAnsi="Trebuchet MS"/>
          <w:i/>
          <w:color w:val="37617A"/>
          <w:w w:val="103"/>
          <w:sz w:val="20"/>
        </w:rPr>
        <w:t>u</w:t>
      </w:r>
      <w:r>
        <w:rPr>
          <w:rFonts w:ascii="Trebuchet MS" w:hAnsi="Trebuchet MS"/>
          <w:i/>
          <w:color w:val="37617A"/>
          <w:w w:val="92"/>
          <w:sz w:val="20"/>
        </w:rPr>
        <w:t>n</w:t>
      </w:r>
      <w:r>
        <w:rPr>
          <w:rFonts w:ascii="Trebuchet MS" w:hAnsi="Trebuchet MS"/>
          <w:i/>
          <w:color w:val="37617A"/>
          <w:spacing w:val="-1"/>
          <w:w w:val="92"/>
          <w:sz w:val="20"/>
        </w:rPr>
        <w:t>i</w:t>
      </w:r>
      <w:r>
        <w:rPr>
          <w:rFonts w:ascii="Trebuchet MS" w:hAnsi="Trebuchet MS"/>
          <w:i/>
          <w:color w:val="37617A"/>
          <w:spacing w:val="1"/>
          <w:w w:val="80"/>
          <w:sz w:val="20"/>
        </w:rPr>
        <w:t>t</w:t>
      </w:r>
      <w:r>
        <w:rPr>
          <w:rFonts w:ascii="Trebuchet MS" w:hAnsi="Trebuchet MS"/>
          <w:i/>
          <w:color w:val="37617A"/>
          <w:spacing w:val="-8"/>
          <w:w w:val="101"/>
          <w:sz w:val="20"/>
        </w:rPr>
        <w:t>y</w:t>
      </w:r>
      <w:r>
        <w:rPr>
          <w:rFonts w:ascii="Trebuchet MS" w:hAnsi="Trebuchet MS"/>
          <w:i/>
          <w:color w:val="37617A"/>
          <w:w w:val="54"/>
          <w:sz w:val="20"/>
        </w:rPr>
        <w:t>.</w:t>
      </w:r>
      <w:r>
        <w:rPr>
          <w:rFonts w:ascii="Trebuchet MS" w:hAnsi="Trebuchet MS"/>
          <w:i/>
          <w:color w:val="37617A"/>
          <w:w w:val="87"/>
          <w:position w:val="7"/>
          <w:sz w:val="11"/>
        </w:rPr>
        <w:t>1</w:t>
      </w:r>
      <w:r>
        <w:rPr>
          <w:rFonts w:ascii="Trebuchet MS" w:hAnsi="Trebuchet MS"/>
          <w:i/>
          <w:color w:val="37617A"/>
          <w:spacing w:val="16"/>
          <w:position w:val="7"/>
          <w:sz w:val="11"/>
        </w:rPr>
        <w:t> </w:t>
      </w:r>
      <w:r>
        <w:rPr>
          <w:rFonts w:ascii="Trebuchet MS" w:hAnsi="Trebuchet MS"/>
          <w:color w:val="37617A"/>
          <w:spacing w:val="-2"/>
          <w:w w:val="124"/>
          <w:sz w:val="19"/>
        </w:rPr>
        <w:t>—</w:t>
      </w:r>
      <w:r>
        <w:rPr>
          <w:rFonts w:ascii="Trebuchet MS" w:hAnsi="Trebuchet MS"/>
          <w:color w:val="37617A"/>
          <w:spacing w:val="-2"/>
          <w:w w:val="114"/>
          <w:sz w:val="19"/>
        </w:rPr>
        <w:t>A</w:t>
      </w:r>
      <w:r>
        <w:rPr>
          <w:rFonts w:ascii="Trebuchet MS" w:hAnsi="Trebuchet MS"/>
          <w:color w:val="37617A"/>
          <w:w w:val="109"/>
          <w:sz w:val="19"/>
        </w:rPr>
        <w:t>u</w:t>
      </w:r>
      <w:r>
        <w:rPr>
          <w:rFonts w:ascii="Trebuchet MS" w:hAnsi="Trebuchet MS"/>
          <w:color w:val="37617A"/>
          <w:w w:val="122"/>
          <w:sz w:val="19"/>
        </w:rPr>
        <w:t>s</w:t>
      </w:r>
      <w:r>
        <w:rPr>
          <w:rFonts w:ascii="Trebuchet MS" w:hAnsi="Trebuchet MS"/>
          <w:color w:val="37617A"/>
          <w:w w:val="91"/>
          <w:sz w:val="19"/>
        </w:rPr>
        <w:t>tr</w:t>
      </w:r>
      <w:r>
        <w:rPr>
          <w:rFonts w:ascii="Trebuchet MS" w:hAnsi="Trebuchet MS"/>
          <w:color w:val="37617A"/>
          <w:spacing w:val="-1"/>
          <w:w w:val="105"/>
          <w:sz w:val="19"/>
        </w:rPr>
        <w:t>a</w:t>
      </w:r>
      <w:r>
        <w:rPr>
          <w:rFonts w:ascii="Trebuchet MS" w:hAnsi="Trebuchet MS"/>
          <w:color w:val="37617A"/>
          <w:spacing w:val="1"/>
          <w:w w:val="96"/>
          <w:sz w:val="19"/>
        </w:rPr>
        <w:t>l</w:t>
      </w:r>
      <w:r>
        <w:rPr>
          <w:rFonts w:ascii="Trebuchet MS" w:hAnsi="Trebuchet MS"/>
          <w:color w:val="37617A"/>
          <w:w w:val="80"/>
          <w:sz w:val="19"/>
        </w:rPr>
        <w:t>i</w:t>
      </w:r>
      <w:r>
        <w:rPr>
          <w:rFonts w:ascii="Trebuchet MS" w:hAnsi="Trebuchet MS"/>
          <w:color w:val="37617A"/>
          <w:w w:val="106"/>
          <w:sz w:val="19"/>
        </w:rPr>
        <w:t>an</w:t>
      </w:r>
      <w:r>
        <w:rPr>
          <w:rFonts w:ascii="Trebuchet MS" w:hAnsi="Trebuchet MS"/>
          <w:color w:val="37617A"/>
          <w:spacing w:val="-12"/>
          <w:sz w:val="19"/>
        </w:rPr>
        <w:t> </w:t>
      </w:r>
      <w:r>
        <w:rPr>
          <w:rFonts w:ascii="Trebuchet MS" w:hAnsi="Trebuchet MS"/>
          <w:color w:val="37617A"/>
          <w:w w:val="109"/>
          <w:sz w:val="19"/>
        </w:rPr>
        <w:t>Ins</w:t>
      </w:r>
      <w:r>
        <w:rPr>
          <w:rFonts w:ascii="Trebuchet MS" w:hAnsi="Trebuchet MS"/>
          <w:color w:val="37617A"/>
          <w:w w:val="85"/>
          <w:sz w:val="19"/>
        </w:rPr>
        <w:t>t</w:t>
      </w:r>
      <w:r>
        <w:rPr>
          <w:rFonts w:ascii="Trebuchet MS" w:hAnsi="Trebuchet MS"/>
          <w:color w:val="37617A"/>
          <w:spacing w:val="-1"/>
          <w:w w:val="85"/>
          <w:sz w:val="19"/>
        </w:rPr>
        <w:t>i</w:t>
      </w:r>
      <w:r>
        <w:rPr>
          <w:rFonts w:ascii="Trebuchet MS" w:hAnsi="Trebuchet MS"/>
          <w:color w:val="37617A"/>
          <w:spacing w:val="-3"/>
          <w:w w:val="88"/>
          <w:sz w:val="19"/>
        </w:rPr>
        <w:t>t</w:t>
      </w:r>
      <w:r>
        <w:rPr>
          <w:rFonts w:ascii="Trebuchet MS" w:hAnsi="Trebuchet MS"/>
          <w:color w:val="37617A"/>
          <w:spacing w:val="-2"/>
          <w:w w:val="109"/>
          <w:sz w:val="19"/>
        </w:rPr>
        <w:t>u</w:t>
      </w:r>
      <w:r>
        <w:rPr>
          <w:rFonts w:ascii="Trebuchet MS" w:hAnsi="Trebuchet MS"/>
          <w:color w:val="37617A"/>
          <w:spacing w:val="-3"/>
          <w:w w:val="88"/>
          <w:sz w:val="19"/>
        </w:rPr>
        <w:t>t</w:t>
      </w:r>
      <w:r>
        <w:rPr>
          <w:rFonts w:ascii="Trebuchet MS" w:hAnsi="Trebuchet MS"/>
          <w:color w:val="37617A"/>
          <w:w w:val="108"/>
          <w:sz w:val="19"/>
        </w:rPr>
        <w:t>e</w:t>
      </w:r>
      <w:r>
        <w:rPr>
          <w:rFonts w:ascii="Trebuchet MS" w:hAnsi="Trebuchet MS"/>
          <w:color w:val="37617A"/>
          <w:spacing w:val="-12"/>
          <w:sz w:val="19"/>
        </w:rPr>
        <w:t> </w:t>
      </w:r>
      <w:r>
        <w:rPr>
          <w:rFonts w:ascii="Trebuchet MS" w:hAnsi="Trebuchet MS"/>
          <w:color w:val="37617A"/>
          <w:spacing w:val="-2"/>
          <w:w w:val="111"/>
          <w:sz w:val="19"/>
        </w:rPr>
        <w:t>o</w:t>
      </w:r>
      <w:r>
        <w:rPr>
          <w:rFonts w:ascii="Trebuchet MS" w:hAnsi="Trebuchet MS"/>
          <w:color w:val="37617A"/>
          <w:w w:val="92"/>
          <w:sz w:val="19"/>
        </w:rPr>
        <w:t>f</w:t>
      </w:r>
      <w:r>
        <w:rPr>
          <w:rFonts w:ascii="Trebuchet MS" w:hAnsi="Trebuchet MS"/>
          <w:color w:val="37617A"/>
          <w:spacing w:val="-12"/>
          <w:sz w:val="19"/>
        </w:rPr>
        <w:t> </w:t>
      </w:r>
      <w:r>
        <w:rPr>
          <w:rFonts w:ascii="Trebuchet MS" w:hAnsi="Trebuchet MS"/>
          <w:color w:val="37617A"/>
          <w:w w:val="103"/>
          <w:sz w:val="19"/>
        </w:rPr>
        <w:t>I</w:t>
      </w:r>
      <w:r>
        <w:rPr>
          <w:rFonts w:ascii="Trebuchet MS" w:hAnsi="Trebuchet MS"/>
          <w:color w:val="37617A"/>
          <w:spacing w:val="-2"/>
          <w:w w:val="103"/>
          <w:sz w:val="19"/>
        </w:rPr>
        <w:t>n</w:t>
      </w:r>
      <w:r>
        <w:rPr>
          <w:rFonts w:ascii="Trebuchet MS" w:hAnsi="Trebuchet MS"/>
          <w:color w:val="37617A"/>
          <w:spacing w:val="-3"/>
          <w:w w:val="88"/>
          <w:sz w:val="19"/>
        </w:rPr>
        <w:t>t</w:t>
      </w:r>
      <w:r>
        <w:rPr>
          <w:rFonts w:ascii="Trebuchet MS" w:hAnsi="Trebuchet MS"/>
          <w:color w:val="37617A"/>
          <w:w w:val="108"/>
          <w:sz w:val="19"/>
        </w:rPr>
        <w:t>e</w:t>
      </w:r>
      <w:r>
        <w:rPr>
          <w:rFonts w:ascii="Trebuchet MS" w:hAnsi="Trebuchet MS"/>
          <w:color w:val="37617A"/>
          <w:spacing w:val="-1"/>
          <w:w w:val="93"/>
          <w:sz w:val="19"/>
        </w:rPr>
        <w:t>r</w:t>
      </w:r>
      <w:r>
        <w:rPr>
          <w:rFonts w:ascii="Trebuchet MS" w:hAnsi="Trebuchet MS"/>
          <w:color w:val="37617A"/>
          <w:w w:val="111"/>
          <w:sz w:val="19"/>
        </w:rPr>
        <w:t>p</w:t>
      </w:r>
      <w:r>
        <w:rPr>
          <w:rFonts w:ascii="Trebuchet MS" w:hAnsi="Trebuchet MS"/>
          <w:color w:val="37617A"/>
          <w:spacing w:val="-3"/>
          <w:w w:val="93"/>
          <w:sz w:val="19"/>
        </w:rPr>
        <w:t>r</w:t>
      </w:r>
      <w:r>
        <w:rPr>
          <w:rFonts w:ascii="Trebuchet MS" w:hAnsi="Trebuchet MS"/>
          <w:color w:val="37617A"/>
          <w:spacing w:val="-2"/>
          <w:w w:val="108"/>
          <w:sz w:val="19"/>
        </w:rPr>
        <w:t>e</w:t>
      </w:r>
      <w:r>
        <w:rPr>
          <w:rFonts w:ascii="Trebuchet MS" w:hAnsi="Trebuchet MS"/>
          <w:color w:val="37617A"/>
          <w:spacing w:val="-3"/>
          <w:w w:val="88"/>
          <w:sz w:val="19"/>
        </w:rPr>
        <w:t>t</w:t>
      </w:r>
      <w:r>
        <w:rPr>
          <w:rFonts w:ascii="Trebuchet MS" w:hAnsi="Trebuchet MS"/>
          <w:color w:val="37617A"/>
          <w:w w:val="108"/>
          <w:sz w:val="19"/>
        </w:rPr>
        <w:t>e</w:t>
      </w:r>
      <w:r>
        <w:rPr>
          <w:rFonts w:ascii="Trebuchet MS" w:hAnsi="Trebuchet MS"/>
          <w:color w:val="37617A"/>
          <w:w w:val="93"/>
          <w:sz w:val="19"/>
        </w:rPr>
        <w:t>r</w:t>
      </w:r>
      <w:r>
        <w:rPr>
          <w:rFonts w:ascii="Trebuchet MS" w:hAnsi="Trebuchet MS"/>
          <w:color w:val="37617A"/>
          <w:w w:val="122"/>
          <w:sz w:val="19"/>
        </w:rPr>
        <w:t>s</w:t>
      </w:r>
      <w:r>
        <w:rPr>
          <w:rFonts w:ascii="Trebuchet MS" w:hAnsi="Trebuchet MS"/>
          <w:color w:val="37617A"/>
          <w:spacing w:val="-12"/>
          <w:sz w:val="19"/>
        </w:rPr>
        <w:t> </w:t>
      </w:r>
      <w:r>
        <w:rPr>
          <w:rFonts w:ascii="Trebuchet MS" w:hAnsi="Trebuchet MS"/>
          <w:color w:val="37617A"/>
          <w:w w:val="106"/>
          <w:sz w:val="19"/>
        </w:rPr>
        <w:t>an</w:t>
      </w:r>
      <w:r>
        <w:rPr>
          <w:rFonts w:ascii="Trebuchet MS" w:hAnsi="Trebuchet MS"/>
          <w:color w:val="37617A"/>
          <w:w w:val="112"/>
          <w:sz w:val="19"/>
        </w:rPr>
        <w:t>d</w:t>
      </w:r>
      <w:r>
        <w:rPr>
          <w:rFonts w:ascii="Trebuchet MS" w:hAnsi="Trebuchet MS"/>
          <w:color w:val="37617A"/>
          <w:spacing w:val="-12"/>
          <w:sz w:val="19"/>
        </w:rPr>
        <w:t> </w:t>
      </w:r>
      <w:r>
        <w:rPr>
          <w:rFonts w:ascii="Trebuchet MS" w:hAnsi="Trebuchet MS"/>
          <w:color w:val="37617A"/>
          <w:spacing w:val="-16"/>
          <w:w w:val="105"/>
          <w:sz w:val="19"/>
        </w:rPr>
        <w:t>T</w:t>
      </w:r>
      <w:r>
        <w:rPr>
          <w:rFonts w:ascii="Trebuchet MS" w:hAnsi="Trebuchet MS"/>
          <w:color w:val="37617A"/>
          <w:w w:val="93"/>
          <w:sz w:val="19"/>
        </w:rPr>
        <w:t>r</w:t>
      </w:r>
      <w:r>
        <w:rPr>
          <w:rFonts w:ascii="Trebuchet MS" w:hAnsi="Trebuchet MS"/>
          <w:color w:val="37617A"/>
          <w:w w:val="110"/>
          <w:sz w:val="19"/>
        </w:rPr>
        <w:t>an</w:t>
      </w:r>
      <w:r>
        <w:rPr>
          <w:rFonts w:ascii="Trebuchet MS" w:hAnsi="Trebuchet MS"/>
          <w:color w:val="37617A"/>
          <w:spacing w:val="-1"/>
          <w:w w:val="110"/>
          <w:sz w:val="19"/>
        </w:rPr>
        <w:t>s</w:t>
      </w:r>
      <w:r>
        <w:rPr>
          <w:rFonts w:ascii="Trebuchet MS" w:hAnsi="Trebuchet MS"/>
          <w:color w:val="37617A"/>
          <w:spacing w:val="3"/>
          <w:w w:val="96"/>
          <w:sz w:val="19"/>
        </w:rPr>
        <w:t>l</w:t>
      </w:r>
      <w:r>
        <w:rPr>
          <w:rFonts w:ascii="Trebuchet MS" w:hAnsi="Trebuchet MS"/>
          <w:color w:val="37617A"/>
          <w:spacing w:val="-3"/>
          <w:w w:val="105"/>
          <w:sz w:val="19"/>
        </w:rPr>
        <w:t>a</w:t>
      </w:r>
      <w:r>
        <w:rPr>
          <w:rFonts w:ascii="Trebuchet MS" w:hAnsi="Trebuchet MS"/>
          <w:color w:val="37617A"/>
          <w:spacing w:val="-3"/>
          <w:w w:val="88"/>
          <w:sz w:val="19"/>
        </w:rPr>
        <w:t>t</w:t>
      </w:r>
      <w:r>
        <w:rPr>
          <w:rFonts w:ascii="Trebuchet MS" w:hAnsi="Trebuchet MS"/>
          <w:color w:val="37617A"/>
          <w:w w:val="111"/>
          <w:sz w:val="19"/>
        </w:rPr>
        <w:t>o</w:t>
      </w:r>
      <w:r>
        <w:rPr>
          <w:rFonts w:ascii="Trebuchet MS" w:hAnsi="Trebuchet MS"/>
          <w:color w:val="37617A"/>
          <w:w w:val="93"/>
          <w:sz w:val="19"/>
        </w:rPr>
        <w:t>r</w:t>
      </w:r>
      <w:r>
        <w:rPr>
          <w:rFonts w:ascii="Trebuchet MS" w:hAnsi="Trebuchet MS"/>
          <w:color w:val="37617A"/>
          <w:w w:val="122"/>
          <w:sz w:val="19"/>
        </w:rPr>
        <w:t>s</w:t>
      </w:r>
    </w:p>
    <w:p>
      <w:pPr>
        <w:pStyle w:val="BodyText"/>
        <w:spacing w:before="7"/>
        <w:rPr>
          <w:rFonts w:ascii="Trebuchet MS"/>
          <w:sz w:val="9"/>
        </w:rPr>
      </w:pPr>
      <w:r>
        <w:rPr/>
        <w:pict>
          <v:line style="position:absolute;mso-position-horizontal-relative:page;mso-position-vertical-relative:paragraph;z-index:3920;mso-wrap-distance-left:0;mso-wrap-distance-right:0" from="79.370102pt,7.809328pt" to="515.905102pt,7.809328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pStyle w:val="Heading2"/>
        <w:rPr>
          <w:b/>
        </w:rPr>
      </w:pPr>
      <w:r>
        <w:rPr>
          <w:b/>
          <w:color w:val="37617A"/>
        </w:rPr>
        <w:t>Overview</w:t>
      </w:r>
    </w:p>
    <w:p>
      <w:pPr>
        <w:pStyle w:val="ListParagraph"/>
        <w:numPr>
          <w:ilvl w:val="0"/>
          <w:numId w:val="56"/>
        </w:numPr>
        <w:tabs>
          <w:tab w:pos="2157" w:val="left" w:leader="none"/>
          <w:tab w:pos="2158" w:val="left" w:leader="none"/>
        </w:tabs>
        <w:spacing w:line="206" w:lineRule="auto" w:before="146" w:after="0"/>
        <w:ind w:left="2157" w:right="1464" w:hanging="396"/>
        <w:jc w:val="left"/>
        <w:rPr>
          <w:sz w:val="20"/>
        </w:rPr>
      </w:pPr>
      <w:r>
        <w:rPr>
          <w:sz w:val="20"/>
        </w:rPr>
        <w:t>Enabling</w:t>
      </w:r>
      <w:r>
        <w:rPr>
          <w:spacing w:val="-12"/>
          <w:sz w:val="20"/>
        </w:rPr>
        <w:t> </w:t>
      </w:r>
      <w:r>
        <w:rPr>
          <w:sz w:val="20"/>
        </w:rPr>
        <w:t>people</w:t>
      </w:r>
      <w:r>
        <w:rPr>
          <w:spacing w:val="-11"/>
          <w:sz w:val="20"/>
        </w:rPr>
        <w:t> </w:t>
      </w:r>
      <w:r>
        <w:rPr>
          <w:spacing w:val="-3"/>
          <w:sz w:val="20"/>
        </w:rPr>
        <w:t>from</w:t>
      </w:r>
      <w:r>
        <w:rPr>
          <w:spacing w:val="-12"/>
          <w:sz w:val="20"/>
        </w:rPr>
        <w:t> </w:t>
      </w:r>
      <w:r>
        <w:rPr>
          <w:sz w:val="20"/>
        </w:rPr>
        <w:t>the</w:t>
      </w:r>
      <w:r>
        <w:rPr>
          <w:spacing w:val="-11"/>
          <w:sz w:val="20"/>
        </w:rPr>
        <w:t> </w:t>
      </w:r>
      <w:r>
        <w:rPr>
          <w:sz w:val="20"/>
        </w:rPr>
        <w:t>subject</w:t>
      </w:r>
      <w:r>
        <w:rPr>
          <w:spacing w:val="-12"/>
          <w:sz w:val="20"/>
        </w:rPr>
        <w:t> </w:t>
      </w:r>
      <w:r>
        <w:rPr>
          <w:sz w:val="20"/>
        </w:rPr>
        <w:t>groups</w:t>
      </w:r>
      <w:r>
        <w:rPr>
          <w:spacing w:val="-11"/>
          <w:sz w:val="20"/>
        </w:rPr>
        <w:t> </w:t>
      </w:r>
      <w:r>
        <w:rPr>
          <w:sz w:val="20"/>
        </w:rPr>
        <w:t>to</w:t>
      </w:r>
      <w:r>
        <w:rPr>
          <w:spacing w:val="-12"/>
          <w:sz w:val="20"/>
        </w:rPr>
        <w:t> </w:t>
      </w:r>
      <w:r>
        <w:rPr>
          <w:sz w:val="20"/>
        </w:rPr>
        <w:t>serve</w:t>
      </w:r>
      <w:r>
        <w:rPr>
          <w:spacing w:val="-11"/>
          <w:sz w:val="20"/>
        </w:rPr>
        <w:t> </w:t>
      </w:r>
      <w:r>
        <w:rPr>
          <w:sz w:val="20"/>
        </w:rPr>
        <w:t>on</w:t>
      </w:r>
      <w:r>
        <w:rPr>
          <w:spacing w:val="-12"/>
          <w:sz w:val="20"/>
        </w:rPr>
        <w:t> </w:t>
      </w:r>
      <w:r>
        <w:rPr>
          <w:sz w:val="20"/>
        </w:rPr>
        <w:t>juries</w:t>
      </w:r>
      <w:r>
        <w:rPr>
          <w:spacing w:val="-11"/>
          <w:sz w:val="20"/>
        </w:rPr>
        <w:t> </w:t>
      </w:r>
      <w:r>
        <w:rPr>
          <w:sz w:val="20"/>
        </w:rPr>
        <w:t>will</w:t>
      </w:r>
      <w:r>
        <w:rPr>
          <w:spacing w:val="-11"/>
          <w:sz w:val="20"/>
        </w:rPr>
        <w:t> </w:t>
      </w:r>
      <w:r>
        <w:rPr>
          <w:sz w:val="20"/>
        </w:rPr>
        <w:t>ensure</w:t>
      </w:r>
      <w:r>
        <w:rPr>
          <w:spacing w:val="-12"/>
          <w:sz w:val="20"/>
        </w:rPr>
        <w:t> </w:t>
      </w:r>
      <w:r>
        <w:rPr>
          <w:sz w:val="20"/>
        </w:rPr>
        <w:t>that</w:t>
      </w:r>
      <w:r>
        <w:rPr>
          <w:spacing w:val="-11"/>
          <w:sz w:val="20"/>
        </w:rPr>
        <w:t> </w:t>
      </w:r>
      <w:r>
        <w:rPr>
          <w:sz w:val="20"/>
        </w:rPr>
        <w:t>juries </w:t>
      </w:r>
      <w:r>
        <w:rPr>
          <w:spacing w:val="-3"/>
          <w:sz w:val="20"/>
        </w:rPr>
        <w:t>are representative </w:t>
      </w:r>
      <w:r>
        <w:rPr>
          <w:sz w:val="20"/>
        </w:rPr>
        <w:t>of our community and satisfy a </w:t>
      </w:r>
      <w:r>
        <w:rPr>
          <w:spacing w:val="-4"/>
          <w:sz w:val="20"/>
        </w:rPr>
        <w:t>key </w:t>
      </w:r>
      <w:r>
        <w:rPr>
          <w:sz w:val="20"/>
        </w:rPr>
        <w:t>purpose in the </w:t>
      </w:r>
      <w:r>
        <w:rPr>
          <w:i/>
          <w:sz w:val="20"/>
        </w:rPr>
        <w:t>Juries Act </w:t>
      </w:r>
      <w:r>
        <w:rPr>
          <w:i/>
          <w:sz w:val="20"/>
        </w:rPr>
        <w:t>2000</w:t>
      </w:r>
      <w:r>
        <w:rPr>
          <w:i/>
          <w:spacing w:val="-4"/>
          <w:sz w:val="20"/>
        </w:rPr>
        <w:t> </w:t>
      </w:r>
      <w:r>
        <w:rPr>
          <w:sz w:val="20"/>
        </w:rPr>
        <w:t>(Vic).</w:t>
      </w:r>
    </w:p>
    <w:p>
      <w:pPr>
        <w:pStyle w:val="ListParagraph"/>
        <w:numPr>
          <w:ilvl w:val="0"/>
          <w:numId w:val="56"/>
        </w:numPr>
        <w:tabs>
          <w:tab w:pos="2157" w:val="left" w:leader="none"/>
          <w:tab w:pos="2158" w:val="left" w:leader="none"/>
        </w:tabs>
        <w:spacing w:line="240" w:lineRule="auto" w:before="57" w:after="0"/>
        <w:ind w:left="2157" w:right="0" w:hanging="396"/>
        <w:jc w:val="left"/>
        <w:rPr>
          <w:sz w:val="20"/>
        </w:rPr>
      </w:pPr>
      <w:r>
        <w:rPr>
          <w:spacing w:val="-3"/>
          <w:sz w:val="20"/>
        </w:rPr>
        <w:t>Representative</w:t>
      </w:r>
      <w:r>
        <w:rPr>
          <w:spacing w:val="-4"/>
          <w:sz w:val="20"/>
        </w:rPr>
        <w:t> </w:t>
      </w:r>
      <w:r>
        <w:rPr>
          <w:sz w:val="20"/>
        </w:rPr>
        <w:t>juries:</w:t>
      </w:r>
    </w:p>
    <w:p>
      <w:pPr>
        <w:pStyle w:val="ListParagraph"/>
        <w:numPr>
          <w:ilvl w:val="1"/>
          <w:numId w:val="56"/>
        </w:numPr>
        <w:tabs>
          <w:tab w:pos="2497" w:val="left" w:leader="none"/>
          <w:tab w:pos="2499" w:val="left" w:leader="none"/>
        </w:tabs>
        <w:spacing w:line="206" w:lineRule="auto" w:before="79" w:after="0"/>
        <w:ind w:left="2498" w:right="1617" w:hanging="397"/>
        <w:jc w:val="left"/>
        <w:rPr>
          <w:sz w:val="20"/>
        </w:rPr>
      </w:pPr>
      <w:r>
        <w:rPr>
          <w:sz w:val="20"/>
        </w:rPr>
        <w:t>assist</w:t>
      </w:r>
      <w:r>
        <w:rPr>
          <w:spacing w:val="-9"/>
          <w:sz w:val="20"/>
        </w:rPr>
        <w:t> </w:t>
      </w:r>
      <w:r>
        <w:rPr>
          <w:sz w:val="20"/>
        </w:rPr>
        <w:t>with</w:t>
      </w:r>
      <w:r>
        <w:rPr>
          <w:spacing w:val="-3"/>
          <w:sz w:val="20"/>
        </w:rPr>
        <w:t> </w:t>
      </w:r>
      <w:r>
        <w:rPr>
          <w:sz w:val="20"/>
        </w:rPr>
        <w:t>impartial</w:t>
      </w:r>
      <w:r>
        <w:rPr>
          <w:spacing w:val="-8"/>
          <w:sz w:val="20"/>
        </w:rPr>
        <w:t> </w:t>
      </w:r>
      <w:r>
        <w:rPr>
          <w:sz w:val="20"/>
        </w:rPr>
        <w:t>decision</w:t>
      </w:r>
      <w:r>
        <w:rPr>
          <w:spacing w:val="-3"/>
          <w:sz w:val="20"/>
        </w:rPr>
        <w:t> </w:t>
      </w:r>
      <w:r>
        <w:rPr>
          <w:sz w:val="20"/>
        </w:rPr>
        <w:t>making</w:t>
      </w:r>
      <w:r>
        <w:rPr>
          <w:spacing w:val="-3"/>
          <w:sz w:val="20"/>
        </w:rPr>
        <w:t> </w:t>
      </w:r>
      <w:r>
        <w:rPr>
          <w:sz w:val="20"/>
        </w:rPr>
        <w:t>by</w:t>
      </w:r>
      <w:r>
        <w:rPr>
          <w:spacing w:val="-8"/>
          <w:sz w:val="20"/>
        </w:rPr>
        <w:t> </w:t>
      </w:r>
      <w:r>
        <w:rPr>
          <w:sz w:val="20"/>
        </w:rPr>
        <w:t>bringing</w:t>
      </w:r>
      <w:r>
        <w:rPr>
          <w:spacing w:val="-3"/>
          <w:sz w:val="20"/>
        </w:rPr>
        <w:t> </w:t>
      </w:r>
      <w:r>
        <w:rPr>
          <w:sz w:val="20"/>
        </w:rPr>
        <w:t>diverse</w:t>
      </w:r>
      <w:r>
        <w:rPr>
          <w:spacing w:val="-8"/>
          <w:sz w:val="20"/>
        </w:rPr>
        <w:t> </w:t>
      </w:r>
      <w:r>
        <w:rPr>
          <w:sz w:val="20"/>
        </w:rPr>
        <w:t>views</w:t>
      </w:r>
      <w:r>
        <w:rPr>
          <w:spacing w:val="-3"/>
          <w:sz w:val="20"/>
        </w:rPr>
        <w:t> </w:t>
      </w:r>
      <w:r>
        <w:rPr>
          <w:sz w:val="20"/>
        </w:rPr>
        <w:t>to</w:t>
      </w:r>
      <w:r>
        <w:rPr>
          <w:spacing w:val="-3"/>
          <w:sz w:val="20"/>
        </w:rPr>
        <w:t> </w:t>
      </w:r>
      <w:r>
        <w:rPr>
          <w:sz w:val="20"/>
        </w:rPr>
        <w:t>the</w:t>
      </w:r>
      <w:r>
        <w:rPr>
          <w:spacing w:val="-3"/>
          <w:sz w:val="20"/>
        </w:rPr>
        <w:t> </w:t>
      </w:r>
      <w:r>
        <w:rPr>
          <w:sz w:val="20"/>
        </w:rPr>
        <w:t>case which may balance out any individual bias;</w:t>
      </w:r>
      <w:r>
        <w:rPr>
          <w:spacing w:val="-20"/>
          <w:sz w:val="20"/>
        </w:rPr>
        <w:t> </w:t>
      </w:r>
      <w:r>
        <w:rPr>
          <w:sz w:val="20"/>
        </w:rPr>
        <w:t>and</w:t>
      </w:r>
    </w:p>
    <w:p>
      <w:pPr>
        <w:pStyle w:val="ListParagraph"/>
        <w:numPr>
          <w:ilvl w:val="1"/>
          <w:numId w:val="56"/>
        </w:numPr>
        <w:tabs>
          <w:tab w:pos="2497" w:val="left" w:leader="none"/>
          <w:tab w:pos="2499" w:val="left" w:leader="none"/>
        </w:tabs>
        <w:spacing w:line="259" w:lineRule="exact" w:before="56" w:after="0"/>
        <w:ind w:left="2498" w:right="0" w:hanging="397"/>
        <w:jc w:val="left"/>
        <w:rPr>
          <w:sz w:val="20"/>
        </w:rPr>
      </w:pPr>
      <w:r>
        <w:rPr>
          <w:sz w:val="20"/>
        </w:rPr>
        <w:t>provide the community with confidence in the justice system by</w:t>
      </w:r>
      <w:r>
        <w:rPr>
          <w:spacing w:val="-31"/>
          <w:sz w:val="20"/>
        </w:rPr>
        <w:t> </w:t>
      </w:r>
      <w:r>
        <w:rPr>
          <w:sz w:val="20"/>
        </w:rPr>
        <w:t>allowing</w:t>
      </w:r>
    </w:p>
    <w:p>
      <w:pPr>
        <w:pStyle w:val="BodyText"/>
        <w:spacing w:line="259" w:lineRule="exact"/>
        <w:ind w:left="2498"/>
        <w:rPr>
          <w:sz w:val="11"/>
        </w:rPr>
      </w:pPr>
      <w:r>
        <w:rPr/>
        <w:t>them to participate in the administration of justice.</w:t>
      </w:r>
      <w:r>
        <w:rPr>
          <w:position w:val="7"/>
          <w:sz w:val="11"/>
        </w:rPr>
        <w:t>2</w:t>
      </w:r>
    </w:p>
    <w:p>
      <w:pPr>
        <w:pStyle w:val="ListParagraph"/>
        <w:numPr>
          <w:ilvl w:val="0"/>
          <w:numId w:val="56"/>
        </w:numPr>
        <w:tabs>
          <w:tab w:pos="2157" w:val="left" w:leader="none"/>
          <w:tab w:pos="2158" w:val="left" w:leader="none"/>
        </w:tabs>
        <w:spacing w:line="206" w:lineRule="auto" w:before="79" w:after="0"/>
        <w:ind w:left="2157" w:right="1364" w:hanging="396"/>
        <w:jc w:val="left"/>
        <w:rPr>
          <w:sz w:val="20"/>
        </w:rPr>
      </w:pPr>
      <w:r>
        <w:rPr>
          <w:spacing w:val="-3"/>
          <w:sz w:val="20"/>
        </w:rPr>
        <w:t>Greater</w:t>
      </w:r>
      <w:r>
        <w:rPr>
          <w:spacing w:val="-6"/>
          <w:sz w:val="20"/>
        </w:rPr>
        <w:t> </w:t>
      </w:r>
      <w:r>
        <w:rPr>
          <w:spacing w:val="-3"/>
          <w:sz w:val="20"/>
        </w:rPr>
        <w:t>representativeness</w:t>
      </w:r>
      <w:r>
        <w:rPr>
          <w:spacing w:val="-6"/>
          <w:sz w:val="20"/>
        </w:rPr>
        <w:t> </w:t>
      </w:r>
      <w:r>
        <w:rPr>
          <w:sz w:val="20"/>
        </w:rPr>
        <w:t>than</w:t>
      </w:r>
      <w:r>
        <w:rPr>
          <w:spacing w:val="-6"/>
          <w:sz w:val="20"/>
        </w:rPr>
        <w:t> </w:t>
      </w:r>
      <w:r>
        <w:rPr>
          <w:sz w:val="20"/>
        </w:rPr>
        <w:t>is</w:t>
      </w:r>
      <w:r>
        <w:rPr>
          <w:spacing w:val="-6"/>
          <w:sz w:val="20"/>
        </w:rPr>
        <w:t> </w:t>
      </w:r>
      <w:r>
        <w:rPr>
          <w:spacing w:val="-3"/>
          <w:sz w:val="20"/>
        </w:rPr>
        <w:t>currently</w:t>
      </w:r>
      <w:r>
        <w:rPr>
          <w:spacing w:val="-6"/>
          <w:sz w:val="20"/>
        </w:rPr>
        <w:t> </w:t>
      </w:r>
      <w:r>
        <w:rPr>
          <w:sz w:val="20"/>
        </w:rPr>
        <w:t>the</w:t>
      </w:r>
      <w:r>
        <w:rPr>
          <w:spacing w:val="-6"/>
          <w:sz w:val="20"/>
        </w:rPr>
        <w:t> </w:t>
      </w:r>
      <w:r>
        <w:rPr>
          <w:sz w:val="20"/>
        </w:rPr>
        <w:t>case</w:t>
      </w:r>
      <w:r>
        <w:rPr>
          <w:spacing w:val="-6"/>
          <w:sz w:val="20"/>
        </w:rPr>
        <w:t> </w:t>
      </w:r>
      <w:r>
        <w:rPr>
          <w:spacing w:val="-3"/>
          <w:sz w:val="20"/>
        </w:rPr>
        <w:t>would</w:t>
      </w:r>
      <w:r>
        <w:rPr>
          <w:spacing w:val="-6"/>
          <w:sz w:val="20"/>
        </w:rPr>
        <w:t> </w:t>
      </w:r>
      <w:r>
        <w:rPr>
          <w:sz w:val="20"/>
        </w:rPr>
        <w:t>spread</w:t>
      </w:r>
      <w:r>
        <w:rPr>
          <w:spacing w:val="-6"/>
          <w:sz w:val="20"/>
        </w:rPr>
        <w:t> </w:t>
      </w:r>
      <w:r>
        <w:rPr>
          <w:sz w:val="20"/>
        </w:rPr>
        <w:t>the</w:t>
      </w:r>
      <w:r>
        <w:rPr>
          <w:spacing w:val="-6"/>
          <w:sz w:val="20"/>
        </w:rPr>
        <w:t> </w:t>
      </w:r>
      <w:r>
        <w:rPr>
          <w:sz w:val="20"/>
        </w:rPr>
        <w:t>obligation of jury duty more </w:t>
      </w:r>
      <w:r>
        <w:rPr>
          <w:spacing w:val="-3"/>
          <w:sz w:val="20"/>
        </w:rPr>
        <w:t>broadly across </w:t>
      </w:r>
      <w:r>
        <w:rPr>
          <w:sz w:val="20"/>
        </w:rPr>
        <w:t>the</w:t>
      </w:r>
      <w:r>
        <w:rPr>
          <w:spacing w:val="-23"/>
          <w:sz w:val="20"/>
        </w:rPr>
        <w:t> </w:t>
      </w:r>
      <w:r>
        <w:rPr>
          <w:spacing w:val="-3"/>
          <w:sz w:val="20"/>
        </w:rPr>
        <w:t>community.</w:t>
      </w:r>
    </w:p>
    <w:p>
      <w:pPr>
        <w:pStyle w:val="Heading2"/>
        <w:spacing w:before="193"/>
        <w:rPr>
          <w:b/>
        </w:rPr>
      </w:pPr>
      <w:r>
        <w:rPr>
          <w:b/>
          <w:color w:val="37617A"/>
        </w:rPr>
        <w:t>Improving representativeness is a key purpose of the Juries Act</w:t>
      </w:r>
    </w:p>
    <w:p>
      <w:pPr>
        <w:pStyle w:val="ListParagraph"/>
        <w:numPr>
          <w:ilvl w:val="1"/>
          <w:numId w:val="12"/>
        </w:numPr>
        <w:tabs>
          <w:tab w:pos="1761" w:val="left" w:leader="none"/>
          <w:tab w:pos="1762" w:val="left" w:leader="none"/>
        </w:tabs>
        <w:spacing w:line="206" w:lineRule="auto" w:before="147" w:after="0"/>
        <w:ind w:left="1761" w:right="1496" w:hanging="794"/>
        <w:jc w:val="left"/>
        <w:rPr>
          <w:sz w:val="20"/>
        </w:rPr>
      </w:pPr>
      <w:r>
        <w:rPr>
          <w:sz w:val="20"/>
        </w:rPr>
        <w:t>A </w:t>
      </w:r>
      <w:r>
        <w:rPr>
          <w:spacing w:val="-4"/>
          <w:sz w:val="20"/>
        </w:rPr>
        <w:t>key </w:t>
      </w:r>
      <w:r>
        <w:rPr>
          <w:sz w:val="20"/>
        </w:rPr>
        <w:t>purpose of the </w:t>
      </w:r>
      <w:r>
        <w:rPr>
          <w:i/>
          <w:sz w:val="20"/>
        </w:rPr>
        <w:t>Juries Act 2000 </w:t>
      </w:r>
      <w:r>
        <w:rPr>
          <w:sz w:val="20"/>
        </w:rPr>
        <w:t>(Vic) (the Act) is to </w:t>
      </w:r>
      <w:r>
        <w:rPr>
          <w:spacing w:val="-3"/>
          <w:sz w:val="20"/>
        </w:rPr>
        <w:t>provide </w:t>
      </w:r>
      <w:r>
        <w:rPr>
          <w:sz w:val="20"/>
        </w:rPr>
        <w:t>for the operation and</w:t>
      </w:r>
      <w:r>
        <w:rPr>
          <w:spacing w:val="-9"/>
          <w:sz w:val="20"/>
        </w:rPr>
        <w:t> </w:t>
      </w:r>
      <w:r>
        <w:rPr>
          <w:sz w:val="20"/>
        </w:rPr>
        <w:t>administration</w:t>
      </w:r>
      <w:r>
        <w:rPr>
          <w:spacing w:val="-9"/>
          <w:sz w:val="20"/>
        </w:rPr>
        <w:t> </w:t>
      </w:r>
      <w:r>
        <w:rPr>
          <w:sz w:val="20"/>
        </w:rPr>
        <w:t>of</w:t>
      </w:r>
      <w:r>
        <w:rPr>
          <w:spacing w:val="-9"/>
          <w:sz w:val="20"/>
        </w:rPr>
        <w:t> </w:t>
      </w:r>
      <w:r>
        <w:rPr>
          <w:sz w:val="20"/>
        </w:rPr>
        <w:t>a</w:t>
      </w:r>
      <w:r>
        <w:rPr>
          <w:spacing w:val="-8"/>
          <w:sz w:val="20"/>
        </w:rPr>
        <w:t> </w:t>
      </w:r>
      <w:r>
        <w:rPr>
          <w:sz w:val="20"/>
        </w:rPr>
        <w:t>jury</w:t>
      </w:r>
      <w:r>
        <w:rPr>
          <w:spacing w:val="-9"/>
          <w:sz w:val="20"/>
        </w:rPr>
        <w:t> </w:t>
      </w:r>
      <w:r>
        <w:rPr>
          <w:sz w:val="20"/>
        </w:rPr>
        <w:t>trial</w:t>
      </w:r>
      <w:r>
        <w:rPr>
          <w:spacing w:val="-9"/>
          <w:sz w:val="20"/>
        </w:rPr>
        <w:t> </w:t>
      </w:r>
      <w:r>
        <w:rPr>
          <w:sz w:val="20"/>
        </w:rPr>
        <w:t>system</w:t>
      </w:r>
      <w:r>
        <w:rPr>
          <w:spacing w:val="-8"/>
          <w:sz w:val="20"/>
        </w:rPr>
        <w:t> </w:t>
      </w:r>
      <w:r>
        <w:rPr>
          <w:sz w:val="20"/>
        </w:rPr>
        <w:t>that</w:t>
      </w:r>
      <w:r>
        <w:rPr>
          <w:spacing w:val="-9"/>
          <w:sz w:val="20"/>
        </w:rPr>
        <w:t> </w:t>
      </w:r>
      <w:r>
        <w:rPr>
          <w:spacing w:val="-3"/>
          <w:sz w:val="20"/>
        </w:rPr>
        <w:t>‘makes</w:t>
      </w:r>
      <w:r>
        <w:rPr>
          <w:spacing w:val="-9"/>
          <w:sz w:val="20"/>
        </w:rPr>
        <w:t> </w:t>
      </w:r>
      <w:r>
        <w:rPr>
          <w:sz w:val="20"/>
        </w:rPr>
        <w:t>juries</w:t>
      </w:r>
      <w:r>
        <w:rPr>
          <w:spacing w:val="-8"/>
          <w:sz w:val="20"/>
        </w:rPr>
        <w:t> </w:t>
      </w:r>
      <w:r>
        <w:rPr>
          <w:sz w:val="20"/>
        </w:rPr>
        <w:t>more</w:t>
      </w:r>
      <w:r>
        <w:rPr>
          <w:spacing w:val="-9"/>
          <w:sz w:val="20"/>
        </w:rPr>
        <w:t> </w:t>
      </w:r>
      <w:r>
        <w:rPr>
          <w:spacing w:val="-3"/>
          <w:sz w:val="20"/>
        </w:rPr>
        <w:t>representative</w:t>
      </w:r>
      <w:r>
        <w:rPr>
          <w:spacing w:val="-9"/>
          <w:sz w:val="20"/>
        </w:rPr>
        <w:t> </w:t>
      </w:r>
      <w:r>
        <w:rPr>
          <w:sz w:val="20"/>
        </w:rPr>
        <w:t>of</w:t>
      </w:r>
      <w:r>
        <w:rPr>
          <w:spacing w:val="-8"/>
          <w:sz w:val="20"/>
        </w:rPr>
        <w:t> </w:t>
      </w:r>
      <w:r>
        <w:rPr>
          <w:sz w:val="20"/>
        </w:rPr>
        <w:t>the</w:t>
      </w:r>
    </w:p>
    <w:p>
      <w:pPr>
        <w:pStyle w:val="BodyText"/>
        <w:spacing w:line="206" w:lineRule="auto" w:before="2"/>
        <w:ind w:left="1761" w:right="1307"/>
        <w:rPr>
          <w:sz w:val="11"/>
        </w:rPr>
      </w:pPr>
      <w:r>
        <w:rPr>
          <w:spacing w:val="-3"/>
        </w:rPr>
        <w:t>community’.</w:t>
      </w:r>
      <w:r>
        <w:rPr>
          <w:spacing w:val="-3"/>
          <w:position w:val="7"/>
          <w:sz w:val="11"/>
        </w:rPr>
        <w:t>3 </w:t>
      </w:r>
      <w:r>
        <w:rPr>
          <w:spacing w:val="-3"/>
        </w:rPr>
        <w:t>Victoria’s </w:t>
      </w:r>
      <w:r>
        <w:rPr/>
        <w:t>Juries Commissioner Paul Dore observes that a jury </w:t>
      </w:r>
      <w:r>
        <w:rPr>
          <w:spacing w:val="-3"/>
        </w:rPr>
        <w:t>‘represents </w:t>
      </w:r>
      <w:r>
        <w:rPr/>
        <w:t>the community </w:t>
      </w:r>
      <w:r>
        <w:rPr>
          <w:spacing w:val="-3"/>
        </w:rPr>
        <w:t>from </w:t>
      </w:r>
      <w:r>
        <w:rPr/>
        <w:t>which it is </w:t>
      </w:r>
      <w:r>
        <w:rPr>
          <w:spacing w:val="-3"/>
        </w:rPr>
        <w:t>drawn, </w:t>
      </w:r>
      <w:r>
        <w:rPr/>
        <w:t>a cross-section of citizens, each with their </w:t>
      </w:r>
      <w:r>
        <w:rPr>
          <w:spacing w:val="-3"/>
        </w:rPr>
        <w:t>own </w:t>
      </w:r>
      <w:r>
        <w:rPr/>
        <w:t>experiences and opinions, standards and expectations’.</w:t>
      </w:r>
      <w:r>
        <w:rPr>
          <w:position w:val="7"/>
          <w:sz w:val="11"/>
        </w:rPr>
        <w:t>4</w:t>
      </w:r>
    </w:p>
    <w:p>
      <w:pPr>
        <w:pStyle w:val="ListParagraph"/>
        <w:numPr>
          <w:ilvl w:val="1"/>
          <w:numId w:val="12"/>
        </w:numPr>
        <w:tabs>
          <w:tab w:pos="1761" w:val="left" w:leader="none"/>
          <w:tab w:pos="1762" w:val="left" w:leader="none"/>
        </w:tabs>
        <w:spacing w:line="206" w:lineRule="auto" w:before="124" w:after="0"/>
        <w:ind w:left="1761" w:right="1670" w:hanging="794"/>
        <w:jc w:val="left"/>
        <w:rPr>
          <w:sz w:val="20"/>
        </w:rPr>
      </w:pPr>
      <w:r>
        <w:rPr>
          <w:sz w:val="20"/>
        </w:rPr>
        <w:t>In</w:t>
      </w:r>
      <w:r>
        <w:rPr>
          <w:spacing w:val="-12"/>
          <w:sz w:val="20"/>
        </w:rPr>
        <w:t> </w:t>
      </w:r>
      <w:r>
        <w:rPr>
          <w:sz w:val="20"/>
        </w:rPr>
        <w:t>our</w:t>
      </w:r>
      <w:r>
        <w:rPr>
          <w:spacing w:val="-12"/>
          <w:sz w:val="20"/>
        </w:rPr>
        <w:t> </w:t>
      </w:r>
      <w:r>
        <w:rPr>
          <w:sz w:val="20"/>
        </w:rPr>
        <w:t>report</w:t>
      </w:r>
      <w:r>
        <w:rPr>
          <w:spacing w:val="-11"/>
          <w:sz w:val="20"/>
        </w:rPr>
        <w:t> </w:t>
      </w:r>
      <w:r>
        <w:rPr>
          <w:i/>
          <w:sz w:val="20"/>
        </w:rPr>
        <w:t>Jury</w:t>
      </w:r>
      <w:r>
        <w:rPr>
          <w:i/>
          <w:spacing w:val="-12"/>
          <w:sz w:val="20"/>
        </w:rPr>
        <w:t> </w:t>
      </w:r>
      <w:r>
        <w:rPr>
          <w:i/>
          <w:sz w:val="20"/>
        </w:rPr>
        <w:t>Empanelment</w:t>
      </w:r>
      <w:r>
        <w:rPr>
          <w:i/>
          <w:spacing w:val="-12"/>
          <w:sz w:val="20"/>
        </w:rPr>
        <w:t> </w:t>
      </w:r>
      <w:r>
        <w:rPr>
          <w:sz w:val="20"/>
        </w:rPr>
        <w:t>(2014),</w:t>
      </w:r>
      <w:r>
        <w:rPr>
          <w:spacing w:val="-12"/>
          <w:sz w:val="20"/>
        </w:rPr>
        <w:t> </w:t>
      </w:r>
      <w:r>
        <w:rPr>
          <w:sz w:val="20"/>
        </w:rPr>
        <w:t>the</w:t>
      </w:r>
      <w:r>
        <w:rPr>
          <w:spacing w:val="-11"/>
          <w:sz w:val="20"/>
        </w:rPr>
        <w:t> </w:t>
      </w:r>
      <w:r>
        <w:rPr>
          <w:sz w:val="20"/>
        </w:rPr>
        <w:t>Commission</w:t>
      </w:r>
      <w:r>
        <w:rPr>
          <w:spacing w:val="-12"/>
          <w:sz w:val="20"/>
        </w:rPr>
        <w:t> </w:t>
      </w:r>
      <w:r>
        <w:rPr>
          <w:sz w:val="20"/>
        </w:rPr>
        <w:t>adopted</w:t>
      </w:r>
      <w:r>
        <w:rPr>
          <w:spacing w:val="-11"/>
          <w:sz w:val="20"/>
        </w:rPr>
        <w:t> </w:t>
      </w:r>
      <w:r>
        <w:rPr>
          <w:sz w:val="20"/>
        </w:rPr>
        <w:t>the</w:t>
      </w:r>
      <w:r>
        <w:rPr>
          <w:spacing w:val="-12"/>
          <w:sz w:val="20"/>
        </w:rPr>
        <w:t> </w:t>
      </w:r>
      <w:r>
        <w:rPr>
          <w:sz w:val="20"/>
        </w:rPr>
        <w:t>Parliamentary Committee’s</w:t>
      </w:r>
      <w:r>
        <w:rPr>
          <w:spacing w:val="-8"/>
          <w:sz w:val="20"/>
        </w:rPr>
        <w:t> </w:t>
      </w:r>
      <w:r>
        <w:rPr>
          <w:sz w:val="20"/>
        </w:rPr>
        <w:t>articulation</w:t>
      </w:r>
      <w:r>
        <w:rPr>
          <w:spacing w:val="-8"/>
          <w:sz w:val="20"/>
        </w:rPr>
        <w:t> </w:t>
      </w:r>
      <w:r>
        <w:rPr>
          <w:sz w:val="20"/>
        </w:rPr>
        <w:t>of</w:t>
      </w:r>
      <w:r>
        <w:rPr>
          <w:spacing w:val="-8"/>
          <w:sz w:val="20"/>
        </w:rPr>
        <w:t> </w:t>
      </w:r>
      <w:r>
        <w:rPr>
          <w:sz w:val="20"/>
        </w:rPr>
        <w:t>the</w:t>
      </w:r>
      <w:r>
        <w:rPr>
          <w:spacing w:val="-8"/>
          <w:sz w:val="20"/>
        </w:rPr>
        <w:t> </w:t>
      </w:r>
      <w:r>
        <w:rPr>
          <w:spacing w:val="-3"/>
          <w:sz w:val="20"/>
        </w:rPr>
        <w:t>representative</w:t>
      </w:r>
      <w:r>
        <w:rPr>
          <w:spacing w:val="-8"/>
          <w:sz w:val="20"/>
        </w:rPr>
        <w:t> </w:t>
      </w:r>
      <w:r>
        <w:rPr>
          <w:sz w:val="20"/>
        </w:rPr>
        <w:t>principle</w:t>
      </w:r>
      <w:r>
        <w:rPr>
          <w:spacing w:val="-8"/>
          <w:sz w:val="20"/>
        </w:rPr>
        <w:t> </w:t>
      </w:r>
      <w:r>
        <w:rPr>
          <w:sz w:val="20"/>
        </w:rPr>
        <w:t>that</w:t>
      </w:r>
      <w:r>
        <w:rPr>
          <w:spacing w:val="-8"/>
          <w:sz w:val="20"/>
        </w:rPr>
        <w:t> </w:t>
      </w:r>
      <w:r>
        <w:rPr>
          <w:sz w:val="20"/>
        </w:rPr>
        <w:t>juries</w:t>
      </w:r>
      <w:r>
        <w:rPr>
          <w:spacing w:val="-8"/>
          <w:sz w:val="20"/>
        </w:rPr>
        <w:t> </w:t>
      </w:r>
      <w:r>
        <w:rPr>
          <w:sz w:val="20"/>
        </w:rPr>
        <w:t>should</w:t>
      </w:r>
      <w:r>
        <w:rPr>
          <w:spacing w:val="-8"/>
          <w:sz w:val="20"/>
        </w:rPr>
        <w:t> </w:t>
      </w:r>
      <w:r>
        <w:rPr>
          <w:sz w:val="20"/>
        </w:rPr>
        <w:t>be:</w:t>
      </w:r>
    </w:p>
    <w:p>
      <w:pPr>
        <w:spacing w:line="247" w:lineRule="exact" w:before="92"/>
        <w:ind w:left="2157" w:right="0" w:firstLine="0"/>
        <w:jc w:val="left"/>
        <w:rPr>
          <w:sz w:val="19"/>
        </w:rPr>
      </w:pPr>
      <w:r>
        <w:rPr>
          <w:sz w:val="19"/>
        </w:rPr>
        <w:t>an accurate reflection of the composition of [Victorian] society, in terms of ethnicity,</w:t>
      </w:r>
    </w:p>
    <w:p>
      <w:pPr>
        <w:spacing w:line="247" w:lineRule="exact" w:before="0"/>
        <w:ind w:left="2157" w:right="0" w:firstLine="0"/>
        <w:jc w:val="left"/>
        <w:rPr>
          <w:sz w:val="11"/>
        </w:rPr>
      </w:pPr>
      <w:r>
        <w:rPr>
          <w:sz w:val="19"/>
        </w:rPr>
        <w:t>culture, gender, occupation and socio-economic status.</w:t>
      </w:r>
      <w:r>
        <w:rPr>
          <w:position w:val="6"/>
          <w:sz w:val="11"/>
        </w:rPr>
        <w:t>5</w:t>
      </w:r>
    </w:p>
    <w:p>
      <w:pPr>
        <w:pStyle w:val="BodyText"/>
        <w:spacing w:before="4"/>
        <w:rPr>
          <w:sz w:val="24"/>
        </w:rPr>
      </w:pPr>
      <w:r>
        <w:rPr/>
        <w:pict>
          <v:line style="position:absolute;mso-position-horizontal-relative:page;mso-position-vertical-relative:paragraph;z-index:3944;mso-wrap-distance-left:0;mso-wrap-distance-right:0" from="79.370102pt,19.321142pt" to="515.905102pt,19.321142pt" stroked="true" strokeweight="1pt" strokecolor="#b6bdc8">
            <v:stroke dashstyle="solid"/>
            <w10:wrap type="topAndBottom"/>
          </v:line>
        </w:pict>
      </w:r>
    </w:p>
    <w:p>
      <w:pPr>
        <w:pStyle w:val="ListParagraph"/>
        <w:numPr>
          <w:ilvl w:val="0"/>
          <w:numId w:val="57"/>
        </w:numPr>
        <w:tabs>
          <w:tab w:pos="1760" w:val="left" w:leader="none"/>
          <w:tab w:pos="1762" w:val="left" w:leader="none"/>
        </w:tabs>
        <w:spacing w:line="170" w:lineRule="exact" w:before="91" w:after="0"/>
        <w:ind w:left="1761" w:right="0" w:hanging="794"/>
        <w:jc w:val="left"/>
        <w:rPr>
          <w:sz w:val="13"/>
        </w:rPr>
      </w:pPr>
      <w:r>
        <w:rPr>
          <w:sz w:val="13"/>
        </w:rPr>
        <w:t>Consultation 19 </w:t>
      </w:r>
      <w:r>
        <w:rPr>
          <w:spacing w:val="2"/>
          <w:sz w:val="13"/>
        </w:rPr>
        <w:t>(Australian </w:t>
      </w:r>
      <w:r>
        <w:rPr>
          <w:sz w:val="13"/>
        </w:rPr>
        <w:t>Institute of Interpreters and Translators</w:t>
      </w:r>
      <w:r>
        <w:rPr>
          <w:spacing w:val="2"/>
          <w:sz w:val="13"/>
        </w:rPr>
        <w:t> </w:t>
      </w:r>
      <w:r>
        <w:rPr>
          <w:sz w:val="13"/>
        </w:rPr>
        <w:t>(AUSIT)).</w:t>
      </w:r>
    </w:p>
    <w:p>
      <w:pPr>
        <w:pStyle w:val="ListParagraph"/>
        <w:numPr>
          <w:ilvl w:val="0"/>
          <w:numId w:val="57"/>
        </w:numPr>
        <w:tabs>
          <w:tab w:pos="1760" w:val="left" w:leader="none"/>
          <w:tab w:pos="1762" w:val="left" w:leader="none"/>
        </w:tabs>
        <w:spacing w:line="160" w:lineRule="exact" w:before="0" w:after="0"/>
        <w:ind w:left="1761" w:right="0" w:hanging="794"/>
        <w:jc w:val="left"/>
        <w:rPr>
          <w:sz w:val="13"/>
        </w:rPr>
      </w:pP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32, citing Mark Findlay, ‘Juries Reborn’ [2007]</w:t>
      </w:r>
      <w:r>
        <w:rPr>
          <w:spacing w:val="28"/>
          <w:sz w:val="13"/>
        </w:rPr>
        <w:t> </w:t>
      </w:r>
      <w:r>
        <w:rPr>
          <w:sz w:val="13"/>
        </w:rPr>
        <w:t>(90)</w:t>
      </w:r>
    </w:p>
    <w:p>
      <w:pPr>
        <w:spacing w:line="160" w:lineRule="exact" w:before="0"/>
        <w:ind w:left="1761" w:right="0" w:firstLine="0"/>
        <w:jc w:val="left"/>
        <w:rPr>
          <w:sz w:val="13"/>
        </w:rPr>
      </w:pPr>
      <w:r>
        <w:rPr>
          <w:i/>
          <w:sz w:val="13"/>
        </w:rPr>
        <w:t>Reform </w:t>
      </w:r>
      <w:r>
        <w:rPr>
          <w:sz w:val="13"/>
        </w:rPr>
        <w:t>9, 3, 7, 10.</w:t>
      </w:r>
    </w:p>
    <w:p>
      <w:pPr>
        <w:pStyle w:val="ListParagraph"/>
        <w:numPr>
          <w:ilvl w:val="0"/>
          <w:numId w:val="57"/>
        </w:numPr>
        <w:tabs>
          <w:tab w:pos="1761" w:val="left" w:leader="none"/>
          <w:tab w:pos="1762" w:val="left" w:leader="none"/>
        </w:tabs>
        <w:spacing w:line="213" w:lineRule="auto" w:before="6" w:after="0"/>
        <w:ind w:left="1761" w:right="1234" w:hanging="794"/>
        <w:jc w:val="left"/>
        <w:rPr>
          <w:sz w:val="13"/>
        </w:rPr>
      </w:pPr>
      <w:r>
        <w:rPr>
          <w:i/>
          <w:sz w:val="13"/>
        </w:rPr>
        <w:t>Juries Act 2000 </w:t>
      </w:r>
      <w:r>
        <w:rPr>
          <w:spacing w:val="2"/>
          <w:sz w:val="13"/>
        </w:rPr>
        <w:t>(Vic) </w:t>
      </w:r>
      <w:r>
        <w:rPr>
          <w:sz w:val="13"/>
        </w:rPr>
        <w:t>s </w:t>
      </w:r>
      <w:r>
        <w:rPr>
          <w:spacing w:val="3"/>
          <w:sz w:val="13"/>
        </w:rPr>
        <w:t>1. </w:t>
      </w:r>
      <w:r>
        <w:rPr>
          <w:sz w:val="13"/>
        </w:rPr>
        <w:t>Mr Loney (Geelong North), who was a </w:t>
      </w:r>
      <w:r>
        <w:rPr>
          <w:spacing w:val="2"/>
          <w:sz w:val="13"/>
        </w:rPr>
        <w:t>member </w:t>
      </w:r>
      <w:r>
        <w:rPr>
          <w:sz w:val="13"/>
        </w:rPr>
        <w:t>of the Law Reform committee which </w:t>
      </w:r>
      <w:r>
        <w:rPr>
          <w:spacing w:val="2"/>
          <w:sz w:val="13"/>
        </w:rPr>
        <w:t>undertook </w:t>
      </w:r>
      <w:r>
        <w:rPr>
          <w:sz w:val="13"/>
        </w:rPr>
        <w:t>the juries enquiry, noted in Parliament that: ‘Central to our discussions was the issue of exclusions. If we want a representative </w:t>
      </w:r>
      <w:r>
        <w:rPr>
          <w:spacing w:val="2"/>
          <w:sz w:val="13"/>
        </w:rPr>
        <w:t>jury </w:t>
      </w:r>
      <w:r>
        <w:rPr>
          <w:sz w:val="13"/>
        </w:rPr>
        <w:t>pool        we must drastically reduce the </w:t>
      </w:r>
      <w:r>
        <w:rPr>
          <w:spacing w:val="2"/>
          <w:sz w:val="13"/>
        </w:rPr>
        <w:t>number </w:t>
      </w:r>
      <w:r>
        <w:rPr>
          <w:sz w:val="13"/>
        </w:rPr>
        <w:t>of exclusions. In Victoria under the </w:t>
      </w:r>
      <w:r>
        <w:rPr>
          <w:spacing w:val="2"/>
          <w:sz w:val="13"/>
        </w:rPr>
        <w:t>[Juries] </w:t>
      </w:r>
      <w:r>
        <w:rPr>
          <w:sz w:val="13"/>
        </w:rPr>
        <w:t>1967 Act it was about as hard to get into a </w:t>
      </w:r>
      <w:r>
        <w:rPr>
          <w:spacing w:val="2"/>
          <w:sz w:val="13"/>
        </w:rPr>
        <w:t>jury</w:t>
      </w:r>
      <w:r>
        <w:rPr>
          <w:spacing w:val="37"/>
          <w:sz w:val="13"/>
        </w:rPr>
        <w:t> </w:t>
      </w:r>
      <w:r>
        <w:rPr>
          <w:sz w:val="13"/>
        </w:rPr>
        <w:t>as it was to get into the Australian test team’. Victoria, </w:t>
      </w:r>
      <w:r>
        <w:rPr>
          <w:i/>
          <w:sz w:val="13"/>
        </w:rPr>
        <w:t>Parliamentary Debates</w:t>
      </w:r>
      <w:r>
        <w:rPr>
          <w:sz w:val="13"/>
        </w:rPr>
        <w:t>, Legislative Assembly, 15 March 2000, 376 (Peter Loney).</w:t>
      </w:r>
    </w:p>
    <w:p>
      <w:pPr>
        <w:pStyle w:val="ListParagraph"/>
        <w:numPr>
          <w:ilvl w:val="0"/>
          <w:numId w:val="57"/>
        </w:numPr>
        <w:tabs>
          <w:tab w:pos="1760" w:val="left" w:leader="none"/>
          <w:tab w:pos="1762" w:val="left" w:leader="none"/>
        </w:tabs>
        <w:spacing w:line="213" w:lineRule="auto" w:before="0" w:after="0"/>
        <w:ind w:left="1761" w:right="1245" w:hanging="794"/>
        <w:jc w:val="left"/>
        <w:rPr>
          <w:sz w:val="13"/>
        </w:rPr>
      </w:pPr>
      <w:r>
        <w:rPr>
          <w:sz w:val="13"/>
        </w:rPr>
        <w:t>Paul Anthony Dore, </w:t>
      </w:r>
      <w:r>
        <w:rPr>
          <w:i/>
          <w:spacing w:val="-4"/>
          <w:sz w:val="13"/>
        </w:rPr>
        <w:t>To </w:t>
      </w:r>
      <w:r>
        <w:rPr>
          <w:i/>
          <w:sz w:val="13"/>
        </w:rPr>
        <w:t>Develop a Systemic Approach to Juror </w:t>
      </w:r>
      <w:r>
        <w:rPr>
          <w:i/>
          <w:spacing w:val="2"/>
          <w:sz w:val="13"/>
        </w:rPr>
        <w:t>Support </w:t>
      </w:r>
      <w:r>
        <w:rPr>
          <w:i/>
          <w:sz w:val="13"/>
        </w:rPr>
        <w:t>Programs in Australia </w:t>
      </w:r>
      <w:r>
        <w:rPr>
          <w:spacing w:val="2"/>
          <w:sz w:val="13"/>
        </w:rPr>
        <w:t>(Report, </w:t>
      </w:r>
      <w:r>
        <w:rPr>
          <w:sz w:val="13"/>
        </w:rPr>
        <w:t>Winston Churchill Trust, 2018) </w:t>
      </w:r>
      <w:r>
        <w:rPr>
          <w:spacing w:val="2"/>
          <w:sz w:val="13"/>
        </w:rPr>
        <w:t>31.</w:t>
      </w:r>
    </w:p>
    <w:p>
      <w:pPr>
        <w:pStyle w:val="ListParagraph"/>
        <w:numPr>
          <w:ilvl w:val="0"/>
          <w:numId w:val="57"/>
        </w:numPr>
        <w:tabs>
          <w:tab w:pos="1760" w:val="left" w:leader="none"/>
          <w:tab w:pos="1762" w:val="left" w:leader="none"/>
        </w:tabs>
        <w:spacing w:line="213" w:lineRule="auto" w:before="0" w:after="0"/>
        <w:ind w:left="1761" w:right="1246" w:hanging="794"/>
        <w:jc w:val="left"/>
        <w:rPr>
          <w:sz w:val="13"/>
        </w:rPr>
      </w:pPr>
      <w:r>
        <w:rPr/>
        <w:pict>
          <v:shape style="position:absolute;margin-left:36pt;margin-top:3.39599pt;width:14.05pt;height:14.1pt;mso-position-horizontal-relative:page;mso-position-vertical-relative:paragraph;z-index:6040" type="#_x0000_t202" filled="false" stroked="false">
            <v:textbox inset="0,0,0,0">
              <w:txbxContent>
                <w:p>
                  <w:pPr>
                    <w:spacing w:line="282" w:lineRule="exact" w:before="0"/>
                    <w:ind w:left="0" w:right="0" w:firstLine="0"/>
                    <w:jc w:val="left"/>
                    <w:rPr>
                      <w:b/>
                      <w:sz w:val="24"/>
                    </w:rPr>
                  </w:pPr>
                  <w:r>
                    <w:rPr>
                      <w:b/>
                      <w:color w:val="37617A"/>
                      <w:spacing w:val="-2"/>
                      <w:sz w:val="24"/>
                    </w:rPr>
                    <w:t>64</w:t>
                  </w:r>
                </w:p>
              </w:txbxContent>
            </v:textbox>
            <w10:wrap type="none"/>
          </v:shape>
        </w:pict>
      </w: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9 [2.7], citing Law Reform Committee, Parliament  of Victoria, </w:t>
      </w:r>
      <w:r>
        <w:rPr>
          <w:i/>
          <w:spacing w:val="2"/>
          <w:sz w:val="13"/>
        </w:rPr>
        <w:t>Jury Service </w:t>
      </w:r>
      <w:r>
        <w:rPr>
          <w:i/>
          <w:sz w:val="13"/>
        </w:rPr>
        <w:t>in Victoria </w:t>
      </w:r>
      <w:r>
        <w:rPr>
          <w:sz w:val="13"/>
        </w:rPr>
        <w:t>(Final </w:t>
      </w:r>
      <w:r>
        <w:rPr>
          <w:spacing w:val="2"/>
          <w:sz w:val="13"/>
        </w:rPr>
        <w:t>Report, December 1996) </w:t>
      </w:r>
      <w:r>
        <w:rPr>
          <w:sz w:val="13"/>
        </w:rPr>
        <w:t>vol 1</w:t>
      </w:r>
      <w:r>
        <w:rPr>
          <w:spacing w:val="-6"/>
          <w:sz w:val="13"/>
        </w:rPr>
        <w:t> </w:t>
      </w:r>
      <w:r>
        <w:rPr>
          <w:spacing w:val="2"/>
          <w:sz w:val="13"/>
        </w:rPr>
        <w:t>[1.20].</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64" w:hanging="794"/>
        <w:jc w:val="left"/>
        <w:rPr>
          <w:sz w:val="20"/>
        </w:rPr>
      </w:pPr>
      <w:bookmarkStart w:name="The advantages of representative juries" w:id="135"/>
      <w:bookmarkEnd w:id="135"/>
      <w:r>
        <w:rPr/>
      </w:r>
      <w:bookmarkStart w:name="_bookmark52" w:id="136"/>
      <w:bookmarkEnd w:id="136"/>
      <w:r>
        <w:rPr/>
      </w:r>
      <w:bookmarkStart w:name="_bookmark52" w:id="137"/>
      <w:bookmarkEnd w:id="137"/>
      <w:r>
        <w:rPr>
          <w:sz w:val="20"/>
        </w:rPr>
        <w:t>T</w:t>
      </w:r>
      <w:r>
        <w:rPr>
          <w:sz w:val="20"/>
        </w:rPr>
        <w:t>he</w:t>
      </w:r>
      <w:r>
        <w:rPr>
          <w:spacing w:val="-9"/>
          <w:sz w:val="20"/>
        </w:rPr>
        <w:t> </w:t>
      </w:r>
      <w:r>
        <w:rPr>
          <w:spacing w:val="-4"/>
          <w:sz w:val="20"/>
        </w:rPr>
        <w:t>key</w:t>
      </w:r>
      <w:r>
        <w:rPr>
          <w:spacing w:val="-8"/>
          <w:sz w:val="20"/>
        </w:rPr>
        <w:t> </w:t>
      </w:r>
      <w:r>
        <w:rPr>
          <w:sz w:val="20"/>
        </w:rPr>
        <w:t>means</w:t>
      </w:r>
      <w:r>
        <w:rPr>
          <w:spacing w:val="-9"/>
          <w:sz w:val="20"/>
        </w:rPr>
        <w:t> </w:t>
      </w:r>
      <w:r>
        <w:rPr>
          <w:sz w:val="20"/>
        </w:rPr>
        <w:t>of</w:t>
      </w:r>
      <w:r>
        <w:rPr>
          <w:spacing w:val="-8"/>
          <w:sz w:val="20"/>
        </w:rPr>
        <w:t> </w:t>
      </w:r>
      <w:r>
        <w:rPr>
          <w:sz w:val="20"/>
        </w:rPr>
        <w:t>achieving</w:t>
      </w:r>
      <w:r>
        <w:rPr>
          <w:spacing w:val="-9"/>
          <w:sz w:val="20"/>
        </w:rPr>
        <w:t> </w:t>
      </w:r>
      <w:r>
        <w:rPr>
          <w:sz w:val="20"/>
        </w:rPr>
        <w:t>a</w:t>
      </w:r>
      <w:r>
        <w:rPr>
          <w:spacing w:val="-8"/>
          <w:sz w:val="20"/>
        </w:rPr>
        <w:t> </w:t>
      </w:r>
      <w:r>
        <w:rPr>
          <w:spacing w:val="-3"/>
          <w:sz w:val="20"/>
        </w:rPr>
        <w:t>representative</w:t>
      </w:r>
      <w:r>
        <w:rPr>
          <w:spacing w:val="-9"/>
          <w:sz w:val="20"/>
        </w:rPr>
        <w:t> </w:t>
      </w:r>
      <w:r>
        <w:rPr>
          <w:sz w:val="20"/>
        </w:rPr>
        <w:t>jury</w:t>
      </w:r>
      <w:r>
        <w:rPr>
          <w:spacing w:val="-8"/>
          <w:sz w:val="20"/>
        </w:rPr>
        <w:t> </w:t>
      </w:r>
      <w:r>
        <w:rPr>
          <w:sz w:val="20"/>
        </w:rPr>
        <w:t>is</w:t>
      </w:r>
      <w:r>
        <w:rPr>
          <w:spacing w:val="-8"/>
          <w:sz w:val="20"/>
        </w:rPr>
        <w:t> </w:t>
      </w:r>
      <w:r>
        <w:rPr>
          <w:sz w:val="20"/>
        </w:rPr>
        <w:t>for</w:t>
      </w:r>
      <w:r>
        <w:rPr>
          <w:spacing w:val="-9"/>
          <w:sz w:val="20"/>
        </w:rPr>
        <w:t> </w:t>
      </w:r>
      <w:r>
        <w:rPr>
          <w:sz w:val="20"/>
        </w:rPr>
        <w:t>jurors</w:t>
      </w:r>
      <w:r>
        <w:rPr>
          <w:spacing w:val="-8"/>
          <w:sz w:val="20"/>
        </w:rPr>
        <w:t> </w:t>
      </w:r>
      <w:r>
        <w:rPr>
          <w:sz w:val="20"/>
        </w:rPr>
        <w:t>to</w:t>
      </w:r>
      <w:r>
        <w:rPr>
          <w:spacing w:val="-9"/>
          <w:sz w:val="20"/>
        </w:rPr>
        <w:t> </w:t>
      </w:r>
      <w:r>
        <w:rPr>
          <w:sz w:val="20"/>
        </w:rPr>
        <w:t>be</w:t>
      </w:r>
      <w:r>
        <w:rPr>
          <w:spacing w:val="-8"/>
          <w:sz w:val="20"/>
        </w:rPr>
        <w:t> </w:t>
      </w:r>
      <w:r>
        <w:rPr>
          <w:sz w:val="20"/>
        </w:rPr>
        <w:t>chosen</w:t>
      </w:r>
      <w:r>
        <w:rPr>
          <w:spacing w:val="-9"/>
          <w:sz w:val="20"/>
        </w:rPr>
        <w:t> </w:t>
      </w:r>
      <w:r>
        <w:rPr>
          <w:sz w:val="20"/>
        </w:rPr>
        <w:t>randomly</w:t>
      </w:r>
      <w:r>
        <w:rPr>
          <w:spacing w:val="-8"/>
          <w:sz w:val="20"/>
        </w:rPr>
        <w:t> </w:t>
      </w:r>
      <w:r>
        <w:rPr>
          <w:sz w:val="20"/>
        </w:rPr>
        <w:t>or impartially</w:t>
      </w:r>
      <w:r>
        <w:rPr>
          <w:spacing w:val="-12"/>
          <w:sz w:val="20"/>
        </w:rPr>
        <w:t> </w:t>
      </w:r>
      <w:r>
        <w:rPr>
          <w:sz w:val="20"/>
        </w:rPr>
        <w:t>‘rather</w:t>
      </w:r>
      <w:r>
        <w:rPr>
          <w:spacing w:val="-12"/>
          <w:sz w:val="20"/>
        </w:rPr>
        <w:t> </w:t>
      </w:r>
      <w:r>
        <w:rPr>
          <w:sz w:val="20"/>
        </w:rPr>
        <w:t>than</w:t>
      </w:r>
      <w:r>
        <w:rPr>
          <w:spacing w:val="-11"/>
          <w:sz w:val="20"/>
        </w:rPr>
        <w:t> </w:t>
      </w:r>
      <w:r>
        <w:rPr>
          <w:sz w:val="20"/>
        </w:rPr>
        <w:t>chosen</w:t>
      </w:r>
      <w:r>
        <w:rPr>
          <w:spacing w:val="-12"/>
          <w:sz w:val="20"/>
        </w:rPr>
        <w:t> </w:t>
      </w:r>
      <w:r>
        <w:rPr>
          <w:spacing w:val="-3"/>
          <w:sz w:val="20"/>
        </w:rPr>
        <w:t>by</w:t>
      </w:r>
      <w:r>
        <w:rPr>
          <w:spacing w:val="-11"/>
          <w:sz w:val="20"/>
        </w:rPr>
        <w:t> </w:t>
      </w:r>
      <w:r>
        <w:rPr>
          <w:sz w:val="20"/>
        </w:rPr>
        <w:t>the</w:t>
      </w:r>
      <w:r>
        <w:rPr>
          <w:spacing w:val="-12"/>
          <w:sz w:val="20"/>
        </w:rPr>
        <w:t> </w:t>
      </w:r>
      <w:r>
        <w:rPr>
          <w:sz w:val="20"/>
        </w:rPr>
        <w:t>prosecution</w:t>
      </w:r>
      <w:r>
        <w:rPr>
          <w:spacing w:val="-11"/>
          <w:sz w:val="20"/>
        </w:rPr>
        <w:t> </w:t>
      </w:r>
      <w:r>
        <w:rPr>
          <w:sz w:val="20"/>
        </w:rPr>
        <w:t>or</w:t>
      </w:r>
      <w:r>
        <w:rPr>
          <w:spacing w:val="-12"/>
          <w:sz w:val="20"/>
        </w:rPr>
        <w:t> </w:t>
      </w:r>
      <w:r>
        <w:rPr>
          <w:sz w:val="20"/>
        </w:rPr>
        <w:t>the</w:t>
      </w:r>
      <w:r>
        <w:rPr>
          <w:spacing w:val="-11"/>
          <w:sz w:val="20"/>
        </w:rPr>
        <w:t> </w:t>
      </w:r>
      <w:r>
        <w:rPr>
          <w:spacing w:val="-4"/>
          <w:sz w:val="20"/>
        </w:rPr>
        <w:t>State’.</w:t>
      </w:r>
      <w:r>
        <w:rPr>
          <w:spacing w:val="-4"/>
          <w:position w:val="7"/>
          <w:sz w:val="11"/>
        </w:rPr>
        <w:t>6</w:t>
      </w:r>
      <w:r>
        <w:rPr>
          <w:spacing w:val="13"/>
          <w:position w:val="7"/>
          <w:sz w:val="11"/>
        </w:rPr>
        <w:t> </w:t>
      </w:r>
      <w:r>
        <w:rPr>
          <w:sz w:val="20"/>
        </w:rPr>
        <w:t>After</w:t>
      </w:r>
      <w:r>
        <w:rPr>
          <w:spacing w:val="-11"/>
          <w:sz w:val="20"/>
        </w:rPr>
        <w:t> </w:t>
      </w:r>
      <w:r>
        <w:rPr>
          <w:sz w:val="20"/>
        </w:rPr>
        <w:t>random</w:t>
      </w:r>
      <w:r>
        <w:rPr>
          <w:spacing w:val="-12"/>
          <w:sz w:val="20"/>
        </w:rPr>
        <w:t> </w:t>
      </w:r>
      <w:r>
        <w:rPr>
          <w:sz w:val="20"/>
        </w:rPr>
        <w:t>selection </w:t>
      </w:r>
      <w:r>
        <w:rPr>
          <w:spacing w:val="-3"/>
          <w:sz w:val="20"/>
        </w:rPr>
        <w:t>from </w:t>
      </w:r>
      <w:r>
        <w:rPr>
          <w:sz w:val="20"/>
        </w:rPr>
        <w:t>the electoral roll, rules and practices in the jury selection and empanelment process</w:t>
      </w:r>
      <w:r>
        <w:rPr>
          <w:spacing w:val="-9"/>
          <w:sz w:val="20"/>
        </w:rPr>
        <w:t> </w:t>
      </w:r>
      <w:r>
        <w:rPr>
          <w:sz w:val="20"/>
        </w:rPr>
        <w:t>filter</w:t>
      </w:r>
      <w:r>
        <w:rPr>
          <w:spacing w:val="-8"/>
          <w:sz w:val="20"/>
        </w:rPr>
        <w:t> </w:t>
      </w:r>
      <w:r>
        <w:rPr>
          <w:sz w:val="20"/>
        </w:rPr>
        <w:t>out</w:t>
      </w:r>
      <w:r>
        <w:rPr>
          <w:spacing w:val="-8"/>
          <w:sz w:val="20"/>
        </w:rPr>
        <w:t> </w:t>
      </w:r>
      <w:r>
        <w:rPr>
          <w:sz w:val="20"/>
        </w:rPr>
        <w:t>certain</w:t>
      </w:r>
      <w:r>
        <w:rPr>
          <w:spacing w:val="-8"/>
          <w:sz w:val="20"/>
        </w:rPr>
        <w:t> </w:t>
      </w:r>
      <w:r>
        <w:rPr>
          <w:sz w:val="20"/>
        </w:rPr>
        <w:t>people,</w:t>
      </w:r>
      <w:r>
        <w:rPr>
          <w:spacing w:val="-8"/>
          <w:sz w:val="20"/>
        </w:rPr>
        <w:t> </w:t>
      </w:r>
      <w:r>
        <w:rPr>
          <w:spacing w:val="-3"/>
          <w:sz w:val="20"/>
        </w:rPr>
        <w:t>thereby</w:t>
      </w:r>
      <w:r>
        <w:rPr>
          <w:spacing w:val="-8"/>
          <w:sz w:val="20"/>
        </w:rPr>
        <w:t> </w:t>
      </w:r>
      <w:r>
        <w:rPr>
          <w:sz w:val="20"/>
        </w:rPr>
        <w:t>limiting</w:t>
      </w:r>
      <w:r>
        <w:rPr>
          <w:spacing w:val="-8"/>
          <w:sz w:val="20"/>
        </w:rPr>
        <w:t> </w:t>
      </w:r>
      <w:r>
        <w:rPr>
          <w:sz w:val="20"/>
        </w:rPr>
        <w:t>the</w:t>
      </w:r>
      <w:r>
        <w:rPr>
          <w:spacing w:val="-8"/>
          <w:sz w:val="20"/>
        </w:rPr>
        <w:t> </w:t>
      </w:r>
      <w:r>
        <w:rPr>
          <w:spacing w:val="-3"/>
          <w:sz w:val="20"/>
        </w:rPr>
        <w:t>representativeness</w:t>
      </w:r>
      <w:r>
        <w:rPr>
          <w:spacing w:val="-8"/>
          <w:sz w:val="20"/>
        </w:rPr>
        <w:t> </w:t>
      </w:r>
      <w:r>
        <w:rPr>
          <w:sz w:val="20"/>
        </w:rPr>
        <w:t>of</w:t>
      </w:r>
      <w:r>
        <w:rPr>
          <w:spacing w:val="-8"/>
          <w:sz w:val="20"/>
        </w:rPr>
        <w:t> </w:t>
      </w:r>
      <w:r>
        <w:rPr>
          <w:sz w:val="20"/>
        </w:rPr>
        <w:t>the</w:t>
      </w:r>
      <w:r>
        <w:rPr>
          <w:spacing w:val="-8"/>
          <w:sz w:val="20"/>
        </w:rPr>
        <w:t> </w:t>
      </w:r>
      <w:r>
        <w:rPr>
          <w:sz w:val="20"/>
        </w:rPr>
        <w:t>jury.</w:t>
      </w:r>
    </w:p>
    <w:p>
      <w:pPr>
        <w:pStyle w:val="BodyText"/>
        <w:spacing w:line="206" w:lineRule="auto" w:before="5"/>
        <w:ind w:left="1761" w:right="1309"/>
        <w:jc w:val="both"/>
        <w:rPr>
          <w:sz w:val="11"/>
        </w:rPr>
      </w:pPr>
      <w:r>
        <w:rPr>
          <w:spacing w:val="-3"/>
        </w:rPr>
        <w:t>For example, </w:t>
      </w:r>
      <w:r>
        <w:rPr/>
        <w:t>the </w:t>
      </w:r>
      <w:r>
        <w:rPr>
          <w:spacing w:val="-2"/>
        </w:rPr>
        <w:t>Act </w:t>
      </w:r>
      <w:r>
        <w:rPr>
          <w:spacing w:val="-3"/>
        </w:rPr>
        <w:t>excludes </w:t>
      </w:r>
      <w:r>
        <w:rPr/>
        <w:t>particular professions </w:t>
      </w:r>
      <w:r>
        <w:rPr>
          <w:spacing w:val="-3"/>
        </w:rPr>
        <w:t>from </w:t>
      </w:r>
      <w:r>
        <w:rPr/>
        <w:t>jury service (see </w:t>
      </w:r>
      <w:r>
        <w:rPr>
          <w:spacing w:val="-2"/>
        </w:rPr>
        <w:t>Chapter </w:t>
      </w:r>
      <w:r>
        <w:rPr>
          <w:spacing w:val="-3"/>
        </w:rPr>
        <w:t>2). </w:t>
      </w:r>
      <w:r>
        <w:rPr/>
        <w:t>Peremptory</w:t>
      </w:r>
      <w:r>
        <w:rPr>
          <w:spacing w:val="-10"/>
        </w:rPr>
        <w:t> </w:t>
      </w:r>
      <w:r>
        <w:rPr/>
        <w:t>challenges</w:t>
      </w:r>
      <w:r>
        <w:rPr>
          <w:spacing w:val="-10"/>
        </w:rPr>
        <w:t> </w:t>
      </w:r>
      <w:r>
        <w:rPr>
          <w:spacing w:val="-3"/>
        </w:rPr>
        <w:t>may</w:t>
      </w:r>
      <w:r>
        <w:rPr>
          <w:spacing w:val="-9"/>
        </w:rPr>
        <w:t> </w:t>
      </w:r>
      <w:r>
        <w:rPr/>
        <w:t>also</w:t>
      </w:r>
      <w:r>
        <w:rPr>
          <w:spacing w:val="-10"/>
        </w:rPr>
        <w:t> </w:t>
      </w:r>
      <w:r>
        <w:rPr/>
        <w:t>impact</w:t>
      </w:r>
      <w:r>
        <w:rPr>
          <w:spacing w:val="-10"/>
        </w:rPr>
        <w:t> </w:t>
      </w:r>
      <w:r>
        <w:rPr/>
        <w:t>on</w:t>
      </w:r>
      <w:r>
        <w:rPr>
          <w:spacing w:val="-9"/>
        </w:rPr>
        <w:t> </w:t>
      </w:r>
      <w:r>
        <w:rPr>
          <w:spacing w:val="-3"/>
        </w:rPr>
        <w:t>representativeness</w:t>
      </w:r>
      <w:r>
        <w:rPr>
          <w:spacing w:val="-10"/>
        </w:rPr>
        <w:t> </w:t>
      </w:r>
      <w:r>
        <w:rPr/>
        <w:t>because</w:t>
      </w:r>
      <w:r>
        <w:rPr>
          <w:spacing w:val="-9"/>
        </w:rPr>
        <w:t> </w:t>
      </w:r>
      <w:r>
        <w:rPr/>
        <w:t>some</w:t>
      </w:r>
      <w:r>
        <w:rPr>
          <w:spacing w:val="-10"/>
        </w:rPr>
        <w:t> </w:t>
      </w:r>
      <w:r>
        <w:rPr/>
        <w:t>groups </w:t>
      </w:r>
      <w:r>
        <w:rPr>
          <w:spacing w:val="-3"/>
        </w:rPr>
        <w:t>are</w:t>
      </w:r>
      <w:r>
        <w:rPr>
          <w:spacing w:val="-5"/>
        </w:rPr>
        <w:t> </w:t>
      </w:r>
      <w:r>
        <w:rPr/>
        <w:t>more</w:t>
      </w:r>
      <w:r>
        <w:rPr>
          <w:spacing w:val="-5"/>
        </w:rPr>
        <w:t> </w:t>
      </w:r>
      <w:r>
        <w:rPr>
          <w:spacing w:val="-3"/>
        </w:rPr>
        <w:t>likely</w:t>
      </w:r>
      <w:r>
        <w:rPr>
          <w:spacing w:val="-5"/>
        </w:rPr>
        <w:t> </w:t>
      </w:r>
      <w:r>
        <w:rPr/>
        <w:t>to</w:t>
      </w:r>
      <w:r>
        <w:rPr>
          <w:spacing w:val="-4"/>
        </w:rPr>
        <w:t> </w:t>
      </w:r>
      <w:r>
        <w:rPr/>
        <w:t>be</w:t>
      </w:r>
      <w:r>
        <w:rPr>
          <w:spacing w:val="-5"/>
        </w:rPr>
        <w:t> </w:t>
      </w:r>
      <w:r>
        <w:rPr/>
        <w:t>challenged</w:t>
      </w:r>
      <w:r>
        <w:rPr>
          <w:spacing w:val="-5"/>
        </w:rPr>
        <w:t> </w:t>
      </w:r>
      <w:r>
        <w:rPr/>
        <w:t>than</w:t>
      </w:r>
      <w:r>
        <w:rPr>
          <w:spacing w:val="-4"/>
        </w:rPr>
        <w:t> </w:t>
      </w:r>
      <w:r>
        <w:rPr/>
        <w:t>others</w:t>
      </w:r>
      <w:r>
        <w:rPr>
          <w:spacing w:val="-5"/>
        </w:rPr>
        <w:t> </w:t>
      </w:r>
      <w:r>
        <w:rPr/>
        <w:t>(see</w:t>
      </w:r>
      <w:r>
        <w:rPr>
          <w:spacing w:val="-5"/>
        </w:rPr>
        <w:t> </w:t>
      </w:r>
      <w:r>
        <w:rPr>
          <w:spacing w:val="-2"/>
        </w:rPr>
        <w:t>Chapter</w:t>
      </w:r>
      <w:r>
        <w:rPr>
          <w:spacing w:val="-5"/>
        </w:rPr>
        <w:t> </w:t>
      </w:r>
      <w:r>
        <w:rPr>
          <w:spacing w:val="-6"/>
        </w:rPr>
        <w:t>17).</w:t>
      </w:r>
      <w:r>
        <w:rPr>
          <w:spacing w:val="-6"/>
          <w:position w:val="7"/>
          <w:sz w:val="11"/>
        </w:rPr>
        <w:t>7</w:t>
      </w:r>
    </w:p>
    <w:p>
      <w:pPr>
        <w:pStyle w:val="ListParagraph"/>
        <w:numPr>
          <w:ilvl w:val="1"/>
          <w:numId w:val="12"/>
        </w:numPr>
        <w:tabs>
          <w:tab w:pos="1761" w:val="left" w:leader="none"/>
          <w:tab w:pos="1762" w:val="left" w:leader="none"/>
        </w:tabs>
        <w:spacing w:line="206" w:lineRule="auto" w:before="124" w:after="0"/>
        <w:ind w:left="1761" w:right="1515" w:hanging="794"/>
        <w:jc w:val="left"/>
        <w:rPr>
          <w:sz w:val="20"/>
        </w:rPr>
      </w:pPr>
      <w:r>
        <w:rPr>
          <w:sz w:val="20"/>
        </w:rPr>
        <w:t>Rather than direct </w:t>
      </w:r>
      <w:r>
        <w:rPr>
          <w:spacing w:val="-3"/>
          <w:sz w:val="20"/>
        </w:rPr>
        <w:t>exclusion </w:t>
      </w:r>
      <w:r>
        <w:rPr>
          <w:sz w:val="20"/>
        </w:rPr>
        <w:t>through the Act, it is the </w:t>
      </w:r>
      <w:r>
        <w:rPr>
          <w:spacing w:val="-3"/>
          <w:sz w:val="20"/>
        </w:rPr>
        <w:t>failure </w:t>
      </w:r>
      <w:r>
        <w:rPr>
          <w:sz w:val="20"/>
        </w:rPr>
        <w:t>to </w:t>
      </w:r>
      <w:r>
        <w:rPr>
          <w:spacing w:val="-3"/>
          <w:sz w:val="20"/>
        </w:rPr>
        <w:t>provide </w:t>
      </w:r>
      <w:r>
        <w:rPr>
          <w:sz w:val="20"/>
        </w:rPr>
        <w:t>reasonable adjustments</w:t>
      </w:r>
      <w:r>
        <w:rPr>
          <w:spacing w:val="-11"/>
          <w:sz w:val="20"/>
        </w:rPr>
        <w:t> </w:t>
      </w:r>
      <w:r>
        <w:rPr>
          <w:sz w:val="20"/>
        </w:rPr>
        <w:t>and</w:t>
      </w:r>
      <w:r>
        <w:rPr>
          <w:spacing w:val="-10"/>
          <w:sz w:val="20"/>
        </w:rPr>
        <w:t> </w:t>
      </w:r>
      <w:r>
        <w:rPr>
          <w:sz w:val="20"/>
        </w:rPr>
        <w:t>the</w:t>
      </w:r>
      <w:r>
        <w:rPr>
          <w:spacing w:val="-10"/>
          <w:sz w:val="20"/>
        </w:rPr>
        <w:t> </w:t>
      </w:r>
      <w:r>
        <w:rPr>
          <w:sz w:val="20"/>
        </w:rPr>
        <w:t>operation</w:t>
      </w:r>
      <w:r>
        <w:rPr>
          <w:spacing w:val="-10"/>
          <w:sz w:val="20"/>
        </w:rPr>
        <w:t> </w:t>
      </w:r>
      <w:r>
        <w:rPr>
          <w:sz w:val="20"/>
        </w:rPr>
        <w:t>of</w:t>
      </w:r>
      <w:r>
        <w:rPr>
          <w:spacing w:val="-10"/>
          <w:sz w:val="20"/>
        </w:rPr>
        <w:t> </w:t>
      </w:r>
      <w:r>
        <w:rPr>
          <w:sz w:val="20"/>
        </w:rPr>
        <w:t>the</w:t>
      </w:r>
      <w:r>
        <w:rPr>
          <w:spacing w:val="-11"/>
          <w:sz w:val="20"/>
        </w:rPr>
        <w:t> </w:t>
      </w:r>
      <w:r>
        <w:rPr>
          <w:sz w:val="20"/>
        </w:rPr>
        <w:t>13th</w:t>
      </w:r>
      <w:r>
        <w:rPr>
          <w:spacing w:val="-10"/>
          <w:sz w:val="20"/>
        </w:rPr>
        <w:t> </w:t>
      </w:r>
      <w:r>
        <w:rPr>
          <w:sz w:val="20"/>
        </w:rPr>
        <w:t>person</w:t>
      </w:r>
      <w:r>
        <w:rPr>
          <w:spacing w:val="-10"/>
          <w:sz w:val="20"/>
        </w:rPr>
        <w:t> </w:t>
      </w:r>
      <w:r>
        <w:rPr>
          <w:sz w:val="20"/>
        </w:rPr>
        <w:t>rule</w:t>
      </w:r>
      <w:r>
        <w:rPr>
          <w:spacing w:val="-10"/>
          <w:sz w:val="20"/>
        </w:rPr>
        <w:t> </w:t>
      </w:r>
      <w:r>
        <w:rPr>
          <w:sz w:val="20"/>
        </w:rPr>
        <w:t>that</w:t>
      </w:r>
      <w:r>
        <w:rPr>
          <w:spacing w:val="-10"/>
          <w:sz w:val="20"/>
        </w:rPr>
        <w:t> </w:t>
      </w:r>
      <w:r>
        <w:rPr>
          <w:sz w:val="20"/>
        </w:rPr>
        <w:t>limits</w:t>
      </w:r>
      <w:r>
        <w:rPr>
          <w:spacing w:val="-11"/>
          <w:sz w:val="20"/>
        </w:rPr>
        <w:t> </w:t>
      </w:r>
      <w:r>
        <w:rPr>
          <w:sz w:val="20"/>
        </w:rPr>
        <w:t>the</w:t>
      </w:r>
      <w:r>
        <w:rPr>
          <w:spacing w:val="-10"/>
          <w:sz w:val="20"/>
        </w:rPr>
        <w:t> </w:t>
      </w:r>
      <w:r>
        <w:rPr>
          <w:sz w:val="20"/>
        </w:rPr>
        <w:t>participation</w:t>
      </w:r>
      <w:r>
        <w:rPr>
          <w:spacing w:val="-10"/>
          <w:sz w:val="20"/>
        </w:rPr>
        <w:t> </w:t>
      </w:r>
      <w:r>
        <w:rPr>
          <w:sz w:val="20"/>
        </w:rPr>
        <w:t>of people</w:t>
      </w:r>
      <w:r>
        <w:rPr>
          <w:spacing w:val="-10"/>
          <w:sz w:val="20"/>
        </w:rPr>
        <w:t> </w:t>
      </w:r>
      <w:r>
        <w:rPr>
          <w:spacing w:val="-3"/>
          <w:sz w:val="20"/>
        </w:rPr>
        <w:t>from</w:t>
      </w:r>
      <w:r>
        <w:rPr>
          <w:spacing w:val="-9"/>
          <w:sz w:val="20"/>
        </w:rPr>
        <w:t> </w:t>
      </w:r>
      <w:r>
        <w:rPr>
          <w:sz w:val="20"/>
        </w:rPr>
        <w:t>the</w:t>
      </w:r>
      <w:r>
        <w:rPr>
          <w:spacing w:val="-9"/>
          <w:sz w:val="20"/>
        </w:rPr>
        <w:t> </w:t>
      </w:r>
      <w:r>
        <w:rPr>
          <w:sz w:val="20"/>
        </w:rPr>
        <w:t>subject</w:t>
      </w:r>
      <w:r>
        <w:rPr>
          <w:spacing w:val="-9"/>
          <w:sz w:val="20"/>
        </w:rPr>
        <w:t> </w:t>
      </w:r>
      <w:r>
        <w:rPr>
          <w:sz w:val="20"/>
        </w:rPr>
        <w:t>groups.</w:t>
      </w:r>
      <w:r>
        <w:rPr>
          <w:spacing w:val="-9"/>
          <w:sz w:val="20"/>
        </w:rPr>
        <w:t> </w:t>
      </w:r>
      <w:r>
        <w:rPr>
          <w:sz w:val="20"/>
        </w:rPr>
        <w:t>It</w:t>
      </w:r>
      <w:r>
        <w:rPr>
          <w:spacing w:val="-9"/>
          <w:sz w:val="20"/>
        </w:rPr>
        <w:t> </w:t>
      </w:r>
      <w:r>
        <w:rPr>
          <w:sz w:val="20"/>
        </w:rPr>
        <w:t>is</w:t>
      </w:r>
      <w:r>
        <w:rPr>
          <w:spacing w:val="-9"/>
          <w:sz w:val="20"/>
        </w:rPr>
        <w:t> </w:t>
      </w:r>
      <w:r>
        <w:rPr>
          <w:sz w:val="20"/>
        </w:rPr>
        <w:t>these</w:t>
      </w:r>
      <w:r>
        <w:rPr>
          <w:spacing w:val="-9"/>
          <w:sz w:val="20"/>
        </w:rPr>
        <w:t> </w:t>
      </w:r>
      <w:r>
        <w:rPr>
          <w:sz w:val="20"/>
        </w:rPr>
        <w:t>indirect</w:t>
      </w:r>
      <w:r>
        <w:rPr>
          <w:spacing w:val="-9"/>
          <w:sz w:val="20"/>
        </w:rPr>
        <w:t> </w:t>
      </w:r>
      <w:r>
        <w:rPr>
          <w:spacing w:val="-3"/>
          <w:sz w:val="20"/>
        </w:rPr>
        <w:t>exclusions</w:t>
      </w:r>
      <w:r>
        <w:rPr>
          <w:spacing w:val="-9"/>
          <w:sz w:val="20"/>
        </w:rPr>
        <w:t> </w:t>
      </w:r>
      <w:r>
        <w:rPr>
          <w:sz w:val="20"/>
        </w:rPr>
        <w:t>that</w:t>
      </w:r>
      <w:r>
        <w:rPr>
          <w:spacing w:val="-9"/>
          <w:sz w:val="20"/>
        </w:rPr>
        <w:t> </w:t>
      </w:r>
      <w:r>
        <w:rPr>
          <w:spacing w:val="-3"/>
          <w:sz w:val="20"/>
        </w:rPr>
        <w:t>we</w:t>
      </w:r>
      <w:r>
        <w:rPr>
          <w:spacing w:val="-9"/>
          <w:sz w:val="20"/>
        </w:rPr>
        <w:t> </w:t>
      </w:r>
      <w:r>
        <w:rPr>
          <w:sz w:val="20"/>
        </w:rPr>
        <w:t>address</w:t>
      </w:r>
      <w:r>
        <w:rPr>
          <w:spacing w:val="-9"/>
          <w:sz w:val="20"/>
        </w:rPr>
        <w:t> </w:t>
      </w:r>
      <w:r>
        <w:rPr>
          <w:sz w:val="20"/>
        </w:rPr>
        <w:t>in</w:t>
      </w:r>
      <w:r>
        <w:rPr>
          <w:spacing w:val="-9"/>
          <w:sz w:val="20"/>
        </w:rPr>
        <w:t> </w:t>
      </w:r>
      <w:r>
        <w:rPr>
          <w:sz w:val="20"/>
        </w:rPr>
        <w:t>this report.</w:t>
      </w:r>
    </w:p>
    <w:p>
      <w:pPr>
        <w:pStyle w:val="ListParagraph"/>
        <w:numPr>
          <w:ilvl w:val="1"/>
          <w:numId w:val="12"/>
        </w:numPr>
        <w:tabs>
          <w:tab w:pos="1761" w:val="left" w:leader="none"/>
          <w:tab w:pos="1762" w:val="left" w:leader="none"/>
        </w:tabs>
        <w:spacing w:line="259" w:lineRule="exact" w:before="93" w:after="0"/>
        <w:ind w:left="1761" w:right="0" w:hanging="794"/>
        <w:jc w:val="left"/>
        <w:rPr>
          <w:sz w:val="20"/>
        </w:rPr>
      </w:pPr>
      <w:r>
        <w:rPr>
          <w:sz w:val="20"/>
        </w:rPr>
        <w:t>Ensuring</w:t>
      </w:r>
      <w:r>
        <w:rPr>
          <w:spacing w:val="-6"/>
          <w:sz w:val="20"/>
        </w:rPr>
        <w:t> </w:t>
      </w:r>
      <w:r>
        <w:rPr>
          <w:sz w:val="20"/>
        </w:rPr>
        <w:t>that</w:t>
      </w:r>
      <w:r>
        <w:rPr>
          <w:spacing w:val="-5"/>
          <w:sz w:val="20"/>
        </w:rPr>
        <w:t> </w:t>
      </w:r>
      <w:r>
        <w:rPr>
          <w:sz w:val="20"/>
        </w:rPr>
        <w:t>juries</w:t>
      </w:r>
      <w:r>
        <w:rPr>
          <w:spacing w:val="-5"/>
          <w:sz w:val="20"/>
        </w:rPr>
        <w:t> </w:t>
      </w:r>
      <w:r>
        <w:rPr>
          <w:spacing w:val="-3"/>
          <w:sz w:val="20"/>
        </w:rPr>
        <w:t>are</w:t>
      </w:r>
      <w:r>
        <w:rPr>
          <w:spacing w:val="-5"/>
          <w:sz w:val="20"/>
        </w:rPr>
        <w:t> </w:t>
      </w:r>
      <w:r>
        <w:rPr>
          <w:sz w:val="20"/>
        </w:rPr>
        <w:t>also</w:t>
      </w:r>
      <w:r>
        <w:rPr>
          <w:spacing w:val="-5"/>
          <w:sz w:val="20"/>
        </w:rPr>
        <w:t> </w:t>
      </w:r>
      <w:r>
        <w:rPr>
          <w:spacing w:val="-3"/>
          <w:sz w:val="20"/>
        </w:rPr>
        <w:t>representative</w:t>
      </w:r>
      <w:r>
        <w:rPr>
          <w:spacing w:val="-6"/>
          <w:sz w:val="20"/>
        </w:rPr>
        <w:t> </w:t>
      </w:r>
      <w:r>
        <w:rPr>
          <w:sz w:val="20"/>
        </w:rPr>
        <w:t>of</w:t>
      </w:r>
      <w:r>
        <w:rPr>
          <w:spacing w:val="-5"/>
          <w:sz w:val="20"/>
        </w:rPr>
        <w:t> </w:t>
      </w:r>
      <w:r>
        <w:rPr>
          <w:sz w:val="20"/>
        </w:rPr>
        <w:t>people</w:t>
      </w:r>
      <w:r>
        <w:rPr>
          <w:spacing w:val="-5"/>
          <w:sz w:val="20"/>
        </w:rPr>
        <w:t> </w:t>
      </w:r>
      <w:r>
        <w:rPr>
          <w:sz w:val="20"/>
        </w:rPr>
        <w:t>in</w:t>
      </w:r>
      <w:r>
        <w:rPr>
          <w:spacing w:val="-5"/>
          <w:sz w:val="20"/>
        </w:rPr>
        <w:t> </w:t>
      </w:r>
      <w:r>
        <w:rPr>
          <w:sz w:val="20"/>
        </w:rPr>
        <w:t>the</w:t>
      </w:r>
      <w:r>
        <w:rPr>
          <w:spacing w:val="-5"/>
          <w:sz w:val="20"/>
        </w:rPr>
        <w:t> </w:t>
      </w:r>
      <w:r>
        <w:rPr>
          <w:sz w:val="20"/>
        </w:rPr>
        <w:t>subject</w:t>
      </w:r>
      <w:r>
        <w:rPr>
          <w:spacing w:val="-6"/>
          <w:sz w:val="20"/>
        </w:rPr>
        <w:t> </w:t>
      </w:r>
      <w:r>
        <w:rPr>
          <w:sz w:val="20"/>
        </w:rPr>
        <w:t>groups</w:t>
      </w:r>
      <w:r>
        <w:rPr>
          <w:spacing w:val="-5"/>
          <w:sz w:val="20"/>
        </w:rPr>
        <w:t> </w:t>
      </w:r>
      <w:r>
        <w:rPr>
          <w:spacing w:val="-3"/>
          <w:sz w:val="20"/>
        </w:rPr>
        <w:t>would</w:t>
      </w:r>
    </w:p>
    <w:p>
      <w:pPr>
        <w:pStyle w:val="BodyText"/>
        <w:spacing w:line="259" w:lineRule="exact"/>
        <w:ind w:left="1761"/>
        <w:jc w:val="both"/>
      </w:pPr>
      <w:r>
        <w:rPr/>
        <w:t>benefit juries and the justice system generally.</w:t>
      </w:r>
    </w:p>
    <w:p>
      <w:pPr>
        <w:pStyle w:val="BodyText"/>
        <w:spacing w:before="11"/>
        <w:rPr>
          <w:sz w:val="15"/>
        </w:rPr>
      </w:pPr>
    </w:p>
    <w:p>
      <w:pPr>
        <w:pStyle w:val="Heading2"/>
        <w:rPr>
          <w:b/>
        </w:rPr>
      </w:pPr>
      <w:r>
        <w:rPr>
          <w:b/>
          <w:color w:val="37617A"/>
        </w:rPr>
        <w:t>The advantages of representative juries</w:t>
      </w:r>
    </w:p>
    <w:p>
      <w:pPr>
        <w:pStyle w:val="Heading3"/>
        <w:spacing w:before="185"/>
      </w:pPr>
      <w:r>
        <w:rPr/>
        <w:t>Decision-making processes in diverse juries</w:t>
      </w:r>
    </w:p>
    <w:p>
      <w:pPr>
        <w:pStyle w:val="ListParagraph"/>
        <w:numPr>
          <w:ilvl w:val="1"/>
          <w:numId w:val="12"/>
        </w:numPr>
        <w:tabs>
          <w:tab w:pos="1761" w:val="left" w:leader="none"/>
          <w:tab w:pos="1762" w:val="left" w:leader="none"/>
        </w:tabs>
        <w:spacing w:line="206" w:lineRule="auto" w:before="127" w:after="0"/>
        <w:ind w:left="1761" w:right="1216" w:hanging="794"/>
        <w:jc w:val="left"/>
        <w:rPr>
          <w:sz w:val="11"/>
        </w:rPr>
      </w:pPr>
      <w:r>
        <w:rPr>
          <w:sz w:val="20"/>
        </w:rPr>
        <w:t>Good decision making through diversity benefits the justice system and society as a whole.</w:t>
      </w:r>
      <w:r>
        <w:rPr>
          <w:spacing w:val="-10"/>
          <w:sz w:val="20"/>
        </w:rPr>
        <w:t> </w:t>
      </w:r>
      <w:r>
        <w:rPr>
          <w:spacing w:val="-3"/>
          <w:sz w:val="20"/>
        </w:rPr>
        <w:t>Research</w:t>
      </w:r>
      <w:r>
        <w:rPr>
          <w:spacing w:val="-10"/>
          <w:sz w:val="20"/>
        </w:rPr>
        <w:t> </w:t>
      </w:r>
      <w:r>
        <w:rPr>
          <w:sz w:val="20"/>
        </w:rPr>
        <w:t>in</w:t>
      </w:r>
      <w:r>
        <w:rPr>
          <w:spacing w:val="-10"/>
          <w:sz w:val="20"/>
        </w:rPr>
        <w:t> </w:t>
      </w:r>
      <w:r>
        <w:rPr>
          <w:sz w:val="20"/>
        </w:rPr>
        <w:t>the</w:t>
      </w:r>
      <w:r>
        <w:rPr>
          <w:spacing w:val="-10"/>
          <w:sz w:val="20"/>
        </w:rPr>
        <w:t> </w:t>
      </w:r>
      <w:r>
        <w:rPr>
          <w:sz w:val="20"/>
        </w:rPr>
        <w:t>United</w:t>
      </w:r>
      <w:r>
        <w:rPr>
          <w:spacing w:val="-10"/>
          <w:sz w:val="20"/>
        </w:rPr>
        <w:t> </w:t>
      </w:r>
      <w:r>
        <w:rPr>
          <w:spacing w:val="-3"/>
          <w:sz w:val="20"/>
        </w:rPr>
        <w:t>States</w:t>
      </w:r>
      <w:r>
        <w:rPr>
          <w:spacing w:val="-10"/>
          <w:sz w:val="20"/>
        </w:rPr>
        <w:t> </w:t>
      </w:r>
      <w:r>
        <w:rPr>
          <w:sz w:val="20"/>
        </w:rPr>
        <w:t>indicates</w:t>
      </w:r>
      <w:r>
        <w:rPr>
          <w:spacing w:val="-9"/>
          <w:sz w:val="20"/>
        </w:rPr>
        <w:t> </w:t>
      </w:r>
      <w:r>
        <w:rPr>
          <w:sz w:val="20"/>
        </w:rPr>
        <w:t>that</w:t>
      </w:r>
      <w:r>
        <w:rPr>
          <w:spacing w:val="-10"/>
          <w:sz w:val="20"/>
        </w:rPr>
        <w:t> </w:t>
      </w:r>
      <w:r>
        <w:rPr>
          <w:sz w:val="20"/>
        </w:rPr>
        <w:t>jury</w:t>
      </w:r>
      <w:r>
        <w:rPr>
          <w:spacing w:val="-10"/>
          <w:sz w:val="20"/>
        </w:rPr>
        <w:t> </w:t>
      </w:r>
      <w:r>
        <w:rPr>
          <w:sz w:val="20"/>
        </w:rPr>
        <w:t>diversity</w:t>
      </w:r>
      <w:r>
        <w:rPr>
          <w:spacing w:val="-10"/>
          <w:sz w:val="20"/>
        </w:rPr>
        <w:t> </w:t>
      </w:r>
      <w:r>
        <w:rPr>
          <w:sz w:val="20"/>
        </w:rPr>
        <w:t>can</w:t>
      </w:r>
      <w:r>
        <w:rPr>
          <w:spacing w:val="-10"/>
          <w:sz w:val="20"/>
        </w:rPr>
        <w:t> </w:t>
      </w:r>
      <w:r>
        <w:rPr>
          <w:sz w:val="20"/>
        </w:rPr>
        <w:t>help</w:t>
      </w:r>
      <w:r>
        <w:rPr>
          <w:spacing w:val="-10"/>
          <w:sz w:val="20"/>
        </w:rPr>
        <w:t> </w:t>
      </w:r>
      <w:r>
        <w:rPr>
          <w:sz w:val="20"/>
        </w:rPr>
        <w:t>strengthen</w:t>
      </w:r>
      <w:r>
        <w:rPr>
          <w:spacing w:val="-9"/>
          <w:sz w:val="20"/>
        </w:rPr>
        <w:t> </w:t>
      </w:r>
      <w:r>
        <w:rPr>
          <w:sz w:val="20"/>
        </w:rPr>
        <w:t>its decision</w:t>
      </w:r>
      <w:r>
        <w:rPr>
          <w:spacing w:val="-5"/>
          <w:sz w:val="20"/>
        </w:rPr>
        <w:t> </w:t>
      </w:r>
      <w:r>
        <w:rPr>
          <w:sz w:val="20"/>
        </w:rPr>
        <w:t>making.</w:t>
      </w:r>
      <w:r>
        <w:rPr>
          <w:position w:val="7"/>
          <w:sz w:val="11"/>
        </w:rPr>
        <w:t>8</w:t>
      </w:r>
    </w:p>
    <w:p>
      <w:pPr>
        <w:pStyle w:val="ListParagraph"/>
        <w:numPr>
          <w:ilvl w:val="1"/>
          <w:numId w:val="12"/>
        </w:numPr>
        <w:tabs>
          <w:tab w:pos="1761" w:val="left" w:leader="none"/>
          <w:tab w:pos="1762" w:val="left" w:leader="none"/>
        </w:tabs>
        <w:spacing w:line="206" w:lineRule="auto" w:before="124" w:after="0"/>
        <w:ind w:left="1761" w:right="1649" w:hanging="794"/>
        <w:jc w:val="left"/>
        <w:rPr>
          <w:sz w:val="11"/>
        </w:rPr>
      </w:pPr>
      <w:r>
        <w:rPr>
          <w:sz w:val="20"/>
        </w:rPr>
        <w:t>A United </w:t>
      </w:r>
      <w:r>
        <w:rPr>
          <w:spacing w:val="-3"/>
          <w:sz w:val="20"/>
        </w:rPr>
        <w:t>States </w:t>
      </w:r>
      <w:r>
        <w:rPr>
          <w:sz w:val="20"/>
        </w:rPr>
        <w:t>study </w:t>
      </w:r>
      <w:r>
        <w:rPr>
          <w:spacing w:val="-3"/>
          <w:sz w:val="20"/>
        </w:rPr>
        <w:t>by </w:t>
      </w:r>
      <w:r>
        <w:rPr>
          <w:sz w:val="20"/>
        </w:rPr>
        <w:t>Samuel Sommers </w:t>
      </w:r>
      <w:r>
        <w:rPr>
          <w:spacing w:val="-3"/>
          <w:sz w:val="20"/>
        </w:rPr>
        <w:t>involving </w:t>
      </w:r>
      <w:r>
        <w:rPr>
          <w:sz w:val="20"/>
        </w:rPr>
        <w:t>200 participants on 29 mock juries</w:t>
      </w:r>
      <w:r>
        <w:rPr>
          <w:spacing w:val="-13"/>
          <w:sz w:val="20"/>
        </w:rPr>
        <w:t> </w:t>
      </w:r>
      <w:r>
        <w:rPr>
          <w:sz w:val="20"/>
        </w:rPr>
        <w:t>examined</w:t>
      </w:r>
      <w:r>
        <w:rPr>
          <w:spacing w:val="-13"/>
          <w:sz w:val="20"/>
        </w:rPr>
        <w:t> </w:t>
      </w:r>
      <w:r>
        <w:rPr>
          <w:sz w:val="20"/>
        </w:rPr>
        <w:t>the</w:t>
      </w:r>
      <w:r>
        <w:rPr>
          <w:spacing w:val="-12"/>
          <w:sz w:val="20"/>
        </w:rPr>
        <w:t> </w:t>
      </w:r>
      <w:r>
        <w:rPr>
          <w:sz w:val="20"/>
        </w:rPr>
        <w:t>effect</w:t>
      </w:r>
      <w:r>
        <w:rPr>
          <w:spacing w:val="-13"/>
          <w:sz w:val="20"/>
        </w:rPr>
        <w:t> </w:t>
      </w:r>
      <w:r>
        <w:rPr>
          <w:sz w:val="20"/>
        </w:rPr>
        <w:t>of</w:t>
      </w:r>
      <w:r>
        <w:rPr>
          <w:spacing w:val="-13"/>
          <w:sz w:val="20"/>
        </w:rPr>
        <w:t> </w:t>
      </w:r>
      <w:r>
        <w:rPr>
          <w:sz w:val="20"/>
        </w:rPr>
        <w:t>racial</w:t>
      </w:r>
      <w:r>
        <w:rPr>
          <w:spacing w:val="-12"/>
          <w:sz w:val="20"/>
        </w:rPr>
        <w:t> </w:t>
      </w:r>
      <w:r>
        <w:rPr>
          <w:sz w:val="20"/>
        </w:rPr>
        <w:t>diversity</w:t>
      </w:r>
      <w:r>
        <w:rPr>
          <w:spacing w:val="-13"/>
          <w:sz w:val="20"/>
        </w:rPr>
        <w:t> </w:t>
      </w:r>
      <w:r>
        <w:rPr>
          <w:sz w:val="20"/>
        </w:rPr>
        <w:t>on</w:t>
      </w:r>
      <w:r>
        <w:rPr>
          <w:spacing w:val="-12"/>
          <w:sz w:val="20"/>
        </w:rPr>
        <w:t> </w:t>
      </w:r>
      <w:r>
        <w:rPr>
          <w:sz w:val="20"/>
        </w:rPr>
        <w:t>group</w:t>
      </w:r>
      <w:r>
        <w:rPr>
          <w:spacing w:val="-13"/>
          <w:sz w:val="20"/>
        </w:rPr>
        <w:t> </w:t>
      </w:r>
      <w:r>
        <w:rPr>
          <w:sz w:val="20"/>
        </w:rPr>
        <w:t>decision</w:t>
      </w:r>
      <w:r>
        <w:rPr>
          <w:spacing w:val="-13"/>
          <w:sz w:val="20"/>
        </w:rPr>
        <w:t> </w:t>
      </w:r>
      <w:r>
        <w:rPr>
          <w:sz w:val="20"/>
        </w:rPr>
        <w:t>making.</w:t>
      </w:r>
      <w:r>
        <w:rPr>
          <w:spacing w:val="-12"/>
          <w:sz w:val="20"/>
        </w:rPr>
        <w:t> </w:t>
      </w:r>
      <w:r>
        <w:rPr>
          <w:sz w:val="20"/>
        </w:rPr>
        <w:t>In</w:t>
      </w:r>
      <w:r>
        <w:rPr>
          <w:spacing w:val="-13"/>
          <w:sz w:val="20"/>
        </w:rPr>
        <w:t> </w:t>
      </w:r>
      <w:r>
        <w:rPr>
          <w:sz w:val="20"/>
        </w:rPr>
        <w:t>the</w:t>
      </w:r>
      <w:r>
        <w:rPr>
          <w:spacing w:val="-12"/>
          <w:sz w:val="20"/>
        </w:rPr>
        <w:t> </w:t>
      </w:r>
      <w:r>
        <w:rPr>
          <w:sz w:val="20"/>
        </w:rPr>
        <w:t>study ‘participants deliberated on the trial of a Black defendant as members of racially homogeneous or heterogeneous mock</w:t>
      </w:r>
      <w:r>
        <w:rPr>
          <w:spacing w:val="-18"/>
          <w:sz w:val="20"/>
        </w:rPr>
        <w:t> </w:t>
      </w:r>
      <w:r>
        <w:rPr>
          <w:spacing w:val="-4"/>
          <w:sz w:val="20"/>
        </w:rPr>
        <w:t>juries’.</w:t>
      </w:r>
      <w:r>
        <w:rPr>
          <w:spacing w:val="-4"/>
          <w:position w:val="7"/>
          <w:sz w:val="11"/>
        </w:rPr>
        <w:t>9</w:t>
      </w:r>
    </w:p>
    <w:p>
      <w:pPr>
        <w:pStyle w:val="ListParagraph"/>
        <w:numPr>
          <w:ilvl w:val="1"/>
          <w:numId w:val="12"/>
        </w:numPr>
        <w:tabs>
          <w:tab w:pos="1761" w:val="left" w:leader="none"/>
          <w:tab w:pos="1762" w:val="left" w:leader="none"/>
        </w:tabs>
        <w:spacing w:line="206" w:lineRule="auto" w:before="125" w:after="0"/>
        <w:ind w:left="1761" w:right="1217" w:hanging="794"/>
        <w:jc w:val="left"/>
        <w:rPr>
          <w:sz w:val="20"/>
        </w:rPr>
      </w:pPr>
      <w:r>
        <w:rPr>
          <w:sz w:val="20"/>
        </w:rPr>
        <w:t>The study concludes that </w:t>
      </w:r>
      <w:r>
        <w:rPr>
          <w:spacing w:val="-3"/>
          <w:sz w:val="20"/>
        </w:rPr>
        <w:t>by ‘every </w:t>
      </w:r>
      <w:r>
        <w:rPr>
          <w:sz w:val="20"/>
        </w:rPr>
        <w:t>deliberation measure examined in the </w:t>
      </w:r>
      <w:r>
        <w:rPr>
          <w:spacing w:val="-3"/>
          <w:sz w:val="20"/>
        </w:rPr>
        <w:t>present research, </w:t>
      </w:r>
      <w:r>
        <w:rPr>
          <w:sz w:val="20"/>
        </w:rPr>
        <w:t>heterogeneous groups outperformed homogeneous </w:t>
      </w:r>
      <w:r>
        <w:rPr>
          <w:spacing w:val="-4"/>
          <w:sz w:val="20"/>
        </w:rPr>
        <w:t>groups’.</w:t>
      </w:r>
      <w:r>
        <w:rPr>
          <w:spacing w:val="-4"/>
          <w:position w:val="7"/>
          <w:sz w:val="11"/>
        </w:rPr>
        <w:t>10 </w:t>
      </w:r>
      <w:r>
        <w:rPr>
          <w:sz w:val="20"/>
        </w:rPr>
        <w:t>It was found that</w:t>
      </w:r>
      <w:r>
        <w:rPr>
          <w:spacing w:val="-12"/>
          <w:sz w:val="20"/>
        </w:rPr>
        <w:t> </w:t>
      </w:r>
      <w:r>
        <w:rPr>
          <w:sz w:val="20"/>
        </w:rPr>
        <w:t>‘diverse</w:t>
      </w:r>
      <w:r>
        <w:rPr>
          <w:spacing w:val="-12"/>
          <w:sz w:val="20"/>
        </w:rPr>
        <w:t> </w:t>
      </w:r>
      <w:r>
        <w:rPr>
          <w:sz w:val="20"/>
        </w:rPr>
        <w:t>juries</w:t>
      </w:r>
      <w:r>
        <w:rPr>
          <w:spacing w:val="-12"/>
          <w:sz w:val="20"/>
        </w:rPr>
        <w:t> </w:t>
      </w:r>
      <w:r>
        <w:rPr>
          <w:sz w:val="20"/>
        </w:rPr>
        <w:t>deliberated</w:t>
      </w:r>
      <w:r>
        <w:rPr>
          <w:spacing w:val="-12"/>
          <w:sz w:val="20"/>
        </w:rPr>
        <w:t> </w:t>
      </w:r>
      <w:r>
        <w:rPr>
          <w:spacing w:val="-4"/>
          <w:sz w:val="20"/>
        </w:rPr>
        <w:t>longer,</w:t>
      </w:r>
      <w:r>
        <w:rPr>
          <w:spacing w:val="-11"/>
          <w:sz w:val="20"/>
        </w:rPr>
        <w:t> </w:t>
      </w:r>
      <w:r>
        <w:rPr>
          <w:sz w:val="20"/>
        </w:rPr>
        <w:t>raised</w:t>
      </w:r>
      <w:r>
        <w:rPr>
          <w:spacing w:val="-12"/>
          <w:sz w:val="20"/>
        </w:rPr>
        <w:t> </w:t>
      </w:r>
      <w:r>
        <w:rPr>
          <w:sz w:val="20"/>
        </w:rPr>
        <w:t>more</w:t>
      </w:r>
      <w:r>
        <w:rPr>
          <w:spacing w:val="-12"/>
          <w:sz w:val="20"/>
        </w:rPr>
        <w:t> </w:t>
      </w:r>
      <w:r>
        <w:rPr>
          <w:sz w:val="20"/>
        </w:rPr>
        <w:t>facts</w:t>
      </w:r>
      <w:r>
        <w:rPr>
          <w:spacing w:val="-12"/>
          <w:sz w:val="20"/>
        </w:rPr>
        <w:t> </w:t>
      </w:r>
      <w:r>
        <w:rPr>
          <w:sz w:val="20"/>
        </w:rPr>
        <w:t>about</w:t>
      </w:r>
      <w:r>
        <w:rPr>
          <w:spacing w:val="-11"/>
          <w:sz w:val="20"/>
        </w:rPr>
        <w:t> </w:t>
      </w:r>
      <w:r>
        <w:rPr>
          <w:sz w:val="20"/>
        </w:rPr>
        <w:t>the</w:t>
      </w:r>
      <w:r>
        <w:rPr>
          <w:spacing w:val="-12"/>
          <w:sz w:val="20"/>
        </w:rPr>
        <w:t> </w:t>
      </w:r>
      <w:r>
        <w:rPr>
          <w:sz w:val="20"/>
        </w:rPr>
        <w:t>case,</w:t>
      </w:r>
      <w:r>
        <w:rPr>
          <w:spacing w:val="-12"/>
          <w:sz w:val="20"/>
        </w:rPr>
        <w:t> </w:t>
      </w:r>
      <w:r>
        <w:rPr>
          <w:sz w:val="20"/>
        </w:rPr>
        <w:t>and</w:t>
      </w:r>
      <w:r>
        <w:rPr>
          <w:spacing w:val="-12"/>
          <w:sz w:val="20"/>
        </w:rPr>
        <w:t> </w:t>
      </w:r>
      <w:r>
        <w:rPr>
          <w:sz w:val="20"/>
        </w:rPr>
        <w:t>conducted broader</w:t>
      </w:r>
      <w:r>
        <w:rPr>
          <w:spacing w:val="-9"/>
          <w:sz w:val="20"/>
        </w:rPr>
        <w:t> </w:t>
      </w:r>
      <w:r>
        <w:rPr>
          <w:sz w:val="20"/>
        </w:rPr>
        <w:t>and</w:t>
      </w:r>
      <w:r>
        <w:rPr>
          <w:spacing w:val="-8"/>
          <w:sz w:val="20"/>
        </w:rPr>
        <w:t> </w:t>
      </w:r>
      <w:r>
        <w:rPr>
          <w:sz w:val="20"/>
        </w:rPr>
        <w:t>more</w:t>
      </w:r>
      <w:r>
        <w:rPr>
          <w:spacing w:val="-8"/>
          <w:sz w:val="20"/>
        </w:rPr>
        <w:t> </w:t>
      </w:r>
      <w:r>
        <w:rPr>
          <w:sz w:val="20"/>
        </w:rPr>
        <w:t>wide-ranging</w:t>
      </w:r>
      <w:r>
        <w:rPr>
          <w:spacing w:val="-9"/>
          <w:sz w:val="20"/>
        </w:rPr>
        <w:t> </w:t>
      </w:r>
      <w:r>
        <w:rPr>
          <w:sz w:val="20"/>
        </w:rPr>
        <w:t>deliberations</w:t>
      </w:r>
      <w:r>
        <w:rPr>
          <w:spacing w:val="-8"/>
          <w:sz w:val="20"/>
        </w:rPr>
        <w:t> </w:t>
      </w:r>
      <w:r>
        <w:rPr>
          <w:sz w:val="20"/>
        </w:rPr>
        <w:t>...</w:t>
      </w:r>
      <w:r>
        <w:rPr>
          <w:spacing w:val="-8"/>
          <w:sz w:val="20"/>
        </w:rPr>
        <w:t> </w:t>
      </w:r>
      <w:r>
        <w:rPr>
          <w:sz w:val="20"/>
        </w:rPr>
        <w:t>They</w:t>
      </w:r>
      <w:r>
        <w:rPr>
          <w:spacing w:val="-9"/>
          <w:sz w:val="20"/>
        </w:rPr>
        <w:t> </w:t>
      </w:r>
      <w:r>
        <w:rPr>
          <w:sz w:val="20"/>
        </w:rPr>
        <w:t>also</w:t>
      </w:r>
      <w:r>
        <w:rPr>
          <w:spacing w:val="-8"/>
          <w:sz w:val="20"/>
        </w:rPr>
        <w:t> </w:t>
      </w:r>
      <w:r>
        <w:rPr>
          <w:sz w:val="20"/>
        </w:rPr>
        <w:t>made</w:t>
      </w:r>
      <w:r>
        <w:rPr>
          <w:spacing w:val="-8"/>
          <w:sz w:val="20"/>
        </w:rPr>
        <w:t> </w:t>
      </w:r>
      <w:r>
        <w:rPr>
          <w:spacing w:val="-3"/>
          <w:sz w:val="20"/>
        </w:rPr>
        <w:t>fewer</w:t>
      </w:r>
      <w:r>
        <w:rPr>
          <w:spacing w:val="-9"/>
          <w:sz w:val="20"/>
        </w:rPr>
        <w:t> </w:t>
      </w:r>
      <w:r>
        <w:rPr>
          <w:spacing w:val="-3"/>
          <w:sz w:val="20"/>
        </w:rPr>
        <w:t>factual</w:t>
      </w:r>
      <w:r>
        <w:rPr>
          <w:spacing w:val="-8"/>
          <w:sz w:val="20"/>
        </w:rPr>
        <w:t> </w:t>
      </w:r>
      <w:r>
        <w:rPr>
          <w:sz w:val="20"/>
        </w:rPr>
        <w:t>errors</w:t>
      </w:r>
    </w:p>
    <w:p>
      <w:pPr>
        <w:pStyle w:val="BodyText"/>
        <w:spacing w:line="206" w:lineRule="auto" w:before="5"/>
        <w:ind w:left="1761" w:right="1335"/>
        <w:rPr>
          <w:sz w:val="11"/>
        </w:rPr>
      </w:pPr>
      <w:r>
        <w:rPr/>
        <w:t>in</w:t>
      </w:r>
      <w:r>
        <w:rPr>
          <w:spacing w:val="-10"/>
        </w:rPr>
        <w:t> </w:t>
      </w:r>
      <w:r>
        <w:rPr/>
        <w:t>discussing</w:t>
      </w:r>
      <w:r>
        <w:rPr>
          <w:spacing w:val="-10"/>
        </w:rPr>
        <w:t> </w:t>
      </w:r>
      <w:r>
        <w:rPr/>
        <w:t>evidence</w:t>
      </w:r>
      <w:r>
        <w:rPr>
          <w:spacing w:val="-10"/>
        </w:rPr>
        <w:t> </w:t>
      </w:r>
      <w:r>
        <w:rPr/>
        <w:t>and</w:t>
      </w:r>
      <w:r>
        <w:rPr>
          <w:spacing w:val="-10"/>
        </w:rPr>
        <w:t> </w:t>
      </w:r>
      <w:r>
        <w:rPr/>
        <w:t>when</w:t>
      </w:r>
      <w:r>
        <w:rPr>
          <w:spacing w:val="-10"/>
        </w:rPr>
        <w:t> </w:t>
      </w:r>
      <w:r>
        <w:rPr/>
        <w:t>errors</w:t>
      </w:r>
      <w:r>
        <w:rPr>
          <w:spacing w:val="-10"/>
        </w:rPr>
        <w:t> </w:t>
      </w:r>
      <w:r>
        <w:rPr/>
        <w:t>did</w:t>
      </w:r>
      <w:r>
        <w:rPr>
          <w:spacing w:val="-10"/>
        </w:rPr>
        <w:t> </w:t>
      </w:r>
      <w:r>
        <w:rPr>
          <w:spacing w:val="-4"/>
        </w:rPr>
        <w:t>occur,</w:t>
      </w:r>
      <w:r>
        <w:rPr>
          <w:spacing w:val="-10"/>
        </w:rPr>
        <w:t> </w:t>
      </w:r>
      <w:r>
        <w:rPr/>
        <w:t>those</w:t>
      </w:r>
      <w:r>
        <w:rPr>
          <w:spacing w:val="-10"/>
        </w:rPr>
        <w:t> </w:t>
      </w:r>
      <w:r>
        <w:rPr/>
        <w:t>errors</w:t>
      </w:r>
      <w:r>
        <w:rPr>
          <w:spacing w:val="-10"/>
        </w:rPr>
        <w:t> </w:t>
      </w:r>
      <w:r>
        <w:rPr>
          <w:spacing w:val="-4"/>
        </w:rPr>
        <w:t>were</w:t>
      </w:r>
      <w:r>
        <w:rPr>
          <w:spacing w:val="-10"/>
        </w:rPr>
        <w:t> </w:t>
      </w:r>
      <w:r>
        <w:rPr/>
        <w:t>more</w:t>
      </w:r>
      <w:r>
        <w:rPr>
          <w:spacing w:val="-10"/>
        </w:rPr>
        <w:t> </w:t>
      </w:r>
      <w:r>
        <w:rPr>
          <w:spacing w:val="-3"/>
        </w:rPr>
        <w:t>likely</w:t>
      </w:r>
      <w:r>
        <w:rPr>
          <w:spacing w:val="-10"/>
        </w:rPr>
        <w:t> </w:t>
      </w:r>
      <w:r>
        <w:rPr/>
        <w:t>to</w:t>
      </w:r>
      <w:r>
        <w:rPr>
          <w:spacing w:val="-10"/>
        </w:rPr>
        <w:t> </w:t>
      </w:r>
      <w:r>
        <w:rPr/>
        <w:t>be </w:t>
      </w:r>
      <w:r>
        <w:rPr>
          <w:spacing w:val="-2"/>
        </w:rPr>
        <w:t>corrected </w:t>
      </w:r>
      <w:r>
        <w:rPr/>
        <w:t>during the</w:t>
      </w:r>
      <w:r>
        <w:rPr>
          <w:spacing w:val="-10"/>
        </w:rPr>
        <w:t> </w:t>
      </w:r>
      <w:r>
        <w:rPr>
          <w:spacing w:val="-3"/>
        </w:rPr>
        <w:t>discussion’.</w:t>
      </w:r>
      <w:r>
        <w:rPr>
          <w:spacing w:val="-3"/>
          <w:position w:val="7"/>
          <w:sz w:val="11"/>
        </w:rPr>
        <w:t>11</w:t>
      </w:r>
    </w:p>
    <w:p>
      <w:pPr>
        <w:pStyle w:val="ListParagraph"/>
        <w:numPr>
          <w:ilvl w:val="1"/>
          <w:numId w:val="12"/>
        </w:numPr>
        <w:tabs>
          <w:tab w:pos="1761" w:val="left" w:leader="none"/>
          <w:tab w:pos="1762" w:val="left" w:leader="none"/>
        </w:tabs>
        <w:spacing w:line="206" w:lineRule="auto" w:before="122" w:after="0"/>
        <w:ind w:left="1761" w:right="1206" w:hanging="794"/>
        <w:jc w:val="left"/>
        <w:rPr>
          <w:sz w:val="11"/>
        </w:rPr>
      </w:pPr>
      <w:r>
        <w:rPr>
          <w:sz w:val="20"/>
        </w:rPr>
        <w:t>Sommers’ </w:t>
      </w:r>
      <w:r>
        <w:rPr>
          <w:spacing w:val="-3"/>
          <w:sz w:val="20"/>
        </w:rPr>
        <w:t>research </w:t>
      </w:r>
      <w:r>
        <w:rPr>
          <w:sz w:val="20"/>
        </w:rPr>
        <w:t>challenges traditional assumptions that the influence of diversity comes </w:t>
      </w:r>
      <w:r>
        <w:rPr>
          <w:spacing w:val="-3"/>
          <w:sz w:val="20"/>
        </w:rPr>
        <w:t>from </w:t>
      </w:r>
      <w:r>
        <w:rPr>
          <w:sz w:val="20"/>
        </w:rPr>
        <w:t>the ‘contributions of minority group members’ who educate others and bring </w:t>
      </w:r>
      <w:r>
        <w:rPr>
          <w:spacing w:val="-3"/>
          <w:sz w:val="20"/>
        </w:rPr>
        <w:t>‘new </w:t>
      </w:r>
      <w:r>
        <w:rPr>
          <w:sz w:val="20"/>
        </w:rPr>
        <w:t>perspectives and experiences to the </w:t>
      </w:r>
      <w:r>
        <w:rPr>
          <w:spacing w:val="-3"/>
          <w:sz w:val="20"/>
        </w:rPr>
        <w:t>table’.</w:t>
      </w:r>
      <w:r>
        <w:rPr>
          <w:spacing w:val="-3"/>
          <w:position w:val="7"/>
          <w:sz w:val="11"/>
        </w:rPr>
        <w:t>12 </w:t>
      </w:r>
      <w:r>
        <w:rPr>
          <w:sz w:val="20"/>
        </w:rPr>
        <w:t>Instead, Sommers suggests that the benefits </w:t>
      </w:r>
      <w:r>
        <w:rPr>
          <w:spacing w:val="-3"/>
          <w:sz w:val="20"/>
        </w:rPr>
        <w:t>are </w:t>
      </w:r>
      <w:r>
        <w:rPr>
          <w:sz w:val="20"/>
        </w:rPr>
        <w:t>broader than these assumptions with diversity leading to superior decision making overall. In this case it was ‘not that the minority members of the jury </w:t>
      </w:r>
      <w:r>
        <w:rPr>
          <w:spacing w:val="-4"/>
          <w:sz w:val="20"/>
        </w:rPr>
        <w:t>were</w:t>
      </w:r>
      <w:r>
        <w:rPr>
          <w:spacing w:val="-11"/>
          <w:sz w:val="20"/>
        </w:rPr>
        <w:t> </w:t>
      </w:r>
      <w:r>
        <w:rPr>
          <w:sz w:val="20"/>
        </w:rPr>
        <w:t>more</w:t>
      </w:r>
      <w:r>
        <w:rPr>
          <w:spacing w:val="-11"/>
          <w:sz w:val="20"/>
        </w:rPr>
        <w:t> </w:t>
      </w:r>
      <w:r>
        <w:rPr>
          <w:sz w:val="20"/>
        </w:rPr>
        <w:t>thorough</w:t>
      </w:r>
      <w:r>
        <w:rPr>
          <w:spacing w:val="-11"/>
          <w:sz w:val="20"/>
        </w:rPr>
        <w:t> </w:t>
      </w:r>
      <w:r>
        <w:rPr>
          <w:sz w:val="20"/>
        </w:rPr>
        <w:t>or</w:t>
      </w:r>
      <w:r>
        <w:rPr>
          <w:spacing w:val="-11"/>
          <w:sz w:val="20"/>
        </w:rPr>
        <w:t> </w:t>
      </w:r>
      <w:r>
        <w:rPr>
          <w:spacing w:val="-3"/>
          <w:sz w:val="20"/>
        </w:rPr>
        <w:t>accurate</w:t>
      </w:r>
      <w:r>
        <w:rPr>
          <w:spacing w:val="-11"/>
          <w:sz w:val="20"/>
        </w:rPr>
        <w:t> </w:t>
      </w:r>
      <w:r>
        <w:rPr>
          <w:sz w:val="20"/>
        </w:rPr>
        <w:t>than</w:t>
      </w:r>
      <w:r>
        <w:rPr>
          <w:spacing w:val="-10"/>
          <w:sz w:val="20"/>
        </w:rPr>
        <w:t> </w:t>
      </w:r>
      <w:r>
        <w:rPr>
          <w:sz w:val="20"/>
        </w:rPr>
        <w:t>the</w:t>
      </w:r>
      <w:r>
        <w:rPr>
          <w:spacing w:val="-11"/>
          <w:sz w:val="20"/>
        </w:rPr>
        <w:t> </w:t>
      </w:r>
      <w:r>
        <w:rPr>
          <w:sz w:val="20"/>
        </w:rPr>
        <w:t>white</w:t>
      </w:r>
      <w:r>
        <w:rPr>
          <w:spacing w:val="-11"/>
          <w:sz w:val="20"/>
        </w:rPr>
        <w:t> </w:t>
      </w:r>
      <w:r>
        <w:rPr>
          <w:sz w:val="20"/>
        </w:rPr>
        <w:t>jurors,</w:t>
      </w:r>
      <w:r>
        <w:rPr>
          <w:spacing w:val="-11"/>
          <w:sz w:val="20"/>
        </w:rPr>
        <w:t> </w:t>
      </w:r>
      <w:r>
        <w:rPr>
          <w:sz w:val="20"/>
        </w:rPr>
        <w:t>but</w:t>
      </w:r>
      <w:r>
        <w:rPr>
          <w:spacing w:val="-11"/>
          <w:sz w:val="20"/>
        </w:rPr>
        <w:t> </w:t>
      </w:r>
      <w:r>
        <w:rPr>
          <w:sz w:val="20"/>
        </w:rPr>
        <w:t>in</w:t>
      </w:r>
      <w:r>
        <w:rPr>
          <w:spacing w:val="-11"/>
          <w:sz w:val="20"/>
        </w:rPr>
        <w:t> </w:t>
      </w:r>
      <w:r>
        <w:rPr>
          <w:sz w:val="20"/>
        </w:rPr>
        <w:t>diverse</w:t>
      </w:r>
      <w:r>
        <w:rPr>
          <w:spacing w:val="-10"/>
          <w:sz w:val="20"/>
        </w:rPr>
        <w:t> </w:t>
      </w:r>
      <w:r>
        <w:rPr>
          <w:sz w:val="20"/>
        </w:rPr>
        <w:t>juries,</w:t>
      </w:r>
      <w:r>
        <w:rPr>
          <w:spacing w:val="-11"/>
          <w:sz w:val="20"/>
        </w:rPr>
        <w:t> </w:t>
      </w:r>
      <w:r>
        <w:rPr>
          <w:i/>
          <w:sz w:val="20"/>
        </w:rPr>
        <w:t>all</w:t>
      </w:r>
      <w:r>
        <w:rPr>
          <w:i/>
          <w:spacing w:val="-11"/>
          <w:sz w:val="20"/>
        </w:rPr>
        <w:t> </w:t>
      </w:r>
      <w:r>
        <w:rPr>
          <w:sz w:val="20"/>
        </w:rPr>
        <w:t>members of</w:t>
      </w:r>
      <w:r>
        <w:rPr>
          <w:spacing w:val="-7"/>
          <w:sz w:val="20"/>
        </w:rPr>
        <w:t> </w:t>
      </w:r>
      <w:r>
        <w:rPr>
          <w:sz w:val="20"/>
        </w:rPr>
        <w:t>the</w:t>
      </w:r>
      <w:r>
        <w:rPr>
          <w:spacing w:val="-7"/>
          <w:sz w:val="20"/>
        </w:rPr>
        <w:t> </w:t>
      </w:r>
      <w:r>
        <w:rPr>
          <w:sz w:val="20"/>
        </w:rPr>
        <w:t>group</w:t>
      </w:r>
      <w:r>
        <w:rPr>
          <w:spacing w:val="-7"/>
          <w:sz w:val="20"/>
        </w:rPr>
        <w:t> </w:t>
      </w:r>
      <w:r>
        <w:rPr>
          <w:sz w:val="20"/>
        </w:rPr>
        <w:t>take</w:t>
      </w:r>
      <w:r>
        <w:rPr>
          <w:spacing w:val="-7"/>
          <w:sz w:val="20"/>
        </w:rPr>
        <w:t> </w:t>
      </w:r>
      <w:r>
        <w:rPr>
          <w:sz w:val="20"/>
        </w:rPr>
        <w:t>more</w:t>
      </w:r>
      <w:r>
        <w:rPr>
          <w:spacing w:val="-7"/>
          <w:sz w:val="20"/>
        </w:rPr>
        <w:t> </w:t>
      </w:r>
      <w:r>
        <w:rPr>
          <w:sz w:val="20"/>
        </w:rPr>
        <w:t>care</w:t>
      </w:r>
      <w:r>
        <w:rPr>
          <w:spacing w:val="-7"/>
          <w:sz w:val="20"/>
        </w:rPr>
        <w:t> </w:t>
      </w:r>
      <w:r>
        <w:rPr>
          <w:sz w:val="20"/>
        </w:rPr>
        <w:t>to</w:t>
      </w:r>
      <w:r>
        <w:rPr>
          <w:spacing w:val="-6"/>
          <w:sz w:val="20"/>
        </w:rPr>
        <w:t> </w:t>
      </w:r>
      <w:r>
        <w:rPr>
          <w:spacing w:val="-3"/>
          <w:sz w:val="20"/>
        </w:rPr>
        <w:t>examine</w:t>
      </w:r>
      <w:r>
        <w:rPr>
          <w:spacing w:val="-7"/>
          <w:sz w:val="20"/>
        </w:rPr>
        <w:t> </w:t>
      </w:r>
      <w:r>
        <w:rPr>
          <w:sz w:val="20"/>
        </w:rPr>
        <w:t>the</w:t>
      </w:r>
      <w:r>
        <w:rPr>
          <w:spacing w:val="-7"/>
          <w:sz w:val="20"/>
        </w:rPr>
        <w:t> </w:t>
      </w:r>
      <w:r>
        <w:rPr>
          <w:sz w:val="20"/>
        </w:rPr>
        <w:t>evidence</w:t>
      </w:r>
      <w:r>
        <w:rPr>
          <w:spacing w:val="-7"/>
          <w:sz w:val="20"/>
        </w:rPr>
        <w:t> </w:t>
      </w:r>
      <w:r>
        <w:rPr>
          <w:sz w:val="20"/>
        </w:rPr>
        <w:t>and</w:t>
      </w:r>
      <w:r>
        <w:rPr>
          <w:spacing w:val="-7"/>
          <w:sz w:val="20"/>
        </w:rPr>
        <w:t> </w:t>
      </w:r>
      <w:r>
        <w:rPr>
          <w:sz w:val="20"/>
        </w:rPr>
        <w:t>reflect</w:t>
      </w:r>
      <w:r>
        <w:rPr>
          <w:spacing w:val="-7"/>
          <w:sz w:val="20"/>
        </w:rPr>
        <w:t> </w:t>
      </w:r>
      <w:r>
        <w:rPr>
          <w:sz w:val="20"/>
        </w:rPr>
        <w:t>critically’.</w:t>
      </w:r>
      <w:r>
        <w:rPr>
          <w:position w:val="7"/>
          <w:sz w:val="11"/>
        </w:rPr>
        <w:t>13</w:t>
      </w:r>
    </w:p>
    <w:p>
      <w:pPr>
        <w:pStyle w:val="BodyText"/>
        <w:spacing w:before="4"/>
        <w:rPr>
          <w:sz w:val="14"/>
        </w:rPr>
      </w:pPr>
      <w:r>
        <w:rPr/>
        <w:pict>
          <v:line style="position:absolute;mso-position-horizontal-relative:page;mso-position-vertical-relative:paragraph;z-index:4016;mso-wrap-distance-left:0;mso-wrap-distance-right:0" from="79.370102pt,12.397pt" to="515.905102pt,12.397pt" stroked="true" strokeweight="1pt" strokecolor="#b6bdc8">
            <v:stroke dashstyle="solid"/>
            <w10:wrap type="topAndBottom"/>
          </v:line>
        </w:pict>
      </w:r>
    </w:p>
    <w:p>
      <w:pPr>
        <w:pStyle w:val="ListParagraph"/>
        <w:numPr>
          <w:ilvl w:val="0"/>
          <w:numId w:val="57"/>
        </w:numPr>
        <w:tabs>
          <w:tab w:pos="1760" w:val="left" w:leader="none"/>
          <w:tab w:pos="1762" w:val="left" w:leader="none"/>
        </w:tabs>
        <w:spacing w:line="170" w:lineRule="exact" w:before="91" w:after="0"/>
        <w:ind w:left="1761" w:right="0" w:hanging="794"/>
        <w:jc w:val="left"/>
        <w:rPr>
          <w:sz w:val="13"/>
        </w:rPr>
      </w:pPr>
      <w:r>
        <w:rPr>
          <w:spacing w:val="2"/>
          <w:sz w:val="13"/>
        </w:rPr>
        <w:t>Queensland </w:t>
      </w:r>
      <w:r>
        <w:rPr>
          <w:sz w:val="13"/>
        </w:rPr>
        <w:t>Law Reform </w:t>
      </w:r>
      <w:r>
        <w:rPr>
          <w:spacing w:val="2"/>
          <w:sz w:val="13"/>
        </w:rPr>
        <w:t>Commission, </w:t>
      </w:r>
      <w:r>
        <w:rPr>
          <w:i/>
          <w:sz w:val="13"/>
        </w:rPr>
        <w:t>A Review of </w:t>
      </w:r>
      <w:r>
        <w:rPr>
          <w:i/>
          <w:spacing w:val="2"/>
          <w:sz w:val="13"/>
        </w:rPr>
        <w:t>Jury </w:t>
      </w:r>
      <w:r>
        <w:rPr>
          <w:i/>
          <w:sz w:val="13"/>
        </w:rPr>
        <w:t>Selection </w:t>
      </w:r>
      <w:r>
        <w:rPr>
          <w:spacing w:val="2"/>
          <w:sz w:val="13"/>
        </w:rPr>
        <w:t>(Report </w:t>
      </w:r>
      <w:r>
        <w:rPr>
          <w:sz w:val="13"/>
        </w:rPr>
        <w:t>No 68, 2011) </w:t>
      </w:r>
      <w:r>
        <w:rPr>
          <w:spacing w:val="2"/>
          <w:sz w:val="13"/>
        </w:rPr>
        <w:t>Appendix </w:t>
      </w:r>
      <w:r>
        <w:rPr>
          <w:spacing w:val="3"/>
          <w:sz w:val="13"/>
        </w:rPr>
        <w:t>A,</w:t>
      </w:r>
      <w:r>
        <w:rPr>
          <w:spacing w:val="-2"/>
          <w:sz w:val="13"/>
        </w:rPr>
        <w:t> </w:t>
      </w:r>
      <w:r>
        <w:rPr>
          <w:sz w:val="13"/>
        </w:rPr>
        <w:t>447.</w:t>
      </w:r>
    </w:p>
    <w:p>
      <w:pPr>
        <w:pStyle w:val="ListParagraph"/>
        <w:numPr>
          <w:ilvl w:val="0"/>
          <w:numId w:val="57"/>
        </w:numPr>
        <w:tabs>
          <w:tab w:pos="1760" w:val="left" w:leader="none"/>
          <w:tab w:pos="1762" w:val="left" w:leader="none"/>
        </w:tabs>
        <w:spacing w:line="213" w:lineRule="auto" w:before="6" w:after="0"/>
        <w:ind w:left="1761" w:right="1272" w:hanging="794"/>
        <w:jc w:val="left"/>
        <w:rPr>
          <w:sz w:val="13"/>
        </w:rPr>
      </w:pPr>
      <w:r>
        <w:rPr>
          <w:sz w:val="13"/>
        </w:rPr>
        <w:t>For example, women are more likely to be </w:t>
      </w:r>
      <w:r>
        <w:rPr>
          <w:spacing w:val="2"/>
          <w:sz w:val="13"/>
        </w:rPr>
        <w:t>challenged </w:t>
      </w:r>
      <w:r>
        <w:rPr>
          <w:sz w:val="13"/>
        </w:rPr>
        <w:t>in criminal trials: Jacqueline Horan, </w:t>
      </w:r>
      <w:r>
        <w:rPr>
          <w:i/>
          <w:sz w:val="13"/>
        </w:rPr>
        <w:t>Juries in the 21st Century </w:t>
      </w:r>
      <w:r>
        <w:rPr>
          <w:spacing w:val="2"/>
          <w:sz w:val="13"/>
        </w:rPr>
        <w:t>(The   </w:t>
      </w:r>
      <w:r>
        <w:rPr>
          <w:sz w:val="13"/>
        </w:rPr>
        <w:t>Federation Press, 2012) 42–43; 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33 </w:t>
      </w:r>
      <w:r>
        <w:rPr>
          <w:spacing w:val="2"/>
          <w:sz w:val="13"/>
        </w:rPr>
        <w:t>[3.92]–[3.96]. </w:t>
      </w:r>
      <w:r>
        <w:rPr>
          <w:sz w:val="13"/>
        </w:rPr>
        <w:t>Broader societal factors </w:t>
      </w:r>
      <w:r>
        <w:rPr>
          <w:spacing w:val="2"/>
          <w:sz w:val="13"/>
        </w:rPr>
        <w:t>also </w:t>
      </w:r>
      <w:r>
        <w:rPr>
          <w:sz w:val="13"/>
        </w:rPr>
        <w:t>limit the </w:t>
      </w:r>
      <w:r>
        <w:rPr>
          <w:spacing w:val="2"/>
          <w:sz w:val="13"/>
        </w:rPr>
        <w:t>participation </w:t>
      </w:r>
      <w:r>
        <w:rPr>
          <w:sz w:val="13"/>
        </w:rPr>
        <w:t>of some groups of people, for example, whether a person is on the electoral roll, if they live regionally or remotely and can get to a </w:t>
      </w:r>
      <w:r>
        <w:rPr>
          <w:spacing w:val="2"/>
          <w:sz w:val="13"/>
        </w:rPr>
        <w:t>court, </w:t>
      </w:r>
      <w:r>
        <w:rPr>
          <w:sz w:val="13"/>
        </w:rPr>
        <w:t>whether they speak or </w:t>
      </w:r>
      <w:r>
        <w:rPr>
          <w:spacing w:val="2"/>
          <w:sz w:val="13"/>
        </w:rPr>
        <w:t>understand </w:t>
      </w:r>
      <w:r>
        <w:rPr>
          <w:sz w:val="13"/>
        </w:rPr>
        <w:t>English, and whether they are a recent migrant: see Lord Justice Robin Auld, </w:t>
      </w:r>
      <w:r>
        <w:rPr>
          <w:spacing w:val="2"/>
          <w:sz w:val="13"/>
        </w:rPr>
        <w:t>Ministry </w:t>
      </w:r>
      <w:r>
        <w:rPr>
          <w:sz w:val="13"/>
        </w:rPr>
        <w:t>of Justice (UK), </w:t>
      </w:r>
      <w:r>
        <w:rPr>
          <w:i/>
          <w:sz w:val="13"/>
        </w:rPr>
        <w:t>Review of the Criminal </w:t>
      </w:r>
      <w:r>
        <w:rPr>
          <w:i/>
          <w:spacing w:val="2"/>
          <w:sz w:val="13"/>
        </w:rPr>
        <w:t>Courts </w:t>
      </w:r>
      <w:r>
        <w:rPr>
          <w:i/>
          <w:sz w:val="13"/>
        </w:rPr>
        <w:t>of England and Wales </w:t>
      </w:r>
      <w:r>
        <w:rPr>
          <w:spacing w:val="2"/>
          <w:sz w:val="13"/>
        </w:rPr>
        <w:t>(Report, </w:t>
      </w:r>
      <w:r>
        <w:rPr>
          <w:sz w:val="13"/>
        </w:rPr>
        <w:t>September 2001) ch 5 [6] &lt;</w:t>
      </w:r>
      <w:hyperlink r:id="rId136">
        <w:r>
          <w:rPr>
            <w:sz w:val="13"/>
          </w:rPr>
          <w:t>https://ials.sas.ac.uk/eagle-i/review-criminal-courts-england-and-wales-right-honourable-lord-</w:t>
        </w:r>
      </w:hyperlink>
      <w:hyperlink r:id="rId136">
        <w:r>
          <w:rPr>
            <w:sz w:val="13"/>
          </w:rPr>
          <w:t> justice-auld-september-2001</w:t>
        </w:r>
      </w:hyperlink>
      <w:r>
        <w:rPr>
          <w:sz w:val="13"/>
        </w:rPr>
        <w:t>&gt;. People may </w:t>
      </w:r>
      <w:r>
        <w:rPr>
          <w:spacing w:val="2"/>
          <w:sz w:val="13"/>
        </w:rPr>
        <w:t>also </w:t>
      </w:r>
      <w:r>
        <w:rPr>
          <w:sz w:val="13"/>
        </w:rPr>
        <w:t>seek to be excused. The </w:t>
      </w:r>
      <w:r>
        <w:rPr>
          <w:spacing w:val="2"/>
          <w:sz w:val="13"/>
        </w:rPr>
        <w:t>jury eligibility </w:t>
      </w:r>
      <w:r>
        <w:rPr>
          <w:sz w:val="13"/>
        </w:rPr>
        <w:t>form requests additional information    from people </w:t>
      </w:r>
      <w:r>
        <w:rPr>
          <w:spacing w:val="2"/>
          <w:sz w:val="13"/>
        </w:rPr>
        <w:t>seeking </w:t>
      </w:r>
      <w:r>
        <w:rPr>
          <w:sz w:val="13"/>
        </w:rPr>
        <w:t>to be excused for </w:t>
      </w:r>
      <w:r>
        <w:rPr>
          <w:spacing w:val="2"/>
          <w:sz w:val="13"/>
        </w:rPr>
        <w:t>medical </w:t>
      </w:r>
      <w:r>
        <w:rPr>
          <w:sz w:val="13"/>
        </w:rPr>
        <w:t>reasons, distance from the court or </w:t>
      </w:r>
      <w:r>
        <w:rPr>
          <w:spacing w:val="2"/>
          <w:sz w:val="13"/>
        </w:rPr>
        <w:t>because </w:t>
      </w:r>
      <w:r>
        <w:rPr>
          <w:sz w:val="13"/>
        </w:rPr>
        <w:t>they are self-employed, casual workers with unpredictable </w:t>
      </w:r>
      <w:r>
        <w:rPr>
          <w:spacing w:val="2"/>
          <w:sz w:val="13"/>
        </w:rPr>
        <w:t>shifts, </w:t>
      </w:r>
      <w:r>
        <w:rPr>
          <w:sz w:val="13"/>
        </w:rPr>
        <w:t>work for a small </w:t>
      </w:r>
      <w:r>
        <w:rPr>
          <w:spacing w:val="2"/>
          <w:sz w:val="13"/>
        </w:rPr>
        <w:t>business, </w:t>
      </w:r>
      <w:r>
        <w:rPr>
          <w:sz w:val="13"/>
        </w:rPr>
        <w:t>have </w:t>
      </w:r>
      <w:r>
        <w:rPr>
          <w:spacing w:val="2"/>
          <w:sz w:val="13"/>
        </w:rPr>
        <w:t>primary </w:t>
      </w:r>
      <w:r>
        <w:rPr>
          <w:sz w:val="13"/>
        </w:rPr>
        <w:t>caring responsibilities, are a student or an apprentice: Information provided by Juries Victoria to Victorian Law Reform </w:t>
      </w:r>
      <w:r>
        <w:rPr>
          <w:spacing w:val="2"/>
          <w:sz w:val="13"/>
        </w:rPr>
        <w:t>Commission, </w:t>
      </w:r>
      <w:r>
        <w:rPr>
          <w:sz w:val="13"/>
        </w:rPr>
        <w:t>6 October</w:t>
      </w:r>
      <w:r>
        <w:rPr>
          <w:spacing w:val="14"/>
          <w:sz w:val="13"/>
        </w:rPr>
        <w:t> </w:t>
      </w:r>
      <w:r>
        <w:rPr>
          <w:sz w:val="13"/>
        </w:rPr>
        <w:t>2020.</w:t>
      </w:r>
    </w:p>
    <w:p>
      <w:pPr>
        <w:pStyle w:val="ListParagraph"/>
        <w:numPr>
          <w:ilvl w:val="0"/>
          <w:numId w:val="57"/>
        </w:numPr>
        <w:tabs>
          <w:tab w:pos="1760" w:val="left" w:leader="none"/>
          <w:tab w:pos="1762" w:val="left" w:leader="none"/>
        </w:tabs>
        <w:spacing w:line="148" w:lineRule="exact" w:before="0" w:after="0"/>
        <w:ind w:left="1761" w:right="0" w:hanging="794"/>
        <w:jc w:val="left"/>
        <w:rPr>
          <w:sz w:val="13"/>
        </w:rPr>
      </w:pPr>
      <w:r>
        <w:rPr>
          <w:sz w:val="13"/>
        </w:rPr>
        <w:t>Richard </w:t>
      </w:r>
      <w:r>
        <w:rPr>
          <w:spacing w:val="2"/>
          <w:sz w:val="13"/>
        </w:rPr>
        <w:t>Lempert, </w:t>
      </w:r>
      <w:r>
        <w:rPr>
          <w:sz w:val="13"/>
        </w:rPr>
        <w:t>‘The </w:t>
      </w:r>
      <w:r>
        <w:rPr>
          <w:spacing w:val="2"/>
          <w:sz w:val="13"/>
        </w:rPr>
        <w:t>American Jury </w:t>
      </w:r>
      <w:r>
        <w:rPr>
          <w:sz w:val="13"/>
        </w:rPr>
        <w:t>System: A Synthetic Overview’ (2015) </w:t>
      </w:r>
      <w:r>
        <w:rPr>
          <w:spacing w:val="3"/>
          <w:sz w:val="13"/>
        </w:rPr>
        <w:t>90(3) </w:t>
      </w:r>
      <w:r>
        <w:rPr>
          <w:i/>
          <w:sz w:val="13"/>
        </w:rPr>
        <w:t>Chicago Kent Law Review </w:t>
      </w:r>
      <w:r>
        <w:rPr>
          <w:spacing w:val="2"/>
          <w:sz w:val="13"/>
        </w:rPr>
        <w:t>825, </w:t>
      </w:r>
      <w:r>
        <w:rPr>
          <w:sz w:val="13"/>
        </w:rPr>
        <w:t>839,</w:t>
      </w:r>
      <w:r>
        <w:rPr>
          <w:spacing w:val="16"/>
          <w:sz w:val="13"/>
        </w:rPr>
        <w:t> </w:t>
      </w:r>
      <w:r>
        <w:rPr>
          <w:sz w:val="13"/>
        </w:rPr>
        <w:t>856.</w:t>
      </w:r>
    </w:p>
    <w:p>
      <w:pPr>
        <w:pStyle w:val="ListParagraph"/>
        <w:numPr>
          <w:ilvl w:val="0"/>
          <w:numId w:val="57"/>
        </w:numPr>
        <w:tabs>
          <w:tab w:pos="1760" w:val="left" w:leader="none"/>
          <w:tab w:pos="1762" w:val="left" w:leader="none"/>
        </w:tabs>
        <w:spacing w:line="160" w:lineRule="exact" w:before="0" w:after="0"/>
        <w:ind w:left="1761" w:right="0" w:hanging="794"/>
        <w:jc w:val="left"/>
        <w:rPr>
          <w:sz w:val="13"/>
        </w:rPr>
      </w:pPr>
      <w:r>
        <w:rPr>
          <w:sz w:val="13"/>
        </w:rPr>
        <w:t>Samuel R </w:t>
      </w:r>
      <w:r>
        <w:rPr>
          <w:spacing w:val="2"/>
          <w:sz w:val="13"/>
        </w:rPr>
        <w:t>Sommers, </w:t>
      </w:r>
      <w:r>
        <w:rPr>
          <w:sz w:val="13"/>
        </w:rPr>
        <w:t>‘On Racial Diversity and Group </w:t>
      </w:r>
      <w:r>
        <w:rPr>
          <w:spacing w:val="2"/>
          <w:sz w:val="13"/>
        </w:rPr>
        <w:t>Decision </w:t>
      </w:r>
      <w:r>
        <w:rPr>
          <w:sz w:val="13"/>
        </w:rPr>
        <w:t>Making: </w:t>
      </w:r>
      <w:r>
        <w:rPr>
          <w:spacing w:val="2"/>
          <w:sz w:val="13"/>
        </w:rPr>
        <w:t>Identifying </w:t>
      </w:r>
      <w:r>
        <w:rPr>
          <w:sz w:val="13"/>
        </w:rPr>
        <w:t>Multiple Effects of Racial </w:t>
      </w:r>
      <w:r>
        <w:rPr>
          <w:spacing w:val="2"/>
          <w:sz w:val="13"/>
        </w:rPr>
        <w:t>Composition </w:t>
      </w:r>
      <w:r>
        <w:rPr>
          <w:sz w:val="13"/>
        </w:rPr>
        <w:t>on</w:t>
      </w:r>
      <w:r>
        <w:rPr>
          <w:spacing w:val="19"/>
          <w:sz w:val="13"/>
        </w:rPr>
        <w:t> </w:t>
      </w:r>
      <w:r>
        <w:rPr>
          <w:spacing w:val="2"/>
          <w:sz w:val="13"/>
        </w:rPr>
        <w:t>Jury</w:t>
      </w:r>
    </w:p>
    <w:p>
      <w:pPr>
        <w:spacing w:line="160" w:lineRule="exact" w:before="0"/>
        <w:ind w:left="1761" w:right="0" w:firstLine="0"/>
        <w:jc w:val="left"/>
        <w:rPr>
          <w:sz w:val="13"/>
        </w:rPr>
      </w:pPr>
      <w:r>
        <w:rPr>
          <w:sz w:val="13"/>
        </w:rPr>
        <w:t>Deliberations’ (2006) 90(4) </w:t>
      </w:r>
      <w:r>
        <w:rPr>
          <w:i/>
          <w:sz w:val="13"/>
        </w:rPr>
        <w:t>Journal of Personality and Social Psychology </w:t>
      </w:r>
      <w:r>
        <w:rPr>
          <w:sz w:val="13"/>
        </w:rPr>
        <w:t>597, 597.</w:t>
      </w:r>
    </w:p>
    <w:p>
      <w:pPr>
        <w:pStyle w:val="ListParagraph"/>
        <w:numPr>
          <w:ilvl w:val="0"/>
          <w:numId w:val="57"/>
        </w:numPr>
        <w:tabs>
          <w:tab w:pos="1760" w:val="left" w:leader="none"/>
          <w:tab w:pos="1762" w:val="left" w:leader="none"/>
        </w:tabs>
        <w:spacing w:line="160" w:lineRule="exact" w:before="0" w:after="0"/>
        <w:ind w:left="1761" w:right="0" w:hanging="794"/>
        <w:jc w:val="left"/>
        <w:rPr>
          <w:sz w:val="13"/>
        </w:rPr>
      </w:pPr>
      <w:r>
        <w:rPr>
          <w:sz w:val="13"/>
        </w:rPr>
        <w:t>Ibid </w:t>
      </w:r>
      <w:r>
        <w:rPr>
          <w:spacing w:val="2"/>
          <w:sz w:val="13"/>
        </w:rPr>
        <w:t>608.</w:t>
      </w:r>
    </w:p>
    <w:p>
      <w:pPr>
        <w:pStyle w:val="ListParagraph"/>
        <w:numPr>
          <w:ilvl w:val="0"/>
          <w:numId w:val="57"/>
        </w:numPr>
        <w:tabs>
          <w:tab w:pos="1760" w:val="left" w:leader="none"/>
          <w:tab w:pos="1762" w:val="left" w:leader="none"/>
        </w:tabs>
        <w:spacing w:line="213" w:lineRule="auto" w:before="6" w:after="0"/>
        <w:ind w:left="1761" w:right="1284" w:hanging="794"/>
        <w:jc w:val="left"/>
        <w:rPr>
          <w:sz w:val="13"/>
        </w:rPr>
      </w:pPr>
      <w:r>
        <w:rPr>
          <w:sz w:val="13"/>
        </w:rPr>
        <w:t>‘Racial Diversity Improves Group </w:t>
      </w:r>
      <w:r>
        <w:rPr>
          <w:spacing w:val="2"/>
          <w:sz w:val="13"/>
        </w:rPr>
        <w:t>Decision </w:t>
      </w:r>
      <w:r>
        <w:rPr>
          <w:sz w:val="13"/>
        </w:rPr>
        <w:t>Making in Unexpected Ways, According to Tufts University Research’, </w:t>
      </w:r>
      <w:r>
        <w:rPr>
          <w:i/>
          <w:sz w:val="13"/>
        </w:rPr>
        <w:t>ScienceDaily  </w:t>
      </w:r>
      <w:r>
        <w:rPr>
          <w:sz w:val="13"/>
        </w:rPr>
        <w:t>(Web Page, April 2006) &lt;</w:t>
      </w:r>
      <w:hyperlink r:id="rId137">
        <w:r>
          <w:rPr>
            <w:sz w:val="13"/>
          </w:rPr>
          <w:t>https://www.sciencedaily.com/releases/2006/04/060410162259.htm</w:t>
        </w:r>
      </w:hyperlink>
      <w:r>
        <w:rPr>
          <w:sz w:val="13"/>
        </w:rPr>
        <w:t>&gt;. </w:t>
      </w:r>
      <w:r>
        <w:rPr>
          <w:spacing w:val="2"/>
          <w:sz w:val="13"/>
        </w:rPr>
        <w:t>Sommers also </w:t>
      </w:r>
      <w:r>
        <w:rPr>
          <w:sz w:val="13"/>
        </w:rPr>
        <w:t>concluded that more diverse juries were ‘more </w:t>
      </w:r>
      <w:r>
        <w:rPr>
          <w:spacing w:val="2"/>
          <w:sz w:val="13"/>
        </w:rPr>
        <w:t>open-minded </w:t>
      </w:r>
      <w:r>
        <w:rPr>
          <w:sz w:val="13"/>
        </w:rPr>
        <w:t>in that they were less resistant to discussions of controversial race-related topics’: Samuel R </w:t>
      </w:r>
      <w:r>
        <w:rPr>
          <w:spacing w:val="2"/>
          <w:sz w:val="13"/>
        </w:rPr>
        <w:t>Sommers, </w:t>
      </w:r>
      <w:r>
        <w:rPr>
          <w:sz w:val="13"/>
        </w:rPr>
        <w:t>‘On Racial Diversity and Group </w:t>
      </w:r>
      <w:r>
        <w:rPr>
          <w:spacing w:val="2"/>
          <w:sz w:val="13"/>
        </w:rPr>
        <w:t>Decision </w:t>
      </w:r>
      <w:r>
        <w:rPr>
          <w:sz w:val="13"/>
        </w:rPr>
        <w:t>Making: </w:t>
      </w:r>
      <w:r>
        <w:rPr>
          <w:spacing w:val="2"/>
          <w:sz w:val="13"/>
        </w:rPr>
        <w:t>Identifying </w:t>
      </w:r>
      <w:r>
        <w:rPr>
          <w:sz w:val="13"/>
        </w:rPr>
        <w:t>Multiple Effects of Racial </w:t>
      </w:r>
      <w:r>
        <w:rPr>
          <w:spacing w:val="2"/>
          <w:sz w:val="13"/>
        </w:rPr>
        <w:t>Composition </w:t>
      </w:r>
      <w:r>
        <w:rPr>
          <w:sz w:val="13"/>
        </w:rPr>
        <w:t>on </w:t>
      </w:r>
      <w:r>
        <w:rPr>
          <w:spacing w:val="2"/>
          <w:sz w:val="13"/>
        </w:rPr>
        <w:t>Jury </w:t>
      </w:r>
      <w:r>
        <w:rPr>
          <w:sz w:val="13"/>
        </w:rPr>
        <w:t>Deliberations’ </w:t>
      </w:r>
      <w:r>
        <w:rPr>
          <w:spacing w:val="2"/>
          <w:sz w:val="13"/>
        </w:rPr>
        <w:t>(2006) 90(4) </w:t>
      </w:r>
      <w:r>
        <w:rPr>
          <w:i/>
          <w:sz w:val="13"/>
        </w:rPr>
        <w:t>Journal of Personality and Social Psychology </w:t>
      </w:r>
      <w:r>
        <w:rPr>
          <w:spacing w:val="-3"/>
          <w:sz w:val="13"/>
        </w:rPr>
        <w:t>597,</w:t>
      </w:r>
      <w:r>
        <w:rPr>
          <w:spacing w:val="3"/>
          <w:sz w:val="13"/>
        </w:rPr>
        <w:t> </w:t>
      </w:r>
      <w:r>
        <w:rPr>
          <w:spacing w:val="2"/>
          <w:sz w:val="13"/>
        </w:rPr>
        <w:t>608.</w:t>
      </w:r>
    </w:p>
    <w:p>
      <w:pPr>
        <w:pStyle w:val="ListParagraph"/>
        <w:numPr>
          <w:ilvl w:val="0"/>
          <w:numId w:val="57"/>
        </w:numPr>
        <w:tabs>
          <w:tab w:pos="1761" w:val="left" w:leader="none"/>
          <w:tab w:pos="1762" w:val="left" w:leader="none"/>
        </w:tabs>
        <w:spacing w:line="213" w:lineRule="auto" w:before="0" w:after="0"/>
        <w:ind w:left="1761" w:right="1244" w:hanging="794"/>
        <w:jc w:val="left"/>
        <w:rPr>
          <w:sz w:val="13"/>
        </w:rPr>
      </w:pPr>
      <w:r>
        <w:rPr>
          <w:sz w:val="13"/>
        </w:rPr>
        <w:t>‘Racial Diversity Improves Group </w:t>
      </w:r>
      <w:r>
        <w:rPr>
          <w:spacing w:val="2"/>
          <w:sz w:val="13"/>
        </w:rPr>
        <w:t>Decision </w:t>
      </w:r>
      <w:r>
        <w:rPr>
          <w:sz w:val="13"/>
        </w:rPr>
        <w:t>Making in Unexpected Ways, According to Tufts University Research’, </w:t>
      </w:r>
      <w:r>
        <w:rPr>
          <w:i/>
          <w:sz w:val="13"/>
        </w:rPr>
        <w:t>ScienceDaily   </w:t>
      </w:r>
      <w:r>
        <w:rPr>
          <w:sz w:val="13"/>
        </w:rPr>
        <w:t>(Web Page, April 2006) &lt;</w:t>
      </w:r>
      <w:hyperlink r:id="rId137">
        <w:r>
          <w:rPr>
            <w:sz w:val="13"/>
          </w:rPr>
          <w:t>https://www.sciencedaily.com/releases/2006/04/060410162259.htm</w:t>
        </w:r>
      </w:hyperlink>
      <w:r>
        <w:rPr>
          <w:sz w:val="13"/>
        </w:rPr>
        <w:t>&gt;; Samuel R </w:t>
      </w:r>
      <w:r>
        <w:rPr>
          <w:spacing w:val="2"/>
          <w:sz w:val="13"/>
        </w:rPr>
        <w:t>Sommers, </w:t>
      </w:r>
      <w:r>
        <w:rPr>
          <w:sz w:val="13"/>
        </w:rPr>
        <w:t>‘On Racial Diversity and Group </w:t>
      </w:r>
      <w:r>
        <w:rPr>
          <w:spacing w:val="2"/>
          <w:sz w:val="13"/>
        </w:rPr>
        <w:t>Decision </w:t>
      </w:r>
      <w:r>
        <w:rPr>
          <w:sz w:val="13"/>
        </w:rPr>
        <w:t>Making: </w:t>
      </w:r>
      <w:r>
        <w:rPr>
          <w:spacing w:val="2"/>
          <w:sz w:val="13"/>
        </w:rPr>
        <w:t>Identifying </w:t>
      </w:r>
      <w:r>
        <w:rPr>
          <w:sz w:val="13"/>
        </w:rPr>
        <w:t>Multiple Effects of Racial </w:t>
      </w:r>
      <w:r>
        <w:rPr>
          <w:spacing w:val="2"/>
          <w:sz w:val="13"/>
        </w:rPr>
        <w:t>Composition </w:t>
      </w:r>
      <w:r>
        <w:rPr>
          <w:sz w:val="13"/>
        </w:rPr>
        <w:t>on </w:t>
      </w:r>
      <w:r>
        <w:rPr>
          <w:spacing w:val="2"/>
          <w:sz w:val="13"/>
        </w:rPr>
        <w:t>Jury </w:t>
      </w:r>
      <w:r>
        <w:rPr>
          <w:sz w:val="13"/>
        </w:rPr>
        <w:t>Deliberations’ </w:t>
      </w:r>
      <w:r>
        <w:rPr>
          <w:spacing w:val="2"/>
          <w:sz w:val="13"/>
        </w:rPr>
        <w:t>(2006) 90(4)   </w:t>
      </w:r>
      <w:r>
        <w:rPr>
          <w:i/>
          <w:sz w:val="13"/>
        </w:rPr>
        <w:t>Journal of Personality and Social Psychology </w:t>
      </w:r>
      <w:r>
        <w:rPr>
          <w:spacing w:val="-3"/>
          <w:sz w:val="13"/>
        </w:rPr>
        <w:t>597,</w:t>
      </w:r>
      <w:r>
        <w:rPr>
          <w:spacing w:val="3"/>
          <w:sz w:val="13"/>
        </w:rPr>
        <w:t> </w:t>
      </w:r>
      <w:r>
        <w:rPr>
          <w:spacing w:val="2"/>
          <w:sz w:val="13"/>
        </w:rPr>
        <w:t>608.</w:t>
      </w:r>
    </w:p>
    <w:p>
      <w:pPr>
        <w:pStyle w:val="ListParagraph"/>
        <w:numPr>
          <w:ilvl w:val="0"/>
          <w:numId w:val="57"/>
        </w:numPr>
        <w:tabs>
          <w:tab w:pos="1761" w:val="left" w:leader="none"/>
          <w:tab w:pos="1762" w:val="left" w:leader="none"/>
        </w:tabs>
        <w:spacing w:line="151" w:lineRule="exact" w:before="0" w:after="0"/>
        <w:ind w:left="1761" w:right="0" w:hanging="794"/>
        <w:jc w:val="left"/>
        <w:rPr>
          <w:sz w:val="13"/>
        </w:rPr>
      </w:pPr>
      <w:r>
        <w:rPr/>
        <w:pict>
          <v:shape style="position:absolute;margin-left:548.661194pt;margin-top:3.270373pt;width:13.8pt;height:14.1pt;mso-position-horizontal-relative:page;mso-position-vertical-relative:paragraph;z-index:6088" type="#_x0000_t202" filled="false" stroked="false">
            <v:textbox inset="0,0,0,0">
              <w:txbxContent>
                <w:p>
                  <w:pPr>
                    <w:spacing w:line="282" w:lineRule="exact" w:before="0"/>
                    <w:ind w:left="0" w:right="0" w:firstLine="0"/>
                    <w:jc w:val="left"/>
                    <w:rPr>
                      <w:b/>
                      <w:sz w:val="24"/>
                    </w:rPr>
                  </w:pPr>
                  <w:r>
                    <w:rPr>
                      <w:b/>
                      <w:color w:val="37617A"/>
                      <w:spacing w:val="-2"/>
                      <w:sz w:val="24"/>
                    </w:rPr>
                    <w:t>65</w:t>
                  </w:r>
                </w:p>
              </w:txbxContent>
            </v:textbox>
            <w10:wrap type="none"/>
          </v:shape>
        </w:pict>
      </w:r>
      <w:r>
        <w:rPr>
          <w:sz w:val="13"/>
        </w:rPr>
        <w:t>Christina Marinakis, </w:t>
      </w:r>
      <w:r>
        <w:rPr>
          <w:spacing w:val="2"/>
          <w:sz w:val="13"/>
        </w:rPr>
        <w:t>‘What </w:t>
      </w:r>
      <w:r>
        <w:rPr>
          <w:sz w:val="13"/>
        </w:rPr>
        <w:t>Are the </w:t>
      </w:r>
      <w:r>
        <w:rPr>
          <w:spacing w:val="2"/>
          <w:sz w:val="13"/>
        </w:rPr>
        <w:t>Benefits </w:t>
      </w:r>
      <w:r>
        <w:rPr>
          <w:sz w:val="13"/>
        </w:rPr>
        <w:t>of Having Diversity in a </w:t>
      </w:r>
      <w:r>
        <w:rPr>
          <w:spacing w:val="2"/>
          <w:sz w:val="13"/>
        </w:rPr>
        <w:t>Jury </w:t>
      </w:r>
      <w:r>
        <w:rPr>
          <w:sz w:val="13"/>
        </w:rPr>
        <w:t>Panel?’, </w:t>
      </w:r>
      <w:r>
        <w:rPr>
          <w:i/>
          <w:sz w:val="13"/>
        </w:rPr>
        <w:t>Litigation </w:t>
      </w:r>
      <w:r>
        <w:rPr>
          <w:i/>
          <w:spacing w:val="2"/>
          <w:sz w:val="13"/>
        </w:rPr>
        <w:t>Insights </w:t>
      </w:r>
      <w:r>
        <w:rPr>
          <w:sz w:val="13"/>
        </w:rPr>
        <w:t>(Blog Post, 30 September</w:t>
      </w:r>
      <w:r>
        <w:rPr>
          <w:spacing w:val="3"/>
          <w:sz w:val="13"/>
        </w:rPr>
        <w:t> </w:t>
      </w:r>
      <w:r>
        <w:rPr>
          <w:sz w:val="13"/>
        </w:rPr>
        <w:t>2015)</w:t>
      </w:r>
    </w:p>
    <w:p>
      <w:pPr>
        <w:spacing w:line="170" w:lineRule="exact" w:before="0"/>
        <w:ind w:left="1761" w:right="0" w:firstLine="0"/>
        <w:jc w:val="left"/>
        <w:rPr>
          <w:sz w:val="13"/>
        </w:rPr>
      </w:pPr>
      <w:r>
        <w:rPr>
          <w:sz w:val="13"/>
        </w:rPr>
        <w:t>&lt;</w:t>
      </w:r>
      <w:hyperlink r:id="rId138">
        <w:r>
          <w:rPr>
            <w:sz w:val="13"/>
          </w:rPr>
          <w:t>https://www.litigationinsights.com/benefits-diversity-jury/</w:t>
        </w:r>
      </w:hyperlink>
      <w:r>
        <w:rPr>
          <w:sz w:val="13"/>
        </w:rPr>
        <w:t>&gt;.</w:t>
      </w:r>
    </w:p>
    <w:p>
      <w:pPr>
        <w:spacing w:after="0" w:line="170" w:lineRule="exact"/>
        <w:jc w:val="left"/>
        <w:rPr>
          <w:sz w:val="13"/>
        </w:rPr>
        <w:sectPr>
          <w:headerReference w:type="default" r:id="rId134"/>
          <w:headerReference w:type="even" r:id="rId135"/>
          <w:pgSz w:w="11910" w:h="16840"/>
          <w:pgMar w:header="0" w:footer="0" w:top="840" w:bottom="280" w:left="620" w:right="380"/>
        </w:sectPr>
      </w:pPr>
    </w:p>
    <w:p>
      <w:pPr>
        <w:pStyle w:val="BodyText"/>
      </w:pPr>
    </w:p>
    <w:p>
      <w:pPr>
        <w:pStyle w:val="BodyText"/>
      </w:pPr>
    </w:p>
    <w:p>
      <w:pPr>
        <w:pStyle w:val="BodyText"/>
      </w:pPr>
    </w:p>
    <w:p>
      <w:pPr>
        <w:pStyle w:val="BodyText"/>
        <w:spacing w:before="7"/>
        <w:rPr>
          <w:sz w:val="16"/>
        </w:rPr>
      </w:pPr>
    </w:p>
    <w:p>
      <w:pPr>
        <w:pStyle w:val="ListParagraph"/>
        <w:numPr>
          <w:ilvl w:val="1"/>
          <w:numId w:val="12"/>
        </w:numPr>
        <w:tabs>
          <w:tab w:pos="1761" w:val="left" w:leader="none"/>
          <w:tab w:pos="1762" w:val="left" w:leader="none"/>
        </w:tabs>
        <w:spacing w:line="240" w:lineRule="auto" w:before="0" w:after="0"/>
        <w:ind w:left="1761" w:right="0" w:hanging="794"/>
        <w:jc w:val="left"/>
        <w:rPr>
          <w:sz w:val="20"/>
        </w:rPr>
      </w:pPr>
      <w:bookmarkStart w:name="_bookmark53" w:id="138"/>
      <w:bookmarkEnd w:id="138"/>
      <w:r>
        <w:rPr/>
      </w:r>
      <w:bookmarkStart w:name="_bookmark53" w:id="139"/>
      <w:bookmarkEnd w:id="139"/>
      <w:r>
        <w:rPr>
          <w:spacing w:val="-4"/>
          <w:sz w:val="20"/>
        </w:rPr>
        <w:t>A</w:t>
      </w:r>
      <w:r>
        <w:rPr>
          <w:spacing w:val="-4"/>
          <w:sz w:val="20"/>
        </w:rPr>
        <w:t>cademics</w:t>
      </w:r>
      <w:r>
        <w:rPr>
          <w:spacing w:val="-8"/>
          <w:sz w:val="20"/>
        </w:rPr>
        <w:t> </w:t>
      </w:r>
      <w:r>
        <w:rPr>
          <w:spacing w:val="-3"/>
          <w:sz w:val="20"/>
        </w:rPr>
        <w:t>who</w:t>
      </w:r>
      <w:r>
        <w:rPr>
          <w:spacing w:val="-8"/>
          <w:sz w:val="20"/>
        </w:rPr>
        <w:t> </w:t>
      </w:r>
      <w:r>
        <w:rPr>
          <w:spacing w:val="-3"/>
          <w:sz w:val="20"/>
        </w:rPr>
        <w:t>ran</w:t>
      </w:r>
      <w:r>
        <w:rPr>
          <w:spacing w:val="-7"/>
          <w:sz w:val="20"/>
        </w:rPr>
        <w:t> </w:t>
      </w:r>
      <w:r>
        <w:rPr>
          <w:sz w:val="20"/>
        </w:rPr>
        <w:t>a</w:t>
      </w:r>
      <w:r>
        <w:rPr>
          <w:spacing w:val="-8"/>
          <w:sz w:val="20"/>
        </w:rPr>
        <w:t> </w:t>
      </w:r>
      <w:r>
        <w:rPr>
          <w:spacing w:val="-3"/>
          <w:sz w:val="20"/>
        </w:rPr>
        <w:t>mock</w:t>
      </w:r>
      <w:r>
        <w:rPr>
          <w:spacing w:val="-8"/>
          <w:sz w:val="20"/>
        </w:rPr>
        <w:t> </w:t>
      </w:r>
      <w:r>
        <w:rPr>
          <w:spacing w:val="-3"/>
          <w:sz w:val="20"/>
        </w:rPr>
        <w:t>trial</w:t>
      </w:r>
      <w:r>
        <w:rPr>
          <w:spacing w:val="-7"/>
          <w:sz w:val="20"/>
        </w:rPr>
        <w:t> </w:t>
      </w:r>
      <w:r>
        <w:rPr>
          <w:spacing w:val="-5"/>
          <w:sz w:val="20"/>
        </w:rPr>
        <w:t>involving</w:t>
      </w:r>
      <w:r>
        <w:rPr>
          <w:spacing w:val="-8"/>
          <w:sz w:val="20"/>
        </w:rPr>
        <w:t> </w:t>
      </w:r>
      <w:r>
        <w:rPr>
          <w:sz w:val="20"/>
        </w:rPr>
        <w:t>a</w:t>
      </w:r>
      <w:r>
        <w:rPr>
          <w:spacing w:val="-7"/>
          <w:sz w:val="20"/>
        </w:rPr>
        <w:t> </w:t>
      </w:r>
      <w:r>
        <w:rPr>
          <w:spacing w:val="-3"/>
          <w:sz w:val="20"/>
        </w:rPr>
        <w:t>deaf</w:t>
      </w:r>
      <w:r>
        <w:rPr>
          <w:spacing w:val="-8"/>
          <w:sz w:val="20"/>
        </w:rPr>
        <w:t> </w:t>
      </w:r>
      <w:r>
        <w:rPr>
          <w:spacing w:val="-4"/>
          <w:sz w:val="20"/>
        </w:rPr>
        <w:t>juror</w:t>
      </w:r>
      <w:r>
        <w:rPr>
          <w:spacing w:val="-8"/>
          <w:sz w:val="20"/>
        </w:rPr>
        <w:t> </w:t>
      </w:r>
      <w:r>
        <w:rPr>
          <w:sz w:val="20"/>
        </w:rPr>
        <w:t>in</w:t>
      </w:r>
      <w:r>
        <w:rPr>
          <w:spacing w:val="-7"/>
          <w:sz w:val="20"/>
        </w:rPr>
        <w:t> </w:t>
      </w:r>
      <w:r>
        <w:rPr>
          <w:spacing w:val="-4"/>
          <w:sz w:val="20"/>
        </w:rPr>
        <w:t>New</w:t>
      </w:r>
      <w:r>
        <w:rPr>
          <w:spacing w:val="-8"/>
          <w:sz w:val="20"/>
        </w:rPr>
        <w:t> </w:t>
      </w:r>
      <w:r>
        <w:rPr>
          <w:spacing w:val="-3"/>
          <w:sz w:val="20"/>
        </w:rPr>
        <w:t>South</w:t>
      </w:r>
      <w:r>
        <w:rPr>
          <w:spacing w:val="-7"/>
          <w:sz w:val="20"/>
        </w:rPr>
        <w:t> </w:t>
      </w:r>
      <w:r>
        <w:rPr>
          <w:spacing w:val="-6"/>
          <w:sz w:val="20"/>
        </w:rPr>
        <w:t>Wales</w:t>
      </w:r>
      <w:r>
        <w:rPr>
          <w:spacing w:val="-8"/>
          <w:sz w:val="20"/>
        </w:rPr>
        <w:t> </w:t>
      </w:r>
      <w:r>
        <w:rPr>
          <w:spacing w:val="-3"/>
          <w:sz w:val="20"/>
        </w:rPr>
        <w:t>observed</w:t>
      </w:r>
      <w:r>
        <w:rPr>
          <w:spacing w:val="-8"/>
          <w:sz w:val="20"/>
        </w:rPr>
        <w:t> </w:t>
      </w:r>
      <w:r>
        <w:rPr>
          <w:spacing w:val="-3"/>
          <w:sz w:val="20"/>
        </w:rPr>
        <w:t>that:</w:t>
      </w:r>
    </w:p>
    <w:p>
      <w:pPr>
        <w:spacing w:line="208" w:lineRule="auto" w:before="112"/>
        <w:ind w:left="2157" w:right="1110" w:firstLine="0"/>
        <w:jc w:val="left"/>
        <w:rPr>
          <w:sz w:val="11"/>
        </w:rPr>
      </w:pPr>
      <w:r>
        <w:rPr>
          <w:sz w:val="19"/>
        </w:rPr>
        <w:t>The feedback suggested that jury deliberations involving an Auslan interpreter were more ordered and in a sense more democratic than usual. People were less likely to speak over each other and interrupt each other. This was also the experience of a deaf juror who was appointed as a foreman juror in New Zealand.</w:t>
      </w:r>
      <w:r>
        <w:rPr>
          <w:position w:val="6"/>
          <w:sz w:val="11"/>
        </w:rPr>
        <w:t>14</w:t>
      </w:r>
    </w:p>
    <w:p>
      <w:pPr>
        <w:pStyle w:val="Heading3"/>
        <w:spacing w:before="163"/>
      </w:pPr>
      <w:r>
        <w:rPr/>
        <w:t>Jury participation encourages confidence in the justice system</w:t>
      </w:r>
    </w:p>
    <w:p>
      <w:pPr>
        <w:pStyle w:val="ListParagraph"/>
        <w:numPr>
          <w:ilvl w:val="1"/>
          <w:numId w:val="12"/>
        </w:numPr>
        <w:tabs>
          <w:tab w:pos="1761" w:val="left" w:leader="none"/>
          <w:tab w:pos="1762" w:val="left" w:leader="none"/>
        </w:tabs>
        <w:spacing w:line="206" w:lineRule="auto" w:before="127" w:after="0"/>
        <w:ind w:left="1761" w:right="1733" w:hanging="794"/>
        <w:jc w:val="left"/>
        <w:rPr>
          <w:sz w:val="20"/>
        </w:rPr>
      </w:pPr>
      <w:r>
        <w:rPr>
          <w:sz w:val="20"/>
        </w:rPr>
        <w:t>A</w:t>
      </w:r>
      <w:r>
        <w:rPr>
          <w:spacing w:val="-8"/>
          <w:sz w:val="20"/>
        </w:rPr>
        <w:t> </w:t>
      </w:r>
      <w:r>
        <w:rPr>
          <w:sz w:val="20"/>
        </w:rPr>
        <w:t>2004</w:t>
      </w:r>
      <w:r>
        <w:rPr>
          <w:spacing w:val="-8"/>
          <w:sz w:val="20"/>
        </w:rPr>
        <w:t> </w:t>
      </w:r>
      <w:r>
        <w:rPr>
          <w:sz w:val="20"/>
        </w:rPr>
        <w:t>study</w:t>
      </w:r>
      <w:r>
        <w:rPr>
          <w:spacing w:val="-8"/>
          <w:sz w:val="20"/>
        </w:rPr>
        <w:t> </w:t>
      </w:r>
      <w:r>
        <w:rPr>
          <w:sz w:val="20"/>
        </w:rPr>
        <w:t>of</w:t>
      </w:r>
      <w:r>
        <w:rPr>
          <w:spacing w:val="-8"/>
          <w:sz w:val="20"/>
        </w:rPr>
        <w:t> </w:t>
      </w:r>
      <w:r>
        <w:rPr>
          <w:sz w:val="20"/>
        </w:rPr>
        <w:t>the</w:t>
      </w:r>
      <w:r>
        <w:rPr>
          <w:spacing w:val="-8"/>
          <w:sz w:val="20"/>
        </w:rPr>
        <w:t> </w:t>
      </w:r>
      <w:r>
        <w:rPr>
          <w:spacing w:val="-3"/>
          <w:sz w:val="20"/>
        </w:rPr>
        <w:t>views</w:t>
      </w:r>
      <w:r>
        <w:rPr>
          <w:spacing w:val="-8"/>
          <w:sz w:val="20"/>
        </w:rPr>
        <w:t> </w:t>
      </w:r>
      <w:r>
        <w:rPr>
          <w:sz w:val="20"/>
        </w:rPr>
        <w:t>and</w:t>
      </w:r>
      <w:r>
        <w:rPr>
          <w:spacing w:val="-8"/>
          <w:sz w:val="20"/>
        </w:rPr>
        <w:t> </w:t>
      </w:r>
      <w:r>
        <w:rPr>
          <w:sz w:val="20"/>
        </w:rPr>
        <w:t>attitudes</w:t>
      </w:r>
      <w:r>
        <w:rPr>
          <w:spacing w:val="-8"/>
          <w:sz w:val="20"/>
        </w:rPr>
        <w:t> </w:t>
      </w:r>
      <w:r>
        <w:rPr>
          <w:sz w:val="20"/>
        </w:rPr>
        <w:t>of</w:t>
      </w:r>
      <w:r>
        <w:rPr>
          <w:spacing w:val="-8"/>
          <w:sz w:val="20"/>
        </w:rPr>
        <w:t> </w:t>
      </w:r>
      <w:r>
        <w:rPr>
          <w:sz w:val="20"/>
        </w:rPr>
        <w:t>a</w:t>
      </w:r>
      <w:r>
        <w:rPr>
          <w:spacing w:val="-7"/>
          <w:sz w:val="20"/>
        </w:rPr>
        <w:t> </w:t>
      </w:r>
      <w:r>
        <w:rPr>
          <w:sz w:val="20"/>
        </w:rPr>
        <w:t>sample</w:t>
      </w:r>
      <w:r>
        <w:rPr>
          <w:spacing w:val="-8"/>
          <w:sz w:val="20"/>
        </w:rPr>
        <w:t> </w:t>
      </w:r>
      <w:r>
        <w:rPr>
          <w:sz w:val="20"/>
        </w:rPr>
        <w:t>of</w:t>
      </w:r>
      <w:r>
        <w:rPr>
          <w:spacing w:val="-8"/>
          <w:sz w:val="20"/>
        </w:rPr>
        <w:t> </w:t>
      </w:r>
      <w:r>
        <w:rPr>
          <w:sz w:val="20"/>
        </w:rPr>
        <w:t>jurors</w:t>
      </w:r>
      <w:r>
        <w:rPr>
          <w:spacing w:val="-8"/>
          <w:sz w:val="20"/>
        </w:rPr>
        <w:t> </w:t>
      </w:r>
      <w:r>
        <w:rPr>
          <w:sz w:val="20"/>
        </w:rPr>
        <w:t>who</w:t>
      </w:r>
      <w:r>
        <w:rPr>
          <w:spacing w:val="-8"/>
          <w:sz w:val="20"/>
        </w:rPr>
        <w:t> </w:t>
      </w:r>
      <w:r>
        <w:rPr>
          <w:sz w:val="20"/>
        </w:rPr>
        <w:t>had</w:t>
      </w:r>
      <w:r>
        <w:rPr>
          <w:spacing w:val="-8"/>
          <w:sz w:val="20"/>
        </w:rPr>
        <w:t> </w:t>
      </w:r>
      <w:r>
        <w:rPr>
          <w:spacing w:val="-2"/>
          <w:sz w:val="20"/>
        </w:rPr>
        <w:t>completed </w:t>
      </w:r>
      <w:r>
        <w:rPr>
          <w:sz w:val="20"/>
        </w:rPr>
        <w:t>jury</w:t>
      </w:r>
      <w:r>
        <w:rPr>
          <w:spacing w:val="-10"/>
          <w:sz w:val="20"/>
        </w:rPr>
        <w:t> </w:t>
      </w:r>
      <w:r>
        <w:rPr>
          <w:sz w:val="20"/>
        </w:rPr>
        <w:t>service</w:t>
      </w:r>
      <w:r>
        <w:rPr>
          <w:spacing w:val="-9"/>
          <w:sz w:val="20"/>
        </w:rPr>
        <w:t> </w:t>
      </w:r>
      <w:r>
        <w:rPr>
          <w:sz w:val="20"/>
        </w:rPr>
        <w:t>in</w:t>
      </w:r>
      <w:r>
        <w:rPr>
          <w:spacing w:val="-9"/>
          <w:sz w:val="20"/>
        </w:rPr>
        <w:t> </w:t>
      </w:r>
      <w:r>
        <w:rPr>
          <w:sz w:val="20"/>
        </w:rPr>
        <w:t>six</w:t>
      </w:r>
      <w:r>
        <w:rPr>
          <w:spacing w:val="-9"/>
          <w:sz w:val="20"/>
        </w:rPr>
        <w:t> </w:t>
      </w:r>
      <w:r>
        <w:rPr>
          <w:sz w:val="20"/>
        </w:rPr>
        <w:t>English</w:t>
      </w:r>
      <w:r>
        <w:rPr>
          <w:spacing w:val="-9"/>
          <w:sz w:val="20"/>
        </w:rPr>
        <w:t> </w:t>
      </w:r>
      <w:r>
        <w:rPr>
          <w:sz w:val="20"/>
        </w:rPr>
        <w:t>courts</w:t>
      </w:r>
      <w:r>
        <w:rPr>
          <w:spacing w:val="-9"/>
          <w:sz w:val="20"/>
        </w:rPr>
        <w:t> </w:t>
      </w:r>
      <w:r>
        <w:rPr>
          <w:sz w:val="20"/>
        </w:rPr>
        <w:t>found</w:t>
      </w:r>
      <w:r>
        <w:rPr>
          <w:spacing w:val="-9"/>
          <w:sz w:val="20"/>
        </w:rPr>
        <w:t> </w:t>
      </w:r>
      <w:r>
        <w:rPr>
          <w:sz w:val="20"/>
        </w:rPr>
        <w:t>that,</w:t>
      </w:r>
      <w:r>
        <w:rPr>
          <w:spacing w:val="-10"/>
          <w:sz w:val="20"/>
        </w:rPr>
        <w:t> </w:t>
      </w:r>
      <w:r>
        <w:rPr>
          <w:sz w:val="20"/>
        </w:rPr>
        <w:t>for</w:t>
      </w:r>
      <w:r>
        <w:rPr>
          <w:spacing w:val="-9"/>
          <w:sz w:val="20"/>
        </w:rPr>
        <w:t> </w:t>
      </w:r>
      <w:r>
        <w:rPr>
          <w:sz w:val="20"/>
        </w:rPr>
        <w:t>the</w:t>
      </w:r>
      <w:r>
        <w:rPr>
          <w:spacing w:val="-9"/>
          <w:sz w:val="20"/>
        </w:rPr>
        <w:t> </w:t>
      </w:r>
      <w:r>
        <w:rPr>
          <w:spacing w:val="-3"/>
          <w:sz w:val="20"/>
        </w:rPr>
        <w:t>majority,</w:t>
      </w:r>
      <w:r>
        <w:rPr>
          <w:spacing w:val="-9"/>
          <w:sz w:val="20"/>
        </w:rPr>
        <w:t> </w:t>
      </w:r>
      <w:r>
        <w:rPr>
          <w:sz w:val="20"/>
        </w:rPr>
        <w:t>jury</w:t>
      </w:r>
      <w:r>
        <w:rPr>
          <w:spacing w:val="-9"/>
          <w:sz w:val="20"/>
        </w:rPr>
        <w:t> </w:t>
      </w:r>
      <w:r>
        <w:rPr>
          <w:sz w:val="20"/>
        </w:rPr>
        <w:t>service</w:t>
      </w:r>
      <w:r>
        <w:rPr>
          <w:spacing w:val="-9"/>
          <w:sz w:val="20"/>
        </w:rPr>
        <w:t> </w:t>
      </w:r>
      <w:r>
        <w:rPr>
          <w:sz w:val="20"/>
        </w:rPr>
        <w:t>increased</w:t>
      </w:r>
    </w:p>
    <w:p>
      <w:pPr>
        <w:pStyle w:val="BodyText"/>
        <w:spacing w:line="206" w:lineRule="auto" w:before="2"/>
        <w:ind w:left="1761" w:right="1150"/>
      </w:pPr>
      <w:r>
        <w:rPr>
          <w:spacing w:val="-3"/>
        </w:rPr>
        <w:t>people’s </w:t>
      </w:r>
      <w:r>
        <w:rPr/>
        <w:t>confidence in the court system.</w:t>
      </w:r>
      <w:r>
        <w:rPr>
          <w:position w:val="7"/>
          <w:sz w:val="11"/>
        </w:rPr>
        <w:t>15 </w:t>
      </w:r>
      <w:r>
        <w:rPr/>
        <w:t>A similar finding was made in a United </w:t>
      </w:r>
      <w:r>
        <w:rPr>
          <w:spacing w:val="-3"/>
        </w:rPr>
        <w:t>States </w:t>
      </w:r>
      <w:r>
        <w:rPr/>
        <w:t>survey </w:t>
      </w:r>
      <w:r>
        <w:rPr>
          <w:spacing w:val="-3"/>
        </w:rPr>
        <w:t>by David </w:t>
      </w:r>
      <w:r>
        <w:rPr/>
        <w:t>Rottman, which examined public trust and confidence in California courts.</w:t>
      </w:r>
      <w:r>
        <w:rPr>
          <w:position w:val="7"/>
          <w:sz w:val="11"/>
        </w:rPr>
        <w:t>16 </w:t>
      </w:r>
      <w:r>
        <w:rPr/>
        <w:t>Rottman identified that most (56 per cent) Californians’ </w:t>
      </w:r>
      <w:r>
        <w:rPr>
          <w:spacing w:val="-3"/>
        </w:rPr>
        <w:t>involvement </w:t>
      </w:r>
      <w:r>
        <w:rPr/>
        <w:t>in a</w:t>
      </w:r>
    </w:p>
    <w:p>
      <w:pPr>
        <w:pStyle w:val="BodyText"/>
        <w:spacing w:line="206" w:lineRule="auto" w:before="4"/>
        <w:ind w:left="1761" w:right="1435"/>
        <w:rPr>
          <w:sz w:val="11"/>
        </w:rPr>
      </w:pPr>
      <w:r>
        <w:rPr/>
        <w:t>court</w:t>
      </w:r>
      <w:r>
        <w:rPr>
          <w:spacing w:val="-10"/>
        </w:rPr>
        <w:t> </w:t>
      </w:r>
      <w:r>
        <w:rPr/>
        <w:t>proceeding</w:t>
      </w:r>
      <w:r>
        <w:rPr>
          <w:spacing w:val="-9"/>
        </w:rPr>
        <w:t> </w:t>
      </w:r>
      <w:r>
        <w:rPr/>
        <w:t>came</w:t>
      </w:r>
      <w:r>
        <w:rPr>
          <w:spacing w:val="-9"/>
        </w:rPr>
        <w:t> </w:t>
      </w:r>
      <w:r>
        <w:rPr/>
        <w:t>about</w:t>
      </w:r>
      <w:r>
        <w:rPr>
          <w:spacing w:val="-10"/>
        </w:rPr>
        <w:t> </w:t>
      </w:r>
      <w:r>
        <w:rPr/>
        <w:t>when</w:t>
      </w:r>
      <w:r>
        <w:rPr>
          <w:spacing w:val="-9"/>
        </w:rPr>
        <w:t> </w:t>
      </w:r>
      <w:r>
        <w:rPr/>
        <w:t>they</w:t>
      </w:r>
      <w:r>
        <w:rPr>
          <w:spacing w:val="-9"/>
        </w:rPr>
        <w:t> </w:t>
      </w:r>
      <w:r>
        <w:rPr/>
        <w:t>responded</w:t>
      </w:r>
      <w:r>
        <w:rPr>
          <w:spacing w:val="-10"/>
        </w:rPr>
        <w:t> </w:t>
      </w:r>
      <w:r>
        <w:rPr/>
        <w:t>to</w:t>
      </w:r>
      <w:r>
        <w:rPr>
          <w:spacing w:val="-9"/>
        </w:rPr>
        <w:t> </w:t>
      </w:r>
      <w:r>
        <w:rPr/>
        <w:t>a</w:t>
      </w:r>
      <w:r>
        <w:rPr>
          <w:spacing w:val="-9"/>
        </w:rPr>
        <w:t> </w:t>
      </w:r>
      <w:r>
        <w:rPr/>
        <w:t>jury</w:t>
      </w:r>
      <w:r>
        <w:rPr>
          <w:spacing w:val="-10"/>
        </w:rPr>
        <w:t> </w:t>
      </w:r>
      <w:r>
        <w:rPr/>
        <w:t>summons</w:t>
      </w:r>
      <w:r>
        <w:rPr>
          <w:spacing w:val="-9"/>
        </w:rPr>
        <w:t> </w:t>
      </w:r>
      <w:r>
        <w:rPr/>
        <w:t>or</w:t>
      </w:r>
      <w:r>
        <w:rPr>
          <w:spacing w:val="-9"/>
        </w:rPr>
        <w:t> </w:t>
      </w:r>
      <w:r>
        <w:rPr/>
        <w:t>served</w:t>
      </w:r>
      <w:r>
        <w:rPr>
          <w:spacing w:val="-10"/>
        </w:rPr>
        <w:t> </w:t>
      </w:r>
      <w:r>
        <w:rPr/>
        <w:t>as a </w:t>
      </w:r>
      <w:r>
        <w:rPr>
          <w:spacing w:val="-4"/>
        </w:rPr>
        <w:t>juror. </w:t>
      </w:r>
      <w:r>
        <w:rPr/>
        <w:t>The study found that the ‘ jury is the prime audience for the state courts, and the</w:t>
      </w:r>
      <w:r>
        <w:rPr>
          <w:spacing w:val="-11"/>
        </w:rPr>
        <w:t> </w:t>
      </w:r>
      <w:r>
        <w:rPr/>
        <w:t>best</w:t>
      </w:r>
      <w:r>
        <w:rPr>
          <w:spacing w:val="-11"/>
        </w:rPr>
        <w:t> </w:t>
      </w:r>
      <w:r>
        <w:rPr>
          <w:spacing w:val="-3"/>
        </w:rPr>
        <w:t>available</w:t>
      </w:r>
      <w:r>
        <w:rPr>
          <w:spacing w:val="-10"/>
        </w:rPr>
        <w:t> </w:t>
      </w:r>
      <w:r>
        <w:rPr/>
        <w:t>mechanism</w:t>
      </w:r>
      <w:r>
        <w:rPr>
          <w:spacing w:val="-11"/>
        </w:rPr>
        <w:t> </w:t>
      </w:r>
      <w:r>
        <w:rPr/>
        <w:t>for</w:t>
      </w:r>
      <w:r>
        <w:rPr>
          <w:spacing w:val="-11"/>
        </w:rPr>
        <w:t> </w:t>
      </w:r>
      <w:r>
        <w:rPr/>
        <w:t>disseminating</w:t>
      </w:r>
      <w:r>
        <w:rPr>
          <w:spacing w:val="-10"/>
        </w:rPr>
        <w:t> </w:t>
      </w:r>
      <w:r>
        <w:rPr/>
        <w:t>positive</w:t>
      </w:r>
      <w:r>
        <w:rPr>
          <w:spacing w:val="-11"/>
        </w:rPr>
        <w:t> </w:t>
      </w:r>
      <w:r>
        <w:rPr/>
        <w:t>information</w:t>
      </w:r>
      <w:r>
        <w:rPr>
          <w:spacing w:val="-11"/>
        </w:rPr>
        <w:t> </w:t>
      </w:r>
      <w:r>
        <w:rPr/>
        <w:t>on</w:t>
      </w:r>
      <w:r>
        <w:rPr>
          <w:spacing w:val="-10"/>
        </w:rPr>
        <w:t> </w:t>
      </w:r>
      <w:r>
        <w:rPr/>
        <w:t>the</w:t>
      </w:r>
      <w:r>
        <w:rPr>
          <w:spacing w:val="-11"/>
        </w:rPr>
        <w:t> </w:t>
      </w:r>
      <w:r>
        <w:rPr/>
        <w:t>courts</w:t>
      </w:r>
      <w:r>
        <w:rPr>
          <w:spacing w:val="-11"/>
        </w:rPr>
        <w:t> </w:t>
      </w:r>
      <w:r>
        <w:rPr>
          <w:spacing w:val="-3"/>
        </w:rPr>
        <w:t>by word</w:t>
      </w:r>
      <w:r>
        <w:rPr>
          <w:spacing w:val="-12"/>
        </w:rPr>
        <w:t> </w:t>
      </w:r>
      <w:r>
        <w:rPr/>
        <w:t>of</w:t>
      </w:r>
      <w:r>
        <w:rPr>
          <w:spacing w:val="-12"/>
        </w:rPr>
        <w:t> </w:t>
      </w:r>
      <w:r>
        <w:rPr/>
        <w:t>mouth.</w:t>
      </w:r>
      <w:r>
        <w:rPr>
          <w:spacing w:val="-12"/>
        </w:rPr>
        <w:t> </w:t>
      </w:r>
      <w:r>
        <w:rPr/>
        <w:t>Specific</w:t>
      </w:r>
      <w:r>
        <w:rPr>
          <w:spacing w:val="-11"/>
        </w:rPr>
        <w:t> </w:t>
      </w:r>
      <w:r>
        <w:rPr/>
        <w:t>policies</w:t>
      </w:r>
      <w:r>
        <w:rPr>
          <w:spacing w:val="-12"/>
        </w:rPr>
        <w:t> </w:t>
      </w:r>
      <w:r>
        <w:rPr/>
        <w:t>and</w:t>
      </w:r>
      <w:r>
        <w:rPr>
          <w:spacing w:val="-12"/>
        </w:rPr>
        <w:t> </w:t>
      </w:r>
      <w:r>
        <w:rPr/>
        <w:t>programs</w:t>
      </w:r>
      <w:r>
        <w:rPr>
          <w:spacing w:val="-12"/>
        </w:rPr>
        <w:t> </w:t>
      </w:r>
      <w:r>
        <w:rPr/>
        <w:t>should</w:t>
      </w:r>
      <w:r>
        <w:rPr>
          <w:spacing w:val="-11"/>
        </w:rPr>
        <w:t> </w:t>
      </w:r>
      <w:r>
        <w:rPr/>
        <w:t>be</w:t>
      </w:r>
      <w:r>
        <w:rPr>
          <w:spacing w:val="-12"/>
        </w:rPr>
        <w:t> </w:t>
      </w:r>
      <w:r>
        <w:rPr/>
        <w:t>directed</w:t>
      </w:r>
      <w:r>
        <w:rPr>
          <w:spacing w:val="-12"/>
        </w:rPr>
        <w:t> </w:t>
      </w:r>
      <w:r>
        <w:rPr/>
        <w:t>at</w:t>
      </w:r>
      <w:r>
        <w:rPr>
          <w:spacing w:val="-12"/>
        </w:rPr>
        <w:t> </w:t>
      </w:r>
      <w:r>
        <w:rPr/>
        <w:t>maximizing</w:t>
      </w:r>
      <w:r>
        <w:rPr>
          <w:spacing w:val="-12"/>
        </w:rPr>
        <w:t> </w:t>
      </w:r>
      <w:r>
        <w:rPr/>
        <w:t>this potential’.</w:t>
      </w:r>
      <w:r>
        <w:rPr>
          <w:position w:val="7"/>
          <w:sz w:val="11"/>
        </w:rPr>
        <w:t>17</w:t>
      </w:r>
    </w:p>
    <w:p>
      <w:pPr>
        <w:pStyle w:val="ListParagraph"/>
        <w:numPr>
          <w:ilvl w:val="1"/>
          <w:numId w:val="12"/>
        </w:numPr>
        <w:tabs>
          <w:tab w:pos="1761" w:val="left" w:leader="none"/>
          <w:tab w:pos="1762" w:val="left" w:leader="none"/>
        </w:tabs>
        <w:spacing w:line="240" w:lineRule="auto" w:before="94" w:after="0"/>
        <w:ind w:left="1761" w:right="0" w:hanging="794"/>
        <w:jc w:val="left"/>
        <w:rPr>
          <w:sz w:val="20"/>
        </w:rPr>
      </w:pPr>
      <w:r>
        <w:rPr>
          <w:sz w:val="20"/>
        </w:rPr>
        <w:t>Similar</w:t>
      </w:r>
      <w:r>
        <w:rPr>
          <w:spacing w:val="-6"/>
          <w:sz w:val="20"/>
        </w:rPr>
        <w:t> </w:t>
      </w:r>
      <w:r>
        <w:rPr>
          <w:sz w:val="20"/>
        </w:rPr>
        <w:t>observations</w:t>
      </w:r>
      <w:r>
        <w:rPr>
          <w:spacing w:val="-6"/>
          <w:sz w:val="20"/>
        </w:rPr>
        <w:t> </w:t>
      </w:r>
      <w:r>
        <w:rPr>
          <w:spacing w:val="-4"/>
          <w:sz w:val="20"/>
        </w:rPr>
        <w:t>were</w:t>
      </w:r>
      <w:r>
        <w:rPr>
          <w:spacing w:val="-6"/>
          <w:sz w:val="20"/>
        </w:rPr>
        <w:t> </w:t>
      </w:r>
      <w:r>
        <w:rPr>
          <w:sz w:val="20"/>
        </w:rPr>
        <w:t>made</w:t>
      </w:r>
      <w:r>
        <w:rPr>
          <w:spacing w:val="-6"/>
          <w:sz w:val="20"/>
        </w:rPr>
        <w:t> </w:t>
      </w:r>
      <w:r>
        <w:rPr>
          <w:sz w:val="20"/>
        </w:rPr>
        <w:t>in</w:t>
      </w:r>
      <w:r>
        <w:rPr>
          <w:spacing w:val="-5"/>
          <w:sz w:val="20"/>
        </w:rPr>
        <w:t> </w:t>
      </w:r>
      <w:r>
        <w:rPr>
          <w:sz w:val="20"/>
        </w:rPr>
        <w:t>2011</w:t>
      </w:r>
      <w:r>
        <w:rPr>
          <w:spacing w:val="-6"/>
          <w:sz w:val="20"/>
        </w:rPr>
        <w:t> </w:t>
      </w:r>
      <w:r>
        <w:rPr>
          <w:spacing w:val="-3"/>
          <w:sz w:val="20"/>
        </w:rPr>
        <w:t>by</w:t>
      </w:r>
      <w:r>
        <w:rPr>
          <w:spacing w:val="-6"/>
          <w:sz w:val="20"/>
        </w:rPr>
        <w:t> </w:t>
      </w:r>
      <w:r>
        <w:rPr>
          <w:sz w:val="20"/>
        </w:rPr>
        <w:t>the</w:t>
      </w:r>
      <w:r>
        <w:rPr>
          <w:spacing w:val="-6"/>
          <w:sz w:val="20"/>
        </w:rPr>
        <w:t> </w:t>
      </w:r>
      <w:r>
        <w:rPr>
          <w:sz w:val="20"/>
        </w:rPr>
        <w:t>former</w:t>
      </w:r>
      <w:r>
        <w:rPr>
          <w:spacing w:val="-6"/>
          <w:sz w:val="20"/>
        </w:rPr>
        <w:t> </w:t>
      </w:r>
      <w:r>
        <w:rPr>
          <w:sz w:val="20"/>
        </w:rPr>
        <w:t>Victorian</w:t>
      </w:r>
      <w:r>
        <w:rPr>
          <w:spacing w:val="-5"/>
          <w:sz w:val="20"/>
        </w:rPr>
        <w:t> </w:t>
      </w:r>
      <w:r>
        <w:rPr>
          <w:sz w:val="20"/>
        </w:rPr>
        <w:t>Juries</w:t>
      </w:r>
      <w:r>
        <w:rPr>
          <w:spacing w:val="-6"/>
          <w:sz w:val="20"/>
        </w:rPr>
        <w:t> </w:t>
      </w:r>
      <w:r>
        <w:rPr>
          <w:sz w:val="20"/>
        </w:rPr>
        <w:t>Commissioner:</w:t>
      </w:r>
    </w:p>
    <w:p>
      <w:pPr>
        <w:spacing w:line="208" w:lineRule="auto" w:before="113"/>
        <w:ind w:left="2157" w:right="1110" w:firstLine="0"/>
        <w:jc w:val="left"/>
        <w:rPr>
          <w:sz w:val="11"/>
        </w:rPr>
      </w:pPr>
      <w:r>
        <w:rPr>
          <w:sz w:val="19"/>
        </w:rPr>
        <w:t>In a democracy it is essential that every opportunity is provided for the public to participate in the administration of justice. As a consequence of serving as jurors members of the public become part of the court itself. This in turn has served to increase the level of confidence in the courts and the general administration of justice as was recently highlighted in a 2011 Victorian </w:t>
      </w:r>
      <w:r>
        <w:rPr>
          <w:i/>
          <w:sz w:val="19"/>
        </w:rPr>
        <w:t>Juror Feedback Survey</w:t>
      </w:r>
      <w:r>
        <w:rPr>
          <w:sz w:val="19"/>
        </w:rPr>
        <w:t>, where 43% of respondents indicated that their level of confidence in the criminal justice system was higher as a result of their participation.</w:t>
      </w:r>
      <w:r>
        <w:rPr>
          <w:position w:val="6"/>
          <w:sz w:val="11"/>
        </w:rPr>
        <w:t>18</w:t>
      </w:r>
    </w:p>
    <w:p>
      <w:pPr>
        <w:pStyle w:val="ListParagraph"/>
        <w:numPr>
          <w:ilvl w:val="1"/>
          <w:numId w:val="12"/>
        </w:numPr>
        <w:tabs>
          <w:tab w:pos="1761" w:val="left" w:leader="none"/>
          <w:tab w:pos="1762" w:val="left" w:leader="none"/>
        </w:tabs>
        <w:spacing w:line="240" w:lineRule="auto" w:before="94" w:after="0"/>
        <w:ind w:left="1761" w:right="0" w:hanging="794"/>
        <w:jc w:val="left"/>
        <w:rPr>
          <w:sz w:val="20"/>
        </w:rPr>
      </w:pPr>
      <w:r>
        <w:rPr>
          <w:sz w:val="20"/>
        </w:rPr>
        <w:t>The County Court</w:t>
      </w:r>
      <w:r>
        <w:rPr>
          <w:spacing w:val="-13"/>
          <w:sz w:val="20"/>
        </w:rPr>
        <w:t> </w:t>
      </w:r>
      <w:r>
        <w:rPr>
          <w:sz w:val="20"/>
        </w:rPr>
        <w:t>observed:</w:t>
      </w:r>
    </w:p>
    <w:p>
      <w:pPr>
        <w:spacing w:line="208" w:lineRule="auto" w:before="112"/>
        <w:ind w:left="2157" w:right="1832" w:firstLine="0"/>
        <w:jc w:val="left"/>
        <w:rPr>
          <w:sz w:val="19"/>
        </w:rPr>
      </w:pPr>
      <w:r>
        <w:rPr>
          <w:sz w:val="19"/>
        </w:rPr>
        <w:t>Community participation through the jury system is a vital and important part of</w:t>
      </w:r>
      <w:r>
        <w:rPr>
          <w:spacing w:val="-5"/>
          <w:sz w:val="19"/>
        </w:rPr>
        <w:t> </w:t>
      </w:r>
      <w:r>
        <w:rPr>
          <w:sz w:val="19"/>
        </w:rPr>
        <w:t>our</w:t>
      </w:r>
      <w:r>
        <w:rPr>
          <w:spacing w:val="-4"/>
          <w:sz w:val="19"/>
        </w:rPr>
        <w:t> </w:t>
      </w:r>
      <w:r>
        <w:rPr>
          <w:sz w:val="19"/>
        </w:rPr>
        <w:t>justice</w:t>
      </w:r>
      <w:r>
        <w:rPr>
          <w:spacing w:val="-4"/>
          <w:sz w:val="19"/>
        </w:rPr>
        <w:t> </w:t>
      </w:r>
      <w:r>
        <w:rPr>
          <w:sz w:val="19"/>
        </w:rPr>
        <w:t>system</w:t>
      </w:r>
      <w:r>
        <w:rPr>
          <w:spacing w:val="-4"/>
          <w:sz w:val="19"/>
        </w:rPr>
        <w:t> </w:t>
      </w:r>
      <w:r>
        <w:rPr>
          <w:sz w:val="19"/>
        </w:rPr>
        <w:t>and</w:t>
      </w:r>
      <w:r>
        <w:rPr>
          <w:spacing w:val="-4"/>
          <w:sz w:val="19"/>
        </w:rPr>
        <w:t> </w:t>
      </w:r>
      <w:r>
        <w:rPr>
          <w:sz w:val="19"/>
        </w:rPr>
        <w:t>promotes</w:t>
      </w:r>
      <w:r>
        <w:rPr>
          <w:spacing w:val="-4"/>
          <w:sz w:val="19"/>
        </w:rPr>
        <w:t> </w:t>
      </w:r>
      <w:r>
        <w:rPr>
          <w:sz w:val="19"/>
        </w:rPr>
        <w:t>public</w:t>
      </w:r>
      <w:r>
        <w:rPr>
          <w:spacing w:val="-4"/>
          <w:sz w:val="19"/>
        </w:rPr>
        <w:t> </w:t>
      </w:r>
      <w:r>
        <w:rPr>
          <w:sz w:val="19"/>
        </w:rPr>
        <w:t>confidence</w:t>
      </w:r>
      <w:r>
        <w:rPr>
          <w:spacing w:val="-4"/>
          <w:sz w:val="19"/>
        </w:rPr>
        <w:t> </w:t>
      </w:r>
      <w:r>
        <w:rPr>
          <w:sz w:val="19"/>
        </w:rPr>
        <w:t>in</w:t>
      </w:r>
      <w:r>
        <w:rPr>
          <w:spacing w:val="-4"/>
          <w:sz w:val="19"/>
        </w:rPr>
        <w:t> </w:t>
      </w:r>
      <w:r>
        <w:rPr>
          <w:sz w:val="19"/>
        </w:rPr>
        <w:t>the</w:t>
      </w:r>
      <w:r>
        <w:rPr>
          <w:spacing w:val="-4"/>
          <w:sz w:val="19"/>
        </w:rPr>
        <w:t> </w:t>
      </w:r>
      <w:r>
        <w:rPr>
          <w:sz w:val="19"/>
        </w:rPr>
        <w:t>rule</w:t>
      </w:r>
      <w:r>
        <w:rPr>
          <w:spacing w:val="-4"/>
          <w:sz w:val="19"/>
        </w:rPr>
        <w:t> </w:t>
      </w:r>
      <w:r>
        <w:rPr>
          <w:sz w:val="19"/>
        </w:rPr>
        <w:t>of</w:t>
      </w:r>
      <w:r>
        <w:rPr>
          <w:spacing w:val="-4"/>
          <w:sz w:val="19"/>
        </w:rPr>
        <w:t> </w:t>
      </w:r>
      <w:r>
        <w:rPr>
          <w:sz w:val="19"/>
        </w:rPr>
        <w:t>law</w:t>
      </w:r>
      <w:r>
        <w:rPr>
          <w:spacing w:val="-5"/>
          <w:sz w:val="19"/>
        </w:rPr>
        <w:t> </w:t>
      </w:r>
      <w:r>
        <w:rPr>
          <w:sz w:val="19"/>
        </w:rPr>
        <w:t>and</w:t>
      </w:r>
      <w:r>
        <w:rPr>
          <w:spacing w:val="-4"/>
          <w:sz w:val="19"/>
        </w:rPr>
        <w:t> </w:t>
      </w:r>
      <w:r>
        <w:rPr>
          <w:sz w:val="19"/>
        </w:rPr>
        <w:t>the administration of</w:t>
      </w:r>
      <w:r>
        <w:rPr>
          <w:spacing w:val="-5"/>
          <w:sz w:val="19"/>
        </w:rPr>
        <w:t> </w:t>
      </w:r>
      <w:r>
        <w:rPr>
          <w:sz w:val="19"/>
        </w:rPr>
        <w:t>justice.</w:t>
      </w:r>
    </w:p>
    <w:p>
      <w:pPr>
        <w:spacing w:line="208" w:lineRule="auto" w:before="122"/>
        <w:ind w:left="2157" w:right="1277" w:firstLine="0"/>
        <w:jc w:val="left"/>
        <w:rPr>
          <w:sz w:val="11"/>
        </w:rPr>
      </w:pPr>
      <w:r>
        <w:rPr>
          <w:sz w:val="19"/>
        </w:rPr>
        <w:t>The trial process offers the opportunity to educate the community and for those who sit on juries to, in turn, educate others. This opportunity should not be restricted to people without disabilities.</w:t>
      </w:r>
      <w:r>
        <w:rPr>
          <w:position w:val="6"/>
          <w:sz w:val="11"/>
        </w:rPr>
        <w:t>19</w:t>
      </w:r>
    </w:p>
    <w:p>
      <w:pPr>
        <w:pStyle w:val="ListParagraph"/>
        <w:numPr>
          <w:ilvl w:val="1"/>
          <w:numId w:val="12"/>
        </w:numPr>
        <w:tabs>
          <w:tab w:pos="1761" w:val="left" w:leader="none"/>
          <w:tab w:pos="1762" w:val="left" w:leader="none"/>
        </w:tabs>
        <w:spacing w:line="206" w:lineRule="auto" w:before="124" w:after="0"/>
        <w:ind w:left="1761" w:right="1503" w:hanging="794"/>
        <w:jc w:val="left"/>
        <w:rPr>
          <w:sz w:val="20"/>
        </w:rPr>
      </w:pPr>
      <w:r>
        <w:rPr>
          <w:sz w:val="20"/>
        </w:rPr>
        <w:t>The </w:t>
      </w:r>
      <w:r>
        <w:rPr>
          <w:spacing w:val="-3"/>
          <w:sz w:val="20"/>
        </w:rPr>
        <w:t>exclusion </w:t>
      </w:r>
      <w:r>
        <w:rPr>
          <w:sz w:val="20"/>
        </w:rPr>
        <w:t>of people in the subject groups </w:t>
      </w:r>
      <w:r>
        <w:rPr>
          <w:spacing w:val="-3"/>
          <w:sz w:val="20"/>
        </w:rPr>
        <w:t>from </w:t>
      </w:r>
      <w:r>
        <w:rPr>
          <w:sz w:val="20"/>
        </w:rPr>
        <w:t>juries means that they </w:t>
      </w:r>
      <w:r>
        <w:rPr>
          <w:spacing w:val="-3"/>
          <w:sz w:val="20"/>
        </w:rPr>
        <w:t>are only </w:t>
      </w:r>
      <w:r>
        <w:rPr>
          <w:sz w:val="20"/>
        </w:rPr>
        <w:t>experiencing</w:t>
      </w:r>
      <w:r>
        <w:rPr>
          <w:spacing w:val="-12"/>
          <w:sz w:val="20"/>
        </w:rPr>
        <w:t> </w:t>
      </w:r>
      <w:r>
        <w:rPr>
          <w:sz w:val="20"/>
        </w:rPr>
        <w:t>the</w:t>
      </w:r>
      <w:r>
        <w:rPr>
          <w:spacing w:val="-11"/>
          <w:sz w:val="20"/>
        </w:rPr>
        <w:t> </w:t>
      </w:r>
      <w:r>
        <w:rPr>
          <w:sz w:val="20"/>
        </w:rPr>
        <w:t>justice</w:t>
      </w:r>
      <w:r>
        <w:rPr>
          <w:spacing w:val="-12"/>
          <w:sz w:val="20"/>
        </w:rPr>
        <w:t> </w:t>
      </w:r>
      <w:r>
        <w:rPr>
          <w:sz w:val="20"/>
        </w:rPr>
        <w:t>system</w:t>
      </w:r>
      <w:r>
        <w:rPr>
          <w:spacing w:val="-11"/>
          <w:sz w:val="20"/>
        </w:rPr>
        <w:t> </w:t>
      </w:r>
      <w:r>
        <w:rPr>
          <w:sz w:val="20"/>
        </w:rPr>
        <w:t>as</w:t>
      </w:r>
      <w:r>
        <w:rPr>
          <w:spacing w:val="-12"/>
          <w:sz w:val="20"/>
        </w:rPr>
        <w:t> </w:t>
      </w:r>
      <w:r>
        <w:rPr>
          <w:sz w:val="20"/>
        </w:rPr>
        <w:t>victims</w:t>
      </w:r>
      <w:r>
        <w:rPr>
          <w:spacing w:val="-11"/>
          <w:sz w:val="20"/>
        </w:rPr>
        <w:t> </w:t>
      </w:r>
      <w:r>
        <w:rPr>
          <w:sz w:val="20"/>
        </w:rPr>
        <w:t>or</w:t>
      </w:r>
      <w:r>
        <w:rPr>
          <w:spacing w:val="-11"/>
          <w:sz w:val="20"/>
        </w:rPr>
        <w:t> </w:t>
      </w:r>
      <w:r>
        <w:rPr>
          <w:sz w:val="20"/>
        </w:rPr>
        <w:t>litigants,</w:t>
      </w:r>
      <w:r>
        <w:rPr>
          <w:spacing w:val="-12"/>
          <w:sz w:val="20"/>
        </w:rPr>
        <w:t> </w:t>
      </w:r>
      <w:r>
        <w:rPr>
          <w:sz w:val="20"/>
        </w:rPr>
        <w:t>witnesses</w:t>
      </w:r>
      <w:r>
        <w:rPr>
          <w:spacing w:val="-11"/>
          <w:sz w:val="20"/>
        </w:rPr>
        <w:t> </w:t>
      </w:r>
      <w:r>
        <w:rPr>
          <w:sz w:val="20"/>
        </w:rPr>
        <w:t>and</w:t>
      </w:r>
      <w:r>
        <w:rPr>
          <w:spacing w:val="-12"/>
          <w:sz w:val="20"/>
        </w:rPr>
        <w:t> </w:t>
      </w:r>
      <w:r>
        <w:rPr>
          <w:sz w:val="20"/>
        </w:rPr>
        <w:t>defendants</w:t>
      </w:r>
      <w:r>
        <w:rPr>
          <w:spacing w:val="-11"/>
          <w:sz w:val="20"/>
        </w:rPr>
        <w:t> </w:t>
      </w:r>
      <w:r>
        <w:rPr>
          <w:sz w:val="20"/>
        </w:rPr>
        <w:t>or supporters</w:t>
      </w:r>
      <w:r>
        <w:rPr>
          <w:spacing w:val="-10"/>
          <w:sz w:val="20"/>
        </w:rPr>
        <w:t> </w:t>
      </w:r>
      <w:r>
        <w:rPr>
          <w:sz w:val="20"/>
        </w:rPr>
        <w:t>of</w:t>
      </w:r>
      <w:r>
        <w:rPr>
          <w:spacing w:val="-10"/>
          <w:sz w:val="20"/>
        </w:rPr>
        <w:t> </w:t>
      </w:r>
      <w:r>
        <w:rPr>
          <w:sz w:val="20"/>
        </w:rPr>
        <w:t>others.</w:t>
      </w:r>
      <w:r>
        <w:rPr>
          <w:spacing w:val="-10"/>
          <w:sz w:val="20"/>
        </w:rPr>
        <w:t> </w:t>
      </w:r>
      <w:r>
        <w:rPr>
          <w:spacing w:val="-3"/>
          <w:sz w:val="20"/>
        </w:rPr>
        <w:t>Therefore,</w:t>
      </w:r>
      <w:r>
        <w:rPr>
          <w:spacing w:val="-10"/>
          <w:sz w:val="20"/>
        </w:rPr>
        <w:t> </w:t>
      </w:r>
      <w:r>
        <w:rPr>
          <w:sz w:val="20"/>
        </w:rPr>
        <w:t>Victorian</w:t>
      </w:r>
      <w:r>
        <w:rPr>
          <w:spacing w:val="-10"/>
          <w:sz w:val="20"/>
        </w:rPr>
        <w:t> </w:t>
      </w:r>
      <w:r>
        <w:rPr>
          <w:sz w:val="20"/>
        </w:rPr>
        <w:t>courts</w:t>
      </w:r>
      <w:r>
        <w:rPr>
          <w:spacing w:val="-9"/>
          <w:sz w:val="20"/>
        </w:rPr>
        <w:t> </w:t>
      </w:r>
      <w:r>
        <w:rPr>
          <w:spacing w:val="-3"/>
          <w:sz w:val="20"/>
        </w:rPr>
        <w:t>are</w:t>
      </w:r>
      <w:r>
        <w:rPr>
          <w:spacing w:val="-10"/>
          <w:sz w:val="20"/>
        </w:rPr>
        <w:t> </w:t>
      </w:r>
      <w:r>
        <w:rPr>
          <w:sz w:val="20"/>
        </w:rPr>
        <w:t>missing</w:t>
      </w:r>
      <w:r>
        <w:rPr>
          <w:spacing w:val="-10"/>
          <w:sz w:val="20"/>
        </w:rPr>
        <w:t> </w:t>
      </w:r>
      <w:r>
        <w:rPr>
          <w:sz w:val="20"/>
        </w:rPr>
        <w:t>the</w:t>
      </w:r>
      <w:r>
        <w:rPr>
          <w:spacing w:val="-10"/>
          <w:sz w:val="20"/>
        </w:rPr>
        <w:t> </w:t>
      </w:r>
      <w:r>
        <w:rPr>
          <w:sz w:val="20"/>
        </w:rPr>
        <w:t>opportunity</w:t>
      </w:r>
      <w:r>
        <w:rPr>
          <w:spacing w:val="-10"/>
          <w:sz w:val="20"/>
        </w:rPr>
        <w:t> </w:t>
      </w:r>
      <w:r>
        <w:rPr>
          <w:sz w:val="20"/>
        </w:rPr>
        <w:t>to</w:t>
      </w:r>
      <w:r>
        <w:rPr>
          <w:spacing w:val="-10"/>
          <w:sz w:val="20"/>
        </w:rPr>
        <w:t> </w:t>
      </w:r>
      <w:r>
        <w:rPr>
          <w:sz w:val="20"/>
        </w:rPr>
        <w:t>build trust</w:t>
      </w:r>
      <w:r>
        <w:rPr>
          <w:spacing w:val="-12"/>
          <w:sz w:val="20"/>
        </w:rPr>
        <w:t> </w:t>
      </w:r>
      <w:r>
        <w:rPr>
          <w:sz w:val="20"/>
        </w:rPr>
        <w:t>and</w:t>
      </w:r>
      <w:r>
        <w:rPr>
          <w:spacing w:val="-12"/>
          <w:sz w:val="20"/>
        </w:rPr>
        <w:t> </w:t>
      </w:r>
      <w:r>
        <w:rPr>
          <w:sz w:val="20"/>
        </w:rPr>
        <w:t>confidence</w:t>
      </w:r>
      <w:r>
        <w:rPr>
          <w:spacing w:val="-12"/>
          <w:sz w:val="20"/>
        </w:rPr>
        <w:t> </w:t>
      </w:r>
      <w:r>
        <w:rPr>
          <w:sz w:val="20"/>
        </w:rPr>
        <w:t>in</w:t>
      </w:r>
      <w:r>
        <w:rPr>
          <w:spacing w:val="-12"/>
          <w:sz w:val="20"/>
        </w:rPr>
        <w:t> </w:t>
      </w:r>
      <w:r>
        <w:rPr>
          <w:sz w:val="20"/>
        </w:rPr>
        <w:t>the</w:t>
      </w:r>
      <w:r>
        <w:rPr>
          <w:spacing w:val="-12"/>
          <w:sz w:val="20"/>
        </w:rPr>
        <w:t> </w:t>
      </w:r>
      <w:r>
        <w:rPr>
          <w:sz w:val="20"/>
        </w:rPr>
        <w:t>justice</w:t>
      </w:r>
      <w:r>
        <w:rPr>
          <w:spacing w:val="-12"/>
          <w:sz w:val="20"/>
        </w:rPr>
        <w:t> </w:t>
      </w:r>
      <w:r>
        <w:rPr>
          <w:sz w:val="20"/>
        </w:rPr>
        <w:t>system</w:t>
      </w:r>
      <w:r>
        <w:rPr>
          <w:spacing w:val="-12"/>
          <w:sz w:val="20"/>
        </w:rPr>
        <w:t> </w:t>
      </w:r>
      <w:r>
        <w:rPr>
          <w:sz w:val="20"/>
        </w:rPr>
        <w:t>amongst</w:t>
      </w:r>
      <w:r>
        <w:rPr>
          <w:spacing w:val="-12"/>
          <w:sz w:val="20"/>
        </w:rPr>
        <w:t> </w:t>
      </w:r>
      <w:r>
        <w:rPr>
          <w:sz w:val="20"/>
        </w:rPr>
        <w:t>the</w:t>
      </w:r>
      <w:r>
        <w:rPr>
          <w:spacing w:val="-12"/>
          <w:sz w:val="20"/>
        </w:rPr>
        <w:t> </w:t>
      </w:r>
      <w:r>
        <w:rPr>
          <w:sz w:val="20"/>
        </w:rPr>
        <w:t>people</w:t>
      </w:r>
      <w:r>
        <w:rPr>
          <w:spacing w:val="-12"/>
          <w:sz w:val="20"/>
        </w:rPr>
        <w:t> </w:t>
      </w:r>
      <w:r>
        <w:rPr>
          <w:sz w:val="20"/>
        </w:rPr>
        <w:t>in</w:t>
      </w:r>
      <w:r>
        <w:rPr>
          <w:spacing w:val="-12"/>
          <w:sz w:val="20"/>
        </w:rPr>
        <w:t> </w:t>
      </w:r>
      <w:r>
        <w:rPr>
          <w:sz w:val="20"/>
        </w:rPr>
        <w:t>the</w:t>
      </w:r>
      <w:r>
        <w:rPr>
          <w:spacing w:val="-12"/>
          <w:sz w:val="20"/>
        </w:rPr>
        <w:t> </w:t>
      </w:r>
      <w:r>
        <w:rPr>
          <w:sz w:val="20"/>
        </w:rPr>
        <w:t>subject</w:t>
      </w:r>
      <w:r>
        <w:rPr>
          <w:spacing w:val="-12"/>
          <w:sz w:val="20"/>
        </w:rPr>
        <w:t> </w:t>
      </w:r>
      <w:r>
        <w:rPr>
          <w:sz w:val="20"/>
        </w:rPr>
        <w:t>groups more</w:t>
      </w:r>
      <w:r>
        <w:rPr>
          <w:spacing w:val="-5"/>
          <w:sz w:val="20"/>
        </w:rPr>
        <w:t> </w:t>
      </w:r>
      <w:r>
        <w:rPr>
          <w:spacing w:val="-4"/>
          <w:sz w:val="20"/>
        </w:rPr>
        <w:t>broadly.</w:t>
      </w:r>
    </w:p>
    <w:p>
      <w:pPr>
        <w:pStyle w:val="BodyText"/>
      </w:pPr>
    </w:p>
    <w:p>
      <w:pPr>
        <w:pStyle w:val="BodyText"/>
      </w:pPr>
    </w:p>
    <w:p>
      <w:pPr>
        <w:pStyle w:val="BodyText"/>
        <w:spacing w:before="9"/>
        <w:rPr>
          <w:sz w:val="26"/>
        </w:rPr>
      </w:pPr>
      <w:r>
        <w:rPr/>
        <w:pict>
          <v:line style="position:absolute;mso-position-horizontal-relative:page;mso-position-vertical-relative:paragraph;z-index:4064;mso-wrap-distance-left:0;mso-wrap-distance-right:0" from="79.370102pt,20.989861pt" to="515.905102pt,20.989861pt" stroked="true" strokeweight="1pt" strokecolor="#b6bdc8">
            <v:stroke dashstyle="solid"/>
            <w10:wrap type="topAndBottom"/>
          </v:line>
        </w:pict>
      </w:r>
    </w:p>
    <w:p>
      <w:pPr>
        <w:pStyle w:val="ListParagraph"/>
        <w:numPr>
          <w:ilvl w:val="0"/>
          <w:numId w:val="57"/>
        </w:numPr>
        <w:tabs>
          <w:tab w:pos="1760" w:val="left" w:leader="none"/>
          <w:tab w:pos="1762" w:val="left" w:leader="none"/>
        </w:tabs>
        <w:spacing w:line="213" w:lineRule="auto" w:before="107" w:after="0"/>
        <w:ind w:left="1761" w:right="1423" w:hanging="794"/>
        <w:jc w:val="left"/>
        <w:rPr>
          <w:sz w:val="13"/>
        </w:rPr>
      </w:pPr>
      <w:r>
        <w:rPr>
          <w:sz w:val="13"/>
        </w:rPr>
        <w:t>Consultation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w:t>
      </w:r>
      <w:r>
        <w:rPr>
          <w:spacing w:val="4"/>
          <w:sz w:val="13"/>
        </w:rPr>
        <w:t> </w:t>
      </w:r>
      <w:r>
        <w:rPr>
          <w:sz w:val="13"/>
        </w:rPr>
        <w:t>Wales)).</w:t>
      </w:r>
    </w:p>
    <w:p>
      <w:pPr>
        <w:pStyle w:val="ListParagraph"/>
        <w:numPr>
          <w:ilvl w:val="0"/>
          <w:numId w:val="57"/>
        </w:numPr>
        <w:tabs>
          <w:tab w:pos="1760" w:val="left" w:leader="none"/>
          <w:tab w:pos="1762" w:val="left" w:leader="none"/>
        </w:tabs>
        <w:spacing w:line="213" w:lineRule="auto" w:before="0" w:after="0"/>
        <w:ind w:left="1761" w:right="1264" w:hanging="794"/>
        <w:jc w:val="left"/>
        <w:rPr>
          <w:sz w:val="13"/>
        </w:rPr>
      </w:pPr>
      <w:r>
        <w:rPr>
          <w:sz w:val="13"/>
        </w:rPr>
        <w:t>The research was based on interviews (a combination of qualitative and quantitative methods) with 361 jurors who had recently completed </w:t>
      </w:r>
      <w:r>
        <w:rPr>
          <w:spacing w:val="2"/>
          <w:sz w:val="13"/>
        </w:rPr>
        <w:t>jury service </w:t>
      </w:r>
      <w:r>
        <w:rPr>
          <w:sz w:val="13"/>
        </w:rPr>
        <w:t>at six Crown </w:t>
      </w:r>
      <w:r>
        <w:rPr>
          <w:spacing w:val="2"/>
          <w:sz w:val="13"/>
        </w:rPr>
        <w:t>Courts </w:t>
      </w:r>
      <w:r>
        <w:rPr>
          <w:sz w:val="13"/>
        </w:rPr>
        <w:t>in </w:t>
      </w:r>
      <w:r>
        <w:rPr>
          <w:spacing w:val="2"/>
          <w:sz w:val="13"/>
        </w:rPr>
        <w:t>England. </w:t>
      </w:r>
      <w:r>
        <w:rPr>
          <w:sz w:val="13"/>
        </w:rPr>
        <w:t>Those </w:t>
      </w:r>
      <w:r>
        <w:rPr>
          <w:spacing w:val="2"/>
          <w:sz w:val="13"/>
        </w:rPr>
        <w:t>courts </w:t>
      </w:r>
      <w:r>
        <w:rPr>
          <w:sz w:val="13"/>
        </w:rPr>
        <w:t>were Southwark, Central Criminal </w:t>
      </w:r>
      <w:r>
        <w:rPr>
          <w:spacing w:val="2"/>
          <w:sz w:val="13"/>
        </w:rPr>
        <w:t>Court </w:t>
      </w:r>
      <w:r>
        <w:rPr>
          <w:sz w:val="13"/>
        </w:rPr>
        <w:t>(Old Bailey), Wood </w:t>
      </w:r>
      <w:r>
        <w:rPr>
          <w:spacing w:val="2"/>
          <w:sz w:val="13"/>
        </w:rPr>
        <w:t>Green, Blackfriars, </w:t>
      </w:r>
      <w:r>
        <w:rPr>
          <w:sz w:val="13"/>
        </w:rPr>
        <w:t>Snaresbrook and </w:t>
      </w:r>
      <w:r>
        <w:rPr>
          <w:spacing w:val="2"/>
          <w:sz w:val="13"/>
        </w:rPr>
        <w:t>Norwich. </w:t>
      </w:r>
      <w:r>
        <w:rPr>
          <w:sz w:val="13"/>
        </w:rPr>
        <w:t>The research took place between October 2001 and October 2002. The interviews were conducted by telephone after jurors completed their </w:t>
      </w:r>
      <w:r>
        <w:rPr>
          <w:spacing w:val="2"/>
          <w:sz w:val="13"/>
        </w:rPr>
        <w:t>jury service: </w:t>
      </w:r>
      <w:r>
        <w:rPr>
          <w:sz w:val="13"/>
        </w:rPr>
        <w:t>Roger Matthews, Lyn Hancock and Daniel </w:t>
      </w:r>
      <w:r>
        <w:rPr>
          <w:spacing w:val="2"/>
          <w:sz w:val="13"/>
        </w:rPr>
        <w:t>Briggs, </w:t>
      </w:r>
      <w:r>
        <w:rPr>
          <w:i/>
          <w:sz w:val="13"/>
        </w:rPr>
        <w:t>Juror’s </w:t>
      </w:r>
      <w:r>
        <w:rPr>
          <w:i/>
          <w:sz w:val="13"/>
        </w:rPr>
        <w:t>Perceptions, Understanding and Confidence and Satisfaction in the </w:t>
      </w:r>
      <w:r>
        <w:rPr>
          <w:i/>
          <w:spacing w:val="2"/>
          <w:sz w:val="13"/>
        </w:rPr>
        <w:t>Jury </w:t>
      </w:r>
      <w:r>
        <w:rPr>
          <w:i/>
          <w:sz w:val="13"/>
        </w:rPr>
        <w:t>System: A Study in Six </w:t>
      </w:r>
      <w:r>
        <w:rPr>
          <w:i/>
          <w:spacing w:val="2"/>
          <w:sz w:val="13"/>
        </w:rPr>
        <w:t>Courts </w:t>
      </w:r>
      <w:r>
        <w:rPr>
          <w:sz w:val="13"/>
        </w:rPr>
        <w:t>(Online </w:t>
      </w:r>
      <w:r>
        <w:rPr>
          <w:spacing w:val="2"/>
          <w:sz w:val="13"/>
        </w:rPr>
        <w:t>Report </w:t>
      </w:r>
      <w:r>
        <w:rPr>
          <w:sz w:val="13"/>
        </w:rPr>
        <w:t>No 05/04,  Home Office </w:t>
      </w:r>
      <w:r>
        <w:rPr>
          <w:spacing w:val="2"/>
          <w:sz w:val="13"/>
        </w:rPr>
        <w:t>UK, </w:t>
      </w:r>
      <w:r>
        <w:rPr>
          <w:sz w:val="13"/>
        </w:rPr>
        <w:t>2004) &lt;https://webarchive.nationalarchives.gov.uk/ukgwa/20110218141448/</w:t>
      </w:r>
      <w:hyperlink r:id="rId139">
        <w:r>
          <w:rPr>
            <w:sz w:val="13"/>
          </w:rPr>
          <w:t>http://rds.homeoffice.gov.uk/</w:t>
        </w:r>
      </w:hyperlink>
      <w:r>
        <w:rPr>
          <w:sz w:val="13"/>
        </w:rPr>
        <w:t> rds/pdfs2/rdsolr0504.pdf&gt;, discussed in Rodolfo Monteleone, </w:t>
      </w:r>
      <w:r>
        <w:rPr>
          <w:i/>
          <w:sz w:val="13"/>
        </w:rPr>
        <w:t>Improving Efficiency and Effectiveness of the Victorian </w:t>
      </w:r>
      <w:r>
        <w:rPr>
          <w:i/>
          <w:spacing w:val="2"/>
          <w:sz w:val="13"/>
        </w:rPr>
        <w:t>Jury </w:t>
      </w:r>
      <w:r>
        <w:rPr>
          <w:i/>
          <w:sz w:val="13"/>
        </w:rPr>
        <w:t>System </w:t>
      </w:r>
      <w:r>
        <w:rPr>
          <w:spacing w:val="2"/>
          <w:sz w:val="13"/>
        </w:rPr>
        <w:t>(Report, </w:t>
      </w:r>
      <w:r>
        <w:rPr>
          <w:sz w:val="13"/>
        </w:rPr>
        <w:t>Winston Churchill Trust, 3 February 2012) </w:t>
      </w:r>
      <w:r>
        <w:rPr>
          <w:spacing w:val="2"/>
          <w:sz w:val="13"/>
        </w:rPr>
        <w:t>12.</w:t>
      </w:r>
    </w:p>
    <w:p>
      <w:pPr>
        <w:pStyle w:val="ListParagraph"/>
        <w:numPr>
          <w:ilvl w:val="0"/>
          <w:numId w:val="57"/>
        </w:numPr>
        <w:tabs>
          <w:tab w:pos="1761" w:val="left" w:leader="none"/>
          <w:tab w:pos="1762" w:val="left" w:leader="none"/>
        </w:tabs>
        <w:spacing w:line="213" w:lineRule="auto" w:before="0" w:after="0"/>
        <w:ind w:left="1761" w:right="1295" w:hanging="794"/>
        <w:jc w:val="left"/>
        <w:rPr>
          <w:sz w:val="13"/>
        </w:rPr>
      </w:pPr>
      <w:r>
        <w:rPr>
          <w:sz w:val="13"/>
        </w:rPr>
        <w:t>David B Rottman, </w:t>
      </w:r>
      <w:r>
        <w:rPr>
          <w:i/>
          <w:sz w:val="13"/>
        </w:rPr>
        <w:t>Trust and Confidence in the California Courts—A Survey of the Public and Attorneys </w:t>
      </w:r>
      <w:r>
        <w:rPr>
          <w:spacing w:val="2"/>
          <w:sz w:val="13"/>
        </w:rPr>
        <w:t>(Report Part </w:t>
      </w:r>
      <w:r>
        <w:rPr>
          <w:sz w:val="13"/>
        </w:rPr>
        <w:t>1, National    Center for State </w:t>
      </w:r>
      <w:r>
        <w:rPr>
          <w:spacing w:val="2"/>
          <w:sz w:val="13"/>
        </w:rPr>
        <w:t>Courts, </w:t>
      </w:r>
      <w:r>
        <w:rPr>
          <w:sz w:val="13"/>
        </w:rPr>
        <w:t>September 2005). Between November 2004 and February </w:t>
      </w:r>
      <w:r>
        <w:rPr>
          <w:spacing w:val="2"/>
          <w:sz w:val="13"/>
        </w:rPr>
        <w:t>2005, </w:t>
      </w:r>
      <w:r>
        <w:rPr>
          <w:sz w:val="13"/>
        </w:rPr>
        <w:t>a survey examining trust and    confidence in the Californian </w:t>
      </w:r>
      <w:r>
        <w:rPr>
          <w:spacing w:val="2"/>
          <w:sz w:val="13"/>
        </w:rPr>
        <w:t>courts </w:t>
      </w:r>
      <w:r>
        <w:rPr>
          <w:sz w:val="13"/>
        </w:rPr>
        <w:t>was conducted. Over </w:t>
      </w:r>
      <w:r>
        <w:rPr>
          <w:spacing w:val="2"/>
          <w:sz w:val="13"/>
        </w:rPr>
        <w:t>2,400 </w:t>
      </w:r>
      <w:r>
        <w:rPr>
          <w:sz w:val="13"/>
        </w:rPr>
        <w:t>Californian adults were surveyed regarding their knowledge  about the </w:t>
      </w:r>
      <w:r>
        <w:rPr>
          <w:spacing w:val="2"/>
          <w:sz w:val="13"/>
        </w:rPr>
        <w:t>courts </w:t>
      </w:r>
      <w:r>
        <w:rPr>
          <w:sz w:val="13"/>
        </w:rPr>
        <w:t>and the sources of that knowledge; perceived and </w:t>
      </w:r>
      <w:r>
        <w:rPr>
          <w:spacing w:val="2"/>
          <w:sz w:val="13"/>
        </w:rPr>
        <w:t>experienced </w:t>
      </w:r>
      <w:r>
        <w:rPr>
          <w:sz w:val="13"/>
        </w:rPr>
        <w:t>barriers to court access; experiences as jurors, </w:t>
      </w:r>
      <w:r>
        <w:rPr>
          <w:spacing w:val="2"/>
          <w:sz w:val="13"/>
        </w:rPr>
        <w:t>litigants, </w:t>
      </w:r>
      <w:r>
        <w:rPr>
          <w:sz w:val="13"/>
        </w:rPr>
        <w:t>or consumers of court information; expectations for what the </w:t>
      </w:r>
      <w:r>
        <w:rPr>
          <w:spacing w:val="2"/>
          <w:sz w:val="13"/>
        </w:rPr>
        <w:t>courts </w:t>
      </w:r>
      <w:r>
        <w:rPr>
          <w:sz w:val="13"/>
        </w:rPr>
        <w:t>should be doing; and sense of the accessibility, fairness, and efficiency of the </w:t>
      </w:r>
      <w:r>
        <w:rPr>
          <w:spacing w:val="2"/>
          <w:sz w:val="13"/>
        </w:rPr>
        <w:t>courts. </w:t>
      </w:r>
      <w:r>
        <w:rPr>
          <w:sz w:val="13"/>
        </w:rPr>
        <w:t>At the same time, over 500 randomly selected practising attorneys were interviewed for   their views on </w:t>
      </w:r>
      <w:r>
        <w:rPr>
          <w:spacing w:val="2"/>
          <w:sz w:val="13"/>
        </w:rPr>
        <w:t>topics </w:t>
      </w:r>
      <w:r>
        <w:rPr>
          <w:sz w:val="13"/>
        </w:rPr>
        <w:t>covered in the </w:t>
      </w:r>
      <w:r>
        <w:rPr>
          <w:spacing w:val="2"/>
          <w:sz w:val="13"/>
        </w:rPr>
        <w:t>public </w:t>
      </w:r>
      <w:r>
        <w:rPr>
          <w:sz w:val="13"/>
        </w:rPr>
        <w:t>survey and on issues relating to their conduct of business with the state’s trial and appellate </w:t>
      </w:r>
      <w:r>
        <w:rPr>
          <w:spacing w:val="2"/>
          <w:sz w:val="13"/>
        </w:rPr>
        <w:t>courts.</w:t>
      </w:r>
    </w:p>
    <w:p>
      <w:pPr>
        <w:pStyle w:val="ListParagraph"/>
        <w:numPr>
          <w:ilvl w:val="0"/>
          <w:numId w:val="57"/>
        </w:numPr>
        <w:tabs>
          <w:tab w:pos="1760" w:val="left" w:leader="none"/>
          <w:tab w:pos="1762" w:val="left" w:leader="none"/>
        </w:tabs>
        <w:spacing w:line="149" w:lineRule="exact" w:before="0" w:after="0"/>
        <w:ind w:left="1761" w:right="0" w:hanging="794"/>
        <w:jc w:val="left"/>
        <w:rPr>
          <w:sz w:val="13"/>
        </w:rPr>
      </w:pPr>
      <w:r>
        <w:rPr>
          <w:sz w:val="13"/>
        </w:rPr>
        <w:t>Ibid </w:t>
      </w:r>
      <w:r>
        <w:rPr>
          <w:spacing w:val="3"/>
          <w:sz w:val="13"/>
        </w:rPr>
        <w:t>4, </w:t>
      </w:r>
      <w:r>
        <w:rPr>
          <w:sz w:val="13"/>
        </w:rPr>
        <w:t>Executive Summary, Recommendation</w:t>
      </w:r>
      <w:r>
        <w:rPr>
          <w:spacing w:val="-2"/>
          <w:sz w:val="13"/>
        </w:rPr>
        <w:t> </w:t>
      </w:r>
      <w:r>
        <w:rPr>
          <w:spacing w:val="3"/>
          <w:sz w:val="13"/>
        </w:rPr>
        <w:t>1.</w:t>
      </w:r>
    </w:p>
    <w:p>
      <w:pPr>
        <w:pStyle w:val="ListParagraph"/>
        <w:numPr>
          <w:ilvl w:val="0"/>
          <w:numId w:val="57"/>
        </w:numPr>
        <w:tabs>
          <w:tab w:pos="1761" w:val="left" w:leader="none"/>
          <w:tab w:pos="1762" w:val="left" w:leader="none"/>
        </w:tabs>
        <w:spacing w:line="213" w:lineRule="auto" w:before="1" w:after="0"/>
        <w:ind w:left="1761" w:right="1727" w:hanging="794"/>
        <w:jc w:val="left"/>
        <w:rPr>
          <w:sz w:val="13"/>
        </w:rPr>
      </w:pPr>
      <w:r>
        <w:rPr/>
        <w:pict>
          <v:shape style="position:absolute;margin-left:36pt;margin-top:11.44609pt;width:14.5pt;height:14.1pt;mso-position-horizontal-relative:page;mso-position-vertical-relative:paragraph;z-index:6136" type="#_x0000_t202" filled="false" stroked="false">
            <v:textbox inset="0,0,0,0">
              <w:txbxContent>
                <w:p>
                  <w:pPr>
                    <w:spacing w:line="282" w:lineRule="exact" w:before="0"/>
                    <w:ind w:left="0" w:right="0" w:firstLine="0"/>
                    <w:jc w:val="left"/>
                    <w:rPr>
                      <w:b/>
                      <w:sz w:val="24"/>
                    </w:rPr>
                  </w:pPr>
                  <w:r>
                    <w:rPr>
                      <w:b/>
                      <w:color w:val="37617A"/>
                      <w:spacing w:val="-1"/>
                      <w:sz w:val="24"/>
                    </w:rPr>
                    <w:t>66</w:t>
                  </w:r>
                </w:p>
              </w:txbxContent>
            </v:textbox>
            <w10:wrap type="none"/>
          </v:shape>
        </w:pict>
      </w:r>
      <w:r>
        <w:rPr>
          <w:sz w:val="13"/>
        </w:rPr>
        <w:t>Rodolfo Monteleone, </w:t>
      </w:r>
      <w:r>
        <w:rPr>
          <w:i/>
          <w:sz w:val="13"/>
        </w:rPr>
        <w:t>Improving Efficiency and Effectiveness of the Victorian </w:t>
      </w:r>
      <w:r>
        <w:rPr>
          <w:i/>
          <w:spacing w:val="2"/>
          <w:sz w:val="13"/>
        </w:rPr>
        <w:t>Jury </w:t>
      </w:r>
      <w:r>
        <w:rPr>
          <w:i/>
          <w:sz w:val="13"/>
        </w:rPr>
        <w:t>System </w:t>
      </w:r>
      <w:r>
        <w:rPr>
          <w:spacing w:val="2"/>
          <w:sz w:val="13"/>
        </w:rPr>
        <w:t>(Report, </w:t>
      </w:r>
      <w:r>
        <w:rPr>
          <w:sz w:val="13"/>
        </w:rPr>
        <w:t>Winston Churchill Trust, 3 February 2012) </w:t>
      </w:r>
      <w:r>
        <w:rPr>
          <w:spacing w:val="2"/>
          <w:sz w:val="13"/>
        </w:rPr>
        <w:t>29.</w:t>
      </w:r>
    </w:p>
    <w:p>
      <w:pPr>
        <w:pStyle w:val="ListParagraph"/>
        <w:numPr>
          <w:ilvl w:val="0"/>
          <w:numId w:val="57"/>
        </w:numPr>
        <w:tabs>
          <w:tab w:pos="1761" w:val="left" w:leader="none"/>
          <w:tab w:pos="1762" w:val="left" w:leader="none"/>
        </w:tabs>
        <w:spacing w:line="163"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spacing w:after="0" w:line="163"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Heading3"/>
        <w:spacing w:before="49"/>
      </w:pPr>
      <w:bookmarkStart w:name="Community responses: representative juri" w:id="140"/>
      <w:bookmarkEnd w:id="140"/>
      <w:r>
        <w:rPr>
          <w:b w:val="0"/>
        </w:rPr>
      </w:r>
      <w:bookmarkStart w:name="_bookmark54" w:id="141"/>
      <w:bookmarkEnd w:id="141"/>
      <w:r>
        <w:rPr>
          <w:b w:val="0"/>
        </w:rPr>
      </w:r>
      <w:r>
        <w:rPr/>
        <w:t>Trial by one’s peers</w:t>
      </w:r>
    </w:p>
    <w:p>
      <w:pPr>
        <w:pStyle w:val="ListParagraph"/>
        <w:numPr>
          <w:ilvl w:val="1"/>
          <w:numId w:val="12"/>
        </w:numPr>
        <w:tabs>
          <w:tab w:pos="1762" w:val="left" w:leader="none"/>
        </w:tabs>
        <w:spacing w:line="206" w:lineRule="auto" w:before="127" w:after="0"/>
        <w:ind w:left="1761" w:right="1205" w:hanging="794"/>
        <w:jc w:val="both"/>
        <w:rPr>
          <w:sz w:val="20"/>
        </w:rPr>
      </w:pPr>
      <w:r>
        <w:rPr>
          <w:spacing w:val="-3"/>
          <w:sz w:val="20"/>
        </w:rPr>
        <w:t>Representativeness</w:t>
      </w:r>
      <w:r>
        <w:rPr>
          <w:spacing w:val="-14"/>
          <w:sz w:val="20"/>
        </w:rPr>
        <w:t> </w:t>
      </w:r>
      <w:r>
        <w:rPr>
          <w:sz w:val="20"/>
        </w:rPr>
        <w:t>is</w:t>
      </w:r>
      <w:r>
        <w:rPr>
          <w:spacing w:val="-14"/>
          <w:sz w:val="20"/>
        </w:rPr>
        <w:t> </w:t>
      </w:r>
      <w:r>
        <w:rPr>
          <w:sz w:val="20"/>
        </w:rPr>
        <w:t>also</w:t>
      </w:r>
      <w:r>
        <w:rPr>
          <w:spacing w:val="-13"/>
          <w:sz w:val="20"/>
        </w:rPr>
        <w:t> </w:t>
      </w:r>
      <w:r>
        <w:rPr>
          <w:sz w:val="20"/>
        </w:rPr>
        <w:t>linked</w:t>
      </w:r>
      <w:r>
        <w:rPr>
          <w:spacing w:val="-14"/>
          <w:sz w:val="20"/>
        </w:rPr>
        <w:t> </w:t>
      </w:r>
      <w:r>
        <w:rPr>
          <w:sz w:val="20"/>
        </w:rPr>
        <w:t>to</w:t>
      </w:r>
      <w:r>
        <w:rPr>
          <w:spacing w:val="-13"/>
          <w:sz w:val="20"/>
        </w:rPr>
        <w:t> </w:t>
      </w:r>
      <w:r>
        <w:rPr>
          <w:sz w:val="20"/>
        </w:rPr>
        <w:t>the</w:t>
      </w:r>
      <w:r>
        <w:rPr>
          <w:spacing w:val="-14"/>
          <w:sz w:val="20"/>
        </w:rPr>
        <w:t> </w:t>
      </w:r>
      <w:r>
        <w:rPr>
          <w:sz w:val="20"/>
        </w:rPr>
        <w:t>notion</w:t>
      </w:r>
      <w:r>
        <w:rPr>
          <w:spacing w:val="-13"/>
          <w:sz w:val="20"/>
        </w:rPr>
        <w:t> </w:t>
      </w:r>
      <w:r>
        <w:rPr>
          <w:sz w:val="20"/>
        </w:rPr>
        <w:t>of</w:t>
      </w:r>
      <w:r>
        <w:rPr>
          <w:spacing w:val="-14"/>
          <w:sz w:val="20"/>
        </w:rPr>
        <w:t> </w:t>
      </w:r>
      <w:r>
        <w:rPr>
          <w:sz w:val="20"/>
        </w:rPr>
        <w:t>a</w:t>
      </w:r>
      <w:r>
        <w:rPr>
          <w:spacing w:val="-13"/>
          <w:sz w:val="20"/>
        </w:rPr>
        <w:t> </w:t>
      </w:r>
      <w:r>
        <w:rPr>
          <w:sz w:val="20"/>
        </w:rPr>
        <w:t>‘trial</w:t>
      </w:r>
      <w:r>
        <w:rPr>
          <w:spacing w:val="-14"/>
          <w:sz w:val="20"/>
        </w:rPr>
        <w:t> </w:t>
      </w:r>
      <w:r>
        <w:rPr>
          <w:spacing w:val="-3"/>
          <w:sz w:val="20"/>
        </w:rPr>
        <w:t>by</w:t>
      </w:r>
      <w:r>
        <w:rPr>
          <w:spacing w:val="-13"/>
          <w:sz w:val="20"/>
        </w:rPr>
        <w:t> </w:t>
      </w:r>
      <w:r>
        <w:rPr>
          <w:spacing w:val="-3"/>
          <w:sz w:val="20"/>
        </w:rPr>
        <w:t>one’s</w:t>
      </w:r>
      <w:r>
        <w:rPr>
          <w:spacing w:val="-14"/>
          <w:sz w:val="20"/>
        </w:rPr>
        <w:t> </w:t>
      </w:r>
      <w:r>
        <w:rPr>
          <w:sz w:val="20"/>
        </w:rPr>
        <w:t>peers’.</w:t>
      </w:r>
      <w:r>
        <w:rPr>
          <w:position w:val="7"/>
          <w:sz w:val="11"/>
        </w:rPr>
        <w:t>20</w:t>
      </w:r>
      <w:r>
        <w:rPr>
          <w:spacing w:val="12"/>
          <w:position w:val="7"/>
          <w:sz w:val="11"/>
        </w:rPr>
        <w:t> </w:t>
      </w:r>
      <w:r>
        <w:rPr>
          <w:sz w:val="20"/>
        </w:rPr>
        <w:t>Disability</w:t>
      </w:r>
      <w:r>
        <w:rPr>
          <w:spacing w:val="-14"/>
          <w:sz w:val="20"/>
        </w:rPr>
        <w:t> </w:t>
      </w:r>
      <w:r>
        <w:rPr>
          <w:sz w:val="20"/>
        </w:rPr>
        <w:t>rights organisations</w:t>
      </w:r>
      <w:r>
        <w:rPr>
          <w:spacing w:val="-12"/>
          <w:sz w:val="20"/>
        </w:rPr>
        <w:t> </w:t>
      </w:r>
      <w:r>
        <w:rPr>
          <w:spacing w:val="-4"/>
          <w:sz w:val="20"/>
        </w:rPr>
        <w:t>have</w:t>
      </w:r>
      <w:r>
        <w:rPr>
          <w:spacing w:val="-11"/>
          <w:sz w:val="20"/>
        </w:rPr>
        <w:t> </w:t>
      </w:r>
      <w:r>
        <w:rPr>
          <w:sz w:val="20"/>
        </w:rPr>
        <w:t>observed</w:t>
      </w:r>
      <w:r>
        <w:rPr>
          <w:spacing w:val="-11"/>
          <w:sz w:val="20"/>
        </w:rPr>
        <w:t> </w:t>
      </w:r>
      <w:r>
        <w:rPr>
          <w:sz w:val="20"/>
        </w:rPr>
        <w:t>that</w:t>
      </w:r>
      <w:r>
        <w:rPr>
          <w:spacing w:val="-11"/>
          <w:sz w:val="20"/>
        </w:rPr>
        <w:t> </w:t>
      </w:r>
      <w:r>
        <w:rPr>
          <w:sz w:val="20"/>
        </w:rPr>
        <w:t>defendants</w:t>
      </w:r>
      <w:r>
        <w:rPr>
          <w:spacing w:val="-11"/>
          <w:sz w:val="20"/>
        </w:rPr>
        <w:t> </w:t>
      </w:r>
      <w:r>
        <w:rPr>
          <w:sz w:val="20"/>
        </w:rPr>
        <w:t>with</w:t>
      </w:r>
      <w:r>
        <w:rPr>
          <w:spacing w:val="-11"/>
          <w:sz w:val="20"/>
        </w:rPr>
        <w:t> </w:t>
      </w:r>
      <w:r>
        <w:rPr>
          <w:sz w:val="20"/>
        </w:rPr>
        <w:t>disability</w:t>
      </w:r>
      <w:r>
        <w:rPr>
          <w:spacing w:val="-11"/>
          <w:sz w:val="20"/>
        </w:rPr>
        <w:t> </w:t>
      </w:r>
      <w:r>
        <w:rPr>
          <w:spacing w:val="-3"/>
          <w:sz w:val="20"/>
        </w:rPr>
        <w:t>are</w:t>
      </w:r>
      <w:r>
        <w:rPr>
          <w:spacing w:val="-12"/>
          <w:sz w:val="20"/>
        </w:rPr>
        <w:t> </w:t>
      </w:r>
      <w:r>
        <w:rPr>
          <w:sz w:val="20"/>
        </w:rPr>
        <w:t>denied</w:t>
      </w:r>
      <w:r>
        <w:rPr>
          <w:spacing w:val="-11"/>
          <w:sz w:val="20"/>
        </w:rPr>
        <w:t> </w:t>
      </w:r>
      <w:r>
        <w:rPr>
          <w:sz w:val="20"/>
        </w:rPr>
        <w:t>the</w:t>
      </w:r>
      <w:r>
        <w:rPr>
          <w:spacing w:val="-11"/>
          <w:sz w:val="20"/>
        </w:rPr>
        <w:t> </w:t>
      </w:r>
      <w:r>
        <w:rPr>
          <w:sz w:val="20"/>
        </w:rPr>
        <w:t>opportunity for</w:t>
      </w:r>
      <w:r>
        <w:rPr>
          <w:spacing w:val="-5"/>
          <w:sz w:val="20"/>
        </w:rPr>
        <w:t> </w:t>
      </w:r>
      <w:r>
        <w:rPr>
          <w:sz w:val="20"/>
        </w:rPr>
        <w:t>a</w:t>
      </w:r>
      <w:r>
        <w:rPr>
          <w:spacing w:val="-5"/>
          <w:sz w:val="20"/>
        </w:rPr>
        <w:t> </w:t>
      </w:r>
      <w:r>
        <w:rPr>
          <w:sz w:val="20"/>
        </w:rPr>
        <w:t>trial</w:t>
      </w:r>
      <w:r>
        <w:rPr>
          <w:spacing w:val="-4"/>
          <w:sz w:val="20"/>
        </w:rPr>
        <w:t> </w:t>
      </w:r>
      <w:r>
        <w:rPr>
          <w:sz w:val="20"/>
        </w:rPr>
        <w:t>with</w:t>
      </w:r>
      <w:r>
        <w:rPr>
          <w:spacing w:val="-5"/>
          <w:sz w:val="20"/>
        </w:rPr>
        <w:t> </w:t>
      </w:r>
      <w:r>
        <w:rPr>
          <w:sz w:val="20"/>
        </w:rPr>
        <w:t>a</w:t>
      </w:r>
      <w:r>
        <w:rPr>
          <w:spacing w:val="-4"/>
          <w:sz w:val="20"/>
        </w:rPr>
        <w:t> </w:t>
      </w:r>
      <w:r>
        <w:rPr>
          <w:sz w:val="20"/>
        </w:rPr>
        <w:t>jury</w:t>
      </w:r>
      <w:r>
        <w:rPr>
          <w:spacing w:val="-5"/>
          <w:sz w:val="20"/>
        </w:rPr>
        <w:t> </w:t>
      </w:r>
      <w:r>
        <w:rPr>
          <w:sz w:val="20"/>
        </w:rPr>
        <w:t>that</w:t>
      </w:r>
      <w:r>
        <w:rPr>
          <w:spacing w:val="-4"/>
          <w:sz w:val="20"/>
        </w:rPr>
        <w:t> </w:t>
      </w:r>
      <w:r>
        <w:rPr>
          <w:spacing w:val="-3"/>
          <w:sz w:val="20"/>
        </w:rPr>
        <w:t>may</w:t>
      </w:r>
      <w:r>
        <w:rPr>
          <w:spacing w:val="-5"/>
          <w:sz w:val="20"/>
        </w:rPr>
        <w:t> </w:t>
      </w:r>
      <w:r>
        <w:rPr>
          <w:sz w:val="20"/>
        </w:rPr>
        <w:t>include</w:t>
      </w:r>
      <w:r>
        <w:rPr>
          <w:spacing w:val="-4"/>
          <w:sz w:val="20"/>
        </w:rPr>
        <w:t> </w:t>
      </w:r>
      <w:r>
        <w:rPr>
          <w:sz w:val="20"/>
        </w:rPr>
        <w:t>their</w:t>
      </w:r>
      <w:r>
        <w:rPr>
          <w:spacing w:val="-5"/>
          <w:sz w:val="20"/>
        </w:rPr>
        <w:t> </w:t>
      </w:r>
      <w:r>
        <w:rPr>
          <w:sz w:val="20"/>
        </w:rPr>
        <w:t>peers.</w:t>
      </w:r>
    </w:p>
    <w:p>
      <w:pPr>
        <w:pStyle w:val="ListParagraph"/>
        <w:numPr>
          <w:ilvl w:val="1"/>
          <w:numId w:val="12"/>
        </w:numPr>
        <w:tabs>
          <w:tab w:pos="1761" w:val="left" w:leader="none"/>
          <w:tab w:pos="1762" w:val="left" w:leader="none"/>
        </w:tabs>
        <w:spacing w:line="206" w:lineRule="auto" w:before="124" w:after="0"/>
        <w:ind w:left="1761" w:right="1724" w:hanging="794"/>
        <w:jc w:val="left"/>
        <w:rPr>
          <w:sz w:val="20"/>
        </w:rPr>
      </w:pPr>
      <w:r>
        <w:rPr>
          <w:sz w:val="20"/>
        </w:rPr>
        <w:t>The </w:t>
      </w:r>
      <w:r>
        <w:rPr>
          <w:spacing w:val="-3"/>
          <w:sz w:val="20"/>
        </w:rPr>
        <w:t>exclusion </w:t>
      </w:r>
      <w:r>
        <w:rPr>
          <w:sz w:val="20"/>
        </w:rPr>
        <w:t>of people </w:t>
      </w:r>
      <w:r>
        <w:rPr>
          <w:spacing w:val="-3"/>
          <w:sz w:val="20"/>
        </w:rPr>
        <w:t>from </w:t>
      </w:r>
      <w:r>
        <w:rPr>
          <w:sz w:val="20"/>
        </w:rPr>
        <w:t>the subject groups means that the ‘experience of disability</w:t>
      </w:r>
      <w:r>
        <w:rPr>
          <w:spacing w:val="-9"/>
          <w:sz w:val="20"/>
        </w:rPr>
        <w:t> </w:t>
      </w:r>
      <w:r>
        <w:rPr>
          <w:sz w:val="20"/>
        </w:rPr>
        <w:t>is</w:t>
      </w:r>
      <w:r>
        <w:rPr>
          <w:spacing w:val="-9"/>
          <w:sz w:val="20"/>
        </w:rPr>
        <w:t> </w:t>
      </w:r>
      <w:r>
        <w:rPr>
          <w:sz w:val="20"/>
        </w:rPr>
        <w:t>not</w:t>
      </w:r>
      <w:r>
        <w:rPr>
          <w:spacing w:val="-9"/>
          <w:sz w:val="20"/>
        </w:rPr>
        <w:t> </w:t>
      </w:r>
      <w:r>
        <w:rPr>
          <w:spacing w:val="-3"/>
          <w:sz w:val="20"/>
        </w:rPr>
        <w:t>available</w:t>
      </w:r>
      <w:r>
        <w:rPr>
          <w:spacing w:val="-8"/>
          <w:sz w:val="20"/>
        </w:rPr>
        <w:t> </w:t>
      </w:r>
      <w:r>
        <w:rPr>
          <w:sz w:val="20"/>
        </w:rPr>
        <w:t>for</w:t>
      </w:r>
      <w:r>
        <w:rPr>
          <w:spacing w:val="-9"/>
          <w:sz w:val="20"/>
        </w:rPr>
        <w:t> </w:t>
      </w:r>
      <w:r>
        <w:rPr>
          <w:sz w:val="20"/>
        </w:rPr>
        <w:t>jury</w:t>
      </w:r>
      <w:r>
        <w:rPr>
          <w:spacing w:val="-9"/>
          <w:sz w:val="20"/>
        </w:rPr>
        <w:t> </w:t>
      </w:r>
      <w:r>
        <w:rPr>
          <w:sz w:val="20"/>
        </w:rPr>
        <w:t>consideration</w:t>
      </w:r>
      <w:r>
        <w:rPr>
          <w:spacing w:val="-8"/>
          <w:sz w:val="20"/>
        </w:rPr>
        <w:t> </w:t>
      </w:r>
      <w:r>
        <w:rPr>
          <w:sz w:val="20"/>
        </w:rPr>
        <w:t>during</w:t>
      </w:r>
      <w:r>
        <w:rPr>
          <w:spacing w:val="-9"/>
          <w:sz w:val="20"/>
        </w:rPr>
        <w:t> </w:t>
      </w:r>
      <w:r>
        <w:rPr>
          <w:sz w:val="20"/>
        </w:rPr>
        <w:t>trials’.</w:t>
      </w:r>
      <w:r>
        <w:rPr>
          <w:position w:val="7"/>
          <w:sz w:val="11"/>
        </w:rPr>
        <w:t>21</w:t>
      </w:r>
      <w:r>
        <w:rPr>
          <w:spacing w:val="16"/>
          <w:position w:val="7"/>
          <w:sz w:val="11"/>
        </w:rPr>
        <w:t> </w:t>
      </w:r>
      <w:r>
        <w:rPr>
          <w:sz w:val="20"/>
        </w:rPr>
        <w:t>Associate</w:t>
      </w:r>
      <w:r>
        <w:rPr>
          <w:spacing w:val="-9"/>
          <w:sz w:val="20"/>
        </w:rPr>
        <w:t> </w:t>
      </w:r>
      <w:r>
        <w:rPr>
          <w:spacing w:val="-3"/>
          <w:sz w:val="20"/>
        </w:rPr>
        <w:t>Professors </w:t>
      </w:r>
      <w:r>
        <w:rPr>
          <w:sz w:val="20"/>
        </w:rPr>
        <w:t>Bruce</w:t>
      </w:r>
      <w:r>
        <w:rPr>
          <w:spacing w:val="-7"/>
          <w:sz w:val="20"/>
        </w:rPr>
        <w:t> </w:t>
      </w:r>
      <w:r>
        <w:rPr>
          <w:sz w:val="20"/>
        </w:rPr>
        <w:t>Baer</w:t>
      </w:r>
      <w:r>
        <w:rPr>
          <w:spacing w:val="-7"/>
          <w:sz w:val="20"/>
        </w:rPr>
        <w:t> </w:t>
      </w:r>
      <w:r>
        <w:rPr>
          <w:sz w:val="20"/>
        </w:rPr>
        <w:t>Arnold</w:t>
      </w:r>
      <w:r>
        <w:rPr>
          <w:spacing w:val="-7"/>
          <w:sz w:val="20"/>
        </w:rPr>
        <w:t> </w:t>
      </w:r>
      <w:r>
        <w:rPr>
          <w:sz w:val="20"/>
        </w:rPr>
        <w:t>and</w:t>
      </w:r>
      <w:r>
        <w:rPr>
          <w:spacing w:val="-7"/>
          <w:sz w:val="20"/>
        </w:rPr>
        <w:t> </w:t>
      </w:r>
      <w:r>
        <w:rPr>
          <w:spacing w:val="-4"/>
          <w:sz w:val="20"/>
        </w:rPr>
        <w:t>Wendy</w:t>
      </w:r>
      <w:r>
        <w:rPr>
          <w:spacing w:val="-7"/>
          <w:sz w:val="20"/>
        </w:rPr>
        <w:t> </w:t>
      </w:r>
      <w:r>
        <w:rPr>
          <w:sz w:val="20"/>
        </w:rPr>
        <w:t>Bonython</w:t>
      </w:r>
      <w:r>
        <w:rPr>
          <w:spacing w:val="-7"/>
          <w:sz w:val="20"/>
        </w:rPr>
        <w:t> </w:t>
      </w:r>
      <w:r>
        <w:rPr>
          <w:sz w:val="20"/>
        </w:rPr>
        <w:t>note</w:t>
      </w:r>
      <w:r>
        <w:rPr>
          <w:spacing w:val="-7"/>
          <w:sz w:val="20"/>
        </w:rPr>
        <w:t> </w:t>
      </w:r>
      <w:r>
        <w:rPr>
          <w:sz w:val="20"/>
        </w:rPr>
        <w:t>that</w:t>
      </w:r>
      <w:r>
        <w:rPr>
          <w:spacing w:val="-7"/>
          <w:sz w:val="20"/>
        </w:rPr>
        <w:t> </w:t>
      </w:r>
      <w:r>
        <w:rPr>
          <w:sz w:val="20"/>
        </w:rPr>
        <w:t>this</w:t>
      </w:r>
      <w:r>
        <w:rPr>
          <w:spacing w:val="-7"/>
          <w:sz w:val="20"/>
        </w:rPr>
        <w:t> </w:t>
      </w:r>
      <w:r>
        <w:rPr>
          <w:spacing w:val="-3"/>
          <w:sz w:val="20"/>
        </w:rPr>
        <w:t>exclusion</w:t>
      </w:r>
      <w:r>
        <w:rPr>
          <w:spacing w:val="-7"/>
          <w:sz w:val="20"/>
        </w:rPr>
        <w:t> </w:t>
      </w:r>
      <w:r>
        <w:rPr>
          <w:sz w:val="20"/>
        </w:rPr>
        <w:t>is</w:t>
      </w:r>
      <w:r>
        <w:rPr>
          <w:spacing w:val="-7"/>
          <w:sz w:val="20"/>
        </w:rPr>
        <w:t> </w:t>
      </w:r>
      <w:r>
        <w:rPr>
          <w:sz w:val="20"/>
        </w:rPr>
        <w:t>a</w:t>
      </w:r>
      <w:r>
        <w:rPr>
          <w:spacing w:val="-7"/>
          <w:sz w:val="20"/>
        </w:rPr>
        <w:t> </w:t>
      </w:r>
      <w:r>
        <w:rPr>
          <w:sz w:val="20"/>
        </w:rPr>
        <w:t>‘distortion</w:t>
      </w:r>
    </w:p>
    <w:p>
      <w:pPr>
        <w:pStyle w:val="BodyText"/>
        <w:spacing w:line="206" w:lineRule="auto" w:before="4"/>
        <w:ind w:left="1761" w:right="1335"/>
      </w:pPr>
      <w:r>
        <w:rPr/>
        <w:t>of</w:t>
      </w:r>
      <w:r>
        <w:rPr>
          <w:spacing w:val="-11"/>
        </w:rPr>
        <w:t> </w:t>
      </w:r>
      <w:r>
        <w:rPr/>
        <w:t>the</w:t>
      </w:r>
      <w:r>
        <w:rPr>
          <w:spacing w:val="-11"/>
        </w:rPr>
        <w:t> </w:t>
      </w:r>
      <w:r>
        <w:rPr/>
        <w:t>legal</w:t>
      </w:r>
      <w:r>
        <w:rPr>
          <w:spacing w:val="-11"/>
        </w:rPr>
        <w:t> </w:t>
      </w:r>
      <w:r>
        <w:rPr/>
        <w:t>process</w:t>
      </w:r>
      <w:r>
        <w:rPr>
          <w:spacing w:val="-11"/>
        </w:rPr>
        <w:t> </w:t>
      </w:r>
      <w:r>
        <w:rPr/>
        <w:t>which</w:t>
      </w:r>
      <w:r>
        <w:rPr>
          <w:spacing w:val="-11"/>
        </w:rPr>
        <w:t> </w:t>
      </w:r>
      <w:r>
        <w:rPr/>
        <w:t>is</w:t>
      </w:r>
      <w:r>
        <w:rPr>
          <w:spacing w:val="-10"/>
        </w:rPr>
        <w:t> </w:t>
      </w:r>
      <w:r>
        <w:rPr/>
        <w:t>not</w:t>
      </w:r>
      <w:r>
        <w:rPr>
          <w:spacing w:val="-11"/>
        </w:rPr>
        <w:t> </w:t>
      </w:r>
      <w:r>
        <w:rPr/>
        <w:t>defensible</w:t>
      </w:r>
      <w:r>
        <w:rPr>
          <w:spacing w:val="-11"/>
        </w:rPr>
        <w:t> </w:t>
      </w:r>
      <w:r>
        <w:rPr/>
        <w:t>on</w:t>
      </w:r>
      <w:r>
        <w:rPr>
          <w:spacing w:val="-11"/>
        </w:rPr>
        <w:t> </w:t>
      </w:r>
      <w:r>
        <w:rPr/>
        <w:t>the</w:t>
      </w:r>
      <w:r>
        <w:rPr>
          <w:spacing w:val="-11"/>
        </w:rPr>
        <w:t> </w:t>
      </w:r>
      <w:r>
        <w:rPr/>
        <w:t>basis</w:t>
      </w:r>
      <w:r>
        <w:rPr>
          <w:spacing w:val="-11"/>
        </w:rPr>
        <w:t> </w:t>
      </w:r>
      <w:r>
        <w:rPr/>
        <w:t>of</w:t>
      </w:r>
      <w:r>
        <w:rPr>
          <w:spacing w:val="-11"/>
        </w:rPr>
        <w:t> </w:t>
      </w:r>
      <w:r>
        <w:rPr/>
        <w:t>cost</w:t>
      </w:r>
      <w:r>
        <w:rPr>
          <w:spacing w:val="-10"/>
        </w:rPr>
        <w:t> </w:t>
      </w:r>
      <w:r>
        <w:rPr/>
        <w:t>or</w:t>
      </w:r>
      <w:r>
        <w:rPr>
          <w:spacing w:val="-11"/>
        </w:rPr>
        <w:t> </w:t>
      </w:r>
      <w:r>
        <w:rPr/>
        <w:t>administrative </w:t>
      </w:r>
      <w:r>
        <w:rPr>
          <w:spacing w:val="-3"/>
        </w:rPr>
        <w:t>inconvenience’.</w:t>
      </w:r>
      <w:r>
        <w:rPr>
          <w:spacing w:val="-3"/>
          <w:position w:val="7"/>
          <w:sz w:val="11"/>
        </w:rPr>
        <w:t>22 </w:t>
      </w:r>
      <w:r>
        <w:rPr>
          <w:spacing w:val="-5"/>
        </w:rPr>
        <w:t>Youth </w:t>
      </w:r>
      <w:r>
        <w:rPr/>
        <w:t>Disability </w:t>
      </w:r>
      <w:r>
        <w:rPr>
          <w:spacing w:val="-3"/>
        </w:rPr>
        <w:t>Advocacy </w:t>
      </w:r>
      <w:r>
        <w:rPr/>
        <w:t>Service noted in</w:t>
      </w:r>
      <w:r>
        <w:rPr>
          <w:spacing w:val="-25"/>
        </w:rPr>
        <w:t> </w:t>
      </w:r>
      <w:r>
        <w:rPr/>
        <w:t>consultation:</w:t>
      </w:r>
    </w:p>
    <w:p>
      <w:pPr>
        <w:spacing w:line="208" w:lineRule="auto" w:before="120"/>
        <w:ind w:left="2157" w:right="1645" w:firstLine="0"/>
        <w:jc w:val="left"/>
        <w:rPr>
          <w:sz w:val="19"/>
        </w:rPr>
      </w:pPr>
      <w:r>
        <w:rPr>
          <w:spacing w:val="-2"/>
          <w:sz w:val="19"/>
        </w:rPr>
        <w:t>[we </w:t>
      </w:r>
      <w:r>
        <w:rPr>
          <w:spacing w:val="-3"/>
          <w:sz w:val="19"/>
        </w:rPr>
        <w:t>have] </w:t>
      </w:r>
      <w:r>
        <w:rPr>
          <w:sz w:val="19"/>
        </w:rPr>
        <w:t>heard countless experiences of people with disabilities who </w:t>
      </w:r>
      <w:r>
        <w:rPr>
          <w:spacing w:val="-3"/>
          <w:sz w:val="19"/>
        </w:rPr>
        <w:t>have </w:t>
      </w:r>
      <w:r>
        <w:rPr>
          <w:sz w:val="19"/>
        </w:rPr>
        <w:t>been witnesses, victims or defendants in the Victorian court system. They participate in</w:t>
      </w:r>
      <w:r>
        <w:rPr>
          <w:spacing w:val="-4"/>
          <w:sz w:val="19"/>
        </w:rPr>
        <w:t> </w:t>
      </w:r>
      <w:r>
        <w:rPr>
          <w:sz w:val="19"/>
        </w:rPr>
        <w:t>a</w:t>
      </w:r>
      <w:r>
        <w:rPr>
          <w:spacing w:val="-4"/>
          <w:sz w:val="19"/>
        </w:rPr>
        <w:t> </w:t>
      </w:r>
      <w:r>
        <w:rPr>
          <w:sz w:val="19"/>
        </w:rPr>
        <w:t>trial</w:t>
      </w:r>
      <w:r>
        <w:rPr>
          <w:spacing w:val="-3"/>
          <w:sz w:val="19"/>
        </w:rPr>
        <w:t> </w:t>
      </w:r>
      <w:r>
        <w:rPr>
          <w:sz w:val="19"/>
        </w:rPr>
        <w:t>with</w:t>
      </w:r>
      <w:r>
        <w:rPr>
          <w:spacing w:val="-4"/>
          <w:sz w:val="19"/>
        </w:rPr>
        <w:t> </w:t>
      </w:r>
      <w:r>
        <w:rPr>
          <w:sz w:val="19"/>
        </w:rPr>
        <w:t>a</w:t>
      </w:r>
      <w:r>
        <w:rPr>
          <w:spacing w:val="-4"/>
          <w:sz w:val="19"/>
        </w:rPr>
        <w:t> </w:t>
      </w:r>
      <w:r>
        <w:rPr>
          <w:sz w:val="19"/>
        </w:rPr>
        <w:t>judge,</w:t>
      </w:r>
      <w:r>
        <w:rPr>
          <w:spacing w:val="-3"/>
          <w:sz w:val="19"/>
        </w:rPr>
        <w:t> </w:t>
      </w:r>
      <w:r>
        <w:rPr>
          <w:sz w:val="19"/>
        </w:rPr>
        <w:t>lawyers</w:t>
      </w:r>
      <w:r>
        <w:rPr>
          <w:spacing w:val="-4"/>
          <w:sz w:val="19"/>
        </w:rPr>
        <w:t> </w:t>
      </w:r>
      <w:r>
        <w:rPr>
          <w:sz w:val="19"/>
        </w:rPr>
        <w:t>and</w:t>
      </w:r>
      <w:r>
        <w:rPr>
          <w:spacing w:val="-3"/>
          <w:sz w:val="19"/>
        </w:rPr>
        <w:t> </w:t>
      </w:r>
      <w:r>
        <w:rPr>
          <w:sz w:val="19"/>
        </w:rPr>
        <w:t>jurors</w:t>
      </w:r>
      <w:r>
        <w:rPr>
          <w:spacing w:val="-4"/>
          <w:sz w:val="19"/>
        </w:rPr>
        <w:t> </w:t>
      </w:r>
      <w:r>
        <w:rPr>
          <w:sz w:val="19"/>
        </w:rPr>
        <w:t>who</w:t>
      </w:r>
      <w:r>
        <w:rPr>
          <w:spacing w:val="-4"/>
          <w:sz w:val="19"/>
        </w:rPr>
        <w:t> </w:t>
      </w:r>
      <w:r>
        <w:rPr>
          <w:spacing w:val="-3"/>
          <w:sz w:val="19"/>
        </w:rPr>
        <w:t>have </w:t>
      </w:r>
      <w:r>
        <w:rPr>
          <w:sz w:val="19"/>
        </w:rPr>
        <w:t>no</w:t>
      </w:r>
      <w:r>
        <w:rPr>
          <w:spacing w:val="-4"/>
          <w:sz w:val="19"/>
        </w:rPr>
        <w:t> </w:t>
      </w:r>
      <w:r>
        <w:rPr>
          <w:sz w:val="19"/>
        </w:rPr>
        <w:t>understanding</w:t>
      </w:r>
      <w:r>
        <w:rPr>
          <w:spacing w:val="-4"/>
          <w:sz w:val="19"/>
        </w:rPr>
        <w:t> </w:t>
      </w:r>
      <w:r>
        <w:rPr>
          <w:sz w:val="19"/>
        </w:rPr>
        <w:t>of</w:t>
      </w:r>
      <w:r>
        <w:rPr>
          <w:spacing w:val="-3"/>
          <w:sz w:val="19"/>
        </w:rPr>
        <w:t> </w:t>
      </w:r>
      <w:r>
        <w:rPr>
          <w:sz w:val="19"/>
        </w:rPr>
        <w:t>their</w:t>
      </w:r>
      <w:r>
        <w:rPr>
          <w:spacing w:val="-4"/>
          <w:sz w:val="19"/>
        </w:rPr>
        <w:t> </w:t>
      </w:r>
      <w:r>
        <w:rPr>
          <w:sz w:val="19"/>
        </w:rPr>
        <w:t>lived</w:t>
      </w:r>
    </w:p>
    <w:p>
      <w:pPr>
        <w:spacing w:line="237" w:lineRule="exact" w:before="0"/>
        <w:ind w:left="2157" w:right="0" w:firstLine="0"/>
        <w:jc w:val="left"/>
        <w:rPr>
          <w:sz w:val="11"/>
        </w:rPr>
      </w:pPr>
      <w:r>
        <w:rPr>
          <w:sz w:val="19"/>
        </w:rPr>
        <w:t>experience. Having jury members who have disabilities would counterbalance this.</w:t>
      </w:r>
      <w:r>
        <w:rPr>
          <w:position w:val="6"/>
          <w:sz w:val="11"/>
        </w:rPr>
        <w:t>23</w:t>
      </w:r>
    </w:p>
    <w:p>
      <w:pPr>
        <w:pStyle w:val="ListParagraph"/>
        <w:numPr>
          <w:ilvl w:val="1"/>
          <w:numId w:val="12"/>
        </w:numPr>
        <w:tabs>
          <w:tab w:pos="1761" w:val="left" w:leader="none"/>
          <w:tab w:pos="1762" w:val="left" w:leader="none"/>
        </w:tabs>
        <w:spacing w:line="206" w:lineRule="auto" w:before="117" w:after="0"/>
        <w:ind w:left="1761" w:right="1543" w:hanging="794"/>
        <w:jc w:val="left"/>
        <w:rPr>
          <w:sz w:val="20"/>
        </w:rPr>
      </w:pPr>
      <w:r>
        <w:rPr>
          <w:sz w:val="20"/>
        </w:rPr>
        <w:t>Victoria Legal Aid (VLA) identified in its submission that </w:t>
      </w:r>
      <w:r>
        <w:rPr>
          <w:spacing w:val="-3"/>
          <w:sz w:val="20"/>
        </w:rPr>
        <w:t>approximately </w:t>
      </w:r>
      <w:r>
        <w:rPr>
          <w:sz w:val="20"/>
        </w:rPr>
        <w:t>one-quarter of</w:t>
      </w:r>
      <w:r>
        <w:rPr>
          <w:spacing w:val="-10"/>
          <w:sz w:val="20"/>
        </w:rPr>
        <w:t> </w:t>
      </w:r>
      <w:r>
        <w:rPr>
          <w:sz w:val="20"/>
        </w:rPr>
        <w:t>VLA</w:t>
      </w:r>
      <w:r>
        <w:rPr>
          <w:spacing w:val="-10"/>
          <w:sz w:val="20"/>
        </w:rPr>
        <w:t> </w:t>
      </w:r>
      <w:r>
        <w:rPr>
          <w:sz w:val="20"/>
        </w:rPr>
        <w:t>clients</w:t>
      </w:r>
      <w:r>
        <w:rPr>
          <w:spacing w:val="-9"/>
          <w:sz w:val="20"/>
        </w:rPr>
        <w:t> </w:t>
      </w:r>
      <w:r>
        <w:rPr>
          <w:sz w:val="20"/>
        </w:rPr>
        <w:t>disclose</w:t>
      </w:r>
      <w:r>
        <w:rPr>
          <w:spacing w:val="-10"/>
          <w:sz w:val="20"/>
        </w:rPr>
        <w:t> </w:t>
      </w:r>
      <w:r>
        <w:rPr>
          <w:spacing w:val="-3"/>
          <w:sz w:val="20"/>
        </w:rPr>
        <w:t>having</w:t>
      </w:r>
      <w:r>
        <w:rPr>
          <w:spacing w:val="-10"/>
          <w:sz w:val="20"/>
        </w:rPr>
        <w:t> </w:t>
      </w:r>
      <w:r>
        <w:rPr>
          <w:sz w:val="20"/>
        </w:rPr>
        <w:t>a</w:t>
      </w:r>
      <w:r>
        <w:rPr>
          <w:spacing w:val="-9"/>
          <w:sz w:val="20"/>
        </w:rPr>
        <w:t> </w:t>
      </w:r>
      <w:r>
        <w:rPr>
          <w:sz w:val="20"/>
        </w:rPr>
        <w:t>disability</w:t>
      </w:r>
      <w:r>
        <w:rPr>
          <w:spacing w:val="-10"/>
          <w:sz w:val="20"/>
        </w:rPr>
        <w:t> </w:t>
      </w:r>
      <w:r>
        <w:rPr>
          <w:sz w:val="20"/>
        </w:rPr>
        <w:t>or</w:t>
      </w:r>
      <w:r>
        <w:rPr>
          <w:spacing w:val="-10"/>
          <w:sz w:val="20"/>
        </w:rPr>
        <w:t> </w:t>
      </w:r>
      <w:r>
        <w:rPr>
          <w:sz w:val="20"/>
        </w:rPr>
        <w:t>experiencing</w:t>
      </w:r>
      <w:r>
        <w:rPr>
          <w:spacing w:val="-9"/>
          <w:sz w:val="20"/>
        </w:rPr>
        <w:t> </w:t>
      </w:r>
      <w:r>
        <w:rPr>
          <w:sz w:val="20"/>
        </w:rPr>
        <w:t>mental</w:t>
      </w:r>
      <w:r>
        <w:rPr>
          <w:spacing w:val="-10"/>
          <w:sz w:val="20"/>
        </w:rPr>
        <w:t> </w:t>
      </w:r>
      <w:r>
        <w:rPr>
          <w:sz w:val="20"/>
        </w:rPr>
        <w:t>health</w:t>
      </w:r>
      <w:r>
        <w:rPr>
          <w:spacing w:val="-10"/>
          <w:sz w:val="20"/>
        </w:rPr>
        <w:t> </w:t>
      </w:r>
      <w:r>
        <w:rPr>
          <w:sz w:val="20"/>
        </w:rPr>
        <w:t>issues.</w:t>
      </w:r>
      <w:r>
        <w:rPr>
          <w:spacing w:val="-9"/>
          <w:sz w:val="20"/>
        </w:rPr>
        <w:t> </w:t>
      </w:r>
      <w:r>
        <w:rPr>
          <w:sz w:val="20"/>
        </w:rPr>
        <w:t>VLA commented:</w:t>
      </w:r>
    </w:p>
    <w:p>
      <w:pPr>
        <w:spacing w:line="208" w:lineRule="auto" w:before="121"/>
        <w:ind w:left="2157" w:right="1202" w:firstLine="0"/>
        <w:jc w:val="left"/>
        <w:rPr>
          <w:sz w:val="19"/>
        </w:rPr>
      </w:pPr>
      <w:r>
        <w:rPr>
          <w:sz w:val="19"/>
        </w:rPr>
        <w:t>Juries serve an important role in the democratic process; if juries are to be representative of the community, diversity is necessary to ensure that legal decisions reflect the attitudes and values of the whole community. Including people who</w:t>
      </w:r>
    </w:p>
    <w:p>
      <w:pPr>
        <w:spacing w:line="208" w:lineRule="auto" w:before="2"/>
        <w:ind w:left="2157" w:right="1110" w:firstLine="0"/>
        <w:jc w:val="left"/>
        <w:rPr>
          <w:sz w:val="19"/>
        </w:rPr>
      </w:pPr>
      <w:r>
        <w:rPr>
          <w:sz w:val="19"/>
        </w:rPr>
        <w:t>are deaf, hard of hearing, blind or have low vision to participate in juries (and all components of the legal system) will ensure juries represent the diversity found within the general community, and enable defendants with hearing or vision impairments</w:t>
      </w:r>
    </w:p>
    <w:p>
      <w:pPr>
        <w:spacing w:line="208" w:lineRule="auto" w:before="2"/>
        <w:ind w:left="2157" w:right="1274" w:firstLine="0"/>
        <w:jc w:val="both"/>
        <w:rPr>
          <w:sz w:val="11"/>
        </w:rPr>
      </w:pPr>
      <w:r>
        <w:rPr>
          <w:sz w:val="19"/>
        </w:rPr>
        <w:t>to </w:t>
      </w:r>
      <w:r>
        <w:rPr>
          <w:spacing w:val="-3"/>
          <w:sz w:val="19"/>
        </w:rPr>
        <w:t>have </w:t>
      </w:r>
      <w:r>
        <w:rPr>
          <w:sz w:val="19"/>
        </w:rPr>
        <w:t>a juror which [sic] shares some of their lived experience. It could also improve access to juror participation for Aboriginal and </w:t>
      </w:r>
      <w:r>
        <w:rPr>
          <w:spacing w:val="-4"/>
          <w:sz w:val="19"/>
        </w:rPr>
        <w:t>Torres </w:t>
      </w:r>
      <w:r>
        <w:rPr>
          <w:sz w:val="19"/>
        </w:rPr>
        <w:t>Strait Islander people, who </w:t>
      </w:r>
      <w:r>
        <w:rPr>
          <w:spacing w:val="-3"/>
          <w:sz w:val="19"/>
        </w:rPr>
        <w:t>have </w:t>
      </w:r>
      <w:r>
        <w:rPr>
          <w:sz w:val="19"/>
        </w:rPr>
        <w:t>a disproportionately high rate of vision and hearing impairments.</w:t>
      </w:r>
      <w:r>
        <w:rPr>
          <w:position w:val="6"/>
          <w:sz w:val="11"/>
        </w:rPr>
        <w:t>24</w:t>
      </w:r>
    </w:p>
    <w:p>
      <w:pPr>
        <w:pStyle w:val="ListParagraph"/>
        <w:numPr>
          <w:ilvl w:val="1"/>
          <w:numId w:val="12"/>
        </w:numPr>
        <w:tabs>
          <w:tab w:pos="1761" w:val="left" w:leader="none"/>
          <w:tab w:pos="1762" w:val="left" w:leader="none"/>
        </w:tabs>
        <w:spacing w:line="206" w:lineRule="auto" w:before="124" w:after="0"/>
        <w:ind w:left="1761" w:right="1594" w:hanging="794"/>
        <w:jc w:val="left"/>
        <w:rPr>
          <w:sz w:val="20"/>
        </w:rPr>
      </w:pPr>
      <w:r>
        <w:rPr>
          <w:sz w:val="20"/>
        </w:rPr>
        <w:t>The Commission acknowledges that enabling people </w:t>
      </w:r>
      <w:r>
        <w:rPr>
          <w:spacing w:val="-3"/>
          <w:sz w:val="20"/>
        </w:rPr>
        <w:t>from </w:t>
      </w:r>
      <w:r>
        <w:rPr>
          <w:sz w:val="20"/>
        </w:rPr>
        <w:t>the subject groups to serve</w:t>
      </w:r>
      <w:r>
        <w:rPr>
          <w:spacing w:val="-12"/>
          <w:sz w:val="20"/>
        </w:rPr>
        <w:t> </w:t>
      </w:r>
      <w:r>
        <w:rPr>
          <w:sz w:val="20"/>
        </w:rPr>
        <w:t>on</w:t>
      </w:r>
      <w:r>
        <w:rPr>
          <w:spacing w:val="-11"/>
          <w:sz w:val="20"/>
        </w:rPr>
        <w:t> </w:t>
      </w:r>
      <w:r>
        <w:rPr>
          <w:sz w:val="20"/>
        </w:rPr>
        <w:t>Victorian</w:t>
      </w:r>
      <w:r>
        <w:rPr>
          <w:spacing w:val="-11"/>
          <w:sz w:val="20"/>
        </w:rPr>
        <w:t> </w:t>
      </w:r>
      <w:r>
        <w:rPr>
          <w:sz w:val="20"/>
        </w:rPr>
        <w:t>juries</w:t>
      </w:r>
      <w:r>
        <w:rPr>
          <w:spacing w:val="-11"/>
          <w:sz w:val="20"/>
        </w:rPr>
        <w:t> </w:t>
      </w:r>
      <w:r>
        <w:rPr>
          <w:sz w:val="20"/>
        </w:rPr>
        <w:t>does</w:t>
      </w:r>
      <w:r>
        <w:rPr>
          <w:spacing w:val="-11"/>
          <w:sz w:val="20"/>
        </w:rPr>
        <w:t> </w:t>
      </w:r>
      <w:r>
        <w:rPr>
          <w:sz w:val="20"/>
        </w:rPr>
        <w:t>not</w:t>
      </w:r>
      <w:r>
        <w:rPr>
          <w:spacing w:val="-11"/>
          <w:sz w:val="20"/>
        </w:rPr>
        <w:t> </w:t>
      </w:r>
      <w:r>
        <w:rPr>
          <w:sz w:val="20"/>
        </w:rPr>
        <w:t>necessarily</w:t>
      </w:r>
      <w:r>
        <w:rPr>
          <w:spacing w:val="-11"/>
          <w:sz w:val="20"/>
        </w:rPr>
        <w:t> </w:t>
      </w:r>
      <w:r>
        <w:rPr>
          <w:sz w:val="20"/>
        </w:rPr>
        <w:t>mean</w:t>
      </w:r>
      <w:r>
        <w:rPr>
          <w:spacing w:val="-11"/>
          <w:sz w:val="20"/>
        </w:rPr>
        <w:t> </w:t>
      </w:r>
      <w:r>
        <w:rPr>
          <w:sz w:val="20"/>
        </w:rPr>
        <w:t>that</w:t>
      </w:r>
      <w:r>
        <w:rPr>
          <w:spacing w:val="-11"/>
          <w:sz w:val="20"/>
        </w:rPr>
        <w:t> </w:t>
      </w:r>
      <w:r>
        <w:rPr>
          <w:sz w:val="20"/>
        </w:rPr>
        <w:t>they</w:t>
      </w:r>
      <w:r>
        <w:rPr>
          <w:spacing w:val="-11"/>
          <w:sz w:val="20"/>
        </w:rPr>
        <w:t> </w:t>
      </w:r>
      <w:r>
        <w:rPr>
          <w:sz w:val="20"/>
        </w:rPr>
        <w:t>will</w:t>
      </w:r>
      <w:r>
        <w:rPr>
          <w:spacing w:val="-11"/>
          <w:sz w:val="20"/>
        </w:rPr>
        <w:t> </w:t>
      </w:r>
      <w:r>
        <w:rPr>
          <w:sz w:val="20"/>
        </w:rPr>
        <w:t>indeed</w:t>
      </w:r>
      <w:r>
        <w:rPr>
          <w:spacing w:val="-11"/>
          <w:sz w:val="20"/>
        </w:rPr>
        <w:t> </w:t>
      </w:r>
      <w:r>
        <w:rPr>
          <w:sz w:val="20"/>
        </w:rPr>
        <w:t>serve</w:t>
      </w:r>
      <w:r>
        <w:rPr>
          <w:spacing w:val="-11"/>
          <w:sz w:val="20"/>
        </w:rPr>
        <w:t> </w:t>
      </w:r>
      <w:r>
        <w:rPr>
          <w:sz w:val="20"/>
        </w:rPr>
        <w:t>on</w:t>
      </w:r>
      <w:r>
        <w:rPr>
          <w:spacing w:val="-11"/>
          <w:sz w:val="20"/>
        </w:rPr>
        <w:t> </w:t>
      </w:r>
      <w:r>
        <w:rPr>
          <w:sz w:val="20"/>
        </w:rPr>
        <w:t>a trial</w:t>
      </w:r>
      <w:r>
        <w:rPr>
          <w:spacing w:val="-8"/>
          <w:sz w:val="20"/>
        </w:rPr>
        <w:t> </w:t>
      </w:r>
      <w:r>
        <w:rPr>
          <w:spacing w:val="-3"/>
          <w:sz w:val="20"/>
        </w:rPr>
        <w:t>involving</w:t>
      </w:r>
      <w:r>
        <w:rPr>
          <w:spacing w:val="-7"/>
          <w:sz w:val="20"/>
        </w:rPr>
        <w:t> </w:t>
      </w:r>
      <w:r>
        <w:rPr>
          <w:sz w:val="20"/>
        </w:rPr>
        <w:t>a</w:t>
      </w:r>
      <w:r>
        <w:rPr>
          <w:spacing w:val="-8"/>
          <w:sz w:val="20"/>
        </w:rPr>
        <w:t> </w:t>
      </w:r>
      <w:r>
        <w:rPr>
          <w:sz w:val="20"/>
        </w:rPr>
        <w:t>party</w:t>
      </w:r>
      <w:r>
        <w:rPr>
          <w:spacing w:val="-7"/>
          <w:sz w:val="20"/>
        </w:rPr>
        <w:t> </w:t>
      </w:r>
      <w:r>
        <w:rPr>
          <w:sz w:val="20"/>
        </w:rPr>
        <w:t>or</w:t>
      </w:r>
      <w:r>
        <w:rPr>
          <w:spacing w:val="-7"/>
          <w:sz w:val="20"/>
        </w:rPr>
        <w:t> </w:t>
      </w:r>
      <w:r>
        <w:rPr>
          <w:sz w:val="20"/>
        </w:rPr>
        <w:t>a</w:t>
      </w:r>
      <w:r>
        <w:rPr>
          <w:spacing w:val="-8"/>
          <w:sz w:val="20"/>
        </w:rPr>
        <w:t> </w:t>
      </w:r>
      <w:r>
        <w:rPr>
          <w:sz w:val="20"/>
        </w:rPr>
        <w:t>witness</w:t>
      </w:r>
      <w:r>
        <w:rPr>
          <w:spacing w:val="-7"/>
          <w:sz w:val="20"/>
        </w:rPr>
        <w:t> </w:t>
      </w:r>
      <w:r>
        <w:rPr>
          <w:sz w:val="20"/>
        </w:rPr>
        <w:t>with</w:t>
      </w:r>
      <w:r>
        <w:rPr>
          <w:spacing w:val="-8"/>
          <w:sz w:val="20"/>
        </w:rPr>
        <w:t> </w:t>
      </w:r>
      <w:r>
        <w:rPr>
          <w:sz w:val="20"/>
        </w:rPr>
        <w:t>a</w:t>
      </w:r>
      <w:r>
        <w:rPr>
          <w:spacing w:val="-7"/>
          <w:sz w:val="20"/>
        </w:rPr>
        <w:t> </w:t>
      </w:r>
      <w:r>
        <w:rPr>
          <w:sz w:val="20"/>
        </w:rPr>
        <w:t>disability.</w:t>
      </w:r>
      <w:r>
        <w:rPr>
          <w:spacing w:val="-7"/>
          <w:sz w:val="20"/>
        </w:rPr>
        <w:t> </w:t>
      </w:r>
      <w:r>
        <w:rPr>
          <w:spacing w:val="-3"/>
          <w:sz w:val="20"/>
        </w:rPr>
        <w:t>Representativeness</w:t>
      </w:r>
      <w:r>
        <w:rPr>
          <w:spacing w:val="-8"/>
          <w:sz w:val="20"/>
        </w:rPr>
        <w:t> </w:t>
      </w:r>
      <w:r>
        <w:rPr>
          <w:sz w:val="20"/>
        </w:rPr>
        <w:t>as</w:t>
      </w:r>
      <w:r>
        <w:rPr>
          <w:spacing w:val="-7"/>
          <w:sz w:val="20"/>
        </w:rPr>
        <w:t> </w:t>
      </w:r>
      <w:r>
        <w:rPr>
          <w:sz w:val="20"/>
        </w:rPr>
        <w:t>a</w:t>
      </w:r>
      <w:r>
        <w:rPr>
          <w:spacing w:val="-8"/>
          <w:sz w:val="20"/>
        </w:rPr>
        <w:t> </w:t>
      </w:r>
      <w:r>
        <w:rPr>
          <w:sz w:val="20"/>
        </w:rPr>
        <w:t>concept does not extend that </w:t>
      </w:r>
      <w:r>
        <w:rPr>
          <w:spacing w:val="-5"/>
          <w:sz w:val="20"/>
        </w:rPr>
        <w:t>far. However, </w:t>
      </w:r>
      <w:r>
        <w:rPr>
          <w:spacing w:val="-3"/>
          <w:sz w:val="20"/>
        </w:rPr>
        <w:t>reform </w:t>
      </w:r>
      <w:r>
        <w:rPr>
          <w:sz w:val="20"/>
        </w:rPr>
        <w:t>is an important step </w:t>
      </w:r>
      <w:r>
        <w:rPr>
          <w:spacing w:val="-4"/>
          <w:sz w:val="20"/>
        </w:rPr>
        <w:t>towards </w:t>
      </w:r>
      <w:r>
        <w:rPr>
          <w:sz w:val="20"/>
        </w:rPr>
        <w:t>normalising the</w:t>
      </w:r>
      <w:r>
        <w:rPr>
          <w:spacing w:val="-10"/>
          <w:sz w:val="20"/>
        </w:rPr>
        <w:t> </w:t>
      </w:r>
      <w:r>
        <w:rPr>
          <w:sz w:val="20"/>
        </w:rPr>
        <w:t>presence</w:t>
      </w:r>
      <w:r>
        <w:rPr>
          <w:spacing w:val="-10"/>
          <w:sz w:val="20"/>
        </w:rPr>
        <w:t> </w:t>
      </w:r>
      <w:r>
        <w:rPr>
          <w:sz w:val="20"/>
        </w:rPr>
        <w:t>of</w:t>
      </w:r>
      <w:r>
        <w:rPr>
          <w:spacing w:val="-10"/>
          <w:sz w:val="20"/>
        </w:rPr>
        <w:t> </w:t>
      </w:r>
      <w:r>
        <w:rPr>
          <w:sz w:val="20"/>
        </w:rPr>
        <w:t>people</w:t>
      </w:r>
      <w:r>
        <w:rPr>
          <w:spacing w:val="-10"/>
          <w:sz w:val="20"/>
        </w:rPr>
        <w:t> </w:t>
      </w:r>
      <w:r>
        <w:rPr>
          <w:sz w:val="20"/>
        </w:rPr>
        <w:t>with</w:t>
      </w:r>
      <w:r>
        <w:rPr>
          <w:spacing w:val="-9"/>
          <w:sz w:val="20"/>
        </w:rPr>
        <w:t> </w:t>
      </w:r>
      <w:r>
        <w:rPr>
          <w:sz w:val="20"/>
        </w:rPr>
        <w:t>disabilities</w:t>
      </w:r>
      <w:r>
        <w:rPr>
          <w:spacing w:val="-10"/>
          <w:sz w:val="20"/>
        </w:rPr>
        <w:t> </w:t>
      </w:r>
      <w:r>
        <w:rPr>
          <w:sz w:val="20"/>
        </w:rPr>
        <w:t>in</w:t>
      </w:r>
      <w:r>
        <w:rPr>
          <w:spacing w:val="-10"/>
          <w:sz w:val="20"/>
        </w:rPr>
        <w:t> </w:t>
      </w:r>
      <w:r>
        <w:rPr>
          <w:sz w:val="20"/>
        </w:rPr>
        <w:t>all</w:t>
      </w:r>
      <w:r>
        <w:rPr>
          <w:spacing w:val="-10"/>
          <w:sz w:val="20"/>
        </w:rPr>
        <w:t> </w:t>
      </w:r>
      <w:r>
        <w:rPr>
          <w:sz w:val="20"/>
        </w:rPr>
        <w:t>aspects</w:t>
      </w:r>
      <w:r>
        <w:rPr>
          <w:spacing w:val="-9"/>
          <w:sz w:val="20"/>
        </w:rPr>
        <w:t> </w:t>
      </w:r>
      <w:r>
        <w:rPr>
          <w:sz w:val="20"/>
        </w:rPr>
        <w:t>of</w:t>
      </w:r>
      <w:r>
        <w:rPr>
          <w:spacing w:val="-10"/>
          <w:sz w:val="20"/>
        </w:rPr>
        <w:t> </w:t>
      </w:r>
      <w:r>
        <w:rPr>
          <w:sz w:val="20"/>
        </w:rPr>
        <w:t>a</w:t>
      </w:r>
      <w:r>
        <w:rPr>
          <w:spacing w:val="-10"/>
          <w:sz w:val="20"/>
        </w:rPr>
        <w:t> </w:t>
      </w:r>
      <w:r>
        <w:rPr>
          <w:sz w:val="20"/>
        </w:rPr>
        <w:t>trial</w:t>
      </w:r>
      <w:r>
        <w:rPr>
          <w:spacing w:val="-10"/>
          <w:sz w:val="20"/>
        </w:rPr>
        <w:t> </w:t>
      </w:r>
      <w:r>
        <w:rPr>
          <w:sz w:val="20"/>
        </w:rPr>
        <w:t>and</w:t>
      </w:r>
      <w:r>
        <w:rPr>
          <w:spacing w:val="-9"/>
          <w:sz w:val="20"/>
        </w:rPr>
        <w:t> </w:t>
      </w:r>
      <w:r>
        <w:rPr>
          <w:sz w:val="20"/>
        </w:rPr>
        <w:t>the</w:t>
      </w:r>
      <w:r>
        <w:rPr>
          <w:spacing w:val="-10"/>
          <w:sz w:val="20"/>
        </w:rPr>
        <w:t> </w:t>
      </w:r>
      <w:r>
        <w:rPr>
          <w:sz w:val="20"/>
        </w:rPr>
        <w:t>court</w:t>
      </w:r>
      <w:r>
        <w:rPr>
          <w:spacing w:val="-10"/>
          <w:sz w:val="20"/>
        </w:rPr>
        <w:t> </w:t>
      </w:r>
      <w:r>
        <w:rPr>
          <w:sz w:val="20"/>
        </w:rPr>
        <w:t>system </w:t>
      </w:r>
      <w:r>
        <w:rPr>
          <w:spacing w:val="-3"/>
          <w:sz w:val="20"/>
        </w:rPr>
        <w:t>generally.</w:t>
      </w:r>
    </w:p>
    <w:p>
      <w:pPr>
        <w:pStyle w:val="BodyText"/>
        <w:spacing w:before="10"/>
        <w:rPr>
          <w:sz w:val="16"/>
        </w:rPr>
      </w:pPr>
    </w:p>
    <w:p>
      <w:pPr>
        <w:pStyle w:val="Heading2"/>
        <w:spacing w:before="1"/>
        <w:rPr>
          <w:b/>
        </w:rPr>
      </w:pPr>
      <w:r>
        <w:rPr>
          <w:b/>
          <w:color w:val="37617A"/>
        </w:rPr>
        <w:t>Community responses: representative juries</w:t>
      </w:r>
    </w:p>
    <w:p>
      <w:pPr>
        <w:pStyle w:val="ListParagraph"/>
        <w:numPr>
          <w:ilvl w:val="1"/>
          <w:numId w:val="12"/>
        </w:numPr>
        <w:tabs>
          <w:tab w:pos="1761" w:val="left" w:leader="none"/>
          <w:tab w:pos="1762" w:val="left" w:leader="none"/>
        </w:tabs>
        <w:spacing w:line="206" w:lineRule="auto" w:before="146" w:after="0"/>
        <w:ind w:left="1761" w:right="1220" w:hanging="794"/>
        <w:jc w:val="left"/>
        <w:rPr>
          <w:sz w:val="20"/>
        </w:rPr>
      </w:pPr>
      <w:r>
        <w:rPr>
          <w:sz w:val="20"/>
        </w:rPr>
        <w:t>Community</w:t>
      </w:r>
      <w:r>
        <w:rPr>
          <w:spacing w:val="-11"/>
          <w:sz w:val="20"/>
        </w:rPr>
        <w:t> </w:t>
      </w:r>
      <w:r>
        <w:rPr>
          <w:sz w:val="20"/>
        </w:rPr>
        <w:t>responses</w:t>
      </w:r>
      <w:r>
        <w:rPr>
          <w:spacing w:val="-11"/>
          <w:sz w:val="20"/>
        </w:rPr>
        <w:t> </w:t>
      </w:r>
      <w:r>
        <w:rPr>
          <w:sz w:val="20"/>
        </w:rPr>
        <w:t>to</w:t>
      </w:r>
      <w:r>
        <w:rPr>
          <w:spacing w:val="-11"/>
          <w:sz w:val="20"/>
        </w:rPr>
        <w:t> </w:t>
      </w:r>
      <w:r>
        <w:rPr>
          <w:sz w:val="20"/>
        </w:rPr>
        <w:t>the</w:t>
      </w:r>
      <w:r>
        <w:rPr>
          <w:spacing w:val="-10"/>
          <w:sz w:val="20"/>
        </w:rPr>
        <w:t> </w:t>
      </w:r>
      <w:r>
        <w:rPr>
          <w:sz w:val="20"/>
        </w:rPr>
        <w:t>consultation</w:t>
      </w:r>
      <w:r>
        <w:rPr>
          <w:spacing w:val="-11"/>
          <w:sz w:val="20"/>
        </w:rPr>
        <w:t> </w:t>
      </w:r>
      <w:r>
        <w:rPr>
          <w:sz w:val="20"/>
        </w:rPr>
        <w:t>paper</w:t>
      </w:r>
      <w:r>
        <w:rPr>
          <w:spacing w:val="-11"/>
          <w:sz w:val="20"/>
        </w:rPr>
        <w:t> </w:t>
      </w:r>
      <w:r>
        <w:rPr>
          <w:sz w:val="20"/>
        </w:rPr>
        <w:t>supported</w:t>
      </w:r>
      <w:r>
        <w:rPr>
          <w:spacing w:val="-10"/>
          <w:sz w:val="20"/>
        </w:rPr>
        <w:t> </w:t>
      </w:r>
      <w:r>
        <w:rPr>
          <w:sz w:val="20"/>
        </w:rPr>
        <w:t>the</w:t>
      </w:r>
      <w:r>
        <w:rPr>
          <w:spacing w:val="-11"/>
          <w:sz w:val="20"/>
        </w:rPr>
        <w:t> </w:t>
      </w:r>
      <w:r>
        <w:rPr>
          <w:sz w:val="20"/>
        </w:rPr>
        <w:t>benefits</w:t>
      </w:r>
      <w:r>
        <w:rPr>
          <w:spacing w:val="-11"/>
          <w:sz w:val="20"/>
        </w:rPr>
        <w:t> </w:t>
      </w:r>
      <w:r>
        <w:rPr>
          <w:sz w:val="20"/>
        </w:rPr>
        <w:t>and</w:t>
      </w:r>
      <w:r>
        <w:rPr>
          <w:spacing w:val="-10"/>
          <w:sz w:val="20"/>
        </w:rPr>
        <w:t> </w:t>
      </w:r>
      <w:r>
        <w:rPr>
          <w:spacing w:val="-3"/>
          <w:sz w:val="20"/>
        </w:rPr>
        <w:t>reiterated </w:t>
      </w:r>
      <w:r>
        <w:rPr>
          <w:sz w:val="20"/>
        </w:rPr>
        <w:t>the</w:t>
      </w:r>
      <w:r>
        <w:rPr>
          <w:spacing w:val="-8"/>
          <w:sz w:val="20"/>
        </w:rPr>
        <w:t> </w:t>
      </w:r>
      <w:r>
        <w:rPr>
          <w:sz w:val="20"/>
        </w:rPr>
        <w:t>importance</w:t>
      </w:r>
      <w:r>
        <w:rPr>
          <w:spacing w:val="-8"/>
          <w:sz w:val="20"/>
        </w:rPr>
        <w:t> </w:t>
      </w:r>
      <w:r>
        <w:rPr>
          <w:sz w:val="20"/>
        </w:rPr>
        <w:t>of</w:t>
      </w:r>
      <w:r>
        <w:rPr>
          <w:spacing w:val="-7"/>
          <w:sz w:val="20"/>
        </w:rPr>
        <w:t> </w:t>
      </w:r>
      <w:r>
        <w:rPr>
          <w:spacing w:val="-3"/>
          <w:sz w:val="20"/>
        </w:rPr>
        <w:t>representative</w:t>
      </w:r>
      <w:r>
        <w:rPr>
          <w:spacing w:val="-8"/>
          <w:sz w:val="20"/>
        </w:rPr>
        <w:t> </w:t>
      </w:r>
      <w:r>
        <w:rPr>
          <w:sz w:val="20"/>
        </w:rPr>
        <w:t>juries.</w:t>
      </w:r>
      <w:r>
        <w:rPr>
          <w:position w:val="7"/>
          <w:sz w:val="11"/>
        </w:rPr>
        <w:t>25</w:t>
      </w:r>
      <w:r>
        <w:rPr>
          <w:spacing w:val="18"/>
          <w:position w:val="7"/>
          <w:sz w:val="11"/>
        </w:rPr>
        <w:t> </w:t>
      </w:r>
      <w:r>
        <w:rPr>
          <w:sz w:val="20"/>
        </w:rPr>
        <w:t>Brent</w:t>
      </w:r>
      <w:r>
        <w:rPr>
          <w:spacing w:val="-8"/>
          <w:sz w:val="20"/>
        </w:rPr>
        <w:t> </w:t>
      </w:r>
      <w:r>
        <w:rPr>
          <w:sz w:val="20"/>
        </w:rPr>
        <w:t>Phillips,</w:t>
      </w:r>
      <w:r>
        <w:rPr>
          <w:spacing w:val="-7"/>
          <w:sz w:val="20"/>
        </w:rPr>
        <w:t> </w:t>
      </w:r>
      <w:r>
        <w:rPr>
          <w:sz w:val="20"/>
        </w:rPr>
        <w:t>a</w:t>
      </w:r>
      <w:r>
        <w:rPr>
          <w:spacing w:val="-8"/>
          <w:sz w:val="20"/>
        </w:rPr>
        <w:t> </w:t>
      </w:r>
      <w:r>
        <w:rPr>
          <w:sz w:val="20"/>
        </w:rPr>
        <w:t>deaf</w:t>
      </w:r>
      <w:r>
        <w:rPr>
          <w:spacing w:val="-7"/>
          <w:sz w:val="20"/>
        </w:rPr>
        <w:t> </w:t>
      </w:r>
      <w:r>
        <w:rPr>
          <w:sz w:val="20"/>
        </w:rPr>
        <w:t>man</w:t>
      </w:r>
      <w:r>
        <w:rPr>
          <w:spacing w:val="-8"/>
          <w:sz w:val="20"/>
        </w:rPr>
        <w:t> </w:t>
      </w:r>
      <w:r>
        <w:rPr>
          <w:sz w:val="20"/>
        </w:rPr>
        <w:t>who</w:t>
      </w:r>
      <w:r>
        <w:rPr>
          <w:spacing w:val="-7"/>
          <w:sz w:val="20"/>
        </w:rPr>
        <w:t> </w:t>
      </w:r>
      <w:r>
        <w:rPr>
          <w:sz w:val="20"/>
        </w:rPr>
        <w:t>in</w:t>
      </w:r>
      <w:r>
        <w:rPr>
          <w:spacing w:val="-8"/>
          <w:sz w:val="20"/>
        </w:rPr>
        <w:t> </w:t>
      </w:r>
      <w:r>
        <w:rPr>
          <w:sz w:val="20"/>
        </w:rPr>
        <w:t>2014</w:t>
      </w:r>
      <w:r>
        <w:rPr>
          <w:spacing w:val="-7"/>
          <w:sz w:val="20"/>
        </w:rPr>
        <w:t> </w:t>
      </w:r>
      <w:r>
        <w:rPr>
          <w:sz w:val="20"/>
        </w:rPr>
        <w:t>was</w:t>
      </w:r>
      <w:r>
        <w:rPr>
          <w:spacing w:val="-8"/>
          <w:sz w:val="20"/>
        </w:rPr>
        <w:t> </w:t>
      </w:r>
      <w:r>
        <w:rPr>
          <w:sz w:val="20"/>
        </w:rPr>
        <w:t>not </w:t>
      </w:r>
      <w:r>
        <w:rPr>
          <w:spacing w:val="-3"/>
          <w:sz w:val="20"/>
        </w:rPr>
        <w:t>allowed </w:t>
      </w:r>
      <w:r>
        <w:rPr>
          <w:sz w:val="20"/>
        </w:rPr>
        <w:t>to serve in Victoria with an Auslan</w:t>
      </w:r>
      <w:r>
        <w:rPr>
          <w:spacing w:val="-37"/>
          <w:sz w:val="20"/>
        </w:rPr>
        <w:t> </w:t>
      </w:r>
      <w:r>
        <w:rPr>
          <w:spacing w:val="-4"/>
          <w:sz w:val="20"/>
        </w:rPr>
        <w:t>interpreter, </w:t>
      </w:r>
      <w:r>
        <w:rPr>
          <w:sz w:val="20"/>
        </w:rPr>
        <w:t>noted:</w:t>
      </w:r>
    </w:p>
    <w:p>
      <w:pPr>
        <w:spacing w:line="208" w:lineRule="auto" w:before="121"/>
        <w:ind w:left="2157" w:right="1110" w:firstLine="0"/>
        <w:jc w:val="left"/>
        <w:rPr>
          <w:sz w:val="11"/>
        </w:rPr>
      </w:pPr>
      <w:r>
        <w:rPr>
          <w:sz w:val="19"/>
        </w:rPr>
        <w:t>Deaf people come from all walks of life: professionals, managers, lawyers, tradesmen, parents, and contribute to society as much as anyone else … We should be given the opportunity to serve on juries, particularly if deaf people who are on trial are tried by a panel of non-deaf people.</w:t>
      </w:r>
      <w:r>
        <w:rPr>
          <w:position w:val="6"/>
          <w:sz w:val="11"/>
        </w:rPr>
        <w:t>26</w:t>
      </w:r>
    </w:p>
    <w:p>
      <w:pPr>
        <w:pStyle w:val="BodyText"/>
      </w:pPr>
    </w:p>
    <w:p>
      <w:pPr>
        <w:pStyle w:val="BodyText"/>
      </w:pPr>
    </w:p>
    <w:p>
      <w:pPr>
        <w:pStyle w:val="BodyText"/>
      </w:pPr>
    </w:p>
    <w:p>
      <w:pPr>
        <w:pStyle w:val="BodyText"/>
        <w:spacing w:before="13"/>
      </w:pPr>
      <w:r>
        <w:rPr/>
        <w:pict>
          <v:line style="position:absolute;mso-position-horizontal-relative:page;mso-position-vertical-relative:paragraph;z-index:4112;mso-wrap-distance-left:0;mso-wrap-distance-right:0" from="79.370102pt,16.98988pt" to="515.905102pt,16.98988pt" stroked="true" strokeweight="1pt" strokecolor="#b6bdc8">
            <v:stroke dashstyle="solid"/>
            <w10:wrap type="topAndBottom"/>
          </v:line>
        </w:pict>
      </w:r>
    </w:p>
    <w:p>
      <w:pPr>
        <w:pStyle w:val="ListParagraph"/>
        <w:numPr>
          <w:ilvl w:val="0"/>
          <w:numId w:val="57"/>
        </w:numPr>
        <w:tabs>
          <w:tab w:pos="1760" w:val="left" w:leader="none"/>
          <w:tab w:pos="1762" w:val="left" w:leader="none"/>
        </w:tabs>
        <w:spacing w:line="213" w:lineRule="auto" w:before="107" w:after="0"/>
        <w:ind w:left="1761" w:right="1384" w:hanging="794"/>
        <w:jc w:val="left"/>
        <w:rPr>
          <w:sz w:val="13"/>
        </w:rPr>
      </w:pP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31–32 </w:t>
      </w:r>
      <w:r>
        <w:rPr>
          <w:spacing w:val="2"/>
          <w:sz w:val="13"/>
        </w:rPr>
        <w:t>[3.83]–[3.84]; </w:t>
      </w:r>
      <w:r>
        <w:rPr>
          <w:sz w:val="13"/>
        </w:rPr>
        <w:t>Civil </w:t>
      </w:r>
      <w:r>
        <w:rPr>
          <w:spacing w:val="2"/>
          <w:sz w:val="13"/>
        </w:rPr>
        <w:t>Society Report </w:t>
      </w:r>
      <w:r>
        <w:rPr>
          <w:sz w:val="13"/>
        </w:rPr>
        <w:t>Project Group, </w:t>
      </w:r>
      <w:r>
        <w:rPr>
          <w:i/>
          <w:sz w:val="13"/>
        </w:rPr>
        <w:t>Disability </w:t>
      </w:r>
      <w:r>
        <w:rPr>
          <w:i/>
          <w:spacing w:val="2"/>
          <w:sz w:val="13"/>
        </w:rPr>
        <w:t>Rights </w:t>
      </w:r>
      <w:r>
        <w:rPr>
          <w:i/>
          <w:sz w:val="13"/>
        </w:rPr>
        <w:t>Now: Australian Civil Society Shadow </w:t>
      </w:r>
      <w:r>
        <w:rPr>
          <w:i/>
          <w:spacing w:val="2"/>
          <w:sz w:val="13"/>
        </w:rPr>
        <w:t>Report </w:t>
      </w:r>
      <w:r>
        <w:rPr>
          <w:i/>
          <w:sz w:val="13"/>
        </w:rPr>
        <w:t>on CPRD </w:t>
      </w:r>
      <w:r>
        <w:rPr>
          <w:spacing w:val="2"/>
          <w:sz w:val="13"/>
        </w:rPr>
        <w:t>(Report, </w:t>
      </w:r>
      <w:r>
        <w:rPr>
          <w:sz w:val="13"/>
        </w:rPr>
        <w:t>August 2012) 81</w:t>
      </w:r>
      <w:r>
        <w:rPr>
          <w:spacing w:val="26"/>
          <w:sz w:val="13"/>
        </w:rPr>
        <w:t> </w:t>
      </w:r>
      <w:r>
        <w:rPr>
          <w:sz w:val="13"/>
        </w:rPr>
        <w:t>[223].</w:t>
      </w:r>
    </w:p>
    <w:p>
      <w:pPr>
        <w:pStyle w:val="ListParagraph"/>
        <w:numPr>
          <w:ilvl w:val="0"/>
          <w:numId w:val="57"/>
        </w:numPr>
        <w:tabs>
          <w:tab w:pos="1760" w:val="left" w:leader="none"/>
          <w:tab w:pos="1762" w:val="left" w:leader="none"/>
        </w:tabs>
        <w:spacing w:line="213" w:lineRule="auto" w:before="0" w:after="0"/>
        <w:ind w:left="1761" w:right="1257" w:hanging="794"/>
        <w:jc w:val="left"/>
        <w:rPr>
          <w:sz w:val="13"/>
        </w:rPr>
      </w:pPr>
      <w:r>
        <w:rPr>
          <w:sz w:val="13"/>
        </w:rPr>
        <w:t>Civil </w:t>
      </w:r>
      <w:r>
        <w:rPr>
          <w:spacing w:val="2"/>
          <w:sz w:val="13"/>
        </w:rPr>
        <w:t>Society Report </w:t>
      </w:r>
      <w:r>
        <w:rPr>
          <w:sz w:val="13"/>
        </w:rPr>
        <w:t>Project Group, </w:t>
      </w:r>
      <w:r>
        <w:rPr>
          <w:i/>
          <w:sz w:val="13"/>
        </w:rPr>
        <w:t>Disability </w:t>
      </w:r>
      <w:r>
        <w:rPr>
          <w:i/>
          <w:spacing w:val="2"/>
          <w:sz w:val="13"/>
        </w:rPr>
        <w:t>Rights </w:t>
      </w:r>
      <w:r>
        <w:rPr>
          <w:i/>
          <w:sz w:val="13"/>
        </w:rPr>
        <w:t>Now: Australian Civil Society Shadow </w:t>
      </w:r>
      <w:r>
        <w:rPr>
          <w:i/>
          <w:spacing w:val="2"/>
          <w:sz w:val="13"/>
        </w:rPr>
        <w:t>Report </w:t>
      </w:r>
      <w:r>
        <w:rPr>
          <w:i/>
          <w:sz w:val="13"/>
        </w:rPr>
        <w:t>on CPRD </w:t>
      </w:r>
      <w:r>
        <w:rPr>
          <w:spacing w:val="2"/>
          <w:sz w:val="13"/>
        </w:rPr>
        <w:t>(Report, </w:t>
      </w:r>
      <w:r>
        <w:rPr>
          <w:sz w:val="13"/>
        </w:rPr>
        <w:t>August 2012) 81 [223].</w:t>
      </w:r>
    </w:p>
    <w:p>
      <w:pPr>
        <w:pStyle w:val="ListParagraph"/>
        <w:numPr>
          <w:ilvl w:val="0"/>
          <w:numId w:val="57"/>
        </w:numPr>
        <w:tabs>
          <w:tab w:pos="1760" w:val="left" w:leader="none"/>
          <w:tab w:pos="1762" w:val="left" w:leader="none"/>
        </w:tabs>
        <w:spacing w:line="153" w:lineRule="exact" w:before="0" w:after="0"/>
        <w:ind w:left="1761" w:right="0" w:hanging="794"/>
        <w:jc w:val="left"/>
        <w:rPr>
          <w:sz w:val="13"/>
        </w:rPr>
      </w:pPr>
      <w:r>
        <w:rPr>
          <w:spacing w:val="2"/>
          <w:sz w:val="13"/>
        </w:rPr>
        <w:t>Submission </w:t>
      </w:r>
      <w:r>
        <w:rPr>
          <w:sz w:val="13"/>
        </w:rPr>
        <w:t>4 </w:t>
      </w:r>
      <w:r>
        <w:rPr>
          <w:spacing w:val="2"/>
          <w:sz w:val="13"/>
        </w:rPr>
        <w:t>(Associate </w:t>
      </w:r>
      <w:r>
        <w:rPr>
          <w:sz w:val="13"/>
        </w:rPr>
        <w:t>Professors Bruce Baer Arnold (University of </w:t>
      </w:r>
      <w:r>
        <w:rPr>
          <w:spacing w:val="2"/>
          <w:sz w:val="13"/>
        </w:rPr>
        <w:t>Canberra) </w:t>
      </w:r>
      <w:r>
        <w:rPr>
          <w:sz w:val="13"/>
        </w:rPr>
        <w:t>and Wendy Bonython (Bond</w:t>
      </w:r>
      <w:r>
        <w:rPr>
          <w:spacing w:val="18"/>
          <w:sz w:val="13"/>
        </w:rPr>
        <w:t> </w:t>
      </w:r>
      <w:r>
        <w:rPr>
          <w:sz w:val="13"/>
        </w:rPr>
        <w:t>University)).</w:t>
      </w:r>
    </w:p>
    <w:p>
      <w:pPr>
        <w:pStyle w:val="ListParagraph"/>
        <w:numPr>
          <w:ilvl w:val="0"/>
          <w:numId w:val="57"/>
        </w:numPr>
        <w:tabs>
          <w:tab w:pos="1761" w:val="left" w:leader="none"/>
          <w:tab w:pos="1762" w:val="left" w:leader="none"/>
        </w:tabs>
        <w:spacing w:line="160" w:lineRule="exact" w:before="0" w:after="0"/>
        <w:ind w:left="1761" w:right="0" w:hanging="794"/>
        <w:jc w:val="left"/>
        <w:rPr>
          <w:sz w:val="13"/>
        </w:rPr>
      </w:pPr>
      <w:r>
        <w:rPr>
          <w:sz w:val="13"/>
        </w:rPr>
        <w:t>Consultation 17 (Youth </w:t>
      </w:r>
      <w:r>
        <w:rPr>
          <w:spacing w:val="2"/>
          <w:sz w:val="13"/>
        </w:rPr>
        <w:t>Disability </w:t>
      </w:r>
      <w:r>
        <w:rPr>
          <w:sz w:val="13"/>
        </w:rPr>
        <w:t>Advocacy </w:t>
      </w:r>
      <w:r>
        <w:rPr>
          <w:spacing w:val="2"/>
          <w:sz w:val="13"/>
        </w:rPr>
        <w:t>Service</w:t>
      </w:r>
      <w:r>
        <w:rPr>
          <w:spacing w:val="-1"/>
          <w:sz w:val="13"/>
        </w:rPr>
        <w:t> </w:t>
      </w:r>
      <w:r>
        <w:rPr>
          <w:sz w:val="13"/>
        </w:rPr>
        <w:t>(YDAS)).</w:t>
      </w:r>
    </w:p>
    <w:p>
      <w:pPr>
        <w:pStyle w:val="ListParagraph"/>
        <w:numPr>
          <w:ilvl w:val="0"/>
          <w:numId w:val="57"/>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pStyle w:val="ListParagraph"/>
        <w:numPr>
          <w:ilvl w:val="0"/>
          <w:numId w:val="57"/>
        </w:numPr>
        <w:tabs>
          <w:tab w:pos="1761" w:val="left" w:leader="none"/>
          <w:tab w:pos="1762" w:val="left" w:leader="none"/>
        </w:tabs>
        <w:spacing w:line="213" w:lineRule="auto" w:before="5" w:after="0"/>
        <w:ind w:left="1761" w:right="1354" w:hanging="794"/>
        <w:jc w:val="left"/>
        <w:rPr>
          <w:sz w:val="13"/>
        </w:rPr>
      </w:pPr>
      <w:r>
        <w:rPr>
          <w:sz w:val="13"/>
        </w:rPr>
        <w:t>Consultation 19 </w:t>
      </w:r>
      <w:r>
        <w:rPr>
          <w:spacing w:val="2"/>
          <w:sz w:val="13"/>
        </w:rPr>
        <w:t>(Australian </w:t>
      </w:r>
      <w:r>
        <w:rPr>
          <w:sz w:val="13"/>
        </w:rPr>
        <w:t>Institute of Interpreters and Translators (AUSIT)); Consultation 22 (Daniel Stubbs, Victorian </w:t>
      </w:r>
      <w:r>
        <w:rPr>
          <w:spacing w:val="2"/>
          <w:sz w:val="13"/>
        </w:rPr>
        <w:t>Disability </w:t>
      </w:r>
      <w:r>
        <w:rPr>
          <w:sz w:val="13"/>
        </w:rPr>
        <w:t>Worker Commissioner, in his personal capacity); </w:t>
      </w:r>
      <w:r>
        <w:rPr>
          <w:spacing w:val="2"/>
          <w:sz w:val="13"/>
        </w:rPr>
        <w:t>Online </w:t>
      </w:r>
      <w:r>
        <w:rPr>
          <w:sz w:val="13"/>
        </w:rPr>
        <w:t>Survey (Response 20). Similarly, in 1997 the Victorian Law Reform Committee reported that ‘The overwhelming </w:t>
      </w:r>
      <w:r>
        <w:rPr>
          <w:spacing w:val="2"/>
          <w:sz w:val="13"/>
        </w:rPr>
        <w:t>number </w:t>
      </w:r>
      <w:r>
        <w:rPr>
          <w:sz w:val="13"/>
        </w:rPr>
        <w:t>of submissions were in favour of Victorian juries </w:t>
      </w:r>
      <w:r>
        <w:rPr>
          <w:spacing w:val="2"/>
          <w:sz w:val="13"/>
        </w:rPr>
        <w:t>being </w:t>
      </w:r>
      <w:r>
        <w:rPr>
          <w:sz w:val="13"/>
        </w:rPr>
        <w:t>representative of  the Victorian community’: Law Reform Committee, </w:t>
      </w:r>
      <w:r>
        <w:rPr>
          <w:spacing w:val="2"/>
          <w:sz w:val="13"/>
        </w:rPr>
        <w:t>Parliament </w:t>
      </w:r>
      <w:r>
        <w:rPr>
          <w:sz w:val="13"/>
        </w:rPr>
        <w:t>of Victoria, </w:t>
      </w:r>
      <w:r>
        <w:rPr>
          <w:i/>
          <w:spacing w:val="2"/>
          <w:sz w:val="13"/>
        </w:rPr>
        <w:t>Jury Service </w:t>
      </w:r>
      <w:r>
        <w:rPr>
          <w:i/>
          <w:sz w:val="13"/>
        </w:rPr>
        <w:t>in Victoria </w:t>
      </w:r>
      <w:r>
        <w:rPr>
          <w:sz w:val="13"/>
        </w:rPr>
        <w:t>(Final </w:t>
      </w:r>
      <w:r>
        <w:rPr>
          <w:spacing w:val="2"/>
          <w:sz w:val="13"/>
        </w:rPr>
        <w:t>Report, December </w:t>
      </w:r>
      <w:r>
        <w:rPr>
          <w:sz w:val="13"/>
        </w:rPr>
        <w:t>1997) vol 3 </w:t>
      </w:r>
      <w:r>
        <w:rPr>
          <w:spacing w:val="2"/>
          <w:sz w:val="13"/>
        </w:rPr>
        <w:t>[3.127].</w:t>
      </w:r>
    </w:p>
    <w:p>
      <w:pPr>
        <w:pStyle w:val="ListParagraph"/>
        <w:numPr>
          <w:ilvl w:val="0"/>
          <w:numId w:val="57"/>
        </w:numPr>
        <w:tabs>
          <w:tab w:pos="1761" w:val="left" w:leader="none"/>
          <w:tab w:pos="1762" w:val="left" w:leader="none"/>
        </w:tabs>
        <w:spacing w:line="213" w:lineRule="auto" w:before="0" w:after="0"/>
        <w:ind w:left="1761" w:right="1416" w:hanging="794"/>
        <w:jc w:val="both"/>
        <w:rPr>
          <w:sz w:val="13"/>
        </w:rPr>
      </w:pPr>
      <w:r>
        <w:rPr/>
        <w:pict>
          <v:shape style="position:absolute;margin-left:548.7146pt;margin-top:11.390089pt;width:13.5pt;height:14.1pt;mso-position-horizontal-relative:page;mso-position-vertical-relative:paragraph;z-index:6184" type="#_x0000_t202" filled="false" stroked="false">
            <v:textbox inset="0,0,0,0">
              <w:txbxContent>
                <w:p>
                  <w:pPr>
                    <w:spacing w:line="282" w:lineRule="exact" w:before="0"/>
                    <w:ind w:left="0" w:right="0" w:firstLine="0"/>
                    <w:jc w:val="left"/>
                    <w:rPr>
                      <w:b/>
                      <w:sz w:val="24"/>
                    </w:rPr>
                  </w:pPr>
                  <w:r>
                    <w:rPr>
                      <w:b/>
                      <w:color w:val="37617A"/>
                      <w:spacing w:val="-6"/>
                      <w:sz w:val="24"/>
                    </w:rPr>
                    <w:t>67</w:t>
                  </w:r>
                </w:p>
              </w:txbxContent>
            </v:textbox>
            <w10:wrap type="none"/>
          </v:shape>
        </w:pict>
      </w:r>
      <w:r>
        <w:rPr>
          <w:sz w:val="13"/>
        </w:rPr>
        <w:t>Sylvia Varnham O’Regan, ‘Deaf Victorian Man </w:t>
      </w:r>
      <w:r>
        <w:rPr>
          <w:spacing w:val="2"/>
          <w:sz w:val="13"/>
        </w:rPr>
        <w:t>Denied </w:t>
      </w:r>
      <w:r>
        <w:rPr>
          <w:sz w:val="13"/>
        </w:rPr>
        <w:t>from </w:t>
      </w:r>
      <w:r>
        <w:rPr>
          <w:spacing w:val="2"/>
          <w:sz w:val="13"/>
        </w:rPr>
        <w:t>Serving </w:t>
      </w:r>
      <w:r>
        <w:rPr>
          <w:sz w:val="13"/>
        </w:rPr>
        <w:t>on </w:t>
      </w:r>
      <w:r>
        <w:rPr>
          <w:spacing w:val="2"/>
          <w:sz w:val="13"/>
        </w:rPr>
        <w:t>Jury Calls </w:t>
      </w:r>
      <w:r>
        <w:rPr>
          <w:sz w:val="13"/>
        </w:rPr>
        <w:t>for </w:t>
      </w:r>
      <w:r>
        <w:rPr>
          <w:spacing w:val="2"/>
          <w:sz w:val="13"/>
        </w:rPr>
        <w:t>“Discriminatory” </w:t>
      </w:r>
      <w:r>
        <w:rPr>
          <w:sz w:val="13"/>
        </w:rPr>
        <w:t>Law to Be Changed’, </w:t>
      </w:r>
      <w:r>
        <w:rPr>
          <w:i/>
          <w:sz w:val="13"/>
        </w:rPr>
        <w:t>SBS </w:t>
      </w:r>
      <w:r>
        <w:rPr>
          <w:i/>
          <w:sz w:val="13"/>
        </w:rPr>
        <w:t>News </w:t>
      </w:r>
      <w:r>
        <w:rPr>
          <w:sz w:val="13"/>
        </w:rPr>
        <w:t>(online, 24 November </w:t>
      </w:r>
      <w:r>
        <w:rPr>
          <w:spacing w:val="2"/>
          <w:sz w:val="13"/>
        </w:rPr>
        <w:t>2014) </w:t>
      </w:r>
      <w:r>
        <w:rPr>
          <w:sz w:val="13"/>
        </w:rPr>
        <w:t>&lt;</w:t>
      </w:r>
      <w:hyperlink r:id="rId74">
        <w:r>
          <w:rPr>
            <w:sz w:val="13"/>
          </w:rPr>
          <w:t>https://www.sbs.com.au/news/article/deaf-victorian-man-denied-from-serving-on-jury-</w:t>
        </w:r>
      </w:hyperlink>
      <w:hyperlink r:id="rId74">
        <w:r>
          <w:rPr>
            <w:sz w:val="13"/>
          </w:rPr>
          <w:t> calls-for-discriminatory-law-to-be-changed/cvjppq9j2</w:t>
        </w:r>
      </w:hyperlink>
      <w:r>
        <w:rPr>
          <w:sz w:val="13"/>
        </w:rPr>
        <w:t>&gt;.</w:t>
      </w:r>
    </w:p>
    <w:p>
      <w:pPr>
        <w:spacing w:after="0" w:line="213" w:lineRule="auto"/>
        <w:jc w:val="both"/>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748" w:hanging="794"/>
        <w:jc w:val="left"/>
        <w:rPr>
          <w:sz w:val="20"/>
        </w:rPr>
      </w:pPr>
      <w:bookmarkStart w:name="Sharing the obligation of jury service a" w:id="142"/>
      <w:bookmarkEnd w:id="142"/>
      <w:r>
        <w:rPr/>
      </w:r>
      <w:bookmarkStart w:name="_bookmark55" w:id="143"/>
      <w:bookmarkEnd w:id="143"/>
      <w:r>
        <w:rPr/>
      </w:r>
      <w:bookmarkStart w:name="_bookmark55" w:id="144"/>
      <w:bookmarkEnd w:id="144"/>
      <w:r>
        <w:rPr>
          <w:sz w:val="20"/>
        </w:rPr>
        <w:t>J</w:t>
      </w:r>
      <w:r>
        <w:rPr>
          <w:sz w:val="20"/>
        </w:rPr>
        <w:t>uries</w:t>
      </w:r>
      <w:r>
        <w:rPr>
          <w:spacing w:val="-10"/>
          <w:sz w:val="20"/>
        </w:rPr>
        <w:t> </w:t>
      </w:r>
      <w:r>
        <w:rPr>
          <w:sz w:val="20"/>
        </w:rPr>
        <w:t>Victoria</w:t>
      </w:r>
      <w:r>
        <w:rPr>
          <w:spacing w:val="-9"/>
          <w:sz w:val="20"/>
        </w:rPr>
        <w:t> </w:t>
      </w:r>
      <w:r>
        <w:rPr>
          <w:sz w:val="20"/>
        </w:rPr>
        <w:t>made</w:t>
      </w:r>
      <w:r>
        <w:rPr>
          <w:spacing w:val="-10"/>
          <w:sz w:val="20"/>
        </w:rPr>
        <w:t> </w:t>
      </w:r>
      <w:r>
        <w:rPr>
          <w:spacing w:val="-3"/>
          <w:sz w:val="20"/>
        </w:rPr>
        <w:t>several</w:t>
      </w:r>
      <w:r>
        <w:rPr>
          <w:spacing w:val="-9"/>
          <w:sz w:val="20"/>
        </w:rPr>
        <w:t> </w:t>
      </w:r>
      <w:r>
        <w:rPr>
          <w:sz w:val="20"/>
        </w:rPr>
        <w:t>observations</w:t>
      </w:r>
      <w:r>
        <w:rPr>
          <w:spacing w:val="-10"/>
          <w:sz w:val="20"/>
        </w:rPr>
        <w:t> </w:t>
      </w:r>
      <w:r>
        <w:rPr>
          <w:sz w:val="20"/>
        </w:rPr>
        <w:t>about</w:t>
      </w:r>
      <w:r>
        <w:rPr>
          <w:spacing w:val="-9"/>
          <w:sz w:val="20"/>
        </w:rPr>
        <w:t> </w:t>
      </w:r>
      <w:r>
        <w:rPr>
          <w:sz w:val="20"/>
        </w:rPr>
        <w:t>the</w:t>
      </w:r>
      <w:r>
        <w:rPr>
          <w:spacing w:val="-10"/>
          <w:sz w:val="20"/>
        </w:rPr>
        <w:t> </w:t>
      </w:r>
      <w:r>
        <w:rPr>
          <w:sz w:val="20"/>
        </w:rPr>
        <w:t>importance</w:t>
      </w:r>
      <w:r>
        <w:rPr>
          <w:spacing w:val="-9"/>
          <w:sz w:val="20"/>
        </w:rPr>
        <w:t> </w:t>
      </w:r>
      <w:r>
        <w:rPr>
          <w:sz w:val="20"/>
        </w:rPr>
        <w:t>of</w:t>
      </w:r>
      <w:r>
        <w:rPr>
          <w:spacing w:val="-9"/>
          <w:sz w:val="20"/>
        </w:rPr>
        <w:t> </w:t>
      </w:r>
      <w:r>
        <w:rPr>
          <w:spacing w:val="-3"/>
          <w:sz w:val="20"/>
        </w:rPr>
        <w:t>representative </w:t>
      </w:r>
      <w:r>
        <w:rPr>
          <w:sz w:val="20"/>
        </w:rPr>
        <w:t>juries:</w:t>
      </w:r>
    </w:p>
    <w:p>
      <w:pPr>
        <w:spacing w:line="208" w:lineRule="auto" w:before="121"/>
        <w:ind w:left="2157" w:right="1202" w:firstLine="0"/>
        <w:jc w:val="left"/>
        <w:rPr>
          <w:sz w:val="19"/>
        </w:rPr>
      </w:pPr>
      <w:r>
        <w:rPr>
          <w:sz w:val="19"/>
        </w:rPr>
        <w:t>The representative nature of juries is a central feature of the jury system, ensuring a variety of views, values and life experiences are brought together in the consideration of relevant court matters.</w:t>
      </w:r>
    </w:p>
    <w:p>
      <w:pPr>
        <w:spacing w:line="208" w:lineRule="auto" w:before="121"/>
        <w:ind w:left="2157" w:right="1358" w:firstLine="0"/>
        <w:jc w:val="both"/>
        <w:rPr>
          <w:sz w:val="19"/>
        </w:rPr>
      </w:pPr>
      <w:r>
        <w:rPr>
          <w:sz w:val="19"/>
        </w:rPr>
        <w:t>… A jury represents the community from which it is drawn, a cross-section of citizens, each with their own experiences and opinions, standards and expectations. Where a particular</w:t>
      </w:r>
      <w:r>
        <w:rPr>
          <w:spacing w:val="-4"/>
          <w:sz w:val="19"/>
        </w:rPr>
        <w:t> </w:t>
      </w:r>
      <w:r>
        <w:rPr>
          <w:sz w:val="19"/>
        </w:rPr>
        <w:t>segment</w:t>
      </w:r>
      <w:r>
        <w:rPr>
          <w:spacing w:val="-4"/>
          <w:sz w:val="19"/>
        </w:rPr>
        <w:t> </w:t>
      </w:r>
      <w:r>
        <w:rPr>
          <w:sz w:val="19"/>
        </w:rPr>
        <w:t>of</w:t>
      </w:r>
      <w:r>
        <w:rPr>
          <w:spacing w:val="-3"/>
          <w:sz w:val="19"/>
        </w:rPr>
        <w:t> </w:t>
      </w:r>
      <w:r>
        <w:rPr>
          <w:sz w:val="19"/>
        </w:rPr>
        <w:t>the</w:t>
      </w:r>
      <w:r>
        <w:rPr>
          <w:spacing w:val="-4"/>
          <w:sz w:val="19"/>
        </w:rPr>
        <w:t> </w:t>
      </w:r>
      <w:r>
        <w:rPr>
          <w:sz w:val="19"/>
        </w:rPr>
        <w:t>community</w:t>
      </w:r>
      <w:r>
        <w:rPr>
          <w:spacing w:val="-3"/>
          <w:sz w:val="19"/>
        </w:rPr>
        <w:t> </w:t>
      </w:r>
      <w:r>
        <w:rPr>
          <w:sz w:val="19"/>
        </w:rPr>
        <w:t>is</w:t>
      </w:r>
      <w:r>
        <w:rPr>
          <w:spacing w:val="-4"/>
          <w:sz w:val="19"/>
        </w:rPr>
        <w:t> </w:t>
      </w:r>
      <w:r>
        <w:rPr>
          <w:sz w:val="19"/>
        </w:rPr>
        <w:t>excluded</w:t>
      </w:r>
      <w:r>
        <w:rPr>
          <w:spacing w:val="-4"/>
          <w:sz w:val="19"/>
        </w:rPr>
        <w:t> </w:t>
      </w:r>
      <w:r>
        <w:rPr>
          <w:sz w:val="19"/>
        </w:rPr>
        <w:t>from</w:t>
      </w:r>
      <w:r>
        <w:rPr>
          <w:spacing w:val="-3"/>
          <w:sz w:val="19"/>
        </w:rPr>
        <w:t> </w:t>
      </w:r>
      <w:r>
        <w:rPr>
          <w:sz w:val="19"/>
        </w:rPr>
        <w:t>jury</w:t>
      </w:r>
      <w:r>
        <w:rPr>
          <w:spacing w:val="-4"/>
          <w:sz w:val="19"/>
        </w:rPr>
        <w:t> </w:t>
      </w:r>
      <w:r>
        <w:rPr>
          <w:sz w:val="19"/>
        </w:rPr>
        <w:t>service,</w:t>
      </w:r>
      <w:r>
        <w:rPr>
          <w:spacing w:val="-3"/>
          <w:sz w:val="19"/>
        </w:rPr>
        <w:t> </w:t>
      </w:r>
      <w:r>
        <w:rPr>
          <w:sz w:val="19"/>
        </w:rPr>
        <w:t>the</w:t>
      </w:r>
      <w:r>
        <w:rPr>
          <w:spacing w:val="-4"/>
          <w:sz w:val="19"/>
        </w:rPr>
        <w:t> </w:t>
      </w:r>
      <w:r>
        <w:rPr>
          <w:sz w:val="19"/>
        </w:rPr>
        <w:t>jury</w:t>
      </w:r>
      <w:r>
        <w:rPr>
          <w:spacing w:val="-4"/>
          <w:sz w:val="19"/>
        </w:rPr>
        <w:t> </w:t>
      </w:r>
      <w:r>
        <w:rPr>
          <w:sz w:val="19"/>
        </w:rPr>
        <w:t>system’s capacity to act as this voice may be</w:t>
      </w:r>
      <w:r>
        <w:rPr>
          <w:spacing w:val="-18"/>
          <w:sz w:val="19"/>
        </w:rPr>
        <w:t> </w:t>
      </w:r>
      <w:r>
        <w:rPr>
          <w:sz w:val="19"/>
        </w:rPr>
        <w:t>reduced.</w:t>
      </w:r>
    </w:p>
    <w:p>
      <w:pPr>
        <w:spacing w:line="208" w:lineRule="auto" w:before="123"/>
        <w:ind w:left="2157" w:right="1262" w:firstLine="0"/>
        <w:jc w:val="left"/>
        <w:rPr>
          <w:sz w:val="19"/>
        </w:rPr>
      </w:pPr>
      <w:r>
        <w:rPr>
          <w:sz w:val="19"/>
        </w:rPr>
        <w:t>The Victorian Parliament saw fit to enumerate a number of categories of both compulsory and voluntary exclusion from jury service in the Act. </w:t>
      </w:r>
      <w:r>
        <w:rPr>
          <w:spacing w:val="-4"/>
          <w:sz w:val="19"/>
        </w:rPr>
        <w:t>However, </w:t>
      </w:r>
      <w:r>
        <w:rPr>
          <w:sz w:val="19"/>
        </w:rPr>
        <w:t>only four of</w:t>
      </w:r>
      <w:r>
        <w:rPr>
          <w:spacing w:val="-5"/>
          <w:sz w:val="19"/>
        </w:rPr>
        <w:t> </w:t>
      </w:r>
      <w:r>
        <w:rPr>
          <w:sz w:val="19"/>
        </w:rPr>
        <w:t>these</w:t>
      </w:r>
      <w:r>
        <w:rPr>
          <w:spacing w:val="-5"/>
          <w:sz w:val="19"/>
        </w:rPr>
        <w:t> </w:t>
      </w:r>
      <w:r>
        <w:rPr>
          <w:sz w:val="19"/>
        </w:rPr>
        <w:t>categories</w:t>
      </w:r>
      <w:r>
        <w:rPr>
          <w:spacing w:val="-5"/>
          <w:sz w:val="19"/>
        </w:rPr>
        <w:t> </w:t>
      </w:r>
      <w:r>
        <w:rPr>
          <w:sz w:val="19"/>
        </w:rPr>
        <w:t>result</w:t>
      </w:r>
      <w:r>
        <w:rPr>
          <w:spacing w:val="-4"/>
          <w:sz w:val="19"/>
        </w:rPr>
        <w:t> </w:t>
      </w:r>
      <w:r>
        <w:rPr>
          <w:sz w:val="19"/>
        </w:rPr>
        <w:t>in</w:t>
      </w:r>
      <w:r>
        <w:rPr>
          <w:spacing w:val="-5"/>
          <w:sz w:val="19"/>
        </w:rPr>
        <w:t> </w:t>
      </w:r>
      <w:r>
        <w:rPr>
          <w:sz w:val="19"/>
        </w:rPr>
        <w:t>a</w:t>
      </w:r>
      <w:r>
        <w:rPr>
          <w:spacing w:val="-5"/>
          <w:sz w:val="19"/>
        </w:rPr>
        <w:t> </w:t>
      </w:r>
      <w:r>
        <w:rPr>
          <w:sz w:val="19"/>
        </w:rPr>
        <w:t>permanent</w:t>
      </w:r>
      <w:r>
        <w:rPr>
          <w:spacing w:val="-4"/>
          <w:sz w:val="19"/>
        </w:rPr>
        <w:t> </w:t>
      </w:r>
      <w:r>
        <w:rPr>
          <w:sz w:val="19"/>
        </w:rPr>
        <w:t>exclusion</w:t>
      </w:r>
      <w:r>
        <w:rPr>
          <w:spacing w:val="-5"/>
          <w:sz w:val="19"/>
        </w:rPr>
        <w:t> </w:t>
      </w:r>
      <w:r>
        <w:rPr>
          <w:sz w:val="19"/>
        </w:rPr>
        <w:t>from</w:t>
      </w:r>
      <w:r>
        <w:rPr>
          <w:spacing w:val="-5"/>
          <w:sz w:val="19"/>
        </w:rPr>
        <w:t> </w:t>
      </w:r>
      <w:r>
        <w:rPr>
          <w:sz w:val="19"/>
        </w:rPr>
        <w:t>jury</w:t>
      </w:r>
      <w:r>
        <w:rPr>
          <w:spacing w:val="-5"/>
          <w:sz w:val="19"/>
        </w:rPr>
        <w:t> </w:t>
      </w:r>
      <w:r>
        <w:rPr>
          <w:sz w:val="19"/>
        </w:rPr>
        <w:t>service,</w:t>
      </w:r>
      <w:r>
        <w:rPr>
          <w:spacing w:val="-4"/>
          <w:sz w:val="19"/>
        </w:rPr>
        <w:t> </w:t>
      </w:r>
      <w:r>
        <w:rPr>
          <w:sz w:val="19"/>
        </w:rPr>
        <w:t>thereby</w:t>
      </w:r>
      <w:r>
        <w:rPr>
          <w:spacing w:val="-5"/>
          <w:sz w:val="19"/>
        </w:rPr>
        <w:t> </w:t>
      </w:r>
      <w:r>
        <w:rPr>
          <w:sz w:val="19"/>
        </w:rPr>
        <w:t>seeking to strike a balance between excluding members of the community on reasonable grounds, and having the broadest possible inclusion of the community in the jury process.</w:t>
      </w:r>
    </w:p>
    <w:p>
      <w:pPr>
        <w:spacing w:line="208" w:lineRule="auto" w:before="124"/>
        <w:ind w:left="2157" w:right="1335" w:firstLine="0"/>
        <w:jc w:val="left"/>
        <w:rPr>
          <w:sz w:val="19"/>
        </w:rPr>
      </w:pPr>
      <w:r>
        <w:rPr>
          <w:sz w:val="19"/>
        </w:rPr>
        <w:t>This represents an acknowledgement that juries are enhanced by a broad inclusion of the community, an acknowledgment which is reinforced in section 1 of the Act […]</w:t>
      </w:r>
    </w:p>
    <w:p>
      <w:pPr>
        <w:spacing w:line="220" w:lineRule="exact" w:before="0"/>
        <w:ind w:left="2157" w:right="0" w:firstLine="0"/>
        <w:jc w:val="left"/>
        <w:rPr>
          <w:sz w:val="19"/>
        </w:rPr>
      </w:pPr>
      <w:r>
        <w:rPr>
          <w:sz w:val="19"/>
        </w:rPr>
        <w:t>Indeed, if juries are to be truly representative of the community, diversity is essential in</w:t>
      </w:r>
    </w:p>
    <w:p>
      <w:pPr>
        <w:spacing w:line="247" w:lineRule="exact" w:before="0"/>
        <w:ind w:left="2157" w:right="0" w:firstLine="0"/>
        <w:jc w:val="left"/>
        <w:rPr>
          <w:sz w:val="11"/>
        </w:rPr>
      </w:pPr>
      <w:r>
        <w:rPr>
          <w:sz w:val="19"/>
        </w:rPr>
        <w:t>ensuring they reflect the views and values of the whole community.</w:t>
      </w:r>
      <w:r>
        <w:rPr>
          <w:position w:val="6"/>
          <w:sz w:val="11"/>
        </w:rPr>
        <w:t>27</w:t>
      </w:r>
    </w:p>
    <w:p>
      <w:pPr>
        <w:pStyle w:val="ListParagraph"/>
        <w:numPr>
          <w:ilvl w:val="1"/>
          <w:numId w:val="12"/>
        </w:numPr>
        <w:tabs>
          <w:tab w:pos="1761" w:val="left" w:leader="none"/>
          <w:tab w:pos="1762" w:val="left" w:leader="none"/>
        </w:tabs>
        <w:spacing w:line="206" w:lineRule="auto" w:before="116" w:after="0"/>
        <w:ind w:left="1761" w:right="1369" w:hanging="794"/>
        <w:jc w:val="left"/>
        <w:rPr>
          <w:sz w:val="11"/>
        </w:rPr>
      </w:pPr>
      <w:r>
        <w:rPr>
          <w:sz w:val="20"/>
        </w:rPr>
        <w:t>Both</w:t>
      </w:r>
      <w:r>
        <w:rPr>
          <w:spacing w:val="-10"/>
          <w:sz w:val="20"/>
        </w:rPr>
        <w:t> </w:t>
      </w:r>
      <w:r>
        <w:rPr>
          <w:sz w:val="20"/>
        </w:rPr>
        <w:t>the</w:t>
      </w:r>
      <w:r>
        <w:rPr>
          <w:spacing w:val="-9"/>
          <w:sz w:val="20"/>
        </w:rPr>
        <w:t> </w:t>
      </w:r>
      <w:r>
        <w:rPr>
          <w:sz w:val="20"/>
        </w:rPr>
        <w:t>Supreme</w:t>
      </w:r>
      <w:r>
        <w:rPr>
          <w:spacing w:val="-9"/>
          <w:sz w:val="20"/>
        </w:rPr>
        <w:t> </w:t>
      </w:r>
      <w:r>
        <w:rPr>
          <w:sz w:val="20"/>
        </w:rPr>
        <w:t>Court</w:t>
      </w:r>
      <w:r>
        <w:rPr>
          <w:spacing w:val="-9"/>
          <w:sz w:val="20"/>
        </w:rPr>
        <w:t> </w:t>
      </w:r>
      <w:r>
        <w:rPr>
          <w:sz w:val="20"/>
        </w:rPr>
        <w:t>of</w:t>
      </w:r>
      <w:r>
        <w:rPr>
          <w:spacing w:val="-9"/>
          <w:sz w:val="20"/>
        </w:rPr>
        <w:t> </w:t>
      </w:r>
      <w:r>
        <w:rPr>
          <w:sz w:val="20"/>
        </w:rPr>
        <w:t>Victoria</w:t>
      </w:r>
      <w:r>
        <w:rPr>
          <w:spacing w:val="-9"/>
          <w:sz w:val="20"/>
        </w:rPr>
        <w:t> </w:t>
      </w:r>
      <w:r>
        <w:rPr>
          <w:sz w:val="20"/>
        </w:rPr>
        <w:t>and</w:t>
      </w:r>
      <w:r>
        <w:rPr>
          <w:spacing w:val="-9"/>
          <w:sz w:val="20"/>
        </w:rPr>
        <w:t> </w:t>
      </w:r>
      <w:r>
        <w:rPr>
          <w:sz w:val="20"/>
        </w:rPr>
        <w:t>the</w:t>
      </w:r>
      <w:r>
        <w:rPr>
          <w:spacing w:val="-10"/>
          <w:sz w:val="20"/>
        </w:rPr>
        <w:t> </w:t>
      </w:r>
      <w:r>
        <w:rPr>
          <w:sz w:val="20"/>
        </w:rPr>
        <w:t>County</w:t>
      </w:r>
      <w:r>
        <w:rPr>
          <w:spacing w:val="-9"/>
          <w:sz w:val="20"/>
        </w:rPr>
        <w:t> </w:t>
      </w:r>
      <w:r>
        <w:rPr>
          <w:sz w:val="20"/>
        </w:rPr>
        <w:t>Court</w:t>
      </w:r>
      <w:r>
        <w:rPr>
          <w:spacing w:val="-9"/>
          <w:sz w:val="20"/>
        </w:rPr>
        <w:t> </w:t>
      </w:r>
      <w:r>
        <w:rPr>
          <w:sz w:val="20"/>
        </w:rPr>
        <w:t>of</w:t>
      </w:r>
      <w:r>
        <w:rPr>
          <w:spacing w:val="-9"/>
          <w:sz w:val="20"/>
        </w:rPr>
        <w:t> </w:t>
      </w:r>
      <w:r>
        <w:rPr>
          <w:sz w:val="20"/>
        </w:rPr>
        <w:t>Victoria</w:t>
      </w:r>
      <w:r>
        <w:rPr>
          <w:spacing w:val="-9"/>
          <w:sz w:val="20"/>
        </w:rPr>
        <w:t> </w:t>
      </w:r>
      <w:r>
        <w:rPr>
          <w:sz w:val="20"/>
        </w:rPr>
        <w:t>also</w:t>
      </w:r>
      <w:r>
        <w:rPr>
          <w:spacing w:val="-9"/>
          <w:sz w:val="20"/>
        </w:rPr>
        <w:t> </w:t>
      </w:r>
      <w:r>
        <w:rPr>
          <w:sz w:val="20"/>
        </w:rPr>
        <w:t>emphasised the importance of</w:t>
      </w:r>
      <w:r>
        <w:rPr>
          <w:spacing w:val="-14"/>
          <w:sz w:val="20"/>
        </w:rPr>
        <w:t> </w:t>
      </w:r>
      <w:r>
        <w:rPr>
          <w:sz w:val="20"/>
        </w:rPr>
        <w:t>representativeness.</w:t>
      </w:r>
      <w:r>
        <w:rPr>
          <w:position w:val="7"/>
          <w:sz w:val="11"/>
        </w:rPr>
        <w:t>28</w:t>
      </w:r>
    </w:p>
    <w:p>
      <w:pPr>
        <w:pStyle w:val="BodyText"/>
        <w:spacing w:before="5"/>
        <w:rPr>
          <w:sz w:val="16"/>
        </w:rPr>
      </w:pPr>
    </w:p>
    <w:p>
      <w:pPr>
        <w:pStyle w:val="Heading2"/>
        <w:spacing w:before="1"/>
        <w:rPr>
          <w:b/>
        </w:rPr>
      </w:pPr>
      <w:r>
        <w:rPr>
          <w:b/>
          <w:color w:val="37617A"/>
        </w:rPr>
        <w:t>Sharing the obligation of jury service among the community</w:t>
      </w:r>
    </w:p>
    <w:p>
      <w:pPr>
        <w:pStyle w:val="ListParagraph"/>
        <w:numPr>
          <w:ilvl w:val="1"/>
          <w:numId w:val="12"/>
        </w:numPr>
        <w:tabs>
          <w:tab w:pos="1761" w:val="left" w:leader="none"/>
          <w:tab w:pos="1762" w:val="left" w:leader="none"/>
        </w:tabs>
        <w:spacing w:line="206" w:lineRule="auto" w:before="146" w:after="0"/>
        <w:ind w:left="1761" w:right="1521" w:hanging="794"/>
        <w:jc w:val="left"/>
        <w:rPr>
          <w:sz w:val="20"/>
        </w:rPr>
      </w:pPr>
      <w:r>
        <w:rPr>
          <w:sz w:val="20"/>
        </w:rPr>
        <w:t>The</w:t>
      </w:r>
      <w:r>
        <w:rPr>
          <w:spacing w:val="-10"/>
          <w:sz w:val="20"/>
        </w:rPr>
        <w:t> </w:t>
      </w:r>
      <w:r>
        <w:rPr>
          <w:sz w:val="20"/>
        </w:rPr>
        <w:t>other</w:t>
      </w:r>
      <w:r>
        <w:rPr>
          <w:spacing w:val="-9"/>
          <w:sz w:val="20"/>
        </w:rPr>
        <w:t> </w:t>
      </w:r>
      <w:r>
        <w:rPr>
          <w:spacing w:val="-4"/>
          <w:sz w:val="20"/>
        </w:rPr>
        <w:t>key</w:t>
      </w:r>
      <w:r>
        <w:rPr>
          <w:spacing w:val="-9"/>
          <w:sz w:val="20"/>
        </w:rPr>
        <w:t> </w:t>
      </w:r>
      <w:r>
        <w:rPr>
          <w:sz w:val="20"/>
        </w:rPr>
        <w:t>purpose</w:t>
      </w:r>
      <w:r>
        <w:rPr>
          <w:spacing w:val="-9"/>
          <w:sz w:val="20"/>
        </w:rPr>
        <w:t> </w:t>
      </w:r>
      <w:r>
        <w:rPr>
          <w:sz w:val="20"/>
        </w:rPr>
        <w:t>of</w:t>
      </w:r>
      <w:r>
        <w:rPr>
          <w:spacing w:val="-10"/>
          <w:sz w:val="20"/>
        </w:rPr>
        <w:t> </w:t>
      </w:r>
      <w:r>
        <w:rPr>
          <w:sz w:val="20"/>
        </w:rPr>
        <w:t>the</w:t>
      </w:r>
      <w:r>
        <w:rPr>
          <w:spacing w:val="-9"/>
          <w:sz w:val="20"/>
        </w:rPr>
        <w:t> </w:t>
      </w:r>
      <w:r>
        <w:rPr>
          <w:spacing w:val="-2"/>
          <w:sz w:val="20"/>
        </w:rPr>
        <w:t>Act</w:t>
      </w:r>
      <w:r>
        <w:rPr>
          <w:spacing w:val="-9"/>
          <w:sz w:val="20"/>
        </w:rPr>
        <w:t> </w:t>
      </w:r>
      <w:r>
        <w:rPr>
          <w:sz w:val="20"/>
        </w:rPr>
        <w:t>is</w:t>
      </w:r>
      <w:r>
        <w:rPr>
          <w:spacing w:val="-9"/>
          <w:sz w:val="20"/>
        </w:rPr>
        <w:t> </w:t>
      </w:r>
      <w:r>
        <w:rPr>
          <w:sz w:val="20"/>
        </w:rPr>
        <w:t>to</w:t>
      </w:r>
      <w:r>
        <w:rPr>
          <w:spacing w:val="-9"/>
          <w:sz w:val="20"/>
        </w:rPr>
        <w:t> </w:t>
      </w:r>
      <w:r>
        <w:rPr>
          <w:sz w:val="20"/>
        </w:rPr>
        <w:t>equitably</w:t>
      </w:r>
      <w:r>
        <w:rPr>
          <w:spacing w:val="-10"/>
          <w:sz w:val="20"/>
        </w:rPr>
        <w:t> </w:t>
      </w:r>
      <w:r>
        <w:rPr>
          <w:sz w:val="20"/>
        </w:rPr>
        <w:t>spread</w:t>
      </w:r>
      <w:r>
        <w:rPr>
          <w:spacing w:val="-9"/>
          <w:sz w:val="20"/>
        </w:rPr>
        <w:t> </w:t>
      </w:r>
      <w:r>
        <w:rPr>
          <w:sz w:val="20"/>
        </w:rPr>
        <w:t>the</w:t>
      </w:r>
      <w:r>
        <w:rPr>
          <w:spacing w:val="-9"/>
          <w:sz w:val="20"/>
        </w:rPr>
        <w:t> </w:t>
      </w:r>
      <w:r>
        <w:rPr>
          <w:sz w:val="20"/>
        </w:rPr>
        <w:t>obligation</w:t>
      </w:r>
      <w:r>
        <w:rPr>
          <w:spacing w:val="-9"/>
          <w:sz w:val="20"/>
        </w:rPr>
        <w:t> </w:t>
      </w:r>
      <w:r>
        <w:rPr>
          <w:sz w:val="20"/>
        </w:rPr>
        <w:t>of</w:t>
      </w:r>
      <w:r>
        <w:rPr>
          <w:spacing w:val="-9"/>
          <w:sz w:val="20"/>
        </w:rPr>
        <w:t> </w:t>
      </w:r>
      <w:r>
        <w:rPr>
          <w:sz w:val="20"/>
        </w:rPr>
        <w:t>jury</w:t>
      </w:r>
      <w:r>
        <w:rPr>
          <w:spacing w:val="-10"/>
          <w:sz w:val="20"/>
        </w:rPr>
        <w:t> </w:t>
      </w:r>
      <w:r>
        <w:rPr>
          <w:sz w:val="20"/>
        </w:rPr>
        <w:t>service amongst the community.</w:t>
      </w:r>
      <w:r>
        <w:rPr>
          <w:position w:val="7"/>
          <w:sz w:val="11"/>
        </w:rPr>
        <w:t>29 </w:t>
      </w:r>
      <w:r>
        <w:rPr>
          <w:spacing w:val="-3"/>
          <w:sz w:val="20"/>
        </w:rPr>
        <w:t>Active </w:t>
      </w:r>
      <w:r>
        <w:rPr>
          <w:sz w:val="20"/>
        </w:rPr>
        <w:t>citizenship </w:t>
      </w:r>
      <w:r>
        <w:rPr>
          <w:spacing w:val="-4"/>
          <w:sz w:val="20"/>
        </w:rPr>
        <w:t>involves </w:t>
      </w:r>
      <w:r>
        <w:rPr>
          <w:sz w:val="20"/>
        </w:rPr>
        <w:t>shared </w:t>
      </w:r>
      <w:r>
        <w:rPr>
          <w:spacing w:val="-3"/>
          <w:sz w:val="20"/>
        </w:rPr>
        <w:t>responsibility. </w:t>
      </w:r>
      <w:r>
        <w:rPr>
          <w:sz w:val="20"/>
        </w:rPr>
        <w:t>Former Juries Commissioner Rodolfo Monteleone</w:t>
      </w:r>
      <w:r>
        <w:rPr>
          <w:spacing w:val="-20"/>
          <w:sz w:val="20"/>
        </w:rPr>
        <w:t> </w:t>
      </w:r>
      <w:r>
        <w:rPr>
          <w:sz w:val="20"/>
        </w:rPr>
        <w:t>comments:</w:t>
      </w:r>
    </w:p>
    <w:p>
      <w:pPr>
        <w:spacing w:line="208" w:lineRule="auto" w:before="121"/>
        <w:ind w:left="2157" w:right="1413" w:firstLine="0"/>
        <w:jc w:val="left"/>
        <w:rPr>
          <w:sz w:val="11"/>
        </w:rPr>
      </w:pPr>
      <w:r>
        <w:rPr>
          <w:sz w:val="19"/>
        </w:rPr>
        <w:t>Jury service is an important but onerous civil responsibility … Deciding another’s fate is a trying ordeal, and the financial and emotional burdens of jury service can be significant even in the most simple cases.</w:t>
      </w:r>
      <w:r>
        <w:rPr>
          <w:position w:val="6"/>
          <w:sz w:val="11"/>
        </w:rPr>
        <w:t>30</w:t>
      </w:r>
    </w:p>
    <w:p>
      <w:pPr>
        <w:pStyle w:val="ListParagraph"/>
        <w:numPr>
          <w:ilvl w:val="1"/>
          <w:numId w:val="12"/>
        </w:numPr>
        <w:tabs>
          <w:tab w:pos="1761" w:val="left" w:leader="none"/>
          <w:tab w:pos="1762" w:val="left" w:leader="none"/>
        </w:tabs>
        <w:spacing w:line="206" w:lineRule="auto" w:before="124" w:after="0"/>
        <w:ind w:left="1761" w:right="1383" w:hanging="794"/>
        <w:jc w:val="left"/>
        <w:rPr>
          <w:sz w:val="11"/>
        </w:rPr>
      </w:pPr>
      <w:r>
        <w:rPr>
          <w:sz w:val="20"/>
        </w:rPr>
        <w:t>In its report </w:t>
      </w:r>
      <w:r>
        <w:rPr>
          <w:i/>
          <w:sz w:val="20"/>
        </w:rPr>
        <w:t>A </w:t>
      </w:r>
      <w:r>
        <w:rPr>
          <w:i/>
          <w:spacing w:val="-3"/>
          <w:sz w:val="20"/>
        </w:rPr>
        <w:t>Review </w:t>
      </w:r>
      <w:r>
        <w:rPr>
          <w:i/>
          <w:sz w:val="20"/>
        </w:rPr>
        <w:t>of Jury Selection, </w:t>
      </w:r>
      <w:r>
        <w:rPr>
          <w:sz w:val="20"/>
        </w:rPr>
        <w:t>the Queensland Law Reform Commission </w:t>
      </w:r>
      <w:r>
        <w:rPr>
          <w:spacing w:val="-3"/>
          <w:sz w:val="20"/>
        </w:rPr>
        <w:t>(QLRC)</w:t>
      </w:r>
      <w:r>
        <w:rPr>
          <w:spacing w:val="-8"/>
          <w:sz w:val="20"/>
        </w:rPr>
        <w:t> </w:t>
      </w:r>
      <w:r>
        <w:rPr>
          <w:sz w:val="20"/>
        </w:rPr>
        <w:t>acknowledges</w:t>
      </w:r>
      <w:r>
        <w:rPr>
          <w:spacing w:val="-7"/>
          <w:sz w:val="20"/>
        </w:rPr>
        <w:t> </w:t>
      </w:r>
      <w:r>
        <w:rPr>
          <w:sz w:val="20"/>
        </w:rPr>
        <w:t>that</w:t>
      </w:r>
      <w:r>
        <w:rPr>
          <w:spacing w:val="-7"/>
          <w:sz w:val="20"/>
        </w:rPr>
        <w:t> </w:t>
      </w:r>
      <w:r>
        <w:rPr>
          <w:sz w:val="20"/>
        </w:rPr>
        <w:t>‘</w:t>
      </w:r>
      <w:r>
        <w:rPr>
          <w:spacing w:val="-33"/>
          <w:sz w:val="20"/>
        </w:rPr>
        <w:t> </w:t>
      </w:r>
      <w:r>
        <w:rPr>
          <w:sz w:val="20"/>
        </w:rPr>
        <w:t>jury</w:t>
      </w:r>
      <w:r>
        <w:rPr>
          <w:spacing w:val="-7"/>
          <w:sz w:val="20"/>
        </w:rPr>
        <w:t> </w:t>
      </w:r>
      <w:r>
        <w:rPr>
          <w:sz w:val="20"/>
        </w:rPr>
        <w:t>service</w:t>
      </w:r>
      <w:r>
        <w:rPr>
          <w:spacing w:val="-7"/>
          <w:sz w:val="20"/>
        </w:rPr>
        <w:t> </w:t>
      </w:r>
      <w:r>
        <w:rPr>
          <w:sz w:val="20"/>
        </w:rPr>
        <w:t>is</w:t>
      </w:r>
      <w:r>
        <w:rPr>
          <w:spacing w:val="-7"/>
          <w:sz w:val="20"/>
        </w:rPr>
        <w:t> </w:t>
      </w:r>
      <w:r>
        <w:rPr>
          <w:sz w:val="20"/>
        </w:rPr>
        <w:t>a</w:t>
      </w:r>
      <w:r>
        <w:rPr>
          <w:spacing w:val="-8"/>
          <w:sz w:val="20"/>
        </w:rPr>
        <w:t> </w:t>
      </w:r>
      <w:r>
        <w:rPr>
          <w:sz w:val="20"/>
        </w:rPr>
        <w:t>burden</w:t>
      </w:r>
      <w:r>
        <w:rPr>
          <w:spacing w:val="-7"/>
          <w:sz w:val="20"/>
        </w:rPr>
        <w:t> </w:t>
      </w:r>
      <w:r>
        <w:rPr>
          <w:sz w:val="20"/>
        </w:rPr>
        <w:t>and</w:t>
      </w:r>
      <w:r>
        <w:rPr>
          <w:spacing w:val="-7"/>
          <w:sz w:val="20"/>
        </w:rPr>
        <w:t> </w:t>
      </w:r>
      <w:r>
        <w:rPr>
          <w:sz w:val="20"/>
        </w:rPr>
        <w:t>can</w:t>
      </w:r>
      <w:r>
        <w:rPr>
          <w:spacing w:val="-7"/>
          <w:sz w:val="20"/>
        </w:rPr>
        <w:t> </w:t>
      </w:r>
      <w:r>
        <w:rPr>
          <w:sz w:val="20"/>
        </w:rPr>
        <w:t>disrupt</w:t>
      </w:r>
      <w:r>
        <w:rPr>
          <w:spacing w:val="-7"/>
          <w:sz w:val="20"/>
        </w:rPr>
        <w:t> </w:t>
      </w:r>
      <w:r>
        <w:rPr>
          <w:sz w:val="20"/>
        </w:rPr>
        <w:t>a</w:t>
      </w:r>
      <w:r>
        <w:rPr>
          <w:spacing w:val="-8"/>
          <w:sz w:val="20"/>
        </w:rPr>
        <w:t> </w:t>
      </w:r>
      <w:r>
        <w:rPr>
          <w:spacing w:val="-3"/>
          <w:sz w:val="20"/>
        </w:rPr>
        <w:t>citizen’s</w:t>
      </w:r>
      <w:r>
        <w:rPr>
          <w:spacing w:val="-7"/>
          <w:sz w:val="20"/>
        </w:rPr>
        <w:t> </w:t>
      </w:r>
      <w:r>
        <w:rPr>
          <w:spacing w:val="-4"/>
          <w:sz w:val="20"/>
        </w:rPr>
        <w:t>life’.</w:t>
      </w:r>
      <w:r>
        <w:rPr>
          <w:spacing w:val="-7"/>
          <w:sz w:val="20"/>
        </w:rPr>
        <w:t> </w:t>
      </w:r>
      <w:r>
        <w:rPr>
          <w:sz w:val="20"/>
        </w:rPr>
        <w:t>No other civic obligation is like jury service in this </w:t>
      </w:r>
      <w:r>
        <w:rPr>
          <w:spacing w:val="-4"/>
          <w:sz w:val="20"/>
        </w:rPr>
        <w:t>way.</w:t>
      </w:r>
      <w:r>
        <w:rPr>
          <w:spacing w:val="-4"/>
          <w:position w:val="7"/>
          <w:sz w:val="11"/>
        </w:rPr>
        <w:t>31 </w:t>
      </w:r>
      <w:r>
        <w:rPr>
          <w:sz w:val="20"/>
        </w:rPr>
        <w:t>The QLRC observed that </w:t>
      </w:r>
      <w:r>
        <w:rPr>
          <w:spacing w:val="-4"/>
          <w:sz w:val="20"/>
        </w:rPr>
        <w:t>‘a </w:t>
      </w:r>
      <w:r>
        <w:rPr>
          <w:sz w:val="20"/>
        </w:rPr>
        <w:t>large pool ensures that the burdens and benefits of jury service </w:t>
      </w:r>
      <w:r>
        <w:rPr>
          <w:spacing w:val="-3"/>
          <w:sz w:val="20"/>
        </w:rPr>
        <w:t>are </w:t>
      </w:r>
      <w:r>
        <w:rPr>
          <w:sz w:val="20"/>
        </w:rPr>
        <w:t>shared as widely and </w:t>
      </w:r>
      <w:r>
        <w:rPr>
          <w:spacing w:val="-3"/>
          <w:sz w:val="20"/>
        </w:rPr>
        <w:t>fairly</w:t>
      </w:r>
      <w:r>
        <w:rPr>
          <w:spacing w:val="-8"/>
          <w:sz w:val="20"/>
        </w:rPr>
        <w:t> </w:t>
      </w:r>
      <w:r>
        <w:rPr>
          <w:sz w:val="20"/>
        </w:rPr>
        <w:t>as</w:t>
      </w:r>
      <w:r>
        <w:rPr>
          <w:spacing w:val="-7"/>
          <w:sz w:val="20"/>
        </w:rPr>
        <w:t> </w:t>
      </w:r>
      <w:r>
        <w:rPr>
          <w:sz w:val="20"/>
        </w:rPr>
        <w:t>possible,</w:t>
      </w:r>
      <w:r>
        <w:rPr>
          <w:spacing w:val="-7"/>
          <w:sz w:val="20"/>
        </w:rPr>
        <w:t> </w:t>
      </w:r>
      <w:r>
        <w:rPr>
          <w:sz w:val="20"/>
        </w:rPr>
        <w:t>and</w:t>
      </w:r>
      <w:r>
        <w:rPr>
          <w:spacing w:val="-7"/>
          <w:sz w:val="20"/>
        </w:rPr>
        <w:t> </w:t>
      </w:r>
      <w:r>
        <w:rPr>
          <w:sz w:val="20"/>
        </w:rPr>
        <w:t>reflects</w:t>
      </w:r>
      <w:r>
        <w:rPr>
          <w:spacing w:val="-8"/>
          <w:sz w:val="20"/>
        </w:rPr>
        <w:t> </w:t>
      </w:r>
      <w:r>
        <w:rPr>
          <w:sz w:val="20"/>
        </w:rPr>
        <w:t>the</w:t>
      </w:r>
      <w:r>
        <w:rPr>
          <w:spacing w:val="-7"/>
          <w:sz w:val="20"/>
        </w:rPr>
        <w:t> </w:t>
      </w:r>
      <w:r>
        <w:rPr>
          <w:sz w:val="20"/>
        </w:rPr>
        <w:t>fact</w:t>
      </w:r>
      <w:r>
        <w:rPr>
          <w:spacing w:val="-7"/>
          <w:sz w:val="20"/>
        </w:rPr>
        <w:t> </w:t>
      </w:r>
      <w:r>
        <w:rPr>
          <w:sz w:val="20"/>
        </w:rPr>
        <w:t>that</w:t>
      </w:r>
      <w:r>
        <w:rPr>
          <w:spacing w:val="-7"/>
          <w:sz w:val="20"/>
        </w:rPr>
        <w:t> </w:t>
      </w:r>
      <w:r>
        <w:rPr>
          <w:sz w:val="20"/>
        </w:rPr>
        <w:t>jury</w:t>
      </w:r>
      <w:r>
        <w:rPr>
          <w:spacing w:val="-7"/>
          <w:sz w:val="20"/>
        </w:rPr>
        <w:t> </w:t>
      </w:r>
      <w:r>
        <w:rPr>
          <w:sz w:val="20"/>
        </w:rPr>
        <w:t>service</w:t>
      </w:r>
      <w:r>
        <w:rPr>
          <w:spacing w:val="-8"/>
          <w:sz w:val="20"/>
        </w:rPr>
        <w:t> </w:t>
      </w:r>
      <w:r>
        <w:rPr>
          <w:sz w:val="20"/>
        </w:rPr>
        <w:t>is</w:t>
      </w:r>
      <w:r>
        <w:rPr>
          <w:spacing w:val="-7"/>
          <w:sz w:val="20"/>
        </w:rPr>
        <w:t> </w:t>
      </w:r>
      <w:r>
        <w:rPr>
          <w:sz w:val="20"/>
        </w:rPr>
        <w:t>both</w:t>
      </w:r>
      <w:r>
        <w:rPr>
          <w:spacing w:val="-7"/>
          <w:sz w:val="20"/>
        </w:rPr>
        <w:t> </w:t>
      </w:r>
      <w:r>
        <w:rPr>
          <w:sz w:val="20"/>
        </w:rPr>
        <w:t>a</w:t>
      </w:r>
      <w:r>
        <w:rPr>
          <w:spacing w:val="-7"/>
          <w:sz w:val="20"/>
        </w:rPr>
        <w:t> </w:t>
      </w:r>
      <w:r>
        <w:rPr>
          <w:sz w:val="20"/>
        </w:rPr>
        <w:t>duty</w:t>
      </w:r>
      <w:r>
        <w:rPr>
          <w:spacing w:val="-8"/>
          <w:sz w:val="20"/>
        </w:rPr>
        <w:t> </w:t>
      </w:r>
      <w:r>
        <w:rPr>
          <w:sz w:val="20"/>
        </w:rPr>
        <w:t>and</w:t>
      </w:r>
      <w:r>
        <w:rPr>
          <w:spacing w:val="-7"/>
          <w:sz w:val="20"/>
        </w:rPr>
        <w:t> </w:t>
      </w:r>
      <w:r>
        <w:rPr>
          <w:sz w:val="20"/>
        </w:rPr>
        <w:t>a</w:t>
      </w:r>
      <w:r>
        <w:rPr>
          <w:spacing w:val="-7"/>
          <w:sz w:val="20"/>
        </w:rPr>
        <w:t> </w:t>
      </w:r>
      <w:r>
        <w:rPr>
          <w:spacing w:val="-3"/>
          <w:sz w:val="20"/>
        </w:rPr>
        <w:t>privilege’.</w:t>
      </w:r>
      <w:r>
        <w:rPr>
          <w:spacing w:val="-3"/>
          <w:position w:val="7"/>
          <w:sz w:val="11"/>
        </w:rPr>
        <w:t>32</w:t>
      </w:r>
    </w:p>
    <w:p>
      <w:pPr>
        <w:pStyle w:val="ListParagraph"/>
        <w:numPr>
          <w:ilvl w:val="1"/>
          <w:numId w:val="12"/>
        </w:numPr>
        <w:tabs>
          <w:tab w:pos="1761" w:val="left" w:leader="none"/>
          <w:tab w:pos="1762" w:val="left" w:leader="none"/>
        </w:tabs>
        <w:spacing w:line="206" w:lineRule="auto" w:before="126" w:after="0"/>
        <w:ind w:left="1761" w:right="1288" w:hanging="794"/>
        <w:jc w:val="left"/>
        <w:rPr>
          <w:sz w:val="20"/>
        </w:rPr>
      </w:pPr>
      <w:r>
        <w:rPr>
          <w:sz w:val="20"/>
        </w:rPr>
        <w:t>When</w:t>
      </w:r>
      <w:r>
        <w:rPr>
          <w:spacing w:val="-11"/>
          <w:sz w:val="20"/>
        </w:rPr>
        <w:t> </w:t>
      </w:r>
      <w:r>
        <w:rPr>
          <w:sz w:val="20"/>
        </w:rPr>
        <w:t>people</w:t>
      </w:r>
      <w:r>
        <w:rPr>
          <w:spacing w:val="-11"/>
          <w:sz w:val="20"/>
        </w:rPr>
        <w:t> </w:t>
      </w:r>
      <w:r>
        <w:rPr>
          <w:sz w:val="20"/>
        </w:rPr>
        <w:t>in</w:t>
      </w:r>
      <w:r>
        <w:rPr>
          <w:spacing w:val="-11"/>
          <w:sz w:val="20"/>
        </w:rPr>
        <w:t> </w:t>
      </w:r>
      <w:r>
        <w:rPr>
          <w:sz w:val="20"/>
        </w:rPr>
        <w:t>the</w:t>
      </w:r>
      <w:r>
        <w:rPr>
          <w:spacing w:val="-11"/>
          <w:sz w:val="20"/>
        </w:rPr>
        <w:t> </w:t>
      </w:r>
      <w:r>
        <w:rPr>
          <w:sz w:val="20"/>
        </w:rPr>
        <w:t>subject</w:t>
      </w:r>
      <w:r>
        <w:rPr>
          <w:spacing w:val="-11"/>
          <w:sz w:val="20"/>
        </w:rPr>
        <w:t> </w:t>
      </w:r>
      <w:r>
        <w:rPr>
          <w:sz w:val="20"/>
        </w:rPr>
        <w:t>groups</w:t>
      </w:r>
      <w:r>
        <w:rPr>
          <w:spacing w:val="-10"/>
          <w:sz w:val="20"/>
        </w:rPr>
        <w:t> </w:t>
      </w:r>
      <w:r>
        <w:rPr>
          <w:sz w:val="20"/>
        </w:rPr>
        <w:t>serve</w:t>
      </w:r>
      <w:r>
        <w:rPr>
          <w:spacing w:val="-11"/>
          <w:sz w:val="20"/>
        </w:rPr>
        <w:t> </w:t>
      </w:r>
      <w:r>
        <w:rPr>
          <w:sz w:val="20"/>
        </w:rPr>
        <w:t>as</w:t>
      </w:r>
      <w:r>
        <w:rPr>
          <w:spacing w:val="-11"/>
          <w:sz w:val="20"/>
        </w:rPr>
        <w:t> </w:t>
      </w:r>
      <w:r>
        <w:rPr>
          <w:sz w:val="20"/>
        </w:rPr>
        <w:t>jurors</w:t>
      </w:r>
      <w:r>
        <w:rPr>
          <w:spacing w:val="-11"/>
          <w:sz w:val="20"/>
        </w:rPr>
        <w:t> </w:t>
      </w:r>
      <w:r>
        <w:rPr>
          <w:sz w:val="20"/>
        </w:rPr>
        <w:t>the</w:t>
      </w:r>
      <w:r>
        <w:rPr>
          <w:spacing w:val="-11"/>
          <w:sz w:val="20"/>
        </w:rPr>
        <w:t> </w:t>
      </w:r>
      <w:r>
        <w:rPr>
          <w:sz w:val="20"/>
        </w:rPr>
        <w:t>responsibility</w:t>
      </w:r>
      <w:r>
        <w:rPr>
          <w:spacing w:val="-11"/>
          <w:sz w:val="20"/>
        </w:rPr>
        <w:t> </w:t>
      </w:r>
      <w:r>
        <w:rPr>
          <w:sz w:val="20"/>
        </w:rPr>
        <w:t>of</w:t>
      </w:r>
      <w:r>
        <w:rPr>
          <w:spacing w:val="-10"/>
          <w:sz w:val="20"/>
        </w:rPr>
        <w:t> </w:t>
      </w:r>
      <w:r>
        <w:rPr>
          <w:sz w:val="20"/>
        </w:rPr>
        <w:t>jury</w:t>
      </w:r>
      <w:r>
        <w:rPr>
          <w:spacing w:val="-11"/>
          <w:sz w:val="20"/>
        </w:rPr>
        <w:t> </w:t>
      </w:r>
      <w:r>
        <w:rPr>
          <w:sz w:val="20"/>
        </w:rPr>
        <w:t>service</w:t>
      </w:r>
      <w:r>
        <w:rPr>
          <w:spacing w:val="-11"/>
          <w:sz w:val="20"/>
        </w:rPr>
        <w:t> </w:t>
      </w:r>
      <w:r>
        <w:rPr>
          <w:sz w:val="20"/>
        </w:rPr>
        <w:t>will be shared more </w:t>
      </w:r>
      <w:r>
        <w:rPr>
          <w:spacing w:val="-3"/>
          <w:sz w:val="20"/>
        </w:rPr>
        <w:t>broadly across </w:t>
      </w:r>
      <w:r>
        <w:rPr>
          <w:sz w:val="20"/>
        </w:rPr>
        <w:t>the</w:t>
      </w:r>
      <w:r>
        <w:rPr>
          <w:spacing w:val="-19"/>
          <w:sz w:val="20"/>
        </w:rPr>
        <w:t> </w:t>
      </w:r>
      <w:r>
        <w:rPr>
          <w:spacing w:val="-3"/>
          <w:sz w:val="20"/>
        </w:rPr>
        <w:t>community.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rPr>
          <w:sz w:val="19"/>
        </w:rPr>
      </w:pPr>
      <w:r>
        <w:rPr/>
        <w:pict>
          <v:line style="position:absolute;mso-position-horizontal-relative:page;mso-position-vertical-relative:paragraph;z-index:4160;mso-wrap-distance-left:0;mso-wrap-distance-right:0" from="79.370102pt,16.326151pt" to="515.905102pt,16.326151pt" stroked="true" strokeweight="1pt" strokecolor="#b6bdc8">
            <v:stroke dashstyle="solid"/>
            <w10:wrap type="topAndBottom"/>
          </v:line>
        </w:pict>
      </w:r>
    </w:p>
    <w:p>
      <w:pPr>
        <w:pStyle w:val="ListParagraph"/>
        <w:numPr>
          <w:ilvl w:val="0"/>
          <w:numId w:val="57"/>
        </w:numPr>
        <w:tabs>
          <w:tab w:pos="1761" w:val="left" w:leader="none"/>
          <w:tab w:pos="1762" w:val="left" w:leader="none"/>
        </w:tabs>
        <w:spacing w:line="170" w:lineRule="exact" w:before="91" w:after="0"/>
        <w:ind w:left="1761" w:right="0" w:hanging="794"/>
        <w:jc w:val="left"/>
        <w:rPr>
          <w:sz w:val="13"/>
        </w:rPr>
      </w:pPr>
      <w:r>
        <w:rPr>
          <w:spacing w:val="2"/>
          <w:sz w:val="13"/>
        </w:rPr>
        <w:t>Submission </w:t>
      </w:r>
      <w:r>
        <w:rPr>
          <w:sz w:val="13"/>
        </w:rPr>
        <w:t>13 </w:t>
      </w:r>
      <w:r>
        <w:rPr>
          <w:spacing w:val="2"/>
          <w:sz w:val="13"/>
        </w:rPr>
        <w:t>(Juries</w:t>
      </w:r>
      <w:r>
        <w:rPr>
          <w:spacing w:val="-2"/>
          <w:sz w:val="13"/>
        </w:rPr>
        <w:t> </w:t>
      </w:r>
      <w:r>
        <w:rPr>
          <w:sz w:val="13"/>
        </w:rPr>
        <w:t>Victoria).</w:t>
      </w:r>
    </w:p>
    <w:p>
      <w:pPr>
        <w:pStyle w:val="ListParagraph"/>
        <w:numPr>
          <w:ilvl w:val="0"/>
          <w:numId w:val="57"/>
        </w:numPr>
        <w:tabs>
          <w:tab w:pos="1760" w:val="left" w:leader="none"/>
          <w:tab w:pos="1762" w:val="left" w:leader="none"/>
        </w:tabs>
        <w:spacing w:line="160" w:lineRule="exact" w:before="0" w:after="0"/>
        <w:ind w:left="1761" w:right="0" w:hanging="794"/>
        <w:jc w:val="left"/>
        <w:rPr>
          <w:sz w:val="13"/>
        </w:rPr>
      </w:pPr>
      <w:r>
        <w:rPr>
          <w:spacing w:val="2"/>
          <w:sz w:val="13"/>
        </w:rPr>
        <w:t>Submissions </w:t>
      </w:r>
      <w:r>
        <w:rPr>
          <w:sz w:val="13"/>
        </w:rPr>
        <w:t>11 (Supreme </w:t>
      </w:r>
      <w:r>
        <w:rPr>
          <w:spacing w:val="2"/>
          <w:sz w:val="13"/>
        </w:rPr>
        <w:t>Court </w:t>
      </w:r>
      <w:r>
        <w:rPr>
          <w:sz w:val="13"/>
        </w:rPr>
        <w:t>of Victoria), </w:t>
      </w:r>
      <w:r>
        <w:rPr>
          <w:spacing w:val="3"/>
          <w:sz w:val="13"/>
        </w:rPr>
        <w:t>14 </w:t>
      </w:r>
      <w:r>
        <w:rPr>
          <w:sz w:val="13"/>
        </w:rPr>
        <w:t>(County </w:t>
      </w:r>
      <w:r>
        <w:rPr>
          <w:spacing w:val="2"/>
          <w:sz w:val="13"/>
        </w:rPr>
        <w:t>Court </w:t>
      </w:r>
      <w:r>
        <w:rPr>
          <w:sz w:val="13"/>
        </w:rPr>
        <w:t>of</w:t>
      </w:r>
      <w:r>
        <w:rPr>
          <w:spacing w:val="-5"/>
          <w:sz w:val="13"/>
        </w:rPr>
        <w:t> </w:t>
      </w:r>
      <w:r>
        <w:rPr>
          <w:sz w:val="13"/>
        </w:rPr>
        <w:t>Victoria).</w:t>
      </w:r>
    </w:p>
    <w:p>
      <w:pPr>
        <w:pStyle w:val="ListParagraph"/>
        <w:numPr>
          <w:ilvl w:val="0"/>
          <w:numId w:val="57"/>
        </w:numPr>
        <w:tabs>
          <w:tab w:pos="1761" w:val="left" w:leader="none"/>
          <w:tab w:pos="1762" w:val="left" w:leader="none"/>
        </w:tabs>
        <w:spacing w:line="160" w:lineRule="exact" w:before="0" w:after="0"/>
        <w:ind w:left="1761" w:right="0" w:hanging="794"/>
        <w:jc w:val="left"/>
        <w:rPr>
          <w:sz w:val="13"/>
        </w:rPr>
      </w:pPr>
      <w:r>
        <w:rPr>
          <w:i/>
          <w:sz w:val="13"/>
        </w:rPr>
        <w:t>Juries Act 2000 </w:t>
      </w:r>
      <w:r>
        <w:rPr>
          <w:spacing w:val="2"/>
          <w:sz w:val="13"/>
        </w:rPr>
        <w:t>(Vic) </w:t>
      </w:r>
      <w:r>
        <w:rPr>
          <w:sz w:val="13"/>
        </w:rPr>
        <w:t>s</w:t>
      </w:r>
      <w:r>
        <w:rPr>
          <w:spacing w:val="-2"/>
          <w:sz w:val="13"/>
        </w:rPr>
        <w:t> </w:t>
      </w:r>
      <w:r>
        <w:rPr>
          <w:spacing w:val="3"/>
          <w:sz w:val="13"/>
        </w:rPr>
        <w:t>1.</w:t>
      </w:r>
    </w:p>
    <w:p>
      <w:pPr>
        <w:pStyle w:val="ListParagraph"/>
        <w:numPr>
          <w:ilvl w:val="0"/>
          <w:numId w:val="57"/>
        </w:numPr>
        <w:tabs>
          <w:tab w:pos="1761" w:val="left" w:leader="none"/>
          <w:tab w:pos="1762" w:val="left" w:leader="none"/>
        </w:tabs>
        <w:spacing w:line="213" w:lineRule="auto" w:before="6" w:after="0"/>
        <w:ind w:left="1761" w:right="1727" w:hanging="794"/>
        <w:jc w:val="left"/>
        <w:rPr>
          <w:sz w:val="13"/>
        </w:rPr>
      </w:pPr>
      <w:r>
        <w:rPr>
          <w:sz w:val="13"/>
        </w:rPr>
        <w:t>Rodolfo Monteleone, </w:t>
      </w:r>
      <w:r>
        <w:rPr>
          <w:i/>
          <w:sz w:val="13"/>
        </w:rPr>
        <w:t>Improving Efficiency and Effectiveness of the Victorian </w:t>
      </w:r>
      <w:r>
        <w:rPr>
          <w:i/>
          <w:spacing w:val="2"/>
          <w:sz w:val="13"/>
        </w:rPr>
        <w:t>Jury </w:t>
      </w:r>
      <w:r>
        <w:rPr>
          <w:i/>
          <w:sz w:val="13"/>
        </w:rPr>
        <w:t>System </w:t>
      </w:r>
      <w:r>
        <w:rPr>
          <w:spacing w:val="2"/>
          <w:sz w:val="13"/>
        </w:rPr>
        <w:t>(Report, </w:t>
      </w:r>
      <w:r>
        <w:rPr>
          <w:sz w:val="13"/>
        </w:rPr>
        <w:t>Winston Churchill Trust, 3 February 2012) </w:t>
      </w:r>
      <w:r>
        <w:rPr>
          <w:spacing w:val="3"/>
          <w:sz w:val="13"/>
        </w:rPr>
        <w:t>25. </w:t>
      </w:r>
      <w:r>
        <w:rPr>
          <w:sz w:val="13"/>
        </w:rPr>
        <w:t>This paper goes on to explore the </w:t>
      </w:r>
      <w:r>
        <w:rPr>
          <w:spacing w:val="2"/>
          <w:sz w:val="13"/>
        </w:rPr>
        <w:t>need </w:t>
      </w:r>
      <w:r>
        <w:rPr>
          <w:sz w:val="13"/>
        </w:rPr>
        <w:t>to protect the security and privacy of</w:t>
      </w:r>
      <w:r>
        <w:rPr>
          <w:spacing w:val="3"/>
          <w:sz w:val="13"/>
        </w:rPr>
        <w:t> </w:t>
      </w:r>
      <w:r>
        <w:rPr>
          <w:sz w:val="13"/>
        </w:rPr>
        <w:t>jurors.</w:t>
      </w:r>
    </w:p>
    <w:p>
      <w:pPr>
        <w:pStyle w:val="ListParagraph"/>
        <w:numPr>
          <w:ilvl w:val="0"/>
          <w:numId w:val="57"/>
        </w:numPr>
        <w:tabs>
          <w:tab w:pos="1760" w:val="left" w:leader="none"/>
          <w:tab w:pos="1762" w:val="left" w:leader="none"/>
        </w:tabs>
        <w:spacing w:line="213" w:lineRule="auto" w:before="0" w:after="0"/>
        <w:ind w:left="967" w:right="3325" w:firstLine="0"/>
        <w:jc w:val="left"/>
        <w:rPr>
          <w:sz w:val="13"/>
        </w:rPr>
      </w:pPr>
      <w:r>
        <w:rPr/>
        <w:pict>
          <v:shape style="position:absolute;margin-left:36pt;margin-top:3.39319pt;width:14.45pt;height:14.1pt;mso-position-horizontal-relative:page;mso-position-vertical-relative:paragraph;z-index:6232" type="#_x0000_t202" filled="false" stroked="false">
            <v:textbox inset="0,0,0,0">
              <w:txbxContent>
                <w:p>
                  <w:pPr>
                    <w:spacing w:line="282" w:lineRule="exact" w:before="0"/>
                    <w:ind w:left="0" w:right="0" w:firstLine="0"/>
                    <w:jc w:val="left"/>
                    <w:rPr>
                      <w:b/>
                      <w:sz w:val="24"/>
                    </w:rPr>
                  </w:pPr>
                  <w:r>
                    <w:rPr>
                      <w:b/>
                      <w:color w:val="37617A"/>
                      <w:spacing w:val="-2"/>
                      <w:sz w:val="24"/>
                    </w:rPr>
                    <w:t>68</w:t>
                  </w:r>
                </w:p>
              </w:txbxContent>
            </v:textbox>
            <w10:wrap type="none"/>
          </v:shape>
        </w:pict>
      </w:r>
      <w:r>
        <w:rPr>
          <w:spacing w:val="2"/>
          <w:sz w:val="13"/>
        </w:rPr>
        <w:t>Queensland </w:t>
      </w:r>
      <w:r>
        <w:rPr>
          <w:sz w:val="13"/>
        </w:rPr>
        <w:t>Law Reform </w:t>
      </w:r>
      <w:r>
        <w:rPr>
          <w:spacing w:val="2"/>
          <w:sz w:val="13"/>
        </w:rPr>
        <w:t>Commission, </w:t>
      </w:r>
      <w:r>
        <w:rPr>
          <w:i/>
          <w:sz w:val="13"/>
        </w:rPr>
        <w:t>A Review of </w:t>
      </w:r>
      <w:r>
        <w:rPr>
          <w:i/>
          <w:spacing w:val="2"/>
          <w:sz w:val="13"/>
        </w:rPr>
        <w:t>Jury </w:t>
      </w:r>
      <w:r>
        <w:rPr>
          <w:i/>
          <w:sz w:val="13"/>
        </w:rPr>
        <w:t>Selection </w:t>
      </w:r>
      <w:r>
        <w:rPr>
          <w:spacing w:val="2"/>
          <w:sz w:val="13"/>
        </w:rPr>
        <w:t>(Report </w:t>
      </w:r>
      <w:r>
        <w:rPr>
          <w:sz w:val="13"/>
        </w:rPr>
        <w:t>No 68, 2011) 68 </w:t>
      </w:r>
      <w:r>
        <w:rPr>
          <w:spacing w:val="3"/>
          <w:sz w:val="13"/>
        </w:rPr>
        <w:t>[5.26]. </w:t>
      </w:r>
      <w:r>
        <w:rPr>
          <w:sz w:val="13"/>
        </w:rPr>
        <w:t>32</w:t>
        <w:tab/>
        <w:t>Ibid 67 </w:t>
      </w:r>
      <w:r>
        <w:rPr>
          <w:spacing w:val="3"/>
          <w:sz w:val="13"/>
        </w:rPr>
        <w:t>[5.23].</w:t>
      </w:r>
    </w:p>
    <w:p>
      <w:pPr>
        <w:spacing w:after="0" w:line="213" w:lineRule="auto"/>
        <w:jc w:val="left"/>
        <w:rPr>
          <w:sz w:val="13"/>
        </w:rPr>
        <w:sectPr>
          <w:pgSz w:w="11910" w:h="16840"/>
          <w:pgMar w:header="567" w:footer="0" w:top="860" w:bottom="280" w:left="620" w:right="380"/>
        </w:sectPr>
      </w:pPr>
    </w:p>
    <w:p>
      <w:pPr>
        <w:pStyle w:val="BodyText"/>
        <w:rPr>
          <w:sz w:val="11"/>
        </w:rPr>
      </w:pPr>
      <w:r>
        <w:rPr/>
        <w:pict>
          <v:rect style="position:absolute;margin-left:0pt;margin-top:0pt;width:595.276001pt;height:841.890015pt;mso-position-horizontal-relative:page;mso-position-vertical-relative:page;z-index:-353896" filled="true" fillcolor="#37617a" stroked="false">
            <v:fill type="solid"/>
            <w10:wrap type="none"/>
          </v:rect>
        </w:pict>
      </w:r>
    </w:p>
    <w:p>
      <w:pPr>
        <w:spacing w:line="688" w:lineRule="exact" w:before="0"/>
        <w:ind w:left="0" w:right="745" w:firstLine="0"/>
        <w:jc w:val="right"/>
        <w:rPr>
          <w:rFonts w:ascii="Raleway SemiBold"/>
          <w:b/>
          <w:sz w:val="50"/>
        </w:rPr>
      </w:pPr>
      <w:r>
        <w:rPr/>
        <w:pict>
          <v:shape style="position:absolute;margin-left:407.84079pt;margin-top:-3.3143pt;width:143.4pt;height:152.65pt;mso-position-horizontal-relative:page;mso-position-vertical-relative:paragraph;z-index:-353872" type="#_x0000_t202" filled="false" stroked="false">
            <v:textbox inset="0,0,0,0">
              <w:txbxContent>
                <w:p>
                  <w:pPr>
                    <w:spacing w:line="3052" w:lineRule="exact" w:before="0"/>
                    <w:ind w:left="0" w:right="0" w:firstLine="0"/>
                    <w:jc w:val="left"/>
                    <w:rPr>
                      <w:b/>
                      <w:sz w:val="260"/>
                    </w:rPr>
                  </w:pPr>
                  <w:r>
                    <w:rPr>
                      <w:b/>
                      <w:color w:val="FFFFFF"/>
                      <w:spacing w:val="-130"/>
                      <w:sz w:val="260"/>
                    </w:rPr>
                    <w:t>09</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5"/>
        <w:rPr>
          <w:rFonts w:ascii="Raleway SemiBold"/>
          <w:b/>
          <w:sz w:val="17"/>
        </w:rPr>
      </w:pPr>
    </w:p>
    <w:p>
      <w:pPr>
        <w:spacing w:line="180" w:lineRule="auto" w:before="166"/>
        <w:ind w:left="967" w:right="1309" w:firstLine="0"/>
        <w:jc w:val="left"/>
        <w:rPr>
          <w:rFonts w:ascii="Raleway ExtraBold"/>
          <w:b/>
          <w:sz w:val="88"/>
        </w:rPr>
      </w:pPr>
      <w:r>
        <w:rPr>
          <w:rFonts w:ascii="Raleway ExtraBold"/>
          <w:b/>
          <w:color w:val="FFFFFF"/>
          <w:spacing w:val="-24"/>
          <w:sz w:val="88"/>
        </w:rPr>
        <w:t>Inclusive </w:t>
      </w:r>
      <w:r>
        <w:rPr>
          <w:rFonts w:ascii="Raleway ExtraBold"/>
          <w:b/>
          <w:color w:val="FFFFFF"/>
          <w:spacing w:val="-20"/>
          <w:sz w:val="88"/>
        </w:rPr>
        <w:t>juries </w:t>
      </w:r>
      <w:r>
        <w:rPr>
          <w:rFonts w:ascii="Raleway ExtraBold"/>
          <w:b/>
          <w:color w:val="FFFFFF"/>
          <w:spacing w:val="-14"/>
          <w:sz w:val="88"/>
        </w:rPr>
        <w:t>and </w:t>
      </w:r>
      <w:r>
        <w:rPr>
          <w:rFonts w:ascii="Raleway ExtraBold"/>
          <w:b/>
          <w:color w:val="FFFFFF"/>
          <w:spacing w:val="-15"/>
          <w:sz w:val="88"/>
        </w:rPr>
        <w:t>the </w:t>
      </w:r>
      <w:r>
        <w:rPr>
          <w:rFonts w:ascii="Raleway ExtraBold"/>
          <w:b/>
          <w:color w:val="FFFFFF"/>
          <w:spacing w:val="-22"/>
          <w:sz w:val="88"/>
        </w:rPr>
        <w:t>right </w:t>
      </w:r>
      <w:r>
        <w:rPr>
          <w:rFonts w:ascii="Raleway ExtraBold"/>
          <w:b/>
          <w:color w:val="FFFFFF"/>
          <w:spacing w:val="-16"/>
          <w:sz w:val="88"/>
        </w:rPr>
        <w:t>to </w:t>
      </w:r>
      <w:r>
        <w:rPr>
          <w:rFonts w:ascii="Raleway ExtraBold"/>
          <w:b/>
          <w:color w:val="FFFFFF"/>
          <w:sz w:val="88"/>
        </w:rPr>
        <w:t>a </w:t>
      </w:r>
      <w:r>
        <w:rPr>
          <w:rFonts w:ascii="Raleway ExtraBold"/>
          <w:b/>
          <w:color w:val="FFFFFF"/>
          <w:spacing w:val="-18"/>
          <w:sz w:val="88"/>
        </w:rPr>
        <w:t>fair</w:t>
      </w:r>
      <w:r>
        <w:rPr>
          <w:rFonts w:ascii="Raleway ExtraBold"/>
          <w:b/>
          <w:color w:val="FFFFFF"/>
          <w:spacing w:val="-73"/>
          <w:sz w:val="88"/>
        </w:rPr>
        <w:t> </w:t>
      </w:r>
      <w:r>
        <w:rPr>
          <w:rFonts w:ascii="Raleway ExtraBold"/>
          <w:b/>
          <w:color w:val="FFFFFF"/>
          <w:spacing w:val="-20"/>
          <w:sz w:val="88"/>
        </w:rPr>
        <w:t>trial</w:t>
      </w:r>
    </w:p>
    <w:p>
      <w:pPr>
        <w:pStyle w:val="BodyText"/>
        <w:rPr>
          <w:rFonts w:ascii="Raleway ExtraBold"/>
          <w:b/>
        </w:rPr>
      </w:pPr>
    </w:p>
    <w:p>
      <w:pPr>
        <w:pStyle w:val="BodyText"/>
        <w:rPr>
          <w:rFonts w:ascii="Raleway ExtraBold"/>
          <w:b/>
        </w:rPr>
      </w:pPr>
    </w:p>
    <w:p>
      <w:pPr>
        <w:pStyle w:val="BodyText"/>
        <w:spacing w:before="4"/>
        <w:rPr>
          <w:rFonts w:ascii="Raleway ExtraBold"/>
          <w:b/>
          <w:sz w:val="27"/>
        </w:rPr>
      </w:pPr>
    </w:p>
    <w:p>
      <w:pPr>
        <w:tabs>
          <w:tab w:pos="1534" w:val="left" w:leader="none"/>
        </w:tabs>
        <w:spacing w:before="49"/>
        <w:ind w:left="967" w:right="0" w:firstLine="0"/>
        <w:jc w:val="left"/>
        <w:rPr>
          <w:b/>
          <w:sz w:val="24"/>
        </w:rPr>
      </w:pPr>
      <w:r>
        <w:rPr/>
        <w:pict>
          <v:line style="position:absolute;mso-position-horizontal-relative:page;mso-position-vertical-relative:paragraph;z-index:4208;mso-wrap-distance-left:0;mso-wrap-distance-right:0" from="79.370102pt,22.967304pt" to="104.882102pt,22.967304pt" stroked="true" strokeweight="2pt" strokecolor="#8f9dad">
            <v:stroke dashstyle="solid"/>
            <w10:wrap type="topAndBottom"/>
          </v:line>
        </w:pict>
      </w:r>
      <w:hyperlink w:history="true" w:anchor="_bookmark56">
        <w:r>
          <w:rPr>
            <w:b/>
            <w:color w:val="FFFFFF"/>
            <w:spacing w:val="-4"/>
            <w:sz w:val="24"/>
          </w:rPr>
          <w:t>70</w:t>
          <w:tab/>
        </w:r>
        <w:r>
          <w:rPr>
            <w:b/>
            <w:color w:val="FFFFFF"/>
            <w:sz w:val="24"/>
          </w:rPr>
          <w:t>Overview</w:t>
        </w:r>
      </w:hyperlink>
    </w:p>
    <w:p>
      <w:pPr>
        <w:tabs>
          <w:tab w:pos="1534" w:val="left" w:leader="none"/>
        </w:tabs>
        <w:spacing w:before="14" w:after="57"/>
        <w:ind w:left="967" w:right="0" w:firstLine="0"/>
        <w:jc w:val="left"/>
        <w:rPr>
          <w:b/>
          <w:sz w:val="24"/>
        </w:rPr>
      </w:pPr>
      <w:hyperlink w:history="true" w:anchor="_bookmark56">
        <w:r>
          <w:rPr>
            <w:b/>
            <w:color w:val="FFFFFF"/>
            <w:spacing w:val="-4"/>
            <w:sz w:val="24"/>
          </w:rPr>
          <w:t>70</w:t>
          <w:tab/>
        </w:r>
        <w:r>
          <w:rPr>
            <w:b/>
            <w:color w:val="FFFFFF"/>
            <w:sz w:val="24"/>
          </w:rPr>
          <w:t>The right to a fair</w:t>
        </w:r>
        <w:r>
          <w:rPr>
            <w:b/>
            <w:color w:val="FFFFFF"/>
            <w:spacing w:val="-1"/>
            <w:sz w:val="24"/>
          </w:rPr>
          <w:t> </w:t>
        </w:r>
        <w:r>
          <w:rPr>
            <w:b/>
            <w:color w:val="FFFFFF"/>
            <w:sz w:val="24"/>
          </w:rPr>
          <w:t>trial</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tabs>
          <w:tab w:pos="1534" w:val="left" w:leader="none"/>
        </w:tabs>
        <w:spacing w:line="259" w:lineRule="auto" w:before="43"/>
        <w:ind w:left="1534" w:right="1444" w:hanging="567"/>
        <w:jc w:val="left"/>
        <w:rPr>
          <w:b/>
          <w:sz w:val="24"/>
        </w:rPr>
      </w:pPr>
      <w:r>
        <w:rPr/>
        <w:pict>
          <v:line style="position:absolute;mso-position-horizontal-relative:page;mso-position-vertical-relative:paragraph;z-index:4256;mso-wrap-distance-left:0;mso-wrap-distance-right:0" from="79.370102pt,40.667313pt" to="104.882102pt,40.667313pt" stroked="true" strokeweight="2pt" strokecolor="#8f9dad">
            <v:stroke dashstyle="solid"/>
            <w10:wrap type="topAndBottom"/>
          </v:line>
        </w:pict>
      </w:r>
      <w:hyperlink w:history="true" w:anchor="_bookmark58">
        <w:r>
          <w:rPr>
            <w:b/>
            <w:color w:val="FFFFFF"/>
            <w:sz w:val="24"/>
          </w:rPr>
          <w:t>72</w:t>
          <w:tab/>
          <w:t>Concerns</w:t>
        </w:r>
        <w:r>
          <w:rPr>
            <w:b/>
            <w:color w:val="FFFFFF"/>
            <w:spacing w:val="-6"/>
            <w:sz w:val="24"/>
          </w:rPr>
          <w:t> </w:t>
        </w:r>
        <w:r>
          <w:rPr>
            <w:b/>
            <w:color w:val="FFFFFF"/>
            <w:sz w:val="24"/>
          </w:rPr>
          <w:t>about</w:t>
        </w:r>
        <w:r>
          <w:rPr>
            <w:b/>
            <w:color w:val="FFFFFF"/>
            <w:spacing w:val="-6"/>
            <w:sz w:val="24"/>
          </w:rPr>
          <w:t> </w:t>
        </w:r>
        <w:r>
          <w:rPr>
            <w:b/>
            <w:color w:val="FFFFFF"/>
            <w:sz w:val="24"/>
          </w:rPr>
          <w:t>competency</w:t>
        </w:r>
        <w:r>
          <w:rPr>
            <w:b/>
            <w:color w:val="FFFFFF"/>
            <w:spacing w:val="-6"/>
            <w:sz w:val="24"/>
          </w:rPr>
          <w:t> </w:t>
        </w:r>
        <w:r>
          <w:rPr>
            <w:b/>
            <w:color w:val="FFFFFF"/>
            <w:sz w:val="24"/>
          </w:rPr>
          <w:t>and</w:t>
        </w:r>
        <w:r>
          <w:rPr>
            <w:b/>
            <w:color w:val="FFFFFF"/>
            <w:spacing w:val="-5"/>
            <w:sz w:val="24"/>
          </w:rPr>
          <w:t> </w:t>
        </w:r>
        <w:r>
          <w:rPr>
            <w:b/>
            <w:color w:val="FFFFFF"/>
            <w:sz w:val="24"/>
          </w:rPr>
          <w:t>the</w:t>
        </w:r>
        <w:r>
          <w:rPr>
            <w:b/>
            <w:color w:val="FFFFFF"/>
            <w:spacing w:val="-6"/>
            <w:sz w:val="24"/>
          </w:rPr>
          <w:t> </w:t>
        </w:r>
        <w:r>
          <w:rPr>
            <w:b/>
            <w:color w:val="FFFFFF"/>
            <w:sz w:val="24"/>
          </w:rPr>
          <w:t>impact</w:t>
        </w:r>
        <w:r>
          <w:rPr>
            <w:b/>
            <w:color w:val="FFFFFF"/>
            <w:spacing w:val="-6"/>
            <w:sz w:val="24"/>
          </w:rPr>
          <w:t> </w:t>
        </w:r>
        <w:r>
          <w:rPr>
            <w:b/>
            <w:color w:val="FFFFFF"/>
            <w:sz w:val="24"/>
          </w:rPr>
          <w:t>of</w:t>
        </w:r>
        <w:r>
          <w:rPr>
            <w:b/>
            <w:color w:val="FFFFFF"/>
            <w:spacing w:val="-6"/>
            <w:sz w:val="24"/>
          </w:rPr>
          <w:t> </w:t>
        </w:r>
        <w:r>
          <w:rPr>
            <w:b/>
            <w:color w:val="FFFFFF"/>
            <w:sz w:val="24"/>
          </w:rPr>
          <w:t>inclusive</w:t>
        </w:r>
        <w:r>
          <w:rPr>
            <w:b/>
            <w:color w:val="FFFFFF"/>
            <w:spacing w:val="-5"/>
            <w:sz w:val="24"/>
          </w:rPr>
          <w:t> </w:t>
        </w:r>
        <w:r>
          <w:rPr>
            <w:b/>
            <w:color w:val="FFFFFF"/>
            <w:sz w:val="24"/>
          </w:rPr>
          <w:t>juries</w:t>
        </w:r>
        <w:r>
          <w:rPr>
            <w:b/>
            <w:color w:val="FFFFFF"/>
            <w:spacing w:val="-6"/>
            <w:sz w:val="24"/>
          </w:rPr>
          <w:t> </w:t>
        </w:r>
        <w:r>
          <w:rPr>
            <w:b/>
            <w:color w:val="FFFFFF"/>
            <w:sz w:val="24"/>
          </w:rPr>
          <w:t>on</w:t>
        </w:r>
        <w:r>
          <w:rPr>
            <w:b/>
            <w:color w:val="FFFFFF"/>
            <w:spacing w:val="-6"/>
            <w:sz w:val="24"/>
          </w:rPr>
          <w:t> </w:t>
        </w:r>
        <w:r>
          <w:rPr>
            <w:b/>
            <w:color w:val="FFFFFF"/>
            <w:sz w:val="24"/>
          </w:rPr>
          <w:t>fair</w:t>
        </w:r>
      </w:hyperlink>
      <w:hyperlink w:history="true" w:anchor="_bookmark58">
        <w:r>
          <w:rPr>
            <w:b/>
            <w:color w:val="FFFFFF"/>
            <w:sz w:val="24"/>
          </w:rPr>
          <w:t> trials</w:t>
        </w:r>
      </w:hyperlink>
    </w:p>
    <w:p>
      <w:pPr>
        <w:tabs>
          <w:tab w:pos="1534" w:val="left" w:leader="none"/>
        </w:tabs>
        <w:spacing w:before="14" w:after="57"/>
        <w:ind w:left="967" w:right="0" w:firstLine="0"/>
        <w:jc w:val="left"/>
        <w:rPr>
          <w:b/>
          <w:sz w:val="24"/>
        </w:rPr>
      </w:pPr>
      <w:hyperlink w:history="true" w:anchor="_bookmark62">
        <w:r>
          <w:rPr>
            <w:b/>
            <w:color w:val="FFFFFF"/>
            <w:sz w:val="24"/>
          </w:rPr>
          <w:t>80</w:t>
          <w:tab/>
          <w:t>Addressing misconceptions about</w:t>
        </w:r>
        <w:r>
          <w:rPr>
            <w:b/>
            <w:color w:val="FFFFFF"/>
            <w:spacing w:val="-2"/>
            <w:sz w:val="24"/>
          </w:rPr>
          <w:t> </w:t>
        </w:r>
        <w:r>
          <w:rPr>
            <w:b/>
            <w:color w:val="FFFFFF"/>
            <w:sz w:val="24"/>
          </w:rPr>
          <w:t>competency</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tabs>
          <w:tab w:pos="1534" w:val="left" w:leader="none"/>
        </w:tabs>
        <w:spacing w:before="43"/>
        <w:ind w:left="967" w:right="0" w:firstLine="0"/>
        <w:jc w:val="left"/>
        <w:rPr>
          <w:b/>
          <w:sz w:val="24"/>
        </w:rPr>
      </w:pPr>
      <w:r>
        <w:rPr/>
        <w:pict>
          <v:line style="position:absolute;mso-position-horizontal-relative:page;mso-position-vertical-relative:paragraph;z-index:4304;mso-wrap-distance-left:0;mso-wrap-distance-right:0" from="79.370102pt,22.667189pt" to="104.882102pt,22.667189pt" stroked="true" strokeweight="2pt" strokecolor="#8f9dad">
            <v:stroke dashstyle="solid"/>
            <w10:wrap type="topAndBottom"/>
          </v:line>
        </w:pict>
      </w:r>
      <w:hyperlink w:history="true" w:anchor="_bookmark64">
        <w:r>
          <w:rPr>
            <w:b/>
            <w:color w:val="FFFFFF"/>
            <w:sz w:val="24"/>
          </w:rPr>
          <w:t>82</w:t>
          <w:tab/>
          <w:t>When might jury service not be</w:t>
        </w:r>
        <w:r>
          <w:rPr>
            <w:b/>
            <w:color w:val="FFFFFF"/>
            <w:spacing w:val="-2"/>
            <w:sz w:val="24"/>
          </w:rPr>
          <w:t> </w:t>
        </w:r>
        <w:r>
          <w:rPr>
            <w:b/>
            <w:color w:val="FFFFFF"/>
            <w:sz w:val="24"/>
          </w:rPr>
          <w:t>possible?</w:t>
        </w:r>
      </w:hyperlink>
    </w:p>
    <w:p>
      <w:pPr>
        <w:tabs>
          <w:tab w:pos="1534" w:val="left" w:leader="none"/>
        </w:tabs>
        <w:spacing w:before="14" w:after="57"/>
        <w:ind w:left="967" w:right="0" w:firstLine="0"/>
        <w:jc w:val="left"/>
        <w:rPr>
          <w:b/>
          <w:sz w:val="24"/>
        </w:rPr>
      </w:pPr>
      <w:hyperlink w:history="true" w:anchor="_bookmark65">
        <w:r>
          <w:rPr>
            <w:b/>
            <w:color w:val="FFFFFF"/>
            <w:sz w:val="24"/>
          </w:rPr>
          <w:t>85</w:t>
          <w:tab/>
          <w:t>Safeguards can protect the right to a fair</w:t>
        </w:r>
        <w:r>
          <w:rPr>
            <w:b/>
            <w:color w:val="FFFFFF"/>
            <w:spacing w:val="-5"/>
            <w:sz w:val="24"/>
          </w:rPr>
          <w:t> </w:t>
        </w:r>
        <w:r>
          <w:rPr>
            <w:b/>
            <w:color w:val="FFFFFF"/>
            <w:sz w:val="24"/>
          </w:rPr>
          <w:t>trial</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spacing w:after="0" w:line="40" w:lineRule="exact"/>
        <w:rPr>
          <w:sz w:val="4"/>
        </w:rPr>
        <w:sectPr>
          <w:headerReference w:type="default" r:id="rId140"/>
          <w:headerReference w:type="even" r:id="rId141"/>
          <w:pgSz w:w="11910" w:h="16840"/>
          <w:pgMar w:header="0" w:footer="0" w:top="480" w:bottom="280" w:left="620" w:right="380"/>
        </w:sectPr>
      </w:pPr>
    </w:p>
    <w:p>
      <w:pPr>
        <w:pStyle w:val="BodyText"/>
        <w:rPr>
          <w:b/>
        </w:rPr>
      </w:pPr>
      <w:r>
        <w:rPr/>
        <w:pict>
          <v:rect style="position:absolute;margin-left:0pt;margin-top:99.213013pt;width:14.173pt;height:85.748pt;mso-position-horizontal-relative:page;mso-position-vertical-relative:page;z-index:6520" filled="true" fillcolor="#37617a" stroked="false">
            <v:fill type="solid"/>
            <w10:wrap type="none"/>
          </v:rect>
        </w:pict>
      </w:r>
    </w:p>
    <w:p>
      <w:pPr>
        <w:pStyle w:val="BodyText"/>
        <w:rPr>
          <w:b/>
        </w:rPr>
      </w:pPr>
    </w:p>
    <w:p>
      <w:pPr>
        <w:pStyle w:val="BodyText"/>
        <w:spacing w:before="4"/>
        <w:rPr>
          <w:b/>
          <w:sz w:val="22"/>
        </w:rPr>
      </w:pPr>
    </w:p>
    <w:p>
      <w:pPr>
        <w:pStyle w:val="Heading1"/>
        <w:numPr>
          <w:ilvl w:val="0"/>
          <w:numId w:val="12"/>
        </w:numPr>
        <w:tabs>
          <w:tab w:pos="835" w:val="left" w:leader="none"/>
        </w:tabs>
        <w:spacing w:line="184" w:lineRule="auto" w:before="129" w:after="0"/>
        <w:ind w:left="230" w:right="2453" w:firstLine="0"/>
        <w:jc w:val="left"/>
        <w:rPr>
          <w:b/>
        </w:rPr>
      </w:pPr>
      <w:bookmarkStart w:name="9. Inclusive juries and the right to a f" w:id="145"/>
      <w:bookmarkEnd w:id="145"/>
      <w:r>
        <w:rPr>
          <w:b w:val="0"/>
        </w:rPr>
      </w:r>
      <w:bookmarkStart w:name="Overview" w:id="146"/>
      <w:bookmarkEnd w:id="146"/>
      <w:r>
        <w:rPr>
          <w:b w:val="0"/>
        </w:rPr>
      </w:r>
      <w:bookmarkStart w:name="The right to a fair trial" w:id="147"/>
      <w:bookmarkEnd w:id="147"/>
      <w:r>
        <w:rPr>
          <w:b w:val="0"/>
        </w:rPr>
      </w:r>
      <w:bookmarkStart w:name="_bookmark56" w:id="148"/>
      <w:bookmarkEnd w:id="148"/>
      <w:r>
        <w:rPr>
          <w:b w:val="0"/>
        </w:rPr>
      </w:r>
      <w:bookmarkStart w:name="_bookmark56" w:id="149"/>
      <w:bookmarkEnd w:id="149"/>
      <w:r>
        <w:rPr>
          <w:b/>
          <w:color w:val="37617A"/>
          <w:spacing w:val="-6"/>
        </w:rPr>
        <w:t>I</w:t>
      </w:r>
      <w:r>
        <w:rPr>
          <w:b/>
          <w:color w:val="37617A"/>
          <w:spacing w:val="-6"/>
        </w:rPr>
        <w:t>nclusive </w:t>
      </w:r>
      <w:r>
        <w:rPr>
          <w:b/>
          <w:color w:val="37617A"/>
          <w:spacing w:val="-4"/>
        </w:rPr>
        <w:t>juries </w:t>
      </w:r>
      <w:r>
        <w:rPr>
          <w:b/>
          <w:color w:val="37617A"/>
        </w:rPr>
        <w:t>and </w:t>
      </w:r>
      <w:r>
        <w:rPr>
          <w:b/>
          <w:color w:val="37617A"/>
          <w:spacing w:val="-3"/>
        </w:rPr>
        <w:t>the </w:t>
      </w:r>
      <w:r>
        <w:rPr>
          <w:b/>
          <w:color w:val="37617A"/>
          <w:spacing w:val="-5"/>
        </w:rPr>
        <w:t>right to </w:t>
      </w:r>
      <w:r>
        <w:rPr>
          <w:b/>
          <w:color w:val="37617A"/>
        </w:rPr>
        <w:t>a </w:t>
      </w:r>
      <w:r>
        <w:rPr>
          <w:b/>
          <w:color w:val="37617A"/>
          <w:spacing w:val="-4"/>
        </w:rPr>
        <w:t>fair</w:t>
      </w:r>
      <w:r>
        <w:rPr>
          <w:b/>
          <w:color w:val="37617A"/>
          <w:spacing w:val="5"/>
        </w:rPr>
        <w:t> </w:t>
      </w:r>
      <w:r>
        <w:rPr>
          <w:b/>
          <w:color w:val="37617A"/>
          <w:spacing w:val="-4"/>
        </w:rPr>
        <w:t>trial</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1"/>
        <w:rPr>
          <w:rFonts w:ascii="Raleway ExtraBold"/>
          <w:b/>
          <w:sz w:val="17"/>
        </w:rPr>
      </w:pPr>
      <w:r>
        <w:rPr/>
        <w:pict>
          <v:line style="position:absolute;mso-position-horizontal-relative:page;mso-position-vertical-relative:paragraph;z-index:4400;mso-wrap-distance-left:0;mso-wrap-distance-right:0" from="79.370102pt,14.57084pt" to="515.905102pt,14.57084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1806" w:right="2044" w:firstLine="0"/>
        <w:jc w:val="center"/>
        <w:rPr>
          <w:rFonts w:ascii="Trebuchet MS" w:hAnsi="Trebuchet MS"/>
          <w:sz w:val="19"/>
        </w:rPr>
      </w:pPr>
      <w:r>
        <w:rPr>
          <w:rFonts w:ascii="Trebuchet MS" w:hAnsi="Trebuchet MS"/>
          <w:i/>
          <w:color w:val="37617A"/>
          <w:sz w:val="20"/>
        </w:rPr>
        <w:t>The</w:t>
      </w:r>
      <w:r>
        <w:rPr>
          <w:rFonts w:ascii="Trebuchet MS" w:hAnsi="Trebuchet MS"/>
          <w:i/>
          <w:color w:val="37617A"/>
          <w:spacing w:val="-8"/>
          <w:sz w:val="20"/>
        </w:rPr>
        <w:t> </w:t>
      </w:r>
      <w:r>
        <w:rPr>
          <w:rFonts w:ascii="Trebuchet MS" w:hAnsi="Trebuchet MS"/>
          <w:i/>
          <w:color w:val="37617A"/>
          <w:sz w:val="20"/>
        </w:rPr>
        <w:t>Court</w:t>
      </w:r>
      <w:r>
        <w:rPr>
          <w:rFonts w:ascii="Trebuchet MS" w:hAnsi="Trebuchet MS"/>
          <w:i/>
          <w:color w:val="37617A"/>
          <w:spacing w:val="-7"/>
          <w:sz w:val="20"/>
        </w:rPr>
        <w:t> </w:t>
      </w:r>
      <w:r>
        <w:rPr>
          <w:rFonts w:ascii="Trebuchet MS" w:hAnsi="Trebuchet MS"/>
          <w:i/>
          <w:color w:val="37617A"/>
          <w:sz w:val="20"/>
        </w:rPr>
        <w:t>considers</w:t>
      </w:r>
      <w:r>
        <w:rPr>
          <w:rFonts w:ascii="Trebuchet MS" w:hAnsi="Trebuchet MS"/>
          <w:i/>
          <w:color w:val="37617A"/>
          <w:spacing w:val="-8"/>
          <w:sz w:val="20"/>
        </w:rPr>
        <w:t> </w:t>
      </w:r>
      <w:r>
        <w:rPr>
          <w:rFonts w:ascii="Trebuchet MS" w:hAnsi="Trebuchet MS"/>
          <w:i/>
          <w:color w:val="37617A"/>
          <w:sz w:val="20"/>
        </w:rPr>
        <w:t>that supporting</w:t>
      </w:r>
      <w:r>
        <w:rPr>
          <w:rFonts w:ascii="Trebuchet MS" w:hAnsi="Trebuchet MS"/>
          <w:i/>
          <w:color w:val="37617A"/>
          <w:spacing w:val="-8"/>
          <w:sz w:val="20"/>
        </w:rPr>
        <w:t> </w:t>
      </w:r>
      <w:r>
        <w:rPr>
          <w:rFonts w:ascii="Trebuchet MS" w:hAnsi="Trebuchet MS"/>
          <w:i/>
          <w:color w:val="37617A"/>
          <w:sz w:val="20"/>
        </w:rPr>
        <w:t>people</w:t>
      </w:r>
      <w:r>
        <w:rPr>
          <w:rFonts w:ascii="Trebuchet MS" w:hAnsi="Trebuchet MS"/>
          <w:i/>
          <w:color w:val="37617A"/>
          <w:spacing w:val="-11"/>
          <w:sz w:val="20"/>
        </w:rPr>
        <w:t> </w:t>
      </w:r>
      <w:r>
        <w:rPr>
          <w:rFonts w:ascii="Trebuchet MS" w:hAnsi="Trebuchet MS"/>
          <w:i/>
          <w:color w:val="37617A"/>
          <w:sz w:val="20"/>
        </w:rPr>
        <w:t>in</w:t>
      </w:r>
      <w:r>
        <w:rPr>
          <w:rFonts w:ascii="Trebuchet MS" w:hAnsi="Trebuchet MS"/>
          <w:i/>
          <w:color w:val="37617A"/>
          <w:spacing w:val="-10"/>
          <w:sz w:val="20"/>
        </w:rPr>
        <w:t> </w:t>
      </w:r>
      <w:r>
        <w:rPr>
          <w:rFonts w:ascii="Trebuchet MS" w:hAnsi="Trebuchet MS"/>
          <w:i/>
          <w:color w:val="37617A"/>
          <w:sz w:val="20"/>
        </w:rPr>
        <w:t>the</w:t>
      </w:r>
      <w:r>
        <w:rPr>
          <w:rFonts w:ascii="Trebuchet MS" w:hAnsi="Trebuchet MS"/>
          <w:i/>
          <w:color w:val="37617A"/>
          <w:spacing w:val="-8"/>
          <w:sz w:val="20"/>
        </w:rPr>
        <w:t> </w:t>
      </w:r>
      <w:r>
        <w:rPr>
          <w:rFonts w:ascii="Trebuchet MS" w:hAnsi="Trebuchet MS"/>
          <w:i/>
          <w:color w:val="37617A"/>
          <w:sz w:val="20"/>
        </w:rPr>
        <w:t>subject</w:t>
      </w:r>
      <w:r>
        <w:rPr>
          <w:rFonts w:ascii="Trebuchet MS" w:hAnsi="Trebuchet MS"/>
          <w:i/>
          <w:color w:val="37617A"/>
          <w:spacing w:val="-7"/>
          <w:sz w:val="20"/>
        </w:rPr>
        <w:t> </w:t>
      </w:r>
      <w:r>
        <w:rPr>
          <w:rFonts w:ascii="Trebuchet MS" w:hAnsi="Trebuchet MS"/>
          <w:i/>
          <w:color w:val="37617A"/>
          <w:sz w:val="20"/>
        </w:rPr>
        <w:t>groups</w:t>
      </w:r>
      <w:r>
        <w:rPr>
          <w:rFonts w:ascii="Trebuchet MS" w:hAnsi="Trebuchet MS"/>
          <w:i/>
          <w:color w:val="37617A"/>
          <w:spacing w:val="-8"/>
          <w:sz w:val="20"/>
        </w:rPr>
        <w:t> </w:t>
      </w:r>
      <w:r>
        <w:rPr>
          <w:rFonts w:ascii="Trebuchet MS" w:hAnsi="Trebuchet MS"/>
          <w:i/>
          <w:color w:val="37617A"/>
          <w:sz w:val="20"/>
        </w:rPr>
        <w:t>to</w:t>
      </w:r>
      <w:r>
        <w:rPr>
          <w:rFonts w:ascii="Trebuchet MS" w:hAnsi="Trebuchet MS"/>
          <w:i/>
          <w:color w:val="37617A"/>
          <w:spacing w:val="-7"/>
          <w:sz w:val="20"/>
        </w:rPr>
        <w:t> </w:t>
      </w:r>
      <w:r>
        <w:rPr>
          <w:rFonts w:ascii="Trebuchet MS" w:hAnsi="Trebuchet MS"/>
          <w:i/>
          <w:color w:val="37617A"/>
          <w:sz w:val="20"/>
        </w:rPr>
        <w:t>serve</w:t>
      </w:r>
      <w:r>
        <w:rPr>
          <w:rFonts w:ascii="Trebuchet MS" w:hAnsi="Trebuchet MS"/>
          <w:i/>
          <w:color w:val="37617A"/>
          <w:spacing w:val="-13"/>
          <w:sz w:val="20"/>
        </w:rPr>
        <w:t> </w:t>
      </w:r>
      <w:r>
        <w:rPr>
          <w:rFonts w:ascii="Trebuchet MS" w:hAnsi="Trebuchet MS"/>
          <w:i/>
          <w:color w:val="37617A"/>
          <w:sz w:val="20"/>
        </w:rPr>
        <w:t>as </w:t>
      </w:r>
      <w:r>
        <w:rPr>
          <w:rFonts w:ascii="Trebuchet MS" w:hAnsi="Trebuchet MS"/>
          <w:i/>
          <w:color w:val="37617A"/>
          <w:spacing w:val="3"/>
          <w:w w:val="63"/>
          <w:sz w:val="20"/>
        </w:rPr>
        <w:t>j</w:t>
      </w:r>
      <w:r>
        <w:rPr>
          <w:rFonts w:ascii="Trebuchet MS" w:hAnsi="Trebuchet MS"/>
          <w:i/>
          <w:color w:val="37617A"/>
          <w:spacing w:val="2"/>
          <w:w w:val="103"/>
          <w:sz w:val="20"/>
        </w:rPr>
        <w:t>u</w:t>
      </w:r>
      <w:r>
        <w:rPr>
          <w:rFonts w:ascii="Trebuchet MS" w:hAnsi="Trebuchet MS"/>
          <w:i/>
          <w:color w:val="37617A"/>
          <w:spacing w:val="-1"/>
          <w:w w:val="84"/>
          <w:sz w:val="20"/>
        </w:rPr>
        <w:t>r</w:t>
      </w:r>
      <w:r>
        <w:rPr>
          <w:rFonts w:ascii="Trebuchet MS" w:hAnsi="Trebuchet MS"/>
          <w:i/>
          <w:color w:val="37617A"/>
          <w:spacing w:val="3"/>
          <w:w w:val="107"/>
          <w:sz w:val="20"/>
        </w:rPr>
        <w:t>o</w:t>
      </w:r>
      <w:r>
        <w:rPr>
          <w:rFonts w:ascii="Trebuchet MS" w:hAnsi="Trebuchet MS"/>
          <w:i/>
          <w:color w:val="37617A"/>
          <w:spacing w:val="2"/>
          <w:w w:val="84"/>
          <w:sz w:val="20"/>
        </w:rPr>
        <w:t>r</w:t>
      </w:r>
      <w:r>
        <w:rPr>
          <w:rFonts w:ascii="Trebuchet MS" w:hAnsi="Trebuchet MS"/>
          <w:i/>
          <w:color w:val="37617A"/>
          <w:spacing w:val="5"/>
          <w:w w:val="117"/>
          <w:sz w:val="20"/>
        </w:rPr>
        <w:t>s</w:t>
      </w:r>
      <w:r>
        <w:rPr>
          <w:rFonts w:ascii="Trebuchet MS" w:hAnsi="Trebuchet MS"/>
          <w:i/>
          <w:color w:val="37617A"/>
          <w:w w:val="56"/>
          <w:sz w:val="20"/>
        </w:rPr>
        <w:t>,</w:t>
      </w:r>
      <w:r>
        <w:rPr>
          <w:rFonts w:ascii="Trebuchet MS" w:hAnsi="Trebuchet MS"/>
          <w:i/>
          <w:color w:val="37617A"/>
          <w:spacing w:val="-8"/>
          <w:sz w:val="20"/>
        </w:rPr>
        <w:t> </w:t>
      </w:r>
      <w:r>
        <w:rPr>
          <w:rFonts w:ascii="Trebuchet MS" w:hAnsi="Trebuchet MS"/>
          <w:i/>
          <w:color w:val="37617A"/>
          <w:spacing w:val="-3"/>
          <w:w w:val="103"/>
          <w:sz w:val="20"/>
        </w:rPr>
        <w:t>w</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1"/>
          <w:w w:val="117"/>
          <w:sz w:val="20"/>
        </w:rPr>
        <w:t>s</w:t>
      </w:r>
      <w:r>
        <w:rPr>
          <w:rFonts w:ascii="Trebuchet MS" w:hAnsi="Trebuchet MS"/>
          <w:i/>
          <w:color w:val="37617A"/>
          <w:w w:val="73"/>
          <w:sz w:val="20"/>
        </w:rPr>
        <w:t>i</w:t>
      </w:r>
      <w:r>
        <w:rPr>
          <w:rFonts w:ascii="Trebuchet MS" w:hAnsi="Trebuchet MS"/>
          <w:i/>
          <w:color w:val="37617A"/>
          <w:spacing w:val="-1"/>
          <w:w w:val="117"/>
          <w:sz w:val="20"/>
        </w:rPr>
        <w:t>s</w:t>
      </w:r>
      <w:r>
        <w:rPr>
          <w:rFonts w:ascii="Trebuchet MS" w:hAnsi="Trebuchet MS"/>
          <w:i/>
          <w:color w:val="37617A"/>
          <w:spacing w:val="-5"/>
          <w:w w:val="80"/>
          <w:sz w:val="20"/>
        </w:rPr>
        <w:t>t</w:t>
      </w:r>
      <w:r>
        <w:rPr>
          <w:rFonts w:ascii="Trebuchet MS" w:hAnsi="Trebuchet MS"/>
          <w:i/>
          <w:color w:val="37617A"/>
          <w:spacing w:val="1"/>
          <w:w w:val="100"/>
          <w:sz w:val="20"/>
        </w:rPr>
        <w:t>e</w:t>
      </w:r>
      <w:r>
        <w:rPr>
          <w:rFonts w:ascii="Trebuchet MS" w:hAnsi="Trebuchet MS"/>
          <w:i/>
          <w:color w:val="37617A"/>
          <w:spacing w:val="-2"/>
          <w:w w:val="103"/>
          <w:sz w:val="20"/>
        </w:rPr>
        <w:t>n</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spacing w:val="-1"/>
          <w:w w:val="73"/>
          <w:sz w:val="20"/>
        </w:rPr>
        <w:t>i</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a</w:t>
      </w:r>
      <w:r>
        <w:rPr>
          <w:rFonts w:ascii="Trebuchet MS" w:hAnsi="Trebuchet MS"/>
          <w:i/>
          <w:color w:val="37617A"/>
          <w:spacing w:val="-1"/>
          <w:w w:val="115"/>
          <w:sz w:val="20"/>
        </w:rPr>
        <w:t>c</w:t>
      </w:r>
      <w:r>
        <w:rPr>
          <w:rFonts w:ascii="Trebuchet MS" w:hAnsi="Trebuchet MS"/>
          <w:i/>
          <w:color w:val="37617A"/>
          <w:w w:val="115"/>
          <w:sz w:val="20"/>
        </w:rPr>
        <w:t>c</w:t>
      </w:r>
      <w:r>
        <w:rPr>
          <w:rFonts w:ascii="Trebuchet MS" w:hAnsi="Trebuchet MS"/>
          <w:i/>
          <w:color w:val="37617A"/>
          <w:w w:val="103"/>
          <w:sz w:val="20"/>
        </w:rPr>
        <w:t>u</w:t>
      </w:r>
      <w:r>
        <w:rPr>
          <w:rFonts w:ascii="Trebuchet MS" w:hAnsi="Trebuchet MS"/>
          <w:i/>
          <w:color w:val="37617A"/>
          <w:spacing w:val="-2"/>
          <w:w w:val="117"/>
          <w:sz w:val="20"/>
        </w:rPr>
        <w:t>s</w:t>
      </w:r>
      <w:r>
        <w:rPr>
          <w:rFonts w:ascii="Trebuchet MS" w:hAnsi="Trebuchet MS"/>
          <w:i/>
          <w:color w:val="37617A"/>
          <w:w w:val="100"/>
          <w:sz w:val="20"/>
        </w:rPr>
        <w:t>e</w:t>
      </w:r>
      <w:r>
        <w:rPr>
          <w:rFonts w:ascii="Trebuchet MS" w:hAnsi="Trebuchet MS"/>
          <w:i/>
          <w:color w:val="37617A"/>
          <w:spacing w:val="-1"/>
          <w:w w:val="108"/>
          <w:sz w:val="20"/>
        </w:rPr>
        <w:t>d</w:t>
      </w:r>
      <w:r>
        <w:rPr>
          <w:rFonts w:ascii="Trebuchet MS" w:hAnsi="Trebuchet MS"/>
          <w:i/>
          <w:color w:val="37617A"/>
          <w:spacing w:val="-1"/>
          <w:w w:val="54"/>
          <w:sz w:val="20"/>
        </w:rPr>
        <w:t>’</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2"/>
          <w:w w:val="84"/>
          <w:sz w:val="20"/>
        </w:rPr>
        <w:t>r</w:t>
      </w:r>
      <w:r>
        <w:rPr>
          <w:rFonts w:ascii="Trebuchet MS" w:hAnsi="Trebuchet MS"/>
          <w:i/>
          <w:color w:val="37617A"/>
          <w:spacing w:val="-1"/>
          <w:w w:val="73"/>
          <w:sz w:val="20"/>
        </w:rPr>
        <w:t>i</w:t>
      </w:r>
      <w:r>
        <w:rPr>
          <w:rFonts w:ascii="Trebuchet MS" w:hAnsi="Trebuchet MS"/>
          <w:i/>
          <w:color w:val="37617A"/>
          <w:w w:val="119"/>
          <w:sz w:val="20"/>
        </w:rPr>
        <w:t>g</w:t>
      </w:r>
      <w:r>
        <w:rPr>
          <w:rFonts w:ascii="Trebuchet MS" w:hAnsi="Trebuchet MS"/>
          <w:i/>
          <w:color w:val="37617A"/>
          <w:spacing w:val="-2"/>
          <w:w w:val="101"/>
          <w:sz w:val="20"/>
        </w:rPr>
        <w:t>h</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3"/>
          <w:sz w:val="20"/>
        </w:rPr>
        <w:t> </w:t>
      </w:r>
      <w:r>
        <w:rPr>
          <w:rFonts w:ascii="Trebuchet MS" w:hAnsi="Trebuchet MS"/>
          <w:i/>
          <w:color w:val="37617A"/>
          <w:spacing w:val="-4"/>
          <w:w w:val="83"/>
          <w:sz w:val="20"/>
        </w:rPr>
        <w:t>f</w:t>
      </w:r>
      <w:r>
        <w:rPr>
          <w:rFonts w:ascii="Trebuchet MS" w:hAnsi="Trebuchet MS"/>
          <w:i/>
          <w:color w:val="37617A"/>
          <w:w w:val="115"/>
          <w:sz w:val="20"/>
        </w:rPr>
        <w:t>a</w:t>
      </w:r>
      <w:r>
        <w:rPr>
          <w:rFonts w:ascii="Trebuchet MS" w:hAnsi="Trebuchet MS"/>
          <w:i/>
          <w:color w:val="37617A"/>
          <w:w w:val="73"/>
          <w:sz w:val="20"/>
        </w:rPr>
        <w:t>i</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w w:val="115"/>
          <w:sz w:val="20"/>
        </w:rPr>
        <w:t>a</w:t>
      </w:r>
      <w:r>
        <w:rPr>
          <w:rFonts w:ascii="Trebuchet MS" w:hAnsi="Trebuchet MS"/>
          <w:i/>
          <w:color w:val="37617A"/>
          <w:spacing w:val="3"/>
          <w:w w:val="87"/>
          <w:sz w:val="20"/>
        </w:rPr>
        <w:t>l</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spacing w:val="-3"/>
          <w:w w:val="87"/>
          <w:sz w:val="20"/>
        </w:rPr>
        <w:t>l</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spacing w:val="-1"/>
          <w:w w:val="115"/>
          <w:sz w:val="20"/>
        </w:rPr>
        <w:t>a</w:t>
      </w:r>
      <w:r>
        <w:rPr>
          <w:rFonts w:ascii="Trebuchet MS" w:hAnsi="Trebuchet MS"/>
          <w:i/>
          <w:color w:val="37617A"/>
          <w:spacing w:val="-2"/>
          <w:w w:val="108"/>
          <w:sz w:val="20"/>
        </w:rPr>
        <w:t>d</w:t>
      </w:r>
      <w:r>
        <w:rPr>
          <w:rFonts w:ascii="Trebuchet MS" w:hAnsi="Trebuchet MS"/>
          <w:i/>
          <w:color w:val="37617A"/>
          <w:spacing w:val="-3"/>
          <w:w w:val="103"/>
          <w:sz w:val="20"/>
        </w:rPr>
        <w:t>v</w:t>
      </w:r>
      <w:r>
        <w:rPr>
          <w:rFonts w:ascii="Trebuchet MS" w:hAnsi="Trebuchet MS"/>
          <w:i/>
          <w:color w:val="37617A"/>
          <w:w w:val="115"/>
          <w:sz w:val="20"/>
        </w:rPr>
        <w:t>a</w:t>
      </w:r>
      <w:r>
        <w:rPr>
          <w:rFonts w:ascii="Trebuchet MS" w:hAnsi="Trebuchet MS"/>
          <w:i/>
          <w:color w:val="37617A"/>
          <w:spacing w:val="-1"/>
          <w:w w:val="103"/>
          <w:sz w:val="20"/>
        </w:rPr>
        <w:t>n</w:t>
      </w:r>
      <w:r>
        <w:rPr>
          <w:rFonts w:ascii="Trebuchet MS" w:hAnsi="Trebuchet MS"/>
          <w:i/>
          <w:color w:val="37617A"/>
          <w:spacing w:val="-1"/>
          <w:w w:val="115"/>
          <w:sz w:val="20"/>
        </w:rPr>
        <w:t>c</w:t>
      </w:r>
      <w:r>
        <w:rPr>
          <w:rFonts w:ascii="Trebuchet MS" w:hAnsi="Trebuchet MS"/>
          <w:i/>
          <w:color w:val="37617A"/>
          <w:w w:val="100"/>
          <w:sz w:val="20"/>
        </w:rPr>
        <w:t>e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w w:val="107"/>
          <w:sz w:val="20"/>
        </w:rPr>
        <w:t>p</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2"/>
          <w:w w:val="117"/>
          <w:sz w:val="20"/>
        </w:rPr>
        <w:t>s</w:t>
      </w:r>
      <w:r>
        <w:rPr>
          <w:rFonts w:ascii="Trebuchet MS" w:hAnsi="Trebuchet MS"/>
          <w:i/>
          <w:color w:val="37617A"/>
          <w:spacing w:val="1"/>
          <w:w w:val="100"/>
          <w:sz w:val="20"/>
        </w:rPr>
        <w:t>e</w:t>
      </w:r>
      <w:r>
        <w:rPr>
          <w:rFonts w:ascii="Trebuchet MS" w:hAnsi="Trebuchet MS"/>
          <w:i/>
          <w:color w:val="37617A"/>
          <w:spacing w:val="-2"/>
          <w:w w:val="103"/>
          <w:sz w:val="20"/>
        </w:rPr>
        <w:t>n</w:t>
      </w:r>
      <w:r>
        <w:rPr>
          <w:rFonts w:ascii="Trebuchet MS" w:hAnsi="Trebuchet MS"/>
          <w:i/>
          <w:color w:val="37617A"/>
          <w:spacing w:val="-4"/>
          <w:w w:val="80"/>
          <w:sz w:val="20"/>
        </w:rPr>
        <w:t>t</w:t>
      </w:r>
      <w:r>
        <w:rPr>
          <w:rFonts w:ascii="Trebuchet MS" w:hAnsi="Trebuchet MS"/>
          <w:i/>
          <w:color w:val="37617A"/>
          <w:spacing w:val="-1"/>
          <w:w w:val="99"/>
          <w:sz w:val="20"/>
        </w:rPr>
        <w:t>at</w:t>
      </w:r>
      <w:r>
        <w:rPr>
          <w:rFonts w:ascii="Trebuchet MS" w:hAnsi="Trebuchet MS"/>
          <w:i/>
          <w:color w:val="37617A"/>
          <w:spacing w:val="-2"/>
          <w:w w:val="73"/>
          <w:sz w:val="20"/>
        </w:rPr>
        <w:t>i</w:t>
      </w:r>
      <w:r>
        <w:rPr>
          <w:rFonts w:ascii="Trebuchet MS" w:hAnsi="Trebuchet MS"/>
          <w:i/>
          <w:color w:val="37617A"/>
          <w:spacing w:val="-3"/>
          <w:w w:val="103"/>
          <w:sz w:val="20"/>
        </w:rPr>
        <w:t>v</w:t>
      </w:r>
      <w:r>
        <w:rPr>
          <w:rFonts w:ascii="Trebuchet MS" w:hAnsi="Trebuchet MS"/>
          <w:i/>
          <w:color w:val="37617A"/>
          <w:spacing w:val="1"/>
          <w:w w:val="100"/>
          <w:sz w:val="20"/>
        </w:rPr>
        <w:t>e</w:t>
      </w:r>
      <w:r>
        <w:rPr>
          <w:rFonts w:ascii="Trebuchet MS" w:hAnsi="Trebuchet MS"/>
          <w:i/>
          <w:color w:val="37617A"/>
          <w:w w:val="103"/>
          <w:sz w:val="20"/>
        </w:rPr>
        <w:t>n</w:t>
      </w:r>
      <w:r>
        <w:rPr>
          <w:rFonts w:ascii="Trebuchet MS" w:hAnsi="Trebuchet MS"/>
          <w:i/>
          <w:color w:val="37617A"/>
          <w:w w:val="100"/>
          <w:sz w:val="20"/>
        </w:rPr>
        <w:t>e</w:t>
      </w:r>
      <w:r>
        <w:rPr>
          <w:rFonts w:ascii="Trebuchet MS" w:hAnsi="Trebuchet MS"/>
          <w:i/>
          <w:color w:val="37617A"/>
          <w:w w:val="117"/>
          <w:sz w:val="20"/>
        </w:rPr>
        <w:t>ss</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w w:val="100"/>
          <w:sz w:val="20"/>
        </w:rPr>
        <w:t>e</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3"/>
          <w:w w:val="115"/>
          <w:sz w:val="20"/>
        </w:rPr>
        <w:t>a</w:t>
      </w:r>
      <w:r>
        <w:rPr>
          <w:rFonts w:ascii="Trebuchet MS" w:hAnsi="Trebuchet MS"/>
          <w:i/>
          <w:color w:val="37617A"/>
          <w:spacing w:val="3"/>
          <w:w w:val="103"/>
          <w:sz w:val="20"/>
        </w:rPr>
        <w:t>n</w:t>
      </w:r>
      <w:r>
        <w:rPr>
          <w:rFonts w:ascii="Trebuchet MS" w:hAnsi="Trebuchet MS"/>
          <w:i/>
          <w:color w:val="37617A"/>
          <w:w w:val="108"/>
          <w:sz w:val="20"/>
        </w:rPr>
        <w:t>d</w:t>
      </w:r>
      <w:r>
        <w:rPr>
          <w:rFonts w:ascii="Trebuchet MS" w:hAnsi="Trebuchet MS"/>
          <w:i/>
          <w:color w:val="37617A"/>
          <w:spacing w:val="-7"/>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6"/>
          <w:sz w:val="20"/>
        </w:rPr>
        <w:t>m</w:t>
      </w:r>
      <w:r>
        <w:rPr>
          <w:rFonts w:ascii="Trebuchet MS" w:hAnsi="Trebuchet MS"/>
          <w:i/>
          <w:color w:val="37617A"/>
          <w:spacing w:val="-1"/>
          <w:w w:val="106"/>
          <w:sz w:val="20"/>
        </w:rPr>
        <w:t>m</w:t>
      </w:r>
      <w:r>
        <w:rPr>
          <w:rFonts w:ascii="Trebuchet MS" w:hAnsi="Trebuchet MS"/>
          <w:i/>
          <w:color w:val="37617A"/>
          <w:w w:val="103"/>
          <w:sz w:val="20"/>
        </w:rPr>
        <w:t>u</w:t>
      </w:r>
      <w:r>
        <w:rPr>
          <w:rFonts w:ascii="Trebuchet MS" w:hAnsi="Trebuchet MS"/>
          <w:i/>
          <w:color w:val="37617A"/>
          <w:w w:val="103"/>
          <w:sz w:val="20"/>
        </w:rPr>
        <w:t>n</w:t>
      </w:r>
      <w:r>
        <w:rPr>
          <w:rFonts w:ascii="Trebuchet MS" w:hAnsi="Trebuchet MS"/>
          <w:i/>
          <w:color w:val="37617A"/>
          <w:spacing w:val="-1"/>
          <w:w w:val="73"/>
          <w:sz w:val="20"/>
        </w:rPr>
        <w:t>i</w:t>
      </w:r>
      <w:r>
        <w:rPr>
          <w:rFonts w:ascii="Trebuchet MS" w:hAnsi="Trebuchet MS"/>
          <w:i/>
          <w:color w:val="37617A"/>
          <w:spacing w:val="1"/>
          <w:w w:val="80"/>
          <w:sz w:val="20"/>
        </w:rPr>
        <w:t>t</w:t>
      </w:r>
      <w:r>
        <w:rPr>
          <w:rFonts w:ascii="Trebuchet MS" w:hAnsi="Trebuchet MS"/>
          <w:i/>
          <w:color w:val="37617A"/>
          <w:spacing w:val="-3"/>
          <w:w w:val="101"/>
          <w:sz w:val="20"/>
        </w:rPr>
        <w:t>y</w:t>
      </w:r>
      <w:r>
        <w:rPr>
          <w:rFonts w:ascii="Trebuchet MS" w:hAnsi="Trebuchet MS"/>
          <w:i/>
          <w:color w:val="37617A"/>
          <w:spacing w:val="-1"/>
          <w:w w:val="54"/>
          <w:sz w:val="20"/>
        </w:rPr>
        <w:t>’</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spacing w:val="-1"/>
          <w:w w:val="103"/>
          <w:sz w:val="20"/>
        </w:rPr>
        <w:t>n</w:t>
      </w:r>
      <w:r>
        <w:rPr>
          <w:rFonts w:ascii="Trebuchet MS" w:hAnsi="Trebuchet MS"/>
          <w:i/>
          <w:color w:val="37617A"/>
          <w:w w:val="71"/>
          <w:sz w:val="20"/>
        </w:rPr>
        <w:t>fi</w:t>
      </w:r>
      <w:r>
        <w:rPr>
          <w:rFonts w:ascii="Trebuchet MS" w:hAnsi="Trebuchet MS"/>
          <w:i/>
          <w:color w:val="37617A"/>
          <w:spacing w:val="-1"/>
          <w:w w:val="108"/>
          <w:sz w:val="20"/>
        </w:rPr>
        <w:t>d</w:t>
      </w:r>
      <w:r>
        <w:rPr>
          <w:rFonts w:ascii="Trebuchet MS" w:hAnsi="Trebuchet MS"/>
          <w:i/>
          <w:color w:val="37617A"/>
          <w:spacing w:val="1"/>
          <w:w w:val="100"/>
          <w:sz w:val="20"/>
        </w:rPr>
        <w:t>e</w:t>
      </w:r>
      <w:r>
        <w:rPr>
          <w:rFonts w:ascii="Trebuchet MS" w:hAnsi="Trebuchet MS"/>
          <w:i/>
          <w:color w:val="37617A"/>
          <w:spacing w:val="-1"/>
          <w:w w:val="103"/>
          <w:sz w:val="20"/>
        </w:rPr>
        <w:t>n</w:t>
      </w:r>
      <w:r>
        <w:rPr>
          <w:rFonts w:ascii="Trebuchet MS" w:hAnsi="Trebuchet MS"/>
          <w:i/>
          <w:color w:val="37617A"/>
          <w:spacing w:val="-1"/>
          <w:w w:val="115"/>
          <w:sz w:val="20"/>
        </w:rPr>
        <w:t>c</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92"/>
          <w:sz w:val="20"/>
        </w:rPr>
        <w:t>i</w:t>
      </w:r>
      <w:r>
        <w:rPr>
          <w:rFonts w:ascii="Trebuchet MS" w:hAnsi="Trebuchet MS"/>
          <w:i/>
          <w:color w:val="37617A"/>
          <w:w w:val="92"/>
          <w:sz w:val="20"/>
        </w:rPr>
        <w:t>n</w:t>
      </w:r>
      <w:r>
        <w:rPr>
          <w:rFonts w:ascii="Trebuchet MS" w:hAnsi="Trebuchet MS"/>
          <w:i/>
          <w:color w:val="37617A"/>
          <w:spacing w:val="-16"/>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4"/>
          <w:w w:val="84"/>
          <w:sz w:val="20"/>
        </w:rPr>
        <w:t>r</w:t>
      </w:r>
      <w:r>
        <w:rPr>
          <w:rFonts w:ascii="Trebuchet MS" w:hAnsi="Trebuchet MS"/>
          <w:i/>
          <w:color w:val="37617A"/>
          <w:w w:val="101"/>
          <w:sz w:val="20"/>
        </w:rPr>
        <w:t>y </w:t>
      </w:r>
      <w:r>
        <w:rPr>
          <w:rFonts w:ascii="Trebuchet MS" w:hAnsi="Trebuchet MS"/>
          <w:i/>
          <w:color w:val="37617A"/>
          <w:spacing w:val="-3"/>
          <w:sz w:val="20"/>
        </w:rPr>
        <w:t>system.</w:t>
      </w:r>
      <w:r>
        <w:rPr>
          <w:rFonts w:ascii="Trebuchet MS" w:hAnsi="Trebuchet MS"/>
          <w:i/>
          <w:color w:val="37617A"/>
          <w:spacing w:val="-3"/>
          <w:position w:val="7"/>
          <w:sz w:val="11"/>
        </w:rPr>
        <w:t>1 </w:t>
      </w:r>
      <w:r>
        <w:rPr>
          <w:rFonts w:ascii="Trebuchet MS" w:hAnsi="Trebuchet MS"/>
          <w:color w:val="37617A"/>
          <w:spacing w:val="-3"/>
          <w:sz w:val="19"/>
        </w:rPr>
        <w:t>—Supreme </w:t>
      </w:r>
      <w:r>
        <w:rPr>
          <w:rFonts w:ascii="Trebuchet MS" w:hAnsi="Trebuchet MS"/>
          <w:color w:val="37617A"/>
          <w:sz w:val="19"/>
        </w:rPr>
        <w:t>Court of</w:t>
      </w:r>
      <w:r>
        <w:rPr>
          <w:rFonts w:ascii="Trebuchet MS" w:hAnsi="Trebuchet MS"/>
          <w:color w:val="37617A"/>
          <w:spacing w:val="-19"/>
          <w:sz w:val="19"/>
        </w:rPr>
        <w:t> </w:t>
      </w:r>
      <w:r>
        <w:rPr>
          <w:rFonts w:ascii="Trebuchet MS" w:hAnsi="Trebuchet MS"/>
          <w:color w:val="37617A"/>
          <w:spacing w:val="-3"/>
          <w:sz w:val="19"/>
        </w:rPr>
        <w:t>Victoria</w:t>
      </w:r>
    </w:p>
    <w:p>
      <w:pPr>
        <w:pStyle w:val="BodyText"/>
        <w:spacing w:before="7"/>
        <w:rPr>
          <w:rFonts w:ascii="Trebuchet MS"/>
          <w:sz w:val="9"/>
        </w:rPr>
      </w:pPr>
      <w:r>
        <w:rPr/>
        <w:pict>
          <v:line style="position:absolute;mso-position-horizontal-relative:page;mso-position-vertical-relative:paragraph;z-index:4424;mso-wrap-distance-left:0;mso-wrap-distance-right:0" from="79.370102pt,7.809328pt" to="515.905102pt,7.809328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pStyle w:val="Heading2"/>
        <w:rPr>
          <w:b/>
        </w:rPr>
      </w:pPr>
      <w:r>
        <w:rPr>
          <w:b/>
          <w:color w:val="37617A"/>
        </w:rPr>
        <w:t>Overview</w:t>
      </w:r>
    </w:p>
    <w:p>
      <w:pPr>
        <w:pStyle w:val="ListParagraph"/>
        <w:numPr>
          <w:ilvl w:val="0"/>
          <w:numId w:val="58"/>
        </w:numPr>
        <w:tabs>
          <w:tab w:pos="2157" w:val="left" w:leader="none"/>
          <w:tab w:pos="2158" w:val="left" w:leader="none"/>
        </w:tabs>
        <w:spacing w:line="206" w:lineRule="auto" w:before="146" w:after="0"/>
        <w:ind w:left="2157" w:right="1563" w:hanging="396"/>
        <w:jc w:val="left"/>
        <w:rPr>
          <w:sz w:val="20"/>
        </w:rPr>
      </w:pPr>
      <w:r>
        <w:rPr>
          <w:sz w:val="20"/>
        </w:rPr>
        <w:t>Reform</w:t>
      </w:r>
      <w:r>
        <w:rPr>
          <w:spacing w:val="-10"/>
          <w:sz w:val="20"/>
        </w:rPr>
        <w:t> </w:t>
      </w:r>
      <w:r>
        <w:rPr>
          <w:sz w:val="20"/>
        </w:rPr>
        <w:t>must</w:t>
      </w:r>
      <w:r>
        <w:rPr>
          <w:spacing w:val="-10"/>
          <w:sz w:val="20"/>
        </w:rPr>
        <w:t> </w:t>
      </w:r>
      <w:r>
        <w:rPr>
          <w:sz w:val="20"/>
        </w:rPr>
        <w:t>not</w:t>
      </w:r>
      <w:r>
        <w:rPr>
          <w:spacing w:val="-10"/>
          <w:sz w:val="20"/>
        </w:rPr>
        <w:t> </w:t>
      </w:r>
      <w:r>
        <w:rPr>
          <w:sz w:val="20"/>
        </w:rPr>
        <w:t>jeopardise</w:t>
      </w:r>
      <w:r>
        <w:rPr>
          <w:spacing w:val="-10"/>
          <w:sz w:val="20"/>
        </w:rPr>
        <w:t> </w:t>
      </w:r>
      <w:r>
        <w:rPr>
          <w:sz w:val="20"/>
        </w:rPr>
        <w:t>the</w:t>
      </w:r>
      <w:r>
        <w:rPr>
          <w:spacing w:val="-9"/>
          <w:sz w:val="20"/>
        </w:rPr>
        <w:t> </w:t>
      </w:r>
      <w:r>
        <w:rPr>
          <w:sz w:val="20"/>
        </w:rPr>
        <w:t>right</w:t>
      </w:r>
      <w:r>
        <w:rPr>
          <w:spacing w:val="-10"/>
          <w:sz w:val="20"/>
        </w:rPr>
        <w:t> </w:t>
      </w:r>
      <w:r>
        <w:rPr>
          <w:sz w:val="20"/>
        </w:rPr>
        <w:t>to</w:t>
      </w:r>
      <w:r>
        <w:rPr>
          <w:spacing w:val="-10"/>
          <w:sz w:val="20"/>
        </w:rPr>
        <w:t> </w:t>
      </w:r>
      <w:r>
        <w:rPr>
          <w:sz w:val="20"/>
        </w:rPr>
        <w:t>a</w:t>
      </w:r>
      <w:r>
        <w:rPr>
          <w:spacing w:val="-10"/>
          <w:sz w:val="20"/>
        </w:rPr>
        <w:t> </w:t>
      </w:r>
      <w:r>
        <w:rPr>
          <w:sz w:val="20"/>
        </w:rPr>
        <w:t>fair</w:t>
      </w:r>
      <w:r>
        <w:rPr>
          <w:spacing w:val="-9"/>
          <w:sz w:val="20"/>
        </w:rPr>
        <w:t> </w:t>
      </w:r>
      <w:r>
        <w:rPr>
          <w:sz w:val="20"/>
        </w:rPr>
        <w:t>trial.</w:t>
      </w:r>
      <w:r>
        <w:rPr>
          <w:spacing w:val="-10"/>
          <w:sz w:val="20"/>
        </w:rPr>
        <w:t> </w:t>
      </w:r>
      <w:r>
        <w:rPr>
          <w:sz w:val="20"/>
        </w:rPr>
        <w:t>With</w:t>
      </w:r>
      <w:r>
        <w:rPr>
          <w:spacing w:val="-10"/>
          <w:sz w:val="20"/>
        </w:rPr>
        <w:t> </w:t>
      </w:r>
      <w:r>
        <w:rPr>
          <w:spacing w:val="-3"/>
          <w:sz w:val="20"/>
        </w:rPr>
        <w:t>appropriate</w:t>
      </w:r>
      <w:r>
        <w:rPr>
          <w:spacing w:val="-10"/>
          <w:sz w:val="20"/>
        </w:rPr>
        <w:t> </w:t>
      </w:r>
      <w:r>
        <w:rPr>
          <w:sz w:val="20"/>
        </w:rPr>
        <w:t>safeguards, jury</w:t>
      </w:r>
      <w:r>
        <w:rPr>
          <w:spacing w:val="-6"/>
          <w:sz w:val="20"/>
        </w:rPr>
        <w:t> </w:t>
      </w:r>
      <w:r>
        <w:rPr>
          <w:sz w:val="20"/>
        </w:rPr>
        <w:t>law</w:t>
      </w:r>
      <w:r>
        <w:rPr>
          <w:spacing w:val="-6"/>
          <w:sz w:val="20"/>
        </w:rPr>
        <w:t> </w:t>
      </w:r>
      <w:r>
        <w:rPr>
          <w:sz w:val="20"/>
        </w:rPr>
        <w:t>and</w:t>
      </w:r>
      <w:r>
        <w:rPr>
          <w:spacing w:val="-6"/>
          <w:sz w:val="20"/>
        </w:rPr>
        <w:t> </w:t>
      </w:r>
      <w:r>
        <w:rPr>
          <w:sz w:val="20"/>
        </w:rPr>
        <w:t>practice</w:t>
      </w:r>
      <w:r>
        <w:rPr>
          <w:spacing w:val="-6"/>
          <w:sz w:val="20"/>
        </w:rPr>
        <w:t> </w:t>
      </w:r>
      <w:r>
        <w:rPr>
          <w:sz w:val="20"/>
        </w:rPr>
        <w:t>can</w:t>
      </w:r>
      <w:r>
        <w:rPr>
          <w:spacing w:val="-6"/>
          <w:sz w:val="20"/>
        </w:rPr>
        <w:t> </w:t>
      </w:r>
      <w:r>
        <w:rPr>
          <w:sz w:val="20"/>
        </w:rPr>
        <w:t>be</w:t>
      </w:r>
      <w:r>
        <w:rPr>
          <w:spacing w:val="-6"/>
          <w:sz w:val="20"/>
        </w:rPr>
        <w:t> </w:t>
      </w:r>
      <w:r>
        <w:rPr>
          <w:spacing w:val="-3"/>
          <w:sz w:val="20"/>
        </w:rPr>
        <w:t>inclusive</w:t>
      </w:r>
      <w:r>
        <w:rPr>
          <w:spacing w:val="-6"/>
          <w:sz w:val="20"/>
        </w:rPr>
        <w:t> </w:t>
      </w:r>
      <w:r>
        <w:rPr>
          <w:sz w:val="20"/>
        </w:rPr>
        <w:t>and</w:t>
      </w:r>
      <w:r>
        <w:rPr>
          <w:spacing w:val="-6"/>
          <w:sz w:val="20"/>
        </w:rPr>
        <w:t> </w:t>
      </w:r>
      <w:r>
        <w:rPr>
          <w:sz w:val="20"/>
        </w:rPr>
        <w:t>uphold</w:t>
      </w:r>
      <w:r>
        <w:rPr>
          <w:spacing w:val="-6"/>
          <w:sz w:val="20"/>
        </w:rPr>
        <w:t> </w:t>
      </w:r>
      <w:r>
        <w:rPr>
          <w:sz w:val="20"/>
        </w:rPr>
        <w:t>the</w:t>
      </w:r>
      <w:r>
        <w:rPr>
          <w:spacing w:val="-6"/>
          <w:sz w:val="20"/>
        </w:rPr>
        <w:t> </w:t>
      </w:r>
      <w:r>
        <w:rPr>
          <w:sz w:val="20"/>
        </w:rPr>
        <w:t>right</w:t>
      </w:r>
      <w:r>
        <w:rPr>
          <w:spacing w:val="-6"/>
          <w:sz w:val="20"/>
        </w:rPr>
        <w:t> </w:t>
      </w:r>
      <w:r>
        <w:rPr>
          <w:sz w:val="20"/>
        </w:rPr>
        <w:t>to</w:t>
      </w:r>
      <w:r>
        <w:rPr>
          <w:spacing w:val="-6"/>
          <w:sz w:val="20"/>
        </w:rPr>
        <w:t> </w:t>
      </w:r>
      <w:r>
        <w:rPr>
          <w:sz w:val="20"/>
        </w:rPr>
        <w:t>a</w:t>
      </w:r>
      <w:r>
        <w:rPr>
          <w:spacing w:val="-6"/>
          <w:sz w:val="20"/>
        </w:rPr>
        <w:t> </w:t>
      </w:r>
      <w:r>
        <w:rPr>
          <w:sz w:val="20"/>
        </w:rPr>
        <w:t>fair</w:t>
      </w:r>
      <w:r>
        <w:rPr>
          <w:spacing w:val="-6"/>
          <w:sz w:val="20"/>
        </w:rPr>
        <w:t> </w:t>
      </w:r>
      <w:r>
        <w:rPr>
          <w:sz w:val="20"/>
        </w:rPr>
        <w:t>trial.</w:t>
      </w:r>
    </w:p>
    <w:p>
      <w:pPr>
        <w:pStyle w:val="ListParagraph"/>
        <w:numPr>
          <w:ilvl w:val="0"/>
          <w:numId w:val="58"/>
        </w:numPr>
        <w:tabs>
          <w:tab w:pos="2157" w:val="left" w:leader="none"/>
          <w:tab w:pos="2158" w:val="left" w:leader="none"/>
        </w:tabs>
        <w:spacing w:line="206" w:lineRule="auto" w:before="88" w:after="0"/>
        <w:ind w:left="2157" w:right="1382" w:hanging="396"/>
        <w:jc w:val="left"/>
        <w:rPr>
          <w:sz w:val="20"/>
        </w:rPr>
      </w:pPr>
      <w:r>
        <w:rPr>
          <w:sz w:val="20"/>
        </w:rPr>
        <w:t>In some situations, the </w:t>
      </w:r>
      <w:r>
        <w:rPr>
          <w:spacing w:val="-3"/>
          <w:sz w:val="20"/>
        </w:rPr>
        <w:t>nature </w:t>
      </w:r>
      <w:r>
        <w:rPr>
          <w:sz w:val="20"/>
        </w:rPr>
        <w:t>of a particular trial </w:t>
      </w:r>
      <w:r>
        <w:rPr>
          <w:spacing w:val="-3"/>
          <w:sz w:val="20"/>
        </w:rPr>
        <w:t>may </w:t>
      </w:r>
      <w:r>
        <w:rPr>
          <w:spacing w:val="-4"/>
          <w:sz w:val="20"/>
        </w:rPr>
        <w:t>prevent </w:t>
      </w:r>
      <w:r>
        <w:rPr>
          <w:sz w:val="20"/>
        </w:rPr>
        <w:t>a person in the subject groups </w:t>
      </w:r>
      <w:r>
        <w:rPr>
          <w:spacing w:val="-3"/>
          <w:sz w:val="20"/>
        </w:rPr>
        <w:t>from </w:t>
      </w:r>
      <w:r>
        <w:rPr>
          <w:sz w:val="20"/>
        </w:rPr>
        <w:t>serving as a juror for fair trial reasons. This should be determined</w:t>
      </w:r>
      <w:r>
        <w:rPr>
          <w:spacing w:val="-10"/>
          <w:sz w:val="20"/>
        </w:rPr>
        <w:t> </w:t>
      </w:r>
      <w:r>
        <w:rPr>
          <w:spacing w:val="-3"/>
          <w:sz w:val="20"/>
        </w:rPr>
        <w:t>by</w:t>
      </w:r>
      <w:r>
        <w:rPr>
          <w:spacing w:val="-9"/>
          <w:sz w:val="20"/>
        </w:rPr>
        <w:t> </w:t>
      </w:r>
      <w:r>
        <w:rPr>
          <w:sz w:val="20"/>
        </w:rPr>
        <w:t>a</w:t>
      </w:r>
      <w:r>
        <w:rPr>
          <w:spacing w:val="-9"/>
          <w:sz w:val="20"/>
        </w:rPr>
        <w:t> </w:t>
      </w:r>
      <w:r>
        <w:rPr>
          <w:sz w:val="20"/>
        </w:rPr>
        <w:t>judge.</w:t>
      </w:r>
      <w:r>
        <w:rPr>
          <w:spacing w:val="-10"/>
          <w:sz w:val="20"/>
        </w:rPr>
        <w:t> </w:t>
      </w:r>
      <w:r>
        <w:rPr>
          <w:sz w:val="20"/>
        </w:rPr>
        <w:t>In</w:t>
      </w:r>
      <w:r>
        <w:rPr>
          <w:spacing w:val="-9"/>
          <w:sz w:val="20"/>
        </w:rPr>
        <w:t> </w:t>
      </w:r>
      <w:r>
        <w:rPr>
          <w:sz w:val="20"/>
        </w:rPr>
        <w:t>this</w:t>
      </w:r>
      <w:r>
        <w:rPr>
          <w:spacing w:val="-9"/>
          <w:sz w:val="20"/>
        </w:rPr>
        <w:t> </w:t>
      </w:r>
      <w:r>
        <w:rPr>
          <w:sz w:val="20"/>
        </w:rPr>
        <w:t>situation,</w:t>
      </w:r>
      <w:r>
        <w:rPr>
          <w:spacing w:val="-10"/>
          <w:sz w:val="20"/>
        </w:rPr>
        <w:t> </w:t>
      </w:r>
      <w:r>
        <w:rPr>
          <w:sz w:val="20"/>
        </w:rPr>
        <w:t>the</w:t>
      </w:r>
      <w:r>
        <w:rPr>
          <w:spacing w:val="-9"/>
          <w:sz w:val="20"/>
        </w:rPr>
        <w:t> </w:t>
      </w:r>
      <w:r>
        <w:rPr>
          <w:sz w:val="20"/>
        </w:rPr>
        <w:t>person</w:t>
      </w:r>
      <w:r>
        <w:rPr>
          <w:spacing w:val="-9"/>
          <w:sz w:val="20"/>
        </w:rPr>
        <w:t> </w:t>
      </w:r>
      <w:r>
        <w:rPr>
          <w:sz w:val="20"/>
        </w:rPr>
        <w:t>should</w:t>
      </w:r>
      <w:r>
        <w:rPr>
          <w:spacing w:val="-9"/>
          <w:sz w:val="20"/>
        </w:rPr>
        <w:t> </w:t>
      </w:r>
      <w:r>
        <w:rPr>
          <w:sz w:val="20"/>
        </w:rPr>
        <w:t>be</w:t>
      </w:r>
      <w:r>
        <w:rPr>
          <w:spacing w:val="-10"/>
          <w:sz w:val="20"/>
        </w:rPr>
        <w:t> </w:t>
      </w:r>
      <w:r>
        <w:rPr>
          <w:spacing w:val="-3"/>
          <w:sz w:val="20"/>
        </w:rPr>
        <w:t>returned</w:t>
      </w:r>
      <w:r>
        <w:rPr>
          <w:spacing w:val="-9"/>
          <w:sz w:val="20"/>
        </w:rPr>
        <w:t> </w:t>
      </w:r>
      <w:r>
        <w:rPr>
          <w:sz w:val="20"/>
        </w:rPr>
        <w:t>to</w:t>
      </w:r>
      <w:r>
        <w:rPr>
          <w:spacing w:val="-9"/>
          <w:sz w:val="20"/>
        </w:rPr>
        <w:t> </w:t>
      </w:r>
      <w:r>
        <w:rPr>
          <w:sz w:val="20"/>
        </w:rPr>
        <w:t>the</w:t>
      </w:r>
      <w:r>
        <w:rPr>
          <w:spacing w:val="-10"/>
          <w:sz w:val="20"/>
        </w:rPr>
        <w:t> </w:t>
      </w:r>
      <w:r>
        <w:rPr>
          <w:sz w:val="20"/>
        </w:rPr>
        <w:t>jury pool</w:t>
      </w:r>
      <w:r>
        <w:rPr>
          <w:spacing w:val="-10"/>
          <w:sz w:val="20"/>
        </w:rPr>
        <w:t> </w:t>
      </w:r>
      <w:r>
        <w:rPr>
          <w:sz w:val="20"/>
        </w:rPr>
        <w:t>to</w:t>
      </w:r>
      <w:r>
        <w:rPr>
          <w:spacing w:val="-9"/>
          <w:sz w:val="20"/>
        </w:rPr>
        <w:t> </w:t>
      </w:r>
      <w:r>
        <w:rPr>
          <w:sz w:val="20"/>
        </w:rPr>
        <w:t>potentially</w:t>
      </w:r>
      <w:r>
        <w:rPr>
          <w:spacing w:val="-9"/>
          <w:sz w:val="20"/>
        </w:rPr>
        <w:t> </w:t>
      </w:r>
      <w:r>
        <w:rPr>
          <w:sz w:val="20"/>
        </w:rPr>
        <w:t>serve</w:t>
      </w:r>
      <w:r>
        <w:rPr>
          <w:spacing w:val="-9"/>
          <w:sz w:val="20"/>
        </w:rPr>
        <w:t> </w:t>
      </w:r>
      <w:r>
        <w:rPr>
          <w:sz w:val="20"/>
        </w:rPr>
        <w:t>on</w:t>
      </w:r>
      <w:r>
        <w:rPr>
          <w:spacing w:val="-10"/>
          <w:sz w:val="20"/>
        </w:rPr>
        <w:t> </w:t>
      </w:r>
      <w:r>
        <w:rPr>
          <w:sz w:val="20"/>
        </w:rPr>
        <w:t>another</w:t>
      </w:r>
      <w:r>
        <w:rPr>
          <w:spacing w:val="-9"/>
          <w:sz w:val="20"/>
        </w:rPr>
        <w:t> </w:t>
      </w:r>
      <w:r>
        <w:rPr>
          <w:sz w:val="20"/>
        </w:rPr>
        <w:t>trial.</w:t>
      </w:r>
      <w:r>
        <w:rPr>
          <w:spacing w:val="-9"/>
          <w:sz w:val="20"/>
        </w:rPr>
        <w:t> </w:t>
      </w:r>
      <w:r>
        <w:rPr>
          <w:spacing w:val="-6"/>
          <w:sz w:val="20"/>
        </w:rPr>
        <w:t>We</w:t>
      </w:r>
      <w:r>
        <w:rPr>
          <w:spacing w:val="-9"/>
          <w:sz w:val="20"/>
        </w:rPr>
        <w:t> </w:t>
      </w:r>
      <w:r>
        <w:rPr>
          <w:sz w:val="20"/>
        </w:rPr>
        <w:t>discuss</w:t>
      </w:r>
      <w:r>
        <w:rPr>
          <w:spacing w:val="-9"/>
          <w:sz w:val="20"/>
        </w:rPr>
        <w:t> </w:t>
      </w:r>
      <w:r>
        <w:rPr>
          <w:sz w:val="20"/>
        </w:rPr>
        <w:t>these</w:t>
      </w:r>
      <w:r>
        <w:rPr>
          <w:spacing w:val="-10"/>
          <w:sz w:val="20"/>
        </w:rPr>
        <w:t> </w:t>
      </w:r>
      <w:r>
        <w:rPr>
          <w:spacing w:val="-3"/>
          <w:sz w:val="20"/>
        </w:rPr>
        <w:t>reforms</w:t>
      </w:r>
      <w:r>
        <w:rPr>
          <w:spacing w:val="-9"/>
          <w:sz w:val="20"/>
        </w:rPr>
        <w:t> </w:t>
      </w:r>
      <w:r>
        <w:rPr>
          <w:sz w:val="20"/>
        </w:rPr>
        <w:t>in</w:t>
      </w:r>
      <w:r>
        <w:rPr>
          <w:spacing w:val="-9"/>
          <w:sz w:val="20"/>
        </w:rPr>
        <w:t> </w:t>
      </w:r>
      <w:r>
        <w:rPr>
          <w:spacing w:val="-2"/>
          <w:sz w:val="20"/>
        </w:rPr>
        <w:t>Chapters</w:t>
      </w:r>
      <w:r>
        <w:rPr>
          <w:spacing w:val="-9"/>
          <w:sz w:val="20"/>
        </w:rPr>
        <w:t> </w:t>
      </w:r>
      <w:r>
        <w:rPr>
          <w:sz w:val="20"/>
        </w:rPr>
        <w:t>11 and</w:t>
      </w:r>
      <w:r>
        <w:rPr>
          <w:spacing w:val="-5"/>
          <w:sz w:val="20"/>
        </w:rPr>
        <w:t> </w:t>
      </w:r>
      <w:r>
        <w:rPr>
          <w:sz w:val="20"/>
        </w:rPr>
        <w:t>12.</w:t>
      </w:r>
    </w:p>
    <w:p>
      <w:pPr>
        <w:pStyle w:val="ListParagraph"/>
        <w:numPr>
          <w:ilvl w:val="0"/>
          <w:numId w:val="58"/>
        </w:numPr>
        <w:tabs>
          <w:tab w:pos="2157" w:val="left" w:leader="none"/>
          <w:tab w:pos="2158" w:val="left" w:leader="none"/>
        </w:tabs>
        <w:spacing w:line="206" w:lineRule="auto" w:before="91" w:after="0"/>
        <w:ind w:left="2157" w:right="1339" w:hanging="396"/>
        <w:jc w:val="left"/>
        <w:rPr>
          <w:sz w:val="20"/>
        </w:rPr>
      </w:pPr>
      <w:r>
        <w:rPr>
          <w:sz w:val="20"/>
        </w:rPr>
        <w:t>Reforms aim to address misconceptions about the competency of people in the subject</w:t>
      </w:r>
      <w:r>
        <w:rPr>
          <w:spacing w:val="-11"/>
          <w:sz w:val="20"/>
        </w:rPr>
        <w:t> </w:t>
      </w:r>
      <w:r>
        <w:rPr>
          <w:sz w:val="20"/>
        </w:rPr>
        <w:t>groups</w:t>
      </w:r>
      <w:r>
        <w:rPr>
          <w:spacing w:val="-11"/>
          <w:sz w:val="20"/>
        </w:rPr>
        <w:t> </w:t>
      </w:r>
      <w:r>
        <w:rPr>
          <w:sz w:val="20"/>
        </w:rPr>
        <w:t>to</w:t>
      </w:r>
      <w:r>
        <w:rPr>
          <w:spacing w:val="-11"/>
          <w:sz w:val="20"/>
        </w:rPr>
        <w:t> </w:t>
      </w:r>
      <w:r>
        <w:rPr>
          <w:sz w:val="20"/>
        </w:rPr>
        <w:t>serve</w:t>
      </w:r>
      <w:r>
        <w:rPr>
          <w:spacing w:val="-11"/>
          <w:sz w:val="20"/>
        </w:rPr>
        <w:t> </w:t>
      </w:r>
      <w:r>
        <w:rPr>
          <w:sz w:val="20"/>
        </w:rPr>
        <w:t>as</w:t>
      </w:r>
      <w:r>
        <w:rPr>
          <w:spacing w:val="-11"/>
          <w:sz w:val="20"/>
        </w:rPr>
        <w:t> </w:t>
      </w:r>
      <w:r>
        <w:rPr>
          <w:sz w:val="20"/>
        </w:rPr>
        <w:t>jurors,</w:t>
      </w:r>
      <w:r>
        <w:rPr>
          <w:spacing w:val="-11"/>
          <w:sz w:val="20"/>
        </w:rPr>
        <w:t> </w:t>
      </w:r>
      <w:r>
        <w:rPr>
          <w:sz w:val="20"/>
        </w:rPr>
        <w:t>as</w:t>
      </w:r>
      <w:r>
        <w:rPr>
          <w:spacing w:val="-11"/>
          <w:sz w:val="20"/>
        </w:rPr>
        <w:t> </w:t>
      </w:r>
      <w:r>
        <w:rPr>
          <w:sz w:val="20"/>
        </w:rPr>
        <w:t>well</w:t>
      </w:r>
      <w:r>
        <w:rPr>
          <w:spacing w:val="-11"/>
          <w:sz w:val="20"/>
        </w:rPr>
        <w:t> </w:t>
      </w:r>
      <w:r>
        <w:rPr>
          <w:sz w:val="20"/>
        </w:rPr>
        <w:t>as</w:t>
      </w:r>
      <w:r>
        <w:rPr>
          <w:spacing w:val="-11"/>
          <w:sz w:val="20"/>
        </w:rPr>
        <w:t> </w:t>
      </w:r>
      <w:r>
        <w:rPr>
          <w:sz w:val="20"/>
        </w:rPr>
        <w:t>practical</w:t>
      </w:r>
      <w:r>
        <w:rPr>
          <w:spacing w:val="-11"/>
          <w:sz w:val="20"/>
        </w:rPr>
        <w:t> </w:t>
      </w:r>
      <w:r>
        <w:rPr>
          <w:sz w:val="20"/>
        </w:rPr>
        <w:t>concerns</w:t>
      </w:r>
      <w:r>
        <w:rPr>
          <w:spacing w:val="-11"/>
          <w:sz w:val="20"/>
        </w:rPr>
        <w:t> </w:t>
      </w:r>
      <w:r>
        <w:rPr>
          <w:sz w:val="20"/>
        </w:rPr>
        <w:t>about</w:t>
      </w:r>
      <w:r>
        <w:rPr>
          <w:spacing w:val="-11"/>
          <w:sz w:val="20"/>
        </w:rPr>
        <w:t> </w:t>
      </w:r>
      <w:r>
        <w:rPr>
          <w:spacing w:val="-3"/>
          <w:sz w:val="20"/>
        </w:rPr>
        <w:t>how</w:t>
      </w:r>
      <w:r>
        <w:rPr>
          <w:spacing w:val="-11"/>
          <w:sz w:val="20"/>
        </w:rPr>
        <w:t> </w:t>
      </w:r>
      <w:r>
        <w:rPr>
          <w:sz w:val="20"/>
        </w:rPr>
        <w:t>change can </w:t>
      </w:r>
      <w:r>
        <w:rPr>
          <w:spacing w:val="-3"/>
          <w:sz w:val="20"/>
        </w:rPr>
        <w:t>work </w:t>
      </w:r>
      <w:r>
        <w:rPr>
          <w:sz w:val="20"/>
        </w:rPr>
        <w:t>in</w:t>
      </w:r>
      <w:r>
        <w:rPr>
          <w:spacing w:val="-10"/>
          <w:sz w:val="20"/>
        </w:rPr>
        <w:t> </w:t>
      </w:r>
      <w:r>
        <w:rPr>
          <w:sz w:val="20"/>
        </w:rPr>
        <w:t>practice.</w:t>
      </w:r>
    </w:p>
    <w:p>
      <w:pPr>
        <w:pStyle w:val="Heading2"/>
        <w:spacing w:before="194"/>
        <w:rPr>
          <w:b/>
        </w:rPr>
      </w:pPr>
      <w:r>
        <w:rPr>
          <w:b/>
          <w:color w:val="37617A"/>
        </w:rPr>
        <w:t>The right to a fair trial</w:t>
      </w:r>
    </w:p>
    <w:p>
      <w:pPr>
        <w:pStyle w:val="ListParagraph"/>
        <w:numPr>
          <w:ilvl w:val="1"/>
          <w:numId w:val="12"/>
        </w:numPr>
        <w:tabs>
          <w:tab w:pos="1761" w:val="left" w:leader="none"/>
          <w:tab w:pos="1762" w:val="left" w:leader="none"/>
        </w:tabs>
        <w:spacing w:line="240" w:lineRule="auto" w:before="114" w:after="0"/>
        <w:ind w:left="1761" w:right="0" w:hanging="794"/>
        <w:jc w:val="left"/>
        <w:rPr>
          <w:sz w:val="20"/>
        </w:rPr>
      </w:pPr>
      <w:r>
        <w:rPr>
          <w:sz w:val="20"/>
        </w:rPr>
        <w:t>The right to a fair trial</w:t>
      </w:r>
      <w:r>
        <w:rPr>
          <w:spacing w:val="-26"/>
          <w:sz w:val="20"/>
        </w:rPr>
        <w:t> </w:t>
      </w:r>
      <w:r>
        <w:rPr>
          <w:sz w:val="20"/>
        </w:rPr>
        <w:t>encompasses:</w:t>
      </w:r>
    </w:p>
    <w:p>
      <w:pPr>
        <w:pStyle w:val="ListParagraph"/>
        <w:numPr>
          <w:ilvl w:val="2"/>
          <w:numId w:val="12"/>
        </w:numPr>
        <w:tabs>
          <w:tab w:pos="2157" w:val="left" w:leader="none"/>
          <w:tab w:pos="2158" w:val="left" w:leader="none"/>
        </w:tabs>
        <w:spacing w:line="240" w:lineRule="auto" w:before="83" w:after="0"/>
        <w:ind w:left="2157" w:right="0" w:hanging="396"/>
        <w:jc w:val="left"/>
        <w:rPr>
          <w:sz w:val="20"/>
        </w:rPr>
      </w:pPr>
      <w:r>
        <w:rPr>
          <w:sz w:val="20"/>
        </w:rPr>
        <w:t>the</w:t>
      </w:r>
      <w:r>
        <w:rPr>
          <w:spacing w:val="-6"/>
          <w:sz w:val="20"/>
        </w:rPr>
        <w:t> </w:t>
      </w:r>
      <w:r>
        <w:rPr>
          <w:sz w:val="20"/>
        </w:rPr>
        <w:t>‘hearing</w:t>
      </w:r>
      <w:r>
        <w:rPr>
          <w:spacing w:val="-6"/>
          <w:sz w:val="20"/>
        </w:rPr>
        <w:t> </w:t>
      </w:r>
      <w:r>
        <w:rPr>
          <w:spacing w:val="-4"/>
          <w:sz w:val="20"/>
        </w:rPr>
        <w:t>rule’,</w:t>
      </w:r>
      <w:r>
        <w:rPr>
          <w:spacing w:val="-6"/>
          <w:sz w:val="20"/>
        </w:rPr>
        <w:t> </w:t>
      </w:r>
      <w:r>
        <w:rPr>
          <w:sz w:val="20"/>
        </w:rPr>
        <w:t>which</w:t>
      </w:r>
      <w:r>
        <w:rPr>
          <w:spacing w:val="-6"/>
          <w:sz w:val="20"/>
        </w:rPr>
        <w:t> </w:t>
      </w:r>
      <w:r>
        <w:rPr>
          <w:sz w:val="20"/>
        </w:rPr>
        <w:t>is</w:t>
      </w:r>
      <w:r>
        <w:rPr>
          <w:spacing w:val="-6"/>
          <w:sz w:val="20"/>
        </w:rPr>
        <w:t> </w:t>
      </w:r>
      <w:r>
        <w:rPr>
          <w:sz w:val="20"/>
        </w:rPr>
        <w:t>the</w:t>
      </w:r>
      <w:r>
        <w:rPr>
          <w:spacing w:val="-5"/>
          <w:sz w:val="20"/>
        </w:rPr>
        <w:t> </w:t>
      </w:r>
      <w:r>
        <w:rPr>
          <w:sz w:val="20"/>
        </w:rPr>
        <w:t>right</w:t>
      </w:r>
      <w:r>
        <w:rPr>
          <w:spacing w:val="-6"/>
          <w:sz w:val="20"/>
        </w:rPr>
        <w:t> </w:t>
      </w:r>
      <w:r>
        <w:rPr>
          <w:sz w:val="20"/>
        </w:rPr>
        <w:t>to</w:t>
      </w:r>
      <w:r>
        <w:rPr>
          <w:spacing w:val="-6"/>
          <w:sz w:val="20"/>
        </w:rPr>
        <w:t> </w:t>
      </w:r>
      <w:r>
        <w:rPr>
          <w:sz w:val="20"/>
        </w:rPr>
        <w:t>be</w:t>
      </w:r>
      <w:r>
        <w:rPr>
          <w:spacing w:val="-6"/>
          <w:sz w:val="20"/>
        </w:rPr>
        <w:t> </w:t>
      </w:r>
      <w:r>
        <w:rPr>
          <w:sz w:val="20"/>
        </w:rPr>
        <w:t>heard</w:t>
      </w:r>
      <w:r>
        <w:rPr>
          <w:spacing w:val="-6"/>
          <w:sz w:val="20"/>
        </w:rPr>
        <w:t> </w:t>
      </w:r>
      <w:r>
        <w:rPr>
          <w:spacing w:val="-3"/>
          <w:sz w:val="20"/>
        </w:rPr>
        <w:t>before</w:t>
      </w:r>
      <w:r>
        <w:rPr>
          <w:spacing w:val="-6"/>
          <w:sz w:val="20"/>
        </w:rPr>
        <w:t> </w:t>
      </w:r>
      <w:r>
        <w:rPr>
          <w:sz w:val="20"/>
        </w:rPr>
        <w:t>a</w:t>
      </w:r>
      <w:r>
        <w:rPr>
          <w:spacing w:val="-5"/>
          <w:sz w:val="20"/>
        </w:rPr>
        <w:t> </w:t>
      </w:r>
      <w:r>
        <w:rPr>
          <w:sz w:val="20"/>
        </w:rPr>
        <w:t>competent</w:t>
      </w:r>
      <w:r>
        <w:rPr>
          <w:spacing w:val="-6"/>
          <w:sz w:val="20"/>
        </w:rPr>
        <w:t> </w:t>
      </w:r>
      <w:r>
        <w:rPr>
          <w:sz w:val="20"/>
        </w:rPr>
        <w:t>tribunal,</w:t>
      </w:r>
      <w:r>
        <w:rPr>
          <w:spacing w:val="-6"/>
          <w:sz w:val="20"/>
        </w:rPr>
        <w:t> </w:t>
      </w:r>
      <w:r>
        <w:rPr>
          <w:sz w:val="20"/>
        </w:rPr>
        <w:t>and</w:t>
      </w:r>
    </w:p>
    <w:p>
      <w:pPr>
        <w:pStyle w:val="ListParagraph"/>
        <w:numPr>
          <w:ilvl w:val="2"/>
          <w:numId w:val="12"/>
        </w:numPr>
        <w:tabs>
          <w:tab w:pos="2157" w:val="left" w:leader="none"/>
          <w:tab w:pos="2158" w:val="left" w:leader="none"/>
        </w:tabs>
        <w:spacing w:line="206" w:lineRule="auto" w:before="79" w:after="0"/>
        <w:ind w:left="2157" w:right="1437" w:hanging="396"/>
        <w:jc w:val="left"/>
        <w:rPr>
          <w:sz w:val="11"/>
        </w:rPr>
      </w:pPr>
      <w:r>
        <w:rPr>
          <w:sz w:val="20"/>
        </w:rPr>
        <w:t>the</w:t>
      </w:r>
      <w:r>
        <w:rPr>
          <w:spacing w:val="-10"/>
          <w:sz w:val="20"/>
        </w:rPr>
        <w:t> </w:t>
      </w:r>
      <w:r>
        <w:rPr>
          <w:sz w:val="20"/>
        </w:rPr>
        <w:t>‘bias</w:t>
      </w:r>
      <w:r>
        <w:rPr>
          <w:spacing w:val="-9"/>
          <w:sz w:val="20"/>
        </w:rPr>
        <w:t> </w:t>
      </w:r>
      <w:r>
        <w:rPr>
          <w:spacing w:val="-4"/>
          <w:sz w:val="20"/>
        </w:rPr>
        <w:t>rule’,</w:t>
      </w:r>
      <w:r>
        <w:rPr>
          <w:spacing w:val="-9"/>
          <w:sz w:val="20"/>
        </w:rPr>
        <w:t> </w:t>
      </w:r>
      <w:r>
        <w:rPr>
          <w:sz w:val="20"/>
        </w:rPr>
        <w:t>which</w:t>
      </w:r>
      <w:r>
        <w:rPr>
          <w:spacing w:val="-10"/>
          <w:sz w:val="20"/>
        </w:rPr>
        <w:t> </w:t>
      </w:r>
      <w:r>
        <w:rPr>
          <w:sz w:val="20"/>
        </w:rPr>
        <w:t>is</w:t>
      </w:r>
      <w:r>
        <w:rPr>
          <w:spacing w:val="-9"/>
          <w:sz w:val="20"/>
        </w:rPr>
        <w:t> </w:t>
      </w:r>
      <w:r>
        <w:rPr>
          <w:sz w:val="20"/>
        </w:rPr>
        <w:t>the</w:t>
      </w:r>
      <w:r>
        <w:rPr>
          <w:spacing w:val="-9"/>
          <w:sz w:val="20"/>
        </w:rPr>
        <w:t> </w:t>
      </w:r>
      <w:r>
        <w:rPr>
          <w:sz w:val="20"/>
        </w:rPr>
        <w:t>right</w:t>
      </w:r>
      <w:r>
        <w:rPr>
          <w:spacing w:val="-10"/>
          <w:sz w:val="20"/>
        </w:rPr>
        <w:t> </w:t>
      </w:r>
      <w:r>
        <w:rPr>
          <w:sz w:val="20"/>
        </w:rPr>
        <w:t>to</w:t>
      </w:r>
      <w:r>
        <w:rPr>
          <w:spacing w:val="-9"/>
          <w:sz w:val="20"/>
        </w:rPr>
        <w:t> </w:t>
      </w:r>
      <w:r>
        <w:rPr>
          <w:spacing w:val="-4"/>
          <w:sz w:val="20"/>
        </w:rPr>
        <w:t>have</w:t>
      </w:r>
      <w:r>
        <w:rPr>
          <w:spacing w:val="-9"/>
          <w:sz w:val="20"/>
        </w:rPr>
        <w:t> </w:t>
      </w:r>
      <w:r>
        <w:rPr>
          <w:sz w:val="20"/>
        </w:rPr>
        <w:t>a</w:t>
      </w:r>
      <w:r>
        <w:rPr>
          <w:spacing w:val="-9"/>
          <w:sz w:val="20"/>
        </w:rPr>
        <w:t> </w:t>
      </w:r>
      <w:r>
        <w:rPr>
          <w:sz w:val="20"/>
        </w:rPr>
        <w:t>matter</w:t>
      </w:r>
      <w:r>
        <w:rPr>
          <w:spacing w:val="-10"/>
          <w:sz w:val="20"/>
        </w:rPr>
        <w:t> </w:t>
      </w:r>
      <w:r>
        <w:rPr>
          <w:sz w:val="20"/>
        </w:rPr>
        <w:t>determined</w:t>
      </w:r>
      <w:r>
        <w:rPr>
          <w:spacing w:val="-9"/>
          <w:sz w:val="20"/>
        </w:rPr>
        <w:t> </w:t>
      </w:r>
      <w:r>
        <w:rPr>
          <w:spacing w:val="-3"/>
          <w:sz w:val="20"/>
        </w:rPr>
        <w:t>by</w:t>
      </w:r>
      <w:r>
        <w:rPr>
          <w:spacing w:val="-9"/>
          <w:sz w:val="20"/>
        </w:rPr>
        <w:t> </w:t>
      </w:r>
      <w:r>
        <w:rPr>
          <w:sz w:val="20"/>
        </w:rPr>
        <w:t>a</w:t>
      </w:r>
      <w:r>
        <w:rPr>
          <w:spacing w:val="-10"/>
          <w:sz w:val="20"/>
        </w:rPr>
        <w:t> </w:t>
      </w:r>
      <w:r>
        <w:rPr>
          <w:sz w:val="20"/>
        </w:rPr>
        <w:t>decision</w:t>
      </w:r>
      <w:r>
        <w:rPr>
          <w:spacing w:val="-9"/>
          <w:sz w:val="20"/>
        </w:rPr>
        <w:t> </w:t>
      </w:r>
      <w:r>
        <w:rPr>
          <w:sz w:val="20"/>
        </w:rPr>
        <w:t>maker who is </w:t>
      </w:r>
      <w:r>
        <w:rPr>
          <w:spacing w:val="-3"/>
          <w:sz w:val="20"/>
        </w:rPr>
        <w:t>free from </w:t>
      </w:r>
      <w:r>
        <w:rPr>
          <w:sz w:val="20"/>
        </w:rPr>
        <w:t>bias and is seen to be</w:t>
      </w:r>
      <w:r>
        <w:rPr>
          <w:spacing w:val="-36"/>
          <w:sz w:val="20"/>
        </w:rPr>
        <w:t> </w:t>
      </w:r>
      <w:r>
        <w:rPr>
          <w:sz w:val="20"/>
        </w:rPr>
        <w:t>unbiased.</w:t>
      </w:r>
      <w:r>
        <w:rPr>
          <w:position w:val="7"/>
          <w:sz w:val="11"/>
        </w:rPr>
        <w:t>2</w:t>
      </w:r>
    </w:p>
    <w:p>
      <w:pPr>
        <w:pStyle w:val="ListParagraph"/>
        <w:numPr>
          <w:ilvl w:val="1"/>
          <w:numId w:val="12"/>
        </w:numPr>
        <w:tabs>
          <w:tab w:pos="1761" w:val="left" w:leader="none"/>
          <w:tab w:pos="1762" w:val="left" w:leader="none"/>
        </w:tabs>
        <w:spacing w:line="206" w:lineRule="auto" w:before="88" w:after="0"/>
        <w:ind w:left="1761" w:right="1533" w:hanging="794"/>
        <w:jc w:val="left"/>
        <w:rPr>
          <w:sz w:val="11"/>
        </w:rPr>
      </w:pPr>
      <w:r>
        <w:rPr>
          <w:sz w:val="20"/>
        </w:rPr>
        <w:t>The </w:t>
      </w:r>
      <w:r>
        <w:rPr>
          <w:i/>
          <w:sz w:val="20"/>
        </w:rPr>
        <w:t>International Covenant on Civil and Political Rights </w:t>
      </w:r>
      <w:r>
        <w:rPr>
          <w:sz w:val="20"/>
        </w:rPr>
        <w:t>and the </w:t>
      </w:r>
      <w:r>
        <w:rPr>
          <w:i/>
          <w:spacing w:val="-3"/>
          <w:sz w:val="20"/>
        </w:rPr>
        <w:t>Victorian </w:t>
      </w:r>
      <w:r>
        <w:rPr>
          <w:i/>
          <w:sz w:val="20"/>
        </w:rPr>
        <w:t>Charter of </w:t>
      </w:r>
      <w:r>
        <w:rPr>
          <w:i/>
          <w:sz w:val="20"/>
        </w:rPr>
        <w:t>Human</w:t>
      </w:r>
      <w:r>
        <w:rPr>
          <w:i/>
          <w:spacing w:val="-10"/>
          <w:sz w:val="20"/>
        </w:rPr>
        <w:t> </w:t>
      </w:r>
      <w:r>
        <w:rPr>
          <w:i/>
          <w:sz w:val="20"/>
        </w:rPr>
        <w:t>Rights</w:t>
      </w:r>
      <w:r>
        <w:rPr>
          <w:i/>
          <w:spacing w:val="-9"/>
          <w:sz w:val="20"/>
        </w:rPr>
        <w:t> </w:t>
      </w:r>
      <w:r>
        <w:rPr>
          <w:i/>
          <w:sz w:val="20"/>
        </w:rPr>
        <w:t>and</w:t>
      </w:r>
      <w:r>
        <w:rPr>
          <w:i/>
          <w:spacing w:val="-9"/>
          <w:sz w:val="20"/>
        </w:rPr>
        <w:t> </w:t>
      </w:r>
      <w:r>
        <w:rPr>
          <w:i/>
          <w:sz w:val="20"/>
        </w:rPr>
        <w:t>Responsibilities</w:t>
      </w:r>
      <w:r>
        <w:rPr>
          <w:i/>
          <w:spacing w:val="-9"/>
          <w:sz w:val="20"/>
        </w:rPr>
        <w:t> </w:t>
      </w:r>
      <w:r>
        <w:rPr>
          <w:sz w:val="20"/>
        </w:rPr>
        <w:t>both</w:t>
      </w:r>
      <w:r>
        <w:rPr>
          <w:spacing w:val="-9"/>
          <w:sz w:val="20"/>
        </w:rPr>
        <w:t> </w:t>
      </w:r>
      <w:r>
        <w:rPr>
          <w:spacing w:val="-3"/>
          <w:sz w:val="20"/>
        </w:rPr>
        <w:t>provide</w:t>
      </w:r>
      <w:r>
        <w:rPr>
          <w:spacing w:val="-10"/>
          <w:sz w:val="20"/>
        </w:rPr>
        <w:t> </w:t>
      </w:r>
      <w:r>
        <w:rPr>
          <w:sz w:val="20"/>
        </w:rPr>
        <w:t>that</w:t>
      </w:r>
      <w:r>
        <w:rPr>
          <w:spacing w:val="-9"/>
          <w:sz w:val="20"/>
        </w:rPr>
        <w:t> </w:t>
      </w:r>
      <w:r>
        <w:rPr>
          <w:spacing w:val="-2"/>
          <w:sz w:val="20"/>
        </w:rPr>
        <w:t>everyone</w:t>
      </w:r>
      <w:r>
        <w:rPr>
          <w:spacing w:val="-9"/>
          <w:sz w:val="20"/>
        </w:rPr>
        <w:t> </w:t>
      </w:r>
      <w:r>
        <w:rPr>
          <w:sz w:val="20"/>
        </w:rPr>
        <w:t>is</w:t>
      </w:r>
      <w:r>
        <w:rPr>
          <w:spacing w:val="-10"/>
          <w:sz w:val="20"/>
        </w:rPr>
        <w:t> </w:t>
      </w:r>
      <w:r>
        <w:rPr>
          <w:sz w:val="20"/>
        </w:rPr>
        <w:t>entitled</w:t>
      </w:r>
      <w:r>
        <w:rPr>
          <w:spacing w:val="-9"/>
          <w:sz w:val="20"/>
        </w:rPr>
        <w:t> </w:t>
      </w:r>
      <w:r>
        <w:rPr>
          <w:sz w:val="20"/>
        </w:rPr>
        <w:t>to</w:t>
      </w:r>
      <w:r>
        <w:rPr>
          <w:spacing w:val="-10"/>
          <w:sz w:val="20"/>
        </w:rPr>
        <w:t> </w:t>
      </w:r>
      <w:r>
        <w:rPr>
          <w:sz w:val="20"/>
        </w:rPr>
        <w:t>a</w:t>
      </w:r>
      <w:r>
        <w:rPr>
          <w:spacing w:val="-9"/>
          <w:sz w:val="20"/>
        </w:rPr>
        <w:t> </w:t>
      </w:r>
      <w:r>
        <w:rPr>
          <w:sz w:val="20"/>
        </w:rPr>
        <w:t>fair</w:t>
      </w:r>
      <w:r>
        <w:rPr>
          <w:spacing w:val="-9"/>
          <w:sz w:val="20"/>
        </w:rPr>
        <w:t> </w:t>
      </w:r>
      <w:r>
        <w:rPr>
          <w:sz w:val="20"/>
        </w:rPr>
        <w:t>and public</w:t>
      </w:r>
      <w:r>
        <w:rPr>
          <w:spacing w:val="-7"/>
          <w:sz w:val="20"/>
        </w:rPr>
        <w:t> </w:t>
      </w:r>
      <w:r>
        <w:rPr>
          <w:sz w:val="20"/>
        </w:rPr>
        <w:t>hearing</w:t>
      </w:r>
      <w:r>
        <w:rPr>
          <w:spacing w:val="-7"/>
          <w:sz w:val="20"/>
        </w:rPr>
        <w:t> </w:t>
      </w:r>
      <w:r>
        <w:rPr>
          <w:spacing w:val="-3"/>
          <w:sz w:val="20"/>
        </w:rPr>
        <w:t>before</w:t>
      </w:r>
      <w:r>
        <w:rPr>
          <w:spacing w:val="-6"/>
          <w:sz w:val="20"/>
        </w:rPr>
        <w:t> </w:t>
      </w:r>
      <w:r>
        <w:rPr>
          <w:sz w:val="20"/>
        </w:rPr>
        <w:t>a</w:t>
      </w:r>
      <w:r>
        <w:rPr>
          <w:spacing w:val="-7"/>
          <w:sz w:val="20"/>
        </w:rPr>
        <w:t> </w:t>
      </w:r>
      <w:r>
        <w:rPr>
          <w:sz w:val="20"/>
        </w:rPr>
        <w:t>competent,</w:t>
      </w:r>
      <w:r>
        <w:rPr>
          <w:spacing w:val="-6"/>
          <w:sz w:val="20"/>
        </w:rPr>
        <w:t> </w:t>
      </w:r>
      <w:r>
        <w:rPr>
          <w:sz w:val="20"/>
        </w:rPr>
        <w:t>independent,</w:t>
      </w:r>
      <w:r>
        <w:rPr>
          <w:spacing w:val="-7"/>
          <w:sz w:val="20"/>
        </w:rPr>
        <w:t> </w:t>
      </w:r>
      <w:r>
        <w:rPr>
          <w:sz w:val="20"/>
        </w:rPr>
        <w:t>and</w:t>
      </w:r>
      <w:r>
        <w:rPr>
          <w:spacing w:val="-7"/>
          <w:sz w:val="20"/>
        </w:rPr>
        <w:t> </w:t>
      </w:r>
      <w:r>
        <w:rPr>
          <w:sz w:val="20"/>
        </w:rPr>
        <w:t>impartial</w:t>
      </w:r>
      <w:r>
        <w:rPr>
          <w:spacing w:val="-6"/>
          <w:sz w:val="20"/>
        </w:rPr>
        <w:t> </w:t>
      </w:r>
      <w:r>
        <w:rPr>
          <w:sz w:val="20"/>
        </w:rPr>
        <w:t>tribunal.</w:t>
      </w:r>
      <w:r>
        <w:rPr>
          <w:position w:val="7"/>
          <w:sz w:val="11"/>
        </w:rPr>
        <w:t>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8"/>
        </w:rPr>
      </w:pPr>
      <w:r>
        <w:rPr/>
        <w:pict>
          <v:line style="position:absolute;mso-position-horizontal-relative:page;mso-position-vertical-relative:paragraph;z-index:4448;mso-wrap-distance-left:0;mso-wrap-distance-right:0" from="79.370102pt,15.515044pt" to="515.905102pt,15.515044pt" stroked="true" strokeweight="1pt" strokecolor="#b6bdc8">
            <v:stroke dashstyle="solid"/>
            <w10:wrap type="topAndBottom"/>
          </v:line>
        </w:pict>
      </w:r>
    </w:p>
    <w:p>
      <w:pPr>
        <w:pStyle w:val="ListParagraph"/>
        <w:numPr>
          <w:ilvl w:val="0"/>
          <w:numId w:val="59"/>
        </w:numPr>
        <w:tabs>
          <w:tab w:pos="1760" w:val="left" w:leader="none"/>
          <w:tab w:pos="1762" w:val="left" w:leader="none"/>
        </w:tabs>
        <w:spacing w:line="170" w:lineRule="exact" w:before="91" w:after="0"/>
        <w:ind w:left="1761" w:right="0" w:hanging="794"/>
        <w:jc w:val="left"/>
        <w:rPr>
          <w:sz w:val="13"/>
        </w:rPr>
      </w:pP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pStyle w:val="ListParagraph"/>
        <w:numPr>
          <w:ilvl w:val="0"/>
          <w:numId w:val="59"/>
        </w:numPr>
        <w:tabs>
          <w:tab w:pos="1760" w:val="left" w:leader="none"/>
          <w:tab w:pos="1762" w:val="left" w:leader="none"/>
        </w:tabs>
        <w:spacing w:line="160" w:lineRule="exact" w:before="0" w:after="0"/>
        <w:ind w:left="1761" w:right="0" w:hanging="794"/>
        <w:jc w:val="left"/>
        <w:rPr>
          <w:sz w:val="13"/>
        </w:rPr>
      </w:pPr>
      <w:r>
        <w:rPr>
          <w:sz w:val="13"/>
        </w:rPr>
        <w:t>See 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39</w:t>
      </w:r>
      <w:r>
        <w:rPr>
          <w:spacing w:val="3"/>
          <w:sz w:val="13"/>
        </w:rPr>
        <w:t> </w:t>
      </w:r>
      <w:r>
        <w:rPr>
          <w:spacing w:val="2"/>
          <w:sz w:val="13"/>
        </w:rPr>
        <w:t>[3.140].</w:t>
      </w:r>
    </w:p>
    <w:p>
      <w:pPr>
        <w:pStyle w:val="ListParagraph"/>
        <w:numPr>
          <w:ilvl w:val="0"/>
          <w:numId w:val="59"/>
        </w:numPr>
        <w:tabs>
          <w:tab w:pos="1761" w:val="left" w:leader="none"/>
          <w:tab w:pos="1762" w:val="left" w:leader="none"/>
        </w:tabs>
        <w:spacing w:line="213" w:lineRule="auto" w:before="6" w:after="0"/>
        <w:ind w:left="1761" w:right="1404" w:hanging="794"/>
        <w:jc w:val="left"/>
        <w:rPr>
          <w:sz w:val="13"/>
        </w:rPr>
      </w:pPr>
      <w:r>
        <w:rPr/>
        <w:pict>
          <v:shape style="position:absolute;margin-left:36pt;margin-top:3.69609pt;width:13.35pt;height:14.1pt;mso-position-horizontal-relative:page;mso-position-vertical-relative:paragraph;z-index:6544" type="#_x0000_t202" filled="false" stroked="false">
            <v:textbox inset="0,0,0,0">
              <w:txbxContent>
                <w:p>
                  <w:pPr>
                    <w:spacing w:line="282" w:lineRule="exact" w:before="0"/>
                    <w:ind w:left="0" w:right="0" w:firstLine="0"/>
                    <w:jc w:val="left"/>
                    <w:rPr>
                      <w:b/>
                      <w:sz w:val="24"/>
                    </w:rPr>
                  </w:pPr>
                  <w:r>
                    <w:rPr>
                      <w:b/>
                      <w:color w:val="37617A"/>
                      <w:spacing w:val="-8"/>
                      <w:sz w:val="24"/>
                    </w:rPr>
                    <w:t>70</w:t>
                  </w:r>
                </w:p>
              </w:txbxContent>
            </v:textbox>
            <w10:wrap type="none"/>
          </v:shape>
        </w:pict>
      </w:r>
      <w:r>
        <w:rPr>
          <w:i/>
          <w:sz w:val="13"/>
        </w:rPr>
        <w:t>International Covenant on Civil and Political Rights</w:t>
      </w:r>
      <w:r>
        <w:rPr>
          <w:sz w:val="13"/>
        </w:rPr>
        <w:t>, GA Res 2200A </w:t>
      </w:r>
      <w:r>
        <w:rPr>
          <w:spacing w:val="2"/>
          <w:sz w:val="13"/>
        </w:rPr>
        <w:t>(XXI), </w:t>
      </w:r>
      <w:r>
        <w:rPr>
          <w:sz w:val="13"/>
        </w:rPr>
        <w:t>UN Doc A/6316 (16 </w:t>
      </w:r>
      <w:r>
        <w:rPr>
          <w:spacing w:val="2"/>
          <w:sz w:val="13"/>
        </w:rPr>
        <w:t>December 1966, </w:t>
      </w:r>
      <w:r>
        <w:rPr>
          <w:sz w:val="13"/>
        </w:rPr>
        <w:t>Adopted 23 March 1976) </w:t>
      </w:r>
      <w:r>
        <w:rPr>
          <w:spacing w:val="2"/>
          <w:sz w:val="13"/>
        </w:rPr>
        <w:t>art 14; </w:t>
      </w:r>
      <w:r>
        <w:rPr>
          <w:i/>
          <w:sz w:val="13"/>
        </w:rPr>
        <w:t>Charter of Human </w:t>
      </w:r>
      <w:r>
        <w:rPr>
          <w:i/>
          <w:spacing w:val="2"/>
          <w:sz w:val="13"/>
        </w:rPr>
        <w:t>Rights </w:t>
      </w:r>
      <w:r>
        <w:rPr>
          <w:i/>
          <w:sz w:val="13"/>
        </w:rPr>
        <w:t>and Responsibilities Act 2006 </w:t>
      </w:r>
      <w:r>
        <w:rPr>
          <w:spacing w:val="2"/>
          <w:sz w:val="13"/>
        </w:rPr>
        <w:t>(Vic) </w:t>
      </w:r>
      <w:r>
        <w:rPr>
          <w:sz w:val="13"/>
        </w:rPr>
        <w:t>s </w:t>
      </w:r>
      <w:r>
        <w:rPr>
          <w:spacing w:val="2"/>
          <w:sz w:val="13"/>
        </w:rPr>
        <w:t>24(1).</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Heading3"/>
        <w:spacing w:before="49"/>
      </w:pPr>
      <w:bookmarkStart w:name="_bookmark57" w:id="150"/>
      <w:bookmarkEnd w:id="150"/>
      <w:r>
        <w:rPr>
          <w:b w:val="0"/>
        </w:rPr>
      </w:r>
      <w:r>
        <w:rPr/>
        <w:t>How do jury laws promote a fair trial?</w:t>
      </w:r>
    </w:p>
    <w:p>
      <w:pPr>
        <w:pStyle w:val="ListParagraph"/>
        <w:numPr>
          <w:ilvl w:val="1"/>
          <w:numId w:val="12"/>
        </w:numPr>
        <w:tabs>
          <w:tab w:pos="1762" w:val="left" w:leader="none"/>
        </w:tabs>
        <w:spacing w:line="206" w:lineRule="auto" w:before="127" w:after="0"/>
        <w:ind w:left="1761" w:right="1558" w:hanging="794"/>
        <w:jc w:val="both"/>
        <w:rPr>
          <w:sz w:val="11"/>
        </w:rPr>
      </w:pPr>
      <w:r>
        <w:rPr>
          <w:sz w:val="20"/>
        </w:rPr>
        <w:t>Existing</w:t>
      </w:r>
      <w:r>
        <w:rPr>
          <w:spacing w:val="-10"/>
          <w:sz w:val="20"/>
        </w:rPr>
        <w:t> </w:t>
      </w:r>
      <w:r>
        <w:rPr>
          <w:sz w:val="20"/>
        </w:rPr>
        <w:t>mechanisms</w:t>
      </w:r>
      <w:r>
        <w:rPr>
          <w:spacing w:val="-10"/>
          <w:sz w:val="20"/>
        </w:rPr>
        <w:t> </w:t>
      </w:r>
      <w:r>
        <w:rPr>
          <w:sz w:val="20"/>
        </w:rPr>
        <w:t>at</w:t>
      </w:r>
      <w:r>
        <w:rPr>
          <w:spacing w:val="-10"/>
          <w:sz w:val="20"/>
        </w:rPr>
        <w:t> </w:t>
      </w:r>
      <w:r>
        <w:rPr>
          <w:sz w:val="20"/>
        </w:rPr>
        <w:t>common</w:t>
      </w:r>
      <w:r>
        <w:rPr>
          <w:spacing w:val="-10"/>
          <w:sz w:val="20"/>
        </w:rPr>
        <w:t> </w:t>
      </w:r>
      <w:r>
        <w:rPr>
          <w:sz w:val="20"/>
        </w:rPr>
        <w:t>law</w:t>
      </w:r>
      <w:r>
        <w:rPr>
          <w:spacing w:val="-10"/>
          <w:sz w:val="20"/>
        </w:rPr>
        <w:t> </w:t>
      </w:r>
      <w:r>
        <w:rPr>
          <w:sz w:val="20"/>
        </w:rPr>
        <w:t>and</w:t>
      </w:r>
      <w:r>
        <w:rPr>
          <w:spacing w:val="-10"/>
          <w:sz w:val="20"/>
        </w:rPr>
        <w:t> </w:t>
      </w:r>
      <w:r>
        <w:rPr>
          <w:sz w:val="20"/>
        </w:rPr>
        <w:t>in</w:t>
      </w:r>
      <w:r>
        <w:rPr>
          <w:spacing w:val="-10"/>
          <w:sz w:val="20"/>
        </w:rPr>
        <w:t> </w:t>
      </w:r>
      <w:r>
        <w:rPr>
          <w:sz w:val="20"/>
        </w:rPr>
        <w:t>the</w:t>
      </w:r>
      <w:r>
        <w:rPr>
          <w:spacing w:val="-10"/>
          <w:sz w:val="20"/>
        </w:rPr>
        <w:t> </w:t>
      </w:r>
      <w:r>
        <w:rPr>
          <w:i/>
          <w:sz w:val="20"/>
        </w:rPr>
        <w:t>Juries</w:t>
      </w:r>
      <w:r>
        <w:rPr>
          <w:i/>
          <w:spacing w:val="-9"/>
          <w:sz w:val="20"/>
        </w:rPr>
        <w:t> </w:t>
      </w:r>
      <w:r>
        <w:rPr>
          <w:i/>
          <w:sz w:val="20"/>
        </w:rPr>
        <w:t>Act</w:t>
      </w:r>
      <w:r>
        <w:rPr>
          <w:i/>
          <w:spacing w:val="-10"/>
          <w:sz w:val="20"/>
        </w:rPr>
        <w:t> </w:t>
      </w:r>
      <w:r>
        <w:rPr>
          <w:i/>
          <w:sz w:val="20"/>
        </w:rPr>
        <w:t>2000</w:t>
      </w:r>
      <w:r>
        <w:rPr>
          <w:i/>
          <w:spacing w:val="-9"/>
          <w:sz w:val="20"/>
        </w:rPr>
        <w:t> </w:t>
      </w:r>
      <w:r>
        <w:rPr>
          <w:sz w:val="20"/>
        </w:rPr>
        <w:t>(Vic)</w:t>
      </w:r>
      <w:r>
        <w:rPr>
          <w:spacing w:val="-10"/>
          <w:sz w:val="20"/>
        </w:rPr>
        <w:t> </w:t>
      </w:r>
      <w:r>
        <w:rPr>
          <w:sz w:val="20"/>
        </w:rPr>
        <w:t>(the</w:t>
      </w:r>
      <w:r>
        <w:rPr>
          <w:spacing w:val="-10"/>
          <w:sz w:val="20"/>
        </w:rPr>
        <w:t> </w:t>
      </w:r>
      <w:r>
        <w:rPr>
          <w:sz w:val="20"/>
        </w:rPr>
        <w:t>Act)</w:t>
      </w:r>
      <w:r>
        <w:rPr>
          <w:spacing w:val="-10"/>
          <w:sz w:val="20"/>
        </w:rPr>
        <w:t> </w:t>
      </w:r>
      <w:r>
        <w:rPr>
          <w:sz w:val="20"/>
        </w:rPr>
        <w:t>aim</w:t>
      </w:r>
      <w:r>
        <w:rPr>
          <w:spacing w:val="-10"/>
          <w:sz w:val="20"/>
        </w:rPr>
        <w:t> </w:t>
      </w:r>
      <w:r>
        <w:rPr>
          <w:sz w:val="20"/>
        </w:rPr>
        <w:t>to </w:t>
      </w:r>
      <w:r>
        <w:rPr>
          <w:spacing w:val="-3"/>
          <w:sz w:val="20"/>
        </w:rPr>
        <w:t>protect</w:t>
      </w:r>
      <w:r>
        <w:rPr>
          <w:spacing w:val="-8"/>
          <w:sz w:val="20"/>
        </w:rPr>
        <w:t> </w:t>
      </w:r>
      <w:r>
        <w:rPr>
          <w:sz w:val="20"/>
        </w:rPr>
        <w:t>the</w:t>
      </w:r>
      <w:r>
        <w:rPr>
          <w:spacing w:val="-7"/>
          <w:sz w:val="20"/>
        </w:rPr>
        <w:t> </w:t>
      </w:r>
      <w:r>
        <w:rPr>
          <w:sz w:val="20"/>
        </w:rPr>
        <w:t>right</w:t>
      </w:r>
      <w:r>
        <w:rPr>
          <w:spacing w:val="-8"/>
          <w:sz w:val="20"/>
        </w:rPr>
        <w:t> </w:t>
      </w:r>
      <w:r>
        <w:rPr>
          <w:sz w:val="20"/>
        </w:rPr>
        <w:t>to</w:t>
      </w:r>
      <w:r>
        <w:rPr>
          <w:spacing w:val="-7"/>
          <w:sz w:val="20"/>
        </w:rPr>
        <w:t> </w:t>
      </w:r>
      <w:r>
        <w:rPr>
          <w:sz w:val="20"/>
        </w:rPr>
        <w:t>a</w:t>
      </w:r>
      <w:r>
        <w:rPr>
          <w:spacing w:val="-7"/>
          <w:sz w:val="20"/>
        </w:rPr>
        <w:t> </w:t>
      </w:r>
      <w:r>
        <w:rPr>
          <w:sz w:val="20"/>
        </w:rPr>
        <w:t>fair</w:t>
      </w:r>
      <w:r>
        <w:rPr>
          <w:spacing w:val="-8"/>
          <w:sz w:val="20"/>
        </w:rPr>
        <w:t> </w:t>
      </w:r>
      <w:r>
        <w:rPr>
          <w:sz w:val="20"/>
        </w:rPr>
        <w:t>trial.</w:t>
      </w:r>
      <w:r>
        <w:rPr>
          <w:spacing w:val="-7"/>
          <w:sz w:val="20"/>
        </w:rPr>
        <w:t> </w:t>
      </w:r>
      <w:r>
        <w:rPr>
          <w:spacing w:val="-3"/>
          <w:sz w:val="20"/>
        </w:rPr>
        <w:t>At</w:t>
      </w:r>
      <w:r>
        <w:rPr>
          <w:spacing w:val="-7"/>
          <w:sz w:val="20"/>
        </w:rPr>
        <w:t> </w:t>
      </w:r>
      <w:r>
        <w:rPr>
          <w:sz w:val="20"/>
        </w:rPr>
        <w:t>common</w:t>
      </w:r>
      <w:r>
        <w:rPr>
          <w:spacing w:val="-8"/>
          <w:sz w:val="20"/>
        </w:rPr>
        <w:t> </w:t>
      </w:r>
      <w:r>
        <w:rPr>
          <w:spacing w:val="-5"/>
          <w:sz w:val="20"/>
        </w:rPr>
        <w:t>law,</w:t>
      </w:r>
      <w:r>
        <w:rPr>
          <w:spacing w:val="-7"/>
          <w:sz w:val="20"/>
        </w:rPr>
        <w:t> </w:t>
      </w:r>
      <w:r>
        <w:rPr>
          <w:sz w:val="20"/>
        </w:rPr>
        <w:t>trial</w:t>
      </w:r>
      <w:r>
        <w:rPr>
          <w:spacing w:val="-8"/>
          <w:sz w:val="20"/>
        </w:rPr>
        <w:t> </w:t>
      </w:r>
      <w:r>
        <w:rPr>
          <w:sz w:val="20"/>
        </w:rPr>
        <w:t>judges</w:t>
      </w:r>
      <w:r>
        <w:rPr>
          <w:spacing w:val="-7"/>
          <w:sz w:val="20"/>
        </w:rPr>
        <w:t> </w:t>
      </w:r>
      <w:r>
        <w:rPr>
          <w:spacing w:val="-4"/>
          <w:sz w:val="20"/>
        </w:rPr>
        <w:t>have</w:t>
      </w:r>
      <w:r>
        <w:rPr>
          <w:spacing w:val="-7"/>
          <w:sz w:val="20"/>
        </w:rPr>
        <w:t> </w:t>
      </w:r>
      <w:r>
        <w:rPr>
          <w:sz w:val="20"/>
        </w:rPr>
        <w:t>an</w:t>
      </w:r>
      <w:r>
        <w:rPr>
          <w:spacing w:val="-8"/>
          <w:sz w:val="20"/>
        </w:rPr>
        <w:t> </w:t>
      </w:r>
      <w:r>
        <w:rPr>
          <w:spacing w:val="-3"/>
          <w:sz w:val="20"/>
        </w:rPr>
        <w:t>overriding</w:t>
      </w:r>
      <w:r>
        <w:rPr>
          <w:spacing w:val="-7"/>
          <w:sz w:val="20"/>
        </w:rPr>
        <w:t> </w:t>
      </w:r>
      <w:r>
        <w:rPr>
          <w:sz w:val="20"/>
        </w:rPr>
        <w:t>duty</w:t>
      </w:r>
      <w:r>
        <w:rPr>
          <w:spacing w:val="-7"/>
          <w:sz w:val="20"/>
        </w:rPr>
        <w:t> </w:t>
      </w:r>
      <w:r>
        <w:rPr>
          <w:sz w:val="20"/>
        </w:rPr>
        <w:t>to ensure</w:t>
      </w:r>
      <w:r>
        <w:rPr>
          <w:spacing w:val="-6"/>
          <w:sz w:val="20"/>
        </w:rPr>
        <w:t> </w:t>
      </w:r>
      <w:r>
        <w:rPr>
          <w:sz w:val="20"/>
        </w:rPr>
        <w:t>a</w:t>
      </w:r>
      <w:r>
        <w:rPr>
          <w:spacing w:val="-6"/>
          <w:sz w:val="20"/>
        </w:rPr>
        <w:t> </w:t>
      </w:r>
      <w:r>
        <w:rPr>
          <w:sz w:val="20"/>
        </w:rPr>
        <w:t>fair</w:t>
      </w:r>
      <w:r>
        <w:rPr>
          <w:spacing w:val="-6"/>
          <w:sz w:val="20"/>
        </w:rPr>
        <w:t> </w:t>
      </w:r>
      <w:r>
        <w:rPr>
          <w:sz w:val="20"/>
        </w:rPr>
        <w:t>trial</w:t>
      </w:r>
      <w:r>
        <w:rPr>
          <w:position w:val="7"/>
          <w:sz w:val="11"/>
        </w:rPr>
        <w:t>4</w:t>
      </w:r>
      <w:r>
        <w:rPr>
          <w:spacing w:val="19"/>
          <w:position w:val="7"/>
          <w:sz w:val="11"/>
        </w:rPr>
        <w:t> </w:t>
      </w:r>
      <w:r>
        <w:rPr>
          <w:sz w:val="20"/>
        </w:rPr>
        <w:t>and</w:t>
      </w:r>
      <w:r>
        <w:rPr>
          <w:spacing w:val="-6"/>
          <w:sz w:val="20"/>
        </w:rPr>
        <w:t> </w:t>
      </w:r>
      <w:r>
        <w:rPr>
          <w:sz w:val="20"/>
        </w:rPr>
        <w:t>inherent</w:t>
      </w:r>
      <w:r>
        <w:rPr>
          <w:spacing w:val="-6"/>
          <w:sz w:val="20"/>
        </w:rPr>
        <w:t> </w:t>
      </w:r>
      <w:r>
        <w:rPr>
          <w:spacing w:val="-3"/>
          <w:sz w:val="20"/>
        </w:rPr>
        <w:t>powers</w:t>
      </w:r>
      <w:r>
        <w:rPr>
          <w:spacing w:val="-5"/>
          <w:sz w:val="20"/>
        </w:rPr>
        <w:t> </w:t>
      </w:r>
      <w:r>
        <w:rPr>
          <w:sz w:val="20"/>
        </w:rPr>
        <w:t>to</w:t>
      </w:r>
      <w:r>
        <w:rPr>
          <w:spacing w:val="-6"/>
          <w:sz w:val="20"/>
        </w:rPr>
        <w:t> </w:t>
      </w:r>
      <w:r>
        <w:rPr>
          <w:sz w:val="20"/>
        </w:rPr>
        <w:t>stand</w:t>
      </w:r>
      <w:r>
        <w:rPr>
          <w:spacing w:val="-6"/>
          <w:sz w:val="20"/>
        </w:rPr>
        <w:t> </w:t>
      </w:r>
      <w:r>
        <w:rPr>
          <w:sz w:val="20"/>
        </w:rPr>
        <w:t>aside</w:t>
      </w:r>
      <w:r>
        <w:rPr>
          <w:spacing w:val="-6"/>
          <w:sz w:val="20"/>
        </w:rPr>
        <w:t> </w:t>
      </w:r>
      <w:r>
        <w:rPr>
          <w:sz w:val="20"/>
        </w:rPr>
        <w:t>a</w:t>
      </w:r>
      <w:r>
        <w:rPr>
          <w:spacing w:val="-6"/>
          <w:sz w:val="20"/>
        </w:rPr>
        <w:t> </w:t>
      </w:r>
      <w:r>
        <w:rPr>
          <w:sz w:val="20"/>
        </w:rPr>
        <w:t>juror</w:t>
      </w:r>
      <w:r>
        <w:rPr>
          <w:spacing w:val="-6"/>
          <w:sz w:val="20"/>
        </w:rPr>
        <w:t> </w:t>
      </w:r>
      <w:r>
        <w:rPr>
          <w:sz w:val="20"/>
        </w:rPr>
        <w:t>if</w:t>
      </w:r>
      <w:r>
        <w:rPr>
          <w:spacing w:val="-6"/>
          <w:sz w:val="20"/>
        </w:rPr>
        <w:t> </w:t>
      </w:r>
      <w:r>
        <w:rPr>
          <w:sz w:val="20"/>
        </w:rPr>
        <w:t>required.</w:t>
      </w:r>
      <w:r>
        <w:rPr>
          <w:position w:val="7"/>
          <w:sz w:val="11"/>
        </w:rPr>
        <w:t>5</w:t>
      </w:r>
    </w:p>
    <w:p>
      <w:pPr>
        <w:pStyle w:val="ListParagraph"/>
        <w:numPr>
          <w:ilvl w:val="1"/>
          <w:numId w:val="12"/>
        </w:numPr>
        <w:tabs>
          <w:tab w:pos="1761" w:val="left" w:leader="none"/>
          <w:tab w:pos="1762" w:val="left" w:leader="none"/>
        </w:tabs>
        <w:spacing w:line="206" w:lineRule="auto" w:before="124" w:after="0"/>
        <w:ind w:left="1761" w:right="1477" w:hanging="794"/>
        <w:jc w:val="left"/>
        <w:rPr>
          <w:sz w:val="20"/>
        </w:rPr>
      </w:pPr>
      <w:r>
        <w:rPr>
          <w:spacing w:val="-5"/>
          <w:sz w:val="20"/>
        </w:rPr>
        <w:t>Trial</w:t>
      </w:r>
      <w:r>
        <w:rPr>
          <w:spacing w:val="-9"/>
          <w:sz w:val="20"/>
        </w:rPr>
        <w:t> </w:t>
      </w:r>
      <w:r>
        <w:rPr>
          <w:sz w:val="20"/>
        </w:rPr>
        <w:t>judges</w:t>
      </w:r>
      <w:r>
        <w:rPr>
          <w:spacing w:val="-8"/>
          <w:sz w:val="20"/>
        </w:rPr>
        <w:t> </w:t>
      </w:r>
      <w:r>
        <w:rPr>
          <w:sz w:val="20"/>
        </w:rPr>
        <w:t>also</w:t>
      </w:r>
      <w:r>
        <w:rPr>
          <w:spacing w:val="-9"/>
          <w:sz w:val="20"/>
        </w:rPr>
        <w:t> </w:t>
      </w:r>
      <w:r>
        <w:rPr>
          <w:spacing w:val="-4"/>
          <w:sz w:val="20"/>
        </w:rPr>
        <w:t>have</w:t>
      </w:r>
      <w:r>
        <w:rPr>
          <w:spacing w:val="-8"/>
          <w:sz w:val="20"/>
        </w:rPr>
        <w:t> </w:t>
      </w:r>
      <w:r>
        <w:rPr>
          <w:sz w:val="20"/>
        </w:rPr>
        <w:t>general</w:t>
      </w:r>
      <w:r>
        <w:rPr>
          <w:spacing w:val="-9"/>
          <w:sz w:val="20"/>
        </w:rPr>
        <w:t> </w:t>
      </w:r>
      <w:r>
        <w:rPr>
          <w:spacing w:val="-3"/>
          <w:sz w:val="20"/>
        </w:rPr>
        <w:t>powers</w:t>
      </w:r>
      <w:r>
        <w:rPr>
          <w:spacing w:val="-8"/>
          <w:sz w:val="20"/>
        </w:rPr>
        <w:t> </w:t>
      </w:r>
      <w:r>
        <w:rPr>
          <w:sz w:val="20"/>
        </w:rPr>
        <w:t>under</w:t>
      </w:r>
      <w:r>
        <w:rPr>
          <w:spacing w:val="-9"/>
          <w:sz w:val="20"/>
        </w:rPr>
        <w:t> </w:t>
      </w:r>
      <w:r>
        <w:rPr>
          <w:sz w:val="20"/>
        </w:rPr>
        <w:t>the</w:t>
      </w:r>
      <w:r>
        <w:rPr>
          <w:spacing w:val="-8"/>
          <w:sz w:val="20"/>
        </w:rPr>
        <w:t> </w:t>
      </w:r>
      <w:r>
        <w:rPr>
          <w:spacing w:val="-2"/>
          <w:sz w:val="20"/>
        </w:rPr>
        <w:t>Act</w:t>
      </w:r>
      <w:r>
        <w:rPr>
          <w:spacing w:val="-8"/>
          <w:sz w:val="20"/>
        </w:rPr>
        <w:t> </w:t>
      </w:r>
      <w:r>
        <w:rPr>
          <w:sz w:val="20"/>
        </w:rPr>
        <w:t>to</w:t>
      </w:r>
      <w:r>
        <w:rPr>
          <w:spacing w:val="-9"/>
          <w:sz w:val="20"/>
        </w:rPr>
        <w:t> </w:t>
      </w:r>
      <w:r>
        <w:rPr>
          <w:spacing w:val="-3"/>
          <w:sz w:val="20"/>
        </w:rPr>
        <w:t>excuse</w:t>
      </w:r>
      <w:r>
        <w:rPr>
          <w:spacing w:val="-8"/>
          <w:sz w:val="20"/>
        </w:rPr>
        <w:t> </w:t>
      </w:r>
      <w:r>
        <w:rPr>
          <w:sz w:val="20"/>
        </w:rPr>
        <w:t>prospective</w:t>
      </w:r>
      <w:r>
        <w:rPr>
          <w:spacing w:val="-9"/>
          <w:sz w:val="20"/>
        </w:rPr>
        <w:t> </w:t>
      </w:r>
      <w:r>
        <w:rPr>
          <w:sz w:val="20"/>
        </w:rPr>
        <w:t>jurors</w:t>
      </w:r>
      <w:r>
        <w:rPr>
          <w:spacing w:val="-8"/>
          <w:sz w:val="20"/>
        </w:rPr>
        <w:t> </w:t>
      </w:r>
      <w:r>
        <w:rPr>
          <w:sz w:val="20"/>
        </w:rPr>
        <w:t>for good</w:t>
      </w:r>
      <w:r>
        <w:rPr>
          <w:spacing w:val="-10"/>
          <w:sz w:val="20"/>
        </w:rPr>
        <w:t> </w:t>
      </w:r>
      <w:r>
        <w:rPr>
          <w:sz w:val="20"/>
        </w:rPr>
        <w:t>reason,</w:t>
      </w:r>
      <w:r>
        <w:rPr>
          <w:position w:val="7"/>
          <w:sz w:val="11"/>
        </w:rPr>
        <w:t>6</w:t>
      </w:r>
      <w:r>
        <w:rPr>
          <w:spacing w:val="16"/>
          <w:position w:val="7"/>
          <w:sz w:val="11"/>
        </w:rPr>
        <w:t> </w:t>
      </w:r>
      <w:r>
        <w:rPr>
          <w:sz w:val="20"/>
        </w:rPr>
        <w:t>or</w:t>
      </w:r>
      <w:r>
        <w:rPr>
          <w:spacing w:val="-9"/>
          <w:sz w:val="20"/>
        </w:rPr>
        <w:t> </w:t>
      </w:r>
      <w:r>
        <w:rPr>
          <w:sz w:val="20"/>
        </w:rPr>
        <w:t>to</w:t>
      </w:r>
      <w:r>
        <w:rPr>
          <w:spacing w:val="-9"/>
          <w:sz w:val="20"/>
        </w:rPr>
        <w:t> </w:t>
      </w:r>
      <w:r>
        <w:rPr>
          <w:sz w:val="20"/>
        </w:rPr>
        <w:t>order</w:t>
      </w:r>
      <w:r>
        <w:rPr>
          <w:spacing w:val="-9"/>
          <w:sz w:val="20"/>
        </w:rPr>
        <w:t> </w:t>
      </w:r>
      <w:r>
        <w:rPr>
          <w:sz w:val="20"/>
        </w:rPr>
        <w:t>that</w:t>
      </w:r>
      <w:r>
        <w:rPr>
          <w:spacing w:val="-9"/>
          <w:sz w:val="20"/>
        </w:rPr>
        <w:t> </w:t>
      </w:r>
      <w:r>
        <w:rPr>
          <w:sz w:val="20"/>
        </w:rPr>
        <w:t>they</w:t>
      </w:r>
      <w:r>
        <w:rPr>
          <w:spacing w:val="-9"/>
          <w:sz w:val="20"/>
        </w:rPr>
        <w:t> </w:t>
      </w:r>
      <w:r>
        <w:rPr>
          <w:sz w:val="20"/>
        </w:rPr>
        <w:t>not</w:t>
      </w:r>
      <w:r>
        <w:rPr>
          <w:spacing w:val="-9"/>
          <w:sz w:val="20"/>
        </w:rPr>
        <w:t> </w:t>
      </w:r>
      <w:r>
        <w:rPr>
          <w:sz w:val="20"/>
        </w:rPr>
        <w:t>perform</w:t>
      </w:r>
      <w:r>
        <w:rPr>
          <w:spacing w:val="-9"/>
          <w:sz w:val="20"/>
        </w:rPr>
        <w:t> </w:t>
      </w:r>
      <w:r>
        <w:rPr>
          <w:sz w:val="20"/>
        </w:rPr>
        <w:t>jury</w:t>
      </w:r>
      <w:r>
        <w:rPr>
          <w:spacing w:val="-9"/>
          <w:sz w:val="20"/>
        </w:rPr>
        <w:t> </w:t>
      </w:r>
      <w:r>
        <w:rPr>
          <w:sz w:val="20"/>
        </w:rPr>
        <w:t>service</w:t>
      </w:r>
      <w:r>
        <w:rPr>
          <w:spacing w:val="-9"/>
          <w:sz w:val="20"/>
        </w:rPr>
        <w:t> </w:t>
      </w:r>
      <w:r>
        <w:rPr>
          <w:sz w:val="20"/>
        </w:rPr>
        <w:t>if</w:t>
      </w:r>
      <w:r>
        <w:rPr>
          <w:spacing w:val="-9"/>
          <w:sz w:val="20"/>
        </w:rPr>
        <w:t> </w:t>
      </w:r>
      <w:r>
        <w:rPr>
          <w:sz w:val="20"/>
        </w:rPr>
        <w:t>the</w:t>
      </w:r>
      <w:r>
        <w:rPr>
          <w:spacing w:val="-9"/>
          <w:sz w:val="20"/>
        </w:rPr>
        <w:t> </w:t>
      </w:r>
      <w:r>
        <w:rPr>
          <w:sz w:val="20"/>
        </w:rPr>
        <w:t>court</w:t>
      </w:r>
      <w:r>
        <w:rPr>
          <w:spacing w:val="-9"/>
          <w:sz w:val="20"/>
        </w:rPr>
        <w:t> </w:t>
      </w:r>
      <w:r>
        <w:rPr>
          <w:sz w:val="20"/>
        </w:rPr>
        <w:t>considers</w:t>
      </w:r>
      <w:r>
        <w:rPr>
          <w:spacing w:val="-9"/>
          <w:sz w:val="20"/>
        </w:rPr>
        <w:t> </w:t>
      </w:r>
      <w:r>
        <w:rPr>
          <w:sz w:val="20"/>
        </w:rPr>
        <w:t>it</w:t>
      </w:r>
      <w:r>
        <w:rPr>
          <w:spacing w:val="-9"/>
          <w:sz w:val="20"/>
        </w:rPr>
        <w:t> </w:t>
      </w:r>
      <w:r>
        <w:rPr>
          <w:sz w:val="20"/>
        </w:rPr>
        <w:t>is</w:t>
      </w:r>
    </w:p>
    <w:p>
      <w:pPr>
        <w:pStyle w:val="BodyText"/>
        <w:spacing w:line="206" w:lineRule="auto" w:before="2"/>
        <w:ind w:left="1761" w:right="1127"/>
        <w:rPr>
          <w:sz w:val="11"/>
        </w:rPr>
      </w:pPr>
      <w:r>
        <w:rPr/>
        <w:t>‘ just and </w:t>
      </w:r>
      <w:r>
        <w:rPr>
          <w:spacing w:val="-3"/>
        </w:rPr>
        <w:t>reasonable’ </w:t>
      </w:r>
      <w:r>
        <w:rPr/>
        <w:t>to do </w:t>
      </w:r>
      <w:r>
        <w:rPr>
          <w:spacing w:val="-4"/>
        </w:rPr>
        <w:t>so.</w:t>
      </w:r>
      <w:r>
        <w:rPr>
          <w:spacing w:val="-4"/>
          <w:position w:val="7"/>
          <w:sz w:val="11"/>
        </w:rPr>
        <w:t>7 </w:t>
      </w:r>
      <w:r>
        <w:rPr/>
        <w:t>Once a jury has been </w:t>
      </w:r>
      <w:r>
        <w:rPr>
          <w:spacing w:val="-3"/>
        </w:rPr>
        <w:t>sworn </w:t>
      </w:r>
      <w:r>
        <w:rPr/>
        <w:t>in, there is a statutory </w:t>
      </w:r>
      <w:r>
        <w:rPr>
          <w:spacing w:val="-3"/>
        </w:rPr>
        <w:t>power </w:t>
      </w:r>
      <w:r>
        <w:rPr/>
        <w:t>for the court to discharge a juror without discharging the </w:t>
      </w:r>
      <w:r>
        <w:rPr>
          <w:spacing w:val="-3"/>
        </w:rPr>
        <w:t>entire jury, </w:t>
      </w:r>
      <w:r>
        <w:rPr/>
        <w:t>including if a judge thinks that a juror is not impartial or becomes incapable of continuing to act as a </w:t>
      </w:r>
      <w:r>
        <w:rPr>
          <w:spacing w:val="-4"/>
        </w:rPr>
        <w:t>juror.</w:t>
      </w:r>
      <w:r>
        <w:rPr>
          <w:spacing w:val="-4"/>
          <w:position w:val="7"/>
          <w:sz w:val="11"/>
        </w:rPr>
        <w:t>8</w:t>
      </w:r>
    </w:p>
    <w:p>
      <w:pPr>
        <w:pStyle w:val="ListParagraph"/>
        <w:numPr>
          <w:ilvl w:val="1"/>
          <w:numId w:val="12"/>
        </w:numPr>
        <w:tabs>
          <w:tab w:pos="1761" w:val="left" w:leader="none"/>
          <w:tab w:pos="1762" w:val="left" w:leader="none"/>
        </w:tabs>
        <w:spacing w:line="206" w:lineRule="auto" w:before="124" w:after="0"/>
        <w:ind w:left="1761" w:right="1571" w:hanging="794"/>
        <w:jc w:val="left"/>
        <w:rPr>
          <w:sz w:val="11"/>
        </w:rPr>
      </w:pPr>
      <w:r>
        <w:rPr>
          <w:sz w:val="20"/>
        </w:rPr>
        <w:t>Impartiality</w:t>
      </w:r>
      <w:r>
        <w:rPr>
          <w:spacing w:val="-11"/>
          <w:sz w:val="20"/>
        </w:rPr>
        <w:t> </w:t>
      </w:r>
      <w:r>
        <w:rPr>
          <w:sz w:val="20"/>
        </w:rPr>
        <w:t>in</w:t>
      </w:r>
      <w:r>
        <w:rPr>
          <w:spacing w:val="-10"/>
          <w:sz w:val="20"/>
        </w:rPr>
        <w:t> </w:t>
      </w:r>
      <w:r>
        <w:rPr>
          <w:sz w:val="20"/>
        </w:rPr>
        <w:t>juries</w:t>
      </w:r>
      <w:r>
        <w:rPr>
          <w:spacing w:val="-11"/>
          <w:sz w:val="20"/>
        </w:rPr>
        <w:t> </w:t>
      </w:r>
      <w:r>
        <w:rPr>
          <w:sz w:val="20"/>
        </w:rPr>
        <w:t>is</w:t>
      </w:r>
      <w:r>
        <w:rPr>
          <w:spacing w:val="-10"/>
          <w:sz w:val="20"/>
        </w:rPr>
        <w:t> </w:t>
      </w:r>
      <w:r>
        <w:rPr>
          <w:sz w:val="20"/>
        </w:rPr>
        <w:t>promoted</w:t>
      </w:r>
      <w:r>
        <w:rPr>
          <w:spacing w:val="-10"/>
          <w:sz w:val="20"/>
        </w:rPr>
        <w:t> </w:t>
      </w:r>
      <w:r>
        <w:rPr>
          <w:spacing w:val="-3"/>
          <w:sz w:val="20"/>
        </w:rPr>
        <w:t>by</w:t>
      </w:r>
      <w:r>
        <w:rPr>
          <w:spacing w:val="-11"/>
          <w:sz w:val="20"/>
        </w:rPr>
        <w:t> </w:t>
      </w:r>
      <w:r>
        <w:rPr>
          <w:sz w:val="20"/>
        </w:rPr>
        <w:t>a</w:t>
      </w:r>
      <w:r>
        <w:rPr>
          <w:spacing w:val="-10"/>
          <w:sz w:val="20"/>
        </w:rPr>
        <w:t> </w:t>
      </w:r>
      <w:r>
        <w:rPr>
          <w:sz w:val="20"/>
        </w:rPr>
        <w:t>range</w:t>
      </w:r>
      <w:r>
        <w:rPr>
          <w:spacing w:val="-11"/>
          <w:sz w:val="20"/>
        </w:rPr>
        <w:t> </w:t>
      </w:r>
      <w:r>
        <w:rPr>
          <w:sz w:val="20"/>
        </w:rPr>
        <w:t>of</w:t>
      </w:r>
      <w:r>
        <w:rPr>
          <w:spacing w:val="-10"/>
          <w:sz w:val="20"/>
        </w:rPr>
        <w:t> </w:t>
      </w:r>
      <w:r>
        <w:rPr>
          <w:sz w:val="20"/>
        </w:rPr>
        <w:t>jury</w:t>
      </w:r>
      <w:r>
        <w:rPr>
          <w:spacing w:val="-10"/>
          <w:sz w:val="20"/>
        </w:rPr>
        <w:t> </w:t>
      </w:r>
      <w:r>
        <w:rPr>
          <w:sz w:val="20"/>
        </w:rPr>
        <w:t>selection</w:t>
      </w:r>
      <w:r>
        <w:rPr>
          <w:spacing w:val="-11"/>
          <w:sz w:val="20"/>
        </w:rPr>
        <w:t> </w:t>
      </w:r>
      <w:r>
        <w:rPr>
          <w:sz w:val="20"/>
        </w:rPr>
        <w:t>and</w:t>
      </w:r>
      <w:r>
        <w:rPr>
          <w:spacing w:val="-10"/>
          <w:sz w:val="20"/>
        </w:rPr>
        <w:t> </w:t>
      </w:r>
      <w:r>
        <w:rPr>
          <w:sz w:val="20"/>
        </w:rPr>
        <w:t>trial</w:t>
      </w:r>
      <w:r>
        <w:rPr>
          <w:spacing w:val="-11"/>
          <w:sz w:val="20"/>
        </w:rPr>
        <w:t> </w:t>
      </w:r>
      <w:r>
        <w:rPr>
          <w:sz w:val="20"/>
        </w:rPr>
        <w:t>processes</w:t>
      </w:r>
      <w:r>
        <w:rPr>
          <w:spacing w:val="-10"/>
          <w:sz w:val="20"/>
        </w:rPr>
        <w:t> </w:t>
      </w:r>
      <w:r>
        <w:rPr>
          <w:sz w:val="20"/>
        </w:rPr>
        <w:t>and practices:</w:t>
      </w:r>
      <w:r>
        <w:rPr>
          <w:position w:val="7"/>
          <w:sz w:val="11"/>
        </w:rPr>
        <w:t>9</w:t>
      </w:r>
    </w:p>
    <w:p>
      <w:pPr>
        <w:pStyle w:val="ListParagraph"/>
        <w:numPr>
          <w:ilvl w:val="2"/>
          <w:numId w:val="12"/>
        </w:numPr>
        <w:tabs>
          <w:tab w:pos="2157" w:val="left" w:leader="none"/>
          <w:tab w:pos="2158" w:val="left" w:leader="none"/>
        </w:tabs>
        <w:spacing w:line="240" w:lineRule="auto" w:before="90" w:after="0"/>
        <w:ind w:left="2157" w:right="0" w:hanging="396"/>
        <w:jc w:val="left"/>
        <w:rPr>
          <w:sz w:val="20"/>
        </w:rPr>
      </w:pPr>
      <w:r>
        <w:rPr>
          <w:sz w:val="20"/>
        </w:rPr>
        <w:t>group decision</w:t>
      </w:r>
      <w:r>
        <w:rPr>
          <w:spacing w:val="-9"/>
          <w:sz w:val="20"/>
        </w:rPr>
        <w:t> </w:t>
      </w:r>
      <w:r>
        <w:rPr>
          <w:sz w:val="20"/>
        </w:rPr>
        <w:t>making</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randomised jury selection</w:t>
      </w:r>
      <w:r>
        <w:rPr>
          <w:spacing w:val="-14"/>
          <w:sz w:val="20"/>
        </w:rPr>
        <w:t> </w:t>
      </w:r>
      <w:r>
        <w:rPr>
          <w:sz w:val="20"/>
        </w:rPr>
        <w:t>processes</w:t>
      </w:r>
    </w:p>
    <w:p>
      <w:pPr>
        <w:pStyle w:val="ListParagraph"/>
        <w:numPr>
          <w:ilvl w:val="2"/>
          <w:numId w:val="12"/>
        </w:numPr>
        <w:tabs>
          <w:tab w:pos="2157" w:val="left" w:leader="none"/>
          <w:tab w:pos="2158" w:val="left" w:leader="none"/>
        </w:tabs>
        <w:spacing w:line="206" w:lineRule="auto" w:before="80" w:after="0"/>
        <w:ind w:left="2157" w:right="1425" w:hanging="396"/>
        <w:jc w:val="left"/>
        <w:rPr>
          <w:sz w:val="11"/>
        </w:rPr>
      </w:pPr>
      <w:r>
        <w:rPr>
          <w:sz w:val="20"/>
        </w:rPr>
        <w:t>the</w:t>
      </w:r>
      <w:r>
        <w:rPr>
          <w:spacing w:val="-9"/>
          <w:sz w:val="20"/>
        </w:rPr>
        <w:t> </w:t>
      </w:r>
      <w:r>
        <w:rPr>
          <w:spacing w:val="-3"/>
          <w:sz w:val="20"/>
        </w:rPr>
        <w:t>excusal</w:t>
      </w:r>
      <w:r>
        <w:rPr>
          <w:spacing w:val="-8"/>
          <w:sz w:val="20"/>
        </w:rPr>
        <w:t> </w:t>
      </w:r>
      <w:r>
        <w:rPr>
          <w:sz w:val="20"/>
        </w:rPr>
        <w:t>process,</w:t>
      </w:r>
      <w:r>
        <w:rPr>
          <w:spacing w:val="-9"/>
          <w:sz w:val="20"/>
        </w:rPr>
        <w:t> </w:t>
      </w:r>
      <w:r>
        <w:rPr>
          <w:sz w:val="20"/>
        </w:rPr>
        <w:t>which</w:t>
      </w:r>
      <w:r>
        <w:rPr>
          <w:spacing w:val="-8"/>
          <w:sz w:val="20"/>
        </w:rPr>
        <w:t> </w:t>
      </w:r>
      <w:r>
        <w:rPr>
          <w:spacing w:val="-3"/>
          <w:sz w:val="20"/>
        </w:rPr>
        <w:t>allows</w:t>
      </w:r>
      <w:r>
        <w:rPr>
          <w:spacing w:val="-9"/>
          <w:sz w:val="20"/>
        </w:rPr>
        <w:t> </w:t>
      </w:r>
      <w:r>
        <w:rPr>
          <w:sz w:val="20"/>
        </w:rPr>
        <w:t>jurors</w:t>
      </w:r>
      <w:r>
        <w:rPr>
          <w:spacing w:val="-8"/>
          <w:sz w:val="20"/>
        </w:rPr>
        <w:t> </w:t>
      </w:r>
      <w:r>
        <w:rPr>
          <w:sz w:val="20"/>
        </w:rPr>
        <w:t>who</w:t>
      </w:r>
      <w:r>
        <w:rPr>
          <w:spacing w:val="-9"/>
          <w:sz w:val="20"/>
        </w:rPr>
        <w:t> </w:t>
      </w:r>
      <w:r>
        <w:rPr>
          <w:spacing w:val="-3"/>
          <w:sz w:val="20"/>
        </w:rPr>
        <w:t>may</w:t>
      </w:r>
      <w:r>
        <w:rPr>
          <w:spacing w:val="-8"/>
          <w:sz w:val="20"/>
        </w:rPr>
        <w:t> </w:t>
      </w:r>
      <w:r>
        <w:rPr>
          <w:sz w:val="20"/>
        </w:rPr>
        <w:t>not</w:t>
      </w:r>
      <w:r>
        <w:rPr>
          <w:spacing w:val="-9"/>
          <w:sz w:val="20"/>
        </w:rPr>
        <w:t> </w:t>
      </w:r>
      <w:r>
        <w:rPr>
          <w:sz w:val="20"/>
        </w:rPr>
        <w:t>be</w:t>
      </w:r>
      <w:r>
        <w:rPr>
          <w:spacing w:val="-8"/>
          <w:sz w:val="20"/>
        </w:rPr>
        <w:t> </w:t>
      </w:r>
      <w:r>
        <w:rPr>
          <w:sz w:val="20"/>
        </w:rPr>
        <w:t>impartial</w:t>
      </w:r>
      <w:r>
        <w:rPr>
          <w:spacing w:val="-8"/>
          <w:sz w:val="20"/>
        </w:rPr>
        <w:t> </w:t>
      </w:r>
      <w:r>
        <w:rPr>
          <w:sz w:val="20"/>
        </w:rPr>
        <w:t>to</w:t>
      </w:r>
      <w:r>
        <w:rPr>
          <w:spacing w:val="-9"/>
          <w:sz w:val="20"/>
        </w:rPr>
        <w:t> </w:t>
      </w:r>
      <w:r>
        <w:rPr>
          <w:sz w:val="20"/>
        </w:rPr>
        <w:t>be</w:t>
      </w:r>
      <w:r>
        <w:rPr>
          <w:spacing w:val="-8"/>
          <w:sz w:val="20"/>
        </w:rPr>
        <w:t> </w:t>
      </w:r>
      <w:r>
        <w:rPr>
          <w:spacing w:val="-3"/>
          <w:sz w:val="20"/>
        </w:rPr>
        <w:t>excused from </w:t>
      </w:r>
      <w:r>
        <w:rPr>
          <w:sz w:val="20"/>
        </w:rPr>
        <w:t>a particular trial </w:t>
      </w:r>
      <w:r>
        <w:rPr>
          <w:spacing w:val="-3"/>
          <w:sz w:val="20"/>
        </w:rPr>
        <w:t>(for example, </w:t>
      </w:r>
      <w:r>
        <w:rPr>
          <w:sz w:val="20"/>
        </w:rPr>
        <w:t>where prospective jurors know one of the parties,</w:t>
      </w:r>
      <w:r>
        <w:rPr>
          <w:spacing w:val="-7"/>
          <w:sz w:val="20"/>
        </w:rPr>
        <w:t> </w:t>
      </w:r>
      <w:r>
        <w:rPr>
          <w:sz w:val="20"/>
        </w:rPr>
        <w:t>or</w:t>
      </w:r>
      <w:r>
        <w:rPr>
          <w:spacing w:val="-6"/>
          <w:sz w:val="20"/>
        </w:rPr>
        <w:t> </w:t>
      </w:r>
      <w:r>
        <w:rPr>
          <w:spacing w:val="-3"/>
          <w:sz w:val="20"/>
        </w:rPr>
        <w:t>may</w:t>
      </w:r>
      <w:r>
        <w:rPr>
          <w:spacing w:val="-6"/>
          <w:sz w:val="20"/>
        </w:rPr>
        <w:t> </w:t>
      </w:r>
      <w:r>
        <w:rPr>
          <w:spacing w:val="-4"/>
          <w:sz w:val="20"/>
        </w:rPr>
        <w:t>have</w:t>
      </w:r>
      <w:r>
        <w:rPr>
          <w:spacing w:val="-6"/>
          <w:sz w:val="20"/>
        </w:rPr>
        <w:t> </w:t>
      </w:r>
      <w:r>
        <w:rPr>
          <w:sz w:val="20"/>
        </w:rPr>
        <w:t>been</w:t>
      </w:r>
      <w:r>
        <w:rPr>
          <w:spacing w:val="-6"/>
          <w:sz w:val="20"/>
        </w:rPr>
        <w:t> </w:t>
      </w:r>
      <w:r>
        <w:rPr>
          <w:spacing w:val="-4"/>
          <w:sz w:val="20"/>
        </w:rPr>
        <w:t>involved</w:t>
      </w:r>
      <w:r>
        <w:rPr>
          <w:spacing w:val="-6"/>
          <w:sz w:val="20"/>
        </w:rPr>
        <w:t> </w:t>
      </w:r>
      <w:r>
        <w:rPr>
          <w:sz w:val="20"/>
        </w:rPr>
        <w:t>in</w:t>
      </w:r>
      <w:r>
        <w:rPr>
          <w:spacing w:val="-6"/>
          <w:sz w:val="20"/>
        </w:rPr>
        <w:t> </w:t>
      </w:r>
      <w:r>
        <w:rPr>
          <w:sz w:val="20"/>
        </w:rPr>
        <w:t>an</w:t>
      </w:r>
      <w:r>
        <w:rPr>
          <w:spacing w:val="-6"/>
          <w:sz w:val="20"/>
        </w:rPr>
        <w:t> </w:t>
      </w:r>
      <w:r>
        <w:rPr>
          <w:sz w:val="20"/>
        </w:rPr>
        <w:t>incident</w:t>
      </w:r>
      <w:r>
        <w:rPr>
          <w:spacing w:val="-6"/>
          <w:sz w:val="20"/>
        </w:rPr>
        <w:t> </w:t>
      </w:r>
      <w:r>
        <w:rPr>
          <w:sz w:val="20"/>
        </w:rPr>
        <w:t>similar</w:t>
      </w:r>
      <w:r>
        <w:rPr>
          <w:spacing w:val="-6"/>
          <w:sz w:val="20"/>
        </w:rPr>
        <w:t> </w:t>
      </w:r>
      <w:r>
        <w:rPr>
          <w:sz w:val="20"/>
        </w:rPr>
        <w:t>to</w:t>
      </w:r>
      <w:r>
        <w:rPr>
          <w:spacing w:val="-6"/>
          <w:sz w:val="20"/>
        </w:rPr>
        <w:t> </w:t>
      </w:r>
      <w:r>
        <w:rPr>
          <w:sz w:val="20"/>
        </w:rPr>
        <w:t>the</w:t>
      </w:r>
      <w:r>
        <w:rPr>
          <w:spacing w:val="-6"/>
          <w:sz w:val="20"/>
        </w:rPr>
        <w:t> </w:t>
      </w:r>
      <w:r>
        <w:rPr>
          <w:sz w:val="20"/>
        </w:rPr>
        <w:t>one</w:t>
      </w:r>
      <w:r>
        <w:rPr>
          <w:spacing w:val="-6"/>
          <w:sz w:val="20"/>
        </w:rPr>
        <w:t> </w:t>
      </w:r>
      <w:r>
        <w:rPr>
          <w:sz w:val="20"/>
        </w:rPr>
        <w:t>at</w:t>
      </w:r>
      <w:r>
        <w:rPr>
          <w:spacing w:val="-6"/>
          <w:sz w:val="20"/>
        </w:rPr>
        <w:t> </w:t>
      </w:r>
      <w:r>
        <w:rPr>
          <w:sz w:val="20"/>
        </w:rPr>
        <w:t>trial)</w:t>
      </w:r>
      <w:r>
        <w:rPr>
          <w:position w:val="7"/>
          <w:sz w:val="11"/>
        </w:rPr>
        <w:t>10</w:t>
      </w:r>
    </w:p>
    <w:p>
      <w:pPr>
        <w:pStyle w:val="ListParagraph"/>
        <w:numPr>
          <w:ilvl w:val="2"/>
          <w:numId w:val="12"/>
        </w:numPr>
        <w:tabs>
          <w:tab w:pos="2157" w:val="left" w:leader="none"/>
          <w:tab w:pos="2158" w:val="left" w:leader="none"/>
        </w:tabs>
        <w:spacing w:line="206" w:lineRule="auto" w:before="89" w:after="0"/>
        <w:ind w:left="2157" w:right="1320" w:hanging="396"/>
        <w:jc w:val="left"/>
        <w:rPr>
          <w:sz w:val="20"/>
        </w:rPr>
      </w:pPr>
      <w:r>
        <w:rPr>
          <w:sz w:val="20"/>
        </w:rPr>
        <w:t>challenges,</w:t>
      </w:r>
      <w:r>
        <w:rPr>
          <w:spacing w:val="-15"/>
          <w:sz w:val="20"/>
        </w:rPr>
        <w:t> </w:t>
      </w:r>
      <w:r>
        <w:rPr>
          <w:sz w:val="20"/>
        </w:rPr>
        <w:t>including</w:t>
      </w:r>
      <w:r>
        <w:rPr>
          <w:spacing w:val="-14"/>
          <w:sz w:val="20"/>
        </w:rPr>
        <w:t> </w:t>
      </w:r>
      <w:r>
        <w:rPr>
          <w:sz w:val="20"/>
        </w:rPr>
        <w:t>peremptory</w:t>
      </w:r>
      <w:r>
        <w:rPr>
          <w:spacing w:val="-15"/>
          <w:sz w:val="20"/>
        </w:rPr>
        <w:t> </w:t>
      </w:r>
      <w:r>
        <w:rPr>
          <w:sz w:val="20"/>
        </w:rPr>
        <w:t>challenges</w:t>
      </w:r>
      <w:r>
        <w:rPr>
          <w:spacing w:val="-14"/>
          <w:sz w:val="20"/>
        </w:rPr>
        <w:t> </w:t>
      </w:r>
      <w:r>
        <w:rPr>
          <w:sz w:val="20"/>
        </w:rPr>
        <w:t>and</w:t>
      </w:r>
      <w:r>
        <w:rPr>
          <w:spacing w:val="-15"/>
          <w:sz w:val="20"/>
        </w:rPr>
        <w:t> </w:t>
      </w:r>
      <w:r>
        <w:rPr>
          <w:sz w:val="20"/>
        </w:rPr>
        <w:t>challenges</w:t>
      </w:r>
      <w:r>
        <w:rPr>
          <w:spacing w:val="-14"/>
          <w:sz w:val="20"/>
        </w:rPr>
        <w:t> </w:t>
      </w:r>
      <w:r>
        <w:rPr>
          <w:sz w:val="20"/>
        </w:rPr>
        <w:t>for</w:t>
      </w:r>
      <w:r>
        <w:rPr>
          <w:spacing w:val="-15"/>
          <w:sz w:val="20"/>
        </w:rPr>
        <w:t> </w:t>
      </w:r>
      <w:r>
        <w:rPr>
          <w:sz w:val="20"/>
        </w:rPr>
        <w:t>cause</w:t>
      </w:r>
      <w:r>
        <w:rPr>
          <w:spacing w:val="-14"/>
          <w:sz w:val="20"/>
        </w:rPr>
        <w:t> </w:t>
      </w:r>
      <w:r>
        <w:rPr>
          <w:sz w:val="20"/>
        </w:rPr>
        <w:t>and</w:t>
      </w:r>
      <w:r>
        <w:rPr>
          <w:spacing w:val="-15"/>
          <w:sz w:val="20"/>
        </w:rPr>
        <w:t> </w:t>
      </w:r>
      <w:r>
        <w:rPr>
          <w:sz w:val="20"/>
        </w:rPr>
        <w:t>to</w:t>
      </w:r>
      <w:r>
        <w:rPr>
          <w:spacing w:val="-14"/>
          <w:sz w:val="20"/>
        </w:rPr>
        <w:t> </w:t>
      </w:r>
      <w:r>
        <w:rPr>
          <w:sz w:val="20"/>
        </w:rPr>
        <w:t>the </w:t>
      </w:r>
      <w:r>
        <w:rPr>
          <w:spacing w:val="-4"/>
          <w:sz w:val="20"/>
        </w:rPr>
        <w:t>array,</w:t>
      </w:r>
      <w:r>
        <w:rPr>
          <w:spacing w:val="-4"/>
          <w:position w:val="7"/>
          <w:sz w:val="11"/>
        </w:rPr>
        <w:t>11 </w:t>
      </w:r>
      <w:r>
        <w:rPr>
          <w:sz w:val="20"/>
        </w:rPr>
        <w:t>as well as </w:t>
      </w:r>
      <w:r>
        <w:rPr>
          <w:spacing w:val="-4"/>
          <w:sz w:val="20"/>
        </w:rPr>
        <w:t>Crown </w:t>
      </w:r>
      <w:r>
        <w:rPr>
          <w:sz w:val="20"/>
        </w:rPr>
        <w:t>stand asides</w:t>
      </w:r>
      <w:r>
        <w:rPr>
          <w:position w:val="7"/>
          <w:sz w:val="11"/>
        </w:rPr>
        <w:t>12 </w:t>
      </w:r>
      <w:r>
        <w:rPr>
          <w:sz w:val="20"/>
        </w:rPr>
        <w:t>(see </w:t>
      </w:r>
      <w:r>
        <w:rPr>
          <w:spacing w:val="-2"/>
          <w:sz w:val="20"/>
        </w:rPr>
        <w:t>Chapter</w:t>
      </w:r>
      <w:r>
        <w:rPr>
          <w:spacing w:val="-30"/>
          <w:sz w:val="20"/>
        </w:rPr>
        <w:t> </w:t>
      </w:r>
      <w:r>
        <w:rPr>
          <w:spacing w:val="-5"/>
          <w:sz w:val="20"/>
        </w:rPr>
        <w:t>17)</w:t>
      </w:r>
    </w:p>
    <w:p>
      <w:pPr>
        <w:pStyle w:val="ListParagraph"/>
        <w:numPr>
          <w:ilvl w:val="2"/>
          <w:numId w:val="12"/>
        </w:numPr>
        <w:tabs>
          <w:tab w:pos="2157" w:val="left" w:leader="none"/>
          <w:tab w:pos="2158" w:val="left" w:leader="none"/>
        </w:tabs>
        <w:spacing w:line="259" w:lineRule="exact" w:before="55" w:after="0"/>
        <w:ind w:left="2157" w:right="0" w:hanging="396"/>
        <w:jc w:val="left"/>
        <w:rPr>
          <w:sz w:val="20"/>
        </w:rPr>
      </w:pPr>
      <w:r>
        <w:rPr>
          <w:sz w:val="20"/>
        </w:rPr>
        <w:t>a</w:t>
      </w:r>
      <w:r>
        <w:rPr>
          <w:spacing w:val="-12"/>
          <w:sz w:val="20"/>
        </w:rPr>
        <w:t> </w:t>
      </w:r>
      <w:r>
        <w:rPr>
          <w:sz w:val="20"/>
        </w:rPr>
        <w:t>juror</w:t>
      </w:r>
      <w:r>
        <w:rPr>
          <w:spacing w:val="-11"/>
          <w:sz w:val="20"/>
        </w:rPr>
        <w:t> </w:t>
      </w:r>
      <w:r>
        <w:rPr>
          <w:sz w:val="20"/>
        </w:rPr>
        <w:t>oath</w:t>
      </w:r>
      <w:r>
        <w:rPr>
          <w:spacing w:val="-11"/>
          <w:sz w:val="20"/>
        </w:rPr>
        <w:t> </w:t>
      </w:r>
      <w:r>
        <w:rPr>
          <w:sz w:val="20"/>
        </w:rPr>
        <w:t>or</w:t>
      </w:r>
      <w:r>
        <w:rPr>
          <w:spacing w:val="-11"/>
          <w:sz w:val="20"/>
        </w:rPr>
        <w:t> </w:t>
      </w:r>
      <w:r>
        <w:rPr>
          <w:sz w:val="20"/>
        </w:rPr>
        <w:t>affirmation</w:t>
      </w:r>
      <w:r>
        <w:rPr>
          <w:spacing w:val="-11"/>
          <w:sz w:val="20"/>
        </w:rPr>
        <w:t> </w:t>
      </w:r>
      <w:r>
        <w:rPr>
          <w:sz w:val="20"/>
        </w:rPr>
        <w:t>to</w:t>
      </w:r>
      <w:r>
        <w:rPr>
          <w:spacing w:val="-11"/>
          <w:sz w:val="20"/>
        </w:rPr>
        <w:t> </w:t>
      </w:r>
      <w:r>
        <w:rPr>
          <w:sz w:val="20"/>
        </w:rPr>
        <w:t>‘faithfully</w:t>
      </w:r>
      <w:r>
        <w:rPr>
          <w:spacing w:val="-12"/>
          <w:sz w:val="20"/>
        </w:rPr>
        <w:t> </w:t>
      </w:r>
      <w:r>
        <w:rPr>
          <w:sz w:val="20"/>
        </w:rPr>
        <w:t>and</w:t>
      </w:r>
      <w:r>
        <w:rPr>
          <w:spacing w:val="-11"/>
          <w:sz w:val="20"/>
        </w:rPr>
        <w:t> </w:t>
      </w:r>
      <w:r>
        <w:rPr>
          <w:sz w:val="20"/>
        </w:rPr>
        <w:t>impartially</w:t>
      </w:r>
      <w:r>
        <w:rPr>
          <w:spacing w:val="-11"/>
          <w:sz w:val="20"/>
        </w:rPr>
        <w:t> </w:t>
      </w:r>
      <w:r>
        <w:rPr>
          <w:sz w:val="20"/>
        </w:rPr>
        <w:t>try</w:t>
      </w:r>
      <w:r>
        <w:rPr>
          <w:spacing w:val="-11"/>
          <w:sz w:val="20"/>
        </w:rPr>
        <w:t> </w:t>
      </w:r>
      <w:r>
        <w:rPr>
          <w:sz w:val="20"/>
        </w:rPr>
        <w:t>the</w:t>
      </w:r>
      <w:r>
        <w:rPr>
          <w:spacing w:val="-11"/>
          <w:sz w:val="20"/>
        </w:rPr>
        <w:t> </w:t>
      </w:r>
      <w:r>
        <w:rPr>
          <w:spacing w:val="-3"/>
          <w:sz w:val="20"/>
        </w:rPr>
        <w:t>issues’</w:t>
      </w:r>
      <w:r>
        <w:rPr>
          <w:spacing w:val="-11"/>
          <w:sz w:val="20"/>
        </w:rPr>
        <w:t> </w:t>
      </w:r>
      <w:r>
        <w:rPr>
          <w:sz w:val="20"/>
        </w:rPr>
        <w:t>and</w:t>
      </w:r>
      <w:r>
        <w:rPr>
          <w:spacing w:val="-12"/>
          <w:sz w:val="20"/>
        </w:rPr>
        <w:t> </w:t>
      </w:r>
      <w:r>
        <w:rPr>
          <w:spacing w:val="-3"/>
          <w:sz w:val="20"/>
        </w:rPr>
        <w:t>‘give</w:t>
      </w:r>
      <w:r>
        <w:rPr>
          <w:spacing w:val="-11"/>
          <w:sz w:val="20"/>
        </w:rPr>
        <w:t> </w:t>
      </w:r>
      <w:r>
        <w:rPr>
          <w:sz w:val="20"/>
        </w:rPr>
        <w:t>a</w:t>
      </w:r>
      <w:r>
        <w:rPr>
          <w:spacing w:val="-11"/>
          <w:sz w:val="20"/>
        </w:rPr>
        <w:t> </w:t>
      </w:r>
      <w:r>
        <w:rPr>
          <w:sz w:val="20"/>
        </w:rPr>
        <w:t>true</w:t>
      </w:r>
    </w:p>
    <w:p>
      <w:pPr>
        <w:pStyle w:val="BodyText"/>
        <w:spacing w:line="259" w:lineRule="exact"/>
        <w:ind w:left="2157"/>
        <w:rPr>
          <w:sz w:val="11"/>
        </w:rPr>
      </w:pPr>
      <w:r>
        <w:rPr/>
        <w:t>verdict according to the evidence’</w:t>
      </w:r>
      <w:r>
        <w:rPr>
          <w:position w:val="7"/>
          <w:sz w:val="11"/>
        </w:rPr>
        <w:t>13</w:t>
      </w:r>
    </w:p>
    <w:p>
      <w:pPr>
        <w:pStyle w:val="ListParagraph"/>
        <w:numPr>
          <w:ilvl w:val="2"/>
          <w:numId w:val="12"/>
        </w:numPr>
        <w:tabs>
          <w:tab w:pos="2157" w:val="left" w:leader="none"/>
          <w:tab w:pos="2158" w:val="left" w:leader="none"/>
        </w:tabs>
        <w:spacing w:line="206" w:lineRule="auto" w:before="80" w:after="0"/>
        <w:ind w:left="2157" w:right="1383" w:hanging="396"/>
        <w:jc w:val="left"/>
        <w:rPr>
          <w:sz w:val="11"/>
        </w:rPr>
      </w:pPr>
      <w:r>
        <w:rPr>
          <w:sz w:val="20"/>
        </w:rPr>
        <w:t>directions</w:t>
      </w:r>
      <w:r>
        <w:rPr>
          <w:spacing w:val="-10"/>
          <w:sz w:val="20"/>
        </w:rPr>
        <w:t> </w:t>
      </w:r>
      <w:r>
        <w:rPr>
          <w:sz w:val="20"/>
        </w:rPr>
        <w:t>given</w:t>
      </w:r>
      <w:r>
        <w:rPr>
          <w:spacing w:val="-10"/>
          <w:sz w:val="20"/>
        </w:rPr>
        <w:t> </w:t>
      </w:r>
      <w:r>
        <w:rPr>
          <w:spacing w:val="-3"/>
          <w:sz w:val="20"/>
        </w:rPr>
        <w:t>by</w:t>
      </w:r>
      <w:r>
        <w:rPr>
          <w:spacing w:val="-9"/>
          <w:sz w:val="20"/>
        </w:rPr>
        <w:t> </w:t>
      </w:r>
      <w:r>
        <w:rPr>
          <w:sz w:val="20"/>
        </w:rPr>
        <w:t>the</w:t>
      </w:r>
      <w:r>
        <w:rPr>
          <w:spacing w:val="-10"/>
          <w:sz w:val="20"/>
        </w:rPr>
        <w:t> </w:t>
      </w:r>
      <w:r>
        <w:rPr>
          <w:sz w:val="20"/>
        </w:rPr>
        <w:t>judge</w:t>
      </w:r>
      <w:r>
        <w:rPr>
          <w:spacing w:val="-9"/>
          <w:sz w:val="20"/>
        </w:rPr>
        <w:t> </w:t>
      </w:r>
      <w:r>
        <w:rPr>
          <w:sz w:val="20"/>
        </w:rPr>
        <w:t>to</w:t>
      </w:r>
      <w:r>
        <w:rPr>
          <w:spacing w:val="-10"/>
          <w:sz w:val="20"/>
        </w:rPr>
        <w:t> </w:t>
      </w:r>
      <w:r>
        <w:rPr>
          <w:sz w:val="20"/>
        </w:rPr>
        <w:t>the</w:t>
      </w:r>
      <w:r>
        <w:rPr>
          <w:spacing w:val="-9"/>
          <w:sz w:val="20"/>
        </w:rPr>
        <w:t> </w:t>
      </w:r>
      <w:r>
        <w:rPr>
          <w:spacing w:val="-3"/>
          <w:sz w:val="20"/>
        </w:rPr>
        <w:t>jury,</w:t>
      </w:r>
      <w:r>
        <w:rPr>
          <w:spacing w:val="-10"/>
          <w:sz w:val="20"/>
        </w:rPr>
        <w:t> </w:t>
      </w:r>
      <w:r>
        <w:rPr>
          <w:sz w:val="20"/>
        </w:rPr>
        <w:t>for</w:t>
      </w:r>
      <w:r>
        <w:rPr>
          <w:spacing w:val="-9"/>
          <w:sz w:val="20"/>
        </w:rPr>
        <w:t> </w:t>
      </w:r>
      <w:r>
        <w:rPr>
          <w:spacing w:val="-3"/>
          <w:sz w:val="20"/>
        </w:rPr>
        <w:t>example,</w:t>
      </w:r>
      <w:r>
        <w:rPr>
          <w:spacing w:val="-10"/>
          <w:sz w:val="20"/>
        </w:rPr>
        <w:t> </w:t>
      </w:r>
      <w:r>
        <w:rPr>
          <w:sz w:val="20"/>
        </w:rPr>
        <w:t>a</w:t>
      </w:r>
      <w:r>
        <w:rPr>
          <w:spacing w:val="-9"/>
          <w:sz w:val="20"/>
        </w:rPr>
        <w:t> </w:t>
      </w:r>
      <w:r>
        <w:rPr>
          <w:sz w:val="20"/>
        </w:rPr>
        <w:t>direction</w:t>
      </w:r>
      <w:r>
        <w:rPr>
          <w:spacing w:val="-10"/>
          <w:sz w:val="20"/>
        </w:rPr>
        <w:t> </w:t>
      </w:r>
      <w:r>
        <w:rPr>
          <w:sz w:val="20"/>
        </w:rPr>
        <w:t>to</w:t>
      </w:r>
      <w:r>
        <w:rPr>
          <w:spacing w:val="-9"/>
          <w:sz w:val="20"/>
        </w:rPr>
        <w:t> </w:t>
      </w:r>
      <w:r>
        <w:rPr>
          <w:spacing w:val="-3"/>
          <w:sz w:val="20"/>
        </w:rPr>
        <w:t>only</w:t>
      </w:r>
      <w:r>
        <w:rPr>
          <w:spacing w:val="-10"/>
          <w:sz w:val="20"/>
        </w:rPr>
        <w:t> </w:t>
      </w:r>
      <w:r>
        <w:rPr>
          <w:sz w:val="20"/>
        </w:rPr>
        <w:t>consider evidence</w:t>
      </w:r>
      <w:r>
        <w:rPr>
          <w:spacing w:val="-11"/>
          <w:sz w:val="20"/>
        </w:rPr>
        <w:t> </w:t>
      </w:r>
      <w:r>
        <w:rPr>
          <w:spacing w:val="-3"/>
          <w:sz w:val="20"/>
        </w:rPr>
        <w:t>presented</w:t>
      </w:r>
      <w:r>
        <w:rPr>
          <w:spacing w:val="-11"/>
          <w:sz w:val="20"/>
        </w:rPr>
        <w:t> </w:t>
      </w:r>
      <w:r>
        <w:rPr>
          <w:sz w:val="20"/>
        </w:rPr>
        <w:t>at</w:t>
      </w:r>
      <w:r>
        <w:rPr>
          <w:spacing w:val="-11"/>
          <w:sz w:val="20"/>
        </w:rPr>
        <w:t> </w:t>
      </w:r>
      <w:r>
        <w:rPr>
          <w:sz w:val="20"/>
        </w:rPr>
        <w:t>trial</w:t>
      </w:r>
      <w:r>
        <w:rPr>
          <w:spacing w:val="-10"/>
          <w:sz w:val="20"/>
        </w:rPr>
        <w:t> </w:t>
      </w:r>
      <w:r>
        <w:rPr>
          <w:sz w:val="20"/>
        </w:rPr>
        <w:t>and</w:t>
      </w:r>
      <w:r>
        <w:rPr>
          <w:spacing w:val="-11"/>
          <w:sz w:val="20"/>
        </w:rPr>
        <w:t> </w:t>
      </w:r>
      <w:r>
        <w:rPr>
          <w:sz w:val="20"/>
        </w:rPr>
        <w:t>to</w:t>
      </w:r>
      <w:r>
        <w:rPr>
          <w:spacing w:val="-11"/>
          <w:sz w:val="20"/>
        </w:rPr>
        <w:t> </w:t>
      </w:r>
      <w:r>
        <w:rPr>
          <w:sz w:val="20"/>
        </w:rPr>
        <w:t>disregard</w:t>
      </w:r>
      <w:r>
        <w:rPr>
          <w:spacing w:val="-11"/>
          <w:sz w:val="20"/>
        </w:rPr>
        <w:t> </w:t>
      </w:r>
      <w:r>
        <w:rPr>
          <w:spacing w:val="-3"/>
          <w:sz w:val="20"/>
        </w:rPr>
        <w:t>any</w:t>
      </w:r>
      <w:r>
        <w:rPr>
          <w:spacing w:val="-10"/>
          <w:sz w:val="20"/>
        </w:rPr>
        <w:t> </w:t>
      </w:r>
      <w:r>
        <w:rPr>
          <w:sz w:val="20"/>
        </w:rPr>
        <w:t>knowledge</w:t>
      </w:r>
      <w:r>
        <w:rPr>
          <w:spacing w:val="-11"/>
          <w:sz w:val="20"/>
        </w:rPr>
        <w:t> </w:t>
      </w:r>
      <w:r>
        <w:rPr>
          <w:sz w:val="20"/>
        </w:rPr>
        <w:t>they</w:t>
      </w:r>
      <w:r>
        <w:rPr>
          <w:spacing w:val="-11"/>
          <w:sz w:val="20"/>
        </w:rPr>
        <w:t> </w:t>
      </w:r>
      <w:r>
        <w:rPr>
          <w:spacing w:val="-3"/>
          <w:sz w:val="20"/>
        </w:rPr>
        <w:t>may</w:t>
      </w:r>
      <w:r>
        <w:rPr>
          <w:spacing w:val="-10"/>
          <w:sz w:val="20"/>
        </w:rPr>
        <w:t> </w:t>
      </w:r>
      <w:r>
        <w:rPr>
          <w:sz w:val="20"/>
        </w:rPr>
        <w:t>have.</w:t>
      </w:r>
      <w:r>
        <w:rPr>
          <w:position w:val="7"/>
          <w:sz w:val="11"/>
        </w:rPr>
        <w:t>14</w:t>
      </w:r>
      <w:r>
        <w:rPr>
          <w:spacing w:val="14"/>
          <w:position w:val="7"/>
          <w:sz w:val="11"/>
        </w:rPr>
        <w:t> </w:t>
      </w:r>
      <w:r>
        <w:rPr>
          <w:sz w:val="20"/>
        </w:rPr>
        <w:t>This direction is supported </w:t>
      </w:r>
      <w:r>
        <w:rPr>
          <w:spacing w:val="-3"/>
          <w:sz w:val="20"/>
        </w:rPr>
        <w:t>by </w:t>
      </w:r>
      <w:r>
        <w:rPr>
          <w:sz w:val="20"/>
        </w:rPr>
        <w:t>the prohibition on jurors accessing information about a case</w:t>
      </w:r>
      <w:r>
        <w:rPr>
          <w:spacing w:val="-6"/>
          <w:sz w:val="20"/>
        </w:rPr>
        <w:t> </w:t>
      </w:r>
      <w:r>
        <w:rPr>
          <w:sz w:val="20"/>
        </w:rPr>
        <w:t>or</w:t>
      </w:r>
      <w:r>
        <w:rPr>
          <w:spacing w:val="-6"/>
          <w:sz w:val="20"/>
        </w:rPr>
        <w:t> </w:t>
      </w:r>
      <w:r>
        <w:rPr>
          <w:sz w:val="20"/>
        </w:rPr>
        <w:t>the</w:t>
      </w:r>
      <w:r>
        <w:rPr>
          <w:spacing w:val="-5"/>
          <w:sz w:val="20"/>
        </w:rPr>
        <w:t> </w:t>
      </w:r>
      <w:r>
        <w:rPr>
          <w:sz w:val="20"/>
        </w:rPr>
        <w:t>parties</w:t>
      </w:r>
      <w:r>
        <w:rPr>
          <w:spacing w:val="-6"/>
          <w:sz w:val="20"/>
        </w:rPr>
        <w:t> </w:t>
      </w:r>
      <w:r>
        <w:rPr>
          <w:sz w:val="20"/>
        </w:rPr>
        <w:t>other</w:t>
      </w:r>
      <w:r>
        <w:rPr>
          <w:spacing w:val="-6"/>
          <w:sz w:val="20"/>
        </w:rPr>
        <w:t> </w:t>
      </w:r>
      <w:r>
        <w:rPr>
          <w:sz w:val="20"/>
        </w:rPr>
        <w:t>than</w:t>
      </w:r>
      <w:r>
        <w:rPr>
          <w:spacing w:val="-5"/>
          <w:sz w:val="20"/>
        </w:rPr>
        <w:t> </w:t>
      </w:r>
      <w:r>
        <w:rPr>
          <w:sz w:val="20"/>
        </w:rPr>
        <w:t>through</w:t>
      </w:r>
      <w:r>
        <w:rPr>
          <w:spacing w:val="-6"/>
          <w:sz w:val="20"/>
        </w:rPr>
        <w:t> </w:t>
      </w:r>
      <w:r>
        <w:rPr>
          <w:sz w:val="20"/>
        </w:rPr>
        <w:t>the</w:t>
      </w:r>
      <w:r>
        <w:rPr>
          <w:spacing w:val="-5"/>
          <w:sz w:val="20"/>
        </w:rPr>
        <w:t> </w:t>
      </w:r>
      <w:r>
        <w:rPr>
          <w:sz w:val="20"/>
        </w:rPr>
        <w:t>evidence</w:t>
      </w:r>
      <w:r>
        <w:rPr>
          <w:spacing w:val="-6"/>
          <w:sz w:val="20"/>
        </w:rPr>
        <w:t> </w:t>
      </w:r>
      <w:r>
        <w:rPr>
          <w:spacing w:val="-3"/>
          <w:sz w:val="20"/>
        </w:rPr>
        <w:t>presented</w:t>
      </w:r>
      <w:r>
        <w:rPr>
          <w:spacing w:val="-6"/>
          <w:sz w:val="20"/>
        </w:rPr>
        <w:t> </w:t>
      </w:r>
      <w:r>
        <w:rPr>
          <w:sz w:val="20"/>
        </w:rPr>
        <w:t>at</w:t>
      </w:r>
      <w:r>
        <w:rPr>
          <w:spacing w:val="-5"/>
          <w:sz w:val="20"/>
        </w:rPr>
        <w:t> </w:t>
      </w:r>
      <w:r>
        <w:rPr>
          <w:sz w:val="20"/>
        </w:rPr>
        <w:t>trial.</w:t>
      </w:r>
      <w:r>
        <w:rPr>
          <w:position w:val="7"/>
          <w:sz w:val="11"/>
        </w:rPr>
        <w:t>15</w:t>
      </w:r>
    </w:p>
    <w:p>
      <w:pPr>
        <w:pStyle w:val="ListParagraph"/>
        <w:numPr>
          <w:ilvl w:val="1"/>
          <w:numId w:val="12"/>
        </w:numPr>
        <w:tabs>
          <w:tab w:pos="1761" w:val="left" w:leader="none"/>
          <w:tab w:pos="1762" w:val="left" w:leader="none"/>
        </w:tabs>
        <w:spacing w:line="206" w:lineRule="auto" w:before="90" w:after="0"/>
        <w:ind w:left="1761" w:right="2104" w:hanging="794"/>
        <w:jc w:val="left"/>
        <w:rPr>
          <w:sz w:val="20"/>
        </w:rPr>
      </w:pPr>
      <w:r>
        <w:rPr>
          <w:sz w:val="20"/>
        </w:rPr>
        <w:t>Similar</w:t>
      </w:r>
      <w:r>
        <w:rPr>
          <w:spacing w:val="-11"/>
          <w:sz w:val="20"/>
        </w:rPr>
        <w:t> </w:t>
      </w:r>
      <w:r>
        <w:rPr>
          <w:sz w:val="20"/>
        </w:rPr>
        <w:t>mechanisms</w:t>
      </w:r>
      <w:r>
        <w:rPr>
          <w:spacing w:val="-10"/>
          <w:sz w:val="20"/>
        </w:rPr>
        <w:t> </w:t>
      </w:r>
      <w:r>
        <w:rPr>
          <w:spacing w:val="-3"/>
          <w:sz w:val="20"/>
        </w:rPr>
        <w:t>protect</w:t>
      </w:r>
      <w:r>
        <w:rPr>
          <w:spacing w:val="-10"/>
          <w:sz w:val="20"/>
        </w:rPr>
        <w:t> </w:t>
      </w:r>
      <w:r>
        <w:rPr>
          <w:sz w:val="20"/>
        </w:rPr>
        <w:t>the</w:t>
      </w:r>
      <w:r>
        <w:rPr>
          <w:spacing w:val="-10"/>
          <w:sz w:val="20"/>
        </w:rPr>
        <w:t> </w:t>
      </w:r>
      <w:r>
        <w:rPr>
          <w:sz w:val="20"/>
        </w:rPr>
        <w:t>right</w:t>
      </w:r>
      <w:r>
        <w:rPr>
          <w:spacing w:val="-10"/>
          <w:sz w:val="20"/>
        </w:rPr>
        <w:t> </w:t>
      </w:r>
      <w:r>
        <w:rPr>
          <w:sz w:val="20"/>
        </w:rPr>
        <w:t>to</w:t>
      </w:r>
      <w:r>
        <w:rPr>
          <w:spacing w:val="-10"/>
          <w:sz w:val="20"/>
        </w:rPr>
        <w:t> </w:t>
      </w:r>
      <w:r>
        <w:rPr>
          <w:sz w:val="20"/>
        </w:rPr>
        <w:t>be</w:t>
      </w:r>
      <w:r>
        <w:rPr>
          <w:spacing w:val="-10"/>
          <w:sz w:val="20"/>
        </w:rPr>
        <w:t> </w:t>
      </w:r>
      <w:r>
        <w:rPr>
          <w:sz w:val="20"/>
        </w:rPr>
        <w:t>heard</w:t>
      </w:r>
      <w:r>
        <w:rPr>
          <w:spacing w:val="-10"/>
          <w:sz w:val="20"/>
        </w:rPr>
        <w:t> </w:t>
      </w:r>
      <w:r>
        <w:rPr>
          <w:spacing w:val="-3"/>
          <w:sz w:val="20"/>
        </w:rPr>
        <w:t>before</w:t>
      </w:r>
      <w:r>
        <w:rPr>
          <w:spacing w:val="-10"/>
          <w:sz w:val="20"/>
        </w:rPr>
        <w:t> </w:t>
      </w:r>
      <w:r>
        <w:rPr>
          <w:sz w:val="20"/>
        </w:rPr>
        <w:t>a</w:t>
      </w:r>
      <w:r>
        <w:rPr>
          <w:spacing w:val="-10"/>
          <w:sz w:val="20"/>
        </w:rPr>
        <w:t> </w:t>
      </w:r>
      <w:r>
        <w:rPr>
          <w:sz w:val="20"/>
        </w:rPr>
        <w:t>competent</w:t>
      </w:r>
      <w:r>
        <w:rPr>
          <w:spacing w:val="-10"/>
          <w:sz w:val="20"/>
        </w:rPr>
        <w:t> </w:t>
      </w:r>
      <w:r>
        <w:rPr>
          <w:sz w:val="20"/>
        </w:rPr>
        <w:t>tribunal including:</w:t>
      </w:r>
    </w:p>
    <w:p>
      <w:pPr>
        <w:pStyle w:val="ListParagraph"/>
        <w:numPr>
          <w:ilvl w:val="2"/>
          <w:numId w:val="12"/>
        </w:numPr>
        <w:tabs>
          <w:tab w:pos="2157" w:val="left" w:leader="none"/>
          <w:tab w:pos="2158" w:val="left" w:leader="none"/>
        </w:tabs>
        <w:spacing w:line="240" w:lineRule="auto" w:before="90" w:after="0"/>
        <w:ind w:left="2157" w:right="0" w:hanging="396"/>
        <w:jc w:val="left"/>
        <w:rPr>
          <w:sz w:val="11"/>
        </w:rPr>
      </w:pPr>
      <w:r>
        <w:rPr>
          <w:sz w:val="20"/>
        </w:rPr>
        <w:t>juror eligibility</w:t>
      </w:r>
      <w:r>
        <w:rPr>
          <w:spacing w:val="-9"/>
          <w:sz w:val="20"/>
        </w:rPr>
        <w:t> </w:t>
      </w:r>
      <w:r>
        <w:rPr>
          <w:sz w:val="20"/>
        </w:rPr>
        <w:t>criteria</w:t>
      </w:r>
      <w:r>
        <w:rPr>
          <w:position w:val="7"/>
          <w:sz w:val="11"/>
        </w:rPr>
        <w:t>16</w:t>
      </w:r>
    </w:p>
    <w:p>
      <w:pPr>
        <w:pStyle w:val="ListParagraph"/>
        <w:numPr>
          <w:ilvl w:val="2"/>
          <w:numId w:val="12"/>
        </w:numPr>
        <w:tabs>
          <w:tab w:pos="2157" w:val="left" w:leader="none"/>
          <w:tab w:pos="2158" w:val="left" w:leader="none"/>
        </w:tabs>
        <w:spacing w:line="206" w:lineRule="auto" w:before="80" w:after="0"/>
        <w:ind w:left="2157" w:right="1318" w:hanging="396"/>
        <w:jc w:val="left"/>
        <w:rPr>
          <w:sz w:val="11"/>
        </w:rPr>
      </w:pPr>
      <w:r>
        <w:rPr>
          <w:sz w:val="20"/>
        </w:rPr>
        <w:t>the</w:t>
      </w:r>
      <w:r>
        <w:rPr>
          <w:spacing w:val="-9"/>
          <w:sz w:val="20"/>
        </w:rPr>
        <w:t> </w:t>
      </w:r>
      <w:r>
        <w:rPr>
          <w:sz w:val="20"/>
        </w:rPr>
        <w:t>ability</w:t>
      </w:r>
      <w:r>
        <w:rPr>
          <w:spacing w:val="-8"/>
          <w:sz w:val="20"/>
        </w:rPr>
        <w:t> </w:t>
      </w:r>
      <w:r>
        <w:rPr>
          <w:sz w:val="20"/>
        </w:rPr>
        <w:t>of</w:t>
      </w:r>
      <w:r>
        <w:rPr>
          <w:spacing w:val="-8"/>
          <w:sz w:val="20"/>
        </w:rPr>
        <w:t> </w:t>
      </w:r>
      <w:r>
        <w:rPr>
          <w:sz w:val="20"/>
        </w:rPr>
        <w:t>the</w:t>
      </w:r>
      <w:r>
        <w:rPr>
          <w:spacing w:val="-8"/>
          <w:sz w:val="20"/>
        </w:rPr>
        <w:t> </w:t>
      </w:r>
      <w:r>
        <w:rPr>
          <w:sz w:val="20"/>
        </w:rPr>
        <w:t>Juries</w:t>
      </w:r>
      <w:r>
        <w:rPr>
          <w:spacing w:val="-8"/>
          <w:sz w:val="20"/>
        </w:rPr>
        <w:t> </w:t>
      </w:r>
      <w:r>
        <w:rPr>
          <w:sz w:val="20"/>
        </w:rPr>
        <w:t>Commissioner</w:t>
      </w:r>
      <w:r>
        <w:rPr>
          <w:spacing w:val="-8"/>
          <w:sz w:val="20"/>
        </w:rPr>
        <w:t> </w:t>
      </w:r>
      <w:r>
        <w:rPr>
          <w:sz w:val="20"/>
        </w:rPr>
        <w:t>to</w:t>
      </w:r>
      <w:r>
        <w:rPr>
          <w:spacing w:val="-8"/>
          <w:sz w:val="20"/>
        </w:rPr>
        <w:t> </w:t>
      </w:r>
      <w:r>
        <w:rPr>
          <w:spacing w:val="-3"/>
          <w:sz w:val="20"/>
        </w:rPr>
        <w:t>excuse</w:t>
      </w:r>
      <w:r>
        <w:rPr>
          <w:spacing w:val="-8"/>
          <w:sz w:val="20"/>
        </w:rPr>
        <w:t> </w:t>
      </w:r>
      <w:r>
        <w:rPr>
          <w:sz w:val="20"/>
        </w:rPr>
        <w:t>a</w:t>
      </w:r>
      <w:r>
        <w:rPr>
          <w:spacing w:val="-8"/>
          <w:sz w:val="20"/>
        </w:rPr>
        <w:t> </w:t>
      </w:r>
      <w:r>
        <w:rPr>
          <w:sz w:val="20"/>
        </w:rPr>
        <w:t>person</w:t>
      </w:r>
      <w:r>
        <w:rPr>
          <w:spacing w:val="-8"/>
          <w:sz w:val="20"/>
        </w:rPr>
        <w:t> </w:t>
      </w:r>
      <w:r>
        <w:rPr>
          <w:spacing w:val="-3"/>
          <w:sz w:val="20"/>
        </w:rPr>
        <w:t>from</w:t>
      </w:r>
      <w:r>
        <w:rPr>
          <w:spacing w:val="-8"/>
          <w:sz w:val="20"/>
        </w:rPr>
        <w:t> </w:t>
      </w:r>
      <w:r>
        <w:rPr>
          <w:sz w:val="20"/>
        </w:rPr>
        <w:t>a</w:t>
      </w:r>
      <w:r>
        <w:rPr>
          <w:spacing w:val="-8"/>
          <w:sz w:val="20"/>
        </w:rPr>
        <w:t> </w:t>
      </w:r>
      <w:r>
        <w:rPr>
          <w:sz w:val="20"/>
        </w:rPr>
        <w:t>particular</w:t>
      </w:r>
      <w:r>
        <w:rPr>
          <w:spacing w:val="-8"/>
          <w:sz w:val="20"/>
        </w:rPr>
        <w:t> </w:t>
      </w:r>
      <w:r>
        <w:rPr>
          <w:sz w:val="20"/>
        </w:rPr>
        <w:t>trial</w:t>
      </w:r>
      <w:r>
        <w:rPr>
          <w:spacing w:val="-8"/>
          <w:sz w:val="20"/>
        </w:rPr>
        <w:t> </w:t>
      </w:r>
      <w:r>
        <w:rPr>
          <w:sz w:val="20"/>
        </w:rPr>
        <w:t>for ‘good</w:t>
      </w:r>
      <w:r>
        <w:rPr>
          <w:spacing w:val="-11"/>
          <w:sz w:val="20"/>
        </w:rPr>
        <w:t> </w:t>
      </w:r>
      <w:r>
        <w:rPr>
          <w:spacing w:val="-3"/>
          <w:sz w:val="20"/>
        </w:rPr>
        <w:t>reason’</w:t>
      </w:r>
      <w:r>
        <w:rPr>
          <w:spacing w:val="-11"/>
          <w:sz w:val="20"/>
        </w:rPr>
        <w:t> </w:t>
      </w:r>
      <w:r>
        <w:rPr>
          <w:sz w:val="20"/>
        </w:rPr>
        <w:t>including</w:t>
      </w:r>
      <w:r>
        <w:rPr>
          <w:spacing w:val="-11"/>
          <w:sz w:val="20"/>
        </w:rPr>
        <w:t> </w:t>
      </w:r>
      <w:r>
        <w:rPr>
          <w:sz w:val="20"/>
        </w:rPr>
        <w:t>illness</w:t>
      </w:r>
      <w:r>
        <w:rPr>
          <w:spacing w:val="-11"/>
          <w:sz w:val="20"/>
        </w:rPr>
        <w:t> </w:t>
      </w:r>
      <w:r>
        <w:rPr>
          <w:sz w:val="20"/>
        </w:rPr>
        <w:t>or</w:t>
      </w:r>
      <w:r>
        <w:rPr>
          <w:spacing w:val="-11"/>
          <w:sz w:val="20"/>
        </w:rPr>
        <w:t> </w:t>
      </w:r>
      <w:r>
        <w:rPr>
          <w:sz w:val="20"/>
        </w:rPr>
        <w:t>poor</w:t>
      </w:r>
      <w:r>
        <w:rPr>
          <w:spacing w:val="-11"/>
          <w:sz w:val="20"/>
        </w:rPr>
        <w:t> </w:t>
      </w:r>
      <w:r>
        <w:rPr>
          <w:sz w:val="20"/>
        </w:rPr>
        <w:t>health</w:t>
      </w:r>
      <w:r>
        <w:rPr>
          <w:spacing w:val="-10"/>
          <w:sz w:val="20"/>
        </w:rPr>
        <w:t> </w:t>
      </w:r>
      <w:r>
        <w:rPr>
          <w:sz w:val="20"/>
        </w:rPr>
        <w:t>and</w:t>
      </w:r>
      <w:r>
        <w:rPr>
          <w:spacing w:val="-11"/>
          <w:sz w:val="20"/>
        </w:rPr>
        <w:t> </w:t>
      </w:r>
      <w:r>
        <w:rPr>
          <w:sz w:val="20"/>
        </w:rPr>
        <w:t>incapacity</w:t>
      </w:r>
      <w:r>
        <w:rPr>
          <w:position w:val="7"/>
          <w:sz w:val="11"/>
        </w:rPr>
        <w:t>17</w:t>
      </w:r>
      <w:r>
        <w:rPr>
          <w:spacing w:val="14"/>
          <w:position w:val="7"/>
          <w:sz w:val="11"/>
        </w:rPr>
        <w:t> </w:t>
      </w:r>
      <w:r>
        <w:rPr>
          <w:sz w:val="20"/>
        </w:rPr>
        <w:t>and</w:t>
      </w:r>
      <w:r>
        <w:rPr>
          <w:spacing w:val="-11"/>
          <w:sz w:val="20"/>
        </w:rPr>
        <w:t> </w:t>
      </w:r>
      <w:r>
        <w:rPr>
          <w:sz w:val="20"/>
        </w:rPr>
        <w:t>to</w:t>
      </w:r>
      <w:r>
        <w:rPr>
          <w:spacing w:val="-11"/>
          <w:sz w:val="20"/>
        </w:rPr>
        <w:t> </w:t>
      </w:r>
      <w:r>
        <w:rPr>
          <w:sz w:val="20"/>
        </w:rPr>
        <w:t>permanently </w:t>
      </w:r>
      <w:r>
        <w:rPr>
          <w:spacing w:val="-3"/>
          <w:sz w:val="20"/>
        </w:rPr>
        <w:t>excuse </w:t>
      </w:r>
      <w:r>
        <w:rPr>
          <w:sz w:val="20"/>
        </w:rPr>
        <w:t>a person for reasons including continuing poor health, disability or advanced</w:t>
      </w:r>
      <w:r>
        <w:rPr>
          <w:spacing w:val="-5"/>
          <w:sz w:val="20"/>
        </w:rPr>
        <w:t> </w:t>
      </w:r>
      <w:r>
        <w:rPr>
          <w:sz w:val="20"/>
        </w:rPr>
        <w:t>age</w:t>
      </w:r>
      <w:r>
        <w:rPr>
          <w:position w:val="7"/>
          <w:sz w:val="11"/>
        </w:rPr>
        <w:t>18</w:t>
      </w:r>
    </w:p>
    <w:p>
      <w:pPr>
        <w:pStyle w:val="ListParagraph"/>
        <w:numPr>
          <w:ilvl w:val="2"/>
          <w:numId w:val="12"/>
        </w:numPr>
        <w:tabs>
          <w:tab w:pos="2157" w:val="left" w:leader="none"/>
          <w:tab w:pos="2158" w:val="left" w:leader="none"/>
        </w:tabs>
        <w:spacing w:line="240" w:lineRule="auto" w:before="57" w:after="0"/>
        <w:ind w:left="2157" w:right="0" w:hanging="396"/>
        <w:jc w:val="left"/>
        <w:rPr>
          <w:sz w:val="20"/>
        </w:rPr>
      </w:pPr>
      <w:r>
        <w:rPr>
          <w:sz w:val="20"/>
        </w:rPr>
        <w:t>challenges to the selection of individual</w:t>
      </w:r>
      <w:r>
        <w:rPr>
          <w:spacing w:val="-29"/>
          <w:sz w:val="20"/>
        </w:rPr>
        <w:t> </w:t>
      </w:r>
      <w:r>
        <w:rPr>
          <w:sz w:val="20"/>
        </w:rPr>
        <w:t>jurors.</w:t>
      </w:r>
    </w:p>
    <w:p>
      <w:pPr>
        <w:pStyle w:val="BodyText"/>
        <w:spacing w:before="4"/>
        <w:rPr>
          <w:sz w:val="10"/>
        </w:rPr>
      </w:pPr>
      <w:r>
        <w:rPr/>
        <w:pict>
          <v:line style="position:absolute;mso-position-horizontal-relative:page;mso-position-vertical-relative:paragraph;z-index:4520;mso-wrap-distance-left:0;mso-wrap-distance-right:0" from="79.370003pt,9.639100pt" to="515.905003pt,9.639100pt" stroked="true" strokeweight="1pt" strokecolor="#b6bdc8">
            <v:stroke dashstyle="solid"/>
            <w10:wrap type="topAndBottom"/>
          </v:line>
        </w:pict>
      </w:r>
    </w:p>
    <w:p>
      <w:pPr>
        <w:tabs>
          <w:tab w:pos="1760" w:val="left" w:leader="none"/>
        </w:tabs>
        <w:spacing w:line="170" w:lineRule="exact" w:before="91"/>
        <w:ind w:left="967" w:right="0" w:firstLine="0"/>
        <w:jc w:val="left"/>
        <w:rPr>
          <w:sz w:val="13"/>
        </w:rPr>
      </w:pPr>
      <w:r>
        <w:rPr>
          <w:sz w:val="13"/>
        </w:rPr>
        <w:t>4</w:t>
        <w:tab/>
        <w:t>See, eg, </w:t>
      </w:r>
      <w:r>
        <w:rPr>
          <w:i/>
          <w:sz w:val="13"/>
        </w:rPr>
        <w:t>Haddara v The </w:t>
      </w:r>
      <w:r>
        <w:rPr>
          <w:i/>
          <w:spacing w:val="2"/>
          <w:sz w:val="13"/>
        </w:rPr>
        <w:t>Queen </w:t>
      </w:r>
      <w:r>
        <w:rPr>
          <w:spacing w:val="2"/>
          <w:sz w:val="13"/>
        </w:rPr>
        <w:t>[2014] </w:t>
      </w:r>
      <w:r>
        <w:rPr>
          <w:sz w:val="13"/>
        </w:rPr>
        <w:t>VSCA 100, </w:t>
      </w:r>
      <w:r>
        <w:rPr>
          <w:spacing w:val="2"/>
          <w:sz w:val="13"/>
        </w:rPr>
        <w:t>(2014) </w:t>
      </w:r>
      <w:r>
        <w:rPr>
          <w:sz w:val="13"/>
        </w:rPr>
        <w:t>43 VR </w:t>
      </w:r>
      <w:r>
        <w:rPr>
          <w:spacing w:val="2"/>
          <w:sz w:val="13"/>
        </w:rPr>
        <w:t>53, </w:t>
      </w:r>
      <w:r>
        <w:rPr>
          <w:sz w:val="13"/>
        </w:rPr>
        <w:t>[16]; </w:t>
      </w:r>
      <w:r>
        <w:rPr>
          <w:i/>
          <w:sz w:val="13"/>
        </w:rPr>
        <w:t>James v The </w:t>
      </w:r>
      <w:r>
        <w:rPr>
          <w:i/>
          <w:spacing w:val="2"/>
          <w:sz w:val="13"/>
        </w:rPr>
        <w:t>Queen </w:t>
      </w:r>
      <w:r>
        <w:rPr>
          <w:sz w:val="13"/>
        </w:rPr>
        <w:t>[2014] HCA 6, </w:t>
      </w:r>
      <w:r>
        <w:rPr>
          <w:spacing w:val="2"/>
          <w:sz w:val="13"/>
        </w:rPr>
        <w:t>(2014) </w:t>
      </w:r>
      <w:r>
        <w:rPr>
          <w:sz w:val="13"/>
        </w:rPr>
        <w:t>253 CLR 475,</w:t>
      </w:r>
      <w:r>
        <w:rPr>
          <w:spacing w:val="19"/>
          <w:sz w:val="13"/>
        </w:rPr>
        <w:t> </w:t>
      </w:r>
      <w:r>
        <w:rPr>
          <w:spacing w:val="2"/>
          <w:sz w:val="13"/>
        </w:rPr>
        <w:t>[38],</w:t>
      </w:r>
    </w:p>
    <w:p>
      <w:pPr>
        <w:spacing w:line="160" w:lineRule="exact" w:before="0"/>
        <w:ind w:left="1761" w:right="0" w:firstLine="0"/>
        <w:jc w:val="left"/>
        <w:rPr>
          <w:sz w:val="13"/>
        </w:rPr>
      </w:pPr>
      <w:r>
        <w:rPr>
          <w:sz w:val="13"/>
        </w:rPr>
        <w:t>cited in Submission 11 (Supreme Court of Victoria).</w:t>
      </w:r>
    </w:p>
    <w:p>
      <w:pPr>
        <w:pStyle w:val="ListParagraph"/>
        <w:numPr>
          <w:ilvl w:val="0"/>
          <w:numId w:val="60"/>
        </w:numPr>
        <w:tabs>
          <w:tab w:pos="1760" w:val="left" w:leader="none"/>
          <w:tab w:pos="1762" w:val="left" w:leader="none"/>
        </w:tabs>
        <w:spacing w:line="213" w:lineRule="auto" w:before="6" w:after="0"/>
        <w:ind w:left="1761" w:right="1342" w:hanging="794"/>
        <w:jc w:val="left"/>
        <w:rPr>
          <w:sz w:val="13"/>
        </w:rPr>
      </w:pPr>
      <w:r>
        <w:rPr>
          <w:spacing w:val="2"/>
          <w:sz w:val="13"/>
        </w:rPr>
        <w:t>Submission </w:t>
      </w:r>
      <w:r>
        <w:rPr>
          <w:sz w:val="13"/>
        </w:rPr>
        <w:t>11 (Supreme </w:t>
      </w:r>
      <w:r>
        <w:rPr>
          <w:spacing w:val="2"/>
          <w:sz w:val="13"/>
        </w:rPr>
        <w:t>Court </w:t>
      </w:r>
      <w:r>
        <w:rPr>
          <w:sz w:val="13"/>
        </w:rPr>
        <w:t>of Victoria), citing R v Searle (1993) 2 VR 367, 374–6, (Marks and McDonald JJ) (Supreme </w:t>
      </w:r>
      <w:r>
        <w:rPr>
          <w:spacing w:val="2"/>
          <w:sz w:val="13"/>
        </w:rPr>
        <w:t>Court </w:t>
      </w:r>
      <w:r>
        <w:rPr>
          <w:sz w:val="13"/>
        </w:rPr>
        <w:t>of Victoria, </w:t>
      </w:r>
      <w:r>
        <w:rPr>
          <w:spacing w:val="2"/>
          <w:sz w:val="13"/>
        </w:rPr>
        <w:t>Marks, </w:t>
      </w:r>
      <w:r>
        <w:rPr>
          <w:sz w:val="13"/>
        </w:rPr>
        <w:t>Hampel and McDonald JJ, 24 June 1993); 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i/>
          <w:sz w:val="13"/>
        </w:rPr>
        <w:t>R v Bunting </w:t>
      </w:r>
      <w:r>
        <w:rPr>
          <w:sz w:val="13"/>
        </w:rPr>
        <w:t>[2003] SASC 257, (2003) 139 A Crim R 562,</w:t>
      </w:r>
      <w:r>
        <w:rPr>
          <w:spacing w:val="5"/>
          <w:sz w:val="13"/>
        </w:rPr>
        <w:t> </w:t>
      </w:r>
      <w:r>
        <w:rPr>
          <w:spacing w:val="2"/>
          <w:sz w:val="13"/>
        </w:rPr>
        <w:t>[13]–[14].</w:t>
      </w:r>
    </w:p>
    <w:p>
      <w:pPr>
        <w:pStyle w:val="ListParagraph"/>
        <w:numPr>
          <w:ilvl w:val="0"/>
          <w:numId w:val="60"/>
        </w:numPr>
        <w:tabs>
          <w:tab w:pos="1761" w:val="left" w:leader="none"/>
          <w:tab w:pos="1762" w:val="left" w:leader="none"/>
        </w:tabs>
        <w:spacing w:line="213" w:lineRule="auto" w:before="0" w:after="0"/>
        <w:ind w:left="1760" w:right="1293" w:hanging="793"/>
        <w:jc w:val="left"/>
        <w:rPr>
          <w:sz w:val="13"/>
        </w:rPr>
      </w:pPr>
      <w:r>
        <w:rPr>
          <w:i/>
          <w:sz w:val="13"/>
        </w:rPr>
        <w:t>Juries Act 2000 </w:t>
      </w:r>
      <w:r>
        <w:rPr>
          <w:spacing w:val="2"/>
          <w:sz w:val="13"/>
        </w:rPr>
        <w:t>(Vic) </w:t>
      </w:r>
      <w:r>
        <w:rPr>
          <w:sz w:val="13"/>
        </w:rPr>
        <w:t>s </w:t>
      </w:r>
      <w:r>
        <w:rPr>
          <w:spacing w:val="3"/>
          <w:sz w:val="13"/>
        </w:rPr>
        <w:t>11. </w:t>
      </w:r>
      <w:r>
        <w:rPr>
          <w:sz w:val="13"/>
        </w:rPr>
        <w:t>There is </w:t>
      </w:r>
      <w:r>
        <w:rPr>
          <w:spacing w:val="2"/>
          <w:sz w:val="13"/>
        </w:rPr>
        <w:t>also </w:t>
      </w:r>
      <w:r>
        <w:rPr>
          <w:sz w:val="13"/>
        </w:rPr>
        <w:t>a </w:t>
      </w:r>
      <w:r>
        <w:rPr>
          <w:spacing w:val="2"/>
          <w:sz w:val="13"/>
        </w:rPr>
        <w:t>general </w:t>
      </w:r>
      <w:r>
        <w:rPr>
          <w:sz w:val="13"/>
        </w:rPr>
        <w:t>power to excuse a person if they are unable to serve for any other reason under   s 32(3)(b).</w:t>
      </w:r>
    </w:p>
    <w:p>
      <w:pPr>
        <w:pStyle w:val="ListParagraph"/>
        <w:numPr>
          <w:ilvl w:val="0"/>
          <w:numId w:val="60"/>
        </w:numPr>
        <w:tabs>
          <w:tab w:pos="1760" w:val="left" w:leader="none"/>
          <w:tab w:pos="1762" w:val="left" w:leader="none"/>
        </w:tabs>
        <w:spacing w:line="153" w:lineRule="exact" w:before="0" w:after="0"/>
        <w:ind w:left="1761" w:right="0" w:hanging="794"/>
        <w:jc w:val="left"/>
        <w:rPr>
          <w:sz w:val="13"/>
        </w:rPr>
      </w:pPr>
      <w:r>
        <w:rPr>
          <w:sz w:val="13"/>
        </w:rPr>
        <w:t>Ibid s </w:t>
      </w:r>
      <w:r>
        <w:rPr>
          <w:spacing w:val="2"/>
          <w:sz w:val="13"/>
        </w:rPr>
        <w:t>12.</w:t>
      </w:r>
    </w:p>
    <w:p>
      <w:pPr>
        <w:pStyle w:val="ListParagraph"/>
        <w:numPr>
          <w:ilvl w:val="0"/>
          <w:numId w:val="60"/>
        </w:numPr>
        <w:tabs>
          <w:tab w:pos="1760" w:val="left" w:leader="none"/>
          <w:tab w:pos="1762" w:val="left" w:leader="none"/>
        </w:tabs>
        <w:spacing w:line="160" w:lineRule="exact" w:before="0" w:after="0"/>
        <w:ind w:left="1761" w:right="0" w:hanging="794"/>
        <w:jc w:val="left"/>
        <w:rPr>
          <w:sz w:val="13"/>
        </w:rPr>
      </w:pPr>
      <w:r>
        <w:rPr>
          <w:sz w:val="13"/>
        </w:rPr>
        <w:t>Ibid</w:t>
      </w:r>
      <w:r>
        <w:rPr>
          <w:spacing w:val="1"/>
          <w:sz w:val="13"/>
        </w:rPr>
        <w:t> </w:t>
      </w:r>
      <w:r>
        <w:rPr>
          <w:sz w:val="13"/>
        </w:rPr>
        <w:t>s</w:t>
      </w:r>
      <w:r>
        <w:rPr>
          <w:spacing w:val="2"/>
          <w:sz w:val="13"/>
        </w:rPr>
        <w:t> </w:t>
      </w:r>
      <w:r>
        <w:rPr>
          <w:sz w:val="13"/>
        </w:rPr>
        <w:t>43,</w:t>
      </w:r>
      <w:r>
        <w:rPr>
          <w:spacing w:val="2"/>
          <w:sz w:val="13"/>
        </w:rPr>
        <w:t> </w:t>
      </w:r>
      <w:r>
        <w:rPr>
          <w:sz w:val="13"/>
        </w:rPr>
        <w:t>or</w:t>
      </w:r>
      <w:r>
        <w:rPr>
          <w:spacing w:val="2"/>
          <w:sz w:val="13"/>
        </w:rPr>
        <w:t> </w:t>
      </w:r>
      <w:r>
        <w:rPr>
          <w:sz w:val="13"/>
        </w:rPr>
        <w:t>if</w:t>
      </w:r>
      <w:r>
        <w:rPr>
          <w:spacing w:val="1"/>
          <w:sz w:val="13"/>
        </w:rPr>
        <w:t> </w:t>
      </w:r>
      <w:r>
        <w:rPr>
          <w:sz w:val="13"/>
        </w:rPr>
        <w:t>the</w:t>
      </w:r>
      <w:r>
        <w:rPr>
          <w:spacing w:val="2"/>
          <w:sz w:val="13"/>
        </w:rPr>
        <w:t> </w:t>
      </w:r>
      <w:r>
        <w:rPr>
          <w:sz w:val="13"/>
        </w:rPr>
        <w:t>juror</w:t>
      </w:r>
      <w:r>
        <w:rPr>
          <w:spacing w:val="2"/>
          <w:sz w:val="13"/>
        </w:rPr>
        <w:t> </w:t>
      </w:r>
      <w:r>
        <w:rPr>
          <w:sz w:val="13"/>
        </w:rPr>
        <w:t>becomes</w:t>
      </w:r>
      <w:r>
        <w:rPr>
          <w:spacing w:val="2"/>
          <w:sz w:val="13"/>
        </w:rPr>
        <w:t> </w:t>
      </w:r>
      <w:r>
        <w:rPr>
          <w:sz w:val="13"/>
        </w:rPr>
        <w:t>ill</w:t>
      </w:r>
      <w:r>
        <w:rPr>
          <w:spacing w:val="1"/>
          <w:sz w:val="13"/>
        </w:rPr>
        <w:t> </w:t>
      </w:r>
      <w:r>
        <w:rPr>
          <w:sz w:val="13"/>
        </w:rPr>
        <w:t>or</w:t>
      </w:r>
      <w:r>
        <w:rPr>
          <w:spacing w:val="2"/>
          <w:sz w:val="13"/>
        </w:rPr>
        <w:t> </w:t>
      </w:r>
      <w:r>
        <w:rPr>
          <w:sz w:val="13"/>
        </w:rPr>
        <w:t>if</w:t>
      </w:r>
      <w:r>
        <w:rPr>
          <w:spacing w:val="2"/>
          <w:sz w:val="13"/>
        </w:rPr>
        <w:t> </w:t>
      </w:r>
      <w:r>
        <w:rPr>
          <w:sz w:val="13"/>
        </w:rPr>
        <w:t>the</w:t>
      </w:r>
      <w:r>
        <w:rPr>
          <w:spacing w:val="2"/>
          <w:sz w:val="13"/>
        </w:rPr>
        <w:t> </w:t>
      </w:r>
      <w:r>
        <w:rPr>
          <w:sz w:val="13"/>
        </w:rPr>
        <w:t>judge</w:t>
      </w:r>
      <w:r>
        <w:rPr>
          <w:spacing w:val="2"/>
          <w:sz w:val="13"/>
        </w:rPr>
        <w:t> </w:t>
      </w:r>
      <w:r>
        <w:rPr>
          <w:sz w:val="13"/>
        </w:rPr>
        <w:t>thinks</w:t>
      </w:r>
      <w:r>
        <w:rPr>
          <w:spacing w:val="1"/>
          <w:sz w:val="13"/>
        </w:rPr>
        <w:t> </w:t>
      </w:r>
      <w:r>
        <w:rPr>
          <w:sz w:val="13"/>
        </w:rPr>
        <w:t>that</w:t>
      </w:r>
      <w:r>
        <w:rPr>
          <w:spacing w:val="2"/>
          <w:sz w:val="13"/>
        </w:rPr>
        <w:t> </w:t>
      </w:r>
      <w:r>
        <w:rPr>
          <w:sz w:val="13"/>
        </w:rPr>
        <w:t>for</w:t>
      </w:r>
      <w:r>
        <w:rPr>
          <w:spacing w:val="2"/>
          <w:sz w:val="13"/>
        </w:rPr>
        <w:t> </w:t>
      </w:r>
      <w:r>
        <w:rPr>
          <w:sz w:val="13"/>
        </w:rPr>
        <w:t>any</w:t>
      </w:r>
      <w:r>
        <w:rPr>
          <w:spacing w:val="2"/>
          <w:sz w:val="13"/>
        </w:rPr>
        <w:t> </w:t>
      </w:r>
      <w:r>
        <w:rPr>
          <w:sz w:val="13"/>
        </w:rPr>
        <w:t>other</w:t>
      </w:r>
      <w:r>
        <w:rPr>
          <w:spacing w:val="1"/>
          <w:sz w:val="13"/>
        </w:rPr>
        <w:t> </w:t>
      </w:r>
      <w:r>
        <w:rPr>
          <w:sz w:val="13"/>
        </w:rPr>
        <w:t>reason</w:t>
      </w:r>
      <w:r>
        <w:rPr>
          <w:spacing w:val="2"/>
          <w:sz w:val="13"/>
        </w:rPr>
        <w:t> </w:t>
      </w:r>
      <w:r>
        <w:rPr>
          <w:sz w:val="13"/>
        </w:rPr>
        <w:t>the</w:t>
      </w:r>
      <w:r>
        <w:rPr>
          <w:spacing w:val="2"/>
          <w:sz w:val="13"/>
        </w:rPr>
        <w:t> </w:t>
      </w:r>
      <w:r>
        <w:rPr>
          <w:sz w:val="13"/>
        </w:rPr>
        <w:t>juror</w:t>
      </w:r>
      <w:r>
        <w:rPr>
          <w:spacing w:val="2"/>
          <w:sz w:val="13"/>
        </w:rPr>
        <w:t> </w:t>
      </w:r>
      <w:r>
        <w:rPr>
          <w:sz w:val="13"/>
        </w:rPr>
        <w:t>should</w:t>
      </w:r>
      <w:r>
        <w:rPr>
          <w:spacing w:val="2"/>
          <w:sz w:val="13"/>
        </w:rPr>
        <w:t> </w:t>
      </w:r>
      <w:r>
        <w:rPr>
          <w:sz w:val="13"/>
        </w:rPr>
        <w:t>not</w:t>
      </w:r>
      <w:r>
        <w:rPr>
          <w:spacing w:val="1"/>
          <w:sz w:val="13"/>
        </w:rPr>
        <w:t> </w:t>
      </w:r>
      <w:r>
        <w:rPr>
          <w:sz w:val="13"/>
        </w:rPr>
        <w:t>continue</w:t>
      </w:r>
      <w:r>
        <w:rPr>
          <w:spacing w:val="2"/>
          <w:sz w:val="13"/>
        </w:rPr>
        <w:t> </w:t>
      </w:r>
      <w:r>
        <w:rPr>
          <w:sz w:val="13"/>
        </w:rPr>
        <w:t>to</w:t>
      </w:r>
      <w:r>
        <w:rPr>
          <w:spacing w:val="2"/>
          <w:sz w:val="13"/>
        </w:rPr>
        <w:t> </w:t>
      </w:r>
      <w:r>
        <w:rPr>
          <w:sz w:val="13"/>
        </w:rPr>
        <w:t>act</w:t>
      </w:r>
      <w:r>
        <w:rPr>
          <w:spacing w:val="2"/>
          <w:sz w:val="13"/>
        </w:rPr>
        <w:t> </w:t>
      </w:r>
      <w:r>
        <w:rPr>
          <w:sz w:val="13"/>
        </w:rPr>
        <w:t>as</w:t>
      </w:r>
      <w:r>
        <w:rPr>
          <w:spacing w:val="1"/>
          <w:sz w:val="13"/>
        </w:rPr>
        <w:t> </w:t>
      </w:r>
      <w:r>
        <w:rPr>
          <w:sz w:val="13"/>
        </w:rPr>
        <w:t>a</w:t>
      </w:r>
      <w:r>
        <w:rPr>
          <w:spacing w:val="2"/>
          <w:sz w:val="13"/>
        </w:rPr>
        <w:t> </w:t>
      </w:r>
      <w:r>
        <w:rPr>
          <w:sz w:val="13"/>
        </w:rPr>
        <w:t>juror.</w:t>
      </w:r>
    </w:p>
    <w:p>
      <w:pPr>
        <w:pStyle w:val="ListParagraph"/>
        <w:numPr>
          <w:ilvl w:val="0"/>
          <w:numId w:val="60"/>
        </w:numPr>
        <w:tabs>
          <w:tab w:pos="1760" w:val="left" w:leader="none"/>
          <w:tab w:pos="1762" w:val="left" w:leader="none"/>
        </w:tabs>
        <w:spacing w:line="160" w:lineRule="exact" w:before="0" w:after="0"/>
        <w:ind w:left="1761" w:right="0" w:hanging="794"/>
        <w:jc w:val="left"/>
        <w:rPr>
          <w:sz w:val="13"/>
        </w:rPr>
      </w:pP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36–37 </w:t>
      </w:r>
      <w:r>
        <w:rPr>
          <w:spacing w:val="2"/>
          <w:sz w:val="13"/>
        </w:rPr>
        <w:t>[3.120]. </w:t>
      </w:r>
      <w:r>
        <w:rPr>
          <w:sz w:val="13"/>
        </w:rPr>
        <w:t>See </w:t>
      </w:r>
      <w:r>
        <w:rPr>
          <w:spacing w:val="2"/>
          <w:sz w:val="13"/>
        </w:rPr>
        <w:t>also</w:t>
      </w:r>
      <w:r>
        <w:rPr>
          <w:spacing w:val="10"/>
          <w:sz w:val="13"/>
        </w:rPr>
        <w:t> </w:t>
      </w:r>
      <w:r>
        <w:rPr>
          <w:sz w:val="13"/>
        </w:rPr>
        <w:t>Glossary.</w:t>
      </w:r>
    </w:p>
    <w:p>
      <w:pPr>
        <w:pStyle w:val="ListParagraph"/>
        <w:numPr>
          <w:ilvl w:val="0"/>
          <w:numId w:val="60"/>
        </w:numPr>
        <w:tabs>
          <w:tab w:pos="1761" w:val="left" w:leader="none"/>
          <w:tab w:pos="1762" w:val="left" w:leader="none"/>
        </w:tabs>
        <w:spacing w:line="160" w:lineRule="exact" w:before="0" w:after="0"/>
        <w:ind w:left="1761" w:right="0" w:hanging="794"/>
        <w:jc w:val="left"/>
        <w:rPr>
          <w:i/>
          <w:sz w:val="13"/>
        </w:rPr>
      </w:pPr>
      <w:r>
        <w:rPr>
          <w:i/>
          <w:sz w:val="13"/>
        </w:rPr>
        <w:t>Juries Act 2000 </w:t>
      </w:r>
      <w:r>
        <w:rPr>
          <w:spacing w:val="2"/>
          <w:sz w:val="13"/>
        </w:rPr>
        <w:t>(Vic) </w:t>
      </w:r>
      <w:r>
        <w:rPr>
          <w:sz w:val="13"/>
        </w:rPr>
        <w:t>s 32. See </w:t>
      </w:r>
      <w:r>
        <w:rPr>
          <w:spacing w:val="2"/>
          <w:sz w:val="13"/>
        </w:rPr>
        <w:t>also </w:t>
      </w:r>
      <w:r>
        <w:rPr>
          <w:sz w:val="13"/>
        </w:rPr>
        <w:t>Judicial College of Victoria, </w:t>
      </w:r>
      <w:r>
        <w:rPr>
          <w:spacing w:val="2"/>
          <w:sz w:val="13"/>
        </w:rPr>
        <w:t>‘11.1 </w:t>
      </w:r>
      <w:r>
        <w:rPr>
          <w:sz w:val="13"/>
        </w:rPr>
        <w:t>Selecting a Jury’, </w:t>
      </w:r>
      <w:r>
        <w:rPr>
          <w:i/>
          <w:sz w:val="13"/>
        </w:rPr>
        <w:t>Victorian Criminal Proceedings</w:t>
      </w:r>
      <w:r>
        <w:rPr>
          <w:i/>
          <w:spacing w:val="4"/>
          <w:sz w:val="13"/>
        </w:rPr>
        <w:t> </w:t>
      </w:r>
      <w:r>
        <w:rPr>
          <w:i/>
          <w:sz w:val="13"/>
        </w:rPr>
        <w:t>Manual</w:t>
      </w:r>
    </w:p>
    <w:p>
      <w:pPr>
        <w:spacing w:line="160" w:lineRule="exact" w:before="0"/>
        <w:ind w:left="1760" w:right="0" w:firstLine="0"/>
        <w:jc w:val="left"/>
        <w:rPr>
          <w:sz w:val="13"/>
        </w:rPr>
      </w:pPr>
      <w:r>
        <w:rPr>
          <w:sz w:val="13"/>
        </w:rPr>
        <w:t>(Online Manual, 30 August 2021) &lt;</w:t>
      </w:r>
      <w:hyperlink r:id="rId49">
        <w:r>
          <w:rPr>
            <w:sz w:val="13"/>
          </w:rPr>
          <w:t>https://www.judicialcollege.vic.edu.au/eManuals/VCPM/index.htm#27318.htm</w:t>
        </w:r>
      </w:hyperlink>
      <w:r>
        <w:rPr>
          <w:sz w:val="13"/>
        </w:rPr>
        <w:t>&gt;.</w:t>
      </w:r>
    </w:p>
    <w:p>
      <w:pPr>
        <w:pStyle w:val="ListParagraph"/>
        <w:numPr>
          <w:ilvl w:val="0"/>
          <w:numId w:val="60"/>
        </w:numPr>
        <w:tabs>
          <w:tab w:pos="1760" w:val="left" w:leader="none"/>
          <w:tab w:pos="1762" w:val="left" w:leader="none"/>
        </w:tabs>
        <w:spacing w:line="213" w:lineRule="auto" w:before="4" w:after="0"/>
        <w:ind w:left="1761" w:right="1392" w:hanging="794"/>
        <w:jc w:val="left"/>
        <w:rPr>
          <w:i/>
          <w:sz w:val="13"/>
        </w:rPr>
      </w:pPr>
      <w:r>
        <w:rPr>
          <w:sz w:val="13"/>
        </w:rPr>
        <w:t>As explained in our </w:t>
      </w:r>
      <w:r>
        <w:rPr>
          <w:i/>
          <w:spacing w:val="2"/>
          <w:sz w:val="13"/>
        </w:rPr>
        <w:t>Jury </w:t>
      </w:r>
      <w:r>
        <w:rPr>
          <w:i/>
          <w:sz w:val="13"/>
        </w:rPr>
        <w:t>Empanelment </w:t>
      </w:r>
      <w:r>
        <w:rPr>
          <w:spacing w:val="2"/>
          <w:sz w:val="13"/>
        </w:rPr>
        <w:t>report, </w:t>
      </w:r>
      <w:r>
        <w:rPr>
          <w:sz w:val="13"/>
        </w:rPr>
        <w:t>a ‘challenge to the array is a common law right to challenge the entire </w:t>
      </w:r>
      <w:r>
        <w:rPr>
          <w:spacing w:val="2"/>
          <w:sz w:val="13"/>
        </w:rPr>
        <w:t>panel. </w:t>
      </w:r>
      <w:r>
        <w:rPr>
          <w:sz w:val="13"/>
        </w:rPr>
        <w:t>It requires the </w:t>
      </w:r>
      <w:r>
        <w:rPr>
          <w:spacing w:val="2"/>
          <w:sz w:val="13"/>
        </w:rPr>
        <w:t>party </w:t>
      </w:r>
      <w:r>
        <w:rPr>
          <w:sz w:val="13"/>
        </w:rPr>
        <w:t>to </w:t>
      </w:r>
      <w:r>
        <w:rPr>
          <w:spacing w:val="2"/>
          <w:sz w:val="13"/>
        </w:rPr>
        <w:t>establish </w:t>
      </w:r>
      <w:r>
        <w:rPr>
          <w:sz w:val="13"/>
        </w:rPr>
        <w:t>that there has </w:t>
      </w:r>
      <w:r>
        <w:rPr>
          <w:spacing w:val="2"/>
          <w:sz w:val="13"/>
        </w:rPr>
        <w:t>been </w:t>
      </w:r>
      <w:r>
        <w:rPr>
          <w:sz w:val="13"/>
        </w:rPr>
        <w:t>bias on the </w:t>
      </w:r>
      <w:r>
        <w:rPr>
          <w:spacing w:val="2"/>
          <w:sz w:val="13"/>
        </w:rPr>
        <w:t>part </w:t>
      </w:r>
      <w:r>
        <w:rPr>
          <w:sz w:val="13"/>
        </w:rPr>
        <w:t>of the Juries </w:t>
      </w:r>
      <w:r>
        <w:rPr>
          <w:spacing w:val="2"/>
          <w:sz w:val="13"/>
        </w:rPr>
        <w:t>Commissioner </w:t>
      </w:r>
      <w:r>
        <w:rPr>
          <w:sz w:val="13"/>
        </w:rPr>
        <w:t>or the pool </w:t>
      </w:r>
      <w:r>
        <w:rPr>
          <w:spacing w:val="2"/>
          <w:sz w:val="13"/>
        </w:rPr>
        <w:t>supervisor </w:t>
      </w:r>
      <w:r>
        <w:rPr>
          <w:sz w:val="13"/>
        </w:rPr>
        <w:t>or some other default in respect of the constitution of the </w:t>
      </w:r>
      <w:r>
        <w:rPr>
          <w:spacing w:val="2"/>
          <w:sz w:val="13"/>
        </w:rPr>
        <w:t>panel. </w:t>
      </w:r>
      <w:r>
        <w:rPr>
          <w:sz w:val="13"/>
        </w:rPr>
        <w:t>A challenge for cause requires the </w:t>
      </w:r>
      <w:r>
        <w:rPr>
          <w:spacing w:val="2"/>
          <w:sz w:val="13"/>
        </w:rPr>
        <w:t>party </w:t>
      </w:r>
      <w:r>
        <w:rPr>
          <w:sz w:val="13"/>
        </w:rPr>
        <w:t>to provide a reason to the      trial judge as to why the prospective juror should not be </w:t>
      </w:r>
      <w:r>
        <w:rPr>
          <w:spacing w:val="2"/>
          <w:sz w:val="13"/>
        </w:rPr>
        <w:t>part </w:t>
      </w:r>
      <w:r>
        <w:rPr>
          <w:sz w:val="13"/>
        </w:rPr>
        <w:t>of the jury. Challenges for cause and to the array are very rare in Victoria’: 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23 </w:t>
      </w:r>
      <w:r>
        <w:rPr>
          <w:spacing w:val="3"/>
          <w:sz w:val="13"/>
        </w:rPr>
        <w:t>[3.21]–[3.23]. </w:t>
      </w:r>
      <w:r>
        <w:rPr>
          <w:sz w:val="13"/>
        </w:rPr>
        <w:t>For </w:t>
      </w:r>
      <w:r>
        <w:rPr>
          <w:spacing w:val="2"/>
          <w:sz w:val="13"/>
        </w:rPr>
        <w:t>further </w:t>
      </w:r>
      <w:r>
        <w:rPr>
          <w:sz w:val="13"/>
        </w:rPr>
        <w:t>discussion about</w:t>
      </w:r>
      <w:r>
        <w:rPr>
          <w:spacing w:val="4"/>
          <w:sz w:val="13"/>
        </w:rPr>
        <w:t> </w:t>
      </w:r>
      <w:r>
        <w:rPr>
          <w:sz w:val="13"/>
        </w:rPr>
        <w:t>these</w:t>
      </w:r>
      <w:r>
        <w:rPr>
          <w:spacing w:val="5"/>
          <w:sz w:val="13"/>
        </w:rPr>
        <w:t> </w:t>
      </w:r>
      <w:r>
        <w:rPr>
          <w:sz w:val="13"/>
        </w:rPr>
        <w:t>challenges</w:t>
      </w:r>
      <w:r>
        <w:rPr>
          <w:spacing w:val="5"/>
          <w:sz w:val="13"/>
        </w:rPr>
        <w:t> </w:t>
      </w:r>
      <w:r>
        <w:rPr>
          <w:sz w:val="13"/>
        </w:rPr>
        <w:t>and</w:t>
      </w:r>
      <w:r>
        <w:rPr>
          <w:spacing w:val="5"/>
          <w:sz w:val="13"/>
        </w:rPr>
        <w:t> </w:t>
      </w:r>
      <w:r>
        <w:rPr>
          <w:sz w:val="13"/>
        </w:rPr>
        <w:t>relevant</w:t>
      </w:r>
      <w:r>
        <w:rPr>
          <w:spacing w:val="4"/>
          <w:sz w:val="13"/>
        </w:rPr>
        <w:t> </w:t>
      </w:r>
      <w:r>
        <w:rPr>
          <w:sz w:val="13"/>
        </w:rPr>
        <w:t>case</w:t>
      </w:r>
      <w:r>
        <w:rPr>
          <w:spacing w:val="5"/>
          <w:sz w:val="13"/>
        </w:rPr>
        <w:t> </w:t>
      </w:r>
      <w:r>
        <w:rPr>
          <w:sz w:val="13"/>
        </w:rPr>
        <w:t>law:</w:t>
      </w:r>
      <w:r>
        <w:rPr>
          <w:spacing w:val="5"/>
          <w:sz w:val="13"/>
        </w:rPr>
        <w:t> </w:t>
      </w:r>
      <w:r>
        <w:rPr>
          <w:sz w:val="13"/>
        </w:rPr>
        <w:t>see</w:t>
      </w:r>
      <w:r>
        <w:rPr>
          <w:spacing w:val="5"/>
          <w:sz w:val="13"/>
        </w:rPr>
        <w:t> </w:t>
      </w:r>
      <w:r>
        <w:rPr>
          <w:sz w:val="13"/>
        </w:rPr>
        <w:t>Judicial</w:t>
      </w:r>
      <w:r>
        <w:rPr>
          <w:spacing w:val="4"/>
          <w:sz w:val="13"/>
        </w:rPr>
        <w:t> </w:t>
      </w:r>
      <w:r>
        <w:rPr>
          <w:sz w:val="13"/>
        </w:rPr>
        <w:t>College</w:t>
      </w:r>
      <w:r>
        <w:rPr>
          <w:spacing w:val="5"/>
          <w:sz w:val="13"/>
        </w:rPr>
        <w:t> </w:t>
      </w:r>
      <w:r>
        <w:rPr>
          <w:sz w:val="13"/>
        </w:rPr>
        <w:t>of</w:t>
      </w:r>
      <w:r>
        <w:rPr>
          <w:spacing w:val="5"/>
          <w:sz w:val="13"/>
        </w:rPr>
        <w:t> </w:t>
      </w:r>
      <w:r>
        <w:rPr>
          <w:sz w:val="13"/>
        </w:rPr>
        <w:t>Victoria,</w:t>
      </w:r>
      <w:r>
        <w:rPr>
          <w:spacing w:val="5"/>
          <w:sz w:val="13"/>
        </w:rPr>
        <w:t> </w:t>
      </w:r>
      <w:r>
        <w:rPr>
          <w:spacing w:val="2"/>
          <w:sz w:val="13"/>
        </w:rPr>
        <w:t>‘11.1</w:t>
      </w:r>
      <w:r>
        <w:rPr>
          <w:spacing w:val="5"/>
          <w:sz w:val="13"/>
        </w:rPr>
        <w:t> </w:t>
      </w:r>
      <w:r>
        <w:rPr>
          <w:sz w:val="13"/>
        </w:rPr>
        <w:t>Selecting</w:t>
      </w:r>
      <w:r>
        <w:rPr>
          <w:spacing w:val="4"/>
          <w:sz w:val="13"/>
        </w:rPr>
        <w:t> </w:t>
      </w:r>
      <w:r>
        <w:rPr>
          <w:sz w:val="13"/>
        </w:rPr>
        <w:t>a</w:t>
      </w:r>
      <w:r>
        <w:rPr>
          <w:spacing w:val="5"/>
          <w:sz w:val="13"/>
        </w:rPr>
        <w:t> </w:t>
      </w:r>
      <w:r>
        <w:rPr>
          <w:sz w:val="13"/>
        </w:rPr>
        <w:t>Jury’,</w:t>
      </w:r>
      <w:r>
        <w:rPr>
          <w:spacing w:val="5"/>
          <w:sz w:val="13"/>
        </w:rPr>
        <w:t> </w:t>
      </w:r>
      <w:r>
        <w:rPr>
          <w:i/>
          <w:sz w:val="13"/>
        </w:rPr>
        <w:t>Victorian</w:t>
      </w:r>
      <w:r>
        <w:rPr>
          <w:i/>
          <w:spacing w:val="5"/>
          <w:sz w:val="13"/>
        </w:rPr>
        <w:t> </w:t>
      </w:r>
      <w:r>
        <w:rPr>
          <w:i/>
          <w:sz w:val="13"/>
        </w:rPr>
        <w:t>Criminal</w:t>
      </w:r>
    </w:p>
    <w:p>
      <w:pPr>
        <w:spacing w:line="213" w:lineRule="auto" w:before="0"/>
        <w:ind w:left="1761" w:right="1335" w:hanging="1"/>
        <w:jc w:val="left"/>
        <w:rPr>
          <w:sz w:val="13"/>
        </w:rPr>
      </w:pPr>
      <w:r>
        <w:rPr>
          <w:i/>
          <w:sz w:val="13"/>
        </w:rPr>
        <w:t>Proceedings Manual </w:t>
      </w:r>
      <w:r>
        <w:rPr>
          <w:sz w:val="13"/>
        </w:rPr>
        <w:t>(Online Manual, 30 August 2021) [53]–[89] &lt;</w:t>
      </w:r>
      <w:hyperlink r:id="rId49">
        <w:r>
          <w:rPr>
            <w:sz w:val="13"/>
          </w:rPr>
          <w:t>https://www.judicialcollege.vic.edu.au/eManuals/VCPM/index.</w:t>
        </w:r>
      </w:hyperlink>
      <w:r>
        <w:rPr>
          <w:sz w:val="13"/>
        </w:rPr>
        <w:t> </w:t>
      </w:r>
      <w:hyperlink r:id="rId49">
        <w:r>
          <w:rPr>
            <w:sz w:val="13"/>
          </w:rPr>
          <w:t>htm#27318.htm</w:t>
        </w:r>
      </w:hyperlink>
      <w:r>
        <w:rPr>
          <w:sz w:val="13"/>
        </w:rPr>
        <w:t>&gt;.</w:t>
      </w:r>
    </w:p>
    <w:p>
      <w:pPr>
        <w:pStyle w:val="ListParagraph"/>
        <w:numPr>
          <w:ilvl w:val="0"/>
          <w:numId w:val="60"/>
        </w:numPr>
        <w:tabs>
          <w:tab w:pos="1761" w:val="left" w:leader="none"/>
          <w:tab w:pos="1762" w:val="left" w:leader="none"/>
        </w:tabs>
        <w:spacing w:line="152" w:lineRule="exact" w:before="0" w:after="0"/>
        <w:ind w:left="1761" w:right="0" w:hanging="794"/>
        <w:jc w:val="left"/>
        <w:rPr>
          <w:sz w:val="13"/>
        </w:rPr>
      </w:pPr>
      <w:r>
        <w:rPr>
          <w:sz w:val="13"/>
        </w:rPr>
        <w:t>This report only considers peremptory challenges and Crown </w:t>
      </w:r>
      <w:r>
        <w:rPr>
          <w:spacing w:val="2"/>
          <w:sz w:val="13"/>
        </w:rPr>
        <w:t>stand</w:t>
      </w:r>
      <w:r>
        <w:rPr>
          <w:spacing w:val="4"/>
          <w:sz w:val="13"/>
        </w:rPr>
        <w:t> </w:t>
      </w:r>
      <w:r>
        <w:rPr>
          <w:spacing w:val="2"/>
          <w:sz w:val="13"/>
        </w:rPr>
        <w:t>asides.</w:t>
      </w:r>
    </w:p>
    <w:p>
      <w:pPr>
        <w:pStyle w:val="ListParagraph"/>
        <w:numPr>
          <w:ilvl w:val="0"/>
          <w:numId w:val="60"/>
        </w:numPr>
        <w:tabs>
          <w:tab w:pos="1761" w:val="left" w:leader="none"/>
          <w:tab w:pos="1762" w:val="left" w:leader="none"/>
        </w:tabs>
        <w:spacing w:line="160" w:lineRule="exact" w:before="0" w:after="0"/>
        <w:ind w:left="1761" w:right="0" w:hanging="794"/>
        <w:jc w:val="left"/>
        <w:rPr>
          <w:sz w:val="13"/>
        </w:rPr>
      </w:pPr>
      <w:r>
        <w:rPr>
          <w:i/>
          <w:sz w:val="13"/>
        </w:rPr>
        <w:t>Juries Act 2000 </w:t>
      </w:r>
      <w:r>
        <w:rPr>
          <w:spacing w:val="2"/>
          <w:sz w:val="13"/>
        </w:rPr>
        <w:t>(Vic) </w:t>
      </w:r>
      <w:r>
        <w:rPr>
          <w:sz w:val="13"/>
        </w:rPr>
        <w:t>sch</w:t>
      </w:r>
      <w:r>
        <w:rPr>
          <w:spacing w:val="-2"/>
          <w:sz w:val="13"/>
        </w:rPr>
        <w:t> </w:t>
      </w:r>
      <w:r>
        <w:rPr>
          <w:spacing w:val="3"/>
          <w:sz w:val="13"/>
        </w:rPr>
        <w:t>3.</w:t>
      </w:r>
    </w:p>
    <w:p>
      <w:pPr>
        <w:pStyle w:val="ListParagraph"/>
        <w:numPr>
          <w:ilvl w:val="0"/>
          <w:numId w:val="60"/>
        </w:numPr>
        <w:tabs>
          <w:tab w:pos="1760" w:val="left" w:leader="none"/>
          <w:tab w:pos="1762" w:val="left" w:leader="none"/>
        </w:tabs>
        <w:spacing w:line="160" w:lineRule="exact" w:before="0" w:after="0"/>
        <w:ind w:left="1761" w:right="0" w:hanging="794"/>
        <w:jc w:val="left"/>
        <w:rPr>
          <w:sz w:val="13"/>
        </w:rPr>
      </w:pPr>
      <w:r>
        <w:rPr>
          <w:sz w:val="13"/>
        </w:rPr>
        <w:t>Judicial College of Victoria, </w:t>
      </w:r>
      <w:r>
        <w:rPr>
          <w:spacing w:val="2"/>
          <w:sz w:val="13"/>
        </w:rPr>
        <w:t>‘1.5 Decide </w:t>
      </w:r>
      <w:r>
        <w:rPr>
          <w:sz w:val="13"/>
        </w:rPr>
        <w:t>Solely on the Evidence’, </w:t>
      </w:r>
      <w:r>
        <w:rPr>
          <w:i/>
          <w:sz w:val="13"/>
        </w:rPr>
        <w:t>Victorian Criminal Charge Book </w:t>
      </w:r>
      <w:r>
        <w:rPr>
          <w:sz w:val="13"/>
        </w:rPr>
        <w:t>(Online Manual, </w:t>
      </w:r>
      <w:r>
        <w:rPr>
          <w:spacing w:val="3"/>
          <w:sz w:val="13"/>
        </w:rPr>
        <w:t>14 </w:t>
      </w:r>
      <w:r>
        <w:rPr>
          <w:sz w:val="13"/>
        </w:rPr>
        <w:t>May 2021) </w:t>
      </w:r>
      <w:r>
        <w:rPr>
          <w:spacing w:val="2"/>
          <w:sz w:val="13"/>
        </w:rPr>
        <w:t>[1]</w:t>
      </w:r>
    </w:p>
    <w:p>
      <w:pPr>
        <w:spacing w:line="213" w:lineRule="auto" w:before="3"/>
        <w:ind w:left="1760" w:right="1354" w:firstLine="0"/>
        <w:jc w:val="left"/>
        <w:rPr>
          <w:sz w:val="13"/>
        </w:rPr>
      </w:pPr>
      <w:r>
        <w:rPr>
          <w:sz w:val="13"/>
        </w:rPr>
        <w:t>&lt;</w:t>
      </w:r>
      <w:hyperlink r:id="rId40">
        <w:r>
          <w:rPr>
            <w:sz w:val="13"/>
          </w:rPr>
          <w:t>www.judicialcollege.vic.edu.au/eManuals/CCB/index.htm#19193.htm</w:t>
        </w:r>
      </w:hyperlink>
      <w:r>
        <w:rPr>
          <w:sz w:val="13"/>
        </w:rPr>
        <w:t>&gt;, citing </w:t>
      </w:r>
      <w:r>
        <w:rPr>
          <w:i/>
          <w:sz w:val="13"/>
        </w:rPr>
        <w:t>R v Glennon </w:t>
      </w:r>
      <w:r>
        <w:rPr>
          <w:spacing w:val="2"/>
          <w:sz w:val="13"/>
        </w:rPr>
        <w:t>(1992) </w:t>
      </w:r>
      <w:r>
        <w:rPr>
          <w:sz w:val="13"/>
        </w:rPr>
        <w:t>173 CLR 592, (High </w:t>
      </w:r>
      <w:r>
        <w:rPr>
          <w:spacing w:val="2"/>
          <w:sz w:val="13"/>
        </w:rPr>
        <w:t>Court </w:t>
      </w:r>
      <w:r>
        <w:rPr>
          <w:sz w:val="13"/>
        </w:rPr>
        <w:t>of Australia, Mason CJ, Brennan, Deane, Dawson, Toohey, Gaudron and McHugh JJ, 6 May 1992); </w:t>
      </w:r>
      <w:r>
        <w:rPr>
          <w:i/>
          <w:sz w:val="13"/>
        </w:rPr>
        <w:t>Murphy v The </w:t>
      </w:r>
      <w:r>
        <w:rPr>
          <w:i/>
          <w:spacing w:val="2"/>
          <w:sz w:val="13"/>
        </w:rPr>
        <w:t>Queen </w:t>
      </w:r>
      <w:r>
        <w:rPr>
          <w:sz w:val="13"/>
        </w:rPr>
        <w:t>(1989) 167 CLR </w:t>
      </w:r>
      <w:r>
        <w:rPr>
          <w:spacing w:val="3"/>
          <w:sz w:val="13"/>
        </w:rPr>
        <w:t>94, </w:t>
      </w:r>
      <w:r>
        <w:rPr>
          <w:sz w:val="13"/>
        </w:rPr>
        <w:t>(High </w:t>
      </w:r>
      <w:r>
        <w:rPr>
          <w:spacing w:val="2"/>
          <w:sz w:val="13"/>
        </w:rPr>
        <w:t>Court </w:t>
      </w:r>
      <w:r>
        <w:rPr>
          <w:sz w:val="13"/>
        </w:rPr>
        <w:t>of Australia, Mason CJ, Brennan, Deane, Dawson and Toohey JJ, 30 May 1989); </w:t>
      </w:r>
      <w:r>
        <w:rPr>
          <w:i/>
          <w:sz w:val="13"/>
        </w:rPr>
        <w:t>R v VPH </w:t>
      </w:r>
      <w:r>
        <w:rPr>
          <w:sz w:val="13"/>
        </w:rPr>
        <w:t>(New South Wales </w:t>
      </w:r>
      <w:r>
        <w:rPr>
          <w:spacing w:val="2"/>
          <w:sz w:val="13"/>
        </w:rPr>
        <w:t>Court     </w:t>
      </w:r>
      <w:r>
        <w:rPr>
          <w:sz w:val="13"/>
        </w:rPr>
        <w:t>of</w:t>
      </w:r>
      <w:r>
        <w:rPr>
          <w:spacing w:val="3"/>
          <w:sz w:val="13"/>
        </w:rPr>
        <w:t> </w:t>
      </w:r>
      <w:r>
        <w:rPr>
          <w:sz w:val="13"/>
        </w:rPr>
        <w:t>Criminal</w:t>
      </w:r>
      <w:r>
        <w:rPr>
          <w:spacing w:val="3"/>
          <w:sz w:val="13"/>
        </w:rPr>
        <w:t> </w:t>
      </w:r>
      <w:r>
        <w:rPr>
          <w:spacing w:val="2"/>
          <w:sz w:val="13"/>
        </w:rPr>
        <w:t>Appeal,</w:t>
      </w:r>
      <w:r>
        <w:rPr>
          <w:spacing w:val="3"/>
          <w:sz w:val="13"/>
        </w:rPr>
        <w:t> </w:t>
      </w:r>
      <w:r>
        <w:rPr>
          <w:sz w:val="13"/>
        </w:rPr>
        <w:t>Gleeson</w:t>
      </w:r>
      <w:r>
        <w:rPr>
          <w:spacing w:val="3"/>
          <w:sz w:val="13"/>
        </w:rPr>
        <w:t> </w:t>
      </w:r>
      <w:r>
        <w:rPr>
          <w:sz w:val="13"/>
        </w:rPr>
        <w:t>CJ,</w:t>
      </w:r>
      <w:r>
        <w:rPr>
          <w:spacing w:val="3"/>
          <w:sz w:val="13"/>
        </w:rPr>
        <w:t> </w:t>
      </w:r>
      <w:r>
        <w:rPr>
          <w:sz w:val="13"/>
        </w:rPr>
        <w:t>Newman</w:t>
      </w:r>
      <w:r>
        <w:rPr>
          <w:spacing w:val="3"/>
          <w:sz w:val="13"/>
        </w:rPr>
        <w:t> </w:t>
      </w:r>
      <w:r>
        <w:rPr>
          <w:sz w:val="13"/>
        </w:rPr>
        <w:t>and</w:t>
      </w:r>
      <w:r>
        <w:rPr>
          <w:spacing w:val="3"/>
          <w:sz w:val="13"/>
        </w:rPr>
        <w:t> </w:t>
      </w:r>
      <w:r>
        <w:rPr>
          <w:sz w:val="13"/>
        </w:rPr>
        <w:t>Sully</w:t>
      </w:r>
      <w:r>
        <w:rPr>
          <w:spacing w:val="3"/>
          <w:sz w:val="13"/>
        </w:rPr>
        <w:t> </w:t>
      </w:r>
      <w:r>
        <w:rPr>
          <w:sz w:val="13"/>
        </w:rPr>
        <w:t>JJ,</w:t>
      </w:r>
      <w:r>
        <w:rPr>
          <w:spacing w:val="3"/>
          <w:sz w:val="13"/>
        </w:rPr>
        <w:t> </w:t>
      </w:r>
      <w:r>
        <w:rPr>
          <w:sz w:val="13"/>
        </w:rPr>
        <w:t>4</w:t>
      </w:r>
      <w:r>
        <w:rPr>
          <w:spacing w:val="3"/>
          <w:sz w:val="13"/>
        </w:rPr>
        <w:t> </w:t>
      </w:r>
      <w:r>
        <w:rPr>
          <w:sz w:val="13"/>
        </w:rPr>
        <w:t>March</w:t>
      </w:r>
      <w:r>
        <w:rPr>
          <w:spacing w:val="3"/>
          <w:sz w:val="13"/>
        </w:rPr>
        <w:t> </w:t>
      </w:r>
      <w:r>
        <w:rPr>
          <w:spacing w:val="2"/>
          <w:sz w:val="13"/>
        </w:rPr>
        <w:t>1994);</w:t>
      </w:r>
      <w:r>
        <w:rPr>
          <w:spacing w:val="3"/>
          <w:sz w:val="13"/>
        </w:rPr>
        <w:t> </w:t>
      </w:r>
      <w:r>
        <w:rPr>
          <w:i/>
          <w:sz w:val="13"/>
        </w:rPr>
        <w:t>R</w:t>
      </w:r>
      <w:r>
        <w:rPr>
          <w:i/>
          <w:spacing w:val="3"/>
          <w:sz w:val="13"/>
        </w:rPr>
        <w:t> </w:t>
      </w:r>
      <w:r>
        <w:rPr>
          <w:i/>
          <w:sz w:val="13"/>
        </w:rPr>
        <w:t>v</w:t>
      </w:r>
      <w:r>
        <w:rPr>
          <w:i/>
          <w:spacing w:val="3"/>
          <w:sz w:val="13"/>
        </w:rPr>
        <w:t> </w:t>
      </w:r>
      <w:r>
        <w:rPr>
          <w:i/>
          <w:sz w:val="13"/>
        </w:rPr>
        <w:t>Vjestica</w:t>
      </w:r>
      <w:r>
        <w:rPr>
          <w:i/>
          <w:spacing w:val="3"/>
          <w:sz w:val="13"/>
        </w:rPr>
        <w:t> </w:t>
      </w:r>
      <w:r>
        <w:rPr>
          <w:sz w:val="13"/>
        </w:rPr>
        <w:t>[2008]</w:t>
      </w:r>
      <w:r>
        <w:rPr>
          <w:spacing w:val="3"/>
          <w:sz w:val="13"/>
        </w:rPr>
        <w:t> </w:t>
      </w:r>
      <w:r>
        <w:rPr>
          <w:sz w:val="13"/>
        </w:rPr>
        <w:t>VSCA</w:t>
      </w:r>
      <w:r>
        <w:rPr>
          <w:spacing w:val="3"/>
          <w:sz w:val="13"/>
        </w:rPr>
        <w:t> </w:t>
      </w:r>
      <w:r>
        <w:rPr>
          <w:spacing w:val="-4"/>
          <w:sz w:val="13"/>
        </w:rPr>
        <w:t>47,</w:t>
      </w:r>
      <w:r>
        <w:rPr>
          <w:spacing w:val="3"/>
          <w:sz w:val="13"/>
        </w:rPr>
        <w:t> </w:t>
      </w:r>
      <w:r>
        <w:rPr>
          <w:sz w:val="13"/>
        </w:rPr>
        <w:t>(2008)</w:t>
      </w:r>
      <w:r>
        <w:rPr>
          <w:spacing w:val="3"/>
          <w:sz w:val="13"/>
        </w:rPr>
        <w:t> </w:t>
      </w:r>
      <w:r>
        <w:rPr>
          <w:sz w:val="13"/>
        </w:rPr>
        <w:t>182</w:t>
      </w:r>
      <w:r>
        <w:rPr>
          <w:spacing w:val="3"/>
          <w:sz w:val="13"/>
        </w:rPr>
        <w:t> </w:t>
      </w:r>
      <w:r>
        <w:rPr>
          <w:sz w:val="13"/>
        </w:rPr>
        <w:t>A</w:t>
      </w:r>
      <w:r>
        <w:rPr>
          <w:spacing w:val="3"/>
          <w:sz w:val="13"/>
        </w:rPr>
        <w:t> </w:t>
      </w:r>
      <w:r>
        <w:rPr>
          <w:sz w:val="13"/>
        </w:rPr>
        <w:t>Crim</w:t>
      </w:r>
      <w:r>
        <w:rPr>
          <w:spacing w:val="3"/>
          <w:sz w:val="13"/>
        </w:rPr>
        <w:t> </w:t>
      </w:r>
      <w:r>
        <w:rPr>
          <w:sz w:val="13"/>
        </w:rPr>
        <w:t>R</w:t>
      </w:r>
      <w:r>
        <w:rPr>
          <w:spacing w:val="3"/>
          <w:sz w:val="13"/>
        </w:rPr>
        <w:t> </w:t>
      </w:r>
      <w:r>
        <w:rPr>
          <w:sz w:val="13"/>
        </w:rPr>
        <w:t>350.</w:t>
      </w:r>
    </w:p>
    <w:p>
      <w:pPr>
        <w:pStyle w:val="ListParagraph"/>
        <w:numPr>
          <w:ilvl w:val="0"/>
          <w:numId w:val="60"/>
        </w:numPr>
        <w:tabs>
          <w:tab w:pos="1761" w:val="left" w:leader="none"/>
          <w:tab w:pos="1762" w:val="left" w:leader="none"/>
        </w:tabs>
        <w:spacing w:line="151" w:lineRule="exact" w:before="0" w:after="0"/>
        <w:ind w:left="1761" w:right="0" w:hanging="794"/>
        <w:jc w:val="left"/>
        <w:rPr>
          <w:sz w:val="13"/>
        </w:rPr>
      </w:pPr>
      <w:r>
        <w:rPr>
          <w:i/>
          <w:sz w:val="13"/>
        </w:rPr>
        <w:t>Juries Act 2000 </w:t>
      </w:r>
      <w:r>
        <w:rPr>
          <w:spacing w:val="2"/>
          <w:sz w:val="13"/>
        </w:rPr>
        <w:t>(Vic) </w:t>
      </w:r>
      <w:r>
        <w:rPr>
          <w:sz w:val="13"/>
        </w:rPr>
        <w:t>s 78A; 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37</w:t>
      </w:r>
      <w:r>
        <w:rPr>
          <w:spacing w:val="14"/>
          <w:sz w:val="13"/>
        </w:rPr>
        <w:t> </w:t>
      </w:r>
      <w:r>
        <w:rPr>
          <w:spacing w:val="2"/>
          <w:sz w:val="13"/>
        </w:rPr>
        <w:t>[3.120].</w:t>
      </w:r>
    </w:p>
    <w:p>
      <w:pPr>
        <w:pStyle w:val="ListParagraph"/>
        <w:numPr>
          <w:ilvl w:val="0"/>
          <w:numId w:val="60"/>
        </w:numPr>
        <w:tabs>
          <w:tab w:pos="1761" w:val="left" w:leader="none"/>
          <w:tab w:pos="1762" w:val="left" w:leader="none"/>
        </w:tabs>
        <w:spacing w:line="160" w:lineRule="exact" w:before="0" w:after="0"/>
        <w:ind w:left="1761" w:right="0" w:hanging="794"/>
        <w:jc w:val="left"/>
        <w:rPr>
          <w:sz w:val="13"/>
        </w:rPr>
      </w:pPr>
      <w:r>
        <w:rPr>
          <w:i/>
          <w:sz w:val="13"/>
        </w:rPr>
        <w:t>Juries Act 2000 </w:t>
      </w:r>
      <w:r>
        <w:rPr>
          <w:spacing w:val="2"/>
          <w:sz w:val="13"/>
        </w:rPr>
        <w:t>(Vic) </w:t>
      </w:r>
      <w:r>
        <w:rPr>
          <w:sz w:val="13"/>
        </w:rPr>
        <w:t>sch</w:t>
      </w:r>
      <w:r>
        <w:rPr>
          <w:spacing w:val="-2"/>
          <w:sz w:val="13"/>
        </w:rPr>
        <w:t> </w:t>
      </w:r>
      <w:r>
        <w:rPr>
          <w:spacing w:val="3"/>
          <w:sz w:val="13"/>
        </w:rPr>
        <w:t>2.</w:t>
      </w:r>
    </w:p>
    <w:p>
      <w:pPr>
        <w:pStyle w:val="ListParagraph"/>
        <w:numPr>
          <w:ilvl w:val="0"/>
          <w:numId w:val="60"/>
        </w:numPr>
        <w:tabs>
          <w:tab w:pos="1760" w:val="left" w:leader="none"/>
          <w:tab w:pos="1762" w:val="left" w:leader="none"/>
        </w:tabs>
        <w:spacing w:line="160" w:lineRule="exact" w:before="0" w:after="0"/>
        <w:ind w:left="1761" w:right="0" w:hanging="794"/>
        <w:jc w:val="left"/>
        <w:rPr>
          <w:sz w:val="13"/>
        </w:rPr>
      </w:pPr>
      <w:r>
        <w:rPr/>
        <w:pict>
          <v:shape style="position:absolute;margin-left:549.341614pt;margin-top:3.708849pt;width:12.5pt;height:14.1pt;mso-position-horizontal-relative:page;mso-position-vertical-relative:paragraph;z-index:6592" type="#_x0000_t202" filled="false" stroked="false">
            <v:textbox inset="0,0,0,0">
              <w:txbxContent>
                <w:p>
                  <w:pPr>
                    <w:spacing w:line="282" w:lineRule="exact" w:before="0"/>
                    <w:ind w:left="0" w:right="0" w:firstLine="0"/>
                    <w:jc w:val="left"/>
                    <w:rPr>
                      <w:b/>
                      <w:sz w:val="24"/>
                    </w:rPr>
                  </w:pPr>
                  <w:r>
                    <w:rPr>
                      <w:b/>
                      <w:color w:val="37617A"/>
                      <w:spacing w:val="-2"/>
                      <w:sz w:val="24"/>
                    </w:rPr>
                    <w:t>71</w:t>
                  </w:r>
                </w:p>
              </w:txbxContent>
            </v:textbox>
            <w10:wrap type="none"/>
          </v:shape>
        </w:pict>
      </w:r>
      <w:r>
        <w:rPr>
          <w:sz w:val="13"/>
        </w:rPr>
        <w:t>Ibid s</w:t>
      </w:r>
      <w:r>
        <w:rPr>
          <w:spacing w:val="11"/>
          <w:sz w:val="13"/>
        </w:rPr>
        <w:t> </w:t>
      </w:r>
      <w:r>
        <w:rPr>
          <w:sz w:val="13"/>
        </w:rPr>
        <w:t>8.</w:t>
      </w:r>
    </w:p>
    <w:p>
      <w:pPr>
        <w:pStyle w:val="ListParagraph"/>
        <w:numPr>
          <w:ilvl w:val="0"/>
          <w:numId w:val="60"/>
        </w:numPr>
        <w:tabs>
          <w:tab w:pos="1761" w:val="left" w:leader="none"/>
          <w:tab w:pos="1762" w:val="left" w:leader="none"/>
        </w:tabs>
        <w:spacing w:line="170" w:lineRule="exact" w:before="0" w:after="0"/>
        <w:ind w:left="1761" w:right="0" w:hanging="794"/>
        <w:jc w:val="left"/>
        <w:rPr>
          <w:sz w:val="13"/>
        </w:rPr>
      </w:pPr>
      <w:r>
        <w:rPr>
          <w:sz w:val="13"/>
        </w:rPr>
        <w:t>Ibid s</w:t>
      </w:r>
      <w:r>
        <w:rPr>
          <w:spacing w:val="8"/>
          <w:sz w:val="13"/>
        </w:rPr>
        <w:t> </w:t>
      </w:r>
      <w:r>
        <w:rPr>
          <w:spacing w:val="2"/>
          <w:sz w:val="13"/>
        </w:rPr>
        <w:t>9.</w:t>
      </w:r>
    </w:p>
    <w:p>
      <w:pPr>
        <w:spacing w:after="0" w:line="170" w:lineRule="exact"/>
        <w:jc w:val="left"/>
        <w:rPr>
          <w:sz w:val="13"/>
        </w:rPr>
        <w:sectPr>
          <w:headerReference w:type="default" r:id="rId142"/>
          <w:headerReference w:type="even" r:id="rId143"/>
          <w:pgSz w:w="11910" w:h="16840"/>
          <w:pgMar w:header="0" w:footer="0" w:top="840" w:bottom="280" w:left="620" w:right="380"/>
        </w:sectPr>
      </w:pPr>
    </w:p>
    <w:p>
      <w:pPr>
        <w:pStyle w:val="BodyText"/>
      </w:pPr>
    </w:p>
    <w:p>
      <w:pPr>
        <w:pStyle w:val="BodyText"/>
      </w:pPr>
    </w:p>
    <w:p>
      <w:pPr>
        <w:pStyle w:val="BodyText"/>
      </w:pPr>
    </w:p>
    <w:p>
      <w:pPr>
        <w:pStyle w:val="Heading3"/>
        <w:spacing w:before="220"/>
      </w:pPr>
      <w:bookmarkStart w:name="Concerns about competency and the impact" w:id="151"/>
      <w:bookmarkEnd w:id="151"/>
      <w:r>
        <w:rPr>
          <w:b w:val="0"/>
        </w:rPr>
      </w:r>
      <w:bookmarkStart w:name="_bookmark58" w:id="152"/>
      <w:bookmarkEnd w:id="152"/>
      <w:r>
        <w:rPr>
          <w:b w:val="0"/>
        </w:rPr>
      </w:r>
      <w:r>
        <w:rPr/>
        <w:t>The right to a fair trial is a paramount consideration</w:t>
      </w:r>
    </w:p>
    <w:p>
      <w:pPr>
        <w:pStyle w:val="ListParagraph"/>
        <w:numPr>
          <w:ilvl w:val="1"/>
          <w:numId w:val="12"/>
        </w:numPr>
        <w:tabs>
          <w:tab w:pos="1761" w:val="left" w:leader="none"/>
          <w:tab w:pos="1762" w:val="left" w:leader="none"/>
        </w:tabs>
        <w:spacing w:line="206" w:lineRule="auto" w:before="127" w:after="0"/>
        <w:ind w:left="1761" w:right="1269" w:hanging="794"/>
        <w:jc w:val="left"/>
        <w:rPr>
          <w:sz w:val="20"/>
        </w:rPr>
      </w:pPr>
      <w:r>
        <w:rPr>
          <w:sz w:val="20"/>
        </w:rPr>
        <w:t>While supporting </w:t>
      </w:r>
      <w:r>
        <w:rPr>
          <w:spacing w:val="-3"/>
          <w:sz w:val="20"/>
        </w:rPr>
        <w:t>reform, many </w:t>
      </w:r>
      <w:r>
        <w:rPr>
          <w:sz w:val="20"/>
        </w:rPr>
        <w:t>people </w:t>
      </w:r>
      <w:r>
        <w:rPr>
          <w:spacing w:val="-3"/>
          <w:sz w:val="20"/>
        </w:rPr>
        <w:t>told </w:t>
      </w:r>
      <w:r>
        <w:rPr>
          <w:sz w:val="20"/>
        </w:rPr>
        <w:t>us that change must not prejudice the right to a fair trial. The Commission agrees. </w:t>
      </w:r>
      <w:r>
        <w:rPr>
          <w:spacing w:val="-3"/>
          <w:sz w:val="20"/>
        </w:rPr>
        <w:t>Many </w:t>
      </w:r>
      <w:r>
        <w:rPr>
          <w:sz w:val="20"/>
        </w:rPr>
        <w:t>in the legal community emphasised that the right to a fair trial is a paramount consideration.</w:t>
      </w:r>
      <w:r>
        <w:rPr>
          <w:position w:val="7"/>
          <w:sz w:val="11"/>
        </w:rPr>
        <w:t>19 </w:t>
      </w:r>
      <w:r>
        <w:rPr>
          <w:sz w:val="20"/>
        </w:rPr>
        <w:t>County Court consultees emphasised</w:t>
      </w:r>
      <w:r>
        <w:rPr>
          <w:spacing w:val="-10"/>
          <w:sz w:val="20"/>
        </w:rPr>
        <w:t> </w:t>
      </w:r>
      <w:r>
        <w:rPr>
          <w:sz w:val="20"/>
        </w:rPr>
        <w:t>that</w:t>
      </w:r>
      <w:r>
        <w:rPr>
          <w:spacing w:val="-10"/>
          <w:sz w:val="20"/>
        </w:rPr>
        <w:t> </w:t>
      </w:r>
      <w:r>
        <w:rPr>
          <w:sz w:val="20"/>
        </w:rPr>
        <w:t>‘the</w:t>
      </w:r>
      <w:r>
        <w:rPr>
          <w:spacing w:val="-10"/>
          <w:sz w:val="20"/>
        </w:rPr>
        <w:t> </w:t>
      </w:r>
      <w:r>
        <w:rPr>
          <w:sz w:val="20"/>
        </w:rPr>
        <w:t>principle</w:t>
      </w:r>
      <w:r>
        <w:rPr>
          <w:spacing w:val="-10"/>
          <w:sz w:val="20"/>
        </w:rPr>
        <w:t> </w:t>
      </w:r>
      <w:r>
        <w:rPr>
          <w:sz w:val="20"/>
        </w:rPr>
        <w:t>of</w:t>
      </w:r>
      <w:r>
        <w:rPr>
          <w:spacing w:val="-10"/>
          <w:sz w:val="20"/>
        </w:rPr>
        <w:t> </w:t>
      </w:r>
      <w:r>
        <w:rPr>
          <w:sz w:val="20"/>
        </w:rPr>
        <w:t>a</w:t>
      </w:r>
      <w:r>
        <w:rPr>
          <w:spacing w:val="-10"/>
          <w:sz w:val="20"/>
        </w:rPr>
        <w:t> </w:t>
      </w:r>
      <w:r>
        <w:rPr>
          <w:sz w:val="20"/>
        </w:rPr>
        <w:t>fair</w:t>
      </w:r>
      <w:r>
        <w:rPr>
          <w:spacing w:val="-10"/>
          <w:sz w:val="20"/>
        </w:rPr>
        <w:t> </w:t>
      </w:r>
      <w:r>
        <w:rPr>
          <w:sz w:val="20"/>
        </w:rPr>
        <w:t>trial</w:t>
      </w:r>
      <w:r>
        <w:rPr>
          <w:spacing w:val="-10"/>
          <w:sz w:val="20"/>
        </w:rPr>
        <w:t> </w:t>
      </w:r>
      <w:r>
        <w:rPr>
          <w:sz w:val="20"/>
        </w:rPr>
        <w:t>must</w:t>
      </w:r>
      <w:r>
        <w:rPr>
          <w:spacing w:val="-10"/>
          <w:sz w:val="20"/>
        </w:rPr>
        <w:t> </w:t>
      </w:r>
      <w:r>
        <w:rPr>
          <w:sz w:val="20"/>
        </w:rPr>
        <w:t>prevail’.</w:t>
      </w:r>
      <w:r>
        <w:rPr>
          <w:position w:val="7"/>
          <w:sz w:val="11"/>
        </w:rPr>
        <w:t>20</w:t>
      </w:r>
      <w:r>
        <w:rPr>
          <w:spacing w:val="4"/>
          <w:position w:val="7"/>
          <w:sz w:val="11"/>
        </w:rPr>
        <w:t> </w:t>
      </w:r>
      <w:r>
        <w:rPr>
          <w:spacing w:val="-3"/>
          <w:sz w:val="20"/>
        </w:rPr>
        <w:t>Similarly,</w:t>
      </w:r>
      <w:r>
        <w:rPr>
          <w:spacing w:val="-10"/>
          <w:sz w:val="20"/>
        </w:rPr>
        <w:t> </w:t>
      </w:r>
      <w:r>
        <w:rPr>
          <w:sz w:val="20"/>
        </w:rPr>
        <w:t>the</w:t>
      </w:r>
      <w:r>
        <w:rPr>
          <w:spacing w:val="-10"/>
          <w:sz w:val="20"/>
        </w:rPr>
        <w:t> </w:t>
      </w:r>
      <w:r>
        <w:rPr>
          <w:sz w:val="20"/>
        </w:rPr>
        <w:t>Supreme</w:t>
      </w:r>
      <w:r>
        <w:rPr>
          <w:spacing w:val="-10"/>
          <w:sz w:val="20"/>
        </w:rPr>
        <w:t> </w:t>
      </w:r>
      <w:r>
        <w:rPr>
          <w:sz w:val="20"/>
        </w:rPr>
        <w:t>Court noted</w:t>
      </w:r>
      <w:r>
        <w:rPr>
          <w:spacing w:val="-9"/>
          <w:sz w:val="20"/>
        </w:rPr>
        <w:t> </w:t>
      </w:r>
      <w:r>
        <w:rPr>
          <w:sz w:val="20"/>
        </w:rPr>
        <w:t>that</w:t>
      </w:r>
      <w:r>
        <w:rPr>
          <w:spacing w:val="-8"/>
          <w:sz w:val="20"/>
        </w:rPr>
        <w:t> </w:t>
      </w:r>
      <w:r>
        <w:rPr>
          <w:sz w:val="20"/>
        </w:rPr>
        <w:t>trial</w:t>
      </w:r>
      <w:r>
        <w:rPr>
          <w:spacing w:val="-8"/>
          <w:sz w:val="20"/>
        </w:rPr>
        <w:t> </w:t>
      </w:r>
      <w:r>
        <w:rPr>
          <w:sz w:val="20"/>
        </w:rPr>
        <w:t>judges</w:t>
      </w:r>
      <w:r>
        <w:rPr>
          <w:spacing w:val="-8"/>
          <w:sz w:val="20"/>
        </w:rPr>
        <w:t> </w:t>
      </w:r>
      <w:r>
        <w:rPr>
          <w:spacing w:val="-4"/>
          <w:sz w:val="20"/>
        </w:rPr>
        <w:t>have</w:t>
      </w:r>
      <w:r>
        <w:rPr>
          <w:spacing w:val="-8"/>
          <w:sz w:val="20"/>
        </w:rPr>
        <w:t> </w:t>
      </w:r>
      <w:r>
        <w:rPr>
          <w:spacing w:val="-3"/>
          <w:sz w:val="20"/>
        </w:rPr>
        <w:t>‘an</w:t>
      </w:r>
      <w:r>
        <w:rPr>
          <w:spacing w:val="-8"/>
          <w:sz w:val="20"/>
        </w:rPr>
        <w:t> </w:t>
      </w:r>
      <w:r>
        <w:rPr>
          <w:spacing w:val="-3"/>
          <w:sz w:val="20"/>
        </w:rPr>
        <w:t>overriding</w:t>
      </w:r>
      <w:r>
        <w:rPr>
          <w:spacing w:val="-8"/>
          <w:sz w:val="20"/>
        </w:rPr>
        <w:t> </w:t>
      </w:r>
      <w:r>
        <w:rPr>
          <w:sz w:val="20"/>
        </w:rPr>
        <w:t>duty</w:t>
      </w:r>
      <w:r>
        <w:rPr>
          <w:spacing w:val="-9"/>
          <w:sz w:val="20"/>
        </w:rPr>
        <w:t> </w:t>
      </w:r>
      <w:r>
        <w:rPr>
          <w:sz w:val="20"/>
        </w:rPr>
        <w:t>to</w:t>
      </w:r>
      <w:r>
        <w:rPr>
          <w:spacing w:val="-8"/>
          <w:sz w:val="20"/>
        </w:rPr>
        <w:t> </w:t>
      </w:r>
      <w:r>
        <w:rPr>
          <w:sz w:val="20"/>
        </w:rPr>
        <w:t>ensure</w:t>
      </w:r>
      <w:r>
        <w:rPr>
          <w:spacing w:val="-8"/>
          <w:sz w:val="20"/>
        </w:rPr>
        <w:t> </w:t>
      </w:r>
      <w:r>
        <w:rPr>
          <w:sz w:val="20"/>
        </w:rPr>
        <w:t>a</w:t>
      </w:r>
      <w:r>
        <w:rPr>
          <w:spacing w:val="-8"/>
          <w:sz w:val="20"/>
        </w:rPr>
        <w:t> </w:t>
      </w:r>
      <w:r>
        <w:rPr>
          <w:sz w:val="20"/>
        </w:rPr>
        <w:t>fair</w:t>
      </w:r>
      <w:r>
        <w:rPr>
          <w:spacing w:val="-8"/>
          <w:sz w:val="20"/>
        </w:rPr>
        <w:t> </w:t>
      </w:r>
      <w:r>
        <w:rPr>
          <w:sz w:val="20"/>
        </w:rPr>
        <w:t>trial’.</w:t>
      </w:r>
      <w:r>
        <w:rPr>
          <w:position w:val="7"/>
          <w:sz w:val="11"/>
        </w:rPr>
        <w:t>21</w:t>
      </w:r>
      <w:r>
        <w:rPr>
          <w:spacing w:val="17"/>
          <w:position w:val="7"/>
          <w:sz w:val="11"/>
        </w:rPr>
        <w:t> </w:t>
      </w:r>
      <w:r>
        <w:rPr>
          <w:sz w:val="20"/>
        </w:rPr>
        <w:t>Victoria</w:t>
      </w:r>
      <w:r>
        <w:rPr>
          <w:spacing w:val="-8"/>
          <w:sz w:val="20"/>
        </w:rPr>
        <w:t> </w:t>
      </w:r>
      <w:r>
        <w:rPr>
          <w:sz w:val="20"/>
        </w:rPr>
        <w:t>Legal</w:t>
      </w:r>
      <w:r>
        <w:rPr>
          <w:spacing w:val="-9"/>
          <w:sz w:val="20"/>
        </w:rPr>
        <w:t> </w:t>
      </w:r>
      <w:r>
        <w:rPr>
          <w:sz w:val="20"/>
        </w:rPr>
        <w:t>Aid (VLA) noted</w:t>
      </w:r>
      <w:r>
        <w:rPr>
          <w:spacing w:val="-9"/>
          <w:sz w:val="20"/>
        </w:rPr>
        <w:t> </w:t>
      </w:r>
      <w:r>
        <w:rPr>
          <w:sz w:val="20"/>
        </w:rPr>
        <w:t>that:</w:t>
      </w:r>
    </w:p>
    <w:p>
      <w:pPr>
        <w:spacing w:line="208" w:lineRule="auto" w:before="126"/>
        <w:ind w:left="2157" w:right="1771" w:firstLine="0"/>
        <w:jc w:val="left"/>
        <w:rPr>
          <w:sz w:val="11"/>
        </w:rPr>
      </w:pPr>
      <w:r>
        <w:rPr>
          <w:sz w:val="19"/>
        </w:rPr>
        <w:t>While VLA supports facilitating increased access to jury participation, inclusivity measures must also ensure an accused person’s right to a fair trial.</w:t>
      </w:r>
      <w:r>
        <w:rPr>
          <w:position w:val="6"/>
          <w:sz w:val="11"/>
        </w:rPr>
        <w:t>22</w:t>
      </w:r>
    </w:p>
    <w:p>
      <w:pPr>
        <w:pStyle w:val="BodyText"/>
        <w:spacing w:before="11"/>
        <w:rPr>
          <w:sz w:val="21"/>
        </w:rPr>
      </w:pPr>
    </w:p>
    <w:p>
      <w:pPr>
        <w:pStyle w:val="Heading2"/>
        <w:spacing w:line="184" w:lineRule="auto"/>
        <w:ind w:right="1335"/>
        <w:rPr>
          <w:b/>
        </w:rPr>
      </w:pPr>
      <w:r>
        <w:rPr>
          <w:b/>
          <w:color w:val="37617A"/>
        </w:rPr>
        <w:t>Concerns about competency and the impact of inclusive juries on fair trials</w:t>
      </w:r>
    </w:p>
    <w:p>
      <w:pPr>
        <w:pStyle w:val="BodyText"/>
        <w:spacing w:before="9"/>
        <w:rPr>
          <w:rFonts w:ascii="Raleway ExtraBold"/>
          <w:b/>
          <w:sz w:val="16"/>
        </w:rPr>
      </w:pPr>
      <w:r>
        <w:rPr/>
        <w:pict>
          <v:line style="position:absolute;mso-position-horizontal-relative:page;mso-position-vertical-relative:paragraph;z-index:4568;mso-wrap-distance-left:0;mso-wrap-distance-right:0" from="79.370102pt,13.79828pt" to="515.905102pt,13.79828pt" stroked="true" strokeweight=".5pt" strokecolor="#8f9dad">
            <v:stroke dashstyle="solid"/>
            <w10:wrap type="topAndBottom"/>
          </v:line>
        </w:pict>
      </w:r>
    </w:p>
    <w:p>
      <w:pPr>
        <w:spacing w:line="247" w:lineRule="auto" w:before="223"/>
        <w:ind w:left="1767" w:right="2005" w:firstLine="0"/>
        <w:jc w:val="center"/>
        <w:rPr>
          <w:rFonts w:ascii="Trebuchet MS" w:hAnsi="Trebuchet MS"/>
          <w:sz w:val="19"/>
        </w:rPr>
      </w:pPr>
      <w:r>
        <w:rPr>
          <w:rFonts w:ascii="Trebuchet MS" w:hAnsi="Trebuchet MS"/>
          <w:i/>
          <w:color w:val="37617A"/>
          <w:sz w:val="20"/>
        </w:rPr>
        <w:t>There needs to be a change in approach—a move from a focus on what people </w:t>
      </w:r>
      <w:r>
        <w:rPr>
          <w:rFonts w:ascii="Trebuchet MS" w:hAnsi="Trebuchet MS"/>
          <w:i/>
          <w:color w:val="37617A"/>
          <w:spacing w:val="-1"/>
          <w:w w:val="115"/>
          <w:sz w:val="20"/>
        </w:rPr>
        <w:t>c</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w w:val="115"/>
          <w:sz w:val="20"/>
        </w:rPr>
        <w:t>a</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1"/>
          <w:sz w:val="20"/>
        </w:rPr>
        <w:t>h</w:t>
      </w:r>
      <w:r>
        <w:rPr>
          <w:rFonts w:ascii="Trebuchet MS" w:hAnsi="Trebuchet MS"/>
          <w:i/>
          <w:color w:val="37617A"/>
          <w:spacing w:val="-1"/>
          <w:w w:val="99"/>
          <w:sz w:val="20"/>
        </w:rPr>
        <w:t>a</w:t>
      </w:r>
      <w:r>
        <w:rPr>
          <w:rFonts w:ascii="Trebuchet MS" w:hAnsi="Trebuchet MS"/>
          <w:i/>
          <w:color w:val="37617A"/>
          <w:w w:val="99"/>
          <w:sz w:val="20"/>
        </w:rPr>
        <w:t>t</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1"/>
          <w:w w:val="115"/>
          <w:sz w:val="20"/>
        </w:rPr>
        <w:t>a</w:t>
      </w:r>
      <w:r>
        <w:rPr>
          <w:rFonts w:ascii="Trebuchet MS" w:hAnsi="Trebuchet MS"/>
          <w:i/>
          <w:color w:val="37617A"/>
          <w:spacing w:val="-2"/>
          <w:w w:val="115"/>
          <w:sz w:val="20"/>
        </w:rPr>
        <w:t>c</w:t>
      </w:r>
      <w:r>
        <w:rPr>
          <w:rFonts w:ascii="Trebuchet MS" w:hAnsi="Trebuchet MS"/>
          <w:i/>
          <w:color w:val="37617A"/>
          <w:spacing w:val="-4"/>
          <w:w w:val="80"/>
          <w:sz w:val="20"/>
        </w:rPr>
        <w:t>t</w:t>
      </w:r>
      <w:r>
        <w:rPr>
          <w:rFonts w:ascii="Trebuchet MS" w:hAnsi="Trebuchet MS"/>
          <w:i/>
          <w:color w:val="37617A"/>
          <w:spacing w:val="-1"/>
          <w:w w:val="103"/>
          <w:sz w:val="20"/>
        </w:rPr>
        <w:t>u</w:t>
      </w:r>
      <w:r>
        <w:rPr>
          <w:rFonts w:ascii="Trebuchet MS" w:hAnsi="Trebuchet MS"/>
          <w:i/>
          <w:color w:val="37617A"/>
          <w:w w:val="115"/>
          <w:sz w:val="20"/>
        </w:rPr>
        <w:t>a</w:t>
      </w:r>
      <w:r>
        <w:rPr>
          <w:rFonts w:ascii="Trebuchet MS" w:hAnsi="Trebuchet MS"/>
          <w:i/>
          <w:color w:val="37617A"/>
          <w:spacing w:val="-2"/>
          <w:w w:val="87"/>
          <w:sz w:val="20"/>
        </w:rPr>
        <w:t>l</w:t>
      </w:r>
      <w:r>
        <w:rPr>
          <w:rFonts w:ascii="Trebuchet MS" w:hAnsi="Trebuchet MS"/>
          <w:i/>
          <w:color w:val="37617A"/>
          <w:spacing w:val="-6"/>
          <w:w w:val="87"/>
          <w:sz w:val="20"/>
        </w:rPr>
        <w:t>l</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spacing w:val="-1"/>
          <w:w w:val="108"/>
          <w:sz w:val="20"/>
        </w:rPr>
        <w:t>d</w:t>
      </w:r>
      <w:r>
        <w:rPr>
          <w:rFonts w:ascii="Trebuchet MS" w:hAnsi="Trebuchet MS"/>
          <w:i/>
          <w:color w:val="37617A"/>
          <w:w w:val="107"/>
          <w:sz w:val="20"/>
        </w:rPr>
        <w:t>o</w:t>
      </w:r>
      <w:r>
        <w:rPr>
          <w:rFonts w:ascii="Trebuchet MS" w:hAnsi="Trebuchet MS"/>
          <w:i/>
          <w:color w:val="37617A"/>
          <w:w w:val="54"/>
          <w:sz w:val="20"/>
        </w:rPr>
        <w:t>.</w:t>
      </w:r>
      <w:r>
        <w:rPr>
          <w:rFonts w:ascii="Trebuchet MS" w:hAnsi="Trebuchet MS"/>
          <w:i/>
          <w:color w:val="37617A"/>
          <w:spacing w:val="-13"/>
          <w:sz w:val="20"/>
        </w:rPr>
        <w:t> </w:t>
      </w:r>
      <w:r>
        <w:rPr>
          <w:rFonts w:ascii="Trebuchet MS" w:hAnsi="Trebuchet MS"/>
          <w:i/>
          <w:color w:val="37617A"/>
          <w:spacing w:val="-1"/>
          <w:w w:val="92"/>
          <w:sz w:val="20"/>
        </w:rPr>
        <w:t>I</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spacing w:val="-1"/>
          <w:w w:val="107"/>
          <w:sz w:val="20"/>
        </w:rPr>
        <w:t>o</w:t>
      </w:r>
      <w:r>
        <w:rPr>
          <w:rFonts w:ascii="Trebuchet MS" w:hAnsi="Trebuchet MS"/>
          <w:i/>
          <w:color w:val="37617A"/>
          <w:w w:val="117"/>
          <w:sz w:val="20"/>
        </w:rPr>
        <w:t>s</w:t>
      </w:r>
      <w:r>
        <w:rPr>
          <w:rFonts w:ascii="Trebuchet MS" w:hAnsi="Trebuchet MS"/>
          <w:i/>
          <w:color w:val="37617A"/>
          <w:spacing w:val="-1"/>
          <w:w w:val="117"/>
          <w:sz w:val="20"/>
        </w:rPr>
        <w:t>s</w:t>
      </w:r>
      <w:r>
        <w:rPr>
          <w:rFonts w:ascii="Trebuchet MS" w:hAnsi="Trebuchet MS"/>
          <w:i/>
          <w:color w:val="37617A"/>
          <w:w w:val="73"/>
          <w:sz w:val="20"/>
        </w:rPr>
        <w:t>i</w:t>
      </w:r>
      <w:r>
        <w:rPr>
          <w:rFonts w:ascii="Trebuchet MS" w:hAnsi="Trebuchet MS"/>
          <w:i/>
          <w:color w:val="37617A"/>
          <w:w w:val="107"/>
          <w:sz w:val="20"/>
        </w:rPr>
        <w:t>b</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w w:val="103"/>
          <w:sz w:val="20"/>
        </w:rPr>
        <w:t>u</w:t>
      </w:r>
      <w:r>
        <w:rPr>
          <w:rFonts w:ascii="Trebuchet MS" w:hAnsi="Trebuchet MS"/>
          <w:i/>
          <w:color w:val="37617A"/>
          <w:w w:val="103"/>
          <w:sz w:val="20"/>
        </w:rPr>
        <w:t>n</w:t>
      </w:r>
      <w:r>
        <w:rPr>
          <w:rFonts w:ascii="Trebuchet MS" w:hAnsi="Trebuchet MS"/>
          <w:i/>
          <w:color w:val="37617A"/>
          <w:spacing w:val="-1"/>
          <w:w w:val="108"/>
          <w:sz w:val="20"/>
        </w:rPr>
        <w:t>d</w:t>
      </w:r>
      <w:r>
        <w:rPr>
          <w:rFonts w:ascii="Trebuchet MS" w:hAnsi="Trebuchet MS"/>
          <w:i/>
          <w:color w:val="37617A"/>
          <w:spacing w:val="1"/>
          <w:w w:val="100"/>
          <w:sz w:val="20"/>
        </w:rPr>
        <w:t>e</w:t>
      </w:r>
      <w:r>
        <w:rPr>
          <w:rFonts w:ascii="Trebuchet MS" w:hAnsi="Trebuchet MS"/>
          <w:i/>
          <w:color w:val="37617A"/>
          <w:spacing w:val="-1"/>
          <w:w w:val="84"/>
          <w:sz w:val="20"/>
        </w:rPr>
        <w:t>r</w:t>
      </w:r>
      <w:r>
        <w:rPr>
          <w:rFonts w:ascii="Trebuchet MS" w:hAnsi="Trebuchet MS"/>
          <w:i/>
          <w:color w:val="37617A"/>
          <w:spacing w:val="-1"/>
          <w:w w:val="117"/>
          <w:sz w:val="20"/>
        </w:rPr>
        <w:t>s</w:t>
      </w:r>
      <w:r>
        <w:rPr>
          <w:rFonts w:ascii="Trebuchet MS" w:hAnsi="Trebuchet MS"/>
          <w:i/>
          <w:color w:val="37617A"/>
          <w:spacing w:val="-4"/>
          <w:w w:val="80"/>
          <w:sz w:val="20"/>
        </w:rPr>
        <w:t>t</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spacing w:val="-1"/>
          <w:w w:val="103"/>
          <w:sz w:val="20"/>
        </w:rPr>
        <w:t>n</w:t>
      </w:r>
      <w:r>
        <w:rPr>
          <w:rFonts w:ascii="Trebuchet MS" w:hAnsi="Trebuchet MS"/>
          <w:i/>
          <w:color w:val="37617A"/>
          <w:spacing w:val="-1"/>
          <w:w w:val="115"/>
          <w:sz w:val="20"/>
        </w:rPr>
        <w:t>c</w:t>
      </w:r>
      <w:r>
        <w:rPr>
          <w:rFonts w:ascii="Trebuchet MS" w:hAnsi="Trebuchet MS"/>
          <w:i/>
          <w:color w:val="37617A"/>
          <w:w w:val="100"/>
          <w:sz w:val="20"/>
        </w:rPr>
        <w:t>e</w:t>
      </w:r>
      <w:r>
        <w:rPr>
          <w:rFonts w:ascii="Trebuchet MS" w:hAnsi="Trebuchet MS"/>
          <w:i/>
          <w:color w:val="37617A"/>
          <w:spacing w:val="-2"/>
          <w:w w:val="107"/>
          <w:sz w:val="20"/>
        </w:rPr>
        <w:t>p</w:t>
      </w:r>
      <w:r>
        <w:rPr>
          <w:rFonts w:ascii="Trebuchet MS" w:hAnsi="Trebuchet MS"/>
          <w:i/>
          <w:color w:val="37617A"/>
          <w:spacing w:val="2"/>
          <w:w w:val="80"/>
          <w:sz w:val="20"/>
        </w:rPr>
        <w:t>t</w:t>
      </w:r>
      <w:r>
        <w:rPr>
          <w:rFonts w:ascii="Trebuchet MS" w:hAnsi="Trebuchet MS"/>
          <w:i/>
          <w:color w:val="37617A"/>
          <w:spacing w:val="3"/>
          <w:w w:val="117"/>
          <w:sz w:val="20"/>
        </w:rPr>
        <w:t>s</w:t>
      </w:r>
      <w:r>
        <w:rPr>
          <w:rFonts w:ascii="Trebuchet MS" w:hAnsi="Trebuchet MS"/>
          <w:i/>
          <w:color w:val="37617A"/>
          <w:w w:val="56"/>
          <w:sz w:val="20"/>
        </w:rPr>
        <w:t>, </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w w:val="119"/>
          <w:sz w:val="20"/>
        </w:rPr>
        <w:t>g</w:t>
      </w:r>
      <w:r>
        <w:rPr>
          <w:rFonts w:ascii="Trebuchet MS" w:hAnsi="Trebuchet MS"/>
          <w:i/>
          <w:color w:val="37617A"/>
          <w:w w:val="115"/>
          <w:sz w:val="20"/>
        </w:rPr>
        <w:t>a</w:t>
      </w:r>
      <w:r>
        <w:rPr>
          <w:rFonts w:ascii="Trebuchet MS" w:hAnsi="Trebuchet MS"/>
          <w:i/>
          <w:color w:val="37617A"/>
          <w:spacing w:val="-3"/>
          <w:w w:val="84"/>
          <w:sz w:val="20"/>
        </w:rPr>
        <w:t>r</w:t>
      </w:r>
      <w:r>
        <w:rPr>
          <w:rFonts w:ascii="Trebuchet MS" w:hAnsi="Trebuchet MS"/>
          <w:i/>
          <w:color w:val="37617A"/>
          <w:w w:val="108"/>
          <w:sz w:val="20"/>
        </w:rPr>
        <w:t>d</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w w:val="117"/>
          <w:sz w:val="20"/>
        </w:rPr>
        <w:t>ss</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w w:val="115"/>
          <w:sz w:val="20"/>
        </w:rPr>
        <w:t>a</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spacing w:val="-13"/>
          <w:sz w:val="20"/>
        </w:rPr>
        <w:t> </w:t>
      </w:r>
      <w:r>
        <w:rPr>
          <w:rFonts w:ascii="Trebuchet MS" w:hAnsi="Trebuchet MS"/>
          <w:i/>
          <w:color w:val="37617A"/>
          <w:spacing w:val="-3"/>
          <w:w w:val="87"/>
          <w:sz w:val="20"/>
        </w:rPr>
        <w:t>l</w:t>
      </w:r>
      <w:r>
        <w:rPr>
          <w:rFonts w:ascii="Trebuchet MS" w:hAnsi="Trebuchet MS"/>
          <w:i/>
          <w:color w:val="37617A"/>
          <w:spacing w:val="-3"/>
          <w:w w:val="100"/>
          <w:sz w:val="20"/>
        </w:rPr>
        <w:t>e</w:t>
      </w:r>
      <w:r>
        <w:rPr>
          <w:rFonts w:ascii="Trebuchet MS" w:hAnsi="Trebuchet MS"/>
          <w:i/>
          <w:color w:val="37617A"/>
          <w:spacing w:val="-3"/>
          <w:w w:val="103"/>
          <w:sz w:val="20"/>
        </w:rPr>
        <w:t>v</w:t>
      </w:r>
      <w:r>
        <w:rPr>
          <w:rFonts w:ascii="Trebuchet MS" w:hAnsi="Trebuchet MS"/>
          <w:i/>
          <w:color w:val="37617A"/>
          <w:w w:val="100"/>
          <w:sz w:val="20"/>
        </w:rPr>
        <w:t>e</w:t>
      </w:r>
      <w:r>
        <w:rPr>
          <w:rFonts w:ascii="Trebuchet MS" w:hAnsi="Trebuchet MS"/>
          <w:i/>
          <w:color w:val="37617A"/>
          <w:spacing w:val="2"/>
          <w:w w:val="87"/>
          <w:sz w:val="20"/>
        </w:rPr>
        <w:t>l</w:t>
      </w:r>
      <w:r>
        <w:rPr>
          <w:rFonts w:ascii="Trebuchet MS" w:hAnsi="Trebuchet MS"/>
          <w:i/>
          <w:color w:val="37617A"/>
          <w:spacing w:val="3"/>
          <w:w w:val="117"/>
          <w:sz w:val="20"/>
        </w:rPr>
        <w:t>s</w:t>
      </w:r>
      <w:r>
        <w:rPr>
          <w:rFonts w:ascii="Trebuchet MS" w:hAnsi="Trebuchet MS"/>
          <w:i/>
          <w:color w:val="37617A"/>
          <w:w w:val="54"/>
          <w:sz w:val="20"/>
        </w:rPr>
        <w:t>.</w:t>
      </w:r>
      <w:r>
        <w:rPr>
          <w:rFonts w:ascii="Trebuchet MS" w:hAnsi="Trebuchet MS"/>
          <w:i/>
          <w:color w:val="37617A"/>
          <w:spacing w:val="-13"/>
          <w:sz w:val="20"/>
        </w:rPr>
        <w:t> </w:t>
      </w:r>
      <w:r>
        <w:rPr>
          <w:rFonts w:ascii="Trebuchet MS" w:hAnsi="Trebuchet MS"/>
          <w:i/>
          <w:color w:val="37617A"/>
          <w:spacing w:val="-2"/>
          <w:w w:val="100"/>
          <w:sz w:val="20"/>
        </w:rPr>
        <w:t>T</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6"/>
          <w:sz w:val="20"/>
        </w:rPr>
        <w:t>m</w:t>
      </w:r>
      <w:r>
        <w:rPr>
          <w:rFonts w:ascii="Trebuchet MS" w:hAnsi="Trebuchet MS"/>
          <w:i/>
          <w:color w:val="37617A"/>
          <w:w w:val="115"/>
          <w:sz w:val="20"/>
        </w:rPr>
        <w:t>a</w:t>
      </w:r>
      <w:r>
        <w:rPr>
          <w:rFonts w:ascii="Trebuchet MS" w:hAnsi="Trebuchet MS"/>
          <w:i/>
          <w:color w:val="37617A"/>
          <w:spacing w:val="-4"/>
          <w:w w:val="103"/>
          <w:sz w:val="20"/>
        </w:rPr>
        <w:t>n</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spacing w:val="-2"/>
          <w:w w:val="115"/>
          <w:sz w:val="20"/>
        </w:rPr>
        <w:t>a</w:t>
      </w:r>
      <w:r>
        <w:rPr>
          <w:rFonts w:ascii="Trebuchet MS" w:hAnsi="Trebuchet MS"/>
          <w:i/>
          <w:color w:val="37617A"/>
          <w:spacing w:val="-2"/>
          <w:w w:val="101"/>
          <w:sz w:val="20"/>
        </w:rPr>
        <w:t>y</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w w:val="107"/>
          <w:sz w:val="20"/>
        </w:rPr>
        <w:t>k</w:t>
      </w:r>
      <w:r>
        <w:rPr>
          <w:rFonts w:ascii="Trebuchet MS" w:hAnsi="Trebuchet MS"/>
          <w:i/>
          <w:color w:val="37617A"/>
          <w:spacing w:val="-1"/>
          <w:w w:val="103"/>
          <w:sz w:val="20"/>
        </w:rPr>
        <w:t>n</w:t>
      </w:r>
      <w:r>
        <w:rPr>
          <w:rFonts w:ascii="Trebuchet MS" w:hAnsi="Trebuchet MS"/>
          <w:i/>
          <w:color w:val="37617A"/>
          <w:spacing w:val="-4"/>
          <w:w w:val="107"/>
          <w:sz w:val="20"/>
        </w:rPr>
        <w:t>o</w:t>
      </w:r>
      <w:r>
        <w:rPr>
          <w:rFonts w:ascii="Trebuchet MS" w:hAnsi="Trebuchet MS"/>
          <w:i/>
          <w:color w:val="37617A"/>
          <w:w w:val="103"/>
          <w:sz w:val="20"/>
        </w:rPr>
        <w:t>w</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6"/>
          <w:sz w:val="20"/>
        </w:rPr>
        <w:t>m</w:t>
      </w:r>
      <w:r>
        <w:rPr>
          <w:rFonts w:ascii="Trebuchet MS" w:hAnsi="Trebuchet MS"/>
          <w:i/>
          <w:color w:val="37617A"/>
          <w:w w:val="107"/>
          <w:sz w:val="20"/>
        </w:rPr>
        <w:t>p</w:t>
      </w:r>
      <w:r>
        <w:rPr>
          <w:rFonts w:ascii="Trebuchet MS" w:hAnsi="Trebuchet MS"/>
          <w:i/>
          <w:color w:val="37617A"/>
          <w:spacing w:val="-4"/>
          <w:w w:val="84"/>
          <w:sz w:val="20"/>
        </w:rPr>
        <w:t>r</w:t>
      </w:r>
      <w:r>
        <w:rPr>
          <w:rFonts w:ascii="Trebuchet MS" w:hAnsi="Trebuchet MS"/>
          <w:i/>
          <w:color w:val="37617A"/>
          <w:spacing w:val="1"/>
          <w:w w:val="100"/>
          <w:sz w:val="20"/>
        </w:rPr>
        <w:t>e</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w w:val="103"/>
          <w:sz w:val="20"/>
        </w:rPr>
        <w:t>n</w:t>
      </w:r>
      <w:r>
        <w:rPr>
          <w:rFonts w:ascii="Trebuchet MS" w:hAnsi="Trebuchet MS"/>
          <w:i/>
          <w:color w:val="37617A"/>
          <w:w w:val="108"/>
          <w:sz w:val="20"/>
        </w:rPr>
        <w:t>d </w:t>
      </w:r>
      <w:r>
        <w:rPr>
          <w:rFonts w:ascii="Trebuchet MS" w:hAnsi="Trebuchet MS"/>
          <w:i/>
          <w:color w:val="37617A"/>
          <w:spacing w:val="-2"/>
          <w:w w:val="117"/>
          <w:sz w:val="20"/>
        </w:rPr>
        <w:t>s</w:t>
      </w:r>
      <w:r>
        <w:rPr>
          <w:rFonts w:ascii="Trebuchet MS" w:hAnsi="Trebuchet MS"/>
          <w:i/>
          <w:color w:val="37617A"/>
          <w:w w:val="107"/>
          <w:sz w:val="20"/>
        </w:rPr>
        <w:t>o</w:t>
      </w:r>
      <w:r>
        <w:rPr>
          <w:rFonts w:ascii="Trebuchet MS" w:hAnsi="Trebuchet MS"/>
          <w:i/>
          <w:color w:val="37617A"/>
          <w:spacing w:val="-1"/>
          <w:w w:val="106"/>
          <w:sz w:val="20"/>
        </w:rPr>
        <w:t>m</w:t>
      </w:r>
      <w:r>
        <w:rPr>
          <w:rFonts w:ascii="Trebuchet MS" w:hAnsi="Trebuchet MS"/>
          <w:i/>
          <w:color w:val="37617A"/>
          <w:spacing w:val="-1"/>
          <w:w w:val="100"/>
          <w:sz w:val="20"/>
        </w:rPr>
        <w:t>e</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spacing w:val="-3"/>
          <w:w w:val="119"/>
          <w:sz w:val="20"/>
        </w:rPr>
        <w:t>g</w:t>
      </w:r>
      <w:r>
        <w:rPr>
          <w:rFonts w:ascii="Trebuchet MS" w:hAnsi="Trebuchet MS"/>
          <w:i/>
          <w:color w:val="37617A"/>
          <w:w w:val="55"/>
          <w:sz w:val="20"/>
        </w:rPr>
        <w:t>;</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w w:val="115"/>
          <w:sz w:val="20"/>
        </w:rPr>
        <w:t>a</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1"/>
          <w:w w:val="117"/>
          <w:sz w:val="20"/>
        </w:rPr>
        <w:t>s</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spacing w:val="1"/>
          <w:w w:val="106"/>
          <w:sz w:val="20"/>
        </w:rPr>
        <w:t>m</w:t>
      </w:r>
      <w:r>
        <w:rPr>
          <w:rFonts w:ascii="Trebuchet MS" w:hAnsi="Trebuchet MS"/>
          <w:i/>
          <w:color w:val="37617A"/>
          <w:spacing w:val="5"/>
          <w:w w:val="54"/>
          <w:sz w:val="20"/>
        </w:rPr>
        <w:t>.</w:t>
      </w:r>
      <w:r>
        <w:rPr>
          <w:rFonts w:ascii="Trebuchet MS" w:hAnsi="Trebuchet MS"/>
          <w:i/>
          <w:color w:val="37617A"/>
          <w:w w:val="104"/>
          <w:position w:val="7"/>
          <w:sz w:val="11"/>
        </w:rPr>
        <w:t>2</w:t>
      </w:r>
      <w:r>
        <w:rPr>
          <w:rFonts w:ascii="Trebuchet MS" w:hAnsi="Trebuchet MS"/>
          <w:i/>
          <w:color w:val="37617A"/>
          <w:spacing w:val="9"/>
          <w:w w:val="104"/>
          <w:position w:val="7"/>
          <w:sz w:val="11"/>
        </w:rPr>
        <w:t>3</w:t>
      </w:r>
      <w:r>
        <w:rPr>
          <w:rFonts w:ascii="Trebuchet MS" w:hAnsi="Trebuchet MS"/>
          <w:color w:val="37617A"/>
          <w:spacing w:val="1"/>
          <w:w w:val="124"/>
          <w:sz w:val="19"/>
        </w:rPr>
        <w:t>—</w:t>
      </w:r>
      <w:r>
        <w:rPr>
          <w:rFonts w:ascii="Trebuchet MS" w:hAnsi="Trebuchet MS"/>
          <w:color w:val="37617A"/>
          <w:spacing w:val="-1"/>
          <w:w w:val="111"/>
          <w:sz w:val="19"/>
        </w:rPr>
        <w:t>P</w:t>
      </w:r>
      <w:r>
        <w:rPr>
          <w:rFonts w:ascii="Trebuchet MS" w:hAnsi="Trebuchet MS"/>
          <w:color w:val="37617A"/>
          <w:w w:val="100"/>
          <w:sz w:val="19"/>
        </w:rPr>
        <w:t>a</w:t>
      </w:r>
      <w:r>
        <w:rPr>
          <w:rFonts w:ascii="Trebuchet MS" w:hAnsi="Trebuchet MS"/>
          <w:color w:val="37617A"/>
          <w:spacing w:val="3"/>
          <w:w w:val="100"/>
          <w:sz w:val="19"/>
        </w:rPr>
        <w:t>r</w:t>
      </w:r>
      <w:r>
        <w:rPr>
          <w:rFonts w:ascii="Trebuchet MS" w:hAnsi="Trebuchet MS"/>
          <w:color w:val="37617A"/>
          <w:w w:val="85"/>
          <w:sz w:val="19"/>
        </w:rPr>
        <w:t>ti</w:t>
      </w:r>
      <w:r>
        <w:rPr>
          <w:rFonts w:ascii="Trebuchet MS" w:hAnsi="Trebuchet MS"/>
          <w:color w:val="37617A"/>
          <w:spacing w:val="-1"/>
          <w:w w:val="111"/>
          <w:sz w:val="19"/>
        </w:rPr>
        <w:t>c</w:t>
      </w:r>
      <w:r>
        <w:rPr>
          <w:rFonts w:ascii="Trebuchet MS" w:hAnsi="Trebuchet MS"/>
          <w:color w:val="37617A"/>
          <w:spacing w:val="-1"/>
          <w:w w:val="80"/>
          <w:sz w:val="19"/>
        </w:rPr>
        <w:t>i</w:t>
      </w:r>
      <w:r>
        <w:rPr>
          <w:rFonts w:ascii="Trebuchet MS" w:hAnsi="Trebuchet MS"/>
          <w:color w:val="37617A"/>
          <w:w w:val="111"/>
          <w:sz w:val="19"/>
        </w:rPr>
        <w:t>p</w:t>
      </w:r>
      <w:r>
        <w:rPr>
          <w:rFonts w:ascii="Trebuchet MS" w:hAnsi="Trebuchet MS"/>
          <w:color w:val="37617A"/>
          <w:w w:val="106"/>
          <w:sz w:val="19"/>
        </w:rPr>
        <w:t>a</w:t>
      </w:r>
      <w:r>
        <w:rPr>
          <w:rFonts w:ascii="Trebuchet MS" w:hAnsi="Trebuchet MS"/>
          <w:color w:val="37617A"/>
          <w:spacing w:val="-2"/>
          <w:w w:val="106"/>
          <w:sz w:val="19"/>
        </w:rPr>
        <w:t>n</w:t>
      </w:r>
      <w:r>
        <w:rPr>
          <w:rFonts w:ascii="Trebuchet MS" w:hAnsi="Trebuchet MS"/>
          <w:color w:val="37617A"/>
          <w:w w:val="88"/>
          <w:sz w:val="19"/>
        </w:rPr>
        <w:t>t</w:t>
      </w:r>
      <w:r>
        <w:rPr>
          <w:rFonts w:ascii="Trebuchet MS" w:hAnsi="Trebuchet MS"/>
          <w:color w:val="37617A"/>
          <w:spacing w:val="-12"/>
          <w:sz w:val="19"/>
        </w:rPr>
        <w:t> </w:t>
      </w:r>
      <w:r>
        <w:rPr>
          <w:rFonts w:ascii="Trebuchet MS" w:hAnsi="Trebuchet MS"/>
          <w:color w:val="37617A"/>
          <w:spacing w:val="-1"/>
          <w:w w:val="80"/>
          <w:sz w:val="19"/>
        </w:rPr>
        <w:t>i</w:t>
      </w:r>
      <w:r>
        <w:rPr>
          <w:rFonts w:ascii="Trebuchet MS" w:hAnsi="Trebuchet MS"/>
          <w:color w:val="37617A"/>
          <w:w w:val="107"/>
          <w:sz w:val="19"/>
        </w:rPr>
        <w:t>n</w:t>
      </w:r>
      <w:r>
        <w:rPr>
          <w:rFonts w:ascii="Trebuchet MS" w:hAnsi="Trebuchet MS"/>
          <w:color w:val="37617A"/>
          <w:spacing w:val="-12"/>
          <w:sz w:val="19"/>
        </w:rPr>
        <w:t> </w:t>
      </w:r>
      <w:r>
        <w:rPr>
          <w:rFonts w:ascii="Trebuchet MS" w:hAnsi="Trebuchet MS"/>
          <w:color w:val="37617A"/>
          <w:w w:val="99"/>
          <w:sz w:val="19"/>
        </w:rPr>
        <w:t>th</w:t>
      </w:r>
      <w:r>
        <w:rPr>
          <w:rFonts w:ascii="Trebuchet MS" w:hAnsi="Trebuchet MS"/>
          <w:color w:val="37617A"/>
          <w:w w:val="108"/>
          <w:sz w:val="19"/>
        </w:rPr>
        <w:t>e</w:t>
      </w:r>
      <w:r>
        <w:rPr>
          <w:rFonts w:ascii="Trebuchet MS" w:hAnsi="Trebuchet MS"/>
          <w:color w:val="37617A"/>
          <w:spacing w:val="-12"/>
          <w:sz w:val="19"/>
        </w:rPr>
        <w:t> </w:t>
      </w:r>
      <w:r>
        <w:rPr>
          <w:rFonts w:ascii="Trebuchet MS" w:hAnsi="Trebuchet MS"/>
          <w:color w:val="37617A"/>
          <w:spacing w:val="1"/>
          <w:w w:val="116"/>
          <w:sz w:val="19"/>
        </w:rPr>
        <w:t>D</w:t>
      </w:r>
      <w:r>
        <w:rPr>
          <w:rFonts w:ascii="Trebuchet MS" w:hAnsi="Trebuchet MS"/>
          <w:color w:val="37617A"/>
          <w:w w:val="108"/>
          <w:sz w:val="19"/>
        </w:rPr>
        <w:t>e</w:t>
      </w:r>
      <w:r>
        <w:rPr>
          <w:rFonts w:ascii="Trebuchet MS" w:hAnsi="Trebuchet MS"/>
          <w:color w:val="37617A"/>
          <w:spacing w:val="-2"/>
          <w:w w:val="105"/>
          <w:sz w:val="19"/>
        </w:rPr>
        <w:t>a</w:t>
      </w:r>
      <w:r>
        <w:rPr>
          <w:rFonts w:ascii="Trebuchet MS" w:hAnsi="Trebuchet MS"/>
          <w:color w:val="37617A"/>
          <w:w w:val="92"/>
          <w:sz w:val="19"/>
        </w:rPr>
        <w:t>f</w:t>
      </w:r>
      <w:r>
        <w:rPr>
          <w:rFonts w:ascii="Trebuchet MS" w:hAnsi="Trebuchet MS"/>
          <w:color w:val="37617A"/>
          <w:spacing w:val="-12"/>
          <w:sz w:val="19"/>
        </w:rPr>
        <w:t> </w:t>
      </w:r>
      <w:r>
        <w:rPr>
          <w:rFonts w:ascii="Trebuchet MS" w:hAnsi="Trebuchet MS"/>
          <w:color w:val="37617A"/>
          <w:w w:val="115"/>
          <w:sz w:val="19"/>
        </w:rPr>
        <w:t>V</w:t>
      </w:r>
      <w:r>
        <w:rPr>
          <w:rFonts w:ascii="Trebuchet MS" w:hAnsi="Trebuchet MS"/>
          <w:color w:val="37617A"/>
          <w:w w:val="80"/>
          <w:sz w:val="19"/>
        </w:rPr>
        <w:t>i</w:t>
      </w:r>
      <w:r>
        <w:rPr>
          <w:rFonts w:ascii="Trebuchet MS" w:hAnsi="Trebuchet MS"/>
          <w:color w:val="37617A"/>
          <w:w w:val="101"/>
          <w:sz w:val="19"/>
        </w:rPr>
        <w:t>c</w:t>
      </w:r>
      <w:r>
        <w:rPr>
          <w:rFonts w:ascii="Trebuchet MS" w:hAnsi="Trebuchet MS"/>
          <w:color w:val="37617A"/>
          <w:spacing w:val="-3"/>
          <w:w w:val="101"/>
          <w:sz w:val="19"/>
        </w:rPr>
        <w:t>t</w:t>
      </w:r>
      <w:r>
        <w:rPr>
          <w:rFonts w:ascii="Trebuchet MS" w:hAnsi="Trebuchet MS"/>
          <w:color w:val="37617A"/>
          <w:w w:val="111"/>
          <w:sz w:val="19"/>
        </w:rPr>
        <w:t>o</w:t>
      </w:r>
      <w:r>
        <w:rPr>
          <w:rFonts w:ascii="Trebuchet MS" w:hAnsi="Trebuchet MS"/>
          <w:color w:val="37617A"/>
          <w:spacing w:val="-1"/>
          <w:w w:val="93"/>
          <w:sz w:val="19"/>
        </w:rPr>
        <w:t>r</w:t>
      </w:r>
      <w:r>
        <w:rPr>
          <w:rFonts w:ascii="Trebuchet MS" w:hAnsi="Trebuchet MS"/>
          <w:color w:val="37617A"/>
          <w:w w:val="80"/>
          <w:sz w:val="19"/>
        </w:rPr>
        <w:t>i</w:t>
      </w:r>
      <w:r>
        <w:rPr>
          <w:rFonts w:ascii="Trebuchet MS" w:hAnsi="Trebuchet MS"/>
          <w:color w:val="37617A"/>
          <w:w w:val="105"/>
          <w:sz w:val="19"/>
        </w:rPr>
        <w:t>a </w:t>
      </w:r>
      <w:r>
        <w:rPr>
          <w:rFonts w:ascii="Trebuchet MS" w:hAnsi="Trebuchet MS"/>
          <w:color w:val="37617A"/>
          <w:sz w:val="19"/>
        </w:rPr>
        <w:t>consultation</w:t>
      </w:r>
    </w:p>
    <w:p>
      <w:pPr>
        <w:pStyle w:val="BodyText"/>
        <w:spacing w:before="10"/>
        <w:rPr>
          <w:rFonts w:ascii="Trebuchet MS"/>
          <w:sz w:val="9"/>
        </w:rPr>
      </w:pPr>
      <w:r>
        <w:rPr/>
        <w:pict>
          <v:line style="position:absolute;mso-position-horizontal-relative:page;mso-position-vertical-relative:paragraph;z-index:4592;mso-wrap-distance-left:0;mso-wrap-distance-right:0" from="79.370102pt,7.949644pt" to="515.905102pt,7.949644pt" stroked="true" strokeweight=".5pt" strokecolor="#8f9dad">
            <v:stroke dashstyle="solid"/>
            <w10:wrap type="topAndBottom"/>
          </v:line>
        </w:pict>
      </w:r>
    </w:p>
    <w:p>
      <w:pPr>
        <w:pStyle w:val="BodyText"/>
        <w:spacing w:before="9"/>
        <w:rPr>
          <w:rFonts w:ascii="Trebuchet MS"/>
          <w:sz w:val="31"/>
        </w:rPr>
      </w:pPr>
    </w:p>
    <w:p>
      <w:pPr>
        <w:pStyle w:val="ListParagraph"/>
        <w:numPr>
          <w:ilvl w:val="1"/>
          <w:numId w:val="12"/>
        </w:numPr>
        <w:tabs>
          <w:tab w:pos="1761" w:val="left" w:leader="none"/>
          <w:tab w:pos="1762" w:val="left" w:leader="none"/>
        </w:tabs>
        <w:spacing w:line="206" w:lineRule="auto" w:before="0" w:after="0"/>
        <w:ind w:left="1761" w:right="1241" w:hanging="794"/>
        <w:jc w:val="left"/>
        <w:rPr>
          <w:i/>
          <w:sz w:val="20"/>
        </w:rPr>
      </w:pPr>
      <w:r>
        <w:rPr>
          <w:sz w:val="20"/>
        </w:rPr>
        <w:t>The </w:t>
      </w:r>
      <w:r>
        <w:rPr>
          <w:spacing w:val="-4"/>
          <w:sz w:val="20"/>
        </w:rPr>
        <w:t>key </w:t>
      </w:r>
      <w:r>
        <w:rPr>
          <w:sz w:val="20"/>
        </w:rPr>
        <w:t>fair trial concern for </w:t>
      </w:r>
      <w:r>
        <w:rPr>
          <w:spacing w:val="-3"/>
          <w:sz w:val="20"/>
        </w:rPr>
        <w:t>inclusive </w:t>
      </w:r>
      <w:r>
        <w:rPr>
          <w:sz w:val="20"/>
        </w:rPr>
        <w:t>juries is about competency of people in the subject</w:t>
      </w:r>
      <w:r>
        <w:rPr>
          <w:spacing w:val="-12"/>
          <w:sz w:val="20"/>
        </w:rPr>
        <w:t> </w:t>
      </w:r>
      <w:r>
        <w:rPr>
          <w:sz w:val="20"/>
        </w:rPr>
        <w:t>groups</w:t>
      </w:r>
      <w:r>
        <w:rPr>
          <w:spacing w:val="-11"/>
          <w:sz w:val="20"/>
        </w:rPr>
        <w:t> </w:t>
      </w:r>
      <w:r>
        <w:rPr>
          <w:sz w:val="20"/>
        </w:rPr>
        <w:t>to</w:t>
      </w:r>
      <w:r>
        <w:rPr>
          <w:spacing w:val="-11"/>
          <w:sz w:val="20"/>
        </w:rPr>
        <w:t> </w:t>
      </w:r>
      <w:r>
        <w:rPr>
          <w:sz w:val="20"/>
        </w:rPr>
        <w:t>serve</w:t>
      </w:r>
      <w:r>
        <w:rPr>
          <w:spacing w:val="-11"/>
          <w:sz w:val="20"/>
        </w:rPr>
        <w:t> </w:t>
      </w:r>
      <w:r>
        <w:rPr>
          <w:sz w:val="20"/>
        </w:rPr>
        <w:t>as</w:t>
      </w:r>
      <w:r>
        <w:rPr>
          <w:spacing w:val="-12"/>
          <w:sz w:val="20"/>
        </w:rPr>
        <w:t> </w:t>
      </w:r>
      <w:r>
        <w:rPr>
          <w:sz w:val="20"/>
        </w:rPr>
        <w:t>jurors.</w:t>
      </w:r>
      <w:r>
        <w:rPr>
          <w:spacing w:val="-11"/>
          <w:sz w:val="20"/>
        </w:rPr>
        <w:t> </w:t>
      </w:r>
      <w:r>
        <w:rPr>
          <w:sz w:val="20"/>
        </w:rPr>
        <w:t>In</w:t>
      </w:r>
      <w:r>
        <w:rPr>
          <w:spacing w:val="-11"/>
          <w:sz w:val="20"/>
        </w:rPr>
        <w:t> </w:t>
      </w:r>
      <w:r>
        <w:rPr>
          <w:sz w:val="20"/>
        </w:rPr>
        <w:t>our</w:t>
      </w:r>
      <w:r>
        <w:rPr>
          <w:spacing w:val="-11"/>
          <w:sz w:val="20"/>
        </w:rPr>
        <w:t> </w:t>
      </w:r>
      <w:r>
        <w:rPr>
          <w:sz w:val="20"/>
        </w:rPr>
        <w:t>consultation</w:t>
      </w:r>
      <w:r>
        <w:rPr>
          <w:spacing w:val="-11"/>
          <w:sz w:val="20"/>
        </w:rPr>
        <w:t> </w:t>
      </w:r>
      <w:r>
        <w:rPr>
          <w:sz w:val="20"/>
        </w:rPr>
        <w:t>paper</w:t>
      </w:r>
      <w:r>
        <w:rPr>
          <w:spacing w:val="-12"/>
          <w:sz w:val="20"/>
        </w:rPr>
        <w:t> </w:t>
      </w:r>
      <w:r>
        <w:rPr>
          <w:spacing w:val="-3"/>
          <w:sz w:val="20"/>
        </w:rPr>
        <w:t>we</w:t>
      </w:r>
      <w:r>
        <w:rPr>
          <w:spacing w:val="-11"/>
          <w:sz w:val="20"/>
        </w:rPr>
        <w:t> </w:t>
      </w:r>
      <w:r>
        <w:rPr>
          <w:sz w:val="20"/>
        </w:rPr>
        <w:t>noted</w:t>
      </w:r>
      <w:r>
        <w:rPr>
          <w:spacing w:val="-11"/>
          <w:sz w:val="20"/>
        </w:rPr>
        <w:t> </w:t>
      </w:r>
      <w:r>
        <w:rPr>
          <w:sz w:val="20"/>
        </w:rPr>
        <w:t>that</w:t>
      </w:r>
      <w:r>
        <w:rPr>
          <w:spacing w:val="-11"/>
          <w:sz w:val="20"/>
        </w:rPr>
        <w:t> </w:t>
      </w:r>
      <w:r>
        <w:rPr>
          <w:sz w:val="20"/>
        </w:rPr>
        <w:t>two</w:t>
      </w:r>
      <w:r>
        <w:rPr>
          <w:spacing w:val="-11"/>
          <w:sz w:val="20"/>
        </w:rPr>
        <w:t> </w:t>
      </w:r>
      <w:r>
        <w:rPr>
          <w:sz w:val="20"/>
        </w:rPr>
        <w:t>concerns can arise in relation to </w:t>
      </w:r>
      <w:r>
        <w:rPr>
          <w:spacing w:val="-3"/>
          <w:sz w:val="20"/>
        </w:rPr>
        <w:t>competency. </w:t>
      </w:r>
      <w:r>
        <w:rPr>
          <w:sz w:val="20"/>
        </w:rPr>
        <w:t>These can be considered as </w:t>
      </w:r>
      <w:r>
        <w:rPr>
          <w:i/>
          <w:sz w:val="20"/>
        </w:rPr>
        <w:t>general concerns </w:t>
      </w:r>
      <w:r>
        <w:rPr>
          <w:sz w:val="20"/>
        </w:rPr>
        <w:t>and </w:t>
      </w:r>
      <w:r>
        <w:rPr>
          <w:i/>
          <w:sz w:val="20"/>
        </w:rPr>
        <w:t>specific</w:t>
      </w:r>
      <w:r>
        <w:rPr>
          <w:i/>
          <w:spacing w:val="-5"/>
          <w:sz w:val="20"/>
        </w:rPr>
        <w:t> </w:t>
      </w:r>
      <w:r>
        <w:rPr>
          <w:i/>
          <w:sz w:val="20"/>
        </w:rPr>
        <w:t>concerns:</w:t>
      </w:r>
    </w:p>
    <w:p>
      <w:pPr>
        <w:pStyle w:val="BodyText"/>
        <w:spacing w:line="206" w:lineRule="auto" w:before="125"/>
        <w:ind w:left="1761" w:right="1355"/>
        <w:rPr>
          <w:sz w:val="11"/>
        </w:rPr>
      </w:pPr>
      <w:r>
        <w:rPr>
          <w:i/>
        </w:rPr>
        <w:t>General concerns—</w:t>
      </w:r>
      <w:r>
        <w:rPr/>
        <w:t>Some people believe that jurors who are deaf, hard of hearing, blind or have low vision are not competent to serve as a juror on any trial because of their disability.</w:t>
      </w:r>
      <w:r>
        <w:rPr>
          <w:position w:val="7"/>
          <w:sz w:val="11"/>
        </w:rPr>
        <w:t>24</w:t>
      </w:r>
    </w:p>
    <w:p>
      <w:pPr>
        <w:pStyle w:val="BodyText"/>
        <w:spacing w:line="206" w:lineRule="auto" w:before="124"/>
        <w:ind w:left="1761" w:right="1866"/>
      </w:pPr>
      <w:r>
        <w:rPr/>
        <w:t>Legal professionals have raised concerns about the accuracy and equivalency of Auslan-interpreted evidence</w:t>
      </w:r>
      <w:r>
        <w:rPr>
          <w:position w:val="7"/>
          <w:sz w:val="11"/>
        </w:rPr>
        <w:t>25 </w:t>
      </w:r>
      <w:r>
        <w:rPr/>
        <w:t>and the training and qualifications of Auslan</w:t>
      </w:r>
    </w:p>
    <w:p>
      <w:pPr>
        <w:pStyle w:val="BodyText"/>
        <w:spacing w:line="206" w:lineRule="auto" w:before="3"/>
        <w:ind w:left="1761" w:right="1303" w:hanging="1"/>
        <w:rPr>
          <w:sz w:val="11"/>
        </w:rPr>
      </w:pPr>
      <w:r>
        <w:rPr/>
        <w:t>interpreters.</w:t>
      </w:r>
      <w:r>
        <w:rPr>
          <w:position w:val="7"/>
          <w:sz w:val="11"/>
        </w:rPr>
        <w:t>26 </w:t>
      </w:r>
      <w:r>
        <w:rPr/>
        <w:t>Other concerns have been raised about having a 13th person in the jury room.</w:t>
      </w:r>
      <w:r>
        <w:rPr>
          <w:position w:val="7"/>
          <w:sz w:val="11"/>
        </w:rPr>
        <w:t>27</w:t>
      </w:r>
    </w:p>
    <w:p>
      <w:pPr>
        <w:pStyle w:val="BodyText"/>
        <w:spacing w:line="206" w:lineRule="auto" w:before="122"/>
        <w:ind w:left="1761" w:right="1361"/>
        <w:jc w:val="both"/>
        <w:rPr>
          <w:sz w:val="11"/>
        </w:rPr>
      </w:pPr>
      <w:r>
        <w:rPr>
          <w:i/>
        </w:rPr>
        <w:t>Specific</w:t>
      </w:r>
      <w:r>
        <w:rPr>
          <w:i/>
          <w:spacing w:val="-6"/>
        </w:rPr>
        <w:t> </w:t>
      </w:r>
      <w:r>
        <w:rPr>
          <w:i/>
          <w:spacing w:val="-3"/>
        </w:rPr>
        <w:t>concerns—</w:t>
      </w:r>
      <w:r>
        <w:rPr>
          <w:spacing w:val="-3"/>
        </w:rPr>
        <w:t>There</w:t>
      </w:r>
      <w:r>
        <w:rPr>
          <w:spacing w:val="-5"/>
        </w:rPr>
        <w:t> </w:t>
      </w:r>
      <w:r>
        <w:rPr/>
        <w:t>is</w:t>
      </w:r>
      <w:r>
        <w:rPr>
          <w:spacing w:val="-5"/>
        </w:rPr>
        <w:t> </w:t>
      </w:r>
      <w:r>
        <w:rPr/>
        <w:t>concern</w:t>
      </w:r>
      <w:r>
        <w:rPr>
          <w:spacing w:val="-4"/>
        </w:rPr>
        <w:t> </w:t>
      </w:r>
      <w:r>
        <w:rPr/>
        <w:t>that,</w:t>
      </w:r>
      <w:r>
        <w:rPr>
          <w:spacing w:val="-5"/>
        </w:rPr>
        <w:t> </w:t>
      </w:r>
      <w:r>
        <w:rPr/>
        <w:t>depending</w:t>
      </w:r>
      <w:r>
        <w:rPr>
          <w:spacing w:val="-5"/>
        </w:rPr>
        <w:t> </w:t>
      </w:r>
      <w:r>
        <w:rPr/>
        <w:t>on</w:t>
      </w:r>
      <w:r>
        <w:rPr>
          <w:spacing w:val="-5"/>
        </w:rPr>
        <w:t> </w:t>
      </w:r>
      <w:r>
        <w:rPr/>
        <w:t>the</w:t>
      </w:r>
      <w:r>
        <w:rPr>
          <w:spacing w:val="-4"/>
        </w:rPr>
        <w:t> </w:t>
      </w:r>
      <w:r>
        <w:rPr/>
        <w:t>nature</w:t>
      </w:r>
      <w:r>
        <w:rPr>
          <w:spacing w:val="-5"/>
        </w:rPr>
        <w:t> </w:t>
      </w:r>
      <w:r>
        <w:rPr/>
        <w:t>of</w:t>
      </w:r>
      <w:r>
        <w:rPr>
          <w:spacing w:val="-5"/>
        </w:rPr>
        <w:t> </w:t>
      </w:r>
      <w:r>
        <w:rPr/>
        <w:t>a</w:t>
      </w:r>
      <w:r>
        <w:rPr>
          <w:spacing w:val="-4"/>
        </w:rPr>
        <w:t> </w:t>
      </w:r>
      <w:r>
        <w:rPr/>
        <w:t>particular</w:t>
      </w:r>
      <w:r>
        <w:rPr>
          <w:spacing w:val="-5"/>
        </w:rPr>
        <w:t> </w:t>
      </w:r>
      <w:r>
        <w:rPr/>
        <w:t>trial, a</w:t>
      </w:r>
      <w:r>
        <w:rPr>
          <w:spacing w:val="-6"/>
        </w:rPr>
        <w:t> </w:t>
      </w:r>
      <w:r>
        <w:rPr/>
        <w:t>person</w:t>
      </w:r>
      <w:r>
        <w:rPr>
          <w:spacing w:val="-6"/>
        </w:rPr>
        <w:t> </w:t>
      </w:r>
      <w:r>
        <w:rPr/>
        <w:t>in</w:t>
      </w:r>
      <w:r>
        <w:rPr>
          <w:spacing w:val="-5"/>
        </w:rPr>
        <w:t> </w:t>
      </w:r>
      <w:r>
        <w:rPr/>
        <w:t>the</w:t>
      </w:r>
      <w:r>
        <w:rPr>
          <w:spacing w:val="-6"/>
        </w:rPr>
        <w:t> </w:t>
      </w:r>
      <w:r>
        <w:rPr/>
        <w:t>subject</w:t>
      </w:r>
      <w:r>
        <w:rPr>
          <w:spacing w:val="-6"/>
        </w:rPr>
        <w:t> </w:t>
      </w:r>
      <w:r>
        <w:rPr/>
        <w:t>groups</w:t>
      </w:r>
      <w:r>
        <w:rPr>
          <w:spacing w:val="-5"/>
        </w:rPr>
        <w:t> </w:t>
      </w:r>
      <w:r>
        <w:rPr/>
        <w:t>may</w:t>
      </w:r>
      <w:r>
        <w:rPr>
          <w:spacing w:val="-6"/>
        </w:rPr>
        <w:t> </w:t>
      </w:r>
      <w:r>
        <w:rPr/>
        <w:t>not</w:t>
      </w:r>
      <w:r>
        <w:rPr>
          <w:spacing w:val="-6"/>
        </w:rPr>
        <w:t> </w:t>
      </w:r>
      <w:r>
        <w:rPr/>
        <w:t>be</w:t>
      </w:r>
      <w:r>
        <w:rPr>
          <w:spacing w:val="-5"/>
        </w:rPr>
        <w:t> </w:t>
      </w:r>
      <w:r>
        <w:rPr/>
        <w:t>able</w:t>
      </w:r>
      <w:r>
        <w:rPr>
          <w:spacing w:val="-6"/>
        </w:rPr>
        <w:t> </w:t>
      </w:r>
      <w:r>
        <w:rPr/>
        <w:t>to</w:t>
      </w:r>
      <w:r>
        <w:rPr>
          <w:spacing w:val="-5"/>
        </w:rPr>
        <w:t> </w:t>
      </w:r>
      <w:r>
        <w:rPr/>
        <w:t>evaluate</w:t>
      </w:r>
      <w:r>
        <w:rPr>
          <w:spacing w:val="-6"/>
        </w:rPr>
        <w:t> </w:t>
      </w:r>
      <w:r>
        <w:rPr/>
        <w:t>certain</w:t>
      </w:r>
      <w:r>
        <w:rPr>
          <w:spacing w:val="-6"/>
        </w:rPr>
        <w:t> </w:t>
      </w:r>
      <w:r>
        <w:rPr/>
        <w:t>types</w:t>
      </w:r>
      <w:r>
        <w:rPr>
          <w:spacing w:val="-5"/>
        </w:rPr>
        <w:t> </w:t>
      </w:r>
      <w:r>
        <w:rPr/>
        <w:t>of</w:t>
      </w:r>
      <w:r>
        <w:rPr>
          <w:spacing w:val="-6"/>
        </w:rPr>
        <w:t> </w:t>
      </w:r>
      <w:r>
        <w:rPr/>
        <w:t>evidence critical in that trial, </w:t>
      </w:r>
      <w:r>
        <w:rPr>
          <w:spacing w:val="-3"/>
        </w:rPr>
        <w:t>even </w:t>
      </w:r>
      <w:r>
        <w:rPr/>
        <w:t>with reasonable</w:t>
      </w:r>
      <w:r>
        <w:rPr>
          <w:spacing w:val="-14"/>
        </w:rPr>
        <w:t> </w:t>
      </w:r>
      <w:r>
        <w:rPr/>
        <w:t>adjustments.</w:t>
      </w:r>
      <w:r>
        <w:rPr>
          <w:position w:val="7"/>
          <w:sz w:val="11"/>
        </w:rPr>
        <w:t>28</w:t>
      </w:r>
    </w:p>
    <w:p>
      <w:pPr>
        <w:pStyle w:val="ListParagraph"/>
        <w:numPr>
          <w:ilvl w:val="1"/>
          <w:numId w:val="12"/>
        </w:numPr>
        <w:tabs>
          <w:tab w:pos="1761" w:val="left" w:leader="none"/>
          <w:tab w:pos="1762" w:val="left" w:leader="none"/>
        </w:tabs>
        <w:spacing w:line="206" w:lineRule="auto" w:before="124" w:after="0"/>
        <w:ind w:left="1761" w:right="1218" w:hanging="794"/>
        <w:jc w:val="left"/>
        <w:rPr>
          <w:sz w:val="11"/>
        </w:rPr>
      </w:pPr>
      <w:r>
        <w:rPr>
          <w:sz w:val="20"/>
        </w:rPr>
        <w:t>In </w:t>
      </w:r>
      <w:r>
        <w:rPr>
          <w:spacing w:val="-3"/>
          <w:sz w:val="20"/>
        </w:rPr>
        <w:t>many </w:t>
      </w:r>
      <w:r>
        <w:rPr>
          <w:sz w:val="20"/>
        </w:rPr>
        <w:t>circumstances a person who is </w:t>
      </w:r>
      <w:r>
        <w:rPr>
          <w:spacing w:val="-4"/>
          <w:sz w:val="20"/>
        </w:rPr>
        <w:t>deaf, </w:t>
      </w:r>
      <w:r>
        <w:rPr>
          <w:sz w:val="20"/>
        </w:rPr>
        <w:t>hard of hearing, blind or has </w:t>
      </w:r>
      <w:r>
        <w:rPr>
          <w:spacing w:val="-4"/>
          <w:sz w:val="20"/>
        </w:rPr>
        <w:t>low </w:t>
      </w:r>
      <w:r>
        <w:rPr>
          <w:sz w:val="20"/>
        </w:rPr>
        <w:t>vision can perform the </w:t>
      </w:r>
      <w:r>
        <w:rPr>
          <w:spacing w:val="-3"/>
          <w:sz w:val="20"/>
        </w:rPr>
        <w:t>role </w:t>
      </w:r>
      <w:r>
        <w:rPr>
          <w:sz w:val="20"/>
        </w:rPr>
        <w:t>of a juror when reasonable adjustments </w:t>
      </w:r>
      <w:r>
        <w:rPr>
          <w:spacing w:val="-3"/>
          <w:sz w:val="20"/>
        </w:rPr>
        <w:t>are </w:t>
      </w:r>
      <w:r>
        <w:rPr>
          <w:sz w:val="20"/>
        </w:rPr>
        <w:t>provided. As the the Office of Public Prosecutions </w:t>
      </w:r>
      <w:r>
        <w:rPr>
          <w:spacing w:val="-3"/>
          <w:sz w:val="20"/>
        </w:rPr>
        <w:t>(OPP) told </w:t>
      </w:r>
      <w:r>
        <w:rPr>
          <w:sz w:val="20"/>
        </w:rPr>
        <w:t>us, </w:t>
      </w:r>
      <w:r>
        <w:rPr>
          <w:spacing w:val="-6"/>
          <w:sz w:val="20"/>
        </w:rPr>
        <w:t>‘Just </w:t>
      </w:r>
      <w:r>
        <w:rPr>
          <w:sz w:val="20"/>
        </w:rPr>
        <w:t>because </w:t>
      </w:r>
      <w:r>
        <w:rPr>
          <w:spacing w:val="-3"/>
          <w:sz w:val="20"/>
        </w:rPr>
        <w:t>you </w:t>
      </w:r>
      <w:r>
        <w:rPr>
          <w:spacing w:val="-4"/>
          <w:sz w:val="20"/>
        </w:rPr>
        <w:t>have </w:t>
      </w:r>
      <w:r>
        <w:rPr>
          <w:sz w:val="20"/>
        </w:rPr>
        <w:t>vision or hearing loss</w:t>
      </w:r>
      <w:r>
        <w:rPr>
          <w:spacing w:val="-9"/>
          <w:sz w:val="20"/>
        </w:rPr>
        <w:t> </w:t>
      </w:r>
      <w:r>
        <w:rPr>
          <w:sz w:val="20"/>
        </w:rPr>
        <w:t>doesn’t</w:t>
      </w:r>
      <w:r>
        <w:rPr>
          <w:spacing w:val="-9"/>
          <w:sz w:val="20"/>
        </w:rPr>
        <w:t> </w:t>
      </w:r>
      <w:r>
        <w:rPr>
          <w:sz w:val="20"/>
        </w:rPr>
        <w:t>mean</w:t>
      </w:r>
      <w:r>
        <w:rPr>
          <w:spacing w:val="-9"/>
          <w:sz w:val="20"/>
        </w:rPr>
        <w:t> </w:t>
      </w:r>
      <w:r>
        <w:rPr>
          <w:sz w:val="20"/>
        </w:rPr>
        <w:t>that</w:t>
      </w:r>
      <w:r>
        <w:rPr>
          <w:spacing w:val="-9"/>
          <w:sz w:val="20"/>
        </w:rPr>
        <w:t> </w:t>
      </w:r>
      <w:r>
        <w:rPr>
          <w:spacing w:val="-3"/>
          <w:sz w:val="20"/>
        </w:rPr>
        <w:t>you</w:t>
      </w:r>
      <w:r>
        <w:rPr>
          <w:spacing w:val="-9"/>
          <w:sz w:val="20"/>
        </w:rPr>
        <w:t> </w:t>
      </w:r>
      <w:r>
        <w:rPr>
          <w:sz w:val="20"/>
        </w:rPr>
        <w:t>don’t</w:t>
      </w:r>
      <w:r>
        <w:rPr>
          <w:spacing w:val="-9"/>
          <w:sz w:val="20"/>
        </w:rPr>
        <w:t> </w:t>
      </w:r>
      <w:r>
        <w:rPr>
          <w:spacing w:val="-4"/>
          <w:sz w:val="20"/>
        </w:rPr>
        <w:t>have</w:t>
      </w:r>
      <w:r>
        <w:rPr>
          <w:spacing w:val="-9"/>
          <w:sz w:val="20"/>
        </w:rPr>
        <w:t> </w:t>
      </w:r>
      <w:r>
        <w:rPr>
          <w:sz w:val="20"/>
        </w:rPr>
        <w:t>the</w:t>
      </w:r>
      <w:r>
        <w:rPr>
          <w:spacing w:val="-9"/>
          <w:sz w:val="20"/>
        </w:rPr>
        <w:t> </w:t>
      </w:r>
      <w:r>
        <w:rPr>
          <w:sz w:val="20"/>
        </w:rPr>
        <w:t>ability</w:t>
      </w:r>
      <w:r>
        <w:rPr>
          <w:spacing w:val="-9"/>
          <w:sz w:val="20"/>
        </w:rPr>
        <w:t> </w:t>
      </w:r>
      <w:r>
        <w:rPr>
          <w:sz w:val="20"/>
        </w:rPr>
        <w:t>to</w:t>
      </w:r>
      <w:r>
        <w:rPr>
          <w:spacing w:val="-9"/>
          <w:sz w:val="20"/>
        </w:rPr>
        <w:t> </w:t>
      </w:r>
      <w:r>
        <w:rPr>
          <w:sz w:val="20"/>
        </w:rPr>
        <w:t>understand</w:t>
      </w:r>
      <w:r>
        <w:rPr>
          <w:spacing w:val="-9"/>
          <w:sz w:val="20"/>
        </w:rPr>
        <w:t> </w:t>
      </w:r>
      <w:r>
        <w:rPr>
          <w:sz w:val="20"/>
        </w:rPr>
        <w:t>the</w:t>
      </w:r>
      <w:r>
        <w:rPr>
          <w:spacing w:val="-9"/>
          <w:sz w:val="20"/>
        </w:rPr>
        <w:t> </w:t>
      </w:r>
      <w:r>
        <w:rPr>
          <w:sz w:val="20"/>
        </w:rPr>
        <w:t>concepts</w:t>
      </w:r>
      <w:r>
        <w:rPr>
          <w:spacing w:val="-8"/>
          <w:sz w:val="20"/>
        </w:rPr>
        <w:t> </w:t>
      </w:r>
      <w:r>
        <w:rPr>
          <w:spacing w:val="-3"/>
          <w:sz w:val="20"/>
        </w:rPr>
        <w:t>presented </w:t>
      </w:r>
      <w:r>
        <w:rPr>
          <w:sz w:val="20"/>
        </w:rPr>
        <w:t>to</w:t>
      </w:r>
      <w:r>
        <w:rPr>
          <w:spacing w:val="-4"/>
          <w:sz w:val="20"/>
        </w:rPr>
        <w:t> </w:t>
      </w:r>
      <w:r>
        <w:rPr>
          <w:spacing w:val="-3"/>
          <w:sz w:val="20"/>
        </w:rPr>
        <w:t>you’.</w:t>
      </w:r>
      <w:r>
        <w:rPr>
          <w:spacing w:val="-3"/>
          <w:position w:val="7"/>
          <w:sz w:val="11"/>
        </w:rPr>
        <w:t>29</w:t>
      </w:r>
    </w:p>
    <w:p>
      <w:pPr>
        <w:pStyle w:val="BodyText"/>
      </w:pPr>
    </w:p>
    <w:p>
      <w:pPr>
        <w:pStyle w:val="BodyText"/>
        <w:spacing w:before="1"/>
        <w:rPr>
          <w:sz w:val="23"/>
        </w:rPr>
      </w:pPr>
      <w:r>
        <w:rPr/>
        <w:pict>
          <v:line style="position:absolute;mso-position-horizontal-relative:page;mso-position-vertical-relative:paragraph;z-index:4616;mso-wrap-distance-left:0;mso-wrap-distance-right:0" from="79.370003pt,18.477642pt" to="515.905003pt,18.477642pt" stroked="true" strokeweight="1pt" strokecolor="#b6bdc8">
            <v:stroke dashstyle="solid"/>
            <w10:wrap type="topAndBottom"/>
          </v:line>
        </w:pict>
      </w:r>
    </w:p>
    <w:p>
      <w:pPr>
        <w:pStyle w:val="ListParagraph"/>
        <w:numPr>
          <w:ilvl w:val="0"/>
          <w:numId w:val="60"/>
        </w:numPr>
        <w:tabs>
          <w:tab w:pos="1760" w:val="left" w:leader="none"/>
          <w:tab w:pos="1762" w:val="left" w:leader="none"/>
        </w:tabs>
        <w:spacing w:line="213" w:lineRule="auto" w:before="107" w:after="0"/>
        <w:ind w:left="1761" w:right="1399" w:hanging="794"/>
        <w:jc w:val="left"/>
        <w:rPr>
          <w:sz w:val="13"/>
        </w:rPr>
      </w:pPr>
      <w:r>
        <w:rPr>
          <w:spacing w:val="2"/>
          <w:sz w:val="13"/>
        </w:rPr>
        <w:t>Submissions </w:t>
      </w:r>
      <w:r>
        <w:rPr>
          <w:sz w:val="13"/>
        </w:rPr>
        <w:t>7 (Law Institute of Victoria), 8 </w:t>
      </w:r>
      <w:r>
        <w:rPr>
          <w:spacing w:val="2"/>
          <w:sz w:val="13"/>
        </w:rPr>
        <w:t>(Victoria </w:t>
      </w:r>
      <w:r>
        <w:rPr>
          <w:sz w:val="13"/>
        </w:rPr>
        <w:t>Legal Aid), 11 (Supreme </w:t>
      </w:r>
      <w:r>
        <w:rPr>
          <w:spacing w:val="2"/>
          <w:sz w:val="13"/>
        </w:rPr>
        <w:t>Court </w:t>
      </w:r>
      <w:r>
        <w:rPr>
          <w:sz w:val="13"/>
        </w:rPr>
        <w:t>of Victoria), </w:t>
      </w:r>
      <w:r>
        <w:rPr>
          <w:spacing w:val="3"/>
          <w:sz w:val="13"/>
        </w:rPr>
        <w:t>14 </w:t>
      </w:r>
      <w:r>
        <w:rPr>
          <w:sz w:val="13"/>
        </w:rPr>
        <w:t>(County </w:t>
      </w:r>
      <w:r>
        <w:rPr>
          <w:spacing w:val="2"/>
          <w:sz w:val="13"/>
        </w:rPr>
        <w:t>Court </w:t>
      </w:r>
      <w:r>
        <w:rPr>
          <w:sz w:val="13"/>
        </w:rPr>
        <w:t>of Victoria); Consultations 4 </w:t>
      </w:r>
      <w:r>
        <w:rPr>
          <w:spacing w:val="2"/>
          <w:sz w:val="13"/>
        </w:rPr>
        <w:t>(Victorian </w:t>
      </w:r>
      <w:r>
        <w:rPr>
          <w:sz w:val="13"/>
        </w:rPr>
        <w:t>Criminal Bar </w:t>
      </w:r>
      <w:r>
        <w:rPr>
          <w:spacing w:val="2"/>
          <w:sz w:val="13"/>
        </w:rPr>
        <w:t>Association) </w:t>
      </w:r>
      <w:r>
        <w:rPr>
          <w:sz w:val="13"/>
        </w:rPr>
        <w:t>16 (Office of </w:t>
      </w:r>
      <w:r>
        <w:rPr>
          <w:spacing w:val="2"/>
          <w:sz w:val="13"/>
        </w:rPr>
        <w:t>Public </w:t>
      </w:r>
      <w:r>
        <w:rPr>
          <w:sz w:val="13"/>
        </w:rPr>
        <w:t>Prosecutions Victoria), 25 (Peter Ward, Partner, Galbally and </w:t>
      </w:r>
      <w:r>
        <w:rPr>
          <w:spacing w:val="2"/>
          <w:sz w:val="13"/>
        </w:rPr>
        <w:t>O’Bryan</w:t>
      </w:r>
      <w:r>
        <w:rPr>
          <w:sz w:val="13"/>
        </w:rPr>
        <w:t> Lawyers).</w:t>
      </w:r>
    </w:p>
    <w:p>
      <w:pPr>
        <w:pStyle w:val="ListParagraph"/>
        <w:numPr>
          <w:ilvl w:val="0"/>
          <w:numId w:val="60"/>
        </w:numPr>
        <w:tabs>
          <w:tab w:pos="1760" w:val="left" w:leader="none"/>
          <w:tab w:pos="1762" w:val="left" w:leader="none"/>
        </w:tabs>
        <w:spacing w:line="152" w:lineRule="exact" w:before="0" w:after="0"/>
        <w:ind w:left="1761" w:right="0" w:hanging="794"/>
        <w:jc w:val="left"/>
        <w:rPr>
          <w:sz w:val="13"/>
        </w:rPr>
      </w:pPr>
      <w:r>
        <w:rPr>
          <w:sz w:val="13"/>
        </w:rPr>
        <w:t>Consultation 9 (Consultation with two Victorian County </w:t>
      </w:r>
      <w:r>
        <w:rPr>
          <w:spacing w:val="2"/>
          <w:sz w:val="13"/>
        </w:rPr>
        <w:t>Court Judges, Court policy </w:t>
      </w:r>
      <w:r>
        <w:rPr>
          <w:sz w:val="13"/>
        </w:rPr>
        <w:t>staff and two</w:t>
      </w:r>
      <w:r>
        <w:rPr>
          <w:spacing w:val="8"/>
          <w:sz w:val="13"/>
        </w:rPr>
        <w:t> </w:t>
      </w:r>
      <w:r>
        <w:rPr>
          <w:sz w:val="13"/>
        </w:rPr>
        <w:t>Associates).</w:t>
      </w:r>
    </w:p>
    <w:p>
      <w:pPr>
        <w:pStyle w:val="ListParagraph"/>
        <w:numPr>
          <w:ilvl w:val="0"/>
          <w:numId w:val="60"/>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pStyle w:val="ListParagraph"/>
        <w:numPr>
          <w:ilvl w:val="0"/>
          <w:numId w:val="60"/>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pStyle w:val="ListParagraph"/>
        <w:numPr>
          <w:ilvl w:val="0"/>
          <w:numId w:val="60"/>
        </w:numPr>
        <w:tabs>
          <w:tab w:pos="1761" w:val="left" w:leader="none"/>
          <w:tab w:pos="1762" w:val="left" w:leader="none"/>
        </w:tabs>
        <w:spacing w:line="160" w:lineRule="exact" w:before="0" w:after="0"/>
        <w:ind w:left="1761" w:right="0" w:hanging="794"/>
        <w:jc w:val="left"/>
        <w:rPr>
          <w:sz w:val="13"/>
        </w:rPr>
      </w:pPr>
      <w:r>
        <w:rPr>
          <w:sz w:val="13"/>
        </w:rPr>
        <w:t>Consultation 6 (Deaf Victoria and community</w:t>
      </w:r>
      <w:r>
        <w:rPr>
          <w:spacing w:val="3"/>
          <w:sz w:val="13"/>
        </w:rPr>
        <w:t> </w:t>
      </w:r>
      <w:r>
        <w:rPr>
          <w:sz w:val="13"/>
        </w:rPr>
        <w:t>participants).</w:t>
      </w:r>
    </w:p>
    <w:p>
      <w:pPr>
        <w:pStyle w:val="ListParagraph"/>
        <w:numPr>
          <w:ilvl w:val="0"/>
          <w:numId w:val="60"/>
        </w:numPr>
        <w:tabs>
          <w:tab w:pos="1761" w:val="left" w:leader="none"/>
          <w:tab w:pos="1762" w:val="left" w:leader="none"/>
        </w:tabs>
        <w:spacing w:line="213" w:lineRule="auto" w:before="6" w:after="0"/>
        <w:ind w:left="1761" w:right="1274" w:hanging="794"/>
        <w:jc w:val="left"/>
        <w:rPr>
          <w:sz w:val="13"/>
        </w:rPr>
      </w:pPr>
      <w:r>
        <w:rPr>
          <w:sz w:val="13"/>
        </w:rPr>
        <w:t>David </w:t>
      </w:r>
      <w:r>
        <w:rPr>
          <w:spacing w:val="2"/>
          <w:sz w:val="13"/>
        </w:rPr>
        <w:t>Spencer </w:t>
      </w:r>
      <w:r>
        <w:rPr>
          <w:sz w:val="13"/>
        </w:rPr>
        <w:t>et </w:t>
      </w:r>
      <w:r>
        <w:rPr>
          <w:spacing w:val="2"/>
          <w:sz w:val="13"/>
        </w:rPr>
        <w:t>al, </w:t>
      </w:r>
      <w:r>
        <w:rPr>
          <w:sz w:val="13"/>
        </w:rPr>
        <w:t>‘Justice Is </w:t>
      </w:r>
      <w:r>
        <w:rPr>
          <w:spacing w:val="2"/>
          <w:sz w:val="13"/>
        </w:rPr>
        <w:t>Blind </w:t>
      </w:r>
      <w:r>
        <w:rPr>
          <w:sz w:val="13"/>
        </w:rPr>
        <w:t>as Long as It Isn’t Deaf: Excluding Deaf People from </w:t>
      </w:r>
      <w:r>
        <w:rPr>
          <w:spacing w:val="2"/>
          <w:sz w:val="13"/>
        </w:rPr>
        <w:t>Jury </w:t>
      </w:r>
      <w:r>
        <w:rPr>
          <w:sz w:val="13"/>
        </w:rPr>
        <w:t>Duty—an Australian Human Rights Breach’ (2017) </w:t>
      </w:r>
      <w:r>
        <w:rPr>
          <w:spacing w:val="2"/>
          <w:sz w:val="13"/>
        </w:rPr>
        <w:t>23(3) </w:t>
      </w:r>
      <w:r>
        <w:rPr>
          <w:i/>
          <w:sz w:val="13"/>
        </w:rPr>
        <w:t>Australian Journal of Human </w:t>
      </w:r>
      <w:r>
        <w:rPr>
          <w:i/>
          <w:spacing w:val="2"/>
          <w:sz w:val="13"/>
        </w:rPr>
        <w:t>Rights </w:t>
      </w:r>
      <w:r>
        <w:rPr>
          <w:sz w:val="13"/>
        </w:rPr>
        <w:t>332, 341–342; Jemina </w:t>
      </w:r>
      <w:r>
        <w:rPr>
          <w:spacing w:val="2"/>
          <w:sz w:val="13"/>
        </w:rPr>
        <w:t>Napier </w:t>
      </w:r>
      <w:r>
        <w:rPr>
          <w:sz w:val="13"/>
        </w:rPr>
        <w:t>and </w:t>
      </w:r>
      <w:r>
        <w:rPr>
          <w:spacing w:val="2"/>
          <w:sz w:val="13"/>
        </w:rPr>
        <w:t>Alastair </w:t>
      </w:r>
      <w:r>
        <w:rPr>
          <w:sz w:val="13"/>
        </w:rPr>
        <w:t>McEwin, </w:t>
      </w:r>
      <w:r>
        <w:rPr>
          <w:spacing w:val="2"/>
          <w:sz w:val="13"/>
        </w:rPr>
        <w:t>‘Do </w:t>
      </w:r>
      <w:r>
        <w:rPr>
          <w:sz w:val="13"/>
        </w:rPr>
        <w:t>Deaf People Have  the Right to Serve as Jurors in Australia?’ (2015) </w:t>
      </w:r>
      <w:r>
        <w:rPr>
          <w:spacing w:val="2"/>
          <w:sz w:val="13"/>
        </w:rPr>
        <w:t>40(1) </w:t>
      </w:r>
      <w:r>
        <w:rPr>
          <w:i/>
          <w:sz w:val="13"/>
        </w:rPr>
        <w:t>Alternative Law Journal </w:t>
      </w:r>
      <w:r>
        <w:rPr>
          <w:spacing w:val="2"/>
          <w:sz w:val="13"/>
        </w:rPr>
        <w:t>23,</w:t>
      </w:r>
      <w:r>
        <w:rPr>
          <w:spacing w:val="12"/>
          <w:sz w:val="13"/>
        </w:rPr>
        <w:t> </w:t>
      </w:r>
      <w:r>
        <w:rPr>
          <w:sz w:val="13"/>
        </w:rPr>
        <w:t>26.</w:t>
      </w:r>
    </w:p>
    <w:p>
      <w:pPr>
        <w:pStyle w:val="ListParagraph"/>
        <w:numPr>
          <w:ilvl w:val="0"/>
          <w:numId w:val="60"/>
        </w:numPr>
        <w:tabs>
          <w:tab w:pos="1761" w:val="left" w:leader="none"/>
          <w:tab w:pos="1762" w:val="left" w:leader="none"/>
        </w:tabs>
        <w:spacing w:line="213" w:lineRule="auto" w:before="0" w:after="0"/>
        <w:ind w:left="1761" w:right="1274" w:hanging="794"/>
        <w:jc w:val="left"/>
        <w:rPr>
          <w:sz w:val="13"/>
        </w:rPr>
      </w:pPr>
      <w:r>
        <w:rPr>
          <w:sz w:val="13"/>
        </w:rPr>
        <w:t>David </w:t>
      </w:r>
      <w:r>
        <w:rPr>
          <w:spacing w:val="2"/>
          <w:sz w:val="13"/>
        </w:rPr>
        <w:t>Spencer </w:t>
      </w:r>
      <w:r>
        <w:rPr>
          <w:sz w:val="13"/>
        </w:rPr>
        <w:t>et </w:t>
      </w:r>
      <w:r>
        <w:rPr>
          <w:spacing w:val="2"/>
          <w:sz w:val="13"/>
        </w:rPr>
        <w:t>al, </w:t>
      </w:r>
      <w:r>
        <w:rPr>
          <w:sz w:val="13"/>
        </w:rPr>
        <w:t>‘Justice Is </w:t>
      </w:r>
      <w:r>
        <w:rPr>
          <w:spacing w:val="2"/>
          <w:sz w:val="13"/>
        </w:rPr>
        <w:t>Blind </w:t>
      </w:r>
      <w:r>
        <w:rPr>
          <w:sz w:val="13"/>
        </w:rPr>
        <w:t>as Long as It Isn’t Deaf: Excluding Deaf People from </w:t>
      </w:r>
      <w:r>
        <w:rPr>
          <w:spacing w:val="2"/>
          <w:sz w:val="13"/>
        </w:rPr>
        <w:t>Jury </w:t>
      </w:r>
      <w:r>
        <w:rPr>
          <w:sz w:val="13"/>
        </w:rPr>
        <w:t>Duty—an Australian Human Rights Breach’ (2017) </w:t>
      </w:r>
      <w:r>
        <w:rPr>
          <w:spacing w:val="2"/>
          <w:sz w:val="13"/>
        </w:rPr>
        <w:t>23(3) </w:t>
      </w:r>
      <w:r>
        <w:rPr>
          <w:i/>
          <w:sz w:val="13"/>
        </w:rPr>
        <w:t>Australian Journal of Human </w:t>
      </w:r>
      <w:r>
        <w:rPr>
          <w:i/>
          <w:spacing w:val="2"/>
          <w:sz w:val="13"/>
        </w:rPr>
        <w:t>Rights </w:t>
      </w:r>
      <w:r>
        <w:rPr>
          <w:sz w:val="13"/>
        </w:rPr>
        <w:t>332, 332,</w:t>
      </w:r>
      <w:r>
        <w:rPr>
          <w:spacing w:val="3"/>
          <w:sz w:val="13"/>
        </w:rPr>
        <w:t> </w:t>
      </w:r>
      <w:r>
        <w:rPr>
          <w:sz w:val="13"/>
        </w:rPr>
        <w:t>341–343.</w:t>
      </w:r>
    </w:p>
    <w:p>
      <w:pPr>
        <w:pStyle w:val="ListParagraph"/>
        <w:numPr>
          <w:ilvl w:val="0"/>
          <w:numId w:val="60"/>
        </w:numPr>
        <w:tabs>
          <w:tab w:pos="1761" w:val="left" w:leader="none"/>
          <w:tab w:pos="1762" w:val="left" w:leader="none"/>
        </w:tabs>
        <w:spacing w:line="213" w:lineRule="auto" w:before="0" w:after="0"/>
        <w:ind w:left="1761" w:right="1338" w:hanging="794"/>
        <w:jc w:val="left"/>
        <w:rPr>
          <w:sz w:val="13"/>
        </w:rPr>
      </w:pPr>
      <w:r>
        <w:rPr>
          <w:sz w:val="13"/>
        </w:rPr>
        <w:t>Jemina </w:t>
      </w:r>
      <w:r>
        <w:rPr>
          <w:spacing w:val="2"/>
          <w:sz w:val="13"/>
        </w:rPr>
        <w:t>Napier </w:t>
      </w:r>
      <w:r>
        <w:rPr>
          <w:sz w:val="13"/>
        </w:rPr>
        <w:t>and </w:t>
      </w:r>
      <w:r>
        <w:rPr>
          <w:spacing w:val="2"/>
          <w:sz w:val="13"/>
        </w:rPr>
        <w:t>Alastair </w:t>
      </w:r>
      <w:r>
        <w:rPr>
          <w:sz w:val="13"/>
        </w:rPr>
        <w:t>McEwin, </w:t>
      </w:r>
      <w:r>
        <w:rPr>
          <w:spacing w:val="2"/>
          <w:sz w:val="13"/>
        </w:rPr>
        <w:t>‘Do </w:t>
      </w:r>
      <w:r>
        <w:rPr>
          <w:sz w:val="13"/>
        </w:rPr>
        <w:t>Deaf People Have the Right to Serve as Jurors in Australia?’ (2015) </w:t>
      </w:r>
      <w:r>
        <w:rPr>
          <w:spacing w:val="2"/>
          <w:sz w:val="13"/>
        </w:rPr>
        <w:t>40(1) </w:t>
      </w:r>
      <w:r>
        <w:rPr>
          <w:i/>
          <w:sz w:val="13"/>
        </w:rPr>
        <w:t>Alternative Law </w:t>
      </w:r>
      <w:r>
        <w:rPr>
          <w:i/>
          <w:sz w:val="13"/>
        </w:rPr>
        <w:t>Journal </w:t>
      </w:r>
      <w:r>
        <w:rPr>
          <w:spacing w:val="2"/>
          <w:sz w:val="13"/>
        </w:rPr>
        <w:t>23,</w:t>
      </w:r>
      <w:r>
        <w:rPr>
          <w:sz w:val="13"/>
        </w:rPr>
        <w:t> 26.</w:t>
      </w:r>
    </w:p>
    <w:p>
      <w:pPr>
        <w:pStyle w:val="ListParagraph"/>
        <w:numPr>
          <w:ilvl w:val="0"/>
          <w:numId w:val="60"/>
        </w:numPr>
        <w:tabs>
          <w:tab w:pos="1761" w:val="left" w:leader="none"/>
          <w:tab w:pos="1762" w:val="left" w:leader="none"/>
        </w:tabs>
        <w:spacing w:line="153" w:lineRule="exact" w:before="0" w:after="0"/>
        <w:ind w:left="1761" w:right="0" w:hanging="794"/>
        <w:jc w:val="left"/>
        <w:rPr>
          <w:sz w:val="13"/>
        </w:rPr>
      </w:pPr>
      <w:r>
        <w:rPr>
          <w:spacing w:val="2"/>
          <w:sz w:val="13"/>
        </w:rPr>
        <w:t>Ibid.</w:t>
      </w:r>
    </w:p>
    <w:p>
      <w:pPr>
        <w:pStyle w:val="ListParagraph"/>
        <w:numPr>
          <w:ilvl w:val="0"/>
          <w:numId w:val="60"/>
        </w:numPr>
        <w:tabs>
          <w:tab w:pos="1760" w:val="left" w:leader="none"/>
          <w:tab w:pos="1762" w:val="left" w:leader="none"/>
        </w:tabs>
        <w:spacing w:line="213" w:lineRule="auto" w:before="4" w:after="0"/>
        <w:ind w:left="1761" w:right="1274" w:hanging="794"/>
        <w:jc w:val="left"/>
        <w:rPr>
          <w:sz w:val="13"/>
        </w:rPr>
      </w:pPr>
      <w:r>
        <w:rPr/>
        <w:pict>
          <v:shape style="position:absolute;margin-left:36pt;margin-top:11.596089pt;width:13.3pt;height:14.1pt;mso-position-horizontal-relative:page;mso-position-vertical-relative:paragraph;z-index:6688" type="#_x0000_t202" filled="false" stroked="false">
            <v:textbox inset="0,0,0,0">
              <w:txbxContent>
                <w:p>
                  <w:pPr>
                    <w:spacing w:line="282" w:lineRule="exact" w:before="0"/>
                    <w:ind w:left="0" w:right="0" w:firstLine="0"/>
                    <w:jc w:val="left"/>
                    <w:rPr>
                      <w:b/>
                      <w:sz w:val="24"/>
                    </w:rPr>
                  </w:pPr>
                  <w:r>
                    <w:rPr>
                      <w:b/>
                      <w:color w:val="37617A"/>
                      <w:spacing w:val="-3"/>
                      <w:sz w:val="24"/>
                    </w:rPr>
                    <w:t>72</w:t>
                  </w:r>
                </w:p>
              </w:txbxContent>
            </v:textbox>
            <w10:wrap type="none"/>
          </v:shape>
        </w:pict>
      </w:r>
      <w:r>
        <w:rPr>
          <w:sz w:val="13"/>
        </w:rPr>
        <w:t>David </w:t>
      </w:r>
      <w:r>
        <w:rPr>
          <w:spacing w:val="2"/>
          <w:sz w:val="13"/>
        </w:rPr>
        <w:t>Spencer </w:t>
      </w:r>
      <w:r>
        <w:rPr>
          <w:sz w:val="13"/>
        </w:rPr>
        <w:t>et </w:t>
      </w:r>
      <w:r>
        <w:rPr>
          <w:spacing w:val="2"/>
          <w:sz w:val="13"/>
        </w:rPr>
        <w:t>al, </w:t>
      </w:r>
      <w:r>
        <w:rPr>
          <w:sz w:val="13"/>
        </w:rPr>
        <w:t>‘Justice Is </w:t>
      </w:r>
      <w:r>
        <w:rPr>
          <w:spacing w:val="2"/>
          <w:sz w:val="13"/>
        </w:rPr>
        <w:t>Blind </w:t>
      </w:r>
      <w:r>
        <w:rPr>
          <w:sz w:val="13"/>
        </w:rPr>
        <w:t>as Long as It Isn’t Deaf: Excluding Deaf People from </w:t>
      </w:r>
      <w:r>
        <w:rPr>
          <w:spacing w:val="2"/>
          <w:sz w:val="13"/>
        </w:rPr>
        <w:t>Jury </w:t>
      </w:r>
      <w:r>
        <w:rPr>
          <w:sz w:val="13"/>
        </w:rPr>
        <w:t>Duty—an Australian Human Rights Breach’ (2017) </w:t>
      </w:r>
      <w:r>
        <w:rPr>
          <w:spacing w:val="2"/>
          <w:sz w:val="13"/>
        </w:rPr>
        <w:t>23(3) </w:t>
      </w:r>
      <w:r>
        <w:rPr>
          <w:i/>
          <w:sz w:val="13"/>
        </w:rPr>
        <w:t>Australian Journal of Human </w:t>
      </w:r>
      <w:r>
        <w:rPr>
          <w:i/>
          <w:spacing w:val="2"/>
          <w:sz w:val="13"/>
        </w:rPr>
        <w:t>Rights </w:t>
      </w:r>
      <w:r>
        <w:rPr>
          <w:sz w:val="13"/>
        </w:rPr>
        <w:t>332, </w:t>
      </w:r>
      <w:r>
        <w:rPr>
          <w:spacing w:val="2"/>
          <w:sz w:val="13"/>
        </w:rPr>
        <w:t>343–345.</w:t>
      </w:r>
    </w:p>
    <w:p>
      <w:pPr>
        <w:pStyle w:val="ListParagraph"/>
        <w:numPr>
          <w:ilvl w:val="0"/>
          <w:numId w:val="60"/>
        </w:numPr>
        <w:tabs>
          <w:tab w:pos="1760" w:val="left" w:leader="none"/>
          <w:tab w:pos="1762" w:val="left" w:leader="none"/>
        </w:tabs>
        <w:spacing w:line="163" w:lineRule="exact" w:before="0" w:after="0"/>
        <w:ind w:left="1761" w:right="0" w:hanging="794"/>
        <w:jc w:val="left"/>
        <w:rPr>
          <w:sz w:val="13"/>
        </w:rPr>
      </w:pPr>
      <w:r>
        <w:rPr>
          <w:sz w:val="13"/>
        </w:rPr>
        <w:t>Consultation 16 (Office of </w:t>
      </w:r>
      <w:r>
        <w:rPr>
          <w:spacing w:val="2"/>
          <w:sz w:val="13"/>
        </w:rPr>
        <w:t>Public </w:t>
      </w:r>
      <w:r>
        <w:rPr>
          <w:sz w:val="13"/>
        </w:rPr>
        <w:t>Prosecutions</w:t>
      </w:r>
      <w:r>
        <w:rPr>
          <w:spacing w:val="-1"/>
          <w:sz w:val="13"/>
        </w:rPr>
        <w:t> </w:t>
      </w:r>
      <w:r>
        <w:rPr>
          <w:sz w:val="13"/>
        </w:rPr>
        <w:t>Victoria).</w:t>
      </w:r>
    </w:p>
    <w:p>
      <w:pPr>
        <w:spacing w:after="0" w:line="163"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687" w:hanging="794"/>
        <w:jc w:val="left"/>
        <w:rPr>
          <w:sz w:val="20"/>
        </w:rPr>
      </w:pPr>
      <w:bookmarkStart w:name="_bookmark59" w:id="153"/>
      <w:bookmarkEnd w:id="153"/>
      <w:r>
        <w:rPr/>
      </w:r>
      <w:bookmarkStart w:name="_bookmark59" w:id="154"/>
      <w:bookmarkEnd w:id="154"/>
      <w:r>
        <w:rPr>
          <w:sz w:val="20"/>
        </w:rPr>
        <w:t>I</w:t>
      </w:r>
      <w:r>
        <w:rPr>
          <w:sz w:val="20"/>
        </w:rPr>
        <w:t>n </w:t>
      </w:r>
      <w:r>
        <w:rPr>
          <w:spacing w:val="-2"/>
          <w:sz w:val="20"/>
        </w:rPr>
        <w:t>Chapter </w:t>
      </w:r>
      <w:r>
        <w:rPr>
          <w:spacing w:val="-3"/>
          <w:sz w:val="20"/>
        </w:rPr>
        <w:t>10 we </w:t>
      </w:r>
      <w:r>
        <w:rPr>
          <w:sz w:val="20"/>
        </w:rPr>
        <w:t>discuss practice in </w:t>
      </w:r>
      <w:r>
        <w:rPr>
          <w:spacing w:val="-3"/>
          <w:sz w:val="20"/>
        </w:rPr>
        <w:t>overseas </w:t>
      </w:r>
      <w:r>
        <w:rPr>
          <w:sz w:val="20"/>
        </w:rPr>
        <w:t>jurisdictions, where the courts </w:t>
      </w:r>
      <w:r>
        <w:rPr>
          <w:spacing w:val="-4"/>
          <w:sz w:val="20"/>
        </w:rPr>
        <w:t>have </w:t>
      </w:r>
      <w:r>
        <w:rPr>
          <w:sz w:val="20"/>
        </w:rPr>
        <w:t>facilitated</w:t>
      </w:r>
      <w:r>
        <w:rPr>
          <w:spacing w:val="-12"/>
          <w:sz w:val="20"/>
        </w:rPr>
        <w:t> </w:t>
      </w:r>
      <w:r>
        <w:rPr>
          <w:sz w:val="20"/>
        </w:rPr>
        <w:t>jury</w:t>
      </w:r>
      <w:r>
        <w:rPr>
          <w:spacing w:val="-11"/>
          <w:sz w:val="20"/>
        </w:rPr>
        <w:t> </w:t>
      </w:r>
      <w:r>
        <w:rPr>
          <w:sz w:val="20"/>
        </w:rPr>
        <w:t>service</w:t>
      </w:r>
      <w:r>
        <w:rPr>
          <w:spacing w:val="-11"/>
          <w:sz w:val="20"/>
        </w:rPr>
        <w:t> </w:t>
      </w:r>
      <w:r>
        <w:rPr>
          <w:sz w:val="20"/>
        </w:rPr>
        <w:t>for</w:t>
      </w:r>
      <w:r>
        <w:rPr>
          <w:spacing w:val="-11"/>
          <w:sz w:val="20"/>
        </w:rPr>
        <w:t> </w:t>
      </w:r>
      <w:r>
        <w:rPr>
          <w:sz w:val="20"/>
        </w:rPr>
        <w:t>people</w:t>
      </w:r>
      <w:r>
        <w:rPr>
          <w:spacing w:val="-11"/>
          <w:sz w:val="20"/>
        </w:rPr>
        <w:t> </w:t>
      </w:r>
      <w:r>
        <w:rPr>
          <w:sz w:val="20"/>
        </w:rPr>
        <w:t>with</w:t>
      </w:r>
      <w:r>
        <w:rPr>
          <w:spacing w:val="-11"/>
          <w:sz w:val="20"/>
        </w:rPr>
        <w:t> </w:t>
      </w:r>
      <w:r>
        <w:rPr>
          <w:spacing w:val="-3"/>
          <w:sz w:val="20"/>
        </w:rPr>
        <w:t>‘reasonable</w:t>
      </w:r>
      <w:r>
        <w:rPr>
          <w:spacing w:val="-11"/>
          <w:sz w:val="20"/>
        </w:rPr>
        <w:t> </w:t>
      </w:r>
      <w:r>
        <w:rPr>
          <w:sz w:val="20"/>
        </w:rPr>
        <w:t>adjustments’</w:t>
      </w:r>
      <w:r>
        <w:rPr>
          <w:spacing w:val="-11"/>
          <w:sz w:val="20"/>
        </w:rPr>
        <w:t> </w:t>
      </w:r>
      <w:r>
        <w:rPr>
          <w:sz w:val="20"/>
        </w:rPr>
        <w:t>for</w:t>
      </w:r>
      <w:r>
        <w:rPr>
          <w:spacing w:val="-11"/>
          <w:sz w:val="20"/>
        </w:rPr>
        <w:t> </w:t>
      </w:r>
      <w:r>
        <w:rPr>
          <w:sz w:val="20"/>
        </w:rPr>
        <w:t>decades,</w:t>
      </w:r>
      <w:r>
        <w:rPr>
          <w:spacing w:val="-11"/>
          <w:sz w:val="20"/>
        </w:rPr>
        <w:t> </w:t>
      </w:r>
      <w:r>
        <w:rPr>
          <w:sz w:val="20"/>
        </w:rPr>
        <w:t>while upholding</w:t>
      </w:r>
      <w:r>
        <w:rPr>
          <w:spacing w:val="-5"/>
          <w:sz w:val="20"/>
        </w:rPr>
        <w:t> </w:t>
      </w:r>
      <w:r>
        <w:rPr>
          <w:sz w:val="20"/>
        </w:rPr>
        <w:t>and</w:t>
      </w:r>
      <w:r>
        <w:rPr>
          <w:spacing w:val="-5"/>
          <w:sz w:val="20"/>
        </w:rPr>
        <w:t> </w:t>
      </w:r>
      <w:r>
        <w:rPr>
          <w:sz w:val="20"/>
        </w:rPr>
        <w:t>maintaining</w:t>
      </w:r>
      <w:r>
        <w:rPr>
          <w:spacing w:val="-5"/>
          <w:sz w:val="20"/>
        </w:rPr>
        <w:t> </w:t>
      </w:r>
      <w:r>
        <w:rPr>
          <w:sz w:val="20"/>
        </w:rPr>
        <w:t>the</w:t>
      </w:r>
      <w:r>
        <w:rPr>
          <w:spacing w:val="-5"/>
          <w:sz w:val="20"/>
        </w:rPr>
        <w:t> </w:t>
      </w:r>
      <w:r>
        <w:rPr>
          <w:sz w:val="20"/>
        </w:rPr>
        <w:t>right</w:t>
      </w:r>
      <w:r>
        <w:rPr>
          <w:spacing w:val="-5"/>
          <w:sz w:val="20"/>
        </w:rPr>
        <w:t> </w:t>
      </w:r>
      <w:r>
        <w:rPr>
          <w:sz w:val="20"/>
        </w:rPr>
        <w:t>to</w:t>
      </w:r>
      <w:r>
        <w:rPr>
          <w:spacing w:val="-5"/>
          <w:sz w:val="20"/>
        </w:rPr>
        <w:t> </w:t>
      </w:r>
      <w:r>
        <w:rPr>
          <w:sz w:val="20"/>
        </w:rPr>
        <w:t>a</w:t>
      </w:r>
      <w:r>
        <w:rPr>
          <w:spacing w:val="-5"/>
          <w:sz w:val="20"/>
        </w:rPr>
        <w:t> </w:t>
      </w:r>
      <w:r>
        <w:rPr>
          <w:sz w:val="20"/>
        </w:rPr>
        <w:t>fair</w:t>
      </w:r>
      <w:r>
        <w:rPr>
          <w:spacing w:val="-5"/>
          <w:sz w:val="20"/>
        </w:rPr>
        <w:t> </w:t>
      </w:r>
      <w:r>
        <w:rPr>
          <w:sz w:val="20"/>
        </w:rPr>
        <w:t>trial.</w:t>
      </w:r>
    </w:p>
    <w:p>
      <w:pPr>
        <w:pStyle w:val="Heading3"/>
        <w:spacing w:before="162"/>
      </w:pPr>
      <w:r>
        <w:rPr/>
        <w:t>Deaf jurors and Auslan interpreters</w:t>
      </w:r>
    </w:p>
    <w:p>
      <w:pPr>
        <w:pStyle w:val="ListParagraph"/>
        <w:numPr>
          <w:ilvl w:val="1"/>
          <w:numId w:val="12"/>
        </w:numPr>
        <w:tabs>
          <w:tab w:pos="1761" w:val="left" w:leader="none"/>
          <w:tab w:pos="1762" w:val="left" w:leader="none"/>
        </w:tabs>
        <w:spacing w:line="206" w:lineRule="auto" w:before="127" w:after="0"/>
        <w:ind w:left="1761" w:right="1477" w:hanging="794"/>
        <w:jc w:val="left"/>
        <w:rPr>
          <w:sz w:val="20"/>
        </w:rPr>
      </w:pPr>
      <w:r>
        <w:rPr>
          <w:sz w:val="20"/>
        </w:rPr>
        <w:t>Concerns about the competency of a deaf person to serve as a juror </w:t>
      </w:r>
      <w:r>
        <w:rPr>
          <w:spacing w:val="-3"/>
          <w:sz w:val="20"/>
        </w:rPr>
        <w:t>are </w:t>
      </w:r>
      <w:r>
        <w:rPr>
          <w:sz w:val="20"/>
        </w:rPr>
        <w:t>often tied to</w:t>
      </w:r>
      <w:r>
        <w:rPr>
          <w:spacing w:val="-9"/>
          <w:sz w:val="20"/>
        </w:rPr>
        <w:t> </w:t>
      </w:r>
      <w:r>
        <w:rPr>
          <w:sz w:val="20"/>
        </w:rPr>
        <w:t>concerns</w:t>
      </w:r>
      <w:r>
        <w:rPr>
          <w:spacing w:val="-8"/>
          <w:sz w:val="20"/>
        </w:rPr>
        <w:t> </w:t>
      </w:r>
      <w:r>
        <w:rPr>
          <w:sz w:val="20"/>
        </w:rPr>
        <w:t>about</w:t>
      </w:r>
      <w:r>
        <w:rPr>
          <w:spacing w:val="-8"/>
          <w:sz w:val="20"/>
        </w:rPr>
        <w:t> </w:t>
      </w:r>
      <w:r>
        <w:rPr>
          <w:sz w:val="20"/>
        </w:rPr>
        <w:t>the</w:t>
      </w:r>
      <w:r>
        <w:rPr>
          <w:spacing w:val="-9"/>
          <w:sz w:val="20"/>
        </w:rPr>
        <w:t> </w:t>
      </w:r>
      <w:r>
        <w:rPr>
          <w:spacing w:val="-3"/>
          <w:sz w:val="20"/>
        </w:rPr>
        <w:t>role</w:t>
      </w:r>
      <w:r>
        <w:rPr>
          <w:spacing w:val="-8"/>
          <w:sz w:val="20"/>
        </w:rPr>
        <w:t> </w:t>
      </w:r>
      <w:r>
        <w:rPr>
          <w:sz w:val="20"/>
        </w:rPr>
        <w:t>of</w:t>
      </w:r>
      <w:r>
        <w:rPr>
          <w:spacing w:val="-8"/>
          <w:sz w:val="20"/>
        </w:rPr>
        <w:t> </w:t>
      </w:r>
      <w:r>
        <w:rPr>
          <w:sz w:val="20"/>
        </w:rPr>
        <w:t>an</w:t>
      </w:r>
      <w:r>
        <w:rPr>
          <w:spacing w:val="-8"/>
          <w:sz w:val="20"/>
        </w:rPr>
        <w:t> </w:t>
      </w:r>
      <w:r>
        <w:rPr>
          <w:sz w:val="20"/>
        </w:rPr>
        <w:t>Auslan</w:t>
      </w:r>
      <w:r>
        <w:rPr>
          <w:spacing w:val="-9"/>
          <w:sz w:val="20"/>
        </w:rPr>
        <w:t> </w:t>
      </w:r>
      <w:r>
        <w:rPr>
          <w:spacing w:val="-4"/>
          <w:sz w:val="20"/>
        </w:rPr>
        <w:t>interpreter.</w:t>
      </w:r>
      <w:r>
        <w:rPr>
          <w:spacing w:val="-19"/>
          <w:sz w:val="20"/>
        </w:rPr>
        <w:t> </w:t>
      </w:r>
      <w:r>
        <w:rPr>
          <w:spacing w:val="-3"/>
          <w:sz w:val="20"/>
        </w:rPr>
        <w:t>Following</w:t>
      </w:r>
      <w:r>
        <w:rPr>
          <w:spacing w:val="-8"/>
          <w:sz w:val="20"/>
        </w:rPr>
        <w:t> </w:t>
      </w:r>
      <w:r>
        <w:rPr>
          <w:sz w:val="20"/>
        </w:rPr>
        <w:t>the</w:t>
      </w:r>
      <w:r>
        <w:rPr>
          <w:spacing w:val="-8"/>
          <w:sz w:val="20"/>
        </w:rPr>
        <w:t> </w:t>
      </w:r>
      <w:r>
        <w:rPr>
          <w:sz w:val="20"/>
        </w:rPr>
        <w:t>mock</w:t>
      </w:r>
      <w:r>
        <w:rPr>
          <w:spacing w:val="-9"/>
          <w:sz w:val="20"/>
        </w:rPr>
        <w:t> </w:t>
      </w:r>
      <w:r>
        <w:rPr>
          <w:sz w:val="20"/>
        </w:rPr>
        <w:t>trial</w:t>
      </w:r>
      <w:r>
        <w:rPr>
          <w:spacing w:val="-8"/>
          <w:sz w:val="20"/>
        </w:rPr>
        <w:t> </w:t>
      </w:r>
      <w:r>
        <w:rPr>
          <w:spacing w:val="-3"/>
          <w:sz w:val="20"/>
        </w:rPr>
        <w:t>involving</w:t>
      </w:r>
    </w:p>
    <w:p>
      <w:pPr>
        <w:pStyle w:val="BodyText"/>
        <w:spacing w:line="206" w:lineRule="auto" w:before="3"/>
        <w:ind w:left="1761" w:right="1202"/>
        <w:rPr>
          <w:sz w:val="11"/>
        </w:rPr>
      </w:pPr>
      <w:r>
        <w:rPr/>
        <w:t>deaf jurors (discussed </w:t>
      </w:r>
      <w:r>
        <w:rPr>
          <w:spacing w:val="-3"/>
        </w:rPr>
        <w:t>below) </w:t>
      </w:r>
      <w:r>
        <w:rPr/>
        <w:t>Hale and colleagues identified concerns amongst legal professionals about ‘the cognitive and language skills of prospective deaf jurors, the logistics in engaging and arranging </w:t>
      </w:r>
      <w:r>
        <w:rPr>
          <w:spacing w:val="-3"/>
        </w:rPr>
        <w:t>interpreters </w:t>
      </w:r>
      <w:r>
        <w:rPr/>
        <w:t>in court, and quality or standard of </w:t>
      </w:r>
      <w:r>
        <w:rPr>
          <w:spacing w:val="-4"/>
        </w:rPr>
        <w:t>interpreters’.</w:t>
      </w:r>
      <w:r>
        <w:rPr>
          <w:spacing w:val="-4"/>
          <w:position w:val="7"/>
          <w:sz w:val="11"/>
        </w:rPr>
        <w:t>30 </w:t>
      </w:r>
      <w:r>
        <w:rPr/>
        <w:t>Researchers also identified concerns about </w:t>
      </w:r>
      <w:r>
        <w:rPr>
          <w:spacing w:val="-3"/>
        </w:rPr>
        <w:t>having </w:t>
      </w:r>
      <w:r>
        <w:rPr/>
        <w:t>Auslan </w:t>
      </w:r>
      <w:r>
        <w:rPr>
          <w:spacing w:val="-3"/>
        </w:rPr>
        <w:t>interpreters </w:t>
      </w:r>
      <w:r>
        <w:rPr/>
        <w:t>in jury rooms and </w:t>
      </w:r>
      <w:r>
        <w:rPr>
          <w:spacing w:val="-3"/>
        </w:rPr>
        <w:t>‘accuracy </w:t>
      </w:r>
      <w:r>
        <w:rPr/>
        <w:t>and equivalency’ concerns </w:t>
      </w:r>
      <w:r>
        <w:rPr>
          <w:spacing w:val="-3"/>
        </w:rPr>
        <w:t>‘about </w:t>
      </w:r>
      <w:r>
        <w:rPr/>
        <w:t>the substantive </w:t>
      </w:r>
      <w:r>
        <w:rPr>
          <w:spacing w:val="-3"/>
        </w:rPr>
        <w:t>content </w:t>
      </w:r>
      <w:r>
        <w:rPr/>
        <w:t>of </w:t>
      </w:r>
      <w:r>
        <w:rPr>
          <w:spacing w:val="-3"/>
        </w:rPr>
        <w:t>interpreted evidence’.</w:t>
      </w:r>
      <w:r>
        <w:rPr>
          <w:spacing w:val="-3"/>
          <w:position w:val="7"/>
          <w:sz w:val="11"/>
        </w:rPr>
        <w:t>31</w:t>
      </w:r>
    </w:p>
    <w:p>
      <w:pPr>
        <w:pStyle w:val="ListParagraph"/>
        <w:numPr>
          <w:ilvl w:val="1"/>
          <w:numId w:val="12"/>
        </w:numPr>
        <w:tabs>
          <w:tab w:pos="1761" w:val="left" w:leader="none"/>
          <w:tab w:pos="1762" w:val="left" w:leader="none"/>
        </w:tabs>
        <w:spacing w:line="206" w:lineRule="auto" w:before="127" w:after="0"/>
        <w:ind w:left="1761" w:right="1385" w:hanging="794"/>
        <w:jc w:val="left"/>
        <w:rPr>
          <w:sz w:val="11"/>
        </w:rPr>
      </w:pPr>
      <w:r>
        <w:rPr>
          <w:sz w:val="20"/>
        </w:rPr>
        <w:t>Practical</w:t>
      </w:r>
      <w:r>
        <w:rPr>
          <w:spacing w:val="-10"/>
          <w:sz w:val="20"/>
        </w:rPr>
        <w:t> </w:t>
      </w:r>
      <w:r>
        <w:rPr>
          <w:sz w:val="20"/>
        </w:rPr>
        <w:t>concerns</w:t>
      </w:r>
      <w:r>
        <w:rPr>
          <w:spacing w:val="-9"/>
          <w:sz w:val="20"/>
        </w:rPr>
        <w:t> </w:t>
      </w:r>
      <w:r>
        <w:rPr>
          <w:sz w:val="20"/>
        </w:rPr>
        <w:t>about</w:t>
      </w:r>
      <w:r>
        <w:rPr>
          <w:spacing w:val="-9"/>
          <w:sz w:val="20"/>
        </w:rPr>
        <w:t> </w:t>
      </w:r>
      <w:r>
        <w:rPr>
          <w:sz w:val="20"/>
        </w:rPr>
        <w:t>Auslan</w:t>
      </w:r>
      <w:r>
        <w:rPr>
          <w:spacing w:val="-10"/>
          <w:sz w:val="20"/>
        </w:rPr>
        <w:t> </w:t>
      </w:r>
      <w:r>
        <w:rPr>
          <w:spacing w:val="-3"/>
          <w:sz w:val="20"/>
        </w:rPr>
        <w:t>interpreting</w:t>
      </w:r>
      <w:r>
        <w:rPr>
          <w:spacing w:val="-9"/>
          <w:sz w:val="20"/>
        </w:rPr>
        <w:t> </w:t>
      </w:r>
      <w:r>
        <w:rPr>
          <w:spacing w:val="-3"/>
          <w:sz w:val="20"/>
        </w:rPr>
        <w:t>are</w:t>
      </w:r>
      <w:r>
        <w:rPr>
          <w:spacing w:val="-9"/>
          <w:sz w:val="20"/>
        </w:rPr>
        <w:t> </w:t>
      </w:r>
      <w:r>
        <w:rPr>
          <w:sz w:val="20"/>
        </w:rPr>
        <w:t>evident</w:t>
      </w:r>
      <w:r>
        <w:rPr>
          <w:spacing w:val="-10"/>
          <w:sz w:val="20"/>
        </w:rPr>
        <w:t> </w:t>
      </w:r>
      <w:r>
        <w:rPr>
          <w:sz w:val="20"/>
        </w:rPr>
        <w:t>in</w:t>
      </w:r>
      <w:r>
        <w:rPr>
          <w:spacing w:val="-9"/>
          <w:sz w:val="20"/>
        </w:rPr>
        <w:t> </w:t>
      </w:r>
      <w:r>
        <w:rPr>
          <w:spacing w:val="-3"/>
          <w:sz w:val="20"/>
        </w:rPr>
        <w:t>Australia’s</w:t>
      </w:r>
      <w:r>
        <w:rPr>
          <w:spacing w:val="-9"/>
          <w:sz w:val="20"/>
        </w:rPr>
        <w:t> </w:t>
      </w:r>
      <w:r>
        <w:rPr>
          <w:sz w:val="20"/>
        </w:rPr>
        <w:t>response</w:t>
      </w:r>
      <w:r>
        <w:rPr>
          <w:spacing w:val="-9"/>
          <w:sz w:val="20"/>
        </w:rPr>
        <w:t> </w:t>
      </w:r>
      <w:r>
        <w:rPr>
          <w:sz w:val="20"/>
        </w:rPr>
        <w:t>to</w:t>
      </w:r>
      <w:r>
        <w:rPr>
          <w:spacing w:val="-10"/>
          <w:sz w:val="20"/>
        </w:rPr>
        <w:t> </w:t>
      </w:r>
      <w:r>
        <w:rPr>
          <w:sz w:val="20"/>
        </w:rPr>
        <w:t>the CRPD decisions (discussed in </w:t>
      </w:r>
      <w:r>
        <w:rPr>
          <w:spacing w:val="-2"/>
          <w:sz w:val="20"/>
        </w:rPr>
        <w:t>Chapter </w:t>
      </w:r>
      <w:r>
        <w:rPr>
          <w:spacing w:val="-4"/>
          <w:sz w:val="20"/>
        </w:rPr>
        <w:t>6). </w:t>
      </w:r>
      <w:r>
        <w:rPr>
          <w:spacing w:val="-3"/>
          <w:sz w:val="20"/>
        </w:rPr>
        <w:t>For example, </w:t>
      </w:r>
      <w:r>
        <w:rPr>
          <w:sz w:val="20"/>
        </w:rPr>
        <w:t>Australia </w:t>
      </w:r>
      <w:r>
        <w:rPr>
          <w:spacing w:val="-3"/>
          <w:sz w:val="20"/>
        </w:rPr>
        <w:t>expressed </w:t>
      </w:r>
      <w:r>
        <w:rPr>
          <w:sz w:val="20"/>
        </w:rPr>
        <w:t>concern about</w:t>
      </w:r>
      <w:r>
        <w:rPr>
          <w:spacing w:val="-8"/>
          <w:sz w:val="20"/>
        </w:rPr>
        <w:t> </w:t>
      </w:r>
      <w:r>
        <w:rPr>
          <w:sz w:val="20"/>
        </w:rPr>
        <w:t>the</w:t>
      </w:r>
      <w:r>
        <w:rPr>
          <w:spacing w:val="-8"/>
          <w:sz w:val="20"/>
        </w:rPr>
        <w:t> </w:t>
      </w:r>
      <w:r>
        <w:rPr>
          <w:sz w:val="20"/>
        </w:rPr>
        <w:t>use</w:t>
      </w:r>
      <w:r>
        <w:rPr>
          <w:spacing w:val="-8"/>
          <w:sz w:val="20"/>
        </w:rPr>
        <w:t> </w:t>
      </w:r>
      <w:r>
        <w:rPr>
          <w:sz w:val="20"/>
        </w:rPr>
        <w:t>of</w:t>
      </w:r>
      <w:r>
        <w:rPr>
          <w:spacing w:val="-8"/>
          <w:sz w:val="20"/>
        </w:rPr>
        <w:t> </w:t>
      </w:r>
      <w:r>
        <w:rPr>
          <w:sz w:val="20"/>
        </w:rPr>
        <w:t>multiple</w:t>
      </w:r>
      <w:r>
        <w:rPr>
          <w:spacing w:val="-8"/>
          <w:sz w:val="20"/>
        </w:rPr>
        <w:t> </w:t>
      </w:r>
      <w:r>
        <w:rPr>
          <w:spacing w:val="-3"/>
          <w:sz w:val="20"/>
        </w:rPr>
        <w:t>interpreters</w:t>
      </w:r>
      <w:r>
        <w:rPr>
          <w:spacing w:val="-8"/>
          <w:sz w:val="20"/>
        </w:rPr>
        <w:t> </w:t>
      </w:r>
      <w:r>
        <w:rPr>
          <w:sz w:val="20"/>
        </w:rPr>
        <w:t>to</w:t>
      </w:r>
      <w:r>
        <w:rPr>
          <w:spacing w:val="-8"/>
          <w:sz w:val="20"/>
        </w:rPr>
        <w:t> </w:t>
      </w:r>
      <w:r>
        <w:rPr>
          <w:spacing w:val="-3"/>
          <w:sz w:val="20"/>
        </w:rPr>
        <w:t>work</w:t>
      </w:r>
      <w:r>
        <w:rPr>
          <w:spacing w:val="-8"/>
          <w:sz w:val="20"/>
        </w:rPr>
        <w:t> </w:t>
      </w:r>
      <w:r>
        <w:rPr>
          <w:sz w:val="20"/>
        </w:rPr>
        <w:t>with</w:t>
      </w:r>
      <w:r>
        <w:rPr>
          <w:spacing w:val="-8"/>
          <w:sz w:val="20"/>
        </w:rPr>
        <w:t> </w:t>
      </w:r>
      <w:r>
        <w:rPr>
          <w:sz w:val="20"/>
        </w:rPr>
        <w:t>a</w:t>
      </w:r>
      <w:r>
        <w:rPr>
          <w:spacing w:val="-8"/>
          <w:sz w:val="20"/>
        </w:rPr>
        <w:t> </w:t>
      </w:r>
      <w:r>
        <w:rPr>
          <w:sz w:val="20"/>
        </w:rPr>
        <w:t>juror</w:t>
      </w:r>
      <w:r>
        <w:rPr>
          <w:spacing w:val="-8"/>
          <w:sz w:val="20"/>
        </w:rPr>
        <w:t> </w:t>
      </w:r>
      <w:r>
        <w:rPr>
          <w:sz w:val="20"/>
        </w:rPr>
        <w:t>and</w:t>
      </w:r>
      <w:r>
        <w:rPr>
          <w:spacing w:val="-8"/>
          <w:sz w:val="20"/>
        </w:rPr>
        <w:t> </w:t>
      </w:r>
      <w:r>
        <w:rPr>
          <w:sz w:val="20"/>
        </w:rPr>
        <w:t>the</w:t>
      </w:r>
      <w:r>
        <w:rPr>
          <w:spacing w:val="-8"/>
          <w:sz w:val="20"/>
        </w:rPr>
        <w:t> </w:t>
      </w:r>
      <w:r>
        <w:rPr>
          <w:sz w:val="20"/>
        </w:rPr>
        <w:t>need</w:t>
      </w:r>
      <w:r>
        <w:rPr>
          <w:spacing w:val="-8"/>
          <w:sz w:val="20"/>
        </w:rPr>
        <w:t> </w:t>
      </w:r>
      <w:r>
        <w:rPr>
          <w:sz w:val="20"/>
        </w:rPr>
        <w:t>to</w:t>
      </w:r>
      <w:r>
        <w:rPr>
          <w:spacing w:val="-8"/>
          <w:sz w:val="20"/>
        </w:rPr>
        <w:t> </w:t>
      </w:r>
      <w:r>
        <w:rPr>
          <w:spacing w:val="-3"/>
          <w:sz w:val="20"/>
        </w:rPr>
        <w:t>rotate</w:t>
      </w:r>
      <w:r>
        <w:rPr>
          <w:spacing w:val="-8"/>
          <w:sz w:val="20"/>
        </w:rPr>
        <w:t> </w:t>
      </w:r>
      <w:r>
        <w:rPr>
          <w:sz w:val="20"/>
        </w:rPr>
        <w:t>them every</w:t>
      </w:r>
      <w:r>
        <w:rPr>
          <w:spacing w:val="-8"/>
          <w:sz w:val="20"/>
        </w:rPr>
        <w:t> </w:t>
      </w:r>
      <w:r>
        <w:rPr>
          <w:sz w:val="20"/>
        </w:rPr>
        <w:t>15-40</w:t>
      </w:r>
      <w:r>
        <w:rPr>
          <w:spacing w:val="-8"/>
          <w:sz w:val="20"/>
        </w:rPr>
        <w:t> </w:t>
      </w:r>
      <w:r>
        <w:rPr>
          <w:sz w:val="20"/>
        </w:rPr>
        <w:t>mins,</w:t>
      </w:r>
      <w:r>
        <w:rPr>
          <w:spacing w:val="-7"/>
          <w:sz w:val="20"/>
        </w:rPr>
        <w:t> </w:t>
      </w:r>
      <w:r>
        <w:rPr>
          <w:sz w:val="20"/>
        </w:rPr>
        <w:t>which</w:t>
      </w:r>
      <w:r>
        <w:rPr>
          <w:spacing w:val="-8"/>
          <w:sz w:val="20"/>
        </w:rPr>
        <w:t> </w:t>
      </w:r>
      <w:r>
        <w:rPr>
          <w:sz w:val="20"/>
        </w:rPr>
        <w:t>it</w:t>
      </w:r>
      <w:r>
        <w:rPr>
          <w:spacing w:val="-7"/>
          <w:sz w:val="20"/>
        </w:rPr>
        <w:t> </w:t>
      </w:r>
      <w:r>
        <w:rPr>
          <w:sz w:val="20"/>
        </w:rPr>
        <w:t>argued</w:t>
      </w:r>
      <w:r>
        <w:rPr>
          <w:spacing w:val="-8"/>
          <w:sz w:val="20"/>
        </w:rPr>
        <w:t> </w:t>
      </w:r>
      <w:r>
        <w:rPr>
          <w:spacing w:val="-3"/>
          <w:sz w:val="20"/>
        </w:rPr>
        <w:t>may</w:t>
      </w:r>
      <w:r>
        <w:rPr>
          <w:spacing w:val="-8"/>
          <w:sz w:val="20"/>
        </w:rPr>
        <w:t> </w:t>
      </w:r>
      <w:r>
        <w:rPr>
          <w:sz w:val="20"/>
        </w:rPr>
        <w:t>‘impact</w:t>
      </w:r>
      <w:r>
        <w:rPr>
          <w:spacing w:val="-7"/>
          <w:sz w:val="20"/>
        </w:rPr>
        <w:t> </w:t>
      </w:r>
      <w:r>
        <w:rPr>
          <w:sz w:val="20"/>
        </w:rPr>
        <w:t>the</w:t>
      </w:r>
      <w:r>
        <w:rPr>
          <w:spacing w:val="-8"/>
          <w:sz w:val="20"/>
        </w:rPr>
        <w:t> </w:t>
      </w:r>
      <w:r>
        <w:rPr>
          <w:sz w:val="20"/>
        </w:rPr>
        <w:t>continuity’</w:t>
      </w:r>
      <w:r>
        <w:rPr>
          <w:spacing w:val="-7"/>
          <w:sz w:val="20"/>
        </w:rPr>
        <w:t> </w:t>
      </w:r>
      <w:r>
        <w:rPr>
          <w:sz w:val="20"/>
        </w:rPr>
        <w:t>of</w:t>
      </w:r>
      <w:r>
        <w:rPr>
          <w:spacing w:val="-8"/>
          <w:sz w:val="20"/>
        </w:rPr>
        <w:t> </w:t>
      </w:r>
      <w:r>
        <w:rPr>
          <w:sz w:val="20"/>
        </w:rPr>
        <w:t>deliberations.</w:t>
      </w:r>
      <w:r>
        <w:rPr>
          <w:position w:val="7"/>
          <w:sz w:val="11"/>
        </w:rPr>
        <w:t>32</w:t>
      </w:r>
    </w:p>
    <w:p>
      <w:pPr>
        <w:pStyle w:val="ListParagraph"/>
        <w:numPr>
          <w:ilvl w:val="1"/>
          <w:numId w:val="12"/>
        </w:numPr>
        <w:tabs>
          <w:tab w:pos="1761" w:val="left" w:leader="none"/>
          <w:tab w:pos="1762" w:val="left" w:leader="none"/>
        </w:tabs>
        <w:spacing w:line="206" w:lineRule="auto" w:before="125" w:after="0"/>
        <w:ind w:left="1761" w:right="1208" w:hanging="794"/>
        <w:jc w:val="left"/>
        <w:rPr>
          <w:sz w:val="11"/>
        </w:rPr>
      </w:pPr>
      <w:r>
        <w:rPr>
          <w:sz w:val="20"/>
        </w:rPr>
        <w:t>In</w:t>
      </w:r>
      <w:r>
        <w:rPr>
          <w:spacing w:val="-13"/>
          <w:sz w:val="20"/>
        </w:rPr>
        <w:t> </w:t>
      </w:r>
      <w:r>
        <w:rPr>
          <w:sz w:val="20"/>
        </w:rPr>
        <w:t>consultation,</w:t>
      </w:r>
      <w:r>
        <w:rPr>
          <w:spacing w:val="-13"/>
          <w:sz w:val="20"/>
        </w:rPr>
        <w:t> </w:t>
      </w:r>
      <w:r>
        <w:rPr>
          <w:sz w:val="20"/>
        </w:rPr>
        <w:t>Alastair</w:t>
      </w:r>
      <w:r>
        <w:rPr>
          <w:spacing w:val="-12"/>
          <w:sz w:val="20"/>
        </w:rPr>
        <w:t> </w:t>
      </w:r>
      <w:r>
        <w:rPr>
          <w:spacing w:val="-3"/>
          <w:sz w:val="20"/>
        </w:rPr>
        <w:t>McEwin</w:t>
      </w:r>
      <w:r>
        <w:rPr>
          <w:spacing w:val="-13"/>
          <w:sz w:val="20"/>
        </w:rPr>
        <w:t> </w:t>
      </w:r>
      <w:r>
        <w:rPr>
          <w:sz w:val="20"/>
        </w:rPr>
        <w:t>pointed</w:t>
      </w:r>
      <w:r>
        <w:rPr>
          <w:spacing w:val="-12"/>
          <w:sz w:val="20"/>
        </w:rPr>
        <w:t> </w:t>
      </w:r>
      <w:r>
        <w:rPr>
          <w:sz w:val="20"/>
        </w:rPr>
        <w:t>to</w:t>
      </w:r>
      <w:r>
        <w:rPr>
          <w:spacing w:val="-13"/>
          <w:sz w:val="20"/>
        </w:rPr>
        <w:t> </w:t>
      </w:r>
      <w:r>
        <w:rPr>
          <w:sz w:val="20"/>
        </w:rPr>
        <w:t>misconceptions</w:t>
      </w:r>
      <w:r>
        <w:rPr>
          <w:spacing w:val="-12"/>
          <w:sz w:val="20"/>
        </w:rPr>
        <w:t> </w:t>
      </w:r>
      <w:r>
        <w:rPr>
          <w:sz w:val="20"/>
        </w:rPr>
        <w:t>about</w:t>
      </w:r>
      <w:r>
        <w:rPr>
          <w:spacing w:val="-13"/>
          <w:sz w:val="20"/>
        </w:rPr>
        <w:t> </w:t>
      </w:r>
      <w:r>
        <w:rPr>
          <w:sz w:val="20"/>
        </w:rPr>
        <w:t>the</w:t>
      </w:r>
      <w:r>
        <w:rPr>
          <w:spacing w:val="-12"/>
          <w:sz w:val="20"/>
        </w:rPr>
        <w:t> </w:t>
      </w:r>
      <w:r>
        <w:rPr>
          <w:spacing w:val="-3"/>
          <w:sz w:val="20"/>
        </w:rPr>
        <w:t>role</w:t>
      </w:r>
      <w:r>
        <w:rPr>
          <w:spacing w:val="-13"/>
          <w:sz w:val="20"/>
        </w:rPr>
        <w:t> </w:t>
      </w:r>
      <w:r>
        <w:rPr>
          <w:sz w:val="20"/>
        </w:rPr>
        <w:t>and</w:t>
      </w:r>
      <w:r>
        <w:rPr>
          <w:spacing w:val="-13"/>
          <w:sz w:val="20"/>
        </w:rPr>
        <w:t> </w:t>
      </w:r>
      <w:r>
        <w:rPr>
          <w:sz w:val="20"/>
        </w:rPr>
        <w:t>accuracy of Auslan </w:t>
      </w:r>
      <w:r>
        <w:rPr>
          <w:spacing w:val="-3"/>
          <w:sz w:val="20"/>
        </w:rPr>
        <w:t>interpreters. </w:t>
      </w:r>
      <w:r>
        <w:rPr>
          <w:sz w:val="20"/>
        </w:rPr>
        <w:t>He noted that this </w:t>
      </w:r>
      <w:r>
        <w:rPr>
          <w:spacing w:val="-3"/>
          <w:sz w:val="20"/>
        </w:rPr>
        <w:t>‘plays </w:t>
      </w:r>
      <w:r>
        <w:rPr>
          <w:sz w:val="20"/>
        </w:rPr>
        <w:t>on </w:t>
      </w:r>
      <w:r>
        <w:rPr>
          <w:spacing w:val="-3"/>
          <w:sz w:val="20"/>
        </w:rPr>
        <w:t>lawyers’ </w:t>
      </w:r>
      <w:r>
        <w:rPr>
          <w:sz w:val="20"/>
        </w:rPr>
        <w:t>minds. They think: “What if the </w:t>
      </w:r>
      <w:r>
        <w:rPr>
          <w:spacing w:val="-3"/>
          <w:sz w:val="20"/>
        </w:rPr>
        <w:t>interpreter </w:t>
      </w:r>
      <w:r>
        <w:rPr>
          <w:sz w:val="20"/>
        </w:rPr>
        <w:t>gets things wrong or misinterprets me?” They </w:t>
      </w:r>
      <w:r>
        <w:rPr>
          <w:spacing w:val="-3"/>
          <w:sz w:val="20"/>
        </w:rPr>
        <w:t>make </w:t>
      </w:r>
      <w:r>
        <w:rPr>
          <w:sz w:val="20"/>
        </w:rPr>
        <w:t>assumptions about the ability of an Auslan </w:t>
      </w:r>
      <w:r>
        <w:rPr>
          <w:spacing w:val="-3"/>
          <w:sz w:val="20"/>
        </w:rPr>
        <w:t>interpreter </w:t>
      </w:r>
      <w:r>
        <w:rPr>
          <w:sz w:val="20"/>
        </w:rPr>
        <w:t>to be</w:t>
      </w:r>
      <w:r>
        <w:rPr>
          <w:spacing w:val="-32"/>
          <w:sz w:val="20"/>
        </w:rPr>
        <w:t> </w:t>
      </w:r>
      <w:r>
        <w:rPr>
          <w:spacing w:val="-3"/>
          <w:sz w:val="20"/>
        </w:rPr>
        <w:t>effective.’</w:t>
      </w:r>
      <w:r>
        <w:rPr>
          <w:spacing w:val="-3"/>
          <w:position w:val="7"/>
          <w:sz w:val="11"/>
        </w:rPr>
        <w:t>33</w:t>
      </w:r>
    </w:p>
    <w:p>
      <w:pPr>
        <w:pStyle w:val="ListParagraph"/>
        <w:numPr>
          <w:ilvl w:val="1"/>
          <w:numId w:val="12"/>
        </w:numPr>
        <w:tabs>
          <w:tab w:pos="1761" w:val="left" w:leader="none"/>
          <w:tab w:pos="1762" w:val="left" w:leader="none"/>
        </w:tabs>
        <w:spacing w:line="206" w:lineRule="auto" w:before="125" w:after="0"/>
        <w:ind w:left="1761" w:right="1237" w:hanging="794"/>
        <w:jc w:val="left"/>
        <w:rPr>
          <w:sz w:val="11"/>
        </w:rPr>
      </w:pPr>
      <w:r>
        <w:rPr>
          <w:sz w:val="20"/>
        </w:rPr>
        <w:t>In </w:t>
      </w:r>
      <w:r>
        <w:rPr>
          <w:spacing w:val="-2"/>
          <w:sz w:val="20"/>
        </w:rPr>
        <w:t>Chapter </w:t>
      </w:r>
      <w:r>
        <w:rPr>
          <w:sz w:val="20"/>
        </w:rPr>
        <w:t>14 </w:t>
      </w:r>
      <w:r>
        <w:rPr>
          <w:spacing w:val="-3"/>
          <w:sz w:val="20"/>
        </w:rPr>
        <w:t>we </w:t>
      </w:r>
      <w:r>
        <w:rPr>
          <w:sz w:val="20"/>
        </w:rPr>
        <w:t>discuss </w:t>
      </w:r>
      <w:r>
        <w:rPr>
          <w:spacing w:val="-3"/>
          <w:sz w:val="20"/>
        </w:rPr>
        <w:t>how </w:t>
      </w:r>
      <w:r>
        <w:rPr>
          <w:sz w:val="20"/>
        </w:rPr>
        <w:t>Auslan </w:t>
      </w:r>
      <w:r>
        <w:rPr>
          <w:spacing w:val="-3"/>
          <w:sz w:val="20"/>
        </w:rPr>
        <w:t>interpreting </w:t>
      </w:r>
      <w:r>
        <w:rPr>
          <w:sz w:val="20"/>
        </w:rPr>
        <w:t>is a highly skilled profession and </w:t>
      </w:r>
      <w:r>
        <w:rPr>
          <w:spacing w:val="-3"/>
          <w:sz w:val="20"/>
        </w:rPr>
        <w:t>interpreters are </w:t>
      </w:r>
      <w:r>
        <w:rPr>
          <w:sz w:val="20"/>
        </w:rPr>
        <w:t>bound </w:t>
      </w:r>
      <w:r>
        <w:rPr>
          <w:spacing w:val="-3"/>
          <w:sz w:val="20"/>
        </w:rPr>
        <w:t>by </w:t>
      </w:r>
      <w:r>
        <w:rPr>
          <w:sz w:val="20"/>
        </w:rPr>
        <w:t>a code of ethics</w:t>
      </w:r>
      <w:r>
        <w:rPr>
          <w:position w:val="7"/>
          <w:sz w:val="11"/>
        </w:rPr>
        <w:t>34 </w:t>
      </w:r>
      <w:r>
        <w:rPr>
          <w:sz w:val="20"/>
        </w:rPr>
        <w:t>and must undertake regular professional </w:t>
      </w:r>
      <w:r>
        <w:rPr>
          <w:spacing w:val="-3"/>
          <w:sz w:val="20"/>
        </w:rPr>
        <w:t>development</w:t>
      </w:r>
      <w:r>
        <w:rPr>
          <w:spacing w:val="-15"/>
          <w:sz w:val="20"/>
        </w:rPr>
        <w:t> </w:t>
      </w:r>
      <w:r>
        <w:rPr>
          <w:sz w:val="20"/>
        </w:rPr>
        <w:t>training</w:t>
      </w:r>
      <w:r>
        <w:rPr>
          <w:spacing w:val="-14"/>
          <w:sz w:val="20"/>
        </w:rPr>
        <w:t> </w:t>
      </w:r>
      <w:r>
        <w:rPr>
          <w:sz w:val="20"/>
        </w:rPr>
        <w:t>to</w:t>
      </w:r>
      <w:r>
        <w:rPr>
          <w:spacing w:val="-14"/>
          <w:sz w:val="20"/>
        </w:rPr>
        <w:t> </w:t>
      </w:r>
      <w:r>
        <w:rPr>
          <w:sz w:val="20"/>
        </w:rPr>
        <w:t>maintain</w:t>
      </w:r>
      <w:r>
        <w:rPr>
          <w:spacing w:val="-14"/>
          <w:sz w:val="20"/>
        </w:rPr>
        <w:t> </w:t>
      </w:r>
      <w:r>
        <w:rPr>
          <w:sz w:val="20"/>
        </w:rPr>
        <w:t>their</w:t>
      </w:r>
      <w:r>
        <w:rPr>
          <w:spacing w:val="-14"/>
          <w:sz w:val="20"/>
        </w:rPr>
        <w:t> </w:t>
      </w:r>
      <w:r>
        <w:rPr>
          <w:sz w:val="20"/>
        </w:rPr>
        <w:t>certification.</w:t>
      </w:r>
      <w:r>
        <w:rPr>
          <w:position w:val="7"/>
          <w:sz w:val="11"/>
        </w:rPr>
        <w:t>35</w:t>
      </w:r>
      <w:r>
        <w:rPr>
          <w:spacing w:val="10"/>
          <w:position w:val="7"/>
          <w:sz w:val="11"/>
        </w:rPr>
        <w:t> </w:t>
      </w:r>
      <w:r>
        <w:rPr>
          <w:sz w:val="20"/>
        </w:rPr>
        <w:t>Spencer</w:t>
      </w:r>
      <w:r>
        <w:rPr>
          <w:spacing w:val="-14"/>
          <w:sz w:val="20"/>
        </w:rPr>
        <w:t> </w:t>
      </w:r>
      <w:r>
        <w:rPr>
          <w:sz w:val="20"/>
        </w:rPr>
        <w:t>and</w:t>
      </w:r>
      <w:r>
        <w:rPr>
          <w:spacing w:val="-14"/>
          <w:sz w:val="20"/>
        </w:rPr>
        <w:t> </w:t>
      </w:r>
      <w:r>
        <w:rPr>
          <w:sz w:val="20"/>
        </w:rPr>
        <w:t>colleagues</w:t>
      </w:r>
      <w:r>
        <w:rPr>
          <w:spacing w:val="-14"/>
          <w:sz w:val="20"/>
        </w:rPr>
        <w:t> </w:t>
      </w:r>
      <w:r>
        <w:rPr>
          <w:sz w:val="20"/>
        </w:rPr>
        <w:t>identified among legal professionals ‘widespread ignorance of the requirements of </w:t>
      </w:r>
      <w:r>
        <w:rPr>
          <w:spacing w:val="-5"/>
          <w:sz w:val="20"/>
        </w:rPr>
        <w:t>NAATI </w:t>
      </w:r>
      <w:r>
        <w:rPr>
          <w:sz w:val="20"/>
        </w:rPr>
        <w:t>accreditation and the Code of Ethics imposed on members of the Australian Sign Language </w:t>
      </w:r>
      <w:r>
        <w:rPr>
          <w:spacing w:val="-3"/>
          <w:sz w:val="20"/>
        </w:rPr>
        <w:t>Interpreters’ </w:t>
      </w:r>
      <w:r>
        <w:rPr>
          <w:sz w:val="20"/>
        </w:rPr>
        <w:t>Association (ASLIA), which ensure professional accountability and</w:t>
      </w:r>
      <w:r>
        <w:rPr>
          <w:spacing w:val="-6"/>
          <w:sz w:val="20"/>
        </w:rPr>
        <w:t> </w:t>
      </w:r>
      <w:r>
        <w:rPr>
          <w:sz w:val="20"/>
        </w:rPr>
        <w:t>confidence</w:t>
      </w:r>
      <w:r>
        <w:rPr>
          <w:spacing w:val="-5"/>
          <w:sz w:val="20"/>
        </w:rPr>
        <w:t> </w:t>
      </w:r>
      <w:r>
        <w:rPr>
          <w:sz w:val="20"/>
        </w:rPr>
        <w:t>in</w:t>
      </w:r>
      <w:r>
        <w:rPr>
          <w:spacing w:val="-5"/>
          <w:sz w:val="20"/>
        </w:rPr>
        <w:t> </w:t>
      </w:r>
      <w:r>
        <w:rPr>
          <w:sz w:val="20"/>
        </w:rPr>
        <w:t>the</w:t>
      </w:r>
      <w:r>
        <w:rPr>
          <w:spacing w:val="-6"/>
          <w:sz w:val="20"/>
        </w:rPr>
        <w:t> </w:t>
      </w:r>
      <w:r>
        <w:rPr>
          <w:sz w:val="20"/>
        </w:rPr>
        <w:t>accuracy</w:t>
      </w:r>
      <w:r>
        <w:rPr>
          <w:spacing w:val="-5"/>
          <w:sz w:val="20"/>
        </w:rPr>
        <w:t> </w:t>
      </w:r>
      <w:r>
        <w:rPr>
          <w:sz w:val="20"/>
        </w:rPr>
        <w:t>of</w:t>
      </w:r>
      <w:r>
        <w:rPr>
          <w:spacing w:val="-5"/>
          <w:sz w:val="20"/>
        </w:rPr>
        <w:t> </w:t>
      </w:r>
      <w:r>
        <w:rPr>
          <w:sz w:val="20"/>
        </w:rPr>
        <w:t>translation</w:t>
      </w:r>
      <w:r>
        <w:rPr>
          <w:spacing w:val="-5"/>
          <w:sz w:val="20"/>
        </w:rPr>
        <w:t> </w:t>
      </w:r>
      <w:r>
        <w:rPr>
          <w:spacing w:val="-3"/>
          <w:sz w:val="20"/>
        </w:rPr>
        <w:t>by</w:t>
      </w:r>
      <w:r>
        <w:rPr>
          <w:spacing w:val="-6"/>
          <w:sz w:val="20"/>
        </w:rPr>
        <w:t> </w:t>
      </w:r>
      <w:r>
        <w:rPr>
          <w:sz w:val="20"/>
        </w:rPr>
        <w:t>members’.</w:t>
      </w:r>
      <w:r>
        <w:rPr>
          <w:position w:val="7"/>
          <w:sz w:val="11"/>
        </w:rPr>
        <w:t>36</w:t>
      </w:r>
    </w:p>
    <w:p>
      <w:pPr>
        <w:pStyle w:val="ListParagraph"/>
        <w:numPr>
          <w:ilvl w:val="1"/>
          <w:numId w:val="12"/>
        </w:numPr>
        <w:tabs>
          <w:tab w:pos="1761" w:val="left" w:leader="none"/>
          <w:tab w:pos="1762" w:val="left" w:leader="none"/>
        </w:tabs>
        <w:spacing w:line="206" w:lineRule="auto" w:before="129" w:after="0"/>
        <w:ind w:left="1761" w:right="1357" w:hanging="794"/>
        <w:jc w:val="left"/>
        <w:rPr>
          <w:sz w:val="20"/>
        </w:rPr>
      </w:pPr>
      <w:r>
        <w:rPr>
          <w:sz w:val="20"/>
        </w:rPr>
        <w:t>The</w:t>
      </w:r>
      <w:r>
        <w:rPr>
          <w:spacing w:val="-9"/>
          <w:sz w:val="20"/>
        </w:rPr>
        <w:t> </w:t>
      </w:r>
      <w:r>
        <w:rPr>
          <w:sz w:val="20"/>
        </w:rPr>
        <w:t>same</w:t>
      </w:r>
      <w:r>
        <w:rPr>
          <w:spacing w:val="-9"/>
          <w:sz w:val="20"/>
        </w:rPr>
        <w:t> </w:t>
      </w:r>
      <w:r>
        <w:rPr>
          <w:sz w:val="20"/>
        </w:rPr>
        <w:t>issues</w:t>
      </w:r>
      <w:r>
        <w:rPr>
          <w:spacing w:val="-9"/>
          <w:sz w:val="20"/>
        </w:rPr>
        <w:t> </w:t>
      </w:r>
      <w:r>
        <w:rPr>
          <w:spacing w:val="-4"/>
          <w:sz w:val="20"/>
        </w:rPr>
        <w:t>were</w:t>
      </w:r>
      <w:r>
        <w:rPr>
          <w:spacing w:val="-9"/>
          <w:sz w:val="20"/>
        </w:rPr>
        <w:t> </w:t>
      </w:r>
      <w:r>
        <w:rPr>
          <w:sz w:val="20"/>
        </w:rPr>
        <w:t>raised</w:t>
      </w:r>
      <w:r>
        <w:rPr>
          <w:spacing w:val="-9"/>
          <w:sz w:val="20"/>
        </w:rPr>
        <w:t> </w:t>
      </w:r>
      <w:r>
        <w:rPr>
          <w:sz w:val="20"/>
        </w:rPr>
        <w:t>in</w:t>
      </w:r>
      <w:r>
        <w:rPr>
          <w:spacing w:val="-9"/>
          <w:sz w:val="20"/>
        </w:rPr>
        <w:t> </w:t>
      </w:r>
      <w:r>
        <w:rPr>
          <w:sz w:val="20"/>
        </w:rPr>
        <w:t>our</w:t>
      </w:r>
      <w:r>
        <w:rPr>
          <w:spacing w:val="-9"/>
          <w:sz w:val="20"/>
        </w:rPr>
        <w:t> </w:t>
      </w:r>
      <w:r>
        <w:rPr>
          <w:sz w:val="20"/>
        </w:rPr>
        <w:t>consultations.</w:t>
      </w:r>
      <w:r>
        <w:rPr>
          <w:spacing w:val="-9"/>
          <w:sz w:val="20"/>
        </w:rPr>
        <w:t> </w:t>
      </w:r>
      <w:r>
        <w:rPr>
          <w:sz w:val="20"/>
        </w:rPr>
        <w:t>Della</w:t>
      </w:r>
      <w:r>
        <w:rPr>
          <w:spacing w:val="-9"/>
          <w:sz w:val="20"/>
        </w:rPr>
        <w:t> </w:t>
      </w:r>
      <w:r>
        <w:rPr>
          <w:sz w:val="20"/>
        </w:rPr>
        <w:t>Goswell</w:t>
      </w:r>
      <w:r>
        <w:rPr>
          <w:spacing w:val="-9"/>
          <w:sz w:val="20"/>
        </w:rPr>
        <w:t> </w:t>
      </w:r>
      <w:r>
        <w:rPr>
          <w:spacing w:val="-3"/>
          <w:sz w:val="20"/>
        </w:rPr>
        <w:t>from</w:t>
      </w:r>
      <w:r>
        <w:rPr>
          <w:spacing w:val="-9"/>
          <w:sz w:val="20"/>
        </w:rPr>
        <w:t> </w:t>
      </w:r>
      <w:r>
        <w:rPr>
          <w:sz w:val="20"/>
        </w:rPr>
        <w:t>the</w:t>
      </w:r>
      <w:r>
        <w:rPr>
          <w:spacing w:val="-9"/>
          <w:sz w:val="20"/>
        </w:rPr>
        <w:t> </w:t>
      </w:r>
      <w:r>
        <w:rPr>
          <w:sz w:val="20"/>
        </w:rPr>
        <w:t>Department of</w:t>
      </w:r>
      <w:r>
        <w:rPr>
          <w:spacing w:val="-6"/>
          <w:sz w:val="20"/>
        </w:rPr>
        <w:t> </w:t>
      </w:r>
      <w:r>
        <w:rPr>
          <w:sz w:val="20"/>
        </w:rPr>
        <w:t>Linguistics</w:t>
      </w:r>
      <w:r>
        <w:rPr>
          <w:spacing w:val="-5"/>
          <w:sz w:val="20"/>
        </w:rPr>
        <w:t> </w:t>
      </w:r>
      <w:r>
        <w:rPr>
          <w:sz w:val="20"/>
        </w:rPr>
        <w:t>at</w:t>
      </w:r>
      <w:r>
        <w:rPr>
          <w:spacing w:val="-5"/>
          <w:sz w:val="20"/>
        </w:rPr>
        <w:t> </w:t>
      </w:r>
      <w:r>
        <w:rPr>
          <w:sz w:val="20"/>
        </w:rPr>
        <w:t>Macquarie</w:t>
      </w:r>
      <w:r>
        <w:rPr>
          <w:spacing w:val="-6"/>
          <w:sz w:val="20"/>
        </w:rPr>
        <w:t> </w:t>
      </w:r>
      <w:r>
        <w:rPr>
          <w:sz w:val="20"/>
        </w:rPr>
        <w:t>University</w:t>
      </w:r>
      <w:r>
        <w:rPr>
          <w:spacing w:val="-5"/>
          <w:sz w:val="20"/>
        </w:rPr>
        <w:t> </w:t>
      </w:r>
      <w:r>
        <w:rPr>
          <w:spacing w:val="-3"/>
          <w:sz w:val="20"/>
        </w:rPr>
        <w:t>told</w:t>
      </w:r>
      <w:r>
        <w:rPr>
          <w:spacing w:val="-5"/>
          <w:sz w:val="20"/>
        </w:rPr>
        <w:t> </w:t>
      </w:r>
      <w:r>
        <w:rPr>
          <w:sz w:val="20"/>
        </w:rPr>
        <w:t>the</w:t>
      </w:r>
      <w:r>
        <w:rPr>
          <w:spacing w:val="-6"/>
          <w:sz w:val="20"/>
        </w:rPr>
        <w:t> </w:t>
      </w:r>
      <w:r>
        <w:rPr>
          <w:sz w:val="20"/>
        </w:rPr>
        <w:t>Commission</w:t>
      </w:r>
      <w:r>
        <w:rPr>
          <w:spacing w:val="-5"/>
          <w:sz w:val="20"/>
        </w:rPr>
        <w:t> </w:t>
      </w:r>
      <w:r>
        <w:rPr>
          <w:sz w:val="20"/>
        </w:rPr>
        <w:t>that:</w:t>
      </w:r>
    </w:p>
    <w:p>
      <w:pPr>
        <w:spacing w:line="208" w:lineRule="auto" w:before="120"/>
        <w:ind w:left="2157" w:right="1265" w:firstLine="0"/>
        <w:jc w:val="left"/>
        <w:rPr>
          <w:sz w:val="11"/>
        </w:rPr>
      </w:pPr>
      <w:r>
        <w:rPr>
          <w:sz w:val="19"/>
        </w:rPr>
        <w:t>what interpreters do and how to interact with them (i.e. spoken language interpreters, let alone Auslan) is still not well understood.</w:t>
      </w:r>
      <w:r>
        <w:rPr>
          <w:position w:val="6"/>
          <w:sz w:val="11"/>
        </w:rPr>
        <w:t>37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4"/>
        </w:rPr>
      </w:pPr>
      <w:r>
        <w:rPr/>
        <w:pict>
          <v:line style="position:absolute;mso-position-horizontal-relative:page;mso-position-vertical-relative:paragraph;z-index:4664;mso-wrap-distance-left:0;mso-wrap-distance-right:0" from="79.370003pt,12.21586pt" to="515.905003pt,12.21586pt" stroked="true" strokeweight="1pt" strokecolor="#b6bdc8">
            <v:stroke dashstyle="solid"/>
            <w10:wrap type="topAndBottom"/>
          </v:line>
        </w:pict>
      </w:r>
    </w:p>
    <w:p>
      <w:pPr>
        <w:pStyle w:val="ListParagraph"/>
        <w:numPr>
          <w:ilvl w:val="0"/>
          <w:numId w:val="60"/>
        </w:numPr>
        <w:tabs>
          <w:tab w:pos="1761" w:val="left" w:leader="none"/>
          <w:tab w:pos="1762" w:val="left" w:leader="none"/>
        </w:tabs>
        <w:spacing w:line="213" w:lineRule="auto" w:before="107" w:after="0"/>
        <w:ind w:left="1761" w:right="1275" w:hanging="794"/>
        <w:jc w:val="left"/>
        <w:rPr>
          <w:sz w:val="13"/>
        </w:rPr>
      </w:pPr>
      <w:r>
        <w:rPr>
          <w:sz w:val="13"/>
        </w:rPr>
        <w:t>See generally </w:t>
      </w:r>
      <w:r>
        <w:rPr>
          <w:spacing w:val="2"/>
          <w:sz w:val="13"/>
        </w:rPr>
        <w:t>Sandra </w:t>
      </w:r>
      <w:r>
        <w:rPr>
          <w:sz w:val="13"/>
        </w:rPr>
        <w:t>Hale et </w:t>
      </w:r>
      <w:r>
        <w:rPr>
          <w:spacing w:val="2"/>
          <w:sz w:val="13"/>
        </w:rPr>
        <w:t>al, </w:t>
      </w:r>
      <w:r>
        <w:rPr>
          <w:i/>
          <w:sz w:val="13"/>
        </w:rPr>
        <w:t>Participation in the Administration of Justice: Deaf Citizens as Jurors </w:t>
      </w:r>
      <w:r>
        <w:rPr>
          <w:spacing w:val="2"/>
          <w:sz w:val="13"/>
        </w:rPr>
        <w:t>(Australian </w:t>
      </w:r>
      <w:r>
        <w:rPr>
          <w:sz w:val="13"/>
        </w:rPr>
        <w:t>Research Council Linkage Project No 120200261, 2016)</w:t>
      </w:r>
      <w:r>
        <w:rPr>
          <w:spacing w:val="1"/>
          <w:sz w:val="13"/>
        </w:rPr>
        <w:t> </w:t>
      </w:r>
      <w:r>
        <w:rPr>
          <w:sz w:val="13"/>
        </w:rPr>
        <w:t>19.</w:t>
      </w:r>
    </w:p>
    <w:p>
      <w:pPr>
        <w:pStyle w:val="ListParagraph"/>
        <w:numPr>
          <w:ilvl w:val="0"/>
          <w:numId w:val="60"/>
        </w:numPr>
        <w:tabs>
          <w:tab w:pos="1760" w:val="left" w:leader="none"/>
          <w:tab w:pos="1762" w:val="left" w:leader="none"/>
        </w:tabs>
        <w:spacing w:line="213" w:lineRule="auto" w:before="0" w:after="0"/>
        <w:ind w:left="1761" w:right="1274" w:hanging="794"/>
        <w:jc w:val="left"/>
        <w:rPr>
          <w:sz w:val="13"/>
        </w:rPr>
      </w:pPr>
      <w:r>
        <w:rPr>
          <w:sz w:val="13"/>
        </w:rPr>
        <w:t>David </w:t>
      </w:r>
      <w:r>
        <w:rPr>
          <w:spacing w:val="2"/>
          <w:sz w:val="13"/>
        </w:rPr>
        <w:t>Spencer </w:t>
      </w:r>
      <w:r>
        <w:rPr>
          <w:sz w:val="13"/>
        </w:rPr>
        <w:t>et </w:t>
      </w:r>
      <w:r>
        <w:rPr>
          <w:spacing w:val="2"/>
          <w:sz w:val="13"/>
        </w:rPr>
        <w:t>al, </w:t>
      </w:r>
      <w:r>
        <w:rPr>
          <w:sz w:val="13"/>
        </w:rPr>
        <w:t>‘Justice Is </w:t>
      </w:r>
      <w:r>
        <w:rPr>
          <w:spacing w:val="2"/>
          <w:sz w:val="13"/>
        </w:rPr>
        <w:t>Blind </w:t>
      </w:r>
      <w:r>
        <w:rPr>
          <w:sz w:val="13"/>
        </w:rPr>
        <w:t>as Long as It Isn’t Deaf: Excluding Deaf People from </w:t>
      </w:r>
      <w:r>
        <w:rPr>
          <w:spacing w:val="2"/>
          <w:sz w:val="13"/>
        </w:rPr>
        <w:t>Jury </w:t>
      </w:r>
      <w:r>
        <w:rPr>
          <w:sz w:val="13"/>
        </w:rPr>
        <w:t>Duty—an Australian Human Rights Breach’ (2017) </w:t>
      </w:r>
      <w:r>
        <w:rPr>
          <w:spacing w:val="2"/>
          <w:sz w:val="13"/>
        </w:rPr>
        <w:t>23(3) </w:t>
      </w:r>
      <w:r>
        <w:rPr>
          <w:i/>
          <w:sz w:val="13"/>
        </w:rPr>
        <w:t>Australian Journal of Human </w:t>
      </w:r>
      <w:r>
        <w:rPr>
          <w:i/>
          <w:spacing w:val="2"/>
          <w:sz w:val="13"/>
        </w:rPr>
        <w:t>Rights </w:t>
      </w:r>
      <w:r>
        <w:rPr>
          <w:sz w:val="13"/>
        </w:rPr>
        <w:t>332, </w:t>
      </w:r>
      <w:r>
        <w:rPr>
          <w:spacing w:val="3"/>
          <w:sz w:val="13"/>
        </w:rPr>
        <w:t>341.</w:t>
      </w:r>
    </w:p>
    <w:p>
      <w:pPr>
        <w:pStyle w:val="ListParagraph"/>
        <w:numPr>
          <w:ilvl w:val="0"/>
          <w:numId w:val="60"/>
        </w:numPr>
        <w:tabs>
          <w:tab w:pos="1761" w:val="left" w:leader="none"/>
          <w:tab w:pos="1762" w:val="left" w:leader="none"/>
        </w:tabs>
        <w:spacing w:line="213" w:lineRule="auto" w:before="0" w:after="0"/>
        <w:ind w:left="1761" w:right="1345" w:hanging="794"/>
        <w:jc w:val="left"/>
        <w:rPr>
          <w:sz w:val="13"/>
        </w:rPr>
      </w:pPr>
      <w:r>
        <w:rPr>
          <w:sz w:val="13"/>
        </w:rPr>
        <w:t>Australian Government, </w:t>
      </w:r>
      <w:r>
        <w:rPr>
          <w:i/>
          <w:sz w:val="13"/>
        </w:rPr>
        <w:t>Response of Australia to the Committee on the </w:t>
      </w:r>
      <w:r>
        <w:rPr>
          <w:i/>
          <w:spacing w:val="2"/>
          <w:sz w:val="13"/>
        </w:rPr>
        <w:t>Rights </w:t>
      </w:r>
      <w:r>
        <w:rPr>
          <w:i/>
          <w:sz w:val="13"/>
        </w:rPr>
        <w:t>of Persons with Disabilities in Communication No </w:t>
      </w:r>
      <w:r>
        <w:rPr>
          <w:i/>
          <w:sz w:val="13"/>
        </w:rPr>
        <w:t>35/2016 (JH v Australia) </w:t>
      </w:r>
      <w:r>
        <w:rPr>
          <w:sz w:val="13"/>
        </w:rPr>
        <w:t>(Human Rights </w:t>
      </w:r>
      <w:r>
        <w:rPr>
          <w:spacing w:val="2"/>
          <w:sz w:val="13"/>
        </w:rPr>
        <w:t>Communication, </w:t>
      </w:r>
      <w:r>
        <w:rPr>
          <w:sz w:val="13"/>
        </w:rPr>
        <w:t>11 February 2020) [12]; Australian Government, </w:t>
      </w:r>
      <w:r>
        <w:rPr>
          <w:i/>
          <w:sz w:val="13"/>
        </w:rPr>
        <w:t>Response of Australia to  </w:t>
      </w:r>
      <w:r>
        <w:rPr>
          <w:i/>
          <w:sz w:val="13"/>
        </w:rPr>
        <w:t>the Committee on the </w:t>
      </w:r>
      <w:r>
        <w:rPr>
          <w:i/>
          <w:spacing w:val="2"/>
          <w:sz w:val="13"/>
        </w:rPr>
        <w:t>Rights </w:t>
      </w:r>
      <w:r>
        <w:rPr>
          <w:i/>
          <w:sz w:val="13"/>
        </w:rPr>
        <w:t>of Persons with Disabilities in Communication No 11/2013 (GB v Australia) and 13/2013 (ML v Australia) </w:t>
      </w:r>
      <w:r>
        <w:rPr>
          <w:sz w:val="13"/>
        </w:rPr>
        <w:t>(Human Rights </w:t>
      </w:r>
      <w:r>
        <w:rPr>
          <w:spacing w:val="2"/>
          <w:sz w:val="13"/>
        </w:rPr>
        <w:t>Communication, </w:t>
      </w:r>
      <w:r>
        <w:rPr>
          <w:sz w:val="13"/>
        </w:rPr>
        <w:t>24 October 2016) [10].</w:t>
      </w:r>
    </w:p>
    <w:p>
      <w:pPr>
        <w:pStyle w:val="ListParagraph"/>
        <w:numPr>
          <w:ilvl w:val="0"/>
          <w:numId w:val="60"/>
        </w:numPr>
        <w:tabs>
          <w:tab w:pos="1760" w:val="left" w:leader="none"/>
          <w:tab w:pos="1762" w:val="left" w:leader="none"/>
        </w:tabs>
        <w:spacing w:line="213" w:lineRule="auto" w:before="0" w:after="0"/>
        <w:ind w:left="1761" w:right="1305" w:hanging="794"/>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60"/>
        </w:numPr>
        <w:tabs>
          <w:tab w:pos="1761" w:val="left" w:leader="none"/>
          <w:tab w:pos="1762" w:val="left" w:leader="none"/>
        </w:tabs>
        <w:spacing w:line="213" w:lineRule="auto" w:before="0" w:after="0"/>
        <w:ind w:left="1761" w:right="1942" w:hanging="794"/>
        <w:jc w:val="left"/>
        <w:rPr>
          <w:sz w:val="13"/>
        </w:rPr>
      </w:pPr>
      <w:r>
        <w:rPr>
          <w:sz w:val="13"/>
        </w:rPr>
        <w:t>Australian Institute of Interpreters and Translators (AUSIT), </w:t>
      </w:r>
      <w:r>
        <w:rPr>
          <w:i/>
          <w:sz w:val="13"/>
        </w:rPr>
        <w:t>Code of Ethics </w:t>
      </w:r>
      <w:r>
        <w:rPr>
          <w:sz w:val="13"/>
        </w:rPr>
        <w:t>(November 2012); Australian Sign </w:t>
      </w:r>
      <w:r>
        <w:rPr>
          <w:spacing w:val="2"/>
          <w:sz w:val="13"/>
        </w:rPr>
        <w:t>Language </w:t>
      </w:r>
      <w:r>
        <w:rPr>
          <w:sz w:val="13"/>
        </w:rPr>
        <w:t>Interpreters’ </w:t>
      </w:r>
      <w:r>
        <w:rPr>
          <w:spacing w:val="2"/>
          <w:sz w:val="13"/>
        </w:rPr>
        <w:t>Association (ASLIA), </w:t>
      </w:r>
      <w:r>
        <w:rPr>
          <w:i/>
          <w:sz w:val="13"/>
        </w:rPr>
        <w:t>Code of Ethics and </w:t>
      </w:r>
      <w:r>
        <w:rPr>
          <w:i/>
          <w:spacing w:val="2"/>
          <w:sz w:val="13"/>
        </w:rPr>
        <w:t>Guidelines </w:t>
      </w:r>
      <w:r>
        <w:rPr>
          <w:i/>
          <w:sz w:val="13"/>
        </w:rPr>
        <w:t>for Professional Conduct</w:t>
      </w:r>
      <w:r>
        <w:rPr>
          <w:i/>
          <w:spacing w:val="6"/>
          <w:sz w:val="13"/>
        </w:rPr>
        <w:t> </w:t>
      </w:r>
      <w:r>
        <w:rPr>
          <w:sz w:val="13"/>
        </w:rPr>
        <w:t>(2007).</w:t>
      </w:r>
    </w:p>
    <w:p>
      <w:pPr>
        <w:pStyle w:val="ListParagraph"/>
        <w:numPr>
          <w:ilvl w:val="0"/>
          <w:numId w:val="60"/>
        </w:numPr>
        <w:tabs>
          <w:tab w:pos="1760" w:val="left" w:leader="none"/>
          <w:tab w:pos="1762" w:val="left" w:leader="none"/>
        </w:tabs>
        <w:spacing w:line="213" w:lineRule="auto" w:before="0" w:after="0"/>
        <w:ind w:left="1761" w:right="1740" w:hanging="794"/>
        <w:jc w:val="left"/>
        <w:rPr>
          <w:sz w:val="13"/>
        </w:rPr>
      </w:pPr>
      <w:r>
        <w:rPr>
          <w:sz w:val="13"/>
        </w:rPr>
        <w:t>Consultations 13 (National Accreditation Authority for Translators and Interpreters (NAATI)), 18 </w:t>
      </w:r>
      <w:r>
        <w:rPr>
          <w:spacing w:val="2"/>
          <w:sz w:val="13"/>
        </w:rPr>
        <w:t>(Australian </w:t>
      </w:r>
      <w:r>
        <w:rPr>
          <w:sz w:val="13"/>
        </w:rPr>
        <w:t>Sign </w:t>
      </w:r>
      <w:r>
        <w:rPr>
          <w:spacing w:val="2"/>
          <w:sz w:val="13"/>
        </w:rPr>
        <w:t>Language </w:t>
      </w:r>
      <w:r>
        <w:rPr>
          <w:sz w:val="13"/>
        </w:rPr>
        <w:t>Interpreters’</w:t>
      </w:r>
      <w:r>
        <w:rPr>
          <w:spacing w:val="5"/>
          <w:sz w:val="13"/>
        </w:rPr>
        <w:t> </w:t>
      </w:r>
      <w:r>
        <w:rPr>
          <w:spacing w:val="2"/>
          <w:sz w:val="13"/>
        </w:rPr>
        <w:t>Association,</w:t>
      </w:r>
      <w:r>
        <w:rPr>
          <w:spacing w:val="6"/>
          <w:sz w:val="13"/>
        </w:rPr>
        <w:t> </w:t>
      </w:r>
      <w:r>
        <w:rPr>
          <w:sz w:val="13"/>
        </w:rPr>
        <w:t>Victoria</w:t>
      </w:r>
      <w:r>
        <w:rPr>
          <w:spacing w:val="6"/>
          <w:sz w:val="13"/>
        </w:rPr>
        <w:t> </w:t>
      </w:r>
      <w:r>
        <w:rPr>
          <w:sz w:val="13"/>
        </w:rPr>
        <w:t>and</w:t>
      </w:r>
      <w:r>
        <w:rPr>
          <w:spacing w:val="6"/>
          <w:sz w:val="13"/>
        </w:rPr>
        <w:t> </w:t>
      </w:r>
      <w:r>
        <w:rPr>
          <w:sz w:val="13"/>
        </w:rPr>
        <w:t>Tasmania</w:t>
      </w:r>
      <w:r>
        <w:rPr>
          <w:spacing w:val="6"/>
          <w:sz w:val="13"/>
        </w:rPr>
        <w:t> </w:t>
      </w:r>
      <w:r>
        <w:rPr>
          <w:spacing w:val="2"/>
          <w:sz w:val="13"/>
        </w:rPr>
        <w:t>(ASLIA)),</w:t>
      </w:r>
      <w:r>
        <w:rPr>
          <w:spacing w:val="6"/>
          <w:sz w:val="13"/>
        </w:rPr>
        <w:t> </w:t>
      </w:r>
      <w:r>
        <w:rPr>
          <w:sz w:val="13"/>
        </w:rPr>
        <w:t>19</w:t>
      </w:r>
      <w:r>
        <w:rPr>
          <w:spacing w:val="6"/>
          <w:sz w:val="13"/>
        </w:rPr>
        <w:t> </w:t>
      </w:r>
      <w:r>
        <w:rPr>
          <w:spacing w:val="2"/>
          <w:sz w:val="13"/>
        </w:rPr>
        <w:t>(Australian</w:t>
      </w:r>
      <w:r>
        <w:rPr>
          <w:spacing w:val="6"/>
          <w:sz w:val="13"/>
        </w:rPr>
        <w:t> </w:t>
      </w:r>
      <w:r>
        <w:rPr>
          <w:sz w:val="13"/>
        </w:rPr>
        <w:t>Institute</w:t>
      </w:r>
      <w:r>
        <w:rPr>
          <w:spacing w:val="5"/>
          <w:sz w:val="13"/>
        </w:rPr>
        <w:t> </w:t>
      </w:r>
      <w:r>
        <w:rPr>
          <w:sz w:val="13"/>
        </w:rPr>
        <w:t>of</w:t>
      </w:r>
      <w:r>
        <w:rPr>
          <w:spacing w:val="6"/>
          <w:sz w:val="13"/>
        </w:rPr>
        <w:t> </w:t>
      </w:r>
      <w:r>
        <w:rPr>
          <w:sz w:val="13"/>
        </w:rPr>
        <w:t>Interpreters</w:t>
      </w:r>
      <w:r>
        <w:rPr>
          <w:spacing w:val="6"/>
          <w:sz w:val="13"/>
        </w:rPr>
        <w:t> </w:t>
      </w:r>
      <w:r>
        <w:rPr>
          <w:sz w:val="13"/>
        </w:rPr>
        <w:t>and</w:t>
      </w:r>
      <w:r>
        <w:rPr>
          <w:spacing w:val="6"/>
          <w:sz w:val="13"/>
        </w:rPr>
        <w:t> </w:t>
      </w:r>
      <w:r>
        <w:rPr>
          <w:sz w:val="13"/>
        </w:rPr>
        <w:t>Translators</w:t>
      </w:r>
      <w:r>
        <w:rPr>
          <w:spacing w:val="6"/>
          <w:sz w:val="13"/>
        </w:rPr>
        <w:t> </w:t>
      </w:r>
      <w:r>
        <w:rPr>
          <w:sz w:val="13"/>
        </w:rPr>
        <w:t>(AUSIT)).</w:t>
      </w:r>
    </w:p>
    <w:p>
      <w:pPr>
        <w:pStyle w:val="ListParagraph"/>
        <w:numPr>
          <w:ilvl w:val="0"/>
          <w:numId w:val="60"/>
        </w:numPr>
        <w:tabs>
          <w:tab w:pos="1761" w:val="left" w:leader="none"/>
          <w:tab w:pos="1762" w:val="left" w:leader="none"/>
        </w:tabs>
        <w:spacing w:line="213" w:lineRule="auto" w:before="0" w:after="0"/>
        <w:ind w:left="1761" w:right="1274" w:hanging="794"/>
        <w:jc w:val="left"/>
        <w:rPr>
          <w:sz w:val="13"/>
        </w:rPr>
      </w:pPr>
      <w:r>
        <w:rPr/>
        <w:pict>
          <v:shape style="position:absolute;margin-left:548.936584pt;margin-top:27.39469pt;width:13.2pt;height:14.1pt;mso-position-horizontal-relative:page;mso-position-vertical-relative:paragraph;z-index:6736" type="#_x0000_t202" filled="false" stroked="false">
            <v:textbox inset="0,0,0,0">
              <w:txbxContent>
                <w:p>
                  <w:pPr>
                    <w:spacing w:line="282" w:lineRule="exact" w:before="0"/>
                    <w:ind w:left="0" w:right="0" w:firstLine="0"/>
                    <w:jc w:val="left"/>
                    <w:rPr>
                      <w:b/>
                      <w:sz w:val="24"/>
                    </w:rPr>
                  </w:pPr>
                  <w:r>
                    <w:rPr>
                      <w:b/>
                      <w:color w:val="37617A"/>
                      <w:spacing w:val="-3"/>
                      <w:sz w:val="24"/>
                    </w:rPr>
                    <w:t>73</w:t>
                  </w:r>
                </w:p>
              </w:txbxContent>
            </v:textbox>
            <w10:wrap type="none"/>
          </v:shape>
        </w:pict>
      </w:r>
      <w:r>
        <w:rPr>
          <w:sz w:val="13"/>
        </w:rPr>
        <w:t>David </w:t>
      </w:r>
      <w:r>
        <w:rPr>
          <w:spacing w:val="2"/>
          <w:sz w:val="13"/>
        </w:rPr>
        <w:t>Spencer </w:t>
      </w:r>
      <w:r>
        <w:rPr>
          <w:sz w:val="13"/>
        </w:rPr>
        <w:t>et </w:t>
      </w:r>
      <w:r>
        <w:rPr>
          <w:spacing w:val="2"/>
          <w:sz w:val="13"/>
        </w:rPr>
        <w:t>al, </w:t>
      </w:r>
      <w:r>
        <w:rPr>
          <w:sz w:val="13"/>
        </w:rPr>
        <w:t>‘Justice Is </w:t>
      </w:r>
      <w:r>
        <w:rPr>
          <w:spacing w:val="2"/>
          <w:sz w:val="13"/>
        </w:rPr>
        <w:t>Blind </w:t>
      </w:r>
      <w:r>
        <w:rPr>
          <w:sz w:val="13"/>
        </w:rPr>
        <w:t>as Long as It Isn’t Deaf: Excluding Deaf People from </w:t>
      </w:r>
      <w:r>
        <w:rPr>
          <w:spacing w:val="2"/>
          <w:sz w:val="13"/>
        </w:rPr>
        <w:t>Jury </w:t>
      </w:r>
      <w:r>
        <w:rPr>
          <w:sz w:val="13"/>
        </w:rPr>
        <w:t>Duty—an Australian Human Rights Breach’ (2017) </w:t>
      </w:r>
      <w:r>
        <w:rPr>
          <w:spacing w:val="2"/>
          <w:sz w:val="13"/>
        </w:rPr>
        <w:t>23(3) </w:t>
      </w:r>
      <w:r>
        <w:rPr>
          <w:i/>
          <w:sz w:val="13"/>
        </w:rPr>
        <w:t>Australian Journal of Human </w:t>
      </w:r>
      <w:r>
        <w:rPr>
          <w:i/>
          <w:spacing w:val="2"/>
          <w:sz w:val="13"/>
        </w:rPr>
        <w:t>Rights </w:t>
      </w:r>
      <w:r>
        <w:rPr>
          <w:sz w:val="13"/>
        </w:rPr>
        <w:t>332, </w:t>
      </w:r>
      <w:r>
        <w:rPr>
          <w:spacing w:val="2"/>
          <w:sz w:val="13"/>
        </w:rPr>
        <w:t>342. </w:t>
      </w:r>
      <w:r>
        <w:rPr>
          <w:sz w:val="13"/>
        </w:rPr>
        <w:t>These </w:t>
      </w:r>
      <w:r>
        <w:rPr>
          <w:spacing w:val="2"/>
          <w:sz w:val="13"/>
        </w:rPr>
        <w:t>observations </w:t>
      </w:r>
      <w:r>
        <w:rPr>
          <w:sz w:val="13"/>
        </w:rPr>
        <w:t>were based on post-mock-trial interviews  with those involved, as well as a large focus group ‘with </w:t>
      </w:r>
      <w:r>
        <w:rPr>
          <w:spacing w:val="2"/>
          <w:sz w:val="13"/>
        </w:rPr>
        <w:t>members </w:t>
      </w:r>
      <w:r>
        <w:rPr>
          <w:sz w:val="13"/>
        </w:rPr>
        <w:t>of the NSW Supreme </w:t>
      </w:r>
      <w:r>
        <w:rPr>
          <w:spacing w:val="2"/>
          <w:sz w:val="13"/>
        </w:rPr>
        <w:t>Court bench, </w:t>
      </w:r>
      <w:r>
        <w:rPr>
          <w:sz w:val="13"/>
        </w:rPr>
        <w:t>senior barristers and solicitors and </w:t>
      </w:r>
      <w:r>
        <w:rPr>
          <w:spacing w:val="2"/>
          <w:sz w:val="13"/>
        </w:rPr>
        <w:t>Department </w:t>
      </w:r>
      <w:r>
        <w:rPr>
          <w:sz w:val="13"/>
        </w:rPr>
        <w:t>of Justice representatives’.</w:t>
      </w:r>
    </w:p>
    <w:p>
      <w:pPr>
        <w:pStyle w:val="ListParagraph"/>
        <w:numPr>
          <w:ilvl w:val="0"/>
          <w:numId w:val="60"/>
        </w:numPr>
        <w:tabs>
          <w:tab w:pos="1760" w:val="left" w:leader="none"/>
          <w:tab w:pos="1762" w:val="left" w:leader="none"/>
        </w:tabs>
        <w:spacing w:line="162" w:lineRule="exact" w:before="0" w:after="0"/>
        <w:ind w:left="1761" w:right="0" w:hanging="794"/>
        <w:jc w:val="left"/>
        <w:rPr>
          <w:sz w:val="13"/>
        </w:rPr>
      </w:pPr>
      <w:r>
        <w:rPr>
          <w:sz w:val="13"/>
        </w:rPr>
        <w:t>Consultation 21 </w:t>
      </w:r>
      <w:r>
        <w:rPr>
          <w:spacing w:val="2"/>
          <w:sz w:val="13"/>
        </w:rPr>
        <w:t>(Della </w:t>
      </w:r>
      <w:r>
        <w:rPr>
          <w:sz w:val="13"/>
        </w:rPr>
        <w:t>Goswell, Lecturer, Convenor </w:t>
      </w:r>
      <w:r>
        <w:rPr>
          <w:spacing w:val="2"/>
          <w:sz w:val="13"/>
        </w:rPr>
        <w:t>Auslan-English </w:t>
      </w:r>
      <w:r>
        <w:rPr>
          <w:sz w:val="13"/>
        </w:rPr>
        <w:t>Interpreting Program, Macquarie University,</w:t>
      </w:r>
      <w:r>
        <w:rPr>
          <w:spacing w:val="13"/>
          <w:sz w:val="13"/>
        </w:rPr>
        <w:t> </w:t>
      </w:r>
      <w:r>
        <w:rPr>
          <w:sz w:val="13"/>
        </w:rPr>
        <w:t>NSW).</w:t>
      </w:r>
    </w:p>
    <w:p>
      <w:pPr>
        <w:spacing w:after="0" w:line="162" w:lineRule="exact"/>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481" w:hanging="794"/>
        <w:jc w:val="left"/>
        <w:rPr>
          <w:sz w:val="20"/>
        </w:rPr>
      </w:pPr>
      <w:r>
        <w:rPr>
          <w:sz w:val="20"/>
        </w:rPr>
        <w:t>The Australian Institute of Sign Language </w:t>
      </w:r>
      <w:r>
        <w:rPr>
          <w:spacing w:val="-3"/>
          <w:sz w:val="20"/>
        </w:rPr>
        <w:t>Interpreters </w:t>
      </w:r>
      <w:r>
        <w:rPr>
          <w:sz w:val="20"/>
        </w:rPr>
        <w:t>suggested that ‘the legal profession is the most difficult to </w:t>
      </w:r>
      <w:r>
        <w:rPr>
          <w:spacing w:val="-3"/>
          <w:sz w:val="20"/>
        </w:rPr>
        <w:t>work for’.</w:t>
      </w:r>
      <w:r>
        <w:rPr>
          <w:spacing w:val="-3"/>
          <w:position w:val="7"/>
          <w:sz w:val="11"/>
        </w:rPr>
        <w:t>38 </w:t>
      </w:r>
      <w:r>
        <w:rPr>
          <w:sz w:val="20"/>
        </w:rPr>
        <w:t>In </w:t>
      </w:r>
      <w:r>
        <w:rPr>
          <w:spacing w:val="-7"/>
          <w:sz w:val="20"/>
        </w:rPr>
        <w:t>2017, </w:t>
      </w:r>
      <w:r>
        <w:rPr>
          <w:sz w:val="20"/>
        </w:rPr>
        <w:t>the Judicial Council on </w:t>
      </w:r>
      <w:r>
        <w:rPr>
          <w:spacing w:val="-3"/>
          <w:sz w:val="20"/>
        </w:rPr>
        <w:t>Cultural </w:t>
      </w:r>
      <w:r>
        <w:rPr>
          <w:sz w:val="20"/>
        </w:rPr>
        <w:t>Diversity</w:t>
      </w:r>
      <w:r>
        <w:rPr>
          <w:spacing w:val="-8"/>
          <w:sz w:val="20"/>
        </w:rPr>
        <w:t> </w:t>
      </w:r>
      <w:r>
        <w:rPr>
          <w:sz w:val="20"/>
        </w:rPr>
        <w:t>published</w:t>
      </w:r>
      <w:r>
        <w:rPr>
          <w:spacing w:val="-8"/>
          <w:sz w:val="20"/>
        </w:rPr>
        <w:t> </w:t>
      </w:r>
      <w:r>
        <w:rPr>
          <w:i/>
          <w:sz w:val="20"/>
        </w:rPr>
        <w:t>Recommended</w:t>
      </w:r>
      <w:r>
        <w:rPr>
          <w:i/>
          <w:spacing w:val="-7"/>
          <w:sz w:val="20"/>
        </w:rPr>
        <w:t> </w:t>
      </w:r>
      <w:r>
        <w:rPr>
          <w:i/>
          <w:sz w:val="20"/>
        </w:rPr>
        <w:t>National</w:t>
      </w:r>
      <w:r>
        <w:rPr>
          <w:i/>
          <w:spacing w:val="-8"/>
          <w:sz w:val="20"/>
        </w:rPr>
        <w:t> </w:t>
      </w:r>
      <w:r>
        <w:rPr>
          <w:i/>
          <w:spacing w:val="-3"/>
          <w:sz w:val="20"/>
        </w:rPr>
        <w:t>Standards</w:t>
      </w:r>
      <w:r>
        <w:rPr>
          <w:i/>
          <w:spacing w:val="-7"/>
          <w:sz w:val="20"/>
        </w:rPr>
        <w:t> </w:t>
      </w:r>
      <w:r>
        <w:rPr>
          <w:i/>
          <w:spacing w:val="-3"/>
          <w:sz w:val="20"/>
        </w:rPr>
        <w:t>for</w:t>
      </w:r>
      <w:r>
        <w:rPr>
          <w:i/>
          <w:spacing w:val="-8"/>
          <w:sz w:val="20"/>
        </w:rPr>
        <w:t> </w:t>
      </w:r>
      <w:r>
        <w:rPr>
          <w:i/>
          <w:spacing w:val="-3"/>
          <w:sz w:val="20"/>
        </w:rPr>
        <w:t>Working</w:t>
      </w:r>
      <w:r>
        <w:rPr>
          <w:i/>
          <w:spacing w:val="-8"/>
          <w:sz w:val="20"/>
        </w:rPr>
        <w:t> </w:t>
      </w:r>
      <w:r>
        <w:rPr>
          <w:i/>
          <w:spacing w:val="-3"/>
          <w:sz w:val="20"/>
        </w:rPr>
        <w:t>with</w:t>
      </w:r>
      <w:r>
        <w:rPr>
          <w:i/>
          <w:spacing w:val="-7"/>
          <w:sz w:val="20"/>
        </w:rPr>
        <w:t> </w:t>
      </w:r>
      <w:r>
        <w:rPr>
          <w:i/>
          <w:spacing w:val="-3"/>
          <w:sz w:val="20"/>
        </w:rPr>
        <w:t>Interpreters</w:t>
      </w:r>
      <w:r>
        <w:rPr>
          <w:i/>
          <w:spacing w:val="-8"/>
          <w:sz w:val="20"/>
        </w:rPr>
        <w:t> </w:t>
      </w:r>
      <w:r>
        <w:rPr>
          <w:i/>
          <w:sz w:val="20"/>
        </w:rPr>
        <w:t>in </w:t>
      </w:r>
      <w:r>
        <w:rPr>
          <w:i/>
          <w:sz w:val="20"/>
        </w:rPr>
        <w:t>Courts and </w:t>
      </w:r>
      <w:r>
        <w:rPr>
          <w:i/>
          <w:spacing w:val="-3"/>
          <w:sz w:val="20"/>
        </w:rPr>
        <w:t>Tribunals </w:t>
      </w:r>
      <w:r>
        <w:rPr>
          <w:sz w:val="20"/>
        </w:rPr>
        <w:t>(RNS) which extend to Auslan interpreters.</w:t>
      </w:r>
      <w:r>
        <w:rPr>
          <w:position w:val="7"/>
          <w:sz w:val="11"/>
        </w:rPr>
        <w:t>39 </w:t>
      </w:r>
      <w:r>
        <w:rPr>
          <w:sz w:val="20"/>
        </w:rPr>
        <w:t>The RNS </w:t>
      </w:r>
      <w:r>
        <w:rPr>
          <w:spacing w:val="-3"/>
          <w:sz w:val="20"/>
        </w:rPr>
        <w:t>promote </w:t>
      </w:r>
      <w:r>
        <w:rPr>
          <w:sz w:val="20"/>
        </w:rPr>
        <w:t>a</w:t>
      </w:r>
      <w:r>
        <w:rPr>
          <w:spacing w:val="-11"/>
          <w:sz w:val="20"/>
        </w:rPr>
        <w:t> </w:t>
      </w:r>
      <w:r>
        <w:rPr>
          <w:sz w:val="20"/>
        </w:rPr>
        <w:t>better</w:t>
      </w:r>
      <w:r>
        <w:rPr>
          <w:spacing w:val="-11"/>
          <w:sz w:val="20"/>
        </w:rPr>
        <w:t> </w:t>
      </w:r>
      <w:r>
        <w:rPr>
          <w:sz w:val="20"/>
        </w:rPr>
        <w:t>working</w:t>
      </w:r>
      <w:r>
        <w:rPr>
          <w:spacing w:val="-11"/>
          <w:sz w:val="20"/>
        </w:rPr>
        <w:t> </w:t>
      </w:r>
      <w:r>
        <w:rPr>
          <w:sz w:val="20"/>
        </w:rPr>
        <w:t>relationship</w:t>
      </w:r>
      <w:r>
        <w:rPr>
          <w:spacing w:val="-11"/>
          <w:sz w:val="20"/>
        </w:rPr>
        <w:t> </w:t>
      </w:r>
      <w:r>
        <w:rPr>
          <w:sz w:val="20"/>
        </w:rPr>
        <w:t>between</w:t>
      </w:r>
      <w:r>
        <w:rPr>
          <w:spacing w:val="-10"/>
          <w:sz w:val="20"/>
        </w:rPr>
        <w:t> </w:t>
      </w:r>
      <w:r>
        <w:rPr>
          <w:sz w:val="20"/>
        </w:rPr>
        <w:t>courts,</w:t>
      </w:r>
      <w:r>
        <w:rPr>
          <w:spacing w:val="-11"/>
          <w:sz w:val="20"/>
        </w:rPr>
        <w:t> </w:t>
      </w:r>
      <w:r>
        <w:rPr>
          <w:sz w:val="20"/>
        </w:rPr>
        <w:t>judges,</w:t>
      </w:r>
      <w:r>
        <w:rPr>
          <w:spacing w:val="-11"/>
          <w:sz w:val="20"/>
        </w:rPr>
        <w:t> </w:t>
      </w:r>
      <w:r>
        <w:rPr>
          <w:sz w:val="20"/>
        </w:rPr>
        <w:t>the</w:t>
      </w:r>
      <w:r>
        <w:rPr>
          <w:spacing w:val="-11"/>
          <w:sz w:val="20"/>
        </w:rPr>
        <w:t> </w:t>
      </w:r>
      <w:r>
        <w:rPr>
          <w:sz w:val="20"/>
        </w:rPr>
        <w:t>legal</w:t>
      </w:r>
      <w:r>
        <w:rPr>
          <w:spacing w:val="-10"/>
          <w:sz w:val="20"/>
        </w:rPr>
        <w:t> </w:t>
      </w:r>
      <w:r>
        <w:rPr>
          <w:sz w:val="20"/>
        </w:rPr>
        <w:t>profession</w:t>
      </w:r>
      <w:r>
        <w:rPr>
          <w:spacing w:val="-11"/>
          <w:sz w:val="20"/>
        </w:rPr>
        <w:t> </w:t>
      </w:r>
      <w:r>
        <w:rPr>
          <w:sz w:val="20"/>
        </w:rPr>
        <w:t>and</w:t>
      </w:r>
      <w:r>
        <w:rPr>
          <w:spacing w:val="-11"/>
          <w:sz w:val="20"/>
        </w:rPr>
        <w:t> </w:t>
      </w:r>
      <w:r>
        <w:rPr>
          <w:sz w:val="20"/>
        </w:rPr>
        <w:t>the</w:t>
      </w:r>
    </w:p>
    <w:p>
      <w:pPr>
        <w:pStyle w:val="BodyText"/>
        <w:spacing w:line="206" w:lineRule="auto" w:before="7"/>
        <w:ind w:left="1761" w:right="1110"/>
        <w:rPr>
          <w:sz w:val="11"/>
        </w:rPr>
      </w:pPr>
      <w:r>
        <w:rPr>
          <w:spacing w:val="-3"/>
        </w:rPr>
        <w:t>interpreting </w:t>
      </w:r>
      <w:r>
        <w:rPr/>
        <w:t>profession. While the RNS </w:t>
      </w:r>
      <w:r>
        <w:rPr>
          <w:spacing w:val="-3"/>
        </w:rPr>
        <w:t>are </w:t>
      </w:r>
      <w:r>
        <w:rPr/>
        <w:t>not mandated and </w:t>
      </w:r>
      <w:r>
        <w:rPr>
          <w:spacing w:val="-3"/>
        </w:rPr>
        <w:t>are therefore </w:t>
      </w:r>
      <w:r>
        <w:rPr/>
        <w:t>not </w:t>
      </w:r>
      <w:r>
        <w:rPr>
          <w:spacing w:val="-3"/>
        </w:rPr>
        <w:t>required </w:t>
      </w:r>
      <w:r>
        <w:rPr/>
        <w:t>to be </w:t>
      </w:r>
      <w:r>
        <w:rPr>
          <w:spacing w:val="-3"/>
        </w:rPr>
        <w:t>followed </w:t>
      </w:r>
      <w:r>
        <w:rPr/>
        <w:t>in the courts, they </w:t>
      </w:r>
      <w:r>
        <w:rPr>
          <w:spacing w:val="-3"/>
        </w:rPr>
        <w:t>provide valuable </w:t>
      </w:r>
      <w:r>
        <w:rPr/>
        <w:t>guidance and </w:t>
      </w:r>
      <w:r>
        <w:rPr>
          <w:spacing w:val="-3"/>
        </w:rPr>
        <w:t>examples </w:t>
      </w:r>
      <w:r>
        <w:rPr/>
        <w:t>of best practice. A second edition was published in 2022.</w:t>
      </w:r>
      <w:r>
        <w:rPr>
          <w:position w:val="7"/>
          <w:sz w:val="11"/>
        </w:rPr>
        <w:t>40</w:t>
      </w:r>
    </w:p>
    <w:p>
      <w:pPr>
        <w:pStyle w:val="ListParagraph"/>
        <w:numPr>
          <w:ilvl w:val="1"/>
          <w:numId w:val="12"/>
        </w:numPr>
        <w:tabs>
          <w:tab w:pos="1761" w:val="left" w:leader="none"/>
          <w:tab w:pos="1762" w:val="left" w:leader="none"/>
        </w:tabs>
        <w:spacing w:line="206" w:lineRule="auto" w:before="123" w:after="0"/>
        <w:ind w:left="1761" w:right="1321" w:hanging="794"/>
        <w:jc w:val="left"/>
        <w:rPr>
          <w:sz w:val="11"/>
        </w:rPr>
      </w:pPr>
      <w:r>
        <w:rPr>
          <w:sz w:val="20"/>
        </w:rPr>
        <w:t>There</w:t>
      </w:r>
      <w:r>
        <w:rPr>
          <w:spacing w:val="-10"/>
          <w:sz w:val="20"/>
        </w:rPr>
        <w:t> </w:t>
      </w:r>
      <w:r>
        <w:rPr>
          <w:spacing w:val="-3"/>
          <w:sz w:val="20"/>
        </w:rPr>
        <w:t>are</w:t>
      </w:r>
      <w:r>
        <w:rPr>
          <w:spacing w:val="-9"/>
          <w:sz w:val="20"/>
        </w:rPr>
        <w:t> </w:t>
      </w:r>
      <w:r>
        <w:rPr>
          <w:sz w:val="20"/>
        </w:rPr>
        <w:t>concerns</w:t>
      </w:r>
      <w:r>
        <w:rPr>
          <w:spacing w:val="-10"/>
          <w:sz w:val="20"/>
        </w:rPr>
        <w:t> </w:t>
      </w:r>
      <w:r>
        <w:rPr>
          <w:sz w:val="20"/>
        </w:rPr>
        <w:t>that</w:t>
      </w:r>
      <w:r>
        <w:rPr>
          <w:spacing w:val="-9"/>
          <w:sz w:val="20"/>
        </w:rPr>
        <w:t> </w:t>
      </w:r>
      <w:r>
        <w:rPr>
          <w:sz w:val="20"/>
        </w:rPr>
        <w:t>best</w:t>
      </w:r>
      <w:r>
        <w:rPr>
          <w:spacing w:val="-10"/>
          <w:sz w:val="20"/>
        </w:rPr>
        <w:t> </w:t>
      </w:r>
      <w:r>
        <w:rPr>
          <w:sz w:val="20"/>
        </w:rPr>
        <w:t>practice</w:t>
      </w:r>
      <w:r>
        <w:rPr>
          <w:spacing w:val="-9"/>
          <w:sz w:val="20"/>
        </w:rPr>
        <w:t> </w:t>
      </w:r>
      <w:r>
        <w:rPr>
          <w:spacing w:val="-3"/>
          <w:sz w:val="20"/>
        </w:rPr>
        <w:t>may</w:t>
      </w:r>
      <w:r>
        <w:rPr>
          <w:spacing w:val="-10"/>
          <w:sz w:val="20"/>
        </w:rPr>
        <w:t> </w:t>
      </w:r>
      <w:r>
        <w:rPr>
          <w:sz w:val="20"/>
        </w:rPr>
        <w:t>not</w:t>
      </w:r>
      <w:r>
        <w:rPr>
          <w:spacing w:val="-9"/>
          <w:sz w:val="20"/>
        </w:rPr>
        <w:t> </w:t>
      </w:r>
      <w:r>
        <w:rPr>
          <w:sz w:val="20"/>
        </w:rPr>
        <w:t>be</w:t>
      </w:r>
      <w:r>
        <w:rPr>
          <w:spacing w:val="-10"/>
          <w:sz w:val="20"/>
        </w:rPr>
        <w:t> </w:t>
      </w:r>
      <w:r>
        <w:rPr>
          <w:sz w:val="20"/>
        </w:rPr>
        <w:t>occurring</w:t>
      </w:r>
      <w:r>
        <w:rPr>
          <w:spacing w:val="-9"/>
          <w:sz w:val="20"/>
        </w:rPr>
        <w:t> </w:t>
      </w:r>
      <w:r>
        <w:rPr>
          <w:sz w:val="20"/>
        </w:rPr>
        <w:t>because</w:t>
      </w:r>
      <w:r>
        <w:rPr>
          <w:spacing w:val="-10"/>
          <w:sz w:val="20"/>
        </w:rPr>
        <w:t> </w:t>
      </w:r>
      <w:r>
        <w:rPr>
          <w:sz w:val="20"/>
        </w:rPr>
        <w:t>the</w:t>
      </w:r>
      <w:r>
        <w:rPr>
          <w:spacing w:val="-9"/>
          <w:sz w:val="20"/>
        </w:rPr>
        <w:t> </w:t>
      </w:r>
      <w:r>
        <w:rPr>
          <w:sz w:val="20"/>
        </w:rPr>
        <w:t>RNS</w:t>
      </w:r>
      <w:r>
        <w:rPr>
          <w:spacing w:val="-10"/>
          <w:sz w:val="20"/>
        </w:rPr>
        <w:t> </w:t>
      </w:r>
      <w:r>
        <w:rPr>
          <w:spacing w:val="-3"/>
          <w:sz w:val="20"/>
        </w:rPr>
        <w:t>may</w:t>
      </w:r>
      <w:r>
        <w:rPr>
          <w:spacing w:val="-9"/>
          <w:sz w:val="20"/>
        </w:rPr>
        <w:t> </w:t>
      </w:r>
      <w:r>
        <w:rPr>
          <w:sz w:val="20"/>
        </w:rPr>
        <w:t>not be</w:t>
      </w:r>
      <w:r>
        <w:rPr>
          <w:spacing w:val="-12"/>
          <w:sz w:val="20"/>
        </w:rPr>
        <w:t> </w:t>
      </w:r>
      <w:r>
        <w:rPr>
          <w:sz w:val="20"/>
        </w:rPr>
        <w:t>well</w:t>
      </w:r>
      <w:r>
        <w:rPr>
          <w:spacing w:val="-11"/>
          <w:sz w:val="20"/>
        </w:rPr>
        <w:t> </w:t>
      </w:r>
      <w:r>
        <w:rPr>
          <w:sz w:val="20"/>
        </w:rPr>
        <w:t>known</w:t>
      </w:r>
      <w:r>
        <w:rPr>
          <w:spacing w:val="-11"/>
          <w:sz w:val="20"/>
        </w:rPr>
        <w:t> </w:t>
      </w:r>
      <w:r>
        <w:rPr>
          <w:sz w:val="20"/>
        </w:rPr>
        <w:t>among</w:t>
      </w:r>
      <w:r>
        <w:rPr>
          <w:spacing w:val="-11"/>
          <w:sz w:val="20"/>
        </w:rPr>
        <w:t> </w:t>
      </w:r>
      <w:r>
        <w:rPr>
          <w:sz w:val="20"/>
        </w:rPr>
        <w:t>lawyers</w:t>
      </w:r>
      <w:r>
        <w:rPr>
          <w:spacing w:val="-11"/>
          <w:sz w:val="20"/>
        </w:rPr>
        <w:t> </w:t>
      </w:r>
      <w:r>
        <w:rPr>
          <w:sz w:val="20"/>
        </w:rPr>
        <w:t>and</w:t>
      </w:r>
      <w:r>
        <w:rPr>
          <w:spacing w:val="-11"/>
          <w:sz w:val="20"/>
        </w:rPr>
        <w:t> </w:t>
      </w:r>
      <w:r>
        <w:rPr>
          <w:sz w:val="20"/>
        </w:rPr>
        <w:t>judicial</w:t>
      </w:r>
      <w:r>
        <w:rPr>
          <w:spacing w:val="-11"/>
          <w:sz w:val="20"/>
        </w:rPr>
        <w:t> </w:t>
      </w:r>
      <w:r>
        <w:rPr>
          <w:sz w:val="20"/>
        </w:rPr>
        <w:t>officers.</w:t>
      </w:r>
      <w:r>
        <w:rPr>
          <w:position w:val="7"/>
          <w:sz w:val="11"/>
        </w:rPr>
        <w:t>41</w:t>
      </w:r>
      <w:r>
        <w:rPr>
          <w:spacing w:val="14"/>
          <w:position w:val="7"/>
          <w:sz w:val="11"/>
        </w:rPr>
        <w:t> </w:t>
      </w:r>
      <w:r>
        <w:rPr>
          <w:sz w:val="20"/>
        </w:rPr>
        <w:t>A</w:t>
      </w:r>
      <w:r>
        <w:rPr>
          <w:spacing w:val="-11"/>
          <w:sz w:val="20"/>
        </w:rPr>
        <w:t> </w:t>
      </w:r>
      <w:r>
        <w:rPr>
          <w:sz w:val="20"/>
        </w:rPr>
        <w:t>University</w:t>
      </w:r>
      <w:r>
        <w:rPr>
          <w:spacing w:val="-11"/>
          <w:sz w:val="20"/>
        </w:rPr>
        <w:t> </w:t>
      </w:r>
      <w:r>
        <w:rPr>
          <w:sz w:val="20"/>
        </w:rPr>
        <w:t>of</w:t>
      </w:r>
      <w:r>
        <w:rPr>
          <w:spacing w:val="-12"/>
          <w:sz w:val="20"/>
        </w:rPr>
        <w:t> </w:t>
      </w:r>
      <w:r>
        <w:rPr>
          <w:sz w:val="20"/>
        </w:rPr>
        <w:t>New</w:t>
      </w:r>
      <w:r>
        <w:rPr>
          <w:spacing w:val="-11"/>
          <w:sz w:val="20"/>
        </w:rPr>
        <w:t> </w:t>
      </w:r>
      <w:r>
        <w:rPr>
          <w:sz w:val="20"/>
        </w:rPr>
        <w:t>South</w:t>
      </w:r>
      <w:r>
        <w:rPr>
          <w:spacing w:val="-11"/>
          <w:sz w:val="20"/>
        </w:rPr>
        <w:t> </w:t>
      </w:r>
      <w:r>
        <w:rPr>
          <w:spacing w:val="-4"/>
          <w:sz w:val="20"/>
        </w:rPr>
        <w:t>Wales </w:t>
      </w:r>
      <w:r>
        <w:rPr>
          <w:sz w:val="20"/>
        </w:rPr>
        <w:t>study is </w:t>
      </w:r>
      <w:r>
        <w:rPr>
          <w:spacing w:val="-3"/>
          <w:sz w:val="20"/>
        </w:rPr>
        <w:t>currently </w:t>
      </w:r>
      <w:r>
        <w:rPr>
          <w:sz w:val="20"/>
        </w:rPr>
        <w:t>considering the </w:t>
      </w:r>
      <w:r>
        <w:rPr>
          <w:spacing w:val="-2"/>
          <w:sz w:val="20"/>
        </w:rPr>
        <w:t>uptake </w:t>
      </w:r>
      <w:r>
        <w:rPr>
          <w:sz w:val="20"/>
        </w:rPr>
        <w:t>of the RNS </w:t>
      </w:r>
      <w:r>
        <w:rPr>
          <w:spacing w:val="-3"/>
          <w:sz w:val="20"/>
        </w:rPr>
        <w:t>across </w:t>
      </w:r>
      <w:r>
        <w:rPr>
          <w:sz w:val="20"/>
        </w:rPr>
        <w:t>Australian courts and tribunals, the possible impact of non-adherence to RNS on </w:t>
      </w:r>
      <w:r>
        <w:rPr>
          <w:spacing w:val="-3"/>
          <w:sz w:val="20"/>
        </w:rPr>
        <w:t>interpreted </w:t>
      </w:r>
      <w:r>
        <w:rPr>
          <w:sz w:val="20"/>
        </w:rPr>
        <w:t>proceedings and </w:t>
      </w:r>
      <w:r>
        <w:rPr>
          <w:spacing w:val="-4"/>
          <w:sz w:val="20"/>
        </w:rPr>
        <w:t>ways </w:t>
      </w:r>
      <w:r>
        <w:rPr>
          <w:sz w:val="20"/>
        </w:rPr>
        <w:t>to </w:t>
      </w:r>
      <w:r>
        <w:rPr>
          <w:spacing w:val="-4"/>
          <w:sz w:val="20"/>
        </w:rPr>
        <w:t>improve</w:t>
      </w:r>
      <w:r>
        <w:rPr>
          <w:spacing w:val="-12"/>
          <w:sz w:val="20"/>
        </w:rPr>
        <w:t> </w:t>
      </w:r>
      <w:r>
        <w:rPr>
          <w:sz w:val="20"/>
        </w:rPr>
        <w:t>uptake.</w:t>
      </w:r>
      <w:r>
        <w:rPr>
          <w:position w:val="7"/>
          <w:sz w:val="11"/>
        </w:rPr>
        <w:t>42</w:t>
      </w:r>
    </w:p>
    <w:p>
      <w:pPr>
        <w:pStyle w:val="ListParagraph"/>
        <w:numPr>
          <w:ilvl w:val="1"/>
          <w:numId w:val="12"/>
        </w:numPr>
        <w:tabs>
          <w:tab w:pos="1761" w:val="left" w:leader="none"/>
          <w:tab w:pos="1762" w:val="left" w:leader="none"/>
        </w:tabs>
        <w:spacing w:line="206" w:lineRule="auto" w:before="127" w:after="0"/>
        <w:ind w:left="1761" w:right="2031" w:hanging="794"/>
        <w:jc w:val="left"/>
        <w:rPr>
          <w:sz w:val="20"/>
        </w:rPr>
      </w:pPr>
      <w:r>
        <w:rPr>
          <w:sz w:val="20"/>
        </w:rPr>
        <w:t>Spencer</w:t>
      </w:r>
      <w:r>
        <w:rPr>
          <w:spacing w:val="-14"/>
          <w:sz w:val="20"/>
        </w:rPr>
        <w:t> </w:t>
      </w:r>
      <w:r>
        <w:rPr>
          <w:sz w:val="20"/>
        </w:rPr>
        <w:t>and</w:t>
      </w:r>
      <w:r>
        <w:rPr>
          <w:spacing w:val="-13"/>
          <w:sz w:val="20"/>
        </w:rPr>
        <w:t> </w:t>
      </w:r>
      <w:r>
        <w:rPr>
          <w:sz w:val="20"/>
        </w:rPr>
        <w:t>colleagues</w:t>
      </w:r>
      <w:r>
        <w:rPr>
          <w:spacing w:val="-14"/>
          <w:sz w:val="20"/>
        </w:rPr>
        <w:t> </w:t>
      </w:r>
      <w:r>
        <w:rPr>
          <w:sz w:val="20"/>
        </w:rPr>
        <w:t>identify</w:t>
      </w:r>
      <w:r>
        <w:rPr>
          <w:spacing w:val="-13"/>
          <w:sz w:val="20"/>
        </w:rPr>
        <w:t> </w:t>
      </w:r>
      <w:r>
        <w:rPr>
          <w:sz w:val="20"/>
        </w:rPr>
        <w:t>three</w:t>
      </w:r>
      <w:r>
        <w:rPr>
          <w:spacing w:val="-14"/>
          <w:sz w:val="20"/>
        </w:rPr>
        <w:t> </w:t>
      </w:r>
      <w:r>
        <w:rPr>
          <w:sz w:val="20"/>
        </w:rPr>
        <w:t>further</w:t>
      </w:r>
      <w:r>
        <w:rPr>
          <w:spacing w:val="-13"/>
          <w:sz w:val="20"/>
        </w:rPr>
        <w:t> </w:t>
      </w:r>
      <w:r>
        <w:rPr>
          <w:sz w:val="20"/>
        </w:rPr>
        <w:t>substantive</w:t>
      </w:r>
      <w:r>
        <w:rPr>
          <w:spacing w:val="-14"/>
          <w:sz w:val="20"/>
        </w:rPr>
        <w:t> </w:t>
      </w:r>
      <w:r>
        <w:rPr>
          <w:sz w:val="20"/>
        </w:rPr>
        <w:t>concerns</w:t>
      </w:r>
      <w:r>
        <w:rPr>
          <w:spacing w:val="-13"/>
          <w:sz w:val="20"/>
        </w:rPr>
        <w:t> </w:t>
      </w:r>
      <w:r>
        <w:rPr>
          <w:spacing w:val="-3"/>
          <w:sz w:val="20"/>
        </w:rPr>
        <w:t>from</w:t>
      </w:r>
      <w:r>
        <w:rPr>
          <w:spacing w:val="-14"/>
          <w:sz w:val="20"/>
        </w:rPr>
        <w:t> </w:t>
      </w:r>
      <w:r>
        <w:rPr>
          <w:sz w:val="20"/>
        </w:rPr>
        <w:t>legal professionals regarding Auslan</w:t>
      </w:r>
      <w:r>
        <w:rPr>
          <w:spacing w:val="-14"/>
          <w:sz w:val="20"/>
        </w:rPr>
        <w:t> </w:t>
      </w:r>
      <w:r>
        <w:rPr>
          <w:spacing w:val="-3"/>
          <w:sz w:val="20"/>
        </w:rPr>
        <w:t>interpreting:</w:t>
      </w:r>
    </w:p>
    <w:p>
      <w:pPr>
        <w:pStyle w:val="ListParagraph"/>
        <w:numPr>
          <w:ilvl w:val="0"/>
          <w:numId w:val="61"/>
        </w:numPr>
        <w:tabs>
          <w:tab w:pos="2157" w:val="left" w:leader="none"/>
          <w:tab w:pos="2158" w:val="left" w:leader="none"/>
        </w:tabs>
        <w:spacing w:line="240" w:lineRule="auto" w:before="90" w:after="0"/>
        <w:ind w:left="2157" w:right="0" w:hanging="396"/>
        <w:jc w:val="left"/>
        <w:rPr>
          <w:sz w:val="20"/>
        </w:rPr>
      </w:pPr>
      <w:r>
        <w:rPr>
          <w:sz w:val="20"/>
        </w:rPr>
        <w:t>Whether Auslan can </w:t>
      </w:r>
      <w:r>
        <w:rPr>
          <w:spacing w:val="-3"/>
          <w:sz w:val="20"/>
        </w:rPr>
        <w:t>convey </w:t>
      </w:r>
      <w:r>
        <w:rPr>
          <w:sz w:val="20"/>
        </w:rPr>
        <w:t>the non-verbal elements of oral</w:t>
      </w:r>
      <w:r>
        <w:rPr>
          <w:spacing w:val="-21"/>
          <w:sz w:val="20"/>
        </w:rPr>
        <w:t> </w:t>
      </w:r>
      <w:r>
        <w:rPr>
          <w:sz w:val="20"/>
        </w:rPr>
        <w:t>evidence</w:t>
      </w:r>
    </w:p>
    <w:p>
      <w:pPr>
        <w:pStyle w:val="BodyText"/>
        <w:spacing w:line="206" w:lineRule="auto" w:before="80"/>
        <w:ind w:left="2157" w:right="1170" w:hanging="1"/>
        <w:rPr>
          <w:sz w:val="11"/>
        </w:rPr>
      </w:pPr>
      <w:r>
        <w:rPr/>
        <w:t>The researchers did not think that this concern was sufficient to prevent the participation of deaf jurors. Sign language interpreters have a wide variety of ways to convey non-verbal communication. Maintaining sight lines between deaf jurors, witnesses, advocates and interpreters is crucial.</w:t>
      </w:r>
      <w:r>
        <w:rPr>
          <w:position w:val="7"/>
          <w:sz w:val="11"/>
        </w:rPr>
        <w:t>43</w:t>
      </w:r>
    </w:p>
    <w:p>
      <w:pPr>
        <w:pStyle w:val="ListParagraph"/>
        <w:numPr>
          <w:ilvl w:val="0"/>
          <w:numId w:val="61"/>
        </w:numPr>
        <w:tabs>
          <w:tab w:pos="2157" w:val="left" w:leader="none"/>
          <w:tab w:pos="2158" w:val="left" w:leader="none"/>
        </w:tabs>
        <w:spacing w:line="206" w:lineRule="auto" w:before="125" w:after="0"/>
        <w:ind w:left="2157" w:right="1289" w:hanging="396"/>
        <w:jc w:val="left"/>
        <w:rPr>
          <w:sz w:val="20"/>
        </w:rPr>
      </w:pPr>
      <w:r>
        <w:rPr>
          <w:sz w:val="20"/>
        </w:rPr>
        <w:t>Juror</w:t>
      </w:r>
      <w:r>
        <w:rPr>
          <w:spacing w:val="-9"/>
          <w:sz w:val="20"/>
        </w:rPr>
        <w:t> </w:t>
      </w:r>
      <w:r>
        <w:rPr>
          <w:sz w:val="20"/>
        </w:rPr>
        <w:t>reliance</w:t>
      </w:r>
      <w:r>
        <w:rPr>
          <w:spacing w:val="-8"/>
          <w:sz w:val="20"/>
        </w:rPr>
        <w:t> </w:t>
      </w:r>
      <w:r>
        <w:rPr>
          <w:sz w:val="20"/>
        </w:rPr>
        <w:t>on</w:t>
      </w:r>
      <w:r>
        <w:rPr>
          <w:spacing w:val="-8"/>
          <w:sz w:val="20"/>
        </w:rPr>
        <w:t> </w:t>
      </w:r>
      <w:r>
        <w:rPr>
          <w:sz w:val="20"/>
        </w:rPr>
        <w:t>secondary</w:t>
      </w:r>
      <w:r>
        <w:rPr>
          <w:spacing w:val="-8"/>
          <w:sz w:val="20"/>
        </w:rPr>
        <w:t> </w:t>
      </w:r>
      <w:r>
        <w:rPr>
          <w:sz w:val="20"/>
        </w:rPr>
        <w:t>interpretation</w:t>
      </w:r>
      <w:r>
        <w:rPr>
          <w:spacing w:val="-8"/>
          <w:sz w:val="20"/>
        </w:rPr>
        <w:t> </w:t>
      </w:r>
      <w:r>
        <w:rPr>
          <w:sz w:val="20"/>
        </w:rPr>
        <w:t>evidence</w:t>
      </w:r>
      <w:r>
        <w:rPr>
          <w:spacing w:val="-8"/>
          <w:sz w:val="20"/>
        </w:rPr>
        <w:t> </w:t>
      </w:r>
      <w:r>
        <w:rPr>
          <w:sz w:val="20"/>
        </w:rPr>
        <w:t>rather</w:t>
      </w:r>
      <w:r>
        <w:rPr>
          <w:spacing w:val="-8"/>
          <w:sz w:val="20"/>
        </w:rPr>
        <w:t> </w:t>
      </w:r>
      <w:r>
        <w:rPr>
          <w:sz w:val="20"/>
        </w:rPr>
        <w:t>than</w:t>
      </w:r>
      <w:r>
        <w:rPr>
          <w:spacing w:val="-8"/>
          <w:sz w:val="20"/>
        </w:rPr>
        <w:t> </w:t>
      </w:r>
      <w:r>
        <w:rPr>
          <w:sz w:val="20"/>
        </w:rPr>
        <w:t>primary</w:t>
      </w:r>
      <w:r>
        <w:rPr>
          <w:spacing w:val="-8"/>
          <w:sz w:val="20"/>
        </w:rPr>
        <w:t> </w:t>
      </w:r>
      <w:r>
        <w:rPr>
          <w:sz w:val="20"/>
        </w:rPr>
        <w:t>evidence and</w:t>
      </w:r>
      <w:r>
        <w:rPr>
          <w:spacing w:val="-5"/>
          <w:sz w:val="20"/>
        </w:rPr>
        <w:t> </w:t>
      </w:r>
      <w:r>
        <w:rPr>
          <w:sz w:val="20"/>
        </w:rPr>
        <w:t>concerns</w:t>
      </w:r>
      <w:r>
        <w:rPr>
          <w:spacing w:val="-5"/>
          <w:sz w:val="20"/>
        </w:rPr>
        <w:t> </w:t>
      </w:r>
      <w:r>
        <w:rPr>
          <w:sz w:val="20"/>
        </w:rPr>
        <w:t>that</w:t>
      </w:r>
      <w:r>
        <w:rPr>
          <w:spacing w:val="-4"/>
          <w:sz w:val="20"/>
        </w:rPr>
        <w:t> </w:t>
      </w:r>
      <w:r>
        <w:rPr>
          <w:sz w:val="20"/>
        </w:rPr>
        <w:t>jurors</w:t>
      </w:r>
      <w:r>
        <w:rPr>
          <w:spacing w:val="-5"/>
          <w:sz w:val="20"/>
        </w:rPr>
        <w:t> </w:t>
      </w:r>
      <w:r>
        <w:rPr>
          <w:sz w:val="20"/>
        </w:rPr>
        <w:t>would</w:t>
      </w:r>
      <w:r>
        <w:rPr>
          <w:spacing w:val="-5"/>
          <w:sz w:val="20"/>
        </w:rPr>
        <w:t> </w:t>
      </w:r>
      <w:r>
        <w:rPr>
          <w:sz w:val="20"/>
        </w:rPr>
        <w:t>not</w:t>
      </w:r>
      <w:r>
        <w:rPr>
          <w:spacing w:val="-4"/>
          <w:sz w:val="20"/>
        </w:rPr>
        <w:t> </w:t>
      </w:r>
      <w:r>
        <w:rPr>
          <w:sz w:val="20"/>
        </w:rPr>
        <w:t>all</w:t>
      </w:r>
      <w:r>
        <w:rPr>
          <w:spacing w:val="-5"/>
          <w:sz w:val="20"/>
        </w:rPr>
        <w:t> </w:t>
      </w:r>
      <w:r>
        <w:rPr>
          <w:sz w:val="20"/>
        </w:rPr>
        <w:t>be</w:t>
      </w:r>
      <w:r>
        <w:rPr>
          <w:spacing w:val="-5"/>
          <w:sz w:val="20"/>
        </w:rPr>
        <w:t> </w:t>
      </w:r>
      <w:r>
        <w:rPr>
          <w:sz w:val="20"/>
        </w:rPr>
        <w:t>experiencing</w:t>
      </w:r>
      <w:r>
        <w:rPr>
          <w:spacing w:val="-4"/>
          <w:sz w:val="20"/>
        </w:rPr>
        <w:t> </w:t>
      </w:r>
      <w:r>
        <w:rPr>
          <w:sz w:val="20"/>
        </w:rPr>
        <w:t>the</w:t>
      </w:r>
      <w:r>
        <w:rPr>
          <w:spacing w:val="-5"/>
          <w:sz w:val="20"/>
        </w:rPr>
        <w:t> </w:t>
      </w:r>
      <w:r>
        <w:rPr>
          <w:sz w:val="20"/>
        </w:rPr>
        <w:t>‘same</w:t>
      </w:r>
      <w:r>
        <w:rPr>
          <w:spacing w:val="-4"/>
          <w:sz w:val="20"/>
        </w:rPr>
        <w:t> </w:t>
      </w:r>
      <w:r>
        <w:rPr>
          <w:sz w:val="20"/>
        </w:rPr>
        <w:t>evidence’</w:t>
      </w:r>
    </w:p>
    <w:p>
      <w:pPr>
        <w:pStyle w:val="BodyText"/>
        <w:spacing w:before="55"/>
        <w:ind w:left="2157"/>
      </w:pPr>
      <w:r>
        <w:rPr/>
        <w:t>We discuss this further below.</w:t>
      </w:r>
    </w:p>
    <w:p>
      <w:pPr>
        <w:pStyle w:val="ListParagraph"/>
        <w:numPr>
          <w:ilvl w:val="0"/>
          <w:numId w:val="61"/>
        </w:numPr>
        <w:tabs>
          <w:tab w:pos="2157" w:val="left" w:leader="none"/>
          <w:tab w:pos="2158" w:val="left" w:leader="none"/>
        </w:tabs>
        <w:spacing w:line="206" w:lineRule="auto" w:before="115" w:after="0"/>
        <w:ind w:left="2157" w:right="1433" w:hanging="396"/>
        <w:jc w:val="left"/>
        <w:rPr>
          <w:sz w:val="11"/>
        </w:rPr>
      </w:pPr>
      <w:r>
        <w:rPr>
          <w:sz w:val="20"/>
        </w:rPr>
        <w:t>The</w:t>
      </w:r>
      <w:r>
        <w:rPr>
          <w:spacing w:val="-7"/>
          <w:sz w:val="20"/>
        </w:rPr>
        <w:t> </w:t>
      </w:r>
      <w:r>
        <w:rPr>
          <w:sz w:val="20"/>
        </w:rPr>
        <w:t>option</w:t>
      </w:r>
      <w:r>
        <w:rPr>
          <w:spacing w:val="-6"/>
          <w:sz w:val="20"/>
        </w:rPr>
        <w:t> </w:t>
      </w:r>
      <w:r>
        <w:rPr>
          <w:sz w:val="20"/>
        </w:rPr>
        <w:t>to</w:t>
      </w:r>
      <w:r>
        <w:rPr>
          <w:spacing w:val="-7"/>
          <w:sz w:val="20"/>
        </w:rPr>
        <w:t> </w:t>
      </w:r>
      <w:r>
        <w:rPr>
          <w:sz w:val="20"/>
        </w:rPr>
        <w:t>exercise</w:t>
      </w:r>
      <w:r>
        <w:rPr>
          <w:spacing w:val="-6"/>
          <w:sz w:val="20"/>
        </w:rPr>
        <w:t> </w:t>
      </w:r>
      <w:r>
        <w:rPr>
          <w:sz w:val="20"/>
        </w:rPr>
        <w:t>peremptory</w:t>
      </w:r>
      <w:r>
        <w:rPr>
          <w:spacing w:val="-7"/>
          <w:sz w:val="20"/>
        </w:rPr>
        <w:t> </w:t>
      </w:r>
      <w:r>
        <w:rPr>
          <w:sz w:val="20"/>
        </w:rPr>
        <w:t>challenges</w:t>
      </w:r>
      <w:r>
        <w:rPr>
          <w:spacing w:val="-6"/>
          <w:sz w:val="20"/>
        </w:rPr>
        <w:t> </w:t>
      </w:r>
      <w:r>
        <w:rPr>
          <w:spacing w:val="-3"/>
          <w:sz w:val="20"/>
        </w:rPr>
        <w:t>over</w:t>
      </w:r>
      <w:r>
        <w:rPr>
          <w:spacing w:val="-7"/>
          <w:sz w:val="20"/>
        </w:rPr>
        <w:t> </w:t>
      </w:r>
      <w:r>
        <w:rPr>
          <w:sz w:val="20"/>
        </w:rPr>
        <w:t>the</w:t>
      </w:r>
      <w:r>
        <w:rPr>
          <w:spacing w:val="-6"/>
          <w:sz w:val="20"/>
        </w:rPr>
        <w:t> </w:t>
      </w:r>
      <w:r>
        <w:rPr>
          <w:sz w:val="20"/>
        </w:rPr>
        <w:t>inclusion</w:t>
      </w:r>
      <w:r>
        <w:rPr>
          <w:spacing w:val="-7"/>
          <w:sz w:val="20"/>
        </w:rPr>
        <w:t> </w:t>
      </w:r>
      <w:r>
        <w:rPr>
          <w:sz w:val="20"/>
        </w:rPr>
        <w:t>of</w:t>
      </w:r>
      <w:r>
        <w:rPr>
          <w:spacing w:val="-6"/>
          <w:sz w:val="20"/>
        </w:rPr>
        <w:t> </w:t>
      </w:r>
      <w:r>
        <w:rPr>
          <w:sz w:val="20"/>
        </w:rPr>
        <w:t>deaf</w:t>
      </w:r>
      <w:r>
        <w:rPr>
          <w:spacing w:val="-7"/>
          <w:sz w:val="20"/>
        </w:rPr>
        <w:t> </w:t>
      </w:r>
      <w:r>
        <w:rPr>
          <w:sz w:val="20"/>
        </w:rPr>
        <w:t>people on</w:t>
      </w:r>
      <w:r>
        <w:rPr>
          <w:spacing w:val="-2"/>
          <w:sz w:val="20"/>
        </w:rPr>
        <w:t> </w:t>
      </w:r>
      <w:r>
        <w:rPr>
          <w:sz w:val="20"/>
        </w:rPr>
        <w:t>juries</w:t>
      </w:r>
      <w:r>
        <w:rPr>
          <w:position w:val="7"/>
          <w:sz w:val="11"/>
        </w:rPr>
        <w:t>44</w:t>
      </w:r>
    </w:p>
    <w:p>
      <w:pPr>
        <w:pStyle w:val="BodyText"/>
        <w:spacing w:line="206" w:lineRule="auto" w:before="87"/>
        <w:ind w:left="2157" w:right="1202" w:hanging="1"/>
        <w:rPr>
          <w:sz w:val="11"/>
        </w:rPr>
      </w:pPr>
      <w:r>
        <w:rPr/>
        <w:t>This may occur because of concerns about deaf jurors receiving secondary evidence or concerns that ‘more things can go wrong’ with a deaf juror on a trial.</w:t>
      </w:r>
      <w:r>
        <w:rPr>
          <w:position w:val="7"/>
          <w:sz w:val="11"/>
        </w:rPr>
        <w:t>45</w:t>
      </w:r>
    </w:p>
    <w:p>
      <w:pPr>
        <w:pStyle w:val="BodyText"/>
        <w:spacing w:before="90"/>
        <w:ind w:left="2157"/>
      </w:pPr>
      <w:r>
        <w:rPr/>
        <w:t>We discuss challenges to juror selection in Chapter 17.</w:t>
      </w:r>
    </w:p>
    <w:p>
      <w:pPr>
        <w:pStyle w:val="Heading6"/>
        <w:spacing w:before="120"/>
        <w:rPr>
          <w:b/>
        </w:rPr>
      </w:pPr>
      <w:r>
        <w:rPr>
          <w:b/>
        </w:rPr>
        <w:t>Concerns about juror reliance on secondary interpretation evidence</w:t>
      </w:r>
    </w:p>
    <w:p>
      <w:pPr>
        <w:pStyle w:val="ListParagraph"/>
        <w:numPr>
          <w:ilvl w:val="1"/>
          <w:numId w:val="12"/>
        </w:numPr>
        <w:tabs>
          <w:tab w:pos="1761" w:val="left" w:leader="none"/>
          <w:tab w:pos="1762" w:val="left" w:leader="none"/>
        </w:tabs>
        <w:spacing w:line="206" w:lineRule="auto" w:before="132" w:after="0"/>
        <w:ind w:left="1761" w:right="1531" w:hanging="794"/>
        <w:jc w:val="left"/>
        <w:rPr>
          <w:sz w:val="20"/>
        </w:rPr>
      </w:pPr>
      <w:r>
        <w:rPr>
          <w:sz w:val="20"/>
        </w:rPr>
        <w:t>VLA</w:t>
      </w:r>
      <w:r>
        <w:rPr>
          <w:spacing w:val="-9"/>
          <w:sz w:val="20"/>
        </w:rPr>
        <w:t> </w:t>
      </w:r>
      <w:r>
        <w:rPr>
          <w:sz w:val="20"/>
        </w:rPr>
        <w:t>and</w:t>
      </w:r>
      <w:r>
        <w:rPr>
          <w:spacing w:val="-8"/>
          <w:sz w:val="20"/>
        </w:rPr>
        <w:t> </w:t>
      </w:r>
      <w:r>
        <w:rPr>
          <w:sz w:val="20"/>
        </w:rPr>
        <w:t>the</w:t>
      </w:r>
      <w:r>
        <w:rPr>
          <w:spacing w:val="-9"/>
          <w:sz w:val="20"/>
        </w:rPr>
        <w:t> </w:t>
      </w:r>
      <w:r>
        <w:rPr>
          <w:sz w:val="20"/>
        </w:rPr>
        <w:t>Supreme</w:t>
      </w:r>
      <w:r>
        <w:rPr>
          <w:spacing w:val="-9"/>
          <w:sz w:val="20"/>
        </w:rPr>
        <w:t> </w:t>
      </w:r>
      <w:r>
        <w:rPr>
          <w:sz w:val="20"/>
        </w:rPr>
        <w:t>Court</w:t>
      </w:r>
      <w:r>
        <w:rPr>
          <w:spacing w:val="-8"/>
          <w:sz w:val="20"/>
        </w:rPr>
        <w:t> </w:t>
      </w:r>
      <w:r>
        <w:rPr>
          <w:sz w:val="20"/>
        </w:rPr>
        <w:t>raised</w:t>
      </w:r>
      <w:r>
        <w:rPr>
          <w:spacing w:val="-9"/>
          <w:sz w:val="20"/>
        </w:rPr>
        <w:t> </w:t>
      </w:r>
      <w:r>
        <w:rPr>
          <w:sz w:val="20"/>
        </w:rPr>
        <w:t>a</w:t>
      </w:r>
      <w:r>
        <w:rPr>
          <w:spacing w:val="-8"/>
          <w:sz w:val="20"/>
        </w:rPr>
        <w:t> </w:t>
      </w:r>
      <w:r>
        <w:rPr>
          <w:sz w:val="20"/>
        </w:rPr>
        <w:t>fair</w:t>
      </w:r>
      <w:r>
        <w:rPr>
          <w:spacing w:val="-9"/>
          <w:sz w:val="20"/>
        </w:rPr>
        <w:t> </w:t>
      </w:r>
      <w:r>
        <w:rPr>
          <w:sz w:val="20"/>
        </w:rPr>
        <w:t>trial</w:t>
      </w:r>
      <w:r>
        <w:rPr>
          <w:spacing w:val="-8"/>
          <w:sz w:val="20"/>
        </w:rPr>
        <w:t> </w:t>
      </w:r>
      <w:r>
        <w:rPr>
          <w:sz w:val="20"/>
        </w:rPr>
        <w:t>issue</w:t>
      </w:r>
      <w:r>
        <w:rPr>
          <w:spacing w:val="-9"/>
          <w:sz w:val="20"/>
        </w:rPr>
        <w:t> </w:t>
      </w:r>
      <w:r>
        <w:rPr>
          <w:sz w:val="20"/>
        </w:rPr>
        <w:t>about</w:t>
      </w:r>
      <w:r>
        <w:rPr>
          <w:spacing w:val="-8"/>
          <w:sz w:val="20"/>
        </w:rPr>
        <w:t> </w:t>
      </w:r>
      <w:r>
        <w:rPr>
          <w:sz w:val="20"/>
        </w:rPr>
        <w:t>the</w:t>
      </w:r>
      <w:r>
        <w:rPr>
          <w:spacing w:val="-9"/>
          <w:sz w:val="20"/>
        </w:rPr>
        <w:t> </w:t>
      </w:r>
      <w:r>
        <w:rPr>
          <w:spacing w:val="-4"/>
          <w:sz w:val="20"/>
        </w:rPr>
        <w:t>way</w:t>
      </w:r>
      <w:r>
        <w:rPr>
          <w:spacing w:val="-8"/>
          <w:sz w:val="20"/>
        </w:rPr>
        <w:t> </w:t>
      </w:r>
      <w:r>
        <w:rPr>
          <w:sz w:val="20"/>
        </w:rPr>
        <w:t>in</w:t>
      </w:r>
      <w:r>
        <w:rPr>
          <w:spacing w:val="-9"/>
          <w:sz w:val="20"/>
        </w:rPr>
        <w:t> </w:t>
      </w:r>
      <w:r>
        <w:rPr>
          <w:sz w:val="20"/>
        </w:rPr>
        <w:t>which</w:t>
      </w:r>
      <w:r>
        <w:rPr>
          <w:spacing w:val="-8"/>
          <w:sz w:val="20"/>
        </w:rPr>
        <w:t> </w:t>
      </w:r>
      <w:r>
        <w:rPr>
          <w:sz w:val="20"/>
        </w:rPr>
        <w:t>evidence is </w:t>
      </w:r>
      <w:r>
        <w:rPr>
          <w:spacing w:val="-3"/>
          <w:sz w:val="20"/>
        </w:rPr>
        <w:t>relayed </w:t>
      </w:r>
      <w:r>
        <w:rPr>
          <w:sz w:val="20"/>
        </w:rPr>
        <w:t>via an </w:t>
      </w:r>
      <w:r>
        <w:rPr>
          <w:spacing w:val="-4"/>
          <w:sz w:val="20"/>
        </w:rPr>
        <w:t>interpreter. </w:t>
      </w:r>
      <w:r>
        <w:rPr>
          <w:sz w:val="20"/>
        </w:rPr>
        <w:t>Although supportive of </w:t>
      </w:r>
      <w:r>
        <w:rPr>
          <w:spacing w:val="-3"/>
          <w:sz w:val="20"/>
        </w:rPr>
        <w:t>reforms </w:t>
      </w:r>
      <w:r>
        <w:rPr>
          <w:sz w:val="20"/>
        </w:rPr>
        <w:t>to limit the 13th person </w:t>
      </w:r>
      <w:r>
        <w:rPr>
          <w:spacing w:val="-3"/>
          <w:sz w:val="20"/>
        </w:rPr>
        <w:t>rule, </w:t>
      </w:r>
      <w:r>
        <w:rPr>
          <w:sz w:val="20"/>
        </w:rPr>
        <w:t>VLA </w:t>
      </w:r>
      <w:r>
        <w:rPr>
          <w:spacing w:val="-3"/>
          <w:sz w:val="20"/>
        </w:rPr>
        <w:t>relayed </w:t>
      </w:r>
      <w:r>
        <w:rPr>
          <w:sz w:val="20"/>
        </w:rPr>
        <w:t>concerns </w:t>
      </w:r>
      <w:r>
        <w:rPr>
          <w:spacing w:val="-3"/>
          <w:sz w:val="20"/>
        </w:rPr>
        <w:t>from </w:t>
      </w:r>
      <w:r>
        <w:rPr>
          <w:sz w:val="20"/>
        </w:rPr>
        <w:t>practitioners about the </w:t>
      </w:r>
      <w:r>
        <w:rPr>
          <w:spacing w:val="-4"/>
          <w:sz w:val="20"/>
        </w:rPr>
        <w:t>way </w:t>
      </w:r>
      <w:r>
        <w:rPr>
          <w:sz w:val="20"/>
        </w:rPr>
        <w:t>in which a juror using adjustments </w:t>
      </w:r>
      <w:r>
        <w:rPr>
          <w:spacing w:val="-3"/>
          <w:sz w:val="20"/>
        </w:rPr>
        <w:t>receives</w:t>
      </w:r>
      <w:r>
        <w:rPr>
          <w:spacing w:val="-9"/>
          <w:sz w:val="20"/>
        </w:rPr>
        <w:t> </w:t>
      </w:r>
      <w:r>
        <w:rPr>
          <w:spacing w:val="-3"/>
          <w:sz w:val="20"/>
        </w:rPr>
        <w:t>evidence:</w:t>
      </w:r>
    </w:p>
    <w:p>
      <w:pPr>
        <w:spacing w:line="208" w:lineRule="auto" w:before="122"/>
        <w:ind w:left="2157" w:right="1301" w:firstLine="0"/>
        <w:jc w:val="left"/>
        <w:rPr>
          <w:sz w:val="19"/>
        </w:rPr>
      </w:pPr>
      <w:r>
        <w:rPr>
          <w:sz w:val="19"/>
        </w:rPr>
        <w:t>The effect of enabling interpreters to assist jurors is that the juror is receiving the evidence via another person rather than directly from the witness or via comment from counsel or the judge; the translation may be an interpreted or filtered version of the evidence. Because jury deliberations are confidential, there is no way of knowing whether the evidence has been correctly interpreted or whether slightly different nuances have been consciously or unconsciously added to the interpretation. … We</w:t>
      </w:r>
    </w:p>
    <w:p>
      <w:pPr>
        <w:pStyle w:val="BodyText"/>
        <w:spacing w:before="9"/>
        <w:rPr>
          <w:sz w:val="15"/>
        </w:rPr>
      </w:pPr>
      <w:r>
        <w:rPr/>
        <w:pict>
          <v:line style="position:absolute;mso-position-horizontal-relative:page;mso-position-vertical-relative:paragraph;z-index:4712;mso-wrap-distance-left:0;mso-wrap-distance-right:0" from="79.370102pt,13.32458pt" to="515.905102pt,13.32458pt" stroked="true" strokeweight="1pt" strokecolor="#b6bdc8">
            <v:stroke dashstyle="solid"/>
            <w10:wrap type="topAndBottom"/>
          </v:line>
        </w:pict>
      </w:r>
    </w:p>
    <w:p>
      <w:pPr>
        <w:pStyle w:val="ListParagraph"/>
        <w:numPr>
          <w:ilvl w:val="0"/>
          <w:numId w:val="60"/>
        </w:numPr>
        <w:tabs>
          <w:tab w:pos="1761" w:val="left" w:leader="none"/>
          <w:tab w:pos="1762" w:val="left" w:leader="none"/>
        </w:tabs>
        <w:spacing w:line="213" w:lineRule="auto" w:before="107" w:after="0"/>
        <w:ind w:left="1761" w:right="1458" w:hanging="794"/>
        <w:jc w:val="left"/>
        <w:rPr>
          <w:sz w:val="13"/>
        </w:rPr>
      </w:pPr>
      <w:r>
        <w:rPr>
          <w:sz w:val="13"/>
        </w:rPr>
        <w:t>Consultation 19 </w:t>
      </w:r>
      <w:r>
        <w:rPr>
          <w:spacing w:val="2"/>
          <w:sz w:val="13"/>
        </w:rPr>
        <w:t>(Australian </w:t>
      </w:r>
      <w:r>
        <w:rPr>
          <w:sz w:val="13"/>
        </w:rPr>
        <w:t>Institute of Interpreters and Translators (AUSIT)). For </w:t>
      </w:r>
      <w:r>
        <w:rPr>
          <w:spacing w:val="2"/>
          <w:sz w:val="13"/>
        </w:rPr>
        <w:t>further </w:t>
      </w:r>
      <w:r>
        <w:rPr>
          <w:sz w:val="13"/>
        </w:rPr>
        <w:t>information about the concerns of lawyers working in a court or tribunal setting: see Erika Gonzalez, </w:t>
      </w:r>
      <w:r>
        <w:rPr>
          <w:i/>
          <w:sz w:val="13"/>
        </w:rPr>
        <w:t>Survey on the Implementation of the </w:t>
      </w:r>
      <w:r>
        <w:rPr>
          <w:i/>
          <w:spacing w:val="2"/>
          <w:sz w:val="13"/>
        </w:rPr>
        <w:t>Recommended </w:t>
      </w:r>
      <w:r>
        <w:rPr>
          <w:i/>
          <w:sz w:val="13"/>
        </w:rPr>
        <w:t>National </w:t>
      </w:r>
      <w:r>
        <w:rPr>
          <w:i/>
          <w:sz w:val="13"/>
        </w:rPr>
        <w:t>Standards for Working with Interpreters in </w:t>
      </w:r>
      <w:r>
        <w:rPr>
          <w:i/>
          <w:spacing w:val="2"/>
          <w:sz w:val="13"/>
        </w:rPr>
        <w:t>Courts </w:t>
      </w:r>
      <w:r>
        <w:rPr>
          <w:i/>
          <w:sz w:val="13"/>
        </w:rPr>
        <w:t>and Tribunals </w:t>
      </w:r>
      <w:r>
        <w:rPr>
          <w:spacing w:val="2"/>
          <w:sz w:val="13"/>
        </w:rPr>
        <w:t>(Report, </w:t>
      </w:r>
      <w:r>
        <w:rPr>
          <w:sz w:val="13"/>
        </w:rPr>
        <w:t>November</w:t>
      </w:r>
      <w:r>
        <w:rPr>
          <w:spacing w:val="3"/>
          <w:sz w:val="13"/>
        </w:rPr>
        <w:t> </w:t>
      </w:r>
      <w:r>
        <w:rPr>
          <w:sz w:val="13"/>
        </w:rPr>
        <w:t>2020).</w:t>
      </w:r>
    </w:p>
    <w:p>
      <w:pPr>
        <w:pStyle w:val="ListParagraph"/>
        <w:numPr>
          <w:ilvl w:val="0"/>
          <w:numId w:val="60"/>
        </w:numPr>
        <w:tabs>
          <w:tab w:pos="1761" w:val="left" w:leader="none"/>
          <w:tab w:pos="1762" w:val="left" w:leader="none"/>
        </w:tabs>
        <w:spacing w:line="152" w:lineRule="exact" w:before="0" w:after="0"/>
        <w:ind w:left="1761" w:right="0" w:hanging="794"/>
        <w:jc w:val="left"/>
        <w:rPr>
          <w:i/>
          <w:sz w:val="13"/>
        </w:rPr>
      </w:pPr>
      <w:r>
        <w:rPr>
          <w:sz w:val="13"/>
        </w:rPr>
        <w:t>Judicial Council on Cultural Diversity, </w:t>
      </w:r>
      <w:r>
        <w:rPr>
          <w:i/>
          <w:spacing w:val="2"/>
          <w:sz w:val="13"/>
        </w:rPr>
        <w:t>Recommended </w:t>
      </w:r>
      <w:r>
        <w:rPr>
          <w:i/>
          <w:sz w:val="13"/>
        </w:rPr>
        <w:t>National Standards for Working with Interpreters in </w:t>
      </w:r>
      <w:r>
        <w:rPr>
          <w:i/>
          <w:spacing w:val="2"/>
          <w:sz w:val="13"/>
        </w:rPr>
        <w:t>Courts </w:t>
      </w:r>
      <w:r>
        <w:rPr>
          <w:i/>
          <w:sz w:val="13"/>
        </w:rPr>
        <w:t>and</w:t>
      </w:r>
      <w:r>
        <w:rPr>
          <w:i/>
          <w:spacing w:val="21"/>
          <w:sz w:val="13"/>
        </w:rPr>
        <w:t> </w:t>
      </w:r>
      <w:r>
        <w:rPr>
          <w:i/>
          <w:sz w:val="13"/>
        </w:rPr>
        <w:t>Tribunals</w:t>
      </w:r>
    </w:p>
    <w:p>
      <w:pPr>
        <w:spacing w:line="160" w:lineRule="exact" w:before="0"/>
        <w:ind w:left="1761" w:right="0" w:firstLine="0"/>
        <w:jc w:val="left"/>
        <w:rPr>
          <w:sz w:val="13"/>
        </w:rPr>
      </w:pPr>
      <w:r>
        <w:rPr>
          <w:sz w:val="13"/>
        </w:rPr>
        <w:t>(Report, 2017).</w:t>
      </w:r>
    </w:p>
    <w:p>
      <w:pPr>
        <w:pStyle w:val="ListParagraph"/>
        <w:numPr>
          <w:ilvl w:val="0"/>
          <w:numId w:val="60"/>
        </w:numPr>
        <w:tabs>
          <w:tab w:pos="1760" w:val="left" w:leader="none"/>
          <w:tab w:pos="1762" w:val="left" w:leader="none"/>
        </w:tabs>
        <w:spacing w:line="160" w:lineRule="exact" w:before="0" w:after="0"/>
        <w:ind w:left="1761" w:right="0" w:hanging="794"/>
        <w:jc w:val="left"/>
        <w:rPr>
          <w:i/>
          <w:sz w:val="13"/>
        </w:rPr>
      </w:pPr>
      <w:r>
        <w:rPr>
          <w:sz w:val="13"/>
        </w:rPr>
        <w:t>Judicial Council on Cultural Diversity, </w:t>
      </w:r>
      <w:r>
        <w:rPr>
          <w:i/>
          <w:spacing w:val="2"/>
          <w:sz w:val="13"/>
        </w:rPr>
        <w:t>Recommended </w:t>
      </w:r>
      <w:r>
        <w:rPr>
          <w:i/>
          <w:sz w:val="13"/>
        </w:rPr>
        <w:t>National Standards for Working with Interpreters in </w:t>
      </w:r>
      <w:r>
        <w:rPr>
          <w:i/>
          <w:spacing w:val="2"/>
          <w:sz w:val="13"/>
        </w:rPr>
        <w:t>Courts </w:t>
      </w:r>
      <w:r>
        <w:rPr>
          <w:i/>
          <w:sz w:val="13"/>
        </w:rPr>
        <w:t>and</w:t>
      </w:r>
      <w:r>
        <w:rPr>
          <w:i/>
          <w:spacing w:val="20"/>
          <w:sz w:val="13"/>
        </w:rPr>
        <w:t> </w:t>
      </w:r>
      <w:r>
        <w:rPr>
          <w:i/>
          <w:sz w:val="13"/>
        </w:rPr>
        <w:t>Tribunals</w:t>
      </w:r>
    </w:p>
    <w:p>
      <w:pPr>
        <w:spacing w:line="160" w:lineRule="exact" w:before="0"/>
        <w:ind w:left="1761" w:right="0" w:firstLine="0"/>
        <w:jc w:val="left"/>
        <w:rPr>
          <w:sz w:val="13"/>
        </w:rPr>
      </w:pPr>
      <w:r>
        <w:rPr>
          <w:sz w:val="13"/>
        </w:rPr>
        <w:t>(Report, Second Edition, March 2022).</w:t>
      </w:r>
    </w:p>
    <w:p>
      <w:pPr>
        <w:pStyle w:val="ListParagraph"/>
        <w:numPr>
          <w:ilvl w:val="0"/>
          <w:numId w:val="60"/>
        </w:numPr>
        <w:tabs>
          <w:tab w:pos="1760" w:val="left" w:leader="none"/>
          <w:tab w:pos="1762" w:val="left" w:leader="none"/>
        </w:tabs>
        <w:spacing w:line="213" w:lineRule="auto" w:before="6" w:after="0"/>
        <w:ind w:left="1761" w:right="1258" w:hanging="794"/>
        <w:jc w:val="left"/>
        <w:rPr>
          <w:sz w:val="13"/>
        </w:rPr>
      </w:pPr>
      <w:r>
        <w:rPr>
          <w:sz w:val="13"/>
        </w:rPr>
        <w:t>For example, a 2020 study by Australian Institute of Interpreters and Translators noted that nearly 35% of survey </w:t>
      </w:r>
      <w:r>
        <w:rPr>
          <w:spacing w:val="2"/>
          <w:sz w:val="13"/>
        </w:rPr>
        <w:t>participants     </w:t>
      </w:r>
      <w:r>
        <w:rPr>
          <w:sz w:val="13"/>
        </w:rPr>
        <w:t>were not aware of the </w:t>
      </w:r>
      <w:r>
        <w:rPr>
          <w:spacing w:val="2"/>
          <w:sz w:val="13"/>
        </w:rPr>
        <w:t>RNS. </w:t>
      </w:r>
      <w:r>
        <w:rPr>
          <w:sz w:val="13"/>
        </w:rPr>
        <w:t>Further, 10.62% of survey respondents stated that the RNS are never </w:t>
      </w:r>
      <w:r>
        <w:rPr>
          <w:spacing w:val="2"/>
          <w:sz w:val="13"/>
        </w:rPr>
        <w:t>applied, </w:t>
      </w:r>
      <w:r>
        <w:rPr>
          <w:sz w:val="13"/>
        </w:rPr>
        <w:t>76.77% </w:t>
      </w:r>
      <w:r>
        <w:rPr>
          <w:spacing w:val="2"/>
          <w:sz w:val="13"/>
        </w:rPr>
        <w:t>mentioned </w:t>
      </w:r>
      <w:r>
        <w:rPr>
          <w:sz w:val="13"/>
        </w:rPr>
        <w:t>that they are </w:t>
      </w:r>
      <w:r>
        <w:rPr>
          <w:spacing w:val="2"/>
          <w:sz w:val="13"/>
        </w:rPr>
        <w:t>applied </w:t>
      </w:r>
      <w:r>
        <w:rPr>
          <w:sz w:val="13"/>
        </w:rPr>
        <w:t>sometimes, and 12.61% </w:t>
      </w:r>
      <w:r>
        <w:rPr>
          <w:spacing w:val="2"/>
          <w:sz w:val="13"/>
        </w:rPr>
        <w:t>mentioned </w:t>
      </w:r>
      <w:r>
        <w:rPr>
          <w:sz w:val="13"/>
        </w:rPr>
        <w:t>that they are </w:t>
      </w:r>
      <w:r>
        <w:rPr>
          <w:spacing w:val="2"/>
          <w:sz w:val="13"/>
        </w:rPr>
        <w:t>applied </w:t>
      </w:r>
      <w:r>
        <w:rPr>
          <w:sz w:val="13"/>
        </w:rPr>
        <w:t>always: Erika Gonzalez, </w:t>
      </w:r>
      <w:r>
        <w:rPr>
          <w:i/>
          <w:sz w:val="13"/>
        </w:rPr>
        <w:t>Survey on the Implementation of </w:t>
      </w:r>
      <w:r>
        <w:rPr>
          <w:i/>
          <w:sz w:val="13"/>
        </w:rPr>
        <w:t>the </w:t>
      </w:r>
      <w:r>
        <w:rPr>
          <w:i/>
          <w:spacing w:val="2"/>
          <w:sz w:val="13"/>
        </w:rPr>
        <w:t>Recommended </w:t>
      </w:r>
      <w:r>
        <w:rPr>
          <w:i/>
          <w:sz w:val="13"/>
        </w:rPr>
        <w:t>National Standards for Working with Interpreters in </w:t>
      </w:r>
      <w:r>
        <w:rPr>
          <w:i/>
          <w:spacing w:val="2"/>
          <w:sz w:val="13"/>
        </w:rPr>
        <w:t>Courts </w:t>
      </w:r>
      <w:r>
        <w:rPr>
          <w:i/>
          <w:sz w:val="13"/>
        </w:rPr>
        <w:t>and Tribunals </w:t>
      </w:r>
      <w:r>
        <w:rPr>
          <w:spacing w:val="2"/>
          <w:sz w:val="13"/>
        </w:rPr>
        <w:t>(Report, </w:t>
      </w:r>
      <w:r>
        <w:rPr>
          <w:sz w:val="13"/>
        </w:rPr>
        <w:t>November 2020)</w:t>
      </w:r>
      <w:r>
        <w:rPr>
          <w:spacing w:val="32"/>
          <w:sz w:val="13"/>
        </w:rPr>
        <w:t> </w:t>
      </w:r>
      <w:r>
        <w:rPr>
          <w:spacing w:val="2"/>
          <w:sz w:val="13"/>
        </w:rPr>
        <w:t>5–6.</w:t>
      </w:r>
    </w:p>
    <w:p>
      <w:pPr>
        <w:pStyle w:val="ListParagraph"/>
        <w:numPr>
          <w:ilvl w:val="0"/>
          <w:numId w:val="60"/>
        </w:numPr>
        <w:tabs>
          <w:tab w:pos="1761" w:val="left" w:leader="none"/>
          <w:tab w:pos="1762" w:val="left" w:leader="none"/>
        </w:tabs>
        <w:spacing w:line="213" w:lineRule="auto" w:before="0" w:after="0"/>
        <w:ind w:left="1761" w:right="1389" w:hanging="794"/>
        <w:jc w:val="left"/>
        <w:rPr>
          <w:sz w:val="13"/>
        </w:rPr>
      </w:pPr>
      <w:r>
        <w:rPr>
          <w:sz w:val="13"/>
        </w:rPr>
        <w:t>Professor Ludmila Stern et </w:t>
      </w:r>
      <w:r>
        <w:rPr>
          <w:spacing w:val="2"/>
          <w:sz w:val="13"/>
        </w:rPr>
        <w:t>al, </w:t>
      </w:r>
      <w:r>
        <w:rPr>
          <w:i/>
          <w:sz w:val="13"/>
        </w:rPr>
        <w:t>Access to Justice in Interpreted Proceedings: The Role of Judicial Officers </w:t>
      </w:r>
      <w:r>
        <w:rPr>
          <w:spacing w:val="2"/>
          <w:sz w:val="13"/>
        </w:rPr>
        <w:t>(Australia </w:t>
      </w:r>
      <w:r>
        <w:rPr>
          <w:sz w:val="13"/>
        </w:rPr>
        <w:t>Research  Council Linkage Project, University of New South Wales) &lt;</w:t>
      </w:r>
      <w:hyperlink r:id="rId144">
        <w:r>
          <w:rPr>
            <w:sz w:val="13"/>
          </w:rPr>
          <w:t>https://research.unsw.edu.au/projects/access-justice-interpreted-</w:t>
        </w:r>
      </w:hyperlink>
      <w:hyperlink r:id="rId144">
        <w:r>
          <w:rPr>
            <w:sz w:val="13"/>
          </w:rPr>
          <w:t> proceedings-role-judicial-officers</w:t>
        </w:r>
      </w:hyperlink>
      <w:r>
        <w:rPr>
          <w:sz w:val="13"/>
        </w:rPr>
        <w:t>&gt;; Information provided by Professor Ludmila  Stern  to  Victorian  Law  Reform  </w:t>
      </w:r>
      <w:r>
        <w:rPr>
          <w:spacing w:val="2"/>
          <w:sz w:val="13"/>
        </w:rPr>
        <w:t>Commission (30 </w:t>
      </w:r>
      <w:r>
        <w:rPr>
          <w:sz w:val="13"/>
        </w:rPr>
        <w:t>November</w:t>
      </w:r>
      <w:r>
        <w:rPr>
          <w:spacing w:val="-2"/>
          <w:sz w:val="13"/>
        </w:rPr>
        <w:t> </w:t>
      </w:r>
      <w:r>
        <w:rPr>
          <w:sz w:val="13"/>
        </w:rPr>
        <w:t>2021).</w:t>
      </w:r>
    </w:p>
    <w:p>
      <w:pPr>
        <w:pStyle w:val="ListParagraph"/>
        <w:numPr>
          <w:ilvl w:val="0"/>
          <w:numId w:val="60"/>
        </w:numPr>
        <w:tabs>
          <w:tab w:pos="1760" w:val="left" w:leader="none"/>
          <w:tab w:pos="1762" w:val="left" w:leader="none"/>
        </w:tabs>
        <w:spacing w:line="213" w:lineRule="auto" w:before="0" w:after="0"/>
        <w:ind w:left="1761" w:right="1274" w:hanging="794"/>
        <w:jc w:val="left"/>
        <w:rPr>
          <w:sz w:val="13"/>
        </w:rPr>
      </w:pPr>
      <w:r>
        <w:rPr>
          <w:sz w:val="13"/>
        </w:rPr>
        <w:t>David </w:t>
      </w:r>
      <w:r>
        <w:rPr>
          <w:spacing w:val="2"/>
          <w:sz w:val="13"/>
        </w:rPr>
        <w:t>Spencer </w:t>
      </w:r>
      <w:r>
        <w:rPr>
          <w:sz w:val="13"/>
        </w:rPr>
        <w:t>et </w:t>
      </w:r>
      <w:r>
        <w:rPr>
          <w:spacing w:val="2"/>
          <w:sz w:val="13"/>
        </w:rPr>
        <w:t>al, </w:t>
      </w:r>
      <w:r>
        <w:rPr>
          <w:sz w:val="13"/>
        </w:rPr>
        <w:t>‘Justice Is </w:t>
      </w:r>
      <w:r>
        <w:rPr>
          <w:spacing w:val="2"/>
          <w:sz w:val="13"/>
        </w:rPr>
        <w:t>Blind </w:t>
      </w:r>
      <w:r>
        <w:rPr>
          <w:sz w:val="13"/>
        </w:rPr>
        <w:t>as Long as It Isn’t Deaf: Excluding Deaf People from </w:t>
      </w:r>
      <w:r>
        <w:rPr>
          <w:spacing w:val="2"/>
          <w:sz w:val="13"/>
        </w:rPr>
        <w:t>Jury </w:t>
      </w:r>
      <w:r>
        <w:rPr>
          <w:sz w:val="13"/>
        </w:rPr>
        <w:t>Duty—an Australian Human Rights Breach’ (2017) </w:t>
      </w:r>
      <w:r>
        <w:rPr>
          <w:spacing w:val="2"/>
          <w:sz w:val="13"/>
        </w:rPr>
        <w:t>23(3) </w:t>
      </w:r>
      <w:r>
        <w:rPr>
          <w:i/>
          <w:sz w:val="13"/>
        </w:rPr>
        <w:t>Australian Journal of Human </w:t>
      </w:r>
      <w:r>
        <w:rPr>
          <w:i/>
          <w:spacing w:val="2"/>
          <w:sz w:val="13"/>
        </w:rPr>
        <w:t>Rights </w:t>
      </w:r>
      <w:r>
        <w:rPr>
          <w:sz w:val="13"/>
        </w:rPr>
        <w:t>332,</w:t>
      </w:r>
      <w:r>
        <w:rPr>
          <w:spacing w:val="1"/>
          <w:sz w:val="13"/>
        </w:rPr>
        <w:t> </w:t>
      </w:r>
      <w:r>
        <w:rPr>
          <w:sz w:val="13"/>
        </w:rPr>
        <w:t>341-2.</w:t>
      </w:r>
    </w:p>
    <w:p>
      <w:pPr>
        <w:tabs>
          <w:tab w:pos="1761" w:val="left" w:leader="none"/>
        </w:tabs>
        <w:spacing w:line="152" w:lineRule="exact" w:before="0"/>
        <w:ind w:left="967" w:right="0" w:firstLine="0"/>
        <w:jc w:val="left"/>
        <w:rPr>
          <w:sz w:val="13"/>
        </w:rPr>
      </w:pPr>
      <w:r>
        <w:rPr>
          <w:spacing w:val="2"/>
          <w:sz w:val="13"/>
        </w:rPr>
        <w:t>44</w:t>
        <w:tab/>
      </w:r>
      <w:r>
        <w:rPr>
          <w:sz w:val="13"/>
        </w:rPr>
        <w:t>Ibid </w:t>
      </w:r>
      <w:r>
        <w:rPr>
          <w:spacing w:val="3"/>
          <w:sz w:val="13"/>
        </w:rPr>
        <w:t>344-5.</w:t>
      </w:r>
    </w:p>
    <w:p>
      <w:pPr>
        <w:pStyle w:val="ListParagraph"/>
        <w:numPr>
          <w:ilvl w:val="0"/>
          <w:numId w:val="62"/>
        </w:numPr>
        <w:tabs>
          <w:tab w:pos="1761" w:val="left" w:leader="none"/>
          <w:tab w:pos="1762" w:val="left" w:leader="none"/>
        </w:tabs>
        <w:spacing w:line="213" w:lineRule="auto" w:before="2" w:after="0"/>
        <w:ind w:left="1761" w:right="1640" w:hanging="794"/>
        <w:jc w:val="left"/>
        <w:rPr>
          <w:sz w:val="13"/>
        </w:rPr>
      </w:pPr>
      <w:r>
        <w:rPr/>
        <w:pict>
          <v:shape style="position:absolute;margin-left:36pt;margin-top:3.495991pt;width:12.1pt;height:14.1pt;mso-position-horizontal-relative:page;mso-position-vertical-relative:paragraph;z-index:6784" type="#_x0000_t202" filled="false" stroked="false">
            <v:textbox inset="0,0,0,0">
              <w:txbxContent>
                <w:p>
                  <w:pPr>
                    <w:spacing w:line="282" w:lineRule="exact" w:before="0"/>
                    <w:ind w:left="0" w:right="0" w:firstLine="0"/>
                    <w:jc w:val="left"/>
                    <w:rPr>
                      <w:b/>
                      <w:sz w:val="24"/>
                    </w:rPr>
                  </w:pPr>
                  <w:r>
                    <w:rPr>
                      <w:b/>
                      <w:color w:val="37617A"/>
                      <w:spacing w:val="-16"/>
                      <w:sz w:val="24"/>
                    </w:rPr>
                    <w:t>74</w:t>
                  </w:r>
                </w:p>
              </w:txbxContent>
            </v:textbox>
            <w10:wrap type="none"/>
          </v:shape>
        </w:pict>
      </w:r>
      <w:r>
        <w:rPr>
          <w:spacing w:val="2"/>
          <w:sz w:val="13"/>
        </w:rPr>
        <w:t>Sandra </w:t>
      </w:r>
      <w:r>
        <w:rPr>
          <w:sz w:val="13"/>
        </w:rPr>
        <w:t>Hale et </w:t>
      </w:r>
      <w:r>
        <w:rPr>
          <w:spacing w:val="2"/>
          <w:sz w:val="13"/>
        </w:rPr>
        <w:t>al, </w:t>
      </w:r>
      <w:r>
        <w:rPr>
          <w:i/>
          <w:sz w:val="13"/>
        </w:rPr>
        <w:t>Participation in the Administration of Justice: Deaf Citizens as Jurors </w:t>
      </w:r>
      <w:r>
        <w:rPr>
          <w:spacing w:val="2"/>
          <w:sz w:val="13"/>
        </w:rPr>
        <w:t>(Australian </w:t>
      </w:r>
      <w:r>
        <w:rPr>
          <w:sz w:val="13"/>
        </w:rPr>
        <w:t>Research Council Linkage Project No 120200261, 2016) 20.</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spacing w:line="208" w:lineRule="auto" w:before="88"/>
        <w:ind w:left="2157" w:right="1110" w:firstLine="0"/>
        <w:jc w:val="left"/>
        <w:rPr>
          <w:sz w:val="11"/>
        </w:rPr>
      </w:pPr>
      <w:r>
        <w:rPr>
          <w:sz w:val="19"/>
        </w:rPr>
        <w:t>support better research on these potential risks in the course of the implementation of this reform.</w:t>
      </w:r>
      <w:r>
        <w:rPr>
          <w:position w:val="6"/>
          <w:sz w:val="11"/>
        </w:rPr>
        <w:t>46</w:t>
      </w:r>
    </w:p>
    <w:p>
      <w:pPr>
        <w:pStyle w:val="ListParagraph"/>
        <w:numPr>
          <w:ilvl w:val="1"/>
          <w:numId w:val="12"/>
        </w:numPr>
        <w:tabs>
          <w:tab w:pos="1761" w:val="left" w:leader="none"/>
          <w:tab w:pos="1762" w:val="left" w:leader="none"/>
        </w:tabs>
        <w:spacing w:line="206" w:lineRule="auto" w:before="124" w:after="0"/>
        <w:ind w:left="1761" w:right="1501" w:hanging="794"/>
        <w:jc w:val="left"/>
        <w:rPr>
          <w:sz w:val="20"/>
        </w:rPr>
      </w:pPr>
      <w:r>
        <w:rPr>
          <w:sz w:val="20"/>
        </w:rPr>
        <w:t>Spencer and colleagues identified that concerns such as these </w:t>
      </w:r>
      <w:r>
        <w:rPr>
          <w:spacing w:val="-3"/>
          <w:sz w:val="20"/>
        </w:rPr>
        <w:t>revealed </w:t>
      </w:r>
      <w:r>
        <w:rPr>
          <w:spacing w:val="-2"/>
          <w:sz w:val="20"/>
        </w:rPr>
        <w:t>‘anxieties </w:t>
      </w:r>
      <w:r>
        <w:rPr>
          <w:sz w:val="20"/>
        </w:rPr>
        <w:t>about the need for judicial </w:t>
      </w:r>
      <w:r>
        <w:rPr>
          <w:spacing w:val="-3"/>
          <w:sz w:val="20"/>
        </w:rPr>
        <w:t>oversight </w:t>
      </w:r>
      <w:r>
        <w:rPr>
          <w:sz w:val="20"/>
        </w:rPr>
        <w:t>of </w:t>
      </w:r>
      <w:r>
        <w:rPr>
          <w:spacing w:val="-3"/>
          <w:sz w:val="20"/>
        </w:rPr>
        <w:t>interpreting </w:t>
      </w:r>
      <w:r>
        <w:rPr>
          <w:sz w:val="20"/>
        </w:rPr>
        <w:t>and </w:t>
      </w:r>
      <w:r>
        <w:rPr>
          <w:spacing w:val="-2"/>
          <w:sz w:val="20"/>
        </w:rPr>
        <w:t>attentiveness </w:t>
      </w:r>
      <w:r>
        <w:rPr>
          <w:sz w:val="20"/>
        </w:rPr>
        <w:t>to risks that </w:t>
      </w:r>
      <w:r>
        <w:rPr>
          <w:spacing w:val="-3"/>
          <w:sz w:val="20"/>
        </w:rPr>
        <w:t>may</w:t>
      </w:r>
      <w:r>
        <w:rPr>
          <w:spacing w:val="-12"/>
          <w:sz w:val="20"/>
        </w:rPr>
        <w:t> </w:t>
      </w:r>
      <w:r>
        <w:rPr>
          <w:sz w:val="20"/>
        </w:rPr>
        <w:t>raise</w:t>
      </w:r>
      <w:r>
        <w:rPr>
          <w:spacing w:val="-11"/>
          <w:sz w:val="20"/>
        </w:rPr>
        <w:t> </w:t>
      </w:r>
      <w:r>
        <w:rPr>
          <w:sz w:val="20"/>
        </w:rPr>
        <w:t>implications</w:t>
      </w:r>
      <w:r>
        <w:rPr>
          <w:spacing w:val="-12"/>
          <w:sz w:val="20"/>
        </w:rPr>
        <w:t> </w:t>
      </w:r>
      <w:r>
        <w:rPr>
          <w:sz w:val="20"/>
        </w:rPr>
        <w:t>in</w:t>
      </w:r>
      <w:r>
        <w:rPr>
          <w:spacing w:val="-11"/>
          <w:sz w:val="20"/>
        </w:rPr>
        <w:t> </w:t>
      </w:r>
      <w:r>
        <w:rPr>
          <w:sz w:val="20"/>
        </w:rPr>
        <w:t>terms</w:t>
      </w:r>
      <w:r>
        <w:rPr>
          <w:spacing w:val="-11"/>
          <w:sz w:val="20"/>
        </w:rPr>
        <w:t> </w:t>
      </w:r>
      <w:r>
        <w:rPr>
          <w:sz w:val="20"/>
        </w:rPr>
        <w:t>of</w:t>
      </w:r>
      <w:r>
        <w:rPr>
          <w:spacing w:val="-12"/>
          <w:sz w:val="20"/>
        </w:rPr>
        <w:t> </w:t>
      </w:r>
      <w:r>
        <w:rPr>
          <w:sz w:val="20"/>
        </w:rPr>
        <w:t>the</w:t>
      </w:r>
      <w:r>
        <w:rPr>
          <w:spacing w:val="-11"/>
          <w:sz w:val="20"/>
        </w:rPr>
        <w:t> </w:t>
      </w:r>
      <w:r>
        <w:rPr>
          <w:sz w:val="20"/>
        </w:rPr>
        <w:t>court’s</w:t>
      </w:r>
      <w:r>
        <w:rPr>
          <w:spacing w:val="-12"/>
          <w:sz w:val="20"/>
        </w:rPr>
        <w:t> </w:t>
      </w:r>
      <w:r>
        <w:rPr>
          <w:sz w:val="20"/>
        </w:rPr>
        <w:t>obligation</w:t>
      </w:r>
      <w:r>
        <w:rPr>
          <w:spacing w:val="-11"/>
          <w:sz w:val="20"/>
        </w:rPr>
        <w:t> </w:t>
      </w:r>
      <w:r>
        <w:rPr>
          <w:sz w:val="20"/>
        </w:rPr>
        <w:t>to</w:t>
      </w:r>
      <w:r>
        <w:rPr>
          <w:spacing w:val="-11"/>
          <w:sz w:val="20"/>
        </w:rPr>
        <w:t> </w:t>
      </w:r>
      <w:r>
        <w:rPr>
          <w:sz w:val="20"/>
        </w:rPr>
        <w:t>ensure</w:t>
      </w:r>
      <w:r>
        <w:rPr>
          <w:spacing w:val="-12"/>
          <w:sz w:val="20"/>
        </w:rPr>
        <w:t> </w:t>
      </w:r>
      <w:r>
        <w:rPr>
          <w:sz w:val="20"/>
        </w:rPr>
        <w:t>that</w:t>
      </w:r>
      <w:r>
        <w:rPr>
          <w:spacing w:val="-11"/>
          <w:sz w:val="20"/>
        </w:rPr>
        <w:t> </w:t>
      </w:r>
      <w:r>
        <w:rPr>
          <w:sz w:val="20"/>
        </w:rPr>
        <w:t>the</w:t>
      </w:r>
      <w:r>
        <w:rPr>
          <w:spacing w:val="-11"/>
          <w:sz w:val="20"/>
        </w:rPr>
        <w:t> </w:t>
      </w:r>
      <w:r>
        <w:rPr>
          <w:sz w:val="20"/>
        </w:rPr>
        <w:t>defendant</w:t>
      </w:r>
    </w:p>
    <w:p>
      <w:pPr>
        <w:pStyle w:val="BodyText"/>
        <w:spacing w:line="206" w:lineRule="auto" w:before="3"/>
        <w:ind w:left="1761" w:right="1181" w:hanging="1"/>
      </w:pPr>
      <w:r>
        <w:rPr>
          <w:spacing w:val="-3"/>
        </w:rPr>
        <w:t>receives </w:t>
      </w:r>
      <w:r>
        <w:rPr/>
        <w:t>a fair trial’. </w:t>
      </w:r>
      <w:r>
        <w:rPr>
          <w:position w:val="7"/>
          <w:sz w:val="11"/>
        </w:rPr>
        <w:t>47 </w:t>
      </w:r>
      <w:r>
        <w:rPr>
          <w:spacing w:val="-6"/>
        </w:rPr>
        <w:t>We </w:t>
      </w:r>
      <w:r>
        <w:rPr/>
        <w:t>discuss fair trial safeguards including judicial </w:t>
      </w:r>
      <w:r>
        <w:rPr>
          <w:spacing w:val="-3"/>
        </w:rPr>
        <w:t>oversight </w:t>
      </w:r>
      <w:r>
        <w:rPr/>
        <w:t>later in this</w:t>
      </w:r>
      <w:r>
        <w:rPr>
          <w:spacing w:val="-4"/>
        </w:rPr>
        <w:t> chapter.</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In</w:t>
      </w:r>
      <w:r>
        <w:rPr>
          <w:spacing w:val="-6"/>
          <w:sz w:val="20"/>
        </w:rPr>
        <w:t> </w:t>
      </w:r>
      <w:r>
        <w:rPr>
          <w:sz w:val="20"/>
        </w:rPr>
        <w:t>response</w:t>
      </w:r>
      <w:r>
        <w:rPr>
          <w:spacing w:val="-5"/>
          <w:sz w:val="20"/>
        </w:rPr>
        <w:t> </w:t>
      </w:r>
      <w:r>
        <w:rPr>
          <w:sz w:val="20"/>
        </w:rPr>
        <w:t>to</w:t>
      </w:r>
      <w:r>
        <w:rPr>
          <w:spacing w:val="-6"/>
          <w:sz w:val="20"/>
        </w:rPr>
        <w:t> </w:t>
      </w:r>
      <w:r>
        <w:rPr>
          <w:sz w:val="20"/>
        </w:rPr>
        <w:t>the</w:t>
      </w:r>
      <w:r>
        <w:rPr>
          <w:spacing w:val="-5"/>
          <w:sz w:val="20"/>
        </w:rPr>
        <w:t> </w:t>
      </w:r>
      <w:r>
        <w:rPr>
          <w:sz w:val="20"/>
        </w:rPr>
        <w:t>United</w:t>
      </w:r>
      <w:r>
        <w:rPr>
          <w:spacing w:val="-5"/>
          <w:sz w:val="20"/>
        </w:rPr>
        <w:t> </w:t>
      </w:r>
      <w:r>
        <w:rPr>
          <w:sz w:val="20"/>
        </w:rPr>
        <w:t>Nations</w:t>
      </w:r>
      <w:r>
        <w:rPr>
          <w:spacing w:val="-6"/>
          <w:sz w:val="20"/>
        </w:rPr>
        <w:t> </w:t>
      </w:r>
      <w:r>
        <w:rPr>
          <w:sz w:val="20"/>
        </w:rPr>
        <w:t>case</w:t>
      </w:r>
      <w:r>
        <w:rPr>
          <w:spacing w:val="-5"/>
          <w:sz w:val="20"/>
        </w:rPr>
        <w:t> </w:t>
      </w:r>
      <w:r>
        <w:rPr>
          <w:sz w:val="20"/>
        </w:rPr>
        <w:t>of</w:t>
      </w:r>
      <w:r>
        <w:rPr>
          <w:spacing w:val="-5"/>
          <w:sz w:val="20"/>
        </w:rPr>
        <w:t> </w:t>
      </w:r>
      <w:r>
        <w:rPr>
          <w:i/>
          <w:sz w:val="20"/>
        </w:rPr>
        <w:t>JH</w:t>
      </w:r>
      <w:r>
        <w:rPr>
          <w:i/>
          <w:spacing w:val="-6"/>
          <w:sz w:val="20"/>
        </w:rPr>
        <w:t> </w:t>
      </w:r>
      <w:r>
        <w:rPr>
          <w:i/>
          <w:sz w:val="20"/>
        </w:rPr>
        <w:t>v</w:t>
      </w:r>
      <w:r>
        <w:rPr>
          <w:i/>
          <w:spacing w:val="-5"/>
          <w:sz w:val="20"/>
        </w:rPr>
        <w:t> </w:t>
      </w:r>
      <w:r>
        <w:rPr>
          <w:i/>
          <w:spacing w:val="-3"/>
          <w:sz w:val="20"/>
        </w:rPr>
        <w:t>Australia</w:t>
      </w:r>
      <w:r>
        <w:rPr>
          <w:spacing w:val="-3"/>
          <w:sz w:val="20"/>
        </w:rPr>
        <w:t>,</w:t>
      </w:r>
      <w:r>
        <w:rPr>
          <w:spacing w:val="-5"/>
          <w:sz w:val="20"/>
        </w:rPr>
        <w:t> </w:t>
      </w:r>
      <w:r>
        <w:rPr>
          <w:sz w:val="20"/>
        </w:rPr>
        <w:t>Australia</w:t>
      </w:r>
      <w:r>
        <w:rPr>
          <w:spacing w:val="-6"/>
          <w:sz w:val="20"/>
        </w:rPr>
        <w:t> </w:t>
      </w:r>
      <w:r>
        <w:rPr>
          <w:sz w:val="20"/>
        </w:rPr>
        <w:t>commented:</w:t>
      </w:r>
    </w:p>
    <w:p>
      <w:pPr>
        <w:spacing w:line="208" w:lineRule="auto" w:before="112"/>
        <w:ind w:left="2157" w:right="1202" w:firstLine="0"/>
        <w:jc w:val="left"/>
        <w:rPr>
          <w:sz w:val="11"/>
        </w:rPr>
      </w:pPr>
      <w:r>
        <w:rPr>
          <w:sz w:val="19"/>
        </w:rPr>
        <w:t>all interpretation from one language to another involves some degree of subjective interpretation. In particular, there may be interpretative ambiguities in conveying shade, mannerisms, nuance and tone through an Auslan interpreter. A deaf juror will not be able to make their own direct assessment of such evidence, but would instead need to rely on the interpretation of the translator.</w:t>
      </w:r>
      <w:r>
        <w:rPr>
          <w:position w:val="6"/>
          <w:sz w:val="11"/>
        </w:rPr>
        <w:t>48</w:t>
      </w:r>
    </w:p>
    <w:p>
      <w:pPr>
        <w:pStyle w:val="ListParagraph"/>
        <w:numPr>
          <w:ilvl w:val="1"/>
          <w:numId w:val="12"/>
        </w:numPr>
        <w:tabs>
          <w:tab w:pos="1761" w:val="left" w:leader="none"/>
          <w:tab w:pos="1762" w:val="left" w:leader="none"/>
        </w:tabs>
        <w:spacing w:line="206" w:lineRule="auto" w:before="125" w:after="0"/>
        <w:ind w:left="1761" w:right="1320" w:hanging="794"/>
        <w:jc w:val="left"/>
        <w:rPr>
          <w:sz w:val="11"/>
        </w:rPr>
      </w:pPr>
      <w:r>
        <w:rPr>
          <w:sz w:val="20"/>
        </w:rPr>
        <w:t>The Supreme Court observed that ‘the “same </w:t>
      </w:r>
      <w:r>
        <w:rPr>
          <w:spacing w:val="-3"/>
          <w:sz w:val="20"/>
        </w:rPr>
        <w:t>evidence” </w:t>
      </w:r>
      <w:r>
        <w:rPr>
          <w:sz w:val="20"/>
        </w:rPr>
        <w:t>argument is </w:t>
      </w:r>
      <w:r>
        <w:rPr>
          <w:spacing w:val="-3"/>
          <w:sz w:val="20"/>
        </w:rPr>
        <w:t>likely </w:t>
      </w:r>
      <w:r>
        <w:rPr>
          <w:sz w:val="20"/>
        </w:rPr>
        <w:t>to be raised</w:t>
      </w:r>
      <w:r>
        <w:rPr>
          <w:spacing w:val="-8"/>
          <w:sz w:val="20"/>
        </w:rPr>
        <w:t> </w:t>
      </w:r>
      <w:r>
        <w:rPr>
          <w:spacing w:val="-3"/>
          <w:sz w:val="20"/>
        </w:rPr>
        <w:t>by</w:t>
      </w:r>
      <w:r>
        <w:rPr>
          <w:spacing w:val="-7"/>
          <w:sz w:val="20"/>
        </w:rPr>
        <w:t> </w:t>
      </w:r>
      <w:r>
        <w:rPr>
          <w:sz w:val="20"/>
        </w:rPr>
        <w:t>counsel</w:t>
      </w:r>
      <w:r>
        <w:rPr>
          <w:spacing w:val="-8"/>
          <w:sz w:val="20"/>
        </w:rPr>
        <w:t> </w:t>
      </w:r>
      <w:r>
        <w:rPr>
          <w:sz w:val="20"/>
        </w:rPr>
        <w:t>if</w:t>
      </w:r>
      <w:r>
        <w:rPr>
          <w:spacing w:val="-7"/>
          <w:sz w:val="20"/>
        </w:rPr>
        <w:t> </w:t>
      </w:r>
      <w:r>
        <w:rPr>
          <w:sz w:val="20"/>
        </w:rPr>
        <w:t>the</w:t>
      </w:r>
      <w:r>
        <w:rPr>
          <w:spacing w:val="-7"/>
          <w:sz w:val="20"/>
        </w:rPr>
        <w:t> </w:t>
      </w:r>
      <w:r>
        <w:rPr>
          <w:sz w:val="20"/>
        </w:rPr>
        <w:t>Court</w:t>
      </w:r>
      <w:r>
        <w:rPr>
          <w:spacing w:val="-8"/>
          <w:sz w:val="20"/>
        </w:rPr>
        <w:t> </w:t>
      </w:r>
      <w:r>
        <w:rPr>
          <w:sz w:val="20"/>
        </w:rPr>
        <w:t>is</w:t>
      </w:r>
      <w:r>
        <w:rPr>
          <w:spacing w:val="-7"/>
          <w:sz w:val="20"/>
        </w:rPr>
        <w:t> </w:t>
      </w:r>
      <w:r>
        <w:rPr>
          <w:spacing w:val="-3"/>
          <w:sz w:val="20"/>
        </w:rPr>
        <w:t>required</w:t>
      </w:r>
      <w:r>
        <w:rPr>
          <w:spacing w:val="-8"/>
          <w:sz w:val="20"/>
        </w:rPr>
        <w:t> </w:t>
      </w:r>
      <w:r>
        <w:rPr>
          <w:sz w:val="20"/>
        </w:rPr>
        <w:t>to</w:t>
      </w:r>
      <w:r>
        <w:rPr>
          <w:spacing w:val="-7"/>
          <w:sz w:val="20"/>
        </w:rPr>
        <w:t> </w:t>
      </w:r>
      <w:r>
        <w:rPr>
          <w:sz w:val="20"/>
        </w:rPr>
        <w:t>determine</w:t>
      </w:r>
      <w:r>
        <w:rPr>
          <w:spacing w:val="-7"/>
          <w:sz w:val="20"/>
        </w:rPr>
        <w:t> </w:t>
      </w:r>
      <w:r>
        <w:rPr>
          <w:sz w:val="20"/>
        </w:rPr>
        <w:t>whether</w:t>
      </w:r>
      <w:r>
        <w:rPr>
          <w:spacing w:val="-8"/>
          <w:sz w:val="20"/>
        </w:rPr>
        <w:t> </w:t>
      </w:r>
      <w:r>
        <w:rPr>
          <w:sz w:val="20"/>
        </w:rPr>
        <w:t>a</w:t>
      </w:r>
      <w:r>
        <w:rPr>
          <w:spacing w:val="-7"/>
          <w:sz w:val="20"/>
        </w:rPr>
        <w:t> </w:t>
      </w:r>
      <w:r>
        <w:rPr>
          <w:sz w:val="20"/>
        </w:rPr>
        <w:t>person</w:t>
      </w:r>
      <w:r>
        <w:rPr>
          <w:spacing w:val="-8"/>
          <w:sz w:val="20"/>
        </w:rPr>
        <w:t> </w:t>
      </w:r>
      <w:r>
        <w:rPr>
          <w:sz w:val="20"/>
        </w:rPr>
        <w:t>who</w:t>
      </w:r>
      <w:r>
        <w:rPr>
          <w:spacing w:val="-7"/>
          <w:sz w:val="20"/>
        </w:rPr>
        <w:t> </w:t>
      </w:r>
      <w:r>
        <w:rPr>
          <w:spacing w:val="-3"/>
          <w:sz w:val="20"/>
        </w:rPr>
        <w:t>requires </w:t>
      </w:r>
      <w:r>
        <w:rPr>
          <w:sz w:val="20"/>
        </w:rPr>
        <w:t>the assistance of an Auslan </w:t>
      </w:r>
      <w:r>
        <w:rPr>
          <w:spacing w:val="-3"/>
          <w:sz w:val="20"/>
        </w:rPr>
        <w:t>interpreter </w:t>
      </w:r>
      <w:r>
        <w:rPr>
          <w:sz w:val="20"/>
        </w:rPr>
        <w:t>or describer is able to serve as a </w:t>
      </w:r>
      <w:r>
        <w:rPr>
          <w:spacing w:val="-4"/>
          <w:sz w:val="20"/>
        </w:rPr>
        <w:t>juror’. </w:t>
      </w:r>
      <w:r>
        <w:rPr>
          <w:position w:val="7"/>
          <w:sz w:val="11"/>
        </w:rPr>
        <w:t>49 </w:t>
      </w:r>
      <w:r>
        <w:rPr>
          <w:sz w:val="20"/>
        </w:rPr>
        <w:t>It suggested</w:t>
      </w:r>
      <w:r>
        <w:rPr>
          <w:spacing w:val="-14"/>
          <w:sz w:val="20"/>
        </w:rPr>
        <w:t> </w:t>
      </w:r>
      <w:r>
        <w:rPr>
          <w:sz w:val="20"/>
        </w:rPr>
        <w:t>that</w:t>
      </w:r>
      <w:r>
        <w:rPr>
          <w:spacing w:val="-14"/>
          <w:sz w:val="20"/>
        </w:rPr>
        <w:t> </w:t>
      </w:r>
      <w:r>
        <w:rPr>
          <w:sz w:val="20"/>
        </w:rPr>
        <w:t>this</w:t>
      </w:r>
      <w:r>
        <w:rPr>
          <w:spacing w:val="-14"/>
          <w:sz w:val="20"/>
        </w:rPr>
        <w:t> </w:t>
      </w:r>
      <w:r>
        <w:rPr>
          <w:sz w:val="20"/>
        </w:rPr>
        <w:t>issue</w:t>
      </w:r>
      <w:r>
        <w:rPr>
          <w:spacing w:val="-13"/>
          <w:sz w:val="20"/>
        </w:rPr>
        <w:t> </w:t>
      </w:r>
      <w:r>
        <w:rPr>
          <w:spacing w:val="-3"/>
          <w:sz w:val="20"/>
        </w:rPr>
        <w:t>may</w:t>
      </w:r>
      <w:r>
        <w:rPr>
          <w:spacing w:val="-14"/>
          <w:sz w:val="20"/>
        </w:rPr>
        <w:t> </w:t>
      </w:r>
      <w:r>
        <w:rPr>
          <w:sz w:val="20"/>
        </w:rPr>
        <w:t>benefit</w:t>
      </w:r>
      <w:r>
        <w:rPr>
          <w:spacing w:val="-14"/>
          <w:sz w:val="20"/>
        </w:rPr>
        <w:t> </w:t>
      </w:r>
      <w:r>
        <w:rPr>
          <w:spacing w:val="-3"/>
          <w:sz w:val="20"/>
        </w:rPr>
        <w:t>from</w:t>
      </w:r>
      <w:r>
        <w:rPr>
          <w:spacing w:val="-13"/>
          <w:sz w:val="20"/>
        </w:rPr>
        <w:t> </w:t>
      </w:r>
      <w:r>
        <w:rPr>
          <w:sz w:val="20"/>
        </w:rPr>
        <w:t>legislative</w:t>
      </w:r>
      <w:r>
        <w:rPr>
          <w:spacing w:val="-14"/>
          <w:sz w:val="20"/>
        </w:rPr>
        <w:t> </w:t>
      </w:r>
      <w:r>
        <w:rPr>
          <w:sz w:val="20"/>
        </w:rPr>
        <w:t>clarification.</w:t>
      </w:r>
      <w:r>
        <w:rPr>
          <w:spacing w:val="-14"/>
          <w:sz w:val="20"/>
        </w:rPr>
        <w:t> </w:t>
      </w:r>
      <w:r>
        <w:rPr>
          <w:sz w:val="20"/>
        </w:rPr>
        <w:t>The</w:t>
      </w:r>
      <w:r>
        <w:rPr>
          <w:spacing w:val="-14"/>
          <w:sz w:val="20"/>
        </w:rPr>
        <w:t> </w:t>
      </w:r>
      <w:r>
        <w:rPr>
          <w:sz w:val="20"/>
        </w:rPr>
        <w:t>Court</w:t>
      </w:r>
      <w:r>
        <w:rPr>
          <w:spacing w:val="-13"/>
          <w:sz w:val="20"/>
        </w:rPr>
        <w:t> </w:t>
      </w:r>
      <w:r>
        <w:rPr>
          <w:sz w:val="20"/>
        </w:rPr>
        <w:t>identified that</w:t>
      </w:r>
      <w:r>
        <w:rPr>
          <w:spacing w:val="-9"/>
          <w:sz w:val="20"/>
        </w:rPr>
        <w:t> </w:t>
      </w:r>
      <w:r>
        <w:rPr>
          <w:sz w:val="20"/>
        </w:rPr>
        <w:t>it</w:t>
      </w:r>
      <w:r>
        <w:rPr>
          <w:spacing w:val="-8"/>
          <w:sz w:val="20"/>
        </w:rPr>
        <w:t> </w:t>
      </w:r>
      <w:r>
        <w:rPr>
          <w:sz w:val="20"/>
        </w:rPr>
        <w:t>was</w:t>
      </w:r>
      <w:r>
        <w:rPr>
          <w:spacing w:val="-9"/>
          <w:sz w:val="20"/>
        </w:rPr>
        <w:t> </w:t>
      </w:r>
      <w:r>
        <w:rPr>
          <w:sz w:val="20"/>
        </w:rPr>
        <w:t>not</w:t>
      </w:r>
      <w:r>
        <w:rPr>
          <w:spacing w:val="-8"/>
          <w:sz w:val="20"/>
        </w:rPr>
        <w:t> </w:t>
      </w:r>
      <w:r>
        <w:rPr>
          <w:sz w:val="20"/>
        </w:rPr>
        <w:t>necessary</w:t>
      </w:r>
      <w:r>
        <w:rPr>
          <w:spacing w:val="-9"/>
          <w:sz w:val="20"/>
        </w:rPr>
        <w:t> </w:t>
      </w:r>
      <w:r>
        <w:rPr>
          <w:sz w:val="20"/>
        </w:rPr>
        <w:t>for</w:t>
      </w:r>
      <w:r>
        <w:rPr>
          <w:spacing w:val="-8"/>
          <w:sz w:val="20"/>
        </w:rPr>
        <w:t> </w:t>
      </w:r>
      <w:r>
        <w:rPr>
          <w:sz w:val="20"/>
        </w:rPr>
        <w:t>the</w:t>
      </w:r>
      <w:r>
        <w:rPr>
          <w:spacing w:val="-9"/>
          <w:sz w:val="20"/>
        </w:rPr>
        <w:t> </w:t>
      </w:r>
      <w:r>
        <w:rPr>
          <w:sz w:val="20"/>
        </w:rPr>
        <w:t>High</w:t>
      </w:r>
      <w:r>
        <w:rPr>
          <w:spacing w:val="-8"/>
          <w:sz w:val="20"/>
        </w:rPr>
        <w:t> </w:t>
      </w:r>
      <w:r>
        <w:rPr>
          <w:sz w:val="20"/>
        </w:rPr>
        <w:t>Court</w:t>
      </w:r>
      <w:r>
        <w:rPr>
          <w:spacing w:val="-9"/>
          <w:sz w:val="20"/>
        </w:rPr>
        <w:t> </w:t>
      </w:r>
      <w:r>
        <w:rPr>
          <w:sz w:val="20"/>
        </w:rPr>
        <w:t>to</w:t>
      </w:r>
      <w:r>
        <w:rPr>
          <w:spacing w:val="-8"/>
          <w:sz w:val="20"/>
        </w:rPr>
        <w:t> </w:t>
      </w:r>
      <w:r>
        <w:rPr>
          <w:sz w:val="20"/>
        </w:rPr>
        <w:t>address</w:t>
      </w:r>
      <w:r>
        <w:rPr>
          <w:spacing w:val="-9"/>
          <w:sz w:val="20"/>
        </w:rPr>
        <w:t> </w:t>
      </w:r>
      <w:r>
        <w:rPr>
          <w:sz w:val="20"/>
        </w:rPr>
        <w:t>the</w:t>
      </w:r>
      <w:r>
        <w:rPr>
          <w:spacing w:val="-8"/>
          <w:sz w:val="20"/>
        </w:rPr>
        <w:t> </w:t>
      </w:r>
      <w:r>
        <w:rPr>
          <w:sz w:val="20"/>
        </w:rPr>
        <w:t>argument</w:t>
      </w:r>
      <w:r>
        <w:rPr>
          <w:spacing w:val="-9"/>
          <w:sz w:val="20"/>
        </w:rPr>
        <w:t> </w:t>
      </w:r>
      <w:r>
        <w:rPr>
          <w:sz w:val="20"/>
        </w:rPr>
        <w:t>in</w:t>
      </w:r>
      <w:r>
        <w:rPr>
          <w:spacing w:val="-8"/>
          <w:sz w:val="20"/>
        </w:rPr>
        <w:t> </w:t>
      </w:r>
      <w:r>
        <w:rPr>
          <w:sz w:val="20"/>
        </w:rPr>
        <w:t>the</w:t>
      </w:r>
      <w:r>
        <w:rPr>
          <w:spacing w:val="-9"/>
          <w:sz w:val="20"/>
        </w:rPr>
        <w:t> </w:t>
      </w:r>
      <w:r>
        <w:rPr>
          <w:i/>
          <w:spacing w:val="-4"/>
          <w:sz w:val="20"/>
        </w:rPr>
        <w:t>Lyons</w:t>
      </w:r>
      <w:r>
        <w:rPr>
          <w:i/>
          <w:spacing w:val="-7"/>
          <w:sz w:val="20"/>
        </w:rPr>
        <w:t> </w:t>
      </w:r>
      <w:r>
        <w:rPr>
          <w:sz w:val="20"/>
        </w:rPr>
        <w:t>case because</w:t>
      </w:r>
      <w:r>
        <w:rPr>
          <w:spacing w:val="-7"/>
          <w:sz w:val="20"/>
        </w:rPr>
        <w:t> </w:t>
      </w:r>
      <w:r>
        <w:rPr>
          <w:sz w:val="20"/>
        </w:rPr>
        <w:t>there</w:t>
      </w:r>
      <w:r>
        <w:rPr>
          <w:spacing w:val="-7"/>
          <w:sz w:val="20"/>
        </w:rPr>
        <w:t> </w:t>
      </w:r>
      <w:r>
        <w:rPr>
          <w:sz w:val="20"/>
        </w:rPr>
        <w:t>was</w:t>
      </w:r>
      <w:r>
        <w:rPr>
          <w:spacing w:val="-7"/>
          <w:sz w:val="20"/>
        </w:rPr>
        <w:t> </w:t>
      </w:r>
      <w:r>
        <w:rPr>
          <w:sz w:val="20"/>
        </w:rPr>
        <w:t>no</w:t>
      </w:r>
      <w:r>
        <w:rPr>
          <w:spacing w:val="-6"/>
          <w:sz w:val="20"/>
        </w:rPr>
        <w:t> </w:t>
      </w:r>
      <w:r>
        <w:rPr>
          <w:sz w:val="20"/>
        </w:rPr>
        <w:t>statutory</w:t>
      </w:r>
      <w:r>
        <w:rPr>
          <w:spacing w:val="-7"/>
          <w:sz w:val="20"/>
        </w:rPr>
        <w:t> </w:t>
      </w:r>
      <w:r>
        <w:rPr>
          <w:spacing w:val="-3"/>
          <w:sz w:val="20"/>
        </w:rPr>
        <w:t>provision</w:t>
      </w:r>
      <w:r>
        <w:rPr>
          <w:spacing w:val="-7"/>
          <w:sz w:val="20"/>
        </w:rPr>
        <w:t> </w:t>
      </w:r>
      <w:r>
        <w:rPr>
          <w:sz w:val="20"/>
        </w:rPr>
        <w:t>enabling</w:t>
      </w:r>
      <w:r>
        <w:rPr>
          <w:spacing w:val="-6"/>
          <w:sz w:val="20"/>
        </w:rPr>
        <w:t> </w:t>
      </w:r>
      <w:r>
        <w:rPr>
          <w:sz w:val="20"/>
        </w:rPr>
        <w:t>a</w:t>
      </w:r>
      <w:r>
        <w:rPr>
          <w:spacing w:val="-7"/>
          <w:sz w:val="20"/>
        </w:rPr>
        <w:t> </w:t>
      </w:r>
      <w:r>
        <w:rPr>
          <w:sz w:val="20"/>
        </w:rPr>
        <w:t>13th</w:t>
      </w:r>
      <w:r>
        <w:rPr>
          <w:spacing w:val="-7"/>
          <w:sz w:val="20"/>
        </w:rPr>
        <w:t> </w:t>
      </w:r>
      <w:r>
        <w:rPr>
          <w:sz w:val="20"/>
        </w:rPr>
        <w:t>person</w:t>
      </w:r>
      <w:r>
        <w:rPr>
          <w:spacing w:val="-7"/>
          <w:sz w:val="20"/>
        </w:rPr>
        <w:t> </w:t>
      </w:r>
      <w:r>
        <w:rPr>
          <w:sz w:val="20"/>
        </w:rPr>
        <w:t>in</w:t>
      </w:r>
      <w:r>
        <w:rPr>
          <w:spacing w:val="-6"/>
          <w:sz w:val="20"/>
        </w:rPr>
        <w:t> </w:t>
      </w:r>
      <w:r>
        <w:rPr>
          <w:sz w:val="20"/>
        </w:rPr>
        <w:t>the</w:t>
      </w:r>
      <w:r>
        <w:rPr>
          <w:spacing w:val="-7"/>
          <w:sz w:val="20"/>
        </w:rPr>
        <w:t> </w:t>
      </w:r>
      <w:r>
        <w:rPr>
          <w:sz w:val="20"/>
        </w:rPr>
        <w:t>jury</w:t>
      </w:r>
      <w:r>
        <w:rPr>
          <w:spacing w:val="-7"/>
          <w:sz w:val="20"/>
        </w:rPr>
        <w:t> </w:t>
      </w:r>
      <w:r>
        <w:rPr>
          <w:sz w:val="20"/>
        </w:rPr>
        <w:t>room.</w:t>
      </w:r>
      <w:r>
        <w:rPr>
          <w:position w:val="7"/>
          <w:sz w:val="11"/>
        </w:rPr>
        <w:t>50</w:t>
      </w:r>
    </w:p>
    <w:p>
      <w:pPr>
        <w:pStyle w:val="ListParagraph"/>
        <w:numPr>
          <w:ilvl w:val="1"/>
          <w:numId w:val="12"/>
        </w:numPr>
        <w:tabs>
          <w:tab w:pos="1761" w:val="left" w:leader="none"/>
          <w:tab w:pos="1762" w:val="left" w:leader="none"/>
        </w:tabs>
        <w:spacing w:line="206" w:lineRule="auto" w:before="128" w:after="0"/>
        <w:ind w:left="1761" w:right="1551" w:hanging="794"/>
        <w:jc w:val="left"/>
        <w:rPr>
          <w:sz w:val="20"/>
        </w:rPr>
      </w:pPr>
      <w:r>
        <w:rPr>
          <w:sz w:val="20"/>
        </w:rPr>
        <w:t>This argument can </w:t>
      </w:r>
      <w:r>
        <w:rPr>
          <w:spacing w:val="-3"/>
          <w:sz w:val="20"/>
        </w:rPr>
        <w:t>only </w:t>
      </w:r>
      <w:r>
        <w:rPr>
          <w:sz w:val="20"/>
        </w:rPr>
        <w:t>be raised in relation to evidence </w:t>
      </w:r>
      <w:r>
        <w:rPr>
          <w:spacing w:val="-3"/>
          <w:sz w:val="20"/>
        </w:rPr>
        <w:t>presented </w:t>
      </w:r>
      <w:r>
        <w:rPr>
          <w:sz w:val="20"/>
        </w:rPr>
        <w:t>in court when the jury is hearing or seeing evidence </w:t>
      </w:r>
      <w:r>
        <w:rPr>
          <w:spacing w:val="-3"/>
          <w:sz w:val="20"/>
        </w:rPr>
        <w:t>(interpreted </w:t>
      </w:r>
      <w:r>
        <w:rPr>
          <w:sz w:val="20"/>
        </w:rPr>
        <w:t>or not). It does not </w:t>
      </w:r>
      <w:r>
        <w:rPr>
          <w:spacing w:val="-3"/>
          <w:sz w:val="20"/>
        </w:rPr>
        <w:t>apply </w:t>
      </w:r>
      <w:r>
        <w:rPr>
          <w:sz w:val="20"/>
        </w:rPr>
        <w:t>to jury room deliberations. The fact that the </w:t>
      </w:r>
      <w:r>
        <w:rPr>
          <w:spacing w:val="-3"/>
          <w:sz w:val="20"/>
        </w:rPr>
        <w:t>interpretation </w:t>
      </w:r>
      <w:r>
        <w:rPr>
          <w:sz w:val="20"/>
        </w:rPr>
        <w:t>that happens in the jury room cannot</w:t>
      </w:r>
      <w:r>
        <w:rPr>
          <w:spacing w:val="-10"/>
          <w:sz w:val="20"/>
        </w:rPr>
        <w:t> </w:t>
      </w:r>
      <w:r>
        <w:rPr>
          <w:sz w:val="20"/>
        </w:rPr>
        <w:t>be</w:t>
      </w:r>
      <w:r>
        <w:rPr>
          <w:spacing w:val="-10"/>
          <w:sz w:val="20"/>
        </w:rPr>
        <w:t> </w:t>
      </w:r>
      <w:r>
        <w:rPr>
          <w:sz w:val="20"/>
        </w:rPr>
        <w:t>verified</w:t>
      </w:r>
      <w:r>
        <w:rPr>
          <w:spacing w:val="-9"/>
          <w:sz w:val="20"/>
        </w:rPr>
        <w:t> </w:t>
      </w:r>
      <w:r>
        <w:rPr>
          <w:sz w:val="20"/>
        </w:rPr>
        <w:t>is</w:t>
      </w:r>
      <w:r>
        <w:rPr>
          <w:spacing w:val="-10"/>
          <w:sz w:val="20"/>
        </w:rPr>
        <w:t> </w:t>
      </w:r>
      <w:r>
        <w:rPr>
          <w:sz w:val="20"/>
        </w:rPr>
        <w:t>an</w:t>
      </w:r>
      <w:r>
        <w:rPr>
          <w:spacing w:val="-9"/>
          <w:sz w:val="20"/>
        </w:rPr>
        <w:t> </w:t>
      </w:r>
      <w:r>
        <w:rPr>
          <w:sz w:val="20"/>
        </w:rPr>
        <w:t>issue</w:t>
      </w:r>
      <w:r>
        <w:rPr>
          <w:spacing w:val="-10"/>
          <w:sz w:val="20"/>
        </w:rPr>
        <w:t> </w:t>
      </w:r>
      <w:r>
        <w:rPr>
          <w:sz w:val="20"/>
        </w:rPr>
        <w:t>which</w:t>
      </w:r>
      <w:r>
        <w:rPr>
          <w:spacing w:val="-9"/>
          <w:sz w:val="20"/>
        </w:rPr>
        <w:t> </w:t>
      </w:r>
      <w:r>
        <w:rPr>
          <w:sz w:val="20"/>
        </w:rPr>
        <w:t>cannot</w:t>
      </w:r>
      <w:r>
        <w:rPr>
          <w:spacing w:val="-10"/>
          <w:sz w:val="20"/>
        </w:rPr>
        <w:t> </w:t>
      </w:r>
      <w:r>
        <w:rPr>
          <w:sz w:val="20"/>
        </w:rPr>
        <w:t>be</w:t>
      </w:r>
      <w:r>
        <w:rPr>
          <w:spacing w:val="-9"/>
          <w:sz w:val="20"/>
        </w:rPr>
        <w:t> </w:t>
      </w:r>
      <w:r>
        <w:rPr>
          <w:sz w:val="20"/>
        </w:rPr>
        <w:t>addressed</w:t>
      </w:r>
      <w:r>
        <w:rPr>
          <w:spacing w:val="-10"/>
          <w:sz w:val="20"/>
        </w:rPr>
        <w:t> </w:t>
      </w:r>
      <w:r>
        <w:rPr>
          <w:sz w:val="20"/>
        </w:rPr>
        <w:t>under</w:t>
      </w:r>
      <w:r>
        <w:rPr>
          <w:spacing w:val="-9"/>
          <w:sz w:val="20"/>
        </w:rPr>
        <w:t> </w:t>
      </w:r>
      <w:r>
        <w:rPr>
          <w:sz w:val="20"/>
        </w:rPr>
        <w:t>the</w:t>
      </w:r>
      <w:r>
        <w:rPr>
          <w:spacing w:val="-10"/>
          <w:sz w:val="20"/>
        </w:rPr>
        <w:t> </w:t>
      </w:r>
      <w:r>
        <w:rPr>
          <w:spacing w:val="-3"/>
          <w:sz w:val="20"/>
        </w:rPr>
        <w:t>current</w:t>
      </w:r>
      <w:r>
        <w:rPr>
          <w:spacing w:val="-9"/>
          <w:sz w:val="20"/>
        </w:rPr>
        <w:t> </w:t>
      </w:r>
      <w:r>
        <w:rPr>
          <w:sz w:val="20"/>
        </w:rPr>
        <w:t>rules</w:t>
      </w:r>
      <w:r>
        <w:rPr>
          <w:spacing w:val="-10"/>
          <w:sz w:val="20"/>
        </w:rPr>
        <w:t> </w:t>
      </w:r>
      <w:r>
        <w:rPr>
          <w:sz w:val="20"/>
        </w:rPr>
        <w:t>of jury</w:t>
      </w:r>
      <w:r>
        <w:rPr>
          <w:spacing w:val="-12"/>
          <w:sz w:val="20"/>
        </w:rPr>
        <w:t> </w:t>
      </w:r>
      <w:r>
        <w:rPr>
          <w:sz w:val="20"/>
        </w:rPr>
        <w:t>confidentiality.</w:t>
      </w:r>
      <w:r>
        <w:rPr>
          <w:spacing w:val="-12"/>
          <w:sz w:val="20"/>
        </w:rPr>
        <w:t> </w:t>
      </w:r>
      <w:r>
        <w:rPr>
          <w:sz w:val="20"/>
        </w:rPr>
        <w:t>There</w:t>
      </w:r>
      <w:r>
        <w:rPr>
          <w:spacing w:val="-12"/>
          <w:sz w:val="20"/>
        </w:rPr>
        <w:t> </w:t>
      </w:r>
      <w:r>
        <w:rPr>
          <w:sz w:val="20"/>
        </w:rPr>
        <w:t>has</w:t>
      </w:r>
      <w:r>
        <w:rPr>
          <w:spacing w:val="-12"/>
          <w:sz w:val="20"/>
        </w:rPr>
        <w:t> </w:t>
      </w:r>
      <w:r>
        <w:rPr>
          <w:spacing w:val="-3"/>
          <w:sz w:val="20"/>
        </w:rPr>
        <w:t>never</w:t>
      </w:r>
      <w:r>
        <w:rPr>
          <w:spacing w:val="-11"/>
          <w:sz w:val="20"/>
        </w:rPr>
        <w:t> </w:t>
      </w:r>
      <w:r>
        <w:rPr>
          <w:sz w:val="20"/>
        </w:rPr>
        <w:t>been</w:t>
      </w:r>
      <w:r>
        <w:rPr>
          <w:spacing w:val="-12"/>
          <w:sz w:val="20"/>
        </w:rPr>
        <w:t> </w:t>
      </w:r>
      <w:r>
        <w:rPr>
          <w:spacing w:val="-3"/>
          <w:sz w:val="20"/>
        </w:rPr>
        <w:t>any</w:t>
      </w:r>
      <w:r>
        <w:rPr>
          <w:spacing w:val="-12"/>
          <w:sz w:val="20"/>
        </w:rPr>
        <w:t> </w:t>
      </w:r>
      <w:r>
        <w:rPr>
          <w:spacing w:val="-3"/>
          <w:sz w:val="20"/>
        </w:rPr>
        <w:t>procedure</w:t>
      </w:r>
      <w:r>
        <w:rPr>
          <w:spacing w:val="-12"/>
          <w:sz w:val="20"/>
        </w:rPr>
        <w:t> </w:t>
      </w:r>
      <w:r>
        <w:rPr>
          <w:sz w:val="20"/>
        </w:rPr>
        <w:t>for</w:t>
      </w:r>
      <w:r>
        <w:rPr>
          <w:spacing w:val="-12"/>
          <w:sz w:val="20"/>
        </w:rPr>
        <w:t> </w:t>
      </w:r>
      <w:r>
        <w:rPr>
          <w:sz w:val="20"/>
        </w:rPr>
        <w:t>recording,</w:t>
      </w:r>
      <w:r>
        <w:rPr>
          <w:spacing w:val="-11"/>
          <w:sz w:val="20"/>
        </w:rPr>
        <w:t> </w:t>
      </w:r>
      <w:r>
        <w:rPr>
          <w:sz w:val="20"/>
        </w:rPr>
        <w:t>assessing,</w:t>
      </w:r>
      <w:r>
        <w:rPr>
          <w:spacing w:val="-12"/>
          <w:sz w:val="20"/>
        </w:rPr>
        <w:t> </w:t>
      </w:r>
      <w:r>
        <w:rPr>
          <w:sz w:val="20"/>
        </w:rPr>
        <w:t>or checking the actual substance of jury</w:t>
      </w:r>
      <w:r>
        <w:rPr>
          <w:spacing w:val="-30"/>
          <w:sz w:val="20"/>
        </w:rPr>
        <w:t> </w:t>
      </w:r>
      <w:r>
        <w:rPr>
          <w:sz w:val="20"/>
        </w:rPr>
        <w:t>deliberations.</w:t>
      </w:r>
    </w:p>
    <w:p>
      <w:pPr>
        <w:pStyle w:val="ListParagraph"/>
        <w:numPr>
          <w:ilvl w:val="1"/>
          <w:numId w:val="12"/>
        </w:numPr>
        <w:tabs>
          <w:tab w:pos="1761" w:val="left" w:leader="none"/>
          <w:tab w:pos="1762" w:val="left" w:leader="none"/>
        </w:tabs>
        <w:spacing w:line="206" w:lineRule="auto" w:before="127" w:after="0"/>
        <w:ind w:left="1761" w:right="1417" w:hanging="794"/>
        <w:jc w:val="left"/>
        <w:rPr>
          <w:sz w:val="20"/>
        </w:rPr>
      </w:pPr>
      <w:r>
        <w:rPr>
          <w:sz w:val="20"/>
        </w:rPr>
        <w:t>If concerns arise regarding the </w:t>
      </w:r>
      <w:r>
        <w:rPr>
          <w:spacing w:val="-3"/>
          <w:sz w:val="20"/>
        </w:rPr>
        <w:t>interpretation </w:t>
      </w:r>
      <w:r>
        <w:rPr>
          <w:sz w:val="20"/>
        </w:rPr>
        <w:t>or </w:t>
      </w:r>
      <w:r>
        <w:rPr>
          <w:spacing w:val="-3"/>
          <w:sz w:val="20"/>
        </w:rPr>
        <w:t>provision </w:t>
      </w:r>
      <w:r>
        <w:rPr>
          <w:sz w:val="20"/>
        </w:rPr>
        <w:t>of evidence to a juror </w:t>
      </w:r>
      <w:r>
        <w:rPr>
          <w:spacing w:val="-3"/>
          <w:sz w:val="20"/>
        </w:rPr>
        <w:t>from </w:t>
      </w:r>
      <w:r>
        <w:rPr>
          <w:sz w:val="20"/>
        </w:rPr>
        <w:t>the</w:t>
      </w:r>
      <w:r>
        <w:rPr>
          <w:spacing w:val="-11"/>
          <w:sz w:val="20"/>
        </w:rPr>
        <w:t> </w:t>
      </w:r>
      <w:r>
        <w:rPr>
          <w:sz w:val="20"/>
        </w:rPr>
        <w:t>subject</w:t>
      </w:r>
      <w:r>
        <w:rPr>
          <w:spacing w:val="-10"/>
          <w:sz w:val="20"/>
        </w:rPr>
        <w:t> </w:t>
      </w:r>
      <w:r>
        <w:rPr>
          <w:sz w:val="20"/>
        </w:rPr>
        <w:t>groups,</w:t>
      </w:r>
      <w:r>
        <w:rPr>
          <w:spacing w:val="-11"/>
          <w:sz w:val="20"/>
        </w:rPr>
        <w:t> </w:t>
      </w:r>
      <w:r>
        <w:rPr>
          <w:sz w:val="20"/>
        </w:rPr>
        <w:t>a</w:t>
      </w:r>
      <w:r>
        <w:rPr>
          <w:spacing w:val="-10"/>
          <w:sz w:val="20"/>
        </w:rPr>
        <w:t> </w:t>
      </w:r>
      <w:r>
        <w:rPr>
          <w:sz w:val="20"/>
        </w:rPr>
        <w:t>juror</w:t>
      </w:r>
      <w:r>
        <w:rPr>
          <w:spacing w:val="-10"/>
          <w:sz w:val="20"/>
        </w:rPr>
        <w:t> </w:t>
      </w:r>
      <w:r>
        <w:rPr>
          <w:sz w:val="20"/>
        </w:rPr>
        <w:t>can</w:t>
      </w:r>
      <w:r>
        <w:rPr>
          <w:spacing w:val="-11"/>
          <w:sz w:val="20"/>
        </w:rPr>
        <w:t> </w:t>
      </w:r>
      <w:r>
        <w:rPr>
          <w:sz w:val="20"/>
        </w:rPr>
        <w:t>raise</w:t>
      </w:r>
      <w:r>
        <w:rPr>
          <w:spacing w:val="-10"/>
          <w:sz w:val="20"/>
        </w:rPr>
        <w:t> </w:t>
      </w:r>
      <w:r>
        <w:rPr>
          <w:sz w:val="20"/>
        </w:rPr>
        <w:t>these</w:t>
      </w:r>
      <w:r>
        <w:rPr>
          <w:spacing w:val="-11"/>
          <w:sz w:val="20"/>
        </w:rPr>
        <w:t> </w:t>
      </w:r>
      <w:r>
        <w:rPr>
          <w:sz w:val="20"/>
        </w:rPr>
        <w:t>concerns</w:t>
      </w:r>
      <w:r>
        <w:rPr>
          <w:spacing w:val="-10"/>
          <w:sz w:val="20"/>
        </w:rPr>
        <w:t> </w:t>
      </w:r>
      <w:r>
        <w:rPr>
          <w:sz w:val="20"/>
        </w:rPr>
        <w:t>with</w:t>
      </w:r>
      <w:r>
        <w:rPr>
          <w:spacing w:val="-10"/>
          <w:sz w:val="20"/>
        </w:rPr>
        <w:t> </w:t>
      </w:r>
      <w:r>
        <w:rPr>
          <w:sz w:val="20"/>
        </w:rPr>
        <w:t>a</w:t>
      </w:r>
      <w:r>
        <w:rPr>
          <w:spacing w:val="-11"/>
          <w:sz w:val="20"/>
        </w:rPr>
        <w:t> </w:t>
      </w:r>
      <w:r>
        <w:rPr>
          <w:sz w:val="20"/>
        </w:rPr>
        <w:t>judge</w:t>
      </w:r>
      <w:r>
        <w:rPr>
          <w:spacing w:val="-10"/>
          <w:sz w:val="20"/>
        </w:rPr>
        <w:t> </w:t>
      </w:r>
      <w:r>
        <w:rPr>
          <w:sz w:val="20"/>
        </w:rPr>
        <w:t>during</w:t>
      </w:r>
      <w:r>
        <w:rPr>
          <w:spacing w:val="-10"/>
          <w:sz w:val="20"/>
        </w:rPr>
        <w:t> </w:t>
      </w:r>
      <w:r>
        <w:rPr>
          <w:sz w:val="20"/>
        </w:rPr>
        <w:t>the</w:t>
      </w:r>
      <w:r>
        <w:rPr>
          <w:spacing w:val="-11"/>
          <w:sz w:val="20"/>
        </w:rPr>
        <w:t> </w:t>
      </w:r>
      <w:r>
        <w:rPr>
          <w:sz w:val="20"/>
        </w:rPr>
        <w:t>course</w:t>
      </w:r>
      <w:r>
        <w:rPr>
          <w:spacing w:val="-10"/>
          <w:sz w:val="20"/>
        </w:rPr>
        <w:t> </w:t>
      </w:r>
      <w:r>
        <w:rPr>
          <w:sz w:val="20"/>
        </w:rPr>
        <w:t>of the</w:t>
      </w:r>
      <w:r>
        <w:rPr>
          <w:spacing w:val="-10"/>
          <w:sz w:val="20"/>
        </w:rPr>
        <w:t> </w:t>
      </w:r>
      <w:r>
        <w:rPr>
          <w:sz w:val="20"/>
        </w:rPr>
        <w:t>trial.</w:t>
      </w:r>
      <w:r>
        <w:rPr>
          <w:spacing w:val="-10"/>
          <w:sz w:val="20"/>
        </w:rPr>
        <w:t> </w:t>
      </w:r>
      <w:r>
        <w:rPr>
          <w:sz w:val="20"/>
        </w:rPr>
        <w:t>Section</w:t>
      </w:r>
      <w:r>
        <w:rPr>
          <w:spacing w:val="-9"/>
          <w:sz w:val="20"/>
        </w:rPr>
        <w:t> </w:t>
      </w:r>
      <w:r>
        <w:rPr>
          <w:sz w:val="20"/>
        </w:rPr>
        <w:t>78</w:t>
      </w:r>
      <w:r>
        <w:rPr>
          <w:spacing w:val="-10"/>
          <w:sz w:val="20"/>
        </w:rPr>
        <w:t> </w:t>
      </w:r>
      <w:r>
        <w:rPr>
          <w:sz w:val="20"/>
        </w:rPr>
        <w:t>of</w:t>
      </w:r>
      <w:r>
        <w:rPr>
          <w:spacing w:val="-9"/>
          <w:sz w:val="20"/>
        </w:rPr>
        <w:t> </w:t>
      </w:r>
      <w:r>
        <w:rPr>
          <w:sz w:val="20"/>
        </w:rPr>
        <w:t>the</w:t>
      </w:r>
      <w:r>
        <w:rPr>
          <w:spacing w:val="-10"/>
          <w:sz w:val="20"/>
        </w:rPr>
        <w:t> </w:t>
      </w:r>
      <w:r>
        <w:rPr>
          <w:spacing w:val="-2"/>
          <w:sz w:val="20"/>
        </w:rPr>
        <w:t>Act</w:t>
      </w:r>
      <w:r>
        <w:rPr>
          <w:spacing w:val="-10"/>
          <w:sz w:val="20"/>
        </w:rPr>
        <w:t> </w:t>
      </w:r>
      <w:r>
        <w:rPr>
          <w:sz w:val="20"/>
        </w:rPr>
        <w:t>contains</w:t>
      </w:r>
      <w:r>
        <w:rPr>
          <w:spacing w:val="-9"/>
          <w:sz w:val="20"/>
        </w:rPr>
        <w:t> </w:t>
      </w:r>
      <w:r>
        <w:rPr>
          <w:sz w:val="20"/>
        </w:rPr>
        <w:t>a</w:t>
      </w:r>
      <w:r>
        <w:rPr>
          <w:spacing w:val="-10"/>
          <w:sz w:val="20"/>
        </w:rPr>
        <w:t> </w:t>
      </w:r>
      <w:r>
        <w:rPr>
          <w:sz w:val="20"/>
        </w:rPr>
        <w:t>comprehensive</w:t>
      </w:r>
      <w:r>
        <w:rPr>
          <w:spacing w:val="-9"/>
          <w:sz w:val="20"/>
        </w:rPr>
        <w:t> </w:t>
      </w:r>
      <w:r>
        <w:rPr>
          <w:sz w:val="20"/>
        </w:rPr>
        <w:t>process</w:t>
      </w:r>
      <w:r>
        <w:rPr>
          <w:spacing w:val="-10"/>
          <w:sz w:val="20"/>
        </w:rPr>
        <w:t> </w:t>
      </w:r>
      <w:r>
        <w:rPr>
          <w:sz w:val="20"/>
        </w:rPr>
        <w:t>for</w:t>
      </w:r>
      <w:r>
        <w:rPr>
          <w:spacing w:val="-10"/>
          <w:sz w:val="20"/>
        </w:rPr>
        <w:t> </w:t>
      </w:r>
      <w:r>
        <w:rPr>
          <w:sz w:val="20"/>
        </w:rPr>
        <w:t>the</w:t>
      </w:r>
      <w:r>
        <w:rPr>
          <w:spacing w:val="-9"/>
          <w:sz w:val="20"/>
        </w:rPr>
        <w:t> </w:t>
      </w:r>
      <w:r>
        <w:rPr>
          <w:spacing w:val="-2"/>
          <w:sz w:val="20"/>
        </w:rPr>
        <w:t>investigation </w:t>
      </w:r>
      <w:r>
        <w:rPr>
          <w:sz w:val="20"/>
        </w:rPr>
        <w:t>of alleged irregularities. This section is designed to maintain the confidentiality of deliberations (other than for legitimate </w:t>
      </w:r>
      <w:r>
        <w:rPr>
          <w:spacing w:val="-3"/>
          <w:sz w:val="20"/>
        </w:rPr>
        <w:t>investigative purposes), </w:t>
      </w:r>
      <w:r>
        <w:rPr>
          <w:sz w:val="20"/>
        </w:rPr>
        <w:t>and to maintain juror </w:t>
      </w:r>
      <w:r>
        <w:rPr>
          <w:spacing w:val="-3"/>
          <w:sz w:val="20"/>
        </w:rPr>
        <w:t>anonymity. </w:t>
      </w:r>
      <w:r>
        <w:rPr>
          <w:sz w:val="20"/>
        </w:rPr>
        <w:t>The Court of Appeal can commence those </w:t>
      </w:r>
      <w:r>
        <w:rPr>
          <w:spacing w:val="-3"/>
          <w:sz w:val="20"/>
        </w:rPr>
        <w:t>procedures </w:t>
      </w:r>
      <w:r>
        <w:rPr>
          <w:sz w:val="20"/>
        </w:rPr>
        <w:t>where a jury irregularity is alleged on an</w:t>
      </w:r>
      <w:r>
        <w:rPr>
          <w:spacing w:val="-22"/>
          <w:sz w:val="20"/>
        </w:rPr>
        <w:t> </w:t>
      </w:r>
      <w:r>
        <w:rPr>
          <w:sz w:val="20"/>
        </w:rPr>
        <w:t>appeal.</w:t>
      </w:r>
    </w:p>
    <w:p>
      <w:pPr>
        <w:pStyle w:val="ListParagraph"/>
        <w:numPr>
          <w:ilvl w:val="1"/>
          <w:numId w:val="12"/>
        </w:numPr>
        <w:tabs>
          <w:tab w:pos="1761" w:val="left" w:leader="none"/>
          <w:tab w:pos="1762" w:val="left" w:leader="none"/>
        </w:tabs>
        <w:spacing w:line="206" w:lineRule="auto" w:before="129" w:after="0"/>
        <w:ind w:left="1761" w:right="1369" w:hanging="794"/>
        <w:jc w:val="left"/>
        <w:rPr>
          <w:sz w:val="20"/>
        </w:rPr>
      </w:pPr>
      <w:r>
        <w:rPr>
          <w:sz w:val="20"/>
        </w:rPr>
        <w:t>Where reasonable adjustments </w:t>
      </w:r>
      <w:r>
        <w:rPr>
          <w:spacing w:val="-3"/>
          <w:sz w:val="20"/>
        </w:rPr>
        <w:t>are </w:t>
      </w:r>
      <w:r>
        <w:rPr>
          <w:sz w:val="20"/>
        </w:rPr>
        <w:t>provided, the judge should direct in </w:t>
      </w:r>
      <w:r>
        <w:rPr>
          <w:spacing w:val="-3"/>
          <w:sz w:val="20"/>
        </w:rPr>
        <w:t>appropriate </w:t>
      </w:r>
      <w:r>
        <w:rPr>
          <w:sz w:val="20"/>
        </w:rPr>
        <w:t>circumstances that the transcript </w:t>
      </w:r>
      <w:r>
        <w:rPr>
          <w:spacing w:val="-3"/>
          <w:sz w:val="20"/>
        </w:rPr>
        <w:t>record </w:t>
      </w:r>
      <w:r>
        <w:rPr>
          <w:sz w:val="20"/>
        </w:rPr>
        <w:t>the use of those adjustments, for </w:t>
      </w:r>
      <w:r>
        <w:rPr>
          <w:spacing w:val="-3"/>
          <w:sz w:val="20"/>
        </w:rPr>
        <w:t>example </w:t>
      </w:r>
      <w:r>
        <w:rPr>
          <w:sz w:val="20"/>
        </w:rPr>
        <w:t>for</w:t>
      </w:r>
      <w:r>
        <w:rPr>
          <w:spacing w:val="-11"/>
          <w:sz w:val="20"/>
        </w:rPr>
        <w:t> </w:t>
      </w:r>
      <w:r>
        <w:rPr>
          <w:sz w:val="20"/>
        </w:rPr>
        <w:t>the</w:t>
      </w:r>
      <w:r>
        <w:rPr>
          <w:spacing w:val="-10"/>
          <w:sz w:val="20"/>
        </w:rPr>
        <w:t> </w:t>
      </w:r>
      <w:r>
        <w:rPr>
          <w:sz w:val="20"/>
        </w:rPr>
        <w:t>purposes</w:t>
      </w:r>
      <w:r>
        <w:rPr>
          <w:spacing w:val="-10"/>
          <w:sz w:val="20"/>
        </w:rPr>
        <w:t> </w:t>
      </w:r>
      <w:r>
        <w:rPr>
          <w:sz w:val="20"/>
        </w:rPr>
        <w:t>of</w:t>
      </w:r>
      <w:r>
        <w:rPr>
          <w:spacing w:val="-10"/>
          <w:sz w:val="20"/>
        </w:rPr>
        <w:t> </w:t>
      </w:r>
      <w:r>
        <w:rPr>
          <w:sz w:val="20"/>
        </w:rPr>
        <w:t>a</w:t>
      </w:r>
      <w:r>
        <w:rPr>
          <w:spacing w:val="-10"/>
          <w:sz w:val="20"/>
        </w:rPr>
        <w:t> </w:t>
      </w:r>
      <w:r>
        <w:rPr>
          <w:sz w:val="20"/>
        </w:rPr>
        <w:t>subsequent</w:t>
      </w:r>
      <w:r>
        <w:rPr>
          <w:spacing w:val="-10"/>
          <w:sz w:val="20"/>
        </w:rPr>
        <w:t> </w:t>
      </w:r>
      <w:r>
        <w:rPr>
          <w:sz w:val="20"/>
        </w:rPr>
        <w:t>appeal.</w:t>
      </w:r>
      <w:r>
        <w:rPr>
          <w:spacing w:val="-10"/>
          <w:sz w:val="20"/>
        </w:rPr>
        <w:t> </w:t>
      </w:r>
      <w:r>
        <w:rPr>
          <w:sz w:val="20"/>
        </w:rPr>
        <w:t>The</w:t>
      </w:r>
      <w:r>
        <w:rPr>
          <w:spacing w:val="-11"/>
          <w:sz w:val="20"/>
        </w:rPr>
        <w:t> </w:t>
      </w:r>
      <w:r>
        <w:rPr>
          <w:spacing w:val="-3"/>
          <w:sz w:val="20"/>
        </w:rPr>
        <w:t>record</w:t>
      </w:r>
      <w:r>
        <w:rPr>
          <w:spacing w:val="-10"/>
          <w:sz w:val="20"/>
        </w:rPr>
        <w:t> </w:t>
      </w:r>
      <w:r>
        <w:rPr>
          <w:sz w:val="20"/>
        </w:rPr>
        <w:t>could</w:t>
      </w:r>
      <w:r>
        <w:rPr>
          <w:spacing w:val="-10"/>
          <w:sz w:val="20"/>
        </w:rPr>
        <w:t> </w:t>
      </w:r>
      <w:r>
        <w:rPr>
          <w:sz w:val="20"/>
        </w:rPr>
        <w:t>indicate</w:t>
      </w:r>
      <w:r>
        <w:rPr>
          <w:spacing w:val="-10"/>
          <w:sz w:val="20"/>
        </w:rPr>
        <w:t> </w:t>
      </w:r>
      <w:r>
        <w:rPr>
          <w:sz w:val="20"/>
        </w:rPr>
        <w:t>that</w:t>
      </w:r>
      <w:r>
        <w:rPr>
          <w:spacing w:val="-10"/>
          <w:sz w:val="20"/>
        </w:rPr>
        <w:t> </w:t>
      </w:r>
      <w:r>
        <w:rPr>
          <w:sz w:val="20"/>
        </w:rPr>
        <w:t>the</w:t>
      </w:r>
      <w:r>
        <w:rPr>
          <w:spacing w:val="-10"/>
          <w:sz w:val="20"/>
        </w:rPr>
        <w:t> </w:t>
      </w:r>
      <w:r>
        <w:rPr>
          <w:sz w:val="20"/>
        </w:rPr>
        <w:t>evidence was </w:t>
      </w:r>
      <w:r>
        <w:rPr>
          <w:spacing w:val="-3"/>
          <w:sz w:val="20"/>
        </w:rPr>
        <w:t>presented </w:t>
      </w:r>
      <w:r>
        <w:rPr>
          <w:sz w:val="20"/>
        </w:rPr>
        <w:t>to the jury in different formats. </w:t>
      </w:r>
      <w:r>
        <w:rPr>
          <w:spacing w:val="-3"/>
          <w:sz w:val="20"/>
        </w:rPr>
        <w:t>For example, </w:t>
      </w:r>
      <w:r>
        <w:rPr>
          <w:sz w:val="20"/>
        </w:rPr>
        <w:t>noting the use of an Auslan </w:t>
      </w:r>
      <w:r>
        <w:rPr>
          <w:spacing w:val="-4"/>
          <w:sz w:val="20"/>
        </w:rPr>
        <w:t>interpreter, </w:t>
      </w:r>
      <w:r>
        <w:rPr>
          <w:sz w:val="20"/>
        </w:rPr>
        <w:t>a support person, a disability aid with speech-to-text programs and</w:t>
      </w:r>
      <w:r>
        <w:rPr>
          <w:spacing w:val="-11"/>
          <w:sz w:val="20"/>
        </w:rPr>
        <w:t> </w:t>
      </w:r>
      <w:r>
        <w:rPr>
          <w:sz w:val="20"/>
        </w:rPr>
        <w:t>screen</w:t>
      </w:r>
      <w:r>
        <w:rPr>
          <w:spacing w:val="-10"/>
          <w:sz w:val="20"/>
        </w:rPr>
        <w:t> </w:t>
      </w:r>
      <w:r>
        <w:rPr>
          <w:sz w:val="20"/>
        </w:rPr>
        <w:t>reading</w:t>
      </w:r>
      <w:r>
        <w:rPr>
          <w:spacing w:val="-11"/>
          <w:sz w:val="20"/>
        </w:rPr>
        <w:t> </w:t>
      </w:r>
      <w:r>
        <w:rPr>
          <w:sz w:val="20"/>
        </w:rPr>
        <w:t>programs.</w:t>
      </w:r>
      <w:r>
        <w:rPr>
          <w:spacing w:val="-10"/>
          <w:sz w:val="20"/>
        </w:rPr>
        <w:t> </w:t>
      </w:r>
      <w:r>
        <w:rPr>
          <w:sz w:val="20"/>
        </w:rPr>
        <w:t>In</w:t>
      </w:r>
      <w:r>
        <w:rPr>
          <w:spacing w:val="-10"/>
          <w:sz w:val="20"/>
        </w:rPr>
        <w:t> </w:t>
      </w:r>
      <w:r>
        <w:rPr>
          <w:sz w:val="20"/>
        </w:rPr>
        <w:t>some</w:t>
      </w:r>
      <w:r>
        <w:rPr>
          <w:spacing w:val="-11"/>
          <w:sz w:val="20"/>
        </w:rPr>
        <w:t> </w:t>
      </w:r>
      <w:r>
        <w:rPr>
          <w:sz w:val="20"/>
        </w:rPr>
        <w:t>circumstances</w:t>
      </w:r>
      <w:r>
        <w:rPr>
          <w:spacing w:val="-10"/>
          <w:sz w:val="20"/>
        </w:rPr>
        <w:t> </w:t>
      </w:r>
      <w:r>
        <w:rPr>
          <w:sz w:val="20"/>
        </w:rPr>
        <w:t>it</w:t>
      </w:r>
      <w:r>
        <w:rPr>
          <w:spacing w:val="-10"/>
          <w:sz w:val="20"/>
        </w:rPr>
        <w:t> </w:t>
      </w:r>
      <w:r>
        <w:rPr>
          <w:spacing w:val="-3"/>
          <w:sz w:val="20"/>
        </w:rPr>
        <w:t>may</w:t>
      </w:r>
      <w:r>
        <w:rPr>
          <w:spacing w:val="-11"/>
          <w:sz w:val="20"/>
        </w:rPr>
        <w:t> </w:t>
      </w:r>
      <w:r>
        <w:rPr>
          <w:sz w:val="20"/>
        </w:rPr>
        <w:t>be</w:t>
      </w:r>
      <w:r>
        <w:rPr>
          <w:spacing w:val="-10"/>
          <w:sz w:val="20"/>
        </w:rPr>
        <w:t> </w:t>
      </w:r>
      <w:r>
        <w:rPr>
          <w:sz w:val="20"/>
        </w:rPr>
        <w:t>unnecessary</w:t>
      </w:r>
      <w:r>
        <w:rPr>
          <w:spacing w:val="-10"/>
          <w:sz w:val="20"/>
        </w:rPr>
        <w:t> </w:t>
      </w:r>
      <w:r>
        <w:rPr>
          <w:sz w:val="20"/>
        </w:rPr>
        <w:t>to</w:t>
      </w:r>
      <w:r>
        <w:rPr>
          <w:spacing w:val="-11"/>
          <w:sz w:val="20"/>
        </w:rPr>
        <w:t> </w:t>
      </w:r>
      <w:r>
        <w:rPr>
          <w:spacing w:val="-3"/>
          <w:sz w:val="20"/>
        </w:rPr>
        <w:t>make </w:t>
      </w:r>
      <w:r>
        <w:rPr>
          <w:sz w:val="20"/>
        </w:rPr>
        <w:t>this</w:t>
      </w:r>
      <w:r>
        <w:rPr>
          <w:spacing w:val="-10"/>
          <w:sz w:val="20"/>
        </w:rPr>
        <w:t> </w:t>
      </w:r>
      <w:r>
        <w:rPr>
          <w:sz w:val="20"/>
        </w:rPr>
        <w:t>direction,</w:t>
      </w:r>
      <w:r>
        <w:rPr>
          <w:spacing w:val="-10"/>
          <w:sz w:val="20"/>
        </w:rPr>
        <w:t> </w:t>
      </w:r>
      <w:r>
        <w:rPr>
          <w:sz w:val="20"/>
        </w:rPr>
        <w:t>for</w:t>
      </w:r>
      <w:r>
        <w:rPr>
          <w:spacing w:val="-10"/>
          <w:sz w:val="20"/>
        </w:rPr>
        <w:t> </w:t>
      </w:r>
      <w:r>
        <w:rPr>
          <w:spacing w:val="-3"/>
          <w:sz w:val="20"/>
        </w:rPr>
        <w:t>example,</w:t>
      </w:r>
      <w:r>
        <w:rPr>
          <w:spacing w:val="-10"/>
          <w:sz w:val="20"/>
        </w:rPr>
        <w:t> </w:t>
      </w:r>
      <w:r>
        <w:rPr>
          <w:sz w:val="20"/>
        </w:rPr>
        <w:t>if</w:t>
      </w:r>
      <w:r>
        <w:rPr>
          <w:spacing w:val="-10"/>
          <w:sz w:val="20"/>
        </w:rPr>
        <w:t> </w:t>
      </w:r>
      <w:r>
        <w:rPr>
          <w:sz w:val="20"/>
        </w:rPr>
        <w:t>the</w:t>
      </w:r>
      <w:r>
        <w:rPr>
          <w:spacing w:val="-9"/>
          <w:sz w:val="20"/>
        </w:rPr>
        <w:t> </w:t>
      </w:r>
      <w:r>
        <w:rPr>
          <w:sz w:val="20"/>
        </w:rPr>
        <w:t>reasonable</w:t>
      </w:r>
      <w:r>
        <w:rPr>
          <w:spacing w:val="-10"/>
          <w:sz w:val="20"/>
        </w:rPr>
        <w:t> </w:t>
      </w:r>
      <w:r>
        <w:rPr>
          <w:sz w:val="20"/>
        </w:rPr>
        <w:t>adjustment</w:t>
      </w:r>
      <w:r>
        <w:rPr>
          <w:spacing w:val="-10"/>
          <w:sz w:val="20"/>
        </w:rPr>
        <w:t> </w:t>
      </w:r>
      <w:r>
        <w:rPr>
          <w:sz w:val="20"/>
        </w:rPr>
        <w:t>was</w:t>
      </w:r>
      <w:r>
        <w:rPr>
          <w:spacing w:val="-10"/>
          <w:sz w:val="20"/>
        </w:rPr>
        <w:t> </w:t>
      </w:r>
      <w:r>
        <w:rPr>
          <w:sz w:val="20"/>
        </w:rPr>
        <w:t>the</w:t>
      </w:r>
      <w:r>
        <w:rPr>
          <w:spacing w:val="-10"/>
          <w:sz w:val="20"/>
        </w:rPr>
        <w:t> </w:t>
      </w:r>
      <w:r>
        <w:rPr>
          <w:sz w:val="20"/>
        </w:rPr>
        <w:t>use</w:t>
      </w:r>
      <w:r>
        <w:rPr>
          <w:spacing w:val="-9"/>
          <w:sz w:val="20"/>
        </w:rPr>
        <w:t> </w:t>
      </w:r>
      <w:r>
        <w:rPr>
          <w:sz w:val="20"/>
        </w:rPr>
        <w:t>of</w:t>
      </w:r>
      <w:r>
        <w:rPr>
          <w:spacing w:val="-10"/>
          <w:sz w:val="20"/>
        </w:rPr>
        <w:t> </w:t>
      </w:r>
      <w:r>
        <w:rPr>
          <w:sz w:val="20"/>
        </w:rPr>
        <w:t>an</w:t>
      </w:r>
      <w:r>
        <w:rPr>
          <w:spacing w:val="-10"/>
          <w:sz w:val="20"/>
        </w:rPr>
        <w:t> </w:t>
      </w:r>
      <w:r>
        <w:rPr>
          <w:sz w:val="20"/>
        </w:rPr>
        <w:t>assistance animal.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6"/>
        </w:rPr>
      </w:pPr>
      <w:r>
        <w:rPr/>
        <w:pict>
          <v:line style="position:absolute;mso-position-horizontal-relative:page;mso-position-vertical-relative:paragraph;z-index:4760;mso-wrap-distance-left:0;mso-wrap-distance-right:0" from="79.370102pt,13.69586pt" to="515.905102pt,13.69586pt" stroked="true" strokeweight="1pt" strokecolor="#b6bdc8">
            <v:stroke dashstyle="solid"/>
            <w10:wrap type="topAndBottom"/>
          </v:line>
        </w:pict>
      </w:r>
    </w:p>
    <w:p>
      <w:pPr>
        <w:pStyle w:val="ListParagraph"/>
        <w:numPr>
          <w:ilvl w:val="0"/>
          <w:numId w:val="62"/>
        </w:numPr>
        <w:tabs>
          <w:tab w:pos="1761" w:val="left" w:leader="none"/>
          <w:tab w:pos="1762" w:val="left" w:leader="none"/>
        </w:tabs>
        <w:spacing w:line="170" w:lineRule="exact" w:before="91" w:after="0"/>
        <w:ind w:left="1761" w:right="0" w:hanging="794"/>
        <w:jc w:val="left"/>
        <w:rPr>
          <w:sz w:val="13"/>
        </w:rPr>
      </w:pP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pStyle w:val="ListParagraph"/>
        <w:numPr>
          <w:ilvl w:val="0"/>
          <w:numId w:val="62"/>
        </w:numPr>
        <w:tabs>
          <w:tab w:pos="1760" w:val="left" w:leader="none"/>
          <w:tab w:pos="1762" w:val="left" w:leader="none"/>
        </w:tabs>
        <w:spacing w:line="213" w:lineRule="auto" w:before="6" w:after="0"/>
        <w:ind w:left="1761" w:right="1279" w:hanging="794"/>
        <w:jc w:val="left"/>
        <w:rPr>
          <w:sz w:val="13"/>
        </w:rPr>
      </w:pPr>
      <w:r>
        <w:rPr>
          <w:sz w:val="13"/>
        </w:rPr>
        <w:t>David </w:t>
      </w:r>
      <w:r>
        <w:rPr>
          <w:spacing w:val="2"/>
          <w:sz w:val="13"/>
        </w:rPr>
        <w:t>Spencer </w:t>
      </w:r>
      <w:r>
        <w:rPr>
          <w:sz w:val="13"/>
        </w:rPr>
        <w:t>et </w:t>
      </w:r>
      <w:r>
        <w:rPr>
          <w:spacing w:val="2"/>
          <w:sz w:val="13"/>
        </w:rPr>
        <w:t>al, </w:t>
      </w:r>
      <w:r>
        <w:rPr>
          <w:sz w:val="13"/>
        </w:rPr>
        <w:t>‘Justice is </w:t>
      </w:r>
      <w:r>
        <w:rPr>
          <w:spacing w:val="2"/>
          <w:sz w:val="13"/>
        </w:rPr>
        <w:t>Blind </w:t>
      </w:r>
      <w:r>
        <w:rPr>
          <w:sz w:val="13"/>
        </w:rPr>
        <w:t>as Long as It Isn’t Deaf: Excluding Deaf People from </w:t>
      </w:r>
      <w:r>
        <w:rPr>
          <w:spacing w:val="2"/>
          <w:sz w:val="13"/>
        </w:rPr>
        <w:t>Jury </w:t>
      </w:r>
      <w:r>
        <w:rPr>
          <w:sz w:val="13"/>
        </w:rPr>
        <w:t>Duty—an Australian Human Rights Breach’ (2017) </w:t>
      </w:r>
      <w:r>
        <w:rPr>
          <w:spacing w:val="2"/>
          <w:sz w:val="13"/>
        </w:rPr>
        <w:t>23(3) </w:t>
      </w:r>
      <w:r>
        <w:rPr>
          <w:i/>
          <w:sz w:val="13"/>
        </w:rPr>
        <w:t>Australian Journal of Human </w:t>
      </w:r>
      <w:r>
        <w:rPr>
          <w:i/>
          <w:spacing w:val="2"/>
          <w:sz w:val="13"/>
        </w:rPr>
        <w:t>Rights </w:t>
      </w:r>
      <w:r>
        <w:rPr>
          <w:sz w:val="13"/>
        </w:rPr>
        <w:t>332, </w:t>
      </w:r>
      <w:r>
        <w:rPr>
          <w:spacing w:val="2"/>
          <w:sz w:val="13"/>
        </w:rPr>
        <w:t>342.</w:t>
      </w:r>
    </w:p>
    <w:p>
      <w:pPr>
        <w:pStyle w:val="ListParagraph"/>
        <w:numPr>
          <w:ilvl w:val="0"/>
          <w:numId w:val="62"/>
        </w:numPr>
        <w:tabs>
          <w:tab w:pos="1761" w:val="left" w:leader="none"/>
          <w:tab w:pos="1762" w:val="left" w:leader="none"/>
        </w:tabs>
        <w:spacing w:line="213" w:lineRule="auto" w:before="0" w:after="0"/>
        <w:ind w:left="1761" w:right="1293" w:hanging="794"/>
        <w:jc w:val="left"/>
        <w:rPr>
          <w:sz w:val="13"/>
        </w:rPr>
      </w:pPr>
      <w:r>
        <w:rPr>
          <w:sz w:val="13"/>
        </w:rPr>
        <w:t>Australian Government, </w:t>
      </w:r>
      <w:r>
        <w:rPr>
          <w:i/>
          <w:sz w:val="13"/>
        </w:rPr>
        <w:t>Response of Australia to the Committee on the </w:t>
      </w:r>
      <w:r>
        <w:rPr>
          <w:i/>
          <w:spacing w:val="2"/>
          <w:sz w:val="13"/>
        </w:rPr>
        <w:t>Rights </w:t>
      </w:r>
      <w:r>
        <w:rPr>
          <w:i/>
          <w:sz w:val="13"/>
        </w:rPr>
        <w:t>of Persons with Disabilities in Communication No </w:t>
      </w:r>
      <w:r>
        <w:rPr>
          <w:i/>
          <w:sz w:val="13"/>
        </w:rPr>
        <w:t>35/2016 (JH v Australia) </w:t>
      </w:r>
      <w:r>
        <w:rPr>
          <w:sz w:val="13"/>
        </w:rPr>
        <w:t>(Human Rights </w:t>
      </w:r>
      <w:r>
        <w:rPr>
          <w:spacing w:val="2"/>
          <w:sz w:val="13"/>
        </w:rPr>
        <w:t>Communication, </w:t>
      </w:r>
      <w:r>
        <w:rPr>
          <w:sz w:val="13"/>
        </w:rPr>
        <w:t>11 February 2020) [12]. </w:t>
      </w:r>
      <w:r>
        <w:rPr>
          <w:spacing w:val="2"/>
          <w:sz w:val="13"/>
        </w:rPr>
        <w:t>Similar </w:t>
      </w:r>
      <w:r>
        <w:rPr>
          <w:sz w:val="13"/>
        </w:rPr>
        <w:t>comments were made in response to Beasley and Lockrey’s cases: Australian Government, </w:t>
      </w:r>
      <w:r>
        <w:rPr>
          <w:i/>
          <w:sz w:val="13"/>
        </w:rPr>
        <w:t>Response of Australia to the Committee on the </w:t>
      </w:r>
      <w:r>
        <w:rPr>
          <w:i/>
          <w:spacing w:val="2"/>
          <w:sz w:val="13"/>
        </w:rPr>
        <w:t>Rights </w:t>
      </w:r>
      <w:r>
        <w:rPr>
          <w:i/>
          <w:sz w:val="13"/>
        </w:rPr>
        <w:t>of Persons with </w:t>
      </w:r>
      <w:r>
        <w:rPr>
          <w:i/>
          <w:sz w:val="13"/>
        </w:rPr>
        <w:t>Disabilities in Communication No 11/2013 (GB v Australia) and 13/2013 (ML v Australia) </w:t>
      </w:r>
      <w:r>
        <w:rPr>
          <w:sz w:val="13"/>
        </w:rPr>
        <w:t>(Human Rights </w:t>
      </w:r>
      <w:r>
        <w:rPr>
          <w:spacing w:val="2"/>
          <w:sz w:val="13"/>
        </w:rPr>
        <w:t>Communication, </w:t>
      </w:r>
      <w:r>
        <w:rPr>
          <w:sz w:val="13"/>
        </w:rPr>
        <w:t>24 October 2016) [13].</w:t>
      </w:r>
    </w:p>
    <w:p>
      <w:pPr>
        <w:pStyle w:val="ListParagraph"/>
        <w:numPr>
          <w:ilvl w:val="0"/>
          <w:numId w:val="62"/>
        </w:numPr>
        <w:tabs>
          <w:tab w:pos="1761" w:val="left" w:leader="none"/>
          <w:tab w:pos="1762" w:val="left" w:leader="none"/>
        </w:tabs>
        <w:spacing w:line="151" w:lineRule="exact" w:before="0" w:after="0"/>
        <w:ind w:left="1761" w:right="0" w:hanging="794"/>
        <w:jc w:val="left"/>
        <w:rPr>
          <w:sz w:val="13"/>
        </w:rPr>
      </w:pPr>
      <w:r>
        <w:rPr/>
        <w:pict>
          <v:shape style="position:absolute;margin-left:549.092712pt;margin-top:3.246889pt;width:12.65pt;height:14.1pt;mso-position-horizontal-relative:page;mso-position-vertical-relative:paragraph;z-index:6832" type="#_x0000_t202" filled="false" stroked="false">
            <v:textbox inset="0,0,0,0">
              <w:txbxContent>
                <w:p>
                  <w:pPr>
                    <w:spacing w:line="282" w:lineRule="exact" w:before="0"/>
                    <w:ind w:left="0" w:right="0" w:firstLine="0"/>
                    <w:jc w:val="left"/>
                    <w:rPr>
                      <w:b/>
                      <w:sz w:val="24"/>
                    </w:rPr>
                  </w:pPr>
                  <w:r>
                    <w:rPr>
                      <w:b/>
                      <w:color w:val="37617A"/>
                      <w:spacing w:val="-8"/>
                      <w:sz w:val="24"/>
                    </w:rPr>
                    <w:t>75</w:t>
                  </w:r>
                </w:p>
              </w:txbxContent>
            </v:textbox>
            <w10:wrap type="none"/>
          </v:shape>
        </w:pict>
      </w: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pStyle w:val="ListParagraph"/>
        <w:numPr>
          <w:ilvl w:val="0"/>
          <w:numId w:val="62"/>
        </w:numPr>
        <w:tabs>
          <w:tab w:pos="1760" w:val="left" w:leader="none"/>
          <w:tab w:pos="1762" w:val="left" w:leader="none"/>
        </w:tabs>
        <w:spacing w:line="170" w:lineRule="exact" w:before="0" w:after="0"/>
        <w:ind w:left="1761" w:right="0" w:hanging="794"/>
        <w:jc w:val="left"/>
        <w:rPr>
          <w:sz w:val="13"/>
        </w:rPr>
      </w:pPr>
      <w:r>
        <w:rPr>
          <w:spacing w:val="2"/>
          <w:sz w:val="13"/>
        </w:rPr>
        <w:t>Ibid.</w:t>
      </w:r>
    </w:p>
    <w:p>
      <w:pPr>
        <w:spacing w:after="0" w:line="170" w:lineRule="exact"/>
        <w:jc w:val="left"/>
        <w:rPr>
          <w:sz w:val="13"/>
        </w:rPr>
        <w:sectPr>
          <w:pgSz w:w="11910" w:h="16840"/>
          <w:pgMar w:header="0" w:footer="0" w:top="840" w:bottom="280" w:left="620" w:right="380"/>
        </w:sectPr>
      </w:pPr>
    </w:p>
    <w:p>
      <w:pPr>
        <w:pStyle w:val="BodyText"/>
      </w:pPr>
    </w:p>
    <w:p>
      <w:pPr>
        <w:pStyle w:val="BodyText"/>
      </w:pPr>
    </w:p>
    <w:p>
      <w:pPr>
        <w:pStyle w:val="BodyText"/>
      </w:pPr>
    </w:p>
    <w:p>
      <w:pPr>
        <w:pStyle w:val="Heading6"/>
        <w:spacing w:before="224"/>
        <w:rPr>
          <w:b/>
        </w:rPr>
      </w:pPr>
      <w:r>
        <w:rPr>
          <w:b/>
        </w:rPr>
        <w:t>Research conclusions about jury service with Auslan interpreters</w:t>
      </w:r>
    </w:p>
    <w:p>
      <w:pPr>
        <w:pStyle w:val="ListParagraph"/>
        <w:numPr>
          <w:ilvl w:val="1"/>
          <w:numId w:val="12"/>
        </w:numPr>
        <w:tabs>
          <w:tab w:pos="1761" w:val="left" w:leader="none"/>
          <w:tab w:pos="1762" w:val="left" w:leader="none"/>
        </w:tabs>
        <w:spacing w:line="206" w:lineRule="auto" w:before="132" w:after="0"/>
        <w:ind w:left="1761" w:right="1978" w:hanging="794"/>
        <w:jc w:val="left"/>
        <w:rPr>
          <w:sz w:val="11"/>
        </w:rPr>
      </w:pPr>
      <w:r>
        <w:rPr>
          <w:sz w:val="20"/>
        </w:rPr>
        <w:t>Academic</w:t>
      </w:r>
      <w:r>
        <w:rPr>
          <w:spacing w:val="-11"/>
          <w:sz w:val="20"/>
        </w:rPr>
        <w:t> </w:t>
      </w:r>
      <w:r>
        <w:rPr>
          <w:spacing w:val="-3"/>
          <w:sz w:val="20"/>
        </w:rPr>
        <w:t>research</w:t>
      </w:r>
      <w:r>
        <w:rPr>
          <w:spacing w:val="-10"/>
          <w:sz w:val="20"/>
        </w:rPr>
        <w:t> </w:t>
      </w:r>
      <w:r>
        <w:rPr>
          <w:sz w:val="20"/>
        </w:rPr>
        <w:t>has</w:t>
      </w:r>
      <w:r>
        <w:rPr>
          <w:spacing w:val="-10"/>
          <w:sz w:val="20"/>
        </w:rPr>
        <w:t> </w:t>
      </w:r>
      <w:r>
        <w:rPr>
          <w:sz w:val="20"/>
        </w:rPr>
        <w:t>examined</w:t>
      </w:r>
      <w:r>
        <w:rPr>
          <w:spacing w:val="-11"/>
          <w:sz w:val="20"/>
        </w:rPr>
        <w:t> </w:t>
      </w:r>
      <w:r>
        <w:rPr>
          <w:sz w:val="20"/>
        </w:rPr>
        <w:t>the</w:t>
      </w:r>
      <w:r>
        <w:rPr>
          <w:spacing w:val="-10"/>
          <w:sz w:val="20"/>
        </w:rPr>
        <w:t> </w:t>
      </w:r>
      <w:r>
        <w:rPr>
          <w:sz w:val="20"/>
        </w:rPr>
        <w:t>feasibility</w:t>
      </w:r>
      <w:r>
        <w:rPr>
          <w:spacing w:val="-10"/>
          <w:sz w:val="20"/>
        </w:rPr>
        <w:t> </w:t>
      </w:r>
      <w:r>
        <w:rPr>
          <w:sz w:val="20"/>
        </w:rPr>
        <w:t>of</w:t>
      </w:r>
      <w:r>
        <w:rPr>
          <w:spacing w:val="-10"/>
          <w:sz w:val="20"/>
        </w:rPr>
        <w:t> </w:t>
      </w:r>
      <w:r>
        <w:rPr>
          <w:sz w:val="20"/>
        </w:rPr>
        <w:t>deaf</w:t>
      </w:r>
      <w:r>
        <w:rPr>
          <w:spacing w:val="-11"/>
          <w:sz w:val="20"/>
        </w:rPr>
        <w:t> </w:t>
      </w:r>
      <w:r>
        <w:rPr>
          <w:sz w:val="20"/>
        </w:rPr>
        <w:t>jurors</w:t>
      </w:r>
      <w:r>
        <w:rPr>
          <w:spacing w:val="-10"/>
          <w:sz w:val="20"/>
        </w:rPr>
        <w:t> </w:t>
      </w:r>
      <w:r>
        <w:rPr>
          <w:sz w:val="20"/>
        </w:rPr>
        <w:t>serving</w:t>
      </w:r>
      <w:r>
        <w:rPr>
          <w:spacing w:val="-10"/>
          <w:sz w:val="20"/>
        </w:rPr>
        <w:t> </w:t>
      </w:r>
      <w:r>
        <w:rPr>
          <w:sz w:val="20"/>
        </w:rPr>
        <w:t>with</w:t>
      </w:r>
      <w:r>
        <w:rPr>
          <w:spacing w:val="-10"/>
          <w:sz w:val="20"/>
        </w:rPr>
        <w:t> </w:t>
      </w:r>
      <w:r>
        <w:rPr>
          <w:sz w:val="20"/>
        </w:rPr>
        <w:t>sign language</w:t>
      </w:r>
      <w:r>
        <w:rPr>
          <w:spacing w:val="-6"/>
          <w:sz w:val="20"/>
        </w:rPr>
        <w:t> </w:t>
      </w:r>
      <w:r>
        <w:rPr>
          <w:spacing w:val="-3"/>
          <w:sz w:val="20"/>
        </w:rPr>
        <w:t>interpreters</w:t>
      </w:r>
      <w:r>
        <w:rPr>
          <w:spacing w:val="-6"/>
          <w:sz w:val="20"/>
        </w:rPr>
        <w:t> </w:t>
      </w:r>
      <w:r>
        <w:rPr>
          <w:sz w:val="20"/>
        </w:rPr>
        <w:t>in</w:t>
      </w:r>
      <w:r>
        <w:rPr>
          <w:spacing w:val="-6"/>
          <w:sz w:val="20"/>
        </w:rPr>
        <w:t> </w:t>
      </w:r>
      <w:r>
        <w:rPr>
          <w:sz w:val="20"/>
        </w:rPr>
        <w:t>Australia</w:t>
      </w:r>
      <w:r>
        <w:rPr>
          <w:spacing w:val="-6"/>
          <w:sz w:val="20"/>
        </w:rPr>
        <w:t> </w:t>
      </w:r>
      <w:r>
        <w:rPr>
          <w:sz w:val="20"/>
        </w:rPr>
        <w:t>and</w:t>
      </w:r>
      <w:r>
        <w:rPr>
          <w:spacing w:val="-6"/>
          <w:sz w:val="20"/>
        </w:rPr>
        <w:t> </w:t>
      </w:r>
      <w:r>
        <w:rPr>
          <w:sz w:val="20"/>
        </w:rPr>
        <w:t>the</w:t>
      </w:r>
      <w:r>
        <w:rPr>
          <w:spacing w:val="-6"/>
          <w:sz w:val="20"/>
        </w:rPr>
        <w:t> </w:t>
      </w:r>
      <w:r>
        <w:rPr>
          <w:sz w:val="20"/>
        </w:rPr>
        <w:t>impact</w:t>
      </w:r>
      <w:r>
        <w:rPr>
          <w:spacing w:val="-6"/>
          <w:sz w:val="20"/>
        </w:rPr>
        <w:t> </w:t>
      </w:r>
      <w:r>
        <w:rPr>
          <w:sz w:val="20"/>
        </w:rPr>
        <w:t>on</w:t>
      </w:r>
      <w:r>
        <w:rPr>
          <w:spacing w:val="-6"/>
          <w:sz w:val="20"/>
        </w:rPr>
        <w:t> </w:t>
      </w:r>
      <w:r>
        <w:rPr>
          <w:sz w:val="20"/>
        </w:rPr>
        <w:t>jury</w:t>
      </w:r>
      <w:r>
        <w:rPr>
          <w:spacing w:val="-6"/>
          <w:sz w:val="20"/>
        </w:rPr>
        <w:t> </w:t>
      </w:r>
      <w:r>
        <w:rPr>
          <w:sz w:val="20"/>
        </w:rPr>
        <w:t>deliberations.</w:t>
      </w:r>
      <w:r>
        <w:rPr>
          <w:position w:val="7"/>
          <w:sz w:val="11"/>
        </w:rPr>
        <w:t>51</w:t>
      </w:r>
    </w:p>
    <w:p>
      <w:pPr>
        <w:pStyle w:val="ListParagraph"/>
        <w:numPr>
          <w:ilvl w:val="1"/>
          <w:numId w:val="12"/>
        </w:numPr>
        <w:tabs>
          <w:tab w:pos="1761" w:val="left" w:leader="none"/>
          <w:tab w:pos="1762" w:val="left" w:leader="none"/>
        </w:tabs>
        <w:spacing w:line="206" w:lineRule="auto" w:before="123" w:after="0"/>
        <w:ind w:left="1761" w:right="1637" w:hanging="794"/>
        <w:jc w:val="left"/>
        <w:rPr>
          <w:sz w:val="11"/>
        </w:rPr>
      </w:pPr>
      <w:r>
        <w:rPr>
          <w:sz w:val="20"/>
        </w:rPr>
        <w:t>Researchers</w:t>
      </w:r>
      <w:r>
        <w:rPr>
          <w:spacing w:val="-13"/>
          <w:sz w:val="20"/>
        </w:rPr>
        <w:t> </w:t>
      </w:r>
      <w:r>
        <w:rPr>
          <w:spacing w:val="-4"/>
          <w:sz w:val="20"/>
        </w:rPr>
        <w:t>have</w:t>
      </w:r>
      <w:r>
        <w:rPr>
          <w:spacing w:val="-13"/>
          <w:sz w:val="20"/>
        </w:rPr>
        <w:t> </w:t>
      </w:r>
      <w:r>
        <w:rPr>
          <w:sz w:val="20"/>
        </w:rPr>
        <w:t>concluded</w:t>
      </w:r>
      <w:r>
        <w:rPr>
          <w:spacing w:val="-13"/>
          <w:sz w:val="20"/>
        </w:rPr>
        <w:t> </w:t>
      </w:r>
      <w:r>
        <w:rPr>
          <w:sz w:val="20"/>
        </w:rPr>
        <w:t>that</w:t>
      </w:r>
      <w:r>
        <w:rPr>
          <w:spacing w:val="-12"/>
          <w:sz w:val="20"/>
        </w:rPr>
        <w:t> </w:t>
      </w:r>
      <w:r>
        <w:rPr>
          <w:sz w:val="20"/>
        </w:rPr>
        <w:t>‘deaf</w:t>
      </w:r>
      <w:r>
        <w:rPr>
          <w:spacing w:val="-13"/>
          <w:sz w:val="20"/>
        </w:rPr>
        <w:t> </w:t>
      </w:r>
      <w:r>
        <w:rPr>
          <w:sz w:val="20"/>
        </w:rPr>
        <w:t>people</w:t>
      </w:r>
      <w:r>
        <w:rPr>
          <w:spacing w:val="-13"/>
          <w:sz w:val="20"/>
        </w:rPr>
        <w:t> </w:t>
      </w:r>
      <w:r>
        <w:rPr>
          <w:sz w:val="20"/>
        </w:rPr>
        <w:t>can</w:t>
      </w:r>
      <w:r>
        <w:rPr>
          <w:spacing w:val="-12"/>
          <w:sz w:val="20"/>
        </w:rPr>
        <w:t> </w:t>
      </w:r>
      <w:r>
        <w:rPr>
          <w:sz w:val="20"/>
        </w:rPr>
        <w:t>comprehend</w:t>
      </w:r>
      <w:r>
        <w:rPr>
          <w:spacing w:val="-13"/>
          <w:sz w:val="20"/>
        </w:rPr>
        <w:t> </w:t>
      </w:r>
      <w:r>
        <w:rPr>
          <w:sz w:val="20"/>
        </w:rPr>
        <w:t>legal</w:t>
      </w:r>
      <w:r>
        <w:rPr>
          <w:spacing w:val="-13"/>
          <w:sz w:val="20"/>
        </w:rPr>
        <w:t> </w:t>
      </w:r>
      <w:r>
        <w:rPr>
          <w:sz w:val="20"/>
        </w:rPr>
        <w:t>discourse</w:t>
      </w:r>
      <w:r>
        <w:rPr>
          <w:spacing w:val="-13"/>
          <w:sz w:val="20"/>
        </w:rPr>
        <w:t> </w:t>
      </w:r>
      <w:r>
        <w:rPr>
          <w:sz w:val="20"/>
        </w:rPr>
        <w:t>in a</w:t>
      </w:r>
      <w:r>
        <w:rPr>
          <w:spacing w:val="-11"/>
          <w:sz w:val="20"/>
        </w:rPr>
        <w:t> </w:t>
      </w:r>
      <w:r>
        <w:rPr>
          <w:sz w:val="20"/>
        </w:rPr>
        <w:t>courtroom</w:t>
      </w:r>
      <w:r>
        <w:rPr>
          <w:spacing w:val="-10"/>
          <w:sz w:val="20"/>
        </w:rPr>
        <w:t> </w:t>
      </w:r>
      <w:r>
        <w:rPr>
          <w:sz w:val="20"/>
        </w:rPr>
        <w:t>setting’</w:t>
      </w:r>
      <w:r>
        <w:rPr>
          <w:spacing w:val="-10"/>
          <w:sz w:val="20"/>
        </w:rPr>
        <w:t> </w:t>
      </w:r>
      <w:r>
        <w:rPr>
          <w:sz w:val="20"/>
        </w:rPr>
        <w:t>and</w:t>
      </w:r>
      <w:r>
        <w:rPr>
          <w:spacing w:val="-10"/>
          <w:sz w:val="20"/>
        </w:rPr>
        <w:t> </w:t>
      </w:r>
      <w:r>
        <w:rPr>
          <w:sz w:val="20"/>
        </w:rPr>
        <w:t>that</w:t>
      </w:r>
      <w:r>
        <w:rPr>
          <w:spacing w:val="-10"/>
          <w:sz w:val="20"/>
        </w:rPr>
        <w:t> </w:t>
      </w:r>
      <w:r>
        <w:rPr>
          <w:sz w:val="20"/>
        </w:rPr>
        <w:t>deaf</w:t>
      </w:r>
      <w:r>
        <w:rPr>
          <w:spacing w:val="-10"/>
          <w:sz w:val="20"/>
        </w:rPr>
        <w:t> </w:t>
      </w:r>
      <w:r>
        <w:rPr>
          <w:sz w:val="20"/>
        </w:rPr>
        <w:t>people</w:t>
      </w:r>
      <w:r>
        <w:rPr>
          <w:spacing w:val="-10"/>
          <w:sz w:val="20"/>
        </w:rPr>
        <w:t> </w:t>
      </w:r>
      <w:r>
        <w:rPr>
          <w:sz w:val="20"/>
        </w:rPr>
        <w:t>can</w:t>
      </w:r>
      <w:r>
        <w:rPr>
          <w:spacing w:val="-10"/>
          <w:sz w:val="20"/>
        </w:rPr>
        <w:t> </w:t>
      </w:r>
      <w:r>
        <w:rPr>
          <w:sz w:val="20"/>
        </w:rPr>
        <w:t>participate</w:t>
      </w:r>
      <w:r>
        <w:rPr>
          <w:spacing w:val="-10"/>
          <w:sz w:val="20"/>
        </w:rPr>
        <w:t> </w:t>
      </w:r>
      <w:r>
        <w:rPr>
          <w:sz w:val="20"/>
        </w:rPr>
        <w:t>in</w:t>
      </w:r>
      <w:r>
        <w:rPr>
          <w:spacing w:val="-10"/>
          <w:sz w:val="20"/>
        </w:rPr>
        <w:t> </w:t>
      </w:r>
      <w:r>
        <w:rPr>
          <w:sz w:val="20"/>
        </w:rPr>
        <w:t>jury</w:t>
      </w:r>
      <w:r>
        <w:rPr>
          <w:spacing w:val="-10"/>
          <w:sz w:val="20"/>
        </w:rPr>
        <w:t> </w:t>
      </w:r>
      <w:r>
        <w:rPr>
          <w:sz w:val="20"/>
        </w:rPr>
        <w:t>duty</w:t>
      </w:r>
      <w:r>
        <w:rPr>
          <w:spacing w:val="-10"/>
          <w:sz w:val="20"/>
        </w:rPr>
        <w:t> </w:t>
      </w:r>
      <w:r>
        <w:rPr>
          <w:sz w:val="20"/>
        </w:rPr>
        <w:t>via</w:t>
      </w:r>
      <w:r>
        <w:rPr>
          <w:spacing w:val="-10"/>
          <w:sz w:val="20"/>
        </w:rPr>
        <w:t> </w:t>
      </w:r>
      <w:r>
        <w:rPr>
          <w:sz w:val="20"/>
        </w:rPr>
        <w:t>an</w:t>
      </w:r>
      <w:r>
        <w:rPr>
          <w:spacing w:val="-10"/>
          <w:sz w:val="20"/>
        </w:rPr>
        <w:t> </w:t>
      </w:r>
      <w:r>
        <w:rPr>
          <w:sz w:val="20"/>
        </w:rPr>
        <w:t>Auslan </w:t>
      </w:r>
      <w:r>
        <w:rPr>
          <w:spacing w:val="-4"/>
          <w:sz w:val="20"/>
        </w:rPr>
        <w:t>interpreter. </w:t>
      </w:r>
      <w:r>
        <w:rPr>
          <w:sz w:val="20"/>
        </w:rPr>
        <w:t>There is ‘no measurable detriment in </w:t>
      </w:r>
      <w:r>
        <w:rPr>
          <w:spacing w:val="-3"/>
          <w:sz w:val="20"/>
        </w:rPr>
        <w:t>having </w:t>
      </w:r>
      <w:r>
        <w:rPr>
          <w:sz w:val="20"/>
        </w:rPr>
        <w:t>a deaf person and an </w:t>
      </w:r>
      <w:r>
        <w:rPr>
          <w:spacing w:val="-3"/>
          <w:sz w:val="20"/>
        </w:rPr>
        <w:t>interpreter</w:t>
      </w:r>
      <w:r>
        <w:rPr>
          <w:spacing w:val="-6"/>
          <w:sz w:val="20"/>
        </w:rPr>
        <w:t> </w:t>
      </w:r>
      <w:r>
        <w:rPr>
          <w:sz w:val="20"/>
        </w:rPr>
        <w:t>as</w:t>
      </w:r>
      <w:r>
        <w:rPr>
          <w:spacing w:val="-5"/>
          <w:sz w:val="20"/>
        </w:rPr>
        <w:t> </w:t>
      </w:r>
      <w:r>
        <w:rPr>
          <w:sz w:val="20"/>
        </w:rPr>
        <w:t>part</w:t>
      </w:r>
      <w:r>
        <w:rPr>
          <w:spacing w:val="-5"/>
          <w:sz w:val="20"/>
        </w:rPr>
        <w:t> </w:t>
      </w:r>
      <w:r>
        <w:rPr>
          <w:sz w:val="20"/>
        </w:rPr>
        <w:t>of</w:t>
      </w:r>
      <w:r>
        <w:rPr>
          <w:spacing w:val="-6"/>
          <w:sz w:val="20"/>
        </w:rPr>
        <w:t> </w:t>
      </w:r>
      <w:r>
        <w:rPr>
          <w:sz w:val="20"/>
        </w:rPr>
        <w:t>court</w:t>
      </w:r>
      <w:r>
        <w:rPr>
          <w:spacing w:val="-5"/>
          <w:sz w:val="20"/>
        </w:rPr>
        <w:t> </w:t>
      </w:r>
      <w:r>
        <w:rPr>
          <w:sz w:val="20"/>
        </w:rPr>
        <w:t>proceedings</w:t>
      </w:r>
      <w:r>
        <w:rPr>
          <w:spacing w:val="-5"/>
          <w:sz w:val="20"/>
        </w:rPr>
        <w:t> </w:t>
      </w:r>
      <w:r>
        <w:rPr>
          <w:sz w:val="20"/>
        </w:rPr>
        <w:t>and</w:t>
      </w:r>
      <w:r>
        <w:rPr>
          <w:spacing w:val="-6"/>
          <w:sz w:val="20"/>
        </w:rPr>
        <w:t> </w:t>
      </w:r>
      <w:r>
        <w:rPr>
          <w:sz w:val="20"/>
        </w:rPr>
        <w:t>in</w:t>
      </w:r>
      <w:r>
        <w:rPr>
          <w:spacing w:val="-5"/>
          <w:sz w:val="20"/>
        </w:rPr>
        <w:t> </w:t>
      </w:r>
      <w:r>
        <w:rPr>
          <w:sz w:val="20"/>
        </w:rPr>
        <w:t>the</w:t>
      </w:r>
      <w:r>
        <w:rPr>
          <w:spacing w:val="-5"/>
          <w:sz w:val="20"/>
        </w:rPr>
        <w:t> </w:t>
      </w:r>
      <w:r>
        <w:rPr>
          <w:sz w:val="20"/>
        </w:rPr>
        <w:t>jury</w:t>
      </w:r>
      <w:r>
        <w:rPr>
          <w:spacing w:val="-5"/>
          <w:sz w:val="20"/>
        </w:rPr>
        <w:t> </w:t>
      </w:r>
      <w:r>
        <w:rPr>
          <w:sz w:val="20"/>
        </w:rPr>
        <w:t>deliberation</w:t>
      </w:r>
      <w:r>
        <w:rPr>
          <w:spacing w:val="-6"/>
          <w:sz w:val="20"/>
        </w:rPr>
        <w:t> </w:t>
      </w:r>
      <w:r>
        <w:rPr>
          <w:spacing w:val="-3"/>
          <w:sz w:val="20"/>
        </w:rPr>
        <w:t>room’.</w:t>
      </w:r>
      <w:r>
        <w:rPr>
          <w:spacing w:val="-3"/>
          <w:position w:val="7"/>
          <w:sz w:val="11"/>
        </w:rPr>
        <w:t>52</w:t>
      </w:r>
    </w:p>
    <w:p>
      <w:pPr>
        <w:pStyle w:val="ListParagraph"/>
        <w:numPr>
          <w:ilvl w:val="1"/>
          <w:numId w:val="12"/>
        </w:numPr>
        <w:tabs>
          <w:tab w:pos="1761" w:val="left" w:leader="none"/>
          <w:tab w:pos="1762" w:val="left" w:leader="none"/>
        </w:tabs>
        <w:spacing w:line="259" w:lineRule="exact" w:before="93" w:after="0"/>
        <w:ind w:left="1761" w:right="0" w:hanging="794"/>
        <w:jc w:val="left"/>
        <w:rPr>
          <w:sz w:val="20"/>
        </w:rPr>
      </w:pPr>
      <w:r>
        <w:rPr>
          <w:spacing w:val="-3"/>
          <w:sz w:val="20"/>
        </w:rPr>
        <w:t>Research</w:t>
      </w:r>
      <w:r>
        <w:rPr>
          <w:spacing w:val="-7"/>
          <w:sz w:val="20"/>
        </w:rPr>
        <w:t> </w:t>
      </w:r>
      <w:r>
        <w:rPr>
          <w:sz w:val="20"/>
        </w:rPr>
        <w:t>examined</w:t>
      </w:r>
      <w:r>
        <w:rPr>
          <w:spacing w:val="-6"/>
          <w:sz w:val="20"/>
        </w:rPr>
        <w:t> </w:t>
      </w:r>
      <w:r>
        <w:rPr>
          <w:spacing w:val="-3"/>
          <w:sz w:val="20"/>
        </w:rPr>
        <w:t>how</w:t>
      </w:r>
      <w:r>
        <w:rPr>
          <w:spacing w:val="-6"/>
          <w:sz w:val="20"/>
        </w:rPr>
        <w:t> </w:t>
      </w:r>
      <w:r>
        <w:rPr>
          <w:sz w:val="20"/>
        </w:rPr>
        <w:t>well</w:t>
      </w:r>
      <w:r>
        <w:rPr>
          <w:spacing w:val="-6"/>
          <w:sz w:val="20"/>
        </w:rPr>
        <w:t> </w:t>
      </w:r>
      <w:r>
        <w:rPr>
          <w:sz w:val="20"/>
        </w:rPr>
        <w:t>Auslan</w:t>
      </w:r>
      <w:r>
        <w:rPr>
          <w:spacing w:val="-6"/>
          <w:sz w:val="20"/>
        </w:rPr>
        <w:t> </w:t>
      </w:r>
      <w:r>
        <w:rPr>
          <w:sz w:val="20"/>
        </w:rPr>
        <w:t>translated</w:t>
      </w:r>
      <w:r>
        <w:rPr>
          <w:spacing w:val="-6"/>
          <w:sz w:val="20"/>
        </w:rPr>
        <w:t> </w:t>
      </w:r>
      <w:r>
        <w:rPr>
          <w:sz w:val="20"/>
        </w:rPr>
        <w:t>legal</w:t>
      </w:r>
      <w:r>
        <w:rPr>
          <w:spacing w:val="-7"/>
          <w:sz w:val="20"/>
        </w:rPr>
        <w:t> </w:t>
      </w:r>
      <w:r>
        <w:rPr>
          <w:sz w:val="20"/>
        </w:rPr>
        <w:t>concepts</w:t>
      </w:r>
      <w:r>
        <w:rPr>
          <w:spacing w:val="-6"/>
          <w:sz w:val="20"/>
        </w:rPr>
        <w:t> </w:t>
      </w:r>
      <w:r>
        <w:rPr>
          <w:sz w:val="20"/>
        </w:rPr>
        <w:t>and</w:t>
      </w:r>
      <w:r>
        <w:rPr>
          <w:spacing w:val="-6"/>
          <w:sz w:val="20"/>
        </w:rPr>
        <w:t> </w:t>
      </w:r>
      <w:r>
        <w:rPr>
          <w:sz w:val="20"/>
        </w:rPr>
        <w:t>compared</w:t>
      </w:r>
      <w:r>
        <w:rPr>
          <w:spacing w:val="-6"/>
          <w:sz w:val="20"/>
        </w:rPr>
        <w:t> </w:t>
      </w:r>
      <w:r>
        <w:rPr>
          <w:sz w:val="20"/>
        </w:rPr>
        <w:t>the</w:t>
      </w:r>
      <w:r>
        <w:rPr>
          <w:spacing w:val="-6"/>
          <w:sz w:val="20"/>
        </w:rPr>
        <w:t> </w:t>
      </w:r>
      <w:r>
        <w:rPr>
          <w:spacing w:val="-4"/>
          <w:sz w:val="20"/>
        </w:rPr>
        <w:t>level</w:t>
      </w:r>
    </w:p>
    <w:p>
      <w:pPr>
        <w:pStyle w:val="BodyText"/>
        <w:spacing w:line="259" w:lineRule="exact"/>
        <w:ind w:left="1761"/>
      </w:pPr>
      <w:r>
        <w:rPr/>
        <w:t>of comprehension of deaf and hearing jurors. Key findings included:</w:t>
      </w:r>
    </w:p>
    <w:p>
      <w:pPr>
        <w:pStyle w:val="ListParagraph"/>
        <w:numPr>
          <w:ilvl w:val="2"/>
          <w:numId w:val="12"/>
        </w:numPr>
        <w:tabs>
          <w:tab w:pos="2157" w:val="left" w:leader="none"/>
          <w:tab w:pos="2158" w:val="left" w:leader="none"/>
        </w:tabs>
        <w:spacing w:line="240" w:lineRule="auto" w:before="82" w:after="0"/>
        <w:ind w:left="2157" w:right="0" w:hanging="396"/>
        <w:jc w:val="left"/>
        <w:rPr>
          <w:sz w:val="20"/>
        </w:rPr>
      </w:pPr>
      <w:r>
        <w:rPr>
          <w:sz w:val="20"/>
        </w:rPr>
        <w:t>There</w:t>
      </w:r>
      <w:r>
        <w:rPr>
          <w:spacing w:val="-6"/>
          <w:sz w:val="20"/>
        </w:rPr>
        <w:t> </w:t>
      </w:r>
      <w:r>
        <w:rPr>
          <w:sz w:val="20"/>
        </w:rPr>
        <w:t>was</w:t>
      </w:r>
      <w:r>
        <w:rPr>
          <w:spacing w:val="-5"/>
          <w:sz w:val="20"/>
        </w:rPr>
        <w:t> 87.5 </w:t>
      </w:r>
      <w:r>
        <w:rPr>
          <w:sz w:val="20"/>
        </w:rPr>
        <w:t>per</w:t>
      </w:r>
      <w:r>
        <w:rPr>
          <w:spacing w:val="-6"/>
          <w:sz w:val="20"/>
        </w:rPr>
        <w:t> </w:t>
      </w:r>
      <w:r>
        <w:rPr>
          <w:sz w:val="20"/>
        </w:rPr>
        <w:t>cent</w:t>
      </w:r>
      <w:r>
        <w:rPr>
          <w:spacing w:val="-5"/>
          <w:sz w:val="20"/>
        </w:rPr>
        <w:t> </w:t>
      </w:r>
      <w:r>
        <w:rPr>
          <w:sz w:val="20"/>
        </w:rPr>
        <w:t>accuracy</w:t>
      </w:r>
      <w:r>
        <w:rPr>
          <w:spacing w:val="-5"/>
          <w:sz w:val="20"/>
        </w:rPr>
        <w:t> </w:t>
      </w:r>
      <w:r>
        <w:rPr>
          <w:sz w:val="20"/>
        </w:rPr>
        <w:t>in</w:t>
      </w:r>
      <w:r>
        <w:rPr>
          <w:spacing w:val="-6"/>
          <w:sz w:val="20"/>
        </w:rPr>
        <w:t> </w:t>
      </w:r>
      <w:r>
        <w:rPr>
          <w:sz w:val="20"/>
        </w:rPr>
        <w:t>the</w:t>
      </w:r>
      <w:r>
        <w:rPr>
          <w:spacing w:val="-5"/>
          <w:sz w:val="20"/>
        </w:rPr>
        <w:t> </w:t>
      </w:r>
      <w:r>
        <w:rPr>
          <w:sz w:val="20"/>
        </w:rPr>
        <w:t>translation</w:t>
      </w:r>
      <w:r>
        <w:rPr>
          <w:spacing w:val="-5"/>
          <w:sz w:val="20"/>
        </w:rPr>
        <w:t> </w:t>
      </w:r>
      <w:r>
        <w:rPr>
          <w:spacing w:val="-3"/>
          <w:sz w:val="20"/>
        </w:rPr>
        <w:t>from</w:t>
      </w:r>
      <w:r>
        <w:rPr>
          <w:spacing w:val="-6"/>
          <w:sz w:val="20"/>
        </w:rPr>
        <w:t> </w:t>
      </w:r>
      <w:r>
        <w:rPr>
          <w:sz w:val="20"/>
        </w:rPr>
        <w:t>English</w:t>
      </w:r>
      <w:r>
        <w:rPr>
          <w:spacing w:val="-5"/>
          <w:sz w:val="20"/>
        </w:rPr>
        <w:t> </w:t>
      </w:r>
      <w:r>
        <w:rPr>
          <w:spacing w:val="-3"/>
          <w:sz w:val="20"/>
        </w:rPr>
        <w:t>into</w:t>
      </w:r>
      <w:r>
        <w:rPr>
          <w:spacing w:val="-5"/>
          <w:sz w:val="20"/>
        </w:rPr>
        <w:t> </w:t>
      </w:r>
      <w:r>
        <w:rPr>
          <w:sz w:val="20"/>
        </w:rPr>
        <w:t>Auslan.</w:t>
      </w:r>
    </w:p>
    <w:p>
      <w:pPr>
        <w:pStyle w:val="ListParagraph"/>
        <w:numPr>
          <w:ilvl w:val="2"/>
          <w:numId w:val="12"/>
        </w:numPr>
        <w:tabs>
          <w:tab w:pos="2157" w:val="left" w:leader="none"/>
          <w:tab w:pos="2158" w:val="left" w:leader="none"/>
        </w:tabs>
        <w:spacing w:line="206" w:lineRule="auto" w:before="80" w:after="0"/>
        <w:ind w:left="2157" w:right="1308" w:hanging="396"/>
        <w:jc w:val="left"/>
        <w:rPr>
          <w:sz w:val="20"/>
        </w:rPr>
      </w:pPr>
      <w:r>
        <w:rPr>
          <w:sz w:val="20"/>
        </w:rPr>
        <w:t>Legal concepts </w:t>
      </w:r>
      <w:r>
        <w:rPr>
          <w:spacing w:val="-3"/>
          <w:sz w:val="20"/>
        </w:rPr>
        <w:t>are </w:t>
      </w:r>
      <w:r>
        <w:rPr>
          <w:sz w:val="20"/>
        </w:rPr>
        <w:t>translatable </w:t>
      </w:r>
      <w:r>
        <w:rPr>
          <w:spacing w:val="-3"/>
          <w:sz w:val="20"/>
        </w:rPr>
        <w:t>from </w:t>
      </w:r>
      <w:r>
        <w:rPr>
          <w:sz w:val="20"/>
        </w:rPr>
        <w:t>English </w:t>
      </w:r>
      <w:r>
        <w:rPr>
          <w:spacing w:val="-3"/>
          <w:sz w:val="20"/>
        </w:rPr>
        <w:t>into </w:t>
      </w:r>
      <w:r>
        <w:rPr>
          <w:sz w:val="20"/>
        </w:rPr>
        <w:t>Auslan, but </w:t>
      </w:r>
      <w:r>
        <w:rPr>
          <w:spacing w:val="-3"/>
          <w:sz w:val="20"/>
        </w:rPr>
        <w:t>interpreters </w:t>
      </w:r>
      <w:r>
        <w:rPr>
          <w:sz w:val="20"/>
        </w:rPr>
        <w:t>need to be</w:t>
      </w:r>
      <w:r>
        <w:rPr>
          <w:spacing w:val="-9"/>
          <w:sz w:val="20"/>
        </w:rPr>
        <w:t> </w:t>
      </w:r>
      <w:r>
        <w:rPr>
          <w:spacing w:val="-3"/>
          <w:sz w:val="20"/>
        </w:rPr>
        <w:t>adequately</w:t>
      </w:r>
      <w:r>
        <w:rPr>
          <w:spacing w:val="-9"/>
          <w:sz w:val="20"/>
        </w:rPr>
        <w:t> </w:t>
      </w:r>
      <w:r>
        <w:rPr>
          <w:sz w:val="20"/>
        </w:rPr>
        <w:t>skilled</w:t>
      </w:r>
      <w:r>
        <w:rPr>
          <w:spacing w:val="-8"/>
          <w:sz w:val="20"/>
        </w:rPr>
        <w:t> </w:t>
      </w:r>
      <w:r>
        <w:rPr>
          <w:sz w:val="20"/>
        </w:rPr>
        <w:t>so</w:t>
      </w:r>
      <w:r>
        <w:rPr>
          <w:spacing w:val="-9"/>
          <w:sz w:val="20"/>
        </w:rPr>
        <w:t> </w:t>
      </w:r>
      <w:r>
        <w:rPr>
          <w:sz w:val="20"/>
        </w:rPr>
        <w:t>as</w:t>
      </w:r>
      <w:r>
        <w:rPr>
          <w:spacing w:val="-9"/>
          <w:sz w:val="20"/>
        </w:rPr>
        <w:t> </w:t>
      </w:r>
      <w:r>
        <w:rPr>
          <w:sz w:val="20"/>
        </w:rPr>
        <w:t>not</w:t>
      </w:r>
      <w:r>
        <w:rPr>
          <w:spacing w:val="-8"/>
          <w:sz w:val="20"/>
        </w:rPr>
        <w:t> </w:t>
      </w:r>
      <w:r>
        <w:rPr>
          <w:sz w:val="20"/>
        </w:rPr>
        <w:t>to</w:t>
      </w:r>
      <w:r>
        <w:rPr>
          <w:spacing w:val="-9"/>
          <w:sz w:val="20"/>
        </w:rPr>
        <w:t> </w:t>
      </w:r>
      <w:r>
        <w:rPr>
          <w:spacing w:val="-4"/>
          <w:sz w:val="20"/>
        </w:rPr>
        <w:t>skew</w:t>
      </w:r>
      <w:r>
        <w:rPr>
          <w:spacing w:val="-9"/>
          <w:sz w:val="20"/>
        </w:rPr>
        <w:t> </w:t>
      </w:r>
      <w:r>
        <w:rPr>
          <w:sz w:val="20"/>
        </w:rPr>
        <w:t>the</w:t>
      </w:r>
      <w:r>
        <w:rPr>
          <w:spacing w:val="-8"/>
          <w:sz w:val="20"/>
        </w:rPr>
        <w:t> </w:t>
      </w:r>
      <w:r>
        <w:rPr>
          <w:sz w:val="20"/>
        </w:rPr>
        <w:t>legal</w:t>
      </w:r>
      <w:r>
        <w:rPr>
          <w:spacing w:val="-9"/>
          <w:sz w:val="20"/>
        </w:rPr>
        <w:t> </w:t>
      </w:r>
      <w:r>
        <w:rPr>
          <w:sz w:val="20"/>
        </w:rPr>
        <w:t>definitions</w:t>
      </w:r>
      <w:r>
        <w:rPr>
          <w:spacing w:val="-9"/>
          <w:sz w:val="20"/>
        </w:rPr>
        <w:t> </w:t>
      </w:r>
      <w:r>
        <w:rPr>
          <w:sz w:val="20"/>
        </w:rPr>
        <w:t>or</w:t>
      </w:r>
      <w:r>
        <w:rPr>
          <w:spacing w:val="-8"/>
          <w:sz w:val="20"/>
        </w:rPr>
        <w:t> </w:t>
      </w:r>
      <w:r>
        <w:rPr>
          <w:sz w:val="20"/>
        </w:rPr>
        <w:t>to</w:t>
      </w:r>
      <w:r>
        <w:rPr>
          <w:spacing w:val="-9"/>
          <w:sz w:val="20"/>
        </w:rPr>
        <w:t> </w:t>
      </w:r>
      <w:r>
        <w:rPr>
          <w:sz w:val="20"/>
        </w:rPr>
        <w:t>bias</w:t>
      </w:r>
      <w:r>
        <w:rPr>
          <w:spacing w:val="-9"/>
          <w:sz w:val="20"/>
        </w:rPr>
        <w:t> </w:t>
      </w:r>
      <w:r>
        <w:rPr>
          <w:sz w:val="20"/>
        </w:rPr>
        <w:t>the</w:t>
      </w:r>
      <w:r>
        <w:rPr>
          <w:spacing w:val="-8"/>
          <w:sz w:val="20"/>
        </w:rPr>
        <w:t> </w:t>
      </w:r>
      <w:r>
        <w:rPr>
          <w:sz w:val="20"/>
        </w:rPr>
        <w:t>text</w:t>
      </w:r>
      <w:r>
        <w:rPr>
          <w:spacing w:val="-9"/>
          <w:sz w:val="20"/>
        </w:rPr>
        <w:t> </w:t>
      </w:r>
      <w:r>
        <w:rPr>
          <w:sz w:val="20"/>
        </w:rPr>
        <w:t>with </w:t>
      </w:r>
      <w:r>
        <w:rPr>
          <w:spacing w:val="-3"/>
          <w:sz w:val="20"/>
        </w:rPr>
        <w:t>subtle </w:t>
      </w:r>
      <w:r>
        <w:rPr>
          <w:sz w:val="20"/>
        </w:rPr>
        <w:t>shifts in</w:t>
      </w:r>
      <w:r>
        <w:rPr>
          <w:spacing w:val="-10"/>
          <w:sz w:val="20"/>
        </w:rPr>
        <w:t> </w:t>
      </w:r>
      <w:r>
        <w:rPr>
          <w:sz w:val="20"/>
        </w:rPr>
        <w:t>interpretation.</w:t>
      </w:r>
    </w:p>
    <w:p>
      <w:pPr>
        <w:pStyle w:val="ListParagraph"/>
        <w:numPr>
          <w:ilvl w:val="2"/>
          <w:numId w:val="12"/>
        </w:numPr>
        <w:tabs>
          <w:tab w:pos="2157" w:val="left" w:leader="none"/>
          <w:tab w:pos="2158" w:val="left" w:leader="none"/>
        </w:tabs>
        <w:spacing w:line="206" w:lineRule="auto" w:before="89" w:after="0"/>
        <w:ind w:left="2157" w:right="1431" w:hanging="396"/>
        <w:jc w:val="left"/>
        <w:rPr>
          <w:sz w:val="11"/>
        </w:rPr>
      </w:pPr>
      <w:r>
        <w:rPr>
          <w:sz w:val="20"/>
        </w:rPr>
        <w:t>Both</w:t>
      </w:r>
      <w:r>
        <w:rPr>
          <w:spacing w:val="-11"/>
          <w:sz w:val="20"/>
        </w:rPr>
        <w:t> </w:t>
      </w:r>
      <w:r>
        <w:rPr>
          <w:sz w:val="20"/>
        </w:rPr>
        <w:t>deaf</w:t>
      </w:r>
      <w:r>
        <w:rPr>
          <w:spacing w:val="-11"/>
          <w:sz w:val="20"/>
        </w:rPr>
        <w:t> </w:t>
      </w:r>
      <w:r>
        <w:rPr>
          <w:sz w:val="20"/>
        </w:rPr>
        <w:t>and</w:t>
      </w:r>
      <w:r>
        <w:rPr>
          <w:spacing w:val="-11"/>
          <w:sz w:val="20"/>
        </w:rPr>
        <w:t> </w:t>
      </w:r>
      <w:r>
        <w:rPr>
          <w:sz w:val="20"/>
        </w:rPr>
        <w:t>hearing</w:t>
      </w:r>
      <w:r>
        <w:rPr>
          <w:spacing w:val="-11"/>
          <w:sz w:val="20"/>
        </w:rPr>
        <w:t> </w:t>
      </w:r>
      <w:r>
        <w:rPr>
          <w:sz w:val="20"/>
        </w:rPr>
        <w:t>jurors</w:t>
      </w:r>
      <w:r>
        <w:rPr>
          <w:spacing w:val="-11"/>
          <w:sz w:val="20"/>
        </w:rPr>
        <w:t> </w:t>
      </w:r>
      <w:r>
        <w:rPr>
          <w:sz w:val="20"/>
        </w:rPr>
        <w:t>misunderstood</w:t>
      </w:r>
      <w:r>
        <w:rPr>
          <w:spacing w:val="-11"/>
          <w:sz w:val="20"/>
        </w:rPr>
        <w:t> </w:t>
      </w:r>
      <w:r>
        <w:rPr>
          <w:sz w:val="20"/>
        </w:rPr>
        <w:t>some</w:t>
      </w:r>
      <w:r>
        <w:rPr>
          <w:spacing w:val="-11"/>
          <w:sz w:val="20"/>
        </w:rPr>
        <w:t> </w:t>
      </w:r>
      <w:r>
        <w:rPr>
          <w:sz w:val="20"/>
        </w:rPr>
        <w:t>concepts</w:t>
      </w:r>
      <w:r>
        <w:rPr>
          <w:spacing w:val="-10"/>
          <w:sz w:val="20"/>
        </w:rPr>
        <w:t> </w:t>
      </w:r>
      <w:r>
        <w:rPr>
          <w:sz w:val="20"/>
        </w:rPr>
        <w:t>and</w:t>
      </w:r>
      <w:r>
        <w:rPr>
          <w:spacing w:val="-11"/>
          <w:sz w:val="20"/>
        </w:rPr>
        <w:t> </w:t>
      </w:r>
      <w:r>
        <w:rPr>
          <w:sz w:val="20"/>
        </w:rPr>
        <w:t>there</w:t>
      </w:r>
      <w:r>
        <w:rPr>
          <w:spacing w:val="-11"/>
          <w:sz w:val="20"/>
        </w:rPr>
        <w:t> </w:t>
      </w:r>
      <w:r>
        <w:rPr>
          <w:sz w:val="20"/>
        </w:rPr>
        <w:t>was</w:t>
      </w:r>
      <w:r>
        <w:rPr>
          <w:spacing w:val="-11"/>
          <w:sz w:val="20"/>
        </w:rPr>
        <w:t> </w:t>
      </w:r>
      <w:r>
        <w:rPr>
          <w:sz w:val="20"/>
        </w:rPr>
        <w:t>not</w:t>
      </w:r>
      <w:r>
        <w:rPr>
          <w:spacing w:val="-11"/>
          <w:sz w:val="20"/>
        </w:rPr>
        <w:t> </w:t>
      </w:r>
      <w:r>
        <w:rPr>
          <w:sz w:val="20"/>
        </w:rPr>
        <w:t>a big</w:t>
      </w:r>
      <w:r>
        <w:rPr>
          <w:spacing w:val="-12"/>
          <w:sz w:val="20"/>
        </w:rPr>
        <w:t> </w:t>
      </w:r>
      <w:r>
        <w:rPr>
          <w:sz w:val="20"/>
        </w:rPr>
        <w:t>difference</w:t>
      </w:r>
      <w:r>
        <w:rPr>
          <w:spacing w:val="-11"/>
          <w:sz w:val="20"/>
        </w:rPr>
        <w:t> </w:t>
      </w:r>
      <w:r>
        <w:rPr>
          <w:sz w:val="20"/>
        </w:rPr>
        <w:t>between</w:t>
      </w:r>
      <w:r>
        <w:rPr>
          <w:spacing w:val="-11"/>
          <w:sz w:val="20"/>
        </w:rPr>
        <w:t> </w:t>
      </w:r>
      <w:r>
        <w:rPr>
          <w:sz w:val="20"/>
        </w:rPr>
        <w:t>the</w:t>
      </w:r>
      <w:r>
        <w:rPr>
          <w:spacing w:val="-12"/>
          <w:sz w:val="20"/>
        </w:rPr>
        <w:t> </w:t>
      </w:r>
      <w:r>
        <w:rPr>
          <w:sz w:val="20"/>
        </w:rPr>
        <w:t>number</w:t>
      </w:r>
      <w:r>
        <w:rPr>
          <w:spacing w:val="-11"/>
          <w:sz w:val="20"/>
        </w:rPr>
        <w:t> </w:t>
      </w:r>
      <w:r>
        <w:rPr>
          <w:sz w:val="20"/>
        </w:rPr>
        <w:t>of</w:t>
      </w:r>
      <w:r>
        <w:rPr>
          <w:spacing w:val="-11"/>
          <w:sz w:val="20"/>
        </w:rPr>
        <w:t> </w:t>
      </w:r>
      <w:r>
        <w:rPr>
          <w:sz w:val="20"/>
        </w:rPr>
        <w:t>correct</w:t>
      </w:r>
      <w:r>
        <w:rPr>
          <w:spacing w:val="-11"/>
          <w:sz w:val="20"/>
        </w:rPr>
        <w:t> </w:t>
      </w:r>
      <w:r>
        <w:rPr>
          <w:sz w:val="20"/>
        </w:rPr>
        <w:t>responses</w:t>
      </w:r>
      <w:r>
        <w:rPr>
          <w:spacing w:val="-12"/>
          <w:sz w:val="20"/>
        </w:rPr>
        <w:t> </w:t>
      </w:r>
      <w:r>
        <w:rPr>
          <w:spacing w:val="-3"/>
          <w:sz w:val="20"/>
        </w:rPr>
        <w:t>from</w:t>
      </w:r>
      <w:r>
        <w:rPr>
          <w:spacing w:val="-11"/>
          <w:sz w:val="20"/>
        </w:rPr>
        <w:t> </w:t>
      </w:r>
      <w:r>
        <w:rPr>
          <w:sz w:val="20"/>
        </w:rPr>
        <w:t>deaf</w:t>
      </w:r>
      <w:r>
        <w:rPr>
          <w:spacing w:val="-11"/>
          <w:sz w:val="20"/>
        </w:rPr>
        <w:t> </w:t>
      </w:r>
      <w:r>
        <w:rPr>
          <w:sz w:val="20"/>
        </w:rPr>
        <w:t>and</w:t>
      </w:r>
      <w:r>
        <w:rPr>
          <w:spacing w:val="-11"/>
          <w:sz w:val="20"/>
        </w:rPr>
        <w:t> </w:t>
      </w:r>
      <w:r>
        <w:rPr>
          <w:sz w:val="20"/>
        </w:rPr>
        <w:t>hearing participants (2.8 per cent). </w:t>
      </w:r>
      <w:r>
        <w:rPr>
          <w:spacing w:val="-3"/>
          <w:sz w:val="20"/>
        </w:rPr>
        <w:t>Any </w:t>
      </w:r>
      <w:r>
        <w:rPr>
          <w:sz w:val="20"/>
        </w:rPr>
        <w:t>statistical differences </w:t>
      </w:r>
      <w:r>
        <w:rPr>
          <w:spacing w:val="-4"/>
          <w:sz w:val="20"/>
        </w:rPr>
        <w:t>were </w:t>
      </w:r>
      <w:r>
        <w:rPr>
          <w:spacing w:val="-3"/>
          <w:sz w:val="20"/>
        </w:rPr>
        <w:t>likely </w:t>
      </w:r>
      <w:r>
        <w:rPr>
          <w:sz w:val="20"/>
        </w:rPr>
        <w:t>influenced </w:t>
      </w:r>
      <w:r>
        <w:rPr>
          <w:spacing w:val="-3"/>
          <w:sz w:val="20"/>
        </w:rPr>
        <w:t>by </w:t>
      </w:r>
      <w:r>
        <w:rPr>
          <w:sz w:val="20"/>
        </w:rPr>
        <w:t>educational</w:t>
      </w:r>
      <w:r>
        <w:rPr>
          <w:spacing w:val="-5"/>
          <w:sz w:val="20"/>
        </w:rPr>
        <w:t> </w:t>
      </w:r>
      <w:r>
        <w:rPr>
          <w:sz w:val="20"/>
        </w:rPr>
        <w:t>background.</w:t>
      </w:r>
      <w:r>
        <w:rPr>
          <w:position w:val="7"/>
          <w:sz w:val="11"/>
        </w:rPr>
        <w:t>53</w:t>
      </w:r>
    </w:p>
    <w:p>
      <w:pPr>
        <w:pStyle w:val="Heading6"/>
        <w:spacing w:before="94"/>
        <w:rPr>
          <w:b/>
        </w:rPr>
      </w:pPr>
      <w:r>
        <w:rPr>
          <w:b/>
          <w:color w:val="4D4D4F"/>
        </w:rPr>
        <w:t>Australian mock trial</w:t>
      </w:r>
    </w:p>
    <w:p>
      <w:pPr>
        <w:pStyle w:val="ListParagraph"/>
        <w:numPr>
          <w:ilvl w:val="1"/>
          <w:numId w:val="12"/>
        </w:numPr>
        <w:tabs>
          <w:tab w:pos="1761" w:val="left" w:leader="none"/>
          <w:tab w:pos="1762" w:val="left" w:leader="none"/>
        </w:tabs>
        <w:spacing w:line="206" w:lineRule="auto" w:before="132" w:after="0"/>
        <w:ind w:left="1761" w:right="1227" w:hanging="794"/>
        <w:jc w:val="left"/>
        <w:rPr>
          <w:sz w:val="11"/>
        </w:rPr>
      </w:pPr>
      <w:r>
        <w:rPr>
          <w:sz w:val="20"/>
        </w:rPr>
        <w:t>In</w:t>
      </w:r>
      <w:r>
        <w:rPr>
          <w:spacing w:val="-9"/>
          <w:sz w:val="20"/>
        </w:rPr>
        <w:t> </w:t>
      </w:r>
      <w:r>
        <w:rPr>
          <w:sz w:val="20"/>
        </w:rPr>
        <w:t>2014,</w:t>
      </w:r>
      <w:r>
        <w:rPr>
          <w:spacing w:val="-9"/>
          <w:sz w:val="20"/>
        </w:rPr>
        <w:t> </w:t>
      </w:r>
      <w:r>
        <w:rPr>
          <w:sz w:val="20"/>
        </w:rPr>
        <w:t>a</w:t>
      </w:r>
      <w:r>
        <w:rPr>
          <w:spacing w:val="-9"/>
          <w:sz w:val="20"/>
        </w:rPr>
        <w:t> </w:t>
      </w:r>
      <w:r>
        <w:rPr>
          <w:sz w:val="20"/>
        </w:rPr>
        <w:t>mock</w:t>
      </w:r>
      <w:r>
        <w:rPr>
          <w:spacing w:val="-9"/>
          <w:sz w:val="20"/>
        </w:rPr>
        <w:t> </w:t>
      </w:r>
      <w:r>
        <w:rPr>
          <w:sz w:val="20"/>
        </w:rPr>
        <w:t>trial</w:t>
      </w:r>
      <w:r>
        <w:rPr>
          <w:spacing w:val="-8"/>
          <w:sz w:val="20"/>
        </w:rPr>
        <w:t> </w:t>
      </w:r>
      <w:r>
        <w:rPr>
          <w:spacing w:val="-3"/>
          <w:sz w:val="20"/>
        </w:rPr>
        <w:t>involving</w:t>
      </w:r>
      <w:r>
        <w:rPr>
          <w:spacing w:val="-9"/>
          <w:sz w:val="20"/>
        </w:rPr>
        <w:t> </w:t>
      </w:r>
      <w:r>
        <w:rPr>
          <w:sz w:val="20"/>
        </w:rPr>
        <w:t>deaf</w:t>
      </w:r>
      <w:r>
        <w:rPr>
          <w:spacing w:val="-9"/>
          <w:sz w:val="20"/>
        </w:rPr>
        <w:t> </w:t>
      </w:r>
      <w:r>
        <w:rPr>
          <w:sz w:val="20"/>
        </w:rPr>
        <w:t>jurors</w:t>
      </w:r>
      <w:r>
        <w:rPr>
          <w:spacing w:val="-9"/>
          <w:sz w:val="20"/>
        </w:rPr>
        <w:t> </w:t>
      </w:r>
      <w:r>
        <w:rPr>
          <w:sz w:val="20"/>
        </w:rPr>
        <w:t>was</w:t>
      </w:r>
      <w:r>
        <w:rPr>
          <w:spacing w:val="-8"/>
          <w:sz w:val="20"/>
        </w:rPr>
        <w:t> </w:t>
      </w:r>
      <w:r>
        <w:rPr>
          <w:sz w:val="20"/>
        </w:rPr>
        <w:t>undertaken</w:t>
      </w:r>
      <w:r>
        <w:rPr>
          <w:spacing w:val="-9"/>
          <w:sz w:val="20"/>
        </w:rPr>
        <w:t> </w:t>
      </w:r>
      <w:r>
        <w:rPr>
          <w:sz w:val="20"/>
        </w:rPr>
        <w:t>in</w:t>
      </w:r>
      <w:r>
        <w:rPr>
          <w:spacing w:val="-9"/>
          <w:sz w:val="20"/>
        </w:rPr>
        <w:t> </w:t>
      </w:r>
      <w:r>
        <w:rPr>
          <w:sz w:val="20"/>
        </w:rPr>
        <w:t>New</w:t>
      </w:r>
      <w:r>
        <w:rPr>
          <w:spacing w:val="-9"/>
          <w:sz w:val="20"/>
        </w:rPr>
        <w:t> </w:t>
      </w:r>
      <w:r>
        <w:rPr>
          <w:sz w:val="20"/>
        </w:rPr>
        <w:t>South</w:t>
      </w:r>
      <w:r>
        <w:rPr>
          <w:spacing w:val="-8"/>
          <w:sz w:val="20"/>
        </w:rPr>
        <w:t> </w:t>
      </w:r>
      <w:r>
        <w:rPr>
          <w:spacing w:val="-4"/>
          <w:sz w:val="20"/>
        </w:rPr>
        <w:t>Wales</w:t>
      </w:r>
      <w:r>
        <w:rPr>
          <w:spacing w:val="-9"/>
          <w:sz w:val="20"/>
        </w:rPr>
        <w:t> </w:t>
      </w:r>
      <w:r>
        <w:rPr>
          <w:sz w:val="20"/>
        </w:rPr>
        <w:t>to</w:t>
      </w:r>
      <w:r>
        <w:rPr>
          <w:spacing w:val="-9"/>
          <w:sz w:val="20"/>
        </w:rPr>
        <w:t> </w:t>
      </w:r>
      <w:r>
        <w:rPr>
          <w:sz w:val="20"/>
        </w:rPr>
        <w:t>gauge what</w:t>
      </w:r>
      <w:r>
        <w:rPr>
          <w:spacing w:val="-9"/>
          <w:sz w:val="20"/>
        </w:rPr>
        <w:t> </w:t>
      </w:r>
      <w:r>
        <w:rPr>
          <w:sz w:val="20"/>
        </w:rPr>
        <w:t>happens</w:t>
      </w:r>
      <w:r>
        <w:rPr>
          <w:spacing w:val="-8"/>
          <w:sz w:val="20"/>
        </w:rPr>
        <w:t> </w:t>
      </w:r>
      <w:r>
        <w:rPr>
          <w:sz w:val="20"/>
        </w:rPr>
        <w:t>in</w:t>
      </w:r>
      <w:r>
        <w:rPr>
          <w:spacing w:val="-8"/>
          <w:sz w:val="20"/>
        </w:rPr>
        <w:t> </w:t>
      </w:r>
      <w:r>
        <w:rPr>
          <w:sz w:val="20"/>
        </w:rPr>
        <w:t>deliberation</w:t>
      </w:r>
      <w:r>
        <w:rPr>
          <w:spacing w:val="-8"/>
          <w:sz w:val="20"/>
        </w:rPr>
        <w:t> </w:t>
      </w:r>
      <w:r>
        <w:rPr>
          <w:sz w:val="20"/>
        </w:rPr>
        <w:t>and</w:t>
      </w:r>
      <w:r>
        <w:rPr>
          <w:spacing w:val="-8"/>
          <w:sz w:val="20"/>
        </w:rPr>
        <w:t> </w:t>
      </w:r>
      <w:r>
        <w:rPr>
          <w:sz w:val="20"/>
        </w:rPr>
        <w:t>the</w:t>
      </w:r>
      <w:r>
        <w:rPr>
          <w:spacing w:val="-8"/>
          <w:sz w:val="20"/>
        </w:rPr>
        <w:t> </w:t>
      </w:r>
      <w:r>
        <w:rPr>
          <w:sz w:val="20"/>
        </w:rPr>
        <w:t>impact</w:t>
      </w:r>
      <w:r>
        <w:rPr>
          <w:spacing w:val="-8"/>
          <w:sz w:val="20"/>
        </w:rPr>
        <w:t> </w:t>
      </w:r>
      <w:r>
        <w:rPr>
          <w:sz w:val="20"/>
        </w:rPr>
        <w:t>on</w:t>
      </w:r>
      <w:r>
        <w:rPr>
          <w:spacing w:val="-8"/>
          <w:sz w:val="20"/>
        </w:rPr>
        <w:t> </w:t>
      </w:r>
      <w:r>
        <w:rPr>
          <w:sz w:val="20"/>
        </w:rPr>
        <w:t>a</w:t>
      </w:r>
      <w:r>
        <w:rPr>
          <w:spacing w:val="-8"/>
          <w:sz w:val="20"/>
        </w:rPr>
        <w:t> </w:t>
      </w:r>
      <w:r>
        <w:rPr>
          <w:sz w:val="20"/>
        </w:rPr>
        <w:t>trial.</w:t>
      </w:r>
      <w:r>
        <w:rPr>
          <w:position w:val="7"/>
          <w:sz w:val="11"/>
        </w:rPr>
        <w:t>54</w:t>
      </w:r>
      <w:r>
        <w:rPr>
          <w:spacing w:val="16"/>
          <w:position w:val="7"/>
          <w:sz w:val="11"/>
        </w:rPr>
        <w:t> </w:t>
      </w:r>
      <w:r>
        <w:rPr>
          <w:sz w:val="20"/>
        </w:rPr>
        <w:t>The</w:t>
      </w:r>
      <w:r>
        <w:rPr>
          <w:spacing w:val="-8"/>
          <w:sz w:val="20"/>
        </w:rPr>
        <w:t> </w:t>
      </w:r>
      <w:r>
        <w:rPr>
          <w:sz w:val="20"/>
        </w:rPr>
        <w:t>mock</w:t>
      </w:r>
      <w:r>
        <w:rPr>
          <w:spacing w:val="-8"/>
          <w:sz w:val="20"/>
        </w:rPr>
        <w:t> </w:t>
      </w:r>
      <w:r>
        <w:rPr>
          <w:sz w:val="20"/>
        </w:rPr>
        <w:t>trial</w:t>
      </w:r>
      <w:r>
        <w:rPr>
          <w:spacing w:val="-8"/>
          <w:sz w:val="20"/>
        </w:rPr>
        <w:t> </w:t>
      </w:r>
      <w:r>
        <w:rPr>
          <w:sz w:val="20"/>
        </w:rPr>
        <w:t>was</w:t>
      </w:r>
      <w:r>
        <w:rPr>
          <w:spacing w:val="-8"/>
          <w:sz w:val="20"/>
        </w:rPr>
        <w:t> </w:t>
      </w:r>
      <w:r>
        <w:rPr>
          <w:sz w:val="20"/>
        </w:rPr>
        <w:t>based</w:t>
      </w:r>
      <w:r>
        <w:rPr>
          <w:spacing w:val="-8"/>
          <w:sz w:val="20"/>
        </w:rPr>
        <w:t> </w:t>
      </w:r>
      <w:r>
        <w:rPr>
          <w:sz w:val="20"/>
        </w:rPr>
        <w:t>on</w:t>
      </w:r>
      <w:r>
        <w:rPr>
          <w:spacing w:val="-8"/>
          <w:sz w:val="20"/>
        </w:rPr>
        <w:t> </w:t>
      </w:r>
      <w:r>
        <w:rPr>
          <w:sz w:val="20"/>
        </w:rPr>
        <w:t>a </w:t>
      </w:r>
      <w:r>
        <w:rPr>
          <w:spacing w:val="-3"/>
          <w:sz w:val="20"/>
        </w:rPr>
        <w:t>real </w:t>
      </w:r>
      <w:r>
        <w:rPr>
          <w:sz w:val="20"/>
        </w:rPr>
        <w:t>case. Case documents </w:t>
      </w:r>
      <w:r>
        <w:rPr>
          <w:spacing w:val="-4"/>
          <w:sz w:val="20"/>
        </w:rPr>
        <w:t>were </w:t>
      </w:r>
      <w:r>
        <w:rPr>
          <w:sz w:val="20"/>
        </w:rPr>
        <w:t>the same as those in the original trial. It </w:t>
      </w:r>
      <w:r>
        <w:rPr>
          <w:spacing w:val="-4"/>
          <w:sz w:val="20"/>
        </w:rPr>
        <w:t>involved </w:t>
      </w:r>
      <w:r>
        <w:rPr>
          <w:sz w:val="20"/>
        </w:rPr>
        <w:t>two deaf jurors, Auslan </w:t>
      </w:r>
      <w:r>
        <w:rPr>
          <w:spacing w:val="-3"/>
          <w:sz w:val="20"/>
        </w:rPr>
        <w:t>interpreters, </w:t>
      </w:r>
      <w:r>
        <w:rPr>
          <w:sz w:val="20"/>
        </w:rPr>
        <w:t>lawyers, barristers and a </w:t>
      </w:r>
      <w:r>
        <w:rPr>
          <w:spacing w:val="-3"/>
          <w:sz w:val="20"/>
        </w:rPr>
        <w:t>retired </w:t>
      </w:r>
      <w:r>
        <w:rPr>
          <w:sz w:val="20"/>
        </w:rPr>
        <w:t>judge. </w:t>
      </w:r>
      <w:r>
        <w:rPr>
          <w:spacing w:val="-3"/>
          <w:sz w:val="20"/>
        </w:rPr>
        <w:t>Actors played </w:t>
      </w:r>
      <w:r>
        <w:rPr>
          <w:sz w:val="20"/>
        </w:rPr>
        <w:t>the part of the defendant and a witness. The mock trial lasted for a </w:t>
      </w:r>
      <w:r>
        <w:rPr>
          <w:spacing w:val="-3"/>
          <w:sz w:val="20"/>
        </w:rPr>
        <w:t>day </w:t>
      </w:r>
      <w:r>
        <w:rPr>
          <w:sz w:val="20"/>
        </w:rPr>
        <w:t>and a </w:t>
      </w:r>
      <w:r>
        <w:rPr>
          <w:spacing w:val="-4"/>
          <w:sz w:val="20"/>
        </w:rPr>
        <w:t>half, </w:t>
      </w:r>
      <w:r>
        <w:rPr>
          <w:spacing w:val="-3"/>
          <w:sz w:val="20"/>
        </w:rPr>
        <w:t>followed by </w:t>
      </w:r>
      <w:r>
        <w:rPr>
          <w:sz w:val="20"/>
        </w:rPr>
        <w:t>half a </w:t>
      </w:r>
      <w:r>
        <w:rPr>
          <w:spacing w:val="-3"/>
          <w:sz w:val="20"/>
        </w:rPr>
        <w:t>day </w:t>
      </w:r>
      <w:r>
        <w:rPr>
          <w:sz w:val="20"/>
        </w:rPr>
        <w:t>of jury deliberation </w:t>
      </w:r>
      <w:r>
        <w:rPr>
          <w:spacing w:val="-3"/>
          <w:sz w:val="20"/>
        </w:rPr>
        <w:t>involving </w:t>
      </w:r>
      <w:r>
        <w:rPr>
          <w:sz w:val="20"/>
        </w:rPr>
        <w:t>one deaf</w:t>
      </w:r>
      <w:r>
        <w:rPr>
          <w:spacing w:val="-36"/>
          <w:sz w:val="20"/>
        </w:rPr>
        <w:t> </w:t>
      </w:r>
      <w:r>
        <w:rPr>
          <w:spacing w:val="-3"/>
          <w:sz w:val="20"/>
        </w:rPr>
        <w:t>juror.</w:t>
      </w:r>
      <w:r>
        <w:rPr>
          <w:spacing w:val="-3"/>
          <w:position w:val="7"/>
          <w:sz w:val="11"/>
        </w:rPr>
        <w:t>55</w:t>
      </w:r>
    </w:p>
    <w:p>
      <w:pPr>
        <w:pStyle w:val="ListParagraph"/>
        <w:numPr>
          <w:ilvl w:val="1"/>
          <w:numId w:val="12"/>
        </w:numPr>
        <w:tabs>
          <w:tab w:pos="1762" w:val="left" w:leader="none"/>
        </w:tabs>
        <w:spacing w:line="206" w:lineRule="auto" w:before="128" w:after="0"/>
        <w:ind w:left="1761" w:right="1246" w:hanging="794"/>
        <w:jc w:val="both"/>
        <w:rPr>
          <w:sz w:val="20"/>
        </w:rPr>
      </w:pPr>
      <w:r>
        <w:rPr>
          <w:sz w:val="20"/>
        </w:rPr>
        <w:t>The</w:t>
      </w:r>
      <w:r>
        <w:rPr>
          <w:spacing w:val="-12"/>
          <w:sz w:val="20"/>
        </w:rPr>
        <w:t> </w:t>
      </w:r>
      <w:r>
        <w:rPr>
          <w:sz w:val="20"/>
        </w:rPr>
        <w:t>study</w:t>
      </w:r>
      <w:r>
        <w:rPr>
          <w:spacing w:val="-12"/>
          <w:sz w:val="20"/>
        </w:rPr>
        <w:t> </w:t>
      </w:r>
      <w:r>
        <w:rPr>
          <w:sz w:val="20"/>
        </w:rPr>
        <w:t>concluded</w:t>
      </w:r>
      <w:r>
        <w:rPr>
          <w:spacing w:val="-12"/>
          <w:sz w:val="20"/>
        </w:rPr>
        <w:t> </w:t>
      </w:r>
      <w:r>
        <w:rPr>
          <w:sz w:val="20"/>
        </w:rPr>
        <w:t>that</w:t>
      </w:r>
      <w:r>
        <w:rPr>
          <w:spacing w:val="-12"/>
          <w:sz w:val="20"/>
        </w:rPr>
        <w:t> </w:t>
      </w:r>
      <w:r>
        <w:rPr>
          <w:sz w:val="20"/>
        </w:rPr>
        <w:t>a</w:t>
      </w:r>
      <w:r>
        <w:rPr>
          <w:spacing w:val="-12"/>
          <w:sz w:val="20"/>
        </w:rPr>
        <w:t> </w:t>
      </w:r>
      <w:r>
        <w:rPr>
          <w:sz w:val="20"/>
        </w:rPr>
        <w:t>deaf</w:t>
      </w:r>
      <w:r>
        <w:rPr>
          <w:spacing w:val="-12"/>
          <w:sz w:val="20"/>
        </w:rPr>
        <w:t> </w:t>
      </w:r>
      <w:r>
        <w:rPr>
          <w:sz w:val="20"/>
        </w:rPr>
        <w:t>person</w:t>
      </w:r>
      <w:r>
        <w:rPr>
          <w:spacing w:val="-12"/>
          <w:sz w:val="20"/>
        </w:rPr>
        <w:t> </w:t>
      </w:r>
      <w:r>
        <w:rPr>
          <w:sz w:val="20"/>
        </w:rPr>
        <w:t>could</w:t>
      </w:r>
      <w:r>
        <w:rPr>
          <w:spacing w:val="-12"/>
          <w:sz w:val="20"/>
        </w:rPr>
        <w:t> </w:t>
      </w:r>
      <w:r>
        <w:rPr>
          <w:sz w:val="20"/>
        </w:rPr>
        <w:t>serve</w:t>
      </w:r>
      <w:r>
        <w:rPr>
          <w:spacing w:val="-11"/>
          <w:sz w:val="20"/>
        </w:rPr>
        <w:t> </w:t>
      </w:r>
      <w:r>
        <w:rPr>
          <w:sz w:val="20"/>
        </w:rPr>
        <w:t>effectively</w:t>
      </w:r>
      <w:r>
        <w:rPr>
          <w:spacing w:val="-12"/>
          <w:sz w:val="20"/>
        </w:rPr>
        <w:t> </w:t>
      </w:r>
      <w:r>
        <w:rPr>
          <w:sz w:val="20"/>
        </w:rPr>
        <w:t>as</w:t>
      </w:r>
      <w:r>
        <w:rPr>
          <w:spacing w:val="-12"/>
          <w:sz w:val="20"/>
        </w:rPr>
        <w:t> </w:t>
      </w:r>
      <w:r>
        <w:rPr>
          <w:sz w:val="20"/>
        </w:rPr>
        <w:t>a</w:t>
      </w:r>
      <w:r>
        <w:rPr>
          <w:spacing w:val="-12"/>
          <w:sz w:val="20"/>
        </w:rPr>
        <w:t> </w:t>
      </w:r>
      <w:r>
        <w:rPr>
          <w:sz w:val="20"/>
        </w:rPr>
        <w:t>juror</w:t>
      </w:r>
      <w:r>
        <w:rPr>
          <w:spacing w:val="-12"/>
          <w:sz w:val="20"/>
        </w:rPr>
        <w:t> </w:t>
      </w:r>
      <w:r>
        <w:rPr>
          <w:sz w:val="20"/>
        </w:rPr>
        <w:t>when</w:t>
      </w:r>
      <w:r>
        <w:rPr>
          <w:spacing w:val="-12"/>
          <w:sz w:val="20"/>
        </w:rPr>
        <w:t> </w:t>
      </w:r>
      <w:r>
        <w:rPr>
          <w:sz w:val="20"/>
        </w:rPr>
        <w:t>trained professional</w:t>
      </w:r>
      <w:r>
        <w:rPr>
          <w:spacing w:val="-9"/>
          <w:sz w:val="20"/>
        </w:rPr>
        <w:t> </w:t>
      </w:r>
      <w:r>
        <w:rPr>
          <w:sz w:val="20"/>
        </w:rPr>
        <w:t>Auslan</w:t>
      </w:r>
      <w:r>
        <w:rPr>
          <w:spacing w:val="-8"/>
          <w:sz w:val="20"/>
        </w:rPr>
        <w:t> </w:t>
      </w:r>
      <w:r>
        <w:rPr>
          <w:spacing w:val="-3"/>
          <w:sz w:val="20"/>
        </w:rPr>
        <w:t>interpreters</w:t>
      </w:r>
      <w:r>
        <w:rPr>
          <w:spacing w:val="-8"/>
          <w:sz w:val="20"/>
        </w:rPr>
        <w:t> </w:t>
      </w:r>
      <w:r>
        <w:rPr>
          <w:spacing w:val="-3"/>
          <w:sz w:val="20"/>
        </w:rPr>
        <w:t>are</w:t>
      </w:r>
      <w:r>
        <w:rPr>
          <w:spacing w:val="-9"/>
          <w:sz w:val="20"/>
        </w:rPr>
        <w:t> </w:t>
      </w:r>
      <w:r>
        <w:rPr>
          <w:sz w:val="20"/>
        </w:rPr>
        <w:t>engaged.</w:t>
      </w:r>
      <w:r>
        <w:rPr>
          <w:position w:val="7"/>
          <w:sz w:val="11"/>
        </w:rPr>
        <w:t>56</w:t>
      </w:r>
      <w:r>
        <w:rPr>
          <w:spacing w:val="17"/>
          <w:position w:val="7"/>
          <w:sz w:val="11"/>
        </w:rPr>
        <w:t> </w:t>
      </w:r>
      <w:r>
        <w:rPr>
          <w:sz w:val="20"/>
        </w:rPr>
        <w:t>The</w:t>
      </w:r>
      <w:r>
        <w:rPr>
          <w:spacing w:val="-8"/>
          <w:sz w:val="20"/>
        </w:rPr>
        <w:t> </w:t>
      </w:r>
      <w:r>
        <w:rPr>
          <w:sz w:val="20"/>
        </w:rPr>
        <w:t>deaf</w:t>
      </w:r>
      <w:r>
        <w:rPr>
          <w:spacing w:val="-9"/>
          <w:sz w:val="20"/>
        </w:rPr>
        <w:t> </w:t>
      </w:r>
      <w:r>
        <w:rPr>
          <w:sz w:val="20"/>
        </w:rPr>
        <w:t>juror</w:t>
      </w:r>
      <w:r>
        <w:rPr>
          <w:spacing w:val="-8"/>
          <w:sz w:val="20"/>
        </w:rPr>
        <w:t> </w:t>
      </w:r>
      <w:r>
        <w:rPr>
          <w:sz w:val="20"/>
        </w:rPr>
        <w:t>was</w:t>
      </w:r>
      <w:r>
        <w:rPr>
          <w:spacing w:val="-8"/>
          <w:sz w:val="20"/>
        </w:rPr>
        <w:t> </w:t>
      </w:r>
      <w:r>
        <w:rPr>
          <w:sz w:val="20"/>
        </w:rPr>
        <w:t>an</w:t>
      </w:r>
      <w:r>
        <w:rPr>
          <w:spacing w:val="-8"/>
          <w:sz w:val="20"/>
        </w:rPr>
        <w:t> </w:t>
      </w:r>
      <w:r>
        <w:rPr>
          <w:spacing w:val="-3"/>
          <w:sz w:val="20"/>
        </w:rPr>
        <w:t>active</w:t>
      </w:r>
      <w:r>
        <w:rPr>
          <w:spacing w:val="-9"/>
          <w:sz w:val="20"/>
        </w:rPr>
        <w:t> </w:t>
      </w:r>
      <w:r>
        <w:rPr>
          <w:sz w:val="20"/>
        </w:rPr>
        <w:t>participant in</w:t>
      </w:r>
      <w:r>
        <w:rPr>
          <w:spacing w:val="-7"/>
          <w:sz w:val="20"/>
        </w:rPr>
        <w:t> </w:t>
      </w:r>
      <w:r>
        <w:rPr>
          <w:sz w:val="20"/>
        </w:rPr>
        <w:t>the</w:t>
      </w:r>
      <w:r>
        <w:rPr>
          <w:spacing w:val="-7"/>
          <w:sz w:val="20"/>
        </w:rPr>
        <w:t> </w:t>
      </w:r>
      <w:r>
        <w:rPr>
          <w:sz w:val="20"/>
        </w:rPr>
        <w:t>deliberation</w:t>
      </w:r>
      <w:r>
        <w:rPr>
          <w:spacing w:val="-7"/>
          <w:sz w:val="20"/>
        </w:rPr>
        <w:t> </w:t>
      </w:r>
      <w:r>
        <w:rPr>
          <w:sz w:val="20"/>
        </w:rPr>
        <w:t>process,</w:t>
      </w:r>
      <w:r>
        <w:rPr>
          <w:position w:val="7"/>
          <w:sz w:val="11"/>
        </w:rPr>
        <w:t>57</w:t>
      </w:r>
      <w:r>
        <w:rPr>
          <w:spacing w:val="17"/>
          <w:position w:val="7"/>
          <w:sz w:val="11"/>
        </w:rPr>
        <w:t> </w:t>
      </w:r>
      <w:r>
        <w:rPr>
          <w:sz w:val="20"/>
        </w:rPr>
        <w:t>the</w:t>
      </w:r>
      <w:r>
        <w:rPr>
          <w:spacing w:val="-7"/>
          <w:sz w:val="20"/>
        </w:rPr>
        <w:t> </w:t>
      </w:r>
      <w:r>
        <w:rPr>
          <w:spacing w:val="-3"/>
          <w:sz w:val="20"/>
        </w:rPr>
        <w:t>involvement</w:t>
      </w:r>
      <w:r>
        <w:rPr>
          <w:spacing w:val="-7"/>
          <w:sz w:val="20"/>
        </w:rPr>
        <w:t> </w:t>
      </w:r>
      <w:r>
        <w:rPr>
          <w:sz w:val="20"/>
        </w:rPr>
        <w:t>of</w:t>
      </w:r>
      <w:r>
        <w:rPr>
          <w:spacing w:val="-7"/>
          <w:sz w:val="20"/>
        </w:rPr>
        <w:t> </w:t>
      </w:r>
      <w:r>
        <w:rPr>
          <w:sz w:val="20"/>
        </w:rPr>
        <w:t>the</w:t>
      </w:r>
      <w:r>
        <w:rPr>
          <w:spacing w:val="-7"/>
          <w:sz w:val="20"/>
        </w:rPr>
        <w:t> </w:t>
      </w:r>
      <w:r>
        <w:rPr>
          <w:spacing w:val="-3"/>
          <w:sz w:val="20"/>
        </w:rPr>
        <w:t>interpreter</w:t>
      </w:r>
      <w:r>
        <w:rPr>
          <w:spacing w:val="-7"/>
          <w:sz w:val="20"/>
        </w:rPr>
        <w:t> </w:t>
      </w:r>
      <w:r>
        <w:rPr>
          <w:sz w:val="20"/>
        </w:rPr>
        <w:t>did</w:t>
      </w:r>
      <w:r>
        <w:rPr>
          <w:spacing w:val="-7"/>
          <w:sz w:val="20"/>
        </w:rPr>
        <w:t> </w:t>
      </w:r>
      <w:r>
        <w:rPr>
          <w:sz w:val="20"/>
        </w:rPr>
        <w:t>not</w:t>
      </w:r>
      <w:r>
        <w:rPr>
          <w:spacing w:val="-7"/>
          <w:sz w:val="20"/>
        </w:rPr>
        <w:t> </w:t>
      </w:r>
      <w:r>
        <w:rPr>
          <w:sz w:val="20"/>
        </w:rPr>
        <w:t>undermine</w:t>
      </w:r>
    </w:p>
    <w:p>
      <w:pPr>
        <w:pStyle w:val="BodyText"/>
        <w:spacing w:line="206" w:lineRule="auto" w:before="3"/>
        <w:ind w:left="1761" w:right="1444"/>
        <w:rPr>
          <w:sz w:val="11"/>
        </w:rPr>
      </w:pPr>
      <w:r>
        <w:rPr/>
        <w:t>or destabilise jury deliberation, and </w:t>
      </w:r>
      <w:r>
        <w:rPr>
          <w:spacing w:val="-3"/>
        </w:rPr>
        <w:t>any </w:t>
      </w:r>
      <w:r>
        <w:rPr/>
        <w:t>distractions </w:t>
      </w:r>
      <w:r>
        <w:rPr>
          <w:spacing w:val="-4"/>
        </w:rPr>
        <w:t>were </w:t>
      </w:r>
      <w:r>
        <w:rPr>
          <w:spacing w:val="-3"/>
        </w:rPr>
        <w:t>only </w:t>
      </w:r>
      <w:r>
        <w:rPr/>
        <w:t>temporary.</w:t>
      </w:r>
      <w:r>
        <w:rPr>
          <w:position w:val="7"/>
          <w:sz w:val="11"/>
        </w:rPr>
        <w:t>58 </w:t>
      </w:r>
      <w:r>
        <w:rPr/>
        <w:t>The judge reported that the mock trial was not very different to other trials he had been </w:t>
      </w:r>
      <w:r>
        <w:rPr>
          <w:spacing w:val="-4"/>
        </w:rPr>
        <w:t>involved</w:t>
      </w:r>
      <w:r>
        <w:rPr>
          <w:spacing w:val="-8"/>
        </w:rPr>
        <w:t> </w:t>
      </w:r>
      <w:r>
        <w:rPr/>
        <w:t>in.</w:t>
      </w:r>
      <w:r>
        <w:rPr>
          <w:spacing w:val="-8"/>
        </w:rPr>
        <w:t> </w:t>
      </w:r>
      <w:r>
        <w:rPr/>
        <w:t>The</w:t>
      </w:r>
      <w:r>
        <w:rPr>
          <w:spacing w:val="-8"/>
        </w:rPr>
        <w:t> </w:t>
      </w:r>
      <w:r>
        <w:rPr/>
        <w:t>judge</w:t>
      </w:r>
      <w:r>
        <w:rPr>
          <w:spacing w:val="-8"/>
        </w:rPr>
        <w:t> </w:t>
      </w:r>
      <w:r>
        <w:rPr/>
        <w:t>was</w:t>
      </w:r>
      <w:r>
        <w:rPr>
          <w:spacing w:val="-8"/>
        </w:rPr>
        <w:t> </w:t>
      </w:r>
      <w:r>
        <w:rPr/>
        <w:t>of</w:t>
      </w:r>
      <w:r>
        <w:rPr>
          <w:spacing w:val="-8"/>
        </w:rPr>
        <w:t> </w:t>
      </w:r>
      <w:r>
        <w:rPr/>
        <w:t>the</w:t>
      </w:r>
      <w:r>
        <w:rPr>
          <w:spacing w:val="-8"/>
        </w:rPr>
        <w:t> </w:t>
      </w:r>
      <w:r>
        <w:rPr/>
        <w:t>view</w:t>
      </w:r>
      <w:r>
        <w:rPr>
          <w:spacing w:val="-8"/>
        </w:rPr>
        <w:t> </w:t>
      </w:r>
      <w:r>
        <w:rPr/>
        <w:t>that</w:t>
      </w:r>
      <w:r>
        <w:rPr>
          <w:spacing w:val="-8"/>
        </w:rPr>
        <w:t> </w:t>
      </w:r>
      <w:r>
        <w:rPr/>
        <w:t>training</w:t>
      </w:r>
      <w:r>
        <w:rPr>
          <w:spacing w:val="-8"/>
        </w:rPr>
        <w:t> </w:t>
      </w:r>
      <w:r>
        <w:rPr/>
        <w:t>should</w:t>
      </w:r>
      <w:r>
        <w:rPr>
          <w:spacing w:val="-8"/>
        </w:rPr>
        <w:t> </w:t>
      </w:r>
      <w:r>
        <w:rPr/>
        <w:t>be</w:t>
      </w:r>
      <w:r>
        <w:rPr>
          <w:spacing w:val="-8"/>
        </w:rPr>
        <w:t> </w:t>
      </w:r>
      <w:r>
        <w:rPr>
          <w:spacing w:val="-3"/>
        </w:rPr>
        <w:t>provided</w:t>
      </w:r>
      <w:r>
        <w:rPr>
          <w:spacing w:val="-8"/>
        </w:rPr>
        <w:t> </w:t>
      </w:r>
      <w:r>
        <w:rPr/>
        <w:t>on</w:t>
      </w:r>
      <w:r>
        <w:rPr>
          <w:spacing w:val="-8"/>
        </w:rPr>
        <w:t> </w:t>
      </w:r>
      <w:r>
        <w:rPr>
          <w:spacing w:val="-3"/>
        </w:rPr>
        <w:t>how</w:t>
      </w:r>
      <w:r>
        <w:rPr>
          <w:spacing w:val="-8"/>
        </w:rPr>
        <w:t> </w:t>
      </w:r>
      <w:r>
        <w:rPr/>
        <w:t>to</w:t>
      </w:r>
      <w:r>
        <w:rPr>
          <w:spacing w:val="-8"/>
        </w:rPr>
        <w:t> </w:t>
      </w:r>
      <w:r>
        <w:rPr/>
        <w:t>run proceedings</w:t>
      </w:r>
      <w:r>
        <w:rPr>
          <w:spacing w:val="-6"/>
        </w:rPr>
        <w:t> </w:t>
      </w:r>
      <w:r>
        <w:rPr/>
        <w:t>that</w:t>
      </w:r>
      <w:r>
        <w:rPr>
          <w:spacing w:val="-5"/>
        </w:rPr>
        <w:t> </w:t>
      </w:r>
      <w:r>
        <w:rPr>
          <w:spacing w:val="-4"/>
        </w:rPr>
        <w:t>involve</w:t>
      </w:r>
      <w:r>
        <w:rPr>
          <w:spacing w:val="-5"/>
        </w:rPr>
        <w:t> </w:t>
      </w:r>
      <w:r>
        <w:rPr/>
        <w:t>Auslan</w:t>
      </w:r>
      <w:r>
        <w:rPr>
          <w:spacing w:val="-6"/>
        </w:rPr>
        <w:t> </w:t>
      </w:r>
      <w:r>
        <w:rPr>
          <w:spacing w:val="-3"/>
        </w:rPr>
        <w:t>interpreters</w:t>
      </w:r>
      <w:r>
        <w:rPr>
          <w:spacing w:val="-5"/>
        </w:rPr>
        <w:t> </w:t>
      </w:r>
      <w:r>
        <w:rPr/>
        <w:t>to</w:t>
      </w:r>
      <w:r>
        <w:rPr>
          <w:spacing w:val="-5"/>
        </w:rPr>
        <w:t> </w:t>
      </w:r>
      <w:r>
        <w:rPr/>
        <w:t>judges</w:t>
      </w:r>
      <w:r>
        <w:rPr>
          <w:spacing w:val="-6"/>
        </w:rPr>
        <w:t> </w:t>
      </w:r>
      <w:r>
        <w:rPr/>
        <w:t>and</w:t>
      </w:r>
      <w:r>
        <w:rPr>
          <w:spacing w:val="-5"/>
        </w:rPr>
        <w:t> </w:t>
      </w:r>
      <w:r>
        <w:rPr/>
        <w:t>court</w:t>
      </w:r>
      <w:r>
        <w:rPr>
          <w:spacing w:val="-5"/>
        </w:rPr>
        <w:t> </w:t>
      </w:r>
      <w:r>
        <w:rPr>
          <w:spacing w:val="-3"/>
        </w:rPr>
        <w:t>staff.</w:t>
      </w:r>
      <w:r>
        <w:rPr>
          <w:spacing w:val="-3"/>
          <w:position w:val="7"/>
          <w:sz w:val="11"/>
        </w:rPr>
        <w:t>59</w:t>
      </w:r>
    </w:p>
    <w:p>
      <w:pPr>
        <w:pStyle w:val="ListParagraph"/>
        <w:numPr>
          <w:ilvl w:val="1"/>
          <w:numId w:val="12"/>
        </w:numPr>
        <w:tabs>
          <w:tab w:pos="1761" w:val="left" w:leader="none"/>
          <w:tab w:pos="1762" w:val="left" w:leader="none"/>
        </w:tabs>
        <w:spacing w:line="206" w:lineRule="auto" w:before="125" w:after="0"/>
        <w:ind w:left="1761" w:right="1478" w:hanging="794"/>
        <w:jc w:val="left"/>
        <w:rPr>
          <w:sz w:val="11"/>
        </w:rPr>
      </w:pPr>
      <w:r>
        <w:rPr>
          <w:spacing w:val="-10"/>
          <w:sz w:val="20"/>
        </w:rPr>
        <w:t>To </w:t>
      </w:r>
      <w:r>
        <w:rPr>
          <w:sz w:val="20"/>
        </w:rPr>
        <w:t>ascertain perceptions about the impact of </w:t>
      </w:r>
      <w:r>
        <w:rPr>
          <w:spacing w:val="-3"/>
          <w:sz w:val="20"/>
        </w:rPr>
        <w:t>having </w:t>
      </w:r>
      <w:r>
        <w:rPr>
          <w:sz w:val="20"/>
        </w:rPr>
        <w:t>a deaf person as a </w:t>
      </w:r>
      <w:r>
        <w:rPr>
          <w:spacing w:val="-4"/>
          <w:sz w:val="20"/>
        </w:rPr>
        <w:t>juror, </w:t>
      </w:r>
      <w:r>
        <w:rPr>
          <w:spacing w:val="-3"/>
          <w:sz w:val="20"/>
        </w:rPr>
        <w:t>researchers</w:t>
      </w:r>
      <w:r>
        <w:rPr>
          <w:spacing w:val="-7"/>
          <w:sz w:val="20"/>
        </w:rPr>
        <w:t> </w:t>
      </w:r>
      <w:r>
        <w:rPr>
          <w:spacing w:val="-4"/>
          <w:sz w:val="20"/>
        </w:rPr>
        <w:t>have</w:t>
      </w:r>
      <w:r>
        <w:rPr>
          <w:spacing w:val="-6"/>
          <w:sz w:val="20"/>
        </w:rPr>
        <w:t> </w:t>
      </w:r>
      <w:r>
        <w:rPr>
          <w:sz w:val="20"/>
        </w:rPr>
        <w:t>also</w:t>
      </w:r>
      <w:r>
        <w:rPr>
          <w:spacing w:val="-7"/>
          <w:sz w:val="20"/>
        </w:rPr>
        <w:t> </w:t>
      </w:r>
      <w:r>
        <w:rPr>
          <w:sz w:val="20"/>
        </w:rPr>
        <w:t>made</w:t>
      </w:r>
      <w:r>
        <w:rPr>
          <w:spacing w:val="-6"/>
          <w:sz w:val="20"/>
        </w:rPr>
        <w:t> </w:t>
      </w:r>
      <w:r>
        <w:rPr>
          <w:sz w:val="20"/>
        </w:rPr>
        <w:t>observations</w:t>
      </w:r>
      <w:r>
        <w:rPr>
          <w:spacing w:val="-7"/>
          <w:sz w:val="20"/>
        </w:rPr>
        <w:t> </w:t>
      </w:r>
      <w:r>
        <w:rPr>
          <w:sz w:val="20"/>
        </w:rPr>
        <w:t>in</w:t>
      </w:r>
      <w:r>
        <w:rPr>
          <w:spacing w:val="-6"/>
          <w:sz w:val="20"/>
        </w:rPr>
        <w:t> </w:t>
      </w:r>
      <w:r>
        <w:rPr>
          <w:sz w:val="20"/>
        </w:rPr>
        <w:t>United</w:t>
      </w:r>
      <w:r>
        <w:rPr>
          <w:spacing w:val="-7"/>
          <w:sz w:val="20"/>
        </w:rPr>
        <w:t> </w:t>
      </w:r>
      <w:r>
        <w:rPr>
          <w:spacing w:val="-3"/>
          <w:sz w:val="20"/>
        </w:rPr>
        <w:t>States</w:t>
      </w:r>
      <w:r>
        <w:rPr>
          <w:spacing w:val="-6"/>
          <w:sz w:val="20"/>
        </w:rPr>
        <w:t> </w:t>
      </w:r>
      <w:r>
        <w:rPr>
          <w:sz w:val="20"/>
        </w:rPr>
        <w:t>courtrooms</w:t>
      </w:r>
      <w:r>
        <w:rPr>
          <w:spacing w:val="-6"/>
          <w:sz w:val="20"/>
        </w:rPr>
        <w:t> </w:t>
      </w:r>
      <w:r>
        <w:rPr>
          <w:sz w:val="20"/>
        </w:rPr>
        <w:t>and</w:t>
      </w:r>
      <w:r>
        <w:rPr>
          <w:spacing w:val="-7"/>
          <w:sz w:val="20"/>
        </w:rPr>
        <w:t> </w:t>
      </w:r>
      <w:r>
        <w:rPr>
          <w:spacing w:val="-3"/>
          <w:sz w:val="20"/>
        </w:rPr>
        <w:t>surveyed interpreters </w:t>
      </w:r>
      <w:r>
        <w:rPr>
          <w:sz w:val="20"/>
        </w:rPr>
        <w:t>and legal professionals about the </w:t>
      </w:r>
      <w:r>
        <w:rPr>
          <w:spacing w:val="-3"/>
          <w:sz w:val="20"/>
        </w:rPr>
        <w:t>role </w:t>
      </w:r>
      <w:r>
        <w:rPr>
          <w:sz w:val="20"/>
        </w:rPr>
        <w:t>of the deaf juror in trials </w:t>
      </w:r>
      <w:r>
        <w:rPr>
          <w:spacing w:val="-3"/>
          <w:sz w:val="20"/>
        </w:rPr>
        <w:t>across </w:t>
      </w:r>
      <w:r>
        <w:rPr>
          <w:sz w:val="20"/>
        </w:rPr>
        <w:t>common law</w:t>
      </w:r>
      <w:r>
        <w:rPr>
          <w:spacing w:val="-9"/>
          <w:sz w:val="20"/>
        </w:rPr>
        <w:t> </w:t>
      </w:r>
      <w:r>
        <w:rPr>
          <w:sz w:val="20"/>
        </w:rPr>
        <w:t>countries.</w:t>
      </w:r>
      <w:r>
        <w:rPr>
          <w:position w:val="7"/>
          <w:sz w:val="11"/>
        </w:rPr>
        <w:t>60</w:t>
      </w:r>
    </w:p>
    <w:p>
      <w:pPr>
        <w:pStyle w:val="BodyText"/>
      </w:pPr>
    </w:p>
    <w:p>
      <w:pPr>
        <w:pStyle w:val="BodyText"/>
        <w:spacing w:before="10"/>
        <w:rPr>
          <w:sz w:val="28"/>
        </w:rPr>
      </w:pPr>
      <w:r>
        <w:rPr/>
        <w:pict>
          <v:line style="position:absolute;mso-position-horizontal-relative:page;mso-position-vertical-relative:paragraph;z-index:4808;mso-wrap-distance-left:0;mso-wrap-distance-right:0" from="79.370102pt,22.392401pt" to="515.905102pt,22.392401pt" stroked="true" strokeweight="1pt" strokecolor="#b6bdc8">
            <v:stroke dashstyle="solid"/>
            <w10:wrap type="topAndBottom"/>
          </v:line>
        </w:pict>
      </w:r>
    </w:p>
    <w:p>
      <w:pPr>
        <w:pStyle w:val="ListParagraph"/>
        <w:numPr>
          <w:ilvl w:val="0"/>
          <w:numId w:val="62"/>
        </w:numPr>
        <w:tabs>
          <w:tab w:pos="1760" w:val="left" w:leader="none"/>
          <w:tab w:pos="1762" w:val="left" w:leader="none"/>
        </w:tabs>
        <w:spacing w:line="213" w:lineRule="auto" w:before="107" w:after="0"/>
        <w:ind w:left="1761" w:right="1375" w:hanging="794"/>
        <w:jc w:val="both"/>
        <w:rPr>
          <w:sz w:val="13"/>
        </w:rPr>
      </w:pPr>
      <w:r>
        <w:rPr>
          <w:sz w:val="13"/>
        </w:rPr>
        <w:t>For more extensive discussion of this research: see Victorian Law Reform </w:t>
      </w:r>
      <w:r>
        <w:rPr>
          <w:spacing w:val="2"/>
          <w:sz w:val="13"/>
        </w:rPr>
        <w:t>Commission, </w:t>
      </w:r>
      <w:r>
        <w:rPr>
          <w:i/>
          <w:sz w:val="13"/>
        </w:rPr>
        <w:t>Inclusive Juries—Access for People Who </w:t>
      </w:r>
      <w:r>
        <w:rPr>
          <w:i/>
          <w:sz w:val="13"/>
        </w:rPr>
        <w:t>Are Deaf, Hard of Hearing, Blind or Have Low Vision </w:t>
      </w:r>
      <w:r>
        <w:rPr>
          <w:sz w:val="13"/>
        </w:rPr>
        <w:t>(Consultation Paper, </w:t>
      </w:r>
      <w:r>
        <w:rPr>
          <w:spacing w:val="2"/>
          <w:sz w:val="13"/>
        </w:rPr>
        <w:t>December </w:t>
      </w:r>
      <w:r>
        <w:rPr>
          <w:sz w:val="13"/>
        </w:rPr>
        <w:t>2020) ch 6. We consulted with the following </w:t>
      </w:r>
      <w:r>
        <w:rPr>
          <w:spacing w:val="2"/>
          <w:sz w:val="13"/>
        </w:rPr>
        <w:t>academics </w:t>
      </w:r>
      <w:r>
        <w:rPr>
          <w:sz w:val="13"/>
        </w:rPr>
        <w:t>for this </w:t>
      </w:r>
      <w:r>
        <w:rPr>
          <w:spacing w:val="2"/>
          <w:sz w:val="13"/>
        </w:rPr>
        <w:t>report: </w:t>
      </w:r>
      <w:r>
        <w:rPr>
          <w:sz w:val="13"/>
        </w:rPr>
        <w:t>Consultation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w:t>
      </w:r>
      <w:r>
        <w:rPr>
          <w:spacing w:val="25"/>
          <w:sz w:val="13"/>
        </w:rPr>
        <w:t> </w:t>
      </w:r>
      <w:r>
        <w:rPr>
          <w:sz w:val="13"/>
        </w:rPr>
        <w:t>Wales)).</w:t>
      </w:r>
    </w:p>
    <w:p>
      <w:pPr>
        <w:pStyle w:val="ListParagraph"/>
        <w:numPr>
          <w:ilvl w:val="0"/>
          <w:numId w:val="62"/>
        </w:numPr>
        <w:tabs>
          <w:tab w:pos="1760" w:val="left" w:leader="none"/>
          <w:tab w:pos="1762" w:val="left" w:leader="none"/>
        </w:tabs>
        <w:spacing w:line="213" w:lineRule="auto" w:before="0" w:after="0"/>
        <w:ind w:left="1761" w:right="1274" w:hanging="794"/>
        <w:jc w:val="left"/>
        <w:rPr>
          <w:sz w:val="13"/>
        </w:rPr>
      </w:pPr>
      <w:r>
        <w:rPr>
          <w:sz w:val="13"/>
        </w:rPr>
        <w:t>David </w:t>
      </w:r>
      <w:r>
        <w:rPr>
          <w:spacing w:val="2"/>
          <w:sz w:val="13"/>
        </w:rPr>
        <w:t>Spencer </w:t>
      </w:r>
      <w:r>
        <w:rPr>
          <w:sz w:val="13"/>
        </w:rPr>
        <w:t>et </w:t>
      </w:r>
      <w:r>
        <w:rPr>
          <w:spacing w:val="2"/>
          <w:sz w:val="13"/>
        </w:rPr>
        <w:t>al, </w:t>
      </w:r>
      <w:r>
        <w:rPr>
          <w:sz w:val="13"/>
        </w:rPr>
        <w:t>‘Justice Is </w:t>
      </w:r>
      <w:r>
        <w:rPr>
          <w:spacing w:val="2"/>
          <w:sz w:val="13"/>
        </w:rPr>
        <w:t>Blind </w:t>
      </w:r>
      <w:r>
        <w:rPr>
          <w:sz w:val="13"/>
        </w:rPr>
        <w:t>as Long as It Isn’t Deaf: Excluding Deaf People from </w:t>
      </w:r>
      <w:r>
        <w:rPr>
          <w:spacing w:val="2"/>
          <w:sz w:val="13"/>
        </w:rPr>
        <w:t>Jury </w:t>
      </w:r>
      <w:r>
        <w:rPr>
          <w:sz w:val="13"/>
        </w:rPr>
        <w:t>Duty—an Australian Human Rights Breach’ (2017) </w:t>
      </w:r>
      <w:r>
        <w:rPr>
          <w:spacing w:val="2"/>
          <w:sz w:val="13"/>
        </w:rPr>
        <w:t>23(3) </w:t>
      </w:r>
      <w:r>
        <w:rPr>
          <w:i/>
          <w:sz w:val="13"/>
        </w:rPr>
        <w:t>Australian Journal of Human </w:t>
      </w:r>
      <w:r>
        <w:rPr>
          <w:i/>
          <w:spacing w:val="2"/>
          <w:sz w:val="13"/>
        </w:rPr>
        <w:t>Rights </w:t>
      </w:r>
      <w:r>
        <w:rPr>
          <w:sz w:val="13"/>
        </w:rPr>
        <w:t>332,</w:t>
      </w:r>
      <w:r>
        <w:rPr>
          <w:spacing w:val="-1"/>
          <w:sz w:val="13"/>
        </w:rPr>
        <w:t> </w:t>
      </w:r>
      <w:r>
        <w:rPr>
          <w:spacing w:val="3"/>
          <w:sz w:val="13"/>
        </w:rPr>
        <w:t>345.</w:t>
      </w:r>
    </w:p>
    <w:p>
      <w:pPr>
        <w:pStyle w:val="ListParagraph"/>
        <w:numPr>
          <w:ilvl w:val="0"/>
          <w:numId w:val="62"/>
        </w:numPr>
        <w:tabs>
          <w:tab w:pos="1760" w:val="left" w:leader="none"/>
          <w:tab w:pos="1762" w:val="left" w:leader="none"/>
        </w:tabs>
        <w:spacing w:line="213" w:lineRule="auto" w:before="0" w:after="0"/>
        <w:ind w:left="1761" w:right="1283" w:hanging="794"/>
        <w:jc w:val="left"/>
        <w:rPr>
          <w:sz w:val="13"/>
        </w:rPr>
      </w:pPr>
      <w:r>
        <w:rPr>
          <w:sz w:val="13"/>
        </w:rPr>
        <w:t>The key findings are summarised in Jemina </w:t>
      </w:r>
      <w:r>
        <w:rPr>
          <w:spacing w:val="2"/>
          <w:sz w:val="13"/>
        </w:rPr>
        <w:t>Napier </w:t>
      </w:r>
      <w:r>
        <w:rPr>
          <w:sz w:val="13"/>
        </w:rPr>
        <w:t>and </w:t>
      </w:r>
      <w:r>
        <w:rPr>
          <w:spacing w:val="2"/>
          <w:sz w:val="13"/>
        </w:rPr>
        <w:t>Alastair </w:t>
      </w:r>
      <w:r>
        <w:rPr>
          <w:sz w:val="13"/>
        </w:rPr>
        <w:t>McEwin, </w:t>
      </w:r>
      <w:r>
        <w:rPr>
          <w:spacing w:val="2"/>
          <w:sz w:val="13"/>
        </w:rPr>
        <w:t>‘Do </w:t>
      </w:r>
      <w:r>
        <w:rPr>
          <w:sz w:val="13"/>
        </w:rPr>
        <w:t>Deaf People Have the Right to Serve as Jurors in Australia?’ (2015) </w:t>
      </w:r>
      <w:r>
        <w:rPr>
          <w:spacing w:val="2"/>
          <w:sz w:val="13"/>
        </w:rPr>
        <w:t>40(1) </w:t>
      </w:r>
      <w:r>
        <w:rPr>
          <w:i/>
          <w:sz w:val="13"/>
        </w:rPr>
        <w:t>Alternative Law Journal </w:t>
      </w:r>
      <w:r>
        <w:rPr>
          <w:spacing w:val="2"/>
          <w:sz w:val="13"/>
        </w:rPr>
        <w:t>23. </w:t>
      </w:r>
      <w:r>
        <w:rPr>
          <w:sz w:val="13"/>
        </w:rPr>
        <w:t>Key studies cited include: Jemina </w:t>
      </w:r>
      <w:r>
        <w:rPr>
          <w:spacing w:val="2"/>
          <w:sz w:val="13"/>
        </w:rPr>
        <w:t>Napier </w:t>
      </w:r>
      <w:r>
        <w:rPr>
          <w:sz w:val="13"/>
        </w:rPr>
        <w:t>and David Spencer, </w:t>
      </w:r>
      <w:r>
        <w:rPr>
          <w:i/>
          <w:sz w:val="13"/>
        </w:rPr>
        <w:t>Guilty or Not    </w:t>
      </w:r>
      <w:r>
        <w:rPr>
          <w:i/>
          <w:sz w:val="13"/>
        </w:rPr>
        <w:t>Guilty? An Investigation of Deaf Jurors’ Access to Court Proceedings via Sign Language Interpreters </w:t>
      </w:r>
      <w:r>
        <w:rPr>
          <w:sz w:val="13"/>
        </w:rPr>
        <w:t>(New South Wales Law Reform </w:t>
      </w:r>
      <w:r>
        <w:rPr>
          <w:spacing w:val="2"/>
          <w:sz w:val="13"/>
        </w:rPr>
        <w:t>Commission </w:t>
      </w:r>
      <w:r>
        <w:rPr>
          <w:sz w:val="13"/>
        </w:rPr>
        <w:t>Research </w:t>
      </w:r>
      <w:r>
        <w:rPr>
          <w:spacing w:val="2"/>
          <w:sz w:val="13"/>
        </w:rPr>
        <w:t>Report </w:t>
      </w:r>
      <w:r>
        <w:rPr>
          <w:sz w:val="13"/>
        </w:rPr>
        <w:t>No </w:t>
      </w:r>
      <w:r>
        <w:rPr>
          <w:spacing w:val="4"/>
          <w:sz w:val="13"/>
        </w:rPr>
        <w:t>14, </w:t>
      </w:r>
      <w:r>
        <w:rPr>
          <w:sz w:val="13"/>
        </w:rPr>
        <w:t>2007); Jemina </w:t>
      </w:r>
      <w:r>
        <w:rPr>
          <w:spacing w:val="2"/>
          <w:sz w:val="13"/>
        </w:rPr>
        <w:t>Napier </w:t>
      </w:r>
      <w:r>
        <w:rPr>
          <w:sz w:val="13"/>
        </w:rPr>
        <w:t>and David Spencer, ‘Jury Instructions: Comparing Hearing and Deaf Jurors’ </w:t>
      </w:r>
      <w:r>
        <w:rPr>
          <w:spacing w:val="2"/>
          <w:sz w:val="13"/>
        </w:rPr>
        <w:t>Comprehension </w:t>
      </w:r>
      <w:r>
        <w:rPr>
          <w:sz w:val="13"/>
        </w:rPr>
        <w:t>via Direct or Mediated Communication’ (2017) </w:t>
      </w:r>
      <w:r>
        <w:rPr>
          <w:spacing w:val="2"/>
          <w:sz w:val="13"/>
        </w:rPr>
        <w:t>24(1) </w:t>
      </w:r>
      <w:r>
        <w:rPr>
          <w:i/>
          <w:sz w:val="13"/>
        </w:rPr>
        <w:t>International  Journal  of  </w:t>
      </w:r>
      <w:r>
        <w:rPr>
          <w:i/>
          <w:spacing w:val="2"/>
          <w:sz w:val="13"/>
        </w:rPr>
        <w:t>Speech </w:t>
      </w:r>
      <w:r>
        <w:rPr>
          <w:i/>
          <w:sz w:val="13"/>
        </w:rPr>
        <w:t>Language  and  the </w:t>
      </w:r>
      <w:r>
        <w:rPr>
          <w:i/>
          <w:sz w:val="13"/>
        </w:rPr>
        <w:t>Law </w:t>
      </w:r>
      <w:r>
        <w:rPr>
          <w:spacing w:val="5"/>
          <w:sz w:val="13"/>
        </w:rPr>
        <w:t>1.</w:t>
      </w:r>
    </w:p>
    <w:p>
      <w:pPr>
        <w:pStyle w:val="ListParagraph"/>
        <w:numPr>
          <w:ilvl w:val="0"/>
          <w:numId w:val="62"/>
        </w:numPr>
        <w:tabs>
          <w:tab w:pos="1761" w:val="left" w:leader="none"/>
          <w:tab w:pos="1762" w:val="left" w:leader="none"/>
        </w:tabs>
        <w:spacing w:line="213" w:lineRule="auto" w:before="0" w:after="0"/>
        <w:ind w:left="1761" w:right="1640" w:hanging="794"/>
        <w:jc w:val="left"/>
        <w:rPr>
          <w:sz w:val="13"/>
        </w:rPr>
      </w:pPr>
      <w:r>
        <w:rPr>
          <w:spacing w:val="2"/>
          <w:sz w:val="13"/>
        </w:rPr>
        <w:t>Sandra </w:t>
      </w:r>
      <w:r>
        <w:rPr>
          <w:sz w:val="13"/>
        </w:rPr>
        <w:t>Hale et </w:t>
      </w:r>
      <w:r>
        <w:rPr>
          <w:spacing w:val="2"/>
          <w:sz w:val="13"/>
        </w:rPr>
        <w:t>al, </w:t>
      </w:r>
      <w:r>
        <w:rPr>
          <w:i/>
          <w:sz w:val="13"/>
        </w:rPr>
        <w:t>Participation in the Administration of Justice: Deaf Citizens as Jurors </w:t>
      </w:r>
      <w:r>
        <w:rPr>
          <w:spacing w:val="2"/>
          <w:sz w:val="13"/>
        </w:rPr>
        <w:t>(Australian </w:t>
      </w:r>
      <w:r>
        <w:rPr>
          <w:sz w:val="13"/>
        </w:rPr>
        <w:t>Research Council Linkage Project No 120200261, 2016).</w:t>
      </w:r>
    </w:p>
    <w:p>
      <w:pPr>
        <w:pStyle w:val="ListParagraph"/>
        <w:numPr>
          <w:ilvl w:val="0"/>
          <w:numId w:val="62"/>
        </w:numPr>
        <w:tabs>
          <w:tab w:pos="1761" w:val="left" w:leader="none"/>
          <w:tab w:pos="1762" w:val="left" w:leader="none"/>
        </w:tabs>
        <w:spacing w:line="213" w:lineRule="auto" w:before="0" w:after="0"/>
        <w:ind w:left="1761" w:right="1423" w:hanging="794"/>
        <w:jc w:val="left"/>
        <w:rPr>
          <w:sz w:val="13"/>
        </w:rPr>
      </w:pPr>
      <w:r>
        <w:rPr>
          <w:sz w:val="13"/>
        </w:rPr>
        <w:t>Consultation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w:t>
      </w:r>
      <w:r>
        <w:rPr>
          <w:spacing w:val="4"/>
          <w:sz w:val="13"/>
        </w:rPr>
        <w:t> </w:t>
      </w:r>
      <w:r>
        <w:rPr>
          <w:sz w:val="13"/>
        </w:rPr>
        <w:t>Wales)).</w:t>
      </w:r>
    </w:p>
    <w:p>
      <w:pPr>
        <w:pStyle w:val="ListParagraph"/>
        <w:numPr>
          <w:ilvl w:val="0"/>
          <w:numId w:val="62"/>
        </w:numPr>
        <w:tabs>
          <w:tab w:pos="1761" w:val="left" w:leader="none"/>
          <w:tab w:pos="1762" w:val="left" w:leader="none"/>
        </w:tabs>
        <w:spacing w:line="213" w:lineRule="auto" w:before="0" w:after="0"/>
        <w:ind w:left="1761" w:right="1640" w:hanging="794"/>
        <w:jc w:val="left"/>
        <w:rPr>
          <w:sz w:val="13"/>
        </w:rPr>
      </w:pPr>
      <w:r>
        <w:rPr>
          <w:spacing w:val="2"/>
          <w:sz w:val="13"/>
        </w:rPr>
        <w:t>Sandra </w:t>
      </w:r>
      <w:r>
        <w:rPr>
          <w:sz w:val="13"/>
        </w:rPr>
        <w:t>Hale et </w:t>
      </w:r>
      <w:r>
        <w:rPr>
          <w:spacing w:val="2"/>
          <w:sz w:val="13"/>
        </w:rPr>
        <w:t>al, </w:t>
      </w:r>
      <w:r>
        <w:rPr>
          <w:i/>
          <w:sz w:val="13"/>
        </w:rPr>
        <w:t>Participation in the Administration of Justice: Deaf Citizens as Jurors </w:t>
      </w:r>
      <w:r>
        <w:rPr>
          <w:spacing w:val="2"/>
          <w:sz w:val="13"/>
        </w:rPr>
        <w:t>(Australian </w:t>
      </w:r>
      <w:r>
        <w:rPr>
          <w:sz w:val="13"/>
        </w:rPr>
        <w:t>Research Council Linkage Project No 120200261, 2016) 20.</w:t>
      </w:r>
    </w:p>
    <w:p>
      <w:pPr>
        <w:pStyle w:val="ListParagraph"/>
        <w:numPr>
          <w:ilvl w:val="0"/>
          <w:numId w:val="62"/>
        </w:numPr>
        <w:tabs>
          <w:tab w:pos="1760" w:val="left" w:leader="none"/>
          <w:tab w:pos="1762" w:val="left" w:leader="none"/>
        </w:tabs>
        <w:spacing w:line="153" w:lineRule="exact" w:before="0" w:after="0"/>
        <w:ind w:left="1761" w:right="0" w:hanging="794"/>
        <w:jc w:val="left"/>
        <w:rPr>
          <w:sz w:val="13"/>
        </w:rPr>
      </w:pPr>
      <w:r>
        <w:rPr>
          <w:sz w:val="13"/>
        </w:rPr>
        <w:t>Ibid</w:t>
      </w:r>
      <w:r>
        <w:rPr>
          <w:spacing w:val="9"/>
          <w:sz w:val="13"/>
        </w:rPr>
        <w:t> </w:t>
      </w:r>
      <w:r>
        <w:rPr>
          <w:spacing w:val="2"/>
          <w:sz w:val="13"/>
        </w:rPr>
        <w:t>12.</w:t>
      </w:r>
    </w:p>
    <w:p>
      <w:pPr>
        <w:pStyle w:val="ListParagraph"/>
        <w:numPr>
          <w:ilvl w:val="0"/>
          <w:numId w:val="62"/>
        </w:numPr>
        <w:tabs>
          <w:tab w:pos="1760" w:val="left" w:leader="none"/>
          <w:tab w:pos="1762" w:val="left" w:leader="none"/>
        </w:tabs>
        <w:spacing w:line="160" w:lineRule="exact" w:before="0" w:after="0"/>
        <w:ind w:left="1761" w:right="0" w:hanging="794"/>
        <w:jc w:val="left"/>
        <w:rPr>
          <w:sz w:val="13"/>
        </w:rPr>
      </w:pPr>
      <w:r>
        <w:rPr>
          <w:sz w:val="13"/>
        </w:rPr>
        <w:t>Ibid</w:t>
      </w:r>
      <w:r>
        <w:rPr>
          <w:spacing w:val="9"/>
          <w:sz w:val="13"/>
        </w:rPr>
        <w:t> </w:t>
      </w:r>
      <w:r>
        <w:rPr>
          <w:spacing w:val="3"/>
          <w:sz w:val="13"/>
        </w:rPr>
        <w:t>15.</w:t>
      </w:r>
    </w:p>
    <w:p>
      <w:pPr>
        <w:pStyle w:val="ListParagraph"/>
        <w:numPr>
          <w:ilvl w:val="0"/>
          <w:numId w:val="62"/>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62"/>
        </w:numPr>
        <w:tabs>
          <w:tab w:pos="1760" w:val="left" w:leader="none"/>
          <w:tab w:pos="1762" w:val="left" w:leader="none"/>
        </w:tabs>
        <w:spacing w:line="213" w:lineRule="auto" w:before="0" w:after="0"/>
        <w:ind w:left="1761" w:right="1209" w:hanging="794"/>
        <w:jc w:val="left"/>
        <w:rPr>
          <w:sz w:val="13"/>
        </w:rPr>
      </w:pPr>
      <w:r>
        <w:rPr/>
        <w:pict>
          <v:shape style="position:absolute;margin-left:36pt;margin-top:11.39599pt;width:13.9pt;height:14.1pt;mso-position-horizontal-relative:page;mso-position-vertical-relative:paragraph;z-index:6880" type="#_x0000_t202" filled="false" stroked="false">
            <v:textbox inset="0,0,0,0">
              <w:txbxContent>
                <w:p>
                  <w:pPr>
                    <w:spacing w:line="282" w:lineRule="exact" w:before="0"/>
                    <w:ind w:left="0" w:right="0" w:firstLine="0"/>
                    <w:jc w:val="left"/>
                    <w:rPr>
                      <w:b/>
                      <w:sz w:val="24"/>
                    </w:rPr>
                  </w:pPr>
                  <w:r>
                    <w:rPr>
                      <w:b/>
                      <w:color w:val="37617A"/>
                      <w:spacing w:val="-2"/>
                      <w:sz w:val="24"/>
                    </w:rPr>
                    <w:t>76</w:t>
                  </w:r>
                </w:p>
              </w:txbxContent>
            </v:textbox>
            <w10:wrap type="none"/>
          </v:shape>
        </w:pict>
      </w:r>
      <w:r>
        <w:rPr>
          <w:sz w:val="13"/>
        </w:rPr>
        <w:t>179 sign </w:t>
      </w:r>
      <w:r>
        <w:rPr>
          <w:spacing w:val="2"/>
          <w:sz w:val="13"/>
        </w:rPr>
        <w:t>language </w:t>
      </w:r>
      <w:r>
        <w:rPr>
          <w:sz w:val="13"/>
        </w:rPr>
        <w:t>interpreters and 97 legal professionals from Australia, </w:t>
      </w:r>
      <w:r>
        <w:rPr>
          <w:spacing w:val="2"/>
          <w:sz w:val="13"/>
        </w:rPr>
        <w:t>Canada, </w:t>
      </w:r>
      <w:r>
        <w:rPr>
          <w:sz w:val="13"/>
        </w:rPr>
        <w:t>the United States, United </w:t>
      </w:r>
      <w:r>
        <w:rPr>
          <w:spacing w:val="2"/>
          <w:sz w:val="13"/>
        </w:rPr>
        <w:t>Kingdom, </w:t>
      </w:r>
      <w:r>
        <w:rPr>
          <w:sz w:val="13"/>
        </w:rPr>
        <w:t>Ireland,   South Africa and New Zealand responded to an online survey: see Jemina </w:t>
      </w:r>
      <w:r>
        <w:rPr>
          <w:spacing w:val="2"/>
          <w:sz w:val="13"/>
        </w:rPr>
        <w:t>Napier </w:t>
      </w:r>
      <w:r>
        <w:rPr>
          <w:sz w:val="13"/>
        </w:rPr>
        <w:t>and </w:t>
      </w:r>
      <w:r>
        <w:rPr>
          <w:spacing w:val="2"/>
          <w:sz w:val="13"/>
        </w:rPr>
        <w:t>Alastair </w:t>
      </w:r>
      <w:r>
        <w:rPr>
          <w:sz w:val="13"/>
        </w:rPr>
        <w:t>McEwin, </w:t>
      </w:r>
      <w:r>
        <w:rPr>
          <w:spacing w:val="2"/>
          <w:sz w:val="13"/>
        </w:rPr>
        <w:t>‘Do </w:t>
      </w:r>
      <w:r>
        <w:rPr>
          <w:sz w:val="13"/>
        </w:rPr>
        <w:t>Deaf People Have the Right to Serve as Jurors in Australia?’ (2015) </w:t>
      </w:r>
      <w:r>
        <w:rPr>
          <w:spacing w:val="2"/>
          <w:sz w:val="13"/>
        </w:rPr>
        <w:t>40(1) </w:t>
      </w:r>
      <w:r>
        <w:rPr>
          <w:i/>
          <w:sz w:val="13"/>
        </w:rPr>
        <w:t>Alternative Law Journal </w:t>
      </w:r>
      <w:r>
        <w:rPr>
          <w:spacing w:val="2"/>
          <w:sz w:val="13"/>
        </w:rPr>
        <w:t>23,</w:t>
      </w:r>
      <w:r>
        <w:rPr>
          <w:spacing w:val="9"/>
          <w:sz w:val="13"/>
        </w:rPr>
        <w:t> </w:t>
      </w:r>
      <w:r>
        <w:rPr>
          <w:sz w:val="13"/>
        </w:rPr>
        <w:t>26.</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322" w:hanging="794"/>
        <w:jc w:val="left"/>
        <w:rPr>
          <w:sz w:val="11"/>
        </w:rPr>
      </w:pPr>
      <w:bookmarkStart w:name="_bookmark60" w:id="155"/>
      <w:bookmarkEnd w:id="155"/>
      <w:r>
        <w:rPr/>
      </w:r>
      <w:bookmarkStart w:name="_bookmark60" w:id="156"/>
      <w:bookmarkEnd w:id="156"/>
      <w:r>
        <w:rPr>
          <w:sz w:val="20"/>
        </w:rPr>
        <w:t>T</w:t>
      </w:r>
      <w:r>
        <w:rPr>
          <w:sz w:val="20"/>
        </w:rPr>
        <w:t>he results suggested that the perceptions of legal professionals depended upon whether</w:t>
      </w:r>
      <w:r>
        <w:rPr>
          <w:spacing w:val="-12"/>
          <w:sz w:val="20"/>
        </w:rPr>
        <w:t> </w:t>
      </w:r>
      <w:r>
        <w:rPr>
          <w:sz w:val="20"/>
        </w:rPr>
        <w:t>and</w:t>
      </w:r>
      <w:r>
        <w:rPr>
          <w:spacing w:val="-12"/>
          <w:sz w:val="20"/>
        </w:rPr>
        <w:t> </w:t>
      </w:r>
      <w:r>
        <w:rPr>
          <w:sz w:val="20"/>
        </w:rPr>
        <w:t>to</w:t>
      </w:r>
      <w:r>
        <w:rPr>
          <w:spacing w:val="-11"/>
          <w:sz w:val="20"/>
        </w:rPr>
        <w:t> </w:t>
      </w:r>
      <w:r>
        <w:rPr>
          <w:sz w:val="20"/>
        </w:rPr>
        <w:t>what</w:t>
      </w:r>
      <w:r>
        <w:rPr>
          <w:spacing w:val="-12"/>
          <w:sz w:val="20"/>
        </w:rPr>
        <w:t> </w:t>
      </w:r>
      <w:r>
        <w:rPr>
          <w:sz w:val="20"/>
        </w:rPr>
        <w:t>extent</w:t>
      </w:r>
      <w:r>
        <w:rPr>
          <w:spacing w:val="-12"/>
          <w:sz w:val="20"/>
        </w:rPr>
        <w:t> </w:t>
      </w:r>
      <w:r>
        <w:rPr>
          <w:sz w:val="20"/>
        </w:rPr>
        <w:t>they</w:t>
      </w:r>
      <w:r>
        <w:rPr>
          <w:spacing w:val="-11"/>
          <w:sz w:val="20"/>
        </w:rPr>
        <w:t> </w:t>
      </w:r>
      <w:r>
        <w:rPr>
          <w:sz w:val="20"/>
        </w:rPr>
        <w:t>had</w:t>
      </w:r>
      <w:r>
        <w:rPr>
          <w:spacing w:val="-12"/>
          <w:sz w:val="20"/>
        </w:rPr>
        <w:t> </w:t>
      </w:r>
      <w:r>
        <w:rPr>
          <w:sz w:val="20"/>
        </w:rPr>
        <w:t>experience</w:t>
      </w:r>
      <w:r>
        <w:rPr>
          <w:spacing w:val="-11"/>
          <w:sz w:val="20"/>
        </w:rPr>
        <w:t> </w:t>
      </w:r>
      <w:r>
        <w:rPr>
          <w:sz w:val="20"/>
        </w:rPr>
        <w:t>working</w:t>
      </w:r>
      <w:r>
        <w:rPr>
          <w:spacing w:val="-12"/>
          <w:sz w:val="20"/>
        </w:rPr>
        <w:t> </w:t>
      </w:r>
      <w:r>
        <w:rPr>
          <w:sz w:val="20"/>
        </w:rPr>
        <w:t>with</w:t>
      </w:r>
      <w:r>
        <w:rPr>
          <w:spacing w:val="-12"/>
          <w:sz w:val="20"/>
        </w:rPr>
        <w:t> </w:t>
      </w:r>
      <w:r>
        <w:rPr>
          <w:spacing w:val="-3"/>
          <w:sz w:val="20"/>
        </w:rPr>
        <w:t>interpreters.</w:t>
      </w:r>
      <w:r>
        <w:rPr>
          <w:spacing w:val="-11"/>
          <w:sz w:val="20"/>
        </w:rPr>
        <w:t> </w:t>
      </w:r>
      <w:r>
        <w:rPr>
          <w:sz w:val="20"/>
        </w:rPr>
        <w:t>The</w:t>
      </w:r>
      <w:r>
        <w:rPr>
          <w:spacing w:val="-12"/>
          <w:sz w:val="20"/>
        </w:rPr>
        <w:t> </w:t>
      </w:r>
      <w:r>
        <w:rPr>
          <w:sz w:val="20"/>
        </w:rPr>
        <w:t>results </w:t>
      </w:r>
      <w:r>
        <w:rPr>
          <w:spacing w:val="-4"/>
          <w:sz w:val="20"/>
        </w:rPr>
        <w:t>were </w:t>
      </w:r>
      <w:r>
        <w:rPr>
          <w:spacing w:val="-3"/>
          <w:sz w:val="20"/>
        </w:rPr>
        <w:t>‘overwhelmingly </w:t>
      </w:r>
      <w:r>
        <w:rPr>
          <w:sz w:val="20"/>
        </w:rPr>
        <w:t>more </w:t>
      </w:r>
      <w:r>
        <w:rPr>
          <w:spacing w:val="-3"/>
          <w:sz w:val="20"/>
        </w:rPr>
        <w:t>positive’ </w:t>
      </w:r>
      <w:r>
        <w:rPr>
          <w:sz w:val="20"/>
        </w:rPr>
        <w:t>in the United States, where use of </w:t>
      </w:r>
      <w:r>
        <w:rPr>
          <w:spacing w:val="-3"/>
          <w:sz w:val="20"/>
        </w:rPr>
        <w:t>interpreters </w:t>
      </w:r>
      <w:r>
        <w:rPr>
          <w:sz w:val="20"/>
        </w:rPr>
        <w:t>has</w:t>
      </w:r>
      <w:r>
        <w:rPr>
          <w:spacing w:val="-9"/>
          <w:sz w:val="20"/>
        </w:rPr>
        <w:t> </w:t>
      </w:r>
      <w:r>
        <w:rPr>
          <w:sz w:val="20"/>
        </w:rPr>
        <w:t>been</w:t>
      </w:r>
      <w:r>
        <w:rPr>
          <w:spacing w:val="-9"/>
          <w:sz w:val="20"/>
        </w:rPr>
        <w:t> </w:t>
      </w:r>
      <w:r>
        <w:rPr>
          <w:sz w:val="20"/>
        </w:rPr>
        <w:t>permitted</w:t>
      </w:r>
      <w:r>
        <w:rPr>
          <w:spacing w:val="-9"/>
          <w:sz w:val="20"/>
        </w:rPr>
        <w:t> </w:t>
      </w:r>
      <w:r>
        <w:rPr>
          <w:sz w:val="20"/>
        </w:rPr>
        <w:t>for</w:t>
      </w:r>
      <w:r>
        <w:rPr>
          <w:spacing w:val="-8"/>
          <w:sz w:val="20"/>
        </w:rPr>
        <w:t> </w:t>
      </w:r>
      <w:r>
        <w:rPr>
          <w:spacing w:val="-4"/>
          <w:sz w:val="20"/>
        </w:rPr>
        <w:t>over</w:t>
      </w:r>
      <w:r>
        <w:rPr>
          <w:spacing w:val="-9"/>
          <w:sz w:val="20"/>
        </w:rPr>
        <w:t> </w:t>
      </w:r>
      <w:r>
        <w:rPr>
          <w:sz w:val="20"/>
        </w:rPr>
        <w:t>30</w:t>
      </w:r>
      <w:r>
        <w:rPr>
          <w:spacing w:val="-9"/>
          <w:sz w:val="20"/>
        </w:rPr>
        <w:t> </w:t>
      </w:r>
      <w:r>
        <w:rPr>
          <w:spacing w:val="-3"/>
          <w:sz w:val="20"/>
        </w:rPr>
        <w:t>years</w:t>
      </w:r>
      <w:r>
        <w:rPr>
          <w:spacing w:val="-8"/>
          <w:sz w:val="20"/>
        </w:rPr>
        <w:t> </w:t>
      </w:r>
      <w:r>
        <w:rPr>
          <w:sz w:val="20"/>
        </w:rPr>
        <w:t>in</w:t>
      </w:r>
      <w:r>
        <w:rPr>
          <w:spacing w:val="-9"/>
          <w:sz w:val="20"/>
        </w:rPr>
        <w:t> </w:t>
      </w:r>
      <w:r>
        <w:rPr>
          <w:sz w:val="20"/>
        </w:rPr>
        <w:t>various</w:t>
      </w:r>
      <w:r>
        <w:rPr>
          <w:spacing w:val="-9"/>
          <w:sz w:val="20"/>
        </w:rPr>
        <w:t> </w:t>
      </w:r>
      <w:r>
        <w:rPr>
          <w:sz w:val="20"/>
        </w:rPr>
        <w:t>states,</w:t>
      </w:r>
      <w:r>
        <w:rPr>
          <w:spacing w:val="-8"/>
          <w:sz w:val="20"/>
        </w:rPr>
        <w:t> </w:t>
      </w:r>
      <w:r>
        <w:rPr>
          <w:sz w:val="20"/>
        </w:rPr>
        <w:t>as</w:t>
      </w:r>
      <w:r>
        <w:rPr>
          <w:spacing w:val="-9"/>
          <w:sz w:val="20"/>
        </w:rPr>
        <w:t> </w:t>
      </w:r>
      <w:r>
        <w:rPr>
          <w:sz w:val="20"/>
        </w:rPr>
        <w:t>opposed</w:t>
      </w:r>
      <w:r>
        <w:rPr>
          <w:spacing w:val="-9"/>
          <w:sz w:val="20"/>
        </w:rPr>
        <w:t> </w:t>
      </w:r>
      <w:r>
        <w:rPr>
          <w:sz w:val="20"/>
        </w:rPr>
        <w:t>to</w:t>
      </w:r>
      <w:r>
        <w:rPr>
          <w:spacing w:val="-8"/>
          <w:sz w:val="20"/>
        </w:rPr>
        <w:t> </w:t>
      </w:r>
      <w:r>
        <w:rPr>
          <w:sz w:val="20"/>
        </w:rPr>
        <w:t>countries</w:t>
      </w:r>
      <w:r>
        <w:rPr>
          <w:spacing w:val="-9"/>
          <w:sz w:val="20"/>
        </w:rPr>
        <w:t> </w:t>
      </w:r>
      <w:r>
        <w:rPr>
          <w:sz w:val="20"/>
        </w:rPr>
        <w:t>where this occurs less </w:t>
      </w:r>
      <w:r>
        <w:rPr>
          <w:spacing w:val="-3"/>
          <w:sz w:val="20"/>
        </w:rPr>
        <w:t>frequently </w:t>
      </w:r>
      <w:r>
        <w:rPr>
          <w:sz w:val="20"/>
        </w:rPr>
        <w:t>or </w:t>
      </w:r>
      <w:r>
        <w:rPr>
          <w:spacing w:val="-4"/>
          <w:sz w:val="20"/>
        </w:rPr>
        <w:t>never.</w:t>
      </w:r>
      <w:r>
        <w:rPr>
          <w:spacing w:val="-4"/>
          <w:position w:val="7"/>
          <w:sz w:val="11"/>
        </w:rPr>
        <w:t>61 </w:t>
      </w:r>
      <w:r>
        <w:rPr>
          <w:sz w:val="20"/>
        </w:rPr>
        <w:t>The </w:t>
      </w:r>
      <w:r>
        <w:rPr>
          <w:spacing w:val="-3"/>
          <w:sz w:val="20"/>
        </w:rPr>
        <w:t>researchers </w:t>
      </w:r>
      <w:r>
        <w:rPr>
          <w:sz w:val="20"/>
        </w:rPr>
        <w:t>concluded that the ‘majority of legal professionals and </w:t>
      </w:r>
      <w:r>
        <w:rPr>
          <w:spacing w:val="-3"/>
          <w:sz w:val="20"/>
        </w:rPr>
        <w:t>interpreters </w:t>
      </w:r>
      <w:r>
        <w:rPr>
          <w:sz w:val="20"/>
        </w:rPr>
        <w:t>agree that deaf people should not be </w:t>
      </w:r>
      <w:r>
        <w:rPr>
          <w:spacing w:val="-3"/>
          <w:sz w:val="20"/>
        </w:rPr>
        <w:t>excluded from </w:t>
      </w:r>
      <w:r>
        <w:rPr>
          <w:sz w:val="20"/>
        </w:rPr>
        <w:t>jury service and that the administration of justice is a shared responsibility’.</w:t>
      </w:r>
      <w:r>
        <w:rPr>
          <w:position w:val="7"/>
          <w:sz w:val="11"/>
        </w:rPr>
        <w:t>62</w:t>
      </w:r>
      <w:r>
        <w:rPr>
          <w:sz w:val="11"/>
        </w:rPr>
        <w:t> </w:t>
      </w:r>
      <w:r>
        <w:rPr>
          <w:sz w:val="20"/>
        </w:rPr>
        <w:t>Respondents</w:t>
      </w:r>
      <w:r>
        <w:rPr>
          <w:spacing w:val="-11"/>
          <w:sz w:val="20"/>
        </w:rPr>
        <w:t> </w:t>
      </w:r>
      <w:r>
        <w:rPr>
          <w:spacing w:val="-3"/>
          <w:sz w:val="20"/>
        </w:rPr>
        <w:t>‘acknowledged</w:t>
      </w:r>
      <w:r>
        <w:rPr>
          <w:spacing w:val="-11"/>
          <w:sz w:val="20"/>
        </w:rPr>
        <w:t> </w:t>
      </w:r>
      <w:r>
        <w:rPr>
          <w:sz w:val="20"/>
        </w:rPr>
        <w:t>that</w:t>
      </w:r>
      <w:r>
        <w:rPr>
          <w:spacing w:val="-11"/>
          <w:sz w:val="20"/>
        </w:rPr>
        <w:t> </w:t>
      </w:r>
      <w:r>
        <w:rPr>
          <w:sz w:val="20"/>
        </w:rPr>
        <w:t>it</w:t>
      </w:r>
      <w:r>
        <w:rPr>
          <w:spacing w:val="-11"/>
          <w:sz w:val="20"/>
        </w:rPr>
        <w:t> </w:t>
      </w:r>
      <w:r>
        <w:rPr>
          <w:sz w:val="20"/>
        </w:rPr>
        <w:t>can</w:t>
      </w:r>
      <w:r>
        <w:rPr>
          <w:spacing w:val="-11"/>
          <w:sz w:val="20"/>
        </w:rPr>
        <w:t> </w:t>
      </w:r>
      <w:r>
        <w:rPr>
          <w:sz w:val="20"/>
        </w:rPr>
        <w:t>be</w:t>
      </w:r>
      <w:r>
        <w:rPr>
          <w:spacing w:val="-11"/>
          <w:sz w:val="20"/>
        </w:rPr>
        <w:t> </w:t>
      </w:r>
      <w:r>
        <w:rPr>
          <w:sz w:val="20"/>
        </w:rPr>
        <w:t>challenging,</w:t>
      </w:r>
      <w:r>
        <w:rPr>
          <w:spacing w:val="-11"/>
          <w:sz w:val="20"/>
        </w:rPr>
        <w:t> </w:t>
      </w:r>
      <w:r>
        <w:rPr>
          <w:sz w:val="20"/>
        </w:rPr>
        <w:t>but</w:t>
      </w:r>
      <w:r>
        <w:rPr>
          <w:spacing w:val="-11"/>
          <w:sz w:val="20"/>
        </w:rPr>
        <w:t> </w:t>
      </w:r>
      <w:r>
        <w:rPr>
          <w:sz w:val="20"/>
        </w:rPr>
        <w:t>no</w:t>
      </w:r>
      <w:r>
        <w:rPr>
          <w:spacing w:val="-10"/>
          <w:sz w:val="20"/>
        </w:rPr>
        <w:t> </w:t>
      </w:r>
      <w:r>
        <w:rPr>
          <w:sz w:val="20"/>
        </w:rPr>
        <w:t>more</w:t>
      </w:r>
      <w:r>
        <w:rPr>
          <w:spacing w:val="-11"/>
          <w:sz w:val="20"/>
        </w:rPr>
        <w:t> </w:t>
      </w:r>
      <w:r>
        <w:rPr>
          <w:sz w:val="20"/>
        </w:rPr>
        <w:t>challenging</w:t>
      </w:r>
      <w:r>
        <w:rPr>
          <w:spacing w:val="-11"/>
          <w:sz w:val="20"/>
        </w:rPr>
        <w:t> </w:t>
      </w:r>
      <w:r>
        <w:rPr>
          <w:sz w:val="20"/>
        </w:rPr>
        <w:t>than court</w:t>
      </w:r>
      <w:r>
        <w:rPr>
          <w:spacing w:val="-9"/>
          <w:sz w:val="20"/>
        </w:rPr>
        <w:t> </w:t>
      </w:r>
      <w:r>
        <w:rPr>
          <w:spacing w:val="-3"/>
          <w:sz w:val="20"/>
        </w:rPr>
        <w:t>interpreting</w:t>
      </w:r>
      <w:r>
        <w:rPr>
          <w:spacing w:val="-9"/>
          <w:sz w:val="20"/>
        </w:rPr>
        <w:t> </w:t>
      </w:r>
      <w:r>
        <w:rPr>
          <w:spacing w:val="-3"/>
          <w:sz w:val="20"/>
        </w:rPr>
        <w:t>generally,</w:t>
      </w:r>
      <w:r>
        <w:rPr>
          <w:spacing w:val="-9"/>
          <w:sz w:val="20"/>
        </w:rPr>
        <w:t> </w:t>
      </w:r>
      <w:r>
        <w:rPr>
          <w:sz w:val="20"/>
        </w:rPr>
        <w:t>and</w:t>
      </w:r>
      <w:r>
        <w:rPr>
          <w:spacing w:val="-9"/>
          <w:sz w:val="20"/>
        </w:rPr>
        <w:t> </w:t>
      </w:r>
      <w:r>
        <w:rPr>
          <w:sz w:val="20"/>
        </w:rPr>
        <w:t>that</w:t>
      </w:r>
      <w:r>
        <w:rPr>
          <w:spacing w:val="-8"/>
          <w:sz w:val="20"/>
        </w:rPr>
        <w:t> </w:t>
      </w:r>
      <w:r>
        <w:rPr>
          <w:sz w:val="20"/>
        </w:rPr>
        <w:t>the</w:t>
      </w:r>
      <w:r>
        <w:rPr>
          <w:spacing w:val="-9"/>
          <w:sz w:val="20"/>
        </w:rPr>
        <w:t> </w:t>
      </w:r>
      <w:r>
        <w:rPr>
          <w:sz w:val="20"/>
        </w:rPr>
        <w:t>biggest</w:t>
      </w:r>
      <w:r>
        <w:rPr>
          <w:spacing w:val="-9"/>
          <w:sz w:val="20"/>
        </w:rPr>
        <w:t> </w:t>
      </w:r>
      <w:r>
        <w:rPr>
          <w:spacing w:val="-3"/>
          <w:sz w:val="20"/>
        </w:rPr>
        <w:t>hurdle</w:t>
      </w:r>
      <w:r>
        <w:rPr>
          <w:spacing w:val="-9"/>
          <w:sz w:val="20"/>
        </w:rPr>
        <w:t> </w:t>
      </w:r>
      <w:r>
        <w:rPr>
          <w:sz w:val="20"/>
        </w:rPr>
        <w:t>was</w:t>
      </w:r>
      <w:r>
        <w:rPr>
          <w:spacing w:val="-8"/>
          <w:sz w:val="20"/>
        </w:rPr>
        <w:t> </w:t>
      </w:r>
      <w:r>
        <w:rPr>
          <w:sz w:val="20"/>
        </w:rPr>
        <w:t>the</w:t>
      </w:r>
      <w:r>
        <w:rPr>
          <w:spacing w:val="-9"/>
          <w:sz w:val="20"/>
        </w:rPr>
        <w:t> </w:t>
      </w:r>
      <w:r>
        <w:rPr>
          <w:sz w:val="20"/>
        </w:rPr>
        <w:t>logistics</w:t>
      </w:r>
      <w:r>
        <w:rPr>
          <w:spacing w:val="-9"/>
          <w:sz w:val="20"/>
        </w:rPr>
        <w:t> </w:t>
      </w:r>
      <w:r>
        <w:rPr>
          <w:sz w:val="20"/>
        </w:rPr>
        <w:t>of</w:t>
      </w:r>
      <w:r>
        <w:rPr>
          <w:spacing w:val="-9"/>
          <w:sz w:val="20"/>
        </w:rPr>
        <w:t> </w:t>
      </w:r>
      <w:r>
        <w:rPr>
          <w:sz w:val="20"/>
        </w:rPr>
        <w:t>organising teams</w:t>
      </w:r>
      <w:r>
        <w:rPr>
          <w:spacing w:val="-7"/>
          <w:sz w:val="20"/>
        </w:rPr>
        <w:t> </w:t>
      </w:r>
      <w:r>
        <w:rPr>
          <w:sz w:val="20"/>
        </w:rPr>
        <w:t>of</w:t>
      </w:r>
      <w:r>
        <w:rPr>
          <w:spacing w:val="-6"/>
          <w:sz w:val="20"/>
        </w:rPr>
        <w:t> </w:t>
      </w:r>
      <w:r>
        <w:rPr>
          <w:spacing w:val="-3"/>
          <w:sz w:val="20"/>
        </w:rPr>
        <w:t>interpreters</w:t>
      </w:r>
      <w:r>
        <w:rPr>
          <w:spacing w:val="-6"/>
          <w:sz w:val="20"/>
        </w:rPr>
        <w:t> </w:t>
      </w:r>
      <w:r>
        <w:rPr>
          <w:sz w:val="20"/>
        </w:rPr>
        <w:t>to</w:t>
      </w:r>
      <w:r>
        <w:rPr>
          <w:spacing w:val="-6"/>
          <w:sz w:val="20"/>
        </w:rPr>
        <w:t> </w:t>
      </w:r>
      <w:r>
        <w:rPr>
          <w:sz w:val="20"/>
        </w:rPr>
        <w:t>be</w:t>
      </w:r>
      <w:r>
        <w:rPr>
          <w:spacing w:val="-6"/>
          <w:sz w:val="20"/>
        </w:rPr>
        <w:t> </w:t>
      </w:r>
      <w:r>
        <w:rPr>
          <w:sz w:val="20"/>
        </w:rPr>
        <w:t>on</w:t>
      </w:r>
      <w:r>
        <w:rPr>
          <w:spacing w:val="-6"/>
          <w:sz w:val="20"/>
        </w:rPr>
        <w:t> </w:t>
      </w:r>
      <w:r>
        <w:rPr>
          <w:sz w:val="20"/>
        </w:rPr>
        <w:t>stand-by</w:t>
      </w:r>
      <w:r>
        <w:rPr>
          <w:spacing w:val="-6"/>
          <w:sz w:val="20"/>
        </w:rPr>
        <w:t> </w:t>
      </w:r>
      <w:r>
        <w:rPr>
          <w:sz w:val="20"/>
        </w:rPr>
        <w:t>in</w:t>
      </w:r>
      <w:r>
        <w:rPr>
          <w:spacing w:val="-6"/>
          <w:sz w:val="20"/>
        </w:rPr>
        <w:t> </w:t>
      </w:r>
      <w:r>
        <w:rPr>
          <w:sz w:val="20"/>
        </w:rPr>
        <w:t>case</w:t>
      </w:r>
      <w:r>
        <w:rPr>
          <w:spacing w:val="-6"/>
          <w:sz w:val="20"/>
        </w:rPr>
        <w:t> </w:t>
      </w:r>
      <w:r>
        <w:rPr>
          <w:sz w:val="20"/>
        </w:rPr>
        <w:t>a</w:t>
      </w:r>
      <w:r>
        <w:rPr>
          <w:spacing w:val="-6"/>
          <w:sz w:val="20"/>
        </w:rPr>
        <w:t> </w:t>
      </w:r>
      <w:r>
        <w:rPr>
          <w:sz w:val="20"/>
        </w:rPr>
        <w:t>deaf</w:t>
      </w:r>
      <w:r>
        <w:rPr>
          <w:spacing w:val="-6"/>
          <w:sz w:val="20"/>
        </w:rPr>
        <w:t> </w:t>
      </w:r>
      <w:r>
        <w:rPr>
          <w:sz w:val="20"/>
        </w:rPr>
        <w:t>person</w:t>
      </w:r>
      <w:r>
        <w:rPr>
          <w:spacing w:val="-6"/>
          <w:sz w:val="20"/>
        </w:rPr>
        <w:t> </w:t>
      </w:r>
      <w:r>
        <w:rPr>
          <w:sz w:val="20"/>
        </w:rPr>
        <w:t>is</w:t>
      </w:r>
      <w:r>
        <w:rPr>
          <w:spacing w:val="-6"/>
          <w:sz w:val="20"/>
        </w:rPr>
        <w:t> </w:t>
      </w:r>
      <w:r>
        <w:rPr>
          <w:sz w:val="20"/>
        </w:rPr>
        <w:t>empanelled’.</w:t>
      </w:r>
      <w:r>
        <w:rPr>
          <w:position w:val="7"/>
          <w:sz w:val="11"/>
        </w:rPr>
        <w:t>63</w:t>
      </w:r>
    </w:p>
    <w:p>
      <w:pPr>
        <w:pStyle w:val="Heading3"/>
        <w:spacing w:before="171"/>
      </w:pPr>
      <w:r>
        <w:rPr/>
        <w:t>Jurors who are blind or have low vision</w:t>
      </w:r>
    </w:p>
    <w:p>
      <w:pPr>
        <w:pStyle w:val="ListParagraph"/>
        <w:numPr>
          <w:ilvl w:val="1"/>
          <w:numId w:val="12"/>
        </w:numPr>
        <w:tabs>
          <w:tab w:pos="1761" w:val="left" w:leader="none"/>
          <w:tab w:pos="1762" w:val="left" w:leader="none"/>
        </w:tabs>
        <w:spacing w:line="206" w:lineRule="auto" w:before="127" w:after="0"/>
        <w:ind w:left="1761" w:right="1224" w:hanging="794"/>
        <w:jc w:val="left"/>
        <w:rPr>
          <w:sz w:val="20"/>
        </w:rPr>
      </w:pPr>
      <w:r>
        <w:rPr>
          <w:sz w:val="20"/>
        </w:rPr>
        <w:t>Vision Australia noted that ‘The community is often </w:t>
      </w:r>
      <w:r>
        <w:rPr>
          <w:spacing w:val="-3"/>
          <w:sz w:val="20"/>
        </w:rPr>
        <w:t>unaware </w:t>
      </w:r>
      <w:r>
        <w:rPr>
          <w:sz w:val="20"/>
        </w:rPr>
        <w:t>of the advanced technology</w:t>
      </w:r>
      <w:r>
        <w:rPr>
          <w:spacing w:val="-9"/>
          <w:sz w:val="20"/>
        </w:rPr>
        <w:t> </w:t>
      </w:r>
      <w:r>
        <w:rPr>
          <w:sz w:val="20"/>
        </w:rPr>
        <w:t>that</w:t>
      </w:r>
      <w:r>
        <w:rPr>
          <w:spacing w:val="-8"/>
          <w:sz w:val="20"/>
        </w:rPr>
        <w:t> </w:t>
      </w:r>
      <w:r>
        <w:rPr>
          <w:sz w:val="20"/>
        </w:rPr>
        <w:t>is</w:t>
      </w:r>
      <w:r>
        <w:rPr>
          <w:spacing w:val="-8"/>
          <w:sz w:val="20"/>
        </w:rPr>
        <w:t> </w:t>
      </w:r>
      <w:r>
        <w:rPr>
          <w:spacing w:val="-3"/>
          <w:sz w:val="20"/>
        </w:rPr>
        <w:t>available</w:t>
      </w:r>
      <w:r>
        <w:rPr>
          <w:spacing w:val="-8"/>
          <w:sz w:val="20"/>
        </w:rPr>
        <w:t> </w:t>
      </w:r>
      <w:r>
        <w:rPr>
          <w:sz w:val="20"/>
        </w:rPr>
        <w:t>to</w:t>
      </w:r>
      <w:r>
        <w:rPr>
          <w:spacing w:val="-8"/>
          <w:sz w:val="20"/>
        </w:rPr>
        <w:t> </w:t>
      </w:r>
      <w:r>
        <w:rPr>
          <w:sz w:val="20"/>
        </w:rPr>
        <w:t>help</w:t>
      </w:r>
      <w:r>
        <w:rPr>
          <w:spacing w:val="-9"/>
          <w:sz w:val="20"/>
        </w:rPr>
        <w:t> </w:t>
      </w:r>
      <w:r>
        <w:rPr>
          <w:sz w:val="20"/>
        </w:rPr>
        <w:t>blind</w:t>
      </w:r>
      <w:r>
        <w:rPr>
          <w:spacing w:val="-8"/>
          <w:sz w:val="20"/>
        </w:rPr>
        <w:t> </w:t>
      </w:r>
      <w:r>
        <w:rPr>
          <w:sz w:val="20"/>
        </w:rPr>
        <w:t>people</w:t>
      </w:r>
      <w:r>
        <w:rPr>
          <w:spacing w:val="-8"/>
          <w:sz w:val="20"/>
        </w:rPr>
        <w:t> </w:t>
      </w:r>
      <w:r>
        <w:rPr>
          <w:sz w:val="20"/>
        </w:rPr>
        <w:t>to</w:t>
      </w:r>
      <w:r>
        <w:rPr>
          <w:spacing w:val="-8"/>
          <w:sz w:val="20"/>
        </w:rPr>
        <w:t> </w:t>
      </w:r>
      <w:r>
        <w:rPr>
          <w:spacing w:val="-3"/>
          <w:sz w:val="20"/>
        </w:rPr>
        <w:t>read</w:t>
      </w:r>
      <w:r>
        <w:rPr>
          <w:spacing w:val="-8"/>
          <w:sz w:val="20"/>
        </w:rPr>
        <w:t> </w:t>
      </w:r>
      <w:r>
        <w:rPr>
          <w:spacing w:val="-3"/>
          <w:sz w:val="20"/>
        </w:rPr>
        <w:t>documents’.</w:t>
      </w:r>
      <w:r>
        <w:rPr>
          <w:spacing w:val="-8"/>
          <w:sz w:val="20"/>
        </w:rPr>
        <w:t> </w:t>
      </w:r>
      <w:r>
        <w:rPr>
          <w:sz w:val="20"/>
        </w:rPr>
        <w:t>Some</w:t>
      </w:r>
      <w:r>
        <w:rPr>
          <w:spacing w:val="-9"/>
          <w:sz w:val="20"/>
        </w:rPr>
        <w:t> </w:t>
      </w:r>
      <w:r>
        <w:rPr>
          <w:sz w:val="20"/>
        </w:rPr>
        <w:t>people</w:t>
      </w:r>
      <w:r>
        <w:rPr>
          <w:spacing w:val="-8"/>
          <w:sz w:val="20"/>
        </w:rPr>
        <w:t> </w:t>
      </w:r>
      <w:r>
        <w:rPr>
          <w:sz w:val="20"/>
        </w:rPr>
        <w:t>also believe that blind</w:t>
      </w:r>
      <w:r>
        <w:rPr>
          <w:spacing w:val="-14"/>
          <w:sz w:val="20"/>
        </w:rPr>
        <w:t> </w:t>
      </w:r>
      <w:r>
        <w:rPr>
          <w:sz w:val="20"/>
        </w:rPr>
        <w:t>people:</w:t>
      </w:r>
    </w:p>
    <w:p>
      <w:pPr>
        <w:spacing w:line="208" w:lineRule="auto" w:before="121"/>
        <w:ind w:left="2157" w:right="1110" w:firstLine="0"/>
        <w:jc w:val="left"/>
        <w:rPr>
          <w:sz w:val="19"/>
        </w:rPr>
      </w:pPr>
      <w:r>
        <w:rPr>
          <w:sz w:val="19"/>
        </w:rPr>
        <w:t>are unable to function in a dynamic environment such as a courtroom or a deliberation room. This is based on unfounded assumptions from a lack of contact with blind people. Blind people are often not seen in court environments. This is one reason</w:t>
      </w:r>
    </w:p>
    <w:p>
      <w:pPr>
        <w:spacing w:line="208" w:lineRule="auto" w:before="2"/>
        <w:ind w:left="2157" w:right="1335" w:firstLine="0"/>
        <w:jc w:val="left"/>
        <w:rPr>
          <w:sz w:val="11"/>
        </w:rPr>
      </w:pPr>
      <w:r>
        <w:rPr>
          <w:sz w:val="19"/>
        </w:rPr>
        <w:t>why there is a need for reform: so that people can see blind people in these environments.</w:t>
      </w:r>
      <w:r>
        <w:rPr>
          <w:position w:val="6"/>
          <w:sz w:val="11"/>
        </w:rPr>
        <w:t>64</w:t>
      </w:r>
    </w:p>
    <w:p>
      <w:pPr>
        <w:pStyle w:val="ListParagraph"/>
        <w:numPr>
          <w:ilvl w:val="1"/>
          <w:numId w:val="12"/>
        </w:numPr>
        <w:tabs>
          <w:tab w:pos="1762" w:val="left" w:leader="none"/>
        </w:tabs>
        <w:spacing w:line="206" w:lineRule="auto" w:before="124" w:after="0"/>
        <w:ind w:left="1761" w:right="1363" w:hanging="794"/>
        <w:jc w:val="both"/>
        <w:rPr>
          <w:sz w:val="20"/>
        </w:rPr>
      </w:pPr>
      <w:r>
        <w:rPr>
          <w:sz w:val="20"/>
        </w:rPr>
        <w:t>Blind</w:t>
      </w:r>
      <w:r>
        <w:rPr>
          <w:spacing w:val="-11"/>
          <w:sz w:val="20"/>
        </w:rPr>
        <w:t> </w:t>
      </w:r>
      <w:r>
        <w:rPr>
          <w:sz w:val="20"/>
        </w:rPr>
        <w:t>jurors</w:t>
      </w:r>
      <w:r>
        <w:rPr>
          <w:spacing w:val="-11"/>
          <w:sz w:val="20"/>
        </w:rPr>
        <w:t> </w:t>
      </w:r>
      <w:r>
        <w:rPr>
          <w:sz w:val="20"/>
        </w:rPr>
        <w:t>can</w:t>
      </w:r>
      <w:r>
        <w:rPr>
          <w:spacing w:val="-11"/>
          <w:sz w:val="20"/>
        </w:rPr>
        <w:t> </w:t>
      </w:r>
      <w:r>
        <w:rPr>
          <w:sz w:val="20"/>
        </w:rPr>
        <w:t>hear</w:t>
      </w:r>
      <w:r>
        <w:rPr>
          <w:spacing w:val="-11"/>
          <w:sz w:val="20"/>
        </w:rPr>
        <w:t> </w:t>
      </w:r>
      <w:r>
        <w:rPr>
          <w:sz w:val="20"/>
        </w:rPr>
        <w:t>oral</w:t>
      </w:r>
      <w:r>
        <w:rPr>
          <w:spacing w:val="-11"/>
          <w:sz w:val="20"/>
        </w:rPr>
        <w:t> </w:t>
      </w:r>
      <w:r>
        <w:rPr>
          <w:spacing w:val="-4"/>
          <w:sz w:val="20"/>
        </w:rPr>
        <w:t>testimony,</w:t>
      </w:r>
      <w:r>
        <w:rPr>
          <w:spacing w:val="-11"/>
          <w:sz w:val="20"/>
        </w:rPr>
        <w:t> </w:t>
      </w:r>
      <w:r>
        <w:rPr>
          <w:sz w:val="20"/>
        </w:rPr>
        <w:t>discussion,</w:t>
      </w:r>
      <w:r>
        <w:rPr>
          <w:spacing w:val="-11"/>
          <w:sz w:val="20"/>
        </w:rPr>
        <w:t> </w:t>
      </w:r>
      <w:r>
        <w:rPr>
          <w:sz w:val="20"/>
        </w:rPr>
        <w:t>trial</w:t>
      </w:r>
      <w:r>
        <w:rPr>
          <w:spacing w:val="-11"/>
          <w:sz w:val="20"/>
        </w:rPr>
        <w:t> </w:t>
      </w:r>
      <w:r>
        <w:rPr>
          <w:sz w:val="20"/>
        </w:rPr>
        <w:t>instructions</w:t>
      </w:r>
      <w:r>
        <w:rPr>
          <w:spacing w:val="-11"/>
          <w:sz w:val="20"/>
        </w:rPr>
        <w:t> </w:t>
      </w:r>
      <w:r>
        <w:rPr>
          <w:sz w:val="20"/>
        </w:rPr>
        <w:t>and</w:t>
      </w:r>
      <w:r>
        <w:rPr>
          <w:spacing w:val="-11"/>
          <w:sz w:val="20"/>
        </w:rPr>
        <w:t> </w:t>
      </w:r>
      <w:r>
        <w:rPr>
          <w:sz w:val="20"/>
        </w:rPr>
        <w:t>deliberations.</w:t>
      </w:r>
      <w:r>
        <w:rPr>
          <w:spacing w:val="-11"/>
          <w:sz w:val="20"/>
        </w:rPr>
        <w:t> </w:t>
      </w:r>
      <w:r>
        <w:rPr>
          <w:sz w:val="20"/>
        </w:rPr>
        <w:t>As the</w:t>
      </w:r>
      <w:r>
        <w:rPr>
          <w:spacing w:val="-9"/>
          <w:sz w:val="20"/>
        </w:rPr>
        <w:t> </w:t>
      </w:r>
      <w:r>
        <w:rPr>
          <w:sz w:val="20"/>
        </w:rPr>
        <w:t>New</w:t>
      </w:r>
      <w:r>
        <w:rPr>
          <w:spacing w:val="-9"/>
          <w:sz w:val="20"/>
        </w:rPr>
        <w:t> </w:t>
      </w:r>
      <w:r>
        <w:rPr>
          <w:sz w:val="20"/>
        </w:rPr>
        <w:t>South</w:t>
      </w:r>
      <w:r>
        <w:rPr>
          <w:spacing w:val="-9"/>
          <w:sz w:val="20"/>
        </w:rPr>
        <w:t> </w:t>
      </w:r>
      <w:r>
        <w:rPr>
          <w:spacing w:val="-4"/>
          <w:sz w:val="20"/>
        </w:rPr>
        <w:t>Wales</w:t>
      </w:r>
      <w:r>
        <w:rPr>
          <w:spacing w:val="-8"/>
          <w:sz w:val="20"/>
        </w:rPr>
        <w:t> </w:t>
      </w:r>
      <w:r>
        <w:rPr>
          <w:sz w:val="20"/>
        </w:rPr>
        <w:t>Law</w:t>
      </w:r>
      <w:r>
        <w:rPr>
          <w:spacing w:val="-9"/>
          <w:sz w:val="20"/>
        </w:rPr>
        <w:t> </w:t>
      </w:r>
      <w:r>
        <w:rPr>
          <w:sz w:val="20"/>
        </w:rPr>
        <w:t>Reform</w:t>
      </w:r>
      <w:r>
        <w:rPr>
          <w:spacing w:val="-9"/>
          <w:sz w:val="20"/>
        </w:rPr>
        <w:t> </w:t>
      </w:r>
      <w:r>
        <w:rPr>
          <w:sz w:val="20"/>
        </w:rPr>
        <w:t>Commission</w:t>
      </w:r>
      <w:r>
        <w:rPr>
          <w:spacing w:val="-9"/>
          <w:sz w:val="20"/>
        </w:rPr>
        <w:t> </w:t>
      </w:r>
      <w:r>
        <w:rPr>
          <w:spacing w:val="-3"/>
          <w:sz w:val="20"/>
        </w:rPr>
        <w:t>(NSWLRC)</w:t>
      </w:r>
      <w:r>
        <w:rPr>
          <w:spacing w:val="-8"/>
          <w:sz w:val="20"/>
        </w:rPr>
        <w:t> </w:t>
      </w:r>
      <w:r>
        <w:rPr>
          <w:sz w:val="20"/>
        </w:rPr>
        <w:t>observes,</w:t>
      </w:r>
      <w:r>
        <w:rPr>
          <w:spacing w:val="-9"/>
          <w:sz w:val="20"/>
        </w:rPr>
        <w:t> </w:t>
      </w:r>
      <w:r>
        <w:rPr>
          <w:sz w:val="20"/>
        </w:rPr>
        <w:t>in</w:t>
      </w:r>
      <w:r>
        <w:rPr>
          <w:spacing w:val="-9"/>
          <w:sz w:val="20"/>
        </w:rPr>
        <w:t> </w:t>
      </w:r>
      <w:r>
        <w:rPr>
          <w:sz w:val="20"/>
        </w:rPr>
        <w:t>the</w:t>
      </w:r>
      <w:r>
        <w:rPr>
          <w:spacing w:val="-8"/>
          <w:sz w:val="20"/>
        </w:rPr>
        <w:t> </w:t>
      </w:r>
      <w:r>
        <w:rPr>
          <w:sz w:val="20"/>
        </w:rPr>
        <w:t>context</w:t>
      </w:r>
      <w:r>
        <w:rPr>
          <w:spacing w:val="-9"/>
          <w:sz w:val="20"/>
        </w:rPr>
        <w:t> </w:t>
      </w:r>
      <w:r>
        <w:rPr>
          <w:sz w:val="20"/>
        </w:rPr>
        <w:t>of blind</w:t>
      </w:r>
      <w:r>
        <w:rPr>
          <w:spacing w:val="-5"/>
          <w:sz w:val="20"/>
        </w:rPr>
        <w:t> </w:t>
      </w:r>
      <w:r>
        <w:rPr>
          <w:sz w:val="20"/>
        </w:rPr>
        <w:t>jurors:</w:t>
      </w:r>
    </w:p>
    <w:p>
      <w:pPr>
        <w:spacing w:line="208" w:lineRule="auto" w:before="121"/>
        <w:ind w:left="2157" w:right="1182" w:firstLine="0"/>
        <w:jc w:val="left"/>
        <w:rPr>
          <w:sz w:val="11"/>
        </w:rPr>
      </w:pPr>
      <w:r>
        <w:rPr>
          <w:sz w:val="19"/>
        </w:rPr>
        <w:t>the mere fact that there is evidence in the form of documents, diagrams, photographs and so on need not result in automatic exclusion of a blind juror, as in many cases there will be no issue as to its interpretation, and the content can be conveyed successfully through description or using technology. In the Commission’s view, reasonable adjustments provide scope for facilitating the inclusion of a person who is blind or has low vision on the jury panel.</w:t>
      </w:r>
      <w:r>
        <w:rPr>
          <w:position w:val="6"/>
          <w:sz w:val="11"/>
        </w:rPr>
        <w:t>65</w:t>
      </w:r>
    </w:p>
    <w:p>
      <w:pPr>
        <w:pStyle w:val="ListParagraph"/>
        <w:numPr>
          <w:ilvl w:val="1"/>
          <w:numId w:val="12"/>
        </w:numPr>
        <w:tabs>
          <w:tab w:pos="1761" w:val="left" w:leader="none"/>
          <w:tab w:pos="1762" w:val="left" w:leader="none"/>
        </w:tabs>
        <w:spacing w:line="206" w:lineRule="auto" w:before="126" w:after="0"/>
        <w:ind w:left="1761" w:right="1303" w:hanging="794"/>
        <w:jc w:val="left"/>
        <w:rPr>
          <w:sz w:val="20"/>
        </w:rPr>
      </w:pPr>
      <w:r>
        <w:rPr>
          <w:sz w:val="20"/>
        </w:rPr>
        <w:t>In the United States, courts </w:t>
      </w:r>
      <w:r>
        <w:rPr>
          <w:spacing w:val="-4"/>
          <w:sz w:val="20"/>
        </w:rPr>
        <w:t>have </w:t>
      </w:r>
      <w:r>
        <w:rPr>
          <w:sz w:val="20"/>
        </w:rPr>
        <w:t>held that people who </w:t>
      </w:r>
      <w:r>
        <w:rPr>
          <w:spacing w:val="-3"/>
          <w:sz w:val="20"/>
        </w:rPr>
        <w:t>are </w:t>
      </w:r>
      <w:r>
        <w:rPr>
          <w:sz w:val="20"/>
        </w:rPr>
        <w:t>blind </w:t>
      </w:r>
      <w:r>
        <w:rPr>
          <w:spacing w:val="-3"/>
          <w:sz w:val="20"/>
        </w:rPr>
        <w:t>are presumptively </w:t>
      </w:r>
      <w:r>
        <w:rPr>
          <w:sz w:val="20"/>
        </w:rPr>
        <w:t>capable of assessing physical evidence with </w:t>
      </w:r>
      <w:r>
        <w:rPr>
          <w:spacing w:val="-3"/>
          <w:sz w:val="20"/>
        </w:rPr>
        <w:t>appropriate </w:t>
      </w:r>
      <w:r>
        <w:rPr>
          <w:sz w:val="20"/>
        </w:rPr>
        <w:t>supports, such as a trained </w:t>
      </w:r>
      <w:r>
        <w:rPr>
          <w:spacing w:val="-3"/>
          <w:sz w:val="20"/>
        </w:rPr>
        <w:t>describer.</w:t>
      </w:r>
      <w:r>
        <w:rPr>
          <w:spacing w:val="-3"/>
          <w:position w:val="7"/>
          <w:sz w:val="11"/>
        </w:rPr>
        <w:t>66 </w:t>
      </w:r>
      <w:r>
        <w:rPr>
          <w:sz w:val="20"/>
        </w:rPr>
        <w:t>In </w:t>
      </w:r>
      <w:r>
        <w:rPr>
          <w:i/>
          <w:spacing w:val="-2"/>
          <w:sz w:val="20"/>
        </w:rPr>
        <w:t>Commonwealth </w:t>
      </w:r>
      <w:r>
        <w:rPr>
          <w:i/>
          <w:sz w:val="20"/>
        </w:rPr>
        <w:t>v Heywood </w:t>
      </w:r>
      <w:r>
        <w:rPr>
          <w:sz w:val="20"/>
        </w:rPr>
        <w:t>the Supreme Court of Massachusetts considered</w:t>
      </w:r>
      <w:r>
        <w:rPr>
          <w:spacing w:val="-10"/>
          <w:sz w:val="20"/>
        </w:rPr>
        <w:t> </w:t>
      </w:r>
      <w:r>
        <w:rPr>
          <w:sz w:val="20"/>
        </w:rPr>
        <w:t>whether</w:t>
      </w:r>
      <w:r>
        <w:rPr>
          <w:spacing w:val="-9"/>
          <w:sz w:val="20"/>
        </w:rPr>
        <w:t> </w:t>
      </w:r>
      <w:r>
        <w:rPr>
          <w:sz w:val="20"/>
        </w:rPr>
        <w:t>an</w:t>
      </w:r>
      <w:r>
        <w:rPr>
          <w:spacing w:val="-9"/>
          <w:sz w:val="20"/>
        </w:rPr>
        <w:t> </w:t>
      </w:r>
      <w:r>
        <w:rPr>
          <w:sz w:val="20"/>
        </w:rPr>
        <w:t>error</w:t>
      </w:r>
      <w:r>
        <w:rPr>
          <w:spacing w:val="-10"/>
          <w:sz w:val="20"/>
        </w:rPr>
        <w:t> </w:t>
      </w:r>
      <w:r>
        <w:rPr>
          <w:sz w:val="20"/>
        </w:rPr>
        <w:t>in</w:t>
      </w:r>
      <w:r>
        <w:rPr>
          <w:spacing w:val="-9"/>
          <w:sz w:val="20"/>
        </w:rPr>
        <w:t> </w:t>
      </w:r>
      <w:r>
        <w:rPr>
          <w:sz w:val="20"/>
        </w:rPr>
        <w:t>law</w:t>
      </w:r>
      <w:r>
        <w:rPr>
          <w:spacing w:val="-9"/>
          <w:sz w:val="20"/>
        </w:rPr>
        <w:t> </w:t>
      </w:r>
      <w:r>
        <w:rPr>
          <w:sz w:val="20"/>
        </w:rPr>
        <w:t>had</w:t>
      </w:r>
      <w:r>
        <w:rPr>
          <w:spacing w:val="-10"/>
          <w:sz w:val="20"/>
        </w:rPr>
        <w:t> </w:t>
      </w:r>
      <w:r>
        <w:rPr>
          <w:sz w:val="20"/>
        </w:rPr>
        <w:t>been</w:t>
      </w:r>
      <w:r>
        <w:rPr>
          <w:spacing w:val="-9"/>
          <w:sz w:val="20"/>
        </w:rPr>
        <w:t> </w:t>
      </w:r>
      <w:r>
        <w:rPr>
          <w:sz w:val="20"/>
        </w:rPr>
        <w:t>made</w:t>
      </w:r>
      <w:r>
        <w:rPr>
          <w:spacing w:val="-9"/>
          <w:sz w:val="20"/>
        </w:rPr>
        <w:t> </w:t>
      </w:r>
      <w:r>
        <w:rPr>
          <w:sz w:val="20"/>
        </w:rPr>
        <w:t>to</w:t>
      </w:r>
      <w:r>
        <w:rPr>
          <w:spacing w:val="-10"/>
          <w:sz w:val="20"/>
        </w:rPr>
        <w:t> </w:t>
      </w:r>
      <w:r>
        <w:rPr>
          <w:spacing w:val="-3"/>
          <w:sz w:val="20"/>
        </w:rPr>
        <w:t>allow</w:t>
      </w:r>
      <w:r>
        <w:rPr>
          <w:spacing w:val="-9"/>
          <w:sz w:val="20"/>
        </w:rPr>
        <w:t> </w:t>
      </w:r>
      <w:r>
        <w:rPr>
          <w:sz w:val="20"/>
        </w:rPr>
        <w:t>a</w:t>
      </w:r>
      <w:r>
        <w:rPr>
          <w:spacing w:val="-9"/>
          <w:sz w:val="20"/>
        </w:rPr>
        <w:t> </w:t>
      </w:r>
      <w:r>
        <w:rPr>
          <w:sz w:val="20"/>
        </w:rPr>
        <w:t>blind</w:t>
      </w:r>
      <w:r>
        <w:rPr>
          <w:spacing w:val="-10"/>
          <w:sz w:val="20"/>
        </w:rPr>
        <w:t> </w:t>
      </w:r>
      <w:r>
        <w:rPr>
          <w:sz w:val="20"/>
        </w:rPr>
        <w:t>person</w:t>
      </w:r>
      <w:r>
        <w:rPr>
          <w:spacing w:val="-9"/>
          <w:sz w:val="20"/>
        </w:rPr>
        <w:t> </w:t>
      </w:r>
      <w:r>
        <w:rPr>
          <w:sz w:val="20"/>
        </w:rPr>
        <w:t>to</w:t>
      </w:r>
      <w:r>
        <w:rPr>
          <w:spacing w:val="-9"/>
          <w:sz w:val="20"/>
        </w:rPr>
        <w:t> </w:t>
      </w:r>
      <w:r>
        <w:rPr>
          <w:sz w:val="20"/>
        </w:rPr>
        <w:t>serve</w:t>
      </w:r>
      <w:r>
        <w:rPr>
          <w:spacing w:val="-10"/>
          <w:sz w:val="20"/>
        </w:rPr>
        <w:t> </w:t>
      </w:r>
      <w:r>
        <w:rPr>
          <w:sz w:val="20"/>
        </w:rPr>
        <w:t>on the jury.</w:t>
      </w:r>
      <w:r>
        <w:rPr>
          <w:position w:val="7"/>
          <w:sz w:val="11"/>
        </w:rPr>
        <w:t>67 </w:t>
      </w:r>
      <w:r>
        <w:rPr>
          <w:sz w:val="20"/>
        </w:rPr>
        <w:t>It was held that the blind juror could assess evidence critical to the </w:t>
      </w:r>
      <w:r>
        <w:rPr>
          <w:spacing w:val="-3"/>
          <w:sz w:val="20"/>
        </w:rPr>
        <w:t>verdict </w:t>
      </w:r>
      <w:r>
        <w:rPr>
          <w:sz w:val="20"/>
        </w:rPr>
        <w:t>and</w:t>
      </w:r>
      <w:r>
        <w:rPr>
          <w:spacing w:val="-9"/>
          <w:sz w:val="20"/>
        </w:rPr>
        <w:t> </w:t>
      </w:r>
      <w:r>
        <w:rPr>
          <w:spacing w:val="-3"/>
          <w:sz w:val="20"/>
        </w:rPr>
        <w:t>therefore</w:t>
      </w:r>
      <w:r>
        <w:rPr>
          <w:spacing w:val="-9"/>
          <w:sz w:val="20"/>
        </w:rPr>
        <w:t> </w:t>
      </w:r>
      <w:r>
        <w:rPr>
          <w:sz w:val="20"/>
        </w:rPr>
        <w:t>perform</w:t>
      </w:r>
      <w:r>
        <w:rPr>
          <w:spacing w:val="-9"/>
          <w:sz w:val="20"/>
        </w:rPr>
        <w:t> </w:t>
      </w:r>
      <w:r>
        <w:rPr>
          <w:sz w:val="20"/>
        </w:rPr>
        <w:t>their</w:t>
      </w:r>
      <w:r>
        <w:rPr>
          <w:spacing w:val="-8"/>
          <w:sz w:val="20"/>
        </w:rPr>
        <w:t> </w:t>
      </w:r>
      <w:r>
        <w:rPr>
          <w:spacing w:val="-3"/>
          <w:sz w:val="20"/>
        </w:rPr>
        <w:t>role.</w:t>
      </w:r>
      <w:r>
        <w:rPr>
          <w:spacing w:val="-9"/>
          <w:sz w:val="20"/>
        </w:rPr>
        <w:t> </w:t>
      </w:r>
      <w:r>
        <w:rPr>
          <w:sz w:val="20"/>
        </w:rPr>
        <w:t>In</w:t>
      </w:r>
      <w:r>
        <w:rPr>
          <w:spacing w:val="-9"/>
          <w:sz w:val="20"/>
        </w:rPr>
        <w:t> </w:t>
      </w:r>
      <w:r>
        <w:rPr>
          <w:sz w:val="20"/>
        </w:rPr>
        <w:t>this</w:t>
      </w:r>
      <w:r>
        <w:rPr>
          <w:spacing w:val="-9"/>
          <w:sz w:val="20"/>
        </w:rPr>
        <w:t> </w:t>
      </w:r>
      <w:r>
        <w:rPr>
          <w:sz w:val="20"/>
        </w:rPr>
        <w:t>case</w:t>
      </w:r>
      <w:r>
        <w:rPr>
          <w:spacing w:val="-8"/>
          <w:sz w:val="20"/>
        </w:rPr>
        <w:t> </w:t>
      </w:r>
      <w:r>
        <w:rPr>
          <w:sz w:val="20"/>
        </w:rPr>
        <w:t>the</w:t>
      </w:r>
      <w:r>
        <w:rPr>
          <w:spacing w:val="-9"/>
          <w:sz w:val="20"/>
        </w:rPr>
        <w:t> </w:t>
      </w:r>
      <w:r>
        <w:rPr>
          <w:sz w:val="20"/>
        </w:rPr>
        <w:t>juror</w:t>
      </w:r>
      <w:r>
        <w:rPr>
          <w:spacing w:val="-9"/>
          <w:sz w:val="20"/>
        </w:rPr>
        <w:t> </w:t>
      </w:r>
      <w:r>
        <w:rPr>
          <w:sz w:val="20"/>
        </w:rPr>
        <w:t>could</w:t>
      </w:r>
      <w:r>
        <w:rPr>
          <w:spacing w:val="-8"/>
          <w:sz w:val="20"/>
        </w:rPr>
        <w:t> </w:t>
      </w:r>
      <w:r>
        <w:rPr>
          <w:sz w:val="20"/>
        </w:rPr>
        <w:t>determine</w:t>
      </w:r>
      <w:r>
        <w:rPr>
          <w:spacing w:val="-9"/>
          <w:sz w:val="20"/>
        </w:rPr>
        <w:t> </w:t>
      </w:r>
      <w:r>
        <w:rPr>
          <w:sz w:val="20"/>
        </w:rPr>
        <w:t>if</w:t>
      </w:r>
      <w:r>
        <w:rPr>
          <w:spacing w:val="-9"/>
          <w:sz w:val="20"/>
        </w:rPr>
        <w:t> </w:t>
      </w:r>
      <w:r>
        <w:rPr>
          <w:sz w:val="20"/>
        </w:rPr>
        <w:t>the</w:t>
      </w:r>
      <w:r>
        <w:rPr>
          <w:spacing w:val="-9"/>
          <w:sz w:val="20"/>
        </w:rPr>
        <w:t> </w:t>
      </w:r>
      <w:r>
        <w:rPr>
          <w:sz w:val="20"/>
        </w:rPr>
        <w:t>victim</w:t>
      </w:r>
      <w:r>
        <w:rPr>
          <w:spacing w:val="-8"/>
          <w:sz w:val="20"/>
        </w:rPr>
        <w:t> </w:t>
      </w:r>
      <w:r>
        <w:rPr>
          <w:sz w:val="20"/>
        </w:rPr>
        <w:t>had suffered</w:t>
      </w:r>
      <w:r>
        <w:rPr>
          <w:spacing w:val="-7"/>
          <w:sz w:val="20"/>
        </w:rPr>
        <w:t> </w:t>
      </w:r>
      <w:r>
        <w:rPr>
          <w:sz w:val="20"/>
        </w:rPr>
        <w:t>serious</w:t>
      </w:r>
      <w:r>
        <w:rPr>
          <w:spacing w:val="-7"/>
          <w:sz w:val="20"/>
        </w:rPr>
        <w:t> </w:t>
      </w:r>
      <w:r>
        <w:rPr>
          <w:sz w:val="20"/>
        </w:rPr>
        <w:t>bodily</w:t>
      </w:r>
      <w:r>
        <w:rPr>
          <w:spacing w:val="-6"/>
          <w:sz w:val="20"/>
        </w:rPr>
        <w:t> </w:t>
      </w:r>
      <w:r>
        <w:rPr>
          <w:sz w:val="20"/>
        </w:rPr>
        <w:t>injury</w:t>
      </w:r>
      <w:r>
        <w:rPr>
          <w:spacing w:val="-7"/>
          <w:sz w:val="20"/>
        </w:rPr>
        <w:t> </w:t>
      </w:r>
      <w:r>
        <w:rPr>
          <w:spacing w:val="-3"/>
          <w:sz w:val="20"/>
        </w:rPr>
        <w:t>from</w:t>
      </w:r>
      <w:r>
        <w:rPr>
          <w:spacing w:val="-6"/>
          <w:sz w:val="20"/>
        </w:rPr>
        <w:t> </w:t>
      </w:r>
      <w:r>
        <w:rPr>
          <w:spacing w:val="-2"/>
          <w:sz w:val="20"/>
        </w:rPr>
        <w:t>testimony</w:t>
      </w:r>
      <w:r>
        <w:rPr>
          <w:spacing w:val="-7"/>
          <w:sz w:val="20"/>
        </w:rPr>
        <w:t> </w:t>
      </w:r>
      <w:r>
        <w:rPr>
          <w:sz w:val="20"/>
        </w:rPr>
        <w:t>and</w:t>
      </w:r>
      <w:r>
        <w:rPr>
          <w:spacing w:val="-7"/>
          <w:sz w:val="20"/>
        </w:rPr>
        <w:t> </w:t>
      </w:r>
      <w:r>
        <w:rPr>
          <w:sz w:val="20"/>
        </w:rPr>
        <w:t>an</w:t>
      </w:r>
      <w:r>
        <w:rPr>
          <w:spacing w:val="-6"/>
          <w:sz w:val="20"/>
        </w:rPr>
        <w:t> </w:t>
      </w:r>
      <w:r>
        <w:rPr>
          <w:spacing w:val="-3"/>
          <w:sz w:val="20"/>
        </w:rPr>
        <w:t>evaluation</w:t>
      </w:r>
      <w:r>
        <w:rPr>
          <w:spacing w:val="-7"/>
          <w:sz w:val="20"/>
        </w:rPr>
        <w:t> </w:t>
      </w:r>
      <w:r>
        <w:rPr>
          <w:sz w:val="20"/>
        </w:rPr>
        <w:t>of</w:t>
      </w:r>
      <w:r>
        <w:rPr>
          <w:spacing w:val="-6"/>
          <w:sz w:val="20"/>
        </w:rPr>
        <w:t> </w:t>
      </w:r>
      <w:r>
        <w:rPr>
          <w:sz w:val="20"/>
        </w:rPr>
        <w:t>medical</w:t>
      </w:r>
      <w:r>
        <w:rPr>
          <w:spacing w:val="-7"/>
          <w:sz w:val="20"/>
        </w:rPr>
        <w:t> </w:t>
      </w:r>
      <w:r>
        <w:rPr>
          <w:spacing w:val="-3"/>
          <w:sz w:val="20"/>
        </w:rPr>
        <w:t>records:</w:t>
      </w:r>
    </w:p>
    <w:p>
      <w:pPr>
        <w:spacing w:line="208" w:lineRule="auto" w:before="126"/>
        <w:ind w:left="2157" w:right="1444" w:firstLine="0"/>
        <w:jc w:val="left"/>
        <w:rPr>
          <w:sz w:val="11"/>
        </w:rPr>
      </w:pPr>
      <w:r>
        <w:rPr>
          <w:sz w:val="19"/>
        </w:rPr>
        <w:t>As the injuries suffered by the victim were not visible at the time of trial, the ability to see the victim’s face during his testimony was not essential to reaching a verdict. Similarly, because of the internal nature of the injuries and subsequent surgery, photographs of the victim’s face taken close in time to the assault would not have assisted.</w:t>
      </w:r>
      <w:r>
        <w:rPr>
          <w:position w:val="6"/>
          <w:sz w:val="11"/>
        </w:rPr>
        <w:t>68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2"/>
        </w:rPr>
      </w:pPr>
      <w:r>
        <w:rPr/>
        <w:pict>
          <v:line style="position:absolute;mso-position-horizontal-relative:page;mso-position-vertical-relative:paragraph;z-index:4856;mso-wrap-distance-left:0;mso-wrap-distance-right:0" from="79.370003pt,11.05438pt" to="515.905003pt,11.05438pt" stroked="true" strokeweight="1pt" strokecolor="#b6bdc8">
            <v:stroke dashstyle="solid"/>
            <w10:wrap type="topAndBottom"/>
          </v:line>
        </w:pict>
      </w:r>
    </w:p>
    <w:p>
      <w:pPr>
        <w:pStyle w:val="ListParagraph"/>
        <w:numPr>
          <w:ilvl w:val="0"/>
          <w:numId w:val="62"/>
        </w:numPr>
        <w:tabs>
          <w:tab w:pos="1761" w:val="left" w:leader="none"/>
          <w:tab w:pos="1762" w:val="left" w:leader="none"/>
        </w:tabs>
        <w:spacing w:line="170" w:lineRule="exact" w:before="91" w:after="0"/>
        <w:ind w:left="1761" w:right="0" w:hanging="794"/>
        <w:jc w:val="left"/>
        <w:rPr>
          <w:sz w:val="13"/>
        </w:rPr>
      </w:pPr>
      <w:r>
        <w:rPr>
          <w:spacing w:val="2"/>
          <w:sz w:val="13"/>
        </w:rPr>
        <w:t>Ibid.</w:t>
      </w:r>
    </w:p>
    <w:p>
      <w:pPr>
        <w:pStyle w:val="ListParagraph"/>
        <w:numPr>
          <w:ilvl w:val="0"/>
          <w:numId w:val="62"/>
        </w:numPr>
        <w:tabs>
          <w:tab w:pos="1761" w:val="left" w:leader="none"/>
          <w:tab w:pos="1762" w:val="left" w:leader="none"/>
        </w:tabs>
        <w:spacing w:line="160" w:lineRule="exact" w:before="0" w:after="0"/>
        <w:ind w:left="1761" w:right="0" w:hanging="794"/>
        <w:jc w:val="left"/>
        <w:rPr>
          <w:sz w:val="13"/>
        </w:rPr>
      </w:pPr>
      <w:r>
        <w:rPr>
          <w:sz w:val="13"/>
        </w:rPr>
        <w:t>Ibid</w:t>
      </w:r>
      <w:r>
        <w:rPr>
          <w:spacing w:val="4"/>
          <w:sz w:val="13"/>
        </w:rPr>
        <w:t> </w:t>
      </w:r>
      <w:r>
        <w:rPr>
          <w:sz w:val="13"/>
        </w:rPr>
        <w:t>27.</w:t>
      </w:r>
    </w:p>
    <w:p>
      <w:pPr>
        <w:pStyle w:val="ListParagraph"/>
        <w:numPr>
          <w:ilvl w:val="0"/>
          <w:numId w:val="62"/>
        </w:numPr>
        <w:tabs>
          <w:tab w:pos="1761" w:val="left" w:leader="none"/>
          <w:tab w:pos="1762" w:val="left" w:leader="none"/>
        </w:tabs>
        <w:spacing w:line="160" w:lineRule="exact" w:before="0" w:after="0"/>
        <w:ind w:left="1761" w:right="0" w:hanging="794"/>
        <w:jc w:val="left"/>
        <w:rPr>
          <w:sz w:val="13"/>
        </w:rPr>
      </w:pPr>
      <w:r>
        <w:rPr>
          <w:sz w:val="13"/>
        </w:rPr>
        <w:t>Ibid</w:t>
      </w:r>
      <w:r>
        <w:rPr>
          <w:spacing w:val="4"/>
          <w:sz w:val="13"/>
        </w:rPr>
        <w:t> </w:t>
      </w:r>
      <w:r>
        <w:rPr>
          <w:sz w:val="13"/>
        </w:rPr>
        <w:t>27.</w:t>
      </w:r>
    </w:p>
    <w:p>
      <w:pPr>
        <w:pStyle w:val="ListParagraph"/>
        <w:numPr>
          <w:ilvl w:val="0"/>
          <w:numId w:val="62"/>
        </w:numPr>
        <w:tabs>
          <w:tab w:pos="1761" w:val="left" w:leader="none"/>
          <w:tab w:pos="1762" w:val="left" w:leader="none"/>
        </w:tabs>
        <w:spacing w:line="160" w:lineRule="exact" w:before="0" w:after="0"/>
        <w:ind w:left="1761" w:right="0" w:hanging="794"/>
        <w:jc w:val="left"/>
        <w:rPr>
          <w:sz w:val="13"/>
        </w:rPr>
      </w:pPr>
      <w:r>
        <w:rPr>
          <w:sz w:val="13"/>
        </w:rPr>
        <w:t>Consultation 7 </w:t>
      </w:r>
      <w:r>
        <w:rPr>
          <w:spacing w:val="2"/>
          <w:sz w:val="13"/>
        </w:rPr>
        <w:t>(Vision</w:t>
      </w:r>
      <w:r>
        <w:rPr>
          <w:sz w:val="13"/>
        </w:rPr>
        <w:t> Australia).</w:t>
      </w:r>
    </w:p>
    <w:p>
      <w:pPr>
        <w:pStyle w:val="ListParagraph"/>
        <w:numPr>
          <w:ilvl w:val="0"/>
          <w:numId w:val="62"/>
        </w:numPr>
        <w:tabs>
          <w:tab w:pos="1761" w:val="left" w:leader="none"/>
          <w:tab w:pos="1762" w:val="left" w:leader="none"/>
        </w:tabs>
        <w:spacing w:line="160" w:lineRule="exact" w:before="0" w:after="0"/>
        <w:ind w:left="1761" w:right="0" w:hanging="794"/>
        <w:jc w:val="left"/>
        <w:rPr>
          <w:sz w:val="13"/>
        </w:rPr>
      </w:pPr>
      <w:r>
        <w:rPr>
          <w:sz w:val="13"/>
        </w:rPr>
        <w:t>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 50</w:t>
      </w:r>
      <w:r>
        <w:rPr>
          <w:spacing w:val="6"/>
          <w:sz w:val="13"/>
        </w:rPr>
        <w:t> </w:t>
      </w:r>
      <w:r>
        <w:rPr>
          <w:spacing w:val="2"/>
          <w:sz w:val="13"/>
        </w:rPr>
        <w:t>[3.8].</w:t>
      </w:r>
    </w:p>
    <w:p>
      <w:pPr>
        <w:pStyle w:val="ListParagraph"/>
        <w:numPr>
          <w:ilvl w:val="0"/>
          <w:numId w:val="62"/>
        </w:numPr>
        <w:tabs>
          <w:tab w:pos="1761" w:val="left" w:leader="none"/>
          <w:tab w:pos="1762" w:val="left" w:leader="none"/>
        </w:tabs>
        <w:spacing w:line="213" w:lineRule="auto" w:before="6" w:after="0"/>
        <w:ind w:left="1761" w:right="1292" w:hanging="794"/>
        <w:jc w:val="left"/>
        <w:rPr>
          <w:sz w:val="13"/>
        </w:rPr>
      </w:pPr>
      <w:r>
        <w:rPr>
          <w:i/>
          <w:sz w:val="13"/>
        </w:rPr>
        <w:t>People v Caldwell, </w:t>
      </w:r>
      <w:r>
        <w:rPr>
          <w:sz w:val="13"/>
        </w:rPr>
        <w:t>603 NYS 2d </w:t>
      </w:r>
      <w:r>
        <w:rPr>
          <w:spacing w:val="2"/>
          <w:sz w:val="13"/>
        </w:rPr>
        <w:t>713, 714 </w:t>
      </w:r>
      <w:r>
        <w:rPr>
          <w:sz w:val="13"/>
        </w:rPr>
        <w:t>(1993); </w:t>
      </w:r>
      <w:r>
        <w:rPr>
          <w:i/>
          <w:sz w:val="13"/>
        </w:rPr>
        <w:t>People v Hayes, </w:t>
      </w:r>
      <w:r>
        <w:rPr>
          <w:sz w:val="13"/>
        </w:rPr>
        <w:t>923 P 2d 221, 226–7 (Colo App, 1995). People v Hayes was a case about a blind judge who did not disqualify himself from considering a case that involved video evidence, but had it described to him.</w:t>
      </w:r>
      <w:r>
        <w:rPr>
          <w:spacing w:val="5"/>
          <w:sz w:val="13"/>
        </w:rPr>
        <w:t> </w:t>
      </w:r>
      <w:r>
        <w:rPr>
          <w:sz w:val="13"/>
        </w:rPr>
        <w:t>The</w:t>
      </w:r>
      <w:r>
        <w:rPr>
          <w:spacing w:val="4"/>
          <w:sz w:val="13"/>
        </w:rPr>
        <w:t> </w:t>
      </w:r>
      <w:r>
        <w:rPr>
          <w:sz w:val="13"/>
        </w:rPr>
        <w:t>person</w:t>
      </w:r>
      <w:r>
        <w:rPr>
          <w:spacing w:val="5"/>
          <w:sz w:val="13"/>
        </w:rPr>
        <w:t> </w:t>
      </w:r>
      <w:r>
        <w:rPr>
          <w:sz w:val="13"/>
        </w:rPr>
        <w:t>appealed</w:t>
      </w:r>
      <w:r>
        <w:rPr>
          <w:spacing w:val="5"/>
          <w:sz w:val="13"/>
        </w:rPr>
        <w:t> </w:t>
      </w:r>
      <w:r>
        <w:rPr>
          <w:sz w:val="13"/>
        </w:rPr>
        <w:t>their</w:t>
      </w:r>
      <w:r>
        <w:rPr>
          <w:spacing w:val="5"/>
          <w:sz w:val="13"/>
        </w:rPr>
        <w:t> </w:t>
      </w:r>
      <w:r>
        <w:rPr>
          <w:sz w:val="13"/>
        </w:rPr>
        <w:t>conviction,</w:t>
      </w:r>
      <w:r>
        <w:rPr>
          <w:spacing w:val="5"/>
          <w:sz w:val="13"/>
        </w:rPr>
        <w:t> </w:t>
      </w:r>
      <w:r>
        <w:rPr>
          <w:sz w:val="13"/>
        </w:rPr>
        <w:t>but</w:t>
      </w:r>
      <w:r>
        <w:rPr>
          <w:spacing w:val="5"/>
          <w:sz w:val="13"/>
        </w:rPr>
        <w:t> </w:t>
      </w:r>
      <w:r>
        <w:rPr>
          <w:sz w:val="13"/>
        </w:rPr>
        <w:t>the</w:t>
      </w:r>
      <w:r>
        <w:rPr>
          <w:spacing w:val="5"/>
          <w:sz w:val="13"/>
        </w:rPr>
        <w:t> </w:t>
      </w:r>
      <w:r>
        <w:rPr>
          <w:spacing w:val="2"/>
          <w:sz w:val="13"/>
        </w:rPr>
        <w:t>Court</w:t>
      </w:r>
      <w:r>
        <w:rPr>
          <w:spacing w:val="5"/>
          <w:sz w:val="13"/>
        </w:rPr>
        <w:t> </w:t>
      </w:r>
      <w:r>
        <w:rPr>
          <w:sz w:val="13"/>
        </w:rPr>
        <w:t>of</w:t>
      </w:r>
      <w:r>
        <w:rPr>
          <w:spacing w:val="5"/>
          <w:sz w:val="13"/>
        </w:rPr>
        <w:t> </w:t>
      </w:r>
      <w:r>
        <w:rPr>
          <w:spacing w:val="2"/>
          <w:sz w:val="13"/>
        </w:rPr>
        <w:t>Appeals</w:t>
      </w:r>
      <w:r>
        <w:rPr>
          <w:spacing w:val="5"/>
          <w:sz w:val="13"/>
        </w:rPr>
        <w:t> </w:t>
      </w:r>
      <w:r>
        <w:rPr>
          <w:sz w:val="13"/>
        </w:rPr>
        <w:t>found</w:t>
      </w:r>
      <w:r>
        <w:rPr>
          <w:spacing w:val="5"/>
          <w:sz w:val="13"/>
        </w:rPr>
        <w:t> </w:t>
      </w:r>
      <w:r>
        <w:rPr>
          <w:sz w:val="13"/>
        </w:rPr>
        <w:t>that</w:t>
      </w:r>
      <w:r>
        <w:rPr>
          <w:spacing w:val="5"/>
          <w:sz w:val="13"/>
        </w:rPr>
        <w:t> </w:t>
      </w:r>
      <w:r>
        <w:rPr>
          <w:sz w:val="13"/>
        </w:rPr>
        <w:t>the</w:t>
      </w:r>
      <w:r>
        <w:rPr>
          <w:spacing w:val="5"/>
          <w:sz w:val="13"/>
        </w:rPr>
        <w:t> </w:t>
      </w:r>
      <w:r>
        <w:rPr>
          <w:sz w:val="13"/>
        </w:rPr>
        <w:t>judge</w:t>
      </w:r>
      <w:r>
        <w:rPr>
          <w:spacing w:val="5"/>
          <w:sz w:val="13"/>
        </w:rPr>
        <w:t> </w:t>
      </w:r>
      <w:r>
        <w:rPr>
          <w:sz w:val="13"/>
        </w:rPr>
        <w:t>was</w:t>
      </w:r>
      <w:r>
        <w:rPr>
          <w:spacing w:val="5"/>
          <w:sz w:val="13"/>
        </w:rPr>
        <w:t> </w:t>
      </w:r>
      <w:r>
        <w:rPr>
          <w:sz w:val="13"/>
        </w:rPr>
        <w:t>right</w:t>
      </w:r>
      <w:r>
        <w:rPr>
          <w:spacing w:val="5"/>
          <w:sz w:val="13"/>
        </w:rPr>
        <w:t> </w:t>
      </w:r>
      <w:r>
        <w:rPr>
          <w:sz w:val="13"/>
        </w:rPr>
        <w:t>not</w:t>
      </w:r>
      <w:r>
        <w:rPr>
          <w:spacing w:val="5"/>
          <w:sz w:val="13"/>
        </w:rPr>
        <w:t> </w:t>
      </w:r>
      <w:r>
        <w:rPr>
          <w:sz w:val="13"/>
        </w:rPr>
        <w:t>to</w:t>
      </w:r>
      <w:r>
        <w:rPr>
          <w:spacing w:val="5"/>
          <w:sz w:val="13"/>
        </w:rPr>
        <w:t> </w:t>
      </w:r>
      <w:r>
        <w:rPr>
          <w:sz w:val="13"/>
        </w:rPr>
        <w:t>disqualify</w:t>
      </w:r>
      <w:r>
        <w:rPr>
          <w:spacing w:val="5"/>
          <w:sz w:val="13"/>
        </w:rPr>
        <w:t> </w:t>
      </w:r>
      <w:r>
        <w:rPr>
          <w:sz w:val="13"/>
        </w:rPr>
        <w:t>himself.</w:t>
      </w:r>
    </w:p>
    <w:p>
      <w:pPr>
        <w:pStyle w:val="ListParagraph"/>
        <w:numPr>
          <w:ilvl w:val="0"/>
          <w:numId w:val="62"/>
        </w:numPr>
        <w:tabs>
          <w:tab w:pos="1761" w:val="left" w:leader="none"/>
          <w:tab w:pos="1762" w:val="left" w:leader="none"/>
        </w:tabs>
        <w:spacing w:line="213" w:lineRule="auto" w:before="0" w:after="0"/>
        <w:ind w:left="967" w:right="6244" w:firstLine="0"/>
        <w:jc w:val="left"/>
        <w:rPr>
          <w:sz w:val="13"/>
        </w:rPr>
      </w:pPr>
      <w:r>
        <w:rPr/>
        <w:pict>
          <v:shape style="position:absolute;margin-left:548.750610pt;margin-top:3.391691pt;width:13.9pt;height:14.1pt;mso-position-horizontal-relative:page;mso-position-vertical-relative:paragraph;z-index:6928" type="#_x0000_t202" filled="false" stroked="false">
            <v:textbox inset="0,0,0,0">
              <w:txbxContent>
                <w:p>
                  <w:pPr>
                    <w:spacing w:line="282" w:lineRule="exact" w:before="0"/>
                    <w:ind w:left="0" w:right="0" w:firstLine="0"/>
                    <w:jc w:val="left"/>
                    <w:rPr>
                      <w:b/>
                      <w:sz w:val="24"/>
                    </w:rPr>
                  </w:pPr>
                  <w:r>
                    <w:rPr>
                      <w:b/>
                      <w:color w:val="37617A"/>
                      <w:sz w:val="24"/>
                    </w:rPr>
                    <w:t>77</w:t>
                  </w:r>
                </w:p>
              </w:txbxContent>
            </v:textbox>
            <w10:wrap type="none"/>
          </v:shape>
        </w:pict>
      </w:r>
      <w:r>
        <w:rPr>
          <w:i/>
          <w:sz w:val="13"/>
        </w:rPr>
        <w:t>Commonwealth v Heywood, </w:t>
      </w:r>
      <w:r>
        <w:rPr>
          <w:sz w:val="13"/>
        </w:rPr>
        <w:t>484 Mass 43 (2020). 68</w:t>
        <w:tab/>
        <w:t>Ibid </w:t>
      </w:r>
      <w:r>
        <w:rPr>
          <w:spacing w:val="2"/>
          <w:sz w:val="13"/>
        </w:rPr>
        <w:t>1024.</w:t>
      </w:r>
    </w:p>
    <w:p>
      <w:pPr>
        <w:spacing w:after="0" w:line="213" w:lineRule="auto"/>
        <w:jc w:val="left"/>
        <w:rPr>
          <w:sz w:val="13"/>
        </w:rPr>
        <w:sectPr>
          <w:pgSz w:w="11910" w:h="16840"/>
          <w:pgMar w:header="0" w:footer="0" w:top="840" w:bottom="280" w:left="620" w:right="380"/>
        </w:sectPr>
      </w:pPr>
    </w:p>
    <w:p>
      <w:pPr>
        <w:pStyle w:val="BodyText"/>
      </w:pPr>
    </w:p>
    <w:p>
      <w:pPr>
        <w:pStyle w:val="BodyText"/>
      </w:pPr>
    </w:p>
    <w:p>
      <w:pPr>
        <w:pStyle w:val="BodyText"/>
      </w:pPr>
    </w:p>
    <w:p>
      <w:pPr>
        <w:pStyle w:val="Heading3"/>
        <w:spacing w:before="220"/>
      </w:pPr>
      <w:bookmarkStart w:name="_bookmark61" w:id="157"/>
      <w:bookmarkEnd w:id="157"/>
      <w:r>
        <w:rPr>
          <w:b w:val="0"/>
        </w:rPr>
      </w:r>
      <w:r>
        <w:rPr/>
        <w:t>Assessing the demeanour of witnesses</w:t>
      </w:r>
    </w:p>
    <w:p>
      <w:pPr>
        <w:pStyle w:val="ListParagraph"/>
        <w:numPr>
          <w:ilvl w:val="1"/>
          <w:numId w:val="12"/>
        </w:numPr>
        <w:tabs>
          <w:tab w:pos="1761" w:val="left" w:leader="none"/>
          <w:tab w:pos="1762" w:val="left" w:leader="none"/>
        </w:tabs>
        <w:spacing w:line="206" w:lineRule="auto" w:before="127" w:after="0"/>
        <w:ind w:left="1761" w:right="1218" w:hanging="794"/>
        <w:jc w:val="left"/>
        <w:rPr>
          <w:sz w:val="20"/>
        </w:rPr>
      </w:pPr>
      <w:r>
        <w:rPr>
          <w:sz w:val="20"/>
        </w:rPr>
        <w:t>The NSWLRC identified that the ‘main </w:t>
      </w:r>
      <w:r>
        <w:rPr>
          <w:spacing w:val="-2"/>
          <w:sz w:val="20"/>
        </w:rPr>
        <w:t>issue’ </w:t>
      </w:r>
      <w:r>
        <w:rPr>
          <w:sz w:val="20"/>
        </w:rPr>
        <w:t>to be considered regarding the competency</w:t>
      </w:r>
      <w:r>
        <w:rPr>
          <w:spacing w:val="-10"/>
          <w:sz w:val="20"/>
        </w:rPr>
        <w:t> </w:t>
      </w:r>
      <w:r>
        <w:rPr>
          <w:sz w:val="20"/>
        </w:rPr>
        <w:t>of</w:t>
      </w:r>
      <w:r>
        <w:rPr>
          <w:spacing w:val="-10"/>
          <w:sz w:val="20"/>
        </w:rPr>
        <w:t> </w:t>
      </w:r>
      <w:r>
        <w:rPr>
          <w:sz w:val="20"/>
        </w:rPr>
        <w:t>jurors</w:t>
      </w:r>
      <w:r>
        <w:rPr>
          <w:spacing w:val="-9"/>
          <w:sz w:val="20"/>
        </w:rPr>
        <w:t> </w:t>
      </w:r>
      <w:r>
        <w:rPr>
          <w:sz w:val="20"/>
        </w:rPr>
        <w:t>who</w:t>
      </w:r>
      <w:r>
        <w:rPr>
          <w:spacing w:val="-10"/>
          <w:sz w:val="20"/>
        </w:rPr>
        <w:t> </w:t>
      </w:r>
      <w:r>
        <w:rPr>
          <w:spacing w:val="-3"/>
          <w:sz w:val="20"/>
        </w:rPr>
        <w:t>are</w:t>
      </w:r>
      <w:r>
        <w:rPr>
          <w:spacing w:val="-10"/>
          <w:sz w:val="20"/>
        </w:rPr>
        <w:t> </w:t>
      </w:r>
      <w:r>
        <w:rPr>
          <w:sz w:val="20"/>
        </w:rPr>
        <w:t>blind</w:t>
      </w:r>
      <w:r>
        <w:rPr>
          <w:spacing w:val="-9"/>
          <w:sz w:val="20"/>
        </w:rPr>
        <w:t> </w:t>
      </w:r>
      <w:r>
        <w:rPr>
          <w:sz w:val="20"/>
        </w:rPr>
        <w:t>or</w:t>
      </w:r>
      <w:r>
        <w:rPr>
          <w:spacing w:val="-10"/>
          <w:sz w:val="20"/>
        </w:rPr>
        <w:t> </w:t>
      </w:r>
      <w:r>
        <w:rPr>
          <w:spacing w:val="-4"/>
          <w:sz w:val="20"/>
        </w:rPr>
        <w:t>have</w:t>
      </w:r>
      <w:r>
        <w:rPr>
          <w:spacing w:val="-10"/>
          <w:sz w:val="20"/>
        </w:rPr>
        <w:t> </w:t>
      </w:r>
      <w:r>
        <w:rPr>
          <w:spacing w:val="-4"/>
          <w:sz w:val="20"/>
        </w:rPr>
        <w:t>low</w:t>
      </w:r>
      <w:r>
        <w:rPr>
          <w:spacing w:val="-9"/>
          <w:sz w:val="20"/>
        </w:rPr>
        <w:t> </w:t>
      </w:r>
      <w:r>
        <w:rPr>
          <w:sz w:val="20"/>
        </w:rPr>
        <w:t>vision</w:t>
      </w:r>
      <w:r>
        <w:rPr>
          <w:spacing w:val="-10"/>
          <w:sz w:val="20"/>
        </w:rPr>
        <w:t> </w:t>
      </w:r>
      <w:r>
        <w:rPr>
          <w:sz w:val="20"/>
        </w:rPr>
        <w:t>is</w:t>
      </w:r>
      <w:r>
        <w:rPr>
          <w:spacing w:val="-10"/>
          <w:sz w:val="20"/>
        </w:rPr>
        <w:t> </w:t>
      </w:r>
      <w:r>
        <w:rPr>
          <w:sz w:val="20"/>
        </w:rPr>
        <w:t>their</w:t>
      </w:r>
      <w:r>
        <w:rPr>
          <w:spacing w:val="-9"/>
          <w:sz w:val="20"/>
        </w:rPr>
        <w:t> </w:t>
      </w:r>
      <w:r>
        <w:rPr>
          <w:sz w:val="20"/>
        </w:rPr>
        <w:t>inability</w:t>
      </w:r>
      <w:r>
        <w:rPr>
          <w:spacing w:val="-10"/>
          <w:sz w:val="20"/>
        </w:rPr>
        <w:t> </w:t>
      </w:r>
      <w:r>
        <w:rPr>
          <w:sz w:val="20"/>
        </w:rPr>
        <w:t>to</w:t>
      </w:r>
      <w:r>
        <w:rPr>
          <w:spacing w:val="-10"/>
          <w:sz w:val="20"/>
        </w:rPr>
        <w:t> </w:t>
      </w:r>
      <w:r>
        <w:rPr>
          <w:sz w:val="20"/>
        </w:rPr>
        <w:t>observe</w:t>
      </w:r>
      <w:r>
        <w:rPr>
          <w:spacing w:val="-9"/>
          <w:sz w:val="20"/>
        </w:rPr>
        <w:t> </w:t>
      </w:r>
      <w:r>
        <w:rPr>
          <w:sz w:val="20"/>
        </w:rPr>
        <w:t>visual evidence or the demeanour of witnesses and </w:t>
      </w:r>
      <w:r>
        <w:rPr>
          <w:spacing w:val="-3"/>
          <w:sz w:val="20"/>
        </w:rPr>
        <w:t>therefore </w:t>
      </w:r>
      <w:r>
        <w:rPr>
          <w:sz w:val="20"/>
        </w:rPr>
        <w:t>determine credibility.</w:t>
      </w:r>
      <w:r>
        <w:rPr>
          <w:position w:val="7"/>
          <w:sz w:val="11"/>
        </w:rPr>
        <w:t>69 </w:t>
      </w:r>
      <w:r>
        <w:rPr>
          <w:sz w:val="20"/>
        </w:rPr>
        <w:t>Similar concerns</w:t>
      </w:r>
      <w:r>
        <w:rPr>
          <w:spacing w:val="-10"/>
          <w:sz w:val="20"/>
        </w:rPr>
        <w:t> </w:t>
      </w:r>
      <w:r>
        <w:rPr>
          <w:sz w:val="20"/>
        </w:rPr>
        <w:t>might</w:t>
      </w:r>
      <w:r>
        <w:rPr>
          <w:spacing w:val="-9"/>
          <w:sz w:val="20"/>
        </w:rPr>
        <w:t> </w:t>
      </w:r>
      <w:r>
        <w:rPr>
          <w:sz w:val="20"/>
        </w:rPr>
        <w:t>also</w:t>
      </w:r>
      <w:r>
        <w:rPr>
          <w:spacing w:val="-9"/>
          <w:sz w:val="20"/>
        </w:rPr>
        <w:t> </w:t>
      </w:r>
      <w:r>
        <w:rPr>
          <w:sz w:val="20"/>
        </w:rPr>
        <w:t>be</w:t>
      </w:r>
      <w:r>
        <w:rPr>
          <w:spacing w:val="-9"/>
          <w:sz w:val="20"/>
        </w:rPr>
        <w:t> </w:t>
      </w:r>
      <w:r>
        <w:rPr>
          <w:spacing w:val="-3"/>
          <w:sz w:val="20"/>
        </w:rPr>
        <w:t>expressed</w:t>
      </w:r>
      <w:r>
        <w:rPr>
          <w:spacing w:val="-9"/>
          <w:sz w:val="20"/>
        </w:rPr>
        <w:t> </w:t>
      </w:r>
      <w:r>
        <w:rPr>
          <w:sz w:val="20"/>
        </w:rPr>
        <w:t>in</w:t>
      </w:r>
      <w:r>
        <w:rPr>
          <w:spacing w:val="-9"/>
          <w:sz w:val="20"/>
        </w:rPr>
        <w:t> </w:t>
      </w:r>
      <w:r>
        <w:rPr>
          <w:sz w:val="20"/>
        </w:rPr>
        <w:t>relation</w:t>
      </w:r>
      <w:r>
        <w:rPr>
          <w:spacing w:val="-9"/>
          <w:sz w:val="20"/>
        </w:rPr>
        <w:t> </w:t>
      </w:r>
      <w:r>
        <w:rPr>
          <w:sz w:val="20"/>
        </w:rPr>
        <w:t>to</w:t>
      </w:r>
      <w:r>
        <w:rPr>
          <w:spacing w:val="-9"/>
          <w:sz w:val="20"/>
        </w:rPr>
        <w:t> </w:t>
      </w:r>
      <w:r>
        <w:rPr>
          <w:sz w:val="20"/>
        </w:rPr>
        <w:t>deaf</w:t>
      </w:r>
      <w:r>
        <w:rPr>
          <w:spacing w:val="-10"/>
          <w:sz w:val="20"/>
        </w:rPr>
        <w:t> </w:t>
      </w:r>
      <w:r>
        <w:rPr>
          <w:sz w:val="20"/>
        </w:rPr>
        <w:t>jurors</w:t>
      </w:r>
      <w:r>
        <w:rPr>
          <w:spacing w:val="-9"/>
          <w:sz w:val="20"/>
        </w:rPr>
        <w:t> </w:t>
      </w:r>
      <w:r>
        <w:rPr>
          <w:sz w:val="20"/>
        </w:rPr>
        <w:t>who</w:t>
      </w:r>
      <w:r>
        <w:rPr>
          <w:spacing w:val="-9"/>
          <w:sz w:val="20"/>
        </w:rPr>
        <w:t> </w:t>
      </w:r>
      <w:r>
        <w:rPr>
          <w:sz w:val="20"/>
        </w:rPr>
        <w:t>will</w:t>
      </w:r>
      <w:r>
        <w:rPr>
          <w:spacing w:val="-9"/>
          <w:sz w:val="20"/>
        </w:rPr>
        <w:t> </w:t>
      </w:r>
      <w:r>
        <w:rPr>
          <w:sz w:val="20"/>
        </w:rPr>
        <w:t>be</w:t>
      </w:r>
      <w:r>
        <w:rPr>
          <w:spacing w:val="-9"/>
          <w:sz w:val="20"/>
        </w:rPr>
        <w:t> </w:t>
      </w:r>
      <w:r>
        <w:rPr>
          <w:sz w:val="20"/>
        </w:rPr>
        <w:t>unable</w:t>
      </w:r>
      <w:r>
        <w:rPr>
          <w:spacing w:val="-9"/>
          <w:sz w:val="20"/>
        </w:rPr>
        <w:t> </w:t>
      </w:r>
      <w:r>
        <w:rPr>
          <w:sz w:val="20"/>
        </w:rPr>
        <w:t>to</w:t>
      </w:r>
      <w:r>
        <w:rPr>
          <w:spacing w:val="-9"/>
          <w:sz w:val="20"/>
        </w:rPr>
        <w:t> </w:t>
      </w:r>
      <w:r>
        <w:rPr>
          <w:sz w:val="20"/>
        </w:rPr>
        <w:t>hear</w:t>
      </w:r>
      <w:r>
        <w:rPr>
          <w:spacing w:val="-9"/>
          <w:sz w:val="20"/>
        </w:rPr>
        <w:t> </w:t>
      </w:r>
      <w:r>
        <w:rPr>
          <w:sz w:val="20"/>
        </w:rPr>
        <w:t>a </w:t>
      </w:r>
      <w:r>
        <w:rPr>
          <w:spacing w:val="-3"/>
          <w:sz w:val="20"/>
        </w:rPr>
        <w:t>witness’s voice </w:t>
      </w:r>
      <w:r>
        <w:rPr>
          <w:sz w:val="20"/>
        </w:rPr>
        <w:t>to assess</w:t>
      </w:r>
      <w:r>
        <w:rPr>
          <w:spacing w:val="-10"/>
          <w:sz w:val="20"/>
        </w:rPr>
        <w:t> </w:t>
      </w:r>
      <w:r>
        <w:rPr>
          <w:spacing w:val="-3"/>
          <w:sz w:val="20"/>
        </w:rPr>
        <w:t>demeanour.</w:t>
      </w:r>
    </w:p>
    <w:p>
      <w:pPr>
        <w:pStyle w:val="ListParagraph"/>
        <w:numPr>
          <w:ilvl w:val="1"/>
          <w:numId w:val="12"/>
        </w:numPr>
        <w:tabs>
          <w:tab w:pos="1761" w:val="left" w:leader="none"/>
          <w:tab w:pos="1762" w:val="left" w:leader="none"/>
        </w:tabs>
        <w:spacing w:line="206" w:lineRule="auto" w:before="127" w:after="0"/>
        <w:ind w:left="1761" w:right="1403" w:hanging="794"/>
        <w:jc w:val="left"/>
        <w:rPr>
          <w:sz w:val="11"/>
        </w:rPr>
      </w:pPr>
      <w:r>
        <w:rPr>
          <w:sz w:val="20"/>
        </w:rPr>
        <w:t>The </w:t>
      </w:r>
      <w:r>
        <w:rPr>
          <w:spacing w:val="-4"/>
          <w:sz w:val="20"/>
        </w:rPr>
        <w:t>way </w:t>
      </w:r>
      <w:r>
        <w:rPr>
          <w:sz w:val="20"/>
        </w:rPr>
        <w:t>a person </w:t>
      </w:r>
      <w:r>
        <w:rPr>
          <w:spacing w:val="-3"/>
          <w:sz w:val="20"/>
        </w:rPr>
        <w:t>gives evidence, </w:t>
      </w:r>
      <w:r>
        <w:rPr>
          <w:sz w:val="20"/>
        </w:rPr>
        <w:t>especially under </w:t>
      </w:r>
      <w:r>
        <w:rPr>
          <w:spacing w:val="-3"/>
          <w:sz w:val="20"/>
        </w:rPr>
        <w:t>cross-examination, </w:t>
      </w:r>
      <w:r>
        <w:rPr>
          <w:sz w:val="20"/>
        </w:rPr>
        <w:t>is one </w:t>
      </w:r>
      <w:r>
        <w:rPr>
          <w:spacing w:val="-2"/>
          <w:sz w:val="20"/>
        </w:rPr>
        <w:t>factor </w:t>
      </w:r>
      <w:r>
        <w:rPr>
          <w:sz w:val="20"/>
        </w:rPr>
        <w:t>in</w:t>
      </w:r>
      <w:r>
        <w:rPr>
          <w:spacing w:val="-12"/>
          <w:sz w:val="20"/>
        </w:rPr>
        <w:t> </w:t>
      </w:r>
      <w:r>
        <w:rPr>
          <w:sz w:val="20"/>
        </w:rPr>
        <w:t>determining</w:t>
      </w:r>
      <w:r>
        <w:rPr>
          <w:spacing w:val="-11"/>
          <w:sz w:val="20"/>
        </w:rPr>
        <w:t> </w:t>
      </w:r>
      <w:r>
        <w:rPr>
          <w:spacing w:val="-3"/>
          <w:sz w:val="20"/>
        </w:rPr>
        <w:t>credibility.</w:t>
      </w:r>
      <w:r>
        <w:rPr>
          <w:spacing w:val="-11"/>
          <w:sz w:val="20"/>
        </w:rPr>
        <w:t> </w:t>
      </w:r>
      <w:r>
        <w:rPr>
          <w:sz w:val="20"/>
        </w:rPr>
        <w:t>Case</w:t>
      </w:r>
      <w:r>
        <w:rPr>
          <w:spacing w:val="-11"/>
          <w:sz w:val="20"/>
        </w:rPr>
        <w:t> </w:t>
      </w:r>
      <w:r>
        <w:rPr>
          <w:sz w:val="20"/>
        </w:rPr>
        <w:t>law</w:t>
      </w:r>
      <w:r>
        <w:rPr>
          <w:spacing w:val="-12"/>
          <w:sz w:val="20"/>
        </w:rPr>
        <w:t> </w:t>
      </w:r>
      <w:r>
        <w:rPr>
          <w:sz w:val="20"/>
        </w:rPr>
        <w:t>indicates</w:t>
      </w:r>
      <w:r>
        <w:rPr>
          <w:spacing w:val="-11"/>
          <w:sz w:val="20"/>
        </w:rPr>
        <w:t> </w:t>
      </w:r>
      <w:r>
        <w:rPr>
          <w:sz w:val="20"/>
        </w:rPr>
        <w:t>that</w:t>
      </w:r>
      <w:r>
        <w:rPr>
          <w:spacing w:val="-11"/>
          <w:sz w:val="20"/>
        </w:rPr>
        <w:t> </w:t>
      </w:r>
      <w:r>
        <w:rPr>
          <w:spacing w:val="-3"/>
          <w:sz w:val="20"/>
        </w:rPr>
        <w:t>relevant</w:t>
      </w:r>
      <w:r>
        <w:rPr>
          <w:spacing w:val="-11"/>
          <w:sz w:val="20"/>
        </w:rPr>
        <w:t> </w:t>
      </w:r>
      <w:r>
        <w:rPr>
          <w:sz w:val="20"/>
        </w:rPr>
        <w:t>factors</w:t>
      </w:r>
      <w:r>
        <w:rPr>
          <w:spacing w:val="-11"/>
          <w:sz w:val="20"/>
        </w:rPr>
        <w:t> </w:t>
      </w:r>
      <w:r>
        <w:rPr>
          <w:sz w:val="20"/>
        </w:rPr>
        <w:t>include</w:t>
      </w:r>
      <w:r>
        <w:rPr>
          <w:spacing w:val="-12"/>
          <w:sz w:val="20"/>
        </w:rPr>
        <w:t> </w:t>
      </w:r>
      <w:r>
        <w:rPr>
          <w:spacing w:val="-3"/>
          <w:sz w:val="20"/>
        </w:rPr>
        <w:t>demeanour, </w:t>
      </w:r>
      <w:r>
        <w:rPr>
          <w:sz w:val="20"/>
        </w:rPr>
        <w:t>tone</w:t>
      </w:r>
      <w:r>
        <w:rPr>
          <w:spacing w:val="-11"/>
          <w:sz w:val="20"/>
        </w:rPr>
        <w:t> </w:t>
      </w:r>
      <w:r>
        <w:rPr>
          <w:sz w:val="20"/>
        </w:rPr>
        <w:t>of</w:t>
      </w:r>
      <w:r>
        <w:rPr>
          <w:spacing w:val="-11"/>
          <w:sz w:val="20"/>
        </w:rPr>
        <w:t> </w:t>
      </w:r>
      <w:r>
        <w:rPr>
          <w:spacing w:val="-3"/>
          <w:sz w:val="20"/>
        </w:rPr>
        <w:t>voice,</w:t>
      </w:r>
      <w:r>
        <w:rPr>
          <w:spacing w:val="-11"/>
          <w:sz w:val="20"/>
        </w:rPr>
        <w:t> </w:t>
      </w:r>
      <w:r>
        <w:rPr>
          <w:sz w:val="20"/>
        </w:rPr>
        <w:t>manner</w:t>
      </w:r>
      <w:r>
        <w:rPr>
          <w:spacing w:val="-11"/>
          <w:sz w:val="20"/>
        </w:rPr>
        <w:t> </w:t>
      </w:r>
      <w:r>
        <w:rPr>
          <w:sz w:val="20"/>
        </w:rPr>
        <w:t>of</w:t>
      </w:r>
      <w:r>
        <w:rPr>
          <w:spacing w:val="-11"/>
          <w:sz w:val="20"/>
        </w:rPr>
        <w:t> </w:t>
      </w:r>
      <w:r>
        <w:rPr>
          <w:sz w:val="20"/>
        </w:rPr>
        <w:t>speech,</w:t>
      </w:r>
      <w:r>
        <w:rPr>
          <w:spacing w:val="-10"/>
          <w:sz w:val="20"/>
        </w:rPr>
        <w:t> </w:t>
      </w:r>
      <w:r>
        <w:rPr>
          <w:sz w:val="20"/>
        </w:rPr>
        <w:t>spontaneity</w:t>
      </w:r>
      <w:r>
        <w:rPr>
          <w:spacing w:val="-11"/>
          <w:sz w:val="20"/>
        </w:rPr>
        <w:t> </w:t>
      </w:r>
      <w:r>
        <w:rPr>
          <w:sz w:val="20"/>
        </w:rPr>
        <w:t>in</w:t>
      </w:r>
      <w:r>
        <w:rPr>
          <w:spacing w:val="-11"/>
          <w:sz w:val="20"/>
        </w:rPr>
        <w:t> </w:t>
      </w:r>
      <w:r>
        <w:rPr>
          <w:sz w:val="20"/>
        </w:rPr>
        <w:t>answering</w:t>
      </w:r>
      <w:r>
        <w:rPr>
          <w:spacing w:val="-11"/>
          <w:sz w:val="20"/>
        </w:rPr>
        <w:t> </w:t>
      </w:r>
      <w:r>
        <w:rPr>
          <w:sz w:val="20"/>
        </w:rPr>
        <w:t>the</w:t>
      </w:r>
      <w:r>
        <w:rPr>
          <w:spacing w:val="-11"/>
          <w:sz w:val="20"/>
        </w:rPr>
        <w:t> </w:t>
      </w:r>
      <w:r>
        <w:rPr>
          <w:sz w:val="20"/>
        </w:rPr>
        <w:t>question</w:t>
      </w:r>
      <w:r>
        <w:rPr>
          <w:spacing w:val="-11"/>
          <w:sz w:val="20"/>
        </w:rPr>
        <w:t> </w:t>
      </w:r>
      <w:r>
        <w:rPr>
          <w:sz w:val="20"/>
        </w:rPr>
        <w:t>and</w:t>
      </w:r>
      <w:r>
        <w:rPr>
          <w:spacing w:val="-10"/>
          <w:sz w:val="20"/>
        </w:rPr>
        <w:t> </w:t>
      </w:r>
      <w:r>
        <w:rPr>
          <w:sz w:val="20"/>
        </w:rPr>
        <w:t>‘whether the plaintiff </w:t>
      </w:r>
      <w:r>
        <w:rPr>
          <w:spacing w:val="-3"/>
          <w:sz w:val="20"/>
        </w:rPr>
        <w:t>answered </w:t>
      </w:r>
      <w:r>
        <w:rPr>
          <w:sz w:val="20"/>
        </w:rPr>
        <w:t>questions in a manner designed to satisfy the questioner or to </w:t>
      </w:r>
      <w:r>
        <w:rPr>
          <w:spacing w:val="-3"/>
          <w:sz w:val="20"/>
        </w:rPr>
        <w:t>give </w:t>
      </w:r>
      <w:r>
        <w:rPr>
          <w:sz w:val="20"/>
        </w:rPr>
        <w:t>honest and truthful</w:t>
      </w:r>
      <w:r>
        <w:rPr>
          <w:spacing w:val="-14"/>
          <w:sz w:val="20"/>
        </w:rPr>
        <w:t> </w:t>
      </w:r>
      <w:r>
        <w:rPr>
          <w:spacing w:val="-5"/>
          <w:sz w:val="20"/>
        </w:rPr>
        <w:t>answers’.</w:t>
      </w:r>
      <w:r>
        <w:rPr>
          <w:spacing w:val="-5"/>
          <w:position w:val="7"/>
          <w:sz w:val="11"/>
        </w:rPr>
        <w:t>70</w:t>
      </w:r>
    </w:p>
    <w:p>
      <w:pPr>
        <w:pStyle w:val="ListParagraph"/>
        <w:numPr>
          <w:ilvl w:val="1"/>
          <w:numId w:val="12"/>
        </w:numPr>
        <w:tabs>
          <w:tab w:pos="1761" w:val="left" w:leader="none"/>
          <w:tab w:pos="1762" w:val="left" w:leader="none"/>
        </w:tabs>
        <w:spacing w:line="206" w:lineRule="auto" w:before="126" w:after="0"/>
        <w:ind w:left="1761" w:right="1420" w:hanging="794"/>
        <w:jc w:val="left"/>
        <w:rPr>
          <w:sz w:val="20"/>
        </w:rPr>
      </w:pPr>
      <w:r>
        <w:rPr>
          <w:sz w:val="20"/>
        </w:rPr>
        <w:t>People in the subject groups </w:t>
      </w:r>
      <w:r>
        <w:rPr>
          <w:spacing w:val="-4"/>
          <w:sz w:val="20"/>
        </w:rPr>
        <w:t>have </w:t>
      </w:r>
      <w:r>
        <w:rPr>
          <w:sz w:val="20"/>
        </w:rPr>
        <w:t>not served on juries in Victoria. The appeal courts </w:t>
      </w:r>
      <w:r>
        <w:rPr>
          <w:spacing w:val="-4"/>
          <w:sz w:val="20"/>
        </w:rPr>
        <w:t>have</w:t>
      </w:r>
      <w:r>
        <w:rPr>
          <w:spacing w:val="-9"/>
          <w:sz w:val="20"/>
        </w:rPr>
        <w:t> </w:t>
      </w:r>
      <w:r>
        <w:rPr>
          <w:spacing w:val="-3"/>
          <w:sz w:val="20"/>
        </w:rPr>
        <w:t>therefore</w:t>
      </w:r>
      <w:r>
        <w:rPr>
          <w:spacing w:val="-9"/>
          <w:sz w:val="20"/>
        </w:rPr>
        <w:t> </w:t>
      </w:r>
      <w:r>
        <w:rPr>
          <w:sz w:val="20"/>
        </w:rPr>
        <w:t>not</w:t>
      </w:r>
      <w:r>
        <w:rPr>
          <w:spacing w:val="-8"/>
          <w:sz w:val="20"/>
        </w:rPr>
        <w:t> </w:t>
      </w:r>
      <w:r>
        <w:rPr>
          <w:sz w:val="20"/>
        </w:rPr>
        <w:t>had</w:t>
      </w:r>
      <w:r>
        <w:rPr>
          <w:spacing w:val="-9"/>
          <w:sz w:val="20"/>
        </w:rPr>
        <w:t> </w:t>
      </w:r>
      <w:r>
        <w:rPr>
          <w:sz w:val="20"/>
        </w:rPr>
        <w:t>to</w:t>
      </w:r>
      <w:r>
        <w:rPr>
          <w:spacing w:val="-9"/>
          <w:sz w:val="20"/>
        </w:rPr>
        <w:t> </w:t>
      </w:r>
      <w:r>
        <w:rPr>
          <w:sz w:val="20"/>
        </w:rPr>
        <w:t>consider</w:t>
      </w:r>
      <w:r>
        <w:rPr>
          <w:spacing w:val="-8"/>
          <w:sz w:val="20"/>
        </w:rPr>
        <w:t> </w:t>
      </w:r>
      <w:r>
        <w:rPr>
          <w:sz w:val="20"/>
        </w:rPr>
        <w:t>a</w:t>
      </w:r>
      <w:r>
        <w:rPr>
          <w:spacing w:val="-9"/>
          <w:sz w:val="20"/>
        </w:rPr>
        <w:t> </w:t>
      </w:r>
      <w:r>
        <w:rPr>
          <w:sz w:val="20"/>
        </w:rPr>
        <w:t>scenario</w:t>
      </w:r>
      <w:r>
        <w:rPr>
          <w:spacing w:val="-8"/>
          <w:sz w:val="20"/>
        </w:rPr>
        <w:t> </w:t>
      </w:r>
      <w:r>
        <w:rPr>
          <w:sz w:val="20"/>
        </w:rPr>
        <w:t>where</w:t>
      </w:r>
      <w:r>
        <w:rPr>
          <w:spacing w:val="-9"/>
          <w:sz w:val="20"/>
        </w:rPr>
        <w:t> </w:t>
      </w:r>
      <w:r>
        <w:rPr>
          <w:sz w:val="20"/>
        </w:rPr>
        <w:t>a</w:t>
      </w:r>
      <w:r>
        <w:rPr>
          <w:spacing w:val="-9"/>
          <w:sz w:val="20"/>
        </w:rPr>
        <w:t> </w:t>
      </w:r>
      <w:r>
        <w:rPr>
          <w:sz w:val="20"/>
        </w:rPr>
        <w:t>juror</w:t>
      </w:r>
      <w:r>
        <w:rPr>
          <w:spacing w:val="-8"/>
          <w:sz w:val="20"/>
        </w:rPr>
        <w:t> </w:t>
      </w:r>
      <w:r>
        <w:rPr>
          <w:sz w:val="20"/>
        </w:rPr>
        <w:t>might</w:t>
      </w:r>
      <w:r>
        <w:rPr>
          <w:spacing w:val="-9"/>
          <w:sz w:val="20"/>
        </w:rPr>
        <w:t> </w:t>
      </w:r>
      <w:r>
        <w:rPr>
          <w:sz w:val="20"/>
        </w:rPr>
        <w:t>not</w:t>
      </w:r>
      <w:r>
        <w:rPr>
          <w:spacing w:val="-8"/>
          <w:sz w:val="20"/>
        </w:rPr>
        <w:t> </w:t>
      </w:r>
      <w:r>
        <w:rPr>
          <w:spacing w:val="-4"/>
          <w:sz w:val="20"/>
        </w:rPr>
        <w:t>have</w:t>
      </w:r>
      <w:r>
        <w:rPr>
          <w:spacing w:val="-9"/>
          <w:sz w:val="20"/>
        </w:rPr>
        <w:t> </w:t>
      </w:r>
      <w:r>
        <w:rPr>
          <w:sz w:val="20"/>
        </w:rPr>
        <w:t>been</w:t>
      </w:r>
      <w:r>
        <w:rPr>
          <w:spacing w:val="-9"/>
          <w:sz w:val="20"/>
        </w:rPr>
        <w:t> </w:t>
      </w:r>
      <w:r>
        <w:rPr>
          <w:sz w:val="20"/>
        </w:rPr>
        <w:t>able to</w:t>
      </w:r>
      <w:r>
        <w:rPr>
          <w:spacing w:val="-6"/>
          <w:sz w:val="20"/>
        </w:rPr>
        <w:t> </w:t>
      </w:r>
      <w:r>
        <w:rPr>
          <w:sz w:val="20"/>
        </w:rPr>
        <w:t>see</w:t>
      </w:r>
      <w:r>
        <w:rPr>
          <w:spacing w:val="-6"/>
          <w:sz w:val="20"/>
        </w:rPr>
        <w:t> </w:t>
      </w:r>
      <w:r>
        <w:rPr>
          <w:sz w:val="20"/>
        </w:rPr>
        <w:t>or</w:t>
      </w:r>
      <w:r>
        <w:rPr>
          <w:spacing w:val="-6"/>
          <w:sz w:val="20"/>
        </w:rPr>
        <w:t> </w:t>
      </w:r>
      <w:r>
        <w:rPr>
          <w:sz w:val="20"/>
        </w:rPr>
        <w:t>hear</w:t>
      </w:r>
      <w:r>
        <w:rPr>
          <w:spacing w:val="-6"/>
          <w:sz w:val="20"/>
        </w:rPr>
        <w:t> </w:t>
      </w:r>
      <w:r>
        <w:rPr>
          <w:sz w:val="20"/>
        </w:rPr>
        <w:t>a</w:t>
      </w:r>
      <w:r>
        <w:rPr>
          <w:spacing w:val="-5"/>
          <w:sz w:val="20"/>
        </w:rPr>
        <w:t> </w:t>
      </w:r>
      <w:r>
        <w:rPr>
          <w:sz w:val="20"/>
        </w:rPr>
        <w:t>witness</w:t>
      </w:r>
      <w:r>
        <w:rPr>
          <w:spacing w:val="-6"/>
          <w:sz w:val="20"/>
        </w:rPr>
        <w:t> </w:t>
      </w:r>
      <w:r>
        <w:rPr>
          <w:sz w:val="20"/>
        </w:rPr>
        <w:t>and</w:t>
      </w:r>
      <w:r>
        <w:rPr>
          <w:spacing w:val="-6"/>
          <w:sz w:val="20"/>
        </w:rPr>
        <w:t> </w:t>
      </w:r>
      <w:r>
        <w:rPr>
          <w:sz w:val="20"/>
        </w:rPr>
        <w:t>relied</w:t>
      </w:r>
      <w:r>
        <w:rPr>
          <w:spacing w:val="-6"/>
          <w:sz w:val="20"/>
        </w:rPr>
        <w:t> </w:t>
      </w:r>
      <w:r>
        <w:rPr>
          <w:sz w:val="20"/>
        </w:rPr>
        <w:t>on</w:t>
      </w:r>
      <w:r>
        <w:rPr>
          <w:spacing w:val="-6"/>
          <w:sz w:val="20"/>
        </w:rPr>
        <w:t> </w:t>
      </w:r>
      <w:r>
        <w:rPr>
          <w:sz w:val="20"/>
        </w:rPr>
        <w:t>other</w:t>
      </w:r>
      <w:r>
        <w:rPr>
          <w:spacing w:val="-5"/>
          <w:sz w:val="20"/>
        </w:rPr>
        <w:t> </w:t>
      </w:r>
      <w:r>
        <w:rPr>
          <w:sz w:val="20"/>
        </w:rPr>
        <w:t>means</w:t>
      </w:r>
      <w:r>
        <w:rPr>
          <w:spacing w:val="-6"/>
          <w:sz w:val="20"/>
        </w:rPr>
        <w:t> </w:t>
      </w:r>
      <w:r>
        <w:rPr>
          <w:sz w:val="20"/>
        </w:rPr>
        <w:t>to</w:t>
      </w:r>
      <w:r>
        <w:rPr>
          <w:spacing w:val="-6"/>
          <w:sz w:val="20"/>
        </w:rPr>
        <w:t> </w:t>
      </w:r>
      <w:r>
        <w:rPr>
          <w:sz w:val="20"/>
        </w:rPr>
        <w:t>assess</w:t>
      </w:r>
      <w:r>
        <w:rPr>
          <w:spacing w:val="-6"/>
          <w:sz w:val="20"/>
        </w:rPr>
        <w:t> </w:t>
      </w:r>
      <w:r>
        <w:rPr>
          <w:sz w:val="20"/>
        </w:rPr>
        <w:t>their</w:t>
      </w:r>
      <w:r>
        <w:rPr>
          <w:spacing w:val="-6"/>
          <w:sz w:val="20"/>
        </w:rPr>
        <w:t> </w:t>
      </w:r>
      <w:r>
        <w:rPr>
          <w:spacing w:val="-3"/>
          <w:sz w:val="20"/>
        </w:rPr>
        <w:t>credibility.</w:t>
      </w:r>
    </w:p>
    <w:p>
      <w:pPr>
        <w:pStyle w:val="Heading6"/>
        <w:spacing w:before="128"/>
        <w:rPr>
          <w:b/>
        </w:rPr>
      </w:pPr>
      <w:r>
        <w:rPr>
          <w:b/>
        </w:rPr>
        <w:t>The decreasing importance of demeanour evidence</w:t>
      </w:r>
    </w:p>
    <w:p>
      <w:pPr>
        <w:pStyle w:val="ListParagraph"/>
        <w:numPr>
          <w:ilvl w:val="1"/>
          <w:numId w:val="12"/>
        </w:numPr>
        <w:tabs>
          <w:tab w:pos="1761" w:val="left" w:leader="none"/>
          <w:tab w:pos="1762" w:val="left" w:leader="none"/>
        </w:tabs>
        <w:spacing w:line="206" w:lineRule="auto" w:before="132" w:after="0"/>
        <w:ind w:left="1761" w:right="1560" w:hanging="794"/>
        <w:jc w:val="left"/>
        <w:rPr>
          <w:sz w:val="20"/>
        </w:rPr>
      </w:pPr>
      <w:r>
        <w:rPr>
          <w:sz w:val="20"/>
        </w:rPr>
        <w:t>In</w:t>
      </w:r>
      <w:r>
        <w:rPr>
          <w:spacing w:val="-12"/>
          <w:sz w:val="20"/>
        </w:rPr>
        <w:t> </w:t>
      </w:r>
      <w:r>
        <w:rPr>
          <w:sz w:val="20"/>
        </w:rPr>
        <w:t>the</w:t>
      </w:r>
      <w:r>
        <w:rPr>
          <w:spacing w:val="-12"/>
          <w:sz w:val="20"/>
        </w:rPr>
        <w:t> </w:t>
      </w:r>
      <w:r>
        <w:rPr>
          <w:sz w:val="20"/>
        </w:rPr>
        <w:t>consultation</w:t>
      </w:r>
      <w:r>
        <w:rPr>
          <w:spacing w:val="-12"/>
          <w:sz w:val="20"/>
        </w:rPr>
        <w:t> </w:t>
      </w:r>
      <w:r>
        <w:rPr>
          <w:sz w:val="20"/>
        </w:rPr>
        <w:t>paper</w:t>
      </w:r>
      <w:r>
        <w:rPr>
          <w:spacing w:val="-11"/>
          <w:sz w:val="20"/>
        </w:rPr>
        <w:t> </w:t>
      </w:r>
      <w:r>
        <w:rPr>
          <w:spacing w:val="-3"/>
          <w:sz w:val="20"/>
        </w:rPr>
        <w:t>we</w:t>
      </w:r>
      <w:r>
        <w:rPr>
          <w:spacing w:val="-12"/>
          <w:sz w:val="20"/>
        </w:rPr>
        <w:t> </w:t>
      </w:r>
      <w:r>
        <w:rPr>
          <w:sz w:val="20"/>
        </w:rPr>
        <w:t>noted</w:t>
      </w:r>
      <w:r>
        <w:rPr>
          <w:spacing w:val="-12"/>
          <w:sz w:val="20"/>
        </w:rPr>
        <w:t> </w:t>
      </w:r>
      <w:r>
        <w:rPr>
          <w:sz w:val="20"/>
        </w:rPr>
        <w:t>that</w:t>
      </w:r>
      <w:r>
        <w:rPr>
          <w:spacing w:val="-12"/>
          <w:sz w:val="20"/>
        </w:rPr>
        <w:t> </w:t>
      </w:r>
      <w:r>
        <w:rPr>
          <w:sz w:val="20"/>
        </w:rPr>
        <w:t>the</w:t>
      </w:r>
      <w:r>
        <w:rPr>
          <w:spacing w:val="-11"/>
          <w:sz w:val="20"/>
        </w:rPr>
        <w:t> </w:t>
      </w:r>
      <w:r>
        <w:rPr>
          <w:sz w:val="20"/>
        </w:rPr>
        <w:t>significance</w:t>
      </w:r>
      <w:r>
        <w:rPr>
          <w:spacing w:val="-12"/>
          <w:sz w:val="20"/>
        </w:rPr>
        <w:t> </w:t>
      </w:r>
      <w:r>
        <w:rPr>
          <w:sz w:val="20"/>
        </w:rPr>
        <w:t>of</w:t>
      </w:r>
      <w:r>
        <w:rPr>
          <w:spacing w:val="-12"/>
          <w:sz w:val="20"/>
        </w:rPr>
        <w:t> </w:t>
      </w:r>
      <w:r>
        <w:rPr>
          <w:sz w:val="20"/>
        </w:rPr>
        <w:t>demeanour</w:t>
      </w:r>
      <w:r>
        <w:rPr>
          <w:spacing w:val="-12"/>
          <w:sz w:val="20"/>
        </w:rPr>
        <w:t> </w:t>
      </w:r>
      <w:r>
        <w:rPr>
          <w:sz w:val="20"/>
        </w:rPr>
        <w:t>has</w:t>
      </w:r>
      <w:r>
        <w:rPr>
          <w:spacing w:val="-11"/>
          <w:sz w:val="20"/>
        </w:rPr>
        <w:t> </w:t>
      </w:r>
      <w:r>
        <w:rPr>
          <w:sz w:val="20"/>
        </w:rPr>
        <w:t>reduced in </w:t>
      </w:r>
      <w:r>
        <w:rPr>
          <w:spacing w:val="-3"/>
          <w:sz w:val="20"/>
        </w:rPr>
        <w:t>favour </w:t>
      </w:r>
      <w:r>
        <w:rPr>
          <w:sz w:val="20"/>
        </w:rPr>
        <w:t>of more objective </w:t>
      </w:r>
      <w:r>
        <w:rPr>
          <w:spacing w:val="-3"/>
          <w:sz w:val="20"/>
        </w:rPr>
        <w:t>evidence.</w:t>
      </w:r>
      <w:r>
        <w:rPr>
          <w:spacing w:val="-3"/>
          <w:position w:val="7"/>
          <w:sz w:val="11"/>
        </w:rPr>
        <w:t>71 </w:t>
      </w:r>
      <w:r>
        <w:rPr>
          <w:sz w:val="20"/>
        </w:rPr>
        <w:t>Judges will often </w:t>
      </w:r>
      <w:r>
        <w:rPr>
          <w:spacing w:val="-3"/>
          <w:sz w:val="20"/>
        </w:rPr>
        <w:t>make </w:t>
      </w:r>
      <w:r>
        <w:rPr>
          <w:sz w:val="20"/>
        </w:rPr>
        <w:t>a general direction to the jury that reliance on demeanour evidence must be ‘kept in balance with other </w:t>
      </w:r>
      <w:r>
        <w:rPr>
          <w:spacing w:val="-3"/>
          <w:sz w:val="20"/>
        </w:rPr>
        <w:t>considerations’.</w:t>
      </w:r>
      <w:r>
        <w:rPr>
          <w:spacing w:val="-3"/>
          <w:position w:val="7"/>
          <w:sz w:val="11"/>
        </w:rPr>
        <w:t>72 </w:t>
      </w:r>
      <w:r>
        <w:rPr>
          <w:spacing w:val="-3"/>
          <w:sz w:val="20"/>
        </w:rPr>
        <w:t>Research </w:t>
      </w:r>
      <w:r>
        <w:rPr>
          <w:sz w:val="20"/>
        </w:rPr>
        <w:t>suggests that judges and lay people </w:t>
      </w:r>
      <w:r>
        <w:rPr>
          <w:spacing w:val="-3"/>
          <w:sz w:val="20"/>
        </w:rPr>
        <w:t>are routinely inaccurate</w:t>
      </w:r>
      <w:r>
        <w:rPr>
          <w:spacing w:val="-8"/>
          <w:sz w:val="20"/>
        </w:rPr>
        <w:t> </w:t>
      </w:r>
      <w:r>
        <w:rPr>
          <w:sz w:val="20"/>
        </w:rPr>
        <w:t>when</w:t>
      </w:r>
      <w:r>
        <w:rPr>
          <w:spacing w:val="-7"/>
          <w:sz w:val="20"/>
        </w:rPr>
        <w:t> </w:t>
      </w:r>
      <w:r>
        <w:rPr>
          <w:sz w:val="20"/>
        </w:rPr>
        <w:t>assessing</w:t>
      </w:r>
      <w:r>
        <w:rPr>
          <w:spacing w:val="-7"/>
          <w:sz w:val="20"/>
        </w:rPr>
        <w:t> </w:t>
      </w:r>
      <w:r>
        <w:rPr>
          <w:sz w:val="20"/>
        </w:rPr>
        <w:t>the</w:t>
      </w:r>
      <w:r>
        <w:rPr>
          <w:spacing w:val="-7"/>
          <w:sz w:val="20"/>
        </w:rPr>
        <w:t> </w:t>
      </w:r>
      <w:r>
        <w:rPr>
          <w:sz w:val="20"/>
        </w:rPr>
        <w:t>credibility</w:t>
      </w:r>
      <w:r>
        <w:rPr>
          <w:spacing w:val="-7"/>
          <w:sz w:val="20"/>
        </w:rPr>
        <w:t> </w:t>
      </w:r>
      <w:r>
        <w:rPr>
          <w:sz w:val="20"/>
        </w:rPr>
        <w:t>of</w:t>
      </w:r>
      <w:r>
        <w:rPr>
          <w:spacing w:val="-8"/>
          <w:sz w:val="20"/>
        </w:rPr>
        <w:t> </w:t>
      </w:r>
      <w:r>
        <w:rPr>
          <w:sz w:val="20"/>
        </w:rPr>
        <w:t>witnesses</w:t>
      </w:r>
      <w:r>
        <w:rPr>
          <w:spacing w:val="-7"/>
          <w:sz w:val="20"/>
        </w:rPr>
        <w:t> </w:t>
      </w:r>
      <w:r>
        <w:rPr>
          <w:sz w:val="20"/>
        </w:rPr>
        <w:t>based</w:t>
      </w:r>
      <w:r>
        <w:rPr>
          <w:spacing w:val="-7"/>
          <w:sz w:val="20"/>
        </w:rPr>
        <w:t> </w:t>
      </w:r>
      <w:r>
        <w:rPr>
          <w:sz w:val="20"/>
        </w:rPr>
        <w:t>on</w:t>
      </w:r>
      <w:r>
        <w:rPr>
          <w:spacing w:val="-7"/>
          <w:sz w:val="20"/>
        </w:rPr>
        <w:t> </w:t>
      </w:r>
      <w:r>
        <w:rPr>
          <w:sz w:val="20"/>
        </w:rPr>
        <w:t>their</w:t>
      </w:r>
      <w:r>
        <w:rPr>
          <w:spacing w:val="-7"/>
          <w:sz w:val="20"/>
        </w:rPr>
        <w:t> </w:t>
      </w:r>
      <w:r>
        <w:rPr>
          <w:spacing w:val="-3"/>
          <w:sz w:val="20"/>
        </w:rPr>
        <w:t>demeanour.</w:t>
      </w:r>
    </w:p>
    <w:p>
      <w:pPr>
        <w:pStyle w:val="BodyText"/>
        <w:spacing w:line="206" w:lineRule="auto" w:before="6"/>
        <w:ind w:left="1761" w:right="1110"/>
        <w:rPr>
          <w:sz w:val="11"/>
        </w:rPr>
      </w:pPr>
      <w:r>
        <w:rPr>
          <w:spacing w:val="-3"/>
        </w:rPr>
        <w:t>For example, </w:t>
      </w:r>
      <w:r>
        <w:rPr/>
        <w:t>studies indicate that </w:t>
      </w:r>
      <w:r>
        <w:rPr>
          <w:spacing w:val="-3"/>
        </w:rPr>
        <w:t>conventional </w:t>
      </w:r>
      <w:r>
        <w:rPr/>
        <w:t>wisdom about the behaviour of liars, including that ‘liars look </w:t>
      </w:r>
      <w:r>
        <w:rPr>
          <w:spacing w:val="-7"/>
        </w:rPr>
        <w:t>away, </w:t>
      </w:r>
      <w:r>
        <w:rPr/>
        <w:t>fidget, speak in a higher pitch or </w:t>
      </w:r>
      <w:r>
        <w:rPr>
          <w:spacing w:val="-3"/>
        </w:rPr>
        <w:t>are </w:t>
      </w:r>
      <w:r>
        <w:rPr/>
        <w:t>more </w:t>
      </w:r>
      <w:r>
        <w:rPr>
          <w:spacing w:val="-3"/>
        </w:rPr>
        <w:t>likely </w:t>
      </w:r>
      <w:r>
        <w:rPr/>
        <w:t>to be </w:t>
      </w:r>
      <w:r>
        <w:rPr>
          <w:spacing w:val="-3"/>
        </w:rPr>
        <w:t>nervous’, </w:t>
      </w:r>
      <w:r>
        <w:rPr/>
        <w:t>is unfounded in </w:t>
      </w:r>
      <w:r>
        <w:rPr>
          <w:spacing w:val="-3"/>
        </w:rPr>
        <w:t>evidence.</w:t>
      </w:r>
      <w:r>
        <w:rPr>
          <w:spacing w:val="-3"/>
          <w:position w:val="7"/>
          <w:sz w:val="11"/>
        </w:rPr>
        <w:t>73 </w:t>
      </w:r>
      <w:r>
        <w:rPr/>
        <w:t>Other studies </w:t>
      </w:r>
      <w:r>
        <w:rPr>
          <w:spacing w:val="-4"/>
        </w:rPr>
        <w:t>have </w:t>
      </w:r>
      <w:r>
        <w:rPr>
          <w:spacing w:val="-3"/>
        </w:rPr>
        <w:t>shown </w:t>
      </w:r>
      <w:r>
        <w:rPr/>
        <w:t>that a person’s ability to discern when someone is </w:t>
      </w:r>
      <w:r>
        <w:rPr>
          <w:spacing w:val="-3"/>
        </w:rPr>
        <w:t>lying </w:t>
      </w:r>
      <w:r>
        <w:rPr/>
        <w:t>‘functions </w:t>
      </w:r>
      <w:r>
        <w:rPr>
          <w:spacing w:val="-3"/>
        </w:rPr>
        <w:t>only </w:t>
      </w:r>
      <w:r>
        <w:rPr/>
        <w:t>slightly better than random </w:t>
      </w:r>
      <w:r>
        <w:rPr>
          <w:spacing w:val="-5"/>
        </w:rPr>
        <w:t>chance’.</w:t>
      </w:r>
      <w:r>
        <w:rPr>
          <w:spacing w:val="-5"/>
          <w:position w:val="7"/>
          <w:sz w:val="11"/>
        </w:rPr>
        <w:t>74</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z w:val="20"/>
        </w:rPr>
        <w:t>The Judicial College of </w:t>
      </w:r>
      <w:r>
        <w:rPr>
          <w:spacing w:val="-3"/>
          <w:sz w:val="20"/>
        </w:rPr>
        <w:t>Victoria’s </w:t>
      </w:r>
      <w:r>
        <w:rPr>
          <w:i/>
          <w:sz w:val="20"/>
        </w:rPr>
        <w:t>Serious Injury Manual</w:t>
      </w:r>
      <w:r>
        <w:rPr>
          <w:i/>
          <w:spacing w:val="-33"/>
          <w:sz w:val="20"/>
        </w:rPr>
        <w:t> </w:t>
      </w:r>
      <w:r>
        <w:rPr>
          <w:sz w:val="20"/>
        </w:rPr>
        <w:t>emphasises:</w:t>
      </w:r>
    </w:p>
    <w:p>
      <w:pPr>
        <w:spacing w:line="208" w:lineRule="auto" w:before="113"/>
        <w:ind w:left="2157" w:right="1335" w:firstLine="0"/>
        <w:jc w:val="left"/>
        <w:rPr>
          <w:sz w:val="11"/>
        </w:rPr>
      </w:pPr>
      <w:r>
        <w:rPr>
          <w:sz w:val="19"/>
        </w:rPr>
        <w:t>Due to the unreliability of assessments based on demeanour, courts will generally focus on the objectively established evidence and compare that to the witness’ accounts. Inconsistencies between the objectively established evidence and a witness’ account will then reflect on the witness’ credibility ...</w:t>
      </w:r>
      <w:r>
        <w:rPr>
          <w:position w:val="6"/>
          <w:sz w:val="11"/>
        </w:rPr>
        <w:t>75</w:t>
      </w:r>
    </w:p>
    <w:p>
      <w:pPr>
        <w:pStyle w:val="Heading6"/>
        <w:spacing w:before="129"/>
        <w:rPr>
          <w:b/>
        </w:rPr>
      </w:pPr>
      <w:r>
        <w:rPr>
          <w:b/>
        </w:rPr>
        <w:t>Using different senses to assess credibility</w:t>
      </w:r>
    </w:p>
    <w:p>
      <w:pPr>
        <w:pStyle w:val="ListParagraph"/>
        <w:numPr>
          <w:ilvl w:val="1"/>
          <w:numId w:val="12"/>
        </w:numPr>
        <w:tabs>
          <w:tab w:pos="1761" w:val="left" w:leader="none"/>
          <w:tab w:pos="1762" w:val="left" w:leader="none"/>
        </w:tabs>
        <w:spacing w:line="206" w:lineRule="auto" w:before="132" w:after="0"/>
        <w:ind w:left="1761" w:right="1349" w:hanging="794"/>
        <w:jc w:val="left"/>
        <w:rPr>
          <w:sz w:val="11"/>
        </w:rPr>
      </w:pPr>
      <w:r>
        <w:rPr>
          <w:sz w:val="20"/>
        </w:rPr>
        <w:t>While people who </w:t>
      </w:r>
      <w:r>
        <w:rPr>
          <w:spacing w:val="-3"/>
          <w:sz w:val="20"/>
        </w:rPr>
        <w:t>are </w:t>
      </w:r>
      <w:r>
        <w:rPr>
          <w:sz w:val="20"/>
        </w:rPr>
        <w:t>blind </w:t>
      </w:r>
      <w:r>
        <w:rPr>
          <w:spacing w:val="-3"/>
          <w:sz w:val="20"/>
        </w:rPr>
        <w:t>may </w:t>
      </w:r>
      <w:r>
        <w:rPr>
          <w:sz w:val="20"/>
        </w:rPr>
        <w:t>not </w:t>
      </w:r>
      <w:r>
        <w:rPr>
          <w:spacing w:val="-4"/>
          <w:sz w:val="20"/>
        </w:rPr>
        <w:t>have </w:t>
      </w:r>
      <w:r>
        <w:rPr>
          <w:sz w:val="20"/>
        </w:rPr>
        <w:t>access to visual cues, they can still assess credibility on the basis of other senses.</w:t>
      </w:r>
      <w:r>
        <w:rPr>
          <w:position w:val="7"/>
          <w:sz w:val="11"/>
        </w:rPr>
        <w:t>76 </w:t>
      </w:r>
      <w:r>
        <w:rPr>
          <w:sz w:val="20"/>
        </w:rPr>
        <w:t>The Law Institute of Victoria (LIV) noted that ‘there</w:t>
      </w:r>
      <w:r>
        <w:rPr>
          <w:spacing w:val="-11"/>
          <w:sz w:val="20"/>
        </w:rPr>
        <w:t> </w:t>
      </w:r>
      <w:r>
        <w:rPr>
          <w:sz w:val="20"/>
        </w:rPr>
        <w:t>is</w:t>
      </w:r>
      <w:r>
        <w:rPr>
          <w:spacing w:val="-11"/>
          <w:sz w:val="20"/>
        </w:rPr>
        <w:t> </w:t>
      </w:r>
      <w:r>
        <w:rPr>
          <w:sz w:val="20"/>
        </w:rPr>
        <w:t>broad</w:t>
      </w:r>
      <w:r>
        <w:rPr>
          <w:spacing w:val="-11"/>
          <w:sz w:val="20"/>
        </w:rPr>
        <w:t> </w:t>
      </w:r>
      <w:r>
        <w:rPr>
          <w:sz w:val="20"/>
        </w:rPr>
        <w:t>acceptance</w:t>
      </w:r>
      <w:r>
        <w:rPr>
          <w:spacing w:val="-11"/>
          <w:sz w:val="20"/>
        </w:rPr>
        <w:t> </w:t>
      </w:r>
      <w:r>
        <w:rPr>
          <w:sz w:val="20"/>
        </w:rPr>
        <w:t>that</w:t>
      </w:r>
      <w:r>
        <w:rPr>
          <w:spacing w:val="-11"/>
          <w:sz w:val="20"/>
        </w:rPr>
        <w:t> </w:t>
      </w:r>
      <w:r>
        <w:rPr>
          <w:sz w:val="20"/>
        </w:rPr>
        <w:t>a</w:t>
      </w:r>
      <w:r>
        <w:rPr>
          <w:spacing w:val="-10"/>
          <w:sz w:val="20"/>
        </w:rPr>
        <w:t> </w:t>
      </w:r>
      <w:r>
        <w:rPr>
          <w:sz w:val="20"/>
        </w:rPr>
        <w:t>person</w:t>
      </w:r>
      <w:r>
        <w:rPr>
          <w:spacing w:val="-11"/>
          <w:sz w:val="20"/>
        </w:rPr>
        <w:t> </w:t>
      </w:r>
      <w:r>
        <w:rPr>
          <w:sz w:val="20"/>
        </w:rPr>
        <w:t>with</w:t>
      </w:r>
      <w:r>
        <w:rPr>
          <w:spacing w:val="-11"/>
          <w:sz w:val="20"/>
        </w:rPr>
        <w:t> </w:t>
      </w:r>
      <w:r>
        <w:rPr>
          <w:sz w:val="20"/>
        </w:rPr>
        <w:t>vision</w:t>
      </w:r>
      <w:r>
        <w:rPr>
          <w:spacing w:val="-11"/>
          <w:sz w:val="20"/>
        </w:rPr>
        <w:t> </w:t>
      </w:r>
      <w:r>
        <w:rPr>
          <w:sz w:val="20"/>
        </w:rPr>
        <w:t>loss</w:t>
      </w:r>
      <w:r>
        <w:rPr>
          <w:spacing w:val="-11"/>
          <w:sz w:val="20"/>
        </w:rPr>
        <w:t> </w:t>
      </w:r>
      <w:r>
        <w:rPr>
          <w:spacing w:val="-3"/>
          <w:sz w:val="20"/>
        </w:rPr>
        <w:t>would</w:t>
      </w:r>
      <w:r>
        <w:rPr>
          <w:spacing w:val="-10"/>
          <w:sz w:val="20"/>
        </w:rPr>
        <w:t> </w:t>
      </w:r>
      <w:r>
        <w:rPr>
          <w:spacing w:val="-4"/>
          <w:sz w:val="20"/>
        </w:rPr>
        <w:t>have</w:t>
      </w:r>
      <w:r>
        <w:rPr>
          <w:spacing w:val="-11"/>
          <w:sz w:val="20"/>
        </w:rPr>
        <w:t> </w:t>
      </w:r>
      <w:r>
        <w:rPr>
          <w:sz w:val="20"/>
        </w:rPr>
        <w:t>other</w:t>
      </w:r>
      <w:r>
        <w:rPr>
          <w:spacing w:val="-11"/>
          <w:sz w:val="20"/>
        </w:rPr>
        <w:t> </w:t>
      </w:r>
      <w:r>
        <w:rPr>
          <w:sz w:val="20"/>
        </w:rPr>
        <w:t>heightened </w:t>
      </w:r>
      <w:r>
        <w:rPr>
          <w:spacing w:val="-4"/>
          <w:sz w:val="20"/>
        </w:rPr>
        <w:t>senses’.</w:t>
      </w:r>
      <w:r>
        <w:rPr>
          <w:spacing w:val="-4"/>
          <w:position w:val="7"/>
          <w:sz w:val="11"/>
        </w:rPr>
        <w:t>77 </w:t>
      </w:r>
      <w:r>
        <w:rPr>
          <w:sz w:val="20"/>
        </w:rPr>
        <w:t>Similar observations </w:t>
      </w:r>
      <w:r>
        <w:rPr>
          <w:spacing w:val="-4"/>
          <w:sz w:val="20"/>
        </w:rPr>
        <w:t>were </w:t>
      </w:r>
      <w:r>
        <w:rPr>
          <w:sz w:val="20"/>
        </w:rPr>
        <w:t>made </w:t>
      </w:r>
      <w:r>
        <w:rPr>
          <w:spacing w:val="-3"/>
          <w:sz w:val="20"/>
        </w:rPr>
        <w:t>by </w:t>
      </w:r>
      <w:r>
        <w:rPr>
          <w:sz w:val="20"/>
        </w:rPr>
        <w:t>the Victorian Criminal Bar Association consultees.</w:t>
      </w:r>
      <w:r>
        <w:rPr>
          <w:position w:val="7"/>
          <w:sz w:val="11"/>
        </w:rPr>
        <w:t>78</w:t>
      </w:r>
    </w:p>
    <w:p>
      <w:pPr>
        <w:pStyle w:val="BodyText"/>
      </w:pPr>
    </w:p>
    <w:p>
      <w:pPr>
        <w:pStyle w:val="BodyText"/>
      </w:pPr>
    </w:p>
    <w:p>
      <w:pPr>
        <w:pStyle w:val="BodyText"/>
        <w:spacing w:before="7"/>
        <w:rPr>
          <w:sz w:val="28"/>
        </w:rPr>
      </w:pPr>
      <w:r>
        <w:rPr/>
        <w:pict>
          <v:line style="position:absolute;mso-position-horizontal-relative:page;mso-position-vertical-relative:paragraph;z-index:4904;mso-wrap-distance-left:0;mso-wrap-distance-right:0" from="79.370102pt,22.25952pt" to="515.905102pt,22.25952pt" stroked="true" strokeweight="1pt" strokecolor="#b6bdc8">
            <v:stroke dashstyle="solid"/>
            <w10:wrap type="topAndBottom"/>
          </v:line>
        </w:pict>
      </w:r>
    </w:p>
    <w:p>
      <w:pPr>
        <w:pStyle w:val="ListParagraph"/>
        <w:numPr>
          <w:ilvl w:val="0"/>
          <w:numId w:val="63"/>
        </w:numPr>
        <w:tabs>
          <w:tab w:pos="1761" w:val="left" w:leader="none"/>
          <w:tab w:pos="1762" w:val="left" w:leader="none"/>
        </w:tabs>
        <w:spacing w:line="170" w:lineRule="exact" w:before="91" w:after="0"/>
        <w:ind w:left="1761" w:right="0" w:hanging="794"/>
        <w:jc w:val="left"/>
        <w:rPr>
          <w:sz w:val="13"/>
        </w:rPr>
      </w:pPr>
      <w:r>
        <w:rPr>
          <w:sz w:val="13"/>
        </w:rPr>
        <w:t>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 50</w:t>
      </w:r>
      <w:r>
        <w:rPr>
          <w:spacing w:val="7"/>
          <w:sz w:val="13"/>
        </w:rPr>
        <w:t> </w:t>
      </w:r>
      <w:r>
        <w:rPr>
          <w:sz w:val="13"/>
        </w:rPr>
        <w:t>[3.7].</w:t>
      </w:r>
    </w:p>
    <w:p>
      <w:pPr>
        <w:pStyle w:val="ListParagraph"/>
        <w:numPr>
          <w:ilvl w:val="0"/>
          <w:numId w:val="63"/>
        </w:numPr>
        <w:tabs>
          <w:tab w:pos="1761" w:val="left" w:leader="none"/>
          <w:tab w:pos="1762" w:val="left" w:leader="none"/>
        </w:tabs>
        <w:spacing w:line="213" w:lineRule="auto" w:before="6" w:after="0"/>
        <w:ind w:left="1761" w:right="1323" w:hanging="794"/>
        <w:jc w:val="left"/>
        <w:rPr>
          <w:sz w:val="13"/>
        </w:rPr>
      </w:pPr>
      <w:r>
        <w:rPr>
          <w:sz w:val="13"/>
        </w:rPr>
        <w:t>Judicial College of Victoria, ‘5 </w:t>
      </w:r>
      <w:r>
        <w:rPr>
          <w:spacing w:val="2"/>
          <w:sz w:val="13"/>
        </w:rPr>
        <w:t>Assessing </w:t>
      </w:r>
      <w:r>
        <w:rPr>
          <w:sz w:val="13"/>
        </w:rPr>
        <w:t>Credit’, </w:t>
      </w:r>
      <w:r>
        <w:rPr>
          <w:i/>
          <w:sz w:val="13"/>
        </w:rPr>
        <w:t>Serious </w:t>
      </w:r>
      <w:r>
        <w:rPr>
          <w:i/>
          <w:spacing w:val="2"/>
          <w:sz w:val="13"/>
        </w:rPr>
        <w:t>Injury </w:t>
      </w:r>
      <w:r>
        <w:rPr>
          <w:i/>
          <w:sz w:val="13"/>
        </w:rPr>
        <w:t>Manual </w:t>
      </w:r>
      <w:r>
        <w:rPr>
          <w:sz w:val="13"/>
        </w:rPr>
        <w:t>(Online Manual, 2015) </w:t>
      </w:r>
      <w:r>
        <w:rPr>
          <w:spacing w:val="2"/>
          <w:sz w:val="13"/>
        </w:rPr>
        <w:t>[15] </w:t>
      </w:r>
      <w:r>
        <w:rPr>
          <w:sz w:val="13"/>
        </w:rPr>
        <w:t>&lt;</w:t>
      </w:r>
      <w:hyperlink r:id="rId145">
        <w:r>
          <w:rPr>
            <w:sz w:val="13"/>
          </w:rPr>
          <w:t>https://www.judicialcollege.</w:t>
        </w:r>
      </w:hyperlink>
      <w:hyperlink r:id="rId145">
        <w:r>
          <w:rPr>
            <w:sz w:val="13"/>
          </w:rPr>
          <w:t> vic.edu.au/eManuals/SIM/53962.htm</w:t>
        </w:r>
      </w:hyperlink>
      <w:r>
        <w:rPr>
          <w:sz w:val="13"/>
        </w:rPr>
        <w:t>&gt;, citing </w:t>
      </w:r>
      <w:r>
        <w:rPr>
          <w:i/>
          <w:sz w:val="13"/>
        </w:rPr>
        <w:t>Woolworths Ltd v Warfe </w:t>
      </w:r>
      <w:r>
        <w:rPr>
          <w:sz w:val="13"/>
        </w:rPr>
        <w:t>[2013] VSCA 22, </w:t>
      </w:r>
      <w:r>
        <w:rPr>
          <w:spacing w:val="2"/>
          <w:sz w:val="13"/>
        </w:rPr>
        <w:t>[114]; </w:t>
      </w:r>
      <w:r>
        <w:rPr>
          <w:i/>
          <w:sz w:val="13"/>
        </w:rPr>
        <w:t>Markes v Futuris Automotive Interiors </w:t>
      </w:r>
      <w:r>
        <w:rPr>
          <w:sz w:val="13"/>
        </w:rPr>
        <w:t>[2014] VCC </w:t>
      </w:r>
      <w:r>
        <w:rPr>
          <w:spacing w:val="2"/>
          <w:sz w:val="13"/>
        </w:rPr>
        <w:t>1420.</w:t>
      </w:r>
    </w:p>
    <w:p>
      <w:pPr>
        <w:pStyle w:val="ListParagraph"/>
        <w:numPr>
          <w:ilvl w:val="0"/>
          <w:numId w:val="63"/>
        </w:numPr>
        <w:tabs>
          <w:tab w:pos="1760" w:val="left" w:leader="none"/>
          <w:tab w:pos="1762" w:val="left" w:leader="none"/>
        </w:tabs>
        <w:spacing w:line="213" w:lineRule="auto" w:before="0" w:after="0"/>
        <w:ind w:left="1761" w:right="1315" w:hanging="794"/>
        <w:jc w:val="left"/>
        <w:rPr>
          <w:sz w:val="13"/>
        </w:rPr>
      </w:pPr>
      <w:r>
        <w:rPr>
          <w:sz w:val="13"/>
        </w:rPr>
        <w:t>Victorian Law Reform </w:t>
      </w:r>
      <w:r>
        <w:rPr>
          <w:spacing w:val="2"/>
          <w:sz w:val="13"/>
        </w:rPr>
        <w:t>Commission, </w:t>
      </w:r>
      <w:r>
        <w:rPr>
          <w:i/>
          <w:sz w:val="13"/>
        </w:rPr>
        <w:t>Inclusive Juries—Access for People Who Are Deaf, Hard of Hearing, Blind or Have Low Vision </w:t>
      </w:r>
      <w:r>
        <w:rPr>
          <w:sz w:val="13"/>
        </w:rPr>
        <w:t>(Consultation Paper, </w:t>
      </w:r>
      <w:r>
        <w:rPr>
          <w:spacing w:val="2"/>
          <w:sz w:val="13"/>
        </w:rPr>
        <w:t>December </w:t>
      </w:r>
      <w:r>
        <w:rPr>
          <w:sz w:val="13"/>
        </w:rPr>
        <w:t>2020) </w:t>
      </w:r>
      <w:r>
        <w:rPr>
          <w:spacing w:val="2"/>
          <w:sz w:val="13"/>
        </w:rPr>
        <w:t>48–51 [6.14]–[6.29], </w:t>
      </w:r>
      <w:r>
        <w:rPr>
          <w:sz w:val="13"/>
        </w:rPr>
        <w:t>citing </w:t>
      </w:r>
      <w:r>
        <w:rPr>
          <w:i/>
          <w:sz w:val="13"/>
        </w:rPr>
        <w:t>Fox v Percy </w:t>
      </w:r>
      <w:r>
        <w:rPr>
          <w:sz w:val="13"/>
        </w:rPr>
        <w:t>[2003] HCA 22, (2003) </w:t>
      </w:r>
      <w:r>
        <w:rPr>
          <w:spacing w:val="2"/>
          <w:sz w:val="13"/>
        </w:rPr>
        <w:t>214 </w:t>
      </w:r>
      <w:r>
        <w:rPr>
          <w:sz w:val="13"/>
        </w:rPr>
        <w:t>CLR 118, </w:t>
      </w:r>
      <w:r>
        <w:rPr>
          <w:spacing w:val="2"/>
          <w:sz w:val="13"/>
        </w:rPr>
        <w:t>[31]. </w:t>
      </w:r>
      <w:r>
        <w:rPr>
          <w:sz w:val="13"/>
        </w:rPr>
        <w:t>See </w:t>
      </w:r>
      <w:r>
        <w:rPr>
          <w:spacing w:val="2"/>
          <w:sz w:val="13"/>
        </w:rPr>
        <w:t>also </w:t>
      </w:r>
      <w:r>
        <w:rPr>
          <w:sz w:val="13"/>
        </w:rPr>
        <w:t>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 51; </w:t>
      </w:r>
      <w:r>
        <w:rPr>
          <w:i/>
          <w:sz w:val="13"/>
        </w:rPr>
        <w:t>CSR Ltd v Della Maddalena  </w:t>
      </w:r>
      <w:r>
        <w:rPr>
          <w:sz w:val="13"/>
        </w:rPr>
        <w:t>[2006] HCA 1, </w:t>
      </w:r>
      <w:r>
        <w:rPr>
          <w:spacing w:val="2"/>
          <w:sz w:val="13"/>
        </w:rPr>
        <w:t>(2006) 224 </w:t>
      </w:r>
      <w:r>
        <w:rPr>
          <w:sz w:val="13"/>
        </w:rPr>
        <w:t>ALR</w:t>
      </w:r>
      <w:r>
        <w:rPr>
          <w:spacing w:val="-3"/>
          <w:sz w:val="13"/>
        </w:rPr>
        <w:t> </w:t>
      </w:r>
      <w:r>
        <w:rPr>
          <w:spacing w:val="3"/>
          <w:sz w:val="13"/>
        </w:rPr>
        <w:t>1.</w:t>
      </w:r>
    </w:p>
    <w:p>
      <w:pPr>
        <w:pStyle w:val="ListParagraph"/>
        <w:numPr>
          <w:ilvl w:val="0"/>
          <w:numId w:val="63"/>
        </w:numPr>
        <w:tabs>
          <w:tab w:pos="1761" w:val="left" w:leader="none"/>
          <w:tab w:pos="1762" w:val="left" w:leader="none"/>
        </w:tabs>
        <w:spacing w:line="151" w:lineRule="exact" w:before="0" w:after="0"/>
        <w:ind w:left="1761" w:right="0" w:hanging="794"/>
        <w:jc w:val="left"/>
        <w:rPr>
          <w:sz w:val="13"/>
        </w:rPr>
      </w:pPr>
      <w:r>
        <w:rPr>
          <w:sz w:val="13"/>
        </w:rPr>
        <w:t>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 53</w:t>
      </w:r>
      <w:r>
        <w:rPr>
          <w:spacing w:val="7"/>
          <w:sz w:val="13"/>
        </w:rPr>
        <w:t> </w:t>
      </w:r>
      <w:r>
        <w:rPr>
          <w:spacing w:val="2"/>
          <w:sz w:val="13"/>
        </w:rPr>
        <w:t>[3.15].</w:t>
      </w:r>
    </w:p>
    <w:p>
      <w:pPr>
        <w:pStyle w:val="ListParagraph"/>
        <w:numPr>
          <w:ilvl w:val="0"/>
          <w:numId w:val="63"/>
        </w:numPr>
        <w:tabs>
          <w:tab w:pos="1761" w:val="left" w:leader="none"/>
          <w:tab w:pos="1762" w:val="left" w:leader="none"/>
        </w:tabs>
        <w:spacing w:line="213" w:lineRule="auto" w:before="5" w:after="0"/>
        <w:ind w:left="1761" w:right="1229" w:hanging="794"/>
        <w:jc w:val="left"/>
        <w:rPr>
          <w:sz w:val="13"/>
        </w:rPr>
      </w:pPr>
      <w:r>
        <w:rPr>
          <w:sz w:val="13"/>
        </w:rPr>
        <w:t>Judicial College of Victoria, ‘5 </w:t>
      </w:r>
      <w:r>
        <w:rPr>
          <w:spacing w:val="2"/>
          <w:sz w:val="13"/>
        </w:rPr>
        <w:t>Assessing </w:t>
      </w:r>
      <w:r>
        <w:rPr>
          <w:sz w:val="13"/>
        </w:rPr>
        <w:t>Credit’, </w:t>
      </w:r>
      <w:r>
        <w:rPr>
          <w:i/>
          <w:sz w:val="13"/>
        </w:rPr>
        <w:t>Serious </w:t>
      </w:r>
      <w:r>
        <w:rPr>
          <w:i/>
          <w:spacing w:val="2"/>
          <w:sz w:val="13"/>
        </w:rPr>
        <w:t>Injury </w:t>
      </w:r>
      <w:r>
        <w:rPr>
          <w:i/>
          <w:sz w:val="13"/>
        </w:rPr>
        <w:t>Manual </w:t>
      </w:r>
      <w:r>
        <w:rPr>
          <w:sz w:val="13"/>
        </w:rPr>
        <w:t>(Online Manual, 2015) [18] &lt;</w:t>
      </w:r>
      <w:hyperlink r:id="rId145">
        <w:r>
          <w:rPr>
            <w:sz w:val="13"/>
          </w:rPr>
          <w:t>https://www.judicialcollege.vic.</w:t>
        </w:r>
      </w:hyperlink>
      <w:hyperlink r:id="rId145">
        <w:r>
          <w:rPr>
            <w:sz w:val="13"/>
          </w:rPr>
          <w:t> edu.au/eManuals/SIM/53962.htm</w:t>
        </w:r>
      </w:hyperlink>
      <w:r>
        <w:rPr>
          <w:sz w:val="13"/>
        </w:rPr>
        <w:t>&gt;, citing Aldert Vrij, </w:t>
      </w:r>
      <w:r>
        <w:rPr>
          <w:i/>
          <w:sz w:val="13"/>
        </w:rPr>
        <w:t>Detecting Lies and </w:t>
      </w:r>
      <w:r>
        <w:rPr>
          <w:i/>
          <w:spacing w:val="2"/>
          <w:sz w:val="13"/>
        </w:rPr>
        <w:t>Deceit: </w:t>
      </w:r>
      <w:r>
        <w:rPr>
          <w:i/>
          <w:sz w:val="13"/>
        </w:rPr>
        <w:t>Pitfalls and Opportunities </w:t>
      </w:r>
      <w:r>
        <w:rPr>
          <w:sz w:val="13"/>
        </w:rPr>
        <w:t>(John Wiley and Sons, 2008); Paul Ekman and Maureen O’Sullivan, </w:t>
      </w:r>
      <w:r>
        <w:rPr>
          <w:spacing w:val="3"/>
          <w:sz w:val="13"/>
        </w:rPr>
        <w:t>‘Who </w:t>
      </w:r>
      <w:r>
        <w:rPr>
          <w:spacing w:val="2"/>
          <w:sz w:val="13"/>
        </w:rPr>
        <w:t>Can </w:t>
      </w:r>
      <w:r>
        <w:rPr>
          <w:sz w:val="13"/>
        </w:rPr>
        <w:t>Catch a </w:t>
      </w:r>
      <w:r>
        <w:rPr>
          <w:spacing w:val="2"/>
          <w:sz w:val="13"/>
        </w:rPr>
        <w:t>Liar?’ (1991) </w:t>
      </w:r>
      <w:r>
        <w:rPr>
          <w:sz w:val="13"/>
        </w:rPr>
        <w:t>46(9) </w:t>
      </w:r>
      <w:r>
        <w:rPr>
          <w:i/>
          <w:sz w:val="13"/>
        </w:rPr>
        <w:t>American Psychologist </w:t>
      </w:r>
      <w:r>
        <w:rPr>
          <w:spacing w:val="2"/>
          <w:sz w:val="13"/>
        </w:rPr>
        <w:t>913, 913–920; </w:t>
      </w:r>
      <w:r>
        <w:rPr>
          <w:sz w:val="13"/>
        </w:rPr>
        <w:t>Michael </w:t>
      </w:r>
      <w:r>
        <w:rPr>
          <w:spacing w:val="2"/>
          <w:sz w:val="13"/>
        </w:rPr>
        <w:t>Green,</w:t>
      </w:r>
      <w:r>
        <w:rPr>
          <w:spacing w:val="3"/>
          <w:sz w:val="13"/>
        </w:rPr>
        <w:t> </w:t>
      </w:r>
      <w:r>
        <w:rPr>
          <w:sz w:val="13"/>
        </w:rPr>
        <w:t>‘Credibility</w:t>
      </w:r>
      <w:r>
        <w:rPr>
          <w:spacing w:val="4"/>
          <w:sz w:val="13"/>
        </w:rPr>
        <w:t> </w:t>
      </w:r>
      <w:r>
        <w:rPr>
          <w:sz w:val="13"/>
        </w:rPr>
        <w:t>Contests:</w:t>
      </w:r>
      <w:r>
        <w:rPr>
          <w:spacing w:val="3"/>
          <w:sz w:val="13"/>
        </w:rPr>
        <w:t> </w:t>
      </w:r>
      <w:r>
        <w:rPr>
          <w:sz w:val="13"/>
        </w:rPr>
        <w:t>The</w:t>
      </w:r>
      <w:r>
        <w:rPr>
          <w:spacing w:val="4"/>
          <w:sz w:val="13"/>
        </w:rPr>
        <w:t> </w:t>
      </w:r>
      <w:r>
        <w:rPr>
          <w:sz w:val="13"/>
        </w:rPr>
        <w:t>Elephant</w:t>
      </w:r>
      <w:r>
        <w:rPr>
          <w:spacing w:val="3"/>
          <w:sz w:val="13"/>
        </w:rPr>
        <w:t> </w:t>
      </w:r>
      <w:r>
        <w:rPr>
          <w:sz w:val="13"/>
        </w:rPr>
        <w:t>in</w:t>
      </w:r>
      <w:r>
        <w:rPr>
          <w:spacing w:val="4"/>
          <w:sz w:val="13"/>
        </w:rPr>
        <w:t> </w:t>
      </w:r>
      <w:r>
        <w:rPr>
          <w:sz w:val="13"/>
        </w:rPr>
        <w:t>the</w:t>
      </w:r>
      <w:r>
        <w:rPr>
          <w:spacing w:val="3"/>
          <w:sz w:val="13"/>
        </w:rPr>
        <w:t> </w:t>
      </w:r>
      <w:r>
        <w:rPr>
          <w:sz w:val="13"/>
        </w:rPr>
        <w:t>Room’</w:t>
      </w:r>
      <w:r>
        <w:rPr>
          <w:spacing w:val="4"/>
          <w:sz w:val="13"/>
        </w:rPr>
        <w:t> </w:t>
      </w:r>
      <w:r>
        <w:rPr>
          <w:spacing w:val="2"/>
          <w:sz w:val="13"/>
        </w:rPr>
        <w:t>(2014)</w:t>
      </w:r>
      <w:r>
        <w:rPr>
          <w:spacing w:val="3"/>
          <w:sz w:val="13"/>
        </w:rPr>
        <w:t> </w:t>
      </w:r>
      <w:r>
        <w:rPr>
          <w:spacing w:val="2"/>
          <w:sz w:val="13"/>
        </w:rPr>
        <w:t>18(1)</w:t>
      </w:r>
      <w:r>
        <w:rPr>
          <w:spacing w:val="4"/>
          <w:sz w:val="13"/>
        </w:rPr>
        <w:t> </w:t>
      </w:r>
      <w:r>
        <w:rPr>
          <w:i/>
          <w:sz w:val="13"/>
        </w:rPr>
        <w:t>International</w:t>
      </w:r>
      <w:r>
        <w:rPr>
          <w:i/>
          <w:spacing w:val="3"/>
          <w:sz w:val="13"/>
        </w:rPr>
        <w:t> </w:t>
      </w:r>
      <w:r>
        <w:rPr>
          <w:i/>
          <w:sz w:val="13"/>
        </w:rPr>
        <w:t>Journal</w:t>
      </w:r>
      <w:r>
        <w:rPr>
          <w:i/>
          <w:spacing w:val="4"/>
          <w:sz w:val="13"/>
        </w:rPr>
        <w:t> </w:t>
      </w:r>
      <w:r>
        <w:rPr>
          <w:i/>
          <w:sz w:val="13"/>
        </w:rPr>
        <w:t>of</w:t>
      </w:r>
      <w:r>
        <w:rPr>
          <w:i/>
          <w:spacing w:val="2"/>
          <w:sz w:val="13"/>
        </w:rPr>
        <w:t> </w:t>
      </w:r>
      <w:r>
        <w:rPr>
          <w:i/>
          <w:sz w:val="13"/>
        </w:rPr>
        <w:t>Evidence</w:t>
      </w:r>
      <w:r>
        <w:rPr>
          <w:i/>
          <w:spacing w:val="2"/>
          <w:sz w:val="13"/>
        </w:rPr>
        <w:t> </w:t>
      </w:r>
      <w:r>
        <w:rPr>
          <w:i/>
          <w:sz w:val="13"/>
        </w:rPr>
        <w:t>and</w:t>
      </w:r>
      <w:r>
        <w:rPr>
          <w:i/>
          <w:spacing w:val="4"/>
          <w:sz w:val="13"/>
        </w:rPr>
        <w:t> </w:t>
      </w:r>
      <w:r>
        <w:rPr>
          <w:i/>
          <w:sz w:val="13"/>
        </w:rPr>
        <w:t>Proof</w:t>
      </w:r>
      <w:r>
        <w:rPr>
          <w:i/>
          <w:spacing w:val="3"/>
          <w:sz w:val="13"/>
        </w:rPr>
        <w:t> </w:t>
      </w:r>
      <w:r>
        <w:rPr>
          <w:sz w:val="13"/>
        </w:rPr>
        <w:t>28,</w:t>
      </w:r>
      <w:r>
        <w:rPr>
          <w:spacing w:val="4"/>
          <w:sz w:val="13"/>
        </w:rPr>
        <w:t> </w:t>
      </w:r>
      <w:r>
        <w:rPr>
          <w:sz w:val="13"/>
        </w:rPr>
        <w:t>28–40.</w:t>
      </w:r>
    </w:p>
    <w:p>
      <w:pPr>
        <w:pStyle w:val="ListParagraph"/>
        <w:numPr>
          <w:ilvl w:val="0"/>
          <w:numId w:val="63"/>
        </w:numPr>
        <w:tabs>
          <w:tab w:pos="1760" w:val="left" w:leader="none"/>
          <w:tab w:pos="1762" w:val="left" w:leader="none"/>
        </w:tabs>
        <w:spacing w:line="213" w:lineRule="auto" w:before="0" w:after="0"/>
        <w:ind w:left="1761" w:right="1339" w:hanging="794"/>
        <w:jc w:val="left"/>
        <w:rPr>
          <w:sz w:val="13"/>
        </w:rPr>
      </w:pPr>
      <w:r>
        <w:rPr>
          <w:sz w:val="13"/>
        </w:rPr>
        <w:t>Judicial College of Victoria, ‘5 </w:t>
      </w:r>
      <w:r>
        <w:rPr>
          <w:spacing w:val="2"/>
          <w:sz w:val="13"/>
        </w:rPr>
        <w:t>Assessing </w:t>
      </w:r>
      <w:r>
        <w:rPr>
          <w:sz w:val="13"/>
        </w:rPr>
        <w:t>Credit’, </w:t>
      </w:r>
      <w:r>
        <w:rPr>
          <w:i/>
          <w:sz w:val="13"/>
        </w:rPr>
        <w:t>Serious </w:t>
      </w:r>
      <w:r>
        <w:rPr>
          <w:i/>
          <w:spacing w:val="2"/>
          <w:sz w:val="13"/>
        </w:rPr>
        <w:t>Injury </w:t>
      </w:r>
      <w:r>
        <w:rPr>
          <w:i/>
          <w:sz w:val="13"/>
        </w:rPr>
        <w:t>Manual </w:t>
      </w:r>
      <w:r>
        <w:rPr>
          <w:sz w:val="13"/>
        </w:rPr>
        <w:t>(Online Manual, 2015) [19] &lt;</w:t>
      </w:r>
      <w:hyperlink r:id="rId145">
        <w:r>
          <w:rPr>
            <w:sz w:val="13"/>
          </w:rPr>
          <w:t>https://www.judicialcollege.</w:t>
        </w:r>
      </w:hyperlink>
      <w:hyperlink r:id="rId145">
        <w:r>
          <w:rPr>
            <w:sz w:val="13"/>
          </w:rPr>
          <w:t> vic.edu.au/eManuals/SIM/53962.htm</w:t>
        </w:r>
      </w:hyperlink>
      <w:r>
        <w:rPr>
          <w:sz w:val="13"/>
        </w:rPr>
        <w:t>&gt;, citing Steven I Friedland, ‘On Common Sense and the Evaluation of </w:t>
      </w:r>
      <w:r>
        <w:rPr>
          <w:spacing w:val="2"/>
          <w:sz w:val="13"/>
        </w:rPr>
        <w:t>Witness </w:t>
      </w:r>
      <w:r>
        <w:rPr>
          <w:sz w:val="13"/>
        </w:rPr>
        <w:t>Credibility’ (1989) </w:t>
      </w:r>
      <w:r>
        <w:rPr>
          <w:spacing w:val="2"/>
          <w:sz w:val="13"/>
        </w:rPr>
        <w:t>40(1) </w:t>
      </w:r>
      <w:r>
        <w:rPr>
          <w:i/>
          <w:sz w:val="13"/>
        </w:rPr>
        <w:t>Case Western </w:t>
      </w:r>
      <w:r>
        <w:rPr>
          <w:i/>
          <w:spacing w:val="2"/>
          <w:sz w:val="13"/>
        </w:rPr>
        <w:t>Reserve </w:t>
      </w:r>
      <w:r>
        <w:rPr>
          <w:i/>
          <w:sz w:val="13"/>
        </w:rPr>
        <w:t>Law Review </w:t>
      </w:r>
      <w:r>
        <w:rPr>
          <w:sz w:val="13"/>
        </w:rPr>
        <w:t>63; Charles F Bond Jr and </w:t>
      </w:r>
      <w:r>
        <w:rPr>
          <w:spacing w:val="2"/>
          <w:sz w:val="13"/>
        </w:rPr>
        <w:t>Bella </w:t>
      </w:r>
      <w:r>
        <w:rPr>
          <w:sz w:val="13"/>
        </w:rPr>
        <w:t>M DePaulo, ‘Accuracy of Deception Judgments’ </w:t>
      </w:r>
      <w:r>
        <w:rPr>
          <w:spacing w:val="2"/>
          <w:sz w:val="13"/>
        </w:rPr>
        <w:t>(2006) 10(3) </w:t>
      </w:r>
      <w:r>
        <w:rPr>
          <w:i/>
          <w:sz w:val="13"/>
        </w:rPr>
        <w:t>Personality and Social Psychology Review</w:t>
      </w:r>
      <w:r>
        <w:rPr>
          <w:i/>
          <w:spacing w:val="-1"/>
          <w:sz w:val="13"/>
        </w:rPr>
        <w:t> </w:t>
      </w:r>
      <w:r>
        <w:rPr>
          <w:spacing w:val="3"/>
          <w:sz w:val="13"/>
        </w:rPr>
        <w:t>214.</w:t>
      </w:r>
    </w:p>
    <w:p>
      <w:pPr>
        <w:pStyle w:val="ListParagraph"/>
        <w:numPr>
          <w:ilvl w:val="0"/>
          <w:numId w:val="63"/>
        </w:numPr>
        <w:tabs>
          <w:tab w:pos="1760" w:val="left" w:leader="none"/>
          <w:tab w:pos="1762" w:val="left" w:leader="none"/>
        </w:tabs>
        <w:spacing w:line="213" w:lineRule="auto" w:before="0" w:after="0"/>
        <w:ind w:left="1761" w:right="1219" w:hanging="794"/>
        <w:jc w:val="left"/>
        <w:rPr>
          <w:sz w:val="13"/>
        </w:rPr>
      </w:pPr>
      <w:r>
        <w:rPr>
          <w:sz w:val="13"/>
        </w:rPr>
        <w:t>Judicial College of Victoria, ‘5 </w:t>
      </w:r>
      <w:r>
        <w:rPr>
          <w:spacing w:val="2"/>
          <w:sz w:val="13"/>
        </w:rPr>
        <w:t>Assessing </w:t>
      </w:r>
      <w:r>
        <w:rPr>
          <w:sz w:val="13"/>
        </w:rPr>
        <w:t>Credit’, </w:t>
      </w:r>
      <w:r>
        <w:rPr>
          <w:i/>
          <w:sz w:val="13"/>
        </w:rPr>
        <w:t>Serious </w:t>
      </w:r>
      <w:r>
        <w:rPr>
          <w:i/>
          <w:spacing w:val="2"/>
          <w:sz w:val="13"/>
        </w:rPr>
        <w:t>Injury </w:t>
      </w:r>
      <w:r>
        <w:rPr>
          <w:i/>
          <w:sz w:val="13"/>
        </w:rPr>
        <w:t>Manual </w:t>
      </w:r>
      <w:r>
        <w:rPr>
          <w:sz w:val="13"/>
        </w:rPr>
        <w:t>(Online Manual, 2015) [24] &lt;</w:t>
      </w:r>
      <w:hyperlink r:id="rId145">
        <w:r>
          <w:rPr>
            <w:sz w:val="13"/>
          </w:rPr>
          <w:t>https://www.judicialcollege.vic.</w:t>
        </w:r>
      </w:hyperlink>
      <w:hyperlink r:id="rId145">
        <w:r>
          <w:rPr>
            <w:sz w:val="13"/>
          </w:rPr>
          <w:t> edu.au/eManuals/SIM/53962.htm</w:t>
        </w:r>
      </w:hyperlink>
      <w:r>
        <w:rPr>
          <w:sz w:val="13"/>
        </w:rPr>
        <w:t>&gt;.</w:t>
      </w:r>
    </w:p>
    <w:p>
      <w:pPr>
        <w:pStyle w:val="ListParagraph"/>
        <w:numPr>
          <w:ilvl w:val="0"/>
          <w:numId w:val="63"/>
        </w:numPr>
        <w:tabs>
          <w:tab w:pos="1761" w:val="left" w:leader="none"/>
          <w:tab w:pos="1762" w:val="left" w:leader="none"/>
        </w:tabs>
        <w:spacing w:line="152" w:lineRule="exact" w:before="0" w:after="0"/>
        <w:ind w:left="1761" w:right="0" w:hanging="794"/>
        <w:jc w:val="left"/>
        <w:rPr>
          <w:sz w:val="13"/>
        </w:rPr>
      </w:pPr>
      <w:r>
        <w:rPr>
          <w:sz w:val="13"/>
        </w:rPr>
        <w:t>Consultation 1 </w:t>
      </w:r>
      <w:r>
        <w:rPr>
          <w:spacing w:val="2"/>
          <w:sz w:val="13"/>
        </w:rPr>
        <w:t>(Blind </w:t>
      </w:r>
      <w:r>
        <w:rPr>
          <w:sz w:val="13"/>
        </w:rPr>
        <w:t>Citizens</w:t>
      </w:r>
      <w:r>
        <w:rPr>
          <w:spacing w:val="-2"/>
          <w:sz w:val="13"/>
        </w:rPr>
        <w:t> </w:t>
      </w:r>
      <w:r>
        <w:rPr>
          <w:sz w:val="13"/>
        </w:rPr>
        <w:t>Australia).</w:t>
      </w:r>
    </w:p>
    <w:p>
      <w:pPr>
        <w:pStyle w:val="ListParagraph"/>
        <w:numPr>
          <w:ilvl w:val="0"/>
          <w:numId w:val="63"/>
        </w:numPr>
        <w:tabs>
          <w:tab w:pos="1760" w:val="left" w:leader="none"/>
          <w:tab w:pos="1762" w:val="left" w:leader="none"/>
        </w:tabs>
        <w:spacing w:line="160" w:lineRule="exact" w:before="0" w:after="0"/>
        <w:ind w:left="1761" w:right="0" w:hanging="794"/>
        <w:jc w:val="left"/>
        <w:rPr>
          <w:sz w:val="13"/>
        </w:rPr>
      </w:pPr>
      <w:r>
        <w:rPr/>
        <w:pict>
          <v:shape style="position:absolute;margin-left:36pt;margin-top:3.7088pt;width:13.95pt;height:14.1pt;mso-position-horizontal-relative:page;mso-position-vertical-relative:paragraph;z-index:6976" type="#_x0000_t202" filled="false" stroked="false">
            <v:textbox inset="0,0,0,0">
              <w:txbxContent>
                <w:p>
                  <w:pPr>
                    <w:spacing w:line="282" w:lineRule="exact" w:before="0"/>
                    <w:ind w:left="0" w:right="0" w:firstLine="0"/>
                    <w:jc w:val="left"/>
                    <w:rPr>
                      <w:b/>
                      <w:sz w:val="24"/>
                    </w:rPr>
                  </w:pPr>
                  <w:r>
                    <w:rPr>
                      <w:b/>
                      <w:color w:val="37617A"/>
                      <w:spacing w:val="-1"/>
                      <w:sz w:val="24"/>
                    </w:rPr>
                    <w:t>78</w:t>
                  </w:r>
                </w:p>
              </w:txbxContent>
            </v:textbox>
            <w10:wrap type="none"/>
          </v:shape>
        </w:pict>
      </w:r>
      <w:r>
        <w:rPr>
          <w:sz w:val="13"/>
        </w:rPr>
        <w:t>Consultation 2 (Law Institute of</w:t>
      </w:r>
      <w:r>
        <w:rPr>
          <w:spacing w:val="1"/>
          <w:sz w:val="13"/>
        </w:rPr>
        <w:t> </w:t>
      </w:r>
      <w:r>
        <w:rPr>
          <w:sz w:val="13"/>
        </w:rPr>
        <w:t>Victoria).</w:t>
      </w:r>
    </w:p>
    <w:p>
      <w:pPr>
        <w:pStyle w:val="ListParagraph"/>
        <w:numPr>
          <w:ilvl w:val="0"/>
          <w:numId w:val="63"/>
        </w:numPr>
        <w:tabs>
          <w:tab w:pos="1760" w:val="left" w:leader="none"/>
          <w:tab w:pos="1762" w:val="left" w:leader="none"/>
        </w:tabs>
        <w:spacing w:line="170" w:lineRule="exact" w:before="0" w:after="0"/>
        <w:ind w:left="1761" w:right="0" w:hanging="794"/>
        <w:jc w:val="left"/>
        <w:rPr>
          <w:sz w:val="13"/>
        </w:rPr>
      </w:pPr>
      <w:r>
        <w:rPr>
          <w:sz w:val="13"/>
        </w:rPr>
        <w:t>Consultation 4 </w:t>
      </w:r>
      <w:r>
        <w:rPr>
          <w:spacing w:val="2"/>
          <w:sz w:val="13"/>
        </w:rPr>
        <w:t>(Victorian </w:t>
      </w:r>
      <w:r>
        <w:rPr>
          <w:sz w:val="13"/>
        </w:rPr>
        <w:t>Criminal Bar</w:t>
      </w:r>
      <w:r>
        <w:rPr>
          <w:spacing w:val="-1"/>
          <w:sz w:val="13"/>
        </w:rPr>
        <w:t> </w:t>
      </w:r>
      <w:r>
        <w:rPr>
          <w:sz w:val="13"/>
        </w:rPr>
        <w:t>Association).</w:t>
      </w:r>
    </w:p>
    <w:p>
      <w:pPr>
        <w:spacing w:after="0" w:line="170"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59" w:lineRule="exact" w:before="58" w:after="0"/>
        <w:ind w:left="1761" w:right="0" w:hanging="794"/>
        <w:jc w:val="left"/>
        <w:rPr>
          <w:sz w:val="20"/>
        </w:rPr>
      </w:pPr>
      <w:r>
        <w:rPr>
          <w:sz w:val="20"/>
        </w:rPr>
        <w:t>The</w:t>
      </w:r>
      <w:r>
        <w:rPr>
          <w:spacing w:val="-7"/>
          <w:sz w:val="20"/>
        </w:rPr>
        <w:t> </w:t>
      </w:r>
      <w:r>
        <w:rPr>
          <w:sz w:val="20"/>
        </w:rPr>
        <w:t>National</w:t>
      </w:r>
      <w:r>
        <w:rPr>
          <w:spacing w:val="-7"/>
          <w:sz w:val="20"/>
        </w:rPr>
        <w:t> </w:t>
      </w:r>
      <w:r>
        <w:rPr>
          <w:sz w:val="20"/>
        </w:rPr>
        <w:t>Federation</w:t>
      </w:r>
      <w:r>
        <w:rPr>
          <w:spacing w:val="-7"/>
          <w:sz w:val="20"/>
        </w:rPr>
        <w:t> </w:t>
      </w:r>
      <w:r>
        <w:rPr>
          <w:sz w:val="20"/>
        </w:rPr>
        <w:t>of</w:t>
      </w:r>
      <w:r>
        <w:rPr>
          <w:spacing w:val="-7"/>
          <w:sz w:val="20"/>
        </w:rPr>
        <w:t> </w:t>
      </w:r>
      <w:r>
        <w:rPr>
          <w:sz w:val="20"/>
        </w:rPr>
        <w:t>the</w:t>
      </w:r>
      <w:r>
        <w:rPr>
          <w:spacing w:val="-7"/>
          <w:sz w:val="20"/>
        </w:rPr>
        <w:t> </w:t>
      </w:r>
      <w:r>
        <w:rPr>
          <w:sz w:val="20"/>
        </w:rPr>
        <w:t>Blind,</w:t>
      </w:r>
      <w:r>
        <w:rPr>
          <w:spacing w:val="-7"/>
          <w:sz w:val="20"/>
        </w:rPr>
        <w:t> </w:t>
      </w:r>
      <w:r>
        <w:rPr>
          <w:sz w:val="20"/>
        </w:rPr>
        <w:t>United</w:t>
      </w:r>
      <w:r>
        <w:rPr>
          <w:spacing w:val="-7"/>
          <w:sz w:val="20"/>
        </w:rPr>
        <w:t> </w:t>
      </w:r>
      <w:r>
        <w:rPr>
          <w:sz w:val="20"/>
        </w:rPr>
        <w:t>States,</w:t>
      </w:r>
      <w:r>
        <w:rPr>
          <w:spacing w:val="-6"/>
          <w:sz w:val="20"/>
        </w:rPr>
        <w:t> </w:t>
      </w:r>
      <w:r>
        <w:rPr>
          <w:sz w:val="20"/>
        </w:rPr>
        <w:t>cites</w:t>
      </w:r>
      <w:r>
        <w:rPr>
          <w:spacing w:val="-7"/>
          <w:sz w:val="20"/>
        </w:rPr>
        <w:t> </w:t>
      </w:r>
      <w:r>
        <w:rPr>
          <w:sz w:val="20"/>
        </w:rPr>
        <w:t>studies</w:t>
      </w:r>
      <w:r>
        <w:rPr>
          <w:spacing w:val="-7"/>
          <w:sz w:val="20"/>
        </w:rPr>
        <w:t> </w:t>
      </w:r>
      <w:r>
        <w:rPr>
          <w:sz w:val="20"/>
        </w:rPr>
        <w:t>finding</w:t>
      </w:r>
      <w:r>
        <w:rPr>
          <w:spacing w:val="-7"/>
          <w:sz w:val="20"/>
        </w:rPr>
        <w:t> </w:t>
      </w:r>
      <w:r>
        <w:rPr>
          <w:sz w:val="20"/>
        </w:rPr>
        <w:t>that</w:t>
      </w:r>
      <w:r>
        <w:rPr>
          <w:spacing w:val="-7"/>
          <w:sz w:val="20"/>
        </w:rPr>
        <w:t> </w:t>
      </w:r>
      <w:r>
        <w:rPr>
          <w:sz w:val="20"/>
        </w:rPr>
        <w:t>people</w:t>
      </w:r>
    </w:p>
    <w:p>
      <w:pPr>
        <w:pStyle w:val="BodyText"/>
        <w:spacing w:line="259" w:lineRule="exact"/>
        <w:ind w:left="1761"/>
      </w:pPr>
      <w:r>
        <w:rPr/>
        <w:t>who are blind are able to assess credibility evidence by focusing on verbal elements:</w:t>
      </w:r>
    </w:p>
    <w:p>
      <w:pPr>
        <w:spacing w:line="208" w:lineRule="auto" w:before="112"/>
        <w:ind w:left="2157" w:right="1277" w:firstLine="0"/>
        <w:jc w:val="left"/>
        <w:rPr>
          <w:sz w:val="19"/>
        </w:rPr>
      </w:pPr>
      <w:r>
        <w:rPr>
          <w:sz w:val="19"/>
        </w:rPr>
        <w:t>In evaluating testimony, blind jurors can concentrate on verbal testimony while avoiding distractions like a witness’s facial expressions, dress, appearance, and body movements. Even visual cues indicating deception, like nervous tics, darting glances and uneasy shifting, are nearly always accompanied by a corresponding audible cue such as throat-clearing, swallowing, voice quavering, or inaudibility.</w:t>
      </w:r>
    </w:p>
    <w:p>
      <w:pPr>
        <w:spacing w:line="208" w:lineRule="auto" w:before="123"/>
        <w:ind w:left="2157" w:right="1243" w:firstLine="0"/>
        <w:jc w:val="left"/>
        <w:rPr>
          <w:sz w:val="11"/>
        </w:rPr>
      </w:pPr>
      <w:r>
        <w:rPr>
          <w:sz w:val="19"/>
        </w:rPr>
        <w:t>As one blind juror described, ‘I’ve found that I’ve been pretty accurate—probably as, if not more accurate, than people who make eye contact, because people have gotten real good about fooling people on the visual level, but people often don’t think about how they sound when they speak.’ Another blind juror, who served on a murder trial, observed that ‘People can control face muscles … Nobody thinks about the nuances of the human voice’.</w:t>
      </w:r>
      <w:r>
        <w:rPr>
          <w:position w:val="6"/>
          <w:sz w:val="11"/>
        </w:rPr>
        <w:t>79</w:t>
      </w:r>
    </w:p>
    <w:p>
      <w:pPr>
        <w:pStyle w:val="ListParagraph"/>
        <w:numPr>
          <w:ilvl w:val="1"/>
          <w:numId w:val="12"/>
        </w:numPr>
        <w:tabs>
          <w:tab w:pos="1761" w:val="left" w:leader="none"/>
          <w:tab w:pos="1762" w:val="left" w:leader="none"/>
        </w:tabs>
        <w:spacing w:line="206" w:lineRule="auto" w:before="126" w:after="0"/>
        <w:ind w:left="1761" w:right="1452" w:hanging="794"/>
        <w:jc w:val="left"/>
        <w:rPr>
          <w:sz w:val="20"/>
        </w:rPr>
      </w:pPr>
      <w:r>
        <w:rPr>
          <w:sz w:val="20"/>
        </w:rPr>
        <w:t>Deaf</w:t>
      </w:r>
      <w:r>
        <w:rPr>
          <w:spacing w:val="-11"/>
          <w:sz w:val="20"/>
        </w:rPr>
        <w:t> </w:t>
      </w:r>
      <w:r>
        <w:rPr>
          <w:sz w:val="20"/>
        </w:rPr>
        <w:t>Victoria</w:t>
      </w:r>
      <w:r>
        <w:rPr>
          <w:spacing w:val="-10"/>
          <w:sz w:val="20"/>
        </w:rPr>
        <w:t> </w:t>
      </w:r>
      <w:r>
        <w:rPr>
          <w:sz w:val="20"/>
        </w:rPr>
        <w:t>consultation</w:t>
      </w:r>
      <w:r>
        <w:rPr>
          <w:spacing w:val="-10"/>
          <w:sz w:val="20"/>
        </w:rPr>
        <w:t> </w:t>
      </w:r>
      <w:r>
        <w:rPr>
          <w:sz w:val="20"/>
        </w:rPr>
        <w:t>participants</w:t>
      </w:r>
      <w:r>
        <w:rPr>
          <w:spacing w:val="-10"/>
          <w:sz w:val="20"/>
        </w:rPr>
        <w:t> </w:t>
      </w:r>
      <w:r>
        <w:rPr>
          <w:spacing w:val="-3"/>
          <w:sz w:val="20"/>
        </w:rPr>
        <w:t>referred</w:t>
      </w:r>
      <w:r>
        <w:rPr>
          <w:spacing w:val="-10"/>
          <w:sz w:val="20"/>
        </w:rPr>
        <w:t> </w:t>
      </w:r>
      <w:r>
        <w:rPr>
          <w:sz w:val="20"/>
        </w:rPr>
        <w:t>to</w:t>
      </w:r>
      <w:r>
        <w:rPr>
          <w:spacing w:val="-11"/>
          <w:sz w:val="20"/>
        </w:rPr>
        <w:t> </w:t>
      </w:r>
      <w:r>
        <w:rPr>
          <w:sz w:val="20"/>
        </w:rPr>
        <w:t>the</w:t>
      </w:r>
      <w:r>
        <w:rPr>
          <w:spacing w:val="-10"/>
          <w:sz w:val="20"/>
        </w:rPr>
        <w:t> </w:t>
      </w:r>
      <w:r>
        <w:rPr>
          <w:sz w:val="20"/>
        </w:rPr>
        <w:t>range</w:t>
      </w:r>
      <w:r>
        <w:rPr>
          <w:spacing w:val="-10"/>
          <w:sz w:val="20"/>
        </w:rPr>
        <w:t> </w:t>
      </w:r>
      <w:r>
        <w:rPr>
          <w:sz w:val="20"/>
        </w:rPr>
        <w:t>of</w:t>
      </w:r>
      <w:r>
        <w:rPr>
          <w:spacing w:val="-10"/>
          <w:sz w:val="20"/>
        </w:rPr>
        <w:t> </w:t>
      </w:r>
      <w:r>
        <w:rPr>
          <w:sz w:val="20"/>
        </w:rPr>
        <w:t>tools</w:t>
      </w:r>
      <w:r>
        <w:rPr>
          <w:spacing w:val="-10"/>
          <w:sz w:val="20"/>
        </w:rPr>
        <w:t> </w:t>
      </w:r>
      <w:r>
        <w:rPr>
          <w:sz w:val="20"/>
        </w:rPr>
        <w:t>that</w:t>
      </w:r>
      <w:r>
        <w:rPr>
          <w:spacing w:val="-11"/>
          <w:sz w:val="20"/>
        </w:rPr>
        <w:t> </w:t>
      </w:r>
      <w:r>
        <w:rPr>
          <w:sz w:val="20"/>
        </w:rPr>
        <w:t>deaf</w:t>
      </w:r>
      <w:r>
        <w:rPr>
          <w:spacing w:val="-10"/>
          <w:sz w:val="20"/>
        </w:rPr>
        <w:t> </w:t>
      </w:r>
      <w:r>
        <w:rPr>
          <w:sz w:val="20"/>
        </w:rPr>
        <w:t>people use to </w:t>
      </w:r>
      <w:r>
        <w:rPr>
          <w:spacing w:val="-3"/>
          <w:sz w:val="20"/>
        </w:rPr>
        <w:t>make</w:t>
      </w:r>
      <w:r>
        <w:rPr>
          <w:spacing w:val="-13"/>
          <w:sz w:val="20"/>
        </w:rPr>
        <w:t> </w:t>
      </w:r>
      <w:r>
        <w:rPr>
          <w:sz w:val="20"/>
        </w:rPr>
        <w:t>decisions:</w:t>
      </w:r>
    </w:p>
    <w:p>
      <w:pPr>
        <w:spacing w:line="208" w:lineRule="auto" w:before="120"/>
        <w:ind w:left="2157" w:right="1277" w:firstLine="0"/>
        <w:jc w:val="left"/>
        <w:rPr>
          <w:sz w:val="11"/>
        </w:rPr>
      </w:pPr>
      <w:r>
        <w:rPr>
          <w:sz w:val="19"/>
        </w:rPr>
        <w:t>Many people might be surprised about how many jury members rely on non-verbal cues—eg blushing, sweating, shaking of hands etc. There are so many ways to understand and analyse a situation. Deaf people rely on these other cues even more. They are skilled at understanding facial expression and body language in a way that one could argue is superior to those who do not rely so heavily on visual cues.</w:t>
      </w:r>
      <w:r>
        <w:rPr>
          <w:position w:val="6"/>
          <w:sz w:val="11"/>
        </w:rPr>
        <w:t>80</w:t>
      </w:r>
    </w:p>
    <w:p>
      <w:pPr>
        <w:pStyle w:val="Heading6"/>
        <w:spacing w:before="129"/>
        <w:rPr>
          <w:b/>
        </w:rPr>
      </w:pPr>
      <w:r>
        <w:rPr>
          <w:b/>
        </w:rPr>
        <w:t>Assessment of demeanour should not be a barrier to jury service</w:t>
      </w:r>
    </w:p>
    <w:p>
      <w:pPr>
        <w:pStyle w:val="ListParagraph"/>
        <w:numPr>
          <w:ilvl w:val="1"/>
          <w:numId w:val="12"/>
        </w:numPr>
        <w:tabs>
          <w:tab w:pos="1761" w:val="left" w:leader="none"/>
          <w:tab w:pos="1762" w:val="left" w:leader="none"/>
        </w:tabs>
        <w:spacing w:line="240" w:lineRule="auto" w:before="100" w:after="0"/>
        <w:ind w:left="1761" w:right="0" w:hanging="794"/>
        <w:jc w:val="left"/>
        <w:rPr>
          <w:sz w:val="20"/>
        </w:rPr>
      </w:pPr>
      <w:r>
        <w:rPr>
          <w:sz w:val="20"/>
        </w:rPr>
        <w:t>The</w:t>
      </w:r>
      <w:r>
        <w:rPr>
          <w:spacing w:val="-7"/>
          <w:sz w:val="20"/>
        </w:rPr>
        <w:t> </w:t>
      </w:r>
      <w:r>
        <w:rPr>
          <w:sz w:val="20"/>
        </w:rPr>
        <w:t>County</w:t>
      </w:r>
      <w:r>
        <w:rPr>
          <w:spacing w:val="-6"/>
          <w:sz w:val="20"/>
        </w:rPr>
        <w:t> </w:t>
      </w:r>
      <w:r>
        <w:rPr>
          <w:sz w:val="20"/>
        </w:rPr>
        <w:t>Court</w:t>
      </w:r>
      <w:r>
        <w:rPr>
          <w:spacing w:val="-6"/>
          <w:sz w:val="20"/>
        </w:rPr>
        <w:t> </w:t>
      </w:r>
      <w:r>
        <w:rPr>
          <w:sz w:val="20"/>
        </w:rPr>
        <w:t>noted</w:t>
      </w:r>
      <w:r>
        <w:rPr>
          <w:spacing w:val="-6"/>
          <w:sz w:val="20"/>
        </w:rPr>
        <w:t> </w:t>
      </w:r>
      <w:r>
        <w:rPr>
          <w:sz w:val="20"/>
        </w:rPr>
        <w:t>that</w:t>
      </w:r>
      <w:r>
        <w:rPr>
          <w:spacing w:val="-6"/>
          <w:sz w:val="20"/>
        </w:rPr>
        <w:t> </w:t>
      </w:r>
      <w:r>
        <w:rPr>
          <w:sz w:val="20"/>
        </w:rPr>
        <w:t>while</w:t>
      </w:r>
      <w:r>
        <w:rPr>
          <w:spacing w:val="-6"/>
          <w:sz w:val="20"/>
        </w:rPr>
        <w:t> </w:t>
      </w:r>
      <w:r>
        <w:rPr>
          <w:sz w:val="20"/>
        </w:rPr>
        <w:t>the</w:t>
      </w:r>
      <w:r>
        <w:rPr>
          <w:spacing w:val="-6"/>
          <w:sz w:val="20"/>
        </w:rPr>
        <w:t> </w:t>
      </w:r>
      <w:r>
        <w:rPr>
          <w:sz w:val="20"/>
        </w:rPr>
        <w:t>assessment</w:t>
      </w:r>
      <w:r>
        <w:rPr>
          <w:spacing w:val="-6"/>
          <w:sz w:val="20"/>
        </w:rPr>
        <w:t> </w:t>
      </w:r>
      <w:r>
        <w:rPr>
          <w:sz w:val="20"/>
        </w:rPr>
        <w:t>of</w:t>
      </w:r>
      <w:r>
        <w:rPr>
          <w:spacing w:val="-6"/>
          <w:sz w:val="20"/>
        </w:rPr>
        <w:t> </w:t>
      </w:r>
      <w:r>
        <w:rPr>
          <w:sz w:val="20"/>
        </w:rPr>
        <w:t>witness</w:t>
      </w:r>
      <w:r>
        <w:rPr>
          <w:spacing w:val="-6"/>
          <w:sz w:val="20"/>
        </w:rPr>
        <w:t> </w:t>
      </w:r>
      <w:r>
        <w:rPr>
          <w:sz w:val="20"/>
        </w:rPr>
        <w:t>demeanour</w:t>
      </w:r>
      <w:r>
        <w:rPr>
          <w:spacing w:val="-7"/>
          <w:sz w:val="20"/>
        </w:rPr>
        <w:t> </w:t>
      </w:r>
      <w:r>
        <w:rPr>
          <w:sz w:val="20"/>
        </w:rPr>
        <w:t>is</w:t>
      </w:r>
      <w:r>
        <w:rPr>
          <w:spacing w:val="-6"/>
          <w:sz w:val="20"/>
        </w:rPr>
        <w:t> </w:t>
      </w:r>
      <w:r>
        <w:rPr>
          <w:sz w:val="20"/>
        </w:rPr>
        <w:t>important:</w:t>
      </w:r>
    </w:p>
    <w:p>
      <w:pPr>
        <w:spacing w:line="208" w:lineRule="auto" w:before="112"/>
        <w:ind w:left="2157" w:right="1207" w:firstLine="0"/>
        <w:jc w:val="left"/>
        <w:rPr>
          <w:sz w:val="11"/>
        </w:rPr>
      </w:pPr>
      <w:r>
        <w:rPr>
          <w:sz w:val="19"/>
        </w:rPr>
        <w:t>judges provide a direction to jurors to the effect that witnesses behave and come across in different ways for a variety of reasons not everyone will comprehend—they come from all walks of life and there are too many variables to accurately assess the demeanour of a witness in the witness box. The Court does not see the assessment of demeanour as a potential barrier to participation.</w:t>
      </w:r>
      <w:r>
        <w:rPr>
          <w:position w:val="6"/>
          <w:sz w:val="11"/>
        </w:rPr>
        <w:t>81</w:t>
      </w:r>
    </w:p>
    <w:p>
      <w:pPr>
        <w:pStyle w:val="ListParagraph"/>
        <w:numPr>
          <w:ilvl w:val="1"/>
          <w:numId w:val="12"/>
        </w:numPr>
        <w:tabs>
          <w:tab w:pos="1761" w:val="left" w:leader="none"/>
          <w:tab w:pos="1762" w:val="left" w:leader="none"/>
        </w:tabs>
        <w:spacing w:line="206" w:lineRule="auto" w:before="125" w:after="0"/>
        <w:ind w:left="1761" w:right="1273" w:hanging="794"/>
        <w:jc w:val="left"/>
        <w:rPr>
          <w:sz w:val="11"/>
        </w:rPr>
      </w:pPr>
      <w:r>
        <w:rPr>
          <w:spacing w:val="-3"/>
          <w:sz w:val="20"/>
        </w:rPr>
        <w:t>Similarly, </w:t>
      </w:r>
      <w:r>
        <w:rPr>
          <w:sz w:val="20"/>
        </w:rPr>
        <w:t>the OPP did not think that the ability to assess certain types of demeanour evidence</w:t>
      </w:r>
      <w:r>
        <w:rPr>
          <w:spacing w:val="-14"/>
          <w:sz w:val="20"/>
        </w:rPr>
        <w:t> </w:t>
      </w:r>
      <w:r>
        <w:rPr>
          <w:sz w:val="20"/>
        </w:rPr>
        <w:t>should</w:t>
      </w:r>
      <w:r>
        <w:rPr>
          <w:spacing w:val="-13"/>
          <w:sz w:val="20"/>
        </w:rPr>
        <w:t> </w:t>
      </w:r>
      <w:r>
        <w:rPr>
          <w:sz w:val="20"/>
        </w:rPr>
        <w:t>be</w:t>
      </w:r>
      <w:r>
        <w:rPr>
          <w:spacing w:val="-14"/>
          <w:sz w:val="20"/>
        </w:rPr>
        <w:t> </w:t>
      </w:r>
      <w:r>
        <w:rPr>
          <w:sz w:val="20"/>
        </w:rPr>
        <w:t>a</w:t>
      </w:r>
      <w:r>
        <w:rPr>
          <w:spacing w:val="-13"/>
          <w:sz w:val="20"/>
        </w:rPr>
        <w:t> </w:t>
      </w:r>
      <w:r>
        <w:rPr>
          <w:sz w:val="20"/>
        </w:rPr>
        <w:t>precluding</w:t>
      </w:r>
      <w:r>
        <w:rPr>
          <w:spacing w:val="-13"/>
          <w:sz w:val="20"/>
        </w:rPr>
        <w:t> </w:t>
      </w:r>
      <w:r>
        <w:rPr>
          <w:spacing w:val="-3"/>
          <w:sz w:val="20"/>
        </w:rPr>
        <w:t>factor.</w:t>
      </w:r>
      <w:r>
        <w:rPr>
          <w:spacing w:val="-3"/>
          <w:position w:val="7"/>
          <w:sz w:val="11"/>
        </w:rPr>
        <w:t>82</w:t>
      </w:r>
      <w:r>
        <w:rPr>
          <w:spacing w:val="11"/>
          <w:position w:val="7"/>
          <w:sz w:val="11"/>
        </w:rPr>
        <w:t> </w:t>
      </w:r>
      <w:r>
        <w:rPr>
          <w:sz w:val="20"/>
        </w:rPr>
        <w:t>Victorian</w:t>
      </w:r>
      <w:r>
        <w:rPr>
          <w:spacing w:val="-13"/>
          <w:sz w:val="20"/>
        </w:rPr>
        <w:t> </w:t>
      </w:r>
      <w:r>
        <w:rPr>
          <w:sz w:val="20"/>
        </w:rPr>
        <w:t>Criminal</w:t>
      </w:r>
      <w:r>
        <w:rPr>
          <w:spacing w:val="-14"/>
          <w:sz w:val="20"/>
        </w:rPr>
        <w:t> </w:t>
      </w:r>
      <w:r>
        <w:rPr>
          <w:sz w:val="20"/>
        </w:rPr>
        <w:t>Bar</w:t>
      </w:r>
      <w:r>
        <w:rPr>
          <w:spacing w:val="-13"/>
          <w:sz w:val="20"/>
        </w:rPr>
        <w:t> </w:t>
      </w:r>
      <w:r>
        <w:rPr>
          <w:sz w:val="20"/>
        </w:rPr>
        <w:t>Association</w:t>
      </w:r>
      <w:r>
        <w:rPr>
          <w:spacing w:val="-13"/>
          <w:sz w:val="20"/>
        </w:rPr>
        <w:t> </w:t>
      </w:r>
      <w:r>
        <w:rPr>
          <w:sz w:val="20"/>
        </w:rPr>
        <w:t>consultees observed: </w:t>
      </w:r>
      <w:r>
        <w:rPr>
          <w:spacing w:val="-3"/>
          <w:sz w:val="20"/>
        </w:rPr>
        <w:t>‘We </w:t>
      </w:r>
      <w:r>
        <w:rPr>
          <w:spacing w:val="-4"/>
          <w:sz w:val="20"/>
        </w:rPr>
        <w:t>have low </w:t>
      </w:r>
      <w:r>
        <w:rPr>
          <w:sz w:val="20"/>
        </w:rPr>
        <w:t>expectations of people with disabilities. </w:t>
      </w:r>
      <w:r>
        <w:rPr>
          <w:spacing w:val="-6"/>
          <w:sz w:val="20"/>
        </w:rPr>
        <w:t>We </w:t>
      </w:r>
      <w:r>
        <w:rPr>
          <w:sz w:val="20"/>
        </w:rPr>
        <w:t>need to expect that</w:t>
      </w:r>
      <w:r>
        <w:rPr>
          <w:spacing w:val="-6"/>
          <w:sz w:val="20"/>
        </w:rPr>
        <w:t> </w:t>
      </w:r>
      <w:r>
        <w:rPr>
          <w:sz w:val="20"/>
        </w:rPr>
        <w:t>people</w:t>
      </w:r>
      <w:r>
        <w:rPr>
          <w:spacing w:val="-6"/>
          <w:sz w:val="20"/>
        </w:rPr>
        <w:t> </w:t>
      </w:r>
      <w:r>
        <w:rPr>
          <w:sz w:val="20"/>
        </w:rPr>
        <w:t>with</w:t>
      </w:r>
      <w:r>
        <w:rPr>
          <w:spacing w:val="-6"/>
          <w:sz w:val="20"/>
        </w:rPr>
        <w:t> </w:t>
      </w:r>
      <w:r>
        <w:rPr>
          <w:sz w:val="20"/>
        </w:rPr>
        <w:t>disabilities</w:t>
      </w:r>
      <w:r>
        <w:rPr>
          <w:spacing w:val="-5"/>
          <w:sz w:val="20"/>
        </w:rPr>
        <w:t> </w:t>
      </w:r>
      <w:r>
        <w:rPr>
          <w:sz w:val="20"/>
        </w:rPr>
        <w:t>will</w:t>
      </w:r>
      <w:r>
        <w:rPr>
          <w:spacing w:val="-6"/>
          <w:sz w:val="20"/>
        </w:rPr>
        <w:t> </w:t>
      </w:r>
      <w:r>
        <w:rPr>
          <w:sz w:val="20"/>
        </w:rPr>
        <w:t>bring</w:t>
      </w:r>
      <w:r>
        <w:rPr>
          <w:spacing w:val="-6"/>
          <w:sz w:val="20"/>
        </w:rPr>
        <w:t> </w:t>
      </w:r>
      <w:r>
        <w:rPr>
          <w:sz w:val="20"/>
        </w:rPr>
        <w:t>their</w:t>
      </w:r>
      <w:r>
        <w:rPr>
          <w:spacing w:val="-5"/>
          <w:sz w:val="20"/>
        </w:rPr>
        <w:t> </w:t>
      </w:r>
      <w:r>
        <w:rPr>
          <w:spacing w:val="-3"/>
          <w:sz w:val="20"/>
        </w:rPr>
        <w:t>everyday</w:t>
      </w:r>
      <w:r>
        <w:rPr>
          <w:spacing w:val="-6"/>
          <w:sz w:val="20"/>
        </w:rPr>
        <w:t> </w:t>
      </w:r>
      <w:r>
        <w:rPr>
          <w:sz w:val="20"/>
        </w:rPr>
        <w:t>skills</w:t>
      </w:r>
      <w:r>
        <w:rPr>
          <w:spacing w:val="-6"/>
          <w:sz w:val="20"/>
        </w:rPr>
        <w:t> </w:t>
      </w:r>
      <w:r>
        <w:rPr>
          <w:sz w:val="20"/>
        </w:rPr>
        <w:t>to</w:t>
      </w:r>
      <w:r>
        <w:rPr>
          <w:spacing w:val="-5"/>
          <w:sz w:val="20"/>
        </w:rPr>
        <w:t> </w:t>
      </w:r>
      <w:r>
        <w:rPr>
          <w:sz w:val="20"/>
        </w:rPr>
        <w:t>the</w:t>
      </w:r>
      <w:r>
        <w:rPr>
          <w:spacing w:val="-6"/>
          <w:sz w:val="20"/>
        </w:rPr>
        <w:t> </w:t>
      </w:r>
      <w:r>
        <w:rPr>
          <w:sz w:val="20"/>
        </w:rPr>
        <w:t>task’.</w:t>
      </w:r>
      <w:r>
        <w:rPr>
          <w:position w:val="7"/>
          <w:sz w:val="11"/>
        </w:rPr>
        <w:t>83</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z w:val="20"/>
        </w:rPr>
        <w:t>On this issue, the NSWLRC concluded</w:t>
      </w:r>
      <w:r>
        <w:rPr>
          <w:spacing w:val="-27"/>
          <w:sz w:val="20"/>
        </w:rPr>
        <w:t> </w:t>
      </w:r>
      <w:r>
        <w:rPr>
          <w:sz w:val="20"/>
        </w:rPr>
        <w:t>that:</w:t>
      </w:r>
    </w:p>
    <w:p>
      <w:pPr>
        <w:spacing w:line="247" w:lineRule="exact" w:before="84"/>
        <w:ind w:left="2157" w:right="0" w:firstLine="0"/>
        <w:jc w:val="left"/>
        <w:rPr>
          <w:sz w:val="19"/>
        </w:rPr>
      </w:pPr>
      <w:r>
        <w:rPr>
          <w:sz w:val="19"/>
        </w:rPr>
        <w:t>The argument that an inability to observe demeanour should disqualify a blind</w:t>
      </w:r>
    </w:p>
    <w:p>
      <w:pPr>
        <w:spacing w:line="208" w:lineRule="auto" w:before="12"/>
        <w:ind w:left="2157" w:right="1277" w:firstLine="0"/>
        <w:jc w:val="left"/>
        <w:rPr>
          <w:sz w:val="19"/>
        </w:rPr>
      </w:pPr>
      <w:r>
        <w:rPr>
          <w:sz w:val="19"/>
        </w:rPr>
        <w:t>or deaf person from jury service contains at least three assumptions; first, that demeanour always conveys information that aids in the interpretation of what has been consciously communicated; secondly, that the witness to another’s demeanour can interpret it accurately; and thirdly, that blind and deaf jurors are deprived of the opportunity of detecting demeanour …</w:t>
      </w:r>
    </w:p>
    <w:p>
      <w:pPr>
        <w:spacing w:line="208" w:lineRule="auto" w:before="123"/>
        <w:ind w:left="2157" w:right="1335" w:firstLine="0"/>
        <w:jc w:val="left"/>
        <w:rPr>
          <w:sz w:val="11"/>
        </w:rPr>
      </w:pPr>
      <w:r>
        <w:rPr>
          <w:sz w:val="19"/>
        </w:rPr>
        <w:t>While it can be important, the value of observable demeanour evidence, according to a substantial body of research, appears to have been overstated and, as such, accorded too much value as a tool for judging credibility … Consequently, it is an inappropriate determinant in the issue of eligibility for jury service.</w:t>
      </w:r>
      <w:r>
        <w:rPr>
          <w:position w:val="6"/>
          <w:sz w:val="11"/>
        </w:rPr>
        <w:t>84</w:t>
      </w:r>
    </w:p>
    <w:p>
      <w:pPr>
        <w:pStyle w:val="ListParagraph"/>
        <w:numPr>
          <w:ilvl w:val="1"/>
          <w:numId w:val="12"/>
        </w:numPr>
        <w:tabs>
          <w:tab w:pos="1761" w:val="left" w:leader="none"/>
          <w:tab w:pos="1762" w:val="left" w:leader="none"/>
        </w:tabs>
        <w:spacing w:line="206" w:lineRule="auto" w:before="124" w:after="0"/>
        <w:ind w:left="1761" w:right="1275" w:hanging="794"/>
        <w:jc w:val="left"/>
        <w:rPr>
          <w:sz w:val="20"/>
        </w:rPr>
      </w:pPr>
      <w:r>
        <w:rPr>
          <w:sz w:val="20"/>
        </w:rPr>
        <w:t>It is the Commission’s view that all jurors use different processes to </w:t>
      </w:r>
      <w:r>
        <w:rPr>
          <w:spacing w:val="-3"/>
          <w:sz w:val="20"/>
        </w:rPr>
        <w:t>make </w:t>
      </w:r>
      <w:r>
        <w:rPr>
          <w:sz w:val="20"/>
        </w:rPr>
        <w:t>decisions in a jury trial. In </w:t>
      </w:r>
      <w:r>
        <w:rPr>
          <w:spacing w:val="-3"/>
          <w:sz w:val="20"/>
        </w:rPr>
        <w:t>any </w:t>
      </w:r>
      <w:r>
        <w:rPr>
          <w:sz w:val="20"/>
        </w:rPr>
        <w:t>given trial some jurors </w:t>
      </w:r>
      <w:r>
        <w:rPr>
          <w:spacing w:val="-3"/>
          <w:sz w:val="20"/>
        </w:rPr>
        <w:t>may </w:t>
      </w:r>
      <w:r>
        <w:rPr>
          <w:spacing w:val="-4"/>
          <w:sz w:val="20"/>
        </w:rPr>
        <w:t>rely </w:t>
      </w:r>
      <w:r>
        <w:rPr>
          <w:spacing w:val="-3"/>
          <w:sz w:val="20"/>
        </w:rPr>
        <w:t>heavily </w:t>
      </w:r>
      <w:r>
        <w:rPr>
          <w:sz w:val="20"/>
        </w:rPr>
        <w:t>on demeanour evidence but others</w:t>
      </w:r>
      <w:r>
        <w:rPr>
          <w:spacing w:val="-11"/>
          <w:sz w:val="20"/>
        </w:rPr>
        <w:t> </w:t>
      </w:r>
      <w:r>
        <w:rPr>
          <w:spacing w:val="-3"/>
          <w:sz w:val="20"/>
        </w:rPr>
        <w:t>may</w:t>
      </w:r>
      <w:r>
        <w:rPr>
          <w:spacing w:val="-10"/>
          <w:sz w:val="20"/>
        </w:rPr>
        <w:t> </w:t>
      </w:r>
      <w:r>
        <w:rPr>
          <w:sz w:val="20"/>
        </w:rPr>
        <w:t>put</w:t>
      </w:r>
      <w:r>
        <w:rPr>
          <w:spacing w:val="-11"/>
          <w:sz w:val="20"/>
        </w:rPr>
        <w:t> </w:t>
      </w:r>
      <w:r>
        <w:rPr>
          <w:sz w:val="20"/>
        </w:rPr>
        <w:t>more</w:t>
      </w:r>
      <w:r>
        <w:rPr>
          <w:spacing w:val="-10"/>
          <w:sz w:val="20"/>
        </w:rPr>
        <w:t> </w:t>
      </w:r>
      <w:r>
        <w:rPr>
          <w:sz w:val="20"/>
        </w:rPr>
        <w:t>weight</w:t>
      </w:r>
      <w:r>
        <w:rPr>
          <w:spacing w:val="-11"/>
          <w:sz w:val="20"/>
        </w:rPr>
        <w:t> </w:t>
      </w:r>
      <w:r>
        <w:rPr>
          <w:sz w:val="20"/>
        </w:rPr>
        <w:t>on</w:t>
      </w:r>
      <w:r>
        <w:rPr>
          <w:spacing w:val="-10"/>
          <w:sz w:val="20"/>
        </w:rPr>
        <w:t> </w:t>
      </w:r>
      <w:r>
        <w:rPr>
          <w:spacing w:val="-3"/>
          <w:sz w:val="20"/>
        </w:rPr>
        <w:t>factual</w:t>
      </w:r>
      <w:r>
        <w:rPr>
          <w:spacing w:val="-11"/>
          <w:sz w:val="20"/>
        </w:rPr>
        <w:t> </w:t>
      </w:r>
      <w:r>
        <w:rPr>
          <w:sz w:val="20"/>
        </w:rPr>
        <w:t>evidence.</w:t>
      </w:r>
      <w:r>
        <w:rPr>
          <w:spacing w:val="-10"/>
          <w:sz w:val="20"/>
        </w:rPr>
        <w:t> </w:t>
      </w:r>
      <w:r>
        <w:rPr>
          <w:sz w:val="20"/>
        </w:rPr>
        <w:t>In</w:t>
      </w:r>
      <w:r>
        <w:rPr>
          <w:spacing w:val="-10"/>
          <w:sz w:val="20"/>
        </w:rPr>
        <w:t> </w:t>
      </w:r>
      <w:r>
        <w:rPr>
          <w:sz w:val="20"/>
        </w:rPr>
        <w:t>this</w:t>
      </w:r>
      <w:r>
        <w:rPr>
          <w:spacing w:val="-11"/>
          <w:sz w:val="20"/>
        </w:rPr>
        <w:t> </w:t>
      </w:r>
      <w:r>
        <w:rPr>
          <w:sz w:val="20"/>
        </w:rPr>
        <w:t>context,</w:t>
      </w:r>
      <w:r>
        <w:rPr>
          <w:spacing w:val="-10"/>
          <w:sz w:val="20"/>
        </w:rPr>
        <w:t> </w:t>
      </w:r>
      <w:r>
        <w:rPr>
          <w:sz w:val="20"/>
        </w:rPr>
        <w:t>the</w:t>
      </w:r>
      <w:r>
        <w:rPr>
          <w:spacing w:val="-11"/>
          <w:sz w:val="20"/>
        </w:rPr>
        <w:t> </w:t>
      </w:r>
      <w:r>
        <w:rPr>
          <w:sz w:val="20"/>
        </w:rPr>
        <w:t>inclusion</w:t>
      </w:r>
      <w:r>
        <w:rPr>
          <w:spacing w:val="-10"/>
          <w:sz w:val="20"/>
        </w:rPr>
        <w:t> </w:t>
      </w:r>
      <w:r>
        <w:rPr>
          <w:sz w:val="20"/>
        </w:rPr>
        <w:t>of</w:t>
      </w:r>
      <w:r>
        <w:rPr>
          <w:spacing w:val="-11"/>
          <w:sz w:val="20"/>
        </w:rPr>
        <w:t> </w:t>
      </w:r>
      <w:r>
        <w:rPr>
          <w:sz w:val="20"/>
        </w:rPr>
        <w:t>jurors </w:t>
      </w:r>
      <w:r>
        <w:rPr>
          <w:spacing w:val="-3"/>
          <w:sz w:val="20"/>
        </w:rPr>
        <w:t>from</w:t>
      </w:r>
      <w:r>
        <w:rPr>
          <w:spacing w:val="-7"/>
          <w:sz w:val="20"/>
        </w:rPr>
        <w:t> </w:t>
      </w:r>
      <w:r>
        <w:rPr>
          <w:sz w:val="20"/>
        </w:rPr>
        <w:t>the</w:t>
      </w:r>
      <w:r>
        <w:rPr>
          <w:spacing w:val="-7"/>
          <w:sz w:val="20"/>
        </w:rPr>
        <w:t> </w:t>
      </w:r>
      <w:r>
        <w:rPr>
          <w:sz w:val="20"/>
        </w:rPr>
        <w:t>subject</w:t>
      </w:r>
      <w:r>
        <w:rPr>
          <w:spacing w:val="-6"/>
          <w:sz w:val="20"/>
        </w:rPr>
        <w:t> </w:t>
      </w:r>
      <w:r>
        <w:rPr>
          <w:sz w:val="20"/>
        </w:rPr>
        <w:t>groups</w:t>
      </w:r>
      <w:r>
        <w:rPr>
          <w:spacing w:val="-7"/>
          <w:sz w:val="20"/>
        </w:rPr>
        <w:t> </w:t>
      </w:r>
      <w:r>
        <w:rPr>
          <w:sz w:val="20"/>
        </w:rPr>
        <w:t>is</w:t>
      </w:r>
      <w:r>
        <w:rPr>
          <w:spacing w:val="-7"/>
          <w:sz w:val="20"/>
        </w:rPr>
        <w:t> </w:t>
      </w:r>
      <w:r>
        <w:rPr>
          <w:spacing w:val="-3"/>
          <w:sz w:val="20"/>
        </w:rPr>
        <w:t>unremarkable.</w:t>
      </w:r>
      <w:r>
        <w:rPr>
          <w:spacing w:val="-6"/>
          <w:sz w:val="20"/>
        </w:rPr>
        <w:t> </w:t>
      </w:r>
      <w:r>
        <w:rPr>
          <w:sz w:val="20"/>
        </w:rPr>
        <w:t>The</w:t>
      </w:r>
      <w:r>
        <w:rPr>
          <w:spacing w:val="-7"/>
          <w:sz w:val="20"/>
        </w:rPr>
        <w:t> </w:t>
      </w:r>
      <w:r>
        <w:rPr>
          <w:sz w:val="20"/>
        </w:rPr>
        <w:t>unanimous</w:t>
      </w:r>
      <w:r>
        <w:rPr>
          <w:spacing w:val="-6"/>
          <w:sz w:val="20"/>
        </w:rPr>
        <w:t> </w:t>
      </w:r>
      <w:r>
        <w:rPr>
          <w:spacing w:val="-3"/>
          <w:sz w:val="20"/>
        </w:rPr>
        <w:t>verdict</w:t>
      </w:r>
      <w:r>
        <w:rPr>
          <w:spacing w:val="-7"/>
          <w:sz w:val="20"/>
        </w:rPr>
        <w:t> </w:t>
      </w:r>
      <w:r>
        <w:rPr>
          <w:sz w:val="20"/>
        </w:rPr>
        <w:t>of</w:t>
      </w:r>
      <w:r>
        <w:rPr>
          <w:spacing w:val="-7"/>
          <w:sz w:val="20"/>
        </w:rPr>
        <w:t> </w:t>
      </w:r>
      <w:r>
        <w:rPr>
          <w:sz w:val="20"/>
        </w:rPr>
        <w:t>a</w:t>
      </w:r>
      <w:r>
        <w:rPr>
          <w:spacing w:val="-6"/>
          <w:sz w:val="20"/>
        </w:rPr>
        <w:t> </w:t>
      </w:r>
      <w:r>
        <w:rPr>
          <w:sz w:val="20"/>
        </w:rPr>
        <w:t>jury</w:t>
      </w:r>
      <w:r>
        <w:rPr>
          <w:spacing w:val="-7"/>
          <w:sz w:val="20"/>
        </w:rPr>
        <w:t> </w:t>
      </w:r>
      <w:r>
        <w:rPr>
          <w:sz w:val="20"/>
        </w:rPr>
        <w:t>is</w:t>
      </w:r>
      <w:r>
        <w:rPr>
          <w:spacing w:val="-7"/>
          <w:sz w:val="20"/>
        </w:rPr>
        <w:t> </w:t>
      </w:r>
      <w:r>
        <w:rPr>
          <w:sz w:val="20"/>
        </w:rPr>
        <w:t>about</w:t>
      </w:r>
      <w:r>
        <w:rPr>
          <w:spacing w:val="-6"/>
          <w:sz w:val="20"/>
        </w:rPr>
        <w:t> </w:t>
      </w:r>
      <w:r>
        <w:rPr>
          <w:sz w:val="20"/>
        </w:rPr>
        <w:t>their collective</w:t>
      </w:r>
      <w:r>
        <w:rPr>
          <w:spacing w:val="-9"/>
          <w:sz w:val="20"/>
        </w:rPr>
        <w:t> </w:t>
      </w:r>
      <w:r>
        <w:rPr>
          <w:sz w:val="20"/>
        </w:rPr>
        <w:t>conclusion.</w:t>
      </w:r>
      <w:r>
        <w:rPr>
          <w:spacing w:val="-8"/>
          <w:sz w:val="20"/>
        </w:rPr>
        <w:t> </w:t>
      </w:r>
      <w:r>
        <w:rPr>
          <w:sz w:val="20"/>
        </w:rPr>
        <w:t>It</w:t>
      </w:r>
      <w:r>
        <w:rPr>
          <w:spacing w:val="-8"/>
          <w:sz w:val="20"/>
        </w:rPr>
        <w:t> </w:t>
      </w:r>
      <w:r>
        <w:rPr>
          <w:sz w:val="20"/>
        </w:rPr>
        <w:t>is</w:t>
      </w:r>
      <w:r>
        <w:rPr>
          <w:spacing w:val="-8"/>
          <w:sz w:val="20"/>
        </w:rPr>
        <w:t> </w:t>
      </w:r>
      <w:r>
        <w:rPr>
          <w:spacing w:val="-3"/>
          <w:sz w:val="20"/>
        </w:rPr>
        <w:t>irrelevant</w:t>
      </w:r>
      <w:r>
        <w:rPr>
          <w:spacing w:val="-8"/>
          <w:sz w:val="20"/>
        </w:rPr>
        <w:t> </w:t>
      </w:r>
      <w:r>
        <w:rPr>
          <w:spacing w:val="-3"/>
          <w:sz w:val="20"/>
        </w:rPr>
        <w:t>how</w:t>
      </w:r>
      <w:r>
        <w:rPr>
          <w:spacing w:val="-8"/>
          <w:sz w:val="20"/>
        </w:rPr>
        <w:t> </w:t>
      </w:r>
      <w:r>
        <w:rPr>
          <w:sz w:val="20"/>
        </w:rPr>
        <w:t>each</w:t>
      </w:r>
      <w:r>
        <w:rPr>
          <w:spacing w:val="-9"/>
          <w:sz w:val="20"/>
        </w:rPr>
        <w:t> </w:t>
      </w:r>
      <w:r>
        <w:rPr>
          <w:sz w:val="20"/>
        </w:rPr>
        <w:t>of</w:t>
      </w:r>
      <w:r>
        <w:rPr>
          <w:spacing w:val="-8"/>
          <w:sz w:val="20"/>
        </w:rPr>
        <w:t> </w:t>
      </w:r>
      <w:r>
        <w:rPr>
          <w:sz w:val="20"/>
        </w:rPr>
        <w:t>the</w:t>
      </w:r>
      <w:r>
        <w:rPr>
          <w:spacing w:val="-8"/>
          <w:sz w:val="20"/>
        </w:rPr>
        <w:t> </w:t>
      </w:r>
      <w:r>
        <w:rPr>
          <w:sz w:val="20"/>
        </w:rPr>
        <w:t>jurors</w:t>
      </w:r>
      <w:r>
        <w:rPr>
          <w:spacing w:val="-8"/>
          <w:sz w:val="20"/>
        </w:rPr>
        <w:t> </w:t>
      </w:r>
      <w:r>
        <w:rPr>
          <w:sz w:val="20"/>
        </w:rPr>
        <w:t>arrived</w:t>
      </w:r>
      <w:r>
        <w:rPr>
          <w:spacing w:val="-8"/>
          <w:sz w:val="20"/>
        </w:rPr>
        <w:t> </w:t>
      </w:r>
      <w:r>
        <w:rPr>
          <w:sz w:val="20"/>
        </w:rPr>
        <w:t>at</w:t>
      </w:r>
      <w:r>
        <w:rPr>
          <w:spacing w:val="-8"/>
          <w:sz w:val="20"/>
        </w:rPr>
        <w:t> </w:t>
      </w:r>
      <w:r>
        <w:rPr>
          <w:sz w:val="20"/>
        </w:rPr>
        <w:t>that</w:t>
      </w:r>
      <w:r>
        <w:rPr>
          <w:spacing w:val="-8"/>
          <w:sz w:val="20"/>
        </w:rPr>
        <w:t> </w:t>
      </w:r>
      <w:r>
        <w:rPr>
          <w:sz w:val="20"/>
        </w:rPr>
        <w:t>verdict.</w:t>
      </w:r>
    </w:p>
    <w:p>
      <w:pPr>
        <w:pStyle w:val="BodyText"/>
        <w:spacing w:before="8"/>
        <w:rPr>
          <w:sz w:val="14"/>
        </w:rPr>
      </w:pPr>
      <w:r>
        <w:rPr/>
        <w:pict>
          <v:line style="position:absolute;mso-position-horizontal-relative:page;mso-position-vertical-relative:paragraph;z-index:4952;mso-wrap-distance-left:0;mso-wrap-distance-right:0" from="79.370102pt,12.603342pt" to="515.905102pt,12.603342pt" stroked="true" strokeweight="1pt" strokecolor="#b6bdc8">
            <v:stroke dashstyle="solid"/>
            <w10:wrap type="topAndBottom"/>
          </v:line>
        </w:pict>
      </w:r>
    </w:p>
    <w:p>
      <w:pPr>
        <w:pStyle w:val="ListParagraph"/>
        <w:numPr>
          <w:ilvl w:val="0"/>
          <w:numId w:val="63"/>
        </w:numPr>
        <w:tabs>
          <w:tab w:pos="1761" w:val="left" w:leader="none"/>
          <w:tab w:pos="1762" w:val="left" w:leader="none"/>
        </w:tabs>
        <w:spacing w:line="213" w:lineRule="auto" w:before="107" w:after="0"/>
        <w:ind w:left="1761" w:right="1229" w:hanging="794"/>
        <w:jc w:val="left"/>
        <w:rPr>
          <w:sz w:val="13"/>
        </w:rPr>
      </w:pPr>
      <w:r>
        <w:rPr>
          <w:sz w:val="13"/>
        </w:rPr>
        <w:t>National Federation of the </w:t>
      </w:r>
      <w:r>
        <w:rPr>
          <w:spacing w:val="2"/>
          <w:sz w:val="13"/>
        </w:rPr>
        <w:t>Blind, </w:t>
      </w:r>
      <w:r>
        <w:rPr>
          <w:sz w:val="13"/>
        </w:rPr>
        <w:t>National Federation of the </w:t>
      </w:r>
      <w:r>
        <w:rPr>
          <w:spacing w:val="2"/>
          <w:sz w:val="13"/>
        </w:rPr>
        <w:t>Blind </w:t>
      </w:r>
      <w:r>
        <w:rPr>
          <w:sz w:val="13"/>
        </w:rPr>
        <w:t>of </w:t>
      </w:r>
      <w:r>
        <w:rPr>
          <w:spacing w:val="2"/>
          <w:sz w:val="13"/>
        </w:rPr>
        <w:t>Massachusetts, </w:t>
      </w:r>
      <w:r>
        <w:rPr>
          <w:sz w:val="13"/>
        </w:rPr>
        <w:t>and </w:t>
      </w:r>
      <w:r>
        <w:rPr>
          <w:spacing w:val="2"/>
          <w:sz w:val="13"/>
        </w:rPr>
        <w:t>Disability </w:t>
      </w:r>
      <w:r>
        <w:rPr>
          <w:sz w:val="13"/>
        </w:rPr>
        <w:t>Law Centre, ‘The Right of     </w:t>
      </w:r>
      <w:r>
        <w:rPr>
          <w:spacing w:val="2"/>
          <w:sz w:val="13"/>
        </w:rPr>
        <w:t>Blind </w:t>
      </w:r>
      <w:r>
        <w:rPr>
          <w:sz w:val="13"/>
        </w:rPr>
        <w:t>People to Serve on Juries Comes to the </w:t>
      </w:r>
      <w:r>
        <w:rPr>
          <w:spacing w:val="2"/>
          <w:sz w:val="13"/>
        </w:rPr>
        <w:t>Court’ </w:t>
      </w:r>
      <w:r>
        <w:rPr>
          <w:sz w:val="13"/>
        </w:rPr>
        <w:t>(2019) 62(9) </w:t>
      </w:r>
      <w:r>
        <w:rPr>
          <w:i/>
          <w:sz w:val="13"/>
        </w:rPr>
        <w:t>Braille Monitor </w:t>
      </w:r>
      <w:r>
        <w:rPr>
          <w:sz w:val="13"/>
        </w:rPr>
        <w:t>&lt;</w:t>
      </w:r>
      <w:hyperlink r:id="rId146">
        <w:r>
          <w:rPr>
            <w:sz w:val="13"/>
          </w:rPr>
          <w:t>https://nfb.org/resources/publications-and-</w:t>
        </w:r>
      </w:hyperlink>
      <w:hyperlink r:id="rId146">
        <w:r>
          <w:rPr>
            <w:sz w:val="13"/>
          </w:rPr>
          <w:t> media/braille-monitor</w:t>
        </w:r>
      </w:hyperlink>
      <w:r>
        <w:rPr>
          <w:sz w:val="13"/>
        </w:rPr>
        <w:t>&gt;, citing D </w:t>
      </w:r>
      <w:r>
        <w:rPr>
          <w:spacing w:val="2"/>
          <w:sz w:val="13"/>
        </w:rPr>
        <w:t>Nolan </w:t>
      </w:r>
      <w:r>
        <w:rPr>
          <w:sz w:val="13"/>
        </w:rPr>
        <w:t>Kaiser, ‘Juries, </w:t>
      </w:r>
      <w:r>
        <w:rPr>
          <w:spacing w:val="2"/>
          <w:sz w:val="13"/>
        </w:rPr>
        <w:t>Blindness, </w:t>
      </w:r>
      <w:r>
        <w:rPr>
          <w:sz w:val="13"/>
        </w:rPr>
        <w:t>and the Juror Function’ </w:t>
      </w:r>
      <w:r>
        <w:rPr>
          <w:spacing w:val="2"/>
          <w:sz w:val="13"/>
        </w:rPr>
        <w:t>(1984) 60(2) </w:t>
      </w:r>
      <w:r>
        <w:rPr>
          <w:i/>
          <w:sz w:val="13"/>
        </w:rPr>
        <w:t>Chicago Kent Law Review </w:t>
      </w:r>
      <w:r>
        <w:rPr>
          <w:sz w:val="13"/>
        </w:rPr>
        <w:t>19, 200; Matthew J Crehan, ‘Seating the </w:t>
      </w:r>
      <w:r>
        <w:rPr>
          <w:spacing w:val="2"/>
          <w:sz w:val="13"/>
        </w:rPr>
        <w:t>Blind </w:t>
      </w:r>
      <w:r>
        <w:rPr>
          <w:sz w:val="13"/>
        </w:rPr>
        <w:t>Juror’ (1997) 81(3) </w:t>
      </w:r>
      <w:r>
        <w:rPr>
          <w:i/>
          <w:sz w:val="13"/>
        </w:rPr>
        <w:t>Judicature </w:t>
      </w:r>
      <w:r>
        <w:rPr>
          <w:sz w:val="13"/>
        </w:rPr>
        <w:t>104,</w:t>
      </w:r>
      <w:r>
        <w:rPr>
          <w:spacing w:val="9"/>
          <w:sz w:val="13"/>
        </w:rPr>
        <w:t> </w:t>
      </w:r>
      <w:r>
        <w:rPr>
          <w:sz w:val="13"/>
        </w:rPr>
        <w:t>106.</w:t>
      </w:r>
    </w:p>
    <w:p>
      <w:pPr>
        <w:pStyle w:val="ListParagraph"/>
        <w:numPr>
          <w:ilvl w:val="0"/>
          <w:numId w:val="63"/>
        </w:numPr>
        <w:tabs>
          <w:tab w:pos="1760" w:val="left" w:leader="none"/>
          <w:tab w:pos="1762" w:val="left" w:leader="none"/>
        </w:tabs>
        <w:spacing w:line="151" w:lineRule="exact" w:before="0" w:after="0"/>
        <w:ind w:left="1761" w:right="0" w:hanging="794"/>
        <w:jc w:val="left"/>
        <w:rPr>
          <w:sz w:val="13"/>
        </w:rPr>
      </w:pPr>
      <w:r>
        <w:rPr>
          <w:sz w:val="13"/>
        </w:rPr>
        <w:t>Consultation 6 (Deaf Victoria and community</w:t>
      </w:r>
      <w:r>
        <w:rPr>
          <w:spacing w:val="3"/>
          <w:sz w:val="13"/>
        </w:rPr>
        <w:t> </w:t>
      </w:r>
      <w:r>
        <w:rPr>
          <w:sz w:val="13"/>
        </w:rPr>
        <w:t>participants).</w:t>
      </w:r>
    </w:p>
    <w:p>
      <w:pPr>
        <w:pStyle w:val="ListParagraph"/>
        <w:numPr>
          <w:ilvl w:val="0"/>
          <w:numId w:val="63"/>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pStyle w:val="ListParagraph"/>
        <w:numPr>
          <w:ilvl w:val="0"/>
          <w:numId w:val="63"/>
        </w:numPr>
        <w:tabs>
          <w:tab w:pos="1761" w:val="left" w:leader="none"/>
          <w:tab w:pos="1762" w:val="left" w:leader="none"/>
        </w:tabs>
        <w:spacing w:line="160" w:lineRule="exact" w:before="0" w:after="0"/>
        <w:ind w:left="1761" w:right="0" w:hanging="794"/>
        <w:jc w:val="left"/>
        <w:rPr>
          <w:sz w:val="13"/>
        </w:rPr>
      </w:pPr>
      <w:r>
        <w:rPr>
          <w:sz w:val="13"/>
        </w:rPr>
        <w:t>Consultation 16 (Office of </w:t>
      </w:r>
      <w:r>
        <w:rPr>
          <w:spacing w:val="2"/>
          <w:sz w:val="13"/>
        </w:rPr>
        <w:t>Public </w:t>
      </w:r>
      <w:r>
        <w:rPr>
          <w:sz w:val="13"/>
        </w:rPr>
        <w:t>Prosecutions</w:t>
      </w:r>
      <w:r>
        <w:rPr>
          <w:spacing w:val="-1"/>
          <w:sz w:val="13"/>
        </w:rPr>
        <w:t> </w:t>
      </w:r>
      <w:r>
        <w:rPr>
          <w:sz w:val="13"/>
        </w:rPr>
        <w:t>Victoria).</w:t>
      </w:r>
    </w:p>
    <w:p>
      <w:pPr>
        <w:pStyle w:val="ListParagraph"/>
        <w:numPr>
          <w:ilvl w:val="0"/>
          <w:numId w:val="63"/>
        </w:numPr>
        <w:tabs>
          <w:tab w:pos="1761" w:val="left" w:leader="none"/>
          <w:tab w:pos="1762" w:val="left" w:leader="none"/>
        </w:tabs>
        <w:spacing w:line="160" w:lineRule="exact" w:before="0" w:after="0"/>
        <w:ind w:left="1761" w:right="0" w:hanging="794"/>
        <w:jc w:val="left"/>
        <w:rPr>
          <w:sz w:val="13"/>
        </w:rPr>
      </w:pPr>
      <w:r>
        <w:rPr/>
        <w:pict>
          <v:shape style="position:absolute;margin-left:548.864624pt;margin-top:3.710249pt;width:13.15pt;height:14.1pt;mso-position-horizontal-relative:page;mso-position-vertical-relative:paragraph;z-index:7024" type="#_x0000_t202" filled="false" stroked="false">
            <v:textbox inset="0,0,0,0">
              <w:txbxContent>
                <w:p>
                  <w:pPr>
                    <w:spacing w:line="282" w:lineRule="exact" w:before="0"/>
                    <w:ind w:left="0" w:right="0" w:firstLine="0"/>
                    <w:jc w:val="left"/>
                    <w:rPr>
                      <w:b/>
                      <w:sz w:val="24"/>
                    </w:rPr>
                  </w:pPr>
                  <w:r>
                    <w:rPr>
                      <w:b/>
                      <w:color w:val="37617A"/>
                      <w:spacing w:val="-7"/>
                      <w:sz w:val="24"/>
                    </w:rPr>
                    <w:t>79</w:t>
                  </w:r>
                </w:p>
              </w:txbxContent>
            </v:textbox>
            <w10:wrap type="none"/>
          </v:shape>
        </w:pict>
      </w:r>
      <w:r>
        <w:rPr>
          <w:sz w:val="13"/>
        </w:rPr>
        <w:t>Consultation 4 </w:t>
      </w:r>
      <w:r>
        <w:rPr>
          <w:spacing w:val="2"/>
          <w:sz w:val="13"/>
        </w:rPr>
        <w:t>(Victorian </w:t>
      </w:r>
      <w:r>
        <w:rPr>
          <w:sz w:val="13"/>
        </w:rPr>
        <w:t>Criminal Bar</w:t>
      </w:r>
      <w:r>
        <w:rPr>
          <w:spacing w:val="-1"/>
          <w:sz w:val="13"/>
        </w:rPr>
        <w:t> </w:t>
      </w:r>
      <w:r>
        <w:rPr>
          <w:sz w:val="13"/>
        </w:rPr>
        <w:t>Association).</w:t>
      </w:r>
    </w:p>
    <w:p>
      <w:pPr>
        <w:pStyle w:val="ListParagraph"/>
        <w:numPr>
          <w:ilvl w:val="0"/>
          <w:numId w:val="63"/>
        </w:numPr>
        <w:tabs>
          <w:tab w:pos="1761" w:val="left" w:leader="none"/>
          <w:tab w:pos="1762" w:val="left" w:leader="none"/>
        </w:tabs>
        <w:spacing w:line="170" w:lineRule="exact" w:before="0" w:after="0"/>
        <w:ind w:left="1761" w:right="0" w:hanging="794"/>
        <w:jc w:val="left"/>
        <w:rPr>
          <w:sz w:val="13"/>
        </w:rPr>
      </w:pPr>
      <w:r>
        <w:rPr>
          <w:sz w:val="13"/>
        </w:rPr>
        <w:t>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 53</w:t>
      </w:r>
      <w:r>
        <w:rPr>
          <w:spacing w:val="8"/>
          <w:sz w:val="13"/>
        </w:rPr>
        <w:t> </w:t>
      </w:r>
      <w:r>
        <w:rPr>
          <w:spacing w:val="3"/>
          <w:sz w:val="13"/>
        </w:rPr>
        <w:t>[3.14]–[3.15].</w:t>
      </w:r>
    </w:p>
    <w:p>
      <w:pPr>
        <w:spacing w:after="0" w:line="170" w:lineRule="exact"/>
        <w:jc w:val="left"/>
        <w:rPr>
          <w:sz w:val="13"/>
        </w:rPr>
        <w:sectPr>
          <w:pgSz w:w="11910" w:h="16840"/>
          <w:pgMar w:header="0" w:footer="0" w:top="840" w:bottom="280" w:left="620" w:right="380"/>
        </w:sectPr>
      </w:pPr>
    </w:p>
    <w:p>
      <w:pPr>
        <w:pStyle w:val="BodyText"/>
      </w:pPr>
    </w:p>
    <w:p>
      <w:pPr>
        <w:pStyle w:val="BodyText"/>
      </w:pPr>
    </w:p>
    <w:p>
      <w:pPr>
        <w:pStyle w:val="BodyText"/>
      </w:pPr>
    </w:p>
    <w:p>
      <w:pPr>
        <w:pStyle w:val="Heading2"/>
        <w:spacing w:before="212"/>
        <w:rPr>
          <w:b/>
        </w:rPr>
      </w:pPr>
      <w:bookmarkStart w:name="Addressing misconceptions about competen" w:id="158"/>
      <w:bookmarkEnd w:id="158"/>
      <w:r>
        <w:rPr>
          <w:b w:val="0"/>
        </w:rPr>
      </w:r>
      <w:bookmarkStart w:name="_bookmark62" w:id="159"/>
      <w:bookmarkEnd w:id="159"/>
      <w:r>
        <w:rPr>
          <w:b w:val="0"/>
        </w:rPr>
      </w:r>
      <w:r>
        <w:rPr>
          <w:b/>
          <w:color w:val="37617A"/>
        </w:rPr>
        <w:t>Addressing misconceptions about competency</w:t>
      </w:r>
    </w:p>
    <w:p>
      <w:pPr>
        <w:pStyle w:val="ListParagraph"/>
        <w:numPr>
          <w:ilvl w:val="1"/>
          <w:numId w:val="12"/>
        </w:numPr>
        <w:tabs>
          <w:tab w:pos="1761" w:val="left" w:leader="none"/>
          <w:tab w:pos="1762" w:val="left" w:leader="none"/>
        </w:tabs>
        <w:spacing w:line="206" w:lineRule="auto" w:before="146" w:after="0"/>
        <w:ind w:left="1761" w:right="1268" w:hanging="794"/>
        <w:jc w:val="left"/>
        <w:rPr>
          <w:sz w:val="11"/>
        </w:rPr>
      </w:pPr>
      <w:r>
        <w:rPr>
          <w:sz w:val="20"/>
        </w:rPr>
        <w:t>In response to our consultation </w:t>
      </w:r>
      <w:r>
        <w:rPr>
          <w:spacing w:val="-3"/>
          <w:sz w:val="20"/>
        </w:rPr>
        <w:t>paper, several </w:t>
      </w:r>
      <w:r>
        <w:rPr>
          <w:sz w:val="20"/>
        </w:rPr>
        <w:t>community members noted </w:t>
      </w:r>
      <w:r>
        <w:rPr>
          <w:spacing w:val="-3"/>
          <w:sz w:val="20"/>
        </w:rPr>
        <w:t>how </w:t>
      </w:r>
      <w:r>
        <w:rPr>
          <w:sz w:val="20"/>
        </w:rPr>
        <w:t>frustrating it is when people </w:t>
      </w:r>
      <w:r>
        <w:rPr>
          <w:spacing w:val="-3"/>
          <w:sz w:val="20"/>
        </w:rPr>
        <w:t>make </w:t>
      </w:r>
      <w:r>
        <w:rPr>
          <w:sz w:val="20"/>
        </w:rPr>
        <w:t>unfair assumptions about their abilities rather than asking them. </w:t>
      </w:r>
      <w:r>
        <w:rPr>
          <w:spacing w:val="-3"/>
          <w:sz w:val="20"/>
        </w:rPr>
        <w:t>For example, </w:t>
      </w:r>
      <w:r>
        <w:rPr>
          <w:sz w:val="20"/>
        </w:rPr>
        <w:t>a Blind </w:t>
      </w:r>
      <w:r>
        <w:rPr>
          <w:spacing w:val="-3"/>
          <w:sz w:val="20"/>
        </w:rPr>
        <w:t>Citizens </w:t>
      </w:r>
      <w:r>
        <w:rPr>
          <w:sz w:val="20"/>
        </w:rPr>
        <w:t>Australia consultee </w:t>
      </w:r>
      <w:r>
        <w:rPr>
          <w:spacing w:val="-3"/>
          <w:sz w:val="20"/>
        </w:rPr>
        <w:t>told </w:t>
      </w:r>
      <w:r>
        <w:rPr>
          <w:sz w:val="20"/>
        </w:rPr>
        <w:t>us: </w:t>
      </w:r>
      <w:r>
        <w:rPr>
          <w:spacing w:val="-3"/>
          <w:sz w:val="20"/>
        </w:rPr>
        <w:t>‘We </w:t>
      </w:r>
      <w:r>
        <w:rPr>
          <w:sz w:val="20"/>
        </w:rPr>
        <w:t>need to be assessed</w:t>
      </w:r>
      <w:r>
        <w:rPr>
          <w:spacing w:val="-6"/>
          <w:sz w:val="20"/>
        </w:rPr>
        <w:t> </w:t>
      </w:r>
      <w:r>
        <w:rPr>
          <w:sz w:val="20"/>
        </w:rPr>
        <w:t>if</w:t>
      </w:r>
      <w:r>
        <w:rPr>
          <w:spacing w:val="-6"/>
          <w:sz w:val="20"/>
        </w:rPr>
        <w:t> </w:t>
      </w:r>
      <w:r>
        <w:rPr>
          <w:spacing w:val="-3"/>
          <w:sz w:val="20"/>
        </w:rPr>
        <w:t>we</w:t>
      </w:r>
      <w:r>
        <w:rPr>
          <w:spacing w:val="-6"/>
          <w:sz w:val="20"/>
        </w:rPr>
        <w:t> </w:t>
      </w:r>
      <w:r>
        <w:rPr>
          <w:sz w:val="20"/>
        </w:rPr>
        <w:t>can</w:t>
      </w:r>
      <w:r>
        <w:rPr>
          <w:spacing w:val="-6"/>
          <w:sz w:val="20"/>
        </w:rPr>
        <w:t> </w:t>
      </w:r>
      <w:r>
        <w:rPr>
          <w:sz w:val="20"/>
        </w:rPr>
        <w:t>do</w:t>
      </w:r>
      <w:r>
        <w:rPr>
          <w:spacing w:val="-6"/>
          <w:sz w:val="20"/>
        </w:rPr>
        <w:t> </w:t>
      </w:r>
      <w:r>
        <w:rPr>
          <w:sz w:val="20"/>
        </w:rPr>
        <w:t>a</w:t>
      </w:r>
      <w:r>
        <w:rPr>
          <w:spacing w:val="-5"/>
          <w:sz w:val="20"/>
        </w:rPr>
        <w:t> </w:t>
      </w:r>
      <w:r>
        <w:rPr>
          <w:spacing w:val="-3"/>
          <w:sz w:val="20"/>
        </w:rPr>
        <w:t>task—not</w:t>
      </w:r>
      <w:r>
        <w:rPr>
          <w:spacing w:val="-6"/>
          <w:sz w:val="20"/>
        </w:rPr>
        <w:t> </w:t>
      </w:r>
      <w:r>
        <w:rPr>
          <w:sz w:val="20"/>
        </w:rPr>
        <w:t>just</w:t>
      </w:r>
      <w:r>
        <w:rPr>
          <w:spacing w:val="-6"/>
          <w:sz w:val="20"/>
        </w:rPr>
        <w:t> </w:t>
      </w:r>
      <w:r>
        <w:rPr>
          <w:sz w:val="20"/>
        </w:rPr>
        <w:t>subjected</w:t>
      </w:r>
      <w:r>
        <w:rPr>
          <w:spacing w:val="-6"/>
          <w:sz w:val="20"/>
        </w:rPr>
        <w:t> </w:t>
      </w:r>
      <w:r>
        <w:rPr>
          <w:sz w:val="20"/>
        </w:rPr>
        <w:t>to</w:t>
      </w:r>
      <w:r>
        <w:rPr>
          <w:spacing w:val="-6"/>
          <w:sz w:val="20"/>
        </w:rPr>
        <w:t> </w:t>
      </w:r>
      <w:r>
        <w:rPr>
          <w:spacing w:val="-3"/>
          <w:sz w:val="20"/>
        </w:rPr>
        <w:t>people’s</w:t>
      </w:r>
      <w:r>
        <w:rPr>
          <w:spacing w:val="-5"/>
          <w:sz w:val="20"/>
        </w:rPr>
        <w:t> </w:t>
      </w:r>
      <w:r>
        <w:rPr>
          <w:spacing w:val="-3"/>
          <w:sz w:val="20"/>
        </w:rPr>
        <w:t>views</w:t>
      </w:r>
      <w:r>
        <w:rPr>
          <w:spacing w:val="-6"/>
          <w:sz w:val="20"/>
        </w:rPr>
        <w:t> </w:t>
      </w:r>
      <w:r>
        <w:rPr>
          <w:sz w:val="20"/>
        </w:rPr>
        <w:t>on</w:t>
      </w:r>
      <w:r>
        <w:rPr>
          <w:spacing w:val="-6"/>
          <w:sz w:val="20"/>
        </w:rPr>
        <w:t> </w:t>
      </w:r>
      <w:r>
        <w:rPr>
          <w:sz w:val="20"/>
        </w:rPr>
        <w:t>what</w:t>
      </w:r>
      <w:r>
        <w:rPr>
          <w:spacing w:val="-6"/>
          <w:sz w:val="20"/>
        </w:rPr>
        <w:t> </w:t>
      </w:r>
      <w:r>
        <w:rPr>
          <w:spacing w:val="-3"/>
          <w:sz w:val="20"/>
        </w:rPr>
        <w:t>we</w:t>
      </w:r>
      <w:r>
        <w:rPr>
          <w:spacing w:val="-6"/>
          <w:sz w:val="20"/>
        </w:rPr>
        <w:t> </w:t>
      </w:r>
      <w:r>
        <w:rPr>
          <w:sz w:val="20"/>
        </w:rPr>
        <w:t>can</w:t>
      </w:r>
      <w:r>
        <w:rPr>
          <w:spacing w:val="-5"/>
          <w:sz w:val="20"/>
        </w:rPr>
        <w:t> </w:t>
      </w:r>
      <w:r>
        <w:rPr>
          <w:sz w:val="20"/>
        </w:rPr>
        <w:t>and cannot</w:t>
      </w:r>
      <w:r>
        <w:rPr>
          <w:spacing w:val="-4"/>
          <w:sz w:val="20"/>
        </w:rPr>
        <w:t> </w:t>
      </w:r>
      <w:r>
        <w:rPr>
          <w:spacing w:val="-3"/>
          <w:sz w:val="20"/>
        </w:rPr>
        <w:t>do’.</w:t>
      </w:r>
      <w:r>
        <w:rPr>
          <w:spacing w:val="-3"/>
          <w:position w:val="7"/>
          <w:sz w:val="11"/>
        </w:rPr>
        <w:t>85</w:t>
      </w:r>
    </w:p>
    <w:p>
      <w:pPr>
        <w:pStyle w:val="ListParagraph"/>
        <w:numPr>
          <w:ilvl w:val="1"/>
          <w:numId w:val="12"/>
        </w:numPr>
        <w:tabs>
          <w:tab w:pos="1761" w:val="left" w:leader="none"/>
          <w:tab w:pos="1762" w:val="left" w:leader="none"/>
        </w:tabs>
        <w:spacing w:line="240" w:lineRule="auto" w:before="94" w:after="0"/>
        <w:ind w:left="1761" w:right="0" w:hanging="794"/>
        <w:jc w:val="left"/>
        <w:rPr>
          <w:sz w:val="20"/>
        </w:rPr>
      </w:pPr>
      <w:r>
        <w:rPr>
          <w:sz w:val="20"/>
        </w:rPr>
        <w:t>As Alastair </w:t>
      </w:r>
      <w:r>
        <w:rPr>
          <w:spacing w:val="-3"/>
          <w:sz w:val="20"/>
        </w:rPr>
        <w:t>McEwin succinctly</w:t>
      </w:r>
      <w:r>
        <w:rPr>
          <w:spacing w:val="-14"/>
          <w:sz w:val="20"/>
        </w:rPr>
        <w:t> </w:t>
      </w:r>
      <w:r>
        <w:rPr>
          <w:sz w:val="20"/>
        </w:rPr>
        <w:t>summarised:</w:t>
      </w:r>
    </w:p>
    <w:p>
      <w:pPr>
        <w:spacing w:line="208" w:lineRule="auto" w:before="112"/>
        <w:ind w:left="2157" w:right="1335" w:firstLine="0"/>
        <w:jc w:val="left"/>
        <w:rPr>
          <w:sz w:val="11"/>
        </w:rPr>
      </w:pPr>
      <w:r>
        <w:rPr>
          <w:sz w:val="19"/>
        </w:rPr>
        <w:t>Deaf people confront comments and barriers to access every day, such as: ‘it’s too hard’, ‘it’s too expensive’, ‘it’s never been done before’.</w:t>
      </w:r>
      <w:r>
        <w:rPr>
          <w:position w:val="6"/>
          <w:sz w:val="11"/>
        </w:rPr>
        <w:t>86</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Consultation participants </w:t>
      </w:r>
      <w:r>
        <w:rPr>
          <w:spacing w:val="-3"/>
          <w:sz w:val="20"/>
        </w:rPr>
        <w:t>from </w:t>
      </w:r>
      <w:r>
        <w:rPr>
          <w:sz w:val="20"/>
        </w:rPr>
        <w:t>Deaf Victoria commented</w:t>
      </w:r>
      <w:r>
        <w:rPr>
          <w:spacing w:val="-26"/>
          <w:sz w:val="20"/>
        </w:rPr>
        <w:t> </w:t>
      </w:r>
      <w:r>
        <w:rPr>
          <w:sz w:val="20"/>
        </w:rPr>
        <w:t>that:</w:t>
      </w:r>
    </w:p>
    <w:p>
      <w:pPr>
        <w:spacing w:line="208" w:lineRule="auto" w:before="113"/>
        <w:ind w:left="2157" w:right="1110" w:firstLine="0"/>
        <w:jc w:val="left"/>
        <w:rPr>
          <w:sz w:val="19"/>
        </w:rPr>
      </w:pPr>
      <w:r>
        <w:rPr>
          <w:sz w:val="19"/>
        </w:rPr>
        <w:t>We are constantly having to educate the wider community about our abilities. It is disappointing to have to do this in the legal sector which should be representative and inclusive of the broader community.</w:t>
      </w:r>
    </w:p>
    <w:p>
      <w:pPr>
        <w:spacing w:line="208" w:lineRule="auto" w:before="122"/>
        <w:ind w:left="2157" w:right="1327" w:firstLine="0"/>
        <w:jc w:val="left"/>
        <w:rPr>
          <w:sz w:val="11"/>
        </w:rPr>
      </w:pPr>
      <w:r>
        <w:rPr>
          <w:sz w:val="19"/>
        </w:rPr>
        <w:t>People tell us constantly: ‘You can’t do this; you can’t possibly do that.’ But we are not offered the opportunity to try because of the current barriers to participation. We could bring a different perspective. No one asks us what we can do.</w:t>
      </w:r>
      <w:r>
        <w:rPr>
          <w:position w:val="6"/>
          <w:sz w:val="11"/>
        </w:rPr>
        <w:t>87</w:t>
      </w:r>
    </w:p>
    <w:p>
      <w:pPr>
        <w:pStyle w:val="ListParagraph"/>
        <w:numPr>
          <w:ilvl w:val="1"/>
          <w:numId w:val="12"/>
        </w:numPr>
        <w:tabs>
          <w:tab w:pos="1761" w:val="left" w:leader="none"/>
          <w:tab w:pos="1762" w:val="left" w:leader="none"/>
        </w:tabs>
        <w:spacing w:line="206" w:lineRule="auto" w:before="123" w:after="0"/>
        <w:ind w:left="1761" w:right="1231" w:hanging="794"/>
        <w:jc w:val="left"/>
        <w:rPr>
          <w:sz w:val="11"/>
        </w:rPr>
      </w:pPr>
      <w:r>
        <w:rPr>
          <w:sz w:val="20"/>
        </w:rPr>
        <w:t>Almost all of the people </w:t>
      </w:r>
      <w:r>
        <w:rPr>
          <w:spacing w:val="-3"/>
          <w:sz w:val="20"/>
        </w:rPr>
        <w:t>we </w:t>
      </w:r>
      <w:r>
        <w:rPr>
          <w:sz w:val="20"/>
        </w:rPr>
        <w:t>spoke to or heard </w:t>
      </w:r>
      <w:r>
        <w:rPr>
          <w:spacing w:val="-3"/>
          <w:sz w:val="20"/>
        </w:rPr>
        <w:t>from </w:t>
      </w:r>
      <w:r>
        <w:rPr>
          <w:sz w:val="20"/>
        </w:rPr>
        <w:t>who </w:t>
      </w:r>
      <w:r>
        <w:rPr>
          <w:spacing w:val="-4"/>
          <w:sz w:val="20"/>
        </w:rPr>
        <w:t>were deaf, </w:t>
      </w:r>
      <w:r>
        <w:rPr>
          <w:sz w:val="20"/>
        </w:rPr>
        <w:t>hard of hearing, blind</w:t>
      </w:r>
      <w:r>
        <w:rPr>
          <w:spacing w:val="-10"/>
          <w:sz w:val="20"/>
        </w:rPr>
        <w:t> </w:t>
      </w:r>
      <w:r>
        <w:rPr>
          <w:sz w:val="20"/>
        </w:rPr>
        <w:t>or</w:t>
      </w:r>
      <w:r>
        <w:rPr>
          <w:spacing w:val="-9"/>
          <w:sz w:val="20"/>
        </w:rPr>
        <w:t> </w:t>
      </w:r>
      <w:r>
        <w:rPr>
          <w:spacing w:val="-4"/>
          <w:sz w:val="20"/>
        </w:rPr>
        <w:t>have</w:t>
      </w:r>
      <w:r>
        <w:rPr>
          <w:spacing w:val="-9"/>
          <w:sz w:val="20"/>
        </w:rPr>
        <w:t> </w:t>
      </w:r>
      <w:r>
        <w:rPr>
          <w:spacing w:val="-4"/>
          <w:sz w:val="20"/>
        </w:rPr>
        <w:t>low</w:t>
      </w:r>
      <w:r>
        <w:rPr>
          <w:spacing w:val="-9"/>
          <w:sz w:val="20"/>
        </w:rPr>
        <w:t> </w:t>
      </w:r>
      <w:r>
        <w:rPr>
          <w:sz w:val="20"/>
        </w:rPr>
        <w:t>vision</w:t>
      </w:r>
      <w:r>
        <w:rPr>
          <w:spacing w:val="-9"/>
          <w:sz w:val="20"/>
        </w:rPr>
        <w:t> </w:t>
      </w:r>
      <w:r>
        <w:rPr>
          <w:sz w:val="20"/>
        </w:rPr>
        <w:t>commented</w:t>
      </w:r>
      <w:r>
        <w:rPr>
          <w:spacing w:val="-9"/>
          <w:sz w:val="20"/>
        </w:rPr>
        <w:t> </w:t>
      </w:r>
      <w:r>
        <w:rPr>
          <w:sz w:val="20"/>
        </w:rPr>
        <w:t>that</w:t>
      </w:r>
      <w:r>
        <w:rPr>
          <w:spacing w:val="-9"/>
          <w:sz w:val="20"/>
        </w:rPr>
        <w:t> </w:t>
      </w:r>
      <w:r>
        <w:rPr>
          <w:sz w:val="20"/>
        </w:rPr>
        <w:t>they</w:t>
      </w:r>
      <w:r>
        <w:rPr>
          <w:spacing w:val="-9"/>
          <w:sz w:val="20"/>
        </w:rPr>
        <w:t> </w:t>
      </w:r>
      <w:r>
        <w:rPr>
          <w:spacing w:val="-3"/>
          <w:sz w:val="20"/>
        </w:rPr>
        <w:t>are</w:t>
      </w:r>
      <w:r>
        <w:rPr>
          <w:spacing w:val="-9"/>
          <w:sz w:val="20"/>
        </w:rPr>
        <w:t> </w:t>
      </w:r>
      <w:r>
        <w:rPr>
          <w:spacing w:val="-3"/>
          <w:sz w:val="20"/>
        </w:rPr>
        <w:t>routinely</w:t>
      </w:r>
      <w:r>
        <w:rPr>
          <w:spacing w:val="-9"/>
          <w:sz w:val="20"/>
        </w:rPr>
        <w:t> </w:t>
      </w:r>
      <w:r>
        <w:rPr>
          <w:sz w:val="20"/>
        </w:rPr>
        <w:t>underestimated.</w:t>
      </w:r>
      <w:r>
        <w:rPr>
          <w:position w:val="7"/>
          <w:sz w:val="11"/>
        </w:rPr>
        <w:t>88</w:t>
      </w:r>
      <w:r>
        <w:rPr>
          <w:spacing w:val="16"/>
          <w:position w:val="7"/>
          <w:sz w:val="11"/>
        </w:rPr>
        <w:t> </w:t>
      </w:r>
      <w:r>
        <w:rPr>
          <w:sz w:val="20"/>
        </w:rPr>
        <w:t>They</w:t>
      </w:r>
      <w:r>
        <w:rPr>
          <w:spacing w:val="-9"/>
          <w:sz w:val="20"/>
        </w:rPr>
        <w:t> </w:t>
      </w:r>
      <w:r>
        <w:rPr>
          <w:spacing w:val="-3"/>
          <w:sz w:val="20"/>
        </w:rPr>
        <w:t>told </w:t>
      </w:r>
      <w:r>
        <w:rPr>
          <w:sz w:val="20"/>
        </w:rPr>
        <w:t>us that this happens because of misconceptions in the community about the ability of people with sensory disabilities to comprehend information.</w:t>
      </w:r>
      <w:r>
        <w:rPr>
          <w:position w:val="7"/>
          <w:sz w:val="11"/>
        </w:rPr>
        <w:t>89 </w:t>
      </w:r>
      <w:r>
        <w:rPr>
          <w:sz w:val="20"/>
        </w:rPr>
        <w:t>Alastair </w:t>
      </w:r>
      <w:r>
        <w:rPr>
          <w:spacing w:val="-3"/>
          <w:sz w:val="20"/>
        </w:rPr>
        <w:t>McEwin told </w:t>
      </w:r>
      <w:r>
        <w:rPr>
          <w:sz w:val="20"/>
        </w:rPr>
        <w:t>the Commission, </w:t>
      </w:r>
      <w:r>
        <w:rPr>
          <w:spacing w:val="-6"/>
          <w:sz w:val="20"/>
        </w:rPr>
        <w:t>‘Just </w:t>
      </w:r>
      <w:r>
        <w:rPr>
          <w:sz w:val="20"/>
        </w:rPr>
        <w:t>because a person can’t hear sound, doesn’t mean there is a lack of comprehension.’</w:t>
      </w:r>
      <w:r>
        <w:rPr>
          <w:position w:val="7"/>
          <w:sz w:val="11"/>
        </w:rPr>
        <w:t>90</w:t>
      </w:r>
    </w:p>
    <w:p>
      <w:pPr>
        <w:pStyle w:val="ListParagraph"/>
        <w:numPr>
          <w:ilvl w:val="1"/>
          <w:numId w:val="12"/>
        </w:numPr>
        <w:tabs>
          <w:tab w:pos="1761" w:val="left" w:leader="none"/>
          <w:tab w:pos="1762" w:val="left" w:leader="none"/>
        </w:tabs>
        <w:spacing w:line="206" w:lineRule="auto" w:before="128" w:after="0"/>
        <w:ind w:left="1761" w:right="1531" w:hanging="794"/>
        <w:jc w:val="left"/>
        <w:rPr>
          <w:sz w:val="20"/>
        </w:rPr>
      </w:pPr>
      <w:r>
        <w:rPr>
          <w:sz w:val="20"/>
        </w:rPr>
        <w:t>The Commission was </w:t>
      </w:r>
      <w:r>
        <w:rPr>
          <w:spacing w:val="-3"/>
          <w:sz w:val="20"/>
        </w:rPr>
        <w:t>told </w:t>
      </w:r>
      <w:r>
        <w:rPr>
          <w:sz w:val="20"/>
        </w:rPr>
        <w:t>that people in the subject groups </w:t>
      </w:r>
      <w:r>
        <w:rPr>
          <w:spacing w:val="-3"/>
          <w:sz w:val="20"/>
        </w:rPr>
        <w:t>are </w:t>
      </w:r>
      <w:r>
        <w:rPr>
          <w:sz w:val="20"/>
        </w:rPr>
        <w:t>limited </w:t>
      </w:r>
      <w:r>
        <w:rPr>
          <w:spacing w:val="-3"/>
          <w:sz w:val="20"/>
        </w:rPr>
        <w:t>by </w:t>
      </w:r>
      <w:r>
        <w:rPr>
          <w:sz w:val="20"/>
        </w:rPr>
        <w:t>the imaginations</w:t>
      </w:r>
      <w:r>
        <w:rPr>
          <w:spacing w:val="-10"/>
          <w:sz w:val="20"/>
        </w:rPr>
        <w:t> </w:t>
      </w:r>
      <w:r>
        <w:rPr>
          <w:sz w:val="20"/>
        </w:rPr>
        <w:t>of</w:t>
      </w:r>
      <w:r>
        <w:rPr>
          <w:spacing w:val="-9"/>
          <w:sz w:val="20"/>
        </w:rPr>
        <w:t> </w:t>
      </w:r>
      <w:r>
        <w:rPr>
          <w:sz w:val="20"/>
        </w:rPr>
        <w:t>those</w:t>
      </w:r>
      <w:r>
        <w:rPr>
          <w:spacing w:val="-10"/>
          <w:sz w:val="20"/>
        </w:rPr>
        <w:t> </w:t>
      </w:r>
      <w:r>
        <w:rPr>
          <w:sz w:val="20"/>
        </w:rPr>
        <w:t>who</w:t>
      </w:r>
      <w:r>
        <w:rPr>
          <w:spacing w:val="-9"/>
          <w:sz w:val="20"/>
        </w:rPr>
        <w:t> </w:t>
      </w:r>
      <w:r>
        <w:rPr>
          <w:sz w:val="20"/>
        </w:rPr>
        <w:t>do</w:t>
      </w:r>
      <w:r>
        <w:rPr>
          <w:spacing w:val="-10"/>
          <w:sz w:val="20"/>
        </w:rPr>
        <w:t> </w:t>
      </w:r>
      <w:r>
        <w:rPr>
          <w:sz w:val="20"/>
        </w:rPr>
        <w:t>not</w:t>
      </w:r>
      <w:r>
        <w:rPr>
          <w:spacing w:val="-9"/>
          <w:sz w:val="20"/>
        </w:rPr>
        <w:t> </w:t>
      </w:r>
      <w:r>
        <w:rPr>
          <w:spacing w:val="-4"/>
          <w:sz w:val="20"/>
        </w:rPr>
        <w:t>have</w:t>
      </w:r>
      <w:r>
        <w:rPr>
          <w:spacing w:val="-10"/>
          <w:sz w:val="20"/>
        </w:rPr>
        <w:t> </w:t>
      </w:r>
      <w:r>
        <w:rPr>
          <w:sz w:val="20"/>
        </w:rPr>
        <w:t>a</w:t>
      </w:r>
      <w:r>
        <w:rPr>
          <w:spacing w:val="-9"/>
          <w:sz w:val="20"/>
        </w:rPr>
        <w:t> </w:t>
      </w:r>
      <w:r>
        <w:rPr>
          <w:sz w:val="20"/>
        </w:rPr>
        <w:t>sensory</w:t>
      </w:r>
      <w:r>
        <w:rPr>
          <w:spacing w:val="-10"/>
          <w:sz w:val="20"/>
        </w:rPr>
        <w:t> </w:t>
      </w:r>
      <w:r>
        <w:rPr>
          <w:sz w:val="20"/>
        </w:rPr>
        <w:t>disability.</w:t>
      </w:r>
      <w:r>
        <w:rPr>
          <w:spacing w:val="-9"/>
          <w:sz w:val="20"/>
        </w:rPr>
        <w:t> </w:t>
      </w:r>
      <w:r>
        <w:rPr>
          <w:sz w:val="20"/>
        </w:rPr>
        <w:t>A</w:t>
      </w:r>
      <w:r>
        <w:rPr>
          <w:spacing w:val="-10"/>
          <w:sz w:val="20"/>
        </w:rPr>
        <w:t> </w:t>
      </w:r>
      <w:r>
        <w:rPr>
          <w:sz w:val="20"/>
        </w:rPr>
        <w:t>Blind</w:t>
      </w:r>
      <w:r>
        <w:rPr>
          <w:spacing w:val="-9"/>
          <w:sz w:val="20"/>
        </w:rPr>
        <w:t> </w:t>
      </w:r>
      <w:r>
        <w:rPr>
          <w:spacing w:val="-3"/>
          <w:sz w:val="20"/>
        </w:rPr>
        <w:t>Citizens</w:t>
      </w:r>
      <w:r>
        <w:rPr>
          <w:spacing w:val="-10"/>
          <w:sz w:val="20"/>
        </w:rPr>
        <w:t> </w:t>
      </w:r>
      <w:r>
        <w:rPr>
          <w:sz w:val="20"/>
        </w:rPr>
        <w:t>Australia consultation participant </w:t>
      </w:r>
      <w:r>
        <w:rPr>
          <w:spacing w:val="-3"/>
          <w:sz w:val="20"/>
        </w:rPr>
        <w:t>told </w:t>
      </w:r>
      <w:r>
        <w:rPr>
          <w:sz w:val="20"/>
        </w:rPr>
        <w:t>the</w:t>
      </w:r>
      <w:r>
        <w:rPr>
          <w:spacing w:val="-16"/>
          <w:sz w:val="20"/>
        </w:rPr>
        <w:t> </w:t>
      </w:r>
      <w:r>
        <w:rPr>
          <w:sz w:val="20"/>
        </w:rPr>
        <w:t>Commission:</w:t>
      </w:r>
    </w:p>
    <w:p>
      <w:pPr>
        <w:spacing w:line="208" w:lineRule="auto" w:before="121"/>
        <w:ind w:left="2157" w:right="1335" w:firstLine="0"/>
        <w:jc w:val="left"/>
        <w:rPr>
          <w:sz w:val="11"/>
        </w:rPr>
      </w:pPr>
      <w:r>
        <w:rPr>
          <w:sz w:val="19"/>
        </w:rPr>
        <w:t>Some people try to imagine how they would do a task without sight and cannot, so they can’t imagine how we could do it. We are limited by their imaginations, rather than being asked how we can do things.</w:t>
      </w:r>
      <w:r>
        <w:rPr>
          <w:position w:val="6"/>
          <w:sz w:val="11"/>
        </w:rPr>
        <w:t>91</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Another consultee </w:t>
      </w:r>
      <w:r>
        <w:rPr>
          <w:spacing w:val="-3"/>
          <w:sz w:val="20"/>
        </w:rPr>
        <w:t>told </w:t>
      </w:r>
      <w:r>
        <w:rPr>
          <w:sz w:val="20"/>
        </w:rPr>
        <w:t>us about his personal</w:t>
      </w:r>
      <w:r>
        <w:rPr>
          <w:spacing w:val="-31"/>
          <w:sz w:val="20"/>
        </w:rPr>
        <w:t> </w:t>
      </w:r>
      <w:r>
        <w:rPr>
          <w:sz w:val="20"/>
        </w:rPr>
        <w:t>experience:</w:t>
      </w:r>
    </w:p>
    <w:p>
      <w:pPr>
        <w:spacing w:line="208" w:lineRule="auto" w:before="113"/>
        <w:ind w:left="2157" w:right="1513" w:firstLine="0"/>
        <w:jc w:val="left"/>
        <w:rPr>
          <w:sz w:val="11"/>
        </w:rPr>
      </w:pPr>
      <w:r>
        <w:rPr>
          <w:sz w:val="19"/>
        </w:rPr>
        <w:t>I was standing around with the other blokes at the bowls club, and everyone was asked if they would like to be on the committee except me. I asked, ‘Why didn’t you ask me?’. They said, ‘Oh we didn’t think you could do it.’ Since then, I’ve been a committee member, a senior member, and the President!</w:t>
      </w:r>
      <w:r>
        <w:rPr>
          <w:position w:val="6"/>
          <w:sz w:val="11"/>
        </w:rPr>
        <w:t>92</w:t>
      </w:r>
    </w:p>
    <w:p>
      <w:pPr>
        <w:pStyle w:val="ListParagraph"/>
        <w:numPr>
          <w:ilvl w:val="1"/>
          <w:numId w:val="12"/>
        </w:numPr>
        <w:tabs>
          <w:tab w:pos="1761" w:val="left" w:leader="none"/>
          <w:tab w:pos="1762" w:val="left" w:leader="none"/>
        </w:tabs>
        <w:spacing w:line="206" w:lineRule="auto" w:before="124" w:after="0"/>
        <w:ind w:left="1761" w:right="1411" w:hanging="794"/>
        <w:jc w:val="left"/>
        <w:rPr>
          <w:sz w:val="20"/>
        </w:rPr>
      </w:pPr>
      <w:r>
        <w:rPr>
          <w:spacing w:val="-6"/>
          <w:sz w:val="20"/>
        </w:rPr>
        <w:t>We</w:t>
      </w:r>
      <w:r>
        <w:rPr>
          <w:spacing w:val="-11"/>
          <w:sz w:val="20"/>
        </w:rPr>
        <w:t> </w:t>
      </w:r>
      <w:r>
        <w:rPr>
          <w:spacing w:val="-4"/>
          <w:sz w:val="20"/>
        </w:rPr>
        <w:t>were</w:t>
      </w:r>
      <w:r>
        <w:rPr>
          <w:spacing w:val="-11"/>
          <w:sz w:val="20"/>
        </w:rPr>
        <w:t> </w:t>
      </w:r>
      <w:r>
        <w:rPr>
          <w:spacing w:val="-3"/>
          <w:sz w:val="20"/>
        </w:rPr>
        <w:t>told</w:t>
      </w:r>
      <w:r>
        <w:rPr>
          <w:spacing w:val="-11"/>
          <w:sz w:val="20"/>
        </w:rPr>
        <w:t> </w:t>
      </w:r>
      <w:r>
        <w:rPr>
          <w:sz w:val="20"/>
        </w:rPr>
        <w:t>that</w:t>
      </w:r>
      <w:r>
        <w:rPr>
          <w:spacing w:val="-11"/>
          <w:sz w:val="20"/>
        </w:rPr>
        <w:t> </w:t>
      </w:r>
      <w:r>
        <w:rPr>
          <w:sz w:val="20"/>
        </w:rPr>
        <w:t>young</w:t>
      </w:r>
      <w:r>
        <w:rPr>
          <w:spacing w:val="-11"/>
          <w:sz w:val="20"/>
        </w:rPr>
        <w:t> </w:t>
      </w:r>
      <w:r>
        <w:rPr>
          <w:sz w:val="20"/>
        </w:rPr>
        <w:t>people</w:t>
      </w:r>
      <w:r>
        <w:rPr>
          <w:spacing w:val="-11"/>
          <w:sz w:val="20"/>
        </w:rPr>
        <w:t> </w:t>
      </w:r>
      <w:r>
        <w:rPr>
          <w:sz w:val="20"/>
        </w:rPr>
        <w:t>within</w:t>
      </w:r>
      <w:r>
        <w:rPr>
          <w:spacing w:val="-11"/>
          <w:sz w:val="20"/>
        </w:rPr>
        <w:t> </w:t>
      </w:r>
      <w:r>
        <w:rPr>
          <w:sz w:val="20"/>
        </w:rPr>
        <w:t>the</w:t>
      </w:r>
      <w:r>
        <w:rPr>
          <w:spacing w:val="-11"/>
          <w:sz w:val="20"/>
        </w:rPr>
        <w:t> </w:t>
      </w:r>
      <w:r>
        <w:rPr>
          <w:sz w:val="20"/>
        </w:rPr>
        <w:t>subject</w:t>
      </w:r>
      <w:r>
        <w:rPr>
          <w:spacing w:val="-11"/>
          <w:sz w:val="20"/>
        </w:rPr>
        <w:t> </w:t>
      </w:r>
      <w:r>
        <w:rPr>
          <w:sz w:val="20"/>
        </w:rPr>
        <w:t>groups</w:t>
      </w:r>
      <w:r>
        <w:rPr>
          <w:spacing w:val="-11"/>
          <w:sz w:val="20"/>
        </w:rPr>
        <w:t> </w:t>
      </w:r>
      <w:r>
        <w:rPr>
          <w:spacing w:val="-3"/>
          <w:sz w:val="20"/>
        </w:rPr>
        <w:t>are</w:t>
      </w:r>
      <w:r>
        <w:rPr>
          <w:spacing w:val="-11"/>
          <w:sz w:val="20"/>
        </w:rPr>
        <w:t> </w:t>
      </w:r>
      <w:r>
        <w:rPr>
          <w:sz w:val="20"/>
        </w:rPr>
        <w:t>particularly</w:t>
      </w:r>
      <w:r>
        <w:rPr>
          <w:spacing w:val="-11"/>
          <w:sz w:val="20"/>
        </w:rPr>
        <w:t> </w:t>
      </w:r>
      <w:r>
        <w:rPr>
          <w:sz w:val="20"/>
        </w:rPr>
        <w:t>concerned about being ignored and disempowered. </w:t>
      </w:r>
      <w:r>
        <w:rPr>
          <w:spacing w:val="-5"/>
          <w:sz w:val="20"/>
        </w:rPr>
        <w:t>Youth </w:t>
      </w:r>
      <w:r>
        <w:rPr>
          <w:sz w:val="20"/>
        </w:rPr>
        <w:t>Disability </w:t>
      </w:r>
      <w:r>
        <w:rPr>
          <w:spacing w:val="-3"/>
          <w:sz w:val="20"/>
        </w:rPr>
        <w:t>Advocacy </w:t>
      </w:r>
      <w:r>
        <w:rPr>
          <w:sz w:val="20"/>
        </w:rPr>
        <w:t>Service (YDAS) observed:</w:t>
      </w:r>
    </w:p>
    <w:p>
      <w:pPr>
        <w:spacing w:line="208" w:lineRule="auto" w:before="122"/>
        <w:ind w:left="2157" w:right="1202" w:firstLine="0"/>
        <w:jc w:val="left"/>
        <w:rPr>
          <w:sz w:val="11"/>
        </w:rPr>
      </w:pPr>
      <w:r>
        <w:rPr>
          <w:sz w:val="19"/>
        </w:rPr>
        <w:t>young people with disabilities face difficulties accessing information. They are often the subject of ‘gatekeeping’. Organisations and service providers target the parent/ carer/guardian when providing information rather than the young person. Essentially, young adults with disabilities are underestimated to the point that they are not able to be autonomous.</w:t>
      </w:r>
      <w:r>
        <w:rPr>
          <w:position w:val="6"/>
          <w:sz w:val="11"/>
        </w:rPr>
        <w:t>93</w:t>
      </w:r>
    </w:p>
    <w:p>
      <w:pPr>
        <w:pStyle w:val="BodyText"/>
        <w:spacing w:before="11"/>
        <w:rPr>
          <w:sz w:val="17"/>
        </w:rPr>
      </w:pPr>
      <w:r>
        <w:rPr/>
        <w:pict>
          <v:line style="position:absolute;mso-position-horizontal-relative:page;mso-position-vertical-relative:paragraph;z-index:5000;mso-wrap-distance-left:0;mso-wrap-distance-right:0" from="79.370003pt,14.8385pt" to="515.905003pt,14.8385pt" stroked="true" strokeweight="1pt" strokecolor="#b6bdc8">
            <v:stroke dashstyle="solid"/>
            <w10:wrap type="topAndBottom"/>
          </v:line>
        </w:pict>
      </w:r>
    </w:p>
    <w:p>
      <w:pPr>
        <w:pStyle w:val="ListParagraph"/>
        <w:numPr>
          <w:ilvl w:val="0"/>
          <w:numId w:val="63"/>
        </w:numPr>
        <w:tabs>
          <w:tab w:pos="1760" w:val="left" w:leader="none"/>
          <w:tab w:pos="1762" w:val="left" w:leader="none"/>
        </w:tabs>
        <w:spacing w:line="170" w:lineRule="exact" w:before="91" w:after="0"/>
        <w:ind w:left="1761" w:right="0" w:hanging="794"/>
        <w:jc w:val="left"/>
        <w:rPr>
          <w:sz w:val="13"/>
        </w:rPr>
      </w:pPr>
      <w:r>
        <w:rPr>
          <w:sz w:val="13"/>
        </w:rPr>
        <w:t>Consultation 1 </w:t>
      </w:r>
      <w:r>
        <w:rPr>
          <w:spacing w:val="2"/>
          <w:sz w:val="13"/>
        </w:rPr>
        <w:t>(Blind </w:t>
      </w:r>
      <w:r>
        <w:rPr>
          <w:sz w:val="13"/>
        </w:rPr>
        <w:t>Citizens</w:t>
      </w:r>
      <w:r>
        <w:rPr>
          <w:spacing w:val="-2"/>
          <w:sz w:val="13"/>
        </w:rPr>
        <w:t> </w:t>
      </w:r>
      <w:r>
        <w:rPr>
          <w:sz w:val="13"/>
        </w:rPr>
        <w:t>Australia).</w:t>
      </w:r>
    </w:p>
    <w:p>
      <w:pPr>
        <w:pStyle w:val="ListParagraph"/>
        <w:numPr>
          <w:ilvl w:val="0"/>
          <w:numId w:val="63"/>
        </w:numPr>
        <w:tabs>
          <w:tab w:pos="1760" w:val="left" w:leader="none"/>
          <w:tab w:pos="1762" w:val="left" w:leader="none"/>
        </w:tabs>
        <w:spacing w:line="213" w:lineRule="auto" w:before="6" w:after="0"/>
        <w:ind w:left="1761" w:right="1305" w:hanging="794"/>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63"/>
        </w:numPr>
        <w:tabs>
          <w:tab w:pos="1760" w:val="left" w:leader="none"/>
          <w:tab w:pos="1762" w:val="left" w:leader="none"/>
        </w:tabs>
        <w:spacing w:line="153" w:lineRule="exact" w:before="0" w:after="0"/>
        <w:ind w:left="1761" w:right="0" w:hanging="794"/>
        <w:jc w:val="left"/>
        <w:rPr>
          <w:sz w:val="13"/>
        </w:rPr>
      </w:pPr>
      <w:r>
        <w:rPr>
          <w:sz w:val="13"/>
        </w:rPr>
        <w:t>Consultation 6 (Deaf Victoria and community</w:t>
      </w:r>
      <w:r>
        <w:rPr>
          <w:spacing w:val="3"/>
          <w:sz w:val="13"/>
        </w:rPr>
        <w:t> </w:t>
      </w:r>
      <w:r>
        <w:rPr>
          <w:sz w:val="13"/>
        </w:rPr>
        <w:t>participants).</w:t>
      </w:r>
    </w:p>
    <w:p>
      <w:pPr>
        <w:pStyle w:val="ListParagraph"/>
        <w:numPr>
          <w:ilvl w:val="0"/>
          <w:numId w:val="63"/>
        </w:numPr>
        <w:tabs>
          <w:tab w:pos="1761" w:val="left" w:leader="none"/>
          <w:tab w:pos="1762" w:val="left" w:leader="none"/>
        </w:tabs>
        <w:spacing w:line="213" w:lineRule="auto" w:before="6" w:after="0"/>
        <w:ind w:left="1761" w:right="1423" w:hanging="794"/>
        <w:jc w:val="left"/>
        <w:rPr>
          <w:sz w:val="13"/>
        </w:rPr>
      </w:pPr>
      <w:r>
        <w:rPr>
          <w:sz w:val="13"/>
        </w:rPr>
        <w:t>Consultations 1 </w:t>
      </w:r>
      <w:r>
        <w:rPr>
          <w:spacing w:val="2"/>
          <w:sz w:val="13"/>
        </w:rPr>
        <w:t>(Blind </w:t>
      </w:r>
      <w:r>
        <w:rPr>
          <w:sz w:val="13"/>
        </w:rPr>
        <w:t>Citizens Australia), 6 (Deaf Victoria and community participants), 7 </w:t>
      </w:r>
      <w:r>
        <w:rPr>
          <w:spacing w:val="2"/>
          <w:sz w:val="13"/>
        </w:rPr>
        <w:t>(Vision </w:t>
      </w:r>
      <w:r>
        <w:rPr>
          <w:sz w:val="13"/>
        </w:rPr>
        <w:t>Australia), 8 (Brent Phillips),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1"/>
          <w:sz w:val="13"/>
        </w:rPr>
        <w:t> </w:t>
      </w:r>
      <w:r>
        <w:rPr>
          <w:sz w:val="13"/>
        </w:rPr>
        <w:t>capacity).</w:t>
      </w:r>
    </w:p>
    <w:p>
      <w:pPr>
        <w:pStyle w:val="ListParagraph"/>
        <w:numPr>
          <w:ilvl w:val="0"/>
          <w:numId w:val="63"/>
        </w:numPr>
        <w:tabs>
          <w:tab w:pos="1760" w:val="left" w:leader="none"/>
          <w:tab w:pos="1762" w:val="left" w:leader="none"/>
        </w:tabs>
        <w:spacing w:line="213" w:lineRule="auto" w:before="0" w:after="0"/>
        <w:ind w:left="1761" w:right="1243" w:hanging="794"/>
        <w:jc w:val="left"/>
        <w:rPr>
          <w:sz w:val="13"/>
        </w:rPr>
      </w:pPr>
      <w:r>
        <w:rPr>
          <w:sz w:val="13"/>
        </w:rPr>
        <w:t>For example, Consultations 6 (Deaf Victoria and community participants), 7 </w:t>
      </w:r>
      <w:r>
        <w:rPr>
          <w:spacing w:val="2"/>
          <w:sz w:val="13"/>
        </w:rPr>
        <w:t>(Vision </w:t>
      </w:r>
      <w:r>
        <w:rPr>
          <w:sz w:val="13"/>
        </w:rPr>
        <w:t>Australia), 13 (National Accreditation Authority  for Translators and Interpreters (NAATI)).</w:t>
      </w:r>
    </w:p>
    <w:p>
      <w:pPr>
        <w:pStyle w:val="ListParagraph"/>
        <w:numPr>
          <w:ilvl w:val="0"/>
          <w:numId w:val="63"/>
        </w:numPr>
        <w:tabs>
          <w:tab w:pos="1760" w:val="left" w:leader="none"/>
          <w:tab w:pos="1762" w:val="left" w:leader="none"/>
        </w:tabs>
        <w:spacing w:line="213" w:lineRule="auto" w:before="0" w:after="0"/>
        <w:ind w:left="1761" w:right="1462" w:hanging="794"/>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w:t>
      </w:r>
      <w:r>
        <w:rPr>
          <w:spacing w:val="4"/>
          <w:sz w:val="13"/>
        </w:rPr>
        <w:t> </w:t>
      </w:r>
      <w:r>
        <w:rPr>
          <w:sz w:val="13"/>
        </w:rPr>
        <w:t>People</w:t>
      </w:r>
      <w:r>
        <w:rPr>
          <w:spacing w:val="5"/>
          <w:sz w:val="13"/>
        </w:rPr>
        <w:t> </w:t>
      </w:r>
      <w:r>
        <w:rPr>
          <w:sz w:val="13"/>
        </w:rPr>
        <w:t>with</w:t>
      </w:r>
      <w:r>
        <w:rPr>
          <w:spacing w:val="5"/>
          <w:sz w:val="13"/>
        </w:rPr>
        <w:t> </w:t>
      </w:r>
      <w:r>
        <w:rPr>
          <w:sz w:val="13"/>
        </w:rPr>
        <w:t>Disability,</w:t>
      </w:r>
      <w:r>
        <w:rPr>
          <w:spacing w:val="5"/>
          <w:sz w:val="13"/>
        </w:rPr>
        <w:t> </w:t>
      </w:r>
      <w:r>
        <w:rPr>
          <w:sz w:val="13"/>
        </w:rPr>
        <w:t>in</w:t>
      </w:r>
      <w:r>
        <w:rPr>
          <w:spacing w:val="5"/>
          <w:sz w:val="13"/>
        </w:rPr>
        <w:t> </w:t>
      </w:r>
      <w:r>
        <w:rPr>
          <w:sz w:val="13"/>
        </w:rPr>
        <w:t>his</w:t>
      </w:r>
      <w:r>
        <w:rPr>
          <w:spacing w:val="5"/>
          <w:sz w:val="13"/>
        </w:rPr>
        <w:t> </w:t>
      </w:r>
      <w:r>
        <w:rPr>
          <w:sz w:val="13"/>
        </w:rPr>
        <w:t>personal</w:t>
      </w:r>
      <w:r>
        <w:rPr>
          <w:spacing w:val="5"/>
          <w:sz w:val="13"/>
        </w:rPr>
        <w:t> </w:t>
      </w:r>
      <w:r>
        <w:rPr>
          <w:sz w:val="13"/>
        </w:rPr>
        <w:t>capacity).</w:t>
      </w:r>
      <w:r>
        <w:rPr>
          <w:spacing w:val="5"/>
          <w:sz w:val="13"/>
        </w:rPr>
        <w:t> </w:t>
      </w:r>
      <w:r>
        <w:rPr>
          <w:sz w:val="13"/>
        </w:rPr>
        <w:t>Similarly,</w:t>
      </w:r>
      <w:r>
        <w:rPr>
          <w:spacing w:val="5"/>
          <w:sz w:val="13"/>
        </w:rPr>
        <w:t> </w:t>
      </w:r>
      <w:r>
        <w:rPr>
          <w:sz w:val="13"/>
        </w:rPr>
        <w:t>a</w:t>
      </w:r>
      <w:r>
        <w:rPr>
          <w:spacing w:val="4"/>
          <w:sz w:val="13"/>
        </w:rPr>
        <w:t> </w:t>
      </w:r>
      <w:r>
        <w:rPr>
          <w:spacing w:val="2"/>
          <w:sz w:val="13"/>
        </w:rPr>
        <w:t>member</w:t>
      </w:r>
      <w:r>
        <w:rPr>
          <w:spacing w:val="5"/>
          <w:sz w:val="13"/>
        </w:rPr>
        <w:t> </w:t>
      </w:r>
      <w:r>
        <w:rPr>
          <w:sz w:val="13"/>
        </w:rPr>
        <w:t>of</w:t>
      </w:r>
      <w:r>
        <w:rPr>
          <w:spacing w:val="5"/>
          <w:sz w:val="13"/>
        </w:rPr>
        <w:t> </w:t>
      </w:r>
      <w:r>
        <w:rPr>
          <w:sz w:val="13"/>
        </w:rPr>
        <w:t>Deaf</w:t>
      </w:r>
      <w:r>
        <w:rPr>
          <w:spacing w:val="5"/>
          <w:sz w:val="13"/>
        </w:rPr>
        <w:t> </w:t>
      </w:r>
      <w:r>
        <w:rPr>
          <w:sz w:val="13"/>
        </w:rPr>
        <w:t>Victoria</w:t>
      </w:r>
      <w:r>
        <w:rPr>
          <w:spacing w:val="5"/>
          <w:sz w:val="13"/>
        </w:rPr>
        <w:t> </w:t>
      </w:r>
      <w:r>
        <w:rPr>
          <w:sz w:val="13"/>
        </w:rPr>
        <w:t>noted</w:t>
      </w:r>
      <w:r>
        <w:rPr>
          <w:spacing w:val="5"/>
          <w:sz w:val="13"/>
        </w:rPr>
        <w:t> </w:t>
      </w:r>
      <w:r>
        <w:rPr>
          <w:sz w:val="13"/>
        </w:rPr>
        <w:t>that:</w:t>
      </w:r>
      <w:r>
        <w:rPr>
          <w:spacing w:val="5"/>
          <w:sz w:val="13"/>
        </w:rPr>
        <w:t> </w:t>
      </w:r>
      <w:r>
        <w:rPr>
          <w:sz w:val="13"/>
        </w:rPr>
        <w:t>‘There</w:t>
      </w:r>
      <w:r>
        <w:rPr>
          <w:spacing w:val="5"/>
          <w:sz w:val="13"/>
        </w:rPr>
        <w:t> </w:t>
      </w:r>
      <w:r>
        <w:rPr>
          <w:sz w:val="13"/>
        </w:rPr>
        <w:t>is</w:t>
      </w:r>
      <w:r>
        <w:rPr>
          <w:spacing w:val="5"/>
          <w:sz w:val="13"/>
        </w:rPr>
        <w:t> </w:t>
      </w:r>
      <w:r>
        <w:rPr>
          <w:sz w:val="13"/>
        </w:rPr>
        <w:t>an</w:t>
      </w:r>
      <w:r>
        <w:rPr>
          <w:spacing w:val="5"/>
          <w:sz w:val="13"/>
        </w:rPr>
        <w:t> </w:t>
      </w:r>
      <w:r>
        <w:rPr>
          <w:sz w:val="13"/>
        </w:rPr>
        <w:t>underlying</w:t>
      </w:r>
    </w:p>
    <w:p>
      <w:pPr>
        <w:spacing w:line="153" w:lineRule="exact" w:before="0"/>
        <w:ind w:left="1761" w:right="0" w:firstLine="0"/>
        <w:jc w:val="left"/>
        <w:rPr>
          <w:sz w:val="13"/>
        </w:rPr>
      </w:pPr>
      <w:r>
        <w:rPr>
          <w:sz w:val="13"/>
        </w:rPr>
        <w:t>attitude that deafness equates to “can’t”. However, the ability to hear is different from the ability to understand and comprehend’:</w:t>
      </w:r>
    </w:p>
    <w:p>
      <w:pPr>
        <w:spacing w:line="160" w:lineRule="exact" w:before="0"/>
        <w:ind w:left="1761" w:right="0" w:firstLine="0"/>
        <w:jc w:val="left"/>
        <w:rPr>
          <w:sz w:val="13"/>
        </w:rPr>
      </w:pPr>
      <w:r>
        <w:rPr>
          <w:sz w:val="13"/>
        </w:rPr>
        <w:t>Consultation 6 (Deaf Victoria and community participants).</w:t>
      </w:r>
    </w:p>
    <w:p>
      <w:pPr>
        <w:pStyle w:val="ListParagraph"/>
        <w:numPr>
          <w:ilvl w:val="0"/>
          <w:numId w:val="63"/>
        </w:numPr>
        <w:tabs>
          <w:tab w:pos="1760" w:val="left" w:leader="none"/>
          <w:tab w:pos="1762" w:val="left" w:leader="none"/>
        </w:tabs>
        <w:spacing w:line="160" w:lineRule="exact" w:before="0" w:after="0"/>
        <w:ind w:left="1761" w:right="0" w:hanging="794"/>
        <w:jc w:val="left"/>
        <w:rPr>
          <w:sz w:val="13"/>
        </w:rPr>
      </w:pPr>
      <w:r>
        <w:rPr>
          <w:sz w:val="13"/>
        </w:rPr>
        <w:t>Consultation 1 </w:t>
      </w:r>
      <w:r>
        <w:rPr>
          <w:spacing w:val="2"/>
          <w:sz w:val="13"/>
        </w:rPr>
        <w:t>(Blind </w:t>
      </w:r>
      <w:r>
        <w:rPr>
          <w:sz w:val="13"/>
        </w:rPr>
        <w:t>Citizens</w:t>
      </w:r>
      <w:r>
        <w:rPr>
          <w:spacing w:val="-2"/>
          <w:sz w:val="13"/>
        </w:rPr>
        <w:t> </w:t>
      </w:r>
      <w:r>
        <w:rPr>
          <w:sz w:val="13"/>
        </w:rPr>
        <w:t>Australia).</w:t>
      </w:r>
    </w:p>
    <w:p>
      <w:pPr>
        <w:pStyle w:val="ListParagraph"/>
        <w:numPr>
          <w:ilvl w:val="0"/>
          <w:numId w:val="63"/>
        </w:numPr>
        <w:tabs>
          <w:tab w:pos="1760" w:val="left" w:leader="none"/>
          <w:tab w:pos="1762" w:val="left" w:leader="none"/>
        </w:tabs>
        <w:spacing w:line="160" w:lineRule="exact" w:before="0" w:after="0"/>
        <w:ind w:left="1761" w:right="0" w:hanging="794"/>
        <w:jc w:val="left"/>
        <w:rPr>
          <w:sz w:val="13"/>
        </w:rPr>
      </w:pPr>
      <w:r>
        <w:rPr/>
        <w:pict>
          <v:shape style="position:absolute;margin-left:36pt;margin-top:3.70805pt;width:14.6pt;height:14.1pt;mso-position-horizontal-relative:page;mso-position-vertical-relative:paragraph;z-index:7072" type="#_x0000_t202" filled="false" stroked="false">
            <v:textbox inset="0,0,0,0">
              <w:txbxContent>
                <w:p>
                  <w:pPr>
                    <w:spacing w:line="282" w:lineRule="exact" w:before="0"/>
                    <w:ind w:left="0" w:right="0" w:firstLine="0"/>
                    <w:jc w:val="left"/>
                    <w:rPr>
                      <w:b/>
                      <w:sz w:val="24"/>
                    </w:rPr>
                  </w:pPr>
                  <w:r>
                    <w:rPr>
                      <w:b/>
                      <w:color w:val="37617A"/>
                      <w:spacing w:val="-1"/>
                      <w:sz w:val="24"/>
                    </w:rPr>
                    <w:t>80</w:t>
                  </w:r>
                </w:p>
              </w:txbxContent>
            </v:textbox>
            <w10:wrap type="none"/>
          </v:shape>
        </w:pict>
      </w:r>
      <w:r>
        <w:rPr>
          <w:spacing w:val="2"/>
          <w:sz w:val="13"/>
        </w:rPr>
        <w:t>Ibid.</w:t>
      </w:r>
    </w:p>
    <w:p>
      <w:pPr>
        <w:pStyle w:val="ListParagraph"/>
        <w:numPr>
          <w:ilvl w:val="0"/>
          <w:numId w:val="63"/>
        </w:numPr>
        <w:tabs>
          <w:tab w:pos="1761" w:val="left" w:leader="none"/>
          <w:tab w:pos="1762" w:val="left" w:leader="none"/>
        </w:tabs>
        <w:spacing w:line="170" w:lineRule="exact" w:before="0" w:after="0"/>
        <w:ind w:left="1761" w:right="0" w:hanging="794"/>
        <w:jc w:val="left"/>
        <w:rPr>
          <w:sz w:val="13"/>
        </w:rPr>
      </w:pPr>
      <w:r>
        <w:rPr>
          <w:sz w:val="13"/>
        </w:rPr>
        <w:t>Consultation 17 (Youth </w:t>
      </w:r>
      <w:r>
        <w:rPr>
          <w:spacing w:val="2"/>
          <w:sz w:val="13"/>
        </w:rPr>
        <w:t>Disability </w:t>
      </w:r>
      <w:r>
        <w:rPr>
          <w:sz w:val="13"/>
        </w:rPr>
        <w:t>Advocacy </w:t>
      </w:r>
      <w:r>
        <w:rPr>
          <w:spacing w:val="2"/>
          <w:sz w:val="13"/>
        </w:rPr>
        <w:t>Service</w:t>
      </w:r>
      <w:r>
        <w:rPr>
          <w:spacing w:val="-1"/>
          <w:sz w:val="13"/>
        </w:rPr>
        <w:t> </w:t>
      </w:r>
      <w:r>
        <w:rPr>
          <w:sz w:val="13"/>
        </w:rPr>
        <w:t>(YDAS)).</w:t>
      </w:r>
    </w:p>
    <w:p>
      <w:pPr>
        <w:spacing w:after="0" w:line="170"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408" w:hanging="794"/>
        <w:jc w:val="left"/>
        <w:rPr>
          <w:sz w:val="11"/>
        </w:rPr>
      </w:pPr>
      <w:bookmarkStart w:name="_bookmark63" w:id="160"/>
      <w:bookmarkEnd w:id="160"/>
      <w:r>
        <w:rPr/>
      </w:r>
      <w:bookmarkStart w:name="_bookmark63" w:id="161"/>
      <w:bookmarkEnd w:id="161"/>
      <w:r>
        <w:rPr>
          <w:sz w:val="20"/>
        </w:rPr>
        <w:t>Nu</w:t>
      </w:r>
      <w:r>
        <w:rPr>
          <w:sz w:val="20"/>
        </w:rPr>
        <w:t>merous community members noted the negative impact that these assumptions and</w:t>
      </w:r>
      <w:r>
        <w:rPr>
          <w:spacing w:val="-12"/>
          <w:sz w:val="20"/>
        </w:rPr>
        <w:t> </w:t>
      </w:r>
      <w:r>
        <w:rPr>
          <w:spacing w:val="-4"/>
          <w:sz w:val="20"/>
        </w:rPr>
        <w:t>low</w:t>
      </w:r>
      <w:r>
        <w:rPr>
          <w:spacing w:val="-11"/>
          <w:sz w:val="20"/>
        </w:rPr>
        <w:t> </w:t>
      </w:r>
      <w:r>
        <w:rPr>
          <w:sz w:val="20"/>
        </w:rPr>
        <w:t>expectations</w:t>
      </w:r>
      <w:r>
        <w:rPr>
          <w:spacing w:val="-12"/>
          <w:sz w:val="20"/>
        </w:rPr>
        <w:t> </w:t>
      </w:r>
      <w:r>
        <w:rPr>
          <w:spacing w:val="-4"/>
          <w:sz w:val="20"/>
        </w:rPr>
        <w:t>have</w:t>
      </w:r>
      <w:r>
        <w:rPr>
          <w:spacing w:val="-11"/>
          <w:sz w:val="20"/>
        </w:rPr>
        <w:t> </w:t>
      </w:r>
      <w:r>
        <w:rPr>
          <w:sz w:val="20"/>
        </w:rPr>
        <w:t>on</w:t>
      </w:r>
      <w:r>
        <w:rPr>
          <w:spacing w:val="-11"/>
          <w:sz w:val="20"/>
        </w:rPr>
        <w:t> </w:t>
      </w:r>
      <w:r>
        <w:rPr>
          <w:sz w:val="20"/>
        </w:rPr>
        <w:t>their</w:t>
      </w:r>
      <w:r>
        <w:rPr>
          <w:spacing w:val="-12"/>
          <w:sz w:val="20"/>
        </w:rPr>
        <w:t> </w:t>
      </w:r>
      <w:r>
        <w:rPr>
          <w:sz w:val="20"/>
        </w:rPr>
        <w:t>lives.</w:t>
      </w:r>
      <w:r>
        <w:rPr>
          <w:spacing w:val="-11"/>
          <w:sz w:val="20"/>
        </w:rPr>
        <w:t> </w:t>
      </w:r>
      <w:r>
        <w:rPr>
          <w:sz w:val="20"/>
        </w:rPr>
        <w:t>One</w:t>
      </w:r>
      <w:r>
        <w:rPr>
          <w:spacing w:val="-12"/>
          <w:sz w:val="20"/>
        </w:rPr>
        <w:t> </w:t>
      </w:r>
      <w:r>
        <w:rPr>
          <w:sz w:val="20"/>
        </w:rPr>
        <w:t>consultation</w:t>
      </w:r>
      <w:r>
        <w:rPr>
          <w:spacing w:val="-11"/>
          <w:sz w:val="20"/>
        </w:rPr>
        <w:t> </w:t>
      </w:r>
      <w:r>
        <w:rPr>
          <w:sz w:val="20"/>
        </w:rPr>
        <w:t>participant</w:t>
      </w:r>
      <w:r>
        <w:rPr>
          <w:spacing w:val="-11"/>
          <w:sz w:val="20"/>
        </w:rPr>
        <w:t> </w:t>
      </w:r>
      <w:r>
        <w:rPr>
          <w:sz w:val="20"/>
        </w:rPr>
        <w:t>noted:</w:t>
      </w:r>
      <w:r>
        <w:rPr>
          <w:spacing w:val="-12"/>
          <w:sz w:val="20"/>
        </w:rPr>
        <w:t> </w:t>
      </w:r>
      <w:r>
        <w:rPr>
          <w:sz w:val="20"/>
        </w:rPr>
        <w:t>‘Many</w:t>
      </w:r>
      <w:r>
        <w:rPr>
          <w:spacing w:val="-11"/>
          <w:sz w:val="20"/>
        </w:rPr>
        <w:t> </w:t>
      </w:r>
      <w:r>
        <w:rPr>
          <w:sz w:val="20"/>
        </w:rPr>
        <w:t>of us</w:t>
      </w:r>
      <w:r>
        <w:rPr>
          <w:spacing w:val="-11"/>
          <w:sz w:val="20"/>
        </w:rPr>
        <w:t> </w:t>
      </w:r>
      <w:r>
        <w:rPr>
          <w:sz w:val="20"/>
        </w:rPr>
        <w:t>can</w:t>
      </w:r>
      <w:r>
        <w:rPr>
          <w:spacing w:val="-11"/>
          <w:sz w:val="20"/>
        </w:rPr>
        <w:t> </w:t>
      </w:r>
      <w:r>
        <w:rPr>
          <w:spacing w:val="-4"/>
          <w:sz w:val="20"/>
        </w:rPr>
        <w:t>have</w:t>
      </w:r>
      <w:r>
        <w:rPr>
          <w:spacing w:val="-11"/>
          <w:sz w:val="20"/>
        </w:rPr>
        <w:t> </w:t>
      </w:r>
      <w:r>
        <w:rPr>
          <w:spacing w:val="-3"/>
          <w:sz w:val="20"/>
        </w:rPr>
        <w:t>children</w:t>
      </w:r>
      <w:r>
        <w:rPr>
          <w:spacing w:val="-11"/>
          <w:sz w:val="20"/>
        </w:rPr>
        <w:t> </w:t>
      </w:r>
      <w:r>
        <w:rPr>
          <w:sz w:val="20"/>
        </w:rPr>
        <w:t>and</w:t>
      </w:r>
      <w:r>
        <w:rPr>
          <w:spacing w:val="-10"/>
          <w:sz w:val="20"/>
        </w:rPr>
        <w:t> </w:t>
      </w:r>
      <w:r>
        <w:rPr>
          <w:sz w:val="20"/>
        </w:rPr>
        <w:t>raise</w:t>
      </w:r>
      <w:r>
        <w:rPr>
          <w:spacing w:val="-11"/>
          <w:sz w:val="20"/>
        </w:rPr>
        <w:t> </w:t>
      </w:r>
      <w:r>
        <w:rPr>
          <w:sz w:val="20"/>
        </w:rPr>
        <w:t>them</w:t>
      </w:r>
      <w:r>
        <w:rPr>
          <w:spacing w:val="-11"/>
          <w:sz w:val="20"/>
        </w:rPr>
        <w:t> </w:t>
      </w:r>
      <w:r>
        <w:rPr>
          <w:sz w:val="20"/>
        </w:rPr>
        <w:t>in</w:t>
      </w:r>
      <w:r>
        <w:rPr>
          <w:spacing w:val="-11"/>
          <w:sz w:val="20"/>
        </w:rPr>
        <w:t> </w:t>
      </w:r>
      <w:r>
        <w:rPr>
          <w:sz w:val="20"/>
        </w:rPr>
        <w:t>a</w:t>
      </w:r>
      <w:r>
        <w:rPr>
          <w:spacing w:val="-11"/>
          <w:sz w:val="20"/>
        </w:rPr>
        <w:t> </w:t>
      </w:r>
      <w:r>
        <w:rPr>
          <w:sz w:val="20"/>
        </w:rPr>
        <w:t>flourishing</w:t>
      </w:r>
      <w:r>
        <w:rPr>
          <w:spacing w:val="-11"/>
          <w:sz w:val="20"/>
        </w:rPr>
        <w:t> </w:t>
      </w:r>
      <w:r>
        <w:rPr>
          <w:sz w:val="20"/>
        </w:rPr>
        <w:t>environment.</w:t>
      </w:r>
      <w:r>
        <w:rPr>
          <w:spacing w:val="-10"/>
          <w:sz w:val="20"/>
        </w:rPr>
        <w:t> </w:t>
      </w:r>
      <w:r>
        <w:rPr>
          <w:sz w:val="20"/>
        </w:rPr>
        <w:t>Misconceptions</w:t>
      </w:r>
      <w:r>
        <w:rPr>
          <w:spacing w:val="-11"/>
          <w:sz w:val="20"/>
        </w:rPr>
        <w:t> </w:t>
      </w:r>
      <w:r>
        <w:rPr>
          <w:sz w:val="20"/>
        </w:rPr>
        <w:t>can </w:t>
      </w:r>
      <w:r>
        <w:rPr>
          <w:spacing w:val="-3"/>
          <w:sz w:val="20"/>
        </w:rPr>
        <w:t>negatively </w:t>
      </w:r>
      <w:r>
        <w:rPr>
          <w:sz w:val="20"/>
        </w:rPr>
        <w:t>impact our lives and those of our</w:t>
      </w:r>
      <w:r>
        <w:rPr>
          <w:spacing w:val="-32"/>
          <w:sz w:val="20"/>
        </w:rPr>
        <w:t> </w:t>
      </w:r>
      <w:r>
        <w:rPr>
          <w:spacing w:val="-3"/>
          <w:sz w:val="20"/>
        </w:rPr>
        <w:t>children.’</w:t>
      </w:r>
      <w:r>
        <w:rPr>
          <w:spacing w:val="-3"/>
          <w:position w:val="7"/>
          <w:sz w:val="11"/>
        </w:rPr>
        <w:t>94</w:t>
      </w:r>
    </w:p>
    <w:p>
      <w:pPr>
        <w:pStyle w:val="Heading3"/>
        <w:spacing w:before="163"/>
      </w:pPr>
      <w:r>
        <w:rPr/>
        <w:t>Why do misconceptions arise?</w:t>
      </w:r>
    </w:p>
    <w:p>
      <w:pPr>
        <w:pStyle w:val="ListParagraph"/>
        <w:numPr>
          <w:ilvl w:val="1"/>
          <w:numId w:val="12"/>
        </w:numPr>
        <w:tabs>
          <w:tab w:pos="1761" w:val="left" w:leader="none"/>
          <w:tab w:pos="1762" w:val="left" w:leader="none"/>
        </w:tabs>
        <w:spacing w:line="206" w:lineRule="auto" w:before="127" w:after="0"/>
        <w:ind w:left="1761" w:right="1208" w:hanging="794"/>
        <w:jc w:val="left"/>
        <w:rPr>
          <w:sz w:val="11"/>
        </w:rPr>
      </w:pPr>
      <w:r>
        <w:rPr>
          <w:sz w:val="20"/>
        </w:rPr>
        <w:t>Alastair</w:t>
      </w:r>
      <w:r>
        <w:rPr>
          <w:spacing w:val="-12"/>
          <w:sz w:val="20"/>
        </w:rPr>
        <w:t> </w:t>
      </w:r>
      <w:r>
        <w:rPr>
          <w:spacing w:val="-3"/>
          <w:sz w:val="20"/>
        </w:rPr>
        <w:t>McEwin</w:t>
      </w:r>
      <w:r>
        <w:rPr>
          <w:spacing w:val="-11"/>
          <w:sz w:val="20"/>
        </w:rPr>
        <w:t> </w:t>
      </w:r>
      <w:r>
        <w:rPr>
          <w:sz w:val="20"/>
        </w:rPr>
        <w:t>suggested</w:t>
      </w:r>
      <w:r>
        <w:rPr>
          <w:spacing w:val="-11"/>
          <w:sz w:val="20"/>
        </w:rPr>
        <w:t> </w:t>
      </w:r>
      <w:r>
        <w:rPr>
          <w:sz w:val="20"/>
        </w:rPr>
        <w:t>that</w:t>
      </w:r>
      <w:r>
        <w:rPr>
          <w:spacing w:val="-11"/>
          <w:sz w:val="20"/>
        </w:rPr>
        <w:t> </w:t>
      </w:r>
      <w:r>
        <w:rPr>
          <w:sz w:val="20"/>
        </w:rPr>
        <w:t>misconceptions</w:t>
      </w:r>
      <w:r>
        <w:rPr>
          <w:spacing w:val="-11"/>
          <w:sz w:val="20"/>
        </w:rPr>
        <w:t> </w:t>
      </w:r>
      <w:r>
        <w:rPr>
          <w:sz w:val="20"/>
        </w:rPr>
        <w:t>about</w:t>
      </w:r>
      <w:r>
        <w:rPr>
          <w:spacing w:val="-11"/>
          <w:sz w:val="20"/>
        </w:rPr>
        <w:t> </w:t>
      </w:r>
      <w:r>
        <w:rPr>
          <w:sz w:val="20"/>
        </w:rPr>
        <w:t>the</w:t>
      </w:r>
      <w:r>
        <w:rPr>
          <w:spacing w:val="-11"/>
          <w:sz w:val="20"/>
        </w:rPr>
        <w:t> </w:t>
      </w:r>
      <w:r>
        <w:rPr>
          <w:sz w:val="20"/>
        </w:rPr>
        <w:t>abilities</w:t>
      </w:r>
      <w:r>
        <w:rPr>
          <w:spacing w:val="-11"/>
          <w:sz w:val="20"/>
        </w:rPr>
        <w:t> </w:t>
      </w:r>
      <w:r>
        <w:rPr>
          <w:sz w:val="20"/>
        </w:rPr>
        <w:t>of</w:t>
      </w:r>
      <w:r>
        <w:rPr>
          <w:spacing w:val="-11"/>
          <w:sz w:val="20"/>
        </w:rPr>
        <w:t> </w:t>
      </w:r>
      <w:r>
        <w:rPr>
          <w:sz w:val="20"/>
        </w:rPr>
        <w:t>deaf</w:t>
      </w:r>
      <w:r>
        <w:rPr>
          <w:spacing w:val="-12"/>
          <w:sz w:val="20"/>
        </w:rPr>
        <w:t> </w:t>
      </w:r>
      <w:r>
        <w:rPr>
          <w:sz w:val="20"/>
        </w:rPr>
        <w:t>people</w:t>
      </w:r>
      <w:r>
        <w:rPr>
          <w:spacing w:val="-11"/>
          <w:sz w:val="20"/>
        </w:rPr>
        <w:t> </w:t>
      </w:r>
      <w:r>
        <w:rPr>
          <w:sz w:val="20"/>
        </w:rPr>
        <w:t>arise for</w:t>
      </w:r>
      <w:r>
        <w:rPr>
          <w:spacing w:val="-11"/>
          <w:sz w:val="20"/>
        </w:rPr>
        <w:t> </w:t>
      </w:r>
      <w:r>
        <w:rPr>
          <w:sz w:val="20"/>
        </w:rPr>
        <w:t>a</w:t>
      </w:r>
      <w:r>
        <w:rPr>
          <w:spacing w:val="-10"/>
          <w:sz w:val="20"/>
        </w:rPr>
        <w:t> </w:t>
      </w:r>
      <w:r>
        <w:rPr>
          <w:sz w:val="20"/>
        </w:rPr>
        <w:t>range</w:t>
      </w:r>
      <w:r>
        <w:rPr>
          <w:spacing w:val="-10"/>
          <w:sz w:val="20"/>
        </w:rPr>
        <w:t> </w:t>
      </w:r>
      <w:r>
        <w:rPr>
          <w:sz w:val="20"/>
        </w:rPr>
        <w:t>of</w:t>
      </w:r>
      <w:r>
        <w:rPr>
          <w:spacing w:val="-11"/>
          <w:sz w:val="20"/>
        </w:rPr>
        <w:t> </w:t>
      </w:r>
      <w:r>
        <w:rPr>
          <w:sz w:val="20"/>
        </w:rPr>
        <w:t>reasons</w:t>
      </w:r>
      <w:r>
        <w:rPr>
          <w:spacing w:val="-10"/>
          <w:sz w:val="20"/>
        </w:rPr>
        <w:t> </w:t>
      </w:r>
      <w:r>
        <w:rPr>
          <w:sz w:val="20"/>
        </w:rPr>
        <w:t>including</w:t>
      </w:r>
      <w:r>
        <w:rPr>
          <w:spacing w:val="-10"/>
          <w:sz w:val="20"/>
        </w:rPr>
        <w:t> </w:t>
      </w:r>
      <w:r>
        <w:rPr>
          <w:sz w:val="20"/>
        </w:rPr>
        <w:t>the</w:t>
      </w:r>
      <w:r>
        <w:rPr>
          <w:spacing w:val="-11"/>
          <w:sz w:val="20"/>
        </w:rPr>
        <w:t> </w:t>
      </w:r>
      <w:r>
        <w:rPr>
          <w:sz w:val="20"/>
        </w:rPr>
        <w:t>social</w:t>
      </w:r>
      <w:r>
        <w:rPr>
          <w:spacing w:val="-10"/>
          <w:sz w:val="20"/>
        </w:rPr>
        <w:t> </w:t>
      </w:r>
      <w:r>
        <w:rPr>
          <w:sz w:val="20"/>
        </w:rPr>
        <w:t>isolation</w:t>
      </w:r>
      <w:r>
        <w:rPr>
          <w:spacing w:val="-10"/>
          <w:sz w:val="20"/>
        </w:rPr>
        <w:t> </w:t>
      </w:r>
      <w:r>
        <w:rPr>
          <w:sz w:val="20"/>
        </w:rPr>
        <w:t>of</w:t>
      </w:r>
      <w:r>
        <w:rPr>
          <w:spacing w:val="-11"/>
          <w:sz w:val="20"/>
        </w:rPr>
        <w:t> </w:t>
      </w:r>
      <w:r>
        <w:rPr>
          <w:sz w:val="20"/>
        </w:rPr>
        <w:t>deaf</w:t>
      </w:r>
      <w:r>
        <w:rPr>
          <w:spacing w:val="-10"/>
          <w:sz w:val="20"/>
        </w:rPr>
        <w:t> </w:t>
      </w:r>
      <w:r>
        <w:rPr>
          <w:sz w:val="20"/>
        </w:rPr>
        <w:t>people</w:t>
      </w:r>
      <w:r>
        <w:rPr>
          <w:spacing w:val="-10"/>
          <w:sz w:val="20"/>
        </w:rPr>
        <w:t> </w:t>
      </w:r>
      <w:r>
        <w:rPr>
          <w:spacing w:val="-3"/>
          <w:sz w:val="20"/>
        </w:rPr>
        <w:t>from</w:t>
      </w:r>
      <w:r>
        <w:rPr>
          <w:spacing w:val="-11"/>
          <w:sz w:val="20"/>
        </w:rPr>
        <w:t> </w:t>
      </w:r>
      <w:r>
        <w:rPr>
          <w:sz w:val="20"/>
        </w:rPr>
        <w:t>hearing</w:t>
      </w:r>
      <w:r>
        <w:rPr>
          <w:spacing w:val="-10"/>
          <w:sz w:val="20"/>
        </w:rPr>
        <w:t> </w:t>
      </w:r>
      <w:r>
        <w:rPr>
          <w:sz w:val="20"/>
        </w:rPr>
        <w:t>people. He observed that ‘the vast majority of hearing people don’t </w:t>
      </w:r>
      <w:r>
        <w:rPr>
          <w:spacing w:val="-4"/>
          <w:sz w:val="20"/>
        </w:rPr>
        <w:t>have </w:t>
      </w:r>
      <w:r>
        <w:rPr>
          <w:sz w:val="20"/>
        </w:rPr>
        <w:t>much, if </w:t>
      </w:r>
      <w:r>
        <w:rPr>
          <w:spacing w:val="-6"/>
          <w:sz w:val="20"/>
        </w:rPr>
        <w:t>any, </w:t>
      </w:r>
      <w:r>
        <w:rPr>
          <w:sz w:val="20"/>
        </w:rPr>
        <w:t>contact with deaf</w:t>
      </w:r>
      <w:r>
        <w:rPr>
          <w:spacing w:val="-9"/>
          <w:sz w:val="20"/>
        </w:rPr>
        <w:t> </w:t>
      </w:r>
      <w:r>
        <w:rPr>
          <w:sz w:val="20"/>
        </w:rPr>
        <w:t>people’.</w:t>
      </w:r>
      <w:r>
        <w:rPr>
          <w:position w:val="7"/>
          <w:sz w:val="11"/>
        </w:rPr>
        <w:t>95</w:t>
      </w:r>
    </w:p>
    <w:p>
      <w:pPr>
        <w:pStyle w:val="ListParagraph"/>
        <w:numPr>
          <w:ilvl w:val="1"/>
          <w:numId w:val="12"/>
        </w:numPr>
        <w:tabs>
          <w:tab w:pos="1761" w:val="left" w:leader="none"/>
          <w:tab w:pos="1762" w:val="left" w:leader="none"/>
        </w:tabs>
        <w:spacing w:line="206" w:lineRule="auto" w:before="125" w:after="0"/>
        <w:ind w:left="1761" w:right="1248" w:hanging="794"/>
        <w:jc w:val="left"/>
        <w:rPr>
          <w:sz w:val="20"/>
        </w:rPr>
      </w:pPr>
      <w:r>
        <w:rPr>
          <w:sz w:val="20"/>
        </w:rPr>
        <w:t>Consultees </w:t>
      </w:r>
      <w:r>
        <w:rPr>
          <w:spacing w:val="-3"/>
          <w:sz w:val="20"/>
        </w:rPr>
        <w:t>from </w:t>
      </w:r>
      <w:r>
        <w:rPr>
          <w:sz w:val="20"/>
        </w:rPr>
        <w:t>the Victorian Criminal Bar Association </w:t>
      </w:r>
      <w:r>
        <w:rPr>
          <w:spacing w:val="-3"/>
          <w:sz w:val="20"/>
        </w:rPr>
        <w:t>told </w:t>
      </w:r>
      <w:r>
        <w:rPr>
          <w:sz w:val="20"/>
        </w:rPr>
        <w:t>us that there ‘is a general lack</w:t>
      </w:r>
      <w:r>
        <w:rPr>
          <w:spacing w:val="-9"/>
          <w:sz w:val="20"/>
        </w:rPr>
        <w:t> </w:t>
      </w:r>
      <w:r>
        <w:rPr>
          <w:sz w:val="20"/>
        </w:rPr>
        <w:t>of</w:t>
      </w:r>
      <w:r>
        <w:rPr>
          <w:spacing w:val="-9"/>
          <w:sz w:val="20"/>
        </w:rPr>
        <w:t> </w:t>
      </w:r>
      <w:r>
        <w:rPr>
          <w:sz w:val="20"/>
        </w:rPr>
        <w:t>understanding</w:t>
      </w:r>
      <w:r>
        <w:rPr>
          <w:spacing w:val="-8"/>
          <w:sz w:val="20"/>
        </w:rPr>
        <w:t> </w:t>
      </w:r>
      <w:r>
        <w:rPr>
          <w:sz w:val="20"/>
        </w:rPr>
        <w:t>of</w:t>
      </w:r>
      <w:r>
        <w:rPr>
          <w:spacing w:val="-9"/>
          <w:sz w:val="20"/>
        </w:rPr>
        <w:t> </w:t>
      </w:r>
      <w:r>
        <w:rPr>
          <w:sz w:val="20"/>
        </w:rPr>
        <w:t>the</w:t>
      </w:r>
      <w:r>
        <w:rPr>
          <w:spacing w:val="-9"/>
          <w:sz w:val="20"/>
        </w:rPr>
        <w:t> </w:t>
      </w:r>
      <w:r>
        <w:rPr>
          <w:sz w:val="20"/>
        </w:rPr>
        <w:t>capabilities</w:t>
      </w:r>
      <w:r>
        <w:rPr>
          <w:spacing w:val="-8"/>
          <w:sz w:val="20"/>
        </w:rPr>
        <w:t> </w:t>
      </w:r>
      <w:r>
        <w:rPr>
          <w:sz w:val="20"/>
        </w:rPr>
        <w:t>of</w:t>
      </w:r>
      <w:r>
        <w:rPr>
          <w:spacing w:val="-9"/>
          <w:sz w:val="20"/>
        </w:rPr>
        <w:t> </w:t>
      </w:r>
      <w:r>
        <w:rPr>
          <w:spacing w:val="-3"/>
          <w:sz w:val="20"/>
        </w:rPr>
        <w:t>deaf/blind</w:t>
      </w:r>
      <w:r>
        <w:rPr>
          <w:spacing w:val="-9"/>
          <w:sz w:val="20"/>
        </w:rPr>
        <w:t> </w:t>
      </w:r>
      <w:r>
        <w:rPr>
          <w:sz w:val="20"/>
        </w:rPr>
        <w:t>jurors</w:t>
      </w:r>
      <w:r>
        <w:rPr>
          <w:spacing w:val="-8"/>
          <w:sz w:val="20"/>
        </w:rPr>
        <w:t> </w:t>
      </w:r>
      <w:r>
        <w:rPr>
          <w:sz w:val="20"/>
        </w:rPr>
        <w:t>and</w:t>
      </w:r>
      <w:r>
        <w:rPr>
          <w:spacing w:val="-9"/>
          <w:sz w:val="20"/>
        </w:rPr>
        <w:t> </w:t>
      </w:r>
      <w:r>
        <w:rPr>
          <w:sz w:val="20"/>
        </w:rPr>
        <w:t>the</w:t>
      </w:r>
      <w:r>
        <w:rPr>
          <w:spacing w:val="-8"/>
          <w:sz w:val="20"/>
        </w:rPr>
        <w:t> </w:t>
      </w:r>
      <w:r>
        <w:rPr>
          <w:spacing w:val="-3"/>
          <w:sz w:val="20"/>
        </w:rPr>
        <w:t>work</w:t>
      </w:r>
      <w:r>
        <w:rPr>
          <w:spacing w:val="-9"/>
          <w:sz w:val="20"/>
        </w:rPr>
        <w:t> </w:t>
      </w:r>
      <w:r>
        <w:rPr>
          <w:sz w:val="20"/>
        </w:rPr>
        <w:t>and</w:t>
      </w:r>
      <w:r>
        <w:rPr>
          <w:spacing w:val="-9"/>
          <w:sz w:val="20"/>
        </w:rPr>
        <w:t> </w:t>
      </w:r>
      <w:r>
        <w:rPr>
          <w:sz w:val="20"/>
        </w:rPr>
        <w:t>function of Auslan </w:t>
      </w:r>
      <w:r>
        <w:rPr>
          <w:spacing w:val="-3"/>
          <w:sz w:val="20"/>
        </w:rPr>
        <w:t>interpreters’.</w:t>
      </w:r>
      <w:r>
        <w:rPr>
          <w:spacing w:val="-3"/>
          <w:position w:val="7"/>
          <w:sz w:val="11"/>
        </w:rPr>
        <w:t>96 </w:t>
      </w:r>
      <w:r>
        <w:rPr>
          <w:spacing w:val="-6"/>
          <w:sz w:val="20"/>
        </w:rPr>
        <w:t>We </w:t>
      </w:r>
      <w:r>
        <w:rPr>
          <w:spacing w:val="-4"/>
          <w:sz w:val="20"/>
        </w:rPr>
        <w:t>have </w:t>
      </w:r>
      <w:r>
        <w:rPr>
          <w:sz w:val="20"/>
        </w:rPr>
        <w:t>also been </w:t>
      </w:r>
      <w:r>
        <w:rPr>
          <w:spacing w:val="-3"/>
          <w:sz w:val="20"/>
        </w:rPr>
        <w:t>told </w:t>
      </w:r>
      <w:r>
        <w:rPr>
          <w:sz w:val="20"/>
        </w:rPr>
        <w:t>that there </w:t>
      </w:r>
      <w:r>
        <w:rPr>
          <w:spacing w:val="-3"/>
          <w:sz w:val="20"/>
        </w:rPr>
        <w:t>are </w:t>
      </w:r>
      <w:r>
        <w:rPr>
          <w:sz w:val="20"/>
        </w:rPr>
        <w:t>very </w:t>
      </w:r>
      <w:r>
        <w:rPr>
          <w:spacing w:val="-3"/>
          <w:sz w:val="20"/>
        </w:rPr>
        <w:t>few </w:t>
      </w:r>
      <w:r>
        <w:rPr>
          <w:sz w:val="20"/>
        </w:rPr>
        <w:t>lawyers or judges with</w:t>
      </w:r>
      <w:r>
        <w:rPr>
          <w:spacing w:val="-9"/>
          <w:sz w:val="20"/>
        </w:rPr>
        <w:t> </w:t>
      </w:r>
      <w:r>
        <w:rPr>
          <w:sz w:val="20"/>
        </w:rPr>
        <w:t>disability.</w:t>
      </w:r>
    </w:p>
    <w:p>
      <w:pPr>
        <w:pStyle w:val="ListParagraph"/>
        <w:numPr>
          <w:ilvl w:val="1"/>
          <w:numId w:val="12"/>
        </w:numPr>
        <w:tabs>
          <w:tab w:pos="1761" w:val="left" w:leader="none"/>
          <w:tab w:pos="1762" w:val="left" w:leader="none"/>
        </w:tabs>
        <w:spacing w:line="206" w:lineRule="auto" w:before="125" w:after="0"/>
        <w:ind w:left="1761" w:right="1221" w:hanging="794"/>
        <w:jc w:val="left"/>
        <w:rPr>
          <w:sz w:val="11"/>
        </w:rPr>
      </w:pPr>
      <w:r>
        <w:rPr>
          <w:sz w:val="20"/>
        </w:rPr>
        <w:t>A deaf participant in the consultation with </w:t>
      </w:r>
      <w:r>
        <w:rPr>
          <w:spacing w:val="-3"/>
          <w:sz w:val="20"/>
        </w:rPr>
        <w:t>YDAS referred </w:t>
      </w:r>
      <w:r>
        <w:rPr>
          <w:sz w:val="20"/>
        </w:rPr>
        <w:t>to a personal experience of being a witness in court. The participant noted that ‘I could see that the jury did not understand</w:t>
      </w:r>
      <w:r>
        <w:rPr>
          <w:spacing w:val="-12"/>
          <w:sz w:val="20"/>
        </w:rPr>
        <w:t> </w:t>
      </w:r>
      <w:r>
        <w:rPr>
          <w:spacing w:val="-3"/>
          <w:sz w:val="20"/>
        </w:rPr>
        <w:t>my</w:t>
      </w:r>
      <w:r>
        <w:rPr>
          <w:spacing w:val="-11"/>
          <w:sz w:val="20"/>
        </w:rPr>
        <w:t> </w:t>
      </w:r>
      <w:r>
        <w:rPr>
          <w:sz w:val="20"/>
        </w:rPr>
        <w:t>lived</w:t>
      </w:r>
      <w:r>
        <w:rPr>
          <w:spacing w:val="-11"/>
          <w:sz w:val="20"/>
        </w:rPr>
        <w:t> </w:t>
      </w:r>
      <w:r>
        <w:rPr>
          <w:sz w:val="20"/>
        </w:rPr>
        <w:t>experience’</w:t>
      </w:r>
      <w:r>
        <w:rPr>
          <w:spacing w:val="-12"/>
          <w:sz w:val="20"/>
        </w:rPr>
        <w:t> </w:t>
      </w:r>
      <w:r>
        <w:rPr>
          <w:sz w:val="20"/>
        </w:rPr>
        <w:t>and</w:t>
      </w:r>
      <w:r>
        <w:rPr>
          <w:spacing w:val="-11"/>
          <w:sz w:val="20"/>
        </w:rPr>
        <w:t> </w:t>
      </w:r>
      <w:r>
        <w:rPr>
          <w:sz w:val="20"/>
        </w:rPr>
        <w:t>that</w:t>
      </w:r>
      <w:r>
        <w:rPr>
          <w:spacing w:val="-11"/>
          <w:sz w:val="20"/>
        </w:rPr>
        <w:t> </w:t>
      </w:r>
      <w:r>
        <w:rPr>
          <w:sz w:val="20"/>
        </w:rPr>
        <w:t>the</w:t>
      </w:r>
      <w:r>
        <w:rPr>
          <w:spacing w:val="-11"/>
          <w:sz w:val="20"/>
        </w:rPr>
        <w:t> </w:t>
      </w:r>
      <w:r>
        <w:rPr>
          <w:sz w:val="20"/>
        </w:rPr>
        <w:t>jury</w:t>
      </w:r>
      <w:r>
        <w:rPr>
          <w:spacing w:val="-12"/>
          <w:sz w:val="20"/>
        </w:rPr>
        <w:t> </w:t>
      </w:r>
      <w:r>
        <w:rPr>
          <w:sz w:val="20"/>
        </w:rPr>
        <w:t>did</w:t>
      </w:r>
      <w:r>
        <w:rPr>
          <w:spacing w:val="-11"/>
          <w:sz w:val="20"/>
        </w:rPr>
        <w:t> </w:t>
      </w:r>
      <w:r>
        <w:rPr>
          <w:sz w:val="20"/>
        </w:rPr>
        <w:t>not</w:t>
      </w:r>
      <w:r>
        <w:rPr>
          <w:spacing w:val="-11"/>
          <w:sz w:val="20"/>
        </w:rPr>
        <w:t> </w:t>
      </w:r>
      <w:r>
        <w:rPr>
          <w:sz w:val="20"/>
        </w:rPr>
        <w:t>seem</w:t>
      </w:r>
      <w:r>
        <w:rPr>
          <w:spacing w:val="-12"/>
          <w:sz w:val="20"/>
        </w:rPr>
        <w:t> </w:t>
      </w:r>
      <w:r>
        <w:rPr>
          <w:sz w:val="20"/>
        </w:rPr>
        <w:t>to</w:t>
      </w:r>
      <w:r>
        <w:rPr>
          <w:spacing w:val="-11"/>
          <w:sz w:val="20"/>
        </w:rPr>
        <w:t> </w:t>
      </w:r>
      <w:r>
        <w:rPr>
          <w:sz w:val="20"/>
        </w:rPr>
        <w:t>understand</w:t>
      </w:r>
      <w:r>
        <w:rPr>
          <w:spacing w:val="-11"/>
          <w:sz w:val="20"/>
        </w:rPr>
        <w:t> </w:t>
      </w:r>
      <w:r>
        <w:rPr>
          <w:sz w:val="20"/>
        </w:rPr>
        <w:t>anything about</w:t>
      </w:r>
      <w:r>
        <w:rPr>
          <w:spacing w:val="-5"/>
          <w:sz w:val="20"/>
        </w:rPr>
        <w:t> </w:t>
      </w:r>
      <w:r>
        <w:rPr>
          <w:sz w:val="20"/>
        </w:rPr>
        <w:t>Auslan.</w:t>
      </w:r>
      <w:r>
        <w:rPr>
          <w:position w:val="7"/>
          <w:sz w:val="11"/>
        </w:rPr>
        <w:t>97</w:t>
      </w:r>
    </w:p>
    <w:p>
      <w:pPr>
        <w:pStyle w:val="ListParagraph"/>
        <w:numPr>
          <w:ilvl w:val="1"/>
          <w:numId w:val="12"/>
        </w:numPr>
        <w:tabs>
          <w:tab w:pos="1761" w:val="left" w:leader="none"/>
          <w:tab w:pos="1762" w:val="left" w:leader="none"/>
        </w:tabs>
        <w:spacing w:line="206" w:lineRule="auto" w:before="125" w:after="0"/>
        <w:ind w:left="1761" w:right="1208" w:hanging="794"/>
        <w:jc w:val="left"/>
        <w:rPr>
          <w:sz w:val="20"/>
        </w:rPr>
      </w:pPr>
      <w:r>
        <w:rPr>
          <w:sz w:val="20"/>
        </w:rPr>
        <w:t>The</w:t>
      </w:r>
      <w:r>
        <w:rPr>
          <w:spacing w:val="-9"/>
          <w:sz w:val="20"/>
        </w:rPr>
        <w:t> </w:t>
      </w:r>
      <w:r>
        <w:rPr>
          <w:sz w:val="20"/>
        </w:rPr>
        <w:t>Australian</w:t>
      </w:r>
      <w:r>
        <w:rPr>
          <w:spacing w:val="-8"/>
          <w:sz w:val="20"/>
        </w:rPr>
        <w:t> </w:t>
      </w:r>
      <w:r>
        <w:rPr>
          <w:sz w:val="20"/>
        </w:rPr>
        <w:t>Law</w:t>
      </w:r>
      <w:r>
        <w:rPr>
          <w:spacing w:val="-8"/>
          <w:sz w:val="20"/>
        </w:rPr>
        <w:t> </w:t>
      </w:r>
      <w:r>
        <w:rPr>
          <w:spacing w:val="-2"/>
          <w:sz w:val="20"/>
        </w:rPr>
        <w:t>Reform</w:t>
      </w:r>
      <w:r>
        <w:rPr>
          <w:spacing w:val="-9"/>
          <w:sz w:val="20"/>
        </w:rPr>
        <w:t> </w:t>
      </w:r>
      <w:r>
        <w:rPr>
          <w:sz w:val="20"/>
        </w:rPr>
        <w:t>Commission</w:t>
      </w:r>
      <w:r>
        <w:rPr>
          <w:spacing w:val="-8"/>
          <w:sz w:val="20"/>
        </w:rPr>
        <w:t> </w:t>
      </w:r>
      <w:r>
        <w:rPr>
          <w:sz w:val="20"/>
        </w:rPr>
        <w:t>has</w:t>
      </w:r>
      <w:r>
        <w:rPr>
          <w:spacing w:val="-8"/>
          <w:sz w:val="20"/>
        </w:rPr>
        <w:t> </w:t>
      </w:r>
      <w:r>
        <w:rPr>
          <w:sz w:val="20"/>
        </w:rPr>
        <w:t>found</w:t>
      </w:r>
      <w:r>
        <w:rPr>
          <w:spacing w:val="-8"/>
          <w:sz w:val="20"/>
        </w:rPr>
        <w:t> </w:t>
      </w:r>
      <w:r>
        <w:rPr>
          <w:sz w:val="20"/>
        </w:rPr>
        <w:t>that</w:t>
      </w:r>
      <w:r>
        <w:rPr>
          <w:spacing w:val="-9"/>
          <w:sz w:val="20"/>
        </w:rPr>
        <w:t> </w:t>
      </w:r>
      <w:r>
        <w:rPr>
          <w:spacing w:val="-3"/>
          <w:sz w:val="20"/>
        </w:rPr>
        <w:t>‘negative</w:t>
      </w:r>
      <w:r>
        <w:rPr>
          <w:spacing w:val="-8"/>
          <w:sz w:val="20"/>
        </w:rPr>
        <w:t> </w:t>
      </w:r>
      <w:r>
        <w:rPr>
          <w:sz w:val="20"/>
        </w:rPr>
        <w:t>attitudes</w:t>
      </w:r>
      <w:r>
        <w:rPr>
          <w:spacing w:val="-8"/>
          <w:sz w:val="20"/>
        </w:rPr>
        <w:t> </w:t>
      </w:r>
      <w:r>
        <w:rPr>
          <w:sz w:val="20"/>
        </w:rPr>
        <w:t>and</w:t>
      </w:r>
      <w:r>
        <w:rPr>
          <w:spacing w:val="-9"/>
          <w:sz w:val="20"/>
        </w:rPr>
        <w:t> </w:t>
      </w:r>
      <w:r>
        <w:rPr>
          <w:sz w:val="20"/>
        </w:rPr>
        <w:t>a</w:t>
      </w:r>
      <w:r>
        <w:rPr>
          <w:spacing w:val="-8"/>
          <w:sz w:val="20"/>
        </w:rPr>
        <w:t> </w:t>
      </w:r>
      <w:r>
        <w:rPr>
          <w:sz w:val="20"/>
        </w:rPr>
        <w:t>lack</w:t>
      </w:r>
      <w:r>
        <w:rPr>
          <w:spacing w:val="-8"/>
          <w:sz w:val="20"/>
        </w:rPr>
        <w:t> </w:t>
      </w:r>
      <w:r>
        <w:rPr>
          <w:sz w:val="20"/>
        </w:rPr>
        <w:t>of </w:t>
      </w:r>
      <w:r>
        <w:rPr>
          <w:spacing w:val="-3"/>
          <w:sz w:val="20"/>
        </w:rPr>
        <w:t>awareness </w:t>
      </w:r>
      <w:r>
        <w:rPr>
          <w:sz w:val="20"/>
        </w:rPr>
        <w:t>about disability was a significant barrier to people with disability accessing </w:t>
      </w:r>
      <w:r>
        <w:rPr>
          <w:spacing w:val="-3"/>
          <w:sz w:val="20"/>
        </w:rPr>
        <w:t>justice’.</w:t>
      </w:r>
      <w:r>
        <w:rPr>
          <w:spacing w:val="-3"/>
          <w:position w:val="7"/>
          <w:sz w:val="11"/>
        </w:rPr>
        <w:t>98 </w:t>
      </w:r>
      <w:r>
        <w:rPr>
          <w:sz w:val="20"/>
        </w:rPr>
        <w:t>The South Australian Law Reform Institute </w:t>
      </w:r>
      <w:r>
        <w:rPr>
          <w:spacing w:val="-3"/>
          <w:sz w:val="20"/>
        </w:rPr>
        <w:t>recently </w:t>
      </w:r>
      <w:r>
        <w:rPr>
          <w:sz w:val="20"/>
        </w:rPr>
        <w:t>noted that barriers to effective participation in legal proceedings for people with </w:t>
      </w:r>
      <w:r>
        <w:rPr>
          <w:spacing w:val="-3"/>
          <w:sz w:val="20"/>
        </w:rPr>
        <w:t>complex </w:t>
      </w:r>
      <w:r>
        <w:rPr>
          <w:sz w:val="20"/>
        </w:rPr>
        <w:t>communication needs (including people with hearing impairments)</w:t>
      </w:r>
      <w:r>
        <w:rPr>
          <w:position w:val="7"/>
          <w:sz w:val="11"/>
        </w:rPr>
        <w:t>99</w:t>
      </w:r>
      <w:r>
        <w:rPr>
          <w:spacing w:val="-7"/>
          <w:position w:val="7"/>
          <w:sz w:val="11"/>
        </w:rPr>
        <w:t> </w:t>
      </w:r>
      <w:r>
        <w:rPr>
          <w:sz w:val="20"/>
        </w:rPr>
        <w:t>include:</w:t>
      </w:r>
    </w:p>
    <w:p>
      <w:pPr>
        <w:spacing w:line="208" w:lineRule="auto" w:before="125"/>
        <w:ind w:left="2157" w:right="1182" w:firstLine="0"/>
        <w:jc w:val="left"/>
        <w:rPr>
          <w:sz w:val="11"/>
        </w:rPr>
      </w:pPr>
      <w:r>
        <w:rPr>
          <w:sz w:val="19"/>
        </w:rPr>
        <w:t>knowledge and skills barriers (ie, legal professionals lack knowledge and training about how to work with people with disabilities, police prioritisation of crimes and lack of skill in taking statements from people with disability) and attitude barriers (ie, myths about people with disability …).</w:t>
      </w:r>
      <w:r>
        <w:rPr>
          <w:position w:val="6"/>
          <w:sz w:val="11"/>
        </w:rPr>
        <w:t>100</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Della Goswell</w:t>
      </w:r>
      <w:r>
        <w:rPr>
          <w:spacing w:val="-9"/>
          <w:sz w:val="20"/>
        </w:rPr>
        <w:t> </w:t>
      </w:r>
      <w:r>
        <w:rPr>
          <w:sz w:val="20"/>
        </w:rPr>
        <w:t>noted:</w:t>
      </w:r>
    </w:p>
    <w:p>
      <w:pPr>
        <w:spacing w:line="208" w:lineRule="auto" w:before="112"/>
        <w:ind w:left="2157" w:right="1335" w:firstLine="0"/>
        <w:jc w:val="left"/>
        <w:rPr>
          <w:sz w:val="11"/>
        </w:rPr>
      </w:pPr>
      <w:r>
        <w:rPr>
          <w:sz w:val="19"/>
        </w:rPr>
        <w:t>The legal profession would benefit from exposure to other deaf people and the broader deaf community—to have a more realistic sense of their experiences and abilities. Deaf jurors could add to this positive exposure.</w:t>
      </w:r>
      <w:r>
        <w:rPr>
          <w:position w:val="6"/>
          <w:sz w:val="11"/>
        </w:rPr>
        <w:t>101</w:t>
      </w:r>
    </w:p>
    <w:p>
      <w:pPr>
        <w:pStyle w:val="ListParagraph"/>
        <w:numPr>
          <w:ilvl w:val="1"/>
          <w:numId w:val="12"/>
        </w:numPr>
        <w:tabs>
          <w:tab w:pos="1761" w:val="left" w:leader="none"/>
          <w:tab w:pos="1762" w:val="left" w:leader="none"/>
        </w:tabs>
        <w:spacing w:line="206" w:lineRule="auto" w:before="124" w:after="0"/>
        <w:ind w:left="1761" w:right="1212" w:hanging="794"/>
        <w:jc w:val="left"/>
        <w:rPr>
          <w:sz w:val="11"/>
        </w:rPr>
      </w:pPr>
      <w:r>
        <w:rPr>
          <w:sz w:val="20"/>
        </w:rPr>
        <w:t>Consultees </w:t>
      </w:r>
      <w:r>
        <w:rPr>
          <w:spacing w:val="-3"/>
          <w:sz w:val="20"/>
        </w:rPr>
        <w:t>from </w:t>
      </w:r>
      <w:r>
        <w:rPr>
          <w:sz w:val="20"/>
        </w:rPr>
        <w:t>the County Court </w:t>
      </w:r>
      <w:r>
        <w:rPr>
          <w:spacing w:val="-3"/>
          <w:sz w:val="20"/>
        </w:rPr>
        <w:t>told </w:t>
      </w:r>
      <w:r>
        <w:rPr>
          <w:sz w:val="20"/>
        </w:rPr>
        <w:t>the Commission that in their view ‘there is no general prejudice or bias against people with disability in the Court. There </w:t>
      </w:r>
      <w:r>
        <w:rPr>
          <w:spacing w:val="-3"/>
          <w:sz w:val="20"/>
        </w:rPr>
        <w:t>may </w:t>
      </w:r>
      <w:r>
        <w:rPr>
          <w:sz w:val="20"/>
        </w:rPr>
        <w:t>of course be unconscious bias. Concern is more </w:t>
      </w:r>
      <w:r>
        <w:rPr>
          <w:spacing w:val="-3"/>
          <w:sz w:val="20"/>
        </w:rPr>
        <w:t>likely </w:t>
      </w:r>
      <w:r>
        <w:rPr>
          <w:sz w:val="20"/>
        </w:rPr>
        <w:t>to arise in relation to the added burden</w:t>
      </w:r>
      <w:r>
        <w:rPr>
          <w:spacing w:val="-9"/>
          <w:sz w:val="20"/>
        </w:rPr>
        <w:t> </w:t>
      </w:r>
      <w:r>
        <w:rPr>
          <w:sz w:val="20"/>
        </w:rPr>
        <w:t>on</w:t>
      </w:r>
      <w:r>
        <w:rPr>
          <w:spacing w:val="-8"/>
          <w:sz w:val="20"/>
        </w:rPr>
        <w:t> </w:t>
      </w:r>
      <w:r>
        <w:rPr>
          <w:sz w:val="20"/>
        </w:rPr>
        <w:t>the</w:t>
      </w:r>
      <w:r>
        <w:rPr>
          <w:spacing w:val="-8"/>
          <w:sz w:val="20"/>
        </w:rPr>
        <w:t> </w:t>
      </w:r>
      <w:r>
        <w:rPr>
          <w:sz w:val="20"/>
        </w:rPr>
        <w:t>trial</w:t>
      </w:r>
      <w:r>
        <w:rPr>
          <w:spacing w:val="-8"/>
          <w:sz w:val="20"/>
        </w:rPr>
        <w:t> </w:t>
      </w:r>
      <w:r>
        <w:rPr>
          <w:sz w:val="20"/>
        </w:rPr>
        <w:t>judge’</w:t>
      </w:r>
      <w:r>
        <w:rPr>
          <w:spacing w:val="-8"/>
          <w:sz w:val="20"/>
        </w:rPr>
        <w:t> </w:t>
      </w:r>
      <w:r>
        <w:rPr>
          <w:sz w:val="20"/>
        </w:rPr>
        <w:t>and</w:t>
      </w:r>
      <w:r>
        <w:rPr>
          <w:spacing w:val="-8"/>
          <w:sz w:val="20"/>
        </w:rPr>
        <w:t> </w:t>
      </w:r>
      <w:r>
        <w:rPr>
          <w:sz w:val="20"/>
        </w:rPr>
        <w:t>the</w:t>
      </w:r>
      <w:r>
        <w:rPr>
          <w:spacing w:val="-8"/>
          <w:sz w:val="20"/>
        </w:rPr>
        <w:t> </w:t>
      </w:r>
      <w:r>
        <w:rPr>
          <w:spacing w:val="-3"/>
          <w:sz w:val="20"/>
        </w:rPr>
        <w:t>‘more</w:t>
      </w:r>
      <w:r>
        <w:rPr>
          <w:spacing w:val="-8"/>
          <w:sz w:val="20"/>
        </w:rPr>
        <w:t> </w:t>
      </w:r>
      <w:r>
        <w:rPr>
          <w:sz w:val="20"/>
        </w:rPr>
        <w:t>that</w:t>
      </w:r>
      <w:r>
        <w:rPr>
          <w:spacing w:val="-8"/>
          <w:sz w:val="20"/>
        </w:rPr>
        <w:t> </w:t>
      </w:r>
      <w:r>
        <w:rPr>
          <w:spacing w:val="-3"/>
          <w:sz w:val="20"/>
        </w:rPr>
        <w:t>reforms</w:t>
      </w:r>
      <w:r>
        <w:rPr>
          <w:spacing w:val="-9"/>
          <w:sz w:val="20"/>
        </w:rPr>
        <w:t> </w:t>
      </w:r>
      <w:r>
        <w:rPr>
          <w:sz w:val="20"/>
        </w:rPr>
        <w:t>can</w:t>
      </w:r>
      <w:r>
        <w:rPr>
          <w:spacing w:val="-8"/>
          <w:sz w:val="20"/>
        </w:rPr>
        <w:t> </w:t>
      </w:r>
      <w:r>
        <w:rPr>
          <w:spacing w:val="-3"/>
          <w:sz w:val="20"/>
        </w:rPr>
        <w:t>front</w:t>
      </w:r>
      <w:r>
        <w:rPr>
          <w:spacing w:val="-8"/>
          <w:sz w:val="20"/>
        </w:rPr>
        <w:t> </w:t>
      </w:r>
      <w:r>
        <w:rPr>
          <w:sz w:val="20"/>
        </w:rPr>
        <w:t>load</w:t>
      </w:r>
      <w:r>
        <w:rPr>
          <w:spacing w:val="-8"/>
          <w:sz w:val="20"/>
        </w:rPr>
        <w:t> </w:t>
      </w:r>
      <w:r>
        <w:rPr>
          <w:sz w:val="20"/>
        </w:rPr>
        <w:t>the</w:t>
      </w:r>
      <w:r>
        <w:rPr>
          <w:spacing w:val="-8"/>
          <w:sz w:val="20"/>
        </w:rPr>
        <w:t> </w:t>
      </w:r>
      <w:r>
        <w:rPr>
          <w:sz w:val="20"/>
        </w:rPr>
        <w:t>assessment</w:t>
      </w:r>
      <w:r>
        <w:rPr>
          <w:spacing w:val="-8"/>
          <w:sz w:val="20"/>
        </w:rPr>
        <w:t> </w:t>
      </w:r>
      <w:r>
        <w:rPr>
          <w:sz w:val="20"/>
        </w:rPr>
        <w:t>and </w:t>
      </w:r>
      <w:r>
        <w:rPr>
          <w:spacing w:val="-3"/>
          <w:sz w:val="20"/>
        </w:rPr>
        <w:t>provision </w:t>
      </w:r>
      <w:r>
        <w:rPr>
          <w:sz w:val="20"/>
        </w:rPr>
        <w:t>of supports the more </w:t>
      </w:r>
      <w:r>
        <w:rPr>
          <w:spacing w:val="-3"/>
          <w:sz w:val="20"/>
        </w:rPr>
        <w:t>likely reform </w:t>
      </w:r>
      <w:r>
        <w:rPr>
          <w:sz w:val="20"/>
        </w:rPr>
        <w:t>will be supported in</w:t>
      </w:r>
      <w:r>
        <w:rPr>
          <w:spacing w:val="-37"/>
          <w:sz w:val="20"/>
        </w:rPr>
        <w:t> </w:t>
      </w:r>
      <w:r>
        <w:rPr>
          <w:spacing w:val="-3"/>
          <w:sz w:val="20"/>
        </w:rPr>
        <w:t>practice’.</w:t>
      </w:r>
      <w:r>
        <w:rPr>
          <w:spacing w:val="-3"/>
          <w:position w:val="7"/>
          <w:sz w:val="11"/>
        </w:rPr>
        <w:t>102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9"/>
        </w:rPr>
      </w:pPr>
      <w:r>
        <w:rPr/>
        <w:pict>
          <v:line style="position:absolute;mso-position-horizontal-relative:page;mso-position-vertical-relative:paragraph;z-index:5048;mso-wrap-distance-left:0;mso-wrap-distance-right:0" from="79.370102pt,22.610161pt" to="515.905102pt,22.610161pt" stroked="true" strokeweight="1pt" strokecolor="#b6bdc8">
            <v:stroke dashstyle="solid"/>
            <w10:wrap type="topAndBottom"/>
          </v:line>
        </w:pict>
      </w:r>
    </w:p>
    <w:p>
      <w:pPr>
        <w:pStyle w:val="ListParagraph"/>
        <w:numPr>
          <w:ilvl w:val="0"/>
          <w:numId w:val="63"/>
        </w:numPr>
        <w:tabs>
          <w:tab w:pos="1761" w:val="left" w:leader="none"/>
          <w:tab w:pos="1762" w:val="left" w:leader="none"/>
        </w:tabs>
        <w:spacing w:line="170" w:lineRule="exact" w:before="91" w:after="0"/>
        <w:ind w:left="1761" w:right="0" w:hanging="794"/>
        <w:jc w:val="left"/>
        <w:rPr>
          <w:sz w:val="13"/>
        </w:rPr>
      </w:pPr>
      <w:r>
        <w:rPr>
          <w:sz w:val="13"/>
        </w:rPr>
        <w:t>Consultation 6 (Deaf Victoria and community</w:t>
      </w:r>
      <w:r>
        <w:rPr>
          <w:spacing w:val="3"/>
          <w:sz w:val="13"/>
        </w:rPr>
        <w:t> </w:t>
      </w:r>
      <w:r>
        <w:rPr>
          <w:sz w:val="13"/>
        </w:rPr>
        <w:t>participants).</w:t>
      </w:r>
    </w:p>
    <w:p>
      <w:pPr>
        <w:pStyle w:val="ListParagraph"/>
        <w:numPr>
          <w:ilvl w:val="0"/>
          <w:numId w:val="63"/>
        </w:numPr>
        <w:tabs>
          <w:tab w:pos="1761" w:val="left" w:leader="none"/>
          <w:tab w:pos="1762" w:val="left" w:leader="none"/>
        </w:tabs>
        <w:spacing w:line="213" w:lineRule="auto" w:before="6" w:after="0"/>
        <w:ind w:left="1761" w:right="1396" w:hanging="794"/>
        <w:jc w:val="both"/>
        <w:rPr>
          <w:sz w:val="13"/>
        </w:rPr>
      </w:pPr>
      <w:r>
        <w:rPr>
          <w:sz w:val="13"/>
        </w:rPr>
        <w:t>Consultations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 capacity), 21 </w:t>
      </w:r>
      <w:r>
        <w:rPr>
          <w:spacing w:val="2"/>
          <w:sz w:val="13"/>
        </w:rPr>
        <w:t>(Della </w:t>
      </w:r>
      <w:r>
        <w:rPr>
          <w:sz w:val="13"/>
        </w:rPr>
        <w:t>Goswell, Lecturer, Convenor </w:t>
      </w:r>
      <w:r>
        <w:rPr>
          <w:spacing w:val="2"/>
          <w:sz w:val="13"/>
        </w:rPr>
        <w:t>Auslan-English </w:t>
      </w:r>
      <w:r>
        <w:rPr>
          <w:sz w:val="13"/>
        </w:rPr>
        <w:t>Interpreting Program, Macquarie University, NSW).</w:t>
      </w:r>
    </w:p>
    <w:p>
      <w:pPr>
        <w:pStyle w:val="ListParagraph"/>
        <w:numPr>
          <w:ilvl w:val="0"/>
          <w:numId w:val="63"/>
        </w:numPr>
        <w:tabs>
          <w:tab w:pos="1761" w:val="left" w:leader="none"/>
          <w:tab w:pos="1762" w:val="left" w:leader="none"/>
        </w:tabs>
        <w:spacing w:line="152" w:lineRule="exact" w:before="0" w:after="0"/>
        <w:ind w:left="1761" w:right="0" w:hanging="794"/>
        <w:jc w:val="left"/>
        <w:rPr>
          <w:sz w:val="13"/>
        </w:rPr>
      </w:pPr>
      <w:r>
        <w:rPr>
          <w:sz w:val="13"/>
        </w:rPr>
        <w:t>Consultation 4 </w:t>
      </w:r>
      <w:r>
        <w:rPr>
          <w:spacing w:val="2"/>
          <w:sz w:val="13"/>
        </w:rPr>
        <w:t>(Victorian </w:t>
      </w:r>
      <w:r>
        <w:rPr>
          <w:sz w:val="13"/>
        </w:rPr>
        <w:t>Criminal Bar</w:t>
      </w:r>
      <w:r>
        <w:rPr>
          <w:spacing w:val="-1"/>
          <w:sz w:val="13"/>
        </w:rPr>
        <w:t> </w:t>
      </w:r>
      <w:r>
        <w:rPr>
          <w:sz w:val="13"/>
        </w:rPr>
        <w:t>Association).</w:t>
      </w:r>
    </w:p>
    <w:p>
      <w:pPr>
        <w:pStyle w:val="ListParagraph"/>
        <w:numPr>
          <w:ilvl w:val="0"/>
          <w:numId w:val="63"/>
        </w:numPr>
        <w:tabs>
          <w:tab w:pos="1760" w:val="left" w:leader="none"/>
          <w:tab w:pos="1762" w:val="left" w:leader="none"/>
        </w:tabs>
        <w:spacing w:line="160" w:lineRule="exact" w:before="0" w:after="0"/>
        <w:ind w:left="1761" w:right="0" w:hanging="794"/>
        <w:jc w:val="left"/>
        <w:rPr>
          <w:sz w:val="13"/>
        </w:rPr>
      </w:pPr>
      <w:r>
        <w:rPr>
          <w:sz w:val="13"/>
        </w:rPr>
        <w:t>Consultation 17 (Youth </w:t>
      </w:r>
      <w:r>
        <w:rPr>
          <w:spacing w:val="2"/>
          <w:sz w:val="13"/>
        </w:rPr>
        <w:t>Disability </w:t>
      </w:r>
      <w:r>
        <w:rPr>
          <w:sz w:val="13"/>
        </w:rPr>
        <w:t>Advocacy </w:t>
      </w:r>
      <w:r>
        <w:rPr>
          <w:spacing w:val="2"/>
          <w:sz w:val="13"/>
        </w:rPr>
        <w:t>Service</w:t>
      </w:r>
      <w:r>
        <w:rPr>
          <w:spacing w:val="-1"/>
          <w:sz w:val="13"/>
        </w:rPr>
        <w:t> </w:t>
      </w:r>
      <w:r>
        <w:rPr>
          <w:sz w:val="13"/>
        </w:rPr>
        <w:t>(YDAS)).</w:t>
      </w:r>
    </w:p>
    <w:p>
      <w:pPr>
        <w:pStyle w:val="ListParagraph"/>
        <w:numPr>
          <w:ilvl w:val="0"/>
          <w:numId w:val="63"/>
        </w:numPr>
        <w:tabs>
          <w:tab w:pos="1761" w:val="left" w:leader="none"/>
          <w:tab w:pos="1762" w:val="left" w:leader="none"/>
        </w:tabs>
        <w:spacing w:line="213" w:lineRule="auto" w:before="6" w:after="0"/>
        <w:ind w:left="1761" w:right="1202" w:hanging="794"/>
        <w:jc w:val="left"/>
        <w:rPr>
          <w:sz w:val="13"/>
        </w:rPr>
      </w:pPr>
      <w:r>
        <w:rPr>
          <w:sz w:val="13"/>
        </w:rPr>
        <w:t>Australian Human Rights </w:t>
      </w:r>
      <w:r>
        <w:rPr>
          <w:spacing w:val="2"/>
          <w:sz w:val="13"/>
        </w:rPr>
        <w:t>Commission, Submission </w:t>
      </w:r>
      <w:r>
        <w:rPr>
          <w:sz w:val="13"/>
        </w:rPr>
        <w:t>to United Nations Committee on the Rights of Persons with </w:t>
      </w:r>
      <w:r>
        <w:rPr>
          <w:spacing w:val="2"/>
          <w:sz w:val="13"/>
        </w:rPr>
        <w:t>Disabilities, </w:t>
      </w:r>
      <w:r>
        <w:rPr>
          <w:i/>
          <w:sz w:val="13"/>
        </w:rPr>
        <w:t>Information Concerning Australia’s Compliance with the Convention on the </w:t>
      </w:r>
      <w:r>
        <w:rPr>
          <w:i/>
          <w:spacing w:val="2"/>
          <w:sz w:val="13"/>
        </w:rPr>
        <w:t>Rights </w:t>
      </w:r>
      <w:r>
        <w:rPr>
          <w:i/>
          <w:sz w:val="13"/>
        </w:rPr>
        <w:t>of  Persons  with  Disabilities  </w:t>
      </w:r>
      <w:r>
        <w:rPr>
          <w:sz w:val="13"/>
        </w:rPr>
        <w:t>(25  July  2019)  [61], citing</w:t>
      </w:r>
      <w:r>
        <w:rPr>
          <w:spacing w:val="7"/>
          <w:sz w:val="13"/>
        </w:rPr>
        <w:t> </w:t>
      </w:r>
      <w:r>
        <w:rPr>
          <w:sz w:val="13"/>
        </w:rPr>
        <w:t>Australian</w:t>
      </w:r>
      <w:r>
        <w:rPr>
          <w:spacing w:val="7"/>
          <w:sz w:val="13"/>
        </w:rPr>
        <w:t> </w:t>
      </w:r>
      <w:r>
        <w:rPr>
          <w:sz w:val="13"/>
        </w:rPr>
        <w:t>Human</w:t>
      </w:r>
      <w:r>
        <w:rPr>
          <w:spacing w:val="7"/>
          <w:sz w:val="13"/>
        </w:rPr>
        <w:t> </w:t>
      </w:r>
      <w:r>
        <w:rPr>
          <w:sz w:val="13"/>
        </w:rPr>
        <w:t>Rights</w:t>
      </w:r>
      <w:r>
        <w:rPr>
          <w:spacing w:val="7"/>
          <w:sz w:val="13"/>
        </w:rPr>
        <w:t> </w:t>
      </w:r>
      <w:r>
        <w:rPr>
          <w:spacing w:val="2"/>
          <w:sz w:val="13"/>
        </w:rPr>
        <w:t>Commission,</w:t>
      </w:r>
      <w:r>
        <w:rPr>
          <w:spacing w:val="7"/>
          <w:sz w:val="13"/>
        </w:rPr>
        <w:t> </w:t>
      </w:r>
      <w:r>
        <w:rPr>
          <w:i/>
          <w:sz w:val="13"/>
        </w:rPr>
        <w:t>Equal</w:t>
      </w:r>
      <w:r>
        <w:rPr>
          <w:i/>
          <w:spacing w:val="7"/>
          <w:sz w:val="13"/>
        </w:rPr>
        <w:t> </w:t>
      </w:r>
      <w:r>
        <w:rPr>
          <w:i/>
          <w:sz w:val="13"/>
        </w:rPr>
        <w:t>before</w:t>
      </w:r>
      <w:r>
        <w:rPr>
          <w:i/>
          <w:spacing w:val="7"/>
          <w:sz w:val="13"/>
        </w:rPr>
        <w:t> </w:t>
      </w:r>
      <w:r>
        <w:rPr>
          <w:i/>
          <w:sz w:val="13"/>
        </w:rPr>
        <w:t>the</w:t>
      </w:r>
      <w:r>
        <w:rPr>
          <w:i/>
          <w:spacing w:val="7"/>
          <w:sz w:val="13"/>
        </w:rPr>
        <w:t> </w:t>
      </w:r>
      <w:r>
        <w:rPr>
          <w:i/>
          <w:sz w:val="13"/>
        </w:rPr>
        <w:t>Law:</w:t>
      </w:r>
      <w:r>
        <w:rPr>
          <w:i/>
          <w:spacing w:val="7"/>
          <w:sz w:val="13"/>
        </w:rPr>
        <w:t> </w:t>
      </w:r>
      <w:r>
        <w:rPr>
          <w:i/>
          <w:sz w:val="13"/>
        </w:rPr>
        <w:t>Towards</w:t>
      </w:r>
      <w:r>
        <w:rPr>
          <w:i/>
          <w:spacing w:val="7"/>
          <w:sz w:val="13"/>
        </w:rPr>
        <w:t> </w:t>
      </w:r>
      <w:r>
        <w:rPr>
          <w:i/>
          <w:sz w:val="13"/>
        </w:rPr>
        <w:t>Disability</w:t>
      </w:r>
      <w:r>
        <w:rPr>
          <w:i/>
          <w:spacing w:val="7"/>
          <w:sz w:val="13"/>
        </w:rPr>
        <w:t> </w:t>
      </w:r>
      <w:r>
        <w:rPr>
          <w:i/>
          <w:sz w:val="13"/>
        </w:rPr>
        <w:t>Justice</w:t>
      </w:r>
      <w:r>
        <w:rPr>
          <w:i/>
          <w:spacing w:val="6"/>
          <w:sz w:val="13"/>
        </w:rPr>
        <w:t> </w:t>
      </w:r>
      <w:r>
        <w:rPr>
          <w:i/>
          <w:sz w:val="13"/>
        </w:rPr>
        <w:t>Strategies</w:t>
      </w:r>
      <w:r>
        <w:rPr>
          <w:i/>
          <w:spacing w:val="7"/>
          <w:sz w:val="13"/>
        </w:rPr>
        <w:t> </w:t>
      </w:r>
      <w:r>
        <w:rPr>
          <w:spacing w:val="2"/>
          <w:sz w:val="13"/>
        </w:rPr>
        <w:t>(Report,</w:t>
      </w:r>
      <w:r>
        <w:rPr>
          <w:spacing w:val="7"/>
          <w:sz w:val="13"/>
        </w:rPr>
        <w:t> </w:t>
      </w:r>
      <w:r>
        <w:rPr>
          <w:sz w:val="13"/>
        </w:rPr>
        <w:t>February</w:t>
      </w:r>
      <w:r>
        <w:rPr>
          <w:spacing w:val="8"/>
          <w:sz w:val="13"/>
        </w:rPr>
        <w:t> </w:t>
      </w:r>
      <w:r>
        <w:rPr>
          <w:spacing w:val="2"/>
          <w:sz w:val="13"/>
        </w:rPr>
        <w:t>2014)</w:t>
      </w:r>
      <w:r>
        <w:rPr>
          <w:spacing w:val="7"/>
          <w:sz w:val="13"/>
        </w:rPr>
        <w:t> </w:t>
      </w:r>
      <w:r>
        <w:rPr>
          <w:spacing w:val="3"/>
          <w:sz w:val="13"/>
        </w:rPr>
        <w:t>12.</w:t>
      </w:r>
    </w:p>
    <w:p>
      <w:pPr>
        <w:pStyle w:val="ListParagraph"/>
        <w:numPr>
          <w:ilvl w:val="0"/>
          <w:numId w:val="63"/>
        </w:numPr>
        <w:tabs>
          <w:tab w:pos="1760" w:val="left" w:leader="none"/>
          <w:tab w:pos="1762" w:val="left" w:leader="none"/>
        </w:tabs>
        <w:spacing w:line="152" w:lineRule="exact" w:before="0" w:after="0"/>
        <w:ind w:left="1761" w:right="0" w:hanging="794"/>
        <w:jc w:val="left"/>
        <w:rPr>
          <w:i/>
          <w:sz w:val="13"/>
        </w:rPr>
      </w:pPr>
      <w:r>
        <w:rPr>
          <w:sz w:val="13"/>
        </w:rPr>
        <w:t>South</w:t>
      </w:r>
      <w:r>
        <w:rPr>
          <w:spacing w:val="2"/>
          <w:sz w:val="13"/>
        </w:rPr>
        <w:t> </w:t>
      </w:r>
      <w:r>
        <w:rPr>
          <w:sz w:val="13"/>
        </w:rPr>
        <w:t>Australian</w:t>
      </w:r>
      <w:r>
        <w:rPr>
          <w:spacing w:val="3"/>
          <w:sz w:val="13"/>
        </w:rPr>
        <w:t> </w:t>
      </w:r>
      <w:r>
        <w:rPr>
          <w:sz w:val="13"/>
        </w:rPr>
        <w:t>Law</w:t>
      </w:r>
      <w:r>
        <w:rPr>
          <w:spacing w:val="2"/>
          <w:sz w:val="13"/>
        </w:rPr>
        <w:t> </w:t>
      </w:r>
      <w:r>
        <w:rPr>
          <w:sz w:val="13"/>
        </w:rPr>
        <w:t>Reform</w:t>
      </w:r>
      <w:r>
        <w:rPr>
          <w:spacing w:val="3"/>
          <w:sz w:val="13"/>
        </w:rPr>
        <w:t> </w:t>
      </w:r>
      <w:r>
        <w:rPr>
          <w:sz w:val="13"/>
        </w:rPr>
        <w:t>Institute,</w:t>
      </w:r>
      <w:r>
        <w:rPr>
          <w:spacing w:val="2"/>
          <w:sz w:val="13"/>
        </w:rPr>
        <w:t> </w:t>
      </w:r>
      <w:r>
        <w:rPr>
          <w:i/>
          <w:sz w:val="13"/>
        </w:rPr>
        <w:t>Providing</w:t>
      </w:r>
      <w:r>
        <w:rPr>
          <w:i/>
          <w:spacing w:val="3"/>
          <w:sz w:val="13"/>
        </w:rPr>
        <w:t> </w:t>
      </w:r>
      <w:r>
        <w:rPr>
          <w:i/>
          <w:sz w:val="13"/>
        </w:rPr>
        <w:t>a</w:t>
      </w:r>
      <w:r>
        <w:rPr>
          <w:i/>
          <w:spacing w:val="3"/>
          <w:sz w:val="13"/>
        </w:rPr>
        <w:t> </w:t>
      </w:r>
      <w:r>
        <w:rPr>
          <w:i/>
          <w:sz w:val="13"/>
        </w:rPr>
        <w:t>Voice</w:t>
      </w:r>
      <w:r>
        <w:rPr>
          <w:i/>
          <w:spacing w:val="1"/>
          <w:sz w:val="13"/>
        </w:rPr>
        <w:t> </w:t>
      </w:r>
      <w:r>
        <w:rPr>
          <w:i/>
          <w:sz w:val="13"/>
        </w:rPr>
        <w:t>to</w:t>
      </w:r>
      <w:r>
        <w:rPr>
          <w:i/>
          <w:spacing w:val="3"/>
          <w:sz w:val="13"/>
        </w:rPr>
        <w:t> </w:t>
      </w:r>
      <w:r>
        <w:rPr>
          <w:i/>
          <w:sz w:val="13"/>
        </w:rPr>
        <w:t>the</w:t>
      </w:r>
      <w:r>
        <w:rPr>
          <w:i/>
          <w:spacing w:val="2"/>
          <w:sz w:val="13"/>
        </w:rPr>
        <w:t> </w:t>
      </w:r>
      <w:r>
        <w:rPr>
          <w:i/>
          <w:sz w:val="13"/>
        </w:rPr>
        <w:t>Vulnerable:</w:t>
      </w:r>
      <w:r>
        <w:rPr>
          <w:i/>
          <w:spacing w:val="3"/>
          <w:sz w:val="13"/>
        </w:rPr>
        <w:t> </w:t>
      </w:r>
      <w:r>
        <w:rPr>
          <w:i/>
          <w:sz w:val="13"/>
        </w:rPr>
        <w:t>A</w:t>
      </w:r>
      <w:r>
        <w:rPr>
          <w:i/>
          <w:spacing w:val="1"/>
          <w:sz w:val="13"/>
        </w:rPr>
        <w:t> </w:t>
      </w:r>
      <w:r>
        <w:rPr>
          <w:i/>
          <w:sz w:val="13"/>
        </w:rPr>
        <w:t>Study</w:t>
      </w:r>
      <w:r>
        <w:rPr>
          <w:i/>
          <w:spacing w:val="3"/>
          <w:sz w:val="13"/>
        </w:rPr>
        <w:t> </w:t>
      </w:r>
      <w:r>
        <w:rPr>
          <w:i/>
          <w:sz w:val="13"/>
        </w:rPr>
        <w:t>of</w:t>
      </w:r>
      <w:r>
        <w:rPr>
          <w:i/>
          <w:spacing w:val="2"/>
          <w:sz w:val="13"/>
        </w:rPr>
        <w:t> </w:t>
      </w:r>
      <w:r>
        <w:rPr>
          <w:i/>
          <w:sz w:val="13"/>
        </w:rPr>
        <w:t>Communication</w:t>
      </w:r>
      <w:r>
        <w:rPr>
          <w:i/>
          <w:spacing w:val="3"/>
          <w:sz w:val="13"/>
        </w:rPr>
        <w:t> </w:t>
      </w:r>
      <w:r>
        <w:rPr>
          <w:i/>
          <w:sz w:val="13"/>
        </w:rPr>
        <w:t>Assistance</w:t>
      </w:r>
      <w:r>
        <w:rPr>
          <w:i/>
          <w:spacing w:val="2"/>
          <w:sz w:val="13"/>
        </w:rPr>
        <w:t> </w:t>
      </w:r>
      <w:r>
        <w:rPr>
          <w:i/>
          <w:sz w:val="13"/>
        </w:rPr>
        <w:t>in</w:t>
      </w:r>
      <w:r>
        <w:rPr>
          <w:i/>
          <w:spacing w:val="3"/>
          <w:sz w:val="13"/>
        </w:rPr>
        <w:t> </w:t>
      </w:r>
      <w:r>
        <w:rPr>
          <w:i/>
          <w:sz w:val="13"/>
        </w:rPr>
        <w:t>South</w:t>
      </w:r>
      <w:r>
        <w:rPr>
          <w:i/>
          <w:spacing w:val="2"/>
          <w:sz w:val="13"/>
        </w:rPr>
        <w:t> </w:t>
      </w:r>
      <w:r>
        <w:rPr>
          <w:i/>
          <w:sz w:val="13"/>
        </w:rPr>
        <w:t>Australia</w:t>
      </w:r>
    </w:p>
    <w:p>
      <w:pPr>
        <w:spacing w:line="160" w:lineRule="exact" w:before="0"/>
        <w:ind w:left="1761" w:right="0" w:firstLine="0"/>
        <w:jc w:val="left"/>
        <w:rPr>
          <w:sz w:val="13"/>
        </w:rPr>
      </w:pPr>
      <w:r>
        <w:rPr>
          <w:sz w:val="13"/>
        </w:rPr>
        <w:t>(Report No 16, 2021) [2.3.50]–[2.3.56].</w:t>
      </w:r>
    </w:p>
    <w:p>
      <w:pPr>
        <w:tabs>
          <w:tab w:pos="1760" w:val="left" w:leader="none"/>
        </w:tabs>
        <w:spacing w:line="160" w:lineRule="exact" w:before="0"/>
        <w:ind w:left="967" w:right="0" w:firstLine="0"/>
        <w:jc w:val="left"/>
        <w:rPr>
          <w:sz w:val="13"/>
        </w:rPr>
      </w:pPr>
      <w:r>
        <w:rPr>
          <w:sz w:val="13"/>
        </w:rPr>
        <w:t>100</w:t>
        <w:tab/>
        <w:t>Ibid </w:t>
      </w:r>
      <w:r>
        <w:rPr>
          <w:spacing w:val="2"/>
          <w:sz w:val="13"/>
        </w:rPr>
        <w:t>[2.3.2].</w:t>
      </w:r>
    </w:p>
    <w:p>
      <w:pPr>
        <w:pStyle w:val="ListParagraph"/>
        <w:numPr>
          <w:ilvl w:val="0"/>
          <w:numId w:val="64"/>
        </w:numPr>
        <w:tabs>
          <w:tab w:pos="1761" w:val="left" w:leader="none"/>
          <w:tab w:pos="1762" w:val="left" w:leader="none"/>
        </w:tabs>
        <w:spacing w:line="160" w:lineRule="exact" w:before="0" w:after="0"/>
        <w:ind w:left="1761" w:right="0" w:hanging="794"/>
        <w:jc w:val="left"/>
        <w:rPr>
          <w:sz w:val="13"/>
        </w:rPr>
      </w:pPr>
      <w:r>
        <w:rPr/>
        <w:pict>
          <v:shape style="position:absolute;margin-left:549.013428pt;margin-top:3.7088pt;width:13.15pt;height:14.1pt;mso-position-horizontal-relative:page;mso-position-vertical-relative:paragraph;z-index:7120" type="#_x0000_t202" filled="false" stroked="false">
            <v:textbox inset="0,0,0,0">
              <w:txbxContent>
                <w:p>
                  <w:pPr>
                    <w:spacing w:line="282" w:lineRule="exact" w:before="0"/>
                    <w:ind w:left="0" w:right="0" w:firstLine="0"/>
                    <w:jc w:val="left"/>
                    <w:rPr>
                      <w:b/>
                      <w:sz w:val="24"/>
                    </w:rPr>
                  </w:pPr>
                  <w:r>
                    <w:rPr>
                      <w:b/>
                      <w:color w:val="37617A"/>
                      <w:spacing w:val="-1"/>
                      <w:sz w:val="24"/>
                    </w:rPr>
                    <w:t>81</w:t>
                  </w:r>
                </w:p>
              </w:txbxContent>
            </v:textbox>
            <w10:wrap type="none"/>
          </v:shape>
        </w:pict>
      </w:r>
      <w:r>
        <w:rPr>
          <w:sz w:val="13"/>
        </w:rPr>
        <w:t>Consultation 21 </w:t>
      </w:r>
      <w:r>
        <w:rPr>
          <w:spacing w:val="2"/>
          <w:sz w:val="13"/>
        </w:rPr>
        <w:t>(Della </w:t>
      </w:r>
      <w:r>
        <w:rPr>
          <w:sz w:val="13"/>
        </w:rPr>
        <w:t>Goswell, Lecturer, Convenor </w:t>
      </w:r>
      <w:r>
        <w:rPr>
          <w:spacing w:val="2"/>
          <w:sz w:val="13"/>
        </w:rPr>
        <w:t>Auslan-English </w:t>
      </w:r>
      <w:r>
        <w:rPr>
          <w:sz w:val="13"/>
        </w:rPr>
        <w:t>Interpreting Program, Macquarie University,</w:t>
      </w:r>
      <w:r>
        <w:rPr>
          <w:spacing w:val="13"/>
          <w:sz w:val="13"/>
        </w:rPr>
        <w:t> </w:t>
      </w:r>
      <w:r>
        <w:rPr>
          <w:sz w:val="13"/>
        </w:rPr>
        <w:t>NSW).</w:t>
      </w:r>
    </w:p>
    <w:p>
      <w:pPr>
        <w:pStyle w:val="ListParagraph"/>
        <w:numPr>
          <w:ilvl w:val="0"/>
          <w:numId w:val="64"/>
        </w:numPr>
        <w:tabs>
          <w:tab w:pos="1761" w:val="left" w:leader="none"/>
          <w:tab w:pos="1762" w:val="left" w:leader="none"/>
        </w:tabs>
        <w:spacing w:line="170" w:lineRule="exact" w:before="0" w:after="0"/>
        <w:ind w:left="1761" w:right="0" w:hanging="794"/>
        <w:jc w:val="left"/>
        <w:rPr>
          <w:sz w:val="13"/>
        </w:rPr>
      </w:pPr>
      <w:r>
        <w:rPr>
          <w:sz w:val="13"/>
        </w:rPr>
        <w:t>Consultation 9 (Consultation with two Victorian County </w:t>
      </w:r>
      <w:r>
        <w:rPr>
          <w:spacing w:val="2"/>
          <w:sz w:val="13"/>
        </w:rPr>
        <w:t>Court Judges, Court policy </w:t>
      </w:r>
      <w:r>
        <w:rPr>
          <w:sz w:val="13"/>
        </w:rPr>
        <w:t>staff and two</w:t>
      </w:r>
      <w:r>
        <w:rPr>
          <w:spacing w:val="8"/>
          <w:sz w:val="13"/>
        </w:rPr>
        <w:t> </w:t>
      </w:r>
      <w:r>
        <w:rPr>
          <w:sz w:val="13"/>
        </w:rPr>
        <w:t>Associates).</w:t>
      </w:r>
    </w:p>
    <w:p>
      <w:pPr>
        <w:spacing w:after="0" w:line="170" w:lineRule="exact"/>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205" w:hanging="794"/>
        <w:jc w:val="left"/>
        <w:rPr>
          <w:sz w:val="20"/>
        </w:rPr>
      </w:pPr>
      <w:bookmarkStart w:name="When might jury service not be possible?" w:id="162"/>
      <w:bookmarkEnd w:id="162"/>
      <w:r>
        <w:rPr/>
      </w:r>
      <w:bookmarkStart w:name="_bookmark64" w:id="163"/>
      <w:bookmarkEnd w:id="163"/>
      <w:r>
        <w:rPr/>
      </w:r>
      <w:bookmarkStart w:name="_bookmark64" w:id="164"/>
      <w:bookmarkEnd w:id="164"/>
      <w:r>
        <w:rPr>
          <w:sz w:val="20"/>
        </w:rPr>
        <w:t>R</w:t>
      </w:r>
      <w:r>
        <w:rPr>
          <w:sz w:val="20"/>
        </w:rPr>
        <w:t>esearchers</w:t>
      </w:r>
      <w:r>
        <w:rPr>
          <w:spacing w:val="-11"/>
          <w:sz w:val="20"/>
        </w:rPr>
        <w:t> </w:t>
      </w:r>
      <w:r>
        <w:rPr>
          <w:sz w:val="20"/>
        </w:rPr>
        <w:t>who</w:t>
      </w:r>
      <w:r>
        <w:rPr>
          <w:spacing w:val="-11"/>
          <w:sz w:val="20"/>
        </w:rPr>
        <w:t> </w:t>
      </w:r>
      <w:r>
        <w:rPr>
          <w:sz w:val="20"/>
        </w:rPr>
        <w:t>ran</w:t>
      </w:r>
      <w:r>
        <w:rPr>
          <w:spacing w:val="-10"/>
          <w:sz w:val="20"/>
        </w:rPr>
        <w:t> </w:t>
      </w:r>
      <w:r>
        <w:rPr>
          <w:sz w:val="20"/>
        </w:rPr>
        <w:t>the</w:t>
      </w:r>
      <w:r>
        <w:rPr>
          <w:spacing w:val="-11"/>
          <w:sz w:val="20"/>
        </w:rPr>
        <w:t> </w:t>
      </w:r>
      <w:r>
        <w:rPr>
          <w:sz w:val="20"/>
        </w:rPr>
        <w:t>mock</w:t>
      </w:r>
      <w:r>
        <w:rPr>
          <w:spacing w:val="-11"/>
          <w:sz w:val="20"/>
        </w:rPr>
        <w:t> </w:t>
      </w:r>
      <w:r>
        <w:rPr>
          <w:sz w:val="20"/>
        </w:rPr>
        <w:t>trial</w:t>
      </w:r>
      <w:r>
        <w:rPr>
          <w:spacing w:val="-10"/>
          <w:sz w:val="20"/>
        </w:rPr>
        <w:t> </w:t>
      </w:r>
      <w:r>
        <w:rPr>
          <w:sz w:val="20"/>
        </w:rPr>
        <w:t>in</w:t>
      </w:r>
      <w:r>
        <w:rPr>
          <w:spacing w:val="-11"/>
          <w:sz w:val="20"/>
        </w:rPr>
        <w:t> </w:t>
      </w:r>
      <w:r>
        <w:rPr>
          <w:sz w:val="20"/>
        </w:rPr>
        <w:t>New</w:t>
      </w:r>
      <w:r>
        <w:rPr>
          <w:spacing w:val="-10"/>
          <w:sz w:val="20"/>
        </w:rPr>
        <w:t> </w:t>
      </w:r>
      <w:r>
        <w:rPr>
          <w:sz w:val="20"/>
        </w:rPr>
        <w:t>South</w:t>
      </w:r>
      <w:r>
        <w:rPr>
          <w:spacing w:val="-11"/>
          <w:sz w:val="20"/>
        </w:rPr>
        <w:t> </w:t>
      </w:r>
      <w:r>
        <w:rPr>
          <w:spacing w:val="-4"/>
          <w:sz w:val="20"/>
        </w:rPr>
        <w:t>Wales</w:t>
      </w:r>
      <w:r>
        <w:rPr>
          <w:spacing w:val="-11"/>
          <w:sz w:val="20"/>
        </w:rPr>
        <w:t> </w:t>
      </w:r>
      <w:r>
        <w:rPr>
          <w:spacing w:val="-3"/>
          <w:sz w:val="20"/>
        </w:rPr>
        <w:t>involving</w:t>
      </w:r>
      <w:r>
        <w:rPr>
          <w:spacing w:val="-10"/>
          <w:sz w:val="20"/>
        </w:rPr>
        <w:t> </w:t>
      </w:r>
      <w:r>
        <w:rPr>
          <w:sz w:val="20"/>
        </w:rPr>
        <w:t>a</w:t>
      </w:r>
      <w:r>
        <w:rPr>
          <w:spacing w:val="-11"/>
          <w:sz w:val="20"/>
        </w:rPr>
        <w:t> </w:t>
      </w:r>
      <w:r>
        <w:rPr>
          <w:sz w:val="20"/>
        </w:rPr>
        <w:t>deaf</w:t>
      </w:r>
      <w:r>
        <w:rPr>
          <w:spacing w:val="-11"/>
          <w:sz w:val="20"/>
        </w:rPr>
        <w:t> </w:t>
      </w:r>
      <w:r>
        <w:rPr>
          <w:sz w:val="20"/>
        </w:rPr>
        <w:t>juror</w:t>
      </w:r>
      <w:r>
        <w:rPr>
          <w:spacing w:val="-10"/>
          <w:sz w:val="20"/>
        </w:rPr>
        <w:t> </w:t>
      </w:r>
      <w:r>
        <w:rPr>
          <w:sz w:val="20"/>
        </w:rPr>
        <w:t>observed that:</w:t>
      </w:r>
    </w:p>
    <w:p>
      <w:pPr>
        <w:spacing w:line="208" w:lineRule="auto" w:before="121"/>
        <w:ind w:left="2157" w:right="1217" w:firstLine="0"/>
        <w:jc w:val="left"/>
        <w:rPr>
          <w:sz w:val="19"/>
        </w:rPr>
      </w:pPr>
      <w:r>
        <w:rPr>
          <w:sz w:val="19"/>
        </w:rPr>
        <w:t>One of the comments from the judge in the mock trial was that a criminal trial is a delicate thing, and </w:t>
      </w:r>
      <w:r>
        <w:rPr>
          <w:spacing w:val="-3"/>
          <w:sz w:val="19"/>
        </w:rPr>
        <w:t>you’re </w:t>
      </w:r>
      <w:r>
        <w:rPr>
          <w:sz w:val="19"/>
        </w:rPr>
        <w:t>managing a number of things at once. Once you press the go</w:t>
      </w:r>
      <w:r>
        <w:rPr>
          <w:spacing w:val="-6"/>
          <w:sz w:val="19"/>
        </w:rPr>
        <w:t> </w:t>
      </w:r>
      <w:r>
        <w:rPr>
          <w:sz w:val="19"/>
        </w:rPr>
        <w:t>button</w:t>
      </w:r>
      <w:r>
        <w:rPr>
          <w:spacing w:val="-6"/>
          <w:sz w:val="19"/>
        </w:rPr>
        <w:t> </w:t>
      </w:r>
      <w:r>
        <w:rPr>
          <w:sz w:val="19"/>
        </w:rPr>
        <w:t>you</w:t>
      </w:r>
      <w:r>
        <w:rPr>
          <w:spacing w:val="-6"/>
          <w:sz w:val="19"/>
        </w:rPr>
        <w:t> </w:t>
      </w:r>
      <w:r>
        <w:rPr>
          <w:sz w:val="19"/>
        </w:rPr>
        <w:t>can’t</w:t>
      </w:r>
      <w:r>
        <w:rPr>
          <w:spacing w:val="-6"/>
          <w:sz w:val="19"/>
        </w:rPr>
        <w:t> </w:t>
      </w:r>
      <w:r>
        <w:rPr>
          <w:sz w:val="19"/>
        </w:rPr>
        <w:t>stop.</w:t>
      </w:r>
      <w:r>
        <w:rPr>
          <w:spacing w:val="-6"/>
          <w:sz w:val="19"/>
        </w:rPr>
        <w:t> </w:t>
      </w:r>
      <w:r>
        <w:rPr>
          <w:sz w:val="19"/>
        </w:rPr>
        <w:t>So,</w:t>
      </w:r>
      <w:r>
        <w:rPr>
          <w:spacing w:val="-6"/>
          <w:sz w:val="19"/>
        </w:rPr>
        <w:t> </w:t>
      </w:r>
      <w:r>
        <w:rPr>
          <w:sz w:val="19"/>
        </w:rPr>
        <w:t>he</w:t>
      </w:r>
      <w:r>
        <w:rPr>
          <w:spacing w:val="-5"/>
          <w:sz w:val="19"/>
        </w:rPr>
        <w:t> </w:t>
      </w:r>
      <w:r>
        <w:rPr>
          <w:sz w:val="19"/>
        </w:rPr>
        <w:t>was</w:t>
      </w:r>
      <w:r>
        <w:rPr>
          <w:spacing w:val="-6"/>
          <w:sz w:val="19"/>
        </w:rPr>
        <w:t> </w:t>
      </w:r>
      <w:r>
        <w:rPr>
          <w:sz w:val="19"/>
        </w:rPr>
        <w:t>anxious</w:t>
      </w:r>
      <w:r>
        <w:rPr>
          <w:spacing w:val="-6"/>
          <w:sz w:val="19"/>
        </w:rPr>
        <w:t> </w:t>
      </w:r>
      <w:r>
        <w:rPr>
          <w:sz w:val="19"/>
        </w:rPr>
        <w:t>about</w:t>
      </w:r>
      <w:r>
        <w:rPr>
          <w:spacing w:val="-6"/>
          <w:sz w:val="19"/>
        </w:rPr>
        <w:t> </w:t>
      </w:r>
      <w:r>
        <w:rPr>
          <w:sz w:val="19"/>
        </w:rPr>
        <w:t>adding</w:t>
      </w:r>
      <w:r>
        <w:rPr>
          <w:spacing w:val="-6"/>
          <w:sz w:val="19"/>
        </w:rPr>
        <w:t> </w:t>
      </w:r>
      <w:r>
        <w:rPr>
          <w:sz w:val="19"/>
        </w:rPr>
        <w:t>another</w:t>
      </w:r>
      <w:r>
        <w:rPr>
          <w:spacing w:val="-6"/>
          <w:sz w:val="19"/>
        </w:rPr>
        <w:t> </w:t>
      </w:r>
      <w:r>
        <w:rPr>
          <w:sz w:val="19"/>
        </w:rPr>
        <w:t>difficult</w:t>
      </w:r>
      <w:r>
        <w:rPr>
          <w:spacing w:val="-6"/>
          <w:sz w:val="19"/>
        </w:rPr>
        <w:t> </w:t>
      </w:r>
      <w:r>
        <w:rPr>
          <w:sz w:val="19"/>
        </w:rPr>
        <w:t>thing</w:t>
      </w:r>
      <w:r>
        <w:rPr>
          <w:spacing w:val="-6"/>
          <w:sz w:val="19"/>
        </w:rPr>
        <w:t> </w:t>
      </w:r>
      <w:r>
        <w:rPr>
          <w:sz w:val="19"/>
        </w:rPr>
        <w:t>to</w:t>
      </w:r>
      <w:r>
        <w:rPr>
          <w:spacing w:val="-5"/>
          <w:sz w:val="19"/>
        </w:rPr>
        <w:t> </w:t>
      </w:r>
      <w:r>
        <w:rPr>
          <w:sz w:val="19"/>
        </w:rPr>
        <w:t>the mix.</w:t>
      </w:r>
    </w:p>
    <w:p>
      <w:pPr>
        <w:spacing w:line="208" w:lineRule="auto" w:before="122"/>
        <w:ind w:left="2157" w:right="1401" w:firstLine="0"/>
        <w:jc w:val="left"/>
        <w:rPr>
          <w:sz w:val="11"/>
        </w:rPr>
      </w:pPr>
      <w:r>
        <w:rPr>
          <w:sz w:val="19"/>
        </w:rPr>
        <w:t>While that is not a reason to not amend the law to allow deaf jurors to serve, you do need to engage with those anxieties. It is an issue of changing hearts and minds.</w:t>
      </w:r>
      <w:r>
        <w:rPr>
          <w:position w:val="6"/>
          <w:sz w:val="11"/>
        </w:rPr>
        <w:t>103</w:t>
      </w:r>
    </w:p>
    <w:p>
      <w:pPr>
        <w:pStyle w:val="ListParagraph"/>
        <w:numPr>
          <w:ilvl w:val="1"/>
          <w:numId w:val="12"/>
        </w:numPr>
        <w:tabs>
          <w:tab w:pos="1761" w:val="left" w:leader="none"/>
          <w:tab w:pos="1762" w:val="left" w:leader="none"/>
        </w:tabs>
        <w:spacing w:line="206" w:lineRule="auto" w:before="123" w:after="0"/>
        <w:ind w:left="1761" w:right="1434" w:hanging="794"/>
        <w:jc w:val="left"/>
        <w:rPr>
          <w:sz w:val="20"/>
        </w:rPr>
      </w:pPr>
      <w:r>
        <w:rPr>
          <w:spacing w:val="-4"/>
          <w:sz w:val="20"/>
        </w:rPr>
        <w:t>Training </w:t>
      </w:r>
      <w:r>
        <w:rPr>
          <w:sz w:val="20"/>
        </w:rPr>
        <w:t>about the operation of new </w:t>
      </w:r>
      <w:r>
        <w:rPr>
          <w:spacing w:val="-3"/>
          <w:sz w:val="20"/>
        </w:rPr>
        <w:t>laws </w:t>
      </w:r>
      <w:r>
        <w:rPr>
          <w:sz w:val="20"/>
        </w:rPr>
        <w:t>and the </w:t>
      </w:r>
      <w:r>
        <w:rPr>
          <w:spacing w:val="-3"/>
          <w:sz w:val="20"/>
        </w:rPr>
        <w:t>role </w:t>
      </w:r>
      <w:r>
        <w:rPr>
          <w:sz w:val="20"/>
        </w:rPr>
        <w:t>of adjustments will assist to allay concerns in the legal profession about reform. Disability </w:t>
      </w:r>
      <w:r>
        <w:rPr>
          <w:spacing w:val="-3"/>
          <w:sz w:val="20"/>
        </w:rPr>
        <w:t>awareness </w:t>
      </w:r>
      <w:r>
        <w:rPr>
          <w:sz w:val="20"/>
        </w:rPr>
        <w:t>training for the</w:t>
      </w:r>
      <w:r>
        <w:rPr>
          <w:spacing w:val="-12"/>
          <w:sz w:val="20"/>
        </w:rPr>
        <w:t> </w:t>
      </w:r>
      <w:r>
        <w:rPr>
          <w:sz w:val="20"/>
        </w:rPr>
        <w:t>profession</w:t>
      </w:r>
      <w:r>
        <w:rPr>
          <w:spacing w:val="-12"/>
          <w:sz w:val="20"/>
        </w:rPr>
        <w:t> </w:t>
      </w:r>
      <w:r>
        <w:rPr>
          <w:sz w:val="20"/>
        </w:rPr>
        <w:t>to</w:t>
      </w:r>
      <w:r>
        <w:rPr>
          <w:spacing w:val="-12"/>
          <w:sz w:val="20"/>
        </w:rPr>
        <w:t> </w:t>
      </w:r>
      <w:r>
        <w:rPr>
          <w:sz w:val="20"/>
        </w:rPr>
        <w:t>address</w:t>
      </w:r>
      <w:r>
        <w:rPr>
          <w:spacing w:val="-12"/>
          <w:sz w:val="20"/>
        </w:rPr>
        <w:t> </w:t>
      </w:r>
      <w:r>
        <w:rPr>
          <w:sz w:val="20"/>
        </w:rPr>
        <w:t>conscious</w:t>
      </w:r>
      <w:r>
        <w:rPr>
          <w:spacing w:val="-12"/>
          <w:sz w:val="20"/>
        </w:rPr>
        <w:t> </w:t>
      </w:r>
      <w:r>
        <w:rPr>
          <w:sz w:val="20"/>
        </w:rPr>
        <w:t>and</w:t>
      </w:r>
      <w:r>
        <w:rPr>
          <w:spacing w:val="-11"/>
          <w:sz w:val="20"/>
        </w:rPr>
        <w:t> </w:t>
      </w:r>
      <w:r>
        <w:rPr>
          <w:sz w:val="20"/>
        </w:rPr>
        <w:t>unconscious</w:t>
      </w:r>
      <w:r>
        <w:rPr>
          <w:spacing w:val="-12"/>
          <w:sz w:val="20"/>
        </w:rPr>
        <w:t> </w:t>
      </w:r>
      <w:r>
        <w:rPr>
          <w:sz w:val="20"/>
        </w:rPr>
        <w:t>bias,</w:t>
      </w:r>
      <w:r>
        <w:rPr>
          <w:spacing w:val="-12"/>
          <w:sz w:val="20"/>
        </w:rPr>
        <w:t> </w:t>
      </w:r>
      <w:r>
        <w:rPr>
          <w:sz w:val="20"/>
        </w:rPr>
        <w:t>with</w:t>
      </w:r>
      <w:r>
        <w:rPr>
          <w:spacing w:val="-12"/>
          <w:sz w:val="20"/>
        </w:rPr>
        <w:t> </w:t>
      </w:r>
      <w:r>
        <w:rPr>
          <w:sz w:val="20"/>
        </w:rPr>
        <w:t>a</w:t>
      </w:r>
      <w:r>
        <w:rPr>
          <w:spacing w:val="-12"/>
          <w:sz w:val="20"/>
        </w:rPr>
        <w:t> </w:t>
      </w:r>
      <w:r>
        <w:rPr>
          <w:sz w:val="20"/>
        </w:rPr>
        <w:t>practical</w:t>
      </w:r>
      <w:r>
        <w:rPr>
          <w:spacing w:val="-11"/>
          <w:sz w:val="20"/>
        </w:rPr>
        <w:t> </w:t>
      </w:r>
      <w:r>
        <w:rPr>
          <w:sz w:val="20"/>
        </w:rPr>
        <w:t>focus</w:t>
      </w:r>
      <w:r>
        <w:rPr>
          <w:spacing w:val="-12"/>
          <w:sz w:val="20"/>
        </w:rPr>
        <w:t> </w:t>
      </w:r>
      <w:r>
        <w:rPr>
          <w:sz w:val="20"/>
        </w:rPr>
        <w:t>and</w:t>
      </w:r>
    </w:p>
    <w:p>
      <w:pPr>
        <w:pStyle w:val="BodyText"/>
        <w:spacing w:line="206" w:lineRule="auto" w:before="4"/>
        <w:ind w:left="1761" w:right="1176"/>
      </w:pPr>
      <w:r>
        <w:rPr>
          <w:spacing w:val="-3"/>
        </w:rPr>
        <w:t>involving </w:t>
      </w:r>
      <w:r>
        <w:rPr/>
        <w:t>people with disabilities, will also be very important. </w:t>
      </w:r>
      <w:r>
        <w:rPr>
          <w:spacing w:val="-6"/>
        </w:rPr>
        <w:t>We </w:t>
      </w:r>
      <w:r>
        <w:rPr/>
        <w:t>discuss these </w:t>
      </w:r>
      <w:r>
        <w:rPr>
          <w:spacing w:val="-3"/>
        </w:rPr>
        <w:t>reforms </w:t>
      </w:r>
      <w:r>
        <w:rPr/>
        <w:t>in </w:t>
      </w:r>
      <w:r>
        <w:rPr>
          <w:spacing w:val="-2"/>
        </w:rPr>
        <w:t>Chapters </w:t>
      </w:r>
      <w:r>
        <w:rPr>
          <w:spacing w:val="3"/>
        </w:rPr>
        <w:t>14, </w:t>
      </w:r>
      <w:r>
        <w:rPr/>
        <w:t>15 and 18.</w:t>
      </w:r>
    </w:p>
    <w:p>
      <w:pPr>
        <w:pStyle w:val="BodyText"/>
        <w:spacing w:before="6"/>
        <w:rPr>
          <w:sz w:val="16"/>
        </w:rPr>
      </w:pPr>
    </w:p>
    <w:p>
      <w:pPr>
        <w:pStyle w:val="Heading2"/>
        <w:rPr>
          <w:b/>
        </w:rPr>
      </w:pPr>
      <w:r>
        <w:rPr>
          <w:b/>
          <w:color w:val="37617A"/>
        </w:rPr>
        <w:t>When might jury service not be possible?</w:t>
      </w:r>
    </w:p>
    <w:p>
      <w:pPr>
        <w:pStyle w:val="ListParagraph"/>
        <w:numPr>
          <w:ilvl w:val="1"/>
          <w:numId w:val="12"/>
        </w:numPr>
        <w:tabs>
          <w:tab w:pos="1761" w:val="left" w:leader="none"/>
          <w:tab w:pos="1762" w:val="left" w:leader="none"/>
        </w:tabs>
        <w:spacing w:line="240" w:lineRule="auto" w:before="114" w:after="0"/>
        <w:ind w:left="1761" w:right="0" w:hanging="794"/>
        <w:jc w:val="left"/>
        <w:rPr>
          <w:sz w:val="20"/>
        </w:rPr>
      </w:pPr>
      <w:r>
        <w:rPr>
          <w:sz w:val="20"/>
        </w:rPr>
        <w:t>All</w:t>
      </w:r>
      <w:r>
        <w:rPr>
          <w:spacing w:val="-6"/>
          <w:sz w:val="20"/>
        </w:rPr>
        <w:t> </w:t>
      </w:r>
      <w:r>
        <w:rPr>
          <w:sz w:val="20"/>
        </w:rPr>
        <w:t>jurors,</w:t>
      </w:r>
      <w:r>
        <w:rPr>
          <w:spacing w:val="-5"/>
          <w:sz w:val="20"/>
        </w:rPr>
        <w:t> </w:t>
      </w:r>
      <w:r>
        <w:rPr>
          <w:sz w:val="20"/>
        </w:rPr>
        <w:t>including</w:t>
      </w:r>
      <w:r>
        <w:rPr>
          <w:spacing w:val="-5"/>
          <w:sz w:val="20"/>
        </w:rPr>
        <w:t> </w:t>
      </w:r>
      <w:r>
        <w:rPr>
          <w:sz w:val="20"/>
        </w:rPr>
        <w:t>those</w:t>
      </w:r>
      <w:r>
        <w:rPr>
          <w:spacing w:val="-5"/>
          <w:sz w:val="20"/>
        </w:rPr>
        <w:t> </w:t>
      </w:r>
      <w:r>
        <w:rPr>
          <w:spacing w:val="-3"/>
          <w:sz w:val="20"/>
        </w:rPr>
        <w:t>from</w:t>
      </w:r>
      <w:r>
        <w:rPr>
          <w:spacing w:val="-5"/>
          <w:sz w:val="20"/>
        </w:rPr>
        <w:t> </w:t>
      </w:r>
      <w:r>
        <w:rPr>
          <w:sz w:val="20"/>
        </w:rPr>
        <w:t>the</w:t>
      </w:r>
      <w:r>
        <w:rPr>
          <w:spacing w:val="-5"/>
          <w:sz w:val="20"/>
        </w:rPr>
        <w:t> </w:t>
      </w:r>
      <w:r>
        <w:rPr>
          <w:sz w:val="20"/>
        </w:rPr>
        <w:t>subject</w:t>
      </w:r>
      <w:r>
        <w:rPr>
          <w:spacing w:val="-5"/>
          <w:sz w:val="20"/>
        </w:rPr>
        <w:t> </w:t>
      </w:r>
      <w:r>
        <w:rPr>
          <w:sz w:val="20"/>
        </w:rPr>
        <w:t>groups,</w:t>
      </w:r>
      <w:r>
        <w:rPr>
          <w:spacing w:val="-5"/>
          <w:sz w:val="20"/>
        </w:rPr>
        <w:t> </w:t>
      </w:r>
      <w:r>
        <w:rPr>
          <w:sz w:val="20"/>
        </w:rPr>
        <w:t>must</w:t>
      </w:r>
      <w:r>
        <w:rPr>
          <w:spacing w:val="-5"/>
          <w:sz w:val="20"/>
        </w:rPr>
        <w:t> </w:t>
      </w:r>
      <w:r>
        <w:rPr>
          <w:sz w:val="20"/>
        </w:rPr>
        <w:t>be</w:t>
      </w:r>
      <w:r>
        <w:rPr>
          <w:spacing w:val="-5"/>
          <w:sz w:val="20"/>
        </w:rPr>
        <w:t> </w:t>
      </w:r>
      <w:r>
        <w:rPr>
          <w:sz w:val="20"/>
        </w:rPr>
        <w:t>able</w:t>
      </w:r>
      <w:r>
        <w:rPr>
          <w:spacing w:val="-6"/>
          <w:sz w:val="20"/>
        </w:rPr>
        <w:t> </w:t>
      </w:r>
      <w:r>
        <w:rPr>
          <w:spacing w:val="-3"/>
          <w:sz w:val="20"/>
        </w:rPr>
        <w:t>to:</w:t>
      </w:r>
    </w:p>
    <w:p>
      <w:pPr>
        <w:pStyle w:val="ListParagraph"/>
        <w:numPr>
          <w:ilvl w:val="2"/>
          <w:numId w:val="12"/>
        </w:numPr>
        <w:tabs>
          <w:tab w:pos="2157" w:val="left" w:leader="none"/>
          <w:tab w:pos="2158" w:val="left" w:leader="none"/>
        </w:tabs>
        <w:spacing w:line="240" w:lineRule="auto" w:before="82" w:after="0"/>
        <w:ind w:left="2157" w:right="0" w:hanging="396"/>
        <w:jc w:val="left"/>
        <w:rPr>
          <w:sz w:val="20"/>
        </w:rPr>
      </w:pPr>
      <w:r>
        <w:rPr>
          <w:spacing w:val="-3"/>
          <w:sz w:val="20"/>
        </w:rPr>
        <w:t>perceive</w:t>
      </w:r>
      <w:r>
        <w:rPr>
          <w:spacing w:val="-5"/>
          <w:sz w:val="20"/>
        </w:rPr>
        <w:t> </w:t>
      </w:r>
      <w:r>
        <w:rPr>
          <w:sz w:val="20"/>
        </w:rPr>
        <w:t>evidence</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comprehend</w:t>
      </w:r>
      <w:r>
        <w:rPr>
          <w:spacing w:val="-5"/>
          <w:sz w:val="20"/>
        </w:rPr>
        <w:t> </w:t>
      </w:r>
      <w:r>
        <w:rPr>
          <w:sz w:val="20"/>
        </w:rPr>
        <w:t>evidence</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pacing w:val="-3"/>
          <w:sz w:val="20"/>
        </w:rPr>
        <w:t>follow </w:t>
      </w:r>
      <w:r>
        <w:rPr>
          <w:sz w:val="20"/>
        </w:rPr>
        <w:t>court</w:t>
      </w:r>
      <w:r>
        <w:rPr>
          <w:spacing w:val="-6"/>
          <w:sz w:val="20"/>
        </w:rPr>
        <w:t> </w:t>
      </w:r>
      <w:r>
        <w:rPr>
          <w:sz w:val="20"/>
        </w:rPr>
        <w:t>proceedings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deliberate effectively with their </w:t>
      </w:r>
      <w:r>
        <w:rPr>
          <w:spacing w:val="-3"/>
          <w:sz w:val="20"/>
        </w:rPr>
        <w:t>fellow</w:t>
      </w:r>
      <w:r>
        <w:rPr>
          <w:spacing w:val="-24"/>
          <w:sz w:val="20"/>
        </w:rPr>
        <w:t> </w:t>
      </w:r>
      <w:r>
        <w:rPr>
          <w:sz w:val="20"/>
        </w:rPr>
        <w:t>jurors.</w:t>
      </w:r>
    </w:p>
    <w:p>
      <w:pPr>
        <w:pStyle w:val="ListParagraph"/>
        <w:numPr>
          <w:ilvl w:val="1"/>
          <w:numId w:val="12"/>
        </w:numPr>
        <w:tabs>
          <w:tab w:pos="1761" w:val="left" w:leader="none"/>
          <w:tab w:pos="1762" w:val="left" w:leader="none"/>
        </w:tabs>
        <w:spacing w:line="206" w:lineRule="auto" w:before="80" w:after="0"/>
        <w:ind w:left="1761" w:right="1453" w:hanging="794"/>
        <w:jc w:val="left"/>
        <w:rPr>
          <w:sz w:val="20"/>
        </w:rPr>
      </w:pPr>
      <w:r>
        <w:rPr>
          <w:sz w:val="20"/>
        </w:rPr>
        <w:t>There </w:t>
      </w:r>
      <w:r>
        <w:rPr>
          <w:spacing w:val="-3"/>
          <w:sz w:val="20"/>
        </w:rPr>
        <w:t>may </w:t>
      </w:r>
      <w:r>
        <w:rPr>
          <w:sz w:val="20"/>
        </w:rPr>
        <w:t>be situations where a potential juror is unable to perform their </w:t>
      </w:r>
      <w:r>
        <w:rPr>
          <w:spacing w:val="-3"/>
          <w:sz w:val="20"/>
        </w:rPr>
        <w:t>role </w:t>
      </w:r>
      <w:r>
        <w:rPr>
          <w:sz w:val="20"/>
        </w:rPr>
        <w:t>because</w:t>
      </w:r>
      <w:r>
        <w:rPr>
          <w:spacing w:val="-9"/>
          <w:sz w:val="20"/>
        </w:rPr>
        <w:t> </w:t>
      </w:r>
      <w:r>
        <w:rPr>
          <w:sz w:val="20"/>
        </w:rPr>
        <w:t>of</w:t>
      </w:r>
      <w:r>
        <w:rPr>
          <w:spacing w:val="-9"/>
          <w:sz w:val="20"/>
        </w:rPr>
        <w:t> </w:t>
      </w:r>
      <w:r>
        <w:rPr>
          <w:sz w:val="20"/>
        </w:rPr>
        <w:t>the</w:t>
      </w:r>
      <w:r>
        <w:rPr>
          <w:spacing w:val="-8"/>
          <w:sz w:val="20"/>
        </w:rPr>
        <w:t> </w:t>
      </w:r>
      <w:r>
        <w:rPr>
          <w:spacing w:val="-3"/>
          <w:sz w:val="20"/>
        </w:rPr>
        <w:t>nature</w:t>
      </w:r>
      <w:r>
        <w:rPr>
          <w:spacing w:val="-9"/>
          <w:sz w:val="20"/>
        </w:rPr>
        <w:t> </w:t>
      </w:r>
      <w:r>
        <w:rPr>
          <w:sz w:val="20"/>
        </w:rPr>
        <w:t>of</w:t>
      </w:r>
      <w:r>
        <w:rPr>
          <w:spacing w:val="-8"/>
          <w:sz w:val="20"/>
        </w:rPr>
        <w:t> </w:t>
      </w:r>
      <w:r>
        <w:rPr>
          <w:sz w:val="20"/>
        </w:rPr>
        <w:t>evidence</w:t>
      </w:r>
      <w:r>
        <w:rPr>
          <w:spacing w:val="-9"/>
          <w:sz w:val="20"/>
        </w:rPr>
        <w:t> </w:t>
      </w:r>
      <w:r>
        <w:rPr>
          <w:sz w:val="20"/>
        </w:rPr>
        <w:t>in</w:t>
      </w:r>
      <w:r>
        <w:rPr>
          <w:spacing w:val="-9"/>
          <w:sz w:val="20"/>
        </w:rPr>
        <w:t> </w:t>
      </w:r>
      <w:r>
        <w:rPr>
          <w:sz w:val="20"/>
        </w:rPr>
        <w:t>a</w:t>
      </w:r>
      <w:r>
        <w:rPr>
          <w:spacing w:val="-8"/>
          <w:sz w:val="20"/>
        </w:rPr>
        <w:t> </w:t>
      </w:r>
      <w:r>
        <w:rPr>
          <w:sz w:val="20"/>
        </w:rPr>
        <w:t>particular</w:t>
      </w:r>
      <w:r>
        <w:rPr>
          <w:spacing w:val="-9"/>
          <w:sz w:val="20"/>
        </w:rPr>
        <w:t> </w:t>
      </w:r>
      <w:r>
        <w:rPr>
          <w:sz w:val="20"/>
        </w:rPr>
        <w:t>trial</w:t>
      </w:r>
      <w:r>
        <w:rPr>
          <w:spacing w:val="-8"/>
          <w:sz w:val="20"/>
        </w:rPr>
        <w:t> </w:t>
      </w:r>
      <w:r>
        <w:rPr>
          <w:sz w:val="20"/>
        </w:rPr>
        <w:t>and</w:t>
      </w:r>
      <w:r>
        <w:rPr>
          <w:spacing w:val="-9"/>
          <w:sz w:val="20"/>
        </w:rPr>
        <w:t> </w:t>
      </w:r>
      <w:r>
        <w:rPr>
          <w:sz w:val="20"/>
        </w:rPr>
        <w:t>their</w:t>
      </w:r>
      <w:r>
        <w:rPr>
          <w:spacing w:val="-8"/>
          <w:sz w:val="20"/>
        </w:rPr>
        <w:t> </w:t>
      </w:r>
      <w:r>
        <w:rPr>
          <w:sz w:val="20"/>
        </w:rPr>
        <w:t>inability</w:t>
      </w:r>
      <w:r>
        <w:rPr>
          <w:spacing w:val="-9"/>
          <w:sz w:val="20"/>
        </w:rPr>
        <w:t> </w:t>
      </w:r>
      <w:r>
        <w:rPr>
          <w:sz w:val="20"/>
        </w:rPr>
        <w:t>to</w:t>
      </w:r>
      <w:r>
        <w:rPr>
          <w:spacing w:val="-9"/>
          <w:sz w:val="20"/>
        </w:rPr>
        <w:t> </w:t>
      </w:r>
      <w:r>
        <w:rPr>
          <w:spacing w:val="-3"/>
          <w:sz w:val="20"/>
        </w:rPr>
        <w:t>adequately</w:t>
      </w:r>
    </w:p>
    <w:p>
      <w:pPr>
        <w:pStyle w:val="BodyText"/>
        <w:spacing w:line="206" w:lineRule="auto" w:before="3"/>
        <w:ind w:left="1761" w:right="1202"/>
      </w:pPr>
      <w:r>
        <w:rPr/>
        <w:t>comprehend</w:t>
      </w:r>
      <w:r>
        <w:rPr>
          <w:spacing w:val="-11"/>
        </w:rPr>
        <w:t> </w:t>
      </w:r>
      <w:r>
        <w:rPr/>
        <w:t>it,</w:t>
      </w:r>
      <w:r>
        <w:rPr>
          <w:spacing w:val="-11"/>
        </w:rPr>
        <w:t> </w:t>
      </w:r>
      <w:r>
        <w:rPr>
          <w:spacing w:val="-3"/>
        </w:rPr>
        <w:t>even</w:t>
      </w:r>
      <w:r>
        <w:rPr>
          <w:spacing w:val="-11"/>
        </w:rPr>
        <w:t> </w:t>
      </w:r>
      <w:r>
        <w:rPr/>
        <w:t>with</w:t>
      </w:r>
      <w:r>
        <w:rPr>
          <w:spacing w:val="-10"/>
        </w:rPr>
        <w:t> </w:t>
      </w:r>
      <w:r>
        <w:rPr/>
        <w:t>adjustments.</w:t>
      </w:r>
      <w:r>
        <w:rPr>
          <w:spacing w:val="-11"/>
        </w:rPr>
        <w:t> </w:t>
      </w:r>
      <w:r>
        <w:rPr>
          <w:spacing w:val="-3"/>
        </w:rPr>
        <w:t>For</w:t>
      </w:r>
      <w:r>
        <w:rPr>
          <w:spacing w:val="-11"/>
        </w:rPr>
        <w:t> </w:t>
      </w:r>
      <w:r>
        <w:rPr>
          <w:spacing w:val="-3"/>
        </w:rPr>
        <w:t>example,</w:t>
      </w:r>
      <w:r>
        <w:rPr>
          <w:spacing w:val="-11"/>
        </w:rPr>
        <w:t> </w:t>
      </w:r>
      <w:r>
        <w:rPr/>
        <w:t>a</w:t>
      </w:r>
      <w:r>
        <w:rPr>
          <w:spacing w:val="-10"/>
        </w:rPr>
        <w:t> </w:t>
      </w:r>
      <w:r>
        <w:rPr/>
        <w:t>case</w:t>
      </w:r>
      <w:r>
        <w:rPr>
          <w:spacing w:val="-11"/>
        </w:rPr>
        <w:t> </w:t>
      </w:r>
      <w:r>
        <w:rPr/>
        <w:t>might</w:t>
      </w:r>
      <w:r>
        <w:rPr>
          <w:spacing w:val="-11"/>
        </w:rPr>
        <w:t> </w:t>
      </w:r>
      <w:r>
        <w:rPr/>
        <w:t>turn</w:t>
      </w:r>
      <w:r>
        <w:rPr>
          <w:spacing w:val="-10"/>
        </w:rPr>
        <w:t> </w:t>
      </w:r>
      <w:r>
        <w:rPr/>
        <w:t>upon</w:t>
      </w:r>
      <w:r>
        <w:rPr>
          <w:spacing w:val="-11"/>
        </w:rPr>
        <w:t> </w:t>
      </w:r>
      <w:r>
        <w:rPr/>
        <w:t>identifying a </w:t>
      </w:r>
      <w:r>
        <w:rPr>
          <w:spacing w:val="-3"/>
        </w:rPr>
        <w:t>voice </w:t>
      </w:r>
      <w:r>
        <w:rPr/>
        <w:t>in a phone call or identifying a person </w:t>
      </w:r>
      <w:r>
        <w:rPr>
          <w:spacing w:val="-3"/>
        </w:rPr>
        <w:t>from </w:t>
      </w:r>
      <w:r>
        <w:rPr/>
        <w:t>a photograph or </w:t>
      </w:r>
      <w:r>
        <w:rPr>
          <w:spacing w:val="-4"/>
        </w:rPr>
        <w:t>CCTV. </w:t>
      </w:r>
      <w:r>
        <w:rPr/>
        <w:t>A person who cannot hear or see the evidence </w:t>
      </w:r>
      <w:r>
        <w:rPr>
          <w:spacing w:val="-3"/>
        </w:rPr>
        <w:t>may </w:t>
      </w:r>
      <w:r>
        <w:rPr/>
        <w:t>not be able to </w:t>
      </w:r>
      <w:r>
        <w:rPr>
          <w:spacing w:val="-3"/>
        </w:rPr>
        <w:t>adequately </w:t>
      </w:r>
      <w:r>
        <w:rPr/>
        <w:t>perform the </w:t>
      </w:r>
      <w:r>
        <w:rPr>
          <w:spacing w:val="-3"/>
        </w:rPr>
        <w:t>role </w:t>
      </w:r>
      <w:r>
        <w:rPr/>
        <w:t>of juror in that particular</w:t>
      </w:r>
      <w:r>
        <w:rPr>
          <w:spacing w:val="-22"/>
        </w:rPr>
        <w:t> </w:t>
      </w:r>
      <w:r>
        <w:rPr/>
        <w:t>case.</w:t>
      </w:r>
    </w:p>
    <w:p>
      <w:pPr>
        <w:pStyle w:val="Heading3"/>
        <w:spacing w:before="163"/>
      </w:pPr>
      <w:r>
        <w:rPr/>
        <w:t>Community responses: when jury service is not possible</w:t>
      </w:r>
    </w:p>
    <w:p>
      <w:pPr>
        <w:pStyle w:val="ListParagraph"/>
        <w:numPr>
          <w:ilvl w:val="1"/>
          <w:numId w:val="12"/>
        </w:numPr>
        <w:tabs>
          <w:tab w:pos="1761" w:val="left" w:leader="none"/>
          <w:tab w:pos="1762" w:val="left" w:leader="none"/>
        </w:tabs>
        <w:spacing w:line="206" w:lineRule="auto" w:before="127" w:after="0"/>
        <w:ind w:left="1761" w:right="1320" w:hanging="794"/>
        <w:jc w:val="left"/>
        <w:rPr>
          <w:sz w:val="20"/>
        </w:rPr>
      </w:pPr>
      <w:r>
        <w:rPr>
          <w:sz w:val="20"/>
        </w:rPr>
        <w:t>Most responses to the Commission agreed that, in some situations, the combination of</w:t>
      </w:r>
      <w:r>
        <w:rPr>
          <w:spacing w:val="-10"/>
          <w:sz w:val="20"/>
        </w:rPr>
        <w:t> </w:t>
      </w:r>
      <w:r>
        <w:rPr>
          <w:sz w:val="20"/>
        </w:rPr>
        <w:t>a</w:t>
      </w:r>
      <w:r>
        <w:rPr>
          <w:spacing w:val="-9"/>
          <w:sz w:val="20"/>
        </w:rPr>
        <w:t> </w:t>
      </w:r>
      <w:r>
        <w:rPr>
          <w:sz w:val="20"/>
        </w:rPr>
        <w:t>particular</w:t>
      </w:r>
      <w:r>
        <w:rPr>
          <w:spacing w:val="-9"/>
          <w:sz w:val="20"/>
        </w:rPr>
        <w:t> </w:t>
      </w:r>
      <w:r>
        <w:rPr>
          <w:sz w:val="20"/>
        </w:rPr>
        <w:t>disability</w:t>
      </w:r>
      <w:r>
        <w:rPr>
          <w:spacing w:val="-10"/>
          <w:sz w:val="20"/>
        </w:rPr>
        <w:t> </w:t>
      </w:r>
      <w:r>
        <w:rPr>
          <w:sz w:val="20"/>
        </w:rPr>
        <w:t>and</w:t>
      </w:r>
      <w:r>
        <w:rPr>
          <w:spacing w:val="-9"/>
          <w:sz w:val="20"/>
        </w:rPr>
        <w:t> </w:t>
      </w:r>
      <w:r>
        <w:rPr>
          <w:sz w:val="20"/>
        </w:rPr>
        <w:t>the</w:t>
      </w:r>
      <w:r>
        <w:rPr>
          <w:spacing w:val="-9"/>
          <w:sz w:val="20"/>
        </w:rPr>
        <w:t> </w:t>
      </w:r>
      <w:r>
        <w:rPr>
          <w:spacing w:val="-3"/>
          <w:sz w:val="20"/>
        </w:rPr>
        <w:t>nature</w:t>
      </w:r>
      <w:r>
        <w:rPr>
          <w:spacing w:val="-10"/>
          <w:sz w:val="20"/>
        </w:rPr>
        <w:t> </w:t>
      </w:r>
      <w:r>
        <w:rPr>
          <w:sz w:val="20"/>
        </w:rPr>
        <w:t>of</w:t>
      </w:r>
      <w:r>
        <w:rPr>
          <w:spacing w:val="-9"/>
          <w:sz w:val="20"/>
        </w:rPr>
        <w:t> </w:t>
      </w:r>
      <w:r>
        <w:rPr>
          <w:sz w:val="20"/>
        </w:rPr>
        <w:t>evidence</w:t>
      </w:r>
      <w:r>
        <w:rPr>
          <w:spacing w:val="-9"/>
          <w:sz w:val="20"/>
        </w:rPr>
        <w:t> </w:t>
      </w:r>
      <w:r>
        <w:rPr>
          <w:sz w:val="20"/>
        </w:rPr>
        <w:t>that</w:t>
      </w:r>
      <w:r>
        <w:rPr>
          <w:spacing w:val="-10"/>
          <w:sz w:val="20"/>
        </w:rPr>
        <w:t> </w:t>
      </w:r>
      <w:r>
        <w:rPr>
          <w:sz w:val="20"/>
        </w:rPr>
        <w:t>is</w:t>
      </w:r>
      <w:r>
        <w:rPr>
          <w:spacing w:val="-9"/>
          <w:sz w:val="20"/>
        </w:rPr>
        <w:t> </w:t>
      </w:r>
      <w:r>
        <w:rPr>
          <w:sz w:val="20"/>
        </w:rPr>
        <w:t>material</w:t>
      </w:r>
      <w:r>
        <w:rPr>
          <w:spacing w:val="-9"/>
          <w:sz w:val="20"/>
        </w:rPr>
        <w:t> </w:t>
      </w:r>
      <w:r>
        <w:rPr>
          <w:sz w:val="20"/>
        </w:rPr>
        <w:t>to</w:t>
      </w:r>
      <w:r>
        <w:rPr>
          <w:spacing w:val="-9"/>
          <w:sz w:val="20"/>
        </w:rPr>
        <w:t> </w:t>
      </w:r>
      <w:r>
        <w:rPr>
          <w:sz w:val="20"/>
        </w:rPr>
        <w:t>the</w:t>
      </w:r>
      <w:r>
        <w:rPr>
          <w:spacing w:val="-10"/>
          <w:sz w:val="20"/>
        </w:rPr>
        <w:t> </w:t>
      </w:r>
      <w:r>
        <w:rPr>
          <w:sz w:val="20"/>
        </w:rPr>
        <w:t>outcome</w:t>
      </w:r>
      <w:r>
        <w:rPr>
          <w:spacing w:val="-9"/>
          <w:sz w:val="20"/>
        </w:rPr>
        <w:t> </w:t>
      </w:r>
      <w:r>
        <w:rPr>
          <w:sz w:val="20"/>
        </w:rPr>
        <w:t>of</w:t>
      </w:r>
      <w:r>
        <w:rPr>
          <w:spacing w:val="-9"/>
          <w:sz w:val="20"/>
        </w:rPr>
        <w:t> </w:t>
      </w:r>
      <w:r>
        <w:rPr>
          <w:sz w:val="20"/>
        </w:rPr>
        <w:t>a trial</w:t>
      </w:r>
      <w:r>
        <w:rPr>
          <w:spacing w:val="-9"/>
          <w:sz w:val="20"/>
        </w:rPr>
        <w:t> </w:t>
      </w:r>
      <w:r>
        <w:rPr>
          <w:spacing w:val="-3"/>
          <w:sz w:val="20"/>
        </w:rPr>
        <w:t>may</w:t>
      </w:r>
      <w:r>
        <w:rPr>
          <w:spacing w:val="-8"/>
          <w:sz w:val="20"/>
        </w:rPr>
        <w:t> </w:t>
      </w:r>
      <w:r>
        <w:rPr>
          <w:sz w:val="20"/>
        </w:rPr>
        <w:t>mean</w:t>
      </w:r>
      <w:r>
        <w:rPr>
          <w:spacing w:val="-9"/>
          <w:sz w:val="20"/>
        </w:rPr>
        <w:t> </w:t>
      </w:r>
      <w:r>
        <w:rPr>
          <w:sz w:val="20"/>
        </w:rPr>
        <w:t>that</w:t>
      </w:r>
      <w:r>
        <w:rPr>
          <w:spacing w:val="-8"/>
          <w:sz w:val="20"/>
        </w:rPr>
        <w:t> </w:t>
      </w:r>
      <w:r>
        <w:rPr>
          <w:sz w:val="20"/>
        </w:rPr>
        <w:t>a</w:t>
      </w:r>
      <w:r>
        <w:rPr>
          <w:spacing w:val="-8"/>
          <w:sz w:val="20"/>
        </w:rPr>
        <w:t> </w:t>
      </w:r>
      <w:r>
        <w:rPr>
          <w:sz w:val="20"/>
        </w:rPr>
        <w:t>person</w:t>
      </w:r>
      <w:r>
        <w:rPr>
          <w:spacing w:val="-9"/>
          <w:sz w:val="20"/>
        </w:rPr>
        <w:t> </w:t>
      </w:r>
      <w:r>
        <w:rPr>
          <w:spacing w:val="-3"/>
          <w:sz w:val="20"/>
        </w:rPr>
        <w:t>from</w:t>
      </w:r>
      <w:r>
        <w:rPr>
          <w:spacing w:val="-8"/>
          <w:sz w:val="20"/>
        </w:rPr>
        <w:t> </w:t>
      </w:r>
      <w:r>
        <w:rPr>
          <w:sz w:val="20"/>
        </w:rPr>
        <w:t>the</w:t>
      </w:r>
      <w:r>
        <w:rPr>
          <w:spacing w:val="-9"/>
          <w:sz w:val="20"/>
        </w:rPr>
        <w:t> </w:t>
      </w:r>
      <w:r>
        <w:rPr>
          <w:sz w:val="20"/>
        </w:rPr>
        <w:t>subject</w:t>
      </w:r>
      <w:r>
        <w:rPr>
          <w:spacing w:val="-8"/>
          <w:sz w:val="20"/>
        </w:rPr>
        <w:t> </w:t>
      </w:r>
      <w:r>
        <w:rPr>
          <w:sz w:val="20"/>
        </w:rPr>
        <w:t>groups</w:t>
      </w:r>
      <w:r>
        <w:rPr>
          <w:spacing w:val="-8"/>
          <w:sz w:val="20"/>
        </w:rPr>
        <w:t> </w:t>
      </w:r>
      <w:r>
        <w:rPr>
          <w:sz w:val="20"/>
        </w:rPr>
        <w:t>is</w:t>
      </w:r>
      <w:r>
        <w:rPr>
          <w:spacing w:val="-9"/>
          <w:sz w:val="20"/>
        </w:rPr>
        <w:t> </w:t>
      </w:r>
      <w:r>
        <w:rPr>
          <w:sz w:val="20"/>
        </w:rPr>
        <w:t>unable</w:t>
      </w:r>
      <w:r>
        <w:rPr>
          <w:spacing w:val="-8"/>
          <w:sz w:val="20"/>
        </w:rPr>
        <w:t> </w:t>
      </w:r>
      <w:r>
        <w:rPr>
          <w:sz w:val="20"/>
        </w:rPr>
        <w:t>to</w:t>
      </w:r>
      <w:r>
        <w:rPr>
          <w:spacing w:val="-9"/>
          <w:sz w:val="20"/>
        </w:rPr>
        <w:t> </w:t>
      </w:r>
      <w:r>
        <w:rPr>
          <w:sz w:val="20"/>
        </w:rPr>
        <w:t>perform</w:t>
      </w:r>
      <w:r>
        <w:rPr>
          <w:spacing w:val="-8"/>
          <w:sz w:val="20"/>
        </w:rPr>
        <w:t> </w:t>
      </w:r>
      <w:r>
        <w:rPr>
          <w:sz w:val="20"/>
        </w:rPr>
        <w:t>their</w:t>
      </w:r>
      <w:r>
        <w:rPr>
          <w:spacing w:val="-8"/>
          <w:sz w:val="20"/>
        </w:rPr>
        <w:t> </w:t>
      </w:r>
      <w:r>
        <w:rPr>
          <w:spacing w:val="-3"/>
          <w:sz w:val="20"/>
        </w:rPr>
        <w:t>role</w:t>
      </w:r>
      <w:r>
        <w:rPr>
          <w:spacing w:val="-9"/>
          <w:sz w:val="20"/>
        </w:rPr>
        <w:t> </w:t>
      </w:r>
      <w:r>
        <w:rPr>
          <w:sz w:val="20"/>
        </w:rPr>
        <w:t>as</w:t>
      </w:r>
    </w:p>
    <w:p>
      <w:pPr>
        <w:pStyle w:val="BodyText"/>
        <w:spacing w:line="206" w:lineRule="auto" w:before="4"/>
        <w:ind w:left="1761" w:right="1110" w:hanging="1"/>
      </w:pPr>
      <w:r>
        <w:rPr>
          <w:spacing w:val="-4"/>
        </w:rPr>
        <w:t>juror, </w:t>
      </w:r>
      <w:r>
        <w:rPr>
          <w:spacing w:val="-3"/>
        </w:rPr>
        <w:t>even </w:t>
      </w:r>
      <w:r>
        <w:rPr/>
        <w:t>with reasonable adjustments.</w:t>
      </w:r>
      <w:r>
        <w:rPr>
          <w:position w:val="7"/>
          <w:sz w:val="11"/>
        </w:rPr>
        <w:t>104 </w:t>
      </w:r>
      <w:r>
        <w:rPr/>
        <w:t>Responses </w:t>
      </w:r>
      <w:r>
        <w:rPr>
          <w:spacing w:val="-4"/>
        </w:rPr>
        <w:t>were </w:t>
      </w:r>
      <w:r>
        <w:rPr/>
        <w:t>mixed about </w:t>
      </w:r>
      <w:r>
        <w:rPr>
          <w:spacing w:val="-3"/>
        </w:rPr>
        <w:t>how </w:t>
      </w:r>
      <w:r>
        <w:rPr/>
        <w:t>often this issue might arise.</w:t>
      </w:r>
    </w:p>
    <w:p>
      <w:pPr>
        <w:pStyle w:val="ListParagraph"/>
        <w:numPr>
          <w:ilvl w:val="1"/>
          <w:numId w:val="12"/>
        </w:numPr>
        <w:tabs>
          <w:tab w:pos="1761" w:val="left" w:leader="none"/>
          <w:tab w:pos="1762" w:val="left" w:leader="none"/>
        </w:tabs>
        <w:spacing w:line="206" w:lineRule="auto" w:before="122" w:after="0"/>
        <w:ind w:left="1761" w:right="1420" w:hanging="794"/>
        <w:jc w:val="left"/>
        <w:rPr>
          <w:sz w:val="11"/>
        </w:rPr>
      </w:pPr>
      <w:r>
        <w:rPr>
          <w:sz w:val="20"/>
        </w:rPr>
        <w:t>The OPP identified that it will be important for a trial judge to be able to </w:t>
      </w:r>
      <w:r>
        <w:rPr>
          <w:spacing w:val="-3"/>
          <w:sz w:val="20"/>
        </w:rPr>
        <w:t>exclude </w:t>
      </w:r>
      <w:r>
        <w:rPr>
          <w:sz w:val="20"/>
        </w:rPr>
        <w:t>a person</w:t>
      </w:r>
      <w:r>
        <w:rPr>
          <w:spacing w:val="-11"/>
          <w:sz w:val="20"/>
        </w:rPr>
        <w:t> </w:t>
      </w:r>
      <w:r>
        <w:rPr>
          <w:spacing w:val="-3"/>
          <w:sz w:val="20"/>
        </w:rPr>
        <w:t>where,</w:t>
      </w:r>
      <w:r>
        <w:rPr>
          <w:spacing w:val="-11"/>
          <w:sz w:val="20"/>
        </w:rPr>
        <w:t> </w:t>
      </w:r>
      <w:r>
        <w:rPr>
          <w:sz w:val="20"/>
        </w:rPr>
        <w:t>‘notwithstanding</w:t>
      </w:r>
      <w:r>
        <w:rPr>
          <w:spacing w:val="-11"/>
          <w:sz w:val="20"/>
        </w:rPr>
        <w:t> </w:t>
      </w:r>
      <w:r>
        <w:rPr>
          <w:sz w:val="20"/>
        </w:rPr>
        <w:t>supports,</w:t>
      </w:r>
      <w:r>
        <w:rPr>
          <w:spacing w:val="-11"/>
          <w:sz w:val="20"/>
        </w:rPr>
        <w:t> </w:t>
      </w:r>
      <w:r>
        <w:rPr>
          <w:sz w:val="20"/>
        </w:rPr>
        <w:t>that</w:t>
      </w:r>
      <w:r>
        <w:rPr>
          <w:spacing w:val="-11"/>
          <w:sz w:val="20"/>
        </w:rPr>
        <w:t> </w:t>
      </w:r>
      <w:r>
        <w:rPr>
          <w:sz w:val="20"/>
        </w:rPr>
        <w:t>person</w:t>
      </w:r>
      <w:r>
        <w:rPr>
          <w:spacing w:val="-10"/>
          <w:sz w:val="20"/>
        </w:rPr>
        <w:t> </w:t>
      </w:r>
      <w:r>
        <w:rPr>
          <w:sz w:val="20"/>
        </w:rPr>
        <w:t>could</w:t>
      </w:r>
      <w:r>
        <w:rPr>
          <w:spacing w:val="-11"/>
          <w:sz w:val="20"/>
        </w:rPr>
        <w:t> </w:t>
      </w:r>
      <w:r>
        <w:rPr>
          <w:sz w:val="20"/>
        </w:rPr>
        <w:t>not</w:t>
      </w:r>
      <w:r>
        <w:rPr>
          <w:spacing w:val="-11"/>
          <w:sz w:val="20"/>
        </w:rPr>
        <w:t> </w:t>
      </w:r>
      <w:r>
        <w:rPr>
          <w:sz w:val="20"/>
        </w:rPr>
        <w:t>perform</w:t>
      </w:r>
      <w:r>
        <w:rPr>
          <w:spacing w:val="-11"/>
          <w:sz w:val="20"/>
        </w:rPr>
        <w:t> </w:t>
      </w:r>
      <w:r>
        <w:rPr>
          <w:sz w:val="20"/>
        </w:rPr>
        <w:t>their</w:t>
      </w:r>
      <w:r>
        <w:rPr>
          <w:spacing w:val="-11"/>
          <w:sz w:val="20"/>
        </w:rPr>
        <w:t> </w:t>
      </w:r>
      <w:r>
        <w:rPr>
          <w:sz w:val="20"/>
        </w:rPr>
        <w:t>duty</w:t>
      </w:r>
      <w:r>
        <w:rPr>
          <w:spacing w:val="-11"/>
          <w:sz w:val="20"/>
        </w:rPr>
        <w:t> </w:t>
      </w:r>
      <w:r>
        <w:rPr>
          <w:sz w:val="20"/>
        </w:rPr>
        <w:t>in the</w:t>
      </w:r>
      <w:r>
        <w:rPr>
          <w:spacing w:val="-14"/>
          <w:sz w:val="20"/>
        </w:rPr>
        <w:t> </w:t>
      </w:r>
      <w:r>
        <w:rPr>
          <w:sz w:val="20"/>
        </w:rPr>
        <w:t>circumstances</w:t>
      </w:r>
      <w:r>
        <w:rPr>
          <w:spacing w:val="-14"/>
          <w:sz w:val="20"/>
        </w:rPr>
        <w:t> </w:t>
      </w:r>
      <w:r>
        <w:rPr>
          <w:sz w:val="20"/>
        </w:rPr>
        <w:t>of</w:t>
      </w:r>
      <w:r>
        <w:rPr>
          <w:spacing w:val="-14"/>
          <w:sz w:val="20"/>
        </w:rPr>
        <w:t> </w:t>
      </w:r>
      <w:r>
        <w:rPr>
          <w:sz w:val="20"/>
        </w:rPr>
        <w:t>the</w:t>
      </w:r>
      <w:r>
        <w:rPr>
          <w:spacing w:val="-14"/>
          <w:sz w:val="20"/>
        </w:rPr>
        <w:t> </w:t>
      </w:r>
      <w:r>
        <w:rPr>
          <w:sz w:val="20"/>
        </w:rPr>
        <w:t>trial’.</w:t>
      </w:r>
      <w:r>
        <w:rPr>
          <w:spacing w:val="-14"/>
          <w:sz w:val="20"/>
        </w:rPr>
        <w:t> </w:t>
      </w:r>
      <w:r>
        <w:rPr>
          <w:sz w:val="20"/>
        </w:rPr>
        <w:t>It</w:t>
      </w:r>
      <w:r>
        <w:rPr>
          <w:spacing w:val="-14"/>
          <w:sz w:val="20"/>
        </w:rPr>
        <w:t> </w:t>
      </w:r>
      <w:r>
        <w:rPr>
          <w:sz w:val="20"/>
        </w:rPr>
        <w:t>suggested</w:t>
      </w:r>
      <w:r>
        <w:rPr>
          <w:spacing w:val="-14"/>
          <w:sz w:val="20"/>
        </w:rPr>
        <w:t> </w:t>
      </w:r>
      <w:r>
        <w:rPr>
          <w:sz w:val="20"/>
        </w:rPr>
        <w:t>that,</w:t>
      </w:r>
      <w:r>
        <w:rPr>
          <w:spacing w:val="-14"/>
          <w:sz w:val="20"/>
        </w:rPr>
        <w:t> </w:t>
      </w:r>
      <w:r>
        <w:rPr>
          <w:sz w:val="20"/>
        </w:rPr>
        <w:t>in</w:t>
      </w:r>
      <w:r>
        <w:rPr>
          <w:spacing w:val="-14"/>
          <w:sz w:val="20"/>
        </w:rPr>
        <w:t> </w:t>
      </w:r>
      <w:r>
        <w:rPr>
          <w:sz w:val="20"/>
        </w:rPr>
        <w:t>those</w:t>
      </w:r>
      <w:r>
        <w:rPr>
          <w:spacing w:val="-14"/>
          <w:sz w:val="20"/>
        </w:rPr>
        <w:t> </w:t>
      </w:r>
      <w:r>
        <w:rPr>
          <w:sz w:val="20"/>
        </w:rPr>
        <w:t>circumstances,</w:t>
      </w:r>
      <w:r>
        <w:rPr>
          <w:spacing w:val="-14"/>
          <w:sz w:val="20"/>
        </w:rPr>
        <w:t> </w:t>
      </w:r>
      <w:r>
        <w:rPr>
          <w:sz w:val="20"/>
        </w:rPr>
        <w:t>the</w:t>
      </w:r>
      <w:r>
        <w:rPr>
          <w:spacing w:val="-14"/>
          <w:sz w:val="20"/>
        </w:rPr>
        <w:t> </w:t>
      </w:r>
      <w:r>
        <w:rPr>
          <w:sz w:val="20"/>
        </w:rPr>
        <w:t>potential juror should </w:t>
      </w:r>
      <w:r>
        <w:rPr>
          <w:spacing w:val="-3"/>
          <w:sz w:val="20"/>
        </w:rPr>
        <w:t>return </w:t>
      </w:r>
      <w:r>
        <w:rPr>
          <w:sz w:val="20"/>
        </w:rPr>
        <w:t>to the jury</w:t>
      </w:r>
      <w:r>
        <w:rPr>
          <w:spacing w:val="-23"/>
          <w:sz w:val="20"/>
        </w:rPr>
        <w:t> </w:t>
      </w:r>
      <w:r>
        <w:rPr>
          <w:sz w:val="20"/>
        </w:rPr>
        <w:t>pool.</w:t>
      </w:r>
      <w:r>
        <w:rPr>
          <w:position w:val="7"/>
          <w:sz w:val="11"/>
        </w:rPr>
        <w:t>105</w:t>
      </w:r>
    </w:p>
    <w:p>
      <w:pPr>
        <w:pStyle w:val="Heading6"/>
        <w:rPr>
          <w:b/>
        </w:rPr>
      </w:pPr>
      <w:r>
        <w:rPr>
          <w:b/>
        </w:rPr>
        <w:t>CCTV and voice identification evidence</w:t>
      </w:r>
    </w:p>
    <w:p>
      <w:pPr>
        <w:pStyle w:val="ListParagraph"/>
        <w:numPr>
          <w:ilvl w:val="1"/>
          <w:numId w:val="12"/>
        </w:numPr>
        <w:tabs>
          <w:tab w:pos="1761" w:val="left" w:leader="none"/>
          <w:tab w:pos="1762" w:val="left" w:leader="none"/>
        </w:tabs>
        <w:spacing w:line="206" w:lineRule="auto" w:before="132" w:after="0"/>
        <w:ind w:left="1761" w:right="1458" w:hanging="794"/>
        <w:jc w:val="left"/>
        <w:rPr>
          <w:sz w:val="11"/>
        </w:rPr>
      </w:pPr>
      <w:r>
        <w:rPr>
          <w:sz w:val="20"/>
        </w:rPr>
        <w:t>The legal community raised concerns about trials where it was critical to establish identity through </w:t>
      </w:r>
      <w:r>
        <w:rPr>
          <w:spacing w:val="-3"/>
          <w:sz w:val="20"/>
        </w:rPr>
        <w:t>voice </w:t>
      </w:r>
      <w:r>
        <w:rPr>
          <w:sz w:val="20"/>
        </w:rPr>
        <w:t>or CCTV footage.</w:t>
      </w:r>
      <w:r>
        <w:rPr>
          <w:position w:val="7"/>
          <w:sz w:val="11"/>
        </w:rPr>
        <w:t>106 </w:t>
      </w:r>
      <w:r>
        <w:rPr>
          <w:sz w:val="20"/>
        </w:rPr>
        <w:t>The County Court noted that ‘Matters </w:t>
      </w:r>
      <w:r>
        <w:rPr>
          <w:spacing w:val="-3"/>
          <w:sz w:val="20"/>
        </w:rPr>
        <w:t>involving</w:t>
      </w:r>
      <w:r>
        <w:rPr>
          <w:spacing w:val="-10"/>
          <w:sz w:val="20"/>
        </w:rPr>
        <w:t> </w:t>
      </w:r>
      <w:r>
        <w:rPr>
          <w:sz w:val="20"/>
        </w:rPr>
        <w:t>visual</w:t>
      </w:r>
      <w:r>
        <w:rPr>
          <w:spacing w:val="-10"/>
          <w:sz w:val="20"/>
        </w:rPr>
        <w:t> </w:t>
      </w:r>
      <w:r>
        <w:rPr>
          <w:sz w:val="20"/>
        </w:rPr>
        <w:t>or</w:t>
      </w:r>
      <w:r>
        <w:rPr>
          <w:spacing w:val="-9"/>
          <w:sz w:val="20"/>
        </w:rPr>
        <w:t> </w:t>
      </w:r>
      <w:r>
        <w:rPr>
          <w:spacing w:val="-3"/>
          <w:sz w:val="20"/>
        </w:rPr>
        <w:t>voice</w:t>
      </w:r>
      <w:r>
        <w:rPr>
          <w:spacing w:val="-10"/>
          <w:sz w:val="20"/>
        </w:rPr>
        <w:t> </w:t>
      </w:r>
      <w:r>
        <w:rPr>
          <w:sz w:val="20"/>
        </w:rPr>
        <w:t>identification</w:t>
      </w:r>
      <w:r>
        <w:rPr>
          <w:spacing w:val="-9"/>
          <w:sz w:val="20"/>
        </w:rPr>
        <w:t> </w:t>
      </w:r>
      <w:r>
        <w:rPr>
          <w:sz w:val="20"/>
        </w:rPr>
        <w:t>cannot</w:t>
      </w:r>
      <w:r>
        <w:rPr>
          <w:spacing w:val="-10"/>
          <w:sz w:val="20"/>
        </w:rPr>
        <w:t> </w:t>
      </w:r>
      <w:r>
        <w:rPr>
          <w:spacing w:val="-4"/>
          <w:sz w:val="20"/>
        </w:rPr>
        <w:t>always</w:t>
      </w:r>
      <w:r>
        <w:rPr>
          <w:spacing w:val="-10"/>
          <w:sz w:val="20"/>
        </w:rPr>
        <w:t> </w:t>
      </w:r>
      <w:r>
        <w:rPr>
          <w:sz w:val="20"/>
        </w:rPr>
        <w:t>be</w:t>
      </w:r>
      <w:r>
        <w:rPr>
          <w:spacing w:val="-9"/>
          <w:sz w:val="20"/>
        </w:rPr>
        <w:t> </w:t>
      </w:r>
      <w:r>
        <w:rPr>
          <w:spacing w:val="-3"/>
          <w:sz w:val="20"/>
        </w:rPr>
        <w:t>anticipated—they</w:t>
      </w:r>
      <w:r>
        <w:rPr>
          <w:spacing w:val="-10"/>
          <w:sz w:val="20"/>
        </w:rPr>
        <w:t> </w:t>
      </w:r>
      <w:r>
        <w:rPr>
          <w:sz w:val="20"/>
        </w:rPr>
        <w:t>sometimes arise part </w:t>
      </w:r>
      <w:r>
        <w:rPr>
          <w:spacing w:val="-4"/>
          <w:sz w:val="20"/>
        </w:rPr>
        <w:t>way </w:t>
      </w:r>
      <w:r>
        <w:rPr>
          <w:sz w:val="20"/>
        </w:rPr>
        <w:t>through a</w:t>
      </w:r>
      <w:r>
        <w:rPr>
          <w:spacing w:val="-18"/>
          <w:sz w:val="20"/>
        </w:rPr>
        <w:t> </w:t>
      </w:r>
      <w:r>
        <w:rPr>
          <w:sz w:val="20"/>
        </w:rPr>
        <w:t>trial’.</w:t>
      </w:r>
      <w:r>
        <w:rPr>
          <w:position w:val="7"/>
          <w:sz w:val="11"/>
        </w:rPr>
        <w:t>107</w:t>
      </w:r>
    </w:p>
    <w:p>
      <w:pPr>
        <w:pStyle w:val="BodyText"/>
      </w:pPr>
    </w:p>
    <w:p>
      <w:pPr>
        <w:pStyle w:val="BodyText"/>
      </w:pPr>
    </w:p>
    <w:p>
      <w:pPr>
        <w:pStyle w:val="BodyText"/>
      </w:pPr>
    </w:p>
    <w:p>
      <w:pPr>
        <w:pStyle w:val="BodyText"/>
      </w:pPr>
    </w:p>
    <w:p>
      <w:pPr>
        <w:pStyle w:val="BodyText"/>
        <w:spacing w:before="1"/>
        <w:rPr>
          <w:sz w:val="26"/>
        </w:rPr>
      </w:pPr>
      <w:r>
        <w:rPr/>
        <w:pict>
          <v:line style="position:absolute;mso-position-horizontal-relative:page;mso-position-vertical-relative:paragraph;z-index:5096;mso-wrap-distance-left:0;mso-wrap-distance-right:0" from="79.370003pt,20.56328pt" to="515.905003pt,20.56328pt" stroked="true" strokeweight="1pt" strokecolor="#b6bdc8">
            <v:stroke dashstyle="solid"/>
            <w10:wrap type="topAndBottom"/>
          </v:line>
        </w:pict>
      </w:r>
    </w:p>
    <w:p>
      <w:pPr>
        <w:pStyle w:val="ListParagraph"/>
        <w:numPr>
          <w:ilvl w:val="0"/>
          <w:numId w:val="64"/>
        </w:numPr>
        <w:tabs>
          <w:tab w:pos="1761" w:val="left" w:leader="none"/>
          <w:tab w:pos="1762" w:val="left" w:leader="none"/>
        </w:tabs>
        <w:spacing w:line="213" w:lineRule="auto" w:before="107" w:after="0"/>
        <w:ind w:left="1761" w:right="1423" w:hanging="794"/>
        <w:jc w:val="left"/>
        <w:rPr>
          <w:sz w:val="13"/>
        </w:rPr>
      </w:pPr>
      <w:r>
        <w:rPr>
          <w:sz w:val="13"/>
        </w:rPr>
        <w:t>Consultation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w:t>
      </w:r>
      <w:r>
        <w:rPr>
          <w:spacing w:val="4"/>
          <w:sz w:val="13"/>
        </w:rPr>
        <w:t> </w:t>
      </w:r>
      <w:r>
        <w:rPr>
          <w:sz w:val="13"/>
        </w:rPr>
        <w:t>Wales)).</w:t>
      </w:r>
    </w:p>
    <w:p>
      <w:pPr>
        <w:pStyle w:val="ListParagraph"/>
        <w:numPr>
          <w:ilvl w:val="0"/>
          <w:numId w:val="64"/>
        </w:numPr>
        <w:tabs>
          <w:tab w:pos="1760" w:val="left" w:leader="none"/>
          <w:tab w:pos="1762" w:val="left" w:leader="none"/>
        </w:tabs>
        <w:spacing w:line="153" w:lineRule="exact" w:before="0" w:after="0"/>
        <w:ind w:left="1761" w:right="0" w:hanging="794"/>
        <w:jc w:val="left"/>
        <w:rPr>
          <w:sz w:val="13"/>
        </w:rPr>
      </w:pPr>
      <w:r>
        <w:rPr>
          <w:sz w:val="13"/>
        </w:rPr>
        <w:t>For example, </w:t>
      </w:r>
      <w:r>
        <w:rPr>
          <w:spacing w:val="2"/>
          <w:sz w:val="13"/>
        </w:rPr>
        <w:t>Submission </w:t>
      </w:r>
      <w:r>
        <w:rPr>
          <w:sz w:val="13"/>
        </w:rPr>
        <w:t>7 (Law Institute of Victoria); Consultation 5 (Expression</w:t>
      </w:r>
      <w:r>
        <w:rPr>
          <w:spacing w:val="8"/>
          <w:sz w:val="13"/>
        </w:rPr>
        <w:t> </w:t>
      </w:r>
      <w:r>
        <w:rPr>
          <w:sz w:val="13"/>
        </w:rPr>
        <w:t>Australia).</w:t>
      </w:r>
    </w:p>
    <w:p>
      <w:pPr>
        <w:pStyle w:val="ListParagraph"/>
        <w:numPr>
          <w:ilvl w:val="0"/>
          <w:numId w:val="64"/>
        </w:numPr>
        <w:tabs>
          <w:tab w:pos="1761" w:val="left" w:leader="none"/>
          <w:tab w:pos="1762" w:val="left" w:leader="none"/>
        </w:tabs>
        <w:spacing w:line="160" w:lineRule="exact" w:before="0" w:after="0"/>
        <w:ind w:left="1761" w:right="0" w:hanging="794"/>
        <w:jc w:val="left"/>
        <w:rPr>
          <w:sz w:val="13"/>
        </w:rPr>
      </w:pPr>
      <w:r>
        <w:rPr>
          <w:sz w:val="13"/>
        </w:rPr>
        <w:t>Consultation 16 (Office of </w:t>
      </w:r>
      <w:r>
        <w:rPr>
          <w:spacing w:val="2"/>
          <w:sz w:val="13"/>
        </w:rPr>
        <w:t>Public </w:t>
      </w:r>
      <w:r>
        <w:rPr>
          <w:sz w:val="13"/>
        </w:rPr>
        <w:t>Prosecutions</w:t>
      </w:r>
      <w:r>
        <w:rPr>
          <w:spacing w:val="-1"/>
          <w:sz w:val="13"/>
        </w:rPr>
        <w:t> </w:t>
      </w:r>
      <w:r>
        <w:rPr>
          <w:sz w:val="13"/>
        </w:rPr>
        <w:t>Victoria).</w:t>
      </w:r>
    </w:p>
    <w:p>
      <w:pPr>
        <w:pStyle w:val="ListParagraph"/>
        <w:numPr>
          <w:ilvl w:val="0"/>
          <w:numId w:val="64"/>
        </w:numPr>
        <w:tabs>
          <w:tab w:pos="1760" w:val="left" w:leader="none"/>
          <w:tab w:pos="1762" w:val="left" w:leader="none"/>
        </w:tabs>
        <w:spacing w:line="160" w:lineRule="exact" w:before="0" w:after="0"/>
        <w:ind w:left="1761" w:right="0" w:hanging="794"/>
        <w:jc w:val="left"/>
        <w:rPr>
          <w:sz w:val="13"/>
        </w:rPr>
      </w:pPr>
      <w:r>
        <w:rPr/>
        <w:pict>
          <v:shape style="position:absolute;margin-left:36pt;margin-top:3.710249pt;width:13.85pt;height:14.1pt;mso-position-horizontal-relative:page;mso-position-vertical-relative:paragraph;z-index:7168" type="#_x0000_t202" filled="false" stroked="false">
            <v:textbox inset="0,0,0,0">
              <w:txbxContent>
                <w:p>
                  <w:pPr>
                    <w:spacing w:line="282" w:lineRule="exact" w:before="0"/>
                    <w:ind w:left="0" w:right="0" w:firstLine="0"/>
                    <w:jc w:val="left"/>
                    <w:rPr>
                      <w:b/>
                      <w:sz w:val="24"/>
                    </w:rPr>
                  </w:pPr>
                  <w:r>
                    <w:rPr>
                      <w:b/>
                      <w:color w:val="37617A"/>
                      <w:spacing w:val="-2"/>
                      <w:sz w:val="24"/>
                    </w:rPr>
                    <w:t>82</w:t>
                  </w:r>
                </w:p>
              </w:txbxContent>
            </v:textbox>
            <w10:wrap type="none"/>
          </v:shape>
        </w:pict>
      </w:r>
      <w:r>
        <w:rPr>
          <w:spacing w:val="2"/>
          <w:sz w:val="13"/>
        </w:rPr>
        <w:t>Ibid.</w:t>
      </w:r>
    </w:p>
    <w:p>
      <w:pPr>
        <w:pStyle w:val="ListParagraph"/>
        <w:numPr>
          <w:ilvl w:val="0"/>
          <w:numId w:val="64"/>
        </w:numPr>
        <w:tabs>
          <w:tab w:pos="1761" w:val="left" w:leader="none"/>
          <w:tab w:pos="1762" w:val="left" w:leader="none"/>
        </w:tabs>
        <w:spacing w:line="17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spacing w:after="0" w:line="170"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59" w:lineRule="exact" w:before="58" w:after="0"/>
        <w:ind w:left="1761" w:right="0" w:hanging="794"/>
        <w:jc w:val="left"/>
        <w:rPr>
          <w:sz w:val="20"/>
        </w:rPr>
      </w:pPr>
      <w:r>
        <w:rPr>
          <w:sz w:val="20"/>
        </w:rPr>
        <w:t>Brent</w:t>
      </w:r>
      <w:r>
        <w:rPr>
          <w:spacing w:val="-8"/>
          <w:sz w:val="20"/>
        </w:rPr>
        <w:t> </w:t>
      </w:r>
      <w:r>
        <w:rPr>
          <w:sz w:val="20"/>
        </w:rPr>
        <w:t>Phillips</w:t>
      </w:r>
      <w:r>
        <w:rPr>
          <w:spacing w:val="-7"/>
          <w:sz w:val="20"/>
        </w:rPr>
        <w:t> </w:t>
      </w:r>
      <w:r>
        <w:rPr>
          <w:sz w:val="20"/>
        </w:rPr>
        <w:t>agreed</w:t>
      </w:r>
      <w:r>
        <w:rPr>
          <w:spacing w:val="-7"/>
          <w:sz w:val="20"/>
        </w:rPr>
        <w:t> </w:t>
      </w:r>
      <w:r>
        <w:rPr>
          <w:sz w:val="20"/>
        </w:rPr>
        <w:t>that</w:t>
      </w:r>
      <w:r>
        <w:rPr>
          <w:spacing w:val="-7"/>
          <w:sz w:val="20"/>
        </w:rPr>
        <w:t> </w:t>
      </w:r>
      <w:r>
        <w:rPr>
          <w:sz w:val="20"/>
        </w:rPr>
        <w:t>there</w:t>
      </w:r>
      <w:r>
        <w:rPr>
          <w:spacing w:val="-7"/>
          <w:sz w:val="20"/>
        </w:rPr>
        <w:t> </w:t>
      </w:r>
      <w:r>
        <w:rPr>
          <w:spacing w:val="-3"/>
          <w:sz w:val="20"/>
        </w:rPr>
        <w:t>may</w:t>
      </w:r>
      <w:r>
        <w:rPr>
          <w:spacing w:val="-7"/>
          <w:sz w:val="20"/>
        </w:rPr>
        <w:t> </w:t>
      </w:r>
      <w:r>
        <w:rPr>
          <w:sz w:val="20"/>
        </w:rPr>
        <w:t>be</w:t>
      </w:r>
      <w:r>
        <w:rPr>
          <w:spacing w:val="-7"/>
          <w:sz w:val="20"/>
        </w:rPr>
        <w:t> </w:t>
      </w:r>
      <w:r>
        <w:rPr>
          <w:sz w:val="20"/>
        </w:rPr>
        <w:t>some</w:t>
      </w:r>
      <w:r>
        <w:rPr>
          <w:spacing w:val="-7"/>
          <w:sz w:val="20"/>
        </w:rPr>
        <w:t> </w:t>
      </w:r>
      <w:r>
        <w:rPr>
          <w:sz w:val="20"/>
        </w:rPr>
        <w:t>situations</w:t>
      </w:r>
      <w:r>
        <w:rPr>
          <w:spacing w:val="-7"/>
          <w:sz w:val="20"/>
        </w:rPr>
        <w:t> </w:t>
      </w:r>
      <w:r>
        <w:rPr>
          <w:sz w:val="20"/>
        </w:rPr>
        <w:t>where</w:t>
      </w:r>
      <w:r>
        <w:rPr>
          <w:spacing w:val="-7"/>
          <w:sz w:val="20"/>
        </w:rPr>
        <w:t> </w:t>
      </w:r>
      <w:r>
        <w:rPr>
          <w:sz w:val="20"/>
        </w:rPr>
        <w:t>it</w:t>
      </w:r>
      <w:r>
        <w:rPr>
          <w:spacing w:val="-7"/>
          <w:sz w:val="20"/>
        </w:rPr>
        <w:t> </w:t>
      </w:r>
      <w:r>
        <w:rPr>
          <w:spacing w:val="-3"/>
          <w:sz w:val="20"/>
        </w:rPr>
        <w:t>would</w:t>
      </w:r>
      <w:r>
        <w:rPr>
          <w:spacing w:val="-7"/>
          <w:sz w:val="20"/>
        </w:rPr>
        <w:t> </w:t>
      </w:r>
      <w:r>
        <w:rPr>
          <w:sz w:val="20"/>
        </w:rPr>
        <w:t>be</w:t>
      </w:r>
      <w:r>
        <w:rPr>
          <w:spacing w:val="-7"/>
          <w:sz w:val="20"/>
        </w:rPr>
        <w:t> </w:t>
      </w:r>
      <w:r>
        <w:rPr>
          <w:sz w:val="20"/>
        </w:rPr>
        <w:t>difficult</w:t>
      </w:r>
      <w:r>
        <w:rPr>
          <w:spacing w:val="-7"/>
          <w:sz w:val="20"/>
        </w:rPr>
        <w:t> </w:t>
      </w:r>
      <w:r>
        <w:rPr>
          <w:sz w:val="20"/>
        </w:rPr>
        <w:t>for</w:t>
      </w:r>
      <w:r>
        <w:rPr>
          <w:spacing w:val="-8"/>
          <w:sz w:val="20"/>
        </w:rPr>
        <w:t> </w:t>
      </w:r>
      <w:r>
        <w:rPr>
          <w:sz w:val="20"/>
        </w:rPr>
        <w:t>a</w:t>
      </w:r>
    </w:p>
    <w:p>
      <w:pPr>
        <w:pStyle w:val="BodyText"/>
        <w:spacing w:line="259" w:lineRule="exact"/>
        <w:ind w:left="1761"/>
      </w:pPr>
      <w:r>
        <w:rPr/>
        <w:t>deaf person to serve:</w:t>
      </w:r>
    </w:p>
    <w:p>
      <w:pPr>
        <w:spacing w:line="208" w:lineRule="auto" w:before="112"/>
        <w:ind w:left="2157" w:right="1475" w:firstLine="0"/>
        <w:jc w:val="left"/>
        <w:rPr>
          <w:sz w:val="19"/>
        </w:rPr>
      </w:pPr>
      <w:r>
        <w:rPr>
          <w:sz w:val="19"/>
        </w:rPr>
        <w:t>If there is evidence that a deaf juror cannot hear and hearing it is crucial/critical to a trial then the deaf juror can’t serve as a </w:t>
      </w:r>
      <w:r>
        <w:rPr>
          <w:spacing w:val="-3"/>
          <w:sz w:val="19"/>
        </w:rPr>
        <w:t>juror. </w:t>
      </w:r>
      <w:r>
        <w:rPr>
          <w:sz w:val="19"/>
        </w:rPr>
        <w:t>Some sort of risk assessment</w:t>
      </w:r>
      <w:r>
        <w:rPr>
          <w:spacing w:val="-29"/>
          <w:sz w:val="19"/>
        </w:rPr>
        <w:t> </w:t>
      </w:r>
      <w:r>
        <w:rPr>
          <w:sz w:val="19"/>
        </w:rPr>
        <w:t>should</w:t>
      </w:r>
    </w:p>
    <w:p>
      <w:pPr>
        <w:spacing w:line="208" w:lineRule="auto" w:before="1"/>
        <w:ind w:left="2157" w:right="1311" w:firstLine="0"/>
        <w:jc w:val="left"/>
        <w:rPr>
          <w:sz w:val="19"/>
        </w:rPr>
      </w:pPr>
      <w:r>
        <w:rPr>
          <w:sz w:val="19"/>
        </w:rPr>
        <w:t>occur. The juror would make a personal decision about that. If this only occurs rarely, then it makes sense that a deaf person is then put back into the pool.</w:t>
      </w:r>
    </w:p>
    <w:p>
      <w:pPr>
        <w:spacing w:line="247" w:lineRule="exact" w:before="93"/>
        <w:ind w:left="2157" w:right="0" w:firstLine="0"/>
        <w:jc w:val="left"/>
        <w:rPr>
          <w:sz w:val="19"/>
        </w:rPr>
      </w:pPr>
      <w:r>
        <w:rPr>
          <w:sz w:val="19"/>
        </w:rPr>
        <w:t>Evidence might also be introduced during the trial that may be difficult for a deaf juror</w:t>
      </w:r>
    </w:p>
    <w:p>
      <w:pPr>
        <w:spacing w:line="247" w:lineRule="exact" w:before="0"/>
        <w:ind w:left="2157" w:right="0" w:firstLine="0"/>
        <w:jc w:val="left"/>
        <w:rPr>
          <w:sz w:val="11"/>
        </w:rPr>
      </w:pPr>
      <w:r>
        <w:rPr>
          <w:sz w:val="19"/>
        </w:rPr>
        <w:t>to evaluate, so they may have to be discharged in such circumstances later.</w:t>
      </w:r>
      <w:r>
        <w:rPr>
          <w:position w:val="6"/>
          <w:sz w:val="11"/>
        </w:rPr>
        <w:t>108</w:t>
      </w:r>
    </w:p>
    <w:p>
      <w:pPr>
        <w:pStyle w:val="ListParagraph"/>
        <w:numPr>
          <w:ilvl w:val="1"/>
          <w:numId w:val="12"/>
        </w:numPr>
        <w:tabs>
          <w:tab w:pos="1761" w:val="left" w:leader="none"/>
          <w:tab w:pos="1762" w:val="left" w:leader="none"/>
        </w:tabs>
        <w:spacing w:line="206" w:lineRule="auto" w:before="117" w:after="0"/>
        <w:ind w:left="1761" w:right="1229" w:hanging="794"/>
        <w:jc w:val="left"/>
        <w:rPr>
          <w:sz w:val="11"/>
        </w:rPr>
      </w:pPr>
      <w:r>
        <w:rPr>
          <w:sz w:val="20"/>
        </w:rPr>
        <w:t>Vision Australia acknowledged that it ‘is necessary to </w:t>
      </w:r>
      <w:r>
        <w:rPr>
          <w:spacing w:val="-3"/>
          <w:sz w:val="20"/>
        </w:rPr>
        <w:t>evaluate </w:t>
      </w:r>
      <w:r>
        <w:rPr>
          <w:sz w:val="20"/>
        </w:rPr>
        <w:t>whether the trial is </w:t>
      </w:r>
      <w:r>
        <w:rPr>
          <w:spacing w:val="-3"/>
          <w:sz w:val="20"/>
        </w:rPr>
        <w:t>“inherently</w:t>
      </w:r>
      <w:r>
        <w:rPr>
          <w:spacing w:val="-8"/>
          <w:sz w:val="20"/>
        </w:rPr>
        <w:t> </w:t>
      </w:r>
      <w:r>
        <w:rPr>
          <w:sz w:val="20"/>
        </w:rPr>
        <w:t>visual</w:t>
      </w:r>
      <w:r>
        <w:rPr>
          <w:spacing w:val="-7"/>
          <w:sz w:val="20"/>
        </w:rPr>
        <w:t> </w:t>
      </w:r>
      <w:r>
        <w:rPr>
          <w:sz w:val="20"/>
        </w:rPr>
        <w:t>in</w:t>
      </w:r>
      <w:r>
        <w:rPr>
          <w:spacing w:val="-7"/>
          <w:sz w:val="20"/>
        </w:rPr>
        <w:t> </w:t>
      </w:r>
      <w:r>
        <w:rPr>
          <w:spacing w:val="-4"/>
          <w:sz w:val="20"/>
        </w:rPr>
        <w:t>nature”’.</w:t>
      </w:r>
      <w:r>
        <w:rPr>
          <w:spacing w:val="-7"/>
          <w:sz w:val="20"/>
        </w:rPr>
        <w:t> </w:t>
      </w:r>
      <w:r>
        <w:rPr>
          <w:sz w:val="20"/>
        </w:rPr>
        <w:t>It</w:t>
      </w:r>
      <w:r>
        <w:rPr>
          <w:spacing w:val="-7"/>
          <w:sz w:val="20"/>
        </w:rPr>
        <w:t> </w:t>
      </w:r>
      <w:r>
        <w:rPr>
          <w:sz w:val="20"/>
        </w:rPr>
        <w:t>was</w:t>
      </w:r>
      <w:r>
        <w:rPr>
          <w:spacing w:val="-7"/>
          <w:sz w:val="20"/>
        </w:rPr>
        <w:t> </w:t>
      </w:r>
      <w:r>
        <w:rPr>
          <w:sz w:val="20"/>
        </w:rPr>
        <w:t>acknowledged</w:t>
      </w:r>
      <w:r>
        <w:rPr>
          <w:spacing w:val="-7"/>
          <w:sz w:val="20"/>
        </w:rPr>
        <w:t> </w:t>
      </w:r>
      <w:r>
        <w:rPr>
          <w:sz w:val="20"/>
        </w:rPr>
        <w:t>that</w:t>
      </w:r>
      <w:r>
        <w:rPr>
          <w:spacing w:val="-7"/>
          <w:sz w:val="20"/>
        </w:rPr>
        <w:t> </w:t>
      </w:r>
      <w:r>
        <w:rPr>
          <w:sz w:val="20"/>
        </w:rPr>
        <w:t>‘if</w:t>
      </w:r>
      <w:r>
        <w:rPr>
          <w:spacing w:val="-7"/>
          <w:sz w:val="20"/>
        </w:rPr>
        <w:t> </w:t>
      </w:r>
      <w:r>
        <w:rPr>
          <w:spacing w:val="-2"/>
          <w:sz w:val="20"/>
        </w:rPr>
        <w:t>so,</w:t>
      </w:r>
      <w:r>
        <w:rPr>
          <w:spacing w:val="-7"/>
          <w:sz w:val="20"/>
        </w:rPr>
        <w:t> </w:t>
      </w:r>
      <w:r>
        <w:rPr>
          <w:sz w:val="20"/>
        </w:rPr>
        <w:t>…</w:t>
      </w:r>
      <w:r>
        <w:rPr>
          <w:spacing w:val="-7"/>
          <w:sz w:val="20"/>
        </w:rPr>
        <w:t> </w:t>
      </w:r>
      <w:r>
        <w:rPr>
          <w:sz w:val="20"/>
        </w:rPr>
        <w:t>a</w:t>
      </w:r>
      <w:r>
        <w:rPr>
          <w:spacing w:val="-7"/>
          <w:sz w:val="20"/>
        </w:rPr>
        <w:t> </w:t>
      </w:r>
      <w:r>
        <w:rPr>
          <w:spacing w:val="-3"/>
          <w:sz w:val="20"/>
        </w:rPr>
        <w:t>blind/low</w:t>
      </w:r>
      <w:r>
        <w:rPr>
          <w:spacing w:val="-7"/>
          <w:sz w:val="20"/>
        </w:rPr>
        <w:t> </w:t>
      </w:r>
      <w:r>
        <w:rPr>
          <w:sz w:val="20"/>
        </w:rPr>
        <w:t>vision</w:t>
      </w:r>
      <w:r>
        <w:rPr>
          <w:spacing w:val="-7"/>
          <w:sz w:val="20"/>
        </w:rPr>
        <w:t> </w:t>
      </w:r>
      <w:r>
        <w:rPr>
          <w:sz w:val="20"/>
        </w:rPr>
        <w:t>person </w:t>
      </w:r>
      <w:r>
        <w:rPr>
          <w:spacing w:val="-3"/>
          <w:sz w:val="20"/>
        </w:rPr>
        <w:t>would </w:t>
      </w:r>
      <w:r>
        <w:rPr>
          <w:sz w:val="20"/>
        </w:rPr>
        <w:t>be unable to </w:t>
      </w:r>
      <w:r>
        <w:rPr>
          <w:spacing w:val="-3"/>
          <w:sz w:val="20"/>
        </w:rPr>
        <w:t>serve’.</w:t>
      </w:r>
      <w:r>
        <w:rPr>
          <w:spacing w:val="-3"/>
          <w:position w:val="7"/>
          <w:sz w:val="11"/>
        </w:rPr>
        <w:t>109 </w:t>
      </w:r>
      <w:r>
        <w:rPr>
          <w:sz w:val="20"/>
        </w:rPr>
        <w:t>It </w:t>
      </w:r>
      <w:r>
        <w:rPr>
          <w:spacing w:val="-3"/>
          <w:sz w:val="20"/>
        </w:rPr>
        <w:t>provided </w:t>
      </w:r>
      <w:r>
        <w:rPr>
          <w:sz w:val="20"/>
        </w:rPr>
        <w:t>two potential </w:t>
      </w:r>
      <w:r>
        <w:rPr>
          <w:spacing w:val="-3"/>
          <w:sz w:val="20"/>
        </w:rPr>
        <w:t>examples, </w:t>
      </w:r>
      <w:r>
        <w:rPr>
          <w:sz w:val="20"/>
        </w:rPr>
        <w:t>a jury being </w:t>
      </w:r>
      <w:r>
        <w:rPr>
          <w:spacing w:val="-3"/>
          <w:sz w:val="20"/>
        </w:rPr>
        <w:t>required </w:t>
      </w:r>
      <w:r>
        <w:rPr>
          <w:sz w:val="20"/>
        </w:rPr>
        <w:t>to</w:t>
      </w:r>
      <w:r>
        <w:rPr>
          <w:spacing w:val="-12"/>
          <w:sz w:val="20"/>
        </w:rPr>
        <w:t> </w:t>
      </w:r>
      <w:r>
        <w:rPr>
          <w:sz w:val="20"/>
        </w:rPr>
        <w:t>compare</w:t>
      </w:r>
      <w:r>
        <w:rPr>
          <w:spacing w:val="-11"/>
          <w:sz w:val="20"/>
        </w:rPr>
        <w:t> </w:t>
      </w:r>
      <w:r>
        <w:rPr>
          <w:sz w:val="20"/>
        </w:rPr>
        <w:t>two</w:t>
      </w:r>
      <w:r>
        <w:rPr>
          <w:spacing w:val="-11"/>
          <w:sz w:val="20"/>
        </w:rPr>
        <w:t> </w:t>
      </w:r>
      <w:r>
        <w:rPr>
          <w:sz w:val="20"/>
        </w:rPr>
        <w:t>graphic</w:t>
      </w:r>
      <w:r>
        <w:rPr>
          <w:spacing w:val="-12"/>
          <w:sz w:val="20"/>
        </w:rPr>
        <w:t> </w:t>
      </w:r>
      <w:r>
        <w:rPr>
          <w:sz w:val="20"/>
        </w:rPr>
        <w:t>images</w:t>
      </w:r>
      <w:r>
        <w:rPr>
          <w:spacing w:val="-11"/>
          <w:sz w:val="20"/>
        </w:rPr>
        <w:t> </w:t>
      </w:r>
      <w:r>
        <w:rPr>
          <w:sz w:val="20"/>
        </w:rPr>
        <w:t>in</w:t>
      </w:r>
      <w:r>
        <w:rPr>
          <w:spacing w:val="-11"/>
          <w:sz w:val="20"/>
        </w:rPr>
        <w:t> </w:t>
      </w:r>
      <w:r>
        <w:rPr>
          <w:sz w:val="20"/>
        </w:rPr>
        <w:t>a</w:t>
      </w:r>
      <w:r>
        <w:rPr>
          <w:spacing w:val="-11"/>
          <w:sz w:val="20"/>
        </w:rPr>
        <w:t> </w:t>
      </w:r>
      <w:r>
        <w:rPr>
          <w:sz w:val="20"/>
        </w:rPr>
        <w:t>trial</w:t>
      </w:r>
      <w:r>
        <w:rPr>
          <w:spacing w:val="-12"/>
          <w:sz w:val="20"/>
        </w:rPr>
        <w:t> </w:t>
      </w:r>
      <w:r>
        <w:rPr>
          <w:sz w:val="20"/>
        </w:rPr>
        <w:t>about</w:t>
      </w:r>
      <w:r>
        <w:rPr>
          <w:spacing w:val="-11"/>
          <w:sz w:val="20"/>
        </w:rPr>
        <w:t> </w:t>
      </w:r>
      <w:r>
        <w:rPr>
          <w:sz w:val="20"/>
        </w:rPr>
        <w:t>a</w:t>
      </w:r>
      <w:r>
        <w:rPr>
          <w:spacing w:val="-11"/>
          <w:sz w:val="20"/>
        </w:rPr>
        <w:t> </w:t>
      </w:r>
      <w:r>
        <w:rPr>
          <w:sz w:val="20"/>
        </w:rPr>
        <w:t>trademark</w:t>
      </w:r>
      <w:r>
        <w:rPr>
          <w:spacing w:val="-11"/>
          <w:sz w:val="20"/>
        </w:rPr>
        <w:t> </w:t>
      </w:r>
      <w:r>
        <w:rPr>
          <w:sz w:val="20"/>
        </w:rPr>
        <w:t>ownership</w:t>
      </w:r>
      <w:r>
        <w:rPr>
          <w:spacing w:val="-12"/>
          <w:sz w:val="20"/>
        </w:rPr>
        <w:t> </w:t>
      </w:r>
      <w:r>
        <w:rPr>
          <w:sz w:val="20"/>
        </w:rPr>
        <w:t>dispute</w:t>
      </w:r>
      <w:r>
        <w:rPr>
          <w:spacing w:val="-11"/>
          <w:sz w:val="20"/>
        </w:rPr>
        <w:t> </w:t>
      </w:r>
      <w:r>
        <w:rPr>
          <w:sz w:val="20"/>
        </w:rPr>
        <w:t>or</w:t>
      </w:r>
      <w:r>
        <w:rPr>
          <w:spacing w:val="-11"/>
          <w:sz w:val="20"/>
        </w:rPr>
        <w:t> </w:t>
      </w:r>
      <w:r>
        <w:rPr>
          <w:sz w:val="20"/>
        </w:rPr>
        <w:t>CCTV being</w:t>
      </w:r>
      <w:r>
        <w:rPr>
          <w:spacing w:val="-6"/>
          <w:sz w:val="20"/>
        </w:rPr>
        <w:t> </w:t>
      </w:r>
      <w:r>
        <w:rPr>
          <w:sz w:val="20"/>
        </w:rPr>
        <w:t>crucial</w:t>
      </w:r>
      <w:r>
        <w:rPr>
          <w:spacing w:val="-5"/>
          <w:sz w:val="20"/>
        </w:rPr>
        <w:t> </w:t>
      </w:r>
      <w:r>
        <w:rPr>
          <w:sz w:val="20"/>
        </w:rPr>
        <w:t>to</w:t>
      </w:r>
      <w:r>
        <w:rPr>
          <w:spacing w:val="-5"/>
          <w:sz w:val="20"/>
        </w:rPr>
        <w:t> </w:t>
      </w:r>
      <w:r>
        <w:rPr>
          <w:sz w:val="20"/>
        </w:rPr>
        <w:t>the</w:t>
      </w:r>
      <w:r>
        <w:rPr>
          <w:spacing w:val="-5"/>
          <w:sz w:val="20"/>
        </w:rPr>
        <w:t> </w:t>
      </w:r>
      <w:r>
        <w:rPr>
          <w:sz w:val="20"/>
        </w:rPr>
        <w:t>determination</w:t>
      </w:r>
      <w:r>
        <w:rPr>
          <w:spacing w:val="-5"/>
          <w:sz w:val="20"/>
        </w:rPr>
        <w:t> </w:t>
      </w:r>
      <w:r>
        <w:rPr>
          <w:sz w:val="20"/>
        </w:rPr>
        <w:t>of</w:t>
      </w:r>
      <w:r>
        <w:rPr>
          <w:spacing w:val="-5"/>
          <w:sz w:val="20"/>
        </w:rPr>
        <w:t> </w:t>
      </w:r>
      <w:r>
        <w:rPr>
          <w:sz w:val="20"/>
        </w:rPr>
        <w:t>guilt</w:t>
      </w:r>
      <w:r>
        <w:rPr>
          <w:spacing w:val="-5"/>
          <w:sz w:val="20"/>
        </w:rPr>
        <w:t> </w:t>
      </w:r>
      <w:r>
        <w:rPr>
          <w:sz w:val="20"/>
        </w:rPr>
        <w:t>or</w:t>
      </w:r>
      <w:r>
        <w:rPr>
          <w:spacing w:val="-6"/>
          <w:sz w:val="20"/>
        </w:rPr>
        <w:t> </w:t>
      </w:r>
      <w:r>
        <w:rPr>
          <w:sz w:val="20"/>
        </w:rPr>
        <w:t>innocence.</w:t>
      </w:r>
      <w:r>
        <w:rPr>
          <w:position w:val="7"/>
          <w:sz w:val="11"/>
        </w:rPr>
        <w:t>110</w:t>
      </w:r>
    </w:p>
    <w:p>
      <w:pPr>
        <w:pStyle w:val="ListParagraph"/>
        <w:numPr>
          <w:ilvl w:val="1"/>
          <w:numId w:val="12"/>
        </w:numPr>
        <w:tabs>
          <w:tab w:pos="1761" w:val="left" w:leader="none"/>
          <w:tab w:pos="1762" w:val="left" w:leader="none"/>
        </w:tabs>
        <w:spacing w:line="206" w:lineRule="auto" w:before="126" w:after="0"/>
        <w:ind w:left="1761" w:right="1638" w:hanging="794"/>
        <w:jc w:val="left"/>
        <w:rPr>
          <w:sz w:val="20"/>
        </w:rPr>
      </w:pPr>
      <w:r>
        <w:rPr>
          <w:spacing w:val="-3"/>
          <w:sz w:val="20"/>
        </w:rPr>
        <w:t>Peter </w:t>
      </w:r>
      <w:r>
        <w:rPr>
          <w:spacing w:val="-5"/>
          <w:sz w:val="20"/>
        </w:rPr>
        <w:t>Ward </w:t>
      </w:r>
      <w:r>
        <w:rPr>
          <w:spacing w:val="-3"/>
          <w:sz w:val="20"/>
        </w:rPr>
        <w:t>told </w:t>
      </w:r>
      <w:r>
        <w:rPr>
          <w:sz w:val="20"/>
        </w:rPr>
        <w:t>the Commission that, as </w:t>
      </w:r>
      <w:r>
        <w:rPr>
          <w:spacing w:val="-4"/>
          <w:sz w:val="20"/>
        </w:rPr>
        <w:t>‘a </w:t>
      </w:r>
      <w:r>
        <w:rPr>
          <w:sz w:val="20"/>
        </w:rPr>
        <w:t>person with </w:t>
      </w:r>
      <w:r>
        <w:rPr>
          <w:spacing w:val="-4"/>
          <w:sz w:val="20"/>
        </w:rPr>
        <w:t>low </w:t>
      </w:r>
      <w:r>
        <w:rPr>
          <w:sz w:val="20"/>
        </w:rPr>
        <w:t>vision, there </w:t>
      </w:r>
      <w:r>
        <w:rPr>
          <w:spacing w:val="-3"/>
          <w:sz w:val="20"/>
        </w:rPr>
        <w:t>are </w:t>
      </w:r>
      <w:r>
        <w:rPr>
          <w:sz w:val="20"/>
        </w:rPr>
        <w:t>things I</w:t>
      </w:r>
      <w:r>
        <w:rPr>
          <w:spacing w:val="-8"/>
          <w:sz w:val="20"/>
        </w:rPr>
        <w:t> </w:t>
      </w:r>
      <w:r>
        <w:rPr>
          <w:sz w:val="20"/>
        </w:rPr>
        <w:t>can</w:t>
      </w:r>
      <w:r>
        <w:rPr>
          <w:spacing w:val="-7"/>
          <w:sz w:val="20"/>
        </w:rPr>
        <w:t> </w:t>
      </w:r>
      <w:r>
        <w:rPr>
          <w:sz w:val="20"/>
        </w:rPr>
        <w:t>do</w:t>
      </w:r>
      <w:r>
        <w:rPr>
          <w:spacing w:val="-7"/>
          <w:sz w:val="20"/>
        </w:rPr>
        <w:t> </w:t>
      </w:r>
      <w:r>
        <w:rPr>
          <w:sz w:val="20"/>
        </w:rPr>
        <w:t>and</w:t>
      </w:r>
      <w:r>
        <w:rPr>
          <w:spacing w:val="-7"/>
          <w:sz w:val="20"/>
        </w:rPr>
        <w:t> </w:t>
      </w:r>
      <w:r>
        <w:rPr>
          <w:sz w:val="20"/>
        </w:rPr>
        <w:t>there</w:t>
      </w:r>
      <w:r>
        <w:rPr>
          <w:spacing w:val="-7"/>
          <w:sz w:val="20"/>
        </w:rPr>
        <w:t> </w:t>
      </w:r>
      <w:r>
        <w:rPr>
          <w:spacing w:val="-3"/>
          <w:sz w:val="20"/>
        </w:rPr>
        <w:t>are</w:t>
      </w:r>
      <w:r>
        <w:rPr>
          <w:spacing w:val="-7"/>
          <w:sz w:val="20"/>
        </w:rPr>
        <w:t> </w:t>
      </w:r>
      <w:r>
        <w:rPr>
          <w:sz w:val="20"/>
        </w:rPr>
        <w:t>things</w:t>
      </w:r>
      <w:r>
        <w:rPr>
          <w:spacing w:val="-7"/>
          <w:sz w:val="20"/>
        </w:rPr>
        <w:t> </w:t>
      </w:r>
      <w:r>
        <w:rPr>
          <w:sz w:val="20"/>
        </w:rPr>
        <w:t>I</w:t>
      </w:r>
      <w:r>
        <w:rPr>
          <w:spacing w:val="-7"/>
          <w:sz w:val="20"/>
        </w:rPr>
        <w:t> </w:t>
      </w:r>
      <w:r>
        <w:rPr>
          <w:sz w:val="20"/>
        </w:rPr>
        <w:t>can’t</w:t>
      </w:r>
      <w:r>
        <w:rPr>
          <w:spacing w:val="-8"/>
          <w:sz w:val="20"/>
        </w:rPr>
        <w:t> </w:t>
      </w:r>
      <w:r>
        <w:rPr>
          <w:sz w:val="20"/>
        </w:rPr>
        <w:t>do.</w:t>
      </w:r>
      <w:r>
        <w:rPr>
          <w:spacing w:val="-7"/>
          <w:sz w:val="20"/>
        </w:rPr>
        <w:t> </w:t>
      </w:r>
      <w:r>
        <w:rPr>
          <w:sz w:val="20"/>
        </w:rPr>
        <w:t>I</w:t>
      </w:r>
      <w:r>
        <w:rPr>
          <w:spacing w:val="-7"/>
          <w:sz w:val="20"/>
        </w:rPr>
        <w:t> </w:t>
      </w:r>
      <w:r>
        <w:rPr>
          <w:spacing w:val="-4"/>
          <w:sz w:val="20"/>
        </w:rPr>
        <w:t>have</w:t>
      </w:r>
      <w:r>
        <w:rPr>
          <w:spacing w:val="-7"/>
          <w:sz w:val="20"/>
        </w:rPr>
        <w:t> </w:t>
      </w:r>
      <w:r>
        <w:rPr>
          <w:sz w:val="20"/>
        </w:rPr>
        <w:t>to</w:t>
      </w:r>
      <w:r>
        <w:rPr>
          <w:spacing w:val="-7"/>
          <w:sz w:val="20"/>
        </w:rPr>
        <w:t> </w:t>
      </w:r>
      <w:r>
        <w:rPr>
          <w:sz w:val="20"/>
        </w:rPr>
        <w:t>recognise</w:t>
      </w:r>
      <w:r>
        <w:rPr>
          <w:spacing w:val="-7"/>
          <w:sz w:val="20"/>
        </w:rPr>
        <w:t> </w:t>
      </w:r>
      <w:r>
        <w:rPr>
          <w:sz w:val="20"/>
        </w:rPr>
        <w:t>what</w:t>
      </w:r>
      <w:r>
        <w:rPr>
          <w:spacing w:val="-7"/>
          <w:sz w:val="20"/>
        </w:rPr>
        <w:t> </w:t>
      </w:r>
      <w:r>
        <w:rPr>
          <w:sz w:val="20"/>
        </w:rPr>
        <w:t>I</w:t>
      </w:r>
      <w:r>
        <w:rPr>
          <w:spacing w:val="-8"/>
          <w:sz w:val="20"/>
        </w:rPr>
        <w:t> </w:t>
      </w:r>
      <w:r>
        <w:rPr>
          <w:sz w:val="20"/>
        </w:rPr>
        <w:t>can’t</w:t>
      </w:r>
      <w:r>
        <w:rPr>
          <w:spacing w:val="-7"/>
          <w:sz w:val="20"/>
        </w:rPr>
        <w:t> </w:t>
      </w:r>
      <w:r>
        <w:rPr>
          <w:spacing w:val="-3"/>
          <w:sz w:val="20"/>
        </w:rPr>
        <w:t>do’.</w:t>
      </w:r>
      <w:r>
        <w:rPr>
          <w:spacing w:val="-3"/>
          <w:position w:val="7"/>
          <w:sz w:val="11"/>
        </w:rPr>
        <w:t>111</w:t>
      </w:r>
      <w:r>
        <w:rPr>
          <w:spacing w:val="18"/>
          <w:position w:val="7"/>
          <w:sz w:val="11"/>
        </w:rPr>
        <w:t> </w:t>
      </w:r>
      <w:r>
        <w:rPr>
          <w:sz w:val="20"/>
        </w:rPr>
        <w:t>Similar comments </w:t>
      </w:r>
      <w:r>
        <w:rPr>
          <w:spacing w:val="-4"/>
          <w:sz w:val="20"/>
        </w:rPr>
        <w:t>were </w:t>
      </w:r>
      <w:r>
        <w:rPr>
          <w:sz w:val="20"/>
        </w:rPr>
        <w:t>made in the consultation with Blind </w:t>
      </w:r>
      <w:r>
        <w:rPr>
          <w:spacing w:val="-3"/>
          <w:sz w:val="20"/>
        </w:rPr>
        <w:t>Citizens </w:t>
      </w:r>
      <w:r>
        <w:rPr>
          <w:sz w:val="20"/>
        </w:rPr>
        <w:t>Australia. Some participants</w:t>
      </w:r>
      <w:r>
        <w:rPr>
          <w:spacing w:val="-10"/>
          <w:sz w:val="20"/>
        </w:rPr>
        <w:t> </w:t>
      </w:r>
      <w:r>
        <w:rPr>
          <w:sz w:val="20"/>
        </w:rPr>
        <w:t>suggested</w:t>
      </w:r>
      <w:r>
        <w:rPr>
          <w:spacing w:val="-9"/>
          <w:sz w:val="20"/>
        </w:rPr>
        <w:t> </w:t>
      </w:r>
      <w:r>
        <w:rPr>
          <w:sz w:val="20"/>
        </w:rPr>
        <w:t>that</w:t>
      </w:r>
      <w:r>
        <w:rPr>
          <w:spacing w:val="-9"/>
          <w:sz w:val="20"/>
        </w:rPr>
        <w:t> </w:t>
      </w:r>
      <w:r>
        <w:rPr>
          <w:sz w:val="20"/>
        </w:rPr>
        <w:t>they</w:t>
      </w:r>
      <w:r>
        <w:rPr>
          <w:spacing w:val="-9"/>
          <w:sz w:val="20"/>
        </w:rPr>
        <w:t> </w:t>
      </w:r>
      <w:r>
        <w:rPr>
          <w:spacing w:val="-3"/>
          <w:sz w:val="20"/>
        </w:rPr>
        <w:t>would</w:t>
      </w:r>
      <w:r>
        <w:rPr>
          <w:spacing w:val="-9"/>
          <w:sz w:val="20"/>
        </w:rPr>
        <w:t> </w:t>
      </w:r>
      <w:r>
        <w:rPr>
          <w:sz w:val="20"/>
        </w:rPr>
        <w:t>feel</w:t>
      </w:r>
      <w:r>
        <w:rPr>
          <w:spacing w:val="-9"/>
          <w:sz w:val="20"/>
        </w:rPr>
        <w:t> </w:t>
      </w:r>
      <w:r>
        <w:rPr>
          <w:sz w:val="20"/>
        </w:rPr>
        <w:t>uncomfortable</w:t>
      </w:r>
      <w:r>
        <w:rPr>
          <w:spacing w:val="-9"/>
          <w:sz w:val="20"/>
        </w:rPr>
        <w:t> </w:t>
      </w:r>
      <w:r>
        <w:rPr>
          <w:sz w:val="20"/>
        </w:rPr>
        <w:t>serving</w:t>
      </w:r>
      <w:r>
        <w:rPr>
          <w:spacing w:val="-9"/>
          <w:sz w:val="20"/>
        </w:rPr>
        <w:t> </w:t>
      </w:r>
      <w:r>
        <w:rPr>
          <w:sz w:val="20"/>
        </w:rPr>
        <w:t>in</w:t>
      </w:r>
      <w:r>
        <w:rPr>
          <w:spacing w:val="-9"/>
          <w:sz w:val="20"/>
        </w:rPr>
        <w:t> </w:t>
      </w:r>
      <w:r>
        <w:rPr>
          <w:sz w:val="20"/>
        </w:rPr>
        <w:t>a</w:t>
      </w:r>
      <w:r>
        <w:rPr>
          <w:spacing w:val="-9"/>
          <w:sz w:val="20"/>
        </w:rPr>
        <w:t> </w:t>
      </w:r>
      <w:r>
        <w:rPr>
          <w:sz w:val="20"/>
        </w:rPr>
        <w:t>trial</w:t>
      </w:r>
      <w:r>
        <w:rPr>
          <w:spacing w:val="-9"/>
          <w:sz w:val="20"/>
        </w:rPr>
        <w:t> </w:t>
      </w:r>
      <w:r>
        <w:rPr>
          <w:sz w:val="20"/>
        </w:rPr>
        <w:t>that</w:t>
      </w:r>
    </w:p>
    <w:p>
      <w:pPr>
        <w:pStyle w:val="BodyText"/>
        <w:spacing w:line="206" w:lineRule="auto" w:before="5"/>
        <w:ind w:left="1761" w:right="1277"/>
        <w:rPr>
          <w:sz w:val="11"/>
        </w:rPr>
      </w:pPr>
      <w:r>
        <w:rPr>
          <w:spacing w:val="-4"/>
        </w:rPr>
        <w:t>involved</w:t>
      </w:r>
      <w:r>
        <w:rPr>
          <w:spacing w:val="-9"/>
        </w:rPr>
        <w:t> </w:t>
      </w:r>
      <w:r>
        <w:rPr/>
        <w:t>lots</w:t>
      </w:r>
      <w:r>
        <w:rPr>
          <w:spacing w:val="-9"/>
        </w:rPr>
        <w:t> </w:t>
      </w:r>
      <w:r>
        <w:rPr/>
        <w:t>of</w:t>
      </w:r>
      <w:r>
        <w:rPr>
          <w:spacing w:val="-9"/>
        </w:rPr>
        <w:t> </w:t>
      </w:r>
      <w:r>
        <w:rPr/>
        <w:t>visual</w:t>
      </w:r>
      <w:r>
        <w:rPr>
          <w:spacing w:val="-9"/>
        </w:rPr>
        <w:t> </w:t>
      </w:r>
      <w:r>
        <w:rPr/>
        <w:t>evidence.</w:t>
      </w:r>
      <w:r>
        <w:rPr>
          <w:spacing w:val="-9"/>
        </w:rPr>
        <w:t> </w:t>
      </w:r>
      <w:r>
        <w:rPr/>
        <w:t>It</w:t>
      </w:r>
      <w:r>
        <w:rPr>
          <w:spacing w:val="-9"/>
        </w:rPr>
        <w:t> </w:t>
      </w:r>
      <w:r>
        <w:rPr/>
        <w:t>was</w:t>
      </w:r>
      <w:r>
        <w:rPr>
          <w:spacing w:val="-9"/>
        </w:rPr>
        <w:t> </w:t>
      </w:r>
      <w:r>
        <w:rPr/>
        <w:t>suggested</w:t>
      </w:r>
      <w:r>
        <w:rPr>
          <w:spacing w:val="-8"/>
        </w:rPr>
        <w:t> </w:t>
      </w:r>
      <w:r>
        <w:rPr/>
        <w:t>it</w:t>
      </w:r>
      <w:r>
        <w:rPr>
          <w:spacing w:val="-9"/>
        </w:rPr>
        <w:t> </w:t>
      </w:r>
      <w:r>
        <w:rPr>
          <w:spacing w:val="-3"/>
        </w:rPr>
        <w:t>‘would</w:t>
      </w:r>
      <w:r>
        <w:rPr>
          <w:spacing w:val="-9"/>
        </w:rPr>
        <w:t> </w:t>
      </w:r>
      <w:r>
        <w:rPr/>
        <w:t>be</w:t>
      </w:r>
      <w:r>
        <w:rPr>
          <w:spacing w:val="-9"/>
        </w:rPr>
        <w:t> </w:t>
      </w:r>
      <w:r>
        <w:rPr/>
        <w:t>easier</w:t>
      </w:r>
      <w:r>
        <w:rPr>
          <w:spacing w:val="-9"/>
        </w:rPr>
        <w:t> </w:t>
      </w:r>
      <w:r>
        <w:rPr/>
        <w:t>to</w:t>
      </w:r>
      <w:r>
        <w:rPr>
          <w:spacing w:val="-9"/>
        </w:rPr>
        <w:t> </w:t>
      </w:r>
      <w:r>
        <w:rPr/>
        <w:t>serve</w:t>
      </w:r>
      <w:r>
        <w:rPr>
          <w:spacing w:val="-9"/>
        </w:rPr>
        <w:t> </w:t>
      </w:r>
      <w:r>
        <w:rPr/>
        <w:t>when</w:t>
      </w:r>
      <w:r>
        <w:rPr>
          <w:spacing w:val="-9"/>
        </w:rPr>
        <w:t> </w:t>
      </w:r>
      <w:r>
        <w:rPr/>
        <w:t>the trial </w:t>
      </w:r>
      <w:r>
        <w:rPr>
          <w:spacing w:val="-4"/>
        </w:rPr>
        <w:t>involved </w:t>
      </w:r>
      <w:r>
        <w:rPr>
          <w:spacing w:val="-2"/>
        </w:rPr>
        <w:t>mostly </w:t>
      </w:r>
      <w:r>
        <w:rPr/>
        <w:t>documentation or oral evidence</w:t>
      </w:r>
      <w:r>
        <w:rPr>
          <w:spacing w:val="-37"/>
        </w:rPr>
        <w:t> </w:t>
      </w:r>
      <w:r>
        <w:rPr>
          <w:spacing w:val="-3"/>
        </w:rPr>
        <w:t>from </w:t>
      </w:r>
      <w:r>
        <w:rPr/>
        <w:t>witnesses’.</w:t>
      </w:r>
      <w:r>
        <w:rPr>
          <w:position w:val="7"/>
          <w:sz w:val="11"/>
        </w:rPr>
        <w:t>112</w:t>
      </w:r>
    </w:p>
    <w:p>
      <w:pPr>
        <w:pStyle w:val="Heading6"/>
        <w:spacing w:before="127"/>
        <w:rPr>
          <w:b/>
        </w:rPr>
      </w:pPr>
      <w:r>
        <w:rPr>
          <w:b/>
        </w:rPr>
        <w:t>CCTV and identification evidence is not always material to a trial’s outcome</w:t>
      </w:r>
    </w:p>
    <w:p>
      <w:pPr>
        <w:pStyle w:val="ListParagraph"/>
        <w:numPr>
          <w:ilvl w:val="1"/>
          <w:numId w:val="12"/>
        </w:numPr>
        <w:tabs>
          <w:tab w:pos="1761" w:val="left" w:leader="none"/>
          <w:tab w:pos="1762" w:val="left" w:leader="none"/>
        </w:tabs>
        <w:spacing w:line="206" w:lineRule="auto" w:before="132" w:after="0"/>
        <w:ind w:left="1761" w:right="1262" w:hanging="794"/>
        <w:jc w:val="left"/>
        <w:rPr>
          <w:sz w:val="20"/>
        </w:rPr>
      </w:pPr>
      <w:r>
        <w:rPr>
          <w:spacing w:val="-3"/>
          <w:sz w:val="20"/>
        </w:rPr>
        <w:t>Importantly, </w:t>
      </w:r>
      <w:r>
        <w:rPr>
          <w:sz w:val="20"/>
        </w:rPr>
        <w:t>the legal community noted that </w:t>
      </w:r>
      <w:r>
        <w:rPr>
          <w:spacing w:val="-3"/>
          <w:sz w:val="20"/>
        </w:rPr>
        <w:t>voice </w:t>
      </w:r>
      <w:r>
        <w:rPr>
          <w:sz w:val="20"/>
        </w:rPr>
        <w:t>and identification evidence is not </w:t>
      </w:r>
      <w:r>
        <w:rPr>
          <w:spacing w:val="-4"/>
          <w:sz w:val="20"/>
        </w:rPr>
        <w:t>always</w:t>
      </w:r>
      <w:r>
        <w:rPr>
          <w:spacing w:val="-7"/>
          <w:sz w:val="20"/>
        </w:rPr>
        <w:t> </w:t>
      </w:r>
      <w:r>
        <w:rPr>
          <w:sz w:val="20"/>
        </w:rPr>
        <w:t>material</w:t>
      </w:r>
      <w:r>
        <w:rPr>
          <w:spacing w:val="-7"/>
          <w:sz w:val="20"/>
        </w:rPr>
        <w:t> </w:t>
      </w:r>
      <w:r>
        <w:rPr>
          <w:sz w:val="20"/>
        </w:rPr>
        <w:t>to</w:t>
      </w:r>
      <w:r>
        <w:rPr>
          <w:spacing w:val="-7"/>
          <w:sz w:val="20"/>
        </w:rPr>
        <w:t> </w:t>
      </w:r>
      <w:r>
        <w:rPr>
          <w:sz w:val="20"/>
        </w:rPr>
        <w:t>the</w:t>
      </w:r>
      <w:r>
        <w:rPr>
          <w:spacing w:val="-7"/>
          <w:sz w:val="20"/>
        </w:rPr>
        <w:t> </w:t>
      </w:r>
      <w:r>
        <w:rPr>
          <w:sz w:val="20"/>
        </w:rPr>
        <w:t>outcome</w:t>
      </w:r>
      <w:r>
        <w:rPr>
          <w:spacing w:val="-7"/>
          <w:sz w:val="20"/>
        </w:rPr>
        <w:t> </w:t>
      </w:r>
      <w:r>
        <w:rPr>
          <w:sz w:val="20"/>
        </w:rPr>
        <w:t>of</w:t>
      </w:r>
      <w:r>
        <w:rPr>
          <w:spacing w:val="-7"/>
          <w:sz w:val="20"/>
        </w:rPr>
        <w:t> </w:t>
      </w:r>
      <w:r>
        <w:rPr>
          <w:sz w:val="20"/>
        </w:rPr>
        <w:t>a</w:t>
      </w:r>
      <w:r>
        <w:rPr>
          <w:spacing w:val="-7"/>
          <w:sz w:val="20"/>
        </w:rPr>
        <w:t> </w:t>
      </w:r>
      <w:r>
        <w:rPr>
          <w:sz w:val="20"/>
        </w:rPr>
        <w:t>trial.</w:t>
      </w:r>
      <w:r>
        <w:rPr>
          <w:position w:val="7"/>
          <w:sz w:val="11"/>
        </w:rPr>
        <w:t>113</w:t>
      </w:r>
      <w:r>
        <w:rPr>
          <w:spacing w:val="18"/>
          <w:position w:val="7"/>
          <w:sz w:val="11"/>
        </w:rPr>
        <w:t> </w:t>
      </w:r>
      <w:r>
        <w:rPr>
          <w:spacing w:val="-3"/>
          <w:sz w:val="20"/>
        </w:rPr>
        <w:t>For</w:t>
      </w:r>
      <w:r>
        <w:rPr>
          <w:spacing w:val="-6"/>
          <w:sz w:val="20"/>
        </w:rPr>
        <w:t> </w:t>
      </w:r>
      <w:r>
        <w:rPr>
          <w:spacing w:val="-3"/>
          <w:sz w:val="20"/>
        </w:rPr>
        <w:t>example,</w:t>
      </w:r>
      <w:r>
        <w:rPr>
          <w:spacing w:val="-7"/>
          <w:sz w:val="20"/>
        </w:rPr>
        <w:t> </w:t>
      </w:r>
      <w:r>
        <w:rPr>
          <w:spacing w:val="-3"/>
          <w:sz w:val="20"/>
        </w:rPr>
        <w:t>eyewitness</w:t>
      </w:r>
      <w:r>
        <w:rPr>
          <w:spacing w:val="-7"/>
          <w:sz w:val="20"/>
        </w:rPr>
        <w:t> </w:t>
      </w:r>
      <w:r>
        <w:rPr>
          <w:sz w:val="20"/>
        </w:rPr>
        <w:t>accounts</w:t>
      </w:r>
      <w:r>
        <w:rPr>
          <w:spacing w:val="-7"/>
          <w:sz w:val="20"/>
        </w:rPr>
        <w:t> </w:t>
      </w:r>
      <w:r>
        <w:rPr>
          <w:spacing w:val="-3"/>
          <w:sz w:val="20"/>
        </w:rPr>
        <w:t>may</w:t>
      </w:r>
      <w:r>
        <w:rPr>
          <w:spacing w:val="-7"/>
          <w:sz w:val="20"/>
        </w:rPr>
        <w:t> </w:t>
      </w:r>
      <w:r>
        <w:rPr>
          <w:sz w:val="20"/>
        </w:rPr>
        <w:t>also be</w:t>
      </w:r>
      <w:r>
        <w:rPr>
          <w:spacing w:val="-6"/>
          <w:sz w:val="20"/>
        </w:rPr>
        <w:t> </w:t>
      </w:r>
      <w:r>
        <w:rPr>
          <w:spacing w:val="-3"/>
          <w:sz w:val="20"/>
        </w:rPr>
        <w:t>relevant.</w:t>
      </w:r>
      <w:r>
        <w:rPr>
          <w:spacing w:val="-6"/>
          <w:sz w:val="20"/>
        </w:rPr>
        <w:t> </w:t>
      </w:r>
      <w:r>
        <w:rPr>
          <w:sz w:val="20"/>
        </w:rPr>
        <w:t>Victorian</w:t>
      </w:r>
      <w:r>
        <w:rPr>
          <w:spacing w:val="-6"/>
          <w:sz w:val="20"/>
        </w:rPr>
        <w:t> </w:t>
      </w:r>
      <w:r>
        <w:rPr>
          <w:sz w:val="20"/>
        </w:rPr>
        <w:t>Criminal</w:t>
      </w:r>
      <w:r>
        <w:rPr>
          <w:spacing w:val="-6"/>
          <w:sz w:val="20"/>
        </w:rPr>
        <w:t> </w:t>
      </w:r>
      <w:r>
        <w:rPr>
          <w:sz w:val="20"/>
        </w:rPr>
        <w:t>Bar</w:t>
      </w:r>
      <w:r>
        <w:rPr>
          <w:spacing w:val="-6"/>
          <w:sz w:val="20"/>
        </w:rPr>
        <w:t> </w:t>
      </w:r>
      <w:r>
        <w:rPr>
          <w:sz w:val="20"/>
        </w:rPr>
        <w:t>Association</w:t>
      </w:r>
      <w:r>
        <w:rPr>
          <w:spacing w:val="-6"/>
          <w:sz w:val="20"/>
        </w:rPr>
        <w:t> </w:t>
      </w:r>
      <w:r>
        <w:rPr>
          <w:sz w:val="20"/>
        </w:rPr>
        <w:t>consultees</w:t>
      </w:r>
      <w:r>
        <w:rPr>
          <w:spacing w:val="-5"/>
          <w:sz w:val="20"/>
        </w:rPr>
        <w:t> </w:t>
      </w:r>
      <w:r>
        <w:rPr>
          <w:sz w:val="20"/>
        </w:rPr>
        <w:t>noted</w:t>
      </w:r>
      <w:r>
        <w:rPr>
          <w:spacing w:val="-6"/>
          <w:sz w:val="20"/>
        </w:rPr>
        <w:t> </w:t>
      </w:r>
      <w:r>
        <w:rPr>
          <w:sz w:val="20"/>
        </w:rPr>
        <w:t>that:</w:t>
      </w:r>
    </w:p>
    <w:p>
      <w:pPr>
        <w:spacing w:line="208" w:lineRule="auto" w:before="122"/>
        <w:ind w:left="2157" w:right="1240" w:firstLine="0"/>
        <w:jc w:val="left"/>
        <w:rPr>
          <w:sz w:val="11"/>
        </w:rPr>
      </w:pPr>
      <w:r>
        <w:rPr>
          <w:sz w:val="19"/>
        </w:rPr>
        <w:t>the Commission should guard against generalisations. Just because there is CCTV evidence, does not necessarily mean that a blind person cannot sit on the jury. The way in which the evidence is going to be used needs to be considered. For example, is it about identifying who a person is? In such a case they might be precluded, but this should be considered on a case by case basis, as not that many cases rely wholly on CCTV footage. Other CCTV evidence might be about what the person did or could they have done something else or nothing at all? This might be less crucial. It was observed that in the County Court many cases have no CCTV evidence.</w:t>
      </w:r>
      <w:r>
        <w:rPr>
          <w:position w:val="6"/>
          <w:sz w:val="11"/>
        </w:rPr>
        <w:t>114</w:t>
      </w:r>
    </w:p>
    <w:p>
      <w:pPr>
        <w:pStyle w:val="ListParagraph"/>
        <w:numPr>
          <w:ilvl w:val="1"/>
          <w:numId w:val="12"/>
        </w:numPr>
        <w:tabs>
          <w:tab w:pos="1761" w:val="left" w:leader="none"/>
          <w:tab w:pos="1762" w:val="left" w:leader="none"/>
        </w:tabs>
        <w:spacing w:line="206" w:lineRule="auto" w:before="126" w:after="0"/>
        <w:ind w:left="1761" w:right="1260" w:hanging="794"/>
        <w:jc w:val="left"/>
        <w:rPr>
          <w:sz w:val="20"/>
        </w:rPr>
      </w:pPr>
      <w:r>
        <w:rPr>
          <w:sz w:val="20"/>
        </w:rPr>
        <w:t>A</w:t>
      </w:r>
      <w:r>
        <w:rPr>
          <w:spacing w:val="-10"/>
          <w:sz w:val="20"/>
        </w:rPr>
        <w:t> </w:t>
      </w:r>
      <w:r>
        <w:rPr>
          <w:sz w:val="20"/>
        </w:rPr>
        <w:t>member</w:t>
      </w:r>
      <w:r>
        <w:rPr>
          <w:spacing w:val="-9"/>
          <w:sz w:val="20"/>
        </w:rPr>
        <w:t> </w:t>
      </w:r>
      <w:r>
        <w:rPr>
          <w:sz w:val="20"/>
        </w:rPr>
        <w:t>of</w:t>
      </w:r>
      <w:r>
        <w:rPr>
          <w:spacing w:val="-9"/>
          <w:sz w:val="20"/>
        </w:rPr>
        <w:t> </w:t>
      </w:r>
      <w:r>
        <w:rPr>
          <w:sz w:val="20"/>
        </w:rPr>
        <w:t>the</w:t>
      </w:r>
      <w:r>
        <w:rPr>
          <w:spacing w:val="-9"/>
          <w:sz w:val="20"/>
        </w:rPr>
        <w:t> </w:t>
      </w:r>
      <w:r>
        <w:rPr>
          <w:sz w:val="20"/>
        </w:rPr>
        <w:t>Victorian</w:t>
      </w:r>
      <w:r>
        <w:rPr>
          <w:spacing w:val="-9"/>
          <w:sz w:val="20"/>
        </w:rPr>
        <w:t> </w:t>
      </w:r>
      <w:r>
        <w:rPr>
          <w:sz w:val="20"/>
        </w:rPr>
        <w:t>Criminal</w:t>
      </w:r>
      <w:r>
        <w:rPr>
          <w:spacing w:val="-10"/>
          <w:sz w:val="20"/>
        </w:rPr>
        <w:t> </w:t>
      </w:r>
      <w:r>
        <w:rPr>
          <w:sz w:val="20"/>
        </w:rPr>
        <w:t>Bar</w:t>
      </w:r>
      <w:r>
        <w:rPr>
          <w:spacing w:val="-9"/>
          <w:sz w:val="20"/>
        </w:rPr>
        <w:t> </w:t>
      </w:r>
      <w:r>
        <w:rPr>
          <w:sz w:val="20"/>
        </w:rPr>
        <w:t>Association</w:t>
      </w:r>
      <w:r>
        <w:rPr>
          <w:spacing w:val="-9"/>
          <w:sz w:val="20"/>
        </w:rPr>
        <w:t> </w:t>
      </w:r>
      <w:r>
        <w:rPr>
          <w:spacing w:val="-3"/>
          <w:sz w:val="20"/>
        </w:rPr>
        <w:t>referred</w:t>
      </w:r>
      <w:r>
        <w:rPr>
          <w:spacing w:val="-9"/>
          <w:sz w:val="20"/>
        </w:rPr>
        <w:t> </w:t>
      </w:r>
      <w:r>
        <w:rPr>
          <w:sz w:val="20"/>
        </w:rPr>
        <w:t>to</w:t>
      </w:r>
      <w:r>
        <w:rPr>
          <w:spacing w:val="-9"/>
          <w:sz w:val="20"/>
        </w:rPr>
        <w:t> </w:t>
      </w:r>
      <w:r>
        <w:rPr>
          <w:sz w:val="20"/>
        </w:rPr>
        <w:t>the</w:t>
      </w:r>
      <w:r>
        <w:rPr>
          <w:spacing w:val="-9"/>
          <w:sz w:val="20"/>
        </w:rPr>
        <w:t> </w:t>
      </w:r>
      <w:r>
        <w:rPr>
          <w:sz w:val="20"/>
        </w:rPr>
        <w:t>evidence</w:t>
      </w:r>
      <w:r>
        <w:rPr>
          <w:spacing w:val="-10"/>
          <w:sz w:val="20"/>
        </w:rPr>
        <w:t> </w:t>
      </w:r>
      <w:r>
        <w:rPr>
          <w:spacing w:val="-3"/>
          <w:sz w:val="20"/>
        </w:rPr>
        <w:t>presented </w:t>
      </w:r>
      <w:r>
        <w:rPr>
          <w:sz w:val="20"/>
        </w:rPr>
        <w:t>in </w:t>
      </w:r>
      <w:r>
        <w:rPr>
          <w:i/>
          <w:spacing w:val="-4"/>
          <w:sz w:val="20"/>
        </w:rPr>
        <w:t>Latorre </w:t>
      </w:r>
      <w:r>
        <w:rPr>
          <w:i/>
          <w:sz w:val="20"/>
        </w:rPr>
        <w:t>v The Queen.</w:t>
      </w:r>
      <w:r>
        <w:rPr>
          <w:position w:val="7"/>
          <w:sz w:val="11"/>
        </w:rPr>
        <w:t>115 </w:t>
      </w:r>
      <w:r>
        <w:rPr>
          <w:sz w:val="20"/>
        </w:rPr>
        <w:t>A </w:t>
      </w:r>
      <w:r>
        <w:rPr>
          <w:spacing w:val="-4"/>
          <w:sz w:val="20"/>
        </w:rPr>
        <w:t>key </w:t>
      </w:r>
      <w:r>
        <w:rPr>
          <w:sz w:val="20"/>
        </w:rPr>
        <w:t>piece of evidence was a voicemail message, and the jury</w:t>
      </w:r>
      <w:r>
        <w:rPr>
          <w:spacing w:val="-9"/>
          <w:sz w:val="20"/>
        </w:rPr>
        <w:t> </w:t>
      </w:r>
      <w:r>
        <w:rPr>
          <w:sz w:val="20"/>
        </w:rPr>
        <w:t>was</w:t>
      </w:r>
      <w:r>
        <w:rPr>
          <w:spacing w:val="-8"/>
          <w:sz w:val="20"/>
        </w:rPr>
        <w:t> </w:t>
      </w:r>
      <w:r>
        <w:rPr>
          <w:spacing w:val="-3"/>
          <w:sz w:val="20"/>
        </w:rPr>
        <w:t>required</w:t>
      </w:r>
      <w:r>
        <w:rPr>
          <w:spacing w:val="-8"/>
          <w:sz w:val="20"/>
        </w:rPr>
        <w:t> </w:t>
      </w:r>
      <w:r>
        <w:rPr>
          <w:sz w:val="20"/>
        </w:rPr>
        <w:t>to</w:t>
      </w:r>
      <w:r>
        <w:rPr>
          <w:spacing w:val="-9"/>
          <w:sz w:val="20"/>
        </w:rPr>
        <w:t> </w:t>
      </w:r>
      <w:r>
        <w:rPr>
          <w:sz w:val="20"/>
        </w:rPr>
        <w:t>determine</w:t>
      </w:r>
      <w:r>
        <w:rPr>
          <w:spacing w:val="-8"/>
          <w:sz w:val="20"/>
        </w:rPr>
        <w:t> </w:t>
      </w:r>
      <w:r>
        <w:rPr>
          <w:sz w:val="20"/>
        </w:rPr>
        <w:t>whether</w:t>
      </w:r>
      <w:r>
        <w:rPr>
          <w:spacing w:val="-8"/>
          <w:sz w:val="20"/>
        </w:rPr>
        <w:t> </w:t>
      </w:r>
      <w:r>
        <w:rPr>
          <w:sz w:val="20"/>
        </w:rPr>
        <w:t>it</w:t>
      </w:r>
      <w:r>
        <w:rPr>
          <w:spacing w:val="-9"/>
          <w:sz w:val="20"/>
        </w:rPr>
        <w:t> </w:t>
      </w:r>
      <w:r>
        <w:rPr>
          <w:sz w:val="20"/>
        </w:rPr>
        <w:t>was</w:t>
      </w:r>
      <w:r>
        <w:rPr>
          <w:spacing w:val="-8"/>
          <w:sz w:val="20"/>
        </w:rPr>
        <w:t> </w:t>
      </w:r>
      <w:r>
        <w:rPr>
          <w:sz w:val="20"/>
        </w:rPr>
        <w:t>the</w:t>
      </w:r>
      <w:r>
        <w:rPr>
          <w:spacing w:val="-8"/>
          <w:sz w:val="20"/>
        </w:rPr>
        <w:t> </w:t>
      </w:r>
      <w:r>
        <w:rPr>
          <w:sz w:val="20"/>
        </w:rPr>
        <w:t>applicant’s</w:t>
      </w:r>
      <w:r>
        <w:rPr>
          <w:spacing w:val="-8"/>
          <w:sz w:val="20"/>
        </w:rPr>
        <w:t> </w:t>
      </w:r>
      <w:r>
        <w:rPr>
          <w:spacing w:val="-3"/>
          <w:sz w:val="20"/>
        </w:rPr>
        <w:t>voice</w:t>
      </w:r>
      <w:r>
        <w:rPr>
          <w:spacing w:val="-9"/>
          <w:sz w:val="20"/>
        </w:rPr>
        <w:t> </w:t>
      </w:r>
      <w:r>
        <w:rPr>
          <w:sz w:val="20"/>
        </w:rPr>
        <w:t>on</w:t>
      </w:r>
      <w:r>
        <w:rPr>
          <w:spacing w:val="-8"/>
          <w:sz w:val="20"/>
        </w:rPr>
        <w:t> </w:t>
      </w:r>
      <w:r>
        <w:rPr>
          <w:sz w:val="20"/>
        </w:rPr>
        <w:t>the</w:t>
      </w:r>
      <w:r>
        <w:rPr>
          <w:spacing w:val="-8"/>
          <w:sz w:val="20"/>
        </w:rPr>
        <w:t> </w:t>
      </w:r>
      <w:r>
        <w:rPr>
          <w:sz w:val="20"/>
        </w:rPr>
        <w:t>line.</w:t>
      </w:r>
      <w:r>
        <w:rPr>
          <w:spacing w:val="-9"/>
          <w:sz w:val="20"/>
        </w:rPr>
        <w:t> </w:t>
      </w:r>
      <w:r>
        <w:rPr>
          <w:sz w:val="20"/>
        </w:rPr>
        <w:t>In</w:t>
      </w:r>
      <w:r>
        <w:rPr>
          <w:spacing w:val="-8"/>
          <w:sz w:val="20"/>
        </w:rPr>
        <w:t> </w:t>
      </w:r>
      <w:r>
        <w:rPr>
          <w:sz w:val="20"/>
        </w:rPr>
        <w:t>such cases,</w:t>
      </w:r>
      <w:r>
        <w:rPr>
          <w:spacing w:val="-8"/>
          <w:sz w:val="20"/>
        </w:rPr>
        <w:t> </w:t>
      </w:r>
      <w:r>
        <w:rPr>
          <w:sz w:val="20"/>
        </w:rPr>
        <w:t>the</w:t>
      </w:r>
      <w:r>
        <w:rPr>
          <w:spacing w:val="-8"/>
          <w:sz w:val="20"/>
        </w:rPr>
        <w:t> </w:t>
      </w:r>
      <w:r>
        <w:rPr>
          <w:sz w:val="20"/>
        </w:rPr>
        <w:t>evidence</w:t>
      </w:r>
      <w:r>
        <w:rPr>
          <w:spacing w:val="-8"/>
          <w:sz w:val="20"/>
        </w:rPr>
        <w:t> </w:t>
      </w:r>
      <w:r>
        <w:rPr>
          <w:sz w:val="20"/>
        </w:rPr>
        <w:t>does</w:t>
      </w:r>
      <w:r>
        <w:rPr>
          <w:spacing w:val="-8"/>
          <w:sz w:val="20"/>
        </w:rPr>
        <w:t> </w:t>
      </w:r>
      <w:r>
        <w:rPr>
          <w:sz w:val="20"/>
        </w:rPr>
        <w:t>not</w:t>
      </w:r>
      <w:r>
        <w:rPr>
          <w:spacing w:val="-8"/>
          <w:sz w:val="20"/>
        </w:rPr>
        <w:t> </w:t>
      </w:r>
      <w:r>
        <w:rPr>
          <w:spacing w:val="-3"/>
          <w:sz w:val="20"/>
        </w:rPr>
        <w:t>require</w:t>
      </w:r>
      <w:r>
        <w:rPr>
          <w:spacing w:val="-8"/>
          <w:sz w:val="20"/>
        </w:rPr>
        <w:t> </w:t>
      </w:r>
      <w:r>
        <w:rPr>
          <w:sz w:val="20"/>
        </w:rPr>
        <w:t>expert</w:t>
      </w:r>
      <w:r>
        <w:rPr>
          <w:spacing w:val="-7"/>
          <w:sz w:val="20"/>
        </w:rPr>
        <w:t> </w:t>
      </w:r>
      <w:r>
        <w:rPr>
          <w:spacing w:val="-2"/>
          <w:sz w:val="20"/>
        </w:rPr>
        <w:t>testimony</w:t>
      </w:r>
      <w:r>
        <w:rPr>
          <w:spacing w:val="-8"/>
          <w:sz w:val="20"/>
        </w:rPr>
        <w:t> </w:t>
      </w:r>
      <w:r>
        <w:rPr>
          <w:sz w:val="20"/>
        </w:rPr>
        <w:t>and</w:t>
      </w:r>
      <w:r>
        <w:rPr>
          <w:spacing w:val="-8"/>
          <w:sz w:val="20"/>
        </w:rPr>
        <w:t> </w:t>
      </w:r>
      <w:r>
        <w:rPr>
          <w:sz w:val="20"/>
        </w:rPr>
        <w:t>is</w:t>
      </w:r>
      <w:r>
        <w:rPr>
          <w:spacing w:val="-8"/>
          <w:sz w:val="20"/>
        </w:rPr>
        <w:t> </w:t>
      </w:r>
      <w:r>
        <w:rPr>
          <w:sz w:val="20"/>
        </w:rPr>
        <w:t>‘considered</w:t>
      </w:r>
      <w:r>
        <w:rPr>
          <w:spacing w:val="-8"/>
          <w:sz w:val="20"/>
        </w:rPr>
        <w:t> </w:t>
      </w:r>
      <w:r>
        <w:rPr>
          <w:spacing w:val="-3"/>
          <w:sz w:val="20"/>
        </w:rPr>
        <w:t>by</w:t>
      </w:r>
      <w:r>
        <w:rPr>
          <w:spacing w:val="-8"/>
          <w:sz w:val="20"/>
        </w:rPr>
        <w:t> </w:t>
      </w:r>
      <w:r>
        <w:rPr>
          <w:sz w:val="20"/>
        </w:rPr>
        <w:t>the</w:t>
      </w:r>
      <w:r>
        <w:rPr>
          <w:spacing w:val="-7"/>
          <w:sz w:val="20"/>
        </w:rPr>
        <w:t> </w:t>
      </w:r>
      <w:r>
        <w:rPr>
          <w:sz w:val="20"/>
        </w:rPr>
        <w:t>jury</w:t>
      </w:r>
    </w:p>
    <w:p>
      <w:pPr>
        <w:pStyle w:val="BodyText"/>
        <w:spacing w:line="206" w:lineRule="auto" w:before="5"/>
        <w:ind w:left="1761" w:right="1277"/>
        <w:rPr>
          <w:sz w:val="11"/>
        </w:rPr>
      </w:pPr>
      <w:r>
        <w:rPr/>
        <w:t>in</w:t>
      </w:r>
      <w:r>
        <w:rPr>
          <w:spacing w:val="-10"/>
        </w:rPr>
        <w:t> </w:t>
      </w:r>
      <w:r>
        <w:rPr/>
        <w:t>the</w:t>
      </w:r>
      <w:r>
        <w:rPr>
          <w:spacing w:val="-10"/>
        </w:rPr>
        <w:t> </w:t>
      </w:r>
      <w:r>
        <w:rPr/>
        <w:t>context</w:t>
      </w:r>
      <w:r>
        <w:rPr>
          <w:spacing w:val="-10"/>
        </w:rPr>
        <w:t> </w:t>
      </w:r>
      <w:r>
        <w:rPr/>
        <w:t>of</w:t>
      </w:r>
      <w:r>
        <w:rPr>
          <w:spacing w:val="-10"/>
        </w:rPr>
        <w:t> </w:t>
      </w:r>
      <w:r>
        <w:rPr>
          <w:spacing w:val="-3"/>
        </w:rPr>
        <w:t>appropriate</w:t>
      </w:r>
      <w:r>
        <w:rPr>
          <w:spacing w:val="-10"/>
        </w:rPr>
        <w:t> </w:t>
      </w:r>
      <w:r>
        <w:rPr/>
        <w:t>instructions</w:t>
      </w:r>
      <w:r>
        <w:rPr>
          <w:spacing w:val="-9"/>
        </w:rPr>
        <w:t> </w:t>
      </w:r>
      <w:r>
        <w:rPr>
          <w:spacing w:val="-3"/>
        </w:rPr>
        <w:t>by</w:t>
      </w:r>
      <w:r>
        <w:rPr>
          <w:spacing w:val="-10"/>
        </w:rPr>
        <w:t> </w:t>
      </w:r>
      <w:r>
        <w:rPr/>
        <w:t>the</w:t>
      </w:r>
      <w:r>
        <w:rPr>
          <w:spacing w:val="-10"/>
        </w:rPr>
        <w:t> </w:t>
      </w:r>
      <w:r>
        <w:rPr/>
        <w:t>judge.’</w:t>
      </w:r>
      <w:r>
        <w:rPr>
          <w:position w:val="7"/>
          <w:sz w:val="11"/>
        </w:rPr>
        <w:t>116</w:t>
      </w:r>
      <w:r>
        <w:rPr>
          <w:spacing w:val="15"/>
          <w:position w:val="7"/>
          <w:sz w:val="11"/>
        </w:rPr>
        <w:t> </w:t>
      </w:r>
      <w:r>
        <w:rPr/>
        <w:t>This</w:t>
      </w:r>
      <w:r>
        <w:rPr>
          <w:spacing w:val="-10"/>
        </w:rPr>
        <w:t> </w:t>
      </w:r>
      <w:r>
        <w:rPr/>
        <w:t>principle</w:t>
      </w:r>
      <w:r>
        <w:rPr>
          <w:spacing w:val="-10"/>
        </w:rPr>
        <w:t> </w:t>
      </w:r>
      <w:r>
        <w:rPr/>
        <w:t>applies</w:t>
      </w:r>
      <w:r>
        <w:rPr>
          <w:spacing w:val="-10"/>
        </w:rPr>
        <w:t> </w:t>
      </w:r>
      <w:r>
        <w:rPr/>
        <w:t>to</w:t>
      </w:r>
      <w:r>
        <w:rPr>
          <w:spacing w:val="-9"/>
        </w:rPr>
        <w:t> </w:t>
      </w:r>
      <w:r>
        <w:rPr/>
        <w:t>both visual</w:t>
      </w:r>
      <w:r>
        <w:rPr>
          <w:spacing w:val="-12"/>
        </w:rPr>
        <w:t> </w:t>
      </w:r>
      <w:r>
        <w:rPr/>
        <w:t>and</w:t>
      </w:r>
      <w:r>
        <w:rPr>
          <w:spacing w:val="-11"/>
        </w:rPr>
        <w:t> </w:t>
      </w:r>
      <w:r>
        <w:rPr>
          <w:spacing w:val="-3"/>
        </w:rPr>
        <w:t>voice</w:t>
      </w:r>
      <w:r>
        <w:rPr>
          <w:spacing w:val="-11"/>
        </w:rPr>
        <w:t> </w:t>
      </w:r>
      <w:r>
        <w:rPr/>
        <w:t>identification</w:t>
      </w:r>
      <w:r>
        <w:rPr>
          <w:spacing w:val="-12"/>
        </w:rPr>
        <w:t> </w:t>
      </w:r>
      <w:r>
        <w:rPr/>
        <w:t>evidence.</w:t>
      </w:r>
      <w:r>
        <w:rPr>
          <w:position w:val="7"/>
          <w:sz w:val="11"/>
        </w:rPr>
        <w:t>117</w:t>
      </w:r>
      <w:r>
        <w:rPr>
          <w:spacing w:val="14"/>
          <w:position w:val="7"/>
          <w:sz w:val="11"/>
        </w:rPr>
        <w:t> </w:t>
      </w:r>
      <w:r>
        <w:rPr/>
        <w:t>Whether</w:t>
      </w:r>
      <w:r>
        <w:rPr>
          <w:spacing w:val="-12"/>
        </w:rPr>
        <w:t> </w:t>
      </w:r>
      <w:r>
        <w:rPr/>
        <w:t>a</w:t>
      </w:r>
      <w:r>
        <w:rPr>
          <w:spacing w:val="-11"/>
        </w:rPr>
        <w:t> </w:t>
      </w:r>
      <w:r>
        <w:rPr/>
        <w:t>deaf</w:t>
      </w:r>
      <w:r>
        <w:rPr>
          <w:spacing w:val="-11"/>
        </w:rPr>
        <w:t> </w:t>
      </w:r>
      <w:r>
        <w:rPr/>
        <w:t>juror</w:t>
      </w:r>
      <w:r>
        <w:rPr>
          <w:spacing w:val="-11"/>
        </w:rPr>
        <w:t> </w:t>
      </w:r>
      <w:r>
        <w:rPr/>
        <w:t>could</w:t>
      </w:r>
      <w:r>
        <w:rPr>
          <w:spacing w:val="-12"/>
        </w:rPr>
        <w:t> </w:t>
      </w:r>
      <w:r>
        <w:rPr/>
        <w:t>serve</w:t>
      </w:r>
      <w:r>
        <w:rPr>
          <w:spacing w:val="-11"/>
        </w:rPr>
        <w:t> </w:t>
      </w:r>
      <w:r>
        <w:rPr/>
        <w:t>in</w:t>
      </w:r>
      <w:r>
        <w:rPr>
          <w:spacing w:val="-11"/>
        </w:rPr>
        <w:t> </w:t>
      </w:r>
      <w:r>
        <w:rPr/>
        <w:t>this</w:t>
      </w:r>
      <w:r>
        <w:rPr>
          <w:spacing w:val="-12"/>
        </w:rPr>
        <w:t> </w:t>
      </w:r>
      <w:r>
        <w:rPr/>
        <w:t>type of situation should be determined </w:t>
      </w:r>
      <w:r>
        <w:rPr>
          <w:spacing w:val="-3"/>
        </w:rPr>
        <w:t>by </w:t>
      </w:r>
      <w:r>
        <w:rPr/>
        <w:t>a judge. It was noted that these types of cases </w:t>
      </w:r>
      <w:r>
        <w:rPr>
          <w:spacing w:val="-4"/>
        </w:rPr>
        <w:t>‘are </w:t>
      </w:r>
      <w:r>
        <w:rPr/>
        <w:t>not that common and should be </w:t>
      </w:r>
      <w:r>
        <w:rPr>
          <w:spacing w:val="-3"/>
        </w:rPr>
        <w:t>viewed </w:t>
      </w:r>
      <w:r>
        <w:rPr/>
        <w:t>as</w:t>
      </w:r>
      <w:r>
        <w:rPr>
          <w:spacing w:val="-32"/>
        </w:rPr>
        <w:t> </w:t>
      </w:r>
      <w:r>
        <w:rPr>
          <w:spacing w:val="-3"/>
        </w:rPr>
        <w:t>exceptions’.</w:t>
      </w:r>
      <w:r>
        <w:rPr>
          <w:spacing w:val="-3"/>
          <w:position w:val="7"/>
          <w:sz w:val="11"/>
        </w:rPr>
        <w:t>118</w:t>
      </w:r>
    </w:p>
    <w:p>
      <w:pPr>
        <w:pStyle w:val="BodyText"/>
      </w:pPr>
    </w:p>
    <w:p>
      <w:pPr>
        <w:pStyle w:val="BodyText"/>
      </w:pPr>
    </w:p>
    <w:p>
      <w:pPr>
        <w:pStyle w:val="BodyText"/>
      </w:pPr>
    </w:p>
    <w:p>
      <w:pPr>
        <w:pStyle w:val="BodyText"/>
      </w:pPr>
    </w:p>
    <w:p>
      <w:pPr>
        <w:pStyle w:val="BodyText"/>
        <w:rPr>
          <w:sz w:val="26"/>
        </w:rPr>
      </w:pPr>
      <w:r>
        <w:rPr/>
        <w:pict>
          <v:line style="position:absolute;mso-position-horizontal-relative:page;mso-position-vertical-relative:paragraph;z-index:5144;mso-wrap-distance-left:0;mso-wrap-distance-right:0" from="79.370102pt,20.535643pt" to="515.905102pt,20.535643pt" stroked="true" strokeweight="1pt" strokecolor="#b6bdc8">
            <v:stroke dashstyle="solid"/>
            <w10:wrap type="topAndBottom"/>
          </v:line>
        </w:pict>
      </w:r>
    </w:p>
    <w:p>
      <w:pPr>
        <w:pStyle w:val="ListParagraph"/>
        <w:numPr>
          <w:ilvl w:val="0"/>
          <w:numId w:val="64"/>
        </w:numPr>
        <w:tabs>
          <w:tab w:pos="1760" w:val="left" w:leader="none"/>
          <w:tab w:pos="1762" w:val="left" w:leader="none"/>
        </w:tabs>
        <w:spacing w:line="170" w:lineRule="exact" w:before="91" w:after="0"/>
        <w:ind w:left="1761" w:right="0" w:hanging="794"/>
        <w:jc w:val="left"/>
        <w:rPr>
          <w:sz w:val="13"/>
        </w:rPr>
      </w:pPr>
      <w:r>
        <w:rPr>
          <w:sz w:val="13"/>
        </w:rPr>
        <w:t>Consultation 8 (Brent Phillips).</w:t>
      </w:r>
    </w:p>
    <w:p>
      <w:pPr>
        <w:pStyle w:val="ListParagraph"/>
        <w:numPr>
          <w:ilvl w:val="0"/>
          <w:numId w:val="64"/>
        </w:numPr>
        <w:tabs>
          <w:tab w:pos="1760" w:val="left" w:leader="none"/>
          <w:tab w:pos="1762" w:val="left" w:leader="none"/>
        </w:tabs>
        <w:spacing w:line="213" w:lineRule="auto" w:before="6" w:after="0"/>
        <w:ind w:left="1761" w:right="1214" w:hanging="794"/>
        <w:jc w:val="left"/>
        <w:rPr>
          <w:sz w:val="13"/>
        </w:rPr>
      </w:pPr>
      <w:r>
        <w:rPr>
          <w:sz w:val="13"/>
        </w:rPr>
        <w:t>Consultation 7 </w:t>
      </w:r>
      <w:r>
        <w:rPr>
          <w:spacing w:val="2"/>
          <w:sz w:val="13"/>
        </w:rPr>
        <w:t>(Vision </w:t>
      </w:r>
      <w:r>
        <w:rPr>
          <w:sz w:val="13"/>
        </w:rPr>
        <w:t>Australia). </w:t>
      </w:r>
      <w:r>
        <w:rPr>
          <w:spacing w:val="2"/>
          <w:sz w:val="13"/>
        </w:rPr>
        <w:t>Similar </w:t>
      </w:r>
      <w:r>
        <w:rPr>
          <w:sz w:val="13"/>
        </w:rPr>
        <w:t>comments were made about a scenario where all the evidence was audio based and the prospective juror was deaf: see </w:t>
      </w:r>
      <w:r>
        <w:rPr>
          <w:spacing w:val="2"/>
          <w:sz w:val="13"/>
        </w:rPr>
        <w:t>Submission </w:t>
      </w:r>
      <w:r>
        <w:rPr>
          <w:sz w:val="13"/>
        </w:rPr>
        <w:t>9 (Madison).</w:t>
      </w:r>
    </w:p>
    <w:p>
      <w:pPr>
        <w:pStyle w:val="ListParagraph"/>
        <w:numPr>
          <w:ilvl w:val="0"/>
          <w:numId w:val="64"/>
        </w:numPr>
        <w:tabs>
          <w:tab w:pos="1761" w:val="left" w:leader="none"/>
          <w:tab w:pos="1762" w:val="left" w:leader="none"/>
        </w:tabs>
        <w:spacing w:line="153" w:lineRule="exact" w:before="0" w:after="0"/>
        <w:ind w:left="1761" w:right="0" w:hanging="794"/>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64"/>
        </w:numPr>
        <w:tabs>
          <w:tab w:pos="1761" w:val="left" w:leader="none"/>
          <w:tab w:pos="1762" w:val="left" w:leader="none"/>
        </w:tabs>
        <w:spacing w:line="160" w:lineRule="exact" w:before="0" w:after="0"/>
        <w:ind w:left="1761" w:right="0" w:hanging="794"/>
        <w:jc w:val="left"/>
        <w:rPr>
          <w:sz w:val="13"/>
        </w:rPr>
      </w:pPr>
      <w:r>
        <w:rPr>
          <w:sz w:val="13"/>
        </w:rPr>
        <w:t>Consultation 25 (Peter Ward, Partner, Galbally and </w:t>
      </w:r>
      <w:r>
        <w:rPr>
          <w:spacing w:val="2"/>
          <w:sz w:val="13"/>
        </w:rPr>
        <w:t>O’Bryan</w:t>
      </w:r>
      <w:r>
        <w:rPr>
          <w:spacing w:val="3"/>
          <w:sz w:val="13"/>
        </w:rPr>
        <w:t> </w:t>
      </w:r>
      <w:r>
        <w:rPr>
          <w:sz w:val="13"/>
        </w:rPr>
        <w:t>Lawyers).</w:t>
      </w:r>
    </w:p>
    <w:p>
      <w:pPr>
        <w:pStyle w:val="ListParagraph"/>
        <w:numPr>
          <w:ilvl w:val="0"/>
          <w:numId w:val="64"/>
        </w:numPr>
        <w:tabs>
          <w:tab w:pos="1761" w:val="left" w:leader="none"/>
          <w:tab w:pos="1762" w:val="left" w:leader="none"/>
        </w:tabs>
        <w:spacing w:line="160" w:lineRule="exact" w:before="0" w:after="0"/>
        <w:ind w:left="1761" w:right="0" w:hanging="794"/>
        <w:jc w:val="left"/>
        <w:rPr>
          <w:sz w:val="13"/>
        </w:rPr>
      </w:pPr>
      <w:r>
        <w:rPr>
          <w:sz w:val="13"/>
        </w:rPr>
        <w:t>Consultation 1 </w:t>
      </w:r>
      <w:r>
        <w:rPr>
          <w:spacing w:val="2"/>
          <w:sz w:val="13"/>
        </w:rPr>
        <w:t>(Blind </w:t>
      </w:r>
      <w:r>
        <w:rPr>
          <w:sz w:val="13"/>
        </w:rPr>
        <w:t>Citizens</w:t>
      </w:r>
      <w:r>
        <w:rPr>
          <w:spacing w:val="-2"/>
          <w:sz w:val="13"/>
        </w:rPr>
        <w:t> </w:t>
      </w:r>
      <w:r>
        <w:rPr>
          <w:sz w:val="13"/>
        </w:rPr>
        <w:t>Australia).</w:t>
      </w:r>
    </w:p>
    <w:p>
      <w:pPr>
        <w:pStyle w:val="ListParagraph"/>
        <w:numPr>
          <w:ilvl w:val="0"/>
          <w:numId w:val="64"/>
        </w:numPr>
        <w:tabs>
          <w:tab w:pos="1760" w:val="left" w:leader="none"/>
          <w:tab w:pos="1762" w:val="left" w:leader="none"/>
        </w:tabs>
        <w:spacing w:line="160" w:lineRule="exact" w:before="0" w:after="0"/>
        <w:ind w:left="1761" w:right="0" w:hanging="794"/>
        <w:jc w:val="left"/>
        <w:rPr>
          <w:sz w:val="13"/>
        </w:rPr>
      </w:pPr>
      <w:r>
        <w:rPr>
          <w:sz w:val="13"/>
        </w:rPr>
        <w:t>For example, Consultation 16 (Office of </w:t>
      </w:r>
      <w:r>
        <w:rPr>
          <w:spacing w:val="2"/>
          <w:sz w:val="13"/>
        </w:rPr>
        <w:t>Public </w:t>
      </w:r>
      <w:r>
        <w:rPr>
          <w:sz w:val="13"/>
        </w:rPr>
        <w:t>Prosecutions Victoria).</w:t>
      </w:r>
    </w:p>
    <w:p>
      <w:pPr>
        <w:pStyle w:val="ListParagraph"/>
        <w:numPr>
          <w:ilvl w:val="0"/>
          <w:numId w:val="64"/>
        </w:numPr>
        <w:tabs>
          <w:tab w:pos="1760" w:val="left" w:leader="none"/>
          <w:tab w:pos="1762" w:val="left" w:leader="none"/>
        </w:tabs>
        <w:spacing w:line="160" w:lineRule="exact" w:before="0" w:after="0"/>
        <w:ind w:left="1761" w:right="0" w:hanging="794"/>
        <w:jc w:val="left"/>
        <w:rPr>
          <w:sz w:val="13"/>
        </w:rPr>
      </w:pPr>
      <w:r>
        <w:rPr>
          <w:sz w:val="13"/>
        </w:rPr>
        <w:t>Consultation 4 </w:t>
      </w:r>
      <w:r>
        <w:rPr>
          <w:spacing w:val="2"/>
          <w:sz w:val="13"/>
        </w:rPr>
        <w:t>(Victorian </w:t>
      </w:r>
      <w:r>
        <w:rPr>
          <w:sz w:val="13"/>
        </w:rPr>
        <w:t>Criminal Bar</w:t>
      </w:r>
      <w:r>
        <w:rPr>
          <w:spacing w:val="-1"/>
          <w:sz w:val="13"/>
        </w:rPr>
        <w:t> </w:t>
      </w:r>
      <w:r>
        <w:rPr>
          <w:sz w:val="13"/>
        </w:rPr>
        <w:t>Association).</w:t>
      </w:r>
    </w:p>
    <w:p>
      <w:pPr>
        <w:pStyle w:val="ListParagraph"/>
        <w:numPr>
          <w:ilvl w:val="0"/>
          <w:numId w:val="64"/>
        </w:numPr>
        <w:tabs>
          <w:tab w:pos="1761" w:val="left" w:leader="none"/>
          <w:tab w:pos="1762" w:val="left" w:leader="none"/>
        </w:tabs>
        <w:spacing w:line="213" w:lineRule="auto" w:before="6" w:after="0"/>
        <w:ind w:left="1761" w:right="1216" w:hanging="794"/>
        <w:jc w:val="left"/>
        <w:rPr>
          <w:sz w:val="13"/>
        </w:rPr>
      </w:pPr>
      <w:r>
        <w:rPr>
          <w:i/>
          <w:sz w:val="13"/>
        </w:rPr>
        <w:t>Latorre v The </w:t>
      </w:r>
      <w:r>
        <w:rPr>
          <w:i/>
          <w:spacing w:val="2"/>
          <w:sz w:val="13"/>
        </w:rPr>
        <w:t>Queen </w:t>
      </w:r>
      <w:r>
        <w:rPr>
          <w:sz w:val="13"/>
        </w:rPr>
        <w:t>[2012] VSCA 280, (2012) 226 A Crim R 319. The original case concerned allegations of blackmail and </w:t>
      </w:r>
      <w:r>
        <w:rPr>
          <w:spacing w:val="2"/>
          <w:sz w:val="13"/>
        </w:rPr>
        <w:t>extortion. </w:t>
      </w:r>
      <w:r>
        <w:rPr>
          <w:sz w:val="13"/>
        </w:rPr>
        <w:t>The appeal considered the use of voice identification evidence and warnings given to juries about the use of that appeal     evidence. Relevant for this report was the key issue of whether a </w:t>
      </w:r>
      <w:r>
        <w:rPr>
          <w:spacing w:val="2"/>
          <w:sz w:val="13"/>
        </w:rPr>
        <w:t>message </w:t>
      </w:r>
      <w:r>
        <w:rPr>
          <w:sz w:val="13"/>
        </w:rPr>
        <w:t>left on the </w:t>
      </w:r>
      <w:r>
        <w:rPr>
          <w:spacing w:val="2"/>
          <w:sz w:val="13"/>
        </w:rPr>
        <w:t>phone </w:t>
      </w:r>
      <w:r>
        <w:rPr>
          <w:sz w:val="13"/>
        </w:rPr>
        <w:t>from a telephone box was made by the accused.</w:t>
      </w:r>
    </w:p>
    <w:p>
      <w:pPr>
        <w:tabs>
          <w:tab w:pos="1760" w:val="left" w:leader="none"/>
        </w:tabs>
        <w:spacing w:line="151" w:lineRule="exact" w:before="0"/>
        <w:ind w:left="967" w:right="0" w:firstLine="0"/>
        <w:jc w:val="left"/>
        <w:rPr>
          <w:sz w:val="13"/>
        </w:rPr>
      </w:pPr>
      <w:r>
        <w:rPr>
          <w:sz w:val="13"/>
        </w:rPr>
        <w:t>116</w:t>
        <w:tab/>
        <w:t>Ibid [70].</w:t>
      </w:r>
    </w:p>
    <w:p>
      <w:pPr>
        <w:tabs>
          <w:tab w:pos="1760" w:val="left" w:leader="none"/>
        </w:tabs>
        <w:spacing w:line="160" w:lineRule="exact" w:before="0"/>
        <w:ind w:left="967" w:right="0" w:firstLine="0"/>
        <w:jc w:val="left"/>
        <w:rPr>
          <w:sz w:val="13"/>
        </w:rPr>
      </w:pPr>
      <w:r>
        <w:rPr/>
        <w:pict>
          <v:shape style="position:absolute;margin-left:548.74762pt;margin-top:3.7073pt;width:13.7pt;height:14.1pt;mso-position-horizontal-relative:page;mso-position-vertical-relative:paragraph;z-index:7216" type="#_x0000_t202" filled="false" stroked="false">
            <v:textbox inset="0,0,0,0">
              <w:txbxContent>
                <w:p>
                  <w:pPr>
                    <w:spacing w:line="282" w:lineRule="exact" w:before="0"/>
                    <w:ind w:left="0" w:right="0" w:firstLine="0"/>
                    <w:jc w:val="left"/>
                    <w:rPr>
                      <w:b/>
                      <w:sz w:val="24"/>
                    </w:rPr>
                  </w:pPr>
                  <w:r>
                    <w:rPr>
                      <w:b/>
                      <w:color w:val="37617A"/>
                      <w:spacing w:val="-3"/>
                      <w:sz w:val="24"/>
                    </w:rPr>
                    <w:t>83</w:t>
                  </w:r>
                </w:p>
              </w:txbxContent>
            </v:textbox>
            <w10:wrap type="none"/>
          </v:shape>
        </w:pict>
      </w:r>
      <w:r>
        <w:rPr>
          <w:sz w:val="13"/>
        </w:rPr>
        <w:t>117</w:t>
        <w:tab/>
        <w:t>Ibid </w:t>
      </w:r>
      <w:r>
        <w:rPr>
          <w:spacing w:val="2"/>
          <w:sz w:val="13"/>
        </w:rPr>
        <w:t>[144].</w:t>
      </w:r>
    </w:p>
    <w:p>
      <w:pPr>
        <w:pStyle w:val="ListParagraph"/>
        <w:numPr>
          <w:ilvl w:val="0"/>
          <w:numId w:val="65"/>
        </w:numPr>
        <w:tabs>
          <w:tab w:pos="1760" w:val="left" w:leader="none"/>
          <w:tab w:pos="1762" w:val="left" w:leader="none"/>
        </w:tabs>
        <w:spacing w:line="170" w:lineRule="exact" w:before="0" w:after="0"/>
        <w:ind w:left="1761" w:right="0" w:hanging="794"/>
        <w:jc w:val="left"/>
        <w:rPr>
          <w:sz w:val="13"/>
        </w:rPr>
      </w:pPr>
      <w:r>
        <w:rPr>
          <w:sz w:val="13"/>
        </w:rPr>
        <w:t>Consultation 4 </w:t>
      </w:r>
      <w:r>
        <w:rPr>
          <w:spacing w:val="2"/>
          <w:sz w:val="13"/>
        </w:rPr>
        <w:t>(Victorian </w:t>
      </w:r>
      <w:r>
        <w:rPr>
          <w:sz w:val="13"/>
        </w:rPr>
        <w:t>Criminal Bar</w:t>
      </w:r>
      <w:r>
        <w:rPr>
          <w:spacing w:val="-1"/>
          <w:sz w:val="13"/>
        </w:rPr>
        <w:t> </w:t>
      </w:r>
      <w:r>
        <w:rPr>
          <w:sz w:val="13"/>
        </w:rPr>
        <w:t>Association).</w:t>
      </w:r>
    </w:p>
    <w:p>
      <w:pPr>
        <w:spacing w:after="0" w:line="170" w:lineRule="exact"/>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415" w:hanging="794"/>
        <w:jc w:val="left"/>
        <w:rPr>
          <w:sz w:val="20"/>
        </w:rPr>
      </w:pPr>
      <w:r>
        <w:rPr>
          <w:sz w:val="20"/>
        </w:rPr>
        <w:t>Similar comments </w:t>
      </w:r>
      <w:r>
        <w:rPr>
          <w:spacing w:val="-4"/>
          <w:sz w:val="20"/>
        </w:rPr>
        <w:t>were </w:t>
      </w:r>
      <w:r>
        <w:rPr>
          <w:sz w:val="20"/>
        </w:rPr>
        <w:t>made in community responses.</w:t>
      </w:r>
      <w:r>
        <w:rPr>
          <w:position w:val="7"/>
          <w:sz w:val="11"/>
        </w:rPr>
        <w:t>119 </w:t>
      </w:r>
      <w:r>
        <w:rPr>
          <w:sz w:val="20"/>
        </w:rPr>
        <w:t>Vision Australia observed that,</w:t>
      </w:r>
      <w:r>
        <w:rPr>
          <w:spacing w:val="-10"/>
          <w:sz w:val="20"/>
        </w:rPr>
        <w:t> </w:t>
      </w:r>
      <w:r>
        <w:rPr>
          <w:spacing w:val="-6"/>
          <w:sz w:val="20"/>
        </w:rPr>
        <w:t>‘Just</w:t>
      </w:r>
      <w:r>
        <w:rPr>
          <w:spacing w:val="-9"/>
          <w:sz w:val="20"/>
        </w:rPr>
        <w:t> </w:t>
      </w:r>
      <w:r>
        <w:rPr>
          <w:sz w:val="20"/>
        </w:rPr>
        <w:t>because</w:t>
      </w:r>
      <w:r>
        <w:rPr>
          <w:spacing w:val="-9"/>
          <w:sz w:val="20"/>
        </w:rPr>
        <w:t> </w:t>
      </w:r>
      <w:r>
        <w:rPr>
          <w:sz w:val="20"/>
        </w:rPr>
        <w:t>a</w:t>
      </w:r>
      <w:r>
        <w:rPr>
          <w:spacing w:val="-10"/>
          <w:sz w:val="20"/>
        </w:rPr>
        <w:t> </w:t>
      </w:r>
      <w:r>
        <w:rPr>
          <w:sz w:val="20"/>
        </w:rPr>
        <w:t>trial</w:t>
      </w:r>
      <w:r>
        <w:rPr>
          <w:spacing w:val="-9"/>
          <w:sz w:val="20"/>
        </w:rPr>
        <w:t> </w:t>
      </w:r>
      <w:r>
        <w:rPr>
          <w:sz w:val="20"/>
        </w:rPr>
        <w:t>has</w:t>
      </w:r>
      <w:r>
        <w:rPr>
          <w:spacing w:val="-9"/>
          <w:sz w:val="20"/>
        </w:rPr>
        <w:t> </w:t>
      </w:r>
      <w:r>
        <w:rPr>
          <w:sz w:val="20"/>
        </w:rPr>
        <w:t>some</w:t>
      </w:r>
      <w:r>
        <w:rPr>
          <w:spacing w:val="-9"/>
          <w:sz w:val="20"/>
        </w:rPr>
        <w:t> </w:t>
      </w:r>
      <w:r>
        <w:rPr>
          <w:sz w:val="20"/>
        </w:rPr>
        <w:t>visual</w:t>
      </w:r>
      <w:r>
        <w:rPr>
          <w:spacing w:val="-10"/>
          <w:sz w:val="20"/>
        </w:rPr>
        <w:t> </w:t>
      </w:r>
      <w:r>
        <w:rPr>
          <w:sz w:val="20"/>
        </w:rPr>
        <w:t>evidence</w:t>
      </w:r>
      <w:r>
        <w:rPr>
          <w:spacing w:val="-9"/>
          <w:sz w:val="20"/>
        </w:rPr>
        <w:t> </w:t>
      </w:r>
      <w:r>
        <w:rPr>
          <w:sz w:val="20"/>
        </w:rPr>
        <w:t>doesn’t</w:t>
      </w:r>
      <w:r>
        <w:rPr>
          <w:spacing w:val="-9"/>
          <w:sz w:val="20"/>
        </w:rPr>
        <w:t> </w:t>
      </w:r>
      <w:r>
        <w:rPr>
          <w:sz w:val="20"/>
        </w:rPr>
        <w:t>mean</w:t>
      </w:r>
      <w:r>
        <w:rPr>
          <w:spacing w:val="-10"/>
          <w:sz w:val="20"/>
        </w:rPr>
        <w:t> </w:t>
      </w:r>
      <w:r>
        <w:rPr>
          <w:sz w:val="20"/>
        </w:rPr>
        <w:t>a</w:t>
      </w:r>
      <w:r>
        <w:rPr>
          <w:spacing w:val="-9"/>
          <w:sz w:val="20"/>
        </w:rPr>
        <w:t> </w:t>
      </w:r>
      <w:r>
        <w:rPr>
          <w:sz w:val="20"/>
        </w:rPr>
        <w:t>blind</w:t>
      </w:r>
      <w:r>
        <w:rPr>
          <w:spacing w:val="-9"/>
          <w:sz w:val="20"/>
        </w:rPr>
        <w:t> </w:t>
      </w:r>
      <w:r>
        <w:rPr>
          <w:sz w:val="20"/>
        </w:rPr>
        <w:t>or</w:t>
      </w:r>
      <w:r>
        <w:rPr>
          <w:spacing w:val="-9"/>
          <w:sz w:val="20"/>
        </w:rPr>
        <w:t> </w:t>
      </w:r>
      <w:r>
        <w:rPr>
          <w:spacing w:val="-4"/>
          <w:sz w:val="20"/>
        </w:rPr>
        <w:t>low</w:t>
      </w:r>
      <w:r>
        <w:rPr>
          <w:spacing w:val="-10"/>
          <w:sz w:val="20"/>
        </w:rPr>
        <w:t> </w:t>
      </w:r>
      <w:r>
        <w:rPr>
          <w:sz w:val="20"/>
        </w:rPr>
        <w:t>vision juror could not serve. It </w:t>
      </w:r>
      <w:r>
        <w:rPr>
          <w:spacing w:val="-3"/>
          <w:sz w:val="20"/>
        </w:rPr>
        <w:t>would </w:t>
      </w:r>
      <w:r>
        <w:rPr>
          <w:sz w:val="20"/>
        </w:rPr>
        <w:t>need to be critical to the outcome of the trial’.</w:t>
      </w:r>
      <w:r>
        <w:rPr>
          <w:position w:val="7"/>
          <w:sz w:val="11"/>
        </w:rPr>
        <w:t>120 </w:t>
      </w:r>
      <w:r>
        <w:rPr>
          <w:sz w:val="20"/>
        </w:rPr>
        <w:t>It identified</w:t>
      </w:r>
      <w:r>
        <w:rPr>
          <w:spacing w:val="-5"/>
          <w:sz w:val="20"/>
        </w:rPr>
        <w:t> </w:t>
      </w:r>
      <w:r>
        <w:rPr>
          <w:sz w:val="20"/>
        </w:rPr>
        <w:t>that:</w:t>
      </w:r>
    </w:p>
    <w:p>
      <w:pPr>
        <w:spacing w:line="208" w:lineRule="auto" w:before="123"/>
        <w:ind w:left="2157" w:right="1391" w:firstLine="0"/>
        <w:jc w:val="left"/>
        <w:rPr>
          <w:sz w:val="19"/>
        </w:rPr>
      </w:pPr>
      <w:r>
        <w:rPr>
          <w:sz w:val="19"/>
        </w:rPr>
        <w:t>The key to prima facie exclusion of a prospective juror who is blind or has low vision is whether each juror must arrive at their own interpretation of visual material and</w:t>
      </w:r>
    </w:p>
    <w:p>
      <w:pPr>
        <w:spacing w:line="220" w:lineRule="exact" w:before="0"/>
        <w:ind w:left="2157" w:right="0" w:firstLine="0"/>
        <w:jc w:val="left"/>
        <w:rPr>
          <w:sz w:val="19"/>
        </w:rPr>
      </w:pPr>
      <w:r>
        <w:rPr>
          <w:sz w:val="19"/>
        </w:rPr>
        <w:t>whether the jury’s interpretation will affect the outcome of the trial … We feel that such</w:t>
      </w:r>
    </w:p>
    <w:p>
      <w:pPr>
        <w:spacing w:line="247" w:lineRule="exact" w:before="0"/>
        <w:ind w:left="2157" w:right="0" w:firstLine="0"/>
        <w:jc w:val="left"/>
        <w:rPr>
          <w:sz w:val="11"/>
        </w:rPr>
      </w:pPr>
      <w:r>
        <w:rPr>
          <w:sz w:val="19"/>
        </w:rPr>
        <w:t>situations would be relatively uncommon.</w:t>
      </w:r>
      <w:r>
        <w:rPr>
          <w:position w:val="6"/>
          <w:sz w:val="11"/>
        </w:rPr>
        <w:t>121</w:t>
      </w:r>
    </w:p>
    <w:p>
      <w:pPr>
        <w:pStyle w:val="Heading6"/>
        <w:spacing w:before="121"/>
        <w:rPr>
          <w:b/>
        </w:rPr>
      </w:pPr>
      <w:r>
        <w:rPr>
          <w:b/>
        </w:rPr>
        <w:t>The importance of an individual assessment</w:t>
      </w:r>
    </w:p>
    <w:p>
      <w:pPr>
        <w:pStyle w:val="ListParagraph"/>
        <w:numPr>
          <w:ilvl w:val="1"/>
          <w:numId w:val="12"/>
        </w:numPr>
        <w:tabs>
          <w:tab w:pos="1761" w:val="left" w:leader="none"/>
          <w:tab w:pos="1762" w:val="left" w:leader="none"/>
        </w:tabs>
        <w:spacing w:line="206" w:lineRule="auto" w:before="132" w:after="0"/>
        <w:ind w:left="1761" w:right="1237" w:hanging="794"/>
        <w:jc w:val="left"/>
        <w:rPr>
          <w:sz w:val="11"/>
        </w:rPr>
      </w:pPr>
      <w:r>
        <w:rPr>
          <w:sz w:val="20"/>
        </w:rPr>
        <w:t>Blind </w:t>
      </w:r>
      <w:r>
        <w:rPr>
          <w:spacing w:val="-3"/>
          <w:sz w:val="20"/>
        </w:rPr>
        <w:t>Citizens </w:t>
      </w:r>
      <w:r>
        <w:rPr>
          <w:sz w:val="20"/>
        </w:rPr>
        <w:t>Australia argued that </w:t>
      </w:r>
      <w:r>
        <w:rPr>
          <w:spacing w:val="-3"/>
          <w:sz w:val="20"/>
        </w:rPr>
        <w:t>any </w:t>
      </w:r>
      <w:r>
        <w:rPr>
          <w:sz w:val="20"/>
        </w:rPr>
        <w:t>assessment of a person’s ability to serve as a juror</w:t>
      </w:r>
      <w:r>
        <w:rPr>
          <w:spacing w:val="-8"/>
          <w:sz w:val="20"/>
        </w:rPr>
        <w:t> </w:t>
      </w:r>
      <w:r>
        <w:rPr>
          <w:sz w:val="20"/>
        </w:rPr>
        <w:t>should</w:t>
      </w:r>
      <w:r>
        <w:rPr>
          <w:spacing w:val="-8"/>
          <w:sz w:val="20"/>
        </w:rPr>
        <w:t> </w:t>
      </w:r>
      <w:r>
        <w:rPr>
          <w:spacing w:val="-3"/>
          <w:sz w:val="20"/>
        </w:rPr>
        <w:t>only</w:t>
      </w:r>
      <w:r>
        <w:rPr>
          <w:spacing w:val="-7"/>
          <w:sz w:val="20"/>
        </w:rPr>
        <w:t> </w:t>
      </w:r>
      <w:r>
        <w:rPr>
          <w:sz w:val="20"/>
        </w:rPr>
        <w:t>take</w:t>
      </w:r>
      <w:r>
        <w:rPr>
          <w:spacing w:val="-8"/>
          <w:sz w:val="20"/>
        </w:rPr>
        <w:t> </w:t>
      </w:r>
      <w:r>
        <w:rPr>
          <w:sz w:val="20"/>
        </w:rPr>
        <w:t>place</w:t>
      </w:r>
      <w:r>
        <w:rPr>
          <w:spacing w:val="-7"/>
          <w:sz w:val="20"/>
        </w:rPr>
        <w:t> </w:t>
      </w:r>
      <w:r>
        <w:rPr>
          <w:spacing w:val="-3"/>
          <w:sz w:val="20"/>
        </w:rPr>
        <w:t>‘after</w:t>
      </w:r>
      <w:r>
        <w:rPr>
          <w:spacing w:val="-8"/>
          <w:sz w:val="20"/>
        </w:rPr>
        <w:t> </w:t>
      </w:r>
      <w:r>
        <w:rPr>
          <w:sz w:val="20"/>
        </w:rPr>
        <w:t>support</w:t>
      </w:r>
      <w:r>
        <w:rPr>
          <w:spacing w:val="-7"/>
          <w:sz w:val="20"/>
        </w:rPr>
        <w:t> </w:t>
      </w:r>
      <w:r>
        <w:rPr>
          <w:sz w:val="20"/>
        </w:rPr>
        <w:t>services</w:t>
      </w:r>
      <w:r>
        <w:rPr>
          <w:spacing w:val="-8"/>
          <w:sz w:val="20"/>
        </w:rPr>
        <w:t> </w:t>
      </w:r>
      <w:r>
        <w:rPr>
          <w:spacing w:val="-3"/>
          <w:sz w:val="20"/>
        </w:rPr>
        <w:t>provided</w:t>
      </w:r>
      <w:r>
        <w:rPr>
          <w:spacing w:val="-7"/>
          <w:sz w:val="20"/>
        </w:rPr>
        <w:t> </w:t>
      </w:r>
      <w:r>
        <w:rPr>
          <w:sz w:val="20"/>
        </w:rPr>
        <w:t>to</w:t>
      </w:r>
      <w:r>
        <w:rPr>
          <w:spacing w:val="-8"/>
          <w:sz w:val="20"/>
        </w:rPr>
        <w:t> </w:t>
      </w:r>
      <w:r>
        <w:rPr>
          <w:sz w:val="20"/>
        </w:rPr>
        <w:t>perform</w:t>
      </w:r>
      <w:r>
        <w:rPr>
          <w:spacing w:val="-7"/>
          <w:sz w:val="20"/>
        </w:rPr>
        <w:t> </w:t>
      </w:r>
      <w:r>
        <w:rPr>
          <w:sz w:val="20"/>
        </w:rPr>
        <w:t>jury</w:t>
      </w:r>
      <w:r>
        <w:rPr>
          <w:spacing w:val="-8"/>
          <w:sz w:val="20"/>
        </w:rPr>
        <w:t> </w:t>
      </w:r>
      <w:r>
        <w:rPr>
          <w:sz w:val="20"/>
        </w:rPr>
        <w:t>service</w:t>
      </w:r>
      <w:r>
        <w:rPr>
          <w:spacing w:val="-7"/>
          <w:sz w:val="20"/>
        </w:rPr>
        <w:t> </w:t>
      </w:r>
      <w:r>
        <w:rPr>
          <w:spacing w:val="-3"/>
          <w:sz w:val="20"/>
        </w:rPr>
        <w:t>are </w:t>
      </w:r>
      <w:r>
        <w:rPr>
          <w:sz w:val="20"/>
        </w:rPr>
        <w:t>considered’. Only then ‘can difficulty performing jury service on the basis of blindness or vision impairments be grounds for being </w:t>
      </w:r>
      <w:r>
        <w:rPr>
          <w:spacing w:val="-3"/>
          <w:sz w:val="20"/>
        </w:rPr>
        <w:t>excused from </w:t>
      </w:r>
      <w:r>
        <w:rPr>
          <w:sz w:val="20"/>
        </w:rPr>
        <w:t>jury service on the basis of the blindness or vision</w:t>
      </w:r>
      <w:r>
        <w:rPr>
          <w:spacing w:val="-18"/>
          <w:sz w:val="20"/>
        </w:rPr>
        <w:t> </w:t>
      </w:r>
      <w:r>
        <w:rPr>
          <w:sz w:val="20"/>
        </w:rPr>
        <w:t>impairment’.</w:t>
      </w:r>
      <w:r>
        <w:rPr>
          <w:position w:val="7"/>
          <w:sz w:val="11"/>
        </w:rPr>
        <w:t>122</w:t>
      </w:r>
    </w:p>
    <w:p>
      <w:pPr>
        <w:pStyle w:val="ListParagraph"/>
        <w:numPr>
          <w:ilvl w:val="1"/>
          <w:numId w:val="12"/>
        </w:numPr>
        <w:tabs>
          <w:tab w:pos="1761" w:val="left" w:leader="none"/>
          <w:tab w:pos="1762" w:val="left" w:leader="none"/>
        </w:tabs>
        <w:spacing w:line="240" w:lineRule="auto" w:before="94" w:after="0"/>
        <w:ind w:left="1761" w:right="0" w:hanging="794"/>
        <w:jc w:val="left"/>
        <w:rPr>
          <w:sz w:val="20"/>
        </w:rPr>
      </w:pPr>
      <w:r>
        <w:rPr>
          <w:sz w:val="20"/>
        </w:rPr>
        <w:t>Supreme Court consultees noted in consultation</w:t>
      </w:r>
      <w:r>
        <w:rPr>
          <w:spacing w:val="-29"/>
          <w:sz w:val="20"/>
        </w:rPr>
        <w:t> </w:t>
      </w:r>
      <w:r>
        <w:rPr>
          <w:sz w:val="20"/>
        </w:rPr>
        <w:t>that:</w:t>
      </w:r>
    </w:p>
    <w:p>
      <w:pPr>
        <w:spacing w:line="208" w:lineRule="auto" w:before="113"/>
        <w:ind w:left="2157" w:right="1253" w:firstLine="0"/>
        <w:jc w:val="left"/>
        <w:rPr>
          <w:sz w:val="11"/>
        </w:rPr>
      </w:pPr>
      <w:r>
        <w:rPr>
          <w:sz w:val="19"/>
        </w:rPr>
        <w:t>In most cases there should not be any issues with service if supports can be provided reasonably. However, it is hard to know in the abstract how often it will not be appropriate for a person with an impairment to serve. It is unclear how much of the evidence must be of concern (eg because it is audio only) before the case becomes unsuitable for a person with an impairment to serve as a juror. … These issues would probably need to be determined on a case by case basis.</w:t>
      </w:r>
      <w:r>
        <w:rPr>
          <w:position w:val="6"/>
          <w:sz w:val="11"/>
        </w:rPr>
        <w:t>123</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z w:val="20"/>
        </w:rPr>
        <w:t>VLA submitted</w:t>
      </w:r>
      <w:r>
        <w:rPr>
          <w:spacing w:val="-9"/>
          <w:sz w:val="20"/>
        </w:rPr>
        <w:t> </w:t>
      </w:r>
      <w:r>
        <w:rPr>
          <w:sz w:val="20"/>
        </w:rPr>
        <w:t>that:</w:t>
      </w:r>
    </w:p>
    <w:p>
      <w:pPr>
        <w:spacing w:line="208" w:lineRule="auto" w:before="112"/>
        <w:ind w:left="2157" w:right="1277" w:firstLine="0"/>
        <w:jc w:val="left"/>
        <w:rPr>
          <w:sz w:val="19"/>
        </w:rPr>
      </w:pPr>
      <w:r>
        <w:rPr>
          <w:sz w:val="19"/>
        </w:rPr>
        <w:t>VLA supports giving the judge the power to decide on a case by case basis, with the overriding test being the interests of justice in each case. Given the interrelationship between the potential juror’s individual impairments, the nature of the evidence,</w:t>
      </w:r>
    </w:p>
    <w:p>
      <w:pPr>
        <w:spacing w:line="208" w:lineRule="auto" w:before="2"/>
        <w:ind w:left="2157" w:right="1335" w:firstLine="0"/>
        <w:jc w:val="left"/>
        <w:rPr>
          <w:sz w:val="11"/>
        </w:rPr>
      </w:pPr>
      <w:r>
        <w:rPr>
          <w:sz w:val="19"/>
        </w:rPr>
        <w:t>and the nature of the key issues at trial, as well as the rapid advancements in both technological supports and forensic evidence, it is not practical to set specific exclusions or exhaustive criteria.</w:t>
      </w:r>
      <w:r>
        <w:rPr>
          <w:position w:val="6"/>
          <w:sz w:val="11"/>
        </w:rPr>
        <w:t>124</w:t>
      </w:r>
    </w:p>
    <w:p>
      <w:pPr>
        <w:pStyle w:val="ListParagraph"/>
        <w:numPr>
          <w:ilvl w:val="1"/>
          <w:numId w:val="12"/>
        </w:numPr>
        <w:tabs>
          <w:tab w:pos="1761" w:val="left" w:leader="none"/>
          <w:tab w:pos="1762" w:val="left" w:leader="none"/>
        </w:tabs>
        <w:spacing w:line="206" w:lineRule="auto" w:before="124" w:after="0"/>
        <w:ind w:left="1761" w:right="1347" w:hanging="794"/>
        <w:jc w:val="left"/>
        <w:rPr>
          <w:sz w:val="11"/>
        </w:rPr>
      </w:pPr>
      <w:r>
        <w:rPr>
          <w:sz w:val="20"/>
        </w:rPr>
        <w:t>In</w:t>
      </w:r>
      <w:r>
        <w:rPr>
          <w:spacing w:val="-11"/>
          <w:sz w:val="20"/>
        </w:rPr>
        <w:t> </w:t>
      </w:r>
      <w:r>
        <w:rPr>
          <w:spacing w:val="-2"/>
          <w:sz w:val="20"/>
        </w:rPr>
        <w:t>Chapter</w:t>
      </w:r>
      <w:r>
        <w:rPr>
          <w:spacing w:val="-10"/>
          <w:sz w:val="20"/>
        </w:rPr>
        <w:t> </w:t>
      </w:r>
      <w:r>
        <w:rPr>
          <w:sz w:val="20"/>
        </w:rPr>
        <w:t>11</w:t>
      </w:r>
      <w:r>
        <w:rPr>
          <w:spacing w:val="-10"/>
          <w:sz w:val="20"/>
        </w:rPr>
        <w:t> </w:t>
      </w:r>
      <w:r>
        <w:rPr>
          <w:sz w:val="20"/>
        </w:rPr>
        <w:t>the</w:t>
      </w:r>
      <w:r>
        <w:rPr>
          <w:spacing w:val="-11"/>
          <w:sz w:val="20"/>
        </w:rPr>
        <w:t> </w:t>
      </w:r>
      <w:r>
        <w:rPr>
          <w:sz w:val="20"/>
        </w:rPr>
        <w:t>Commission</w:t>
      </w:r>
      <w:r>
        <w:rPr>
          <w:spacing w:val="-10"/>
          <w:sz w:val="20"/>
        </w:rPr>
        <w:t> </w:t>
      </w:r>
      <w:r>
        <w:rPr>
          <w:sz w:val="20"/>
        </w:rPr>
        <w:t>recommends</w:t>
      </w:r>
      <w:r>
        <w:rPr>
          <w:spacing w:val="-10"/>
          <w:sz w:val="20"/>
        </w:rPr>
        <w:t> </w:t>
      </w:r>
      <w:r>
        <w:rPr>
          <w:sz w:val="20"/>
        </w:rPr>
        <w:t>that</w:t>
      </w:r>
      <w:r>
        <w:rPr>
          <w:spacing w:val="-11"/>
          <w:sz w:val="20"/>
        </w:rPr>
        <w:t> </w:t>
      </w:r>
      <w:r>
        <w:rPr>
          <w:sz w:val="20"/>
        </w:rPr>
        <w:t>the</w:t>
      </w:r>
      <w:r>
        <w:rPr>
          <w:spacing w:val="-10"/>
          <w:sz w:val="20"/>
        </w:rPr>
        <w:t> </w:t>
      </w:r>
      <w:r>
        <w:rPr>
          <w:sz w:val="20"/>
        </w:rPr>
        <w:t>trial</w:t>
      </w:r>
      <w:r>
        <w:rPr>
          <w:spacing w:val="-10"/>
          <w:sz w:val="20"/>
        </w:rPr>
        <w:t> </w:t>
      </w:r>
      <w:r>
        <w:rPr>
          <w:sz w:val="20"/>
        </w:rPr>
        <w:t>judge</w:t>
      </w:r>
      <w:r>
        <w:rPr>
          <w:spacing w:val="-10"/>
          <w:sz w:val="20"/>
        </w:rPr>
        <w:t> </w:t>
      </w:r>
      <w:r>
        <w:rPr>
          <w:spacing w:val="-3"/>
          <w:sz w:val="20"/>
        </w:rPr>
        <w:t>make</w:t>
      </w:r>
      <w:r>
        <w:rPr>
          <w:spacing w:val="-11"/>
          <w:sz w:val="20"/>
        </w:rPr>
        <w:t> </w:t>
      </w:r>
      <w:r>
        <w:rPr>
          <w:sz w:val="20"/>
        </w:rPr>
        <w:t>the</w:t>
      </w:r>
      <w:r>
        <w:rPr>
          <w:spacing w:val="-10"/>
          <w:sz w:val="20"/>
        </w:rPr>
        <w:t> </w:t>
      </w:r>
      <w:r>
        <w:rPr>
          <w:sz w:val="20"/>
        </w:rPr>
        <w:t>final</w:t>
      </w:r>
      <w:r>
        <w:rPr>
          <w:spacing w:val="-10"/>
          <w:sz w:val="20"/>
        </w:rPr>
        <w:t> </w:t>
      </w:r>
      <w:r>
        <w:rPr>
          <w:sz w:val="20"/>
        </w:rPr>
        <w:t>decision about jury service with adjustments. If it is clear at the start of the empanelment process that a person is not able to comprehend evidence that is material to the outcome</w:t>
      </w:r>
      <w:r>
        <w:rPr>
          <w:spacing w:val="-11"/>
          <w:sz w:val="20"/>
        </w:rPr>
        <w:t> </w:t>
      </w:r>
      <w:r>
        <w:rPr>
          <w:sz w:val="20"/>
        </w:rPr>
        <w:t>of</w:t>
      </w:r>
      <w:r>
        <w:rPr>
          <w:spacing w:val="-10"/>
          <w:sz w:val="20"/>
        </w:rPr>
        <w:t> </w:t>
      </w:r>
      <w:r>
        <w:rPr>
          <w:sz w:val="20"/>
        </w:rPr>
        <w:t>a</w:t>
      </w:r>
      <w:r>
        <w:rPr>
          <w:spacing w:val="-11"/>
          <w:sz w:val="20"/>
        </w:rPr>
        <w:t> </w:t>
      </w:r>
      <w:r>
        <w:rPr>
          <w:sz w:val="20"/>
        </w:rPr>
        <w:t>trial,</w:t>
      </w:r>
      <w:r>
        <w:rPr>
          <w:spacing w:val="-10"/>
          <w:sz w:val="20"/>
        </w:rPr>
        <w:t> </w:t>
      </w:r>
      <w:r>
        <w:rPr>
          <w:sz w:val="20"/>
        </w:rPr>
        <w:t>that</w:t>
      </w:r>
      <w:r>
        <w:rPr>
          <w:spacing w:val="-10"/>
          <w:sz w:val="20"/>
        </w:rPr>
        <w:t> </w:t>
      </w:r>
      <w:r>
        <w:rPr>
          <w:sz w:val="20"/>
        </w:rPr>
        <w:t>person</w:t>
      </w:r>
      <w:r>
        <w:rPr>
          <w:spacing w:val="-11"/>
          <w:sz w:val="20"/>
        </w:rPr>
        <w:t> </w:t>
      </w:r>
      <w:r>
        <w:rPr>
          <w:sz w:val="20"/>
        </w:rPr>
        <w:t>should</w:t>
      </w:r>
      <w:r>
        <w:rPr>
          <w:spacing w:val="-10"/>
          <w:sz w:val="20"/>
        </w:rPr>
        <w:t> </w:t>
      </w:r>
      <w:r>
        <w:rPr>
          <w:sz w:val="20"/>
        </w:rPr>
        <w:t>not</w:t>
      </w:r>
      <w:r>
        <w:rPr>
          <w:spacing w:val="-10"/>
          <w:sz w:val="20"/>
        </w:rPr>
        <w:t> </w:t>
      </w:r>
      <w:r>
        <w:rPr>
          <w:sz w:val="20"/>
        </w:rPr>
        <w:t>serve</w:t>
      </w:r>
      <w:r>
        <w:rPr>
          <w:spacing w:val="-11"/>
          <w:sz w:val="20"/>
        </w:rPr>
        <w:t> </w:t>
      </w:r>
      <w:r>
        <w:rPr>
          <w:sz w:val="20"/>
        </w:rPr>
        <w:t>on</w:t>
      </w:r>
      <w:r>
        <w:rPr>
          <w:spacing w:val="-10"/>
          <w:sz w:val="20"/>
        </w:rPr>
        <w:t> </w:t>
      </w:r>
      <w:r>
        <w:rPr>
          <w:sz w:val="20"/>
        </w:rPr>
        <w:t>that</w:t>
      </w:r>
      <w:r>
        <w:rPr>
          <w:spacing w:val="-10"/>
          <w:sz w:val="20"/>
        </w:rPr>
        <w:t> </w:t>
      </w:r>
      <w:r>
        <w:rPr>
          <w:sz w:val="20"/>
        </w:rPr>
        <w:t>particular</w:t>
      </w:r>
      <w:r>
        <w:rPr>
          <w:spacing w:val="-11"/>
          <w:sz w:val="20"/>
        </w:rPr>
        <w:t> </w:t>
      </w:r>
      <w:r>
        <w:rPr>
          <w:sz w:val="20"/>
        </w:rPr>
        <w:t>trial.</w:t>
      </w:r>
      <w:r>
        <w:rPr>
          <w:spacing w:val="-10"/>
          <w:sz w:val="20"/>
        </w:rPr>
        <w:t> </w:t>
      </w:r>
      <w:r>
        <w:rPr>
          <w:sz w:val="20"/>
        </w:rPr>
        <w:t>The</w:t>
      </w:r>
      <w:r>
        <w:rPr>
          <w:spacing w:val="-10"/>
          <w:sz w:val="20"/>
        </w:rPr>
        <w:t> </w:t>
      </w:r>
      <w:r>
        <w:rPr>
          <w:sz w:val="20"/>
        </w:rPr>
        <w:t>question</w:t>
      </w:r>
      <w:r>
        <w:rPr>
          <w:spacing w:val="-11"/>
          <w:sz w:val="20"/>
        </w:rPr>
        <w:t> </w:t>
      </w:r>
      <w:r>
        <w:rPr>
          <w:sz w:val="20"/>
        </w:rPr>
        <w:t>of whether</w:t>
      </w:r>
      <w:r>
        <w:rPr>
          <w:spacing w:val="-11"/>
          <w:sz w:val="20"/>
        </w:rPr>
        <w:t> </w:t>
      </w:r>
      <w:r>
        <w:rPr>
          <w:sz w:val="20"/>
        </w:rPr>
        <w:t>certain</w:t>
      </w:r>
      <w:r>
        <w:rPr>
          <w:spacing w:val="-11"/>
          <w:sz w:val="20"/>
        </w:rPr>
        <w:t> </w:t>
      </w:r>
      <w:r>
        <w:rPr>
          <w:sz w:val="20"/>
        </w:rPr>
        <w:t>evidence</w:t>
      </w:r>
      <w:r>
        <w:rPr>
          <w:spacing w:val="-10"/>
          <w:sz w:val="20"/>
        </w:rPr>
        <w:t> </w:t>
      </w:r>
      <w:r>
        <w:rPr>
          <w:sz w:val="20"/>
        </w:rPr>
        <w:t>is</w:t>
      </w:r>
      <w:r>
        <w:rPr>
          <w:spacing w:val="-11"/>
          <w:sz w:val="20"/>
        </w:rPr>
        <w:t> </w:t>
      </w:r>
      <w:r>
        <w:rPr>
          <w:sz w:val="20"/>
        </w:rPr>
        <w:t>material</w:t>
      </w:r>
      <w:r>
        <w:rPr>
          <w:spacing w:val="-10"/>
          <w:sz w:val="20"/>
        </w:rPr>
        <w:t> </w:t>
      </w:r>
      <w:r>
        <w:rPr>
          <w:sz w:val="20"/>
        </w:rPr>
        <w:t>to</w:t>
      </w:r>
      <w:r>
        <w:rPr>
          <w:spacing w:val="-11"/>
          <w:sz w:val="20"/>
        </w:rPr>
        <w:t> </w:t>
      </w:r>
      <w:r>
        <w:rPr>
          <w:sz w:val="20"/>
        </w:rPr>
        <w:t>the</w:t>
      </w:r>
      <w:r>
        <w:rPr>
          <w:spacing w:val="-11"/>
          <w:sz w:val="20"/>
        </w:rPr>
        <w:t> </w:t>
      </w:r>
      <w:r>
        <w:rPr>
          <w:sz w:val="20"/>
        </w:rPr>
        <w:t>outcome</w:t>
      </w:r>
      <w:r>
        <w:rPr>
          <w:spacing w:val="-10"/>
          <w:sz w:val="20"/>
        </w:rPr>
        <w:t> </w:t>
      </w:r>
      <w:r>
        <w:rPr>
          <w:sz w:val="20"/>
        </w:rPr>
        <w:t>of</w:t>
      </w:r>
      <w:r>
        <w:rPr>
          <w:spacing w:val="-11"/>
          <w:sz w:val="20"/>
        </w:rPr>
        <w:t> </w:t>
      </w:r>
      <w:r>
        <w:rPr>
          <w:sz w:val="20"/>
        </w:rPr>
        <w:t>a</w:t>
      </w:r>
      <w:r>
        <w:rPr>
          <w:spacing w:val="-10"/>
          <w:sz w:val="20"/>
        </w:rPr>
        <w:t> </w:t>
      </w:r>
      <w:r>
        <w:rPr>
          <w:sz w:val="20"/>
        </w:rPr>
        <w:t>trial,</w:t>
      </w:r>
      <w:r>
        <w:rPr>
          <w:spacing w:val="-11"/>
          <w:sz w:val="20"/>
        </w:rPr>
        <w:t> </w:t>
      </w:r>
      <w:r>
        <w:rPr>
          <w:sz w:val="20"/>
        </w:rPr>
        <w:t>and</w:t>
      </w:r>
      <w:r>
        <w:rPr>
          <w:spacing w:val="-10"/>
          <w:sz w:val="20"/>
        </w:rPr>
        <w:t> </w:t>
      </w:r>
      <w:r>
        <w:rPr>
          <w:sz w:val="20"/>
        </w:rPr>
        <w:t>the</w:t>
      </w:r>
      <w:r>
        <w:rPr>
          <w:spacing w:val="-11"/>
          <w:sz w:val="20"/>
        </w:rPr>
        <w:t> </w:t>
      </w:r>
      <w:r>
        <w:rPr>
          <w:sz w:val="20"/>
        </w:rPr>
        <w:t>potential</w:t>
      </w:r>
      <w:r>
        <w:rPr>
          <w:spacing w:val="-11"/>
          <w:sz w:val="20"/>
        </w:rPr>
        <w:t> </w:t>
      </w:r>
      <w:r>
        <w:rPr>
          <w:spacing w:val="-3"/>
          <w:sz w:val="20"/>
        </w:rPr>
        <w:t>juror’s </w:t>
      </w:r>
      <w:r>
        <w:rPr>
          <w:sz w:val="20"/>
        </w:rPr>
        <w:t>ability to perform their </w:t>
      </w:r>
      <w:r>
        <w:rPr>
          <w:spacing w:val="-3"/>
          <w:sz w:val="20"/>
        </w:rPr>
        <w:t>role, </w:t>
      </w:r>
      <w:r>
        <w:rPr>
          <w:sz w:val="20"/>
        </w:rPr>
        <w:t>should be determined </w:t>
      </w:r>
      <w:r>
        <w:rPr>
          <w:spacing w:val="-3"/>
          <w:sz w:val="20"/>
        </w:rPr>
        <w:t>by </w:t>
      </w:r>
      <w:r>
        <w:rPr>
          <w:sz w:val="20"/>
        </w:rPr>
        <w:t>a trial judge. If this issue arises after the trial has commenced, then the judge </w:t>
      </w:r>
      <w:r>
        <w:rPr>
          <w:spacing w:val="-3"/>
          <w:sz w:val="20"/>
        </w:rPr>
        <w:t>may </w:t>
      </w:r>
      <w:r>
        <w:rPr>
          <w:sz w:val="20"/>
        </w:rPr>
        <w:t>decide to discharge that </w:t>
      </w:r>
      <w:r>
        <w:rPr>
          <w:spacing w:val="-4"/>
          <w:sz w:val="20"/>
        </w:rPr>
        <w:t>juror, </w:t>
      </w:r>
      <w:r>
        <w:rPr>
          <w:sz w:val="20"/>
        </w:rPr>
        <w:t>as they already </w:t>
      </w:r>
      <w:r>
        <w:rPr>
          <w:spacing w:val="-4"/>
          <w:sz w:val="20"/>
        </w:rPr>
        <w:t>have </w:t>
      </w:r>
      <w:r>
        <w:rPr>
          <w:sz w:val="20"/>
        </w:rPr>
        <w:t>the </w:t>
      </w:r>
      <w:r>
        <w:rPr>
          <w:spacing w:val="-3"/>
          <w:sz w:val="20"/>
        </w:rPr>
        <w:t>power </w:t>
      </w:r>
      <w:r>
        <w:rPr>
          <w:sz w:val="20"/>
        </w:rPr>
        <w:t>to</w:t>
      </w:r>
      <w:r>
        <w:rPr>
          <w:spacing w:val="-18"/>
          <w:sz w:val="20"/>
        </w:rPr>
        <w:t> </w:t>
      </w:r>
      <w:r>
        <w:rPr>
          <w:sz w:val="20"/>
        </w:rPr>
        <w:t>do.</w:t>
      </w:r>
      <w:r>
        <w:rPr>
          <w:position w:val="7"/>
          <w:sz w:val="11"/>
        </w:rPr>
        <w:t>125</w:t>
      </w:r>
    </w:p>
    <w:p>
      <w:pPr>
        <w:pStyle w:val="Heading6"/>
        <w:spacing w:before="135"/>
        <w:rPr>
          <w:b/>
        </w:rPr>
      </w:pPr>
      <w:r>
        <w:rPr>
          <w:b/>
        </w:rPr>
        <w:t>Other evidentiary concerns</w:t>
      </w:r>
    </w:p>
    <w:p>
      <w:pPr>
        <w:pStyle w:val="ListParagraph"/>
        <w:numPr>
          <w:ilvl w:val="1"/>
          <w:numId w:val="12"/>
        </w:numPr>
        <w:tabs>
          <w:tab w:pos="1761" w:val="left" w:leader="none"/>
          <w:tab w:pos="1762" w:val="left" w:leader="none"/>
        </w:tabs>
        <w:spacing w:line="240" w:lineRule="auto" w:before="99" w:after="0"/>
        <w:ind w:left="1761" w:right="0" w:hanging="794"/>
        <w:jc w:val="left"/>
        <w:rPr>
          <w:sz w:val="20"/>
        </w:rPr>
      </w:pPr>
      <w:r>
        <w:rPr>
          <w:sz w:val="20"/>
        </w:rPr>
        <w:t>The Supreme Court </w:t>
      </w:r>
      <w:r>
        <w:rPr>
          <w:spacing w:val="-3"/>
          <w:sz w:val="20"/>
        </w:rPr>
        <w:t>provided examples </w:t>
      </w:r>
      <w:r>
        <w:rPr>
          <w:sz w:val="20"/>
        </w:rPr>
        <w:t>of</w:t>
      </w:r>
      <w:r>
        <w:rPr>
          <w:spacing w:val="-19"/>
          <w:sz w:val="20"/>
        </w:rPr>
        <w:t> </w:t>
      </w:r>
      <w:r>
        <w:rPr>
          <w:sz w:val="20"/>
        </w:rPr>
        <w:t>cases:</w:t>
      </w:r>
    </w:p>
    <w:p>
      <w:pPr>
        <w:spacing w:line="208" w:lineRule="auto" w:before="113"/>
        <w:ind w:left="2157" w:right="1304" w:firstLine="0"/>
        <w:jc w:val="left"/>
        <w:rPr>
          <w:sz w:val="11"/>
        </w:rPr>
      </w:pPr>
      <w:r>
        <w:rPr>
          <w:sz w:val="19"/>
        </w:rPr>
        <w:t>that do not turn upon voice or visual identification evidence but involve such a significant volume of audio-only or visual-only evidence that allowing someone in the subject groups to serve as a juror would create an unacceptable risk of prejudice to the accused. For example, a trial involving a high volume of recordings from surveillance devices and telephone intercepts where the jury is invited to draw conclusions based on tone or emphasis. Another possible example is a trial heavily reliant on visual observations, where a jury may be taken on a view of a crime scene as a critical part of the evidence.</w:t>
      </w:r>
      <w:r>
        <w:rPr>
          <w:position w:val="6"/>
          <w:sz w:val="11"/>
        </w:rPr>
        <w:t>126</w:t>
      </w:r>
    </w:p>
    <w:p>
      <w:pPr>
        <w:pStyle w:val="BodyText"/>
      </w:pPr>
    </w:p>
    <w:p>
      <w:pPr>
        <w:pStyle w:val="BodyText"/>
        <w:spacing w:before="2"/>
        <w:rPr>
          <w:sz w:val="21"/>
        </w:rPr>
      </w:pPr>
      <w:r>
        <w:rPr/>
        <w:pict>
          <v:line style="position:absolute;mso-position-horizontal-relative:page;mso-position-vertical-relative:paragraph;z-index:5192;mso-wrap-distance-left:0;mso-wrap-distance-right:0" from="79.370102pt,17.13834pt" to="515.905102pt,17.13834pt" stroked="true" strokeweight="1pt" strokecolor="#b6bdc8">
            <v:stroke dashstyle="solid"/>
            <w10:wrap type="topAndBottom"/>
          </v:line>
        </w:pict>
      </w:r>
    </w:p>
    <w:p>
      <w:pPr>
        <w:pStyle w:val="ListParagraph"/>
        <w:numPr>
          <w:ilvl w:val="0"/>
          <w:numId w:val="65"/>
        </w:numPr>
        <w:tabs>
          <w:tab w:pos="1761" w:val="left" w:leader="none"/>
          <w:tab w:pos="1762" w:val="left" w:leader="none"/>
        </w:tabs>
        <w:spacing w:line="170" w:lineRule="exact" w:before="91" w:after="0"/>
        <w:ind w:left="1761" w:right="0" w:hanging="794"/>
        <w:jc w:val="left"/>
        <w:rPr>
          <w:sz w:val="13"/>
        </w:rPr>
      </w:pPr>
      <w:r>
        <w:rPr>
          <w:sz w:val="13"/>
        </w:rPr>
        <w:t>For example, Consultation 25 (Peter Ward, Partner, Galbally and </w:t>
      </w:r>
      <w:r>
        <w:rPr>
          <w:spacing w:val="2"/>
          <w:sz w:val="13"/>
        </w:rPr>
        <w:t>O’Bryan</w:t>
      </w:r>
      <w:r>
        <w:rPr>
          <w:spacing w:val="5"/>
          <w:sz w:val="13"/>
        </w:rPr>
        <w:t> </w:t>
      </w:r>
      <w:r>
        <w:rPr>
          <w:sz w:val="13"/>
        </w:rPr>
        <w:t>Lawyers).</w:t>
      </w:r>
    </w:p>
    <w:p>
      <w:pPr>
        <w:pStyle w:val="ListParagraph"/>
        <w:numPr>
          <w:ilvl w:val="0"/>
          <w:numId w:val="65"/>
        </w:numPr>
        <w:tabs>
          <w:tab w:pos="1761" w:val="left" w:leader="none"/>
          <w:tab w:pos="1762" w:val="left" w:leader="none"/>
        </w:tabs>
        <w:spacing w:line="160" w:lineRule="exact" w:before="0" w:after="0"/>
        <w:ind w:left="1761" w:right="0" w:hanging="794"/>
        <w:jc w:val="left"/>
        <w:rPr>
          <w:sz w:val="13"/>
        </w:rPr>
      </w:pPr>
      <w:r>
        <w:rPr>
          <w:sz w:val="13"/>
        </w:rPr>
        <w:t>Consultation 7 </w:t>
      </w:r>
      <w:r>
        <w:rPr>
          <w:spacing w:val="2"/>
          <w:sz w:val="13"/>
        </w:rPr>
        <w:t>(Vision </w:t>
      </w:r>
      <w:r>
        <w:rPr>
          <w:spacing w:val="9"/>
          <w:sz w:val="13"/>
        </w:rPr>
        <w:t> </w:t>
      </w:r>
      <w:r>
        <w:rPr>
          <w:sz w:val="13"/>
        </w:rPr>
        <w:t>Australia).</w:t>
      </w:r>
    </w:p>
    <w:p>
      <w:pPr>
        <w:pStyle w:val="ListParagraph"/>
        <w:numPr>
          <w:ilvl w:val="0"/>
          <w:numId w:val="65"/>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z w:val="13"/>
        </w:rPr>
        <w:t>10 </w:t>
      </w:r>
      <w:r>
        <w:rPr>
          <w:spacing w:val="2"/>
          <w:sz w:val="13"/>
        </w:rPr>
        <w:t>(Vision</w:t>
      </w:r>
      <w:r>
        <w:rPr>
          <w:spacing w:val="20"/>
          <w:sz w:val="13"/>
        </w:rPr>
        <w:t> </w:t>
      </w:r>
      <w:r>
        <w:rPr>
          <w:sz w:val="13"/>
        </w:rPr>
        <w:t>Australia).</w:t>
      </w:r>
    </w:p>
    <w:p>
      <w:pPr>
        <w:pStyle w:val="ListParagraph"/>
        <w:numPr>
          <w:ilvl w:val="0"/>
          <w:numId w:val="65"/>
        </w:numPr>
        <w:tabs>
          <w:tab w:pos="1761" w:val="left" w:leader="none"/>
          <w:tab w:pos="1762" w:val="left" w:leader="none"/>
        </w:tabs>
        <w:spacing w:line="160" w:lineRule="exact" w:before="0" w:after="0"/>
        <w:ind w:left="1761" w:right="0" w:hanging="794"/>
        <w:jc w:val="left"/>
        <w:rPr>
          <w:sz w:val="13"/>
        </w:rPr>
      </w:pPr>
      <w:r>
        <w:rPr>
          <w:sz w:val="13"/>
        </w:rPr>
        <w:t>Position Statement 1 </w:t>
      </w:r>
      <w:r>
        <w:rPr>
          <w:spacing w:val="2"/>
          <w:sz w:val="13"/>
        </w:rPr>
        <w:t>(Blind </w:t>
      </w:r>
      <w:r>
        <w:rPr>
          <w:sz w:val="13"/>
        </w:rPr>
        <w:t>Citizens</w:t>
      </w:r>
      <w:r>
        <w:rPr>
          <w:spacing w:val="-1"/>
          <w:sz w:val="13"/>
        </w:rPr>
        <w:t> </w:t>
      </w:r>
      <w:r>
        <w:rPr>
          <w:sz w:val="13"/>
        </w:rPr>
        <w:t>Australia).</w:t>
      </w:r>
    </w:p>
    <w:p>
      <w:pPr>
        <w:pStyle w:val="ListParagraph"/>
        <w:numPr>
          <w:ilvl w:val="0"/>
          <w:numId w:val="65"/>
        </w:numPr>
        <w:tabs>
          <w:tab w:pos="1761" w:val="left" w:leader="none"/>
          <w:tab w:pos="1762" w:val="left" w:leader="none"/>
        </w:tabs>
        <w:spacing w:line="160" w:lineRule="exact" w:before="0" w:after="0"/>
        <w:ind w:left="1761" w:right="0" w:hanging="794"/>
        <w:jc w:val="left"/>
        <w:rPr>
          <w:sz w:val="13"/>
        </w:rPr>
      </w:pPr>
      <w:r>
        <w:rPr>
          <w:sz w:val="13"/>
        </w:rPr>
        <w:t>Consultation 11 (Consultation with a Judge, a Tipstaff and </w:t>
      </w:r>
      <w:r>
        <w:rPr>
          <w:spacing w:val="2"/>
          <w:sz w:val="13"/>
        </w:rPr>
        <w:t>Court policy </w:t>
      </w:r>
      <w:r>
        <w:rPr>
          <w:sz w:val="13"/>
        </w:rPr>
        <w:t>staff, Victorian Supreme</w:t>
      </w:r>
      <w:r>
        <w:rPr>
          <w:spacing w:val="9"/>
          <w:sz w:val="13"/>
        </w:rPr>
        <w:t> </w:t>
      </w:r>
      <w:r>
        <w:rPr>
          <w:spacing w:val="2"/>
          <w:sz w:val="13"/>
        </w:rPr>
        <w:t>Court).</w:t>
      </w:r>
    </w:p>
    <w:p>
      <w:pPr>
        <w:pStyle w:val="ListParagraph"/>
        <w:numPr>
          <w:ilvl w:val="0"/>
          <w:numId w:val="65"/>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pStyle w:val="ListParagraph"/>
        <w:numPr>
          <w:ilvl w:val="0"/>
          <w:numId w:val="65"/>
        </w:numPr>
        <w:tabs>
          <w:tab w:pos="1761" w:val="left" w:leader="none"/>
          <w:tab w:pos="1762" w:val="left" w:leader="none"/>
        </w:tabs>
        <w:spacing w:line="160" w:lineRule="exact" w:before="0" w:after="0"/>
        <w:ind w:left="1761" w:right="0" w:hanging="794"/>
        <w:jc w:val="left"/>
        <w:rPr>
          <w:sz w:val="13"/>
        </w:rPr>
      </w:pPr>
      <w:r>
        <w:rPr/>
        <w:pict>
          <v:shape style="position:absolute;margin-left:36pt;margin-top:3.710249pt;width:14.1pt;height:14.1pt;mso-position-horizontal-relative:page;mso-position-vertical-relative:paragraph;z-index:7264" type="#_x0000_t202" filled="false" stroked="false">
            <v:textbox inset="0,0,0,0">
              <w:txbxContent>
                <w:p>
                  <w:pPr>
                    <w:spacing w:line="282" w:lineRule="exact" w:before="0"/>
                    <w:ind w:left="0" w:right="0" w:firstLine="0"/>
                    <w:jc w:val="left"/>
                    <w:rPr>
                      <w:b/>
                      <w:sz w:val="24"/>
                    </w:rPr>
                  </w:pPr>
                  <w:r>
                    <w:rPr>
                      <w:b/>
                      <w:color w:val="37617A"/>
                      <w:sz w:val="24"/>
                    </w:rPr>
                    <w:t>84</w:t>
                  </w:r>
                </w:p>
              </w:txbxContent>
            </v:textbox>
            <w10:wrap type="none"/>
          </v:shape>
        </w:pict>
      </w:r>
      <w:r>
        <w:rPr>
          <w:i/>
          <w:sz w:val="13"/>
        </w:rPr>
        <w:t>Juries Act 2000 </w:t>
      </w:r>
      <w:r>
        <w:rPr>
          <w:spacing w:val="2"/>
          <w:sz w:val="13"/>
        </w:rPr>
        <w:t>(Vic) </w:t>
      </w:r>
      <w:r>
        <w:rPr>
          <w:sz w:val="13"/>
        </w:rPr>
        <w:t>s</w:t>
      </w:r>
      <w:r>
        <w:rPr>
          <w:spacing w:val="-2"/>
          <w:sz w:val="13"/>
        </w:rPr>
        <w:t> </w:t>
      </w:r>
      <w:r>
        <w:rPr>
          <w:sz w:val="13"/>
        </w:rPr>
        <w:t>43(d).</w:t>
      </w:r>
    </w:p>
    <w:p>
      <w:pPr>
        <w:pStyle w:val="ListParagraph"/>
        <w:numPr>
          <w:ilvl w:val="0"/>
          <w:numId w:val="65"/>
        </w:numPr>
        <w:tabs>
          <w:tab w:pos="1760" w:val="left" w:leader="none"/>
          <w:tab w:pos="1762" w:val="left" w:leader="none"/>
        </w:tabs>
        <w:spacing w:line="170" w:lineRule="exact" w:before="0" w:after="0"/>
        <w:ind w:left="1761" w:right="0" w:hanging="794"/>
        <w:jc w:val="left"/>
        <w:rPr>
          <w:sz w:val="13"/>
        </w:rPr>
      </w:pP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spacing w:after="0" w:line="170"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551" w:hanging="794"/>
        <w:jc w:val="left"/>
        <w:rPr>
          <w:sz w:val="11"/>
        </w:rPr>
      </w:pPr>
      <w:bookmarkStart w:name="Safeguards can protect the right to a fa" w:id="165"/>
      <w:bookmarkEnd w:id="165"/>
      <w:r>
        <w:rPr/>
      </w:r>
      <w:bookmarkStart w:name="_bookmark65" w:id="166"/>
      <w:bookmarkEnd w:id="166"/>
      <w:r>
        <w:rPr/>
      </w:r>
      <w:bookmarkStart w:name="_bookmark65" w:id="167"/>
      <w:bookmarkEnd w:id="167"/>
      <w:r>
        <w:rPr>
          <w:sz w:val="20"/>
        </w:rPr>
        <w:t>T</w:t>
      </w:r>
      <w:r>
        <w:rPr>
          <w:sz w:val="20"/>
        </w:rPr>
        <w:t>he LIV </w:t>
      </w:r>
      <w:r>
        <w:rPr>
          <w:spacing w:val="-3"/>
          <w:sz w:val="20"/>
        </w:rPr>
        <w:t>provided </w:t>
      </w:r>
      <w:r>
        <w:rPr>
          <w:sz w:val="20"/>
        </w:rPr>
        <w:t>the </w:t>
      </w:r>
      <w:r>
        <w:rPr>
          <w:spacing w:val="-3"/>
          <w:sz w:val="20"/>
        </w:rPr>
        <w:t>example </w:t>
      </w:r>
      <w:r>
        <w:rPr>
          <w:sz w:val="20"/>
        </w:rPr>
        <w:t>of CCTV and driving cases </w:t>
      </w:r>
      <w:r>
        <w:rPr>
          <w:spacing w:val="-3"/>
          <w:sz w:val="20"/>
        </w:rPr>
        <w:t>involving </w:t>
      </w:r>
      <w:r>
        <w:rPr>
          <w:sz w:val="20"/>
        </w:rPr>
        <w:t>maps and reconstructions</w:t>
      </w:r>
      <w:r>
        <w:rPr>
          <w:spacing w:val="-13"/>
          <w:sz w:val="20"/>
        </w:rPr>
        <w:t> </w:t>
      </w:r>
      <w:r>
        <w:rPr>
          <w:sz w:val="20"/>
        </w:rPr>
        <w:t>which</w:t>
      </w:r>
      <w:r>
        <w:rPr>
          <w:spacing w:val="-12"/>
          <w:sz w:val="20"/>
        </w:rPr>
        <w:t> </w:t>
      </w:r>
      <w:r>
        <w:rPr>
          <w:sz w:val="20"/>
        </w:rPr>
        <w:t>might</w:t>
      </w:r>
      <w:r>
        <w:rPr>
          <w:spacing w:val="-12"/>
          <w:sz w:val="20"/>
        </w:rPr>
        <w:t> </w:t>
      </w:r>
      <w:r>
        <w:rPr>
          <w:sz w:val="20"/>
        </w:rPr>
        <w:t>be</w:t>
      </w:r>
      <w:r>
        <w:rPr>
          <w:spacing w:val="-12"/>
          <w:sz w:val="20"/>
        </w:rPr>
        <w:t> </w:t>
      </w:r>
      <w:r>
        <w:rPr>
          <w:sz w:val="20"/>
        </w:rPr>
        <w:t>difficult</w:t>
      </w:r>
      <w:r>
        <w:rPr>
          <w:spacing w:val="-12"/>
          <w:sz w:val="20"/>
        </w:rPr>
        <w:t> </w:t>
      </w:r>
      <w:r>
        <w:rPr>
          <w:sz w:val="20"/>
        </w:rPr>
        <w:t>for</w:t>
      </w:r>
      <w:r>
        <w:rPr>
          <w:spacing w:val="-12"/>
          <w:sz w:val="20"/>
        </w:rPr>
        <w:t> </w:t>
      </w:r>
      <w:r>
        <w:rPr>
          <w:sz w:val="20"/>
        </w:rPr>
        <w:t>a</w:t>
      </w:r>
      <w:r>
        <w:rPr>
          <w:spacing w:val="-12"/>
          <w:sz w:val="20"/>
        </w:rPr>
        <w:t> </w:t>
      </w:r>
      <w:r>
        <w:rPr>
          <w:sz w:val="20"/>
        </w:rPr>
        <w:t>blind</w:t>
      </w:r>
      <w:r>
        <w:rPr>
          <w:spacing w:val="-12"/>
          <w:sz w:val="20"/>
        </w:rPr>
        <w:t> </w:t>
      </w:r>
      <w:r>
        <w:rPr>
          <w:sz w:val="20"/>
        </w:rPr>
        <w:t>person</w:t>
      </w:r>
      <w:r>
        <w:rPr>
          <w:spacing w:val="-12"/>
          <w:sz w:val="20"/>
        </w:rPr>
        <w:t> </w:t>
      </w:r>
      <w:r>
        <w:rPr>
          <w:sz w:val="20"/>
        </w:rPr>
        <w:t>to</w:t>
      </w:r>
      <w:r>
        <w:rPr>
          <w:spacing w:val="-12"/>
          <w:sz w:val="20"/>
        </w:rPr>
        <w:t> </w:t>
      </w:r>
      <w:r>
        <w:rPr>
          <w:sz w:val="20"/>
        </w:rPr>
        <w:t>access.</w:t>
      </w:r>
      <w:r>
        <w:rPr>
          <w:position w:val="7"/>
          <w:sz w:val="11"/>
        </w:rPr>
        <w:t>127</w:t>
      </w:r>
      <w:r>
        <w:rPr>
          <w:spacing w:val="12"/>
          <w:position w:val="7"/>
          <w:sz w:val="11"/>
        </w:rPr>
        <w:t> </w:t>
      </w:r>
      <w:r>
        <w:rPr>
          <w:spacing w:val="-5"/>
          <w:sz w:val="20"/>
        </w:rPr>
        <w:t>However,</w:t>
      </w:r>
      <w:r>
        <w:rPr>
          <w:spacing w:val="-12"/>
          <w:sz w:val="20"/>
        </w:rPr>
        <w:t> </w:t>
      </w:r>
      <w:r>
        <w:rPr>
          <w:sz w:val="20"/>
        </w:rPr>
        <w:t>the LIV noted it should be up to the judge to ‘assess their capacity based on the facts, evidence and arguments the trial will</w:t>
      </w:r>
      <w:r>
        <w:rPr>
          <w:spacing w:val="-28"/>
          <w:sz w:val="20"/>
        </w:rPr>
        <w:t> </w:t>
      </w:r>
      <w:r>
        <w:rPr>
          <w:spacing w:val="-4"/>
          <w:sz w:val="20"/>
        </w:rPr>
        <w:t>involve’.</w:t>
      </w:r>
      <w:r>
        <w:rPr>
          <w:spacing w:val="-4"/>
          <w:position w:val="7"/>
          <w:sz w:val="11"/>
        </w:rPr>
        <w:t>128</w:t>
      </w:r>
    </w:p>
    <w:p>
      <w:pPr>
        <w:pStyle w:val="ListParagraph"/>
        <w:numPr>
          <w:ilvl w:val="1"/>
          <w:numId w:val="12"/>
        </w:numPr>
        <w:tabs>
          <w:tab w:pos="1762" w:val="left" w:leader="none"/>
        </w:tabs>
        <w:spacing w:line="206" w:lineRule="auto" w:before="125" w:after="0"/>
        <w:ind w:left="1761" w:right="1579" w:hanging="794"/>
        <w:jc w:val="both"/>
        <w:rPr>
          <w:sz w:val="20"/>
        </w:rPr>
      </w:pPr>
      <w:r>
        <w:rPr>
          <w:sz w:val="20"/>
        </w:rPr>
        <w:t>The</w:t>
      </w:r>
      <w:r>
        <w:rPr>
          <w:spacing w:val="-9"/>
          <w:sz w:val="20"/>
        </w:rPr>
        <w:t> </w:t>
      </w:r>
      <w:r>
        <w:rPr>
          <w:sz w:val="20"/>
        </w:rPr>
        <w:t>County</w:t>
      </w:r>
      <w:r>
        <w:rPr>
          <w:spacing w:val="-9"/>
          <w:sz w:val="20"/>
        </w:rPr>
        <w:t> </w:t>
      </w:r>
      <w:r>
        <w:rPr>
          <w:sz w:val="20"/>
        </w:rPr>
        <w:t>Court</w:t>
      </w:r>
      <w:r>
        <w:rPr>
          <w:spacing w:val="-9"/>
          <w:sz w:val="20"/>
        </w:rPr>
        <w:t> </w:t>
      </w:r>
      <w:r>
        <w:rPr>
          <w:sz w:val="20"/>
        </w:rPr>
        <w:t>submission</w:t>
      </w:r>
      <w:r>
        <w:rPr>
          <w:spacing w:val="-9"/>
          <w:sz w:val="20"/>
        </w:rPr>
        <w:t> </w:t>
      </w:r>
      <w:r>
        <w:rPr>
          <w:sz w:val="20"/>
        </w:rPr>
        <w:t>raised</w:t>
      </w:r>
      <w:r>
        <w:rPr>
          <w:spacing w:val="-9"/>
          <w:sz w:val="20"/>
        </w:rPr>
        <w:t> </w:t>
      </w:r>
      <w:r>
        <w:rPr>
          <w:sz w:val="20"/>
        </w:rPr>
        <w:t>concerns</w:t>
      </w:r>
      <w:r>
        <w:rPr>
          <w:spacing w:val="-9"/>
          <w:sz w:val="20"/>
        </w:rPr>
        <w:t> </w:t>
      </w:r>
      <w:r>
        <w:rPr>
          <w:sz w:val="20"/>
        </w:rPr>
        <w:t>about</w:t>
      </w:r>
      <w:r>
        <w:rPr>
          <w:spacing w:val="-9"/>
          <w:sz w:val="20"/>
        </w:rPr>
        <w:t> </w:t>
      </w:r>
      <w:r>
        <w:rPr>
          <w:sz w:val="20"/>
        </w:rPr>
        <w:t>breaks</w:t>
      </w:r>
      <w:r>
        <w:rPr>
          <w:spacing w:val="-9"/>
          <w:sz w:val="20"/>
        </w:rPr>
        <w:t> </w:t>
      </w:r>
      <w:r>
        <w:rPr>
          <w:sz w:val="20"/>
        </w:rPr>
        <w:t>for</w:t>
      </w:r>
      <w:r>
        <w:rPr>
          <w:spacing w:val="-9"/>
          <w:sz w:val="20"/>
        </w:rPr>
        <w:t> </w:t>
      </w:r>
      <w:r>
        <w:rPr>
          <w:sz w:val="20"/>
        </w:rPr>
        <w:t>Auslan</w:t>
      </w:r>
      <w:r>
        <w:rPr>
          <w:spacing w:val="-9"/>
          <w:sz w:val="20"/>
        </w:rPr>
        <w:t> </w:t>
      </w:r>
      <w:r>
        <w:rPr>
          <w:spacing w:val="-3"/>
          <w:sz w:val="20"/>
        </w:rPr>
        <w:t>interpreters </w:t>
      </w:r>
      <w:r>
        <w:rPr>
          <w:sz w:val="20"/>
        </w:rPr>
        <w:t>extending</w:t>
      </w:r>
      <w:r>
        <w:rPr>
          <w:spacing w:val="-10"/>
          <w:sz w:val="20"/>
        </w:rPr>
        <w:t> </w:t>
      </w:r>
      <w:r>
        <w:rPr>
          <w:sz w:val="20"/>
        </w:rPr>
        <w:t>the</w:t>
      </w:r>
      <w:r>
        <w:rPr>
          <w:spacing w:val="-10"/>
          <w:sz w:val="20"/>
        </w:rPr>
        <w:t> </w:t>
      </w:r>
      <w:r>
        <w:rPr>
          <w:sz w:val="20"/>
        </w:rPr>
        <w:t>duration</w:t>
      </w:r>
      <w:r>
        <w:rPr>
          <w:spacing w:val="-10"/>
          <w:sz w:val="20"/>
        </w:rPr>
        <w:t> </w:t>
      </w:r>
      <w:r>
        <w:rPr>
          <w:sz w:val="20"/>
        </w:rPr>
        <w:t>of</w:t>
      </w:r>
      <w:r>
        <w:rPr>
          <w:spacing w:val="-10"/>
          <w:sz w:val="20"/>
        </w:rPr>
        <w:t> </w:t>
      </w:r>
      <w:r>
        <w:rPr>
          <w:sz w:val="20"/>
        </w:rPr>
        <w:t>a</w:t>
      </w:r>
      <w:r>
        <w:rPr>
          <w:spacing w:val="-10"/>
          <w:sz w:val="20"/>
        </w:rPr>
        <w:t> </w:t>
      </w:r>
      <w:r>
        <w:rPr>
          <w:sz w:val="20"/>
        </w:rPr>
        <w:t>trial.</w:t>
      </w:r>
      <w:r>
        <w:rPr>
          <w:spacing w:val="-10"/>
          <w:sz w:val="20"/>
        </w:rPr>
        <w:t> </w:t>
      </w:r>
      <w:r>
        <w:rPr>
          <w:sz w:val="20"/>
        </w:rPr>
        <w:t>It</w:t>
      </w:r>
      <w:r>
        <w:rPr>
          <w:spacing w:val="-10"/>
          <w:sz w:val="20"/>
        </w:rPr>
        <w:t> </w:t>
      </w:r>
      <w:r>
        <w:rPr>
          <w:sz w:val="20"/>
        </w:rPr>
        <w:t>was</w:t>
      </w:r>
      <w:r>
        <w:rPr>
          <w:spacing w:val="-10"/>
          <w:sz w:val="20"/>
        </w:rPr>
        <w:t> </w:t>
      </w:r>
      <w:r>
        <w:rPr>
          <w:sz w:val="20"/>
        </w:rPr>
        <w:t>suggested</w:t>
      </w:r>
      <w:r>
        <w:rPr>
          <w:spacing w:val="-9"/>
          <w:sz w:val="20"/>
        </w:rPr>
        <w:t> </w:t>
      </w:r>
      <w:r>
        <w:rPr>
          <w:sz w:val="20"/>
        </w:rPr>
        <w:t>that</w:t>
      </w:r>
      <w:r>
        <w:rPr>
          <w:spacing w:val="-10"/>
          <w:sz w:val="20"/>
        </w:rPr>
        <w:t> </w:t>
      </w:r>
      <w:r>
        <w:rPr>
          <w:sz w:val="20"/>
        </w:rPr>
        <w:t>‘this</w:t>
      </w:r>
      <w:r>
        <w:rPr>
          <w:spacing w:val="-10"/>
          <w:sz w:val="20"/>
        </w:rPr>
        <w:t> </w:t>
      </w:r>
      <w:r>
        <w:rPr>
          <w:sz w:val="20"/>
        </w:rPr>
        <w:t>will</w:t>
      </w:r>
      <w:r>
        <w:rPr>
          <w:spacing w:val="-10"/>
          <w:sz w:val="20"/>
        </w:rPr>
        <w:t> </w:t>
      </w:r>
      <w:r>
        <w:rPr>
          <w:sz w:val="20"/>
        </w:rPr>
        <w:t>also</w:t>
      </w:r>
      <w:r>
        <w:rPr>
          <w:spacing w:val="-10"/>
          <w:sz w:val="20"/>
        </w:rPr>
        <w:t> </w:t>
      </w:r>
      <w:r>
        <w:rPr>
          <w:sz w:val="20"/>
        </w:rPr>
        <w:t>impact</w:t>
      </w:r>
      <w:r>
        <w:rPr>
          <w:spacing w:val="-10"/>
          <w:sz w:val="20"/>
        </w:rPr>
        <w:t> </w:t>
      </w:r>
      <w:r>
        <w:rPr>
          <w:sz w:val="20"/>
        </w:rPr>
        <w:t>on</w:t>
      </w:r>
      <w:r>
        <w:rPr>
          <w:spacing w:val="-10"/>
          <w:sz w:val="20"/>
        </w:rPr>
        <w:t> </w:t>
      </w:r>
      <w:r>
        <w:rPr>
          <w:sz w:val="20"/>
        </w:rPr>
        <w:t>other jurors</w:t>
      </w:r>
      <w:r>
        <w:rPr>
          <w:spacing w:val="-7"/>
          <w:sz w:val="20"/>
        </w:rPr>
        <w:t> </w:t>
      </w:r>
      <w:r>
        <w:rPr>
          <w:sz w:val="20"/>
        </w:rPr>
        <w:t>and</w:t>
      </w:r>
      <w:r>
        <w:rPr>
          <w:spacing w:val="-7"/>
          <w:sz w:val="20"/>
        </w:rPr>
        <w:t> </w:t>
      </w:r>
      <w:r>
        <w:rPr>
          <w:sz w:val="20"/>
        </w:rPr>
        <w:t>court</w:t>
      </w:r>
      <w:r>
        <w:rPr>
          <w:spacing w:val="-7"/>
          <w:sz w:val="20"/>
        </w:rPr>
        <w:t> </w:t>
      </w:r>
      <w:r>
        <w:rPr>
          <w:spacing w:val="-4"/>
          <w:sz w:val="20"/>
        </w:rPr>
        <w:t>resources’</w:t>
      </w:r>
      <w:r>
        <w:rPr>
          <w:spacing w:val="-7"/>
          <w:sz w:val="20"/>
        </w:rPr>
        <w:t> </w:t>
      </w:r>
      <w:r>
        <w:rPr>
          <w:sz w:val="20"/>
        </w:rPr>
        <w:t>including</w:t>
      </w:r>
      <w:r>
        <w:rPr>
          <w:spacing w:val="-6"/>
          <w:sz w:val="20"/>
        </w:rPr>
        <w:t> </w:t>
      </w:r>
      <w:r>
        <w:rPr>
          <w:sz w:val="20"/>
        </w:rPr>
        <w:t>‘the</w:t>
      </w:r>
      <w:r>
        <w:rPr>
          <w:spacing w:val="-7"/>
          <w:sz w:val="20"/>
        </w:rPr>
        <w:t> </w:t>
      </w:r>
      <w:r>
        <w:rPr>
          <w:sz w:val="20"/>
        </w:rPr>
        <w:t>rights</w:t>
      </w:r>
      <w:r>
        <w:rPr>
          <w:spacing w:val="-7"/>
          <w:sz w:val="20"/>
        </w:rPr>
        <w:t> </w:t>
      </w:r>
      <w:r>
        <w:rPr>
          <w:sz w:val="20"/>
        </w:rPr>
        <w:t>of</w:t>
      </w:r>
      <w:r>
        <w:rPr>
          <w:spacing w:val="-7"/>
          <w:sz w:val="20"/>
        </w:rPr>
        <w:t> </w:t>
      </w:r>
      <w:r>
        <w:rPr>
          <w:sz w:val="20"/>
        </w:rPr>
        <w:t>the</w:t>
      </w:r>
      <w:r>
        <w:rPr>
          <w:spacing w:val="-6"/>
          <w:sz w:val="20"/>
        </w:rPr>
        <w:t> </w:t>
      </w:r>
      <w:r>
        <w:rPr>
          <w:sz w:val="20"/>
        </w:rPr>
        <w:t>accused</w:t>
      </w:r>
      <w:r>
        <w:rPr>
          <w:spacing w:val="-7"/>
          <w:sz w:val="20"/>
        </w:rPr>
        <w:t> </w:t>
      </w:r>
      <w:r>
        <w:rPr>
          <w:sz w:val="20"/>
        </w:rPr>
        <w:t>to</w:t>
      </w:r>
      <w:r>
        <w:rPr>
          <w:spacing w:val="-7"/>
          <w:sz w:val="20"/>
        </w:rPr>
        <w:t> </w:t>
      </w:r>
      <w:r>
        <w:rPr>
          <w:sz w:val="20"/>
        </w:rPr>
        <w:t>a</w:t>
      </w:r>
      <w:r>
        <w:rPr>
          <w:spacing w:val="-7"/>
          <w:sz w:val="20"/>
        </w:rPr>
        <w:t> </w:t>
      </w:r>
      <w:r>
        <w:rPr>
          <w:sz w:val="20"/>
        </w:rPr>
        <w:t>fair</w:t>
      </w:r>
      <w:r>
        <w:rPr>
          <w:spacing w:val="-6"/>
          <w:sz w:val="20"/>
        </w:rPr>
        <w:t> </w:t>
      </w:r>
      <w:r>
        <w:rPr>
          <w:sz w:val="20"/>
        </w:rPr>
        <w:t>trial</w:t>
      </w:r>
      <w:r>
        <w:rPr>
          <w:spacing w:val="-7"/>
          <w:sz w:val="20"/>
        </w:rPr>
        <w:t> </w:t>
      </w:r>
      <w:r>
        <w:rPr>
          <w:sz w:val="20"/>
        </w:rPr>
        <w:t>and</w:t>
      </w:r>
    </w:p>
    <w:p>
      <w:pPr>
        <w:pStyle w:val="BodyText"/>
        <w:spacing w:line="206" w:lineRule="auto" w:before="4"/>
        <w:ind w:left="1761" w:right="1277"/>
      </w:pPr>
      <w:r>
        <w:rPr/>
        <w:t>the swift administration of justice’.</w:t>
      </w:r>
      <w:r>
        <w:rPr>
          <w:position w:val="7"/>
          <w:sz w:val="11"/>
        </w:rPr>
        <w:t>129 </w:t>
      </w:r>
      <w:r>
        <w:rPr/>
        <w:t>The Commission has been </w:t>
      </w:r>
      <w:r>
        <w:rPr>
          <w:spacing w:val="-3"/>
        </w:rPr>
        <w:t>told </w:t>
      </w:r>
      <w:r>
        <w:rPr/>
        <w:t>that Auslan </w:t>
      </w:r>
      <w:r>
        <w:rPr>
          <w:spacing w:val="-3"/>
        </w:rPr>
        <w:t>interpreters </w:t>
      </w:r>
      <w:r>
        <w:rPr/>
        <w:t>generally </w:t>
      </w:r>
      <w:r>
        <w:rPr>
          <w:spacing w:val="-3"/>
        </w:rPr>
        <w:t>work </w:t>
      </w:r>
      <w:r>
        <w:rPr/>
        <w:t>in pairs so that they can </w:t>
      </w:r>
      <w:r>
        <w:rPr>
          <w:spacing w:val="-3"/>
        </w:rPr>
        <w:t>relieve </w:t>
      </w:r>
      <w:r>
        <w:rPr/>
        <w:t>each other in a seamless </w:t>
      </w:r>
      <w:r>
        <w:rPr>
          <w:spacing w:val="-3"/>
        </w:rPr>
        <w:t>manner.</w:t>
      </w:r>
      <w:r>
        <w:rPr>
          <w:spacing w:val="-11"/>
        </w:rPr>
        <w:t> </w:t>
      </w:r>
      <w:r>
        <w:rPr/>
        <w:t>They</w:t>
      </w:r>
      <w:r>
        <w:rPr>
          <w:spacing w:val="-11"/>
        </w:rPr>
        <w:t> </w:t>
      </w:r>
      <w:r>
        <w:rPr/>
        <w:t>will</w:t>
      </w:r>
      <w:r>
        <w:rPr>
          <w:spacing w:val="-11"/>
        </w:rPr>
        <w:t> </w:t>
      </w:r>
      <w:r>
        <w:rPr/>
        <w:t>need</w:t>
      </w:r>
      <w:r>
        <w:rPr>
          <w:spacing w:val="-11"/>
        </w:rPr>
        <w:t> </w:t>
      </w:r>
      <w:r>
        <w:rPr/>
        <w:t>occasional</w:t>
      </w:r>
      <w:r>
        <w:rPr>
          <w:spacing w:val="-11"/>
        </w:rPr>
        <w:t> </w:t>
      </w:r>
      <w:r>
        <w:rPr/>
        <w:t>breaks</w:t>
      </w:r>
      <w:r>
        <w:rPr>
          <w:spacing w:val="-10"/>
        </w:rPr>
        <w:t> </w:t>
      </w:r>
      <w:r>
        <w:rPr/>
        <w:t>because</w:t>
      </w:r>
      <w:r>
        <w:rPr>
          <w:spacing w:val="-11"/>
        </w:rPr>
        <w:t> </w:t>
      </w:r>
      <w:r>
        <w:rPr/>
        <w:t>the</w:t>
      </w:r>
      <w:r>
        <w:rPr>
          <w:spacing w:val="-11"/>
        </w:rPr>
        <w:t> </w:t>
      </w:r>
      <w:r>
        <w:rPr>
          <w:spacing w:val="-3"/>
        </w:rPr>
        <w:t>work</w:t>
      </w:r>
      <w:r>
        <w:rPr>
          <w:spacing w:val="-11"/>
        </w:rPr>
        <w:t> </w:t>
      </w:r>
      <w:r>
        <w:rPr/>
        <w:t>is</w:t>
      </w:r>
      <w:r>
        <w:rPr>
          <w:spacing w:val="-11"/>
        </w:rPr>
        <w:t> </w:t>
      </w:r>
      <w:r>
        <w:rPr/>
        <w:t>exhausting,</w:t>
      </w:r>
      <w:r>
        <w:rPr>
          <w:spacing w:val="-10"/>
        </w:rPr>
        <w:t> </w:t>
      </w:r>
      <w:r>
        <w:rPr/>
        <w:t>but</w:t>
      </w:r>
      <w:r>
        <w:rPr>
          <w:spacing w:val="-11"/>
        </w:rPr>
        <w:t> </w:t>
      </w:r>
      <w:r>
        <w:rPr/>
        <w:t>regular disruptions to the trial </w:t>
      </w:r>
      <w:r>
        <w:rPr>
          <w:spacing w:val="-3"/>
        </w:rPr>
        <w:t>are </w:t>
      </w:r>
      <w:r>
        <w:rPr/>
        <w:t>not</w:t>
      </w:r>
      <w:r>
        <w:rPr>
          <w:spacing w:val="-25"/>
        </w:rPr>
        <w:t> </w:t>
      </w:r>
      <w:r>
        <w:rPr/>
        <w:t>anticipated.</w:t>
      </w:r>
    </w:p>
    <w:p>
      <w:pPr>
        <w:pStyle w:val="ListParagraph"/>
        <w:numPr>
          <w:ilvl w:val="1"/>
          <w:numId w:val="12"/>
        </w:numPr>
        <w:tabs>
          <w:tab w:pos="1761" w:val="left" w:leader="none"/>
          <w:tab w:pos="1762" w:val="left" w:leader="none"/>
        </w:tabs>
        <w:spacing w:line="206" w:lineRule="auto" w:before="125" w:after="0"/>
        <w:ind w:left="1761" w:right="1452" w:hanging="794"/>
        <w:jc w:val="left"/>
        <w:rPr>
          <w:sz w:val="20"/>
        </w:rPr>
      </w:pPr>
      <w:r>
        <w:rPr>
          <w:sz w:val="20"/>
        </w:rPr>
        <w:t>All of these factors </w:t>
      </w:r>
      <w:r>
        <w:rPr>
          <w:spacing w:val="-3"/>
          <w:sz w:val="20"/>
        </w:rPr>
        <w:t>would </w:t>
      </w:r>
      <w:r>
        <w:rPr>
          <w:sz w:val="20"/>
        </w:rPr>
        <w:t>need to be considered </w:t>
      </w:r>
      <w:r>
        <w:rPr>
          <w:spacing w:val="-3"/>
          <w:sz w:val="20"/>
        </w:rPr>
        <w:t>by </w:t>
      </w:r>
      <w:r>
        <w:rPr>
          <w:sz w:val="20"/>
        </w:rPr>
        <w:t>the trial judge in making an assessment</w:t>
      </w:r>
      <w:r>
        <w:rPr>
          <w:spacing w:val="-12"/>
          <w:sz w:val="20"/>
        </w:rPr>
        <w:t> </w:t>
      </w:r>
      <w:r>
        <w:rPr>
          <w:sz w:val="20"/>
        </w:rPr>
        <w:t>about</w:t>
      </w:r>
      <w:r>
        <w:rPr>
          <w:spacing w:val="-11"/>
          <w:sz w:val="20"/>
        </w:rPr>
        <w:t> </w:t>
      </w:r>
      <w:r>
        <w:rPr>
          <w:sz w:val="20"/>
        </w:rPr>
        <w:t>whether</w:t>
      </w:r>
      <w:r>
        <w:rPr>
          <w:spacing w:val="-12"/>
          <w:sz w:val="20"/>
        </w:rPr>
        <w:t> </w:t>
      </w:r>
      <w:r>
        <w:rPr>
          <w:sz w:val="20"/>
        </w:rPr>
        <w:t>it</w:t>
      </w:r>
      <w:r>
        <w:rPr>
          <w:spacing w:val="-11"/>
          <w:sz w:val="20"/>
        </w:rPr>
        <w:t> </w:t>
      </w:r>
      <w:r>
        <w:rPr>
          <w:sz w:val="20"/>
        </w:rPr>
        <w:t>is</w:t>
      </w:r>
      <w:r>
        <w:rPr>
          <w:spacing w:val="-11"/>
          <w:sz w:val="20"/>
        </w:rPr>
        <w:t> </w:t>
      </w:r>
      <w:r>
        <w:rPr>
          <w:sz w:val="20"/>
        </w:rPr>
        <w:t>reasonable</w:t>
      </w:r>
      <w:r>
        <w:rPr>
          <w:spacing w:val="-12"/>
          <w:sz w:val="20"/>
        </w:rPr>
        <w:t> </w:t>
      </w:r>
      <w:r>
        <w:rPr>
          <w:sz w:val="20"/>
        </w:rPr>
        <w:t>to</w:t>
      </w:r>
      <w:r>
        <w:rPr>
          <w:spacing w:val="-11"/>
          <w:sz w:val="20"/>
        </w:rPr>
        <w:t> </w:t>
      </w:r>
      <w:r>
        <w:rPr>
          <w:spacing w:val="-3"/>
          <w:sz w:val="20"/>
        </w:rPr>
        <w:t>provide</w:t>
      </w:r>
      <w:r>
        <w:rPr>
          <w:spacing w:val="-12"/>
          <w:sz w:val="20"/>
        </w:rPr>
        <w:t> </w:t>
      </w:r>
      <w:r>
        <w:rPr>
          <w:sz w:val="20"/>
        </w:rPr>
        <w:t>adjustments</w:t>
      </w:r>
      <w:r>
        <w:rPr>
          <w:spacing w:val="-11"/>
          <w:sz w:val="20"/>
        </w:rPr>
        <w:t> </w:t>
      </w:r>
      <w:r>
        <w:rPr>
          <w:sz w:val="20"/>
        </w:rPr>
        <w:t>in</w:t>
      </w:r>
      <w:r>
        <w:rPr>
          <w:spacing w:val="-11"/>
          <w:sz w:val="20"/>
        </w:rPr>
        <w:t> </w:t>
      </w:r>
      <w:r>
        <w:rPr>
          <w:sz w:val="20"/>
        </w:rPr>
        <w:t>a</w:t>
      </w:r>
      <w:r>
        <w:rPr>
          <w:spacing w:val="-12"/>
          <w:sz w:val="20"/>
        </w:rPr>
        <w:t> </w:t>
      </w:r>
      <w:r>
        <w:rPr>
          <w:sz w:val="20"/>
        </w:rPr>
        <w:t>particular</w:t>
      </w:r>
      <w:r>
        <w:rPr>
          <w:spacing w:val="-11"/>
          <w:sz w:val="20"/>
        </w:rPr>
        <w:t> </w:t>
      </w:r>
      <w:r>
        <w:rPr>
          <w:sz w:val="20"/>
        </w:rPr>
        <w:t>trial (see </w:t>
      </w:r>
      <w:r>
        <w:rPr>
          <w:spacing w:val="-2"/>
          <w:sz w:val="20"/>
        </w:rPr>
        <w:t>Chapter</w:t>
      </w:r>
      <w:r>
        <w:rPr>
          <w:spacing w:val="-9"/>
          <w:sz w:val="20"/>
        </w:rPr>
        <w:t> </w:t>
      </w:r>
      <w:r>
        <w:rPr>
          <w:sz w:val="20"/>
        </w:rPr>
        <w:t>11).</w:t>
      </w:r>
    </w:p>
    <w:p>
      <w:pPr>
        <w:pStyle w:val="BodyText"/>
        <w:spacing w:before="7"/>
        <w:rPr>
          <w:sz w:val="16"/>
        </w:rPr>
      </w:pPr>
    </w:p>
    <w:p>
      <w:pPr>
        <w:pStyle w:val="Heading2"/>
        <w:rPr>
          <w:b/>
        </w:rPr>
      </w:pPr>
      <w:r>
        <w:rPr>
          <w:b/>
          <w:color w:val="37617A"/>
        </w:rPr>
        <w:t>Safeguards can protect the right to a fair trial</w:t>
      </w:r>
    </w:p>
    <w:p>
      <w:pPr>
        <w:pStyle w:val="ListParagraph"/>
        <w:numPr>
          <w:ilvl w:val="1"/>
          <w:numId w:val="12"/>
        </w:numPr>
        <w:tabs>
          <w:tab w:pos="1761" w:val="left" w:leader="none"/>
          <w:tab w:pos="1762" w:val="left" w:leader="none"/>
        </w:tabs>
        <w:spacing w:line="206" w:lineRule="auto" w:before="146" w:after="0"/>
        <w:ind w:left="1761" w:right="1210" w:hanging="794"/>
        <w:jc w:val="left"/>
        <w:rPr>
          <w:sz w:val="20"/>
        </w:rPr>
      </w:pPr>
      <w:r>
        <w:rPr>
          <w:sz w:val="20"/>
        </w:rPr>
        <w:t>It</w:t>
      </w:r>
      <w:r>
        <w:rPr>
          <w:spacing w:val="-10"/>
          <w:sz w:val="20"/>
        </w:rPr>
        <w:t> </w:t>
      </w:r>
      <w:r>
        <w:rPr>
          <w:sz w:val="20"/>
        </w:rPr>
        <w:t>is</w:t>
      </w:r>
      <w:r>
        <w:rPr>
          <w:spacing w:val="-9"/>
          <w:sz w:val="20"/>
        </w:rPr>
        <w:t> </w:t>
      </w:r>
      <w:r>
        <w:rPr>
          <w:sz w:val="20"/>
        </w:rPr>
        <w:t>possible</w:t>
      </w:r>
      <w:r>
        <w:rPr>
          <w:spacing w:val="-10"/>
          <w:sz w:val="20"/>
        </w:rPr>
        <w:t> </w:t>
      </w:r>
      <w:r>
        <w:rPr>
          <w:sz w:val="20"/>
        </w:rPr>
        <w:t>to</w:t>
      </w:r>
      <w:r>
        <w:rPr>
          <w:spacing w:val="-9"/>
          <w:sz w:val="20"/>
        </w:rPr>
        <w:t> </w:t>
      </w:r>
      <w:r>
        <w:rPr>
          <w:sz w:val="20"/>
        </w:rPr>
        <w:t>uphold</w:t>
      </w:r>
      <w:r>
        <w:rPr>
          <w:spacing w:val="-10"/>
          <w:sz w:val="20"/>
        </w:rPr>
        <w:t> </w:t>
      </w:r>
      <w:r>
        <w:rPr>
          <w:sz w:val="20"/>
        </w:rPr>
        <w:t>the</w:t>
      </w:r>
      <w:r>
        <w:rPr>
          <w:spacing w:val="-9"/>
          <w:sz w:val="20"/>
        </w:rPr>
        <w:t> </w:t>
      </w:r>
      <w:r>
        <w:rPr>
          <w:sz w:val="20"/>
        </w:rPr>
        <w:t>right</w:t>
      </w:r>
      <w:r>
        <w:rPr>
          <w:spacing w:val="-10"/>
          <w:sz w:val="20"/>
        </w:rPr>
        <w:t> </w:t>
      </w:r>
      <w:r>
        <w:rPr>
          <w:sz w:val="20"/>
        </w:rPr>
        <w:t>to</w:t>
      </w:r>
      <w:r>
        <w:rPr>
          <w:spacing w:val="-9"/>
          <w:sz w:val="20"/>
        </w:rPr>
        <w:t> </w:t>
      </w:r>
      <w:r>
        <w:rPr>
          <w:sz w:val="20"/>
        </w:rPr>
        <w:t>a</w:t>
      </w:r>
      <w:r>
        <w:rPr>
          <w:spacing w:val="-10"/>
          <w:sz w:val="20"/>
        </w:rPr>
        <w:t> </w:t>
      </w:r>
      <w:r>
        <w:rPr>
          <w:sz w:val="20"/>
        </w:rPr>
        <w:t>fair</w:t>
      </w:r>
      <w:r>
        <w:rPr>
          <w:spacing w:val="-9"/>
          <w:sz w:val="20"/>
        </w:rPr>
        <w:t> </w:t>
      </w:r>
      <w:r>
        <w:rPr>
          <w:sz w:val="20"/>
        </w:rPr>
        <w:t>trial</w:t>
      </w:r>
      <w:r>
        <w:rPr>
          <w:spacing w:val="-10"/>
          <w:sz w:val="20"/>
        </w:rPr>
        <w:t> </w:t>
      </w:r>
      <w:r>
        <w:rPr>
          <w:sz w:val="20"/>
        </w:rPr>
        <w:t>and</w:t>
      </w:r>
      <w:r>
        <w:rPr>
          <w:spacing w:val="-9"/>
          <w:sz w:val="20"/>
        </w:rPr>
        <w:t> </w:t>
      </w:r>
      <w:r>
        <w:rPr>
          <w:spacing w:val="-4"/>
          <w:sz w:val="20"/>
        </w:rPr>
        <w:t>involve</w:t>
      </w:r>
      <w:r>
        <w:rPr>
          <w:spacing w:val="-10"/>
          <w:sz w:val="20"/>
        </w:rPr>
        <w:t> </w:t>
      </w:r>
      <w:r>
        <w:rPr>
          <w:sz w:val="20"/>
        </w:rPr>
        <w:t>people</w:t>
      </w:r>
      <w:r>
        <w:rPr>
          <w:spacing w:val="-9"/>
          <w:sz w:val="20"/>
        </w:rPr>
        <w:t> </w:t>
      </w:r>
      <w:r>
        <w:rPr>
          <w:sz w:val="20"/>
        </w:rPr>
        <w:t>in</w:t>
      </w:r>
      <w:r>
        <w:rPr>
          <w:spacing w:val="-10"/>
          <w:sz w:val="20"/>
        </w:rPr>
        <w:t> </w:t>
      </w:r>
      <w:r>
        <w:rPr>
          <w:sz w:val="20"/>
        </w:rPr>
        <w:t>the</w:t>
      </w:r>
      <w:r>
        <w:rPr>
          <w:spacing w:val="-9"/>
          <w:sz w:val="20"/>
        </w:rPr>
        <w:t> </w:t>
      </w:r>
      <w:r>
        <w:rPr>
          <w:sz w:val="20"/>
        </w:rPr>
        <w:t>subject</w:t>
      </w:r>
      <w:r>
        <w:rPr>
          <w:spacing w:val="-10"/>
          <w:sz w:val="20"/>
        </w:rPr>
        <w:t> </w:t>
      </w:r>
      <w:r>
        <w:rPr>
          <w:sz w:val="20"/>
        </w:rPr>
        <w:t>groups</w:t>
      </w:r>
      <w:r>
        <w:rPr>
          <w:spacing w:val="-9"/>
          <w:sz w:val="20"/>
        </w:rPr>
        <w:t> </w:t>
      </w:r>
      <w:r>
        <w:rPr>
          <w:sz w:val="20"/>
        </w:rPr>
        <w:t>as jurors. In </w:t>
      </w:r>
      <w:r>
        <w:rPr>
          <w:spacing w:val="-2"/>
          <w:sz w:val="20"/>
        </w:rPr>
        <w:t>Chapter </w:t>
      </w:r>
      <w:r>
        <w:rPr>
          <w:spacing w:val="-3"/>
          <w:sz w:val="20"/>
        </w:rPr>
        <w:t>10 we examine </w:t>
      </w:r>
      <w:r>
        <w:rPr>
          <w:sz w:val="20"/>
        </w:rPr>
        <w:t>practices in </w:t>
      </w:r>
      <w:r>
        <w:rPr>
          <w:spacing w:val="-3"/>
          <w:sz w:val="20"/>
        </w:rPr>
        <w:t>overseas </w:t>
      </w:r>
      <w:r>
        <w:rPr>
          <w:sz w:val="20"/>
        </w:rPr>
        <w:t>jurisdictions where judges </w:t>
      </w:r>
      <w:r>
        <w:rPr>
          <w:spacing w:val="-4"/>
          <w:sz w:val="20"/>
        </w:rPr>
        <w:t>have </w:t>
      </w:r>
      <w:r>
        <w:rPr>
          <w:sz w:val="20"/>
        </w:rPr>
        <w:t>comparable obligations to uphold a fair trial and where people in the subject groups </w:t>
      </w:r>
      <w:r>
        <w:rPr>
          <w:spacing w:val="-4"/>
          <w:sz w:val="20"/>
        </w:rPr>
        <w:t>have </w:t>
      </w:r>
      <w:r>
        <w:rPr>
          <w:sz w:val="20"/>
        </w:rPr>
        <w:t>been serving as jurors for </w:t>
      </w:r>
      <w:r>
        <w:rPr>
          <w:spacing w:val="-3"/>
          <w:sz w:val="20"/>
        </w:rPr>
        <w:t>many</w:t>
      </w:r>
      <w:r>
        <w:rPr>
          <w:spacing w:val="-27"/>
          <w:sz w:val="20"/>
        </w:rPr>
        <w:t> </w:t>
      </w:r>
      <w:r>
        <w:rPr>
          <w:sz w:val="20"/>
        </w:rPr>
        <w:t>years.</w:t>
      </w:r>
    </w:p>
    <w:p>
      <w:pPr>
        <w:pStyle w:val="ListParagraph"/>
        <w:numPr>
          <w:ilvl w:val="1"/>
          <w:numId w:val="12"/>
        </w:numPr>
        <w:tabs>
          <w:tab w:pos="1761" w:val="left" w:leader="none"/>
          <w:tab w:pos="1762" w:val="left" w:leader="none"/>
        </w:tabs>
        <w:spacing w:line="206" w:lineRule="auto" w:before="125" w:after="0"/>
        <w:ind w:left="1761" w:right="1205" w:hanging="794"/>
        <w:jc w:val="left"/>
        <w:rPr>
          <w:sz w:val="20"/>
        </w:rPr>
      </w:pPr>
      <w:r>
        <w:rPr>
          <w:sz w:val="20"/>
        </w:rPr>
        <w:t>As noted earlier in the </w:t>
      </w:r>
      <w:r>
        <w:rPr>
          <w:spacing w:val="-4"/>
          <w:sz w:val="20"/>
        </w:rPr>
        <w:t>chapter, </w:t>
      </w:r>
      <w:r>
        <w:rPr>
          <w:sz w:val="20"/>
        </w:rPr>
        <w:t>there </w:t>
      </w:r>
      <w:r>
        <w:rPr>
          <w:spacing w:val="-3"/>
          <w:sz w:val="20"/>
        </w:rPr>
        <w:t>are </w:t>
      </w:r>
      <w:r>
        <w:rPr>
          <w:sz w:val="20"/>
        </w:rPr>
        <w:t>already extensive mechanisms aimed at ensuring impartiality and a fair trial.</w:t>
      </w:r>
      <w:r>
        <w:rPr>
          <w:position w:val="7"/>
          <w:sz w:val="11"/>
        </w:rPr>
        <w:t>130 </w:t>
      </w:r>
      <w:r>
        <w:rPr>
          <w:sz w:val="20"/>
        </w:rPr>
        <w:t>These </w:t>
      </w:r>
      <w:r>
        <w:rPr>
          <w:spacing w:val="-3"/>
          <w:sz w:val="20"/>
        </w:rPr>
        <w:t>apply </w:t>
      </w:r>
      <w:r>
        <w:rPr>
          <w:sz w:val="20"/>
        </w:rPr>
        <w:t>to all potential jurors, including people</w:t>
      </w:r>
      <w:r>
        <w:rPr>
          <w:spacing w:val="-13"/>
          <w:sz w:val="20"/>
        </w:rPr>
        <w:t> </w:t>
      </w:r>
      <w:r>
        <w:rPr>
          <w:sz w:val="20"/>
        </w:rPr>
        <w:t>in</w:t>
      </w:r>
      <w:r>
        <w:rPr>
          <w:spacing w:val="-12"/>
          <w:sz w:val="20"/>
        </w:rPr>
        <w:t> </w:t>
      </w:r>
      <w:r>
        <w:rPr>
          <w:sz w:val="20"/>
        </w:rPr>
        <w:t>the</w:t>
      </w:r>
      <w:r>
        <w:rPr>
          <w:spacing w:val="-12"/>
          <w:sz w:val="20"/>
        </w:rPr>
        <w:t> </w:t>
      </w:r>
      <w:r>
        <w:rPr>
          <w:sz w:val="20"/>
        </w:rPr>
        <w:t>subject</w:t>
      </w:r>
      <w:r>
        <w:rPr>
          <w:spacing w:val="-13"/>
          <w:sz w:val="20"/>
        </w:rPr>
        <w:t> </w:t>
      </w:r>
      <w:r>
        <w:rPr>
          <w:sz w:val="20"/>
        </w:rPr>
        <w:t>groups.</w:t>
      </w:r>
      <w:r>
        <w:rPr>
          <w:spacing w:val="-12"/>
          <w:sz w:val="20"/>
        </w:rPr>
        <w:t> </w:t>
      </w:r>
      <w:r>
        <w:rPr>
          <w:sz w:val="20"/>
        </w:rPr>
        <w:t>The</w:t>
      </w:r>
      <w:r>
        <w:rPr>
          <w:spacing w:val="-12"/>
          <w:sz w:val="20"/>
        </w:rPr>
        <w:t> </w:t>
      </w:r>
      <w:r>
        <w:rPr>
          <w:sz w:val="20"/>
        </w:rPr>
        <w:t>Victorian</w:t>
      </w:r>
      <w:r>
        <w:rPr>
          <w:spacing w:val="-12"/>
          <w:sz w:val="20"/>
        </w:rPr>
        <w:t> </w:t>
      </w:r>
      <w:r>
        <w:rPr>
          <w:sz w:val="20"/>
        </w:rPr>
        <w:t>Criminal</w:t>
      </w:r>
      <w:r>
        <w:rPr>
          <w:spacing w:val="-13"/>
          <w:sz w:val="20"/>
        </w:rPr>
        <w:t> </w:t>
      </w:r>
      <w:r>
        <w:rPr>
          <w:sz w:val="20"/>
        </w:rPr>
        <w:t>Bar</w:t>
      </w:r>
      <w:r>
        <w:rPr>
          <w:spacing w:val="-12"/>
          <w:sz w:val="20"/>
        </w:rPr>
        <w:t> </w:t>
      </w:r>
      <w:r>
        <w:rPr>
          <w:sz w:val="20"/>
        </w:rPr>
        <w:t>Association</w:t>
      </w:r>
      <w:r>
        <w:rPr>
          <w:spacing w:val="-12"/>
          <w:sz w:val="20"/>
        </w:rPr>
        <w:t> </w:t>
      </w:r>
      <w:r>
        <w:rPr>
          <w:sz w:val="20"/>
        </w:rPr>
        <w:t>consultees</w:t>
      </w:r>
      <w:r>
        <w:rPr>
          <w:spacing w:val="-13"/>
          <w:sz w:val="20"/>
        </w:rPr>
        <w:t> </w:t>
      </w:r>
      <w:r>
        <w:rPr>
          <w:spacing w:val="-3"/>
          <w:sz w:val="20"/>
        </w:rPr>
        <w:t>told</w:t>
      </w:r>
      <w:r>
        <w:rPr>
          <w:spacing w:val="-12"/>
          <w:sz w:val="20"/>
        </w:rPr>
        <w:t> </w:t>
      </w:r>
      <w:r>
        <w:rPr>
          <w:sz w:val="20"/>
        </w:rPr>
        <w:t>the Commission</w:t>
      </w:r>
      <w:r>
        <w:rPr>
          <w:spacing w:val="-5"/>
          <w:sz w:val="20"/>
        </w:rPr>
        <w:t> </w:t>
      </w:r>
      <w:r>
        <w:rPr>
          <w:sz w:val="20"/>
        </w:rPr>
        <w:t>that:</w:t>
      </w:r>
    </w:p>
    <w:p>
      <w:pPr>
        <w:spacing w:line="208" w:lineRule="auto" w:before="123"/>
        <w:ind w:left="2157" w:right="1668" w:firstLine="0"/>
        <w:jc w:val="left"/>
        <w:rPr>
          <w:sz w:val="19"/>
        </w:rPr>
      </w:pPr>
      <w:r>
        <w:rPr>
          <w:sz w:val="19"/>
        </w:rPr>
        <w:t>a juror can be discharged at any time during a case (the example was provided of</w:t>
      </w:r>
      <w:r>
        <w:rPr>
          <w:spacing w:val="-4"/>
          <w:sz w:val="19"/>
        </w:rPr>
        <w:t> </w:t>
      </w:r>
      <w:r>
        <w:rPr>
          <w:sz w:val="19"/>
        </w:rPr>
        <w:t>a</w:t>
      </w:r>
      <w:r>
        <w:rPr>
          <w:spacing w:val="-3"/>
          <w:sz w:val="19"/>
        </w:rPr>
        <w:t> </w:t>
      </w:r>
      <w:r>
        <w:rPr>
          <w:sz w:val="19"/>
        </w:rPr>
        <w:t>juror</w:t>
      </w:r>
      <w:r>
        <w:rPr>
          <w:spacing w:val="-4"/>
          <w:sz w:val="19"/>
        </w:rPr>
        <w:t> </w:t>
      </w:r>
      <w:r>
        <w:rPr>
          <w:sz w:val="19"/>
        </w:rPr>
        <w:t>who</w:t>
      </w:r>
      <w:r>
        <w:rPr>
          <w:spacing w:val="-3"/>
          <w:sz w:val="19"/>
        </w:rPr>
        <w:t> </w:t>
      </w:r>
      <w:r>
        <w:rPr>
          <w:sz w:val="19"/>
        </w:rPr>
        <w:t>found</w:t>
      </w:r>
      <w:r>
        <w:rPr>
          <w:spacing w:val="-4"/>
          <w:sz w:val="19"/>
        </w:rPr>
        <w:t> </w:t>
      </w:r>
      <w:r>
        <w:rPr>
          <w:sz w:val="19"/>
        </w:rPr>
        <w:t>sitting</w:t>
      </w:r>
      <w:r>
        <w:rPr>
          <w:spacing w:val="-3"/>
          <w:sz w:val="19"/>
        </w:rPr>
        <w:t> </w:t>
      </w:r>
      <w:r>
        <w:rPr>
          <w:sz w:val="19"/>
        </w:rPr>
        <w:t>to</w:t>
      </w:r>
      <w:r>
        <w:rPr>
          <w:spacing w:val="-4"/>
          <w:sz w:val="19"/>
        </w:rPr>
        <w:t> </w:t>
      </w:r>
      <w:r>
        <w:rPr>
          <w:sz w:val="19"/>
        </w:rPr>
        <w:t>be</w:t>
      </w:r>
      <w:r>
        <w:rPr>
          <w:spacing w:val="-3"/>
          <w:sz w:val="19"/>
        </w:rPr>
        <w:t> </w:t>
      </w:r>
      <w:r>
        <w:rPr>
          <w:sz w:val="19"/>
        </w:rPr>
        <w:t>too</w:t>
      </w:r>
      <w:r>
        <w:rPr>
          <w:spacing w:val="-4"/>
          <w:sz w:val="19"/>
        </w:rPr>
        <w:t> </w:t>
      </w:r>
      <w:r>
        <w:rPr>
          <w:sz w:val="19"/>
        </w:rPr>
        <w:t>emotional</w:t>
      </w:r>
      <w:r>
        <w:rPr>
          <w:spacing w:val="-3"/>
          <w:sz w:val="19"/>
        </w:rPr>
        <w:t> </w:t>
      </w:r>
      <w:r>
        <w:rPr>
          <w:sz w:val="19"/>
        </w:rPr>
        <w:t>and</w:t>
      </w:r>
      <w:r>
        <w:rPr>
          <w:spacing w:val="-4"/>
          <w:sz w:val="19"/>
        </w:rPr>
        <w:t> </w:t>
      </w:r>
      <w:r>
        <w:rPr>
          <w:sz w:val="19"/>
        </w:rPr>
        <w:t>stressful,</w:t>
      </w:r>
      <w:r>
        <w:rPr>
          <w:spacing w:val="-3"/>
          <w:sz w:val="19"/>
        </w:rPr>
        <w:t> </w:t>
      </w:r>
      <w:r>
        <w:rPr>
          <w:sz w:val="19"/>
        </w:rPr>
        <w:t>so</w:t>
      </w:r>
      <w:r>
        <w:rPr>
          <w:spacing w:val="-4"/>
          <w:sz w:val="19"/>
        </w:rPr>
        <w:t> </w:t>
      </w:r>
      <w:r>
        <w:rPr>
          <w:sz w:val="19"/>
        </w:rPr>
        <w:t>they</w:t>
      </w:r>
      <w:r>
        <w:rPr>
          <w:spacing w:val="-3"/>
          <w:sz w:val="19"/>
        </w:rPr>
        <w:t> </w:t>
      </w:r>
      <w:r>
        <w:rPr>
          <w:sz w:val="19"/>
        </w:rPr>
        <w:t>asked</w:t>
      </w:r>
      <w:r>
        <w:rPr>
          <w:spacing w:val="-4"/>
          <w:sz w:val="19"/>
        </w:rPr>
        <w:t> </w:t>
      </w:r>
      <w:r>
        <w:rPr>
          <w:sz w:val="19"/>
        </w:rPr>
        <w:t>to</w:t>
      </w:r>
      <w:r>
        <w:rPr>
          <w:spacing w:val="-3"/>
          <w:sz w:val="19"/>
        </w:rPr>
        <w:t> </w:t>
      </w:r>
      <w:r>
        <w:rPr>
          <w:sz w:val="19"/>
        </w:rPr>
        <w:t>be</w:t>
      </w:r>
    </w:p>
    <w:p>
      <w:pPr>
        <w:spacing w:line="208" w:lineRule="auto" w:before="1"/>
        <w:ind w:left="2157" w:right="1238" w:firstLine="0"/>
        <w:jc w:val="left"/>
        <w:rPr>
          <w:sz w:val="19"/>
        </w:rPr>
      </w:pPr>
      <w:r>
        <w:rPr>
          <w:sz w:val="19"/>
        </w:rPr>
        <w:t>discharged after one day), so this should not be a big issue. If a juror doesn’t want to be there they shouldn’t be there. Most jurors have no idea what it is like to be in a trial.</w:t>
      </w:r>
    </w:p>
    <w:p>
      <w:pPr>
        <w:spacing w:line="208" w:lineRule="auto" w:before="2"/>
        <w:ind w:left="2157" w:right="1110" w:firstLine="0"/>
        <w:jc w:val="left"/>
        <w:rPr>
          <w:sz w:val="11"/>
        </w:rPr>
      </w:pPr>
      <w:r>
        <w:rPr>
          <w:sz w:val="19"/>
        </w:rPr>
        <w:t>... There are lots of options available to the parties to address issues with jurors as they come up.</w:t>
      </w:r>
      <w:r>
        <w:rPr>
          <w:position w:val="6"/>
          <w:sz w:val="11"/>
        </w:rPr>
        <w:t>131</w:t>
      </w:r>
    </w:p>
    <w:p>
      <w:pPr>
        <w:pStyle w:val="Heading3"/>
        <w:spacing w:before="161"/>
      </w:pPr>
      <w:r>
        <w:rPr/>
        <w:t>A cautious approach to additional safeguards</w:t>
      </w:r>
    </w:p>
    <w:p>
      <w:pPr>
        <w:pStyle w:val="ListParagraph"/>
        <w:numPr>
          <w:ilvl w:val="1"/>
          <w:numId w:val="12"/>
        </w:numPr>
        <w:tabs>
          <w:tab w:pos="1761" w:val="left" w:leader="none"/>
          <w:tab w:pos="1762" w:val="left" w:leader="none"/>
        </w:tabs>
        <w:spacing w:line="206" w:lineRule="auto" w:before="127" w:after="0"/>
        <w:ind w:left="1761" w:right="1323" w:hanging="794"/>
        <w:jc w:val="left"/>
        <w:rPr>
          <w:sz w:val="20"/>
        </w:rPr>
      </w:pPr>
      <w:r>
        <w:rPr>
          <w:sz w:val="20"/>
        </w:rPr>
        <w:t>In recommending additional fair trial safeguards relating to the use of reasonable adjustments,</w:t>
      </w:r>
      <w:r>
        <w:rPr>
          <w:spacing w:val="-13"/>
          <w:sz w:val="20"/>
        </w:rPr>
        <w:t> </w:t>
      </w:r>
      <w:r>
        <w:rPr>
          <w:sz w:val="20"/>
        </w:rPr>
        <w:t>the</w:t>
      </w:r>
      <w:r>
        <w:rPr>
          <w:spacing w:val="-13"/>
          <w:sz w:val="20"/>
        </w:rPr>
        <w:t> </w:t>
      </w:r>
      <w:r>
        <w:rPr>
          <w:sz w:val="20"/>
        </w:rPr>
        <w:t>Commission</w:t>
      </w:r>
      <w:r>
        <w:rPr>
          <w:spacing w:val="-12"/>
          <w:sz w:val="20"/>
        </w:rPr>
        <w:t> </w:t>
      </w:r>
      <w:r>
        <w:rPr>
          <w:sz w:val="20"/>
        </w:rPr>
        <w:t>is</w:t>
      </w:r>
      <w:r>
        <w:rPr>
          <w:spacing w:val="-13"/>
          <w:sz w:val="20"/>
        </w:rPr>
        <w:t> </w:t>
      </w:r>
      <w:r>
        <w:rPr>
          <w:sz w:val="20"/>
        </w:rPr>
        <w:t>conscious</w:t>
      </w:r>
      <w:r>
        <w:rPr>
          <w:spacing w:val="-13"/>
          <w:sz w:val="20"/>
        </w:rPr>
        <w:t> </w:t>
      </w:r>
      <w:r>
        <w:rPr>
          <w:sz w:val="20"/>
        </w:rPr>
        <w:t>of</w:t>
      </w:r>
      <w:r>
        <w:rPr>
          <w:spacing w:val="-12"/>
          <w:sz w:val="20"/>
        </w:rPr>
        <w:t> </w:t>
      </w:r>
      <w:r>
        <w:rPr>
          <w:sz w:val="20"/>
        </w:rPr>
        <w:t>not</w:t>
      </w:r>
      <w:r>
        <w:rPr>
          <w:spacing w:val="-13"/>
          <w:sz w:val="20"/>
        </w:rPr>
        <w:t> </w:t>
      </w:r>
      <w:r>
        <w:rPr>
          <w:sz w:val="20"/>
        </w:rPr>
        <w:t>making</w:t>
      </w:r>
      <w:r>
        <w:rPr>
          <w:spacing w:val="-12"/>
          <w:sz w:val="20"/>
        </w:rPr>
        <w:t> </w:t>
      </w:r>
      <w:r>
        <w:rPr>
          <w:sz w:val="20"/>
        </w:rPr>
        <w:t>it</w:t>
      </w:r>
      <w:r>
        <w:rPr>
          <w:spacing w:val="-13"/>
          <w:sz w:val="20"/>
        </w:rPr>
        <w:t> </w:t>
      </w:r>
      <w:r>
        <w:rPr>
          <w:spacing w:val="-4"/>
          <w:sz w:val="20"/>
        </w:rPr>
        <w:t>overly</w:t>
      </w:r>
      <w:r>
        <w:rPr>
          <w:spacing w:val="-13"/>
          <w:sz w:val="20"/>
        </w:rPr>
        <w:t> </w:t>
      </w:r>
      <w:r>
        <w:rPr>
          <w:sz w:val="20"/>
        </w:rPr>
        <w:t>difficult</w:t>
      </w:r>
      <w:r>
        <w:rPr>
          <w:spacing w:val="-12"/>
          <w:sz w:val="20"/>
        </w:rPr>
        <w:t> </w:t>
      </w:r>
      <w:r>
        <w:rPr>
          <w:sz w:val="20"/>
        </w:rPr>
        <w:t>for</w:t>
      </w:r>
      <w:r>
        <w:rPr>
          <w:spacing w:val="-13"/>
          <w:sz w:val="20"/>
        </w:rPr>
        <w:t> </w:t>
      </w:r>
      <w:r>
        <w:rPr>
          <w:sz w:val="20"/>
        </w:rPr>
        <w:t>people</w:t>
      </w:r>
      <w:r>
        <w:rPr>
          <w:spacing w:val="-12"/>
          <w:sz w:val="20"/>
        </w:rPr>
        <w:t> </w:t>
      </w:r>
      <w:r>
        <w:rPr>
          <w:sz w:val="20"/>
        </w:rPr>
        <w:t>in the</w:t>
      </w:r>
      <w:r>
        <w:rPr>
          <w:spacing w:val="-7"/>
          <w:sz w:val="20"/>
        </w:rPr>
        <w:t> </w:t>
      </w:r>
      <w:r>
        <w:rPr>
          <w:sz w:val="20"/>
        </w:rPr>
        <w:t>subject</w:t>
      </w:r>
      <w:r>
        <w:rPr>
          <w:spacing w:val="-7"/>
          <w:sz w:val="20"/>
        </w:rPr>
        <w:t> </w:t>
      </w:r>
      <w:r>
        <w:rPr>
          <w:sz w:val="20"/>
        </w:rPr>
        <w:t>groups</w:t>
      </w:r>
      <w:r>
        <w:rPr>
          <w:spacing w:val="-6"/>
          <w:sz w:val="20"/>
        </w:rPr>
        <w:t> </w:t>
      </w:r>
      <w:r>
        <w:rPr>
          <w:sz w:val="20"/>
        </w:rPr>
        <w:t>to</w:t>
      </w:r>
      <w:r>
        <w:rPr>
          <w:spacing w:val="-7"/>
          <w:sz w:val="20"/>
        </w:rPr>
        <w:t> </w:t>
      </w:r>
      <w:r>
        <w:rPr>
          <w:sz w:val="20"/>
        </w:rPr>
        <w:t>participate.</w:t>
      </w:r>
      <w:r>
        <w:rPr>
          <w:spacing w:val="-6"/>
          <w:sz w:val="20"/>
        </w:rPr>
        <w:t> </w:t>
      </w:r>
      <w:r>
        <w:rPr>
          <w:sz w:val="20"/>
        </w:rPr>
        <w:t>As</w:t>
      </w:r>
      <w:r>
        <w:rPr>
          <w:spacing w:val="-7"/>
          <w:sz w:val="20"/>
        </w:rPr>
        <w:t> </w:t>
      </w:r>
      <w:r>
        <w:rPr>
          <w:sz w:val="20"/>
        </w:rPr>
        <w:t>one</w:t>
      </w:r>
      <w:r>
        <w:rPr>
          <w:spacing w:val="-7"/>
          <w:sz w:val="20"/>
        </w:rPr>
        <w:t> </w:t>
      </w:r>
      <w:r>
        <w:rPr>
          <w:sz w:val="20"/>
        </w:rPr>
        <w:t>consultation</w:t>
      </w:r>
      <w:r>
        <w:rPr>
          <w:spacing w:val="-6"/>
          <w:sz w:val="20"/>
        </w:rPr>
        <w:t> </w:t>
      </w:r>
      <w:r>
        <w:rPr>
          <w:sz w:val="20"/>
        </w:rPr>
        <w:t>participant</w:t>
      </w:r>
      <w:r>
        <w:rPr>
          <w:spacing w:val="-7"/>
          <w:sz w:val="20"/>
        </w:rPr>
        <w:t> </w:t>
      </w:r>
      <w:r>
        <w:rPr>
          <w:sz w:val="20"/>
        </w:rPr>
        <w:t>noted:</w:t>
      </w:r>
    </w:p>
    <w:p>
      <w:pPr>
        <w:spacing w:line="208" w:lineRule="auto" w:before="121"/>
        <w:ind w:left="2157" w:right="1277" w:firstLine="0"/>
        <w:jc w:val="left"/>
        <w:rPr>
          <w:sz w:val="11"/>
        </w:rPr>
      </w:pPr>
      <w:r>
        <w:rPr>
          <w:sz w:val="19"/>
        </w:rPr>
        <w:t>It will be brilliant to </w:t>
      </w:r>
      <w:r>
        <w:rPr>
          <w:spacing w:val="-3"/>
          <w:sz w:val="19"/>
        </w:rPr>
        <w:t>have </w:t>
      </w:r>
      <w:r>
        <w:rPr>
          <w:sz w:val="19"/>
        </w:rPr>
        <w:t>the opportunity to sit on a jury.</w:t>
      </w:r>
      <w:r>
        <w:rPr>
          <w:spacing w:val="-4"/>
          <w:sz w:val="19"/>
        </w:rPr>
        <w:t> However, </w:t>
      </w:r>
      <w:r>
        <w:rPr>
          <w:sz w:val="19"/>
        </w:rPr>
        <w:t>we should not </w:t>
      </w:r>
      <w:r>
        <w:rPr>
          <w:spacing w:val="-3"/>
          <w:sz w:val="19"/>
        </w:rPr>
        <w:t>have </w:t>
      </w:r>
      <w:r>
        <w:rPr>
          <w:sz w:val="19"/>
        </w:rPr>
        <w:t>to jump through an exhausting range of hoops to do so.</w:t>
      </w:r>
      <w:r>
        <w:rPr>
          <w:position w:val="6"/>
          <w:sz w:val="11"/>
        </w:rPr>
        <w:t>132</w:t>
      </w:r>
    </w:p>
    <w:p>
      <w:pPr>
        <w:pStyle w:val="ListParagraph"/>
        <w:numPr>
          <w:ilvl w:val="1"/>
          <w:numId w:val="12"/>
        </w:numPr>
        <w:tabs>
          <w:tab w:pos="1761" w:val="left" w:leader="none"/>
          <w:tab w:pos="1762" w:val="left" w:leader="none"/>
        </w:tabs>
        <w:spacing w:line="206" w:lineRule="auto" w:before="124" w:after="0"/>
        <w:ind w:left="1761" w:right="1772" w:hanging="794"/>
        <w:jc w:val="left"/>
        <w:rPr>
          <w:sz w:val="20"/>
        </w:rPr>
      </w:pPr>
      <w:r>
        <w:rPr>
          <w:sz w:val="20"/>
        </w:rPr>
        <w:t>It</w:t>
      </w:r>
      <w:r>
        <w:rPr>
          <w:spacing w:val="-11"/>
          <w:sz w:val="20"/>
        </w:rPr>
        <w:t> </w:t>
      </w:r>
      <w:r>
        <w:rPr>
          <w:sz w:val="20"/>
        </w:rPr>
        <w:t>is</w:t>
      </w:r>
      <w:r>
        <w:rPr>
          <w:spacing w:val="-11"/>
          <w:sz w:val="20"/>
        </w:rPr>
        <w:t> </w:t>
      </w:r>
      <w:r>
        <w:rPr>
          <w:sz w:val="20"/>
        </w:rPr>
        <w:t>important</w:t>
      </w:r>
      <w:r>
        <w:rPr>
          <w:spacing w:val="-11"/>
          <w:sz w:val="20"/>
        </w:rPr>
        <w:t> </w:t>
      </w:r>
      <w:r>
        <w:rPr>
          <w:sz w:val="20"/>
        </w:rPr>
        <w:t>that</w:t>
      </w:r>
      <w:r>
        <w:rPr>
          <w:spacing w:val="-11"/>
          <w:sz w:val="20"/>
        </w:rPr>
        <w:t> </w:t>
      </w:r>
      <w:r>
        <w:rPr>
          <w:sz w:val="20"/>
        </w:rPr>
        <w:t>people</w:t>
      </w:r>
      <w:r>
        <w:rPr>
          <w:spacing w:val="-11"/>
          <w:sz w:val="20"/>
        </w:rPr>
        <w:t> </w:t>
      </w:r>
      <w:r>
        <w:rPr>
          <w:sz w:val="20"/>
        </w:rPr>
        <w:t>in</w:t>
      </w:r>
      <w:r>
        <w:rPr>
          <w:spacing w:val="-10"/>
          <w:sz w:val="20"/>
        </w:rPr>
        <w:t> </w:t>
      </w:r>
      <w:r>
        <w:rPr>
          <w:sz w:val="20"/>
        </w:rPr>
        <w:t>the</w:t>
      </w:r>
      <w:r>
        <w:rPr>
          <w:spacing w:val="-11"/>
          <w:sz w:val="20"/>
        </w:rPr>
        <w:t> </w:t>
      </w:r>
      <w:r>
        <w:rPr>
          <w:sz w:val="20"/>
        </w:rPr>
        <w:t>subject</w:t>
      </w:r>
      <w:r>
        <w:rPr>
          <w:spacing w:val="-11"/>
          <w:sz w:val="20"/>
        </w:rPr>
        <w:t> </w:t>
      </w:r>
      <w:r>
        <w:rPr>
          <w:sz w:val="20"/>
        </w:rPr>
        <w:t>groups</w:t>
      </w:r>
      <w:r>
        <w:rPr>
          <w:spacing w:val="-11"/>
          <w:sz w:val="20"/>
        </w:rPr>
        <w:t> </w:t>
      </w:r>
      <w:r>
        <w:rPr>
          <w:sz w:val="20"/>
        </w:rPr>
        <w:t>do</w:t>
      </w:r>
      <w:r>
        <w:rPr>
          <w:spacing w:val="-11"/>
          <w:sz w:val="20"/>
        </w:rPr>
        <w:t> </w:t>
      </w:r>
      <w:r>
        <w:rPr>
          <w:sz w:val="20"/>
        </w:rPr>
        <w:t>not</w:t>
      </w:r>
      <w:r>
        <w:rPr>
          <w:spacing w:val="-10"/>
          <w:sz w:val="20"/>
        </w:rPr>
        <w:t> </w:t>
      </w:r>
      <w:r>
        <w:rPr>
          <w:sz w:val="20"/>
        </w:rPr>
        <w:t>feel</w:t>
      </w:r>
      <w:r>
        <w:rPr>
          <w:spacing w:val="-11"/>
          <w:sz w:val="20"/>
        </w:rPr>
        <w:t> </w:t>
      </w:r>
      <w:r>
        <w:rPr>
          <w:sz w:val="20"/>
        </w:rPr>
        <w:t>that</w:t>
      </w:r>
      <w:r>
        <w:rPr>
          <w:spacing w:val="-11"/>
          <w:sz w:val="20"/>
        </w:rPr>
        <w:t> </w:t>
      </w:r>
      <w:r>
        <w:rPr>
          <w:sz w:val="20"/>
        </w:rPr>
        <w:t>their</w:t>
      </w:r>
      <w:r>
        <w:rPr>
          <w:spacing w:val="-11"/>
          <w:sz w:val="20"/>
        </w:rPr>
        <w:t> </w:t>
      </w:r>
      <w:r>
        <w:rPr>
          <w:sz w:val="20"/>
        </w:rPr>
        <w:t>participation is receiving more </w:t>
      </w:r>
      <w:r>
        <w:rPr>
          <w:spacing w:val="-3"/>
          <w:sz w:val="20"/>
        </w:rPr>
        <w:t>scrutiny </w:t>
      </w:r>
      <w:r>
        <w:rPr>
          <w:sz w:val="20"/>
        </w:rPr>
        <w:t>than others in the </w:t>
      </w:r>
      <w:r>
        <w:rPr>
          <w:spacing w:val="-3"/>
          <w:sz w:val="20"/>
        </w:rPr>
        <w:t>community. </w:t>
      </w:r>
      <w:r>
        <w:rPr>
          <w:spacing w:val="-6"/>
          <w:sz w:val="20"/>
        </w:rPr>
        <w:t>We </w:t>
      </w:r>
      <w:r>
        <w:rPr>
          <w:sz w:val="20"/>
        </w:rPr>
        <w:t>do not assess the competency</w:t>
      </w:r>
      <w:r>
        <w:rPr>
          <w:spacing w:val="-12"/>
          <w:sz w:val="20"/>
        </w:rPr>
        <w:t> </w:t>
      </w:r>
      <w:r>
        <w:rPr>
          <w:sz w:val="20"/>
        </w:rPr>
        <w:t>of</w:t>
      </w:r>
      <w:r>
        <w:rPr>
          <w:spacing w:val="-11"/>
          <w:sz w:val="20"/>
        </w:rPr>
        <w:t> </w:t>
      </w:r>
      <w:r>
        <w:rPr>
          <w:sz w:val="20"/>
        </w:rPr>
        <w:t>other</w:t>
      </w:r>
      <w:r>
        <w:rPr>
          <w:spacing w:val="-11"/>
          <w:sz w:val="20"/>
        </w:rPr>
        <w:t> </w:t>
      </w:r>
      <w:r>
        <w:rPr>
          <w:sz w:val="20"/>
        </w:rPr>
        <w:t>jurors</w:t>
      </w:r>
      <w:r>
        <w:rPr>
          <w:spacing w:val="-11"/>
          <w:sz w:val="20"/>
        </w:rPr>
        <w:t> </w:t>
      </w:r>
      <w:r>
        <w:rPr>
          <w:sz w:val="20"/>
        </w:rPr>
        <w:t>unless</w:t>
      </w:r>
      <w:r>
        <w:rPr>
          <w:spacing w:val="-11"/>
          <w:sz w:val="20"/>
        </w:rPr>
        <w:t> </w:t>
      </w:r>
      <w:r>
        <w:rPr>
          <w:sz w:val="20"/>
        </w:rPr>
        <w:t>their</w:t>
      </w:r>
      <w:r>
        <w:rPr>
          <w:spacing w:val="-11"/>
          <w:sz w:val="20"/>
        </w:rPr>
        <w:t> </w:t>
      </w:r>
      <w:r>
        <w:rPr>
          <w:sz w:val="20"/>
        </w:rPr>
        <w:t>impartiality</w:t>
      </w:r>
      <w:r>
        <w:rPr>
          <w:spacing w:val="-12"/>
          <w:sz w:val="20"/>
        </w:rPr>
        <w:t> </w:t>
      </w:r>
      <w:r>
        <w:rPr>
          <w:sz w:val="20"/>
        </w:rPr>
        <w:t>or</w:t>
      </w:r>
      <w:r>
        <w:rPr>
          <w:spacing w:val="-11"/>
          <w:sz w:val="20"/>
        </w:rPr>
        <w:t> </w:t>
      </w:r>
      <w:r>
        <w:rPr>
          <w:sz w:val="20"/>
        </w:rPr>
        <w:t>ability</w:t>
      </w:r>
      <w:r>
        <w:rPr>
          <w:spacing w:val="-11"/>
          <w:sz w:val="20"/>
        </w:rPr>
        <w:t> </w:t>
      </w:r>
      <w:r>
        <w:rPr>
          <w:sz w:val="20"/>
        </w:rPr>
        <w:t>to</w:t>
      </w:r>
      <w:r>
        <w:rPr>
          <w:spacing w:val="-11"/>
          <w:sz w:val="20"/>
        </w:rPr>
        <w:t> </w:t>
      </w:r>
      <w:r>
        <w:rPr>
          <w:sz w:val="20"/>
        </w:rPr>
        <w:t>perform</w:t>
      </w:r>
      <w:r>
        <w:rPr>
          <w:spacing w:val="-11"/>
          <w:sz w:val="20"/>
        </w:rPr>
        <w:t> </w:t>
      </w:r>
      <w:r>
        <w:rPr>
          <w:sz w:val="20"/>
        </w:rPr>
        <w:t>their</w:t>
      </w:r>
      <w:r>
        <w:rPr>
          <w:spacing w:val="-11"/>
          <w:sz w:val="20"/>
        </w:rPr>
        <w:t> </w:t>
      </w:r>
      <w:r>
        <w:rPr>
          <w:spacing w:val="-3"/>
          <w:sz w:val="20"/>
        </w:rPr>
        <w:t>role </w:t>
      </w:r>
      <w:r>
        <w:rPr>
          <w:sz w:val="20"/>
        </w:rPr>
        <w:t>comes </w:t>
      </w:r>
      <w:r>
        <w:rPr>
          <w:spacing w:val="-3"/>
          <w:sz w:val="20"/>
        </w:rPr>
        <w:t>into </w:t>
      </w:r>
      <w:r>
        <w:rPr>
          <w:sz w:val="20"/>
        </w:rPr>
        <w:t>question. As Alastair </w:t>
      </w:r>
      <w:r>
        <w:rPr>
          <w:spacing w:val="-3"/>
          <w:sz w:val="20"/>
        </w:rPr>
        <w:t>McEwin</w:t>
      </w:r>
      <w:r>
        <w:rPr>
          <w:spacing w:val="-24"/>
          <w:sz w:val="20"/>
        </w:rPr>
        <w:t> </w:t>
      </w:r>
      <w:r>
        <w:rPr>
          <w:sz w:val="20"/>
        </w:rPr>
        <w:t>noted:</w:t>
      </w:r>
    </w:p>
    <w:p>
      <w:pPr>
        <w:spacing w:line="208" w:lineRule="auto" w:before="123"/>
        <w:ind w:left="2157" w:right="1110" w:firstLine="0"/>
        <w:jc w:val="left"/>
        <w:rPr>
          <w:sz w:val="11"/>
        </w:rPr>
      </w:pPr>
      <w:r>
        <w:rPr>
          <w:sz w:val="19"/>
        </w:rPr>
        <w:t>If you select a random group of people, you might find one of them falls asleep during the hearing, one is a misogynist, one didn’t finish year 12, etc. There are all types of people in the community, with all types of strengths and weaknesses.</w:t>
      </w:r>
      <w:r>
        <w:rPr>
          <w:position w:val="6"/>
          <w:sz w:val="11"/>
        </w:rPr>
        <w:t>133</w:t>
      </w:r>
    </w:p>
    <w:p>
      <w:pPr>
        <w:pStyle w:val="BodyText"/>
      </w:pPr>
    </w:p>
    <w:p>
      <w:pPr>
        <w:pStyle w:val="BodyText"/>
      </w:pPr>
    </w:p>
    <w:p>
      <w:pPr>
        <w:pStyle w:val="BodyText"/>
      </w:pPr>
    </w:p>
    <w:p>
      <w:pPr>
        <w:pStyle w:val="BodyText"/>
        <w:spacing w:before="11"/>
        <w:rPr>
          <w:sz w:val="10"/>
        </w:rPr>
      </w:pPr>
      <w:r>
        <w:rPr/>
        <w:pict>
          <v:line style="position:absolute;mso-position-horizontal-relative:page;mso-position-vertical-relative:paragraph;z-index:5240;mso-wrap-distance-left:0;mso-wrap-distance-right:0" from="79.370102pt,9.97668pt" to="515.905102pt,9.97668pt" stroked="true" strokeweight="1pt" strokecolor="#b6bdc8">
            <v:stroke dashstyle="solid"/>
            <w10:wrap type="topAndBottom"/>
          </v:line>
        </w:pict>
      </w:r>
    </w:p>
    <w:p>
      <w:pPr>
        <w:pStyle w:val="ListParagraph"/>
        <w:numPr>
          <w:ilvl w:val="0"/>
          <w:numId w:val="65"/>
        </w:numPr>
        <w:tabs>
          <w:tab w:pos="1761" w:val="left" w:leader="none"/>
          <w:tab w:pos="1762" w:val="left" w:leader="none"/>
        </w:tabs>
        <w:spacing w:line="170" w:lineRule="exact" w:before="91" w:after="0"/>
        <w:ind w:left="1761" w:right="0" w:hanging="794"/>
        <w:jc w:val="left"/>
        <w:rPr>
          <w:sz w:val="13"/>
        </w:rPr>
      </w:pPr>
      <w:r>
        <w:rPr>
          <w:sz w:val="13"/>
        </w:rPr>
        <w:t>Consultation 2 (Law Institute of</w:t>
      </w:r>
      <w:r>
        <w:rPr>
          <w:spacing w:val="1"/>
          <w:sz w:val="13"/>
        </w:rPr>
        <w:t> </w:t>
      </w:r>
      <w:r>
        <w:rPr>
          <w:sz w:val="13"/>
        </w:rPr>
        <w:t>Victoria).</w:t>
      </w:r>
    </w:p>
    <w:p>
      <w:pPr>
        <w:pStyle w:val="ListParagraph"/>
        <w:numPr>
          <w:ilvl w:val="0"/>
          <w:numId w:val="65"/>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z w:val="13"/>
        </w:rPr>
        <w:t>7 (Law Institute of</w:t>
      </w:r>
      <w:r>
        <w:rPr>
          <w:spacing w:val="-2"/>
          <w:sz w:val="13"/>
        </w:rPr>
        <w:t> </w:t>
      </w:r>
      <w:r>
        <w:rPr>
          <w:sz w:val="13"/>
        </w:rPr>
        <w:t>Victoria).</w:t>
      </w:r>
    </w:p>
    <w:p>
      <w:pPr>
        <w:pStyle w:val="ListParagraph"/>
        <w:numPr>
          <w:ilvl w:val="0"/>
          <w:numId w:val="65"/>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 Victoria). The OPP </w:t>
      </w:r>
      <w:r>
        <w:rPr>
          <w:spacing w:val="2"/>
          <w:sz w:val="13"/>
        </w:rPr>
        <w:t>also </w:t>
      </w:r>
      <w:r>
        <w:rPr>
          <w:sz w:val="13"/>
        </w:rPr>
        <w:t>raised concerns that if </w:t>
      </w:r>
      <w:r>
        <w:rPr>
          <w:spacing w:val="2"/>
          <w:sz w:val="13"/>
        </w:rPr>
        <w:t>trials </w:t>
      </w:r>
      <w:r>
        <w:rPr>
          <w:sz w:val="13"/>
        </w:rPr>
        <w:t>run for </w:t>
      </w:r>
      <w:r>
        <w:rPr>
          <w:spacing w:val="2"/>
          <w:sz w:val="13"/>
        </w:rPr>
        <w:t>longer because </w:t>
      </w:r>
      <w:r>
        <w:rPr>
          <w:sz w:val="13"/>
        </w:rPr>
        <w:t>of</w:t>
      </w:r>
      <w:r>
        <w:rPr>
          <w:spacing w:val="11"/>
          <w:sz w:val="13"/>
        </w:rPr>
        <w:t> </w:t>
      </w:r>
      <w:r>
        <w:rPr>
          <w:sz w:val="13"/>
        </w:rPr>
        <w:t>reasonable</w:t>
      </w:r>
    </w:p>
    <w:p>
      <w:pPr>
        <w:spacing w:line="160" w:lineRule="exact" w:before="0"/>
        <w:ind w:left="1761" w:right="0" w:firstLine="0"/>
        <w:jc w:val="left"/>
        <w:rPr>
          <w:sz w:val="13"/>
        </w:rPr>
      </w:pPr>
      <w:r>
        <w:rPr>
          <w:sz w:val="13"/>
        </w:rPr>
        <w:t>adjustments this may impact the ability of other people to serve. Consultation 16 (Office of Public Prosecutions Victoria).</w:t>
      </w:r>
    </w:p>
    <w:p>
      <w:pPr>
        <w:pStyle w:val="ListParagraph"/>
        <w:numPr>
          <w:ilvl w:val="0"/>
          <w:numId w:val="65"/>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65"/>
        </w:numPr>
        <w:tabs>
          <w:tab w:pos="1761" w:val="left" w:leader="none"/>
          <w:tab w:pos="1762" w:val="left" w:leader="none"/>
        </w:tabs>
        <w:spacing w:line="160" w:lineRule="exact" w:before="0" w:after="0"/>
        <w:ind w:left="1761" w:right="0" w:hanging="794"/>
        <w:jc w:val="left"/>
        <w:rPr>
          <w:sz w:val="13"/>
        </w:rPr>
      </w:pPr>
      <w:r>
        <w:rPr>
          <w:sz w:val="13"/>
        </w:rPr>
        <w:t>Consultation 4 </w:t>
      </w:r>
      <w:r>
        <w:rPr>
          <w:spacing w:val="2"/>
          <w:sz w:val="13"/>
        </w:rPr>
        <w:t>(Victorian </w:t>
      </w:r>
      <w:r>
        <w:rPr>
          <w:sz w:val="13"/>
        </w:rPr>
        <w:t>Criminal Bar</w:t>
      </w:r>
      <w:r>
        <w:rPr>
          <w:spacing w:val="-1"/>
          <w:sz w:val="13"/>
        </w:rPr>
        <w:t> </w:t>
      </w:r>
      <w:r>
        <w:rPr>
          <w:sz w:val="13"/>
        </w:rPr>
        <w:t>Association).</w:t>
      </w:r>
    </w:p>
    <w:p>
      <w:pPr>
        <w:pStyle w:val="ListParagraph"/>
        <w:numPr>
          <w:ilvl w:val="0"/>
          <w:numId w:val="65"/>
        </w:numPr>
        <w:tabs>
          <w:tab w:pos="1760" w:val="left" w:leader="none"/>
          <w:tab w:pos="1762" w:val="left" w:leader="none"/>
        </w:tabs>
        <w:spacing w:line="160" w:lineRule="exact" w:before="0" w:after="0"/>
        <w:ind w:left="1761" w:right="0" w:hanging="794"/>
        <w:jc w:val="left"/>
        <w:rPr>
          <w:sz w:val="13"/>
        </w:rPr>
      </w:pPr>
      <w:r>
        <w:rPr>
          <w:sz w:val="13"/>
        </w:rPr>
        <w:t>Consultation 6 (Deaf Victoria and community</w:t>
      </w:r>
      <w:r>
        <w:rPr>
          <w:spacing w:val="3"/>
          <w:sz w:val="13"/>
        </w:rPr>
        <w:t> </w:t>
      </w:r>
      <w:r>
        <w:rPr>
          <w:sz w:val="13"/>
        </w:rPr>
        <w:t>participants).</w:t>
      </w:r>
    </w:p>
    <w:p>
      <w:pPr>
        <w:pStyle w:val="ListParagraph"/>
        <w:numPr>
          <w:ilvl w:val="0"/>
          <w:numId w:val="65"/>
        </w:numPr>
        <w:tabs>
          <w:tab w:pos="1761" w:val="left" w:leader="none"/>
          <w:tab w:pos="1762" w:val="left" w:leader="none"/>
        </w:tabs>
        <w:spacing w:line="213" w:lineRule="auto" w:before="6" w:after="0"/>
        <w:ind w:left="1761" w:right="1305" w:hanging="794"/>
        <w:jc w:val="left"/>
        <w:rPr>
          <w:sz w:val="13"/>
        </w:rPr>
      </w:pPr>
      <w:r>
        <w:rPr/>
        <w:pict>
          <v:shape style="position:absolute;margin-left:548.657715pt;margin-top:3.69599pt;width:13.9pt;height:14.1pt;mso-position-horizontal-relative:page;mso-position-vertical-relative:paragraph;z-index:7312" type="#_x0000_t202" filled="false" stroked="false">
            <v:textbox inset="0,0,0,0">
              <w:txbxContent>
                <w:p>
                  <w:pPr>
                    <w:spacing w:line="282" w:lineRule="exact" w:before="0"/>
                    <w:ind w:left="0" w:right="0" w:firstLine="0"/>
                    <w:jc w:val="left"/>
                    <w:rPr>
                      <w:b/>
                      <w:sz w:val="24"/>
                    </w:rPr>
                  </w:pPr>
                  <w:r>
                    <w:rPr>
                      <w:b/>
                      <w:color w:val="37617A"/>
                      <w:sz w:val="24"/>
                    </w:rPr>
                    <w:t>85</w:t>
                  </w:r>
                </w:p>
              </w:txbxContent>
            </v:textbox>
            <w10:wrap type="none"/>
          </v:shape>
        </w:pict>
      </w: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spacing w:after="0" w:line="213" w:lineRule="auto"/>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7"/>
        <w:rPr>
          <w:sz w:val="16"/>
        </w:rPr>
      </w:pPr>
    </w:p>
    <w:p>
      <w:pPr>
        <w:pStyle w:val="ListParagraph"/>
        <w:numPr>
          <w:ilvl w:val="1"/>
          <w:numId w:val="12"/>
        </w:numPr>
        <w:tabs>
          <w:tab w:pos="1761" w:val="left" w:leader="none"/>
          <w:tab w:pos="1762" w:val="left" w:leader="none"/>
        </w:tabs>
        <w:spacing w:line="240" w:lineRule="auto" w:before="0" w:after="0"/>
        <w:ind w:left="1761" w:right="0" w:hanging="794"/>
        <w:jc w:val="left"/>
        <w:rPr>
          <w:sz w:val="20"/>
        </w:rPr>
      </w:pPr>
      <w:r>
        <w:rPr>
          <w:sz w:val="20"/>
        </w:rPr>
        <w:t>One survey respondent noted</w:t>
      </w:r>
      <w:r>
        <w:rPr>
          <w:spacing w:val="-18"/>
          <w:sz w:val="20"/>
        </w:rPr>
        <w:t> </w:t>
      </w:r>
      <w:r>
        <w:rPr>
          <w:sz w:val="20"/>
        </w:rPr>
        <w:t>that:</w:t>
      </w:r>
    </w:p>
    <w:p>
      <w:pPr>
        <w:spacing w:line="208" w:lineRule="auto" w:before="112"/>
        <w:ind w:left="2157" w:right="1437" w:firstLine="0"/>
        <w:jc w:val="left"/>
        <w:rPr>
          <w:sz w:val="11"/>
        </w:rPr>
      </w:pPr>
      <w:r>
        <w:rPr>
          <w:sz w:val="19"/>
        </w:rPr>
        <w:t>In the few cases where being able to hear or see is an inherent requirement of doing the ‘ job’ of a juror, then fine. But in that case, I hope you’ll be testing the sight and hearing of every potential juror. Not to mention written and spoken English comprehension which surely is a more frequent requirement.</w:t>
      </w:r>
      <w:r>
        <w:rPr>
          <w:position w:val="6"/>
          <w:sz w:val="11"/>
        </w:rPr>
        <w:t>134</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pacing w:val="-3"/>
          <w:sz w:val="20"/>
        </w:rPr>
        <w:t>Similarly, </w:t>
      </w:r>
      <w:r>
        <w:rPr>
          <w:sz w:val="20"/>
        </w:rPr>
        <w:t>consultation participants </w:t>
      </w:r>
      <w:r>
        <w:rPr>
          <w:spacing w:val="-3"/>
          <w:sz w:val="20"/>
        </w:rPr>
        <w:t>from </w:t>
      </w:r>
      <w:r>
        <w:rPr>
          <w:sz w:val="20"/>
        </w:rPr>
        <w:t>Deaf Victoria noted</w:t>
      </w:r>
      <w:r>
        <w:rPr>
          <w:spacing w:val="-29"/>
          <w:sz w:val="20"/>
        </w:rPr>
        <w:t> </w:t>
      </w:r>
      <w:r>
        <w:rPr>
          <w:sz w:val="20"/>
        </w:rPr>
        <w:t>that:</w:t>
      </w:r>
    </w:p>
    <w:p>
      <w:pPr>
        <w:spacing w:line="208" w:lineRule="auto" w:before="113"/>
        <w:ind w:left="2157" w:right="1414" w:firstLine="0"/>
        <w:jc w:val="left"/>
        <w:rPr>
          <w:sz w:val="11"/>
        </w:rPr>
      </w:pPr>
      <w:r>
        <w:rPr>
          <w:sz w:val="19"/>
        </w:rPr>
        <w:t>deaf people have to justify why they are not only up to the task but ten times better than anyone else so that they can participate in a normal process.</w:t>
      </w:r>
      <w:r>
        <w:rPr>
          <w:position w:val="6"/>
          <w:sz w:val="11"/>
        </w:rPr>
        <w:t>135</w:t>
      </w:r>
    </w:p>
    <w:p>
      <w:pPr>
        <w:pStyle w:val="ListParagraph"/>
        <w:numPr>
          <w:ilvl w:val="1"/>
          <w:numId w:val="12"/>
        </w:numPr>
        <w:tabs>
          <w:tab w:pos="1761" w:val="left" w:leader="none"/>
          <w:tab w:pos="1762" w:val="left" w:leader="none"/>
        </w:tabs>
        <w:spacing w:line="206" w:lineRule="auto" w:before="123" w:after="0"/>
        <w:ind w:left="1761" w:right="1362" w:hanging="794"/>
        <w:jc w:val="left"/>
        <w:rPr>
          <w:sz w:val="11"/>
        </w:rPr>
      </w:pPr>
      <w:r>
        <w:rPr>
          <w:sz w:val="20"/>
        </w:rPr>
        <w:t>The</w:t>
      </w:r>
      <w:r>
        <w:rPr>
          <w:spacing w:val="-8"/>
          <w:sz w:val="20"/>
        </w:rPr>
        <w:t> </w:t>
      </w:r>
      <w:r>
        <w:rPr>
          <w:spacing w:val="-3"/>
          <w:sz w:val="20"/>
        </w:rPr>
        <w:t>researchers</w:t>
      </w:r>
      <w:r>
        <w:rPr>
          <w:spacing w:val="-8"/>
          <w:sz w:val="20"/>
        </w:rPr>
        <w:t> </w:t>
      </w:r>
      <w:r>
        <w:rPr>
          <w:sz w:val="20"/>
        </w:rPr>
        <w:t>who</w:t>
      </w:r>
      <w:r>
        <w:rPr>
          <w:spacing w:val="-8"/>
          <w:sz w:val="20"/>
        </w:rPr>
        <w:t> </w:t>
      </w:r>
      <w:r>
        <w:rPr>
          <w:sz w:val="20"/>
        </w:rPr>
        <w:t>ran</w:t>
      </w:r>
      <w:r>
        <w:rPr>
          <w:spacing w:val="-8"/>
          <w:sz w:val="20"/>
        </w:rPr>
        <w:t> </w:t>
      </w:r>
      <w:r>
        <w:rPr>
          <w:sz w:val="20"/>
        </w:rPr>
        <w:t>the</w:t>
      </w:r>
      <w:r>
        <w:rPr>
          <w:spacing w:val="-8"/>
          <w:sz w:val="20"/>
        </w:rPr>
        <w:t> </w:t>
      </w:r>
      <w:r>
        <w:rPr>
          <w:sz w:val="20"/>
        </w:rPr>
        <w:t>mock</w:t>
      </w:r>
      <w:r>
        <w:rPr>
          <w:spacing w:val="-8"/>
          <w:sz w:val="20"/>
        </w:rPr>
        <w:t> </w:t>
      </w:r>
      <w:r>
        <w:rPr>
          <w:sz w:val="20"/>
        </w:rPr>
        <w:t>trial</w:t>
      </w:r>
      <w:r>
        <w:rPr>
          <w:spacing w:val="-8"/>
          <w:sz w:val="20"/>
        </w:rPr>
        <w:t> </w:t>
      </w:r>
      <w:r>
        <w:rPr>
          <w:sz w:val="20"/>
        </w:rPr>
        <w:t>for</w:t>
      </w:r>
      <w:r>
        <w:rPr>
          <w:spacing w:val="-8"/>
          <w:sz w:val="20"/>
        </w:rPr>
        <w:t> </w:t>
      </w:r>
      <w:r>
        <w:rPr>
          <w:sz w:val="20"/>
        </w:rPr>
        <w:t>deaf</w:t>
      </w:r>
      <w:r>
        <w:rPr>
          <w:spacing w:val="-8"/>
          <w:sz w:val="20"/>
        </w:rPr>
        <w:t> </w:t>
      </w:r>
      <w:r>
        <w:rPr>
          <w:sz w:val="20"/>
        </w:rPr>
        <w:t>jurors</w:t>
      </w:r>
      <w:r>
        <w:rPr>
          <w:spacing w:val="-8"/>
          <w:sz w:val="20"/>
        </w:rPr>
        <w:t> </w:t>
      </w:r>
      <w:r>
        <w:rPr>
          <w:sz w:val="20"/>
        </w:rPr>
        <w:t>in</w:t>
      </w:r>
      <w:r>
        <w:rPr>
          <w:spacing w:val="-8"/>
          <w:sz w:val="20"/>
        </w:rPr>
        <w:t> </w:t>
      </w:r>
      <w:r>
        <w:rPr>
          <w:sz w:val="20"/>
        </w:rPr>
        <w:t>New</w:t>
      </w:r>
      <w:r>
        <w:rPr>
          <w:spacing w:val="-8"/>
          <w:sz w:val="20"/>
        </w:rPr>
        <w:t> </w:t>
      </w:r>
      <w:r>
        <w:rPr>
          <w:sz w:val="20"/>
        </w:rPr>
        <w:t>South</w:t>
      </w:r>
      <w:r>
        <w:rPr>
          <w:spacing w:val="-8"/>
          <w:sz w:val="20"/>
        </w:rPr>
        <w:t> </w:t>
      </w:r>
      <w:r>
        <w:rPr>
          <w:spacing w:val="-4"/>
          <w:sz w:val="20"/>
        </w:rPr>
        <w:t>Wales</w:t>
      </w:r>
      <w:r>
        <w:rPr>
          <w:spacing w:val="-8"/>
          <w:sz w:val="20"/>
        </w:rPr>
        <w:t> </w:t>
      </w:r>
      <w:r>
        <w:rPr>
          <w:sz w:val="20"/>
        </w:rPr>
        <w:t>suggested that the ‘spectrum of ability in the community should be highlighted so that judges don’t</w:t>
      </w:r>
      <w:r>
        <w:rPr>
          <w:spacing w:val="-8"/>
          <w:sz w:val="20"/>
        </w:rPr>
        <w:t> </w:t>
      </w:r>
      <w:r>
        <w:rPr>
          <w:spacing w:val="-3"/>
          <w:sz w:val="20"/>
        </w:rPr>
        <w:t>apply</w:t>
      </w:r>
      <w:r>
        <w:rPr>
          <w:spacing w:val="-9"/>
          <w:sz w:val="20"/>
        </w:rPr>
        <w:t> </w:t>
      </w:r>
      <w:r>
        <w:rPr>
          <w:sz w:val="20"/>
        </w:rPr>
        <w:t>too</w:t>
      </w:r>
      <w:r>
        <w:rPr>
          <w:spacing w:val="-8"/>
          <w:sz w:val="20"/>
        </w:rPr>
        <w:t> </w:t>
      </w:r>
      <w:r>
        <w:rPr>
          <w:sz w:val="20"/>
        </w:rPr>
        <w:t>strict</w:t>
      </w:r>
      <w:r>
        <w:rPr>
          <w:spacing w:val="-8"/>
          <w:sz w:val="20"/>
        </w:rPr>
        <w:t> </w:t>
      </w:r>
      <w:r>
        <w:rPr>
          <w:sz w:val="20"/>
        </w:rPr>
        <w:t>a</w:t>
      </w:r>
      <w:r>
        <w:rPr>
          <w:spacing w:val="-8"/>
          <w:sz w:val="20"/>
        </w:rPr>
        <w:t> </w:t>
      </w:r>
      <w:r>
        <w:rPr>
          <w:sz w:val="20"/>
        </w:rPr>
        <w:t>judgement</w:t>
      </w:r>
      <w:r>
        <w:rPr>
          <w:spacing w:val="-8"/>
          <w:sz w:val="20"/>
        </w:rPr>
        <w:t> </w:t>
      </w:r>
      <w:r>
        <w:rPr>
          <w:sz w:val="20"/>
        </w:rPr>
        <w:t>on</w:t>
      </w:r>
      <w:r>
        <w:rPr>
          <w:spacing w:val="-8"/>
          <w:sz w:val="20"/>
        </w:rPr>
        <w:t> </w:t>
      </w:r>
      <w:r>
        <w:rPr>
          <w:sz w:val="20"/>
        </w:rPr>
        <w:t>whether</w:t>
      </w:r>
      <w:r>
        <w:rPr>
          <w:spacing w:val="-8"/>
          <w:sz w:val="20"/>
        </w:rPr>
        <w:t> </w:t>
      </w:r>
      <w:r>
        <w:rPr>
          <w:sz w:val="20"/>
        </w:rPr>
        <w:t>a</w:t>
      </w:r>
      <w:r>
        <w:rPr>
          <w:spacing w:val="-8"/>
          <w:sz w:val="20"/>
        </w:rPr>
        <w:t> </w:t>
      </w:r>
      <w:r>
        <w:rPr>
          <w:sz w:val="20"/>
        </w:rPr>
        <w:t>deaf</w:t>
      </w:r>
      <w:r>
        <w:rPr>
          <w:spacing w:val="-8"/>
          <w:sz w:val="20"/>
        </w:rPr>
        <w:t> </w:t>
      </w:r>
      <w:r>
        <w:rPr>
          <w:sz w:val="20"/>
        </w:rPr>
        <w:t>juror</w:t>
      </w:r>
      <w:r>
        <w:rPr>
          <w:spacing w:val="-8"/>
          <w:sz w:val="20"/>
        </w:rPr>
        <w:t> </w:t>
      </w:r>
      <w:r>
        <w:rPr>
          <w:sz w:val="20"/>
        </w:rPr>
        <w:t>can</w:t>
      </w:r>
      <w:r>
        <w:rPr>
          <w:spacing w:val="-8"/>
          <w:sz w:val="20"/>
        </w:rPr>
        <w:t> </w:t>
      </w:r>
      <w:r>
        <w:rPr>
          <w:sz w:val="20"/>
        </w:rPr>
        <w:t>serve</w:t>
      </w:r>
      <w:r>
        <w:rPr>
          <w:spacing w:val="-8"/>
          <w:sz w:val="20"/>
        </w:rPr>
        <w:t> </w:t>
      </w:r>
      <w:r>
        <w:rPr>
          <w:sz w:val="20"/>
        </w:rPr>
        <w:t>at</w:t>
      </w:r>
      <w:r>
        <w:rPr>
          <w:spacing w:val="-8"/>
          <w:sz w:val="20"/>
        </w:rPr>
        <w:t> </w:t>
      </w:r>
      <w:r>
        <w:rPr>
          <w:sz w:val="20"/>
        </w:rPr>
        <w:t>the</w:t>
      </w:r>
      <w:r>
        <w:rPr>
          <w:spacing w:val="-8"/>
          <w:sz w:val="20"/>
        </w:rPr>
        <w:t> </w:t>
      </w:r>
      <w:r>
        <w:rPr>
          <w:sz w:val="20"/>
        </w:rPr>
        <w:t>outset’.</w:t>
      </w:r>
      <w:r>
        <w:rPr>
          <w:position w:val="7"/>
          <w:sz w:val="11"/>
        </w:rPr>
        <w:t>136</w:t>
      </w:r>
    </w:p>
    <w:p>
      <w:pPr>
        <w:pStyle w:val="ListParagraph"/>
        <w:numPr>
          <w:ilvl w:val="1"/>
          <w:numId w:val="12"/>
        </w:numPr>
        <w:tabs>
          <w:tab w:pos="1761" w:val="left" w:leader="none"/>
          <w:tab w:pos="1762" w:val="left" w:leader="none"/>
        </w:tabs>
        <w:spacing w:line="206" w:lineRule="auto" w:before="124" w:after="0"/>
        <w:ind w:left="1761" w:right="1218" w:hanging="794"/>
        <w:jc w:val="left"/>
        <w:rPr>
          <w:sz w:val="11"/>
        </w:rPr>
      </w:pPr>
      <w:r>
        <w:rPr>
          <w:sz w:val="20"/>
        </w:rPr>
        <w:t>As the Victorian Criminal Bar Association consultees observed, </w:t>
      </w:r>
      <w:r>
        <w:rPr>
          <w:spacing w:val="-3"/>
          <w:sz w:val="20"/>
        </w:rPr>
        <w:t>we </w:t>
      </w:r>
      <w:r>
        <w:rPr>
          <w:sz w:val="20"/>
        </w:rPr>
        <w:t>do not ask people about</w:t>
      </w:r>
      <w:r>
        <w:rPr>
          <w:spacing w:val="-10"/>
          <w:sz w:val="20"/>
        </w:rPr>
        <w:t> </w:t>
      </w:r>
      <w:r>
        <w:rPr>
          <w:sz w:val="20"/>
        </w:rPr>
        <w:t>their</w:t>
      </w:r>
      <w:r>
        <w:rPr>
          <w:spacing w:val="-9"/>
          <w:sz w:val="20"/>
        </w:rPr>
        <w:t> </w:t>
      </w:r>
      <w:r>
        <w:rPr>
          <w:sz w:val="20"/>
        </w:rPr>
        <w:t>mental</w:t>
      </w:r>
      <w:r>
        <w:rPr>
          <w:spacing w:val="-9"/>
          <w:sz w:val="20"/>
        </w:rPr>
        <w:t> </w:t>
      </w:r>
      <w:r>
        <w:rPr>
          <w:spacing w:val="-3"/>
          <w:sz w:val="20"/>
        </w:rPr>
        <w:t>state,</w:t>
      </w:r>
      <w:r>
        <w:rPr>
          <w:spacing w:val="-9"/>
          <w:sz w:val="20"/>
        </w:rPr>
        <w:t> </w:t>
      </w:r>
      <w:r>
        <w:rPr>
          <w:sz w:val="20"/>
        </w:rPr>
        <w:t>their</w:t>
      </w:r>
      <w:r>
        <w:rPr>
          <w:spacing w:val="-9"/>
          <w:sz w:val="20"/>
        </w:rPr>
        <w:t> </w:t>
      </w:r>
      <w:r>
        <w:rPr>
          <w:sz w:val="20"/>
        </w:rPr>
        <w:t>IQ,</w:t>
      </w:r>
      <w:r>
        <w:rPr>
          <w:spacing w:val="-9"/>
          <w:sz w:val="20"/>
        </w:rPr>
        <w:t> </w:t>
      </w:r>
      <w:r>
        <w:rPr>
          <w:sz w:val="20"/>
        </w:rPr>
        <w:t>or</w:t>
      </w:r>
      <w:r>
        <w:rPr>
          <w:spacing w:val="-9"/>
          <w:sz w:val="20"/>
        </w:rPr>
        <w:t> </w:t>
      </w:r>
      <w:r>
        <w:rPr>
          <w:sz w:val="20"/>
        </w:rPr>
        <w:t>whether</w:t>
      </w:r>
      <w:r>
        <w:rPr>
          <w:spacing w:val="-9"/>
          <w:sz w:val="20"/>
        </w:rPr>
        <w:t> </w:t>
      </w:r>
      <w:r>
        <w:rPr>
          <w:sz w:val="20"/>
        </w:rPr>
        <w:t>they</w:t>
      </w:r>
      <w:r>
        <w:rPr>
          <w:spacing w:val="-9"/>
          <w:sz w:val="20"/>
        </w:rPr>
        <w:t> </w:t>
      </w:r>
      <w:r>
        <w:rPr>
          <w:spacing w:val="-3"/>
          <w:sz w:val="20"/>
        </w:rPr>
        <w:t>are</w:t>
      </w:r>
      <w:r>
        <w:rPr>
          <w:spacing w:val="-10"/>
          <w:sz w:val="20"/>
        </w:rPr>
        <w:t> </w:t>
      </w:r>
      <w:r>
        <w:rPr>
          <w:sz w:val="20"/>
        </w:rPr>
        <w:t>biased,</w:t>
      </w:r>
      <w:r>
        <w:rPr>
          <w:spacing w:val="-9"/>
          <w:sz w:val="20"/>
        </w:rPr>
        <w:t> </w:t>
      </w:r>
      <w:r>
        <w:rPr>
          <w:spacing w:val="-3"/>
          <w:sz w:val="20"/>
        </w:rPr>
        <w:t>‘we</w:t>
      </w:r>
      <w:r>
        <w:rPr>
          <w:spacing w:val="-9"/>
          <w:sz w:val="20"/>
        </w:rPr>
        <w:t> </w:t>
      </w:r>
      <w:r>
        <w:rPr>
          <w:sz w:val="20"/>
        </w:rPr>
        <w:t>just</w:t>
      </w:r>
      <w:r>
        <w:rPr>
          <w:spacing w:val="-9"/>
          <w:sz w:val="20"/>
        </w:rPr>
        <w:t> </w:t>
      </w:r>
      <w:r>
        <w:rPr>
          <w:sz w:val="20"/>
        </w:rPr>
        <w:t>trust</w:t>
      </w:r>
      <w:r>
        <w:rPr>
          <w:spacing w:val="-9"/>
          <w:sz w:val="20"/>
        </w:rPr>
        <w:t> </w:t>
      </w:r>
      <w:r>
        <w:rPr>
          <w:sz w:val="20"/>
        </w:rPr>
        <w:t>them</w:t>
      </w:r>
      <w:r>
        <w:rPr>
          <w:spacing w:val="-9"/>
          <w:sz w:val="20"/>
        </w:rPr>
        <w:t> </w:t>
      </w:r>
      <w:r>
        <w:rPr>
          <w:sz w:val="20"/>
        </w:rPr>
        <w:t>to</w:t>
      </w:r>
      <w:r>
        <w:rPr>
          <w:spacing w:val="-9"/>
          <w:sz w:val="20"/>
        </w:rPr>
        <w:t> </w:t>
      </w:r>
      <w:r>
        <w:rPr>
          <w:sz w:val="20"/>
        </w:rPr>
        <w:t>raise </w:t>
      </w:r>
      <w:r>
        <w:rPr>
          <w:spacing w:val="-3"/>
          <w:sz w:val="20"/>
        </w:rPr>
        <w:t>any</w:t>
      </w:r>
      <w:r>
        <w:rPr>
          <w:spacing w:val="-5"/>
          <w:sz w:val="20"/>
        </w:rPr>
        <w:t> </w:t>
      </w:r>
      <w:r>
        <w:rPr>
          <w:sz w:val="20"/>
        </w:rPr>
        <w:t>issues</w:t>
      </w:r>
      <w:r>
        <w:rPr>
          <w:spacing w:val="-5"/>
          <w:sz w:val="20"/>
        </w:rPr>
        <w:t> </w:t>
      </w:r>
      <w:r>
        <w:rPr>
          <w:sz w:val="20"/>
        </w:rPr>
        <w:t>that</w:t>
      </w:r>
      <w:r>
        <w:rPr>
          <w:spacing w:val="-5"/>
          <w:sz w:val="20"/>
        </w:rPr>
        <w:t> </w:t>
      </w:r>
      <w:r>
        <w:rPr>
          <w:sz w:val="20"/>
        </w:rPr>
        <w:t>will</w:t>
      </w:r>
      <w:r>
        <w:rPr>
          <w:spacing w:val="-5"/>
          <w:sz w:val="20"/>
        </w:rPr>
        <w:t> </w:t>
      </w:r>
      <w:r>
        <w:rPr>
          <w:sz w:val="20"/>
        </w:rPr>
        <w:t>preclude</w:t>
      </w:r>
      <w:r>
        <w:rPr>
          <w:spacing w:val="-5"/>
          <w:sz w:val="20"/>
        </w:rPr>
        <w:t> </w:t>
      </w:r>
      <w:r>
        <w:rPr>
          <w:sz w:val="20"/>
        </w:rPr>
        <w:t>them</w:t>
      </w:r>
      <w:r>
        <w:rPr>
          <w:spacing w:val="-5"/>
          <w:sz w:val="20"/>
        </w:rPr>
        <w:t> </w:t>
      </w:r>
      <w:r>
        <w:rPr>
          <w:spacing w:val="-3"/>
          <w:sz w:val="20"/>
        </w:rPr>
        <w:t>from</w:t>
      </w:r>
      <w:r>
        <w:rPr>
          <w:spacing w:val="-5"/>
          <w:sz w:val="20"/>
        </w:rPr>
        <w:t> </w:t>
      </w:r>
      <w:r>
        <w:rPr>
          <w:sz w:val="20"/>
        </w:rPr>
        <w:t>sitting</w:t>
      </w:r>
      <w:r>
        <w:rPr>
          <w:spacing w:val="-5"/>
          <w:sz w:val="20"/>
        </w:rPr>
        <w:t> </w:t>
      </w:r>
      <w:r>
        <w:rPr>
          <w:sz w:val="20"/>
        </w:rPr>
        <w:t>on</w:t>
      </w:r>
      <w:r>
        <w:rPr>
          <w:spacing w:val="-5"/>
          <w:sz w:val="20"/>
        </w:rPr>
        <w:t> </w:t>
      </w:r>
      <w:r>
        <w:rPr>
          <w:sz w:val="20"/>
        </w:rPr>
        <w:t>the</w:t>
      </w:r>
      <w:r>
        <w:rPr>
          <w:spacing w:val="-4"/>
          <w:sz w:val="20"/>
        </w:rPr>
        <w:t> </w:t>
      </w:r>
      <w:r>
        <w:rPr>
          <w:sz w:val="20"/>
        </w:rPr>
        <w:t>jury’.</w:t>
      </w:r>
      <w:r>
        <w:rPr>
          <w:position w:val="7"/>
          <w:sz w:val="11"/>
        </w:rPr>
        <w:t>137</w:t>
      </w:r>
    </w:p>
    <w:p>
      <w:pPr>
        <w:pStyle w:val="ListParagraph"/>
        <w:numPr>
          <w:ilvl w:val="1"/>
          <w:numId w:val="12"/>
        </w:numPr>
        <w:tabs>
          <w:tab w:pos="1761" w:val="left" w:leader="none"/>
          <w:tab w:pos="1762" w:val="left" w:leader="none"/>
        </w:tabs>
        <w:spacing w:line="206" w:lineRule="auto" w:before="124" w:after="0"/>
        <w:ind w:left="1761" w:right="1510" w:hanging="794"/>
        <w:jc w:val="left"/>
        <w:rPr>
          <w:sz w:val="11"/>
        </w:rPr>
      </w:pPr>
      <w:r>
        <w:rPr>
          <w:sz w:val="20"/>
        </w:rPr>
        <w:t>Alastair </w:t>
      </w:r>
      <w:r>
        <w:rPr>
          <w:spacing w:val="-3"/>
          <w:sz w:val="20"/>
        </w:rPr>
        <w:t>McEwin </w:t>
      </w:r>
      <w:r>
        <w:rPr>
          <w:sz w:val="20"/>
        </w:rPr>
        <w:t>warned that there is a tendency to focus on the most extreme scenarios</w:t>
      </w:r>
      <w:r>
        <w:rPr>
          <w:spacing w:val="-11"/>
          <w:sz w:val="20"/>
        </w:rPr>
        <w:t> </w:t>
      </w:r>
      <w:r>
        <w:rPr>
          <w:sz w:val="20"/>
        </w:rPr>
        <w:t>or</w:t>
      </w:r>
      <w:r>
        <w:rPr>
          <w:spacing w:val="-10"/>
          <w:sz w:val="20"/>
        </w:rPr>
        <w:t> </w:t>
      </w:r>
      <w:r>
        <w:rPr>
          <w:sz w:val="20"/>
        </w:rPr>
        <w:t>barriers</w:t>
      </w:r>
      <w:r>
        <w:rPr>
          <w:spacing w:val="-11"/>
          <w:sz w:val="20"/>
        </w:rPr>
        <w:t> </w:t>
      </w:r>
      <w:r>
        <w:rPr>
          <w:sz w:val="20"/>
        </w:rPr>
        <w:t>for</w:t>
      </w:r>
      <w:r>
        <w:rPr>
          <w:spacing w:val="-10"/>
          <w:sz w:val="20"/>
        </w:rPr>
        <w:t> </w:t>
      </w:r>
      <w:r>
        <w:rPr>
          <w:sz w:val="20"/>
        </w:rPr>
        <w:t>people</w:t>
      </w:r>
      <w:r>
        <w:rPr>
          <w:spacing w:val="-11"/>
          <w:sz w:val="20"/>
        </w:rPr>
        <w:t> </w:t>
      </w:r>
      <w:r>
        <w:rPr>
          <w:sz w:val="20"/>
        </w:rPr>
        <w:t>with</w:t>
      </w:r>
      <w:r>
        <w:rPr>
          <w:spacing w:val="-10"/>
          <w:sz w:val="20"/>
        </w:rPr>
        <w:t> </w:t>
      </w:r>
      <w:r>
        <w:rPr>
          <w:sz w:val="20"/>
        </w:rPr>
        <w:t>disabilities.</w:t>
      </w:r>
      <w:r>
        <w:rPr>
          <w:spacing w:val="-11"/>
          <w:sz w:val="20"/>
        </w:rPr>
        <w:t> </w:t>
      </w:r>
      <w:r>
        <w:rPr>
          <w:sz w:val="20"/>
        </w:rPr>
        <w:t>Instead,</w:t>
      </w:r>
      <w:r>
        <w:rPr>
          <w:spacing w:val="-10"/>
          <w:sz w:val="20"/>
        </w:rPr>
        <w:t> </w:t>
      </w:r>
      <w:r>
        <w:rPr>
          <w:spacing w:val="-3"/>
          <w:sz w:val="20"/>
        </w:rPr>
        <w:t>reform</w:t>
      </w:r>
      <w:r>
        <w:rPr>
          <w:spacing w:val="-11"/>
          <w:sz w:val="20"/>
        </w:rPr>
        <w:t> </w:t>
      </w:r>
      <w:r>
        <w:rPr>
          <w:sz w:val="20"/>
        </w:rPr>
        <w:t>should</w:t>
      </w:r>
      <w:r>
        <w:rPr>
          <w:spacing w:val="-10"/>
          <w:sz w:val="20"/>
        </w:rPr>
        <w:t> </w:t>
      </w:r>
      <w:r>
        <w:rPr>
          <w:sz w:val="20"/>
        </w:rPr>
        <w:t>focus</w:t>
      </w:r>
      <w:r>
        <w:rPr>
          <w:spacing w:val="-10"/>
          <w:sz w:val="20"/>
        </w:rPr>
        <w:t> </w:t>
      </w:r>
      <w:r>
        <w:rPr>
          <w:sz w:val="20"/>
        </w:rPr>
        <w:t>on</w:t>
      </w:r>
      <w:r>
        <w:rPr>
          <w:spacing w:val="-11"/>
          <w:sz w:val="20"/>
        </w:rPr>
        <w:t> </w:t>
      </w:r>
      <w:r>
        <w:rPr>
          <w:sz w:val="20"/>
        </w:rPr>
        <w:t>‘the bigger </w:t>
      </w:r>
      <w:r>
        <w:rPr>
          <w:spacing w:val="-3"/>
          <w:sz w:val="20"/>
        </w:rPr>
        <w:t>picture </w:t>
      </w:r>
      <w:r>
        <w:rPr>
          <w:sz w:val="20"/>
        </w:rPr>
        <w:t>… </w:t>
      </w:r>
      <w:r>
        <w:rPr>
          <w:spacing w:val="-3"/>
          <w:sz w:val="20"/>
        </w:rPr>
        <w:t>Let’s </w:t>
      </w:r>
      <w:r>
        <w:rPr>
          <w:sz w:val="20"/>
        </w:rPr>
        <w:t>not get too caught up in the exceptions. </w:t>
      </w:r>
      <w:r>
        <w:rPr>
          <w:spacing w:val="-3"/>
          <w:sz w:val="20"/>
        </w:rPr>
        <w:t>Let’s work </w:t>
      </w:r>
      <w:r>
        <w:rPr>
          <w:spacing w:val="-4"/>
          <w:sz w:val="20"/>
        </w:rPr>
        <w:t>towards </w:t>
      </w:r>
      <w:r>
        <w:rPr>
          <w:sz w:val="20"/>
        </w:rPr>
        <w:t>finding a</w:t>
      </w:r>
      <w:r>
        <w:rPr>
          <w:spacing w:val="-9"/>
          <w:sz w:val="20"/>
        </w:rPr>
        <w:t> </w:t>
      </w:r>
      <w:r>
        <w:rPr>
          <w:sz w:val="20"/>
        </w:rPr>
        <w:t>solution.’</w:t>
      </w:r>
      <w:r>
        <w:rPr>
          <w:position w:val="7"/>
          <w:sz w:val="11"/>
        </w:rPr>
        <w:t>138</w:t>
      </w:r>
    </w:p>
    <w:p>
      <w:pPr>
        <w:pStyle w:val="Heading6"/>
        <w:spacing w:before="129"/>
        <w:rPr>
          <w:b/>
        </w:rPr>
      </w:pPr>
      <w:r>
        <w:rPr>
          <w:b/>
        </w:rPr>
        <w:t>Empanelling extra jurors</w:t>
      </w:r>
    </w:p>
    <w:p>
      <w:pPr>
        <w:pStyle w:val="ListParagraph"/>
        <w:numPr>
          <w:ilvl w:val="1"/>
          <w:numId w:val="12"/>
        </w:numPr>
        <w:tabs>
          <w:tab w:pos="1761" w:val="left" w:leader="none"/>
          <w:tab w:pos="1762" w:val="left" w:leader="none"/>
        </w:tabs>
        <w:spacing w:line="206" w:lineRule="auto" w:before="132" w:after="0"/>
        <w:ind w:left="1761" w:right="1450" w:hanging="794"/>
        <w:jc w:val="left"/>
        <w:rPr>
          <w:sz w:val="20"/>
        </w:rPr>
      </w:pPr>
      <w:r>
        <w:rPr>
          <w:sz w:val="20"/>
        </w:rPr>
        <w:t>The</w:t>
      </w:r>
      <w:r>
        <w:rPr>
          <w:spacing w:val="-11"/>
          <w:sz w:val="20"/>
        </w:rPr>
        <w:t> </w:t>
      </w:r>
      <w:r>
        <w:rPr>
          <w:sz w:val="20"/>
        </w:rPr>
        <w:t>Commission</w:t>
      </w:r>
      <w:r>
        <w:rPr>
          <w:spacing w:val="-10"/>
          <w:sz w:val="20"/>
        </w:rPr>
        <w:t> </w:t>
      </w:r>
      <w:r>
        <w:rPr>
          <w:sz w:val="20"/>
        </w:rPr>
        <w:t>was</w:t>
      </w:r>
      <w:r>
        <w:rPr>
          <w:spacing w:val="-11"/>
          <w:sz w:val="20"/>
        </w:rPr>
        <w:t> </w:t>
      </w:r>
      <w:r>
        <w:rPr>
          <w:sz w:val="20"/>
        </w:rPr>
        <w:t>asked</w:t>
      </w:r>
      <w:r>
        <w:rPr>
          <w:spacing w:val="-10"/>
          <w:sz w:val="20"/>
        </w:rPr>
        <w:t> </w:t>
      </w:r>
      <w:r>
        <w:rPr>
          <w:sz w:val="20"/>
        </w:rPr>
        <w:t>to</w:t>
      </w:r>
      <w:r>
        <w:rPr>
          <w:spacing w:val="-11"/>
          <w:sz w:val="20"/>
        </w:rPr>
        <w:t> </w:t>
      </w:r>
      <w:r>
        <w:rPr>
          <w:sz w:val="20"/>
        </w:rPr>
        <w:t>consider</w:t>
      </w:r>
      <w:r>
        <w:rPr>
          <w:spacing w:val="-10"/>
          <w:sz w:val="20"/>
        </w:rPr>
        <w:t> </w:t>
      </w:r>
      <w:r>
        <w:rPr>
          <w:sz w:val="20"/>
        </w:rPr>
        <w:t>if</w:t>
      </w:r>
      <w:r>
        <w:rPr>
          <w:spacing w:val="-11"/>
          <w:sz w:val="20"/>
        </w:rPr>
        <w:t> </w:t>
      </w:r>
      <w:r>
        <w:rPr>
          <w:sz w:val="20"/>
        </w:rPr>
        <w:t>it</w:t>
      </w:r>
      <w:r>
        <w:rPr>
          <w:spacing w:val="-10"/>
          <w:sz w:val="20"/>
        </w:rPr>
        <w:t> </w:t>
      </w:r>
      <w:r>
        <w:rPr>
          <w:sz w:val="20"/>
        </w:rPr>
        <w:t>is</w:t>
      </w:r>
      <w:r>
        <w:rPr>
          <w:spacing w:val="-11"/>
          <w:sz w:val="20"/>
        </w:rPr>
        <w:t> </w:t>
      </w:r>
      <w:r>
        <w:rPr>
          <w:sz w:val="20"/>
        </w:rPr>
        <w:t>necessary</w:t>
      </w:r>
      <w:r>
        <w:rPr>
          <w:spacing w:val="-10"/>
          <w:sz w:val="20"/>
        </w:rPr>
        <w:t> </w:t>
      </w:r>
      <w:r>
        <w:rPr>
          <w:sz w:val="20"/>
        </w:rPr>
        <w:t>to</w:t>
      </w:r>
      <w:r>
        <w:rPr>
          <w:spacing w:val="-11"/>
          <w:sz w:val="20"/>
        </w:rPr>
        <w:t> </w:t>
      </w:r>
      <w:r>
        <w:rPr>
          <w:sz w:val="20"/>
        </w:rPr>
        <w:t>empanel</w:t>
      </w:r>
      <w:r>
        <w:rPr>
          <w:spacing w:val="-10"/>
          <w:sz w:val="20"/>
        </w:rPr>
        <w:t> </w:t>
      </w:r>
      <w:r>
        <w:rPr>
          <w:sz w:val="20"/>
        </w:rPr>
        <w:t>additional</w:t>
      </w:r>
      <w:r>
        <w:rPr>
          <w:spacing w:val="-11"/>
          <w:sz w:val="20"/>
        </w:rPr>
        <w:t> </w:t>
      </w:r>
      <w:r>
        <w:rPr>
          <w:sz w:val="20"/>
        </w:rPr>
        <w:t>jurors as a </w:t>
      </w:r>
      <w:r>
        <w:rPr>
          <w:spacing w:val="-3"/>
          <w:sz w:val="20"/>
        </w:rPr>
        <w:t>back-up </w:t>
      </w:r>
      <w:r>
        <w:rPr>
          <w:sz w:val="20"/>
        </w:rPr>
        <w:t>in case a juror </w:t>
      </w:r>
      <w:r>
        <w:rPr>
          <w:spacing w:val="-3"/>
          <w:sz w:val="20"/>
        </w:rPr>
        <w:t>from </w:t>
      </w:r>
      <w:r>
        <w:rPr>
          <w:sz w:val="20"/>
        </w:rPr>
        <w:t>the subject groups is unable to perform their </w:t>
      </w:r>
      <w:r>
        <w:rPr>
          <w:spacing w:val="-3"/>
          <w:sz w:val="20"/>
        </w:rPr>
        <w:t>role </w:t>
      </w:r>
      <w:r>
        <w:rPr>
          <w:sz w:val="20"/>
        </w:rPr>
        <w:t>during trial. The extra juror </w:t>
      </w:r>
      <w:r>
        <w:rPr>
          <w:spacing w:val="-3"/>
          <w:sz w:val="20"/>
        </w:rPr>
        <w:t>‘could </w:t>
      </w:r>
      <w:r>
        <w:rPr>
          <w:sz w:val="20"/>
        </w:rPr>
        <w:t>then be cast off prior to the deliberations as with other</w:t>
      </w:r>
      <w:r>
        <w:rPr>
          <w:spacing w:val="-8"/>
          <w:sz w:val="20"/>
        </w:rPr>
        <w:t> </w:t>
      </w:r>
      <w:r>
        <w:rPr>
          <w:sz w:val="20"/>
        </w:rPr>
        <w:t>trials</w:t>
      </w:r>
      <w:r>
        <w:rPr>
          <w:spacing w:val="-7"/>
          <w:sz w:val="20"/>
        </w:rPr>
        <w:t> </w:t>
      </w:r>
      <w:r>
        <w:rPr>
          <w:sz w:val="20"/>
        </w:rPr>
        <w:t>if</w:t>
      </w:r>
      <w:r>
        <w:rPr>
          <w:spacing w:val="-7"/>
          <w:sz w:val="20"/>
        </w:rPr>
        <w:t> </w:t>
      </w:r>
      <w:r>
        <w:rPr>
          <w:sz w:val="20"/>
        </w:rPr>
        <w:t>not</w:t>
      </w:r>
      <w:r>
        <w:rPr>
          <w:spacing w:val="-7"/>
          <w:sz w:val="20"/>
        </w:rPr>
        <w:t> </w:t>
      </w:r>
      <w:r>
        <w:rPr>
          <w:sz w:val="20"/>
        </w:rPr>
        <w:t>needed’.</w:t>
      </w:r>
      <w:r>
        <w:rPr>
          <w:position w:val="7"/>
          <w:sz w:val="11"/>
        </w:rPr>
        <w:t>139</w:t>
      </w:r>
      <w:r>
        <w:rPr>
          <w:spacing w:val="17"/>
          <w:position w:val="7"/>
          <w:sz w:val="11"/>
        </w:rPr>
        <w:t> </w:t>
      </w:r>
      <w:r>
        <w:rPr>
          <w:sz w:val="20"/>
        </w:rPr>
        <w:t>The</w:t>
      </w:r>
      <w:r>
        <w:rPr>
          <w:spacing w:val="-7"/>
          <w:sz w:val="20"/>
        </w:rPr>
        <w:t> </w:t>
      </w:r>
      <w:r>
        <w:rPr>
          <w:sz w:val="20"/>
        </w:rPr>
        <w:t>Office</w:t>
      </w:r>
      <w:r>
        <w:rPr>
          <w:spacing w:val="-7"/>
          <w:sz w:val="20"/>
        </w:rPr>
        <w:t> </w:t>
      </w:r>
      <w:r>
        <w:rPr>
          <w:sz w:val="20"/>
        </w:rPr>
        <w:t>of</w:t>
      </w:r>
      <w:r>
        <w:rPr>
          <w:spacing w:val="-7"/>
          <w:sz w:val="20"/>
        </w:rPr>
        <w:t> </w:t>
      </w:r>
      <w:r>
        <w:rPr>
          <w:sz w:val="20"/>
        </w:rPr>
        <w:t>Public</w:t>
      </w:r>
      <w:r>
        <w:rPr>
          <w:spacing w:val="-7"/>
          <w:sz w:val="20"/>
        </w:rPr>
        <w:t> </w:t>
      </w:r>
      <w:r>
        <w:rPr>
          <w:sz w:val="20"/>
        </w:rPr>
        <w:t>Prosecutions</w:t>
      </w:r>
      <w:r>
        <w:rPr>
          <w:spacing w:val="-8"/>
          <w:sz w:val="20"/>
        </w:rPr>
        <w:t> </w:t>
      </w:r>
      <w:r>
        <w:rPr>
          <w:sz w:val="20"/>
        </w:rPr>
        <w:t>observed</w:t>
      </w:r>
      <w:r>
        <w:rPr>
          <w:spacing w:val="-7"/>
          <w:sz w:val="20"/>
        </w:rPr>
        <w:t> </w:t>
      </w:r>
      <w:r>
        <w:rPr>
          <w:sz w:val="20"/>
        </w:rPr>
        <w:t>that:</w:t>
      </w:r>
    </w:p>
    <w:p>
      <w:pPr>
        <w:spacing w:line="208" w:lineRule="auto" w:before="123"/>
        <w:ind w:left="2157" w:right="1393" w:firstLine="0"/>
        <w:jc w:val="left"/>
        <w:rPr>
          <w:sz w:val="19"/>
        </w:rPr>
      </w:pPr>
      <w:r>
        <w:rPr>
          <w:sz w:val="19"/>
        </w:rPr>
        <w:t>Trial estimates often blow out due to unforeseen circumstances such as witness unavailability. A person who requires supports may decide after a time that it is too difficult for them to continue. Additional jurors would become a backup as occurs in the case of long trials.</w:t>
      </w:r>
    </w:p>
    <w:p>
      <w:pPr>
        <w:spacing w:line="208" w:lineRule="auto" w:before="122"/>
        <w:ind w:left="2157" w:right="1202" w:firstLine="0"/>
        <w:jc w:val="left"/>
        <w:rPr>
          <w:sz w:val="11"/>
        </w:rPr>
      </w:pPr>
      <w:r>
        <w:rPr>
          <w:sz w:val="19"/>
        </w:rPr>
        <w:t>Another conceivable scenario would be if evidence is adduced that was not foreseen and that could not be evaluated adequately by the juror with hearing or vision loss. In such circumstances, there might be a role for an additional juror to replace the juror who has vision or hearing loss.</w:t>
      </w:r>
      <w:r>
        <w:rPr>
          <w:position w:val="6"/>
          <w:sz w:val="11"/>
        </w:rPr>
        <w:t>140</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The</w:t>
      </w:r>
      <w:r>
        <w:rPr>
          <w:spacing w:val="-5"/>
          <w:sz w:val="20"/>
        </w:rPr>
        <w:t> </w:t>
      </w:r>
      <w:r>
        <w:rPr>
          <w:sz w:val="20"/>
        </w:rPr>
        <w:t>Commission</w:t>
      </w:r>
      <w:r>
        <w:rPr>
          <w:spacing w:val="-5"/>
          <w:sz w:val="20"/>
        </w:rPr>
        <w:t> </w:t>
      </w:r>
      <w:r>
        <w:rPr>
          <w:sz w:val="20"/>
        </w:rPr>
        <w:t>does</w:t>
      </w:r>
      <w:r>
        <w:rPr>
          <w:spacing w:val="-4"/>
          <w:sz w:val="20"/>
        </w:rPr>
        <w:t> </w:t>
      </w:r>
      <w:r>
        <w:rPr>
          <w:sz w:val="20"/>
        </w:rPr>
        <w:t>not</w:t>
      </w:r>
      <w:r>
        <w:rPr>
          <w:spacing w:val="-5"/>
          <w:sz w:val="20"/>
        </w:rPr>
        <w:t> </w:t>
      </w:r>
      <w:r>
        <w:rPr>
          <w:sz w:val="20"/>
        </w:rPr>
        <w:t>support</w:t>
      </w:r>
      <w:r>
        <w:rPr>
          <w:spacing w:val="-5"/>
          <w:sz w:val="20"/>
        </w:rPr>
        <w:t> </w:t>
      </w:r>
      <w:r>
        <w:rPr>
          <w:sz w:val="20"/>
        </w:rPr>
        <w:t>this</w:t>
      </w:r>
      <w:r>
        <w:rPr>
          <w:spacing w:val="-5"/>
          <w:sz w:val="20"/>
        </w:rPr>
        <w:t> </w:t>
      </w:r>
      <w:r>
        <w:rPr>
          <w:sz w:val="20"/>
        </w:rPr>
        <w:t>idea</w:t>
      </w:r>
      <w:r>
        <w:rPr>
          <w:spacing w:val="-4"/>
          <w:sz w:val="20"/>
        </w:rPr>
        <w:t> </w:t>
      </w:r>
      <w:r>
        <w:rPr>
          <w:sz w:val="20"/>
        </w:rPr>
        <w:t>for</w:t>
      </w:r>
      <w:r>
        <w:rPr>
          <w:spacing w:val="-5"/>
          <w:sz w:val="20"/>
        </w:rPr>
        <w:t> </w:t>
      </w:r>
      <w:r>
        <w:rPr>
          <w:sz w:val="20"/>
        </w:rPr>
        <w:t>three</w:t>
      </w:r>
      <w:r>
        <w:rPr>
          <w:spacing w:val="-5"/>
          <w:sz w:val="20"/>
        </w:rPr>
        <w:t> </w:t>
      </w:r>
      <w:r>
        <w:rPr>
          <w:sz w:val="20"/>
        </w:rPr>
        <w:t>reasons:</w:t>
      </w:r>
    </w:p>
    <w:p>
      <w:pPr>
        <w:pStyle w:val="ListParagraph"/>
        <w:numPr>
          <w:ilvl w:val="0"/>
          <w:numId w:val="66"/>
        </w:numPr>
        <w:tabs>
          <w:tab w:pos="2157" w:val="left" w:leader="none"/>
          <w:tab w:pos="2158" w:val="left" w:leader="none"/>
        </w:tabs>
        <w:spacing w:line="206" w:lineRule="auto" w:before="115" w:after="0"/>
        <w:ind w:left="2157" w:right="1415" w:hanging="396"/>
        <w:jc w:val="left"/>
        <w:rPr>
          <w:sz w:val="20"/>
        </w:rPr>
      </w:pPr>
      <w:r>
        <w:rPr>
          <w:sz w:val="20"/>
        </w:rPr>
        <w:t>In</w:t>
      </w:r>
      <w:r>
        <w:rPr>
          <w:spacing w:val="-6"/>
          <w:sz w:val="20"/>
        </w:rPr>
        <w:t> </w:t>
      </w:r>
      <w:r>
        <w:rPr>
          <w:sz w:val="20"/>
        </w:rPr>
        <w:t>Chapter</w:t>
      </w:r>
      <w:r>
        <w:rPr>
          <w:spacing w:val="-5"/>
          <w:sz w:val="20"/>
        </w:rPr>
        <w:t> </w:t>
      </w:r>
      <w:r>
        <w:rPr>
          <w:sz w:val="20"/>
        </w:rPr>
        <w:t>11</w:t>
      </w:r>
      <w:r>
        <w:rPr>
          <w:spacing w:val="-5"/>
          <w:sz w:val="20"/>
        </w:rPr>
        <w:t> </w:t>
      </w:r>
      <w:r>
        <w:rPr>
          <w:spacing w:val="-3"/>
          <w:sz w:val="20"/>
        </w:rPr>
        <w:t>we</w:t>
      </w:r>
      <w:r>
        <w:rPr>
          <w:spacing w:val="-6"/>
          <w:sz w:val="20"/>
        </w:rPr>
        <w:t> </w:t>
      </w:r>
      <w:r>
        <w:rPr>
          <w:sz w:val="20"/>
        </w:rPr>
        <w:t>recommend</w:t>
      </w:r>
      <w:r>
        <w:rPr>
          <w:spacing w:val="-5"/>
          <w:sz w:val="20"/>
        </w:rPr>
        <w:t> </w:t>
      </w:r>
      <w:r>
        <w:rPr>
          <w:sz w:val="20"/>
        </w:rPr>
        <w:t>an</w:t>
      </w:r>
      <w:r>
        <w:rPr>
          <w:spacing w:val="-5"/>
          <w:sz w:val="20"/>
        </w:rPr>
        <w:t> </w:t>
      </w:r>
      <w:r>
        <w:rPr>
          <w:sz w:val="20"/>
        </w:rPr>
        <w:t>assessment</w:t>
      </w:r>
      <w:r>
        <w:rPr>
          <w:spacing w:val="-5"/>
          <w:sz w:val="20"/>
        </w:rPr>
        <w:t> </w:t>
      </w:r>
      <w:r>
        <w:rPr>
          <w:sz w:val="20"/>
        </w:rPr>
        <w:t>process</w:t>
      </w:r>
      <w:r>
        <w:rPr>
          <w:spacing w:val="-6"/>
          <w:sz w:val="20"/>
        </w:rPr>
        <w:t> </w:t>
      </w:r>
      <w:r>
        <w:rPr>
          <w:sz w:val="20"/>
        </w:rPr>
        <w:t>to</w:t>
      </w:r>
      <w:r>
        <w:rPr>
          <w:spacing w:val="-5"/>
          <w:sz w:val="20"/>
        </w:rPr>
        <w:t> </w:t>
      </w:r>
      <w:r>
        <w:rPr>
          <w:sz w:val="20"/>
        </w:rPr>
        <w:t>determine</w:t>
      </w:r>
      <w:r>
        <w:rPr>
          <w:spacing w:val="-5"/>
          <w:sz w:val="20"/>
        </w:rPr>
        <w:t> </w:t>
      </w:r>
      <w:r>
        <w:rPr>
          <w:sz w:val="20"/>
        </w:rPr>
        <w:t>if</w:t>
      </w:r>
      <w:r>
        <w:rPr>
          <w:spacing w:val="-5"/>
          <w:sz w:val="20"/>
        </w:rPr>
        <w:t> </w:t>
      </w:r>
      <w:r>
        <w:rPr>
          <w:sz w:val="20"/>
        </w:rPr>
        <w:t>the</w:t>
      </w:r>
      <w:r>
        <w:rPr>
          <w:spacing w:val="-6"/>
          <w:sz w:val="20"/>
        </w:rPr>
        <w:t> </w:t>
      </w:r>
      <w:r>
        <w:rPr>
          <w:sz w:val="20"/>
        </w:rPr>
        <w:t>person from the subject groups is able to serve. The potential juror will also be well briefed about their role (more so than any other member of the community) so it</w:t>
      </w:r>
      <w:r>
        <w:rPr>
          <w:spacing w:val="-6"/>
          <w:sz w:val="20"/>
        </w:rPr>
        <w:t> </w:t>
      </w:r>
      <w:r>
        <w:rPr>
          <w:sz w:val="20"/>
        </w:rPr>
        <w:t>is</w:t>
      </w:r>
      <w:r>
        <w:rPr>
          <w:spacing w:val="-6"/>
          <w:sz w:val="20"/>
        </w:rPr>
        <w:t> </w:t>
      </w:r>
      <w:r>
        <w:rPr>
          <w:sz w:val="20"/>
        </w:rPr>
        <w:t>unlikely</w:t>
      </w:r>
      <w:r>
        <w:rPr>
          <w:spacing w:val="-6"/>
          <w:sz w:val="20"/>
        </w:rPr>
        <w:t> </w:t>
      </w:r>
      <w:r>
        <w:rPr>
          <w:sz w:val="20"/>
        </w:rPr>
        <w:t>that</w:t>
      </w:r>
      <w:r>
        <w:rPr>
          <w:spacing w:val="-5"/>
          <w:sz w:val="20"/>
        </w:rPr>
        <w:t> </w:t>
      </w:r>
      <w:r>
        <w:rPr>
          <w:sz w:val="20"/>
        </w:rPr>
        <w:t>they</w:t>
      </w:r>
      <w:r>
        <w:rPr>
          <w:spacing w:val="-6"/>
          <w:sz w:val="20"/>
        </w:rPr>
        <w:t> </w:t>
      </w:r>
      <w:r>
        <w:rPr>
          <w:sz w:val="20"/>
        </w:rPr>
        <w:t>will</w:t>
      </w:r>
      <w:r>
        <w:rPr>
          <w:spacing w:val="-6"/>
          <w:sz w:val="20"/>
        </w:rPr>
        <w:t> </w:t>
      </w:r>
      <w:r>
        <w:rPr>
          <w:sz w:val="20"/>
        </w:rPr>
        <w:t>be</w:t>
      </w:r>
      <w:r>
        <w:rPr>
          <w:spacing w:val="-6"/>
          <w:sz w:val="20"/>
        </w:rPr>
        <w:t> </w:t>
      </w:r>
      <w:r>
        <w:rPr>
          <w:sz w:val="20"/>
        </w:rPr>
        <w:t>surprised</w:t>
      </w:r>
      <w:r>
        <w:rPr>
          <w:spacing w:val="-5"/>
          <w:sz w:val="20"/>
        </w:rPr>
        <w:t> </w:t>
      </w:r>
      <w:r>
        <w:rPr>
          <w:spacing w:val="-3"/>
          <w:sz w:val="20"/>
        </w:rPr>
        <w:t>by</w:t>
      </w:r>
      <w:r>
        <w:rPr>
          <w:spacing w:val="-6"/>
          <w:sz w:val="20"/>
        </w:rPr>
        <w:t> </w:t>
      </w:r>
      <w:r>
        <w:rPr>
          <w:sz w:val="20"/>
        </w:rPr>
        <w:t>what</w:t>
      </w:r>
      <w:r>
        <w:rPr>
          <w:spacing w:val="-6"/>
          <w:sz w:val="20"/>
        </w:rPr>
        <w:t> </w:t>
      </w:r>
      <w:r>
        <w:rPr>
          <w:sz w:val="20"/>
        </w:rPr>
        <w:t>is</w:t>
      </w:r>
      <w:r>
        <w:rPr>
          <w:spacing w:val="-6"/>
          <w:sz w:val="20"/>
        </w:rPr>
        <w:t> </w:t>
      </w:r>
      <w:r>
        <w:rPr>
          <w:sz w:val="20"/>
        </w:rPr>
        <w:t>expected</w:t>
      </w:r>
      <w:r>
        <w:rPr>
          <w:spacing w:val="-5"/>
          <w:sz w:val="20"/>
        </w:rPr>
        <w:t> </w:t>
      </w:r>
      <w:r>
        <w:rPr>
          <w:sz w:val="20"/>
        </w:rPr>
        <w:t>of</w:t>
      </w:r>
      <w:r>
        <w:rPr>
          <w:spacing w:val="-6"/>
          <w:sz w:val="20"/>
        </w:rPr>
        <w:t> </w:t>
      </w:r>
      <w:r>
        <w:rPr>
          <w:sz w:val="20"/>
        </w:rPr>
        <w:t>them.</w:t>
      </w:r>
      <w:r>
        <w:rPr>
          <w:spacing w:val="-6"/>
          <w:sz w:val="20"/>
        </w:rPr>
        <w:t> </w:t>
      </w:r>
      <w:r>
        <w:rPr>
          <w:sz w:val="20"/>
        </w:rPr>
        <w:t>While</w:t>
      </w:r>
      <w:r>
        <w:rPr>
          <w:spacing w:val="-5"/>
          <w:sz w:val="20"/>
        </w:rPr>
        <w:t> </w:t>
      </w:r>
      <w:r>
        <w:rPr>
          <w:sz w:val="20"/>
        </w:rPr>
        <w:t>there is</w:t>
      </w:r>
      <w:r>
        <w:rPr>
          <w:spacing w:val="-7"/>
          <w:sz w:val="20"/>
        </w:rPr>
        <w:t> </w:t>
      </w:r>
      <w:r>
        <w:rPr>
          <w:sz w:val="20"/>
        </w:rPr>
        <w:t>a</w:t>
      </w:r>
      <w:r>
        <w:rPr>
          <w:spacing w:val="-6"/>
          <w:sz w:val="20"/>
        </w:rPr>
        <w:t> </w:t>
      </w:r>
      <w:r>
        <w:rPr>
          <w:sz w:val="20"/>
        </w:rPr>
        <w:t>chance</w:t>
      </w:r>
      <w:r>
        <w:rPr>
          <w:spacing w:val="-7"/>
          <w:sz w:val="20"/>
        </w:rPr>
        <w:t> </w:t>
      </w:r>
      <w:r>
        <w:rPr>
          <w:sz w:val="20"/>
        </w:rPr>
        <w:t>that</w:t>
      </w:r>
      <w:r>
        <w:rPr>
          <w:spacing w:val="-6"/>
          <w:sz w:val="20"/>
        </w:rPr>
        <w:t> </w:t>
      </w:r>
      <w:r>
        <w:rPr>
          <w:sz w:val="20"/>
        </w:rPr>
        <w:t>they</w:t>
      </w:r>
      <w:r>
        <w:rPr>
          <w:spacing w:val="-7"/>
          <w:sz w:val="20"/>
        </w:rPr>
        <w:t> </w:t>
      </w:r>
      <w:r>
        <w:rPr>
          <w:sz w:val="20"/>
        </w:rPr>
        <w:t>will</w:t>
      </w:r>
      <w:r>
        <w:rPr>
          <w:spacing w:val="-6"/>
          <w:sz w:val="20"/>
        </w:rPr>
        <w:t> </w:t>
      </w:r>
      <w:r>
        <w:rPr>
          <w:sz w:val="20"/>
        </w:rPr>
        <w:t>not</w:t>
      </w:r>
      <w:r>
        <w:rPr>
          <w:spacing w:val="-6"/>
          <w:sz w:val="20"/>
        </w:rPr>
        <w:t> </w:t>
      </w:r>
      <w:r>
        <w:rPr>
          <w:sz w:val="20"/>
        </w:rPr>
        <w:t>be</w:t>
      </w:r>
      <w:r>
        <w:rPr>
          <w:spacing w:val="-7"/>
          <w:sz w:val="20"/>
        </w:rPr>
        <w:t> </w:t>
      </w:r>
      <w:r>
        <w:rPr>
          <w:sz w:val="20"/>
        </w:rPr>
        <w:t>able</w:t>
      </w:r>
      <w:r>
        <w:rPr>
          <w:spacing w:val="-6"/>
          <w:sz w:val="20"/>
        </w:rPr>
        <w:t> </w:t>
      </w:r>
      <w:r>
        <w:rPr>
          <w:sz w:val="20"/>
        </w:rPr>
        <w:t>to</w:t>
      </w:r>
      <w:r>
        <w:rPr>
          <w:spacing w:val="-7"/>
          <w:sz w:val="20"/>
        </w:rPr>
        <w:t> </w:t>
      </w:r>
      <w:r>
        <w:rPr>
          <w:sz w:val="20"/>
        </w:rPr>
        <w:t>continue</w:t>
      </w:r>
      <w:r>
        <w:rPr>
          <w:spacing w:val="-6"/>
          <w:sz w:val="20"/>
        </w:rPr>
        <w:t> </w:t>
      </w:r>
      <w:r>
        <w:rPr>
          <w:sz w:val="20"/>
        </w:rPr>
        <w:t>to</w:t>
      </w:r>
      <w:r>
        <w:rPr>
          <w:spacing w:val="-6"/>
          <w:sz w:val="20"/>
        </w:rPr>
        <w:t> </w:t>
      </w:r>
      <w:r>
        <w:rPr>
          <w:sz w:val="20"/>
        </w:rPr>
        <w:t>serve</w:t>
      </w:r>
      <w:r>
        <w:rPr>
          <w:spacing w:val="-7"/>
          <w:sz w:val="20"/>
        </w:rPr>
        <w:t> </w:t>
      </w:r>
      <w:r>
        <w:rPr>
          <w:sz w:val="20"/>
        </w:rPr>
        <w:t>as</w:t>
      </w:r>
      <w:r>
        <w:rPr>
          <w:spacing w:val="-6"/>
          <w:sz w:val="20"/>
        </w:rPr>
        <w:t> </w:t>
      </w:r>
      <w:r>
        <w:rPr>
          <w:sz w:val="20"/>
        </w:rPr>
        <w:t>a</w:t>
      </w:r>
      <w:r>
        <w:rPr>
          <w:spacing w:val="-7"/>
          <w:sz w:val="20"/>
        </w:rPr>
        <w:t> </w:t>
      </w:r>
      <w:r>
        <w:rPr>
          <w:sz w:val="20"/>
        </w:rPr>
        <w:t>juror</w:t>
      </w:r>
      <w:r>
        <w:rPr>
          <w:spacing w:val="-6"/>
          <w:sz w:val="20"/>
        </w:rPr>
        <w:t> </w:t>
      </w:r>
      <w:r>
        <w:rPr>
          <w:sz w:val="20"/>
        </w:rPr>
        <w:t>(for</w:t>
      </w:r>
      <w:r>
        <w:rPr>
          <w:spacing w:val="-6"/>
          <w:sz w:val="20"/>
        </w:rPr>
        <w:t> </w:t>
      </w:r>
      <w:r>
        <w:rPr>
          <w:sz w:val="20"/>
        </w:rPr>
        <w:t>example, if evidence is adduced that was not initially anticipated and they </w:t>
      </w:r>
      <w:r>
        <w:rPr>
          <w:spacing w:val="-3"/>
          <w:sz w:val="20"/>
        </w:rPr>
        <w:t>have </w:t>
      </w:r>
      <w:r>
        <w:rPr>
          <w:sz w:val="20"/>
        </w:rPr>
        <w:t>difficulty accessing</w:t>
      </w:r>
      <w:r>
        <w:rPr>
          <w:spacing w:val="-5"/>
          <w:sz w:val="20"/>
        </w:rPr>
        <w:t> </w:t>
      </w:r>
      <w:r>
        <w:rPr>
          <w:sz w:val="20"/>
        </w:rPr>
        <w:t>that</w:t>
      </w:r>
      <w:r>
        <w:rPr>
          <w:spacing w:val="-5"/>
          <w:sz w:val="20"/>
        </w:rPr>
        <w:t> </w:t>
      </w:r>
      <w:r>
        <w:rPr>
          <w:sz w:val="20"/>
        </w:rPr>
        <w:t>evidence),</w:t>
      </w:r>
      <w:r>
        <w:rPr>
          <w:spacing w:val="-4"/>
          <w:sz w:val="20"/>
        </w:rPr>
        <w:t> </w:t>
      </w:r>
      <w:r>
        <w:rPr>
          <w:sz w:val="20"/>
        </w:rPr>
        <w:t>this</w:t>
      </w:r>
      <w:r>
        <w:rPr>
          <w:spacing w:val="-5"/>
          <w:sz w:val="20"/>
        </w:rPr>
        <w:t> </w:t>
      </w:r>
      <w:r>
        <w:rPr>
          <w:sz w:val="20"/>
        </w:rPr>
        <w:t>risk</w:t>
      </w:r>
      <w:r>
        <w:rPr>
          <w:spacing w:val="-4"/>
          <w:sz w:val="20"/>
        </w:rPr>
        <w:t> </w:t>
      </w:r>
      <w:r>
        <w:rPr>
          <w:sz w:val="20"/>
        </w:rPr>
        <w:t>is</w:t>
      </w:r>
      <w:r>
        <w:rPr>
          <w:spacing w:val="-5"/>
          <w:sz w:val="20"/>
        </w:rPr>
        <w:t> </w:t>
      </w:r>
      <w:r>
        <w:rPr>
          <w:sz w:val="20"/>
        </w:rPr>
        <w:t>not</w:t>
      </w:r>
      <w:r>
        <w:rPr>
          <w:spacing w:val="-5"/>
          <w:sz w:val="20"/>
        </w:rPr>
        <w:t> </w:t>
      </w:r>
      <w:r>
        <w:rPr>
          <w:sz w:val="20"/>
        </w:rPr>
        <w:t>any</w:t>
      </w:r>
      <w:r>
        <w:rPr>
          <w:spacing w:val="-4"/>
          <w:sz w:val="20"/>
        </w:rPr>
        <w:t> </w:t>
      </w:r>
      <w:r>
        <w:rPr>
          <w:sz w:val="20"/>
        </w:rPr>
        <w:t>higher</w:t>
      </w:r>
      <w:r>
        <w:rPr>
          <w:spacing w:val="-5"/>
          <w:sz w:val="20"/>
        </w:rPr>
        <w:t> </w:t>
      </w:r>
      <w:r>
        <w:rPr>
          <w:sz w:val="20"/>
        </w:rPr>
        <w:t>than</w:t>
      </w:r>
      <w:r>
        <w:rPr>
          <w:spacing w:val="-4"/>
          <w:sz w:val="20"/>
        </w:rPr>
        <w:t> </w:t>
      </w:r>
      <w:r>
        <w:rPr>
          <w:sz w:val="20"/>
        </w:rPr>
        <w:t>for</w:t>
      </w:r>
      <w:r>
        <w:rPr>
          <w:spacing w:val="-5"/>
          <w:sz w:val="20"/>
        </w:rPr>
        <w:t> </w:t>
      </w:r>
      <w:r>
        <w:rPr>
          <w:sz w:val="20"/>
        </w:rPr>
        <w:t>any</w:t>
      </w:r>
      <w:r>
        <w:rPr>
          <w:spacing w:val="-5"/>
          <w:sz w:val="20"/>
        </w:rPr>
        <w:t> </w:t>
      </w:r>
      <w:r>
        <w:rPr>
          <w:sz w:val="20"/>
        </w:rPr>
        <w:t>other</w:t>
      </w:r>
      <w:r>
        <w:rPr>
          <w:spacing w:val="-4"/>
          <w:sz w:val="20"/>
        </w:rPr>
        <w:t> </w:t>
      </w:r>
      <w:r>
        <w:rPr>
          <w:spacing w:val="-3"/>
          <w:sz w:val="20"/>
        </w:rPr>
        <w:t>juror.</w:t>
      </w:r>
    </w:p>
    <w:p>
      <w:pPr>
        <w:pStyle w:val="BodyText"/>
      </w:pPr>
    </w:p>
    <w:p>
      <w:pPr>
        <w:pStyle w:val="BodyText"/>
      </w:pPr>
    </w:p>
    <w:p>
      <w:pPr>
        <w:pStyle w:val="BodyText"/>
      </w:pPr>
    </w:p>
    <w:p>
      <w:pPr>
        <w:pStyle w:val="BodyText"/>
      </w:pPr>
    </w:p>
    <w:p>
      <w:pPr>
        <w:pStyle w:val="BodyText"/>
      </w:pPr>
    </w:p>
    <w:p>
      <w:pPr>
        <w:pStyle w:val="BodyText"/>
      </w:pPr>
    </w:p>
    <w:p>
      <w:pPr>
        <w:pStyle w:val="BodyText"/>
        <w:spacing w:before="12"/>
      </w:pPr>
      <w:r>
        <w:rPr/>
        <w:pict>
          <v:line style="position:absolute;mso-position-horizontal-relative:page;mso-position-vertical-relative:paragraph;z-index:5288;mso-wrap-distance-left:0;mso-wrap-distance-right:0" from="79.370102pt,16.952419pt" to="515.905102pt,16.952419pt" stroked="true" strokeweight="1pt" strokecolor="#b6bdc8">
            <v:stroke dashstyle="solid"/>
            <w10:wrap type="topAndBottom"/>
          </v:line>
        </w:pict>
      </w:r>
    </w:p>
    <w:p>
      <w:pPr>
        <w:pStyle w:val="ListParagraph"/>
        <w:numPr>
          <w:ilvl w:val="0"/>
          <w:numId w:val="65"/>
        </w:numPr>
        <w:tabs>
          <w:tab w:pos="1761" w:val="left" w:leader="none"/>
          <w:tab w:pos="1762" w:val="left" w:leader="none"/>
        </w:tabs>
        <w:spacing w:line="170" w:lineRule="exact" w:before="91" w:after="0"/>
        <w:ind w:left="1761" w:right="0" w:hanging="794"/>
        <w:jc w:val="left"/>
        <w:rPr>
          <w:sz w:val="13"/>
        </w:rPr>
      </w:pPr>
      <w:r>
        <w:rPr>
          <w:spacing w:val="2"/>
          <w:sz w:val="13"/>
        </w:rPr>
        <w:t>Online </w:t>
      </w:r>
      <w:r>
        <w:rPr>
          <w:sz w:val="13"/>
        </w:rPr>
        <w:t>Survey (Response</w:t>
      </w:r>
      <w:r>
        <w:rPr>
          <w:spacing w:val="-2"/>
          <w:sz w:val="13"/>
        </w:rPr>
        <w:t> </w:t>
      </w:r>
      <w:r>
        <w:rPr>
          <w:sz w:val="13"/>
        </w:rPr>
        <w:t>4).</w:t>
      </w:r>
    </w:p>
    <w:p>
      <w:pPr>
        <w:pStyle w:val="ListParagraph"/>
        <w:numPr>
          <w:ilvl w:val="0"/>
          <w:numId w:val="65"/>
        </w:numPr>
        <w:tabs>
          <w:tab w:pos="1761" w:val="left" w:leader="none"/>
          <w:tab w:pos="1762" w:val="left" w:leader="none"/>
        </w:tabs>
        <w:spacing w:line="160" w:lineRule="exact" w:before="0" w:after="0"/>
        <w:ind w:left="1761" w:right="0" w:hanging="794"/>
        <w:jc w:val="left"/>
        <w:rPr>
          <w:sz w:val="13"/>
        </w:rPr>
      </w:pPr>
      <w:r>
        <w:rPr>
          <w:sz w:val="13"/>
        </w:rPr>
        <w:t>Consultation 6 (Deaf Victoria and community</w:t>
      </w:r>
      <w:r>
        <w:rPr>
          <w:spacing w:val="3"/>
          <w:sz w:val="13"/>
        </w:rPr>
        <w:t> </w:t>
      </w:r>
      <w:r>
        <w:rPr>
          <w:sz w:val="13"/>
        </w:rPr>
        <w:t>participants).</w:t>
      </w:r>
    </w:p>
    <w:p>
      <w:pPr>
        <w:pStyle w:val="ListParagraph"/>
        <w:numPr>
          <w:ilvl w:val="0"/>
          <w:numId w:val="65"/>
        </w:numPr>
        <w:tabs>
          <w:tab w:pos="1760" w:val="left" w:leader="none"/>
          <w:tab w:pos="1762" w:val="left" w:leader="none"/>
        </w:tabs>
        <w:spacing w:line="213" w:lineRule="auto" w:before="6" w:after="0"/>
        <w:ind w:left="1761" w:right="1423" w:hanging="794"/>
        <w:jc w:val="left"/>
        <w:rPr>
          <w:sz w:val="13"/>
        </w:rPr>
      </w:pPr>
      <w:r>
        <w:rPr>
          <w:sz w:val="13"/>
        </w:rPr>
        <w:t>Consultation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w:t>
      </w:r>
      <w:r>
        <w:rPr>
          <w:spacing w:val="4"/>
          <w:sz w:val="13"/>
        </w:rPr>
        <w:t> </w:t>
      </w:r>
      <w:r>
        <w:rPr>
          <w:sz w:val="13"/>
        </w:rPr>
        <w:t>Wales)).</w:t>
      </w:r>
    </w:p>
    <w:p>
      <w:pPr>
        <w:pStyle w:val="ListParagraph"/>
        <w:numPr>
          <w:ilvl w:val="0"/>
          <w:numId w:val="65"/>
        </w:numPr>
        <w:tabs>
          <w:tab w:pos="1760" w:val="left" w:leader="none"/>
          <w:tab w:pos="1762" w:val="left" w:leader="none"/>
        </w:tabs>
        <w:spacing w:line="153" w:lineRule="exact" w:before="0" w:after="0"/>
        <w:ind w:left="1761" w:right="0" w:hanging="794"/>
        <w:jc w:val="left"/>
        <w:rPr>
          <w:sz w:val="13"/>
        </w:rPr>
      </w:pPr>
      <w:r>
        <w:rPr>
          <w:sz w:val="13"/>
        </w:rPr>
        <w:t>Consultation 4 </w:t>
      </w:r>
      <w:r>
        <w:rPr>
          <w:spacing w:val="2"/>
          <w:sz w:val="13"/>
        </w:rPr>
        <w:t>(Victorian </w:t>
      </w:r>
      <w:r>
        <w:rPr>
          <w:sz w:val="13"/>
        </w:rPr>
        <w:t>Criminal Bar</w:t>
      </w:r>
      <w:r>
        <w:rPr>
          <w:spacing w:val="-1"/>
          <w:sz w:val="13"/>
        </w:rPr>
        <w:t> </w:t>
      </w:r>
      <w:r>
        <w:rPr>
          <w:sz w:val="13"/>
        </w:rPr>
        <w:t>Association).</w:t>
      </w:r>
    </w:p>
    <w:p>
      <w:pPr>
        <w:pStyle w:val="ListParagraph"/>
        <w:numPr>
          <w:ilvl w:val="0"/>
          <w:numId w:val="65"/>
        </w:numPr>
        <w:tabs>
          <w:tab w:pos="1760" w:val="left" w:leader="none"/>
          <w:tab w:pos="1762" w:val="left" w:leader="none"/>
        </w:tabs>
        <w:spacing w:line="213" w:lineRule="auto" w:before="6" w:after="0"/>
        <w:ind w:left="1761" w:right="1305" w:hanging="794"/>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65"/>
        </w:numPr>
        <w:tabs>
          <w:tab w:pos="1760" w:val="left" w:leader="none"/>
          <w:tab w:pos="1762" w:val="left" w:leader="none"/>
        </w:tabs>
        <w:spacing w:line="153" w:lineRule="exact" w:before="0" w:after="0"/>
        <w:ind w:left="1761" w:right="0" w:hanging="794"/>
        <w:jc w:val="left"/>
        <w:rPr>
          <w:sz w:val="13"/>
        </w:rPr>
      </w:pPr>
      <w:r>
        <w:rPr/>
        <w:pict>
          <v:shape style="position:absolute;margin-left:36pt;margin-top:3.337029pt;width:14.5pt;height:14.1pt;mso-position-horizontal-relative:page;mso-position-vertical-relative:paragraph;z-index:7360" type="#_x0000_t202" filled="false" stroked="false">
            <v:textbox inset="0,0,0,0">
              <w:txbxContent>
                <w:p>
                  <w:pPr>
                    <w:spacing w:line="282" w:lineRule="exact" w:before="0"/>
                    <w:ind w:left="0" w:right="0" w:firstLine="0"/>
                    <w:jc w:val="left"/>
                    <w:rPr>
                      <w:b/>
                      <w:sz w:val="24"/>
                    </w:rPr>
                  </w:pPr>
                  <w:r>
                    <w:rPr>
                      <w:b/>
                      <w:color w:val="37617A"/>
                      <w:spacing w:val="-1"/>
                      <w:sz w:val="24"/>
                    </w:rPr>
                    <w:t>86</w:t>
                  </w:r>
                </w:p>
              </w:txbxContent>
            </v:textbox>
            <w10:wrap type="none"/>
          </v:shape>
        </w:pict>
      </w:r>
      <w:r>
        <w:rPr>
          <w:sz w:val="13"/>
        </w:rPr>
        <w:t>Consultation 16 (Office of </w:t>
      </w:r>
      <w:r>
        <w:rPr>
          <w:spacing w:val="2"/>
          <w:sz w:val="13"/>
        </w:rPr>
        <w:t>Public </w:t>
      </w:r>
      <w:r>
        <w:rPr>
          <w:sz w:val="13"/>
        </w:rPr>
        <w:t>Prosecutions</w:t>
      </w:r>
      <w:r>
        <w:rPr>
          <w:spacing w:val="-1"/>
          <w:sz w:val="13"/>
        </w:rPr>
        <w:t> </w:t>
      </w:r>
      <w:r>
        <w:rPr>
          <w:sz w:val="13"/>
        </w:rPr>
        <w:t>Victoria).</w:t>
      </w:r>
    </w:p>
    <w:p>
      <w:pPr>
        <w:pStyle w:val="ListParagraph"/>
        <w:numPr>
          <w:ilvl w:val="0"/>
          <w:numId w:val="65"/>
        </w:numPr>
        <w:tabs>
          <w:tab w:pos="1760" w:val="left" w:leader="none"/>
          <w:tab w:pos="1762" w:val="left" w:leader="none"/>
        </w:tabs>
        <w:spacing w:line="170" w:lineRule="exact" w:before="0" w:after="0"/>
        <w:ind w:left="1761" w:right="0" w:hanging="794"/>
        <w:jc w:val="left"/>
        <w:rPr>
          <w:sz w:val="13"/>
        </w:rPr>
      </w:pPr>
      <w:r>
        <w:rPr>
          <w:sz w:val="13"/>
        </w:rPr>
        <w:t>Ibid </w:t>
      </w:r>
      <w:r>
        <w:rPr>
          <w:spacing w:val="2"/>
          <w:sz w:val="13"/>
        </w:rPr>
        <w:t>9.</w:t>
      </w:r>
    </w:p>
    <w:p>
      <w:pPr>
        <w:spacing w:after="0" w:line="170"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0"/>
          <w:numId w:val="66"/>
        </w:numPr>
        <w:tabs>
          <w:tab w:pos="2157" w:val="left" w:leader="none"/>
          <w:tab w:pos="2158" w:val="left" w:leader="none"/>
        </w:tabs>
        <w:spacing w:line="206" w:lineRule="auto" w:before="90" w:after="0"/>
        <w:ind w:left="2157" w:right="1312" w:hanging="396"/>
        <w:jc w:val="left"/>
        <w:rPr>
          <w:sz w:val="20"/>
        </w:rPr>
      </w:pPr>
      <w:bookmarkStart w:name="_bookmark66" w:id="168"/>
      <w:bookmarkEnd w:id="168"/>
      <w:r>
        <w:rPr/>
      </w:r>
      <w:bookmarkStart w:name="_bookmark66" w:id="169"/>
      <w:bookmarkEnd w:id="169"/>
      <w:r>
        <w:rPr>
          <w:sz w:val="20"/>
        </w:rPr>
        <w:t>T</w:t>
      </w:r>
      <w:r>
        <w:rPr>
          <w:sz w:val="20"/>
        </w:rPr>
        <w:t>here</w:t>
      </w:r>
      <w:r>
        <w:rPr>
          <w:spacing w:val="-6"/>
          <w:sz w:val="20"/>
        </w:rPr>
        <w:t> </w:t>
      </w:r>
      <w:r>
        <w:rPr>
          <w:sz w:val="20"/>
        </w:rPr>
        <w:t>is</w:t>
      </w:r>
      <w:r>
        <w:rPr>
          <w:spacing w:val="-6"/>
          <w:sz w:val="20"/>
        </w:rPr>
        <w:t> </w:t>
      </w:r>
      <w:r>
        <w:rPr>
          <w:sz w:val="20"/>
        </w:rPr>
        <w:t>already</w:t>
      </w:r>
      <w:r>
        <w:rPr>
          <w:spacing w:val="-6"/>
          <w:sz w:val="20"/>
        </w:rPr>
        <w:t> </w:t>
      </w:r>
      <w:r>
        <w:rPr>
          <w:sz w:val="20"/>
        </w:rPr>
        <w:t>a</w:t>
      </w:r>
      <w:r>
        <w:rPr>
          <w:spacing w:val="-6"/>
          <w:sz w:val="20"/>
        </w:rPr>
        <w:t> </w:t>
      </w:r>
      <w:r>
        <w:rPr>
          <w:sz w:val="20"/>
        </w:rPr>
        <w:t>provision</w:t>
      </w:r>
      <w:r>
        <w:rPr>
          <w:spacing w:val="-6"/>
          <w:sz w:val="20"/>
        </w:rPr>
        <w:t> </w:t>
      </w:r>
      <w:r>
        <w:rPr>
          <w:sz w:val="20"/>
        </w:rPr>
        <w:t>in</w:t>
      </w:r>
      <w:r>
        <w:rPr>
          <w:spacing w:val="-5"/>
          <w:sz w:val="20"/>
        </w:rPr>
        <w:t> </w:t>
      </w:r>
      <w:r>
        <w:rPr>
          <w:sz w:val="20"/>
        </w:rPr>
        <w:t>the</w:t>
      </w:r>
      <w:r>
        <w:rPr>
          <w:spacing w:val="-6"/>
          <w:sz w:val="20"/>
        </w:rPr>
        <w:t> </w:t>
      </w:r>
      <w:r>
        <w:rPr>
          <w:sz w:val="20"/>
        </w:rPr>
        <w:t>Act</w:t>
      </w:r>
      <w:r>
        <w:rPr>
          <w:spacing w:val="-6"/>
          <w:sz w:val="20"/>
        </w:rPr>
        <w:t> </w:t>
      </w:r>
      <w:r>
        <w:rPr>
          <w:sz w:val="20"/>
        </w:rPr>
        <w:t>that</w:t>
      </w:r>
      <w:r>
        <w:rPr>
          <w:spacing w:val="-6"/>
          <w:sz w:val="20"/>
        </w:rPr>
        <w:t> </w:t>
      </w:r>
      <w:r>
        <w:rPr>
          <w:sz w:val="20"/>
        </w:rPr>
        <w:t>allows</w:t>
      </w:r>
      <w:r>
        <w:rPr>
          <w:spacing w:val="-6"/>
          <w:sz w:val="20"/>
        </w:rPr>
        <w:t> </w:t>
      </w:r>
      <w:r>
        <w:rPr>
          <w:sz w:val="20"/>
        </w:rPr>
        <w:t>extra</w:t>
      </w:r>
      <w:r>
        <w:rPr>
          <w:spacing w:val="-5"/>
          <w:sz w:val="20"/>
        </w:rPr>
        <w:t> </w:t>
      </w:r>
      <w:r>
        <w:rPr>
          <w:sz w:val="20"/>
        </w:rPr>
        <w:t>jurors</w:t>
      </w:r>
      <w:r>
        <w:rPr>
          <w:spacing w:val="-6"/>
          <w:sz w:val="20"/>
        </w:rPr>
        <w:t> </w:t>
      </w:r>
      <w:r>
        <w:rPr>
          <w:sz w:val="20"/>
        </w:rPr>
        <w:t>to</w:t>
      </w:r>
      <w:r>
        <w:rPr>
          <w:spacing w:val="-6"/>
          <w:sz w:val="20"/>
        </w:rPr>
        <w:t> </w:t>
      </w:r>
      <w:r>
        <w:rPr>
          <w:sz w:val="20"/>
        </w:rPr>
        <w:t>be</w:t>
      </w:r>
      <w:r>
        <w:rPr>
          <w:spacing w:val="-6"/>
          <w:sz w:val="20"/>
        </w:rPr>
        <w:t> </w:t>
      </w:r>
      <w:r>
        <w:rPr>
          <w:sz w:val="20"/>
        </w:rPr>
        <w:t>empanelled.</w:t>
      </w:r>
      <w:r>
        <w:rPr>
          <w:position w:val="7"/>
          <w:sz w:val="11"/>
        </w:rPr>
        <w:t>141</w:t>
      </w:r>
      <w:r>
        <w:rPr>
          <w:sz w:val="11"/>
        </w:rPr>
        <w:t> </w:t>
      </w:r>
      <w:r>
        <w:rPr>
          <w:sz w:val="20"/>
        </w:rPr>
        <w:t>If a juror must be discharged,</w:t>
      </w:r>
      <w:r>
        <w:rPr>
          <w:position w:val="7"/>
          <w:sz w:val="11"/>
        </w:rPr>
        <w:t>142 </w:t>
      </w:r>
      <w:r>
        <w:rPr>
          <w:sz w:val="20"/>
        </w:rPr>
        <w:t>the court can order that the trial continues with a smaller jury.</w:t>
      </w:r>
      <w:r>
        <w:rPr>
          <w:position w:val="7"/>
          <w:sz w:val="11"/>
        </w:rPr>
        <w:t>143 </w:t>
      </w:r>
      <w:r>
        <w:rPr>
          <w:sz w:val="20"/>
        </w:rPr>
        <w:t>Therefore, no amendments to the Act are required to address the concerns</w:t>
      </w:r>
      <w:r>
        <w:rPr>
          <w:spacing w:val="-3"/>
          <w:sz w:val="20"/>
        </w:rPr>
        <w:t> </w:t>
      </w:r>
      <w:r>
        <w:rPr>
          <w:sz w:val="20"/>
        </w:rPr>
        <w:t>raised.</w:t>
      </w:r>
    </w:p>
    <w:p>
      <w:pPr>
        <w:pStyle w:val="ListParagraph"/>
        <w:numPr>
          <w:ilvl w:val="0"/>
          <w:numId w:val="66"/>
        </w:numPr>
        <w:tabs>
          <w:tab w:pos="2157" w:val="left" w:leader="none"/>
          <w:tab w:pos="2158" w:val="left" w:leader="none"/>
        </w:tabs>
        <w:spacing w:line="206" w:lineRule="auto" w:before="90" w:after="0"/>
        <w:ind w:left="2157" w:right="1437" w:hanging="396"/>
        <w:jc w:val="left"/>
        <w:rPr>
          <w:sz w:val="11"/>
        </w:rPr>
      </w:pPr>
      <w:r>
        <w:rPr>
          <w:sz w:val="20"/>
        </w:rPr>
        <w:t>The process </w:t>
      </w:r>
      <w:r>
        <w:rPr>
          <w:spacing w:val="-3"/>
          <w:sz w:val="20"/>
        </w:rPr>
        <w:t>by </w:t>
      </w:r>
      <w:r>
        <w:rPr>
          <w:sz w:val="20"/>
        </w:rPr>
        <w:t>which a surplus juror is cast off (known as balloting-off)</w:t>
      </w:r>
      <w:r>
        <w:rPr>
          <w:position w:val="7"/>
          <w:sz w:val="11"/>
        </w:rPr>
        <w:t>144 </w:t>
      </w:r>
      <w:r>
        <w:rPr>
          <w:sz w:val="20"/>
        </w:rPr>
        <w:t>can be very upsetting for those who are removed.</w:t>
      </w:r>
      <w:r>
        <w:rPr>
          <w:position w:val="7"/>
          <w:sz w:val="11"/>
        </w:rPr>
        <w:t>145 </w:t>
      </w:r>
      <w:r>
        <w:rPr>
          <w:sz w:val="20"/>
        </w:rPr>
        <w:t>In the jury empanelment report the Commission recommended that section 48 should be repealed to end the balloting-off process and that it was preferable to allow the taking of a verdict from an enlarged</w:t>
      </w:r>
      <w:r>
        <w:rPr>
          <w:spacing w:val="-7"/>
          <w:sz w:val="20"/>
        </w:rPr>
        <w:t> </w:t>
      </w:r>
      <w:r>
        <w:rPr>
          <w:sz w:val="20"/>
        </w:rPr>
        <w:t>jury.</w:t>
      </w:r>
      <w:r>
        <w:rPr>
          <w:position w:val="7"/>
          <w:sz w:val="11"/>
        </w:rPr>
        <w:t>146</w:t>
      </w:r>
    </w:p>
    <w:p>
      <w:pPr>
        <w:pStyle w:val="ListParagraph"/>
        <w:numPr>
          <w:ilvl w:val="1"/>
          <w:numId w:val="12"/>
        </w:numPr>
        <w:tabs>
          <w:tab w:pos="1761" w:val="left" w:leader="none"/>
          <w:tab w:pos="1762" w:val="left" w:leader="none"/>
        </w:tabs>
        <w:spacing w:line="206" w:lineRule="auto" w:before="91" w:after="0"/>
        <w:ind w:left="1761" w:right="1210" w:hanging="794"/>
        <w:jc w:val="left"/>
        <w:rPr>
          <w:sz w:val="20"/>
        </w:rPr>
      </w:pPr>
      <w:r>
        <w:rPr>
          <w:spacing w:val="-4"/>
          <w:sz w:val="20"/>
        </w:rPr>
        <w:t>Ultimately,</w:t>
      </w:r>
      <w:r>
        <w:rPr>
          <w:spacing w:val="-10"/>
          <w:sz w:val="20"/>
        </w:rPr>
        <w:t> </w:t>
      </w:r>
      <w:r>
        <w:rPr>
          <w:sz w:val="20"/>
        </w:rPr>
        <w:t>empanelling</w:t>
      </w:r>
      <w:r>
        <w:rPr>
          <w:spacing w:val="-10"/>
          <w:sz w:val="20"/>
        </w:rPr>
        <w:t> </w:t>
      </w:r>
      <w:r>
        <w:rPr>
          <w:sz w:val="20"/>
        </w:rPr>
        <w:t>an</w:t>
      </w:r>
      <w:r>
        <w:rPr>
          <w:spacing w:val="-10"/>
          <w:sz w:val="20"/>
        </w:rPr>
        <w:t> </w:t>
      </w:r>
      <w:r>
        <w:rPr>
          <w:sz w:val="20"/>
        </w:rPr>
        <w:t>extra</w:t>
      </w:r>
      <w:r>
        <w:rPr>
          <w:spacing w:val="-9"/>
          <w:sz w:val="20"/>
        </w:rPr>
        <w:t> </w:t>
      </w:r>
      <w:r>
        <w:rPr>
          <w:sz w:val="20"/>
        </w:rPr>
        <w:t>juror</w:t>
      </w:r>
      <w:r>
        <w:rPr>
          <w:spacing w:val="-10"/>
          <w:sz w:val="20"/>
        </w:rPr>
        <w:t> </w:t>
      </w:r>
      <w:r>
        <w:rPr>
          <w:sz w:val="20"/>
        </w:rPr>
        <w:t>when</w:t>
      </w:r>
      <w:r>
        <w:rPr>
          <w:spacing w:val="-10"/>
          <w:sz w:val="20"/>
        </w:rPr>
        <w:t> </w:t>
      </w:r>
      <w:r>
        <w:rPr>
          <w:sz w:val="20"/>
        </w:rPr>
        <w:t>a</w:t>
      </w:r>
      <w:r>
        <w:rPr>
          <w:spacing w:val="-9"/>
          <w:sz w:val="20"/>
        </w:rPr>
        <w:t> </w:t>
      </w:r>
      <w:r>
        <w:rPr>
          <w:sz w:val="20"/>
        </w:rPr>
        <w:t>person</w:t>
      </w:r>
      <w:r>
        <w:rPr>
          <w:spacing w:val="-10"/>
          <w:sz w:val="20"/>
        </w:rPr>
        <w:t> </w:t>
      </w:r>
      <w:r>
        <w:rPr>
          <w:spacing w:val="-3"/>
          <w:sz w:val="20"/>
        </w:rPr>
        <w:t>from</w:t>
      </w:r>
      <w:r>
        <w:rPr>
          <w:spacing w:val="-10"/>
          <w:sz w:val="20"/>
        </w:rPr>
        <w:t> </w:t>
      </w:r>
      <w:r>
        <w:rPr>
          <w:sz w:val="20"/>
        </w:rPr>
        <w:t>the</w:t>
      </w:r>
      <w:r>
        <w:rPr>
          <w:spacing w:val="-9"/>
          <w:sz w:val="20"/>
        </w:rPr>
        <w:t> </w:t>
      </w:r>
      <w:r>
        <w:rPr>
          <w:sz w:val="20"/>
        </w:rPr>
        <w:t>subject</w:t>
      </w:r>
      <w:r>
        <w:rPr>
          <w:spacing w:val="-10"/>
          <w:sz w:val="20"/>
        </w:rPr>
        <w:t> </w:t>
      </w:r>
      <w:r>
        <w:rPr>
          <w:sz w:val="20"/>
        </w:rPr>
        <w:t>groups</w:t>
      </w:r>
      <w:r>
        <w:rPr>
          <w:spacing w:val="-10"/>
          <w:sz w:val="20"/>
        </w:rPr>
        <w:t> </w:t>
      </w:r>
      <w:r>
        <w:rPr>
          <w:sz w:val="20"/>
        </w:rPr>
        <w:t>is</w:t>
      </w:r>
      <w:r>
        <w:rPr>
          <w:spacing w:val="-9"/>
          <w:sz w:val="20"/>
        </w:rPr>
        <w:t> </w:t>
      </w:r>
      <w:r>
        <w:rPr>
          <w:sz w:val="20"/>
        </w:rPr>
        <w:t>serving </w:t>
      </w:r>
      <w:r>
        <w:rPr>
          <w:spacing w:val="-3"/>
          <w:sz w:val="20"/>
        </w:rPr>
        <w:t>would </w:t>
      </w:r>
      <w:r>
        <w:rPr>
          <w:sz w:val="20"/>
        </w:rPr>
        <w:t>undermine the system of assessment recommended in this report in </w:t>
      </w:r>
      <w:r>
        <w:rPr>
          <w:spacing w:val="-2"/>
          <w:sz w:val="20"/>
        </w:rPr>
        <w:t>Chapters </w:t>
      </w:r>
      <w:r>
        <w:rPr>
          <w:sz w:val="20"/>
        </w:rPr>
        <w:t>11 and 12. It could also be </w:t>
      </w:r>
      <w:r>
        <w:rPr>
          <w:spacing w:val="-3"/>
          <w:sz w:val="20"/>
        </w:rPr>
        <w:t>perceived </w:t>
      </w:r>
      <w:r>
        <w:rPr>
          <w:sz w:val="20"/>
        </w:rPr>
        <w:t>to perpetuate discrimination against the affected </w:t>
      </w:r>
      <w:r>
        <w:rPr>
          <w:spacing w:val="-4"/>
          <w:sz w:val="20"/>
        </w:rPr>
        <w:t>juror, </w:t>
      </w:r>
      <w:r>
        <w:rPr>
          <w:spacing w:val="-3"/>
          <w:sz w:val="20"/>
        </w:rPr>
        <w:t>by creating </w:t>
      </w:r>
      <w:r>
        <w:rPr>
          <w:sz w:val="20"/>
        </w:rPr>
        <w:t>a public expectation that they will not be able to perform their </w:t>
      </w:r>
      <w:r>
        <w:rPr>
          <w:spacing w:val="-3"/>
          <w:sz w:val="20"/>
        </w:rPr>
        <w:t>role. </w:t>
      </w:r>
      <w:r>
        <w:rPr>
          <w:sz w:val="20"/>
        </w:rPr>
        <w:t>It will</w:t>
      </w:r>
      <w:r>
        <w:rPr>
          <w:spacing w:val="-11"/>
          <w:sz w:val="20"/>
        </w:rPr>
        <w:t> </w:t>
      </w:r>
      <w:r>
        <w:rPr>
          <w:sz w:val="20"/>
        </w:rPr>
        <w:t>possibly</w:t>
      </w:r>
      <w:r>
        <w:rPr>
          <w:spacing w:val="-10"/>
          <w:sz w:val="20"/>
        </w:rPr>
        <w:t> </w:t>
      </w:r>
      <w:r>
        <w:rPr>
          <w:sz w:val="20"/>
        </w:rPr>
        <w:t>also</w:t>
      </w:r>
      <w:r>
        <w:rPr>
          <w:spacing w:val="-11"/>
          <w:sz w:val="20"/>
        </w:rPr>
        <w:t> </w:t>
      </w:r>
      <w:r>
        <w:rPr>
          <w:spacing w:val="-4"/>
          <w:sz w:val="20"/>
        </w:rPr>
        <w:t>have</w:t>
      </w:r>
      <w:r>
        <w:rPr>
          <w:spacing w:val="-10"/>
          <w:sz w:val="20"/>
        </w:rPr>
        <w:t> </w:t>
      </w:r>
      <w:r>
        <w:rPr>
          <w:sz w:val="20"/>
        </w:rPr>
        <w:t>an</w:t>
      </w:r>
      <w:r>
        <w:rPr>
          <w:spacing w:val="-10"/>
          <w:sz w:val="20"/>
        </w:rPr>
        <w:t> </w:t>
      </w:r>
      <w:r>
        <w:rPr>
          <w:sz w:val="20"/>
        </w:rPr>
        <w:t>effect</w:t>
      </w:r>
      <w:r>
        <w:rPr>
          <w:spacing w:val="-11"/>
          <w:sz w:val="20"/>
        </w:rPr>
        <w:t> </w:t>
      </w:r>
      <w:r>
        <w:rPr>
          <w:sz w:val="20"/>
        </w:rPr>
        <w:t>on</w:t>
      </w:r>
      <w:r>
        <w:rPr>
          <w:spacing w:val="-10"/>
          <w:sz w:val="20"/>
        </w:rPr>
        <w:t> </w:t>
      </w:r>
      <w:r>
        <w:rPr>
          <w:sz w:val="20"/>
        </w:rPr>
        <w:t>the</w:t>
      </w:r>
      <w:r>
        <w:rPr>
          <w:spacing w:val="-10"/>
          <w:sz w:val="20"/>
        </w:rPr>
        <w:t> </w:t>
      </w:r>
      <w:r>
        <w:rPr>
          <w:sz w:val="20"/>
        </w:rPr>
        <w:t>other</w:t>
      </w:r>
      <w:r>
        <w:rPr>
          <w:spacing w:val="-11"/>
          <w:sz w:val="20"/>
        </w:rPr>
        <w:t> </w:t>
      </w:r>
      <w:r>
        <w:rPr>
          <w:sz w:val="20"/>
        </w:rPr>
        <w:t>jurors,</w:t>
      </w:r>
      <w:r>
        <w:rPr>
          <w:spacing w:val="-10"/>
          <w:sz w:val="20"/>
        </w:rPr>
        <w:t> </w:t>
      </w:r>
      <w:r>
        <w:rPr>
          <w:sz w:val="20"/>
        </w:rPr>
        <w:t>who</w:t>
      </w:r>
      <w:r>
        <w:rPr>
          <w:spacing w:val="-10"/>
          <w:sz w:val="20"/>
        </w:rPr>
        <w:t> </w:t>
      </w:r>
      <w:r>
        <w:rPr>
          <w:spacing w:val="-3"/>
          <w:sz w:val="20"/>
        </w:rPr>
        <w:t>may</w:t>
      </w:r>
      <w:r>
        <w:rPr>
          <w:spacing w:val="-11"/>
          <w:sz w:val="20"/>
        </w:rPr>
        <w:t> </w:t>
      </w:r>
      <w:r>
        <w:rPr>
          <w:spacing w:val="-3"/>
          <w:sz w:val="20"/>
        </w:rPr>
        <w:t>perceive</w:t>
      </w:r>
      <w:r>
        <w:rPr>
          <w:spacing w:val="-10"/>
          <w:sz w:val="20"/>
        </w:rPr>
        <w:t> </w:t>
      </w:r>
      <w:r>
        <w:rPr>
          <w:sz w:val="20"/>
        </w:rPr>
        <w:t>that</w:t>
      </w:r>
      <w:r>
        <w:rPr>
          <w:spacing w:val="-10"/>
          <w:sz w:val="20"/>
        </w:rPr>
        <w:t> </w:t>
      </w:r>
      <w:r>
        <w:rPr>
          <w:sz w:val="20"/>
        </w:rPr>
        <w:t>the</w:t>
      </w:r>
      <w:r>
        <w:rPr>
          <w:spacing w:val="-11"/>
          <w:sz w:val="20"/>
        </w:rPr>
        <w:t> </w:t>
      </w:r>
      <w:r>
        <w:rPr>
          <w:sz w:val="20"/>
        </w:rPr>
        <w:t>affected juror is not capable and is </w:t>
      </w:r>
      <w:r>
        <w:rPr>
          <w:spacing w:val="-3"/>
          <w:sz w:val="20"/>
        </w:rPr>
        <w:t>likely </w:t>
      </w:r>
      <w:r>
        <w:rPr>
          <w:sz w:val="20"/>
        </w:rPr>
        <w:t>to be discharged </w:t>
      </w:r>
      <w:r>
        <w:rPr>
          <w:spacing w:val="-4"/>
          <w:sz w:val="20"/>
        </w:rPr>
        <w:t>anyway. </w:t>
      </w:r>
      <w:r>
        <w:rPr>
          <w:sz w:val="20"/>
        </w:rPr>
        <w:t>The Commission’s </w:t>
      </w:r>
      <w:r>
        <w:rPr>
          <w:spacing w:val="-3"/>
          <w:sz w:val="20"/>
        </w:rPr>
        <w:t>preferred </w:t>
      </w:r>
      <w:r>
        <w:rPr>
          <w:sz w:val="20"/>
        </w:rPr>
        <w:t>option is to </w:t>
      </w:r>
      <w:r>
        <w:rPr>
          <w:spacing w:val="-4"/>
          <w:sz w:val="20"/>
        </w:rPr>
        <w:t>rely </w:t>
      </w:r>
      <w:r>
        <w:rPr>
          <w:sz w:val="20"/>
        </w:rPr>
        <w:t>on existing </w:t>
      </w:r>
      <w:r>
        <w:rPr>
          <w:spacing w:val="-3"/>
          <w:sz w:val="20"/>
        </w:rPr>
        <w:t>powers </w:t>
      </w:r>
      <w:r>
        <w:rPr>
          <w:sz w:val="20"/>
        </w:rPr>
        <w:t>for a juror to be discharged if necessary and for the trial to proceed with a reduced</w:t>
      </w:r>
      <w:r>
        <w:rPr>
          <w:spacing w:val="-28"/>
          <w:sz w:val="20"/>
        </w:rPr>
        <w:t> </w:t>
      </w:r>
      <w:r>
        <w:rPr>
          <w:sz w:val="20"/>
        </w:rPr>
        <w:t>jury.</w:t>
      </w:r>
    </w:p>
    <w:p>
      <w:pPr>
        <w:pStyle w:val="Heading3"/>
        <w:spacing w:before="169"/>
      </w:pPr>
      <w:r>
        <w:rPr/>
        <w:t>Steps to safeguard the right to a fair trial</w:t>
      </w:r>
    </w:p>
    <w:p>
      <w:pPr>
        <w:pStyle w:val="ListParagraph"/>
        <w:numPr>
          <w:ilvl w:val="1"/>
          <w:numId w:val="12"/>
        </w:numPr>
        <w:tabs>
          <w:tab w:pos="1761" w:val="left" w:leader="none"/>
          <w:tab w:pos="1762" w:val="left" w:leader="none"/>
        </w:tabs>
        <w:spacing w:line="206" w:lineRule="auto" w:before="127" w:after="0"/>
        <w:ind w:left="1761" w:right="1856" w:hanging="794"/>
        <w:jc w:val="left"/>
        <w:rPr>
          <w:sz w:val="20"/>
        </w:rPr>
      </w:pPr>
      <w:r>
        <w:rPr>
          <w:sz w:val="20"/>
        </w:rPr>
        <w:t>In</w:t>
      </w:r>
      <w:r>
        <w:rPr>
          <w:spacing w:val="-9"/>
          <w:sz w:val="20"/>
        </w:rPr>
        <w:t> </w:t>
      </w:r>
      <w:r>
        <w:rPr>
          <w:sz w:val="20"/>
        </w:rPr>
        <w:t>the</w:t>
      </w:r>
      <w:r>
        <w:rPr>
          <w:spacing w:val="-8"/>
          <w:sz w:val="20"/>
        </w:rPr>
        <w:t> </w:t>
      </w:r>
      <w:r>
        <w:rPr>
          <w:sz w:val="20"/>
        </w:rPr>
        <w:t>Commission’s</w:t>
      </w:r>
      <w:r>
        <w:rPr>
          <w:spacing w:val="-8"/>
          <w:sz w:val="20"/>
        </w:rPr>
        <w:t> </w:t>
      </w:r>
      <w:r>
        <w:rPr>
          <w:spacing w:val="-5"/>
          <w:sz w:val="20"/>
        </w:rPr>
        <w:t>view,</w:t>
      </w:r>
      <w:r>
        <w:rPr>
          <w:spacing w:val="-9"/>
          <w:sz w:val="20"/>
        </w:rPr>
        <w:t> </w:t>
      </w:r>
      <w:r>
        <w:rPr>
          <w:sz w:val="20"/>
        </w:rPr>
        <w:t>the</w:t>
      </w:r>
      <w:r>
        <w:rPr>
          <w:spacing w:val="-8"/>
          <w:sz w:val="20"/>
        </w:rPr>
        <w:t> </w:t>
      </w:r>
      <w:r>
        <w:rPr>
          <w:spacing w:val="-3"/>
          <w:sz w:val="20"/>
        </w:rPr>
        <w:t>following</w:t>
      </w:r>
      <w:r>
        <w:rPr>
          <w:spacing w:val="-8"/>
          <w:sz w:val="20"/>
        </w:rPr>
        <w:t> </w:t>
      </w:r>
      <w:r>
        <w:rPr>
          <w:sz w:val="20"/>
        </w:rPr>
        <w:t>steps,</w:t>
      </w:r>
      <w:r>
        <w:rPr>
          <w:spacing w:val="-9"/>
          <w:sz w:val="20"/>
        </w:rPr>
        <w:t> </w:t>
      </w:r>
      <w:r>
        <w:rPr>
          <w:sz w:val="20"/>
        </w:rPr>
        <w:t>outlined</w:t>
      </w:r>
      <w:r>
        <w:rPr>
          <w:spacing w:val="-8"/>
          <w:sz w:val="20"/>
        </w:rPr>
        <w:t> </w:t>
      </w:r>
      <w:r>
        <w:rPr>
          <w:sz w:val="20"/>
        </w:rPr>
        <w:t>in</w:t>
      </w:r>
      <w:r>
        <w:rPr>
          <w:spacing w:val="-8"/>
          <w:sz w:val="20"/>
        </w:rPr>
        <w:t> </w:t>
      </w:r>
      <w:r>
        <w:rPr>
          <w:spacing w:val="-2"/>
          <w:sz w:val="20"/>
        </w:rPr>
        <w:t>Chapters</w:t>
      </w:r>
      <w:r>
        <w:rPr>
          <w:spacing w:val="-8"/>
          <w:sz w:val="20"/>
        </w:rPr>
        <w:t> </w:t>
      </w:r>
      <w:r>
        <w:rPr>
          <w:sz w:val="20"/>
        </w:rPr>
        <w:t>11</w:t>
      </w:r>
      <w:r>
        <w:rPr>
          <w:spacing w:val="-9"/>
          <w:sz w:val="20"/>
        </w:rPr>
        <w:t> </w:t>
      </w:r>
      <w:r>
        <w:rPr>
          <w:sz w:val="20"/>
        </w:rPr>
        <w:t>and</w:t>
      </w:r>
      <w:r>
        <w:rPr>
          <w:spacing w:val="-8"/>
          <w:sz w:val="20"/>
        </w:rPr>
        <w:t> </w:t>
      </w:r>
      <w:r>
        <w:rPr>
          <w:sz w:val="20"/>
        </w:rPr>
        <w:t>12,</w:t>
      </w:r>
      <w:r>
        <w:rPr>
          <w:spacing w:val="-8"/>
          <w:sz w:val="20"/>
        </w:rPr>
        <w:t> </w:t>
      </w:r>
      <w:r>
        <w:rPr>
          <w:sz w:val="20"/>
        </w:rPr>
        <w:t>can safeguard the right to a fair</w:t>
      </w:r>
      <w:r>
        <w:rPr>
          <w:spacing w:val="-27"/>
          <w:sz w:val="20"/>
        </w:rPr>
        <w:t> </w:t>
      </w:r>
      <w:r>
        <w:rPr>
          <w:sz w:val="20"/>
        </w:rPr>
        <w:t>trial.</w:t>
      </w:r>
    </w:p>
    <w:p>
      <w:pPr>
        <w:pStyle w:val="ListParagraph"/>
        <w:numPr>
          <w:ilvl w:val="2"/>
          <w:numId w:val="12"/>
        </w:numPr>
        <w:tabs>
          <w:tab w:pos="2157" w:val="left" w:leader="none"/>
          <w:tab w:pos="2158" w:val="left" w:leader="none"/>
        </w:tabs>
        <w:spacing w:line="206" w:lineRule="auto" w:before="122" w:after="0"/>
        <w:ind w:left="2157" w:right="1318" w:hanging="396"/>
        <w:jc w:val="left"/>
        <w:rPr>
          <w:sz w:val="20"/>
        </w:rPr>
      </w:pPr>
      <w:r>
        <w:rPr>
          <w:sz w:val="20"/>
        </w:rPr>
        <w:t>A comprehensive assessment of the </w:t>
      </w:r>
      <w:r>
        <w:rPr>
          <w:spacing w:val="-3"/>
          <w:sz w:val="20"/>
        </w:rPr>
        <w:t>provision </w:t>
      </w:r>
      <w:r>
        <w:rPr>
          <w:sz w:val="20"/>
        </w:rPr>
        <w:t>of reasonable adjustments should be</w:t>
      </w:r>
      <w:r>
        <w:rPr>
          <w:spacing w:val="-11"/>
          <w:sz w:val="20"/>
        </w:rPr>
        <w:t> </w:t>
      </w:r>
      <w:r>
        <w:rPr>
          <w:sz w:val="20"/>
        </w:rPr>
        <w:t>conducted</w:t>
      </w:r>
      <w:r>
        <w:rPr>
          <w:spacing w:val="-10"/>
          <w:sz w:val="20"/>
        </w:rPr>
        <w:t> </w:t>
      </w:r>
      <w:r>
        <w:rPr>
          <w:spacing w:val="-3"/>
          <w:sz w:val="20"/>
        </w:rPr>
        <w:t>by</w:t>
      </w:r>
      <w:r>
        <w:rPr>
          <w:spacing w:val="-10"/>
          <w:sz w:val="20"/>
        </w:rPr>
        <w:t> </w:t>
      </w:r>
      <w:r>
        <w:rPr>
          <w:sz w:val="20"/>
        </w:rPr>
        <w:t>Juries</w:t>
      </w:r>
      <w:r>
        <w:rPr>
          <w:spacing w:val="-10"/>
          <w:sz w:val="20"/>
        </w:rPr>
        <w:t> </w:t>
      </w:r>
      <w:r>
        <w:rPr>
          <w:sz w:val="20"/>
        </w:rPr>
        <w:t>Victoria,</w:t>
      </w:r>
      <w:r>
        <w:rPr>
          <w:spacing w:val="-10"/>
          <w:sz w:val="20"/>
        </w:rPr>
        <w:t> </w:t>
      </w:r>
      <w:r>
        <w:rPr>
          <w:spacing w:val="-3"/>
          <w:sz w:val="20"/>
        </w:rPr>
        <w:t>involving</w:t>
      </w:r>
      <w:r>
        <w:rPr>
          <w:spacing w:val="-11"/>
          <w:sz w:val="20"/>
        </w:rPr>
        <w:t> </w:t>
      </w:r>
      <w:r>
        <w:rPr>
          <w:sz w:val="20"/>
        </w:rPr>
        <w:t>the</w:t>
      </w:r>
      <w:r>
        <w:rPr>
          <w:spacing w:val="-10"/>
          <w:sz w:val="20"/>
        </w:rPr>
        <w:t> </w:t>
      </w:r>
      <w:r>
        <w:rPr>
          <w:sz w:val="20"/>
        </w:rPr>
        <w:t>person</w:t>
      </w:r>
      <w:r>
        <w:rPr>
          <w:spacing w:val="-10"/>
          <w:sz w:val="20"/>
        </w:rPr>
        <w:t> </w:t>
      </w:r>
      <w:r>
        <w:rPr>
          <w:spacing w:val="-3"/>
          <w:sz w:val="20"/>
        </w:rPr>
        <w:t>from</w:t>
      </w:r>
      <w:r>
        <w:rPr>
          <w:spacing w:val="-10"/>
          <w:sz w:val="20"/>
        </w:rPr>
        <w:t> </w:t>
      </w:r>
      <w:r>
        <w:rPr>
          <w:sz w:val="20"/>
        </w:rPr>
        <w:t>the</w:t>
      </w:r>
      <w:r>
        <w:rPr>
          <w:spacing w:val="-10"/>
          <w:sz w:val="20"/>
        </w:rPr>
        <w:t> </w:t>
      </w:r>
      <w:r>
        <w:rPr>
          <w:sz w:val="20"/>
        </w:rPr>
        <w:t>subject</w:t>
      </w:r>
      <w:r>
        <w:rPr>
          <w:spacing w:val="-11"/>
          <w:sz w:val="20"/>
        </w:rPr>
        <w:t> </w:t>
      </w:r>
      <w:r>
        <w:rPr>
          <w:sz w:val="20"/>
        </w:rPr>
        <w:t>groups</w:t>
      </w:r>
      <w:r>
        <w:rPr>
          <w:spacing w:val="-10"/>
          <w:sz w:val="20"/>
        </w:rPr>
        <w:t> </w:t>
      </w:r>
      <w:r>
        <w:rPr>
          <w:sz w:val="20"/>
        </w:rPr>
        <w:t>and subject to clear legislative</w:t>
      </w:r>
      <w:r>
        <w:rPr>
          <w:spacing w:val="-19"/>
          <w:sz w:val="20"/>
        </w:rPr>
        <w:t> </w:t>
      </w:r>
      <w:r>
        <w:rPr>
          <w:sz w:val="20"/>
        </w:rPr>
        <w:t>guidance.</w:t>
      </w:r>
    </w:p>
    <w:p>
      <w:pPr>
        <w:pStyle w:val="ListParagraph"/>
        <w:numPr>
          <w:ilvl w:val="2"/>
          <w:numId w:val="12"/>
        </w:numPr>
        <w:tabs>
          <w:tab w:pos="2157" w:val="left" w:leader="none"/>
          <w:tab w:pos="2158" w:val="left" w:leader="none"/>
        </w:tabs>
        <w:spacing w:line="259" w:lineRule="exact" w:before="57" w:after="0"/>
        <w:ind w:left="2157" w:right="0" w:hanging="396"/>
        <w:jc w:val="left"/>
        <w:rPr>
          <w:sz w:val="20"/>
        </w:rPr>
      </w:pPr>
      <w:r>
        <w:rPr>
          <w:sz w:val="20"/>
        </w:rPr>
        <w:t>A</w:t>
      </w:r>
      <w:r>
        <w:rPr>
          <w:spacing w:val="-6"/>
          <w:sz w:val="20"/>
        </w:rPr>
        <w:t> </w:t>
      </w:r>
      <w:r>
        <w:rPr>
          <w:sz w:val="20"/>
        </w:rPr>
        <w:t>judge</w:t>
      </w:r>
      <w:r>
        <w:rPr>
          <w:spacing w:val="-6"/>
          <w:sz w:val="20"/>
        </w:rPr>
        <w:t> </w:t>
      </w:r>
      <w:r>
        <w:rPr>
          <w:sz w:val="20"/>
        </w:rPr>
        <w:t>should</w:t>
      </w:r>
      <w:r>
        <w:rPr>
          <w:spacing w:val="-6"/>
          <w:sz w:val="20"/>
        </w:rPr>
        <w:t> </w:t>
      </w:r>
      <w:r>
        <w:rPr>
          <w:spacing w:val="-3"/>
          <w:sz w:val="20"/>
        </w:rPr>
        <w:t>make</w:t>
      </w:r>
      <w:r>
        <w:rPr>
          <w:spacing w:val="-6"/>
          <w:sz w:val="20"/>
        </w:rPr>
        <w:t> </w:t>
      </w:r>
      <w:r>
        <w:rPr>
          <w:sz w:val="20"/>
        </w:rPr>
        <w:t>the</w:t>
      </w:r>
      <w:r>
        <w:rPr>
          <w:spacing w:val="-6"/>
          <w:sz w:val="20"/>
        </w:rPr>
        <w:t> </w:t>
      </w:r>
      <w:r>
        <w:rPr>
          <w:sz w:val="20"/>
        </w:rPr>
        <w:t>final</w:t>
      </w:r>
      <w:r>
        <w:rPr>
          <w:spacing w:val="-6"/>
          <w:sz w:val="20"/>
        </w:rPr>
        <w:t> </w:t>
      </w:r>
      <w:r>
        <w:rPr>
          <w:sz w:val="20"/>
        </w:rPr>
        <w:t>decision</w:t>
      </w:r>
      <w:r>
        <w:rPr>
          <w:spacing w:val="-6"/>
          <w:sz w:val="20"/>
        </w:rPr>
        <w:t> </w:t>
      </w:r>
      <w:r>
        <w:rPr>
          <w:sz w:val="20"/>
        </w:rPr>
        <w:t>about</w:t>
      </w:r>
      <w:r>
        <w:rPr>
          <w:spacing w:val="-6"/>
          <w:sz w:val="20"/>
        </w:rPr>
        <w:t> </w:t>
      </w:r>
      <w:r>
        <w:rPr>
          <w:sz w:val="20"/>
        </w:rPr>
        <w:t>the</w:t>
      </w:r>
      <w:r>
        <w:rPr>
          <w:spacing w:val="-6"/>
          <w:sz w:val="20"/>
        </w:rPr>
        <w:t> </w:t>
      </w:r>
      <w:r>
        <w:rPr>
          <w:sz w:val="20"/>
        </w:rPr>
        <w:t>ability</w:t>
      </w:r>
      <w:r>
        <w:rPr>
          <w:spacing w:val="-6"/>
          <w:sz w:val="20"/>
        </w:rPr>
        <w:t> </w:t>
      </w:r>
      <w:r>
        <w:rPr>
          <w:sz w:val="20"/>
        </w:rPr>
        <w:t>of</w:t>
      </w:r>
      <w:r>
        <w:rPr>
          <w:spacing w:val="-6"/>
          <w:sz w:val="20"/>
        </w:rPr>
        <w:t> </w:t>
      </w:r>
      <w:r>
        <w:rPr>
          <w:sz w:val="20"/>
        </w:rPr>
        <w:t>a</w:t>
      </w:r>
      <w:r>
        <w:rPr>
          <w:spacing w:val="-5"/>
          <w:sz w:val="20"/>
        </w:rPr>
        <w:t> </w:t>
      </w:r>
      <w:r>
        <w:rPr>
          <w:sz w:val="20"/>
        </w:rPr>
        <w:t>person</w:t>
      </w:r>
      <w:r>
        <w:rPr>
          <w:spacing w:val="-6"/>
          <w:sz w:val="20"/>
        </w:rPr>
        <w:t> </w:t>
      </w:r>
      <w:r>
        <w:rPr>
          <w:sz w:val="20"/>
        </w:rPr>
        <w:t>in</w:t>
      </w:r>
      <w:r>
        <w:rPr>
          <w:spacing w:val="-6"/>
          <w:sz w:val="20"/>
        </w:rPr>
        <w:t> </w:t>
      </w:r>
      <w:r>
        <w:rPr>
          <w:sz w:val="20"/>
        </w:rPr>
        <w:t>the</w:t>
      </w:r>
      <w:r>
        <w:rPr>
          <w:spacing w:val="-6"/>
          <w:sz w:val="20"/>
        </w:rPr>
        <w:t> </w:t>
      </w:r>
      <w:r>
        <w:rPr>
          <w:sz w:val="20"/>
        </w:rPr>
        <w:t>subject</w:t>
      </w:r>
    </w:p>
    <w:p>
      <w:pPr>
        <w:pStyle w:val="BodyText"/>
        <w:spacing w:line="259" w:lineRule="exact"/>
        <w:ind w:left="2157"/>
      </w:pPr>
      <w:r>
        <w:rPr/>
        <w:t>groups to perform jury duty in a particular trial.</w:t>
      </w:r>
    </w:p>
    <w:p>
      <w:pPr>
        <w:pStyle w:val="ListParagraph"/>
        <w:numPr>
          <w:ilvl w:val="2"/>
          <w:numId w:val="12"/>
        </w:numPr>
        <w:tabs>
          <w:tab w:pos="2157" w:val="left" w:leader="none"/>
          <w:tab w:pos="2158" w:val="left" w:leader="none"/>
        </w:tabs>
        <w:spacing w:line="206" w:lineRule="auto" w:before="80" w:after="0"/>
        <w:ind w:left="2157" w:right="1487" w:hanging="396"/>
        <w:jc w:val="left"/>
        <w:rPr>
          <w:sz w:val="20"/>
        </w:rPr>
      </w:pPr>
      <w:r>
        <w:rPr>
          <w:sz w:val="20"/>
        </w:rPr>
        <w:t>An</w:t>
      </w:r>
      <w:r>
        <w:rPr>
          <w:spacing w:val="-9"/>
          <w:sz w:val="20"/>
        </w:rPr>
        <w:t> </w:t>
      </w:r>
      <w:r>
        <w:rPr>
          <w:spacing w:val="-3"/>
          <w:sz w:val="20"/>
        </w:rPr>
        <w:t>interpreter</w:t>
      </w:r>
      <w:r>
        <w:rPr>
          <w:spacing w:val="-8"/>
          <w:sz w:val="20"/>
        </w:rPr>
        <w:t> </w:t>
      </w:r>
      <w:r>
        <w:rPr>
          <w:sz w:val="20"/>
        </w:rPr>
        <w:t>or</w:t>
      </w:r>
      <w:r>
        <w:rPr>
          <w:spacing w:val="-8"/>
          <w:sz w:val="20"/>
        </w:rPr>
        <w:t> </w:t>
      </w:r>
      <w:r>
        <w:rPr>
          <w:sz w:val="20"/>
        </w:rPr>
        <w:t>support</w:t>
      </w:r>
      <w:r>
        <w:rPr>
          <w:spacing w:val="-8"/>
          <w:sz w:val="20"/>
        </w:rPr>
        <w:t> </w:t>
      </w:r>
      <w:r>
        <w:rPr>
          <w:sz w:val="20"/>
        </w:rPr>
        <w:t>person</w:t>
      </w:r>
      <w:r>
        <w:rPr>
          <w:spacing w:val="-8"/>
          <w:sz w:val="20"/>
        </w:rPr>
        <w:t> </w:t>
      </w:r>
      <w:r>
        <w:rPr>
          <w:sz w:val="20"/>
        </w:rPr>
        <w:t>should</w:t>
      </w:r>
      <w:r>
        <w:rPr>
          <w:spacing w:val="-8"/>
          <w:sz w:val="20"/>
        </w:rPr>
        <w:t> </w:t>
      </w:r>
      <w:r>
        <w:rPr>
          <w:spacing w:val="-3"/>
          <w:sz w:val="20"/>
        </w:rPr>
        <w:t>provide</w:t>
      </w:r>
      <w:r>
        <w:rPr>
          <w:spacing w:val="-8"/>
          <w:sz w:val="20"/>
        </w:rPr>
        <w:t> </w:t>
      </w:r>
      <w:r>
        <w:rPr>
          <w:sz w:val="20"/>
        </w:rPr>
        <w:t>an</w:t>
      </w:r>
      <w:r>
        <w:rPr>
          <w:spacing w:val="-8"/>
          <w:sz w:val="20"/>
        </w:rPr>
        <w:t> </w:t>
      </w:r>
      <w:r>
        <w:rPr>
          <w:sz w:val="20"/>
        </w:rPr>
        <w:t>oath</w:t>
      </w:r>
      <w:r>
        <w:rPr>
          <w:spacing w:val="-8"/>
          <w:sz w:val="20"/>
        </w:rPr>
        <w:t> </w:t>
      </w:r>
      <w:r>
        <w:rPr>
          <w:sz w:val="20"/>
        </w:rPr>
        <w:t>to</w:t>
      </w:r>
      <w:r>
        <w:rPr>
          <w:spacing w:val="-8"/>
          <w:sz w:val="20"/>
        </w:rPr>
        <w:t> </w:t>
      </w:r>
      <w:r>
        <w:rPr>
          <w:sz w:val="20"/>
        </w:rPr>
        <w:t>the</w:t>
      </w:r>
      <w:r>
        <w:rPr>
          <w:spacing w:val="-8"/>
          <w:sz w:val="20"/>
        </w:rPr>
        <w:t> </w:t>
      </w:r>
      <w:r>
        <w:rPr>
          <w:sz w:val="20"/>
        </w:rPr>
        <w:t>Court</w:t>
      </w:r>
      <w:r>
        <w:rPr>
          <w:spacing w:val="-8"/>
          <w:sz w:val="20"/>
        </w:rPr>
        <w:t> </w:t>
      </w:r>
      <w:r>
        <w:rPr>
          <w:sz w:val="20"/>
        </w:rPr>
        <w:t>to</w:t>
      </w:r>
      <w:r>
        <w:rPr>
          <w:spacing w:val="-8"/>
          <w:sz w:val="20"/>
        </w:rPr>
        <w:t> </w:t>
      </w:r>
      <w:r>
        <w:rPr>
          <w:sz w:val="20"/>
        </w:rPr>
        <w:t>maintain the confidentiality of deliberations and not get </w:t>
      </w:r>
      <w:r>
        <w:rPr>
          <w:spacing w:val="-4"/>
          <w:sz w:val="20"/>
        </w:rPr>
        <w:t>involved </w:t>
      </w:r>
      <w:r>
        <w:rPr>
          <w:sz w:val="20"/>
        </w:rPr>
        <w:t>in the process and be subject to penalties for breaches of</w:t>
      </w:r>
      <w:r>
        <w:rPr>
          <w:spacing w:val="-29"/>
          <w:sz w:val="20"/>
        </w:rPr>
        <w:t> </w:t>
      </w:r>
      <w:r>
        <w:rPr>
          <w:sz w:val="20"/>
        </w:rPr>
        <w:t>obligations.</w:t>
      </w:r>
    </w:p>
    <w:p>
      <w:pPr>
        <w:pStyle w:val="ListParagraph"/>
        <w:numPr>
          <w:ilvl w:val="2"/>
          <w:numId w:val="12"/>
        </w:numPr>
        <w:tabs>
          <w:tab w:pos="2157" w:val="left" w:leader="none"/>
          <w:tab w:pos="2158" w:val="left" w:leader="none"/>
        </w:tabs>
        <w:spacing w:line="206" w:lineRule="auto" w:before="88" w:after="0"/>
        <w:ind w:left="2157" w:right="1403" w:hanging="396"/>
        <w:jc w:val="left"/>
        <w:rPr>
          <w:sz w:val="20"/>
        </w:rPr>
      </w:pPr>
      <w:r>
        <w:rPr>
          <w:sz w:val="20"/>
        </w:rPr>
        <w:t>An</w:t>
      </w:r>
      <w:r>
        <w:rPr>
          <w:spacing w:val="-11"/>
          <w:sz w:val="20"/>
        </w:rPr>
        <w:t> </w:t>
      </w:r>
      <w:r>
        <w:rPr>
          <w:spacing w:val="-3"/>
          <w:sz w:val="20"/>
        </w:rPr>
        <w:t>interpreter</w:t>
      </w:r>
      <w:r>
        <w:rPr>
          <w:spacing w:val="-10"/>
          <w:sz w:val="20"/>
        </w:rPr>
        <w:t> </w:t>
      </w:r>
      <w:r>
        <w:rPr>
          <w:sz w:val="20"/>
        </w:rPr>
        <w:t>or</w:t>
      </w:r>
      <w:r>
        <w:rPr>
          <w:spacing w:val="-11"/>
          <w:sz w:val="20"/>
        </w:rPr>
        <w:t> </w:t>
      </w:r>
      <w:r>
        <w:rPr>
          <w:sz w:val="20"/>
        </w:rPr>
        <w:t>support</w:t>
      </w:r>
      <w:r>
        <w:rPr>
          <w:spacing w:val="-10"/>
          <w:sz w:val="20"/>
        </w:rPr>
        <w:t> </w:t>
      </w:r>
      <w:r>
        <w:rPr>
          <w:sz w:val="20"/>
        </w:rPr>
        <w:t>person</w:t>
      </w:r>
      <w:r>
        <w:rPr>
          <w:spacing w:val="-11"/>
          <w:sz w:val="20"/>
        </w:rPr>
        <w:t> </w:t>
      </w:r>
      <w:r>
        <w:rPr>
          <w:sz w:val="20"/>
        </w:rPr>
        <w:t>should</w:t>
      </w:r>
      <w:r>
        <w:rPr>
          <w:spacing w:val="-10"/>
          <w:sz w:val="20"/>
        </w:rPr>
        <w:t> </w:t>
      </w:r>
      <w:r>
        <w:rPr>
          <w:sz w:val="20"/>
        </w:rPr>
        <w:t>meet</w:t>
      </w:r>
      <w:r>
        <w:rPr>
          <w:spacing w:val="-11"/>
          <w:sz w:val="20"/>
        </w:rPr>
        <w:t> </w:t>
      </w:r>
      <w:r>
        <w:rPr>
          <w:sz w:val="20"/>
        </w:rPr>
        <w:t>certain</w:t>
      </w:r>
      <w:r>
        <w:rPr>
          <w:spacing w:val="-10"/>
          <w:sz w:val="20"/>
        </w:rPr>
        <w:t> </w:t>
      </w:r>
      <w:r>
        <w:rPr>
          <w:sz w:val="20"/>
        </w:rPr>
        <w:t>basic</w:t>
      </w:r>
      <w:r>
        <w:rPr>
          <w:spacing w:val="-11"/>
          <w:sz w:val="20"/>
        </w:rPr>
        <w:t> </w:t>
      </w:r>
      <w:r>
        <w:rPr>
          <w:sz w:val="20"/>
        </w:rPr>
        <w:t>training</w:t>
      </w:r>
      <w:r>
        <w:rPr>
          <w:spacing w:val="-10"/>
          <w:sz w:val="20"/>
        </w:rPr>
        <w:t> </w:t>
      </w:r>
      <w:r>
        <w:rPr>
          <w:sz w:val="20"/>
        </w:rPr>
        <w:t>requirements and</w:t>
      </w:r>
      <w:r>
        <w:rPr>
          <w:spacing w:val="-7"/>
          <w:sz w:val="20"/>
        </w:rPr>
        <w:t> </w:t>
      </w:r>
      <w:r>
        <w:rPr>
          <w:spacing w:val="-3"/>
          <w:sz w:val="20"/>
        </w:rPr>
        <w:t>comply</w:t>
      </w:r>
      <w:r>
        <w:rPr>
          <w:spacing w:val="-7"/>
          <w:sz w:val="20"/>
        </w:rPr>
        <w:t> </w:t>
      </w:r>
      <w:r>
        <w:rPr>
          <w:sz w:val="20"/>
        </w:rPr>
        <w:t>with</w:t>
      </w:r>
      <w:r>
        <w:rPr>
          <w:spacing w:val="-6"/>
          <w:sz w:val="20"/>
        </w:rPr>
        <w:t> </w:t>
      </w:r>
      <w:r>
        <w:rPr>
          <w:sz w:val="20"/>
        </w:rPr>
        <w:t>standards</w:t>
      </w:r>
      <w:r>
        <w:rPr>
          <w:spacing w:val="-7"/>
          <w:sz w:val="20"/>
        </w:rPr>
        <w:t> </w:t>
      </w:r>
      <w:r>
        <w:rPr>
          <w:sz w:val="20"/>
        </w:rPr>
        <w:t>and</w:t>
      </w:r>
      <w:r>
        <w:rPr>
          <w:spacing w:val="-6"/>
          <w:sz w:val="20"/>
        </w:rPr>
        <w:t> </w:t>
      </w:r>
      <w:r>
        <w:rPr>
          <w:sz w:val="20"/>
        </w:rPr>
        <w:t>a</w:t>
      </w:r>
      <w:r>
        <w:rPr>
          <w:spacing w:val="-7"/>
          <w:sz w:val="20"/>
        </w:rPr>
        <w:t> </w:t>
      </w:r>
      <w:r>
        <w:rPr>
          <w:sz w:val="20"/>
        </w:rPr>
        <w:t>code</w:t>
      </w:r>
      <w:r>
        <w:rPr>
          <w:spacing w:val="-6"/>
          <w:sz w:val="20"/>
        </w:rPr>
        <w:t> </w:t>
      </w:r>
      <w:r>
        <w:rPr>
          <w:sz w:val="20"/>
        </w:rPr>
        <w:t>of</w:t>
      </w:r>
      <w:r>
        <w:rPr>
          <w:spacing w:val="-7"/>
          <w:sz w:val="20"/>
        </w:rPr>
        <w:t> </w:t>
      </w:r>
      <w:r>
        <w:rPr>
          <w:sz w:val="20"/>
        </w:rPr>
        <w:t>conduct</w:t>
      </w:r>
      <w:r>
        <w:rPr>
          <w:spacing w:val="-7"/>
          <w:sz w:val="20"/>
        </w:rPr>
        <w:t> </w:t>
      </w:r>
      <w:r>
        <w:rPr>
          <w:sz w:val="20"/>
        </w:rPr>
        <w:t>(discussed</w:t>
      </w:r>
      <w:r>
        <w:rPr>
          <w:spacing w:val="-6"/>
          <w:sz w:val="20"/>
        </w:rPr>
        <w:t> </w:t>
      </w:r>
      <w:r>
        <w:rPr>
          <w:sz w:val="20"/>
        </w:rPr>
        <w:t>in</w:t>
      </w:r>
      <w:r>
        <w:rPr>
          <w:spacing w:val="-7"/>
          <w:sz w:val="20"/>
        </w:rPr>
        <w:t> </w:t>
      </w:r>
      <w:r>
        <w:rPr>
          <w:spacing w:val="-2"/>
          <w:sz w:val="20"/>
        </w:rPr>
        <w:t>Chapters</w:t>
      </w:r>
      <w:r>
        <w:rPr>
          <w:spacing w:val="-6"/>
          <w:sz w:val="20"/>
        </w:rPr>
        <w:t> </w:t>
      </w:r>
      <w:r>
        <w:rPr>
          <w:sz w:val="20"/>
        </w:rPr>
        <w:t>14</w:t>
      </w:r>
    </w:p>
    <w:p>
      <w:pPr>
        <w:pStyle w:val="BodyText"/>
        <w:spacing w:line="248" w:lineRule="exact"/>
        <w:ind w:left="2157"/>
      </w:pPr>
      <w:r>
        <w:rPr/>
        <w:t>and 15).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3"/>
        </w:rPr>
      </w:pPr>
      <w:r>
        <w:rPr/>
        <w:pict>
          <v:line style="position:absolute;mso-position-horizontal-relative:page;mso-position-vertical-relative:paragraph;z-index:5336;mso-wrap-distance-left:0;mso-wrap-distance-right:0" from="79.370003pt,11.8856pt" to="515.905003pt,11.8856pt" stroked="true" strokeweight="1pt" strokecolor="#b6bdc8">
            <v:stroke dashstyle="solid"/>
            <w10:wrap type="topAndBottom"/>
          </v:line>
        </w:pict>
      </w:r>
    </w:p>
    <w:p>
      <w:pPr>
        <w:pStyle w:val="ListParagraph"/>
        <w:numPr>
          <w:ilvl w:val="0"/>
          <w:numId w:val="65"/>
        </w:numPr>
        <w:tabs>
          <w:tab w:pos="1760" w:val="left" w:leader="none"/>
          <w:tab w:pos="1762" w:val="left" w:leader="none"/>
        </w:tabs>
        <w:spacing w:line="213" w:lineRule="auto" w:before="107" w:after="0"/>
        <w:ind w:left="1761" w:right="1303" w:hanging="794"/>
        <w:jc w:val="left"/>
        <w:rPr>
          <w:sz w:val="13"/>
        </w:rPr>
      </w:pPr>
      <w:r>
        <w:rPr>
          <w:sz w:val="13"/>
        </w:rPr>
        <w:t>Before the </w:t>
      </w:r>
      <w:r>
        <w:rPr>
          <w:spacing w:val="2"/>
          <w:sz w:val="13"/>
        </w:rPr>
        <w:t>jury </w:t>
      </w:r>
      <w:r>
        <w:rPr>
          <w:sz w:val="13"/>
        </w:rPr>
        <w:t>is empanelled the court may empanel up to three additional jurors in a criminal </w:t>
      </w:r>
      <w:r>
        <w:rPr>
          <w:spacing w:val="2"/>
          <w:sz w:val="13"/>
        </w:rPr>
        <w:t>trial, </w:t>
      </w:r>
      <w:r>
        <w:rPr>
          <w:sz w:val="13"/>
        </w:rPr>
        <w:t>in a civil </w:t>
      </w:r>
      <w:r>
        <w:rPr>
          <w:spacing w:val="2"/>
          <w:sz w:val="13"/>
        </w:rPr>
        <w:t>trial. </w:t>
      </w:r>
      <w:r>
        <w:rPr>
          <w:sz w:val="13"/>
        </w:rPr>
        <w:t>The court may consider</w:t>
      </w:r>
      <w:r>
        <w:rPr>
          <w:spacing w:val="3"/>
          <w:sz w:val="13"/>
        </w:rPr>
        <w:t> </w:t>
      </w:r>
      <w:r>
        <w:rPr>
          <w:sz w:val="13"/>
        </w:rPr>
        <w:t>the</w:t>
      </w:r>
      <w:r>
        <w:rPr>
          <w:spacing w:val="3"/>
          <w:sz w:val="13"/>
        </w:rPr>
        <w:t> </w:t>
      </w:r>
      <w:r>
        <w:rPr>
          <w:spacing w:val="2"/>
          <w:sz w:val="13"/>
        </w:rPr>
        <w:t>trial’s</w:t>
      </w:r>
      <w:r>
        <w:rPr>
          <w:spacing w:val="4"/>
          <w:sz w:val="13"/>
        </w:rPr>
        <w:t> </w:t>
      </w:r>
      <w:r>
        <w:rPr>
          <w:sz w:val="13"/>
        </w:rPr>
        <w:t>length,</w:t>
      </w:r>
      <w:r>
        <w:rPr>
          <w:spacing w:val="3"/>
          <w:sz w:val="13"/>
        </w:rPr>
        <w:t> </w:t>
      </w:r>
      <w:r>
        <w:rPr>
          <w:sz w:val="13"/>
        </w:rPr>
        <w:t>nature</w:t>
      </w:r>
      <w:r>
        <w:rPr>
          <w:spacing w:val="3"/>
          <w:sz w:val="13"/>
        </w:rPr>
        <w:t> </w:t>
      </w:r>
      <w:r>
        <w:rPr>
          <w:sz w:val="13"/>
        </w:rPr>
        <w:t>and</w:t>
      </w:r>
      <w:r>
        <w:rPr>
          <w:spacing w:val="4"/>
          <w:sz w:val="13"/>
        </w:rPr>
        <w:t> </w:t>
      </w:r>
      <w:r>
        <w:rPr>
          <w:sz w:val="13"/>
        </w:rPr>
        <w:t>any</w:t>
      </w:r>
      <w:r>
        <w:rPr>
          <w:spacing w:val="3"/>
          <w:sz w:val="13"/>
        </w:rPr>
        <w:t> </w:t>
      </w:r>
      <w:r>
        <w:rPr>
          <w:sz w:val="13"/>
        </w:rPr>
        <w:t>other</w:t>
      </w:r>
      <w:r>
        <w:rPr>
          <w:spacing w:val="3"/>
          <w:sz w:val="13"/>
        </w:rPr>
        <w:t> </w:t>
      </w:r>
      <w:r>
        <w:rPr>
          <w:sz w:val="13"/>
        </w:rPr>
        <w:t>factor</w:t>
      </w:r>
      <w:r>
        <w:rPr>
          <w:spacing w:val="4"/>
          <w:sz w:val="13"/>
        </w:rPr>
        <w:t> </w:t>
      </w:r>
      <w:r>
        <w:rPr>
          <w:sz w:val="13"/>
        </w:rPr>
        <w:t>that</w:t>
      </w:r>
      <w:r>
        <w:rPr>
          <w:spacing w:val="3"/>
          <w:sz w:val="13"/>
        </w:rPr>
        <w:t> </w:t>
      </w:r>
      <w:r>
        <w:rPr>
          <w:sz w:val="13"/>
        </w:rPr>
        <w:t>may</w:t>
      </w:r>
      <w:r>
        <w:rPr>
          <w:spacing w:val="3"/>
          <w:sz w:val="13"/>
        </w:rPr>
        <w:t> </w:t>
      </w:r>
      <w:r>
        <w:rPr>
          <w:sz w:val="13"/>
        </w:rPr>
        <w:t>result</w:t>
      </w:r>
      <w:r>
        <w:rPr>
          <w:spacing w:val="4"/>
          <w:sz w:val="13"/>
        </w:rPr>
        <w:t> </w:t>
      </w:r>
      <w:r>
        <w:rPr>
          <w:sz w:val="13"/>
        </w:rPr>
        <w:t>in</w:t>
      </w:r>
      <w:r>
        <w:rPr>
          <w:spacing w:val="3"/>
          <w:sz w:val="13"/>
        </w:rPr>
        <w:t> </w:t>
      </w:r>
      <w:r>
        <w:rPr>
          <w:sz w:val="13"/>
        </w:rPr>
        <w:t>discharge</w:t>
      </w:r>
      <w:r>
        <w:rPr>
          <w:spacing w:val="3"/>
          <w:sz w:val="13"/>
        </w:rPr>
        <w:t> </w:t>
      </w:r>
      <w:r>
        <w:rPr>
          <w:sz w:val="13"/>
        </w:rPr>
        <w:t>during</w:t>
      </w:r>
      <w:r>
        <w:rPr>
          <w:spacing w:val="4"/>
          <w:sz w:val="13"/>
        </w:rPr>
        <w:t> </w:t>
      </w:r>
      <w:r>
        <w:rPr>
          <w:sz w:val="13"/>
        </w:rPr>
        <w:t>a</w:t>
      </w:r>
      <w:r>
        <w:rPr>
          <w:spacing w:val="3"/>
          <w:sz w:val="13"/>
        </w:rPr>
        <w:t> </w:t>
      </w:r>
      <w:r>
        <w:rPr>
          <w:spacing w:val="2"/>
          <w:sz w:val="13"/>
        </w:rPr>
        <w:t>trial:</w:t>
      </w:r>
      <w:r>
        <w:rPr>
          <w:spacing w:val="3"/>
          <w:sz w:val="13"/>
        </w:rPr>
        <w:t> </w:t>
      </w:r>
      <w:r>
        <w:rPr>
          <w:sz w:val="13"/>
        </w:rPr>
        <w:t>see</w:t>
      </w:r>
      <w:r>
        <w:rPr>
          <w:spacing w:val="4"/>
          <w:sz w:val="13"/>
        </w:rPr>
        <w:t> </w:t>
      </w:r>
      <w:r>
        <w:rPr>
          <w:i/>
          <w:sz w:val="13"/>
        </w:rPr>
        <w:t>Juries</w:t>
      </w:r>
      <w:r>
        <w:rPr>
          <w:i/>
          <w:spacing w:val="3"/>
          <w:sz w:val="13"/>
        </w:rPr>
        <w:t> </w:t>
      </w:r>
      <w:r>
        <w:rPr>
          <w:i/>
          <w:sz w:val="13"/>
        </w:rPr>
        <w:t>Act</w:t>
      </w:r>
      <w:r>
        <w:rPr>
          <w:i/>
          <w:spacing w:val="3"/>
          <w:sz w:val="13"/>
        </w:rPr>
        <w:t> </w:t>
      </w:r>
      <w:r>
        <w:rPr>
          <w:i/>
          <w:sz w:val="13"/>
        </w:rPr>
        <w:t>2000</w:t>
      </w:r>
      <w:r>
        <w:rPr>
          <w:i/>
          <w:spacing w:val="4"/>
          <w:sz w:val="13"/>
        </w:rPr>
        <w:t> </w:t>
      </w:r>
      <w:r>
        <w:rPr>
          <w:spacing w:val="2"/>
          <w:sz w:val="13"/>
        </w:rPr>
        <w:t>(Vic)</w:t>
      </w:r>
    </w:p>
    <w:p>
      <w:pPr>
        <w:spacing w:line="153" w:lineRule="exact" w:before="0"/>
        <w:ind w:left="1760" w:right="0" w:firstLine="0"/>
        <w:jc w:val="left"/>
        <w:rPr>
          <w:sz w:val="13"/>
        </w:rPr>
      </w:pPr>
      <w:r>
        <w:rPr>
          <w:sz w:val="13"/>
        </w:rPr>
        <w:t>s 23(1), (2).</w:t>
      </w:r>
    </w:p>
    <w:p>
      <w:pPr>
        <w:pStyle w:val="ListParagraph"/>
        <w:numPr>
          <w:ilvl w:val="0"/>
          <w:numId w:val="65"/>
        </w:numPr>
        <w:tabs>
          <w:tab w:pos="1761" w:val="left" w:leader="none"/>
          <w:tab w:pos="1762" w:val="left" w:leader="none"/>
        </w:tabs>
        <w:spacing w:line="213" w:lineRule="auto" w:before="6" w:after="0"/>
        <w:ind w:left="1761" w:right="1282" w:hanging="794"/>
        <w:jc w:val="left"/>
        <w:rPr>
          <w:sz w:val="13"/>
        </w:rPr>
      </w:pPr>
      <w:r>
        <w:rPr>
          <w:sz w:val="13"/>
        </w:rPr>
        <w:t>Judges have powers to discharge a juror when a trial has </w:t>
      </w:r>
      <w:r>
        <w:rPr>
          <w:spacing w:val="2"/>
          <w:sz w:val="13"/>
        </w:rPr>
        <w:t>commenced </w:t>
      </w:r>
      <w:r>
        <w:rPr>
          <w:sz w:val="13"/>
        </w:rPr>
        <w:t>if it appears to the judge that the juror is not </w:t>
      </w:r>
      <w:r>
        <w:rPr>
          <w:spacing w:val="2"/>
          <w:sz w:val="13"/>
        </w:rPr>
        <w:t>impartial, </w:t>
      </w:r>
      <w:r>
        <w:rPr>
          <w:sz w:val="13"/>
        </w:rPr>
        <w:t>the juror becomes incapable of continuing to act as a juror, the juror becomes ill or for any other reason that the judge thinks the     juror should not continue to </w:t>
      </w:r>
      <w:r>
        <w:rPr>
          <w:spacing w:val="2"/>
          <w:sz w:val="13"/>
        </w:rPr>
        <w:t>perform </w:t>
      </w:r>
      <w:r>
        <w:rPr>
          <w:sz w:val="13"/>
        </w:rPr>
        <w:t>the role: ibid s 43; Consultation 4 </w:t>
      </w:r>
      <w:r>
        <w:rPr>
          <w:spacing w:val="2"/>
          <w:sz w:val="13"/>
        </w:rPr>
        <w:t>(Victorian </w:t>
      </w:r>
      <w:r>
        <w:rPr>
          <w:sz w:val="13"/>
        </w:rPr>
        <w:t>Criminal Bar</w:t>
      </w:r>
      <w:r>
        <w:rPr>
          <w:spacing w:val="25"/>
          <w:sz w:val="13"/>
        </w:rPr>
        <w:t> </w:t>
      </w:r>
      <w:r>
        <w:rPr>
          <w:sz w:val="13"/>
        </w:rPr>
        <w:t>Association).</w:t>
      </w:r>
    </w:p>
    <w:p>
      <w:pPr>
        <w:pStyle w:val="ListParagraph"/>
        <w:numPr>
          <w:ilvl w:val="0"/>
          <w:numId w:val="65"/>
        </w:numPr>
        <w:tabs>
          <w:tab w:pos="1760" w:val="left" w:leader="none"/>
          <w:tab w:pos="1762" w:val="left" w:leader="none"/>
        </w:tabs>
        <w:spacing w:line="213" w:lineRule="auto" w:before="0" w:after="0"/>
        <w:ind w:left="1761" w:right="1605" w:hanging="794"/>
        <w:jc w:val="left"/>
        <w:rPr>
          <w:sz w:val="13"/>
        </w:rPr>
      </w:pPr>
      <w:r>
        <w:rPr>
          <w:sz w:val="13"/>
        </w:rPr>
        <w:t>A trial can continue with a reduced </w:t>
      </w:r>
      <w:r>
        <w:rPr>
          <w:spacing w:val="2"/>
          <w:sz w:val="13"/>
        </w:rPr>
        <w:t>jury </w:t>
      </w:r>
      <w:r>
        <w:rPr>
          <w:sz w:val="13"/>
        </w:rPr>
        <w:t>under the direction of the judge pursuant to </w:t>
      </w:r>
      <w:r>
        <w:rPr>
          <w:i/>
          <w:sz w:val="13"/>
        </w:rPr>
        <w:t>Juries Act 2000 </w:t>
      </w:r>
      <w:r>
        <w:rPr>
          <w:spacing w:val="2"/>
          <w:sz w:val="13"/>
        </w:rPr>
        <w:t>(Vic) </w:t>
      </w:r>
      <w:r>
        <w:rPr>
          <w:sz w:val="13"/>
        </w:rPr>
        <w:t>s </w:t>
      </w:r>
      <w:r>
        <w:rPr>
          <w:spacing w:val="2"/>
          <w:sz w:val="13"/>
        </w:rPr>
        <w:t>44(1). </w:t>
      </w:r>
      <w:r>
        <w:rPr>
          <w:sz w:val="13"/>
        </w:rPr>
        <w:t>A civil trial cannot continue with fewer than five jurors and a criminal trial cannot continue with fewer than ten, sections </w:t>
      </w:r>
      <w:r>
        <w:rPr>
          <w:spacing w:val="2"/>
          <w:sz w:val="13"/>
        </w:rPr>
        <w:t>44(2) </w:t>
      </w:r>
      <w:r>
        <w:rPr>
          <w:sz w:val="13"/>
        </w:rPr>
        <w:t>and </w:t>
      </w:r>
      <w:r>
        <w:rPr>
          <w:spacing w:val="3"/>
          <w:sz w:val="13"/>
        </w:rPr>
        <w:t>44(3) </w:t>
      </w:r>
      <w:r>
        <w:rPr>
          <w:sz w:val="13"/>
        </w:rPr>
        <w:t>respectively.</w:t>
      </w:r>
    </w:p>
    <w:p>
      <w:pPr>
        <w:pStyle w:val="ListParagraph"/>
        <w:numPr>
          <w:ilvl w:val="0"/>
          <w:numId w:val="65"/>
        </w:numPr>
        <w:tabs>
          <w:tab w:pos="1761" w:val="left" w:leader="none"/>
          <w:tab w:pos="1762" w:val="left" w:leader="none"/>
        </w:tabs>
        <w:spacing w:line="213" w:lineRule="auto" w:before="0" w:after="0"/>
        <w:ind w:left="1761" w:right="1209" w:hanging="794"/>
        <w:jc w:val="left"/>
        <w:rPr>
          <w:sz w:val="13"/>
        </w:rPr>
      </w:pPr>
      <w:r>
        <w:rPr>
          <w:sz w:val="13"/>
        </w:rPr>
        <w:t>If additional jurors are empanelled and remain by the time a </w:t>
      </w:r>
      <w:r>
        <w:rPr>
          <w:spacing w:val="2"/>
          <w:sz w:val="13"/>
        </w:rPr>
        <w:t>jury </w:t>
      </w:r>
      <w:r>
        <w:rPr>
          <w:sz w:val="13"/>
        </w:rPr>
        <w:t>is required to consider </w:t>
      </w:r>
      <w:r>
        <w:rPr>
          <w:spacing w:val="2"/>
          <w:sz w:val="13"/>
        </w:rPr>
        <w:t>its </w:t>
      </w:r>
      <w:r>
        <w:rPr>
          <w:sz w:val="13"/>
        </w:rPr>
        <w:t>verdict, a ballot must be conducted by selecting the </w:t>
      </w:r>
      <w:r>
        <w:rPr>
          <w:spacing w:val="2"/>
          <w:sz w:val="13"/>
        </w:rPr>
        <w:t>number </w:t>
      </w:r>
      <w:r>
        <w:rPr>
          <w:sz w:val="13"/>
        </w:rPr>
        <w:t>of jurors </w:t>
      </w:r>
      <w:r>
        <w:rPr>
          <w:spacing w:val="2"/>
          <w:sz w:val="13"/>
        </w:rPr>
        <w:t>necessary </w:t>
      </w:r>
      <w:r>
        <w:rPr>
          <w:sz w:val="13"/>
        </w:rPr>
        <w:t>to reduce the </w:t>
      </w:r>
      <w:r>
        <w:rPr>
          <w:spacing w:val="2"/>
          <w:sz w:val="13"/>
        </w:rPr>
        <w:t>jury </w:t>
      </w:r>
      <w:r>
        <w:rPr>
          <w:sz w:val="13"/>
        </w:rPr>
        <w:t>to 12 or 6 (as required) before the </w:t>
      </w:r>
      <w:r>
        <w:rPr>
          <w:spacing w:val="2"/>
          <w:sz w:val="13"/>
        </w:rPr>
        <w:t>jury </w:t>
      </w:r>
      <w:r>
        <w:rPr>
          <w:sz w:val="13"/>
        </w:rPr>
        <w:t>retires to consider the verdict. See</w:t>
      </w:r>
      <w:r>
        <w:rPr>
          <w:spacing w:val="3"/>
          <w:sz w:val="13"/>
        </w:rPr>
        <w:t> </w:t>
      </w:r>
      <w:r>
        <w:rPr>
          <w:i/>
          <w:sz w:val="13"/>
        </w:rPr>
        <w:t>Juries</w:t>
      </w:r>
      <w:r>
        <w:rPr>
          <w:i/>
          <w:spacing w:val="4"/>
          <w:sz w:val="13"/>
        </w:rPr>
        <w:t> </w:t>
      </w:r>
      <w:r>
        <w:rPr>
          <w:i/>
          <w:sz w:val="13"/>
        </w:rPr>
        <w:t>Act</w:t>
      </w:r>
      <w:r>
        <w:rPr>
          <w:i/>
          <w:spacing w:val="4"/>
          <w:sz w:val="13"/>
        </w:rPr>
        <w:t> </w:t>
      </w:r>
      <w:r>
        <w:rPr>
          <w:i/>
          <w:sz w:val="13"/>
        </w:rPr>
        <w:t>2000</w:t>
      </w:r>
      <w:r>
        <w:rPr>
          <w:i/>
          <w:spacing w:val="4"/>
          <w:sz w:val="13"/>
        </w:rPr>
        <w:t> </w:t>
      </w:r>
      <w:r>
        <w:rPr>
          <w:spacing w:val="2"/>
          <w:sz w:val="13"/>
        </w:rPr>
        <w:t>(Vic)</w:t>
      </w:r>
      <w:r>
        <w:rPr>
          <w:spacing w:val="4"/>
          <w:sz w:val="13"/>
        </w:rPr>
        <w:t> </w:t>
      </w:r>
      <w:r>
        <w:rPr>
          <w:spacing w:val="2"/>
          <w:sz w:val="13"/>
        </w:rPr>
        <w:t>48(1):</w:t>
      </w:r>
      <w:r>
        <w:rPr>
          <w:spacing w:val="4"/>
          <w:sz w:val="13"/>
        </w:rPr>
        <w:t> </w:t>
      </w:r>
      <w:r>
        <w:rPr>
          <w:sz w:val="13"/>
        </w:rPr>
        <w:t>see</w:t>
      </w:r>
      <w:r>
        <w:rPr>
          <w:spacing w:val="4"/>
          <w:sz w:val="13"/>
        </w:rPr>
        <w:t> </w:t>
      </w:r>
      <w:r>
        <w:rPr>
          <w:spacing w:val="2"/>
          <w:sz w:val="13"/>
        </w:rPr>
        <w:t>also</w:t>
      </w:r>
      <w:r>
        <w:rPr>
          <w:spacing w:val="4"/>
          <w:sz w:val="13"/>
        </w:rPr>
        <w:t> </w:t>
      </w:r>
      <w:r>
        <w:rPr>
          <w:sz w:val="13"/>
        </w:rPr>
        <w:t>Victorian</w:t>
      </w:r>
      <w:r>
        <w:rPr>
          <w:spacing w:val="3"/>
          <w:sz w:val="13"/>
        </w:rPr>
        <w:t> </w:t>
      </w:r>
      <w:r>
        <w:rPr>
          <w:sz w:val="13"/>
        </w:rPr>
        <w:t>Law</w:t>
      </w:r>
      <w:r>
        <w:rPr>
          <w:spacing w:val="4"/>
          <w:sz w:val="13"/>
        </w:rPr>
        <w:t> </w:t>
      </w:r>
      <w:r>
        <w:rPr>
          <w:sz w:val="13"/>
        </w:rPr>
        <w:t>Reform</w:t>
      </w:r>
      <w:r>
        <w:rPr>
          <w:spacing w:val="4"/>
          <w:sz w:val="13"/>
        </w:rPr>
        <w:t> </w:t>
      </w:r>
      <w:r>
        <w:rPr>
          <w:spacing w:val="2"/>
          <w:sz w:val="13"/>
        </w:rPr>
        <w:t>Commission,</w:t>
      </w:r>
      <w:r>
        <w:rPr>
          <w:spacing w:val="4"/>
          <w:sz w:val="13"/>
        </w:rPr>
        <w:t> </w:t>
      </w:r>
      <w:r>
        <w:rPr>
          <w:i/>
          <w:spacing w:val="2"/>
          <w:sz w:val="13"/>
        </w:rPr>
        <w:t>Jury</w:t>
      </w:r>
      <w:r>
        <w:rPr>
          <w:i/>
          <w:spacing w:val="4"/>
          <w:sz w:val="13"/>
        </w:rPr>
        <w:t> </w:t>
      </w:r>
      <w:r>
        <w:rPr>
          <w:i/>
          <w:sz w:val="13"/>
        </w:rPr>
        <w:t>Empanelment</w:t>
      </w:r>
      <w:r>
        <w:rPr>
          <w:i/>
          <w:spacing w:val="4"/>
          <w:sz w:val="13"/>
        </w:rPr>
        <w:t> </w:t>
      </w:r>
      <w:r>
        <w:rPr>
          <w:spacing w:val="2"/>
          <w:sz w:val="13"/>
        </w:rPr>
        <w:t>(Report</w:t>
      </w:r>
      <w:r>
        <w:rPr>
          <w:spacing w:val="4"/>
          <w:sz w:val="13"/>
        </w:rPr>
        <w:t> </w:t>
      </w:r>
      <w:r>
        <w:rPr>
          <w:sz w:val="13"/>
        </w:rPr>
        <w:t>No</w:t>
      </w:r>
      <w:r>
        <w:rPr>
          <w:spacing w:val="4"/>
          <w:sz w:val="13"/>
        </w:rPr>
        <w:t> </w:t>
      </w:r>
      <w:r>
        <w:rPr>
          <w:spacing w:val="-3"/>
          <w:sz w:val="13"/>
        </w:rPr>
        <w:t>27,</w:t>
      </w:r>
      <w:r>
        <w:rPr>
          <w:spacing w:val="4"/>
          <w:sz w:val="13"/>
        </w:rPr>
        <w:t> </w:t>
      </w:r>
      <w:r>
        <w:rPr>
          <w:sz w:val="13"/>
        </w:rPr>
        <w:t>May</w:t>
      </w:r>
      <w:r>
        <w:rPr>
          <w:spacing w:val="3"/>
          <w:sz w:val="13"/>
        </w:rPr>
        <w:t> </w:t>
      </w:r>
      <w:r>
        <w:rPr>
          <w:spacing w:val="2"/>
          <w:sz w:val="13"/>
        </w:rPr>
        <w:t>2014)</w:t>
      </w:r>
      <w:r>
        <w:rPr>
          <w:spacing w:val="4"/>
          <w:sz w:val="13"/>
        </w:rPr>
        <w:t> </w:t>
      </w:r>
      <w:r>
        <w:rPr>
          <w:spacing w:val="3"/>
          <w:sz w:val="13"/>
        </w:rPr>
        <w:t>78–99.</w:t>
      </w:r>
    </w:p>
    <w:p>
      <w:pPr>
        <w:pStyle w:val="ListParagraph"/>
        <w:numPr>
          <w:ilvl w:val="0"/>
          <w:numId w:val="65"/>
        </w:numPr>
        <w:tabs>
          <w:tab w:pos="1761" w:val="left" w:leader="none"/>
          <w:tab w:pos="1762" w:val="left" w:leader="none"/>
        </w:tabs>
        <w:spacing w:line="213" w:lineRule="auto" w:before="0" w:after="0"/>
        <w:ind w:left="967" w:right="3163" w:firstLine="0"/>
        <w:jc w:val="left"/>
        <w:rPr>
          <w:sz w:val="13"/>
        </w:rPr>
      </w:pPr>
      <w:r>
        <w:rPr/>
        <w:pict>
          <v:shape style="position:absolute;margin-left:548.690613pt;margin-top:3.39319pt;width:13.65pt;height:14.1pt;mso-position-horizontal-relative:page;mso-position-vertical-relative:paragraph;z-index:7408" type="#_x0000_t202" filled="false" stroked="false">
            <v:textbox inset="0,0,0,0">
              <w:txbxContent>
                <w:p>
                  <w:pPr>
                    <w:spacing w:line="282" w:lineRule="exact" w:before="0"/>
                    <w:ind w:left="0" w:right="0" w:firstLine="0"/>
                    <w:jc w:val="left"/>
                    <w:rPr>
                      <w:b/>
                      <w:sz w:val="24"/>
                    </w:rPr>
                  </w:pPr>
                  <w:r>
                    <w:rPr>
                      <w:b/>
                      <w:color w:val="37617A"/>
                      <w:spacing w:val="-4"/>
                      <w:sz w:val="24"/>
                    </w:rPr>
                    <w:t>87</w:t>
                  </w:r>
                </w:p>
              </w:txbxContent>
            </v:textbox>
            <w10:wrap type="none"/>
          </v:shape>
        </w:pict>
      </w: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84–5 </w:t>
      </w:r>
      <w:r>
        <w:rPr>
          <w:spacing w:val="3"/>
          <w:sz w:val="13"/>
        </w:rPr>
        <w:t>[5.43]–[5.58] 146</w:t>
        <w:tab/>
      </w:r>
      <w:r>
        <w:rPr>
          <w:sz w:val="13"/>
        </w:rPr>
        <w:t>Ibid 95–97.</w:t>
      </w:r>
    </w:p>
    <w:p>
      <w:pPr>
        <w:spacing w:after="0" w:line="213" w:lineRule="auto"/>
        <w:jc w:val="left"/>
        <w:rPr>
          <w:sz w:val="13"/>
        </w:rPr>
        <w:sectPr>
          <w:pgSz w:w="11910" w:h="16840"/>
          <w:pgMar w:header="0" w:footer="0" w:top="840" w:bottom="280" w:left="620" w:right="380"/>
        </w:sectPr>
      </w:pPr>
    </w:p>
    <w:p>
      <w:pPr>
        <w:pStyle w:val="BodyText"/>
      </w:pPr>
      <w:r>
        <w:rPr/>
        <w:pict>
          <v:rect style="position:absolute;margin-left:79.370003pt;margin-top:0pt;width:515.906000pt;height:841.890015pt;mso-position-horizontal-relative:page;mso-position-vertical-relative:page;z-index:7432" filled="true" fillcolor="#37617a" stroked="false">
            <v:fill type="solid"/>
            <w10:wrap type="none"/>
          </v:rect>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4"/>
        </w:rPr>
      </w:pPr>
    </w:p>
    <w:p>
      <w:pPr>
        <w:pStyle w:val="Heading3"/>
        <w:spacing w:before="49"/>
        <w:ind w:left="100"/>
      </w:pPr>
      <w:r>
        <w:rPr>
          <w:color w:val="37617A"/>
        </w:rPr>
        <w:t>88</w:t>
      </w:r>
    </w:p>
    <w:p>
      <w:pPr>
        <w:spacing w:after="0"/>
        <w:sectPr>
          <w:headerReference w:type="even" r:id="rId147"/>
          <w:pgSz w:w="11910" w:h="16840"/>
          <w:pgMar w:header="0" w:footer="0" w:top="1580" w:bottom="280" w:left="620" w:right="380"/>
        </w:sectPr>
      </w:pPr>
    </w:p>
    <w:p>
      <w:pPr>
        <w:pStyle w:val="BodyText"/>
        <w:rPr>
          <w:b/>
          <w:sz w:val="11"/>
        </w:rPr>
      </w:pPr>
      <w:r>
        <w:rPr/>
        <w:pict>
          <v:rect style="position:absolute;margin-left:0pt;margin-top:0pt;width:595.276001pt;height:841.890015pt;mso-position-horizontal-relative:page;mso-position-vertical-relative:page;z-index:-352672" filled="true" fillcolor="#37617a" stroked="false">
            <v:fill type="solid"/>
            <w10:wrap type="none"/>
          </v:rect>
        </w:pict>
      </w:r>
    </w:p>
    <w:p>
      <w:pPr>
        <w:spacing w:line="688" w:lineRule="exact" w:before="0"/>
        <w:ind w:left="0" w:right="745" w:firstLine="0"/>
        <w:jc w:val="right"/>
        <w:rPr>
          <w:rFonts w:ascii="Raleway SemiBold"/>
          <w:b/>
          <w:sz w:val="50"/>
        </w:rPr>
      </w:pPr>
      <w:r>
        <w:rPr/>
        <w:pict>
          <v:shape style="position:absolute;margin-left:415.413391pt;margin-top:-3.3143pt;width:125.6pt;height:152.65pt;mso-position-horizontal-relative:page;mso-position-vertical-relative:paragraph;z-index:-352648" type="#_x0000_t202" filled="false" stroked="false">
            <v:textbox inset="0,0,0,0">
              <w:txbxContent>
                <w:p>
                  <w:pPr>
                    <w:spacing w:line="3052" w:lineRule="exact" w:before="0"/>
                    <w:ind w:left="0" w:right="0" w:firstLine="0"/>
                    <w:jc w:val="left"/>
                    <w:rPr>
                      <w:b/>
                      <w:sz w:val="260"/>
                    </w:rPr>
                  </w:pPr>
                  <w:r>
                    <w:rPr>
                      <w:b/>
                      <w:color w:val="FFFFFF"/>
                      <w:spacing w:val="-185"/>
                      <w:sz w:val="260"/>
                    </w:rPr>
                    <w:t>10</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5"/>
        <w:rPr>
          <w:rFonts w:ascii="Raleway SemiBold"/>
          <w:b/>
          <w:sz w:val="17"/>
        </w:rPr>
      </w:pPr>
    </w:p>
    <w:p>
      <w:pPr>
        <w:spacing w:line="180" w:lineRule="auto" w:before="166"/>
        <w:ind w:left="967" w:right="537" w:firstLine="0"/>
        <w:jc w:val="left"/>
        <w:rPr>
          <w:rFonts w:ascii="Raleway ExtraBold"/>
          <w:b/>
          <w:sz w:val="88"/>
        </w:rPr>
      </w:pPr>
      <w:r>
        <w:rPr>
          <w:rFonts w:ascii="Raleway ExtraBold"/>
          <w:b/>
          <w:color w:val="FFFFFF"/>
          <w:spacing w:val="-24"/>
          <w:sz w:val="88"/>
        </w:rPr>
        <w:t>Inclusive </w:t>
      </w:r>
      <w:r>
        <w:rPr>
          <w:rFonts w:ascii="Raleway ExtraBold"/>
          <w:b/>
          <w:color w:val="FFFFFF"/>
          <w:spacing w:val="-20"/>
          <w:sz w:val="88"/>
        </w:rPr>
        <w:t>juries </w:t>
      </w:r>
      <w:r>
        <w:rPr>
          <w:rFonts w:ascii="Raleway ExtraBold"/>
          <w:b/>
          <w:color w:val="FFFFFF"/>
          <w:spacing w:val="-12"/>
          <w:sz w:val="88"/>
        </w:rPr>
        <w:t>in </w:t>
      </w:r>
      <w:r>
        <w:rPr>
          <w:rFonts w:ascii="Raleway ExtraBold"/>
          <w:b/>
          <w:color w:val="FFFFFF"/>
          <w:spacing w:val="-20"/>
          <w:sz w:val="88"/>
        </w:rPr>
        <w:t>other </w:t>
      </w:r>
      <w:r>
        <w:rPr>
          <w:rFonts w:ascii="Raleway ExtraBold"/>
          <w:b/>
          <w:color w:val="FFFFFF"/>
          <w:spacing w:val="-22"/>
          <w:sz w:val="88"/>
        </w:rPr>
        <w:t>jurisdictions</w:t>
      </w:r>
    </w:p>
    <w:p>
      <w:pPr>
        <w:pStyle w:val="BodyText"/>
        <w:rPr>
          <w:rFonts w:ascii="Raleway ExtraBold"/>
          <w:b/>
        </w:rPr>
      </w:pPr>
    </w:p>
    <w:p>
      <w:pPr>
        <w:pStyle w:val="BodyText"/>
        <w:rPr>
          <w:rFonts w:ascii="Raleway ExtraBold"/>
          <w:b/>
        </w:rPr>
      </w:pPr>
    </w:p>
    <w:p>
      <w:pPr>
        <w:pStyle w:val="BodyText"/>
        <w:spacing w:before="4"/>
        <w:rPr>
          <w:rFonts w:ascii="Raleway ExtraBold"/>
          <w:b/>
          <w:sz w:val="27"/>
        </w:rPr>
      </w:pPr>
    </w:p>
    <w:p>
      <w:pPr>
        <w:tabs>
          <w:tab w:pos="1534" w:val="left" w:leader="none"/>
        </w:tabs>
        <w:spacing w:before="49"/>
        <w:ind w:left="967" w:right="0" w:firstLine="0"/>
        <w:jc w:val="left"/>
        <w:rPr>
          <w:b/>
          <w:sz w:val="24"/>
        </w:rPr>
      </w:pPr>
      <w:r>
        <w:rPr/>
        <w:pict>
          <v:line style="position:absolute;mso-position-horizontal-relative:page;mso-position-vertical-relative:paragraph;z-index:5408;mso-wrap-distance-left:0;mso-wrap-distance-right:0" from="79.370102pt,22.967304pt" to="104.882102pt,22.967304pt" stroked="true" strokeweight="2pt" strokecolor="#8f9dad">
            <v:stroke dashstyle="solid"/>
            <w10:wrap type="topAndBottom"/>
          </v:line>
        </w:pict>
      </w:r>
      <w:hyperlink w:history="true" w:anchor="_bookmark67">
        <w:r>
          <w:rPr>
            <w:b/>
            <w:color w:val="FFFFFF"/>
            <w:sz w:val="24"/>
          </w:rPr>
          <w:t>90</w:t>
          <w:tab/>
          <w:t>Overview</w:t>
        </w:r>
      </w:hyperlink>
    </w:p>
    <w:p>
      <w:pPr>
        <w:tabs>
          <w:tab w:pos="1534" w:val="left" w:leader="none"/>
        </w:tabs>
        <w:spacing w:before="14" w:after="57"/>
        <w:ind w:left="967" w:right="0" w:firstLine="0"/>
        <w:jc w:val="left"/>
        <w:rPr>
          <w:b/>
          <w:sz w:val="24"/>
        </w:rPr>
      </w:pPr>
      <w:hyperlink w:history="true" w:anchor="_bookmark67">
        <w:r>
          <w:rPr>
            <w:b/>
            <w:color w:val="FFFFFF"/>
            <w:sz w:val="24"/>
          </w:rPr>
          <w:t>90</w:t>
          <w:tab/>
          <w:t>Changes to jury selection in</w:t>
        </w:r>
        <w:r>
          <w:rPr>
            <w:b/>
            <w:color w:val="FFFFFF"/>
            <w:spacing w:val="-2"/>
            <w:sz w:val="24"/>
          </w:rPr>
          <w:t> </w:t>
        </w:r>
        <w:r>
          <w:rPr>
            <w:b/>
            <w:color w:val="FFFFFF"/>
            <w:sz w:val="24"/>
          </w:rPr>
          <w:t>Australia</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tabs>
          <w:tab w:pos="1534" w:val="left" w:leader="none"/>
        </w:tabs>
        <w:spacing w:before="43"/>
        <w:ind w:left="967" w:right="0" w:firstLine="0"/>
        <w:jc w:val="left"/>
        <w:rPr>
          <w:b/>
          <w:sz w:val="24"/>
        </w:rPr>
      </w:pPr>
      <w:r>
        <w:rPr/>
        <w:pict>
          <v:line style="position:absolute;mso-position-horizontal-relative:page;mso-position-vertical-relative:paragraph;z-index:5456;mso-wrap-distance-left:0;mso-wrap-distance-right:0" from="79.370102pt,22.667311pt" to="104.882102pt,22.667311pt" stroked="true" strokeweight="2pt" strokecolor="#8f9dad">
            <v:stroke dashstyle="solid"/>
            <w10:wrap type="topAndBottom"/>
          </v:line>
        </w:pict>
      </w:r>
      <w:hyperlink w:history="true" w:anchor="_bookmark70">
        <w:r>
          <w:rPr>
            <w:b/>
            <w:color w:val="FFFFFF"/>
            <w:spacing w:val="-4"/>
            <w:sz w:val="24"/>
          </w:rPr>
          <w:t>93</w:t>
          <w:tab/>
        </w:r>
        <w:r>
          <w:rPr>
            <w:b/>
            <w:color w:val="FFFFFF"/>
            <w:sz w:val="24"/>
          </w:rPr>
          <w:t>Inclusive juries in the United</w:t>
        </w:r>
        <w:r>
          <w:rPr>
            <w:b/>
            <w:color w:val="FFFFFF"/>
            <w:spacing w:val="-2"/>
            <w:sz w:val="24"/>
          </w:rPr>
          <w:t> </w:t>
        </w:r>
        <w:r>
          <w:rPr>
            <w:b/>
            <w:color w:val="FFFFFF"/>
            <w:spacing w:val="-3"/>
            <w:sz w:val="24"/>
          </w:rPr>
          <w:t>States</w:t>
        </w:r>
      </w:hyperlink>
    </w:p>
    <w:p>
      <w:pPr>
        <w:tabs>
          <w:tab w:pos="1534" w:val="left" w:leader="none"/>
        </w:tabs>
        <w:spacing w:before="14" w:after="57"/>
        <w:ind w:left="967" w:right="0" w:firstLine="0"/>
        <w:jc w:val="left"/>
        <w:rPr>
          <w:b/>
          <w:sz w:val="24"/>
        </w:rPr>
      </w:pPr>
      <w:hyperlink w:history="true" w:anchor="_bookmark71">
        <w:r>
          <w:rPr>
            <w:b/>
            <w:color w:val="FFFFFF"/>
            <w:sz w:val="24"/>
          </w:rPr>
          <w:t>98</w:t>
          <w:tab/>
          <w:t>Inclusive juries in England and</w:t>
        </w:r>
        <w:r>
          <w:rPr>
            <w:b/>
            <w:color w:val="FFFFFF"/>
            <w:spacing w:val="-1"/>
            <w:sz w:val="24"/>
          </w:rPr>
          <w:t> </w:t>
        </w:r>
        <w:r>
          <w:rPr>
            <w:b/>
            <w:color w:val="FFFFFF"/>
            <w:spacing w:val="-4"/>
            <w:sz w:val="24"/>
          </w:rPr>
          <w:t>Wales</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spacing w:before="43"/>
        <w:ind w:left="967" w:right="0" w:firstLine="0"/>
        <w:jc w:val="left"/>
        <w:rPr>
          <w:b/>
          <w:sz w:val="24"/>
        </w:rPr>
      </w:pPr>
      <w:r>
        <w:rPr/>
        <w:pict>
          <v:line style="position:absolute;mso-position-horizontal-relative:page;mso-position-vertical-relative:paragraph;z-index:5504;mso-wrap-distance-left:0;mso-wrap-distance-right:0" from="79.370102pt,22.667189pt" to="104.882102pt,22.667189pt" stroked="true" strokeweight="2pt" strokecolor="#8f9dad">
            <v:stroke dashstyle="solid"/>
            <w10:wrap type="topAndBottom"/>
          </v:line>
        </w:pict>
      </w:r>
      <w:hyperlink w:history="true" w:anchor="_bookmark72">
        <w:r>
          <w:rPr>
            <w:b/>
            <w:color w:val="FFFFFF"/>
            <w:sz w:val="24"/>
          </w:rPr>
          <w:t>101 Inclusive juries in New Zealand</w:t>
        </w:r>
      </w:hyperlink>
    </w:p>
    <w:p>
      <w:pPr>
        <w:spacing w:before="14" w:after="57"/>
        <w:ind w:left="967" w:right="0" w:firstLine="0"/>
        <w:jc w:val="left"/>
        <w:rPr>
          <w:b/>
          <w:sz w:val="24"/>
        </w:rPr>
      </w:pPr>
      <w:hyperlink w:history="true" w:anchor="_bookmark73">
        <w:r>
          <w:rPr>
            <w:b/>
            <w:color w:val="FFFFFF"/>
            <w:sz w:val="24"/>
          </w:rPr>
          <w:t>103 Inclusive juries in Ireland</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spacing w:before="43"/>
        <w:ind w:left="967" w:right="0" w:firstLine="0"/>
        <w:jc w:val="left"/>
        <w:rPr>
          <w:b/>
          <w:sz w:val="24"/>
        </w:rPr>
      </w:pPr>
      <w:r>
        <w:rPr/>
        <w:pict>
          <v:line style="position:absolute;mso-position-horizontal-relative:page;mso-position-vertical-relative:paragraph;z-index:5552;mso-wrap-distance-left:0;mso-wrap-distance-right:0" from="79.370102pt,22.667288pt" to="104.882102pt,22.667288pt" stroked="true" strokeweight="2pt" strokecolor="#8f9dad">
            <v:stroke dashstyle="solid"/>
            <w10:wrap type="topAndBottom"/>
          </v:line>
        </w:pict>
      </w:r>
      <w:hyperlink w:history="true" w:anchor="_bookmark74">
        <w:r>
          <w:rPr>
            <w:b/>
            <w:color w:val="FFFFFF"/>
            <w:sz w:val="24"/>
          </w:rPr>
          <w:t>104 Victoria is lagging behind other jurisdictions</w:t>
        </w:r>
      </w:hyperlink>
    </w:p>
    <w:p>
      <w:pPr>
        <w:spacing w:after="0"/>
        <w:jc w:val="left"/>
        <w:rPr>
          <w:sz w:val="24"/>
        </w:rPr>
        <w:sectPr>
          <w:headerReference w:type="default" r:id="rId148"/>
          <w:headerReference w:type="even" r:id="rId149"/>
          <w:pgSz w:w="11910" w:h="16840"/>
          <w:pgMar w:header="0" w:footer="0" w:top="480" w:bottom="280" w:left="620" w:right="380"/>
        </w:sectPr>
      </w:pPr>
    </w:p>
    <w:p>
      <w:pPr>
        <w:pStyle w:val="BodyText"/>
        <w:rPr>
          <w:b/>
        </w:rPr>
      </w:pPr>
      <w:r>
        <w:rPr/>
        <w:pict>
          <v:rect style="position:absolute;margin-left:0pt;margin-top:99.213013pt;width:14.173pt;height:85.748pt;mso-position-horizontal-relative:page;mso-position-vertical-relative:page;z-index:7744" filled="true" fillcolor="#37617a" stroked="false">
            <v:fill type="solid"/>
            <w10:wrap type="none"/>
          </v:rect>
        </w:pict>
      </w:r>
    </w:p>
    <w:p>
      <w:pPr>
        <w:pStyle w:val="BodyText"/>
        <w:rPr>
          <w:b/>
        </w:rPr>
      </w:pPr>
    </w:p>
    <w:p>
      <w:pPr>
        <w:pStyle w:val="BodyText"/>
        <w:spacing w:before="2"/>
        <w:rPr>
          <w:b/>
          <w:sz w:val="25"/>
        </w:rPr>
      </w:pPr>
    </w:p>
    <w:p>
      <w:pPr>
        <w:pStyle w:val="ListParagraph"/>
        <w:numPr>
          <w:ilvl w:val="0"/>
          <w:numId w:val="12"/>
        </w:numPr>
        <w:tabs>
          <w:tab w:pos="1108" w:val="left" w:leader="none"/>
        </w:tabs>
        <w:spacing w:line="184" w:lineRule="auto" w:before="129" w:after="0"/>
        <w:ind w:left="230" w:right="3579" w:firstLine="0"/>
        <w:jc w:val="left"/>
        <w:rPr>
          <w:rFonts w:ascii="Raleway ExtraBold"/>
          <w:b/>
          <w:sz w:val="56"/>
        </w:rPr>
      </w:pPr>
      <w:bookmarkStart w:name="10. Inclusive juries in other jurisdicti" w:id="170"/>
      <w:bookmarkEnd w:id="170"/>
      <w:r>
        <w:rPr/>
      </w:r>
      <w:bookmarkStart w:name="Overview" w:id="171"/>
      <w:bookmarkEnd w:id="171"/>
      <w:r>
        <w:rPr/>
      </w:r>
      <w:bookmarkStart w:name="Changes to jury selection in Australia" w:id="172"/>
      <w:bookmarkEnd w:id="172"/>
      <w:r>
        <w:rPr/>
      </w:r>
      <w:bookmarkStart w:name="_bookmark67" w:id="173"/>
      <w:bookmarkEnd w:id="173"/>
      <w:r>
        <w:rPr/>
      </w:r>
      <w:bookmarkStart w:name="_bookmark67" w:id="174"/>
      <w:bookmarkEnd w:id="174"/>
      <w:r>
        <w:rPr>
          <w:rFonts w:ascii="Raleway ExtraBold"/>
          <w:b/>
          <w:color w:val="37617A"/>
          <w:spacing w:val="-6"/>
          <w:sz w:val="56"/>
        </w:rPr>
        <w:t>I</w:t>
      </w:r>
      <w:r>
        <w:rPr>
          <w:rFonts w:ascii="Raleway ExtraBold"/>
          <w:b/>
          <w:color w:val="37617A"/>
          <w:spacing w:val="-6"/>
          <w:sz w:val="56"/>
        </w:rPr>
        <w:t>nclusive </w:t>
      </w:r>
      <w:r>
        <w:rPr>
          <w:rFonts w:ascii="Raleway ExtraBold"/>
          <w:b/>
          <w:color w:val="37617A"/>
          <w:spacing w:val="-4"/>
          <w:sz w:val="56"/>
        </w:rPr>
        <w:t>juries </w:t>
      </w:r>
      <w:r>
        <w:rPr>
          <w:rFonts w:ascii="Raleway ExtraBold"/>
          <w:b/>
          <w:color w:val="37617A"/>
          <w:sz w:val="56"/>
        </w:rPr>
        <w:t>in </w:t>
      </w:r>
      <w:r>
        <w:rPr>
          <w:rFonts w:ascii="Raleway ExtraBold"/>
          <w:b/>
          <w:color w:val="37617A"/>
          <w:spacing w:val="-8"/>
          <w:sz w:val="56"/>
        </w:rPr>
        <w:t>other </w:t>
      </w:r>
      <w:r>
        <w:rPr>
          <w:rFonts w:ascii="Raleway ExtraBold"/>
          <w:b/>
          <w:color w:val="37617A"/>
          <w:spacing w:val="-4"/>
          <w:sz w:val="56"/>
        </w:rPr>
        <w:t>jurisdictions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3"/>
        <w:rPr>
          <w:rFonts w:ascii="Raleway ExtraBold"/>
          <w:b/>
          <w:sz w:val="14"/>
        </w:rPr>
      </w:pPr>
      <w:r>
        <w:rPr/>
        <w:pict>
          <v:line style="position:absolute;mso-position-horizontal-relative:page;mso-position-vertical-relative:paragraph;z-index:5624;mso-wrap-distance-left:0;mso-wrap-distance-right:0" from="79.370102pt,12.58884pt" to="515.905102pt,12.58884pt" stroked="true" strokeweight=".5pt" strokecolor="#8f9dad">
            <v:stroke dashstyle="solid"/>
            <w10:wrap type="topAndBottom"/>
          </v:line>
        </w:pict>
      </w:r>
    </w:p>
    <w:p>
      <w:pPr>
        <w:pStyle w:val="BodyText"/>
        <w:spacing w:before="11"/>
        <w:rPr>
          <w:rFonts w:ascii="Raleway ExtraBold"/>
          <w:b/>
          <w:sz w:val="8"/>
        </w:rPr>
      </w:pPr>
    </w:p>
    <w:p>
      <w:pPr>
        <w:spacing w:line="244" w:lineRule="auto" w:before="101"/>
        <w:ind w:left="1785" w:right="2023" w:hanging="1"/>
        <w:jc w:val="center"/>
        <w:rPr>
          <w:i/>
          <w:sz w:val="11"/>
        </w:rPr>
      </w:pPr>
      <w:r>
        <w:rPr>
          <w:rFonts w:ascii="Trebuchet MS"/>
          <w:i/>
          <w:color w:val="37617A"/>
          <w:spacing w:val="-13"/>
          <w:w w:val="107"/>
          <w:sz w:val="20"/>
        </w:rPr>
        <w:t>Y</w:t>
      </w:r>
      <w:r>
        <w:rPr>
          <w:rFonts w:ascii="Trebuchet MS"/>
          <w:i/>
          <w:color w:val="37617A"/>
          <w:w w:val="100"/>
          <w:sz w:val="20"/>
        </w:rPr>
        <w:t>e</w:t>
      </w:r>
      <w:r>
        <w:rPr>
          <w:rFonts w:ascii="Trebuchet MS"/>
          <w:i/>
          <w:color w:val="37617A"/>
          <w:spacing w:val="3"/>
          <w:w w:val="117"/>
          <w:sz w:val="20"/>
        </w:rPr>
        <w:t>s</w:t>
      </w:r>
      <w:r>
        <w:rPr>
          <w:rFonts w:ascii="Trebuchet MS"/>
          <w:i/>
          <w:color w:val="37617A"/>
          <w:w w:val="56"/>
          <w:sz w:val="20"/>
        </w:rPr>
        <w:t>,</w:t>
      </w:r>
      <w:r>
        <w:rPr>
          <w:rFonts w:ascii="Trebuchet MS"/>
          <w:i/>
          <w:color w:val="37617A"/>
          <w:spacing w:val="-13"/>
          <w:sz w:val="20"/>
        </w:rPr>
        <w:t> </w:t>
      </w:r>
      <w:r>
        <w:rPr>
          <w:rFonts w:ascii="Trebuchet MS"/>
          <w:i/>
          <w:color w:val="37617A"/>
          <w:w w:val="92"/>
          <w:sz w:val="20"/>
        </w:rPr>
        <w:t>I</w:t>
      </w:r>
      <w:r>
        <w:rPr>
          <w:rFonts w:ascii="Trebuchet MS"/>
          <w:i/>
          <w:color w:val="37617A"/>
          <w:spacing w:val="-13"/>
          <w:sz w:val="20"/>
        </w:rPr>
        <w:t> </w:t>
      </w:r>
      <w:r>
        <w:rPr>
          <w:rFonts w:ascii="Trebuchet MS"/>
          <w:i/>
          <w:color w:val="37617A"/>
          <w:w w:val="108"/>
          <w:sz w:val="20"/>
        </w:rPr>
        <w:t>d</w:t>
      </w:r>
      <w:r>
        <w:rPr>
          <w:rFonts w:ascii="Trebuchet MS"/>
          <w:i/>
          <w:color w:val="37617A"/>
          <w:w w:val="73"/>
          <w:sz w:val="20"/>
        </w:rPr>
        <w:t>i</w:t>
      </w:r>
      <w:r>
        <w:rPr>
          <w:rFonts w:ascii="Trebuchet MS"/>
          <w:i/>
          <w:color w:val="37617A"/>
          <w:w w:val="108"/>
          <w:sz w:val="20"/>
        </w:rPr>
        <w:t>d</w:t>
      </w:r>
      <w:r>
        <w:rPr>
          <w:rFonts w:ascii="Trebuchet MS"/>
          <w:i/>
          <w:color w:val="37617A"/>
          <w:spacing w:val="-13"/>
          <w:sz w:val="20"/>
        </w:rPr>
        <w:t> </w:t>
      </w:r>
      <w:r>
        <w:rPr>
          <w:rFonts w:ascii="Trebuchet MS"/>
          <w:i/>
          <w:color w:val="37617A"/>
          <w:w w:val="101"/>
          <w:sz w:val="20"/>
        </w:rPr>
        <w:t>h</w:t>
      </w:r>
      <w:r>
        <w:rPr>
          <w:rFonts w:ascii="Trebuchet MS"/>
          <w:i/>
          <w:color w:val="37617A"/>
          <w:spacing w:val="-2"/>
          <w:w w:val="115"/>
          <w:sz w:val="20"/>
        </w:rPr>
        <w:t>a</w:t>
      </w:r>
      <w:r>
        <w:rPr>
          <w:rFonts w:ascii="Trebuchet MS"/>
          <w:i/>
          <w:color w:val="37617A"/>
          <w:spacing w:val="-3"/>
          <w:w w:val="103"/>
          <w:sz w:val="20"/>
        </w:rPr>
        <w:t>v</w:t>
      </w:r>
      <w:r>
        <w:rPr>
          <w:rFonts w:ascii="Trebuchet MS"/>
          <w:i/>
          <w:color w:val="37617A"/>
          <w:w w:val="100"/>
          <w:sz w:val="20"/>
        </w:rPr>
        <w:t>e</w:t>
      </w:r>
      <w:r>
        <w:rPr>
          <w:rFonts w:ascii="Trebuchet MS"/>
          <w:i/>
          <w:color w:val="37617A"/>
          <w:spacing w:val="-13"/>
          <w:sz w:val="20"/>
        </w:rPr>
        <w:t> </w:t>
      </w:r>
      <w:r>
        <w:rPr>
          <w:rFonts w:ascii="Trebuchet MS"/>
          <w:i/>
          <w:color w:val="37617A"/>
          <w:spacing w:val="-4"/>
          <w:w w:val="80"/>
          <w:sz w:val="20"/>
        </w:rPr>
        <w:t>t</w:t>
      </w:r>
      <w:r>
        <w:rPr>
          <w:rFonts w:ascii="Trebuchet MS"/>
          <w:i/>
          <w:color w:val="37617A"/>
          <w:w w:val="107"/>
          <w:sz w:val="20"/>
        </w:rPr>
        <w:t>o</w:t>
      </w:r>
      <w:r>
        <w:rPr>
          <w:rFonts w:ascii="Trebuchet MS"/>
          <w:i/>
          <w:color w:val="37617A"/>
          <w:spacing w:val="-13"/>
          <w:sz w:val="20"/>
        </w:rPr>
        <w:t> </w:t>
      </w:r>
      <w:r>
        <w:rPr>
          <w:rFonts w:ascii="Trebuchet MS"/>
          <w:i/>
          <w:color w:val="37617A"/>
          <w:spacing w:val="-3"/>
          <w:w w:val="103"/>
          <w:sz w:val="20"/>
        </w:rPr>
        <w:t>w</w:t>
      </w:r>
      <w:r>
        <w:rPr>
          <w:rFonts w:ascii="Trebuchet MS"/>
          <w:i/>
          <w:color w:val="37617A"/>
          <w:w w:val="115"/>
          <w:sz w:val="20"/>
        </w:rPr>
        <w:t>a</w:t>
      </w:r>
      <w:r>
        <w:rPr>
          <w:rFonts w:ascii="Trebuchet MS"/>
          <w:i/>
          <w:color w:val="37617A"/>
          <w:spacing w:val="-1"/>
          <w:w w:val="73"/>
          <w:sz w:val="20"/>
        </w:rPr>
        <w:t>i</w:t>
      </w:r>
      <w:r>
        <w:rPr>
          <w:rFonts w:ascii="Trebuchet MS"/>
          <w:i/>
          <w:color w:val="37617A"/>
          <w:w w:val="80"/>
          <w:sz w:val="20"/>
        </w:rPr>
        <w:t>t</w:t>
      </w:r>
      <w:r>
        <w:rPr>
          <w:rFonts w:ascii="Trebuchet MS"/>
          <w:i/>
          <w:color w:val="37617A"/>
          <w:spacing w:val="-13"/>
          <w:sz w:val="20"/>
        </w:rPr>
        <w:t> </w:t>
      </w:r>
      <w:r>
        <w:rPr>
          <w:rFonts w:ascii="Trebuchet MS"/>
          <w:i/>
          <w:color w:val="37617A"/>
          <w:w w:val="115"/>
          <w:sz w:val="20"/>
        </w:rPr>
        <w:t>a</w:t>
      </w:r>
      <w:r>
        <w:rPr>
          <w:rFonts w:ascii="Trebuchet MS"/>
          <w:i/>
          <w:color w:val="37617A"/>
          <w:spacing w:val="-4"/>
          <w:w w:val="84"/>
          <w:sz w:val="20"/>
        </w:rPr>
        <w:t>r</w:t>
      </w:r>
      <w:r>
        <w:rPr>
          <w:rFonts w:ascii="Trebuchet MS"/>
          <w:i/>
          <w:color w:val="37617A"/>
          <w:w w:val="107"/>
          <w:sz w:val="20"/>
        </w:rPr>
        <w:t>o</w:t>
      </w:r>
      <w:r>
        <w:rPr>
          <w:rFonts w:ascii="Trebuchet MS"/>
          <w:i/>
          <w:color w:val="37617A"/>
          <w:w w:val="103"/>
          <w:sz w:val="20"/>
        </w:rPr>
        <w:t>u</w:t>
      </w:r>
      <w:r>
        <w:rPr>
          <w:rFonts w:ascii="Trebuchet MS"/>
          <w:i/>
          <w:color w:val="37617A"/>
          <w:w w:val="103"/>
          <w:sz w:val="20"/>
        </w:rPr>
        <w:t>n</w:t>
      </w:r>
      <w:r>
        <w:rPr>
          <w:rFonts w:ascii="Trebuchet MS"/>
          <w:i/>
          <w:color w:val="37617A"/>
          <w:w w:val="108"/>
          <w:sz w:val="20"/>
        </w:rPr>
        <w:t>d</w:t>
      </w:r>
      <w:r>
        <w:rPr>
          <w:rFonts w:ascii="Trebuchet MS"/>
          <w:i/>
          <w:color w:val="37617A"/>
          <w:spacing w:val="-13"/>
          <w:sz w:val="20"/>
        </w:rPr>
        <w:t> </w:t>
      </w:r>
      <w:r>
        <w:rPr>
          <w:rFonts w:ascii="Trebuchet MS"/>
          <w:i/>
          <w:color w:val="37617A"/>
          <w:spacing w:val="-1"/>
          <w:w w:val="80"/>
          <w:sz w:val="20"/>
        </w:rPr>
        <w:t>t</w:t>
      </w:r>
      <w:r>
        <w:rPr>
          <w:rFonts w:ascii="Trebuchet MS"/>
          <w:i/>
          <w:color w:val="37617A"/>
          <w:w w:val="101"/>
          <w:sz w:val="20"/>
        </w:rPr>
        <w:t>h</w:t>
      </w:r>
      <w:r>
        <w:rPr>
          <w:rFonts w:ascii="Trebuchet MS"/>
          <w:i/>
          <w:color w:val="37617A"/>
          <w:w w:val="100"/>
          <w:sz w:val="20"/>
        </w:rPr>
        <w:t>e</w:t>
      </w:r>
      <w:r>
        <w:rPr>
          <w:rFonts w:ascii="Trebuchet MS"/>
          <w:i/>
          <w:color w:val="37617A"/>
          <w:spacing w:val="-13"/>
          <w:sz w:val="20"/>
        </w:rPr>
        <w:t> </w:t>
      </w:r>
      <w:r>
        <w:rPr>
          <w:rFonts w:ascii="Trebuchet MS"/>
          <w:i/>
          <w:color w:val="37617A"/>
          <w:spacing w:val="-1"/>
          <w:w w:val="115"/>
          <w:sz w:val="20"/>
        </w:rPr>
        <w:t>c</w:t>
      </w:r>
      <w:r>
        <w:rPr>
          <w:rFonts w:ascii="Trebuchet MS"/>
          <w:i/>
          <w:color w:val="37617A"/>
          <w:w w:val="107"/>
          <w:sz w:val="20"/>
        </w:rPr>
        <w:t>o</w:t>
      </w:r>
      <w:r>
        <w:rPr>
          <w:rFonts w:ascii="Trebuchet MS"/>
          <w:i/>
          <w:color w:val="37617A"/>
          <w:w w:val="103"/>
          <w:sz w:val="20"/>
        </w:rPr>
        <w:t>u</w:t>
      </w:r>
      <w:r>
        <w:rPr>
          <w:rFonts w:ascii="Trebuchet MS"/>
          <w:i/>
          <w:color w:val="37617A"/>
          <w:spacing w:val="2"/>
          <w:w w:val="84"/>
          <w:sz w:val="20"/>
        </w:rPr>
        <w:t>r</w:t>
      </w:r>
      <w:r>
        <w:rPr>
          <w:rFonts w:ascii="Trebuchet MS"/>
          <w:i/>
          <w:color w:val="37617A"/>
          <w:spacing w:val="-1"/>
          <w:w w:val="80"/>
          <w:sz w:val="20"/>
        </w:rPr>
        <w:t>t</w:t>
      </w:r>
      <w:r>
        <w:rPr>
          <w:rFonts w:ascii="Trebuchet MS"/>
          <w:i/>
          <w:color w:val="37617A"/>
          <w:spacing w:val="-1"/>
          <w:w w:val="101"/>
          <w:sz w:val="20"/>
        </w:rPr>
        <w:t>h</w:t>
      </w:r>
      <w:r>
        <w:rPr>
          <w:rFonts w:ascii="Trebuchet MS"/>
          <w:i/>
          <w:color w:val="37617A"/>
          <w:w w:val="107"/>
          <w:sz w:val="20"/>
        </w:rPr>
        <w:t>o</w:t>
      </w:r>
      <w:r>
        <w:rPr>
          <w:rFonts w:ascii="Trebuchet MS"/>
          <w:i/>
          <w:color w:val="37617A"/>
          <w:w w:val="103"/>
          <w:sz w:val="20"/>
        </w:rPr>
        <w:t>u</w:t>
      </w:r>
      <w:r>
        <w:rPr>
          <w:rFonts w:ascii="Trebuchet MS"/>
          <w:i/>
          <w:color w:val="37617A"/>
          <w:spacing w:val="-2"/>
          <w:w w:val="117"/>
          <w:sz w:val="20"/>
        </w:rPr>
        <w:t>s</w:t>
      </w:r>
      <w:r>
        <w:rPr>
          <w:rFonts w:ascii="Trebuchet MS"/>
          <w:i/>
          <w:color w:val="37617A"/>
          <w:w w:val="100"/>
          <w:sz w:val="20"/>
        </w:rPr>
        <w:t>e</w:t>
      </w:r>
      <w:r>
        <w:rPr>
          <w:rFonts w:ascii="Trebuchet MS"/>
          <w:i/>
          <w:color w:val="37617A"/>
          <w:spacing w:val="-13"/>
          <w:sz w:val="20"/>
        </w:rPr>
        <w:t> </w:t>
      </w:r>
      <w:r>
        <w:rPr>
          <w:rFonts w:ascii="Trebuchet MS"/>
          <w:i/>
          <w:color w:val="37617A"/>
          <w:spacing w:val="-5"/>
          <w:w w:val="83"/>
          <w:sz w:val="20"/>
        </w:rPr>
        <w:t>f</w:t>
      </w:r>
      <w:r>
        <w:rPr>
          <w:rFonts w:ascii="Trebuchet MS"/>
          <w:i/>
          <w:color w:val="37617A"/>
          <w:w w:val="107"/>
          <w:sz w:val="20"/>
        </w:rPr>
        <w:t>o</w:t>
      </w:r>
      <w:r>
        <w:rPr>
          <w:rFonts w:ascii="Trebuchet MS"/>
          <w:i/>
          <w:color w:val="37617A"/>
          <w:w w:val="84"/>
          <w:sz w:val="20"/>
        </w:rPr>
        <w:t>r</w:t>
      </w:r>
      <w:r>
        <w:rPr>
          <w:rFonts w:ascii="Trebuchet MS"/>
          <w:i/>
          <w:color w:val="37617A"/>
          <w:spacing w:val="-13"/>
          <w:sz w:val="20"/>
        </w:rPr>
        <w:t> </w:t>
      </w:r>
      <w:r>
        <w:rPr>
          <w:rFonts w:ascii="Trebuchet MS"/>
          <w:i/>
          <w:color w:val="37617A"/>
          <w:spacing w:val="-1"/>
          <w:w w:val="101"/>
          <w:sz w:val="20"/>
        </w:rPr>
        <w:t>h</w:t>
      </w:r>
      <w:r>
        <w:rPr>
          <w:rFonts w:ascii="Trebuchet MS"/>
          <w:i/>
          <w:color w:val="37617A"/>
          <w:w w:val="107"/>
          <w:sz w:val="20"/>
        </w:rPr>
        <w:t>o</w:t>
      </w:r>
      <w:r>
        <w:rPr>
          <w:rFonts w:ascii="Trebuchet MS"/>
          <w:i/>
          <w:color w:val="37617A"/>
          <w:w w:val="103"/>
          <w:sz w:val="20"/>
        </w:rPr>
        <w:t>u</w:t>
      </w:r>
      <w:r>
        <w:rPr>
          <w:rFonts w:ascii="Trebuchet MS"/>
          <w:i/>
          <w:color w:val="37617A"/>
          <w:spacing w:val="-1"/>
          <w:w w:val="84"/>
          <w:sz w:val="20"/>
        </w:rPr>
        <w:t>r</w:t>
      </w:r>
      <w:r>
        <w:rPr>
          <w:rFonts w:ascii="Trebuchet MS"/>
          <w:i/>
          <w:color w:val="37617A"/>
          <w:spacing w:val="3"/>
          <w:w w:val="117"/>
          <w:sz w:val="20"/>
        </w:rPr>
        <w:t>s</w:t>
      </w:r>
      <w:r>
        <w:rPr>
          <w:rFonts w:ascii="Trebuchet MS"/>
          <w:i/>
          <w:color w:val="37617A"/>
          <w:w w:val="54"/>
          <w:sz w:val="20"/>
        </w:rPr>
        <w:t>.</w:t>
      </w:r>
      <w:r>
        <w:rPr>
          <w:rFonts w:ascii="Trebuchet MS"/>
          <w:i/>
          <w:color w:val="37617A"/>
          <w:spacing w:val="-13"/>
          <w:sz w:val="20"/>
        </w:rPr>
        <w:t> </w:t>
      </w:r>
      <w:r>
        <w:rPr>
          <w:rFonts w:ascii="Trebuchet MS"/>
          <w:i/>
          <w:color w:val="37617A"/>
          <w:spacing w:val="-1"/>
          <w:w w:val="92"/>
          <w:sz w:val="20"/>
        </w:rPr>
        <w:t>I</w:t>
      </w:r>
      <w:r>
        <w:rPr>
          <w:rFonts w:ascii="Trebuchet MS"/>
          <w:i/>
          <w:color w:val="37617A"/>
          <w:w w:val="80"/>
          <w:sz w:val="20"/>
        </w:rPr>
        <w:t>t</w:t>
      </w:r>
      <w:r>
        <w:rPr>
          <w:rFonts w:ascii="Trebuchet MS"/>
          <w:i/>
          <w:color w:val="37617A"/>
          <w:spacing w:val="-13"/>
          <w:sz w:val="20"/>
        </w:rPr>
        <w:t> </w:t>
      </w:r>
      <w:r>
        <w:rPr>
          <w:rFonts w:ascii="Trebuchet MS"/>
          <w:i/>
          <w:color w:val="37617A"/>
          <w:spacing w:val="-3"/>
          <w:w w:val="103"/>
          <w:sz w:val="20"/>
        </w:rPr>
        <w:t>w</w:t>
      </w:r>
      <w:r>
        <w:rPr>
          <w:rFonts w:ascii="Trebuchet MS"/>
          <w:i/>
          <w:color w:val="37617A"/>
          <w:w w:val="115"/>
          <w:sz w:val="20"/>
        </w:rPr>
        <w:t>a</w:t>
      </w:r>
      <w:r>
        <w:rPr>
          <w:rFonts w:ascii="Trebuchet MS"/>
          <w:i/>
          <w:color w:val="37617A"/>
          <w:w w:val="117"/>
          <w:sz w:val="20"/>
        </w:rPr>
        <w:t>s</w:t>
      </w:r>
      <w:r>
        <w:rPr>
          <w:rFonts w:ascii="Trebuchet MS"/>
          <w:i/>
          <w:color w:val="37617A"/>
          <w:spacing w:val="-13"/>
          <w:sz w:val="20"/>
        </w:rPr>
        <w:t> </w:t>
      </w:r>
      <w:r>
        <w:rPr>
          <w:rFonts w:ascii="Trebuchet MS"/>
          <w:i/>
          <w:color w:val="37617A"/>
          <w:w w:val="73"/>
          <w:sz w:val="20"/>
        </w:rPr>
        <w:t>i</w:t>
      </w:r>
      <w:r>
        <w:rPr>
          <w:rFonts w:ascii="Trebuchet MS"/>
          <w:i/>
          <w:color w:val="37617A"/>
          <w:spacing w:val="-1"/>
          <w:w w:val="103"/>
          <w:sz w:val="20"/>
        </w:rPr>
        <w:t>n</w:t>
      </w:r>
      <w:r>
        <w:rPr>
          <w:rFonts w:ascii="Trebuchet MS"/>
          <w:i/>
          <w:color w:val="37617A"/>
          <w:spacing w:val="-1"/>
          <w:w w:val="115"/>
          <w:sz w:val="20"/>
        </w:rPr>
        <w:t>c</w:t>
      </w:r>
      <w:r>
        <w:rPr>
          <w:rFonts w:ascii="Trebuchet MS"/>
          <w:i/>
          <w:color w:val="37617A"/>
          <w:w w:val="107"/>
          <w:sz w:val="20"/>
        </w:rPr>
        <w:t>o</w:t>
      </w:r>
      <w:r>
        <w:rPr>
          <w:rFonts w:ascii="Trebuchet MS"/>
          <w:i/>
          <w:color w:val="37617A"/>
          <w:spacing w:val="-3"/>
          <w:w w:val="103"/>
          <w:sz w:val="20"/>
        </w:rPr>
        <w:t>n</w:t>
      </w:r>
      <w:r>
        <w:rPr>
          <w:rFonts w:ascii="Trebuchet MS"/>
          <w:i/>
          <w:color w:val="37617A"/>
          <w:spacing w:val="-3"/>
          <w:w w:val="103"/>
          <w:sz w:val="20"/>
        </w:rPr>
        <w:t>v</w:t>
      </w:r>
      <w:r>
        <w:rPr>
          <w:rFonts w:ascii="Trebuchet MS"/>
          <w:i/>
          <w:color w:val="37617A"/>
          <w:spacing w:val="1"/>
          <w:w w:val="100"/>
          <w:sz w:val="20"/>
        </w:rPr>
        <w:t>e</w:t>
      </w:r>
      <w:r>
        <w:rPr>
          <w:rFonts w:ascii="Trebuchet MS"/>
          <w:i/>
          <w:color w:val="37617A"/>
          <w:w w:val="103"/>
          <w:sz w:val="20"/>
        </w:rPr>
        <w:t>n</w:t>
      </w:r>
      <w:r>
        <w:rPr>
          <w:rFonts w:ascii="Trebuchet MS"/>
          <w:i/>
          <w:color w:val="37617A"/>
          <w:w w:val="73"/>
          <w:sz w:val="20"/>
        </w:rPr>
        <w:t>i</w:t>
      </w:r>
      <w:r>
        <w:rPr>
          <w:rFonts w:ascii="Trebuchet MS"/>
          <w:i/>
          <w:color w:val="37617A"/>
          <w:spacing w:val="1"/>
          <w:w w:val="100"/>
          <w:sz w:val="20"/>
        </w:rPr>
        <w:t>e</w:t>
      </w:r>
      <w:r>
        <w:rPr>
          <w:rFonts w:ascii="Trebuchet MS"/>
          <w:i/>
          <w:color w:val="37617A"/>
          <w:spacing w:val="-2"/>
          <w:w w:val="103"/>
          <w:sz w:val="20"/>
        </w:rPr>
        <w:t>n</w:t>
      </w:r>
      <w:r>
        <w:rPr>
          <w:rFonts w:ascii="Trebuchet MS"/>
          <w:i/>
          <w:color w:val="37617A"/>
          <w:spacing w:val="1"/>
          <w:w w:val="80"/>
          <w:sz w:val="20"/>
        </w:rPr>
        <w:t>t</w:t>
      </w:r>
      <w:r>
        <w:rPr>
          <w:rFonts w:ascii="Trebuchet MS"/>
          <w:i/>
          <w:color w:val="37617A"/>
          <w:w w:val="56"/>
          <w:sz w:val="20"/>
        </w:rPr>
        <w:t>,</w:t>
      </w:r>
      <w:r>
        <w:rPr>
          <w:rFonts w:ascii="Trebuchet MS"/>
          <w:i/>
          <w:color w:val="37617A"/>
          <w:w w:val="56"/>
          <w:sz w:val="20"/>
        </w:rPr>
        <w:t> </w:t>
      </w:r>
      <w:r>
        <w:rPr>
          <w:rFonts w:ascii="Trebuchet MS"/>
          <w:i/>
          <w:color w:val="37617A"/>
          <w:w w:val="107"/>
          <w:sz w:val="20"/>
        </w:rPr>
        <w:t> </w:t>
      </w:r>
      <w:r>
        <w:rPr>
          <w:rFonts w:ascii="Trebuchet MS"/>
          <w:i/>
          <w:color w:val="37617A"/>
          <w:sz w:val="20"/>
        </w:rPr>
        <w:t>but</w:t>
      </w:r>
      <w:r>
        <w:rPr>
          <w:rFonts w:ascii="Trebuchet MS"/>
          <w:i/>
          <w:color w:val="37617A"/>
          <w:spacing w:val="-13"/>
          <w:sz w:val="20"/>
        </w:rPr>
        <w:t> </w:t>
      </w:r>
      <w:r>
        <w:rPr>
          <w:rFonts w:ascii="Trebuchet MS"/>
          <w:i/>
          <w:color w:val="37617A"/>
          <w:sz w:val="20"/>
        </w:rPr>
        <w:t>I</w:t>
      </w:r>
      <w:r>
        <w:rPr>
          <w:rFonts w:ascii="Trebuchet MS"/>
          <w:i/>
          <w:color w:val="37617A"/>
          <w:spacing w:val="-13"/>
          <w:sz w:val="20"/>
        </w:rPr>
        <w:t> </w:t>
      </w:r>
      <w:r>
        <w:rPr>
          <w:rFonts w:ascii="Trebuchet MS"/>
          <w:i/>
          <w:color w:val="37617A"/>
          <w:sz w:val="20"/>
        </w:rPr>
        <w:t>did</w:t>
      </w:r>
      <w:r>
        <w:rPr>
          <w:rFonts w:ascii="Trebuchet MS"/>
          <w:i/>
          <w:color w:val="37617A"/>
          <w:spacing w:val="-13"/>
          <w:sz w:val="20"/>
        </w:rPr>
        <w:t> </w:t>
      </w:r>
      <w:r>
        <w:rPr>
          <w:rFonts w:ascii="Trebuchet MS"/>
          <w:i/>
          <w:color w:val="37617A"/>
          <w:sz w:val="20"/>
        </w:rPr>
        <w:t>serve</w:t>
      </w:r>
      <w:r>
        <w:rPr>
          <w:rFonts w:ascii="Trebuchet MS"/>
          <w:i/>
          <w:color w:val="37617A"/>
          <w:spacing w:val="-13"/>
          <w:sz w:val="20"/>
        </w:rPr>
        <w:t> </w:t>
      </w:r>
      <w:r>
        <w:rPr>
          <w:rFonts w:ascii="Trebuchet MS"/>
          <w:i/>
          <w:color w:val="37617A"/>
          <w:sz w:val="20"/>
        </w:rPr>
        <w:t>on</w:t>
      </w:r>
      <w:r>
        <w:rPr>
          <w:rFonts w:ascii="Trebuchet MS"/>
          <w:i/>
          <w:color w:val="37617A"/>
          <w:spacing w:val="-13"/>
          <w:sz w:val="20"/>
        </w:rPr>
        <w:t> </w:t>
      </w:r>
      <w:r>
        <w:rPr>
          <w:rFonts w:ascii="Trebuchet MS"/>
          <w:i/>
          <w:color w:val="37617A"/>
          <w:sz w:val="20"/>
        </w:rPr>
        <w:t>a</w:t>
      </w:r>
      <w:r>
        <w:rPr>
          <w:rFonts w:ascii="Trebuchet MS"/>
          <w:i/>
          <w:color w:val="37617A"/>
          <w:spacing w:val="-13"/>
          <w:sz w:val="20"/>
        </w:rPr>
        <w:t> </w:t>
      </w:r>
      <w:r>
        <w:rPr>
          <w:rFonts w:ascii="Trebuchet MS"/>
          <w:i/>
          <w:color w:val="37617A"/>
          <w:sz w:val="20"/>
        </w:rPr>
        <w:t>jury.</w:t>
      </w:r>
      <w:r>
        <w:rPr>
          <w:rFonts w:ascii="Trebuchet MS"/>
          <w:i/>
          <w:color w:val="37617A"/>
          <w:spacing w:val="-13"/>
          <w:sz w:val="20"/>
        </w:rPr>
        <w:t> </w:t>
      </w:r>
      <w:r>
        <w:rPr>
          <w:rFonts w:ascii="Trebuchet MS"/>
          <w:i/>
          <w:color w:val="37617A"/>
          <w:sz w:val="20"/>
        </w:rPr>
        <w:t>I</w:t>
      </w:r>
      <w:r>
        <w:rPr>
          <w:rFonts w:ascii="Trebuchet MS"/>
          <w:i/>
          <w:color w:val="37617A"/>
          <w:spacing w:val="-13"/>
          <w:sz w:val="20"/>
        </w:rPr>
        <w:t> </w:t>
      </w:r>
      <w:r>
        <w:rPr>
          <w:rFonts w:ascii="Trebuchet MS"/>
          <w:i/>
          <w:color w:val="37617A"/>
          <w:sz w:val="20"/>
        </w:rPr>
        <w:t>had</w:t>
      </w:r>
      <w:r>
        <w:rPr>
          <w:rFonts w:ascii="Trebuchet MS"/>
          <w:i/>
          <w:color w:val="37617A"/>
          <w:spacing w:val="-13"/>
          <w:sz w:val="20"/>
        </w:rPr>
        <w:t> </w:t>
      </w:r>
      <w:r>
        <w:rPr>
          <w:rFonts w:ascii="Trebuchet MS"/>
          <w:i/>
          <w:color w:val="37617A"/>
          <w:sz w:val="20"/>
        </w:rPr>
        <w:t>the</w:t>
      </w:r>
      <w:r>
        <w:rPr>
          <w:rFonts w:ascii="Trebuchet MS"/>
          <w:i/>
          <w:color w:val="37617A"/>
          <w:spacing w:val="-13"/>
          <w:sz w:val="20"/>
        </w:rPr>
        <w:t> </w:t>
      </w:r>
      <w:r>
        <w:rPr>
          <w:rFonts w:ascii="Trebuchet MS"/>
          <w:i/>
          <w:color w:val="37617A"/>
          <w:sz w:val="20"/>
        </w:rPr>
        <w:t>assistance</w:t>
      </w:r>
      <w:r>
        <w:rPr>
          <w:rFonts w:ascii="Trebuchet MS"/>
          <w:i/>
          <w:color w:val="37617A"/>
          <w:spacing w:val="-13"/>
          <w:sz w:val="20"/>
        </w:rPr>
        <w:t> </w:t>
      </w:r>
      <w:r>
        <w:rPr>
          <w:rFonts w:ascii="Trebuchet MS"/>
          <w:i/>
          <w:color w:val="37617A"/>
          <w:sz w:val="20"/>
        </w:rPr>
        <w:t>I</w:t>
      </w:r>
      <w:r>
        <w:rPr>
          <w:rFonts w:ascii="Trebuchet MS"/>
          <w:i/>
          <w:color w:val="37617A"/>
          <w:spacing w:val="-12"/>
          <w:sz w:val="20"/>
        </w:rPr>
        <w:t> </w:t>
      </w:r>
      <w:r>
        <w:rPr>
          <w:rFonts w:ascii="Trebuchet MS"/>
          <w:i/>
          <w:color w:val="37617A"/>
          <w:sz w:val="20"/>
        </w:rPr>
        <w:t>needed</w:t>
      </w:r>
      <w:r>
        <w:rPr>
          <w:rFonts w:ascii="Trebuchet MS"/>
          <w:i/>
          <w:color w:val="37617A"/>
          <w:spacing w:val="-13"/>
          <w:sz w:val="20"/>
        </w:rPr>
        <w:t> </w:t>
      </w:r>
      <w:r>
        <w:rPr>
          <w:rFonts w:ascii="Trebuchet MS"/>
          <w:i/>
          <w:color w:val="37617A"/>
          <w:sz w:val="20"/>
        </w:rPr>
        <w:t>to</w:t>
      </w:r>
      <w:r>
        <w:rPr>
          <w:rFonts w:ascii="Trebuchet MS"/>
          <w:i/>
          <w:color w:val="37617A"/>
          <w:spacing w:val="-13"/>
          <w:sz w:val="20"/>
        </w:rPr>
        <w:t> </w:t>
      </w:r>
      <w:r>
        <w:rPr>
          <w:rFonts w:ascii="Trebuchet MS"/>
          <w:i/>
          <w:color w:val="37617A"/>
          <w:sz w:val="20"/>
        </w:rPr>
        <w:t>read</w:t>
      </w:r>
      <w:r>
        <w:rPr>
          <w:rFonts w:ascii="Trebuchet MS"/>
          <w:i/>
          <w:color w:val="37617A"/>
          <w:spacing w:val="-13"/>
          <w:sz w:val="20"/>
        </w:rPr>
        <w:t> </w:t>
      </w:r>
      <w:r>
        <w:rPr>
          <w:rFonts w:ascii="Trebuchet MS"/>
          <w:i/>
          <w:color w:val="37617A"/>
          <w:sz w:val="20"/>
        </w:rPr>
        <w:t>printed</w:t>
      </w:r>
      <w:r>
        <w:rPr>
          <w:rFonts w:ascii="Trebuchet MS"/>
          <w:i/>
          <w:color w:val="37617A"/>
          <w:spacing w:val="-13"/>
          <w:sz w:val="20"/>
        </w:rPr>
        <w:t> </w:t>
      </w:r>
      <w:r>
        <w:rPr>
          <w:rFonts w:ascii="Trebuchet MS"/>
          <w:i/>
          <w:color w:val="37617A"/>
          <w:sz w:val="20"/>
        </w:rPr>
        <w:t>materials </w:t>
      </w:r>
      <w:r>
        <w:rPr>
          <w:rFonts w:ascii="Trebuchet MS"/>
          <w:i/>
          <w:color w:val="37617A"/>
          <w:spacing w:val="-1"/>
          <w:w w:val="117"/>
          <w:sz w:val="20"/>
        </w:rPr>
        <w:t>s</w:t>
      </w:r>
      <w:r>
        <w:rPr>
          <w:rFonts w:ascii="Trebuchet MS"/>
          <w:i/>
          <w:color w:val="37617A"/>
          <w:w w:val="103"/>
          <w:sz w:val="20"/>
        </w:rPr>
        <w:t>u</w:t>
      </w:r>
      <w:r>
        <w:rPr>
          <w:rFonts w:ascii="Trebuchet MS"/>
          <w:i/>
          <w:color w:val="37617A"/>
          <w:w w:val="107"/>
          <w:sz w:val="20"/>
        </w:rPr>
        <w:t>b</w:t>
      </w:r>
      <w:r>
        <w:rPr>
          <w:rFonts w:ascii="Trebuchet MS"/>
          <w:i/>
          <w:color w:val="37617A"/>
          <w:w w:val="106"/>
          <w:sz w:val="20"/>
        </w:rPr>
        <w:t>m</w:t>
      </w:r>
      <w:r>
        <w:rPr>
          <w:rFonts w:ascii="Trebuchet MS"/>
          <w:i/>
          <w:color w:val="37617A"/>
          <w:spacing w:val="-1"/>
          <w:w w:val="73"/>
          <w:sz w:val="20"/>
        </w:rPr>
        <w:t>i</w:t>
      </w:r>
      <w:r>
        <w:rPr>
          <w:rFonts w:ascii="Trebuchet MS"/>
          <w:i/>
          <w:color w:val="37617A"/>
          <w:spacing w:val="-1"/>
          <w:w w:val="80"/>
          <w:sz w:val="20"/>
        </w:rPr>
        <w:t>t</w:t>
      </w:r>
      <w:r>
        <w:rPr>
          <w:rFonts w:ascii="Trebuchet MS"/>
          <w:i/>
          <w:color w:val="37617A"/>
          <w:spacing w:val="-5"/>
          <w:w w:val="80"/>
          <w:sz w:val="20"/>
        </w:rPr>
        <w:t>t</w:t>
      </w:r>
      <w:r>
        <w:rPr>
          <w:rFonts w:ascii="Trebuchet MS"/>
          <w:i/>
          <w:color w:val="37617A"/>
          <w:w w:val="100"/>
          <w:sz w:val="20"/>
        </w:rPr>
        <w:t>e</w:t>
      </w:r>
      <w:r>
        <w:rPr>
          <w:rFonts w:ascii="Trebuchet MS"/>
          <w:i/>
          <w:color w:val="37617A"/>
          <w:w w:val="108"/>
          <w:sz w:val="20"/>
        </w:rPr>
        <w:t>d</w:t>
      </w:r>
      <w:r>
        <w:rPr>
          <w:rFonts w:ascii="Trebuchet MS"/>
          <w:i/>
          <w:color w:val="37617A"/>
          <w:spacing w:val="-13"/>
          <w:sz w:val="20"/>
        </w:rPr>
        <w:t> </w:t>
      </w:r>
      <w:r>
        <w:rPr>
          <w:rFonts w:ascii="Trebuchet MS"/>
          <w:i/>
          <w:color w:val="37617A"/>
          <w:w w:val="115"/>
          <w:sz w:val="20"/>
        </w:rPr>
        <w:t>a</w:t>
      </w:r>
      <w:r>
        <w:rPr>
          <w:rFonts w:ascii="Trebuchet MS"/>
          <w:i/>
          <w:color w:val="37617A"/>
          <w:w w:val="117"/>
          <w:sz w:val="20"/>
        </w:rPr>
        <w:t>s</w:t>
      </w:r>
      <w:r>
        <w:rPr>
          <w:rFonts w:ascii="Trebuchet MS"/>
          <w:i/>
          <w:color w:val="37617A"/>
          <w:spacing w:val="-13"/>
          <w:sz w:val="20"/>
        </w:rPr>
        <w:t> </w:t>
      </w:r>
      <w:r>
        <w:rPr>
          <w:rFonts w:ascii="Trebuchet MS"/>
          <w:i/>
          <w:color w:val="37617A"/>
          <w:spacing w:val="-3"/>
          <w:w w:val="100"/>
          <w:sz w:val="20"/>
        </w:rPr>
        <w:t>e</w:t>
      </w:r>
      <w:r>
        <w:rPr>
          <w:rFonts w:ascii="Trebuchet MS"/>
          <w:i/>
          <w:color w:val="37617A"/>
          <w:spacing w:val="-3"/>
          <w:w w:val="103"/>
          <w:sz w:val="20"/>
        </w:rPr>
        <w:t>v</w:t>
      </w:r>
      <w:r>
        <w:rPr>
          <w:rFonts w:ascii="Trebuchet MS"/>
          <w:i/>
          <w:color w:val="37617A"/>
          <w:w w:val="73"/>
          <w:sz w:val="20"/>
        </w:rPr>
        <w:t>i</w:t>
      </w:r>
      <w:r>
        <w:rPr>
          <w:rFonts w:ascii="Trebuchet MS"/>
          <w:i/>
          <w:color w:val="37617A"/>
          <w:spacing w:val="-1"/>
          <w:w w:val="108"/>
          <w:sz w:val="20"/>
        </w:rPr>
        <w:t>d</w:t>
      </w:r>
      <w:r>
        <w:rPr>
          <w:rFonts w:ascii="Trebuchet MS"/>
          <w:i/>
          <w:color w:val="37617A"/>
          <w:spacing w:val="1"/>
          <w:w w:val="100"/>
          <w:sz w:val="20"/>
        </w:rPr>
        <w:t>e</w:t>
      </w:r>
      <w:r>
        <w:rPr>
          <w:rFonts w:ascii="Trebuchet MS"/>
          <w:i/>
          <w:color w:val="37617A"/>
          <w:spacing w:val="-1"/>
          <w:w w:val="103"/>
          <w:sz w:val="20"/>
        </w:rPr>
        <w:t>n</w:t>
      </w:r>
      <w:r>
        <w:rPr>
          <w:rFonts w:ascii="Trebuchet MS"/>
          <w:i/>
          <w:color w:val="37617A"/>
          <w:spacing w:val="-1"/>
          <w:w w:val="115"/>
          <w:sz w:val="20"/>
        </w:rPr>
        <w:t>c</w:t>
      </w:r>
      <w:r>
        <w:rPr>
          <w:rFonts w:ascii="Trebuchet MS"/>
          <w:i/>
          <w:color w:val="37617A"/>
          <w:w w:val="100"/>
          <w:sz w:val="20"/>
        </w:rPr>
        <w:t>e</w:t>
      </w:r>
      <w:r>
        <w:rPr>
          <w:rFonts w:ascii="Trebuchet MS"/>
          <w:i/>
          <w:color w:val="37617A"/>
          <w:spacing w:val="-13"/>
          <w:sz w:val="20"/>
        </w:rPr>
        <w:t> </w:t>
      </w:r>
      <w:r>
        <w:rPr>
          <w:rFonts w:ascii="Trebuchet MS"/>
          <w:i/>
          <w:color w:val="37617A"/>
          <w:spacing w:val="-1"/>
          <w:w w:val="99"/>
          <w:sz w:val="20"/>
        </w:rPr>
        <w:t>a</w:t>
      </w:r>
      <w:r>
        <w:rPr>
          <w:rFonts w:ascii="Trebuchet MS"/>
          <w:i/>
          <w:color w:val="37617A"/>
          <w:w w:val="99"/>
          <w:sz w:val="20"/>
        </w:rPr>
        <w:t>t</w:t>
      </w:r>
      <w:r>
        <w:rPr>
          <w:rFonts w:ascii="Trebuchet MS"/>
          <w:i/>
          <w:color w:val="37617A"/>
          <w:spacing w:val="-13"/>
          <w:sz w:val="20"/>
        </w:rPr>
        <w:t> </w:t>
      </w:r>
      <w:r>
        <w:rPr>
          <w:rFonts w:ascii="Trebuchet MS"/>
          <w:i/>
          <w:color w:val="37617A"/>
          <w:spacing w:val="-1"/>
          <w:w w:val="80"/>
          <w:sz w:val="20"/>
        </w:rPr>
        <w:t>t</w:t>
      </w:r>
      <w:r>
        <w:rPr>
          <w:rFonts w:ascii="Trebuchet MS"/>
          <w:i/>
          <w:color w:val="37617A"/>
          <w:w w:val="101"/>
          <w:sz w:val="20"/>
        </w:rPr>
        <w:t>h</w:t>
      </w:r>
      <w:r>
        <w:rPr>
          <w:rFonts w:ascii="Trebuchet MS"/>
          <w:i/>
          <w:color w:val="37617A"/>
          <w:w w:val="100"/>
          <w:sz w:val="20"/>
        </w:rPr>
        <w:t>e</w:t>
      </w:r>
      <w:r>
        <w:rPr>
          <w:rFonts w:ascii="Trebuchet MS"/>
          <w:i/>
          <w:color w:val="37617A"/>
          <w:spacing w:val="-13"/>
          <w:sz w:val="20"/>
        </w:rPr>
        <w:t> </w:t>
      </w:r>
      <w:r>
        <w:rPr>
          <w:rFonts w:ascii="Trebuchet MS"/>
          <w:i/>
          <w:color w:val="37617A"/>
          <w:spacing w:val="-1"/>
          <w:w w:val="80"/>
          <w:sz w:val="20"/>
        </w:rPr>
        <w:t>t</w:t>
      </w:r>
      <w:r>
        <w:rPr>
          <w:rFonts w:ascii="Trebuchet MS"/>
          <w:i/>
          <w:color w:val="37617A"/>
          <w:spacing w:val="-2"/>
          <w:w w:val="84"/>
          <w:sz w:val="20"/>
        </w:rPr>
        <w:t>r</w:t>
      </w:r>
      <w:r>
        <w:rPr>
          <w:rFonts w:ascii="Trebuchet MS"/>
          <w:i/>
          <w:color w:val="37617A"/>
          <w:w w:val="73"/>
          <w:sz w:val="20"/>
        </w:rPr>
        <w:t>i</w:t>
      </w:r>
      <w:r>
        <w:rPr>
          <w:rFonts w:ascii="Trebuchet MS"/>
          <w:i/>
          <w:color w:val="37617A"/>
          <w:w w:val="115"/>
          <w:sz w:val="20"/>
        </w:rPr>
        <w:t>a</w:t>
      </w:r>
      <w:r>
        <w:rPr>
          <w:rFonts w:ascii="Trebuchet MS"/>
          <w:i/>
          <w:color w:val="37617A"/>
          <w:spacing w:val="2"/>
          <w:w w:val="87"/>
          <w:sz w:val="20"/>
        </w:rPr>
        <w:t>l</w:t>
      </w:r>
      <w:r>
        <w:rPr>
          <w:rFonts w:ascii="Trebuchet MS"/>
          <w:i/>
          <w:color w:val="37617A"/>
          <w:w w:val="54"/>
          <w:sz w:val="20"/>
        </w:rPr>
        <w:t>.</w:t>
      </w:r>
      <w:r>
        <w:rPr>
          <w:rFonts w:ascii="Trebuchet MS"/>
          <w:i/>
          <w:color w:val="37617A"/>
          <w:spacing w:val="-13"/>
          <w:sz w:val="20"/>
        </w:rPr>
        <w:t> </w:t>
      </w:r>
      <w:r>
        <w:rPr>
          <w:rFonts w:ascii="Trebuchet MS"/>
          <w:i/>
          <w:color w:val="37617A"/>
          <w:spacing w:val="-1"/>
          <w:w w:val="106"/>
          <w:sz w:val="20"/>
        </w:rPr>
        <w:t>A</w:t>
      </w:r>
      <w:r>
        <w:rPr>
          <w:rFonts w:ascii="Trebuchet MS"/>
          <w:i/>
          <w:color w:val="37617A"/>
          <w:w w:val="103"/>
          <w:sz w:val="20"/>
        </w:rPr>
        <w:t>n</w:t>
      </w:r>
      <w:r>
        <w:rPr>
          <w:rFonts w:ascii="Trebuchet MS"/>
          <w:i/>
          <w:color w:val="37617A"/>
          <w:spacing w:val="2"/>
          <w:w w:val="108"/>
          <w:sz w:val="20"/>
        </w:rPr>
        <w:t>d</w:t>
      </w:r>
      <w:r>
        <w:rPr>
          <w:rFonts w:ascii="Trebuchet MS"/>
          <w:i/>
          <w:color w:val="37617A"/>
          <w:w w:val="56"/>
          <w:sz w:val="20"/>
        </w:rPr>
        <w:t>,</w:t>
      </w:r>
      <w:r>
        <w:rPr>
          <w:rFonts w:ascii="Trebuchet MS"/>
          <w:i/>
          <w:color w:val="37617A"/>
          <w:spacing w:val="-13"/>
          <w:sz w:val="20"/>
        </w:rPr>
        <w:t> </w:t>
      </w:r>
      <w:r>
        <w:rPr>
          <w:rFonts w:ascii="Trebuchet MS"/>
          <w:i/>
          <w:color w:val="37617A"/>
          <w:w w:val="115"/>
          <w:sz w:val="20"/>
        </w:rPr>
        <w:t>a</w:t>
      </w:r>
      <w:r>
        <w:rPr>
          <w:rFonts w:ascii="Trebuchet MS"/>
          <w:i/>
          <w:color w:val="37617A"/>
          <w:w w:val="117"/>
          <w:sz w:val="20"/>
        </w:rPr>
        <w:t>s</w:t>
      </w:r>
      <w:r>
        <w:rPr>
          <w:rFonts w:ascii="Trebuchet MS"/>
          <w:i/>
          <w:color w:val="37617A"/>
          <w:spacing w:val="-13"/>
          <w:sz w:val="20"/>
        </w:rPr>
        <w:t> </w:t>
      </w:r>
      <w:r>
        <w:rPr>
          <w:rFonts w:ascii="Trebuchet MS"/>
          <w:i/>
          <w:color w:val="37617A"/>
          <w:w w:val="92"/>
          <w:sz w:val="20"/>
        </w:rPr>
        <w:t>I</w:t>
      </w:r>
      <w:r>
        <w:rPr>
          <w:rFonts w:ascii="Trebuchet MS"/>
          <w:i/>
          <w:color w:val="37617A"/>
          <w:spacing w:val="-13"/>
          <w:sz w:val="20"/>
        </w:rPr>
        <w:t> </w:t>
      </w:r>
      <w:r>
        <w:rPr>
          <w:rFonts w:ascii="Trebuchet MS"/>
          <w:i/>
          <w:color w:val="37617A"/>
          <w:spacing w:val="-3"/>
          <w:w w:val="87"/>
          <w:sz w:val="20"/>
        </w:rPr>
        <w:t>l</w:t>
      </w:r>
      <w:r>
        <w:rPr>
          <w:rFonts w:ascii="Trebuchet MS"/>
          <w:i/>
          <w:color w:val="37617A"/>
          <w:w w:val="107"/>
          <w:sz w:val="20"/>
        </w:rPr>
        <w:t>oo</w:t>
      </w:r>
      <w:r>
        <w:rPr>
          <w:rFonts w:ascii="Trebuchet MS"/>
          <w:i/>
          <w:color w:val="37617A"/>
          <w:w w:val="107"/>
          <w:sz w:val="20"/>
        </w:rPr>
        <w:t>k</w:t>
      </w:r>
      <w:r>
        <w:rPr>
          <w:rFonts w:ascii="Trebuchet MS"/>
          <w:i/>
          <w:color w:val="37617A"/>
          <w:spacing w:val="-13"/>
          <w:sz w:val="20"/>
        </w:rPr>
        <w:t> </w:t>
      </w:r>
      <w:r>
        <w:rPr>
          <w:rFonts w:ascii="Trebuchet MS"/>
          <w:i/>
          <w:color w:val="37617A"/>
          <w:w w:val="107"/>
          <w:sz w:val="20"/>
        </w:rPr>
        <w:t>b</w:t>
      </w:r>
      <w:r>
        <w:rPr>
          <w:rFonts w:ascii="Trebuchet MS"/>
          <w:i/>
          <w:color w:val="37617A"/>
          <w:spacing w:val="-1"/>
          <w:w w:val="115"/>
          <w:sz w:val="20"/>
        </w:rPr>
        <w:t>a</w:t>
      </w:r>
      <w:r>
        <w:rPr>
          <w:rFonts w:ascii="Trebuchet MS"/>
          <w:i/>
          <w:color w:val="37617A"/>
          <w:w w:val="115"/>
          <w:sz w:val="20"/>
        </w:rPr>
        <w:t>c</w:t>
      </w:r>
      <w:r>
        <w:rPr>
          <w:rFonts w:ascii="Trebuchet MS"/>
          <w:i/>
          <w:color w:val="37617A"/>
          <w:w w:val="107"/>
          <w:sz w:val="20"/>
        </w:rPr>
        <w:t>k</w:t>
      </w:r>
      <w:r>
        <w:rPr>
          <w:rFonts w:ascii="Trebuchet MS"/>
          <w:i/>
          <w:color w:val="37617A"/>
          <w:w w:val="56"/>
          <w:sz w:val="20"/>
        </w:rPr>
        <w:t>,</w:t>
      </w:r>
      <w:r>
        <w:rPr>
          <w:rFonts w:ascii="Trebuchet MS"/>
          <w:i/>
          <w:color w:val="37617A"/>
          <w:spacing w:val="-13"/>
          <w:sz w:val="20"/>
        </w:rPr>
        <w:t> </w:t>
      </w:r>
      <w:r>
        <w:rPr>
          <w:rFonts w:ascii="Trebuchet MS"/>
          <w:i/>
          <w:color w:val="37617A"/>
          <w:w w:val="92"/>
          <w:sz w:val="20"/>
        </w:rPr>
        <w:t>I</w:t>
      </w:r>
      <w:r>
        <w:rPr>
          <w:rFonts w:ascii="Trebuchet MS"/>
          <w:i/>
          <w:color w:val="37617A"/>
          <w:spacing w:val="-13"/>
          <w:sz w:val="20"/>
        </w:rPr>
        <w:t> </w:t>
      </w:r>
      <w:r>
        <w:rPr>
          <w:rFonts w:ascii="Trebuchet MS"/>
          <w:i/>
          <w:color w:val="37617A"/>
          <w:w w:val="115"/>
          <w:sz w:val="20"/>
        </w:rPr>
        <w:t>a</w:t>
      </w:r>
      <w:r>
        <w:rPr>
          <w:rFonts w:ascii="Trebuchet MS"/>
          <w:i/>
          <w:color w:val="37617A"/>
          <w:w w:val="106"/>
          <w:sz w:val="20"/>
        </w:rPr>
        <w:t>m</w:t>
      </w:r>
      <w:r>
        <w:rPr>
          <w:rFonts w:ascii="Trebuchet MS"/>
          <w:i/>
          <w:color w:val="37617A"/>
          <w:spacing w:val="-13"/>
          <w:sz w:val="20"/>
        </w:rPr>
        <w:t> </w:t>
      </w:r>
      <w:r>
        <w:rPr>
          <w:rFonts w:ascii="Trebuchet MS"/>
          <w:i/>
          <w:color w:val="37617A"/>
          <w:spacing w:val="-1"/>
          <w:w w:val="80"/>
          <w:sz w:val="20"/>
        </w:rPr>
        <w:t>t</w:t>
      </w:r>
      <w:r>
        <w:rPr>
          <w:rFonts w:ascii="Trebuchet MS"/>
          <w:i/>
          <w:color w:val="37617A"/>
          <w:spacing w:val="-2"/>
          <w:w w:val="84"/>
          <w:sz w:val="20"/>
        </w:rPr>
        <w:t>r</w:t>
      </w:r>
      <w:r>
        <w:rPr>
          <w:rFonts w:ascii="Trebuchet MS"/>
          <w:i/>
          <w:color w:val="37617A"/>
          <w:w w:val="103"/>
          <w:sz w:val="20"/>
        </w:rPr>
        <w:t>u</w:t>
      </w:r>
      <w:r>
        <w:rPr>
          <w:rFonts w:ascii="Trebuchet MS"/>
          <w:i/>
          <w:color w:val="37617A"/>
          <w:spacing w:val="-6"/>
          <w:w w:val="87"/>
          <w:sz w:val="20"/>
        </w:rPr>
        <w:t>l</w:t>
      </w:r>
      <w:r>
        <w:rPr>
          <w:rFonts w:ascii="Trebuchet MS"/>
          <w:i/>
          <w:color w:val="37617A"/>
          <w:w w:val="101"/>
          <w:sz w:val="20"/>
        </w:rPr>
        <w:t>y</w:t>
      </w:r>
      <w:r>
        <w:rPr>
          <w:rFonts w:ascii="Trebuchet MS"/>
          <w:i/>
          <w:color w:val="37617A"/>
          <w:spacing w:val="-13"/>
          <w:sz w:val="20"/>
        </w:rPr>
        <w:t> </w:t>
      </w:r>
      <w:r>
        <w:rPr>
          <w:rFonts w:ascii="Trebuchet MS"/>
          <w:i/>
          <w:color w:val="37617A"/>
          <w:w w:val="119"/>
          <w:sz w:val="20"/>
        </w:rPr>
        <w:t>g</w:t>
      </w:r>
      <w:r>
        <w:rPr>
          <w:rFonts w:ascii="Trebuchet MS"/>
          <w:i/>
          <w:color w:val="37617A"/>
          <w:spacing w:val="-3"/>
          <w:w w:val="87"/>
          <w:sz w:val="20"/>
        </w:rPr>
        <w:t>l</w:t>
      </w:r>
      <w:r>
        <w:rPr>
          <w:rFonts w:ascii="Trebuchet MS"/>
          <w:i/>
          <w:color w:val="37617A"/>
          <w:spacing w:val="-1"/>
          <w:w w:val="115"/>
          <w:sz w:val="20"/>
        </w:rPr>
        <w:t>a</w:t>
      </w:r>
      <w:r>
        <w:rPr>
          <w:rFonts w:ascii="Trebuchet MS"/>
          <w:i/>
          <w:color w:val="37617A"/>
          <w:w w:val="108"/>
          <w:sz w:val="20"/>
        </w:rPr>
        <w:t>d</w:t>
      </w:r>
      <w:r>
        <w:rPr>
          <w:rFonts w:ascii="Trebuchet MS"/>
          <w:i/>
          <w:color w:val="37617A"/>
          <w:spacing w:val="-13"/>
          <w:sz w:val="20"/>
        </w:rPr>
        <w:t> </w:t>
      </w:r>
      <w:r>
        <w:rPr>
          <w:rFonts w:ascii="Trebuchet MS"/>
          <w:i/>
          <w:color w:val="37617A"/>
          <w:spacing w:val="-1"/>
          <w:w w:val="80"/>
          <w:sz w:val="20"/>
        </w:rPr>
        <w:t>t</w:t>
      </w:r>
      <w:r>
        <w:rPr>
          <w:rFonts w:ascii="Trebuchet MS"/>
          <w:i/>
          <w:color w:val="37617A"/>
          <w:w w:val="101"/>
          <w:sz w:val="20"/>
        </w:rPr>
        <w:t>h</w:t>
      </w:r>
      <w:r>
        <w:rPr>
          <w:rFonts w:ascii="Trebuchet MS"/>
          <w:i/>
          <w:color w:val="37617A"/>
          <w:spacing w:val="-1"/>
          <w:w w:val="99"/>
          <w:sz w:val="20"/>
        </w:rPr>
        <w:t>a</w:t>
      </w:r>
      <w:r>
        <w:rPr>
          <w:rFonts w:ascii="Trebuchet MS"/>
          <w:i/>
          <w:color w:val="37617A"/>
          <w:w w:val="99"/>
          <w:sz w:val="20"/>
        </w:rPr>
        <w:t>t</w:t>
      </w:r>
      <w:r>
        <w:rPr>
          <w:rFonts w:ascii="Trebuchet MS"/>
          <w:i/>
          <w:color w:val="37617A"/>
          <w:spacing w:val="-13"/>
          <w:sz w:val="20"/>
        </w:rPr>
        <w:t> </w:t>
      </w:r>
      <w:r>
        <w:rPr>
          <w:rFonts w:ascii="Trebuchet MS"/>
          <w:i/>
          <w:color w:val="37617A"/>
          <w:w w:val="92"/>
          <w:sz w:val="20"/>
        </w:rPr>
        <w:t>I </w:t>
      </w:r>
      <w:r>
        <w:rPr>
          <w:rFonts w:ascii="Trebuchet MS"/>
          <w:i/>
          <w:color w:val="37617A"/>
          <w:w w:val="115"/>
          <w:sz w:val="20"/>
        </w:rPr>
        <w:t>c</w:t>
      </w:r>
      <w:r>
        <w:rPr>
          <w:rFonts w:ascii="Trebuchet MS"/>
          <w:i/>
          <w:color w:val="37617A"/>
          <w:spacing w:val="-1"/>
          <w:w w:val="101"/>
          <w:sz w:val="20"/>
        </w:rPr>
        <w:t>h</w:t>
      </w:r>
      <w:r>
        <w:rPr>
          <w:rFonts w:ascii="Trebuchet MS"/>
          <w:i/>
          <w:color w:val="37617A"/>
          <w:spacing w:val="-1"/>
          <w:w w:val="107"/>
          <w:sz w:val="20"/>
        </w:rPr>
        <w:t>o</w:t>
      </w:r>
      <w:r>
        <w:rPr>
          <w:rFonts w:ascii="Trebuchet MS"/>
          <w:i/>
          <w:color w:val="37617A"/>
          <w:spacing w:val="-2"/>
          <w:w w:val="117"/>
          <w:sz w:val="20"/>
        </w:rPr>
        <w:t>s</w:t>
      </w:r>
      <w:r>
        <w:rPr>
          <w:rFonts w:ascii="Trebuchet MS"/>
          <w:i/>
          <w:color w:val="37617A"/>
          <w:w w:val="100"/>
          <w:sz w:val="20"/>
        </w:rPr>
        <w:t>e</w:t>
      </w:r>
      <w:r>
        <w:rPr>
          <w:rFonts w:ascii="Trebuchet MS"/>
          <w:i/>
          <w:color w:val="37617A"/>
          <w:spacing w:val="-13"/>
          <w:sz w:val="20"/>
        </w:rPr>
        <w:t> </w:t>
      </w:r>
      <w:r>
        <w:rPr>
          <w:rFonts w:ascii="Trebuchet MS"/>
          <w:i/>
          <w:color w:val="37617A"/>
          <w:spacing w:val="-4"/>
          <w:w w:val="80"/>
          <w:sz w:val="20"/>
        </w:rPr>
        <w:t>t</w:t>
      </w:r>
      <w:r>
        <w:rPr>
          <w:rFonts w:ascii="Trebuchet MS"/>
          <w:i/>
          <w:color w:val="37617A"/>
          <w:w w:val="107"/>
          <w:sz w:val="20"/>
        </w:rPr>
        <w:t>o</w:t>
      </w:r>
      <w:r>
        <w:rPr>
          <w:rFonts w:ascii="Trebuchet MS"/>
          <w:i/>
          <w:color w:val="37617A"/>
          <w:spacing w:val="-13"/>
          <w:sz w:val="20"/>
        </w:rPr>
        <w:t> </w:t>
      </w:r>
      <w:r>
        <w:rPr>
          <w:rFonts w:ascii="Trebuchet MS"/>
          <w:i/>
          <w:color w:val="37617A"/>
          <w:spacing w:val="-2"/>
          <w:w w:val="83"/>
          <w:sz w:val="20"/>
        </w:rPr>
        <w:t>f</w:t>
      </w:r>
      <w:r>
        <w:rPr>
          <w:rFonts w:ascii="Trebuchet MS"/>
          <w:i/>
          <w:color w:val="37617A"/>
          <w:w w:val="103"/>
          <w:sz w:val="20"/>
        </w:rPr>
        <w:t>u</w:t>
      </w:r>
      <w:r>
        <w:rPr>
          <w:rFonts w:ascii="Trebuchet MS"/>
          <w:i/>
          <w:color w:val="37617A"/>
          <w:spacing w:val="-3"/>
          <w:w w:val="87"/>
          <w:sz w:val="20"/>
        </w:rPr>
        <w:t>l</w:t>
      </w:r>
      <w:r>
        <w:rPr>
          <w:rFonts w:ascii="Trebuchet MS"/>
          <w:i/>
          <w:color w:val="37617A"/>
          <w:w w:val="71"/>
          <w:sz w:val="20"/>
        </w:rPr>
        <w:t>fi</w:t>
      </w:r>
      <w:r>
        <w:rPr>
          <w:rFonts w:ascii="Trebuchet MS"/>
          <w:i/>
          <w:color w:val="37617A"/>
          <w:spacing w:val="-2"/>
          <w:w w:val="87"/>
          <w:sz w:val="20"/>
        </w:rPr>
        <w:t>l</w:t>
      </w:r>
      <w:r>
        <w:rPr>
          <w:rFonts w:ascii="Trebuchet MS"/>
          <w:i/>
          <w:color w:val="37617A"/>
          <w:w w:val="87"/>
          <w:sz w:val="20"/>
        </w:rPr>
        <w:t>l</w:t>
      </w:r>
      <w:r>
        <w:rPr>
          <w:rFonts w:ascii="Trebuchet MS"/>
          <w:i/>
          <w:color w:val="37617A"/>
          <w:spacing w:val="-13"/>
          <w:sz w:val="20"/>
        </w:rPr>
        <w:t> </w:t>
      </w:r>
      <w:r>
        <w:rPr>
          <w:rFonts w:ascii="Trebuchet MS"/>
          <w:i/>
          <w:color w:val="37617A"/>
          <w:spacing w:val="-4"/>
          <w:w w:val="106"/>
          <w:sz w:val="20"/>
        </w:rPr>
        <w:t>m</w:t>
      </w:r>
      <w:r>
        <w:rPr>
          <w:rFonts w:ascii="Trebuchet MS"/>
          <w:i/>
          <w:color w:val="37617A"/>
          <w:w w:val="101"/>
          <w:sz w:val="20"/>
        </w:rPr>
        <w:t>y</w:t>
      </w:r>
      <w:r>
        <w:rPr>
          <w:rFonts w:ascii="Trebuchet MS"/>
          <w:i/>
          <w:color w:val="37617A"/>
          <w:spacing w:val="-13"/>
          <w:sz w:val="20"/>
        </w:rPr>
        <w:t> </w:t>
      </w:r>
      <w:r>
        <w:rPr>
          <w:rFonts w:ascii="Trebuchet MS"/>
          <w:i/>
          <w:color w:val="37617A"/>
          <w:w w:val="108"/>
          <w:sz w:val="20"/>
        </w:rPr>
        <w:t>d</w:t>
      </w:r>
      <w:r>
        <w:rPr>
          <w:rFonts w:ascii="Trebuchet MS"/>
          <w:i/>
          <w:color w:val="37617A"/>
          <w:spacing w:val="-1"/>
          <w:w w:val="93"/>
          <w:sz w:val="20"/>
        </w:rPr>
        <w:t>u</w:t>
      </w:r>
      <w:r>
        <w:rPr>
          <w:rFonts w:ascii="Trebuchet MS"/>
          <w:i/>
          <w:color w:val="37617A"/>
          <w:spacing w:val="1"/>
          <w:w w:val="93"/>
          <w:sz w:val="20"/>
        </w:rPr>
        <w:t>t</w:t>
      </w:r>
      <w:r>
        <w:rPr>
          <w:rFonts w:ascii="Trebuchet MS"/>
          <w:i/>
          <w:color w:val="37617A"/>
          <w:w w:val="101"/>
          <w:sz w:val="20"/>
        </w:rPr>
        <w:t>y</w:t>
      </w:r>
      <w:r>
        <w:rPr>
          <w:rFonts w:ascii="Trebuchet MS"/>
          <w:i/>
          <w:color w:val="37617A"/>
          <w:spacing w:val="-13"/>
          <w:sz w:val="20"/>
        </w:rPr>
        <w:t> </w:t>
      </w:r>
      <w:r>
        <w:rPr>
          <w:rFonts w:ascii="Trebuchet MS"/>
          <w:i/>
          <w:color w:val="37617A"/>
          <w:w w:val="115"/>
          <w:sz w:val="20"/>
        </w:rPr>
        <w:t>a</w:t>
      </w:r>
      <w:r>
        <w:rPr>
          <w:rFonts w:ascii="Trebuchet MS"/>
          <w:i/>
          <w:color w:val="37617A"/>
          <w:w w:val="117"/>
          <w:sz w:val="20"/>
        </w:rPr>
        <w:t>s</w:t>
      </w:r>
      <w:r>
        <w:rPr>
          <w:rFonts w:ascii="Trebuchet MS"/>
          <w:i/>
          <w:color w:val="37617A"/>
          <w:spacing w:val="-13"/>
          <w:sz w:val="20"/>
        </w:rPr>
        <w:t> </w:t>
      </w:r>
      <w:r>
        <w:rPr>
          <w:rFonts w:ascii="Trebuchet MS"/>
          <w:i/>
          <w:color w:val="37617A"/>
          <w:w w:val="115"/>
          <w:sz w:val="20"/>
        </w:rPr>
        <w:t>a</w:t>
      </w:r>
      <w:r>
        <w:rPr>
          <w:rFonts w:ascii="Trebuchet MS"/>
          <w:i/>
          <w:color w:val="37617A"/>
          <w:spacing w:val="-13"/>
          <w:sz w:val="20"/>
        </w:rPr>
        <w:t> </w:t>
      </w:r>
      <w:r>
        <w:rPr>
          <w:rFonts w:ascii="Trebuchet MS"/>
          <w:i/>
          <w:color w:val="37617A"/>
          <w:w w:val="115"/>
          <w:sz w:val="20"/>
        </w:rPr>
        <w:t>c</w:t>
      </w:r>
      <w:r>
        <w:rPr>
          <w:rFonts w:ascii="Trebuchet MS"/>
          <w:i/>
          <w:color w:val="37617A"/>
          <w:spacing w:val="-1"/>
          <w:w w:val="73"/>
          <w:sz w:val="20"/>
        </w:rPr>
        <w:t>i</w:t>
      </w:r>
      <w:r>
        <w:rPr>
          <w:rFonts w:ascii="Trebuchet MS"/>
          <w:i/>
          <w:color w:val="37617A"/>
          <w:spacing w:val="-1"/>
          <w:w w:val="80"/>
          <w:sz w:val="20"/>
        </w:rPr>
        <w:t>t</w:t>
      </w:r>
      <w:r>
        <w:rPr>
          <w:rFonts w:ascii="Trebuchet MS"/>
          <w:i/>
          <w:color w:val="37617A"/>
          <w:spacing w:val="-3"/>
          <w:w w:val="73"/>
          <w:sz w:val="20"/>
        </w:rPr>
        <w:t>i</w:t>
      </w:r>
      <w:r>
        <w:rPr>
          <w:rFonts w:ascii="Trebuchet MS"/>
          <w:i/>
          <w:color w:val="37617A"/>
          <w:spacing w:val="-4"/>
          <w:w w:val="99"/>
          <w:sz w:val="20"/>
        </w:rPr>
        <w:t>z</w:t>
      </w:r>
      <w:r>
        <w:rPr>
          <w:rFonts w:ascii="Trebuchet MS"/>
          <w:i/>
          <w:color w:val="37617A"/>
          <w:spacing w:val="1"/>
          <w:w w:val="100"/>
          <w:sz w:val="20"/>
        </w:rPr>
        <w:t>e</w:t>
      </w:r>
      <w:r>
        <w:rPr>
          <w:rFonts w:ascii="Trebuchet MS"/>
          <w:i/>
          <w:color w:val="37617A"/>
          <w:spacing w:val="1"/>
          <w:w w:val="103"/>
          <w:sz w:val="20"/>
        </w:rPr>
        <w:t>n</w:t>
      </w:r>
      <w:r>
        <w:rPr>
          <w:rFonts w:ascii="Trebuchet MS"/>
          <w:i/>
          <w:color w:val="37617A"/>
          <w:w w:val="54"/>
          <w:sz w:val="20"/>
        </w:rPr>
        <w:t>.</w:t>
      </w:r>
      <w:r>
        <w:rPr>
          <w:rFonts w:ascii="Trebuchet MS"/>
          <w:i/>
          <w:color w:val="37617A"/>
          <w:spacing w:val="-13"/>
          <w:sz w:val="20"/>
        </w:rPr>
        <w:t> </w:t>
      </w:r>
      <w:r>
        <w:rPr>
          <w:rFonts w:ascii="Trebuchet MS"/>
          <w:i/>
          <w:color w:val="37617A"/>
          <w:spacing w:val="-1"/>
          <w:w w:val="99"/>
          <w:sz w:val="20"/>
        </w:rPr>
        <w:t>J</w:t>
      </w:r>
      <w:r>
        <w:rPr>
          <w:rFonts w:ascii="Trebuchet MS"/>
          <w:i/>
          <w:color w:val="37617A"/>
          <w:w w:val="103"/>
          <w:sz w:val="20"/>
        </w:rPr>
        <w:t>u</w:t>
      </w:r>
      <w:r>
        <w:rPr>
          <w:rFonts w:ascii="Trebuchet MS"/>
          <w:i/>
          <w:color w:val="37617A"/>
          <w:spacing w:val="4"/>
          <w:w w:val="84"/>
          <w:sz w:val="20"/>
        </w:rPr>
        <w:t>r</w:t>
      </w:r>
      <w:r>
        <w:rPr>
          <w:rFonts w:ascii="Trebuchet MS"/>
          <w:i/>
          <w:color w:val="37617A"/>
          <w:w w:val="101"/>
          <w:sz w:val="20"/>
        </w:rPr>
        <w:t>y</w:t>
      </w:r>
      <w:r>
        <w:rPr>
          <w:rFonts w:ascii="Trebuchet MS"/>
          <w:i/>
          <w:color w:val="37617A"/>
          <w:spacing w:val="-13"/>
          <w:sz w:val="20"/>
        </w:rPr>
        <w:t> </w:t>
      </w:r>
      <w:r>
        <w:rPr>
          <w:rFonts w:ascii="Trebuchet MS"/>
          <w:i/>
          <w:color w:val="37617A"/>
          <w:w w:val="108"/>
          <w:sz w:val="20"/>
        </w:rPr>
        <w:t>d</w:t>
      </w:r>
      <w:r>
        <w:rPr>
          <w:rFonts w:ascii="Trebuchet MS"/>
          <w:i/>
          <w:color w:val="37617A"/>
          <w:spacing w:val="-1"/>
          <w:w w:val="93"/>
          <w:sz w:val="20"/>
        </w:rPr>
        <w:t>u</w:t>
      </w:r>
      <w:r>
        <w:rPr>
          <w:rFonts w:ascii="Trebuchet MS"/>
          <w:i/>
          <w:color w:val="37617A"/>
          <w:spacing w:val="1"/>
          <w:w w:val="93"/>
          <w:sz w:val="20"/>
        </w:rPr>
        <w:t>t</w:t>
      </w:r>
      <w:r>
        <w:rPr>
          <w:rFonts w:ascii="Trebuchet MS"/>
          <w:i/>
          <w:color w:val="37617A"/>
          <w:w w:val="101"/>
          <w:sz w:val="20"/>
        </w:rPr>
        <w:t>y</w:t>
      </w:r>
      <w:r>
        <w:rPr>
          <w:rFonts w:ascii="Trebuchet MS"/>
          <w:i/>
          <w:color w:val="37617A"/>
          <w:spacing w:val="-13"/>
          <w:sz w:val="20"/>
        </w:rPr>
        <w:t> </w:t>
      </w:r>
      <w:r>
        <w:rPr>
          <w:rFonts w:ascii="Trebuchet MS"/>
          <w:i/>
          <w:color w:val="37617A"/>
          <w:spacing w:val="-3"/>
          <w:w w:val="103"/>
          <w:sz w:val="20"/>
        </w:rPr>
        <w:t>w</w:t>
      </w:r>
      <w:r>
        <w:rPr>
          <w:rFonts w:ascii="Trebuchet MS"/>
          <w:i/>
          <w:color w:val="37617A"/>
          <w:w w:val="115"/>
          <w:sz w:val="20"/>
        </w:rPr>
        <w:t>a</w:t>
      </w:r>
      <w:r>
        <w:rPr>
          <w:rFonts w:ascii="Trebuchet MS"/>
          <w:i/>
          <w:color w:val="37617A"/>
          <w:w w:val="117"/>
          <w:sz w:val="20"/>
        </w:rPr>
        <w:t>s</w:t>
      </w:r>
      <w:r>
        <w:rPr>
          <w:rFonts w:ascii="Trebuchet MS"/>
          <w:i/>
          <w:color w:val="37617A"/>
          <w:spacing w:val="-13"/>
          <w:sz w:val="20"/>
        </w:rPr>
        <w:t> </w:t>
      </w:r>
      <w:r>
        <w:rPr>
          <w:rFonts w:ascii="Trebuchet MS"/>
          <w:i/>
          <w:color w:val="37617A"/>
          <w:w w:val="100"/>
          <w:sz w:val="20"/>
        </w:rPr>
        <w:t>e</w:t>
      </w:r>
      <w:r>
        <w:rPr>
          <w:rFonts w:ascii="Trebuchet MS"/>
          <w:i/>
          <w:color w:val="37617A"/>
          <w:spacing w:val="-1"/>
          <w:w w:val="108"/>
          <w:sz w:val="20"/>
        </w:rPr>
        <w:t>d</w:t>
      </w:r>
      <w:r>
        <w:rPr>
          <w:rFonts w:ascii="Trebuchet MS"/>
          <w:i/>
          <w:color w:val="37617A"/>
          <w:spacing w:val="-1"/>
          <w:w w:val="103"/>
          <w:sz w:val="20"/>
        </w:rPr>
        <w:t>u</w:t>
      </w:r>
      <w:r>
        <w:rPr>
          <w:rFonts w:ascii="Trebuchet MS"/>
          <w:i/>
          <w:color w:val="37617A"/>
          <w:spacing w:val="-1"/>
          <w:w w:val="115"/>
          <w:sz w:val="20"/>
        </w:rPr>
        <w:t>c</w:t>
      </w:r>
      <w:r>
        <w:rPr>
          <w:rFonts w:ascii="Trebuchet MS"/>
          <w:i/>
          <w:color w:val="37617A"/>
          <w:spacing w:val="-1"/>
          <w:w w:val="99"/>
          <w:sz w:val="20"/>
        </w:rPr>
        <w:t>at</w:t>
      </w:r>
      <w:r>
        <w:rPr>
          <w:rFonts w:ascii="Trebuchet MS"/>
          <w:i/>
          <w:color w:val="37617A"/>
          <w:w w:val="73"/>
          <w:sz w:val="20"/>
        </w:rPr>
        <w:t>i</w:t>
      </w:r>
      <w:r>
        <w:rPr>
          <w:rFonts w:ascii="Trebuchet MS"/>
          <w:i/>
          <w:color w:val="37617A"/>
          <w:w w:val="107"/>
          <w:sz w:val="20"/>
        </w:rPr>
        <w:t>o</w:t>
      </w:r>
      <w:r>
        <w:rPr>
          <w:rFonts w:ascii="Trebuchet MS"/>
          <w:i/>
          <w:color w:val="37617A"/>
          <w:w w:val="103"/>
          <w:sz w:val="20"/>
        </w:rPr>
        <w:t>n</w:t>
      </w:r>
      <w:r>
        <w:rPr>
          <w:rFonts w:ascii="Trebuchet MS"/>
          <w:i/>
          <w:color w:val="37617A"/>
          <w:w w:val="115"/>
          <w:sz w:val="20"/>
        </w:rPr>
        <w:t>a</w:t>
      </w:r>
      <w:r>
        <w:rPr>
          <w:rFonts w:ascii="Trebuchet MS"/>
          <w:i/>
          <w:color w:val="37617A"/>
          <w:w w:val="87"/>
          <w:sz w:val="20"/>
        </w:rPr>
        <w:t>l</w:t>
      </w:r>
      <w:r>
        <w:rPr>
          <w:rFonts w:ascii="Trebuchet MS"/>
          <w:i/>
          <w:color w:val="37617A"/>
          <w:spacing w:val="-13"/>
          <w:sz w:val="20"/>
        </w:rPr>
        <w:t> </w:t>
      </w:r>
      <w:r>
        <w:rPr>
          <w:rFonts w:ascii="Trebuchet MS"/>
          <w:i/>
          <w:color w:val="37617A"/>
          <w:w w:val="115"/>
          <w:sz w:val="20"/>
        </w:rPr>
        <w:t>a</w:t>
      </w:r>
      <w:r>
        <w:rPr>
          <w:rFonts w:ascii="Trebuchet MS"/>
          <w:i/>
          <w:color w:val="37617A"/>
          <w:w w:val="103"/>
          <w:sz w:val="20"/>
        </w:rPr>
        <w:t>n</w:t>
      </w:r>
      <w:r>
        <w:rPr>
          <w:rFonts w:ascii="Trebuchet MS"/>
          <w:i/>
          <w:color w:val="37617A"/>
          <w:w w:val="108"/>
          <w:sz w:val="20"/>
        </w:rPr>
        <w:t>d</w:t>
      </w:r>
      <w:r>
        <w:rPr>
          <w:rFonts w:ascii="Trebuchet MS"/>
          <w:i/>
          <w:color w:val="37617A"/>
          <w:spacing w:val="-13"/>
          <w:sz w:val="20"/>
        </w:rPr>
        <w:t> </w:t>
      </w:r>
      <w:r>
        <w:rPr>
          <w:rFonts w:ascii="Trebuchet MS"/>
          <w:i/>
          <w:color w:val="37617A"/>
          <w:spacing w:val="-4"/>
          <w:w w:val="84"/>
          <w:sz w:val="20"/>
        </w:rPr>
        <w:t>r</w:t>
      </w:r>
      <w:r>
        <w:rPr>
          <w:rFonts w:ascii="Trebuchet MS"/>
          <w:i/>
          <w:color w:val="37617A"/>
          <w:spacing w:val="-3"/>
          <w:w w:val="100"/>
          <w:sz w:val="20"/>
        </w:rPr>
        <w:t>e</w:t>
      </w:r>
      <w:r>
        <w:rPr>
          <w:rFonts w:ascii="Trebuchet MS"/>
          <w:i/>
          <w:color w:val="37617A"/>
          <w:spacing w:val="-3"/>
          <w:w w:val="103"/>
          <w:sz w:val="20"/>
        </w:rPr>
        <w:t>w</w:t>
      </w:r>
      <w:r>
        <w:rPr>
          <w:rFonts w:ascii="Trebuchet MS"/>
          <w:i/>
          <w:color w:val="37617A"/>
          <w:w w:val="115"/>
          <w:sz w:val="20"/>
        </w:rPr>
        <w:t>a</w:t>
      </w:r>
      <w:r>
        <w:rPr>
          <w:rFonts w:ascii="Trebuchet MS"/>
          <w:i/>
          <w:color w:val="37617A"/>
          <w:spacing w:val="-3"/>
          <w:w w:val="84"/>
          <w:sz w:val="20"/>
        </w:rPr>
        <w:t>r</w:t>
      </w:r>
      <w:r>
        <w:rPr>
          <w:rFonts w:ascii="Trebuchet MS"/>
          <w:i/>
          <w:color w:val="37617A"/>
          <w:w w:val="108"/>
          <w:sz w:val="20"/>
        </w:rPr>
        <w:t>d</w:t>
      </w:r>
      <w:r>
        <w:rPr>
          <w:rFonts w:ascii="Trebuchet MS"/>
          <w:i/>
          <w:color w:val="37617A"/>
          <w:w w:val="73"/>
          <w:sz w:val="20"/>
        </w:rPr>
        <w:t>i</w:t>
      </w:r>
      <w:r>
        <w:rPr>
          <w:rFonts w:ascii="Trebuchet MS"/>
          <w:i/>
          <w:color w:val="37617A"/>
          <w:spacing w:val="-1"/>
          <w:w w:val="103"/>
          <w:sz w:val="20"/>
        </w:rPr>
        <w:t>n</w:t>
      </w:r>
      <w:r>
        <w:rPr>
          <w:rFonts w:ascii="Trebuchet MS"/>
          <w:i/>
          <w:color w:val="37617A"/>
          <w:spacing w:val="-2"/>
          <w:w w:val="119"/>
          <w:sz w:val="20"/>
        </w:rPr>
        <w:t>g</w:t>
      </w:r>
      <w:r>
        <w:rPr>
          <w:i/>
          <w:color w:val="37617A"/>
          <w:w w:val="106"/>
          <w:position w:val="7"/>
          <w:sz w:val="11"/>
        </w:rPr>
        <w:t>1</w:t>
      </w:r>
    </w:p>
    <w:p>
      <w:pPr>
        <w:spacing w:before="3"/>
        <w:ind w:left="206" w:right="396" w:firstLine="0"/>
        <w:jc w:val="center"/>
        <w:rPr>
          <w:rFonts w:ascii="Trebuchet MS" w:hAnsi="Trebuchet MS"/>
          <w:sz w:val="19"/>
        </w:rPr>
      </w:pPr>
      <w:r>
        <w:rPr>
          <w:rFonts w:ascii="Trebuchet MS" w:hAnsi="Trebuchet MS"/>
          <w:color w:val="37617A"/>
          <w:w w:val="105"/>
          <w:sz w:val="19"/>
        </w:rPr>
        <w:t>—Comment made by a blind juror in the United States in 1991</w:t>
      </w:r>
    </w:p>
    <w:p>
      <w:pPr>
        <w:pStyle w:val="BodyText"/>
        <w:spacing w:before="10"/>
        <w:rPr>
          <w:rFonts w:ascii="Trebuchet MS"/>
          <w:sz w:val="19"/>
        </w:rPr>
      </w:pPr>
    </w:p>
    <w:p>
      <w:pPr>
        <w:spacing w:before="0"/>
        <w:ind w:left="206" w:right="444" w:firstLine="0"/>
        <w:jc w:val="center"/>
        <w:rPr>
          <w:i/>
          <w:sz w:val="11"/>
        </w:rPr>
      </w:pPr>
      <w:r>
        <w:rPr>
          <w:rFonts w:ascii="Trebuchet MS" w:hAnsi="Trebuchet MS"/>
          <w:i/>
          <w:color w:val="37617A"/>
          <w:sz w:val="20"/>
        </w:rPr>
        <w:t>If they can see that I can do it … Then they know that they can do it, too. </w:t>
      </w:r>
      <w:r>
        <w:rPr>
          <w:i/>
          <w:color w:val="37617A"/>
          <w:position w:val="7"/>
          <w:sz w:val="11"/>
        </w:rPr>
        <w:t>2</w:t>
      </w:r>
    </w:p>
    <w:p>
      <w:pPr>
        <w:spacing w:before="17"/>
        <w:ind w:left="206" w:right="443" w:firstLine="0"/>
        <w:jc w:val="center"/>
        <w:rPr>
          <w:rFonts w:ascii="Trebuchet MS" w:hAnsi="Trebuchet MS"/>
          <w:sz w:val="19"/>
        </w:rPr>
      </w:pPr>
      <w:r>
        <w:rPr>
          <w:rFonts w:ascii="Trebuchet MS" w:hAnsi="Trebuchet MS"/>
          <w:color w:val="37617A"/>
          <w:w w:val="105"/>
          <w:sz w:val="19"/>
        </w:rPr>
        <w:t>—Comment by a deaf juror in the United States in 2015</w:t>
      </w:r>
    </w:p>
    <w:p>
      <w:pPr>
        <w:pStyle w:val="BodyText"/>
        <w:spacing w:before="3"/>
        <w:rPr>
          <w:rFonts w:ascii="Trebuchet MS"/>
          <w:sz w:val="10"/>
        </w:rPr>
      </w:pPr>
      <w:r>
        <w:rPr/>
        <w:pict>
          <v:line style="position:absolute;mso-position-horizontal-relative:page;mso-position-vertical-relative:paragraph;z-index:5648;mso-wrap-distance-left:0;mso-wrap-distance-right:0" from="79.370102pt,8.155465pt" to="515.905102pt,8.155465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67"/>
        </w:numPr>
        <w:tabs>
          <w:tab w:pos="2157" w:val="left" w:leader="none"/>
          <w:tab w:pos="2158" w:val="left" w:leader="none"/>
        </w:tabs>
        <w:spacing w:line="206" w:lineRule="auto" w:before="146" w:after="0"/>
        <w:ind w:left="2157" w:right="1531" w:hanging="396"/>
        <w:jc w:val="left"/>
        <w:rPr>
          <w:sz w:val="20"/>
        </w:rPr>
      </w:pPr>
      <w:r>
        <w:rPr>
          <w:sz w:val="20"/>
        </w:rPr>
        <w:t>Other</w:t>
      </w:r>
      <w:r>
        <w:rPr>
          <w:spacing w:val="-12"/>
          <w:sz w:val="20"/>
        </w:rPr>
        <w:t> </w:t>
      </w:r>
      <w:r>
        <w:rPr>
          <w:sz w:val="20"/>
        </w:rPr>
        <w:t>jurisdictions</w:t>
      </w:r>
      <w:r>
        <w:rPr>
          <w:spacing w:val="-11"/>
          <w:sz w:val="20"/>
        </w:rPr>
        <w:t> </w:t>
      </w:r>
      <w:r>
        <w:rPr>
          <w:spacing w:val="-4"/>
          <w:sz w:val="20"/>
        </w:rPr>
        <w:t>have</w:t>
      </w:r>
      <w:r>
        <w:rPr>
          <w:spacing w:val="-12"/>
          <w:sz w:val="20"/>
        </w:rPr>
        <w:t> </w:t>
      </w:r>
      <w:r>
        <w:rPr>
          <w:sz w:val="20"/>
        </w:rPr>
        <w:t>already</w:t>
      </w:r>
      <w:r>
        <w:rPr>
          <w:spacing w:val="-11"/>
          <w:sz w:val="20"/>
        </w:rPr>
        <w:t> </w:t>
      </w:r>
      <w:r>
        <w:rPr>
          <w:spacing w:val="-3"/>
          <w:sz w:val="20"/>
        </w:rPr>
        <w:t>removed</w:t>
      </w:r>
      <w:r>
        <w:rPr>
          <w:spacing w:val="-11"/>
          <w:sz w:val="20"/>
        </w:rPr>
        <w:t> </w:t>
      </w:r>
      <w:r>
        <w:rPr>
          <w:sz w:val="20"/>
        </w:rPr>
        <w:t>barriers</w:t>
      </w:r>
      <w:r>
        <w:rPr>
          <w:spacing w:val="-12"/>
          <w:sz w:val="20"/>
        </w:rPr>
        <w:t> </w:t>
      </w:r>
      <w:r>
        <w:rPr>
          <w:sz w:val="20"/>
        </w:rPr>
        <w:t>to</w:t>
      </w:r>
      <w:r>
        <w:rPr>
          <w:spacing w:val="-11"/>
          <w:sz w:val="20"/>
        </w:rPr>
        <w:t> </w:t>
      </w:r>
      <w:r>
        <w:rPr>
          <w:sz w:val="20"/>
        </w:rPr>
        <w:t>participation</w:t>
      </w:r>
      <w:r>
        <w:rPr>
          <w:spacing w:val="-11"/>
          <w:sz w:val="20"/>
        </w:rPr>
        <w:t> </w:t>
      </w:r>
      <w:r>
        <w:rPr>
          <w:sz w:val="20"/>
        </w:rPr>
        <w:t>for</w:t>
      </w:r>
      <w:r>
        <w:rPr>
          <w:spacing w:val="-12"/>
          <w:sz w:val="20"/>
        </w:rPr>
        <w:t> </w:t>
      </w:r>
      <w:r>
        <w:rPr>
          <w:sz w:val="20"/>
        </w:rPr>
        <w:t>jurors</w:t>
      </w:r>
      <w:r>
        <w:rPr>
          <w:spacing w:val="-11"/>
          <w:sz w:val="20"/>
        </w:rPr>
        <w:t> </w:t>
      </w:r>
      <w:r>
        <w:rPr>
          <w:spacing w:val="-3"/>
          <w:sz w:val="20"/>
        </w:rPr>
        <w:t>from </w:t>
      </w:r>
      <w:r>
        <w:rPr>
          <w:sz w:val="20"/>
        </w:rPr>
        <w:t>the subject groups while upholding the right to a fair trial and maintaining the efficiency of the jury trial</w:t>
      </w:r>
      <w:r>
        <w:rPr>
          <w:spacing w:val="-24"/>
          <w:sz w:val="20"/>
        </w:rPr>
        <w:t> </w:t>
      </w:r>
      <w:r>
        <w:rPr>
          <w:sz w:val="20"/>
        </w:rPr>
        <w:t>system.</w:t>
      </w:r>
    </w:p>
    <w:p>
      <w:pPr>
        <w:pStyle w:val="ListParagraph"/>
        <w:numPr>
          <w:ilvl w:val="0"/>
          <w:numId w:val="67"/>
        </w:numPr>
        <w:tabs>
          <w:tab w:pos="2157" w:val="left" w:leader="none"/>
          <w:tab w:pos="2158" w:val="left" w:leader="none"/>
        </w:tabs>
        <w:spacing w:line="259" w:lineRule="exact" w:before="57" w:after="0"/>
        <w:ind w:left="2157" w:right="0" w:hanging="396"/>
        <w:jc w:val="left"/>
        <w:rPr>
          <w:sz w:val="20"/>
        </w:rPr>
      </w:pPr>
      <w:r>
        <w:rPr>
          <w:sz w:val="20"/>
        </w:rPr>
        <w:t>People</w:t>
      </w:r>
      <w:r>
        <w:rPr>
          <w:spacing w:val="-6"/>
          <w:sz w:val="20"/>
        </w:rPr>
        <w:t> </w:t>
      </w:r>
      <w:r>
        <w:rPr>
          <w:sz w:val="20"/>
        </w:rPr>
        <w:t>in</w:t>
      </w:r>
      <w:r>
        <w:rPr>
          <w:spacing w:val="-5"/>
          <w:sz w:val="20"/>
        </w:rPr>
        <w:t> </w:t>
      </w:r>
      <w:r>
        <w:rPr>
          <w:sz w:val="20"/>
        </w:rPr>
        <w:t>the</w:t>
      </w:r>
      <w:r>
        <w:rPr>
          <w:spacing w:val="-5"/>
          <w:sz w:val="20"/>
        </w:rPr>
        <w:t> </w:t>
      </w:r>
      <w:r>
        <w:rPr>
          <w:sz w:val="20"/>
        </w:rPr>
        <w:t>subject</w:t>
      </w:r>
      <w:r>
        <w:rPr>
          <w:spacing w:val="-5"/>
          <w:sz w:val="20"/>
        </w:rPr>
        <w:t> </w:t>
      </w:r>
      <w:r>
        <w:rPr>
          <w:sz w:val="20"/>
        </w:rPr>
        <w:t>groups</w:t>
      </w:r>
      <w:r>
        <w:rPr>
          <w:spacing w:val="-5"/>
          <w:sz w:val="20"/>
        </w:rPr>
        <w:t> </w:t>
      </w:r>
      <w:r>
        <w:rPr>
          <w:spacing w:val="-4"/>
          <w:sz w:val="20"/>
        </w:rPr>
        <w:t>have</w:t>
      </w:r>
      <w:r>
        <w:rPr>
          <w:spacing w:val="-5"/>
          <w:sz w:val="20"/>
        </w:rPr>
        <w:t> </w:t>
      </w:r>
      <w:r>
        <w:rPr>
          <w:spacing w:val="-3"/>
          <w:sz w:val="20"/>
        </w:rPr>
        <w:t>successfully</w:t>
      </w:r>
      <w:r>
        <w:rPr>
          <w:spacing w:val="-5"/>
          <w:sz w:val="20"/>
        </w:rPr>
        <w:t> </w:t>
      </w:r>
      <w:r>
        <w:rPr>
          <w:sz w:val="20"/>
        </w:rPr>
        <w:t>served</w:t>
      </w:r>
      <w:r>
        <w:rPr>
          <w:spacing w:val="-5"/>
          <w:sz w:val="20"/>
        </w:rPr>
        <w:t> </w:t>
      </w:r>
      <w:r>
        <w:rPr>
          <w:sz w:val="20"/>
        </w:rPr>
        <w:t>on</w:t>
      </w:r>
      <w:r>
        <w:rPr>
          <w:spacing w:val="-5"/>
          <w:sz w:val="20"/>
        </w:rPr>
        <w:t> </w:t>
      </w:r>
      <w:r>
        <w:rPr>
          <w:sz w:val="20"/>
        </w:rPr>
        <w:t>juries</w:t>
      </w:r>
      <w:r>
        <w:rPr>
          <w:spacing w:val="-5"/>
          <w:sz w:val="20"/>
        </w:rPr>
        <w:t> </w:t>
      </w:r>
      <w:r>
        <w:rPr>
          <w:spacing w:val="-3"/>
          <w:sz w:val="20"/>
        </w:rPr>
        <w:t>overseas</w:t>
      </w:r>
      <w:r>
        <w:rPr>
          <w:spacing w:val="-5"/>
          <w:sz w:val="20"/>
        </w:rPr>
        <w:t> </w:t>
      </w:r>
      <w:r>
        <w:rPr>
          <w:sz w:val="20"/>
        </w:rPr>
        <w:t>for</w:t>
      </w:r>
      <w:r>
        <w:rPr>
          <w:spacing w:val="-5"/>
          <w:sz w:val="20"/>
        </w:rPr>
        <w:t> </w:t>
      </w:r>
      <w:r>
        <w:rPr>
          <w:sz w:val="20"/>
        </w:rPr>
        <w:t>some</w:t>
      </w:r>
    </w:p>
    <w:p>
      <w:pPr>
        <w:pStyle w:val="BodyText"/>
        <w:spacing w:line="259" w:lineRule="exact"/>
        <w:ind w:left="2157"/>
      </w:pPr>
      <w:r>
        <w:rPr/>
        <w:t>time. This happens flexibly and without controversy.</w:t>
      </w:r>
    </w:p>
    <w:p>
      <w:pPr>
        <w:pStyle w:val="ListParagraph"/>
        <w:numPr>
          <w:ilvl w:val="0"/>
          <w:numId w:val="67"/>
        </w:numPr>
        <w:tabs>
          <w:tab w:pos="2157" w:val="left" w:leader="none"/>
          <w:tab w:pos="2158" w:val="left" w:leader="none"/>
        </w:tabs>
        <w:spacing w:line="206" w:lineRule="auto" w:before="79" w:after="0"/>
        <w:ind w:left="2157" w:right="1796" w:hanging="396"/>
        <w:jc w:val="left"/>
        <w:rPr>
          <w:sz w:val="20"/>
        </w:rPr>
      </w:pPr>
      <w:r>
        <w:rPr>
          <w:sz w:val="20"/>
        </w:rPr>
        <w:t>Recent</w:t>
      </w:r>
      <w:r>
        <w:rPr>
          <w:spacing w:val="-8"/>
          <w:sz w:val="20"/>
        </w:rPr>
        <w:t> </w:t>
      </w:r>
      <w:r>
        <w:rPr>
          <w:spacing w:val="-3"/>
          <w:sz w:val="20"/>
        </w:rPr>
        <w:t>reforms</w:t>
      </w:r>
      <w:r>
        <w:rPr>
          <w:spacing w:val="-8"/>
          <w:sz w:val="20"/>
        </w:rPr>
        <w:t> </w:t>
      </w:r>
      <w:r>
        <w:rPr>
          <w:sz w:val="20"/>
        </w:rPr>
        <w:t>in</w:t>
      </w:r>
      <w:r>
        <w:rPr>
          <w:spacing w:val="-7"/>
          <w:sz w:val="20"/>
        </w:rPr>
        <w:t> </w:t>
      </w:r>
      <w:r>
        <w:rPr>
          <w:sz w:val="20"/>
        </w:rPr>
        <w:t>the</w:t>
      </w:r>
      <w:r>
        <w:rPr>
          <w:spacing w:val="-8"/>
          <w:sz w:val="20"/>
        </w:rPr>
        <w:t> </w:t>
      </w:r>
      <w:r>
        <w:rPr>
          <w:sz w:val="20"/>
        </w:rPr>
        <w:t>Australian</w:t>
      </w:r>
      <w:r>
        <w:rPr>
          <w:spacing w:val="-8"/>
          <w:sz w:val="20"/>
        </w:rPr>
        <w:t> </w:t>
      </w:r>
      <w:r>
        <w:rPr>
          <w:sz w:val="20"/>
        </w:rPr>
        <w:t>Capital</w:t>
      </w:r>
      <w:r>
        <w:rPr>
          <w:spacing w:val="-7"/>
          <w:sz w:val="20"/>
        </w:rPr>
        <w:t> </w:t>
      </w:r>
      <w:r>
        <w:rPr>
          <w:spacing w:val="-3"/>
          <w:sz w:val="20"/>
        </w:rPr>
        <w:t>Territory</w:t>
      </w:r>
      <w:r>
        <w:rPr>
          <w:spacing w:val="-8"/>
          <w:sz w:val="20"/>
        </w:rPr>
        <w:t> </w:t>
      </w:r>
      <w:r>
        <w:rPr>
          <w:sz w:val="20"/>
        </w:rPr>
        <w:t>and</w:t>
      </w:r>
      <w:r>
        <w:rPr>
          <w:spacing w:val="-7"/>
          <w:sz w:val="20"/>
        </w:rPr>
        <w:t> </w:t>
      </w:r>
      <w:r>
        <w:rPr>
          <w:sz w:val="20"/>
        </w:rPr>
        <w:t>practice</w:t>
      </w:r>
      <w:r>
        <w:rPr>
          <w:spacing w:val="-8"/>
          <w:sz w:val="20"/>
        </w:rPr>
        <w:t> </w:t>
      </w:r>
      <w:r>
        <w:rPr>
          <w:spacing w:val="-3"/>
          <w:sz w:val="20"/>
        </w:rPr>
        <w:t>overseas</w:t>
      </w:r>
      <w:r>
        <w:rPr>
          <w:spacing w:val="-8"/>
          <w:sz w:val="20"/>
        </w:rPr>
        <w:t> </w:t>
      </w:r>
      <w:r>
        <w:rPr>
          <w:spacing w:val="-4"/>
          <w:sz w:val="20"/>
        </w:rPr>
        <w:t>have </w:t>
      </w:r>
      <w:r>
        <w:rPr>
          <w:spacing w:val="-3"/>
          <w:sz w:val="20"/>
        </w:rPr>
        <w:t>provided valuable </w:t>
      </w:r>
      <w:r>
        <w:rPr>
          <w:sz w:val="20"/>
        </w:rPr>
        <w:t>guidance in </w:t>
      </w:r>
      <w:r>
        <w:rPr>
          <w:spacing w:val="-3"/>
          <w:sz w:val="20"/>
        </w:rPr>
        <w:t>developing </w:t>
      </w:r>
      <w:r>
        <w:rPr>
          <w:sz w:val="20"/>
        </w:rPr>
        <w:t>our</w:t>
      </w:r>
      <w:r>
        <w:rPr>
          <w:spacing w:val="-22"/>
          <w:sz w:val="20"/>
        </w:rPr>
        <w:t> </w:t>
      </w:r>
      <w:r>
        <w:rPr>
          <w:sz w:val="20"/>
        </w:rPr>
        <w:t>recommendations.</w:t>
      </w:r>
    </w:p>
    <w:p>
      <w:pPr>
        <w:spacing w:before="193"/>
        <w:ind w:left="967" w:right="0" w:firstLine="0"/>
        <w:jc w:val="left"/>
        <w:rPr>
          <w:rFonts w:ascii="Raleway ExtraBold"/>
          <w:b/>
          <w:sz w:val="28"/>
        </w:rPr>
      </w:pPr>
      <w:r>
        <w:rPr>
          <w:rFonts w:ascii="Raleway ExtraBold"/>
          <w:b/>
          <w:color w:val="37617A"/>
          <w:sz w:val="28"/>
        </w:rPr>
        <w:t>Changes to jury selection in Australia</w:t>
      </w:r>
    </w:p>
    <w:p>
      <w:pPr>
        <w:spacing w:before="185"/>
        <w:ind w:left="967" w:right="0" w:firstLine="0"/>
        <w:jc w:val="left"/>
        <w:rPr>
          <w:b/>
          <w:sz w:val="24"/>
        </w:rPr>
      </w:pPr>
      <w:r>
        <w:rPr>
          <w:b/>
          <w:sz w:val="24"/>
        </w:rPr>
        <w:t>Reform in the Australian Capital Territory</w:t>
      </w:r>
    </w:p>
    <w:p>
      <w:pPr>
        <w:pStyle w:val="ListParagraph"/>
        <w:numPr>
          <w:ilvl w:val="1"/>
          <w:numId w:val="12"/>
        </w:numPr>
        <w:tabs>
          <w:tab w:pos="1761" w:val="left" w:leader="none"/>
          <w:tab w:pos="1762" w:val="left" w:leader="none"/>
        </w:tabs>
        <w:spacing w:line="206" w:lineRule="auto" w:before="127" w:after="0"/>
        <w:ind w:left="1761" w:right="1293" w:hanging="794"/>
        <w:jc w:val="left"/>
        <w:rPr>
          <w:sz w:val="20"/>
        </w:rPr>
      </w:pPr>
      <w:r>
        <w:rPr>
          <w:sz w:val="20"/>
        </w:rPr>
        <w:t>In 2018, the Australian Capital </w:t>
      </w:r>
      <w:r>
        <w:rPr>
          <w:spacing w:val="-3"/>
          <w:sz w:val="20"/>
        </w:rPr>
        <w:t>Territory </w:t>
      </w:r>
      <w:r>
        <w:rPr>
          <w:sz w:val="20"/>
        </w:rPr>
        <w:t>(ACT) became the first jurisdiction in Australia to amend its </w:t>
      </w:r>
      <w:r>
        <w:rPr>
          <w:spacing w:val="-3"/>
          <w:sz w:val="20"/>
        </w:rPr>
        <w:t>laws </w:t>
      </w:r>
      <w:r>
        <w:rPr>
          <w:sz w:val="20"/>
        </w:rPr>
        <w:t>to </w:t>
      </w:r>
      <w:r>
        <w:rPr>
          <w:spacing w:val="-3"/>
          <w:sz w:val="20"/>
        </w:rPr>
        <w:t>require </w:t>
      </w:r>
      <w:r>
        <w:rPr>
          <w:sz w:val="20"/>
        </w:rPr>
        <w:t>consideration of </w:t>
      </w:r>
      <w:r>
        <w:rPr>
          <w:spacing w:val="-3"/>
          <w:sz w:val="20"/>
        </w:rPr>
        <w:t>‘reasonable </w:t>
      </w:r>
      <w:r>
        <w:rPr>
          <w:sz w:val="20"/>
        </w:rPr>
        <w:t>supports’ and to limit the application</w:t>
      </w:r>
      <w:r>
        <w:rPr>
          <w:spacing w:val="-10"/>
          <w:sz w:val="20"/>
        </w:rPr>
        <w:t> </w:t>
      </w:r>
      <w:r>
        <w:rPr>
          <w:sz w:val="20"/>
        </w:rPr>
        <w:t>of</w:t>
      </w:r>
      <w:r>
        <w:rPr>
          <w:spacing w:val="-9"/>
          <w:sz w:val="20"/>
        </w:rPr>
        <w:t> </w:t>
      </w:r>
      <w:r>
        <w:rPr>
          <w:sz w:val="20"/>
        </w:rPr>
        <w:t>the</w:t>
      </w:r>
      <w:r>
        <w:rPr>
          <w:spacing w:val="-9"/>
          <w:sz w:val="20"/>
        </w:rPr>
        <w:t> </w:t>
      </w:r>
      <w:r>
        <w:rPr>
          <w:sz w:val="20"/>
        </w:rPr>
        <w:t>13th</w:t>
      </w:r>
      <w:r>
        <w:rPr>
          <w:spacing w:val="-10"/>
          <w:sz w:val="20"/>
        </w:rPr>
        <w:t> </w:t>
      </w:r>
      <w:r>
        <w:rPr>
          <w:sz w:val="20"/>
        </w:rPr>
        <w:t>person</w:t>
      </w:r>
      <w:r>
        <w:rPr>
          <w:spacing w:val="-9"/>
          <w:sz w:val="20"/>
        </w:rPr>
        <w:t> </w:t>
      </w:r>
      <w:r>
        <w:rPr>
          <w:sz w:val="20"/>
        </w:rPr>
        <w:t>rule.</w:t>
      </w:r>
      <w:r>
        <w:rPr>
          <w:spacing w:val="-9"/>
          <w:sz w:val="20"/>
        </w:rPr>
        <w:t> </w:t>
      </w:r>
      <w:r>
        <w:rPr>
          <w:sz w:val="20"/>
        </w:rPr>
        <w:t>The</w:t>
      </w:r>
      <w:r>
        <w:rPr>
          <w:spacing w:val="-9"/>
          <w:sz w:val="20"/>
        </w:rPr>
        <w:t> </w:t>
      </w:r>
      <w:r>
        <w:rPr>
          <w:sz w:val="20"/>
        </w:rPr>
        <w:t>changes</w:t>
      </w:r>
      <w:r>
        <w:rPr>
          <w:spacing w:val="-10"/>
          <w:sz w:val="20"/>
        </w:rPr>
        <w:t> </w:t>
      </w:r>
      <w:r>
        <w:rPr>
          <w:sz w:val="20"/>
        </w:rPr>
        <w:t>to</w:t>
      </w:r>
      <w:r>
        <w:rPr>
          <w:spacing w:val="-9"/>
          <w:sz w:val="20"/>
        </w:rPr>
        <w:t> </w:t>
      </w:r>
      <w:r>
        <w:rPr>
          <w:sz w:val="20"/>
        </w:rPr>
        <w:t>the</w:t>
      </w:r>
      <w:r>
        <w:rPr>
          <w:spacing w:val="-9"/>
          <w:sz w:val="20"/>
        </w:rPr>
        <w:t> </w:t>
      </w:r>
      <w:r>
        <w:rPr>
          <w:sz w:val="20"/>
        </w:rPr>
        <w:t>law</w:t>
      </w:r>
      <w:r>
        <w:rPr>
          <w:spacing w:val="-10"/>
          <w:sz w:val="20"/>
        </w:rPr>
        <w:t> </w:t>
      </w:r>
      <w:r>
        <w:rPr>
          <w:sz w:val="20"/>
        </w:rPr>
        <w:t>in</w:t>
      </w:r>
      <w:r>
        <w:rPr>
          <w:spacing w:val="-9"/>
          <w:sz w:val="20"/>
        </w:rPr>
        <w:t> </w:t>
      </w:r>
      <w:r>
        <w:rPr>
          <w:sz w:val="20"/>
        </w:rPr>
        <w:t>the</w:t>
      </w:r>
      <w:r>
        <w:rPr>
          <w:spacing w:val="-9"/>
          <w:sz w:val="20"/>
        </w:rPr>
        <w:t> </w:t>
      </w:r>
      <w:r>
        <w:rPr>
          <w:spacing w:val="-4"/>
          <w:sz w:val="20"/>
        </w:rPr>
        <w:t>ACT</w:t>
      </w:r>
      <w:r>
        <w:rPr>
          <w:spacing w:val="-9"/>
          <w:sz w:val="20"/>
        </w:rPr>
        <w:t> </w:t>
      </w:r>
      <w:r>
        <w:rPr>
          <w:spacing w:val="-3"/>
          <w:sz w:val="20"/>
        </w:rPr>
        <w:t>are</w:t>
      </w:r>
      <w:r>
        <w:rPr>
          <w:spacing w:val="-10"/>
          <w:sz w:val="20"/>
        </w:rPr>
        <w:t> </w:t>
      </w:r>
      <w:r>
        <w:rPr>
          <w:sz w:val="20"/>
        </w:rPr>
        <w:t>broader</w:t>
      </w:r>
      <w:r>
        <w:rPr>
          <w:spacing w:val="-9"/>
          <w:sz w:val="20"/>
        </w:rPr>
        <w:t> </w:t>
      </w:r>
      <w:r>
        <w:rPr>
          <w:sz w:val="20"/>
        </w:rPr>
        <w:t>than those contemplated in this report because they </w:t>
      </w:r>
      <w:r>
        <w:rPr>
          <w:spacing w:val="-3"/>
          <w:sz w:val="20"/>
        </w:rPr>
        <w:t>apply </w:t>
      </w:r>
      <w:r>
        <w:rPr>
          <w:sz w:val="20"/>
        </w:rPr>
        <w:t>to people </w:t>
      </w:r>
      <w:r>
        <w:rPr>
          <w:spacing w:val="-3"/>
          <w:sz w:val="20"/>
        </w:rPr>
        <w:t>beyond </w:t>
      </w:r>
      <w:r>
        <w:rPr>
          <w:sz w:val="20"/>
        </w:rPr>
        <w:t>the subject groups.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1"/>
        </w:rPr>
      </w:pPr>
      <w:r>
        <w:rPr/>
        <w:pict>
          <v:line style="position:absolute;mso-position-horizontal-relative:page;mso-position-vertical-relative:paragraph;z-index:5672;mso-wrap-distance-left:0;mso-wrap-distance-right:0" from="79.370102pt,10.223144pt" to="515.905102pt,10.223144pt" stroked="true" strokeweight="1pt" strokecolor="#b6bdc8">
            <v:stroke dashstyle="solid"/>
            <w10:wrap type="topAndBottom"/>
          </v:line>
        </w:pict>
      </w:r>
    </w:p>
    <w:p>
      <w:pPr>
        <w:pStyle w:val="ListParagraph"/>
        <w:numPr>
          <w:ilvl w:val="0"/>
          <w:numId w:val="68"/>
        </w:numPr>
        <w:tabs>
          <w:tab w:pos="1760" w:val="left" w:leader="none"/>
          <w:tab w:pos="1762" w:val="left" w:leader="none"/>
        </w:tabs>
        <w:spacing w:line="170" w:lineRule="exact" w:before="91" w:after="0"/>
        <w:ind w:left="1761" w:right="0" w:hanging="794"/>
        <w:jc w:val="left"/>
        <w:rPr>
          <w:i/>
          <w:sz w:val="13"/>
        </w:rPr>
      </w:pPr>
      <w:r>
        <w:rPr>
          <w:sz w:val="13"/>
        </w:rPr>
        <w:t>Comment by a blind juror in the United States: Gwen </w:t>
      </w:r>
      <w:r>
        <w:rPr>
          <w:spacing w:val="2"/>
          <w:sz w:val="13"/>
        </w:rPr>
        <w:t>Nelson, ‘My Experience </w:t>
      </w:r>
      <w:r>
        <w:rPr>
          <w:sz w:val="13"/>
        </w:rPr>
        <w:t>as a Juror’, </w:t>
      </w:r>
      <w:r>
        <w:rPr>
          <w:i/>
          <w:sz w:val="13"/>
        </w:rPr>
        <w:t>National Federation of the Blind</w:t>
      </w:r>
      <w:r>
        <w:rPr>
          <w:i/>
          <w:spacing w:val="25"/>
          <w:sz w:val="13"/>
        </w:rPr>
        <w:t> </w:t>
      </w:r>
      <w:r>
        <w:rPr>
          <w:i/>
          <w:sz w:val="13"/>
        </w:rPr>
        <w:t>(US)</w:t>
      </w:r>
    </w:p>
    <w:p>
      <w:pPr>
        <w:spacing w:line="160" w:lineRule="exact" w:before="0"/>
        <w:ind w:left="1761" w:right="0" w:firstLine="0"/>
        <w:jc w:val="left"/>
        <w:rPr>
          <w:sz w:val="13"/>
        </w:rPr>
      </w:pPr>
      <w:r>
        <w:rPr>
          <w:sz w:val="13"/>
        </w:rPr>
        <w:t>(Web Page, March 1991) &lt;</w:t>
      </w:r>
      <w:hyperlink r:id="rId150">
        <w:r>
          <w:rPr>
            <w:sz w:val="13"/>
          </w:rPr>
          <w:t>https://nfb.org/sites/www.nfb.org/files/images/nfb/publications/bm/bm91/brlm9103.htm</w:t>
        </w:r>
      </w:hyperlink>
      <w:r>
        <w:rPr>
          <w:sz w:val="13"/>
        </w:rPr>
        <w:t>&gt;.</w:t>
      </w:r>
    </w:p>
    <w:p>
      <w:pPr>
        <w:pStyle w:val="ListParagraph"/>
        <w:numPr>
          <w:ilvl w:val="0"/>
          <w:numId w:val="68"/>
        </w:numPr>
        <w:tabs>
          <w:tab w:pos="1760" w:val="left" w:leader="none"/>
          <w:tab w:pos="1762" w:val="left" w:leader="none"/>
        </w:tabs>
        <w:spacing w:line="213" w:lineRule="auto" w:before="6" w:after="0"/>
        <w:ind w:left="1761" w:right="1376" w:hanging="794"/>
        <w:jc w:val="both"/>
        <w:rPr>
          <w:sz w:val="13"/>
        </w:rPr>
      </w:pPr>
      <w:r>
        <w:rPr/>
        <w:pict>
          <v:shape style="position:absolute;margin-left:36pt;margin-top:11.695991pt;width:14.65pt;height:14.1pt;mso-position-horizontal-relative:page;mso-position-vertical-relative:paragraph;z-index:7768" type="#_x0000_t202" filled="false" stroked="false">
            <v:textbox inset="0,0,0,0">
              <w:txbxContent>
                <w:p>
                  <w:pPr>
                    <w:spacing w:line="282" w:lineRule="exact" w:before="0"/>
                    <w:ind w:left="0" w:right="0" w:firstLine="0"/>
                    <w:jc w:val="left"/>
                    <w:rPr>
                      <w:b/>
                      <w:sz w:val="24"/>
                    </w:rPr>
                  </w:pPr>
                  <w:r>
                    <w:rPr>
                      <w:b/>
                      <w:color w:val="37617A"/>
                      <w:sz w:val="24"/>
                    </w:rPr>
                    <w:t>90</w:t>
                  </w:r>
                </w:p>
              </w:txbxContent>
            </v:textbox>
            <w10:wrap type="none"/>
          </v:shape>
        </w:pict>
      </w:r>
      <w:r>
        <w:rPr>
          <w:spacing w:val="2"/>
          <w:sz w:val="13"/>
        </w:rPr>
        <w:t>Experience </w:t>
      </w:r>
      <w:r>
        <w:rPr>
          <w:sz w:val="13"/>
        </w:rPr>
        <w:t>of deaf woman, Tracy Straub, </w:t>
      </w:r>
      <w:r>
        <w:rPr>
          <w:spacing w:val="2"/>
          <w:sz w:val="13"/>
        </w:rPr>
        <w:t>serving </w:t>
      </w:r>
      <w:r>
        <w:rPr>
          <w:sz w:val="13"/>
        </w:rPr>
        <w:t>on a Detroit </w:t>
      </w:r>
      <w:r>
        <w:rPr>
          <w:spacing w:val="2"/>
          <w:sz w:val="13"/>
        </w:rPr>
        <w:t>jury </w:t>
      </w:r>
      <w:r>
        <w:rPr>
          <w:sz w:val="13"/>
        </w:rPr>
        <w:t>in the United States: Elisha </w:t>
      </w:r>
      <w:r>
        <w:rPr>
          <w:spacing w:val="2"/>
          <w:sz w:val="13"/>
        </w:rPr>
        <w:t>Anderson, </w:t>
      </w:r>
      <w:r>
        <w:rPr>
          <w:sz w:val="13"/>
        </w:rPr>
        <w:t>‘Deaf Juror </w:t>
      </w:r>
      <w:r>
        <w:rPr>
          <w:spacing w:val="2"/>
          <w:sz w:val="13"/>
        </w:rPr>
        <w:t>Glad </w:t>
      </w:r>
      <w:r>
        <w:rPr>
          <w:sz w:val="13"/>
        </w:rPr>
        <w:t>to Do Her Duty for Justice’s Sake’, </w:t>
      </w:r>
      <w:r>
        <w:rPr>
          <w:i/>
          <w:sz w:val="13"/>
        </w:rPr>
        <w:t>USA Today </w:t>
      </w:r>
      <w:r>
        <w:rPr>
          <w:sz w:val="13"/>
        </w:rPr>
        <w:t>(online, 10 May 2015) &lt;</w:t>
      </w:r>
      <w:hyperlink r:id="rId151">
        <w:r>
          <w:rPr>
            <w:sz w:val="13"/>
          </w:rPr>
          <w:t>https://eu.usatoday.com/story/news/nation/2015/05/10/deaf-</w:t>
        </w:r>
      </w:hyperlink>
      <w:hyperlink r:id="rId151">
        <w:r>
          <w:rPr>
            <w:sz w:val="13"/>
          </w:rPr>
          <w:t> juror-glad-duty-justices-sake/27068733/</w:t>
        </w:r>
      </w:hyperlink>
      <w:r>
        <w:rPr>
          <w:sz w:val="13"/>
        </w:rPr>
        <w:t>&gt;.</w:t>
      </w:r>
    </w:p>
    <w:p>
      <w:pPr>
        <w:spacing w:after="0" w:line="213" w:lineRule="auto"/>
        <w:jc w:val="both"/>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23" w:hanging="794"/>
        <w:jc w:val="left"/>
        <w:rPr>
          <w:sz w:val="20"/>
        </w:rPr>
      </w:pPr>
      <w:bookmarkStart w:name="_bookmark68" w:id="175"/>
      <w:bookmarkEnd w:id="175"/>
      <w:r>
        <w:rPr/>
      </w:r>
      <w:bookmarkStart w:name="_bookmark68" w:id="176"/>
      <w:bookmarkEnd w:id="176"/>
      <w:r>
        <w:rPr>
          <w:sz w:val="20"/>
        </w:rPr>
        <w:t>W</w:t>
      </w:r>
      <w:r>
        <w:rPr>
          <w:sz w:val="20"/>
        </w:rPr>
        <w:t>hen</w:t>
      </w:r>
      <w:r>
        <w:rPr>
          <w:spacing w:val="-10"/>
          <w:sz w:val="20"/>
        </w:rPr>
        <w:t> </w:t>
      </w:r>
      <w:r>
        <w:rPr>
          <w:sz w:val="20"/>
        </w:rPr>
        <w:t>the</w:t>
      </w:r>
      <w:r>
        <w:rPr>
          <w:spacing w:val="-10"/>
          <w:sz w:val="20"/>
        </w:rPr>
        <w:t> </w:t>
      </w:r>
      <w:r>
        <w:rPr>
          <w:sz w:val="20"/>
        </w:rPr>
        <w:t>legislation</w:t>
      </w:r>
      <w:r>
        <w:rPr>
          <w:spacing w:val="-9"/>
          <w:sz w:val="20"/>
        </w:rPr>
        <w:t> </w:t>
      </w:r>
      <w:r>
        <w:rPr>
          <w:sz w:val="20"/>
        </w:rPr>
        <w:t>was</w:t>
      </w:r>
      <w:r>
        <w:rPr>
          <w:spacing w:val="-10"/>
          <w:sz w:val="20"/>
        </w:rPr>
        <w:t> </w:t>
      </w:r>
      <w:r>
        <w:rPr>
          <w:spacing w:val="-3"/>
          <w:sz w:val="20"/>
        </w:rPr>
        <w:t>read</w:t>
      </w:r>
      <w:r>
        <w:rPr>
          <w:spacing w:val="-10"/>
          <w:sz w:val="20"/>
        </w:rPr>
        <w:t> </w:t>
      </w:r>
      <w:r>
        <w:rPr>
          <w:spacing w:val="-3"/>
          <w:sz w:val="20"/>
        </w:rPr>
        <w:t>before</w:t>
      </w:r>
      <w:r>
        <w:rPr>
          <w:spacing w:val="-9"/>
          <w:sz w:val="20"/>
        </w:rPr>
        <w:t> </w:t>
      </w:r>
      <w:r>
        <w:rPr>
          <w:sz w:val="20"/>
        </w:rPr>
        <w:t>the</w:t>
      </w:r>
      <w:r>
        <w:rPr>
          <w:spacing w:val="-10"/>
          <w:sz w:val="20"/>
        </w:rPr>
        <w:t> </w:t>
      </w:r>
      <w:r>
        <w:rPr>
          <w:sz w:val="20"/>
        </w:rPr>
        <w:t>Parliament,</w:t>
      </w:r>
      <w:r>
        <w:rPr>
          <w:spacing w:val="-10"/>
          <w:sz w:val="20"/>
        </w:rPr>
        <w:t> </w:t>
      </w:r>
      <w:r>
        <w:rPr>
          <w:sz w:val="20"/>
        </w:rPr>
        <w:t>Minister</w:t>
      </w:r>
      <w:r>
        <w:rPr>
          <w:spacing w:val="-9"/>
          <w:sz w:val="20"/>
        </w:rPr>
        <w:t> </w:t>
      </w:r>
      <w:r>
        <w:rPr>
          <w:sz w:val="20"/>
        </w:rPr>
        <w:t>for</w:t>
      </w:r>
      <w:r>
        <w:rPr>
          <w:spacing w:val="-10"/>
          <w:sz w:val="20"/>
        </w:rPr>
        <w:t> </w:t>
      </w:r>
      <w:r>
        <w:rPr>
          <w:sz w:val="20"/>
        </w:rPr>
        <w:t>Mental</w:t>
      </w:r>
      <w:r>
        <w:rPr>
          <w:spacing w:val="-9"/>
          <w:sz w:val="20"/>
        </w:rPr>
        <w:t> </w:t>
      </w:r>
      <w:r>
        <w:rPr>
          <w:sz w:val="20"/>
        </w:rPr>
        <w:t>Health</w:t>
      </w:r>
      <w:r>
        <w:rPr>
          <w:spacing w:val="-10"/>
          <w:sz w:val="20"/>
        </w:rPr>
        <w:t> </w:t>
      </w:r>
      <w:r>
        <w:rPr>
          <w:sz w:val="20"/>
        </w:rPr>
        <w:t>Shane Rattenbury</w:t>
      </w:r>
      <w:r>
        <w:rPr>
          <w:spacing w:val="-12"/>
          <w:sz w:val="20"/>
        </w:rPr>
        <w:t> </w:t>
      </w:r>
      <w:r>
        <w:rPr>
          <w:sz w:val="20"/>
        </w:rPr>
        <w:t>noted</w:t>
      </w:r>
      <w:r>
        <w:rPr>
          <w:spacing w:val="-12"/>
          <w:sz w:val="20"/>
        </w:rPr>
        <w:t> </w:t>
      </w:r>
      <w:r>
        <w:rPr>
          <w:sz w:val="20"/>
        </w:rPr>
        <w:t>that</w:t>
      </w:r>
      <w:r>
        <w:rPr>
          <w:spacing w:val="-11"/>
          <w:sz w:val="20"/>
        </w:rPr>
        <w:t> </w:t>
      </w:r>
      <w:r>
        <w:rPr>
          <w:sz w:val="20"/>
        </w:rPr>
        <w:t>the</w:t>
      </w:r>
      <w:r>
        <w:rPr>
          <w:spacing w:val="-12"/>
          <w:sz w:val="20"/>
        </w:rPr>
        <w:t> </w:t>
      </w:r>
      <w:r>
        <w:rPr>
          <w:spacing w:val="-3"/>
          <w:sz w:val="20"/>
        </w:rPr>
        <w:t>provision</w:t>
      </w:r>
      <w:r>
        <w:rPr>
          <w:spacing w:val="-11"/>
          <w:sz w:val="20"/>
        </w:rPr>
        <w:t> </w:t>
      </w:r>
      <w:r>
        <w:rPr>
          <w:sz w:val="20"/>
        </w:rPr>
        <w:t>of</w:t>
      </w:r>
      <w:r>
        <w:rPr>
          <w:spacing w:val="-12"/>
          <w:sz w:val="20"/>
        </w:rPr>
        <w:t> </w:t>
      </w:r>
      <w:r>
        <w:rPr>
          <w:sz w:val="20"/>
        </w:rPr>
        <w:t>reasonable</w:t>
      </w:r>
      <w:r>
        <w:rPr>
          <w:spacing w:val="-11"/>
          <w:sz w:val="20"/>
        </w:rPr>
        <w:t> </w:t>
      </w:r>
      <w:r>
        <w:rPr>
          <w:sz w:val="20"/>
        </w:rPr>
        <w:t>supports</w:t>
      </w:r>
      <w:r>
        <w:rPr>
          <w:spacing w:val="-12"/>
          <w:sz w:val="20"/>
        </w:rPr>
        <w:t> </w:t>
      </w:r>
      <w:r>
        <w:rPr>
          <w:sz w:val="20"/>
        </w:rPr>
        <w:t>is</w:t>
      </w:r>
      <w:r>
        <w:rPr>
          <w:spacing w:val="-11"/>
          <w:sz w:val="20"/>
        </w:rPr>
        <w:t> </w:t>
      </w:r>
      <w:r>
        <w:rPr>
          <w:sz w:val="20"/>
        </w:rPr>
        <w:t>‘consistent</w:t>
      </w:r>
      <w:r>
        <w:rPr>
          <w:spacing w:val="-12"/>
          <w:sz w:val="20"/>
        </w:rPr>
        <w:t> </w:t>
      </w:r>
      <w:r>
        <w:rPr>
          <w:sz w:val="20"/>
        </w:rPr>
        <w:t>with</w:t>
      </w:r>
      <w:r>
        <w:rPr>
          <w:spacing w:val="-11"/>
          <w:sz w:val="20"/>
        </w:rPr>
        <w:t> </w:t>
      </w:r>
      <w:r>
        <w:rPr>
          <w:sz w:val="20"/>
        </w:rPr>
        <w:t>decisions of the UN Committee on the Rights of Persons with </w:t>
      </w:r>
      <w:r>
        <w:rPr>
          <w:spacing w:val="-3"/>
          <w:sz w:val="20"/>
        </w:rPr>
        <w:t>Disabilities’.</w:t>
      </w:r>
      <w:r>
        <w:rPr>
          <w:spacing w:val="-3"/>
          <w:position w:val="7"/>
          <w:sz w:val="11"/>
        </w:rPr>
        <w:t>3 </w:t>
      </w:r>
      <w:r>
        <w:rPr>
          <w:sz w:val="20"/>
        </w:rPr>
        <w:t>Attorney-General Gordon </w:t>
      </w:r>
      <w:r>
        <w:rPr>
          <w:spacing w:val="-3"/>
          <w:sz w:val="20"/>
        </w:rPr>
        <w:t>Ramsay</w:t>
      </w:r>
      <w:r>
        <w:rPr>
          <w:spacing w:val="-9"/>
          <w:sz w:val="20"/>
        </w:rPr>
        <w:t> </w:t>
      </w:r>
      <w:r>
        <w:rPr>
          <w:sz w:val="20"/>
        </w:rPr>
        <w:t>commented:</w:t>
      </w:r>
    </w:p>
    <w:p>
      <w:pPr>
        <w:spacing w:line="208" w:lineRule="auto" w:before="123"/>
        <w:ind w:left="2157" w:right="1202" w:firstLine="0"/>
        <w:jc w:val="left"/>
        <w:rPr>
          <w:sz w:val="11"/>
        </w:rPr>
      </w:pPr>
      <w:r>
        <w:rPr>
          <w:sz w:val="19"/>
        </w:rPr>
        <w:t>All Canberrans should be able to participate in the ACT’s legal processes, regardless of sex, ethnic origin, religion, language or disability status, and, with that goal in mind, as</w:t>
      </w:r>
      <w:r>
        <w:rPr>
          <w:spacing w:val="-5"/>
          <w:sz w:val="19"/>
        </w:rPr>
        <w:t> </w:t>
      </w:r>
      <w:r>
        <w:rPr>
          <w:sz w:val="19"/>
        </w:rPr>
        <w:t>has</w:t>
      </w:r>
      <w:r>
        <w:rPr>
          <w:spacing w:val="-5"/>
          <w:sz w:val="19"/>
        </w:rPr>
        <w:t> </w:t>
      </w:r>
      <w:r>
        <w:rPr>
          <w:sz w:val="19"/>
        </w:rPr>
        <w:t>been</w:t>
      </w:r>
      <w:r>
        <w:rPr>
          <w:spacing w:val="-5"/>
          <w:sz w:val="19"/>
        </w:rPr>
        <w:t> </w:t>
      </w:r>
      <w:r>
        <w:rPr>
          <w:sz w:val="19"/>
        </w:rPr>
        <w:t>well</w:t>
      </w:r>
      <w:r>
        <w:rPr>
          <w:spacing w:val="-5"/>
          <w:sz w:val="19"/>
        </w:rPr>
        <w:t> </w:t>
      </w:r>
      <w:r>
        <w:rPr>
          <w:sz w:val="19"/>
        </w:rPr>
        <w:t>noted</w:t>
      </w:r>
      <w:r>
        <w:rPr>
          <w:spacing w:val="-4"/>
          <w:sz w:val="19"/>
        </w:rPr>
        <w:t> </w:t>
      </w:r>
      <w:r>
        <w:rPr>
          <w:sz w:val="19"/>
        </w:rPr>
        <w:t>by</w:t>
      </w:r>
      <w:r>
        <w:rPr>
          <w:spacing w:val="-5"/>
          <w:sz w:val="19"/>
        </w:rPr>
        <w:t> </w:t>
      </w:r>
      <w:r>
        <w:rPr>
          <w:sz w:val="19"/>
        </w:rPr>
        <w:t>other</w:t>
      </w:r>
      <w:r>
        <w:rPr>
          <w:spacing w:val="-5"/>
          <w:sz w:val="19"/>
        </w:rPr>
        <w:t> </w:t>
      </w:r>
      <w:r>
        <w:rPr>
          <w:sz w:val="19"/>
        </w:rPr>
        <w:t>speakers,</w:t>
      </w:r>
      <w:r>
        <w:rPr>
          <w:spacing w:val="-5"/>
          <w:sz w:val="19"/>
        </w:rPr>
        <w:t> </w:t>
      </w:r>
      <w:r>
        <w:rPr>
          <w:sz w:val="19"/>
        </w:rPr>
        <w:t>this</w:t>
      </w:r>
      <w:r>
        <w:rPr>
          <w:spacing w:val="-5"/>
          <w:sz w:val="19"/>
        </w:rPr>
        <w:t> </w:t>
      </w:r>
      <w:r>
        <w:rPr>
          <w:sz w:val="19"/>
        </w:rPr>
        <w:t>bill</w:t>
      </w:r>
      <w:r>
        <w:rPr>
          <w:spacing w:val="-4"/>
          <w:sz w:val="19"/>
        </w:rPr>
        <w:t> </w:t>
      </w:r>
      <w:r>
        <w:rPr>
          <w:sz w:val="19"/>
        </w:rPr>
        <w:t>introduces</w:t>
      </w:r>
      <w:r>
        <w:rPr>
          <w:spacing w:val="-5"/>
          <w:sz w:val="19"/>
        </w:rPr>
        <w:t> </w:t>
      </w:r>
      <w:r>
        <w:rPr>
          <w:sz w:val="19"/>
        </w:rPr>
        <w:t>provisions</w:t>
      </w:r>
      <w:r>
        <w:rPr>
          <w:spacing w:val="-5"/>
          <w:sz w:val="19"/>
        </w:rPr>
        <w:t> </w:t>
      </w:r>
      <w:r>
        <w:rPr>
          <w:sz w:val="19"/>
        </w:rPr>
        <w:t>to</w:t>
      </w:r>
      <w:r>
        <w:rPr>
          <w:spacing w:val="-5"/>
          <w:sz w:val="19"/>
        </w:rPr>
        <w:t> </w:t>
      </w:r>
      <w:r>
        <w:rPr>
          <w:sz w:val="19"/>
        </w:rPr>
        <w:t>support</w:t>
      </w:r>
      <w:r>
        <w:rPr>
          <w:spacing w:val="-5"/>
          <w:sz w:val="19"/>
        </w:rPr>
        <w:t> </w:t>
      </w:r>
      <w:r>
        <w:rPr>
          <w:sz w:val="19"/>
        </w:rPr>
        <w:t>the participation of people with disabilities or language difficulties as</w:t>
      </w:r>
      <w:r>
        <w:rPr>
          <w:spacing w:val="-26"/>
          <w:sz w:val="19"/>
        </w:rPr>
        <w:t> </w:t>
      </w:r>
      <w:r>
        <w:rPr>
          <w:sz w:val="19"/>
        </w:rPr>
        <w:t>jurors.</w:t>
      </w:r>
      <w:r>
        <w:rPr>
          <w:position w:val="6"/>
          <w:sz w:val="11"/>
        </w:rPr>
        <w:t>4</w:t>
      </w:r>
    </w:p>
    <w:p>
      <w:pPr>
        <w:pStyle w:val="ListParagraph"/>
        <w:numPr>
          <w:ilvl w:val="1"/>
          <w:numId w:val="12"/>
        </w:numPr>
        <w:tabs>
          <w:tab w:pos="1761" w:val="left" w:leader="none"/>
          <w:tab w:pos="1762" w:val="left" w:leader="none"/>
        </w:tabs>
        <w:spacing w:line="206" w:lineRule="auto" w:before="124" w:after="0"/>
        <w:ind w:left="1761" w:right="1296" w:hanging="794"/>
        <w:jc w:val="left"/>
        <w:rPr>
          <w:sz w:val="11"/>
        </w:rPr>
      </w:pPr>
      <w:r>
        <w:rPr>
          <w:sz w:val="20"/>
        </w:rPr>
        <w:t>The</w:t>
      </w:r>
      <w:r>
        <w:rPr>
          <w:spacing w:val="-12"/>
          <w:sz w:val="20"/>
        </w:rPr>
        <w:t> </w:t>
      </w:r>
      <w:r>
        <w:rPr>
          <w:i/>
          <w:sz w:val="20"/>
        </w:rPr>
        <w:t>Juries</w:t>
      </w:r>
      <w:r>
        <w:rPr>
          <w:i/>
          <w:spacing w:val="-11"/>
          <w:sz w:val="20"/>
        </w:rPr>
        <w:t> </w:t>
      </w:r>
      <w:r>
        <w:rPr>
          <w:i/>
          <w:sz w:val="20"/>
        </w:rPr>
        <w:t>Act</w:t>
      </w:r>
      <w:r>
        <w:rPr>
          <w:i/>
          <w:spacing w:val="-11"/>
          <w:sz w:val="20"/>
        </w:rPr>
        <w:t> </w:t>
      </w:r>
      <w:r>
        <w:rPr>
          <w:i/>
          <w:sz w:val="20"/>
        </w:rPr>
        <w:t>1967</w:t>
      </w:r>
      <w:r>
        <w:rPr>
          <w:i/>
          <w:spacing w:val="-10"/>
          <w:sz w:val="20"/>
        </w:rPr>
        <w:t> </w:t>
      </w:r>
      <w:r>
        <w:rPr>
          <w:sz w:val="20"/>
        </w:rPr>
        <w:t>(ACT),</w:t>
      </w:r>
      <w:r>
        <w:rPr>
          <w:spacing w:val="-11"/>
          <w:sz w:val="20"/>
        </w:rPr>
        <w:t> </w:t>
      </w:r>
      <w:r>
        <w:rPr>
          <w:sz w:val="20"/>
        </w:rPr>
        <w:t>amended</w:t>
      </w:r>
      <w:r>
        <w:rPr>
          <w:spacing w:val="-12"/>
          <w:sz w:val="20"/>
        </w:rPr>
        <w:t> </w:t>
      </w:r>
      <w:r>
        <w:rPr>
          <w:sz w:val="20"/>
        </w:rPr>
        <w:t>in</w:t>
      </w:r>
      <w:r>
        <w:rPr>
          <w:spacing w:val="-11"/>
          <w:sz w:val="20"/>
        </w:rPr>
        <w:t> </w:t>
      </w:r>
      <w:r>
        <w:rPr>
          <w:sz w:val="20"/>
        </w:rPr>
        <w:t>2018,</w:t>
      </w:r>
      <w:r>
        <w:rPr>
          <w:spacing w:val="-11"/>
          <w:sz w:val="20"/>
        </w:rPr>
        <w:t> </w:t>
      </w:r>
      <w:r>
        <w:rPr>
          <w:sz w:val="20"/>
        </w:rPr>
        <w:t>puts</w:t>
      </w:r>
      <w:r>
        <w:rPr>
          <w:spacing w:val="-12"/>
          <w:sz w:val="20"/>
        </w:rPr>
        <w:t> </w:t>
      </w:r>
      <w:r>
        <w:rPr>
          <w:sz w:val="20"/>
        </w:rPr>
        <w:t>a</w:t>
      </w:r>
      <w:r>
        <w:rPr>
          <w:spacing w:val="-11"/>
          <w:sz w:val="20"/>
        </w:rPr>
        <w:t> </w:t>
      </w:r>
      <w:r>
        <w:rPr>
          <w:sz w:val="20"/>
        </w:rPr>
        <w:t>positive</w:t>
      </w:r>
      <w:r>
        <w:rPr>
          <w:spacing w:val="-11"/>
          <w:sz w:val="20"/>
        </w:rPr>
        <w:t> </w:t>
      </w:r>
      <w:r>
        <w:rPr>
          <w:sz w:val="20"/>
        </w:rPr>
        <w:t>obligation</w:t>
      </w:r>
      <w:r>
        <w:rPr>
          <w:spacing w:val="-11"/>
          <w:sz w:val="20"/>
        </w:rPr>
        <w:t> </w:t>
      </w:r>
      <w:r>
        <w:rPr>
          <w:sz w:val="20"/>
        </w:rPr>
        <w:t>on</w:t>
      </w:r>
      <w:r>
        <w:rPr>
          <w:spacing w:val="-12"/>
          <w:sz w:val="20"/>
        </w:rPr>
        <w:t> </w:t>
      </w:r>
      <w:r>
        <w:rPr>
          <w:sz w:val="20"/>
        </w:rPr>
        <w:t>the</w:t>
      </w:r>
      <w:r>
        <w:rPr>
          <w:spacing w:val="-11"/>
          <w:sz w:val="20"/>
        </w:rPr>
        <w:t> </w:t>
      </w:r>
      <w:r>
        <w:rPr>
          <w:sz w:val="20"/>
        </w:rPr>
        <w:t>trial</w:t>
      </w:r>
      <w:r>
        <w:rPr>
          <w:spacing w:val="-11"/>
          <w:sz w:val="20"/>
        </w:rPr>
        <w:t> </w:t>
      </w:r>
      <w:r>
        <w:rPr>
          <w:sz w:val="20"/>
        </w:rPr>
        <w:t>judge to</w:t>
      </w:r>
      <w:r>
        <w:rPr>
          <w:spacing w:val="-9"/>
          <w:sz w:val="20"/>
        </w:rPr>
        <w:t> </w:t>
      </w:r>
      <w:r>
        <w:rPr>
          <w:sz w:val="20"/>
        </w:rPr>
        <w:t>consider</w:t>
      </w:r>
      <w:r>
        <w:rPr>
          <w:spacing w:val="-8"/>
          <w:sz w:val="20"/>
        </w:rPr>
        <w:t> </w:t>
      </w:r>
      <w:r>
        <w:rPr>
          <w:sz w:val="20"/>
        </w:rPr>
        <w:t>if</w:t>
      </w:r>
      <w:r>
        <w:rPr>
          <w:spacing w:val="-8"/>
          <w:sz w:val="20"/>
        </w:rPr>
        <w:t> </w:t>
      </w:r>
      <w:r>
        <w:rPr>
          <w:spacing w:val="-3"/>
          <w:sz w:val="20"/>
        </w:rPr>
        <w:t>‘reasonable</w:t>
      </w:r>
      <w:r>
        <w:rPr>
          <w:spacing w:val="-8"/>
          <w:sz w:val="20"/>
        </w:rPr>
        <w:t> </w:t>
      </w:r>
      <w:r>
        <w:rPr>
          <w:sz w:val="20"/>
        </w:rPr>
        <w:t>support’</w:t>
      </w:r>
      <w:r>
        <w:rPr>
          <w:spacing w:val="-8"/>
          <w:sz w:val="20"/>
        </w:rPr>
        <w:t> </w:t>
      </w:r>
      <w:r>
        <w:rPr>
          <w:sz w:val="20"/>
        </w:rPr>
        <w:t>could</w:t>
      </w:r>
      <w:r>
        <w:rPr>
          <w:spacing w:val="-8"/>
          <w:sz w:val="20"/>
        </w:rPr>
        <w:t> </w:t>
      </w:r>
      <w:r>
        <w:rPr>
          <w:sz w:val="20"/>
        </w:rPr>
        <w:t>be</w:t>
      </w:r>
      <w:r>
        <w:rPr>
          <w:spacing w:val="-8"/>
          <w:sz w:val="20"/>
        </w:rPr>
        <w:t> </w:t>
      </w:r>
      <w:r>
        <w:rPr>
          <w:spacing w:val="-3"/>
          <w:sz w:val="20"/>
        </w:rPr>
        <w:t>provided</w:t>
      </w:r>
      <w:r>
        <w:rPr>
          <w:spacing w:val="-8"/>
          <w:sz w:val="20"/>
        </w:rPr>
        <w:t> </w:t>
      </w:r>
      <w:r>
        <w:rPr>
          <w:sz w:val="20"/>
        </w:rPr>
        <w:t>to</w:t>
      </w:r>
      <w:r>
        <w:rPr>
          <w:spacing w:val="-8"/>
          <w:sz w:val="20"/>
        </w:rPr>
        <w:t> </w:t>
      </w:r>
      <w:r>
        <w:rPr>
          <w:sz w:val="20"/>
        </w:rPr>
        <w:t>enable</w:t>
      </w:r>
      <w:r>
        <w:rPr>
          <w:spacing w:val="-8"/>
          <w:sz w:val="20"/>
        </w:rPr>
        <w:t> </w:t>
      </w:r>
      <w:r>
        <w:rPr>
          <w:sz w:val="20"/>
        </w:rPr>
        <w:t>a</w:t>
      </w:r>
      <w:r>
        <w:rPr>
          <w:spacing w:val="-8"/>
          <w:sz w:val="20"/>
        </w:rPr>
        <w:t> </w:t>
      </w:r>
      <w:r>
        <w:rPr>
          <w:sz w:val="20"/>
        </w:rPr>
        <w:t>person</w:t>
      </w:r>
      <w:r>
        <w:rPr>
          <w:spacing w:val="-8"/>
          <w:sz w:val="20"/>
        </w:rPr>
        <w:t> </w:t>
      </w:r>
      <w:r>
        <w:rPr>
          <w:sz w:val="20"/>
        </w:rPr>
        <w:t>with</w:t>
      </w:r>
      <w:r>
        <w:rPr>
          <w:spacing w:val="-8"/>
          <w:sz w:val="20"/>
        </w:rPr>
        <w:t> </w:t>
      </w:r>
      <w:r>
        <w:rPr>
          <w:sz w:val="20"/>
        </w:rPr>
        <w:t>disability or</w:t>
      </w:r>
      <w:r>
        <w:rPr>
          <w:spacing w:val="-15"/>
          <w:sz w:val="20"/>
        </w:rPr>
        <w:t> </w:t>
      </w:r>
      <w:r>
        <w:rPr>
          <w:sz w:val="20"/>
        </w:rPr>
        <w:t>insufficient</w:t>
      </w:r>
      <w:r>
        <w:rPr>
          <w:spacing w:val="-14"/>
          <w:sz w:val="20"/>
        </w:rPr>
        <w:t> </w:t>
      </w:r>
      <w:r>
        <w:rPr>
          <w:sz w:val="20"/>
        </w:rPr>
        <w:t>understanding</w:t>
      </w:r>
      <w:r>
        <w:rPr>
          <w:spacing w:val="-14"/>
          <w:sz w:val="20"/>
        </w:rPr>
        <w:t> </w:t>
      </w:r>
      <w:r>
        <w:rPr>
          <w:sz w:val="20"/>
        </w:rPr>
        <w:t>of</w:t>
      </w:r>
      <w:r>
        <w:rPr>
          <w:spacing w:val="-14"/>
          <w:sz w:val="20"/>
        </w:rPr>
        <w:t> </w:t>
      </w:r>
      <w:r>
        <w:rPr>
          <w:sz w:val="20"/>
        </w:rPr>
        <w:t>the</w:t>
      </w:r>
      <w:r>
        <w:rPr>
          <w:spacing w:val="-15"/>
          <w:sz w:val="20"/>
        </w:rPr>
        <w:t> </w:t>
      </w:r>
      <w:r>
        <w:rPr>
          <w:sz w:val="20"/>
        </w:rPr>
        <w:t>English</w:t>
      </w:r>
      <w:r>
        <w:rPr>
          <w:spacing w:val="-14"/>
          <w:sz w:val="20"/>
        </w:rPr>
        <w:t> </w:t>
      </w:r>
      <w:r>
        <w:rPr>
          <w:sz w:val="20"/>
        </w:rPr>
        <w:t>language</w:t>
      </w:r>
      <w:r>
        <w:rPr>
          <w:spacing w:val="-14"/>
          <w:sz w:val="20"/>
        </w:rPr>
        <w:t> </w:t>
      </w:r>
      <w:r>
        <w:rPr>
          <w:sz w:val="20"/>
        </w:rPr>
        <w:t>to</w:t>
      </w:r>
      <w:r>
        <w:rPr>
          <w:spacing w:val="-14"/>
          <w:sz w:val="20"/>
        </w:rPr>
        <w:t> </w:t>
      </w:r>
      <w:r>
        <w:rPr>
          <w:spacing w:val="-3"/>
          <w:sz w:val="20"/>
        </w:rPr>
        <w:t>properly</w:t>
      </w:r>
      <w:r>
        <w:rPr>
          <w:spacing w:val="-15"/>
          <w:sz w:val="20"/>
        </w:rPr>
        <w:t> </w:t>
      </w:r>
      <w:r>
        <w:rPr>
          <w:sz w:val="20"/>
        </w:rPr>
        <w:t>discharge</w:t>
      </w:r>
      <w:r>
        <w:rPr>
          <w:spacing w:val="-14"/>
          <w:sz w:val="20"/>
        </w:rPr>
        <w:t> </w:t>
      </w:r>
      <w:r>
        <w:rPr>
          <w:sz w:val="20"/>
        </w:rPr>
        <w:t>their</w:t>
      </w:r>
      <w:r>
        <w:rPr>
          <w:spacing w:val="-14"/>
          <w:sz w:val="20"/>
        </w:rPr>
        <w:t> </w:t>
      </w:r>
      <w:r>
        <w:rPr>
          <w:sz w:val="20"/>
        </w:rPr>
        <w:t>duties if they wish to serve and </w:t>
      </w:r>
      <w:r>
        <w:rPr>
          <w:spacing w:val="-3"/>
          <w:sz w:val="20"/>
        </w:rPr>
        <w:t>are </w:t>
      </w:r>
      <w:r>
        <w:rPr>
          <w:sz w:val="20"/>
        </w:rPr>
        <w:t>not otherwise </w:t>
      </w:r>
      <w:r>
        <w:rPr>
          <w:spacing w:val="-3"/>
          <w:sz w:val="20"/>
        </w:rPr>
        <w:t>excused. </w:t>
      </w:r>
      <w:r>
        <w:rPr>
          <w:sz w:val="20"/>
        </w:rPr>
        <w:t>If satisfied that supports could </w:t>
      </w:r>
      <w:r>
        <w:rPr>
          <w:spacing w:val="-3"/>
          <w:sz w:val="20"/>
        </w:rPr>
        <w:t>reasonably</w:t>
      </w:r>
      <w:r>
        <w:rPr>
          <w:spacing w:val="-7"/>
          <w:sz w:val="20"/>
        </w:rPr>
        <w:t> </w:t>
      </w:r>
      <w:r>
        <w:rPr>
          <w:sz w:val="20"/>
        </w:rPr>
        <w:t>be</w:t>
      </w:r>
      <w:r>
        <w:rPr>
          <w:spacing w:val="-8"/>
          <w:sz w:val="20"/>
        </w:rPr>
        <w:t> </w:t>
      </w:r>
      <w:r>
        <w:rPr>
          <w:sz w:val="20"/>
        </w:rPr>
        <w:t>given,</w:t>
      </w:r>
      <w:r>
        <w:rPr>
          <w:spacing w:val="-7"/>
          <w:sz w:val="20"/>
        </w:rPr>
        <w:t> </w:t>
      </w:r>
      <w:r>
        <w:rPr>
          <w:sz w:val="20"/>
        </w:rPr>
        <w:t>the</w:t>
      </w:r>
      <w:r>
        <w:rPr>
          <w:spacing w:val="-7"/>
          <w:sz w:val="20"/>
        </w:rPr>
        <w:t> </w:t>
      </w:r>
      <w:r>
        <w:rPr>
          <w:sz w:val="20"/>
        </w:rPr>
        <w:t>judge</w:t>
      </w:r>
      <w:r>
        <w:rPr>
          <w:spacing w:val="-7"/>
          <w:sz w:val="20"/>
        </w:rPr>
        <w:t> </w:t>
      </w:r>
      <w:r>
        <w:rPr>
          <w:sz w:val="20"/>
        </w:rPr>
        <w:t>must</w:t>
      </w:r>
      <w:r>
        <w:rPr>
          <w:spacing w:val="-7"/>
          <w:sz w:val="20"/>
        </w:rPr>
        <w:t> </w:t>
      </w:r>
      <w:r>
        <w:rPr>
          <w:spacing w:val="-3"/>
          <w:sz w:val="20"/>
        </w:rPr>
        <w:t>make</w:t>
      </w:r>
      <w:r>
        <w:rPr>
          <w:spacing w:val="-7"/>
          <w:sz w:val="20"/>
        </w:rPr>
        <w:t> </w:t>
      </w:r>
      <w:r>
        <w:rPr>
          <w:sz w:val="20"/>
        </w:rPr>
        <w:t>a</w:t>
      </w:r>
      <w:r>
        <w:rPr>
          <w:spacing w:val="-7"/>
          <w:sz w:val="20"/>
        </w:rPr>
        <w:t> </w:t>
      </w:r>
      <w:r>
        <w:rPr>
          <w:sz w:val="20"/>
        </w:rPr>
        <w:t>direction</w:t>
      </w:r>
      <w:r>
        <w:rPr>
          <w:spacing w:val="-7"/>
          <w:sz w:val="20"/>
        </w:rPr>
        <w:t> </w:t>
      </w:r>
      <w:r>
        <w:rPr>
          <w:sz w:val="20"/>
        </w:rPr>
        <w:t>for</w:t>
      </w:r>
      <w:r>
        <w:rPr>
          <w:spacing w:val="-7"/>
          <w:sz w:val="20"/>
        </w:rPr>
        <w:t> </w:t>
      </w:r>
      <w:r>
        <w:rPr>
          <w:sz w:val="20"/>
        </w:rPr>
        <w:t>supports</w:t>
      </w:r>
      <w:r>
        <w:rPr>
          <w:spacing w:val="-7"/>
          <w:sz w:val="20"/>
        </w:rPr>
        <w:t> </w:t>
      </w:r>
      <w:r>
        <w:rPr>
          <w:sz w:val="20"/>
        </w:rPr>
        <w:t>to</w:t>
      </w:r>
      <w:r>
        <w:rPr>
          <w:spacing w:val="-7"/>
          <w:sz w:val="20"/>
        </w:rPr>
        <w:t> </w:t>
      </w:r>
      <w:r>
        <w:rPr>
          <w:sz w:val="20"/>
        </w:rPr>
        <w:t>be</w:t>
      </w:r>
      <w:r>
        <w:rPr>
          <w:spacing w:val="-7"/>
          <w:sz w:val="20"/>
        </w:rPr>
        <w:t> </w:t>
      </w:r>
      <w:r>
        <w:rPr>
          <w:sz w:val="20"/>
        </w:rPr>
        <w:t>provided.</w:t>
      </w:r>
      <w:r>
        <w:rPr>
          <w:position w:val="7"/>
          <w:sz w:val="11"/>
        </w:rPr>
        <w:t>5</w:t>
      </w:r>
    </w:p>
    <w:p>
      <w:pPr>
        <w:pStyle w:val="ListParagraph"/>
        <w:numPr>
          <w:ilvl w:val="1"/>
          <w:numId w:val="12"/>
        </w:numPr>
        <w:tabs>
          <w:tab w:pos="1761" w:val="left" w:leader="none"/>
          <w:tab w:pos="1762" w:val="left" w:leader="none"/>
        </w:tabs>
        <w:spacing w:line="206" w:lineRule="auto" w:before="127" w:after="0"/>
        <w:ind w:left="1761" w:right="1334" w:hanging="794"/>
        <w:jc w:val="left"/>
        <w:rPr>
          <w:sz w:val="11"/>
        </w:rPr>
      </w:pPr>
      <w:r>
        <w:rPr>
          <w:sz w:val="20"/>
        </w:rPr>
        <w:t>The legislation lists some considerations for assessing whether supports can be </w:t>
      </w:r>
      <w:r>
        <w:rPr>
          <w:spacing w:val="-3"/>
          <w:sz w:val="20"/>
        </w:rPr>
        <w:t>reasonably </w:t>
      </w:r>
      <w:r>
        <w:rPr>
          <w:sz w:val="20"/>
        </w:rPr>
        <w:t>provided.</w:t>
      </w:r>
      <w:r>
        <w:rPr>
          <w:position w:val="7"/>
          <w:sz w:val="11"/>
        </w:rPr>
        <w:t>6 </w:t>
      </w:r>
      <w:r>
        <w:rPr>
          <w:sz w:val="20"/>
        </w:rPr>
        <w:t>If the judge </w:t>
      </w:r>
      <w:r>
        <w:rPr>
          <w:spacing w:val="-3"/>
          <w:sz w:val="20"/>
        </w:rPr>
        <w:t>makes </w:t>
      </w:r>
      <w:r>
        <w:rPr>
          <w:sz w:val="20"/>
        </w:rPr>
        <w:t>a direction </w:t>
      </w:r>
      <w:r>
        <w:rPr>
          <w:spacing w:val="-3"/>
          <w:sz w:val="20"/>
        </w:rPr>
        <w:t>allowing </w:t>
      </w:r>
      <w:r>
        <w:rPr>
          <w:sz w:val="20"/>
        </w:rPr>
        <w:t>an </w:t>
      </w:r>
      <w:r>
        <w:rPr>
          <w:spacing w:val="-3"/>
          <w:sz w:val="20"/>
        </w:rPr>
        <w:t>interpreter </w:t>
      </w:r>
      <w:r>
        <w:rPr>
          <w:sz w:val="20"/>
        </w:rPr>
        <w:t>or support person to assist the </w:t>
      </w:r>
      <w:r>
        <w:rPr>
          <w:spacing w:val="-4"/>
          <w:sz w:val="20"/>
        </w:rPr>
        <w:t>juror, </w:t>
      </w:r>
      <w:r>
        <w:rPr>
          <w:sz w:val="20"/>
        </w:rPr>
        <w:t>the common law rule against </w:t>
      </w:r>
      <w:r>
        <w:rPr>
          <w:spacing w:val="-3"/>
          <w:sz w:val="20"/>
        </w:rPr>
        <w:t>having </w:t>
      </w:r>
      <w:r>
        <w:rPr>
          <w:sz w:val="20"/>
        </w:rPr>
        <w:t>a non-juror in the jury room is limited </w:t>
      </w:r>
      <w:r>
        <w:rPr>
          <w:spacing w:val="-3"/>
          <w:sz w:val="20"/>
        </w:rPr>
        <w:t>by </w:t>
      </w:r>
      <w:r>
        <w:rPr>
          <w:sz w:val="20"/>
        </w:rPr>
        <w:t>the </w:t>
      </w:r>
      <w:r>
        <w:rPr>
          <w:spacing w:val="-3"/>
          <w:sz w:val="20"/>
        </w:rPr>
        <w:t>Act,</w:t>
      </w:r>
      <w:r>
        <w:rPr>
          <w:spacing w:val="-3"/>
          <w:position w:val="7"/>
          <w:sz w:val="11"/>
        </w:rPr>
        <w:t>7 </w:t>
      </w:r>
      <w:r>
        <w:rPr>
          <w:sz w:val="20"/>
        </w:rPr>
        <w:t>subject to the </w:t>
      </w:r>
      <w:r>
        <w:rPr>
          <w:spacing w:val="-3"/>
          <w:sz w:val="20"/>
        </w:rPr>
        <w:t>interpreter </w:t>
      </w:r>
      <w:r>
        <w:rPr>
          <w:sz w:val="20"/>
        </w:rPr>
        <w:t>or the support person agreeing to</w:t>
      </w:r>
      <w:r>
        <w:rPr>
          <w:spacing w:val="-14"/>
          <w:sz w:val="20"/>
        </w:rPr>
        <w:t> </w:t>
      </w:r>
      <w:r>
        <w:rPr>
          <w:sz w:val="20"/>
        </w:rPr>
        <w:t>take</w:t>
      </w:r>
      <w:r>
        <w:rPr>
          <w:spacing w:val="-14"/>
          <w:sz w:val="20"/>
        </w:rPr>
        <w:t> </w:t>
      </w:r>
      <w:r>
        <w:rPr>
          <w:sz w:val="20"/>
        </w:rPr>
        <w:t>an</w:t>
      </w:r>
      <w:r>
        <w:rPr>
          <w:spacing w:val="-14"/>
          <w:sz w:val="20"/>
        </w:rPr>
        <w:t> </w:t>
      </w:r>
      <w:r>
        <w:rPr>
          <w:sz w:val="20"/>
        </w:rPr>
        <w:t>oath</w:t>
      </w:r>
      <w:r>
        <w:rPr>
          <w:spacing w:val="-14"/>
          <w:sz w:val="20"/>
        </w:rPr>
        <w:t> </w:t>
      </w:r>
      <w:r>
        <w:rPr>
          <w:sz w:val="20"/>
        </w:rPr>
        <w:t>or</w:t>
      </w:r>
      <w:r>
        <w:rPr>
          <w:spacing w:val="-14"/>
          <w:sz w:val="20"/>
        </w:rPr>
        <w:t> </w:t>
      </w:r>
      <w:r>
        <w:rPr>
          <w:sz w:val="20"/>
        </w:rPr>
        <w:t>affirmation</w:t>
      </w:r>
      <w:r>
        <w:rPr>
          <w:spacing w:val="-14"/>
          <w:sz w:val="20"/>
        </w:rPr>
        <w:t> </w:t>
      </w:r>
      <w:r>
        <w:rPr>
          <w:sz w:val="20"/>
        </w:rPr>
        <w:t>that</w:t>
      </w:r>
      <w:r>
        <w:rPr>
          <w:spacing w:val="-14"/>
          <w:sz w:val="20"/>
        </w:rPr>
        <w:t> </w:t>
      </w:r>
      <w:r>
        <w:rPr>
          <w:sz w:val="20"/>
        </w:rPr>
        <w:t>they</w:t>
      </w:r>
      <w:r>
        <w:rPr>
          <w:spacing w:val="-13"/>
          <w:sz w:val="20"/>
        </w:rPr>
        <w:t> </w:t>
      </w:r>
      <w:r>
        <w:rPr>
          <w:sz w:val="20"/>
        </w:rPr>
        <w:t>will</w:t>
      </w:r>
      <w:r>
        <w:rPr>
          <w:spacing w:val="-14"/>
          <w:sz w:val="20"/>
        </w:rPr>
        <w:t> </w:t>
      </w:r>
      <w:r>
        <w:rPr>
          <w:sz w:val="20"/>
        </w:rPr>
        <w:t>not</w:t>
      </w:r>
      <w:r>
        <w:rPr>
          <w:spacing w:val="-14"/>
          <w:sz w:val="20"/>
        </w:rPr>
        <w:t> </w:t>
      </w:r>
      <w:r>
        <w:rPr>
          <w:sz w:val="20"/>
        </w:rPr>
        <w:t>participate</w:t>
      </w:r>
      <w:r>
        <w:rPr>
          <w:spacing w:val="-14"/>
          <w:sz w:val="20"/>
        </w:rPr>
        <w:t> </w:t>
      </w:r>
      <w:r>
        <w:rPr>
          <w:sz w:val="20"/>
        </w:rPr>
        <w:t>in</w:t>
      </w:r>
      <w:r>
        <w:rPr>
          <w:spacing w:val="-14"/>
          <w:sz w:val="20"/>
        </w:rPr>
        <w:t> </w:t>
      </w:r>
      <w:r>
        <w:rPr>
          <w:sz w:val="20"/>
        </w:rPr>
        <w:t>or</w:t>
      </w:r>
      <w:r>
        <w:rPr>
          <w:spacing w:val="-14"/>
          <w:sz w:val="20"/>
        </w:rPr>
        <w:t> </w:t>
      </w:r>
      <w:r>
        <w:rPr>
          <w:sz w:val="20"/>
        </w:rPr>
        <w:t>disclose</w:t>
      </w:r>
      <w:r>
        <w:rPr>
          <w:spacing w:val="-14"/>
          <w:sz w:val="20"/>
        </w:rPr>
        <w:t> </w:t>
      </w:r>
      <w:r>
        <w:rPr>
          <w:sz w:val="20"/>
        </w:rPr>
        <w:t>anything</w:t>
      </w:r>
      <w:r>
        <w:rPr>
          <w:spacing w:val="-13"/>
          <w:sz w:val="20"/>
        </w:rPr>
        <w:t> </w:t>
      </w:r>
      <w:r>
        <w:rPr>
          <w:sz w:val="20"/>
        </w:rPr>
        <w:t>about those</w:t>
      </w:r>
      <w:r>
        <w:rPr>
          <w:spacing w:val="-5"/>
          <w:sz w:val="20"/>
        </w:rPr>
        <w:t> </w:t>
      </w:r>
      <w:r>
        <w:rPr>
          <w:sz w:val="20"/>
        </w:rPr>
        <w:t>deliberations.</w:t>
      </w:r>
      <w:r>
        <w:rPr>
          <w:position w:val="7"/>
          <w:sz w:val="11"/>
        </w:rPr>
        <w:t>8</w:t>
      </w:r>
    </w:p>
    <w:p>
      <w:pPr>
        <w:pStyle w:val="ListParagraph"/>
        <w:numPr>
          <w:ilvl w:val="1"/>
          <w:numId w:val="12"/>
        </w:numPr>
        <w:tabs>
          <w:tab w:pos="1761" w:val="left" w:leader="none"/>
          <w:tab w:pos="1762" w:val="left" w:leader="none"/>
        </w:tabs>
        <w:spacing w:line="206" w:lineRule="auto" w:before="127" w:after="0"/>
        <w:ind w:left="1761" w:right="1340" w:hanging="794"/>
        <w:jc w:val="left"/>
        <w:rPr>
          <w:sz w:val="11"/>
        </w:rPr>
      </w:pPr>
      <w:r>
        <w:rPr>
          <w:spacing w:val="-3"/>
          <w:sz w:val="20"/>
        </w:rPr>
        <w:t>At</w:t>
      </w:r>
      <w:r>
        <w:rPr>
          <w:spacing w:val="-8"/>
          <w:sz w:val="20"/>
        </w:rPr>
        <w:t> </w:t>
      </w:r>
      <w:r>
        <w:rPr>
          <w:sz w:val="20"/>
        </w:rPr>
        <w:t>the</w:t>
      </w:r>
      <w:r>
        <w:rPr>
          <w:spacing w:val="-8"/>
          <w:sz w:val="20"/>
        </w:rPr>
        <w:t> </w:t>
      </w:r>
      <w:r>
        <w:rPr>
          <w:sz w:val="20"/>
        </w:rPr>
        <w:t>time</w:t>
      </w:r>
      <w:r>
        <w:rPr>
          <w:spacing w:val="-7"/>
          <w:sz w:val="20"/>
        </w:rPr>
        <w:t> </w:t>
      </w:r>
      <w:r>
        <w:rPr>
          <w:sz w:val="20"/>
        </w:rPr>
        <w:t>of</w:t>
      </w:r>
      <w:r>
        <w:rPr>
          <w:spacing w:val="-8"/>
          <w:sz w:val="20"/>
        </w:rPr>
        <w:t> </w:t>
      </w:r>
      <w:r>
        <w:rPr>
          <w:sz w:val="20"/>
        </w:rPr>
        <w:t>writing</w:t>
      </w:r>
      <w:r>
        <w:rPr>
          <w:spacing w:val="-7"/>
          <w:sz w:val="20"/>
        </w:rPr>
        <w:t> </w:t>
      </w:r>
      <w:r>
        <w:rPr>
          <w:sz w:val="20"/>
        </w:rPr>
        <w:t>no</w:t>
      </w:r>
      <w:r>
        <w:rPr>
          <w:spacing w:val="-8"/>
          <w:sz w:val="20"/>
        </w:rPr>
        <w:t> </w:t>
      </w:r>
      <w:r>
        <w:rPr>
          <w:sz w:val="20"/>
        </w:rPr>
        <w:t>one</w:t>
      </w:r>
      <w:r>
        <w:rPr>
          <w:spacing w:val="-7"/>
          <w:sz w:val="20"/>
        </w:rPr>
        <w:t> </w:t>
      </w:r>
      <w:r>
        <w:rPr>
          <w:sz w:val="20"/>
        </w:rPr>
        <w:t>has</w:t>
      </w:r>
      <w:r>
        <w:rPr>
          <w:spacing w:val="-8"/>
          <w:sz w:val="20"/>
        </w:rPr>
        <w:t> </w:t>
      </w:r>
      <w:r>
        <w:rPr>
          <w:spacing w:val="-3"/>
          <w:sz w:val="20"/>
        </w:rPr>
        <w:t>yet</w:t>
      </w:r>
      <w:r>
        <w:rPr>
          <w:spacing w:val="-8"/>
          <w:sz w:val="20"/>
        </w:rPr>
        <w:t> </w:t>
      </w:r>
      <w:r>
        <w:rPr>
          <w:sz w:val="20"/>
        </w:rPr>
        <w:t>served</w:t>
      </w:r>
      <w:r>
        <w:rPr>
          <w:spacing w:val="-7"/>
          <w:sz w:val="20"/>
        </w:rPr>
        <w:t> </w:t>
      </w:r>
      <w:r>
        <w:rPr>
          <w:sz w:val="20"/>
        </w:rPr>
        <w:t>as</w:t>
      </w:r>
      <w:r>
        <w:rPr>
          <w:spacing w:val="-8"/>
          <w:sz w:val="20"/>
        </w:rPr>
        <w:t> </w:t>
      </w:r>
      <w:r>
        <w:rPr>
          <w:sz w:val="20"/>
        </w:rPr>
        <w:t>a</w:t>
      </w:r>
      <w:r>
        <w:rPr>
          <w:spacing w:val="-7"/>
          <w:sz w:val="20"/>
        </w:rPr>
        <w:t> </w:t>
      </w:r>
      <w:r>
        <w:rPr>
          <w:sz w:val="20"/>
        </w:rPr>
        <w:t>juror</w:t>
      </w:r>
      <w:r>
        <w:rPr>
          <w:spacing w:val="-8"/>
          <w:sz w:val="20"/>
        </w:rPr>
        <w:t> </w:t>
      </w:r>
      <w:r>
        <w:rPr>
          <w:sz w:val="20"/>
        </w:rPr>
        <w:t>or</w:t>
      </w:r>
      <w:r>
        <w:rPr>
          <w:spacing w:val="-7"/>
          <w:sz w:val="20"/>
        </w:rPr>
        <w:t> </w:t>
      </w:r>
      <w:r>
        <w:rPr>
          <w:sz w:val="20"/>
        </w:rPr>
        <w:t>attended</w:t>
      </w:r>
      <w:r>
        <w:rPr>
          <w:spacing w:val="-8"/>
          <w:sz w:val="20"/>
        </w:rPr>
        <w:t> </w:t>
      </w:r>
      <w:r>
        <w:rPr>
          <w:sz w:val="20"/>
        </w:rPr>
        <w:t>as</w:t>
      </w:r>
      <w:r>
        <w:rPr>
          <w:spacing w:val="-7"/>
          <w:sz w:val="20"/>
        </w:rPr>
        <w:t> </w:t>
      </w:r>
      <w:r>
        <w:rPr>
          <w:sz w:val="20"/>
        </w:rPr>
        <w:t>a</w:t>
      </w:r>
      <w:r>
        <w:rPr>
          <w:spacing w:val="-8"/>
          <w:sz w:val="20"/>
        </w:rPr>
        <w:t> </w:t>
      </w:r>
      <w:r>
        <w:rPr>
          <w:sz w:val="20"/>
        </w:rPr>
        <w:t>panel</w:t>
      </w:r>
      <w:r>
        <w:rPr>
          <w:spacing w:val="-8"/>
          <w:sz w:val="20"/>
        </w:rPr>
        <w:t> </w:t>
      </w:r>
      <w:r>
        <w:rPr>
          <w:sz w:val="20"/>
        </w:rPr>
        <w:t>member with</w:t>
      </w:r>
      <w:r>
        <w:rPr>
          <w:spacing w:val="-8"/>
          <w:sz w:val="20"/>
        </w:rPr>
        <w:t> </w:t>
      </w:r>
      <w:r>
        <w:rPr>
          <w:sz w:val="20"/>
        </w:rPr>
        <w:t>a</w:t>
      </w:r>
      <w:r>
        <w:rPr>
          <w:spacing w:val="-8"/>
          <w:sz w:val="20"/>
        </w:rPr>
        <w:t> </w:t>
      </w:r>
      <w:r>
        <w:rPr>
          <w:sz w:val="20"/>
        </w:rPr>
        <w:t>support</w:t>
      </w:r>
      <w:r>
        <w:rPr>
          <w:spacing w:val="-8"/>
          <w:sz w:val="20"/>
        </w:rPr>
        <w:t> </w:t>
      </w:r>
      <w:r>
        <w:rPr>
          <w:sz w:val="20"/>
        </w:rPr>
        <w:t>person</w:t>
      </w:r>
      <w:r>
        <w:rPr>
          <w:spacing w:val="-7"/>
          <w:sz w:val="20"/>
        </w:rPr>
        <w:t> </w:t>
      </w:r>
      <w:r>
        <w:rPr>
          <w:sz w:val="20"/>
        </w:rPr>
        <w:t>or</w:t>
      </w:r>
      <w:r>
        <w:rPr>
          <w:spacing w:val="-8"/>
          <w:sz w:val="20"/>
        </w:rPr>
        <w:t> </w:t>
      </w:r>
      <w:r>
        <w:rPr>
          <w:sz w:val="20"/>
        </w:rPr>
        <w:t>Auslan</w:t>
      </w:r>
      <w:r>
        <w:rPr>
          <w:spacing w:val="-8"/>
          <w:sz w:val="20"/>
        </w:rPr>
        <w:t> </w:t>
      </w:r>
      <w:r>
        <w:rPr>
          <w:spacing w:val="-3"/>
          <w:sz w:val="20"/>
        </w:rPr>
        <w:t>interpreter</w:t>
      </w:r>
      <w:r>
        <w:rPr>
          <w:spacing w:val="-8"/>
          <w:sz w:val="20"/>
        </w:rPr>
        <w:t> </w:t>
      </w:r>
      <w:r>
        <w:rPr>
          <w:sz w:val="20"/>
        </w:rPr>
        <w:t>in</w:t>
      </w:r>
      <w:r>
        <w:rPr>
          <w:spacing w:val="-7"/>
          <w:sz w:val="20"/>
        </w:rPr>
        <w:t> </w:t>
      </w:r>
      <w:r>
        <w:rPr>
          <w:sz w:val="20"/>
        </w:rPr>
        <w:t>the</w:t>
      </w:r>
      <w:r>
        <w:rPr>
          <w:spacing w:val="-8"/>
          <w:sz w:val="20"/>
        </w:rPr>
        <w:t> ACT. </w:t>
      </w:r>
      <w:r>
        <w:rPr>
          <w:spacing w:val="-6"/>
          <w:sz w:val="20"/>
        </w:rPr>
        <w:t>We</w:t>
      </w:r>
      <w:r>
        <w:rPr>
          <w:spacing w:val="-8"/>
          <w:sz w:val="20"/>
        </w:rPr>
        <w:t> </w:t>
      </w:r>
      <w:r>
        <w:rPr>
          <w:sz w:val="20"/>
        </w:rPr>
        <w:t>understand</w:t>
      </w:r>
      <w:r>
        <w:rPr>
          <w:spacing w:val="-7"/>
          <w:sz w:val="20"/>
        </w:rPr>
        <w:t> </w:t>
      </w:r>
      <w:r>
        <w:rPr>
          <w:spacing w:val="-3"/>
          <w:sz w:val="20"/>
        </w:rPr>
        <w:t>from</w:t>
      </w:r>
      <w:r>
        <w:rPr>
          <w:spacing w:val="-8"/>
          <w:sz w:val="20"/>
        </w:rPr>
        <w:t> </w:t>
      </w:r>
      <w:r>
        <w:rPr>
          <w:sz w:val="20"/>
        </w:rPr>
        <w:t>the</w:t>
      </w:r>
      <w:r>
        <w:rPr>
          <w:spacing w:val="-8"/>
          <w:sz w:val="20"/>
        </w:rPr>
        <w:t> </w:t>
      </w:r>
      <w:r>
        <w:rPr>
          <w:sz w:val="20"/>
        </w:rPr>
        <w:t>sheriff that enquiries </w:t>
      </w:r>
      <w:r>
        <w:rPr>
          <w:spacing w:val="-4"/>
          <w:sz w:val="20"/>
        </w:rPr>
        <w:t>have </w:t>
      </w:r>
      <w:r>
        <w:rPr>
          <w:sz w:val="20"/>
        </w:rPr>
        <w:t>been made about the use of supports but those pool members </w:t>
      </w:r>
      <w:r>
        <w:rPr>
          <w:spacing w:val="-4"/>
          <w:sz w:val="20"/>
        </w:rPr>
        <w:t>have </w:t>
      </w:r>
      <w:r>
        <w:rPr>
          <w:sz w:val="20"/>
        </w:rPr>
        <w:t>subsequently asked to be </w:t>
      </w:r>
      <w:r>
        <w:rPr>
          <w:spacing w:val="-3"/>
          <w:sz w:val="20"/>
        </w:rPr>
        <w:t>excused from </w:t>
      </w:r>
      <w:r>
        <w:rPr>
          <w:sz w:val="20"/>
        </w:rPr>
        <w:t>jury</w:t>
      </w:r>
      <w:r>
        <w:rPr>
          <w:spacing w:val="-27"/>
          <w:sz w:val="20"/>
        </w:rPr>
        <w:t> </w:t>
      </w:r>
      <w:r>
        <w:rPr>
          <w:sz w:val="20"/>
        </w:rPr>
        <w:t>service.</w:t>
      </w:r>
      <w:r>
        <w:rPr>
          <w:position w:val="7"/>
          <w:sz w:val="11"/>
        </w:rPr>
        <w:t>9</w:t>
      </w:r>
    </w:p>
    <w:p>
      <w:pPr>
        <w:spacing w:before="163"/>
        <w:ind w:left="967" w:right="0" w:firstLine="0"/>
        <w:jc w:val="left"/>
        <w:rPr>
          <w:b/>
          <w:sz w:val="24"/>
        </w:rPr>
      </w:pPr>
      <w:r>
        <w:rPr>
          <w:b/>
          <w:sz w:val="24"/>
        </w:rPr>
        <w:t>Reform in the Federal jurisdiction</w:t>
      </w:r>
    </w:p>
    <w:p>
      <w:pPr>
        <w:pStyle w:val="ListParagraph"/>
        <w:numPr>
          <w:ilvl w:val="1"/>
          <w:numId w:val="12"/>
        </w:numPr>
        <w:tabs>
          <w:tab w:pos="1761" w:val="left" w:leader="none"/>
          <w:tab w:pos="1762" w:val="left" w:leader="none"/>
        </w:tabs>
        <w:spacing w:line="206" w:lineRule="auto" w:before="128" w:after="0"/>
        <w:ind w:left="1761" w:right="1242" w:hanging="794"/>
        <w:jc w:val="left"/>
        <w:rPr>
          <w:sz w:val="11"/>
        </w:rPr>
      </w:pPr>
      <w:r>
        <w:rPr>
          <w:sz w:val="20"/>
        </w:rPr>
        <w:t>Jury</w:t>
      </w:r>
      <w:r>
        <w:rPr>
          <w:spacing w:val="-8"/>
          <w:sz w:val="20"/>
        </w:rPr>
        <w:t> </w:t>
      </w:r>
      <w:r>
        <w:rPr>
          <w:sz w:val="20"/>
        </w:rPr>
        <w:t>trials</w:t>
      </w:r>
      <w:r>
        <w:rPr>
          <w:spacing w:val="-7"/>
          <w:sz w:val="20"/>
        </w:rPr>
        <w:t> </w:t>
      </w:r>
      <w:r>
        <w:rPr>
          <w:spacing w:val="-3"/>
          <w:sz w:val="20"/>
        </w:rPr>
        <w:t>are</w:t>
      </w:r>
      <w:r>
        <w:rPr>
          <w:spacing w:val="-7"/>
          <w:sz w:val="20"/>
        </w:rPr>
        <w:t> </w:t>
      </w:r>
      <w:r>
        <w:rPr>
          <w:sz w:val="20"/>
        </w:rPr>
        <w:t>also</w:t>
      </w:r>
      <w:r>
        <w:rPr>
          <w:spacing w:val="-7"/>
          <w:sz w:val="20"/>
        </w:rPr>
        <w:t> </w:t>
      </w:r>
      <w:r>
        <w:rPr>
          <w:spacing w:val="-3"/>
          <w:sz w:val="20"/>
        </w:rPr>
        <w:t>available</w:t>
      </w:r>
      <w:r>
        <w:rPr>
          <w:spacing w:val="-7"/>
          <w:sz w:val="20"/>
        </w:rPr>
        <w:t> </w:t>
      </w:r>
      <w:r>
        <w:rPr>
          <w:sz w:val="20"/>
        </w:rPr>
        <w:t>in</w:t>
      </w:r>
      <w:r>
        <w:rPr>
          <w:spacing w:val="-8"/>
          <w:sz w:val="20"/>
        </w:rPr>
        <w:t> </w:t>
      </w:r>
      <w:r>
        <w:rPr>
          <w:sz w:val="20"/>
        </w:rPr>
        <w:t>the</w:t>
      </w:r>
      <w:r>
        <w:rPr>
          <w:spacing w:val="-7"/>
          <w:sz w:val="20"/>
        </w:rPr>
        <w:t> </w:t>
      </w:r>
      <w:r>
        <w:rPr>
          <w:sz w:val="20"/>
        </w:rPr>
        <w:t>Federal</w:t>
      </w:r>
      <w:r>
        <w:rPr>
          <w:spacing w:val="-7"/>
          <w:sz w:val="20"/>
        </w:rPr>
        <w:t> </w:t>
      </w:r>
      <w:r>
        <w:rPr>
          <w:sz w:val="20"/>
        </w:rPr>
        <w:t>Court</w:t>
      </w:r>
      <w:r>
        <w:rPr>
          <w:spacing w:val="-7"/>
          <w:sz w:val="20"/>
        </w:rPr>
        <w:t> </w:t>
      </w:r>
      <w:r>
        <w:rPr>
          <w:sz w:val="20"/>
        </w:rPr>
        <w:t>of</w:t>
      </w:r>
      <w:r>
        <w:rPr>
          <w:spacing w:val="-7"/>
          <w:sz w:val="20"/>
        </w:rPr>
        <w:t> </w:t>
      </w:r>
      <w:r>
        <w:rPr>
          <w:sz w:val="20"/>
        </w:rPr>
        <w:t>Australia.</w:t>
      </w:r>
      <w:r>
        <w:rPr>
          <w:spacing w:val="-8"/>
          <w:sz w:val="20"/>
        </w:rPr>
        <w:t> </w:t>
      </w:r>
      <w:r>
        <w:rPr>
          <w:sz w:val="20"/>
        </w:rPr>
        <w:t>In</w:t>
      </w:r>
      <w:r>
        <w:rPr>
          <w:spacing w:val="-7"/>
          <w:sz w:val="20"/>
        </w:rPr>
        <w:t> </w:t>
      </w:r>
      <w:r>
        <w:rPr>
          <w:sz w:val="20"/>
        </w:rPr>
        <w:t>2009,</w:t>
      </w:r>
      <w:r>
        <w:rPr>
          <w:spacing w:val="-7"/>
          <w:sz w:val="20"/>
        </w:rPr>
        <w:t> </w:t>
      </w:r>
      <w:r>
        <w:rPr>
          <w:sz w:val="20"/>
        </w:rPr>
        <w:t>the</w:t>
      </w:r>
      <w:r>
        <w:rPr>
          <w:spacing w:val="-7"/>
          <w:sz w:val="20"/>
        </w:rPr>
        <w:t> </w:t>
      </w:r>
      <w:r>
        <w:rPr>
          <w:sz w:val="20"/>
        </w:rPr>
        <w:t>Federal</w:t>
      </w:r>
      <w:r>
        <w:rPr>
          <w:spacing w:val="-7"/>
          <w:sz w:val="20"/>
        </w:rPr>
        <w:t> </w:t>
      </w:r>
      <w:r>
        <w:rPr>
          <w:sz w:val="20"/>
        </w:rPr>
        <w:t>Court was </w:t>
      </w:r>
      <w:r>
        <w:rPr>
          <w:spacing w:val="-3"/>
          <w:sz w:val="20"/>
        </w:rPr>
        <w:t>conferred </w:t>
      </w:r>
      <w:r>
        <w:rPr>
          <w:sz w:val="20"/>
        </w:rPr>
        <w:t>with the </w:t>
      </w:r>
      <w:r>
        <w:rPr>
          <w:spacing w:val="-3"/>
          <w:sz w:val="20"/>
        </w:rPr>
        <w:t>power </w:t>
      </w:r>
      <w:r>
        <w:rPr>
          <w:sz w:val="20"/>
        </w:rPr>
        <w:t>to hear indictable criminal cases in relation to cartel offences contained in sections 45AF and 45AG of the </w:t>
      </w:r>
      <w:r>
        <w:rPr>
          <w:i/>
          <w:sz w:val="20"/>
        </w:rPr>
        <w:t>Competition and Consumer Act </w:t>
      </w:r>
      <w:r>
        <w:rPr>
          <w:i/>
          <w:spacing w:val="-3"/>
          <w:sz w:val="20"/>
        </w:rPr>
        <w:t>2010 </w:t>
      </w:r>
      <w:r>
        <w:rPr>
          <w:spacing w:val="-3"/>
          <w:sz w:val="20"/>
        </w:rPr>
        <w:t>(Cth).</w:t>
      </w:r>
      <w:r>
        <w:rPr>
          <w:spacing w:val="-3"/>
          <w:position w:val="7"/>
          <w:sz w:val="11"/>
        </w:rPr>
        <w:t>10</w:t>
      </w:r>
    </w:p>
    <w:p>
      <w:pPr>
        <w:pStyle w:val="ListParagraph"/>
        <w:numPr>
          <w:ilvl w:val="1"/>
          <w:numId w:val="12"/>
        </w:numPr>
        <w:tabs>
          <w:tab w:pos="1762" w:val="left" w:leader="none"/>
        </w:tabs>
        <w:spacing w:line="206" w:lineRule="auto" w:before="125" w:after="0"/>
        <w:ind w:left="1761" w:right="1375" w:hanging="794"/>
        <w:jc w:val="both"/>
        <w:rPr>
          <w:sz w:val="11"/>
        </w:rPr>
      </w:pPr>
      <w:r>
        <w:rPr>
          <w:sz w:val="20"/>
        </w:rPr>
        <w:t>No</w:t>
      </w:r>
      <w:r>
        <w:rPr>
          <w:spacing w:val="-11"/>
          <w:sz w:val="20"/>
        </w:rPr>
        <w:t> </w:t>
      </w:r>
      <w:r>
        <w:rPr>
          <w:sz w:val="20"/>
        </w:rPr>
        <w:t>legislative</w:t>
      </w:r>
      <w:r>
        <w:rPr>
          <w:spacing w:val="-10"/>
          <w:sz w:val="20"/>
        </w:rPr>
        <w:t> </w:t>
      </w:r>
      <w:r>
        <w:rPr>
          <w:spacing w:val="-3"/>
          <w:sz w:val="20"/>
        </w:rPr>
        <w:t>reforms</w:t>
      </w:r>
      <w:r>
        <w:rPr>
          <w:spacing w:val="-11"/>
          <w:sz w:val="20"/>
        </w:rPr>
        <w:t> </w:t>
      </w:r>
      <w:r>
        <w:rPr>
          <w:spacing w:val="-4"/>
          <w:sz w:val="20"/>
        </w:rPr>
        <w:t>have</w:t>
      </w:r>
      <w:r>
        <w:rPr>
          <w:spacing w:val="-10"/>
          <w:sz w:val="20"/>
        </w:rPr>
        <w:t> </w:t>
      </w:r>
      <w:r>
        <w:rPr>
          <w:sz w:val="20"/>
        </w:rPr>
        <w:t>been</w:t>
      </w:r>
      <w:r>
        <w:rPr>
          <w:spacing w:val="-11"/>
          <w:sz w:val="20"/>
        </w:rPr>
        <w:t> </w:t>
      </w:r>
      <w:r>
        <w:rPr>
          <w:sz w:val="20"/>
        </w:rPr>
        <w:t>made</w:t>
      </w:r>
      <w:r>
        <w:rPr>
          <w:spacing w:val="-10"/>
          <w:sz w:val="20"/>
        </w:rPr>
        <w:t> </w:t>
      </w:r>
      <w:r>
        <w:rPr>
          <w:sz w:val="20"/>
        </w:rPr>
        <w:t>to</w:t>
      </w:r>
      <w:r>
        <w:rPr>
          <w:spacing w:val="-11"/>
          <w:sz w:val="20"/>
        </w:rPr>
        <w:t> </w:t>
      </w:r>
      <w:r>
        <w:rPr>
          <w:sz w:val="20"/>
        </w:rPr>
        <w:t>enable</w:t>
      </w:r>
      <w:r>
        <w:rPr>
          <w:spacing w:val="-10"/>
          <w:sz w:val="20"/>
        </w:rPr>
        <w:t> </w:t>
      </w:r>
      <w:r>
        <w:rPr>
          <w:sz w:val="20"/>
        </w:rPr>
        <w:t>the</w:t>
      </w:r>
      <w:r>
        <w:rPr>
          <w:spacing w:val="-11"/>
          <w:sz w:val="20"/>
        </w:rPr>
        <w:t> </w:t>
      </w:r>
      <w:r>
        <w:rPr>
          <w:sz w:val="20"/>
        </w:rPr>
        <w:t>Court</w:t>
      </w:r>
      <w:r>
        <w:rPr>
          <w:spacing w:val="-10"/>
          <w:sz w:val="20"/>
        </w:rPr>
        <w:t> </w:t>
      </w:r>
      <w:r>
        <w:rPr>
          <w:sz w:val="20"/>
        </w:rPr>
        <w:t>to</w:t>
      </w:r>
      <w:r>
        <w:rPr>
          <w:spacing w:val="-10"/>
          <w:sz w:val="20"/>
        </w:rPr>
        <w:t> </w:t>
      </w:r>
      <w:r>
        <w:rPr>
          <w:sz w:val="20"/>
        </w:rPr>
        <w:t>implement</w:t>
      </w:r>
      <w:r>
        <w:rPr>
          <w:spacing w:val="-11"/>
          <w:sz w:val="20"/>
        </w:rPr>
        <w:t> </w:t>
      </w:r>
      <w:r>
        <w:rPr>
          <w:sz w:val="20"/>
        </w:rPr>
        <w:t>reasonable adjustments</w:t>
      </w:r>
      <w:r>
        <w:rPr>
          <w:spacing w:val="-11"/>
          <w:sz w:val="20"/>
        </w:rPr>
        <w:t> </w:t>
      </w:r>
      <w:r>
        <w:rPr>
          <w:sz w:val="20"/>
        </w:rPr>
        <w:t>to</w:t>
      </w:r>
      <w:r>
        <w:rPr>
          <w:spacing w:val="-10"/>
          <w:sz w:val="20"/>
        </w:rPr>
        <w:t> </w:t>
      </w:r>
      <w:r>
        <w:rPr>
          <w:sz w:val="20"/>
        </w:rPr>
        <w:t>facilitate</w:t>
      </w:r>
      <w:r>
        <w:rPr>
          <w:spacing w:val="-11"/>
          <w:sz w:val="20"/>
        </w:rPr>
        <w:t> </w:t>
      </w:r>
      <w:r>
        <w:rPr>
          <w:sz w:val="20"/>
        </w:rPr>
        <w:t>access</w:t>
      </w:r>
      <w:r>
        <w:rPr>
          <w:spacing w:val="-10"/>
          <w:sz w:val="20"/>
        </w:rPr>
        <w:t> </w:t>
      </w:r>
      <w:r>
        <w:rPr>
          <w:sz w:val="20"/>
        </w:rPr>
        <w:t>for</w:t>
      </w:r>
      <w:r>
        <w:rPr>
          <w:spacing w:val="-11"/>
          <w:sz w:val="20"/>
        </w:rPr>
        <w:t> </w:t>
      </w:r>
      <w:r>
        <w:rPr>
          <w:sz w:val="20"/>
        </w:rPr>
        <w:t>people</w:t>
      </w:r>
      <w:r>
        <w:rPr>
          <w:spacing w:val="-10"/>
          <w:sz w:val="20"/>
        </w:rPr>
        <w:t> </w:t>
      </w:r>
      <w:r>
        <w:rPr>
          <w:sz w:val="20"/>
        </w:rPr>
        <w:t>in</w:t>
      </w:r>
      <w:r>
        <w:rPr>
          <w:spacing w:val="-10"/>
          <w:sz w:val="20"/>
        </w:rPr>
        <w:t> </w:t>
      </w:r>
      <w:r>
        <w:rPr>
          <w:sz w:val="20"/>
        </w:rPr>
        <w:t>the</w:t>
      </w:r>
      <w:r>
        <w:rPr>
          <w:spacing w:val="-11"/>
          <w:sz w:val="20"/>
        </w:rPr>
        <w:t> </w:t>
      </w:r>
      <w:r>
        <w:rPr>
          <w:sz w:val="20"/>
        </w:rPr>
        <w:t>subject</w:t>
      </w:r>
      <w:r>
        <w:rPr>
          <w:spacing w:val="-10"/>
          <w:sz w:val="20"/>
        </w:rPr>
        <w:t> </w:t>
      </w:r>
      <w:r>
        <w:rPr>
          <w:sz w:val="20"/>
        </w:rPr>
        <w:t>groups.</w:t>
      </w:r>
      <w:r>
        <w:rPr>
          <w:spacing w:val="-11"/>
          <w:sz w:val="20"/>
        </w:rPr>
        <w:t> </w:t>
      </w:r>
      <w:r>
        <w:rPr>
          <w:spacing w:val="-5"/>
          <w:sz w:val="20"/>
        </w:rPr>
        <w:t>However,</w:t>
      </w:r>
      <w:r>
        <w:rPr>
          <w:spacing w:val="-10"/>
          <w:sz w:val="20"/>
        </w:rPr>
        <w:t> </w:t>
      </w:r>
      <w:r>
        <w:rPr>
          <w:sz w:val="20"/>
        </w:rPr>
        <w:t>under</w:t>
      </w:r>
      <w:r>
        <w:rPr>
          <w:spacing w:val="-11"/>
          <w:sz w:val="20"/>
        </w:rPr>
        <w:t> </w:t>
      </w:r>
      <w:r>
        <w:rPr>
          <w:sz w:val="20"/>
        </w:rPr>
        <w:t>the </w:t>
      </w:r>
      <w:r>
        <w:rPr>
          <w:i/>
          <w:spacing w:val="-3"/>
          <w:sz w:val="20"/>
        </w:rPr>
        <w:t>Federal</w:t>
      </w:r>
      <w:r>
        <w:rPr>
          <w:i/>
          <w:spacing w:val="-8"/>
          <w:sz w:val="20"/>
        </w:rPr>
        <w:t> </w:t>
      </w:r>
      <w:r>
        <w:rPr>
          <w:i/>
          <w:sz w:val="20"/>
        </w:rPr>
        <w:t>Court</w:t>
      </w:r>
      <w:r>
        <w:rPr>
          <w:i/>
          <w:spacing w:val="-7"/>
          <w:sz w:val="20"/>
        </w:rPr>
        <w:t> </w:t>
      </w:r>
      <w:r>
        <w:rPr>
          <w:i/>
          <w:sz w:val="20"/>
        </w:rPr>
        <w:t>of</w:t>
      </w:r>
      <w:r>
        <w:rPr>
          <w:i/>
          <w:spacing w:val="-7"/>
          <w:sz w:val="20"/>
        </w:rPr>
        <w:t> </w:t>
      </w:r>
      <w:r>
        <w:rPr>
          <w:i/>
          <w:sz w:val="20"/>
        </w:rPr>
        <w:t>Australia</w:t>
      </w:r>
      <w:r>
        <w:rPr>
          <w:i/>
          <w:spacing w:val="-7"/>
          <w:sz w:val="20"/>
        </w:rPr>
        <w:t> </w:t>
      </w:r>
      <w:r>
        <w:rPr>
          <w:i/>
          <w:sz w:val="20"/>
        </w:rPr>
        <w:t>Act</w:t>
      </w:r>
      <w:r>
        <w:rPr>
          <w:i/>
          <w:spacing w:val="-8"/>
          <w:sz w:val="20"/>
        </w:rPr>
        <w:t> </w:t>
      </w:r>
      <w:r>
        <w:rPr>
          <w:i/>
          <w:spacing w:val="-5"/>
          <w:sz w:val="20"/>
        </w:rPr>
        <w:t>1976</w:t>
      </w:r>
      <w:r>
        <w:rPr>
          <w:i/>
          <w:spacing w:val="-7"/>
          <w:sz w:val="20"/>
        </w:rPr>
        <w:t> </w:t>
      </w:r>
      <w:r>
        <w:rPr>
          <w:spacing w:val="-3"/>
          <w:sz w:val="20"/>
        </w:rPr>
        <w:t>(Cth),</w:t>
      </w:r>
      <w:r>
        <w:rPr>
          <w:spacing w:val="-7"/>
          <w:sz w:val="20"/>
        </w:rPr>
        <w:t> </w:t>
      </w:r>
      <w:r>
        <w:rPr>
          <w:sz w:val="20"/>
        </w:rPr>
        <w:t>the</w:t>
      </w:r>
      <w:r>
        <w:rPr>
          <w:spacing w:val="-7"/>
          <w:sz w:val="20"/>
        </w:rPr>
        <w:t> </w:t>
      </w:r>
      <w:r>
        <w:rPr>
          <w:spacing w:val="-3"/>
          <w:sz w:val="20"/>
        </w:rPr>
        <w:t>sheriff,</w:t>
      </w:r>
      <w:r>
        <w:rPr>
          <w:spacing w:val="-8"/>
          <w:sz w:val="20"/>
        </w:rPr>
        <w:t> </w:t>
      </w:r>
      <w:r>
        <w:rPr>
          <w:sz w:val="20"/>
        </w:rPr>
        <w:t>in</w:t>
      </w:r>
      <w:r>
        <w:rPr>
          <w:spacing w:val="-7"/>
          <w:sz w:val="20"/>
        </w:rPr>
        <w:t> </w:t>
      </w:r>
      <w:r>
        <w:rPr>
          <w:spacing w:val="-3"/>
          <w:sz w:val="20"/>
        </w:rPr>
        <w:t>exercising</w:t>
      </w:r>
      <w:r>
        <w:rPr>
          <w:spacing w:val="-7"/>
          <w:sz w:val="20"/>
        </w:rPr>
        <w:t> </w:t>
      </w:r>
      <w:r>
        <w:rPr>
          <w:sz w:val="20"/>
        </w:rPr>
        <w:t>the</w:t>
      </w:r>
      <w:r>
        <w:rPr>
          <w:spacing w:val="-7"/>
          <w:sz w:val="20"/>
        </w:rPr>
        <w:t> </w:t>
      </w:r>
      <w:r>
        <w:rPr>
          <w:spacing w:val="-3"/>
          <w:sz w:val="20"/>
        </w:rPr>
        <w:t>power</w:t>
      </w:r>
      <w:r>
        <w:rPr>
          <w:spacing w:val="-8"/>
          <w:sz w:val="20"/>
        </w:rPr>
        <w:t> </w:t>
      </w:r>
      <w:r>
        <w:rPr>
          <w:sz w:val="20"/>
        </w:rPr>
        <w:t>to</w:t>
      </w:r>
      <w:r>
        <w:rPr>
          <w:spacing w:val="-7"/>
          <w:sz w:val="20"/>
        </w:rPr>
        <w:t> </w:t>
      </w:r>
      <w:r>
        <w:rPr>
          <w:spacing w:val="-3"/>
          <w:sz w:val="20"/>
        </w:rPr>
        <w:t>excuse</w:t>
      </w:r>
      <w:r>
        <w:rPr>
          <w:spacing w:val="-7"/>
          <w:sz w:val="20"/>
        </w:rPr>
        <w:t> </w:t>
      </w:r>
      <w:r>
        <w:rPr>
          <w:sz w:val="20"/>
        </w:rPr>
        <w:t>a potential</w:t>
      </w:r>
      <w:r>
        <w:rPr>
          <w:spacing w:val="-11"/>
          <w:sz w:val="20"/>
        </w:rPr>
        <w:t> </w:t>
      </w:r>
      <w:r>
        <w:rPr>
          <w:sz w:val="20"/>
        </w:rPr>
        <w:t>juror</w:t>
      </w:r>
      <w:r>
        <w:rPr>
          <w:spacing w:val="-11"/>
          <w:sz w:val="20"/>
        </w:rPr>
        <w:t> </w:t>
      </w:r>
      <w:r>
        <w:rPr>
          <w:sz w:val="20"/>
        </w:rPr>
        <w:t>due</w:t>
      </w:r>
      <w:r>
        <w:rPr>
          <w:spacing w:val="-10"/>
          <w:sz w:val="20"/>
        </w:rPr>
        <w:t> </w:t>
      </w:r>
      <w:r>
        <w:rPr>
          <w:sz w:val="20"/>
        </w:rPr>
        <w:t>to</w:t>
      </w:r>
      <w:r>
        <w:rPr>
          <w:spacing w:val="-11"/>
          <w:sz w:val="20"/>
        </w:rPr>
        <w:t> </w:t>
      </w:r>
      <w:r>
        <w:rPr>
          <w:sz w:val="20"/>
        </w:rPr>
        <w:t>their</w:t>
      </w:r>
      <w:r>
        <w:rPr>
          <w:spacing w:val="-11"/>
          <w:sz w:val="20"/>
        </w:rPr>
        <w:t> </w:t>
      </w:r>
      <w:r>
        <w:rPr>
          <w:spacing w:val="-3"/>
          <w:sz w:val="20"/>
        </w:rPr>
        <w:t>‘inability,</w:t>
      </w:r>
      <w:r>
        <w:rPr>
          <w:spacing w:val="-10"/>
          <w:sz w:val="20"/>
        </w:rPr>
        <w:t> </w:t>
      </w:r>
      <w:r>
        <w:rPr>
          <w:sz w:val="20"/>
        </w:rPr>
        <w:t>in</w:t>
      </w:r>
      <w:r>
        <w:rPr>
          <w:spacing w:val="-11"/>
          <w:sz w:val="20"/>
        </w:rPr>
        <w:t> </w:t>
      </w:r>
      <w:r>
        <w:rPr>
          <w:sz w:val="20"/>
        </w:rPr>
        <w:t>all</w:t>
      </w:r>
      <w:r>
        <w:rPr>
          <w:spacing w:val="-11"/>
          <w:sz w:val="20"/>
        </w:rPr>
        <w:t> </w:t>
      </w:r>
      <w:r>
        <w:rPr>
          <w:sz w:val="20"/>
        </w:rPr>
        <w:t>the</w:t>
      </w:r>
      <w:r>
        <w:rPr>
          <w:spacing w:val="-10"/>
          <w:sz w:val="20"/>
        </w:rPr>
        <w:t> </w:t>
      </w:r>
      <w:r>
        <w:rPr>
          <w:sz w:val="20"/>
        </w:rPr>
        <w:t>circumstances,</w:t>
      </w:r>
      <w:r>
        <w:rPr>
          <w:spacing w:val="-11"/>
          <w:sz w:val="20"/>
        </w:rPr>
        <w:t> </w:t>
      </w:r>
      <w:r>
        <w:rPr>
          <w:sz w:val="20"/>
        </w:rPr>
        <w:t>to</w:t>
      </w:r>
      <w:r>
        <w:rPr>
          <w:spacing w:val="-10"/>
          <w:sz w:val="20"/>
        </w:rPr>
        <w:t> </w:t>
      </w:r>
      <w:r>
        <w:rPr>
          <w:sz w:val="20"/>
        </w:rPr>
        <w:t>perform</w:t>
      </w:r>
      <w:r>
        <w:rPr>
          <w:spacing w:val="-11"/>
          <w:sz w:val="20"/>
        </w:rPr>
        <w:t> </w:t>
      </w:r>
      <w:r>
        <w:rPr>
          <w:sz w:val="20"/>
        </w:rPr>
        <w:t>the</w:t>
      </w:r>
      <w:r>
        <w:rPr>
          <w:spacing w:val="-11"/>
          <w:sz w:val="20"/>
        </w:rPr>
        <w:t> </w:t>
      </w:r>
      <w:r>
        <w:rPr>
          <w:sz w:val="20"/>
        </w:rPr>
        <w:t>duties</w:t>
      </w:r>
      <w:r>
        <w:rPr>
          <w:spacing w:val="-10"/>
          <w:sz w:val="20"/>
        </w:rPr>
        <w:t> </w:t>
      </w:r>
      <w:r>
        <w:rPr>
          <w:sz w:val="20"/>
        </w:rPr>
        <w:t>of</w:t>
      </w:r>
      <w:r>
        <w:rPr>
          <w:spacing w:val="-11"/>
          <w:sz w:val="20"/>
        </w:rPr>
        <w:t> </w:t>
      </w:r>
      <w:r>
        <w:rPr>
          <w:sz w:val="20"/>
        </w:rPr>
        <w:t>a juror</w:t>
      </w:r>
      <w:r>
        <w:rPr>
          <w:spacing w:val="-9"/>
          <w:sz w:val="20"/>
        </w:rPr>
        <w:t> </w:t>
      </w:r>
      <w:r>
        <w:rPr>
          <w:sz w:val="20"/>
        </w:rPr>
        <w:t>to</w:t>
      </w:r>
      <w:r>
        <w:rPr>
          <w:spacing w:val="-9"/>
          <w:sz w:val="20"/>
        </w:rPr>
        <w:t> </w:t>
      </w:r>
      <w:r>
        <w:rPr>
          <w:sz w:val="20"/>
        </w:rPr>
        <w:t>a</w:t>
      </w:r>
      <w:r>
        <w:rPr>
          <w:spacing w:val="-9"/>
          <w:sz w:val="20"/>
        </w:rPr>
        <w:t> </w:t>
      </w:r>
      <w:r>
        <w:rPr>
          <w:sz w:val="20"/>
        </w:rPr>
        <w:t>reasonable</w:t>
      </w:r>
      <w:r>
        <w:rPr>
          <w:spacing w:val="-9"/>
          <w:sz w:val="20"/>
        </w:rPr>
        <w:t> </w:t>
      </w:r>
      <w:r>
        <w:rPr>
          <w:sz w:val="20"/>
        </w:rPr>
        <w:t>standard’</w:t>
      </w:r>
      <w:r>
        <w:rPr>
          <w:spacing w:val="-9"/>
          <w:sz w:val="20"/>
        </w:rPr>
        <w:t> </w:t>
      </w:r>
      <w:r>
        <w:rPr>
          <w:spacing w:val="-3"/>
          <w:sz w:val="20"/>
        </w:rPr>
        <w:t>(on</w:t>
      </w:r>
      <w:r>
        <w:rPr>
          <w:spacing w:val="-9"/>
          <w:sz w:val="20"/>
        </w:rPr>
        <w:t> </w:t>
      </w:r>
      <w:r>
        <w:rPr>
          <w:sz w:val="20"/>
        </w:rPr>
        <w:t>application</w:t>
      </w:r>
      <w:r>
        <w:rPr>
          <w:spacing w:val="-9"/>
          <w:sz w:val="20"/>
        </w:rPr>
        <w:t> </w:t>
      </w:r>
      <w:r>
        <w:rPr>
          <w:sz w:val="20"/>
        </w:rPr>
        <w:t>of</w:t>
      </w:r>
      <w:r>
        <w:rPr>
          <w:spacing w:val="-9"/>
          <w:sz w:val="20"/>
        </w:rPr>
        <w:t> </w:t>
      </w:r>
      <w:r>
        <w:rPr>
          <w:sz w:val="20"/>
        </w:rPr>
        <w:t>the</w:t>
      </w:r>
      <w:r>
        <w:rPr>
          <w:spacing w:val="-9"/>
          <w:sz w:val="20"/>
        </w:rPr>
        <w:t> </w:t>
      </w:r>
      <w:r>
        <w:rPr>
          <w:sz w:val="20"/>
        </w:rPr>
        <w:t>person,</w:t>
      </w:r>
      <w:r>
        <w:rPr>
          <w:spacing w:val="-9"/>
          <w:sz w:val="20"/>
        </w:rPr>
        <w:t> </w:t>
      </w:r>
      <w:r>
        <w:rPr>
          <w:sz w:val="20"/>
        </w:rPr>
        <w:t>or</w:t>
      </w:r>
      <w:r>
        <w:rPr>
          <w:spacing w:val="-9"/>
          <w:sz w:val="20"/>
        </w:rPr>
        <w:t> </w:t>
      </w:r>
      <w:r>
        <w:rPr>
          <w:sz w:val="20"/>
        </w:rPr>
        <w:t>on</w:t>
      </w:r>
      <w:r>
        <w:rPr>
          <w:spacing w:val="-9"/>
          <w:sz w:val="20"/>
        </w:rPr>
        <w:t> </w:t>
      </w:r>
      <w:r>
        <w:rPr>
          <w:sz w:val="20"/>
        </w:rPr>
        <w:t>their</w:t>
      </w:r>
      <w:r>
        <w:rPr>
          <w:spacing w:val="-9"/>
          <w:sz w:val="20"/>
        </w:rPr>
        <w:t> </w:t>
      </w:r>
      <w:r>
        <w:rPr>
          <w:spacing w:val="-3"/>
          <w:sz w:val="20"/>
        </w:rPr>
        <w:t>own</w:t>
      </w:r>
      <w:r>
        <w:rPr>
          <w:spacing w:val="-9"/>
          <w:sz w:val="20"/>
        </w:rPr>
        <w:t> </w:t>
      </w:r>
      <w:r>
        <w:rPr>
          <w:spacing w:val="-3"/>
          <w:sz w:val="20"/>
        </w:rPr>
        <w:t>initiative) </w:t>
      </w:r>
      <w:r>
        <w:rPr>
          <w:sz w:val="20"/>
        </w:rPr>
        <w:t>‘must</w:t>
      </w:r>
      <w:r>
        <w:rPr>
          <w:spacing w:val="-6"/>
          <w:sz w:val="20"/>
        </w:rPr>
        <w:t> </w:t>
      </w:r>
      <w:r>
        <w:rPr>
          <w:spacing w:val="-4"/>
          <w:sz w:val="20"/>
        </w:rPr>
        <w:t>have</w:t>
      </w:r>
      <w:r>
        <w:rPr>
          <w:spacing w:val="-5"/>
          <w:sz w:val="20"/>
        </w:rPr>
        <w:t> </w:t>
      </w:r>
      <w:r>
        <w:rPr>
          <w:spacing w:val="-3"/>
          <w:sz w:val="20"/>
        </w:rPr>
        <w:t>regard</w:t>
      </w:r>
      <w:r>
        <w:rPr>
          <w:spacing w:val="-5"/>
          <w:sz w:val="20"/>
        </w:rPr>
        <w:t> </w:t>
      </w:r>
      <w:r>
        <w:rPr>
          <w:sz w:val="20"/>
        </w:rPr>
        <w:t>to</w:t>
      </w:r>
      <w:r>
        <w:rPr>
          <w:spacing w:val="-6"/>
          <w:sz w:val="20"/>
        </w:rPr>
        <w:t> </w:t>
      </w:r>
      <w:r>
        <w:rPr>
          <w:sz w:val="20"/>
        </w:rPr>
        <w:t>the</w:t>
      </w:r>
      <w:r>
        <w:rPr>
          <w:spacing w:val="-5"/>
          <w:sz w:val="20"/>
        </w:rPr>
        <w:t> </w:t>
      </w:r>
      <w:r>
        <w:rPr>
          <w:i/>
          <w:sz w:val="20"/>
        </w:rPr>
        <w:t>Disability</w:t>
      </w:r>
      <w:r>
        <w:rPr>
          <w:i/>
          <w:spacing w:val="-5"/>
          <w:sz w:val="20"/>
        </w:rPr>
        <w:t> </w:t>
      </w:r>
      <w:r>
        <w:rPr>
          <w:i/>
          <w:sz w:val="20"/>
        </w:rPr>
        <w:t>Discrimination</w:t>
      </w:r>
      <w:r>
        <w:rPr>
          <w:i/>
          <w:spacing w:val="-5"/>
          <w:sz w:val="20"/>
        </w:rPr>
        <w:t> </w:t>
      </w:r>
      <w:r>
        <w:rPr>
          <w:i/>
          <w:sz w:val="20"/>
        </w:rPr>
        <w:t>Act</w:t>
      </w:r>
      <w:r>
        <w:rPr>
          <w:i/>
          <w:spacing w:val="-6"/>
          <w:sz w:val="20"/>
        </w:rPr>
        <w:t> </w:t>
      </w:r>
      <w:r>
        <w:rPr>
          <w:i/>
          <w:sz w:val="20"/>
        </w:rPr>
        <w:t>1992</w:t>
      </w:r>
      <w:r>
        <w:rPr>
          <w:i/>
          <w:spacing w:val="-4"/>
          <w:sz w:val="20"/>
        </w:rPr>
        <w:t> </w:t>
      </w:r>
      <w:r>
        <w:rPr>
          <w:sz w:val="20"/>
        </w:rPr>
        <w:t>[Cth]’.</w:t>
      </w:r>
      <w:r>
        <w:rPr>
          <w:position w:val="7"/>
          <w:sz w:val="11"/>
        </w:rPr>
        <w:t>11</w:t>
      </w:r>
    </w:p>
    <w:p>
      <w:pPr>
        <w:pStyle w:val="ListParagraph"/>
        <w:numPr>
          <w:ilvl w:val="1"/>
          <w:numId w:val="12"/>
        </w:numPr>
        <w:tabs>
          <w:tab w:pos="1761" w:val="left" w:leader="none"/>
          <w:tab w:pos="1762" w:val="left" w:leader="none"/>
        </w:tabs>
        <w:spacing w:line="206" w:lineRule="auto" w:before="127" w:after="0"/>
        <w:ind w:left="1761" w:right="1543" w:hanging="794"/>
        <w:jc w:val="left"/>
        <w:rPr>
          <w:sz w:val="20"/>
        </w:rPr>
      </w:pPr>
      <w:r>
        <w:rPr>
          <w:sz w:val="20"/>
        </w:rPr>
        <w:t>All Federal Court buildings </w:t>
      </w:r>
      <w:r>
        <w:rPr>
          <w:spacing w:val="-4"/>
          <w:sz w:val="20"/>
        </w:rPr>
        <w:t>have </w:t>
      </w:r>
      <w:r>
        <w:rPr>
          <w:sz w:val="20"/>
        </w:rPr>
        <w:t>wheelchair access and </w:t>
      </w:r>
      <w:r>
        <w:rPr>
          <w:spacing w:val="-3"/>
          <w:sz w:val="20"/>
        </w:rPr>
        <w:t>are </w:t>
      </w:r>
      <w:r>
        <w:rPr>
          <w:sz w:val="20"/>
        </w:rPr>
        <w:t>equipped with hearing loops.</w:t>
      </w:r>
      <w:r>
        <w:rPr>
          <w:spacing w:val="-11"/>
          <w:sz w:val="20"/>
        </w:rPr>
        <w:t> </w:t>
      </w:r>
      <w:r>
        <w:rPr>
          <w:sz w:val="20"/>
        </w:rPr>
        <w:t>All</w:t>
      </w:r>
      <w:r>
        <w:rPr>
          <w:spacing w:val="-10"/>
          <w:sz w:val="20"/>
        </w:rPr>
        <w:t> </w:t>
      </w:r>
      <w:r>
        <w:rPr>
          <w:sz w:val="20"/>
        </w:rPr>
        <w:t>jury</w:t>
      </w:r>
      <w:r>
        <w:rPr>
          <w:spacing w:val="-10"/>
          <w:sz w:val="20"/>
        </w:rPr>
        <w:t> </w:t>
      </w:r>
      <w:r>
        <w:rPr>
          <w:spacing w:val="-3"/>
          <w:sz w:val="20"/>
        </w:rPr>
        <w:t>boxes</w:t>
      </w:r>
      <w:r>
        <w:rPr>
          <w:spacing w:val="-10"/>
          <w:sz w:val="20"/>
        </w:rPr>
        <w:t> </w:t>
      </w:r>
      <w:r>
        <w:rPr>
          <w:spacing w:val="-3"/>
          <w:sz w:val="20"/>
        </w:rPr>
        <w:t>are</w:t>
      </w:r>
      <w:r>
        <w:rPr>
          <w:spacing w:val="-10"/>
          <w:sz w:val="20"/>
        </w:rPr>
        <w:t> </w:t>
      </w:r>
      <w:r>
        <w:rPr>
          <w:sz w:val="20"/>
        </w:rPr>
        <w:t>designed</w:t>
      </w:r>
      <w:r>
        <w:rPr>
          <w:spacing w:val="-10"/>
          <w:sz w:val="20"/>
        </w:rPr>
        <w:t> </w:t>
      </w:r>
      <w:r>
        <w:rPr>
          <w:sz w:val="20"/>
        </w:rPr>
        <w:t>to</w:t>
      </w:r>
      <w:r>
        <w:rPr>
          <w:spacing w:val="-10"/>
          <w:sz w:val="20"/>
        </w:rPr>
        <w:t> </w:t>
      </w:r>
      <w:r>
        <w:rPr>
          <w:sz w:val="20"/>
        </w:rPr>
        <w:t>accommodate</w:t>
      </w:r>
      <w:r>
        <w:rPr>
          <w:spacing w:val="-10"/>
          <w:sz w:val="20"/>
        </w:rPr>
        <w:t> </w:t>
      </w:r>
      <w:r>
        <w:rPr>
          <w:sz w:val="20"/>
        </w:rPr>
        <w:t>people</w:t>
      </w:r>
      <w:r>
        <w:rPr>
          <w:spacing w:val="-10"/>
          <w:sz w:val="20"/>
        </w:rPr>
        <w:t> </w:t>
      </w:r>
      <w:r>
        <w:rPr>
          <w:sz w:val="20"/>
        </w:rPr>
        <w:t>in</w:t>
      </w:r>
      <w:r>
        <w:rPr>
          <w:spacing w:val="-10"/>
          <w:sz w:val="20"/>
        </w:rPr>
        <w:t> </w:t>
      </w:r>
      <w:r>
        <w:rPr>
          <w:sz w:val="20"/>
        </w:rPr>
        <w:t>wheelchairs.</w:t>
      </w:r>
      <w:r>
        <w:rPr>
          <w:position w:val="7"/>
          <w:sz w:val="11"/>
        </w:rPr>
        <w:t>12</w:t>
      </w:r>
      <w:r>
        <w:rPr>
          <w:spacing w:val="15"/>
          <w:position w:val="7"/>
          <w:sz w:val="11"/>
        </w:rPr>
        <w:t> </w:t>
      </w:r>
      <w:r>
        <w:rPr>
          <w:spacing w:val="-5"/>
          <w:sz w:val="20"/>
        </w:rPr>
        <w:t>Further, </w:t>
      </w:r>
      <w:r>
        <w:rPr>
          <w:sz w:val="20"/>
        </w:rPr>
        <w:t>the Federal Court’s </w:t>
      </w:r>
      <w:r>
        <w:rPr>
          <w:spacing w:val="-3"/>
          <w:sz w:val="20"/>
        </w:rPr>
        <w:t>website</w:t>
      </w:r>
      <w:r>
        <w:rPr>
          <w:spacing w:val="-18"/>
          <w:sz w:val="20"/>
        </w:rPr>
        <w:t> </w:t>
      </w:r>
      <w:r>
        <w:rPr>
          <w:sz w:val="20"/>
        </w:rPr>
        <w:t>states:</w:t>
      </w:r>
    </w:p>
    <w:p>
      <w:pPr>
        <w:spacing w:line="208" w:lineRule="auto" w:before="122"/>
        <w:ind w:left="2157" w:right="1202" w:firstLine="0"/>
        <w:jc w:val="left"/>
        <w:rPr>
          <w:sz w:val="11"/>
        </w:rPr>
      </w:pPr>
      <w:r>
        <w:rPr>
          <w:sz w:val="19"/>
        </w:rPr>
        <w:t>The Federal Court of Australia does not discriminate against any person with a disability and will make reasonable adjustments to enable a person with a disability to take part in jury service. If you consider that your disability will impact your ability to serve as a juror, you should provide details. You may also consider providing a letter from your medical provider or a copy of a health card or similar document which confirms details of your disability.</w:t>
      </w:r>
      <w:r>
        <w:rPr>
          <w:position w:val="6"/>
          <w:sz w:val="11"/>
        </w:rPr>
        <w:t>13</w:t>
      </w:r>
    </w:p>
    <w:p>
      <w:pPr>
        <w:pStyle w:val="BodyText"/>
      </w:pPr>
    </w:p>
    <w:p>
      <w:pPr>
        <w:pStyle w:val="BodyText"/>
        <w:spacing w:before="4"/>
        <w:rPr>
          <w:sz w:val="24"/>
        </w:rPr>
      </w:pPr>
      <w:r>
        <w:rPr/>
        <w:pict>
          <v:line style="position:absolute;mso-position-horizontal-relative:page;mso-position-vertical-relative:paragraph;z-index:5744;mso-wrap-distance-left:0;mso-wrap-distance-right:0" from="79.370102pt,19.333799pt" to="515.905102pt,19.333799pt" stroked="true" strokeweight="1pt" strokecolor="#b6bdc8">
            <v:stroke dashstyle="solid"/>
            <w10:wrap type="topAndBottom"/>
          </v:line>
        </w:pict>
      </w:r>
    </w:p>
    <w:p>
      <w:pPr>
        <w:pStyle w:val="ListParagraph"/>
        <w:numPr>
          <w:ilvl w:val="0"/>
          <w:numId w:val="68"/>
        </w:numPr>
        <w:tabs>
          <w:tab w:pos="1760" w:val="left" w:leader="none"/>
          <w:tab w:pos="1762" w:val="left" w:leader="none"/>
        </w:tabs>
        <w:spacing w:line="170" w:lineRule="exact" w:before="91" w:after="0"/>
        <w:ind w:left="1761" w:right="0" w:hanging="794"/>
        <w:jc w:val="left"/>
        <w:rPr>
          <w:sz w:val="13"/>
        </w:rPr>
      </w:pPr>
      <w:r>
        <w:rPr>
          <w:sz w:val="13"/>
        </w:rPr>
        <w:t>Australian </w:t>
      </w:r>
      <w:r>
        <w:rPr>
          <w:spacing w:val="2"/>
          <w:sz w:val="13"/>
        </w:rPr>
        <w:t>Capital </w:t>
      </w:r>
      <w:r>
        <w:rPr>
          <w:sz w:val="13"/>
        </w:rPr>
        <w:t>Territory, </w:t>
      </w:r>
      <w:r>
        <w:rPr>
          <w:i/>
          <w:sz w:val="13"/>
        </w:rPr>
        <w:t>Parliamentary Debates</w:t>
      </w:r>
      <w:r>
        <w:rPr>
          <w:sz w:val="13"/>
        </w:rPr>
        <w:t>, Legislative Assembly , 20 March 2018 755 (Shane</w:t>
      </w:r>
      <w:r>
        <w:rPr>
          <w:spacing w:val="18"/>
          <w:sz w:val="13"/>
        </w:rPr>
        <w:t> </w:t>
      </w:r>
      <w:r>
        <w:rPr>
          <w:sz w:val="13"/>
        </w:rPr>
        <w:t>Rattenbury).</w:t>
      </w:r>
    </w:p>
    <w:p>
      <w:pPr>
        <w:pStyle w:val="ListParagraph"/>
        <w:numPr>
          <w:ilvl w:val="0"/>
          <w:numId w:val="68"/>
        </w:numPr>
        <w:tabs>
          <w:tab w:pos="1760" w:val="left" w:leader="none"/>
          <w:tab w:pos="1762" w:val="left" w:leader="none"/>
        </w:tabs>
        <w:spacing w:line="213" w:lineRule="auto" w:before="6" w:after="0"/>
        <w:ind w:left="1761" w:right="1576" w:hanging="794"/>
        <w:jc w:val="left"/>
        <w:rPr>
          <w:sz w:val="13"/>
        </w:rPr>
      </w:pPr>
      <w:r>
        <w:rPr>
          <w:sz w:val="13"/>
        </w:rPr>
        <w:t>Australian </w:t>
      </w:r>
      <w:r>
        <w:rPr>
          <w:spacing w:val="2"/>
          <w:sz w:val="13"/>
        </w:rPr>
        <w:t>Capital </w:t>
      </w:r>
      <w:r>
        <w:rPr>
          <w:sz w:val="13"/>
        </w:rPr>
        <w:t>Territory, </w:t>
      </w:r>
      <w:r>
        <w:rPr>
          <w:i/>
          <w:sz w:val="13"/>
        </w:rPr>
        <w:t>Parliamentary Debates</w:t>
      </w:r>
      <w:r>
        <w:rPr>
          <w:sz w:val="13"/>
        </w:rPr>
        <w:t>, Legislative Assembly , 20 March 2018 758–9 (Gordon Ramsay, Attorney- </w:t>
      </w:r>
      <w:r>
        <w:rPr>
          <w:spacing w:val="2"/>
          <w:sz w:val="13"/>
        </w:rPr>
        <w:t>General); Courts </w:t>
      </w:r>
      <w:r>
        <w:rPr>
          <w:sz w:val="13"/>
        </w:rPr>
        <w:t>and </w:t>
      </w:r>
      <w:r>
        <w:rPr>
          <w:spacing w:val="2"/>
          <w:sz w:val="13"/>
        </w:rPr>
        <w:t>Other </w:t>
      </w:r>
      <w:r>
        <w:rPr>
          <w:sz w:val="13"/>
        </w:rPr>
        <w:t>Justice Legislation </w:t>
      </w:r>
      <w:r>
        <w:rPr>
          <w:spacing w:val="2"/>
          <w:sz w:val="13"/>
        </w:rPr>
        <w:t>Amendment </w:t>
      </w:r>
      <w:r>
        <w:rPr>
          <w:sz w:val="13"/>
        </w:rPr>
        <w:t>Bill 2018</w:t>
      </w:r>
      <w:r>
        <w:rPr>
          <w:spacing w:val="-2"/>
          <w:sz w:val="13"/>
        </w:rPr>
        <w:t> </w:t>
      </w:r>
      <w:r>
        <w:rPr>
          <w:sz w:val="13"/>
        </w:rPr>
        <w:t>(ACT).</w:t>
      </w:r>
    </w:p>
    <w:p>
      <w:pPr>
        <w:pStyle w:val="ListParagraph"/>
        <w:numPr>
          <w:ilvl w:val="0"/>
          <w:numId w:val="68"/>
        </w:numPr>
        <w:tabs>
          <w:tab w:pos="1761" w:val="left" w:leader="none"/>
          <w:tab w:pos="1762" w:val="left" w:leader="none"/>
        </w:tabs>
        <w:spacing w:line="153" w:lineRule="exact" w:before="0" w:after="0"/>
        <w:ind w:left="1761" w:right="0" w:hanging="794"/>
        <w:jc w:val="left"/>
        <w:rPr>
          <w:sz w:val="13"/>
        </w:rPr>
      </w:pPr>
      <w:r>
        <w:rPr>
          <w:i/>
          <w:sz w:val="13"/>
        </w:rPr>
        <w:t>Juries Act 1967 </w:t>
      </w:r>
      <w:r>
        <w:rPr>
          <w:sz w:val="13"/>
        </w:rPr>
        <w:t>(ACT) s 16.</w:t>
      </w:r>
    </w:p>
    <w:p>
      <w:pPr>
        <w:tabs>
          <w:tab w:pos="1760" w:val="left" w:leader="none"/>
        </w:tabs>
        <w:spacing w:line="160" w:lineRule="exact" w:before="0"/>
        <w:ind w:left="967" w:right="0" w:firstLine="0"/>
        <w:jc w:val="left"/>
        <w:rPr>
          <w:sz w:val="13"/>
        </w:rPr>
      </w:pPr>
      <w:r>
        <w:rPr>
          <w:sz w:val="13"/>
        </w:rPr>
        <w:t>6</w:t>
        <w:tab/>
        <w:t>Ibid s 16(3).</w:t>
      </w:r>
    </w:p>
    <w:p>
      <w:pPr>
        <w:tabs>
          <w:tab w:pos="1760" w:val="left" w:leader="none"/>
        </w:tabs>
        <w:spacing w:line="160" w:lineRule="exact" w:before="0"/>
        <w:ind w:left="967" w:right="0" w:firstLine="0"/>
        <w:jc w:val="left"/>
        <w:rPr>
          <w:sz w:val="13"/>
        </w:rPr>
      </w:pPr>
      <w:r>
        <w:rPr>
          <w:sz w:val="13"/>
        </w:rPr>
        <w:t>7</w:t>
        <w:tab/>
        <w:t>Ibid  s</w:t>
      </w:r>
      <w:r>
        <w:rPr>
          <w:spacing w:val="-12"/>
          <w:sz w:val="13"/>
        </w:rPr>
        <w:t> </w:t>
      </w:r>
      <w:r>
        <w:rPr>
          <w:sz w:val="13"/>
        </w:rPr>
        <w:t>16(4)(a).</w:t>
      </w:r>
    </w:p>
    <w:p>
      <w:pPr>
        <w:tabs>
          <w:tab w:pos="1760" w:val="left" w:leader="none"/>
        </w:tabs>
        <w:spacing w:line="160" w:lineRule="exact" w:before="0"/>
        <w:ind w:left="967" w:right="0" w:firstLine="0"/>
        <w:jc w:val="left"/>
        <w:rPr>
          <w:sz w:val="13"/>
        </w:rPr>
      </w:pPr>
      <w:r>
        <w:rPr>
          <w:sz w:val="13"/>
        </w:rPr>
        <w:t>8</w:t>
        <w:tab/>
        <w:t>Ibid s</w:t>
      </w:r>
      <w:r>
        <w:rPr>
          <w:spacing w:val="18"/>
          <w:sz w:val="13"/>
        </w:rPr>
        <w:t> </w:t>
      </w:r>
      <w:r>
        <w:rPr>
          <w:sz w:val="13"/>
        </w:rPr>
        <w:t>16(4)(c).</w:t>
      </w:r>
    </w:p>
    <w:p>
      <w:pPr>
        <w:pStyle w:val="ListParagraph"/>
        <w:numPr>
          <w:ilvl w:val="0"/>
          <w:numId w:val="69"/>
        </w:numPr>
        <w:tabs>
          <w:tab w:pos="1760" w:val="left" w:leader="none"/>
          <w:tab w:pos="1762" w:val="left" w:leader="none"/>
        </w:tabs>
        <w:spacing w:line="160" w:lineRule="exact" w:before="0" w:after="0"/>
        <w:ind w:left="1761" w:right="0" w:hanging="794"/>
        <w:jc w:val="left"/>
        <w:rPr>
          <w:sz w:val="13"/>
        </w:rPr>
      </w:pPr>
      <w:r>
        <w:rPr>
          <w:sz w:val="13"/>
        </w:rPr>
        <w:t>Information provided by ACT Sheriff to Victorian Law Reform </w:t>
      </w:r>
      <w:r>
        <w:rPr>
          <w:spacing w:val="2"/>
          <w:sz w:val="13"/>
        </w:rPr>
        <w:t>Commission, </w:t>
      </w:r>
      <w:r>
        <w:rPr>
          <w:sz w:val="13"/>
        </w:rPr>
        <w:t>30 May 2022. We note that no records are kept by the</w:t>
      </w:r>
    </w:p>
    <w:p>
      <w:pPr>
        <w:spacing w:line="160" w:lineRule="exact" w:before="0"/>
        <w:ind w:left="1761" w:right="0" w:firstLine="0"/>
        <w:jc w:val="left"/>
        <w:rPr>
          <w:sz w:val="13"/>
        </w:rPr>
      </w:pPr>
      <w:r>
        <w:rPr>
          <w:sz w:val="13"/>
        </w:rPr>
        <w:t>court about the use of hearing loops.</w:t>
      </w:r>
    </w:p>
    <w:p>
      <w:pPr>
        <w:pStyle w:val="ListParagraph"/>
        <w:numPr>
          <w:ilvl w:val="0"/>
          <w:numId w:val="69"/>
        </w:numPr>
        <w:tabs>
          <w:tab w:pos="1760" w:val="left" w:leader="none"/>
          <w:tab w:pos="1762" w:val="left" w:leader="none"/>
        </w:tabs>
        <w:spacing w:line="160" w:lineRule="exact" w:before="0" w:after="0"/>
        <w:ind w:left="1761" w:right="0" w:hanging="794"/>
        <w:jc w:val="left"/>
        <w:rPr>
          <w:sz w:val="13"/>
        </w:rPr>
      </w:pPr>
      <w:r>
        <w:rPr>
          <w:sz w:val="13"/>
        </w:rPr>
        <w:t>Information provided by Judicial Registrar, Crime, Federal </w:t>
      </w:r>
      <w:r>
        <w:rPr>
          <w:spacing w:val="2"/>
          <w:sz w:val="13"/>
        </w:rPr>
        <w:t>Court </w:t>
      </w:r>
      <w:r>
        <w:rPr>
          <w:sz w:val="13"/>
        </w:rPr>
        <w:t>to Victorian Law Reform </w:t>
      </w:r>
      <w:r>
        <w:rPr>
          <w:spacing w:val="2"/>
          <w:sz w:val="13"/>
        </w:rPr>
        <w:t>Commission, </w:t>
      </w:r>
      <w:r>
        <w:rPr>
          <w:sz w:val="13"/>
        </w:rPr>
        <w:t>15 </w:t>
      </w:r>
      <w:r>
        <w:rPr>
          <w:spacing w:val="2"/>
          <w:sz w:val="13"/>
        </w:rPr>
        <w:t>December</w:t>
      </w:r>
      <w:r>
        <w:rPr>
          <w:spacing w:val="23"/>
          <w:sz w:val="13"/>
        </w:rPr>
        <w:t> </w:t>
      </w:r>
      <w:r>
        <w:rPr>
          <w:sz w:val="13"/>
        </w:rPr>
        <w:t>2021.</w:t>
      </w:r>
    </w:p>
    <w:p>
      <w:pPr>
        <w:pStyle w:val="ListParagraph"/>
        <w:numPr>
          <w:ilvl w:val="0"/>
          <w:numId w:val="69"/>
        </w:numPr>
        <w:tabs>
          <w:tab w:pos="1760" w:val="left" w:leader="none"/>
          <w:tab w:pos="1762" w:val="left" w:leader="none"/>
        </w:tabs>
        <w:spacing w:line="160" w:lineRule="exact" w:before="0" w:after="0"/>
        <w:ind w:left="1761" w:right="0" w:hanging="794"/>
        <w:jc w:val="left"/>
        <w:rPr>
          <w:sz w:val="13"/>
        </w:rPr>
      </w:pPr>
      <w:r>
        <w:rPr>
          <w:sz w:val="13"/>
        </w:rPr>
        <w:t>See </w:t>
      </w:r>
      <w:r>
        <w:rPr>
          <w:i/>
          <w:sz w:val="13"/>
        </w:rPr>
        <w:t>Federal Court of Australia Act 1976 </w:t>
      </w:r>
      <w:r>
        <w:rPr>
          <w:sz w:val="13"/>
        </w:rPr>
        <w:t>(Cth) s </w:t>
      </w:r>
      <w:r>
        <w:rPr>
          <w:spacing w:val="2"/>
          <w:sz w:val="13"/>
        </w:rPr>
        <w:t>23DQ(2)(e) </w:t>
      </w:r>
      <w:r>
        <w:rPr>
          <w:sz w:val="13"/>
        </w:rPr>
        <w:t>and s 23DR(1)(a),</w:t>
      </w:r>
      <w:r>
        <w:rPr>
          <w:spacing w:val="6"/>
          <w:sz w:val="13"/>
        </w:rPr>
        <w:t> </w:t>
      </w:r>
      <w:r>
        <w:rPr>
          <w:sz w:val="13"/>
        </w:rPr>
        <w:t>respectively.</w:t>
      </w:r>
    </w:p>
    <w:p>
      <w:pPr>
        <w:pStyle w:val="ListParagraph"/>
        <w:numPr>
          <w:ilvl w:val="0"/>
          <w:numId w:val="69"/>
        </w:numPr>
        <w:tabs>
          <w:tab w:pos="1761" w:val="left" w:leader="none"/>
          <w:tab w:pos="1762" w:val="left" w:leader="none"/>
        </w:tabs>
        <w:spacing w:line="160" w:lineRule="exact" w:before="0" w:after="0"/>
        <w:ind w:left="1761" w:right="0" w:hanging="794"/>
        <w:jc w:val="left"/>
        <w:rPr>
          <w:sz w:val="13"/>
        </w:rPr>
      </w:pPr>
      <w:r>
        <w:rPr/>
        <w:pict>
          <v:shape style="position:absolute;margin-left:549.046387pt;margin-top:3.709549pt;width:13.2pt;height:14.1pt;mso-position-horizontal-relative:page;mso-position-vertical-relative:paragraph;z-index:7816" type="#_x0000_t202" filled="false" stroked="false">
            <v:textbox inset="0,0,0,0">
              <w:txbxContent>
                <w:p>
                  <w:pPr>
                    <w:spacing w:line="282" w:lineRule="exact" w:before="0"/>
                    <w:ind w:left="0" w:right="0" w:firstLine="0"/>
                    <w:jc w:val="left"/>
                    <w:rPr>
                      <w:b/>
                      <w:sz w:val="24"/>
                    </w:rPr>
                  </w:pPr>
                  <w:r>
                    <w:rPr>
                      <w:b/>
                      <w:color w:val="37617A"/>
                      <w:sz w:val="24"/>
                    </w:rPr>
                    <w:t>91</w:t>
                  </w:r>
                </w:p>
              </w:txbxContent>
            </v:textbox>
            <w10:wrap type="none"/>
          </v:shape>
        </w:pict>
      </w:r>
      <w:r>
        <w:rPr>
          <w:sz w:val="13"/>
        </w:rPr>
        <w:t>Information provided by Judicial Registrar, Crime, Federal </w:t>
      </w:r>
      <w:r>
        <w:rPr>
          <w:spacing w:val="2"/>
          <w:sz w:val="13"/>
        </w:rPr>
        <w:t>Court </w:t>
      </w:r>
      <w:r>
        <w:rPr>
          <w:sz w:val="13"/>
        </w:rPr>
        <w:t>to Victorian Law Reform </w:t>
      </w:r>
      <w:r>
        <w:rPr>
          <w:spacing w:val="2"/>
          <w:sz w:val="13"/>
        </w:rPr>
        <w:t>Commission, </w:t>
      </w:r>
      <w:r>
        <w:rPr>
          <w:sz w:val="13"/>
        </w:rPr>
        <w:t>24 June</w:t>
      </w:r>
      <w:r>
        <w:rPr>
          <w:spacing w:val="20"/>
          <w:sz w:val="13"/>
        </w:rPr>
        <w:t> </w:t>
      </w:r>
      <w:r>
        <w:rPr>
          <w:sz w:val="13"/>
        </w:rPr>
        <w:t>2022.</w:t>
      </w:r>
    </w:p>
    <w:p>
      <w:pPr>
        <w:pStyle w:val="ListParagraph"/>
        <w:numPr>
          <w:ilvl w:val="0"/>
          <w:numId w:val="69"/>
        </w:numPr>
        <w:tabs>
          <w:tab w:pos="1761" w:val="left" w:leader="none"/>
          <w:tab w:pos="1762" w:val="left" w:leader="none"/>
        </w:tabs>
        <w:spacing w:line="170" w:lineRule="exact" w:before="0" w:after="0"/>
        <w:ind w:left="1761" w:right="0" w:hanging="794"/>
        <w:jc w:val="left"/>
        <w:rPr>
          <w:sz w:val="13"/>
        </w:rPr>
      </w:pPr>
      <w:r>
        <w:rPr>
          <w:sz w:val="13"/>
        </w:rPr>
        <w:t>Federal </w:t>
      </w:r>
      <w:r>
        <w:rPr>
          <w:spacing w:val="2"/>
          <w:sz w:val="13"/>
        </w:rPr>
        <w:t>Court </w:t>
      </w:r>
      <w:r>
        <w:rPr>
          <w:sz w:val="13"/>
        </w:rPr>
        <w:t>of Australia, </w:t>
      </w:r>
      <w:r>
        <w:rPr>
          <w:i/>
          <w:spacing w:val="2"/>
          <w:sz w:val="13"/>
        </w:rPr>
        <w:t>Requests </w:t>
      </w:r>
      <w:r>
        <w:rPr>
          <w:i/>
          <w:sz w:val="13"/>
        </w:rPr>
        <w:t>to be Excused from </w:t>
      </w:r>
      <w:r>
        <w:rPr>
          <w:i/>
          <w:spacing w:val="2"/>
          <w:sz w:val="13"/>
        </w:rPr>
        <w:t>Jury Service </w:t>
      </w:r>
      <w:r>
        <w:rPr>
          <w:sz w:val="13"/>
        </w:rPr>
        <w:t>(Information Sheet No </w:t>
      </w:r>
      <w:r>
        <w:rPr>
          <w:spacing w:val="3"/>
          <w:sz w:val="13"/>
        </w:rPr>
        <w:t>3, </w:t>
      </w:r>
      <w:r>
        <w:rPr>
          <w:sz w:val="13"/>
        </w:rPr>
        <w:t>July</w:t>
      </w:r>
      <w:r>
        <w:rPr>
          <w:spacing w:val="4"/>
          <w:sz w:val="13"/>
        </w:rPr>
        <w:t> </w:t>
      </w:r>
      <w:r>
        <w:rPr>
          <w:sz w:val="13"/>
        </w:rPr>
        <w:t>2021).</w:t>
      </w:r>
    </w:p>
    <w:p>
      <w:pPr>
        <w:spacing w:after="0" w:line="170" w:lineRule="exact"/>
        <w:jc w:val="left"/>
        <w:rPr>
          <w:sz w:val="13"/>
        </w:rPr>
        <w:sectPr>
          <w:headerReference w:type="default" r:id="rId152"/>
          <w:headerReference w:type="even" r:id="rId153"/>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700" w:hanging="794"/>
        <w:jc w:val="left"/>
        <w:rPr>
          <w:sz w:val="20"/>
        </w:rPr>
      </w:pPr>
      <w:bookmarkStart w:name="_bookmark69" w:id="177"/>
      <w:bookmarkEnd w:id="177"/>
      <w:r>
        <w:rPr/>
      </w:r>
      <w:bookmarkStart w:name="_bookmark69" w:id="178"/>
      <w:bookmarkEnd w:id="178"/>
      <w:r>
        <w:rPr>
          <w:sz w:val="20"/>
        </w:rPr>
        <w:t>T</w:t>
      </w:r>
      <w:r>
        <w:rPr>
          <w:sz w:val="20"/>
        </w:rPr>
        <w:t>he Federal Court’s first jury trial was conducted in 2021. It was a </w:t>
      </w:r>
      <w:r>
        <w:rPr>
          <w:spacing w:val="-3"/>
          <w:sz w:val="20"/>
        </w:rPr>
        <w:t>12-week </w:t>
      </w:r>
      <w:r>
        <w:rPr>
          <w:sz w:val="20"/>
        </w:rPr>
        <w:t>trial held in Melbourne. The Court empanelled 14 jurors.</w:t>
      </w:r>
      <w:r>
        <w:rPr>
          <w:position w:val="7"/>
          <w:sz w:val="11"/>
        </w:rPr>
        <w:t>14 </w:t>
      </w:r>
      <w:r>
        <w:rPr>
          <w:sz w:val="20"/>
        </w:rPr>
        <w:t>One of the jurors at the trial </w:t>
      </w:r>
      <w:r>
        <w:rPr>
          <w:spacing w:val="-4"/>
          <w:sz w:val="20"/>
        </w:rPr>
        <w:t>wore</w:t>
      </w:r>
      <w:r>
        <w:rPr>
          <w:spacing w:val="-9"/>
          <w:sz w:val="20"/>
        </w:rPr>
        <w:t> </w:t>
      </w:r>
      <w:r>
        <w:rPr>
          <w:sz w:val="20"/>
        </w:rPr>
        <w:t>a</w:t>
      </w:r>
      <w:r>
        <w:rPr>
          <w:spacing w:val="-8"/>
          <w:sz w:val="20"/>
        </w:rPr>
        <w:t> </w:t>
      </w:r>
      <w:r>
        <w:rPr>
          <w:sz w:val="20"/>
        </w:rPr>
        <w:t>hearing</w:t>
      </w:r>
      <w:r>
        <w:rPr>
          <w:spacing w:val="-8"/>
          <w:sz w:val="20"/>
        </w:rPr>
        <w:t> </w:t>
      </w:r>
      <w:r>
        <w:rPr>
          <w:sz w:val="20"/>
        </w:rPr>
        <w:t>aid,</w:t>
      </w:r>
      <w:r>
        <w:rPr>
          <w:spacing w:val="-8"/>
          <w:sz w:val="20"/>
        </w:rPr>
        <w:t> </w:t>
      </w:r>
      <w:r>
        <w:rPr>
          <w:sz w:val="20"/>
        </w:rPr>
        <w:t>and</w:t>
      </w:r>
      <w:r>
        <w:rPr>
          <w:spacing w:val="-8"/>
          <w:sz w:val="20"/>
        </w:rPr>
        <w:t> </w:t>
      </w:r>
      <w:r>
        <w:rPr>
          <w:sz w:val="20"/>
        </w:rPr>
        <w:t>informed</w:t>
      </w:r>
      <w:r>
        <w:rPr>
          <w:spacing w:val="-8"/>
          <w:sz w:val="20"/>
        </w:rPr>
        <w:t> </w:t>
      </w:r>
      <w:r>
        <w:rPr>
          <w:sz w:val="20"/>
        </w:rPr>
        <w:t>the</w:t>
      </w:r>
      <w:r>
        <w:rPr>
          <w:spacing w:val="-9"/>
          <w:sz w:val="20"/>
        </w:rPr>
        <w:t> </w:t>
      </w:r>
      <w:r>
        <w:rPr>
          <w:sz w:val="20"/>
        </w:rPr>
        <w:t>deputy</w:t>
      </w:r>
      <w:r>
        <w:rPr>
          <w:spacing w:val="-8"/>
          <w:sz w:val="20"/>
        </w:rPr>
        <w:t> </w:t>
      </w:r>
      <w:r>
        <w:rPr>
          <w:spacing w:val="-3"/>
          <w:sz w:val="20"/>
        </w:rPr>
        <w:t>sheriff.</w:t>
      </w:r>
      <w:r>
        <w:rPr>
          <w:spacing w:val="-8"/>
          <w:sz w:val="20"/>
        </w:rPr>
        <w:t> </w:t>
      </w:r>
      <w:r>
        <w:rPr>
          <w:sz w:val="20"/>
        </w:rPr>
        <w:t>The</w:t>
      </w:r>
      <w:r>
        <w:rPr>
          <w:spacing w:val="-8"/>
          <w:sz w:val="20"/>
        </w:rPr>
        <w:t> </w:t>
      </w:r>
      <w:r>
        <w:rPr>
          <w:sz w:val="20"/>
        </w:rPr>
        <w:t>Court</w:t>
      </w:r>
      <w:r>
        <w:rPr>
          <w:spacing w:val="-8"/>
          <w:sz w:val="20"/>
        </w:rPr>
        <w:t> </w:t>
      </w:r>
      <w:r>
        <w:rPr>
          <w:sz w:val="20"/>
        </w:rPr>
        <w:t>made</w:t>
      </w:r>
      <w:r>
        <w:rPr>
          <w:spacing w:val="-8"/>
          <w:sz w:val="20"/>
        </w:rPr>
        <w:t> </w:t>
      </w:r>
      <w:r>
        <w:rPr>
          <w:sz w:val="20"/>
        </w:rPr>
        <w:t>the</w:t>
      </w:r>
      <w:r>
        <w:rPr>
          <w:spacing w:val="-9"/>
          <w:sz w:val="20"/>
        </w:rPr>
        <w:t> </w:t>
      </w:r>
      <w:r>
        <w:rPr>
          <w:spacing w:val="-3"/>
          <w:sz w:val="20"/>
        </w:rPr>
        <w:t>following </w:t>
      </w:r>
      <w:r>
        <w:rPr>
          <w:sz w:val="20"/>
        </w:rPr>
        <w:t>adjustments:</w:t>
      </w:r>
    </w:p>
    <w:p>
      <w:pPr>
        <w:pStyle w:val="ListParagraph"/>
        <w:numPr>
          <w:ilvl w:val="2"/>
          <w:numId w:val="12"/>
        </w:numPr>
        <w:tabs>
          <w:tab w:pos="2158" w:val="left" w:leader="none"/>
        </w:tabs>
        <w:spacing w:line="206" w:lineRule="auto" w:before="125" w:after="0"/>
        <w:ind w:left="2157" w:right="1283" w:hanging="396"/>
        <w:jc w:val="both"/>
        <w:rPr>
          <w:sz w:val="20"/>
        </w:rPr>
      </w:pPr>
      <w:r>
        <w:rPr>
          <w:sz w:val="20"/>
        </w:rPr>
        <w:t>consulting</w:t>
      </w:r>
      <w:r>
        <w:rPr>
          <w:spacing w:val="-13"/>
          <w:sz w:val="20"/>
        </w:rPr>
        <w:t> </w:t>
      </w:r>
      <w:r>
        <w:rPr>
          <w:sz w:val="20"/>
        </w:rPr>
        <w:t>with</w:t>
      </w:r>
      <w:r>
        <w:rPr>
          <w:spacing w:val="-13"/>
          <w:sz w:val="20"/>
        </w:rPr>
        <w:t> </w:t>
      </w:r>
      <w:r>
        <w:rPr>
          <w:sz w:val="20"/>
        </w:rPr>
        <w:t>the</w:t>
      </w:r>
      <w:r>
        <w:rPr>
          <w:spacing w:val="-12"/>
          <w:sz w:val="20"/>
        </w:rPr>
        <w:t> </w:t>
      </w:r>
      <w:r>
        <w:rPr>
          <w:sz w:val="20"/>
        </w:rPr>
        <w:t>juror</w:t>
      </w:r>
      <w:r>
        <w:rPr>
          <w:spacing w:val="-13"/>
          <w:sz w:val="20"/>
        </w:rPr>
        <w:t> </w:t>
      </w:r>
      <w:r>
        <w:rPr>
          <w:sz w:val="20"/>
        </w:rPr>
        <w:t>and</w:t>
      </w:r>
      <w:r>
        <w:rPr>
          <w:spacing w:val="-12"/>
          <w:sz w:val="20"/>
        </w:rPr>
        <w:t> </w:t>
      </w:r>
      <w:r>
        <w:rPr>
          <w:sz w:val="20"/>
        </w:rPr>
        <w:t>requesting</w:t>
      </w:r>
      <w:r>
        <w:rPr>
          <w:spacing w:val="-13"/>
          <w:sz w:val="20"/>
        </w:rPr>
        <w:t> </w:t>
      </w:r>
      <w:r>
        <w:rPr>
          <w:sz w:val="20"/>
        </w:rPr>
        <w:t>the</w:t>
      </w:r>
      <w:r>
        <w:rPr>
          <w:spacing w:val="-12"/>
          <w:sz w:val="20"/>
        </w:rPr>
        <w:t> </w:t>
      </w:r>
      <w:r>
        <w:rPr>
          <w:sz w:val="20"/>
        </w:rPr>
        <w:t>juror</w:t>
      </w:r>
      <w:r>
        <w:rPr>
          <w:spacing w:val="-13"/>
          <w:sz w:val="20"/>
        </w:rPr>
        <w:t> </w:t>
      </w:r>
      <w:r>
        <w:rPr>
          <w:sz w:val="20"/>
        </w:rPr>
        <w:t>to</w:t>
      </w:r>
      <w:r>
        <w:rPr>
          <w:spacing w:val="-13"/>
          <w:sz w:val="20"/>
        </w:rPr>
        <w:t> </w:t>
      </w:r>
      <w:r>
        <w:rPr>
          <w:sz w:val="20"/>
        </w:rPr>
        <w:t>seek</w:t>
      </w:r>
      <w:r>
        <w:rPr>
          <w:spacing w:val="-12"/>
          <w:sz w:val="20"/>
        </w:rPr>
        <w:t> </w:t>
      </w:r>
      <w:r>
        <w:rPr>
          <w:sz w:val="20"/>
        </w:rPr>
        <w:t>advice</w:t>
      </w:r>
      <w:r>
        <w:rPr>
          <w:spacing w:val="-13"/>
          <w:sz w:val="20"/>
        </w:rPr>
        <w:t> </w:t>
      </w:r>
      <w:r>
        <w:rPr>
          <w:spacing w:val="-3"/>
          <w:sz w:val="20"/>
        </w:rPr>
        <w:t>from</w:t>
      </w:r>
      <w:r>
        <w:rPr>
          <w:spacing w:val="-12"/>
          <w:sz w:val="20"/>
        </w:rPr>
        <w:t> </w:t>
      </w:r>
      <w:r>
        <w:rPr>
          <w:sz w:val="20"/>
        </w:rPr>
        <w:t>their</w:t>
      </w:r>
      <w:r>
        <w:rPr>
          <w:spacing w:val="-13"/>
          <w:sz w:val="20"/>
        </w:rPr>
        <w:t> </w:t>
      </w:r>
      <w:r>
        <w:rPr>
          <w:sz w:val="20"/>
        </w:rPr>
        <w:t>treating health</w:t>
      </w:r>
      <w:r>
        <w:rPr>
          <w:spacing w:val="-10"/>
          <w:sz w:val="20"/>
        </w:rPr>
        <w:t> </w:t>
      </w:r>
      <w:r>
        <w:rPr>
          <w:sz w:val="20"/>
        </w:rPr>
        <w:t>practitioner</w:t>
      </w:r>
      <w:r>
        <w:rPr>
          <w:spacing w:val="-10"/>
          <w:sz w:val="20"/>
        </w:rPr>
        <w:t> </w:t>
      </w:r>
      <w:r>
        <w:rPr>
          <w:sz w:val="20"/>
        </w:rPr>
        <w:t>as</w:t>
      </w:r>
      <w:r>
        <w:rPr>
          <w:spacing w:val="-10"/>
          <w:sz w:val="20"/>
        </w:rPr>
        <w:t> </w:t>
      </w:r>
      <w:r>
        <w:rPr>
          <w:sz w:val="20"/>
        </w:rPr>
        <w:t>to</w:t>
      </w:r>
      <w:r>
        <w:rPr>
          <w:spacing w:val="-10"/>
          <w:sz w:val="20"/>
        </w:rPr>
        <w:t> </w:t>
      </w:r>
      <w:r>
        <w:rPr>
          <w:sz w:val="20"/>
        </w:rPr>
        <w:t>the</w:t>
      </w:r>
      <w:r>
        <w:rPr>
          <w:spacing w:val="-10"/>
          <w:sz w:val="20"/>
        </w:rPr>
        <w:t> </w:t>
      </w:r>
      <w:r>
        <w:rPr>
          <w:sz w:val="20"/>
        </w:rPr>
        <w:t>best</w:t>
      </w:r>
      <w:r>
        <w:rPr>
          <w:spacing w:val="-10"/>
          <w:sz w:val="20"/>
        </w:rPr>
        <w:t> </w:t>
      </w:r>
      <w:r>
        <w:rPr>
          <w:sz w:val="20"/>
        </w:rPr>
        <w:t>options</w:t>
      </w:r>
      <w:r>
        <w:rPr>
          <w:spacing w:val="-10"/>
          <w:sz w:val="20"/>
        </w:rPr>
        <w:t> </w:t>
      </w:r>
      <w:r>
        <w:rPr>
          <w:spacing w:val="-3"/>
          <w:sz w:val="20"/>
        </w:rPr>
        <w:t>available</w:t>
      </w:r>
      <w:r>
        <w:rPr>
          <w:spacing w:val="-10"/>
          <w:sz w:val="20"/>
        </w:rPr>
        <w:t> </w:t>
      </w:r>
      <w:r>
        <w:rPr>
          <w:sz w:val="20"/>
        </w:rPr>
        <w:t>for</w:t>
      </w:r>
      <w:r>
        <w:rPr>
          <w:spacing w:val="-10"/>
          <w:sz w:val="20"/>
        </w:rPr>
        <w:t> </w:t>
      </w:r>
      <w:r>
        <w:rPr>
          <w:sz w:val="20"/>
        </w:rPr>
        <w:t>the</w:t>
      </w:r>
      <w:r>
        <w:rPr>
          <w:spacing w:val="-10"/>
          <w:sz w:val="20"/>
        </w:rPr>
        <w:t> </w:t>
      </w:r>
      <w:r>
        <w:rPr>
          <w:sz w:val="20"/>
        </w:rPr>
        <w:t>juror</w:t>
      </w:r>
      <w:r>
        <w:rPr>
          <w:spacing w:val="-10"/>
          <w:sz w:val="20"/>
        </w:rPr>
        <w:t> </w:t>
      </w:r>
      <w:r>
        <w:rPr>
          <w:sz w:val="20"/>
        </w:rPr>
        <w:t>to</w:t>
      </w:r>
      <w:r>
        <w:rPr>
          <w:spacing w:val="-9"/>
          <w:sz w:val="20"/>
        </w:rPr>
        <w:t> </w:t>
      </w:r>
      <w:r>
        <w:rPr>
          <w:sz w:val="20"/>
        </w:rPr>
        <w:t>participate</w:t>
      </w:r>
      <w:r>
        <w:rPr>
          <w:spacing w:val="-10"/>
          <w:sz w:val="20"/>
        </w:rPr>
        <w:t> </w:t>
      </w:r>
      <w:r>
        <w:rPr>
          <w:sz w:val="20"/>
        </w:rPr>
        <w:t>in</w:t>
      </w:r>
      <w:r>
        <w:rPr>
          <w:spacing w:val="-10"/>
          <w:sz w:val="20"/>
        </w:rPr>
        <w:t> </w:t>
      </w:r>
      <w:r>
        <w:rPr>
          <w:sz w:val="20"/>
        </w:rPr>
        <w:t>the trial as a</w:t>
      </w:r>
      <w:r>
        <w:rPr>
          <w:spacing w:val="-13"/>
          <w:sz w:val="20"/>
        </w:rPr>
        <w:t> </w:t>
      </w:r>
      <w:r>
        <w:rPr>
          <w:sz w:val="20"/>
        </w:rPr>
        <w:t>juror</w:t>
      </w:r>
    </w:p>
    <w:p>
      <w:pPr>
        <w:pStyle w:val="ListParagraph"/>
        <w:numPr>
          <w:ilvl w:val="2"/>
          <w:numId w:val="12"/>
        </w:numPr>
        <w:tabs>
          <w:tab w:pos="2157" w:val="left" w:leader="none"/>
          <w:tab w:pos="2158" w:val="left" w:leader="none"/>
        </w:tabs>
        <w:spacing w:line="240" w:lineRule="auto" w:before="57" w:after="0"/>
        <w:ind w:left="2157" w:right="0" w:hanging="396"/>
        <w:jc w:val="left"/>
        <w:rPr>
          <w:sz w:val="20"/>
        </w:rPr>
      </w:pPr>
      <w:r>
        <w:rPr>
          <w:sz w:val="20"/>
        </w:rPr>
        <w:t>moving</w:t>
      </w:r>
      <w:r>
        <w:rPr>
          <w:spacing w:val="-6"/>
          <w:sz w:val="20"/>
        </w:rPr>
        <w:t> </w:t>
      </w:r>
      <w:r>
        <w:rPr>
          <w:sz w:val="20"/>
        </w:rPr>
        <w:t>the</w:t>
      </w:r>
      <w:r>
        <w:rPr>
          <w:spacing w:val="-6"/>
          <w:sz w:val="20"/>
        </w:rPr>
        <w:t> </w:t>
      </w:r>
      <w:r>
        <w:rPr>
          <w:sz w:val="20"/>
        </w:rPr>
        <w:t>juror</w:t>
      </w:r>
      <w:r>
        <w:rPr>
          <w:spacing w:val="-6"/>
          <w:sz w:val="20"/>
        </w:rPr>
        <w:t> </w:t>
      </w:r>
      <w:r>
        <w:rPr>
          <w:sz w:val="20"/>
        </w:rPr>
        <w:t>to</w:t>
      </w:r>
      <w:r>
        <w:rPr>
          <w:spacing w:val="-6"/>
          <w:sz w:val="20"/>
        </w:rPr>
        <w:t> </w:t>
      </w:r>
      <w:r>
        <w:rPr>
          <w:sz w:val="20"/>
        </w:rPr>
        <w:t>a</w:t>
      </w:r>
      <w:r>
        <w:rPr>
          <w:spacing w:val="-5"/>
          <w:sz w:val="20"/>
        </w:rPr>
        <w:t> </w:t>
      </w:r>
      <w:r>
        <w:rPr>
          <w:sz w:val="20"/>
        </w:rPr>
        <w:t>place</w:t>
      </w:r>
      <w:r>
        <w:rPr>
          <w:spacing w:val="-6"/>
          <w:sz w:val="20"/>
        </w:rPr>
        <w:t> </w:t>
      </w:r>
      <w:r>
        <w:rPr>
          <w:sz w:val="20"/>
        </w:rPr>
        <w:t>in</w:t>
      </w:r>
      <w:r>
        <w:rPr>
          <w:spacing w:val="-6"/>
          <w:sz w:val="20"/>
        </w:rPr>
        <w:t> </w:t>
      </w:r>
      <w:r>
        <w:rPr>
          <w:sz w:val="20"/>
        </w:rPr>
        <w:t>the</w:t>
      </w:r>
      <w:r>
        <w:rPr>
          <w:spacing w:val="-6"/>
          <w:sz w:val="20"/>
        </w:rPr>
        <w:t> </w:t>
      </w:r>
      <w:r>
        <w:rPr>
          <w:sz w:val="20"/>
        </w:rPr>
        <w:t>jury</w:t>
      </w:r>
      <w:r>
        <w:rPr>
          <w:spacing w:val="-6"/>
          <w:sz w:val="20"/>
        </w:rPr>
        <w:t> </w:t>
      </w:r>
      <w:r>
        <w:rPr>
          <w:sz w:val="20"/>
        </w:rPr>
        <w:t>box</w:t>
      </w:r>
      <w:r>
        <w:rPr>
          <w:spacing w:val="-5"/>
          <w:sz w:val="20"/>
        </w:rPr>
        <w:t> </w:t>
      </w:r>
      <w:r>
        <w:rPr>
          <w:sz w:val="20"/>
        </w:rPr>
        <w:t>that</w:t>
      </w:r>
      <w:r>
        <w:rPr>
          <w:spacing w:val="-6"/>
          <w:sz w:val="20"/>
        </w:rPr>
        <w:t> </w:t>
      </w:r>
      <w:r>
        <w:rPr>
          <w:sz w:val="20"/>
        </w:rPr>
        <w:t>enabled</w:t>
      </w:r>
      <w:r>
        <w:rPr>
          <w:spacing w:val="-6"/>
          <w:sz w:val="20"/>
        </w:rPr>
        <w:t> </w:t>
      </w:r>
      <w:r>
        <w:rPr>
          <w:sz w:val="20"/>
        </w:rPr>
        <w:t>optimal</w:t>
      </w:r>
      <w:r>
        <w:rPr>
          <w:spacing w:val="-6"/>
          <w:sz w:val="20"/>
        </w:rPr>
        <w:t> </w:t>
      </w:r>
      <w:r>
        <w:rPr>
          <w:sz w:val="20"/>
        </w:rPr>
        <w:t>audio</w:t>
      </w:r>
      <w:r>
        <w:rPr>
          <w:spacing w:val="-6"/>
          <w:sz w:val="20"/>
        </w:rPr>
        <w:t> </w:t>
      </w:r>
      <w:r>
        <w:rPr>
          <w:sz w:val="20"/>
        </w:rPr>
        <w:t>range</w:t>
      </w:r>
    </w:p>
    <w:p>
      <w:pPr>
        <w:pStyle w:val="ListParagraph"/>
        <w:numPr>
          <w:ilvl w:val="2"/>
          <w:numId w:val="12"/>
        </w:numPr>
        <w:tabs>
          <w:tab w:pos="2157" w:val="left" w:leader="none"/>
          <w:tab w:pos="2158" w:val="left" w:leader="none"/>
        </w:tabs>
        <w:spacing w:line="206" w:lineRule="auto" w:before="80" w:after="0"/>
        <w:ind w:left="2157" w:right="1397" w:hanging="396"/>
        <w:jc w:val="left"/>
        <w:rPr>
          <w:sz w:val="20"/>
        </w:rPr>
      </w:pPr>
      <w:r>
        <w:rPr>
          <w:sz w:val="20"/>
        </w:rPr>
        <w:t>moving</w:t>
      </w:r>
      <w:r>
        <w:rPr>
          <w:spacing w:val="-12"/>
          <w:sz w:val="20"/>
        </w:rPr>
        <w:t> </w:t>
      </w:r>
      <w:r>
        <w:rPr>
          <w:sz w:val="20"/>
        </w:rPr>
        <w:t>counsel,</w:t>
      </w:r>
      <w:r>
        <w:rPr>
          <w:spacing w:val="-12"/>
          <w:sz w:val="20"/>
        </w:rPr>
        <w:t> </w:t>
      </w:r>
      <w:r>
        <w:rPr>
          <w:sz w:val="20"/>
        </w:rPr>
        <w:t>when</w:t>
      </w:r>
      <w:r>
        <w:rPr>
          <w:spacing w:val="-11"/>
          <w:sz w:val="20"/>
        </w:rPr>
        <w:t> </w:t>
      </w:r>
      <w:r>
        <w:rPr>
          <w:sz w:val="20"/>
        </w:rPr>
        <w:t>speaking,</w:t>
      </w:r>
      <w:r>
        <w:rPr>
          <w:spacing w:val="-12"/>
          <w:sz w:val="20"/>
        </w:rPr>
        <w:t> </w:t>
      </w:r>
      <w:r>
        <w:rPr>
          <w:sz w:val="20"/>
        </w:rPr>
        <w:t>to</w:t>
      </w:r>
      <w:r>
        <w:rPr>
          <w:spacing w:val="-12"/>
          <w:sz w:val="20"/>
        </w:rPr>
        <w:t> </w:t>
      </w:r>
      <w:r>
        <w:rPr>
          <w:sz w:val="20"/>
        </w:rPr>
        <w:t>ensure</w:t>
      </w:r>
      <w:r>
        <w:rPr>
          <w:spacing w:val="-11"/>
          <w:sz w:val="20"/>
        </w:rPr>
        <w:t> </w:t>
      </w:r>
      <w:r>
        <w:rPr>
          <w:sz w:val="20"/>
        </w:rPr>
        <w:t>that</w:t>
      </w:r>
      <w:r>
        <w:rPr>
          <w:spacing w:val="-12"/>
          <w:sz w:val="20"/>
        </w:rPr>
        <w:t> </w:t>
      </w:r>
      <w:r>
        <w:rPr>
          <w:sz w:val="20"/>
        </w:rPr>
        <w:t>their</w:t>
      </w:r>
      <w:r>
        <w:rPr>
          <w:spacing w:val="-11"/>
          <w:sz w:val="20"/>
        </w:rPr>
        <w:t> </w:t>
      </w:r>
      <w:r>
        <w:rPr>
          <w:spacing w:val="-3"/>
          <w:sz w:val="20"/>
        </w:rPr>
        <w:t>voice</w:t>
      </w:r>
      <w:r>
        <w:rPr>
          <w:spacing w:val="-12"/>
          <w:sz w:val="20"/>
        </w:rPr>
        <w:t> </w:t>
      </w:r>
      <w:r>
        <w:rPr>
          <w:sz w:val="20"/>
        </w:rPr>
        <w:t>could</w:t>
      </w:r>
      <w:r>
        <w:rPr>
          <w:spacing w:val="-12"/>
          <w:sz w:val="20"/>
        </w:rPr>
        <w:t> </w:t>
      </w:r>
      <w:r>
        <w:rPr>
          <w:sz w:val="20"/>
        </w:rPr>
        <w:t>be</w:t>
      </w:r>
      <w:r>
        <w:rPr>
          <w:spacing w:val="-11"/>
          <w:sz w:val="20"/>
        </w:rPr>
        <w:t> </w:t>
      </w:r>
      <w:r>
        <w:rPr>
          <w:sz w:val="20"/>
        </w:rPr>
        <w:t>heard</w:t>
      </w:r>
      <w:r>
        <w:rPr>
          <w:spacing w:val="-12"/>
          <w:sz w:val="20"/>
        </w:rPr>
        <w:t> </w:t>
      </w:r>
      <w:r>
        <w:rPr>
          <w:spacing w:val="-3"/>
          <w:sz w:val="20"/>
        </w:rPr>
        <w:t>clearly by </w:t>
      </w:r>
      <w:r>
        <w:rPr>
          <w:sz w:val="20"/>
        </w:rPr>
        <w:t>the</w:t>
      </w:r>
      <w:r>
        <w:rPr>
          <w:spacing w:val="-6"/>
          <w:sz w:val="20"/>
        </w:rPr>
        <w:t> </w:t>
      </w:r>
      <w:r>
        <w:rPr>
          <w:sz w:val="20"/>
        </w:rPr>
        <w:t>juror</w:t>
      </w:r>
    </w:p>
    <w:p>
      <w:pPr>
        <w:pStyle w:val="ListParagraph"/>
        <w:numPr>
          <w:ilvl w:val="2"/>
          <w:numId w:val="12"/>
        </w:numPr>
        <w:tabs>
          <w:tab w:pos="2157" w:val="left" w:leader="none"/>
          <w:tab w:pos="2158" w:val="left" w:leader="none"/>
        </w:tabs>
        <w:spacing w:line="259" w:lineRule="exact" w:before="55" w:after="0"/>
        <w:ind w:left="2157" w:right="0" w:hanging="396"/>
        <w:jc w:val="left"/>
        <w:rPr>
          <w:sz w:val="20"/>
        </w:rPr>
      </w:pPr>
      <w:r>
        <w:rPr>
          <w:sz w:val="20"/>
        </w:rPr>
        <w:t>implementing</w:t>
      </w:r>
      <w:r>
        <w:rPr>
          <w:spacing w:val="-7"/>
          <w:sz w:val="20"/>
        </w:rPr>
        <w:t> </w:t>
      </w:r>
      <w:r>
        <w:rPr>
          <w:sz w:val="20"/>
        </w:rPr>
        <w:t>a</w:t>
      </w:r>
      <w:r>
        <w:rPr>
          <w:spacing w:val="-6"/>
          <w:sz w:val="20"/>
        </w:rPr>
        <w:t> </w:t>
      </w:r>
      <w:r>
        <w:rPr>
          <w:sz w:val="20"/>
        </w:rPr>
        <w:t>trial-specific</w:t>
      </w:r>
      <w:r>
        <w:rPr>
          <w:spacing w:val="-6"/>
          <w:sz w:val="20"/>
        </w:rPr>
        <w:t> </w:t>
      </w:r>
      <w:r>
        <w:rPr>
          <w:spacing w:val="-3"/>
          <w:sz w:val="20"/>
        </w:rPr>
        <w:t>procedure</w:t>
      </w:r>
      <w:r>
        <w:rPr>
          <w:spacing w:val="-6"/>
          <w:sz w:val="20"/>
        </w:rPr>
        <w:t> </w:t>
      </w:r>
      <w:r>
        <w:rPr>
          <w:sz w:val="20"/>
        </w:rPr>
        <w:t>with</w:t>
      </w:r>
      <w:r>
        <w:rPr>
          <w:spacing w:val="-6"/>
          <w:sz w:val="20"/>
        </w:rPr>
        <w:t> </w:t>
      </w:r>
      <w:r>
        <w:rPr>
          <w:sz w:val="20"/>
        </w:rPr>
        <w:t>the</w:t>
      </w:r>
      <w:r>
        <w:rPr>
          <w:spacing w:val="-6"/>
          <w:sz w:val="20"/>
        </w:rPr>
        <w:t> </w:t>
      </w:r>
      <w:r>
        <w:rPr>
          <w:sz w:val="20"/>
        </w:rPr>
        <w:t>Court’s</w:t>
      </w:r>
      <w:r>
        <w:rPr>
          <w:spacing w:val="-7"/>
          <w:sz w:val="20"/>
        </w:rPr>
        <w:t> </w:t>
      </w:r>
      <w:r>
        <w:rPr>
          <w:sz w:val="20"/>
        </w:rPr>
        <w:t>transcription</w:t>
      </w:r>
      <w:r>
        <w:rPr>
          <w:spacing w:val="-6"/>
          <w:sz w:val="20"/>
        </w:rPr>
        <w:t> </w:t>
      </w:r>
      <w:r>
        <w:rPr>
          <w:spacing w:val="-3"/>
          <w:sz w:val="20"/>
        </w:rPr>
        <w:t>provider</w:t>
      </w:r>
      <w:r>
        <w:rPr>
          <w:spacing w:val="-6"/>
          <w:sz w:val="20"/>
        </w:rPr>
        <w:t> </w:t>
      </w:r>
      <w:r>
        <w:rPr>
          <w:sz w:val="20"/>
        </w:rPr>
        <w:t>to</w:t>
      </w:r>
    </w:p>
    <w:p>
      <w:pPr>
        <w:pStyle w:val="BodyText"/>
        <w:spacing w:line="259" w:lineRule="exact"/>
        <w:ind w:left="2157"/>
        <w:jc w:val="both"/>
      </w:pPr>
      <w:r>
        <w:rPr/>
        <w:t>have technicians ‘soundcheck’ multiple times during the day</w:t>
      </w:r>
    </w:p>
    <w:p>
      <w:pPr>
        <w:pStyle w:val="ListParagraph"/>
        <w:numPr>
          <w:ilvl w:val="2"/>
          <w:numId w:val="12"/>
        </w:numPr>
        <w:tabs>
          <w:tab w:pos="2157" w:val="left" w:leader="none"/>
          <w:tab w:pos="2158" w:val="left" w:leader="none"/>
        </w:tabs>
        <w:spacing w:line="259" w:lineRule="exact" w:before="47" w:after="0"/>
        <w:ind w:left="2157" w:right="0" w:hanging="396"/>
        <w:jc w:val="left"/>
        <w:rPr>
          <w:sz w:val="20"/>
        </w:rPr>
      </w:pPr>
      <w:r>
        <w:rPr>
          <w:sz w:val="20"/>
        </w:rPr>
        <w:t>the</w:t>
      </w:r>
      <w:r>
        <w:rPr>
          <w:spacing w:val="-6"/>
          <w:sz w:val="20"/>
        </w:rPr>
        <w:t> </w:t>
      </w:r>
      <w:r>
        <w:rPr>
          <w:sz w:val="20"/>
        </w:rPr>
        <w:t>Court</w:t>
      </w:r>
      <w:r>
        <w:rPr>
          <w:spacing w:val="-6"/>
          <w:sz w:val="20"/>
        </w:rPr>
        <w:t> </w:t>
      </w:r>
      <w:r>
        <w:rPr>
          <w:sz w:val="20"/>
        </w:rPr>
        <w:t>purchasing</w:t>
      </w:r>
      <w:r>
        <w:rPr>
          <w:spacing w:val="-6"/>
          <w:sz w:val="20"/>
        </w:rPr>
        <w:t> </w:t>
      </w:r>
      <w:r>
        <w:rPr>
          <w:sz w:val="20"/>
        </w:rPr>
        <w:t>an</w:t>
      </w:r>
      <w:r>
        <w:rPr>
          <w:spacing w:val="-6"/>
          <w:sz w:val="20"/>
        </w:rPr>
        <w:t> </w:t>
      </w:r>
      <w:r>
        <w:rPr>
          <w:sz w:val="20"/>
        </w:rPr>
        <w:t>audio</w:t>
      </w:r>
      <w:r>
        <w:rPr>
          <w:spacing w:val="-5"/>
          <w:sz w:val="20"/>
        </w:rPr>
        <w:t> </w:t>
      </w:r>
      <w:r>
        <w:rPr>
          <w:spacing w:val="-3"/>
          <w:sz w:val="20"/>
        </w:rPr>
        <w:t>device</w:t>
      </w:r>
      <w:r>
        <w:rPr>
          <w:spacing w:val="-6"/>
          <w:sz w:val="20"/>
        </w:rPr>
        <w:t> </w:t>
      </w:r>
      <w:r>
        <w:rPr>
          <w:sz w:val="20"/>
        </w:rPr>
        <w:t>that</w:t>
      </w:r>
      <w:r>
        <w:rPr>
          <w:spacing w:val="-6"/>
          <w:sz w:val="20"/>
        </w:rPr>
        <w:t> </w:t>
      </w:r>
      <w:r>
        <w:rPr>
          <w:sz w:val="20"/>
        </w:rPr>
        <w:t>was</w:t>
      </w:r>
      <w:r>
        <w:rPr>
          <w:spacing w:val="-6"/>
          <w:sz w:val="20"/>
        </w:rPr>
        <w:t> </w:t>
      </w:r>
      <w:r>
        <w:rPr>
          <w:sz w:val="20"/>
        </w:rPr>
        <w:t>compatible</w:t>
      </w:r>
      <w:r>
        <w:rPr>
          <w:spacing w:val="-5"/>
          <w:sz w:val="20"/>
        </w:rPr>
        <w:t> </w:t>
      </w:r>
      <w:r>
        <w:rPr>
          <w:sz w:val="20"/>
        </w:rPr>
        <w:t>with</w:t>
      </w:r>
      <w:r>
        <w:rPr>
          <w:spacing w:val="-6"/>
          <w:sz w:val="20"/>
        </w:rPr>
        <w:t> </w:t>
      </w:r>
      <w:r>
        <w:rPr>
          <w:sz w:val="20"/>
        </w:rPr>
        <w:t>the</w:t>
      </w:r>
      <w:r>
        <w:rPr>
          <w:spacing w:val="-6"/>
          <w:sz w:val="20"/>
        </w:rPr>
        <w:t> </w:t>
      </w:r>
      <w:r>
        <w:rPr>
          <w:spacing w:val="-3"/>
          <w:sz w:val="20"/>
        </w:rPr>
        <w:t>juror’s</w:t>
      </w:r>
      <w:r>
        <w:rPr>
          <w:spacing w:val="-6"/>
          <w:sz w:val="20"/>
        </w:rPr>
        <w:t> </w:t>
      </w:r>
      <w:r>
        <w:rPr>
          <w:sz w:val="20"/>
        </w:rPr>
        <w:t>hearing</w:t>
      </w:r>
    </w:p>
    <w:p>
      <w:pPr>
        <w:pStyle w:val="BodyText"/>
        <w:spacing w:line="259" w:lineRule="exact"/>
        <w:ind w:left="2157"/>
        <w:jc w:val="both"/>
      </w:pPr>
      <w:r>
        <w:rPr/>
        <w:t>aid so the Court’s audio loop could be effectively utilised</w:t>
      </w:r>
    </w:p>
    <w:p>
      <w:pPr>
        <w:pStyle w:val="ListParagraph"/>
        <w:numPr>
          <w:ilvl w:val="2"/>
          <w:numId w:val="12"/>
        </w:numPr>
        <w:tabs>
          <w:tab w:pos="2157" w:val="left" w:leader="none"/>
          <w:tab w:pos="2158" w:val="left" w:leader="none"/>
        </w:tabs>
        <w:spacing w:line="206" w:lineRule="auto" w:before="80" w:after="0"/>
        <w:ind w:left="2157" w:right="1396" w:hanging="396"/>
        <w:jc w:val="left"/>
        <w:rPr>
          <w:sz w:val="11"/>
        </w:rPr>
      </w:pPr>
      <w:r>
        <w:rPr>
          <w:sz w:val="20"/>
        </w:rPr>
        <w:t>the trial judge regularly checking with the jury as to whether evidence and trial participants</w:t>
      </w:r>
      <w:r>
        <w:rPr>
          <w:spacing w:val="-9"/>
          <w:sz w:val="20"/>
        </w:rPr>
        <w:t> </w:t>
      </w:r>
      <w:r>
        <w:rPr>
          <w:sz w:val="20"/>
        </w:rPr>
        <w:t>could</w:t>
      </w:r>
      <w:r>
        <w:rPr>
          <w:spacing w:val="-8"/>
          <w:sz w:val="20"/>
        </w:rPr>
        <w:t> </w:t>
      </w:r>
      <w:r>
        <w:rPr>
          <w:sz w:val="20"/>
        </w:rPr>
        <w:t>be</w:t>
      </w:r>
      <w:r>
        <w:rPr>
          <w:spacing w:val="-8"/>
          <w:sz w:val="20"/>
        </w:rPr>
        <w:t> </w:t>
      </w:r>
      <w:r>
        <w:rPr>
          <w:spacing w:val="-3"/>
          <w:sz w:val="20"/>
        </w:rPr>
        <w:t>clearly</w:t>
      </w:r>
      <w:r>
        <w:rPr>
          <w:spacing w:val="-8"/>
          <w:sz w:val="20"/>
        </w:rPr>
        <w:t> </w:t>
      </w:r>
      <w:r>
        <w:rPr>
          <w:sz w:val="20"/>
        </w:rPr>
        <w:t>heard.</w:t>
      </w:r>
      <w:r>
        <w:rPr>
          <w:spacing w:val="-8"/>
          <w:sz w:val="20"/>
        </w:rPr>
        <w:t> </w:t>
      </w:r>
      <w:r>
        <w:rPr>
          <w:sz w:val="20"/>
        </w:rPr>
        <w:t>These</w:t>
      </w:r>
      <w:r>
        <w:rPr>
          <w:spacing w:val="-8"/>
          <w:sz w:val="20"/>
        </w:rPr>
        <w:t> </w:t>
      </w:r>
      <w:r>
        <w:rPr>
          <w:sz w:val="20"/>
        </w:rPr>
        <w:t>checks</w:t>
      </w:r>
      <w:r>
        <w:rPr>
          <w:spacing w:val="-8"/>
          <w:sz w:val="20"/>
        </w:rPr>
        <w:t> </w:t>
      </w:r>
      <w:r>
        <w:rPr>
          <w:spacing w:val="-3"/>
          <w:sz w:val="20"/>
        </w:rPr>
        <w:t>are</w:t>
      </w:r>
      <w:r>
        <w:rPr>
          <w:spacing w:val="-8"/>
          <w:sz w:val="20"/>
        </w:rPr>
        <w:t> </w:t>
      </w:r>
      <w:r>
        <w:rPr>
          <w:spacing w:val="-3"/>
          <w:sz w:val="20"/>
        </w:rPr>
        <w:t>recorded</w:t>
      </w:r>
      <w:r>
        <w:rPr>
          <w:spacing w:val="-8"/>
          <w:sz w:val="20"/>
        </w:rPr>
        <w:t> </w:t>
      </w:r>
      <w:r>
        <w:rPr>
          <w:sz w:val="20"/>
        </w:rPr>
        <w:t>in</w:t>
      </w:r>
      <w:r>
        <w:rPr>
          <w:spacing w:val="-8"/>
          <w:sz w:val="20"/>
        </w:rPr>
        <w:t> </w:t>
      </w:r>
      <w:r>
        <w:rPr>
          <w:sz w:val="20"/>
        </w:rPr>
        <w:t>the</w:t>
      </w:r>
      <w:r>
        <w:rPr>
          <w:spacing w:val="-8"/>
          <w:sz w:val="20"/>
        </w:rPr>
        <w:t> </w:t>
      </w:r>
      <w:r>
        <w:rPr>
          <w:sz w:val="20"/>
        </w:rPr>
        <w:t>transcript.</w:t>
      </w:r>
      <w:r>
        <w:rPr>
          <w:position w:val="7"/>
          <w:sz w:val="11"/>
        </w:rPr>
        <w:t>15</w:t>
      </w:r>
    </w:p>
    <w:p>
      <w:pPr>
        <w:pStyle w:val="ListParagraph"/>
        <w:numPr>
          <w:ilvl w:val="1"/>
          <w:numId w:val="12"/>
        </w:numPr>
        <w:tabs>
          <w:tab w:pos="1761" w:val="left" w:leader="none"/>
          <w:tab w:pos="1762" w:val="left" w:leader="none"/>
        </w:tabs>
        <w:spacing w:line="259" w:lineRule="exact" w:before="55" w:after="0"/>
        <w:ind w:left="1761" w:right="0" w:hanging="794"/>
        <w:jc w:val="left"/>
        <w:rPr>
          <w:sz w:val="20"/>
        </w:rPr>
      </w:pPr>
      <w:r>
        <w:rPr>
          <w:sz w:val="20"/>
        </w:rPr>
        <w:t>The</w:t>
      </w:r>
      <w:r>
        <w:rPr>
          <w:spacing w:val="-7"/>
          <w:sz w:val="20"/>
        </w:rPr>
        <w:t> </w:t>
      </w:r>
      <w:r>
        <w:rPr>
          <w:sz w:val="20"/>
        </w:rPr>
        <w:t>Federal</w:t>
      </w:r>
      <w:r>
        <w:rPr>
          <w:spacing w:val="-7"/>
          <w:sz w:val="20"/>
        </w:rPr>
        <w:t> </w:t>
      </w:r>
      <w:r>
        <w:rPr>
          <w:sz w:val="20"/>
        </w:rPr>
        <w:t>Court</w:t>
      </w:r>
      <w:r>
        <w:rPr>
          <w:spacing w:val="-6"/>
          <w:sz w:val="20"/>
        </w:rPr>
        <w:t> </w:t>
      </w:r>
      <w:r>
        <w:rPr>
          <w:sz w:val="20"/>
        </w:rPr>
        <w:t>juries</w:t>
      </w:r>
      <w:r>
        <w:rPr>
          <w:spacing w:val="-7"/>
          <w:sz w:val="20"/>
        </w:rPr>
        <w:t> </w:t>
      </w:r>
      <w:r>
        <w:rPr>
          <w:sz w:val="20"/>
        </w:rPr>
        <w:t>officer</w:t>
      </w:r>
      <w:r>
        <w:rPr>
          <w:spacing w:val="-7"/>
          <w:sz w:val="20"/>
        </w:rPr>
        <w:t> </w:t>
      </w:r>
      <w:r>
        <w:rPr>
          <w:sz w:val="20"/>
        </w:rPr>
        <w:t>manuals</w:t>
      </w:r>
      <w:r>
        <w:rPr>
          <w:spacing w:val="-6"/>
          <w:sz w:val="20"/>
        </w:rPr>
        <w:t> </w:t>
      </w:r>
      <w:r>
        <w:rPr>
          <w:sz w:val="20"/>
        </w:rPr>
        <w:t>reflect</w:t>
      </w:r>
      <w:r>
        <w:rPr>
          <w:spacing w:val="-7"/>
          <w:sz w:val="20"/>
        </w:rPr>
        <w:t> </w:t>
      </w:r>
      <w:r>
        <w:rPr>
          <w:sz w:val="20"/>
        </w:rPr>
        <w:t>the</w:t>
      </w:r>
      <w:r>
        <w:rPr>
          <w:spacing w:val="-7"/>
          <w:sz w:val="20"/>
        </w:rPr>
        <w:t> </w:t>
      </w:r>
      <w:r>
        <w:rPr>
          <w:sz w:val="20"/>
        </w:rPr>
        <w:t>practices</w:t>
      </w:r>
      <w:r>
        <w:rPr>
          <w:spacing w:val="-6"/>
          <w:sz w:val="20"/>
        </w:rPr>
        <w:t> </w:t>
      </w:r>
      <w:r>
        <w:rPr>
          <w:sz w:val="20"/>
        </w:rPr>
        <w:t>implemented</w:t>
      </w:r>
      <w:r>
        <w:rPr>
          <w:spacing w:val="-7"/>
          <w:sz w:val="20"/>
        </w:rPr>
        <w:t> </w:t>
      </w:r>
      <w:r>
        <w:rPr>
          <w:sz w:val="20"/>
        </w:rPr>
        <w:t>in</w:t>
      </w:r>
      <w:r>
        <w:rPr>
          <w:spacing w:val="-7"/>
          <w:sz w:val="20"/>
        </w:rPr>
        <w:t> </w:t>
      </w:r>
      <w:r>
        <w:rPr>
          <w:sz w:val="20"/>
        </w:rPr>
        <w:t>the</w:t>
      </w:r>
    </w:p>
    <w:p>
      <w:pPr>
        <w:pStyle w:val="BodyText"/>
        <w:spacing w:line="259" w:lineRule="exact"/>
        <w:ind w:left="1761"/>
        <w:rPr>
          <w:sz w:val="11"/>
        </w:rPr>
      </w:pPr>
      <w:r>
        <w:rPr/>
        <w:t>Melbourne trial.</w:t>
      </w:r>
      <w:r>
        <w:rPr>
          <w:position w:val="7"/>
          <w:sz w:val="11"/>
        </w:rPr>
        <w:t>16</w:t>
      </w:r>
    </w:p>
    <w:p>
      <w:pPr>
        <w:pStyle w:val="ListParagraph"/>
        <w:numPr>
          <w:ilvl w:val="1"/>
          <w:numId w:val="12"/>
        </w:numPr>
        <w:tabs>
          <w:tab w:pos="1761" w:val="left" w:leader="none"/>
          <w:tab w:pos="1762" w:val="left" w:leader="none"/>
        </w:tabs>
        <w:spacing w:line="206" w:lineRule="auto" w:before="115" w:after="0"/>
        <w:ind w:left="1761" w:right="1461" w:hanging="794"/>
        <w:jc w:val="left"/>
        <w:rPr>
          <w:sz w:val="20"/>
        </w:rPr>
      </w:pPr>
      <w:r>
        <w:rPr>
          <w:sz w:val="20"/>
        </w:rPr>
        <w:t>Regarding</w:t>
      </w:r>
      <w:r>
        <w:rPr>
          <w:spacing w:val="-11"/>
          <w:sz w:val="20"/>
        </w:rPr>
        <w:t> </w:t>
      </w:r>
      <w:r>
        <w:rPr>
          <w:sz w:val="20"/>
        </w:rPr>
        <w:t>the</w:t>
      </w:r>
      <w:r>
        <w:rPr>
          <w:spacing w:val="-11"/>
          <w:sz w:val="20"/>
        </w:rPr>
        <w:t> </w:t>
      </w:r>
      <w:r>
        <w:rPr>
          <w:spacing w:val="-3"/>
          <w:sz w:val="20"/>
        </w:rPr>
        <w:t>provision</w:t>
      </w:r>
      <w:r>
        <w:rPr>
          <w:spacing w:val="-11"/>
          <w:sz w:val="20"/>
        </w:rPr>
        <w:t> </w:t>
      </w:r>
      <w:r>
        <w:rPr>
          <w:sz w:val="20"/>
        </w:rPr>
        <w:t>of</w:t>
      </w:r>
      <w:r>
        <w:rPr>
          <w:spacing w:val="-10"/>
          <w:sz w:val="20"/>
        </w:rPr>
        <w:t> </w:t>
      </w:r>
      <w:r>
        <w:rPr>
          <w:sz w:val="20"/>
        </w:rPr>
        <w:t>training</w:t>
      </w:r>
      <w:r>
        <w:rPr>
          <w:spacing w:val="-11"/>
          <w:sz w:val="20"/>
        </w:rPr>
        <w:t> </w:t>
      </w:r>
      <w:r>
        <w:rPr>
          <w:sz w:val="20"/>
        </w:rPr>
        <w:t>for</w:t>
      </w:r>
      <w:r>
        <w:rPr>
          <w:spacing w:val="-11"/>
          <w:sz w:val="20"/>
        </w:rPr>
        <w:t> </w:t>
      </w:r>
      <w:r>
        <w:rPr>
          <w:sz w:val="20"/>
        </w:rPr>
        <w:t>court</w:t>
      </w:r>
      <w:r>
        <w:rPr>
          <w:spacing w:val="-10"/>
          <w:sz w:val="20"/>
        </w:rPr>
        <w:t> </w:t>
      </w:r>
      <w:r>
        <w:rPr>
          <w:spacing w:val="-3"/>
          <w:sz w:val="20"/>
        </w:rPr>
        <w:t>staff,</w:t>
      </w:r>
      <w:r>
        <w:rPr>
          <w:spacing w:val="-11"/>
          <w:sz w:val="20"/>
        </w:rPr>
        <w:t> </w:t>
      </w:r>
      <w:r>
        <w:rPr>
          <w:sz w:val="20"/>
        </w:rPr>
        <w:t>the</w:t>
      </w:r>
      <w:r>
        <w:rPr>
          <w:spacing w:val="-11"/>
          <w:sz w:val="20"/>
        </w:rPr>
        <w:t> </w:t>
      </w:r>
      <w:r>
        <w:rPr>
          <w:sz w:val="20"/>
        </w:rPr>
        <w:t>Federal</w:t>
      </w:r>
      <w:r>
        <w:rPr>
          <w:spacing w:val="-10"/>
          <w:sz w:val="20"/>
        </w:rPr>
        <w:t> </w:t>
      </w:r>
      <w:r>
        <w:rPr>
          <w:sz w:val="20"/>
        </w:rPr>
        <w:t>Court</w:t>
      </w:r>
      <w:r>
        <w:rPr>
          <w:spacing w:val="-11"/>
          <w:sz w:val="20"/>
        </w:rPr>
        <w:t> </w:t>
      </w:r>
      <w:r>
        <w:rPr>
          <w:sz w:val="20"/>
        </w:rPr>
        <w:t>Judicial</w:t>
      </w:r>
      <w:r>
        <w:rPr>
          <w:spacing w:val="-11"/>
          <w:sz w:val="20"/>
        </w:rPr>
        <w:t> </w:t>
      </w:r>
      <w:r>
        <w:rPr>
          <w:sz w:val="20"/>
        </w:rPr>
        <w:t>Registrar </w:t>
      </w:r>
      <w:r>
        <w:rPr>
          <w:spacing w:val="-3"/>
          <w:sz w:val="20"/>
        </w:rPr>
        <w:t>(Crime) </w:t>
      </w:r>
      <w:r>
        <w:rPr>
          <w:sz w:val="20"/>
        </w:rPr>
        <w:t>and Deputy Sheriff </w:t>
      </w:r>
      <w:r>
        <w:rPr>
          <w:spacing w:val="-3"/>
          <w:sz w:val="20"/>
        </w:rPr>
        <w:t>told </w:t>
      </w:r>
      <w:r>
        <w:rPr>
          <w:sz w:val="20"/>
        </w:rPr>
        <w:t>the</w:t>
      </w:r>
      <w:r>
        <w:rPr>
          <w:spacing w:val="-21"/>
          <w:sz w:val="20"/>
        </w:rPr>
        <w:t> </w:t>
      </w:r>
      <w:r>
        <w:rPr>
          <w:sz w:val="20"/>
        </w:rPr>
        <w:t>Commission:</w:t>
      </w:r>
    </w:p>
    <w:p>
      <w:pPr>
        <w:spacing w:line="208" w:lineRule="auto" w:before="120"/>
        <w:ind w:left="2157" w:right="1365" w:firstLine="0"/>
        <w:jc w:val="both"/>
        <w:rPr>
          <w:sz w:val="11"/>
        </w:rPr>
      </w:pPr>
      <w:r>
        <w:rPr>
          <w:sz w:val="19"/>
        </w:rPr>
        <w:t>The</w:t>
      </w:r>
      <w:r>
        <w:rPr>
          <w:spacing w:val="-5"/>
          <w:sz w:val="19"/>
        </w:rPr>
        <w:t> </w:t>
      </w:r>
      <w:r>
        <w:rPr>
          <w:sz w:val="19"/>
        </w:rPr>
        <w:t>Court</w:t>
      </w:r>
      <w:r>
        <w:rPr>
          <w:spacing w:val="-4"/>
          <w:sz w:val="19"/>
        </w:rPr>
        <w:t> </w:t>
      </w:r>
      <w:r>
        <w:rPr>
          <w:sz w:val="19"/>
        </w:rPr>
        <w:t>provides</w:t>
      </w:r>
      <w:r>
        <w:rPr>
          <w:spacing w:val="-4"/>
          <w:sz w:val="19"/>
        </w:rPr>
        <w:t> </w:t>
      </w:r>
      <w:r>
        <w:rPr>
          <w:sz w:val="19"/>
        </w:rPr>
        <w:t>all</w:t>
      </w:r>
      <w:r>
        <w:rPr>
          <w:spacing w:val="-4"/>
          <w:sz w:val="19"/>
        </w:rPr>
        <w:t> </w:t>
      </w:r>
      <w:r>
        <w:rPr>
          <w:sz w:val="19"/>
        </w:rPr>
        <w:t>Court</w:t>
      </w:r>
      <w:r>
        <w:rPr>
          <w:spacing w:val="-4"/>
          <w:sz w:val="19"/>
        </w:rPr>
        <w:t> </w:t>
      </w:r>
      <w:r>
        <w:rPr>
          <w:sz w:val="19"/>
        </w:rPr>
        <w:t>employees</w:t>
      </w:r>
      <w:r>
        <w:rPr>
          <w:spacing w:val="-4"/>
          <w:sz w:val="19"/>
        </w:rPr>
        <w:t> </w:t>
      </w:r>
      <w:r>
        <w:rPr>
          <w:sz w:val="19"/>
        </w:rPr>
        <w:t>with</w:t>
      </w:r>
      <w:r>
        <w:rPr>
          <w:spacing w:val="-4"/>
          <w:sz w:val="19"/>
        </w:rPr>
        <w:t> </w:t>
      </w:r>
      <w:r>
        <w:rPr>
          <w:sz w:val="19"/>
        </w:rPr>
        <w:t>equity</w:t>
      </w:r>
      <w:r>
        <w:rPr>
          <w:spacing w:val="-4"/>
          <w:sz w:val="19"/>
        </w:rPr>
        <w:t> </w:t>
      </w:r>
      <w:r>
        <w:rPr>
          <w:sz w:val="19"/>
        </w:rPr>
        <w:t>and</w:t>
      </w:r>
      <w:r>
        <w:rPr>
          <w:spacing w:val="-4"/>
          <w:sz w:val="19"/>
        </w:rPr>
        <w:t> </w:t>
      </w:r>
      <w:r>
        <w:rPr>
          <w:sz w:val="19"/>
        </w:rPr>
        <w:t>diversity</w:t>
      </w:r>
      <w:r>
        <w:rPr>
          <w:spacing w:val="-4"/>
          <w:sz w:val="19"/>
        </w:rPr>
        <w:t> </w:t>
      </w:r>
      <w:r>
        <w:rPr>
          <w:sz w:val="19"/>
        </w:rPr>
        <w:t>training.</w:t>
      </w:r>
      <w:r>
        <w:rPr>
          <w:spacing w:val="-5"/>
          <w:sz w:val="19"/>
        </w:rPr>
        <w:t> </w:t>
      </w:r>
      <w:r>
        <w:rPr>
          <w:sz w:val="19"/>
        </w:rPr>
        <w:t>In</w:t>
      </w:r>
      <w:r>
        <w:rPr>
          <w:spacing w:val="-4"/>
          <w:sz w:val="19"/>
        </w:rPr>
        <w:t> </w:t>
      </w:r>
      <w:r>
        <w:rPr>
          <w:sz w:val="19"/>
        </w:rPr>
        <w:t>addition to this training the Jury </w:t>
      </w:r>
      <w:r>
        <w:rPr>
          <w:spacing w:val="-4"/>
          <w:sz w:val="19"/>
        </w:rPr>
        <w:t>Team, </w:t>
      </w:r>
      <w:r>
        <w:rPr>
          <w:sz w:val="19"/>
        </w:rPr>
        <w:t>prior to each trial, is provided training in respect of jury management and includes training in respect of the</w:t>
      </w:r>
      <w:r>
        <w:rPr>
          <w:spacing w:val="-18"/>
          <w:sz w:val="19"/>
        </w:rPr>
        <w:t> </w:t>
      </w:r>
      <w:r>
        <w:rPr>
          <w:sz w:val="19"/>
        </w:rPr>
        <w:t>manuals.</w:t>
      </w:r>
      <w:r>
        <w:rPr>
          <w:position w:val="6"/>
          <w:sz w:val="11"/>
        </w:rPr>
        <w:t>17</w:t>
      </w:r>
    </w:p>
    <w:p>
      <w:pPr>
        <w:pStyle w:val="ListParagraph"/>
        <w:numPr>
          <w:ilvl w:val="1"/>
          <w:numId w:val="12"/>
        </w:numPr>
        <w:tabs>
          <w:tab w:pos="1761" w:val="left" w:leader="none"/>
          <w:tab w:pos="1762" w:val="left" w:leader="none"/>
        </w:tabs>
        <w:spacing w:line="206" w:lineRule="auto" w:before="124" w:after="0"/>
        <w:ind w:left="1761" w:right="1678" w:hanging="794"/>
        <w:jc w:val="left"/>
        <w:rPr>
          <w:sz w:val="11"/>
        </w:rPr>
      </w:pPr>
      <w:r>
        <w:rPr>
          <w:sz w:val="20"/>
        </w:rPr>
        <w:t>The Federal Court has </w:t>
      </w:r>
      <w:r>
        <w:rPr>
          <w:spacing w:val="-3"/>
          <w:sz w:val="20"/>
        </w:rPr>
        <w:t>told </w:t>
      </w:r>
      <w:r>
        <w:rPr>
          <w:sz w:val="20"/>
        </w:rPr>
        <w:t>the Commission that in </w:t>
      </w:r>
      <w:r>
        <w:rPr>
          <w:spacing w:val="-3"/>
          <w:sz w:val="20"/>
        </w:rPr>
        <w:t>2019 </w:t>
      </w:r>
      <w:r>
        <w:rPr>
          <w:sz w:val="20"/>
        </w:rPr>
        <w:t>the Federal </w:t>
      </w:r>
      <w:r>
        <w:rPr>
          <w:spacing w:val="-2"/>
          <w:sz w:val="20"/>
        </w:rPr>
        <w:t>Government </w:t>
      </w:r>
      <w:r>
        <w:rPr>
          <w:sz w:val="20"/>
        </w:rPr>
        <w:t>announced</w:t>
      </w:r>
      <w:r>
        <w:rPr>
          <w:spacing w:val="-14"/>
          <w:sz w:val="20"/>
        </w:rPr>
        <w:t> </w:t>
      </w:r>
      <w:r>
        <w:rPr>
          <w:sz w:val="20"/>
        </w:rPr>
        <w:t>plans</w:t>
      </w:r>
      <w:r>
        <w:rPr>
          <w:spacing w:val="-14"/>
          <w:sz w:val="20"/>
        </w:rPr>
        <w:t> </w:t>
      </w:r>
      <w:r>
        <w:rPr>
          <w:sz w:val="20"/>
        </w:rPr>
        <w:t>to</w:t>
      </w:r>
      <w:r>
        <w:rPr>
          <w:spacing w:val="-14"/>
          <w:sz w:val="20"/>
        </w:rPr>
        <w:t> </w:t>
      </w:r>
      <w:r>
        <w:rPr>
          <w:sz w:val="20"/>
        </w:rPr>
        <w:t>expand</w:t>
      </w:r>
      <w:r>
        <w:rPr>
          <w:spacing w:val="-13"/>
          <w:sz w:val="20"/>
        </w:rPr>
        <w:t> </w:t>
      </w:r>
      <w:r>
        <w:rPr>
          <w:sz w:val="20"/>
        </w:rPr>
        <w:t>the</w:t>
      </w:r>
      <w:r>
        <w:rPr>
          <w:spacing w:val="-14"/>
          <w:sz w:val="20"/>
        </w:rPr>
        <w:t> </w:t>
      </w:r>
      <w:r>
        <w:rPr>
          <w:sz w:val="20"/>
        </w:rPr>
        <w:t>Federal</w:t>
      </w:r>
      <w:r>
        <w:rPr>
          <w:spacing w:val="-14"/>
          <w:sz w:val="20"/>
        </w:rPr>
        <w:t> </w:t>
      </w:r>
      <w:r>
        <w:rPr>
          <w:sz w:val="20"/>
        </w:rPr>
        <w:t>Court’s</w:t>
      </w:r>
      <w:r>
        <w:rPr>
          <w:spacing w:val="-13"/>
          <w:sz w:val="20"/>
        </w:rPr>
        <w:t> </w:t>
      </w:r>
      <w:r>
        <w:rPr>
          <w:sz w:val="20"/>
        </w:rPr>
        <w:t>jurisdiction</w:t>
      </w:r>
      <w:r>
        <w:rPr>
          <w:spacing w:val="-14"/>
          <w:sz w:val="20"/>
        </w:rPr>
        <w:t> </w:t>
      </w:r>
      <w:r>
        <w:rPr>
          <w:sz w:val="20"/>
        </w:rPr>
        <w:t>in</w:t>
      </w:r>
      <w:r>
        <w:rPr>
          <w:spacing w:val="-14"/>
          <w:sz w:val="20"/>
        </w:rPr>
        <w:t> </w:t>
      </w:r>
      <w:r>
        <w:rPr>
          <w:sz w:val="20"/>
        </w:rPr>
        <w:t>relation</w:t>
      </w:r>
      <w:r>
        <w:rPr>
          <w:spacing w:val="-14"/>
          <w:sz w:val="20"/>
        </w:rPr>
        <w:t> </w:t>
      </w:r>
      <w:r>
        <w:rPr>
          <w:sz w:val="20"/>
        </w:rPr>
        <w:t>to</w:t>
      </w:r>
      <w:r>
        <w:rPr>
          <w:spacing w:val="-13"/>
          <w:sz w:val="20"/>
        </w:rPr>
        <w:t> </w:t>
      </w:r>
      <w:r>
        <w:rPr>
          <w:sz w:val="20"/>
        </w:rPr>
        <w:t>corporate crime.</w:t>
      </w:r>
      <w:r>
        <w:rPr>
          <w:spacing w:val="-11"/>
          <w:sz w:val="20"/>
        </w:rPr>
        <w:t> </w:t>
      </w:r>
      <w:r>
        <w:rPr>
          <w:sz w:val="20"/>
        </w:rPr>
        <w:t>If</w:t>
      </w:r>
      <w:r>
        <w:rPr>
          <w:spacing w:val="-11"/>
          <w:sz w:val="20"/>
        </w:rPr>
        <w:t> </w:t>
      </w:r>
      <w:r>
        <w:rPr>
          <w:sz w:val="20"/>
        </w:rPr>
        <w:t>this</w:t>
      </w:r>
      <w:r>
        <w:rPr>
          <w:spacing w:val="-10"/>
          <w:sz w:val="20"/>
        </w:rPr>
        <w:t> </w:t>
      </w:r>
      <w:r>
        <w:rPr>
          <w:sz w:val="20"/>
        </w:rPr>
        <w:t>occurs</w:t>
      </w:r>
      <w:r>
        <w:rPr>
          <w:spacing w:val="-11"/>
          <w:sz w:val="20"/>
        </w:rPr>
        <w:t> </w:t>
      </w:r>
      <w:r>
        <w:rPr>
          <w:sz w:val="20"/>
        </w:rPr>
        <w:t>it</w:t>
      </w:r>
      <w:r>
        <w:rPr>
          <w:spacing w:val="-10"/>
          <w:sz w:val="20"/>
        </w:rPr>
        <w:t> </w:t>
      </w:r>
      <w:r>
        <w:rPr>
          <w:sz w:val="20"/>
        </w:rPr>
        <w:t>is</w:t>
      </w:r>
      <w:r>
        <w:rPr>
          <w:spacing w:val="-11"/>
          <w:sz w:val="20"/>
        </w:rPr>
        <w:t> </w:t>
      </w:r>
      <w:r>
        <w:rPr>
          <w:sz w:val="20"/>
        </w:rPr>
        <w:t>expected</w:t>
      </w:r>
      <w:r>
        <w:rPr>
          <w:spacing w:val="-10"/>
          <w:sz w:val="20"/>
        </w:rPr>
        <w:t> </w:t>
      </w:r>
      <w:r>
        <w:rPr>
          <w:sz w:val="20"/>
        </w:rPr>
        <w:t>to</w:t>
      </w:r>
      <w:r>
        <w:rPr>
          <w:spacing w:val="-11"/>
          <w:sz w:val="20"/>
        </w:rPr>
        <w:t> </w:t>
      </w:r>
      <w:r>
        <w:rPr>
          <w:sz w:val="20"/>
        </w:rPr>
        <w:t>significantly</w:t>
      </w:r>
      <w:r>
        <w:rPr>
          <w:spacing w:val="-10"/>
          <w:sz w:val="20"/>
        </w:rPr>
        <w:t> </w:t>
      </w:r>
      <w:r>
        <w:rPr>
          <w:sz w:val="20"/>
        </w:rPr>
        <w:t>increase</w:t>
      </w:r>
      <w:r>
        <w:rPr>
          <w:spacing w:val="-11"/>
          <w:sz w:val="20"/>
        </w:rPr>
        <w:t> </w:t>
      </w:r>
      <w:r>
        <w:rPr>
          <w:sz w:val="20"/>
        </w:rPr>
        <w:t>the</w:t>
      </w:r>
      <w:r>
        <w:rPr>
          <w:spacing w:val="-11"/>
          <w:sz w:val="20"/>
        </w:rPr>
        <w:t> </w:t>
      </w:r>
      <w:r>
        <w:rPr>
          <w:sz w:val="20"/>
        </w:rPr>
        <w:t>number</w:t>
      </w:r>
      <w:r>
        <w:rPr>
          <w:spacing w:val="-10"/>
          <w:sz w:val="20"/>
        </w:rPr>
        <w:t> </w:t>
      </w:r>
      <w:r>
        <w:rPr>
          <w:sz w:val="20"/>
        </w:rPr>
        <w:t>of</w:t>
      </w:r>
      <w:r>
        <w:rPr>
          <w:spacing w:val="-11"/>
          <w:sz w:val="20"/>
        </w:rPr>
        <w:t> </w:t>
      </w:r>
      <w:r>
        <w:rPr>
          <w:sz w:val="20"/>
        </w:rPr>
        <w:t>jury</w:t>
      </w:r>
      <w:r>
        <w:rPr>
          <w:spacing w:val="-10"/>
          <w:sz w:val="20"/>
        </w:rPr>
        <w:t> </w:t>
      </w:r>
      <w:r>
        <w:rPr>
          <w:sz w:val="20"/>
        </w:rPr>
        <w:t>trials conducted in the</w:t>
      </w:r>
      <w:r>
        <w:rPr>
          <w:spacing w:val="-13"/>
          <w:sz w:val="20"/>
        </w:rPr>
        <w:t> </w:t>
      </w:r>
      <w:r>
        <w:rPr>
          <w:sz w:val="20"/>
        </w:rPr>
        <w:t>Court.</w:t>
      </w:r>
      <w:r>
        <w:rPr>
          <w:position w:val="7"/>
          <w:sz w:val="11"/>
        </w:rPr>
        <w:t>18</w:t>
      </w:r>
    </w:p>
    <w:p>
      <w:pPr>
        <w:spacing w:before="163"/>
        <w:ind w:left="967" w:right="0" w:firstLine="0"/>
        <w:jc w:val="left"/>
        <w:rPr>
          <w:b/>
          <w:sz w:val="24"/>
        </w:rPr>
      </w:pPr>
      <w:r>
        <w:rPr>
          <w:b/>
          <w:sz w:val="24"/>
        </w:rPr>
        <w:t>Status of reforms in other Australian states and territories</w:t>
      </w:r>
    </w:p>
    <w:p>
      <w:pPr>
        <w:pStyle w:val="ListParagraph"/>
        <w:numPr>
          <w:ilvl w:val="1"/>
          <w:numId w:val="12"/>
        </w:numPr>
        <w:tabs>
          <w:tab w:pos="1762" w:val="left" w:leader="none"/>
        </w:tabs>
        <w:spacing w:line="206" w:lineRule="auto" w:before="128" w:after="0"/>
        <w:ind w:left="1761" w:right="1208" w:hanging="794"/>
        <w:jc w:val="both"/>
        <w:rPr>
          <w:sz w:val="20"/>
        </w:rPr>
      </w:pPr>
      <w:r>
        <w:rPr>
          <w:sz w:val="20"/>
        </w:rPr>
        <w:t>Other</w:t>
      </w:r>
      <w:r>
        <w:rPr>
          <w:spacing w:val="-11"/>
          <w:sz w:val="20"/>
        </w:rPr>
        <w:t> </w:t>
      </w:r>
      <w:r>
        <w:rPr>
          <w:sz w:val="20"/>
        </w:rPr>
        <w:t>states</w:t>
      </w:r>
      <w:r>
        <w:rPr>
          <w:spacing w:val="-11"/>
          <w:sz w:val="20"/>
        </w:rPr>
        <w:t> </w:t>
      </w:r>
      <w:r>
        <w:rPr>
          <w:sz w:val="20"/>
        </w:rPr>
        <w:t>and</w:t>
      </w:r>
      <w:r>
        <w:rPr>
          <w:spacing w:val="-11"/>
          <w:sz w:val="20"/>
        </w:rPr>
        <w:t> </w:t>
      </w:r>
      <w:r>
        <w:rPr>
          <w:sz w:val="20"/>
        </w:rPr>
        <w:t>territories</w:t>
      </w:r>
      <w:r>
        <w:rPr>
          <w:spacing w:val="-11"/>
          <w:sz w:val="20"/>
        </w:rPr>
        <w:t> </w:t>
      </w:r>
      <w:r>
        <w:rPr>
          <w:sz w:val="20"/>
        </w:rPr>
        <w:t>in</w:t>
      </w:r>
      <w:r>
        <w:rPr>
          <w:spacing w:val="-11"/>
          <w:sz w:val="20"/>
        </w:rPr>
        <w:t> </w:t>
      </w:r>
      <w:r>
        <w:rPr>
          <w:sz w:val="20"/>
        </w:rPr>
        <w:t>Australia</w:t>
      </w:r>
      <w:r>
        <w:rPr>
          <w:spacing w:val="-10"/>
          <w:sz w:val="20"/>
        </w:rPr>
        <w:t> </w:t>
      </w:r>
      <w:r>
        <w:rPr>
          <w:spacing w:val="-4"/>
          <w:sz w:val="20"/>
        </w:rPr>
        <w:t>have</w:t>
      </w:r>
      <w:r>
        <w:rPr>
          <w:spacing w:val="-11"/>
          <w:sz w:val="20"/>
        </w:rPr>
        <w:t> </w:t>
      </w:r>
      <w:r>
        <w:rPr>
          <w:sz w:val="20"/>
        </w:rPr>
        <w:t>not</w:t>
      </w:r>
      <w:r>
        <w:rPr>
          <w:spacing w:val="-11"/>
          <w:sz w:val="20"/>
        </w:rPr>
        <w:t> </w:t>
      </w:r>
      <w:r>
        <w:rPr>
          <w:spacing w:val="-3"/>
          <w:sz w:val="20"/>
        </w:rPr>
        <w:t>removed</w:t>
      </w:r>
      <w:r>
        <w:rPr>
          <w:spacing w:val="-11"/>
          <w:sz w:val="20"/>
        </w:rPr>
        <w:t> </w:t>
      </w:r>
      <w:r>
        <w:rPr>
          <w:sz w:val="20"/>
        </w:rPr>
        <w:t>barriers</w:t>
      </w:r>
      <w:r>
        <w:rPr>
          <w:spacing w:val="-11"/>
          <w:sz w:val="20"/>
        </w:rPr>
        <w:t> </w:t>
      </w:r>
      <w:r>
        <w:rPr>
          <w:sz w:val="20"/>
        </w:rPr>
        <w:t>to</w:t>
      </w:r>
      <w:r>
        <w:rPr>
          <w:spacing w:val="-10"/>
          <w:sz w:val="20"/>
        </w:rPr>
        <w:t> </w:t>
      </w:r>
      <w:r>
        <w:rPr>
          <w:sz w:val="20"/>
        </w:rPr>
        <w:t>participation</w:t>
      </w:r>
      <w:r>
        <w:rPr>
          <w:spacing w:val="-11"/>
          <w:sz w:val="20"/>
        </w:rPr>
        <w:t> </w:t>
      </w:r>
      <w:r>
        <w:rPr>
          <w:sz w:val="20"/>
        </w:rPr>
        <w:t>in</w:t>
      </w:r>
      <w:r>
        <w:rPr>
          <w:spacing w:val="-11"/>
          <w:sz w:val="20"/>
        </w:rPr>
        <w:t> </w:t>
      </w:r>
      <w:r>
        <w:rPr>
          <w:sz w:val="20"/>
        </w:rPr>
        <w:t>jury service</w:t>
      </w:r>
      <w:r>
        <w:rPr>
          <w:spacing w:val="-12"/>
          <w:sz w:val="20"/>
        </w:rPr>
        <w:t> </w:t>
      </w:r>
      <w:r>
        <w:rPr>
          <w:sz w:val="20"/>
        </w:rPr>
        <w:t>for</w:t>
      </w:r>
      <w:r>
        <w:rPr>
          <w:spacing w:val="-12"/>
          <w:sz w:val="20"/>
        </w:rPr>
        <w:t> </w:t>
      </w:r>
      <w:r>
        <w:rPr>
          <w:sz w:val="20"/>
        </w:rPr>
        <w:t>people</w:t>
      </w:r>
      <w:r>
        <w:rPr>
          <w:spacing w:val="-12"/>
          <w:sz w:val="20"/>
        </w:rPr>
        <w:t> </w:t>
      </w:r>
      <w:r>
        <w:rPr>
          <w:sz w:val="20"/>
        </w:rPr>
        <w:t>with</w:t>
      </w:r>
      <w:r>
        <w:rPr>
          <w:spacing w:val="-12"/>
          <w:sz w:val="20"/>
        </w:rPr>
        <w:t> </w:t>
      </w:r>
      <w:r>
        <w:rPr>
          <w:sz w:val="20"/>
        </w:rPr>
        <w:t>disabilities.</w:t>
      </w:r>
      <w:r>
        <w:rPr>
          <w:spacing w:val="-12"/>
          <w:sz w:val="20"/>
        </w:rPr>
        <w:t> </w:t>
      </w:r>
      <w:r>
        <w:rPr>
          <w:sz w:val="20"/>
        </w:rPr>
        <w:t>They</w:t>
      </w:r>
      <w:r>
        <w:rPr>
          <w:spacing w:val="-12"/>
          <w:sz w:val="20"/>
        </w:rPr>
        <w:t> </w:t>
      </w:r>
      <w:r>
        <w:rPr>
          <w:sz w:val="20"/>
        </w:rPr>
        <w:t>all</w:t>
      </w:r>
      <w:r>
        <w:rPr>
          <w:spacing w:val="-12"/>
          <w:sz w:val="20"/>
        </w:rPr>
        <w:t> </w:t>
      </w:r>
      <w:r>
        <w:rPr>
          <w:spacing w:val="-4"/>
          <w:sz w:val="20"/>
        </w:rPr>
        <w:t>have</w:t>
      </w:r>
      <w:r>
        <w:rPr>
          <w:spacing w:val="-12"/>
          <w:sz w:val="20"/>
        </w:rPr>
        <w:t> </w:t>
      </w:r>
      <w:r>
        <w:rPr>
          <w:sz w:val="20"/>
        </w:rPr>
        <w:t>similar</w:t>
      </w:r>
      <w:r>
        <w:rPr>
          <w:spacing w:val="-12"/>
          <w:sz w:val="20"/>
        </w:rPr>
        <w:t> </w:t>
      </w:r>
      <w:r>
        <w:rPr>
          <w:sz w:val="20"/>
        </w:rPr>
        <w:t>legislation</w:t>
      </w:r>
      <w:r>
        <w:rPr>
          <w:spacing w:val="-12"/>
          <w:sz w:val="20"/>
        </w:rPr>
        <w:t> </w:t>
      </w:r>
      <w:r>
        <w:rPr>
          <w:sz w:val="20"/>
        </w:rPr>
        <w:t>to</w:t>
      </w:r>
      <w:r>
        <w:rPr>
          <w:spacing w:val="-12"/>
          <w:sz w:val="20"/>
        </w:rPr>
        <w:t> </w:t>
      </w:r>
      <w:r>
        <w:rPr>
          <w:sz w:val="20"/>
        </w:rPr>
        <w:t>Victoria</w:t>
      </w:r>
      <w:r>
        <w:rPr>
          <w:spacing w:val="-12"/>
          <w:sz w:val="20"/>
        </w:rPr>
        <w:t> </w:t>
      </w:r>
      <w:r>
        <w:rPr>
          <w:sz w:val="20"/>
        </w:rPr>
        <w:t>that</w:t>
      </w:r>
      <w:r>
        <w:rPr>
          <w:spacing w:val="-12"/>
          <w:sz w:val="20"/>
        </w:rPr>
        <w:t> </w:t>
      </w:r>
      <w:r>
        <w:rPr>
          <w:sz w:val="20"/>
        </w:rPr>
        <w:t>either </w:t>
      </w:r>
      <w:r>
        <w:rPr>
          <w:spacing w:val="-3"/>
          <w:sz w:val="20"/>
        </w:rPr>
        <w:t>‘refers</w:t>
      </w:r>
      <w:r>
        <w:rPr>
          <w:spacing w:val="-9"/>
          <w:sz w:val="20"/>
        </w:rPr>
        <w:t> </w:t>
      </w:r>
      <w:r>
        <w:rPr>
          <w:sz w:val="20"/>
        </w:rPr>
        <w:t>to</w:t>
      </w:r>
      <w:r>
        <w:rPr>
          <w:spacing w:val="-9"/>
          <w:sz w:val="20"/>
        </w:rPr>
        <w:t> </w:t>
      </w:r>
      <w:r>
        <w:rPr>
          <w:sz w:val="20"/>
        </w:rPr>
        <w:t>disability</w:t>
      </w:r>
      <w:r>
        <w:rPr>
          <w:spacing w:val="-9"/>
          <w:sz w:val="20"/>
        </w:rPr>
        <w:t> </w:t>
      </w:r>
      <w:r>
        <w:rPr>
          <w:sz w:val="20"/>
        </w:rPr>
        <w:t>as</w:t>
      </w:r>
      <w:r>
        <w:rPr>
          <w:spacing w:val="-9"/>
          <w:sz w:val="20"/>
        </w:rPr>
        <w:t> </w:t>
      </w:r>
      <w:r>
        <w:rPr>
          <w:sz w:val="20"/>
        </w:rPr>
        <w:t>a</w:t>
      </w:r>
      <w:r>
        <w:rPr>
          <w:spacing w:val="-9"/>
          <w:sz w:val="20"/>
        </w:rPr>
        <w:t> </w:t>
      </w:r>
      <w:r>
        <w:rPr>
          <w:sz w:val="20"/>
        </w:rPr>
        <w:t>ground</w:t>
      </w:r>
      <w:r>
        <w:rPr>
          <w:spacing w:val="-9"/>
          <w:sz w:val="20"/>
        </w:rPr>
        <w:t> </w:t>
      </w:r>
      <w:r>
        <w:rPr>
          <w:sz w:val="20"/>
        </w:rPr>
        <w:t>for</w:t>
      </w:r>
      <w:r>
        <w:rPr>
          <w:spacing w:val="-9"/>
          <w:sz w:val="20"/>
        </w:rPr>
        <w:t> </w:t>
      </w:r>
      <w:r>
        <w:rPr>
          <w:sz w:val="20"/>
        </w:rPr>
        <w:t>disqualification</w:t>
      </w:r>
      <w:r>
        <w:rPr>
          <w:spacing w:val="-9"/>
          <w:sz w:val="20"/>
        </w:rPr>
        <w:t> </w:t>
      </w:r>
      <w:r>
        <w:rPr>
          <w:spacing w:val="-3"/>
          <w:sz w:val="20"/>
        </w:rPr>
        <w:t>from</w:t>
      </w:r>
      <w:r>
        <w:rPr>
          <w:spacing w:val="-9"/>
          <w:sz w:val="20"/>
        </w:rPr>
        <w:t> </w:t>
      </w:r>
      <w:r>
        <w:rPr>
          <w:sz w:val="20"/>
        </w:rPr>
        <w:t>serving</w:t>
      </w:r>
      <w:r>
        <w:rPr>
          <w:spacing w:val="-9"/>
          <w:sz w:val="20"/>
        </w:rPr>
        <w:t> </w:t>
      </w:r>
      <w:r>
        <w:rPr>
          <w:sz w:val="20"/>
        </w:rPr>
        <w:t>as</w:t>
      </w:r>
      <w:r>
        <w:rPr>
          <w:spacing w:val="-9"/>
          <w:sz w:val="20"/>
        </w:rPr>
        <w:t> </w:t>
      </w:r>
      <w:r>
        <w:rPr>
          <w:sz w:val="20"/>
        </w:rPr>
        <w:t>a</w:t>
      </w:r>
      <w:r>
        <w:rPr>
          <w:spacing w:val="-9"/>
          <w:sz w:val="20"/>
        </w:rPr>
        <w:t> </w:t>
      </w:r>
      <w:r>
        <w:rPr>
          <w:sz w:val="20"/>
        </w:rPr>
        <w:t>juror</w:t>
      </w:r>
      <w:r>
        <w:rPr>
          <w:spacing w:val="-9"/>
          <w:sz w:val="20"/>
        </w:rPr>
        <w:t> </w:t>
      </w:r>
      <w:r>
        <w:rPr>
          <w:sz w:val="20"/>
        </w:rPr>
        <w:t>or</w:t>
      </w:r>
      <w:r>
        <w:rPr>
          <w:spacing w:val="-9"/>
          <w:sz w:val="20"/>
        </w:rPr>
        <w:t> </w:t>
      </w:r>
      <w:r>
        <w:rPr>
          <w:sz w:val="20"/>
        </w:rPr>
        <w:t>implies</w:t>
      </w:r>
      <w:r>
        <w:rPr>
          <w:spacing w:val="-8"/>
          <w:sz w:val="20"/>
        </w:rPr>
        <w:t> </w:t>
      </w:r>
      <w:r>
        <w:rPr>
          <w:sz w:val="20"/>
        </w:rPr>
        <w:t>that persons</w:t>
      </w:r>
      <w:r>
        <w:rPr>
          <w:spacing w:val="-9"/>
          <w:sz w:val="20"/>
        </w:rPr>
        <w:t> </w:t>
      </w:r>
      <w:r>
        <w:rPr>
          <w:sz w:val="20"/>
        </w:rPr>
        <w:t>with</w:t>
      </w:r>
      <w:r>
        <w:rPr>
          <w:spacing w:val="-9"/>
          <w:sz w:val="20"/>
        </w:rPr>
        <w:t> </w:t>
      </w:r>
      <w:r>
        <w:rPr>
          <w:sz w:val="20"/>
        </w:rPr>
        <w:t>disability</w:t>
      </w:r>
      <w:r>
        <w:rPr>
          <w:spacing w:val="-8"/>
          <w:sz w:val="20"/>
        </w:rPr>
        <w:t> </w:t>
      </w:r>
      <w:r>
        <w:rPr>
          <w:spacing w:val="-3"/>
          <w:sz w:val="20"/>
        </w:rPr>
        <w:t>may</w:t>
      </w:r>
      <w:r>
        <w:rPr>
          <w:spacing w:val="-9"/>
          <w:sz w:val="20"/>
        </w:rPr>
        <w:t> </w:t>
      </w:r>
      <w:r>
        <w:rPr>
          <w:sz w:val="20"/>
        </w:rPr>
        <w:t>be</w:t>
      </w:r>
      <w:r>
        <w:rPr>
          <w:spacing w:val="-8"/>
          <w:sz w:val="20"/>
        </w:rPr>
        <w:t> </w:t>
      </w:r>
      <w:r>
        <w:rPr>
          <w:sz w:val="20"/>
        </w:rPr>
        <w:t>disqualified</w:t>
      </w:r>
      <w:r>
        <w:rPr>
          <w:spacing w:val="-9"/>
          <w:sz w:val="20"/>
        </w:rPr>
        <w:t> </w:t>
      </w:r>
      <w:r>
        <w:rPr>
          <w:sz w:val="20"/>
        </w:rPr>
        <w:t>on</w:t>
      </w:r>
      <w:r>
        <w:rPr>
          <w:spacing w:val="-8"/>
          <w:sz w:val="20"/>
        </w:rPr>
        <w:t> </w:t>
      </w:r>
      <w:r>
        <w:rPr>
          <w:sz w:val="20"/>
        </w:rPr>
        <w:t>the</w:t>
      </w:r>
      <w:r>
        <w:rPr>
          <w:spacing w:val="-9"/>
          <w:sz w:val="20"/>
        </w:rPr>
        <w:t> </w:t>
      </w:r>
      <w:r>
        <w:rPr>
          <w:sz w:val="20"/>
        </w:rPr>
        <w:t>grounds</w:t>
      </w:r>
      <w:r>
        <w:rPr>
          <w:spacing w:val="-9"/>
          <w:sz w:val="20"/>
        </w:rPr>
        <w:t> </w:t>
      </w:r>
      <w:r>
        <w:rPr>
          <w:sz w:val="20"/>
        </w:rPr>
        <w:t>that</w:t>
      </w:r>
      <w:r>
        <w:rPr>
          <w:spacing w:val="-8"/>
          <w:sz w:val="20"/>
        </w:rPr>
        <w:t> </w:t>
      </w:r>
      <w:r>
        <w:rPr>
          <w:sz w:val="20"/>
        </w:rPr>
        <w:t>they</w:t>
      </w:r>
      <w:r>
        <w:rPr>
          <w:spacing w:val="-9"/>
          <w:sz w:val="20"/>
        </w:rPr>
        <w:t> </w:t>
      </w:r>
      <w:r>
        <w:rPr>
          <w:spacing w:val="-3"/>
          <w:sz w:val="20"/>
        </w:rPr>
        <w:t>are</w:t>
      </w:r>
      <w:r>
        <w:rPr>
          <w:spacing w:val="-8"/>
          <w:sz w:val="20"/>
        </w:rPr>
        <w:t> </w:t>
      </w:r>
      <w:r>
        <w:rPr>
          <w:sz w:val="20"/>
        </w:rPr>
        <w:t>not</w:t>
      </w:r>
      <w:r>
        <w:rPr>
          <w:spacing w:val="-9"/>
          <w:sz w:val="20"/>
        </w:rPr>
        <w:t> </w:t>
      </w:r>
      <w:r>
        <w:rPr>
          <w:sz w:val="20"/>
        </w:rPr>
        <w:t>capable</w:t>
      </w:r>
    </w:p>
    <w:p>
      <w:pPr>
        <w:pStyle w:val="BodyText"/>
        <w:spacing w:line="206" w:lineRule="auto" w:before="5"/>
        <w:ind w:left="1761" w:right="1348"/>
        <w:rPr>
          <w:sz w:val="11"/>
        </w:rPr>
      </w:pPr>
      <w:r>
        <w:rPr/>
        <w:t>of performing the duties of a </w:t>
      </w:r>
      <w:r>
        <w:rPr>
          <w:spacing w:val="-3"/>
        </w:rPr>
        <w:t>juror’.</w:t>
      </w:r>
      <w:r>
        <w:rPr>
          <w:spacing w:val="-3"/>
          <w:position w:val="7"/>
          <w:sz w:val="11"/>
        </w:rPr>
        <w:t>19 </w:t>
      </w:r>
      <w:r>
        <w:rPr/>
        <w:t>The Northern </w:t>
      </w:r>
      <w:r>
        <w:rPr>
          <w:spacing w:val="-3"/>
        </w:rPr>
        <w:t>Territory </w:t>
      </w:r>
      <w:r>
        <w:rPr/>
        <w:t>is the </w:t>
      </w:r>
      <w:r>
        <w:rPr>
          <w:spacing w:val="-3"/>
        </w:rPr>
        <w:t>only </w:t>
      </w:r>
      <w:r>
        <w:rPr/>
        <w:t>jurisdiction that </w:t>
      </w:r>
      <w:r>
        <w:rPr>
          <w:spacing w:val="-3"/>
        </w:rPr>
        <w:t>expressly </w:t>
      </w:r>
      <w:r>
        <w:rPr/>
        <w:t>states </w:t>
      </w:r>
      <w:r>
        <w:rPr>
          <w:spacing w:val="-4"/>
        </w:rPr>
        <w:t>‘a </w:t>
      </w:r>
      <w:r>
        <w:rPr/>
        <w:t>person who is blind, deaf or dumb or otherwise incapacitated </w:t>
      </w:r>
      <w:r>
        <w:rPr>
          <w:spacing w:val="-3"/>
        </w:rPr>
        <w:t>by </w:t>
      </w:r>
      <w:r>
        <w:rPr/>
        <w:t>disease or infirmity </w:t>
      </w:r>
      <w:r>
        <w:rPr>
          <w:spacing w:val="-3"/>
        </w:rPr>
        <w:t>from </w:t>
      </w:r>
      <w:r>
        <w:rPr/>
        <w:t>discharging the duties of a juror’.</w:t>
      </w:r>
      <w:r>
        <w:rPr>
          <w:position w:val="7"/>
          <w:sz w:val="11"/>
        </w:rPr>
        <w:t>20</w:t>
      </w:r>
    </w:p>
    <w:p>
      <w:pPr>
        <w:pStyle w:val="BodyText"/>
      </w:pPr>
    </w:p>
    <w:p>
      <w:pPr>
        <w:pStyle w:val="BodyText"/>
      </w:pPr>
    </w:p>
    <w:p>
      <w:pPr>
        <w:pStyle w:val="BodyText"/>
      </w:pPr>
    </w:p>
    <w:p>
      <w:pPr>
        <w:pStyle w:val="BodyText"/>
      </w:pPr>
    </w:p>
    <w:p>
      <w:pPr>
        <w:pStyle w:val="BodyText"/>
        <w:rPr>
          <w:sz w:val="29"/>
        </w:rPr>
      </w:pPr>
      <w:r>
        <w:rPr/>
        <w:pict>
          <v:line style="position:absolute;mso-position-horizontal-relative:page;mso-position-vertical-relative:paragraph;z-index:5792;mso-wrap-distance-left:0;mso-wrap-distance-right:0" from="79.370003pt,22.58604pt" to="515.905003pt,22.58604pt" stroked="true" strokeweight="1pt" strokecolor="#b6bdc8">
            <v:stroke dashstyle="solid"/>
            <w10:wrap type="topAndBottom"/>
          </v:line>
        </w:pict>
      </w:r>
    </w:p>
    <w:p>
      <w:pPr>
        <w:pStyle w:val="ListParagraph"/>
        <w:numPr>
          <w:ilvl w:val="0"/>
          <w:numId w:val="69"/>
        </w:numPr>
        <w:tabs>
          <w:tab w:pos="1760" w:val="left" w:leader="none"/>
          <w:tab w:pos="1762" w:val="left" w:leader="none"/>
        </w:tabs>
        <w:spacing w:line="213" w:lineRule="auto" w:before="107" w:after="0"/>
        <w:ind w:left="1761" w:right="1401" w:hanging="794"/>
        <w:jc w:val="left"/>
        <w:rPr>
          <w:sz w:val="13"/>
        </w:rPr>
      </w:pPr>
      <w:r>
        <w:rPr>
          <w:sz w:val="13"/>
        </w:rPr>
        <w:t>Information provided by Judicial Registrar, Crime, Federal </w:t>
      </w:r>
      <w:r>
        <w:rPr>
          <w:spacing w:val="2"/>
          <w:sz w:val="13"/>
        </w:rPr>
        <w:t>Court </w:t>
      </w:r>
      <w:r>
        <w:rPr>
          <w:sz w:val="13"/>
        </w:rPr>
        <w:t>to Victorian Law Reform </w:t>
      </w:r>
      <w:r>
        <w:rPr>
          <w:spacing w:val="2"/>
          <w:sz w:val="13"/>
        </w:rPr>
        <w:t>Commission, </w:t>
      </w:r>
      <w:r>
        <w:rPr>
          <w:sz w:val="13"/>
        </w:rPr>
        <w:t>15 </w:t>
      </w:r>
      <w:r>
        <w:rPr>
          <w:spacing w:val="2"/>
          <w:sz w:val="13"/>
        </w:rPr>
        <w:t>December </w:t>
      </w:r>
      <w:r>
        <w:rPr>
          <w:sz w:val="13"/>
        </w:rPr>
        <w:t>2021. The </w:t>
      </w:r>
      <w:r>
        <w:rPr>
          <w:spacing w:val="2"/>
          <w:sz w:val="13"/>
        </w:rPr>
        <w:t>Commission understands </w:t>
      </w:r>
      <w:r>
        <w:rPr>
          <w:sz w:val="13"/>
        </w:rPr>
        <w:t>that several additional cartel </w:t>
      </w:r>
      <w:r>
        <w:rPr>
          <w:spacing w:val="2"/>
          <w:sz w:val="13"/>
        </w:rPr>
        <w:t>jury trials </w:t>
      </w:r>
      <w:r>
        <w:rPr>
          <w:sz w:val="13"/>
        </w:rPr>
        <w:t>are listed in Sydney and </w:t>
      </w:r>
      <w:r>
        <w:rPr>
          <w:spacing w:val="2"/>
          <w:sz w:val="13"/>
        </w:rPr>
        <w:t>Melbourne </w:t>
      </w:r>
      <w:r>
        <w:rPr>
          <w:sz w:val="13"/>
        </w:rPr>
        <w:t>in</w:t>
      </w:r>
      <w:r>
        <w:rPr>
          <w:spacing w:val="13"/>
          <w:sz w:val="13"/>
        </w:rPr>
        <w:t> </w:t>
      </w:r>
      <w:r>
        <w:rPr>
          <w:sz w:val="13"/>
        </w:rPr>
        <w:t>2022.</w:t>
      </w:r>
    </w:p>
    <w:p>
      <w:pPr>
        <w:pStyle w:val="ListParagraph"/>
        <w:numPr>
          <w:ilvl w:val="0"/>
          <w:numId w:val="69"/>
        </w:numPr>
        <w:tabs>
          <w:tab w:pos="1760" w:val="left" w:leader="none"/>
          <w:tab w:pos="1762" w:val="left" w:leader="none"/>
        </w:tabs>
        <w:spacing w:line="153" w:lineRule="exact" w:before="0" w:after="0"/>
        <w:ind w:left="1761" w:right="0" w:hanging="794"/>
        <w:jc w:val="left"/>
        <w:rPr>
          <w:sz w:val="13"/>
        </w:rPr>
      </w:pPr>
      <w:r>
        <w:rPr>
          <w:spacing w:val="2"/>
          <w:sz w:val="13"/>
        </w:rPr>
        <w:t>Ibid.</w:t>
      </w:r>
    </w:p>
    <w:p>
      <w:pPr>
        <w:pStyle w:val="ListParagraph"/>
        <w:numPr>
          <w:ilvl w:val="0"/>
          <w:numId w:val="69"/>
        </w:numPr>
        <w:tabs>
          <w:tab w:pos="1761" w:val="left" w:leader="none"/>
          <w:tab w:pos="1762" w:val="left" w:leader="none"/>
        </w:tabs>
        <w:spacing w:line="160" w:lineRule="exact" w:before="0" w:after="0"/>
        <w:ind w:left="1761" w:right="0" w:hanging="794"/>
        <w:jc w:val="left"/>
        <w:rPr>
          <w:sz w:val="13"/>
        </w:rPr>
      </w:pPr>
      <w:r>
        <w:rPr>
          <w:sz w:val="13"/>
        </w:rPr>
        <w:t>Information provided by Judicial Registrar, Crime, Federal </w:t>
      </w:r>
      <w:r>
        <w:rPr>
          <w:spacing w:val="2"/>
          <w:sz w:val="13"/>
        </w:rPr>
        <w:t>Court </w:t>
      </w:r>
      <w:r>
        <w:rPr>
          <w:sz w:val="13"/>
        </w:rPr>
        <w:t>to Victorian Law Reform </w:t>
      </w:r>
      <w:r>
        <w:rPr>
          <w:spacing w:val="2"/>
          <w:sz w:val="13"/>
        </w:rPr>
        <w:t>Commission, </w:t>
      </w:r>
      <w:r>
        <w:rPr>
          <w:sz w:val="13"/>
        </w:rPr>
        <w:t>24 June</w:t>
      </w:r>
      <w:r>
        <w:rPr>
          <w:spacing w:val="20"/>
          <w:sz w:val="13"/>
        </w:rPr>
        <w:t> </w:t>
      </w:r>
      <w:r>
        <w:rPr>
          <w:sz w:val="13"/>
        </w:rPr>
        <w:t>2022.</w:t>
      </w:r>
    </w:p>
    <w:p>
      <w:pPr>
        <w:pStyle w:val="ListParagraph"/>
        <w:numPr>
          <w:ilvl w:val="0"/>
          <w:numId w:val="69"/>
        </w:numPr>
        <w:tabs>
          <w:tab w:pos="1760" w:val="left" w:leader="none"/>
          <w:tab w:pos="1762" w:val="left" w:leader="none"/>
        </w:tabs>
        <w:spacing w:line="160" w:lineRule="exact" w:before="0" w:after="0"/>
        <w:ind w:left="1761" w:right="0" w:hanging="794"/>
        <w:jc w:val="left"/>
        <w:rPr>
          <w:sz w:val="13"/>
        </w:rPr>
      </w:pPr>
      <w:r>
        <w:rPr>
          <w:sz w:val="13"/>
        </w:rPr>
        <w:t>Information provided by Judicial Registrar, Crime, Federal </w:t>
      </w:r>
      <w:r>
        <w:rPr>
          <w:spacing w:val="2"/>
          <w:sz w:val="13"/>
        </w:rPr>
        <w:t>Court </w:t>
      </w:r>
      <w:r>
        <w:rPr>
          <w:sz w:val="13"/>
        </w:rPr>
        <w:t>to Victorian Law Reform </w:t>
      </w:r>
      <w:r>
        <w:rPr>
          <w:spacing w:val="2"/>
          <w:sz w:val="13"/>
        </w:rPr>
        <w:t>Commission, </w:t>
      </w:r>
      <w:r>
        <w:rPr>
          <w:sz w:val="13"/>
        </w:rPr>
        <w:t>15 </w:t>
      </w:r>
      <w:r>
        <w:rPr>
          <w:spacing w:val="2"/>
          <w:sz w:val="13"/>
        </w:rPr>
        <w:t>December</w:t>
      </w:r>
      <w:r>
        <w:rPr>
          <w:spacing w:val="23"/>
          <w:sz w:val="13"/>
        </w:rPr>
        <w:t> </w:t>
      </w:r>
      <w:r>
        <w:rPr>
          <w:sz w:val="13"/>
        </w:rPr>
        <w:t>2021.</w:t>
      </w:r>
    </w:p>
    <w:p>
      <w:pPr>
        <w:pStyle w:val="ListParagraph"/>
        <w:numPr>
          <w:ilvl w:val="0"/>
          <w:numId w:val="69"/>
        </w:numPr>
        <w:tabs>
          <w:tab w:pos="1761" w:val="left" w:leader="none"/>
          <w:tab w:pos="1762" w:val="left" w:leader="none"/>
        </w:tabs>
        <w:spacing w:line="213" w:lineRule="auto" w:before="6" w:after="0"/>
        <w:ind w:left="1761" w:right="1205" w:hanging="794"/>
        <w:jc w:val="left"/>
        <w:rPr>
          <w:sz w:val="13"/>
        </w:rPr>
      </w:pPr>
      <w:r>
        <w:rPr>
          <w:spacing w:val="2"/>
          <w:sz w:val="13"/>
        </w:rPr>
        <w:t>Ibid. </w:t>
      </w:r>
      <w:r>
        <w:rPr>
          <w:sz w:val="13"/>
        </w:rPr>
        <w:t>The Federal </w:t>
      </w:r>
      <w:r>
        <w:rPr>
          <w:spacing w:val="2"/>
          <w:sz w:val="13"/>
        </w:rPr>
        <w:t>Court </w:t>
      </w:r>
      <w:r>
        <w:rPr>
          <w:sz w:val="13"/>
        </w:rPr>
        <w:t>referred the </w:t>
      </w:r>
      <w:r>
        <w:rPr>
          <w:spacing w:val="2"/>
          <w:sz w:val="13"/>
        </w:rPr>
        <w:t>Commission </w:t>
      </w:r>
      <w:r>
        <w:rPr>
          <w:sz w:val="13"/>
        </w:rPr>
        <w:t>to the Government response to the Final </w:t>
      </w:r>
      <w:r>
        <w:rPr>
          <w:spacing w:val="2"/>
          <w:sz w:val="13"/>
        </w:rPr>
        <w:t>Report </w:t>
      </w:r>
      <w:r>
        <w:rPr>
          <w:sz w:val="13"/>
        </w:rPr>
        <w:t>of the Royal </w:t>
      </w:r>
      <w:r>
        <w:rPr>
          <w:spacing w:val="2"/>
          <w:sz w:val="13"/>
        </w:rPr>
        <w:t>Commission </w:t>
      </w:r>
      <w:r>
        <w:rPr>
          <w:sz w:val="13"/>
        </w:rPr>
        <w:t>into Misconduct in </w:t>
      </w:r>
      <w:r>
        <w:rPr>
          <w:spacing w:val="2"/>
          <w:sz w:val="13"/>
        </w:rPr>
        <w:t>Banking, Superannuation </w:t>
      </w:r>
      <w:r>
        <w:rPr>
          <w:sz w:val="13"/>
        </w:rPr>
        <w:t>and Financial </w:t>
      </w:r>
      <w:r>
        <w:rPr>
          <w:spacing w:val="2"/>
          <w:sz w:val="13"/>
        </w:rPr>
        <w:t>Services Industry: </w:t>
      </w:r>
      <w:r>
        <w:rPr>
          <w:sz w:val="13"/>
        </w:rPr>
        <w:t>see Treasury (Cth), </w:t>
      </w:r>
      <w:r>
        <w:rPr>
          <w:i/>
          <w:sz w:val="13"/>
        </w:rPr>
        <w:t>Restoring Trust in Australia’s Financial </w:t>
      </w:r>
      <w:r>
        <w:rPr>
          <w:i/>
          <w:sz w:val="13"/>
        </w:rPr>
        <w:t>System—The Government Response to the Royal Commission into Misconduct in the Banking, Superannuation and Financial </w:t>
      </w:r>
      <w:r>
        <w:rPr>
          <w:i/>
          <w:spacing w:val="2"/>
          <w:sz w:val="13"/>
        </w:rPr>
        <w:t>Services Industry </w:t>
      </w:r>
      <w:r>
        <w:rPr>
          <w:spacing w:val="2"/>
          <w:sz w:val="13"/>
        </w:rPr>
        <w:t>(Report, </w:t>
      </w:r>
      <w:r>
        <w:rPr>
          <w:sz w:val="13"/>
        </w:rPr>
        <w:t>4 February</w:t>
      </w:r>
      <w:r>
        <w:rPr>
          <w:spacing w:val="-3"/>
          <w:sz w:val="13"/>
        </w:rPr>
        <w:t> </w:t>
      </w:r>
      <w:r>
        <w:rPr>
          <w:sz w:val="13"/>
        </w:rPr>
        <w:t>2019).</w:t>
      </w:r>
    </w:p>
    <w:p>
      <w:pPr>
        <w:pStyle w:val="ListParagraph"/>
        <w:numPr>
          <w:ilvl w:val="0"/>
          <w:numId w:val="69"/>
        </w:numPr>
        <w:tabs>
          <w:tab w:pos="1760" w:val="left" w:leader="none"/>
          <w:tab w:pos="1762" w:val="left" w:leader="none"/>
        </w:tabs>
        <w:spacing w:line="213" w:lineRule="auto" w:before="0" w:after="0"/>
        <w:ind w:left="1761" w:right="1413" w:hanging="794"/>
        <w:jc w:val="left"/>
        <w:rPr>
          <w:sz w:val="13"/>
        </w:rPr>
      </w:pPr>
      <w:r>
        <w:rPr/>
        <w:pict>
          <v:shape style="position:absolute;margin-left:36pt;margin-top:59.391693pt;width:13.85pt;height:14.1pt;mso-position-horizontal-relative:page;mso-position-vertical-relative:paragraph;z-index:7864" type="#_x0000_t202" filled="false" stroked="false">
            <v:textbox inset="0,0,0,0">
              <w:txbxContent>
                <w:p>
                  <w:pPr>
                    <w:spacing w:line="282" w:lineRule="exact" w:before="0"/>
                    <w:ind w:left="0" w:right="0" w:firstLine="0"/>
                    <w:jc w:val="left"/>
                    <w:rPr>
                      <w:b/>
                      <w:sz w:val="24"/>
                    </w:rPr>
                  </w:pPr>
                  <w:r>
                    <w:rPr>
                      <w:b/>
                      <w:color w:val="37617A"/>
                      <w:sz w:val="24"/>
                    </w:rPr>
                    <w:t>92</w:t>
                  </w:r>
                </w:p>
              </w:txbxContent>
            </v:textbox>
            <w10:wrap type="none"/>
          </v:shape>
        </w:pict>
      </w:r>
      <w:r>
        <w:rPr>
          <w:sz w:val="13"/>
        </w:rPr>
        <w:t>Australian Law Reform </w:t>
      </w:r>
      <w:r>
        <w:rPr>
          <w:spacing w:val="2"/>
          <w:sz w:val="13"/>
        </w:rPr>
        <w:t>Commission, </w:t>
      </w:r>
      <w:r>
        <w:rPr>
          <w:i/>
          <w:sz w:val="13"/>
        </w:rPr>
        <w:t>Equality, Capacity and Disability in Commonwealth Laws </w:t>
      </w:r>
      <w:r>
        <w:rPr>
          <w:spacing w:val="2"/>
          <w:sz w:val="13"/>
        </w:rPr>
        <w:t>(Report </w:t>
      </w:r>
      <w:r>
        <w:rPr>
          <w:sz w:val="13"/>
        </w:rPr>
        <w:t>No </w:t>
      </w:r>
      <w:r>
        <w:rPr>
          <w:spacing w:val="3"/>
          <w:sz w:val="13"/>
        </w:rPr>
        <w:t>124, </w:t>
      </w:r>
      <w:r>
        <w:rPr>
          <w:sz w:val="13"/>
        </w:rPr>
        <w:t>August </w:t>
      </w:r>
      <w:r>
        <w:rPr>
          <w:spacing w:val="2"/>
          <w:sz w:val="13"/>
        </w:rPr>
        <w:t>2014) </w:t>
      </w:r>
      <w:r>
        <w:rPr>
          <w:sz w:val="13"/>
        </w:rPr>
        <w:t>234 [7.207]. We set out the relevant legislation in other Australian states and territories in our Consultation Paper: Victorian Law Reform </w:t>
      </w:r>
      <w:r>
        <w:rPr>
          <w:spacing w:val="2"/>
          <w:sz w:val="13"/>
        </w:rPr>
        <w:t>Commission, </w:t>
      </w:r>
      <w:r>
        <w:rPr>
          <w:i/>
          <w:sz w:val="13"/>
        </w:rPr>
        <w:t>Inclusive Juries—Access for People Who Are Deaf, Hard of Hearing, Blind or Have Low Vision </w:t>
      </w:r>
      <w:r>
        <w:rPr>
          <w:sz w:val="13"/>
        </w:rPr>
        <w:t>(Consultation Paper, </w:t>
      </w:r>
      <w:r>
        <w:rPr>
          <w:spacing w:val="2"/>
          <w:sz w:val="13"/>
        </w:rPr>
        <w:t>December </w:t>
      </w:r>
      <w:r>
        <w:rPr>
          <w:sz w:val="13"/>
        </w:rPr>
        <w:t>2020) </w:t>
      </w:r>
      <w:r>
        <w:rPr>
          <w:spacing w:val="2"/>
          <w:sz w:val="13"/>
        </w:rPr>
        <w:t>Appendix </w:t>
      </w:r>
      <w:r>
        <w:rPr>
          <w:spacing w:val="3"/>
          <w:sz w:val="13"/>
        </w:rPr>
        <w:t>A. </w:t>
      </w:r>
      <w:r>
        <w:rPr>
          <w:sz w:val="13"/>
        </w:rPr>
        <w:t>The Western Australian </w:t>
      </w:r>
      <w:r>
        <w:rPr>
          <w:spacing w:val="2"/>
          <w:sz w:val="13"/>
        </w:rPr>
        <w:t>Department </w:t>
      </w:r>
      <w:r>
        <w:rPr>
          <w:sz w:val="13"/>
        </w:rPr>
        <w:t>of Justice (WADOJ) </w:t>
      </w:r>
      <w:r>
        <w:rPr>
          <w:spacing w:val="2"/>
          <w:sz w:val="13"/>
        </w:rPr>
        <w:t>published </w:t>
      </w:r>
      <w:r>
        <w:rPr>
          <w:sz w:val="13"/>
        </w:rPr>
        <w:t>a consultation </w:t>
      </w:r>
      <w:r>
        <w:rPr>
          <w:spacing w:val="2"/>
          <w:sz w:val="13"/>
        </w:rPr>
        <w:t>paper   </w:t>
      </w:r>
      <w:r>
        <w:rPr>
          <w:sz w:val="13"/>
        </w:rPr>
        <w:t>in 2020 exploring possible </w:t>
      </w:r>
      <w:r>
        <w:rPr>
          <w:spacing w:val="2"/>
          <w:sz w:val="13"/>
        </w:rPr>
        <w:t>amendments </w:t>
      </w:r>
      <w:r>
        <w:rPr>
          <w:sz w:val="13"/>
        </w:rPr>
        <w:t>to the </w:t>
      </w:r>
      <w:r>
        <w:rPr>
          <w:i/>
          <w:sz w:val="13"/>
        </w:rPr>
        <w:t>Juries Act 1957 </w:t>
      </w:r>
      <w:r>
        <w:rPr>
          <w:sz w:val="13"/>
        </w:rPr>
        <w:t>(WA) to ensure people with </w:t>
      </w:r>
      <w:r>
        <w:rPr>
          <w:spacing w:val="2"/>
          <w:sz w:val="13"/>
        </w:rPr>
        <w:t>disabilities </w:t>
      </w:r>
      <w:r>
        <w:rPr>
          <w:sz w:val="13"/>
        </w:rPr>
        <w:t>can participate as jurors: </w:t>
      </w:r>
      <w:r>
        <w:rPr>
          <w:spacing w:val="2"/>
          <w:sz w:val="13"/>
        </w:rPr>
        <w:t>Department </w:t>
      </w:r>
      <w:r>
        <w:rPr>
          <w:sz w:val="13"/>
        </w:rPr>
        <w:t>of Justice (WA), </w:t>
      </w:r>
      <w:r>
        <w:rPr>
          <w:i/>
          <w:sz w:val="13"/>
        </w:rPr>
        <w:t>Participation of People with a Disability in </w:t>
      </w:r>
      <w:r>
        <w:rPr>
          <w:i/>
          <w:spacing w:val="2"/>
          <w:sz w:val="13"/>
        </w:rPr>
        <w:t>Jury Service </w:t>
      </w:r>
      <w:r>
        <w:rPr>
          <w:sz w:val="13"/>
        </w:rPr>
        <w:t>(Discussion Paper, March 2020) 3 </w:t>
      </w:r>
      <w:r>
        <w:rPr>
          <w:spacing w:val="3"/>
          <w:sz w:val="13"/>
        </w:rPr>
        <w:t>[5.1]–[5.5].</w:t>
      </w:r>
      <w:r>
        <w:rPr>
          <w:spacing w:val="39"/>
          <w:sz w:val="13"/>
        </w:rPr>
        <w:t> </w:t>
      </w:r>
      <w:r>
        <w:rPr>
          <w:sz w:val="13"/>
        </w:rPr>
        <w:t>No information was available publicly at the time of writing about the WADOJ findings or any proposed changes to the law or practice in Western </w:t>
      </w:r>
      <w:r>
        <w:rPr>
          <w:spacing w:val="2"/>
          <w:sz w:val="13"/>
        </w:rPr>
        <w:t>Australia.</w:t>
      </w:r>
    </w:p>
    <w:p>
      <w:pPr>
        <w:pStyle w:val="ListParagraph"/>
        <w:numPr>
          <w:ilvl w:val="0"/>
          <w:numId w:val="69"/>
        </w:numPr>
        <w:tabs>
          <w:tab w:pos="1761" w:val="left" w:leader="none"/>
          <w:tab w:pos="1762" w:val="left" w:leader="none"/>
        </w:tabs>
        <w:spacing w:line="159" w:lineRule="exact" w:before="0" w:after="0"/>
        <w:ind w:left="1761" w:right="0" w:hanging="794"/>
        <w:jc w:val="left"/>
        <w:rPr>
          <w:sz w:val="13"/>
        </w:rPr>
      </w:pPr>
      <w:r>
        <w:rPr>
          <w:i/>
          <w:sz w:val="13"/>
        </w:rPr>
        <w:t>Juries Act 1962 </w:t>
      </w:r>
      <w:r>
        <w:rPr>
          <w:spacing w:val="2"/>
          <w:sz w:val="13"/>
        </w:rPr>
        <w:t>(NT) </w:t>
      </w:r>
      <w:r>
        <w:rPr>
          <w:sz w:val="13"/>
        </w:rPr>
        <w:t>s </w:t>
      </w:r>
      <w:r>
        <w:rPr>
          <w:spacing w:val="2"/>
          <w:sz w:val="13"/>
        </w:rPr>
        <w:t>11, </w:t>
      </w:r>
      <w:r>
        <w:rPr>
          <w:sz w:val="13"/>
        </w:rPr>
        <w:t>sch</w:t>
      </w:r>
      <w:r>
        <w:rPr>
          <w:spacing w:val="-4"/>
          <w:sz w:val="13"/>
        </w:rPr>
        <w:t> </w:t>
      </w:r>
      <w:r>
        <w:rPr>
          <w:spacing w:val="-3"/>
          <w:sz w:val="13"/>
        </w:rPr>
        <w:t>7.</w:t>
      </w:r>
    </w:p>
    <w:p>
      <w:pPr>
        <w:spacing w:after="0" w:line="159"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spacing w:before="41"/>
        <w:ind w:left="967" w:right="0" w:firstLine="0"/>
        <w:jc w:val="left"/>
        <w:rPr>
          <w:rFonts w:ascii="Raleway ExtraBold"/>
          <w:b/>
          <w:sz w:val="28"/>
        </w:rPr>
      </w:pPr>
      <w:bookmarkStart w:name="Inclusive juries in the United States" w:id="179"/>
      <w:bookmarkEnd w:id="179"/>
      <w:r>
        <w:rPr/>
      </w:r>
      <w:bookmarkStart w:name="_bookmark70" w:id="180"/>
      <w:bookmarkEnd w:id="180"/>
      <w:r>
        <w:rPr/>
      </w:r>
      <w:r>
        <w:rPr>
          <w:rFonts w:ascii="Raleway ExtraBold"/>
          <w:b/>
          <w:color w:val="37617A"/>
          <w:sz w:val="28"/>
        </w:rPr>
        <w:t>Inclusive juries in the United States</w:t>
      </w:r>
    </w:p>
    <w:p>
      <w:pPr>
        <w:pStyle w:val="ListParagraph"/>
        <w:numPr>
          <w:ilvl w:val="1"/>
          <w:numId w:val="12"/>
        </w:numPr>
        <w:tabs>
          <w:tab w:pos="1761" w:val="left" w:leader="none"/>
          <w:tab w:pos="1762" w:val="left" w:leader="none"/>
        </w:tabs>
        <w:spacing w:line="206" w:lineRule="auto" w:before="146" w:after="0"/>
        <w:ind w:left="1761" w:right="1638" w:hanging="794"/>
        <w:jc w:val="left"/>
        <w:rPr>
          <w:sz w:val="11"/>
        </w:rPr>
      </w:pPr>
      <w:r>
        <w:rPr>
          <w:sz w:val="20"/>
        </w:rPr>
        <w:t>The inclusion of people </w:t>
      </w:r>
      <w:r>
        <w:rPr>
          <w:spacing w:val="-3"/>
          <w:sz w:val="20"/>
        </w:rPr>
        <w:t>from </w:t>
      </w:r>
      <w:r>
        <w:rPr>
          <w:sz w:val="20"/>
        </w:rPr>
        <w:t>the subject groups on juries in the United </w:t>
      </w:r>
      <w:r>
        <w:rPr>
          <w:spacing w:val="-3"/>
          <w:sz w:val="20"/>
        </w:rPr>
        <w:t>States </w:t>
      </w:r>
      <w:r>
        <w:rPr>
          <w:sz w:val="20"/>
        </w:rPr>
        <w:t>has occurred</w:t>
      </w:r>
      <w:r>
        <w:rPr>
          <w:spacing w:val="-9"/>
          <w:sz w:val="20"/>
        </w:rPr>
        <w:t> </w:t>
      </w:r>
      <w:r>
        <w:rPr>
          <w:sz w:val="20"/>
        </w:rPr>
        <w:t>for</w:t>
      </w:r>
      <w:r>
        <w:rPr>
          <w:spacing w:val="-9"/>
          <w:sz w:val="20"/>
        </w:rPr>
        <w:t> </w:t>
      </w:r>
      <w:r>
        <w:rPr>
          <w:spacing w:val="-4"/>
          <w:sz w:val="20"/>
        </w:rPr>
        <w:t>over</w:t>
      </w:r>
      <w:r>
        <w:rPr>
          <w:spacing w:val="-8"/>
          <w:sz w:val="20"/>
        </w:rPr>
        <w:t> </w:t>
      </w:r>
      <w:r>
        <w:rPr>
          <w:sz w:val="20"/>
        </w:rPr>
        <w:t>three</w:t>
      </w:r>
      <w:r>
        <w:rPr>
          <w:spacing w:val="-9"/>
          <w:sz w:val="20"/>
        </w:rPr>
        <w:t> </w:t>
      </w:r>
      <w:r>
        <w:rPr>
          <w:sz w:val="20"/>
        </w:rPr>
        <w:t>decades</w:t>
      </w:r>
      <w:r>
        <w:rPr>
          <w:spacing w:val="-8"/>
          <w:sz w:val="20"/>
        </w:rPr>
        <w:t> </w:t>
      </w:r>
      <w:r>
        <w:rPr>
          <w:sz w:val="20"/>
        </w:rPr>
        <w:t>and</w:t>
      </w:r>
      <w:r>
        <w:rPr>
          <w:spacing w:val="-9"/>
          <w:sz w:val="20"/>
        </w:rPr>
        <w:t> </w:t>
      </w:r>
      <w:r>
        <w:rPr>
          <w:sz w:val="20"/>
        </w:rPr>
        <w:t>is</w:t>
      </w:r>
      <w:r>
        <w:rPr>
          <w:spacing w:val="-9"/>
          <w:sz w:val="20"/>
        </w:rPr>
        <w:t> </w:t>
      </w:r>
      <w:r>
        <w:rPr>
          <w:spacing w:val="-3"/>
          <w:sz w:val="20"/>
        </w:rPr>
        <w:t>relatively</w:t>
      </w:r>
      <w:r>
        <w:rPr>
          <w:spacing w:val="-8"/>
          <w:sz w:val="20"/>
        </w:rPr>
        <w:t> </w:t>
      </w:r>
      <w:r>
        <w:rPr>
          <w:sz w:val="20"/>
        </w:rPr>
        <w:t>routine.</w:t>
      </w:r>
      <w:r>
        <w:rPr>
          <w:position w:val="7"/>
          <w:sz w:val="11"/>
        </w:rPr>
        <w:t>21</w:t>
      </w:r>
      <w:r>
        <w:rPr>
          <w:spacing w:val="16"/>
          <w:position w:val="7"/>
          <w:sz w:val="11"/>
        </w:rPr>
        <w:t> </w:t>
      </w:r>
      <w:r>
        <w:rPr>
          <w:spacing w:val="-6"/>
          <w:sz w:val="20"/>
        </w:rPr>
        <w:t>We</w:t>
      </w:r>
      <w:r>
        <w:rPr>
          <w:spacing w:val="-9"/>
          <w:sz w:val="20"/>
        </w:rPr>
        <w:t> </w:t>
      </w:r>
      <w:r>
        <w:rPr>
          <w:sz w:val="20"/>
        </w:rPr>
        <w:t>discussed</w:t>
      </w:r>
      <w:r>
        <w:rPr>
          <w:spacing w:val="-8"/>
          <w:sz w:val="20"/>
        </w:rPr>
        <w:t> </w:t>
      </w:r>
      <w:r>
        <w:rPr>
          <w:sz w:val="20"/>
        </w:rPr>
        <w:t>American processes in more detail in the consultation</w:t>
      </w:r>
      <w:r>
        <w:rPr>
          <w:spacing w:val="-36"/>
          <w:sz w:val="20"/>
        </w:rPr>
        <w:t> </w:t>
      </w:r>
      <w:r>
        <w:rPr>
          <w:sz w:val="20"/>
        </w:rPr>
        <w:t>paper.</w:t>
      </w:r>
      <w:r>
        <w:rPr>
          <w:position w:val="7"/>
          <w:sz w:val="11"/>
        </w:rPr>
        <w:t>22</w:t>
      </w:r>
    </w:p>
    <w:p>
      <w:pPr>
        <w:pStyle w:val="ListParagraph"/>
        <w:numPr>
          <w:ilvl w:val="1"/>
          <w:numId w:val="12"/>
        </w:numPr>
        <w:tabs>
          <w:tab w:pos="1761" w:val="left" w:leader="none"/>
          <w:tab w:pos="1762" w:val="left" w:leader="none"/>
        </w:tabs>
        <w:spacing w:line="259" w:lineRule="exact" w:before="91" w:after="0"/>
        <w:ind w:left="1761" w:right="0" w:hanging="794"/>
        <w:jc w:val="left"/>
        <w:rPr>
          <w:sz w:val="20"/>
        </w:rPr>
      </w:pPr>
      <w:r>
        <w:rPr>
          <w:sz w:val="20"/>
        </w:rPr>
        <w:t>As</w:t>
      </w:r>
      <w:r>
        <w:rPr>
          <w:spacing w:val="-6"/>
          <w:sz w:val="20"/>
        </w:rPr>
        <w:t> </w:t>
      </w:r>
      <w:r>
        <w:rPr>
          <w:sz w:val="20"/>
        </w:rPr>
        <w:t>long</w:t>
      </w:r>
      <w:r>
        <w:rPr>
          <w:spacing w:val="-6"/>
          <w:sz w:val="20"/>
        </w:rPr>
        <w:t> </w:t>
      </w:r>
      <w:r>
        <w:rPr>
          <w:sz w:val="20"/>
        </w:rPr>
        <w:t>ago</w:t>
      </w:r>
      <w:r>
        <w:rPr>
          <w:spacing w:val="-6"/>
          <w:sz w:val="20"/>
        </w:rPr>
        <w:t> </w:t>
      </w:r>
      <w:r>
        <w:rPr>
          <w:sz w:val="20"/>
        </w:rPr>
        <w:t>as</w:t>
      </w:r>
      <w:r>
        <w:rPr>
          <w:spacing w:val="-6"/>
          <w:sz w:val="20"/>
        </w:rPr>
        <w:t> </w:t>
      </w:r>
      <w:r>
        <w:rPr>
          <w:sz w:val="20"/>
        </w:rPr>
        <w:t>1984</w:t>
      </w:r>
      <w:r>
        <w:rPr>
          <w:spacing w:val="-5"/>
          <w:sz w:val="20"/>
        </w:rPr>
        <w:t> </w:t>
      </w:r>
      <w:r>
        <w:rPr>
          <w:sz w:val="20"/>
        </w:rPr>
        <w:t>the</w:t>
      </w:r>
      <w:r>
        <w:rPr>
          <w:spacing w:val="-6"/>
          <w:sz w:val="20"/>
        </w:rPr>
        <w:t> </w:t>
      </w:r>
      <w:r>
        <w:rPr>
          <w:sz w:val="20"/>
        </w:rPr>
        <w:t>New</w:t>
      </w:r>
      <w:r>
        <w:rPr>
          <w:spacing w:val="-6"/>
          <w:sz w:val="20"/>
        </w:rPr>
        <w:t> </w:t>
      </w:r>
      <w:r>
        <w:rPr>
          <w:spacing w:val="-5"/>
          <w:sz w:val="20"/>
        </w:rPr>
        <w:t>York</w:t>
      </w:r>
      <w:r>
        <w:rPr>
          <w:spacing w:val="-6"/>
          <w:sz w:val="20"/>
        </w:rPr>
        <w:t> </w:t>
      </w:r>
      <w:r>
        <w:rPr>
          <w:sz w:val="20"/>
        </w:rPr>
        <w:t>Supreme</w:t>
      </w:r>
      <w:r>
        <w:rPr>
          <w:spacing w:val="-5"/>
          <w:sz w:val="20"/>
        </w:rPr>
        <w:t> </w:t>
      </w:r>
      <w:r>
        <w:rPr>
          <w:sz w:val="20"/>
        </w:rPr>
        <w:t>Court</w:t>
      </w:r>
      <w:r>
        <w:rPr>
          <w:spacing w:val="-6"/>
          <w:sz w:val="20"/>
        </w:rPr>
        <w:t> </w:t>
      </w:r>
      <w:r>
        <w:rPr>
          <w:sz w:val="20"/>
        </w:rPr>
        <w:t>recognised</w:t>
      </w:r>
      <w:r>
        <w:rPr>
          <w:spacing w:val="-6"/>
          <w:sz w:val="20"/>
        </w:rPr>
        <w:t> </w:t>
      </w:r>
      <w:r>
        <w:rPr>
          <w:sz w:val="20"/>
        </w:rPr>
        <w:t>that</w:t>
      </w:r>
      <w:r>
        <w:rPr>
          <w:spacing w:val="-6"/>
          <w:sz w:val="20"/>
        </w:rPr>
        <w:t> </w:t>
      </w:r>
      <w:r>
        <w:rPr>
          <w:sz w:val="20"/>
        </w:rPr>
        <w:t>there</w:t>
      </w:r>
      <w:r>
        <w:rPr>
          <w:spacing w:val="-6"/>
          <w:sz w:val="20"/>
        </w:rPr>
        <w:t> </w:t>
      </w:r>
      <w:r>
        <w:rPr>
          <w:sz w:val="20"/>
        </w:rPr>
        <w:t>is</w:t>
      </w:r>
      <w:r>
        <w:rPr>
          <w:spacing w:val="-5"/>
          <w:sz w:val="20"/>
        </w:rPr>
        <w:t> </w:t>
      </w:r>
      <w:r>
        <w:rPr>
          <w:sz w:val="20"/>
        </w:rPr>
        <w:t>no</w:t>
      </w:r>
      <w:r>
        <w:rPr>
          <w:spacing w:val="-6"/>
          <w:sz w:val="20"/>
        </w:rPr>
        <w:t> </w:t>
      </w:r>
      <w:r>
        <w:rPr>
          <w:sz w:val="20"/>
        </w:rPr>
        <w:t>longer</w:t>
      </w:r>
      <w:r>
        <w:rPr>
          <w:spacing w:val="-6"/>
          <w:sz w:val="20"/>
        </w:rPr>
        <w:t> </w:t>
      </w:r>
      <w:r>
        <w:rPr>
          <w:sz w:val="20"/>
        </w:rPr>
        <w:t>a</w:t>
      </w:r>
    </w:p>
    <w:p>
      <w:pPr>
        <w:pStyle w:val="BodyText"/>
        <w:spacing w:line="259" w:lineRule="exact"/>
        <w:ind w:left="1761"/>
      </w:pPr>
      <w:r>
        <w:rPr/>
        <w:t>social or legal justification for excluding people who are deaf from juries:</w:t>
      </w:r>
    </w:p>
    <w:p>
      <w:pPr>
        <w:spacing w:line="208" w:lineRule="auto" w:before="113"/>
        <w:ind w:left="2157" w:right="1335" w:firstLine="0"/>
        <w:jc w:val="left"/>
        <w:rPr>
          <w:sz w:val="11"/>
        </w:rPr>
      </w:pPr>
      <w:r>
        <w:rPr>
          <w:sz w:val="19"/>
        </w:rPr>
        <w:t>The deaf are not poor creatures to be patronized by us, congratulated on their individual efforts to overcome their handicaps and summarily brushed aside … the deaf are a part of our community and must be considered, evaluated, and finally either accepted or rejected for service as individuals just as any other citizen … The grounds for exempting the deaf from jury service have vanished.</w:t>
      </w:r>
      <w:r>
        <w:rPr>
          <w:position w:val="6"/>
          <w:sz w:val="11"/>
        </w:rPr>
        <w:t>23</w:t>
      </w:r>
    </w:p>
    <w:p>
      <w:pPr>
        <w:pStyle w:val="ListParagraph"/>
        <w:numPr>
          <w:ilvl w:val="1"/>
          <w:numId w:val="12"/>
        </w:numPr>
        <w:tabs>
          <w:tab w:pos="1761" w:val="left" w:leader="none"/>
          <w:tab w:pos="1762" w:val="left" w:leader="none"/>
        </w:tabs>
        <w:spacing w:line="206" w:lineRule="auto" w:before="125" w:after="0"/>
        <w:ind w:left="1761" w:right="1304" w:hanging="794"/>
        <w:jc w:val="left"/>
        <w:rPr>
          <w:sz w:val="20"/>
        </w:rPr>
      </w:pPr>
      <w:r>
        <w:rPr>
          <w:sz w:val="20"/>
        </w:rPr>
        <w:t>The</w:t>
      </w:r>
      <w:r>
        <w:rPr>
          <w:spacing w:val="-9"/>
          <w:sz w:val="20"/>
        </w:rPr>
        <w:t> </w:t>
      </w:r>
      <w:r>
        <w:rPr>
          <w:i/>
          <w:sz w:val="20"/>
        </w:rPr>
        <w:t>Americans</w:t>
      </w:r>
      <w:r>
        <w:rPr>
          <w:i/>
          <w:spacing w:val="-7"/>
          <w:sz w:val="20"/>
        </w:rPr>
        <w:t> </w:t>
      </w:r>
      <w:r>
        <w:rPr>
          <w:i/>
          <w:spacing w:val="-3"/>
          <w:sz w:val="20"/>
        </w:rPr>
        <w:t>with</w:t>
      </w:r>
      <w:r>
        <w:rPr>
          <w:i/>
          <w:spacing w:val="-8"/>
          <w:sz w:val="20"/>
        </w:rPr>
        <w:t> </w:t>
      </w:r>
      <w:r>
        <w:rPr>
          <w:i/>
          <w:sz w:val="20"/>
        </w:rPr>
        <w:t>Disabilities</w:t>
      </w:r>
      <w:r>
        <w:rPr>
          <w:i/>
          <w:spacing w:val="-8"/>
          <w:sz w:val="20"/>
        </w:rPr>
        <w:t> </w:t>
      </w:r>
      <w:r>
        <w:rPr>
          <w:i/>
          <w:sz w:val="20"/>
        </w:rPr>
        <w:t>Act</w:t>
      </w:r>
      <w:r>
        <w:rPr>
          <w:i/>
          <w:spacing w:val="-7"/>
          <w:sz w:val="20"/>
        </w:rPr>
        <w:t> </w:t>
      </w:r>
      <w:r>
        <w:rPr>
          <w:i/>
          <w:sz w:val="20"/>
        </w:rPr>
        <w:t>1990</w:t>
      </w:r>
      <w:r>
        <w:rPr>
          <w:i/>
          <w:spacing w:val="-7"/>
          <w:sz w:val="20"/>
        </w:rPr>
        <w:t> </w:t>
      </w:r>
      <w:r>
        <w:rPr>
          <w:sz w:val="20"/>
        </w:rPr>
        <w:t>(ADA)</w:t>
      </w:r>
      <w:r>
        <w:rPr>
          <w:spacing w:val="-8"/>
          <w:sz w:val="20"/>
        </w:rPr>
        <w:t> </w:t>
      </w:r>
      <w:r>
        <w:rPr>
          <w:sz w:val="20"/>
        </w:rPr>
        <w:t>in</w:t>
      </w:r>
      <w:r>
        <w:rPr>
          <w:spacing w:val="-8"/>
          <w:sz w:val="20"/>
        </w:rPr>
        <w:t> </w:t>
      </w:r>
      <w:r>
        <w:rPr>
          <w:sz w:val="20"/>
        </w:rPr>
        <w:t>the</w:t>
      </w:r>
      <w:r>
        <w:rPr>
          <w:spacing w:val="-8"/>
          <w:sz w:val="20"/>
        </w:rPr>
        <w:t> </w:t>
      </w:r>
      <w:r>
        <w:rPr>
          <w:sz w:val="20"/>
        </w:rPr>
        <w:t>United</w:t>
      </w:r>
      <w:r>
        <w:rPr>
          <w:spacing w:val="-8"/>
          <w:sz w:val="20"/>
        </w:rPr>
        <w:t> </w:t>
      </w:r>
      <w:r>
        <w:rPr>
          <w:spacing w:val="-3"/>
          <w:sz w:val="20"/>
        </w:rPr>
        <w:t>States</w:t>
      </w:r>
      <w:r>
        <w:rPr>
          <w:spacing w:val="-8"/>
          <w:sz w:val="20"/>
        </w:rPr>
        <w:t> </w:t>
      </w:r>
      <w:r>
        <w:rPr>
          <w:spacing w:val="-3"/>
          <w:sz w:val="20"/>
        </w:rPr>
        <w:t>prevents</w:t>
      </w:r>
      <w:r>
        <w:rPr>
          <w:spacing w:val="-8"/>
          <w:sz w:val="20"/>
        </w:rPr>
        <w:t> </w:t>
      </w:r>
      <w:r>
        <w:rPr>
          <w:sz w:val="20"/>
        </w:rPr>
        <w:t>jurors</w:t>
      </w:r>
      <w:r>
        <w:rPr>
          <w:spacing w:val="-8"/>
          <w:sz w:val="20"/>
        </w:rPr>
        <w:t> </w:t>
      </w:r>
      <w:r>
        <w:rPr>
          <w:spacing w:val="-3"/>
          <w:sz w:val="20"/>
        </w:rPr>
        <w:t>from </w:t>
      </w:r>
      <w:r>
        <w:rPr>
          <w:sz w:val="20"/>
        </w:rPr>
        <w:t>being</w:t>
      </w:r>
      <w:r>
        <w:rPr>
          <w:spacing w:val="-6"/>
          <w:sz w:val="20"/>
        </w:rPr>
        <w:t> </w:t>
      </w:r>
      <w:r>
        <w:rPr>
          <w:spacing w:val="-3"/>
          <w:sz w:val="20"/>
        </w:rPr>
        <w:t>excluded</w:t>
      </w:r>
      <w:r>
        <w:rPr>
          <w:spacing w:val="-5"/>
          <w:sz w:val="20"/>
        </w:rPr>
        <w:t> </w:t>
      </w:r>
      <w:r>
        <w:rPr>
          <w:spacing w:val="-2"/>
          <w:sz w:val="20"/>
        </w:rPr>
        <w:t>simply</w:t>
      </w:r>
      <w:r>
        <w:rPr>
          <w:spacing w:val="-6"/>
          <w:sz w:val="20"/>
        </w:rPr>
        <w:t> </w:t>
      </w:r>
      <w:r>
        <w:rPr>
          <w:sz w:val="20"/>
        </w:rPr>
        <w:t>because</w:t>
      </w:r>
      <w:r>
        <w:rPr>
          <w:spacing w:val="-5"/>
          <w:sz w:val="20"/>
        </w:rPr>
        <w:t> </w:t>
      </w:r>
      <w:r>
        <w:rPr>
          <w:sz w:val="20"/>
        </w:rPr>
        <w:t>of</w:t>
      </w:r>
      <w:r>
        <w:rPr>
          <w:spacing w:val="-5"/>
          <w:sz w:val="20"/>
        </w:rPr>
        <w:t> </w:t>
      </w:r>
      <w:r>
        <w:rPr>
          <w:sz w:val="20"/>
        </w:rPr>
        <w:t>their</w:t>
      </w:r>
      <w:r>
        <w:rPr>
          <w:spacing w:val="-6"/>
          <w:sz w:val="20"/>
        </w:rPr>
        <w:t> </w:t>
      </w:r>
      <w:r>
        <w:rPr>
          <w:sz w:val="20"/>
        </w:rPr>
        <w:t>disability.</w:t>
      </w:r>
      <w:r>
        <w:rPr>
          <w:spacing w:val="-5"/>
          <w:sz w:val="20"/>
        </w:rPr>
        <w:t> </w:t>
      </w:r>
      <w:r>
        <w:rPr>
          <w:sz w:val="20"/>
        </w:rPr>
        <w:t>The</w:t>
      </w:r>
      <w:r>
        <w:rPr>
          <w:spacing w:val="-6"/>
          <w:sz w:val="20"/>
        </w:rPr>
        <w:t> </w:t>
      </w:r>
      <w:r>
        <w:rPr>
          <w:spacing w:val="-4"/>
          <w:sz w:val="20"/>
        </w:rPr>
        <w:t>ADA</w:t>
      </w:r>
      <w:r>
        <w:rPr>
          <w:spacing w:val="-5"/>
          <w:sz w:val="20"/>
        </w:rPr>
        <w:t> </w:t>
      </w:r>
      <w:r>
        <w:rPr>
          <w:sz w:val="20"/>
        </w:rPr>
        <w:t>states</w:t>
      </w:r>
      <w:r>
        <w:rPr>
          <w:spacing w:val="-5"/>
          <w:sz w:val="20"/>
        </w:rPr>
        <w:t> </w:t>
      </w:r>
      <w:r>
        <w:rPr>
          <w:sz w:val="20"/>
        </w:rPr>
        <w:t>that:</w:t>
      </w:r>
    </w:p>
    <w:p>
      <w:pPr>
        <w:spacing w:line="208" w:lineRule="auto" w:before="120"/>
        <w:ind w:left="2157" w:right="1349" w:firstLine="0"/>
        <w:jc w:val="both"/>
        <w:rPr>
          <w:sz w:val="11"/>
        </w:rPr>
      </w:pPr>
      <w:r>
        <w:rPr>
          <w:sz w:val="19"/>
        </w:rPr>
        <w:t>no</w:t>
      </w:r>
      <w:r>
        <w:rPr>
          <w:spacing w:val="-6"/>
          <w:sz w:val="19"/>
        </w:rPr>
        <w:t> </w:t>
      </w:r>
      <w:r>
        <w:rPr>
          <w:sz w:val="19"/>
        </w:rPr>
        <w:t>qualified</w:t>
      </w:r>
      <w:r>
        <w:rPr>
          <w:spacing w:val="-6"/>
          <w:sz w:val="19"/>
        </w:rPr>
        <w:t> </w:t>
      </w:r>
      <w:r>
        <w:rPr>
          <w:sz w:val="19"/>
        </w:rPr>
        <w:t>individual</w:t>
      </w:r>
      <w:r>
        <w:rPr>
          <w:spacing w:val="-6"/>
          <w:sz w:val="19"/>
        </w:rPr>
        <w:t> </w:t>
      </w:r>
      <w:r>
        <w:rPr>
          <w:sz w:val="19"/>
        </w:rPr>
        <w:t>with</w:t>
      </w:r>
      <w:r>
        <w:rPr>
          <w:spacing w:val="-6"/>
          <w:sz w:val="19"/>
        </w:rPr>
        <w:t> </w:t>
      </w:r>
      <w:r>
        <w:rPr>
          <w:sz w:val="19"/>
        </w:rPr>
        <w:t>a</w:t>
      </w:r>
      <w:r>
        <w:rPr>
          <w:spacing w:val="-6"/>
          <w:sz w:val="19"/>
        </w:rPr>
        <w:t> </w:t>
      </w:r>
      <w:r>
        <w:rPr>
          <w:sz w:val="19"/>
        </w:rPr>
        <w:t>disability</w:t>
      </w:r>
      <w:r>
        <w:rPr>
          <w:spacing w:val="-6"/>
          <w:sz w:val="19"/>
        </w:rPr>
        <w:t> </w:t>
      </w:r>
      <w:r>
        <w:rPr>
          <w:sz w:val="19"/>
        </w:rPr>
        <w:t>shall,</w:t>
      </w:r>
      <w:r>
        <w:rPr>
          <w:spacing w:val="-6"/>
          <w:sz w:val="19"/>
        </w:rPr>
        <w:t> </w:t>
      </w:r>
      <w:r>
        <w:rPr>
          <w:sz w:val="19"/>
        </w:rPr>
        <w:t>by</w:t>
      </w:r>
      <w:r>
        <w:rPr>
          <w:spacing w:val="-6"/>
          <w:sz w:val="19"/>
        </w:rPr>
        <w:t> </w:t>
      </w:r>
      <w:r>
        <w:rPr>
          <w:sz w:val="19"/>
        </w:rPr>
        <w:t>reason</w:t>
      </w:r>
      <w:r>
        <w:rPr>
          <w:spacing w:val="-6"/>
          <w:sz w:val="19"/>
        </w:rPr>
        <w:t> </w:t>
      </w:r>
      <w:r>
        <w:rPr>
          <w:sz w:val="19"/>
        </w:rPr>
        <w:t>of</w:t>
      </w:r>
      <w:r>
        <w:rPr>
          <w:spacing w:val="-6"/>
          <w:sz w:val="19"/>
        </w:rPr>
        <w:t> </w:t>
      </w:r>
      <w:r>
        <w:rPr>
          <w:sz w:val="19"/>
        </w:rPr>
        <w:t>such</w:t>
      </w:r>
      <w:r>
        <w:rPr>
          <w:spacing w:val="-6"/>
          <w:sz w:val="19"/>
        </w:rPr>
        <w:t> </w:t>
      </w:r>
      <w:r>
        <w:rPr>
          <w:sz w:val="19"/>
        </w:rPr>
        <w:t>disability,</w:t>
      </w:r>
      <w:r>
        <w:rPr>
          <w:spacing w:val="-6"/>
          <w:sz w:val="19"/>
        </w:rPr>
        <w:t> </w:t>
      </w:r>
      <w:r>
        <w:rPr>
          <w:sz w:val="19"/>
        </w:rPr>
        <w:t>be</w:t>
      </w:r>
      <w:r>
        <w:rPr>
          <w:spacing w:val="-6"/>
          <w:sz w:val="19"/>
        </w:rPr>
        <w:t> </w:t>
      </w:r>
      <w:r>
        <w:rPr>
          <w:sz w:val="19"/>
        </w:rPr>
        <w:t>excluded from</w:t>
      </w:r>
      <w:r>
        <w:rPr>
          <w:spacing w:val="-4"/>
          <w:sz w:val="19"/>
        </w:rPr>
        <w:t> </w:t>
      </w:r>
      <w:r>
        <w:rPr>
          <w:sz w:val="19"/>
        </w:rPr>
        <w:t>participation</w:t>
      </w:r>
      <w:r>
        <w:rPr>
          <w:spacing w:val="-3"/>
          <w:sz w:val="19"/>
        </w:rPr>
        <w:t> </w:t>
      </w:r>
      <w:r>
        <w:rPr>
          <w:sz w:val="19"/>
        </w:rPr>
        <w:t>in</w:t>
      </w:r>
      <w:r>
        <w:rPr>
          <w:spacing w:val="-3"/>
          <w:sz w:val="19"/>
        </w:rPr>
        <w:t> </w:t>
      </w:r>
      <w:r>
        <w:rPr>
          <w:sz w:val="19"/>
        </w:rPr>
        <w:t>or</w:t>
      </w:r>
      <w:r>
        <w:rPr>
          <w:spacing w:val="-3"/>
          <w:sz w:val="19"/>
        </w:rPr>
        <w:t> </w:t>
      </w:r>
      <w:r>
        <w:rPr>
          <w:sz w:val="19"/>
        </w:rPr>
        <w:t>be</w:t>
      </w:r>
      <w:r>
        <w:rPr>
          <w:spacing w:val="-3"/>
          <w:sz w:val="19"/>
        </w:rPr>
        <w:t> </w:t>
      </w:r>
      <w:r>
        <w:rPr>
          <w:sz w:val="19"/>
        </w:rPr>
        <w:t>denied</w:t>
      </w:r>
      <w:r>
        <w:rPr>
          <w:spacing w:val="-3"/>
          <w:sz w:val="19"/>
        </w:rPr>
        <w:t> </w:t>
      </w:r>
      <w:r>
        <w:rPr>
          <w:sz w:val="19"/>
        </w:rPr>
        <w:t>the</w:t>
      </w:r>
      <w:r>
        <w:rPr>
          <w:spacing w:val="-3"/>
          <w:sz w:val="19"/>
        </w:rPr>
        <w:t> </w:t>
      </w:r>
      <w:r>
        <w:rPr>
          <w:sz w:val="19"/>
        </w:rPr>
        <w:t>benefits</w:t>
      </w:r>
      <w:r>
        <w:rPr>
          <w:spacing w:val="-3"/>
          <w:sz w:val="19"/>
        </w:rPr>
        <w:t> </w:t>
      </w:r>
      <w:r>
        <w:rPr>
          <w:sz w:val="19"/>
        </w:rPr>
        <w:t>of</w:t>
      </w:r>
      <w:r>
        <w:rPr>
          <w:spacing w:val="-3"/>
          <w:sz w:val="19"/>
        </w:rPr>
        <w:t> </w:t>
      </w:r>
      <w:r>
        <w:rPr>
          <w:sz w:val="19"/>
        </w:rPr>
        <w:t>services,</w:t>
      </w:r>
      <w:r>
        <w:rPr>
          <w:spacing w:val="-3"/>
          <w:sz w:val="19"/>
        </w:rPr>
        <w:t> </w:t>
      </w:r>
      <w:r>
        <w:rPr>
          <w:sz w:val="19"/>
        </w:rPr>
        <w:t>programs,</w:t>
      </w:r>
      <w:r>
        <w:rPr>
          <w:spacing w:val="-4"/>
          <w:sz w:val="19"/>
        </w:rPr>
        <w:t> </w:t>
      </w:r>
      <w:r>
        <w:rPr>
          <w:sz w:val="19"/>
        </w:rPr>
        <w:t>or</w:t>
      </w:r>
      <w:r>
        <w:rPr>
          <w:spacing w:val="-3"/>
          <w:sz w:val="19"/>
        </w:rPr>
        <w:t> </w:t>
      </w:r>
      <w:r>
        <w:rPr>
          <w:sz w:val="19"/>
        </w:rPr>
        <w:t>activities</w:t>
      </w:r>
      <w:r>
        <w:rPr>
          <w:spacing w:val="-3"/>
          <w:sz w:val="19"/>
        </w:rPr>
        <w:t> </w:t>
      </w:r>
      <w:r>
        <w:rPr>
          <w:sz w:val="19"/>
        </w:rPr>
        <w:t>of</w:t>
      </w:r>
      <w:r>
        <w:rPr>
          <w:spacing w:val="-3"/>
          <w:sz w:val="19"/>
        </w:rPr>
        <w:t> </w:t>
      </w:r>
      <w:r>
        <w:rPr>
          <w:sz w:val="19"/>
        </w:rPr>
        <w:t>a public entity, or be subjected to discrimination by any such</w:t>
      </w:r>
      <w:r>
        <w:rPr>
          <w:spacing w:val="-30"/>
          <w:sz w:val="19"/>
        </w:rPr>
        <w:t> </w:t>
      </w:r>
      <w:r>
        <w:rPr>
          <w:sz w:val="19"/>
        </w:rPr>
        <w:t>entity.</w:t>
      </w:r>
      <w:r>
        <w:rPr>
          <w:position w:val="6"/>
          <w:sz w:val="11"/>
        </w:rPr>
        <w:t>24</w:t>
      </w:r>
    </w:p>
    <w:p>
      <w:pPr>
        <w:pStyle w:val="ListParagraph"/>
        <w:numPr>
          <w:ilvl w:val="1"/>
          <w:numId w:val="12"/>
        </w:numPr>
        <w:tabs>
          <w:tab w:pos="1762" w:val="left" w:leader="none"/>
        </w:tabs>
        <w:spacing w:line="206" w:lineRule="auto" w:before="124" w:after="0"/>
        <w:ind w:left="1761" w:right="1352" w:hanging="794"/>
        <w:jc w:val="both"/>
        <w:rPr>
          <w:sz w:val="11"/>
        </w:rPr>
      </w:pPr>
      <w:r>
        <w:rPr>
          <w:sz w:val="20"/>
        </w:rPr>
        <w:t>The</w:t>
      </w:r>
      <w:r>
        <w:rPr>
          <w:spacing w:val="-8"/>
          <w:sz w:val="20"/>
        </w:rPr>
        <w:t> </w:t>
      </w:r>
      <w:r>
        <w:rPr>
          <w:spacing w:val="-4"/>
          <w:sz w:val="20"/>
        </w:rPr>
        <w:t>ADA</w:t>
      </w:r>
      <w:r>
        <w:rPr>
          <w:spacing w:val="-8"/>
          <w:sz w:val="20"/>
        </w:rPr>
        <w:t> </w:t>
      </w:r>
      <w:r>
        <w:rPr>
          <w:spacing w:val="-3"/>
          <w:sz w:val="20"/>
        </w:rPr>
        <w:t>provides</w:t>
      </w:r>
      <w:r>
        <w:rPr>
          <w:spacing w:val="-8"/>
          <w:sz w:val="20"/>
        </w:rPr>
        <w:t> </w:t>
      </w:r>
      <w:r>
        <w:rPr>
          <w:sz w:val="20"/>
        </w:rPr>
        <w:t>that</w:t>
      </w:r>
      <w:r>
        <w:rPr>
          <w:spacing w:val="-8"/>
          <w:sz w:val="20"/>
        </w:rPr>
        <w:t> </w:t>
      </w:r>
      <w:r>
        <w:rPr>
          <w:sz w:val="20"/>
        </w:rPr>
        <w:t>people</w:t>
      </w:r>
      <w:r>
        <w:rPr>
          <w:spacing w:val="-8"/>
          <w:sz w:val="20"/>
        </w:rPr>
        <w:t> </w:t>
      </w:r>
      <w:r>
        <w:rPr>
          <w:sz w:val="20"/>
        </w:rPr>
        <w:t>with</w:t>
      </w:r>
      <w:r>
        <w:rPr>
          <w:spacing w:val="-8"/>
          <w:sz w:val="20"/>
        </w:rPr>
        <w:t> </w:t>
      </w:r>
      <w:r>
        <w:rPr>
          <w:sz w:val="20"/>
        </w:rPr>
        <w:t>disabilities</w:t>
      </w:r>
      <w:r>
        <w:rPr>
          <w:spacing w:val="-8"/>
          <w:sz w:val="20"/>
        </w:rPr>
        <w:t> </w:t>
      </w:r>
      <w:r>
        <w:rPr>
          <w:spacing w:val="-4"/>
          <w:sz w:val="20"/>
        </w:rPr>
        <w:t>have</w:t>
      </w:r>
      <w:r>
        <w:rPr>
          <w:spacing w:val="-7"/>
          <w:sz w:val="20"/>
        </w:rPr>
        <w:t> </w:t>
      </w:r>
      <w:r>
        <w:rPr>
          <w:sz w:val="20"/>
        </w:rPr>
        <w:t>rights</w:t>
      </w:r>
      <w:r>
        <w:rPr>
          <w:spacing w:val="-8"/>
          <w:sz w:val="20"/>
        </w:rPr>
        <w:t> </w:t>
      </w:r>
      <w:r>
        <w:rPr>
          <w:sz w:val="20"/>
        </w:rPr>
        <w:t>to</w:t>
      </w:r>
      <w:r>
        <w:rPr>
          <w:spacing w:val="-8"/>
          <w:sz w:val="20"/>
        </w:rPr>
        <w:t> </w:t>
      </w:r>
      <w:r>
        <w:rPr>
          <w:sz w:val="20"/>
        </w:rPr>
        <w:t>access</w:t>
      </w:r>
      <w:r>
        <w:rPr>
          <w:spacing w:val="-8"/>
          <w:sz w:val="20"/>
        </w:rPr>
        <w:t> </w:t>
      </w:r>
      <w:r>
        <w:rPr>
          <w:spacing w:val="-3"/>
          <w:sz w:val="20"/>
        </w:rPr>
        <w:t>everyday</w:t>
      </w:r>
      <w:r>
        <w:rPr>
          <w:spacing w:val="-8"/>
          <w:sz w:val="20"/>
        </w:rPr>
        <w:t> </w:t>
      </w:r>
      <w:r>
        <w:rPr>
          <w:sz w:val="20"/>
        </w:rPr>
        <w:t>things,</w:t>
      </w:r>
      <w:r>
        <w:rPr>
          <w:position w:val="7"/>
          <w:sz w:val="11"/>
        </w:rPr>
        <w:t>25</w:t>
      </w:r>
      <w:r>
        <w:rPr>
          <w:sz w:val="11"/>
        </w:rPr>
        <w:t> </w:t>
      </w:r>
      <w:r>
        <w:rPr>
          <w:sz w:val="20"/>
        </w:rPr>
        <w:t>including </w:t>
      </w:r>
      <w:r>
        <w:rPr>
          <w:spacing w:val="-3"/>
          <w:sz w:val="20"/>
        </w:rPr>
        <w:t>government </w:t>
      </w:r>
      <w:r>
        <w:rPr>
          <w:sz w:val="20"/>
        </w:rPr>
        <w:t>services, which extends to the courts and jury service.</w:t>
      </w:r>
      <w:r>
        <w:rPr>
          <w:position w:val="7"/>
          <w:sz w:val="11"/>
        </w:rPr>
        <w:t>26 </w:t>
      </w:r>
      <w:r>
        <w:rPr>
          <w:sz w:val="20"/>
        </w:rPr>
        <w:t>Courts </w:t>
      </w:r>
      <w:r>
        <w:rPr>
          <w:spacing w:val="-3"/>
          <w:sz w:val="20"/>
        </w:rPr>
        <w:t>are </w:t>
      </w:r>
      <w:r>
        <w:rPr>
          <w:sz w:val="20"/>
        </w:rPr>
        <w:t>public entities for the purposes of the</w:t>
      </w:r>
      <w:r>
        <w:rPr>
          <w:spacing w:val="-32"/>
          <w:sz w:val="20"/>
        </w:rPr>
        <w:t> </w:t>
      </w:r>
      <w:r>
        <w:rPr>
          <w:sz w:val="20"/>
        </w:rPr>
        <w:t>ADA.</w:t>
      </w:r>
      <w:r>
        <w:rPr>
          <w:position w:val="7"/>
          <w:sz w:val="11"/>
        </w:rPr>
        <w:t>27</w:t>
      </w:r>
    </w:p>
    <w:p>
      <w:pPr>
        <w:pStyle w:val="ListParagraph"/>
        <w:numPr>
          <w:ilvl w:val="1"/>
          <w:numId w:val="12"/>
        </w:numPr>
        <w:tabs>
          <w:tab w:pos="1761" w:val="left" w:leader="none"/>
          <w:tab w:pos="1762" w:val="left" w:leader="none"/>
        </w:tabs>
        <w:spacing w:line="206" w:lineRule="auto" w:before="124" w:after="0"/>
        <w:ind w:left="1761" w:right="1336" w:hanging="794"/>
        <w:jc w:val="left"/>
        <w:rPr>
          <w:sz w:val="11"/>
        </w:rPr>
      </w:pPr>
      <w:r>
        <w:rPr>
          <w:sz w:val="20"/>
        </w:rPr>
        <w:t>The </w:t>
      </w:r>
      <w:r>
        <w:rPr>
          <w:spacing w:val="-4"/>
          <w:sz w:val="20"/>
        </w:rPr>
        <w:t>ADA </w:t>
      </w:r>
      <w:r>
        <w:rPr>
          <w:sz w:val="20"/>
        </w:rPr>
        <w:t>mandates the </w:t>
      </w:r>
      <w:r>
        <w:rPr>
          <w:spacing w:val="-3"/>
          <w:sz w:val="20"/>
        </w:rPr>
        <w:t>provision </w:t>
      </w:r>
      <w:r>
        <w:rPr>
          <w:sz w:val="20"/>
        </w:rPr>
        <w:t>of </w:t>
      </w:r>
      <w:r>
        <w:rPr>
          <w:spacing w:val="-3"/>
          <w:sz w:val="20"/>
        </w:rPr>
        <w:t>‘reasonable </w:t>
      </w:r>
      <w:r>
        <w:rPr>
          <w:spacing w:val="-2"/>
          <w:sz w:val="20"/>
        </w:rPr>
        <w:t>accommodations’.</w:t>
      </w:r>
      <w:r>
        <w:rPr>
          <w:spacing w:val="-2"/>
          <w:position w:val="7"/>
          <w:sz w:val="11"/>
        </w:rPr>
        <w:t>28 </w:t>
      </w:r>
      <w:r>
        <w:rPr>
          <w:sz w:val="20"/>
        </w:rPr>
        <w:t>What constitutes a </w:t>
      </w:r>
      <w:r>
        <w:rPr>
          <w:spacing w:val="-3"/>
          <w:sz w:val="20"/>
        </w:rPr>
        <w:t>‘reasonable’ </w:t>
      </w:r>
      <w:r>
        <w:rPr>
          <w:sz w:val="20"/>
        </w:rPr>
        <w:t>accommodation has been subject to</w:t>
      </w:r>
      <w:r>
        <w:rPr>
          <w:spacing w:val="-37"/>
          <w:sz w:val="20"/>
        </w:rPr>
        <w:t> </w:t>
      </w:r>
      <w:r>
        <w:rPr>
          <w:spacing w:val="-3"/>
          <w:sz w:val="20"/>
        </w:rPr>
        <w:t>frequent </w:t>
      </w:r>
      <w:r>
        <w:rPr>
          <w:sz w:val="20"/>
        </w:rPr>
        <w:t>litigation.</w:t>
      </w:r>
      <w:r>
        <w:rPr>
          <w:position w:val="7"/>
          <w:sz w:val="11"/>
        </w:rPr>
        <w:t>29 </w:t>
      </w:r>
      <w:r>
        <w:rPr>
          <w:spacing w:val="-4"/>
          <w:sz w:val="20"/>
        </w:rPr>
        <w:t>Ultimately, </w:t>
      </w:r>
      <w:r>
        <w:rPr>
          <w:sz w:val="20"/>
        </w:rPr>
        <w:t>the trial judge </w:t>
      </w:r>
      <w:r>
        <w:rPr>
          <w:spacing w:val="-3"/>
          <w:sz w:val="20"/>
        </w:rPr>
        <w:t>makes </w:t>
      </w:r>
      <w:r>
        <w:rPr>
          <w:sz w:val="20"/>
        </w:rPr>
        <w:t>a ruling in the context of the specific case. </w:t>
      </w:r>
      <w:r>
        <w:rPr>
          <w:spacing w:val="-6"/>
          <w:sz w:val="20"/>
        </w:rPr>
        <w:t>We </w:t>
      </w:r>
      <w:r>
        <w:rPr>
          <w:sz w:val="20"/>
        </w:rPr>
        <w:t>listed </w:t>
      </w:r>
      <w:r>
        <w:rPr>
          <w:spacing w:val="-3"/>
          <w:sz w:val="20"/>
        </w:rPr>
        <w:t>examples </w:t>
      </w:r>
      <w:r>
        <w:rPr>
          <w:sz w:val="20"/>
        </w:rPr>
        <w:t>of these accommodations in the consultation</w:t>
      </w:r>
      <w:r>
        <w:rPr>
          <w:spacing w:val="-25"/>
          <w:sz w:val="20"/>
        </w:rPr>
        <w:t> </w:t>
      </w:r>
      <w:r>
        <w:rPr>
          <w:sz w:val="20"/>
        </w:rPr>
        <w:t>paper.</w:t>
      </w:r>
      <w:r>
        <w:rPr>
          <w:position w:val="7"/>
          <w:sz w:val="11"/>
        </w:rPr>
        <w:t>30</w:t>
      </w:r>
    </w:p>
    <w:p>
      <w:pPr>
        <w:pStyle w:val="ListParagraph"/>
        <w:numPr>
          <w:ilvl w:val="1"/>
          <w:numId w:val="12"/>
        </w:numPr>
        <w:tabs>
          <w:tab w:pos="1761" w:val="left" w:leader="none"/>
          <w:tab w:pos="1762" w:val="left" w:leader="none"/>
        </w:tabs>
        <w:spacing w:line="206" w:lineRule="auto" w:before="125" w:after="0"/>
        <w:ind w:left="1761" w:right="1404" w:hanging="794"/>
        <w:jc w:val="left"/>
        <w:rPr>
          <w:sz w:val="20"/>
        </w:rPr>
      </w:pPr>
      <w:r>
        <w:rPr>
          <w:sz w:val="20"/>
        </w:rPr>
        <w:t>All courtrooms in the United </w:t>
      </w:r>
      <w:r>
        <w:rPr>
          <w:spacing w:val="-3"/>
          <w:sz w:val="20"/>
        </w:rPr>
        <w:t>States </w:t>
      </w:r>
      <w:r>
        <w:rPr>
          <w:sz w:val="20"/>
        </w:rPr>
        <w:t>must be built in compliance with the ADA, to be </w:t>
      </w:r>
      <w:r>
        <w:rPr>
          <w:spacing w:val="-3"/>
          <w:sz w:val="20"/>
        </w:rPr>
        <w:t>accessible,</w:t>
      </w:r>
      <w:r>
        <w:rPr>
          <w:spacing w:val="-10"/>
          <w:sz w:val="20"/>
        </w:rPr>
        <w:t> </w:t>
      </w:r>
      <w:r>
        <w:rPr>
          <w:sz w:val="20"/>
        </w:rPr>
        <w:t>with</w:t>
      </w:r>
      <w:r>
        <w:rPr>
          <w:spacing w:val="-11"/>
          <w:sz w:val="20"/>
        </w:rPr>
        <w:t> </w:t>
      </w:r>
      <w:r>
        <w:rPr>
          <w:sz w:val="20"/>
        </w:rPr>
        <w:t>ramps</w:t>
      </w:r>
      <w:r>
        <w:rPr>
          <w:spacing w:val="-10"/>
          <w:sz w:val="20"/>
        </w:rPr>
        <w:t> </w:t>
      </w:r>
      <w:r>
        <w:rPr>
          <w:sz w:val="20"/>
        </w:rPr>
        <w:t>and</w:t>
      </w:r>
      <w:r>
        <w:rPr>
          <w:spacing w:val="-10"/>
          <w:sz w:val="20"/>
        </w:rPr>
        <w:t> </w:t>
      </w:r>
      <w:r>
        <w:rPr>
          <w:sz w:val="20"/>
        </w:rPr>
        <w:t>room</w:t>
      </w:r>
      <w:r>
        <w:rPr>
          <w:spacing w:val="-10"/>
          <w:sz w:val="20"/>
        </w:rPr>
        <w:t> </w:t>
      </w:r>
      <w:r>
        <w:rPr>
          <w:sz w:val="20"/>
        </w:rPr>
        <w:t>to</w:t>
      </w:r>
      <w:r>
        <w:rPr>
          <w:spacing w:val="-10"/>
          <w:sz w:val="20"/>
        </w:rPr>
        <w:t> </w:t>
      </w:r>
      <w:r>
        <w:rPr>
          <w:spacing w:val="-3"/>
          <w:sz w:val="20"/>
        </w:rPr>
        <w:t>move.</w:t>
      </w:r>
      <w:r>
        <w:rPr>
          <w:spacing w:val="-10"/>
          <w:sz w:val="20"/>
        </w:rPr>
        <w:t> </w:t>
      </w:r>
      <w:r>
        <w:rPr>
          <w:sz w:val="20"/>
        </w:rPr>
        <w:t>The</w:t>
      </w:r>
      <w:r>
        <w:rPr>
          <w:spacing w:val="-10"/>
          <w:sz w:val="20"/>
        </w:rPr>
        <w:t> </w:t>
      </w:r>
      <w:r>
        <w:rPr>
          <w:sz w:val="20"/>
        </w:rPr>
        <w:t>accommodations</w:t>
      </w:r>
      <w:r>
        <w:rPr>
          <w:spacing w:val="-10"/>
          <w:sz w:val="20"/>
        </w:rPr>
        <w:t> </w:t>
      </w:r>
      <w:r>
        <w:rPr>
          <w:sz w:val="20"/>
        </w:rPr>
        <w:t>commonly</w:t>
      </w:r>
      <w:r>
        <w:rPr>
          <w:spacing w:val="-10"/>
          <w:sz w:val="20"/>
        </w:rPr>
        <w:t> </w:t>
      </w:r>
      <w:r>
        <w:rPr>
          <w:spacing w:val="-3"/>
          <w:sz w:val="20"/>
        </w:rPr>
        <w:t>available </w:t>
      </w:r>
      <w:r>
        <w:rPr>
          <w:sz w:val="20"/>
        </w:rPr>
        <w:t>include:</w:t>
      </w:r>
    </w:p>
    <w:p>
      <w:pPr>
        <w:pStyle w:val="ListParagraph"/>
        <w:numPr>
          <w:ilvl w:val="2"/>
          <w:numId w:val="12"/>
        </w:numPr>
        <w:tabs>
          <w:tab w:pos="2157" w:val="left" w:leader="none"/>
          <w:tab w:pos="2158" w:val="left" w:leader="none"/>
        </w:tabs>
        <w:spacing w:line="240" w:lineRule="auto" w:before="91" w:after="0"/>
        <w:ind w:left="2157" w:right="0" w:hanging="396"/>
        <w:jc w:val="left"/>
        <w:rPr>
          <w:sz w:val="20"/>
        </w:rPr>
      </w:pPr>
      <w:r>
        <w:rPr>
          <w:sz w:val="20"/>
        </w:rPr>
        <w:t>CART </w:t>
      </w:r>
      <w:r>
        <w:rPr>
          <w:spacing w:val="-3"/>
          <w:sz w:val="20"/>
        </w:rPr>
        <w:t>(computer </w:t>
      </w:r>
      <w:r>
        <w:rPr>
          <w:sz w:val="20"/>
        </w:rPr>
        <w:t>assisted </w:t>
      </w:r>
      <w:r>
        <w:rPr>
          <w:spacing w:val="-3"/>
          <w:sz w:val="20"/>
        </w:rPr>
        <w:t>real </w:t>
      </w:r>
      <w:r>
        <w:rPr>
          <w:sz w:val="20"/>
        </w:rPr>
        <w:t>time</w:t>
      </w:r>
      <w:r>
        <w:rPr>
          <w:spacing w:val="-16"/>
          <w:sz w:val="20"/>
        </w:rPr>
        <w:t> </w:t>
      </w:r>
      <w:r>
        <w:rPr>
          <w:sz w:val="20"/>
        </w:rPr>
        <w:t>transcription)</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qualified American Sign Language</w:t>
      </w:r>
      <w:r>
        <w:rPr>
          <w:spacing w:val="-18"/>
          <w:sz w:val="20"/>
        </w:rPr>
        <w:t> </w:t>
      </w:r>
      <w:r>
        <w:rPr>
          <w:spacing w:val="-3"/>
          <w:sz w:val="20"/>
        </w:rPr>
        <w:t>interpreters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court</w:t>
      </w:r>
      <w:r>
        <w:rPr>
          <w:spacing w:val="-6"/>
          <w:sz w:val="20"/>
        </w:rPr>
        <w:t> </w:t>
      </w:r>
      <w:r>
        <w:rPr>
          <w:sz w:val="20"/>
        </w:rPr>
        <w:t>reporters</w:t>
      </w:r>
      <w:r>
        <w:rPr>
          <w:spacing w:val="-5"/>
          <w:sz w:val="20"/>
        </w:rPr>
        <w:t> </w:t>
      </w:r>
      <w:r>
        <w:rPr>
          <w:sz w:val="20"/>
        </w:rPr>
        <w:t>who</w:t>
      </w:r>
      <w:r>
        <w:rPr>
          <w:spacing w:val="-5"/>
          <w:sz w:val="20"/>
        </w:rPr>
        <w:t> </w:t>
      </w:r>
      <w:r>
        <w:rPr>
          <w:sz w:val="20"/>
        </w:rPr>
        <w:t>write</w:t>
      </w:r>
      <w:r>
        <w:rPr>
          <w:spacing w:val="-5"/>
          <w:sz w:val="20"/>
        </w:rPr>
        <w:t> </w:t>
      </w:r>
      <w:r>
        <w:rPr>
          <w:sz w:val="20"/>
        </w:rPr>
        <w:t>up</w:t>
      </w:r>
      <w:r>
        <w:rPr>
          <w:spacing w:val="-5"/>
          <w:sz w:val="20"/>
        </w:rPr>
        <w:t> </w:t>
      </w:r>
      <w:r>
        <w:rPr>
          <w:sz w:val="20"/>
        </w:rPr>
        <w:t>everything</w:t>
      </w:r>
      <w:r>
        <w:rPr>
          <w:spacing w:val="-5"/>
          <w:sz w:val="20"/>
        </w:rPr>
        <w:t> </w:t>
      </w:r>
      <w:r>
        <w:rPr>
          <w:sz w:val="20"/>
        </w:rPr>
        <w:t>that</w:t>
      </w:r>
      <w:r>
        <w:rPr>
          <w:spacing w:val="-5"/>
          <w:sz w:val="20"/>
        </w:rPr>
        <w:t> </w:t>
      </w:r>
      <w:r>
        <w:rPr>
          <w:sz w:val="20"/>
        </w:rPr>
        <w:t>is</w:t>
      </w:r>
      <w:r>
        <w:rPr>
          <w:spacing w:val="-5"/>
          <w:sz w:val="20"/>
        </w:rPr>
        <w:t> </w:t>
      </w:r>
      <w:r>
        <w:rPr>
          <w:sz w:val="20"/>
        </w:rPr>
        <w:t>spoken</w:t>
      </w:r>
      <w:r>
        <w:rPr>
          <w:spacing w:val="-5"/>
          <w:sz w:val="20"/>
        </w:rPr>
        <w:t> </w:t>
      </w:r>
      <w:r>
        <w:rPr>
          <w:sz w:val="20"/>
        </w:rPr>
        <w:t>in</w:t>
      </w:r>
      <w:r>
        <w:rPr>
          <w:spacing w:val="-5"/>
          <w:sz w:val="20"/>
        </w:rPr>
        <w:t> </w:t>
      </w:r>
      <w:r>
        <w:rPr>
          <w:spacing w:val="-3"/>
          <w:sz w:val="20"/>
        </w:rPr>
        <w:t>real</w:t>
      </w:r>
      <w:r>
        <w:rPr>
          <w:spacing w:val="-5"/>
          <w:sz w:val="20"/>
        </w:rPr>
        <w:t> </w:t>
      </w:r>
      <w:r>
        <w:rPr>
          <w:sz w:val="20"/>
        </w:rPr>
        <w:t>time</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hearing</w:t>
      </w:r>
      <w:r>
        <w:rPr>
          <w:spacing w:val="-5"/>
          <w:sz w:val="20"/>
        </w:rPr>
        <w:t> </w:t>
      </w:r>
      <w:r>
        <w:rPr>
          <w:sz w:val="20"/>
        </w:rPr>
        <w:t>loops</w:t>
      </w:r>
    </w:p>
    <w:p>
      <w:pPr>
        <w:pStyle w:val="ListParagraph"/>
        <w:numPr>
          <w:ilvl w:val="2"/>
          <w:numId w:val="12"/>
        </w:numPr>
        <w:tabs>
          <w:tab w:pos="2157" w:val="left" w:leader="none"/>
          <w:tab w:pos="2158" w:val="left" w:leader="none"/>
        </w:tabs>
        <w:spacing w:line="240" w:lineRule="auto" w:before="48" w:after="0"/>
        <w:ind w:left="2157" w:right="0" w:hanging="396"/>
        <w:jc w:val="left"/>
        <w:rPr>
          <w:sz w:val="11"/>
        </w:rPr>
      </w:pPr>
      <w:r>
        <w:rPr>
          <w:sz w:val="20"/>
        </w:rPr>
        <w:t>line-of-sight</w:t>
      </w:r>
      <w:r>
        <w:rPr>
          <w:spacing w:val="-5"/>
          <w:sz w:val="20"/>
        </w:rPr>
        <w:t> </w:t>
      </w:r>
      <w:r>
        <w:rPr>
          <w:sz w:val="20"/>
        </w:rPr>
        <w:t>adjustments.</w:t>
      </w:r>
      <w:r>
        <w:rPr>
          <w:position w:val="7"/>
          <w:sz w:val="11"/>
        </w:rPr>
        <w:t>31</w:t>
      </w:r>
    </w:p>
    <w:p>
      <w:pPr>
        <w:pStyle w:val="BodyText"/>
      </w:pPr>
    </w:p>
    <w:p>
      <w:pPr>
        <w:pStyle w:val="BodyText"/>
        <w:spacing w:before="8"/>
        <w:rPr>
          <w:sz w:val="21"/>
        </w:rPr>
      </w:pPr>
      <w:r>
        <w:rPr/>
        <w:pict>
          <v:line style="position:absolute;mso-position-horizontal-relative:page;mso-position-vertical-relative:paragraph;z-index:5840;mso-wrap-distance-left:0;mso-wrap-distance-right:0" from="79.370102pt,17.447041pt" to="515.905102pt,17.447041pt" stroked="true" strokeweight="1pt" strokecolor="#b6bdc8">
            <v:stroke dashstyle="solid"/>
            <w10:wrap type="topAndBottom"/>
          </v:line>
        </w:pict>
      </w:r>
    </w:p>
    <w:p>
      <w:pPr>
        <w:pStyle w:val="ListParagraph"/>
        <w:numPr>
          <w:ilvl w:val="0"/>
          <w:numId w:val="69"/>
        </w:numPr>
        <w:tabs>
          <w:tab w:pos="1760" w:val="left" w:leader="none"/>
          <w:tab w:pos="1762" w:val="left" w:leader="none"/>
        </w:tabs>
        <w:spacing w:line="213" w:lineRule="auto" w:before="107" w:after="0"/>
        <w:ind w:left="1761" w:right="1338" w:hanging="794"/>
        <w:jc w:val="left"/>
        <w:rPr>
          <w:sz w:val="13"/>
        </w:rPr>
      </w:pPr>
      <w:r>
        <w:rPr>
          <w:sz w:val="13"/>
        </w:rPr>
        <w:t>Jemina </w:t>
      </w:r>
      <w:r>
        <w:rPr>
          <w:spacing w:val="2"/>
          <w:sz w:val="13"/>
        </w:rPr>
        <w:t>Napier </w:t>
      </w:r>
      <w:r>
        <w:rPr>
          <w:sz w:val="13"/>
        </w:rPr>
        <w:t>and </w:t>
      </w:r>
      <w:r>
        <w:rPr>
          <w:spacing w:val="2"/>
          <w:sz w:val="13"/>
        </w:rPr>
        <w:t>Alastair </w:t>
      </w:r>
      <w:r>
        <w:rPr>
          <w:sz w:val="13"/>
        </w:rPr>
        <w:t>McEwin, </w:t>
      </w:r>
      <w:r>
        <w:rPr>
          <w:spacing w:val="2"/>
          <w:sz w:val="13"/>
        </w:rPr>
        <w:t>‘Do </w:t>
      </w:r>
      <w:r>
        <w:rPr>
          <w:sz w:val="13"/>
        </w:rPr>
        <w:t>Deaf People Have the Right to Serve as Jurors in Australia?’ (2015) </w:t>
      </w:r>
      <w:r>
        <w:rPr>
          <w:spacing w:val="2"/>
          <w:sz w:val="13"/>
        </w:rPr>
        <w:t>40(1) </w:t>
      </w:r>
      <w:r>
        <w:rPr>
          <w:i/>
          <w:sz w:val="13"/>
        </w:rPr>
        <w:t>Alternative Law </w:t>
      </w:r>
      <w:r>
        <w:rPr>
          <w:i/>
          <w:sz w:val="13"/>
        </w:rPr>
        <w:t>Journal </w:t>
      </w:r>
      <w:r>
        <w:rPr>
          <w:spacing w:val="2"/>
          <w:sz w:val="13"/>
        </w:rPr>
        <w:t>23,</w:t>
      </w:r>
      <w:r>
        <w:rPr>
          <w:sz w:val="13"/>
        </w:rPr>
        <w:t> </w:t>
      </w:r>
      <w:r>
        <w:rPr>
          <w:spacing w:val="2"/>
          <w:sz w:val="13"/>
        </w:rPr>
        <w:t>23–24.</w:t>
      </w:r>
    </w:p>
    <w:p>
      <w:pPr>
        <w:pStyle w:val="ListParagraph"/>
        <w:numPr>
          <w:ilvl w:val="0"/>
          <w:numId w:val="69"/>
        </w:numPr>
        <w:tabs>
          <w:tab w:pos="1760" w:val="left" w:leader="none"/>
          <w:tab w:pos="1762" w:val="left" w:leader="none"/>
        </w:tabs>
        <w:spacing w:line="153" w:lineRule="exact" w:before="0" w:after="0"/>
        <w:ind w:left="1761" w:right="0" w:hanging="794"/>
        <w:jc w:val="left"/>
        <w:rPr>
          <w:i/>
          <w:sz w:val="13"/>
        </w:rPr>
      </w:pPr>
      <w:r>
        <w:rPr>
          <w:sz w:val="13"/>
        </w:rPr>
        <w:t>Victorian Law Reform </w:t>
      </w:r>
      <w:r>
        <w:rPr>
          <w:spacing w:val="2"/>
          <w:sz w:val="13"/>
        </w:rPr>
        <w:t>Commission, </w:t>
      </w:r>
      <w:r>
        <w:rPr>
          <w:i/>
          <w:sz w:val="13"/>
        </w:rPr>
        <w:t>Inclusive Juries—Access for People Who Are Deaf, Hard of Hearing, Blind or Have Low</w:t>
      </w:r>
      <w:r>
        <w:rPr>
          <w:i/>
          <w:spacing w:val="2"/>
          <w:sz w:val="13"/>
        </w:rPr>
        <w:t> </w:t>
      </w:r>
      <w:r>
        <w:rPr>
          <w:i/>
          <w:sz w:val="13"/>
        </w:rPr>
        <w:t>Vision</w:t>
      </w:r>
    </w:p>
    <w:p>
      <w:pPr>
        <w:spacing w:line="160" w:lineRule="exact" w:before="0"/>
        <w:ind w:left="1761" w:right="0" w:firstLine="0"/>
        <w:jc w:val="left"/>
        <w:rPr>
          <w:sz w:val="13"/>
        </w:rPr>
      </w:pPr>
      <w:r>
        <w:rPr>
          <w:sz w:val="13"/>
        </w:rPr>
        <w:t>(Consultation Paper, December 2020) Appendix A.</w:t>
      </w:r>
    </w:p>
    <w:p>
      <w:pPr>
        <w:pStyle w:val="ListParagraph"/>
        <w:numPr>
          <w:ilvl w:val="0"/>
          <w:numId w:val="69"/>
        </w:numPr>
        <w:tabs>
          <w:tab w:pos="1761" w:val="left" w:leader="none"/>
          <w:tab w:pos="1762" w:val="left" w:leader="none"/>
        </w:tabs>
        <w:spacing w:line="160" w:lineRule="exact" w:before="0" w:after="0"/>
        <w:ind w:left="1761" w:right="0" w:hanging="794"/>
        <w:jc w:val="left"/>
        <w:rPr>
          <w:sz w:val="13"/>
        </w:rPr>
      </w:pPr>
      <w:r>
        <w:rPr>
          <w:i/>
          <w:sz w:val="13"/>
        </w:rPr>
        <w:t>People v Guzman, </w:t>
      </w:r>
      <w:r>
        <w:rPr>
          <w:sz w:val="13"/>
        </w:rPr>
        <w:t>478 NYS 2d </w:t>
      </w:r>
      <w:r>
        <w:rPr>
          <w:spacing w:val="2"/>
          <w:sz w:val="13"/>
        </w:rPr>
        <w:t>455, </w:t>
      </w:r>
      <w:r>
        <w:rPr>
          <w:spacing w:val="-3"/>
          <w:sz w:val="13"/>
        </w:rPr>
        <w:t>474 </w:t>
      </w:r>
      <w:r>
        <w:rPr>
          <w:sz w:val="13"/>
        </w:rPr>
        <w:t>(Goodman J)</w:t>
      </w:r>
      <w:r>
        <w:rPr>
          <w:spacing w:val="4"/>
          <w:sz w:val="13"/>
        </w:rPr>
        <w:t> </w:t>
      </w:r>
      <w:r>
        <w:rPr>
          <w:sz w:val="13"/>
        </w:rPr>
        <w:t>(1984).</w:t>
      </w:r>
    </w:p>
    <w:p>
      <w:pPr>
        <w:pStyle w:val="ListParagraph"/>
        <w:numPr>
          <w:ilvl w:val="0"/>
          <w:numId w:val="69"/>
        </w:numPr>
        <w:tabs>
          <w:tab w:pos="1761" w:val="left" w:leader="none"/>
          <w:tab w:pos="1762" w:val="left" w:leader="none"/>
        </w:tabs>
        <w:spacing w:line="213" w:lineRule="auto" w:before="6" w:after="0"/>
        <w:ind w:left="1761" w:right="1277" w:hanging="794"/>
        <w:jc w:val="left"/>
        <w:rPr>
          <w:sz w:val="13"/>
        </w:rPr>
      </w:pPr>
      <w:r>
        <w:rPr>
          <w:i/>
          <w:sz w:val="13"/>
        </w:rPr>
        <w:t>Americans with Disabilities Act, </w:t>
      </w:r>
      <w:r>
        <w:rPr>
          <w:sz w:val="13"/>
        </w:rPr>
        <w:t>42 USC Ch 126 §12132 (1990): see </w:t>
      </w:r>
      <w:r>
        <w:rPr>
          <w:spacing w:val="2"/>
          <w:sz w:val="13"/>
        </w:rPr>
        <w:t>also </w:t>
      </w:r>
      <w:r>
        <w:rPr>
          <w:sz w:val="13"/>
        </w:rPr>
        <w:t>s 1210, which relates to the overall purpose of title 42 of the ADA. See generally Kristi Bleyer, Kathryn Shane </w:t>
      </w:r>
      <w:r>
        <w:rPr>
          <w:spacing w:val="3"/>
          <w:sz w:val="13"/>
        </w:rPr>
        <w:t>McCarty </w:t>
      </w:r>
      <w:r>
        <w:rPr>
          <w:sz w:val="13"/>
        </w:rPr>
        <w:t>and Erica Wood, ‘Access to </w:t>
      </w:r>
      <w:r>
        <w:rPr>
          <w:spacing w:val="2"/>
          <w:sz w:val="13"/>
        </w:rPr>
        <w:t>Jury Service </w:t>
      </w:r>
      <w:r>
        <w:rPr>
          <w:sz w:val="13"/>
        </w:rPr>
        <w:t>for Persons with Disabilities’ </w:t>
      </w:r>
      <w:r>
        <w:rPr>
          <w:spacing w:val="2"/>
          <w:sz w:val="13"/>
        </w:rPr>
        <w:t>(1995) 19(2) </w:t>
      </w:r>
      <w:r>
        <w:rPr>
          <w:i/>
          <w:sz w:val="13"/>
        </w:rPr>
        <w:t>Mental and Physical Disability Law Reporter </w:t>
      </w:r>
      <w:r>
        <w:rPr>
          <w:spacing w:val="2"/>
          <w:sz w:val="13"/>
        </w:rPr>
        <w:t>249,</w:t>
      </w:r>
      <w:r>
        <w:rPr>
          <w:sz w:val="13"/>
        </w:rPr>
        <w:t> </w:t>
      </w:r>
      <w:r>
        <w:rPr>
          <w:spacing w:val="2"/>
          <w:sz w:val="13"/>
        </w:rPr>
        <w:t>249.</w:t>
      </w:r>
    </w:p>
    <w:p>
      <w:pPr>
        <w:pStyle w:val="ListParagraph"/>
        <w:numPr>
          <w:ilvl w:val="0"/>
          <w:numId w:val="69"/>
        </w:numPr>
        <w:tabs>
          <w:tab w:pos="1761" w:val="left" w:leader="none"/>
          <w:tab w:pos="1762" w:val="left" w:leader="none"/>
        </w:tabs>
        <w:spacing w:line="213" w:lineRule="auto" w:before="0" w:after="0"/>
        <w:ind w:left="1761" w:right="1215" w:hanging="794"/>
        <w:jc w:val="left"/>
        <w:rPr>
          <w:sz w:val="13"/>
        </w:rPr>
      </w:pPr>
      <w:r>
        <w:rPr>
          <w:i/>
          <w:sz w:val="13"/>
        </w:rPr>
        <w:t>Americans with Disabilities Act, </w:t>
      </w:r>
      <w:r>
        <w:rPr>
          <w:sz w:val="13"/>
        </w:rPr>
        <w:t>42 USC Ch 126 (1990). The ADA is divided into five different sections called titles. Different titles set out the requirement under the Act for different organisations in the US: Title 1 (employment); Title 2 (state and local government); Title 3 (business and non- profits </w:t>
      </w:r>
      <w:r>
        <w:rPr>
          <w:spacing w:val="2"/>
          <w:sz w:val="13"/>
        </w:rPr>
        <w:t>serving </w:t>
      </w:r>
      <w:r>
        <w:rPr>
          <w:sz w:val="13"/>
        </w:rPr>
        <w:t>the public); Title 4 (telecommunication  companies);  Title  5  (other  requirements regarding the implementation of the law): see Civil Rights </w:t>
      </w:r>
      <w:r>
        <w:rPr>
          <w:spacing w:val="2"/>
          <w:sz w:val="13"/>
        </w:rPr>
        <w:t>Division, </w:t>
      </w:r>
      <w:r>
        <w:rPr>
          <w:sz w:val="13"/>
        </w:rPr>
        <w:t>United States </w:t>
      </w:r>
      <w:r>
        <w:rPr>
          <w:spacing w:val="2"/>
          <w:sz w:val="13"/>
        </w:rPr>
        <w:t>Department </w:t>
      </w:r>
      <w:r>
        <w:rPr>
          <w:sz w:val="13"/>
        </w:rPr>
        <w:t>of Justice, ‘Introduction to the ADA’, </w:t>
      </w:r>
      <w:r>
        <w:rPr>
          <w:i/>
          <w:sz w:val="13"/>
        </w:rPr>
        <w:t>Information and Technical Assistance on the Americans with Disabilities Act </w:t>
      </w:r>
      <w:r>
        <w:rPr>
          <w:sz w:val="13"/>
        </w:rPr>
        <w:t>(Web</w:t>
      </w:r>
      <w:r>
        <w:rPr>
          <w:spacing w:val="12"/>
          <w:sz w:val="13"/>
        </w:rPr>
        <w:t> </w:t>
      </w:r>
      <w:r>
        <w:rPr>
          <w:sz w:val="13"/>
        </w:rPr>
        <w:t>Page).</w:t>
      </w:r>
    </w:p>
    <w:p>
      <w:pPr>
        <w:pStyle w:val="ListParagraph"/>
        <w:numPr>
          <w:ilvl w:val="0"/>
          <w:numId w:val="69"/>
        </w:numPr>
        <w:tabs>
          <w:tab w:pos="1761" w:val="left" w:leader="none"/>
          <w:tab w:pos="1762" w:val="left" w:leader="none"/>
        </w:tabs>
        <w:spacing w:line="151" w:lineRule="exact" w:before="0" w:after="0"/>
        <w:ind w:left="1761" w:right="0" w:hanging="794"/>
        <w:jc w:val="left"/>
        <w:rPr>
          <w:sz w:val="13"/>
        </w:rPr>
      </w:pP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w:t>
      </w:r>
      <w:r>
        <w:rPr>
          <w:spacing w:val="4"/>
          <w:sz w:val="13"/>
        </w:rPr>
        <w:t> </w:t>
      </w:r>
      <w:r>
        <w:rPr>
          <w:sz w:val="13"/>
        </w:rPr>
        <w:t>States).</w:t>
      </w:r>
    </w:p>
    <w:p>
      <w:pPr>
        <w:pStyle w:val="ListParagraph"/>
        <w:numPr>
          <w:ilvl w:val="0"/>
          <w:numId w:val="69"/>
        </w:numPr>
        <w:tabs>
          <w:tab w:pos="1761" w:val="left" w:leader="none"/>
          <w:tab w:pos="1762" w:val="left" w:leader="none"/>
        </w:tabs>
        <w:spacing w:line="213" w:lineRule="auto" w:before="5" w:after="0"/>
        <w:ind w:left="1761" w:right="1314" w:hanging="794"/>
        <w:jc w:val="left"/>
        <w:rPr>
          <w:sz w:val="13"/>
        </w:rPr>
      </w:pPr>
      <w:r>
        <w:rPr>
          <w:i/>
          <w:sz w:val="13"/>
        </w:rPr>
        <w:t>Galloway v Superior Court of the District of Columbia, </w:t>
      </w:r>
      <w:r>
        <w:rPr>
          <w:sz w:val="13"/>
        </w:rPr>
        <w:t>816 F Supp 12 [19] </w:t>
      </w:r>
      <w:r>
        <w:rPr>
          <w:spacing w:val="2"/>
          <w:sz w:val="13"/>
        </w:rPr>
        <w:t>(DDC, </w:t>
      </w:r>
      <w:r>
        <w:rPr>
          <w:sz w:val="13"/>
        </w:rPr>
        <w:t>1993). See </w:t>
      </w:r>
      <w:r>
        <w:rPr>
          <w:spacing w:val="2"/>
          <w:sz w:val="13"/>
        </w:rPr>
        <w:t>also </w:t>
      </w:r>
      <w:r>
        <w:rPr>
          <w:sz w:val="13"/>
        </w:rPr>
        <w:t>the New York </w:t>
      </w:r>
      <w:r>
        <w:rPr>
          <w:spacing w:val="2"/>
          <w:sz w:val="13"/>
        </w:rPr>
        <w:t>courts </w:t>
      </w:r>
      <w:r>
        <w:rPr>
          <w:sz w:val="13"/>
        </w:rPr>
        <w:t>information  page about the </w:t>
      </w:r>
      <w:r>
        <w:rPr>
          <w:spacing w:val="2"/>
          <w:sz w:val="13"/>
        </w:rPr>
        <w:t>application </w:t>
      </w:r>
      <w:r>
        <w:rPr>
          <w:sz w:val="13"/>
        </w:rPr>
        <w:t>of the ADA to the </w:t>
      </w:r>
      <w:r>
        <w:rPr>
          <w:spacing w:val="2"/>
          <w:sz w:val="13"/>
        </w:rPr>
        <w:t>courts </w:t>
      </w:r>
      <w:r>
        <w:rPr>
          <w:sz w:val="13"/>
        </w:rPr>
        <w:t>and the right to accommodation: Office of </w:t>
      </w:r>
      <w:r>
        <w:rPr>
          <w:spacing w:val="2"/>
          <w:sz w:val="13"/>
        </w:rPr>
        <w:t>Court </w:t>
      </w:r>
      <w:r>
        <w:rPr>
          <w:sz w:val="13"/>
        </w:rPr>
        <w:t>Administration, New York State Unified </w:t>
      </w:r>
      <w:r>
        <w:rPr>
          <w:spacing w:val="2"/>
          <w:sz w:val="13"/>
        </w:rPr>
        <w:t>Court </w:t>
      </w:r>
      <w:r>
        <w:rPr>
          <w:sz w:val="13"/>
        </w:rPr>
        <w:t>System, ‘Reasonable Accommodations for </w:t>
      </w:r>
      <w:r>
        <w:rPr>
          <w:spacing w:val="2"/>
          <w:sz w:val="13"/>
        </w:rPr>
        <w:t>Court </w:t>
      </w:r>
      <w:r>
        <w:rPr>
          <w:sz w:val="13"/>
        </w:rPr>
        <w:t>Users’, </w:t>
      </w:r>
      <w:r>
        <w:rPr>
          <w:i/>
          <w:sz w:val="13"/>
        </w:rPr>
        <w:t>NYCOURTS.GOV </w:t>
      </w:r>
      <w:r>
        <w:rPr>
          <w:sz w:val="13"/>
        </w:rPr>
        <w:t>(Web Page) &lt;</w:t>
      </w:r>
      <w:hyperlink r:id="rId154">
        <w:r>
          <w:rPr>
            <w:sz w:val="13"/>
          </w:rPr>
          <w:t>http://ww2.nycourts.</w:t>
        </w:r>
      </w:hyperlink>
      <w:hyperlink r:id="rId154">
        <w:r>
          <w:rPr>
            <w:sz w:val="13"/>
          </w:rPr>
          <w:t> gov/Accessibility/CourtUsers_Guidelines.shtml</w:t>
        </w:r>
      </w:hyperlink>
      <w:r>
        <w:rPr>
          <w:sz w:val="13"/>
        </w:rPr>
        <w:t>&gt;.</w:t>
      </w:r>
      <w:r>
        <w:rPr>
          <w:spacing w:val="6"/>
          <w:sz w:val="13"/>
        </w:rPr>
        <w:t> </w:t>
      </w:r>
      <w:r>
        <w:rPr>
          <w:sz w:val="13"/>
        </w:rPr>
        <w:t>The</w:t>
      </w:r>
      <w:r>
        <w:rPr>
          <w:spacing w:val="7"/>
          <w:sz w:val="13"/>
        </w:rPr>
        <w:t> </w:t>
      </w:r>
      <w:r>
        <w:rPr>
          <w:i/>
          <w:sz w:val="13"/>
        </w:rPr>
        <w:t>Rehabilitation</w:t>
      </w:r>
      <w:r>
        <w:rPr>
          <w:i/>
          <w:spacing w:val="6"/>
          <w:sz w:val="13"/>
        </w:rPr>
        <w:t> </w:t>
      </w:r>
      <w:r>
        <w:rPr>
          <w:i/>
          <w:sz w:val="13"/>
        </w:rPr>
        <w:t>Act</w:t>
      </w:r>
      <w:r>
        <w:rPr>
          <w:sz w:val="13"/>
        </w:rPr>
        <w:t>,</w:t>
      </w:r>
      <w:r>
        <w:rPr>
          <w:spacing w:val="7"/>
          <w:sz w:val="13"/>
        </w:rPr>
        <w:t> </w:t>
      </w:r>
      <w:r>
        <w:rPr>
          <w:sz w:val="13"/>
        </w:rPr>
        <w:t>29</w:t>
      </w:r>
      <w:r>
        <w:rPr>
          <w:spacing w:val="7"/>
          <w:sz w:val="13"/>
        </w:rPr>
        <w:t> </w:t>
      </w:r>
      <w:r>
        <w:rPr>
          <w:sz w:val="13"/>
        </w:rPr>
        <w:t>USC</w:t>
      </w:r>
      <w:r>
        <w:rPr>
          <w:spacing w:val="7"/>
          <w:sz w:val="13"/>
        </w:rPr>
        <w:t> </w:t>
      </w:r>
      <w:r>
        <w:rPr>
          <w:sz w:val="13"/>
        </w:rPr>
        <w:t>(1973)</w:t>
      </w:r>
      <w:r>
        <w:rPr>
          <w:spacing w:val="6"/>
          <w:sz w:val="13"/>
        </w:rPr>
        <w:t> </w:t>
      </w:r>
      <w:r>
        <w:rPr>
          <w:sz w:val="13"/>
        </w:rPr>
        <w:t>prohibits</w:t>
      </w:r>
      <w:r>
        <w:rPr>
          <w:spacing w:val="7"/>
          <w:sz w:val="13"/>
        </w:rPr>
        <w:t> </w:t>
      </w:r>
      <w:r>
        <w:rPr>
          <w:sz w:val="13"/>
        </w:rPr>
        <w:t>discrimination</w:t>
      </w:r>
      <w:r>
        <w:rPr>
          <w:spacing w:val="7"/>
          <w:sz w:val="13"/>
        </w:rPr>
        <w:t> </w:t>
      </w:r>
      <w:r>
        <w:rPr>
          <w:sz w:val="13"/>
        </w:rPr>
        <w:t>on</w:t>
      </w:r>
      <w:r>
        <w:rPr>
          <w:spacing w:val="7"/>
          <w:sz w:val="13"/>
        </w:rPr>
        <w:t> </w:t>
      </w:r>
      <w:r>
        <w:rPr>
          <w:sz w:val="13"/>
        </w:rPr>
        <w:t>the</w:t>
      </w:r>
      <w:r>
        <w:rPr>
          <w:spacing w:val="7"/>
          <w:sz w:val="13"/>
        </w:rPr>
        <w:t> </w:t>
      </w:r>
      <w:r>
        <w:rPr>
          <w:sz w:val="13"/>
        </w:rPr>
        <w:t>basis</w:t>
      </w:r>
    </w:p>
    <w:p>
      <w:pPr>
        <w:spacing w:line="213" w:lineRule="auto" w:before="0"/>
        <w:ind w:left="1761" w:right="1335" w:firstLine="0"/>
        <w:jc w:val="left"/>
        <w:rPr>
          <w:sz w:val="13"/>
        </w:rPr>
      </w:pPr>
      <w:r>
        <w:rPr>
          <w:sz w:val="13"/>
        </w:rPr>
        <w:t>of disability in programs conducted by Federal agencies, in programs receiving Federal financial assistance and in Federal employment. Federal Courts in the United States are covered by this act, which has the same substantive requirements as the ADA: see especially, s 504.</w:t>
      </w:r>
    </w:p>
    <w:p>
      <w:pPr>
        <w:pStyle w:val="ListParagraph"/>
        <w:numPr>
          <w:ilvl w:val="0"/>
          <w:numId w:val="69"/>
        </w:numPr>
        <w:tabs>
          <w:tab w:pos="1761" w:val="left" w:leader="none"/>
          <w:tab w:pos="1762" w:val="left" w:leader="none"/>
        </w:tabs>
        <w:spacing w:line="213" w:lineRule="auto" w:before="0" w:after="0"/>
        <w:ind w:left="1761" w:right="1332" w:hanging="794"/>
        <w:jc w:val="both"/>
        <w:rPr>
          <w:sz w:val="13"/>
        </w:rPr>
      </w:pPr>
      <w:r>
        <w:rPr>
          <w:i/>
          <w:sz w:val="13"/>
        </w:rPr>
        <w:t>Nondiscrimination on the Basis of Disability in State and Local Government </w:t>
      </w:r>
      <w:r>
        <w:rPr>
          <w:i/>
          <w:spacing w:val="2"/>
          <w:sz w:val="13"/>
        </w:rPr>
        <w:t>Service, </w:t>
      </w:r>
      <w:r>
        <w:rPr>
          <w:sz w:val="13"/>
        </w:rPr>
        <w:t>28 CFR </w:t>
      </w:r>
      <w:r>
        <w:rPr>
          <w:spacing w:val="2"/>
          <w:sz w:val="13"/>
        </w:rPr>
        <w:t>Part </w:t>
      </w:r>
      <w:r>
        <w:rPr>
          <w:sz w:val="13"/>
        </w:rPr>
        <w:t>35 (1 July 2021) [7]. See </w:t>
      </w:r>
      <w:r>
        <w:rPr>
          <w:spacing w:val="2"/>
          <w:sz w:val="13"/>
        </w:rPr>
        <w:t>also </w:t>
      </w:r>
      <w:r>
        <w:rPr>
          <w:sz w:val="13"/>
        </w:rPr>
        <w:t>Office  of </w:t>
      </w:r>
      <w:r>
        <w:rPr>
          <w:spacing w:val="2"/>
          <w:sz w:val="13"/>
        </w:rPr>
        <w:t>Court </w:t>
      </w:r>
      <w:r>
        <w:rPr>
          <w:sz w:val="13"/>
        </w:rPr>
        <w:t>Administration, New York State Unified </w:t>
      </w:r>
      <w:r>
        <w:rPr>
          <w:spacing w:val="2"/>
          <w:sz w:val="13"/>
        </w:rPr>
        <w:t>Court </w:t>
      </w:r>
      <w:r>
        <w:rPr>
          <w:sz w:val="13"/>
        </w:rPr>
        <w:t>System, ‘Reasonable Accommodations for </w:t>
      </w:r>
      <w:r>
        <w:rPr>
          <w:spacing w:val="2"/>
          <w:sz w:val="13"/>
        </w:rPr>
        <w:t>Court </w:t>
      </w:r>
      <w:r>
        <w:rPr>
          <w:sz w:val="13"/>
        </w:rPr>
        <w:t>Users’, </w:t>
      </w:r>
      <w:r>
        <w:rPr>
          <w:i/>
          <w:sz w:val="13"/>
        </w:rPr>
        <w:t>NYCOURTS.GOV </w:t>
      </w:r>
      <w:r>
        <w:rPr>
          <w:sz w:val="13"/>
        </w:rPr>
        <w:t>(Web Page)</w:t>
      </w:r>
      <w:r>
        <w:rPr>
          <w:spacing w:val="2"/>
          <w:sz w:val="13"/>
        </w:rPr>
        <w:t> </w:t>
      </w:r>
      <w:r>
        <w:rPr>
          <w:sz w:val="13"/>
        </w:rPr>
        <w:t>&lt;</w:t>
      </w:r>
      <w:hyperlink r:id="rId154">
        <w:r>
          <w:rPr>
            <w:sz w:val="13"/>
          </w:rPr>
          <w:t>http://ww2.nycourts.gov/Accessibility/CourtUsers_Guidelines.shtml</w:t>
        </w:r>
      </w:hyperlink>
      <w:r>
        <w:rPr>
          <w:sz w:val="13"/>
        </w:rPr>
        <w:t>&gt;.</w:t>
      </w:r>
    </w:p>
    <w:p>
      <w:pPr>
        <w:pStyle w:val="ListParagraph"/>
        <w:numPr>
          <w:ilvl w:val="0"/>
          <w:numId w:val="69"/>
        </w:numPr>
        <w:tabs>
          <w:tab w:pos="1760" w:val="left" w:leader="none"/>
          <w:tab w:pos="1762" w:val="left" w:leader="none"/>
        </w:tabs>
        <w:spacing w:line="152" w:lineRule="exact" w:before="0" w:after="0"/>
        <w:ind w:left="1761" w:right="0" w:hanging="794"/>
        <w:jc w:val="left"/>
        <w:rPr>
          <w:sz w:val="13"/>
        </w:rPr>
      </w:pPr>
      <w:r>
        <w:rPr>
          <w:sz w:val="13"/>
        </w:rPr>
        <w:t>See, eg, </w:t>
      </w:r>
      <w:r>
        <w:rPr>
          <w:i/>
          <w:sz w:val="13"/>
        </w:rPr>
        <w:t>People v Guzman</w:t>
      </w:r>
      <w:r>
        <w:rPr>
          <w:sz w:val="13"/>
        </w:rPr>
        <w:t>, 478 NYS 2d, 458</w:t>
      </w:r>
      <w:r>
        <w:rPr>
          <w:spacing w:val="2"/>
          <w:sz w:val="13"/>
        </w:rPr>
        <w:t> </w:t>
      </w:r>
      <w:r>
        <w:rPr>
          <w:sz w:val="13"/>
        </w:rPr>
        <w:t>(1984).</w:t>
      </w:r>
    </w:p>
    <w:p>
      <w:pPr>
        <w:pStyle w:val="ListParagraph"/>
        <w:numPr>
          <w:ilvl w:val="0"/>
          <w:numId w:val="69"/>
        </w:numPr>
        <w:tabs>
          <w:tab w:pos="1761" w:val="left" w:leader="none"/>
          <w:tab w:pos="1762" w:val="left" w:leader="none"/>
        </w:tabs>
        <w:spacing w:line="213" w:lineRule="auto" w:before="2" w:after="0"/>
        <w:ind w:left="1761" w:right="1444" w:hanging="794"/>
        <w:jc w:val="left"/>
        <w:rPr>
          <w:sz w:val="13"/>
        </w:rPr>
      </w:pPr>
      <w:r>
        <w:rPr/>
        <w:pict>
          <v:shape style="position:absolute;margin-left:548.875427pt;margin-top:19.494690pt;width:13.1pt;height:14.1pt;mso-position-horizontal-relative:page;mso-position-vertical-relative:paragraph;z-index:7912" type="#_x0000_t202" filled="false" stroked="false">
            <v:textbox inset="0,0,0,0">
              <w:txbxContent>
                <w:p>
                  <w:pPr>
                    <w:spacing w:line="282" w:lineRule="exact" w:before="0"/>
                    <w:ind w:left="0" w:right="0" w:firstLine="0"/>
                    <w:jc w:val="left"/>
                    <w:rPr>
                      <w:b/>
                      <w:sz w:val="24"/>
                    </w:rPr>
                  </w:pPr>
                  <w:r>
                    <w:rPr>
                      <w:b/>
                      <w:color w:val="37617A"/>
                      <w:spacing w:val="-7"/>
                      <w:sz w:val="24"/>
                    </w:rPr>
                    <w:t>93</w:t>
                  </w:r>
                </w:p>
              </w:txbxContent>
            </v:textbox>
            <w10:wrap type="none"/>
          </v:shape>
        </w:pict>
      </w:r>
      <w:r>
        <w:rPr>
          <w:sz w:val="13"/>
        </w:rPr>
        <w:t>Victorian Law Reform </w:t>
      </w:r>
      <w:r>
        <w:rPr>
          <w:spacing w:val="2"/>
          <w:sz w:val="13"/>
        </w:rPr>
        <w:t>Commission, </w:t>
      </w:r>
      <w:r>
        <w:rPr>
          <w:i/>
          <w:sz w:val="13"/>
        </w:rPr>
        <w:t>Inclusive Juries—Access for People Who Are Deaf, Hard of Hearing, Blind or Have Low Vision </w:t>
      </w:r>
      <w:r>
        <w:rPr>
          <w:sz w:val="13"/>
        </w:rPr>
        <w:t>(Consultation Paper, </w:t>
      </w:r>
      <w:r>
        <w:rPr>
          <w:spacing w:val="2"/>
          <w:sz w:val="13"/>
        </w:rPr>
        <w:t>December </w:t>
      </w:r>
      <w:r>
        <w:rPr>
          <w:sz w:val="13"/>
        </w:rPr>
        <w:t>2020) </w:t>
      </w:r>
      <w:r>
        <w:rPr>
          <w:spacing w:val="2"/>
          <w:sz w:val="13"/>
        </w:rPr>
        <w:t>[4.38]. </w:t>
      </w:r>
      <w:r>
        <w:rPr>
          <w:sz w:val="13"/>
        </w:rPr>
        <w:t>See </w:t>
      </w:r>
      <w:r>
        <w:rPr>
          <w:spacing w:val="2"/>
          <w:sz w:val="13"/>
        </w:rPr>
        <w:t>also Department </w:t>
      </w:r>
      <w:r>
        <w:rPr>
          <w:sz w:val="13"/>
        </w:rPr>
        <w:t>of Justice (US), </w:t>
      </w:r>
      <w:r>
        <w:rPr>
          <w:i/>
          <w:sz w:val="13"/>
        </w:rPr>
        <w:t>The Americans with Disabilities Act: Title II </w:t>
      </w:r>
      <w:r>
        <w:rPr>
          <w:i/>
          <w:sz w:val="13"/>
        </w:rPr>
        <w:t>Technical Assistance Manual </w:t>
      </w:r>
      <w:r>
        <w:rPr>
          <w:spacing w:val="2"/>
          <w:sz w:val="13"/>
        </w:rPr>
        <w:t>(Manual) </w:t>
      </w:r>
      <w:r>
        <w:rPr>
          <w:sz w:val="13"/>
        </w:rPr>
        <w:t>&lt;</w:t>
      </w:r>
      <w:hyperlink r:id="rId155">
        <w:r>
          <w:rPr>
            <w:sz w:val="13"/>
          </w:rPr>
          <w:t>https://www.ada.gov/taman2.html</w:t>
        </w:r>
      </w:hyperlink>
      <w:r>
        <w:rPr>
          <w:sz w:val="13"/>
        </w:rPr>
        <w:t>&gt;; </w:t>
      </w:r>
      <w:r>
        <w:rPr>
          <w:i/>
          <w:sz w:val="13"/>
        </w:rPr>
        <w:t>People v Guzman, </w:t>
      </w:r>
      <w:r>
        <w:rPr>
          <w:sz w:val="13"/>
        </w:rPr>
        <w:t>478 NYS 2d</w:t>
      </w:r>
      <w:r>
        <w:rPr>
          <w:spacing w:val="29"/>
          <w:sz w:val="13"/>
        </w:rPr>
        <w:t> </w:t>
      </w:r>
      <w:r>
        <w:rPr>
          <w:sz w:val="13"/>
        </w:rPr>
        <w:t>(1984).</w:t>
      </w:r>
    </w:p>
    <w:p>
      <w:pPr>
        <w:pStyle w:val="ListParagraph"/>
        <w:numPr>
          <w:ilvl w:val="0"/>
          <w:numId w:val="69"/>
        </w:numPr>
        <w:tabs>
          <w:tab w:pos="1760" w:val="left" w:leader="none"/>
          <w:tab w:pos="1762" w:val="left" w:leader="none"/>
        </w:tabs>
        <w:spacing w:line="162" w:lineRule="exact" w:before="0" w:after="0"/>
        <w:ind w:left="1761" w:right="0" w:hanging="794"/>
        <w:jc w:val="left"/>
        <w:rPr>
          <w:sz w:val="13"/>
        </w:rPr>
      </w:pP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w:t>
      </w:r>
      <w:r>
        <w:rPr>
          <w:spacing w:val="4"/>
          <w:sz w:val="13"/>
        </w:rPr>
        <w:t> </w:t>
      </w:r>
      <w:r>
        <w:rPr>
          <w:sz w:val="13"/>
        </w:rPr>
        <w:t>States).</w:t>
      </w:r>
    </w:p>
    <w:p>
      <w:pPr>
        <w:spacing w:after="0" w:line="162" w:lineRule="exact"/>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7"/>
        <w:rPr>
          <w:sz w:val="16"/>
        </w:rPr>
      </w:pPr>
    </w:p>
    <w:p>
      <w:pPr>
        <w:pStyle w:val="ListParagraph"/>
        <w:numPr>
          <w:ilvl w:val="1"/>
          <w:numId w:val="12"/>
        </w:numPr>
        <w:tabs>
          <w:tab w:pos="1761" w:val="left" w:leader="none"/>
          <w:tab w:pos="1762" w:val="left" w:leader="none"/>
        </w:tabs>
        <w:spacing w:line="240" w:lineRule="auto" w:before="0" w:after="0"/>
        <w:ind w:left="1761" w:right="0" w:hanging="794"/>
        <w:jc w:val="left"/>
        <w:rPr>
          <w:sz w:val="20"/>
        </w:rPr>
      </w:pPr>
      <w:r>
        <w:rPr>
          <w:sz w:val="20"/>
        </w:rPr>
        <w:t>The New </w:t>
      </w:r>
      <w:r>
        <w:rPr>
          <w:spacing w:val="-5"/>
          <w:sz w:val="20"/>
        </w:rPr>
        <w:t>York </w:t>
      </w:r>
      <w:r>
        <w:rPr>
          <w:spacing w:val="-3"/>
          <w:sz w:val="20"/>
        </w:rPr>
        <w:t>State </w:t>
      </w:r>
      <w:r>
        <w:rPr>
          <w:sz w:val="20"/>
        </w:rPr>
        <w:t>Court’s </w:t>
      </w:r>
      <w:r>
        <w:rPr>
          <w:spacing w:val="-3"/>
          <w:sz w:val="20"/>
        </w:rPr>
        <w:t>website </w:t>
      </w:r>
      <w:r>
        <w:rPr>
          <w:sz w:val="20"/>
        </w:rPr>
        <w:t>lists additional accommodations,</w:t>
      </w:r>
      <w:r>
        <w:rPr>
          <w:spacing w:val="-38"/>
          <w:sz w:val="20"/>
        </w:rPr>
        <w:t> </w:t>
      </w:r>
      <w:r>
        <w:rPr>
          <w:sz w:val="20"/>
        </w:rPr>
        <w:t>including:</w:t>
      </w:r>
    </w:p>
    <w:p>
      <w:pPr>
        <w:pStyle w:val="ListParagraph"/>
        <w:numPr>
          <w:ilvl w:val="2"/>
          <w:numId w:val="12"/>
        </w:numPr>
        <w:tabs>
          <w:tab w:pos="2157" w:val="left" w:leader="none"/>
          <w:tab w:pos="2158" w:val="left" w:leader="none"/>
        </w:tabs>
        <w:spacing w:line="240" w:lineRule="auto" w:before="82" w:after="0"/>
        <w:ind w:left="2157" w:right="0" w:hanging="396"/>
        <w:jc w:val="left"/>
        <w:rPr>
          <w:sz w:val="20"/>
        </w:rPr>
      </w:pPr>
      <w:r>
        <w:rPr>
          <w:sz w:val="20"/>
        </w:rPr>
        <w:t>copies</w:t>
      </w:r>
      <w:r>
        <w:rPr>
          <w:spacing w:val="-6"/>
          <w:sz w:val="20"/>
        </w:rPr>
        <w:t> </w:t>
      </w:r>
      <w:r>
        <w:rPr>
          <w:sz w:val="20"/>
        </w:rPr>
        <w:t>of</w:t>
      </w:r>
      <w:r>
        <w:rPr>
          <w:spacing w:val="-6"/>
          <w:sz w:val="20"/>
        </w:rPr>
        <w:t> </w:t>
      </w:r>
      <w:r>
        <w:rPr>
          <w:sz w:val="20"/>
        </w:rPr>
        <w:t>documents</w:t>
      </w:r>
      <w:r>
        <w:rPr>
          <w:spacing w:val="-5"/>
          <w:sz w:val="20"/>
        </w:rPr>
        <w:t> </w:t>
      </w:r>
      <w:r>
        <w:rPr>
          <w:sz w:val="20"/>
        </w:rPr>
        <w:t>in</w:t>
      </w:r>
      <w:r>
        <w:rPr>
          <w:spacing w:val="-6"/>
          <w:sz w:val="20"/>
        </w:rPr>
        <w:t> </w:t>
      </w:r>
      <w:r>
        <w:rPr>
          <w:sz w:val="20"/>
        </w:rPr>
        <w:t>large</w:t>
      </w:r>
      <w:r>
        <w:rPr>
          <w:spacing w:val="-6"/>
          <w:sz w:val="20"/>
        </w:rPr>
        <w:t> </w:t>
      </w:r>
      <w:r>
        <w:rPr>
          <w:sz w:val="20"/>
        </w:rPr>
        <w:t>print,</w:t>
      </w:r>
      <w:r>
        <w:rPr>
          <w:spacing w:val="-5"/>
          <w:sz w:val="20"/>
        </w:rPr>
        <w:t> </w:t>
      </w:r>
      <w:r>
        <w:rPr>
          <w:sz w:val="20"/>
        </w:rPr>
        <w:t>Braille,</w:t>
      </w:r>
      <w:r>
        <w:rPr>
          <w:spacing w:val="-6"/>
          <w:sz w:val="20"/>
        </w:rPr>
        <w:t> </w:t>
      </w:r>
      <w:r>
        <w:rPr>
          <w:sz w:val="20"/>
        </w:rPr>
        <w:t>screen</w:t>
      </w:r>
      <w:r>
        <w:rPr>
          <w:spacing w:val="-6"/>
          <w:sz w:val="20"/>
        </w:rPr>
        <w:t> </w:t>
      </w:r>
      <w:r>
        <w:rPr>
          <w:spacing w:val="-3"/>
          <w:sz w:val="20"/>
        </w:rPr>
        <w:t>readable</w:t>
      </w:r>
      <w:r>
        <w:rPr>
          <w:spacing w:val="-5"/>
          <w:sz w:val="20"/>
        </w:rPr>
        <w:t> </w:t>
      </w:r>
      <w:r>
        <w:rPr>
          <w:sz w:val="20"/>
        </w:rPr>
        <w:t>or</w:t>
      </w:r>
      <w:r>
        <w:rPr>
          <w:spacing w:val="-6"/>
          <w:sz w:val="20"/>
        </w:rPr>
        <w:t> </w:t>
      </w:r>
      <w:r>
        <w:rPr>
          <w:sz w:val="20"/>
        </w:rPr>
        <w:t>audio</w:t>
      </w:r>
      <w:r>
        <w:rPr>
          <w:spacing w:val="-6"/>
          <w:sz w:val="20"/>
        </w:rPr>
        <w:t> </w:t>
      </w:r>
      <w:r>
        <w:rPr>
          <w:sz w:val="20"/>
        </w:rPr>
        <w:t>formats</w:t>
      </w:r>
    </w:p>
    <w:p>
      <w:pPr>
        <w:pStyle w:val="ListParagraph"/>
        <w:numPr>
          <w:ilvl w:val="2"/>
          <w:numId w:val="12"/>
        </w:numPr>
        <w:tabs>
          <w:tab w:pos="2157" w:val="left" w:leader="none"/>
          <w:tab w:pos="2158" w:val="left" w:leader="none"/>
        </w:tabs>
        <w:spacing w:line="259" w:lineRule="exact" w:before="48" w:after="0"/>
        <w:ind w:left="2157" w:right="0" w:hanging="396"/>
        <w:jc w:val="left"/>
        <w:rPr>
          <w:sz w:val="20"/>
        </w:rPr>
      </w:pPr>
      <w:r>
        <w:rPr>
          <w:sz w:val="20"/>
        </w:rPr>
        <w:t>making</w:t>
      </w:r>
      <w:r>
        <w:rPr>
          <w:spacing w:val="-7"/>
          <w:sz w:val="20"/>
        </w:rPr>
        <w:t> </w:t>
      </w:r>
      <w:r>
        <w:rPr>
          <w:sz w:val="20"/>
        </w:rPr>
        <w:t>reasonable</w:t>
      </w:r>
      <w:r>
        <w:rPr>
          <w:spacing w:val="-6"/>
          <w:sz w:val="20"/>
        </w:rPr>
        <w:t> </w:t>
      </w:r>
      <w:r>
        <w:rPr>
          <w:sz w:val="20"/>
        </w:rPr>
        <w:t>modifications</w:t>
      </w:r>
      <w:r>
        <w:rPr>
          <w:spacing w:val="-7"/>
          <w:sz w:val="20"/>
        </w:rPr>
        <w:t> </w:t>
      </w:r>
      <w:r>
        <w:rPr>
          <w:sz w:val="20"/>
        </w:rPr>
        <w:t>in</w:t>
      </w:r>
      <w:r>
        <w:rPr>
          <w:spacing w:val="-6"/>
          <w:sz w:val="20"/>
        </w:rPr>
        <w:t> </w:t>
      </w:r>
      <w:r>
        <w:rPr>
          <w:sz w:val="20"/>
        </w:rPr>
        <w:t>practices</w:t>
      </w:r>
      <w:r>
        <w:rPr>
          <w:spacing w:val="-6"/>
          <w:sz w:val="20"/>
        </w:rPr>
        <w:t> </w:t>
      </w:r>
      <w:r>
        <w:rPr>
          <w:sz w:val="20"/>
        </w:rPr>
        <w:t>or</w:t>
      </w:r>
      <w:r>
        <w:rPr>
          <w:spacing w:val="-7"/>
          <w:sz w:val="20"/>
        </w:rPr>
        <w:t> </w:t>
      </w:r>
      <w:r>
        <w:rPr>
          <w:sz w:val="20"/>
        </w:rPr>
        <w:t>procedures,</w:t>
      </w:r>
      <w:r>
        <w:rPr>
          <w:spacing w:val="-6"/>
          <w:sz w:val="20"/>
        </w:rPr>
        <w:t> </w:t>
      </w:r>
      <w:r>
        <w:rPr>
          <w:sz w:val="20"/>
        </w:rPr>
        <w:t>including,</w:t>
      </w:r>
      <w:r>
        <w:rPr>
          <w:spacing w:val="-6"/>
          <w:sz w:val="20"/>
        </w:rPr>
        <w:t> </w:t>
      </w:r>
      <w:r>
        <w:rPr>
          <w:sz w:val="20"/>
        </w:rPr>
        <w:t>for</w:t>
      </w:r>
    </w:p>
    <w:p>
      <w:pPr>
        <w:pStyle w:val="BodyText"/>
        <w:spacing w:line="259" w:lineRule="exact"/>
        <w:ind w:left="2157"/>
      </w:pPr>
      <w:r>
        <w:rPr/>
        <w:t>example:</w:t>
      </w:r>
    </w:p>
    <w:p>
      <w:pPr>
        <w:pStyle w:val="ListParagraph"/>
        <w:numPr>
          <w:ilvl w:val="3"/>
          <w:numId w:val="12"/>
        </w:numPr>
        <w:tabs>
          <w:tab w:pos="2497" w:val="left" w:leader="none"/>
          <w:tab w:pos="2499" w:val="left" w:leader="none"/>
        </w:tabs>
        <w:spacing w:line="206" w:lineRule="auto" w:before="79" w:after="0"/>
        <w:ind w:left="2498" w:right="1214" w:hanging="397"/>
        <w:jc w:val="left"/>
        <w:rPr>
          <w:sz w:val="20"/>
        </w:rPr>
      </w:pPr>
      <w:r>
        <w:rPr>
          <w:sz w:val="20"/>
        </w:rPr>
        <w:t>relocating</w:t>
      </w:r>
      <w:r>
        <w:rPr>
          <w:spacing w:val="-4"/>
          <w:sz w:val="20"/>
        </w:rPr>
        <w:t> </w:t>
      </w:r>
      <w:r>
        <w:rPr>
          <w:sz w:val="20"/>
        </w:rPr>
        <w:t>a</w:t>
      </w:r>
      <w:r>
        <w:rPr>
          <w:spacing w:val="-4"/>
          <w:sz w:val="20"/>
        </w:rPr>
        <w:t> </w:t>
      </w:r>
      <w:r>
        <w:rPr>
          <w:sz w:val="20"/>
        </w:rPr>
        <w:t>proceeding</w:t>
      </w:r>
      <w:r>
        <w:rPr>
          <w:spacing w:val="-3"/>
          <w:sz w:val="20"/>
        </w:rPr>
        <w:t> </w:t>
      </w:r>
      <w:r>
        <w:rPr>
          <w:sz w:val="20"/>
        </w:rPr>
        <w:t>to</w:t>
      </w:r>
      <w:r>
        <w:rPr>
          <w:spacing w:val="-4"/>
          <w:sz w:val="20"/>
        </w:rPr>
        <w:t> </w:t>
      </w:r>
      <w:r>
        <w:rPr>
          <w:sz w:val="20"/>
        </w:rPr>
        <w:t>a</w:t>
      </w:r>
      <w:r>
        <w:rPr>
          <w:spacing w:val="-3"/>
          <w:sz w:val="20"/>
        </w:rPr>
        <w:t> </w:t>
      </w:r>
      <w:r>
        <w:rPr>
          <w:sz w:val="20"/>
        </w:rPr>
        <w:t>physically</w:t>
      </w:r>
      <w:r>
        <w:rPr>
          <w:spacing w:val="-9"/>
          <w:sz w:val="20"/>
        </w:rPr>
        <w:t> </w:t>
      </w:r>
      <w:r>
        <w:rPr>
          <w:sz w:val="20"/>
        </w:rPr>
        <w:t>accessible</w:t>
      </w:r>
      <w:r>
        <w:rPr>
          <w:spacing w:val="-4"/>
          <w:sz w:val="20"/>
        </w:rPr>
        <w:t> </w:t>
      </w:r>
      <w:r>
        <w:rPr>
          <w:sz w:val="20"/>
        </w:rPr>
        <w:t>courtroom</w:t>
      </w:r>
      <w:r>
        <w:rPr>
          <w:spacing w:val="-3"/>
          <w:sz w:val="20"/>
        </w:rPr>
        <w:t> </w:t>
      </w:r>
      <w:r>
        <w:rPr>
          <w:sz w:val="20"/>
        </w:rPr>
        <w:t>for</w:t>
      </w:r>
      <w:r>
        <w:rPr>
          <w:spacing w:val="-9"/>
          <w:sz w:val="20"/>
        </w:rPr>
        <w:t> </w:t>
      </w:r>
      <w:r>
        <w:rPr>
          <w:sz w:val="20"/>
        </w:rPr>
        <w:t>a</w:t>
      </w:r>
      <w:r>
        <w:rPr>
          <w:spacing w:val="-3"/>
          <w:sz w:val="20"/>
        </w:rPr>
        <w:t> </w:t>
      </w:r>
      <w:r>
        <w:rPr>
          <w:sz w:val="20"/>
        </w:rPr>
        <w:t>person</w:t>
      </w:r>
      <w:r>
        <w:rPr>
          <w:spacing w:val="-9"/>
          <w:sz w:val="20"/>
        </w:rPr>
        <w:t> </w:t>
      </w:r>
      <w:r>
        <w:rPr>
          <w:sz w:val="20"/>
        </w:rPr>
        <w:t>with a mobility</w:t>
      </w:r>
      <w:r>
        <w:rPr>
          <w:spacing w:val="-7"/>
          <w:sz w:val="20"/>
        </w:rPr>
        <w:t> </w:t>
      </w:r>
      <w:r>
        <w:rPr>
          <w:sz w:val="20"/>
        </w:rPr>
        <w:t>impairment</w:t>
      </w:r>
    </w:p>
    <w:p>
      <w:pPr>
        <w:pStyle w:val="ListParagraph"/>
        <w:numPr>
          <w:ilvl w:val="3"/>
          <w:numId w:val="12"/>
        </w:numPr>
        <w:tabs>
          <w:tab w:pos="2497" w:val="left" w:leader="none"/>
          <w:tab w:pos="2499" w:val="left" w:leader="none"/>
        </w:tabs>
        <w:spacing w:line="240" w:lineRule="auto" w:before="56" w:after="0"/>
        <w:ind w:left="2498" w:right="0" w:hanging="397"/>
        <w:jc w:val="left"/>
        <w:rPr>
          <w:sz w:val="20"/>
        </w:rPr>
      </w:pPr>
      <w:r>
        <w:rPr>
          <w:sz w:val="20"/>
        </w:rPr>
        <w:t>filling</w:t>
      </w:r>
      <w:r>
        <w:rPr>
          <w:spacing w:val="-1"/>
          <w:sz w:val="20"/>
        </w:rPr>
        <w:t> </w:t>
      </w:r>
      <w:r>
        <w:rPr>
          <w:sz w:val="20"/>
        </w:rPr>
        <w:t>out</w:t>
      </w:r>
      <w:r>
        <w:rPr>
          <w:spacing w:val="-1"/>
          <w:sz w:val="20"/>
        </w:rPr>
        <w:t> </w:t>
      </w:r>
      <w:r>
        <w:rPr>
          <w:sz w:val="20"/>
        </w:rPr>
        <w:t>a</w:t>
      </w:r>
      <w:r>
        <w:rPr>
          <w:spacing w:val="-1"/>
          <w:sz w:val="20"/>
        </w:rPr>
        <w:t> </w:t>
      </w:r>
      <w:r>
        <w:rPr>
          <w:sz w:val="20"/>
        </w:rPr>
        <w:t>court</w:t>
      </w:r>
      <w:r>
        <w:rPr>
          <w:spacing w:val="-1"/>
          <w:sz w:val="20"/>
        </w:rPr>
        <w:t> </w:t>
      </w:r>
      <w:r>
        <w:rPr>
          <w:sz w:val="20"/>
        </w:rPr>
        <w:t>form for</w:t>
      </w:r>
      <w:r>
        <w:rPr>
          <w:spacing w:val="-6"/>
          <w:sz w:val="20"/>
        </w:rPr>
        <w:t> </w:t>
      </w:r>
      <w:r>
        <w:rPr>
          <w:sz w:val="20"/>
        </w:rPr>
        <w:t>a</w:t>
      </w:r>
      <w:r>
        <w:rPr>
          <w:spacing w:val="-1"/>
          <w:sz w:val="20"/>
        </w:rPr>
        <w:t> </w:t>
      </w:r>
      <w:r>
        <w:rPr>
          <w:sz w:val="20"/>
        </w:rPr>
        <w:t>person</w:t>
      </w:r>
      <w:r>
        <w:rPr>
          <w:spacing w:val="-7"/>
          <w:sz w:val="20"/>
        </w:rPr>
        <w:t> </w:t>
      </w:r>
      <w:r>
        <w:rPr>
          <w:sz w:val="20"/>
        </w:rPr>
        <w:t>with an</w:t>
      </w:r>
      <w:r>
        <w:rPr>
          <w:spacing w:val="-1"/>
          <w:sz w:val="20"/>
        </w:rPr>
        <w:t> </w:t>
      </w:r>
      <w:r>
        <w:rPr>
          <w:sz w:val="20"/>
        </w:rPr>
        <w:t>impaired</w:t>
      </w:r>
      <w:r>
        <w:rPr>
          <w:spacing w:val="-1"/>
          <w:sz w:val="20"/>
        </w:rPr>
        <w:t> </w:t>
      </w:r>
      <w:r>
        <w:rPr>
          <w:sz w:val="20"/>
        </w:rPr>
        <w:t>ability</w:t>
      </w:r>
      <w:r>
        <w:rPr>
          <w:spacing w:val="-7"/>
          <w:sz w:val="20"/>
        </w:rPr>
        <w:t> </w:t>
      </w:r>
      <w:r>
        <w:rPr>
          <w:sz w:val="20"/>
        </w:rPr>
        <w:t>to</w:t>
      </w:r>
      <w:r>
        <w:rPr>
          <w:spacing w:val="-6"/>
          <w:sz w:val="20"/>
        </w:rPr>
        <w:t> </w:t>
      </w:r>
      <w:r>
        <w:rPr>
          <w:sz w:val="20"/>
        </w:rPr>
        <w:t>write</w:t>
      </w:r>
      <w:r>
        <w:rPr>
          <w:spacing w:val="-1"/>
          <w:sz w:val="20"/>
        </w:rPr>
        <w:t> </w:t>
      </w:r>
      <w:r>
        <w:rPr>
          <w:sz w:val="20"/>
        </w:rPr>
        <w:t>by</w:t>
      </w:r>
      <w:r>
        <w:rPr>
          <w:spacing w:val="-7"/>
          <w:sz w:val="20"/>
        </w:rPr>
        <w:t> </w:t>
      </w:r>
      <w:r>
        <w:rPr>
          <w:sz w:val="20"/>
        </w:rPr>
        <w:t>hand</w:t>
      </w:r>
    </w:p>
    <w:p>
      <w:pPr>
        <w:pStyle w:val="ListParagraph"/>
        <w:numPr>
          <w:ilvl w:val="3"/>
          <w:numId w:val="12"/>
        </w:numPr>
        <w:tabs>
          <w:tab w:pos="2497" w:val="left" w:leader="none"/>
          <w:tab w:pos="2499" w:val="left" w:leader="none"/>
        </w:tabs>
        <w:spacing w:line="259" w:lineRule="exact" w:before="47" w:after="0"/>
        <w:ind w:left="2498" w:right="0" w:hanging="397"/>
        <w:jc w:val="left"/>
        <w:rPr>
          <w:sz w:val="20"/>
        </w:rPr>
      </w:pPr>
      <w:r>
        <w:rPr>
          <w:sz w:val="20"/>
        </w:rPr>
        <w:t>permitting the use of a service animal by a person who is blind or</w:t>
      </w:r>
      <w:r>
        <w:rPr>
          <w:spacing w:val="-33"/>
          <w:sz w:val="20"/>
        </w:rPr>
        <w:t> </w:t>
      </w:r>
      <w:r>
        <w:rPr>
          <w:sz w:val="20"/>
        </w:rPr>
        <w:t>otherwise</w:t>
      </w:r>
    </w:p>
    <w:p>
      <w:pPr>
        <w:pStyle w:val="BodyText"/>
        <w:spacing w:line="259" w:lineRule="exact"/>
        <w:ind w:left="2498"/>
      </w:pPr>
      <w:r>
        <w:rPr/>
        <w:t>relies on a dog trained to do work or perform a task</w:t>
      </w:r>
    </w:p>
    <w:p>
      <w:pPr>
        <w:pStyle w:val="ListParagraph"/>
        <w:numPr>
          <w:ilvl w:val="3"/>
          <w:numId w:val="12"/>
        </w:numPr>
        <w:tabs>
          <w:tab w:pos="2497" w:val="left" w:leader="none"/>
          <w:tab w:pos="2499" w:val="left" w:leader="none"/>
        </w:tabs>
        <w:spacing w:line="259" w:lineRule="exact" w:before="47" w:after="0"/>
        <w:ind w:left="2498" w:right="0" w:hanging="397"/>
        <w:jc w:val="left"/>
        <w:rPr>
          <w:sz w:val="20"/>
        </w:rPr>
      </w:pPr>
      <w:r>
        <w:rPr>
          <w:sz w:val="20"/>
        </w:rPr>
        <w:t>reasonable modifications to courtroom practices and procedure made by</w:t>
      </w:r>
      <w:r>
        <w:rPr>
          <w:spacing w:val="-15"/>
          <w:sz w:val="20"/>
        </w:rPr>
        <w:t> </w:t>
      </w:r>
      <w:r>
        <w:rPr>
          <w:sz w:val="20"/>
        </w:rPr>
        <w:t>a</w:t>
      </w:r>
    </w:p>
    <w:p>
      <w:pPr>
        <w:pStyle w:val="BodyText"/>
        <w:spacing w:line="259" w:lineRule="exact"/>
        <w:ind w:left="2498"/>
        <w:rPr>
          <w:sz w:val="11"/>
        </w:rPr>
      </w:pPr>
      <w:r>
        <w:rPr/>
        <w:t>judge presiding over a matter.</w:t>
      </w:r>
      <w:r>
        <w:rPr>
          <w:position w:val="7"/>
          <w:sz w:val="11"/>
        </w:rPr>
        <w:t>32</w:t>
      </w:r>
    </w:p>
    <w:p>
      <w:pPr>
        <w:pStyle w:val="BodyText"/>
        <w:spacing w:before="1"/>
        <w:rPr>
          <w:sz w:val="23"/>
        </w:rPr>
      </w:pPr>
    </w:p>
    <w:p>
      <w:pPr>
        <w:pStyle w:val="ListParagraph"/>
        <w:numPr>
          <w:ilvl w:val="1"/>
          <w:numId w:val="12"/>
        </w:numPr>
        <w:tabs>
          <w:tab w:pos="1761" w:val="left" w:leader="none"/>
          <w:tab w:pos="1762" w:val="left" w:leader="none"/>
        </w:tabs>
        <w:spacing w:line="206" w:lineRule="auto" w:before="0" w:after="0"/>
        <w:ind w:left="1761" w:right="1369" w:hanging="794"/>
        <w:jc w:val="left"/>
        <w:rPr>
          <w:sz w:val="11"/>
        </w:rPr>
      </w:pPr>
      <w:r>
        <w:rPr>
          <w:sz w:val="20"/>
        </w:rPr>
        <w:t>Numerous</w:t>
      </w:r>
      <w:r>
        <w:rPr>
          <w:spacing w:val="-14"/>
          <w:sz w:val="20"/>
        </w:rPr>
        <w:t> </w:t>
      </w:r>
      <w:r>
        <w:rPr>
          <w:sz w:val="20"/>
        </w:rPr>
        <w:t>United</w:t>
      </w:r>
      <w:r>
        <w:rPr>
          <w:spacing w:val="-13"/>
          <w:sz w:val="20"/>
        </w:rPr>
        <w:t> </w:t>
      </w:r>
      <w:r>
        <w:rPr>
          <w:spacing w:val="-3"/>
          <w:sz w:val="20"/>
        </w:rPr>
        <w:t>States</w:t>
      </w:r>
      <w:r>
        <w:rPr>
          <w:spacing w:val="-13"/>
          <w:sz w:val="20"/>
        </w:rPr>
        <w:t> </w:t>
      </w:r>
      <w:r>
        <w:rPr>
          <w:sz w:val="20"/>
        </w:rPr>
        <w:t>jurisdictions</w:t>
      </w:r>
      <w:r>
        <w:rPr>
          <w:spacing w:val="-14"/>
          <w:sz w:val="20"/>
        </w:rPr>
        <w:t> </w:t>
      </w:r>
      <w:r>
        <w:rPr>
          <w:spacing w:val="-4"/>
          <w:sz w:val="20"/>
        </w:rPr>
        <w:t>have</w:t>
      </w:r>
      <w:r>
        <w:rPr>
          <w:spacing w:val="-13"/>
          <w:sz w:val="20"/>
        </w:rPr>
        <w:t> </w:t>
      </w:r>
      <w:r>
        <w:rPr>
          <w:sz w:val="20"/>
        </w:rPr>
        <w:t>specifically</w:t>
      </w:r>
      <w:r>
        <w:rPr>
          <w:spacing w:val="-13"/>
          <w:sz w:val="20"/>
        </w:rPr>
        <w:t> </w:t>
      </w:r>
      <w:r>
        <w:rPr>
          <w:sz w:val="20"/>
        </w:rPr>
        <w:t>enacted</w:t>
      </w:r>
      <w:r>
        <w:rPr>
          <w:spacing w:val="-13"/>
          <w:sz w:val="20"/>
        </w:rPr>
        <w:t> </w:t>
      </w:r>
      <w:r>
        <w:rPr>
          <w:sz w:val="20"/>
        </w:rPr>
        <w:t>the</w:t>
      </w:r>
      <w:r>
        <w:rPr>
          <w:spacing w:val="-14"/>
          <w:sz w:val="20"/>
        </w:rPr>
        <w:t> </w:t>
      </w:r>
      <w:r>
        <w:rPr>
          <w:sz w:val="20"/>
        </w:rPr>
        <w:t>right</w:t>
      </w:r>
      <w:r>
        <w:rPr>
          <w:spacing w:val="-13"/>
          <w:sz w:val="20"/>
        </w:rPr>
        <w:t> </w:t>
      </w:r>
      <w:r>
        <w:rPr>
          <w:sz w:val="20"/>
        </w:rPr>
        <w:t>of</w:t>
      </w:r>
      <w:r>
        <w:rPr>
          <w:spacing w:val="-13"/>
          <w:sz w:val="20"/>
        </w:rPr>
        <w:t> </w:t>
      </w:r>
      <w:r>
        <w:rPr>
          <w:sz w:val="20"/>
        </w:rPr>
        <w:t>individuals with disability to serve on juries, </w:t>
      </w:r>
      <w:r>
        <w:rPr>
          <w:spacing w:val="-3"/>
          <w:sz w:val="20"/>
        </w:rPr>
        <w:t>explicitly </w:t>
      </w:r>
      <w:r>
        <w:rPr>
          <w:sz w:val="20"/>
        </w:rPr>
        <w:t>including deaf people. They </w:t>
      </w:r>
      <w:r>
        <w:rPr>
          <w:spacing w:val="-3"/>
          <w:sz w:val="20"/>
        </w:rPr>
        <w:t>require </w:t>
      </w:r>
      <w:r>
        <w:rPr>
          <w:sz w:val="20"/>
        </w:rPr>
        <w:t>the </w:t>
      </w:r>
      <w:r>
        <w:rPr>
          <w:spacing w:val="-3"/>
          <w:sz w:val="20"/>
        </w:rPr>
        <w:t>provision </w:t>
      </w:r>
      <w:r>
        <w:rPr>
          <w:sz w:val="20"/>
        </w:rPr>
        <w:t>of accommodations, including court-appointed and funded sign language </w:t>
      </w:r>
      <w:r>
        <w:rPr>
          <w:spacing w:val="-3"/>
          <w:sz w:val="20"/>
        </w:rPr>
        <w:t>interpreters, </w:t>
      </w:r>
      <w:r>
        <w:rPr>
          <w:sz w:val="20"/>
        </w:rPr>
        <w:t>and </w:t>
      </w:r>
      <w:r>
        <w:rPr>
          <w:spacing w:val="-4"/>
          <w:sz w:val="20"/>
        </w:rPr>
        <w:t>have </w:t>
      </w:r>
      <w:r>
        <w:rPr>
          <w:spacing w:val="-3"/>
          <w:sz w:val="20"/>
        </w:rPr>
        <w:t>developed </w:t>
      </w:r>
      <w:r>
        <w:rPr>
          <w:sz w:val="20"/>
        </w:rPr>
        <w:t>policies and guidelines to this effect. </w:t>
      </w:r>
      <w:r>
        <w:rPr>
          <w:spacing w:val="-3"/>
          <w:sz w:val="20"/>
        </w:rPr>
        <w:t>Additionally, many </w:t>
      </w:r>
      <w:r>
        <w:rPr>
          <w:sz w:val="20"/>
        </w:rPr>
        <w:t>state and local courts </w:t>
      </w:r>
      <w:r>
        <w:rPr>
          <w:spacing w:val="-4"/>
          <w:sz w:val="20"/>
        </w:rPr>
        <w:t>have </w:t>
      </w:r>
      <w:r>
        <w:rPr>
          <w:spacing w:val="-3"/>
          <w:sz w:val="20"/>
        </w:rPr>
        <w:t>entered into </w:t>
      </w:r>
      <w:r>
        <w:rPr>
          <w:sz w:val="20"/>
        </w:rPr>
        <w:t>formal and informal ‘settlement agreements’ to </w:t>
      </w:r>
      <w:r>
        <w:rPr>
          <w:spacing w:val="-3"/>
          <w:sz w:val="20"/>
        </w:rPr>
        <w:t>provide </w:t>
      </w:r>
      <w:r>
        <w:rPr>
          <w:sz w:val="20"/>
        </w:rPr>
        <w:t>accommodations and supports for people with disabilities, in order</w:t>
      </w:r>
      <w:r>
        <w:rPr>
          <w:spacing w:val="-9"/>
          <w:sz w:val="20"/>
        </w:rPr>
        <w:t> </w:t>
      </w:r>
      <w:r>
        <w:rPr>
          <w:sz w:val="20"/>
        </w:rPr>
        <w:t>to</w:t>
      </w:r>
      <w:r>
        <w:rPr>
          <w:spacing w:val="-8"/>
          <w:sz w:val="20"/>
        </w:rPr>
        <w:t> </w:t>
      </w:r>
      <w:r>
        <w:rPr>
          <w:spacing w:val="-3"/>
          <w:sz w:val="20"/>
        </w:rPr>
        <w:t>comply</w:t>
      </w:r>
      <w:r>
        <w:rPr>
          <w:spacing w:val="-8"/>
          <w:sz w:val="20"/>
        </w:rPr>
        <w:t> </w:t>
      </w:r>
      <w:r>
        <w:rPr>
          <w:sz w:val="20"/>
        </w:rPr>
        <w:t>with</w:t>
      </w:r>
      <w:r>
        <w:rPr>
          <w:spacing w:val="-8"/>
          <w:sz w:val="20"/>
        </w:rPr>
        <w:t> </w:t>
      </w:r>
      <w:r>
        <w:rPr>
          <w:sz w:val="20"/>
        </w:rPr>
        <w:t>the</w:t>
      </w:r>
      <w:r>
        <w:rPr>
          <w:spacing w:val="-8"/>
          <w:sz w:val="20"/>
        </w:rPr>
        <w:t> </w:t>
      </w:r>
      <w:r>
        <w:rPr>
          <w:sz w:val="20"/>
        </w:rPr>
        <w:t>ADA.</w:t>
      </w:r>
      <w:r>
        <w:rPr>
          <w:spacing w:val="-9"/>
          <w:sz w:val="20"/>
        </w:rPr>
        <w:t> </w:t>
      </w:r>
      <w:r>
        <w:rPr>
          <w:sz w:val="20"/>
        </w:rPr>
        <w:t>Some</w:t>
      </w:r>
      <w:r>
        <w:rPr>
          <w:spacing w:val="-8"/>
          <w:sz w:val="20"/>
        </w:rPr>
        <w:t> </w:t>
      </w:r>
      <w:r>
        <w:rPr>
          <w:sz w:val="20"/>
        </w:rPr>
        <w:t>states</w:t>
      </w:r>
      <w:r>
        <w:rPr>
          <w:spacing w:val="-8"/>
          <w:sz w:val="20"/>
        </w:rPr>
        <w:t> </w:t>
      </w:r>
      <w:r>
        <w:rPr>
          <w:sz w:val="20"/>
        </w:rPr>
        <w:t>also</w:t>
      </w:r>
      <w:r>
        <w:rPr>
          <w:spacing w:val="-8"/>
          <w:sz w:val="20"/>
        </w:rPr>
        <w:t> </w:t>
      </w:r>
      <w:r>
        <w:rPr>
          <w:spacing w:val="-3"/>
          <w:sz w:val="20"/>
        </w:rPr>
        <w:t>provide</w:t>
      </w:r>
      <w:r>
        <w:rPr>
          <w:spacing w:val="-8"/>
          <w:sz w:val="20"/>
        </w:rPr>
        <w:t> </w:t>
      </w:r>
      <w:r>
        <w:rPr>
          <w:sz w:val="20"/>
        </w:rPr>
        <w:t>staff</w:t>
      </w:r>
      <w:r>
        <w:rPr>
          <w:spacing w:val="-8"/>
          <w:sz w:val="20"/>
        </w:rPr>
        <w:t> </w:t>
      </w:r>
      <w:r>
        <w:rPr>
          <w:sz w:val="20"/>
        </w:rPr>
        <w:t>training</w:t>
      </w:r>
      <w:r>
        <w:rPr>
          <w:spacing w:val="-9"/>
          <w:sz w:val="20"/>
        </w:rPr>
        <w:t> </w:t>
      </w:r>
      <w:r>
        <w:rPr>
          <w:sz w:val="20"/>
        </w:rPr>
        <w:t>on</w:t>
      </w:r>
      <w:r>
        <w:rPr>
          <w:spacing w:val="-8"/>
          <w:sz w:val="20"/>
        </w:rPr>
        <w:t> </w:t>
      </w:r>
      <w:r>
        <w:rPr>
          <w:sz w:val="20"/>
        </w:rPr>
        <w:t>disability.</w:t>
      </w:r>
      <w:r>
        <w:rPr>
          <w:position w:val="7"/>
          <w:sz w:val="11"/>
        </w:rPr>
        <w:t>33</w:t>
      </w:r>
    </w:p>
    <w:p>
      <w:pPr>
        <w:pStyle w:val="ListParagraph"/>
        <w:numPr>
          <w:ilvl w:val="1"/>
          <w:numId w:val="12"/>
        </w:numPr>
        <w:tabs>
          <w:tab w:pos="1761" w:val="left" w:leader="none"/>
          <w:tab w:pos="1762" w:val="left" w:leader="none"/>
        </w:tabs>
        <w:spacing w:line="206" w:lineRule="auto" w:before="129" w:after="0"/>
        <w:ind w:left="1761" w:right="1451" w:hanging="794"/>
        <w:jc w:val="left"/>
        <w:rPr>
          <w:sz w:val="11"/>
        </w:rPr>
      </w:pPr>
      <w:r>
        <w:rPr>
          <w:sz w:val="20"/>
        </w:rPr>
        <w:t>In the United States, the 13th person rule has been held not to extend to a sign language </w:t>
      </w:r>
      <w:r>
        <w:rPr>
          <w:spacing w:val="-4"/>
          <w:sz w:val="20"/>
        </w:rPr>
        <w:t>interpreter. </w:t>
      </w:r>
      <w:r>
        <w:rPr>
          <w:sz w:val="20"/>
        </w:rPr>
        <w:t>In </w:t>
      </w:r>
      <w:r>
        <w:rPr>
          <w:i/>
          <w:sz w:val="20"/>
        </w:rPr>
        <w:t>People v Guzman </w:t>
      </w:r>
      <w:r>
        <w:rPr>
          <w:sz w:val="20"/>
        </w:rPr>
        <w:t>it was held that the rule applies to officers of the court such as bailiffs, judges, or counsel, but ‘the presence of the signer is a different</w:t>
      </w:r>
      <w:r>
        <w:rPr>
          <w:spacing w:val="-9"/>
          <w:sz w:val="20"/>
        </w:rPr>
        <w:t> </w:t>
      </w:r>
      <w:r>
        <w:rPr>
          <w:sz w:val="20"/>
        </w:rPr>
        <w:t>matter</w:t>
      </w:r>
      <w:r>
        <w:rPr>
          <w:spacing w:val="-9"/>
          <w:sz w:val="20"/>
        </w:rPr>
        <w:t> </w:t>
      </w:r>
      <w:r>
        <w:rPr>
          <w:spacing w:val="-3"/>
          <w:sz w:val="20"/>
        </w:rPr>
        <w:t>entirely’</w:t>
      </w:r>
      <w:r>
        <w:rPr>
          <w:spacing w:val="-3"/>
          <w:position w:val="7"/>
          <w:sz w:val="11"/>
        </w:rPr>
        <w:t>34</w:t>
      </w:r>
      <w:r>
        <w:rPr>
          <w:spacing w:val="16"/>
          <w:position w:val="7"/>
          <w:sz w:val="11"/>
        </w:rPr>
        <w:t> </w:t>
      </w:r>
      <w:r>
        <w:rPr>
          <w:sz w:val="20"/>
        </w:rPr>
        <w:t>because</w:t>
      </w:r>
      <w:r>
        <w:rPr>
          <w:spacing w:val="-8"/>
          <w:sz w:val="20"/>
        </w:rPr>
        <w:t> </w:t>
      </w:r>
      <w:r>
        <w:rPr>
          <w:sz w:val="20"/>
        </w:rPr>
        <w:t>‘the</w:t>
      </w:r>
      <w:r>
        <w:rPr>
          <w:spacing w:val="-9"/>
          <w:sz w:val="20"/>
        </w:rPr>
        <w:t> </w:t>
      </w:r>
      <w:r>
        <w:rPr>
          <w:spacing w:val="-3"/>
          <w:sz w:val="20"/>
        </w:rPr>
        <w:t>role</w:t>
      </w:r>
      <w:r>
        <w:rPr>
          <w:spacing w:val="-9"/>
          <w:sz w:val="20"/>
        </w:rPr>
        <w:t> </w:t>
      </w:r>
      <w:r>
        <w:rPr>
          <w:sz w:val="20"/>
        </w:rPr>
        <w:t>of</w:t>
      </w:r>
      <w:r>
        <w:rPr>
          <w:spacing w:val="-9"/>
          <w:sz w:val="20"/>
        </w:rPr>
        <w:t> </w:t>
      </w:r>
      <w:r>
        <w:rPr>
          <w:sz w:val="20"/>
        </w:rPr>
        <w:t>the</w:t>
      </w:r>
      <w:r>
        <w:rPr>
          <w:spacing w:val="-8"/>
          <w:sz w:val="20"/>
        </w:rPr>
        <w:t> </w:t>
      </w:r>
      <w:r>
        <w:rPr>
          <w:sz w:val="20"/>
        </w:rPr>
        <w:t>signer</w:t>
      </w:r>
      <w:r>
        <w:rPr>
          <w:spacing w:val="-9"/>
          <w:sz w:val="20"/>
        </w:rPr>
        <w:t> </w:t>
      </w:r>
      <w:r>
        <w:rPr>
          <w:sz w:val="20"/>
        </w:rPr>
        <w:t>is</w:t>
      </w:r>
      <w:r>
        <w:rPr>
          <w:spacing w:val="-9"/>
          <w:sz w:val="20"/>
        </w:rPr>
        <w:t> </w:t>
      </w:r>
      <w:r>
        <w:rPr>
          <w:sz w:val="20"/>
        </w:rPr>
        <w:t>not</w:t>
      </w:r>
      <w:r>
        <w:rPr>
          <w:spacing w:val="-8"/>
          <w:sz w:val="20"/>
        </w:rPr>
        <w:t> </w:t>
      </w:r>
      <w:r>
        <w:rPr>
          <w:sz w:val="20"/>
        </w:rPr>
        <w:t>that</w:t>
      </w:r>
      <w:r>
        <w:rPr>
          <w:spacing w:val="-9"/>
          <w:sz w:val="20"/>
        </w:rPr>
        <w:t> </w:t>
      </w:r>
      <w:r>
        <w:rPr>
          <w:sz w:val="20"/>
        </w:rPr>
        <w:t>of</w:t>
      </w:r>
      <w:r>
        <w:rPr>
          <w:spacing w:val="-9"/>
          <w:sz w:val="20"/>
        </w:rPr>
        <w:t> </w:t>
      </w:r>
      <w:r>
        <w:rPr>
          <w:sz w:val="20"/>
        </w:rPr>
        <w:t>a</w:t>
      </w:r>
      <w:r>
        <w:rPr>
          <w:spacing w:val="-8"/>
          <w:sz w:val="20"/>
        </w:rPr>
        <w:t> </w:t>
      </w:r>
      <w:r>
        <w:rPr>
          <w:sz w:val="20"/>
        </w:rPr>
        <w:t>participant</w:t>
      </w:r>
      <w:r>
        <w:rPr>
          <w:spacing w:val="-9"/>
          <w:sz w:val="20"/>
        </w:rPr>
        <w:t> </w:t>
      </w:r>
      <w:r>
        <w:rPr>
          <w:sz w:val="20"/>
        </w:rPr>
        <w:t>or an</w:t>
      </w:r>
      <w:r>
        <w:rPr>
          <w:spacing w:val="-7"/>
          <w:sz w:val="20"/>
        </w:rPr>
        <w:t> </w:t>
      </w:r>
      <w:r>
        <w:rPr>
          <w:sz w:val="20"/>
        </w:rPr>
        <w:t>authorized</w:t>
      </w:r>
      <w:r>
        <w:rPr>
          <w:spacing w:val="-7"/>
          <w:sz w:val="20"/>
        </w:rPr>
        <w:t> </w:t>
      </w:r>
      <w:r>
        <w:rPr>
          <w:sz w:val="20"/>
        </w:rPr>
        <w:t>official</w:t>
      </w:r>
      <w:r>
        <w:rPr>
          <w:spacing w:val="-7"/>
          <w:sz w:val="20"/>
        </w:rPr>
        <w:t> </w:t>
      </w:r>
      <w:r>
        <w:rPr>
          <w:sz w:val="20"/>
        </w:rPr>
        <w:t>of</w:t>
      </w:r>
      <w:r>
        <w:rPr>
          <w:spacing w:val="-7"/>
          <w:sz w:val="20"/>
        </w:rPr>
        <w:t> </w:t>
      </w:r>
      <w:r>
        <w:rPr>
          <w:sz w:val="20"/>
        </w:rPr>
        <w:t>the</w:t>
      </w:r>
      <w:r>
        <w:rPr>
          <w:spacing w:val="-6"/>
          <w:sz w:val="20"/>
        </w:rPr>
        <w:t> </w:t>
      </w:r>
      <w:r>
        <w:rPr>
          <w:sz w:val="20"/>
        </w:rPr>
        <w:t>court</w:t>
      </w:r>
      <w:r>
        <w:rPr>
          <w:spacing w:val="-7"/>
          <w:sz w:val="20"/>
        </w:rPr>
        <w:t> </w:t>
      </w:r>
      <w:r>
        <w:rPr>
          <w:sz w:val="20"/>
        </w:rPr>
        <w:t>but</w:t>
      </w:r>
      <w:r>
        <w:rPr>
          <w:spacing w:val="-7"/>
          <w:sz w:val="20"/>
        </w:rPr>
        <w:t> </w:t>
      </w:r>
      <w:r>
        <w:rPr>
          <w:sz w:val="20"/>
        </w:rPr>
        <w:t>is</w:t>
      </w:r>
      <w:r>
        <w:rPr>
          <w:spacing w:val="-7"/>
          <w:sz w:val="20"/>
        </w:rPr>
        <w:t> </w:t>
      </w:r>
      <w:r>
        <w:rPr>
          <w:sz w:val="20"/>
        </w:rPr>
        <w:t>that</w:t>
      </w:r>
      <w:r>
        <w:rPr>
          <w:spacing w:val="-7"/>
          <w:sz w:val="20"/>
        </w:rPr>
        <w:t> </w:t>
      </w:r>
      <w:r>
        <w:rPr>
          <w:sz w:val="20"/>
        </w:rPr>
        <w:t>of</w:t>
      </w:r>
      <w:r>
        <w:rPr>
          <w:spacing w:val="-6"/>
          <w:sz w:val="20"/>
        </w:rPr>
        <w:t> </w:t>
      </w:r>
      <w:r>
        <w:rPr>
          <w:sz w:val="20"/>
        </w:rPr>
        <w:t>a</w:t>
      </w:r>
      <w:r>
        <w:rPr>
          <w:spacing w:val="-7"/>
          <w:sz w:val="20"/>
        </w:rPr>
        <w:t> </w:t>
      </w:r>
      <w:r>
        <w:rPr>
          <w:sz w:val="20"/>
        </w:rPr>
        <w:t>communications</w:t>
      </w:r>
      <w:r>
        <w:rPr>
          <w:spacing w:val="-7"/>
          <w:sz w:val="20"/>
        </w:rPr>
        <w:t> </w:t>
      </w:r>
      <w:r>
        <w:rPr>
          <w:spacing w:val="-3"/>
          <w:sz w:val="20"/>
        </w:rPr>
        <w:t>facilitator’.</w:t>
      </w:r>
      <w:r>
        <w:rPr>
          <w:spacing w:val="-3"/>
          <w:position w:val="7"/>
          <w:sz w:val="11"/>
        </w:rPr>
        <w:t>35</w:t>
      </w:r>
    </w:p>
    <w:p>
      <w:pPr>
        <w:pStyle w:val="ListParagraph"/>
        <w:numPr>
          <w:ilvl w:val="1"/>
          <w:numId w:val="12"/>
        </w:numPr>
        <w:tabs>
          <w:tab w:pos="1761" w:val="left" w:leader="none"/>
          <w:tab w:pos="1762" w:val="left" w:leader="none"/>
        </w:tabs>
        <w:spacing w:line="206" w:lineRule="auto" w:before="126" w:after="0"/>
        <w:ind w:left="1761" w:right="1478" w:hanging="794"/>
        <w:jc w:val="left"/>
        <w:rPr>
          <w:sz w:val="20"/>
        </w:rPr>
      </w:pPr>
      <w:r>
        <w:rPr>
          <w:sz w:val="20"/>
        </w:rPr>
        <w:t>In </w:t>
      </w:r>
      <w:r>
        <w:rPr>
          <w:i/>
          <w:spacing w:val="-3"/>
          <w:sz w:val="20"/>
        </w:rPr>
        <w:t>United States </w:t>
      </w:r>
      <w:r>
        <w:rPr>
          <w:i/>
          <w:sz w:val="20"/>
        </w:rPr>
        <w:t>v </w:t>
      </w:r>
      <w:r>
        <w:rPr>
          <w:i/>
          <w:spacing w:val="-3"/>
          <w:sz w:val="20"/>
        </w:rPr>
        <w:t>Dempsey, </w:t>
      </w:r>
      <w:r>
        <w:rPr>
          <w:sz w:val="20"/>
        </w:rPr>
        <w:t>the court found it no more </w:t>
      </w:r>
      <w:r>
        <w:rPr>
          <w:spacing w:val="-3"/>
          <w:sz w:val="20"/>
        </w:rPr>
        <w:t>likely </w:t>
      </w:r>
      <w:r>
        <w:rPr>
          <w:sz w:val="20"/>
        </w:rPr>
        <w:t>that an </w:t>
      </w:r>
      <w:r>
        <w:rPr>
          <w:spacing w:val="-3"/>
          <w:sz w:val="20"/>
        </w:rPr>
        <w:t>interpreter would</w:t>
      </w:r>
      <w:r>
        <w:rPr>
          <w:spacing w:val="-12"/>
          <w:sz w:val="20"/>
        </w:rPr>
        <w:t> </w:t>
      </w:r>
      <w:r>
        <w:rPr>
          <w:spacing w:val="-4"/>
          <w:sz w:val="20"/>
        </w:rPr>
        <w:t>reveal</w:t>
      </w:r>
      <w:r>
        <w:rPr>
          <w:spacing w:val="-11"/>
          <w:sz w:val="20"/>
        </w:rPr>
        <w:t> </w:t>
      </w:r>
      <w:r>
        <w:rPr>
          <w:sz w:val="20"/>
        </w:rPr>
        <w:t>confidences</w:t>
      </w:r>
      <w:r>
        <w:rPr>
          <w:spacing w:val="-11"/>
          <w:sz w:val="20"/>
        </w:rPr>
        <w:t> </w:t>
      </w:r>
      <w:r>
        <w:rPr>
          <w:sz w:val="20"/>
        </w:rPr>
        <w:t>than</w:t>
      </w:r>
      <w:r>
        <w:rPr>
          <w:spacing w:val="-11"/>
          <w:sz w:val="20"/>
        </w:rPr>
        <w:t> </w:t>
      </w:r>
      <w:r>
        <w:rPr>
          <w:sz w:val="20"/>
        </w:rPr>
        <w:t>the</w:t>
      </w:r>
      <w:r>
        <w:rPr>
          <w:spacing w:val="-12"/>
          <w:sz w:val="20"/>
        </w:rPr>
        <w:t> </w:t>
      </w:r>
      <w:r>
        <w:rPr>
          <w:sz w:val="20"/>
        </w:rPr>
        <w:t>jurors</w:t>
      </w:r>
      <w:r>
        <w:rPr>
          <w:spacing w:val="-11"/>
          <w:sz w:val="20"/>
        </w:rPr>
        <w:t> </w:t>
      </w:r>
      <w:r>
        <w:rPr>
          <w:sz w:val="20"/>
        </w:rPr>
        <w:t>themselves.</w:t>
      </w:r>
      <w:r>
        <w:rPr>
          <w:position w:val="7"/>
          <w:sz w:val="11"/>
        </w:rPr>
        <w:t>36</w:t>
      </w:r>
      <w:r>
        <w:rPr>
          <w:spacing w:val="14"/>
          <w:position w:val="7"/>
          <w:sz w:val="11"/>
        </w:rPr>
        <w:t> </w:t>
      </w:r>
      <w:r>
        <w:rPr>
          <w:sz w:val="20"/>
        </w:rPr>
        <w:t>It</w:t>
      </w:r>
      <w:r>
        <w:rPr>
          <w:spacing w:val="-11"/>
          <w:sz w:val="20"/>
        </w:rPr>
        <w:t> </w:t>
      </w:r>
      <w:r>
        <w:rPr>
          <w:sz w:val="20"/>
        </w:rPr>
        <w:t>held</w:t>
      </w:r>
      <w:r>
        <w:rPr>
          <w:spacing w:val="-12"/>
          <w:sz w:val="20"/>
        </w:rPr>
        <w:t> </w:t>
      </w:r>
      <w:r>
        <w:rPr>
          <w:sz w:val="20"/>
        </w:rPr>
        <w:t>that</w:t>
      </w:r>
      <w:r>
        <w:rPr>
          <w:spacing w:val="-11"/>
          <w:sz w:val="20"/>
        </w:rPr>
        <w:t> </w:t>
      </w:r>
      <w:r>
        <w:rPr>
          <w:sz w:val="20"/>
        </w:rPr>
        <w:t>the</w:t>
      </w:r>
      <w:r>
        <w:rPr>
          <w:spacing w:val="-11"/>
          <w:sz w:val="20"/>
        </w:rPr>
        <w:t> </w:t>
      </w:r>
      <w:r>
        <w:rPr>
          <w:sz w:val="20"/>
        </w:rPr>
        <w:t>sign</w:t>
      </w:r>
      <w:r>
        <w:rPr>
          <w:spacing w:val="-11"/>
          <w:sz w:val="20"/>
        </w:rPr>
        <w:t> </w:t>
      </w:r>
      <w:r>
        <w:rPr>
          <w:sz w:val="20"/>
        </w:rPr>
        <w:t>language </w:t>
      </w:r>
      <w:r>
        <w:rPr>
          <w:spacing w:val="-3"/>
          <w:sz w:val="20"/>
        </w:rPr>
        <w:t>interpreter</w:t>
      </w:r>
      <w:r>
        <w:rPr>
          <w:spacing w:val="-10"/>
          <w:sz w:val="20"/>
        </w:rPr>
        <w:t> </w:t>
      </w:r>
      <w:r>
        <w:rPr>
          <w:sz w:val="20"/>
        </w:rPr>
        <w:t>was</w:t>
      </w:r>
      <w:r>
        <w:rPr>
          <w:spacing w:val="-10"/>
          <w:sz w:val="20"/>
        </w:rPr>
        <w:t> </w:t>
      </w:r>
      <w:r>
        <w:rPr>
          <w:spacing w:val="-3"/>
          <w:sz w:val="20"/>
        </w:rPr>
        <w:t>unlikely</w:t>
      </w:r>
      <w:r>
        <w:rPr>
          <w:spacing w:val="-10"/>
          <w:sz w:val="20"/>
        </w:rPr>
        <w:t> </w:t>
      </w:r>
      <w:r>
        <w:rPr>
          <w:sz w:val="20"/>
        </w:rPr>
        <w:t>to</w:t>
      </w:r>
      <w:r>
        <w:rPr>
          <w:spacing w:val="-10"/>
          <w:sz w:val="20"/>
        </w:rPr>
        <w:t> </w:t>
      </w:r>
      <w:r>
        <w:rPr>
          <w:spacing w:val="-4"/>
          <w:sz w:val="20"/>
        </w:rPr>
        <w:t>have</w:t>
      </w:r>
      <w:r>
        <w:rPr>
          <w:spacing w:val="-10"/>
          <w:sz w:val="20"/>
        </w:rPr>
        <w:t> </w:t>
      </w:r>
      <w:r>
        <w:rPr>
          <w:sz w:val="20"/>
        </w:rPr>
        <w:t>a</w:t>
      </w:r>
      <w:r>
        <w:rPr>
          <w:spacing w:val="-10"/>
          <w:sz w:val="20"/>
        </w:rPr>
        <w:t> </w:t>
      </w:r>
      <w:r>
        <w:rPr>
          <w:sz w:val="20"/>
        </w:rPr>
        <w:t>‘chilling</w:t>
      </w:r>
      <w:r>
        <w:rPr>
          <w:spacing w:val="-10"/>
          <w:sz w:val="20"/>
        </w:rPr>
        <w:t> </w:t>
      </w:r>
      <w:r>
        <w:rPr>
          <w:sz w:val="20"/>
        </w:rPr>
        <w:t>effect’</w:t>
      </w:r>
      <w:r>
        <w:rPr>
          <w:spacing w:val="-9"/>
          <w:sz w:val="20"/>
        </w:rPr>
        <w:t> </w:t>
      </w:r>
      <w:r>
        <w:rPr>
          <w:sz w:val="20"/>
        </w:rPr>
        <w:t>on</w:t>
      </w:r>
      <w:r>
        <w:rPr>
          <w:spacing w:val="-10"/>
          <w:sz w:val="20"/>
        </w:rPr>
        <w:t> </w:t>
      </w:r>
      <w:r>
        <w:rPr>
          <w:sz w:val="20"/>
        </w:rPr>
        <w:t>deliberations—‘that</w:t>
      </w:r>
      <w:r>
        <w:rPr>
          <w:spacing w:val="-10"/>
          <w:sz w:val="20"/>
        </w:rPr>
        <w:t> </w:t>
      </w:r>
      <w:r>
        <w:rPr>
          <w:sz w:val="20"/>
        </w:rPr>
        <w:t>is,</w:t>
      </w:r>
      <w:r>
        <w:rPr>
          <w:spacing w:val="-10"/>
          <w:sz w:val="20"/>
        </w:rPr>
        <w:t> </w:t>
      </w:r>
      <w:r>
        <w:rPr>
          <w:sz w:val="20"/>
        </w:rPr>
        <w:t>whether</w:t>
      </w:r>
    </w:p>
    <w:p>
      <w:pPr>
        <w:pStyle w:val="BodyText"/>
        <w:spacing w:line="206" w:lineRule="auto" w:before="4"/>
        <w:ind w:left="1761" w:right="1335"/>
        <w:rPr>
          <w:sz w:val="11"/>
        </w:rPr>
      </w:pPr>
      <w:r>
        <w:rPr/>
        <w:t>it will inhibit the frankness of the discussion and deprive the </w:t>
      </w:r>
      <w:r>
        <w:rPr>
          <w:spacing w:val="-3"/>
        </w:rPr>
        <w:t>eventual verdict </w:t>
      </w:r>
      <w:r>
        <w:rPr/>
        <w:t>of legitimacy’—because</w:t>
      </w:r>
      <w:r>
        <w:rPr>
          <w:spacing w:val="-15"/>
        </w:rPr>
        <w:t> </w:t>
      </w:r>
      <w:r>
        <w:rPr/>
        <w:t>they</w:t>
      </w:r>
      <w:r>
        <w:rPr>
          <w:spacing w:val="-14"/>
        </w:rPr>
        <w:t> </w:t>
      </w:r>
      <w:r>
        <w:rPr>
          <w:spacing w:val="-3"/>
        </w:rPr>
        <w:t>are</w:t>
      </w:r>
      <w:r>
        <w:rPr>
          <w:spacing w:val="-14"/>
        </w:rPr>
        <w:t> </w:t>
      </w:r>
      <w:r>
        <w:rPr/>
        <w:t>‘part</w:t>
      </w:r>
      <w:r>
        <w:rPr>
          <w:spacing w:val="-14"/>
        </w:rPr>
        <w:t> </w:t>
      </w:r>
      <w:r>
        <w:rPr/>
        <w:t>of</w:t>
      </w:r>
      <w:r>
        <w:rPr>
          <w:spacing w:val="-14"/>
        </w:rPr>
        <w:t> </w:t>
      </w:r>
      <w:r>
        <w:rPr/>
        <w:t>the</w:t>
      </w:r>
      <w:r>
        <w:rPr>
          <w:spacing w:val="-14"/>
        </w:rPr>
        <w:t> </w:t>
      </w:r>
      <w:r>
        <w:rPr/>
        <w:t>background’</w:t>
      </w:r>
      <w:r>
        <w:rPr>
          <w:spacing w:val="-14"/>
        </w:rPr>
        <w:t> </w:t>
      </w:r>
      <w:r>
        <w:rPr/>
        <w:t>rather</w:t>
      </w:r>
      <w:r>
        <w:rPr>
          <w:spacing w:val="-14"/>
        </w:rPr>
        <w:t> </w:t>
      </w:r>
      <w:r>
        <w:rPr/>
        <w:t>than</w:t>
      </w:r>
      <w:r>
        <w:rPr>
          <w:spacing w:val="-14"/>
        </w:rPr>
        <w:t> </w:t>
      </w:r>
      <w:r>
        <w:rPr/>
        <w:t>‘independent </w:t>
      </w:r>
      <w:r>
        <w:rPr>
          <w:spacing w:val="-3"/>
        </w:rPr>
        <w:t>participants’.</w:t>
      </w:r>
      <w:r>
        <w:rPr>
          <w:spacing w:val="-3"/>
          <w:position w:val="7"/>
          <w:sz w:val="11"/>
        </w:rPr>
        <w:t>37</w:t>
      </w:r>
    </w:p>
    <w:p>
      <w:pPr>
        <w:pStyle w:val="ListParagraph"/>
        <w:numPr>
          <w:ilvl w:val="1"/>
          <w:numId w:val="12"/>
        </w:numPr>
        <w:tabs>
          <w:tab w:pos="1761" w:val="left" w:leader="none"/>
          <w:tab w:pos="1762" w:val="left" w:leader="none"/>
        </w:tabs>
        <w:spacing w:line="206" w:lineRule="auto" w:before="124" w:after="0"/>
        <w:ind w:left="1761" w:right="1413" w:hanging="794"/>
        <w:jc w:val="left"/>
        <w:rPr>
          <w:sz w:val="11"/>
        </w:rPr>
      </w:pPr>
      <w:r>
        <w:rPr>
          <w:sz w:val="20"/>
        </w:rPr>
        <w:t>In</w:t>
      </w:r>
      <w:r>
        <w:rPr>
          <w:spacing w:val="-10"/>
          <w:sz w:val="20"/>
        </w:rPr>
        <w:t> </w:t>
      </w:r>
      <w:r>
        <w:rPr>
          <w:sz w:val="20"/>
        </w:rPr>
        <w:t>the</w:t>
      </w:r>
      <w:r>
        <w:rPr>
          <w:spacing w:val="-9"/>
          <w:sz w:val="20"/>
        </w:rPr>
        <w:t> </w:t>
      </w:r>
      <w:r>
        <w:rPr>
          <w:i/>
          <w:sz w:val="20"/>
        </w:rPr>
        <w:t>Dempsey</w:t>
      </w:r>
      <w:r>
        <w:rPr>
          <w:i/>
          <w:spacing w:val="-8"/>
          <w:sz w:val="20"/>
        </w:rPr>
        <w:t> </w:t>
      </w:r>
      <w:r>
        <w:rPr>
          <w:sz w:val="20"/>
        </w:rPr>
        <w:t>case</w:t>
      </w:r>
      <w:r>
        <w:rPr>
          <w:spacing w:val="-9"/>
          <w:sz w:val="20"/>
        </w:rPr>
        <w:t> </w:t>
      </w:r>
      <w:r>
        <w:rPr>
          <w:sz w:val="20"/>
        </w:rPr>
        <w:t>Judge</w:t>
      </w:r>
      <w:r>
        <w:rPr>
          <w:spacing w:val="-9"/>
          <w:sz w:val="20"/>
        </w:rPr>
        <w:t> </w:t>
      </w:r>
      <w:r>
        <w:rPr>
          <w:sz w:val="20"/>
        </w:rPr>
        <w:t>Logan</w:t>
      </w:r>
      <w:r>
        <w:rPr>
          <w:spacing w:val="-9"/>
          <w:sz w:val="20"/>
        </w:rPr>
        <w:t> </w:t>
      </w:r>
      <w:r>
        <w:rPr>
          <w:sz w:val="20"/>
        </w:rPr>
        <w:t>considered</w:t>
      </w:r>
      <w:r>
        <w:rPr>
          <w:spacing w:val="-9"/>
          <w:sz w:val="20"/>
        </w:rPr>
        <w:t> </w:t>
      </w:r>
      <w:r>
        <w:rPr>
          <w:sz w:val="20"/>
        </w:rPr>
        <w:t>that</w:t>
      </w:r>
      <w:r>
        <w:rPr>
          <w:spacing w:val="-9"/>
          <w:sz w:val="20"/>
        </w:rPr>
        <w:t> </w:t>
      </w:r>
      <w:r>
        <w:rPr>
          <w:spacing w:val="-3"/>
          <w:sz w:val="20"/>
        </w:rPr>
        <w:t>‘an</w:t>
      </w:r>
      <w:r>
        <w:rPr>
          <w:spacing w:val="-9"/>
          <w:sz w:val="20"/>
        </w:rPr>
        <w:t> </w:t>
      </w:r>
      <w:r>
        <w:rPr>
          <w:sz w:val="20"/>
        </w:rPr>
        <w:t>important</w:t>
      </w:r>
      <w:r>
        <w:rPr>
          <w:spacing w:val="-9"/>
          <w:sz w:val="20"/>
        </w:rPr>
        <w:t> </w:t>
      </w:r>
      <w:r>
        <w:rPr>
          <w:sz w:val="20"/>
        </w:rPr>
        <w:t>social</w:t>
      </w:r>
      <w:r>
        <w:rPr>
          <w:spacing w:val="-10"/>
          <w:sz w:val="20"/>
        </w:rPr>
        <w:t> </w:t>
      </w:r>
      <w:r>
        <w:rPr>
          <w:sz w:val="20"/>
        </w:rPr>
        <w:t>policy</w:t>
      </w:r>
      <w:r>
        <w:rPr>
          <w:spacing w:val="-9"/>
          <w:sz w:val="20"/>
        </w:rPr>
        <w:t> </w:t>
      </w:r>
      <w:r>
        <w:rPr>
          <w:spacing w:val="-3"/>
          <w:sz w:val="20"/>
        </w:rPr>
        <w:t>argues </w:t>
      </w:r>
      <w:r>
        <w:rPr>
          <w:sz w:val="20"/>
        </w:rPr>
        <w:t>against automatically </w:t>
      </w:r>
      <w:r>
        <w:rPr>
          <w:spacing w:val="-3"/>
          <w:sz w:val="20"/>
        </w:rPr>
        <w:t>foreclosing </w:t>
      </w:r>
      <w:r>
        <w:rPr>
          <w:sz w:val="20"/>
        </w:rPr>
        <w:t>members of an important segment of our society </w:t>
      </w:r>
      <w:r>
        <w:rPr>
          <w:spacing w:val="-3"/>
          <w:sz w:val="20"/>
        </w:rPr>
        <w:t>from</w:t>
      </w:r>
      <w:r>
        <w:rPr>
          <w:spacing w:val="-7"/>
          <w:sz w:val="20"/>
        </w:rPr>
        <w:t> </w:t>
      </w:r>
      <w:r>
        <w:rPr>
          <w:sz w:val="20"/>
        </w:rPr>
        <w:t>jury</w:t>
      </w:r>
      <w:r>
        <w:rPr>
          <w:spacing w:val="-6"/>
          <w:sz w:val="20"/>
        </w:rPr>
        <w:t> </w:t>
      </w:r>
      <w:r>
        <w:rPr>
          <w:sz w:val="20"/>
        </w:rPr>
        <w:t>duty</w:t>
      </w:r>
      <w:r>
        <w:rPr>
          <w:spacing w:val="-6"/>
          <w:sz w:val="20"/>
        </w:rPr>
        <w:t> </w:t>
      </w:r>
      <w:r>
        <w:rPr>
          <w:spacing w:val="-2"/>
          <w:sz w:val="20"/>
        </w:rPr>
        <w:t>simply</w:t>
      </w:r>
      <w:r>
        <w:rPr>
          <w:spacing w:val="-6"/>
          <w:sz w:val="20"/>
        </w:rPr>
        <w:t> </w:t>
      </w:r>
      <w:r>
        <w:rPr>
          <w:sz w:val="20"/>
        </w:rPr>
        <w:t>because</w:t>
      </w:r>
      <w:r>
        <w:rPr>
          <w:spacing w:val="-6"/>
          <w:sz w:val="20"/>
        </w:rPr>
        <w:t> </w:t>
      </w:r>
      <w:r>
        <w:rPr>
          <w:sz w:val="20"/>
        </w:rPr>
        <w:t>they</w:t>
      </w:r>
      <w:r>
        <w:rPr>
          <w:spacing w:val="-6"/>
          <w:sz w:val="20"/>
        </w:rPr>
        <w:t> </w:t>
      </w:r>
      <w:r>
        <w:rPr>
          <w:sz w:val="20"/>
        </w:rPr>
        <w:t>must</w:t>
      </w:r>
      <w:r>
        <w:rPr>
          <w:spacing w:val="-6"/>
          <w:sz w:val="20"/>
        </w:rPr>
        <w:t> </w:t>
      </w:r>
      <w:r>
        <w:rPr>
          <w:sz w:val="20"/>
        </w:rPr>
        <w:t>take</w:t>
      </w:r>
      <w:r>
        <w:rPr>
          <w:spacing w:val="-6"/>
          <w:sz w:val="20"/>
        </w:rPr>
        <w:t> </w:t>
      </w:r>
      <w:r>
        <w:rPr>
          <w:sz w:val="20"/>
        </w:rPr>
        <w:t>an</w:t>
      </w:r>
      <w:r>
        <w:rPr>
          <w:spacing w:val="-6"/>
          <w:sz w:val="20"/>
        </w:rPr>
        <w:t> </w:t>
      </w:r>
      <w:r>
        <w:rPr>
          <w:spacing w:val="-3"/>
          <w:sz w:val="20"/>
        </w:rPr>
        <w:t>interpreter</w:t>
      </w:r>
      <w:r>
        <w:rPr>
          <w:spacing w:val="-6"/>
          <w:sz w:val="20"/>
        </w:rPr>
        <w:t> </w:t>
      </w:r>
      <w:r>
        <w:rPr>
          <w:spacing w:val="-3"/>
          <w:sz w:val="20"/>
        </w:rPr>
        <w:t>into</w:t>
      </w:r>
      <w:r>
        <w:rPr>
          <w:spacing w:val="-6"/>
          <w:sz w:val="20"/>
        </w:rPr>
        <w:t> </w:t>
      </w:r>
      <w:r>
        <w:rPr>
          <w:sz w:val="20"/>
        </w:rPr>
        <w:t>the</w:t>
      </w:r>
      <w:r>
        <w:rPr>
          <w:spacing w:val="-6"/>
          <w:sz w:val="20"/>
        </w:rPr>
        <w:t> </w:t>
      </w:r>
      <w:r>
        <w:rPr>
          <w:sz w:val="20"/>
        </w:rPr>
        <w:t>jury</w:t>
      </w:r>
      <w:r>
        <w:rPr>
          <w:spacing w:val="-6"/>
          <w:sz w:val="20"/>
        </w:rPr>
        <w:t> </w:t>
      </w:r>
      <w:r>
        <w:rPr>
          <w:spacing w:val="-5"/>
          <w:sz w:val="20"/>
        </w:rPr>
        <w:t>room’.</w:t>
      </w:r>
      <w:r>
        <w:rPr>
          <w:spacing w:val="-6"/>
          <w:sz w:val="20"/>
        </w:rPr>
        <w:t> </w:t>
      </w:r>
      <w:r>
        <w:rPr>
          <w:sz w:val="20"/>
        </w:rPr>
        <w:t>It</w:t>
      </w:r>
      <w:r>
        <w:rPr>
          <w:spacing w:val="-6"/>
          <w:sz w:val="20"/>
        </w:rPr>
        <w:t> </w:t>
      </w:r>
      <w:r>
        <w:rPr>
          <w:sz w:val="20"/>
        </w:rPr>
        <w:t>was concluded that concerns about the </w:t>
      </w:r>
      <w:r>
        <w:rPr>
          <w:spacing w:val="-3"/>
          <w:sz w:val="20"/>
        </w:rPr>
        <w:t>interpreter </w:t>
      </w:r>
      <w:r>
        <w:rPr>
          <w:sz w:val="20"/>
        </w:rPr>
        <w:t>could be addressed through an oath and </w:t>
      </w:r>
      <w:r>
        <w:rPr>
          <w:spacing w:val="-3"/>
          <w:sz w:val="20"/>
        </w:rPr>
        <w:t>by </w:t>
      </w:r>
      <w:r>
        <w:rPr>
          <w:sz w:val="20"/>
        </w:rPr>
        <w:t>the judge asking </w:t>
      </w:r>
      <w:r>
        <w:rPr>
          <w:spacing w:val="-3"/>
          <w:sz w:val="20"/>
        </w:rPr>
        <w:t>before </w:t>
      </w:r>
      <w:r>
        <w:rPr>
          <w:sz w:val="20"/>
        </w:rPr>
        <w:t>the </w:t>
      </w:r>
      <w:r>
        <w:rPr>
          <w:spacing w:val="-3"/>
          <w:sz w:val="20"/>
        </w:rPr>
        <w:t>verdict </w:t>
      </w:r>
      <w:r>
        <w:rPr>
          <w:sz w:val="20"/>
        </w:rPr>
        <w:t>whether the </w:t>
      </w:r>
      <w:r>
        <w:rPr>
          <w:spacing w:val="-3"/>
          <w:sz w:val="20"/>
        </w:rPr>
        <w:t>interpreter </w:t>
      </w:r>
      <w:r>
        <w:rPr>
          <w:sz w:val="20"/>
        </w:rPr>
        <w:t>abided </w:t>
      </w:r>
      <w:r>
        <w:rPr>
          <w:spacing w:val="-3"/>
          <w:sz w:val="20"/>
        </w:rPr>
        <w:t>by </w:t>
      </w:r>
      <w:r>
        <w:rPr>
          <w:sz w:val="20"/>
        </w:rPr>
        <w:t>their oath.</w:t>
      </w:r>
      <w:r>
        <w:rPr>
          <w:position w:val="7"/>
          <w:sz w:val="11"/>
        </w:rPr>
        <w:t>38</w:t>
      </w:r>
    </w:p>
    <w:p>
      <w:pPr>
        <w:pStyle w:val="Heading6"/>
        <w:spacing w:before="132"/>
        <w:rPr>
          <w:b/>
        </w:rPr>
      </w:pPr>
      <w:r>
        <w:rPr>
          <w:b/>
        </w:rPr>
        <w:t>Unique features of the United States jury selection process</w:t>
      </w:r>
    </w:p>
    <w:p>
      <w:pPr>
        <w:pStyle w:val="ListParagraph"/>
        <w:numPr>
          <w:ilvl w:val="1"/>
          <w:numId w:val="12"/>
        </w:numPr>
        <w:tabs>
          <w:tab w:pos="1761" w:val="left" w:leader="none"/>
          <w:tab w:pos="1762" w:val="left" w:leader="none"/>
        </w:tabs>
        <w:spacing w:line="206" w:lineRule="auto" w:before="132" w:after="0"/>
        <w:ind w:left="1761" w:right="1346" w:hanging="794"/>
        <w:jc w:val="left"/>
        <w:rPr>
          <w:sz w:val="20"/>
        </w:rPr>
      </w:pPr>
      <w:r>
        <w:rPr>
          <w:sz w:val="20"/>
        </w:rPr>
        <w:t>There </w:t>
      </w:r>
      <w:r>
        <w:rPr>
          <w:spacing w:val="-3"/>
          <w:sz w:val="20"/>
        </w:rPr>
        <w:t>are </w:t>
      </w:r>
      <w:r>
        <w:rPr>
          <w:sz w:val="20"/>
        </w:rPr>
        <w:t>important differences between the jury selection approach in the United States,</w:t>
      </w:r>
      <w:r>
        <w:rPr>
          <w:spacing w:val="-10"/>
          <w:sz w:val="20"/>
        </w:rPr>
        <w:t> </w:t>
      </w:r>
      <w:r>
        <w:rPr>
          <w:sz w:val="20"/>
        </w:rPr>
        <w:t>compared</w:t>
      </w:r>
      <w:r>
        <w:rPr>
          <w:spacing w:val="-10"/>
          <w:sz w:val="20"/>
        </w:rPr>
        <w:t> </w:t>
      </w:r>
      <w:r>
        <w:rPr>
          <w:sz w:val="20"/>
        </w:rPr>
        <w:t>to</w:t>
      </w:r>
      <w:r>
        <w:rPr>
          <w:spacing w:val="-10"/>
          <w:sz w:val="20"/>
        </w:rPr>
        <w:t> </w:t>
      </w:r>
      <w:r>
        <w:rPr>
          <w:sz w:val="20"/>
        </w:rPr>
        <w:t>Victoria.</w:t>
      </w:r>
      <w:r>
        <w:rPr>
          <w:position w:val="7"/>
          <w:sz w:val="11"/>
        </w:rPr>
        <w:t>39</w:t>
      </w:r>
      <w:r>
        <w:rPr>
          <w:spacing w:val="15"/>
          <w:position w:val="7"/>
          <w:sz w:val="11"/>
        </w:rPr>
        <w:t> </w:t>
      </w:r>
      <w:r>
        <w:rPr>
          <w:sz w:val="20"/>
        </w:rPr>
        <w:t>Jurors</w:t>
      </w:r>
      <w:r>
        <w:rPr>
          <w:spacing w:val="-10"/>
          <w:sz w:val="20"/>
        </w:rPr>
        <w:t> </w:t>
      </w:r>
      <w:r>
        <w:rPr>
          <w:spacing w:val="-3"/>
          <w:sz w:val="20"/>
        </w:rPr>
        <w:t>may</w:t>
      </w:r>
      <w:r>
        <w:rPr>
          <w:spacing w:val="-10"/>
          <w:sz w:val="20"/>
        </w:rPr>
        <w:t> </w:t>
      </w:r>
      <w:r>
        <w:rPr>
          <w:sz w:val="20"/>
        </w:rPr>
        <w:t>be</w:t>
      </w:r>
      <w:r>
        <w:rPr>
          <w:spacing w:val="-9"/>
          <w:sz w:val="20"/>
        </w:rPr>
        <w:t> </w:t>
      </w:r>
      <w:r>
        <w:rPr>
          <w:sz w:val="20"/>
        </w:rPr>
        <w:t>permitted</w:t>
      </w:r>
      <w:r>
        <w:rPr>
          <w:spacing w:val="-10"/>
          <w:sz w:val="20"/>
        </w:rPr>
        <w:t> </w:t>
      </w:r>
      <w:r>
        <w:rPr>
          <w:sz w:val="20"/>
        </w:rPr>
        <w:t>to</w:t>
      </w:r>
      <w:r>
        <w:rPr>
          <w:spacing w:val="-10"/>
          <w:sz w:val="20"/>
        </w:rPr>
        <w:t> </w:t>
      </w:r>
      <w:r>
        <w:rPr>
          <w:sz w:val="20"/>
        </w:rPr>
        <w:t>speak</w:t>
      </w:r>
      <w:r>
        <w:rPr>
          <w:spacing w:val="-10"/>
          <w:sz w:val="20"/>
        </w:rPr>
        <w:t> </w:t>
      </w:r>
      <w:r>
        <w:rPr>
          <w:sz w:val="20"/>
        </w:rPr>
        <w:t>about</w:t>
      </w:r>
      <w:r>
        <w:rPr>
          <w:spacing w:val="-10"/>
          <w:sz w:val="20"/>
        </w:rPr>
        <w:t> </w:t>
      </w:r>
      <w:r>
        <w:rPr>
          <w:sz w:val="20"/>
        </w:rPr>
        <w:t>the</w:t>
      </w:r>
      <w:r>
        <w:rPr>
          <w:spacing w:val="-10"/>
          <w:sz w:val="20"/>
        </w:rPr>
        <w:t> </w:t>
      </w:r>
      <w:r>
        <w:rPr>
          <w:sz w:val="20"/>
        </w:rPr>
        <w:t>case</w:t>
      </w:r>
      <w:r>
        <w:rPr>
          <w:spacing w:val="-9"/>
          <w:sz w:val="20"/>
        </w:rPr>
        <w:t> </w:t>
      </w:r>
      <w:r>
        <w:rPr>
          <w:sz w:val="20"/>
        </w:rPr>
        <w:t>after a</w:t>
      </w:r>
      <w:r>
        <w:rPr>
          <w:spacing w:val="-8"/>
          <w:sz w:val="20"/>
        </w:rPr>
        <w:t> </w:t>
      </w:r>
      <w:r>
        <w:rPr>
          <w:spacing w:val="-3"/>
          <w:sz w:val="20"/>
        </w:rPr>
        <w:t>verdict</w:t>
      </w:r>
      <w:r>
        <w:rPr>
          <w:spacing w:val="-8"/>
          <w:sz w:val="20"/>
        </w:rPr>
        <w:t> </w:t>
      </w:r>
      <w:r>
        <w:rPr>
          <w:sz w:val="20"/>
        </w:rPr>
        <w:t>has</w:t>
      </w:r>
      <w:r>
        <w:rPr>
          <w:spacing w:val="-8"/>
          <w:sz w:val="20"/>
        </w:rPr>
        <w:t> </w:t>
      </w:r>
      <w:r>
        <w:rPr>
          <w:sz w:val="20"/>
        </w:rPr>
        <w:t>been</w:t>
      </w:r>
      <w:r>
        <w:rPr>
          <w:spacing w:val="-8"/>
          <w:sz w:val="20"/>
        </w:rPr>
        <w:t> </w:t>
      </w:r>
      <w:r>
        <w:rPr>
          <w:sz w:val="20"/>
        </w:rPr>
        <w:t>reached,</w:t>
      </w:r>
      <w:r>
        <w:rPr>
          <w:spacing w:val="-8"/>
          <w:sz w:val="20"/>
        </w:rPr>
        <w:t> </w:t>
      </w:r>
      <w:r>
        <w:rPr>
          <w:sz w:val="20"/>
        </w:rPr>
        <w:t>subject</w:t>
      </w:r>
      <w:r>
        <w:rPr>
          <w:spacing w:val="-8"/>
          <w:sz w:val="20"/>
        </w:rPr>
        <w:t> </w:t>
      </w:r>
      <w:r>
        <w:rPr>
          <w:sz w:val="20"/>
        </w:rPr>
        <w:t>to</w:t>
      </w:r>
      <w:r>
        <w:rPr>
          <w:spacing w:val="-7"/>
          <w:sz w:val="20"/>
        </w:rPr>
        <w:t> </w:t>
      </w:r>
      <w:r>
        <w:rPr>
          <w:spacing w:val="-3"/>
          <w:sz w:val="20"/>
        </w:rPr>
        <w:t>any</w:t>
      </w:r>
      <w:r>
        <w:rPr>
          <w:spacing w:val="-8"/>
          <w:sz w:val="20"/>
        </w:rPr>
        <w:t> </w:t>
      </w:r>
      <w:r>
        <w:rPr>
          <w:sz w:val="20"/>
        </w:rPr>
        <w:t>orders</w:t>
      </w:r>
      <w:r>
        <w:rPr>
          <w:spacing w:val="-8"/>
          <w:sz w:val="20"/>
        </w:rPr>
        <w:t> </w:t>
      </w:r>
      <w:r>
        <w:rPr>
          <w:spacing w:val="-3"/>
          <w:sz w:val="20"/>
        </w:rPr>
        <w:t>by</w:t>
      </w:r>
      <w:r>
        <w:rPr>
          <w:spacing w:val="-8"/>
          <w:sz w:val="20"/>
        </w:rPr>
        <w:t> </w:t>
      </w:r>
      <w:r>
        <w:rPr>
          <w:sz w:val="20"/>
        </w:rPr>
        <w:t>the</w:t>
      </w:r>
      <w:r>
        <w:rPr>
          <w:spacing w:val="-8"/>
          <w:sz w:val="20"/>
        </w:rPr>
        <w:t> </w:t>
      </w:r>
      <w:r>
        <w:rPr>
          <w:sz w:val="20"/>
        </w:rPr>
        <w:t>judge.</w:t>
      </w:r>
      <w:r>
        <w:rPr>
          <w:position w:val="7"/>
          <w:sz w:val="11"/>
        </w:rPr>
        <w:t>40</w:t>
      </w:r>
      <w:r>
        <w:rPr>
          <w:spacing w:val="17"/>
          <w:position w:val="7"/>
          <w:sz w:val="11"/>
        </w:rPr>
        <w:t> </w:t>
      </w:r>
      <w:r>
        <w:rPr>
          <w:spacing w:val="-3"/>
          <w:sz w:val="20"/>
        </w:rPr>
        <w:t>Further,</w:t>
      </w:r>
      <w:r>
        <w:rPr>
          <w:spacing w:val="-8"/>
          <w:sz w:val="20"/>
        </w:rPr>
        <w:t> </w:t>
      </w:r>
      <w:r>
        <w:rPr>
          <w:sz w:val="20"/>
        </w:rPr>
        <w:t>in</w:t>
      </w:r>
      <w:r>
        <w:rPr>
          <w:spacing w:val="-7"/>
          <w:sz w:val="20"/>
        </w:rPr>
        <w:t> </w:t>
      </w:r>
      <w:r>
        <w:rPr>
          <w:sz w:val="20"/>
        </w:rPr>
        <w:t>the</w:t>
      </w:r>
      <w:r>
        <w:rPr>
          <w:spacing w:val="-8"/>
          <w:sz w:val="20"/>
        </w:rPr>
        <w:t> </w:t>
      </w:r>
      <w:r>
        <w:rPr>
          <w:sz w:val="20"/>
        </w:rPr>
        <w:t>United </w:t>
      </w:r>
      <w:r>
        <w:rPr>
          <w:spacing w:val="-3"/>
          <w:sz w:val="20"/>
        </w:rPr>
        <w:t>States</w:t>
      </w:r>
      <w:r>
        <w:rPr>
          <w:spacing w:val="-9"/>
          <w:sz w:val="20"/>
        </w:rPr>
        <w:t> </w:t>
      </w:r>
      <w:r>
        <w:rPr>
          <w:sz w:val="20"/>
        </w:rPr>
        <w:t>a</w:t>
      </w:r>
      <w:r>
        <w:rPr>
          <w:spacing w:val="-8"/>
          <w:sz w:val="20"/>
        </w:rPr>
        <w:t> </w:t>
      </w:r>
      <w:r>
        <w:rPr>
          <w:sz w:val="20"/>
        </w:rPr>
        <w:t>‘voir</w:t>
      </w:r>
      <w:r>
        <w:rPr>
          <w:spacing w:val="-9"/>
          <w:sz w:val="20"/>
        </w:rPr>
        <w:t> </w:t>
      </w:r>
      <w:r>
        <w:rPr>
          <w:spacing w:val="-3"/>
          <w:sz w:val="20"/>
        </w:rPr>
        <w:t>dire’</w:t>
      </w:r>
      <w:r>
        <w:rPr>
          <w:spacing w:val="-8"/>
          <w:sz w:val="20"/>
        </w:rPr>
        <w:t> </w:t>
      </w:r>
      <w:r>
        <w:rPr>
          <w:sz w:val="20"/>
        </w:rPr>
        <w:t>questioning</w:t>
      </w:r>
      <w:r>
        <w:rPr>
          <w:spacing w:val="-9"/>
          <w:sz w:val="20"/>
        </w:rPr>
        <w:t> </w:t>
      </w:r>
      <w:r>
        <w:rPr>
          <w:sz w:val="20"/>
        </w:rPr>
        <w:t>process</w:t>
      </w:r>
      <w:r>
        <w:rPr>
          <w:spacing w:val="-8"/>
          <w:sz w:val="20"/>
        </w:rPr>
        <w:t> </w:t>
      </w:r>
      <w:r>
        <w:rPr>
          <w:sz w:val="20"/>
        </w:rPr>
        <w:t>applies</w:t>
      </w:r>
      <w:r>
        <w:rPr>
          <w:spacing w:val="-9"/>
          <w:sz w:val="20"/>
        </w:rPr>
        <w:t> </w:t>
      </w:r>
      <w:r>
        <w:rPr>
          <w:sz w:val="20"/>
        </w:rPr>
        <w:t>to</w:t>
      </w:r>
      <w:r>
        <w:rPr>
          <w:spacing w:val="-8"/>
          <w:sz w:val="20"/>
        </w:rPr>
        <w:t> </w:t>
      </w:r>
      <w:r>
        <w:rPr>
          <w:sz w:val="20"/>
        </w:rPr>
        <w:t>the</w:t>
      </w:r>
      <w:r>
        <w:rPr>
          <w:spacing w:val="-9"/>
          <w:sz w:val="20"/>
        </w:rPr>
        <w:t> </w:t>
      </w:r>
      <w:r>
        <w:rPr>
          <w:sz w:val="20"/>
        </w:rPr>
        <w:t>selection</w:t>
      </w:r>
      <w:r>
        <w:rPr>
          <w:spacing w:val="-8"/>
          <w:sz w:val="20"/>
        </w:rPr>
        <w:t> </w:t>
      </w:r>
      <w:r>
        <w:rPr>
          <w:sz w:val="20"/>
        </w:rPr>
        <w:t>of</w:t>
      </w:r>
      <w:r>
        <w:rPr>
          <w:spacing w:val="-9"/>
          <w:sz w:val="20"/>
        </w:rPr>
        <w:t> </w:t>
      </w:r>
      <w:r>
        <w:rPr>
          <w:sz w:val="20"/>
        </w:rPr>
        <w:t>jurors.</w:t>
      </w:r>
      <w:r>
        <w:rPr>
          <w:spacing w:val="-8"/>
          <w:sz w:val="20"/>
        </w:rPr>
        <w:t> </w:t>
      </w:r>
      <w:r>
        <w:rPr>
          <w:sz w:val="20"/>
        </w:rPr>
        <w:t>During</w:t>
      </w:r>
      <w:r>
        <w:rPr>
          <w:spacing w:val="-9"/>
          <w:sz w:val="20"/>
        </w:rPr>
        <w:t> </w:t>
      </w:r>
      <w:r>
        <w:rPr>
          <w:sz w:val="20"/>
        </w:rPr>
        <w:t>a</w:t>
      </w:r>
      <w:r>
        <w:rPr>
          <w:spacing w:val="-8"/>
          <w:sz w:val="20"/>
        </w:rPr>
        <w:t> </w:t>
      </w:r>
      <w:r>
        <w:rPr>
          <w:spacing w:val="-3"/>
          <w:sz w:val="20"/>
        </w:rPr>
        <w:t>voir</w:t>
      </w:r>
    </w:p>
    <w:p>
      <w:pPr>
        <w:pStyle w:val="BodyText"/>
        <w:spacing w:line="250" w:lineRule="exact"/>
        <w:ind w:left="1761"/>
      </w:pPr>
      <w:r>
        <w:rPr/>
        <w:t>dire counsel asks questions of prospective jurors to assess their values and sympathies,</w:t>
      </w:r>
    </w:p>
    <w:p>
      <w:pPr>
        <w:pStyle w:val="BodyText"/>
        <w:spacing w:before="11"/>
        <w:rPr>
          <w:sz w:val="23"/>
        </w:rPr>
      </w:pPr>
      <w:r>
        <w:rPr/>
        <w:pict>
          <v:line style="position:absolute;mso-position-horizontal-relative:page;mso-position-vertical-relative:paragraph;z-index:5888;mso-wrap-distance-left:0;mso-wrap-distance-right:0" from="79.370102pt,18.987301pt" to="515.905102pt,18.987301pt" stroked="true" strokeweight="1pt" strokecolor="#b6bdc8">
            <v:stroke dashstyle="solid"/>
            <w10:wrap type="topAndBottom"/>
          </v:line>
        </w:pict>
      </w:r>
    </w:p>
    <w:p>
      <w:pPr>
        <w:pStyle w:val="ListParagraph"/>
        <w:numPr>
          <w:ilvl w:val="0"/>
          <w:numId w:val="69"/>
        </w:numPr>
        <w:tabs>
          <w:tab w:pos="1761" w:val="left" w:leader="none"/>
          <w:tab w:pos="1762" w:val="left" w:leader="none"/>
        </w:tabs>
        <w:spacing w:line="213" w:lineRule="auto" w:before="107" w:after="0"/>
        <w:ind w:left="1761" w:right="1233" w:hanging="794"/>
        <w:jc w:val="left"/>
        <w:rPr>
          <w:sz w:val="13"/>
        </w:rPr>
      </w:pPr>
      <w:r>
        <w:rPr>
          <w:sz w:val="13"/>
        </w:rPr>
        <w:t>Office of </w:t>
      </w:r>
      <w:r>
        <w:rPr>
          <w:spacing w:val="2"/>
          <w:sz w:val="13"/>
        </w:rPr>
        <w:t>Court </w:t>
      </w:r>
      <w:r>
        <w:rPr>
          <w:sz w:val="13"/>
        </w:rPr>
        <w:t>Administration, New York State Unified </w:t>
      </w:r>
      <w:r>
        <w:rPr>
          <w:spacing w:val="2"/>
          <w:sz w:val="13"/>
        </w:rPr>
        <w:t>Court </w:t>
      </w:r>
      <w:r>
        <w:rPr>
          <w:sz w:val="13"/>
        </w:rPr>
        <w:t>System, ‘Reasonable Accommodations for </w:t>
      </w:r>
      <w:r>
        <w:rPr>
          <w:spacing w:val="2"/>
          <w:sz w:val="13"/>
        </w:rPr>
        <w:t>Court </w:t>
      </w:r>
      <w:r>
        <w:rPr>
          <w:sz w:val="13"/>
        </w:rPr>
        <w:t>Users’, </w:t>
      </w:r>
      <w:r>
        <w:rPr>
          <w:i/>
          <w:sz w:val="13"/>
        </w:rPr>
        <w:t>NYCOURTS. </w:t>
      </w:r>
      <w:r>
        <w:rPr>
          <w:i/>
          <w:sz w:val="13"/>
        </w:rPr>
        <w:t>GOV </w:t>
      </w:r>
      <w:r>
        <w:rPr>
          <w:sz w:val="13"/>
        </w:rPr>
        <w:t>(Web Page)</w:t>
      </w:r>
      <w:r>
        <w:rPr>
          <w:spacing w:val="3"/>
          <w:sz w:val="13"/>
        </w:rPr>
        <w:t> </w:t>
      </w:r>
      <w:r>
        <w:rPr>
          <w:sz w:val="13"/>
        </w:rPr>
        <w:t>&lt;</w:t>
      </w:r>
      <w:hyperlink r:id="rId154">
        <w:r>
          <w:rPr>
            <w:sz w:val="13"/>
          </w:rPr>
          <w:t>http://ww2.nycourts.gov/Accessibility/CourtUsers_Guidelines.shtml</w:t>
        </w:r>
      </w:hyperlink>
      <w:r>
        <w:rPr>
          <w:sz w:val="13"/>
        </w:rPr>
        <w:t>&gt;.</w:t>
      </w:r>
    </w:p>
    <w:p>
      <w:pPr>
        <w:pStyle w:val="ListParagraph"/>
        <w:numPr>
          <w:ilvl w:val="0"/>
          <w:numId w:val="69"/>
        </w:numPr>
        <w:tabs>
          <w:tab w:pos="1760" w:val="left" w:leader="none"/>
          <w:tab w:pos="1762" w:val="left" w:leader="none"/>
        </w:tabs>
        <w:spacing w:line="213" w:lineRule="auto" w:before="0" w:after="0"/>
        <w:ind w:left="1761" w:right="1440" w:hanging="794"/>
        <w:jc w:val="left"/>
        <w:rPr>
          <w:sz w:val="13"/>
        </w:rPr>
      </w:pPr>
      <w:r>
        <w:rPr>
          <w:sz w:val="13"/>
        </w:rPr>
        <w:t>National Center for State </w:t>
      </w:r>
      <w:r>
        <w:rPr>
          <w:spacing w:val="2"/>
          <w:sz w:val="13"/>
        </w:rPr>
        <w:t>Courts, </w:t>
      </w:r>
      <w:r>
        <w:rPr>
          <w:i/>
          <w:sz w:val="13"/>
        </w:rPr>
        <w:t>Enforcement Activities under the Americans with Disabilities Act Title II: Programs, </w:t>
      </w:r>
      <w:r>
        <w:rPr>
          <w:i/>
          <w:spacing w:val="2"/>
          <w:sz w:val="13"/>
        </w:rPr>
        <w:t>Services and </w:t>
      </w:r>
      <w:r>
        <w:rPr>
          <w:i/>
          <w:sz w:val="13"/>
        </w:rPr>
        <w:t>Activities of State and Local </w:t>
      </w:r>
      <w:r>
        <w:rPr>
          <w:i/>
          <w:spacing w:val="2"/>
          <w:sz w:val="13"/>
        </w:rPr>
        <w:t>Courts </w:t>
      </w:r>
      <w:r>
        <w:rPr>
          <w:i/>
          <w:sz w:val="13"/>
        </w:rPr>
        <w:t>1994–2004 </w:t>
      </w:r>
      <w:r>
        <w:rPr>
          <w:spacing w:val="2"/>
          <w:sz w:val="13"/>
        </w:rPr>
        <w:t>(Report, </w:t>
      </w:r>
      <w:r>
        <w:rPr>
          <w:sz w:val="13"/>
        </w:rPr>
        <w:t>June 2004).</w:t>
      </w:r>
    </w:p>
    <w:p>
      <w:pPr>
        <w:pStyle w:val="ListParagraph"/>
        <w:numPr>
          <w:ilvl w:val="0"/>
          <w:numId w:val="69"/>
        </w:numPr>
        <w:tabs>
          <w:tab w:pos="1761" w:val="left" w:leader="none"/>
          <w:tab w:pos="1762" w:val="left" w:leader="none"/>
        </w:tabs>
        <w:spacing w:line="153" w:lineRule="exact" w:before="0" w:after="0"/>
        <w:ind w:left="1761" w:right="0" w:hanging="794"/>
        <w:jc w:val="left"/>
        <w:rPr>
          <w:sz w:val="13"/>
        </w:rPr>
      </w:pPr>
      <w:r>
        <w:rPr>
          <w:i/>
          <w:sz w:val="13"/>
        </w:rPr>
        <w:t>People v Guzman</w:t>
      </w:r>
      <w:r>
        <w:rPr>
          <w:sz w:val="13"/>
        </w:rPr>
        <w:t>, 478 NYS 2d, 472 (Goodman J)</w:t>
      </w:r>
      <w:r>
        <w:rPr>
          <w:spacing w:val="2"/>
          <w:sz w:val="13"/>
        </w:rPr>
        <w:t> </w:t>
      </w:r>
      <w:r>
        <w:rPr>
          <w:sz w:val="13"/>
        </w:rPr>
        <w:t>(1984).</w:t>
      </w:r>
    </w:p>
    <w:p>
      <w:pPr>
        <w:pStyle w:val="ListParagraph"/>
        <w:numPr>
          <w:ilvl w:val="0"/>
          <w:numId w:val="69"/>
        </w:numPr>
        <w:tabs>
          <w:tab w:pos="1760" w:val="left" w:leader="none"/>
          <w:tab w:pos="1762" w:val="left" w:leader="none"/>
        </w:tabs>
        <w:spacing w:line="160" w:lineRule="exact" w:before="0" w:after="0"/>
        <w:ind w:left="1761" w:right="0" w:hanging="794"/>
        <w:jc w:val="left"/>
        <w:rPr>
          <w:sz w:val="13"/>
        </w:rPr>
      </w:pPr>
      <w:r>
        <w:rPr>
          <w:sz w:val="13"/>
        </w:rPr>
        <w:t>Ibid 473 (Goodman J).</w:t>
      </w:r>
    </w:p>
    <w:p>
      <w:pPr>
        <w:pStyle w:val="ListParagraph"/>
        <w:numPr>
          <w:ilvl w:val="0"/>
          <w:numId w:val="69"/>
        </w:numPr>
        <w:tabs>
          <w:tab w:pos="1761" w:val="left" w:leader="none"/>
          <w:tab w:pos="1762" w:val="left" w:leader="none"/>
        </w:tabs>
        <w:spacing w:line="160" w:lineRule="exact" w:before="0" w:after="0"/>
        <w:ind w:left="1761" w:right="0" w:hanging="794"/>
        <w:jc w:val="left"/>
        <w:rPr>
          <w:sz w:val="13"/>
        </w:rPr>
      </w:pPr>
      <w:r>
        <w:rPr>
          <w:i/>
          <w:sz w:val="13"/>
        </w:rPr>
        <w:t>United States v Dempsey, </w:t>
      </w:r>
      <w:r>
        <w:rPr>
          <w:sz w:val="13"/>
        </w:rPr>
        <w:t>830 F 2d </w:t>
      </w:r>
      <w:r>
        <w:rPr>
          <w:spacing w:val="2"/>
          <w:sz w:val="13"/>
        </w:rPr>
        <w:t>1084, </w:t>
      </w:r>
      <w:r>
        <w:rPr>
          <w:sz w:val="13"/>
        </w:rPr>
        <w:t>1090 (Logan J) (10th Cir,</w:t>
      </w:r>
      <w:r>
        <w:rPr>
          <w:spacing w:val="2"/>
          <w:sz w:val="13"/>
        </w:rPr>
        <w:t> </w:t>
      </w:r>
      <w:r>
        <w:rPr>
          <w:sz w:val="13"/>
        </w:rPr>
        <w:t>1987).</w:t>
      </w:r>
    </w:p>
    <w:p>
      <w:pPr>
        <w:pStyle w:val="ListParagraph"/>
        <w:numPr>
          <w:ilvl w:val="0"/>
          <w:numId w:val="69"/>
        </w:numPr>
        <w:tabs>
          <w:tab w:pos="1760" w:val="left" w:leader="none"/>
          <w:tab w:pos="1762" w:val="left" w:leader="none"/>
        </w:tabs>
        <w:spacing w:line="160" w:lineRule="exact" w:before="0" w:after="0"/>
        <w:ind w:left="1761" w:right="0" w:hanging="794"/>
        <w:jc w:val="left"/>
        <w:rPr>
          <w:sz w:val="13"/>
        </w:rPr>
      </w:pPr>
      <w:r>
        <w:rPr>
          <w:sz w:val="13"/>
        </w:rPr>
        <w:t>Ibid 1090 (Logan J).</w:t>
      </w:r>
    </w:p>
    <w:p>
      <w:pPr>
        <w:tabs>
          <w:tab w:pos="1761" w:val="left" w:leader="none"/>
        </w:tabs>
        <w:spacing w:line="160" w:lineRule="exact" w:before="0"/>
        <w:ind w:left="967" w:right="0" w:firstLine="0"/>
        <w:jc w:val="left"/>
        <w:rPr>
          <w:sz w:val="13"/>
        </w:rPr>
      </w:pPr>
      <w:r>
        <w:rPr>
          <w:sz w:val="13"/>
        </w:rPr>
        <w:t>38</w:t>
        <w:tab/>
        <w:t>Ibid 1090, 1092 (Logan J).</w:t>
      </w:r>
    </w:p>
    <w:p>
      <w:pPr>
        <w:pStyle w:val="ListParagraph"/>
        <w:numPr>
          <w:ilvl w:val="0"/>
          <w:numId w:val="70"/>
        </w:numPr>
        <w:tabs>
          <w:tab w:pos="1761" w:val="left" w:leader="none"/>
          <w:tab w:pos="1762" w:val="left" w:leader="none"/>
        </w:tabs>
        <w:spacing w:line="160" w:lineRule="exact" w:before="0" w:after="0"/>
        <w:ind w:left="1761" w:right="0" w:hanging="794"/>
        <w:jc w:val="left"/>
        <w:rPr>
          <w:sz w:val="13"/>
        </w:rPr>
      </w:pPr>
      <w:r>
        <w:rPr>
          <w:sz w:val="13"/>
        </w:rPr>
        <w:t>See, eg 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w:t>
      </w:r>
      <w:r>
        <w:rPr>
          <w:spacing w:val="11"/>
          <w:sz w:val="13"/>
        </w:rPr>
        <w:t> </w:t>
      </w:r>
      <w:r>
        <w:rPr>
          <w:spacing w:val="2"/>
          <w:sz w:val="13"/>
        </w:rPr>
        <w:t>36–38.</w:t>
      </w:r>
    </w:p>
    <w:p>
      <w:pPr>
        <w:pStyle w:val="ListParagraph"/>
        <w:numPr>
          <w:ilvl w:val="0"/>
          <w:numId w:val="70"/>
        </w:numPr>
        <w:tabs>
          <w:tab w:pos="1761" w:val="left" w:leader="none"/>
          <w:tab w:pos="1762" w:val="left" w:leader="none"/>
        </w:tabs>
        <w:spacing w:line="213" w:lineRule="auto" w:before="5" w:after="0"/>
        <w:ind w:left="1761" w:right="1307" w:hanging="794"/>
        <w:jc w:val="left"/>
        <w:rPr>
          <w:sz w:val="13"/>
        </w:rPr>
      </w:pPr>
      <w:r>
        <w:rPr/>
        <w:pict>
          <v:shape style="position:absolute;margin-left:36pt;margin-top:27.64459pt;width:13.95pt;height:14.1pt;mso-position-horizontal-relative:page;mso-position-vertical-relative:paragraph;z-index:7960" type="#_x0000_t202" filled="false" stroked="false">
            <v:textbox inset="0,0,0,0">
              <w:txbxContent>
                <w:p>
                  <w:pPr>
                    <w:spacing w:line="282" w:lineRule="exact" w:before="0"/>
                    <w:ind w:left="0" w:right="0" w:firstLine="0"/>
                    <w:jc w:val="left"/>
                    <w:rPr>
                      <w:b/>
                      <w:sz w:val="24"/>
                    </w:rPr>
                  </w:pPr>
                  <w:r>
                    <w:rPr>
                      <w:b/>
                      <w:color w:val="37617A"/>
                      <w:sz w:val="24"/>
                    </w:rPr>
                    <w:t>94</w:t>
                  </w:r>
                </w:p>
              </w:txbxContent>
            </v:textbox>
            <w10:wrap type="none"/>
          </v:shape>
        </w:pict>
      </w:r>
      <w:r>
        <w:rPr>
          <w:i/>
          <w:sz w:val="13"/>
        </w:rPr>
        <w:t>United States v Dempsey, </w:t>
      </w:r>
      <w:r>
        <w:rPr>
          <w:sz w:val="13"/>
        </w:rPr>
        <w:t>830 F 2d </w:t>
      </w:r>
      <w:r>
        <w:rPr>
          <w:spacing w:val="2"/>
          <w:sz w:val="13"/>
        </w:rPr>
        <w:t>1084, </w:t>
      </w:r>
      <w:r>
        <w:rPr>
          <w:sz w:val="13"/>
        </w:rPr>
        <w:t>1089 (10th Cir, 1987): Circuit Judge Logan notes ‘There is no strict secrecy rule; jurors      are not prohibited by law from discussing their </w:t>
      </w:r>
      <w:r>
        <w:rPr>
          <w:spacing w:val="2"/>
          <w:sz w:val="13"/>
        </w:rPr>
        <w:t>deliberations </w:t>
      </w:r>
      <w:r>
        <w:rPr>
          <w:sz w:val="13"/>
        </w:rPr>
        <w:t>after the case is over’. See </w:t>
      </w:r>
      <w:r>
        <w:rPr>
          <w:spacing w:val="2"/>
          <w:sz w:val="13"/>
        </w:rPr>
        <w:t>also </w:t>
      </w:r>
      <w:r>
        <w:rPr>
          <w:sz w:val="13"/>
        </w:rPr>
        <w:t>Judicial Conference of the United States, </w:t>
      </w:r>
      <w:r>
        <w:rPr>
          <w:i/>
          <w:sz w:val="13"/>
        </w:rPr>
        <w:t>Handbook for Trial Jurors </w:t>
      </w:r>
      <w:r>
        <w:rPr>
          <w:i/>
          <w:spacing w:val="2"/>
          <w:sz w:val="13"/>
        </w:rPr>
        <w:t>Serving </w:t>
      </w:r>
      <w:r>
        <w:rPr>
          <w:i/>
          <w:sz w:val="13"/>
        </w:rPr>
        <w:t>in the United States District </w:t>
      </w:r>
      <w:r>
        <w:rPr>
          <w:i/>
          <w:spacing w:val="2"/>
          <w:sz w:val="13"/>
        </w:rPr>
        <w:t>Courts </w:t>
      </w:r>
      <w:r>
        <w:rPr>
          <w:spacing w:val="2"/>
          <w:sz w:val="13"/>
        </w:rPr>
        <w:t>(Handbook </w:t>
      </w:r>
      <w:r>
        <w:rPr>
          <w:sz w:val="13"/>
        </w:rPr>
        <w:t>No HB 100, Administrative Office of the United States </w:t>
      </w:r>
      <w:r>
        <w:rPr>
          <w:spacing w:val="2"/>
          <w:sz w:val="13"/>
        </w:rPr>
        <w:t>Courts, </w:t>
      </w:r>
      <w:r>
        <w:rPr>
          <w:sz w:val="13"/>
        </w:rPr>
        <w:t>2006) </w:t>
      </w:r>
      <w:r>
        <w:rPr>
          <w:spacing w:val="3"/>
          <w:sz w:val="13"/>
        </w:rPr>
        <w:t>14 </w:t>
      </w:r>
      <w:r>
        <w:rPr>
          <w:sz w:val="13"/>
        </w:rPr>
        <w:t>&lt;</w:t>
      </w:r>
      <w:hyperlink r:id="rId156">
        <w:r>
          <w:rPr>
            <w:sz w:val="13"/>
          </w:rPr>
          <w:t>https://img.nyed.uscourts.gov/files/local_rules/trialhandbook.pdf</w:t>
        </w:r>
      </w:hyperlink>
      <w:r>
        <w:rPr>
          <w:sz w:val="13"/>
        </w:rPr>
        <w:t>&gt;. This is in contrast to jurors   in Victoria who are bound by secrecy under the </w:t>
      </w:r>
      <w:r>
        <w:rPr>
          <w:i/>
          <w:sz w:val="13"/>
        </w:rPr>
        <w:t>Juries Act 2000 </w:t>
      </w:r>
      <w:r>
        <w:rPr>
          <w:spacing w:val="2"/>
          <w:sz w:val="13"/>
        </w:rPr>
        <w:t>(Vic) </w:t>
      </w:r>
      <w:r>
        <w:rPr>
          <w:sz w:val="13"/>
        </w:rPr>
        <w:t>s</w:t>
      </w:r>
      <w:r>
        <w:rPr>
          <w:spacing w:val="7"/>
          <w:sz w:val="13"/>
        </w:rPr>
        <w:t> </w:t>
      </w:r>
      <w:r>
        <w:rPr>
          <w:spacing w:val="3"/>
          <w:sz w:val="13"/>
        </w:rPr>
        <w:t>65.</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BodyText"/>
        <w:spacing w:line="206" w:lineRule="auto" w:before="90"/>
        <w:ind w:left="1761" w:right="1335"/>
      </w:pPr>
      <w:r>
        <w:rPr/>
        <w:t>and</w:t>
      </w:r>
      <w:r>
        <w:rPr>
          <w:spacing w:val="-10"/>
        </w:rPr>
        <w:t> </w:t>
      </w:r>
      <w:r>
        <w:rPr>
          <w:spacing w:val="-3"/>
        </w:rPr>
        <w:t>may</w:t>
      </w:r>
      <w:r>
        <w:rPr>
          <w:spacing w:val="-10"/>
        </w:rPr>
        <w:t> </w:t>
      </w:r>
      <w:r>
        <w:rPr/>
        <w:t>challenge</w:t>
      </w:r>
      <w:r>
        <w:rPr>
          <w:spacing w:val="-9"/>
        </w:rPr>
        <w:t> </w:t>
      </w:r>
      <w:r>
        <w:rPr/>
        <w:t>the</w:t>
      </w:r>
      <w:r>
        <w:rPr>
          <w:spacing w:val="-10"/>
        </w:rPr>
        <w:t> </w:t>
      </w:r>
      <w:r>
        <w:rPr/>
        <w:t>selection</w:t>
      </w:r>
      <w:r>
        <w:rPr>
          <w:spacing w:val="-10"/>
        </w:rPr>
        <w:t> </w:t>
      </w:r>
      <w:r>
        <w:rPr/>
        <w:t>of</w:t>
      </w:r>
      <w:r>
        <w:rPr>
          <w:spacing w:val="-9"/>
        </w:rPr>
        <w:t> </w:t>
      </w:r>
      <w:r>
        <w:rPr/>
        <w:t>jurors</w:t>
      </w:r>
      <w:r>
        <w:rPr>
          <w:spacing w:val="-10"/>
        </w:rPr>
        <w:t> </w:t>
      </w:r>
      <w:r>
        <w:rPr/>
        <w:t>based</w:t>
      </w:r>
      <w:r>
        <w:rPr>
          <w:spacing w:val="-10"/>
        </w:rPr>
        <w:t> </w:t>
      </w:r>
      <w:r>
        <w:rPr/>
        <w:t>on</w:t>
      </w:r>
      <w:r>
        <w:rPr>
          <w:spacing w:val="-9"/>
        </w:rPr>
        <w:t> </w:t>
      </w:r>
      <w:r>
        <w:rPr/>
        <w:t>the</w:t>
      </w:r>
      <w:r>
        <w:rPr>
          <w:spacing w:val="-10"/>
        </w:rPr>
        <w:t> </w:t>
      </w:r>
      <w:r>
        <w:rPr/>
        <w:t>answers</w:t>
      </w:r>
      <w:r>
        <w:rPr>
          <w:spacing w:val="-10"/>
        </w:rPr>
        <w:t> </w:t>
      </w:r>
      <w:r>
        <w:rPr/>
        <w:t>they</w:t>
      </w:r>
      <w:r>
        <w:rPr>
          <w:spacing w:val="-9"/>
        </w:rPr>
        <w:t> </w:t>
      </w:r>
      <w:r>
        <w:rPr>
          <w:spacing w:val="-3"/>
        </w:rPr>
        <w:t>provide</w:t>
      </w:r>
      <w:r>
        <w:rPr>
          <w:spacing w:val="-10"/>
        </w:rPr>
        <w:t> </w:t>
      </w:r>
      <w:r>
        <w:rPr/>
        <w:t>and</w:t>
      </w:r>
      <w:r>
        <w:rPr>
          <w:spacing w:val="-10"/>
        </w:rPr>
        <w:t> </w:t>
      </w:r>
      <w:r>
        <w:rPr/>
        <w:t>the impressions counsel have.</w:t>
      </w:r>
      <w:r>
        <w:rPr>
          <w:position w:val="7"/>
          <w:sz w:val="11"/>
        </w:rPr>
        <w:t>41 </w:t>
      </w:r>
      <w:r>
        <w:rPr/>
        <w:t>Questions can be asked</w:t>
      </w:r>
      <w:r>
        <w:rPr>
          <w:spacing w:val="-10"/>
        </w:rPr>
        <w:t> </w:t>
      </w:r>
      <w:r>
        <w:rPr/>
        <w:t>about:</w:t>
      </w:r>
    </w:p>
    <w:p>
      <w:pPr>
        <w:spacing w:line="208" w:lineRule="auto" w:before="120"/>
        <w:ind w:left="2157" w:right="1133" w:firstLine="0"/>
        <w:jc w:val="left"/>
        <w:rPr>
          <w:sz w:val="11"/>
        </w:rPr>
      </w:pPr>
      <w:r>
        <w:rPr>
          <w:sz w:val="19"/>
        </w:rPr>
        <w:t>marital status, extent of education and area of study, crime victim status, law enforcement affiliation, prior involvement with the law or the courts, occupation, family members and their employment or occupation, and hobbies and interests.</w:t>
      </w:r>
      <w:r>
        <w:rPr>
          <w:position w:val="6"/>
          <w:sz w:val="11"/>
        </w:rPr>
        <w:t>42</w:t>
      </w:r>
    </w:p>
    <w:p>
      <w:pPr>
        <w:pStyle w:val="ListParagraph"/>
        <w:numPr>
          <w:ilvl w:val="1"/>
          <w:numId w:val="12"/>
        </w:numPr>
        <w:tabs>
          <w:tab w:pos="1761" w:val="left" w:leader="none"/>
          <w:tab w:pos="1762" w:val="left" w:leader="none"/>
        </w:tabs>
        <w:spacing w:line="206" w:lineRule="auto" w:before="124" w:after="0"/>
        <w:ind w:left="1761" w:right="1307" w:hanging="794"/>
        <w:jc w:val="left"/>
        <w:rPr>
          <w:sz w:val="20"/>
        </w:rPr>
      </w:pPr>
      <w:r>
        <w:rPr>
          <w:sz w:val="20"/>
        </w:rPr>
        <w:t>Despite differences between the United </w:t>
      </w:r>
      <w:r>
        <w:rPr>
          <w:spacing w:val="-3"/>
          <w:sz w:val="20"/>
        </w:rPr>
        <w:t>States </w:t>
      </w:r>
      <w:r>
        <w:rPr>
          <w:sz w:val="20"/>
        </w:rPr>
        <w:t>and Victorian systems, the United </w:t>
      </w:r>
      <w:r>
        <w:rPr>
          <w:spacing w:val="-3"/>
          <w:sz w:val="20"/>
        </w:rPr>
        <w:t>States</w:t>
      </w:r>
      <w:r>
        <w:rPr>
          <w:spacing w:val="-12"/>
          <w:sz w:val="20"/>
        </w:rPr>
        <w:t> </w:t>
      </w:r>
      <w:r>
        <w:rPr>
          <w:spacing w:val="-3"/>
          <w:sz w:val="20"/>
        </w:rPr>
        <w:t>example</w:t>
      </w:r>
      <w:r>
        <w:rPr>
          <w:spacing w:val="-11"/>
          <w:sz w:val="20"/>
        </w:rPr>
        <w:t> </w:t>
      </w:r>
      <w:r>
        <w:rPr>
          <w:sz w:val="20"/>
        </w:rPr>
        <w:t>is</w:t>
      </w:r>
      <w:r>
        <w:rPr>
          <w:spacing w:val="-11"/>
          <w:sz w:val="20"/>
        </w:rPr>
        <w:t> </w:t>
      </w:r>
      <w:r>
        <w:rPr>
          <w:sz w:val="20"/>
        </w:rPr>
        <w:t>instructive</w:t>
      </w:r>
      <w:r>
        <w:rPr>
          <w:spacing w:val="-11"/>
          <w:sz w:val="20"/>
        </w:rPr>
        <w:t> </w:t>
      </w:r>
      <w:r>
        <w:rPr>
          <w:sz w:val="20"/>
        </w:rPr>
        <w:t>due</w:t>
      </w:r>
      <w:r>
        <w:rPr>
          <w:spacing w:val="-11"/>
          <w:sz w:val="20"/>
        </w:rPr>
        <w:t> </w:t>
      </w:r>
      <w:r>
        <w:rPr>
          <w:sz w:val="20"/>
        </w:rPr>
        <w:t>to</w:t>
      </w:r>
      <w:r>
        <w:rPr>
          <w:spacing w:val="-11"/>
          <w:sz w:val="20"/>
        </w:rPr>
        <w:t> </w:t>
      </w:r>
      <w:r>
        <w:rPr>
          <w:sz w:val="20"/>
        </w:rPr>
        <w:t>the</w:t>
      </w:r>
      <w:r>
        <w:rPr>
          <w:spacing w:val="-11"/>
          <w:sz w:val="20"/>
        </w:rPr>
        <w:t> </w:t>
      </w:r>
      <w:r>
        <w:rPr>
          <w:sz w:val="20"/>
        </w:rPr>
        <w:t>regular</w:t>
      </w:r>
      <w:r>
        <w:rPr>
          <w:spacing w:val="-11"/>
          <w:sz w:val="20"/>
        </w:rPr>
        <w:t> </w:t>
      </w:r>
      <w:r>
        <w:rPr>
          <w:sz w:val="20"/>
        </w:rPr>
        <w:t>and</w:t>
      </w:r>
      <w:r>
        <w:rPr>
          <w:spacing w:val="-11"/>
          <w:sz w:val="20"/>
        </w:rPr>
        <w:t> </w:t>
      </w:r>
      <w:r>
        <w:rPr>
          <w:sz w:val="20"/>
        </w:rPr>
        <w:t>long-term</w:t>
      </w:r>
      <w:r>
        <w:rPr>
          <w:spacing w:val="-11"/>
          <w:sz w:val="20"/>
        </w:rPr>
        <w:t> </w:t>
      </w:r>
      <w:r>
        <w:rPr>
          <w:sz w:val="20"/>
        </w:rPr>
        <w:t>inclusion</w:t>
      </w:r>
      <w:r>
        <w:rPr>
          <w:spacing w:val="-11"/>
          <w:sz w:val="20"/>
        </w:rPr>
        <w:t> </w:t>
      </w:r>
      <w:r>
        <w:rPr>
          <w:sz w:val="20"/>
        </w:rPr>
        <w:t>of</w:t>
      </w:r>
      <w:r>
        <w:rPr>
          <w:spacing w:val="-11"/>
          <w:sz w:val="20"/>
        </w:rPr>
        <w:t> </w:t>
      </w:r>
      <w:r>
        <w:rPr>
          <w:sz w:val="20"/>
        </w:rPr>
        <w:t>people</w:t>
      </w:r>
      <w:r>
        <w:rPr>
          <w:spacing w:val="-11"/>
          <w:sz w:val="20"/>
        </w:rPr>
        <w:t> </w:t>
      </w:r>
      <w:r>
        <w:rPr>
          <w:sz w:val="20"/>
        </w:rPr>
        <w:t>with disabilities on juries. The New South </w:t>
      </w:r>
      <w:r>
        <w:rPr>
          <w:spacing w:val="-4"/>
          <w:sz w:val="20"/>
        </w:rPr>
        <w:t>Wales </w:t>
      </w:r>
      <w:r>
        <w:rPr>
          <w:sz w:val="20"/>
        </w:rPr>
        <w:t>Law Reform Commission has observed that</w:t>
      </w:r>
      <w:r>
        <w:rPr>
          <w:spacing w:val="-11"/>
          <w:sz w:val="20"/>
        </w:rPr>
        <w:t> </w:t>
      </w:r>
      <w:r>
        <w:rPr>
          <w:sz w:val="20"/>
        </w:rPr>
        <w:t>‘what</w:t>
      </w:r>
      <w:r>
        <w:rPr>
          <w:spacing w:val="-10"/>
          <w:sz w:val="20"/>
        </w:rPr>
        <w:t> </w:t>
      </w:r>
      <w:r>
        <w:rPr>
          <w:spacing w:val="-3"/>
          <w:sz w:val="20"/>
        </w:rPr>
        <w:t>are</w:t>
      </w:r>
      <w:r>
        <w:rPr>
          <w:spacing w:val="-11"/>
          <w:sz w:val="20"/>
        </w:rPr>
        <w:t> </w:t>
      </w:r>
      <w:r>
        <w:rPr>
          <w:sz w:val="20"/>
        </w:rPr>
        <w:t>sometimes</w:t>
      </w:r>
      <w:r>
        <w:rPr>
          <w:spacing w:val="-10"/>
          <w:sz w:val="20"/>
        </w:rPr>
        <w:t> </w:t>
      </w:r>
      <w:r>
        <w:rPr>
          <w:sz w:val="20"/>
        </w:rPr>
        <w:t>claimed</w:t>
      </w:r>
      <w:r>
        <w:rPr>
          <w:spacing w:val="-10"/>
          <w:sz w:val="20"/>
        </w:rPr>
        <w:t> </w:t>
      </w:r>
      <w:r>
        <w:rPr>
          <w:sz w:val="20"/>
        </w:rPr>
        <w:t>to</w:t>
      </w:r>
      <w:r>
        <w:rPr>
          <w:spacing w:val="-11"/>
          <w:sz w:val="20"/>
        </w:rPr>
        <w:t> </w:t>
      </w:r>
      <w:r>
        <w:rPr>
          <w:sz w:val="20"/>
        </w:rPr>
        <w:t>be</w:t>
      </w:r>
      <w:r>
        <w:rPr>
          <w:spacing w:val="-10"/>
          <w:sz w:val="20"/>
        </w:rPr>
        <w:t> </w:t>
      </w:r>
      <w:r>
        <w:rPr>
          <w:sz w:val="20"/>
        </w:rPr>
        <w:t>insurmountable</w:t>
      </w:r>
      <w:r>
        <w:rPr>
          <w:spacing w:val="-10"/>
          <w:sz w:val="20"/>
        </w:rPr>
        <w:t> </w:t>
      </w:r>
      <w:r>
        <w:rPr>
          <w:sz w:val="20"/>
        </w:rPr>
        <w:t>obstacles</w:t>
      </w:r>
      <w:r>
        <w:rPr>
          <w:spacing w:val="-11"/>
          <w:sz w:val="20"/>
        </w:rPr>
        <w:t> </w:t>
      </w:r>
      <w:r>
        <w:rPr>
          <w:spacing w:val="-3"/>
          <w:sz w:val="20"/>
        </w:rPr>
        <w:t>here,</w:t>
      </w:r>
      <w:r>
        <w:rPr>
          <w:spacing w:val="-10"/>
          <w:sz w:val="20"/>
        </w:rPr>
        <w:t> </w:t>
      </w:r>
      <w:r>
        <w:rPr>
          <w:sz w:val="20"/>
        </w:rPr>
        <w:t>seem</w:t>
      </w:r>
      <w:r>
        <w:rPr>
          <w:spacing w:val="-11"/>
          <w:sz w:val="20"/>
        </w:rPr>
        <w:t> </w:t>
      </w:r>
      <w:r>
        <w:rPr>
          <w:sz w:val="20"/>
        </w:rPr>
        <w:t>to</w:t>
      </w:r>
      <w:r>
        <w:rPr>
          <w:spacing w:val="-10"/>
          <w:sz w:val="20"/>
        </w:rPr>
        <w:t> </w:t>
      </w:r>
      <w:r>
        <w:rPr>
          <w:spacing w:val="-4"/>
          <w:sz w:val="20"/>
        </w:rPr>
        <w:t>have</w:t>
      </w:r>
    </w:p>
    <w:p>
      <w:pPr>
        <w:pStyle w:val="BodyText"/>
        <w:spacing w:line="250" w:lineRule="exact"/>
        <w:ind w:left="1761"/>
        <w:rPr>
          <w:sz w:val="11"/>
        </w:rPr>
      </w:pPr>
      <w:r>
        <w:rPr/>
        <w:t>caused little impediment to reform [in the United States], and with no evident ill effect’.</w:t>
      </w:r>
      <w:r>
        <w:rPr>
          <w:position w:val="7"/>
          <w:sz w:val="11"/>
        </w:rPr>
        <w:t>43</w:t>
      </w:r>
    </w:p>
    <w:p>
      <w:pPr>
        <w:pStyle w:val="Heading6"/>
        <w:spacing w:before="119"/>
        <w:rPr>
          <w:b/>
        </w:rPr>
      </w:pPr>
      <w:r>
        <w:rPr>
          <w:b/>
        </w:rPr>
        <w:t>Juries in Monroe County, New York State</w:t>
      </w:r>
    </w:p>
    <w:p>
      <w:pPr>
        <w:pStyle w:val="BodyText"/>
        <w:spacing w:before="7"/>
        <w:rPr>
          <w:rFonts w:ascii="Raleway SemiBold"/>
          <w:b/>
          <w:sz w:val="14"/>
        </w:rPr>
      </w:pPr>
      <w:r>
        <w:rPr/>
        <w:pict>
          <v:line style="position:absolute;mso-position-horizontal-relative:page;mso-position-vertical-relative:paragraph;z-index:5936;mso-wrap-distance-left:0;mso-wrap-distance-right:0" from="79.370102pt,12.30184pt" to="515.905102pt,12.30184pt" stroked="true" strokeweight=".5pt" strokecolor="#8f9dad">
            <v:stroke dashstyle="solid"/>
            <w10:wrap type="topAndBottom"/>
          </v:line>
        </w:pict>
      </w:r>
    </w:p>
    <w:p>
      <w:pPr>
        <w:spacing w:line="252" w:lineRule="auto" w:before="223"/>
        <w:ind w:left="1761" w:right="1999" w:firstLine="0"/>
        <w:jc w:val="center"/>
        <w:rPr>
          <w:rFonts w:ascii="Trebuchet MS" w:hAnsi="Trebuchet MS"/>
          <w:sz w:val="19"/>
        </w:rPr>
      </w:pPr>
      <w:r>
        <w:rPr>
          <w:rFonts w:ascii="Trebuchet MS" w:hAnsi="Trebuchet MS"/>
          <w:i/>
          <w:color w:val="37617A"/>
          <w:spacing w:val="-11"/>
          <w:w w:val="117"/>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spacing w:val="-1"/>
          <w:w w:val="73"/>
          <w:sz w:val="20"/>
        </w:rPr>
        <w:t>i</w:t>
      </w:r>
      <w:r>
        <w:rPr>
          <w:rFonts w:ascii="Trebuchet MS" w:hAnsi="Trebuchet MS"/>
          <w:i/>
          <w:color w:val="37617A"/>
          <w:spacing w:val="-2"/>
          <w:w w:val="87"/>
          <w:sz w:val="20"/>
        </w:rPr>
        <w:t>l</w:t>
      </w:r>
      <w:r>
        <w:rPr>
          <w:rFonts w:ascii="Trebuchet MS" w:hAnsi="Trebuchet MS"/>
          <w:i/>
          <w:color w:val="37617A"/>
          <w:w w:val="87"/>
          <w:sz w:val="20"/>
        </w:rPr>
        <w:t>l</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6"/>
          <w:w w:val="87"/>
          <w:sz w:val="20"/>
        </w:rPr>
        <w:t>l</w:t>
      </w:r>
      <w:r>
        <w:rPr>
          <w:rFonts w:ascii="Trebuchet MS" w:hAnsi="Trebuchet MS"/>
          <w:i/>
          <w:color w:val="37617A"/>
          <w:spacing w:val="-3"/>
          <w:w w:val="103"/>
          <w:sz w:val="20"/>
        </w:rPr>
        <w:t>w</w:t>
      </w:r>
      <w:r>
        <w:rPr>
          <w:rFonts w:ascii="Trebuchet MS" w:hAnsi="Trebuchet MS"/>
          <w:i/>
          <w:color w:val="37617A"/>
          <w:spacing w:val="-2"/>
          <w:w w:val="115"/>
          <w:sz w:val="20"/>
        </w:rPr>
        <w:t>a</w:t>
      </w:r>
      <w:r>
        <w:rPr>
          <w:rFonts w:ascii="Trebuchet MS" w:hAnsi="Trebuchet MS"/>
          <w:i/>
          <w:color w:val="37617A"/>
          <w:spacing w:val="-2"/>
          <w:w w:val="101"/>
          <w:sz w:val="20"/>
        </w:rPr>
        <w:t>y</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100"/>
          <w:sz w:val="20"/>
        </w:rPr>
        <w:t>e</w:t>
      </w:r>
      <w:r>
        <w:rPr>
          <w:rFonts w:ascii="Trebuchet MS" w:hAnsi="Trebuchet MS"/>
          <w:i/>
          <w:color w:val="37617A"/>
          <w:spacing w:val="-2"/>
          <w:w w:val="84"/>
          <w:sz w:val="20"/>
        </w:rPr>
        <w:t>r</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w w:val="73"/>
          <w:sz w:val="20"/>
        </w:rPr>
        <w:t>i</w:t>
      </w:r>
      <w:r>
        <w:rPr>
          <w:rFonts w:ascii="Trebuchet MS" w:hAnsi="Trebuchet MS"/>
          <w:i/>
          <w:color w:val="37617A"/>
          <w:spacing w:val="-1"/>
          <w:w w:val="108"/>
          <w:sz w:val="20"/>
        </w:rPr>
        <w:t>d</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2"/>
          <w:w w:val="87"/>
          <w:sz w:val="20"/>
        </w:rPr>
        <w:t>l</w:t>
      </w:r>
      <w:r>
        <w:rPr>
          <w:rFonts w:ascii="Trebuchet MS" w:hAnsi="Trebuchet MS"/>
          <w:i/>
          <w:color w:val="37617A"/>
          <w:spacing w:val="-3"/>
          <w:w w:val="87"/>
          <w:sz w:val="20"/>
        </w:rPr>
        <w:t>l</w:t>
      </w:r>
      <w:r>
        <w:rPr>
          <w:rFonts w:ascii="Trebuchet MS" w:hAnsi="Trebuchet MS"/>
          <w:i/>
          <w:color w:val="37617A"/>
          <w:spacing w:val="-4"/>
          <w:w w:val="107"/>
          <w:sz w:val="20"/>
        </w:rPr>
        <w:t>o</w:t>
      </w:r>
      <w:r>
        <w:rPr>
          <w:rFonts w:ascii="Trebuchet MS" w:hAnsi="Trebuchet MS"/>
          <w:i/>
          <w:color w:val="37617A"/>
          <w:spacing w:val="-3"/>
          <w:w w:val="103"/>
          <w:sz w:val="20"/>
        </w:rPr>
        <w:t>w</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spacing w:val="-2"/>
          <w:w w:val="117"/>
          <w:sz w:val="20"/>
        </w:rPr>
        <w:t>s</w:t>
      </w:r>
      <w:r>
        <w:rPr>
          <w:rFonts w:ascii="Trebuchet MS" w:hAnsi="Trebuchet MS"/>
          <w:i/>
          <w:color w:val="37617A"/>
          <w:spacing w:val="1"/>
          <w:w w:val="100"/>
          <w:sz w:val="20"/>
        </w:rPr>
        <w:t>e</w:t>
      </w:r>
      <w:r>
        <w:rPr>
          <w:rFonts w:ascii="Trebuchet MS" w:hAnsi="Trebuchet MS"/>
          <w:i/>
          <w:color w:val="37617A"/>
          <w:spacing w:val="3"/>
          <w:w w:val="84"/>
          <w:sz w:val="20"/>
        </w:rPr>
        <w:t>r</w:t>
      </w:r>
      <w:r>
        <w:rPr>
          <w:rFonts w:ascii="Trebuchet MS" w:hAnsi="Trebuchet MS"/>
          <w:i/>
          <w:color w:val="37617A"/>
          <w:spacing w:val="-3"/>
          <w:w w:val="103"/>
          <w:sz w:val="20"/>
        </w:rPr>
        <w:t>v</w:t>
      </w:r>
      <w:r>
        <w:rPr>
          <w:rFonts w:ascii="Trebuchet MS" w:hAnsi="Trebuchet MS"/>
          <w:i/>
          <w:color w:val="37617A"/>
          <w:spacing w:val="1"/>
          <w:w w:val="100"/>
          <w:sz w:val="20"/>
        </w:rPr>
        <w:t>e</w:t>
      </w:r>
      <w:r>
        <w:rPr>
          <w:rFonts w:ascii="Trebuchet MS" w:hAnsi="Trebuchet MS"/>
          <w:i/>
          <w:color w:val="37617A"/>
          <w:w w:val="54"/>
          <w:sz w:val="20"/>
        </w:rPr>
        <w:t>.</w:t>
      </w:r>
      <w:r>
        <w:rPr>
          <w:rFonts w:ascii="Trebuchet MS" w:hAnsi="Trebuchet MS"/>
          <w:i/>
          <w:color w:val="37617A"/>
          <w:spacing w:val="-13"/>
          <w:sz w:val="20"/>
        </w:rPr>
        <w:t> </w:t>
      </w:r>
      <w:r>
        <w:rPr>
          <w:rFonts w:ascii="Trebuchet MS" w:hAnsi="Trebuchet MS"/>
          <w:i/>
          <w:color w:val="37617A"/>
          <w:spacing w:val="-11"/>
          <w:w w:val="117"/>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3"/>
          <w:w w:val="84"/>
          <w:sz w:val="20"/>
        </w:rPr>
        <w:t>r</w:t>
      </w:r>
      <w:r>
        <w:rPr>
          <w:rFonts w:ascii="Trebuchet MS" w:hAnsi="Trebuchet MS"/>
          <w:i/>
          <w:color w:val="37617A"/>
          <w:w w:val="115"/>
          <w:sz w:val="20"/>
        </w:rPr>
        <w:t>a</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6"/>
          <w:w w:val="87"/>
          <w:sz w:val="20"/>
        </w:rPr>
        <w:t>l</w:t>
      </w:r>
      <w:r>
        <w:rPr>
          <w:rFonts w:ascii="Trebuchet MS" w:hAnsi="Trebuchet MS"/>
          <w:i/>
          <w:color w:val="37617A"/>
          <w:spacing w:val="-9"/>
          <w:w w:val="101"/>
          <w:sz w:val="20"/>
        </w:rPr>
        <w:t>y</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1"/>
          <w:w w:val="73"/>
          <w:sz w:val="20"/>
        </w:rPr>
        <w:t>i</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spacing w:val="-3"/>
          <w:w w:val="100"/>
          <w:sz w:val="20"/>
        </w:rPr>
        <w:t>e</w:t>
      </w:r>
      <w:r>
        <w:rPr>
          <w:rFonts w:ascii="Trebuchet MS" w:hAnsi="Trebuchet MS"/>
          <w:i/>
          <w:color w:val="37617A"/>
          <w:spacing w:val="-3"/>
          <w:w w:val="103"/>
          <w:sz w:val="20"/>
        </w:rPr>
        <w:t>v</w:t>
      </w:r>
      <w:r>
        <w:rPr>
          <w:rFonts w:ascii="Trebuchet MS" w:hAnsi="Trebuchet MS"/>
          <w:i/>
          <w:color w:val="37617A"/>
          <w:spacing w:val="1"/>
          <w:w w:val="100"/>
          <w:sz w:val="20"/>
        </w:rPr>
        <w:t>e</w:t>
      </w:r>
      <w:r>
        <w:rPr>
          <w:rFonts w:ascii="Trebuchet MS" w:hAnsi="Trebuchet MS"/>
          <w:i/>
          <w:color w:val="37617A"/>
          <w:spacing w:val="-12"/>
          <w:w w:val="84"/>
          <w:sz w:val="20"/>
        </w:rPr>
        <w:t>r</w:t>
      </w:r>
      <w:r>
        <w:rPr>
          <w:rFonts w:ascii="Trebuchet MS" w:hAnsi="Trebuchet MS"/>
          <w:i/>
          <w:color w:val="37617A"/>
          <w:w w:val="56"/>
          <w:sz w:val="20"/>
        </w:rPr>
        <w:t>,</w:t>
      </w:r>
      <w:r>
        <w:rPr>
          <w:rFonts w:ascii="Trebuchet MS" w:hAnsi="Trebuchet MS"/>
          <w:i/>
          <w:color w:val="37617A"/>
          <w:w w:val="56"/>
          <w:sz w:val="20"/>
        </w:rPr>
        <w:t> </w:t>
      </w:r>
      <w:r>
        <w:rPr>
          <w:rFonts w:ascii="Trebuchet MS" w:hAnsi="Trebuchet MS"/>
          <w:i/>
          <w:color w:val="37617A"/>
          <w:spacing w:val="-1"/>
          <w:w w:val="108"/>
          <w:sz w:val="20"/>
        </w:rPr>
        <w:t>d</w:t>
      </w:r>
      <w:r>
        <w:rPr>
          <w:rFonts w:ascii="Trebuchet MS" w:hAnsi="Trebuchet MS"/>
          <w:i/>
          <w:color w:val="37617A"/>
          <w:spacing w:val="1"/>
          <w:w w:val="100"/>
          <w:sz w:val="20"/>
        </w:rPr>
        <w:t>e</w:t>
      </w:r>
      <w:r>
        <w:rPr>
          <w:rFonts w:ascii="Trebuchet MS" w:hAnsi="Trebuchet MS"/>
          <w:i/>
          <w:color w:val="37617A"/>
          <w:spacing w:val="-4"/>
          <w:w w:val="103"/>
          <w:sz w:val="20"/>
        </w:rPr>
        <w:t>n</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1"/>
          <w:w w:val="115"/>
          <w:sz w:val="20"/>
        </w:rPr>
        <w:t>a</w:t>
      </w:r>
      <w:r>
        <w:rPr>
          <w:rFonts w:ascii="Trebuchet MS" w:hAnsi="Trebuchet MS"/>
          <w:i/>
          <w:color w:val="37617A"/>
          <w:spacing w:val="-1"/>
          <w:w w:val="115"/>
          <w:sz w:val="20"/>
        </w:rPr>
        <w:t>cc</w:t>
      </w:r>
      <w:r>
        <w:rPr>
          <w:rFonts w:ascii="Trebuchet MS" w:hAnsi="Trebuchet MS"/>
          <w:i/>
          <w:color w:val="37617A"/>
          <w:w w:val="107"/>
          <w:sz w:val="20"/>
        </w:rPr>
        <w:t>o</w:t>
      </w:r>
      <w:r>
        <w:rPr>
          <w:rFonts w:ascii="Trebuchet MS" w:hAnsi="Trebuchet MS"/>
          <w:i/>
          <w:color w:val="37617A"/>
          <w:w w:val="106"/>
          <w:sz w:val="20"/>
        </w:rPr>
        <w:t>mm</w:t>
      </w:r>
      <w:r>
        <w:rPr>
          <w:rFonts w:ascii="Trebuchet MS" w:hAnsi="Trebuchet MS"/>
          <w:i/>
          <w:color w:val="37617A"/>
          <w:spacing w:val="1"/>
          <w:w w:val="107"/>
          <w:sz w:val="20"/>
        </w:rPr>
        <w:t>o</w:t>
      </w:r>
      <w:r>
        <w:rPr>
          <w:rFonts w:ascii="Trebuchet MS" w:hAnsi="Trebuchet MS"/>
          <w:i/>
          <w:color w:val="37617A"/>
          <w:spacing w:val="-1"/>
          <w:w w:val="108"/>
          <w:sz w:val="20"/>
        </w:rPr>
        <w:t>d</w:t>
      </w:r>
      <w:r>
        <w:rPr>
          <w:rFonts w:ascii="Trebuchet MS" w:hAnsi="Trebuchet MS"/>
          <w:i/>
          <w:color w:val="37617A"/>
          <w:spacing w:val="-1"/>
          <w:w w:val="99"/>
          <w:sz w:val="20"/>
        </w:rPr>
        <w:t>at</w:t>
      </w:r>
      <w:r>
        <w:rPr>
          <w:rFonts w:ascii="Trebuchet MS" w:hAnsi="Trebuchet MS"/>
          <w:i/>
          <w:color w:val="37617A"/>
          <w:w w:val="73"/>
          <w:sz w:val="20"/>
        </w:rPr>
        <w:t>i</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w w:val="107"/>
          <w:sz w:val="20"/>
        </w:rPr>
        <w:t>q</w:t>
      </w:r>
      <w:r>
        <w:rPr>
          <w:rFonts w:ascii="Trebuchet MS" w:hAnsi="Trebuchet MS"/>
          <w:i/>
          <w:color w:val="37617A"/>
          <w:spacing w:val="-1"/>
          <w:w w:val="103"/>
          <w:sz w:val="20"/>
        </w:rPr>
        <w:t>u</w:t>
      </w:r>
      <w:r>
        <w:rPr>
          <w:rFonts w:ascii="Trebuchet MS" w:hAnsi="Trebuchet MS"/>
          <w:i/>
          <w:color w:val="37617A"/>
          <w:w w:val="100"/>
          <w:sz w:val="20"/>
        </w:rPr>
        <w:t>e</w:t>
      </w:r>
      <w:r>
        <w:rPr>
          <w:rFonts w:ascii="Trebuchet MS" w:hAnsi="Trebuchet MS"/>
          <w:i/>
          <w:color w:val="37617A"/>
          <w:spacing w:val="-1"/>
          <w:w w:val="117"/>
          <w:sz w:val="20"/>
        </w:rPr>
        <w:t>s</w:t>
      </w:r>
      <w:r>
        <w:rPr>
          <w:rFonts w:ascii="Trebuchet MS" w:hAnsi="Trebuchet MS"/>
          <w:i/>
          <w:color w:val="37617A"/>
          <w:spacing w:val="1"/>
          <w:w w:val="80"/>
          <w:sz w:val="20"/>
        </w:rPr>
        <w:t>t</w:t>
      </w:r>
      <w:r>
        <w:rPr>
          <w:rFonts w:ascii="Trebuchet MS" w:hAnsi="Trebuchet MS"/>
          <w:i/>
          <w:color w:val="37617A"/>
          <w:spacing w:val="7"/>
          <w:w w:val="54"/>
          <w:sz w:val="20"/>
        </w:rPr>
        <w:t>.</w:t>
      </w:r>
      <w:r>
        <w:rPr>
          <w:rFonts w:ascii="Trebuchet MS" w:hAnsi="Trebuchet MS"/>
          <w:i/>
          <w:color w:val="37617A"/>
          <w:spacing w:val="2"/>
          <w:w w:val="108"/>
          <w:position w:val="7"/>
          <w:sz w:val="11"/>
        </w:rPr>
        <w:t>4</w:t>
      </w:r>
      <w:r>
        <w:rPr>
          <w:rFonts w:ascii="Trebuchet MS" w:hAnsi="Trebuchet MS"/>
          <w:i/>
          <w:color w:val="37617A"/>
          <w:spacing w:val="6"/>
          <w:w w:val="108"/>
          <w:position w:val="7"/>
          <w:sz w:val="11"/>
        </w:rPr>
        <w:t>4</w:t>
      </w:r>
      <w:r>
        <w:rPr>
          <w:rFonts w:ascii="Trebuchet MS" w:hAnsi="Trebuchet MS"/>
          <w:color w:val="37617A"/>
          <w:spacing w:val="-11"/>
          <w:w w:val="124"/>
          <w:sz w:val="19"/>
        </w:rPr>
        <w:t>—</w:t>
      </w:r>
      <w:r>
        <w:rPr>
          <w:rFonts w:ascii="Trebuchet MS" w:hAnsi="Trebuchet MS"/>
          <w:color w:val="37617A"/>
          <w:w w:val="101"/>
          <w:sz w:val="19"/>
        </w:rPr>
        <w:t>J</w:t>
      </w:r>
      <w:r>
        <w:rPr>
          <w:rFonts w:ascii="Trebuchet MS" w:hAnsi="Trebuchet MS"/>
          <w:color w:val="37617A"/>
          <w:w w:val="109"/>
          <w:sz w:val="19"/>
        </w:rPr>
        <w:t>u</w:t>
      </w:r>
      <w:r>
        <w:rPr>
          <w:rFonts w:ascii="Trebuchet MS" w:hAnsi="Trebuchet MS"/>
          <w:color w:val="37617A"/>
          <w:spacing w:val="5"/>
          <w:w w:val="93"/>
          <w:sz w:val="19"/>
        </w:rPr>
        <w:t>r</w:t>
      </w:r>
      <w:r>
        <w:rPr>
          <w:rFonts w:ascii="Trebuchet MS" w:hAnsi="Trebuchet MS"/>
          <w:color w:val="37617A"/>
          <w:w w:val="110"/>
          <w:sz w:val="19"/>
        </w:rPr>
        <w:t>y</w:t>
      </w:r>
      <w:r>
        <w:rPr>
          <w:rFonts w:ascii="Trebuchet MS" w:hAnsi="Trebuchet MS"/>
          <w:color w:val="37617A"/>
          <w:spacing w:val="-12"/>
          <w:sz w:val="19"/>
        </w:rPr>
        <w:t> </w:t>
      </w:r>
      <w:r>
        <w:rPr>
          <w:rFonts w:ascii="Trebuchet MS" w:hAnsi="Trebuchet MS"/>
          <w:color w:val="37617A"/>
          <w:w w:val="114"/>
          <w:sz w:val="19"/>
        </w:rPr>
        <w:t>C</w:t>
      </w:r>
      <w:r>
        <w:rPr>
          <w:rFonts w:ascii="Trebuchet MS" w:hAnsi="Trebuchet MS"/>
          <w:color w:val="37617A"/>
          <w:w w:val="111"/>
          <w:sz w:val="19"/>
        </w:rPr>
        <w:t>om</w:t>
      </w:r>
      <w:r>
        <w:rPr>
          <w:rFonts w:ascii="Trebuchet MS" w:hAnsi="Trebuchet MS"/>
          <w:color w:val="37617A"/>
          <w:w w:val="111"/>
          <w:sz w:val="19"/>
        </w:rPr>
        <w:t>m</w:t>
      </w:r>
      <w:r>
        <w:rPr>
          <w:rFonts w:ascii="Trebuchet MS" w:hAnsi="Trebuchet MS"/>
          <w:color w:val="37617A"/>
          <w:w w:val="104"/>
          <w:sz w:val="19"/>
        </w:rPr>
        <w:t>i</w:t>
      </w:r>
      <w:r>
        <w:rPr>
          <w:rFonts w:ascii="Trebuchet MS" w:hAnsi="Trebuchet MS"/>
          <w:color w:val="37617A"/>
          <w:spacing w:val="1"/>
          <w:w w:val="104"/>
          <w:sz w:val="19"/>
        </w:rPr>
        <w:t>s</w:t>
      </w:r>
      <w:r>
        <w:rPr>
          <w:rFonts w:ascii="Trebuchet MS" w:hAnsi="Trebuchet MS"/>
          <w:color w:val="37617A"/>
          <w:w w:val="104"/>
          <w:sz w:val="19"/>
        </w:rPr>
        <w:t>si</w:t>
      </w:r>
      <w:r>
        <w:rPr>
          <w:rFonts w:ascii="Trebuchet MS" w:hAnsi="Trebuchet MS"/>
          <w:color w:val="37617A"/>
          <w:w w:val="109"/>
          <w:sz w:val="19"/>
        </w:rPr>
        <w:t>on</w:t>
      </w:r>
      <w:r>
        <w:rPr>
          <w:rFonts w:ascii="Trebuchet MS" w:hAnsi="Trebuchet MS"/>
          <w:color w:val="37617A"/>
          <w:w w:val="108"/>
          <w:sz w:val="19"/>
        </w:rPr>
        <w:t>e</w:t>
      </w:r>
      <w:r>
        <w:rPr>
          <w:rFonts w:ascii="Trebuchet MS" w:hAnsi="Trebuchet MS"/>
          <w:color w:val="37617A"/>
          <w:spacing w:val="-11"/>
          <w:w w:val="93"/>
          <w:sz w:val="19"/>
        </w:rPr>
        <w:t>r</w:t>
      </w:r>
      <w:r>
        <w:rPr>
          <w:rFonts w:ascii="Trebuchet MS" w:hAnsi="Trebuchet MS"/>
          <w:color w:val="37617A"/>
          <w:w w:val="57"/>
          <w:sz w:val="19"/>
        </w:rPr>
        <w:t>,</w:t>
      </w:r>
      <w:r>
        <w:rPr>
          <w:rFonts w:ascii="Trebuchet MS" w:hAnsi="Trebuchet MS"/>
          <w:color w:val="37617A"/>
          <w:spacing w:val="-12"/>
          <w:sz w:val="19"/>
        </w:rPr>
        <w:t> </w:t>
      </w:r>
      <w:r>
        <w:rPr>
          <w:rFonts w:ascii="Trebuchet MS" w:hAnsi="Trebuchet MS"/>
          <w:color w:val="37617A"/>
          <w:w w:val="120"/>
          <w:sz w:val="19"/>
        </w:rPr>
        <w:t>N</w:t>
      </w:r>
      <w:r>
        <w:rPr>
          <w:rFonts w:ascii="Trebuchet MS" w:hAnsi="Trebuchet MS"/>
          <w:color w:val="37617A"/>
          <w:spacing w:val="-3"/>
          <w:w w:val="108"/>
          <w:sz w:val="19"/>
        </w:rPr>
        <w:t>e</w:t>
      </w:r>
      <w:r>
        <w:rPr>
          <w:rFonts w:ascii="Trebuchet MS" w:hAnsi="Trebuchet MS"/>
          <w:color w:val="37617A"/>
          <w:w w:val="110"/>
          <w:sz w:val="19"/>
        </w:rPr>
        <w:t>w</w:t>
      </w:r>
      <w:r>
        <w:rPr>
          <w:rFonts w:ascii="Trebuchet MS" w:hAnsi="Trebuchet MS"/>
          <w:color w:val="37617A"/>
          <w:spacing w:val="-12"/>
          <w:sz w:val="19"/>
        </w:rPr>
        <w:t> </w:t>
      </w:r>
      <w:r>
        <w:rPr>
          <w:rFonts w:ascii="Trebuchet MS" w:hAnsi="Trebuchet MS"/>
          <w:color w:val="37617A"/>
          <w:spacing w:val="-15"/>
          <w:w w:val="114"/>
          <w:sz w:val="19"/>
        </w:rPr>
        <w:t>Y</w:t>
      </w:r>
      <w:r>
        <w:rPr>
          <w:rFonts w:ascii="Trebuchet MS" w:hAnsi="Trebuchet MS"/>
          <w:color w:val="37617A"/>
          <w:w w:val="103"/>
          <w:sz w:val="19"/>
        </w:rPr>
        <w:t>o</w:t>
      </w:r>
      <w:r>
        <w:rPr>
          <w:rFonts w:ascii="Trebuchet MS" w:hAnsi="Trebuchet MS"/>
          <w:color w:val="37617A"/>
          <w:spacing w:val="-1"/>
          <w:w w:val="103"/>
          <w:sz w:val="19"/>
        </w:rPr>
        <w:t>r</w:t>
      </w:r>
      <w:r>
        <w:rPr>
          <w:rFonts w:ascii="Trebuchet MS" w:hAnsi="Trebuchet MS"/>
          <w:color w:val="37617A"/>
          <w:w w:val="106"/>
          <w:sz w:val="19"/>
        </w:rPr>
        <w:t>k</w:t>
      </w:r>
      <w:r>
        <w:rPr>
          <w:rFonts w:ascii="Trebuchet MS" w:hAnsi="Trebuchet MS"/>
          <w:color w:val="37617A"/>
          <w:spacing w:val="-12"/>
          <w:sz w:val="19"/>
        </w:rPr>
        <w:t> </w:t>
      </w:r>
      <w:r>
        <w:rPr>
          <w:rFonts w:ascii="Trebuchet MS" w:hAnsi="Trebuchet MS"/>
          <w:color w:val="37617A"/>
          <w:spacing w:val="-2"/>
          <w:w w:val="126"/>
          <w:sz w:val="19"/>
        </w:rPr>
        <w:t>S</w:t>
      </w:r>
      <w:r>
        <w:rPr>
          <w:rFonts w:ascii="Trebuchet MS" w:hAnsi="Trebuchet MS"/>
          <w:color w:val="37617A"/>
          <w:spacing w:val="1"/>
          <w:w w:val="88"/>
          <w:sz w:val="19"/>
        </w:rPr>
        <w:t>t</w:t>
      </w:r>
      <w:r>
        <w:rPr>
          <w:rFonts w:ascii="Trebuchet MS" w:hAnsi="Trebuchet MS"/>
          <w:color w:val="37617A"/>
          <w:spacing w:val="-3"/>
          <w:w w:val="105"/>
          <w:sz w:val="19"/>
        </w:rPr>
        <w:t>a</w:t>
      </w:r>
      <w:r>
        <w:rPr>
          <w:rFonts w:ascii="Trebuchet MS" w:hAnsi="Trebuchet MS"/>
          <w:color w:val="37617A"/>
          <w:spacing w:val="-3"/>
          <w:w w:val="88"/>
          <w:sz w:val="19"/>
        </w:rPr>
        <w:t>t</w:t>
      </w:r>
      <w:r>
        <w:rPr>
          <w:rFonts w:ascii="Trebuchet MS" w:hAnsi="Trebuchet MS"/>
          <w:color w:val="37617A"/>
          <w:w w:val="108"/>
          <w:sz w:val="19"/>
        </w:rPr>
        <w:t>e</w:t>
      </w:r>
      <w:r>
        <w:rPr>
          <w:rFonts w:ascii="Trebuchet MS" w:hAnsi="Trebuchet MS"/>
          <w:color w:val="37617A"/>
          <w:spacing w:val="-12"/>
          <w:sz w:val="19"/>
        </w:rPr>
        <w:t> </w:t>
      </w:r>
      <w:r>
        <w:rPr>
          <w:rFonts w:ascii="Trebuchet MS" w:hAnsi="Trebuchet MS"/>
          <w:color w:val="37617A"/>
          <w:w w:val="114"/>
          <w:sz w:val="19"/>
        </w:rPr>
        <w:t>C</w:t>
      </w:r>
      <w:r>
        <w:rPr>
          <w:rFonts w:ascii="Trebuchet MS" w:hAnsi="Trebuchet MS"/>
          <w:color w:val="37617A"/>
          <w:w w:val="111"/>
          <w:sz w:val="19"/>
        </w:rPr>
        <w:t>o</w:t>
      </w:r>
      <w:r>
        <w:rPr>
          <w:rFonts w:ascii="Trebuchet MS" w:hAnsi="Trebuchet MS"/>
          <w:color w:val="37617A"/>
          <w:w w:val="109"/>
          <w:sz w:val="19"/>
        </w:rPr>
        <w:t>u</w:t>
      </w:r>
      <w:r>
        <w:rPr>
          <w:rFonts w:ascii="Trebuchet MS" w:hAnsi="Trebuchet MS"/>
          <w:color w:val="37617A"/>
          <w:spacing w:val="3"/>
          <w:w w:val="93"/>
          <w:sz w:val="19"/>
        </w:rPr>
        <w:t>r</w:t>
      </w:r>
      <w:r>
        <w:rPr>
          <w:rFonts w:ascii="Trebuchet MS" w:hAnsi="Trebuchet MS"/>
          <w:color w:val="37617A"/>
          <w:spacing w:val="3"/>
          <w:w w:val="88"/>
          <w:sz w:val="19"/>
        </w:rPr>
        <w:t>t</w:t>
      </w:r>
      <w:r>
        <w:rPr>
          <w:rFonts w:ascii="Trebuchet MS" w:hAnsi="Trebuchet MS"/>
          <w:color w:val="37617A"/>
          <w:w w:val="122"/>
          <w:sz w:val="19"/>
        </w:rPr>
        <w:t>s </w:t>
      </w:r>
      <w:r>
        <w:rPr>
          <w:rFonts w:ascii="Trebuchet MS" w:hAnsi="Trebuchet MS"/>
          <w:color w:val="37617A"/>
          <w:spacing w:val="-1"/>
          <w:w w:val="80"/>
          <w:sz w:val="19"/>
        </w:rPr>
        <w:t>i</w:t>
      </w:r>
      <w:r>
        <w:rPr>
          <w:rFonts w:ascii="Trebuchet MS" w:hAnsi="Trebuchet MS"/>
          <w:color w:val="37617A"/>
          <w:w w:val="107"/>
          <w:sz w:val="19"/>
        </w:rPr>
        <w:t>n</w:t>
      </w:r>
      <w:r>
        <w:rPr>
          <w:rFonts w:ascii="Trebuchet MS" w:hAnsi="Trebuchet MS"/>
          <w:color w:val="37617A"/>
          <w:spacing w:val="-12"/>
          <w:sz w:val="19"/>
        </w:rPr>
        <w:t> </w:t>
      </w:r>
      <w:r>
        <w:rPr>
          <w:rFonts w:ascii="Trebuchet MS" w:hAnsi="Trebuchet MS"/>
          <w:color w:val="37617A"/>
          <w:spacing w:val="-1"/>
          <w:w w:val="112"/>
          <w:sz w:val="19"/>
        </w:rPr>
        <w:t>R</w:t>
      </w:r>
      <w:r>
        <w:rPr>
          <w:rFonts w:ascii="Trebuchet MS" w:hAnsi="Trebuchet MS"/>
          <w:color w:val="37617A"/>
          <w:w w:val="112"/>
          <w:sz w:val="19"/>
        </w:rPr>
        <w:t>o</w:t>
      </w:r>
      <w:r>
        <w:rPr>
          <w:rFonts w:ascii="Trebuchet MS" w:hAnsi="Trebuchet MS"/>
          <w:color w:val="37617A"/>
          <w:spacing w:val="-1"/>
          <w:w w:val="111"/>
          <w:sz w:val="19"/>
        </w:rPr>
        <w:t>c</w:t>
      </w:r>
      <w:r>
        <w:rPr>
          <w:rFonts w:ascii="Trebuchet MS" w:hAnsi="Trebuchet MS"/>
          <w:color w:val="37617A"/>
          <w:w w:val="107"/>
          <w:sz w:val="19"/>
        </w:rPr>
        <w:t>h</w:t>
      </w:r>
      <w:r>
        <w:rPr>
          <w:rFonts w:ascii="Trebuchet MS" w:hAnsi="Trebuchet MS"/>
          <w:color w:val="37617A"/>
          <w:spacing w:val="-1"/>
          <w:w w:val="108"/>
          <w:sz w:val="19"/>
        </w:rPr>
        <w:t>e</w:t>
      </w:r>
      <w:r>
        <w:rPr>
          <w:rFonts w:ascii="Trebuchet MS" w:hAnsi="Trebuchet MS"/>
          <w:color w:val="37617A"/>
          <w:w w:val="122"/>
          <w:sz w:val="19"/>
        </w:rPr>
        <w:t>s</w:t>
      </w:r>
      <w:r>
        <w:rPr>
          <w:rFonts w:ascii="Trebuchet MS" w:hAnsi="Trebuchet MS"/>
          <w:color w:val="37617A"/>
          <w:spacing w:val="-3"/>
          <w:w w:val="88"/>
          <w:sz w:val="19"/>
        </w:rPr>
        <w:t>t</w:t>
      </w:r>
      <w:r>
        <w:rPr>
          <w:rFonts w:ascii="Trebuchet MS" w:hAnsi="Trebuchet MS"/>
          <w:color w:val="37617A"/>
          <w:w w:val="108"/>
          <w:sz w:val="19"/>
        </w:rPr>
        <w:t>e</w:t>
      </w:r>
      <w:r>
        <w:rPr>
          <w:rFonts w:ascii="Trebuchet MS" w:hAnsi="Trebuchet MS"/>
          <w:color w:val="37617A"/>
          <w:spacing w:val="-11"/>
          <w:w w:val="93"/>
          <w:sz w:val="19"/>
        </w:rPr>
        <w:t>r</w:t>
      </w:r>
      <w:r>
        <w:rPr>
          <w:rFonts w:ascii="Trebuchet MS" w:hAnsi="Trebuchet MS"/>
          <w:color w:val="37617A"/>
          <w:w w:val="57"/>
          <w:sz w:val="19"/>
        </w:rPr>
        <w:t>,</w:t>
      </w:r>
      <w:r>
        <w:rPr>
          <w:rFonts w:ascii="Trebuchet MS" w:hAnsi="Trebuchet MS"/>
          <w:color w:val="37617A"/>
          <w:spacing w:val="-12"/>
          <w:sz w:val="19"/>
        </w:rPr>
        <w:t> </w:t>
      </w:r>
      <w:r>
        <w:rPr>
          <w:rFonts w:ascii="Trebuchet MS" w:hAnsi="Trebuchet MS"/>
          <w:color w:val="37617A"/>
          <w:w w:val="123"/>
          <w:sz w:val="19"/>
        </w:rPr>
        <w:t>M</w:t>
      </w:r>
      <w:r>
        <w:rPr>
          <w:rFonts w:ascii="Trebuchet MS" w:hAnsi="Trebuchet MS"/>
          <w:color w:val="37617A"/>
          <w:w w:val="111"/>
          <w:sz w:val="19"/>
        </w:rPr>
        <w:t>o</w:t>
      </w:r>
      <w:r>
        <w:rPr>
          <w:rFonts w:ascii="Trebuchet MS" w:hAnsi="Trebuchet MS"/>
          <w:color w:val="37617A"/>
          <w:w w:val="107"/>
          <w:sz w:val="19"/>
        </w:rPr>
        <w:t>n</w:t>
      </w:r>
      <w:r>
        <w:rPr>
          <w:rFonts w:ascii="Trebuchet MS" w:hAnsi="Trebuchet MS"/>
          <w:color w:val="37617A"/>
          <w:spacing w:val="-3"/>
          <w:w w:val="93"/>
          <w:sz w:val="19"/>
        </w:rPr>
        <w:t>r</w:t>
      </w:r>
      <w:r>
        <w:rPr>
          <w:rFonts w:ascii="Trebuchet MS" w:hAnsi="Trebuchet MS"/>
          <w:color w:val="37617A"/>
          <w:w w:val="111"/>
          <w:sz w:val="19"/>
        </w:rPr>
        <w:t>o</w:t>
      </w:r>
      <w:r>
        <w:rPr>
          <w:rFonts w:ascii="Trebuchet MS" w:hAnsi="Trebuchet MS"/>
          <w:color w:val="37617A"/>
          <w:w w:val="108"/>
          <w:sz w:val="19"/>
        </w:rPr>
        <w:t>e</w:t>
      </w:r>
      <w:r>
        <w:rPr>
          <w:rFonts w:ascii="Trebuchet MS" w:hAnsi="Trebuchet MS"/>
          <w:color w:val="37617A"/>
          <w:spacing w:val="-12"/>
          <w:sz w:val="19"/>
        </w:rPr>
        <w:t> </w:t>
      </w:r>
      <w:r>
        <w:rPr>
          <w:rFonts w:ascii="Trebuchet MS" w:hAnsi="Trebuchet MS"/>
          <w:color w:val="37617A"/>
          <w:w w:val="114"/>
          <w:sz w:val="19"/>
        </w:rPr>
        <w:t>C</w:t>
      </w:r>
      <w:r>
        <w:rPr>
          <w:rFonts w:ascii="Trebuchet MS" w:hAnsi="Trebuchet MS"/>
          <w:color w:val="37617A"/>
          <w:w w:val="111"/>
          <w:sz w:val="19"/>
        </w:rPr>
        <w:t>o</w:t>
      </w:r>
      <w:r>
        <w:rPr>
          <w:rFonts w:ascii="Trebuchet MS" w:hAnsi="Trebuchet MS"/>
          <w:color w:val="37617A"/>
          <w:w w:val="109"/>
          <w:sz w:val="19"/>
        </w:rPr>
        <w:t>u</w:t>
      </w:r>
      <w:r>
        <w:rPr>
          <w:rFonts w:ascii="Trebuchet MS" w:hAnsi="Trebuchet MS"/>
          <w:color w:val="37617A"/>
          <w:spacing w:val="-2"/>
          <w:w w:val="107"/>
          <w:sz w:val="19"/>
        </w:rPr>
        <w:t>n</w:t>
      </w:r>
      <w:r>
        <w:rPr>
          <w:rFonts w:ascii="Trebuchet MS" w:hAnsi="Trebuchet MS"/>
          <w:color w:val="37617A"/>
          <w:spacing w:val="1"/>
          <w:w w:val="88"/>
          <w:sz w:val="19"/>
        </w:rPr>
        <w:t>t</w:t>
      </w:r>
      <w:r>
        <w:rPr>
          <w:rFonts w:ascii="Trebuchet MS" w:hAnsi="Trebuchet MS"/>
          <w:color w:val="37617A"/>
          <w:spacing w:val="-11"/>
          <w:w w:val="110"/>
          <w:sz w:val="19"/>
        </w:rPr>
        <w:t>y</w:t>
      </w:r>
      <w:r>
        <w:rPr>
          <w:rFonts w:ascii="Trebuchet MS" w:hAnsi="Trebuchet MS"/>
          <w:color w:val="37617A"/>
          <w:w w:val="57"/>
          <w:sz w:val="19"/>
        </w:rPr>
        <w:t>,</w:t>
      </w:r>
      <w:r>
        <w:rPr>
          <w:rFonts w:ascii="Trebuchet MS" w:hAnsi="Trebuchet MS"/>
          <w:color w:val="37617A"/>
          <w:spacing w:val="-12"/>
          <w:sz w:val="19"/>
        </w:rPr>
        <w:t> </w:t>
      </w:r>
      <w:r>
        <w:rPr>
          <w:rFonts w:ascii="Trebuchet MS" w:hAnsi="Trebuchet MS"/>
          <w:color w:val="37617A"/>
          <w:spacing w:val="-1"/>
          <w:w w:val="116"/>
          <w:sz w:val="19"/>
        </w:rPr>
        <w:t>U</w:t>
      </w:r>
      <w:r>
        <w:rPr>
          <w:rFonts w:ascii="Trebuchet MS" w:hAnsi="Trebuchet MS"/>
          <w:color w:val="37617A"/>
          <w:w w:val="107"/>
          <w:sz w:val="19"/>
        </w:rPr>
        <w:t>n</w:t>
      </w:r>
      <w:r>
        <w:rPr>
          <w:rFonts w:ascii="Trebuchet MS" w:hAnsi="Trebuchet MS"/>
          <w:color w:val="37617A"/>
          <w:spacing w:val="-1"/>
          <w:w w:val="80"/>
          <w:sz w:val="19"/>
        </w:rPr>
        <w:t>i</w:t>
      </w:r>
      <w:r>
        <w:rPr>
          <w:rFonts w:ascii="Trebuchet MS" w:hAnsi="Trebuchet MS"/>
          <w:color w:val="37617A"/>
          <w:spacing w:val="-3"/>
          <w:w w:val="88"/>
          <w:sz w:val="19"/>
        </w:rPr>
        <w:t>t</w:t>
      </w:r>
      <w:r>
        <w:rPr>
          <w:rFonts w:ascii="Trebuchet MS" w:hAnsi="Trebuchet MS"/>
          <w:color w:val="37617A"/>
          <w:spacing w:val="1"/>
          <w:w w:val="108"/>
          <w:sz w:val="19"/>
        </w:rPr>
        <w:t>e</w:t>
      </w:r>
      <w:r>
        <w:rPr>
          <w:rFonts w:ascii="Trebuchet MS" w:hAnsi="Trebuchet MS"/>
          <w:color w:val="37617A"/>
          <w:w w:val="112"/>
          <w:sz w:val="19"/>
        </w:rPr>
        <w:t>d</w:t>
      </w:r>
      <w:r>
        <w:rPr>
          <w:rFonts w:ascii="Trebuchet MS" w:hAnsi="Trebuchet MS"/>
          <w:color w:val="37617A"/>
          <w:spacing w:val="-12"/>
          <w:sz w:val="19"/>
        </w:rPr>
        <w:t> </w:t>
      </w:r>
      <w:r>
        <w:rPr>
          <w:rFonts w:ascii="Trebuchet MS" w:hAnsi="Trebuchet MS"/>
          <w:color w:val="37617A"/>
          <w:spacing w:val="-2"/>
          <w:w w:val="126"/>
          <w:sz w:val="19"/>
        </w:rPr>
        <w:t>S</w:t>
      </w:r>
      <w:r>
        <w:rPr>
          <w:rFonts w:ascii="Trebuchet MS" w:hAnsi="Trebuchet MS"/>
          <w:color w:val="37617A"/>
          <w:spacing w:val="1"/>
          <w:w w:val="88"/>
          <w:sz w:val="19"/>
        </w:rPr>
        <w:t>t</w:t>
      </w:r>
      <w:r>
        <w:rPr>
          <w:rFonts w:ascii="Trebuchet MS" w:hAnsi="Trebuchet MS"/>
          <w:color w:val="37617A"/>
          <w:spacing w:val="-3"/>
          <w:w w:val="105"/>
          <w:sz w:val="19"/>
        </w:rPr>
        <w:t>a</w:t>
      </w:r>
      <w:r>
        <w:rPr>
          <w:rFonts w:ascii="Trebuchet MS" w:hAnsi="Trebuchet MS"/>
          <w:color w:val="37617A"/>
          <w:spacing w:val="-3"/>
          <w:w w:val="88"/>
          <w:sz w:val="19"/>
        </w:rPr>
        <w:t>t</w:t>
      </w:r>
      <w:r>
        <w:rPr>
          <w:rFonts w:ascii="Trebuchet MS" w:hAnsi="Trebuchet MS"/>
          <w:color w:val="37617A"/>
          <w:spacing w:val="-1"/>
          <w:w w:val="108"/>
          <w:sz w:val="19"/>
        </w:rPr>
        <w:t>e</w:t>
      </w:r>
      <w:r>
        <w:rPr>
          <w:rFonts w:ascii="Trebuchet MS" w:hAnsi="Trebuchet MS"/>
          <w:color w:val="37617A"/>
          <w:w w:val="122"/>
          <w:sz w:val="19"/>
        </w:rPr>
        <w:t>s</w:t>
      </w:r>
    </w:p>
    <w:p>
      <w:pPr>
        <w:pStyle w:val="BodyText"/>
        <w:spacing w:before="5"/>
        <w:rPr>
          <w:rFonts w:ascii="Trebuchet MS"/>
          <w:sz w:val="9"/>
        </w:rPr>
      </w:pPr>
      <w:r>
        <w:rPr/>
        <w:pict>
          <v:line style="position:absolute;mso-position-horizontal-relative:page;mso-position-vertical-relative:paragraph;z-index:5960;mso-wrap-distance-left:0;mso-wrap-distance-right:0" from="79.370102pt,7.683911pt" to="515.905102pt,7.683911pt" stroked="true" strokeweight=".5pt" strokecolor="#8f9dad">
            <v:stroke dashstyle="solid"/>
            <w10:wrap type="topAndBottom"/>
          </v:line>
        </w:pict>
      </w:r>
    </w:p>
    <w:p>
      <w:pPr>
        <w:pStyle w:val="BodyText"/>
        <w:rPr>
          <w:rFonts w:ascii="Trebuchet MS"/>
          <w:sz w:val="29"/>
        </w:rPr>
      </w:pPr>
    </w:p>
    <w:p>
      <w:pPr>
        <w:pStyle w:val="ListParagraph"/>
        <w:numPr>
          <w:ilvl w:val="1"/>
          <w:numId w:val="12"/>
        </w:numPr>
        <w:tabs>
          <w:tab w:pos="1761" w:val="left" w:leader="none"/>
          <w:tab w:pos="1762" w:val="left" w:leader="none"/>
        </w:tabs>
        <w:spacing w:line="259" w:lineRule="exact" w:before="0" w:after="0"/>
        <w:ind w:left="1761" w:right="0" w:hanging="794"/>
        <w:jc w:val="left"/>
        <w:rPr>
          <w:sz w:val="20"/>
        </w:rPr>
      </w:pPr>
      <w:r>
        <w:rPr>
          <w:sz w:val="20"/>
        </w:rPr>
        <w:t>The</w:t>
      </w:r>
      <w:r>
        <w:rPr>
          <w:spacing w:val="-6"/>
          <w:sz w:val="20"/>
        </w:rPr>
        <w:t> </w:t>
      </w:r>
      <w:r>
        <w:rPr>
          <w:sz w:val="20"/>
        </w:rPr>
        <w:t>Commission</w:t>
      </w:r>
      <w:r>
        <w:rPr>
          <w:spacing w:val="-5"/>
          <w:sz w:val="20"/>
        </w:rPr>
        <w:t> </w:t>
      </w:r>
      <w:r>
        <w:rPr>
          <w:sz w:val="20"/>
        </w:rPr>
        <w:t>spoke</w:t>
      </w:r>
      <w:r>
        <w:rPr>
          <w:spacing w:val="-5"/>
          <w:sz w:val="20"/>
        </w:rPr>
        <w:t> </w:t>
      </w:r>
      <w:r>
        <w:rPr>
          <w:sz w:val="20"/>
        </w:rPr>
        <w:t>to</w:t>
      </w:r>
      <w:r>
        <w:rPr>
          <w:spacing w:val="-5"/>
          <w:sz w:val="20"/>
        </w:rPr>
        <w:t> </w:t>
      </w:r>
      <w:r>
        <w:rPr>
          <w:sz w:val="20"/>
        </w:rPr>
        <w:t>the</w:t>
      </w:r>
      <w:r>
        <w:rPr>
          <w:spacing w:val="-5"/>
          <w:sz w:val="20"/>
        </w:rPr>
        <w:t> </w:t>
      </w:r>
      <w:r>
        <w:rPr>
          <w:sz w:val="20"/>
        </w:rPr>
        <w:t>Jury</w:t>
      </w:r>
      <w:r>
        <w:rPr>
          <w:spacing w:val="-5"/>
          <w:sz w:val="20"/>
        </w:rPr>
        <w:t> </w:t>
      </w:r>
      <w:r>
        <w:rPr>
          <w:sz w:val="20"/>
        </w:rPr>
        <w:t>Commissioner</w:t>
      </w:r>
      <w:r>
        <w:rPr>
          <w:spacing w:val="-6"/>
          <w:sz w:val="20"/>
        </w:rPr>
        <w:t> </w:t>
      </w:r>
      <w:r>
        <w:rPr>
          <w:sz w:val="20"/>
        </w:rPr>
        <w:t>for</w:t>
      </w:r>
      <w:r>
        <w:rPr>
          <w:spacing w:val="-5"/>
          <w:sz w:val="20"/>
        </w:rPr>
        <w:t> </w:t>
      </w:r>
      <w:r>
        <w:rPr>
          <w:sz w:val="20"/>
        </w:rPr>
        <w:t>Monroe</w:t>
      </w:r>
      <w:r>
        <w:rPr>
          <w:spacing w:val="-5"/>
          <w:sz w:val="20"/>
        </w:rPr>
        <w:t> </w:t>
      </w:r>
      <w:r>
        <w:rPr>
          <w:spacing w:val="-3"/>
          <w:sz w:val="20"/>
        </w:rPr>
        <w:t>County,</w:t>
      </w:r>
      <w:r>
        <w:rPr>
          <w:spacing w:val="-5"/>
          <w:sz w:val="20"/>
        </w:rPr>
        <w:t> </w:t>
      </w:r>
      <w:r>
        <w:rPr>
          <w:spacing w:val="-3"/>
          <w:sz w:val="20"/>
        </w:rPr>
        <w:t>Rochester,</w:t>
      </w:r>
    </w:p>
    <w:p>
      <w:pPr>
        <w:pStyle w:val="BodyText"/>
        <w:spacing w:line="206" w:lineRule="auto" w:before="14"/>
        <w:ind w:left="1761" w:right="1202"/>
        <w:rPr>
          <w:sz w:val="11"/>
        </w:rPr>
      </w:pPr>
      <w:r>
        <w:rPr/>
        <w:t>New </w:t>
      </w:r>
      <w:r>
        <w:rPr>
          <w:spacing w:val="-5"/>
        </w:rPr>
        <w:t>York </w:t>
      </w:r>
      <w:r>
        <w:rPr>
          <w:spacing w:val="-3"/>
        </w:rPr>
        <w:t>State. </w:t>
      </w:r>
      <w:r>
        <w:rPr/>
        <w:t>Rochester is home to the National </w:t>
      </w:r>
      <w:r>
        <w:rPr>
          <w:spacing w:val="-3"/>
        </w:rPr>
        <w:t>Technical </w:t>
      </w:r>
      <w:r>
        <w:rPr/>
        <w:t>Institute for the </w:t>
      </w:r>
      <w:r>
        <w:rPr>
          <w:spacing w:val="-3"/>
        </w:rPr>
        <w:t>Deaf, </w:t>
      </w:r>
      <w:r>
        <w:rPr/>
        <w:t>an institution</w:t>
      </w:r>
      <w:r>
        <w:rPr>
          <w:spacing w:val="-10"/>
        </w:rPr>
        <w:t> </w:t>
      </w:r>
      <w:r>
        <w:rPr/>
        <w:t>that</w:t>
      </w:r>
      <w:r>
        <w:rPr>
          <w:spacing w:val="-9"/>
        </w:rPr>
        <w:t> </w:t>
      </w:r>
      <w:r>
        <w:rPr/>
        <w:t>trains</w:t>
      </w:r>
      <w:r>
        <w:rPr>
          <w:spacing w:val="-9"/>
        </w:rPr>
        <w:t> </w:t>
      </w:r>
      <w:r>
        <w:rPr/>
        <w:t>deaf</w:t>
      </w:r>
      <w:r>
        <w:rPr>
          <w:spacing w:val="-9"/>
        </w:rPr>
        <w:t> </w:t>
      </w:r>
      <w:r>
        <w:rPr/>
        <w:t>people</w:t>
      </w:r>
      <w:r>
        <w:rPr>
          <w:spacing w:val="-9"/>
        </w:rPr>
        <w:t> </w:t>
      </w:r>
      <w:r>
        <w:rPr/>
        <w:t>for</w:t>
      </w:r>
      <w:r>
        <w:rPr>
          <w:spacing w:val="-9"/>
        </w:rPr>
        <w:t> </w:t>
      </w:r>
      <w:r>
        <w:rPr/>
        <w:t>technical</w:t>
      </w:r>
      <w:r>
        <w:rPr>
          <w:spacing w:val="-9"/>
        </w:rPr>
        <w:t> </w:t>
      </w:r>
      <w:r>
        <w:rPr/>
        <w:t>careers.</w:t>
      </w:r>
      <w:r>
        <w:rPr>
          <w:position w:val="7"/>
          <w:sz w:val="11"/>
        </w:rPr>
        <w:t>45</w:t>
      </w:r>
      <w:r>
        <w:rPr>
          <w:spacing w:val="16"/>
          <w:position w:val="7"/>
          <w:sz w:val="11"/>
        </w:rPr>
        <w:t> </w:t>
      </w:r>
      <w:r>
        <w:rPr/>
        <w:t>The</w:t>
      </w:r>
      <w:r>
        <w:rPr>
          <w:spacing w:val="-10"/>
        </w:rPr>
        <w:t> </w:t>
      </w:r>
      <w:r>
        <w:rPr/>
        <w:t>city</w:t>
      </w:r>
      <w:r>
        <w:rPr>
          <w:spacing w:val="-9"/>
        </w:rPr>
        <w:t> </w:t>
      </w:r>
      <w:r>
        <w:rPr/>
        <w:t>has</w:t>
      </w:r>
      <w:r>
        <w:rPr>
          <w:spacing w:val="-9"/>
        </w:rPr>
        <w:t> </w:t>
      </w:r>
      <w:r>
        <w:rPr/>
        <w:t>one</w:t>
      </w:r>
      <w:r>
        <w:rPr>
          <w:spacing w:val="-9"/>
        </w:rPr>
        <w:t> </w:t>
      </w:r>
      <w:r>
        <w:rPr/>
        <w:t>of</w:t>
      </w:r>
      <w:r>
        <w:rPr>
          <w:spacing w:val="-9"/>
        </w:rPr>
        <w:t> </w:t>
      </w:r>
      <w:r>
        <w:rPr/>
        <w:t>the</w:t>
      </w:r>
      <w:r>
        <w:rPr>
          <w:spacing w:val="-9"/>
        </w:rPr>
        <w:t> </w:t>
      </w:r>
      <w:r>
        <w:rPr/>
        <w:t>largest deaf populations per capita in the United States.</w:t>
      </w:r>
      <w:r>
        <w:rPr>
          <w:position w:val="7"/>
          <w:sz w:val="11"/>
        </w:rPr>
        <w:t>46 </w:t>
      </w:r>
      <w:r>
        <w:rPr/>
        <w:t>Napier and colleagues note that </w:t>
      </w:r>
      <w:r>
        <w:rPr>
          <w:spacing w:val="-5"/>
        </w:rPr>
        <w:t>‘As </w:t>
      </w:r>
      <w:r>
        <w:rPr/>
        <w:t>a consequence, the Monroe County Courts </w:t>
      </w:r>
      <w:r>
        <w:rPr>
          <w:spacing w:val="-4"/>
        </w:rPr>
        <w:t>have </w:t>
      </w:r>
      <w:r>
        <w:rPr/>
        <w:t>a well-established system to </w:t>
      </w:r>
      <w:r>
        <w:rPr>
          <w:spacing w:val="-3"/>
        </w:rPr>
        <w:t>provide </w:t>
      </w:r>
      <w:r>
        <w:rPr/>
        <w:t>ASL </w:t>
      </w:r>
      <w:r>
        <w:rPr>
          <w:spacing w:val="-3"/>
        </w:rPr>
        <w:t>interpreters </w:t>
      </w:r>
      <w:r>
        <w:rPr/>
        <w:t>as an accommodation to </w:t>
      </w:r>
      <w:r>
        <w:rPr>
          <w:spacing w:val="-3"/>
        </w:rPr>
        <w:t>allow </w:t>
      </w:r>
      <w:r>
        <w:rPr/>
        <w:t>deaf people to serve as </w:t>
      </w:r>
      <w:r>
        <w:rPr>
          <w:spacing w:val="-3"/>
        </w:rPr>
        <w:t>jurors’.</w:t>
      </w:r>
      <w:r>
        <w:rPr>
          <w:spacing w:val="-3"/>
          <w:position w:val="7"/>
          <w:sz w:val="11"/>
        </w:rPr>
        <w:t>47 </w:t>
      </w:r>
      <w:r>
        <w:rPr/>
        <w:t>Each </w:t>
      </w:r>
      <w:r>
        <w:rPr>
          <w:spacing w:val="-5"/>
        </w:rPr>
        <w:t>year, </w:t>
      </w:r>
      <w:r>
        <w:rPr>
          <w:spacing w:val="-3"/>
        </w:rPr>
        <w:t>approximately </w:t>
      </w:r>
      <w:r>
        <w:rPr/>
        <w:t>six deaf ASL users </w:t>
      </w:r>
      <w:r>
        <w:rPr>
          <w:spacing w:val="-3"/>
        </w:rPr>
        <w:t>are sworn </w:t>
      </w:r>
      <w:r>
        <w:rPr/>
        <w:t>in as jurors.</w:t>
      </w:r>
      <w:r>
        <w:rPr>
          <w:position w:val="7"/>
          <w:sz w:val="11"/>
        </w:rPr>
        <w:t>48 </w:t>
      </w:r>
      <w:r>
        <w:rPr/>
        <w:t>The Jury Commissioner advised</w:t>
      </w:r>
      <w:r>
        <w:rPr>
          <w:spacing w:val="-11"/>
        </w:rPr>
        <w:t> </w:t>
      </w:r>
      <w:r>
        <w:rPr/>
        <w:t>us</w:t>
      </w:r>
      <w:r>
        <w:rPr>
          <w:spacing w:val="-10"/>
        </w:rPr>
        <w:t> </w:t>
      </w:r>
      <w:r>
        <w:rPr/>
        <w:t>that</w:t>
      </w:r>
      <w:r>
        <w:rPr>
          <w:spacing w:val="-10"/>
        </w:rPr>
        <w:t> </w:t>
      </w:r>
      <w:r>
        <w:rPr/>
        <w:t>the</w:t>
      </w:r>
      <w:r>
        <w:rPr>
          <w:spacing w:val="-11"/>
        </w:rPr>
        <w:t> </w:t>
      </w:r>
      <w:r>
        <w:rPr/>
        <w:t>court</w:t>
      </w:r>
      <w:r>
        <w:rPr>
          <w:spacing w:val="-10"/>
        </w:rPr>
        <w:t> </w:t>
      </w:r>
      <w:r>
        <w:rPr/>
        <w:t>schedules</w:t>
      </w:r>
      <w:r>
        <w:rPr>
          <w:spacing w:val="-10"/>
        </w:rPr>
        <w:t> </w:t>
      </w:r>
      <w:r>
        <w:rPr/>
        <w:t>one</w:t>
      </w:r>
      <w:r>
        <w:rPr>
          <w:spacing w:val="-10"/>
        </w:rPr>
        <w:t> </w:t>
      </w:r>
      <w:r>
        <w:rPr/>
        <w:t>deaf</w:t>
      </w:r>
      <w:r>
        <w:rPr>
          <w:spacing w:val="-11"/>
        </w:rPr>
        <w:t> </w:t>
      </w:r>
      <w:r>
        <w:rPr/>
        <w:t>juror</w:t>
      </w:r>
      <w:r>
        <w:rPr>
          <w:spacing w:val="-10"/>
        </w:rPr>
        <w:t> </w:t>
      </w:r>
      <w:r>
        <w:rPr/>
        <w:t>for</w:t>
      </w:r>
      <w:r>
        <w:rPr>
          <w:spacing w:val="-10"/>
        </w:rPr>
        <w:t> </w:t>
      </w:r>
      <w:r>
        <w:rPr/>
        <w:t>jury</w:t>
      </w:r>
      <w:r>
        <w:rPr>
          <w:spacing w:val="-10"/>
        </w:rPr>
        <w:t> </w:t>
      </w:r>
      <w:r>
        <w:rPr/>
        <w:t>selection</w:t>
      </w:r>
      <w:r>
        <w:rPr>
          <w:spacing w:val="-11"/>
        </w:rPr>
        <w:t> </w:t>
      </w:r>
      <w:r>
        <w:rPr/>
        <w:t>every</w:t>
      </w:r>
      <w:r>
        <w:rPr>
          <w:spacing w:val="-10"/>
        </w:rPr>
        <w:t> </w:t>
      </w:r>
      <w:r>
        <w:rPr/>
        <w:t>week</w:t>
      </w:r>
      <w:r>
        <w:rPr>
          <w:spacing w:val="-10"/>
        </w:rPr>
        <w:t> </w:t>
      </w:r>
      <w:r>
        <w:rPr/>
        <w:t>but</w:t>
      </w:r>
      <w:r>
        <w:rPr>
          <w:spacing w:val="-11"/>
        </w:rPr>
        <w:t> </w:t>
      </w:r>
      <w:r>
        <w:rPr/>
        <w:t>not all </w:t>
      </w:r>
      <w:r>
        <w:rPr>
          <w:spacing w:val="-3"/>
        </w:rPr>
        <w:t>progress </w:t>
      </w:r>
      <w:r>
        <w:rPr/>
        <w:t>to jury</w:t>
      </w:r>
      <w:r>
        <w:rPr>
          <w:spacing w:val="-13"/>
        </w:rPr>
        <w:t> </w:t>
      </w:r>
      <w:r>
        <w:rPr/>
        <w:t>service.</w:t>
      </w:r>
      <w:r>
        <w:rPr>
          <w:position w:val="7"/>
          <w:sz w:val="11"/>
        </w:rPr>
        <w:t>49</w:t>
      </w:r>
    </w:p>
    <w:p>
      <w:pPr>
        <w:pStyle w:val="ListParagraph"/>
        <w:numPr>
          <w:ilvl w:val="1"/>
          <w:numId w:val="12"/>
        </w:numPr>
        <w:tabs>
          <w:tab w:pos="1761" w:val="left" w:leader="none"/>
          <w:tab w:pos="1762" w:val="left" w:leader="none"/>
        </w:tabs>
        <w:spacing w:line="206" w:lineRule="auto" w:before="130" w:after="0"/>
        <w:ind w:left="1761" w:right="1292" w:hanging="794"/>
        <w:jc w:val="left"/>
        <w:rPr>
          <w:sz w:val="11"/>
        </w:rPr>
      </w:pPr>
      <w:r>
        <w:rPr>
          <w:sz w:val="20"/>
        </w:rPr>
        <w:t>Only</w:t>
      </w:r>
      <w:r>
        <w:rPr>
          <w:spacing w:val="-8"/>
          <w:sz w:val="20"/>
        </w:rPr>
        <w:t> </w:t>
      </w:r>
      <w:r>
        <w:rPr>
          <w:sz w:val="20"/>
        </w:rPr>
        <w:t>a</w:t>
      </w:r>
      <w:r>
        <w:rPr>
          <w:spacing w:val="-8"/>
          <w:sz w:val="20"/>
        </w:rPr>
        <w:t> </w:t>
      </w:r>
      <w:r>
        <w:rPr>
          <w:sz w:val="20"/>
        </w:rPr>
        <w:t>small</w:t>
      </w:r>
      <w:r>
        <w:rPr>
          <w:spacing w:val="-8"/>
          <w:sz w:val="20"/>
        </w:rPr>
        <w:t> </w:t>
      </w:r>
      <w:r>
        <w:rPr>
          <w:sz w:val="20"/>
        </w:rPr>
        <w:t>number</w:t>
      </w:r>
      <w:r>
        <w:rPr>
          <w:spacing w:val="-8"/>
          <w:sz w:val="20"/>
        </w:rPr>
        <w:t> </w:t>
      </w:r>
      <w:r>
        <w:rPr>
          <w:sz w:val="20"/>
        </w:rPr>
        <w:t>of</w:t>
      </w:r>
      <w:r>
        <w:rPr>
          <w:spacing w:val="-7"/>
          <w:sz w:val="20"/>
        </w:rPr>
        <w:t> </w:t>
      </w:r>
      <w:r>
        <w:rPr>
          <w:sz w:val="20"/>
        </w:rPr>
        <w:t>blind</w:t>
      </w:r>
      <w:r>
        <w:rPr>
          <w:spacing w:val="-8"/>
          <w:sz w:val="20"/>
        </w:rPr>
        <w:t> </w:t>
      </w:r>
      <w:r>
        <w:rPr>
          <w:sz w:val="20"/>
        </w:rPr>
        <w:t>people</w:t>
      </w:r>
      <w:r>
        <w:rPr>
          <w:spacing w:val="-8"/>
          <w:sz w:val="20"/>
        </w:rPr>
        <w:t> </w:t>
      </w:r>
      <w:r>
        <w:rPr>
          <w:spacing w:val="-4"/>
          <w:sz w:val="20"/>
        </w:rPr>
        <w:t>have</w:t>
      </w:r>
      <w:r>
        <w:rPr>
          <w:spacing w:val="-8"/>
          <w:sz w:val="20"/>
        </w:rPr>
        <w:t> </w:t>
      </w:r>
      <w:r>
        <w:rPr>
          <w:sz w:val="20"/>
        </w:rPr>
        <w:t>served</w:t>
      </w:r>
      <w:r>
        <w:rPr>
          <w:spacing w:val="-8"/>
          <w:sz w:val="20"/>
        </w:rPr>
        <w:t> </w:t>
      </w:r>
      <w:r>
        <w:rPr>
          <w:sz w:val="20"/>
        </w:rPr>
        <w:t>in</w:t>
      </w:r>
      <w:r>
        <w:rPr>
          <w:spacing w:val="-7"/>
          <w:sz w:val="20"/>
        </w:rPr>
        <w:t> </w:t>
      </w:r>
      <w:r>
        <w:rPr>
          <w:sz w:val="20"/>
        </w:rPr>
        <w:t>Monroe</w:t>
      </w:r>
      <w:r>
        <w:rPr>
          <w:spacing w:val="-8"/>
          <w:sz w:val="20"/>
        </w:rPr>
        <w:t> </w:t>
      </w:r>
      <w:r>
        <w:rPr>
          <w:spacing w:val="-3"/>
          <w:sz w:val="20"/>
        </w:rPr>
        <w:t>County.</w:t>
      </w:r>
      <w:r>
        <w:rPr>
          <w:spacing w:val="-8"/>
          <w:sz w:val="20"/>
        </w:rPr>
        <w:t> </w:t>
      </w:r>
      <w:r>
        <w:rPr>
          <w:spacing w:val="-6"/>
          <w:sz w:val="20"/>
        </w:rPr>
        <w:t>We</w:t>
      </w:r>
      <w:r>
        <w:rPr>
          <w:spacing w:val="-8"/>
          <w:sz w:val="20"/>
        </w:rPr>
        <w:t> </w:t>
      </w:r>
      <w:r>
        <w:rPr>
          <w:spacing w:val="-4"/>
          <w:sz w:val="20"/>
        </w:rPr>
        <w:t>were</w:t>
      </w:r>
      <w:r>
        <w:rPr>
          <w:spacing w:val="-8"/>
          <w:sz w:val="20"/>
        </w:rPr>
        <w:t> </w:t>
      </w:r>
      <w:r>
        <w:rPr>
          <w:spacing w:val="-3"/>
          <w:sz w:val="20"/>
        </w:rPr>
        <w:t>told</w:t>
      </w:r>
      <w:r>
        <w:rPr>
          <w:spacing w:val="-7"/>
          <w:sz w:val="20"/>
        </w:rPr>
        <w:t> </w:t>
      </w:r>
      <w:r>
        <w:rPr>
          <w:sz w:val="20"/>
        </w:rPr>
        <w:t>that ‘typically people </w:t>
      </w:r>
      <w:r>
        <w:rPr>
          <w:spacing w:val="-4"/>
          <w:sz w:val="20"/>
        </w:rPr>
        <w:t>have </w:t>
      </w:r>
      <w:r>
        <w:rPr>
          <w:sz w:val="20"/>
        </w:rPr>
        <w:t>other medical conditions and the combination of them </w:t>
      </w:r>
      <w:r>
        <w:rPr>
          <w:spacing w:val="-3"/>
          <w:sz w:val="20"/>
        </w:rPr>
        <w:t>usually </w:t>
      </w:r>
      <w:r>
        <w:rPr>
          <w:sz w:val="20"/>
        </w:rPr>
        <w:t>entitles them to a medical </w:t>
      </w:r>
      <w:r>
        <w:rPr>
          <w:spacing w:val="-3"/>
          <w:sz w:val="20"/>
        </w:rPr>
        <w:t>excusal from </w:t>
      </w:r>
      <w:r>
        <w:rPr>
          <w:sz w:val="20"/>
        </w:rPr>
        <w:t>jury</w:t>
      </w:r>
      <w:r>
        <w:rPr>
          <w:spacing w:val="-31"/>
          <w:sz w:val="20"/>
        </w:rPr>
        <w:t> </w:t>
      </w:r>
      <w:r>
        <w:rPr>
          <w:sz w:val="20"/>
        </w:rPr>
        <w:t>service’.</w:t>
      </w:r>
      <w:r>
        <w:rPr>
          <w:position w:val="7"/>
          <w:sz w:val="11"/>
        </w:rPr>
        <w:t>50</w:t>
      </w:r>
    </w:p>
    <w:p>
      <w:pPr>
        <w:pStyle w:val="ListParagraph"/>
        <w:numPr>
          <w:ilvl w:val="1"/>
          <w:numId w:val="12"/>
        </w:numPr>
        <w:tabs>
          <w:tab w:pos="1761" w:val="left" w:leader="none"/>
          <w:tab w:pos="1762" w:val="left" w:leader="none"/>
        </w:tabs>
        <w:spacing w:line="206" w:lineRule="auto" w:before="124" w:after="0"/>
        <w:ind w:left="1761" w:right="1474" w:hanging="794"/>
        <w:jc w:val="left"/>
        <w:rPr>
          <w:sz w:val="20"/>
        </w:rPr>
      </w:pPr>
      <w:r>
        <w:rPr>
          <w:spacing w:val="-3"/>
          <w:sz w:val="20"/>
        </w:rPr>
        <w:t>At </w:t>
      </w:r>
      <w:r>
        <w:rPr>
          <w:sz w:val="20"/>
        </w:rPr>
        <w:t>every stage of the process, </w:t>
      </w:r>
      <w:r>
        <w:rPr>
          <w:spacing w:val="-3"/>
          <w:sz w:val="20"/>
        </w:rPr>
        <w:t>from </w:t>
      </w:r>
      <w:r>
        <w:rPr>
          <w:sz w:val="20"/>
        </w:rPr>
        <w:t>the jury summons through to the jury selection process and the trial </w:t>
      </w:r>
      <w:r>
        <w:rPr>
          <w:spacing w:val="-3"/>
          <w:sz w:val="20"/>
        </w:rPr>
        <w:t>itself, </w:t>
      </w:r>
      <w:r>
        <w:rPr>
          <w:sz w:val="20"/>
        </w:rPr>
        <w:t>accommodations </w:t>
      </w:r>
      <w:r>
        <w:rPr>
          <w:spacing w:val="-3"/>
          <w:sz w:val="20"/>
        </w:rPr>
        <w:t>are provided </w:t>
      </w:r>
      <w:r>
        <w:rPr>
          <w:sz w:val="20"/>
        </w:rPr>
        <w:t>to jurors </w:t>
      </w:r>
      <w:r>
        <w:rPr>
          <w:spacing w:val="-3"/>
          <w:sz w:val="20"/>
        </w:rPr>
        <w:t>from </w:t>
      </w:r>
      <w:r>
        <w:rPr>
          <w:sz w:val="20"/>
        </w:rPr>
        <w:t>the subject groups.</w:t>
      </w:r>
      <w:r>
        <w:rPr>
          <w:spacing w:val="-11"/>
          <w:sz w:val="20"/>
        </w:rPr>
        <w:t> </w:t>
      </w:r>
      <w:r>
        <w:rPr>
          <w:sz w:val="20"/>
        </w:rPr>
        <w:t>The</w:t>
      </w:r>
      <w:r>
        <w:rPr>
          <w:spacing w:val="-11"/>
          <w:sz w:val="20"/>
        </w:rPr>
        <w:t> </w:t>
      </w:r>
      <w:r>
        <w:rPr>
          <w:sz w:val="20"/>
        </w:rPr>
        <w:t>Commission</w:t>
      </w:r>
      <w:r>
        <w:rPr>
          <w:spacing w:val="-12"/>
          <w:sz w:val="20"/>
        </w:rPr>
        <w:t> </w:t>
      </w:r>
      <w:r>
        <w:rPr>
          <w:sz w:val="20"/>
        </w:rPr>
        <w:t>has</w:t>
      </w:r>
      <w:r>
        <w:rPr>
          <w:spacing w:val="-11"/>
          <w:sz w:val="20"/>
        </w:rPr>
        <w:t> </w:t>
      </w:r>
      <w:r>
        <w:rPr>
          <w:spacing w:val="-3"/>
          <w:sz w:val="20"/>
        </w:rPr>
        <w:t>drawn</w:t>
      </w:r>
      <w:r>
        <w:rPr>
          <w:spacing w:val="-11"/>
          <w:sz w:val="20"/>
        </w:rPr>
        <w:t> </w:t>
      </w:r>
      <w:r>
        <w:rPr>
          <w:sz w:val="20"/>
        </w:rPr>
        <w:t>on</w:t>
      </w:r>
      <w:r>
        <w:rPr>
          <w:spacing w:val="-11"/>
          <w:sz w:val="20"/>
        </w:rPr>
        <w:t> </w:t>
      </w:r>
      <w:r>
        <w:rPr>
          <w:sz w:val="20"/>
        </w:rPr>
        <w:t>this</w:t>
      </w:r>
      <w:r>
        <w:rPr>
          <w:spacing w:val="-11"/>
          <w:sz w:val="20"/>
        </w:rPr>
        <w:t> </w:t>
      </w:r>
      <w:r>
        <w:rPr>
          <w:sz w:val="20"/>
        </w:rPr>
        <w:t>process</w:t>
      </w:r>
      <w:r>
        <w:rPr>
          <w:spacing w:val="-11"/>
          <w:sz w:val="20"/>
        </w:rPr>
        <w:t> </w:t>
      </w:r>
      <w:r>
        <w:rPr>
          <w:sz w:val="20"/>
        </w:rPr>
        <w:t>in</w:t>
      </w:r>
      <w:r>
        <w:rPr>
          <w:spacing w:val="-11"/>
          <w:sz w:val="20"/>
        </w:rPr>
        <w:t> </w:t>
      </w:r>
      <w:r>
        <w:rPr>
          <w:sz w:val="20"/>
        </w:rPr>
        <w:t>making</w:t>
      </w:r>
      <w:r>
        <w:rPr>
          <w:spacing w:val="-11"/>
          <w:sz w:val="20"/>
        </w:rPr>
        <w:t> </w:t>
      </w:r>
      <w:r>
        <w:rPr>
          <w:sz w:val="20"/>
        </w:rPr>
        <w:t>the</w:t>
      </w:r>
      <w:r>
        <w:rPr>
          <w:spacing w:val="-11"/>
          <w:sz w:val="20"/>
        </w:rPr>
        <w:t> </w:t>
      </w:r>
      <w:r>
        <w:rPr>
          <w:sz w:val="20"/>
        </w:rPr>
        <w:t>recommendations for Victoria. </w:t>
      </w:r>
      <w:r>
        <w:rPr>
          <w:spacing w:val="-4"/>
          <w:sz w:val="20"/>
        </w:rPr>
        <w:t>Key </w:t>
      </w:r>
      <w:r>
        <w:rPr>
          <w:sz w:val="20"/>
        </w:rPr>
        <w:t>parts of this process</w:t>
      </w:r>
      <w:r>
        <w:rPr>
          <w:spacing w:val="-27"/>
          <w:sz w:val="20"/>
        </w:rPr>
        <w:t> </w:t>
      </w:r>
      <w:r>
        <w:rPr>
          <w:spacing w:val="-3"/>
          <w:sz w:val="20"/>
        </w:rPr>
        <w:t>are:</w:t>
      </w:r>
    </w:p>
    <w:p>
      <w:pPr>
        <w:pStyle w:val="ListParagraph"/>
        <w:numPr>
          <w:ilvl w:val="2"/>
          <w:numId w:val="12"/>
        </w:numPr>
        <w:tabs>
          <w:tab w:pos="2157" w:val="left" w:leader="none"/>
          <w:tab w:pos="2158" w:val="left" w:leader="none"/>
        </w:tabs>
        <w:spacing w:line="259" w:lineRule="exact" w:before="92" w:after="0"/>
        <w:ind w:left="2157" w:right="0" w:hanging="396"/>
        <w:jc w:val="left"/>
        <w:rPr>
          <w:sz w:val="20"/>
        </w:rPr>
      </w:pPr>
      <w:r>
        <w:rPr>
          <w:spacing w:val="-2"/>
          <w:sz w:val="20"/>
        </w:rPr>
        <w:t>Potential</w:t>
      </w:r>
      <w:r>
        <w:rPr>
          <w:spacing w:val="-7"/>
          <w:sz w:val="20"/>
        </w:rPr>
        <w:t> </w:t>
      </w:r>
      <w:r>
        <w:rPr>
          <w:sz w:val="20"/>
        </w:rPr>
        <w:t>jurors</w:t>
      </w:r>
      <w:r>
        <w:rPr>
          <w:spacing w:val="-6"/>
          <w:sz w:val="20"/>
        </w:rPr>
        <w:t> </w:t>
      </w:r>
      <w:r>
        <w:rPr>
          <w:spacing w:val="-3"/>
          <w:sz w:val="20"/>
        </w:rPr>
        <w:t>are</w:t>
      </w:r>
      <w:r>
        <w:rPr>
          <w:spacing w:val="-6"/>
          <w:sz w:val="20"/>
        </w:rPr>
        <w:t> </w:t>
      </w:r>
      <w:r>
        <w:rPr>
          <w:sz w:val="20"/>
        </w:rPr>
        <w:t>randomly</w:t>
      </w:r>
      <w:r>
        <w:rPr>
          <w:spacing w:val="-6"/>
          <w:sz w:val="20"/>
        </w:rPr>
        <w:t> </w:t>
      </w:r>
      <w:r>
        <w:rPr>
          <w:sz w:val="20"/>
        </w:rPr>
        <w:t>selected</w:t>
      </w:r>
      <w:r>
        <w:rPr>
          <w:spacing w:val="-7"/>
          <w:sz w:val="20"/>
        </w:rPr>
        <w:t> </w:t>
      </w:r>
      <w:r>
        <w:rPr>
          <w:sz w:val="20"/>
        </w:rPr>
        <w:t>and</w:t>
      </w:r>
      <w:r>
        <w:rPr>
          <w:spacing w:val="-6"/>
          <w:sz w:val="20"/>
        </w:rPr>
        <w:t> </w:t>
      </w:r>
      <w:r>
        <w:rPr>
          <w:sz w:val="20"/>
        </w:rPr>
        <w:t>sent</w:t>
      </w:r>
      <w:r>
        <w:rPr>
          <w:spacing w:val="-6"/>
          <w:sz w:val="20"/>
        </w:rPr>
        <w:t> </w:t>
      </w:r>
      <w:r>
        <w:rPr>
          <w:sz w:val="20"/>
        </w:rPr>
        <w:t>a</w:t>
      </w:r>
      <w:r>
        <w:rPr>
          <w:spacing w:val="-6"/>
          <w:sz w:val="20"/>
        </w:rPr>
        <w:t> </w:t>
      </w:r>
      <w:r>
        <w:rPr>
          <w:sz w:val="20"/>
        </w:rPr>
        <w:t>qualification</w:t>
      </w:r>
      <w:r>
        <w:rPr>
          <w:spacing w:val="-7"/>
          <w:sz w:val="20"/>
        </w:rPr>
        <w:t> </w:t>
      </w:r>
      <w:r>
        <w:rPr>
          <w:sz w:val="20"/>
        </w:rPr>
        <w:t>questionnaire.</w:t>
      </w:r>
    </w:p>
    <w:p>
      <w:pPr>
        <w:pStyle w:val="BodyText"/>
        <w:spacing w:line="259" w:lineRule="exact"/>
        <w:ind w:left="2157"/>
      </w:pPr>
      <w:r>
        <w:rPr/>
        <w:t>Eligible people are then included in the Jury Commissioner database.</w:t>
      </w:r>
    </w:p>
    <w:p>
      <w:pPr>
        <w:pStyle w:val="ListParagraph"/>
        <w:numPr>
          <w:ilvl w:val="2"/>
          <w:numId w:val="12"/>
        </w:numPr>
        <w:tabs>
          <w:tab w:pos="2157" w:val="left" w:leader="none"/>
          <w:tab w:pos="2158" w:val="left" w:leader="none"/>
        </w:tabs>
        <w:spacing w:line="206" w:lineRule="auto" w:before="80" w:after="0"/>
        <w:ind w:left="2157" w:right="1389" w:hanging="396"/>
        <w:jc w:val="left"/>
        <w:rPr>
          <w:sz w:val="20"/>
        </w:rPr>
      </w:pPr>
      <w:r>
        <w:rPr>
          <w:sz w:val="20"/>
        </w:rPr>
        <w:t>Arrangements</w:t>
      </w:r>
      <w:r>
        <w:rPr>
          <w:spacing w:val="-11"/>
          <w:sz w:val="20"/>
        </w:rPr>
        <w:t> </w:t>
      </w:r>
      <w:r>
        <w:rPr>
          <w:spacing w:val="-3"/>
          <w:sz w:val="20"/>
        </w:rPr>
        <w:t>are</w:t>
      </w:r>
      <w:r>
        <w:rPr>
          <w:spacing w:val="-10"/>
          <w:sz w:val="20"/>
        </w:rPr>
        <w:t> </w:t>
      </w:r>
      <w:r>
        <w:rPr>
          <w:spacing w:val="-3"/>
          <w:sz w:val="20"/>
        </w:rPr>
        <w:t>only</w:t>
      </w:r>
      <w:r>
        <w:rPr>
          <w:spacing w:val="-10"/>
          <w:sz w:val="20"/>
        </w:rPr>
        <w:t> </w:t>
      </w:r>
      <w:r>
        <w:rPr>
          <w:sz w:val="20"/>
        </w:rPr>
        <w:t>made</w:t>
      </w:r>
      <w:r>
        <w:rPr>
          <w:spacing w:val="-10"/>
          <w:sz w:val="20"/>
        </w:rPr>
        <w:t> </w:t>
      </w:r>
      <w:r>
        <w:rPr>
          <w:sz w:val="20"/>
        </w:rPr>
        <w:t>to</w:t>
      </w:r>
      <w:r>
        <w:rPr>
          <w:spacing w:val="-10"/>
          <w:sz w:val="20"/>
        </w:rPr>
        <w:t> </w:t>
      </w:r>
      <w:r>
        <w:rPr>
          <w:sz w:val="20"/>
        </w:rPr>
        <w:t>accommodate</w:t>
      </w:r>
      <w:r>
        <w:rPr>
          <w:spacing w:val="-10"/>
          <w:sz w:val="20"/>
        </w:rPr>
        <w:t> </w:t>
      </w:r>
      <w:r>
        <w:rPr>
          <w:sz w:val="20"/>
        </w:rPr>
        <w:t>a</w:t>
      </w:r>
      <w:r>
        <w:rPr>
          <w:spacing w:val="-10"/>
          <w:sz w:val="20"/>
        </w:rPr>
        <w:t> </w:t>
      </w:r>
      <w:r>
        <w:rPr>
          <w:sz w:val="20"/>
        </w:rPr>
        <w:t>juror</w:t>
      </w:r>
      <w:r>
        <w:rPr>
          <w:spacing w:val="-10"/>
          <w:sz w:val="20"/>
        </w:rPr>
        <w:t> </w:t>
      </w:r>
      <w:r>
        <w:rPr>
          <w:sz w:val="20"/>
        </w:rPr>
        <w:t>with</w:t>
      </w:r>
      <w:r>
        <w:rPr>
          <w:spacing w:val="-10"/>
          <w:sz w:val="20"/>
        </w:rPr>
        <w:t> </w:t>
      </w:r>
      <w:r>
        <w:rPr>
          <w:sz w:val="20"/>
        </w:rPr>
        <w:t>a</w:t>
      </w:r>
      <w:r>
        <w:rPr>
          <w:spacing w:val="-10"/>
          <w:sz w:val="20"/>
        </w:rPr>
        <w:t> </w:t>
      </w:r>
      <w:r>
        <w:rPr>
          <w:sz w:val="20"/>
        </w:rPr>
        <w:t>disability</w:t>
      </w:r>
      <w:r>
        <w:rPr>
          <w:spacing w:val="-10"/>
          <w:sz w:val="20"/>
        </w:rPr>
        <w:t> </w:t>
      </w:r>
      <w:r>
        <w:rPr>
          <w:sz w:val="20"/>
        </w:rPr>
        <w:t>once</w:t>
      </w:r>
      <w:r>
        <w:rPr>
          <w:spacing w:val="-10"/>
          <w:sz w:val="20"/>
        </w:rPr>
        <w:t> </w:t>
      </w:r>
      <w:r>
        <w:rPr>
          <w:sz w:val="20"/>
        </w:rPr>
        <w:t>they </w:t>
      </w:r>
      <w:r>
        <w:rPr>
          <w:spacing w:val="-3"/>
          <w:sz w:val="20"/>
        </w:rPr>
        <w:t>are</w:t>
      </w:r>
      <w:r>
        <w:rPr>
          <w:spacing w:val="-9"/>
          <w:sz w:val="20"/>
        </w:rPr>
        <w:t> </w:t>
      </w:r>
      <w:r>
        <w:rPr>
          <w:sz w:val="20"/>
        </w:rPr>
        <w:t>summonsed.</w:t>
      </w:r>
      <w:r>
        <w:rPr>
          <w:spacing w:val="-8"/>
          <w:sz w:val="20"/>
        </w:rPr>
        <w:t> </w:t>
      </w:r>
      <w:r>
        <w:rPr>
          <w:sz w:val="20"/>
        </w:rPr>
        <w:t>The</w:t>
      </w:r>
      <w:r>
        <w:rPr>
          <w:spacing w:val="-8"/>
          <w:sz w:val="20"/>
        </w:rPr>
        <w:t> </w:t>
      </w:r>
      <w:r>
        <w:rPr>
          <w:sz w:val="20"/>
        </w:rPr>
        <w:t>Jury</w:t>
      </w:r>
      <w:r>
        <w:rPr>
          <w:spacing w:val="-9"/>
          <w:sz w:val="20"/>
        </w:rPr>
        <w:t> </w:t>
      </w:r>
      <w:r>
        <w:rPr>
          <w:sz w:val="20"/>
        </w:rPr>
        <w:t>Commissioner</w:t>
      </w:r>
      <w:r>
        <w:rPr>
          <w:spacing w:val="-8"/>
          <w:sz w:val="20"/>
        </w:rPr>
        <w:t> </w:t>
      </w:r>
      <w:r>
        <w:rPr>
          <w:sz w:val="20"/>
        </w:rPr>
        <w:t>sends</w:t>
      </w:r>
      <w:r>
        <w:rPr>
          <w:spacing w:val="-8"/>
          <w:sz w:val="20"/>
        </w:rPr>
        <w:t> </w:t>
      </w:r>
      <w:r>
        <w:rPr>
          <w:sz w:val="20"/>
        </w:rPr>
        <w:t>out</w:t>
      </w:r>
      <w:r>
        <w:rPr>
          <w:spacing w:val="-8"/>
          <w:sz w:val="20"/>
        </w:rPr>
        <w:t> </w:t>
      </w:r>
      <w:r>
        <w:rPr>
          <w:sz w:val="20"/>
        </w:rPr>
        <w:t>about</w:t>
      </w:r>
      <w:r>
        <w:rPr>
          <w:spacing w:val="-9"/>
          <w:sz w:val="20"/>
        </w:rPr>
        <w:t> </w:t>
      </w:r>
      <w:r>
        <w:rPr>
          <w:sz w:val="20"/>
        </w:rPr>
        <w:t>100</w:t>
      </w:r>
      <w:r>
        <w:rPr>
          <w:spacing w:val="-8"/>
          <w:sz w:val="20"/>
        </w:rPr>
        <w:t> </w:t>
      </w:r>
      <w:r>
        <w:rPr>
          <w:sz w:val="20"/>
        </w:rPr>
        <w:t>jury</w:t>
      </w:r>
      <w:r>
        <w:rPr>
          <w:spacing w:val="-8"/>
          <w:sz w:val="20"/>
        </w:rPr>
        <w:t> </w:t>
      </w:r>
      <w:r>
        <w:rPr>
          <w:sz w:val="20"/>
        </w:rPr>
        <w:t>summonses</w:t>
      </w:r>
      <w:r>
        <w:rPr>
          <w:spacing w:val="-8"/>
          <w:sz w:val="20"/>
        </w:rPr>
        <w:t> </w:t>
      </w:r>
      <w:r>
        <w:rPr>
          <w:sz w:val="20"/>
        </w:rPr>
        <w:t>a week.</w:t>
      </w:r>
      <w:r>
        <w:rPr>
          <w:spacing w:val="-10"/>
          <w:sz w:val="20"/>
        </w:rPr>
        <w:t> </w:t>
      </w:r>
      <w:r>
        <w:rPr>
          <w:sz w:val="20"/>
        </w:rPr>
        <w:t>In</w:t>
      </w:r>
      <w:r>
        <w:rPr>
          <w:spacing w:val="-10"/>
          <w:sz w:val="20"/>
        </w:rPr>
        <w:t> </w:t>
      </w:r>
      <w:r>
        <w:rPr>
          <w:sz w:val="20"/>
        </w:rPr>
        <w:t>response</w:t>
      </w:r>
      <w:r>
        <w:rPr>
          <w:spacing w:val="-9"/>
          <w:sz w:val="20"/>
        </w:rPr>
        <w:t> </w:t>
      </w:r>
      <w:r>
        <w:rPr>
          <w:sz w:val="20"/>
        </w:rPr>
        <w:t>to</w:t>
      </w:r>
      <w:r>
        <w:rPr>
          <w:spacing w:val="-10"/>
          <w:sz w:val="20"/>
        </w:rPr>
        <w:t> </w:t>
      </w:r>
      <w:r>
        <w:rPr>
          <w:sz w:val="20"/>
        </w:rPr>
        <w:t>the</w:t>
      </w:r>
      <w:r>
        <w:rPr>
          <w:spacing w:val="-9"/>
          <w:sz w:val="20"/>
        </w:rPr>
        <w:t> </w:t>
      </w:r>
      <w:r>
        <w:rPr>
          <w:sz w:val="20"/>
        </w:rPr>
        <w:t>summons,</w:t>
      </w:r>
      <w:r>
        <w:rPr>
          <w:spacing w:val="-10"/>
          <w:sz w:val="20"/>
        </w:rPr>
        <w:t> </w:t>
      </w:r>
      <w:r>
        <w:rPr>
          <w:sz w:val="20"/>
        </w:rPr>
        <w:t>a</w:t>
      </w:r>
      <w:r>
        <w:rPr>
          <w:spacing w:val="-10"/>
          <w:sz w:val="20"/>
        </w:rPr>
        <w:t> </w:t>
      </w:r>
      <w:r>
        <w:rPr>
          <w:sz w:val="20"/>
        </w:rPr>
        <w:t>person</w:t>
      </w:r>
      <w:r>
        <w:rPr>
          <w:spacing w:val="-9"/>
          <w:sz w:val="20"/>
        </w:rPr>
        <w:t> </w:t>
      </w:r>
      <w:r>
        <w:rPr>
          <w:sz w:val="20"/>
        </w:rPr>
        <w:t>can</w:t>
      </w:r>
      <w:r>
        <w:rPr>
          <w:spacing w:val="-10"/>
          <w:sz w:val="20"/>
        </w:rPr>
        <w:t> </w:t>
      </w:r>
      <w:r>
        <w:rPr>
          <w:sz w:val="20"/>
        </w:rPr>
        <w:t>contact</w:t>
      </w:r>
      <w:r>
        <w:rPr>
          <w:spacing w:val="-9"/>
          <w:sz w:val="20"/>
        </w:rPr>
        <w:t> </w:t>
      </w:r>
      <w:r>
        <w:rPr>
          <w:sz w:val="20"/>
        </w:rPr>
        <w:t>the</w:t>
      </w:r>
      <w:r>
        <w:rPr>
          <w:spacing w:val="-10"/>
          <w:sz w:val="20"/>
        </w:rPr>
        <w:t> </w:t>
      </w:r>
      <w:r>
        <w:rPr>
          <w:sz w:val="20"/>
        </w:rPr>
        <w:t>Jury</w:t>
      </w:r>
      <w:r>
        <w:rPr>
          <w:spacing w:val="-9"/>
          <w:sz w:val="20"/>
        </w:rPr>
        <w:t> </w:t>
      </w:r>
      <w:r>
        <w:rPr>
          <w:sz w:val="20"/>
        </w:rPr>
        <w:t>Commissioner to advise that they </w:t>
      </w:r>
      <w:r>
        <w:rPr>
          <w:spacing w:val="-4"/>
          <w:sz w:val="20"/>
        </w:rPr>
        <w:t>have </w:t>
      </w:r>
      <w:r>
        <w:rPr>
          <w:sz w:val="20"/>
        </w:rPr>
        <w:t>a hearing or vision loss and </w:t>
      </w:r>
      <w:r>
        <w:rPr>
          <w:spacing w:val="-3"/>
          <w:sz w:val="20"/>
        </w:rPr>
        <w:t>require </w:t>
      </w:r>
      <w:r>
        <w:rPr>
          <w:sz w:val="20"/>
        </w:rPr>
        <w:t>reasonable accommodations.</w:t>
      </w:r>
    </w:p>
    <w:p>
      <w:pPr>
        <w:pStyle w:val="BodyText"/>
      </w:pPr>
    </w:p>
    <w:p>
      <w:pPr>
        <w:pStyle w:val="BodyText"/>
      </w:pPr>
    </w:p>
    <w:p>
      <w:pPr>
        <w:pStyle w:val="BodyText"/>
        <w:spacing w:before="13"/>
        <w:rPr>
          <w:sz w:val="16"/>
        </w:rPr>
      </w:pPr>
      <w:r>
        <w:rPr/>
        <w:pict>
          <v:line style="position:absolute;mso-position-horizontal-relative:page;mso-position-vertical-relative:paragraph;z-index:5984;mso-wrap-distance-left:0;mso-wrap-distance-right:0" from="79.370102pt,14.239874pt" to="515.905102pt,14.239874pt" stroked="true" strokeweight="1pt" strokecolor="#b6bdc8">
            <v:stroke dashstyle="solid"/>
            <w10:wrap type="topAndBottom"/>
          </v:line>
        </w:pict>
      </w:r>
    </w:p>
    <w:p>
      <w:pPr>
        <w:pStyle w:val="ListParagraph"/>
        <w:numPr>
          <w:ilvl w:val="0"/>
          <w:numId w:val="70"/>
        </w:numPr>
        <w:tabs>
          <w:tab w:pos="1760" w:val="left" w:leader="none"/>
          <w:tab w:pos="1762" w:val="left" w:leader="none"/>
        </w:tabs>
        <w:spacing w:line="170" w:lineRule="exact" w:before="91" w:after="0"/>
        <w:ind w:left="1761" w:right="0" w:hanging="794"/>
        <w:jc w:val="left"/>
        <w:rPr>
          <w:sz w:val="13"/>
        </w:rPr>
      </w:pPr>
      <w:r>
        <w:rPr>
          <w:sz w:val="13"/>
        </w:rPr>
        <w:t>Jacqueline Horan and Jane </w:t>
      </w:r>
      <w:r>
        <w:rPr>
          <w:spacing w:val="2"/>
          <w:sz w:val="13"/>
        </w:rPr>
        <w:t>Goodman-Delahunty, </w:t>
      </w:r>
      <w:r>
        <w:rPr>
          <w:sz w:val="13"/>
        </w:rPr>
        <w:t>‘Challenging the Peremptory Challenge System in Australia’ (2010)</w:t>
      </w:r>
      <w:r>
        <w:rPr>
          <w:spacing w:val="22"/>
          <w:sz w:val="13"/>
        </w:rPr>
        <w:t> </w:t>
      </w:r>
      <w:r>
        <w:rPr>
          <w:spacing w:val="2"/>
          <w:sz w:val="13"/>
        </w:rPr>
        <w:t>34(3)</w:t>
      </w:r>
    </w:p>
    <w:p>
      <w:pPr>
        <w:spacing w:line="160" w:lineRule="exact" w:before="0"/>
        <w:ind w:left="1761" w:right="0" w:firstLine="0"/>
        <w:jc w:val="left"/>
        <w:rPr>
          <w:sz w:val="13"/>
        </w:rPr>
      </w:pPr>
      <w:r>
        <w:rPr>
          <w:i/>
          <w:sz w:val="13"/>
        </w:rPr>
        <w:t>Criminal Law Journal </w:t>
      </w:r>
      <w:r>
        <w:rPr>
          <w:sz w:val="13"/>
        </w:rPr>
        <w:t>167, 178–80.</w:t>
      </w:r>
    </w:p>
    <w:p>
      <w:pPr>
        <w:pStyle w:val="ListParagraph"/>
        <w:numPr>
          <w:ilvl w:val="0"/>
          <w:numId w:val="70"/>
        </w:numPr>
        <w:tabs>
          <w:tab w:pos="1761" w:val="left" w:leader="none"/>
          <w:tab w:pos="1762" w:val="left" w:leader="none"/>
        </w:tabs>
        <w:spacing w:line="160" w:lineRule="exact" w:before="0" w:after="0"/>
        <w:ind w:left="1761" w:right="0" w:hanging="794"/>
        <w:jc w:val="left"/>
        <w:rPr>
          <w:sz w:val="13"/>
        </w:rPr>
      </w:pPr>
      <w:r>
        <w:rPr>
          <w:sz w:val="13"/>
        </w:rPr>
        <w:t>Phylis Skloot Bamberger, ‘Jury </w:t>
      </w:r>
      <w:r>
        <w:rPr>
          <w:i/>
          <w:sz w:val="13"/>
        </w:rPr>
        <w:t>Voir Dire </w:t>
      </w:r>
      <w:r>
        <w:rPr>
          <w:sz w:val="13"/>
        </w:rPr>
        <w:t>in Criminal Cases’ </w:t>
      </w:r>
      <w:r>
        <w:rPr>
          <w:spacing w:val="2"/>
          <w:sz w:val="13"/>
        </w:rPr>
        <w:t>(2006) </w:t>
      </w:r>
      <w:r>
        <w:rPr>
          <w:sz w:val="13"/>
        </w:rPr>
        <w:t>78(8) </w:t>
      </w:r>
      <w:r>
        <w:rPr>
          <w:i/>
          <w:sz w:val="13"/>
        </w:rPr>
        <w:t>New York State Bar Association Journal </w:t>
      </w:r>
      <w:r>
        <w:rPr>
          <w:spacing w:val="3"/>
          <w:sz w:val="13"/>
        </w:rPr>
        <w:t>24,</w:t>
      </w:r>
      <w:r>
        <w:rPr>
          <w:spacing w:val="20"/>
          <w:sz w:val="13"/>
        </w:rPr>
        <w:t> </w:t>
      </w:r>
      <w:r>
        <w:rPr>
          <w:sz w:val="13"/>
        </w:rPr>
        <w:t>26.</w:t>
      </w:r>
    </w:p>
    <w:p>
      <w:pPr>
        <w:pStyle w:val="ListParagraph"/>
        <w:numPr>
          <w:ilvl w:val="0"/>
          <w:numId w:val="70"/>
        </w:numPr>
        <w:tabs>
          <w:tab w:pos="1760" w:val="left" w:leader="none"/>
          <w:tab w:pos="1762" w:val="left" w:leader="none"/>
        </w:tabs>
        <w:spacing w:line="160" w:lineRule="exact" w:before="0" w:after="0"/>
        <w:ind w:left="1761" w:right="0" w:hanging="794"/>
        <w:jc w:val="left"/>
        <w:rPr>
          <w:sz w:val="13"/>
        </w:rPr>
      </w:pPr>
      <w:r>
        <w:rPr>
          <w:sz w:val="13"/>
        </w:rPr>
        <w:t>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w:t>
      </w:r>
      <w:r>
        <w:rPr>
          <w:spacing w:val="4"/>
          <w:sz w:val="13"/>
        </w:rPr>
        <w:t> 44.</w:t>
      </w:r>
    </w:p>
    <w:p>
      <w:pPr>
        <w:pStyle w:val="ListParagraph"/>
        <w:numPr>
          <w:ilvl w:val="0"/>
          <w:numId w:val="70"/>
        </w:numPr>
        <w:tabs>
          <w:tab w:pos="1761" w:val="left" w:leader="none"/>
          <w:tab w:pos="1762" w:val="left" w:leader="none"/>
        </w:tabs>
        <w:spacing w:line="213" w:lineRule="auto" w:before="6" w:after="0"/>
        <w:ind w:left="1761" w:right="1686" w:hanging="794"/>
        <w:jc w:val="left"/>
        <w:rPr>
          <w:sz w:val="13"/>
        </w:rPr>
      </w:pPr>
      <w:r>
        <w:rPr>
          <w:sz w:val="13"/>
        </w:rPr>
        <w:t>Requesting a wheelchair is a notable exception to this rule. 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 States).</w:t>
      </w:r>
    </w:p>
    <w:p>
      <w:pPr>
        <w:pStyle w:val="ListParagraph"/>
        <w:numPr>
          <w:ilvl w:val="0"/>
          <w:numId w:val="70"/>
        </w:numPr>
        <w:tabs>
          <w:tab w:pos="1761" w:val="left" w:leader="none"/>
          <w:tab w:pos="1762" w:val="left" w:leader="none"/>
        </w:tabs>
        <w:spacing w:line="153" w:lineRule="exact" w:before="0" w:after="0"/>
        <w:ind w:left="1761" w:right="0" w:hanging="794"/>
        <w:jc w:val="left"/>
        <w:rPr>
          <w:sz w:val="13"/>
        </w:rPr>
      </w:pPr>
      <w:r>
        <w:rPr>
          <w:spacing w:val="2"/>
          <w:sz w:val="13"/>
        </w:rPr>
        <w:t>‘National </w:t>
      </w:r>
      <w:r>
        <w:rPr>
          <w:sz w:val="13"/>
        </w:rPr>
        <w:t>Technical Institute for the Deaf’, </w:t>
      </w:r>
      <w:r>
        <w:rPr>
          <w:i/>
          <w:sz w:val="13"/>
        </w:rPr>
        <w:t>Rochester Institute of Technology </w:t>
      </w:r>
      <w:r>
        <w:rPr>
          <w:sz w:val="13"/>
        </w:rPr>
        <w:t>(Web Page)</w:t>
      </w:r>
      <w:r>
        <w:rPr>
          <w:spacing w:val="13"/>
          <w:sz w:val="13"/>
        </w:rPr>
        <w:t> </w:t>
      </w:r>
      <w:r>
        <w:rPr>
          <w:sz w:val="13"/>
        </w:rPr>
        <w:t>&lt;</w:t>
      </w:r>
      <w:hyperlink r:id="rId157">
        <w:r>
          <w:rPr>
            <w:sz w:val="13"/>
          </w:rPr>
          <w:t>https://www.rit.edu/ntid/</w:t>
        </w:r>
      </w:hyperlink>
      <w:r>
        <w:rPr>
          <w:sz w:val="13"/>
        </w:rPr>
        <w:t>&gt;.</w:t>
      </w:r>
    </w:p>
    <w:p>
      <w:pPr>
        <w:pStyle w:val="ListParagraph"/>
        <w:numPr>
          <w:ilvl w:val="0"/>
          <w:numId w:val="70"/>
        </w:numPr>
        <w:tabs>
          <w:tab w:pos="1761" w:val="left" w:leader="none"/>
          <w:tab w:pos="1762" w:val="left" w:leader="none"/>
        </w:tabs>
        <w:spacing w:line="213" w:lineRule="auto" w:before="6" w:after="0"/>
        <w:ind w:left="1761" w:right="1213" w:hanging="794"/>
        <w:jc w:val="left"/>
        <w:rPr>
          <w:sz w:val="13"/>
        </w:rPr>
      </w:pP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 States). See </w:t>
      </w:r>
      <w:r>
        <w:rPr>
          <w:spacing w:val="2"/>
          <w:sz w:val="13"/>
        </w:rPr>
        <w:t>also </w:t>
      </w:r>
      <w:r>
        <w:rPr>
          <w:sz w:val="13"/>
        </w:rPr>
        <w:t>Jemina </w:t>
      </w:r>
      <w:r>
        <w:rPr>
          <w:spacing w:val="2"/>
          <w:sz w:val="13"/>
        </w:rPr>
        <w:t>Napier </w:t>
      </w:r>
      <w:r>
        <w:rPr>
          <w:sz w:val="13"/>
        </w:rPr>
        <w:t>et </w:t>
      </w:r>
      <w:r>
        <w:rPr>
          <w:spacing w:val="2"/>
          <w:sz w:val="13"/>
        </w:rPr>
        <w:t>al, </w:t>
      </w:r>
      <w:r>
        <w:rPr>
          <w:sz w:val="13"/>
        </w:rPr>
        <w:t>‘Training Legal Interpreters to Work with Deaf Jurors’ in Jeremy L Brunson (ed), </w:t>
      </w:r>
      <w:r>
        <w:rPr>
          <w:i/>
          <w:sz w:val="13"/>
        </w:rPr>
        <w:t>Legal Interpreting—Teaching, Research and </w:t>
      </w:r>
      <w:r>
        <w:rPr>
          <w:i/>
          <w:sz w:val="13"/>
        </w:rPr>
        <w:t>Practice </w:t>
      </w:r>
      <w:r>
        <w:rPr>
          <w:sz w:val="13"/>
        </w:rPr>
        <w:t>(Gallaudet University Press, 2022) </w:t>
      </w:r>
      <w:r>
        <w:rPr>
          <w:spacing w:val="2"/>
          <w:sz w:val="13"/>
        </w:rPr>
        <w:t>254: </w:t>
      </w:r>
      <w:r>
        <w:rPr>
          <w:sz w:val="13"/>
        </w:rPr>
        <w:t>‘There is estimated to be </w:t>
      </w:r>
      <w:r>
        <w:rPr>
          <w:spacing w:val="2"/>
          <w:sz w:val="13"/>
        </w:rPr>
        <w:t>90,000 </w:t>
      </w:r>
      <w:r>
        <w:rPr>
          <w:sz w:val="13"/>
        </w:rPr>
        <w:t>deaf ASL users in a </w:t>
      </w:r>
      <w:r>
        <w:rPr>
          <w:spacing w:val="2"/>
          <w:sz w:val="13"/>
        </w:rPr>
        <w:t>population </w:t>
      </w:r>
      <w:r>
        <w:rPr>
          <w:sz w:val="13"/>
        </w:rPr>
        <w:t>of 700,000 living     in Rochester’.</w:t>
      </w:r>
    </w:p>
    <w:p>
      <w:pPr>
        <w:pStyle w:val="ListParagraph"/>
        <w:numPr>
          <w:ilvl w:val="0"/>
          <w:numId w:val="70"/>
        </w:numPr>
        <w:tabs>
          <w:tab w:pos="1760" w:val="left" w:leader="none"/>
          <w:tab w:pos="1762" w:val="left" w:leader="none"/>
        </w:tabs>
        <w:spacing w:line="213" w:lineRule="auto" w:before="0" w:after="0"/>
        <w:ind w:left="1761" w:right="1274" w:hanging="794"/>
        <w:jc w:val="left"/>
        <w:rPr>
          <w:sz w:val="13"/>
        </w:rPr>
      </w:pPr>
      <w:r>
        <w:rPr>
          <w:sz w:val="13"/>
        </w:rPr>
        <w:t>Jemina </w:t>
      </w:r>
      <w:r>
        <w:rPr>
          <w:spacing w:val="2"/>
          <w:sz w:val="13"/>
        </w:rPr>
        <w:t>Napier </w:t>
      </w:r>
      <w:r>
        <w:rPr>
          <w:sz w:val="13"/>
        </w:rPr>
        <w:t>et </w:t>
      </w:r>
      <w:r>
        <w:rPr>
          <w:spacing w:val="2"/>
          <w:sz w:val="13"/>
        </w:rPr>
        <w:t>al, </w:t>
      </w:r>
      <w:r>
        <w:rPr>
          <w:sz w:val="13"/>
        </w:rPr>
        <w:t>‘Training Legal Interpreters to Work with Deaf Jurors’ in Jeremy L Brunson (ed), </w:t>
      </w:r>
      <w:r>
        <w:rPr>
          <w:i/>
          <w:sz w:val="13"/>
        </w:rPr>
        <w:t>Legal Interpreting—Teaching, </w:t>
      </w:r>
      <w:r>
        <w:rPr>
          <w:i/>
          <w:sz w:val="13"/>
        </w:rPr>
        <w:t>Research and Practice </w:t>
      </w:r>
      <w:r>
        <w:rPr>
          <w:sz w:val="13"/>
        </w:rPr>
        <w:t>(Gallaudet University Press, 2022)</w:t>
      </w:r>
      <w:r>
        <w:rPr>
          <w:spacing w:val="4"/>
          <w:sz w:val="13"/>
        </w:rPr>
        <w:t> </w:t>
      </w:r>
      <w:r>
        <w:rPr>
          <w:spacing w:val="3"/>
          <w:sz w:val="13"/>
        </w:rPr>
        <w:t>254.</w:t>
      </w:r>
    </w:p>
    <w:p>
      <w:pPr>
        <w:tabs>
          <w:tab w:pos="1761" w:val="left" w:leader="none"/>
        </w:tabs>
        <w:spacing w:line="152" w:lineRule="exact" w:before="0"/>
        <w:ind w:left="967" w:right="0" w:firstLine="0"/>
        <w:jc w:val="left"/>
        <w:rPr>
          <w:sz w:val="13"/>
        </w:rPr>
      </w:pPr>
      <w:r>
        <w:rPr>
          <w:sz w:val="13"/>
        </w:rPr>
        <w:t>48</w:t>
        <w:tab/>
        <w:t>Ibid </w:t>
      </w:r>
      <w:r>
        <w:rPr>
          <w:spacing w:val="3"/>
          <w:sz w:val="13"/>
        </w:rPr>
        <w:t>254–5.</w:t>
      </w:r>
    </w:p>
    <w:p>
      <w:pPr>
        <w:pStyle w:val="ListParagraph"/>
        <w:numPr>
          <w:ilvl w:val="0"/>
          <w:numId w:val="71"/>
        </w:numPr>
        <w:tabs>
          <w:tab w:pos="1761" w:val="left" w:leader="none"/>
          <w:tab w:pos="1762" w:val="left" w:leader="none"/>
        </w:tabs>
        <w:spacing w:line="160" w:lineRule="exact" w:before="0" w:after="0"/>
        <w:ind w:left="1761" w:right="0" w:hanging="794"/>
        <w:jc w:val="left"/>
        <w:rPr>
          <w:sz w:val="13"/>
        </w:rPr>
      </w:pPr>
      <w:r>
        <w:rPr/>
        <w:pict>
          <v:shape style="position:absolute;margin-left:548.703918pt;margin-top:3.7088pt;width:13.85pt;height:14.1pt;mso-position-horizontal-relative:page;mso-position-vertical-relative:paragraph;z-index:8056" type="#_x0000_t202" filled="false" stroked="false">
            <v:textbox inset="0,0,0,0">
              <w:txbxContent>
                <w:p>
                  <w:pPr>
                    <w:spacing w:line="282" w:lineRule="exact" w:before="0"/>
                    <w:ind w:left="0" w:right="0" w:firstLine="0"/>
                    <w:jc w:val="left"/>
                    <w:rPr>
                      <w:b/>
                      <w:sz w:val="24"/>
                    </w:rPr>
                  </w:pPr>
                  <w:r>
                    <w:rPr>
                      <w:b/>
                      <w:color w:val="37617A"/>
                      <w:sz w:val="24"/>
                    </w:rPr>
                    <w:t>95</w:t>
                  </w:r>
                </w:p>
              </w:txbxContent>
            </v:textbox>
            <w10:wrap type="none"/>
          </v:shape>
        </w:pict>
      </w: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w:t>
      </w:r>
      <w:r>
        <w:rPr>
          <w:spacing w:val="4"/>
          <w:sz w:val="13"/>
        </w:rPr>
        <w:t> </w:t>
      </w:r>
      <w:r>
        <w:rPr>
          <w:sz w:val="13"/>
        </w:rPr>
        <w:t>States).</w:t>
      </w:r>
    </w:p>
    <w:p>
      <w:pPr>
        <w:pStyle w:val="ListParagraph"/>
        <w:numPr>
          <w:ilvl w:val="0"/>
          <w:numId w:val="71"/>
        </w:numPr>
        <w:tabs>
          <w:tab w:pos="1760" w:val="left" w:leader="none"/>
          <w:tab w:pos="1762" w:val="left" w:leader="none"/>
        </w:tabs>
        <w:spacing w:line="170" w:lineRule="exact" w:before="0" w:after="0"/>
        <w:ind w:left="1761" w:right="0" w:hanging="794"/>
        <w:jc w:val="left"/>
        <w:rPr>
          <w:sz w:val="13"/>
        </w:rPr>
      </w:pPr>
      <w:r>
        <w:rPr>
          <w:spacing w:val="2"/>
          <w:sz w:val="13"/>
        </w:rPr>
        <w:t>Ibid.</w:t>
      </w:r>
    </w:p>
    <w:p>
      <w:pPr>
        <w:spacing w:after="0" w:line="170" w:lineRule="exact"/>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71"/>
        </w:numPr>
        <w:tabs>
          <w:tab w:pos="2157" w:val="left" w:leader="none"/>
          <w:tab w:pos="2158" w:val="left" w:leader="none"/>
        </w:tabs>
        <w:spacing w:line="206" w:lineRule="auto" w:before="0" w:after="0"/>
        <w:ind w:left="2157" w:right="1704" w:hanging="396"/>
        <w:jc w:val="left"/>
        <w:rPr>
          <w:sz w:val="20"/>
        </w:rPr>
      </w:pPr>
      <w:r>
        <w:rPr>
          <w:sz w:val="20"/>
        </w:rPr>
        <w:t>The</w:t>
      </w:r>
      <w:r>
        <w:rPr>
          <w:spacing w:val="-8"/>
          <w:sz w:val="20"/>
        </w:rPr>
        <w:t> </w:t>
      </w:r>
      <w:r>
        <w:rPr>
          <w:sz w:val="20"/>
        </w:rPr>
        <w:t>Jury</w:t>
      </w:r>
      <w:r>
        <w:rPr>
          <w:spacing w:val="-8"/>
          <w:sz w:val="20"/>
        </w:rPr>
        <w:t> </w:t>
      </w:r>
      <w:r>
        <w:rPr>
          <w:sz w:val="20"/>
        </w:rPr>
        <w:t>Commissioner</w:t>
      </w:r>
      <w:r>
        <w:rPr>
          <w:spacing w:val="-8"/>
          <w:sz w:val="20"/>
        </w:rPr>
        <w:t> </w:t>
      </w:r>
      <w:r>
        <w:rPr>
          <w:sz w:val="20"/>
        </w:rPr>
        <w:t>can</w:t>
      </w:r>
      <w:r>
        <w:rPr>
          <w:spacing w:val="-8"/>
          <w:sz w:val="20"/>
        </w:rPr>
        <w:t> </w:t>
      </w:r>
      <w:r>
        <w:rPr>
          <w:spacing w:val="-3"/>
          <w:sz w:val="20"/>
        </w:rPr>
        <w:t>excuse</w:t>
      </w:r>
      <w:r>
        <w:rPr>
          <w:spacing w:val="-8"/>
          <w:sz w:val="20"/>
        </w:rPr>
        <w:t> </w:t>
      </w:r>
      <w:r>
        <w:rPr>
          <w:sz w:val="20"/>
        </w:rPr>
        <w:t>a</w:t>
      </w:r>
      <w:r>
        <w:rPr>
          <w:spacing w:val="-8"/>
          <w:sz w:val="20"/>
        </w:rPr>
        <w:t> </w:t>
      </w:r>
      <w:r>
        <w:rPr>
          <w:sz w:val="20"/>
        </w:rPr>
        <w:t>person</w:t>
      </w:r>
      <w:r>
        <w:rPr>
          <w:spacing w:val="-8"/>
          <w:sz w:val="20"/>
        </w:rPr>
        <w:t> </w:t>
      </w:r>
      <w:r>
        <w:rPr>
          <w:sz w:val="20"/>
        </w:rPr>
        <w:t>on</w:t>
      </w:r>
      <w:r>
        <w:rPr>
          <w:spacing w:val="-8"/>
          <w:sz w:val="20"/>
        </w:rPr>
        <w:t> </w:t>
      </w:r>
      <w:r>
        <w:rPr>
          <w:sz w:val="20"/>
        </w:rPr>
        <w:t>the</w:t>
      </w:r>
      <w:r>
        <w:rPr>
          <w:spacing w:val="-7"/>
          <w:sz w:val="20"/>
        </w:rPr>
        <w:t> </w:t>
      </w:r>
      <w:r>
        <w:rPr>
          <w:sz w:val="20"/>
        </w:rPr>
        <w:t>basis</w:t>
      </w:r>
      <w:r>
        <w:rPr>
          <w:spacing w:val="-8"/>
          <w:sz w:val="20"/>
        </w:rPr>
        <w:t> </w:t>
      </w:r>
      <w:r>
        <w:rPr>
          <w:sz w:val="20"/>
        </w:rPr>
        <w:t>of</w:t>
      </w:r>
      <w:r>
        <w:rPr>
          <w:spacing w:val="-8"/>
          <w:sz w:val="20"/>
        </w:rPr>
        <w:t> </w:t>
      </w:r>
      <w:r>
        <w:rPr>
          <w:sz w:val="20"/>
        </w:rPr>
        <w:t>their</w:t>
      </w:r>
      <w:r>
        <w:rPr>
          <w:spacing w:val="-8"/>
          <w:sz w:val="20"/>
        </w:rPr>
        <w:t> </w:t>
      </w:r>
      <w:r>
        <w:rPr>
          <w:sz w:val="20"/>
        </w:rPr>
        <w:t>response</w:t>
      </w:r>
      <w:r>
        <w:rPr>
          <w:spacing w:val="-8"/>
          <w:sz w:val="20"/>
        </w:rPr>
        <w:t> </w:t>
      </w:r>
      <w:r>
        <w:rPr>
          <w:sz w:val="20"/>
        </w:rPr>
        <w:t>to either the qualification questionnaire or the summons. Once a person is in a courtroom, </w:t>
      </w:r>
      <w:r>
        <w:rPr>
          <w:spacing w:val="-3"/>
          <w:sz w:val="20"/>
        </w:rPr>
        <w:t>only </w:t>
      </w:r>
      <w:r>
        <w:rPr>
          <w:sz w:val="20"/>
        </w:rPr>
        <w:t>the judge can </w:t>
      </w:r>
      <w:r>
        <w:rPr>
          <w:spacing w:val="-3"/>
          <w:sz w:val="20"/>
        </w:rPr>
        <w:t>excuse</w:t>
      </w:r>
      <w:r>
        <w:rPr>
          <w:spacing w:val="-25"/>
          <w:sz w:val="20"/>
        </w:rPr>
        <w:t> </w:t>
      </w:r>
      <w:r>
        <w:rPr>
          <w:sz w:val="20"/>
        </w:rPr>
        <w:t>them.</w:t>
      </w:r>
    </w:p>
    <w:p>
      <w:pPr>
        <w:pStyle w:val="ListParagraph"/>
        <w:numPr>
          <w:ilvl w:val="1"/>
          <w:numId w:val="71"/>
        </w:numPr>
        <w:tabs>
          <w:tab w:pos="2157" w:val="left" w:leader="none"/>
          <w:tab w:pos="2158" w:val="left" w:leader="none"/>
        </w:tabs>
        <w:spacing w:line="206" w:lineRule="auto" w:before="89" w:after="0"/>
        <w:ind w:left="2157" w:right="1369" w:hanging="396"/>
        <w:jc w:val="left"/>
        <w:rPr>
          <w:sz w:val="20"/>
        </w:rPr>
      </w:pPr>
      <w:r>
        <w:rPr>
          <w:sz w:val="20"/>
        </w:rPr>
        <w:t>Once all the potential jurors </w:t>
      </w:r>
      <w:r>
        <w:rPr>
          <w:spacing w:val="-4"/>
          <w:sz w:val="20"/>
        </w:rPr>
        <w:t>have </w:t>
      </w:r>
      <w:r>
        <w:rPr>
          <w:sz w:val="20"/>
        </w:rPr>
        <w:t>been given an orientation outlining their duties and</w:t>
      </w:r>
      <w:r>
        <w:rPr>
          <w:spacing w:val="-16"/>
          <w:sz w:val="20"/>
        </w:rPr>
        <w:t> </w:t>
      </w:r>
      <w:r>
        <w:rPr>
          <w:sz w:val="20"/>
        </w:rPr>
        <w:t>responsibilities,</w:t>
      </w:r>
      <w:r>
        <w:rPr>
          <w:spacing w:val="-16"/>
          <w:sz w:val="20"/>
        </w:rPr>
        <w:t> </w:t>
      </w:r>
      <w:r>
        <w:rPr>
          <w:sz w:val="20"/>
        </w:rPr>
        <w:t>the</w:t>
      </w:r>
      <w:r>
        <w:rPr>
          <w:spacing w:val="-15"/>
          <w:sz w:val="20"/>
        </w:rPr>
        <w:t> </w:t>
      </w:r>
      <w:r>
        <w:rPr>
          <w:sz w:val="20"/>
        </w:rPr>
        <w:t>Jury</w:t>
      </w:r>
      <w:r>
        <w:rPr>
          <w:spacing w:val="-16"/>
          <w:sz w:val="20"/>
        </w:rPr>
        <w:t> </w:t>
      </w:r>
      <w:r>
        <w:rPr>
          <w:sz w:val="20"/>
        </w:rPr>
        <w:t>Commissioner’s</w:t>
      </w:r>
      <w:r>
        <w:rPr>
          <w:spacing w:val="-15"/>
          <w:sz w:val="20"/>
        </w:rPr>
        <w:t> </w:t>
      </w:r>
      <w:r>
        <w:rPr>
          <w:sz w:val="20"/>
        </w:rPr>
        <w:t>computer</w:t>
      </w:r>
      <w:r>
        <w:rPr>
          <w:spacing w:val="-16"/>
          <w:sz w:val="20"/>
        </w:rPr>
        <w:t> </w:t>
      </w:r>
      <w:r>
        <w:rPr>
          <w:sz w:val="20"/>
        </w:rPr>
        <w:t>system</w:t>
      </w:r>
      <w:r>
        <w:rPr>
          <w:spacing w:val="-16"/>
          <w:sz w:val="20"/>
        </w:rPr>
        <w:t> </w:t>
      </w:r>
      <w:r>
        <w:rPr>
          <w:sz w:val="20"/>
        </w:rPr>
        <w:t>randomly</w:t>
      </w:r>
      <w:r>
        <w:rPr>
          <w:spacing w:val="-15"/>
          <w:sz w:val="20"/>
        </w:rPr>
        <w:t> </w:t>
      </w:r>
      <w:r>
        <w:rPr>
          <w:sz w:val="20"/>
        </w:rPr>
        <w:t>assigns them to the trials. The Jury Commissioner </w:t>
      </w:r>
      <w:r>
        <w:rPr>
          <w:spacing w:val="-3"/>
          <w:sz w:val="20"/>
        </w:rPr>
        <w:t>told</w:t>
      </w:r>
      <w:r>
        <w:rPr>
          <w:spacing w:val="-36"/>
          <w:sz w:val="20"/>
        </w:rPr>
        <w:t> </w:t>
      </w:r>
      <w:r>
        <w:rPr>
          <w:sz w:val="20"/>
        </w:rPr>
        <w:t>us:</w:t>
      </w:r>
    </w:p>
    <w:p>
      <w:pPr>
        <w:spacing w:line="208" w:lineRule="auto" w:before="87"/>
        <w:ind w:left="2554" w:right="1335" w:firstLine="0"/>
        <w:jc w:val="left"/>
        <w:rPr>
          <w:sz w:val="19"/>
        </w:rPr>
      </w:pPr>
      <w:r>
        <w:rPr>
          <w:sz w:val="19"/>
        </w:rPr>
        <w:t>The law gives the Jury Commissioner broad power to organize the jury pool so long as random selection is maintained, while at the same time recognizing that jurors need to be deferred to new dates to accommodate not only disabilities, but also their employment, travel plans and other commitments. It is under this authority that I schedule deaf jurors. The jurors are first randomly selected then are deferred to accommodate their needs.</w:t>
      </w:r>
    </w:p>
    <w:p>
      <w:pPr>
        <w:spacing w:line="208" w:lineRule="auto" w:before="123"/>
        <w:ind w:left="2554" w:right="1202" w:firstLine="0"/>
        <w:jc w:val="left"/>
        <w:rPr>
          <w:sz w:val="11"/>
        </w:rPr>
      </w:pPr>
      <w:r>
        <w:rPr>
          <w:sz w:val="19"/>
        </w:rPr>
        <w:t>We do our best to accommodate people who show up at the courthouse without any advance notice but, if it is for jury service, we defer them to a new date.</w:t>
      </w:r>
      <w:r>
        <w:rPr>
          <w:position w:val="6"/>
          <w:sz w:val="11"/>
        </w:rPr>
        <w:t>51</w:t>
      </w:r>
    </w:p>
    <w:p>
      <w:pPr>
        <w:pStyle w:val="ListParagraph"/>
        <w:numPr>
          <w:ilvl w:val="1"/>
          <w:numId w:val="71"/>
        </w:numPr>
        <w:tabs>
          <w:tab w:pos="2157" w:val="left" w:leader="none"/>
          <w:tab w:pos="2158" w:val="left" w:leader="none"/>
        </w:tabs>
        <w:spacing w:line="206" w:lineRule="auto" w:before="123" w:after="0"/>
        <w:ind w:left="2157" w:right="1815" w:hanging="396"/>
        <w:jc w:val="left"/>
        <w:rPr>
          <w:sz w:val="20"/>
        </w:rPr>
      </w:pPr>
      <w:r>
        <w:rPr>
          <w:sz w:val="20"/>
        </w:rPr>
        <w:t>If</w:t>
      </w:r>
      <w:r>
        <w:rPr>
          <w:spacing w:val="-8"/>
          <w:sz w:val="20"/>
        </w:rPr>
        <w:t> </w:t>
      </w:r>
      <w:r>
        <w:rPr>
          <w:sz w:val="20"/>
        </w:rPr>
        <w:t>a</w:t>
      </w:r>
      <w:r>
        <w:rPr>
          <w:spacing w:val="-8"/>
          <w:sz w:val="20"/>
        </w:rPr>
        <w:t> </w:t>
      </w:r>
      <w:r>
        <w:rPr>
          <w:sz w:val="20"/>
        </w:rPr>
        <w:t>request</w:t>
      </w:r>
      <w:r>
        <w:rPr>
          <w:spacing w:val="-8"/>
          <w:sz w:val="20"/>
        </w:rPr>
        <w:t> </w:t>
      </w:r>
      <w:r>
        <w:rPr>
          <w:sz w:val="20"/>
        </w:rPr>
        <w:t>for</w:t>
      </w:r>
      <w:r>
        <w:rPr>
          <w:spacing w:val="-8"/>
          <w:sz w:val="20"/>
        </w:rPr>
        <w:t> </w:t>
      </w:r>
      <w:r>
        <w:rPr>
          <w:sz w:val="20"/>
        </w:rPr>
        <w:t>accommodation</w:t>
      </w:r>
      <w:r>
        <w:rPr>
          <w:spacing w:val="-8"/>
          <w:sz w:val="20"/>
        </w:rPr>
        <w:t> </w:t>
      </w:r>
      <w:r>
        <w:rPr>
          <w:sz w:val="20"/>
        </w:rPr>
        <w:t>is</w:t>
      </w:r>
      <w:r>
        <w:rPr>
          <w:spacing w:val="-8"/>
          <w:sz w:val="20"/>
        </w:rPr>
        <w:t> </w:t>
      </w:r>
      <w:r>
        <w:rPr>
          <w:sz w:val="20"/>
        </w:rPr>
        <w:t>denied,</w:t>
      </w:r>
      <w:r>
        <w:rPr>
          <w:spacing w:val="-8"/>
          <w:sz w:val="20"/>
        </w:rPr>
        <w:t> </w:t>
      </w:r>
      <w:r>
        <w:rPr>
          <w:sz w:val="20"/>
        </w:rPr>
        <w:t>a</w:t>
      </w:r>
      <w:r>
        <w:rPr>
          <w:spacing w:val="-8"/>
          <w:sz w:val="20"/>
        </w:rPr>
        <w:t> </w:t>
      </w:r>
      <w:r>
        <w:rPr>
          <w:sz w:val="20"/>
        </w:rPr>
        <w:t>person</w:t>
      </w:r>
      <w:r>
        <w:rPr>
          <w:spacing w:val="-8"/>
          <w:sz w:val="20"/>
        </w:rPr>
        <w:t> </w:t>
      </w:r>
      <w:r>
        <w:rPr>
          <w:sz w:val="20"/>
        </w:rPr>
        <w:t>can</w:t>
      </w:r>
      <w:r>
        <w:rPr>
          <w:spacing w:val="-8"/>
          <w:sz w:val="20"/>
        </w:rPr>
        <w:t> </w:t>
      </w:r>
      <w:r>
        <w:rPr>
          <w:sz w:val="20"/>
        </w:rPr>
        <w:t>seek</w:t>
      </w:r>
      <w:r>
        <w:rPr>
          <w:spacing w:val="-8"/>
          <w:sz w:val="20"/>
        </w:rPr>
        <w:t> </w:t>
      </w:r>
      <w:r>
        <w:rPr>
          <w:sz w:val="20"/>
        </w:rPr>
        <w:t>a</w:t>
      </w:r>
      <w:r>
        <w:rPr>
          <w:spacing w:val="-8"/>
          <w:sz w:val="20"/>
        </w:rPr>
        <w:t> </w:t>
      </w:r>
      <w:r>
        <w:rPr>
          <w:spacing w:val="-4"/>
          <w:sz w:val="20"/>
        </w:rPr>
        <w:t>review</w:t>
      </w:r>
      <w:r>
        <w:rPr>
          <w:spacing w:val="-8"/>
          <w:sz w:val="20"/>
        </w:rPr>
        <w:t> </w:t>
      </w:r>
      <w:r>
        <w:rPr>
          <w:sz w:val="20"/>
        </w:rPr>
        <w:t>of</w:t>
      </w:r>
      <w:r>
        <w:rPr>
          <w:spacing w:val="-7"/>
          <w:sz w:val="20"/>
        </w:rPr>
        <w:t> </w:t>
      </w:r>
      <w:r>
        <w:rPr>
          <w:sz w:val="20"/>
        </w:rPr>
        <w:t>that decision.</w:t>
      </w:r>
    </w:p>
    <w:p>
      <w:pPr>
        <w:pStyle w:val="ListParagraph"/>
        <w:numPr>
          <w:ilvl w:val="1"/>
          <w:numId w:val="71"/>
        </w:numPr>
        <w:tabs>
          <w:tab w:pos="2157" w:val="left" w:leader="none"/>
          <w:tab w:pos="2158" w:val="left" w:leader="none"/>
        </w:tabs>
        <w:spacing w:line="206" w:lineRule="auto" w:before="88" w:after="0"/>
        <w:ind w:left="2157" w:right="1314" w:hanging="396"/>
        <w:jc w:val="left"/>
        <w:rPr>
          <w:sz w:val="11"/>
        </w:rPr>
      </w:pPr>
      <w:r>
        <w:rPr>
          <w:sz w:val="20"/>
        </w:rPr>
        <w:t>If the potential juror is </w:t>
      </w:r>
      <w:r>
        <w:rPr>
          <w:spacing w:val="-4"/>
          <w:sz w:val="20"/>
        </w:rPr>
        <w:t>deaf, </w:t>
      </w:r>
      <w:r>
        <w:rPr>
          <w:sz w:val="20"/>
        </w:rPr>
        <w:t>a sign language </w:t>
      </w:r>
      <w:r>
        <w:rPr>
          <w:spacing w:val="-3"/>
          <w:sz w:val="20"/>
        </w:rPr>
        <w:t>interpreter </w:t>
      </w:r>
      <w:r>
        <w:rPr>
          <w:sz w:val="20"/>
        </w:rPr>
        <w:t>is needed for their induction</w:t>
      </w:r>
      <w:r>
        <w:rPr>
          <w:spacing w:val="-11"/>
          <w:sz w:val="20"/>
        </w:rPr>
        <w:t> </w:t>
      </w:r>
      <w:r>
        <w:rPr>
          <w:sz w:val="20"/>
        </w:rPr>
        <w:t>and</w:t>
      </w:r>
      <w:r>
        <w:rPr>
          <w:spacing w:val="-10"/>
          <w:sz w:val="20"/>
        </w:rPr>
        <w:t> </w:t>
      </w:r>
      <w:r>
        <w:rPr>
          <w:sz w:val="20"/>
        </w:rPr>
        <w:t>the</w:t>
      </w:r>
      <w:r>
        <w:rPr>
          <w:spacing w:val="-10"/>
          <w:sz w:val="20"/>
        </w:rPr>
        <w:t> </w:t>
      </w:r>
      <w:r>
        <w:rPr>
          <w:sz w:val="20"/>
        </w:rPr>
        <w:t>jury</w:t>
      </w:r>
      <w:r>
        <w:rPr>
          <w:spacing w:val="-10"/>
          <w:sz w:val="20"/>
        </w:rPr>
        <w:t> </w:t>
      </w:r>
      <w:r>
        <w:rPr>
          <w:sz w:val="20"/>
        </w:rPr>
        <w:t>selection</w:t>
      </w:r>
      <w:r>
        <w:rPr>
          <w:spacing w:val="-10"/>
          <w:sz w:val="20"/>
        </w:rPr>
        <w:t> </w:t>
      </w:r>
      <w:r>
        <w:rPr>
          <w:sz w:val="20"/>
        </w:rPr>
        <w:t>process</w:t>
      </w:r>
      <w:r>
        <w:rPr>
          <w:spacing w:val="-10"/>
          <w:sz w:val="20"/>
        </w:rPr>
        <w:t> </w:t>
      </w:r>
      <w:r>
        <w:rPr>
          <w:sz w:val="20"/>
        </w:rPr>
        <w:t>as</w:t>
      </w:r>
      <w:r>
        <w:rPr>
          <w:spacing w:val="-10"/>
          <w:sz w:val="20"/>
        </w:rPr>
        <w:t> </w:t>
      </w:r>
      <w:r>
        <w:rPr>
          <w:sz w:val="20"/>
        </w:rPr>
        <w:t>well</w:t>
      </w:r>
      <w:r>
        <w:rPr>
          <w:spacing w:val="-10"/>
          <w:sz w:val="20"/>
        </w:rPr>
        <w:t> </w:t>
      </w:r>
      <w:r>
        <w:rPr>
          <w:sz w:val="20"/>
        </w:rPr>
        <w:t>as</w:t>
      </w:r>
      <w:r>
        <w:rPr>
          <w:spacing w:val="-10"/>
          <w:sz w:val="20"/>
        </w:rPr>
        <w:t> </w:t>
      </w:r>
      <w:r>
        <w:rPr>
          <w:sz w:val="20"/>
        </w:rPr>
        <w:t>for</w:t>
      </w:r>
      <w:r>
        <w:rPr>
          <w:spacing w:val="-10"/>
          <w:sz w:val="20"/>
        </w:rPr>
        <w:t> </w:t>
      </w:r>
      <w:r>
        <w:rPr>
          <w:sz w:val="20"/>
        </w:rPr>
        <w:t>the</w:t>
      </w:r>
      <w:r>
        <w:rPr>
          <w:spacing w:val="-10"/>
          <w:sz w:val="20"/>
        </w:rPr>
        <w:t> </w:t>
      </w:r>
      <w:r>
        <w:rPr>
          <w:sz w:val="20"/>
        </w:rPr>
        <w:t>trial</w:t>
      </w:r>
      <w:r>
        <w:rPr>
          <w:spacing w:val="-10"/>
          <w:sz w:val="20"/>
        </w:rPr>
        <w:t> </w:t>
      </w:r>
      <w:r>
        <w:rPr>
          <w:sz w:val="20"/>
        </w:rPr>
        <w:t>(if</w:t>
      </w:r>
      <w:r>
        <w:rPr>
          <w:spacing w:val="-11"/>
          <w:sz w:val="20"/>
        </w:rPr>
        <w:t> </w:t>
      </w:r>
      <w:r>
        <w:rPr>
          <w:sz w:val="20"/>
        </w:rPr>
        <w:t>they</w:t>
      </w:r>
      <w:r>
        <w:rPr>
          <w:spacing w:val="-10"/>
          <w:sz w:val="20"/>
        </w:rPr>
        <w:t> </w:t>
      </w:r>
      <w:r>
        <w:rPr>
          <w:spacing w:val="-3"/>
          <w:sz w:val="20"/>
        </w:rPr>
        <w:t>are</w:t>
      </w:r>
      <w:r>
        <w:rPr>
          <w:spacing w:val="-10"/>
          <w:sz w:val="20"/>
        </w:rPr>
        <w:t> </w:t>
      </w:r>
      <w:r>
        <w:rPr>
          <w:sz w:val="20"/>
        </w:rPr>
        <w:t>selected to </w:t>
      </w:r>
      <w:r>
        <w:rPr>
          <w:spacing w:val="-3"/>
          <w:sz w:val="20"/>
        </w:rPr>
        <w:t>serve). </w:t>
      </w:r>
      <w:r>
        <w:rPr>
          <w:spacing w:val="-8"/>
          <w:sz w:val="20"/>
        </w:rPr>
        <w:t>‘A </w:t>
      </w:r>
      <w:r>
        <w:rPr>
          <w:sz w:val="20"/>
        </w:rPr>
        <w:t>team of </w:t>
      </w:r>
      <w:r>
        <w:rPr>
          <w:spacing w:val="-3"/>
          <w:sz w:val="20"/>
        </w:rPr>
        <w:t>interpreters </w:t>
      </w:r>
      <w:r>
        <w:rPr>
          <w:sz w:val="20"/>
        </w:rPr>
        <w:t>is also put on standby in case the deaf juror is empanelled for a full</w:t>
      </w:r>
      <w:r>
        <w:rPr>
          <w:spacing w:val="-17"/>
          <w:sz w:val="20"/>
        </w:rPr>
        <w:t> </w:t>
      </w:r>
      <w:r>
        <w:rPr>
          <w:sz w:val="20"/>
        </w:rPr>
        <w:t>trial’.</w:t>
      </w:r>
      <w:r>
        <w:rPr>
          <w:position w:val="7"/>
          <w:sz w:val="11"/>
        </w:rPr>
        <w:t>52</w:t>
      </w:r>
    </w:p>
    <w:p>
      <w:pPr>
        <w:pStyle w:val="ListParagraph"/>
        <w:numPr>
          <w:ilvl w:val="1"/>
          <w:numId w:val="71"/>
        </w:numPr>
        <w:tabs>
          <w:tab w:pos="2157" w:val="left" w:leader="none"/>
          <w:tab w:pos="2158" w:val="left" w:leader="none"/>
        </w:tabs>
        <w:spacing w:line="206" w:lineRule="auto" w:before="90" w:after="0"/>
        <w:ind w:left="2157" w:right="1340" w:hanging="396"/>
        <w:jc w:val="left"/>
        <w:rPr>
          <w:sz w:val="11"/>
        </w:rPr>
      </w:pPr>
      <w:r>
        <w:rPr>
          <w:sz w:val="20"/>
        </w:rPr>
        <w:t>Sign language </w:t>
      </w:r>
      <w:r>
        <w:rPr>
          <w:spacing w:val="-3"/>
          <w:sz w:val="20"/>
        </w:rPr>
        <w:t>interpreters are allowed </w:t>
      </w:r>
      <w:r>
        <w:rPr>
          <w:sz w:val="20"/>
        </w:rPr>
        <w:t>to be </w:t>
      </w:r>
      <w:r>
        <w:rPr>
          <w:spacing w:val="-3"/>
          <w:sz w:val="20"/>
        </w:rPr>
        <w:t>present </w:t>
      </w:r>
      <w:r>
        <w:rPr>
          <w:sz w:val="20"/>
        </w:rPr>
        <w:t>in the jury room. The </w:t>
      </w:r>
      <w:r>
        <w:rPr>
          <w:spacing w:val="-3"/>
          <w:sz w:val="20"/>
        </w:rPr>
        <w:t>interpreter</w:t>
      </w:r>
      <w:r>
        <w:rPr>
          <w:spacing w:val="-10"/>
          <w:sz w:val="20"/>
        </w:rPr>
        <w:t> </w:t>
      </w:r>
      <w:r>
        <w:rPr>
          <w:sz w:val="20"/>
        </w:rPr>
        <w:t>must</w:t>
      </w:r>
      <w:r>
        <w:rPr>
          <w:spacing w:val="-10"/>
          <w:sz w:val="20"/>
        </w:rPr>
        <w:t> </w:t>
      </w:r>
      <w:r>
        <w:rPr>
          <w:spacing w:val="-3"/>
          <w:sz w:val="20"/>
        </w:rPr>
        <w:t>give</w:t>
      </w:r>
      <w:r>
        <w:rPr>
          <w:spacing w:val="-10"/>
          <w:sz w:val="20"/>
        </w:rPr>
        <w:t> </w:t>
      </w:r>
      <w:r>
        <w:rPr>
          <w:sz w:val="20"/>
        </w:rPr>
        <w:t>an</w:t>
      </w:r>
      <w:r>
        <w:rPr>
          <w:spacing w:val="-10"/>
          <w:sz w:val="20"/>
        </w:rPr>
        <w:t> </w:t>
      </w:r>
      <w:r>
        <w:rPr>
          <w:sz w:val="20"/>
        </w:rPr>
        <w:t>oath</w:t>
      </w:r>
      <w:r>
        <w:rPr>
          <w:spacing w:val="-10"/>
          <w:sz w:val="20"/>
        </w:rPr>
        <w:t> </w:t>
      </w:r>
      <w:r>
        <w:rPr>
          <w:sz w:val="20"/>
        </w:rPr>
        <w:t>or</w:t>
      </w:r>
      <w:r>
        <w:rPr>
          <w:spacing w:val="-10"/>
          <w:sz w:val="20"/>
        </w:rPr>
        <w:t> </w:t>
      </w:r>
      <w:r>
        <w:rPr>
          <w:sz w:val="20"/>
        </w:rPr>
        <w:t>affirmation</w:t>
      </w:r>
      <w:r>
        <w:rPr>
          <w:spacing w:val="-10"/>
          <w:sz w:val="20"/>
        </w:rPr>
        <w:t> </w:t>
      </w:r>
      <w:r>
        <w:rPr>
          <w:sz w:val="20"/>
        </w:rPr>
        <w:t>to</w:t>
      </w:r>
      <w:r>
        <w:rPr>
          <w:spacing w:val="-10"/>
          <w:sz w:val="20"/>
        </w:rPr>
        <w:t> </w:t>
      </w:r>
      <w:r>
        <w:rPr>
          <w:sz w:val="20"/>
        </w:rPr>
        <w:t>enter</w:t>
      </w:r>
      <w:r>
        <w:rPr>
          <w:spacing w:val="-10"/>
          <w:sz w:val="20"/>
        </w:rPr>
        <w:t> </w:t>
      </w:r>
      <w:r>
        <w:rPr>
          <w:sz w:val="20"/>
        </w:rPr>
        <w:t>the</w:t>
      </w:r>
      <w:r>
        <w:rPr>
          <w:spacing w:val="-10"/>
          <w:sz w:val="20"/>
        </w:rPr>
        <w:t> </w:t>
      </w:r>
      <w:r>
        <w:rPr>
          <w:sz w:val="20"/>
        </w:rPr>
        <w:t>jury</w:t>
      </w:r>
      <w:r>
        <w:rPr>
          <w:spacing w:val="-10"/>
          <w:sz w:val="20"/>
        </w:rPr>
        <w:t> </w:t>
      </w:r>
      <w:r>
        <w:rPr>
          <w:sz w:val="20"/>
        </w:rPr>
        <w:t>room.</w:t>
      </w:r>
      <w:r>
        <w:rPr>
          <w:spacing w:val="-10"/>
          <w:sz w:val="20"/>
        </w:rPr>
        <w:t> </w:t>
      </w:r>
      <w:r>
        <w:rPr>
          <w:sz w:val="20"/>
        </w:rPr>
        <w:t>The</w:t>
      </w:r>
      <w:r>
        <w:rPr>
          <w:spacing w:val="-10"/>
          <w:sz w:val="20"/>
        </w:rPr>
        <w:t> </w:t>
      </w:r>
      <w:r>
        <w:rPr>
          <w:sz w:val="20"/>
        </w:rPr>
        <w:t>court’s</w:t>
      </w:r>
      <w:r>
        <w:rPr>
          <w:spacing w:val="-10"/>
          <w:sz w:val="20"/>
        </w:rPr>
        <w:t> </w:t>
      </w:r>
      <w:r>
        <w:rPr>
          <w:sz w:val="20"/>
        </w:rPr>
        <w:t>ASL </w:t>
      </w:r>
      <w:r>
        <w:rPr>
          <w:spacing w:val="-3"/>
          <w:sz w:val="20"/>
        </w:rPr>
        <w:t>interpreter </w:t>
      </w:r>
      <w:r>
        <w:rPr>
          <w:sz w:val="20"/>
        </w:rPr>
        <w:t>is an officer of the court and does not need to be </w:t>
      </w:r>
      <w:r>
        <w:rPr>
          <w:spacing w:val="-3"/>
          <w:sz w:val="20"/>
        </w:rPr>
        <w:t>sworn </w:t>
      </w:r>
      <w:r>
        <w:rPr>
          <w:sz w:val="20"/>
        </w:rPr>
        <w:t>in every time. Other freelance ASL </w:t>
      </w:r>
      <w:r>
        <w:rPr>
          <w:spacing w:val="-3"/>
          <w:sz w:val="20"/>
        </w:rPr>
        <w:t>interpreters </w:t>
      </w:r>
      <w:r>
        <w:rPr>
          <w:sz w:val="20"/>
        </w:rPr>
        <w:t>who regularly </w:t>
      </w:r>
      <w:r>
        <w:rPr>
          <w:spacing w:val="-3"/>
          <w:sz w:val="20"/>
        </w:rPr>
        <w:t>interpret </w:t>
      </w:r>
      <w:r>
        <w:rPr>
          <w:sz w:val="20"/>
        </w:rPr>
        <w:t>in the court </w:t>
      </w:r>
      <w:r>
        <w:rPr>
          <w:spacing w:val="-3"/>
          <w:sz w:val="20"/>
        </w:rPr>
        <w:t>are sworn </w:t>
      </w:r>
      <w:r>
        <w:rPr>
          <w:sz w:val="20"/>
        </w:rPr>
        <w:t>in </w:t>
      </w:r>
      <w:r>
        <w:rPr>
          <w:spacing w:val="-3"/>
          <w:sz w:val="20"/>
        </w:rPr>
        <w:t>by</w:t>
      </w:r>
      <w:r>
        <w:rPr>
          <w:spacing w:val="-7"/>
          <w:sz w:val="20"/>
        </w:rPr>
        <w:t> </w:t>
      </w:r>
      <w:r>
        <w:rPr>
          <w:sz w:val="20"/>
        </w:rPr>
        <w:t>a</w:t>
      </w:r>
      <w:r>
        <w:rPr>
          <w:spacing w:val="-7"/>
          <w:sz w:val="20"/>
        </w:rPr>
        <w:t> </w:t>
      </w:r>
      <w:r>
        <w:rPr>
          <w:sz w:val="20"/>
        </w:rPr>
        <w:t>court</w:t>
      </w:r>
      <w:r>
        <w:rPr>
          <w:spacing w:val="-6"/>
          <w:sz w:val="20"/>
        </w:rPr>
        <w:t> </w:t>
      </w:r>
      <w:r>
        <w:rPr>
          <w:sz w:val="20"/>
        </w:rPr>
        <w:t>clerk</w:t>
      </w:r>
      <w:r>
        <w:rPr>
          <w:spacing w:val="-7"/>
          <w:sz w:val="20"/>
        </w:rPr>
        <w:t> </w:t>
      </w:r>
      <w:r>
        <w:rPr>
          <w:sz w:val="20"/>
        </w:rPr>
        <w:t>in</w:t>
      </w:r>
      <w:r>
        <w:rPr>
          <w:spacing w:val="-6"/>
          <w:sz w:val="20"/>
        </w:rPr>
        <w:t> </w:t>
      </w:r>
      <w:r>
        <w:rPr>
          <w:spacing w:val="-3"/>
          <w:sz w:val="20"/>
        </w:rPr>
        <w:t>front</w:t>
      </w:r>
      <w:r>
        <w:rPr>
          <w:spacing w:val="-7"/>
          <w:sz w:val="20"/>
        </w:rPr>
        <w:t> </w:t>
      </w:r>
      <w:r>
        <w:rPr>
          <w:sz w:val="20"/>
        </w:rPr>
        <w:t>of</w:t>
      </w:r>
      <w:r>
        <w:rPr>
          <w:spacing w:val="-6"/>
          <w:sz w:val="20"/>
        </w:rPr>
        <w:t> </w:t>
      </w:r>
      <w:r>
        <w:rPr>
          <w:sz w:val="20"/>
        </w:rPr>
        <w:t>a</w:t>
      </w:r>
      <w:r>
        <w:rPr>
          <w:spacing w:val="-7"/>
          <w:sz w:val="20"/>
        </w:rPr>
        <w:t> </w:t>
      </w:r>
      <w:r>
        <w:rPr>
          <w:sz w:val="20"/>
        </w:rPr>
        <w:t>judge</w:t>
      </w:r>
      <w:r>
        <w:rPr>
          <w:spacing w:val="-7"/>
          <w:sz w:val="20"/>
        </w:rPr>
        <w:t> </w:t>
      </w:r>
      <w:r>
        <w:rPr>
          <w:sz w:val="20"/>
        </w:rPr>
        <w:t>when</w:t>
      </w:r>
      <w:r>
        <w:rPr>
          <w:spacing w:val="-6"/>
          <w:sz w:val="20"/>
        </w:rPr>
        <w:t> </w:t>
      </w:r>
      <w:r>
        <w:rPr>
          <w:sz w:val="20"/>
        </w:rPr>
        <w:t>they</w:t>
      </w:r>
      <w:r>
        <w:rPr>
          <w:spacing w:val="-7"/>
          <w:sz w:val="20"/>
        </w:rPr>
        <w:t> </w:t>
      </w:r>
      <w:r>
        <w:rPr>
          <w:sz w:val="20"/>
        </w:rPr>
        <w:t>start</w:t>
      </w:r>
      <w:r>
        <w:rPr>
          <w:spacing w:val="-6"/>
          <w:sz w:val="20"/>
        </w:rPr>
        <w:t> </w:t>
      </w:r>
      <w:r>
        <w:rPr>
          <w:sz w:val="20"/>
        </w:rPr>
        <w:t>to</w:t>
      </w:r>
      <w:r>
        <w:rPr>
          <w:spacing w:val="-7"/>
          <w:sz w:val="20"/>
        </w:rPr>
        <w:t> </w:t>
      </w:r>
      <w:r>
        <w:rPr>
          <w:spacing w:val="-3"/>
          <w:sz w:val="20"/>
        </w:rPr>
        <w:t>interpret</w:t>
      </w:r>
      <w:r>
        <w:rPr>
          <w:spacing w:val="-6"/>
          <w:sz w:val="20"/>
        </w:rPr>
        <w:t> </w:t>
      </w:r>
      <w:r>
        <w:rPr>
          <w:sz w:val="20"/>
        </w:rPr>
        <w:t>in</w:t>
      </w:r>
      <w:r>
        <w:rPr>
          <w:spacing w:val="-7"/>
          <w:sz w:val="20"/>
        </w:rPr>
        <w:t> </w:t>
      </w:r>
      <w:r>
        <w:rPr>
          <w:sz w:val="20"/>
        </w:rPr>
        <w:t>the</w:t>
      </w:r>
      <w:r>
        <w:rPr>
          <w:spacing w:val="-6"/>
          <w:sz w:val="20"/>
        </w:rPr>
        <w:t> </w:t>
      </w:r>
      <w:r>
        <w:rPr>
          <w:sz w:val="20"/>
        </w:rPr>
        <w:t>courtroom.</w:t>
      </w:r>
      <w:r>
        <w:rPr>
          <w:position w:val="7"/>
          <w:sz w:val="11"/>
        </w:rPr>
        <w:t>53</w:t>
      </w:r>
    </w:p>
    <w:p>
      <w:pPr>
        <w:pStyle w:val="ListParagraph"/>
        <w:numPr>
          <w:ilvl w:val="1"/>
          <w:numId w:val="71"/>
        </w:numPr>
        <w:tabs>
          <w:tab w:pos="2158" w:val="left" w:leader="none"/>
        </w:tabs>
        <w:spacing w:line="206" w:lineRule="auto" w:before="91" w:after="0"/>
        <w:ind w:left="2157" w:right="1723" w:hanging="396"/>
        <w:jc w:val="both"/>
        <w:rPr>
          <w:sz w:val="11"/>
        </w:rPr>
      </w:pPr>
      <w:r>
        <w:rPr>
          <w:spacing w:val="-10"/>
          <w:sz w:val="20"/>
        </w:rPr>
        <w:t>To</w:t>
      </w:r>
      <w:r>
        <w:rPr>
          <w:spacing w:val="-8"/>
          <w:sz w:val="20"/>
        </w:rPr>
        <w:t> </w:t>
      </w:r>
      <w:r>
        <w:rPr>
          <w:sz w:val="20"/>
        </w:rPr>
        <w:t>serve</w:t>
      </w:r>
      <w:r>
        <w:rPr>
          <w:spacing w:val="-7"/>
          <w:sz w:val="20"/>
        </w:rPr>
        <w:t> </w:t>
      </w:r>
      <w:r>
        <w:rPr>
          <w:sz w:val="20"/>
        </w:rPr>
        <w:t>on</w:t>
      </w:r>
      <w:r>
        <w:rPr>
          <w:spacing w:val="-7"/>
          <w:sz w:val="20"/>
        </w:rPr>
        <w:t> </w:t>
      </w:r>
      <w:r>
        <w:rPr>
          <w:sz w:val="20"/>
        </w:rPr>
        <w:t>a</w:t>
      </w:r>
      <w:r>
        <w:rPr>
          <w:spacing w:val="-8"/>
          <w:sz w:val="20"/>
        </w:rPr>
        <w:t> </w:t>
      </w:r>
      <w:r>
        <w:rPr>
          <w:sz w:val="20"/>
        </w:rPr>
        <w:t>jury</w:t>
      </w:r>
      <w:r>
        <w:rPr>
          <w:spacing w:val="-7"/>
          <w:sz w:val="20"/>
        </w:rPr>
        <w:t> </w:t>
      </w:r>
      <w:r>
        <w:rPr>
          <w:sz w:val="20"/>
        </w:rPr>
        <w:t>in</w:t>
      </w:r>
      <w:r>
        <w:rPr>
          <w:spacing w:val="-7"/>
          <w:sz w:val="20"/>
        </w:rPr>
        <w:t> </w:t>
      </w:r>
      <w:r>
        <w:rPr>
          <w:sz w:val="20"/>
        </w:rPr>
        <w:t>New</w:t>
      </w:r>
      <w:r>
        <w:rPr>
          <w:spacing w:val="-7"/>
          <w:sz w:val="20"/>
        </w:rPr>
        <w:t> </w:t>
      </w:r>
      <w:r>
        <w:rPr>
          <w:spacing w:val="-5"/>
          <w:sz w:val="20"/>
        </w:rPr>
        <w:t>York</w:t>
      </w:r>
      <w:r>
        <w:rPr>
          <w:spacing w:val="-8"/>
          <w:sz w:val="20"/>
        </w:rPr>
        <w:t> </w:t>
      </w:r>
      <w:r>
        <w:rPr>
          <w:spacing w:val="-3"/>
          <w:sz w:val="20"/>
        </w:rPr>
        <w:t>State</w:t>
      </w:r>
      <w:r>
        <w:rPr>
          <w:spacing w:val="-7"/>
          <w:sz w:val="20"/>
        </w:rPr>
        <w:t> </w:t>
      </w:r>
      <w:r>
        <w:rPr>
          <w:sz w:val="20"/>
        </w:rPr>
        <w:t>people</w:t>
      </w:r>
      <w:r>
        <w:rPr>
          <w:spacing w:val="-7"/>
          <w:sz w:val="20"/>
        </w:rPr>
        <w:t> </w:t>
      </w:r>
      <w:r>
        <w:rPr>
          <w:sz w:val="20"/>
        </w:rPr>
        <w:t>must</w:t>
      </w:r>
      <w:r>
        <w:rPr>
          <w:spacing w:val="-8"/>
          <w:sz w:val="20"/>
        </w:rPr>
        <w:t> </w:t>
      </w:r>
      <w:r>
        <w:rPr>
          <w:sz w:val="20"/>
        </w:rPr>
        <w:t>‘be</w:t>
      </w:r>
      <w:r>
        <w:rPr>
          <w:spacing w:val="-7"/>
          <w:sz w:val="20"/>
        </w:rPr>
        <w:t> </w:t>
      </w:r>
      <w:r>
        <w:rPr>
          <w:sz w:val="20"/>
        </w:rPr>
        <w:t>able</w:t>
      </w:r>
      <w:r>
        <w:rPr>
          <w:spacing w:val="-7"/>
          <w:sz w:val="20"/>
        </w:rPr>
        <w:t> </w:t>
      </w:r>
      <w:r>
        <w:rPr>
          <w:sz w:val="20"/>
        </w:rPr>
        <w:t>to</w:t>
      </w:r>
      <w:r>
        <w:rPr>
          <w:spacing w:val="-7"/>
          <w:sz w:val="20"/>
        </w:rPr>
        <w:t> </w:t>
      </w:r>
      <w:r>
        <w:rPr>
          <w:sz w:val="20"/>
        </w:rPr>
        <w:t>understand</w:t>
      </w:r>
      <w:r>
        <w:rPr>
          <w:spacing w:val="-8"/>
          <w:sz w:val="20"/>
        </w:rPr>
        <w:t> </w:t>
      </w:r>
      <w:r>
        <w:rPr>
          <w:sz w:val="20"/>
        </w:rPr>
        <w:t>and communicate</w:t>
      </w:r>
      <w:r>
        <w:rPr>
          <w:spacing w:val="-9"/>
          <w:sz w:val="20"/>
        </w:rPr>
        <w:t> </w:t>
      </w:r>
      <w:r>
        <w:rPr>
          <w:sz w:val="20"/>
        </w:rPr>
        <w:t>in</w:t>
      </w:r>
      <w:r>
        <w:rPr>
          <w:spacing w:val="-8"/>
          <w:sz w:val="20"/>
        </w:rPr>
        <w:t> </w:t>
      </w:r>
      <w:r>
        <w:rPr>
          <w:spacing w:val="-3"/>
          <w:sz w:val="20"/>
        </w:rPr>
        <w:t>English’.</w:t>
      </w:r>
      <w:r>
        <w:rPr>
          <w:spacing w:val="-8"/>
          <w:sz w:val="20"/>
        </w:rPr>
        <w:t> </w:t>
      </w:r>
      <w:r>
        <w:rPr>
          <w:sz w:val="20"/>
        </w:rPr>
        <w:t>This</w:t>
      </w:r>
      <w:r>
        <w:rPr>
          <w:spacing w:val="-8"/>
          <w:sz w:val="20"/>
        </w:rPr>
        <w:t> </w:t>
      </w:r>
      <w:r>
        <w:rPr>
          <w:sz w:val="20"/>
        </w:rPr>
        <w:t>is</w:t>
      </w:r>
      <w:r>
        <w:rPr>
          <w:spacing w:val="-8"/>
          <w:sz w:val="20"/>
        </w:rPr>
        <w:t> </w:t>
      </w:r>
      <w:r>
        <w:rPr>
          <w:spacing w:val="-3"/>
          <w:sz w:val="20"/>
        </w:rPr>
        <w:t>‘broadly</w:t>
      </w:r>
      <w:r>
        <w:rPr>
          <w:spacing w:val="-8"/>
          <w:sz w:val="20"/>
        </w:rPr>
        <w:t> </w:t>
      </w:r>
      <w:r>
        <w:rPr>
          <w:spacing w:val="-3"/>
          <w:sz w:val="20"/>
        </w:rPr>
        <w:t>interpreted</w:t>
      </w:r>
      <w:r>
        <w:rPr>
          <w:spacing w:val="-8"/>
          <w:sz w:val="20"/>
        </w:rPr>
        <w:t> </w:t>
      </w:r>
      <w:r>
        <w:rPr>
          <w:sz w:val="20"/>
        </w:rPr>
        <w:t>to</w:t>
      </w:r>
      <w:r>
        <w:rPr>
          <w:spacing w:val="-8"/>
          <w:sz w:val="20"/>
        </w:rPr>
        <w:t> </w:t>
      </w:r>
      <w:r>
        <w:rPr>
          <w:sz w:val="20"/>
        </w:rPr>
        <w:t>include</w:t>
      </w:r>
      <w:r>
        <w:rPr>
          <w:spacing w:val="-8"/>
          <w:sz w:val="20"/>
        </w:rPr>
        <w:t> </w:t>
      </w:r>
      <w:r>
        <w:rPr>
          <w:sz w:val="20"/>
        </w:rPr>
        <w:t>American</w:t>
      </w:r>
      <w:r>
        <w:rPr>
          <w:spacing w:val="-8"/>
          <w:sz w:val="20"/>
        </w:rPr>
        <w:t> </w:t>
      </w:r>
      <w:r>
        <w:rPr>
          <w:sz w:val="20"/>
        </w:rPr>
        <w:t>Sign Language’.</w:t>
      </w:r>
      <w:r>
        <w:rPr>
          <w:position w:val="7"/>
          <w:sz w:val="11"/>
        </w:rPr>
        <w:t>54</w:t>
      </w:r>
    </w:p>
    <w:p>
      <w:pPr>
        <w:pStyle w:val="ListParagraph"/>
        <w:numPr>
          <w:ilvl w:val="1"/>
          <w:numId w:val="71"/>
        </w:numPr>
        <w:tabs>
          <w:tab w:pos="2158" w:val="left" w:leader="none"/>
        </w:tabs>
        <w:spacing w:line="206" w:lineRule="auto" w:before="89" w:after="0"/>
        <w:ind w:left="2157" w:right="1366" w:hanging="396"/>
        <w:jc w:val="both"/>
        <w:rPr>
          <w:sz w:val="11"/>
        </w:rPr>
      </w:pPr>
      <w:r>
        <w:rPr>
          <w:sz w:val="20"/>
        </w:rPr>
        <w:t>If</w:t>
      </w:r>
      <w:r>
        <w:rPr>
          <w:spacing w:val="-10"/>
          <w:sz w:val="20"/>
        </w:rPr>
        <w:t> </w:t>
      </w:r>
      <w:r>
        <w:rPr>
          <w:sz w:val="20"/>
        </w:rPr>
        <w:t>there</w:t>
      </w:r>
      <w:r>
        <w:rPr>
          <w:spacing w:val="-10"/>
          <w:sz w:val="20"/>
        </w:rPr>
        <w:t> </w:t>
      </w:r>
      <w:r>
        <w:rPr>
          <w:sz w:val="20"/>
        </w:rPr>
        <w:t>is</w:t>
      </w:r>
      <w:r>
        <w:rPr>
          <w:spacing w:val="-10"/>
          <w:sz w:val="20"/>
        </w:rPr>
        <w:t> </w:t>
      </w:r>
      <w:r>
        <w:rPr>
          <w:sz w:val="20"/>
        </w:rPr>
        <w:t>a</w:t>
      </w:r>
      <w:r>
        <w:rPr>
          <w:spacing w:val="-10"/>
          <w:sz w:val="20"/>
        </w:rPr>
        <w:t> </w:t>
      </w:r>
      <w:r>
        <w:rPr>
          <w:sz w:val="20"/>
        </w:rPr>
        <w:t>question</w:t>
      </w:r>
      <w:r>
        <w:rPr>
          <w:spacing w:val="-9"/>
          <w:sz w:val="20"/>
        </w:rPr>
        <w:t> </w:t>
      </w:r>
      <w:r>
        <w:rPr>
          <w:sz w:val="20"/>
        </w:rPr>
        <w:t>about</w:t>
      </w:r>
      <w:r>
        <w:rPr>
          <w:spacing w:val="-10"/>
          <w:sz w:val="20"/>
        </w:rPr>
        <w:t> </w:t>
      </w:r>
      <w:r>
        <w:rPr>
          <w:sz w:val="20"/>
        </w:rPr>
        <w:t>the</w:t>
      </w:r>
      <w:r>
        <w:rPr>
          <w:spacing w:val="-10"/>
          <w:sz w:val="20"/>
        </w:rPr>
        <w:t> </w:t>
      </w:r>
      <w:r>
        <w:rPr>
          <w:sz w:val="20"/>
        </w:rPr>
        <w:t>ability</w:t>
      </w:r>
      <w:r>
        <w:rPr>
          <w:spacing w:val="-10"/>
          <w:sz w:val="20"/>
        </w:rPr>
        <w:t> </w:t>
      </w:r>
      <w:r>
        <w:rPr>
          <w:sz w:val="20"/>
        </w:rPr>
        <w:t>of</w:t>
      </w:r>
      <w:r>
        <w:rPr>
          <w:spacing w:val="-10"/>
          <w:sz w:val="20"/>
        </w:rPr>
        <w:t> </w:t>
      </w:r>
      <w:r>
        <w:rPr>
          <w:sz w:val="20"/>
        </w:rPr>
        <w:t>a</w:t>
      </w:r>
      <w:r>
        <w:rPr>
          <w:spacing w:val="-9"/>
          <w:sz w:val="20"/>
        </w:rPr>
        <w:t> </w:t>
      </w:r>
      <w:r>
        <w:rPr>
          <w:sz w:val="20"/>
        </w:rPr>
        <w:t>prospective</w:t>
      </w:r>
      <w:r>
        <w:rPr>
          <w:spacing w:val="-10"/>
          <w:sz w:val="20"/>
        </w:rPr>
        <w:t> </w:t>
      </w:r>
      <w:r>
        <w:rPr>
          <w:sz w:val="20"/>
        </w:rPr>
        <w:t>juror</w:t>
      </w:r>
      <w:r>
        <w:rPr>
          <w:spacing w:val="-10"/>
          <w:sz w:val="20"/>
        </w:rPr>
        <w:t> </w:t>
      </w:r>
      <w:r>
        <w:rPr>
          <w:sz w:val="20"/>
        </w:rPr>
        <w:t>to</w:t>
      </w:r>
      <w:r>
        <w:rPr>
          <w:spacing w:val="-10"/>
          <w:sz w:val="20"/>
        </w:rPr>
        <w:t> </w:t>
      </w:r>
      <w:r>
        <w:rPr>
          <w:sz w:val="20"/>
        </w:rPr>
        <w:t>serve</w:t>
      </w:r>
      <w:r>
        <w:rPr>
          <w:spacing w:val="-9"/>
          <w:sz w:val="20"/>
        </w:rPr>
        <w:t> </w:t>
      </w:r>
      <w:r>
        <w:rPr>
          <w:sz w:val="20"/>
        </w:rPr>
        <w:t>in</w:t>
      </w:r>
      <w:r>
        <w:rPr>
          <w:spacing w:val="-10"/>
          <w:sz w:val="20"/>
        </w:rPr>
        <w:t> </w:t>
      </w:r>
      <w:r>
        <w:rPr>
          <w:sz w:val="20"/>
        </w:rPr>
        <w:t>a</w:t>
      </w:r>
      <w:r>
        <w:rPr>
          <w:spacing w:val="-10"/>
          <w:sz w:val="20"/>
        </w:rPr>
        <w:t> </w:t>
      </w:r>
      <w:r>
        <w:rPr>
          <w:sz w:val="20"/>
        </w:rPr>
        <w:t>particular trial,</w:t>
      </w:r>
      <w:r>
        <w:rPr>
          <w:spacing w:val="-11"/>
          <w:sz w:val="20"/>
        </w:rPr>
        <w:t> </w:t>
      </w:r>
      <w:r>
        <w:rPr>
          <w:spacing w:val="-3"/>
          <w:sz w:val="20"/>
        </w:rPr>
        <w:t>even</w:t>
      </w:r>
      <w:r>
        <w:rPr>
          <w:spacing w:val="-11"/>
          <w:sz w:val="20"/>
        </w:rPr>
        <w:t> </w:t>
      </w:r>
      <w:r>
        <w:rPr>
          <w:sz w:val="20"/>
        </w:rPr>
        <w:t>with</w:t>
      </w:r>
      <w:r>
        <w:rPr>
          <w:spacing w:val="-11"/>
          <w:sz w:val="20"/>
        </w:rPr>
        <w:t> </w:t>
      </w:r>
      <w:r>
        <w:rPr>
          <w:sz w:val="20"/>
        </w:rPr>
        <w:t>communication</w:t>
      </w:r>
      <w:r>
        <w:rPr>
          <w:spacing w:val="-11"/>
          <w:sz w:val="20"/>
        </w:rPr>
        <w:t> </w:t>
      </w:r>
      <w:r>
        <w:rPr>
          <w:sz w:val="20"/>
        </w:rPr>
        <w:t>aids,</w:t>
      </w:r>
      <w:r>
        <w:rPr>
          <w:spacing w:val="-11"/>
          <w:sz w:val="20"/>
        </w:rPr>
        <w:t> </w:t>
      </w:r>
      <w:r>
        <w:rPr>
          <w:sz w:val="20"/>
        </w:rPr>
        <w:t>this</w:t>
      </w:r>
      <w:r>
        <w:rPr>
          <w:spacing w:val="-11"/>
          <w:sz w:val="20"/>
        </w:rPr>
        <w:t> </w:t>
      </w:r>
      <w:r>
        <w:rPr>
          <w:sz w:val="20"/>
        </w:rPr>
        <w:t>will</w:t>
      </w:r>
      <w:r>
        <w:rPr>
          <w:spacing w:val="-11"/>
          <w:sz w:val="20"/>
        </w:rPr>
        <w:t> </w:t>
      </w:r>
      <w:r>
        <w:rPr>
          <w:sz w:val="20"/>
        </w:rPr>
        <w:t>be</w:t>
      </w:r>
      <w:r>
        <w:rPr>
          <w:spacing w:val="-11"/>
          <w:sz w:val="20"/>
        </w:rPr>
        <w:t> </w:t>
      </w:r>
      <w:r>
        <w:rPr>
          <w:sz w:val="20"/>
        </w:rPr>
        <w:t>determined</w:t>
      </w:r>
      <w:r>
        <w:rPr>
          <w:spacing w:val="-11"/>
          <w:sz w:val="20"/>
        </w:rPr>
        <w:t> </w:t>
      </w:r>
      <w:r>
        <w:rPr>
          <w:spacing w:val="-3"/>
          <w:sz w:val="20"/>
        </w:rPr>
        <w:t>by</w:t>
      </w:r>
      <w:r>
        <w:rPr>
          <w:spacing w:val="-11"/>
          <w:sz w:val="20"/>
        </w:rPr>
        <w:t> </w:t>
      </w:r>
      <w:r>
        <w:rPr>
          <w:sz w:val="20"/>
        </w:rPr>
        <w:t>a</w:t>
      </w:r>
      <w:r>
        <w:rPr>
          <w:spacing w:val="-11"/>
          <w:sz w:val="20"/>
        </w:rPr>
        <w:t> </w:t>
      </w:r>
      <w:r>
        <w:rPr>
          <w:sz w:val="20"/>
        </w:rPr>
        <w:t>judge</w:t>
      </w:r>
      <w:r>
        <w:rPr>
          <w:spacing w:val="-11"/>
          <w:sz w:val="20"/>
        </w:rPr>
        <w:t> </w:t>
      </w:r>
      <w:r>
        <w:rPr>
          <w:sz w:val="20"/>
        </w:rPr>
        <w:t>during</w:t>
      </w:r>
      <w:r>
        <w:rPr>
          <w:spacing w:val="-11"/>
          <w:sz w:val="20"/>
        </w:rPr>
        <w:t> </w:t>
      </w:r>
      <w:r>
        <w:rPr>
          <w:sz w:val="20"/>
        </w:rPr>
        <w:t>the </w:t>
      </w:r>
      <w:r>
        <w:rPr>
          <w:spacing w:val="-3"/>
          <w:sz w:val="20"/>
        </w:rPr>
        <w:t>voir</w:t>
      </w:r>
      <w:r>
        <w:rPr>
          <w:spacing w:val="-4"/>
          <w:sz w:val="20"/>
        </w:rPr>
        <w:t> </w:t>
      </w:r>
      <w:r>
        <w:rPr>
          <w:sz w:val="20"/>
        </w:rPr>
        <w:t>dire.</w:t>
      </w:r>
      <w:r>
        <w:rPr>
          <w:position w:val="7"/>
          <w:sz w:val="11"/>
        </w:rPr>
        <w:t>55</w:t>
      </w:r>
    </w:p>
    <w:p>
      <w:pPr>
        <w:pStyle w:val="Heading6"/>
        <w:spacing w:before="94"/>
        <w:rPr>
          <w:b/>
        </w:rPr>
      </w:pPr>
      <w:r>
        <w:rPr>
          <w:b/>
        </w:rPr>
        <w:t>The experience of jurors in the United States</w:t>
      </w:r>
    </w:p>
    <w:p>
      <w:pPr>
        <w:pStyle w:val="ListParagraph"/>
        <w:numPr>
          <w:ilvl w:val="1"/>
          <w:numId w:val="12"/>
        </w:numPr>
        <w:tabs>
          <w:tab w:pos="1761" w:val="left" w:leader="none"/>
          <w:tab w:pos="1762" w:val="left" w:leader="none"/>
        </w:tabs>
        <w:spacing w:line="206" w:lineRule="auto" w:before="131" w:after="0"/>
        <w:ind w:left="1761" w:right="1589" w:hanging="794"/>
        <w:jc w:val="left"/>
        <w:rPr>
          <w:sz w:val="11"/>
        </w:rPr>
      </w:pPr>
      <w:r>
        <w:rPr>
          <w:sz w:val="20"/>
        </w:rPr>
        <w:t>The National Federation of the Blind’s </w:t>
      </w:r>
      <w:r>
        <w:rPr>
          <w:spacing w:val="-4"/>
          <w:sz w:val="20"/>
        </w:rPr>
        <w:t>newsletter, </w:t>
      </w:r>
      <w:r>
        <w:rPr>
          <w:i/>
          <w:spacing w:val="-3"/>
          <w:sz w:val="20"/>
        </w:rPr>
        <w:t>Braille </w:t>
      </w:r>
      <w:r>
        <w:rPr>
          <w:i/>
          <w:spacing w:val="-5"/>
          <w:sz w:val="20"/>
        </w:rPr>
        <w:t>Monitor</w:t>
      </w:r>
      <w:r>
        <w:rPr>
          <w:spacing w:val="-5"/>
          <w:sz w:val="20"/>
        </w:rPr>
        <w:t>, </w:t>
      </w:r>
      <w:r>
        <w:rPr>
          <w:sz w:val="20"/>
        </w:rPr>
        <w:t>contains personal stories</w:t>
      </w:r>
      <w:r>
        <w:rPr>
          <w:spacing w:val="-10"/>
          <w:sz w:val="20"/>
        </w:rPr>
        <w:t> </w:t>
      </w:r>
      <w:r>
        <w:rPr>
          <w:spacing w:val="-3"/>
          <w:sz w:val="20"/>
        </w:rPr>
        <w:t>from</w:t>
      </w:r>
      <w:r>
        <w:rPr>
          <w:spacing w:val="-10"/>
          <w:sz w:val="20"/>
        </w:rPr>
        <w:t> </w:t>
      </w:r>
      <w:r>
        <w:rPr>
          <w:sz w:val="20"/>
        </w:rPr>
        <w:t>people</w:t>
      </w:r>
      <w:r>
        <w:rPr>
          <w:spacing w:val="-9"/>
          <w:sz w:val="20"/>
        </w:rPr>
        <w:t> </w:t>
      </w:r>
      <w:r>
        <w:rPr>
          <w:sz w:val="20"/>
        </w:rPr>
        <w:t>who</w:t>
      </w:r>
      <w:r>
        <w:rPr>
          <w:spacing w:val="-10"/>
          <w:sz w:val="20"/>
        </w:rPr>
        <w:t> </w:t>
      </w:r>
      <w:r>
        <w:rPr>
          <w:spacing w:val="-3"/>
          <w:sz w:val="20"/>
        </w:rPr>
        <w:t>are</w:t>
      </w:r>
      <w:r>
        <w:rPr>
          <w:spacing w:val="-10"/>
          <w:sz w:val="20"/>
        </w:rPr>
        <w:t> </w:t>
      </w:r>
      <w:r>
        <w:rPr>
          <w:sz w:val="20"/>
        </w:rPr>
        <w:t>blind</w:t>
      </w:r>
      <w:r>
        <w:rPr>
          <w:spacing w:val="-9"/>
          <w:sz w:val="20"/>
        </w:rPr>
        <w:t> </w:t>
      </w:r>
      <w:r>
        <w:rPr>
          <w:sz w:val="20"/>
        </w:rPr>
        <w:t>about</w:t>
      </w:r>
      <w:r>
        <w:rPr>
          <w:spacing w:val="-10"/>
          <w:sz w:val="20"/>
        </w:rPr>
        <w:t> </w:t>
      </w:r>
      <w:r>
        <w:rPr>
          <w:sz w:val="20"/>
        </w:rPr>
        <w:t>their</w:t>
      </w:r>
      <w:r>
        <w:rPr>
          <w:spacing w:val="-10"/>
          <w:sz w:val="20"/>
        </w:rPr>
        <w:t> </w:t>
      </w:r>
      <w:r>
        <w:rPr>
          <w:sz w:val="20"/>
        </w:rPr>
        <w:t>experiences</w:t>
      </w:r>
      <w:r>
        <w:rPr>
          <w:spacing w:val="-9"/>
          <w:sz w:val="20"/>
        </w:rPr>
        <w:t> </w:t>
      </w:r>
      <w:r>
        <w:rPr>
          <w:sz w:val="20"/>
        </w:rPr>
        <w:t>of</w:t>
      </w:r>
      <w:r>
        <w:rPr>
          <w:spacing w:val="-10"/>
          <w:sz w:val="20"/>
        </w:rPr>
        <w:t> </w:t>
      </w:r>
      <w:r>
        <w:rPr>
          <w:sz w:val="20"/>
        </w:rPr>
        <w:t>the</w:t>
      </w:r>
      <w:r>
        <w:rPr>
          <w:spacing w:val="-10"/>
          <w:sz w:val="20"/>
        </w:rPr>
        <w:t> </w:t>
      </w:r>
      <w:r>
        <w:rPr>
          <w:sz w:val="20"/>
        </w:rPr>
        <w:t>jury</w:t>
      </w:r>
      <w:r>
        <w:rPr>
          <w:spacing w:val="-9"/>
          <w:sz w:val="20"/>
        </w:rPr>
        <w:t> </w:t>
      </w:r>
      <w:r>
        <w:rPr>
          <w:sz w:val="20"/>
        </w:rPr>
        <w:t>process</w:t>
      </w:r>
      <w:r>
        <w:rPr>
          <w:spacing w:val="-10"/>
          <w:sz w:val="20"/>
        </w:rPr>
        <w:t> </w:t>
      </w:r>
      <w:r>
        <w:rPr>
          <w:sz w:val="20"/>
        </w:rPr>
        <w:t>in</w:t>
      </w:r>
      <w:r>
        <w:rPr>
          <w:spacing w:val="-10"/>
          <w:sz w:val="20"/>
        </w:rPr>
        <w:t> </w:t>
      </w:r>
      <w:r>
        <w:rPr>
          <w:sz w:val="20"/>
        </w:rPr>
        <w:t>the United</w:t>
      </w:r>
      <w:r>
        <w:rPr>
          <w:spacing w:val="-6"/>
          <w:sz w:val="20"/>
        </w:rPr>
        <w:t> </w:t>
      </w:r>
      <w:r>
        <w:rPr>
          <w:sz w:val="20"/>
        </w:rPr>
        <w:t>States.</w:t>
      </w:r>
      <w:r>
        <w:rPr>
          <w:spacing w:val="-6"/>
          <w:sz w:val="20"/>
        </w:rPr>
        <w:t> We </w:t>
      </w:r>
      <w:r>
        <w:rPr>
          <w:spacing w:val="-3"/>
          <w:sz w:val="20"/>
        </w:rPr>
        <w:t>referred</w:t>
      </w:r>
      <w:r>
        <w:rPr>
          <w:spacing w:val="-6"/>
          <w:sz w:val="20"/>
        </w:rPr>
        <w:t> </w:t>
      </w:r>
      <w:r>
        <w:rPr>
          <w:sz w:val="20"/>
        </w:rPr>
        <w:t>to</w:t>
      </w:r>
      <w:r>
        <w:rPr>
          <w:spacing w:val="-6"/>
          <w:sz w:val="20"/>
        </w:rPr>
        <w:t> </w:t>
      </w:r>
      <w:r>
        <w:rPr>
          <w:sz w:val="20"/>
        </w:rPr>
        <w:t>some</w:t>
      </w:r>
      <w:r>
        <w:rPr>
          <w:spacing w:val="-5"/>
          <w:sz w:val="20"/>
        </w:rPr>
        <w:t> </w:t>
      </w:r>
      <w:r>
        <w:rPr>
          <w:sz w:val="20"/>
        </w:rPr>
        <w:t>of</w:t>
      </w:r>
      <w:r>
        <w:rPr>
          <w:spacing w:val="-6"/>
          <w:sz w:val="20"/>
        </w:rPr>
        <w:t> </w:t>
      </w:r>
      <w:r>
        <w:rPr>
          <w:sz w:val="20"/>
        </w:rPr>
        <w:t>these</w:t>
      </w:r>
      <w:r>
        <w:rPr>
          <w:spacing w:val="-6"/>
          <w:sz w:val="20"/>
        </w:rPr>
        <w:t> </w:t>
      </w:r>
      <w:r>
        <w:rPr>
          <w:sz w:val="20"/>
        </w:rPr>
        <w:t>in</w:t>
      </w:r>
      <w:r>
        <w:rPr>
          <w:spacing w:val="-6"/>
          <w:sz w:val="20"/>
        </w:rPr>
        <w:t> </w:t>
      </w:r>
      <w:r>
        <w:rPr>
          <w:sz w:val="20"/>
        </w:rPr>
        <w:t>our</w:t>
      </w:r>
      <w:r>
        <w:rPr>
          <w:spacing w:val="-6"/>
          <w:sz w:val="20"/>
        </w:rPr>
        <w:t> </w:t>
      </w:r>
      <w:r>
        <w:rPr>
          <w:sz w:val="20"/>
        </w:rPr>
        <w:t>consultation</w:t>
      </w:r>
      <w:r>
        <w:rPr>
          <w:spacing w:val="-5"/>
          <w:sz w:val="20"/>
        </w:rPr>
        <w:t> </w:t>
      </w:r>
      <w:r>
        <w:rPr>
          <w:sz w:val="20"/>
        </w:rPr>
        <w:t>paper.</w:t>
      </w:r>
      <w:r>
        <w:rPr>
          <w:position w:val="7"/>
          <w:sz w:val="11"/>
        </w:rPr>
        <w:t>56</w:t>
      </w:r>
    </w:p>
    <w:p>
      <w:pPr>
        <w:pStyle w:val="ListParagraph"/>
        <w:numPr>
          <w:ilvl w:val="1"/>
          <w:numId w:val="12"/>
        </w:numPr>
        <w:tabs>
          <w:tab w:pos="1761" w:val="left" w:leader="none"/>
          <w:tab w:pos="1762" w:val="left" w:leader="none"/>
        </w:tabs>
        <w:spacing w:line="206" w:lineRule="auto" w:before="124" w:after="0"/>
        <w:ind w:left="1761" w:right="1205" w:hanging="794"/>
        <w:jc w:val="left"/>
        <w:rPr>
          <w:sz w:val="20"/>
        </w:rPr>
      </w:pPr>
      <w:r>
        <w:rPr>
          <w:sz w:val="20"/>
        </w:rPr>
        <w:t>Jim Moynihan detailed his experience of serving on a jury in Missouri in 2002.</w:t>
      </w:r>
      <w:r>
        <w:rPr>
          <w:position w:val="7"/>
          <w:sz w:val="11"/>
        </w:rPr>
        <w:t>57 </w:t>
      </w:r>
      <w:r>
        <w:rPr>
          <w:sz w:val="20"/>
        </w:rPr>
        <w:t>He noted</w:t>
      </w:r>
      <w:r>
        <w:rPr>
          <w:spacing w:val="-11"/>
          <w:sz w:val="20"/>
        </w:rPr>
        <w:t> </w:t>
      </w:r>
      <w:r>
        <w:rPr>
          <w:sz w:val="20"/>
        </w:rPr>
        <w:t>that</w:t>
      </w:r>
      <w:r>
        <w:rPr>
          <w:spacing w:val="-10"/>
          <w:sz w:val="20"/>
        </w:rPr>
        <w:t> </w:t>
      </w:r>
      <w:r>
        <w:rPr>
          <w:sz w:val="20"/>
        </w:rPr>
        <w:t>when</w:t>
      </w:r>
      <w:r>
        <w:rPr>
          <w:spacing w:val="-11"/>
          <w:sz w:val="20"/>
        </w:rPr>
        <w:t> </w:t>
      </w:r>
      <w:r>
        <w:rPr>
          <w:sz w:val="20"/>
        </w:rPr>
        <w:t>he</w:t>
      </w:r>
      <w:r>
        <w:rPr>
          <w:spacing w:val="-10"/>
          <w:sz w:val="20"/>
        </w:rPr>
        <w:t> </w:t>
      </w:r>
      <w:r>
        <w:rPr>
          <w:sz w:val="20"/>
        </w:rPr>
        <w:t>initially</w:t>
      </w:r>
      <w:r>
        <w:rPr>
          <w:spacing w:val="-10"/>
          <w:sz w:val="20"/>
        </w:rPr>
        <w:t> </w:t>
      </w:r>
      <w:r>
        <w:rPr>
          <w:sz w:val="20"/>
        </w:rPr>
        <w:t>reported</w:t>
      </w:r>
      <w:r>
        <w:rPr>
          <w:spacing w:val="-11"/>
          <w:sz w:val="20"/>
        </w:rPr>
        <w:t> </w:t>
      </w:r>
      <w:r>
        <w:rPr>
          <w:sz w:val="20"/>
        </w:rPr>
        <w:t>to</w:t>
      </w:r>
      <w:r>
        <w:rPr>
          <w:spacing w:val="-10"/>
          <w:sz w:val="20"/>
        </w:rPr>
        <w:t> </w:t>
      </w:r>
      <w:r>
        <w:rPr>
          <w:sz w:val="20"/>
        </w:rPr>
        <w:t>the</w:t>
      </w:r>
      <w:r>
        <w:rPr>
          <w:spacing w:val="-11"/>
          <w:sz w:val="20"/>
        </w:rPr>
        <w:t> </w:t>
      </w:r>
      <w:r>
        <w:rPr>
          <w:sz w:val="20"/>
        </w:rPr>
        <w:t>courthouse</w:t>
      </w:r>
      <w:r>
        <w:rPr>
          <w:spacing w:val="-10"/>
          <w:sz w:val="20"/>
        </w:rPr>
        <w:t> </w:t>
      </w:r>
      <w:r>
        <w:rPr>
          <w:sz w:val="20"/>
        </w:rPr>
        <w:t>in</w:t>
      </w:r>
      <w:r>
        <w:rPr>
          <w:spacing w:val="-10"/>
          <w:sz w:val="20"/>
        </w:rPr>
        <w:t> </w:t>
      </w:r>
      <w:r>
        <w:rPr>
          <w:sz w:val="20"/>
        </w:rPr>
        <w:t>response</w:t>
      </w:r>
      <w:r>
        <w:rPr>
          <w:spacing w:val="-11"/>
          <w:sz w:val="20"/>
        </w:rPr>
        <w:t> </w:t>
      </w:r>
      <w:r>
        <w:rPr>
          <w:sz w:val="20"/>
        </w:rPr>
        <w:t>to</w:t>
      </w:r>
      <w:r>
        <w:rPr>
          <w:spacing w:val="-10"/>
          <w:sz w:val="20"/>
        </w:rPr>
        <w:t> </w:t>
      </w:r>
      <w:r>
        <w:rPr>
          <w:sz w:val="20"/>
        </w:rPr>
        <w:t>his</w:t>
      </w:r>
      <w:r>
        <w:rPr>
          <w:spacing w:val="-10"/>
          <w:sz w:val="20"/>
        </w:rPr>
        <w:t> </w:t>
      </w:r>
      <w:r>
        <w:rPr>
          <w:sz w:val="20"/>
        </w:rPr>
        <w:t>summons</w:t>
      </w:r>
      <w:r>
        <w:rPr>
          <w:spacing w:val="-11"/>
          <w:sz w:val="20"/>
        </w:rPr>
        <w:t> </w:t>
      </w:r>
      <w:r>
        <w:rPr>
          <w:sz w:val="20"/>
        </w:rPr>
        <w:t>he was</w:t>
      </w:r>
      <w:r>
        <w:rPr>
          <w:spacing w:val="-9"/>
          <w:sz w:val="20"/>
        </w:rPr>
        <w:t> </w:t>
      </w:r>
      <w:r>
        <w:rPr>
          <w:spacing w:val="-3"/>
          <w:sz w:val="20"/>
        </w:rPr>
        <w:t>told</w:t>
      </w:r>
      <w:r>
        <w:rPr>
          <w:spacing w:val="-9"/>
          <w:sz w:val="20"/>
        </w:rPr>
        <w:t> </w:t>
      </w:r>
      <w:r>
        <w:rPr>
          <w:spacing w:val="-3"/>
          <w:sz w:val="20"/>
        </w:rPr>
        <w:t>by</w:t>
      </w:r>
      <w:r>
        <w:rPr>
          <w:spacing w:val="-8"/>
          <w:sz w:val="20"/>
        </w:rPr>
        <w:t> </w:t>
      </w:r>
      <w:r>
        <w:rPr>
          <w:sz w:val="20"/>
        </w:rPr>
        <w:t>the</w:t>
      </w:r>
      <w:r>
        <w:rPr>
          <w:spacing w:val="-9"/>
          <w:sz w:val="20"/>
        </w:rPr>
        <w:t> </w:t>
      </w:r>
      <w:r>
        <w:rPr>
          <w:sz w:val="20"/>
        </w:rPr>
        <w:t>court</w:t>
      </w:r>
      <w:r>
        <w:rPr>
          <w:spacing w:val="-8"/>
          <w:sz w:val="20"/>
        </w:rPr>
        <w:t> </w:t>
      </w:r>
      <w:r>
        <w:rPr>
          <w:sz w:val="20"/>
        </w:rPr>
        <w:t>clerk</w:t>
      </w:r>
      <w:r>
        <w:rPr>
          <w:spacing w:val="-9"/>
          <w:sz w:val="20"/>
        </w:rPr>
        <w:t> </w:t>
      </w:r>
      <w:r>
        <w:rPr>
          <w:sz w:val="20"/>
        </w:rPr>
        <w:t>that</w:t>
      </w:r>
      <w:r>
        <w:rPr>
          <w:spacing w:val="-8"/>
          <w:sz w:val="20"/>
        </w:rPr>
        <w:t> </w:t>
      </w:r>
      <w:r>
        <w:rPr>
          <w:sz w:val="20"/>
        </w:rPr>
        <w:t>he</w:t>
      </w:r>
      <w:r>
        <w:rPr>
          <w:spacing w:val="-9"/>
          <w:sz w:val="20"/>
        </w:rPr>
        <w:t> </w:t>
      </w:r>
      <w:r>
        <w:rPr>
          <w:sz w:val="20"/>
        </w:rPr>
        <w:t>was</w:t>
      </w:r>
      <w:r>
        <w:rPr>
          <w:spacing w:val="-8"/>
          <w:sz w:val="20"/>
        </w:rPr>
        <w:t> </w:t>
      </w:r>
      <w:r>
        <w:rPr>
          <w:spacing w:val="-3"/>
          <w:sz w:val="20"/>
        </w:rPr>
        <w:t>excused</w:t>
      </w:r>
      <w:r>
        <w:rPr>
          <w:spacing w:val="-9"/>
          <w:sz w:val="20"/>
        </w:rPr>
        <w:t> </w:t>
      </w:r>
      <w:r>
        <w:rPr>
          <w:sz w:val="20"/>
        </w:rPr>
        <w:t>because</w:t>
      </w:r>
      <w:r>
        <w:rPr>
          <w:spacing w:val="-8"/>
          <w:sz w:val="20"/>
        </w:rPr>
        <w:t> </w:t>
      </w:r>
      <w:r>
        <w:rPr>
          <w:sz w:val="20"/>
        </w:rPr>
        <w:t>he</w:t>
      </w:r>
      <w:r>
        <w:rPr>
          <w:spacing w:val="-9"/>
          <w:sz w:val="20"/>
        </w:rPr>
        <w:t> </w:t>
      </w:r>
      <w:r>
        <w:rPr>
          <w:sz w:val="20"/>
        </w:rPr>
        <w:t>was</w:t>
      </w:r>
      <w:r>
        <w:rPr>
          <w:spacing w:val="-7"/>
          <w:sz w:val="20"/>
        </w:rPr>
        <w:t> </w:t>
      </w:r>
      <w:r>
        <w:rPr>
          <w:sz w:val="20"/>
        </w:rPr>
        <w:t>blind.</w:t>
      </w:r>
      <w:r>
        <w:rPr>
          <w:spacing w:val="-9"/>
          <w:sz w:val="20"/>
        </w:rPr>
        <w:t> </w:t>
      </w:r>
      <w:r>
        <w:rPr>
          <w:sz w:val="20"/>
        </w:rPr>
        <w:t>He</w:t>
      </w:r>
      <w:r>
        <w:rPr>
          <w:spacing w:val="-8"/>
          <w:sz w:val="20"/>
        </w:rPr>
        <w:t> </w:t>
      </w:r>
      <w:r>
        <w:rPr>
          <w:sz w:val="20"/>
        </w:rPr>
        <w:t>informed</w:t>
      </w:r>
      <w:r>
        <w:rPr>
          <w:spacing w:val="-9"/>
          <w:sz w:val="20"/>
        </w:rPr>
        <w:t> </w:t>
      </w:r>
      <w:r>
        <w:rPr>
          <w:sz w:val="20"/>
        </w:rPr>
        <w:t>the clerk that he ‘did not wish to be </w:t>
      </w:r>
      <w:r>
        <w:rPr>
          <w:spacing w:val="-3"/>
          <w:sz w:val="20"/>
        </w:rPr>
        <w:t>excused </w:t>
      </w:r>
      <w:r>
        <w:rPr>
          <w:sz w:val="20"/>
        </w:rPr>
        <w:t>on the grounds of blindness and </w:t>
      </w:r>
      <w:r>
        <w:rPr>
          <w:spacing w:val="-3"/>
          <w:sz w:val="20"/>
        </w:rPr>
        <w:t>would </w:t>
      </w:r>
      <w:r>
        <w:rPr>
          <w:sz w:val="20"/>
        </w:rPr>
        <w:t>serve if</w:t>
      </w:r>
      <w:r>
        <w:rPr>
          <w:spacing w:val="-7"/>
          <w:sz w:val="20"/>
        </w:rPr>
        <w:t> </w:t>
      </w:r>
      <w:r>
        <w:rPr>
          <w:spacing w:val="-3"/>
          <w:sz w:val="20"/>
        </w:rPr>
        <w:t>selected’.</w:t>
      </w:r>
      <w:r>
        <w:rPr>
          <w:spacing w:val="-7"/>
          <w:sz w:val="20"/>
        </w:rPr>
        <w:t> </w:t>
      </w:r>
      <w:r>
        <w:rPr>
          <w:sz w:val="20"/>
        </w:rPr>
        <w:t>Mr</w:t>
      </w:r>
      <w:r>
        <w:rPr>
          <w:spacing w:val="-7"/>
          <w:sz w:val="20"/>
        </w:rPr>
        <w:t> </w:t>
      </w:r>
      <w:r>
        <w:rPr>
          <w:sz w:val="20"/>
        </w:rPr>
        <w:t>Moynihan</w:t>
      </w:r>
      <w:r>
        <w:rPr>
          <w:spacing w:val="-7"/>
          <w:sz w:val="20"/>
        </w:rPr>
        <w:t> </w:t>
      </w:r>
      <w:r>
        <w:rPr>
          <w:sz w:val="20"/>
        </w:rPr>
        <w:t>was</w:t>
      </w:r>
      <w:r>
        <w:rPr>
          <w:spacing w:val="-7"/>
          <w:sz w:val="20"/>
        </w:rPr>
        <w:t> </w:t>
      </w:r>
      <w:r>
        <w:rPr>
          <w:sz w:val="20"/>
        </w:rPr>
        <w:t>subsequently</w:t>
      </w:r>
      <w:r>
        <w:rPr>
          <w:spacing w:val="-7"/>
          <w:sz w:val="20"/>
        </w:rPr>
        <w:t> </w:t>
      </w:r>
      <w:r>
        <w:rPr>
          <w:sz w:val="20"/>
        </w:rPr>
        <w:t>selected</w:t>
      </w:r>
      <w:r>
        <w:rPr>
          <w:spacing w:val="-7"/>
          <w:sz w:val="20"/>
        </w:rPr>
        <w:t> </w:t>
      </w:r>
      <w:r>
        <w:rPr>
          <w:sz w:val="20"/>
        </w:rPr>
        <w:t>to</w:t>
      </w:r>
      <w:r>
        <w:rPr>
          <w:spacing w:val="-7"/>
          <w:sz w:val="20"/>
        </w:rPr>
        <w:t> </w:t>
      </w:r>
      <w:r>
        <w:rPr>
          <w:sz w:val="20"/>
        </w:rPr>
        <w:t>serve</w:t>
      </w:r>
      <w:r>
        <w:rPr>
          <w:spacing w:val="-7"/>
          <w:sz w:val="20"/>
        </w:rPr>
        <w:t> </w:t>
      </w:r>
      <w:r>
        <w:rPr>
          <w:sz w:val="20"/>
        </w:rPr>
        <w:t>and</w:t>
      </w:r>
      <w:r>
        <w:rPr>
          <w:spacing w:val="-7"/>
          <w:sz w:val="20"/>
        </w:rPr>
        <w:t> </w:t>
      </w:r>
      <w:r>
        <w:rPr>
          <w:sz w:val="20"/>
        </w:rPr>
        <w:t>reported</w:t>
      </w:r>
      <w:r>
        <w:rPr>
          <w:spacing w:val="-7"/>
          <w:sz w:val="20"/>
        </w:rPr>
        <w:t> </w:t>
      </w:r>
      <w:r>
        <w:rPr>
          <w:sz w:val="20"/>
        </w:rPr>
        <w:t>that:</w:t>
      </w:r>
    </w:p>
    <w:p>
      <w:pPr>
        <w:spacing w:line="208" w:lineRule="auto" w:before="124"/>
        <w:ind w:left="2157" w:right="1384" w:firstLine="0"/>
        <w:jc w:val="both"/>
        <w:rPr>
          <w:sz w:val="19"/>
        </w:rPr>
      </w:pPr>
      <w:r>
        <w:rPr>
          <w:sz w:val="19"/>
        </w:rPr>
        <w:t>It bothered me that the clerk was willing to excuse me from serving on a jury based on blindness, and it shocked her that I wanted to serve if selected. </w:t>
      </w:r>
      <w:r>
        <w:rPr>
          <w:spacing w:val="-6"/>
          <w:sz w:val="19"/>
        </w:rPr>
        <w:t>Yet </w:t>
      </w:r>
      <w:r>
        <w:rPr>
          <w:sz w:val="19"/>
        </w:rPr>
        <w:t>other citizens are</w:t>
      </w:r>
      <w:r>
        <w:rPr>
          <w:spacing w:val="-6"/>
          <w:sz w:val="19"/>
        </w:rPr>
        <w:t> </w:t>
      </w:r>
      <w:r>
        <w:rPr>
          <w:sz w:val="19"/>
        </w:rPr>
        <w:t>expected</w:t>
      </w:r>
      <w:r>
        <w:rPr>
          <w:spacing w:val="-5"/>
          <w:sz w:val="19"/>
        </w:rPr>
        <w:t> </w:t>
      </w:r>
      <w:r>
        <w:rPr>
          <w:sz w:val="19"/>
        </w:rPr>
        <w:t>to</w:t>
      </w:r>
      <w:r>
        <w:rPr>
          <w:spacing w:val="-5"/>
          <w:sz w:val="19"/>
        </w:rPr>
        <w:t> </w:t>
      </w:r>
      <w:r>
        <w:rPr>
          <w:sz w:val="19"/>
        </w:rPr>
        <w:t>serve</w:t>
      </w:r>
      <w:r>
        <w:rPr>
          <w:spacing w:val="-5"/>
          <w:sz w:val="19"/>
        </w:rPr>
        <w:t> </w:t>
      </w:r>
      <w:r>
        <w:rPr>
          <w:sz w:val="19"/>
        </w:rPr>
        <w:t>on</w:t>
      </w:r>
      <w:r>
        <w:rPr>
          <w:spacing w:val="-5"/>
          <w:sz w:val="19"/>
        </w:rPr>
        <w:t> </w:t>
      </w:r>
      <w:r>
        <w:rPr>
          <w:sz w:val="19"/>
        </w:rPr>
        <w:t>juries</w:t>
      </w:r>
      <w:r>
        <w:rPr>
          <w:spacing w:val="-5"/>
          <w:sz w:val="19"/>
        </w:rPr>
        <w:t> </w:t>
      </w:r>
      <w:r>
        <w:rPr>
          <w:sz w:val="19"/>
        </w:rPr>
        <w:t>unless</w:t>
      </w:r>
      <w:r>
        <w:rPr>
          <w:spacing w:val="-5"/>
          <w:sz w:val="19"/>
        </w:rPr>
        <w:t> </w:t>
      </w:r>
      <w:r>
        <w:rPr>
          <w:sz w:val="19"/>
        </w:rPr>
        <w:t>they</w:t>
      </w:r>
      <w:r>
        <w:rPr>
          <w:spacing w:val="-5"/>
          <w:sz w:val="19"/>
        </w:rPr>
        <w:t> </w:t>
      </w:r>
      <w:r>
        <w:rPr>
          <w:sz w:val="19"/>
        </w:rPr>
        <w:t>come</w:t>
      </w:r>
      <w:r>
        <w:rPr>
          <w:spacing w:val="-5"/>
          <w:sz w:val="19"/>
        </w:rPr>
        <w:t> </w:t>
      </w:r>
      <w:r>
        <w:rPr>
          <w:sz w:val="19"/>
        </w:rPr>
        <w:t>up</w:t>
      </w:r>
      <w:r>
        <w:rPr>
          <w:spacing w:val="-5"/>
          <w:sz w:val="19"/>
        </w:rPr>
        <w:t> </w:t>
      </w:r>
      <w:r>
        <w:rPr>
          <w:sz w:val="19"/>
        </w:rPr>
        <w:t>with</w:t>
      </w:r>
      <w:r>
        <w:rPr>
          <w:spacing w:val="-5"/>
          <w:sz w:val="19"/>
        </w:rPr>
        <w:t> </w:t>
      </w:r>
      <w:r>
        <w:rPr>
          <w:sz w:val="19"/>
        </w:rPr>
        <w:t>a</w:t>
      </w:r>
      <w:r>
        <w:rPr>
          <w:spacing w:val="-6"/>
          <w:sz w:val="19"/>
        </w:rPr>
        <w:t> </w:t>
      </w:r>
      <w:r>
        <w:rPr>
          <w:sz w:val="19"/>
        </w:rPr>
        <w:t>legitimate</w:t>
      </w:r>
      <w:r>
        <w:rPr>
          <w:spacing w:val="-5"/>
          <w:sz w:val="19"/>
        </w:rPr>
        <w:t> </w:t>
      </w:r>
      <w:r>
        <w:rPr>
          <w:sz w:val="19"/>
        </w:rPr>
        <w:t>excuse.</w:t>
      </w:r>
      <w:r>
        <w:rPr>
          <w:spacing w:val="-5"/>
          <w:sz w:val="19"/>
        </w:rPr>
        <w:t> We </w:t>
      </w:r>
      <w:r>
        <w:rPr>
          <w:sz w:val="19"/>
        </w:rPr>
        <w:t>all</w:t>
      </w:r>
    </w:p>
    <w:p>
      <w:pPr>
        <w:pStyle w:val="BodyText"/>
        <w:spacing w:before="9"/>
        <w:rPr>
          <w:sz w:val="17"/>
        </w:rPr>
      </w:pPr>
      <w:r>
        <w:rPr/>
        <w:pict>
          <v:line style="position:absolute;mso-position-horizontal-relative:page;mso-position-vertical-relative:paragraph;z-index:6032;mso-wrap-distance-left:0;mso-wrap-distance-right:0" from="79.370102pt,14.73188pt" to="515.905102pt,14.73188pt" stroked="true" strokeweight="1pt" strokecolor="#b6bdc8">
            <v:stroke dashstyle="solid"/>
            <w10:wrap type="topAndBottom"/>
          </v:line>
        </w:pict>
      </w:r>
    </w:p>
    <w:p>
      <w:pPr>
        <w:pStyle w:val="ListParagraph"/>
        <w:numPr>
          <w:ilvl w:val="0"/>
          <w:numId w:val="71"/>
        </w:numPr>
        <w:tabs>
          <w:tab w:pos="1760" w:val="left" w:leader="none"/>
          <w:tab w:pos="1762" w:val="left" w:leader="none"/>
        </w:tabs>
        <w:spacing w:line="170" w:lineRule="exact" w:before="91" w:after="0"/>
        <w:ind w:left="1761" w:right="0" w:hanging="794"/>
        <w:jc w:val="left"/>
        <w:rPr>
          <w:sz w:val="13"/>
        </w:rPr>
      </w:pPr>
      <w:r>
        <w:rPr>
          <w:spacing w:val="2"/>
          <w:sz w:val="13"/>
        </w:rPr>
        <w:t>Ibid.</w:t>
      </w:r>
    </w:p>
    <w:p>
      <w:pPr>
        <w:pStyle w:val="ListParagraph"/>
        <w:numPr>
          <w:ilvl w:val="0"/>
          <w:numId w:val="71"/>
        </w:numPr>
        <w:tabs>
          <w:tab w:pos="1760" w:val="left" w:leader="none"/>
          <w:tab w:pos="1762" w:val="left" w:leader="none"/>
        </w:tabs>
        <w:spacing w:line="213" w:lineRule="auto" w:before="6" w:after="0"/>
        <w:ind w:left="1761" w:right="1274" w:hanging="794"/>
        <w:jc w:val="left"/>
        <w:rPr>
          <w:sz w:val="13"/>
        </w:rPr>
      </w:pPr>
      <w:r>
        <w:rPr>
          <w:sz w:val="13"/>
        </w:rPr>
        <w:t>Jemina </w:t>
      </w:r>
      <w:r>
        <w:rPr>
          <w:spacing w:val="2"/>
          <w:sz w:val="13"/>
        </w:rPr>
        <w:t>Napier </w:t>
      </w:r>
      <w:r>
        <w:rPr>
          <w:sz w:val="13"/>
        </w:rPr>
        <w:t>et </w:t>
      </w:r>
      <w:r>
        <w:rPr>
          <w:spacing w:val="2"/>
          <w:sz w:val="13"/>
        </w:rPr>
        <w:t>al, </w:t>
      </w:r>
      <w:r>
        <w:rPr>
          <w:sz w:val="13"/>
        </w:rPr>
        <w:t>‘Training Legal Interpreters to Work with Deaf Jurors’ in Jeremy L Brunson (ed), </w:t>
      </w:r>
      <w:r>
        <w:rPr>
          <w:i/>
          <w:sz w:val="13"/>
        </w:rPr>
        <w:t>Legal Interpreting—Teaching, </w:t>
      </w:r>
      <w:r>
        <w:rPr>
          <w:i/>
          <w:sz w:val="13"/>
        </w:rPr>
        <w:t>Research and Practice </w:t>
      </w:r>
      <w:r>
        <w:rPr>
          <w:sz w:val="13"/>
        </w:rPr>
        <w:t>(Gallaudet University Press, 2022)</w:t>
      </w:r>
      <w:r>
        <w:rPr>
          <w:spacing w:val="4"/>
          <w:sz w:val="13"/>
        </w:rPr>
        <w:t> </w:t>
      </w:r>
      <w:r>
        <w:rPr>
          <w:spacing w:val="3"/>
          <w:sz w:val="13"/>
        </w:rPr>
        <w:t>254.</w:t>
      </w:r>
    </w:p>
    <w:p>
      <w:pPr>
        <w:pStyle w:val="ListParagraph"/>
        <w:numPr>
          <w:ilvl w:val="0"/>
          <w:numId w:val="71"/>
        </w:numPr>
        <w:tabs>
          <w:tab w:pos="1760" w:val="left" w:leader="none"/>
          <w:tab w:pos="1762" w:val="left" w:leader="none"/>
        </w:tabs>
        <w:spacing w:line="213" w:lineRule="auto" w:before="0" w:after="0"/>
        <w:ind w:left="1761" w:right="2000" w:hanging="794"/>
        <w:jc w:val="left"/>
        <w:rPr>
          <w:sz w:val="13"/>
        </w:rPr>
      </w:pPr>
      <w:r>
        <w:rPr>
          <w:sz w:val="13"/>
        </w:rPr>
        <w:t>Information provided by </w:t>
      </w:r>
      <w:r>
        <w:rPr>
          <w:spacing w:val="2"/>
          <w:sz w:val="13"/>
        </w:rPr>
        <w:t>Jury </w:t>
      </w:r>
      <w:r>
        <w:rPr>
          <w:sz w:val="13"/>
        </w:rPr>
        <w:t>Commissioner, Monroe County, New York State, United States to Victorian Law Reform </w:t>
      </w:r>
      <w:r>
        <w:rPr>
          <w:spacing w:val="2"/>
          <w:sz w:val="13"/>
        </w:rPr>
        <w:t>Commission, </w:t>
      </w:r>
      <w:r>
        <w:rPr>
          <w:sz w:val="13"/>
        </w:rPr>
        <w:t>17 June</w:t>
      </w:r>
      <w:r>
        <w:rPr>
          <w:spacing w:val="-2"/>
          <w:sz w:val="13"/>
        </w:rPr>
        <w:t> </w:t>
      </w:r>
      <w:r>
        <w:rPr>
          <w:sz w:val="13"/>
        </w:rPr>
        <w:t>2022.</w:t>
      </w:r>
    </w:p>
    <w:p>
      <w:pPr>
        <w:pStyle w:val="ListParagraph"/>
        <w:numPr>
          <w:ilvl w:val="0"/>
          <w:numId w:val="71"/>
        </w:numPr>
        <w:tabs>
          <w:tab w:pos="1761" w:val="left" w:leader="none"/>
          <w:tab w:pos="1762" w:val="left" w:leader="none"/>
        </w:tabs>
        <w:spacing w:line="152" w:lineRule="exact" w:before="0" w:after="0"/>
        <w:ind w:left="1761" w:right="0" w:hanging="794"/>
        <w:jc w:val="left"/>
        <w:rPr>
          <w:sz w:val="13"/>
        </w:rPr>
      </w:pP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w:t>
      </w:r>
      <w:r>
        <w:rPr>
          <w:spacing w:val="4"/>
          <w:sz w:val="13"/>
        </w:rPr>
        <w:t> </w:t>
      </w:r>
      <w:r>
        <w:rPr>
          <w:sz w:val="13"/>
        </w:rPr>
        <w:t>States).</w:t>
      </w:r>
    </w:p>
    <w:p>
      <w:pPr>
        <w:pStyle w:val="ListParagraph"/>
        <w:numPr>
          <w:ilvl w:val="0"/>
          <w:numId w:val="71"/>
        </w:numPr>
        <w:tabs>
          <w:tab w:pos="1761" w:val="left" w:leader="none"/>
          <w:tab w:pos="1762" w:val="left" w:leader="none"/>
        </w:tabs>
        <w:spacing w:line="213" w:lineRule="auto" w:before="5" w:after="0"/>
        <w:ind w:left="1760" w:right="1461" w:hanging="793"/>
        <w:jc w:val="left"/>
        <w:rPr>
          <w:sz w:val="13"/>
        </w:rPr>
      </w:pP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 States); Office of </w:t>
      </w:r>
      <w:r>
        <w:rPr>
          <w:spacing w:val="2"/>
          <w:sz w:val="13"/>
        </w:rPr>
        <w:t>Court </w:t>
      </w:r>
      <w:r>
        <w:rPr>
          <w:sz w:val="13"/>
        </w:rPr>
        <w:t>Administration, New York State Unified </w:t>
      </w:r>
      <w:r>
        <w:rPr>
          <w:spacing w:val="2"/>
          <w:sz w:val="13"/>
        </w:rPr>
        <w:t>Court </w:t>
      </w:r>
      <w:r>
        <w:rPr>
          <w:sz w:val="13"/>
        </w:rPr>
        <w:t>System, ‘Jurors—Questions and Answers (FAQ’s)’, </w:t>
      </w:r>
      <w:r>
        <w:rPr>
          <w:i/>
          <w:sz w:val="13"/>
        </w:rPr>
        <w:t>NYCOURTS.GOV </w:t>
      </w:r>
      <w:r>
        <w:rPr>
          <w:sz w:val="13"/>
        </w:rPr>
        <w:t>(Web Page, 8 </w:t>
      </w:r>
      <w:r>
        <w:rPr>
          <w:spacing w:val="2"/>
          <w:sz w:val="13"/>
        </w:rPr>
        <w:t>December </w:t>
      </w:r>
      <w:r>
        <w:rPr>
          <w:sz w:val="13"/>
        </w:rPr>
        <w:t>2020) &lt;</w:t>
      </w:r>
      <w:hyperlink r:id="rId158">
        <w:r>
          <w:rPr>
            <w:sz w:val="13"/>
          </w:rPr>
          <w:t>https://www.nyjuror.gov/juryQandA.shtml#Q12</w:t>
        </w:r>
      </w:hyperlink>
      <w:r>
        <w:rPr>
          <w:sz w:val="13"/>
        </w:rPr>
        <w:t>&gt;. See </w:t>
      </w:r>
      <w:r>
        <w:rPr>
          <w:spacing w:val="2"/>
          <w:sz w:val="13"/>
        </w:rPr>
        <w:t>also </w:t>
      </w:r>
      <w:r>
        <w:rPr>
          <w:sz w:val="13"/>
        </w:rPr>
        <w:t>Office of </w:t>
      </w:r>
      <w:r>
        <w:rPr>
          <w:spacing w:val="2"/>
          <w:sz w:val="13"/>
        </w:rPr>
        <w:t>Court </w:t>
      </w:r>
      <w:r>
        <w:rPr>
          <w:sz w:val="13"/>
        </w:rPr>
        <w:t>Administration, New York State Unified </w:t>
      </w:r>
      <w:r>
        <w:rPr>
          <w:spacing w:val="2"/>
          <w:sz w:val="13"/>
        </w:rPr>
        <w:t>Court </w:t>
      </w:r>
      <w:r>
        <w:rPr>
          <w:sz w:val="13"/>
        </w:rPr>
        <w:t>System, ‘ADA Accommodation Request Process’, </w:t>
      </w:r>
      <w:r>
        <w:rPr>
          <w:i/>
          <w:sz w:val="13"/>
        </w:rPr>
        <w:t>NYCOURTS.GOV </w:t>
      </w:r>
      <w:r>
        <w:rPr>
          <w:sz w:val="13"/>
        </w:rPr>
        <w:t>(Web Page) &lt;</w:t>
      </w:r>
      <w:hyperlink r:id="rId159">
        <w:r>
          <w:rPr>
            <w:sz w:val="13"/>
          </w:rPr>
          <w:t>http://ww2.nycourts.gov/ada-</w:t>
        </w:r>
      </w:hyperlink>
      <w:hyperlink r:id="rId159">
        <w:r>
          <w:rPr>
            <w:sz w:val="13"/>
          </w:rPr>
          <w:t> accommodation-request-process-32956#how1</w:t>
        </w:r>
      </w:hyperlink>
      <w:r>
        <w:rPr>
          <w:sz w:val="13"/>
        </w:rPr>
        <w:t>&gt;.</w:t>
      </w:r>
    </w:p>
    <w:p>
      <w:pPr>
        <w:pStyle w:val="ListParagraph"/>
        <w:numPr>
          <w:ilvl w:val="0"/>
          <w:numId w:val="71"/>
        </w:numPr>
        <w:tabs>
          <w:tab w:pos="1761" w:val="left" w:leader="none"/>
          <w:tab w:pos="1762" w:val="left" w:leader="none"/>
        </w:tabs>
        <w:spacing w:line="151" w:lineRule="exact" w:before="0" w:after="0"/>
        <w:ind w:left="1761" w:right="0" w:hanging="794"/>
        <w:jc w:val="left"/>
        <w:rPr>
          <w:i/>
          <w:sz w:val="13"/>
        </w:rPr>
      </w:pPr>
      <w:r>
        <w:rPr>
          <w:sz w:val="13"/>
        </w:rPr>
        <w:t>Victorian Law Reform </w:t>
      </w:r>
      <w:r>
        <w:rPr>
          <w:spacing w:val="2"/>
          <w:sz w:val="13"/>
        </w:rPr>
        <w:t>Commission, </w:t>
      </w:r>
      <w:r>
        <w:rPr>
          <w:i/>
          <w:sz w:val="13"/>
        </w:rPr>
        <w:t>Inclusive Juries—Access for People Who Are Deaf, Hard of Hearing, Blind or Have Low</w:t>
      </w:r>
      <w:r>
        <w:rPr>
          <w:i/>
          <w:spacing w:val="2"/>
          <w:sz w:val="13"/>
        </w:rPr>
        <w:t> </w:t>
      </w:r>
      <w:r>
        <w:rPr>
          <w:i/>
          <w:sz w:val="13"/>
        </w:rPr>
        <w:t>Vision</w:t>
      </w:r>
    </w:p>
    <w:p>
      <w:pPr>
        <w:spacing w:line="160" w:lineRule="exact" w:before="0"/>
        <w:ind w:left="1761" w:right="0" w:firstLine="0"/>
        <w:jc w:val="left"/>
        <w:rPr>
          <w:sz w:val="13"/>
        </w:rPr>
      </w:pPr>
      <w:r>
        <w:rPr>
          <w:sz w:val="13"/>
        </w:rPr>
        <w:t>(Consultation Paper, December 2020) Appendix B, 11–13.</w:t>
      </w:r>
    </w:p>
    <w:p>
      <w:pPr>
        <w:pStyle w:val="ListParagraph"/>
        <w:numPr>
          <w:ilvl w:val="0"/>
          <w:numId w:val="71"/>
        </w:numPr>
        <w:tabs>
          <w:tab w:pos="1760" w:val="left" w:leader="none"/>
          <w:tab w:pos="1762" w:val="left" w:leader="none"/>
        </w:tabs>
        <w:spacing w:line="213" w:lineRule="auto" w:before="6" w:after="0"/>
        <w:ind w:left="1761" w:right="1289" w:hanging="794"/>
        <w:jc w:val="left"/>
        <w:rPr>
          <w:sz w:val="13"/>
        </w:rPr>
      </w:pPr>
      <w:r>
        <w:rPr/>
        <w:pict>
          <v:shape style="position:absolute;margin-left:36pt;margin-top:3.693091pt;width:14.55pt;height:14.1pt;mso-position-horizontal-relative:page;mso-position-vertical-relative:paragraph;z-index:8104" type="#_x0000_t202" filled="false" stroked="false">
            <v:textbox inset="0,0,0,0">
              <w:txbxContent>
                <w:p>
                  <w:pPr>
                    <w:spacing w:line="282" w:lineRule="exact" w:before="0"/>
                    <w:ind w:left="0" w:right="0" w:firstLine="0"/>
                    <w:jc w:val="left"/>
                    <w:rPr>
                      <w:b/>
                      <w:sz w:val="24"/>
                    </w:rPr>
                  </w:pPr>
                  <w:r>
                    <w:rPr>
                      <w:b/>
                      <w:color w:val="37617A"/>
                      <w:sz w:val="24"/>
                    </w:rPr>
                    <w:t>96</w:t>
                  </w:r>
                </w:p>
              </w:txbxContent>
            </v:textbox>
            <w10:wrap type="none"/>
          </v:shape>
        </w:pict>
      </w:r>
      <w:r>
        <w:rPr>
          <w:sz w:val="13"/>
        </w:rPr>
        <w:t>James Moynihan, </w:t>
      </w:r>
      <w:r>
        <w:rPr>
          <w:spacing w:val="2"/>
          <w:sz w:val="13"/>
        </w:rPr>
        <w:t>‘Blind </w:t>
      </w:r>
      <w:r>
        <w:rPr>
          <w:sz w:val="13"/>
        </w:rPr>
        <w:t>Juror’ (2003) 46(7) </w:t>
      </w:r>
      <w:r>
        <w:rPr>
          <w:i/>
          <w:sz w:val="13"/>
        </w:rPr>
        <w:t>Braille Monitor </w:t>
      </w:r>
      <w:r>
        <w:rPr>
          <w:sz w:val="13"/>
        </w:rPr>
        <w:t>&lt;</w:t>
      </w:r>
      <w:hyperlink r:id="rId160">
        <w:r>
          <w:rPr>
            <w:sz w:val="13"/>
          </w:rPr>
          <w:t>https://nfb.org/resources/publications-and-media/braille-monitor/</w:t>
        </w:r>
      </w:hyperlink>
      <w:hyperlink r:id="rId160">
        <w:r>
          <w:rPr>
            <w:sz w:val="13"/>
          </w:rPr>
          <w:t> archive</w:t>
        </w:r>
      </w:hyperlink>
      <w:r>
        <w:rPr>
          <w:sz w:val="13"/>
        </w:rPr>
        <w:t>&gt;.</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spacing w:line="208" w:lineRule="auto" w:before="88"/>
        <w:ind w:left="2157" w:right="1237" w:firstLine="0"/>
        <w:jc w:val="left"/>
        <w:rPr>
          <w:sz w:val="11"/>
        </w:rPr>
      </w:pPr>
      <w:r>
        <w:rPr>
          <w:sz w:val="19"/>
        </w:rPr>
        <w:t>know that blind people are excused from working because others expect that society will take care of us. […] I was impressed that the people on my jury took their task seriously.</w:t>
      </w:r>
      <w:r>
        <w:rPr>
          <w:spacing w:val="-7"/>
          <w:sz w:val="19"/>
        </w:rPr>
        <w:t> </w:t>
      </w:r>
      <w:r>
        <w:rPr>
          <w:sz w:val="19"/>
        </w:rPr>
        <w:t>They</w:t>
      </w:r>
      <w:r>
        <w:rPr>
          <w:spacing w:val="-6"/>
          <w:sz w:val="19"/>
        </w:rPr>
        <w:t> </w:t>
      </w:r>
      <w:r>
        <w:rPr>
          <w:sz w:val="19"/>
        </w:rPr>
        <w:t>grappled</w:t>
      </w:r>
      <w:r>
        <w:rPr>
          <w:spacing w:val="-6"/>
          <w:sz w:val="19"/>
        </w:rPr>
        <w:t> </w:t>
      </w:r>
      <w:r>
        <w:rPr>
          <w:sz w:val="19"/>
        </w:rPr>
        <w:t>with</w:t>
      </w:r>
      <w:r>
        <w:rPr>
          <w:spacing w:val="-6"/>
          <w:sz w:val="19"/>
        </w:rPr>
        <w:t> </w:t>
      </w:r>
      <w:r>
        <w:rPr>
          <w:sz w:val="19"/>
        </w:rPr>
        <w:t>issues</w:t>
      </w:r>
      <w:r>
        <w:rPr>
          <w:spacing w:val="-6"/>
          <w:sz w:val="19"/>
        </w:rPr>
        <w:t> </w:t>
      </w:r>
      <w:r>
        <w:rPr>
          <w:sz w:val="19"/>
        </w:rPr>
        <w:t>presented</w:t>
      </w:r>
      <w:r>
        <w:rPr>
          <w:spacing w:val="-6"/>
          <w:sz w:val="19"/>
        </w:rPr>
        <w:t> </w:t>
      </w:r>
      <w:r>
        <w:rPr>
          <w:sz w:val="19"/>
        </w:rPr>
        <w:t>by</w:t>
      </w:r>
      <w:r>
        <w:rPr>
          <w:spacing w:val="-6"/>
          <w:sz w:val="19"/>
        </w:rPr>
        <w:t> </w:t>
      </w:r>
      <w:r>
        <w:rPr>
          <w:sz w:val="19"/>
        </w:rPr>
        <w:t>the</w:t>
      </w:r>
      <w:r>
        <w:rPr>
          <w:spacing w:val="-6"/>
          <w:sz w:val="19"/>
        </w:rPr>
        <w:t> </w:t>
      </w:r>
      <w:r>
        <w:rPr>
          <w:sz w:val="19"/>
        </w:rPr>
        <w:t>attorneys</w:t>
      </w:r>
      <w:r>
        <w:rPr>
          <w:spacing w:val="-6"/>
          <w:sz w:val="19"/>
        </w:rPr>
        <w:t> </w:t>
      </w:r>
      <w:r>
        <w:rPr>
          <w:sz w:val="19"/>
        </w:rPr>
        <w:t>and</w:t>
      </w:r>
      <w:r>
        <w:rPr>
          <w:spacing w:val="-6"/>
          <w:sz w:val="19"/>
        </w:rPr>
        <w:t> </w:t>
      </w:r>
      <w:r>
        <w:rPr>
          <w:sz w:val="19"/>
        </w:rPr>
        <w:t>tried</w:t>
      </w:r>
      <w:r>
        <w:rPr>
          <w:spacing w:val="-6"/>
          <w:sz w:val="19"/>
        </w:rPr>
        <w:t> </w:t>
      </w:r>
      <w:r>
        <w:rPr>
          <w:sz w:val="19"/>
        </w:rPr>
        <w:t>to</w:t>
      </w:r>
      <w:r>
        <w:rPr>
          <w:spacing w:val="-6"/>
          <w:sz w:val="19"/>
        </w:rPr>
        <w:t> </w:t>
      </w:r>
      <w:r>
        <w:rPr>
          <w:sz w:val="19"/>
        </w:rPr>
        <w:t>arrive</w:t>
      </w:r>
      <w:r>
        <w:rPr>
          <w:spacing w:val="-6"/>
          <w:sz w:val="19"/>
        </w:rPr>
        <w:t> </w:t>
      </w:r>
      <w:r>
        <w:rPr>
          <w:sz w:val="19"/>
        </w:rPr>
        <w:t>at</w:t>
      </w:r>
      <w:r>
        <w:rPr>
          <w:spacing w:val="-6"/>
          <w:sz w:val="19"/>
        </w:rPr>
        <w:t> </w:t>
      </w:r>
      <w:r>
        <w:rPr>
          <w:sz w:val="19"/>
        </w:rPr>
        <w:t>a fair and equitable solution. </w:t>
      </w:r>
      <w:r>
        <w:rPr>
          <w:spacing w:val="-5"/>
          <w:sz w:val="19"/>
        </w:rPr>
        <w:t>We </w:t>
      </w:r>
      <w:r>
        <w:rPr>
          <w:sz w:val="19"/>
        </w:rPr>
        <w:t>came from all walks of life and had never met before. </w:t>
      </w:r>
      <w:r>
        <w:rPr>
          <w:spacing w:val="-5"/>
          <w:sz w:val="19"/>
        </w:rPr>
        <w:t>We </w:t>
      </w:r>
      <w:r>
        <w:rPr>
          <w:sz w:val="19"/>
        </w:rPr>
        <w:t>were of different races and levels of education. </w:t>
      </w:r>
      <w:r>
        <w:rPr>
          <w:spacing w:val="-5"/>
          <w:sz w:val="19"/>
        </w:rPr>
        <w:t>We </w:t>
      </w:r>
      <w:r>
        <w:rPr>
          <w:sz w:val="19"/>
        </w:rPr>
        <w:t>tried our best to hammer out a reasonable and fair settlement […] I would do it again if called upon. </w:t>
      </w:r>
      <w:r>
        <w:rPr>
          <w:spacing w:val="-5"/>
          <w:sz w:val="19"/>
        </w:rPr>
        <w:t>You </w:t>
      </w:r>
      <w:r>
        <w:rPr>
          <w:sz w:val="19"/>
        </w:rPr>
        <w:t>can turn me down</w:t>
      </w:r>
      <w:r>
        <w:rPr>
          <w:spacing w:val="-3"/>
          <w:sz w:val="19"/>
        </w:rPr>
        <w:t> </w:t>
      </w:r>
      <w:r>
        <w:rPr>
          <w:sz w:val="19"/>
        </w:rPr>
        <w:t>for</w:t>
      </w:r>
      <w:r>
        <w:rPr>
          <w:spacing w:val="-2"/>
          <w:sz w:val="19"/>
        </w:rPr>
        <w:t> </w:t>
      </w:r>
      <w:r>
        <w:rPr>
          <w:sz w:val="19"/>
        </w:rPr>
        <w:t>any</w:t>
      </w:r>
      <w:r>
        <w:rPr>
          <w:spacing w:val="-3"/>
          <w:sz w:val="19"/>
        </w:rPr>
        <w:t> </w:t>
      </w:r>
      <w:r>
        <w:rPr>
          <w:sz w:val="19"/>
        </w:rPr>
        <w:t>of</w:t>
      </w:r>
      <w:r>
        <w:rPr>
          <w:spacing w:val="-2"/>
          <w:sz w:val="19"/>
        </w:rPr>
        <w:t> </w:t>
      </w:r>
      <w:r>
        <w:rPr>
          <w:sz w:val="19"/>
        </w:rPr>
        <w:t>a</w:t>
      </w:r>
      <w:r>
        <w:rPr>
          <w:spacing w:val="-3"/>
          <w:sz w:val="19"/>
        </w:rPr>
        <w:t> </w:t>
      </w:r>
      <w:r>
        <w:rPr>
          <w:sz w:val="19"/>
        </w:rPr>
        <w:t>number</w:t>
      </w:r>
      <w:r>
        <w:rPr>
          <w:spacing w:val="-2"/>
          <w:sz w:val="19"/>
        </w:rPr>
        <w:t> </w:t>
      </w:r>
      <w:r>
        <w:rPr>
          <w:sz w:val="19"/>
        </w:rPr>
        <w:t>of</w:t>
      </w:r>
      <w:r>
        <w:rPr>
          <w:spacing w:val="-3"/>
          <w:sz w:val="19"/>
        </w:rPr>
        <w:t> </w:t>
      </w:r>
      <w:r>
        <w:rPr>
          <w:sz w:val="19"/>
        </w:rPr>
        <w:t>reasons,</w:t>
      </w:r>
      <w:r>
        <w:rPr>
          <w:spacing w:val="-2"/>
          <w:sz w:val="19"/>
        </w:rPr>
        <w:t> </w:t>
      </w:r>
      <w:r>
        <w:rPr>
          <w:sz w:val="19"/>
        </w:rPr>
        <w:t>but</w:t>
      </w:r>
      <w:r>
        <w:rPr>
          <w:spacing w:val="-3"/>
          <w:sz w:val="19"/>
        </w:rPr>
        <w:t> </w:t>
      </w:r>
      <w:r>
        <w:rPr>
          <w:sz w:val="19"/>
        </w:rPr>
        <w:t>don’t</w:t>
      </w:r>
      <w:r>
        <w:rPr>
          <w:spacing w:val="-2"/>
          <w:sz w:val="19"/>
        </w:rPr>
        <w:t> </w:t>
      </w:r>
      <w:r>
        <w:rPr>
          <w:sz w:val="19"/>
        </w:rPr>
        <w:t>let</w:t>
      </w:r>
      <w:r>
        <w:rPr>
          <w:spacing w:val="-3"/>
          <w:sz w:val="19"/>
        </w:rPr>
        <w:t> </w:t>
      </w:r>
      <w:r>
        <w:rPr>
          <w:sz w:val="19"/>
        </w:rPr>
        <w:t>my</w:t>
      </w:r>
      <w:r>
        <w:rPr>
          <w:spacing w:val="-2"/>
          <w:sz w:val="19"/>
        </w:rPr>
        <w:t> </w:t>
      </w:r>
      <w:r>
        <w:rPr>
          <w:sz w:val="19"/>
        </w:rPr>
        <w:t>blindness</w:t>
      </w:r>
      <w:r>
        <w:rPr>
          <w:spacing w:val="-3"/>
          <w:sz w:val="19"/>
        </w:rPr>
        <w:t> </w:t>
      </w:r>
      <w:r>
        <w:rPr>
          <w:sz w:val="19"/>
        </w:rPr>
        <w:t>be</w:t>
      </w:r>
      <w:r>
        <w:rPr>
          <w:spacing w:val="-2"/>
          <w:sz w:val="19"/>
        </w:rPr>
        <w:t> </w:t>
      </w:r>
      <w:r>
        <w:rPr>
          <w:sz w:val="19"/>
        </w:rPr>
        <w:t>one</w:t>
      </w:r>
      <w:r>
        <w:rPr>
          <w:spacing w:val="-3"/>
          <w:sz w:val="19"/>
        </w:rPr>
        <w:t> </w:t>
      </w:r>
      <w:r>
        <w:rPr>
          <w:sz w:val="19"/>
        </w:rPr>
        <w:t>of</w:t>
      </w:r>
      <w:r>
        <w:rPr>
          <w:spacing w:val="-2"/>
          <w:sz w:val="19"/>
        </w:rPr>
        <w:t> </w:t>
      </w:r>
      <w:r>
        <w:rPr>
          <w:sz w:val="19"/>
        </w:rPr>
        <w:t>them.</w:t>
      </w:r>
      <w:r>
        <w:rPr>
          <w:position w:val="6"/>
          <w:sz w:val="11"/>
        </w:rPr>
        <w:t>58</w:t>
      </w:r>
    </w:p>
    <w:p>
      <w:pPr>
        <w:pStyle w:val="ListParagraph"/>
        <w:numPr>
          <w:ilvl w:val="1"/>
          <w:numId w:val="12"/>
        </w:numPr>
        <w:tabs>
          <w:tab w:pos="1761" w:val="left" w:leader="none"/>
          <w:tab w:pos="1762" w:val="left" w:leader="none"/>
        </w:tabs>
        <w:spacing w:line="206" w:lineRule="auto" w:before="126" w:after="0"/>
        <w:ind w:left="1761" w:right="1589" w:hanging="794"/>
        <w:jc w:val="left"/>
        <w:rPr>
          <w:sz w:val="20"/>
        </w:rPr>
      </w:pPr>
      <w:r>
        <w:rPr>
          <w:sz w:val="20"/>
        </w:rPr>
        <w:t>In</w:t>
      </w:r>
      <w:r>
        <w:rPr>
          <w:spacing w:val="-10"/>
          <w:sz w:val="20"/>
        </w:rPr>
        <w:t> </w:t>
      </w:r>
      <w:r>
        <w:rPr>
          <w:spacing w:val="-3"/>
          <w:sz w:val="20"/>
        </w:rPr>
        <w:t>2021,</w:t>
      </w:r>
      <w:r>
        <w:rPr>
          <w:spacing w:val="-9"/>
          <w:sz w:val="20"/>
        </w:rPr>
        <w:t> </w:t>
      </w:r>
      <w:r>
        <w:rPr>
          <w:sz w:val="20"/>
        </w:rPr>
        <w:t>Dana</w:t>
      </w:r>
      <w:r>
        <w:rPr>
          <w:spacing w:val="-10"/>
          <w:sz w:val="20"/>
        </w:rPr>
        <w:t> </w:t>
      </w:r>
      <w:r>
        <w:rPr>
          <w:sz w:val="20"/>
        </w:rPr>
        <w:t>Ard,</w:t>
      </w:r>
      <w:r>
        <w:rPr>
          <w:spacing w:val="-9"/>
          <w:sz w:val="20"/>
        </w:rPr>
        <w:t> </w:t>
      </w:r>
      <w:r>
        <w:rPr>
          <w:sz w:val="20"/>
        </w:rPr>
        <w:t>a</w:t>
      </w:r>
      <w:r>
        <w:rPr>
          <w:spacing w:val="-9"/>
          <w:sz w:val="20"/>
        </w:rPr>
        <w:t> </w:t>
      </w:r>
      <w:r>
        <w:rPr>
          <w:sz w:val="20"/>
        </w:rPr>
        <w:t>blind</w:t>
      </w:r>
      <w:r>
        <w:rPr>
          <w:spacing w:val="-10"/>
          <w:sz w:val="20"/>
        </w:rPr>
        <w:t> </w:t>
      </w:r>
      <w:r>
        <w:rPr>
          <w:sz w:val="20"/>
        </w:rPr>
        <w:t>juror</w:t>
      </w:r>
      <w:r>
        <w:rPr>
          <w:spacing w:val="-9"/>
          <w:sz w:val="20"/>
        </w:rPr>
        <w:t> </w:t>
      </w:r>
      <w:r>
        <w:rPr>
          <w:spacing w:val="-3"/>
          <w:sz w:val="20"/>
        </w:rPr>
        <w:t>from</w:t>
      </w:r>
      <w:r>
        <w:rPr>
          <w:spacing w:val="-9"/>
          <w:sz w:val="20"/>
        </w:rPr>
        <w:t> </w:t>
      </w:r>
      <w:r>
        <w:rPr>
          <w:sz w:val="20"/>
        </w:rPr>
        <w:t>Idaho,</w:t>
      </w:r>
      <w:r>
        <w:rPr>
          <w:spacing w:val="-10"/>
          <w:sz w:val="20"/>
        </w:rPr>
        <w:t> </w:t>
      </w:r>
      <w:r>
        <w:rPr>
          <w:sz w:val="20"/>
        </w:rPr>
        <w:t>explained</w:t>
      </w:r>
      <w:r>
        <w:rPr>
          <w:spacing w:val="-9"/>
          <w:sz w:val="20"/>
        </w:rPr>
        <w:t> </w:t>
      </w:r>
      <w:r>
        <w:rPr>
          <w:sz w:val="20"/>
        </w:rPr>
        <w:t>that</w:t>
      </w:r>
      <w:r>
        <w:rPr>
          <w:spacing w:val="-10"/>
          <w:sz w:val="20"/>
        </w:rPr>
        <w:t> </w:t>
      </w:r>
      <w:r>
        <w:rPr>
          <w:sz w:val="20"/>
        </w:rPr>
        <w:t>she</w:t>
      </w:r>
      <w:r>
        <w:rPr>
          <w:spacing w:val="-9"/>
          <w:sz w:val="20"/>
        </w:rPr>
        <w:t> </w:t>
      </w:r>
      <w:r>
        <w:rPr>
          <w:sz w:val="20"/>
        </w:rPr>
        <w:t>‘took</w:t>
      </w:r>
      <w:r>
        <w:rPr>
          <w:spacing w:val="-9"/>
          <w:sz w:val="20"/>
        </w:rPr>
        <w:t> </w:t>
      </w:r>
      <w:r>
        <w:rPr>
          <w:sz w:val="20"/>
        </w:rPr>
        <w:t>Braille</w:t>
      </w:r>
      <w:r>
        <w:rPr>
          <w:spacing w:val="-10"/>
          <w:sz w:val="20"/>
        </w:rPr>
        <w:t> </w:t>
      </w:r>
      <w:r>
        <w:rPr>
          <w:sz w:val="20"/>
        </w:rPr>
        <w:t>notes</w:t>
      </w:r>
      <w:r>
        <w:rPr>
          <w:spacing w:val="-9"/>
          <w:sz w:val="20"/>
        </w:rPr>
        <w:t> </w:t>
      </w:r>
      <w:r>
        <w:rPr>
          <w:sz w:val="20"/>
        </w:rPr>
        <w:t>on all</w:t>
      </w:r>
      <w:r>
        <w:rPr>
          <w:spacing w:val="-9"/>
          <w:sz w:val="20"/>
        </w:rPr>
        <w:t> </w:t>
      </w:r>
      <w:r>
        <w:rPr>
          <w:sz w:val="20"/>
        </w:rPr>
        <w:t>of</w:t>
      </w:r>
      <w:r>
        <w:rPr>
          <w:spacing w:val="-8"/>
          <w:sz w:val="20"/>
        </w:rPr>
        <w:t> </w:t>
      </w:r>
      <w:r>
        <w:rPr>
          <w:sz w:val="20"/>
        </w:rPr>
        <w:t>the</w:t>
      </w:r>
      <w:r>
        <w:rPr>
          <w:spacing w:val="-8"/>
          <w:sz w:val="20"/>
        </w:rPr>
        <w:t> </w:t>
      </w:r>
      <w:r>
        <w:rPr>
          <w:sz w:val="20"/>
        </w:rPr>
        <w:t>witness</w:t>
      </w:r>
      <w:r>
        <w:rPr>
          <w:spacing w:val="-8"/>
          <w:sz w:val="20"/>
        </w:rPr>
        <w:t> </w:t>
      </w:r>
      <w:r>
        <w:rPr>
          <w:spacing w:val="-2"/>
          <w:sz w:val="20"/>
        </w:rPr>
        <w:t>testimony</w:t>
      </w:r>
      <w:r>
        <w:rPr>
          <w:spacing w:val="-8"/>
          <w:sz w:val="20"/>
        </w:rPr>
        <w:t> </w:t>
      </w:r>
      <w:r>
        <w:rPr>
          <w:sz w:val="20"/>
        </w:rPr>
        <w:t>as</w:t>
      </w:r>
      <w:r>
        <w:rPr>
          <w:spacing w:val="-8"/>
          <w:sz w:val="20"/>
        </w:rPr>
        <w:t> </w:t>
      </w:r>
      <w:r>
        <w:rPr>
          <w:sz w:val="20"/>
        </w:rPr>
        <w:t>well</w:t>
      </w:r>
      <w:r>
        <w:rPr>
          <w:spacing w:val="-8"/>
          <w:sz w:val="20"/>
        </w:rPr>
        <w:t> </w:t>
      </w:r>
      <w:r>
        <w:rPr>
          <w:sz w:val="20"/>
        </w:rPr>
        <w:t>as</w:t>
      </w:r>
      <w:r>
        <w:rPr>
          <w:spacing w:val="-8"/>
          <w:sz w:val="20"/>
        </w:rPr>
        <w:t> </w:t>
      </w:r>
      <w:r>
        <w:rPr>
          <w:sz w:val="20"/>
        </w:rPr>
        <w:t>the</w:t>
      </w:r>
      <w:r>
        <w:rPr>
          <w:spacing w:val="-8"/>
          <w:sz w:val="20"/>
        </w:rPr>
        <w:t> </w:t>
      </w:r>
      <w:r>
        <w:rPr>
          <w:sz w:val="20"/>
        </w:rPr>
        <w:t>guidance</w:t>
      </w:r>
      <w:r>
        <w:rPr>
          <w:spacing w:val="-8"/>
          <w:sz w:val="20"/>
        </w:rPr>
        <w:t> </w:t>
      </w:r>
      <w:r>
        <w:rPr>
          <w:spacing w:val="-3"/>
          <w:sz w:val="20"/>
        </w:rPr>
        <w:t>from</w:t>
      </w:r>
      <w:r>
        <w:rPr>
          <w:spacing w:val="-8"/>
          <w:sz w:val="20"/>
        </w:rPr>
        <w:t> </w:t>
      </w:r>
      <w:r>
        <w:rPr>
          <w:sz w:val="20"/>
        </w:rPr>
        <w:t>the</w:t>
      </w:r>
      <w:r>
        <w:rPr>
          <w:spacing w:val="-8"/>
          <w:sz w:val="20"/>
        </w:rPr>
        <w:t> </w:t>
      </w:r>
      <w:r>
        <w:rPr>
          <w:sz w:val="20"/>
        </w:rPr>
        <w:t>judge</w:t>
      </w:r>
      <w:r>
        <w:rPr>
          <w:spacing w:val="-8"/>
          <w:sz w:val="20"/>
        </w:rPr>
        <w:t> </w:t>
      </w:r>
      <w:r>
        <w:rPr>
          <w:sz w:val="20"/>
        </w:rPr>
        <w:t>on</w:t>
      </w:r>
      <w:r>
        <w:rPr>
          <w:spacing w:val="-8"/>
          <w:sz w:val="20"/>
        </w:rPr>
        <w:t> </w:t>
      </w:r>
      <w:r>
        <w:rPr>
          <w:sz w:val="20"/>
        </w:rPr>
        <w:t>what</w:t>
      </w:r>
      <w:r>
        <w:rPr>
          <w:spacing w:val="-8"/>
          <w:sz w:val="20"/>
        </w:rPr>
        <w:t> </w:t>
      </w:r>
      <w:r>
        <w:rPr>
          <w:spacing w:val="-3"/>
          <w:sz w:val="20"/>
        </w:rPr>
        <w:t>we</w:t>
      </w:r>
      <w:r>
        <w:rPr>
          <w:spacing w:val="-8"/>
          <w:sz w:val="20"/>
        </w:rPr>
        <w:t> </w:t>
      </w:r>
      <w:r>
        <w:rPr>
          <w:sz w:val="20"/>
        </w:rPr>
        <w:t>had to</w:t>
      </w:r>
      <w:r>
        <w:rPr>
          <w:spacing w:val="-9"/>
          <w:sz w:val="20"/>
        </w:rPr>
        <w:t> </w:t>
      </w:r>
      <w:r>
        <w:rPr>
          <w:sz w:val="20"/>
        </w:rPr>
        <w:t>consider</w:t>
      </w:r>
      <w:r>
        <w:rPr>
          <w:spacing w:val="-8"/>
          <w:sz w:val="20"/>
        </w:rPr>
        <w:t> </w:t>
      </w:r>
      <w:r>
        <w:rPr>
          <w:sz w:val="20"/>
        </w:rPr>
        <w:t>when</w:t>
      </w:r>
      <w:r>
        <w:rPr>
          <w:spacing w:val="-8"/>
          <w:sz w:val="20"/>
        </w:rPr>
        <w:t> </w:t>
      </w:r>
      <w:r>
        <w:rPr>
          <w:sz w:val="20"/>
        </w:rPr>
        <w:t>deciding</w:t>
      </w:r>
      <w:r>
        <w:rPr>
          <w:spacing w:val="-8"/>
          <w:sz w:val="20"/>
        </w:rPr>
        <w:t> </w:t>
      </w:r>
      <w:r>
        <w:rPr>
          <w:sz w:val="20"/>
        </w:rPr>
        <w:t>this</w:t>
      </w:r>
      <w:r>
        <w:rPr>
          <w:spacing w:val="-8"/>
          <w:sz w:val="20"/>
        </w:rPr>
        <w:t> </w:t>
      </w:r>
      <w:r>
        <w:rPr>
          <w:spacing w:val="-4"/>
          <w:sz w:val="20"/>
        </w:rPr>
        <w:t>case…’.</w:t>
      </w:r>
      <w:r>
        <w:rPr>
          <w:spacing w:val="-9"/>
          <w:sz w:val="20"/>
        </w:rPr>
        <w:t> </w:t>
      </w:r>
      <w:r>
        <w:rPr>
          <w:sz w:val="20"/>
        </w:rPr>
        <w:t>She</w:t>
      </w:r>
      <w:r>
        <w:rPr>
          <w:spacing w:val="-8"/>
          <w:sz w:val="20"/>
        </w:rPr>
        <w:t> </w:t>
      </w:r>
      <w:r>
        <w:rPr>
          <w:sz w:val="20"/>
        </w:rPr>
        <w:t>commented</w:t>
      </w:r>
      <w:r>
        <w:rPr>
          <w:spacing w:val="-8"/>
          <w:sz w:val="20"/>
        </w:rPr>
        <w:t> </w:t>
      </w:r>
      <w:r>
        <w:rPr>
          <w:sz w:val="20"/>
        </w:rPr>
        <w:t>that</w:t>
      </w:r>
      <w:r>
        <w:rPr>
          <w:spacing w:val="-8"/>
          <w:sz w:val="20"/>
        </w:rPr>
        <w:t> </w:t>
      </w:r>
      <w:r>
        <w:rPr>
          <w:sz w:val="20"/>
        </w:rPr>
        <w:t>she</w:t>
      </w:r>
      <w:r>
        <w:rPr>
          <w:spacing w:val="-8"/>
          <w:sz w:val="20"/>
        </w:rPr>
        <w:t> </w:t>
      </w:r>
      <w:r>
        <w:rPr>
          <w:sz w:val="20"/>
        </w:rPr>
        <w:t>was</w:t>
      </w:r>
      <w:r>
        <w:rPr>
          <w:spacing w:val="-9"/>
          <w:sz w:val="20"/>
        </w:rPr>
        <w:t> </w:t>
      </w:r>
      <w:r>
        <w:rPr>
          <w:spacing w:val="-3"/>
          <w:sz w:val="20"/>
        </w:rPr>
        <w:t>‘proud</w:t>
      </w:r>
      <w:r>
        <w:rPr>
          <w:spacing w:val="-8"/>
          <w:sz w:val="20"/>
        </w:rPr>
        <w:t> </w:t>
      </w:r>
      <w:r>
        <w:rPr>
          <w:sz w:val="20"/>
        </w:rPr>
        <w:t>to</w:t>
      </w:r>
      <w:r>
        <w:rPr>
          <w:spacing w:val="-8"/>
          <w:sz w:val="20"/>
        </w:rPr>
        <w:t> </w:t>
      </w:r>
      <w:r>
        <w:rPr>
          <w:spacing w:val="-4"/>
          <w:sz w:val="20"/>
        </w:rPr>
        <w:t>have</w:t>
      </w:r>
    </w:p>
    <w:p>
      <w:pPr>
        <w:pStyle w:val="BodyText"/>
        <w:spacing w:line="206" w:lineRule="auto" w:before="4"/>
        <w:ind w:left="1761" w:right="1270"/>
        <w:jc w:val="both"/>
        <w:rPr>
          <w:sz w:val="11"/>
        </w:rPr>
      </w:pPr>
      <w:r>
        <w:rPr/>
        <w:t>been</w:t>
      </w:r>
      <w:r>
        <w:rPr>
          <w:spacing w:val="-9"/>
        </w:rPr>
        <w:t> </w:t>
      </w:r>
      <w:r>
        <w:rPr/>
        <w:t>able</w:t>
      </w:r>
      <w:r>
        <w:rPr>
          <w:spacing w:val="-9"/>
        </w:rPr>
        <w:t> </w:t>
      </w:r>
      <w:r>
        <w:rPr/>
        <w:t>to</w:t>
      </w:r>
      <w:r>
        <w:rPr>
          <w:spacing w:val="-9"/>
        </w:rPr>
        <w:t> </w:t>
      </w:r>
      <w:r>
        <w:rPr>
          <w:spacing w:val="-3"/>
        </w:rPr>
        <w:t>exercise</w:t>
      </w:r>
      <w:r>
        <w:rPr>
          <w:spacing w:val="-9"/>
        </w:rPr>
        <w:t> </w:t>
      </w:r>
      <w:r>
        <w:rPr>
          <w:spacing w:val="-3"/>
        </w:rPr>
        <w:t>my</w:t>
      </w:r>
      <w:r>
        <w:rPr>
          <w:spacing w:val="-9"/>
        </w:rPr>
        <w:t> </w:t>
      </w:r>
      <w:r>
        <w:rPr/>
        <w:t>civic</w:t>
      </w:r>
      <w:r>
        <w:rPr>
          <w:spacing w:val="-9"/>
        </w:rPr>
        <w:t> </w:t>
      </w:r>
      <w:r>
        <w:rPr/>
        <w:t>responsibility</w:t>
      </w:r>
      <w:r>
        <w:rPr>
          <w:spacing w:val="-9"/>
        </w:rPr>
        <w:t> </w:t>
      </w:r>
      <w:r>
        <w:rPr/>
        <w:t>as</w:t>
      </w:r>
      <w:r>
        <w:rPr>
          <w:spacing w:val="-9"/>
        </w:rPr>
        <w:t> </w:t>
      </w:r>
      <w:r>
        <w:rPr/>
        <w:t>a</w:t>
      </w:r>
      <w:r>
        <w:rPr>
          <w:spacing w:val="-9"/>
        </w:rPr>
        <w:t> </w:t>
      </w:r>
      <w:r>
        <w:rPr>
          <w:spacing w:val="-4"/>
        </w:rPr>
        <w:t>juror.</w:t>
      </w:r>
      <w:r>
        <w:rPr>
          <w:spacing w:val="-9"/>
        </w:rPr>
        <w:t> </w:t>
      </w:r>
      <w:r>
        <w:rPr/>
        <w:t>I</w:t>
      </w:r>
      <w:r>
        <w:rPr>
          <w:spacing w:val="-9"/>
        </w:rPr>
        <w:t> </w:t>
      </w:r>
      <w:r>
        <w:rPr/>
        <w:t>am</w:t>
      </w:r>
      <w:r>
        <w:rPr>
          <w:spacing w:val="-9"/>
        </w:rPr>
        <w:t> </w:t>
      </w:r>
      <w:r>
        <w:rPr/>
        <w:t>hopeful</w:t>
      </w:r>
      <w:r>
        <w:rPr>
          <w:spacing w:val="-8"/>
        </w:rPr>
        <w:t> </w:t>
      </w:r>
      <w:r>
        <w:rPr/>
        <w:t>that</w:t>
      </w:r>
      <w:r>
        <w:rPr>
          <w:spacing w:val="-9"/>
        </w:rPr>
        <w:t> </w:t>
      </w:r>
      <w:r>
        <w:rPr>
          <w:spacing w:val="-3"/>
        </w:rPr>
        <w:t>my</w:t>
      </w:r>
      <w:r>
        <w:rPr>
          <w:spacing w:val="-9"/>
        </w:rPr>
        <w:t> </w:t>
      </w:r>
      <w:r>
        <w:rPr/>
        <w:t>service</w:t>
      </w:r>
      <w:r>
        <w:rPr>
          <w:spacing w:val="-9"/>
        </w:rPr>
        <w:t> </w:t>
      </w:r>
      <w:r>
        <w:rPr/>
        <w:t>will demonstrate</w:t>
      </w:r>
      <w:r>
        <w:rPr>
          <w:spacing w:val="-11"/>
        </w:rPr>
        <w:t> </w:t>
      </w:r>
      <w:r>
        <w:rPr/>
        <w:t>to</w:t>
      </w:r>
      <w:r>
        <w:rPr>
          <w:spacing w:val="-11"/>
        </w:rPr>
        <w:t> </w:t>
      </w:r>
      <w:r>
        <w:rPr/>
        <w:t>judges</w:t>
      </w:r>
      <w:r>
        <w:rPr>
          <w:spacing w:val="-11"/>
        </w:rPr>
        <w:t> </w:t>
      </w:r>
      <w:r>
        <w:rPr/>
        <w:t>and</w:t>
      </w:r>
      <w:r>
        <w:rPr>
          <w:spacing w:val="-11"/>
        </w:rPr>
        <w:t> </w:t>
      </w:r>
      <w:r>
        <w:rPr>
          <w:spacing w:val="-3"/>
        </w:rPr>
        <w:t>attorneys</w:t>
      </w:r>
      <w:r>
        <w:rPr>
          <w:spacing w:val="-10"/>
        </w:rPr>
        <w:t> </w:t>
      </w:r>
      <w:r>
        <w:rPr/>
        <w:t>that</w:t>
      </w:r>
      <w:r>
        <w:rPr>
          <w:spacing w:val="-11"/>
        </w:rPr>
        <w:t> </w:t>
      </w:r>
      <w:r>
        <w:rPr/>
        <w:t>blind</w:t>
      </w:r>
      <w:r>
        <w:rPr>
          <w:spacing w:val="-11"/>
        </w:rPr>
        <w:t> </w:t>
      </w:r>
      <w:r>
        <w:rPr/>
        <w:t>people</w:t>
      </w:r>
      <w:r>
        <w:rPr>
          <w:spacing w:val="-11"/>
        </w:rPr>
        <w:t> </w:t>
      </w:r>
      <w:r>
        <w:rPr/>
        <w:t>should</w:t>
      </w:r>
      <w:r>
        <w:rPr>
          <w:spacing w:val="-10"/>
        </w:rPr>
        <w:t> </w:t>
      </w:r>
      <w:r>
        <w:rPr/>
        <w:t>not</w:t>
      </w:r>
      <w:r>
        <w:rPr>
          <w:spacing w:val="-11"/>
        </w:rPr>
        <w:t> </w:t>
      </w:r>
      <w:r>
        <w:rPr/>
        <w:t>be</w:t>
      </w:r>
      <w:r>
        <w:rPr>
          <w:spacing w:val="-11"/>
        </w:rPr>
        <w:t> </w:t>
      </w:r>
      <w:r>
        <w:rPr/>
        <w:t>disqualified</w:t>
      </w:r>
      <w:r>
        <w:rPr>
          <w:spacing w:val="-11"/>
        </w:rPr>
        <w:t> </w:t>
      </w:r>
      <w:r>
        <w:rPr>
          <w:spacing w:val="-3"/>
        </w:rPr>
        <w:t>from </w:t>
      </w:r>
      <w:r>
        <w:rPr/>
        <w:t>jury service based </w:t>
      </w:r>
      <w:r>
        <w:rPr>
          <w:spacing w:val="-3"/>
        </w:rPr>
        <w:t>solely </w:t>
      </w:r>
      <w:r>
        <w:rPr/>
        <w:t>on</w:t>
      </w:r>
      <w:r>
        <w:rPr>
          <w:spacing w:val="-17"/>
        </w:rPr>
        <w:t> </w:t>
      </w:r>
      <w:r>
        <w:rPr>
          <w:spacing w:val="-3"/>
        </w:rPr>
        <w:t>blindness’.</w:t>
      </w:r>
      <w:r>
        <w:rPr>
          <w:spacing w:val="-3"/>
          <w:position w:val="7"/>
          <w:sz w:val="11"/>
        </w:rPr>
        <w:t>59</w:t>
      </w:r>
    </w:p>
    <w:p>
      <w:pPr>
        <w:pStyle w:val="ListParagraph"/>
        <w:numPr>
          <w:ilvl w:val="1"/>
          <w:numId w:val="12"/>
        </w:numPr>
        <w:tabs>
          <w:tab w:pos="1761" w:val="left" w:leader="none"/>
          <w:tab w:pos="1762" w:val="left" w:leader="none"/>
        </w:tabs>
        <w:spacing w:line="206" w:lineRule="auto" w:before="124" w:after="0"/>
        <w:ind w:left="1761" w:right="1430" w:hanging="794"/>
        <w:jc w:val="left"/>
        <w:rPr>
          <w:sz w:val="20"/>
        </w:rPr>
      </w:pPr>
      <w:r>
        <w:rPr>
          <w:sz w:val="20"/>
        </w:rPr>
        <w:t>In</w:t>
      </w:r>
      <w:r>
        <w:rPr>
          <w:spacing w:val="-8"/>
          <w:sz w:val="20"/>
        </w:rPr>
        <w:t> </w:t>
      </w:r>
      <w:r>
        <w:rPr>
          <w:sz w:val="20"/>
        </w:rPr>
        <w:t>2015,</w:t>
      </w:r>
      <w:r>
        <w:rPr>
          <w:spacing w:val="-8"/>
          <w:sz w:val="20"/>
        </w:rPr>
        <w:t> </w:t>
      </w:r>
      <w:r>
        <w:rPr>
          <w:spacing w:val="-5"/>
          <w:sz w:val="20"/>
        </w:rPr>
        <w:t>Tracy</w:t>
      </w:r>
      <w:r>
        <w:rPr>
          <w:spacing w:val="-8"/>
          <w:sz w:val="20"/>
        </w:rPr>
        <w:t> </w:t>
      </w:r>
      <w:r>
        <w:rPr>
          <w:sz w:val="20"/>
        </w:rPr>
        <w:t>Straub,</w:t>
      </w:r>
      <w:r>
        <w:rPr>
          <w:spacing w:val="-8"/>
          <w:sz w:val="20"/>
        </w:rPr>
        <w:t> </w:t>
      </w:r>
      <w:r>
        <w:rPr>
          <w:sz w:val="20"/>
        </w:rPr>
        <w:t>who</w:t>
      </w:r>
      <w:r>
        <w:rPr>
          <w:spacing w:val="-7"/>
          <w:sz w:val="20"/>
        </w:rPr>
        <w:t> </w:t>
      </w:r>
      <w:r>
        <w:rPr>
          <w:sz w:val="20"/>
        </w:rPr>
        <w:t>was</w:t>
      </w:r>
      <w:r>
        <w:rPr>
          <w:spacing w:val="-8"/>
          <w:sz w:val="20"/>
        </w:rPr>
        <w:t> </w:t>
      </w:r>
      <w:r>
        <w:rPr>
          <w:sz w:val="20"/>
        </w:rPr>
        <w:t>born</w:t>
      </w:r>
      <w:r>
        <w:rPr>
          <w:spacing w:val="-8"/>
          <w:sz w:val="20"/>
        </w:rPr>
        <w:t> </w:t>
      </w:r>
      <w:r>
        <w:rPr>
          <w:spacing w:val="-4"/>
          <w:sz w:val="20"/>
        </w:rPr>
        <w:t>deaf,</w:t>
      </w:r>
      <w:r>
        <w:rPr>
          <w:spacing w:val="-8"/>
          <w:sz w:val="20"/>
        </w:rPr>
        <w:t> </w:t>
      </w:r>
      <w:r>
        <w:rPr>
          <w:sz w:val="20"/>
        </w:rPr>
        <w:t>served</w:t>
      </w:r>
      <w:r>
        <w:rPr>
          <w:spacing w:val="-7"/>
          <w:sz w:val="20"/>
        </w:rPr>
        <w:t> </w:t>
      </w:r>
      <w:r>
        <w:rPr>
          <w:sz w:val="20"/>
        </w:rPr>
        <w:t>as</w:t>
      </w:r>
      <w:r>
        <w:rPr>
          <w:spacing w:val="-8"/>
          <w:sz w:val="20"/>
        </w:rPr>
        <w:t> </w:t>
      </w:r>
      <w:r>
        <w:rPr>
          <w:sz w:val="20"/>
        </w:rPr>
        <w:t>juror</w:t>
      </w:r>
      <w:r>
        <w:rPr>
          <w:spacing w:val="-8"/>
          <w:sz w:val="20"/>
        </w:rPr>
        <w:t> </w:t>
      </w:r>
      <w:r>
        <w:rPr>
          <w:sz w:val="20"/>
        </w:rPr>
        <w:t>in</w:t>
      </w:r>
      <w:r>
        <w:rPr>
          <w:spacing w:val="-8"/>
          <w:sz w:val="20"/>
        </w:rPr>
        <w:t> </w:t>
      </w:r>
      <w:r>
        <w:rPr>
          <w:sz w:val="20"/>
        </w:rPr>
        <w:t>an</w:t>
      </w:r>
      <w:r>
        <w:rPr>
          <w:spacing w:val="-8"/>
          <w:sz w:val="20"/>
        </w:rPr>
        <w:t> </w:t>
      </w:r>
      <w:r>
        <w:rPr>
          <w:sz w:val="20"/>
        </w:rPr>
        <w:t>armed</w:t>
      </w:r>
      <w:r>
        <w:rPr>
          <w:spacing w:val="-7"/>
          <w:sz w:val="20"/>
        </w:rPr>
        <w:t> </w:t>
      </w:r>
      <w:r>
        <w:rPr>
          <w:sz w:val="20"/>
        </w:rPr>
        <w:t>robbery</w:t>
      </w:r>
      <w:r>
        <w:rPr>
          <w:spacing w:val="-8"/>
          <w:sz w:val="20"/>
        </w:rPr>
        <w:t> </w:t>
      </w:r>
      <w:r>
        <w:rPr>
          <w:sz w:val="20"/>
        </w:rPr>
        <w:t>case</w:t>
      </w:r>
      <w:r>
        <w:rPr>
          <w:spacing w:val="-8"/>
          <w:sz w:val="20"/>
        </w:rPr>
        <w:t> </w:t>
      </w:r>
      <w:r>
        <w:rPr>
          <w:sz w:val="20"/>
        </w:rPr>
        <w:t>in </w:t>
      </w:r>
      <w:r>
        <w:rPr>
          <w:spacing w:val="-4"/>
          <w:sz w:val="20"/>
        </w:rPr>
        <w:t>Wayne</w:t>
      </w:r>
      <w:r>
        <w:rPr>
          <w:spacing w:val="-6"/>
          <w:sz w:val="20"/>
        </w:rPr>
        <w:t> </w:t>
      </w:r>
      <w:r>
        <w:rPr>
          <w:sz w:val="20"/>
        </w:rPr>
        <w:t>County</w:t>
      </w:r>
      <w:r>
        <w:rPr>
          <w:spacing w:val="-6"/>
          <w:sz w:val="20"/>
        </w:rPr>
        <w:t> </w:t>
      </w:r>
      <w:r>
        <w:rPr>
          <w:spacing w:val="-3"/>
          <w:sz w:val="20"/>
        </w:rPr>
        <w:t>Circuit</w:t>
      </w:r>
      <w:r>
        <w:rPr>
          <w:spacing w:val="-5"/>
          <w:sz w:val="20"/>
        </w:rPr>
        <w:t> </w:t>
      </w:r>
      <w:r>
        <w:rPr>
          <w:sz w:val="20"/>
        </w:rPr>
        <w:t>Court,</w:t>
      </w:r>
      <w:r>
        <w:rPr>
          <w:spacing w:val="-6"/>
          <w:sz w:val="20"/>
        </w:rPr>
        <w:t> </w:t>
      </w:r>
      <w:r>
        <w:rPr>
          <w:sz w:val="20"/>
        </w:rPr>
        <w:t>Detroit.</w:t>
      </w:r>
      <w:r>
        <w:rPr>
          <w:spacing w:val="-6"/>
          <w:sz w:val="20"/>
        </w:rPr>
        <w:t> </w:t>
      </w:r>
      <w:r>
        <w:rPr>
          <w:sz w:val="20"/>
        </w:rPr>
        <w:t>She</w:t>
      </w:r>
      <w:r>
        <w:rPr>
          <w:spacing w:val="-5"/>
          <w:sz w:val="20"/>
        </w:rPr>
        <w:t> </w:t>
      </w:r>
      <w:r>
        <w:rPr>
          <w:spacing w:val="-2"/>
          <w:sz w:val="20"/>
        </w:rPr>
        <w:t>welcomed</w:t>
      </w:r>
      <w:r>
        <w:rPr>
          <w:spacing w:val="-6"/>
          <w:sz w:val="20"/>
        </w:rPr>
        <w:t> </w:t>
      </w:r>
      <w:r>
        <w:rPr>
          <w:sz w:val="20"/>
        </w:rPr>
        <w:t>the</w:t>
      </w:r>
      <w:r>
        <w:rPr>
          <w:spacing w:val="-6"/>
          <w:sz w:val="20"/>
        </w:rPr>
        <w:t> </w:t>
      </w:r>
      <w:r>
        <w:rPr>
          <w:sz w:val="20"/>
        </w:rPr>
        <w:t>chance</w:t>
      </w:r>
      <w:r>
        <w:rPr>
          <w:spacing w:val="-5"/>
          <w:sz w:val="20"/>
        </w:rPr>
        <w:t> </w:t>
      </w:r>
      <w:r>
        <w:rPr>
          <w:sz w:val="20"/>
        </w:rPr>
        <w:t>to</w:t>
      </w:r>
      <w:r>
        <w:rPr>
          <w:spacing w:val="-6"/>
          <w:sz w:val="20"/>
        </w:rPr>
        <w:t> </w:t>
      </w:r>
      <w:r>
        <w:rPr>
          <w:sz w:val="20"/>
        </w:rPr>
        <w:t>be</w:t>
      </w:r>
      <w:r>
        <w:rPr>
          <w:spacing w:val="-6"/>
          <w:sz w:val="20"/>
        </w:rPr>
        <w:t> </w:t>
      </w:r>
      <w:r>
        <w:rPr>
          <w:spacing w:val="-4"/>
          <w:sz w:val="20"/>
        </w:rPr>
        <w:t>involved:</w:t>
      </w:r>
    </w:p>
    <w:p>
      <w:pPr>
        <w:spacing w:line="208" w:lineRule="auto" w:before="120"/>
        <w:ind w:left="2157" w:right="1335" w:firstLine="0"/>
        <w:jc w:val="left"/>
        <w:rPr>
          <w:sz w:val="11"/>
        </w:rPr>
      </w:pPr>
      <w:r>
        <w:rPr>
          <w:sz w:val="19"/>
        </w:rPr>
        <w:t>‘I’ve got a lot of friends that are deaf and have never served jury duty before,’ Straub told the </w:t>
      </w:r>
      <w:r>
        <w:rPr>
          <w:i/>
          <w:sz w:val="19"/>
        </w:rPr>
        <w:t>Free Press </w:t>
      </w:r>
      <w:r>
        <w:rPr>
          <w:sz w:val="19"/>
        </w:rPr>
        <w:t>through an interpreter. ‘So I’m kind of the rock star in that way’.</w:t>
      </w:r>
      <w:r>
        <w:rPr>
          <w:position w:val="6"/>
          <w:sz w:val="11"/>
        </w:rPr>
        <w:t>60</w:t>
      </w:r>
    </w:p>
    <w:p>
      <w:pPr>
        <w:pStyle w:val="ListParagraph"/>
        <w:numPr>
          <w:ilvl w:val="1"/>
          <w:numId w:val="12"/>
        </w:numPr>
        <w:tabs>
          <w:tab w:pos="1761" w:val="left" w:leader="none"/>
          <w:tab w:pos="1762" w:val="left" w:leader="none"/>
        </w:tabs>
        <w:spacing w:line="206" w:lineRule="auto" w:before="124" w:after="0"/>
        <w:ind w:left="1761" w:right="1403" w:hanging="794"/>
        <w:jc w:val="left"/>
        <w:rPr>
          <w:sz w:val="11"/>
        </w:rPr>
      </w:pPr>
      <w:r>
        <w:rPr>
          <w:sz w:val="20"/>
        </w:rPr>
        <w:t>In</w:t>
      </w:r>
      <w:r>
        <w:rPr>
          <w:spacing w:val="-9"/>
          <w:sz w:val="20"/>
        </w:rPr>
        <w:t> </w:t>
      </w:r>
      <w:r>
        <w:rPr>
          <w:sz w:val="20"/>
        </w:rPr>
        <w:t>this</w:t>
      </w:r>
      <w:r>
        <w:rPr>
          <w:spacing w:val="-8"/>
          <w:sz w:val="20"/>
        </w:rPr>
        <w:t> </w:t>
      </w:r>
      <w:r>
        <w:rPr>
          <w:sz w:val="20"/>
        </w:rPr>
        <w:t>trial</w:t>
      </w:r>
      <w:r>
        <w:rPr>
          <w:spacing w:val="-8"/>
          <w:sz w:val="20"/>
        </w:rPr>
        <w:t> </w:t>
      </w:r>
      <w:r>
        <w:rPr>
          <w:sz w:val="20"/>
        </w:rPr>
        <w:t>in</w:t>
      </w:r>
      <w:r>
        <w:rPr>
          <w:spacing w:val="-8"/>
          <w:sz w:val="20"/>
        </w:rPr>
        <w:t> </w:t>
      </w:r>
      <w:r>
        <w:rPr>
          <w:sz w:val="20"/>
        </w:rPr>
        <w:t>Detroit,</w:t>
      </w:r>
      <w:r>
        <w:rPr>
          <w:spacing w:val="-8"/>
          <w:sz w:val="20"/>
        </w:rPr>
        <w:t> </w:t>
      </w:r>
      <w:r>
        <w:rPr>
          <w:sz w:val="20"/>
        </w:rPr>
        <w:t>it</w:t>
      </w:r>
      <w:r>
        <w:rPr>
          <w:spacing w:val="-8"/>
          <w:sz w:val="20"/>
        </w:rPr>
        <w:t> </w:t>
      </w:r>
      <w:r>
        <w:rPr>
          <w:sz w:val="20"/>
        </w:rPr>
        <w:t>was</w:t>
      </w:r>
      <w:r>
        <w:rPr>
          <w:spacing w:val="-8"/>
          <w:sz w:val="20"/>
        </w:rPr>
        <w:t> </w:t>
      </w:r>
      <w:r>
        <w:rPr>
          <w:sz w:val="20"/>
        </w:rPr>
        <w:t>reported</w:t>
      </w:r>
      <w:r>
        <w:rPr>
          <w:spacing w:val="-8"/>
          <w:sz w:val="20"/>
        </w:rPr>
        <w:t> </w:t>
      </w:r>
      <w:r>
        <w:rPr>
          <w:sz w:val="20"/>
        </w:rPr>
        <w:t>that</w:t>
      </w:r>
      <w:r>
        <w:rPr>
          <w:spacing w:val="-8"/>
          <w:sz w:val="20"/>
        </w:rPr>
        <w:t> </w:t>
      </w:r>
      <w:r>
        <w:rPr>
          <w:sz w:val="20"/>
        </w:rPr>
        <w:t>the</w:t>
      </w:r>
      <w:r>
        <w:rPr>
          <w:spacing w:val="-9"/>
          <w:sz w:val="20"/>
        </w:rPr>
        <w:t> </w:t>
      </w:r>
      <w:r>
        <w:rPr>
          <w:spacing w:val="-3"/>
          <w:sz w:val="20"/>
        </w:rPr>
        <w:t>interpreters</w:t>
      </w:r>
      <w:r>
        <w:rPr>
          <w:spacing w:val="-8"/>
          <w:sz w:val="20"/>
        </w:rPr>
        <w:t> </w:t>
      </w:r>
      <w:r>
        <w:rPr>
          <w:sz w:val="20"/>
        </w:rPr>
        <w:t>took</w:t>
      </w:r>
      <w:r>
        <w:rPr>
          <w:spacing w:val="-8"/>
          <w:sz w:val="20"/>
        </w:rPr>
        <w:t> </w:t>
      </w:r>
      <w:r>
        <w:rPr>
          <w:sz w:val="20"/>
        </w:rPr>
        <w:t>turns</w:t>
      </w:r>
      <w:r>
        <w:rPr>
          <w:spacing w:val="-8"/>
          <w:sz w:val="20"/>
        </w:rPr>
        <w:t> </w:t>
      </w:r>
      <w:r>
        <w:rPr>
          <w:spacing w:val="-3"/>
          <w:sz w:val="20"/>
        </w:rPr>
        <w:t>interpreting</w:t>
      </w:r>
      <w:r>
        <w:rPr>
          <w:spacing w:val="-8"/>
          <w:sz w:val="20"/>
        </w:rPr>
        <w:t> </w:t>
      </w:r>
      <w:r>
        <w:rPr>
          <w:sz w:val="20"/>
        </w:rPr>
        <w:t>for</w:t>
      </w:r>
      <w:r>
        <w:rPr>
          <w:spacing w:val="-8"/>
          <w:sz w:val="20"/>
        </w:rPr>
        <w:t> </w:t>
      </w:r>
      <w:r>
        <w:rPr>
          <w:sz w:val="20"/>
        </w:rPr>
        <w:t>15 to</w:t>
      </w:r>
      <w:r>
        <w:rPr>
          <w:spacing w:val="-9"/>
          <w:sz w:val="20"/>
        </w:rPr>
        <w:t> </w:t>
      </w:r>
      <w:r>
        <w:rPr>
          <w:sz w:val="20"/>
        </w:rPr>
        <w:t>20</w:t>
      </w:r>
      <w:r>
        <w:rPr>
          <w:spacing w:val="-8"/>
          <w:sz w:val="20"/>
        </w:rPr>
        <w:t> </w:t>
      </w:r>
      <w:r>
        <w:rPr>
          <w:sz w:val="20"/>
        </w:rPr>
        <w:t>minutes</w:t>
      </w:r>
      <w:r>
        <w:rPr>
          <w:spacing w:val="-9"/>
          <w:sz w:val="20"/>
        </w:rPr>
        <w:t> </w:t>
      </w:r>
      <w:r>
        <w:rPr>
          <w:sz w:val="20"/>
        </w:rPr>
        <w:t>each.</w:t>
      </w:r>
      <w:r>
        <w:rPr>
          <w:spacing w:val="-8"/>
          <w:sz w:val="20"/>
        </w:rPr>
        <w:t> </w:t>
      </w:r>
      <w:r>
        <w:rPr>
          <w:sz w:val="20"/>
        </w:rPr>
        <w:t>They</w:t>
      </w:r>
      <w:r>
        <w:rPr>
          <w:spacing w:val="-9"/>
          <w:sz w:val="20"/>
        </w:rPr>
        <w:t> </w:t>
      </w:r>
      <w:r>
        <w:rPr>
          <w:sz w:val="20"/>
        </w:rPr>
        <w:t>stood</w:t>
      </w:r>
      <w:r>
        <w:rPr>
          <w:spacing w:val="-8"/>
          <w:sz w:val="20"/>
        </w:rPr>
        <w:t> </w:t>
      </w:r>
      <w:r>
        <w:rPr>
          <w:sz w:val="20"/>
        </w:rPr>
        <w:t>at</w:t>
      </w:r>
      <w:r>
        <w:rPr>
          <w:spacing w:val="-8"/>
          <w:sz w:val="20"/>
        </w:rPr>
        <w:t> </w:t>
      </w:r>
      <w:r>
        <w:rPr>
          <w:sz w:val="20"/>
        </w:rPr>
        <w:t>the</w:t>
      </w:r>
      <w:r>
        <w:rPr>
          <w:spacing w:val="-9"/>
          <w:sz w:val="20"/>
        </w:rPr>
        <w:t> </w:t>
      </w:r>
      <w:r>
        <w:rPr>
          <w:spacing w:val="-3"/>
          <w:sz w:val="20"/>
        </w:rPr>
        <w:t>front</w:t>
      </w:r>
      <w:r>
        <w:rPr>
          <w:spacing w:val="-8"/>
          <w:sz w:val="20"/>
        </w:rPr>
        <w:t> </w:t>
      </w:r>
      <w:r>
        <w:rPr>
          <w:sz w:val="20"/>
        </w:rPr>
        <w:t>of</w:t>
      </w:r>
      <w:r>
        <w:rPr>
          <w:spacing w:val="-9"/>
          <w:sz w:val="20"/>
        </w:rPr>
        <w:t> </w:t>
      </w:r>
      <w:r>
        <w:rPr>
          <w:sz w:val="20"/>
        </w:rPr>
        <w:t>the</w:t>
      </w:r>
      <w:r>
        <w:rPr>
          <w:spacing w:val="-8"/>
          <w:sz w:val="20"/>
        </w:rPr>
        <w:t> </w:t>
      </w:r>
      <w:r>
        <w:rPr>
          <w:sz w:val="20"/>
        </w:rPr>
        <w:t>courtroom,</w:t>
      </w:r>
      <w:r>
        <w:rPr>
          <w:spacing w:val="-9"/>
          <w:sz w:val="20"/>
        </w:rPr>
        <w:t> </w:t>
      </w:r>
      <w:r>
        <w:rPr>
          <w:sz w:val="20"/>
        </w:rPr>
        <w:t>near</w:t>
      </w:r>
      <w:r>
        <w:rPr>
          <w:spacing w:val="-8"/>
          <w:sz w:val="20"/>
        </w:rPr>
        <w:t> </w:t>
      </w:r>
      <w:r>
        <w:rPr>
          <w:sz w:val="20"/>
        </w:rPr>
        <w:t>the</w:t>
      </w:r>
      <w:r>
        <w:rPr>
          <w:spacing w:val="-8"/>
          <w:sz w:val="20"/>
        </w:rPr>
        <w:t> </w:t>
      </w:r>
      <w:r>
        <w:rPr>
          <w:sz w:val="20"/>
        </w:rPr>
        <w:t>court</w:t>
      </w:r>
      <w:r>
        <w:rPr>
          <w:spacing w:val="-9"/>
          <w:sz w:val="20"/>
        </w:rPr>
        <w:t> </w:t>
      </w:r>
      <w:r>
        <w:rPr>
          <w:spacing w:val="-3"/>
          <w:sz w:val="20"/>
        </w:rPr>
        <w:t>reporter. </w:t>
      </w:r>
      <w:r>
        <w:rPr>
          <w:sz w:val="20"/>
        </w:rPr>
        <w:t>It</w:t>
      </w:r>
      <w:r>
        <w:rPr>
          <w:spacing w:val="-11"/>
          <w:sz w:val="20"/>
        </w:rPr>
        <w:t> </w:t>
      </w:r>
      <w:r>
        <w:rPr>
          <w:sz w:val="20"/>
        </w:rPr>
        <w:t>was</w:t>
      </w:r>
      <w:r>
        <w:rPr>
          <w:spacing w:val="-11"/>
          <w:sz w:val="20"/>
        </w:rPr>
        <w:t> </w:t>
      </w:r>
      <w:r>
        <w:rPr>
          <w:sz w:val="20"/>
        </w:rPr>
        <w:t>noted</w:t>
      </w:r>
      <w:r>
        <w:rPr>
          <w:spacing w:val="-11"/>
          <w:sz w:val="20"/>
        </w:rPr>
        <w:t> </w:t>
      </w:r>
      <w:r>
        <w:rPr>
          <w:sz w:val="20"/>
        </w:rPr>
        <w:t>that</w:t>
      </w:r>
      <w:r>
        <w:rPr>
          <w:spacing w:val="-10"/>
          <w:sz w:val="20"/>
        </w:rPr>
        <w:t> </w:t>
      </w:r>
      <w:r>
        <w:rPr>
          <w:sz w:val="20"/>
        </w:rPr>
        <w:t>during</w:t>
      </w:r>
      <w:r>
        <w:rPr>
          <w:spacing w:val="-11"/>
          <w:sz w:val="20"/>
        </w:rPr>
        <w:t> </w:t>
      </w:r>
      <w:r>
        <w:rPr>
          <w:sz w:val="20"/>
        </w:rPr>
        <w:t>proceedings</w:t>
      </w:r>
      <w:r>
        <w:rPr>
          <w:spacing w:val="-11"/>
          <w:sz w:val="20"/>
        </w:rPr>
        <w:t> </w:t>
      </w:r>
      <w:r>
        <w:rPr>
          <w:sz w:val="20"/>
        </w:rPr>
        <w:t>Ms</w:t>
      </w:r>
      <w:r>
        <w:rPr>
          <w:spacing w:val="-10"/>
          <w:sz w:val="20"/>
        </w:rPr>
        <w:t> </w:t>
      </w:r>
      <w:r>
        <w:rPr>
          <w:sz w:val="20"/>
        </w:rPr>
        <w:t>Straub’s</w:t>
      </w:r>
      <w:r>
        <w:rPr>
          <w:spacing w:val="-11"/>
          <w:sz w:val="20"/>
        </w:rPr>
        <w:t> </w:t>
      </w:r>
      <w:r>
        <w:rPr>
          <w:spacing w:val="-4"/>
          <w:sz w:val="20"/>
        </w:rPr>
        <w:t>eyes</w:t>
      </w:r>
      <w:r>
        <w:rPr>
          <w:spacing w:val="-11"/>
          <w:sz w:val="20"/>
        </w:rPr>
        <w:t> </w:t>
      </w:r>
      <w:r>
        <w:rPr>
          <w:sz w:val="20"/>
        </w:rPr>
        <w:t>‘shifted</w:t>
      </w:r>
      <w:r>
        <w:rPr>
          <w:spacing w:val="-10"/>
          <w:sz w:val="20"/>
        </w:rPr>
        <w:t> </w:t>
      </w:r>
      <w:r>
        <w:rPr>
          <w:sz w:val="20"/>
        </w:rPr>
        <w:t>between</w:t>
      </w:r>
      <w:r>
        <w:rPr>
          <w:spacing w:val="-11"/>
          <w:sz w:val="20"/>
        </w:rPr>
        <w:t> </w:t>
      </w:r>
      <w:r>
        <w:rPr>
          <w:sz w:val="20"/>
        </w:rPr>
        <w:t>witnesses</w:t>
      </w:r>
      <w:r>
        <w:rPr>
          <w:spacing w:val="-11"/>
          <w:sz w:val="20"/>
        </w:rPr>
        <w:t> </w:t>
      </w:r>
      <w:r>
        <w:rPr>
          <w:sz w:val="20"/>
        </w:rPr>
        <w:t>on the stand, exhibits displayed on a </w:t>
      </w:r>
      <w:r>
        <w:rPr>
          <w:spacing w:val="2"/>
          <w:sz w:val="20"/>
        </w:rPr>
        <w:t>TV </w:t>
      </w:r>
      <w:r>
        <w:rPr>
          <w:sz w:val="20"/>
        </w:rPr>
        <w:t>screen and sign language </w:t>
      </w:r>
      <w:r>
        <w:rPr>
          <w:spacing w:val="-4"/>
          <w:sz w:val="20"/>
        </w:rPr>
        <w:t>interpreters’. </w:t>
      </w:r>
      <w:r>
        <w:rPr>
          <w:sz w:val="20"/>
        </w:rPr>
        <w:t>About deliberation Ms Straub said, ‘I did </w:t>
      </w:r>
      <w:r>
        <w:rPr>
          <w:spacing w:val="-4"/>
          <w:sz w:val="20"/>
        </w:rPr>
        <w:t>have </w:t>
      </w:r>
      <w:r>
        <w:rPr>
          <w:sz w:val="20"/>
        </w:rPr>
        <w:t>an </w:t>
      </w:r>
      <w:r>
        <w:rPr>
          <w:spacing w:val="-3"/>
          <w:sz w:val="20"/>
        </w:rPr>
        <w:t>interpreter </w:t>
      </w:r>
      <w:r>
        <w:rPr>
          <w:sz w:val="20"/>
        </w:rPr>
        <w:t>there while </w:t>
      </w:r>
      <w:r>
        <w:rPr>
          <w:spacing w:val="-3"/>
          <w:sz w:val="20"/>
        </w:rPr>
        <w:t>we </w:t>
      </w:r>
      <w:r>
        <w:rPr>
          <w:sz w:val="20"/>
        </w:rPr>
        <w:t>discussed and deliberated</w:t>
      </w:r>
      <w:r>
        <w:rPr>
          <w:spacing w:val="-5"/>
          <w:sz w:val="20"/>
        </w:rPr>
        <w:t> </w:t>
      </w:r>
      <w:r>
        <w:rPr>
          <w:sz w:val="20"/>
        </w:rPr>
        <w:t>…</w:t>
      </w:r>
      <w:r>
        <w:rPr>
          <w:spacing w:val="-4"/>
          <w:sz w:val="20"/>
        </w:rPr>
        <w:t> </w:t>
      </w:r>
      <w:r>
        <w:rPr>
          <w:sz w:val="20"/>
        </w:rPr>
        <w:t>The</w:t>
      </w:r>
      <w:r>
        <w:rPr>
          <w:spacing w:val="-5"/>
          <w:sz w:val="20"/>
        </w:rPr>
        <w:t> </w:t>
      </w:r>
      <w:r>
        <w:rPr>
          <w:spacing w:val="-3"/>
          <w:sz w:val="20"/>
        </w:rPr>
        <w:t>interpreter</w:t>
      </w:r>
      <w:r>
        <w:rPr>
          <w:spacing w:val="-4"/>
          <w:sz w:val="20"/>
        </w:rPr>
        <w:t> </w:t>
      </w:r>
      <w:r>
        <w:rPr>
          <w:sz w:val="20"/>
        </w:rPr>
        <w:t>basically</w:t>
      </w:r>
      <w:r>
        <w:rPr>
          <w:spacing w:val="-5"/>
          <w:sz w:val="20"/>
        </w:rPr>
        <w:t> </w:t>
      </w:r>
      <w:r>
        <w:rPr>
          <w:sz w:val="20"/>
        </w:rPr>
        <w:t>acts</w:t>
      </w:r>
      <w:r>
        <w:rPr>
          <w:spacing w:val="-4"/>
          <w:sz w:val="20"/>
        </w:rPr>
        <w:t> </w:t>
      </w:r>
      <w:r>
        <w:rPr>
          <w:sz w:val="20"/>
        </w:rPr>
        <w:t>as</w:t>
      </w:r>
      <w:r>
        <w:rPr>
          <w:spacing w:val="-5"/>
          <w:sz w:val="20"/>
        </w:rPr>
        <w:t> </w:t>
      </w:r>
      <w:r>
        <w:rPr>
          <w:spacing w:val="-3"/>
          <w:sz w:val="20"/>
        </w:rPr>
        <w:t>my</w:t>
      </w:r>
      <w:r>
        <w:rPr>
          <w:spacing w:val="-4"/>
          <w:sz w:val="20"/>
        </w:rPr>
        <w:t> </w:t>
      </w:r>
      <w:r>
        <w:rPr>
          <w:spacing w:val="-3"/>
          <w:sz w:val="20"/>
        </w:rPr>
        <w:t>voice</w:t>
      </w:r>
      <w:r>
        <w:rPr>
          <w:spacing w:val="-5"/>
          <w:sz w:val="20"/>
        </w:rPr>
        <w:t> </w:t>
      </w:r>
      <w:r>
        <w:rPr>
          <w:sz w:val="20"/>
        </w:rPr>
        <w:t>and</w:t>
      </w:r>
      <w:r>
        <w:rPr>
          <w:spacing w:val="-4"/>
          <w:sz w:val="20"/>
        </w:rPr>
        <w:t> </w:t>
      </w:r>
      <w:r>
        <w:rPr>
          <w:spacing w:val="-3"/>
          <w:sz w:val="20"/>
        </w:rPr>
        <w:t>my</w:t>
      </w:r>
      <w:r>
        <w:rPr>
          <w:spacing w:val="-5"/>
          <w:sz w:val="20"/>
        </w:rPr>
        <w:t> </w:t>
      </w:r>
      <w:r>
        <w:rPr>
          <w:spacing w:val="-4"/>
          <w:sz w:val="20"/>
        </w:rPr>
        <w:t>ears’.</w:t>
      </w:r>
      <w:r>
        <w:rPr>
          <w:spacing w:val="-4"/>
          <w:position w:val="7"/>
          <w:sz w:val="11"/>
        </w:rPr>
        <w:t>61</w:t>
      </w:r>
    </w:p>
    <w:p>
      <w:pPr>
        <w:pStyle w:val="ListParagraph"/>
        <w:numPr>
          <w:ilvl w:val="1"/>
          <w:numId w:val="12"/>
        </w:numPr>
        <w:tabs>
          <w:tab w:pos="1761" w:val="left" w:leader="none"/>
          <w:tab w:pos="1762" w:val="left" w:leader="none"/>
          <w:tab w:pos="3804" w:val="left" w:leader="dot"/>
        </w:tabs>
        <w:spacing w:line="206" w:lineRule="auto" w:before="127" w:after="0"/>
        <w:ind w:left="1761" w:right="1458" w:hanging="794"/>
        <w:jc w:val="left"/>
        <w:rPr>
          <w:sz w:val="11"/>
        </w:rPr>
      </w:pPr>
      <w:r>
        <w:rPr>
          <w:sz w:val="20"/>
        </w:rPr>
        <w:t>Laurie Finch, owner of University </w:t>
      </w:r>
      <w:r>
        <w:rPr>
          <w:spacing w:val="-4"/>
          <w:sz w:val="20"/>
        </w:rPr>
        <w:t>Translators </w:t>
      </w:r>
      <w:r>
        <w:rPr>
          <w:sz w:val="20"/>
        </w:rPr>
        <w:t>Services, explained in a media report about</w:t>
      </w:r>
      <w:r>
        <w:rPr>
          <w:spacing w:val="-11"/>
          <w:sz w:val="20"/>
        </w:rPr>
        <w:t> </w:t>
      </w:r>
      <w:r>
        <w:rPr>
          <w:sz w:val="20"/>
        </w:rPr>
        <w:t>the</w:t>
      </w:r>
      <w:r>
        <w:rPr>
          <w:spacing w:val="-10"/>
          <w:sz w:val="20"/>
        </w:rPr>
        <w:t> </w:t>
      </w:r>
      <w:r>
        <w:rPr>
          <w:sz w:val="20"/>
        </w:rPr>
        <w:t>case</w:t>
      </w:r>
      <w:r>
        <w:rPr>
          <w:spacing w:val="-11"/>
          <w:sz w:val="20"/>
        </w:rPr>
        <w:t> </w:t>
      </w:r>
      <w:r>
        <w:rPr>
          <w:sz w:val="20"/>
        </w:rPr>
        <w:t>that</w:t>
      </w:r>
      <w:r>
        <w:rPr>
          <w:spacing w:val="-10"/>
          <w:sz w:val="20"/>
        </w:rPr>
        <w:t> </w:t>
      </w:r>
      <w:r>
        <w:rPr>
          <w:sz w:val="20"/>
        </w:rPr>
        <w:t>the</w:t>
      </w:r>
      <w:r>
        <w:rPr>
          <w:spacing w:val="-11"/>
          <w:sz w:val="20"/>
        </w:rPr>
        <w:t> </w:t>
      </w:r>
      <w:r>
        <w:rPr>
          <w:spacing w:val="-3"/>
          <w:sz w:val="20"/>
        </w:rPr>
        <w:t>interpreters</w:t>
      </w:r>
      <w:r>
        <w:rPr>
          <w:spacing w:val="-10"/>
          <w:sz w:val="20"/>
        </w:rPr>
        <w:t> </w:t>
      </w:r>
      <w:r>
        <w:rPr>
          <w:sz w:val="20"/>
        </w:rPr>
        <w:t>‘don’t</w:t>
      </w:r>
      <w:r>
        <w:rPr>
          <w:spacing w:val="-11"/>
          <w:sz w:val="20"/>
        </w:rPr>
        <w:t> </w:t>
      </w:r>
      <w:r>
        <w:rPr>
          <w:sz w:val="20"/>
        </w:rPr>
        <w:t>interject</w:t>
      </w:r>
      <w:r>
        <w:rPr>
          <w:spacing w:val="-10"/>
          <w:sz w:val="20"/>
        </w:rPr>
        <w:t> </w:t>
      </w:r>
      <w:r>
        <w:rPr>
          <w:sz w:val="20"/>
        </w:rPr>
        <w:t>an</w:t>
      </w:r>
      <w:r>
        <w:rPr>
          <w:spacing w:val="-11"/>
          <w:sz w:val="20"/>
        </w:rPr>
        <w:t> </w:t>
      </w:r>
      <w:r>
        <w:rPr>
          <w:sz w:val="20"/>
        </w:rPr>
        <w:t>opinion,</w:t>
      </w:r>
      <w:r>
        <w:rPr>
          <w:spacing w:val="-10"/>
          <w:sz w:val="20"/>
        </w:rPr>
        <w:t> </w:t>
      </w:r>
      <w:r>
        <w:rPr>
          <w:sz w:val="20"/>
        </w:rPr>
        <w:t>they</w:t>
      </w:r>
      <w:r>
        <w:rPr>
          <w:spacing w:val="-11"/>
          <w:sz w:val="20"/>
        </w:rPr>
        <w:t> </w:t>
      </w:r>
      <w:r>
        <w:rPr>
          <w:sz w:val="20"/>
        </w:rPr>
        <w:t>don’t</w:t>
      </w:r>
      <w:r>
        <w:rPr>
          <w:spacing w:val="-10"/>
          <w:sz w:val="20"/>
        </w:rPr>
        <w:t> </w:t>
      </w:r>
      <w:r>
        <w:rPr>
          <w:sz w:val="20"/>
        </w:rPr>
        <w:t>offer</w:t>
      </w:r>
      <w:r>
        <w:rPr>
          <w:spacing w:val="-11"/>
          <w:sz w:val="20"/>
        </w:rPr>
        <w:t> </w:t>
      </w:r>
      <w:r>
        <w:rPr>
          <w:spacing w:val="-3"/>
          <w:sz w:val="20"/>
        </w:rPr>
        <w:t>advice, </w:t>
      </w:r>
      <w:r>
        <w:rPr>
          <w:sz w:val="20"/>
        </w:rPr>
        <w:t>they</w:t>
      </w:r>
      <w:r>
        <w:rPr>
          <w:spacing w:val="-7"/>
          <w:sz w:val="20"/>
        </w:rPr>
        <w:t> </w:t>
      </w:r>
      <w:r>
        <w:rPr>
          <w:sz w:val="20"/>
        </w:rPr>
        <w:t>don’t</w:t>
      </w:r>
      <w:r>
        <w:rPr>
          <w:spacing w:val="-6"/>
          <w:sz w:val="20"/>
        </w:rPr>
        <w:t> </w:t>
      </w:r>
      <w:r>
        <w:rPr>
          <w:spacing w:val="-3"/>
          <w:sz w:val="20"/>
        </w:rPr>
        <w:t>advocate.</w:t>
        <w:tab/>
      </w:r>
      <w:r>
        <w:rPr>
          <w:sz w:val="20"/>
        </w:rPr>
        <w:t>They strictly</w:t>
      </w:r>
      <w:r>
        <w:rPr>
          <w:spacing w:val="-8"/>
          <w:sz w:val="20"/>
        </w:rPr>
        <w:t> </w:t>
      </w:r>
      <w:r>
        <w:rPr>
          <w:spacing w:val="-3"/>
          <w:sz w:val="20"/>
        </w:rPr>
        <w:t>interpret’.</w:t>
      </w:r>
      <w:r>
        <w:rPr>
          <w:spacing w:val="-3"/>
          <w:position w:val="7"/>
          <w:sz w:val="11"/>
        </w:rPr>
        <w:t>62</w:t>
      </w:r>
    </w:p>
    <w:p>
      <w:pPr>
        <w:pStyle w:val="ListParagraph"/>
        <w:numPr>
          <w:ilvl w:val="1"/>
          <w:numId w:val="12"/>
        </w:numPr>
        <w:tabs>
          <w:tab w:pos="1761" w:val="left" w:leader="none"/>
          <w:tab w:pos="1762" w:val="left" w:leader="none"/>
        </w:tabs>
        <w:spacing w:line="206" w:lineRule="auto" w:before="124" w:after="0"/>
        <w:ind w:left="1761" w:right="1295" w:hanging="794"/>
        <w:jc w:val="left"/>
        <w:rPr>
          <w:sz w:val="20"/>
        </w:rPr>
      </w:pPr>
      <w:r>
        <w:rPr>
          <w:spacing w:val="-4"/>
          <w:sz w:val="20"/>
        </w:rPr>
        <w:t>Wayne</w:t>
      </w:r>
      <w:r>
        <w:rPr>
          <w:spacing w:val="-9"/>
          <w:sz w:val="20"/>
        </w:rPr>
        <w:t> </w:t>
      </w:r>
      <w:r>
        <w:rPr>
          <w:sz w:val="20"/>
        </w:rPr>
        <w:t>County</w:t>
      </w:r>
      <w:r>
        <w:rPr>
          <w:spacing w:val="-8"/>
          <w:sz w:val="20"/>
        </w:rPr>
        <w:t> </w:t>
      </w:r>
      <w:r>
        <w:rPr>
          <w:spacing w:val="-3"/>
          <w:sz w:val="20"/>
        </w:rPr>
        <w:t>Circuit</w:t>
      </w:r>
      <w:r>
        <w:rPr>
          <w:spacing w:val="-8"/>
          <w:sz w:val="20"/>
        </w:rPr>
        <w:t> </w:t>
      </w:r>
      <w:r>
        <w:rPr>
          <w:sz w:val="20"/>
        </w:rPr>
        <w:t>Judge</w:t>
      </w:r>
      <w:r>
        <w:rPr>
          <w:spacing w:val="-9"/>
          <w:sz w:val="20"/>
        </w:rPr>
        <w:t> </w:t>
      </w:r>
      <w:r>
        <w:rPr>
          <w:spacing w:val="-3"/>
          <w:sz w:val="20"/>
        </w:rPr>
        <w:t>Timothy</w:t>
      </w:r>
      <w:r>
        <w:rPr>
          <w:spacing w:val="-8"/>
          <w:sz w:val="20"/>
        </w:rPr>
        <w:t> </w:t>
      </w:r>
      <w:r>
        <w:rPr>
          <w:spacing w:val="-5"/>
          <w:sz w:val="20"/>
        </w:rPr>
        <w:t>Kenny,</w:t>
      </w:r>
      <w:r>
        <w:rPr>
          <w:spacing w:val="-8"/>
          <w:sz w:val="20"/>
        </w:rPr>
        <w:t> </w:t>
      </w:r>
      <w:r>
        <w:rPr>
          <w:sz w:val="20"/>
        </w:rPr>
        <w:t>who</w:t>
      </w:r>
      <w:r>
        <w:rPr>
          <w:spacing w:val="-9"/>
          <w:sz w:val="20"/>
        </w:rPr>
        <w:t> </w:t>
      </w:r>
      <w:r>
        <w:rPr>
          <w:sz w:val="20"/>
        </w:rPr>
        <w:t>presided</w:t>
      </w:r>
      <w:r>
        <w:rPr>
          <w:spacing w:val="-8"/>
          <w:sz w:val="20"/>
        </w:rPr>
        <w:t> </w:t>
      </w:r>
      <w:r>
        <w:rPr>
          <w:spacing w:val="-4"/>
          <w:sz w:val="20"/>
        </w:rPr>
        <w:t>over</w:t>
      </w:r>
      <w:r>
        <w:rPr>
          <w:spacing w:val="-8"/>
          <w:sz w:val="20"/>
        </w:rPr>
        <w:t> </w:t>
      </w:r>
      <w:r>
        <w:rPr>
          <w:sz w:val="20"/>
        </w:rPr>
        <w:t>the</w:t>
      </w:r>
      <w:r>
        <w:rPr>
          <w:spacing w:val="-9"/>
          <w:sz w:val="20"/>
        </w:rPr>
        <w:t> </w:t>
      </w:r>
      <w:r>
        <w:rPr>
          <w:sz w:val="20"/>
        </w:rPr>
        <w:t>trial</w:t>
      </w:r>
      <w:r>
        <w:rPr>
          <w:spacing w:val="-8"/>
          <w:sz w:val="20"/>
        </w:rPr>
        <w:t> </w:t>
      </w:r>
      <w:r>
        <w:rPr>
          <w:sz w:val="20"/>
        </w:rPr>
        <w:t>in</w:t>
      </w:r>
      <w:r>
        <w:rPr>
          <w:spacing w:val="-8"/>
          <w:sz w:val="20"/>
        </w:rPr>
        <w:t> </w:t>
      </w:r>
      <w:r>
        <w:rPr>
          <w:sz w:val="20"/>
        </w:rPr>
        <w:t>Detroit,</w:t>
      </w:r>
      <w:r>
        <w:rPr>
          <w:spacing w:val="-8"/>
          <w:sz w:val="20"/>
        </w:rPr>
        <w:t> </w:t>
      </w:r>
      <w:r>
        <w:rPr>
          <w:sz w:val="20"/>
        </w:rPr>
        <w:t>said the court ‘is </w:t>
      </w:r>
      <w:r>
        <w:rPr>
          <w:spacing w:val="-3"/>
          <w:sz w:val="20"/>
        </w:rPr>
        <w:t>ready </w:t>
      </w:r>
      <w:r>
        <w:rPr>
          <w:sz w:val="20"/>
        </w:rPr>
        <w:t>to accommodate </w:t>
      </w:r>
      <w:r>
        <w:rPr>
          <w:spacing w:val="-3"/>
          <w:sz w:val="20"/>
        </w:rPr>
        <w:t>any </w:t>
      </w:r>
      <w:r>
        <w:rPr>
          <w:sz w:val="20"/>
        </w:rPr>
        <w:t>resident summoned for jury </w:t>
      </w:r>
      <w:r>
        <w:rPr>
          <w:spacing w:val="-3"/>
          <w:sz w:val="20"/>
        </w:rPr>
        <w:t>duty’, </w:t>
      </w:r>
      <w:r>
        <w:rPr>
          <w:sz w:val="20"/>
        </w:rPr>
        <w:t>explaining that:</w:t>
      </w:r>
    </w:p>
    <w:p>
      <w:pPr>
        <w:spacing w:line="208" w:lineRule="auto" w:before="122"/>
        <w:ind w:left="2157" w:right="1335" w:firstLine="0"/>
        <w:jc w:val="left"/>
        <w:rPr>
          <w:sz w:val="11"/>
        </w:rPr>
      </w:pPr>
      <w:r>
        <w:rPr>
          <w:sz w:val="19"/>
        </w:rPr>
        <w:t>We are very interested in making sure Wayne County residents participate in jury service. [...] We are certainly willing to make the appropriate accommodations to ensure that everyone can in fact participate.</w:t>
      </w:r>
      <w:r>
        <w:rPr>
          <w:position w:val="6"/>
          <w:sz w:val="11"/>
        </w:rPr>
        <w:t>63</w:t>
      </w:r>
    </w:p>
    <w:p>
      <w:pPr>
        <w:pStyle w:val="ListParagraph"/>
        <w:numPr>
          <w:ilvl w:val="1"/>
          <w:numId w:val="12"/>
        </w:numPr>
        <w:tabs>
          <w:tab w:pos="1761" w:val="left" w:leader="none"/>
          <w:tab w:pos="1762" w:val="left" w:leader="none"/>
        </w:tabs>
        <w:spacing w:line="206" w:lineRule="auto" w:before="124" w:after="0"/>
        <w:ind w:left="1761" w:right="1410" w:hanging="794"/>
        <w:jc w:val="left"/>
        <w:rPr>
          <w:sz w:val="20"/>
        </w:rPr>
      </w:pPr>
      <w:r>
        <w:rPr>
          <w:sz w:val="20"/>
        </w:rPr>
        <w:t>The Jury Commissioner for Monroe County suggested that it </w:t>
      </w:r>
      <w:r>
        <w:rPr>
          <w:spacing w:val="-3"/>
          <w:sz w:val="20"/>
        </w:rPr>
        <w:t>may </w:t>
      </w:r>
      <w:r>
        <w:rPr>
          <w:sz w:val="20"/>
        </w:rPr>
        <w:t>be more difficult for</w:t>
      </w:r>
      <w:r>
        <w:rPr>
          <w:spacing w:val="-8"/>
          <w:sz w:val="20"/>
        </w:rPr>
        <w:t> </w:t>
      </w:r>
      <w:r>
        <w:rPr>
          <w:sz w:val="20"/>
        </w:rPr>
        <w:t>a</w:t>
      </w:r>
      <w:r>
        <w:rPr>
          <w:spacing w:val="-8"/>
          <w:sz w:val="20"/>
        </w:rPr>
        <w:t> </w:t>
      </w:r>
      <w:r>
        <w:rPr>
          <w:sz w:val="20"/>
        </w:rPr>
        <w:t>blind</w:t>
      </w:r>
      <w:r>
        <w:rPr>
          <w:spacing w:val="-8"/>
          <w:sz w:val="20"/>
        </w:rPr>
        <w:t> </w:t>
      </w:r>
      <w:r>
        <w:rPr>
          <w:sz w:val="20"/>
        </w:rPr>
        <w:t>person</w:t>
      </w:r>
      <w:r>
        <w:rPr>
          <w:spacing w:val="-8"/>
          <w:sz w:val="20"/>
        </w:rPr>
        <w:t> </w:t>
      </w:r>
      <w:r>
        <w:rPr>
          <w:sz w:val="20"/>
        </w:rPr>
        <w:t>to</w:t>
      </w:r>
      <w:r>
        <w:rPr>
          <w:spacing w:val="-8"/>
          <w:sz w:val="20"/>
        </w:rPr>
        <w:t> </w:t>
      </w:r>
      <w:r>
        <w:rPr>
          <w:sz w:val="20"/>
        </w:rPr>
        <w:t>serve</w:t>
      </w:r>
      <w:r>
        <w:rPr>
          <w:spacing w:val="-8"/>
          <w:sz w:val="20"/>
        </w:rPr>
        <w:t> </w:t>
      </w:r>
      <w:r>
        <w:rPr>
          <w:sz w:val="20"/>
        </w:rPr>
        <w:t>as</w:t>
      </w:r>
      <w:r>
        <w:rPr>
          <w:spacing w:val="-8"/>
          <w:sz w:val="20"/>
        </w:rPr>
        <w:t> </w:t>
      </w:r>
      <w:r>
        <w:rPr>
          <w:sz w:val="20"/>
        </w:rPr>
        <w:t>a</w:t>
      </w:r>
      <w:r>
        <w:rPr>
          <w:spacing w:val="-8"/>
          <w:sz w:val="20"/>
        </w:rPr>
        <w:t> </w:t>
      </w:r>
      <w:r>
        <w:rPr>
          <w:sz w:val="20"/>
        </w:rPr>
        <w:t>juror</w:t>
      </w:r>
      <w:r>
        <w:rPr>
          <w:spacing w:val="-8"/>
          <w:sz w:val="20"/>
        </w:rPr>
        <w:t> </w:t>
      </w:r>
      <w:r>
        <w:rPr>
          <w:sz w:val="20"/>
        </w:rPr>
        <w:t>where</w:t>
      </w:r>
      <w:r>
        <w:rPr>
          <w:spacing w:val="-7"/>
          <w:sz w:val="20"/>
        </w:rPr>
        <w:t> </w:t>
      </w:r>
      <w:r>
        <w:rPr>
          <w:sz w:val="20"/>
        </w:rPr>
        <w:t>a</w:t>
      </w:r>
      <w:r>
        <w:rPr>
          <w:spacing w:val="-8"/>
          <w:sz w:val="20"/>
        </w:rPr>
        <w:t> </w:t>
      </w:r>
      <w:r>
        <w:rPr>
          <w:sz w:val="20"/>
        </w:rPr>
        <w:t>juror</w:t>
      </w:r>
      <w:r>
        <w:rPr>
          <w:spacing w:val="-8"/>
          <w:sz w:val="20"/>
        </w:rPr>
        <w:t> </w:t>
      </w:r>
      <w:r>
        <w:rPr>
          <w:sz w:val="20"/>
        </w:rPr>
        <w:t>needs</w:t>
      </w:r>
      <w:r>
        <w:rPr>
          <w:spacing w:val="-8"/>
          <w:sz w:val="20"/>
        </w:rPr>
        <w:t> </w:t>
      </w:r>
      <w:r>
        <w:rPr>
          <w:sz w:val="20"/>
        </w:rPr>
        <w:t>to</w:t>
      </w:r>
      <w:r>
        <w:rPr>
          <w:spacing w:val="-8"/>
          <w:sz w:val="20"/>
        </w:rPr>
        <w:t> </w:t>
      </w:r>
      <w:r>
        <w:rPr>
          <w:spacing w:val="-3"/>
          <w:sz w:val="20"/>
        </w:rPr>
        <w:t>watch</w:t>
      </w:r>
      <w:r>
        <w:rPr>
          <w:spacing w:val="-8"/>
          <w:sz w:val="20"/>
        </w:rPr>
        <w:t> </w:t>
      </w:r>
      <w:r>
        <w:rPr>
          <w:sz w:val="20"/>
        </w:rPr>
        <w:t>videos</w:t>
      </w:r>
      <w:r>
        <w:rPr>
          <w:spacing w:val="-8"/>
          <w:sz w:val="20"/>
        </w:rPr>
        <w:t> </w:t>
      </w:r>
      <w:r>
        <w:rPr>
          <w:sz w:val="20"/>
        </w:rPr>
        <w:t>and</w:t>
      </w:r>
      <w:r>
        <w:rPr>
          <w:spacing w:val="-8"/>
          <w:sz w:val="20"/>
        </w:rPr>
        <w:t> </w:t>
      </w:r>
      <w:r>
        <w:rPr>
          <w:spacing w:val="-3"/>
          <w:sz w:val="20"/>
        </w:rPr>
        <w:t>analyse </w:t>
      </w:r>
      <w:r>
        <w:rPr>
          <w:sz w:val="20"/>
        </w:rPr>
        <w:t>photographic</w:t>
      </w:r>
      <w:r>
        <w:rPr>
          <w:spacing w:val="-5"/>
          <w:sz w:val="20"/>
        </w:rPr>
        <w:t> </w:t>
      </w:r>
      <w:r>
        <w:rPr>
          <w:sz w:val="20"/>
        </w:rPr>
        <w:t>exhibits.</w:t>
      </w:r>
    </w:p>
    <w:p>
      <w:pPr>
        <w:pStyle w:val="ListParagraph"/>
        <w:numPr>
          <w:ilvl w:val="1"/>
          <w:numId w:val="12"/>
        </w:numPr>
        <w:tabs>
          <w:tab w:pos="1761" w:val="left" w:leader="none"/>
          <w:tab w:pos="1762" w:val="left" w:leader="none"/>
        </w:tabs>
        <w:spacing w:line="206" w:lineRule="auto" w:before="123" w:after="0"/>
        <w:ind w:left="1761" w:right="1235" w:hanging="794"/>
        <w:jc w:val="left"/>
        <w:rPr>
          <w:sz w:val="11"/>
        </w:rPr>
      </w:pPr>
      <w:r>
        <w:rPr>
          <w:sz w:val="20"/>
        </w:rPr>
        <w:t>The Jury Commissioner </w:t>
      </w:r>
      <w:r>
        <w:rPr>
          <w:spacing w:val="-3"/>
          <w:sz w:val="20"/>
        </w:rPr>
        <w:t>provided </w:t>
      </w:r>
      <w:r>
        <w:rPr>
          <w:sz w:val="20"/>
        </w:rPr>
        <w:t>an </w:t>
      </w:r>
      <w:r>
        <w:rPr>
          <w:spacing w:val="-3"/>
          <w:sz w:val="20"/>
        </w:rPr>
        <w:t>example </w:t>
      </w:r>
      <w:r>
        <w:rPr>
          <w:sz w:val="20"/>
        </w:rPr>
        <w:t>of a blind juror who served in a minor criminal trial in which the accused was charged with violating a protection </w:t>
      </w:r>
      <w:r>
        <w:rPr>
          <w:spacing w:val="-4"/>
          <w:sz w:val="20"/>
        </w:rPr>
        <w:t>order. </w:t>
      </w:r>
      <w:r>
        <w:rPr>
          <w:sz w:val="20"/>
        </w:rPr>
        <w:t>The question in issue was whether the order had been breached or not. </w:t>
      </w:r>
      <w:r>
        <w:rPr>
          <w:spacing w:val="-3"/>
          <w:sz w:val="20"/>
        </w:rPr>
        <w:t>Importantly, </w:t>
      </w:r>
      <w:r>
        <w:rPr>
          <w:sz w:val="20"/>
        </w:rPr>
        <w:t>‘there was no visual evidence that the juror had to </w:t>
      </w:r>
      <w:r>
        <w:rPr>
          <w:spacing w:val="-3"/>
          <w:sz w:val="20"/>
        </w:rPr>
        <w:t>evaluate. </w:t>
      </w:r>
      <w:r>
        <w:rPr>
          <w:sz w:val="20"/>
        </w:rPr>
        <w:t>The judge </w:t>
      </w:r>
      <w:r>
        <w:rPr>
          <w:spacing w:val="-3"/>
          <w:sz w:val="20"/>
        </w:rPr>
        <w:t>read </w:t>
      </w:r>
      <w:r>
        <w:rPr>
          <w:sz w:val="20"/>
        </w:rPr>
        <w:t>out the contents of</w:t>
      </w:r>
      <w:r>
        <w:rPr>
          <w:spacing w:val="-13"/>
          <w:sz w:val="20"/>
        </w:rPr>
        <w:t> </w:t>
      </w:r>
      <w:r>
        <w:rPr>
          <w:sz w:val="20"/>
        </w:rPr>
        <w:t>the</w:t>
      </w:r>
      <w:r>
        <w:rPr>
          <w:spacing w:val="-12"/>
          <w:sz w:val="20"/>
        </w:rPr>
        <w:t> </w:t>
      </w:r>
      <w:r>
        <w:rPr>
          <w:sz w:val="20"/>
        </w:rPr>
        <w:t>protection</w:t>
      </w:r>
      <w:r>
        <w:rPr>
          <w:spacing w:val="-12"/>
          <w:sz w:val="20"/>
        </w:rPr>
        <w:t> </w:t>
      </w:r>
      <w:r>
        <w:rPr>
          <w:sz w:val="20"/>
        </w:rPr>
        <w:t>order</w:t>
      </w:r>
      <w:r>
        <w:rPr>
          <w:spacing w:val="-12"/>
          <w:sz w:val="20"/>
        </w:rPr>
        <w:t> </w:t>
      </w:r>
      <w:r>
        <w:rPr>
          <w:sz w:val="20"/>
        </w:rPr>
        <w:t>to</w:t>
      </w:r>
      <w:r>
        <w:rPr>
          <w:spacing w:val="-13"/>
          <w:sz w:val="20"/>
        </w:rPr>
        <w:t> </w:t>
      </w:r>
      <w:r>
        <w:rPr>
          <w:sz w:val="20"/>
        </w:rPr>
        <w:t>the</w:t>
      </w:r>
      <w:r>
        <w:rPr>
          <w:spacing w:val="-12"/>
          <w:sz w:val="20"/>
        </w:rPr>
        <w:t> </w:t>
      </w:r>
      <w:r>
        <w:rPr>
          <w:sz w:val="20"/>
        </w:rPr>
        <w:t>jury.</w:t>
      </w:r>
      <w:r>
        <w:rPr>
          <w:spacing w:val="-12"/>
          <w:sz w:val="20"/>
        </w:rPr>
        <w:t> </w:t>
      </w:r>
      <w:r>
        <w:rPr>
          <w:sz w:val="20"/>
        </w:rPr>
        <w:t>Court</w:t>
      </w:r>
      <w:r>
        <w:rPr>
          <w:spacing w:val="-12"/>
          <w:sz w:val="20"/>
        </w:rPr>
        <w:t> </w:t>
      </w:r>
      <w:r>
        <w:rPr>
          <w:sz w:val="20"/>
        </w:rPr>
        <w:t>deputies</w:t>
      </w:r>
      <w:r>
        <w:rPr>
          <w:spacing w:val="-13"/>
          <w:sz w:val="20"/>
        </w:rPr>
        <w:t> </w:t>
      </w:r>
      <w:r>
        <w:rPr>
          <w:sz w:val="20"/>
        </w:rPr>
        <w:t>assisted</w:t>
      </w:r>
      <w:r>
        <w:rPr>
          <w:spacing w:val="-12"/>
          <w:sz w:val="20"/>
        </w:rPr>
        <w:t> </w:t>
      </w:r>
      <w:r>
        <w:rPr>
          <w:sz w:val="20"/>
        </w:rPr>
        <w:t>the</w:t>
      </w:r>
      <w:r>
        <w:rPr>
          <w:spacing w:val="-12"/>
          <w:sz w:val="20"/>
        </w:rPr>
        <w:t> </w:t>
      </w:r>
      <w:r>
        <w:rPr>
          <w:sz w:val="20"/>
        </w:rPr>
        <w:t>juror</w:t>
      </w:r>
      <w:r>
        <w:rPr>
          <w:spacing w:val="-12"/>
          <w:sz w:val="20"/>
        </w:rPr>
        <w:t> </w:t>
      </w:r>
      <w:r>
        <w:rPr>
          <w:sz w:val="20"/>
        </w:rPr>
        <w:t>with</w:t>
      </w:r>
      <w:r>
        <w:rPr>
          <w:spacing w:val="-12"/>
          <w:sz w:val="20"/>
        </w:rPr>
        <w:t> </w:t>
      </w:r>
      <w:r>
        <w:rPr>
          <w:sz w:val="20"/>
        </w:rPr>
        <w:t>navigation.</w:t>
      </w:r>
      <w:r>
        <w:rPr>
          <w:spacing w:val="-13"/>
          <w:sz w:val="20"/>
        </w:rPr>
        <w:t> </w:t>
      </w:r>
      <w:r>
        <w:rPr>
          <w:sz w:val="20"/>
        </w:rPr>
        <w:t>The blind juror deliberated with </w:t>
      </w:r>
      <w:r>
        <w:rPr>
          <w:spacing w:val="-2"/>
          <w:sz w:val="20"/>
        </w:rPr>
        <w:t>everyone </w:t>
      </w:r>
      <w:r>
        <w:rPr>
          <w:sz w:val="20"/>
        </w:rPr>
        <w:t>and helped </w:t>
      </w:r>
      <w:r>
        <w:rPr>
          <w:spacing w:val="-3"/>
          <w:sz w:val="20"/>
        </w:rPr>
        <w:t>reach </w:t>
      </w:r>
      <w:r>
        <w:rPr>
          <w:sz w:val="20"/>
        </w:rPr>
        <w:t>a</w:t>
      </w:r>
      <w:r>
        <w:rPr>
          <w:spacing w:val="-37"/>
          <w:sz w:val="20"/>
        </w:rPr>
        <w:t> </w:t>
      </w:r>
      <w:r>
        <w:rPr>
          <w:spacing w:val="-3"/>
          <w:sz w:val="20"/>
        </w:rPr>
        <w:t>verdict’.</w:t>
      </w:r>
      <w:r>
        <w:rPr>
          <w:spacing w:val="-3"/>
          <w:position w:val="7"/>
          <w:sz w:val="11"/>
        </w:rPr>
        <w:t>64</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6"/>
        </w:rPr>
      </w:pPr>
      <w:r>
        <w:rPr/>
        <w:pict>
          <v:line style="position:absolute;mso-position-horizontal-relative:page;mso-position-vertical-relative:paragraph;z-index:6080;mso-wrap-distance-left:0;mso-wrap-distance-right:0" from="79.370102pt,13.95686pt" to="515.905102pt,13.95686pt" stroked="true" strokeweight="1pt" strokecolor="#b6bdc8">
            <v:stroke dashstyle="solid"/>
            <w10:wrap type="topAndBottom"/>
          </v:line>
        </w:pict>
      </w:r>
    </w:p>
    <w:p>
      <w:pPr>
        <w:pStyle w:val="ListParagraph"/>
        <w:numPr>
          <w:ilvl w:val="0"/>
          <w:numId w:val="71"/>
        </w:numPr>
        <w:tabs>
          <w:tab w:pos="1760" w:val="left" w:leader="none"/>
          <w:tab w:pos="1762" w:val="left" w:leader="none"/>
        </w:tabs>
        <w:spacing w:line="170" w:lineRule="exact" w:before="91" w:after="0"/>
        <w:ind w:left="1761" w:right="0" w:hanging="794"/>
        <w:jc w:val="left"/>
        <w:rPr>
          <w:sz w:val="13"/>
        </w:rPr>
      </w:pPr>
      <w:r>
        <w:rPr>
          <w:spacing w:val="2"/>
          <w:sz w:val="13"/>
        </w:rPr>
        <w:t>Ibid.</w:t>
      </w:r>
    </w:p>
    <w:p>
      <w:pPr>
        <w:pStyle w:val="ListParagraph"/>
        <w:numPr>
          <w:ilvl w:val="0"/>
          <w:numId w:val="71"/>
        </w:numPr>
        <w:tabs>
          <w:tab w:pos="1761" w:val="left" w:leader="none"/>
          <w:tab w:pos="1762" w:val="left" w:leader="none"/>
        </w:tabs>
        <w:spacing w:line="213" w:lineRule="auto" w:before="6" w:after="0"/>
        <w:ind w:left="1761" w:right="1594" w:hanging="794"/>
        <w:jc w:val="left"/>
        <w:rPr>
          <w:sz w:val="13"/>
        </w:rPr>
      </w:pPr>
      <w:r>
        <w:rPr>
          <w:sz w:val="13"/>
        </w:rPr>
        <w:t>Dana Ard, </w:t>
      </w:r>
      <w:r>
        <w:rPr>
          <w:spacing w:val="2"/>
          <w:sz w:val="13"/>
        </w:rPr>
        <w:t>‘My Jury Experience’ </w:t>
      </w:r>
      <w:r>
        <w:rPr>
          <w:sz w:val="13"/>
        </w:rPr>
        <w:t>(2021) 64(7) </w:t>
      </w:r>
      <w:r>
        <w:rPr>
          <w:i/>
          <w:sz w:val="13"/>
        </w:rPr>
        <w:t>Braille Monitor </w:t>
      </w:r>
      <w:r>
        <w:rPr>
          <w:sz w:val="13"/>
        </w:rPr>
        <w:t>&lt;</w:t>
      </w:r>
      <w:hyperlink r:id="rId161">
        <w:r>
          <w:rPr>
            <w:sz w:val="13"/>
          </w:rPr>
          <w:t>https://nfb.org/images/nfb/publications/bm/bm21/bm2107/</w:t>
        </w:r>
      </w:hyperlink>
      <w:hyperlink r:id="rId161">
        <w:r>
          <w:rPr>
            <w:sz w:val="13"/>
          </w:rPr>
          <w:t> bm210713.htm</w:t>
        </w:r>
      </w:hyperlink>
      <w:r>
        <w:rPr>
          <w:sz w:val="13"/>
        </w:rPr>
        <w:t>&gt;.</w:t>
      </w:r>
    </w:p>
    <w:p>
      <w:pPr>
        <w:pStyle w:val="ListParagraph"/>
        <w:numPr>
          <w:ilvl w:val="0"/>
          <w:numId w:val="71"/>
        </w:numPr>
        <w:tabs>
          <w:tab w:pos="1760" w:val="left" w:leader="none"/>
          <w:tab w:pos="1762" w:val="left" w:leader="none"/>
        </w:tabs>
        <w:spacing w:line="213" w:lineRule="auto" w:before="0" w:after="0"/>
        <w:ind w:left="1761" w:right="1282" w:hanging="794"/>
        <w:jc w:val="left"/>
        <w:rPr>
          <w:sz w:val="13"/>
        </w:rPr>
      </w:pPr>
      <w:r>
        <w:rPr>
          <w:sz w:val="13"/>
        </w:rPr>
        <w:t>Elisha </w:t>
      </w:r>
      <w:r>
        <w:rPr>
          <w:spacing w:val="2"/>
          <w:sz w:val="13"/>
        </w:rPr>
        <w:t>Anderson, </w:t>
      </w:r>
      <w:r>
        <w:rPr>
          <w:sz w:val="13"/>
        </w:rPr>
        <w:t>‘Deaf Juror </w:t>
      </w:r>
      <w:r>
        <w:rPr>
          <w:spacing w:val="2"/>
          <w:sz w:val="13"/>
        </w:rPr>
        <w:t>Glad </w:t>
      </w:r>
      <w:r>
        <w:rPr>
          <w:sz w:val="13"/>
        </w:rPr>
        <w:t>to Do Her Duty for Justice’s Sake’, </w:t>
      </w:r>
      <w:r>
        <w:rPr>
          <w:i/>
          <w:sz w:val="13"/>
        </w:rPr>
        <w:t>USA Today </w:t>
      </w:r>
      <w:r>
        <w:rPr>
          <w:sz w:val="13"/>
        </w:rPr>
        <w:t>(online, 10 May 2015) &lt;</w:t>
      </w:r>
      <w:hyperlink r:id="rId151">
        <w:r>
          <w:rPr>
            <w:sz w:val="13"/>
          </w:rPr>
          <w:t>https://eu.usatoday.com/</w:t>
        </w:r>
      </w:hyperlink>
      <w:hyperlink r:id="rId151">
        <w:r>
          <w:rPr>
            <w:sz w:val="13"/>
          </w:rPr>
          <w:t> story/news/nation/2015/05/10/deaf-juror-glad-duty-justices-sake/27068733/</w:t>
        </w:r>
      </w:hyperlink>
      <w:r>
        <w:rPr>
          <w:sz w:val="13"/>
        </w:rPr>
        <w:t>&gt;.</w:t>
      </w:r>
    </w:p>
    <w:p>
      <w:pPr>
        <w:pStyle w:val="ListParagraph"/>
        <w:numPr>
          <w:ilvl w:val="0"/>
          <w:numId w:val="71"/>
        </w:numPr>
        <w:tabs>
          <w:tab w:pos="1761" w:val="left" w:leader="none"/>
          <w:tab w:pos="1762" w:val="left" w:leader="none"/>
        </w:tabs>
        <w:spacing w:line="153" w:lineRule="exact" w:before="0" w:after="0"/>
        <w:ind w:left="1761" w:right="0" w:hanging="794"/>
        <w:jc w:val="left"/>
        <w:rPr>
          <w:sz w:val="13"/>
        </w:rPr>
      </w:pPr>
      <w:r>
        <w:rPr>
          <w:spacing w:val="2"/>
          <w:sz w:val="13"/>
        </w:rPr>
        <w:t>Ibid.</w:t>
      </w:r>
    </w:p>
    <w:p>
      <w:pPr>
        <w:pStyle w:val="ListParagraph"/>
        <w:numPr>
          <w:ilvl w:val="0"/>
          <w:numId w:val="71"/>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71"/>
        </w:numPr>
        <w:tabs>
          <w:tab w:pos="1761" w:val="left" w:leader="none"/>
          <w:tab w:pos="1762" w:val="left" w:leader="none"/>
        </w:tabs>
        <w:spacing w:line="160" w:lineRule="exact" w:before="0" w:after="0"/>
        <w:ind w:left="1761" w:right="0" w:hanging="794"/>
        <w:jc w:val="left"/>
        <w:rPr>
          <w:sz w:val="13"/>
        </w:rPr>
      </w:pPr>
      <w:r>
        <w:rPr/>
        <w:pict>
          <v:shape style="position:absolute;margin-left:548.837585pt;margin-top:3.710249pt;width:13.55pt;height:14.1pt;mso-position-horizontal-relative:page;mso-position-vertical-relative:paragraph;z-index:8152" type="#_x0000_t202" filled="false" stroked="false">
            <v:textbox inset="0,0,0,0">
              <w:txbxContent>
                <w:p>
                  <w:pPr>
                    <w:spacing w:line="282" w:lineRule="exact" w:before="0"/>
                    <w:ind w:left="0" w:right="0" w:firstLine="0"/>
                    <w:jc w:val="left"/>
                    <w:rPr>
                      <w:b/>
                      <w:sz w:val="24"/>
                    </w:rPr>
                  </w:pPr>
                  <w:r>
                    <w:rPr>
                      <w:b/>
                      <w:color w:val="37617A"/>
                      <w:spacing w:val="-3"/>
                      <w:sz w:val="24"/>
                    </w:rPr>
                    <w:t>97</w:t>
                  </w:r>
                </w:p>
              </w:txbxContent>
            </v:textbox>
            <w10:wrap type="none"/>
          </v:shape>
        </w:pict>
      </w:r>
      <w:r>
        <w:rPr>
          <w:spacing w:val="2"/>
          <w:sz w:val="13"/>
        </w:rPr>
        <w:t>Ibid.</w:t>
      </w:r>
    </w:p>
    <w:p>
      <w:pPr>
        <w:pStyle w:val="ListParagraph"/>
        <w:numPr>
          <w:ilvl w:val="0"/>
          <w:numId w:val="71"/>
        </w:numPr>
        <w:tabs>
          <w:tab w:pos="1761" w:val="left" w:leader="none"/>
          <w:tab w:pos="1762" w:val="left" w:leader="none"/>
        </w:tabs>
        <w:spacing w:line="170" w:lineRule="exact" w:before="0" w:after="0"/>
        <w:ind w:left="1761" w:right="0" w:hanging="794"/>
        <w:jc w:val="left"/>
        <w:rPr>
          <w:sz w:val="13"/>
        </w:rPr>
      </w:pP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w:t>
      </w:r>
      <w:r>
        <w:rPr>
          <w:spacing w:val="4"/>
          <w:sz w:val="13"/>
        </w:rPr>
        <w:t> </w:t>
      </w:r>
      <w:r>
        <w:rPr>
          <w:sz w:val="13"/>
        </w:rPr>
        <w:t>States).</w:t>
      </w:r>
    </w:p>
    <w:p>
      <w:pPr>
        <w:spacing w:after="0" w:line="170" w:lineRule="exact"/>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390" w:hanging="794"/>
        <w:jc w:val="left"/>
        <w:rPr>
          <w:sz w:val="20"/>
        </w:rPr>
      </w:pPr>
      <w:bookmarkStart w:name="Inclusive juries in England and Wales" w:id="181"/>
      <w:bookmarkEnd w:id="181"/>
      <w:r>
        <w:rPr/>
      </w:r>
      <w:bookmarkStart w:name="_bookmark71" w:id="182"/>
      <w:bookmarkEnd w:id="182"/>
      <w:r>
        <w:rPr/>
      </w:r>
      <w:bookmarkStart w:name="_bookmark71" w:id="183"/>
      <w:bookmarkEnd w:id="183"/>
      <w:r>
        <w:rPr>
          <w:sz w:val="20"/>
        </w:rPr>
        <w:t>I</w:t>
      </w:r>
      <w:r>
        <w:rPr>
          <w:sz w:val="20"/>
        </w:rPr>
        <w:t>n</w:t>
      </w:r>
      <w:r>
        <w:rPr>
          <w:spacing w:val="-8"/>
          <w:sz w:val="20"/>
        </w:rPr>
        <w:t> </w:t>
      </w:r>
      <w:r>
        <w:rPr>
          <w:sz w:val="20"/>
        </w:rPr>
        <w:t>this</w:t>
      </w:r>
      <w:r>
        <w:rPr>
          <w:spacing w:val="-8"/>
          <w:sz w:val="20"/>
        </w:rPr>
        <w:t> </w:t>
      </w:r>
      <w:r>
        <w:rPr>
          <w:sz w:val="20"/>
        </w:rPr>
        <w:t>trial</w:t>
      </w:r>
      <w:r>
        <w:rPr>
          <w:spacing w:val="-8"/>
          <w:sz w:val="20"/>
        </w:rPr>
        <w:t> </w:t>
      </w:r>
      <w:r>
        <w:rPr>
          <w:sz w:val="20"/>
        </w:rPr>
        <w:t>the</w:t>
      </w:r>
      <w:r>
        <w:rPr>
          <w:spacing w:val="-8"/>
          <w:sz w:val="20"/>
        </w:rPr>
        <w:t> </w:t>
      </w:r>
      <w:r>
        <w:rPr>
          <w:sz w:val="20"/>
        </w:rPr>
        <w:t>juror</w:t>
      </w:r>
      <w:r>
        <w:rPr>
          <w:spacing w:val="-8"/>
          <w:sz w:val="20"/>
        </w:rPr>
        <w:t> </w:t>
      </w:r>
      <w:r>
        <w:rPr>
          <w:sz w:val="20"/>
        </w:rPr>
        <w:t>did</w:t>
      </w:r>
      <w:r>
        <w:rPr>
          <w:spacing w:val="-8"/>
          <w:sz w:val="20"/>
        </w:rPr>
        <w:t> </w:t>
      </w:r>
      <w:r>
        <w:rPr>
          <w:sz w:val="20"/>
        </w:rPr>
        <w:t>not</w:t>
      </w:r>
      <w:r>
        <w:rPr>
          <w:spacing w:val="-8"/>
          <w:sz w:val="20"/>
        </w:rPr>
        <w:t> </w:t>
      </w:r>
      <w:r>
        <w:rPr>
          <w:spacing w:val="-4"/>
          <w:sz w:val="20"/>
        </w:rPr>
        <w:t>have</w:t>
      </w:r>
      <w:r>
        <w:rPr>
          <w:spacing w:val="-8"/>
          <w:sz w:val="20"/>
        </w:rPr>
        <w:t> </w:t>
      </w:r>
      <w:r>
        <w:rPr>
          <w:spacing w:val="-3"/>
          <w:sz w:val="20"/>
        </w:rPr>
        <w:t>any</w:t>
      </w:r>
      <w:r>
        <w:rPr>
          <w:spacing w:val="-8"/>
          <w:sz w:val="20"/>
        </w:rPr>
        <w:t> </w:t>
      </w:r>
      <w:r>
        <w:rPr>
          <w:sz w:val="20"/>
        </w:rPr>
        <w:t>support</w:t>
      </w:r>
      <w:r>
        <w:rPr>
          <w:spacing w:val="-8"/>
          <w:sz w:val="20"/>
        </w:rPr>
        <w:t> </w:t>
      </w:r>
      <w:r>
        <w:rPr>
          <w:sz w:val="20"/>
        </w:rPr>
        <w:t>in</w:t>
      </w:r>
      <w:r>
        <w:rPr>
          <w:spacing w:val="-8"/>
          <w:sz w:val="20"/>
        </w:rPr>
        <w:t> </w:t>
      </w:r>
      <w:r>
        <w:rPr>
          <w:sz w:val="20"/>
        </w:rPr>
        <w:t>the</w:t>
      </w:r>
      <w:r>
        <w:rPr>
          <w:spacing w:val="-8"/>
          <w:sz w:val="20"/>
        </w:rPr>
        <w:t> </w:t>
      </w:r>
      <w:r>
        <w:rPr>
          <w:sz w:val="20"/>
        </w:rPr>
        <w:t>jury</w:t>
      </w:r>
      <w:r>
        <w:rPr>
          <w:spacing w:val="-8"/>
          <w:sz w:val="20"/>
        </w:rPr>
        <w:t> </w:t>
      </w:r>
      <w:r>
        <w:rPr>
          <w:sz w:val="20"/>
        </w:rPr>
        <w:t>room.</w:t>
      </w:r>
      <w:r>
        <w:rPr>
          <w:spacing w:val="-8"/>
          <w:sz w:val="20"/>
        </w:rPr>
        <w:t> </w:t>
      </w:r>
      <w:r>
        <w:rPr>
          <w:sz w:val="20"/>
        </w:rPr>
        <w:t>The</w:t>
      </w:r>
      <w:r>
        <w:rPr>
          <w:spacing w:val="-8"/>
          <w:sz w:val="20"/>
        </w:rPr>
        <w:t> </w:t>
      </w:r>
      <w:r>
        <w:rPr>
          <w:sz w:val="20"/>
        </w:rPr>
        <w:t>Jury</w:t>
      </w:r>
      <w:r>
        <w:rPr>
          <w:spacing w:val="-8"/>
          <w:sz w:val="20"/>
        </w:rPr>
        <w:t> </w:t>
      </w:r>
      <w:r>
        <w:rPr>
          <w:sz w:val="20"/>
        </w:rPr>
        <w:t>Commissioner spoke</w:t>
      </w:r>
      <w:r>
        <w:rPr>
          <w:spacing w:val="-6"/>
          <w:sz w:val="20"/>
        </w:rPr>
        <w:t> </w:t>
      </w:r>
      <w:r>
        <w:rPr>
          <w:sz w:val="20"/>
        </w:rPr>
        <w:t>with</w:t>
      </w:r>
      <w:r>
        <w:rPr>
          <w:spacing w:val="-6"/>
          <w:sz w:val="20"/>
        </w:rPr>
        <w:t> </w:t>
      </w:r>
      <w:r>
        <w:rPr>
          <w:sz w:val="20"/>
        </w:rPr>
        <w:t>the</w:t>
      </w:r>
      <w:r>
        <w:rPr>
          <w:spacing w:val="-6"/>
          <w:sz w:val="20"/>
        </w:rPr>
        <w:t> </w:t>
      </w:r>
      <w:r>
        <w:rPr>
          <w:sz w:val="20"/>
        </w:rPr>
        <w:t>blind</w:t>
      </w:r>
      <w:r>
        <w:rPr>
          <w:spacing w:val="-6"/>
          <w:sz w:val="20"/>
        </w:rPr>
        <w:t> </w:t>
      </w:r>
      <w:r>
        <w:rPr>
          <w:sz w:val="20"/>
        </w:rPr>
        <w:t>juror</w:t>
      </w:r>
      <w:r>
        <w:rPr>
          <w:spacing w:val="-6"/>
          <w:sz w:val="20"/>
        </w:rPr>
        <w:t> </w:t>
      </w:r>
      <w:r>
        <w:rPr>
          <w:sz w:val="20"/>
        </w:rPr>
        <w:t>after</w:t>
      </w:r>
      <w:r>
        <w:rPr>
          <w:spacing w:val="-6"/>
          <w:sz w:val="20"/>
        </w:rPr>
        <w:t> </w:t>
      </w:r>
      <w:r>
        <w:rPr>
          <w:sz w:val="20"/>
        </w:rPr>
        <w:t>the</w:t>
      </w:r>
      <w:r>
        <w:rPr>
          <w:spacing w:val="-6"/>
          <w:sz w:val="20"/>
        </w:rPr>
        <w:t> </w:t>
      </w:r>
      <w:r>
        <w:rPr>
          <w:sz w:val="20"/>
        </w:rPr>
        <w:t>trial</w:t>
      </w:r>
      <w:r>
        <w:rPr>
          <w:spacing w:val="-6"/>
          <w:sz w:val="20"/>
        </w:rPr>
        <w:t> </w:t>
      </w:r>
      <w:r>
        <w:rPr>
          <w:sz w:val="20"/>
        </w:rPr>
        <w:t>and</w:t>
      </w:r>
      <w:r>
        <w:rPr>
          <w:spacing w:val="-6"/>
          <w:sz w:val="20"/>
        </w:rPr>
        <w:t> </w:t>
      </w:r>
      <w:r>
        <w:rPr>
          <w:sz w:val="20"/>
        </w:rPr>
        <w:t>noted</w:t>
      </w:r>
      <w:r>
        <w:rPr>
          <w:spacing w:val="-6"/>
          <w:sz w:val="20"/>
        </w:rPr>
        <w:t> </w:t>
      </w:r>
      <w:r>
        <w:rPr>
          <w:sz w:val="20"/>
        </w:rPr>
        <w:t>that</w:t>
      </w:r>
      <w:r>
        <w:rPr>
          <w:spacing w:val="-6"/>
          <w:sz w:val="20"/>
        </w:rPr>
        <w:t> </w:t>
      </w:r>
      <w:r>
        <w:rPr>
          <w:sz w:val="20"/>
        </w:rPr>
        <w:t>the</w:t>
      </w:r>
      <w:r>
        <w:rPr>
          <w:spacing w:val="-6"/>
          <w:sz w:val="20"/>
        </w:rPr>
        <w:t> </w:t>
      </w:r>
      <w:r>
        <w:rPr>
          <w:sz w:val="20"/>
        </w:rPr>
        <w:t>juror</w:t>
      </w:r>
      <w:r>
        <w:rPr>
          <w:spacing w:val="-5"/>
          <w:sz w:val="20"/>
        </w:rPr>
        <w:t> </w:t>
      </w:r>
      <w:r>
        <w:rPr>
          <w:sz w:val="20"/>
        </w:rPr>
        <w:t>was:</w:t>
      </w:r>
    </w:p>
    <w:p>
      <w:pPr>
        <w:spacing w:line="208" w:lineRule="auto" w:before="121"/>
        <w:ind w:left="2157" w:right="1202" w:firstLine="0"/>
        <w:jc w:val="left"/>
        <w:rPr>
          <w:sz w:val="11"/>
        </w:rPr>
      </w:pPr>
      <w:r>
        <w:rPr>
          <w:sz w:val="19"/>
        </w:rPr>
        <w:t>able to repeat the directions and the order of the judge verbatim. She had an amazing memory and an ability to recall information. … this scenario certainly supported the proposition that people who are blind or who have vision loss have compensated for this through other senses and often have extremely well developed memory and hearing.</w:t>
      </w:r>
      <w:r>
        <w:rPr>
          <w:position w:val="6"/>
          <w:sz w:val="11"/>
        </w:rPr>
        <w:t>65</w:t>
      </w:r>
    </w:p>
    <w:p>
      <w:pPr>
        <w:pStyle w:val="BodyText"/>
        <w:spacing w:before="8"/>
        <w:rPr>
          <w:sz w:val="16"/>
        </w:rPr>
      </w:pPr>
    </w:p>
    <w:p>
      <w:pPr>
        <w:spacing w:before="0"/>
        <w:ind w:left="967" w:right="0" w:firstLine="0"/>
        <w:jc w:val="left"/>
        <w:rPr>
          <w:rFonts w:ascii="Raleway ExtraBold"/>
          <w:b/>
          <w:sz w:val="28"/>
        </w:rPr>
      </w:pPr>
      <w:r>
        <w:rPr>
          <w:rFonts w:ascii="Raleway ExtraBold"/>
          <w:b/>
          <w:color w:val="37617A"/>
          <w:sz w:val="28"/>
        </w:rPr>
        <w:t>Inclusive juries in England and Wales</w:t>
      </w:r>
    </w:p>
    <w:p>
      <w:pPr>
        <w:pStyle w:val="BodyText"/>
        <w:spacing w:before="7"/>
        <w:rPr>
          <w:rFonts w:ascii="Raleway ExtraBold"/>
          <w:b/>
          <w:sz w:val="15"/>
        </w:rPr>
      </w:pPr>
      <w:r>
        <w:rPr/>
        <w:pict>
          <v:line style="position:absolute;mso-position-horizontal-relative:page;mso-position-vertical-relative:paragraph;z-index:6128;mso-wrap-distance-left:0;mso-wrap-distance-right:0" from="79.370102pt,12.9907pt" to="515.905102pt,12.9907pt" stroked="true" strokeweight=".5pt" strokecolor="#8f9dad">
            <v:stroke dashstyle="solid"/>
            <w10:wrap type="topAndBottom"/>
          </v:line>
        </w:pict>
      </w:r>
    </w:p>
    <w:p>
      <w:pPr>
        <w:spacing w:line="247" w:lineRule="auto" w:before="223"/>
        <w:ind w:left="1787" w:right="2025" w:hanging="1"/>
        <w:jc w:val="center"/>
        <w:rPr>
          <w:rFonts w:ascii="Trebuchet MS" w:hAnsi="Trebuchet MS"/>
          <w:sz w:val="19"/>
        </w:rPr>
      </w:pPr>
      <w:r>
        <w:rPr>
          <w:rFonts w:ascii="Trebuchet MS" w:hAnsi="Trebuchet MS"/>
          <w:i/>
          <w:color w:val="37617A"/>
          <w:sz w:val="20"/>
        </w:rPr>
        <w:t>Disability</w:t>
      </w:r>
      <w:r>
        <w:rPr>
          <w:rFonts w:ascii="Trebuchet MS" w:hAnsi="Trebuchet MS"/>
          <w:i/>
          <w:color w:val="37617A"/>
          <w:spacing w:val="-15"/>
          <w:sz w:val="20"/>
        </w:rPr>
        <w:t> </w:t>
      </w:r>
      <w:r>
        <w:rPr>
          <w:rFonts w:ascii="Trebuchet MS" w:hAnsi="Trebuchet MS"/>
          <w:i/>
          <w:color w:val="37617A"/>
          <w:sz w:val="20"/>
        </w:rPr>
        <w:t>should</w:t>
      </w:r>
      <w:r>
        <w:rPr>
          <w:rFonts w:ascii="Trebuchet MS" w:hAnsi="Trebuchet MS"/>
          <w:i/>
          <w:color w:val="37617A"/>
          <w:spacing w:val="-14"/>
          <w:sz w:val="20"/>
        </w:rPr>
        <w:t> </w:t>
      </w:r>
      <w:r>
        <w:rPr>
          <w:rFonts w:ascii="Trebuchet MS" w:hAnsi="Trebuchet MS"/>
          <w:i/>
          <w:color w:val="37617A"/>
          <w:sz w:val="20"/>
        </w:rPr>
        <w:t>not</w:t>
      </w:r>
      <w:r>
        <w:rPr>
          <w:rFonts w:ascii="Trebuchet MS" w:hAnsi="Trebuchet MS"/>
          <w:i/>
          <w:color w:val="37617A"/>
          <w:spacing w:val="-14"/>
          <w:sz w:val="20"/>
        </w:rPr>
        <w:t> </w:t>
      </w:r>
      <w:r>
        <w:rPr>
          <w:rFonts w:ascii="Trebuchet MS" w:hAnsi="Trebuchet MS"/>
          <w:i/>
          <w:color w:val="37617A"/>
          <w:sz w:val="20"/>
        </w:rPr>
        <w:t>be</w:t>
      </w:r>
      <w:r>
        <w:rPr>
          <w:rFonts w:ascii="Trebuchet MS" w:hAnsi="Trebuchet MS"/>
          <w:i/>
          <w:color w:val="37617A"/>
          <w:spacing w:val="-14"/>
          <w:sz w:val="20"/>
        </w:rPr>
        <w:t> </w:t>
      </w:r>
      <w:r>
        <w:rPr>
          <w:rFonts w:ascii="Trebuchet MS" w:hAnsi="Trebuchet MS"/>
          <w:i/>
          <w:color w:val="37617A"/>
          <w:sz w:val="20"/>
        </w:rPr>
        <w:t>a</w:t>
      </w:r>
      <w:r>
        <w:rPr>
          <w:rFonts w:ascii="Trebuchet MS" w:hAnsi="Trebuchet MS"/>
          <w:i/>
          <w:color w:val="37617A"/>
          <w:spacing w:val="-14"/>
          <w:sz w:val="20"/>
        </w:rPr>
        <w:t> </w:t>
      </w:r>
      <w:r>
        <w:rPr>
          <w:rFonts w:ascii="Trebuchet MS" w:hAnsi="Trebuchet MS"/>
          <w:i/>
          <w:color w:val="37617A"/>
          <w:sz w:val="20"/>
        </w:rPr>
        <w:t>barrier</w:t>
      </w:r>
      <w:r>
        <w:rPr>
          <w:rFonts w:ascii="Trebuchet MS" w:hAnsi="Trebuchet MS"/>
          <w:i/>
          <w:color w:val="37617A"/>
          <w:spacing w:val="-15"/>
          <w:sz w:val="20"/>
        </w:rPr>
        <w:t> </w:t>
      </w:r>
      <w:r>
        <w:rPr>
          <w:rFonts w:ascii="Trebuchet MS" w:hAnsi="Trebuchet MS"/>
          <w:i/>
          <w:color w:val="37617A"/>
          <w:sz w:val="20"/>
        </w:rPr>
        <w:t>to</w:t>
      </w:r>
      <w:r>
        <w:rPr>
          <w:rFonts w:ascii="Trebuchet MS" w:hAnsi="Trebuchet MS"/>
          <w:i/>
          <w:color w:val="37617A"/>
          <w:spacing w:val="-14"/>
          <w:sz w:val="20"/>
        </w:rPr>
        <w:t> </w:t>
      </w:r>
      <w:r>
        <w:rPr>
          <w:rFonts w:ascii="Trebuchet MS" w:hAnsi="Trebuchet MS"/>
          <w:i/>
          <w:color w:val="37617A"/>
          <w:sz w:val="20"/>
        </w:rPr>
        <w:t>people</w:t>
      </w:r>
      <w:r>
        <w:rPr>
          <w:rFonts w:ascii="Trebuchet MS" w:hAnsi="Trebuchet MS"/>
          <w:i/>
          <w:color w:val="37617A"/>
          <w:spacing w:val="-14"/>
          <w:sz w:val="20"/>
        </w:rPr>
        <w:t> </w:t>
      </w:r>
      <w:r>
        <w:rPr>
          <w:rFonts w:ascii="Trebuchet MS" w:hAnsi="Trebuchet MS"/>
          <w:i/>
          <w:color w:val="37617A"/>
          <w:sz w:val="20"/>
        </w:rPr>
        <w:t>carrying</w:t>
      </w:r>
      <w:r>
        <w:rPr>
          <w:rFonts w:ascii="Trebuchet MS" w:hAnsi="Trebuchet MS"/>
          <w:i/>
          <w:color w:val="37617A"/>
          <w:spacing w:val="-14"/>
          <w:sz w:val="20"/>
        </w:rPr>
        <w:t> </w:t>
      </w:r>
      <w:r>
        <w:rPr>
          <w:rFonts w:ascii="Trebuchet MS" w:hAnsi="Trebuchet MS"/>
          <w:i/>
          <w:color w:val="37617A"/>
          <w:sz w:val="20"/>
        </w:rPr>
        <w:t>out</w:t>
      </w:r>
      <w:r>
        <w:rPr>
          <w:rFonts w:ascii="Trebuchet MS" w:hAnsi="Trebuchet MS"/>
          <w:i/>
          <w:color w:val="37617A"/>
          <w:spacing w:val="-14"/>
          <w:sz w:val="20"/>
        </w:rPr>
        <w:t> </w:t>
      </w:r>
      <w:r>
        <w:rPr>
          <w:rFonts w:ascii="Trebuchet MS" w:hAnsi="Trebuchet MS"/>
          <w:i/>
          <w:color w:val="37617A"/>
          <w:sz w:val="20"/>
        </w:rPr>
        <w:t>this</w:t>
      </w:r>
      <w:r>
        <w:rPr>
          <w:rFonts w:ascii="Trebuchet MS" w:hAnsi="Trebuchet MS"/>
          <w:i/>
          <w:color w:val="37617A"/>
          <w:spacing w:val="-14"/>
          <w:sz w:val="20"/>
        </w:rPr>
        <w:t> </w:t>
      </w:r>
      <w:r>
        <w:rPr>
          <w:rFonts w:ascii="Trebuchet MS" w:hAnsi="Trebuchet MS"/>
          <w:i/>
          <w:color w:val="37617A"/>
          <w:sz w:val="20"/>
        </w:rPr>
        <w:t>most</w:t>
      </w:r>
      <w:r>
        <w:rPr>
          <w:rFonts w:ascii="Trebuchet MS" w:hAnsi="Trebuchet MS"/>
          <w:i/>
          <w:color w:val="37617A"/>
          <w:spacing w:val="-15"/>
          <w:sz w:val="20"/>
        </w:rPr>
        <w:t> </w:t>
      </w:r>
      <w:r>
        <w:rPr>
          <w:rFonts w:ascii="Trebuchet MS" w:hAnsi="Trebuchet MS"/>
          <w:i/>
          <w:color w:val="37617A"/>
          <w:sz w:val="20"/>
        </w:rPr>
        <w:t>important </w:t>
      </w:r>
      <w:r>
        <w:rPr>
          <w:rFonts w:ascii="Trebuchet MS" w:hAnsi="Trebuchet MS"/>
          <w:i/>
          <w:color w:val="37617A"/>
          <w:sz w:val="20"/>
        </w:rPr>
        <w:t>civic</w:t>
      </w:r>
      <w:r>
        <w:rPr>
          <w:rFonts w:ascii="Trebuchet MS" w:hAnsi="Trebuchet MS"/>
          <w:i/>
          <w:color w:val="37617A"/>
          <w:spacing w:val="-8"/>
          <w:sz w:val="20"/>
        </w:rPr>
        <w:t> </w:t>
      </w:r>
      <w:r>
        <w:rPr>
          <w:rFonts w:ascii="Trebuchet MS" w:hAnsi="Trebuchet MS"/>
          <w:i/>
          <w:color w:val="37617A"/>
          <w:sz w:val="20"/>
        </w:rPr>
        <w:t>duty.</w:t>
      </w:r>
      <w:r>
        <w:rPr>
          <w:rFonts w:ascii="Trebuchet MS" w:hAnsi="Trebuchet MS"/>
          <w:i/>
          <w:color w:val="37617A"/>
          <w:spacing w:val="-7"/>
          <w:sz w:val="20"/>
        </w:rPr>
        <w:t> </w:t>
      </w:r>
      <w:r>
        <w:rPr>
          <w:rFonts w:ascii="Trebuchet MS" w:hAnsi="Trebuchet MS"/>
          <w:i/>
          <w:color w:val="37617A"/>
          <w:sz w:val="20"/>
        </w:rPr>
        <w:t>I</w:t>
      </w:r>
      <w:r>
        <w:rPr>
          <w:rFonts w:ascii="Trebuchet MS" w:hAnsi="Trebuchet MS"/>
          <w:i/>
          <w:color w:val="37617A"/>
          <w:spacing w:val="-8"/>
          <w:sz w:val="20"/>
        </w:rPr>
        <w:t> </w:t>
      </w:r>
      <w:r>
        <w:rPr>
          <w:rFonts w:ascii="Trebuchet MS" w:hAnsi="Trebuchet MS"/>
          <w:i/>
          <w:color w:val="37617A"/>
          <w:sz w:val="20"/>
        </w:rPr>
        <w:t>am</w:t>
      </w:r>
      <w:r>
        <w:rPr>
          <w:rFonts w:ascii="Trebuchet MS" w:hAnsi="Trebuchet MS"/>
          <w:i/>
          <w:color w:val="37617A"/>
          <w:spacing w:val="-7"/>
          <w:sz w:val="20"/>
        </w:rPr>
        <w:t> </w:t>
      </w:r>
      <w:r>
        <w:rPr>
          <w:rFonts w:ascii="Trebuchet MS" w:hAnsi="Trebuchet MS"/>
          <w:i/>
          <w:color w:val="37617A"/>
          <w:sz w:val="20"/>
        </w:rPr>
        <w:t>delighted</w:t>
      </w:r>
      <w:r>
        <w:rPr>
          <w:rFonts w:ascii="Trebuchet MS" w:hAnsi="Trebuchet MS"/>
          <w:i/>
          <w:color w:val="37617A"/>
          <w:spacing w:val="-7"/>
          <w:sz w:val="20"/>
        </w:rPr>
        <w:t> </w:t>
      </w:r>
      <w:r>
        <w:rPr>
          <w:rFonts w:ascii="Trebuchet MS" w:hAnsi="Trebuchet MS"/>
          <w:i/>
          <w:color w:val="37617A"/>
          <w:sz w:val="20"/>
        </w:rPr>
        <w:t>we</w:t>
      </w:r>
      <w:r>
        <w:rPr>
          <w:rFonts w:ascii="Trebuchet MS" w:hAnsi="Trebuchet MS"/>
          <w:i/>
          <w:color w:val="37617A"/>
          <w:spacing w:val="-8"/>
          <w:sz w:val="20"/>
        </w:rPr>
        <w:t> </w:t>
      </w:r>
      <w:r>
        <w:rPr>
          <w:rFonts w:ascii="Trebuchet MS" w:hAnsi="Trebuchet MS"/>
          <w:i/>
          <w:color w:val="37617A"/>
          <w:sz w:val="20"/>
        </w:rPr>
        <w:t>can</w:t>
      </w:r>
      <w:r>
        <w:rPr>
          <w:rFonts w:ascii="Trebuchet MS" w:hAnsi="Trebuchet MS"/>
          <w:i/>
          <w:color w:val="37617A"/>
          <w:spacing w:val="-7"/>
          <w:sz w:val="20"/>
        </w:rPr>
        <w:t> </w:t>
      </w:r>
      <w:r>
        <w:rPr>
          <w:rFonts w:ascii="Trebuchet MS" w:hAnsi="Trebuchet MS"/>
          <w:i/>
          <w:color w:val="37617A"/>
          <w:sz w:val="20"/>
        </w:rPr>
        <w:t>open</w:t>
      </w:r>
      <w:r>
        <w:rPr>
          <w:rFonts w:ascii="Trebuchet MS" w:hAnsi="Trebuchet MS"/>
          <w:i/>
          <w:color w:val="37617A"/>
          <w:spacing w:val="-7"/>
          <w:sz w:val="20"/>
        </w:rPr>
        <w:t> </w:t>
      </w:r>
      <w:r>
        <w:rPr>
          <w:rFonts w:ascii="Trebuchet MS" w:hAnsi="Trebuchet MS"/>
          <w:i/>
          <w:color w:val="37617A"/>
          <w:sz w:val="20"/>
        </w:rPr>
        <w:t>up</w:t>
      </w:r>
      <w:r>
        <w:rPr>
          <w:rFonts w:ascii="Trebuchet MS" w:hAnsi="Trebuchet MS"/>
          <w:i/>
          <w:color w:val="37617A"/>
          <w:spacing w:val="-8"/>
          <w:sz w:val="20"/>
        </w:rPr>
        <w:t> </w:t>
      </w:r>
      <w:r>
        <w:rPr>
          <w:rFonts w:ascii="Trebuchet MS" w:hAnsi="Trebuchet MS"/>
          <w:i/>
          <w:color w:val="37617A"/>
          <w:sz w:val="20"/>
        </w:rPr>
        <w:t>jury</w:t>
      </w:r>
      <w:r>
        <w:rPr>
          <w:rFonts w:ascii="Trebuchet MS" w:hAnsi="Trebuchet MS"/>
          <w:i/>
          <w:color w:val="37617A"/>
          <w:spacing w:val="-7"/>
          <w:sz w:val="20"/>
        </w:rPr>
        <w:t> </w:t>
      </w:r>
      <w:r>
        <w:rPr>
          <w:rFonts w:ascii="Trebuchet MS" w:hAnsi="Trebuchet MS"/>
          <w:i/>
          <w:color w:val="37617A"/>
          <w:sz w:val="20"/>
        </w:rPr>
        <w:t>service</w:t>
      </w:r>
      <w:r>
        <w:rPr>
          <w:rFonts w:ascii="Trebuchet MS" w:hAnsi="Trebuchet MS"/>
          <w:i/>
          <w:color w:val="37617A"/>
          <w:spacing w:val="-7"/>
          <w:sz w:val="20"/>
        </w:rPr>
        <w:t> </w:t>
      </w:r>
      <w:r>
        <w:rPr>
          <w:rFonts w:ascii="Trebuchet MS" w:hAnsi="Trebuchet MS"/>
          <w:i/>
          <w:color w:val="37617A"/>
          <w:sz w:val="20"/>
        </w:rPr>
        <w:t>to</w:t>
      </w:r>
      <w:r>
        <w:rPr>
          <w:rFonts w:ascii="Trebuchet MS" w:hAnsi="Trebuchet MS"/>
          <w:i/>
          <w:color w:val="37617A"/>
          <w:spacing w:val="-8"/>
          <w:sz w:val="20"/>
        </w:rPr>
        <w:t> </w:t>
      </w:r>
      <w:r>
        <w:rPr>
          <w:rFonts w:ascii="Trebuchet MS" w:hAnsi="Trebuchet MS"/>
          <w:i/>
          <w:color w:val="37617A"/>
          <w:sz w:val="20"/>
        </w:rPr>
        <w:t>many</w:t>
      </w:r>
      <w:r>
        <w:rPr>
          <w:rFonts w:ascii="Trebuchet MS" w:hAnsi="Trebuchet MS"/>
          <w:i/>
          <w:color w:val="37617A"/>
          <w:spacing w:val="-7"/>
          <w:sz w:val="20"/>
        </w:rPr>
        <w:t> </w:t>
      </w:r>
      <w:r>
        <w:rPr>
          <w:rFonts w:ascii="Trebuchet MS" w:hAnsi="Trebuchet MS"/>
          <w:i/>
          <w:color w:val="37617A"/>
          <w:sz w:val="20"/>
        </w:rPr>
        <w:t>thousands</w:t>
      </w:r>
      <w:r>
        <w:rPr>
          <w:rFonts w:ascii="Trebuchet MS" w:hAnsi="Trebuchet MS"/>
          <w:i/>
          <w:color w:val="37617A"/>
          <w:spacing w:val="-7"/>
          <w:sz w:val="20"/>
        </w:rPr>
        <w:t> </w:t>
      </w:r>
      <w:r>
        <w:rPr>
          <w:rFonts w:ascii="Trebuchet MS" w:hAnsi="Trebuchet MS"/>
          <w:i/>
          <w:color w:val="37617A"/>
          <w:sz w:val="20"/>
        </w:rPr>
        <w:t>more people and ensure our justice system becomes as accessible and inclusive as </w:t>
      </w:r>
      <w:r>
        <w:rPr>
          <w:rFonts w:ascii="Trebuchet MS" w:hAnsi="Trebuchet MS"/>
          <w:i/>
          <w:color w:val="37617A"/>
          <w:w w:val="107"/>
          <w:sz w:val="20"/>
        </w:rPr>
        <w:t>p</w:t>
      </w:r>
      <w:r>
        <w:rPr>
          <w:rFonts w:ascii="Trebuchet MS" w:hAnsi="Trebuchet MS"/>
          <w:i/>
          <w:color w:val="37617A"/>
          <w:spacing w:val="-1"/>
          <w:w w:val="107"/>
          <w:sz w:val="20"/>
        </w:rPr>
        <w:t>o</w:t>
      </w:r>
      <w:r>
        <w:rPr>
          <w:rFonts w:ascii="Trebuchet MS" w:hAnsi="Trebuchet MS"/>
          <w:i/>
          <w:color w:val="37617A"/>
          <w:w w:val="117"/>
          <w:sz w:val="20"/>
        </w:rPr>
        <w:t>s</w:t>
      </w:r>
      <w:r>
        <w:rPr>
          <w:rFonts w:ascii="Trebuchet MS" w:hAnsi="Trebuchet MS"/>
          <w:i/>
          <w:color w:val="37617A"/>
          <w:spacing w:val="-1"/>
          <w:w w:val="117"/>
          <w:sz w:val="20"/>
        </w:rPr>
        <w:t>s</w:t>
      </w:r>
      <w:r>
        <w:rPr>
          <w:rFonts w:ascii="Trebuchet MS" w:hAnsi="Trebuchet MS"/>
          <w:i/>
          <w:color w:val="37617A"/>
          <w:w w:val="73"/>
          <w:sz w:val="20"/>
        </w:rPr>
        <w:t>i</w:t>
      </w:r>
      <w:r>
        <w:rPr>
          <w:rFonts w:ascii="Trebuchet MS" w:hAnsi="Trebuchet MS"/>
          <w:i/>
          <w:color w:val="37617A"/>
          <w:w w:val="100"/>
          <w:sz w:val="20"/>
        </w:rPr>
        <w:t>b</w:t>
      </w:r>
      <w:r>
        <w:rPr>
          <w:rFonts w:ascii="Trebuchet MS" w:hAnsi="Trebuchet MS"/>
          <w:i/>
          <w:color w:val="37617A"/>
          <w:spacing w:val="-3"/>
          <w:w w:val="100"/>
          <w:sz w:val="20"/>
        </w:rPr>
        <w:t>l</w:t>
      </w:r>
      <w:r>
        <w:rPr>
          <w:rFonts w:ascii="Trebuchet MS" w:hAnsi="Trebuchet MS"/>
          <w:i/>
          <w:color w:val="37617A"/>
          <w:spacing w:val="1"/>
          <w:w w:val="100"/>
          <w:sz w:val="20"/>
        </w:rPr>
        <w:t>e</w:t>
      </w:r>
      <w:r>
        <w:rPr>
          <w:rFonts w:ascii="Trebuchet MS" w:hAnsi="Trebuchet MS"/>
          <w:i/>
          <w:color w:val="37617A"/>
          <w:spacing w:val="-1"/>
          <w:w w:val="54"/>
          <w:sz w:val="20"/>
        </w:rPr>
        <w:t>.</w:t>
      </w:r>
      <w:r>
        <w:rPr>
          <w:rFonts w:ascii="Trebuchet MS" w:hAnsi="Trebuchet MS"/>
          <w:i/>
          <w:color w:val="37617A"/>
          <w:spacing w:val="2"/>
          <w:w w:val="119"/>
          <w:position w:val="7"/>
          <w:sz w:val="11"/>
        </w:rPr>
        <w:t>6</w:t>
      </w:r>
      <w:r>
        <w:rPr>
          <w:rFonts w:ascii="Trebuchet MS" w:hAnsi="Trebuchet MS"/>
          <w:i/>
          <w:color w:val="37617A"/>
          <w:w w:val="119"/>
          <w:position w:val="7"/>
          <w:sz w:val="11"/>
        </w:rPr>
        <w:t>6</w:t>
      </w:r>
      <w:r>
        <w:rPr>
          <w:rFonts w:ascii="Trebuchet MS" w:hAnsi="Trebuchet MS"/>
          <w:i/>
          <w:color w:val="37617A"/>
          <w:spacing w:val="15"/>
          <w:position w:val="7"/>
          <w:sz w:val="11"/>
        </w:rPr>
        <w:t> </w:t>
      </w:r>
      <w:r>
        <w:rPr>
          <w:rFonts w:ascii="Trebuchet MS" w:hAnsi="Trebuchet MS"/>
          <w:color w:val="37617A"/>
          <w:spacing w:val="1"/>
          <w:w w:val="124"/>
          <w:sz w:val="19"/>
        </w:rPr>
        <w:t>—</w:t>
      </w:r>
      <w:r>
        <w:rPr>
          <w:rFonts w:ascii="Trebuchet MS" w:hAnsi="Trebuchet MS"/>
          <w:color w:val="37617A"/>
          <w:spacing w:val="-1"/>
          <w:w w:val="113"/>
          <w:sz w:val="19"/>
        </w:rPr>
        <w:t>L</w:t>
      </w:r>
      <w:r>
        <w:rPr>
          <w:rFonts w:ascii="Trebuchet MS" w:hAnsi="Trebuchet MS"/>
          <w:color w:val="37617A"/>
          <w:w w:val="113"/>
          <w:sz w:val="19"/>
        </w:rPr>
        <w:t>o</w:t>
      </w:r>
      <w:r>
        <w:rPr>
          <w:rFonts w:ascii="Trebuchet MS" w:hAnsi="Trebuchet MS"/>
          <w:color w:val="37617A"/>
          <w:spacing w:val="-2"/>
          <w:w w:val="93"/>
          <w:sz w:val="19"/>
        </w:rPr>
        <w:t>r</w:t>
      </w:r>
      <w:r>
        <w:rPr>
          <w:rFonts w:ascii="Trebuchet MS" w:hAnsi="Trebuchet MS"/>
          <w:color w:val="37617A"/>
          <w:w w:val="112"/>
          <w:sz w:val="19"/>
        </w:rPr>
        <w:t>d</w:t>
      </w:r>
      <w:r>
        <w:rPr>
          <w:rFonts w:ascii="Trebuchet MS" w:hAnsi="Trebuchet MS"/>
          <w:color w:val="37617A"/>
          <w:spacing w:val="-12"/>
          <w:sz w:val="19"/>
        </w:rPr>
        <w:t> </w:t>
      </w:r>
      <w:r>
        <w:rPr>
          <w:rFonts w:ascii="Trebuchet MS" w:hAnsi="Trebuchet MS"/>
          <w:color w:val="37617A"/>
          <w:spacing w:val="-1"/>
          <w:w w:val="111"/>
          <w:sz w:val="19"/>
        </w:rPr>
        <w:t>C</w:t>
      </w:r>
      <w:r>
        <w:rPr>
          <w:rFonts w:ascii="Trebuchet MS" w:hAnsi="Trebuchet MS"/>
          <w:color w:val="37617A"/>
          <w:w w:val="111"/>
          <w:sz w:val="19"/>
        </w:rPr>
        <w:t>h</w:t>
      </w:r>
      <w:r>
        <w:rPr>
          <w:rFonts w:ascii="Trebuchet MS" w:hAnsi="Trebuchet MS"/>
          <w:color w:val="37617A"/>
          <w:w w:val="105"/>
          <w:sz w:val="19"/>
        </w:rPr>
        <w:t>a</w:t>
      </w:r>
      <w:r>
        <w:rPr>
          <w:rFonts w:ascii="Trebuchet MS" w:hAnsi="Trebuchet MS"/>
          <w:color w:val="37617A"/>
          <w:w w:val="107"/>
          <w:sz w:val="19"/>
        </w:rPr>
        <w:t>n</w:t>
      </w:r>
      <w:r>
        <w:rPr>
          <w:rFonts w:ascii="Trebuchet MS" w:hAnsi="Trebuchet MS"/>
          <w:color w:val="37617A"/>
          <w:spacing w:val="-1"/>
          <w:w w:val="111"/>
          <w:sz w:val="19"/>
        </w:rPr>
        <w:t>c</w:t>
      </w:r>
      <w:r>
        <w:rPr>
          <w:rFonts w:ascii="Trebuchet MS" w:hAnsi="Trebuchet MS"/>
          <w:color w:val="37617A"/>
          <w:w w:val="108"/>
          <w:sz w:val="19"/>
        </w:rPr>
        <w:t>e</w:t>
      </w:r>
      <w:r>
        <w:rPr>
          <w:rFonts w:ascii="Trebuchet MS" w:hAnsi="Trebuchet MS"/>
          <w:color w:val="37617A"/>
          <w:w w:val="96"/>
          <w:sz w:val="19"/>
        </w:rPr>
        <w:t>l</w:t>
      </w:r>
      <w:r>
        <w:rPr>
          <w:rFonts w:ascii="Trebuchet MS" w:hAnsi="Trebuchet MS"/>
          <w:color w:val="37617A"/>
          <w:spacing w:val="-2"/>
          <w:w w:val="96"/>
          <w:sz w:val="19"/>
        </w:rPr>
        <w:t>l</w:t>
      </w:r>
      <w:r>
        <w:rPr>
          <w:rFonts w:ascii="Trebuchet MS" w:hAnsi="Trebuchet MS"/>
          <w:color w:val="37617A"/>
          <w:w w:val="111"/>
          <w:sz w:val="19"/>
        </w:rPr>
        <w:t>o</w:t>
      </w:r>
      <w:r>
        <w:rPr>
          <w:rFonts w:ascii="Trebuchet MS" w:hAnsi="Trebuchet MS"/>
          <w:color w:val="37617A"/>
          <w:spacing w:val="-11"/>
          <w:w w:val="93"/>
          <w:sz w:val="19"/>
        </w:rPr>
        <w:t>r</w:t>
      </w:r>
      <w:r>
        <w:rPr>
          <w:rFonts w:ascii="Trebuchet MS" w:hAnsi="Trebuchet MS"/>
          <w:color w:val="37617A"/>
          <w:w w:val="57"/>
          <w:sz w:val="19"/>
        </w:rPr>
        <w:t>,</w:t>
      </w:r>
      <w:r>
        <w:rPr>
          <w:rFonts w:ascii="Trebuchet MS" w:hAnsi="Trebuchet MS"/>
          <w:color w:val="37617A"/>
          <w:spacing w:val="-12"/>
          <w:sz w:val="19"/>
        </w:rPr>
        <w:t> </w:t>
      </w:r>
      <w:r>
        <w:rPr>
          <w:rFonts w:ascii="Trebuchet MS" w:hAnsi="Trebuchet MS"/>
          <w:color w:val="37617A"/>
          <w:spacing w:val="-1"/>
          <w:w w:val="112"/>
          <w:sz w:val="19"/>
        </w:rPr>
        <w:t>R</w:t>
      </w:r>
      <w:r>
        <w:rPr>
          <w:rFonts w:ascii="Trebuchet MS" w:hAnsi="Trebuchet MS"/>
          <w:color w:val="37617A"/>
          <w:w w:val="112"/>
          <w:sz w:val="19"/>
        </w:rPr>
        <w:t>o</w:t>
      </w:r>
      <w:r>
        <w:rPr>
          <w:rFonts w:ascii="Trebuchet MS" w:hAnsi="Trebuchet MS"/>
          <w:color w:val="37617A"/>
          <w:w w:val="111"/>
          <w:sz w:val="19"/>
        </w:rPr>
        <w:t>b</w:t>
      </w:r>
      <w:r>
        <w:rPr>
          <w:rFonts w:ascii="Trebuchet MS" w:hAnsi="Trebuchet MS"/>
          <w:color w:val="37617A"/>
          <w:w w:val="108"/>
          <w:sz w:val="19"/>
        </w:rPr>
        <w:t>e</w:t>
      </w:r>
      <w:r>
        <w:rPr>
          <w:rFonts w:ascii="Trebuchet MS" w:hAnsi="Trebuchet MS"/>
          <w:color w:val="37617A"/>
          <w:spacing w:val="3"/>
          <w:w w:val="93"/>
          <w:sz w:val="19"/>
        </w:rPr>
        <w:t>r</w:t>
      </w:r>
      <w:r>
        <w:rPr>
          <w:rFonts w:ascii="Trebuchet MS" w:hAnsi="Trebuchet MS"/>
          <w:color w:val="37617A"/>
          <w:w w:val="88"/>
          <w:sz w:val="19"/>
        </w:rPr>
        <w:t>t</w:t>
      </w:r>
      <w:r>
        <w:rPr>
          <w:rFonts w:ascii="Trebuchet MS" w:hAnsi="Trebuchet MS"/>
          <w:color w:val="37617A"/>
          <w:spacing w:val="-12"/>
          <w:sz w:val="19"/>
        </w:rPr>
        <w:t> </w:t>
      </w:r>
      <w:r>
        <w:rPr>
          <w:rFonts w:ascii="Trebuchet MS" w:hAnsi="Trebuchet MS"/>
          <w:color w:val="37617A"/>
          <w:spacing w:val="1"/>
          <w:w w:val="118"/>
          <w:sz w:val="19"/>
        </w:rPr>
        <w:t>B</w:t>
      </w:r>
      <w:r>
        <w:rPr>
          <w:rFonts w:ascii="Trebuchet MS" w:hAnsi="Trebuchet MS"/>
          <w:color w:val="37617A"/>
          <w:w w:val="109"/>
          <w:sz w:val="19"/>
        </w:rPr>
        <w:t>u</w:t>
      </w:r>
      <w:r>
        <w:rPr>
          <w:rFonts w:ascii="Trebuchet MS" w:hAnsi="Trebuchet MS"/>
          <w:color w:val="37617A"/>
          <w:spacing w:val="-1"/>
          <w:w w:val="111"/>
          <w:sz w:val="19"/>
        </w:rPr>
        <w:t>c</w:t>
      </w:r>
      <w:r>
        <w:rPr>
          <w:rFonts w:ascii="Trebuchet MS" w:hAnsi="Trebuchet MS"/>
          <w:color w:val="37617A"/>
          <w:spacing w:val="-1"/>
          <w:w w:val="106"/>
          <w:sz w:val="19"/>
        </w:rPr>
        <w:t>k</w:t>
      </w:r>
      <w:r>
        <w:rPr>
          <w:rFonts w:ascii="Trebuchet MS" w:hAnsi="Trebuchet MS"/>
          <w:color w:val="37617A"/>
          <w:spacing w:val="3"/>
          <w:w w:val="96"/>
          <w:sz w:val="19"/>
        </w:rPr>
        <w:t>l</w:t>
      </w:r>
      <w:r>
        <w:rPr>
          <w:rFonts w:ascii="Trebuchet MS" w:hAnsi="Trebuchet MS"/>
          <w:color w:val="37617A"/>
          <w:w w:val="105"/>
          <w:sz w:val="19"/>
        </w:rPr>
        <w:t>a</w:t>
      </w:r>
      <w:r>
        <w:rPr>
          <w:rFonts w:ascii="Trebuchet MS" w:hAnsi="Trebuchet MS"/>
          <w:color w:val="37617A"/>
          <w:w w:val="107"/>
          <w:sz w:val="19"/>
        </w:rPr>
        <w:t>n</w:t>
      </w:r>
      <w:r>
        <w:rPr>
          <w:rFonts w:ascii="Trebuchet MS" w:hAnsi="Trebuchet MS"/>
          <w:color w:val="37617A"/>
          <w:w w:val="112"/>
          <w:sz w:val="19"/>
        </w:rPr>
        <w:t>d</w:t>
      </w:r>
      <w:r>
        <w:rPr>
          <w:rFonts w:ascii="Trebuchet MS" w:hAnsi="Trebuchet MS"/>
          <w:color w:val="37617A"/>
          <w:spacing w:val="-12"/>
          <w:sz w:val="19"/>
        </w:rPr>
        <w:t> </w:t>
      </w:r>
      <w:r>
        <w:rPr>
          <w:rFonts w:ascii="Trebuchet MS" w:hAnsi="Trebuchet MS"/>
          <w:color w:val="37617A"/>
          <w:spacing w:val="1"/>
          <w:w w:val="110"/>
          <w:sz w:val="19"/>
        </w:rPr>
        <w:t>Q</w:t>
      </w:r>
      <w:r>
        <w:rPr>
          <w:rFonts w:ascii="Trebuchet MS" w:hAnsi="Trebuchet MS"/>
          <w:color w:val="37617A"/>
          <w:w w:val="114"/>
          <w:sz w:val="19"/>
        </w:rPr>
        <w:t>C</w:t>
      </w:r>
      <w:r>
        <w:rPr>
          <w:rFonts w:ascii="Trebuchet MS" w:hAnsi="Trebuchet MS"/>
          <w:color w:val="37617A"/>
          <w:spacing w:val="-12"/>
          <w:sz w:val="19"/>
        </w:rPr>
        <w:t> </w:t>
      </w:r>
      <w:r>
        <w:rPr>
          <w:rFonts w:ascii="Trebuchet MS" w:hAnsi="Trebuchet MS"/>
          <w:color w:val="37617A"/>
          <w:w w:val="123"/>
          <w:sz w:val="19"/>
        </w:rPr>
        <w:t>M</w:t>
      </w:r>
      <w:r>
        <w:rPr>
          <w:rFonts w:ascii="Trebuchet MS" w:hAnsi="Trebuchet MS"/>
          <w:color w:val="37617A"/>
          <w:spacing w:val="-17"/>
          <w:w w:val="111"/>
          <w:sz w:val="19"/>
        </w:rPr>
        <w:t>P</w:t>
      </w:r>
      <w:r>
        <w:rPr>
          <w:rFonts w:ascii="Trebuchet MS" w:hAnsi="Trebuchet MS"/>
          <w:color w:val="37617A"/>
          <w:w w:val="57"/>
          <w:sz w:val="19"/>
        </w:rPr>
        <w:t>,</w:t>
      </w:r>
      <w:r>
        <w:rPr>
          <w:rFonts w:ascii="Trebuchet MS" w:hAnsi="Trebuchet MS"/>
          <w:color w:val="37617A"/>
          <w:spacing w:val="-12"/>
          <w:sz w:val="19"/>
        </w:rPr>
        <w:t> </w:t>
      </w:r>
      <w:r>
        <w:rPr>
          <w:rFonts w:ascii="Trebuchet MS" w:hAnsi="Trebuchet MS"/>
          <w:color w:val="37617A"/>
          <w:w w:val="123"/>
          <w:sz w:val="19"/>
        </w:rPr>
        <w:t>M</w:t>
      </w:r>
      <w:r>
        <w:rPr>
          <w:rFonts w:ascii="Trebuchet MS" w:hAnsi="Trebuchet MS"/>
          <w:color w:val="37617A"/>
          <w:w w:val="105"/>
          <w:sz w:val="19"/>
        </w:rPr>
        <w:t>a</w:t>
      </w:r>
      <w:r>
        <w:rPr>
          <w:rFonts w:ascii="Trebuchet MS" w:hAnsi="Trebuchet MS"/>
          <w:color w:val="37617A"/>
          <w:spacing w:val="-3"/>
          <w:w w:val="93"/>
          <w:sz w:val="19"/>
        </w:rPr>
        <w:t>r</w:t>
      </w:r>
      <w:r>
        <w:rPr>
          <w:rFonts w:ascii="Trebuchet MS" w:hAnsi="Trebuchet MS"/>
          <w:color w:val="37617A"/>
          <w:spacing w:val="-1"/>
          <w:w w:val="111"/>
          <w:sz w:val="19"/>
        </w:rPr>
        <w:t>c</w:t>
      </w:r>
      <w:r>
        <w:rPr>
          <w:rFonts w:ascii="Trebuchet MS" w:hAnsi="Trebuchet MS"/>
          <w:color w:val="37617A"/>
          <w:w w:val="107"/>
          <w:sz w:val="19"/>
        </w:rPr>
        <w:t>h</w:t>
      </w:r>
      <w:r>
        <w:rPr>
          <w:rFonts w:ascii="Trebuchet MS" w:hAnsi="Trebuchet MS"/>
          <w:color w:val="37617A"/>
          <w:spacing w:val="-12"/>
          <w:sz w:val="19"/>
        </w:rPr>
        <w:t> </w:t>
      </w:r>
      <w:r>
        <w:rPr>
          <w:rFonts w:ascii="Trebuchet MS" w:hAnsi="Trebuchet MS"/>
          <w:color w:val="37617A"/>
          <w:spacing w:val="-2"/>
          <w:w w:val="102"/>
          <w:sz w:val="19"/>
        </w:rPr>
        <w:t>2</w:t>
      </w:r>
      <w:r>
        <w:rPr>
          <w:rFonts w:ascii="Trebuchet MS" w:hAnsi="Trebuchet MS"/>
          <w:color w:val="37617A"/>
          <w:spacing w:val="-3"/>
          <w:w w:val="117"/>
          <w:sz w:val="19"/>
        </w:rPr>
        <w:t>0</w:t>
      </w:r>
      <w:r>
        <w:rPr>
          <w:rFonts w:ascii="Trebuchet MS" w:hAnsi="Trebuchet MS"/>
          <w:color w:val="37617A"/>
          <w:spacing w:val="-2"/>
          <w:w w:val="102"/>
          <w:sz w:val="19"/>
        </w:rPr>
        <w:t>2</w:t>
      </w:r>
      <w:r>
        <w:rPr>
          <w:rFonts w:ascii="Trebuchet MS" w:hAnsi="Trebuchet MS"/>
          <w:color w:val="37617A"/>
          <w:w w:val="85"/>
          <w:sz w:val="19"/>
        </w:rPr>
        <w:t>1</w:t>
      </w:r>
    </w:p>
    <w:p>
      <w:pPr>
        <w:pStyle w:val="BodyText"/>
        <w:spacing w:before="7"/>
        <w:rPr>
          <w:rFonts w:ascii="Trebuchet MS"/>
          <w:sz w:val="9"/>
        </w:rPr>
      </w:pPr>
      <w:r>
        <w:rPr/>
        <w:pict>
          <v:line style="position:absolute;mso-position-horizontal-relative:page;mso-position-vertical-relative:paragraph;z-index:6152;mso-wrap-distance-left:0;mso-wrap-distance-right:0" from="79.370102pt,7.811328pt" to="515.905102pt,7.811328pt" stroked="true" strokeweight=".5pt" strokecolor="#8f9dad">
            <v:stroke dashstyle="solid"/>
            <w10:wrap type="topAndBottom"/>
          </v:line>
        </w:pict>
      </w:r>
    </w:p>
    <w:p>
      <w:pPr>
        <w:pStyle w:val="BodyText"/>
        <w:spacing w:before="9"/>
        <w:rPr>
          <w:rFonts w:ascii="Trebuchet MS"/>
          <w:sz w:val="31"/>
        </w:rPr>
      </w:pPr>
    </w:p>
    <w:p>
      <w:pPr>
        <w:pStyle w:val="ListParagraph"/>
        <w:numPr>
          <w:ilvl w:val="1"/>
          <w:numId w:val="12"/>
        </w:numPr>
        <w:tabs>
          <w:tab w:pos="1761" w:val="left" w:leader="none"/>
          <w:tab w:pos="1762" w:val="left" w:leader="none"/>
        </w:tabs>
        <w:spacing w:line="206" w:lineRule="auto" w:before="0" w:after="0"/>
        <w:ind w:left="1761" w:right="1237" w:hanging="794"/>
        <w:jc w:val="left"/>
        <w:rPr>
          <w:sz w:val="11"/>
        </w:rPr>
      </w:pPr>
      <w:r>
        <w:rPr>
          <w:sz w:val="20"/>
        </w:rPr>
        <w:t>People</w:t>
      </w:r>
      <w:r>
        <w:rPr>
          <w:spacing w:val="-11"/>
          <w:sz w:val="20"/>
        </w:rPr>
        <w:t> </w:t>
      </w:r>
      <w:r>
        <w:rPr>
          <w:sz w:val="20"/>
        </w:rPr>
        <w:t>with</w:t>
      </w:r>
      <w:r>
        <w:rPr>
          <w:spacing w:val="-10"/>
          <w:sz w:val="20"/>
        </w:rPr>
        <w:t> </w:t>
      </w:r>
      <w:r>
        <w:rPr>
          <w:sz w:val="20"/>
        </w:rPr>
        <w:t>disabilities,</w:t>
      </w:r>
      <w:r>
        <w:rPr>
          <w:spacing w:val="-11"/>
          <w:sz w:val="20"/>
        </w:rPr>
        <w:t> </w:t>
      </w:r>
      <w:r>
        <w:rPr>
          <w:sz w:val="20"/>
        </w:rPr>
        <w:t>including</w:t>
      </w:r>
      <w:r>
        <w:rPr>
          <w:spacing w:val="-10"/>
          <w:sz w:val="20"/>
        </w:rPr>
        <w:t> </w:t>
      </w:r>
      <w:r>
        <w:rPr>
          <w:sz w:val="20"/>
        </w:rPr>
        <w:t>those</w:t>
      </w:r>
      <w:r>
        <w:rPr>
          <w:spacing w:val="-10"/>
          <w:sz w:val="20"/>
        </w:rPr>
        <w:t> </w:t>
      </w:r>
      <w:r>
        <w:rPr>
          <w:sz w:val="20"/>
        </w:rPr>
        <w:t>who</w:t>
      </w:r>
      <w:r>
        <w:rPr>
          <w:spacing w:val="-11"/>
          <w:sz w:val="20"/>
        </w:rPr>
        <w:t> </w:t>
      </w:r>
      <w:r>
        <w:rPr>
          <w:spacing w:val="-3"/>
          <w:sz w:val="20"/>
        </w:rPr>
        <w:t>are</w:t>
      </w:r>
      <w:r>
        <w:rPr>
          <w:spacing w:val="-10"/>
          <w:sz w:val="20"/>
        </w:rPr>
        <w:t> </w:t>
      </w:r>
      <w:r>
        <w:rPr>
          <w:spacing w:val="-4"/>
          <w:sz w:val="20"/>
        </w:rPr>
        <w:t>deaf,</w:t>
      </w:r>
      <w:r>
        <w:rPr>
          <w:spacing w:val="-10"/>
          <w:sz w:val="20"/>
        </w:rPr>
        <w:t> </w:t>
      </w:r>
      <w:r>
        <w:rPr>
          <w:sz w:val="20"/>
        </w:rPr>
        <w:t>hard</w:t>
      </w:r>
      <w:r>
        <w:rPr>
          <w:spacing w:val="-11"/>
          <w:sz w:val="20"/>
        </w:rPr>
        <w:t> </w:t>
      </w:r>
      <w:r>
        <w:rPr>
          <w:sz w:val="20"/>
        </w:rPr>
        <w:t>of</w:t>
      </w:r>
      <w:r>
        <w:rPr>
          <w:spacing w:val="-10"/>
          <w:sz w:val="20"/>
        </w:rPr>
        <w:t> </w:t>
      </w:r>
      <w:r>
        <w:rPr>
          <w:sz w:val="20"/>
        </w:rPr>
        <w:t>hearing,</w:t>
      </w:r>
      <w:r>
        <w:rPr>
          <w:spacing w:val="-11"/>
          <w:sz w:val="20"/>
        </w:rPr>
        <w:t> </w:t>
      </w:r>
      <w:r>
        <w:rPr>
          <w:sz w:val="20"/>
        </w:rPr>
        <w:t>blind</w:t>
      </w:r>
      <w:r>
        <w:rPr>
          <w:spacing w:val="-10"/>
          <w:sz w:val="20"/>
        </w:rPr>
        <w:t> </w:t>
      </w:r>
      <w:r>
        <w:rPr>
          <w:sz w:val="20"/>
        </w:rPr>
        <w:t>or</w:t>
      </w:r>
      <w:r>
        <w:rPr>
          <w:spacing w:val="-10"/>
          <w:sz w:val="20"/>
        </w:rPr>
        <w:t> </w:t>
      </w:r>
      <w:r>
        <w:rPr>
          <w:spacing w:val="-4"/>
          <w:sz w:val="20"/>
        </w:rPr>
        <w:t>have</w:t>
      </w:r>
      <w:r>
        <w:rPr>
          <w:spacing w:val="-11"/>
          <w:sz w:val="20"/>
        </w:rPr>
        <w:t> </w:t>
      </w:r>
      <w:r>
        <w:rPr>
          <w:spacing w:val="-4"/>
          <w:sz w:val="20"/>
        </w:rPr>
        <w:t>low </w:t>
      </w:r>
      <w:r>
        <w:rPr>
          <w:sz w:val="20"/>
        </w:rPr>
        <w:t>vision, </w:t>
      </w:r>
      <w:r>
        <w:rPr>
          <w:spacing w:val="-3"/>
          <w:sz w:val="20"/>
        </w:rPr>
        <w:t>are </w:t>
      </w:r>
      <w:r>
        <w:rPr>
          <w:sz w:val="20"/>
        </w:rPr>
        <w:t>not disqualified </w:t>
      </w:r>
      <w:r>
        <w:rPr>
          <w:spacing w:val="-3"/>
          <w:sz w:val="20"/>
        </w:rPr>
        <w:t>from </w:t>
      </w:r>
      <w:r>
        <w:rPr>
          <w:sz w:val="20"/>
        </w:rPr>
        <w:t>serving under the </w:t>
      </w:r>
      <w:r>
        <w:rPr>
          <w:i/>
          <w:sz w:val="20"/>
        </w:rPr>
        <w:t>Juries Act </w:t>
      </w:r>
      <w:r>
        <w:rPr>
          <w:i/>
          <w:spacing w:val="-7"/>
          <w:sz w:val="20"/>
        </w:rPr>
        <w:t>1974 </w:t>
      </w:r>
      <w:r>
        <w:rPr>
          <w:sz w:val="20"/>
        </w:rPr>
        <w:t>(UK) (in operation in England and</w:t>
      </w:r>
      <w:r>
        <w:rPr>
          <w:spacing w:val="-8"/>
          <w:sz w:val="20"/>
        </w:rPr>
        <w:t> </w:t>
      </w:r>
      <w:r>
        <w:rPr>
          <w:spacing w:val="-4"/>
          <w:sz w:val="20"/>
        </w:rPr>
        <w:t>Wales).</w:t>
      </w:r>
      <w:r>
        <w:rPr>
          <w:spacing w:val="-4"/>
          <w:position w:val="7"/>
          <w:sz w:val="11"/>
        </w:rPr>
        <w:t>67</w:t>
      </w:r>
    </w:p>
    <w:p>
      <w:pPr>
        <w:pStyle w:val="ListParagraph"/>
        <w:numPr>
          <w:ilvl w:val="1"/>
          <w:numId w:val="12"/>
        </w:numPr>
        <w:tabs>
          <w:tab w:pos="1761" w:val="left" w:leader="none"/>
          <w:tab w:pos="1762" w:val="left" w:leader="none"/>
        </w:tabs>
        <w:spacing w:line="206" w:lineRule="auto" w:before="124" w:after="0"/>
        <w:ind w:left="1761" w:right="1481" w:hanging="794"/>
        <w:jc w:val="left"/>
        <w:rPr>
          <w:sz w:val="20"/>
        </w:rPr>
      </w:pPr>
      <w:r>
        <w:rPr>
          <w:sz w:val="20"/>
        </w:rPr>
        <w:t>Where</w:t>
      </w:r>
      <w:r>
        <w:rPr>
          <w:spacing w:val="-11"/>
          <w:sz w:val="20"/>
        </w:rPr>
        <w:t> </w:t>
      </w:r>
      <w:r>
        <w:rPr>
          <w:sz w:val="20"/>
        </w:rPr>
        <w:t>a</w:t>
      </w:r>
      <w:r>
        <w:rPr>
          <w:spacing w:val="-10"/>
          <w:sz w:val="20"/>
        </w:rPr>
        <w:t> </w:t>
      </w:r>
      <w:r>
        <w:rPr>
          <w:sz w:val="20"/>
        </w:rPr>
        <w:t>person</w:t>
      </w:r>
      <w:r>
        <w:rPr>
          <w:spacing w:val="-10"/>
          <w:sz w:val="20"/>
        </w:rPr>
        <w:t> </w:t>
      </w:r>
      <w:r>
        <w:rPr>
          <w:sz w:val="20"/>
        </w:rPr>
        <w:t>with</w:t>
      </w:r>
      <w:r>
        <w:rPr>
          <w:spacing w:val="-10"/>
          <w:sz w:val="20"/>
        </w:rPr>
        <w:t> </w:t>
      </w:r>
      <w:r>
        <w:rPr>
          <w:sz w:val="20"/>
        </w:rPr>
        <w:t>physical</w:t>
      </w:r>
      <w:r>
        <w:rPr>
          <w:spacing w:val="-11"/>
          <w:sz w:val="20"/>
        </w:rPr>
        <w:t> </w:t>
      </w:r>
      <w:r>
        <w:rPr>
          <w:sz w:val="20"/>
        </w:rPr>
        <w:t>disability</w:t>
      </w:r>
      <w:r>
        <w:rPr>
          <w:spacing w:val="-10"/>
          <w:sz w:val="20"/>
        </w:rPr>
        <w:t> </w:t>
      </w:r>
      <w:r>
        <w:rPr>
          <w:sz w:val="20"/>
        </w:rPr>
        <w:t>is</w:t>
      </w:r>
      <w:r>
        <w:rPr>
          <w:spacing w:val="-10"/>
          <w:sz w:val="20"/>
        </w:rPr>
        <w:t> </w:t>
      </w:r>
      <w:r>
        <w:rPr>
          <w:sz w:val="20"/>
        </w:rPr>
        <w:t>summonsed</w:t>
      </w:r>
      <w:r>
        <w:rPr>
          <w:spacing w:val="-10"/>
          <w:sz w:val="20"/>
        </w:rPr>
        <w:t> </w:t>
      </w:r>
      <w:r>
        <w:rPr>
          <w:sz w:val="20"/>
        </w:rPr>
        <w:t>for</w:t>
      </w:r>
      <w:r>
        <w:rPr>
          <w:spacing w:val="-11"/>
          <w:sz w:val="20"/>
        </w:rPr>
        <w:t> </w:t>
      </w:r>
      <w:r>
        <w:rPr>
          <w:sz w:val="20"/>
        </w:rPr>
        <w:t>jury</w:t>
      </w:r>
      <w:r>
        <w:rPr>
          <w:spacing w:val="-10"/>
          <w:sz w:val="20"/>
        </w:rPr>
        <w:t> </w:t>
      </w:r>
      <w:r>
        <w:rPr>
          <w:sz w:val="20"/>
        </w:rPr>
        <w:t>service,</w:t>
      </w:r>
      <w:r>
        <w:rPr>
          <w:spacing w:val="-10"/>
          <w:sz w:val="20"/>
        </w:rPr>
        <w:t> </w:t>
      </w:r>
      <w:r>
        <w:rPr>
          <w:sz w:val="20"/>
        </w:rPr>
        <w:t>a</w:t>
      </w:r>
      <w:r>
        <w:rPr>
          <w:spacing w:val="-10"/>
          <w:sz w:val="20"/>
        </w:rPr>
        <w:t> </w:t>
      </w:r>
      <w:r>
        <w:rPr>
          <w:sz w:val="20"/>
        </w:rPr>
        <w:t>senior</w:t>
      </w:r>
      <w:r>
        <w:rPr>
          <w:spacing w:val="-11"/>
          <w:sz w:val="20"/>
        </w:rPr>
        <w:t> </w:t>
      </w:r>
      <w:r>
        <w:rPr>
          <w:sz w:val="20"/>
        </w:rPr>
        <w:t>court official will consider whether accommodations can be </w:t>
      </w:r>
      <w:r>
        <w:rPr>
          <w:spacing w:val="-3"/>
          <w:sz w:val="20"/>
        </w:rPr>
        <w:t>provided </w:t>
      </w:r>
      <w:r>
        <w:rPr>
          <w:sz w:val="20"/>
        </w:rPr>
        <w:t>to enable them to serve.</w:t>
      </w:r>
      <w:r>
        <w:rPr>
          <w:spacing w:val="-10"/>
          <w:sz w:val="20"/>
        </w:rPr>
        <w:t> </w:t>
      </w:r>
      <w:r>
        <w:rPr>
          <w:sz w:val="20"/>
        </w:rPr>
        <w:t>Where</w:t>
      </w:r>
      <w:r>
        <w:rPr>
          <w:spacing w:val="-10"/>
          <w:sz w:val="20"/>
        </w:rPr>
        <w:t> </w:t>
      </w:r>
      <w:r>
        <w:rPr>
          <w:sz w:val="20"/>
        </w:rPr>
        <w:t>there</w:t>
      </w:r>
      <w:r>
        <w:rPr>
          <w:spacing w:val="-9"/>
          <w:sz w:val="20"/>
        </w:rPr>
        <w:t> </w:t>
      </w:r>
      <w:r>
        <w:rPr>
          <w:sz w:val="20"/>
        </w:rPr>
        <w:t>is</w:t>
      </w:r>
      <w:r>
        <w:rPr>
          <w:spacing w:val="-10"/>
          <w:sz w:val="20"/>
        </w:rPr>
        <w:t> </w:t>
      </w:r>
      <w:r>
        <w:rPr>
          <w:sz w:val="20"/>
        </w:rPr>
        <w:t>doubt</w:t>
      </w:r>
      <w:r>
        <w:rPr>
          <w:spacing w:val="-10"/>
          <w:sz w:val="20"/>
        </w:rPr>
        <w:t> </w:t>
      </w:r>
      <w:r>
        <w:rPr>
          <w:sz w:val="20"/>
        </w:rPr>
        <w:t>about</w:t>
      </w:r>
      <w:r>
        <w:rPr>
          <w:spacing w:val="-9"/>
          <w:sz w:val="20"/>
        </w:rPr>
        <w:t> </w:t>
      </w:r>
      <w:r>
        <w:rPr>
          <w:sz w:val="20"/>
        </w:rPr>
        <w:t>the</w:t>
      </w:r>
      <w:r>
        <w:rPr>
          <w:spacing w:val="-10"/>
          <w:sz w:val="20"/>
        </w:rPr>
        <w:t> </w:t>
      </w:r>
      <w:r>
        <w:rPr>
          <w:sz w:val="20"/>
        </w:rPr>
        <w:t>potential</w:t>
      </w:r>
      <w:r>
        <w:rPr>
          <w:spacing w:val="-10"/>
          <w:sz w:val="20"/>
        </w:rPr>
        <w:t> </w:t>
      </w:r>
      <w:r>
        <w:rPr>
          <w:spacing w:val="-3"/>
          <w:sz w:val="20"/>
        </w:rPr>
        <w:t>juror’s</w:t>
      </w:r>
      <w:r>
        <w:rPr>
          <w:spacing w:val="-9"/>
          <w:sz w:val="20"/>
        </w:rPr>
        <w:t> </w:t>
      </w:r>
      <w:r>
        <w:rPr>
          <w:sz w:val="20"/>
        </w:rPr>
        <w:t>‘capacity</w:t>
      </w:r>
      <w:r>
        <w:rPr>
          <w:spacing w:val="-10"/>
          <w:sz w:val="20"/>
        </w:rPr>
        <w:t> </w:t>
      </w:r>
      <w:r>
        <w:rPr>
          <w:sz w:val="20"/>
        </w:rPr>
        <w:t>to</w:t>
      </w:r>
      <w:r>
        <w:rPr>
          <w:spacing w:val="-9"/>
          <w:sz w:val="20"/>
        </w:rPr>
        <w:t> </w:t>
      </w:r>
      <w:r>
        <w:rPr>
          <w:sz w:val="20"/>
        </w:rPr>
        <w:t>act</w:t>
      </w:r>
      <w:r>
        <w:rPr>
          <w:spacing w:val="-10"/>
          <w:sz w:val="20"/>
        </w:rPr>
        <w:t> </w:t>
      </w:r>
      <w:r>
        <w:rPr>
          <w:sz w:val="20"/>
        </w:rPr>
        <w:t>effectively</w:t>
      </w:r>
      <w:r>
        <w:rPr>
          <w:spacing w:val="-10"/>
          <w:sz w:val="20"/>
        </w:rPr>
        <w:t> </w:t>
      </w:r>
      <w:r>
        <w:rPr>
          <w:sz w:val="20"/>
        </w:rPr>
        <w:t>as a</w:t>
      </w:r>
      <w:r>
        <w:rPr>
          <w:spacing w:val="-10"/>
          <w:sz w:val="20"/>
        </w:rPr>
        <w:t> </w:t>
      </w:r>
      <w:r>
        <w:rPr>
          <w:sz w:val="20"/>
        </w:rPr>
        <w:t>juror’</w:t>
      </w:r>
      <w:r>
        <w:rPr>
          <w:spacing w:val="-9"/>
          <w:sz w:val="20"/>
        </w:rPr>
        <w:t> </w:t>
      </w:r>
      <w:r>
        <w:rPr>
          <w:sz w:val="20"/>
        </w:rPr>
        <w:t>because</w:t>
      </w:r>
      <w:r>
        <w:rPr>
          <w:spacing w:val="-9"/>
          <w:sz w:val="20"/>
        </w:rPr>
        <w:t> </w:t>
      </w:r>
      <w:r>
        <w:rPr>
          <w:sz w:val="20"/>
        </w:rPr>
        <w:t>of</w:t>
      </w:r>
      <w:r>
        <w:rPr>
          <w:spacing w:val="-10"/>
          <w:sz w:val="20"/>
        </w:rPr>
        <w:t> </w:t>
      </w:r>
      <w:r>
        <w:rPr>
          <w:sz w:val="20"/>
        </w:rPr>
        <w:t>disability,</w:t>
      </w:r>
      <w:r>
        <w:rPr>
          <w:spacing w:val="-9"/>
          <w:sz w:val="20"/>
        </w:rPr>
        <w:t> </w:t>
      </w:r>
      <w:r>
        <w:rPr>
          <w:sz w:val="20"/>
        </w:rPr>
        <w:t>the</w:t>
      </w:r>
      <w:r>
        <w:rPr>
          <w:spacing w:val="-9"/>
          <w:sz w:val="20"/>
        </w:rPr>
        <w:t> </w:t>
      </w:r>
      <w:r>
        <w:rPr>
          <w:sz w:val="20"/>
        </w:rPr>
        <w:t>person</w:t>
      </w:r>
      <w:r>
        <w:rPr>
          <w:spacing w:val="-10"/>
          <w:sz w:val="20"/>
        </w:rPr>
        <w:t> </w:t>
      </w:r>
      <w:r>
        <w:rPr>
          <w:spacing w:val="-3"/>
          <w:sz w:val="20"/>
        </w:rPr>
        <w:t>may</w:t>
      </w:r>
      <w:r>
        <w:rPr>
          <w:spacing w:val="-9"/>
          <w:sz w:val="20"/>
        </w:rPr>
        <w:t> </w:t>
      </w:r>
      <w:r>
        <w:rPr>
          <w:sz w:val="20"/>
        </w:rPr>
        <w:t>be</w:t>
      </w:r>
      <w:r>
        <w:rPr>
          <w:spacing w:val="-9"/>
          <w:sz w:val="20"/>
        </w:rPr>
        <w:t> </w:t>
      </w:r>
      <w:r>
        <w:rPr>
          <w:sz w:val="20"/>
        </w:rPr>
        <w:t>brought</w:t>
      </w:r>
      <w:r>
        <w:rPr>
          <w:spacing w:val="-10"/>
          <w:sz w:val="20"/>
        </w:rPr>
        <w:t> </w:t>
      </w:r>
      <w:r>
        <w:rPr>
          <w:spacing w:val="-3"/>
          <w:sz w:val="20"/>
        </w:rPr>
        <w:t>before</w:t>
      </w:r>
      <w:r>
        <w:rPr>
          <w:spacing w:val="-9"/>
          <w:sz w:val="20"/>
        </w:rPr>
        <w:t> </w:t>
      </w:r>
      <w:r>
        <w:rPr>
          <w:sz w:val="20"/>
        </w:rPr>
        <w:t>a</w:t>
      </w:r>
      <w:r>
        <w:rPr>
          <w:spacing w:val="-9"/>
          <w:sz w:val="20"/>
        </w:rPr>
        <w:t> </w:t>
      </w:r>
      <w:r>
        <w:rPr>
          <w:sz w:val="20"/>
        </w:rPr>
        <w:t>judge</w:t>
      </w:r>
      <w:r>
        <w:rPr>
          <w:spacing w:val="-9"/>
          <w:sz w:val="20"/>
        </w:rPr>
        <w:t> </w:t>
      </w:r>
      <w:r>
        <w:rPr>
          <w:sz w:val="20"/>
        </w:rPr>
        <w:t>pursuant</w:t>
      </w:r>
      <w:r>
        <w:rPr>
          <w:spacing w:val="-10"/>
          <w:sz w:val="20"/>
        </w:rPr>
        <w:t> </w:t>
      </w:r>
      <w:r>
        <w:rPr>
          <w:sz w:val="20"/>
        </w:rPr>
        <w:t>to</w:t>
      </w:r>
    </w:p>
    <w:p>
      <w:pPr>
        <w:pStyle w:val="BodyText"/>
        <w:spacing w:line="206" w:lineRule="auto" w:before="5"/>
        <w:ind w:left="1761" w:right="1227"/>
      </w:pPr>
      <w:r>
        <w:rPr/>
        <w:t>section 9B</w:t>
      </w:r>
      <w:r>
        <w:rPr>
          <w:position w:val="7"/>
          <w:sz w:val="11"/>
        </w:rPr>
        <w:t>68 </w:t>
      </w:r>
      <w:r>
        <w:rPr/>
        <w:t>who will determine ‘whether or not the person should act as a juror’.</w:t>
      </w:r>
      <w:r>
        <w:rPr>
          <w:position w:val="7"/>
          <w:sz w:val="11"/>
        </w:rPr>
        <w:t>69 </w:t>
      </w:r>
      <w:r>
        <w:rPr/>
        <w:t>The prospective juror can attend the hearing to discuss the adjustments they would need with the judge.</w:t>
      </w:r>
      <w:r>
        <w:rPr>
          <w:position w:val="7"/>
          <w:sz w:val="11"/>
        </w:rPr>
        <w:t>70 </w:t>
      </w:r>
      <w:r>
        <w:rPr/>
        <w:t>The judge:</w:t>
      </w:r>
    </w:p>
    <w:p>
      <w:pPr>
        <w:spacing w:line="208" w:lineRule="auto" w:before="122"/>
        <w:ind w:left="2157" w:right="1313" w:firstLine="0"/>
        <w:jc w:val="left"/>
        <w:rPr>
          <w:sz w:val="11"/>
        </w:rPr>
      </w:pPr>
      <w:r>
        <w:rPr>
          <w:sz w:val="19"/>
        </w:rPr>
        <w:t>shall affirm the summons unless he [sic] is of the opinion that the person will not, on account of his [sic] disability, be capable of acting effectively as a juror, in which case he shall discharge the summons.</w:t>
      </w:r>
      <w:r>
        <w:rPr>
          <w:position w:val="6"/>
          <w:sz w:val="11"/>
        </w:rPr>
        <w:t>71</w:t>
      </w:r>
    </w:p>
    <w:p>
      <w:pPr>
        <w:pStyle w:val="ListParagraph"/>
        <w:numPr>
          <w:ilvl w:val="1"/>
          <w:numId w:val="12"/>
        </w:numPr>
        <w:tabs>
          <w:tab w:pos="1761" w:val="left" w:leader="none"/>
          <w:tab w:pos="1762" w:val="left" w:leader="none"/>
        </w:tabs>
        <w:spacing w:line="206" w:lineRule="auto" w:before="124" w:after="0"/>
        <w:ind w:left="1761" w:right="1288" w:hanging="794"/>
        <w:jc w:val="left"/>
        <w:rPr>
          <w:sz w:val="11"/>
        </w:rPr>
      </w:pPr>
      <w:r>
        <w:rPr>
          <w:sz w:val="20"/>
        </w:rPr>
        <w:t>Until </w:t>
      </w:r>
      <w:r>
        <w:rPr>
          <w:spacing w:val="-3"/>
          <w:sz w:val="20"/>
        </w:rPr>
        <w:t>2022, </w:t>
      </w:r>
      <w:r>
        <w:rPr>
          <w:sz w:val="20"/>
        </w:rPr>
        <w:t>the 13th person rule </w:t>
      </w:r>
      <w:r>
        <w:rPr>
          <w:spacing w:val="-3"/>
          <w:sz w:val="20"/>
        </w:rPr>
        <w:t>prevented </w:t>
      </w:r>
      <w:r>
        <w:rPr>
          <w:sz w:val="20"/>
        </w:rPr>
        <w:t>all non-jurors </w:t>
      </w:r>
      <w:r>
        <w:rPr>
          <w:spacing w:val="-3"/>
          <w:sz w:val="20"/>
        </w:rPr>
        <w:t>from </w:t>
      </w:r>
      <w:r>
        <w:rPr>
          <w:sz w:val="20"/>
        </w:rPr>
        <w:t>facilitating jury service for</w:t>
      </w:r>
      <w:r>
        <w:rPr>
          <w:spacing w:val="-11"/>
          <w:sz w:val="20"/>
        </w:rPr>
        <w:t> </w:t>
      </w:r>
      <w:r>
        <w:rPr>
          <w:sz w:val="20"/>
        </w:rPr>
        <w:t>jurors</w:t>
      </w:r>
      <w:r>
        <w:rPr>
          <w:spacing w:val="-10"/>
          <w:sz w:val="20"/>
        </w:rPr>
        <w:t> </w:t>
      </w:r>
      <w:r>
        <w:rPr>
          <w:sz w:val="20"/>
        </w:rPr>
        <w:t>with</w:t>
      </w:r>
      <w:r>
        <w:rPr>
          <w:spacing w:val="-10"/>
          <w:sz w:val="20"/>
        </w:rPr>
        <w:t> </w:t>
      </w:r>
      <w:r>
        <w:rPr>
          <w:sz w:val="20"/>
        </w:rPr>
        <w:t>disabilities</w:t>
      </w:r>
      <w:r>
        <w:rPr>
          <w:spacing w:val="-11"/>
          <w:sz w:val="20"/>
        </w:rPr>
        <w:t> </w:t>
      </w:r>
      <w:r>
        <w:rPr>
          <w:sz w:val="20"/>
        </w:rPr>
        <w:t>in</w:t>
      </w:r>
      <w:r>
        <w:rPr>
          <w:spacing w:val="-10"/>
          <w:sz w:val="20"/>
        </w:rPr>
        <w:t> </w:t>
      </w:r>
      <w:r>
        <w:rPr>
          <w:sz w:val="20"/>
        </w:rPr>
        <w:t>the</w:t>
      </w:r>
      <w:r>
        <w:rPr>
          <w:spacing w:val="-10"/>
          <w:sz w:val="20"/>
        </w:rPr>
        <w:t> </w:t>
      </w:r>
      <w:r>
        <w:rPr>
          <w:sz w:val="20"/>
        </w:rPr>
        <w:t>jury</w:t>
      </w:r>
      <w:r>
        <w:rPr>
          <w:spacing w:val="-11"/>
          <w:sz w:val="20"/>
        </w:rPr>
        <w:t> </w:t>
      </w:r>
      <w:r>
        <w:rPr>
          <w:sz w:val="20"/>
        </w:rPr>
        <w:t>room.</w:t>
      </w:r>
      <w:r>
        <w:rPr>
          <w:spacing w:val="-10"/>
          <w:sz w:val="20"/>
        </w:rPr>
        <w:t> </w:t>
      </w:r>
      <w:r>
        <w:rPr>
          <w:spacing w:val="-5"/>
          <w:sz w:val="20"/>
        </w:rPr>
        <w:t>However,</w:t>
      </w:r>
      <w:r>
        <w:rPr>
          <w:spacing w:val="-10"/>
          <w:sz w:val="20"/>
        </w:rPr>
        <w:t> </w:t>
      </w:r>
      <w:r>
        <w:rPr>
          <w:sz w:val="20"/>
        </w:rPr>
        <w:t>there</w:t>
      </w:r>
      <w:r>
        <w:rPr>
          <w:spacing w:val="-11"/>
          <w:sz w:val="20"/>
        </w:rPr>
        <w:t> </w:t>
      </w:r>
      <w:r>
        <w:rPr>
          <w:spacing w:val="-4"/>
          <w:sz w:val="20"/>
        </w:rPr>
        <w:t>have</w:t>
      </w:r>
      <w:r>
        <w:rPr>
          <w:spacing w:val="-10"/>
          <w:sz w:val="20"/>
        </w:rPr>
        <w:t> </w:t>
      </w:r>
      <w:r>
        <w:rPr>
          <w:sz w:val="20"/>
        </w:rPr>
        <w:t>been</w:t>
      </w:r>
      <w:r>
        <w:rPr>
          <w:spacing w:val="-10"/>
          <w:sz w:val="20"/>
        </w:rPr>
        <w:t> </w:t>
      </w:r>
      <w:r>
        <w:rPr>
          <w:sz w:val="20"/>
        </w:rPr>
        <w:t>protocols</w:t>
      </w:r>
      <w:r>
        <w:rPr>
          <w:spacing w:val="-11"/>
          <w:sz w:val="20"/>
        </w:rPr>
        <w:t> </w:t>
      </w:r>
      <w:r>
        <w:rPr>
          <w:sz w:val="20"/>
        </w:rPr>
        <w:t>in</w:t>
      </w:r>
      <w:r>
        <w:rPr>
          <w:spacing w:val="-10"/>
          <w:sz w:val="20"/>
        </w:rPr>
        <w:t> </w:t>
      </w:r>
      <w:r>
        <w:rPr>
          <w:sz w:val="20"/>
        </w:rPr>
        <w:t>place in</w:t>
      </w:r>
      <w:r>
        <w:rPr>
          <w:spacing w:val="-11"/>
          <w:sz w:val="20"/>
        </w:rPr>
        <w:t> </w:t>
      </w:r>
      <w:r>
        <w:rPr>
          <w:sz w:val="20"/>
        </w:rPr>
        <w:t>England</w:t>
      </w:r>
      <w:r>
        <w:rPr>
          <w:spacing w:val="-11"/>
          <w:sz w:val="20"/>
        </w:rPr>
        <w:t> </w:t>
      </w:r>
      <w:r>
        <w:rPr>
          <w:sz w:val="20"/>
        </w:rPr>
        <w:t>and</w:t>
      </w:r>
      <w:r>
        <w:rPr>
          <w:spacing w:val="-11"/>
          <w:sz w:val="20"/>
        </w:rPr>
        <w:t> </w:t>
      </w:r>
      <w:r>
        <w:rPr>
          <w:spacing w:val="-4"/>
          <w:sz w:val="20"/>
        </w:rPr>
        <w:t>Wales</w:t>
      </w:r>
      <w:r>
        <w:rPr>
          <w:spacing w:val="-11"/>
          <w:sz w:val="20"/>
        </w:rPr>
        <w:t> </w:t>
      </w:r>
      <w:r>
        <w:rPr>
          <w:sz w:val="20"/>
        </w:rPr>
        <w:t>for</w:t>
      </w:r>
      <w:r>
        <w:rPr>
          <w:spacing w:val="-11"/>
          <w:sz w:val="20"/>
        </w:rPr>
        <w:t> </w:t>
      </w:r>
      <w:r>
        <w:rPr>
          <w:sz w:val="20"/>
        </w:rPr>
        <w:t>some</w:t>
      </w:r>
      <w:r>
        <w:rPr>
          <w:spacing w:val="-11"/>
          <w:sz w:val="20"/>
        </w:rPr>
        <w:t> </w:t>
      </w:r>
      <w:r>
        <w:rPr>
          <w:sz w:val="20"/>
        </w:rPr>
        <w:t>time</w:t>
      </w:r>
      <w:r>
        <w:rPr>
          <w:spacing w:val="-11"/>
          <w:sz w:val="20"/>
        </w:rPr>
        <w:t> </w:t>
      </w:r>
      <w:r>
        <w:rPr>
          <w:sz w:val="20"/>
        </w:rPr>
        <w:t>to</w:t>
      </w:r>
      <w:r>
        <w:rPr>
          <w:spacing w:val="-11"/>
          <w:sz w:val="20"/>
        </w:rPr>
        <w:t> </w:t>
      </w:r>
      <w:r>
        <w:rPr>
          <w:sz w:val="20"/>
        </w:rPr>
        <w:t>accommodate</w:t>
      </w:r>
      <w:r>
        <w:rPr>
          <w:spacing w:val="-11"/>
          <w:sz w:val="20"/>
        </w:rPr>
        <w:t> </w:t>
      </w:r>
      <w:r>
        <w:rPr>
          <w:sz w:val="20"/>
        </w:rPr>
        <w:t>jurors</w:t>
      </w:r>
      <w:r>
        <w:rPr>
          <w:spacing w:val="-11"/>
          <w:sz w:val="20"/>
        </w:rPr>
        <w:t> </w:t>
      </w:r>
      <w:r>
        <w:rPr>
          <w:sz w:val="20"/>
        </w:rPr>
        <w:t>with</w:t>
      </w:r>
      <w:r>
        <w:rPr>
          <w:spacing w:val="-11"/>
          <w:sz w:val="20"/>
        </w:rPr>
        <w:t> </w:t>
      </w:r>
      <w:r>
        <w:rPr>
          <w:sz w:val="20"/>
        </w:rPr>
        <w:t>disabilities</w:t>
      </w:r>
      <w:r>
        <w:rPr>
          <w:spacing w:val="-11"/>
          <w:sz w:val="20"/>
        </w:rPr>
        <w:t> </w:t>
      </w:r>
      <w:r>
        <w:rPr>
          <w:sz w:val="20"/>
        </w:rPr>
        <w:t>to</w:t>
      </w:r>
      <w:r>
        <w:rPr>
          <w:spacing w:val="-11"/>
          <w:sz w:val="20"/>
        </w:rPr>
        <w:t> </w:t>
      </w:r>
      <w:r>
        <w:rPr>
          <w:sz w:val="20"/>
        </w:rPr>
        <w:t>enable them</w:t>
      </w:r>
      <w:r>
        <w:rPr>
          <w:spacing w:val="-10"/>
          <w:sz w:val="20"/>
        </w:rPr>
        <w:t> </w:t>
      </w:r>
      <w:r>
        <w:rPr>
          <w:sz w:val="20"/>
        </w:rPr>
        <w:t>to</w:t>
      </w:r>
      <w:r>
        <w:rPr>
          <w:spacing w:val="-9"/>
          <w:sz w:val="20"/>
        </w:rPr>
        <w:t> </w:t>
      </w:r>
      <w:r>
        <w:rPr>
          <w:sz w:val="20"/>
        </w:rPr>
        <w:t>serve</w:t>
      </w:r>
      <w:r>
        <w:rPr>
          <w:spacing w:val="-9"/>
          <w:sz w:val="20"/>
        </w:rPr>
        <w:t> </w:t>
      </w:r>
      <w:r>
        <w:rPr>
          <w:sz w:val="20"/>
        </w:rPr>
        <w:t>within</w:t>
      </w:r>
      <w:r>
        <w:rPr>
          <w:spacing w:val="-9"/>
          <w:sz w:val="20"/>
        </w:rPr>
        <w:t> </w:t>
      </w:r>
      <w:r>
        <w:rPr>
          <w:sz w:val="20"/>
        </w:rPr>
        <w:t>the</w:t>
      </w:r>
      <w:r>
        <w:rPr>
          <w:spacing w:val="-9"/>
          <w:sz w:val="20"/>
        </w:rPr>
        <w:t> </w:t>
      </w:r>
      <w:r>
        <w:rPr>
          <w:sz w:val="20"/>
        </w:rPr>
        <w:t>limits</w:t>
      </w:r>
      <w:r>
        <w:rPr>
          <w:spacing w:val="-9"/>
          <w:sz w:val="20"/>
        </w:rPr>
        <w:t> </w:t>
      </w:r>
      <w:r>
        <w:rPr>
          <w:sz w:val="20"/>
        </w:rPr>
        <w:t>of</w:t>
      </w:r>
      <w:r>
        <w:rPr>
          <w:spacing w:val="-9"/>
          <w:sz w:val="20"/>
        </w:rPr>
        <w:t> </w:t>
      </w:r>
      <w:r>
        <w:rPr>
          <w:sz w:val="20"/>
        </w:rPr>
        <w:t>the</w:t>
      </w:r>
      <w:r>
        <w:rPr>
          <w:spacing w:val="-10"/>
          <w:sz w:val="20"/>
        </w:rPr>
        <w:t> </w:t>
      </w:r>
      <w:r>
        <w:rPr>
          <w:sz w:val="20"/>
        </w:rPr>
        <w:t>13th</w:t>
      </w:r>
      <w:r>
        <w:rPr>
          <w:spacing w:val="-9"/>
          <w:sz w:val="20"/>
        </w:rPr>
        <w:t> </w:t>
      </w:r>
      <w:r>
        <w:rPr>
          <w:sz w:val="20"/>
        </w:rPr>
        <w:t>person</w:t>
      </w:r>
      <w:r>
        <w:rPr>
          <w:spacing w:val="-9"/>
          <w:sz w:val="20"/>
        </w:rPr>
        <w:t> </w:t>
      </w:r>
      <w:r>
        <w:rPr>
          <w:spacing w:val="-3"/>
          <w:sz w:val="20"/>
        </w:rPr>
        <w:t>rule,</w:t>
      </w:r>
      <w:r>
        <w:rPr>
          <w:spacing w:val="-9"/>
          <w:sz w:val="20"/>
        </w:rPr>
        <w:t> </w:t>
      </w:r>
      <w:r>
        <w:rPr>
          <w:sz w:val="20"/>
        </w:rPr>
        <w:t>for</w:t>
      </w:r>
      <w:r>
        <w:rPr>
          <w:spacing w:val="-9"/>
          <w:sz w:val="20"/>
        </w:rPr>
        <w:t> </w:t>
      </w:r>
      <w:r>
        <w:rPr>
          <w:spacing w:val="-3"/>
          <w:sz w:val="20"/>
        </w:rPr>
        <w:t>example</w:t>
      </w:r>
      <w:r>
        <w:rPr>
          <w:spacing w:val="-9"/>
          <w:sz w:val="20"/>
        </w:rPr>
        <w:t> </w:t>
      </w:r>
      <w:r>
        <w:rPr>
          <w:sz w:val="20"/>
        </w:rPr>
        <w:t>enabling</w:t>
      </w:r>
      <w:r>
        <w:rPr>
          <w:spacing w:val="-9"/>
          <w:sz w:val="20"/>
        </w:rPr>
        <w:t> </w:t>
      </w:r>
      <w:r>
        <w:rPr>
          <w:sz w:val="20"/>
        </w:rPr>
        <w:t>deaf</w:t>
      </w:r>
      <w:r>
        <w:rPr>
          <w:spacing w:val="-10"/>
          <w:sz w:val="20"/>
        </w:rPr>
        <w:t> </w:t>
      </w:r>
      <w:r>
        <w:rPr>
          <w:sz w:val="20"/>
        </w:rPr>
        <w:t>jurors who can lip-read to serve. In </w:t>
      </w:r>
      <w:r>
        <w:rPr>
          <w:spacing w:val="-3"/>
          <w:sz w:val="20"/>
        </w:rPr>
        <w:t>2022 </w:t>
      </w:r>
      <w:r>
        <w:rPr>
          <w:sz w:val="20"/>
        </w:rPr>
        <w:t>the law changed to </w:t>
      </w:r>
      <w:r>
        <w:rPr>
          <w:spacing w:val="-3"/>
          <w:sz w:val="20"/>
        </w:rPr>
        <w:t>allow </w:t>
      </w:r>
      <w:r>
        <w:rPr>
          <w:sz w:val="20"/>
        </w:rPr>
        <w:t>a British Sign Language (BSL)</w:t>
      </w:r>
      <w:r>
        <w:rPr>
          <w:spacing w:val="-7"/>
          <w:sz w:val="20"/>
        </w:rPr>
        <w:t> </w:t>
      </w:r>
      <w:r>
        <w:rPr>
          <w:spacing w:val="-3"/>
          <w:sz w:val="20"/>
        </w:rPr>
        <w:t>interpreter</w:t>
      </w:r>
      <w:r>
        <w:rPr>
          <w:spacing w:val="-7"/>
          <w:sz w:val="20"/>
        </w:rPr>
        <w:t> </w:t>
      </w:r>
      <w:r>
        <w:rPr>
          <w:sz w:val="20"/>
        </w:rPr>
        <w:t>to</w:t>
      </w:r>
      <w:r>
        <w:rPr>
          <w:spacing w:val="-6"/>
          <w:sz w:val="20"/>
        </w:rPr>
        <w:t> </w:t>
      </w:r>
      <w:r>
        <w:rPr>
          <w:spacing w:val="-3"/>
          <w:sz w:val="20"/>
        </w:rPr>
        <w:t>work</w:t>
      </w:r>
      <w:r>
        <w:rPr>
          <w:spacing w:val="-7"/>
          <w:sz w:val="20"/>
        </w:rPr>
        <w:t> </w:t>
      </w:r>
      <w:r>
        <w:rPr>
          <w:sz w:val="20"/>
        </w:rPr>
        <w:t>alongside</w:t>
      </w:r>
      <w:r>
        <w:rPr>
          <w:spacing w:val="-6"/>
          <w:sz w:val="20"/>
        </w:rPr>
        <w:t> </w:t>
      </w:r>
      <w:r>
        <w:rPr>
          <w:sz w:val="20"/>
        </w:rPr>
        <w:t>a</w:t>
      </w:r>
      <w:r>
        <w:rPr>
          <w:spacing w:val="-7"/>
          <w:sz w:val="20"/>
        </w:rPr>
        <w:t> </w:t>
      </w:r>
      <w:r>
        <w:rPr>
          <w:sz w:val="20"/>
        </w:rPr>
        <w:t>juror</w:t>
      </w:r>
      <w:r>
        <w:rPr>
          <w:spacing w:val="-6"/>
          <w:sz w:val="20"/>
        </w:rPr>
        <w:t> </w:t>
      </w:r>
      <w:r>
        <w:rPr>
          <w:sz w:val="20"/>
        </w:rPr>
        <w:t>in</w:t>
      </w:r>
      <w:r>
        <w:rPr>
          <w:spacing w:val="-7"/>
          <w:sz w:val="20"/>
        </w:rPr>
        <w:t> </w:t>
      </w:r>
      <w:r>
        <w:rPr>
          <w:sz w:val="20"/>
        </w:rPr>
        <w:t>jury</w:t>
      </w:r>
      <w:r>
        <w:rPr>
          <w:spacing w:val="-6"/>
          <w:sz w:val="20"/>
        </w:rPr>
        <w:t> </w:t>
      </w:r>
      <w:r>
        <w:rPr>
          <w:sz w:val="20"/>
        </w:rPr>
        <w:t>deliberations</w:t>
      </w:r>
      <w:r>
        <w:rPr>
          <w:spacing w:val="-7"/>
          <w:sz w:val="20"/>
        </w:rPr>
        <w:t> </w:t>
      </w:r>
      <w:r>
        <w:rPr>
          <w:sz w:val="20"/>
        </w:rPr>
        <w:t>(discussed</w:t>
      </w:r>
      <w:r>
        <w:rPr>
          <w:spacing w:val="-6"/>
          <w:sz w:val="20"/>
        </w:rPr>
        <w:t> </w:t>
      </w:r>
      <w:r>
        <w:rPr>
          <w:spacing w:val="-4"/>
          <w:sz w:val="20"/>
        </w:rPr>
        <w:t>below).</w:t>
      </w:r>
      <w:r>
        <w:rPr>
          <w:spacing w:val="-4"/>
          <w:position w:val="7"/>
          <w:sz w:val="11"/>
        </w:rPr>
        <w:t>72</w:t>
      </w:r>
    </w:p>
    <w:p>
      <w:pPr>
        <w:pStyle w:val="ListParagraph"/>
        <w:numPr>
          <w:ilvl w:val="1"/>
          <w:numId w:val="12"/>
        </w:numPr>
        <w:tabs>
          <w:tab w:pos="1761" w:val="left" w:leader="none"/>
          <w:tab w:pos="1762" w:val="left" w:leader="none"/>
        </w:tabs>
        <w:spacing w:line="240" w:lineRule="auto" w:before="95" w:after="0"/>
        <w:ind w:left="1761" w:right="0" w:hanging="794"/>
        <w:jc w:val="left"/>
        <w:rPr>
          <w:sz w:val="20"/>
        </w:rPr>
      </w:pPr>
      <w:r>
        <w:rPr>
          <w:sz w:val="20"/>
        </w:rPr>
        <w:t>In</w:t>
      </w:r>
      <w:r>
        <w:rPr>
          <w:spacing w:val="-5"/>
          <w:sz w:val="20"/>
        </w:rPr>
        <w:t> </w:t>
      </w:r>
      <w:r>
        <w:rPr>
          <w:sz w:val="20"/>
        </w:rPr>
        <w:t>2001,</w:t>
      </w:r>
      <w:r>
        <w:rPr>
          <w:spacing w:val="-4"/>
          <w:sz w:val="20"/>
        </w:rPr>
        <w:t> </w:t>
      </w:r>
      <w:r>
        <w:rPr>
          <w:spacing w:val="-3"/>
          <w:sz w:val="20"/>
        </w:rPr>
        <w:t>Lord</w:t>
      </w:r>
      <w:r>
        <w:rPr>
          <w:spacing w:val="-5"/>
          <w:sz w:val="20"/>
        </w:rPr>
        <w:t> </w:t>
      </w:r>
      <w:r>
        <w:rPr>
          <w:sz w:val="20"/>
        </w:rPr>
        <w:t>Justice</w:t>
      </w:r>
      <w:r>
        <w:rPr>
          <w:spacing w:val="-4"/>
          <w:sz w:val="20"/>
        </w:rPr>
        <w:t> </w:t>
      </w:r>
      <w:r>
        <w:rPr>
          <w:spacing w:val="-3"/>
          <w:sz w:val="20"/>
        </w:rPr>
        <w:t>Auld</w:t>
      </w:r>
      <w:r>
        <w:rPr>
          <w:spacing w:val="-5"/>
          <w:sz w:val="20"/>
        </w:rPr>
        <w:t> </w:t>
      </w:r>
      <w:r>
        <w:rPr>
          <w:sz w:val="20"/>
        </w:rPr>
        <w:t>noted</w:t>
      </w:r>
      <w:r>
        <w:rPr>
          <w:spacing w:val="-4"/>
          <w:sz w:val="20"/>
        </w:rPr>
        <w:t> </w:t>
      </w:r>
      <w:r>
        <w:rPr>
          <w:sz w:val="20"/>
        </w:rPr>
        <w:t>that</w:t>
      </w:r>
      <w:r>
        <w:rPr>
          <w:spacing w:val="-5"/>
          <w:sz w:val="20"/>
        </w:rPr>
        <w:t> </w:t>
      </w:r>
      <w:r>
        <w:rPr>
          <w:sz w:val="20"/>
        </w:rPr>
        <w:t>changes</w:t>
      </w:r>
      <w:r>
        <w:rPr>
          <w:spacing w:val="-4"/>
          <w:sz w:val="20"/>
        </w:rPr>
        <w:t> </w:t>
      </w:r>
      <w:r>
        <w:rPr>
          <w:sz w:val="20"/>
        </w:rPr>
        <w:t>in</w:t>
      </w:r>
      <w:r>
        <w:rPr>
          <w:spacing w:val="-5"/>
          <w:sz w:val="20"/>
        </w:rPr>
        <w:t> </w:t>
      </w:r>
      <w:r>
        <w:rPr>
          <w:sz w:val="20"/>
        </w:rPr>
        <w:t>the</w:t>
      </w:r>
      <w:r>
        <w:rPr>
          <w:spacing w:val="-4"/>
          <w:sz w:val="20"/>
        </w:rPr>
        <w:t> </w:t>
      </w:r>
      <w:r>
        <w:rPr>
          <w:sz w:val="20"/>
        </w:rPr>
        <w:t>1990s:</w:t>
      </w:r>
    </w:p>
    <w:p>
      <w:pPr>
        <w:spacing w:line="247" w:lineRule="exact" w:before="84"/>
        <w:ind w:left="2157" w:right="0" w:firstLine="0"/>
        <w:jc w:val="left"/>
        <w:rPr>
          <w:sz w:val="19"/>
        </w:rPr>
      </w:pPr>
      <w:r>
        <w:rPr>
          <w:sz w:val="19"/>
        </w:rPr>
        <w:t>effectively established a presumption that people with disabilities attending court in</w:t>
      </w:r>
    </w:p>
    <w:p>
      <w:pPr>
        <w:spacing w:line="247" w:lineRule="exact" w:before="0"/>
        <w:ind w:left="2157" w:right="0" w:firstLine="0"/>
        <w:jc w:val="left"/>
        <w:rPr>
          <w:sz w:val="11"/>
        </w:rPr>
      </w:pPr>
      <w:r>
        <w:rPr>
          <w:sz w:val="19"/>
        </w:rPr>
        <w:t>response to a summons can serve on juries.</w:t>
      </w:r>
      <w:r>
        <w:rPr>
          <w:position w:val="6"/>
          <w:sz w:val="11"/>
        </w:rPr>
        <w:t>73</w:t>
      </w:r>
    </w:p>
    <w:p>
      <w:pPr>
        <w:pStyle w:val="BodyText"/>
      </w:pPr>
    </w:p>
    <w:p>
      <w:pPr>
        <w:pStyle w:val="BodyText"/>
      </w:pPr>
    </w:p>
    <w:p>
      <w:pPr>
        <w:pStyle w:val="BodyText"/>
      </w:pPr>
    </w:p>
    <w:p>
      <w:pPr>
        <w:pStyle w:val="BodyText"/>
      </w:pPr>
    </w:p>
    <w:p>
      <w:pPr>
        <w:pStyle w:val="BodyText"/>
        <w:spacing w:before="5"/>
        <w:rPr>
          <w:sz w:val="16"/>
        </w:rPr>
      </w:pPr>
      <w:r>
        <w:rPr/>
        <w:pict>
          <v:line style="position:absolute;mso-position-horizontal-relative:page;mso-position-vertical-relative:paragraph;z-index:6176;mso-wrap-distance-left:0;mso-wrap-distance-right:0" from="79.370003pt,13.82878pt" to="515.905003pt,13.82878pt" stroked="true" strokeweight="1pt" strokecolor="#b6bdc8">
            <v:stroke dashstyle="solid"/>
            <w10:wrap type="topAndBottom"/>
          </v:line>
        </w:pict>
      </w:r>
    </w:p>
    <w:p>
      <w:pPr>
        <w:pStyle w:val="ListParagraph"/>
        <w:numPr>
          <w:ilvl w:val="0"/>
          <w:numId w:val="71"/>
        </w:numPr>
        <w:tabs>
          <w:tab w:pos="1761" w:val="left" w:leader="none"/>
          <w:tab w:pos="1762" w:val="left" w:leader="none"/>
        </w:tabs>
        <w:spacing w:line="170" w:lineRule="exact" w:before="91" w:after="0"/>
        <w:ind w:left="1761" w:right="0" w:hanging="794"/>
        <w:jc w:val="left"/>
        <w:rPr>
          <w:sz w:val="13"/>
        </w:rPr>
      </w:pPr>
      <w:r>
        <w:rPr>
          <w:spacing w:val="2"/>
          <w:sz w:val="13"/>
        </w:rPr>
        <w:t>Ibid.</w:t>
      </w:r>
    </w:p>
    <w:p>
      <w:pPr>
        <w:pStyle w:val="ListParagraph"/>
        <w:numPr>
          <w:ilvl w:val="0"/>
          <w:numId w:val="71"/>
        </w:numPr>
        <w:tabs>
          <w:tab w:pos="1760" w:val="left" w:leader="none"/>
          <w:tab w:pos="1762" w:val="left" w:leader="none"/>
        </w:tabs>
        <w:spacing w:line="213" w:lineRule="auto" w:before="6" w:after="0"/>
        <w:ind w:left="1761" w:right="1734" w:hanging="794"/>
        <w:jc w:val="left"/>
        <w:rPr>
          <w:sz w:val="13"/>
        </w:rPr>
      </w:pPr>
      <w:r>
        <w:rPr>
          <w:sz w:val="13"/>
        </w:rPr>
        <w:t>‘Law Change </w:t>
      </w:r>
      <w:r>
        <w:rPr>
          <w:spacing w:val="2"/>
          <w:sz w:val="13"/>
        </w:rPr>
        <w:t>Opens </w:t>
      </w:r>
      <w:r>
        <w:rPr>
          <w:sz w:val="13"/>
        </w:rPr>
        <w:t>Doors for Deaf Jurors in </w:t>
      </w:r>
      <w:r>
        <w:rPr>
          <w:spacing w:val="2"/>
          <w:sz w:val="13"/>
        </w:rPr>
        <w:t>England </w:t>
      </w:r>
      <w:r>
        <w:rPr>
          <w:sz w:val="13"/>
        </w:rPr>
        <w:t>and Wales’, </w:t>
      </w:r>
      <w:r>
        <w:rPr>
          <w:i/>
          <w:sz w:val="13"/>
        </w:rPr>
        <w:t>Hearing Link </w:t>
      </w:r>
      <w:r>
        <w:rPr>
          <w:sz w:val="13"/>
        </w:rPr>
        <w:t>(Web Page, 17 March 2021) &lt;</w:t>
      </w:r>
      <w:hyperlink r:id="rId162">
        <w:r>
          <w:rPr>
            <w:sz w:val="13"/>
          </w:rPr>
          <w:t>https://www.</w:t>
        </w:r>
      </w:hyperlink>
      <w:hyperlink r:id="rId162">
        <w:r>
          <w:rPr>
            <w:sz w:val="13"/>
          </w:rPr>
          <w:t> hearinglink.org/news/202103/law-change-opens-doors-for-deaf-jurors-in-england-and-wales/</w:t>
        </w:r>
      </w:hyperlink>
      <w:r>
        <w:rPr>
          <w:sz w:val="13"/>
        </w:rPr>
        <w:t>&gt;.</w:t>
      </w:r>
    </w:p>
    <w:p>
      <w:pPr>
        <w:pStyle w:val="ListParagraph"/>
        <w:numPr>
          <w:ilvl w:val="0"/>
          <w:numId w:val="71"/>
        </w:numPr>
        <w:tabs>
          <w:tab w:pos="1761" w:val="left" w:leader="none"/>
          <w:tab w:pos="1762" w:val="left" w:leader="none"/>
        </w:tabs>
        <w:spacing w:line="153" w:lineRule="exact" w:before="0" w:after="0"/>
        <w:ind w:left="1761" w:right="0" w:hanging="794"/>
        <w:jc w:val="left"/>
        <w:rPr>
          <w:sz w:val="13"/>
        </w:rPr>
      </w:pPr>
      <w:r>
        <w:rPr>
          <w:i/>
          <w:sz w:val="13"/>
        </w:rPr>
        <w:t>Juries Act 1974 </w:t>
      </w:r>
      <w:r>
        <w:rPr>
          <w:spacing w:val="2"/>
          <w:sz w:val="13"/>
        </w:rPr>
        <w:t>(UK) </w:t>
      </w:r>
      <w:r>
        <w:rPr>
          <w:sz w:val="13"/>
        </w:rPr>
        <w:t>s</w:t>
      </w:r>
      <w:r>
        <w:rPr>
          <w:spacing w:val="-2"/>
          <w:sz w:val="13"/>
        </w:rPr>
        <w:t> </w:t>
      </w:r>
      <w:r>
        <w:rPr>
          <w:spacing w:val="2"/>
          <w:sz w:val="13"/>
        </w:rPr>
        <w:t>1.</w:t>
      </w:r>
    </w:p>
    <w:p>
      <w:pPr>
        <w:pStyle w:val="ListParagraph"/>
        <w:numPr>
          <w:ilvl w:val="0"/>
          <w:numId w:val="71"/>
        </w:numPr>
        <w:tabs>
          <w:tab w:pos="1761" w:val="left" w:leader="none"/>
          <w:tab w:pos="1762" w:val="left" w:leader="none"/>
        </w:tabs>
        <w:spacing w:line="160" w:lineRule="exact" w:before="0" w:after="0"/>
        <w:ind w:left="1761" w:right="0" w:hanging="794"/>
        <w:jc w:val="left"/>
        <w:rPr>
          <w:sz w:val="13"/>
        </w:rPr>
      </w:pPr>
      <w:r>
        <w:rPr>
          <w:sz w:val="13"/>
        </w:rPr>
        <w:t>Ibid s </w:t>
      </w:r>
      <w:r>
        <w:rPr>
          <w:spacing w:val="2"/>
          <w:sz w:val="13"/>
        </w:rPr>
        <w:t>9B(1).</w:t>
      </w:r>
    </w:p>
    <w:p>
      <w:pPr>
        <w:pStyle w:val="ListParagraph"/>
        <w:numPr>
          <w:ilvl w:val="0"/>
          <w:numId w:val="71"/>
        </w:numPr>
        <w:tabs>
          <w:tab w:pos="1761" w:val="left" w:leader="none"/>
          <w:tab w:pos="1762" w:val="left" w:leader="none"/>
        </w:tabs>
        <w:spacing w:line="213" w:lineRule="auto" w:before="6" w:after="0"/>
        <w:ind w:left="1761" w:right="1259" w:hanging="794"/>
        <w:jc w:val="left"/>
        <w:rPr>
          <w:sz w:val="13"/>
        </w:rPr>
      </w:pPr>
      <w:r>
        <w:rPr>
          <w:sz w:val="13"/>
        </w:rPr>
        <w:t>Ibid s 2. ‘The judge’ is defined in the relevant section as (a) any judge of the High </w:t>
      </w:r>
      <w:r>
        <w:rPr>
          <w:spacing w:val="2"/>
          <w:sz w:val="13"/>
        </w:rPr>
        <w:t>Court </w:t>
      </w:r>
      <w:r>
        <w:rPr>
          <w:sz w:val="13"/>
        </w:rPr>
        <w:t>or any Circuit judge or Recorder, or (b) any </w:t>
      </w:r>
      <w:r>
        <w:rPr>
          <w:spacing w:val="2"/>
          <w:sz w:val="13"/>
        </w:rPr>
        <w:t>qualifying </w:t>
      </w:r>
      <w:r>
        <w:rPr>
          <w:sz w:val="13"/>
        </w:rPr>
        <w:t>judge advocate (within the meaning of the </w:t>
      </w:r>
      <w:r>
        <w:rPr>
          <w:i/>
          <w:sz w:val="13"/>
        </w:rPr>
        <w:t>Senior </w:t>
      </w:r>
      <w:r>
        <w:rPr>
          <w:i/>
          <w:spacing w:val="2"/>
          <w:sz w:val="13"/>
        </w:rPr>
        <w:t>Courts </w:t>
      </w:r>
      <w:r>
        <w:rPr>
          <w:i/>
          <w:sz w:val="13"/>
        </w:rPr>
        <w:t>Act 1981 </w:t>
      </w:r>
      <w:r>
        <w:rPr>
          <w:spacing w:val="2"/>
          <w:sz w:val="13"/>
        </w:rPr>
        <w:t>(UK)) </w:t>
      </w:r>
      <w:r>
        <w:rPr>
          <w:sz w:val="13"/>
        </w:rPr>
        <w:t>if the summons to attend for </w:t>
      </w:r>
      <w:r>
        <w:rPr>
          <w:spacing w:val="2"/>
          <w:sz w:val="13"/>
        </w:rPr>
        <w:t>jury service </w:t>
      </w:r>
      <w:r>
        <w:rPr>
          <w:sz w:val="13"/>
        </w:rPr>
        <w:t>is in    the Crown </w:t>
      </w:r>
      <w:r>
        <w:rPr>
          <w:spacing w:val="2"/>
          <w:sz w:val="13"/>
        </w:rPr>
        <w:t>Court: </w:t>
      </w:r>
      <w:r>
        <w:rPr>
          <w:sz w:val="13"/>
        </w:rPr>
        <w:t>at s </w:t>
      </w:r>
      <w:r>
        <w:rPr>
          <w:spacing w:val="2"/>
          <w:sz w:val="13"/>
        </w:rPr>
        <w:t>9B(3), </w:t>
      </w:r>
      <w:r>
        <w:rPr>
          <w:sz w:val="13"/>
        </w:rPr>
        <w:t>(4)</w:t>
      </w:r>
      <w:r>
        <w:rPr>
          <w:spacing w:val="-4"/>
          <w:sz w:val="13"/>
        </w:rPr>
        <w:t> </w:t>
      </w:r>
      <w:r>
        <w:rPr>
          <w:sz w:val="13"/>
        </w:rPr>
        <w:t>.</w:t>
      </w:r>
    </w:p>
    <w:p>
      <w:pPr>
        <w:pStyle w:val="ListParagraph"/>
        <w:numPr>
          <w:ilvl w:val="0"/>
          <w:numId w:val="71"/>
        </w:numPr>
        <w:tabs>
          <w:tab w:pos="1761" w:val="left" w:leader="none"/>
          <w:tab w:pos="1762" w:val="left" w:leader="none"/>
        </w:tabs>
        <w:spacing w:line="213" w:lineRule="auto" w:before="0" w:after="0"/>
        <w:ind w:left="1761" w:right="1376" w:hanging="794"/>
        <w:jc w:val="left"/>
        <w:rPr>
          <w:sz w:val="13"/>
        </w:rPr>
      </w:pPr>
      <w:r>
        <w:rPr>
          <w:sz w:val="13"/>
        </w:rPr>
        <w:t>Information provided by Her Majesty’s </w:t>
      </w:r>
      <w:r>
        <w:rPr>
          <w:spacing w:val="2"/>
          <w:sz w:val="13"/>
        </w:rPr>
        <w:t>Courts </w:t>
      </w:r>
      <w:r>
        <w:rPr>
          <w:sz w:val="13"/>
        </w:rPr>
        <w:t>and Tribunals </w:t>
      </w:r>
      <w:r>
        <w:rPr>
          <w:spacing w:val="2"/>
          <w:sz w:val="13"/>
        </w:rPr>
        <w:t>Service </w:t>
      </w:r>
      <w:r>
        <w:rPr>
          <w:sz w:val="13"/>
        </w:rPr>
        <w:t>to Victorian Law Reform </w:t>
      </w:r>
      <w:r>
        <w:rPr>
          <w:spacing w:val="2"/>
          <w:sz w:val="13"/>
        </w:rPr>
        <w:t>Commission, </w:t>
      </w:r>
      <w:r>
        <w:rPr>
          <w:sz w:val="13"/>
        </w:rPr>
        <w:t>17 August 2020. Her Majesty’s </w:t>
      </w:r>
      <w:r>
        <w:rPr>
          <w:spacing w:val="2"/>
          <w:sz w:val="13"/>
        </w:rPr>
        <w:t>Courts </w:t>
      </w:r>
      <w:r>
        <w:rPr>
          <w:sz w:val="13"/>
        </w:rPr>
        <w:t>and Tribunal </w:t>
      </w:r>
      <w:r>
        <w:rPr>
          <w:spacing w:val="2"/>
          <w:sz w:val="13"/>
        </w:rPr>
        <w:t>Service </w:t>
      </w:r>
      <w:r>
        <w:rPr>
          <w:sz w:val="13"/>
        </w:rPr>
        <w:t>is responsible for the administration of criminal, civil and family </w:t>
      </w:r>
      <w:r>
        <w:rPr>
          <w:spacing w:val="2"/>
          <w:sz w:val="13"/>
        </w:rPr>
        <w:t>courts </w:t>
      </w:r>
      <w:r>
        <w:rPr>
          <w:sz w:val="13"/>
        </w:rPr>
        <w:t>and </w:t>
      </w:r>
      <w:r>
        <w:rPr>
          <w:spacing w:val="2"/>
          <w:sz w:val="13"/>
        </w:rPr>
        <w:t>tribunals </w:t>
      </w:r>
      <w:r>
        <w:rPr>
          <w:sz w:val="13"/>
        </w:rPr>
        <w:t>in </w:t>
      </w:r>
      <w:r>
        <w:rPr>
          <w:spacing w:val="2"/>
          <w:sz w:val="13"/>
        </w:rPr>
        <w:t>England </w:t>
      </w:r>
      <w:r>
        <w:rPr>
          <w:sz w:val="13"/>
        </w:rPr>
        <w:t>and</w:t>
      </w:r>
      <w:r>
        <w:rPr>
          <w:spacing w:val="-2"/>
          <w:sz w:val="13"/>
        </w:rPr>
        <w:t> </w:t>
      </w:r>
      <w:r>
        <w:rPr>
          <w:sz w:val="13"/>
        </w:rPr>
        <w:t>Wales.</w:t>
      </w:r>
    </w:p>
    <w:p>
      <w:pPr>
        <w:pStyle w:val="ListParagraph"/>
        <w:numPr>
          <w:ilvl w:val="0"/>
          <w:numId w:val="71"/>
        </w:numPr>
        <w:tabs>
          <w:tab w:pos="1761" w:val="left" w:leader="none"/>
          <w:tab w:pos="1762" w:val="left" w:leader="none"/>
        </w:tabs>
        <w:spacing w:line="152" w:lineRule="exact" w:before="0" w:after="0"/>
        <w:ind w:left="1761" w:right="0" w:hanging="794"/>
        <w:jc w:val="left"/>
        <w:rPr>
          <w:sz w:val="13"/>
        </w:rPr>
      </w:pPr>
      <w:r>
        <w:rPr>
          <w:i/>
          <w:sz w:val="13"/>
        </w:rPr>
        <w:t>Juries Act 1974 </w:t>
      </w:r>
      <w:r>
        <w:rPr>
          <w:spacing w:val="2"/>
          <w:sz w:val="13"/>
        </w:rPr>
        <w:t>(UK) </w:t>
      </w:r>
      <w:r>
        <w:rPr>
          <w:sz w:val="13"/>
        </w:rPr>
        <w:t>s</w:t>
      </w:r>
      <w:r>
        <w:rPr>
          <w:spacing w:val="-2"/>
          <w:sz w:val="13"/>
        </w:rPr>
        <w:t> </w:t>
      </w:r>
      <w:r>
        <w:rPr>
          <w:spacing w:val="2"/>
          <w:sz w:val="13"/>
        </w:rPr>
        <w:t>9B(2).</w:t>
      </w:r>
    </w:p>
    <w:p>
      <w:pPr>
        <w:pStyle w:val="ListParagraph"/>
        <w:numPr>
          <w:ilvl w:val="0"/>
          <w:numId w:val="71"/>
        </w:numPr>
        <w:tabs>
          <w:tab w:pos="1761" w:val="left" w:leader="none"/>
          <w:tab w:pos="1762" w:val="left" w:leader="none"/>
        </w:tabs>
        <w:spacing w:line="160" w:lineRule="exact" w:before="0" w:after="0"/>
        <w:ind w:left="1761" w:right="0" w:hanging="794"/>
        <w:jc w:val="left"/>
        <w:rPr>
          <w:sz w:val="13"/>
        </w:rPr>
      </w:pPr>
      <w:r>
        <w:rPr>
          <w:i/>
          <w:sz w:val="13"/>
        </w:rPr>
        <w:t>Police, Crime, Sentencing and </w:t>
      </w:r>
      <w:r>
        <w:rPr>
          <w:i/>
          <w:spacing w:val="2"/>
          <w:sz w:val="13"/>
        </w:rPr>
        <w:t>Courts </w:t>
      </w:r>
      <w:r>
        <w:rPr>
          <w:i/>
          <w:sz w:val="13"/>
        </w:rPr>
        <w:t>Act 2022 </w:t>
      </w:r>
      <w:r>
        <w:rPr>
          <w:spacing w:val="2"/>
          <w:sz w:val="13"/>
        </w:rPr>
        <w:t>(UK) </w:t>
      </w:r>
      <w:r>
        <w:rPr>
          <w:sz w:val="13"/>
        </w:rPr>
        <w:t>s </w:t>
      </w:r>
      <w:r>
        <w:rPr>
          <w:spacing w:val="2"/>
          <w:sz w:val="13"/>
        </w:rPr>
        <w:t>196. </w:t>
      </w:r>
      <w:r>
        <w:rPr>
          <w:sz w:val="13"/>
        </w:rPr>
        <w:t>This Act only </w:t>
      </w:r>
      <w:r>
        <w:rPr>
          <w:spacing w:val="2"/>
          <w:sz w:val="13"/>
        </w:rPr>
        <w:t>applies </w:t>
      </w:r>
      <w:r>
        <w:rPr>
          <w:sz w:val="13"/>
        </w:rPr>
        <w:t>to </w:t>
      </w:r>
      <w:r>
        <w:rPr>
          <w:spacing w:val="2"/>
          <w:sz w:val="13"/>
        </w:rPr>
        <w:t>England </w:t>
      </w:r>
      <w:r>
        <w:rPr>
          <w:sz w:val="13"/>
        </w:rPr>
        <w:t>and Wales.</w:t>
      </w:r>
    </w:p>
    <w:p>
      <w:pPr>
        <w:pStyle w:val="ListParagraph"/>
        <w:numPr>
          <w:ilvl w:val="0"/>
          <w:numId w:val="71"/>
        </w:numPr>
        <w:tabs>
          <w:tab w:pos="1761" w:val="left" w:leader="none"/>
          <w:tab w:pos="1762" w:val="left" w:leader="none"/>
        </w:tabs>
        <w:spacing w:line="213" w:lineRule="auto" w:before="5" w:after="0"/>
        <w:ind w:left="1761" w:right="1405" w:hanging="794"/>
        <w:jc w:val="left"/>
        <w:rPr>
          <w:sz w:val="13"/>
        </w:rPr>
      </w:pPr>
      <w:r>
        <w:rPr/>
        <w:pict>
          <v:shape style="position:absolute;margin-left:36pt;margin-top:11.64459pt;width:14.6pt;height:14.1pt;mso-position-horizontal-relative:page;mso-position-vertical-relative:paragraph;z-index:8248" type="#_x0000_t202" filled="false" stroked="false">
            <v:textbox inset="0,0,0,0">
              <w:txbxContent>
                <w:p>
                  <w:pPr>
                    <w:spacing w:line="282" w:lineRule="exact" w:before="0"/>
                    <w:ind w:left="0" w:right="0" w:firstLine="0"/>
                    <w:jc w:val="left"/>
                    <w:rPr>
                      <w:b/>
                      <w:sz w:val="24"/>
                    </w:rPr>
                  </w:pPr>
                  <w:r>
                    <w:rPr>
                      <w:b/>
                      <w:color w:val="37617A"/>
                      <w:sz w:val="24"/>
                    </w:rPr>
                    <w:t>98</w:t>
                  </w:r>
                </w:p>
              </w:txbxContent>
            </v:textbox>
            <w10:wrap type="none"/>
          </v:shape>
        </w:pict>
      </w:r>
      <w:r>
        <w:rPr>
          <w:sz w:val="13"/>
        </w:rPr>
        <w:t>Lord Justice Robin Auld, </w:t>
      </w:r>
      <w:r>
        <w:rPr>
          <w:spacing w:val="2"/>
          <w:sz w:val="13"/>
        </w:rPr>
        <w:t>Ministry </w:t>
      </w:r>
      <w:r>
        <w:rPr>
          <w:sz w:val="13"/>
        </w:rPr>
        <w:t>of Justice (UK), </w:t>
      </w:r>
      <w:r>
        <w:rPr>
          <w:i/>
          <w:sz w:val="13"/>
        </w:rPr>
        <w:t>Review of the Criminal </w:t>
      </w:r>
      <w:r>
        <w:rPr>
          <w:i/>
          <w:spacing w:val="2"/>
          <w:sz w:val="13"/>
        </w:rPr>
        <w:t>Courts </w:t>
      </w:r>
      <w:r>
        <w:rPr>
          <w:i/>
          <w:sz w:val="13"/>
        </w:rPr>
        <w:t>of England and Wales </w:t>
      </w:r>
      <w:r>
        <w:rPr>
          <w:spacing w:val="2"/>
          <w:sz w:val="13"/>
        </w:rPr>
        <w:t>(Report, </w:t>
      </w:r>
      <w:r>
        <w:rPr>
          <w:sz w:val="13"/>
        </w:rPr>
        <w:t>September 2001) ch 5 [42] &lt;</w:t>
      </w:r>
      <w:hyperlink r:id="rId136">
        <w:r>
          <w:rPr>
            <w:sz w:val="13"/>
          </w:rPr>
          <w:t>https://ials.sas.ac.uk/eagle-i/review-criminal-courts-england-and-wales-right-honourable-lord-justice-auld-</w:t>
        </w:r>
      </w:hyperlink>
      <w:hyperlink r:id="rId136">
        <w:r>
          <w:rPr>
            <w:sz w:val="13"/>
          </w:rPr>
          <w:t> september-2001</w:t>
        </w:r>
      </w:hyperlink>
      <w:r>
        <w:rPr>
          <w:sz w:val="13"/>
        </w:rPr>
        <w:t>&gt;.</w:t>
      </w:r>
    </w:p>
    <w:p>
      <w:pPr>
        <w:spacing w:after="0" w:line="213" w:lineRule="auto"/>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40" w:lineRule="auto" w:before="58" w:after="0"/>
        <w:ind w:left="1761" w:right="0" w:hanging="794"/>
        <w:jc w:val="left"/>
        <w:rPr>
          <w:sz w:val="20"/>
        </w:rPr>
      </w:pPr>
      <w:r>
        <w:rPr>
          <w:spacing w:val="-3"/>
          <w:sz w:val="20"/>
        </w:rPr>
        <w:t>Lord</w:t>
      </w:r>
      <w:r>
        <w:rPr>
          <w:spacing w:val="-7"/>
          <w:sz w:val="20"/>
        </w:rPr>
        <w:t> </w:t>
      </w:r>
      <w:r>
        <w:rPr>
          <w:sz w:val="20"/>
        </w:rPr>
        <w:t>Justice</w:t>
      </w:r>
      <w:r>
        <w:rPr>
          <w:spacing w:val="-6"/>
          <w:sz w:val="20"/>
        </w:rPr>
        <w:t> </w:t>
      </w:r>
      <w:r>
        <w:rPr>
          <w:spacing w:val="-3"/>
          <w:sz w:val="20"/>
        </w:rPr>
        <w:t>Auld</w:t>
      </w:r>
      <w:r>
        <w:rPr>
          <w:spacing w:val="-6"/>
          <w:sz w:val="20"/>
        </w:rPr>
        <w:t> </w:t>
      </w:r>
      <w:r>
        <w:rPr>
          <w:sz w:val="20"/>
        </w:rPr>
        <w:t>further</w:t>
      </w:r>
      <w:r>
        <w:rPr>
          <w:spacing w:val="-6"/>
          <w:sz w:val="20"/>
        </w:rPr>
        <w:t> </w:t>
      </w:r>
      <w:r>
        <w:rPr>
          <w:sz w:val="20"/>
        </w:rPr>
        <w:t>noted</w:t>
      </w:r>
      <w:r>
        <w:rPr>
          <w:spacing w:val="-7"/>
          <w:sz w:val="20"/>
        </w:rPr>
        <w:t> </w:t>
      </w:r>
      <w:r>
        <w:rPr>
          <w:sz w:val="20"/>
        </w:rPr>
        <w:t>that</w:t>
      </w:r>
      <w:r>
        <w:rPr>
          <w:spacing w:val="-6"/>
          <w:sz w:val="20"/>
        </w:rPr>
        <w:t> </w:t>
      </w:r>
      <w:r>
        <w:rPr>
          <w:sz w:val="20"/>
        </w:rPr>
        <w:t>enabling</w:t>
      </w:r>
      <w:r>
        <w:rPr>
          <w:spacing w:val="-6"/>
          <w:sz w:val="20"/>
        </w:rPr>
        <w:t> </w:t>
      </w:r>
      <w:r>
        <w:rPr>
          <w:sz w:val="20"/>
        </w:rPr>
        <w:t>people</w:t>
      </w:r>
      <w:r>
        <w:rPr>
          <w:spacing w:val="-6"/>
          <w:sz w:val="20"/>
        </w:rPr>
        <w:t> </w:t>
      </w:r>
      <w:r>
        <w:rPr>
          <w:sz w:val="20"/>
        </w:rPr>
        <w:t>with</w:t>
      </w:r>
      <w:r>
        <w:rPr>
          <w:spacing w:val="-6"/>
          <w:sz w:val="20"/>
        </w:rPr>
        <w:t> </w:t>
      </w:r>
      <w:r>
        <w:rPr>
          <w:sz w:val="20"/>
        </w:rPr>
        <w:t>disabilities</w:t>
      </w:r>
      <w:r>
        <w:rPr>
          <w:spacing w:val="-7"/>
          <w:sz w:val="20"/>
        </w:rPr>
        <w:t> </w:t>
      </w:r>
      <w:r>
        <w:rPr>
          <w:sz w:val="20"/>
        </w:rPr>
        <w:t>to</w:t>
      </w:r>
      <w:r>
        <w:rPr>
          <w:spacing w:val="-6"/>
          <w:sz w:val="20"/>
        </w:rPr>
        <w:t> </w:t>
      </w:r>
      <w:r>
        <w:rPr>
          <w:sz w:val="20"/>
        </w:rPr>
        <w:t>serve</w:t>
      </w:r>
      <w:r>
        <w:rPr>
          <w:spacing w:val="-6"/>
          <w:sz w:val="20"/>
        </w:rPr>
        <w:t> </w:t>
      </w:r>
      <w:r>
        <w:rPr>
          <w:sz w:val="20"/>
        </w:rPr>
        <w:t>as</w:t>
      </w:r>
      <w:r>
        <w:rPr>
          <w:spacing w:val="-6"/>
          <w:sz w:val="20"/>
        </w:rPr>
        <w:t> </w:t>
      </w:r>
      <w:r>
        <w:rPr>
          <w:sz w:val="20"/>
        </w:rPr>
        <w:t>jurors:</w:t>
      </w:r>
    </w:p>
    <w:p>
      <w:pPr>
        <w:spacing w:line="208" w:lineRule="auto" w:before="112"/>
        <w:ind w:left="2157" w:right="1333" w:firstLine="0"/>
        <w:jc w:val="left"/>
        <w:rPr>
          <w:sz w:val="19"/>
        </w:rPr>
      </w:pPr>
      <w:r>
        <w:rPr>
          <w:sz w:val="19"/>
        </w:rPr>
        <w:t>is not just a question of evaluating their disability and relating it to the task, but also of providing, where reasonably practicable, the facilities </w:t>
      </w:r>
      <w:r>
        <w:rPr>
          <w:spacing w:val="-3"/>
          <w:sz w:val="19"/>
        </w:rPr>
        <w:t>and/or </w:t>
      </w:r>
      <w:r>
        <w:rPr>
          <w:sz w:val="19"/>
        </w:rPr>
        <w:t>assistance to them to</w:t>
      </w:r>
      <w:r>
        <w:rPr>
          <w:spacing w:val="-4"/>
          <w:sz w:val="19"/>
        </w:rPr>
        <w:t> </w:t>
      </w:r>
      <w:r>
        <w:rPr>
          <w:sz w:val="19"/>
        </w:rPr>
        <w:t>undertake</w:t>
      </w:r>
      <w:r>
        <w:rPr>
          <w:spacing w:val="-4"/>
          <w:sz w:val="19"/>
        </w:rPr>
        <w:t> </w:t>
      </w:r>
      <w:r>
        <w:rPr>
          <w:sz w:val="19"/>
        </w:rPr>
        <w:t>it.</w:t>
      </w:r>
      <w:r>
        <w:rPr>
          <w:spacing w:val="-4"/>
          <w:sz w:val="19"/>
        </w:rPr>
        <w:t> </w:t>
      </w:r>
      <w:r>
        <w:rPr>
          <w:sz w:val="19"/>
        </w:rPr>
        <w:t>This</w:t>
      </w:r>
      <w:r>
        <w:rPr>
          <w:spacing w:val="-4"/>
          <w:sz w:val="19"/>
        </w:rPr>
        <w:t> </w:t>
      </w:r>
      <w:r>
        <w:rPr>
          <w:sz w:val="19"/>
        </w:rPr>
        <w:t>includes</w:t>
      </w:r>
      <w:r>
        <w:rPr>
          <w:spacing w:val="-3"/>
          <w:sz w:val="19"/>
        </w:rPr>
        <w:t> </w:t>
      </w:r>
      <w:r>
        <w:rPr>
          <w:sz w:val="19"/>
        </w:rPr>
        <w:t>fairly</w:t>
      </w:r>
      <w:r>
        <w:rPr>
          <w:spacing w:val="-4"/>
          <w:sz w:val="19"/>
        </w:rPr>
        <w:t> </w:t>
      </w:r>
      <w:r>
        <w:rPr>
          <w:sz w:val="19"/>
        </w:rPr>
        <w:t>predictable</w:t>
      </w:r>
      <w:r>
        <w:rPr>
          <w:spacing w:val="-4"/>
          <w:sz w:val="19"/>
        </w:rPr>
        <w:t> </w:t>
      </w:r>
      <w:r>
        <w:rPr>
          <w:sz w:val="19"/>
        </w:rPr>
        <w:t>needs,</w:t>
      </w:r>
      <w:r>
        <w:rPr>
          <w:spacing w:val="-4"/>
          <w:sz w:val="19"/>
        </w:rPr>
        <w:t> </w:t>
      </w:r>
      <w:r>
        <w:rPr>
          <w:sz w:val="19"/>
        </w:rPr>
        <w:t>such</w:t>
      </w:r>
      <w:r>
        <w:rPr>
          <w:spacing w:val="-4"/>
          <w:sz w:val="19"/>
        </w:rPr>
        <w:t> </w:t>
      </w:r>
      <w:r>
        <w:rPr>
          <w:sz w:val="19"/>
        </w:rPr>
        <w:t>as</w:t>
      </w:r>
      <w:r>
        <w:rPr>
          <w:spacing w:val="-3"/>
          <w:sz w:val="19"/>
        </w:rPr>
        <w:t> </w:t>
      </w:r>
      <w:r>
        <w:rPr>
          <w:sz w:val="19"/>
        </w:rPr>
        <w:t>access</w:t>
      </w:r>
      <w:r>
        <w:rPr>
          <w:spacing w:val="-4"/>
          <w:sz w:val="19"/>
        </w:rPr>
        <w:t> </w:t>
      </w:r>
      <w:r>
        <w:rPr>
          <w:sz w:val="19"/>
        </w:rPr>
        <w:t>for</w:t>
      </w:r>
      <w:r>
        <w:rPr>
          <w:spacing w:val="-4"/>
          <w:sz w:val="19"/>
        </w:rPr>
        <w:t> </w:t>
      </w:r>
      <w:r>
        <w:rPr>
          <w:sz w:val="19"/>
        </w:rPr>
        <w:t>people</w:t>
      </w:r>
      <w:r>
        <w:rPr>
          <w:spacing w:val="-4"/>
          <w:sz w:val="19"/>
        </w:rPr>
        <w:t> </w:t>
      </w:r>
      <w:r>
        <w:rPr>
          <w:sz w:val="19"/>
        </w:rPr>
        <w:t>with mobility</w:t>
      </w:r>
      <w:r>
        <w:rPr>
          <w:spacing w:val="-6"/>
          <w:sz w:val="19"/>
        </w:rPr>
        <w:t> </w:t>
      </w:r>
      <w:r>
        <w:rPr>
          <w:sz w:val="19"/>
        </w:rPr>
        <w:t>difficulties</w:t>
      </w:r>
      <w:r>
        <w:rPr>
          <w:spacing w:val="-6"/>
          <w:sz w:val="19"/>
        </w:rPr>
        <w:t> </w:t>
      </w:r>
      <w:r>
        <w:rPr>
          <w:sz w:val="19"/>
        </w:rPr>
        <w:t>to</w:t>
      </w:r>
      <w:r>
        <w:rPr>
          <w:spacing w:val="-6"/>
          <w:sz w:val="19"/>
        </w:rPr>
        <w:t> </w:t>
      </w:r>
      <w:r>
        <w:rPr>
          <w:sz w:val="19"/>
        </w:rPr>
        <w:t>and,</w:t>
      </w:r>
      <w:r>
        <w:rPr>
          <w:spacing w:val="-5"/>
          <w:sz w:val="19"/>
        </w:rPr>
        <w:t> </w:t>
      </w:r>
      <w:r>
        <w:rPr>
          <w:sz w:val="19"/>
        </w:rPr>
        <w:t>as</w:t>
      </w:r>
      <w:r>
        <w:rPr>
          <w:spacing w:val="-6"/>
          <w:sz w:val="19"/>
        </w:rPr>
        <w:t> </w:t>
      </w:r>
      <w:r>
        <w:rPr>
          <w:sz w:val="19"/>
        </w:rPr>
        <w:t>necessary,</w:t>
      </w:r>
      <w:r>
        <w:rPr>
          <w:spacing w:val="-6"/>
          <w:sz w:val="19"/>
        </w:rPr>
        <w:t> </w:t>
      </w:r>
      <w:r>
        <w:rPr>
          <w:sz w:val="19"/>
        </w:rPr>
        <w:t>throughout</w:t>
      </w:r>
      <w:r>
        <w:rPr>
          <w:spacing w:val="-6"/>
          <w:sz w:val="19"/>
        </w:rPr>
        <w:t> </w:t>
      </w:r>
      <w:r>
        <w:rPr>
          <w:sz w:val="19"/>
        </w:rPr>
        <w:t>the</w:t>
      </w:r>
      <w:r>
        <w:rPr>
          <w:spacing w:val="-5"/>
          <w:sz w:val="19"/>
        </w:rPr>
        <w:t> </w:t>
      </w:r>
      <w:r>
        <w:rPr>
          <w:sz w:val="19"/>
        </w:rPr>
        <w:t>court-building,</w:t>
      </w:r>
      <w:r>
        <w:rPr>
          <w:spacing w:val="-6"/>
          <w:sz w:val="19"/>
        </w:rPr>
        <w:t> </w:t>
      </w:r>
      <w:r>
        <w:rPr>
          <w:sz w:val="19"/>
        </w:rPr>
        <w:t>space</w:t>
      </w:r>
      <w:r>
        <w:rPr>
          <w:spacing w:val="-6"/>
          <w:sz w:val="19"/>
        </w:rPr>
        <w:t> </w:t>
      </w:r>
      <w:r>
        <w:rPr>
          <w:sz w:val="19"/>
        </w:rPr>
        <w:t>for</w:t>
      </w:r>
    </w:p>
    <w:p>
      <w:pPr>
        <w:spacing w:line="208" w:lineRule="auto" w:before="3"/>
        <w:ind w:left="2157" w:right="1202" w:firstLine="0"/>
        <w:jc w:val="left"/>
        <w:rPr>
          <w:sz w:val="11"/>
        </w:rPr>
      </w:pPr>
      <w:r>
        <w:rPr>
          <w:sz w:val="19"/>
        </w:rPr>
        <w:t>jurors in wheelchairs in or near the jury box, special lavatories and suitable equipment for people with visual impairments.</w:t>
      </w:r>
      <w:r>
        <w:rPr>
          <w:position w:val="6"/>
          <w:sz w:val="11"/>
        </w:rPr>
        <w:t>74</w:t>
      </w:r>
    </w:p>
    <w:p>
      <w:pPr>
        <w:pStyle w:val="ListParagraph"/>
        <w:numPr>
          <w:ilvl w:val="1"/>
          <w:numId w:val="12"/>
        </w:numPr>
        <w:tabs>
          <w:tab w:pos="1761" w:val="left" w:leader="none"/>
          <w:tab w:pos="1762" w:val="left" w:leader="none"/>
        </w:tabs>
        <w:spacing w:line="240" w:lineRule="auto" w:before="90" w:after="0"/>
        <w:ind w:left="1761" w:right="0" w:hanging="794"/>
        <w:jc w:val="left"/>
        <w:rPr>
          <w:sz w:val="20"/>
        </w:rPr>
      </w:pPr>
      <w:r>
        <w:rPr>
          <w:spacing w:val="-3"/>
          <w:sz w:val="20"/>
        </w:rPr>
        <w:t>Lord </w:t>
      </w:r>
      <w:r>
        <w:rPr>
          <w:sz w:val="20"/>
        </w:rPr>
        <w:t>Justice </w:t>
      </w:r>
      <w:r>
        <w:rPr>
          <w:spacing w:val="-3"/>
          <w:sz w:val="20"/>
        </w:rPr>
        <w:t>Auld </w:t>
      </w:r>
      <w:r>
        <w:rPr>
          <w:sz w:val="20"/>
        </w:rPr>
        <w:t>considered</w:t>
      </w:r>
      <w:r>
        <w:rPr>
          <w:spacing w:val="-11"/>
          <w:sz w:val="20"/>
        </w:rPr>
        <w:t> </w:t>
      </w:r>
      <w:r>
        <w:rPr>
          <w:sz w:val="20"/>
        </w:rPr>
        <w:t>that:</w:t>
      </w:r>
    </w:p>
    <w:p>
      <w:pPr>
        <w:spacing w:line="208" w:lineRule="auto" w:before="113"/>
        <w:ind w:left="2157" w:right="1251" w:firstLine="0"/>
        <w:jc w:val="left"/>
        <w:rPr>
          <w:sz w:val="11"/>
        </w:rPr>
      </w:pPr>
      <w:r>
        <w:rPr>
          <w:sz w:val="19"/>
        </w:rPr>
        <w:t>all reasonable arrangements, coupled with suitable safeguards, should be provided to enable people with disabilities to sit as jurors with third party assistance. I say this, not because there is a general right, as distinct from duty, to undertake jury service or under any anti-discrimination legislation, but because such inclusiveness is a mark of a modern, civilised, society.</w:t>
      </w:r>
      <w:r>
        <w:rPr>
          <w:position w:val="6"/>
          <w:sz w:val="11"/>
        </w:rPr>
        <w:t>75</w:t>
      </w:r>
    </w:p>
    <w:p>
      <w:pPr>
        <w:pStyle w:val="ListParagraph"/>
        <w:numPr>
          <w:ilvl w:val="1"/>
          <w:numId w:val="12"/>
        </w:numPr>
        <w:tabs>
          <w:tab w:pos="1761" w:val="left" w:leader="none"/>
          <w:tab w:pos="1762" w:val="left" w:leader="none"/>
        </w:tabs>
        <w:spacing w:line="206" w:lineRule="auto" w:before="125" w:after="0"/>
        <w:ind w:left="1760" w:right="1211" w:hanging="793"/>
        <w:jc w:val="left"/>
        <w:rPr>
          <w:sz w:val="20"/>
        </w:rPr>
      </w:pPr>
      <w:r>
        <w:rPr>
          <w:sz w:val="20"/>
        </w:rPr>
        <w:t>The</w:t>
      </w:r>
      <w:r>
        <w:rPr>
          <w:spacing w:val="-13"/>
          <w:sz w:val="20"/>
        </w:rPr>
        <w:t> </w:t>
      </w:r>
      <w:r>
        <w:rPr>
          <w:sz w:val="20"/>
        </w:rPr>
        <w:t>Home</w:t>
      </w:r>
      <w:r>
        <w:rPr>
          <w:spacing w:val="-12"/>
          <w:sz w:val="20"/>
        </w:rPr>
        <w:t> </w:t>
      </w:r>
      <w:r>
        <w:rPr>
          <w:sz w:val="20"/>
        </w:rPr>
        <w:t>Office</w:t>
      </w:r>
      <w:r>
        <w:rPr>
          <w:spacing w:val="-12"/>
          <w:sz w:val="20"/>
        </w:rPr>
        <w:t> </w:t>
      </w:r>
      <w:r>
        <w:rPr>
          <w:sz w:val="20"/>
        </w:rPr>
        <w:t>has</w:t>
      </w:r>
      <w:r>
        <w:rPr>
          <w:spacing w:val="-12"/>
          <w:sz w:val="20"/>
        </w:rPr>
        <w:t> </w:t>
      </w:r>
      <w:r>
        <w:rPr>
          <w:sz w:val="20"/>
        </w:rPr>
        <w:t>commented</w:t>
      </w:r>
      <w:r>
        <w:rPr>
          <w:spacing w:val="-12"/>
          <w:sz w:val="20"/>
        </w:rPr>
        <w:t> </w:t>
      </w:r>
      <w:r>
        <w:rPr>
          <w:sz w:val="20"/>
        </w:rPr>
        <w:t>that,</w:t>
      </w:r>
      <w:r>
        <w:rPr>
          <w:spacing w:val="-12"/>
          <w:sz w:val="20"/>
        </w:rPr>
        <w:t> </w:t>
      </w:r>
      <w:r>
        <w:rPr>
          <w:sz w:val="20"/>
        </w:rPr>
        <w:t>under</w:t>
      </w:r>
      <w:r>
        <w:rPr>
          <w:spacing w:val="-12"/>
          <w:sz w:val="20"/>
        </w:rPr>
        <w:t> </w:t>
      </w:r>
      <w:r>
        <w:rPr>
          <w:sz w:val="20"/>
        </w:rPr>
        <w:t>the</w:t>
      </w:r>
      <w:r>
        <w:rPr>
          <w:spacing w:val="-12"/>
          <w:sz w:val="20"/>
        </w:rPr>
        <w:t> </w:t>
      </w:r>
      <w:r>
        <w:rPr>
          <w:i/>
          <w:sz w:val="20"/>
        </w:rPr>
        <w:t>Equality</w:t>
      </w:r>
      <w:r>
        <w:rPr>
          <w:i/>
          <w:spacing w:val="-12"/>
          <w:sz w:val="20"/>
        </w:rPr>
        <w:t> </w:t>
      </w:r>
      <w:r>
        <w:rPr>
          <w:i/>
          <w:sz w:val="20"/>
        </w:rPr>
        <w:t>Act</w:t>
      </w:r>
      <w:r>
        <w:rPr>
          <w:i/>
          <w:spacing w:val="-12"/>
          <w:sz w:val="20"/>
        </w:rPr>
        <w:t> </w:t>
      </w:r>
      <w:r>
        <w:rPr>
          <w:i/>
          <w:spacing w:val="-3"/>
          <w:sz w:val="20"/>
        </w:rPr>
        <w:t>2010</w:t>
      </w:r>
      <w:r>
        <w:rPr>
          <w:i/>
          <w:spacing w:val="-12"/>
          <w:sz w:val="20"/>
        </w:rPr>
        <w:t> </w:t>
      </w:r>
      <w:r>
        <w:rPr>
          <w:sz w:val="20"/>
        </w:rPr>
        <w:t>(UK),</w:t>
      </w:r>
      <w:r>
        <w:rPr>
          <w:spacing w:val="-14"/>
          <w:sz w:val="20"/>
        </w:rPr>
        <w:t> </w:t>
      </w:r>
      <w:r>
        <w:rPr>
          <w:sz w:val="20"/>
        </w:rPr>
        <w:t>English,</w:t>
      </w:r>
      <w:r>
        <w:rPr>
          <w:spacing w:val="-12"/>
          <w:sz w:val="20"/>
        </w:rPr>
        <w:t> </w:t>
      </w:r>
      <w:r>
        <w:rPr>
          <w:spacing w:val="-3"/>
          <w:sz w:val="20"/>
        </w:rPr>
        <w:t>Welsh </w:t>
      </w:r>
      <w:r>
        <w:rPr>
          <w:sz w:val="20"/>
        </w:rPr>
        <w:t>and</w:t>
      </w:r>
      <w:r>
        <w:rPr>
          <w:spacing w:val="-10"/>
          <w:sz w:val="20"/>
        </w:rPr>
        <w:t> </w:t>
      </w:r>
      <w:r>
        <w:rPr>
          <w:sz w:val="20"/>
        </w:rPr>
        <w:t>Scottish</w:t>
      </w:r>
      <w:r>
        <w:rPr>
          <w:spacing w:val="-12"/>
          <w:sz w:val="20"/>
        </w:rPr>
        <w:t> </w:t>
      </w:r>
      <w:r>
        <w:rPr>
          <w:i/>
          <w:sz w:val="20"/>
        </w:rPr>
        <w:t>‘</w:t>
      </w:r>
      <w:r>
        <w:rPr>
          <w:sz w:val="20"/>
        </w:rPr>
        <w:t>public</w:t>
      </w:r>
      <w:r>
        <w:rPr>
          <w:spacing w:val="-10"/>
          <w:sz w:val="20"/>
        </w:rPr>
        <w:t> </w:t>
      </w:r>
      <w:r>
        <w:rPr>
          <w:sz w:val="20"/>
        </w:rPr>
        <w:t>sector</w:t>
      </w:r>
      <w:r>
        <w:rPr>
          <w:spacing w:val="-10"/>
          <w:sz w:val="20"/>
        </w:rPr>
        <w:t> </w:t>
      </w:r>
      <w:r>
        <w:rPr>
          <w:sz w:val="20"/>
        </w:rPr>
        <w:t>organisations</w:t>
      </w:r>
      <w:r>
        <w:rPr>
          <w:spacing w:val="-9"/>
          <w:sz w:val="20"/>
        </w:rPr>
        <w:t> </w:t>
      </w:r>
      <w:r>
        <w:rPr>
          <w:sz w:val="20"/>
        </w:rPr>
        <w:t>must</w:t>
      </w:r>
      <w:r>
        <w:rPr>
          <w:spacing w:val="-10"/>
          <w:sz w:val="20"/>
        </w:rPr>
        <w:t> </w:t>
      </w:r>
      <w:r>
        <w:rPr>
          <w:spacing w:val="-4"/>
          <w:sz w:val="20"/>
        </w:rPr>
        <w:t>have</w:t>
      </w:r>
      <w:r>
        <w:rPr>
          <w:spacing w:val="-10"/>
          <w:sz w:val="20"/>
        </w:rPr>
        <w:t> </w:t>
      </w:r>
      <w:r>
        <w:rPr>
          <w:sz w:val="20"/>
        </w:rPr>
        <w:t>due</w:t>
      </w:r>
      <w:r>
        <w:rPr>
          <w:spacing w:val="-10"/>
          <w:sz w:val="20"/>
        </w:rPr>
        <w:t> </w:t>
      </w:r>
      <w:r>
        <w:rPr>
          <w:spacing w:val="-3"/>
          <w:sz w:val="20"/>
        </w:rPr>
        <w:t>regard</w:t>
      </w:r>
      <w:r>
        <w:rPr>
          <w:spacing w:val="-10"/>
          <w:sz w:val="20"/>
        </w:rPr>
        <w:t> </w:t>
      </w:r>
      <w:r>
        <w:rPr>
          <w:sz w:val="20"/>
        </w:rPr>
        <w:t>of</w:t>
      </w:r>
      <w:r>
        <w:rPr>
          <w:spacing w:val="-10"/>
          <w:sz w:val="20"/>
        </w:rPr>
        <w:t> </w:t>
      </w:r>
      <w:r>
        <w:rPr>
          <w:sz w:val="20"/>
        </w:rPr>
        <w:t>the</w:t>
      </w:r>
      <w:r>
        <w:rPr>
          <w:spacing w:val="-9"/>
          <w:sz w:val="20"/>
        </w:rPr>
        <w:t> </w:t>
      </w:r>
      <w:r>
        <w:rPr>
          <w:sz w:val="20"/>
        </w:rPr>
        <w:t>need</w:t>
      </w:r>
      <w:r>
        <w:rPr>
          <w:spacing w:val="-10"/>
          <w:sz w:val="20"/>
        </w:rPr>
        <w:t> </w:t>
      </w:r>
      <w:r>
        <w:rPr>
          <w:sz w:val="20"/>
        </w:rPr>
        <w:t>to</w:t>
      </w:r>
      <w:r>
        <w:rPr>
          <w:spacing w:val="-10"/>
          <w:sz w:val="20"/>
        </w:rPr>
        <w:t> </w:t>
      </w:r>
      <w:r>
        <w:rPr>
          <w:sz w:val="20"/>
        </w:rPr>
        <w:t>eliminate discrimination and to advance equality of opportunity, </w:t>
      </w:r>
      <w:r>
        <w:rPr>
          <w:spacing w:val="-3"/>
          <w:sz w:val="20"/>
        </w:rPr>
        <w:t>thereby </w:t>
      </w:r>
      <w:r>
        <w:rPr>
          <w:sz w:val="20"/>
        </w:rPr>
        <w:t>ensuring that services </w:t>
      </w:r>
      <w:r>
        <w:rPr>
          <w:spacing w:val="-3"/>
          <w:sz w:val="20"/>
        </w:rPr>
        <w:t>are </w:t>
      </w:r>
      <w:r>
        <w:rPr>
          <w:sz w:val="20"/>
        </w:rPr>
        <w:t>accessible to </w:t>
      </w:r>
      <w:r>
        <w:rPr>
          <w:spacing w:val="-3"/>
          <w:sz w:val="20"/>
        </w:rPr>
        <w:t>everyone, </w:t>
      </w:r>
      <w:r>
        <w:rPr>
          <w:sz w:val="20"/>
        </w:rPr>
        <w:t>including </w:t>
      </w:r>
      <w:r>
        <w:rPr>
          <w:spacing w:val="-3"/>
          <w:sz w:val="20"/>
        </w:rPr>
        <w:t>by </w:t>
      </w:r>
      <w:r>
        <w:rPr>
          <w:sz w:val="20"/>
        </w:rPr>
        <w:t>making reasonable adjustments when </w:t>
      </w:r>
      <w:r>
        <w:rPr>
          <w:spacing w:val="-3"/>
          <w:sz w:val="20"/>
        </w:rPr>
        <w:t>appropriate </w:t>
      </w:r>
      <w:r>
        <w:rPr>
          <w:sz w:val="20"/>
        </w:rPr>
        <w:t>to do </w:t>
      </w:r>
      <w:r>
        <w:rPr>
          <w:spacing w:val="-5"/>
          <w:sz w:val="20"/>
        </w:rPr>
        <w:t>so’.</w:t>
      </w:r>
      <w:r>
        <w:rPr>
          <w:spacing w:val="-5"/>
          <w:position w:val="7"/>
          <w:sz w:val="11"/>
        </w:rPr>
        <w:t>76 </w:t>
      </w:r>
      <w:r>
        <w:rPr>
          <w:sz w:val="20"/>
        </w:rPr>
        <w:t>This </w:t>
      </w:r>
      <w:r>
        <w:rPr>
          <w:spacing w:val="-4"/>
          <w:sz w:val="20"/>
        </w:rPr>
        <w:t>involves, </w:t>
      </w:r>
      <w:r>
        <w:rPr>
          <w:sz w:val="20"/>
        </w:rPr>
        <w:t>where </w:t>
      </w:r>
      <w:r>
        <w:rPr>
          <w:spacing w:val="-3"/>
          <w:sz w:val="20"/>
        </w:rPr>
        <w:t>reasonable, </w:t>
      </w:r>
      <w:r>
        <w:rPr>
          <w:sz w:val="20"/>
        </w:rPr>
        <w:t>steps such as ‘the </w:t>
      </w:r>
      <w:r>
        <w:rPr>
          <w:spacing w:val="-3"/>
          <w:sz w:val="20"/>
        </w:rPr>
        <w:t>removal </w:t>
      </w:r>
      <w:r>
        <w:rPr>
          <w:sz w:val="20"/>
        </w:rPr>
        <w:t>of </w:t>
      </w:r>
      <w:r>
        <w:rPr>
          <w:spacing w:val="-3"/>
          <w:sz w:val="20"/>
        </w:rPr>
        <w:t>any</w:t>
      </w:r>
      <w:r>
        <w:rPr>
          <w:spacing w:val="-8"/>
          <w:sz w:val="20"/>
        </w:rPr>
        <w:t> </w:t>
      </w:r>
      <w:r>
        <w:rPr>
          <w:sz w:val="20"/>
        </w:rPr>
        <w:t>barriers</w:t>
      </w:r>
      <w:r>
        <w:rPr>
          <w:spacing w:val="-8"/>
          <w:sz w:val="20"/>
        </w:rPr>
        <w:t> </w:t>
      </w:r>
      <w:r>
        <w:rPr>
          <w:sz w:val="20"/>
        </w:rPr>
        <w:t>which</w:t>
      </w:r>
      <w:r>
        <w:rPr>
          <w:spacing w:val="-7"/>
          <w:sz w:val="20"/>
        </w:rPr>
        <w:t> </w:t>
      </w:r>
      <w:r>
        <w:rPr>
          <w:sz w:val="20"/>
        </w:rPr>
        <w:t>place</w:t>
      </w:r>
      <w:r>
        <w:rPr>
          <w:spacing w:val="-8"/>
          <w:sz w:val="20"/>
        </w:rPr>
        <w:t> </w:t>
      </w:r>
      <w:r>
        <w:rPr>
          <w:sz w:val="20"/>
        </w:rPr>
        <w:t>a</w:t>
      </w:r>
      <w:r>
        <w:rPr>
          <w:spacing w:val="-8"/>
          <w:sz w:val="20"/>
        </w:rPr>
        <w:t> </w:t>
      </w:r>
      <w:r>
        <w:rPr>
          <w:sz w:val="20"/>
        </w:rPr>
        <w:t>disabled</w:t>
      </w:r>
      <w:r>
        <w:rPr>
          <w:spacing w:val="-7"/>
          <w:sz w:val="20"/>
        </w:rPr>
        <w:t> </w:t>
      </w:r>
      <w:r>
        <w:rPr>
          <w:sz w:val="20"/>
        </w:rPr>
        <w:t>person</w:t>
      </w:r>
      <w:r>
        <w:rPr>
          <w:spacing w:val="-8"/>
          <w:sz w:val="20"/>
        </w:rPr>
        <w:t> </w:t>
      </w:r>
      <w:r>
        <w:rPr>
          <w:sz w:val="20"/>
        </w:rPr>
        <w:t>at</w:t>
      </w:r>
      <w:r>
        <w:rPr>
          <w:spacing w:val="-8"/>
          <w:sz w:val="20"/>
        </w:rPr>
        <w:t> </w:t>
      </w:r>
      <w:r>
        <w:rPr>
          <w:sz w:val="20"/>
        </w:rPr>
        <w:t>a</w:t>
      </w:r>
      <w:r>
        <w:rPr>
          <w:spacing w:val="-7"/>
          <w:sz w:val="20"/>
        </w:rPr>
        <w:t> </w:t>
      </w:r>
      <w:r>
        <w:rPr>
          <w:sz w:val="20"/>
        </w:rPr>
        <w:t>disadvantage</w:t>
      </w:r>
      <w:r>
        <w:rPr>
          <w:spacing w:val="-8"/>
          <w:sz w:val="20"/>
        </w:rPr>
        <w:t> </w:t>
      </w:r>
      <w:r>
        <w:rPr>
          <w:sz w:val="20"/>
        </w:rPr>
        <w:t>when</w:t>
      </w:r>
      <w:r>
        <w:rPr>
          <w:spacing w:val="-8"/>
          <w:sz w:val="20"/>
        </w:rPr>
        <w:t> </w:t>
      </w:r>
      <w:r>
        <w:rPr>
          <w:sz w:val="20"/>
        </w:rPr>
        <w:t>compared</w:t>
      </w:r>
      <w:r>
        <w:rPr>
          <w:spacing w:val="-7"/>
          <w:sz w:val="20"/>
        </w:rPr>
        <w:t> </w:t>
      </w:r>
      <w:r>
        <w:rPr>
          <w:sz w:val="20"/>
        </w:rPr>
        <w:t>to</w:t>
      </w:r>
      <w:r>
        <w:rPr>
          <w:spacing w:val="-8"/>
          <w:sz w:val="20"/>
        </w:rPr>
        <w:t> </w:t>
      </w:r>
      <w:r>
        <w:rPr>
          <w:sz w:val="20"/>
        </w:rPr>
        <w:t>a</w:t>
      </w:r>
    </w:p>
    <w:p>
      <w:pPr>
        <w:pStyle w:val="BodyText"/>
        <w:spacing w:line="253" w:lineRule="exact"/>
        <w:ind w:left="1761"/>
        <w:rPr>
          <w:sz w:val="11"/>
        </w:rPr>
      </w:pPr>
      <w:r>
        <w:rPr/>
        <w:t>non-disabled person and the provision of auxiliary services’.</w:t>
      </w:r>
      <w:r>
        <w:rPr>
          <w:position w:val="7"/>
          <w:sz w:val="11"/>
        </w:rPr>
        <w:t>77</w:t>
      </w:r>
    </w:p>
    <w:p>
      <w:pPr>
        <w:pStyle w:val="BodyText"/>
        <w:spacing w:line="259" w:lineRule="exact" w:before="82"/>
        <w:ind w:left="967"/>
      </w:pPr>
      <w:r>
        <w:rPr/>
        <w:t>There are some differences in jury legislation across the United Kingdom.</w:t>
      </w:r>
      <w:r>
        <w:rPr>
          <w:position w:val="7"/>
          <w:sz w:val="11"/>
        </w:rPr>
        <w:t>78 </w:t>
      </w:r>
      <w:r>
        <w:rPr/>
        <w:t>However</w:t>
      </w:r>
    </w:p>
    <w:p>
      <w:pPr>
        <w:pStyle w:val="BodyText"/>
        <w:spacing w:line="206" w:lineRule="auto" w:before="14"/>
        <w:ind w:left="1761" w:right="1335"/>
        <w:rPr>
          <w:sz w:val="11"/>
        </w:rPr>
      </w:pPr>
      <w:r>
        <w:rPr/>
        <w:t>the</w:t>
      </w:r>
      <w:r>
        <w:rPr>
          <w:spacing w:val="-11"/>
        </w:rPr>
        <w:t> </w:t>
      </w:r>
      <w:r>
        <w:rPr/>
        <w:t>jury</w:t>
      </w:r>
      <w:r>
        <w:rPr>
          <w:spacing w:val="-11"/>
        </w:rPr>
        <w:t> </w:t>
      </w:r>
      <w:r>
        <w:rPr/>
        <w:t>empanelment</w:t>
      </w:r>
      <w:r>
        <w:rPr>
          <w:spacing w:val="-10"/>
        </w:rPr>
        <w:t> </w:t>
      </w:r>
      <w:r>
        <w:rPr/>
        <w:t>processes</w:t>
      </w:r>
      <w:r>
        <w:rPr>
          <w:spacing w:val="-11"/>
        </w:rPr>
        <w:t> </w:t>
      </w:r>
      <w:r>
        <w:rPr>
          <w:spacing w:val="-3"/>
        </w:rPr>
        <w:t>are</w:t>
      </w:r>
      <w:r>
        <w:rPr>
          <w:spacing w:val="-10"/>
        </w:rPr>
        <w:t> </w:t>
      </w:r>
      <w:r>
        <w:rPr>
          <w:spacing w:val="-3"/>
        </w:rPr>
        <w:t>broadly</w:t>
      </w:r>
      <w:r>
        <w:rPr>
          <w:spacing w:val="-11"/>
        </w:rPr>
        <w:t> </w:t>
      </w:r>
      <w:r>
        <w:rPr/>
        <w:t>similar</w:t>
      </w:r>
      <w:r>
        <w:rPr>
          <w:spacing w:val="-10"/>
        </w:rPr>
        <w:t> </w:t>
      </w:r>
      <w:r>
        <w:rPr/>
        <w:t>with</w:t>
      </w:r>
      <w:r>
        <w:rPr>
          <w:spacing w:val="-11"/>
        </w:rPr>
        <w:t> </w:t>
      </w:r>
      <w:r>
        <w:rPr/>
        <w:t>respect</w:t>
      </w:r>
      <w:r>
        <w:rPr>
          <w:spacing w:val="-11"/>
        </w:rPr>
        <w:t> </w:t>
      </w:r>
      <w:r>
        <w:rPr/>
        <w:t>to</w:t>
      </w:r>
      <w:r>
        <w:rPr>
          <w:spacing w:val="-10"/>
        </w:rPr>
        <w:t> </w:t>
      </w:r>
      <w:r>
        <w:rPr/>
        <w:t>jurors</w:t>
      </w:r>
      <w:r>
        <w:rPr>
          <w:spacing w:val="-11"/>
        </w:rPr>
        <w:t> </w:t>
      </w:r>
      <w:r>
        <w:rPr/>
        <w:t>in</w:t>
      </w:r>
      <w:r>
        <w:rPr>
          <w:spacing w:val="-10"/>
        </w:rPr>
        <w:t> </w:t>
      </w:r>
      <w:r>
        <w:rPr/>
        <w:t>the subject groups. The process in England and</w:t>
      </w:r>
      <w:r>
        <w:rPr>
          <w:spacing w:val="-34"/>
        </w:rPr>
        <w:t> </w:t>
      </w:r>
      <w:r>
        <w:rPr>
          <w:spacing w:val="-4"/>
        </w:rPr>
        <w:t>Wales </w:t>
      </w:r>
      <w:r>
        <w:rPr>
          <w:spacing w:val="-3"/>
        </w:rPr>
        <w:t>includes:</w:t>
      </w:r>
      <w:r>
        <w:rPr>
          <w:spacing w:val="-3"/>
          <w:position w:val="7"/>
          <w:sz w:val="11"/>
        </w:rPr>
        <w:t>79</w:t>
      </w:r>
    </w:p>
    <w:p>
      <w:pPr>
        <w:pStyle w:val="ListParagraph"/>
        <w:numPr>
          <w:ilvl w:val="2"/>
          <w:numId w:val="12"/>
        </w:numPr>
        <w:tabs>
          <w:tab w:pos="2157" w:val="left" w:leader="none"/>
          <w:tab w:pos="2158" w:val="left" w:leader="none"/>
        </w:tabs>
        <w:spacing w:line="240" w:lineRule="auto" w:before="90" w:after="0"/>
        <w:ind w:left="2157" w:right="0" w:hanging="396"/>
        <w:jc w:val="left"/>
        <w:rPr>
          <w:sz w:val="20"/>
        </w:rPr>
      </w:pPr>
      <w:r>
        <w:rPr>
          <w:sz w:val="20"/>
        </w:rPr>
        <w:t>asking</w:t>
      </w:r>
      <w:r>
        <w:rPr>
          <w:spacing w:val="-6"/>
          <w:sz w:val="20"/>
        </w:rPr>
        <w:t> </w:t>
      </w:r>
      <w:r>
        <w:rPr>
          <w:sz w:val="20"/>
        </w:rPr>
        <w:t>people</w:t>
      </w:r>
      <w:r>
        <w:rPr>
          <w:spacing w:val="-6"/>
          <w:sz w:val="20"/>
        </w:rPr>
        <w:t> </w:t>
      </w:r>
      <w:r>
        <w:rPr>
          <w:sz w:val="20"/>
        </w:rPr>
        <w:t>to</w:t>
      </w:r>
      <w:r>
        <w:rPr>
          <w:spacing w:val="-6"/>
          <w:sz w:val="20"/>
        </w:rPr>
        <w:t> </w:t>
      </w:r>
      <w:r>
        <w:rPr>
          <w:spacing w:val="-3"/>
          <w:sz w:val="20"/>
        </w:rPr>
        <w:t>provide</w:t>
      </w:r>
      <w:r>
        <w:rPr>
          <w:spacing w:val="-6"/>
          <w:sz w:val="20"/>
        </w:rPr>
        <w:t> </w:t>
      </w:r>
      <w:r>
        <w:rPr>
          <w:sz w:val="20"/>
        </w:rPr>
        <w:t>information</w:t>
      </w:r>
      <w:r>
        <w:rPr>
          <w:spacing w:val="-6"/>
          <w:sz w:val="20"/>
        </w:rPr>
        <w:t> </w:t>
      </w:r>
      <w:r>
        <w:rPr>
          <w:sz w:val="20"/>
        </w:rPr>
        <w:t>about</w:t>
      </w:r>
      <w:r>
        <w:rPr>
          <w:spacing w:val="-6"/>
          <w:sz w:val="20"/>
        </w:rPr>
        <w:t> </w:t>
      </w:r>
      <w:r>
        <w:rPr>
          <w:sz w:val="20"/>
        </w:rPr>
        <w:t>what</w:t>
      </w:r>
      <w:r>
        <w:rPr>
          <w:spacing w:val="-6"/>
          <w:sz w:val="20"/>
        </w:rPr>
        <w:t> </w:t>
      </w:r>
      <w:r>
        <w:rPr>
          <w:sz w:val="20"/>
        </w:rPr>
        <w:t>adjustments</w:t>
      </w:r>
      <w:r>
        <w:rPr>
          <w:spacing w:val="-6"/>
          <w:sz w:val="20"/>
        </w:rPr>
        <w:t> </w:t>
      </w:r>
      <w:r>
        <w:rPr>
          <w:sz w:val="20"/>
        </w:rPr>
        <w:t>they</w:t>
      </w:r>
      <w:r>
        <w:rPr>
          <w:spacing w:val="-6"/>
          <w:sz w:val="20"/>
        </w:rPr>
        <w:t> </w:t>
      </w:r>
      <w:r>
        <w:rPr>
          <w:sz w:val="20"/>
        </w:rPr>
        <w:t>might</w:t>
      </w:r>
      <w:r>
        <w:rPr>
          <w:spacing w:val="-6"/>
          <w:sz w:val="20"/>
        </w:rPr>
        <w:t> </w:t>
      </w:r>
      <w:r>
        <w:rPr>
          <w:sz w:val="20"/>
        </w:rPr>
        <w:t>need</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adopting a </w:t>
      </w:r>
      <w:r>
        <w:rPr>
          <w:spacing w:val="-3"/>
          <w:sz w:val="20"/>
        </w:rPr>
        <w:t>flexible </w:t>
      </w:r>
      <w:r>
        <w:rPr>
          <w:sz w:val="20"/>
        </w:rPr>
        <w:t>case-by-case approach to the </w:t>
      </w:r>
      <w:r>
        <w:rPr>
          <w:spacing w:val="-3"/>
          <w:sz w:val="20"/>
        </w:rPr>
        <w:t>provision </w:t>
      </w:r>
      <w:r>
        <w:rPr>
          <w:sz w:val="20"/>
        </w:rPr>
        <w:t>of</w:t>
      </w:r>
      <w:r>
        <w:rPr>
          <w:spacing w:val="-38"/>
          <w:sz w:val="20"/>
        </w:rPr>
        <w:t> </w:t>
      </w:r>
      <w:r>
        <w:rPr>
          <w:sz w:val="20"/>
        </w:rPr>
        <w:t>supports</w:t>
      </w:r>
    </w:p>
    <w:p>
      <w:pPr>
        <w:pStyle w:val="ListParagraph"/>
        <w:numPr>
          <w:ilvl w:val="2"/>
          <w:numId w:val="12"/>
        </w:numPr>
        <w:tabs>
          <w:tab w:pos="2157" w:val="left" w:leader="none"/>
          <w:tab w:pos="2158" w:val="left" w:leader="none"/>
        </w:tabs>
        <w:spacing w:line="206" w:lineRule="auto" w:before="79" w:after="0"/>
        <w:ind w:left="2157" w:right="1809" w:hanging="396"/>
        <w:jc w:val="left"/>
        <w:rPr>
          <w:sz w:val="20"/>
        </w:rPr>
      </w:pPr>
      <w:r>
        <w:rPr>
          <w:spacing w:val="-3"/>
          <w:sz w:val="20"/>
        </w:rPr>
        <w:t>providing </w:t>
      </w:r>
      <w:r>
        <w:rPr>
          <w:sz w:val="20"/>
        </w:rPr>
        <w:t>a range of adjustments, including BSL </w:t>
      </w:r>
      <w:r>
        <w:rPr>
          <w:spacing w:val="-3"/>
          <w:sz w:val="20"/>
        </w:rPr>
        <w:t>interpreters, </w:t>
      </w:r>
      <w:r>
        <w:rPr>
          <w:sz w:val="20"/>
        </w:rPr>
        <w:t>hearing enhancements such as induction hearing loops, speech-to-text services, shorthand</w:t>
      </w:r>
      <w:r>
        <w:rPr>
          <w:spacing w:val="-12"/>
          <w:sz w:val="20"/>
        </w:rPr>
        <w:t> </w:t>
      </w:r>
      <w:r>
        <w:rPr>
          <w:sz w:val="20"/>
        </w:rPr>
        <w:t>writers</w:t>
      </w:r>
      <w:r>
        <w:rPr>
          <w:spacing w:val="-12"/>
          <w:sz w:val="20"/>
        </w:rPr>
        <w:t> </w:t>
      </w:r>
      <w:r>
        <w:rPr>
          <w:sz w:val="20"/>
        </w:rPr>
        <w:t>who</w:t>
      </w:r>
      <w:r>
        <w:rPr>
          <w:spacing w:val="-12"/>
          <w:sz w:val="20"/>
        </w:rPr>
        <w:t> </w:t>
      </w:r>
      <w:r>
        <w:rPr>
          <w:sz w:val="20"/>
        </w:rPr>
        <w:t>transcribe</w:t>
      </w:r>
      <w:r>
        <w:rPr>
          <w:spacing w:val="-12"/>
          <w:sz w:val="20"/>
        </w:rPr>
        <w:t> </w:t>
      </w:r>
      <w:r>
        <w:rPr>
          <w:sz w:val="20"/>
        </w:rPr>
        <w:t>the</w:t>
      </w:r>
      <w:r>
        <w:rPr>
          <w:spacing w:val="-12"/>
          <w:sz w:val="20"/>
        </w:rPr>
        <w:t> </w:t>
      </w:r>
      <w:r>
        <w:rPr>
          <w:sz w:val="20"/>
        </w:rPr>
        <w:t>proceedings</w:t>
      </w:r>
      <w:r>
        <w:rPr>
          <w:spacing w:val="-12"/>
          <w:sz w:val="20"/>
        </w:rPr>
        <w:t> </w:t>
      </w:r>
      <w:r>
        <w:rPr>
          <w:sz w:val="20"/>
        </w:rPr>
        <w:t>in</w:t>
      </w:r>
      <w:r>
        <w:rPr>
          <w:spacing w:val="-12"/>
          <w:sz w:val="20"/>
        </w:rPr>
        <w:t> </w:t>
      </w:r>
      <w:r>
        <w:rPr>
          <w:sz w:val="20"/>
        </w:rPr>
        <w:t>court,</w:t>
      </w:r>
      <w:r>
        <w:rPr>
          <w:spacing w:val="-12"/>
          <w:sz w:val="20"/>
        </w:rPr>
        <w:t> </w:t>
      </w:r>
      <w:r>
        <w:rPr>
          <w:spacing w:val="-3"/>
          <w:sz w:val="20"/>
        </w:rPr>
        <w:t>allowing</w:t>
      </w:r>
      <w:r>
        <w:rPr>
          <w:spacing w:val="-12"/>
          <w:sz w:val="20"/>
        </w:rPr>
        <w:t> </w:t>
      </w:r>
      <w:r>
        <w:rPr>
          <w:sz w:val="20"/>
        </w:rPr>
        <w:t>the</w:t>
      </w:r>
      <w:r>
        <w:rPr>
          <w:spacing w:val="-11"/>
          <w:sz w:val="20"/>
        </w:rPr>
        <w:t> </w:t>
      </w:r>
      <w:r>
        <w:rPr>
          <w:sz w:val="20"/>
        </w:rPr>
        <w:t>juror to</w:t>
      </w:r>
      <w:r>
        <w:rPr>
          <w:spacing w:val="-13"/>
          <w:sz w:val="20"/>
        </w:rPr>
        <w:t> </w:t>
      </w:r>
      <w:r>
        <w:rPr>
          <w:sz w:val="20"/>
        </w:rPr>
        <w:t>lip-read</w:t>
      </w:r>
      <w:r>
        <w:rPr>
          <w:spacing w:val="-13"/>
          <w:sz w:val="20"/>
        </w:rPr>
        <w:t> </w:t>
      </w:r>
      <w:r>
        <w:rPr>
          <w:sz w:val="20"/>
        </w:rPr>
        <w:t>in</w:t>
      </w:r>
      <w:r>
        <w:rPr>
          <w:spacing w:val="-13"/>
          <w:sz w:val="20"/>
        </w:rPr>
        <w:t> </w:t>
      </w:r>
      <w:r>
        <w:rPr>
          <w:sz w:val="20"/>
        </w:rPr>
        <w:t>the</w:t>
      </w:r>
      <w:r>
        <w:rPr>
          <w:spacing w:val="-13"/>
          <w:sz w:val="20"/>
        </w:rPr>
        <w:t> </w:t>
      </w:r>
      <w:r>
        <w:rPr>
          <w:sz w:val="20"/>
        </w:rPr>
        <w:t>deliberating</w:t>
      </w:r>
      <w:r>
        <w:rPr>
          <w:spacing w:val="-13"/>
          <w:sz w:val="20"/>
        </w:rPr>
        <w:t> </w:t>
      </w:r>
      <w:r>
        <w:rPr>
          <w:sz w:val="20"/>
        </w:rPr>
        <w:t>room,</w:t>
      </w:r>
      <w:r>
        <w:rPr>
          <w:spacing w:val="-12"/>
          <w:sz w:val="20"/>
        </w:rPr>
        <w:t> </w:t>
      </w:r>
      <w:r>
        <w:rPr>
          <w:sz w:val="20"/>
        </w:rPr>
        <w:t>large</w:t>
      </w:r>
      <w:r>
        <w:rPr>
          <w:spacing w:val="-13"/>
          <w:sz w:val="20"/>
        </w:rPr>
        <w:t> </w:t>
      </w:r>
      <w:r>
        <w:rPr>
          <w:sz w:val="20"/>
        </w:rPr>
        <w:t>print</w:t>
      </w:r>
      <w:r>
        <w:rPr>
          <w:spacing w:val="-13"/>
          <w:sz w:val="20"/>
        </w:rPr>
        <w:t> </w:t>
      </w:r>
      <w:r>
        <w:rPr>
          <w:sz w:val="20"/>
        </w:rPr>
        <w:t>documents,</w:t>
      </w:r>
      <w:r>
        <w:rPr>
          <w:spacing w:val="-13"/>
          <w:sz w:val="20"/>
        </w:rPr>
        <w:t> </w:t>
      </w:r>
      <w:r>
        <w:rPr>
          <w:sz w:val="20"/>
        </w:rPr>
        <w:t>Braille</w:t>
      </w:r>
      <w:r>
        <w:rPr>
          <w:spacing w:val="-13"/>
          <w:sz w:val="20"/>
        </w:rPr>
        <w:t> </w:t>
      </w:r>
      <w:r>
        <w:rPr>
          <w:sz w:val="20"/>
        </w:rPr>
        <w:t>material,</w:t>
      </w:r>
    </w:p>
    <w:p>
      <w:pPr>
        <w:pStyle w:val="BodyText"/>
        <w:spacing w:line="206" w:lineRule="auto" w:before="5"/>
        <w:ind w:left="2157" w:right="1335"/>
      </w:pPr>
      <w:r>
        <w:rPr/>
        <w:t>accommodations</w:t>
      </w:r>
      <w:r>
        <w:rPr>
          <w:spacing w:val="-12"/>
        </w:rPr>
        <w:t> </w:t>
      </w:r>
      <w:r>
        <w:rPr/>
        <w:t>for</w:t>
      </w:r>
      <w:r>
        <w:rPr>
          <w:spacing w:val="-11"/>
        </w:rPr>
        <w:t> </w:t>
      </w:r>
      <w:r>
        <w:rPr/>
        <w:t>guide</w:t>
      </w:r>
      <w:r>
        <w:rPr>
          <w:spacing w:val="-11"/>
        </w:rPr>
        <w:t> </w:t>
      </w:r>
      <w:r>
        <w:rPr/>
        <w:t>dogs</w:t>
      </w:r>
      <w:r>
        <w:rPr>
          <w:spacing w:val="-11"/>
        </w:rPr>
        <w:t> </w:t>
      </w:r>
      <w:r>
        <w:rPr/>
        <w:t>including</w:t>
      </w:r>
      <w:r>
        <w:rPr>
          <w:spacing w:val="-11"/>
        </w:rPr>
        <w:t> </w:t>
      </w:r>
      <w:r>
        <w:rPr/>
        <w:t>arrangements</w:t>
      </w:r>
      <w:r>
        <w:rPr>
          <w:spacing w:val="-11"/>
        </w:rPr>
        <w:t> </w:t>
      </w:r>
      <w:r>
        <w:rPr/>
        <w:t>to</w:t>
      </w:r>
      <w:r>
        <w:rPr>
          <w:spacing w:val="-11"/>
        </w:rPr>
        <w:t> </w:t>
      </w:r>
      <w:r>
        <w:rPr>
          <w:spacing w:val="-3"/>
        </w:rPr>
        <w:t>allow</w:t>
      </w:r>
      <w:r>
        <w:rPr>
          <w:spacing w:val="-11"/>
        </w:rPr>
        <w:t> </w:t>
      </w:r>
      <w:r>
        <w:rPr/>
        <w:t>them</w:t>
      </w:r>
      <w:r>
        <w:rPr>
          <w:spacing w:val="-11"/>
        </w:rPr>
        <w:t> </w:t>
      </w:r>
      <w:r>
        <w:rPr/>
        <w:t>to</w:t>
      </w:r>
      <w:r>
        <w:rPr>
          <w:spacing w:val="-11"/>
        </w:rPr>
        <w:t> </w:t>
      </w:r>
      <w:r>
        <w:rPr/>
        <w:t>go</w:t>
      </w:r>
      <w:r>
        <w:rPr>
          <w:spacing w:val="-11"/>
        </w:rPr>
        <w:t> </w:t>
      </w:r>
      <w:r>
        <w:rPr>
          <w:spacing w:val="-3"/>
        </w:rPr>
        <w:t>into </w:t>
      </w:r>
      <w:r>
        <w:rPr/>
        <w:t>the courtroom and the jury room and being </w:t>
      </w:r>
      <w:r>
        <w:rPr>
          <w:spacing w:val="-3"/>
        </w:rPr>
        <w:t>allowed exercise </w:t>
      </w:r>
      <w:r>
        <w:rPr/>
        <w:t>breaks, vision aids such</w:t>
      </w:r>
      <w:r>
        <w:rPr>
          <w:spacing w:val="-11"/>
        </w:rPr>
        <w:t> </w:t>
      </w:r>
      <w:r>
        <w:rPr/>
        <w:t>as</w:t>
      </w:r>
      <w:r>
        <w:rPr>
          <w:spacing w:val="-10"/>
        </w:rPr>
        <w:t> </w:t>
      </w:r>
      <w:r>
        <w:rPr/>
        <w:t>magnifiers,</w:t>
      </w:r>
      <w:r>
        <w:rPr>
          <w:spacing w:val="-10"/>
        </w:rPr>
        <w:t> </w:t>
      </w:r>
      <w:r>
        <w:rPr/>
        <w:t>dedicated</w:t>
      </w:r>
      <w:r>
        <w:rPr>
          <w:spacing w:val="-11"/>
        </w:rPr>
        <w:t> </w:t>
      </w:r>
      <w:r>
        <w:rPr/>
        <w:t>court</w:t>
      </w:r>
      <w:r>
        <w:rPr>
          <w:spacing w:val="-10"/>
        </w:rPr>
        <w:t> </w:t>
      </w:r>
      <w:r>
        <w:rPr/>
        <w:t>ushers</w:t>
      </w:r>
      <w:r>
        <w:rPr>
          <w:spacing w:val="-10"/>
        </w:rPr>
        <w:t> </w:t>
      </w:r>
      <w:r>
        <w:rPr/>
        <w:t>and</w:t>
      </w:r>
      <w:r>
        <w:rPr>
          <w:spacing w:val="-10"/>
        </w:rPr>
        <w:t> </w:t>
      </w:r>
      <w:r>
        <w:rPr/>
        <w:t>the</w:t>
      </w:r>
      <w:r>
        <w:rPr>
          <w:spacing w:val="-11"/>
        </w:rPr>
        <w:t> </w:t>
      </w:r>
      <w:r>
        <w:rPr>
          <w:spacing w:val="-3"/>
        </w:rPr>
        <w:t>provision</w:t>
      </w:r>
      <w:r>
        <w:rPr>
          <w:spacing w:val="-10"/>
        </w:rPr>
        <w:t> </w:t>
      </w:r>
      <w:r>
        <w:rPr/>
        <w:t>of</w:t>
      </w:r>
      <w:r>
        <w:rPr>
          <w:spacing w:val="-10"/>
        </w:rPr>
        <w:t> </w:t>
      </w:r>
      <w:r>
        <w:rPr/>
        <w:t>additional</w:t>
      </w:r>
      <w:r>
        <w:rPr>
          <w:spacing w:val="-10"/>
        </w:rPr>
        <w:t> </w:t>
      </w:r>
      <w:r>
        <w:rPr/>
        <w:t>breaks during the court</w:t>
      </w:r>
      <w:r>
        <w:rPr>
          <w:spacing w:val="-13"/>
        </w:rPr>
        <w:t> </w:t>
      </w:r>
      <w:r>
        <w:rPr/>
        <w:t>process.</w:t>
      </w:r>
    </w:p>
    <w:p>
      <w:pPr>
        <w:pStyle w:val="ListParagraph"/>
        <w:numPr>
          <w:ilvl w:val="2"/>
          <w:numId w:val="12"/>
        </w:numPr>
        <w:tabs>
          <w:tab w:pos="2157" w:val="left" w:leader="none"/>
          <w:tab w:pos="2158" w:val="left" w:leader="none"/>
        </w:tabs>
        <w:spacing w:line="240" w:lineRule="auto" w:before="58" w:after="0"/>
        <w:ind w:left="2157" w:right="0" w:hanging="396"/>
        <w:jc w:val="left"/>
        <w:rPr>
          <w:sz w:val="20"/>
        </w:rPr>
      </w:pPr>
      <w:r>
        <w:rPr>
          <w:sz w:val="20"/>
        </w:rPr>
        <w:t>offering pre-court visits to </w:t>
      </w:r>
      <w:r>
        <w:rPr>
          <w:spacing w:val="-3"/>
          <w:sz w:val="20"/>
        </w:rPr>
        <w:t>explore </w:t>
      </w:r>
      <w:r>
        <w:rPr>
          <w:sz w:val="20"/>
        </w:rPr>
        <w:t>adjustments with the</w:t>
      </w:r>
      <w:r>
        <w:rPr>
          <w:spacing w:val="-37"/>
          <w:sz w:val="20"/>
        </w:rPr>
        <w:t> </w:t>
      </w:r>
      <w:r>
        <w:rPr>
          <w:sz w:val="20"/>
        </w:rPr>
        <w:t>court</w:t>
      </w:r>
    </w:p>
    <w:p>
      <w:pPr>
        <w:pStyle w:val="ListParagraph"/>
        <w:numPr>
          <w:ilvl w:val="2"/>
          <w:numId w:val="12"/>
        </w:numPr>
        <w:tabs>
          <w:tab w:pos="2157" w:val="left" w:leader="none"/>
          <w:tab w:pos="2158" w:val="left" w:leader="none"/>
        </w:tabs>
        <w:spacing w:line="240" w:lineRule="auto" w:before="48" w:after="0"/>
        <w:ind w:left="2157" w:right="0" w:hanging="396"/>
        <w:jc w:val="left"/>
        <w:rPr>
          <w:sz w:val="11"/>
        </w:rPr>
      </w:pPr>
      <w:r>
        <w:rPr>
          <w:sz w:val="20"/>
        </w:rPr>
        <w:t>using Braille</w:t>
      </w:r>
      <w:r>
        <w:rPr>
          <w:spacing w:val="-9"/>
          <w:sz w:val="20"/>
        </w:rPr>
        <w:t> </w:t>
      </w:r>
      <w:r>
        <w:rPr>
          <w:sz w:val="20"/>
        </w:rPr>
        <w:t>cards.</w:t>
      </w:r>
      <w:r>
        <w:rPr>
          <w:position w:val="7"/>
          <w:sz w:val="11"/>
        </w:rPr>
        <w:t>80</w:t>
      </w:r>
    </w:p>
    <w:p>
      <w:pPr>
        <w:pStyle w:val="Heading6"/>
        <w:spacing w:before="84"/>
        <w:rPr>
          <w:b/>
        </w:rPr>
      </w:pPr>
      <w:r>
        <w:rPr>
          <w:b/>
        </w:rPr>
        <w:t>Reforms to limit the 13th person rule in England and Wales</w:t>
      </w:r>
    </w:p>
    <w:p>
      <w:pPr>
        <w:pStyle w:val="ListParagraph"/>
        <w:numPr>
          <w:ilvl w:val="1"/>
          <w:numId w:val="12"/>
        </w:numPr>
        <w:tabs>
          <w:tab w:pos="1761" w:val="left" w:leader="none"/>
          <w:tab w:pos="1762" w:val="left" w:leader="none"/>
        </w:tabs>
        <w:spacing w:line="206" w:lineRule="auto" w:before="132" w:after="0"/>
        <w:ind w:left="1761" w:right="1491" w:hanging="794"/>
        <w:jc w:val="left"/>
        <w:rPr>
          <w:sz w:val="11"/>
        </w:rPr>
      </w:pPr>
      <w:r>
        <w:rPr>
          <w:sz w:val="20"/>
        </w:rPr>
        <w:t>On 28 April </w:t>
      </w:r>
      <w:r>
        <w:rPr>
          <w:spacing w:val="-3"/>
          <w:sz w:val="20"/>
        </w:rPr>
        <w:t>2022 </w:t>
      </w:r>
      <w:r>
        <w:rPr>
          <w:sz w:val="20"/>
        </w:rPr>
        <w:t>legislation was enacted to </w:t>
      </w:r>
      <w:r>
        <w:rPr>
          <w:spacing w:val="-3"/>
          <w:sz w:val="20"/>
        </w:rPr>
        <w:t>allow </w:t>
      </w:r>
      <w:r>
        <w:rPr>
          <w:sz w:val="20"/>
        </w:rPr>
        <w:t>BSL </w:t>
      </w:r>
      <w:r>
        <w:rPr>
          <w:spacing w:val="-3"/>
          <w:sz w:val="20"/>
        </w:rPr>
        <w:t>interpreters </w:t>
      </w:r>
      <w:r>
        <w:rPr>
          <w:sz w:val="20"/>
        </w:rPr>
        <w:t>to </w:t>
      </w:r>
      <w:r>
        <w:rPr>
          <w:spacing w:val="-3"/>
          <w:sz w:val="20"/>
        </w:rPr>
        <w:t>work </w:t>
      </w:r>
      <w:r>
        <w:rPr>
          <w:sz w:val="20"/>
        </w:rPr>
        <w:t>with deaf jurors</w:t>
      </w:r>
      <w:r>
        <w:rPr>
          <w:spacing w:val="-12"/>
          <w:sz w:val="20"/>
        </w:rPr>
        <w:t> </w:t>
      </w:r>
      <w:r>
        <w:rPr>
          <w:sz w:val="20"/>
        </w:rPr>
        <w:t>in</w:t>
      </w:r>
      <w:r>
        <w:rPr>
          <w:spacing w:val="-12"/>
          <w:sz w:val="20"/>
        </w:rPr>
        <w:t> </w:t>
      </w:r>
      <w:r>
        <w:rPr>
          <w:sz w:val="20"/>
        </w:rPr>
        <w:t>jury</w:t>
      </w:r>
      <w:r>
        <w:rPr>
          <w:spacing w:val="-11"/>
          <w:sz w:val="20"/>
        </w:rPr>
        <w:t> </w:t>
      </w:r>
      <w:r>
        <w:rPr>
          <w:sz w:val="20"/>
        </w:rPr>
        <w:t>deliberations</w:t>
      </w:r>
      <w:r>
        <w:rPr>
          <w:spacing w:val="-12"/>
          <w:sz w:val="20"/>
        </w:rPr>
        <w:t> </w:t>
      </w:r>
      <w:r>
        <w:rPr>
          <w:sz w:val="20"/>
        </w:rPr>
        <w:t>in</w:t>
      </w:r>
      <w:r>
        <w:rPr>
          <w:spacing w:val="-11"/>
          <w:sz w:val="20"/>
        </w:rPr>
        <w:t> </w:t>
      </w:r>
      <w:r>
        <w:rPr>
          <w:sz w:val="20"/>
        </w:rPr>
        <w:t>England</w:t>
      </w:r>
      <w:r>
        <w:rPr>
          <w:spacing w:val="-12"/>
          <w:sz w:val="20"/>
        </w:rPr>
        <w:t> </w:t>
      </w:r>
      <w:r>
        <w:rPr>
          <w:sz w:val="20"/>
        </w:rPr>
        <w:t>and</w:t>
      </w:r>
      <w:r>
        <w:rPr>
          <w:spacing w:val="-11"/>
          <w:sz w:val="20"/>
        </w:rPr>
        <w:t> </w:t>
      </w:r>
      <w:r>
        <w:rPr>
          <w:sz w:val="20"/>
        </w:rPr>
        <w:t>Wales.</w:t>
      </w:r>
      <w:r>
        <w:rPr>
          <w:position w:val="7"/>
          <w:sz w:val="11"/>
        </w:rPr>
        <w:t>81</w:t>
      </w:r>
      <w:r>
        <w:rPr>
          <w:spacing w:val="13"/>
          <w:position w:val="7"/>
          <w:sz w:val="11"/>
        </w:rPr>
        <w:t> </w:t>
      </w:r>
      <w:r>
        <w:rPr>
          <w:sz w:val="20"/>
        </w:rPr>
        <w:t>The</w:t>
      </w:r>
      <w:r>
        <w:rPr>
          <w:spacing w:val="-11"/>
          <w:sz w:val="20"/>
        </w:rPr>
        <w:t> </w:t>
      </w:r>
      <w:r>
        <w:rPr>
          <w:sz w:val="20"/>
        </w:rPr>
        <w:t>new</w:t>
      </w:r>
      <w:r>
        <w:rPr>
          <w:spacing w:val="-12"/>
          <w:sz w:val="20"/>
        </w:rPr>
        <w:t> </w:t>
      </w:r>
      <w:r>
        <w:rPr>
          <w:sz w:val="20"/>
        </w:rPr>
        <w:t>legislation</w:t>
      </w:r>
      <w:r>
        <w:rPr>
          <w:spacing w:val="-11"/>
          <w:sz w:val="20"/>
        </w:rPr>
        <w:t> </w:t>
      </w:r>
      <w:r>
        <w:rPr>
          <w:sz w:val="20"/>
        </w:rPr>
        <w:t>has</w:t>
      </w:r>
      <w:r>
        <w:rPr>
          <w:spacing w:val="-12"/>
          <w:sz w:val="20"/>
        </w:rPr>
        <w:t> </w:t>
      </w:r>
      <w:r>
        <w:rPr>
          <w:sz w:val="20"/>
        </w:rPr>
        <w:t>amended the </w:t>
      </w:r>
      <w:r>
        <w:rPr>
          <w:i/>
          <w:sz w:val="20"/>
        </w:rPr>
        <w:t>Juries Act </w:t>
      </w:r>
      <w:r>
        <w:rPr>
          <w:i/>
          <w:spacing w:val="-7"/>
          <w:sz w:val="20"/>
        </w:rPr>
        <w:t>1974 </w:t>
      </w:r>
      <w:r>
        <w:rPr>
          <w:sz w:val="20"/>
        </w:rPr>
        <w:t>(UK) and ‘will mean </w:t>
      </w:r>
      <w:r>
        <w:rPr>
          <w:spacing w:val="-4"/>
          <w:sz w:val="20"/>
        </w:rPr>
        <w:t>over </w:t>
      </w:r>
      <w:r>
        <w:rPr>
          <w:sz w:val="20"/>
        </w:rPr>
        <w:t>80,000 deaf people </w:t>
      </w:r>
      <w:r>
        <w:rPr>
          <w:spacing w:val="-3"/>
          <w:sz w:val="20"/>
        </w:rPr>
        <w:t>across </w:t>
      </w:r>
      <w:r>
        <w:rPr>
          <w:sz w:val="20"/>
        </w:rPr>
        <w:t>England and </w:t>
      </w:r>
      <w:r>
        <w:rPr>
          <w:spacing w:val="-4"/>
          <w:sz w:val="20"/>
        </w:rPr>
        <w:t>Wales </w:t>
      </w:r>
      <w:r>
        <w:rPr>
          <w:sz w:val="20"/>
        </w:rPr>
        <w:t>can </w:t>
      </w:r>
      <w:r>
        <w:rPr>
          <w:spacing w:val="-3"/>
          <w:sz w:val="20"/>
        </w:rPr>
        <w:t>now </w:t>
      </w:r>
      <w:r>
        <w:rPr>
          <w:sz w:val="20"/>
        </w:rPr>
        <w:t>participate in jury</w:t>
      </w:r>
      <w:r>
        <w:rPr>
          <w:spacing w:val="-20"/>
          <w:sz w:val="20"/>
        </w:rPr>
        <w:t> </w:t>
      </w:r>
      <w:r>
        <w:rPr>
          <w:sz w:val="20"/>
        </w:rPr>
        <w:t>service’.</w:t>
      </w:r>
      <w:r>
        <w:rPr>
          <w:position w:val="7"/>
          <w:sz w:val="11"/>
        </w:rPr>
        <w:t>82</w:t>
      </w:r>
    </w:p>
    <w:p>
      <w:pPr>
        <w:pStyle w:val="BodyText"/>
      </w:pPr>
    </w:p>
    <w:p>
      <w:pPr>
        <w:pStyle w:val="BodyText"/>
      </w:pPr>
    </w:p>
    <w:p>
      <w:pPr>
        <w:pStyle w:val="BodyText"/>
        <w:spacing w:before="7"/>
        <w:rPr>
          <w:sz w:val="24"/>
        </w:rPr>
      </w:pPr>
      <w:r>
        <w:rPr/>
        <w:pict>
          <v:line style="position:absolute;mso-position-horizontal-relative:page;mso-position-vertical-relative:paragraph;z-index:6224;mso-wrap-distance-left:0;mso-wrap-distance-right:0" from="79.370102pt,19.498171pt" to="515.905102pt,19.498171pt" stroked="true" strokeweight="1pt" strokecolor="#b6bdc8">
            <v:stroke dashstyle="solid"/>
            <w10:wrap type="topAndBottom"/>
          </v:line>
        </w:pict>
      </w:r>
    </w:p>
    <w:p>
      <w:pPr>
        <w:pStyle w:val="ListParagraph"/>
        <w:numPr>
          <w:ilvl w:val="0"/>
          <w:numId w:val="71"/>
        </w:numPr>
        <w:tabs>
          <w:tab w:pos="1760" w:val="left" w:leader="none"/>
          <w:tab w:pos="1762" w:val="left" w:leader="none"/>
        </w:tabs>
        <w:spacing w:line="170" w:lineRule="exact" w:before="91" w:after="0"/>
        <w:ind w:left="1761" w:right="0" w:hanging="794"/>
        <w:jc w:val="left"/>
        <w:rPr>
          <w:sz w:val="13"/>
        </w:rPr>
      </w:pPr>
      <w:r>
        <w:rPr>
          <w:sz w:val="13"/>
        </w:rPr>
        <w:t>Ibid ch 5</w:t>
      </w:r>
      <w:r>
        <w:rPr>
          <w:spacing w:val="14"/>
          <w:sz w:val="13"/>
        </w:rPr>
        <w:t> </w:t>
      </w:r>
      <w:r>
        <w:rPr>
          <w:sz w:val="13"/>
        </w:rPr>
        <w:t>[43].</w:t>
      </w:r>
    </w:p>
    <w:p>
      <w:pPr>
        <w:pStyle w:val="ListParagraph"/>
        <w:numPr>
          <w:ilvl w:val="0"/>
          <w:numId w:val="71"/>
        </w:numPr>
        <w:tabs>
          <w:tab w:pos="1760" w:val="left" w:leader="none"/>
          <w:tab w:pos="1762" w:val="left" w:leader="none"/>
        </w:tabs>
        <w:spacing w:line="160" w:lineRule="exact" w:before="0" w:after="0"/>
        <w:ind w:left="1761" w:right="0" w:hanging="794"/>
        <w:jc w:val="left"/>
        <w:rPr>
          <w:sz w:val="13"/>
        </w:rPr>
      </w:pPr>
      <w:r>
        <w:rPr>
          <w:sz w:val="13"/>
        </w:rPr>
        <w:t>Ibid ch 5</w:t>
      </w:r>
      <w:r>
        <w:rPr>
          <w:spacing w:val="16"/>
          <w:sz w:val="13"/>
        </w:rPr>
        <w:t> </w:t>
      </w:r>
      <w:r>
        <w:rPr>
          <w:sz w:val="13"/>
        </w:rPr>
        <w:t>[46].</w:t>
      </w:r>
    </w:p>
    <w:p>
      <w:pPr>
        <w:pStyle w:val="ListParagraph"/>
        <w:numPr>
          <w:ilvl w:val="0"/>
          <w:numId w:val="71"/>
        </w:numPr>
        <w:tabs>
          <w:tab w:pos="1761" w:val="left" w:leader="none"/>
          <w:tab w:pos="1762" w:val="left" w:leader="none"/>
        </w:tabs>
        <w:spacing w:line="213" w:lineRule="auto" w:before="6" w:after="0"/>
        <w:ind w:left="1761" w:right="1419" w:hanging="794"/>
        <w:jc w:val="both"/>
        <w:rPr>
          <w:sz w:val="13"/>
        </w:rPr>
      </w:pPr>
      <w:r>
        <w:rPr>
          <w:sz w:val="13"/>
        </w:rPr>
        <w:t>Home Office (UK), </w:t>
      </w:r>
      <w:r>
        <w:rPr>
          <w:i/>
          <w:sz w:val="13"/>
        </w:rPr>
        <w:t>Profoundly Deaf Jurors: Police, Crime, Sentencing and </w:t>
      </w:r>
      <w:r>
        <w:rPr>
          <w:i/>
          <w:spacing w:val="2"/>
          <w:sz w:val="13"/>
        </w:rPr>
        <w:t>Courts </w:t>
      </w:r>
      <w:r>
        <w:rPr>
          <w:i/>
          <w:sz w:val="13"/>
        </w:rPr>
        <w:t>Act 2022 Factsheet </w:t>
      </w:r>
      <w:r>
        <w:rPr>
          <w:sz w:val="13"/>
        </w:rPr>
        <w:t>(27 May 2022) &lt;https://</w:t>
      </w:r>
      <w:hyperlink r:id="rId163">
        <w:r>
          <w:rPr>
            <w:sz w:val="13"/>
          </w:rPr>
          <w:t>www.</w:t>
        </w:r>
      </w:hyperlink>
      <w:r>
        <w:rPr>
          <w:sz w:val="13"/>
        </w:rPr>
        <w:t> go</w:t>
      </w:r>
      <w:hyperlink r:id="rId164">
        <w:r>
          <w:rPr>
            <w:sz w:val="13"/>
          </w:rPr>
          <w:t>v.uk/government/publications/police-crime-sentencing-and-courts-bill-2021-factsheets/police-crime-sentencing-and-</w:t>
        </w:r>
      </w:hyperlink>
      <w:hyperlink r:id="rId164">
        <w:r>
          <w:rPr>
            <w:sz w:val="13"/>
          </w:rPr>
          <w:t> courts-bill-2021-profoundly-deaf-jurors-factsheet#background&gt;</w:t>
        </w:r>
      </w:hyperlink>
      <w:r>
        <w:rPr>
          <w:sz w:val="13"/>
        </w:rPr>
        <w:t>.</w:t>
      </w:r>
    </w:p>
    <w:p>
      <w:pPr>
        <w:pStyle w:val="ListParagraph"/>
        <w:numPr>
          <w:ilvl w:val="0"/>
          <w:numId w:val="71"/>
        </w:numPr>
        <w:tabs>
          <w:tab w:pos="1760" w:val="left" w:leader="none"/>
          <w:tab w:pos="1762" w:val="left" w:leader="none"/>
        </w:tabs>
        <w:spacing w:line="152" w:lineRule="exact" w:before="0" w:after="0"/>
        <w:ind w:left="1761" w:right="0" w:hanging="794"/>
        <w:jc w:val="left"/>
        <w:rPr>
          <w:sz w:val="13"/>
        </w:rPr>
      </w:pPr>
      <w:r>
        <w:rPr>
          <w:spacing w:val="2"/>
          <w:sz w:val="13"/>
        </w:rPr>
        <w:t>Ibid.</w:t>
      </w:r>
    </w:p>
    <w:p>
      <w:pPr>
        <w:pStyle w:val="ListParagraph"/>
        <w:numPr>
          <w:ilvl w:val="0"/>
          <w:numId w:val="71"/>
        </w:numPr>
        <w:tabs>
          <w:tab w:pos="1760" w:val="left" w:leader="none"/>
          <w:tab w:pos="1762" w:val="left" w:leader="none"/>
        </w:tabs>
        <w:spacing w:line="160" w:lineRule="exact" w:before="0" w:after="0"/>
        <w:ind w:left="1761" w:right="0" w:hanging="794"/>
        <w:jc w:val="left"/>
        <w:rPr>
          <w:sz w:val="13"/>
        </w:rPr>
      </w:pPr>
      <w:r>
        <w:rPr>
          <w:sz w:val="13"/>
        </w:rPr>
        <w:t>See, eg, </w:t>
      </w:r>
      <w:r>
        <w:rPr>
          <w:i/>
          <w:sz w:val="13"/>
        </w:rPr>
        <w:t>Criminal Justice Act 1995 </w:t>
      </w:r>
      <w:r>
        <w:rPr>
          <w:sz w:val="13"/>
        </w:rPr>
        <w:t>(Scot); </w:t>
      </w:r>
      <w:r>
        <w:rPr>
          <w:i/>
          <w:sz w:val="13"/>
        </w:rPr>
        <w:t>Criminal Procedure Act 1995 </w:t>
      </w:r>
      <w:r>
        <w:rPr>
          <w:sz w:val="13"/>
        </w:rPr>
        <w:t>(Scot); </w:t>
      </w:r>
      <w:r>
        <w:rPr>
          <w:i/>
          <w:sz w:val="13"/>
        </w:rPr>
        <w:t>Juries Order </w:t>
      </w:r>
      <w:r>
        <w:rPr>
          <w:i/>
          <w:spacing w:val="2"/>
          <w:sz w:val="13"/>
        </w:rPr>
        <w:t>1996 </w:t>
      </w:r>
      <w:r>
        <w:rPr>
          <w:sz w:val="13"/>
        </w:rPr>
        <w:t>(NI); </w:t>
      </w:r>
      <w:r>
        <w:rPr>
          <w:i/>
          <w:sz w:val="13"/>
        </w:rPr>
        <w:t>Juries Act 1974</w:t>
      </w:r>
      <w:r>
        <w:rPr>
          <w:i/>
          <w:spacing w:val="31"/>
          <w:sz w:val="13"/>
        </w:rPr>
        <w:t> </w:t>
      </w:r>
      <w:r>
        <w:rPr>
          <w:sz w:val="13"/>
        </w:rPr>
        <w:t>(UK).</w:t>
      </w:r>
    </w:p>
    <w:p>
      <w:pPr>
        <w:pStyle w:val="ListParagraph"/>
        <w:numPr>
          <w:ilvl w:val="0"/>
          <w:numId w:val="71"/>
        </w:numPr>
        <w:tabs>
          <w:tab w:pos="1761" w:val="left" w:leader="none"/>
          <w:tab w:pos="1762" w:val="left" w:leader="none"/>
        </w:tabs>
        <w:spacing w:line="213" w:lineRule="auto" w:before="6" w:after="0"/>
        <w:ind w:left="1761" w:right="1394" w:hanging="794"/>
        <w:jc w:val="left"/>
        <w:rPr>
          <w:sz w:val="13"/>
        </w:rPr>
      </w:pPr>
      <w:r>
        <w:rPr>
          <w:sz w:val="13"/>
        </w:rPr>
        <w:t>Information provided by Her Majesty’s </w:t>
      </w:r>
      <w:r>
        <w:rPr>
          <w:spacing w:val="2"/>
          <w:sz w:val="13"/>
        </w:rPr>
        <w:t>Courts </w:t>
      </w:r>
      <w:r>
        <w:rPr>
          <w:sz w:val="13"/>
        </w:rPr>
        <w:t>and Tribunals </w:t>
      </w:r>
      <w:r>
        <w:rPr>
          <w:spacing w:val="2"/>
          <w:sz w:val="13"/>
        </w:rPr>
        <w:t>Service </w:t>
      </w:r>
      <w:r>
        <w:rPr>
          <w:sz w:val="13"/>
        </w:rPr>
        <w:t>to Victorian Law Reform </w:t>
      </w:r>
      <w:r>
        <w:rPr>
          <w:spacing w:val="2"/>
          <w:sz w:val="13"/>
        </w:rPr>
        <w:t>Commission, </w:t>
      </w:r>
      <w:r>
        <w:rPr>
          <w:sz w:val="13"/>
        </w:rPr>
        <w:t>17 August 2020 and   2 September 2021.</w:t>
      </w:r>
    </w:p>
    <w:p>
      <w:pPr>
        <w:pStyle w:val="ListParagraph"/>
        <w:numPr>
          <w:ilvl w:val="0"/>
          <w:numId w:val="71"/>
        </w:numPr>
        <w:tabs>
          <w:tab w:pos="1760" w:val="left" w:leader="none"/>
          <w:tab w:pos="1762" w:val="left" w:leader="none"/>
        </w:tabs>
        <w:spacing w:line="213" w:lineRule="auto" w:before="0" w:after="0"/>
        <w:ind w:left="1761" w:right="1734" w:hanging="794"/>
        <w:jc w:val="left"/>
        <w:rPr>
          <w:sz w:val="13"/>
        </w:rPr>
      </w:pPr>
      <w:r>
        <w:rPr>
          <w:sz w:val="13"/>
        </w:rPr>
        <w:t>‘Law Change </w:t>
      </w:r>
      <w:r>
        <w:rPr>
          <w:spacing w:val="2"/>
          <w:sz w:val="13"/>
        </w:rPr>
        <w:t>Opens </w:t>
      </w:r>
      <w:r>
        <w:rPr>
          <w:sz w:val="13"/>
        </w:rPr>
        <w:t>Doors for Deaf Jurors in </w:t>
      </w:r>
      <w:r>
        <w:rPr>
          <w:spacing w:val="2"/>
          <w:sz w:val="13"/>
        </w:rPr>
        <w:t>England </w:t>
      </w:r>
      <w:r>
        <w:rPr>
          <w:sz w:val="13"/>
        </w:rPr>
        <w:t>and Wales’, </w:t>
      </w:r>
      <w:r>
        <w:rPr>
          <w:i/>
          <w:sz w:val="13"/>
        </w:rPr>
        <w:t>Hearing Link </w:t>
      </w:r>
      <w:r>
        <w:rPr>
          <w:sz w:val="13"/>
        </w:rPr>
        <w:t>(Web Page, 17 March 2021) &lt;</w:t>
      </w:r>
      <w:hyperlink r:id="rId162">
        <w:r>
          <w:rPr>
            <w:sz w:val="13"/>
          </w:rPr>
          <w:t>https://www.</w:t>
        </w:r>
      </w:hyperlink>
      <w:hyperlink r:id="rId162">
        <w:r>
          <w:rPr>
            <w:sz w:val="13"/>
          </w:rPr>
          <w:t> hearinglink.org/news/202103/law-change-opens-doors-for-deaf-jurors-in-england-and-wales/</w:t>
        </w:r>
      </w:hyperlink>
      <w:r>
        <w:rPr>
          <w:sz w:val="13"/>
        </w:rPr>
        <w:t>&gt;.</w:t>
      </w:r>
    </w:p>
    <w:p>
      <w:pPr>
        <w:pStyle w:val="ListParagraph"/>
        <w:numPr>
          <w:ilvl w:val="0"/>
          <w:numId w:val="71"/>
        </w:numPr>
        <w:tabs>
          <w:tab w:pos="1761" w:val="left" w:leader="none"/>
          <w:tab w:pos="1762" w:val="left" w:leader="none"/>
        </w:tabs>
        <w:spacing w:line="213" w:lineRule="auto" w:before="0" w:after="0"/>
        <w:ind w:left="1761" w:right="1274" w:hanging="794"/>
        <w:jc w:val="left"/>
        <w:rPr>
          <w:sz w:val="13"/>
        </w:rPr>
      </w:pPr>
      <w:r>
        <w:rPr>
          <w:i/>
          <w:sz w:val="13"/>
        </w:rPr>
        <w:t>Police, Crime, Sentencing and </w:t>
      </w:r>
      <w:r>
        <w:rPr>
          <w:i/>
          <w:spacing w:val="2"/>
          <w:sz w:val="13"/>
        </w:rPr>
        <w:t>Courts </w:t>
      </w:r>
      <w:r>
        <w:rPr>
          <w:i/>
          <w:sz w:val="13"/>
        </w:rPr>
        <w:t>Act 2022 </w:t>
      </w:r>
      <w:r>
        <w:rPr>
          <w:spacing w:val="2"/>
          <w:sz w:val="13"/>
        </w:rPr>
        <w:t>(UK) </w:t>
      </w:r>
      <w:r>
        <w:rPr>
          <w:sz w:val="13"/>
        </w:rPr>
        <w:t>s </w:t>
      </w:r>
      <w:r>
        <w:rPr>
          <w:spacing w:val="2"/>
          <w:sz w:val="13"/>
        </w:rPr>
        <w:t>196. </w:t>
      </w:r>
      <w:r>
        <w:rPr>
          <w:sz w:val="13"/>
        </w:rPr>
        <w:t>This section of the </w:t>
      </w:r>
      <w:r>
        <w:rPr>
          <w:spacing w:val="2"/>
          <w:sz w:val="13"/>
        </w:rPr>
        <w:t>amending </w:t>
      </w:r>
      <w:r>
        <w:rPr>
          <w:sz w:val="13"/>
        </w:rPr>
        <w:t>legislation will come into force on 28 June 2022, pursuant to s </w:t>
      </w:r>
      <w:r>
        <w:rPr>
          <w:spacing w:val="2"/>
          <w:sz w:val="13"/>
        </w:rPr>
        <w:t>208(5)(x).</w:t>
      </w:r>
    </w:p>
    <w:p>
      <w:pPr>
        <w:pStyle w:val="ListParagraph"/>
        <w:numPr>
          <w:ilvl w:val="0"/>
          <w:numId w:val="71"/>
        </w:numPr>
        <w:tabs>
          <w:tab w:pos="1761" w:val="left" w:leader="none"/>
          <w:tab w:pos="1762" w:val="left" w:leader="none"/>
        </w:tabs>
        <w:spacing w:line="213" w:lineRule="auto" w:before="0" w:after="0"/>
        <w:ind w:left="1761" w:right="1259" w:hanging="794"/>
        <w:jc w:val="left"/>
        <w:rPr>
          <w:sz w:val="13"/>
        </w:rPr>
      </w:pPr>
      <w:r>
        <w:rPr/>
        <w:pict>
          <v:shape style="position:absolute;margin-left:548.470398pt;margin-top:3.393091pt;width:14.4pt;height:14.1pt;mso-position-horizontal-relative:page;mso-position-vertical-relative:paragraph;z-index:8296" type="#_x0000_t202" filled="false" stroked="false">
            <v:textbox inset="0,0,0,0">
              <w:txbxContent>
                <w:p>
                  <w:pPr>
                    <w:spacing w:line="282" w:lineRule="exact" w:before="0"/>
                    <w:ind w:left="0" w:right="0" w:firstLine="0"/>
                    <w:jc w:val="left"/>
                    <w:rPr>
                      <w:b/>
                      <w:sz w:val="24"/>
                    </w:rPr>
                  </w:pPr>
                  <w:r>
                    <w:rPr>
                      <w:b/>
                      <w:color w:val="37617A"/>
                      <w:sz w:val="24"/>
                    </w:rPr>
                    <w:t>99</w:t>
                  </w:r>
                </w:p>
              </w:txbxContent>
            </v:textbox>
            <w10:wrap type="none"/>
          </v:shape>
        </w:pict>
      </w:r>
      <w:r>
        <w:rPr>
          <w:sz w:val="13"/>
        </w:rPr>
        <w:t>Ibid s 196; </w:t>
      </w:r>
      <w:r>
        <w:rPr>
          <w:spacing w:val="2"/>
          <w:sz w:val="13"/>
        </w:rPr>
        <w:t>Ministry </w:t>
      </w:r>
      <w:r>
        <w:rPr>
          <w:sz w:val="13"/>
        </w:rPr>
        <w:t>of Justice (UK), ‘Law Change </w:t>
      </w:r>
      <w:r>
        <w:rPr>
          <w:spacing w:val="2"/>
          <w:sz w:val="13"/>
        </w:rPr>
        <w:t>Opens </w:t>
      </w:r>
      <w:r>
        <w:rPr>
          <w:sz w:val="13"/>
        </w:rPr>
        <w:t>Door to Deaf Jurors’ (Press Release, 9 March 2021) &lt;</w:t>
      </w:r>
      <w:hyperlink r:id="rId165">
        <w:r>
          <w:rPr>
            <w:sz w:val="13"/>
          </w:rPr>
          <w:t>https://www.gov.uk/</w:t>
        </w:r>
      </w:hyperlink>
      <w:hyperlink r:id="rId165">
        <w:r>
          <w:rPr>
            <w:sz w:val="13"/>
          </w:rPr>
          <w:t> government/news/law-change-opens-door-to-deaf-jurors</w:t>
        </w:r>
      </w:hyperlink>
      <w:r>
        <w:rPr>
          <w:sz w:val="13"/>
        </w:rPr>
        <w:t>&gt;.</w:t>
      </w:r>
    </w:p>
    <w:p>
      <w:pPr>
        <w:spacing w:after="0" w:line="213" w:lineRule="auto"/>
        <w:jc w:val="left"/>
        <w:rPr>
          <w:sz w:val="13"/>
        </w:rPr>
        <w:sectPr>
          <w:pgSz w:w="11910" w:h="16840"/>
          <w:pgMar w:header="0" w:footer="0" w:top="840" w:bottom="280" w:left="620" w:right="380"/>
        </w:sectPr>
      </w:pPr>
    </w:p>
    <w:p>
      <w:pPr>
        <w:pStyle w:val="BodyText"/>
      </w:pPr>
    </w:p>
    <w:p>
      <w:pPr>
        <w:pStyle w:val="BodyText"/>
      </w:pPr>
    </w:p>
    <w:p>
      <w:pPr>
        <w:pStyle w:val="BodyText"/>
      </w:pPr>
    </w:p>
    <w:p>
      <w:pPr>
        <w:pStyle w:val="BodyText"/>
        <w:spacing w:before="11"/>
        <w:rPr>
          <w:sz w:val="18"/>
        </w:rPr>
      </w:pPr>
    </w:p>
    <w:p>
      <w:pPr>
        <w:pStyle w:val="ListParagraph"/>
        <w:numPr>
          <w:ilvl w:val="1"/>
          <w:numId w:val="12"/>
        </w:numPr>
        <w:tabs>
          <w:tab w:pos="1761" w:val="left" w:leader="none"/>
          <w:tab w:pos="1762" w:val="left" w:leader="none"/>
        </w:tabs>
        <w:spacing w:line="206" w:lineRule="auto" w:before="0" w:after="0"/>
        <w:ind w:left="1761" w:right="1209" w:hanging="794"/>
        <w:jc w:val="left"/>
        <w:rPr>
          <w:sz w:val="11"/>
        </w:rPr>
      </w:pPr>
      <w:r>
        <w:rPr>
          <w:sz w:val="20"/>
        </w:rPr>
        <w:t>Section 196 of the amending legislation </w:t>
      </w:r>
      <w:r>
        <w:rPr>
          <w:spacing w:val="-3"/>
          <w:sz w:val="20"/>
        </w:rPr>
        <w:t>requires </w:t>
      </w:r>
      <w:r>
        <w:rPr>
          <w:sz w:val="20"/>
        </w:rPr>
        <w:t>the judge to determine whether the assistance of a BSL </w:t>
      </w:r>
      <w:r>
        <w:rPr>
          <w:spacing w:val="-3"/>
          <w:sz w:val="20"/>
        </w:rPr>
        <w:t>interpreter would </w:t>
      </w:r>
      <w:r>
        <w:rPr>
          <w:sz w:val="20"/>
        </w:rPr>
        <w:t>enable a deaf person ‘to be capable of acting effectively as a </w:t>
      </w:r>
      <w:r>
        <w:rPr>
          <w:spacing w:val="-3"/>
          <w:sz w:val="20"/>
        </w:rPr>
        <w:t>juror’.</w:t>
      </w:r>
      <w:r>
        <w:rPr>
          <w:spacing w:val="-3"/>
          <w:position w:val="7"/>
          <w:sz w:val="11"/>
        </w:rPr>
        <w:t>83 </w:t>
      </w:r>
      <w:r>
        <w:rPr>
          <w:sz w:val="20"/>
        </w:rPr>
        <w:t>If </w:t>
      </w:r>
      <w:r>
        <w:rPr>
          <w:spacing w:val="-2"/>
          <w:sz w:val="20"/>
        </w:rPr>
        <w:t>so, </w:t>
      </w:r>
      <w:r>
        <w:rPr>
          <w:sz w:val="20"/>
        </w:rPr>
        <w:t>the judge </w:t>
      </w:r>
      <w:r>
        <w:rPr>
          <w:spacing w:val="-3"/>
          <w:sz w:val="20"/>
        </w:rPr>
        <w:t>may </w:t>
      </w:r>
      <w:r>
        <w:rPr>
          <w:sz w:val="20"/>
        </w:rPr>
        <w:t>appoint one or more </w:t>
      </w:r>
      <w:r>
        <w:rPr>
          <w:spacing w:val="-3"/>
          <w:sz w:val="20"/>
        </w:rPr>
        <w:t>interpreters </w:t>
      </w:r>
      <w:r>
        <w:rPr>
          <w:sz w:val="20"/>
        </w:rPr>
        <w:t>to </w:t>
      </w:r>
      <w:r>
        <w:rPr>
          <w:spacing w:val="-3"/>
          <w:sz w:val="20"/>
        </w:rPr>
        <w:t>provide </w:t>
      </w:r>
      <w:r>
        <w:rPr>
          <w:sz w:val="20"/>
        </w:rPr>
        <w:t>that</w:t>
      </w:r>
      <w:r>
        <w:rPr>
          <w:spacing w:val="-8"/>
          <w:sz w:val="20"/>
        </w:rPr>
        <w:t> </w:t>
      </w:r>
      <w:r>
        <w:rPr>
          <w:sz w:val="20"/>
        </w:rPr>
        <w:t>assistance.</w:t>
      </w:r>
      <w:r>
        <w:rPr>
          <w:spacing w:val="-8"/>
          <w:sz w:val="20"/>
        </w:rPr>
        <w:t> </w:t>
      </w:r>
      <w:r>
        <w:rPr>
          <w:sz w:val="20"/>
        </w:rPr>
        <w:t>The</w:t>
      </w:r>
      <w:r>
        <w:rPr>
          <w:spacing w:val="-8"/>
          <w:sz w:val="20"/>
        </w:rPr>
        <w:t> </w:t>
      </w:r>
      <w:r>
        <w:rPr>
          <w:sz w:val="20"/>
        </w:rPr>
        <w:t>BSL</w:t>
      </w:r>
      <w:r>
        <w:rPr>
          <w:spacing w:val="-8"/>
          <w:sz w:val="20"/>
        </w:rPr>
        <w:t> </w:t>
      </w:r>
      <w:r>
        <w:rPr>
          <w:spacing w:val="-3"/>
          <w:sz w:val="20"/>
        </w:rPr>
        <w:t>interpreter</w:t>
      </w:r>
      <w:r>
        <w:rPr>
          <w:spacing w:val="-9"/>
          <w:sz w:val="20"/>
        </w:rPr>
        <w:t> </w:t>
      </w:r>
      <w:r>
        <w:rPr>
          <w:sz w:val="20"/>
        </w:rPr>
        <w:t>will</w:t>
      </w:r>
      <w:r>
        <w:rPr>
          <w:spacing w:val="-8"/>
          <w:sz w:val="20"/>
        </w:rPr>
        <w:t> </w:t>
      </w:r>
      <w:r>
        <w:rPr>
          <w:sz w:val="20"/>
        </w:rPr>
        <w:t>then</w:t>
      </w:r>
      <w:r>
        <w:rPr>
          <w:spacing w:val="-8"/>
          <w:sz w:val="20"/>
        </w:rPr>
        <w:t> </w:t>
      </w:r>
      <w:r>
        <w:rPr>
          <w:sz w:val="20"/>
        </w:rPr>
        <w:t>be</w:t>
      </w:r>
      <w:r>
        <w:rPr>
          <w:spacing w:val="-8"/>
          <w:sz w:val="20"/>
        </w:rPr>
        <w:t> </w:t>
      </w:r>
      <w:r>
        <w:rPr>
          <w:sz w:val="20"/>
        </w:rPr>
        <w:t>permitted</w:t>
      </w:r>
      <w:r>
        <w:rPr>
          <w:spacing w:val="-8"/>
          <w:sz w:val="20"/>
        </w:rPr>
        <w:t> </w:t>
      </w:r>
      <w:r>
        <w:rPr>
          <w:sz w:val="20"/>
        </w:rPr>
        <w:t>to</w:t>
      </w:r>
      <w:r>
        <w:rPr>
          <w:spacing w:val="-8"/>
          <w:sz w:val="20"/>
        </w:rPr>
        <w:t> </w:t>
      </w:r>
      <w:r>
        <w:rPr>
          <w:spacing w:val="-3"/>
          <w:sz w:val="20"/>
        </w:rPr>
        <w:t>‘remain</w:t>
      </w:r>
      <w:r>
        <w:rPr>
          <w:spacing w:val="-8"/>
          <w:sz w:val="20"/>
        </w:rPr>
        <w:t> </w:t>
      </w:r>
      <w:r>
        <w:rPr>
          <w:sz w:val="20"/>
        </w:rPr>
        <w:t>with</w:t>
      </w:r>
      <w:r>
        <w:rPr>
          <w:spacing w:val="-8"/>
          <w:sz w:val="20"/>
        </w:rPr>
        <w:t> </w:t>
      </w:r>
      <w:r>
        <w:rPr>
          <w:sz w:val="20"/>
        </w:rPr>
        <w:t>the</w:t>
      </w:r>
      <w:r>
        <w:rPr>
          <w:spacing w:val="-8"/>
          <w:sz w:val="20"/>
        </w:rPr>
        <w:t> </w:t>
      </w:r>
      <w:r>
        <w:rPr>
          <w:sz w:val="20"/>
        </w:rPr>
        <w:t>jury</w:t>
      </w:r>
      <w:r>
        <w:rPr>
          <w:spacing w:val="-8"/>
          <w:sz w:val="20"/>
        </w:rPr>
        <w:t> </w:t>
      </w:r>
      <w:r>
        <w:rPr>
          <w:sz w:val="20"/>
        </w:rPr>
        <w:t>in</w:t>
      </w:r>
      <w:r>
        <w:rPr>
          <w:spacing w:val="-8"/>
          <w:sz w:val="20"/>
        </w:rPr>
        <w:t> </w:t>
      </w:r>
      <w:r>
        <w:rPr>
          <w:sz w:val="20"/>
        </w:rPr>
        <w:t>the course of their</w:t>
      </w:r>
      <w:r>
        <w:rPr>
          <w:spacing w:val="-14"/>
          <w:sz w:val="20"/>
        </w:rPr>
        <w:t> </w:t>
      </w:r>
      <w:r>
        <w:rPr>
          <w:sz w:val="20"/>
        </w:rPr>
        <w:t>deliberations’.</w:t>
      </w:r>
      <w:r>
        <w:rPr>
          <w:position w:val="7"/>
          <w:sz w:val="11"/>
        </w:rPr>
        <w:t>84</w:t>
      </w:r>
    </w:p>
    <w:p>
      <w:pPr>
        <w:pStyle w:val="ListParagraph"/>
        <w:numPr>
          <w:ilvl w:val="1"/>
          <w:numId w:val="12"/>
        </w:numPr>
        <w:tabs>
          <w:tab w:pos="1761" w:val="left" w:leader="none"/>
          <w:tab w:pos="1762" w:val="left" w:leader="none"/>
        </w:tabs>
        <w:spacing w:line="240" w:lineRule="auto" w:before="94" w:after="0"/>
        <w:ind w:left="1761" w:right="0" w:hanging="794"/>
        <w:jc w:val="left"/>
        <w:rPr>
          <w:sz w:val="20"/>
        </w:rPr>
      </w:pPr>
      <w:r>
        <w:rPr>
          <w:sz w:val="20"/>
        </w:rPr>
        <w:t>Other </w:t>
      </w:r>
      <w:r>
        <w:rPr>
          <w:spacing w:val="-4"/>
          <w:sz w:val="20"/>
        </w:rPr>
        <w:t>key </w:t>
      </w:r>
      <w:r>
        <w:rPr>
          <w:spacing w:val="-3"/>
          <w:sz w:val="20"/>
        </w:rPr>
        <w:t>features </w:t>
      </w:r>
      <w:r>
        <w:rPr>
          <w:sz w:val="20"/>
        </w:rPr>
        <w:t>of the new </w:t>
      </w:r>
      <w:r>
        <w:rPr>
          <w:spacing w:val="-3"/>
          <w:sz w:val="20"/>
        </w:rPr>
        <w:t>laws </w:t>
      </w:r>
      <w:r>
        <w:rPr>
          <w:sz w:val="20"/>
        </w:rPr>
        <w:t>and </w:t>
      </w:r>
      <w:r>
        <w:rPr>
          <w:spacing w:val="-3"/>
          <w:sz w:val="20"/>
        </w:rPr>
        <w:t>procedures</w:t>
      </w:r>
      <w:r>
        <w:rPr>
          <w:spacing w:val="-26"/>
          <w:sz w:val="20"/>
        </w:rPr>
        <w:t> </w:t>
      </w:r>
      <w:r>
        <w:rPr>
          <w:spacing w:val="-3"/>
          <w:sz w:val="20"/>
        </w:rPr>
        <w:t>are:</w:t>
      </w:r>
    </w:p>
    <w:p>
      <w:pPr>
        <w:pStyle w:val="ListParagraph"/>
        <w:numPr>
          <w:ilvl w:val="2"/>
          <w:numId w:val="12"/>
        </w:numPr>
        <w:tabs>
          <w:tab w:pos="2157" w:val="left" w:leader="none"/>
          <w:tab w:pos="2158" w:val="left" w:leader="none"/>
        </w:tabs>
        <w:spacing w:line="206" w:lineRule="auto" w:before="115" w:after="0"/>
        <w:ind w:left="2157" w:right="1384" w:hanging="396"/>
        <w:jc w:val="left"/>
        <w:rPr>
          <w:sz w:val="11"/>
        </w:rPr>
      </w:pPr>
      <w:r>
        <w:rPr>
          <w:spacing w:val="-3"/>
          <w:sz w:val="20"/>
        </w:rPr>
        <w:t>interpreters</w:t>
      </w:r>
      <w:r>
        <w:rPr>
          <w:spacing w:val="-12"/>
          <w:sz w:val="20"/>
        </w:rPr>
        <w:t> </w:t>
      </w:r>
      <w:r>
        <w:rPr>
          <w:sz w:val="20"/>
        </w:rPr>
        <w:t>will</w:t>
      </w:r>
      <w:r>
        <w:rPr>
          <w:spacing w:val="-11"/>
          <w:sz w:val="20"/>
        </w:rPr>
        <w:t> </w:t>
      </w:r>
      <w:r>
        <w:rPr>
          <w:sz w:val="20"/>
        </w:rPr>
        <w:t>be</w:t>
      </w:r>
      <w:r>
        <w:rPr>
          <w:spacing w:val="-12"/>
          <w:sz w:val="20"/>
        </w:rPr>
        <w:t> </w:t>
      </w:r>
      <w:r>
        <w:rPr>
          <w:spacing w:val="-3"/>
          <w:sz w:val="20"/>
        </w:rPr>
        <w:t>‘contractually</w:t>
      </w:r>
      <w:r>
        <w:rPr>
          <w:spacing w:val="-11"/>
          <w:sz w:val="20"/>
        </w:rPr>
        <w:t> </w:t>
      </w:r>
      <w:r>
        <w:rPr>
          <w:sz w:val="20"/>
        </w:rPr>
        <w:t>bound</w:t>
      </w:r>
      <w:r>
        <w:rPr>
          <w:spacing w:val="-11"/>
          <w:sz w:val="20"/>
        </w:rPr>
        <w:t> </w:t>
      </w:r>
      <w:r>
        <w:rPr>
          <w:sz w:val="20"/>
        </w:rPr>
        <w:t>to</w:t>
      </w:r>
      <w:r>
        <w:rPr>
          <w:spacing w:val="-12"/>
          <w:sz w:val="20"/>
        </w:rPr>
        <w:t> </w:t>
      </w:r>
      <w:r>
        <w:rPr>
          <w:sz w:val="20"/>
        </w:rPr>
        <w:t>a</w:t>
      </w:r>
      <w:r>
        <w:rPr>
          <w:spacing w:val="-11"/>
          <w:sz w:val="20"/>
        </w:rPr>
        <w:t> </w:t>
      </w:r>
      <w:r>
        <w:rPr>
          <w:sz w:val="20"/>
        </w:rPr>
        <w:t>confidentiality</w:t>
      </w:r>
      <w:r>
        <w:rPr>
          <w:spacing w:val="-12"/>
          <w:sz w:val="20"/>
        </w:rPr>
        <w:t> </w:t>
      </w:r>
      <w:r>
        <w:rPr>
          <w:sz w:val="20"/>
        </w:rPr>
        <w:t>agreement,</w:t>
      </w:r>
      <w:r>
        <w:rPr>
          <w:spacing w:val="-11"/>
          <w:sz w:val="20"/>
        </w:rPr>
        <w:t> </w:t>
      </w:r>
      <w:r>
        <w:rPr>
          <w:sz w:val="20"/>
        </w:rPr>
        <w:t>which</w:t>
      </w:r>
      <w:r>
        <w:rPr>
          <w:spacing w:val="-11"/>
          <w:sz w:val="20"/>
        </w:rPr>
        <w:t> </w:t>
      </w:r>
      <w:r>
        <w:rPr>
          <w:sz w:val="20"/>
        </w:rPr>
        <w:t>will stipulate</w:t>
      </w:r>
      <w:r>
        <w:rPr>
          <w:spacing w:val="-11"/>
          <w:sz w:val="20"/>
        </w:rPr>
        <w:t> </w:t>
      </w:r>
      <w:r>
        <w:rPr>
          <w:sz w:val="20"/>
        </w:rPr>
        <w:t>their</w:t>
      </w:r>
      <w:r>
        <w:rPr>
          <w:spacing w:val="-10"/>
          <w:sz w:val="20"/>
        </w:rPr>
        <w:t> </w:t>
      </w:r>
      <w:r>
        <w:rPr>
          <w:sz w:val="20"/>
        </w:rPr>
        <w:t>obligation</w:t>
      </w:r>
      <w:r>
        <w:rPr>
          <w:spacing w:val="-10"/>
          <w:sz w:val="20"/>
        </w:rPr>
        <w:t> </w:t>
      </w:r>
      <w:r>
        <w:rPr>
          <w:sz w:val="20"/>
        </w:rPr>
        <w:t>to</w:t>
      </w:r>
      <w:r>
        <w:rPr>
          <w:spacing w:val="-10"/>
          <w:sz w:val="20"/>
        </w:rPr>
        <w:t> </w:t>
      </w:r>
      <w:r>
        <w:rPr>
          <w:spacing w:val="-4"/>
          <w:sz w:val="20"/>
        </w:rPr>
        <w:t>always</w:t>
      </w:r>
      <w:r>
        <w:rPr>
          <w:spacing w:val="-11"/>
          <w:sz w:val="20"/>
        </w:rPr>
        <w:t> </w:t>
      </w:r>
      <w:r>
        <w:rPr>
          <w:sz w:val="20"/>
        </w:rPr>
        <w:t>remain</w:t>
      </w:r>
      <w:r>
        <w:rPr>
          <w:spacing w:val="-10"/>
          <w:sz w:val="20"/>
        </w:rPr>
        <w:t> </w:t>
      </w:r>
      <w:r>
        <w:rPr>
          <w:sz w:val="20"/>
        </w:rPr>
        <w:t>impartial</w:t>
      </w:r>
      <w:r>
        <w:rPr>
          <w:spacing w:val="-10"/>
          <w:sz w:val="20"/>
        </w:rPr>
        <w:t> </w:t>
      </w:r>
      <w:r>
        <w:rPr>
          <w:sz w:val="20"/>
        </w:rPr>
        <w:t>and</w:t>
      </w:r>
      <w:r>
        <w:rPr>
          <w:spacing w:val="-10"/>
          <w:sz w:val="20"/>
        </w:rPr>
        <w:t> </w:t>
      </w:r>
      <w:r>
        <w:rPr>
          <w:sz w:val="20"/>
        </w:rPr>
        <w:t>they</w:t>
      </w:r>
      <w:r>
        <w:rPr>
          <w:spacing w:val="-11"/>
          <w:sz w:val="20"/>
        </w:rPr>
        <w:t> </w:t>
      </w:r>
      <w:r>
        <w:rPr>
          <w:sz w:val="20"/>
        </w:rPr>
        <w:t>will</w:t>
      </w:r>
      <w:r>
        <w:rPr>
          <w:spacing w:val="-10"/>
          <w:sz w:val="20"/>
        </w:rPr>
        <w:t> </w:t>
      </w:r>
      <w:r>
        <w:rPr>
          <w:sz w:val="20"/>
        </w:rPr>
        <w:t>also</w:t>
      </w:r>
      <w:r>
        <w:rPr>
          <w:spacing w:val="-10"/>
          <w:sz w:val="20"/>
        </w:rPr>
        <w:t> </w:t>
      </w:r>
      <w:r>
        <w:rPr>
          <w:sz w:val="20"/>
        </w:rPr>
        <w:t>be</w:t>
      </w:r>
      <w:r>
        <w:rPr>
          <w:spacing w:val="-10"/>
          <w:sz w:val="20"/>
        </w:rPr>
        <w:t> </w:t>
      </w:r>
      <w:r>
        <w:rPr>
          <w:spacing w:val="-3"/>
          <w:sz w:val="20"/>
        </w:rPr>
        <w:t>required </w:t>
      </w:r>
      <w:r>
        <w:rPr>
          <w:sz w:val="20"/>
        </w:rPr>
        <w:t>to </w:t>
      </w:r>
      <w:r>
        <w:rPr>
          <w:spacing w:val="-3"/>
          <w:sz w:val="20"/>
        </w:rPr>
        <w:t>swear </w:t>
      </w:r>
      <w:r>
        <w:rPr>
          <w:sz w:val="20"/>
        </w:rPr>
        <w:t>an oath or affirmation to that effect, alongside the existing </w:t>
      </w:r>
      <w:r>
        <w:rPr>
          <w:spacing w:val="-3"/>
          <w:sz w:val="20"/>
        </w:rPr>
        <w:t>interpreter’s </w:t>
      </w:r>
      <w:r>
        <w:rPr>
          <w:sz w:val="20"/>
        </w:rPr>
        <w:t>oath or</w:t>
      </w:r>
      <w:r>
        <w:rPr>
          <w:spacing w:val="-9"/>
          <w:sz w:val="20"/>
        </w:rPr>
        <w:t> </w:t>
      </w:r>
      <w:r>
        <w:rPr>
          <w:sz w:val="20"/>
        </w:rPr>
        <w:t>affirmation’.</w:t>
      </w:r>
      <w:r>
        <w:rPr>
          <w:position w:val="7"/>
          <w:sz w:val="11"/>
        </w:rPr>
        <w:t>85</w:t>
      </w:r>
    </w:p>
    <w:p>
      <w:pPr>
        <w:pStyle w:val="ListParagraph"/>
        <w:numPr>
          <w:ilvl w:val="2"/>
          <w:numId w:val="12"/>
        </w:numPr>
        <w:tabs>
          <w:tab w:pos="2157" w:val="left" w:leader="none"/>
          <w:tab w:pos="2158" w:val="left" w:leader="none"/>
        </w:tabs>
        <w:spacing w:line="240" w:lineRule="auto" w:before="58" w:after="0"/>
        <w:ind w:left="2157" w:right="0" w:hanging="396"/>
        <w:jc w:val="left"/>
        <w:rPr>
          <w:sz w:val="11"/>
        </w:rPr>
      </w:pPr>
      <w:r>
        <w:rPr>
          <w:sz w:val="20"/>
        </w:rPr>
        <w:t>like</w:t>
      </w:r>
      <w:r>
        <w:rPr>
          <w:spacing w:val="-6"/>
          <w:sz w:val="20"/>
        </w:rPr>
        <w:t> </w:t>
      </w:r>
      <w:r>
        <w:rPr>
          <w:sz w:val="20"/>
        </w:rPr>
        <w:t>jurors,</w:t>
      </w:r>
      <w:r>
        <w:rPr>
          <w:spacing w:val="-5"/>
          <w:sz w:val="20"/>
        </w:rPr>
        <w:t> </w:t>
      </w:r>
      <w:r>
        <w:rPr>
          <w:sz w:val="20"/>
        </w:rPr>
        <w:t>the</w:t>
      </w:r>
      <w:r>
        <w:rPr>
          <w:spacing w:val="-5"/>
          <w:sz w:val="20"/>
        </w:rPr>
        <w:t> </w:t>
      </w:r>
      <w:r>
        <w:rPr>
          <w:sz w:val="20"/>
        </w:rPr>
        <w:t>BSL</w:t>
      </w:r>
      <w:r>
        <w:rPr>
          <w:spacing w:val="-5"/>
          <w:sz w:val="20"/>
        </w:rPr>
        <w:t> </w:t>
      </w:r>
      <w:r>
        <w:rPr>
          <w:spacing w:val="-3"/>
          <w:sz w:val="20"/>
        </w:rPr>
        <w:t>interpreter’s</w:t>
      </w:r>
      <w:r>
        <w:rPr>
          <w:spacing w:val="-5"/>
          <w:sz w:val="20"/>
        </w:rPr>
        <w:t> </w:t>
      </w:r>
      <w:r>
        <w:rPr>
          <w:sz w:val="20"/>
        </w:rPr>
        <w:t>presence</w:t>
      </w:r>
      <w:r>
        <w:rPr>
          <w:spacing w:val="-5"/>
          <w:sz w:val="20"/>
        </w:rPr>
        <w:t> </w:t>
      </w:r>
      <w:r>
        <w:rPr>
          <w:sz w:val="20"/>
        </w:rPr>
        <w:t>can</w:t>
      </w:r>
      <w:r>
        <w:rPr>
          <w:spacing w:val="-5"/>
          <w:sz w:val="20"/>
        </w:rPr>
        <w:t> </w:t>
      </w:r>
      <w:r>
        <w:rPr>
          <w:sz w:val="20"/>
        </w:rPr>
        <w:t>be</w:t>
      </w:r>
      <w:r>
        <w:rPr>
          <w:spacing w:val="-5"/>
          <w:sz w:val="20"/>
        </w:rPr>
        <w:t> </w:t>
      </w:r>
      <w:r>
        <w:rPr>
          <w:sz w:val="20"/>
        </w:rPr>
        <w:t>‘challenged</w:t>
      </w:r>
      <w:r>
        <w:rPr>
          <w:spacing w:val="-5"/>
          <w:sz w:val="20"/>
        </w:rPr>
        <w:t> </w:t>
      </w:r>
      <w:r>
        <w:rPr>
          <w:sz w:val="20"/>
        </w:rPr>
        <w:t>for</w:t>
      </w:r>
      <w:r>
        <w:rPr>
          <w:spacing w:val="-6"/>
          <w:sz w:val="20"/>
        </w:rPr>
        <w:t> </w:t>
      </w:r>
      <w:r>
        <w:rPr>
          <w:sz w:val="20"/>
        </w:rPr>
        <w:t>cause’</w:t>
      </w:r>
      <w:r>
        <w:rPr>
          <w:position w:val="7"/>
          <w:sz w:val="11"/>
        </w:rPr>
        <w:t>86</w:t>
      </w:r>
    </w:p>
    <w:p>
      <w:pPr>
        <w:pStyle w:val="ListParagraph"/>
        <w:numPr>
          <w:ilvl w:val="2"/>
          <w:numId w:val="12"/>
        </w:numPr>
        <w:tabs>
          <w:tab w:pos="2157" w:val="left" w:leader="none"/>
          <w:tab w:pos="2158" w:val="left" w:leader="none"/>
        </w:tabs>
        <w:spacing w:line="206" w:lineRule="auto" w:before="79" w:after="0"/>
        <w:ind w:left="2157" w:right="1335" w:hanging="396"/>
        <w:jc w:val="left"/>
        <w:rPr>
          <w:sz w:val="20"/>
        </w:rPr>
      </w:pPr>
      <w:r>
        <w:rPr>
          <w:sz w:val="20"/>
        </w:rPr>
        <w:t>like</w:t>
      </w:r>
      <w:r>
        <w:rPr>
          <w:spacing w:val="-13"/>
          <w:sz w:val="20"/>
        </w:rPr>
        <w:t> </w:t>
      </w:r>
      <w:r>
        <w:rPr>
          <w:sz w:val="20"/>
        </w:rPr>
        <w:t>jurors,</w:t>
      </w:r>
      <w:r>
        <w:rPr>
          <w:spacing w:val="-13"/>
          <w:sz w:val="20"/>
        </w:rPr>
        <w:t> </w:t>
      </w:r>
      <w:r>
        <w:rPr>
          <w:sz w:val="20"/>
        </w:rPr>
        <w:t>the</w:t>
      </w:r>
      <w:r>
        <w:rPr>
          <w:spacing w:val="-13"/>
          <w:sz w:val="20"/>
        </w:rPr>
        <w:t> </w:t>
      </w:r>
      <w:r>
        <w:rPr>
          <w:sz w:val="20"/>
        </w:rPr>
        <w:t>BSL</w:t>
      </w:r>
      <w:r>
        <w:rPr>
          <w:spacing w:val="-13"/>
          <w:sz w:val="20"/>
        </w:rPr>
        <w:t> </w:t>
      </w:r>
      <w:r>
        <w:rPr>
          <w:spacing w:val="-3"/>
          <w:sz w:val="20"/>
        </w:rPr>
        <w:t>interpreter</w:t>
      </w:r>
      <w:r>
        <w:rPr>
          <w:spacing w:val="-13"/>
          <w:sz w:val="20"/>
        </w:rPr>
        <w:t> </w:t>
      </w:r>
      <w:r>
        <w:rPr>
          <w:sz w:val="20"/>
        </w:rPr>
        <w:t>will</w:t>
      </w:r>
      <w:r>
        <w:rPr>
          <w:spacing w:val="-13"/>
          <w:sz w:val="20"/>
        </w:rPr>
        <w:t> </w:t>
      </w:r>
      <w:r>
        <w:rPr>
          <w:sz w:val="20"/>
        </w:rPr>
        <w:t>need</w:t>
      </w:r>
      <w:r>
        <w:rPr>
          <w:spacing w:val="-13"/>
          <w:sz w:val="20"/>
        </w:rPr>
        <w:t> </w:t>
      </w:r>
      <w:r>
        <w:rPr>
          <w:sz w:val="20"/>
        </w:rPr>
        <w:t>to</w:t>
      </w:r>
      <w:r>
        <w:rPr>
          <w:spacing w:val="-12"/>
          <w:sz w:val="20"/>
        </w:rPr>
        <w:t> </w:t>
      </w:r>
      <w:r>
        <w:rPr>
          <w:sz w:val="20"/>
        </w:rPr>
        <w:t>surrender</w:t>
      </w:r>
      <w:r>
        <w:rPr>
          <w:spacing w:val="-13"/>
          <w:sz w:val="20"/>
        </w:rPr>
        <w:t> </w:t>
      </w:r>
      <w:r>
        <w:rPr>
          <w:sz w:val="20"/>
        </w:rPr>
        <w:t>all</w:t>
      </w:r>
      <w:r>
        <w:rPr>
          <w:spacing w:val="-13"/>
          <w:sz w:val="20"/>
        </w:rPr>
        <w:t> </w:t>
      </w:r>
      <w:r>
        <w:rPr>
          <w:sz w:val="20"/>
        </w:rPr>
        <w:t>electronic</w:t>
      </w:r>
      <w:r>
        <w:rPr>
          <w:spacing w:val="-13"/>
          <w:sz w:val="20"/>
        </w:rPr>
        <w:t> </w:t>
      </w:r>
      <w:r>
        <w:rPr>
          <w:sz w:val="20"/>
        </w:rPr>
        <w:t>communication </w:t>
      </w:r>
      <w:r>
        <w:rPr>
          <w:spacing w:val="-3"/>
          <w:sz w:val="20"/>
        </w:rPr>
        <w:t>devices</w:t>
      </w:r>
    </w:p>
    <w:p>
      <w:pPr>
        <w:pStyle w:val="ListParagraph"/>
        <w:numPr>
          <w:ilvl w:val="2"/>
          <w:numId w:val="12"/>
        </w:numPr>
        <w:tabs>
          <w:tab w:pos="2157" w:val="left" w:leader="none"/>
          <w:tab w:pos="2158" w:val="left" w:leader="none"/>
        </w:tabs>
        <w:spacing w:line="259" w:lineRule="exact" w:before="56" w:after="0"/>
        <w:ind w:left="2157" w:right="0" w:hanging="396"/>
        <w:jc w:val="left"/>
        <w:rPr>
          <w:sz w:val="20"/>
        </w:rPr>
      </w:pPr>
      <w:r>
        <w:rPr>
          <w:sz w:val="20"/>
        </w:rPr>
        <w:t>existing</w:t>
      </w:r>
      <w:r>
        <w:rPr>
          <w:spacing w:val="-6"/>
          <w:sz w:val="20"/>
        </w:rPr>
        <w:t> </w:t>
      </w:r>
      <w:r>
        <w:rPr>
          <w:sz w:val="20"/>
        </w:rPr>
        <w:t>offences</w:t>
      </w:r>
      <w:r>
        <w:rPr>
          <w:spacing w:val="-6"/>
          <w:sz w:val="20"/>
        </w:rPr>
        <w:t> </w:t>
      </w:r>
      <w:r>
        <w:rPr>
          <w:sz w:val="20"/>
        </w:rPr>
        <w:t>for</w:t>
      </w:r>
      <w:r>
        <w:rPr>
          <w:spacing w:val="-6"/>
          <w:sz w:val="20"/>
        </w:rPr>
        <w:t> </w:t>
      </w:r>
      <w:r>
        <w:rPr>
          <w:sz w:val="20"/>
        </w:rPr>
        <w:t>jurors</w:t>
      </w:r>
      <w:r>
        <w:rPr>
          <w:spacing w:val="-6"/>
          <w:sz w:val="20"/>
        </w:rPr>
        <w:t> </w:t>
      </w:r>
      <w:r>
        <w:rPr>
          <w:sz w:val="20"/>
        </w:rPr>
        <w:t>relating</w:t>
      </w:r>
      <w:r>
        <w:rPr>
          <w:spacing w:val="-6"/>
          <w:sz w:val="20"/>
        </w:rPr>
        <w:t> </w:t>
      </w:r>
      <w:r>
        <w:rPr>
          <w:sz w:val="20"/>
        </w:rPr>
        <w:t>to</w:t>
      </w:r>
      <w:r>
        <w:rPr>
          <w:spacing w:val="-6"/>
          <w:sz w:val="20"/>
        </w:rPr>
        <w:t> </w:t>
      </w:r>
      <w:r>
        <w:rPr>
          <w:spacing w:val="-3"/>
          <w:sz w:val="20"/>
        </w:rPr>
        <w:t>researching</w:t>
      </w:r>
      <w:r>
        <w:rPr>
          <w:spacing w:val="-6"/>
          <w:sz w:val="20"/>
        </w:rPr>
        <w:t> </w:t>
      </w:r>
      <w:r>
        <w:rPr>
          <w:sz w:val="20"/>
        </w:rPr>
        <w:t>the</w:t>
      </w:r>
      <w:r>
        <w:rPr>
          <w:spacing w:val="-6"/>
          <w:sz w:val="20"/>
        </w:rPr>
        <w:t> </w:t>
      </w:r>
      <w:r>
        <w:rPr>
          <w:sz w:val="20"/>
        </w:rPr>
        <w:t>case</w:t>
      </w:r>
      <w:r>
        <w:rPr>
          <w:spacing w:val="-6"/>
          <w:sz w:val="20"/>
        </w:rPr>
        <w:t> </w:t>
      </w:r>
      <w:r>
        <w:rPr>
          <w:sz w:val="20"/>
        </w:rPr>
        <w:t>and</w:t>
      </w:r>
      <w:r>
        <w:rPr>
          <w:spacing w:val="-6"/>
          <w:sz w:val="20"/>
        </w:rPr>
        <w:t> </w:t>
      </w:r>
      <w:r>
        <w:rPr>
          <w:sz w:val="20"/>
        </w:rPr>
        <w:t>sharing</w:t>
      </w:r>
      <w:r>
        <w:rPr>
          <w:spacing w:val="-6"/>
          <w:sz w:val="20"/>
        </w:rPr>
        <w:t> </w:t>
      </w:r>
      <w:r>
        <w:rPr>
          <w:spacing w:val="-3"/>
          <w:sz w:val="20"/>
        </w:rPr>
        <w:t>research</w:t>
      </w:r>
    </w:p>
    <w:p>
      <w:pPr>
        <w:pStyle w:val="BodyText"/>
        <w:spacing w:line="259" w:lineRule="exact"/>
        <w:ind w:left="2157"/>
        <w:rPr>
          <w:sz w:val="11"/>
        </w:rPr>
      </w:pPr>
      <w:r>
        <w:rPr/>
        <w:t>with other jurors will apply to interpreters</w:t>
      </w:r>
      <w:r>
        <w:rPr>
          <w:position w:val="7"/>
          <w:sz w:val="11"/>
        </w:rPr>
        <w:t>87</w:t>
      </w:r>
    </w:p>
    <w:p>
      <w:pPr>
        <w:pStyle w:val="ListParagraph"/>
        <w:numPr>
          <w:ilvl w:val="2"/>
          <w:numId w:val="12"/>
        </w:numPr>
        <w:tabs>
          <w:tab w:pos="2157" w:val="left" w:leader="none"/>
          <w:tab w:pos="2158" w:val="left" w:leader="none"/>
        </w:tabs>
        <w:spacing w:line="206" w:lineRule="auto" w:before="80" w:after="0"/>
        <w:ind w:left="2157" w:right="1218" w:hanging="396"/>
        <w:jc w:val="left"/>
        <w:rPr>
          <w:sz w:val="11"/>
        </w:rPr>
      </w:pPr>
      <w:r>
        <w:rPr>
          <w:sz w:val="20"/>
        </w:rPr>
        <w:t>the</w:t>
      </w:r>
      <w:r>
        <w:rPr>
          <w:spacing w:val="-11"/>
          <w:sz w:val="20"/>
        </w:rPr>
        <w:t> </w:t>
      </w:r>
      <w:r>
        <w:rPr>
          <w:spacing w:val="-2"/>
          <w:sz w:val="20"/>
        </w:rPr>
        <w:t>Act</w:t>
      </w:r>
      <w:r>
        <w:rPr>
          <w:spacing w:val="-11"/>
          <w:sz w:val="20"/>
        </w:rPr>
        <w:t> </w:t>
      </w:r>
      <w:r>
        <w:rPr>
          <w:spacing w:val="-3"/>
          <w:sz w:val="20"/>
        </w:rPr>
        <w:t>introduces</w:t>
      </w:r>
      <w:r>
        <w:rPr>
          <w:spacing w:val="-11"/>
          <w:sz w:val="20"/>
        </w:rPr>
        <w:t> </w:t>
      </w:r>
      <w:r>
        <w:rPr>
          <w:sz w:val="20"/>
        </w:rPr>
        <w:t>a</w:t>
      </w:r>
      <w:r>
        <w:rPr>
          <w:spacing w:val="-11"/>
          <w:sz w:val="20"/>
        </w:rPr>
        <w:t> </w:t>
      </w:r>
      <w:r>
        <w:rPr>
          <w:sz w:val="20"/>
        </w:rPr>
        <w:t>new</w:t>
      </w:r>
      <w:r>
        <w:rPr>
          <w:spacing w:val="-11"/>
          <w:sz w:val="20"/>
        </w:rPr>
        <w:t> </w:t>
      </w:r>
      <w:r>
        <w:rPr>
          <w:sz w:val="20"/>
        </w:rPr>
        <w:t>indictable</w:t>
      </w:r>
      <w:r>
        <w:rPr>
          <w:spacing w:val="-11"/>
          <w:sz w:val="20"/>
        </w:rPr>
        <w:t> </w:t>
      </w:r>
      <w:r>
        <w:rPr>
          <w:sz w:val="20"/>
        </w:rPr>
        <w:t>offence</w:t>
      </w:r>
      <w:r>
        <w:rPr>
          <w:spacing w:val="-11"/>
          <w:sz w:val="20"/>
        </w:rPr>
        <w:t> </w:t>
      </w:r>
      <w:r>
        <w:rPr>
          <w:sz w:val="20"/>
        </w:rPr>
        <w:t>prohibiting</w:t>
      </w:r>
      <w:r>
        <w:rPr>
          <w:spacing w:val="-11"/>
          <w:sz w:val="20"/>
        </w:rPr>
        <w:t> </w:t>
      </w:r>
      <w:r>
        <w:rPr>
          <w:spacing w:val="-3"/>
          <w:sz w:val="20"/>
        </w:rPr>
        <w:t>‘interpreters</w:t>
      </w:r>
      <w:r>
        <w:rPr>
          <w:spacing w:val="-10"/>
          <w:sz w:val="20"/>
        </w:rPr>
        <w:t> </w:t>
      </w:r>
      <w:r>
        <w:rPr>
          <w:sz w:val="20"/>
        </w:rPr>
        <w:t>interfering</w:t>
      </w:r>
      <w:r>
        <w:rPr>
          <w:spacing w:val="-11"/>
          <w:sz w:val="20"/>
        </w:rPr>
        <w:t> </w:t>
      </w:r>
      <w:r>
        <w:rPr>
          <w:sz w:val="20"/>
        </w:rPr>
        <w:t>in</w:t>
      </w:r>
      <w:r>
        <w:rPr>
          <w:spacing w:val="-11"/>
          <w:sz w:val="20"/>
        </w:rPr>
        <w:t> </w:t>
      </w:r>
      <w:r>
        <w:rPr>
          <w:sz w:val="20"/>
        </w:rPr>
        <w:t>or influencing jury</w:t>
      </w:r>
      <w:r>
        <w:rPr>
          <w:spacing w:val="-9"/>
          <w:sz w:val="20"/>
        </w:rPr>
        <w:t> </w:t>
      </w:r>
      <w:r>
        <w:rPr>
          <w:sz w:val="20"/>
        </w:rPr>
        <w:t>deliberations’.</w:t>
      </w:r>
      <w:r>
        <w:rPr>
          <w:position w:val="7"/>
          <w:sz w:val="11"/>
        </w:rPr>
        <w:t>88</w:t>
      </w:r>
    </w:p>
    <w:p>
      <w:pPr>
        <w:pStyle w:val="ListParagraph"/>
        <w:numPr>
          <w:ilvl w:val="1"/>
          <w:numId w:val="12"/>
        </w:numPr>
        <w:tabs>
          <w:tab w:pos="1761" w:val="left" w:leader="none"/>
          <w:tab w:pos="1762" w:val="left" w:leader="none"/>
        </w:tabs>
        <w:spacing w:line="206" w:lineRule="auto" w:before="87" w:after="0"/>
        <w:ind w:left="1761" w:right="1560" w:hanging="794"/>
        <w:jc w:val="left"/>
        <w:rPr>
          <w:sz w:val="20"/>
        </w:rPr>
      </w:pPr>
      <w:r>
        <w:rPr>
          <w:sz w:val="20"/>
        </w:rPr>
        <w:t>There was </w:t>
      </w:r>
      <w:r>
        <w:rPr>
          <w:spacing w:val="-2"/>
          <w:sz w:val="20"/>
        </w:rPr>
        <w:t>debate </w:t>
      </w:r>
      <w:r>
        <w:rPr>
          <w:sz w:val="20"/>
        </w:rPr>
        <w:t>about whether to add </w:t>
      </w:r>
      <w:r>
        <w:rPr>
          <w:spacing w:val="-3"/>
          <w:sz w:val="20"/>
        </w:rPr>
        <w:t>‘or </w:t>
      </w:r>
      <w:r>
        <w:rPr>
          <w:sz w:val="20"/>
        </w:rPr>
        <w:t>language and communication service professional’ in addition to </w:t>
      </w:r>
      <w:r>
        <w:rPr>
          <w:spacing w:val="-3"/>
          <w:sz w:val="20"/>
        </w:rPr>
        <w:t>‘interpreter’ </w:t>
      </w:r>
      <w:r>
        <w:rPr>
          <w:sz w:val="20"/>
        </w:rPr>
        <w:t>in the new legislation.</w:t>
      </w:r>
      <w:r>
        <w:rPr>
          <w:position w:val="7"/>
          <w:sz w:val="11"/>
        </w:rPr>
        <w:t>89 </w:t>
      </w:r>
      <w:r>
        <w:rPr>
          <w:spacing w:val="-4"/>
          <w:sz w:val="20"/>
        </w:rPr>
        <w:t>Ultimately, </w:t>
      </w:r>
      <w:r>
        <w:rPr>
          <w:sz w:val="20"/>
        </w:rPr>
        <w:t>the </w:t>
      </w:r>
      <w:r>
        <w:rPr>
          <w:spacing w:val="-2"/>
          <w:sz w:val="20"/>
        </w:rPr>
        <w:t>Act </w:t>
      </w:r>
      <w:r>
        <w:rPr>
          <w:sz w:val="20"/>
        </w:rPr>
        <w:t>is limited</w:t>
      </w:r>
      <w:r>
        <w:rPr>
          <w:spacing w:val="-8"/>
          <w:sz w:val="20"/>
        </w:rPr>
        <w:t> </w:t>
      </w:r>
      <w:r>
        <w:rPr>
          <w:sz w:val="20"/>
        </w:rPr>
        <w:t>to</w:t>
      </w:r>
      <w:r>
        <w:rPr>
          <w:spacing w:val="-8"/>
          <w:sz w:val="20"/>
        </w:rPr>
        <w:t> </w:t>
      </w:r>
      <w:r>
        <w:rPr>
          <w:spacing w:val="-3"/>
          <w:sz w:val="20"/>
        </w:rPr>
        <w:t>allowing</w:t>
      </w:r>
      <w:r>
        <w:rPr>
          <w:spacing w:val="-7"/>
          <w:sz w:val="20"/>
        </w:rPr>
        <w:t> </w:t>
      </w:r>
      <w:r>
        <w:rPr>
          <w:sz w:val="20"/>
        </w:rPr>
        <w:t>a</w:t>
      </w:r>
      <w:r>
        <w:rPr>
          <w:spacing w:val="-8"/>
          <w:sz w:val="20"/>
        </w:rPr>
        <w:t> </w:t>
      </w:r>
      <w:r>
        <w:rPr>
          <w:sz w:val="20"/>
        </w:rPr>
        <w:t>BSL</w:t>
      </w:r>
      <w:r>
        <w:rPr>
          <w:spacing w:val="-8"/>
          <w:sz w:val="20"/>
        </w:rPr>
        <w:t> </w:t>
      </w:r>
      <w:r>
        <w:rPr>
          <w:spacing w:val="-3"/>
          <w:sz w:val="20"/>
        </w:rPr>
        <w:t>interpreter</w:t>
      </w:r>
      <w:r>
        <w:rPr>
          <w:spacing w:val="-7"/>
          <w:sz w:val="20"/>
        </w:rPr>
        <w:t> </w:t>
      </w:r>
      <w:r>
        <w:rPr>
          <w:spacing w:val="-3"/>
          <w:sz w:val="20"/>
        </w:rPr>
        <w:t>into</w:t>
      </w:r>
      <w:r>
        <w:rPr>
          <w:spacing w:val="-8"/>
          <w:sz w:val="20"/>
        </w:rPr>
        <w:t> </w:t>
      </w:r>
      <w:r>
        <w:rPr>
          <w:sz w:val="20"/>
        </w:rPr>
        <w:t>the</w:t>
      </w:r>
      <w:r>
        <w:rPr>
          <w:spacing w:val="-8"/>
          <w:sz w:val="20"/>
        </w:rPr>
        <w:t> </w:t>
      </w:r>
      <w:r>
        <w:rPr>
          <w:sz w:val="20"/>
        </w:rPr>
        <w:t>jury</w:t>
      </w:r>
      <w:r>
        <w:rPr>
          <w:spacing w:val="-7"/>
          <w:sz w:val="20"/>
        </w:rPr>
        <w:t> </w:t>
      </w:r>
      <w:r>
        <w:rPr>
          <w:sz w:val="20"/>
        </w:rPr>
        <w:t>room</w:t>
      </w:r>
      <w:r>
        <w:rPr>
          <w:spacing w:val="-8"/>
          <w:sz w:val="20"/>
        </w:rPr>
        <w:t> </w:t>
      </w:r>
      <w:r>
        <w:rPr>
          <w:sz w:val="20"/>
        </w:rPr>
        <w:t>and</w:t>
      </w:r>
      <w:r>
        <w:rPr>
          <w:spacing w:val="-8"/>
          <w:sz w:val="20"/>
        </w:rPr>
        <w:t> </w:t>
      </w:r>
      <w:r>
        <w:rPr>
          <w:sz w:val="20"/>
        </w:rPr>
        <w:t>does</w:t>
      </w:r>
      <w:r>
        <w:rPr>
          <w:spacing w:val="-7"/>
          <w:sz w:val="20"/>
        </w:rPr>
        <w:t> </w:t>
      </w:r>
      <w:r>
        <w:rPr>
          <w:sz w:val="20"/>
        </w:rPr>
        <w:t>not</w:t>
      </w:r>
      <w:r>
        <w:rPr>
          <w:spacing w:val="-8"/>
          <w:sz w:val="20"/>
        </w:rPr>
        <w:t> </w:t>
      </w:r>
      <w:r>
        <w:rPr>
          <w:sz w:val="20"/>
        </w:rPr>
        <w:t>extend</w:t>
      </w:r>
      <w:r>
        <w:rPr>
          <w:spacing w:val="-8"/>
          <w:sz w:val="20"/>
        </w:rPr>
        <w:t> </w:t>
      </w:r>
      <w:r>
        <w:rPr>
          <w:sz w:val="20"/>
        </w:rPr>
        <w:t>to</w:t>
      </w:r>
      <w:r>
        <w:rPr>
          <w:spacing w:val="-7"/>
          <w:sz w:val="20"/>
        </w:rPr>
        <w:t> </w:t>
      </w:r>
      <w:r>
        <w:rPr>
          <w:sz w:val="20"/>
        </w:rPr>
        <w:t>other support</w:t>
      </w:r>
      <w:r>
        <w:rPr>
          <w:spacing w:val="-5"/>
          <w:sz w:val="20"/>
        </w:rPr>
        <w:t> </w:t>
      </w:r>
      <w:r>
        <w:rPr>
          <w:sz w:val="20"/>
        </w:rPr>
        <w:t>people.</w:t>
      </w:r>
    </w:p>
    <w:p>
      <w:pPr>
        <w:pStyle w:val="ListParagraph"/>
        <w:numPr>
          <w:ilvl w:val="1"/>
          <w:numId w:val="12"/>
        </w:numPr>
        <w:tabs>
          <w:tab w:pos="1761" w:val="left" w:leader="none"/>
          <w:tab w:pos="1762" w:val="left" w:leader="none"/>
        </w:tabs>
        <w:spacing w:line="206" w:lineRule="auto" w:before="125" w:after="0"/>
        <w:ind w:left="1761" w:right="1255" w:hanging="794"/>
        <w:jc w:val="left"/>
        <w:rPr>
          <w:sz w:val="11"/>
        </w:rPr>
      </w:pPr>
      <w:r>
        <w:rPr>
          <w:sz w:val="20"/>
        </w:rPr>
        <w:t>The</w:t>
      </w:r>
      <w:r>
        <w:rPr>
          <w:spacing w:val="-12"/>
          <w:sz w:val="20"/>
        </w:rPr>
        <w:t> </w:t>
      </w:r>
      <w:r>
        <w:rPr>
          <w:sz w:val="20"/>
        </w:rPr>
        <w:t>experience</w:t>
      </w:r>
      <w:r>
        <w:rPr>
          <w:spacing w:val="-11"/>
          <w:sz w:val="20"/>
        </w:rPr>
        <w:t> </w:t>
      </w:r>
      <w:r>
        <w:rPr>
          <w:sz w:val="20"/>
        </w:rPr>
        <w:t>of</w:t>
      </w:r>
      <w:r>
        <w:rPr>
          <w:spacing w:val="-11"/>
          <w:sz w:val="20"/>
        </w:rPr>
        <w:t> </w:t>
      </w:r>
      <w:r>
        <w:rPr>
          <w:sz w:val="20"/>
        </w:rPr>
        <w:t>all</w:t>
      </w:r>
      <w:r>
        <w:rPr>
          <w:spacing w:val="-11"/>
          <w:sz w:val="20"/>
        </w:rPr>
        <w:t> </w:t>
      </w:r>
      <w:r>
        <w:rPr>
          <w:sz w:val="20"/>
        </w:rPr>
        <w:t>court</w:t>
      </w:r>
      <w:r>
        <w:rPr>
          <w:spacing w:val="-11"/>
          <w:sz w:val="20"/>
        </w:rPr>
        <w:t> </w:t>
      </w:r>
      <w:r>
        <w:rPr>
          <w:sz w:val="20"/>
        </w:rPr>
        <w:t>users</w:t>
      </w:r>
      <w:r>
        <w:rPr>
          <w:spacing w:val="-11"/>
          <w:sz w:val="20"/>
        </w:rPr>
        <w:t> </w:t>
      </w:r>
      <w:r>
        <w:rPr>
          <w:sz w:val="20"/>
        </w:rPr>
        <w:t>and</w:t>
      </w:r>
      <w:r>
        <w:rPr>
          <w:spacing w:val="-11"/>
          <w:sz w:val="20"/>
        </w:rPr>
        <w:t> </w:t>
      </w:r>
      <w:r>
        <w:rPr>
          <w:sz w:val="20"/>
        </w:rPr>
        <w:t>particularly</w:t>
      </w:r>
      <w:r>
        <w:rPr>
          <w:spacing w:val="-11"/>
          <w:sz w:val="20"/>
        </w:rPr>
        <w:t> </w:t>
      </w:r>
      <w:r>
        <w:rPr>
          <w:sz w:val="20"/>
        </w:rPr>
        <w:t>those</w:t>
      </w:r>
      <w:r>
        <w:rPr>
          <w:spacing w:val="-11"/>
          <w:sz w:val="20"/>
        </w:rPr>
        <w:t> </w:t>
      </w:r>
      <w:r>
        <w:rPr>
          <w:sz w:val="20"/>
        </w:rPr>
        <w:t>with</w:t>
      </w:r>
      <w:r>
        <w:rPr>
          <w:spacing w:val="-11"/>
          <w:sz w:val="20"/>
        </w:rPr>
        <w:t> </w:t>
      </w:r>
      <w:r>
        <w:rPr>
          <w:sz w:val="20"/>
        </w:rPr>
        <w:t>disabilities</w:t>
      </w:r>
      <w:r>
        <w:rPr>
          <w:spacing w:val="-11"/>
          <w:sz w:val="20"/>
        </w:rPr>
        <w:t> </w:t>
      </w:r>
      <w:r>
        <w:rPr>
          <w:sz w:val="20"/>
        </w:rPr>
        <w:t>is</w:t>
      </w:r>
      <w:r>
        <w:rPr>
          <w:spacing w:val="-11"/>
          <w:sz w:val="20"/>
        </w:rPr>
        <w:t> </w:t>
      </w:r>
      <w:r>
        <w:rPr>
          <w:sz w:val="20"/>
        </w:rPr>
        <w:t>being</w:t>
      </w:r>
      <w:r>
        <w:rPr>
          <w:spacing w:val="-11"/>
          <w:sz w:val="20"/>
        </w:rPr>
        <w:t> </w:t>
      </w:r>
      <w:r>
        <w:rPr>
          <w:sz w:val="20"/>
        </w:rPr>
        <w:t>further </w:t>
      </w:r>
      <w:r>
        <w:rPr>
          <w:spacing w:val="-3"/>
          <w:sz w:val="20"/>
        </w:rPr>
        <w:t>improved</w:t>
      </w:r>
      <w:r>
        <w:rPr>
          <w:spacing w:val="-10"/>
          <w:sz w:val="20"/>
        </w:rPr>
        <w:t> </w:t>
      </w:r>
      <w:r>
        <w:rPr>
          <w:spacing w:val="-3"/>
          <w:sz w:val="20"/>
        </w:rPr>
        <w:t>by</w:t>
      </w:r>
      <w:r>
        <w:rPr>
          <w:spacing w:val="-9"/>
          <w:sz w:val="20"/>
        </w:rPr>
        <w:t> </w:t>
      </w:r>
      <w:r>
        <w:rPr>
          <w:sz w:val="20"/>
        </w:rPr>
        <w:t>a</w:t>
      </w:r>
      <w:r>
        <w:rPr>
          <w:spacing w:val="-9"/>
          <w:sz w:val="20"/>
        </w:rPr>
        <w:t> </w:t>
      </w:r>
      <w:r>
        <w:rPr>
          <w:sz w:val="20"/>
        </w:rPr>
        <w:t>£1</w:t>
      </w:r>
      <w:r>
        <w:rPr>
          <w:spacing w:val="-9"/>
          <w:sz w:val="20"/>
        </w:rPr>
        <w:t> </w:t>
      </w:r>
      <w:r>
        <w:rPr>
          <w:sz w:val="20"/>
        </w:rPr>
        <w:t>billion</w:t>
      </w:r>
      <w:r>
        <w:rPr>
          <w:spacing w:val="-9"/>
          <w:sz w:val="20"/>
        </w:rPr>
        <w:t> </w:t>
      </w:r>
      <w:r>
        <w:rPr>
          <w:sz w:val="20"/>
        </w:rPr>
        <w:t>change</w:t>
      </w:r>
      <w:r>
        <w:rPr>
          <w:spacing w:val="-9"/>
          <w:sz w:val="20"/>
        </w:rPr>
        <w:t> </w:t>
      </w:r>
      <w:r>
        <w:rPr>
          <w:sz w:val="20"/>
        </w:rPr>
        <w:t>programme</w:t>
      </w:r>
      <w:r>
        <w:rPr>
          <w:spacing w:val="-9"/>
          <w:sz w:val="20"/>
        </w:rPr>
        <w:t> </w:t>
      </w:r>
      <w:r>
        <w:rPr>
          <w:sz w:val="20"/>
        </w:rPr>
        <w:t>to</w:t>
      </w:r>
      <w:r>
        <w:rPr>
          <w:spacing w:val="-9"/>
          <w:sz w:val="20"/>
        </w:rPr>
        <w:t> </w:t>
      </w:r>
      <w:r>
        <w:rPr>
          <w:sz w:val="20"/>
        </w:rPr>
        <w:t>modernise</w:t>
      </w:r>
      <w:r>
        <w:rPr>
          <w:spacing w:val="-9"/>
          <w:sz w:val="20"/>
        </w:rPr>
        <w:t> </w:t>
      </w:r>
      <w:r>
        <w:rPr>
          <w:sz w:val="20"/>
        </w:rPr>
        <w:t>and</w:t>
      </w:r>
      <w:r>
        <w:rPr>
          <w:spacing w:val="-9"/>
          <w:sz w:val="20"/>
        </w:rPr>
        <w:t> </w:t>
      </w:r>
      <w:r>
        <w:rPr>
          <w:sz w:val="20"/>
        </w:rPr>
        <w:t>upgrade</w:t>
      </w:r>
      <w:r>
        <w:rPr>
          <w:spacing w:val="-9"/>
          <w:sz w:val="20"/>
        </w:rPr>
        <w:t> </w:t>
      </w:r>
      <w:r>
        <w:rPr>
          <w:sz w:val="20"/>
        </w:rPr>
        <w:t>the</w:t>
      </w:r>
      <w:r>
        <w:rPr>
          <w:spacing w:val="-9"/>
          <w:sz w:val="20"/>
        </w:rPr>
        <w:t> </w:t>
      </w:r>
      <w:r>
        <w:rPr>
          <w:sz w:val="20"/>
        </w:rPr>
        <w:t>courts</w:t>
      </w:r>
      <w:r>
        <w:rPr>
          <w:spacing w:val="-9"/>
          <w:sz w:val="20"/>
        </w:rPr>
        <w:t> </w:t>
      </w:r>
      <w:r>
        <w:rPr>
          <w:sz w:val="20"/>
        </w:rPr>
        <w:t>and tribunals</w:t>
      </w:r>
      <w:r>
        <w:rPr>
          <w:spacing w:val="-7"/>
          <w:sz w:val="20"/>
        </w:rPr>
        <w:t> </w:t>
      </w:r>
      <w:r>
        <w:rPr>
          <w:sz w:val="20"/>
        </w:rPr>
        <w:t>system.</w:t>
      </w:r>
      <w:r>
        <w:rPr>
          <w:position w:val="7"/>
          <w:sz w:val="11"/>
        </w:rPr>
        <w:t>90</w:t>
      </w:r>
      <w:r>
        <w:rPr>
          <w:spacing w:val="19"/>
          <w:position w:val="7"/>
          <w:sz w:val="11"/>
        </w:rPr>
        <w:t> </w:t>
      </w:r>
      <w:r>
        <w:rPr>
          <w:sz w:val="20"/>
        </w:rPr>
        <w:t>Her</w:t>
      </w:r>
      <w:r>
        <w:rPr>
          <w:spacing w:val="-7"/>
          <w:sz w:val="20"/>
        </w:rPr>
        <w:t> </w:t>
      </w:r>
      <w:r>
        <w:rPr>
          <w:sz w:val="20"/>
        </w:rPr>
        <w:t>Majesty’s</w:t>
      </w:r>
      <w:r>
        <w:rPr>
          <w:spacing w:val="-6"/>
          <w:sz w:val="20"/>
        </w:rPr>
        <w:t> </w:t>
      </w:r>
      <w:r>
        <w:rPr>
          <w:sz w:val="20"/>
        </w:rPr>
        <w:t>Courts</w:t>
      </w:r>
      <w:r>
        <w:rPr>
          <w:spacing w:val="-7"/>
          <w:sz w:val="20"/>
        </w:rPr>
        <w:t> </w:t>
      </w:r>
      <w:r>
        <w:rPr>
          <w:sz w:val="20"/>
        </w:rPr>
        <w:t>and</w:t>
      </w:r>
      <w:r>
        <w:rPr>
          <w:spacing w:val="-6"/>
          <w:sz w:val="20"/>
        </w:rPr>
        <w:t> </w:t>
      </w:r>
      <w:r>
        <w:rPr>
          <w:spacing w:val="-3"/>
          <w:sz w:val="20"/>
        </w:rPr>
        <w:t>Tribunals</w:t>
      </w:r>
      <w:r>
        <w:rPr>
          <w:spacing w:val="-6"/>
          <w:sz w:val="20"/>
        </w:rPr>
        <w:t> </w:t>
      </w:r>
      <w:r>
        <w:rPr>
          <w:sz w:val="20"/>
        </w:rPr>
        <w:t>Service</w:t>
      </w:r>
      <w:r>
        <w:rPr>
          <w:spacing w:val="-7"/>
          <w:sz w:val="20"/>
        </w:rPr>
        <w:t> </w:t>
      </w:r>
      <w:r>
        <w:rPr>
          <w:spacing w:val="-3"/>
          <w:sz w:val="20"/>
        </w:rPr>
        <w:t>(HMCTS)</w:t>
      </w:r>
      <w:r>
        <w:rPr>
          <w:spacing w:val="-6"/>
          <w:sz w:val="20"/>
        </w:rPr>
        <w:t> </w:t>
      </w:r>
      <w:r>
        <w:rPr>
          <w:spacing w:val="-3"/>
          <w:sz w:val="20"/>
        </w:rPr>
        <w:t>told</w:t>
      </w:r>
      <w:r>
        <w:rPr>
          <w:spacing w:val="-7"/>
          <w:sz w:val="20"/>
        </w:rPr>
        <w:t> </w:t>
      </w:r>
      <w:r>
        <w:rPr>
          <w:sz w:val="20"/>
        </w:rPr>
        <w:t>us</w:t>
      </w:r>
      <w:r>
        <w:rPr>
          <w:spacing w:val="-6"/>
          <w:sz w:val="20"/>
        </w:rPr>
        <w:t> </w:t>
      </w:r>
      <w:r>
        <w:rPr>
          <w:sz w:val="20"/>
        </w:rPr>
        <w:t>that</w:t>
      </w:r>
      <w:r>
        <w:rPr>
          <w:spacing w:val="-7"/>
          <w:sz w:val="20"/>
        </w:rPr>
        <w:t> </w:t>
      </w:r>
      <w:r>
        <w:rPr>
          <w:sz w:val="20"/>
        </w:rPr>
        <w:t>the </w:t>
      </w:r>
      <w:r>
        <w:rPr>
          <w:i/>
          <w:sz w:val="20"/>
        </w:rPr>
        <w:t>Judicial </w:t>
      </w:r>
      <w:r>
        <w:rPr>
          <w:i/>
          <w:spacing w:val="-3"/>
          <w:sz w:val="20"/>
        </w:rPr>
        <w:t>Review </w:t>
      </w:r>
      <w:r>
        <w:rPr>
          <w:i/>
          <w:sz w:val="20"/>
        </w:rPr>
        <w:t>and Courts Act </w:t>
      </w:r>
      <w:r>
        <w:rPr>
          <w:i/>
          <w:spacing w:val="-3"/>
          <w:sz w:val="20"/>
        </w:rPr>
        <w:t>2022 </w:t>
      </w:r>
      <w:r>
        <w:rPr>
          <w:sz w:val="20"/>
        </w:rPr>
        <w:t>(UK) aims to </w:t>
      </w:r>
      <w:r>
        <w:rPr>
          <w:spacing w:val="-4"/>
          <w:sz w:val="20"/>
        </w:rPr>
        <w:t>improve </w:t>
      </w:r>
      <w:r>
        <w:rPr>
          <w:sz w:val="20"/>
        </w:rPr>
        <w:t>access to the criminal court system including through the digitisation of court procedures.</w:t>
      </w:r>
      <w:r>
        <w:rPr>
          <w:position w:val="7"/>
          <w:sz w:val="11"/>
        </w:rPr>
        <w:t>91 </w:t>
      </w:r>
      <w:r>
        <w:rPr>
          <w:sz w:val="20"/>
        </w:rPr>
        <w:t>It was noted that the number of people with disabilities ‘who </w:t>
      </w:r>
      <w:r>
        <w:rPr>
          <w:spacing w:val="-4"/>
          <w:sz w:val="20"/>
        </w:rPr>
        <w:t>were </w:t>
      </w:r>
      <w:r>
        <w:rPr>
          <w:spacing w:val="-3"/>
          <w:sz w:val="20"/>
        </w:rPr>
        <w:t>recent </w:t>
      </w:r>
      <w:r>
        <w:rPr>
          <w:sz w:val="20"/>
        </w:rPr>
        <w:t>internet users in </w:t>
      </w:r>
      <w:r>
        <w:rPr>
          <w:spacing w:val="-4"/>
          <w:sz w:val="20"/>
        </w:rPr>
        <w:t>2020 </w:t>
      </w:r>
      <w:r>
        <w:rPr>
          <w:sz w:val="20"/>
        </w:rPr>
        <w:t>reached almost 11 million, 81% of disabled </w:t>
      </w:r>
      <w:r>
        <w:rPr>
          <w:spacing w:val="-3"/>
          <w:sz w:val="20"/>
        </w:rPr>
        <w:t>adults’.</w:t>
      </w:r>
      <w:r>
        <w:rPr>
          <w:spacing w:val="-3"/>
          <w:position w:val="7"/>
          <w:sz w:val="11"/>
        </w:rPr>
        <w:t>92 </w:t>
      </w:r>
      <w:r>
        <w:rPr>
          <w:sz w:val="20"/>
        </w:rPr>
        <w:t>HMCTS said steps </w:t>
      </w:r>
      <w:r>
        <w:rPr>
          <w:spacing w:val="-3"/>
          <w:sz w:val="20"/>
        </w:rPr>
        <w:t>would </w:t>
      </w:r>
      <w:r>
        <w:rPr>
          <w:sz w:val="20"/>
        </w:rPr>
        <w:t>also be taken to address</w:t>
      </w:r>
      <w:r>
        <w:rPr>
          <w:spacing w:val="-8"/>
          <w:sz w:val="20"/>
        </w:rPr>
        <w:t> </w:t>
      </w:r>
      <w:r>
        <w:rPr>
          <w:sz w:val="20"/>
        </w:rPr>
        <w:t>the</w:t>
      </w:r>
      <w:r>
        <w:rPr>
          <w:spacing w:val="-7"/>
          <w:sz w:val="20"/>
        </w:rPr>
        <w:t> </w:t>
      </w:r>
      <w:r>
        <w:rPr>
          <w:sz w:val="20"/>
        </w:rPr>
        <w:t>needs</w:t>
      </w:r>
      <w:r>
        <w:rPr>
          <w:spacing w:val="-8"/>
          <w:sz w:val="20"/>
        </w:rPr>
        <w:t> </w:t>
      </w:r>
      <w:r>
        <w:rPr>
          <w:sz w:val="20"/>
        </w:rPr>
        <w:t>of</w:t>
      </w:r>
      <w:r>
        <w:rPr>
          <w:spacing w:val="-7"/>
          <w:sz w:val="20"/>
        </w:rPr>
        <w:t> </w:t>
      </w:r>
      <w:r>
        <w:rPr>
          <w:sz w:val="20"/>
        </w:rPr>
        <w:t>people</w:t>
      </w:r>
      <w:r>
        <w:rPr>
          <w:spacing w:val="-8"/>
          <w:sz w:val="20"/>
        </w:rPr>
        <w:t> </w:t>
      </w:r>
      <w:r>
        <w:rPr>
          <w:sz w:val="20"/>
        </w:rPr>
        <w:t>with</w:t>
      </w:r>
      <w:r>
        <w:rPr>
          <w:spacing w:val="-7"/>
          <w:sz w:val="20"/>
        </w:rPr>
        <w:t> </w:t>
      </w:r>
      <w:r>
        <w:rPr>
          <w:sz w:val="20"/>
        </w:rPr>
        <w:t>disabilities</w:t>
      </w:r>
      <w:r>
        <w:rPr>
          <w:spacing w:val="-8"/>
          <w:sz w:val="20"/>
        </w:rPr>
        <w:t> </w:t>
      </w:r>
      <w:r>
        <w:rPr>
          <w:sz w:val="20"/>
        </w:rPr>
        <w:t>who</w:t>
      </w:r>
      <w:r>
        <w:rPr>
          <w:spacing w:val="-7"/>
          <w:sz w:val="20"/>
        </w:rPr>
        <w:t> </w:t>
      </w:r>
      <w:r>
        <w:rPr>
          <w:sz w:val="20"/>
        </w:rPr>
        <w:t>could</w:t>
      </w:r>
      <w:r>
        <w:rPr>
          <w:spacing w:val="-8"/>
          <w:sz w:val="20"/>
        </w:rPr>
        <w:t> </w:t>
      </w:r>
      <w:r>
        <w:rPr>
          <w:sz w:val="20"/>
        </w:rPr>
        <w:t>not</w:t>
      </w:r>
      <w:r>
        <w:rPr>
          <w:spacing w:val="-7"/>
          <w:sz w:val="20"/>
        </w:rPr>
        <w:t> </w:t>
      </w:r>
      <w:r>
        <w:rPr>
          <w:sz w:val="20"/>
        </w:rPr>
        <w:t>use</w:t>
      </w:r>
      <w:r>
        <w:rPr>
          <w:spacing w:val="-8"/>
          <w:sz w:val="20"/>
        </w:rPr>
        <w:t> </w:t>
      </w:r>
      <w:r>
        <w:rPr>
          <w:sz w:val="20"/>
        </w:rPr>
        <w:t>online</w:t>
      </w:r>
      <w:r>
        <w:rPr>
          <w:spacing w:val="-7"/>
          <w:sz w:val="20"/>
        </w:rPr>
        <w:t> </w:t>
      </w:r>
      <w:r>
        <w:rPr>
          <w:sz w:val="20"/>
        </w:rPr>
        <w:t>services.</w:t>
      </w:r>
      <w:r>
        <w:rPr>
          <w:position w:val="7"/>
          <w:sz w:val="11"/>
        </w:rPr>
        <w:t>93</w:t>
      </w:r>
    </w:p>
    <w:p>
      <w:pPr>
        <w:pStyle w:val="Heading6"/>
        <w:spacing w:before="135"/>
        <w:rPr>
          <w:b/>
        </w:rPr>
      </w:pPr>
      <w:r>
        <w:rPr>
          <w:b/>
        </w:rPr>
        <w:t>The experience of jurors in England</w:t>
      </w:r>
    </w:p>
    <w:p>
      <w:pPr>
        <w:pStyle w:val="ListParagraph"/>
        <w:numPr>
          <w:ilvl w:val="1"/>
          <w:numId w:val="12"/>
        </w:numPr>
        <w:tabs>
          <w:tab w:pos="1762" w:val="left" w:leader="none"/>
        </w:tabs>
        <w:spacing w:line="206" w:lineRule="auto" w:before="132" w:after="0"/>
        <w:ind w:left="1761" w:right="1542" w:hanging="794"/>
        <w:jc w:val="both"/>
        <w:rPr>
          <w:sz w:val="20"/>
        </w:rPr>
      </w:pPr>
      <w:r>
        <w:rPr>
          <w:sz w:val="20"/>
        </w:rPr>
        <w:t>In</w:t>
      </w:r>
      <w:r>
        <w:rPr>
          <w:spacing w:val="-10"/>
          <w:sz w:val="20"/>
        </w:rPr>
        <w:t> </w:t>
      </w:r>
      <w:r>
        <w:rPr>
          <w:sz w:val="20"/>
        </w:rPr>
        <w:t>August</w:t>
      </w:r>
      <w:r>
        <w:rPr>
          <w:spacing w:val="-10"/>
          <w:sz w:val="20"/>
        </w:rPr>
        <w:t> </w:t>
      </w:r>
      <w:r>
        <w:rPr>
          <w:sz w:val="20"/>
        </w:rPr>
        <w:t>2019,</w:t>
      </w:r>
      <w:r>
        <w:rPr>
          <w:spacing w:val="-10"/>
          <w:sz w:val="20"/>
        </w:rPr>
        <w:t> </w:t>
      </w:r>
      <w:r>
        <w:rPr>
          <w:sz w:val="20"/>
        </w:rPr>
        <w:t>Matthew</w:t>
      </w:r>
      <w:r>
        <w:rPr>
          <w:spacing w:val="-10"/>
          <w:sz w:val="20"/>
        </w:rPr>
        <w:t> </w:t>
      </w:r>
      <w:r>
        <w:rPr>
          <w:sz w:val="20"/>
        </w:rPr>
        <w:t>Johnston,</w:t>
      </w:r>
      <w:r>
        <w:rPr>
          <w:spacing w:val="-10"/>
          <w:sz w:val="20"/>
        </w:rPr>
        <w:t> </w:t>
      </w:r>
      <w:r>
        <w:rPr>
          <w:sz w:val="20"/>
        </w:rPr>
        <w:t>a</w:t>
      </w:r>
      <w:r>
        <w:rPr>
          <w:spacing w:val="-10"/>
          <w:sz w:val="20"/>
        </w:rPr>
        <w:t> </w:t>
      </w:r>
      <w:r>
        <w:rPr>
          <w:sz w:val="20"/>
        </w:rPr>
        <w:t>deaf</w:t>
      </w:r>
      <w:r>
        <w:rPr>
          <w:spacing w:val="-10"/>
          <w:sz w:val="20"/>
        </w:rPr>
        <w:t> </w:t>
      </w:r>
      <w:r>
        <w:rPr>
          <w:sz w:val="20"/>
        </w:rPr>
        <w:t>man</w:t>
      </w:r>
      <w:r>
        <w:rPr>
          <w:spacing w:val="-10"/>
          <w:sz w:val="20"/>
        </w:rPr>
        <w:t> </w:t>
      </w:r>
      <w:r>
        <w:rPr>
          <w:sz w:val="20"/>
        </w:rPr>
        <w:t>with</w:t>
      </w:r>
      <w:r>
        <w:rPr>
          <w:spacing w:val="-10"/>
          <w:sz w:val="20"/>
        </w:rPr>
        <w:t> </w:t>
      </w:r>
      <w:r>
        <w:rPr>
          <w:sz w:val="20"/>
        </w:rPr>
        <w:t>lip-reading</w:t>
      </w:r>
      <w:r>
        <w:rPr>
          <w:spacing w:val="-10"/>
          <w:sz w:val="20"/>
        </w:rPr>
        <w:t> </w:t>
      </w:r>
      <w:r>
        <w:rPr>
          <w:sz w:val="20"/>
        </w:rPr>
        <w:t>skills</w:t>
      </w:r>
      <w:r>
        <w:rPr>
          <w:spacing w:val="-10"/>
          <w:sz w:val="20"/>
        </w:rPr>
        <w:t> </w:t>
      </w:r>
      <w:r>
        <w:rPr>
          <w:sz w:val="20"/>
        </w:rPr>
        <w:t>and</w:t>
      </w:r>
      <w:r>
        <w:rPr>
          <w:spacing w:val="-10"/>
          <w:sz w:val="20"/>
        </w:rPr>
        <w:t> </w:t>
      </w:r>
      <w:r>
        <w:rPr>
          <w:sz w:val="20"/>
        </w:rPr>
        <w:t>the</w:t>
      </w:r>
      <w:r>
        <w:rPr>
          <w:spacing w:val="-10"/>
          <w:sz w:val="20"/>
        </w:rPr>
        <w:t> </w:t>
      </w:r>
      <w:r>
        <w:rPr>
          <w:sz w:val="20"/>
        </w:rPr>
        <w:t>use</w:t>
      </w:r>
      <w:r>
        <w:rPr>
          <w:spacing w:val="-10"/>
          <w:sz w:val="20"/>
        </w:rPr>
        <w:t> </w:t>
      </w:r>
      <w:r>
        <w:rPr>
          <w:sz w:val="20"/>
        </w:rPr>
        <w:t>of court</w:t>
      </w:r>
      <w:r>
        <w:rPr>
          <w:spacing w:val="-10"/>
          <w:sz w:val="20"/>
        </w:rPr>
        <w:t> </w:t>
      </w:r>
      <w:r>
        <w:rPr>
          <w:sz w:val="20"/>
        </w:rPr>
        <w:t>stenographers,</w:t>
      </w:r>
      <w:r>
        <w:rPr>
          <w:spacing w:val="-9"/>
          <w:sz w:val="20"/>
        </w:rPr>
        <w:t> </w:t>
      </w:r>
      <w:r>
        <w:rPr>
          <w:sz w:val="20"/>
        </w:rPr>
        <w:t>established</w:t>
      </w:r>
      <w:r>
        <w:rPr>
          <w:spacing w:val="-9"/>
          <w:sz w:val="20"/>
        </w:rPr>
        <w:t> </w:t>
      </w:r>
      <w:r>
        <w:rPr>
          <w:sz w:val="20"/>
        </w:rPr>
        <w:t>a</w:t>
      </w:r>
      <w:r>
        <w:rPr>
          <w:spacing w:val="-10"/>
          <w:sz w:val="20"/>
        </w:rPr>
        <w:t> </w:t>
      </w:r>
      <w:r>
        <w:rPr>
          <w:sz w:val="20"/>
        </w:rPr>
        <w:t>‘legal</w:t>
      </w:r>
      <w:r>
        <w:rPr>
          <w:spacing w:val="-9"/>
          <w:sz w:val="20"/>
        </w:rPr>
        <w:t> </w:t>
      </w:r>
      <w:r>
        <w:rPr>
          <w:sz w:val="20"/>
        </w:rPr>
        <w:t>landmark’</w:t>
      </w:r>
      <w:r>
        <w:rPr>
          <w:spacing w:val="-9"/>
          <w:sz w:val="20"/>
        </w:rPr>
        <w:t> </w:t>
      </w:r>
      <w:r>
        <w:rPr>
          <w:sz w:val="20"/>
        </w:rPr>
        <w:t>when</w:t>
      </w:r>
      <w:r>
        <w:rPr>
          <w:spacing w:val="-10"/>
          <w:sz w:val="20"/>
        </w:rPr>
        <w:t> </w:t>
      </w:r>
      <w:r>
        <w:rPr>
          <w:sz w:val="20"/>
        </w:rPr>
        <w:t>he</w:t>
      </w:r>
      <w:r>
        <w:rPr>
          <w:spacing w:val="-9"/>
          <w:sz w:val="20"/>
        </w:rPr>
        <w:t> </w:t>
      </w:r>
      <w:r>
        <w:rPr>
          <w:sz w:val="20"/>
        </w:rPr>
        <w:t>sat</w:t>
      </w:r>
      <w:r>
        <w:rPr>
          <w:spacing w:val="-9"/>
          <w:sz w:val="20"/>
        </w:rPr>
        <w:t> </w:t>
      </w:r>
      <w:r>
        <w:rPr>
          <w:sz w:val="20"/>
        </w:rPr>
        <w:t>on</w:t>
      </w:r>
      <w:r>
        <w:rPr>
          <w:spacing w:val="-10"/>
          <w:sz w:val="20"/>
        </w:rPr>
        <w:t> </w:t>
      </w:r>
      <w:r>
        <w:rPr>
          <w:sz w:val="20"/>
        </w:rPr>
        <w:t>the</w:t>
      </w:r>
      <w:r>
        <w:rPr>
          <w:spacing w:val="-9"/>
          <w:sz w:val="20"/>
        </w:rPr>
        <w:t> </w:t>
      </w:r>
      <w:r>
        <w:rPr>
          <w:sz w:val="20"/>
        </w:rPr>
        <w:t>jury</w:t>
      </w:r>
      <w:r>
        <w:rPr>
          <w:spacing w:val="-9"/>
          <w:sz w:val="20"/>
        </w:rPr>
        <w:t> </w:t>
      </w:r>
      <w:r>
        <w:rPr>
          <w:sz w:val="20"/>
        </w:rPr>
        <w:t>of</w:t>
      </w:r>
      <w:r>
        <w:rPr>
          <w:spacing w:val="-10"/>
          <w:sz w:val="20"/>
        </w:rPr>
        <w:t> </w:t>
      </w:r>
      <w:r>
        <w:rPr>
          <w:sz w:val="20"/>
        </w:rPr>
        <w:t>three trials</w:t>
      </w:r>
      <w:r>
        <w:rPr>
          <w:spacing w:val="-6"/>
          <w:sz w:val="20"/>
        </w:rPr>
        <w:t> </w:t>
      </w:r>
      <w:r>
        <w:rPr>
          <w:sz w:val="20"/>
        </w:rPr>
        <w:t>during</w:t>
      </w:r>
      <w:r>
        <w:rPr>
          <w:spacing w:val="-6"/>
          <w:sz w:val="20"/>
        </w:rPr>
        <w:t> </w:t>
      </w:r>
      <w:r>
        <w:rPr>
          <w:sz w:val="20"/>
        </w:rPr>
        <w:t>a</w:t>
      </w:r>
      <w:r>
        <w:rPr>
          <w:spacing w:val="-5"/>
          <w:sz w:val="20"/>
        </w:rPr>
        <w:t> </w:t>
      </w:r>
      <w:r>
        <w:rPr>
          <w:spacing w:val="-3"/>
          <w:sz w:val="20"/>
        </w:rPr>
        <w:t>two-week</w:t>
      </w:r>
      <w:r>
        <w:rPr>
          <w:spacing w:val="-6"/>
          <w:sz w:val="20"/>
        </w:rPr>
        <w:t> </w:t>
      </w:r>
      <w:r>
        <w:rPr>
          <w:sz w:val="20"/>
        </w:rPr>
        <w:t>period</w:t>
      </w:r>
      <w:r>
        <w:rPr>
          <w:spacing w:val="-6"/>
          <w:sz w:val="20"/>
        </w:rPr>
        <w:t> </w:t>
      </w:r>
      <w:r>
        <w:rPr>
          <w:sz w:val="20"/>
        </w:rPr>
        <w:t>in</w:t>
      </w:r>
      <w:r>
        <w:rPr>
          <w:spacing w:val="-5"/>
          <w:sz w:val="20"/>
        </w:rPr>
        <w:t> </w:t>
      </w:r>
      <w:r>
        <w:rPr>
          <w:sz w:val="20"/>
        </w:rPr>
        <w:t>the</w:t>
      </w:r>
      <w:r>
        <w:rPr>
          <w:spacing w:val="-6"/>
          <w:sz w:val="20"/>
        </w:rPr>
        <w:t> </w:t>
      </w:r>
      <w:r>
        <w:rPr>
          <w:spacing w:val="-4"/>
          <w:sz w:val="20"/>
        </w:rPr>
        <w:t>Crown</w:t>
      </w:r>
      <w:r>
        <w:rPr>
          <w:spacing w:val="-6"/>
          <w:sz w:val="20"/>
        </w:rPr>
        <w:t> </w:t>
      </w:r>
      <w:r>
        <w:rPr>
          <w:sz w:val="20"/>
        </w:rPr>
        <w:t>Court.</w:t>
      </w:r>
      <w:r>
        <w:rPr>
          <w:spacing w:val="-5"/>
          <w:sz w:val="20"/>
        </w:rPr>
        <w:t> </w:t>
      </w:r>
      <w:r>
        <w:rPr>
          <w:sz w:val="20"/>
        </w:rPr>
        <w:t>He</w:t>
      </w:r>
      <w:r>
        <w:rPr>
          <w:spacing w:val="-6"/>
          <w:sz w:val="20"/>
        </w:rPr>
        <w:t> </w:t>
      </w:r>
      <w:r>
        <w:rPr>
          <w:sz w:val="20"/>
        </w:rPr>
        <w:t>was</w:t>
      </w:r>
      <w:r>
        <w:rPr>
          <w:spacing w:val="-5"/>
          <w:sz w:val="20"/>
        </w:rPr>
        <w:t> </w:t>
      </w:r>
      <w:r>
        <w:rPr>
          <w:sz w:val="20"/>
        </w:rPr>
        <w:t>selected</w:t>
      </w:r>
      <w:r>
        <w:rPr>
          <w:spacing w:val="-6"/>
          <w:sz w:val="20"/>
        </w:rPr>
        <w:t> </w:t>
      </w:r>
      <w:r>
        <w:rPr>
          <w:spacing w:val="-3"/>
          <w:sz w:val="20"/>
        </w:rPr>
        <w:t>by</w:t>
      </w:r>
      <w:r>
        <w:rPr>
          <w:spacing w:val="-6"/>
          <w:sz w:val="20"/>
        </w:rPr>
        <w:t> </w:t>
      </w:r>
      <w:r>
        <w:rPr>
          <w:sz w:val="20"/>
        </w:rPr>
        <w:t>the</w:t>
      </w:r>
      <w:r>
        <w:rPr>
          <w:spacing w:val="-5"/>
          <w:sz w:val="20"/>
        </w:rPr>
        <w:t> </w:t>
      </w:r>
      <w:r>
        <w:rPr>
          <w:sz w:val="20"/>
        </w:rPr>
        <w:t>jury</w:t>
      </w:r>
    </w:p>
    <w:p>
      <w:pPr>
        <w:pStyle w:val="BodyText"/>
        <w:spacing w:line="206" w:lineRule="auto" w:before="3"/>
        <w:ind w:left="1761" w:right="1335"/>
      </w:pPr>
      <w:r>
        <w:rPr/>
        <w:t>to</w:t>
      </w:r>
      <w:r>
        <w:rPr>
          <w:spacing w:val="-10"/>
        </w:rPr>
        <w:t> </w:t>
      </w:r>
      <w:r>
        <w:rPr/>
        <w:t>be</w:t>
      </w:r>
      <w:r>
        <w:rPr>
          <w:spacing w:val="-9"/>
        </w:rPr>
        <w:t> </w:t>
      </w:r>
      <w:r>
        <w:rPr/>
        <w:t>the</w:t>
      </w:r>
      <w:r>
        <w:rPr>
          <w:spacing w:val="-9"/>
        </w:rPr>
        <w:t> </w:t>
      </w:r>
      <w:r>
        <w:rPr/>
        <w:t>foreperson.</w:t>
      </w:r>
      <w:r>
        <w:rPr>
          <w:spacing w:val="-9"/>
        </w:rPr>
        <w:t> </w:t>
      </w:r>
      <w:r>
        <w:rPr/>
        <w:t>The</w:t>
      </w:r>
      <w:r>
        <w:rPr>
          <w:spacing w:val="-9"/>
        </w:rPr>
        <w:t> </w:t>
      </w:r>
      <w:r>
        <w:rPr/>
        <w:t>trial</w:t>
      </w:r>
      <w:r>
        <w:rPr>
          <w:spacing w:val="-9"/>
        </w:rPr>
        <w:t> </w:t>
      </w:r>
      <w:r>
        <w:rPr/>
        <w:t>proceeded</w:t>
      </w:r>
      <w:r>
        <w:rPr>
          <w:spacing w:val="-9"/>
        </w:rPr>
        <w:t> </w:t>
      </w:r>
      <w:r>
        <w:rPr/>
        <w:t>smoothly</w:t>
      </w:r>
      <w:r>
        <w:rPr>
          <w:spacing w:val="-9"/>
        </w:rPr>
        <w:t> </w:t>
      </w:r>
      <w:r>
        <w:rPr/>
        <w:t>and</w:t>
      </w:r>
      <w:r>
        <w:rPr>
          <w:spacing w:val="-9"/>
        </w:rPr>
        <w:t> </w:t>
      </w:r>
      <w:r>
        <w:rPr/>
        <w:t>was</w:t>
      </w:r>
      <w:r>
        <w:rPr>
          <w:spacing w:val="-9"/>
        </w:rPr>
        <w:t> </w:t>
      </w:r>
      <w:r>
        <w:rPr/>
        <w:t>‘in</w:t>
      </w:r>
      <w:r>
        <w:rPr>
          <w:spacing w:val="-9"/>
        </w:rPr>
        <w:t> </w:t>
      </w:r>
      <w:r>
        <w:rPr/>
        <w:t>no</w:t>
      </w:r>
      <w:r>
        <w:rPr>
          <w:spacing w:val="-10"/>
        </w:rPr>
        <w:t> </w:t>
      </w:r>
      <w:r>
        <w:rPr>
          <w:spacing w:val="-4"/>
        </w:rPr>
        <w:t>way</w:t>
      </w:r>
      <w:r>
        <w:rPr>
          <w:spacing w:val="-9"/>
        </w:rPr>
        <w:t> </w:t>
      </w:r>
      <w:r>
        <w:rPr>
          <w:spacing w:val="-3"/>
        </w:rPr>
        <w:t>negatively </w:t>
      </w:r>
      <w:r>
        <w:rPr/>
        <w:t>impacted’.</w:t>
      </w:r>
      <w:r>
        <w:rPr>
          <w:position w:val="7"/>
          <w:sz w:val="11"/>
        </w:rPr>
        <w:t>94 </w:t>
      </w:r>
      <w:r>
        <w:rPr>
          <w:i/>
        </w:rPr>
        <w:t>The Guardian</w:t>
      </w:r>
      <w:r>
        <w:rPr>
          <w:i/>
          <w:spacing w:val="-16"/>
        </w:rPr>
        <w:t> </w:t>
      </w:r>
      <w:r>
        <w:rPr/>
        <w:t>reported:</w:t>
      </w:r>
    </w:p>
    <w:p>
      <w:pPr>
        <w:spacing w:line="208" w:lineRule="auto" w:before="121"/>
        <w:ind w:left="2157" w:right="1202" w:firstLine="0"/>
        <w:jc w:val="left"/>
        <w:rPr>
          <w:sz w:val="19"/>
        </w:rPr>
      </w:pPr>
      <w:r>
        <w:rPr>
          <w:sz w:val="19"/>
        </w:rPr>
        <w:t>Johnston said: ‘They wanted to see me, how deaf I was, how well I could lip-read, and when they met me there was no problem.’</w:t>
      </w:r>
    </w:p>
    <w:p>
      <w:pPr>
        <w:pStyle w:val="BodyText"/>
      </w:pPr>
    </w:p>
    <w:p>
      <w:pPr>
        <w:pStyle w:val="BodyText"/>
      </w:pPr>
    </w:p>
    <w:p>
      <w:pPr>
        <w:pStyle w:val="BodyText"/>
        <w:spacing w:before="11"/>
      </w:pPr>
      <w:r>
        <w:rPr/>
        <w:pict>
          <v:line style="position:absolute;mso-position-horizontal-relative:page;mso-position-vertical-relative:paragraph;z-index:6272;mso-wrap-distance-left:0;mso-wrap-distance-right:0" from="79.370102pt,16.914560pt" to="515.905102pt,16.914560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14"/>
        <w:ind w:left="100" w:right="0" w:firstLine="0"/>
        <w:jc w:val="left"/>
        <w:rPr>
          <w:b/>
          <w:sz w:val="24"/>
        </w:rPr>
      </w:pPr>
      <w:r>
        <w:rPr>
          <w:b/>
          <w:color w:val="37617A"/>
          <w:sz w:val="24"/>
        </w:rPr>
        <w:t>100</w:t>
      </w:r>
    </w:p>
    <w:p>
      <w:pPr>
        <w:pStyle w:val="ListParagraph"/>
        <w:numPr>
          <w:ilvl w:val="0"/>
          <w:numId w:val="71"/>
        </w:numPr>
        <w:tabs>
          <w:tab w:pos="893" w:val="left" w:leader="none"/>
          <w:tab w:pos="894" w:val="left" w:leader="none"/>
        </w:tabs>
        <w:spacing w:line="170" w:lineRule="exact" w:before="21" w:after="0"/>
        <w:ind w:left="893" w:right="0" w:hanging="793"/>
        <w:jc w:val="left"/>
        <w:rPr>
          <w:sz w:val="13"/>
        </w:rPr>
      </w:pPr>
      <w:r>
        <w:rPr>
          <w:i/>
          <w:spacing w:val="1"/>
          <w:sz w:val="13"/>
        </w:rPr>
        <w:br w:type="column"/>
      </w:r>
      <w:r>
        <w:rPr>
          <w:i/>
          <w:sz w:val="13"/>
        </w:rPr>
        <w:t>Police, Crime, Sentencing and </w:t>
      </w:r>
      <w:r>
        <w:rPr>
          <w:i/>
          <w:spacing w:val="2"/>
          <w:sz w:val="13"/>
        </w:rPr>
        <w:t>Courts </w:t>
      </w:r>
      <w:r>
        <w:rPr>
          <w:i/>
          <w:sz w:val="13"/>
        </w:rPr>
        <w:t>Act 2022 </w:t>
      </w:r>
      <w:r>
        <w:rPr>
          <w:spacing w:val="2"/>
          <w:sz w:val="13"/>
        </w:rPr>
        <w:t>(UK) </w:t>
      </w:r>
      <w:r>
        <w:rPr>
          <w:sz w:val="13"/>
        </w:rPr>
        <w:t>s</w:t>
      </w:r>
      <w:r>
        <w:rPr>
          <w:spacing w:val="-3"/>
          <w:sz w:val="13"/>
        </w:rPr>
        <w:t> </w:t>
      </w:r>
      <w:r>
        <w:rPr>
          <w:sz w:val="13"/>
        </w:rPr>
        <w:t>196(2).</w:t>
      </w:r>
    </w:p>
    <w:p>
      <w:pPr>
        <w:pStyle w:val="ListParagraph"/>
        <w:numPr>
          <w:ilvl w:val="0"/>
          <w:numId w:val="71"/>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71"/>
        </w:numPr>
        <w:tabs>
          <w:tab w:pos="893" w:val="left" w:leader="none"/>
          <w:tab w:pos="894" w:val="left" w:leader="none"/>
        </w:tabs>
        <w:spacing w:line="160" w:lineRule="exact" w:before="0" w:after="0"/>
        <w:ind w:left="893" w:right="0" w:hanging="793"/>
        <w:jc w:val="left"/>
        <w:rPr>
          <w:sz w:val="13"/>
        </w:rPr>
      </w:pPr>
      <w:r>
        <w:rPr>
          <w:sz w:val="13"/>
        </w:rPr>
        <w:t>Information provided by Her Majesty’s </w:t>
      </w:r>
      <w:r>
        <w:rPr>
          <w:spacing w:val="2"/>
          <w:sz w:val="13"/>
        </w:rPr>
        <w:t>Courts </w:t>
      </w:r>
      <w:r>
        <w:rPr>
          <w:sz w:val="13"/>
        </w:rPr>
        <w:t>and Tribunals </w:t>
      </w:r>
      <w:r>
        <w:rPr>
          <w:spacing w:val="2"/>
          <w:sz w:val="13"/>
        </w:rPr>
        <w:t>Service </w:t>
      </w:r>
      <w:r>
        <w:rPr>
          <w:sz w:val="13"/>
        </w:rPr>
        <w:t>to Victorian Law Reform </w:t>
      </w:r>
      <w:r>
        <w:rPr>
          <w:spacing w:val="2"/>
          <w:sz w:val="13"/>
        </w:rPr>
        <w:t>Commission, </w:t>
      </w:r>
      <w:r>
        <w:rPr>
          <w:sz w:val="13"/>
        </w:rPr>
        <w:t>2 September</w:t>
      </w:r>
      <w:r>
        <w:rPr>
          <w:spacing w:val="29"/>
          <w:sz w:val="13"/>
        </w:rPr>
        <w:t> </w:t>
      </w:r>
      <w:r>
        <w:rPr>
          <w:sz w:val="13"/>
        </w:rPr>
        <w:t>2021.</w:t>
      </w:r>
    </w:p>
    <w:p>
      <w:pPr>
        <w:pStyle w:val="ListParagraph"/>
        <w:numPr>
          <w:ilvl w:val="0"/>
          <w:numId w:val="71"/>
        </w:numPr>
        <w:tabs>
          <w:tab w:pos="893" w:val="left" w:leader="none"/>
          <w:tab w:pos="894" w:val="left" w:leader="none"/>
        </w:tabs>
        <w:spacing w:line="213" w:lineRule="auto" w:before="7" w:after="0"/>
        <w:ind w:left="893" w:right="1229" w:hanging="793"/>
        <w:jc w:val="left"/>
        <w:rPr>
          <w:sz w:val="13"/>
        </w:rPr>
      </w:pPr>
      <w:r>
        <w:rPr>
          <w:i/>
          <w:sz w:val="13"/>
        </w:rPr>
        <w:t>Police, Crime, Sentencing and </w:t>
      </w:r>
      <w:r>
        <w:rPr>
          <w:i/>
          <w:spacing w:val="2"/>
          <w:sz w:val="13"/>
        </w:rPr>
        <w:t>Courts </w:t>
      </w:r>
      <w:r>
        <w:rPr>
          <w:i/>
          <w:sz w:val="13"/>
        </w:rPr>
        <w:t>Act 2022 </w:t>
      </w:r>
      <w:r>
        <w:rPr>
          <w:spacing w:val="2"/>
          <w:sz w:val="13"/>
        </w:rPr>
        <w:t>(UK) </w:t>
      </w:r>
      <w:r>
        <w:rPr>
          <w:sz w:val="13"/>
        </w:rPr>
        <w:t>s </w:t>
      </w:r>
      <w:r>
        <w:rPr>
          <w:spacing w:val="2"/>
          <w:sz w:val="13"/>
        </w:rPr>
        <w:t>196(3). </w:t>
      </w:r>
      <w:r>
        <w:rPr>
          <w:sz w:val="13"/>
        </w:rPr>
        <w:t>Challenges for cause ‘can be made by </w:t>
      </w:r>
      <w:r>
        <w:rPr>
          <w:spacing w:val="2"/>
          <w:sz w:val="13"/>
        </w:rPr>
        <w:t>either </w:t>
      </w:r>
      <w:r>
        <w:rPr>
          <w:sz w:val="13"/>
        </w:rPr>
        <w:t>the prosecution or   defence and may </w:t>
      </w:r>
      <w:r>
        <w:rPr>
          <w:spacing w:val="2"/>
          <w:sz w:val="13"/>
        </w:rPr>
        <w:t>either </w:t>
      </w:r>
      <w:r>
        <w:rPr>
          <w:sz w:val="13"/>
        </w:rPr>
        <w:t>be a challenge to the whole panel of jurors (challenges to the array) or to an individual juror (challenges    to the polls)’: Crown Prosecution </w:t>
      </w:r>
      <w:r>
        <w:rPr>
          <w:spacing w:val="2"/>
          <w:sz w:val="13"/>
        </w:rPr>
        <w:t>Service, </w:t>
      </w:r>
      <w:r>
        <w:rPr>
          <w:i/>
          <w:spacing w:val="2"/>
          <w:sz w:val="13"/>
        </w:rPr>
        <w:t>Jury </w:t>
      </w:r>
      <w:r>
        <w:rPr>
          <w:i/>
          <w:sz w:val="13"/>
        </w:rPr>
        <w:t>Vetting </w:t>
      </w:r>
      <w:r>
        <w:rPr>
          <w:spacing w:val="2"/>
          <w:sz w:val="13"/>
        </w:rPr>
        <w:t>(Guidelines, </w:t>
      </w:r>
      <w:r>
        <w:rPr>
          <w:sz w:val="13"/>
        </w:rPr>
        <w:t>10 July 2018). For </w:t>
      </w:r>
      <w:r>
        <w:rPr>
          <w:spacing w:val="2"/>
          <w:sz w:val="13"/>
        </w:rPr>
        <w:t>further </w:t>
      </w:r>
      <w:r>
        <w:rPr>
          <w:sz w:val="13"/>
        </w:rPr>
        <w:t>discussion of </w:t>
      </w:r>
      <w:r>
        <w:rPr>
          <w:spacing w:val="2"/>
          <w:sz w:val="13"/>
        </w:rPr>
        <w:t>challenges, </w:t>
      </w:r>
      <w:r>
        <w:rPr>
          <w:sz w:val="13"/>
        </w:rPr>
        <w:t>see Chapter </w:t>
      </w:r>
      <w:r>
        <w:rPr>
          <w:spacing w:val="-5"/>
          <w:sz w:val="13"/>
        </w:rPr>
        <w:t>17.</w:t>
      </w:r>
    </w:p>
    <w:p>
      <w:pPr>
        <w:pStyle w:val="ListParagraph"/>
        <w:numPr>
          <w:ilvl w:val="0"/>
          <w:numId w:val="71"/>
        </w:numPr>
        <w:tabs>
          <w:tab w:pos="893" w:val="left" w:leader="none"/>
          <w:tab w:pos="894" w:val="left" w:leader="none"/>
        </w:tabs>
        <w:spacing w:line="151" w:lineRule="exact" w:before="0" w:after="0"/>
        <w:ind w:left="893" w:right="0" w:hanging="793"/>
        <w:jc w:val="left"/>
        <w:rPr>
          <w:sz w:val="13"/>
        </w:rPr>
      </w:pPr>
      <w:r>
        <w:rPr>
          <w:i/>
          <w:sz w:val="13"/>
        </w:rPr>
        <w:t>Police, Crime, Sentencing and </w:t>
      </w:r>
      <w:r>
        <w:rPr>
          <w:i/>
          <w:spacing w:val="2"/>
          <w:sz w:val="13"/>
        </w:rPr>
        <w:t>Courts </w:t>
      </w:r>
      <w:r>
        <w:rPr>
          <w:i/>
          <w:sz w:val="13"/>
        </w:rPr>
        <w:t>Act 2022 </w:t>
      </w:r>
      <w:r>
        <w:rPr>
          <w:spacing w:val="2"/>
          <w:sz w:val="13"/>
        </w:rPr>
        <w:t>(UK) </w:t>
      </w:r>
      <w:r>
        <w:rPr>
          <w:sz w:val="13"/>
        </w:rPr>
        <w:t>s</w:t>
      </w:r>
      <w:r>
        <w:rPr>
          <w:spacing w:val="-4"/>
          <w:sz w:val="13"/>
        </w:rPr>
        <w:t> </w:t>
      </w:r>
      <w:r>
        <w:rPr>
          <w:spacing w:val="2"/>
          <w:sz w:val="13"/>
        </w:rPr>
        <w:t>196(3).</w:t>
      </w:r>
    </w:p>
    <w:p>
      <w:pPr>
        <w:pStyle w:val="ListParagraph"/>
        <w:numPr>
          <w:ilvl w:val="0"/>
          <w:numId w:val="71"/>
        </w:numPr>
        <w:tabs>
          <w:tab w:pos="893" w:val="left" w:leader="none"/>
          <w:tab w:pos="894" w:val="left" w:leader="none"/>
        </w:tabs>
        <w:spacing w:line="213" w:lineRule="auto" w:before="6" w:after="0"/>
        <w:ind w:left="893" w:right="1728" w:hanging="793"/>
        <w:jc w:val="left"/>
        <w:rPr>
          <w:sz w:val="13"/>
        </w:rPr>
      </w:pPr>
      <w:r>
        <w:rPr>
          <w:spacing w:val="2"/>
          <w:sz w:val="13"/>
        </w:rPr>
        <w:t>Ibid. When </w:t>
      </w:r>
      <w:r>
        <w:rPr>
          <w:sz w:val="13"/>
        </w:rPr>
        <w:t>this section comes into force on 28 June 2022, it will </w:t>
      </w:r>
      <w:r>
        <w:rPr>
          <w:spacing w:val="2"/>
          <w:sz w:val="13"/>
        </w:rPr>
        <w:t>insert </w:t>
      </w:r>
      <w:r>
        <w:rPr>
          <w:sz w:val="13"/>
        </w:rPr>
        <w:t>a new criminal offence - ‘s 20I Offence: interpreters interfering in or influencing </w:t>
      </w:r>
      <w:r>
        <w:rPr>
          <w:spacing w:val="2"/>
          <w:sz w:val="13"/>
        </w:rPr>
        <w:t>jury </w:t>
      </w:r>
      <w:r>
        <w:rPr>
          <w:sz w:val="13"/>
        </w:rPr>
        <w:t>deliberations’ - into the </w:t>
      </w:r>
      <w:r>
        <w:rPr>
          <w:i/>
          <w:sz w:val="13"/>
        </w:rPr>
        <w:t>Juries Act 1974</w:t>
      </w:r>
      <w:r>
        <w:rPr>
          <w:i/>
          <w:spacing w:val="7"/>
          <w:sz w:val="13"/>
        </w:rPr>
        <w:t> </w:t>
      </w:r>
      <w:r>
        <w:rPr>
          <w:sz w:val="13"/>
        </w:rPr>
        <w:t>(UK).</w:t>
      </w:r>
    </w:p>
    <w:p>
      <w:pPr>
        <w:pStyle w:val="ListParagraph"/>
        <w:numPr>
          <w:ilvl w:val="0"/>
          <w:numId w:val="71"/>
        </w:numPr>
        <w:tabs>
          <w:tab w:pos="893" w:val="left" w:leader="none"/>
          <w:tab w:pos="894" w:val="left" w:leader="none"/>
        </w:tabs>
        <w:spacing w:line="153" w:lineRule="exact" w:before="0" w:after="0"/>
        <w:ind w:left="893" w:right="0" w:hanging="793"/>
        <w:jc w:val="left"/>
        <w:rPr>
          <w:sz w:val="13"/>
        </w:rPr>
      </w:pPr>
      <w:r>
        <w:rPr>
          <w:sz w:val="13"/>
        </w:rPr>
        <w:t>United Kingdom, </w:t>
      </w:r>
      <w:r>
        <w:rPr>
          <w:i/>
          <w:sz w:val="13"/>
        </w:rPr>
        <w:t>Parliamentary Debates</w:t>
      </w:r>
      <w:r>
        <w:rPr>
          <w:sz w:val="13"/>
        </w:rPr>
        <w:t>, House of </w:t>
      </w:r>
      <w:r>
        <w:rPr>
          <w:spacing w:val="2"/>
          <w:sz w:val="13"/>
        </w:rPr>
        <w:t>Commons, </w:t>
      </w:r>
      <w:r>
        <w:rPr>
          <w:sz w:val="13"/>
        </w:rPr>
        <w:t>17 June 2021 (Steve </w:t>
      </w:r>
      <w:r>
        <w:rPr>
          <w:spacing w:val="2"/>
          <w:sz w:val="13"/>
        </w:rPr>
        <w:t>McCabe, </w:t>
      </w:r>
      <w:r>
        <w:rPr>
          <w:sz w:val="13"/>
        </w:rPr>
        <w:t>Chair), vol 697, col</w:t>
      </w:r>
      <w:r>
        <w:rPr>
          <w:spacing w:val="10"/>
          <w:sz w:val="13"/>
        </w:rPr>
        <w:t> </w:t>
      </w:r>
      <w:r>
        <w:rPr>
          <w:spacing w:val="2"/>
          <w:sz w:val="13"/>
        </w:rPr>
        <w:t>601.</w:t>
      </w:r>
    </w:p>
    <w:p>
      <w:pPr>
        <w:pStyle w:val="ListParagraph"/>
        <w:numPr>
          <w:ilvl w:val="0"/>
          <w:numId w:val="71"/>
        </w:numPr>
        <w:tabs>
          <w:tab w:pos="893" w:val="left" w:leader="none"/>
          <w:tab w:pos="894" w:val="left" w:leader="none"/>
        </w:tabs>
        <w:spacing w:line="213" w:lineRule="auto" w:before="6" w:after="0"/>
        <w:ind w:left="893" w:right="1899" w:hanging="793"/>
        <w:jc w:val="left"/>
        <w:rPr>
          <w:sz w:val="13"/>
        </w:rPr>
      </w:pPr>
      <w:r>
        <w:rPr>
          <w:spacing w:val="2"/>
          <w:sz w:val="13"/>
        </w:rPr>
        <w:t>Ministry </w:t>
      </w:r>
      <w:r>
        <w:rPr>
          <w:sz w:val="13"/>
        </w:rPr>
        <w:t>of Justice (UK), ‘Law Change </w:t>
      </w:r>
      <w:r>
        <w:rPr>
          <w:spacing w:val="2"/>
          <w:sz w:val="13"/>
        </w:rPr>
        <w:t>Opens </w:t>
      </w:r>
      <w:r>
        <w:rPr>
          <w:sz w:val="13"/>
        </w:rPr>
        <w:t>Door to Deaf Jurors’ (Press Release, 9 March 2021) &lt;</w:t>
      </w:r>
      <w:hyperlink r:id="rId165">
        <w:r>
          <w:rPr>
            <w:sz w:val="13"/>
          </w:rPr>
          <w:t>https://www.gov.uk/</w:t>
        </w:r>
      </w:hyperlink>
      <w:hyperlink r:id="rId165">
        <w:r>
          <w:rPr>
            <w:sz w:val="13"/>
          </w:rPr>
          <w:t> government/news/law-change-opens-door-to-deaf-jurors</w:t>
        </w:r>
      </w:hyperlink>
      <w:r>
        <w:rPr>
          <w:sz w:val="13"/>
        </w:rPr>
        <w:t>&gt;.</w:t>
      </w:r>
    </w:p>
    <w:p>
      <w:pPr>
        <w:pStyle w:val="ListParagraph"/>
        <w:numPr>
          <w:ilvl w:val="0"/>
          <w:numId w:val="71"/>
        </w:numPr>
        <w:tabs>
          <w:tab w:pos="893" w:val="left" w:leader="none"/>
          <w:tab w:pos="894" w:val="left" w:leader="none"/>
        </w:tabs>
        <w:spacing w:line="153" w:lineRule="exact" w:before="0" w:after="0"/>
        <w:ind w:left="893" w:right="0" w:hanging="793"/>
        <w:jc w:val="left"/>
        <w:rPr>
          <w:sz w:val="13"/>
        </w:rPr>
      </w:pPr>
      <w:r>
        <w:rPr>
          <w:sz w:val="13"/>
        </w:rPr>
        <w:t>Information provided by Her Majesty’s </w:t>
      </w:r>
      <w:r>
        <w:rPr>
          <w:spacing w:val="2"/>
          <w:sz w:val="13"/>
        </w:rPr>
        <w:t>Courts </w:t>
      </w:r>
      <w:r>
        <w:rPr>
          <w:sz w:val="13"/>
        </w:rPr>
        <w:t>and Tribunals </w:t>
      </w:r>
      <w:r>
        <w:rPr>
          <w:spacing w:val="2"/>
          <w:sz w:val="13"/>
        </w:rPr>
        <w:t>Service </w:t>
      </w:r>
      <w:r>
        <w:rPr>
          <w:sz w:val="13"/>
        </w:rPr>
        <w:t>to Victorian Law Reform </w:t>
      </w:r>
      <w:r>
        <w:rPr>
          <w:spacing w:val="2"/>
          <w:sz w:val="13"/>
        </w:rPr>
        <w:t>Commission, </w:t>
      </w:r>
      <w:r>
        <w:rPr>
          <w:sz w:val="13"/>
        </w:rPr>
        <w:t>2 September</w:t>
      </w:r>
      <w:r>
        <w:rPr>
          <w:spacing w:val="28"/>
          <w:sz w:val="13"/>
        </w:rPr>
        <w:t> </w:t>
      </w:r>
      <w:r>
        <w:rPr>
          <w:sz w:val="13"/>
        </w:rPr>
        <w:t>2021;</w:t>
      </w:r>
    </w:p>
    <w:p>
      <w:pPr>
        <w:spacing w:line="160" w:lineRule="exact" w:before="0"/>
        <w:ind w:left="893" w:right="0" w:firstLine="0"/>
        <w:jc w:val="left"/>
        <w:rPr>
          <w:sz w:val="13"/>
        </w:rPr>
      </w:pPr>
      <w:r>
        <w:rPr>
          <w:i/>
          <w:sz w:val="13"/>
        </w:rPr>
        <w:t>Judicial Review and Courts Act 2022 </w:t>
      </w:r>
      <w:r>
        <w:rPr>
          <w:sz w:val="13"/>
        </w:rPr>
        <w:t>(UK).</w:t>
      </w:r>
    </w:p>
    <w:p>
      <w:pPr>
        <w:pStyle w:val="ListParagraph"/>
        <w:numPr>
          <w:ilvl w:val="0"/>
          <w:numId w:val="71"/>
        </w:numPr>
        <w:tabs>
          <w:tab w:pos="893" w:val="left" w:leader="none"/>
          <w:tab w:pos="894" w:val="left" w:leader="none"/>
        </w:tabs>
        <w:spacing w:line="213" w:lineRule="auto" w:before="6" w:after="0"/>
        <w:ind w:left="893" w:right="1528" w:hanging="793"/>
        <w:jc w:val="left"/>
        <w:rPr>
          <w:sz w:val="13"/>
        </w:rPr>
      </w:pPr>
      <w:r>
        <w:rPr>
          <w:sz w:val="13"/>
        </w:rPr>
        <w:t>‘Internet Users, </w:t>
      </w:r>
      <w:r>
        <w:rPr>
          <w:spacing w:val="2"/>
          <w:sz w:val="13"/>
        </w:rPr>
        <w:t>UK: </w:t>
      </w:r>
      <w:r>
        <w:rPr>
          <w:sz w:val="13"/>
        </w:rPr>
        <w:t>2020’, </w:t>
      </w:r>
      <w:r>
        <w:rPr>
          <w:i/>
          <w:sz w:val="13"/>
        </w:rPr>
        <w:t>Office of National Statistics (UK) </w:t>
      </w:r>
      <w:r>
        <w:rPr>
          <w:sz w:val="13"/>
        </w:rPr>
        <w:t>(Web Page) &lt;</w:t>
      </w:r>
      <w:hyperlink r:id="rId166">
        <w:r>
          <w:rPr>
            <w:sz w:val="13"/>
          </w:rPr>
          <w:t>https://www.ons.gov.uk/businessindustryandtrade/</w:t>
        </w:r>
      </w:hyperlink>
      <w:hyperlink r:id="rId166">
        <w:r>
          <w:rPr>
            <w:sz w:val="13"/>
          </w:rPr>
          <w:t> itandinternetindustry/bulletins/internetusers/2020</w:t>
        </w:r>
      </w:hyperlink>
      <w:r>
        <w:rPr>
          <w:sz w:val="13"/>
        </w:rPr>
        <w:t>&gt;.</w:t>
      </w:r>
    </w:p>
    <w:p>
      <w:pPr>
        <w:pStyle w:val="ListParagraph"/>
        <w:numPr>
          <w:ilvl w:val="0"/>
          <w:numId w:val="71"/>
        </w:numPr>
        <w:tabs>
          <w:tab w:pos="893" w:val="left" w:leader="none"/>
          <w:tab w:pos="894" w:val="left" w:leader="none"/>
        </w:tabs>
        <w:spacing w:line="153" w:lineRule="exact" w:before="0" w:after="0"/>
        <w:ind w:left="893" w:right="0" w:hanging="793"/>
        <w:jc w:val="left"/>
        <w:rPr>
          <w:sz w:val="13"/>
        </w:rPr>
      </w:pPr>
      <w:r>
        <w:rPr>
          <w:sz w:val="13"/>
        </w:rPr>
        <w:t>Information provided by Her Majesty’s </w:t>
      </w:r>
      <w:r>
        <w:rPr>
          <w:spacing w:val="2"/>
          <w:sz w:val="13"/>
        </w:rPr>
        <w:t>Courts </w:t>
      </w:r>
      <w:r>
        <w:rPr>
          <w:sz w:val="13"/>
        </w:rPr>
        <w:t>and Tribunals </w:t>
      </w:r>
      <w:r>
        <w:rPr>
          <w:spacing w:val="2"/>
          <w:sz w:val="13"/>
        </w:rPr>
        <w:t>Service </w:t>
      </w:r>
      <w:r>
        <w:rPr>
          <w:sz w:val="13"/>
        </w:rPr>
        <w:t>to Victorian Law Reform </w:t>
      </w:r>
      <w:r>
        <w:rPr>
          <w:spacing w:val="2"/>
          <w:sz w:val="13"/>
        </w:rPr>
        <w:t>Commission, </w:t>
      </w:r>
      <w:r>
        <w:rPr>
          <w:sz w:val="13"/>
        </w:rPr>
        <w:t>2 September</w:t>
      </w:r>
      <w:r>
        <w:rPr>
          <w:spacing w:val="29"/>
          <w:sz w:val="13"/>
        </w:rPr>
        <w:t> </w:t>
      </w:r>
      <w:r>
        <w:rPr>
          <w:sz w:val="13"/>
        </w:rPr>
        <w:t>2021.</w:t>
      </w:r>
    </w:p>
    <w:p>
      <w:pPr>
        <w:pStyle w:val="ListParagraph"/>
        <w:numPr>
          <w:ilvl w:val="0"/>
          <w:numId w:val="71"/>
        </w:numPr>
        <w:tabs>
          <w:tab w:pos="893" w:val="left" w:leader="none"/>
          <w:tab w:pos="894" w:val="left" w:leader="none"/>
        </w:tabs>
        <w:spacing w:line="160" w:lineRule="exact" w:before="0" w:after="0"/>
        <w:ind w:left="893" w:right="0" w:hanging="793"/>
        <w:jc w:val="left"/>
        <w:rPr>
          <w:sz w:val="13"/>
        </w:rPr>
      </w:pPr>
      <w:r>
        <w:rPr>
          <w:sz w:val="13"/>
        </w:rPr>
        <w:t>Howard Swains, ‘Subtitles Help Deaf Juror Past “13th Stranger” </w:t>
      </w:r>
      <w:r>
        <w:rPr>
          <w:spacing w:val="2"/>
          <w:sz w:val="13"/>
        </w:rPr>
        <w:t>Court </w:t>
      </w:r>
      <w:r>
        <w:rPr>
          <w:sz w:val="13"/>
        </w:rPr>
        <w:t>Rules’, </w:t>
      </w:r>
      <w:r>
        <w:rPr>
          <w:i/>
          <w:sz w:val="13"/>
        </w:rPr>
        <w:t>The Guardian </w:t>
      </w:r>
      <w:r>
        <w:rPr>
          <w:sz w:val="13"/>
        </w:rPr>
        <w:t>(online, 28 August</w:t>
      </w:r>
      <w:r>
        <w:rPr>
          <w:spacing w:val="24"/>
          <w:sz w:val="13"/>
        </w:rPr>
        <w:t> </w:t>
      </w:r>
      <w:r>
        <w:rPr>
          <w:sz w:val="13"/>
        </w:rPr>
        <w:t>2019)</w:t>
      </w:r>
    </w:p>
    <w:p>
      <w:pPr>
        <w:spacing w:line="170" w:lineRule="exact" w:before="0"/>
        <w:ind w:left="893" w:right="0" w:firstLine="0"/>
        <w:jc w:val="left"/>
        <w:rPr>
          <w:sz w:val="13"/>
        </w:rPr>
      </w:pPr>
      <w:r>
        <w:rPr>
          <w:sz w:val="13"/>
        </w:rPr>
        <w:t>&lt;</w:t>
      </w:r>
      <w:hyperlink r:id="rId167">
        <w:r>
          <w:rPr>
            <w:sz w:val="13"/>
          </w:rPr>
          <w:t>https://www.theguardian.com/law/2019/aug/28/man-sets-legal-landmark-as-first-deaf-juror-in-english-court</w:t>
        </w:r>
      </w:hyperlink>
      <w:r>
        <w:rPr>
          <w:sz w:val="13"/>
        </w:rPr>
        <w:t>&gt;.</w:t>
      </w:r>
    </w:p>
    <w:p>
      <w:pPr>
        <w:spacing w:after="0" w:line="170" w:lineRule="exact"/>
        <w:jc w:val="left"/>
        <w:rPr>
          <w:sz w:val="13"/>
        </w:rPr>
        <w:sectPr>
          <w:type w:val="continuous"/>
          <w:pgSz w:w="11910" w:h="16840"/>
          <w:pgMar w:top="620" w:bottom="280" w:left="620" w:right="380"/>
          <w:cols w:num="2" w:equalWidth="0">
            <w:col w:w="548" w:space="319"/>
            <w:col w:w="10043"/>
          </w:cols>
        </w:sectPr>
      </w:pPr>
    </w:p>
    <w:p>
      <w:pPr>
        <w:pStyle w:val="BodyText"/>
      </w:pPr>
    </w:p>
    <w:p>
      <w:pPr>
        <w:pStyle w:val="BodyText"/>
      </w:pPr>
    </w:p>
    <w:p>
      <w:pPr>
        <w:pStyle w:val="BodyText"/>
      </w:pPr>
    </w:p>
    <w:p>
      <w:pPr>
        <w:pStyle w:val="BodyText"/>
        <w:spacing w:before="6"/>
        <w:rPr>
          <w:sz w:val="14"/>
        </w:rPr>
      </w:pPr>
    </w:p>
    <w:p>
      <w:pPr>
        <w:spacing w:line="208" w:lineRule="auto" w:before="88"/>
        <w:ind w:left="2157" w:right="1335" w:firstLine="0"/>
        <w:jc w:val="left"/>
        <w:rPr>
          <w:sz w:val="19"/>
        </w:rPr>
      </w:pPr>
      <w:bookmarkStart w:name="Inclusive juries in New Zealand" w:id="184"/>
      <w:bookmarkEnd w:id="184"/>
      <w:r>
        <w:rPr/>
      </w:r>
      <w:bookmarkStart w:name="_bookmark72" w:id="185"/>
      <w:bookmarkEnd w:id="185"/>
      <w:r>
        <w:rPr/>
      </w:r>
      <w:r>
        <w:rPr>
          <w:sz w:val="19"/>
        </w:rPr>
        <w:t>After being convinced of Johnston’s ability to serve without hindrance, and discussions with a judge, the officials secured financing for a two-person team of stenographers to transcribe everything spoken in court, which Johnston read on a tablet device from the jury benches. ...</w:t>
      </w:r>
    </w:p>
    <w:p>
      <w:pPr>
        <w:spacing w:line="208" w:lineRule="auto" w:before="123"/>
        <w:ind w:left="2157" w:right="1353" w:firstLine="0"/>
        <w:jc w:val="left"/>
        <w:rPr>
          <w:sz w:val="19"/>
        </w:rPr>
      </w:pPr>
      <w:r>
        <w:rPr>
          <w:sz w:val="19"/>
        </w:rPr>
        <w:t>Anthony Jarvis, who was on the same jury panel at Blackfriars as Johnston, said: ‘The processes in court seemed like they were in no </w:t>
      </w:r>
      <w:r>
        <w:rPr>
          <w:spacing w:val="-3"/>
          <w:sz w:val="19"/>
        </w:rPr>
        <w:t>way </w:t>
      </w:r>
      <w:r>
        <w:rPr>
          <w:sz w:val="19"/>
        </w:rPr>
        <w:t>negatively impacted by having a deaf juror and that the court handled it very well. The trial carried on as if having a deaf</w:t>
      </w:r>
      <w:r>
        <w:rPr>
          <w:spacing w:val="-3"/>
          <w:sz w:val="19"/>
        </w:rPr>
        <w:t> </w:t>
      </w:r>
      <w:r>
        <w:rPr>
          <w:sz w:val="19"/>
        </w:rPr>
        <w:t>juror</w:t>
      </w:r>
      <w:r>
        <w:rPr>
          <w:spacing w:val="-3"/>
          <w:sz w:val="19"/>
        </w:rPr>
        <w:t> </w:t>
      </w:r>
      <w:r>
        <w:rPr>
          <w:sz w:val="19"/>
        </w:rPr>
        <w:t>was</w:t>
      </w:r>
      <w:r>
        <w:rPr>
          <w:spacing w:val="-3"/>
          <w:sz w:val="19"/>
        </w:rPr>
        <w:t> </w:t>
      </w:r>
      <w:r>
        <w:rPr>
          <w:sz w:val="19"/>
        </w:rPr>
        <w:t>standard</w:t>
      </w:r>
      <w:r>
        <w:rPr>
          <w:spacing w:val="-3"/>
          <w:sz w:val="19"/>
        </w:rPr>
        <w:t> </w:t>
      </w:r>
      <w:r>
        <w:rPr>
          <w:sz w:val="19"/>
        </w:rPr>
        <w:t>procedure.</w:t>
      </w:r>
      <w:r>
        <w:rPr>
          <w:spacing w:val="-2"/>
          <w:sz w:val="19"/>
        </w:rPr>
        <w:t> </w:t>
      </w:r>
      <w:r>
        <w:rPr>
          <w:sz w:val="19"/>
        </w:rPr>
        <w:t>It</w:t>
      </w:r>
      <w:r>
        <w:rPr>
          <w:spacing w:val="-3"/>
          <w:sz w:val="19"/>
        </w:rPr>
        <w:t> </w:t>
      </w:r>
      <w:r>
        <w:rPr>
          <w:sz w:val="19"/>
        </w:rPr>
        <w:t>didn’t</w:t>
      </w:r>
      <w:r>
        <w:rPr>
          <w:spacing w:val="-3"/>
          <w:sz w:val="19"/>
        </w:rPr>
        <w:t> </w:t>
      </w:r>
      <w:r>
        <w:rPr>
          <w:sz w:val="19"/>
        </w:rPr>
        <w:t>feel</w:t>
      </w:r>
      <w:r>
        <w:rPr>
          <w:spacing w:val="-3"/>
          <w:sz w:val="19"/>
        </w:rPr>
        <w:t> </w:t>
      </w:r>
      <w:r>
        <w:rPr>
          <w:sz w:val="19"/>
        </w:rPr>
        <w:t>like</w:t>
      </w:r>
      <w:r>
        <w:rPr>
          <w:spacing w:val="-2"/>
          <w:sz w:val="19"/>
        </w:rPr>
        <w:t> </w:t>
      </w:r>
      <w:r>
        <w:rPr>
          <w:sz w:val="19"/>
        </w:rPr>
        <w:t>this</w:t>
      </w:r>
      <w:r>
        <w:rPr>
          <w:spacing w:val="-3"/>
          <w:sz w:val="19"/>
        </w:rPr>
        <w:t> </w:t>
      </w:r>
      <w:r>
        <w:rPr>
          <w:sz w:val="19"/>
        </w:rPr>
        <w:t>was</w:t>
      </w:r>
      <w:r>
        <w:rPr>
          <w:spacing w:val="-3"/>
          <w:sz w:val="19"/>
        </w:rPr>
        <w:t> </w:t>
      </w:r>
      <w:r>
        <w:rPr>
          <w:sz w:val="19"/>
        </w:rPr>
        <w:t>the</w:t>
      </w:r>
      <w:r>
        <w:rPr>
          <w:spacing w:val="-3"/>
          <w:sz w:val="19"/>
        </w:rPr>
        <w:t> </w:t>
      </w:r>
      <w:r>
        <w:rPr>
          <w:sz w:val="19"/>
        </w:rPr>
        <w:t>first</w:t>
      </w:r>
      <w:r>
        <w:rPr>
          <w:spacing w:val="-3"/>
          <w:sz w:val="19"/>
        </w:rPr>
        <w:t> time’.</w:t>
      </w:r>
    </w:p>
    <w:p>
      <w:pPr>
        <w:spacing w:line="208" w:lineRule="auto" w:before="122"/>
        <w:ind w:left="2157" w:right="1202" w:firstLine="0"/>
        <w:jc w:val="left"/>
        <w:rPr>
          <w:sz w:val="19"/>
        </w:rPr>
      </w:pPr>
      <w:r>
        <w:rPr>
          <w:sz w:val="19"/>
        </w:rPr>
        <w:t>Johnston</w:t>
      </w:r>
      <w:r>
        <w:rPr>
          <w:spacing w:val="-4"/>
          <w:sz w:val="19"/>
        </w:rPr>
        <w:t> </w:t>
      </w:r>
      <w:r>
        <w:rPr>
          <w:sz w:val="19"/>
        </w:rPr>
        <w:t>himself</w:t>
      </w:r>
      <w:r>
        <w:rPr>
          <w:spacing w:val="-4"/>
          <w:sz w:val="19"/>
        </w:rPr>
        <w:t> </w:t>
      </w:r>
      <w:r>
        <w:rPr>
          <w:sz w:val="19"/>
        </w:rPr>
        <w:t>said</w:t>
      </w:r>
      <w:r>
        <w:rPr>
          <w:spacing w:val="-4"/>
          <w:sz w:val="19"/>
        </w:rPr>
        <w:t> </w:t>
      </w:r>
      <w:r>
        <w:rPr>
          <w:sz w:val="19"/>
        </w:rPr>
        <w:t>that</w:t>
      </w:r>
      <w:r>
        <w:rPr>
          <w:spacing w:val="-4"/>
          <w:sz w:val="19"/>
        </w:rPr>
        <w:t> </w:t>
      </w:r>
      <w:r>
        <w:rPr>
          <w:sz w:val="19"/>
        </w:rPr>
        <w:t>apart</w:t>
      </w:r>
      <w:r>
        <w:rPr>
          <w:spacing w:val="-4"/>
          <w:sz w:val="19"/>
        </w:rPr>
        <w:t> </w:t>
      </w:r>
      <w:r>
        <w:rPr>
          <w:sz w:val="19"/>
        </w:rPr>
        <w:t>from</w:t>
      </w:r>
      <w:r>
        <w:rPr>
          <w:spacing w:val="-4"/>
          <w:sz w:val="19"/>
        </w:rPr>
        <w:t> </w:t>
      </w:r>
      <w:r>
        <w:rPr>
          <w:sz w:val="19"/>
        </w:rPr>
        <w:t>a</w:t>
      </w:r>
      <w:r>
        <w:rPr>
          <w:spacing w:val="-4"/>
          <w:sz w:val="19"/>
        </w:rPr>
        <w:t> </w:t>
      </w:r>
      <w:r>
        <w:rPr>
          <w:sz w:val="19"/>
        </w:rPr>
        <w:t>couple</w:t>
      </w:r>
      <w:r>
        <w:rPr>
          <w:spacing w:val="-4"/>
          <w:sz w:val="19"/>
        </w:rPr>
        <w:t> </w:t>
      </w:r>
      <w:r>
        <w:rPr>
          <w:sz w:val="19"/>
        </w:rPr>
        <w:t>of</w:t>
      </w:r>
      <w:r>
        <w:rPr>
          <w:spacing w:val="-4"/>
          <w:sz w:val="19"/>
        </w:rPr>
        <w:t> </w:t>
      </w:r>
      <w:r>
        <w:rPr>
          <w:sz w:val="19"/>
        </w:rPr>
        <w:t>small</w:t>
      </w:r>
      <w:r>
        <w:rPr>
          <w:spacing w:val="-4"/>
          <w:sz w:val="19"/>
        </w:rPr>
        <w:t> </w:t>
      </w:r>
      <w:r>
        <w:rPr>
          <w:sz w:val="19"/>
        </w:rPr>
        <w:t>teething</w:t>
      </w:r>
      <w:r>
        <w:rPr>
          <w:spacing w:val="-4"/>
          <w:sz w:val="19"/>
        </w:rPr>
        <w:t> </w:t>
      </w:r>
      <w:r>
        <w:rPr>
          <w:sz w:val="19"/>
        </w:rPr>
        <w:t>issues—his</w:t>
      </w:r>
      <w:r>
        <w:rPr>
          <w:spacing w:val="-4"/>
          <w:sz w:val="19"/>
        </w:rPr>
        <w:t> </w:t>
      </w:r>
      <w:r>
        <w:rPr>
          <w:sz w:val="19"/>
        </w:rPr>
        <w:t>tablet</w:t>
      </w:r>
      <w:r>
        <w:rPr>
          <w:spacing w:val="-4"/>
          <w:sz w:val="19"/>
        </w:rPr>
        <w:t> </w:t>
      </w:r>
      <w:r>
        <w:rPr>
          <w:sz w:val="19"/>
        </w:rPr>
        <w:t>ran out of battery charge at one point, and he also could not hear the announcements in the</w:t>
      </w:r>
      <w:r>
        <w:rPr>
          <w:spacing w:val="-4"/>
          <w:sz w:val="19"/>
        </w:rPr>
        <w:t> </w:t>
      </w:r>
      <w:r>
        <w:rPr>
          <w:sz w:val="19"/>
        </w:rPr>
        <w:t>jury</w:t>
      </w:r>
      <w:r>
        <w:rPr>
          <w:spacing w:val="-3"/>
          <w:sz w:val="19"/>
        </w:rPr>
        <w:t> </w:t>
      </w:r>
      <w:r>
        <w:rPr>
          <w:sz w:val="19"/>
        </w:rPr>
        <w:t>assembly</w:t>
      </w:r>
      <w:r>
        <w:rPr>
          <w:spacing w:val="-4"/>
          <w:sz w:val="19"/>
        </w:rPr>
        <w:t> </w:t>
      </w:r>
      <w:r>
        <w:rPr>
          <w:sz w:val="19"/>
        </w:rPr>
        <w:t>area</w:t>
      </w:r>
      <w:r>
        <w:rPr>
          <w:spacing w:val="-3"/>
          <w:sz w:val="19"/>
        </w:rPr>
        <w:t> </w:t>
      </w:r>
      <w:r>
        <w:rPr>
          <w:sz w:val="19"/>
        </w:rPr>
        <w:t>calling</w:t>
      </w:r>
      <w:r>
        <w:rPr>
          <w:spacing w:val="-3"/>
          <w:sz w:val="19"/>
        </w:rPr>
        <w:t> </w:t>
      </w:r>
      <w:r>
        <w:rPr>
          <w:sz w:val="19"/>
        </w:rPr>
        <w:t>him</w:t>
      </w:r>
      <w:r>
        <w:rPr>
          <w:spacing w:val="-4"/>
          <w:sz w:val="19"/>
        </w:rPr>
        <w:t> </w:t>
      </w:r>
      <w:r>
        <w:rPr>
          <w:sz w:val="19"/>
        </w:rPr>
        <w:t>to</w:t>
      </w:r>
      <w:r>
        <w:rPr>
          <w:spacing w:val="-3"/>
          <w:sz w:val="19"/>
        </w:rPr>
        <w:t> </w:t>
      </w:r>
      <w:r>
        <w:rPr>
          <w:sz w:val="19"/>
        </w:rPr>
        <w:t>court—his</w:t>
      </w:r>
      <w:r>
        <w:rPr>
          <w:spacing w:val="-3"/>
          <w:sz w:val="19"/>
        </w:rPr>
        <w:t> </w:t>
      </w:r>
      <w:r>
        <w:rPr>
          <w:sz w:val="19"/>
        </w:rPr>
        <w:t>time</w:t>
      </w:r>
      <w:r>
        <w:rPr>
          <w:spacing w:val="-4"/>
          <w:sz w:val="19"/>
        </w:rPr>
        <w:t> </w:t>
      </w:r>
      <w:r>
        <w:rPr>
          <w:sz w:val="19"/>
        </w:rPr>
        <w:t>was</w:t>
      </w:r>
      <w:r>
        <w:rPr>
          <w:spacing w:val="-3"/>
          <w:sz w:val="19"/>
        </w:rPr>
        <w:t> </w:t>
      </w:r>
      <w:r>
        <w:rPr>
          <w:sz w:val="19"/>
        </w:rPr>
        <w:t>entirely</w:t>
      </w:r>
      <w:r>
        <w:rPr>
          <w:spacing w:val="-3"/>
          <w:sz w:val="19"/>
        </w:rPr>
        <w:t> </w:t>
      </w:r>
      <w:r>
        <w:rPr>
          <w:sz w:val="19"/>
        </w:rPr>
        <w:t>fulfilling.</w:t>
      </w:r>
    </w:p>
    <w:p>
      <w:pPr>
        <w:spacing w:line="208" w:lineRule="auto" w:before="122"/>
        <w:ind w:left="2157" w:right="1335" w:firstLine="0"/>
        <w:jc w:val="left"/>
        <w:rPr>
          <w:sz w:val="11"/>
        </w:rPr>
      </w:pPr>
      <w:r>
        <w:rPr>
          <w:sz w:val="19"/>
        </w:rPr>
        <w:t>‘It worked. It can be done,’ he said. ‘It means that more people with hearing impairments can go on a jury. You’ve got a bigger pool to select.’</w:t>
      </w:r>
      <w:r>
        <w:rPr>
          <w:position w:val="6"/>
          <w:sz w:val="11"/>
        </w:rPr>
        <w:t>95</w:t>
      </w:r>
    </w:p>
    <w:p>
      <w:pPr>
        <w:pStyle w:val="BodyText"/>
        <w:spacing w:before="6"/>
        <w:rPr>
          <w:sz w:val="16"/>
        </w:rPr>
      </w:pPr>
    </w:p>
    <w:p>
      <w:pPr>
        <w:spacing w:before="0"/>
        <w:ind w:left="967" w:right="0" w:firstLine="0"/>
        <w:jc w:val="left"/>
        <w:rPr>
          <w:rFonts w:ascii="Raleway ExtraBold"/>
          <w:b/>
          <w:sz w:val="28"/>
        </w:rPr>
      </w:pPr>
      <w:r>
        <w:rPr>
          <w:rFonts w:ascii="Raleway ExtraBold"/>
          <w:b/>
          <w:color w:val="37617A"/>
          <w:sz w:val="28"/>
        </w:rPr>
        <w:t>Inclusive juries in New Zealand</w:t>
      </w:r>
    </w:p>
    <w:p>
      <w:pPr>
        <w:pStyle w:val="BodyText"/>
        <w:spacing w:before="7"/>
        <w:rPr>
          <w:rFonts w:ascii="Raleway ExtraBold"/>
          <w:b/>
          <w:sz w:val="15"/>
        </w:rPr>
      </w:pPr>
      <w:r>
        <w:rPr/>
        <w:pict>
          <v:line style="position:absolute;mso-position-horizontal-relative:page;mso-position-vertical-relative:paragraph;z-index:6296;mso-wrap-distance-left:0;mso-wrap-distance-right:0" from="79.370102pt,13.00494pt" to="515.905102pt,13.00494pt" stroked="true" strokeweight=".5pt" strokecolor="#8f9dad">
            <v:stroke dashstyle="solid"/>
            <w10:wrap type="topAndBottom"/>
          </v:line>
        </w:pict>
      </w:r>
    </w:p>
    <w:p>
      <w:pPr>
        <w:spacing w:line="247" w:lineRule="auto" w:before="223"/>
        <w:ind w:left="1882" w:right="1548" w:hanging="89"/>
        <w:jc w:val="left"/>
        <w:rPr>
          <w:rFonts w:ascii="Trebuchet MS"/>
          <w:i/>
          <w:sz w:val="11"/>
        </w:rPr>
      </w:pPr>
      <w:r>
        <w:rPr>
          <w:rFonts w:ascii="Trebuchet MS"/>
          <w:i/>
          <w:color w:val="37617A"/>
          <w:w w:val="107"/>
          <w:sz w:val="20"/>
        </w:rPr>
        <w:t>O</w:t>
      </w:r>
      <w:r>
        <w:rPr>
          <w:rFonts w:ascii="Trebuchet MS"/>
          <w:i/>
          <w:color w:val="37617A"/>
          <w:spacing w:val="-3"/>
          <w:w w:val="103"/>
          <w:sz w:val="20"/>
        </w:rPr>
        <w:t>v</w:t>
      </w:r>
      <w:r>
        <w:rPr>
          <w:rFonts w:ascii="Trebuchet MS"/>
          <w:i/>
          <w:color w:val="37617A"/>
          <w:spacing w:val="1"/>
          <w:w w:val="100"/>
          <w:sz w:val="20"/>
        </w:rPr>
        <w:t>e</w:t>
      </w:r>
      <w:r>
        <w:rPr>
          <w:rFonts w:ascii="Trebuchet MS"/>
          <w:i/>
          <w:color w:val="37617A"/>
          <w:spacing w:val="-3"/>
          <w:w w:val="84"/>
          <w:sz w:val="20"/>
        </w:rPr>
        <w:t>r</w:t>
      </w:r>
      <w:r>
        <w:rPr>
          <w:rFonts w:ascii="Trebuchet MS"/>
          <w:i/>
          <w:color w:val="37617A"/>
          <w:w w:val="115"/>
          <w:sz w:val="20"/>
        </w:rPr>
        <w:t>a</w:t>
      </w:r>
      <w:r>
        <w:rPr>
          <w:rFonts w:ascii="Trebuchet MS"/>
          <w:i/>
          <w:color w:val="37617A"/>
          <w:spacing w:val="-2"/>
          <w:w w:val="87"/>
          <w:sz w:val="20"/>
        </w:rPr>
        <w:t>l</w:t>
      </w:r>
      <w:r>
        <w:rPr>
          <w:rFonts w:ascii="Trebuchet MS"/>
          <w:i/>
          <w:color w:val="37617A"/>
          <w:spacing w:val="3"/>
          <w:w w:val="87"/>
          <w:sz w:val="20"/>
        </w:rPr>
        <w:t>l</w:t>
      </w:r>
      <w:r>
        <w:rPr>
          <w:rFonts w:ascii="Trebuchet MS"/>
          <w:i/>
          <w:color w:val="37617A"/>
          <w:w w:val="56"/>
          <w:sz w:val="20"/>
        </w:rPr>
        <w:t>,</w:t>
      </w:r>
      <w:r>
        <w:rPr>
          <w:rFonts w:ascii="Trebuchet MS"/>
          <w:i/>
          <w:color w:val="37617A"/>
          <w:spacing w:val="-13"/>
          <w:sz w:val="20"/>
        </w:rPr>
        <w:t> </w:t>
      </w:r>
      <w:r>
        <w:rPr>
          <w:rFonts w:ascii="Trebuchet MS"/>
          <w:i/>
          <w:color w:val="37617A"/>
          <w:spacing w:val="-1"/>
          <w:w w:val="80"/>
          <w:sz w:val="20"/>
        </w:rPr>
        <w:t>t</w:t>
      </w:r>
      <w:r>
        <w:rPr>
          <w:rFonts w:ascii="Trebuchet MS"/>
          <w:i/>
          <w:color w:val="37617A"/>
          <w:w w:val="101"/>
          <w:sz w:val="20"/>
        </w:rPr>
        <w:t>h</w:t>
      </w:r>
      <w:r>
        <w:rPr>
          <w:rFonts w:ascii="Trebuchet MS"/>
          <w:i/>
          <w:color w:val="37617A"/>
          <w:spacing w:val="1"/>
          <w:w w:val="100"/>
          <w:sz w:val="20"/>
        </w:rPr>
        <w:t>e</w:t>
      </w:r>
      <w:r>
        <w:rPr>
          <w:rFonts w:ascii="Trebuchet MS"/>
          <w:i/>
          <w:color w:val="37617A"/>
          <w:spacing w:val="-4"/>
          <w:w w:val="84"/>
          <w:sz w:val="20"/>
        </w:rPr>
        <w:t>r</w:t>
      </w:r>
      <w:r>
        <w:rPr>
          <w:rFonts w:ascii="Trebuchet MS"/>
          <w:i/>
          <w:color w:val="37617A"/>
          <w:w w:val="100"/>
          <w:sz w:val="20"/>
        </w:rPr>
        <w:t>e</w:t>
      </w:r>
      <w:r>
        <w:rPr>
          <w:rFonts w:ascii="Trebuchet MS"/>
          <w:i/>
          <w:color w:val="37617A"/>
          <w:spacing w:val="-13"/>
          <w:sz w:val="20"/>
        </w:rPr>
        <w:t> </w:t>
      </w:r>
      <w:r>
        <w:rPr>
          <w:rFonts w:ascii="Trebuchet MS"/>
          <w:i/>
          <w:color w:val="37617A"/>
          <w:w w:val="73"/>
          <w:sz w:val="20"/>
        </w:rPr>
        <w:t>i</w:t>
      </w:r>
      <w:r>
        <w:rPr>
          <w:rFonts w:ascii="Trebuchet MS"/>
          <w:i/>
          <w:color w:val="37617A"/>
          <w:w w:val="117"/>
          <w:sz w:val="20"/>
        </w:rPr>
        <w:t>s</w:t>
      </w:r>
      <w:r>
        <w:rPr>
          <w:rFonts w:ascii="Trebuchet MS"/>
          <w:i/>
          <w:color w:val="37617A"/>
          <w:spacing w:val="-13"/>
          <w:sz w:val="20"/>
        </w:rPr>
        <w:t> </w:t>
      </w:r>
      <w:r>
        <w:rPr>
          <w:rFonts w:ascii="Trebuchet MS"/>
          <w:i/>
          <w:color w:val="37617A"/>
          <w:w w:val="115"/>
          <w:sz w:val="20"/>
        </w:rPr>
        <w:t>a</w:t>
      </w:r>
      <w:r>
        <w:rPr>
          <w:rFonts w:ascii="Trebuchet MS"/>
          <w:i/>
          <w:color w:val="37617A"/>
          <w:spacing w:val="-13"/>
          <w:sz w:val="20"/>
        </w:rPr>
        <w:t> </w:t>
      </w:r>
      <w:r>
        <w:rPr>
          <w:rFonts w:ascii="Trebuchet MS"/>
          <w:i/>
          <w:color w:val="37617A"/>
          <w:w w:val="107"/>
          <w:sz w:val="20"/>
        </w:rPr>
        <w:t>b</w:t>
      </w:r>
      <w:r>
        <w:rPr>
          <w:rFonts w:ascii="Trebuchet MS"/>
          <w:i/>
          <w:color w:val="37617A"/>
          <w:w w:val="100"/>
          <w:sz w:val="20"/>
        </w:rPr>
        <w:t>e</w:t>
      </w:r>
      <w:r>
        <w:rPr>
          <w:rFonts w:ascii="Trebuchet MS"/>
          <w:i/>
          <w:color w:val="37617A"/>
          <w:spacing w:val="-1"/>
          <w:w w:val="117"/>
          <w:sz w:val="20"/>
        </w:rPr>
        <w:t>s</w:t>
      </w:r>
      <w:r>
        <w:rPr>
          <w:rFonts w:ascii="Trebuchet MS"/>
          <w:i/>
          <w:color w:val="37617A"/>
          <w:w w:val="107"/>
          <w:sz w:val="20"/>
        </w:rPr>
        <w:t>p</w:t>
      </w:r>
      <w:r>
        <w:rPr>
          <w:rFonts w:ascii="Trebuchet MS"/>
          <w:i/>
          <w:color w:val="37617A"/>
          <w:w w:val="107"/>
          <w:sz w:val="20"/>
        </w:rPr>
        <w:t>o</w:t>
      </w:r>
      <w:r>
        <w:rPr>
          <w:rFonts w:ascii="Trebuchet MS"/>
          <w:i/>
          <w:color w:val="37617A"/>
          <w:spacing w:val="-1"/>
          <w:w w:val="103"/>
          <w:sz w:val="20"/>
        </w:rPr>
        <w:t>k</w:t>
      </w:r>
      <w:r>
        <w:rPr>
          <w:rFonts w:ascii="Trebuchet MS"/>
          <w:i/>
          <w:color w:val="37617A"/>
          <w:w w:val="103"/>
          <w:sz w:val="20"/>
        </w:rPr>
        <w:t>e</w:t>
      </w:r>
      <w:r>
        <w:rPr>
          <w:rFonts w:ascii="Trebuchet MS"/>
          <w:i/>
          <w:color w:val="37617A"/>
          <w:spacing w:val="-13"/>
          <w:sz w:val="20"/>
        </w:rPr>
        <w:t> </w:t>
      </w:r>
      <w:r>
        <w:rPr>
          <w:rFonts w:ascii="Trebuchet MS"/>
          <w:i/>
          <w:color w:val="37617A"/>
          <w:w w:val="115"/>
          <w:sz w:val="20"/>
        </w:rPr>
        <w:t>a</w:t>
      </w:r>
      <w:r>
        <w:rPr>
          <w:rFonts w:ascii="Trebuchet MS"/>
          <w:i/>
          <w:color w:val="37617A"/>
          <w:w w:val="107"/>
          <w:sz w:val="20"/>
        </w:rPr>
        <w:t>pp</w:t>
      </w:r>
      <w:r>
        <w:rPr>
          <w:rFonts w:ascii="Trebuchet MS"/>
          <w:i/>
          <w:color w:val="37617A"/>
          <w:spacing w:val="-4"/>
          <w:w w:val="84"/>
          <w:sz w:val="20"/>
        </w:rPr>
        <w:t>r</w:t>
      </w:r>
      <w:r>
        <w:rPr>
          <w:rFonts w:ascii="Trebuchet MS"/>
          <w:i/>
          <w:color w:val="37617A"/>
          <w:spacing w:val="1"/>
          <w:w w:val="107"/>
          <w:sz w:val="20"/>
        </w:rPr>
        <w:t>o</w:t>
      </w:r>
      <w:r>
        <w:rPr>
          <w:rFonts w:ascii="Trebuchet MS"/>
          <w:i/>
          <w:color w:val="37617A"/>
          <w:spacing w:val="-1"/>
          <w:w w:val="115"/>
          <w:sz w:val="20"/>
        </w:rPr>
        <w:t>a</w:t>
      </w:r>
      <w:r>
        <w:rPr>
          <w:rFonts w:ascii="Trebuchet MS"/>
          <w:i/>
          <w:color w:val="37617A"/>
          <w:w w:val="115"/>
          <w:sz w:val="20"/>
        </w:rPr>
        <w:t>c</w:t>
      </w:r>
      <w:r>
        <w:rPr>
          <w:rFonts w:ascii="Trebuchet MS"/>
          <w:i/>
          <w:color w:val="37617A"/>
          <w:w w:val="101"/>
          <w:sz w:val="20"/>
        </w:rPr>
        <w:t>h</w:t>
      </w:r>
      <w:r>
        <w:rPr>
          <w:rFonts w:ascii="Trebuchet MS"/>
          <w:i/>
          <w:color w:val="37617A"/>
          <w:spacing w:val="-13"/>
          <w:sz w:val="20"/>
        </w:rPr>
        <w:t> </w:t>
      </w:r>
      <w:r>
        <w:rPr>
          <w:rFonts w:ascii="Trebuchet MS"/>
          <w:i/>
          <w:color w:val="37617A"/>
          <w:spacing w:val="-4"/>
          <w:w w:val="80"/>
          <w:sz w:val="20"/>
        </w:rPr>
        <w:t>t</w:t>
      </w:r>
      <w:r>
        <w:rPr>
          <w:rFonts w:ascii="Trebuchet MS"/>
          <w:i/>
          <w:color w:val="37617A"/>
          <w:w w:val="107"/>
          <w:sz w:val="20"/>
        </w:rPr>
        <w:t>o</w:t>
      </w:r>
      <w:r>
        <w:rPr>
          <w:rFonts w:ascii="Trebuchet MS"/>
          <w:i/>
          <w:color w:val="37617A"/>
          <w:spacing w:val="-13"/>
          <w:sz w:val="20"/>
        </w:rPr>
        <w:t> </w:t>
      </w:r>
      <w:r>
        <w:rPr>
          <w:rFonts w:ascii="Trebuchet MS"/>
          <w:i/>
          <w:color w:val="37617A"/>
          <w:spacing w:val="-1"/>
          <w:w w:val="80"/>
          <w:sz w:val="20"/>
        </w:rPr>
        <w:t>t</w:t>
      </w:r>
      <w:r>
        <w:rPr>
          <w:rFonts w:ascii="Trebuchet MS"/>
          <w:i/>
          <w:color w:val="37617A"/>
          <w:w w:val="101"/>
          <w:sz w:val="20"/>
        </w:rPr>
        <w:t>h</w:t>
      </w:r>
      <w:r>
        <w:rPr>
          <w:rFonts w:ascii="Trebuchet MS"/>
          <w:i/>
          <w:color w:val="37617A"/>
          <w:w w:val="100"/>
          <w:sz w:val="20"/>
        </w:rPr>
        <w:t>e</w:t>
      </w:r>
      <w:r>
        <w:rPr>
          <w:rFonts w:ascii="Trebuchet MS"/>
          <w:i/>
          <w:color w:val="37617A"/>
          <w:spacing w:val="-13"/>
          <w:sz w:val="20"/>
        </w:rPr>
        <w:t> </w:t>
      </w:r>
      <w:r>
        <w:rPr>
          <w:rFonts w:ascii="Trebuchet MS"/>
          <w:i/>
          <w:color w:val="37617A"/>
          <w:w w:val="107"/>
          <w:sz w:val="20"/>
        </w:rPr>
        <w:t>p</w:t>
      </w:r>
      <w:r>
        <w:rPr>
          <w:rFonts w:ascii="Trebuchet MS"/>
          <w:i/>
          <w:color w:val="37617A"/>
          <w:spacing w:val="-4"/>
          <w:w w:val="84"/>
          <w:sz w:val="20"/>
        </w:rPr>
        <w:t>r</w:t>
      </w:r>
      <w:r>
        <w:rPr>
          <w:rFonts w:ascii="Trebuchet MS"/>
          <w:i/>
          <w:color w:val="37617A"/>
          <w:spacing w:val="-3"/>
          <w:w w:val="107"/>
          <w:sz w:val="20"/>
        </w:rPr>
        <w:t>o</w:t>
      </w:r>
      <w:r>
        <w:rPr>
          <w:rFonts w:ascii="Trebuchet MS"/>
          <w:i/>
          <w:color w:val="37617A"/>
          <w:spacing w:val="-3"/>
          <w:w w:val="103"/>
          <w:sz w:val="20"/>
        </w:rPr>
        <w:t>v</w:t>
      </w:r>
      <w:r>
        <w:rPr>
          <w:rFonts w:ascii="Trebuchet MS"/>
          <w:i/>
          <w:color w:val="37617A"/>
          <w:w w:val="73"/>
          <w:sz w:val="20"/>
        </w:rPr>
        <w:t>i</w:t>
      </w:r>
      <w:r>
        <w:rPr>
          <w:rFonts w:ascii="Trebuchet MS"/>
          <w:i/>
          <w:color w:val="37617A"/>
          <w:spacing w:val="-1"/>
          <w:w w:val="117"/>
          <w:sz w:val="20"/>
        </w:rPr>
        <w:t>s</w:t>
      </w:r>
      <w:r>
        <w:rPr>
          <w:rFonts w:ascii="Trebuchet MS"/>
          <w:i/>
          <w:color w:val="37617A"/>
          <w:w w:val="73"/>
          <w:sz w:val="20"/>
        </w:rPr>
        <w:t>i</w:t>
      </w:r>
      <w:r>
        <w:rPr>
          <w:rFonts w:ascii="Trebuchet MS"/>
          <w:i/>
          <w:color w:val="37617A"/>
          <w:w w:val="107"/>
          <w:sz w:val="20"/>
        </w:rPr>
        <w:t>o</w:t>
      </w:r>
      <w:r>
        <w:rPr>
          <w:rFonts w:ascii="Trebuchet MS"/>
          <w:i/>
          <w:color w:val="37617A"/>
          <w:w w:val="103"/>
          <w:sz w:val="20"/>
        </w:rPr>
        <w:t>n</w:t>
      </w:r>
      <w:r>
        <w:rPr>
          <w:rFonts w:ascii="Trebuchet MS"/>
          <w:i/>
          <w:color w:val="37617A"/>
          <w:spacing w:val="-13"/>
          <w:sz w:val="20"/>
        </w:rPr>
        <w:t> </w:t>
      </w:r>
      <w:r>
        <w:rPr>
          <w:rFonts w:ascii="Trebuchet MS"/>
          <w:i/>
          <w:color w:val="37617A"/>
          <w:spacing w:val="-2"/>
          <w:w w:val="107"/>
          <w:sz w:val="20"/>
        </w:rPr>
        <w:t>o</w:t>
      </w:r>
      <w:r>
        <w:rPr>
          <w:rFonts w:ascii="Trebuchet MS"/>
          <w:i/>
          <w:color w:val="37617A"/>
          <w:w w:val="83"/>
          <w:sz w:val="20"/>
        </w:rPr>
        <w:t>f</w:t>
      </w:r>
      <w:r>
        <w:rPr>
          <w:rFonts w:ascii="Trebuchet MS"/>
          <w:i/>
          <w:color w:val="37617A"/>
          <w:spacing w:val="-13"/>
          <w:sz w:val="20"/>
        </w:rPr>
        <w:t> </w:t>
      </w:r>
      <w:r>
        <w:rPr>
          <w:rFonts w:ascii="Trebuchet MS"/>
          <w:i/>
          <w:color w:val="37617A"/>
          <w:spacing w:val="-1"/>
          <w:w w:val="117"/>
          <w:sz w:val="20"/>
        </w:rPr>
        <w:t>s</w:t>
      </w:r>
      <w:r>
        <w:rPr>
          <w:rFonts w:ascii="Trebuchet MS"/>
          <w:i/>
          <w:color w:val="37617A"/>
          <w:w w:val="103"/>
          <w:sz w:val="20"/>
        </w:rPr>
        <w:t>u</w:t>
      </w:r>
      <w:r>
        <w:rPr>
          <w:rFonts w:ascii="Trebuchet MS"/>
          <w:i/>
          <w:color w:val="37617A"/>
          <w:w w:val="107"/>
          <w:sz w:val="20"/>
        </w:rPr>
        <w:t>pp</w:t>
      </w:r>
      <w:r>
        <w:rPr>
          <w:rFonts w:ascii="Trebuchet MS"/>
          <w:i/>
          <w:color w:val="37617A"/>
          <w:w w:val="107"/>
          <w:sz w:val="20"/>
        </w:rPr>
        <w:t>o</w:t>
      </w:r>
      <w:r>
        <w:rPr>
          <w:rFonts w:ascii="Trebuchet MS"/>
          <w:i/>
          <w:color w:val="37617A"/>
          <w:spacing w:val="2"/>
          <w:w w:val="84"/>
          <w:sz w:val="20"/>
        </w:rPr>
        <w:t>r</w:t>
      </w:r>
      <w:r>
        <w:rPr>
          <w:rFonts w:ascii="Trebuchet MS"/>
          <w:i/>
          <w:color w:val="37617A"/>
          <w:spacing w:val="2"/>
          <w:w w:val="80"/>
          <w:sz w:val="20"/>
        </w:rPr>
        <w:t>t</w:t>
      </w:r>
      <w:r>
        <w:rPr>
          <w:rFonts w:ascii="Trebuchet MS"/>
          <w:i/>
          <w:color w:val="37617A"/>
          <w:spacing w:val="3"/>
          <w:w w:val="117"/>
          <w:sz w:val="20"/>
        </w:rPr>
        <w:t>s</w:t>
      </w:r>
      <w:r>
        <w:rPr>
          <w:rFonts w:ascii="Trebuchet MS"/>
          <w:i/>
          <w:color w:val="37617A"/>
          <w:w w:val="54"/>
          <w:sz w:val="20"/>
        </w:rPr>
        <w:t>.</w:t>
      </w:r>
      <w:r>
        <w:rPr>
          <w:rFonts w:ascii="Trebuchet MS"/>
          <w:i/>
          <w:color w:val="37617A"/>
          <w:spacing w:val="-13"/>
          <w:sz w:val="20"/>
        </w:rPr>
        <w:t> </w:t>
      </w:r>
      <w:r>
        <w:rPr>
          <w:rFonts w:ascii="Trebuchet MS"/>
          <w:i/>
          <w:color w:val="37617A"/>
          <w:spacing w:val="-2"/>
          <w:w w:val="100"/>
          <w:sz w:val="20"/>
        </w:rPr>
        <w:t>T</w:t>
      </w:r>
      <w:r>
        <w:rPr>
          <w:rFonts w:ascii="Trebuchet MS"/>
          <w:i/>
          <w:color w:val="37617A"/>
          <w:w w:val="101"/>
          <w:sz w:val="20"/>
        </w:rPr>
        <w:t>h</w:t>
      </w:r>
      <w:r>
        <w:rPr>
          <w:rFonts w:ascii="Trebuchet MS"/>
          <w:i/>
          <w:color w:val="37617A"/>
          <w:w w:val="100"/>
          <w:sz w:val="20"/>
        </w:rPr>
        <w:t>e</w:t>
      </w:r>
      <w:r>
        <w:rPr>
          <w:rFonts w:ascii="Trebuchet MS"/>
          <w:i/>
          <w:color w:val="37617A"/>
          <w:spacing w:val="-13"/>
          <w:sz w:val="20"/>
        </w:rPr>
        <w:t> </w:t>
      </w:r>
      <w:r>
        <w:rPr>
          <w:rFonts w:ascii="Trebuchet MS"/>
          <w:i/>
          <w:color w:val="37617A"/>
          <w:w w:val="63"/>
          <w:sz w:val="20"/>
        </w:rPr>
        <w:t>j</w:t>
      </w:r>
      <w:r>
        <w:rPr>
          <w:rFonts w:ascii="Trebuchet MS"/>
          <w:i/>
          <w:color w:val="37617A"/>
          <w:w w:val="103"/>
          <w:sz w:val="20"/>
        </w:rPr>
        <w:t>u</w:t>
      </w:r>
      <w:r>
        <w:rPr>
          <w:rFonts w:ascii="Trebuchet MS"/>
          <w:i/>
          <w:color w:val="37617A"/>
          <w:spacing w:val="-4"/>
          <w:w w:val="84"/>
          <w:sz w:val="20"/>
        </w:rPr>
        <w:t>r</w:t>
      </w:r>
      <w:r>
        <w:rPr>
          <w:rFonts w:ascii="Trebuchet MS"/>
          <w:i/>
          <w:color w:val="37617A"/>
          <w:w w:val="107"/>
          <w:sz w:val="20"/>
        </w:rPr>
        <w:t>o</w:t>
      </w:r>
      <w:r>
        <w:rPr>
          <w:rFonts w:ascii="Trebuchet MS"/>
          <w:i/>
          <w:color w:val="37617A"/>
          <w:w w:val="84"/>
          <w:sz w:val="20"/>
        </w:rPr>
        <w:t>r</w:t>
      </w:r>
      <w:r>
        <w:rPr>
          <w:rFonts w:ascii="Trebuchet MS"/>
          <w:i/>
          <w:color w:val="37617A"/>
          <w:spacing w:val="-13"/>
          <w:sz w:val="20"/>
        </w:rPr>
        <w:t> </w:t>
      </w:r>
      <w:r>
        <w:rPr>
          <w:rFonts w:ascii="Trebuchet MS"/>
          <w:i/>
          <w:color w:val="37617A"/>
          <w:spacing w:val="-3"/>
          <w:w w:val="103"/>
          <w:sz w:val="20"/>
        </w:rPr>
        <w:t>w</w:t>
      </w:r>
      <w:r>
        <w:rPr>
          <w:rFonts w:ascii="Trebuchet MS"/>
          <w:i/>
          <w:color w:val="37617A"/>
          <w:spacing w:val="-1"/>
          <w:w w:val="73"/>
          <w:sz w:val="20"/>
        </w:rPr>
        <w:t>i</w:t>
      </w:r>
      <w:r>
        <w:rPr>
          <w:rFonts w:ascii="Trebuchet MS"/>
          <w:i/>
          <w:color w:val="37617A"/>
          <w:spacing w:val="-2"/>
          <w:w w:val="87"/>
          <w:sz w:val="20"/>
        </w:rPr>
        <w:t>l</w:t>
      </w:r>
      <w:r>
        <w:rPr>
          <w:rFonts w:ascii="Trebuchet MS"/>
          <w:i/>
          <w:color w:val="37617A"/>
          <w:w w:val="87"/>
          <w:sz w:val="20"/>
        </w:rPr>
        <w:t>l</w:t>
      </w:r>
      <w:r>
        <w:rPr>
          <w:rFonts w:ascii="Trebuchet MS"/>
          <w:i/>
          <w:color w:val="37617A"/>
          <w:w w:val="87"/>
          <w:sz w:val="20"/>
        </w:rPr>
        <w:t> </w:t>
      </w:r>
      <w:r>
        <w:rPr>
          <w:rFonts w:ascii="Trebuchet MS"/>
          <w:i/>
          <w:color w:val="37617A"/>
          <w:spacing w:val="-2"/>
          <w:w w:val="100"/>
          <w:sz w:val="20"/>
        </w:rPr>
        <w:t>e</w:t>
      </w:r>
      <w:r>
        <w:rPr>
          <w:rFonts w:ascii="Trebuchet MS"/>
          <w:i/>
          <w:color w:val="37617A"/>
          <w:spacing w:val="-2"/>
          <w:w w:val="98"/>
          <w:sz w:val="20"/>
        </w:rPr>
        <w:t>x</w:t>
      </w:r>
      <w:r>
        <w:rPr>
          <w:rFonts w:ascii="Trebuchet MS"/>
          <w:i/>
          <w:color w:val="37617A"/>
          <w:w w:val="107"/>
          <w:sz w:val="20"/>
        </w:rPr>
        <w:t>p</w:t>
      </w:r>
      <w:r>
        <w:rPr>
          <w:rFonts w:ascii="Trebuchet MS"/>
          <w:i/>
          <w:color w:val="37617A"/>
          <w:spacing w:val="-4"/>
          <w:w w:val="84"/>
          <w:sz w:val="20"/>
        </w:rPr>
        <w:t>r</w:t>
      </w:r>
      <w:r>
        <w:rPr>
          <w:rFonts w:ascii="Trebuchet MS"/>
          <w:i/>
          <w:color w:val="37617A"/>
          <w:w w:val="100"/>
          <w:sz w:val="20"/>
        </w:rPr>
        <w:t>e</w:t>
      </w:r>
      <w:r>
        <w:rPr>
          <w:rFonts w:ascii="Trebuchet MS"/>
          <w:i/>
          <w:color w:val="37617A"/>
          <w:w w:val="117"/>
          <w:sz w:val="20"/>
        </w:rPr>
        <w:t>ss</w:t>
      </w:r>
      <w:r>
        <w:rPr>
          <w:rFonts w:ascii="Trebuchet MS"/>
          <w:i/>
          <w:color w:val="37617A"/>
          <w:spacing w:val="-13"/>
          <w:sz w:val="20"/>
        </w:rPr>
        <w:t> </w:t>
      </w:r>
      <w:r>
        <w:rPr>
          <w:rFonts w:ascii="Trebuchet MS"/>
          <w:i/>
          <w:color w:val="37617A"/>
          <w:spacing w:val="-1"/>
          <w:w w:val="80"/>
          <w:sz w:val="20"/>
        </w:rPr>
        <w:t>t</w:t>
      </w:r>
      <w:r>
        <w:rPr>
          <w:rFonts w:ascii="Trebuchet MS"/>
          <w:i/>
          <w:color w:val="37617A"/>
          <w:w w:val="101"/>
          <w:sz w:val="20"/>
        </w:rPr>
        <w:t>h</w:t>
      </w:r>
      <w:r>
        <w:rPr>
          <w:rFonts w:ascii="Trebuchet MS"/>
          <w:i/>
          <w:color w:val="37617A"/>
          <w:spacing w:val="1"/>
          <w:w w:val="100"/>
          <w:sz w:val="20"/>
        </w:rPr>
        <w:t>e</w:t>
      </w:r>
      <w:r>
        <w:rPr>
          <w:rFonts w:ascii="Trebuchet MS"/>
          <w:i/>
          <w:color w:val="37617A"/>
          <w:w w:val="73"/>
          <w:sz w:val="20"/>
        </w:rPr>
        <w:t>i</w:t>
      </w:r>
      <w:r>
        <w:rPr>
          <w:rFonts w:ascii="Trebuchet MS"/>
          <w:i/>
          <w:color w:val="37617A"/>
          <w:w w:val="84"/>
          <w:sz w:val="20"/>
        </w:rPr>
        <w:t>r</w:t>
      </w:r>
      <w:r>
        <w:rPr>
          <w:rFonts w:ascii="Trebuchet MS"/>
          <w:i/>
          <w:color w:val="37617A"/>
          <w:spacing w:val="-13"/>
          <w:sz w:val="20"/>
        </w:rPr>
        <w:t> </w:t>
      </w:r>
      <w:r>
        <w:rPr>
          <w:rFonts w:ascii="Trebuchet MS"/>
          <w:i/>
          <w:color w:val="37617A"/>
          <w:w w:val="103"/>
          <w:sz w:val="20"/>
        </w:rPr>
        <w:t>n</w:t>
      </w:r>
      <w:r>
        <w:rPr>
          <w:rFonts w:ascii="Trebuchet MS"/>
          <w:i/>
          <w:color w:val="37617A"/>
          <w:w w:val="100"/>
          <w:sz w:val="20"/>
        </w:rPr>
        <w:t>ee</w:t>
      </w:r>
      <w:r>
        <w:rPr>
          <w:rFonts w:ascii="Trebuchet MS"/>
          <w:i/>
          <w:color w:val="37617A"/>
          <w:w w:val="108"/>
          <w:sz w:val="20"/>
        </w:rPr>
        <w:t>d</w:t>
      </w:r>
      <w:r>
        <w:rPr>
          <w:rFonts w:ascii="Trebuchet MS"/>
          <w:i/>
          <w:color w:val="37617A"/>
          <w:w w:val="117"/>
          <w:sz w:val="20"/>
        </w:rPr>
        <w:t>s</w:t>
      </w:r>
      <w:r>
        <w:rPr>
          <w:rFonts w:ascii="Trebuchet MS"/>
          <w:i/>
          <w:color w:val="37617A"/>
          <w:spacing w:val="-13"/>
          <w:sz w:val="20"/>
        </w:rPr>
        <w:t> </w:t>
      </w:r>
      <w:r>
        <w:rPr>
          <w:rFonts w:ascii="Trebuchet MS"/>
          <w:i/>
          <w:color w:val="37617A"/>
          <w:w w:val="115"/>
          <w:sz w:val="20"/>
        </w:rPr>
        <w:t>a</w:t>
      </w:r>
      <w:r>
        <w:rPr>
          <w:rFonts w:ascii="Trebuchet MS"/>
          <w:i/>
          <w:color w:val="37617A"/>
          <w:w w:val="103"/>
          <w:sz w:val="20"/>
        </w:rPr>
        <w:t>n</w:t>
      </w:r>
      <w:r>
        <w:rPr>
          <w:rFonts w:ascii="Trebuchet MS"/>
          <w:i/>
          <w:color w:val="37617A"/>
          <w:w w:val="108"/>
          <w:sz w:val="20"/>
        </w:rPr>
        <w:t>d</w:t>
      </w:r>
      <w:r>
        <w:rPr>
          <w:rFonts w:ascii="Trebuchet MS"/>
          <w:i/>
          <w:color w:val="37617A"/>
          <w:spacing w:val="-13"/>
          <w:sz w:val="20"/>
        </w:rPr>
        <w:t> </w:t>
      </w:r>
      <w:r>
        <w:rPr>
          <w:rFonts w:ascii="Trebuchet MS"/>
          <w:i/>
          <w:color w:val="37617A"/>
          <w:spacing w:val="-1"/>
          <w:w w:val="80"/>
          <w:sz w:val="20"/>
        </w:rPr>
        <w:t>t</w:t>
      </w:r>
      <w:r>
        <w:rPr>
          <w:rFonts w:ascii="Trebuchet MS"/>
          <w:i/>
          <w:color w:val="37617A"/>
          <w:w w:val="101"/>
          <w:sz w:val="20"/>
        </w:rPr>
        <w:t>h</w:t>
      </w:r>
      <w:r>
        <w:rPr>
          <w:rFonts w:ascii="Trebuchet MS"/>
          <w:i/>
          <w:color w:val="37617A"/>
          <w:w w:val="100"/>
          <w:sz w:val="20"/>
        </w:rPr>
        <w:t>e</w:t>
      </w:r>
      <w:r>
        <w:rPr>
          <w:rFonts w:ascii="Trebuchet MS"/>
          <w:i/>
          <w:color w:val="37617A"/>
          <w:spacing w:val="-13"/>
          <w:sz w:val="20"/>
        </w:rPr>
        <w:t> </w:t>
      </w:r>
      <w:r>
        <w:rPr>
          <w:rFonts w:ascii="Trebuchet MS"/>
          <w:i/>
          <w:color w:val="37617A"/>
          <w:spacing w:val="-1"/>
          <w:w w:val="115"/>
          <w:sz w:val="20"/>
        </w:rPr>
        <w:t>c</w:t>
      </w:r>
      <w:r>
        <w:rPr>
          <w:rFonts w:ascii="Trebuchet MS"/>
          <w:i/>
          <w:color w:val="37617A"/>
          <w:w w:val="107"/>
          <w:sz w:val="20"/>
        </w:rPr>
        <w:t>o</w:t>
      </w:r>
      <w:r>
        <w:rPr>
          <w:rFonts w:ascii="Trebuchet MS"/>
          <w:i/>
          <w:color w:val="37617A"/>
          <w:w w:val="103"/>
          <w:sz w:val="20"/>
        </w:rPr>
        <w:t>u</w:t>
      </w:r>
      <w:r>
        <w:rPr>
          <w:rFonts w:ascii="Trebuchet MS"/>
          <w:i/>
          <w:color w:val="37617A"/>
          <w:spacing w:val="2"/>
          <w:w w:val="84"/>
          <w:sz w:val="20"/>
        </w:rPr>
        <w:t>r</w:t>
      </w:r>
      <w:r>
        <w:rPr>
          <w:rFonts w:ascii="Trebuchet MS"/>
          <w:i/>
          <w:color w:val="37617A"/>
          <w:w w:val="80"/>
          <w:sz w:val="20"/>
        </w:rPr>
        <w:t>t</w:t>
      </w:r>
      <w:r>
        <w:rPr>
          <w:rFonts w:ascii="Trebuchet MS"/>
          <w:i/>
          <w:color w:val="37617A"/>
          <w:spacing w:val="-13"/>
          <w:sz w:val="20"/>
        </w:rPr>
        <w:t> </w:t>
      </w:r>
      <w:r>
        <w:rPr>
          <w:rFonts w:ascii="Trebuchet MS"/>
          <w:i/>
          <w:color w:val="37617A"/>
          <w:spacing w:val="-3"/>
          <w:w w:val="103"/>
          <w:sz w:val="20"/>
        </w:rPr>
        <w:t>w</w:t>
      </w:r>
      <w:r>
        <w:rPr>
          <w:rFonts w:ascii="Trebuchet MS"/>
          <w:i/>
          <w:color w:val="37617A"/>
          <w:spacing w:val="-1"/>
          <w:w w:val="73"/>
          <w:sz w:val="20"/>
        </w:rPr>
        <w:t>i</w:t>
      </w:r>
      <w:r>
        <w:rPr>
          <w:rFonts w:ascii="Trebuchet MS"/>
          <w:i/>
          <w:color w:val="37617A"/>
          <w:spacing w:val="-2"/>
          <w:w w:val="87"/>
          <w:sz w:val="20"/>
        </w:rPr>
        <w:t>l</w:t>
      </w:r>
      <w:r>
        <w:rPr>
          <w:rFonts w:ascii="Trebuchet MS"/>
          <w:i/>
          <w:color w:val="37617A"/>
          <w:w w:val="87"/>
          <w:sz w:val="20"/>
        </w:rPr>
        <w:t>l</w:t>
      </w:r>
      <w:r>
        <w:rPr>
          <w:rFonts w:ascii="Trebuchet MS"/>
          <w:i/>
          <w:color w:val="37617A"/>
          <w:spacing w:val="-13"/>
          <w:sz w:val="20"/>
        </w:rPr>
        <w:t> </w:t>
      </w:r>
      <w:r>
        <w:rPr>
          <w:rFonts w:ascii="Trebuchet MS"/>
          <w:i/>
          <w:color w:val="37617A"/>
          <w:spacing w:val="-1"/>
          <w:w w:val="108"/>
          <w:sz w:val="20"/>
        </w:rPr>
        <w:t>d</w:t>
      </w:r>
      <w:r>
        <w:rPr>
          <w:rFonts w:ascii="Trebuchet MS"/>
          <w:i/>
          <w:color w:val="37617A"/>
          <w:w w:val="107"/>
          <w:sz w:val="20"/>
        </w:rPr>
        <w:t>o</w:t>
      </w:r>
      <w:r>
        <w:rPr>
          <w:rFonts w:ascii="Trebuchet MS"/>
          <w:i/>
          <w:color w:val="37617A"/>
          <w:spacing w:val="-13"/>
          <w:sz w:val="20"/>
        </w:rPr>
        <w:t> </w:t>
      </w:r>
      <w:r>
        <w:rPr>
          <w:rFonts w:ascii="Trebuchet MS"/>
          <w:i/>
          <w:color w:val="37617A"/>
          <w:spacing w:val="-1"/>
          <w:w w:val="73"/>
          <w:sz w:val="20"/>
        </w:rPr>
        <w:t>i</w:t>
      </w:r>
      <w:r>
        <w:rPr>
          <w:rFonts w:ascii="Trebuchet MS"/>
          <w:i/>
          <w:color w:val="37617A"/>
          <w:spacing w:val="2"/>
          <w:w w:val="80"/>
          <w:sz w:val="20"/>
        </w:rPr>
        <w:t>t</w:t>
      </w:r>
      <w:r>
        <w:rPr>
          <w:rFonts w:ascii="Trebuchet MS"/>
          <w:i/>
          <w:color w:val="37617A"/>
          <w:w w:val="117"/>
          <w:sz w:val="20"/>
        </w:rPr>
        <w:t>s</w:t>
      </w:r>
      <w:r>
        <w:rPr>
          <w:rFonts w:ascii="Trebuchet MS"/>
          <w:i/>
          <w:color w:val="37617A"/>
          <w:spacing w:val="-13"/>
          <w:sz w:val="20"/>
        </w:rPr>
        <w:t> </w:t>
      </w:r>
      <w:r>
        <w:rPr>
          <w:rFonts w:ascii="Trebuchet MS"/>
          <w:i/>
          <w:color w:val="37617A"/>
          <w:w w:val="107"/>
          <w:sz w:val="20"/>
        </w:rPr>
        <w:t>b</w:t>
      </w:r>
      <w:r>
        <w:rPr>
          <w:rFonts w:ascii="Trebuchet MS"/>
          <w:i/>
          <w:color w:val="37617A"/>
          <w:w w:val="100"/>
          <w:sz w:val="20"/>
        </w:rPr>
        <w:t>e</w:t>
      </w:r>
      <w:r>
        <w:rPr>
          <w:rFonts w:ascii="Trebuchet MS"/>
          <w:i/>
          <w:color w:val="37617A"/>
          <w:spacing w:val="-1"/>
          <w:w w:val="117"/>
          <w:sz w:val="20"/>
        </w:rPr>
        <w:t>s</w:t>
      </w:r>
      <w:r>
        <w:rPr>
          <w:rFonts w:ascii="Trebuchet MS"/>
          <w:i/>
          <w:color w:val="37617A"/>
          <w:w w:val="80"/>
          <w:sz w:val="20"/>
        </w:rPr>
        <w:t>t</w:t>
      </w:r>
      <w:r>
        <w:rPr>
          <w:rFonts w:ascii="Trebuchet MS"/>
          <w:i/>
          <w:color w:val="37617A"/>
          <w:spacing w:val="-13"/>
          <w:sz w:val="20"/>
        </w:rPr>
        <w:t> </w:t>
      </w:r>
      <w:r>
        <w:rPr>
          <w:rFonts w:ascii="Trebuchet MS"/>
          <w:i/>
          <w:color w:val="37617A"/>
          <w:spacing w:val="-4"/>
          <w:w w:val="80"/>
          <w:sz w:val="20"/>
        </w:rPr>
        <w:t>t</w:t>
      </w:r>
      <w:r>
        <w:rPr>
          <w:rFonts w:ascii="Trebuchet MS"/>
          <w:i/>
          <w:color w:val="37617A"/>
          <w:w w:val="107"/>
          <w:sz w:val="20"/>
        </w:rPr>
        <w:t>o</w:t>
      </w:r>
      <w:r>
        <w:rPr>
          <w:rFonts w:ascii="Trebuchet MS"/>
          <w:i/>
          <w:color w:val="37617A"/>
          <w:spacing w:val="-13"/>
          <w:sz w:val="20"/>
        </w:rPr>
        <w:t> </w:t>
      </w:r>
      <w:r>
        <w:rPr>
          <w:rFonts w:ascii="Trebuchet MS"/>
          <w:i/>
          <w:color w:val="37617A"/>
          <w:w w:val="107"/>
          <w:sz w:val="20"/>
        </w:rPr>
        <w:t>p</w:t>
      </w:r>
      <w:r>
        <w:rPr>
          <w:rFonts w:ascii="Trebuchet MS"/>
          <w:i/>
          <w:color w:val="37617A"/>
          <w:spacing w:val="-4"/>
          <w:w w:val="84"/>
          <w:sz w:val="20"/>
        </w:rPr>
        <w:t>r</w:t>
      </w:r>
      <w:r>
        <w:rPr>
          <w:rFonts w:ascii="Trebuchet MS"/>
          <w:i/>
          <w:color w:val="37617A"/>
          <w:spacing w:val="-3"/>
          <w:w w:val="107"/>
          <w:sz w:val="20"/>
        </w:rPr>
        <w:t>o</w:t>
      </w:r>
      <w:r>
        <w:rPr>
          <w:rFonts w:ascii="Trebuchet MS"/>
          <w:i/>
          <w:color w:val="37617A"/>
          <w:spacing w:val="-3"/>
          <w:w w:val="103"/>
          <w:sz w:val="20"/>
        </w:rPr>
        <w:t>v</w:t>
      </w:r>
      <w:r>
        <w:rPr>
          <w:rFonts w:ascii="Trebuchet MS"/>
          <w:i/>
          <w:color w:val="37617A"/>
          <w:w w:val="73"/>
          <w:sz w:val="20"/>
        </w:rPr>
        <w:t>i</w:t>
      </w:r>
      <w:r>
        <w:rPr>
          <w:rFonts w:ascii="Trebuchet MS"/>
          <w:i/>
          <w:color w:val="37617A"/>
          <w:spacing w:val="-1"/>
          <w:w w:val="108"/>
          <w:sz w:val="20"/>
        </w:rPr>
        <w:t>d</w:t>
      </w:r>
      <w:r>
        <w:rPr>
          <w:rFonts w:ascii="Trebuchet MS"/>
          <w:i/>
          <w:color w:val="37617A"/>
          <w:w w:val="100"/>
          <w:sz w:val="20"/>
        </w:rPr>
        <w:t>e</w:t>
      </w:r>
      <w:r>
        <w:rPr>
          <w:rFonts w:ascii="Trebuchet MS"/>
          <w:i/>
          <w:color w:val="37617A"/>
          <w:spacing w:val="-13"/>
          <w:sz w:val="20"/>
        </w:rPr>
        <w:t> </w:t>
      </w:r>
      <w:r>
        <w:rPr>
          <w:rFonts w:ascii="Trebuchet MS"/>
          <w:i/>
          <w:color w:val="37617A"/>
          <w:spacing w:val="-5"/>
          <w:w w:val="83"/>
          <w:sz w:val="20"/>
        </w:rPr>
        <w:t>f</w:t>
      </w:r>
      <w:r>
        <w:rPr>
          <w:rFonts w:ascii="Trebuchet MS"/>
          <w:i/>
          <w:color w:val="37617A"/>
          <w:w w:val="107"/>
          <w:sz w:val="20"/>
        </w:rPr>
        <w:t>o</w:t>
      </w:r>
      <w:r>
        <w:rPr>
          <w:rFonts w:ascii="Trebuchet MS"/>
          <w:i/>
          <w:color w:val="37617A"/>
          <w:w w:val="84"/>
          <w:sz w:val="20"/>
        </w:rPr>
        <w:t>r</w:t>
      </w:r>
      <w:r>
        <w:rPr>
          <w:rFonts w:ascii="Trebuchet MS"/>
          <w:i/>
          <w:color w:val="37617A"/>
          <w:spacing w:val="-13"/>
          <w:sz w:val="20"/>
        </w:rPr>
        <w:t> </w:t>
      </w:r>
      <w:r>
        <w:rPr>
          <w:rFonts w:ascii="Trebuchet MS"/>
          <w:i/>
          <w:color w:val="37617A"/>
          <w:spacing w:val="-1"/>
          <w:w w:val="80"/>
          <w:sz w:val="20"/>
        </w:rPr>
        <w:t>t</w:t>
      </w:r>
      <w:r>
        <w:rPr>
          <w:rFonts w:ascii="Trebuchet MS"/>
          <w:i/>
          <w:color w:val="37617A"/>
          <w:spacing w:val="-1"/>
          <w:w w:val="101"/>
          <w:sz w:val="20"/>
        </w:rPr>
        <w:t>h</w:t>
      </w:r>
      <w:r>
        <w:rPr>
          <w:rFonts w:ascii="Trebuchet MS"/>
          <w:i/>
          <w:color w:val="37617A"/>
          <w:spacing w:val="-1"/>
          <w:w w:val="107"/>
          <w:sz w:val="20"/>
        </w:rPr>
        <w:t>o</w:t>
      </w:r>
      <w:r>
        <w:rPr>
          <w:rFonts w:ascii="Trebuchet MS"/>
          <w:i/>
          <w:color w:val="37617A"/>
          <w:spacing w:val="-2"/>
          <w:w w:val="117"/>
          <w:sz w:val="20"/>
        </w:rPr>
        <w:t>s</w:t>
      </w:r>
      <w:r>
        <w:rPr>
          <w:rFonts w:ascii="Trebuchet MS"/>
          <w:i/>
          <w:color w:val="37617A"/>
          <w:w w:val="100"/>
          <w:sz w:val="20"/>
        </w:rPr>
        <w:t>e</w:t>
      </w:r>
      <w:r>
        <w:rPr>
          <w:rFonts w:ascii="Trebuchet MS"/>
          <w:i/>
          <w:color w:val="37617A"/>
          <w:spacing w:val="-13"/>
          <w:sz w:val="20"/>
        </w:rPr>
        <w:t> </w:t>
      </w:r>
      <w:r>
        <w:rPr>
          <w:rFonts w:ascii="Trebuchet MS"/>
          <w:i/>
          <w:color w:val="37617A"/>
          <w:w w:val="103"/>
          <w:sz w:val="20"/>
        </w:rPr>
        <w:t>n</w:t>
      </w:r>
      <w:r>
        <w:rPr>
          <w:rFonts w:ascii="Trebuchet MS"/>
          <w:i/>
          <w:color w:val="37617A"/>
          <w:w w:val="100"/>
          <w:sz w:val="20"/>
        </w:rPr>
        <w:t>ee</w:t>
      </w:r>
      <w:r>
        <w:rPr>
          <w:rFonts w:ascii="Trebuchet MS"/>
          <w:i/>
          <w:color w:val="37617A"/>
          <w:w w:val="108"/>
          <w:sz w:val="20"/>
        </w:rPr>
        <w:t>d</w:t>
      </w:r>
      <w:r>
        <w:rPr>
          <w:rFonts w:ascii="Trebuchet MS"/>
          <w:i/>
          <w:color w:val="37617A"/>
          <w:spacing w:val="3"/>
          <w:w w:val="117"/>
          <w:sz w:val="20"/>
        </w:rPr>
        <w:t>s</w:t>
      </w:r>
      <w:r>
        <w:rPr>
          <w:rFonts w:ascii="Trebuchet MS"/>
          <w:i/>
          <w:color w:val="37617A"/>
          <w:spacing w:val="-3"/>
          <w:w w:val="54"/>
          <w:sz w:val="20"/>
        </w:rPr>
        <w:t>.</w:t>
      </w:r>
      <w:r>
        <w:rPr>
          <w:rFonts w:ascii="Trebuchet MS"/>
          <w:i/>
          <w:color w:val="37617A"/>
          <w:spacing w:val="3"/>
          <w:w w:val="117"/>
          <w:position w:val="7"/>
          <w:sz w:val="11"/>
        </w:rPr>
        <w:t>96</w:t>
      </w:r>
    </w:p>
    <w:p>
      <w:pPr>
        <w:spacing w:before="11"/>
        <w:ind w:left="3583" w:right="0" w:firstLine="0"/>
        <w:jc w:val="left"/>
        <w:rPr>
          <w:rFonts w:ascii="Trebuchet MS" w:hAnsi="Trebuchet MS"/>
          <w:sz w:val="19"/>
        </w:rPr>
      </w:pPr>
      <w:r>
        <w:rPr>
          <w:rFonts w:ascii="Trebuchet MS" w:hAnsi="Trebuchet MS"/>
          <w:color w:val="37617A"/>
          <w:w w:val="110"/>
          <w:sz w:val="19"/>
        </w:rPr>
        <w:t>—Consultees from New Zealand courts</w:t>
      </w:r>
    </w:p>
    <w:p>
      <w:pPr>
        <w:pStyle w:val="BodyText"/>
        <w:spacing w:before="2"/>
        <w:rPr>
          <w:rFonts w:ascii="Trebuchet MS"/>
          <w:sz w:val="10"/>
        </w:rPr>
      </w:pPr>
      <w:r>
        <w:rPr/>
        <w:pict>
          <v:line style="position:absolute;mso-position-horizontal-relative:page;mso-position-vertical-relative:paragraph;z-index:6320;mso-wrap-distance-left:0;mso-wrap-distance-right:0" from="79.370102pt,8.149902pt" to="515.905102pt,8.149902pt" stroked="true" strokeweight=".5pt" strokecolor="#8f9dad">
            <v:stroke dashstyle="solid"/>
            <w10:wrap type="topAndBottom"/>
          </v:line>
        </w:pict>
      </w:r>
    </w:p>
    <w:p>
      <w:pPr>
        <w:pStyle w:val="BodyText"/>
        <w:spacing w:before="9"/>
        <w:rPr>
          <w:rFonts w:ascii="Trebuchet MS"/>
          <w:sz w:val="31"/>
        </w:rPr>
      </w:pPr>
    </w:p>
    <w:p>
      <w:pPr>
        <w:pStyle w:val="ListParagraph"/>
        <w:numPr>
          <w:ilvl w:val="1"/>
          <w:numId w:val="12"/>
        </w:numPr>
        <w:tabs>
          <w:tab w:pos="1761" w:val="left" w:leader="none"/>
          <w:tab w:pos="1762" w:val="left" w:leader="none"/>
        </w:tabs>
        <w:spacing w:line="206" w:lineRule="auto" w:before="0" w:after="0"/>
        <w:ind w:left="1761" w:right="1222" w:hanging="794"/>
        <w:jc w:val="left"/>
        <w:rPr>
          <w:sz w:val="11"/>
        </w:rPr>
      </w:pPr>
      <w:r>
        <w:rPr>
          <w:sz w:val="20"/>
        </w:rPr>
        <w:t>New</w:t>
      </w:r>
      <w:r>
        <w:rPr>
          <w:spacing w:val="-14"/>
          <w:sz w:val="20"/>
        </w:rPr>
        <w:t> </w:t>
      </w:r>
      <w:r>
        <w:rPr>
          <w:sz w:val="20"/>
        </w:rPr>
        <w:t>Zealand</w:t>
      </w:r>
      <w:r>
        <w:rPr>
          <w:spacing w:val="-13"/>
          <w:sz w:val="20"/>
        </w:rPr>
        <w:t> </w:t>
      </w:r>
      <w:r>
        <w:rPr>
          <w:sz w:val="20"/>
        </w:rPr>
        <w:t>Sign</w:t>
      </w:r>
      <w:r>
        <w:rPr>
          <w:spacing w:val="-13"/>
          <w:sz w:val="20"/>
        </w:rPr>
        <w:t> </w:t>
      </w:r>
      <w:r>
        <w:rPr>
          <w:sz w:val="20"/>
        </w:rPr>
        <w:t>Language</w:t>
      </w:r>
      <w:r>
        <w:rPr>
          <w:spacing w:val="-13"/>
          <w:sz w:val="20"/>
        </w:rPr>
        <w:t> </w:t>
      </w:r>
      <w:r>
        <w:rPr>
          <w:sz w:val="20"/>
        </w:rPr>
        <w:t>(NZSL)</w:t>
      </w:r>
      <w:r>
        <w:rPr>
          <w:spacing w:val="-13"/>
          <w:sz w:val="20"/>
        </w:rPr>
        <w:t> </w:t>
      </w:r>
      <w:r>
        <w:rPr>
          <w:sz w:val="20"/>
        </w:rPr>
        <w:t>is</w:t>
      </w:r>
      <w:r>
        <w:rPr>
          <w:spacing w:val="-14"/>
          <w:sz w:val="20"/>
        </w:rPr>
        <w:t> </w:t>
      </w:r>
      <w:r>
        <w:rPr>
          <w:sz w:val="20"/>
        </w:rPr>
        <w:t>an</w:t>
      </w:r>
      <w:r>
        <w:rPr>
          <w:spacing w:val="-13"/>
          <w:sz w:val="20"/>
        </w:rPr>
        <w:t> </w:t>
      </w:r>
      <w:r>
        <w:rPr>
          <w:sz w:val="20"/>
        </w:rPr>
        <w:t>official</w:t>
      </w:r>
      <w:r>
        <w:rPr>
          <w:spacing w:val="-13"/>
          <w:sz w:val="20"/>
        </w:rPr>
        <w:t> </w:t>
      </w:r>
      <w:r>
        <w:rPr>
          <w:sz w:val="20"/>
        </w:rPr>
        <w:t>language</w:t>
      </w:r>
      <w:r>
        <w:rPr>
          <w:spacing w:val="-13"/>
          <w:sz w:val="20"/>
        </w:rPr>
        <w:t> </w:t>
      </w:r>
      <w:r>
        <w:rPr>
          <w:sz w:val="20"/>
        </w:rPr>
        <w:t>in</w:t>
      </w:r>
      <w:r>
        <w:rPr>
          <w:spacing w:val="-13"/>
          <w:sz w:val="20"/>
        </w:rPr>
        <w:t> </w:t>
      </w:r>
      <w:r>
        <w:rPr>
          <w:sz w:val="20"/>
        </w:rPr>
        <w:t>New</w:t>
      </w:r>
      <w:r>
        <w:rPr>
          <w:spacing w:val="-13"/>
          <w:sz w:val="20"/>
        </w:rPr>
        <w:t> </w:t>
      </w:r>
      <w:r>
        <w:rPr>
          <w:sz w:val="20"/>
        </w:rPr>
        <w:t>Zealand,</w:t>
      </w:r>
      <w:r>
        <w:rPr>
          <w:spacing w:val="-14"/>
          <w:sz w:val="20"/>
        </w:rPr>
        <w:t> </w:t>
      </w:r>
      <w:r>
        <w:rPr>
          <w:sz w:val="20"/>
        </w:rPr>
        <w:t>pursuant</w:t>
      </w:r>
      <w:r>
        <w:rPr>
          <w:spacing w:val="-13"/>
          <w:sz w:val="20"/>
        </w:rPr>
        <w:t> </w:t>
      </w:r>
      <w:r>
        <w:rPr>
          <w:sz w:val="20"/>
        </w:rPr>
        <w:t>to the </w:t>
      </w:r>
      <w:r>
        <w:rPr>
          <w:i/>
          <w:spacing w:val="-2"/>
          <w:sz w:val="20"/>
        </w:rPr>
        <w:t>New </w:t>
      </w:r>
      <w:r>
        <w:rPr>
          <w:i/>
          <w:spacing w:val="-3"/>
          <w:sz w:val="20"/>
        </w:rPr>
        <w:t>Zealand </w:t>
      </w:r>
      <w:r>
        <w:rPr>
          <w:i/>
          <w:sz w:val="20"/>
        </w:rPr>
        <w:t>Sign Language Act 2000 </w:t>
      </w:r>
      <w:r>
        <w:rPr>
          <w:spacing w:val="-3"/>
          <w:sz w:val="20"/>
        </w:rPr>
        <w:t>(NZ). Interpreters are required </w:t>
      </w:r>
      <w:r>
        <w:rPr>
          <w:sz w:val="20"/>
        </w:rPr>
        <w:t>to be used in court where it is the </w:t>
      </w:r>
      <w:r>
        <w:rPr>
          <w:spacing w:val="-3"/>
          <w:sz w:val="20"/>
        </w:rPr>
        <w:t>preferred </w:t>
      </w:r>
      <w:r>
        <w:rPr>
          <w:sz w:val="20"/>
        </w:rPr>
        <w:t>language of a </w:t>
      </w:r>
      <w:r>
        <w:rPr>
          <w:spacing w:val="-3"/>
          <w:sz w:val="20"/>
        </w:rPr>
        <w:t>party, </w:t>
      </w:r>
      <w:r>
        <w:rPr>
          <w:sz w:val="20"/>
        </w:rPr>
        <w:t>witness, counsel or member of the court, and </w:t>
      </w:r>
      <w:r>
        <w:rPr>
          <w:spacing w:val="-3"/>
          <w:sz w:val="20"/>
        </w:rPr>
        <w:t>any </w:t>
      </w:r>
      <w:r>
        <w:rPr>
          <w:sz w:val="20"/>
        </w:rPr>
        <w:t>other person with </w:t>
      </w:r>
      <w:r>
        <w:rPr>
          <w:spacing w:val="-4"/>
          <w:sz w:val="20"/>
        </w:rPr>
        <w:t>leave </w:t>
      </w:r>
      <w:r>
        <w:rPr>
          <w:sz w:val="20"/>
        </w:rPr>
        <w:t>of the</w:t>
      </w:r>
      <w:r>
        <w:rPr>
          <w:spacing w:val="-33"/>
          <w:sz w:val="20"/>
        </w:rPr>
        <w:t> </w:t>
      </w:r>
      <w:r>
        <w:rPr>
          <w:sz w:val="20"/>
        </w:rPr>
        <w:t>court.</w:t>
      </w:r>
      <w:r>
        <w:rPr>
          <w:position w:val="7"/>
          <w:sz w:val="11"/>
        </w:rPr>
        <w:t>97</w:t>
      </w:r>
    </w:p>
    <w:p>
      <w:pPr>
        <w:pStyle w:val="ListParagraph"/>
        <w:numPr>
          <w:ilvl w:val="1"/>
          <w:numId w:val="12"/>
        </w:numPr>
        <w:tabs>
          <w:tab w:pos="1761" w:val="left" w:leader="none"/>
          <w:tab w:pos="1762" w:val="left" w:leader="none"/>
        </w:tabs>
        <w:spacing w:line="206" w:lineRule="auto" w:before="125" w:after="0"/>
        <w:ind w:left="1761" w:right="1435" w:hanging="794"/>
        <w:jc w:val="left"/>
        <w:rPr>
          <w:sz w:val="20"/>
        </w:rPr>
      </w:pPr>
      <w:r>
        <w:rPr>
          <w:sz w:val="20"/>
        </w:rPr>
        <w:t>In 2000, an amendment was made to the </w:t>
      </w:r>
      <w:r>
        <w:rPr>
          <w:i/>
          <w:sz w:val="20"/>
        </w:rPr>
        <w:t>Juries Act 1981 </w:t>
      </w:r>
      <w:r>
        <w:rPr>
          <w:sz w:val="20"/>
        </w:rPr>
        <w:t>(NZ) to clarify that people with physical disabilities </w:t>
      </w:r>
      <w:r>
        <w:rPr>
          <w:spacing w:val="-3"/>
          <w:sz w:val="20"/>
        </w:rPr>
        <w:t>are </w:t>
      </w:r>
      <w:r>
        <w:rPr>
          <w:sz w:val="20"/>
        </w:rPr>
        <w:t>eligible to serve on juries. The 13th person rule has not been</w:t>
      </w:r>
      <w:r>
        <w:rPr>
          <w:spacing w:val="-10"/>
          <w:sz w:val="20"/>
        </w:rPr>
        <w:t> </w:t>
      </w:r>
      <w:r>
        <w:rPr>
          <w:sz w:val="20"/>
        </w:rPr>
        <w:t>amended</w:t>
      </w:r>
      <w:r>
        <w:rPr>
          <w:spacing w:val="-9"/>
          <w:sz w:val="20"/>
        </w:rPr>
        <w:t> </w:t>
      </w:r>
      <w:r>
        <w:rPr>
          <w:spacing w:val="-3"/>
          <w:sz w:val="20"/>
        </w:rPr>
        <w:t>by</w:t>
      </w:r>
      <w:r>
        <w:rPr>
          <w:spacing w:val="-9"/>
          <w:sz w:val="20"/>
        </w:rPr>
        <w:t> </w:t>
      </w:r>
      <w:r>
        <w:rPr>
          <w:sz w:val="20"/>
        </w:rPr>
        <w:t>legislation;</w:t>
      </w:r>
      <w:r>
        <w:rPr>
          <w:position w:val="7"/>
          <w:sz w:val="11"/>
        </w:rPr>
        <w:t>98</w:t>
      </w:r>
      <w:r>
        <w:rPr>
          <w:spacing w:val="16"/>
          <w:position w:val="7"/>
          <w:sz w:val="11"/>
        </w:rPr>
        <w:t> </w:t>
      </w:r>
      <w:r>
        <w:rPr>
          <w:sz w:val="20"/>
        </w:rPr>
        <w:t>it</w:t>
      </w:r>
      <w:r>
        <w:rPr>
          <w:spacing w:val="-10"/>
          <w:sz w:val="20"/>
        </w:rPr>
        <w:t> </w:t>
      </w:r>
      <w:r>
        <w:rPr>
          <w:sz w:val="20"/>
        </w:rPr>
        <w:t>is</w:t>
      </w:r>
      <w:r>
        <w:rPr>
          <w:spacing w:val="-9"/>
          <w:sz w:val="20"/>
        </w:rPr>
        <w:t> </w:t>
      </w:r>
      <w:r>
        <w:rPr>
          <w:sz w:val="20"/>
        </w:rPr>
        <w:t>a</w:t>
      </w:r>
      <w:r>
        <w:rPr>
          <w:spacing w:val="-9"/>
          <w:sz w:val="20"/>
        </w:rPr>
        <w:t> </w:t>
      </w:r>
      <w:r>
        <w:rPr>
          <w:sz w:val="20"/>
        </w:rPr>
        <w:t>matter</w:t>
      </w:r>
      <w:r>
        <w:rPr>
          <w:spacing w:val="-9"/>
          <w:sz w:val="20"/>
        </w:rPr>
        <w:t> </w:t>
      </w:r>
      <w:r>
        <w:rPr>
          <w:sz w:val="20"/>
        </w:rPr>
        <w:t>for</w:t>
      </w:r>
      <w:r>
        <w:rPr>
          <w:spacing w:val="-9"/>
          <w:sz w:val="20"/>
        </w:rPr>
        <w:t> </w:t>
      </w:r>
      <w:r>
        <w:rPr>
          <w:sz w:val="20"/>
        </w:rPr>
        <w:t>a</w:t>
      </w:r>
      <w:r>
        <w:rPr>
          <w:spacing w:val="-10"/>
          <w:sz w:val="20"/>
        </w:rPr>
        <w:t> </w:t>
      </w:r>
      <w:r>
        <w:rPr>
          <w:sz w:val="20"/>
        </w:rPr>
        <w:t>judge</w:t>
      </w:r>
      <w:r>
        <w:rPr>
          <w:spacing w:val="-9"/>
          <w:sz w:val="20"/>
        </w:rPr>
        <w:t> </w:t>
      </w:r>
      <w:r>
        <w:rPr>
          <w:sz w:val="20"/>
        </w:rPr>
        <w:t>to</w:t>
      </w:r>
      <w:r>
        <w:rPr>
          <w:spacing w:val="-9"/>
          <w:sz w:val="20"/>
        </w:rPr>
        <w:t> </w:t>
      </w:r>
      <w:r>
        <w:rPr>
          <w:sz w:val="20"/>
        </w:rPr>
        <w:t>decide</w:t>
      </w:r>
      <w:r>
        <w:rPr>
          <w:spacing w:val="-9"/>
          <w:sz w:val="20"/>
        </w:rPr>
        <w:t> </w:t>
      </w:r>
      <w:r>
        <w:rPr>
          <w:sz w:val="20"/>
        </w:rPr>
        <w:t>whether</w:t>
      </w:r>
      <w:r>
        <w:rPr>
          <w:spacing w:val="-9"/>
          <w:sz w:val="20"/>
        </w:rPr>
        <w:t> </w:t>
      </w:r>
      <w:r>
        <w:rPr>
          <w:sz w:val="20"/>
        </w:rPr>
        <w:t>a</w:t>
      </w:r>
      <w:r>
        <w:rPr>
          <w:spacing w:val="-9"/>
          <w:sz w:val="20"/>
        </w:rPr>
        <w:t> </w:t>
      </w:r>
      <w:r>
        <w:rPr>
          <w:sz w:val="20"/>
        </w:rPr>
        <w:t>person’s physical</w:t>
      </w:r>
      <w:r>
        <w:rPr>
          <w:spacing w:val="-11"/>
          <w:sz w:val="20"/>
        </w:rPr>
        <w:t> </w:t>
      </w:r>
      <w:r>
        <w:rPr>
          <w:sz w:val="20"/>
        </w:rPr>
        <w:t>disability</w:t>
      </w:r>
      <w:r>
        <w:rPr>
          <w:spacing w:val="-10"/>
          <w:sz w:val="20"/>
        </w:rPr>
        <w:t> </w:t>
      </w:r>
      <w:r>
        <w:rPr>
          <w:sz w:val="20"/>
        </w:rPr>
        <w:t>means</w:t>
      </w:r>
      <w:r>
        <w:rPr>
          <w:spacing w:val="-10"/>
          <w:sz w:val="20"/>
        </w:rPr>
        <w:t> </w:t>
      </w:r>
      <w:r>
        <w:rPr>
          <w:sz w:val="20"/>
        </w:rPr>
        <w:t>that</w:t>
      </w:r>
      <w:r>
        <w:rPr>
          <w:spacing w:val="-10"/>
          <w:sz w:val="20"/>
        </w:rPr>
        <w:t> </w:t>
      </w:r>
      <w:r>
        <w:rPr>
          <w:sz w:val="20"/>
        </w:rPr>
        <w:t>they</w:t>
      </w:r>
      <w:r>
        <w:rPr>
          <w:spacing w:val="-10"/>
          <w:sz w:val="20"/>
        </w:rPr>
        <w:t> </w:t>
      </w:r>
      <w:r>
        <w:rPr>
          <w:sz w:val="20"/>
        </w:rPr>
        <w:t>cannot</w:t>
      </w:r>
      <w:r>
        <w:rPr>
          <w:spacing w:val="-10"/>
          <w:sz w:val="20"/>
        </w:rPr>
        <w:t> </w:t>
      </w:r>
      <w:r>
        <w:rPr>
          <w:sz w:val="20"/>
        </w:rPr>
        <w:t>serve</w:t>
      </w:r>
      <w:r>
        <w:rPr>
          <w:spacing w:val="-10"/>
          <w:sz w:val="20"/>
        </w:rPr>
        <w:t> </w:t>
      </w:r>
      <w:r>
        <w:rPr>
          <w:sz w:val="20"/>
        </w:rPr>
        <w:t>on</w:t>
      </w:r>
      <w:r>
        <w:rPr>
          <w:spacing w:val="-10"/>
          <w:sz w:val="20"/>
        </w:rPr>
        <w:t> </w:t>
      </w:r>
      <w:r>
        <w:rPr>
          <w:sz w:val="20"/>
        </w:rPr>
        <w:t>a</w:t>
      </w:r>
      <w:r>
        <w:rPr>
          <w:spacing w:val="-10"/>
          <w:sz w:val="20"/>
        </w:rPr>
        <w:t> </w:t>
      </w:r>
      <w:r>
        <w:rPr>
          <w:sz w:val="20"/>
        </w:rPr>
        <w:t>particular</w:t>
      </w:r>
      <w:r>
        <w:rPr>
          <w:spacing w:val="-10"/>
          <w:sz w:val="20"/>
        </w:rPr>
        <w:t> </w:t>
      </w:r>
      <w:r>
        <w:rPr>
          <w:sz w:val="20"/>
        </w:rPr>
        <w:t>case,</w:t>
      </w:r>
      <w:r>
        <w:rPr>
          <w:spacing w:val="-10"/>
          <w:sz w:val="20"/>
        </w:rPr>
        <w:t> </w:t>
      </w:r>
      <w:r>
        <w:rPr>
          <w:sz w:val="20"/>
        </w:rPr>
        <w:t>if</w:t>
      </w:r>
      <w:r>
        <w:rPr>
          <w:spacing w:val="-10"/>
          <w:sz w:val="20"/>
        </w:rPr>
        <w:t> </w:t>
      </w:r>
      <w:r>
        <w:rPr>
          <w:sz w:val="20"/>
        </w:rPr>
        <w:t>there</w:t>
      </w:r>
      <w:r>
        <w:rPr>
          <w:spacing w:val="-10"/>
          <w:sz w:val="20"/>
        </w:rPr>
        <w:t> </w:t>
      </w:r>
      <w:r>
        <w:rPr>
          <w:sz w:val="20"/>
        </w:rPr>
        <w:t>has</w:t>
      </w:r>
      <w:r>
        <w:rPr>
          <w:spacing w:val="-11"/>
          <w:sz w:val="20"/>
        </w:rPr>
        <w:t> </w:t>
      </w:r>
      <w:r>
        <w:rPr>
          <w:sz w:val="20"/>
        </w:rPr>
        <w:t>not been</w:t>
      </w:r>
      <w:r>
        <w:rPr>
          <w:spacing w:val="-8"/>
          <w:sz w:val="20"/>
        </w:rPr>
        <w:t> </w:t>
      </w:r>
      <w:r>
        <w:rPr>
          <w:spacing w:val="-3"/>
          <w:sz w:val="20"/>
        </w:rPr>
        <w:t>any</w:t>
      </w:r>
      <w:r>
        <w:rPr>
          <w:spacing w:val="-7"/>
          <w:sz w:val="20"/>
        </w:rPr>
        <w:t> </w:t>
      </w:r>
      <w:r>
        <w:rPr>
          <w:sz w:val="20"/>
        </w:rPr>
        <w:t>decision</w:t>
      </w:r>
      <w:r>
        <w:rPr>
          <w:spacing w:val="-7"/>
          <w:sz w:val="20"/>
        </w:rPr>
        <w:t> </w:t>
      </w:r>
      <w:r>
        <w:rPr>
          <w:spacing w:val="-3"/>
          <w:sz w:val="20"/>
        </w:rPr>
        <w:t>by</w:t>
      </w:r>
      <w:r>
        <w:rPr>
          <w:spacing w:val="-7"/>
          <w:sz w:val="20"/>
        </w:rPr>
        <w:t> </w:t>
      </w:r>
      <w:r>
        <w:rPr>
          <w:sz w:val="20"/>
        </w:rPr>
        <w:t>a</w:t>
      </w:r>
      <w:r>
        <w:rPr>
          <w:spacing w:val="-7"/>
          <w:sz w:val="20"/>
        </w:rPr>
        <w:t> </w:t>
      </w:r>
      <w:r>
        <w:rPr>
          <w:sz w:val="20"/>
        </w:rPr>
        <w:t>superior</w:t>
      </w:r>
      <w:r>
        <w:rPr>
          <w:spacing w:val="-8"/>
          <w:sz w:val="20"/>
        </w:rPr>
        <w:t> </w:t>
      </w:r>
      <w:r>
        <w:rPr>
          <w:sz w:val="20"/>
        </w:rPr>
        <w:t>court</w:t>
      </w:r>
      <w:r>
        <w:rPr>
          <w:spacing w:val="-7"/>
          <w:sz w:val="20"/>
        </w:rPr>
        <w:t> </w:t>
      </w:r>
      <w:r>
        <w:rPr>
          <w:sz w:val="20"/>
        </w:rPr>
        <w:t>on</w:t>
      </w:r>
      <w:r>
        <w:rPr>
          <w:spacing w:val="-7"/>
          <w:sz w:val="20"/>
        </w:rPr>
        <w:t> </w:t>
      </w:r>
      <w:r>
        <w:rPr>
          <w:sz w:val="20"/>
        </w:rPr>
        <w:t>the</w:t>
      </w:r>
      <w:r>
        <w:rPr>
          <w:spacing w:val="-7"/>
          <w:sz w:val="20"/>
        </w:rPr>
        <w:t> </w:t>
      </w:r>
      <w:r>
        <w:rPr>
          <w:sz w:val="20"/>
        </w:rPr>
        <w:t>issue.</w:t>
      </w:r>
      <w:r>
        <w:rPr>
          <w:position w:val="7"/>
          <w:sz w:val="11"/>
        </w:rPr>
        <w:t>99</w:t>
      </w:r>
      <w:r>
        <w:rPr>
          <w:spacing w:val="17"/>
          <w:position w:val="7"/>
          <w:sz w:val="11"/>
        </w:rPr>
        <w:t> </w:t>
      </w:r>
      <w:r>
        <w:rPr>
          <w:sz w:val="20"/>
        </w:rPr>
        <w:t>Consultees</w:t>
      </w:r>
      <w:r>
        <w:rPr>
          <w:spacing w:val="-7"/>
          <w:sz w:val="20"/>
        </w:rPr>
        <w:t> </w:t>
      </w:r>
      <w:r>
        <w:rPr>
          <w:spacing w:val="-3"/>
          <w:sz w:val="20"/>
        </w:rPr>
        <w:t>from</w:t>
      </w:r>
      <w:r>
        <w:rPr>
          <w:spacing w:val="-7"/>
          <w:sz w:val="20"/>
        </w:rPr>
        <w:t> </w:t>
      </w:r>
      <w:r>
        <w:rPr>
          <w:sz w:val="20"/>
        </w:rPr>
        <w:t>the</w:t>
      </w:r>
      <w:r>
        <w:rPr>
          <w:spacing w:val="-7"/>
          <w:sz w:val="20"/>
        </w:rPr>
        <w:t> </w:t>
      </w:r>
      <w:r>
        <w:rPr>
          <w:sz w:val="20"/>
        </w:rPr>
        <w:t>High</w:t>
      </w:r>
      <w:r>
        <w:rPr>
          <w:spacing w:val="-7"/>
          <w:sz w:val="20"/>
        </w:rPr>
        <w:t> </w:t>
      </w:r>
      <w:r>
        <w:rPr>
          <w:sz w:val="20"/>
        </w:rPr>
        <w:t>Court</w:t>
      </w:r>
    </w:p>
    <w:p>
      <w:pPr>
        <w:pStyle w:val="BodyText"/>
        <w:spacing w:line="206" w:lineRule="auto" w:before="7"/>
        <w:ind w:left="1761" w:right="1187"/>
      </w:pPr>
      <w:r>
        <w:rPr/>
        <w:t>and</w:t>
      </w:r>
      <w:r>
        <w:rPr>
          <w:spacing w:val="-8"/>
        </w:rPr>
        <w:t> </w:t>
      </w:r>
      <w:r>
        <w:rPr/>
        <w:t>District</w:t>
      </w:r>
      <w:r>
        <w:rPr>
          <w:spacing w:val="-8"/>
        </w:rPr>
        <w:t> </w:t>
      </w:r>
      <w:r>
        <w:rPr/>
        <w:t>Courts</w:t>
      </w:r>
      <w:r>
        <w:rPr>
          <w:spacing w:val="-9"/>
        </w:rPr>
        <w:t> </w:t>
      </w:r>
      <w:r>
        <w:rPr/>
        <w:t>of</w:t>
      </w:r>
      <w:r>
        <w:rPr>
          <w:spacing w:val="-8"/>
        </w:rPr>
        <w:t> </w:t>
      </w:r>
      <w:r>
        <w:rPr/>
        <w:t>New</w:t>
      </w:r>
      <w:r>
        <w:rPr>
          <w:spacing w:val="-9"/>
        </w:rPr>
        <w:t> </w:t>
      </w:r>
      <w:r>
        <w:rPr/>
        <w:t>Zealand</w:t>
      </w:r>
      <w:r>
        <w:rPr>
          <w:spacing w:val="-8"/>
        </w:rPr>
        <w:t> </w:t>
      </w:r>
      <w:r>
        <w:rPr/>
        <w:t>New</w:t>
      </w:r>
      <w:r>
        <w:rPr>
          <w:spacing w:val="-9"/>
        </w:rPr>
        <w:t> </w:t>
      </w:r>
      <w:r>
        <w:rPr>
          <w:spacing w:val="-3"/>
        </w:rPr>
        <w:t>told</w:t>
      </w:r>
      <w:r>
        <w:rPr>
          <w:spacing w:val="-7"/>
        </w:rPr>
        <w:t> </w:t>
      </w:r>
      <w:r>
        <w:rPr/>
        <w:t>the</w:t>
      </w:r>
      <w:r>
        <w:rPr>
          <w:spacing w:val="-9"/>
        </w:rPr>
        <w:t> </w:t>
      </w:r>
      <w:r>
        <w:rPr/>
        <w:t>Commission</w:t>
      </w:r>
      <w:r>
        <w:rPr>
          <w:spacing w:val="-9"/>
        </w:rPr>
        <w:t> </w:t>
      </w:r>
      <w:r>
        <w:rPr/>
        <w:t>that</w:t>
      </w:r>
      <w:r>
        <w:rPr>
          <w:spacing w:val="-8"/>
        </w:rPr>
        <w:t> </w:t>
      </w:r>
      <w:r>
        <w:rPr/>
        <w:t>the</w:t>
      </w:r>
      <w:r>
        <w:rPr>
          <w:spacing w:val="-8"/>
        </w:rPr>
        <w:t> </w:t>
      </w:r>
      <w:r>
        <w:rPr/>
        <w:t>courts</w:t>
      </w:r>
      <w:r>
        <w:rPr>
          <w:spacing w:val="-9"/>
        </w:rPr>
        <w:t> </w:t>
      </w:r>
      <w:r>
        <w:rPr>
          <w:spacing w:val="-3"/>
        </w:rPr>
        <w:t>‘err</w:t>
      </w:r>
      <w:r>
        <w:rPr>
          <w:spacing w:val="-9"/>
        </w:rPr>
        <w:t> </w:t>
      </w:r>
      <w:r>
        <w:rPr/>
        <w:t>on</w:t>
      </w:r>
      <w:r>
        <w:rPr>
          <w:spacing w:val="-8"/>
        </w:rPr>
        <w:t> </w:t>
      </w:r>
      <w:r>
        <w:rPr/>
        <w:t>the side of assisting people with disabilities to serve and adopt a practical approach to the </w:t>
      </w:r>
      <w:r>
        <w:rPr>
          <w:spacing w:val="-3"/>
        </w:rPr>
        <w:t>provision </w:t>
      </w:r>
      <w:r>
        <w:rPr/>
        <w:t>of supports’. </w:t>
      </w:r>
      <w:r>
        <w:rPr>
          <w:spacing w:val="-3"/>
        </w:rPr>
        <w:t>Below we </w:t>
      </w:r>
      <w:r>
        <w:rPr/>
        <w:t>discuss some </w:t>
      </w:r>
      <w:r>
        <w:rPr>
          <w:spacing w:val="-3"/>
        </w:rPr>
        <w:t>examples </w:t>
      </w:r>
      <w:r>
        <w:rPr/>
        <w:t>of people </w:t>
      </w:r>
      <w:r>
        <w:rPr>
          <w:spacing w:val="-3"/>
        </w:rPr>
        <w:t>from </w:t>
      </w:r>
      <w:r>
        <w:rPr/>
        <w:t>the subject groups serving with supports in New</w:t>
      </w:r>
      <w:r>
        <w:rPr>
          <w:spacing w:val="-28"/>
        </w:rPr>
        <w:t> </w:t>
      </w:r>
      <w:r>
        <w:rPr/>
        <w:t>Zealand.</w:t>
      </w:r>
    </w:p>
    <w:p>
      <w:pPr>
        <w:pStyle w:val="ListParagraph"/>
        <w:numPr>
          <w:ilvl w:val="1"/>
          <w:numId w:val="12"/>
        </w:numPr>
        <w:tabs>
          <w:tab w:pos="1761" w:val="left" w:leader="none"/>
          <w:tab w:pos="1762" w:val="left" w:leader="none"/>
        </w:tabs>
        <w:spacing w:line="206" w:lineRule="auto" w:before="125" w:after="0"/>
        <w:ind w:left="1761" w:right="1309" w:hanging="794"/>
        <w:jc w:val="left"/>
        <w:rPr>
          <w:sz w:val="20"/>
        </w:rPr>
      </w:pPr>
      <w:r>
        <w:rPr>
          <w:sz w:val="20"/>
        </w:rPr>
        <w:t>The</w:t>
      </w:r>
      <w:r>
        <w:rPr>
          <w:spacing w:val="-10"/>
          <w:sz w:val="20"/>
        </w:rPr>
        <w:t> </w:t>
      </w:r>
      <w:r>
        <w:rPr>
          <w:sz w:val="20"/>
        </w:rPr>
        <w:t>New</w:t>
      </w:r>
      <w:r>
        <w:rPr>
          <w:spacing w:val="-9"/>
          <w:sz w:val="20"/>
        </w:rPr>
        <w:t> </w:t>
      </w:r>
      <w:r>
        <w:rPr>
          <w:sz w:val="20"/>
        </w:rPr>
        <w:t>Zealand</w:t>
      </w:r>
      <w:r>
        <w:rPr>
          <w:spacing w:val="-10"/>
          <w:sz w:val="20"/>
        </w:rPr>
        <w:t> </w:t>
      </w:r>
      <w:r>
        <w:rPr>
          <w:sz w:val="20"/>
        </w:rPr>
        <w:t>jury</w:t>
      </w:r>
      <w:r>
        <w:rPr>
          <w:spacing w:val="-9"/>
          <w:sz w:val="20"/>
        </w:rPr>
        <w:t> </w:t>
      </w:r>
      <w:r>
        <w:rPr>
          <w:sz w:val="20"/>
        </w:rPr>
        <w:t>summons</w:t>
      </w:r>
      <w:r>
        <w:rPr>
          <w:spacing w:val="-9"/>
          <w:sz w:val="20"/>
        </w:rPr>
        <w:t> </w:t>
      </w:r>
      <w:r>
        <w:rPr>
          <w:sz w:val="20"/>
        </w:rPr>
        <w:t>asks</w:t>
      </w:r>
      <w:r>
        <w:rPr>
          <w:spacing w:val="-10"/>
          <w:sz w:val="20"/>
        </w:rPr>
        <w:t> </w:t>
      </w:r>
      <w:r>
        <w:rPr>
          <w:sz w:val="20"/>
        </w:rPr>
        <w:t>people</w:t>
      </w:r>
      <w:r>
        <w:rPr>
          <w:spacing w:val="-9"/>
          <w:sz w:val="20"/>
        </w:rPr>
        <w:t> </w:t>
      </w:r>
      <w:r>
        <w:rPr>
          <w:sz w:val="20"/>
        </w:rPr>
        <w:t>to</w:t>
      </w:r>
      <w:r>
        <w:rPr>
          <w:spacing w:val="-10"/>
          <w:sz w:val="20"/>
        </w:rPr>
        <w:t> </w:t>
      </w:r>
      <w:r>
        <w:rPr>
          <w:sz w:val="20"/>
        </w:rPr>
        <w:t>contact</w:t>
      </w:r>
      <w:r>
        <w:rPr>
          <w:spacing w:val="-9"/>
          <w:sz w:val="20"/>
        </w:rPr>
        <w:t> </w:t>
      </w:r>
      <w:r>
        <w:rPr>
          <w:sz w:val="20"/>
        </w:rPr>
        <w:t>the</w:t>
      </w:r>
      <w:r>
        <w:rPr>
          <w:spacing w:val="-9"/>
          <w:sz w:val="20"/>
        </w:rPr>
        <w:t> </w:t>
      </w:r>
      <w:r>
        <w:rPr>
          <w:sz w:val="20"/>
        </w:rPr>
        <w:t>court</w:t>
      </w:r>
      <w:r>
        <w:rPr>
          <w:spacing w:val="-10"/>
          <w:sz w:val="20"/>
        </w:rPr>
        <w:t> </w:t>
      </w:r>
      <w:r>
        <w:rPr>
          <w:sz w:val="20"/>
        </w:rPr>
        <w:t>registry</w:t>
      </w:r>
      <w:r>
        <w:rPr>
          <w:spacing w:val="-9"/>
          <w:sz w:val="20"/>
        </w:rPr>
        <w:t> </w:t>
      </w:r>
      <w:r>
        <w:rPr>
          <w:sz w:val="20"/>
        </w:rPr>
        <w:t>if</w:t>
      </w:r>
      <w:r>
        <w:rPr>
          <w:spacing w:val="-10"/>
          <w:sz w:val="20"/>
        </w:rPr>
        <w:t> </w:t>
      </w:r>
      <w:r>
        <w:rPr>
          <w:sz w:val="20"/>
        </w:rPr>
        <w:t>they</w:t>
      </w:r>
      <w:r>
        <w:rPr>
          <w:spacing w:val="-9"/>
          <w:sz w:val="20"/>
        </w:rPr>
        <w:t> </w:t>
      </w:r>
      <w:r>
        <w:rPr>
          <w:sz w:val="20"/>
        </w:rPr>
        <w:t>need supports to serve.</w:t>
      </w:r>
      <w:r>
        <w:rPr>
          <w:position w:val="7"/>
          <w:sz w:val="11"/>
        </w:rPr>
        <w:t>100 </w:t>
      </w:r>
      <w:r>
        <w:rPr>
          <w:sz w:val="20"/>
        </w:rPr>
        <w:t>Possible supports might</w:t>
      </w:r>
      <w:r>
        <w:rPr>
          <w:spacing w:val="-31"/>
          <w:sz w:val="20"/>
        </w:rPr>
        <w:t> </w:t>
      </w:r>
      <w:r>
        <w:rPr>
          <w:sz w:val="20"/>
        </w:rPr>
        <w:t>include:</w:t>
      </w:r>
    </w:p>
    <w:p>
      <w:pPr>
        <w:pStyle w:val="ListParagraph"/>
        <w:numPr>
          <w:ilvl w:val="2"/>
          <w:numId w:val="12"/>
        </w:numPr>
        <w:tabs>
          <w:tab w:pos="2157" w:val="left" w:leader="none"/>
          <w:tab w:pos="2158" w:val="left" w:leader="none"/>
        </w:tabs>
        <w:spacing w:line="240" w:lineRule="auto" w:before="90" w:after="0"/>
        <w:ind w:left="2157" w:right="0" w:hanging="396"/>
        <w:jc w:val="left"/>
        <w:rPr>
          <w:sz w:val="20"/>
        </w:rPr>
      </w:pPr>
      <w:r>
        <w:rPr>
          <w:sz w:val="20"/>
        </w:rPr>
        <w:t>a sign language</w:t>
      </w:r>
      <w:r>
        <w:rPr>
          <w:spacing w:val="-13"/>
          <w:sz w:val="20"/>
        </w:rPr>
        <w:t> </w:t>
      </w:r>
      <w:r>
        <w:rPr>
          <w:spacing w:val="-3"/>
          <w:sz w:val="20"/>
        </w:rPr>
        <w:t>interpreter</w:t>
      </w:r>
    </w:p>
    <w:p>
      <w:pPr>
        <w:pStyle w:val="ListParagraph"/>
        <w:numPr>
          <w:ilvl w:val="2"/>
          <w:numId w:val="12"/>
        </w:numPr>
        <w:tabs>
          <w:tab w:pos="2157" w:val="left" w:leader="none"/>
          <w:tab w:pos="2158" w:val="left" w:leader="none"/>
        </w:tabs>
        <w:spacing w:line="206" w:lineRule="auto" w:before="80" w:after="0"/>
        <w:ind w:left="2157" w:right="1486" w:hanging="396"/>
        <w:jc w:val="left"/>
        <w:rPr>
          <w:sz w:val="20"/>
        </w:rPr>
      </w:pPr>
      <w:r>
        <w:rPr>
          <w:sz w:val="20"/>
        </w:rPr>
        <w:t>documents</w:t>
      </w:r>
      <w:r>
        <w:rPr>
          <w:spacing w:val="-10"/>
          <w:sz w:val="20"/>
        </w:rPr>
        <w:t> </w:t>
      </w:r>
      <w:r>
        <w:rPr>
          <w:sz w:val="20"/>
        </w:rPr>
        <w:t>in</w:t>
      </w:r>
      <w:r>
        <w:rPr>
          <w:spacing w:val="-10"/>
          <w:sz w:val="20"/>
        </w:rPr>
        <w:t> </w:t>
      </w:r>
      <w:r>
        <w:rPr>
          <w:sz w:val="20"/>
        </w:rPr>
        <w:t>other</w:t>
      </w:r>
      <w:r>
        <w:rPr>
          <w:spacing w:val="-9"/>
          <w:sz w:val="20"/>
        </w:rPr>
        <w:t> </w:t>
      </w:r>
      <w:r>
        <w:rPr>
          <w:sz w:val="20"/>
        </w:rPr>
        <w:t>formats</w:t>
      </w:r>
      <w:r>
        <w:rPr>
          <w:spacing w:val="-10"/>
          <w:sz w:val="20"/>
        </w:rPr>
        <w:t> </w:t>
      </w:r>
      <w:r>
        <w:rPr>
          <w:sz w:val="20"/>
        </w:rPr>
        <w:t>(such</w:t>
      </w:r>
      <w:r>
        <w:rPr>
          <w:spacing w:val="-10"/>
          <w:sz w:val="20"/>
        </w:rPr>
        <w:t> </w:t>
      </w:r>
      <w:r>
        <w:rPr>
          <w:sz w:val="20"/>
        </w:rPr>
        <w:t>as</w:t>
      </w:r>
      <w:r>
        <w:rPr>
          <w:spacing w:val="-9"/>
          <w:sz w:val="20"/>
        </w:rPr>
        <w:t> </w:t>
      </w:r>
      <w:r>
        <w:rPr>
          <w:sz w:val="20"/>
        </w:rPr>
        <w:t>Braille</w:t>
      </w:r>
      <w:r>
        <w:rPr>
          <w:spacing w:val="-10"/>
          <w:sz w:val="20"/>
        </w:rPr>
        <w:t> </w:t>
      </w:r>
      <w:r>
        <w:rPr>
          <w:sz w:val="20"/>
        </w:rPr>
        <w:t>or</w:t>
      </w:r>
      <w:r>
        <w:rPr>
          <w:spacing w:val="-9"/>
          <w:sz w:val="20"/>
        </w:rPr>
        <w:t> </w:t>
      </w:r>
      <w:r>
        <w:rPr>
          <w:sz w:val="20"/>
        </w:rPr>
        <w:t>bigger</w:t>
      </w:r>
      <w:r>
        <w:rPr>
          <w:spacing w:val="-10"/>
          <w:sz w:val="20"/>
        </w:rPr>
        <w:t> </w:t>
      </w:r>
      <w:r>
        <w:rPr>
          <w:sz w:val="20"/>
        </w:rPr>
        <w:t>type)</w:t>
      </w:r>
      <w:r>
        <w:rPr>
          <w:spacing w:val="-10"/>
          <w:sz w:val="20"/>
        </w:rPr>
        <w:t> </w:t>
      </w:r>
      <w:r>
        <w:rPr>
          <w:sz w:val="20"/>
        </w:rPr>
        <w:t>if</w:t>
      </w:r>
      <w:r>
        <w:rPr>
          <w:spacing w:val="-9"/>
          <w:sz w:val="20"/>
        </w:rPr>
        <w:t> </w:t>
      </w:r>
      <w:r>
        <w:rPr>
          <w:sz w:val="20"/>
        </w:rPr>
        <w:t>jurors</w:t>
      </w:r>
      <w:r>
        <w:rPr>
          <w:spacing w:val="-10"/>
          <w:sz w:val="20"/>
        </w:rPr>
        <w:t> </w:t>
      </w:r>
      <w:r>
        <w:rPr>
          <w:spacing w:val="-4"/>
          <w:sz w:val="20"/>
        </w:rPr>
        <w:t>have</w:t>
      </w:r>
      <w:r>
        <w:rPr>
          <w:spacing w:val="-9"/>
          <w:sz w:val="20"/>
        </w:rPr>
        <w:t> </w:t>
      </w:r>
      <w:r>
        <w:rPr>
          <w:sz w:val="20"/>
        </w:rPr>
        <w:t>a</w:t>
      </w:r>
      <w:r>
        <w:rPr>
          <w:spacing w:val="-10"/>
          <w:sz w:val="20"/>
        </w:rPr>
        <w:t> </w:t>
      </w:r>
      <w:r>
        <w:rPr>
          <w:sz w:val="20"/>
        </w:rPr>
        <w:t>vision </w:t>
      </w:r>
      <w:r>
        <w:rPr>
          <w:spacing w:val="-3"/>
          <w:sz w:val="20"/>
        </w:rPr>
        <w:t>problem</w:t>
      </w:r>
    </w:p>
    <w:p>
      <w:pPr>
        <w:pStyle w:val="ListParagraph"/>
        <w:numPr>
          <w:ilvl w:val="2"/>
          <w:numId w:val="12"/>
        </w:numPr>
        <w:tabs>
          <w:tab w:pos="2157" w:val="left" w:leader="none"/>
          <w:tab w:pos="2158" w:val="left" w:leader="none"/>
        </w:tabs>
        <w:spacing w:line="240" w:lineRule="auto" w:before="55" w:after="0"/>
        <w:ind w:left="2157" w:right="0" w:hanging="396"/>
        <w:jc w:val="left"/>
        <w:rPr>
          <w:sz w:val="20"/>
        </w:rPr>
      </w:pPr>
      <w:r>
        <w:rPr>
          <w:sz w:val="20"/>
        </w:rPr>
        <w:t>use</w:t>
      </w:r>
      <w:r>
        <w:rPr>
          <w:spacing w:val="-5"/>
          <w:sz w:val="20"/>
        </w:rPr>
        <w:t> </w:t>
      </w:r>
      <w:r>
        <w:rPr>
          <w:sz w:val="20"/>
        </w:rPr>
        <w:t>of</w:t>
      </w:r>
      <w:r>
        <w:rPr>
          <w:spacing w:val="-5"/>
          <w:sz w:val="20"/>
        </w:rPr>
        <w:t> </w:t>
      </w:r>
      <w:r>
        <w:rPr>
          <w:sz w:val="20"/>
        </w:rPr>
        <w:t>an</w:t>
      </w:r>
      <w:r>
        <w:rPr>
          <w:spacing w:val="-5"/>
          <w:sz w:val="20"/>
        </w:rPr>
        <w:t> </w:t>
      </w:r>
      <w:r>
        <w:rPr>
          <w:sz w:val="20"/>
        </w:rPr>
        <w:t>accessible</w:t>
      </w:r>
      <w:r>
        <w:rPr>
          <w:spacing w:val="-5"/>
          <w:sz w:val="20"/>
        </w:rPr>
        <w:t> </w:t>
      </w:r>
      <w:r>
        <w:rPr>
          <w:sz w:val="20"/>
        </w:rPr>
        <w:t>courtroom</w:t>
      </w:r>
      <w:r>
        <w:rPr>
          <w:spacing w:val="-4"/>
          <w:sz w:val="20"/>
        </w:rPr>
        <w:t> </w:t>
      </w:r>
      <w:r>
        <w:rPr>
          <w:sz w:val="20"/>
        </w:rPr>
        <w:t>if</w:t>
      </w:r>
      <w:r>
        <w:rPr>
          <w:spacing w:val="-5"/>
          <w:sz w:val="20"/>
        </w:rPr>
        <w:t> </w:t>
      </w:r>
      <w:r>
        <w:rPr>
          <w:sz w:val="20"/>
        </w:rPr>
        <w:t>jurors</w:t>
      </w:r>
      <w:r>
        <w:rPr>
          <w:spacing w:val="-5"/>
          <w:sz w:val="20"/>
        </w:rPr>
        <w:t> </w:t>
      </w:r>
      <w:r>
        <w:rPr>
          <w:spacing w:val="-4"/>
          <w:sz w:val="20"/>
        </w:rPr>
        <w:t>have</w:t>
      </w:r>
      <w:r>
        <w:rPr>
          <w:spacing w:val="-5"/>
          <w:sz w:val="20"/>
        </w:rPr>
        <w:t> </w:t>
      </w:r>
      <w:r>
        <w:rPr>
          <w:sz w:val="20"/>
        </w:rPr>
        <w:t>a</w:t>
      </w:r>
      <w:r>
        <w:rPr>
          <w:spacing w:val="-4"/>
          <w:sz w:val="20"/>
        </w:rPr>
        <w:t> </w:t>
      </w:r>
      <w:r>
        <w:rPr>
          <w:sz w:val="20"/>
        </w:rPr>
        <w:t>mobility</w:t>
      </w:r>
      <w:r>
        <w:rPr>
          <w:spacing w:val="-5"/>
          <w:sz w:val="20"/>
        </w:rPr>
        <w:t> </w:t>
      </w:r>
      <w:r>
        <w:rPr>
          <w:spacing w:val="-3"/>
          <w:sz w:val="20"/>
        </w:rPr>
        <w:t>problem</w:t>
      </w:r>
    </w:p>
    <w:p>
      <w:pPr>
        <w:pStyle w:val="BodyText"/>
      </w:pPr>
    </w:p>
    <w:p>
      <w:pPr>
        <w:pStyle w:val="BodyText"/>
      </w:pPr>
    </w:p>
    <w:p>
      <w:pPr>
        <w:pStyle w:val="BodyText"/>
        <w:rPr>
          <w:sz w:val="23"/>
        </w:rPr>
      </w:pPr>
      <w:r>
        <w:rPr/>
        <w:pict>
          <v:line style="position:absolute;mso-position-horizontal-relative:page;mso-position-vertical-relative:paragraph;z-index:6344;mso-wrap-distance-left:0;mso-wrap-distance-right:0" from="79.370102pt,18.448242pt" to="515.905102pt,18.448242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71"/>
        </w:numPr>
        <w:tabs>
          <w:tab w:pos="1761" w:val="left" w:leader="none"/>
          <w:tab w:pos="1762" w:val="left" w:leader="none"/>
        </w:tabs>
        <w:spacing w:line="170" w:lineRule="exact" w:before="21" w:after="0"/>
        <w:ind w:left="1761" w:right="0" w:hanging="794"/>
        <w:jc w:val="left"/>
        <w:rPr>
          <w:sz w:val="13"/>
        </w:rPr>
      </w:pPr>
      <w:r>
        <w:rPr>
          <w:spacing w:val="2"/>
          <w:sz w:val="13"/>
        </w:rPr>
        <w:t>Ibid.</w:t>
      </w:r>
    </w:p>
    <w:p>
      <w:pPr>
        <w:pStyle w:val="ListParagraph"/>
        <w:numPr>
          <w:ilvl w:val="0"/>
          <w:numId w:val="71"/>
        </w:numPr>
        <w:tabs>
          <w:tab w:pos="1761" w:val="left" w:leader="none"/>
          <w:tab w:pos="1762" w:val="left" w:leader="none"/>
        </w:tabs>
        <w:spacing w:line="160" w:lineRule="exact" w:before="0" w:after="0"/>
        <w:ind w:left="1761" w:right="0" w:hanging="794"/>
        <w:jc w:val="left"/>
        <w:rPr>
          <w:sz w:val="13"/>
        </w:rPr>
      </w:pPr>
      <w:r>
        <w:rPr>
          <w:sz w:val="13"/>
        </w:rPr>
        <w:t>Consultation 15 (Representatives of High </w:t>
      </w:r>
      <w:r>
        <w:rPr>
          <w:spacing w:val="2"/>
          <w:sz w:val="13"/>
        </w:rPr>
        <w:t>Court </w:t>
      </w:r>
      <w:r>
        <w:rPr>
          <w:sz w:val="13"/>
        </w:rPr>
        <w:t>and </w:t>
      </w:r>
      <w:r>
        <w:rPr>
          <w:spacing w:val="2"/>
          <w:sz w:val="13"/>
        </w:rPr>
        <w:t>District Courts </w:t>
      </w:r>
      <w:r>
        <w:rPr>
          <w:sz w:val="13"/>
        </w:rPr>
        <w:t>of New</w:t>
      </w:r>
      <w:r>
        <w:rPr>
          <w:spacing w:val="4"/>
          <w:sz w:val="13"/>
        </w:rPr>
        <w:t> </w:t>
      </w:r>
      <w:r>
        <w:rPr>
          <w:sz w:val="13"/>
        </w:rPr>
        <w:t>Zealand).</w:t>
      </w:r>
    </w:p>
    <w:p>
      <w:pPr>
        <w:pStyle w:val="ListParagraph"/>
        <w:numPr>
          <w:ilvl w:val="0"/>
          <w:numId w:val="71"/>
        </w:numPr>
        <w:tabs>
          <w:tab w:pos="1760" w:val="left" w:leader="none"/>
          <w:tab w:pos="1762" w:val="left" w:leader="none"/>
        </w:tabs>
        <w:spacing w:line="213" w:lineRule="auto" w:before="7" w:after="0"/>
        <w:ind w:left="1761" w:right="0" w:hanging="794"/>
        <w:jc w:val="left"/>
        <w:rPr>
          <w:sz w:val="13"/>
        </w:rPr>
      </w:pPr>
      <w:r>
        <w:rPr>
          <w:sz w:val="13"/>
        </w:rPr>
        <w:t>The purpose of the Act is ‘to promote and maintain the use of New Zealand Sign Language’: </w:t>
      </w:r>
      <w:r>
        <w:rPr>
          <w:i/>
          <w:sz w:val="13"/>
        </w:rPr>
        <w:t>Sign Language Act 2006 </w:t>
      </w:r>
      <w:r>
        <w:rPr>
          <w:sz w:val="13"/>
        </w:rPr>
        <w:t>(NZ) ss </w:t>
      </w:r>
      <w:r>
        <w:rPr>
          <w:spacing w:val="3"/>
          <w:sz w:val="13"/>
        </w:rPr>
        <w:t>3, </w:t>
      </w:r>
      <w:r>
        <w:rPr>
          <w:sz w:val="13"/>
        </w:rPr>
        <w:t>7(1). See </w:t>
      </w:r>
      <w:r>
        <w:rPr>
          <w:spacing w:val="2"/>
          <w:sz w:val="13"/>
        </w:rPr>
        <w:t>also </w:t>
      </w:r>
      <w:r>
        <w:rPr>
          <w:sz w:val="13"/>
        </w:rPr>
        <w:t>Hayley Reffell and Rachel Locker McKee, ‘Motives and Outcomes of New Zealand Sign </w:t>
      </w:r>
      <w:r>
        <w:rPr>
          <w:spacing w:val="2"/>
          <w:sz w:val="13"/>
        </w:rPr>
        <w:t>Language </w:t>
      </w:r>
      <w:r>
        <w:rPr>
          <w:sz w:val="13"/>
        </w:rPr>
        <w:t>Legislation: A Comparative Study between New Zealand and </w:t>
      </w:r>
      <w:r>
        <w:rPr>
          <w:spacing w:val="2"/>
          <w:sz w:val="13"/>
        </w:rPr>
        <w:t>Finland’ (2009) 10(3) </w:t>
      </w:r>
      <w:r>
        <w:rPr>
          <w:i/>
          <w:sz w:val="13"/>
        </w:rPr>
        <w:t>Current Issues in Language Planning </w:t>
      </w:r>
      <w:r>
        <w:rPr>
          <w:sz w:val="13"/>
        </w:rPr>
        <w:t>272,</w:t>
      </w:r>
      <w:r>
        <w:rPr>
          <w:spacing w:val="4"/>
          <w:sz w:val="13"/>
        </w:rPr>
        <w:t> </w:t>
      </w:r>
      <w:r>
        <w:rPr>
          <w:sz w:val="13"/>
        </w:rPr>
        <w:t>283.</w:t>
      </w:r>
    </w:p>
    <w:p>
      <w:pPr>
        <w:pStyle w:val="ListParagraph"/>
        <w:numPr>
          <w:ilvl w:val="0"/>
          <w:numId w:val="71"/>
        </w:numPr>
        <w:tabs>
          <w:tab w:pos="1761" w:val="left" w:leader="none"/>
          <w:tab w:pos="1762" w:val="left" w:leader="none"/>
        </w:tabs>
        <w:spacing w:line="152" w:lineRule="exact" w:before="0" w:after="0"/>
        <w:ind w:left="1761" w:right="0" w:hanging="794"/>
        <w:jc w:val="left"/>
        <w:rPr>
          <w:sz w:val="13"/>
        </w:rPr>
      </w:pPr>
      <w:r>
        <w:rPr>
          <w:sz w:val="13"/>
        </w:rPr>
        <w:t>Consultation 15 (Representatives of High </w:t>
      </w:r>
      <w:r>
        <w:rPr>
          <w:spacing w:val="2"/>
          <w:sz w:val="13"/>
        </w:rPr>
        <w:t>Court </w:t>
      </w:r>
      <w:r>
        <w:rPr>
          <w:sz w:val="13"/>
        </w:rPr>
        <w:t>and </w:t>
      </w:r>
      <w:r>
        <w:rPr>
          <w:spacing w:val="2"/>
          <w:sz w:val="13"/>
        </w:rPr>
        <w:t>District Courts </w:t>
      </w:r>
      <w:r>
        <w:rPr>
          <w:sz w:val="13"/>
        </w:rPr>
        <w:t>of New</w:t>
      </w:r>
      <w:r>
        <w:rPr>
          <w:spacing w:val="4"/>
          <w:sz w:val="13"/>
        </w:rPr>
        <w:t> </w:t>
      </w:r>
      <w:r>
        <w:rPr>
          <w:sz w:val="13"/>
        </w:rPr>
        <w:t>Zealand).</w:t>
      </w:r>
    </w:p>
    <w:p>
      <w:pPr>
        <w:pStyle w:val="ListParagraph"/>
        <w:numPr>
          <w:ilvl w:val="0"/>
          <w:numId w:val="71"/>
        </w:numPr>
        <w:tabs>
          <w:tab w:pos="1760" w:val="left" w:leader="none"/>
          <w:tab w:pos="1762" w:val="left" w:leader="none"/>
        </w:tabs>
        <w:spacing w:line="213" w:lineRule="auto" w:before="6" w:after="0"/>
        <w:ind w:left="1761" w:right="11" w:hanging="794"/>
        <w:jc w:val="left"/>
        <w:rPr>
          <w:sz w:val="13"/>
        </w:rPr>
      </w:pPr>
      <w:r>
        <w:rPr>
          <w:sz w:val="13"/>
        </w:rPr>
        <w:t>Consultation 15 (Representatives of High </w:t>
      </w:r>
      <w:r>
        <w:rPr>
          <w:spacing w:val="2"/>
          <w:sz w:val="13"/>
        </w:rPr>
        <w:t>Court </w:t>
      </w:r>
      <w:r>
        <w:rPr>
          <w:sz w:val="13"/>
        </w:rPr>
        <w:t>and </w:t>
      </w:r>
      <w:r>
        <w:rPr>
          <w:spacing w:val="2"/>
          <w:sz w:val="13"/>
        </w:rPr>
        <w:t>District Courts </w:t>
      </w:r>
      <w:r>
        <w:rPr>
          <w:sz w:val="13"/>
        </w:rPr>
        <w:t>of New Zealand). Similarly, Scotland has not overcome the 13th person rule via legislation but has improved court </w:t>
      </w:r>
      <w:r>
        <w:rPr>
          <w:spacing w:val="2"/>
          <w:sz w:val="13"/>
        </w:rPr>
        <w:t>services </w:t>
      </w:r>
      <w:r>
        <w:rPr>
          <w:sz w:val="13"/>
        </w:rPr>
        <w:t>to provide reasonable </w:t>
      </w:r>
      <w:r>
        <w:rPr>
          <w:spacing w:val="2"/>
          <w:sz w:val="13"/>
        </w:rPr>
        <w:t>adjustments </w:t>
      </w:r>
      <w:r>
        <w:rPr>
          <w:sz w:val="13"/>
        </w:rPr>
        <w:t>including magnifiers and hearing loops, to allow jurors with </w:t>
      </w:r>
      <w:r>
        <w:rPr>
          <w:spacing w:val="2"/>
          <w:sz w:val="13"/>
        </w:rPr>
        <w:t>disabilities </w:t>
      </w:r>
      <w:r>
        <w:rPr>
          <w:sz w:val="13"/>
        </w:rPr>
        <w:t>to serve: see Scottish </w:t>
      </w:r>
      <w:r>
        <w:rPr>
          <w:spacing w:val="2"/>
          <w:sz w:val="13"/>
        </w:rPr>
        <w:t>Courts </w:t>
      </w:r>
      <w:r>
        <w:rPr>
          <w:sz w:val="13"/>
        </w:rPr>
        <w:t>and Tribunals </w:t>
      </w:r>
      <w:r>
        <w:rPr>
          <w:spacing w:val="2"/>
          <w:sz w:val="13"/>
        </w:rPr>
        <w:t>Service, ‘Making Jury Service </w:t>
      </w:r>
      <w:r>
        <w:rPr>
          <w:sz w:val="13"/>
        </w:rPr>
        <w:t>More Accessible for Jurors’, </w:t>
      </w:r>
      <w:r>
        <w:rPr>
          <w:i/>
          <w:sz w:val="13"/>
        </w:rPr>
        <w:t>SCTS News </w:t>
      </w:r>
      <w:r>
        <w:rPr>
          <w:sz w:val="13"/>
        </w:rPr>
        <w:t>(Web Page, 28 November 2019) &lt;</w:t>
      </w:r>
      <w:hyperlink r:id="rId168">
        <w:r>
          <w:rPr>
            <w:sz w:val="13"/>
          </w:rPr>
          <w:t>https://www.scotcourts.gov.uk/about-the-scottish-court-</w:t>
        </w:r>
      </w:hyperlink>
      <w:hyperlink r:id="rId168">
        <w:r>
          <w:rPr>
            <w:sz w:val="13"/>
          </w:rPr>
          <w:t> service/scs-news/2019/11/28/making-jury-service-more-accessible-for-jurors</w:t>
        </w:r>
      </w:hyperlink>
      <w:r>
        <w:rPr>
          <w:sz w:val="13"/>
        </w:rPr>
        <w:t>&gt;.</w:t>
      </w:r>
    </w:p>
    <w:p>
      <w:pPr>
        <w:pStyle w:val="ListParagraph"/>
        <w:numPr>
          <w:ilvl w:val="0"/>
          <w:numId w:val="71"/>
        </w:numPr>
        <w:tabs>
          <w:tab w:pos="1760" w:val="left" w:leader="none"/>
          <w:tab w:pos="1762" w:val="left" w:leader="none"/>
        </w:tabs>
        <w:spacing w:line="213" w:lineRule="auto" w:before="0" w:after="0"/>
        <w:ind w:left="1760" w:right="227" w:hanging="793"/>
        <w:jc w:val="left"/>
        <w:rPr>
          <w:sz w:val="13"/>
        </w:rPr>
      </w:pPr>
      <w:r>
        <w:rPr>
          <w:spacing w:val="2"/>
          <w:sz w:val="13"/>
        </w:rPr>
        <w:t>Ibid. </w:t>
      </w:r>
      <w:r>
        <w:rPr>
          <w:sz w:val="13"/>
        </w:rPr>
        <w:t>The New Zealand </w:t>
      </w:r>
      <w:r>
        <w:rPr>
          <w:spacing w:val="2"/>
          <w:sz w:val="13"/>
        </w:rPr>
        <w:t>Ministry </w:t>
      </w:r>
      <w:r>
        <w:rPr>
          <w:sz w:val="13"/>
        </w:rPr>
        <w:t>of Justice website notes that </w:t>
      </w:r>
      <w:r>
        <w:rPr>
          <w:spacing w:val="2"/>
          <w:sz w:val="13"/>
        </w:rPr>
        <w:t>‘If </w:t>
      </w:r>
      <w:r>
        <w:rPr>
          <w:sz w:val="13"/>
        </w:rPr>
        <w:t>you have a disability, you can still serve on a jury. Contact   the court ahead of time to discuss what </w:t>
      </w:r>
      <w:r>
        <w:rPr>
          <w:spacing w:val="2"/>
          <w:sz w:val="13"/>
        </w:rPr>
        <w:t>support </w:t>
      </w:r>
      <w:r>
        <w:rPr>
          <w:sz w:val="13"/>
        </w:rPr>
        <w:t>you might </w:t>
      </w:r>
      <w:r>
        <w:rPr>
          <w:spacing w:val="2"/>
          <w:sz w:val="13"/>
        </w:rPr>
        <w:t>need </w:t>
      </w:r>
      <w:r>
        <w:rPr>
          <w:sz w:val="13"/>
        </w:rPr>
        <w:t>to attend’: ‘Payment and </w:t>
      </w:r>
      <w:r>
        <w:rPr>
          <w:spacing w:val="2"/>
          <w:sz w:val="13"/>
        </w:rPr>
        <w:t>Support </w:t>
      </w:r>
      <w:r>
        <w:rPr>
          <w:sz w:val="13"/>
        </w:rPr>
        <w:t>to Help You Attend </w:t>
      </w:r>
      <w:r>
        <w:rPr>
          <w:spacing w:val="2"/>
          <w:sz w:val="13"/>
        </w:rPr>
        <w:t>Jury </w:t>
      </w:r>
      <w:r>
        <w:rPr>
          <w:sz w:val="13"/>
        </w:rPr>
        <w:t>Service’, </w:t>
      </w:r>
      <w:r>
        <w:rPr>
          <w:i/>
          <w:sz w:val="13"/>
        </w:rPr>
        <w:t>New Zealand </w:t>
      </w:r>
      <w:r>
        <w:rPr>
          <w:i/>
          <w:spacing w:val="2"/>
          <w:sz w:val="13"/>
        </w:rPr>
        <w:t>Ministry </w:t>
      </w:r>
      <w:r>
        <w:rPr>
          <w:i/>
          <w:sz w:val="13"/>
        </w:rPr>
        <w:t>of Justice </w:t>
      </w:r>
      <w:r>
        <w:rPr>
          <w:sz w:val="13"/>
        </w:rPr>
        <w:t>(Web Page) &lt;</w:t>
      </w:r>
      <w:hyperlink r:id="rId169">
        <w:r>
          <w:rPr>
            <w:sz w:val="13"/>
          </w:rPr>
          <w:t>https://www.justice.govt.nz/courts/jury-service/payment-and-</w:t>
        </w:r>
      </w:hyperlink>
      <w:hyperlink r:id="rId169">
        <w:r>
          <w:rPr>
            <w:sz w:val="13"/>
          </w:rPr>
          <w:t> support/#disability</w:t>
        </w:r>
      </w:hyperlink>
      <w:r>
        <w:rPr>
          <w:sz w:val="13"/>
        </w:rPr>
        <w:t>&gt;.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11"/>
        <w:rPr>
          <w:sz w:val="41"/>
        </w:rPr>
      </w:pPr>
    </w:p>
    <w:p>
      <w:pPr>
        <w:pStyle w:val="ListParagraph"/>
        <w:numPr>
          <w:ilvl w:val="0"/>
          <w:numId w:val="71"/>
        </w:numPr>
        <w:tabs>
          <w:tab w:pos="1133" w:val="left" w:leader="none"/>
        </w:tabs>
        <w:spacing w:line="240" w:lineRule="auto" w:before="0" w:after="0"/>
        <w:ind w:left="1132" w:right="0" w:hanging="380"/>
        <w:jc w:val="left"/>
        <w:rPr>
          <w:color w:val="37617A"/>
          <w:sz w:val="22"/>
        </w:rPr>
      </w:pPr>
    </w:p>
    <w:p>
      <w:pPr>
        <w:spacing w:after="0" w:line="240" w:lineRule="auto"/>
        <w:jc w:val="left"/>
        <w:rPr>
          <w:sz w:val="22"/>
        </w:rPr>
        <w:sectPr>
          <w:type w:val="continuous"/>
          <w:pgSz w:w="11910" w:h="16840"/>
          <w:pgMar w:top="620" w:bottom="280" w:left="620" w:right="380"/>
          <w:cols w:num="2" w:equalWidth="0">
            <w:col w:w="9510" w:space="40"/>
            <w:col w:w="1360"/>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71"/>
        </w:numPr>
        <w:tabs>
          <w:tab w:pos="2157" w:val="left" w:leader="none"/>
          <w:tab w:pos="2158" w:val="left" w:leader="none"/>
        </w:tabs>
        <w:spacing w:line="206" w:lineRule="auto" w:before="0" w:after="0"/>
        <w:ind w:left="2157" w:right="1598" w:hanging="396"/>
        <w:jc w:val="left"/>
        <w:rPr>
          <w:sz w:val="11"/>
        </w:rPr>
      </w:pPr>
      <w:r>
        <w:rPr>
          <w:sz w:val="20"/>
        </w:rPr>
        <w:t>being</w:t>
      </w:r>
      <w:r>
        <w:rPr>
          <w:spacing w:val="-10"/>
          <w:sz w:val="20"/>
        </w:rPr>
        <w:t> </w:t>
      </w:r>
      <w:r>
        <w:rPr>
          <w:sz w:val="20"/>
        </w:rPr>
        <w:t>seated</w:t>
      </w:r>
      <w:r>
        <w:rPr>
          <w:spacing w:val="-9"/>
          <w:sz w:val="20"/>
        </w:rPr>
        <w:t> </w:t>
      </w:r>
      <w:r>
        <w:rPr>
          <w:sz w:val="20"/>
        </w:rPr>
        <w:t>near</w:t>
      </w:r>
      <w:r>
        <w:rPr>
          <w:spacing w:val="-9"/>
          <w:sz w:val="20"/>
        </w:rPr>
        <w:t> </w:t>
      </w:r>
      <w:r>
        <w:rPr>
          <w:sz w:val="20"/>
        </w:rPr>
        <w:t>the</w:t>
      </w:r>
      <w:r>
        <w:rPr>
          <w:spacing w:val="-9"/>
          <w:sz w:val="20"/>
        </w:rPr>
        <w:t> </w:t>
      </w:r>
      <w:r>
        <w:rPr>
          <w:sz w:val="20"/>
        </w:rPr>
        <w:t>witness</w:t>
      </w:r>
      <w:r>
        <w:rPr>
          <w:spacing w:val="-9"/>
          <w:sz w:val="20"/>
        </w:rPr>
        <w:t> </w:t>
      </w:r>
      <w:r>
        <w:rPr>
          <w:sz w:val="20"/>
        </w:rPr>
        <w:t>or</w:t>
      </w:r>
      <w:r>
        <w:rPr>
          <w:spacing w:val="-9"/>
          <w:sz w:val="20"/>
        </w:rPr>
        <w:t> </w:t>
      </w:r>
      <w:r>
        <w:rPr>
          <w:sz w:val="20"/>
        </w:rPr>
        <w:t>judge</w:t>
      </w:r>
      <w:r>
        <w:rPr>
          <w:spacing w:val="-9"/>
          <w:sz w:val="20"/>
        </w:rPr>
        <w:t> </w:t>
      </w:r>
      <w:r>
        <w:rPr>
          <w:sz w:val="20"/>
        </w:rPr>
        <w:t>or</w:t>
      </w:r>
      <w:r>
        <w:rPr>
          <w:spacing w:val="-9"/>
          <w:sz w:val="20"/>
        </w:rPr>
        <w:t> </w:t>
      </w:r>
      <w:r>
        <w:rPr>
          <w:sz w:val="20"/>
        </w:rPr>
        <w:t>getting</w:t>
      </w:r>
      <w:r>
        <w:rPr>
          <w:spacing w:val="-9"/>
          <w:sz w:val="20"/>
        </w:rPr>
        <w:t> </w:t>
      </w:r>
      <w:r>
        <w:rPr>
          <w:sz w:val="20"/>
        </w:rPr>
        <w:t>sound</w:t>
      </w:r>
      <w:r>
        <w:rPr>
          <w:spacing w:val="-10"/>
          <w:sz w:val="20"/>
        </w:rPr>
        <w:t> </w:t>
      </w:r>
      <w:r>
        <w:rPr>
          <w:spacing w:val="-3"/>
          <w:sz w:val="20"/>
        </w:rPr>
        <w:t>reinforcement</w:t>
      </w:r>
      <w:r>
        <w:rPr>
          <w:spacing w:val="-9"/>
          <w:sz w:val="20"/>
        </w:rPr>
        <w:t> </w:t>
      </w:r>
      <w:r>
        <w:rPr>
          <w:sz w:val="20"/>
        </w:rPr>
        <w:t>if</w:t>
      </w:r>
      <w:r>
        <w:rPr>
          <w:spacing w:val="-9"/>
          <w:sz w:val="20"/>
        </w:rPr>
        <w:t> </w:t>
      </w:r>
      <w:r>
        <w:rPr>
          <w:sz w:val="20"/>
        </w:rPr>
        <w:t>jurors </w:t>
      </w:r>
      <w:r>
        <w:rPr>
          <w:spacing w:val="-4"/>
          <w:sz w:val="20"/>
        </w:rPr>
        <w:t>have </w:t>
      </w:r>
      <w:r>
        <w:rPr>
          <w:sz w:val="20"/>
        </w:rPr>
        <w:t>a hearing</w:t>
      </w:r>
      <w:r>
        <w:rPr>
          <w:spacing w:val="-9"/>
          <w:sz w:val="20"/>
        </w:rPr>
        <w:t> </w:t>
      </w:r>
      <w:r>
        <w:rPr>
          <w:sz w:val="20"/>
        </w:rPr>
        <w:t>problem.</w:t>
      </w:r>
      <w:r>
        <w:rPr>
          <w:position w:val="7"/>
          <w:sz w:val="11"/>
        </w:rPr>
        <w:t>101</w:t>
      </w:r>
    </w:p>
    <w:p>
      <w:pPr>
        <w:pStyle w:val="ListParagraph"/>
        <w:numPr>
          <w:ilvl w:val="1"/>
          <w:numId w:val="12"/>
        </w:numPr>
        <w:tabs>
          <w:tab w:pos="1761" w:val="left" w:leader="none"/>
          <w:tab w:pos="1762" w:val="left" w:leader="none"/>
        </w:tabs>
        <w:spacing w:line="206" w:lineRule="auto" w:before="88" w:after="0"/>
        <w:ind w:left="1761" w:right="1222" w:hanging="794"/>
        <w:jc w:val="left"/>
        <w:rPr>
          <w:sz w:val="20"/>
        </w:rPr>
      </w:pPr>
      <w:r>
        <w:rPr>
          <w:sz w:val="20"/>
        </w:rPr>
        <w:t>While</w:t>
      </w:r>
      <w:r>
        <w:rPr>
          <w:spacing w:val="-11"/>
          <w:sz w:val="20"/>
        </w:rPr>
        <w:t> </w:t>
      </w:r>
      <w:r>
        <w:rPr>
          <w:sz w:val="20"/>
        </w:rPr>
        <w:t>the</w:t>
      </w:r>
      <w:r>
        <w:rPr>
          <w:spacing w:val="-10"/>
          <w:sz w:val="20"/>
        </w:rPr>
        <w:t> </w:t>
      </w:r>
      <w:r>
        <w:rPr>
          <w:sz w:val="20"/>
        </w:rPr>
        <w:t>prospective</w:t>
      </w:r>
      <w:r>
        <w:rPr>
          <w:spacing w:val="-10"/>
          <w:sz w:val="20"/>
        </w:rPr>
        <w:t> </w:t>
      </w:r>
      <w:r>
        <w:rPr>
          <w:sz w:val="20"/>
        </w:rPr>
        <w:t>juror</w:t>
      </w:r>
      <w:r>
        <w:rPr>
          <w:spacing w:val="-11"/>
          <w:sz w:val="20"/>
        </w:rPr>
        <w:t> </w:t>
      </w:r>
      <w:r>
        <w:rPr>
          <w:sz w:val="20"/>
        </w:rPr>
        <w:t>with</w:t>
      </w:r>
      <w:r>
        <w:rPr>
          <w:spacing w:val="-10"/>
          <w:sz w:val="20"/>
        </w:rPr>
        <w:t> </w:t>
      </w:r>
      <w:r>
        <w:rPr>
          <w:sz w:val="20"/>
        </w:rPr>
        <w:t>disability</w:t>
      </w:r>
      <w:r>
        <w:rPr>
          <w:spacing w:val="-10"/>
          <w:sz w:val="20"/>
        </w:rPr>
        <w:t> </w:t>
      </w:r>
      <w:r>
        <w:rPr>
          <w:sz w:val="20"/>
        </w:rPr>
        <w:t>can</w:t>
      </w:r>
      <w:r>
        <w:rPr>
          <w:spacing w:val="-10"/>
          <w:sz w:val="20"/>
        </w:rPr>
        <w:t> </w:t>
      </w:r>
      <w:r>
        <w:rPr>
          <w:spacing w:val="-3"/>
          <w:sz w:val="20"/>
        </w:rPr>
        <w:t>express</w:t>
      </w:r>
      <w:r>
        <w:rPr>
          <w:spacing w:val="-11"/>
          <w:sz w:val="20"/>
        </w:rPr>
        <w:t> </w:t>
      </w:r>
      <w:r>
        <w:rPr>
          <w:sz w:val="20"/>
        </w:rPr>
        <w:t>their</w:t>
      </w:r>
      <w:r>
        <w:rPr>
          <w:spacing w:val="-10"/>
          <w:sz w:val="20"/>
        </w:rPr>
        <w:t> </w:t>
      </w:r>
      <w:r>
        <w:rPr>
          <w:sz w:val="20"/>
        </w:rPr>
        <w:t>needs</w:t>
      </w:r>
      <w:r>
        <w:rPr>
          <w:spacing w:val="-10"/>
          <w:sz w:val="20"/>
        </w:rPr>
        <w:t> </w:t>
      </w:r>
      <w:r>
        <w:rPr>
          <w:sz w:val="20"/>
        </w:rPr>
        <w:t>and</w:t>
      </w:r>
      <w:r>
        <w:rPr>
          <w:spacing w:val="-10"/>
          <w:sz w:val="20"/>
        </w:rPr>
        <w:t> </w:t>
      </w:r>
      <w:r>
        <w:rPr>
          <w:sz w:val="20"/>
        </w:rPr>
        <w:t>‘the</w:t>
      </w:r>
      <w:r>
        <w:rPr>
          <w:spacing w:val="-11"/>
          <w:sz w:val="20"/>
        </w:rPr>
        <w:t> </w:t>
      </w:r>
      <w:r>
        <w:rPr>
          <w:sz w:val="20"/>
        </w:rPr>
        <w:t>court</w:t>
      </w:r>
      <w:r>
        <w:rPr>
          <w:spacing w:val="-10"/>
          <w:sz w:val="20"/>
        </w:rPr>
        <w:t> </w:t>
      </w:r>
      <w:r>
        <w:rPr>
          <w:sz w:val="20"/>
        </w:rPr>
        <w:t>will</w:t>
      </w:r>
      <w:r>
        <w:rPr>
          <w:spacing w:val="-10"/>
          <w:sz w:val="20"/>
        </w:rPr>
        <w:t> </w:t>
      </w:r>
      <w:r>
        <w:rPr>
          <w:sz w:val="20"/>
        </w:rPr>
        <w:t>do its</w:t>
      </w:r>
      <w:r>
        <w:rPr>
          <w:spacing w:val="-5"/>
          <w:sz w:val="20"/>
        </w:rPr>
        <w:t> </w:t>
      </w:r>
      <w:r>
        <w:rPr>
          <w:sz w:val="20"/>
        </w:rPr>
        <w:t>best</w:t>
      </w:r>
      <w:r>
        <w:rPr>
          <w:spacing w:val="-4"/>
          <w:sz w:val="20"/>
        </w:rPr>
        <w:t> </w:t>
      </w:r>
      <w:r>
        <w:rPr>
          <w:sz w:val="20"/>
        </w:rPr>
        <w:t>to</w:t>
      </w:r>
      <w:r>
        <w:rPr>
          <w:spacing w:val="-5"/>
          <w:sz w:val="20"/>
        </w:rPr>
        <w:t> </w:t>
      </w:r>
      <w:r>
        <w:rPr>
          <w:spacing w:val="-3"/>
          <w:sz w:val="20"/>
        </w:rPr>
        <w:t>provide</w:t>
      </w:r>
      <w:r>
        <w:rPr>
          <w:spacing w:val="-4"/>
          <w:sz w:val="20"/>
        </w:rPr>
        <w:t> </w:t>
      </w:r>
      <w:r>
        <w:rPr>
          <w:sz w:val="20"/>
        </w:rPr>
        <w:t>for</w:t>
      </w:r>
      <w:r>
        <w:rPr>
          <w:spacing w:val="-5"/>
          <w:sz w:val="20"/>
        </w:rPr>
        <w:t> </w:t>
      </w:r>
      <w:r>
        <w:rPr>
          <w:sz w:val="20"/>
        </w:rPr>
        <w:t>those</w:t>
      </w:r>
      <w:r>
        <w:rPr>
          <w:spacing w:val="-4"/>
          <w:sz w:val="20"/>
        </w:rPr>
        <w:t> </w:t>
      </w:r>
      <w:r>
        <w:rPr>
          <w:spacing w:val="-3"/>
          <w:sz w:val="20"/>
        </w:rPr>
        <w:t>needs’,</w:t>
      </w:r>
      <w:r>
        <w:rPr>
          <w:spacing w:val="-5"/>
          <w:sz w:val="20"/>
        </w:rPr>
        <w:t> </w:t>
      </w:r>
      <w:r>
        <w:rPr>
          <w:sz w:val="20"/>
        </w:rPr>
        <w:t>the</w:t>
      </w:r>
      <w:r>
        <w:rPr>
          <w:spacing w:val="-4"/>
          <w:sz w:val="20"/>
        </w:rPr>
        <w:t> </w:t>
      </w:r>
      <w:r>
        <w:rPr>
          <w:sz w:val="20"/>
        </w:rPr>
        <w:t>courts</w:t>
      </w:r>
      <w:r>
        <w:rPr>
          <w:spacing w:val="-5"/>
          <w:sz w:val="20"/>
        </w:rPr>
        <w:t> </w:t>
      </w:r>
      <w:r>
        <w:rPr>
          <w:sz w:val="20"/>
        </w:rPr>
        <w:t>also</w:t>
      </w:r>
      <w:r>
        <w:rPr>
          <w:spacing w:val="-4"/>
          <w:sz w:val="20"/>
        </w:rPr>
        <w:t> </w:t>
      </w:r>
      <w:r>
        <w:rPr>
          <w:spacing w:val="-3"/>
          <w:sz w:val="20"/>
        </w:rPr>
        <w:t>told</w:t>
      </w:r>
      <w:r>
        <w:rPr>
          <w:spacing w:val="-5"/>
          <w:sz w:val="20"/>
        </w:rPr>
        <w:t> </w:t>
      </w:r>
      <w:r>
        <w:rPr>
          <w:sz w:val="20"/>
        </w:rPr>
        <w:t>us</w:t>
      </w:r>
      <w:r>
        <w:rPr>
          <w:spacing w:val="-4"/>
          <w:sz w:val="20"/>
        </w:rPr>
        <w:t> </w:t>
      </w:r>
      <w:r>
        <w:rPr>
          <w:sz w:val="20"/>
        </w:rPr>
        <w:t>that:</w:t>
      </w:r>
    </w:p>
    <w:p>
      <w:pPr>
        <w:spacing w:line="208" w:lineRule="auto" w:before="120"/>
        <w:ind w:left="2157" w:right="1386" w:firstLine="0"/>
        <w:jc w:val="left"/>
        <w:rPr>
          <w:sz w:val="11"/>
        </w:rPr>
      </w:pPr>
      <w:r>
        <w:rPr>
          <w:sz w:val="19"/>
        </w:rPr>
        <w:t>For a juror, as opposed to a defendant or a witness (who must attend the trial), there are limits to the supports that it is reasonable for the court to provide.</w:t>
      </w:r>
      <w:r>
        <w:rPr>
          <w:position w:val="6"/>
          <w:sz w:val="11"/>
        </w:rPr>
        <w:t>102</w:t>
      </w:r>
    </w:p>
    <w:p>
      <w:pPr>
        <w:pStyle w:val="ListParagraph"/>
        <w:numPr>
          <w:ilvl w:val="1"/>
          <w:numId w:val="12"/>
        </w:numPr>
        <w:tabs>
          <w:tab w:pos="1761" w:val="left" w:leader="none"/>
          <w:tab w:pos="1762" w:val="left" w:leader="none"/>
        </w:tabs>
        <w:spacing w:line="206" w:lineRule="auto" w:before="123" w:after="0"/>
        <w:ind w:left="1761" w:right="1255" w:hanging="794"/>
        <w:jc w:val="left"/>
        <w:rPr>
          <w:sz w:val="11"/>
        </w:rPr>
      </w:pPr>
      <w:r>
        <w:rPr>
          <w:sz w:val="20"/>
        </w:rPr>
        <w:t>A</w:t>
      </w:r>
      <w:r>
        <w:rPr>
          <w:spacing w:val="-11"/>
          <w:sz w:val="20"/>
        </w:rPr>
        <w:t> </w:t>
      </w:r>
      <w:r>
        <w:rPr>
          <w:sz w:val="20"/>
        </w:rPr>
        <w:t>judge</w:t>
      </w:r>
      <w:r>
        <w:rPr>
          <w:spacing w:val="-11"/>
          <w:sz w:val="20"/>
        </w:rPr>
        <w:t> </w:t>
      </w:r>
      <w:r>
        <w:rPr>
          <w:sz w:val="20"/>
        </w:rPr>
        <w:t>will</w:t>
      </w:r>
      <w:r>
        <w:rPr>
          <w:spacing w:val="-11"/>
          <w:sz w:val="20"/>
        </w:rPr>
        <w:t> </w:t>
      </w:r>
      <w:r>
        <w:rPr>
          <w:spacing w:val="-3"/>
          <w:sz w:val="20"/>
        </w:rPr>
        <w:t>make</w:t>
      </w:r>
      <w:r>
        <w:rPr>
          <w:spacing w:val="-11"/>
          <w:sz w:val="20"/>
        </w:rPr>
        <w:t> </w:t>
      </w:r>
      <w:r>
        <w:rPr>
          <w:sz w:val="20"/>
        </w:rPr>
        <w:t>the</w:t>
      </w:r>
      <w:r>
        <w:rPr>
          <w:spacing w:val="-11"/>
          <w:sz w:val="20"/>
        </w:rPr>
        <w:t> </w:t>
      </w:r>
      <w:r>
        <w:rPr>
          <w:sz w:val="20"/>
        </w:rPr>
        <w:t>decision</w:t>
      </w:r>
      <w:r>
        <w:rPr>
          <w:spacing w:val="-11"/>
          <w:sz w:val="20"/>
        </w:rPr>
        <w:t> </w:t>
      </w:r>
      <w:r>
        <w:rPr>
          <w:sz w:val="20"/>
        </w:rPr>
        <w:t>about</w:t>
      </w:r>
      <w:r>
        <w:rPr>
          <w:spacing w:val="-11"/>
          <w:sz w:val="20"/>
        </w:rPr>
        <w:t> </w:t>
      </w:r>
      <w:r>
        <w:rPr>
          <w:sz w:val="20"/>
        </w:rPr>
        <w:t>whether</w:t>
      </w:r>
      <w:r>
        <w:rPr>
          <w:spacing w:val="-11"/>
          <w:sz w:val="20"/>
        </w:rPr>
        <w:t> </w:t>
      </w:r>
      <w:r>
        <w:rPr>
          <w:sz w:val="20"/>
        </w:rPr>
        <w:t>a</w:t>
      </w:r>
      <w:r>
        <w:rPr>
          <w:spacing w:val="-11"/>
          <w:sz w:val="20"/>
        </w:rPr>
        <w:t> </w:t>
      </w:r>
      <w:r>
        <w:rPr>
          <w:sz w:val="20"/>
        </w:rPr>
        <w:t>trial</w:t>
      </w:r>
      <w:r>
        <w:rPr>
          <w:spacing w:val="-11"/>
          <w:sz w:val="20"/>
        </w:rPr>
        <w:t> </w:t>
      </w:r>
      <w:r>
        <w:rPr>
          <w:sz w:val="20"/>
        </w:rPr>
        <w:t>is</w:t>
      </w:r>
      <w:r>
        <w:rPr>
          <w:spacing w:val="-11"/>
          <w:sz w:val="20"/>
        </w:rPr>
        <w:t> </w:t>
      </w:r>
      <w:r>
        <w:rPr>
          <w:sz w:val="20"/>
        </w:rPr>
        <w:t>suitable</w:t>
      </w:r>
      <w:r>
        <w:rPr>
          <w:spacing w:val="-11"/>
          <w:sz w:val="20"/>
        </w:rPr>
        <w:t> </w:t>
      </w:r>
      <w:r>
        <w:rPr>
          <w:sz w:val="20"/>
        </w:rPr>
        <w:t>for</w:t>
      </w:r>
      <w:r>
        <w:rPr>
          <w:spacing w:val="-11"/>
          <w:sz w:val="20"/>
        </w:rPr>
        <w:t> </w:t>
      </w:r>
      <w:r>
        <w:rPr>
          <w:sz w:val="20"/>
        </w:rPr>
        <w:t>a</w:t>
      </w:r>
      <w:r>
        <w:rPr>
          <w:spacing w:val="-11"/>
          <w:sz w:val="20"/>
        </w:rPr>
        <w:t> </w:t>
      </w:r>
      <w:r>
        <w:rPr>
          <w:sz w:val="20"/>
        </w:rPr>
        <w:t>juror</w:t>
      </w:r>
      <w:r>
        <w:rPr>
          <w:spacing w:val="-11"/>
          <w:sz w:val="20"/>
        </w:rPr>
        <w:t> </w:t>
      </w:r>
      <w:r>
        <w:rPr>
          <w:sz w:val="20"/>
        </w:rPr>
        <w:t>with</w:t>
      </w:r>
      <w:r>
        <w:rPr>
          <w:spacing w:val="-11"/>
          <w:sz w:val="20"/>
        </w:rPr>
        <w:t> </w:t>
      </w:r>
      <w:r>
        <w:rPr>
          <w:sz w:val="20"/>
        </w:rPr>
        <w:t>disability, either </w:t>
      </w:r>
      <w:r>
        <w:rPr>
          <w:spacing w:val="-3"/>
          <w:sz w:val="20"/>
        </w:rPr>
        <w:t>before </w:t>
      </w:r>
      <w:r>
        <w:rPr>
          <w:sz w:val="20"/>
        </w:rPr>
        <w:t>the trial or on the </w:t>
      </w:r>
      <w:r>
        <w:rPr>
          <w:spacing w:val="-3"/>
          <w:sz w:val="20"/>
        </w:rPr>
        <w:t>day </w:t>
      </w:r>
      <w:r>
        <w:rPr>
          <w:sz w:val="20"/>
        </w:rPr>
        <w:t>of trial. </w:t>
      </w:r>
      <w:r>
        <w:rPr>
          <w:spacing w:val="-6"/>
          <w:sz w:val="20"/>
        </w:rPr>
        <w:t>We </w:t>
      </w:r>
      <w:r>
        <w:rPr>
          <w:spacing w:val="-4"/>
          <w:sz w:val="20"/>
        </w:rPr>
        <w:t>were </w:t>
      </w:r>
      <w:r>
        <w:rPr>
          <w:sz w:val="20"/>
        </w:rPr>
        <w:t>advised that ‘Sometimes the decision about whether to include a person who has a vision or hearing loss takes place</w:t>
      </w:r>
      <w:r>
        <w:rPr>
          <w:spacing w:val="-14"/>
          <w:sz w:val="20"/>
        </w:rPr>
        <w:t> </w:t>
      </w:r>
      <w:r>
        <w:rPr>
          <w:sz w:val="20"/>
        </w:rPr>
        <w:t>in</w:t>
      </w:r>
      <w:r>
        <w:rPr>
          <w:spacing w:val="-14"/>
          <w:sz w:val="20"/>
        </w:rPr>
        <w:t> </w:t>
      </w:r>
      <w:r>
        <w:rPr>
          <w:sz w:val="20"/>
        </w:rPr>
        <w:t>what</w:t>
      </w:r>
      <w:r>
        <w:rPr>
          <w:spacing w:val="-13"/>
          <w:sz w:val="20"/>
        </w:rPr>
        <w:t> </w:t>
      </w:r>
      <w:r>
        <w:rPr>
          <w:sz w:val="20"/>
        </w:rPr>
        <w:t>is</w:t>
      </w:r>
      <w:r>
        <w:rPr>
          <w:spacing w:val="-14"/>
          <w:sz w:val="20"/>
        </w:rPr>
        <w:t> </w:t>
      </w:r>
      <w:r>
        <w:rPr>
          <w:sz w:val="20"/>
        </w:rPr>
        <w:t>effectively</w:t>
      </w:r>
      <w:r>
        <w:rPr>
          <w:spacing w:val="-13"/>
          <w:sz w:val="20"/>
        </w:rPr>
        <w:t> </w:t>
      </w:r>
      <w:r>
        <w:rPr>
          <w:sz w:val="20"/>
        </w:rPr>
        <w:t>an</w:t>
      </w:r>
      <w:r>
        <w:rPr>
          <w:spacing w:val="-14"/>
          <w:sz w:val="20"/>
        </w:rPr>
        <w:t> </w:t>
      </w:r>
      <w:r>
        <w:rPr>
          <w:sz w:val="20"/>
        </w:rPr>
        <w:t>in-chambers</w:t>
      </w:r>
      <w:r>
        <w:rPr>
          <w:spacing w:val="-13"/>
          <w:sz w:val="20"/>
        </w:rPr>
        <w:t> </w:t>
      </w:r>
      <w:r>
        <w:rPr>
          <w:sz w:val="20"/>
        </w:rPr>
        <w:t>discussion</w:t>
      </w:r>
      <w:r>
        <w:rPr>
          <w:spacing w:val="-14"/>
          <w:sz w:val="20"/>
        </w:rPr>
        <w:t> </w:t>
      </w:r>
      <w:r>
        <w:rPr>
          <w:sz w:val="20"/>
        </w:rPr>
        <w:t>between</w:t>
      </w:r>
      <w:r>
        <w:rPr>
          <w:spacing w:val="-13"/>
          <w:sz w:val="20"/>
        </w:rPr>
        <w:t> </w:t>
      </w:r>
      <w:r>
        <w:rPr>
          <w:sz w:val="20"/>
        </w:rPr>
        <w:t>the</w:t>
      </w:r>
      <w:r>
        <w:rPr>
          <w:spacing w:val="-14"/>
          <w:sz w:val="20"/>
        </w:rPr>
        <w:t> </w:t>
      </w:r>
      <w:r>
        <w:rPr>
          <w:sz w:val="20"/>
        </w:rPr>
        <w:t>judge,</w:t>
      </w:r>
      <w:r>
        <w:rPr>
          <w:spacing w:val="-13"/>
          <w:sz w:val="20"/>
        </w:rPr>
        <w:t> </w:t>
      </w:r>
      <w:r>
        <w:rPr>
          <w:sz w:val="20"/>
        </w:rPr>
        <w:t>counsel</w:t>
      </w:r>
      <w:r>
        <w:rPr>
          <w:spacing w:val="-14"/>
          <w:sz w:val="20"/>
        </w:rPr>
        <w:t> </w:t>
      </w:r>
      <w:r>
        <w:rPr>
          <w:sz w:val="20"/>
        </w:rPr>
        <w:t>and the potential </w:t>
      </w:r>
      <w:r>
        <w:rPr>
          <w:spacing w:val="-4"/>
          <w:sz w:val="20"/>
        </w:rPr>
        <w:t>juror, </w:t>
      </w:r>
      <w:r>
        <w:rPr>
          <w:sz w:val="20"/>
        </w:rPr>
        <w:t>in a sensitive and practical</w:t>
      </w:r>
      <w:r>
        <w:rPr>
          <w:spacing w:val="-37"/>
          <w:sz w:val="20"/>
        </w:rPr>
        <w:t> </w:t>
      </w:r>
      <w:r>
        <w:rPr>
          <w:sz w:val="20"/>
        </w:rPr>
        <w:t>manner’.</w:t>
      </w:r>
      <w:r>
        <w:rPr>
          <w:position w:val="7"/>
          <w:sz w:val="11"/>
        </w:rPr>
        <w:t>103</w:t>
      </w:r>
    </w:p>
    <w:p>
      <w:pPr>
        <w:pStyle w:val="ListParagraph"/>
        <w:numPr>
          <w:ilvl w:val="1"/>
          <w:numId w:val="12"/>
        </w:numPr>
        <w:tabs>
          <w:tab w:pos="1761" w:val="left" w:leader="none"/>
          <w:tab w:pos="1762" w:val="left" w:leader="none"/>
        </w:tabs>
        <w:spacing w:line="206" w:lineRule="auto" w:before="127" w:after="0"/>
        <w:ind w:left="1761" w:right="1563" w:hanging="794"/>
        <w:jc w:val="left"/>
        <w:rPr>
          <w:sz w:val="20"/>
        </w:rPr>
      </w:pPr>
      <w:r>
        <w:rPr>
          <w:sz w:val="20"/>
        </w:rPr>
        <w:t>The</w:t>
      </w:r>
      <w:r>
        <w:rPr>
          <w:spacing w:val="-9"/>
          <w:sz w:val="20"/>
        </w:rPr>
        <w:t> </w:t>
      </w:r>
      <w:r>
        <w:rPr>
          <w:i/>
          <w:sz w:val="20"/>
        </w:rPr>
        <w:t>Juries</w:t>
      </w:r>
      <w:r>
        <w:rPr>
          <w:i/>
          <w:spacing w:val="-8"/>
          <w:sz w:val="20"/>
        </w:rPr>
        <w:t> </w:t>
      </w:r>
      <w:r>
        <w:rPr>
          <w:i/>
          <w:sz w:val="20"/>
        </w:rPr>
        <w:t>Act</w:t>
      </w:r>
      <w:r>
        <w:rPr>
          <w:i/>
          <w:spacing w:val="-8"/>
          <w:sz w:val="20"/>
        </w:rPr>
        <w:t> </w:t>
      </w:r>
      <w:r>
        <w:rPr>
          <w:i/>
          <w:sz w:val="20"/>
        </w:rPr>
        <w:t>1981</w:t>
      </w:r>
      <w:r>
        <w:rPr>
          <w:i/>
          <w:spacing w:val="-7"/>
          <w:sz w:val="20"/>
        </w:rPr>
        <w:t> </w:t>
      </w:r>
      <w:r>
        <w:rPr>
          <w:sz w:val="20"/>
        </w:rPr>
        <w:t>(NZ)</w:t>
      </w:r>
      <w:r>
        <w:rPr>
          <w:spacing w:val="-8"/>
          <w:sz w:val="20"/>
        </w:rPr>
        <w:t> </w:t>
      </w:r>
      <w:r>
        <w:rPr>
          <w:sz w:val="20"/>
        </w:rPr>
        <w:t>states</w:t>
      </w:r>
      <w:r>
        <w:rPr>
          <w:spacing w:val="-8"/>
          <w:sz w:val="20"/>
        </w:rPr>
        <w:t> </w:t>
      </w:r>
      <w:r>
        <w:rPr>
          <w:sz w:val="20"/>
        </w:rPr>
        <w:t>that</w:t>
      </w:r>
      <w:r>
        <w:rPr>
          <w:spacing w:val="-8"/>
          <w:sz w:val="20"/>
        </w:rPr>
        <w:t> </w:t>
      </w:r>
      <w:r>
        <w:rPr>
          <w:sz w:val="20"/>
        </w:rPr>
        <w:t>a</w:t>
      </w:r>
      <w:r>
        <w:rPr>
          <w:spacing w:val="-8"/>
          <w:sz w:val="20"/>
        </w:rPr>
        <w:t> </w:t>
      </w:r>
      <w:r>
        <w:rPr>
          <w:sz w:val="20"/>
        </w:rPr>
        <w:t>judge</w:t>
      </w:r>
      <w:r>
        <w:rPr>
          <w:spacing w:val="-8"/>
          <w:sz w:val="20"/>
        </w:rPr>
        <w:t> </w:t>
      </w:r>
      <w:r>
        <w:rPr>
          <w:spacing w:val="-3"/>
          <w:sz w:val="20"/>
        </w:rPr>
        <w:t>may</w:t>
      </w:r>
      <w:r>
        <w:rPr>
          <w:spacing w:val="-8"/>
          <w:sz w:val="20"/>
        </w:rPr>
        <w:t> </w:t>
      </w:r>
      <w:r>
        <w:rPr>
          <w:sz w:val="20"/>
        </w:rPr>
        <w:t>cancel</w:t>
      </w:r>
      <w:r>
        <w:rPr>
          <w:spacing w:val="-8"/>
          <w:sz w:val="20"/>
        </w:rPr>
        <w:t> </w:t>
      </w:r>
      <w:r>
        <w:rPr>
          <w:sz w:val="20"/>
        </w:rPr>
        <w:t>the</w:t>
      </w:r>
      <w:r>
        <w:rPr>
          <w:spacing w:val="-8"/>
          <w:sz w:val="20"/>
        </w:rPr>
        <w:t> </w:t>
      </w:r>
      <w:r>
        <w:rPr>
          <w:sz w:val="20"/>
        </w:rPr>
        <w:t>summons</w:t>
      </w:r>
      <w:r>
        <w:rPr>
          <w:spacing w:val="-9"/>
          <w:sz w:val="20"/>
        </w:rPr>
        <w:t> </w:t>
      </w:r>
      <w:r>
        <w:rPr>
          <w:sz w:val="20"/>
        </w:rPr>
        <w:t>of</w:t>
      </w:r>
      <w:r>
        <w:rPr>
          <w:spacing w:val="-8"/>
          <w:sz w:val="20"/>
        </w:rPr>
        <w:t> </w:t>
      </w:r>
      <w:r>
        <w:rPr>
          <w:sz w:val="20"/>
        </w:rPr>
        <w:t>a</w:t>
      </w:r>
      <w:r>
        <w:rPr>
          <w:spacing w:val="-8"/>
          <w:sz w:val="20"/>
        </w:rPr>
        <w:t> </w:t>
      </w:r>
      <w:r>
        <w:rPr>
          <w:sz w:val="20"/>
        </w:rPr>
        <w:t>person</w:t>
      </w:r>
      <w:r>
        <w:rPr>
          <w:spacing w:val="-8"/>
          <w:sz w:val="20"/>
        </w:rPr>
        <w:t> </w:t>
      </w:r>
      <w:r>
        <w:rPr>
          <w:sz w:val="20"/>
        </w:rPr>
        <w:t>if satisfied</w:t>
      </w:r>
      <w:r>
        <w:rPr>
          <w:spacing w:val="-14"/>
          <w:sz w:val="20"/>
        </w:rPr>
        <w:t> </w:t>
      </w:r>
      <w:r>
        <w:rPr>
          <w:sz w:val="20"/>
        </w:rPr>
        <w:t>that,</w:t>
      </w:r>
      <w:r>
        <w:rPr>
          <w:spacing w:val="-14"/>
          <w:sz w:val="20"/>
        </w:rPr>
        <w:t> </w:t>
      </w:r>
      <w:r>
        <w:rPr>
          <w:sz w:val="20"/>
        </w:rPr>
        <w:t>because</w:t>
      </w:r>
      <w:r>
        <w:rPr>
          <w:spacing w:val="-14"/>
          <w:sz w:val="20"/>
        </w:rPr>
        <w:t> </w:t>
      </w:r>
      <w:r>
        <w:rPr>
          <w:sz w:val="20"/>
        </w:rPr>
        <w:t>of</w:t>
      </w:r>
      <w:r>
        <w:rPr>
          <w:spacing w:val="-14"/>
          <w:sz w:val="20"/>
        </w:rPr>
        <w:t> </w:t>
      </w:r>
      <w:r>
        <w:rPr>
          <w:sz w:val="20"/>
        </w:rPr>
        <w:t>disability,</w:t>
      </w:r>
      <w:r>
        <w:rPr>
          <w:spacing w:val="-14"/>
          <w:sz w:val="20"/>
        </w:rPr>
        <w:t> </w:t>
      </w:r>
      <w:r>
        <w:rPr>
          <w:sz w:val="20"/>
        </w:rPr>
        <w:t>the</w:t>
      </w:r>
      <w:r>
        <w:rPr>
          <w:spacing w:val="-14"/>
          <w:sz w:val="20"/>
        </w:rPr>
        <w:t> </w:t>
      </w:r>
      <w:r>
        <w:rPr>
          <w:sz w:val="20"/>
        </w:rPr>
        <w:t>person</w:t>
      </w:r>
      <w:r>
        <w:rPr>
          <w:spacing w:val="-13"/>
          <w:sz w:val="20"/>
        </w:rPr>
        <w:t> </w:t>
      </w:r>
      <w:r>
        <w:rPr>
          <w:sz w:val="20"/>
        </w:rPr>
        <w:t>is</w:t>
      </w:r>
      <w:r>
        <w:rPr>
          <w:spacing w:val="-14"/>
          <w:sz w:val="20"/>
        </w:rPr>
        <w:t> </w:t>
      </w:r>
      <w:r>
        <w:rPr>
          <w:sz w:val="20"/>
        </w:rPr>
        <w:t>not</w:t>
      </w:r>
      <w:r>
        <w:rPr>
          <w:spacing w:val="-14"/>
          <w:sz w:val="20"/>
        </w:rPr>
        <w:t> </w:t>
      </w:r>
      <w:r>
        <w:rPr>
          <w:sz w:val="20"/>
        </w:rPr>
        <w:t>capable</w:t>
      </w:r>
      <w:r>
        <w:rPr>
          <w:spacing w:val="-14"/>
          <w:sz w:val="20"/>
        </w:rPr>
        <w:t> </w:t>
      </w:r>
      <w:r>
        <w:rPr>
          <w:sz w:val="20"/>
        </w:rPr>
        <w:t>of</w:t>
      </w:r>
      <w:r>
        <w:rPr>
          <w:spacing w:val="-14"/>
          <w:sz w:val="20"/>
        </w:rPr>
        <w:t> </w:t>
      </w:r>
      <w:r>
        <w:rPr>
          <w:sz w:val="20"/>
        </w:rPr>
        <w:t>acting</w:t>
      </w:r>
      <w:r>
        <w:rPr>
          <w:spacing w:val="-14"/>
          <w:sz w:val="20"/>
        </w:rPr>
        <w:t> </w:t>
      </w:r>
      <w:r>
        <w:rPr>
          <w:sz w:val="20"/>
        </w:rPr>
        <w:t>effectively</w:t>
      </w:r>
      <w:r>
        <w:rPr>
          <w:spacing w:val="-14"/>
          <w:sz w:val="20"/>
        </w:rPr>
        <w:t> </w:t>
      </w:r>
      <w:r>
        <w:rPr>
          <w:sz w:val="20"/>
        </w:rPr>
        <w:t>as a </w:t>
      </w:r>
      <w:r>
        <w:rPr>
          <w:spacing w:val="-3"/>
          <w:sz w:val="20"/>
        </w:rPr>
        <w:t>juror.</w:t>
      </w:r>
      <w:r>
        <w:rPr>
          <w:spacing w:val="-3"/>
          <w:position w:val="7"/>
          <w:sz w:val="11"/>
        </w:rPr>
        <w:t>104 </w:t>
      </w:r>
      <w:r>
        <w:rPr>
          <w:sz w:val="20"/>
        </w:rPr>
        <w:t>This can occur on the </w:t>
      </w:r>
      <w:r>
        <w:rPr>
          <w:spacing w:val="-3"/>
          <w:sz w:val="20"/>
        </w:rPr>
        <w:t>judge’s own </w:t>
      </w:r>
      <w:r>
        <w:rPr>
          <w:sz w:val="20"/>
        </w:rPr>
        <w:t>motion or in response to an application </w:t>
      </w:r>
      <w:r>
        <w:rPr>
          <w:spacing w:val="-3"/>
          <w:sz w:val="20"/>
        </w:rPr>
        <w:t>by</w:t>
      </w:r>
      <w:r>
        <w:rPr>
          <w:spacing w:val="-10"/>
          <w:sz w:val="20"/>
        </w:rPr>
        <w:t> </w:t>
      </w:r>
      <w:r>
        <w:rPr>
          <w:sz w:val="20"/>
        </w:rPr>
        <w:t>the</w:t>
      </w:r>
      <w:r>
        <w:rPr>
          <w:spacing w:val="-10"/>
          <w:sz w:val="20"/>
        </w:rPr>
        <w:t> </w:t>
      </w:r>
      <w:r>
        <w:rPr>
          <w:sz w:val="20"/>
        </w:rPr>
        <w:t>Registrar</w:t>
      </w:r>
      <w:r>
        <w:rPr>
          <w:spacing w:val="-10"/>
          <w:sz w:val="20"/>
        </w:rPr>
        <w:t> </w:t>
      </w:r>
      <w:r>
        <w:rPr>
          <w:sz w:val="20"/>
        </w:rPr>
        <w:t>or</w:t>
      </w:r>
      <w:r>
        <w:rPr>
          <w:spacing w:val="-10"/>
          <w:sz w:val="20"/>
        </w:rPr>
        <w:t> </w:t>
      </w:r>
      <w:r>
        <w:rPr>
          <w:sz w:val="20"/>
        </w:rPr>
        <w:t>staff</w:t>
      </w:r>
      <w:r>
        <w:rPr>
          <w:spacing w:val="-10"/>
          <w:sz w:val="20"/>
        </w:rPr>
        <w:t> </w:t>
      </w:r>
      <w:r>
        <w:rPr>
          <w:sz w:val="20"/>
        </w:rPr>
        <w:t>responsible</w:t>
      </w:r>
      <w:r>
        <w:rPr>
          <w:spacing w:val="-10"/>
          <w:sz w:val="20"/>
        </w:rPr>
        <w:t> </w:t>
      </w:r>
      <w:r>
        <w:rPr>
          <w:sz w:val="20"/>
        </w:rPr>
        <w:t>for</w:t>
      </w:r>
      <w:r>
        <w:rPr>
          <w:spacing w:val="-10"/>
          <w:sz w:val="20"/>
        </w:rPr>
        <w:t> </w:t>
      </w:r>
      <w:r>
        <w:rPr>
          <w:sz w:val="20"/>
        </w:rPr>
        <w:t>jury</w:t>
      </w:r>
      <w:r>
        <w:rPr>
          <w:spacing w:val="-10"/>
          <w:sz w:val="20"/>
        </w:rPr>
        <w:t> </w:t>
      </w:r>
      <w:r>
        <w:rPr>
          <w:sz w:val="20"/>
        </w:rPr>
        <w:t>service.</w:t>
      </w:r>
      <w:r>
        <w:rPr>
          <w:spacing w:val="-9"/>
          <w:sz w:val="20"/>
        </w:rPr>
        <w:t> </w:t>
      </w:r>
      <w:r>
        <w:rPr>
          <w:sz w:val="20"/>
        </w:rPr>
        <w:t>The</w:t>
      </w:r>
      <w:r>
        <w:rPr>
          <w:spacing w:val="-10"/>
          <w:sz w:val="20"/>
        </w:rPr>
        <w:t> </w:t>
      </w:r>
      <w:r>
        <w:rPr>
          <w:sz w:val="20"/>
        </w:rPr>
        <w:t>application</w:t>
      </w:r>
      <w:r>
        <w:rPr>
          <w:spacing w:val="-10"/>
          <w:sz w:val="20"/>
        </w:rPr>
        <w:t> </w:t>
      </w:r>
      <w:r>
        <w:rPr>
          <w:sz w:val="20"/>
        </w:rPr>
        <w:t>must</w:t>
      </w:r>
      <w:r>
        <w:rPr>
          <w:spacing w:val="-10"/>
          <w:sz w:val="20"/>
        </w:rPr>
        <w:t> </w:t>
      </w:r>
      <w:r>
        <w:rPr>
          <w:sz w:val="20"/>
        </w:rPr>
        <w:t>be</w:t>
      </w:r>
      <w:r>
        <w:rPr>
          <w:spacing w:val="-10"/>
          <w:sz w:val="20"/>
        </w:rPr>
        <w:t> </w:t>
      </w:r>
      <w:r>
        <w:rPr>
          <w:sz w:val="20"/>
        </w:rPr>
        <w:t>made</w:t>
      </w:r>
    </w:p>
    <w:p>
      <w:pPr>
        <w:pStyle w:val="BodyText"/>
        <w:spacing w:line="206" w:lineRule="auto" w:before="5"/>
        <w:ind w:left="1761" w:right="1277"/>
        <w:rPr>
          <w:sz w:val="11"/>
        </w:rPr>
      </w:pPr>
      <w:r>
        <w:rPr>
          <w:spacing w:val="-3"/>
        </w:rPr>
        <w:t>before</w:t>
      </w:r>
      <w:r>
        <w:rPr>
          <w:spacing w:val="-10"/>
        </w:rPr>
        <w:t> </w:t>
      </w:r>
      <w:r>
        <w:rPr/>
        <w:t>the</w:t>
      </w:r>
      <w:r>
        <w:rPr>
          <w:spacing w:val="-10"/>
        </w:rPr>
        <w:t> </w:t>
      </w:r>
      <w:r>
        <w:rPr/>
        <w:t>jury</w:t>
      </w:r>
      <w:r>
        <w:rPr>
          <w:spacing w:val="-9"/>
        </w:rPr>
        <w:t> </w:t>
      </w:r>
      <w:r>
        <w:rPr/>
        <w:t>is</w:t>
      </w:r>
      <w:r>
        <w:rPr>
          <w:spacing w:val="-10"/>
        </w:rPr>
        <w:t> </w:t>
      </w:r>
      <w:r>
        <w:rPr/>
        <w:t>constituted,</w:t>
      </w:r>
      <w:r>
        <w:rPr>
          <w:spacing w:val="-9"/>
        </w:rPr>
        <w:t> </w:t>
      </w:r>
      <w:r>
        <w:rPr/>
        <w:t>is</w:t>
      </w:r>
      <w:r>
        <w:rPr>
          <w:spacing w:val="-10"/>
        </w:rPr>
        <w:t> </w:t>
      </w:r>
      <w:r>
        <w:rPr/>
        <w:t>heard</w:t>
      </w:r>
      <w:r>
        <w:rPr>
          <w:spacing w:val="-9"/>
        </w:rPr>
        <w:t> </w:t>
      </w:r>
      <w:r>
        <w:rPr/>
        <w:t>in</w:t>
      </w:r>
      <w:r>
        <w:rPr>
          <w:spacing w:val="-10"/>
        </w:rPr>
        <w:t> </w:t>
      </w:r>
      <w:r>
        <w:rPr>
          <w:spacing w:val="-3"/>
        </w:rPr>
        <w:t>private,</w:t>
      </w:r>
      <w:r>
        <w:rPr>
          <w:spacing w:val="-10"/>
        </w:rPr>
        <w:t> </w:t>
      </w:r>
      <w:r>
        <w:rPr/>
        <w:t>and</w:t>
      </w:r>
      <w:r>
        <w:rPr>
          <w:spacing w:val="-9"/>
        </w:rPr>
        <w:t> </w:t>
      </w:r>
      <w:r>
        <w:rPr/>
        <w:t>conducted</w:t>
      </w:r>
      <w:r>
        <w:rPr>
          <w:spacing w:val="-10"/>
        </w:rPr>
        <w:t> </w:t>
      </w:r>
      <w:r>
        <w:rPr/>
        <w:t>at</w:t>
      </w:r>
      <w:r>
        <w:rPr>
          <w:spacing w:val="-9"/>
        </w:rPr>
        <w:t> </w:t>
      </w:r>
      <w:r>
        <w:rPr/>
        <w:t>the</w:t>
      </w:r>
      <w:r>
        <w:rPr>
          <w:spacing w:val="-10"/>
        </w:rPr>
        <w:t> </w:t>
      </w:r>
      <w:r>
        <w:rPr/>
        <w:t>discretion</w:t>
      </w:r>
      <w:r>
        <w:rPr>
          <w:spacing w:val="-9"/>
        </w:rPr>
        <w:t> </w:t>
      </w:r>
      <w:r>
        <w:rPr/>
        <w:t>of</w:t>
      </w:r>
      <w:r>
        <w:rPr>
          <w:spacing w:val="-10"/>
        </w:rPr>
        <w:t> </w:t>
      </w:r>
      <w:r>
        <w:rPr/>
        <w:t>the judge.</w:t>
      </w:r>
      <w:r>
        <w:rPr>
          <w:position w:val="7"/>
          <w:sz w:val="11"/>
        </w:rPr>
        <w:t>105</w:t>
      </w:r>
    </w:p>
    <w:p>
      <w:pPr>
        <w:pStyle w:val="Heading6"/>
        <w:spacing w:before="127"/>
        <w:rPr>
          <w:b/>
        </w:rPr>
      </w:pPr>
      <w:r>
        <w:rPr>
          <w:b/>
        </w:rPr>
        <w:t>The experience of jurors in New Zealand</w:t>
      </w:r>
    </w:p>
    <w:p>
      <w:pPr>
        <w:pStyle w:val="ListParagraph"/>
        <w:numPr>
          <w:ilvl w:val="1"/>
          <w:numId w:val="12"/>
        </w:numPr>
        <w:tabs>
          <w:tab w:pos="1761" w:val="left" w:leader="none"/>
          <w:tab w:pos="1762" w:val="left" w:leader="none"/>
        </w:tabs>
        <w:spacing w:line="206" w:lineRule="auto" w:before="132" w:after="0"/>
        <w:ind w:left="1761" w:right="1208" w:hanging="794"/>
        <w:jc w:val="left"/>
        <w:rPr>
          <w:sz w:val="20"/>
        </w:rPr>
      </w:pPr>
      <w:r>
        <w:rPr>
          <w:spacing w:val="-6"/>
          <w:sz w:val="20"/>
        </w:rPr>
        <w:t>We </w:t>
      </w:r>
      <w:r>
        <w:rPr>
          <w:spacing w:val="-4"/>
          <w:sz w:val="20"/>
        </w:rPr>
        <w:t>were </w:t>
      </w:r>
      <w:r>
        <w:rPr>
          <w:spacing w:val="-3"/>
          <w:sz w:val="20"/>
        </w:rPr>
        <w:t>told by </w:t>
      </w:r>
      <w:r>
        <w:rPr>
          <w:sz w:val="20"/>
        </w:rPr>
        <w:t>consultees </w:t>
      </w:r>
      <w:r>
        <w:rPr>
          <w:spacing w:val="-3"/>
          <w:sz w:val="20"/>
        </w:rPr>
        <w:t>from </w:t>
      </w:r>
      <w:r>
        <w:rPr>
          <w:sz w:val="20"/>
        </w:rPr>
        <w:t>the High Court and District Court of New Zealand that</w:t>
      </w:r>
      <w:r>
        <w:rPr>
          <w:spacing w:val="-9"/>
          <w:sz w:val="20"/>
        </w:rPr>
        <w:t> </w:t>
      </w:r>
      <w:r>
        <w:rPr>
          <w:sz w:val="20"/>
        </w:rPr>
        <w:t>there</w:t>
      </w:r>
      <w:r>
        <w:rPr>
          <w:spacing w:val="-9"/>
          <w:sz w:val="20"/>
        </w:rPr>
        <w:t> </w:t>
      </w:r>
      <w:r>
        <w:rPr>
          <w:spacing w:val="-4"/>
          <w:sz w:val="20"/>
        </w:rPr>
        <w:t>have</w:t>
      </w:r>
      <w:r>
        <w:rPr>
          <w:spacing w:val="-9"/>
          <w:sz w:val="20"/>
        </w:rPr>
        <w:t> </w:t>
      </w:r>
      <w:r>
        <w:rPr>
          <w:sz w:val="20"/>
        </w:rPr>
        <w:t>been</w:t>
      </w:r>
      <w:r>
        <w:rPr>
          <w:spacing w:val="-9"/>
          <w:sz w:val="20"/>
        </w:rPr>
        <w:t> </w:t>
      </w:r>
      <w:r>
        <w:rPr>
          <w:sz w:val="20"/>
        </w:rPr>
        <w:t>some</w:t>
      </w:r>
      <w:r>
        <w:rPr>
          <w:spacing w:val="-9"/>
          <w:sz w:val="20"/>
        </w:rPr>
        <w:t> </w:t>
      </w:r>
      <w:r>
        <w:rPr>
          <w:spacing w:val="-3"/>
          <w:sz w:val="20"/>
        </w:rPr>
        <w:t>examples</w:t>
      </w:r>
      <w:r>
        <w:rPr>
          <w:spacing w:val="-8"/>
          <w:sz w:val="20"/>
        </w:rPr>
        <w:t> </w:t>
      </w:r>
      <w:r>
        <w:rPr>
          <w:sz w:val="20"/>
        </w:rPr>
        <w:t>of</w:t>
      </w:r>
      <w:r>
        <w:rPr>
          <w:spacing w:val="-9"/>
          <w:sz w:val="20"/>
        </w:rPr>
        <w:t> </w:t>
      </w:r>
      <w:r>
        <w:rPr>
          <w:sz w:val="20"/>
        </w:rPr>
        <w:t>jurors</w:t>
      </w:r>
      <w:r>
        <w:rPr>
          <w:spacing w:val="-9"/>
          <w:sz w:val="20"/>
        </w:rPr>
        <w:t> </w:t>
      </w:r>
      <w:r>
        <w:rPr>
          <w:spacing w:val="-3"/>
          <w:sz w:val="20"/>
        </w:rPr>
        <w:t>from</w:t>
      </w:r>
      <w:r>
        <w:rPr>
          <w:spacing w:val="-9"/>
          <w:sz w:val="20"/>
        </w:rPr>
        <w:t> </w:t>
      </w:r>
      <w:r>
        <w:rPr>
          <w:sz w:val="20"/>
        </w:rPr>
        <w:t>the</w:t>
      </w:r>
      <w:r>
        <w:rPr>
          <w:spacing w:val="-9"/>
          <w:sz w:val="20"/>
        </w:rPr>
        <w:t> </w:t>
      </w:r>
      <w:r>
        <w:rPr>
          <w:sz w:val="20"/>
        </w:rPr>
        <w:t>subject</w:t>
      </w:r>
      <w:r>
        <w:rPr>
          <w:spacing w:val="-9"/>
          <w:sz w:val="20"/>
        </w:rPr>
        <w:t> </w:t>
      </w:r>
      <w:r>
        <w:rPr>
          <w:sz w:val="20"/>
        </w:rPr>
        <w:t>groups</w:t>
      </w:r>
      <w:r>
        <w:rPr>
          <w:spacing w:val="-8"/>
          <w:sz w:val="20"/>
        </w:rPr>
        <w:t> </w:t>
      </w:r>
      <w:r>
        <w:rPr>
          <w:sz w:val="20"/>
        </w:rPr>
        <w:t>serving</w:t>
      </w:r>
      <w:r>
        <w:rPr>
          <w:spacing w:val="-9"/>
          <w:sz w:val="20"/>
        </w:rPr>
        <w:t> </w:t>
      </w:r>
      <w:r>
        <w:rPr>
          <w:sz w:val="20"/>
        </w:rPr>
        <w:t>on</w:t>
      </w:r>
      <w:r>
        <w:rPr>
          <w:spacing w:val="-9"/>
          <w:sz w:val="20"/>
        </w:rPr>
        <w:t> </w:t>
      </w:r>
      <w:r>
        <w:rPr>
          <w:sz w:val="20"/>
        </w:rPr>
        <w:t>juries in the District Court. It was noted</w:t>
      </w:r>
      <w:r>
        <w:rPr>
          <w:spacing w:val="-31"/>
          <w:sz w:val="20"/>
        </w:rPr>
        <w:t> </w:t>
      </w:r>
      <w:r>
        <w:rPr>
          <w:sz w:val="20"/>
        </w:rPr>
        <w:t>that:</w:t>
      </w:r>
    </w:p>
    <w:p>
      <w:pPr>
        <w:spacing w:line="208" w:lineRule="auto" w:before="121"/>
        <w:ind w:left="2157" w:right="1179" w:firstLine="0"/>
        <w:jc w:val="left"/>
        <w:rPr>
          <w:sz w:val="11"/>
        </w:rPr>
      </w:pPr>
      <w:r>
        <w:rPr>
          <w:sz w:val="19"/>
        </w:rPr>
        <w:t>Jurors who are blind/have </w:t>
      </w:r>
      <w:r>
        <w:rPr>
          <w:spacing w:val="-3"/>
          <w:sz w:val="19"/>
        </w:rPr>
        <w:t>low </w:t>
      </w:r>
      <w:r>
        <w:rPr>
          <w:sz w:val="19"/>
        </w:rPr>
        <w:t>vision are quite rare; </w:t>
      </w:r>
      <w:r>
        <w:rPr>
          <w:spacing w:val="-4"/>
          <w:sz w:val="19"/>
        </w:rPr>
        <w:t>however, </w:t>
      </w:r>
      <w:r>
        <w:rPr>
          <w:sz w:val="19"/>
        </w:rPr>
        <w:t>jurors who are </w:t>
      </w:r>
      <w:r>
        <w:rPr>
          <w:spacing w:val="-3"/>
          <w:sz w:val="19"/>
        </w:rPr>
        <w:t>deaf/ have </w:t>
      </w:r>
      <w:r>
        <w:rPr>
          <w:sz w:val="19"/>
        </w:rPr>
        <w:t>hearing loss </w:t>
      </w:r>
      <w:r>
        <w:rPr>
          <w:spacing w:val="-3"/>
          <w:sz w:val="19"/>
        </w:rPr>
        <w:t>have </w:t>
      </w:r>
      <w:r>
        <w:rPr>
          <w:sz w:val="19"/>
        </w:rPr>
        <w:t>been encountered reasonably regularly in the District Courts.</w:t>
      </w:r>
      <w:r>
        <w:rPr>
          <w:position w:val="6"/>
          <w:sz w:val="11"/>
        </w:rPr>
        <w:t>106</w:t>
      </w:r>
    </w:p>
    <w:p>
      <w:pPr>
        <w:pStyle w:val="ListParagraph"/>
        <w:numPr>
          <w:ilvl w:val="1"/>
          <w:numId w:val="12"/>
        </w:numPr>
        <w:tabs>
          <w:tab w:pos="1761" w:val="left" w:leader="none"/>
          <w:tab w:pos="1762" w:val="left" w:leader="none"/>
        </w:tabs>
        <w:spacing w:line="206" w:lineRule="auto" w:before="124" w:after="0"/>
        <w:ind w:left="1761" w:right="1241" w:hanging="794"/>
        <w:jc w:val="left"/>
        <w:rPr>
          <w:sz w:val="20"/>
        </w:rPr>
      </w:pPr>
      <w:r>
        <w:rPr>
          <w:sz w:val="20"/>
        </w:rPr>
        <w:t>In 2005, Dr </w:t>
      </w:r>
      <w:r>
        <w:rPr>
          <w:spacing w:val="-3"/>
          <w:sz w:val="20"/>
        </w:rPr>
        <w:t>David McKee, </w:t>
      </w:r>
      <w:r>
        <w:rPr>
          <w:sz w:val="20"/>
        </w:rPr>
        <w:t>a deaf studies teacher at Victoria University in </w:t>
      </w:r>
      <w:r>
        <w:rPr>
          <w:spacing w:val="-3"/>
          <w:sz w:val="20"/>
        </w:rPr>
        <w:t>Wellington, received</w:t>
      </w:r>
      <w:r>
        <w:rPr>
          <w:spacing w:val="-8"/>
          <w:sz w:val="20"/>
        </w:rPr>
        <w:t> </w:t>
      </w:r>
      <w:r>
        <w:rPr>
          <w:sz w:val="20"/>
        </w:rPr>
        <w:t>a</w:t>
      </w:r>
      <w:r>
        <w:rPr>
          <w:spacing w:val="-7"/>
          <w:sz w:val="20"/>
        </w:rPr>
        <w:t> </w:t>
      </w:r>
      <w:r>
        <w:rPr>
          <w:sz w:val="20"/>
        </w:rPr>
        <w:t>summons</w:t>
      </w:r>
      <w:r>
        <w:rPr>
          <w:spacing w:val="-7"/>
          <w:sz w:val="20"/>
        </w:rPr>
        <w:t> </w:t>
      </w:r>
      <w:r>
        <w:rPr>
          <w:sz w:val="20"/>
        </w:rPr>
        <w:t>to</w:t>
      </w:r>
      <w:r>
        <w:rPr>
          <w:spacing w:val="-7"/>
          <w:sz w:val="20"/>
        </w:rPr>
        <w:t> </w:t>
      </w:r>
      <w:r>
        <w:rPr>
          <w:sz w:val="20"/>
        </w:rPr>
        <w:t>serve</w:t>
      </w:r>
      <w:r>
        <w:rPr>
          <w:spacing w:val="-7"/>
          <w:sz w:val="20"/>
        </w:rPr>
        <w:t> </w:t>
      </w:r>
      <w:r>
        <w:rPr>
          <w:sz w:val="20"/>
        </w:rPr>
        <w:t>as</w:t>
      </w:r>
      <w:r>
        <w:rPr>
          <w:spacing w:val="-7"/>
          <w:sz w:val="20"/>
        </w:rPr>
        <w:t> </w:t>
      </w:r>
      <w:r>
        <w:rPr>
          <w:sz w:val="20"/>
        </w:rPr>
        <w:t>a</w:t>
      </w:r>
      <w:r>
        <w:rPr>
          <w:spacing w:val="-7"/>
          <w:sz w:val="20"/>
        </w:rPr>
        <w:t> </w:t>
      </w:r>
      <w:r>
        <w:rPr>
          <w:sz w:val="20"/>
        </w:rPr>
        <w:t>juror</w:t>
      </w:r>
      <w:r>
        <w:rPr>
          <w:spacing w:val="-7"/>
          <w:sz w:val="20"/>
        </w:rPr>
        <w:t> </w:t>
      </w:r>
      <w:r>
        <w:rPr>
          <w:sz w:val="20"/>
        </w:rPr>
        <w:t>in</w:t>
      </w:r>
      <w:r>
        <w:rPr>
          <w:spacing w:val="-7"/>
          <w:sz w:val="20"/>
        </w:rPr>
        <w:t> </w:t>
      </w:r>
      <w:r>
        <w:rPr>
          <w:sz w:val="20"/>
        </w:rPr>
        <w:t>the</w:t>
      </w:r>
      <w:r>
        <w:rPr>
          <w:spacing w:val="-7"/>
          <w:sz w:val="20"/>
        </w:rPr>
        <w:t> </w:t>
      </w:r>
      <w:r>
        <w:rPr>
          <w:spacing w:val="-3"/>
          <w:sz w:val="20"/>
        </w:rPr>
        <w:t>Wellington</w:t>
      </w:r>
      <w:r>
        <w:rPr>
          <w:spacing w:val="-7"/>
          <w:sz w:val="20"/>
        </w:rPr>
        <w:t> </w:t>
      </w:r>
      <w:r>
        <w:rPr>
          <w:sz w:val="20"/>
        </w:rPr>
        <w:t>District</w:t>
      </w:r>
      <w:r>
        <w:rPr>
          <w:spacing w:val="-7"/>
          <w:sz w:val="20"/>
        </w:rPr>
        <w:t> </w:t>
      </w:r>
      <w:r>
        <w:rPr>
          <w:sz w:val="20"/>
        </w:rPr>
        <w:t>Court.</w:t>
      </w:r>
      <w:r>
        <w:rPr>
          <w:spacing w:val="-8"/>
          <w:sz w:val="20"/>
        </w:rPr>
        <w:t> </w:t>
      </w:r>
      <w:r>
        <w:rPr>
          <w:sz w:val="20"/>
        </w:rPr>
        <w:t>His</w:t>
      </w:r>
      <w:r>
        <w:rPr>
          <w:spacing w:val="-7"/>
          <w:sz w:val="20"/>
        </w:rPr>
        <w:t> </w:t>
      </w:r>
      <w:r>
        <w:rPr>
          <w:sz w:val="20"/>
        </w:rPr>
        <w:t>service</w:t>
      </w:r>
      <w:r>
        <w:rPr>
          <w:spacing w:val="-7"/>
          <w:sz w:val="20"/>
        </w:rPr>
        <w:t> </w:t>
      </w:r>
      <w:r>
        <w:rPr>
          <w:sz w:val="20"/>
        </w:rPr>
        <w:t>was facilitated </w:t>
      </w:r>
      <w:r>
        <w:rPr>
          <w:spacing w:val="-3"/>
          <w:sz w:val="20"/>
        </w:rPr>
        <w:t>by </w:t>
      </w:r>
      <w:r>
        <w:rPr>
          <w:sz w:val="20"/>
        </w:rPr>
        <w:t>two </w:t>
      </w:r>
      <w:r>
        <w:rPr>
          <w:spacing w:val="-3"/>
          <w:sz w:val="20"/>
        </w:rPr>
        <w:t>interpreters </w:t>
      </w:r>
      <w:r>
        <w:rPr>
          <w:sz w:val="20"/>
        </w:rPr>
        <w:t>and the trial proceeded </w:t>
      </w:r>
      <w:r>
        <w:rPr>
          <w:spacing w:val="-4"/>
          <w:sz w:val="20"/>
        </w:rPr>
        <w:t>smoothly. </w:t>
      </w:r>
      <w:r>
        <w:rPr>
          <w:sz w:val="20"/>
        </w:rPr>
        <w:t>He was elected </w:t>
      </w:r>
      <w:r>
        <w:rPr>
          <w:spacing w:val="-3"/>
          <w:sz w:val="20"/>
        </w:rPr>
        <w:t>by </w:t>
      </w:r>
      <w:r>
        <w:rPr>
          <w:sz w:val="20"/>
        </w:rPr>
        <w:t>his </w:t>
      </w:r>
      <w:r>
        <w:rPr>
          <w:spacing w:val="-3"/>
          <w:sz w:val="20"/>
        </w:rPr>
        <w:t>fellow</w:t>
      </w:r>
      <w:r>
        <w:rPr>
          <w:spacing w:val="-10"/>
          <w:sz w:val="20"/>
        </w:rPr>
        <w:t> </w:t>
      </w:r>
      <w:r>
        <w:rPr>
          <w:sz w:val="20"/>
        </w:rPr>
        <w:t>jurors</w:t>
      </w:r>
      <w:r>
        <w:rPr>
          <w:spacing w:val="-9"/>
          <w:sz w:val="20"/>
        </w:rPr>
        <w:t> </w:t>
      </w:r>
      <w:r>
        <w:rPr>
          <w:sz w:val="20"/>
        </w:rPr>
        <w:t>as</w:t>
      </w:r>
      <w:r>
        <w:rPr>
          <w:spacing w:val="-9"/>
          <w:sz w:val="20"/>
        </w:rPr>
        <w:t> </w:t>
      </w:r>
      <w:r>
        <w:rPr>
          <w:sz w:val="20"/>
        </w:rPr>
        <w:t>the</w:t>
      </w:r>
      <w:r>
        <w:rPr>
          <w:spacing w:val="-9"/>
          <w:sz w:val="20"/>
        </w:rPr>
        <w:t> </w:t>
      </w:r>
      <w:r>
        <w:rPr>
          <w:sz w:val="20"/>
        </w:rPr>
        <w:t>foreperson</w:t>
      </w:r>
      <w:r>
        <w:rPr>
          <w:spacing w:val="-9"/>
          <w:sz w:val="20"/>
        </w:rPr>
        <w:t> </w:t>
      </w:r>
      <w:r>
        <w:rPr>
          <w:sz w:val="20"/>
        </w:rPr>
        <w:t>in</w:t>
      </w:r>
      <w:r>
        <w:rPr>
          <w:spacing w:val="-9"/>
          <w:sz w:val="20"/>
        </w:rPr>
        <w:t> </w:t>
      </w:r>
      <w:r>
        <w:rPr>
          <w:sz w:val="20"/>
        </w:rPr>
        <w:t>a</w:t>
      </w:r>
      <w:r>
        <w:rPr>
          <w:spacing w:val="-9"/>
          <w:sz w:val="20"/>
        </w:rPr>
        <w:t> </w:t>
      </w:r>
      <w:r>
        <w:rPr>
          <w:sz w:val="20"/>
        </w:rPr>
        <w:t>tax</w:t>
      </w:r>
      <w:r>
        <w:rPr>
          <w:spacing w:val="-9"/>
          <w:sz w:val="20"/>
        </w:rPr>
        <w:t> </w:t>
      </w:r>
      <w:r>
        <w:rPr>
          <w:sz w:val="20"/>
        </w:rPr>
        <w:t>trial.</w:t>
      </w:r>
      <w:r>
        <w:rPr>
          <w:spacing w:val="-10"/>
          <w:sz w:val="20"/>
        </w:rPr>
        <w:t> </w:t>
      </w:r>
      <w:r>
        <w:rPr>
          <w:sz w:val="20"/>
        </w:rPr>
        <w:t>He</w:t>
      </w:r>
      <w:r>
        <w:rPr>
          <w:spacing w:val="-9"/>
          <w:sz w:val="20"/>
        </w:rPr>
        <w:t> </w:t>
      </w:r>
      <w:r>
        <w:rPr>
          <w:sz w:val="20"/>
        </w:rPr>
        <w:t>commented</w:t>
      </w:r>
      <w:r>
        <w:rPr>
          <w:spacing w:val="-9"/>
          <w:sz w:val="20"/>
        </w:rPr>
        <w:t> </w:t>
      </w:r>
      <w:r>
        <w:rPr>
          <w:sz w:val="20"/>
        </w:rPr>
        <w:t>that</w:t>
      </w:r>
      <w:r>
        <w:rPr>
          <w:spacing w:val="-9"/>
          <w:sz w:val="20"/>
        </w:rPr>
        <w:t> </w:t>
      </w:r>
      <w:r>
        <w:rPr>
          <w:sz w:val="20"/>
        </w:rPr>
        <w:t>it</w:t>
      </w:r>
      <w:r>
        <w:rPr>
          <w:spacing w:val="-9"/>
          <w:sz w:val="20"/>
        </w:rPr>
        <w:t> </w:t>
      </w:r>
      <w:r>
        <w:rPr>
          <w:spacing w:val="-3"/>
          <w:sz w:val="20"/>
        </w:rPr>
        <w:t>‘went</w:t>
      </w:r>
      <w:r>
        <w:rPr>
          <w:spacing w:val="-9"/>
          <w:sz w:val="20"/>
        </w:rPr>
        <w:t> </w:t>
      </w:r>
      <w:r>
        <w:rPr>
          <w:spacing w:val="-3"/>
          <w:sz w:val="20"/>
        </w:rPr>
        <w:t>really</w:t>
      </w:r>
      <w:r>
        <w:rPr>
          <w:spacing w:val="-9"/>
          <w:sz w:val="20"/>
        </w:rPr>
        <w:t> </w:t>
      </w:r>
      <w:r>
        <w:rPr>
          <w:sz w:val="20"/>
        </w:rPr>
        <w:t>smoothly</w:t>
      </w:r>
    </w:p>
    <w:p>
      <w:pPr>
        <w:pStyle w:val="BodyText"/>
        <w:spacing w:line="250" w:lineRule="exact"/>
        <w:ind w:left="1761"/>
        <w:rPr>
          <w:sz w:val="11"/>
        </w:rPr>
      </w:pPr>
      <w:r>
        <w:rPr/>
        <w:t>… I felt like I was able to do my duty as a citizen’.</w:t>
      </w:r>
      <w:r>
        <w:rPr>
          <w:position w:val="7"/>
          <w:sz w:val="11"/>
        </w:rPr>
        <w:t>107</w:t>
      </w:r>
    </w:p>
    <w:p>
      <w:pPr>
        <w:pStyle w:val="ListParagraph"/>
        <w:numPr>
          <w:ilvl w:val="1"/>
          <w:numId w:val="12"/>
        </w:numPr>
        <w:tabs>
          <w:tab w:pos="1761" w:val="left" w:leader="none"/>
          <w:tab w:pos="1762" w:val="left" w:leader="none"/>
        </w:tabs>
        <w:spacing w:line="206" w:lineRule="auto" w:before="114" w:after="0"/>
        <w:ind w:left="1761" w:right="1281" w:hanging="794"/>
        <w:jc w:val="left"/>
        <w:rPr>
          <w:sz w:val="20"/>
        </w:rPr>
      </w:pPr>
      <w:r>
        <w:rPr>
          <w:spacing w:val="-6"/>
          <w:sz w:val="20"/>
        </w:rPr>
        <w:t>We</w:t>
      </w:r>
      <w:r>
        <w:rPr>
          <w:spacing w:val="-8"/>
          <w:sz w:val="20"/>
        </w:rPr>
        <w:t> </w:t>
      </w:r>
      <w:r>
        <w:rPr>
          <w:spacing w:val="-4"/>
          <w:sz w:val="20"/>
        </w:rPr>
        <w:t>were</w:t>
      </w:r>
      <w:r>
        <w:rPr>
          <w:spacing w:val="-7"/>
          <w:sz w:val="20"/>
        </w:rPr>
        <w:t> </w:t>
      </w:r>
      <w:r>
        <w:rPr>
          <w:sz w:val="20"/>
        </w:rPr>
        <w:t>also</w:t>
      </w:r>
      <w:r>
        <w:rPr>
          <w:spacing w:val="-7"/>
          <w:sz w:val="20"/>
        </w:rPr>
        <w:t> </w:t>
      </w:r>
      <w:r>
        <w:rPr>
          <w:spacing w:val="-3"/>
          <w:sz w:val="20"/>
        </w:rPr>
        <w:t>told</w:t>
      </w:r>
      <w:r>
        <w:rPr>
          <w:spacing w:val="-7"/>
          <w:sz w:val="20"/>
        </w:rPr>
        <w:t> </w:t>
      </w:r>
      <w:r>
        <w:rPr>
          <w:spacing w:val="-3"/>
          <w:sz w:val="20"/>
        </w:rPr>
        <w:t>by</w:t>
      </w:r>
      <w:r>
        <w:rPr>
          <w:spacing w:val="-7"/>
          <w:sz w:val="20"/>
        </w:rPr>
        <w:t> </w:t>
      </w:r>
      <w:r>
        <w:rPr>
          <w:sz w:val="20"/>
        </w:rPr>
        <w:t>consultees</w:t>
      </w:r>
      <w:r>
        <w:rPr>
          <w:spacing w:val="-7"/>
          <w:sz w:val="20"/>
        </w:rPr>
        <w:t> </w:t>
      </w:r>
      <w:r>
        <w:rPr>
          <w:spacing w:val="-3"/>
          <w:sz w:val="20"/>
        </w:rPr>
        <w:t>from</w:t>
      </w:r>
      <w:r>
        <w:rPr>
          <w:spacing w:val="-7"/>
          <w:sz w:val="20"/>
        </w:rPr>
        <w:t> </w:t>
      </w:r>
      <w:r>
        <w:rPr>
          <w:sz w:val="20"/>
        </w:rPr>
        <w:t>the</w:t>
      </w:r>
      <w:r>
        <w:rPr>
          <w:spacing w:val="-7"/>
          <w:sz w:val="20"/>
        </w:rPr>
        <w:t> </w:t>
      </w:r>
      <w:r>
        <w:rPr>
          <w:sz w:val="20"/>
        </w:rPr>
        <w:t>New</w:t>
      </w:r>
      <w:r>
        <w:rPr>
          <w:spacing w:val="-8"/>
          <w:sz w:val="20"/>
        </w:rPr>
        <w:t> </w:t>
      </w:r>
      <w:r>
        <w:rPr>
          <w:sz w:val="20"/>
        </w:rPr>
        <w:t>Zealand</w:t>
      </w:r>
      <w:r>
        <w:rPr>
          <w:spacing w:val="-7"/>
          <w:sz w:val="20"/>
        </w:rPr>
        <w:t> </w:t>
      </w:r>
      <w:r>
        <w:rPr>
          <w:sz w:val="20"/>
        </w:rPr>
        <w:t>courts</w:t>
      </w:r>
      <w:r>
        <w:rPr>
          <w:spacing w:val="-7"/>
          <w:sz w:val="20"/>
        </w:rPr>
        <w:t> </w:t>
      </w:r>
      <w:r>
        <w:rPr>
          <w:sz w:val="20"/>
        </w:rPr>
        <w:t>about</w:t>
      </w:r>
      <w:r>
        <w:rPr>
          <w:spacing w:val="-7"/>
          <w:sz w:val="20"/>
        </w:rPr>
        <w:t> </w:t>
      </w:r>
      <w:r>
        <w:rPr>
          <w:sz w:val="20"/>
        </w:rPr>
        <w:t>a</w:t>
      </w:r>
      <w:r>
        <w:rPr>
          <w:spacing w:val="-7"/>
          <w:sz w:val="20"/>
        </w:rPr>
        <w:t> </w:t>
      </w:r>
      <w:r>
        <w:rPr>
          <w:sz w:val="20"/>
        </w:rPr>
        <w:t>case</w:t>
      </w:r>
      <w:r>
        <w:rPr>
          <w:spacing w:val="-7"/>
          <w:sz w:val="20"/>
        </w:rPr>
        <w:t> </w:t>
      </w:r>
      <w:r>
        <w:rPr>
          <w:sz w:val="20"/>
        </w:rPr>
        <w:t>in</w:t>
      </w:r>
      <w:r>
        <w:rPr>
          <w:spacing w:val="-7"/>
          <w:sz w:val="20"/>
        </w:rPr>
        <w:t> </w:t>
      </w:r>
      <w:r>
        <w:rPr>
          <w:sz w:val="20"/>
        </w:rPr>
        <w:t>which</w:t>
      </w:r>
      <w:r>
        <w:rPr>
          <w:spacing w:val="-7"/>
          <w:sz w:val="20"/>
        </w:rPr>
        <w:t> </w:t>
      </w:r>
      <w:r>
        <w:rPr>
          <w:sz w:val="20"/>
        </w:rPr>
        <w:t>a blind</w:t>
      </w:r>
      <w:r>
        <w:rPr>
          <w:spacing w:val="-5"/>
          <w:sz w:val="20"/>
        </w:rPr>
        <w:t> </w:t>
      </w:r>
      <w:r>
        <w:rPr>
          <w:sz w:val="20"/>
        </w:rPr>
        <w:t>juror</w:t>
      </w:r>
      <w:r>
        <w:rPr>
          <w:spacing w:val="-5"/>
          <w:sz w:val="20"/>
        </w:rPr>
        <w:t> </w:t>
      </w:r>
      <w:r>
        <w:rPr>
          <w:sz w:val="20"/>
        </w:rPr>
        <w:t>served</w:t>
      </w:r>
      <w:r>
        <w:rPr>
          <w:spacing w:val="-5"/>
          <w:sz w:val="20"/>
        </w:rPr>
        <w:t> </w:t>
      </w:r>
      <w:r>
        <w:rPr>
          <w:sz w:val="20"/>
        </w:rPr>
        <w:t>in</w:t>
      </w:r>
      <w:r>
        <w:rPr>
          <w:spacing w:val="-4"/>
          <w:sz w:val="20"/>
        </w:rPr>
        <w:t> </w:t>
      </w:r>
      <w:r>
        <w:rPr>
          <w:sz w:val="20"/>
        </w:rPr>
        <w:t>a</w:t>
      </w:r>
      <w:r>
        <w:rPr>
          <w:spacing w:val="-5"/>
          <w:sz w:val="20"/>
        </w:rPr>
        <w:t> </w:t>
      </w:r>
      <w:r>
        <w:rPr>
          <w:sz w:val="20"/>
        </w:rPr>
        <w:t>District</w:t>
      </w:r>
      <w:r>
        <w:rPr>
          <w:spacing w:val="-5"/>
          <w:sz w:val="20"/>
        </w:rPr>
        <w:t> </w:t>
      </w:r>
      <w:r>
        <w:rPr>
          <w:sz w:val="20"/>
        </w:rPr>
        <w:t>Court</w:t>
      </w:r>
      <w:r>
        <w:rPr>
          <w:spacing w:val="-4"/>
          <w:sz w:val="20"/>
        </w:rPr>
        <w:t> </w:t>
      </w:r>
      <w:r>
        <w:rPr>
          <w:sz w:val="20"/>
        </w:rPr>
        <w:t>matter</w:t>
      </w:r>
      <w:r>
        <w:rPr>
          <w:spacing w:val="-5"/>
          <w:sz w:val="20"/>
        </w:rPr>
        <w:t> </w:t>
      </w:r>
      <w:r>
        <w:rPr>
          <w:sz w:val="20"/>
        </w:rPr>
        <w:t>in</w:t>
      </w:r>
      <w:r>
        <w:rPr>
          <w:spacing w:val="-5"/>
          <w:sz w:val="20"/>
        </w:rPr>
        <w:t> </w:t>
      </w:r>
      <w:r>
        <w:rPr>
          <w:sz w:val="20"/>
        </w:rPr>
        <w:t>2000:</w:t>
      </w:r>
    </w:p>
    <w:p>
      <w:pPr>
        <w:spacing w:line="208" w:lineRule="auto" w:before="121"/>
        <w:ind w:left="2157" w:right="1387" w:firstLine="0"/>
        <w:jc w:val="left"/>
        <w:rPr>
          <w:sz w:val="19"/>
        </w:rPr>
      </w:pPr>
      <w:r>
        <w:rPr>
          <w:sz w:val="19"/>
        </w:rPr>
        <w:t>The blind juror contacted the registry to let them know she had a disability. She had a sight assistance dog, who sat with her in the courtroom. The judge appraised her ability to serve prior to empanelment, and counsel were notified of the blind juror’s presence in the jury prior to commencement of the trial. The nature of trial was that oral evidence was the primary evidence adduced, so there was no impediment</w:t>
      </w:r>
    </w:p>
    <w:p>
      <w:pPr>
        <w:spacing w:line="208" w:lineRule="auto" w:before="3"/>
        <w:ind w:left="2157" w:right="1243" w:firstLine="0"/>
        <w:jc w:val="left"/>
        <w:rPr>
          <w:sz w:val="11"/>
        </w:rPr>
      </w:pPr>
      <w:r>
        <w:rPr>
          <w:sz w:val="19"/>
        </w:rPr>
        <w:t>for a blind juror to serve. The juror was assigned a court attendant to assist her to navigate the court. At the end of the trial, the jury were asked to discuss whether they perceived there were any issues with having the blind juror serve and no concerns were raised. It was observed that over the course of that trial, the jurors became a very self-sufficient group. They took it upon themselves to lead the blind juror out of the jury box and read out documents to her if necessary. The juror’s dog sat near the jury box and was taken out for relief breaks as often as needed. The juror did not rely on any technological supports or any other supports. The trial did not run overtime at all and proceeded smoothly.</w:t>
      </w:r>
      <w:r>
        <w:rPr>
          <w:position w:val="6"/>
          <w:sz w:val="11"/>
        </w:rPr>
        <w:t>108</w:t>
      </w:r>
    </w:p>
    <w:p>
      <w:pPr>
        <w:pStyle w:val="BodyText"/>
      </w:pPr>
    </w:p>
    <w:p>
      <w:pPr>
        <w:pStyle w:val="BodyText"/>
        <w:spacing w:before="12"/>
        <w:rPr>
          <w:sz w:val="10"/>
        </w:rPr>
      </w:pPr>
      <w:r>
        <w:rPr/>
        <w:pict>
          <v:line style="position:absolute;mso-position-horizontal-relative:page;mso-position-vertical-relative:paragraph;z-index:6368;mso-wrap-distance-left:0;mso-wrap-distance-right:0" from="79.370102pt,9.98954pt" to="515.905102pt,9.98954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18"/>
        </w:rPr>
      </w:pPr>
    </w:p>
    <w:p>
      <w:pPr>
        <w:pStyle w:val="ListParagraph"/>
        <w:numPr>
          <w:ilvl w:val="0"/>
          <w:numId w:val="71"/>
        </w:numPr>
        <w:tabs>
          <w:tab w:pos="495" w:val="left" w:leader="none"/>
        </w:tabs>
        <w:spacing w:line="240" w:lineRule="auto" w:before="0" w:after="0"/>
        <w:ind w:left="494" w:right="0" w:hanging="394"/>
        <w:jc w:val="left"/>
        <w:rPr>
          <w:color w:val="37617A"/>
          <w:sz w:val="22"/>
        </w:rPr>
      </w:pPr>
    </w:p>
    <w:p>
      <w:pPr>
        <w:pStyle w:val="ListParagraph"/>
        <w:numPr>
          <w:ilvl w:val="0"/>
          <w:numId w:val="72"/>
        </w:numPr>
        <w:tabs>
          <w:tab w:pos="893" w:val="left" w:leader="none"/>
          <w:tab w:pos="894" w:val="left" w:leader="none"/>
        </w:tabs>
        <w:spacing w:line="213" w:lineRule="auto" w:before="38" w:after="0"/>
        <w:ind w:left="893" w:right="1444" w:hanging="793"/>
        <w:jc w:val="left"/>
        <w:rPr>
          <w:sz w:val="13"/>
        </w:rPr>
      </w:pPr>
      <w:r>
        <w:rPr>
          <w:spacing w:val="3"/>
          <w:w w:val="99"/>
          <w:sz w:val="13"/>
        </w:rPr>
        <w:br w:type="column"/>
      </w:r>
      <w:r>
        <w:rPr>
          <w:sz w:val="13"/>
        </w:rPr>
        <w:t>Victorian Law Reform </w:t>
      </w:r>
      <w:r>
        <w:rPr>
          <w:spacing w:val="2"/>
          <w:sz w:val="13"/>
        </w:rPr>
        <w:t>Commission, </w:t>
      </w:r>
      <w:r>
        <w:rPr>
          <w:i/>
          <w:sz w:val="13"/>
        </w:rPr>
        <w:t>Inclusive Juries—Access for People Who Are Deaf, Hard of Hearing, Blind or Have Low Vision </w:t>
      </w:r>
      <w:r>
        <w:rPr>
          <w:sz w:val="13"/>
        </w:rPr>
        <w:t>(Consultation Paper, </w:t>
      </w:r>
      <w:r>
        <w:rPr>
          <w:spacing w:val="2"/>
          <w:sz w:val="13"/>
        </w:rPr>
        <w:t>December </w:t>
      </w:r>
      <w:r>
        <w:rPr>
          <w:sz w:val="13"/>
        </w:rPr>
        <w:t>2020) 31 </w:t>
      </w:r>
      <w:r>
        <w:rPr>
          <w:spacing w:val="3"/>
          <w:sz w:val="13"/>
        </w:rPr>
        <w:t>[4.25], </w:t>
      </w:r>
      <w:r>
        <w:rPr>
          <w:sz w:val="13"/>
        </w:rPr>
        <w:t>citing </w:t>
      </w:r>
      <w:r>
        <w:rPr>
          <w:spacing w:val="2"/>
          <w:sz w:val="13"/>
        </w:rPr>
        <w:t>Ministry </w:t>
      </w:r>
      <w:r>
        <w:rPr>
          <w:sz w:val="13"/>
        </w:rPr>
        <w:t>of Justice (NZ), </w:t>
      </w:r>
      <w:r>
        <w:rPr>
          <w:spacing w:val="2"/>
          <w:sz w:val="13"/>
        </w:rPr>
        <w:t>‘Disability </w:t>
      </w:r>
      <w:r>
        <w:rPr>
          <w:sz w:val="13"/>
        </w:rPr>
        <w:t>Support’, </w:t>
      </w:r>
      <w:r>
        <w:rPr>
          <w:i/>
          <w:spacing w:val="2"/>
          <w:sz w:val="13"/>
        </w:rPr>
        <w:t>Jury Service </w:t>
      </w:r>
      <w:r>
        <w:rPr>
          <w:sz w:val="13"/>
        </w:rPr>
        <w:t>(Web Page, 18 August 2020) &lt;</w:t>
      </w:r>
      <w:hyperlink r:id="rId170">
        <w:r>
          <w:rPr>
            <w:sz w:val="13"/>
          </w:rPr>
          <w:t>https://www.justice.govt.nz/courts/jury-service/disability-support/</w:t>
        </w:r>
      </w:hyperlink>
      <w:r>
        <w:rPr>
          <w:sz w:val="13"/>
        </w:rPr>
        <w:t>&gt;. We note that these examples were included</w:t>
      </w:r>
      <w:r>
        <w:rPr>
          <w:spacing w:val="2"/>
          <w:sz w:val="13"/>
        </w:rPr>
        <w:t> </w:t>
      </w:r>
      <w:r>
        <w:rPr>
          <w:sz w:val="13"/>
        </w:rPr>
        <w:t>on</w:t>
      </w:r>
      <w:r>
        <w:rPr>
          <w:spacing w:val="3"/>
          <w:sz w:val="13"/>
        </w:rPr>
        <w:t> </w:t>
      </w:r>
      <w:r>
        <w:rPr>
          <w:sz w:val="13"/>
        </w:rPr>
        <w:t>the</w:t>
      </w:r>
      <w:r>
        <w:rPr>
          <w:spacing w:val="3"/>
          <w:sz w:val="13"/>
        </w:rPr>
        <w:t> </w:t>
      </w:r>
      <w:r>
        <w:rPr>
          <w:spacing w:val="2"/>
          <w:sz w:val="13"/>
        </w:rPr>
        <w:t>Ministry</w:t>
      </w:r>
      <w:r>
        <w:rPr>
          <w:spacing w:val="3"/>
          <w:sz w:val="13"/>
        </w:rPr>
        <w:t> </w:t>
      </w:r>
      <w:r>
        <w:rPr>
          <w:sz w:val="13"/>
        </w:rPr>
        <w:t>of</w:t>
      </w:r>
      <w:r>
        <w:rPr>
          <w:spacing w:val="3"/>
          <w:sz w:val="13"/>
        </w:rPr>
        <w:t> </w:t>
      </w:r>
      <w:r>
        <w:rPr>
          <w:sz w:val="13"/>
        </w:rPr>
        <w:t>Justice</w:t>
      </w:r>
      <w:r>
        <w:rPr>
          <w:spacing w:val="2"/>
          <w:sz w:val="13"/>
        </w:rPr>
        <w:t> </w:t>
      </w:r>
      <w:r>
        <w:rPr>
          <w:sz w:val="13"/>
        </w:rPr>
        <w:t>website</w:t>
      </w:r>
      <w:r>
        <w:rPr>
          <w:spacing w:val="3"/>
          <w:sz w:val="13"/>
        </w:rPr>
        <w:t> </w:t>
      </w:r>
      <w:r>
        <w:rPr>
          <w:sz w:val="13"/>
        </w:rPr>
        <w:t>when</w:t>
      </w:r>
      <w:r>
        <w:rPr>
          <w:spacing w:val="3"/>
          <w:sz w:val="13"/>
        </w:rPr>
        <w:t> </w:t>
      </w:r>
      <w:r>
        <w:rPr>
          <w:sz w:val="13"/>
        </w:rPr>
        <w:t>we</w:t>
      </w:r>
      <w:r>
        <w:rPr>
          <w:spacing w:val="3"/>
          <w:sz w:val="13"/>
        </w:rPr>
        <w:t> </w:t>
      </w:r>
      <w:r>
        <w:rPr>
          <w:sz w:val="13"/>
        </w:rPr>
        <w:t>produced</w:t>
      </w:r>
      <w:r>
        <w:rPr>
          <w:spacing w:val="3"/>
          <w:sz w:val="13"/>
        </w:rPr>
        <w:t> </w:t>
      </w:r>
      <w:r>
        <w:rPr>
          <w:sz w:val="13"/>
        </w:rPr>
        <w:t>the</w:t>
      </w:r>
      <w:r>
        <w:rPr>
          <w:spacing w:val="2"/>
          <w:sz w:val="13"/>
        </w:rPr>
        <w:t> </w:t>
      </w:r>
      <w:r>
        <w:rPr>
          <w:sz w:val="13"/>
        </w:rPr>
        <w:t>consultation</w:t>
      </w:r>
      <w:r>
        <w:rPr>
          <w:spacing w:val="3"/>
          <w:sz w:val="13"/>
        </w:rPr>
        <w:t> </w:t>
      </w:r>
      <w:r>
        <w:rPr>
          <w:sz w:val="13"/>
        </w:rPr>
        <w:t>paper.</w:t>
      </w:r>
      <w:r>
        <w:rPr>
          <w:spacing w:val="3"/>
          <w:sz w:val="13"/>
        </w:rPr>
        <w:t> </w:t>
      </w:r>
      <w:r>
        <w:rPr>
          <w:sz w:val="13"/>
        </w:rPr>
        <w:t>The</w:t>
      </w:r>
      <w:r>
        <w:rPr>
          <w:spacing w:val="3"/>
          <w:sz w:val="13"/>
        </w:rPr>
        <w:t> </w:t>
      </w:r>
      <w:r>
        <w:rPr>
          <w:sz w:val="13"/>
        </w:rPr>
        <w:t>link</w:t>
      </w:r>
      <w:r>
        <w:rPr>
          <w:spacing w:val="3"/>
          <w:sz w:val="13"/>
        </w:rPr>
        <w:t> </w:t>
      </w:r>
      <w:r>
        <w:rPr>
          <w:sz w:val="13"/>
        </w:rPr>
        <w:t>is</w:t>
      </w:r>
      <w:r>
        <w:rPr>
          <w:spacing w:val="2"/>
          <w:sz w:val="13"/>
        </w:rPr>
        <w:t> </w:t>
      </w:r>
      <w:r>
        <w:rPr>
          <w:sz w:val="13"/>
        </w:rPr>
        <w:t>no</w:t>
      </w:r>
      <w:r>
        <w:rPr>
          <w:spacing w:val="3"/>
          <w:sz w:val="13"/>
        </w:rPr>
        <w:t> </w:t>
      </w:r>
      <w:r>
        <w:rPr>
          <w:spacing w:val="2"/>
          <w:sz w:val="13"/>
        </w:rPr>
        <w:t>longer</w:t>
      </w:r>
      <w:r>
        <w:rPr>
          <w:spacing w:val="3"/>
          <w:sz w:val="13"/>
        </w:rPr>
        <w:t> </w:t>
      </w:r>
      <w:r>
        <w:rPr>
          <w:sz w:val="13"/>
        </w:rPr>
        <w:t>active.</w:t>
      </w:r>
    </w:p>
    <w:p>
      <w:pPr>
        <w:pStyle w:val="ListParagraph"/>
        <w:numPr>
          <w:ilvl w:val="0"/>
          <w:numId w:val="72"/>
        </w:numPr>
        <w:tabs>
          <w:tab w:pos="893" w:val="left" w:leader="none"/>
          <w:tab w:pos="894" w:val="left" w:leader="none"/>
        </w:tabs>
        <w:spacing w:line="151" w:lineRule="exact" w:before="0" w:after="0"/>
        <w:ind w:left="893" w:right="0" w:hanging="793"/>
        <w:jc w:val="left"/>
        <w:rPr>
          <w:sz w:val="13"/>
        </w:rPr>
      </w:pPr>
      <w:r>
        <w:rPr>
          <w:sz w:val="13"/>
        </w:rPr>
        <w:t>Consultation 15 (Representatives of High </w:t>
      </w:r>
      <w:r>
        <w:rPr>
          <w:spacing w:val="2"/>
          <w:sz w:val="13"/>
        </w:rPr>
        <w:t>Court </w:t>
      </w:r>
      <w:r>
        <w:rPr>
          <w:sz w:val="13"/>
        </w:rPr>
        <w:t>and </w:t>
      </w:r>
      <w:r>
        <w:rPr>
          <w:spacing w:val="2"/>
          <w:sz w:val="13"/>
        </w:rPr>
        <w:t>District Courts </w:t>
      </w:r>
      <w:r>
        <w:rPr>
          <w:sz w:val="13"/>
        </w:rPr>
        <w:t>of New</w:t>
      </w:r>
      <w:r>
        <w:rPr>
          <w:spacing w:val="1"/>
          <w:sz w:val="13"/>
        </w:rPr>
        <w:t> </w:t>
      </w:r>
      <w:r>
        <w:rPr>
          <w:sz w:val="13"/>
        </w:rPr>
        <w:t>Zealand).</w:t>
      </w:r>
    </w:p>
    <w:p>
      <w:pPr>
        <w:pStyle w:val="ListParagraph"/>
        <w:numPr>
          <w:ilvl w:val="0"/>
          <w:numId w:val="72"/>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72"/>
        </w:numPr>
        <w:tabs>
          <w:tab w:pos="893" w:val="left" w:leader="none"/>
          <w:tab w:pos="894" w:val="left" w:leader="none"/>
        </w:tabs>
        <w:spacing w:line="160" w:lineRule="exact" w:before="0" w:after="0"/>
        <w:ind w:left="893" w:right="0" w:hanging="793"/>
        <w:jc w:val="left"/>
        <w:rPr>
          <w:sz w:val="13"/>
        </w:rPr>
      </w:pPr>
      <w:r>
        <w:rPr>
          <w:i/>
          <w:sz w:val="13"/>
        </w:rPr>
        <w:t>Juries Act 1981 </w:t>
      </w:r>
      <w:r>
        <w:rPr>
          <w:sz w:val="13"/>
        </w:rPr>
        <w:t>(NZ) s 16AA(1).</w:t>
      </w:r>
    </w:p>
    <w:p>
      <w:pPr>
        <w:tabs>
          <w:tab w:pos="893" w:val="left" w:leader="none"/>
        </w:tabs>
        <w:spacing w:line="160" w:lineRule="exact" w:before="0"/>
        <w:ind w:left="100" w:right="0" w:firstLine="0"/>
        <w:jc w:val="left"/>
        <w:rPr>
          <w:sz w:val="13"/>
        </w:rPr>
      </w:pPr>
      <w:r>
        <w:rPr>
          <w:sz w:val="13"/>
        </w:rPr>
        <w:t>105</w:t>
        <w:tab/>
        <w:t>Ibid s 16AA(1), (3), (4).</w:t>
      </w:r>
    </w:p>
    <w:p>
      <w:pPr>
        <w:pStyle w:val="ListParagraph"/>
        <w:numPr>
          <w:ilvl w:val="0"/>
          <w:numId w:val="73"/>
        </w:numPr>
        <w:tabs>
          <w:tab w:pos="893" w:val="left" w:leader="none"/>
          <w:tab w:pos="894" w:val="left" w:leader="none"/>
        </w:tabs>
        <w:spacing w:line="160" w:lineRule="exact" w:before="0" w:after="0"/>
        <w:ind w:left="893" w:right="0" w:hanging="793"/>
        <w:jc w:val="left"/>
        <w:rPr>
          <w:sz w:val="13"/>
        </w:rPr>
      </w:pPr>
      <w:r>
        <w:rPr>
          <w:sz w:val="13"/>
        </w:rPr>
        <w:t>Consultation 15 (Representatives of High </w:t>
      </w:r>
      <w:r>
        <w:rPr>
          <w:spacing w:val="2"/>
          <w:sz w:val="13"/>
        </w:rPr>
        <w:t>Court </w:t>
      </w:r>
      <w:r>
        <w:rPr>
          <w:sz w:val="13"/>
        </w:rPr>
        <w:t>and </w:t>
      </w:r>
      <w:r>
        <w:rPr>
          <w:spacing w:val="2"/>
          <w:sz w:val="13"/>
        </w:rPr>
        <w:t>District Courts </w:t>
      </w:r>
      <w:r>
        <w:rPr>
          <w:sz w:val="13"/>
        </w:rPr>
        <w:t>of New</w:t>
      </w:r>
      <w:r>
        <w:rPr>
          <w:spacing w:val="1"/>
          <w:sz w:val="13"/>
        </w:rPr>
        <w:t> </w:t>
      </w:r>
      <w:r>
        <w:rPr>
          <w:sz w:val="13"/>
        </w:rPr>
        <w:t>Zealand).</w:t>
      </w:r>
    </w:p>
    <w:p>
      <w:pPr>
        <w:pStyle w:val="ListParagraph"/>
        <w:numPr>
          <w:ilvl w:val="0"/>
          <w:numId w:val="73"/>
        </w:numPr>
        <w:tabs>
          <w:tab w:pos="893" w:val="left" w:leader="none"/>
          <w:tab w:pos="894" w:val="left" w:leader="none"/>
        </w:tabs>
        <w:spacing w:line="213" w:lineRule="auto" w:before="6" w:after="0"/>
        <w:ind w:left="893" w:right="1234" w:hanging="793"/>
        <w:jc w:val="left"/>
        <w:rPr>
          <w:sz w:val="13"/>
        </w:rPr>
      </w:pPr>
      <w:r>
        <w:rPr>
          <w:sz w:val="13"/>
        </w:rPr>
        <w:t>Annie </w:t>
      </w:r>
      <w:r>
        <w:rPr>
          <w:spacing w:val="2"/>
          <w:sz w:val="13"/>
        </w:rPr>
        <w:t>Guest, </w:t>
      </w:r>
      <w:r>
        <w:rPr>
          <w:sz w:val="13"/>
        </w:rPr>
        <w:t>‘Deaf Jurors Serve in US and New Zealand, but High </w:t>
      </w:r>
      <w:r>
        <w:rPr>
          <w:spacing w:val="2"/>
          <w:sz w:val="13"/>
        </w:rPr>
        <w:t>Court </w:t>
      </w:r>
      <w:r>
        <w:rPr>
          <w:sz w:val="13"/>
        </w:rPr>
        <w:t>Blocks Australian Gale Lyons’ Bid’, </w:t>
      </w:r>
      <w:r>
        <w:rPr>
          <w:i/>
          <w:sz w:val="13"/>
        </w:rPr>
        <w:t>ABC News </w:t>
      </w:r>
      <w:r>
        <w:rPr>
          <w:sz w:val="13"/>
        </w:rPr>
        <w:t>(online, 5 October 2016) &lt;</w:t>
      </w:r>
      <w:hyperlink r:id="rId30">
        <w:r>
          <w:rPr>
            <w:sz w:val="13"/>
          </w:rPr>
          <w:t>https://www.abc.net.au/news/2016-10-05/deaf-jurors-allowed-in-us,-nz/7905810</w:t>
        </w:r>
      </w:hyperlink>
      <w:r>
        <w:rPr>
          <w:sz w:val="13"/>
        </w:rPr>
        <w:t>&gt;; </w:t>
      </w:r>
      <w:r>
        <w:rPr>
          <w:spacing w:val="2"/>
          <w:sz w:val="13"/>
        </w:rPr>
        <w:t>‘First </w:t>
      </w:r>
      <w:r>
        <w:rPr>
          <w:sz w:val="13"/>
        </w:rPr>
        <w:t>Deaf Person to  Serve on</w:t>
      </w:r>
      <w:r>
        <w:rPr>
          <w:spacing w:val="8"/>
          <w:sz w:val="13"/>
        </w:rPr>
        <w:t> </w:t>
      </w:r>
      <w:r>
        <w:rPr>
          <w:sz w:val="13"/>
        </w:rPr>
        <w:t>Jury’,</w:t>
      </w:r>
      <w:r>
        <w:rPr>
          <w:spacing w:val="9"/>
          <w:sz w:val="13"/>
        </w:rPr>
        <w:t> </w:t>
      </w:r>
      <w:r>
        <w:rPr>
          <w:i/>
          <w:sz w:val="13"/>
        </w:rPr>
        <w:t>All</w:t>
      </w:r>
      <w:r>
        <w:rPr>
          <w:i/>
          <w:spacing w:val="8"/>
          <w:sz w:val="13"/>
        </w:rPr>
        <w:t> </w:t>
      </w:r>
      <w:r>
        <w:rPr>
          <w:i/>
          <w:sz w:val="13"/>
        </w:rPr>
        <w:t>Deaf</w:t>
      </w:r>
      <w:r>
        <w:rPr>
          <w:i/>
          <w:spacing w:val="9"/>
          <w:sz w:val="13"/>
        </w:rPr>
        <w:t> </w:t>
      </w:r>
      <w:r>
        <w:rPr>
          <w:sz w:val="13"/>
        </w:rPr>
        <w:t>(Web</w:t>
      </w:r>
      <w:r>
        <w:rPr>
          <w:spacing w:val="9"/>
          <w:sz w:val="13"/>
        </w:rPr>
        <w:t> </w:t>
      </w:r>
      <w:r>
        <w:rPr>
          <w:sz w:val="13"/>
        </w:rPr>
        <w:t>Page,</w:t>
      </w:r>
      <w:r>
        <w:rPr>
          <w:spacing w:val="8"/>
          <w:sz w:val="13"/>
        </w:rPr>
        <w:t> </w:t>
      </w:r>
      <w:r>
        <w:rPr>
          <w:sz w:val="13"/>
        </w:rPr>
        <w:t>11</w:t>
      </w:r>
      <w:r>
        <w:rPr>
          <w:spacing w:val="9"/>
          <w:sz w:val="13"/>
        </w:rPr>
        <w:t> </w:t>
      </w:r>
      <w:r>
        <w:rPr>
          <w:sz w:val="13"/>
        </w:rPr>
        <w:t>March</w:t>
      </w:r>
      <w:r>
        <w:rPr>
          <w:spacing w:val="9"/>
          <w:sz w:val="13"/>
        </w:rPr>
        <w:t> </w:t>
      </w:r>
      <w:r>
        <w:rPr>
          <w:sz w:val="13"/>
        </w:rPr>
        <w:t>2005)</w:t>
      </w:r>
      <w:r>
        <w:rPr>
          <w:spacing w:val="9"/>
          <w:sz w:val="13"/>
        </w:rPr>
        <w:t> </w:t>
      </w:r>
      <w:r>
        <w:rPr>
          <w:sz w:val="13"/>
        </w:rPr>
        <w:t>&lt;</w:t>
      </w:r>
      <w:hyperlink r:id="rId171">
        <w:r>
          <w:rPr>
            <w:sz w:val="13"/>
          </w:rPr>
          <w:t>https://www.alldeaf.com/threads/first-deaf-person-to-serve-on-jury.21651/</w:t>
        </w:r>
      </w:hyperlink>
      <w:r>
        <w:rPr>
          <w:sz w:val="13"/>
        </w:rPr>
        <w:t>&gt;.</w:t>
      </w:r>
    </w:p>
    <w:p>
      <w:pPr>
        <w:pStyle w:val="ListParagraph"/>
        <w:numPr>
          <w:ilvl w:val="0"/>
          <w:numId w:val="73"/>
        </w:numPr>
        <w:tabs>
          <w:tab w:pos="893" w:val="left" w:leader="none"/>
          <w:tab w:pos="894" w:val="left" w:leader="none"/>
        </w:tabs>
        <w:spacing w:line="162" w:lineRule="exact" w:before="0" w:after="0"/>
        <w:ind w:left="893" w:right="0" w:hanging="793"/>
        <w:jc w:val="left"/>
        <w:rPr>
          <w:sz w:val="13"/>
        </w:rPr>
      </w:pPr>
      <w:r>
        <w:rPr>
          <w:sz w:val="13"/>
        </w:rPr>
        <w:t>Consultation 15 (Representatives of High </w:t>
      </w:r>
      <w:r>
        <w:rPr>
          <w:spacing w:val="2"/>
          <w:sz w:val="13"/>
        </w:rPr>
        <w:t>Court </w:t>
      </w:r>
      <w:r>
        <w:rPr>
          <w:sz w:val="13"/>
        </w:rPr>
        <w:t>and </w:t>
      </w:r>
      <w:r>
        <w:rPr>
          <w:spacing w:val="2"/>
          <w:sz w:val="13"/>
        </w:rPr>
        <w:t>District Courts </w:t>
      </w:r>
      <w:r>
        <w:rPr>
          <w:sz w:val="13"/>
        </w:rPr>
        <w:t>of New</w:t>
      </w:r>
      <w:r>
        <w:rPr>
          <w:spacing w:val="1"/>
          <w:sz w:val="13"/>
        </w:rPr>
        <w:t> </w:t>
      </w:r>
      <w:r>
        <w:rPr>
          <w:sz w:val="13"/>
        </w:rPr>
        <w:t>Zealand).</w:t>
      </w:r>
    </w:p>
    <w:p>
      <w:pPr>
        <w:spacing w:after="0" w:line="162" w:lineRule="exact"/>
        <w:jc w:val="left"/>
        <w:rPr>
          <w:sz w:val="13"/>
        </w:rPr>
        <w:sectPr>
          <w:type w:val="continuous"/>
          <w:pgSz w:w="11910" w:h="16840"/>
          <w:pgMar w:top="620" w:bottom="280" w:left="620" w:right="380"/>
          <w:cols w:num="2" w:equalWidth="0">
            <w:col w:w="534" w:space="334"/>
            <w:col w:w="10042"/>
          </w:cols>
        </w:sectPr>
      </w:pPr>
    </w:p>
    <w:p>
      <w:pPr>
        <w:pStyle w:val="BodyText"/>
      </w:pPr>
    </w:p>
    <w:p>
      <w:pPr>
        <w:pStyle w:val="BodyText"/>
      </w:pPr>
    </w:p>
    <w:p>
      <w:pPr>
        <w:pStyle w:val="BodyText"/>
      </w:pPr>
    </w:p>
    <w:p>
      <w:pPr>
        <w:pStyle w:val="BodyText"/>
        <w:spacing w:before="6"/>
        <w:rPr>
          <w:sz w:val="14"/>
        </w:rPr>
      </w:pPr>
    </w:p>
    <w:p>
      <w:pPr>
        <w:spacing w:before="41"/>
        <w:ind w:left="967" w:right="0" w:firstLine="0"/>
        <w:jc w:val="left"/>
        <w:rPr>
          <w:rFonts w:ascii="Raleway ExtraBold"/>
          <w:b/>
          <w:sz w:val="28"/>
        </w:rPr>
      </w:pPr>
      <w:bookmarkStart w:name="Inclusive juries in Ireland" w:id="186"/>
      <w:bookmarkEnd w:id="186"/>
      <w:r>
        <w:rPr/>
      </w:r>
      <w:bookmarkStart w:name="_bookmark73" w:id="187"/>
      <w:bookmarkEnd w:id="187"/>
      <w:r>
        <w:rPr/>
      </w:r>
      <w:r>
        <w:rPr>
          <w:rFonts w:ascii="Raleway ExtraBold"/>
          <w:b/>
          <w:color w:val="37617A"/>
          <w:sz w:val="28"/>
        </w:rPr>
        <w:t>Inclusive juries in Ireland</w:t>
      </w:r>
    </w:p>
    <w:p>
      <w:pPr>
        <w:pStyle w:val="ListParagraph"/>
        <w:numPr>
          <w:ilvl w:val="1"/>
          <w:numId w:val="12"/>
        </w:numPr>
        <w:tabs>
          <w:tab w:pos="1761" w:val="left" w:leader="none"/>
          <w:tab w:pos="1762" w:val="left" w:leader="none"/>
        </w:tabs>
        <w:spacing w:line="206" w:lineRule="auto" w:before="146" w:after="0"/>
        <w:ind w:left="1761" w:right="1258" w:hanging="794"/>
        <w:jc w:val="left"/>
        <w:rPr>
          <w:sz w:val="11"/>
        </w:rPr>
      </w:pPr>
      <w:r>
        <w:rPr>
          <w:spacing w:val="-3"/>
          <w:sz w:val="20"/>
        </w:rPr>
        <w:t>Historically,</w:t>
      </w:r>
      <w:r>
        <w:rPr>
          <w:spacing w:val="-10"/>
          <w:sz w:val="20"/>
        </w:rPr>
        <w:t> </w:t>
      </w:r>
      <w:r>
        <w:rPr>
          <w:sz w:val="20"/>
        </w:rPr>
        <w:t>legislation</w:t>
      </w:r>
      <w:r>
        <w:rPr>
          <w:spacing w:val="-11"/>
          <w:sz w:val="20"/>
        </w:rPr>
        <w:t> </w:t>
      </w:r>
      <w:r>
        <w:rPr>
          <w:sz w:val="20"/>
        </w:rPr>
        <w:t>has</w:t>
      </w:r>
      <w:r>
        <w:rPr>
          <w:spacing w:val="-10"/>
          <w:sz w:val="20"/>
        </w:rPr>
        <w:t> </w:t>
      </w:r>
      <w:r>
        <w:rPr>
          <w:spacing w:val="-3"/>
          <w:sz w:val="20"/>
        </w:rPr>
        <w:t>prevented</w:t>
      </w:r>
      <w:r>
        <w:rPr>
          <w:spacing w:val="-10"/>
          <w:sz w:val="20"/>
        </w:rPr>
        <w:t> </w:t>
      </w:r>
      <w:r>
        <w:rPr>
          <w:sz w:val="20"/>
        </w:rPr>
        <w:t>people</w:t>
      </w:r>
      <w:r>
        <w:rPr>
          <w:spacing w:val="-10"/>
          <w:sz w:val="20"/>
        </w:rPr>
        <w:t> </w:t>
      </w:r>
      <w:r>
        <w:rPr>
          <w:spacing w:val="-3"/>
          <w:sz w:val="20"/>
        </w:rPr>
        <w:t>from</w:t>
      </w:r>
      <w:r>
        <w:rPr>
          <w:spacing w:val="-10"/>
          <w:sz w:val="20"/>
        </w:rPr>
        <w:t> </w:t>
      </w:r>
      <w:r>
        <w:rPr>
          <w:sz w:val="20"/>
        </w:rPr>
        <w:t>serving</w:t>
      </w:r>
      <w:r>
        <w:rPr>
          <w:spacing w:val="-10"/>
          <w:sz w:val="20"/>
        </w:rPr>
        <w:t> </w:t>
      </w:r>
      <w:r>
        <w:rPr>
          <w:sz w:val="20"/>
        </w:rPr>
        <w:t>on</w:t>
      </w:r>
      <w:r>
        <w:rPr>
          <w:spacing w:val="-10"/>
          <w:sz w:val="20"/>
        </w:rPr>
        <w:t> </w:t>
      </w:r>
      <w:r>
        <w:rPr>
          <w:sz w:val="20"/>
        </w:rPr>
        <w:t>juries</w:t>
      </w:r>
      <w:r>
        <w:rPr>
          <w:spacing w:val="-10"/>
          <w:sz w:val="20"/>
        </w:rPr>
        <w:t> </w:t>
      </w:r>
      <w:r>
        <w:rPr>
          <w:sz w:val="20"/>
        </w:rPr>
        <w:t>with</w:t>
      </w:r>
      <w:r>
        <w:rPr>
          <w:spacing w:val="-10"/>
          <w:sz w:val="20"/>
        </w:rPr>
        <w:t> </w:t>
      </w:r>
      <w:r>
        <w:rPr>
          <w:sz w:val="20"/>
        </w:rPr>
        <w:t>adjustments</w:t>
      </w:r>
      <w:r>
        <w:rPr>
          <w:spacing w:val="-10"/>
          <w:sz w:val="20"/>
        </w:rPr>
        <w:t> </w:t>
      </w:r>
      <w:r>
        <w:rPr>
          <w:sz w:val="20"/>
        </w:rPr>
        <w:t>in Ireland. In 2008, change to the </w:t>
      </w:r>
      <w:r>
        <w:rPr>
          <w:i/>
          <w:sz w:val="20"/>
        </w:rPr>
        <w:t>Juries Act </w:t>
      </w:r>
      <w:r>
        <w:rPr>
          <w:i/>
          <w:spacing w:val="-5"/>
          <w:sz w:val="20"/>
        </w:rPr>
        <w:t>1976 </w:t>
      </w:r>
      <w:r>
        <w:rPr>
          <w:sz w:val="20"/>
        </w:rPr>
        <w:t>(Ireland) </w:t>
      </w:r>
      <w:r>
        <w:rPr>
          <w:spacing w:val="-3"/>
          <w:sz w:val="20"/>
        </w:rPr>
        <w:t>removed </w:t>
      </w:r>
      <w:r>
        <w:rPr>
          <w:sz w:val="20"/>
        </w:rPr>
        <w:t>the explicit </w:t>
      </w:r>
      <w:r>
        <w:rPr>
          <w:spacing w:val="-3"/>
          <w:sz w:val="20"/>
        </w:rPr>
        <w:t>reference </w:t>
      </w:r>
      <w:r>
        <w:rPr>
          <w:sz w:val="20"/>
        </w:rPr>
        <w:t>to</w:t>
      </w:r>
      <w:r>
        <w:rPr>
          <w:spacing w:val="-8"/>
          <w:sz w:val="20"/>
        </w:rPr>
        <w:t> </w:t>
      </w:r>
      <w:r>
        <w:rPr>
          <w:sz w:val="20"/>
        </w:rPr>
        <w:t>people</w:t>
      </w:r>
      <w:r>
        <w:rPr>
          <w:spacing w:val="-8"/>
          <w:sz w:val="20"/>
        </w:rPr>
        <w:t> </w:t>
      </w:r>
      <w:r>
        <w:rPr>
          <w:sz w:val="20"/>
        </w:rPr>
        <w:t>who</w:t>
      </w:r>
      <w:r>
        <w:rPr>
          <w:spacing w:val="-8"/>
          <w:sz w:val="20"/>
        </w:rPr>
        <w:t> </w:t>
      </w:r>
      <w:r>
        <w:rPr>
          <w:spacing w:val="-3"/>
          <w:sz w:val="20"/>
        </w:rPr>
        <w:t>are</w:t>
      </w:r>
      <w:r>
        <w:rPr>
          <w:spacing w:val="-8"/>
          <w:sz w:val="20"/>
        </w:rPr>
        <w:t> </w:t>
      </w:r>
      <w:r>
        <w:rPr>
          <w:sz w:val="20"/>
        </w:rPr>
        <w:t>deaf</w:t>
      </w:r>
      <w:r>
        <w:rPr>
          <w:spacing w:val="-7"/>
          <w:sz w:val="20"/>
        </w:rPr>
        <w:t> </w:t>
      </w:r>
      <w:r>
        <w:rPr>
          <w:sz w:val="20"/>
        </w:rPr>
        <w:t>as</w:t>
      </w:r>
      <w:r>
        <w:rPr>
          <w:spacing w:val="-8"/>
          <w:sz w:val="20"/>
        </w:rPr>
        <w:t> </w:t>
      </w:r>
      <w:r>
        <w:rPr>
          <w:sz w:val="20"/>
        </w:rPr>
        <w:t>ineligible</w:t>
      </w:r>
      <w:r>
        <w:rPr>
          <w:spacing w:val="-8"/>
          <w:sz w:val="20"/>
        </w:rPr>
        <w:t> </w:t>
      </w:r>
      <w:r>
        <w:rPr>
          <w:sz w:val="20"/>
        </w:rPr>
        <w:t>to</w:t>
      </w:r>
      <w:r>
        <w:rPr>
          <w:spacing w:val="-8"/>
          <w:sz w:val="20"/>
        </w:rPr>
        <w:t> </w:t>
      </w:r>
      <w:r>
        <w:rPr>
          <w:sz w:val="20"/>
        </w:rPr>
        <w:t>serve</w:t>
      </w:r>
      <w:r>
        <w:rPr>
          <w:spacing w:val="-8"/>
          <w:sz w:val="20"/>
        </w:rPr>
        <w:t> </w:t>
      </w:r>
      <w:r>
        <w:rPr>
          <w:sz w:val="20"/>
        </w:rPr>
        <w:t>as</w:t>
      </w:r>
      <w:r>
        <w:rPr>
          <w:spacing w:val="-7"/>
          <w:sz w:val="20"/>
        </w:rPr>
        <w:t> </w:t>
      </w:r>
      <w:r>
        <w:rPr>
          <w:sz w:val="20"/>
        </w:rPr>
        <w:t>jurors.</w:t>
      </w:r>
      <w:r>
        <w:rPr>
          <w:spacing w:val="-8"/>
          <w:sz w:val="20"/>
        </w:rPr>
        <w:t> </w:t>
      </w:r>
      <w:r>
        <w:rPr>
          <w:sz w:val="20"/>
        </w:rPr>
        <w:t>The</w:t>
      </w:r>
      <w:r>
        <w:rPr>
          <w:spacing w:val="-8"/>
          <w:sz w:val="20"/>
        </w:rPr>
        <w:t> </w:t>
      </w:r>
      <w:r>
        <w:rPr>
          <w:sz w:val="20"/>
        </w:rPr>
        <w:t>law</w:t>
      </w:r>
      <w:r>
        <w:rPr>
          <w:spacing w:val="-8"/>
          <w:sz w:val="20"/>
        </w:rPr>
        <w:t> </w:t>
      </w:r>
      <w:r>
        <w:rPr>
          <w:spacing w:val="-3"/>
          <w:sz w:val="20"/>
        </w:rPr>
        <w:t>now</w:t>
      </w:r>
      <w:r>
        <w:rPr>
          <w:spacing w:val="-8"/>
          <w:sz w:val="20"/>
        </w:rPr>
        <w:t> </w:t>
      </w:r>
      <w:r>
        <w:rPr>
          <w:spacing w:val="-3"/>
          <w:sz w:val="20"/>
        </w:rPr>
        <w:t>excludes</w:t>
      </w:r>
      <w:r>
        <w:rPr>
          <w:spacing w:val="-7"/>
          <w:sz w:val="20"/>
        </w:rPr>
        <w:t> </w:t>
      </w:r>
      <w:r>
        <w:rPr>
          <w:sz w:val="20"/>
        </w:rPr>
        <w:t>a</w:t>
      </w:r>
      <w:r>
        <w:rPr>
          <w:spacing w:val="-8"/>
          <w:sz w:val="20"/>
        </w:rPr>
        <w:t> </w:t>
      </w:r>
      <w:r>
        <w:rPr>
          <w:sz w:val="20"/>
        </w:rPr>
        <w:t>person with</w:t>
      </w:r>
      <w:r>
        <w:rPr>
          <w:spacing w:val="-10"/>
          <w:sz w:val="20"/>
        </w:rPr>
        <w:t> </w:t>
      </w:r>
      <w:r>
        <w:rPr>
          <w:sz w:val="20"/>
        </w:rPr>
        <w:t>an</w:t>
      </w:r>
      <w:r>
        <w:rPr>
          <w:spacing w:val="-10"/>
          <w:sz w:val="20"/>
        </w:rPr>
        <w:t> </w:t>
      </w:r>
      <w:r>
        <w:rPr>
          <w:sz w:val="20"/>
        </w:rPr>
        <w:t>‘enduring</w:t>
      </w:r>
      <w:r>
        <w:rPr>
          <w:spacing w:val="-10"/>
          <w:sz w:val="20"/>
        </w:rPr>
        <w:t> </w:t>
      </w:r>
      <w:r>
        <w:rPr>
          <w:sz w:val="20"/>
        </w:rPr>
        <w:t>impairment’</w:t>
      </w:r>
      <w:r>
        <w:rPr>
          <w:spacing w:val="-10"/>
          <w:sz w:val="20"/>
        </w:rPr>
        <w:t> </w:t>
      </w:r>
      <w:r>
        <w:rPr>
          <w:sz w:val="20"/>
        </w:rPr>
        <w:t>if</w:t>
      </w:r>
      <w:r>
        <w:rPr>
          <w:spacing w:val="-9"/>
          <w:sz w:val="20"/>
        </w:rPr>
        <w:t> </w:t>
      </w:r>
      <w:r>
        <w:rPr>
          <w:sz w:val="20"/>
        </w:rPr>
        <w:t>it</w:t>
      </w:r>
      <w:r>
        <w:rPr>
          <w:spacing w:val="-10"/>
          <w:sz w:val="20"/>
        </w:rPr>
        <w:t> </w:t>
      </w:r>
      <w:r>
        <w:rPr>
          <w:sz w:val="20"/>
        </w:rPr>
        <w:t>is</w:t>
      </w:r>
      <w:r>
        <w:rPr>
          <w:spacing w:val="-10"/>
          <w:sz w:val="20"/>
        </w:rPr>
        <w:t> </w:t>
      </w:r>
      <w:r>
        <w:rPr>
          <w:sz w:val="20"/>
        </w:rPr>
        <w:t>not</w:t>
      </w:r>
      <w:r>
        <w:rPr>
          <w:spacing w:val="-10"/>
          <w:sz w:val="20"/>
        </w:rPr>
        <w:t> </w:t>
      </w:r>
      <w:r>
        <w:rPr>
          <w:sz w:val="20"/>
        </w:rPr>
        <w:t>‘practicable</w:t>
      </w:r>
      <w:r>
        <w:rPr>
          <w:spacing w:val="-10"/>
          <w:sz w:val="20"/>
        </w:rPr>
        <w:t> </w:t>
      </w:r>
      <w:r>
        <w:rPr>
          <w:sz w:val="20"/>
        </w:rPr>
        <w:t>for</w:t>
      </w:r>
      <w:r>
        <w:rPr>
          <w:spacing w:val="-9"/>
          <w:sz w:val="20"/>
        </w:rPr>
        <w:t> </w:t>
      </w:r>
      <w:r>
        <w:rPr>
          <w:sz w:val="20"/>
        </w:rPr>
        <w:t>them</w:t>
      </w:r>
      <w:r>
        <w:rPr>
          <w:spacing w:val="-10"/>
          <w:sz w:val="20"/>
        </w:rPr>
        <w:t> </w:t>
      </w:r>
      <w:r>
        <w:rPr>
          <w:sz w:val="20"/>
        </w:rPr>
        <w:t>to</w:t>
      </w:r>
      <w:r>
        <w:rPr>
          <w:spacing w:val="-10"/>
          <w:sz w:val="20"/>
        </w:rPr>
        <w:t> </w:t>
      </w:r>
      <w:r>
        <w:rPr>
          <w:sz w:val="20"/>
        </w:rPr>
        <w:t>perform</w:t>
      </w:r>
      <w:r>
        <w:rPr>
          <w:spacing w:val="-10"/>
          <w:sz w:val="20"/>
        </w:rPr>
        <w:t> </w:t>
      </w:r>
      <w:r>
        <w:rPr>
          <w:sz w:val="20"/>
        </w:rPr>
        <w:t>the</w:t>
      </w:r>
      <w:r>
        <w:rPr>
          <w:spacing w:val="-10"/>
          <w:sz w:val="20"/>
        </w:rPr>
        <w:t> </w:t>
      </w:r>
      <w:r>
        <w:rPr>
          <w:sz w:val="20"/>
        </w:rPr>
        <w:t>duties</w:t>
      </w:r>
      <w:r>
        <w:rPr>
          <w:spacing w:val="-9"/>
          <w:sz w:val="20"/>
        </w:rPr>
        <w:t> </w:t>
      </w:r>
      <w:r>
        <w:rPr>
          <w:sz w:val="20"/>
        </w:rPr>
        <w:t>of</w:t>
      </w:r>
      <w:r>
        <w:rPr>
          <w:spacing w:val="-10"/>
          <w:sz w:val="20"/>
        </w:rPr>
        <w:t> </w:t>
      </w:r>
      <w:r>
        <w:rPr>
          <w:sz w:val="20"/>
        </w:rPr>
        <w:t>a </w:t>
      </w:r>
      <w:r>
        <w:rPr>
          <w:spacing w:val="-3"/>
          <w:sz w:val="20"/>
        </w:rPr>
        <w:t>juror’.</w:t>
      </w:r>
      <w:r>
        <w:rPr>
          <w:spacing w:val="-3"/>
          <w:position w:val="7"/>
          <w:sz w:val="11"/>
        </w:rPr>
        <w:t>109</w:t>
      </w:r>
    </w:p>
    <w:p>
      <w:pPr>
        <w:pStyle w:val="ListParagraph"/>
        <w:numPr>
          <w:ilvl w:val="1"/>
          <w:numId w:val="12"/>
        </w:numPr>
        <w:tabs>
          <w:tab w:pos="1761" w:val="left" w:leader="none"/>
          <w:tab w:pos="1762" w:val="left" w:leader="none"/>
        </w:tabs>
        <w:spacing w:line="206" w:lineRule="auto" w:before="126" w:after="0"/>
        <w:ind w:left="1761" w:right="1410" w:hanging="794"/>
        <w:jc w:val="left"/>
        <w:rPr>
          <w:sz w:val="11"/>
        </w:rPr>
      </w:pPr>
      <w:r>
        <w:rPr>
          <w:sz w:val="20"/>
        </w:rPr>
        <w:t>In </w:t>
      </w:r>
      <w:r>
        <w:rPr>
          <w:spacing w:val="-3"/>
          <w:sz w:val="20"/>
        </w:rPr>
        <w:t>2010, </w:t>
      </w:r>
      <w:r>
        <w:rPr>
          <w:sz w:val="20"/>
        </w:rPr>
        <w:t>legal challenges </w:t>
      </w:r>
      <w:r>
        <w:rPr>
          <w:spacing w:val="-4"/>
          <w:sz w:val="20"/>
        </w:rPr>
        <w:t>were </w:t>
      </w:r>
      <w:r>
        <w:rPr>
          <w:sz w:val="20"/>
        </w:rPr>
        <w:t>brought </w:t>
      </w:r>
      <w:r>
        <w:rPr>
          <w:spacing w:val="-3"/>
          <w:sz w:val="20"/>
        </w:rPr>
        <w:t>by </w:t>
      </w:r>
      <w:r>
        <w:rPr>
          <w:sz w:val="20"/>
        </w:rPr>
        <w:t>three people who </w:t>
      </w:r>
      <w:r>
        <w:rPr>
          <w:spacing w:val="-4"/>
          <w:sz w:val="20"/>
        </w:rPr>
        <w:t>were </w:t>
      </w:r>
      <w:r>
        <w:rPr>
          <w:sz w:val="20"/>
        </w:rPr>
        <w:t>deaf and hard of hearing—Ms </w:t>
      </w:r>
      <w:r>
        <w:rPr>
          <w:spacing w:val="-3"/>
          <w:sz w:val="20"/>
        </w:rPr>
        <w:t>Clarke, </w:t>
      </w:r>
      <w:r>
        <w:rPr>
          <w:sz w:val="20"/>
        </w:rPr>
        <w:t>Mr Owens and Mr Dunne—who </w:t>
      </w:r>
      <w:r>
        <w:rPr>
          <w:spacing w:val="-4"/>
          <w:sz w:val="20"/>
        </w:rPr>
        <w:t>were </w:t>
      </w:r>
      <w:r>
        <w:rPr>
          <w:spacing w:val="-3"/>
          <w:sz w:val="20"/>
        </w:rPr>
        <w:t>excused from </w:t>
      </w:r>
      <w:r>
        <w:rPr>
          <w:sz w:val="20"/>
        </w:rPr>
        <w:t>jury service because</w:t>
      </w:r>
      <w:r>
        <w:rPr>
          <w:spacing w:val="-8"/>
          <w:sz w:val="20"/>
        </w:rPr>
        <w:t> </w:t>
      </w:r>
      <w:r>
        <w:rPr>
          <w:sz w:val="20"/>
        </w:rPr>
        <w:t>they</w:t>
      </w:r>
      <w:r>
        <w:rPr>
          <w:spacing w:val="-7"/>
          <w:sz w:val="20"/>
        </w:rPr>
        <w:t> </w:t>
      </w:r>
      <w:r>
        <w:rPr>
          <w:spacing w:val="-3"/>
          <w:sz w:val="20"/>
        </w:rPr>
        <w:t>required</w:t>
      </w:r>
      <w:r>
        <w:rPr>
          <w:spacing w:val="-7"/>
          <w:sz w:val="20"/>
        </w:rPr>
        <w:t> </w:t>
      </w:r>
      <w:r>
        <w:rPr>
          <w:spacing w:val="-3"/>
          <w:sz w:val="20"/>
        </w:rPr>
        <w:t>interpreters</w:t>
      </w:r>
      <w:r>
        <w:rPr>
          <w:spacing w:val="-7"/>
          <w:sz w:val="20"/>
        </w:rPr>
        <w:t> </w:t>
      </w:r>
      <w:r>
        <w:rPr>
          <w:sz w:val="20"/>
        </w:rPr>
        <w:t>to</w:t>
      </w:r>
      <w:r>
        <w:rPr>
          <w:spacing w:val="-7"/>
          <w:sz w:val="20"/>
        </w:rPr>
        <w:t> </w:t>
      </w:r>
      <w:r>
        <w:rPr>
          <w:sz w:val="20"/>
        </w:rPr>
        <w:t>serve.</w:t>
      </w:r>
      <w:r>
        <w:rPr>
          <w:position w:val="7"/>
          <w:sz w:val="11"/>
        </w:rPr>
        <w:t>110</w:t>
      </w:r>
      <w:r>
        <w:rPr>
          <w:spacing w:val="18"/>
          <w:position w:val="7"/>
          <w:sz w:val="11"/>
        </w:rPr>
        <w:t> </w:t>
      </w:r>
      <w:r>
        <w:rPr>
          <w:sz w:val="20"/>
        </w:rPr>
        <w:t>The</w:t>
      </w:r>
      <w:r>
        <w:rPr>
          <w:spacing w:val="-7"/>
          <w:sz w:val="20"/>
        </w:rPr>
        <w:t> </w:t>
      </w:r>
      <w:r>
        <w:rPr>
          <w:sz w:val="20"/>
        </w:rPr>
        <w:t>High</w:t>
      </w:r>
      <w:r>
        <w:rPr>
          <w:spacing w:val="-7"/>
          <w:sz w:val="20"/>
        </w:rPr>
        <w:t> </w:t>
      </w:r>
      <w:r>
        <w:rPr>
          <w:sz w:val="20"/>
        </w:rPr>
        <w:t>Court</w:t>
      </w:r>
      <w:r>
        <w:rPr>
          <w:spacing w:val="-7"/>
          <w:sz w:val="20"/>
        </w:rPr>
        <w:t> </w:t>
      </w:r>
      <w:r>
        <w:rPr>
          <w:sz w:val="20"/>
        </w:rPr>
        <w:t>upheld</w:t>
      </w:r>
      <w:r>
        <w:rPr>
          <w:spacing w:val="-7"/>
          <w:sz w:val="20"/>
        </w:rPr>
        <w:t> </w:t>
      </w:r>
      <w:r>
        <w:rPr>
          <w:sz w:val="20"/>
        </w:rPr>
        <w:t>the</w:t>
      </w:r>
      <w:r>
        <w:rPr>
          <w:spacing w:val="-7"/>
          <w:sz w:val="20"/>
        </w:rPr>
        <w:t> </w:t>
      </w:r>
      <w:r>
        <w:rPr>
          <w:sz w:val="20"/>
        </w:rPr>
        <w:t>13th</w:t>
      </w:r>
      <w:r>
        <w:rPr>
          <w:spacing w:val="-7"/>
          <w:sz w:val="20"/>
        </w:rPr>
        <w:t> </w:t>
      </w:r>
      <w:r>
        <w:rPr>
          <w:sz w:val="20"/>
        </w:rPr>
        <w:t>person rule in Clarke and </w:t>
      </w:r>
      <w:r>
        <w:rPr>
          <w:spacing w:val="-3"/>
          <w:sz w:val="20"/>
        </w:rPr>
        <w:t>Owens’</w:t>
      </w:r>
      <w:r>
        <w:rPr>
          <w:spacing w:val="-21"/>
          <w:sz w:val="20"/>
        </w:rPr>
        <w:t> </w:t>
      </w:r>
      <w:r>
        <w:rPr>
          <w:sz w:val="20"/>
        </w:rPr>
        <w:t>cases.</w:t>
      </w:r>
      <w:r>
        <w:rPr>
          <w:position w:val="7"/>
          <w:sz w:val="11"/>
        </w:rPr>
        <w:t>111</w:t>
      </w:r>
    </w:p>
    <w:p>
      <w:pPr>
        <w:pStyle w:val="ListParagraph"/>
        <w:numPr>
          <w:ilvl w:val="1"/>
          <w:numId w:val="12"/>
        </w:numPr>
        <w:tabs>
          <w:tab w:pos="1762" w:val="left" w:leader="none"/>
        </w:tabs>
        <w:spacing w:line="206" w:lineRule="auto" w:before="125" w:after="0"/>
        <w:ind w:left="1761" w:right="1631" w:hanging="794"/>
        <w:jc w:val="both"/>
        <w:rPr>
          <w:sz w:val="20"/>
        </w:rPr>
      </w:pPr>
      <w:r>
        <w:rPr>
          <w:sz w:val="20"/>
        </w:rPr>
        <w:t>In</w:t>
      </w:r>
      <w:r>
        <w:rPr>
          <w:spacing w:val="-11"/>
          <w:sz w:val="20"/>
        </w:rPr>
        <w:t> </w:t>
      </w:r>
      <w:r>
        <w:rPr>
          <w:sz w:val="20"/>
        </w:rPr>
        <w:t>Dunne’s</w:t>
      </w:r>
      <w:r>
        <w:rPr>
          <w:spacing w:val="-10"/>
          <w:sz w:val="20"/>
        </w:rPr>
        <w:t> </w:t>
      </w:r>
      <w:r>
        <w:rPr>
          <w:sz w:val="20"/>
        </w:rPr>
        <w:t>case,</w:t>
      </w:r>
      <w:r>
        <w:rPr>
          <w:spacing w:val="-10"/>
          <w:sz w:val="20"/>
        </w:rPr>
        <w:t> </w:t>
      </w:r>
      <w:r>
        <w:rPr>
          <w:spacing w:val="-3"/>
          <w:sz w:val="20"/>
        </w:rPr>
        <w:t>by</w:t>
      </w:r>
      <w:r>
        <w:rPr>
          <w:spacing w:val="-10"/>
          <w:sz w:val="20"/>
        </w:rPr>
        <w:t> </w:t>
      </w:r>
      <w:r>
        <w:rPr>
          <w:sz w:val="20"/>
        </w:rPr>
        <w:t>contrast,</w:t>
      </w:r>
      <w:r>
        <w:rPr>
          <w:spacing w:val="-10"/>
          <w:sz w:val="20"/>
        </w:rPr>
        <w:t> </w:t>
      </w:r>
      <w:r>
        <w:rPr>
          <w:sz w:val="20"/>
        </w:rPr>
        <w:t>the</w:t>
      </w:r>
      <w:r>
        <w:rPr>
          <w:spacing w:val="-10"/>
          <w:sz w:val="20"/>
        </w:rPr>
        <w:t> </w:t>
      </w:r>
      <w:r>
        <w:rPr>
          <w:sz w:val="20"/>
        </w:rPr>
        <w:t>High</w:t>
      </w:r>
      <w:r>
        <w:rPr>
          <w:spacing w:val="-10"/>
          <w:sz w:val="20"/>
        </w:rPr>
        <w:t> </w:t>
      </w:r>
      <w:r>
        <w:rPr>
          <w:sz w:val="20"/>
        </w:rPr>
        <w:t>Court</w:t>
      </w:r>
      <w:r>
        <w:rPr>
          <w:spacing w:val="-10"/>
          <w:sz w:val="20"/>
        </w:rPr>
        <w:t> </w:t>
      </w:r>
      <w:r>
        <w:rPr>
          <w:sz w:val="20"/>
        </w:rPr>
        <w:t>suggested</w:t>
      </w:r>
      <w:r>
        <w:rPr>
          <w:spacing w:val="-10"/>
          <w:sz w:val="20"/>
        </w:rPr>
        <w:t> </w:t>
      </w:r>
      <w:r>
        <w:rPr>
          <w:sz w:val="20"/>
        </w:rPr>
        <w:t>that</w:t>
      </w:r>
      <w:r>
        <w:rPr>
          <w:spacing w:val="-10"/>
          <w:sz w:val="20"/>
        </w:rPr>
        <w:t> </w:t>
      </w:r>
      <w:r>
        <w:rPr>
          <w:sz w:val="20"/>
        </w:rPr>
        <w:t>it</w:t>
      </w:r>
      <w:r>
        <w:rPr>
          <w:spacing w:val="-10"/>
          <w:sz w:val="20"/>
        </w:rPr>
        <w:t> </w:t>
      </w:r>
      <w:r>
        <w:rPr>
          <w:sz w:val="20"/>
        </w:rPr>
        <w:t>was</w:t>
      </w:r>
      <w:r>
        <w:rPr>
          <w:spacing w:val="-10"/>
          <w:sz w:val="20"/>
        </w:rPr>
        <w:t> </w:t>
      </w:r>
      <w:r>
        <w:rPr>
          <w:sz w:val="20"/>
        </w:rPr>
        <w:t>practicable</w:t>
      </w:r>
      <w:r>
        <w:rPr>
          <w:spacing w:val="-10"/>
          <w:sz w:val="20"/>
        </w:rPr>
        <w:t> </w:t>
      </w:r>
      <w:r>
        <w:rPr>
          <w:sz w:val="20"/>
        </w:rPr>
        <w:t>for</w:t>
      </w:r>
      <w:r>
        <w:rPr>
          <w:spacing w:val="-10"/>
          <w:sz w:val="20"/>
        </w:rPr>
        <w:t> </w:t>
      </w:r>
      <w:r>
        <w:rPr>
          <w:sz w:val="20"/>
        </w:rPr>
        <w:t>a deaf</w:t>
      </w:r>
      <w:r>
        <w:rPr>
          <w:spacing w:val="-9"/>
          <w:sz w:val="20"/>
        </w:rPr>
        <w:t> </w:t>
      </w:r>
      <w:r>
        <w:rPr>
          <w:sz w:val="20"/>
        </w:rPr>
        <w:t>juror</w:t>
      </w:r>
      <w:r>
        <w:rPr>
          <w:spacing w:val="-9"/>
          <w:sz w:val="20"/>
        </w:rPr>
        <w:t> </w:t>
      </w:r>
      <w:r>
        <w:rPr>
          <w:sz w:val="20"/>
        </w:rPr>
        <w:t>to</w:t>
      </w:r>
      <w:r>
        <w:rPr>
          <w:spacing w:val="-9"/>
          <w:sz w:val="20"/>
        </w:rPr>
        <w:t> </w:t>
      </w:r>
      <w:r>
        <w:rPr>
          <w:sz w:val="20"/>
        </w:rPr>
        <w:t>serve</w:t>
      </w:r>
      <w:r>
        <w:rPr>
          <w:spacing w:val="-9"/>
          <w:sz w:val="20"/>
        </w:rPr>
        <w:t> </w:t>
      </w:r>
      <w:r>
        <w:rPr>
          <w:sz w:val="20"/>
        </w:rPr>
        <w:t>with</w:t>
      </w:r>
      <w:r>
        <w:rPr>
          <w:spacing w:val="-9"/>
          <w:sz w:val="20"/>
        </w:rPr>
        <w:t> </w:t>
      </w:r>
      <w:r>
        <w:rPr>
          <w:sz w:val="20"/>
        </w:rPr>
        <w:t>an</w:t>
      </w:r>
      <w:r>
        <w:rPr>
          <w:spacing w:val="-9"/>
          <w:sz w:val="20"/>
        </w:rPr>
        <w:t> </w:t>
      </w:r>
      <w:r>
        <w:rPr>
          <w:spacing w:val="-3"/>
          <w:sz w:val="20"/>
        </w:rPr>
        <w:t>interpreter</w:t>
      </w:r>
      <w:r>
        <w:rPr>
          <w:spacing w:val="-9"/>
          <w:sz w:val="20"/>
        </w:rPr>
        <w:t> </w:t>
      </w:r>
      <w:r>
        <w:rPr>
          <w:sz w:val="20"/>
        </w:rPr>
        <w:t>and</w:t>
      </w:r>
      <w:r>
        <w:rPr>
          <w:spacing w:val="-9"/>
          <w:sz w:val="20"/>
        </w:rPr>
        <w:t> </w:t>
      </w:r>
      <w:r>
        <w:rPr>
          <w:sz w:val="20"/>
        </w:rPr>
        <w:t>technological</w:t>
      </w:r>
      <w:r>
        <w:rPr>
          <w:spacing w:val="-9"/>
          <w:sz w:val="20"/>
        </w:rPr>
        <w:t> </w:t>
      </w:r>
      <w:r>
        <w:rPr>
          <w:sz w:val="20"/>
        </w:rPr>
        <w:t>supports.</w:t>
      </w:r>
      <w:r>
        <w:rPr>
          <w:position w:val="7"/>
          <w:sz w:val="11"/>
        </w:rPr>
        <w:t>112</w:t>
      </w:r>
      <w:r>
        <w:rPr>
          <w:spacing w:val="16"/>
          <w:position w:val="7"/>
          <w:sz w:val="11"/>
        </w:rPr>
        <w:t> </w:t>
      </w:r>
      <w:r>
        <w:rPr>
          <w:sz w:val="20"/>
        </w:rPr>
        <w:t>Justice</w:t>
      </w:r>
      <w:r>
        <w:rPr>
          <w:spacing w:val="-8"/>
          <w:sz w:val="20"/>
        </w:rPr>
        <w:t> </w:t>
      </w:r>
      <w:r>
        <w:rPr>
          <w:sz w:val="20"/>
        </w:rPr>
        <w:t>Carney considered</w:t>
      </w:r>
      <w:r>
        <w:rPr>
          <w:spacing w:val="-6"/>
          <w:sz w:val="20"/>
        </w:rPr>
        <w:t> </w:t>
      </w:r>
      <w:r>
        <w:rPr>
          <w:sz w:val="20"/>
        </w:rPr>
        <w:t>that</w:t>
      </w:r>
      <w:r>
        <w:rPr>
          <w:spacing w:val="-5"/>
          <w:sz w:val="20"/>
        </w:rPr>
        <w:t> </w:t>
      </w:r>
      <w:r>
        <w:rPr>
          <w:sz w:val="20"/>
        </w:rPr>
        <w:t>the</w:t>
      </w:r>
      <w:r>
        <w:rPr>
          <w:spacing w:val="-5"/>
          <w:sz w:val="20"/>
        </w:rPr>
        <w:t> </w:t>
      </w:r>
      <w:r>
        <w:rPr>
          <w:sz w:val="20"/>
        </w:rPr>
        <w:t>13th</w:t>
      </w:r>
      <w:r>
        <w:rPr>
          <w:spacing w:val="-6"/>
          <w:sz w:val="20"/>
        </w:rPr>
        <w:t> </w:t>
      </w:r>
      <w:r>
        <w:rPr>
          <w:sz w:val="20"/>
        </w:rPr>
        <w:t>person</w:t>
      </w:r>
      <w:r>
        <w:rPr>
          <w:spacing w:val="-5"/>
          <w:sz w:val="20"/>
        </w:rPr>
        <w:t> </w:t>
      </w:r>
      <w:r>
        <w:rPr>
          <w:sz w:val="20"/>
        </w:rPr>
        <w:t>rule</w:t>
      </w:r>
      <w:r>
        <w:rPr>
          <w:spacing w:val="-5"/>
          <w:sz w:val="20"/>
        </w:rPr>
        <w:t> </w:t>
      </w:r>
      <w:r>
        <w:rPr>
          <w:sz w:val="20"/>
        </w:rPr>
        <w:t>could</w:t>
      </w:r>
      <w:r>
        <w:rPr>
          <w:spacing w:val="-6"/>
          <w:sz w:val="20"/>
        </w:rPr>
        <w:t> </w:t>
      </w:r>
      <w:r>
        <w:rPr>
          <w:sz w:val="20"/>
        </w:rPr>
        <w:t>be</w:t>
      </w:r>
      <w:r>
        <w:rPr>
          <w:spacing w:val="-5"/>
          <w:sz w:val="20"/>
        </w:rPr>
        <w:t> </w:t>
      </w:r>
      <w:r>
        <w:rPr>
          <w:sz w:val="20"/>
        </w:rPr>
        <w:t>addressed</w:t>
      </w:r>
      <w:r>
        <w:rPr>
          <w:spacing w:val="-5"/>
          <w:sz w:val="20"/>
        </w:rPr>
        <w:t> </w:t>
      </w:r>
      <w:r>
        <w:rPr>
          <w:spacing w:val="-3"/>
          <w:sz w:val="20"/>
        </w:rPr>
        <w:t>by:</w:t>
      </w:r>
    </w:p>
    <w:p>
      <w:pPr>
        <w:spacing w:line="247" w:lineRule="exact" w:before="93"/>
        <w:ind w:left="2157" w:right="0" w:firstLine="0"/>
        <w:jc w:val="left"/>
        <w:rPr>
          <w:sz w:val="19"/>
        </w:rPr>
      </w:pPr>
      <w:r>
        <w:rPr>
          <w:sz w:val="19"/>
        </w:rPr>
        <w:t>an appropriate oath being taken by the signer in which he would submit himself to the</w:t>
      </w:r>
    </w:p>
    <w:p>
      <w:pPr>
        <w:spacing w:line="247" w:lineRule="exact" w:before="0"/>
        <w:ind w:left="2157" w:right="0" w:firstLine="0"/>
        <w:jc w:val="left"/>
        <w:rPr>
          <w:sz w:val="11"/>
        </w:rPr>
      </w:pPr>
      <w:r>
        <w:rPr>
          <w:sz w:val="19"/>
        </w:rPr>
        <w:t>same obligations of confidentiality as the rest of the other jurors.</w:t>
      </w:r>
      <w:r>
        <w:rPr>
          <w:position w:val="6"/>
          <w:sz w:val="11"/>
        </w:rPr>
        <w:t>113</w:t>
      </w:r>
    </w:p>
    <w:p>
      <w:pPr>
        <w:pStyle w:val="ListParagraph"/>
        <w:numPr>
          <w:ilvl w:val="1"/>
          <w:numId w:val="12"/>
        </w:numPr>
        <w:tabs>
          <w:tab w:pos="1761" w:val="left" w:leader="none"/>
          <w:tab w:pos="1762" w:val="left" w:leader="none"/>
        </w:tabs>
        <w:spacing w:line="206" w:lineRule="auto" w:before="117" w:after="0"/>
        <w:ind w:left="1761" w:right="1348" w:hanging="794"/>
        <w:jc w:val="left"/>
        <w:rPr>
          <w:sz w:val="11"/>
        </w:rPr>
      </w:pPr>
      <w:r>
        <w:rPr>
          <w:sz w:val="20"/>
        </w:rPr>
        <w:t>Dunne did not serve as a </w:t>
      </w:r>
      <w:r>
        <w:rPr>
          <w:spacing w:val="-4"/>
          <w:sz w:val="20"/>
        </w:rPr>
        <w:t>juror, </w:t>
      </w:r>
      <w:r>
        <w:rPr>
          <w:sz w:val="20"/>
        </w:rPr>
        <w:t>despite Justice Carney’s willingness to </w:t>
      </w:r>
      <w:r>
        <w:rPr>
          <w:spacing w:val="-3"/>
          <w:sz w:val="20"/>
        </w:rPr>
        <w:t>provide </w:t>
      </w:r>
      <w:r>
        <w:rPr>
          <w:sz w:val="20"/>
        </w:rPr>
        <w:t>adjustments,</w:t>
      </w:r>
      <w:r>
        <w:rPr>
          <w:spacing w:val="-10"/>
          <w:sz w:val="20"/>
        </w:rPr>
        <w:t> </w:t>
      </w:r>
      <w:r>
        <w:rPr>
          <w:sz w:val="20"/>
        </w:rPr>
        <w:t>as</w:t>
      </w:r>
      <w:r>
        <w:rPr>
          <w:spacing w:val="-9"/>
          <w:sz w:val="20"/>
        </w:rPr>
        <w:t> </w:t>
      </w:r>
      <w:r>
        <w:rPr>
          <w:sz w:val="20"/>
        </w:rPr>
        <w:t>he</w:t>
      </w:r>
      <w:r>
        <w:rPr>
          <w:spacing w:val="-9"/>
          <w:sz w:val="20"/>
        </w:rPr>
        <w:t> </w:t>
      </w:r>
      <w:r>
        <w:rPr>
          <w:sz w:val="20"/>
        </w:rPr>
        <w:t>was</w:t>
      </w:r>
      <w:r>
        <w:rPr>
          <w:spacing w:val="-9"/>
          <w:sz w:val="20"/>
        </w:rPr>
        <w:t> </w:t>
      </w:r>
      <w:r>
        <w:rPr>
          <w:sz w:val="20"/>
        </w:rPr>
        <w:t>subject</w:t>
      </w:r>
      <w:r>
        <w:rPr>
          <w:spacing w:val="-9"/>
          <w:sz w:val="20"/>
        </w:rPr>
        <w:t> </w:t>
      </w:r>
      <w:r>
        <w:rPr>
          <w:sz w:val="20"/>
        </w:rPr>
        <w:t>to</w:t>
      </w:r>
      <w:r>
        <w:rPr>
          <w:spacing w:val="-9"/>
          <w:sz w:val="20"/>
        </w:rPr>
        <w:t> </w:t>
      </w:r>
      <w:r>
        <w:rPr>
          <w:sz w:val="20"/>
        </w:rPr>
        <w:t>a</w:t>
      </w:r>
      <w:r>
        <w:rPr>
          <w:spacing w:val="-9"/>
          <w:sz w:val="20"/>
        </w:rPr>
        <w:t> </w:t>
      </w:r>
      <w:r>
        <w:rPr>
          <w:sz w:val="20"/>
        </w:rPr>
        <w:t>peremptory</w:t>
      </w:r>
      <w:r>
        <w:rPr>
          <w:spacing w:val="-9"/>
          <w:sz w:val="20"/>
        </w:rPr>
        <w:t> </w:t>
      </w:r>
      <w:r>
        <w:rPr>
          <w:sz w:val="20"/>
        </w:rPr>
        <w:t>challenge</w:t>
      </w:r>
      <w:r>
        <w:rPr>
          <w:spacing w:val="-9"/>
          <w:sz w:val="20"/>
        </w:rPr>
        <w:t> </w:t>
      </w:r>
      <w:r>
        <w:rPr>
          <w:sz w:val="20"/>
        </w:rPr>
        <w:t>and</w:t>
      </w:r>
      <w:r>
        <w:rPr>
          <w:spacing w:val="-9"/>
          <w:sz w:val="20"/>
        </w:rPr>
        <w:t> </w:t>
      </w:r>
      <w:r>
        <w:rPr>
          <w:spacing w:val="-3"/>
          <w:sz w:val="20"/>
        </w:rPr>
        <w:t>removed</w:t>
      </w:r>
      <w:r>
        <w:rPr>
          <w:spacing w:val="-9"/>
          <w:sz w:val="20"/>
        </w:rPr>
        <w:t> </w:t>
      </w:r>
      <w:r>
        <w:rPr>
          <w:spacing w:val="-3"/>
          <w:sz w:val="20"/>
        </w:rPr>
        <w:t>from</w:t>
      </w:r>
      <w:r>
        <w:rPr>
          <w:spacing w:val="-9"/>
          <w:sz w:val="20"/>
        </w:rPr>
        <w:t> </w:t>
      </w:r>
      <w:r>
        <w:rPr>
          <w:sz w:val="20"/>
        </w:rPr>
        <w:t>the</w:t>
      </w:r>
      <w:r>
        <w:rPr>
          <w:spacing w:val="-9"/>
          <w:sz w:val="20"/>
        </w:rPr>
        <w:t> </w:t>
      </w:r>
      <w:r>
        <w:rPr>
          <w:sz w:val="20"/>
        </w:rPr>
        <w:t>jury panel.</w:t>
      </w:r>
      <w:r>
        <w:rPr>
          <w:position w:val="7"/>
          <w:sz w:val="11"/>
        </w:rPr>
        <w:t>114</w:t>
      </w:r>
    </w:p>
    <w:p>
      <w:pPr>
        <w:pStyle w:val="ListParagraph"/>
        <w:numPr>
          <w:ilvl w:val="1"/>
          <w:numId w:val="12"/>
        </w:numPr>
        <w:tabs>
          <w:tab w:pos="1761" w:val="left" w:leader="none"/>
          <w:tab w:pos="1762" w:val="left" w:leader="none"/>
        </w:tabs>
        <w:spacing w:line="206" w:lineRule="auto" w:before="124" w:after="0"/>
        <w:ind w:left="1761" w:right="1246" w:hanging="794"/>
        <w:jc w:val="left"/>
        <w:rPr>
          <w:sz w:val="11"/>
        </w:rPr>
      </w:pPr>
      <w:r>
        <w:rPr>
          <w:spacing w:val="-3"/>
          <w:sz w:val="20"/>
        </w:rPr>
        <w:t>Following </w:t>
      </w:r>
      <w:r>
        <w:rPr>
          <w:sz w:val="20"/>
        </w:rPr>
        <w:t>the judgement about Mr Dunne’s ability to serve, the Irish Law Reform Commission</w:t>
      </w:r>
      <w:r>
        <w:rPr>
          <w:spacing w:val="-11"/>
          <w:sz w:val="20"/>
        </w:rPr>
        <w:t> </w:t>
      </w:r>
      <w:r>
        <w:rPr>
          <w:spacing w:val="-4"/>
          <w:sz w:val="20"/>
        </w:rPr>
        <w:t>(LCRC)</w:t>
      </w:r>
      <w:r>
        <w:rPr>
          <w:spacing w:val="-11"/>
          <w:sz w:val="20"/>
        </w:rPr>
        <w:t> </w:t>
      </w:r>
      <w:r>
        <w:rPr>
          <w:sz w:val="20"/>
        </w:rPr>
        <w:t>released</w:t>
      </w:r>
      <w:r>
        <w:rPr>
          <w:spacing w:val="-11"/>
          <w:sz w:val="20"/>
        </w:rPr>
        <w:t> </w:t>
      </w:r>
      <w:r>
        <w:rPr>
          <w:sz w:val="20"/>
        </w:rPr>
        <w:t>a</w:t>
      </w:r>
      <w:r>
        <w:rPr>
          <w:spacing w:val="-11"/>
          <w:sz w:val="20"/>
        </w:rPr>
        <w:t> </w:t>
      </w:r>
      <w:r>
        <w:rPr>
          <w:sz w:val="20"/>
        </w:rPr>
        <w:t>report</w:t>
      </w:r>
      <w:r>
        <w:rPr>
          <w:spacing w:val="-11"/>
          <w:sz w:val="20"/>
        </w:rPr>
        <w:t> </w:t>
      </w:r>
      <w:r>
        <w:rPr>
          <w:sz w:val="20"/>
        </w:rPr>
        <w:t>recommending</w:t>
      </w:r>
      <w:r>
        <w:rPr>
          <w:spacing w:val="-11"/>
          <w:sz w:val="20"/>
        </w:rPr>
        <w:t> </w:t>
      </w:r>
      <w:r>
        <w:rPr>
          <w:sz w:val="20"/>
        </w:rPr>
        <w:t>further</w:t>
      </w:r>
      <w:r>
        <w:rPr>
          <w:spacing w:val="-11"/>
          <w:sz w:val="20"/>
        </w:rPr>
        <w:t> </w:t>
      </w:r>
      <w:r>
        <w:rPr>
          <w:spacing w:val="-3"/>
          <w:sz w:val="20"/>
        </w:rPr>
        <w:t>research</w:t>
      </w:r>
      <w:r>
        <w:rPr>
          <w:spacing w:val="-11"/>
          <w:sz w:val="20"/>
        </w:rPr>
        <w:t> </w:t>
      </w:r>
      <w:r>
        <w:rPr>
          <w:spacing w:val="-3"/>
          <w:sz w:val="20"/>
        </w:rPr>
        <w:t>into</w:t>
      </w:r>
      <w:r>
        <w:rPr>
          <w:spacing w:val="-11"/>
          <w:sz w:val="20"/>
        </w:rPr>
        <w:t> </w:t>
      </w:r>
      <w:r>
        <w:rPr>
          <w:sz w:val="20"/>
        </w:rPr>
        <w:t>‘permissible and practicable supports and accommodation for [jurors with </w:t>
      </w:r>
      <w:r>
        <w:rPr>
          <w:spacing w:val="-2"/>
          <w:sz w:val="20"/>
        </w:rPr>
        <w:t>physical </w:t>
      </w:r>
      <w:r>
        <w:rPr>
          <w:sz w:val="20"/>
        </w:rPr>
        <w:t>disabilities], based on international best practice and</w:t>
      </w:r>
      <w:r>
        <w:rPr>
          <w:spacing w:val="-31"/>
          <w:sz w:val="20"/>
        </w:rPr>
        <w:t> </w:t>
      </w:r>
      <w:r>
        <w:rPr>
          <w:sz w:val="20"/>
        </w:rPr>
        <w:t>experience’.</w:t>
      </w:r>
      <w:r>
        <w:rPr>
          <w:position w:val="7"/>
          <w:sz w:val="11"/>
        </w:rPr>
        <w:t>115</w:t>
      </w:r>
    </w:p>
    <w:p>
      <w:pPr>
        <w:pStyle w:val="Heading6"/>
        <w:spacing w:before="129"/>
        <w:rPr>
          <w:b/>
        </w:rPr>
      </w:pPr>
      <w:r>
        <w:rPr>
          <w:b/>
        </w:rPr>
        <w:t>The experience of jurors in Ireland</w:t>
      </w:r>
    </w:p>
    <w:p>
      <w:pPr>
        <w:pStyle w:val="ListParagraph"/>
        <w:numPr>
          <w:ilvl w:val="1"/>
          <w:numId w:val="12"/>
        </w:numPr>
        <w:tabs>
          <w:tab w:pos="1761" w:val="left" w:leader="none"/>
          <w:tab w:pos="1762" w:val="left" w:leader="none"/>
        </w:tabs>
        <w:spacing w:line="206" w:lineRule="auto" w:before="132" w:after="0"/>
        <w:ind w:left="1761" w:right="1560" w:hanging="794"/>
        <w:jc w:val="left"/>
        <w:rPr>
          <w:sz w:val="20"/>
        </w:rPr>
      </w:pPr>
      <w:r>
        <w:rPr>
          <w:sz w:val="20"/>
        </w:rPr>
        <w:t>While legislation still has not been enacted to limit the application of 13th person rule or oblige the courts to </w:t>
      </w:r>
      <w:r>
        <w:rPr>
          <w:spacing w:val="-3"/>
          <w:sz w:val="20"/>
        </w:rPr>
        <w:t>provide </w:t>
      </w:r>
      <w:r>
        <w:rPr>
          <w:sz w:val="20"/>
        </w:rPr>
        <w:t>supports, the Irish Court Service has </w:t>
      </w:r>
      <w:r>
        <w:rPr>
          <w:spacing w:val="-3"/>
          <w:sz w:val="20"/>
        </w:rPr>
        <w:t>developed </w:t>
      </w:r>
      <w:r>
        <w:rPr>
          <w:sz w:val="20"/>
        </w:rPr>
        <w:t>processes</w:t>
      </w:r>
      <w:r>
        <w:rPr>
          <w:spacing w:val="-12"/>
          <w:sz w:val="20"/>
        </w:rPr>
        <w:t> </w:t>
      </w:r>
      <w:r>
        <w:rPr>
          <w:sz w:val="20"/>
        </w:rPr>
        <w:t>to</w:t>
      </w:r>
      <w:r>
        <w:rPr>
          <w:spacing w:val="-12"/>
          <w:sz w:val="20"/>
        </w:rPr>
        <w:t> </w:t>
      </w:r>
      <w:r>
        <w:rPr>
          <w:sz w:val="20"/>
        </w:rPr>
        <w:t>enable</w:t>
      </w:r>
      <w:r>
        <w:rPr>
          <w:spacing w:val="-12"/>
          <w:sz w:val="20"/>
        </w:rPr>
        <w:t> </w:t>
      </w:r>
      <w:r>
        <w:rPr>
          <w:sz w:val="20"/>
        </w:rPr>
        <w:t>deaf</w:t>
      </w:r>
      <w:r>
        <w:rPr>
          <w:spacing w:val="-11"/>
          <w:sz w:val="20"/>
        </w:rPr>
        <w:t> </w:t>
      </w:r>
      <w:r>
        <w:rPr>
          <w:sz w:val="20"/>
        </w:rPr>
        <w:t>jurors</w:t>
      </w:r>
      <w:r>
        <w:rPr>
          <w:spacing w:val="-12"/>
          <w:sz w:val="20"/>
        </w:rPr>
        <w:t> </w:t>
      </w:r>
      <w:r>
        <w:rPr>
          <w:sz w:val="20"/>
        </w:rPr>
        <w:t>to</w:t>
      </w:r>
      <w:r>
        <w:rPr>
          <w:spacing w:val="-12"/>
          <w:sz w:val="20"/>
        </w:rPr>
        <w:t> </w:t>
      </w:r>
      <w:r>
        <w:rPr>
          <w:sz w:val="20"/>
        </w:rPr>
        <w:t>serve,</w:t>
      </w:r>
      <w:r>
        <w:rPr>
          <w:spacing w:val="-11"/>
          <w:sz w:val="20"/>
        </w:rPr>
        <w:t> </w:t>
      </w:r>
      <w:r>
        <w:rPr>
          <w:sz w:val="20"/>
        </w:rPr>
        <w:t>including</w:t>
      </w:r>
      <w:r>
        <w:rPr>
          <w:spacing w:val="-12"/>
          <w:sz w:val="20"/>
        </w:rPr>
        <w:t> </w:t>
      </w:r>
      <w:r>
        <w:rPr>
          <w:spacing w:val="-3"/>
          <w:sz w:val="20"/>
        </w:rPr>
        <w:t>by</w:t>
      </w:r>
      <w:r>
        <w:rPr>
          <w:spacing w:val="-12"/>
          <w:sz w:val="20"/>
        </w:rPr>
        <w:t> </w:t>
      </w:r>
      <w:r>
        <w:rPr>
          <w:spacing w:val="-3"/>
          <w:sz w:val="20"/>
        </w:rPr>
        <w:t>providing</w:t>
      </w:r>
      <w:r>
        <w:rPr>
          <w:spacing w:val="-11"/>
          <w:sz w:val="20"/>
        </w:rPr>
        <w:t> </w:t>
      </w:r>
      <w:r>
        <w:rPr>
          <w:sz w:val="20"/>
        </w:rPr>
        <w:t>Irish</w:t>
      </w:r>
      <w:r>
        <w:rPr>
          <w:spacing w:val="-12"/>
          <w:sz w:val="20"/>
        </w:rPr>
        <w:t> </w:t>
      </w:r>
      <w:r>
        <w:rPr>
          <w:sz w:val="20"/>
        </w:rPr>
        <w:t>Sign</w:t>
      </w:r>
      <w:r>
        <w:rPr>
          <w:spacing w:val="-12"/>
          <w:sz w:val="20"/>
        </w:rPr>
        <w:t> </w:t>
      </w:r>
      <w:r>
        <w:rPr>
          <w:sz w:val="20"/>
        </w:rPr>
        <w:t>Language</w:t>
      </w:r>
    </w:p>
    <w:p>
      <w:pPr>
        <w:pStyle w:val="BodyText"/>
        <w:spacing w:line="206" w:lineRule="auto" w:before="4"/>
        <w:ind w:left="1761" w:right="1366"/>
        <w:jc w:val="both"/>
        <w:rPr>
          <w:sz w:val="11"/>
        </w:rPr>
      </w:pPr>
      <w:r>
        <w:rPr>
          <w:spacing w:val="-3"/>
        </w:rPr>
        <w:t>interpreters </w:t>
      </w:r>
      <w:r>
        <w:rPr/>
        <w:t>(see </w:t>
      </w:r>
      <w:r>
        <w:rPr>
          <w:spacing w:val="-3"/>
        </w:rPr>
        <w:t>example below).</w:t>
      </w:r>
      <w:r>
        <w:rPr>
          <w:spacing w:val="-3"/>
          <w:position w:val="7"/>
          <w:sz w:val="11"/>
        </w:rPr>
        <w:t>116 </w:t>
      </w:r>
      <w:r>
        <w:rPr/>
        <w:t>The Irish Courts Service has a dedicated disability liaison</w:t>
      </w:r>
      <w:r>
        <w:rPr>
          <w:spacing w:val="-15"/>
        </w:rPr>
        <w:t> </w:t>
      </w:r>
      <w:r>
        <w:rPr/>
        <w:t>officer</w:t>
      </w:r>
      <w:r>
        <w:rPr>
          <w:spacing w:val="-14"/>
        </w:rPr>
        <w:t> </w:t>
      </w:r>
      <w:r>
        <w:rPr/>
        <w:t>and</w:t>
      </w:r>
      <w:r>
        <w:rPr>
          <w:spacing w:val="-14"/>
        </w:rPr>
        <w:t> </w:t>
      </w:r>
      <w:r>
        <w:rPr/>
        <w:t>takes</w:t>
      </w:r>
      <w:r>
        <w:rPr>
          <w:spacing w:val="-14"/>
        </w:rPr>
        <w:t> </w:t>
      </w:r>
      <w:r>
        <w:rPr/>
        <w:t>a</w:t>
      </w:r>
      <w:r>
        <w:rPr>
          <w:spacing w:val="-14"/>
        </w:rPr>
        <w:t> </w:t>
      </w:r>
      <w:r>
        <w:rPr>
          <w:spacing w:val="-3"/>
        </w:rPr>
        <w:t>flexible</w:t>
      </w:r>
      <w:r>
        <w:rPr>
          <w:spacing w:val="-14"/>
        </w:rPr>
        <w:t> </w:t>
      </w:r>
      <w:r>
        <w:rPr/>
        <w:t>and</w:t>
      </w:r>
      <w:r>
        <w:rPr>
          <w:spacing w:val="-14"/>
        </w:rPr>
        <w:t> </w:t>
      </w:r>
      <w:r>
        <w:rPr/>
        <w:t>individualised</w:t>
      </w:r>
      <w:r>
        <w:rPr>
          <w:spacing w:val="-14"/>
        </w:rPr>
        <w:t> </w:t>
      </w:r>
      <w:r>
        <w:rPr/>
        <w:t>approach</w:t>
      </w:r>
      <w:r>
        <w:rPr>
          <w:spacing w:val="-15"/>
        </w:rPr>
        <w:t> </w:t>
      </w:r>
      <w:r>
        <w:rPr/>
        <w:t>to</w:t>
      </w:r>
      <w:r>
        <w:rPr>
          <w:spacing w:val="-14"/>
        </w:rPr>
        <w:t> </w:t>
      </w:r>
      <w:r>
        <w:rPr>
          <w:spacing w:val="-3"/>
        </w:rPr>
        <w:t>providing</w:t>
      </w:r>
      <w:r>
        <w:rPr>
          <w:spacing w:val="-14"/>
        </w:rPr>
        <w:t> </w:t>
      </w:r>
      <w:r>
        <w:rPr/>
        <w:t>reasonable accommodations for people with</w:t>
      </w:r>
      <w:r>
        <w:rPr>
          <w:spacing w:val="-19"/>
        </w:rPr>
        <w:t> </w:t>
      </w:r>
      <w:r>
        <w:rPr/>
        <w:t>disabilities.</w:t>
      </w:r>
      <w:r>
        <w:rPr>
          <w:position w:val="7"/>
          <w:sz w:val="11"/>
        </w:rPr>
        <w:t>117</w:t>
      </w:r>
    </w:p>
    <w:p>
      <w:pPr>
        <w:pStyle w:val="ListParagraph"/>
        <w:numPr>
          <w:ilvl w:val="1"/>
          <w:numId w:val="12"/>
        </w:numPr>
        <w:tabs>
          <w:tab w:pos="1761" w:val="left" w:leader="none"/>
          <w:tab w:pos="1762" w:val="left" w:leader="none"/>
        </w:tabs>
        <w:spacing w:line="206" w:lineRule="auto" w:before="124" w:after="0"/>
        <w:ind w:left="1761" w:right="1529" w:hanging="794"/>
        <w:jc w:val="left"/>
        <w:rPr>
          <w:sz w:val="11"/>
        </w:rPr>
      </w:pPr>
      <w:r>
        <w:rPr>
          <w:sz w:val="20"/>
        </w:rPr>
        <w:t>The</w:t>
      </w:r>
      <w:r>
        <w:rPr>
          <w:spacing w:val="-10"/>
          <w:sz w:val="20"/>
        </w:rPr>
        <w:t> </w:t>
      </w:r>
      <w:r>
        <w:rPr>
          <w:sz w:val="20"/>
        </w:rPr>
        <w:t>first</w:t>
      </w:r>
      <w:r>
        <w:rPr>
          <w:spacing w:val="-9"/>
          <w:sz w:val="20"/>
        </w:rPr>
        <w:t> </w:t>
      </w:r>
      <w:r>
        <w:rPr>
          <w:sz w:val="20"/>
        </w:rPr>
        <w:t>deaf</w:t>
      </w:r>
      <w:r>
        <w:rPr>
          <w:spacing w:val="-9"/>
          <w:sz w:val="20"/>
        </w:rPr>
        <w:t> </w:t>
      </w:r>
      <w:r>
        <w:rPr>
          <w:sz w:val="20"/>
        </w:rPr>
        <w:t>juror</w:t>
      </w:r>
      <w:r>
        <w:rPr>
          <w:spacing w:val="-9"/>
          <w:sz w:val="20"/>
        </w:rPr>
        <w:t> </w:t>
      </w:r>
      <w:r>
        <w:rPr>
          <w:sz w:val="20"/>
        </w:rPr>
        <w:t>was</w:t>
      </w:r>
      <w:r>
        <w:rPr>
          <w:spacing w:val="-9"/>
          <w:sz w:val="20"/>
        </w:rPr>
        <w:t> </w:t>
      </w:r>
      <w:r>
        <w:rPr>
          <w:sz w:val="20"/>
        </w:rPr>
        <w:t>empanelled</w:t>
      </w:r>
      <w:r>
        <w:rPr>
          <w:spacing w:val="-9"/>
          <w:sz w:val="20"/>
        </w:rPr>
        <w:t> </w:t>
      </w:r>
      <w:r>
        <w:rPr>
          <w:sz w:val="20"/>
        </w:rPr>
        <w:t>in</w:t>
      </w:r>
      <w:r>
        <w:rPr>
          <w:spacing w:val="-10"/>
          <w:sz w:val="20"/>
        </w:rPr>
        <w:t> </w:t>
      </w:r>
      <w:r>
        <w:rPr>
          <w:sz w:val="20"/>
        </w:rPr>
        <w:t>Ireland</w:t>
      </w:r>
      <w:r>
        <w:rPr>
          <w:spacing w:val="-9"/>
          <w:sz w:val="20"/>
        </w:rPr>
        <w:t> </w:t>
      </w:r>
      <w:r>
        <w:rPr>
          <w:sz w:val="20"/>
        </w:rPr>
        <w:t>in</w:t>
      </w:r>
      <w:r>
        <w:rPr>
          <w:spacing w:val="-9"/>
          <w:sz w:val="20"/>
        </w:rPr>
        <w:t> </w:t>
      </w:r>
      <w:r>
        <w:rPr>
          <w:sz w:val="20"/>
        </w:rPr>
        <w:t>December</w:t>
      </w:r>
      <w:r>
        <w:rPr>
          <w:spacing w:val="-9"/>
          <w:sz w:val="20"/>
        </w:rPr>
        <w:t> </w:t>
      </w:r>
      <w:r>
        <w:rPr>
          <w:spacing w:val="-5"/>
          <w:sz w:val="20"/>
        </w:rPr>
        <w:t>2017</w:t>
      </w:r>
      <w:r>
        <w:rPr>
          <w:spacing w:val="-9"/>
          <w:sz w:val="20"/>
        </w:rPr>
        <w:t> </w:t>
      </w:r>
      <w:r>
        <w:rPr>
          <w:sz w:val="20"/>
        </w:rPr>
        <w:t>in</w:t>
      </w:r>
      <w:r>
        <w:rPr>
          <w:spacing w:val="-9"/>
          <w:sz w:val="20"/>
        </w:rPr>
        <w:t> </w:t>
      </w:r>
      <w:r>
        <w:rPr>
          <w:sz w:val="20"/>
        </w:rPr>
        <w:t>the</w:t>
      </w:r>
      <w:r>
        <w:rPr>
          <w:spacing w:val="-9"/>
          <w:sz w:val="20"/>
        </w:rPr>
        <w:t> </w:t>
      </w:r>
      <w:r>
        <w:rPr>
          <w:sz w:val="20"/>
        </w:rPr>
        <w:t>Dublin</w:t>
      </w:r>
      <w:r>
        <w:rPr>
          <w:spacing w:val="-10"/>
          <w:sz w:val="20"/>
        </w:rPr>
        <w:t> </w:t>
      </w:r>
      <w:r>
        <w:rPr>
          <w:spacing w:val="-3"/>
          <w:sz w:val="20"/>
        </w:rPr>
        <w:t>Circuit </w:t>
      </w:r>
      <w:r>
        <w:rPr>
          <w:sz w:val="20"/>
        </w:rPr>
        <w:t>Criminal Court.</w:t>
      </w:r>
      <w:r>
        <w:rPr>
          <w:position w:val="7"/>
          <w:sz w:val="11"/>
        </w:rPr>
        <w:t>118 </w:t>
      </w:r>
      <w:r>
        <w:rPr>
          <w:sz w:val="20"/>
        </w:rPr>
        <w:t>While that case did not go to trial, presiding Judge Sinéad Ní Chúlacháin noted that it was a ‘historic jury’.</w:t>
      </w:r>
      <w:r>
        <w:rPr>
          <w:position w:val="7"/>
          <w:sz w:val="11"/>
        </w:rPr>
        <w:t>119 </w:t>
      </w:r>
      <w:r>
        <w:rPr>
          <w:sz w:val="20"/>
        </w:rPr>
        <w:t>In the same week that the first deaf juror was empanelled, the Oireachtas (the National Parliament) enacted legislation recognising</w:t>
      </w:r>
      <w:r>
        <w:rPr>
          <w:spacing w:val="-7"/>
          <w:sz w:val="20"/>
        </w:rPr>
        <w:t> </w:t>
      </w:r>
      <w:r>
        <w:rPr>
          <w:sz w:val="20"/>
        </w:rPr>
        <w:t>Irish</w:t>
      </w:r>
      <w:r>
        <w:rPr>
          <w:spacing w:val="-6"/>
          <w:sz w:val="20"/>
        </w:rPr>
        <w:t> </w:t>
      </w:r>
      <w:r>
        <w:rPr>
          <w:sz w:val="20"/>
        </w:rPr>
        <w:t>Sign</w:t>
      </w:r>
      <w:r>
        <w:rPr>
          <w:spacing w:val="-7"/>
          <w:sz w:val="20"/>
        </w:rPr>
        <w:t> </w:t>
      </w:r>
      <w:r>
        <w:rPr>
          <w:sz w:val="20"/>
        </w:rPr>
        <w:t>Language</w:t>
      </w:r>
      <w:r>
        <w:rPr>
          <w:spacing w:val="-6"/>
          <w:sz w:val="20"/>
        </w:rPr>
        <w:t> </w:t>
      </w:r>
      <w:r>
        <w:rPr>
          <w:sz w:val="20"/>
        </w:rPr>
        <w:t>(ISL)</w:t>
      </w:r>
      <w:r>
        <w:rPr>
          <w:spacing w:val="-7"/>
          <w:sz w:val="20"/>
        </w:rPr>
        <w:t> </w:t>
      </w:r>
      <w:r>
        <w:rPr>
          <w:sz w:val="20"/>
        </w:rPr>
        <w:t>as</w:t>
      </w:r>
      <w:r>
        <w:rPr>
          <w:spacing w:val="-6"/>
          <w:sz w:val="20"/>
        </w:rPr>
        <w:t> </w:t>
      </w:r>
      <w:r>
        <w:rPr>
          <w:sz w:val="20"/>
        </w:rPr>
        <w:t>an</w:t>
      </w:r>
      <w:r>
        <w:rPr>
          <w:spacing w:val="-7"/>
          <w:sz w:val="20"/>
        </w:rPr>
        <w:t> </w:t>
      </w:r>
      <w:r>
        <w:rPr>
          <w:sz w:val="20"/>
        </w:rPr>
        <w:t>official</w:t>
      </w:r>
      <w:r>
        <w:rPr>
          <w:spacing w:val="-6"/>
          <w:sz w:val="20"/>
        </w:rPr>
        <w:t> </w:t>
      </w:r>
      <w:r>
        <w:rPr>
          <w:sz w:val="20"/>
        </w:rPr>
        <w:t>language</w:t>
      </w:r>
      <w:r>
        <w:rPr>
          <w:spacing w:val="-7"/>
          <w:sz w:val="20"/>
        </w:rPr>
        <w:t> </w:t>
      </w:r>
      <w:r>
        <w:rPr>
          <w:sz w:val="20"/>
        </w:rPr>
        <w:t>of</w:t>
      </w:r>
      <w:r>
        <w:rPr>
          <w:spacing w:val="-6"/>
          <w:sz w:val="20"/>
        </w:rPr>
        <w:t> </w:t>
      </w:r>
      <w:r>
        <w:rPr>
          <w:sz w:val="20"/>
        </w:rPr>
        <w:t>Ireland.</w:t>
      </w:r>
      <w:r>
        <w:rPr>
          <w:position w:val="7"/>
          <w:sz w:val="11"/>
        </w:rPr>
        <w:t>120</w:t>
      </w:r>
    </w:p>
    <w:p>
      <w:pPr>
        <w:pStyle w:val="ListParagraph"/>
        <w:numPr>
          <w:ilvl w:val="1"/>
          <w:numId w:val="12"/>
        </w:numPr>
        <w:tabs>
          <w:tab w:pos="1761" w:val="left" w:leader="none"/>
          <w:tab w:pos="1762" w:val="left" w:leader="none"/>
        </w:tabs>
        <w:spacing w:line="206" w:lineRule="auto" w:before="126" w:after="0"/>
        <w:ind w:left="1761" w:right="1811" w:hanging="794"/>
        <w:jc w:val="left"/>
        <w:rPr>
          <w:sz w:val="20"/>
        </w:rPr>
      </w:pPr>
      <w:r>
        <w:rPr>
          <w:sz w:val="20"/>
        </w:rPr>
        <w:t>In</w:t>
      </w:r>
      <w:r>
        <w:rPr>
          <w:spacing w:val="-13"/>
          <w:sz w:val="20"/>
        </w:rPr>
        <w:t> </w:t>
      </w:r>
      <w:r>
        <w:rPr>
          <w:sz w:val="20"/>
        </w:rPr>
        <w:t>September</w:t>
      </w:r>
      <w:r>
        <w:rPr>
          <w:spacing w:val="-12"/>
          <w:sz w:val="20"/>
        </w:rPr>
        <w:t> </w:t>
      </w:r>
      <w:r>
        <w:rPr>
          <w:spacing w:val="-4"/>
          <w:sz w:val="20"/>
        </w:rPr>
        <w:t>2020,</w:t>
      </w:r>
      <w:r>
        <w:rPr>
          <w:spacing w:val="-13"/>
          <w:sz w:val="20"/>
        </w:rPr>
        <w:t> </w:t>
      </w:r>
      <w:r>
        <w:rPr>
          <w:sz w:val="20"/>
        </w:rPr>
        <w:t>Patricia</w:t>
      </w:r>
      <w:r>
        <w:rPr>
          <w:spacing w:val="-12"/>
          <w:sz w:val="20"/>
        </w:rPr>
        <w:t> </w:t>
      </w:r>
      <w:r>
        <w:rPr>
          <w:sz w:val="20"/>
        </w:rPr>
        <w:t>Heffernan</w:t>
      </w:r>
      <w:r>
        <w:rPr>
          <w:spacing w:val="-13"/>
          <w:sz w:val="20"/>
        </w:rPr>
        <w:t> </w:t>
      </w:r>
      <w:r>
        <w:rPr>
          <w:sz w:val="20"/>
        </w:rPr>
        <w:t>became</w:t>
      </w:r>
      <w:r>
        <w:rPr>
          <w:spacing w:val="-12"/>
          <w:sz w:val="20"/>
        </w:rPr>
        <w:t> </w:t>
      </w:r>
      <w:r>
        <w:rPr>
          <w:sz w:val="20"/>
        </w:rPr>
        <w:t>the</w:t>
      </w:r>
      <w:r>
        <w:rPr>
          <w:spacing w:val="-13"/>
          <w:sz w:val="20"/>
        </w:rPr>
        <w:t> </w:t>
      </w:r>
      <w:r>
        <w:rPr>
          <w:sz w:val="20"/>
        </w:rPr>
        <w:t>first</w:t>
      </w:r>
      <w:r>
        <w:rPr>
          <w:spacing w:val="-12"/>
          <w:sz w:val="20"/>
        </w:rPr>
        <w:t> </w:t>
      </w:r>
      <w:r>
        <w:rPr>
          <w:sz w:val="20"/>
        </w:rPr>
        <w:t>deaf</w:t>
      </w:r>
      <w:r>
        <w:rPr>
          <w:spacing w:val="-12"/>
          <w:sz w:val="20"/>
        </w:rPr>
        <w:t> </w:t>
      </w:r>
      <w:r>
        <w:rPr>
          <w:sz w:val="20"/>
        </w:rPr>
        <w:t>person</w:t>
      </w:r>
      <w:r>
        <w:rPr>
          <w:spacing w:val="-13"/>
          <w:sz w:val="20"/>
        </w:rPr>
        <w:t> </w:t>
      </w:r>
      <w:r>
        <w:rPr>
          <w:sz w:val="20"/>
        </w:rPr>
        <w:t>to</w:t>
      </w:r>
      <w:r>
        <w:rPr>
          <w:spacing w:val="-12"/>
          <w:sz w:val="20"/>
        </w:rPr>
        <w:t> </w:t>
      </w:r>
      <w:r>
        <w:rPr>
          <w:sz w:val="20"/>
        </w:rPr>
        <w:t>deliberate on</w:t>
      </w:r>
      <w:r>
        <w:rPr>
          <w:spacing w:val="-10"/>
          <w:sz w:val="20"/>
        </w:rPr>
        <w:t> </w:t>
      </w:r>
      <w:r>
        <w:rPr>
          <w:sz w:val="20"/>
        </w:rPr>
        <w:t>an</w:t>
      </w:r>
      <w:r>
        <w:rPr>
          <w:spacing w:val="-9"/>
          <w:sz w:val="20"/>
        </w:rPr>
        <w:t> </w:t>
      </w:r>
      <w:r>
        <w:rPr>
          <w:sz w:val="20"/>
        </w:rPr>
        <w:t>Irish</w:t>
      </w:r>
      <w:r>
        <w:rPr>
          <w:spacing w:val="-9"/>
          <w:sz w:val="20"/>
        </w:rPr>
        <w:t> </w:t>
      </w:r>
      <w:r>
        <w:rPr>
          <w:sz w:val="20"/>
        </w:rPr>
        <w:t>jury.</w:t>
      </w:r>
      <w:r>
        <w:rPr>
          <w:spacing w:val="-10"/>
          <w:sz w:val="20"/>
        </w:rPr>
        <w:t> </w:t>
      </w:r>
      <w:r>
        <w:rPr>
          <w:sz w:val="20"/>
        </w:rPr>
        <w:t>ISL</w:t>
      </w:r>
      <w:r>
        <w:rPr>
          <w:spacing w:val="-9"/>
          <w:sz w:val="20"/>
        </w:rPr>
        <w:t> </w:t>
      </w:r>
      <w:r>
        <w:rPr>
          <w:sz w:val="20"/>
        </w:rPr>
        <w:t>is</w:t>
      </w:r>
      <w:r>
        <w:rPr>
          <w:spacing w:val="-9"/>
          <w:sz w:val="20"/>
        </w:rPr>
        <w:t> </w:t>
      </w:r>
      <w:r>
        <w:rPr>
          <w:sz w:val="20"/>
        </w:rPr>
        <w:t>her</w:t>
      </w:r>
      <w:r>
        <w:rPr>
          <w:spacing w:val="-10"/>
          <w:sz w:val="20"/>
        </w:rPr>
        <w:t> </w:t>
      </w:r>
      <w:r>
        <w:rPr>
          <w:sz w:val="20"/>
        </w:rPr>
        <w:t>first</w:t>
      </w:r>
      <w:r>
        <w:rPr>
          <w:spacing w:val="-9"/>
          <w:sz w:val="20"/>
        </w:rPr>
        <w:t> </w:t>
      </w:r>
      <w:r>
        <w:rPr>
          <w:sz w:val="20"/>
        </w:rPr>
        <w:t>language;</w:t>
      </w:r>
      <w:r>
        <w:rPr>
          <w:spacing w:val="-9"/>
          <w:sz w:val="20"/>
        </w:rPr>
        <w:t> </w:t>
      </w:r>
      <w:r>
        <w:rPr>
          <w:sz w:val="20"/>
        </w:rPr>
        <w:t>English</w:t>
      </w:r>
      <w:r>
        <w:rPr>
          <w:spacing w:val="-10"/>
          <w:sz w:val="20"/>
        </w:rPr>
        <w:t> </w:t>
      </w:r>
      <w:r>
        <w:rPr>
          <w:sz w:val="20"/>
        </w:rPr>
        <w:t>is</w:t>
      </w:r>
      <w:r>
        <w:rPr>
          <w:spacing w:val="-9"/>
          <w:sz w:val="20"/>
        </w:rPr>
        <w:t> </w:t>
      </w:r>
      <w:r>
        <w:rPr>
          <w:sz w:val="20"/>
        </w:rPr>
        <w:t>her</w:t>
      </w:r>
      <w:r>
        <w:rPr>
          <w:spacing w:val="-9"/>
          <w:sz w:val="20"/>
        </w:rPr>
        <w:t> </w:t>
      </w:r>
      <w:r>
        <w:rPr>
          <w:sz w:val="20"/>
        </w:rPr>
        <w:t>second</w:t>
      </w:r>
      <w:r>
        <w:rPr>
          <w:spacing w:val="-9"/>
          <w:sz w:val="20"/>
        </w:rPr>
        <w:t> </w:t>
      </w:r>
      <w:r>
        <w:rPr>
          <w:sz w:val="20"/>
        </w:rPr>
        <w:t>language.</w:t>
      </w:r>
      <w:r>
        <w:rPr>
          <w:spacing w:val="-10"/>
          <w:sz w:val="20"/>
        </w:rPr>
        <w:t> </w:t>
      </w:r>
      <w:r>
        <w:rPr>
          <w:sz w:val="20"/>
        </w:rPr>
        <w:t>She</w:t>
      </w:r>
      <w:r>
        <w:rPr>
          <w:spacing w:val="-9"/>
          <w:sz w:val="20"/>
        </w:rPr>
        <w:t> </w:t>
      </w:r>
      <w:r>
        <w:rPr>
          <w:sz w:val="20"/>
        </w:rPr>
        <w:t>was</w:t>
      </w:r>
    </w:p>
    <w:p>
      <w:pPr>
        <w:pStyle w:val="BodyText"/>
        <w:spacing w:line="206" w:lineRule="auto" w:before="3"/>
        <w:ind w:left="1761" w:right="1142"/>
      </w:pPr>
      <w:r>
        <w:rPr/>
        <w:t>assisted in the deliberation </w:t>
      </w:r>
      <w:r>
        <w:rPr>
          <w:spacing w:val="-3"/>
        </w:rPr>
        <w:t>by </w:t>
      </w:r>
      <w:r>
        <w:rPr/>
        <w:t>three ISL </w:t>
      </w:r>
      <w:r>
        <w:rPr>
          <w:spacing w:val="-3"/>
        </w:rPr>
        <w:t>interpreters: </w:t>
      </w:r>
      <w:r>
        <w:rPr/>
        <w:t>two to </w:t>
      </w:r>
      <w:r>
        <w:rPr>
          <w:spacing w:val="-3"/>
        </w:rPr>
        <w:t>interpret </w:t>
      </w:r>
      <w:r>
        <w:rPr/>
        <w:t>in the court and jury deliberations, and one to </w:t>
      </w:r>
      <w:r>
        <w:rPr>
          <w:spacing w:val="-3"/>
        </w:rPr>
        <w:t>interpret </w:t>
      </w:r>
      <w:r>
        <w:rPr/>
        <w:t>during breaks. Ms Heffernan said there </w:t>
      </w:r>
      <w:r>
        <w:rPr>
          <w:spacing w:val="-4"/>
        </w:rPr>
        <w:t>were </w:t>
      </w:r>
      <w:r>
        <w:rPr>
          <w:spacing w:val="-3"/>
        </w:rPr>
        <w:t>‘absolutely </w:t>
      </w:r>
      <w:r>
        <w:rPr/>
        <w:t>no issues around </w:t>
      </w:r>
      <w:r>
        <w:rPr>
          <w:spacing w:val="-3"/>
        </w:rPr>
        <w:t>communication’. </w:t>
      </w:r>
      <w:r>
        <w:rPr/>
        <w:t>While there was terminology she was not</w:t>
      </w:r>
    </w:p>
    <w:p>
      <w:pPr>
        <w:pStyle w:val="BodyText"/>
        <w:spacing w:before="4"/>
        <w:rPr>
          <w:sz w:val="13"/>
        </w:rPr>
      </w:pPr>
      <w:r>
        <w:rPr/>
        <w:pict>
          <v:line style="position:absolute;mso-position-horizontal-relative:page;mso-position-vertical-relative:paragraph;z-index:6392;mso-wrap-distance-left:0;mso-wrap-distance-right:0" from="79.370003pt,11.686883pt" to="515.905003pt,11.686883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73"/>
        </w:numPr>
        <w:tabs>
          <w:tab w:pos="1760" w:val="left" w:leader="none"/>
          <w:tab w:pos="1762" w:val="left" w:leader="none"/>
        </w:tabs>
        <w:spacing w:line="213" w:lineRule="auto" w:before="38" w:after="0"/>
        <w:ind w:left="1760" w:right="203" w:hanging="793"/>
        <w:jc w:val="left"/>
        <w:rPr>
          <w:sz w:val="13"/>
        </w:rPr>
      </w:pPr>
      <w:r>
        <w:rPr>
          <w:sz w:val="13"/>
        </w:rPr>
        <w:t>Changes were made to the </w:t>
      </w:r>
      <w:r>
        <w:rPr>
          <w:i/>
          <w:sz w:val="13"/>
        </w:rPr>
        <w:t>Juries Act 1976 </w:t>
      </w:r>
      <w:r>
        <w:rPr>
          <w:sz w:val="13"/>
        </w:rPr>
        <w:t>(Ireland) sch 1, pt 1 by the </w:t>
      </w:r>
      <w:r>
        <w:rPr>
          <w:i/>
          <w:spacing w:val="2"/>
          <w:sz w:val="13"/>
        </w:rPr>
        <w:t>Courts </w:t>
      </w:r>
      <w:r>
        <w:rPr>
          <w:i/>
          <w:sz w:val="13"/>
        </w:rPr>
        <w:t>and Civil Law (Miscellaneous Provisions) Act 2008 </w:t>
      </w:r>
      <w:r>
        <w:rPr>
          <w:sz w:val="13"/>
        </w:rPr>
        <w:t>(Ireland) s 64(a). See </w:t>
      </w:r>
      <w:r>
        <w:rPr>
          <w:spacing w:val="2"/>
          <w:sz w:val="13"/>
        </w:rPr>
        <w:t>also </w:t>
      </w:r>
      <w:r>
        <w:rPr>
          <w:sz w:val="13"/>
        </w:rPr>
        <w:t>Law Reform </w:t>
      </w:r>
      <w:r>
        <w:rPr>
          <w:spacing w:val="2"/>
          <w:sz w:val="13"/>
        </w:rPr>
        <w:t>Commission </w:t>
      </w:r>
      <w:r>
        <w:rPr>
          <w:sz w:val="13"/>
        </w:rPr>
        <w:t>(Ireland), </w:t>
      </w:r>
      <w:r>
        <w:rPr>
          <w:i/>
          <w:spacing w:val="2"/>
          <w:sz w:val="13"/>
        </w:rPr>
        <w:t>Jury Service </w:t>
      </w:r>
      <w:r>
        <w:rPr>
          <w:spacing w:val="2"/>
          <w:sz w:val="13"/>
        </w:rPr>
        <w:t>(Report </w:t>
      </w:r>
      <w:r>
        <w:rPr>
          <w:sz w:val="13"/>
        </w:rPr>
        <w:t>No </w:t>
      </w:r>
      <w:r>
        <w:rPr>
          <w:spacing w:val="-3"/>
          <w:sz w:val="13"/>
        </w:rPr>
        <w:t>107, </w:t>
      </w:r>
      <w:r>
        <w:rPr>
          <w:sz w:val="13"/>
        </w:rPr>
        <w:t>April 2013) </w:t>
      </w:r>
      <w:r>
        <w:rPr>
          <w:spacing w:val="2"/>
          <w:sz w:val="13"/>
        </w:rPr>
        <w:t>[4.03]–[4.05]; </w:t>
      </w:r>
      <w:r>
        <w:rPr>
          <w:spacing w:val="3"/>
          <w:sz w:val="13"/>
        </w:rPr>
        <w:t>‘Who </w:t>
      </w:r>
      <w:r>
        <w:rPr>
          <w:spacing w:val="2"/>
          <w:sz w:val="13"/>
        </w:rPr>
        <w:t>Can </w:t>
      </w:r>
      <w:r>
        <w:rPr>
          <w:sz w:val="13"/>
        </w:rPr>
        <w:t>Be Called</w:t>
      </w:r>
      <w:r>
        <w:rPr>
          <w:spacing w:val="11"/>
          <w:sz w:val="13"/>
        </w:rPr>
        <w:t> </w:t>
      </w:r>
      <w:r>
        <w:rPr>
          <w:sz w:val="13"/>
        </w:rPr>
        <w:t>for</w:t>
      </w:r>
      <w:r>
        <w:rPr>
          <w:spacing w:val="10"/>
          <w:sz w:val="13"/>
        </w:rPr>
        <w:t> </w:t>
      </w:r>
      <w:r>
        <w:rPr>
          <w:spacing w:val="2"/>
          <w:sz w:val="13"/>
        </w:rPr>
        <w:t>Jury</w:t>
      </w:r>
      <w:r>
        <w:rPr>
          <w:spacing w:val="11"/>
          <w:sz w:val="13"/>
        </w:rPr>
        <w:t> </w:t>
      </w:r>
      <w:r>
        <w:rPr>
          <w:sz w:val="13"/>
        </w:rPr>
        <w:t>Service?’,</w:t>
      </w:r>
      <w:r>
        <w:rPr>
          <w:spacing w:val="11"/>
          <w:sz w:val="13"/>
        </w:rPr>
        <w:t> </w:t>
      </w:r>
      <w:r>
        <w:rPr>
          <w:i/>
          <w:sz w:val="13"/>
        </w:rPr>
        <w:t>The</w:t>
      </w:r>
      <w:r>
        <w:rPr>
          <w:i/>
          <w:spacing w:val="11"/>
          <w:sz w:val="13"/>
        </w:rPr>
        <w:t> </w:t>
      </w:r>
      <w:r>
        <w:rPr>
          <w:i/>
          <w:spacing w:val="2"/>
          <w:sz w:val="13"/>
        </w:rPr>
        <w:t>Courts</w:t>
      </w:r>
      <w:r>
        <w:rPr>
          <w:i/>
          <w:spacing w:val="11"/>
          <w:sz w:val="13"/>
        </w:rPr>
        <w:t> </w:t>
      </w:r>
      <w:r>
        <w:rPr>
          <w:i/>
          <w:spacing w:val="2"/>
          <w:sz w:val="13"/>
        </w:rPr>
        <w:t>Service</w:t>
      </w:r>
      <w:r>
        <w:rPr>
          <w:i/>
          <w:spacing w:val="11"/>
          <w:sz w:val="13"/>
        </w:rPr>
        <w:t> </w:t>
      </w:r>
      <w:r>
        <w:rPr>
          <w:i/>
          <w:sz w:val="13"/>
        </w:rPr>
        <w:t>of</w:t>
      </w:r>
      <w:r>
        <w:rPr>
          <w:i/>
          <w:spacing w:val="10"/>
          <w:sz w:val="13"/>
        </w:rPr>
        <w:t> </w:t>
      </w:r>
      <w:r>
        <w:rPr>
          <w:i/>
          <w:sz w:val="13"/>
        </w:rPr>
        <w:t>Ireland</w:t>
      </w:r>
      <w:r>
        <w:rPr>
          <w:i/>
          <w:spacing w:val="11"/>
          <w:sz w:val="13"/>
        </w:rPr>
        <w:t> </w:t>
      </w:r>
      <w:r>
        <w:rPr>
          <w:sz w:val="13"/>
        </w:rPr>
        <w:t>(Web</w:t>
      </w:r>
      <w:r>
        <w:rPr>
          <w:spacing w:val="11"/>
          <w:sz w:val="13"/>
        </w:rPr>
        <w:t> </w:t>
      </w:r>
      <w:r>
        <w:rPr>
          <w:sz w:val="13"/>
        </w:rPr>
        <w:t>Page)</w:t>
      </w:r>
      <w:r>
        <w:rPr>
          <w:spacing w:val="11"/>
          <w:sz w:val="13"/>
        </w:rPr>
        <w:t> </w:t>
      </w:r>
      <w:r>
        <w:rPr>
          <w:sz w:val="13"/>
        </w:rPr>
        <w:t>&lt;</w:t>
      </w:r>
      <w:hyperlink r:id="rId172">
        <w:r>
          <w:rPr>
            <w:sz w:val="13"/>
          </w:rPr>
          <w:t>https://www.courts.ie/who-can-be-called-jury-service</w:t>
        </w:r>
      </w:hyperlink>
      <w:r>
        <w:rPr>
          <w:sz w:val="13"/>
        </w:rPr>
        <w:t>&gt;.</w:t>
      </w:r>
    </w:p>
    <w:p>
      <w:pPr>
        <w:pStyle w:val="ListParagraph"/>
        <w:numPr>
          <w:ilvl w:val="0"/>
          <w:numId w:val="73"/>
        </w:numPr>
        <w:tabs>
          <w:tab w:pos="1761" w:val="left" w:leader="none"/>
          <w:tab w:pos="1762" w:val="left" w:leader="none"/>
        </w:tabs>
        <w:spacing w:line="213" w:lineRule="auto" w:before="0" w:after="0"/>
        <w:ind w:left="1761" w:right="0" w:hanging="794"/>
        <w:jc w:val="left"/>
        <w:rPr>
          <w:sz w:val="13"/>
        </w:rPr>
      </w:pPr>
      <w:r>
        <w:rPr>
          <w:i/>
          <w:sz w:val="13"/>
        </w:rPr>
        <w:t>Clarke v County Registrar County Galway </w:t>
      </w:r>
      <w:r>
        <w:rPr>
          <w:sz w:val="13"/>
        </w:rPr>
        <w:t>[2010] 2006 High </w:t>
      </w:r>
      <w:r>
        <w:rPr>
          <w:spacing w:val="2"/>
          <w:sz w:val="13"/>
        </w:rPr>
        <w:t>Court </w:t>
      </w:r>
      <w:r>
        <w:rPr>
          <w:sz w:val="13"/>
        </w:rPr>
        <w:t>Judicial Review 1338; </w:t>
      </w:r>
      <w:r>
        <w:rPr>
          <w:i/>
          <w:sz w:val="13"/>
        </w:rPr>
        <w:t>The People (DPP) v O’Brien, </w:t>
      </w:r>
      <w:r>
        <w:rPr>
          <w:sz w:val="13"/>
        </w:rPr>
        <w:t>Central Criminal </w:t>
      </w:r>
      <w:r>
        <w:rPr>
          <w:spacing w:val="2"/>
          <w:sz w:val="13"/>
        </w:rPr>
        <w:t>Court, </w:t>
      </w:r>
      <w:r>
        <w:rPr>
          <w:sz w:val="13"/>
        </w:rPr>
        <w:t>29 November 2010; </w:t>
      </w:r>
      <w:r>
        <w:rPr>
          <w:i/>
          <w:sz w:val="13"/>
        </w:rPr>
        <w:t>The People (DPP) v JM, </w:t>
      </w:r>
      <w:r>
        <w:rPr>
          <w:sz w:val="13"/>
        </w:rPr>
        <w:t>Circuit Criminal </w:t>
      </w:r>
      <w:r>
        <w:rPr>
          <w:spacing w:val="2"/>
          <w:sz w:val="13"/>
        </w:rPr>
        <w:t>Court, </w:t>
      </w:r>
      <w:r>
        <w:rPr>
          <w:sz w:val="13"/>
        </w:rPr>
        <w:t>November</w:t>
      </w:r>
      <w:r>
        <w:rPr>
          <w:spacing w:val="8"/>
          <w:sz w:val="13"/>
        </w:rPr>
        <w:t> </w:t>
      </w:r>
      <w:r>
        <w:rPr>
          <w:sz w:val="13"/>
        </w:rPr>
        <w:t>2010.</w:t>
      </w:r>
    </w:p>
    <w:p>
      <w:pPr>
        <w:pStyle w:val="ListParagraph"/>
        <w:numPr>
          <w:ilvl w:val="0"/>
          <w:numId w:val="73"/>
        </w:numPr>
        <w:tabs>
          <w:tab w:pos="1761" w:val="left" w:leader="none"/>
          <w:tab w:pos="1762" w:val="left" w:leader="none"/>
        </w:tabs>
        <w:spacing w:line="152" w:lineRule="exact" w:before="0" w:after="0"/>
        <w:ind w:left="1761" w:right="0" w:hanging="794"/>
        <w:jc w:val="left"/>
        <w:rPr>
          <w:sz w:val="13"/>
        </w:rPr>
      </w:pPr>
      <w:r>
        <w:rPr>
          <w:sz w:val="13"/>
        </w:rPr>
        <w:t>See</w:t>
      </w:r>
      <w:r>
        <w:rPr>
          <w:spacing w:val="4"/>
          <w:sz w:val="13"/>
        </w:rPr>
        <w:t> </w:t>
      </w:r>
      <w:r>
        <w:rPr>
          <w:sz w:val="13"/>
        </w:rPr>
        <w:t>Law</w:t>
      </w:r>
      <w:r>
        <w:rPr>
          <w:spacing w:val="5"/>
          <w:sz w:val="13"/>
        </w:rPr>
        <w:t> </w:t>
      </w:r>
      <w:r>
        <w:rPr>
          <w:sz w:val="13"/>
        </w:rPr>
        <w:t>Reform</w:t>
      </w:r>
      <w:r>
        <w:rPr>
          <w:spacing w:val="5"/>
          <w:sz w:val="13"/>
        </w:rPr>
        <w:t> </w:t>
      </w:r>
      <w:r>
        <w:rPr>
          <w:spacing w:val="2"/>
          <w:sz w:val="13"/>
        </w:rPr>
        <w:t>Commission</w:t>
      </w:r>
      <w:r>
        <w:rPr>
          <w:spacing w:val="5"/>
          <w:sz w:val="13"/>
        </w:rPr>
        <w:t> </w:t>
      </w:r>
      <w:r>
        <w:rPr>
          <w:sz w:val="13"/>
        </w:rPr>
        <w:t>(Ireland),</w:t>
      </w:r>
      <w:r>
        <w:rPr>
          <w:spacing w:val="5"/>
          <w:sz w:val="13"/>
        </w:rPr>
        <w:t> </w:t>
      </w:r>
      <w:r>
        <w:rPr>
          <w:i/>
          <w:spacing w:val="2"/>
          <w:sz w:val="13"/>
        </w:rPr>
        <w:t>Jury</w:t>
      </w:r>
      <w:r>
        <w:rPr>
          <w:i/>
          <w:spacing w:val="4"/>
          <w:sz w:val="13"/>
        </w:rPr>
        <w:t> </w:t>
      </w:r>
      <w:r>
        <w:rPr>
          <w:i/>
          <w:spacing w:val="2"/>
          <w:sz w:val="13"/>
        </w:rPr>
        <w:t>Service</w:t>
      </w:r>
      <w:r>
        <w:rPr>
          <w:i/>
          <w:spacing w:val="5"/>
          <w:sz w:val="13"/>
        </w:rPr>
        <w:t> </w:t>
      </w:r>
      <w:r>
        <w:rPr>
          <w:spacing w:val="2"/>
          <w:sz w:val="13"/>
        </w:rPr>
        <w:t>(Report</w:t>
      </w:r>
      <w:r>
        <w:rPr>
          <w:spacing w:val="5"/>
          <w:sz w:val="13"/>
        </w:rPr>
        <w:t> </w:t>
      </w:r>
      <w:r>
        <w:rPr>
          <w:sz w:val="13"/>
        </w:rPr>
        <w:t>No</w:t>
      </w:r>
      <w:r>
        <w:rPr>
          <w:spacing w:val="5"/>
          <w:sz w:val="13"/>
        </w:rPr>
        <w:t> </w:t>
      </w:r>
      <w:r>
        <w:rPr>
          <w:spacing w:val="-3"/>
          <w:sz w:val="13"/>
        </w:rPr>
        <w:t>107,</w:t>
      </w:r>
      <w:r>
        <w:rPr>
          <w:spacing w:val="4"/>
          <w:sz w:val="13"/>
        </w:rPr>
        <w:t> </w:t>
      </w:r>
      <w:r>
        <w:rPr>
          <w:sz w:val="13"/>
        </w:rPr>
        <w:t>April</w:t>
      </w:r>
      <w:r>
        <w:rPr>
          <w:spacing w:val="5"/>
          <w:sz w:val="13"/>
        </w:rPr>
        <w:t> </w:t>
      </w:r>
      <w:r>
        <w:rPr>
          <w:sz w:val="13"/>
        </w:rPr>
        <w:t>2013)</w:t>
      </w:r>
      <w:r>
        <w:rPr>
          <w:spacing w:val="5"/>
          <w:sz w:val="13"/>
        </w:rPr>
        <w:t> </w:t>
      </w:r>
      <w:r>
        <w:rPr>
          <w:spacing w:val="3"/>
          <w:sz w:val="13"/>
        </w:rPr>
        <w:t>[4.11]–[4.12].</w:t>
      </w:r>
    </w:p>
    <w:p>
      <w:pPr>
        <w:pStyle w:val="ListParagraph"/>
        <w:numPr>
          <w:ilvl w:val="0"/>
          <w:numId w:val="73"/>
        </w:numPr>
        <w:tabs>
          <w:tab w:pos="1761" w:val="left" w:leader="none"/>
          <w:tab w:pos="1762" w:val="left" w:leader="none"/>
        </w:tabs>
        <w:spacing w:line="160" w:lineRule="exact" w:before="0" w:after="0"/>
        <w:ind w:left="1761" w:right="0" w:hanging="794"/>
        <w:jc w:val="left"/>
        <w:rPr>
          <w:sz w:val="13"/>
        </w:rPr>
      </w:pPr>
      <w:r>
        <w:rPr>
          <w:sz w:val="13"/>
        </w:rPr>
        <w:t>Ibid </w:t>
      </w:r>
      <w:r>
        <w:rPr>
          <w:spacing w:val="3"/>
          <w:sz w:val="13"/>
        </w:rPr>
        <w:t>[4.13]–[4.14], </w:t>
      </w:r>
      <w:r>
        <w:rPr>
          <w:sz w:val="13"/>
        </w:rPr>
        <w:t>citing </w:t>
      </w:r>
      <w:r>
        <w:rPr>
          <w:i/>
          <w:sz w:val="13"/>
        </w:rPr>
        <w:t>The People (DPP) v O’Brien, </w:t>
      </w:r>
      <w:r>
        <w:rPr>
          <w:sz w:val="13"/>
        </w:rPr>
        <w:t>Central Criminal </w:t>
      </w:r>
      <w:r>
        <w:rPr>
          <w:spacing w:val="2"/>
          <w:sz w:val="13"/>
        </w:rPr>
        <w:t>Court, </w:t>
      </w:r>
      <w:r>
        <w:rPr>
          <w:sz w:val="13"/>
        </w:rPr>
        <w:t>29 November</w:t>
      </w:r>
      <w:r>
        <w:rPr>
          <w:spacing w:val="9"/>
          <w:sz w:val="13"/>
        </w:rPr>
        <w:t> </w:t>
      </w:r>
      <w:r>
        <w:rPr>
          <w:sz w:val="13"/>
        </w:rPr>
        <w:t>2010.</w:t>
      </w:r>
    </w:p>
    <w:p>
      <w:pPr>
        <w:pStyle w:val="ListParagraph"/>
        <w:numPr>
          <w:ilvl w:val="0"/>
          <w:numId w:val="73"/>
        </w:numPr>
        <w:tabs>
          <w:tab w:pos="1760" w:val="left" w:leader="none"/>
          <w:tab w:pos="1762" w:val="left" w:leader="none"/>
        </w:tabs>
        <w:spacing w:line="160" w:lineRule="exact" w:before="0" w:after="0"/>
        <w:ind w:left="1761" w:right="0" w:hanging="794"/>
        <w:jc w:val="left"/>
        <w:rPr>
          <w:sz w:val="13"/>
        </w:rPr>
      </w:pPr>
      <w:r>
        <w:rPr>
          <w:sz w:val="13"/>
        </w:rPr>
        <w:t>Law Reform </w:t>
      </w:r>
      <w:r>
        <w:rPr>
          <w:spacing w:val="2"/>
          <w:sz w:val="13"/>
        </w:rPr>
        <w:t>Commission </w:t>
      </w:r>
      <w:r>
        <w:rPr>
          <w:sz w:val="13"/>
        </w:rPr>
        <w:t>(Ireland), </w:t>
      </w:r>
      <w:r>
        <w:rPr>
          <w:i/>
          <w:spacing w:val="2"/>
          <w:sz w:val="13"/>
        </w:rPr>
        <w:t>Jury Service </w:t>
      </w:r>
      <w:r>
        <w:rPr>
          <w:spacing w:val="2"/>
          <w:sz w:val="13"/>
        </w:rPr>
        <w:t>(Report </w:t>
      </w:r>
      <w:r>
        <w:rPr>
          <w:sz w:val="13"/>
        </w:rPr>
        <w:t>No </w:t>
      </w:r>
      <w:r>
        <w:rPr>
          <w:spacing w:val="-3"/>
          <w:sz w:val="13"/>
        </w:rPr>
        <w:t>107, </w:t>
      </w:r>
      <w:r>
        <w:rPr>
          <w:sz w:val="13"/>
        </w:rPr>
        <w:t>April 2013)</w:t>
      </w:r>
      <w:r>
        <w:rPr>
          <w:spacing w:val="1"/>
          <w:sz w:val="13"/>
        </w:rPr>
        <w:t> </w:t>
      </w:r>
      <w:r>
        <w:rPr>
          <w:spacing w:val="2"/>
          <w:sz w:val="13"/>
        </w:rPr>
        <w:t>[4.13].</w:t>
      </w:r>
    </w:p>
    <w:p>
      <w:pPr>
        <w:pStyle w:val="ListParagraph"/>
        <w:numPr>
          <w:ilvl w:val="0"/>
          <w:numId w:val="73"/>
        </w:numPr>
        <w:tabs>
          <w:tab w:pos="1760" w:val="left" w:leader="none"/>
          <w:tab w:pos="1762" w:val="left" w:leader="none"/>
        </w:tabs>
        <w:spacing w:line="213" w:lineRule="auto" w:before="4" w:after="0"/>
        <w:ind w:left="967" w:right="4537" w:firstLine="0"/>
        <w:jc w:val="left"/>
        <w:rPr>
          <w:sz w:val="13"/>
        </w:rPr>
      </w:pPr>
      <w:r>
        <w:rPr>
          <w:sz w:val="13"/>
        </w:rPr>
        <w:t>Ibid </w:t>
      </w:r>
      <w:r>
        <w:rPr>
          <w:spacing w:val="3"/>
          <w:sz w:val="13"/>
        </w:rPr>
        <w:t>[4.14] </w:t>
      </w:r>
      <w:r>
        <w:rPr>
          <w:sz w:val="13"/>
        </w:rPr>
        <w:t>See our discussion of this issue in Chapter </w:t>
      </w:r>
      <w:r>
        <w:rPr>
          <w:spacing w:val="-3"/>
          <w:sz w:val="13"/>
        </w:rPr>
        <w:t>17. </w:t>
      </w:r>
      <w:r>
        <w:rPr>
          <w:spacing w:val="2"/>
          <w:sz w:val="13"/>
        </w:rPr>
        <w:t>115</w:t>
        <w:tab/>
      </w:r>
      <w:r>
        <w:rPr>
          <w:sz w:val="13"/>
        </w:rPr>
        <w:t>Ibid </w:t>
      </w:r>
      <w:r>
        <w:rPr>
          <w:spacing w:val="3"/>
          <w:sz w:val="13"/>
        </w:rPr>
        <w:t>[4.44].</w:t>
      </w:r>
    </w:p>
    <w:p>
      <w:pPr>
        <w:pStyle w:val="ListParagraph"/>
        <w:numPr>
          <w:ilvl w:val="0"/>
          <w:numId w:val="74"/>
        </w:numPr>
        <w:tabs>
          <w:tab w:pos="1760" w:val="left" w:leader="none"/>
          <w:tab w:pos="1762" w:val="left" w:leader="none"/>
        </w:tabs>
        <w:spacing w:line="213" w:lineRule="auto" w:before="0" w:after="0"/>
        <w:ind w:left="1761" w:right="364" w:hanging="794"/>
        <w:jc w:val="left"/>
        <w:rPr>
          <w:sz w:val="13"/>
        </w:rPr>
      </w:pPr>
      <w:r>
        <w:rPr>
          <w:spacing w:val="2"/>
          <w:sz w:val="13"/>
        </w:rPr>
        <w:t>Mary </w:t>
      </w:r>
      <w:r>
        <w:rPr>
          <w:sz w:val="13"/>
        </w:rPr>
        <w:t>Carolan, ‘Jury </w:t>
      </w:r>
      <w:r>
        <w:rPr>
          <w:spacing w:val="2"/>
          <w:sz w:val="13"/>
        </w:rPr>
        <w:t>Service: </w:t>
      </w:r>
      <w:r>
        <w:rPr>
          <w:sz w:val="13"/>
        </w:rPr>
        <w:t>Many with </w:t>
      </w:r>
      <w:r>
        <w:rPr>
          <w:spacing w:val="2"/>
          <w:sz w:val="13"/>
        </w:rPr>
        <w:t>Disability </w:t>
      </w:r>
      <w:r>
        <w:rPr>
          <w:sz w:val="13"/>
        </w:rPr>
        <w:t>“Would like to Do Their Civic Duty”’, </w:t>
      </w:r>
      <w:r>
        <w:rPr>
          <w:i/>
          <w:sz w:val="13"/>
        </w:rPr>
        <w:t>The Irish Times </w:t>
      </w:r>
      <w:r>
        <w:rPr>
          <w:sz w:val="13"/>
        </w:rPr>
        <w:t>(online, 4 February    2019) &lt;</w:t>
      </w:r>
      <w:hyperlink r:id="rId173">
        <w:r>
          <w:rPr>
            <w:sz w:val="13"/>
          </w:rPr>
          <w:t>https://www.irishtimes.com/news/crime-and-law/jury-service-many-with-disability-would-like-to-do-their-civic-</w:t>
        </w:r>
      </w:hyperlink>
      <w:hyperlink r:id="rId173">
        <w:r>
          <w:rPr>
            <w:sz w:val="13"/>
          </w:rPr>
          <w:t> duty-1.3780755</w:t>
        </w:r>
      </w:hyperlink>
      <w:r>
        <w:rPr>
          <w:sz w:val="13"/>
        </w:rPr>
        <w:t>&gt;.</w:t>
      </w:r>
    </w:p>
    <w:p>
      <w:pPr>
        <w:pStyle w:val="ListParagraph"/>
        <w:numPr>
          <w:ilvl w:val="0"/>
          <w:numId w:val="74"/>
        </w:numPr>
        <w:tabs>
          <w:tab w:pos="1760" w:val="left" w:leader="none"/>
          <w:tab w:pos="1762" w:val="left" w:leader="none"/>
        </w:tabs>
        <w:spacing w:line="152" w:lineRule="exact" w:before="0" w:after="0"/>
        <w:ind w:left="1761" w:right="0" w:hanging="794"/>
        <w:jc w:val="left"/>
        <w:rPr>
          <w:sz w:val="13"/>
        </w:rPr>
      </w:pPr>
      <w:r>
        <w:rPr>
          <w:spacing w:val="2"/>
          <w:sz w:val="13"/>
        </w:rPr>
        <w:t>Ibid.</w:t>
      </w:r>
    </w:p>
    <w:p>
      <w:pPr>
        <w:pStyle w:val="ListParagraph"/>
        <w:numPr>
          <w:ilvl w:val="0"/>
          <w:numId w:val="74"/>
        </w:numPr>
        <w:tabs>
          <w:tab w:pos="1760" w:val="left" w:leader="none"/>
          <w:tab w:pos="1762" w:val="left" w:leader="none"/>
        </w:tabs>
        <w:spacing w:line="160" w:lineRule="exact" w:before="0" w:after="0"/>
        <w:ind w:left="1761" w:right="0" w:hanging="794"/>
        <w:jc w:val="left"/>
        <w:rPr>
          <w:sz w:val="13"/>
        </w:rPr>
      </w:pPr>
      <w:r>
        <w:rPr>
          <w:spacing w:val="2"/>
          <w:sz w:val="13"/>
        </w:rPr>
        <w:t>Mary </w:t>
      </w:r>
      <w:r>
        <w:rPr>
          <w:sz w:val="13"/>
        </w:rPr>
        <w:t>Carolan,</w:t>
      </w:r>
      <w:r>
        <w:rPr>
          <w:spacing w:val="3"/>
          <w:sz w:val="13"/>
        </w:rPr>
        <w:t> </w:t>
      </w:r>
      <w:r>
        <w:rPr>
          <w:spacing w:val="2"/>
          <w:sz w:val="13"/>
        </w:rPr>
        <w:t>‘“Historic”</w:t>
      </w:r>
      <w:r>
        <w:rPr>
          <w:spacing w:val="3"/>
          <w:sz w:val="13"/>
        </w:rPr>
        <w:t> </w:t>
      </w:r>
      <w:r>
        <w:rPr>
          <w:sz w:val="13"/>
        </w:rPr>
        <w:t>Day</w:t>
      </w:r>
      <w:r>
        <w:rPr>
          <w:spacing w:val="3"/>
          <w:sz w:val="13"/>
        </w:rPr>
        <w:t> </w:t>
      </w:r>
      <w:r>
        <w:rPr>
          <w:sz w:val="13"/>
        </w:rPr>
        <w:t>as</w:t>
      </w:r>
      <w:r>
        <w:rPr>
          <w:spacing w:val="3"/>
          <w:sz w:val="13"/>
        </w:rPr>
        <w:t> </w:t>
      </w:r>
      <w:r>
        <w:rPr>
          <w:sz w:val="13"/>
        </w:rPr>
        <w:t>First</w:t>
      </w:r>
      <w:r>
        <w:rPr>
          <w:spacing w:val="3"/>
          <w:sz w:val="13"/>
        </w:rPr>
        <w:t> </w:t>
      </w:r>
      <w:r>
        <w:rPr>
          <w:sz w:val="13"/>
        </w:rPr>
        <w:t>Deaf</w:t>
      </w:r>
      <w:r>
        <w:rPr>
          <w:spacing w:val="3"/>
          <w:sz w:val="13"/>
        </w:rPr>
        <w:t> </w:t>
      </w:r>
      <w:r>
        <w:rPr>
          <w:sz w:val="13"/>
        </w:rPr>
        <w:t>Juror</w:t>
      </w:r>
      <w:r>
        <w:rPr>
          <w:spacing w:val="3"/>
          <w:sz w:val="13"/>
        </w:rPr>
        <w:t> </w:t>
      </w:r>
      <w:r>
        <w:rPr>
          <w:sz w:val="13"/>
        </w:rPr>
        <w:t>Serves</w:t>
      </w:r>
      <w:r>
        <w:rPr>
          <w:spacing w:val="3"/>
          <w:sz w:val="13"/>
        </w:rPr>
        <w:t> </w:t>
      </w:r>
      <w:r>
        <w:rPr>
          <w:sz w:val="13"/>
        </w:rPr>
        <w:t>on</w:t>
      </w:r>
      <w:r>
        <w:rPr>
          <w:spacing w:val="3"/>
          <w:sz w:val="13"/>
        </w:rPr>
        <w:t> </w:t>
      </w:r>
      <w:r>
        <w:rPr>
          <w:sz w:val="13"/>
        </w:rPr>
        <w:t>Jury’,</w:t>
      </w:r>
      <w:r>
        <w:rPr>
          <w:spacing w:val="3"/>
          <w:sz w:val="13"/>
        </w:rPr>
        <w:t> </w:t>
      </w:r>
      <w:r>
        <w:rPr>
          <w:i/>
          <w:sz w:val="13"/>
        </w:rPr>
        <w:t>The</w:t>
      </w:r>
      <w:r>
        <w:rPr>
          <w:i/>
          <w:spacing w:val="3"/>
          <w:sz w:val="13"/>
        </w:rPr>
        <w:t> </w:t>
      </w:r>
      <w:r>
        <w:rPr>
          <w:i/>
          <w:sz w:val="13"/>
        </w:rPr>
        <w:t>Irish</w:t>
      </w:r>
      <w:r>
        <w:rPr>
          <w:i/>
          <w:spacing w:val="3"/>
          <w:sz w:val="13"/>
        </w:rPr>
        <w:t> </w:t>
      </w:r>
      <w:r>
        <w:rPr>
          <w:i/>
          <w:sz w:val="13"/>
        </w:rPr>
        <w:t>Times</w:t>
      </w:r>
      <w:r>
        <w:rPr>
          <w:i/>
          <w:spacing w:val="3"/>
          <w:sz w:val="13"/>
        </w:rPr>
        <w:t> </w:t>
      </w:r>
      <w:r>
        <w:rPr>
          <w:sz w:val="13"/>
        </w:rPr>
        <w:t>(online,</w:t>
      </w:r>
      <w:r>
        <w:rPr>
          <w:spacing w:val="3"/>
          <w:sz w:val="13"/>
        </w:rPr>
        <w:t> </w:t>
      </w:r>
      <w:r>
        <w:rPr>
          <w:sz w:val="13"/>
        </w:rPr>
        <w:t>18</w:t>
      </w:r>
      <w:r>
        <w:rPr>
          <w:spacing w:val="3"/>
          <w:sz w:val="13"/>
        </w:rPr>
        <w:t> </w:t>
      </w:r>
      <w:r>
        <w:rPr>
          <w:spacing w:val="2"/>
          <w:sz w:val="13"/>
        </w:rPr>
        <w:t>December</w:t>
      </w:r>
      <w:r>
        <w:rPr>
          <w:spacing w:val="3"/>
          <w:sz w:val="13"/>
        </w:rPr>
        <w:t> </w:t>
      </w:r>
      <w:r>
        <w:rPr>
          <w:sz w:val="13"/>
        </w:rPr>
        <w:t>2017)</w:t>
      </w:r>
      <w:r>
        <w:rPr>
          <w:spacing w:val="3"/>
          <w:sz w:val="13"/>
        </w:rPr>
        <w:t> </w:t>
      </w:r>
      <w:r>
        <w:rPr>
          <w:sz w:val="13"/>
        </w:rPr>
        <w:t>&lt;</w:t>
      </w:r>
      <w:hyperlink r:id="rId174">
        <w:r>
          <w:rPr>
            <w:sz w:val="13"/>
          </w:rPr>
          <w:t>https://www.</w:t>
        </w:r>
      </w:hyperlink>
    </w:p>
    <w:p>
      <w:pPr>
        <w:spacing w:line="160" w:lineRule="exact" w:before="0"/>
        <w:ind w:left="1761" w:right="0" w:firstLine="0"/>
        <w:jc w:val="left"/>
        <w:rPr>
          <w:sz w:val="13"/>
        </w:rPr>
      </w:pPr>
      <w:hyperlink r:id="rId174">
        <w:r>
          <w:rPr>
            <w:sz w:val="13"/>
          </w:rPr>
          <w:t>irishtimes.com/news/crime-and-law/courts/circuit-court/historic-day-as-first-deaf-juror-serves-on-jury-1.3331199</w:t>
        </w:r>
      </w:hyperlink>
      <w:r>
        <w:rPr>
          <w:sz w:val="13"/>
        </w:rPr>
        <w:t>&gt;.</w:t>
      </w:r>
    </w:p>
    <w:p>
      <w:pPr>
        <w:pStyle w:val="ListParagraph"/>
        <w:numPr>
          <w:ilvl w:val="0"/>
          <w:numId w:val="74"/>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74"/>
        </w:numPr>
        <w:tabs>
          <w:tab w:pos="1761" w:val="left" w:leader="none"/>
          <w:tab w:pos="1762" w:val="left" w:leader="none"/>
        </w:tabs>
        <w:spacing w:line="213" w:lineRule="auto" w:before="5" w:after="0"/>
        <w:ind w:left="1761" w:right="30" w:hanging="794"/>
        <w:jc w:val="left"/>
        <w:rPr>
          <w:sz w:val="13"/>
        </w:rPr>
      </w:pPr>
      <w:r>
        <w:rPr>
          <w:i/>
          <w:sz w:val="13"/>
        </w:rPr>
        <w:t>Irish Sign Language Act 2017 </w:t>
      </w:r>
      <w:r>
        <w:rPr>
          <w:sz w:val="13"/>
        </w:rPr>
        <w:t>(Ireland). See </w:t>
      </w:r>
      <w:r>
        <w:rPr>
          <w:spacing w:val="2"/>
          <w:sz w:val="13"/>
        </w:rPr>
        <w:t>also </w:t>
      </w:r>
      <w:r>
        <w:rPr>
          <w:sz w:val="13"/>
        </w:rPr>
        <w:t>Michael Farrell, ‘Ireland </w:t>
      </w:r>
      <w:r>
        <w:rPr>
          <w:spacing w:val="2"/>
          <w:sz w:val="13"/>
        </w:rPr>
        <w:t>Gets </w:t>
      </w:r>
      <w:r>
        <w:rPr>
          <w:sz w:val="13"/>
        </w:rPr>
        <w:t>First Ever Deaf Juror—11 Years after First Attempt’,  </w:t>
      </w:r>
      <w:r>
        <w:rPr>
          <w:i/>
          <w:spacing w:val="2"/>
          <w:sz w:val="13"/>
        </w:rPr>
        <w:t>PILA </w:t>
      </w:r>
      <w:r>
        <w:rPr>
          <w:i/>
          <w:sz w:val="13"/>
        </w:rPr>
        <w:t>Bulletin </w:t>
      </w:r>
      <w:r>
        <w:rPr>
          <w:sz w:val="13"/>
        </w:rPr>
        <w:t>(20 </w:t>
      </w:r>
      <w:r>
        <w:rPr>
          <w:spacing w:val="2"/>
          <w:sz w:val="13"/>
        </w:rPr>
        <w:t>December </w:t>
      </w:r>
      <w:r>
        <w:rPr>
          <w:sz w:val="13"/>
        </w:rPr>
        <w:t>2017) &lt;</w:t>
      </w:r>
      <w:hyperlink r:id="rId175">
        <w:r>
          <w:rPr>
            <w:sz w:val="13"/>
          </w:rPr>
          <w:t>https://www.pila.ie/resources/bulletin/2017/12/20/guest-piece-by-michael-farrell-ireland-</w:t>
        </w:r>
      </w:hyperlink>
      <w:hyperlink r:id="rId175">
        <w:r>
          <w:rPr>
            <w:sz w:val="13"/>
          </w:rPr>
          <w:t> gets-first-ever-deaf-juror-11-years-after-first-attempt/</w:t>
        </w:r>
      </w:hyperlink>
      <w:r>
        <w:rPr>
          <w:sz w:val="13"/>
        </w:rPr>
        <w:t>&gt;.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14"/>
        <w:ind w:left="586" w:right="0" w:firstLine="0"/>
        <w:jc w:val="left"/>
        <w:rPr>
          <w:b/>
          <w:sz w:val="24"/>
        </w:rPr>
      </w:pPr>
      <w:r>
        <w:rPr>
          <w:b/>
          <w:color w:val="37617A"/>
          <w:sz w:val="24"/>
        </w:rPr>
        <w:t>103</w:t>
      </w:r>
    </w:p>
    <w:p>
      <w:pPr>
        <w:spacing w:after="0"/>
        <w:jc w:val="left"/>
        <w:rPr>
          <w:sz w:val="24"/>
        </w:rPr>
        <w:sectPr>
          <w:type w:val="continuous"/>
          <w:pgSz w:w="11910" w:h="16840"/>
          <w:pgMar w:top="620" w:bottom="280" w:left="620" w:right="380"/>
          <w:cols w:num="2" w:equalWidth="0">
            <w:col w:w="9672" w:space="40"/>
            <w:col w:w="1198"/>
          </w:cols>
        </w:sectPr>
      </w:pPr>
    </w:p>
    <w:p>
      <w:pPr>
        <w:pStyle w:val="BodyText"/>
        <w:rPr>
          <w:b/>
        </w:rPr>
      </w:pPr>
    </w:p>
    <w:p>
      <w:pPr>
        <w:pStyle w:val="BodyText"/>
        <w:rPr>
          <w:b/>
        </w:rPr>
      </w:pPr>
    </w:p>
    <w:p>
      <w:pPr>
        <w:pStyle w:val="BodyText"/>
        <w:rPr>
          <w:b/>
        </w:rPr>
      </w:pPr>
    </w:p>
    <w:p>
      <w:pPr>
        <w:pStyle w:val="BodyText"/>
        <w:spacing w:before="10"/>
        <w:rPr>
          <w:b/>
          <w:sz w:val="13"/>
        </w:rPr>
      </w:pPr>
    </w:p>
    <w:p>
      <w:pPr>
        <w:pStyle w:val="BodyText"/>
        <w:spacing w:line="206" w:lineRule="auto" w:before="90"/>
        <w:ind w:left="1761" w:right="1277"/>
        <w:rPr>
          <w:sz w:val="11"/>
        </w:rPr>
      </w:pPr>
      <w:bookmarkStart w:name="Victoria is lagging behind other jurisdi" w:id="188"/>
      <w:bookmarkEnd w:id="188"/>
      <w:r>
        <w:rPr/>
      </w:r>
      <w:bookmarkStart w:name="_bookmark74" w:id="189"/>
      <w:bookmarkEnd w:id="189"/>
      <w:r>
        <w:rPr/>
      </w:r>
      <w:r>
        <w:rPr/>
        <w:t>familiar with, such as </w:t>
      </w:r>
      <w:r>
        <w:rPr>
          <w:spacing w:val="-3"/>
        </w:rPr>
        <w:t>‘reasonable doubt’, </w:t>
      </w:r>
      <w:r>
        <w:rPr/>
        <w:t>she reported that the </w:t>
      </w:r>
      <w:r>
        <w:rPr>
          <w:spacing w:val="-3"/>
        </w:rPr>
        <w:t>interpreters </w:t>
      </w:r>
      <w:r>
        <w:rPr>
          <w:spacing w:val="-4"/>
        </w:rPr>
        <w:t>were </w:t>
      </w:r>
      <w:r>
        <w:rPr>
          <w:spacing w:val="-3"/>
        </w:rPr>
        <w:t>‘really </w:t>
      </w:r>
      <w:r>
        <w:rPr/>
        <w:t>good about explaining it’.</w:t>
      </w:r>
      <w:r>
        <w:rPr>
          <w:position w:val="7"/>
          <w:sz w:val="11"/>
        </w:rPr>
        <w:t>121</w:t>
      </w:r>
    </w:p>
    <w:p>
      <w:pPr>
        <w:pStyle w:val="ListParagraph"/>
        <w:numPr>
          <w:ilvl w:val="1"/>
          <w:numId w:val="12"/>
        </w:numPr>
        <w:tabs>
          <w:tab w:pos="1761" w:val="left" w:leader="none"/>
          <w:tab w:pos="1762" w:val="left" w:leader="none"/>
        </w:tabs>
        <w:spacing w:line="206" w:lineRule="auto" w:before="122" w:after="0"/>
        <w:ind w:left="1761" w:right="1438" w:hanging="794"/>
        <w:jc w:val="left"/>
        <w:rPr>
          <w:sz w:val="20"/>
        </w:rPr>
      </w:pPr>
      <w:r>
        <w:rPr>
          <w:spacing w:val="-3"/>
          <w:sz w:val="20"/>
        </w:rPr>
        <w:t>According</w:t>
      </w:r>
      <w:r>
        <w:rPr>
          <w:spacing w:val="-10"/>
          <w:sz w:val="20"/>
        </w:rPr>
        <w:t> </w:t>
      </w:r>
      <w:r>
        <w:rPr>
          <w:sz w:val="20"/>
        </w:rPr>
        <w:t>to</w:t>
      </w:r>
      <w:r>
        <w:rPr>
          <w:spacing w:val="-9"/>
          <w:sz w:val="20"/>
        </w:rPr>
        <w:t> </w:t>
      </w:r>
      <w:r>
        <w:rPr>
          <w:sz w:val="20"/>
        </w:rPr>
        <w:t>a</w:t>
      </w:r>
      <w:r>
        <w:rPr>
          <w:spacing w:val="-10"/>
          <w:sz w:val="20"/>
        </w:rPr>
        <w:t> </w:t>
      </w:r>
      <w:r>
        <w:rPr>
          <w:sz w:val="20"/>
        </w:rPr>
        <w:t>media</w:t>
      </w:r>
      <w:r>
        <w:rPr>
          <w:spacing w:val="-9"/>
          <w:sz w:val="20"/>
        </w:rPr>
        <w:t> </w:t>
      </w:r>
      <w:r>
        <w:rPr>
          <w:sz w:val="20"/>
        </w:rPr>
        <w:t>report,</w:t>
      </w:r>
      <w:r>
        <w:rPr>
          <w:spacing w:val="-10"/>
          <w:sz w:val="20"/>
        </w:rPr>
        <w:t> </w:t>
      </w:r>
      <w:r>
        <w:rPr>
          <w:spacing w:val="-5"/>
          <w:sz w:val="20"/>
        </w:rPr>
        <w:t>‘Judge</w:t>
      </w:r>
      <w:r>
        <w:rPr>
          <w:spacing w:val="-9"/>
          <w:sz w:val="20"/>
        </w:rPr>
        <w:t> </w:t>
      </w:r>
      <w:r>
        <w:rPr>
          <w:sz w:val="20"/>
        </w:rPr>
        <w:t>Sinéad</w:t>
      </w:r>
      <w:r>
        <w:rPr>
          <w:spacing w:val="-10"/>
          <w:sz w:val="20"/>
        </w:rPr>
        <w:t> </w:t>
      </w:r>
      <w:r>
        <w:rPr>
          <w:sz w:val="20"/>
        </w:rPr>
        <w:t>Ní</w:t>
      </w:r>
      <w:r>
        <w:rPr>
          <w:spacing w:val="-9"/>
          <w:sz w:val="20"/>
        </w:rPr>
        <w:t> </w:t>
      </w:r>
      <w:r>
        <w:rPr>
          <w:sz w:val="20"/>
        </w:rPr>
        <w:t>Chúlacháin</w:t>
      </w:r>
      <w:r>
        <w:rPr>
          <w:spacing w:val="-10"/>
          <w:sz w:val="20"/>
        </w:rPr>
        <w:t> </w:t>
      </w:r>
      <w:r>
        <w:rPr>
          <w:sz w:val="20"/>
        </w:rPr>
        <w:t>had</w:t>
      </w:r>
      <w:r>
        <w:rPr>
          <w:spacing w:val="-9"/>
          <w:sz w:val="20"/>
        </w:rPr>
        <w:t> </w:t>
      </w:r>
      <w:r>
        <w:rPr>
          <w:sz w:val="20"/>
        </w:rPr>
        <w:t>to</w:t>
      </w:r>
      <w:r>
        <w:rPr>
          <w:spacing w:val="-9"/>
          <w:sz w:val="20"/>
        </w:rPr>
        <w:t> </w:t>
      </w:r>
      <w:r>
        <w:rPr>
          <w:sz w:val="20"/>
        </w:rPr>
        <w:t>occasionally</w:t>
      </w:r>
      <w:r>
        <w:rPr>
          <w:spacing w:val="-10"/>
          <w:sz w:val="20"/>
        </w:rPr>
        <w:t> </w:t>
      </w:r>
      <w:r>
        <w:rPr>
          <w:sz w:val="20"/>
        </w:rPr>
        <w:t>tell</w:t>
      </w:r>
      <w:r>
        <w:rPr>
          <w:spacing w:val="-9"/>
          <w:sz w:val="20"/>
        </w:rPr>
        <w:t> </w:t>
      </w:r>
      <w:r>
        <w:rPr>
          <w:sz w:val="20"/>
        </w:rPr>
        <w:t>the parties not to talk </w:t>
      </w:r>
      <w:r>
        <w:rPr>
          <w:spacing w:val="-4"/>
          <w:sz w:val="20"/>
        </w:rPr>
        <w:t>over </w:t>
      </w:r>
      <w:r>
        <w:rPr>
          <w:sz w:val="20"/>
        </w:rPr>
        <w:t>each other for the sake of the </w:t>
      </w:r>
      <w:r>
        <w:rPr>
          <w:spacing w:val="-4"/>
          <w:sz w:val="20"/>
        </w:rPr>
        <w:t>interpreters’. </w:t>
      </w:r>
      <w:r>
        <w:rPr>
          <w:spacing w:val="-5"/>
          <w:sz w:val="20"/>
        </w:rPr>
        <w:t>However, </w:t>
      </w:r>
      <w:r>
        <w:rPr>
          <w:sz w:val="20"/>
        </w:rPr>
        <w:t>this ‘had the effect of making proceedings easier to </w:t>
      </w:r>
      <w:r>
        <w:rPr>
          <w:spacing w:val="-3"/>
          <w:sz w:val="20"/>
        </w:rPr>
        <w:t>follow </w:t>
      </w:r>
      <w:r>
        <w:rPr>
          <w:sz w:val="20"/>
        </w:rPr>
        <w:t>for everybody </w:t>
      </w:r>
      <w:r>
        <w:rPr>
          <w:spacing w:val="-3"/>
          <w:sz w:val="20"/>
        </w:rPr>
        <w:t>involved, </w:t>
      </w:r>
      <w:r>
        <w:rPr>
          <w:sz w:val="20"/>
        </w:rPr>
        <w:t>not just </w:t>
      </w:r>
      <w:r>
        <w:rPr>
          <w:spacing w:val="-3"/>
          <w:sz w:val="20"/>
        </w:rPr>
        <w:t>Heffernan’. </w:t>
      </w:r>
      <w:r>
        <w:rPr>
          <w:sz w:val="20"/>
        </w:rPr>
        <w:t>It was further reported</w:t>
      </w:r>
      <w:r>
        <w:rPr>
          <w:spacing w:val="-19"/>
          <w:sz w:val="20"/>
        </w:rPr>
        <w:t> </w:t>
      </w:r>
      <w:r>
        <w:rPr>
          <w:sz w:val="20"/>
        </w:rPr>
        <w:t>that:</w:t>
      </w:r>
    </w:p>
    <w:p>
      <w:pPr>
        <w:spacing w:line="208" w:lineRule="auto" w:before="123"/>
        <w:ind w:left="2157" w:right="1703" w:firstLine="0"/>
        <w:jc w:val="left"/>
        <w:rPr>
          <w:sz w:val="19"/>
        </w:rPr>
      </w:pPr>
      <w:r>
        <w:rPr>
          <w:sz w:val="19"/>
        </w:rPr>
        <w:t>In the beginning the other jurors felt </w:t>
      </w:r>
      <w:r>
        <w:rPr>
          <w:spacing w:val="-3"/>
          <w:sz w:val="19"/>
        </w:rPr>
        <w:t>‘a </w:t>
      </w:r>
      <w:r>
        <w:rPr>
          <w:sz w:val="19"/>
        </w:rPr>
        <w:t>bit awkward’ as they got used to talking to</w:t>
      </w:r>
      <w:r>
        <w:rPr>
          <w:spacing w:val="-4"/>
          <w:sz w:val="19"/>
        </w:rPr>
        <w:t> </w:t>
      </w:r>
      <w:r>
        <w:rPr>
          <w:sz w:val="19"/>
        </w:rPr>
        <w:t>Heffernan</w:t>
      </w:r>
      <w:r>
        <w:rPr>
          <w:spacing w:val="-4"/>
          <w:sz w:val="19"/>
        </w:rPr>
        <w:t> </w:t>
      </w:r>
      <w:r>
        <w:rPr>
          <w:sz w:val="19"/>
        </w:rPr>
        <w:t>through</w:t>
      </w:r>
      <w:r>
        <w:rPr>
          <w:spacing w:val="-4"/>
          <w:sz w:val="19"/>
        </w:rPr>
        <w:t> </w:t>
      </w:r>
      <w:r>
        <w:rPr>
          <w:sz w:val="19"/>
        </w:rPr>
        <w:t>an</w:t>
      </w:r>
      <w:r>
        <w:rPr>
          <w:spacing w:val="-4"/>
          <w:sz w:val="19"/>
        </w:rPr>
        <w:t> </w:t>
      </w:r>
      <w:r>
        <w:rPr>
          <w:spacing w:val="-3"/>
          <w:sz w:val="19"/>
        </w:rPr>
        <w:t>interpreter.</w:t>
      </w:r>
      <w:r>
        <w:rPr>
          <w:spacing w:val="-4"/>
          <w:sz w:val="19"/>
        </w:rPr>
        <w:t> </w:t>
      </w:r>
      <w:r>
        <w:rPr>
          <w:sz w:val="19"/>
        </w:rPr>
        <w:t>‘But</w:t>
      </w:r>
      <w:r>
        <w:rPr>
          <w:spacing w:val="-3"/>
          <w:sz w:val="19"/>
        </w:rPr>
        <w:t> </w:t>
      </w:r>
      <w:r>
        <w:rPr>
          <w:sz w:val="19"/>
        </w:rPr>
        <w:t>it</w:t>
      </w:r>
      <w:r>
        <w:rPr>
          <w:spacing w:val="-4"/>
          <w:sz w:val="19"/>
        </w:rPr>
        <w:t> </w:t>
      </w:r>
      <w:r>
        <w:rPr>
          <w:sz w:val="19"/>
        </w:rPr>
        <w:t>became</w:t>
      </w:r>
      <w:r>
        <w:rPr>
          <w:spacing w:val="-4"/>
          <w:sz w:val="19"/>
        </w:rPr>
        <w:t> </w:t>
      </w:r>
      <w:r>
        <w:rPr>
          <w:sz w:val="19"/>
        </w:rPr>
        <w:t>so</w:t>
      </w:r>
      <w:r>
        <w:rPr>
          <w:spacing w:val="-4"/>
          <w:sz w:val="19"/>
        </w:rPr>
        <w:t> </w:t>
      </w:r>
      <w:r>
        <w:rPr>
          <w:sz w:val="19"/>
        </w:rPr>
        <w:t>natural.</w:t>
      </w:r>
      <w:r>
        <w:rPr>
          <w:spacing w:val="-4"/>
          <w:sz w:val="19"/>
        </w:rPr>
        <w:t> </w:t>
      </w:r>
      <w:r>
        <w:rPr>
          <w:sz w:val="19"/>
        </w:rPr>
        <w:t>After</w:t>
      </w:r>
      <w:r>
        <w:rPr>
          <w:spacing w:val="-4"/>
          <w:sz w:val="19"/>
        </w:rPr>
        <w:t> </w:t>
      </w:r>
      <w:r>
        <w:rPr>
          <w:sz w:val="19"/>
        </w:rPr>
        <w:t>a</w:t>
      </w:r>
      <w:r>
        <w:rPr>
          <w:spacing w:val="-3"/>
          <w:sz w:val="19"/>
        </w:rPr>
        <w:t> </w:t>
      </w:r>
      <w:r>
        <w:rPr>
          <w:sz w:val="19"/>
        </w:rPr>
        <w:t>bit</w:t>
      </w:r>
      <w:r>
        <w:rPr>
          <w:spacing w:val="-4"/>
          <w:sz w:val="19"/>
        </w:rPr>
        <w:t> </w:t>
      </w:r>
      <w:r>
        <w:rPr>
          <w:sz w:val="19"/>
        </w:rPr>
        <w:t>we</w:t>
      </w:r>
      <w:r>
        <w:rPr>
          <w:spacing w:val="-4"/>
          <w:sz w:val="19"/>
        </w:rPr>
        <w:t> </w:t>
      </w:r>
      <w:r>
        <w:rPr>
          <w:sz w:val="19"/>
        </w:rPr>
        <w:t>were cracking jokes and having</w:t>
      </w:r>
      <w:r>
        <w:rPr>
          <w:spacing w:val="-9"/>
          <w:sz w:val="19"/>
        </w:rPr>
        <w:t> </w:t>
      </w:r>
      <w:r>
        <w:rPr>
          <w:sz w:val="19"/>
        </w:rPr>
        <w:t>fun.’</w:t>
      </w:r>
    </w:p>
    <w:p>
      <w:pPr>
        <w:spacing w:line="208" w:lineRule="auto" w:before="122"/>
        <w:ind w:left="2157" w:right="1311" w:firstLine="0"/>
        <w:jc w:val="left"/>
        <w:rPr>
          <w:sz w:val="19"/>
        </w:rPr>
      </w:pPr>
      <w:r>
        <w:rPr>
          <w:sz w:val="19"/>
        </w:rPr>
        <w:t>One of her interpreters, O’Connell, said at first she was nervous about the deliberations, despite having 15 years’ experience as an ISL interpreter. ‘After hearing all the specifics of the trial, to be silent during the deliberations was very difficult.’</w:t>
      </w:r>
    </w:p>
    <w:p>
      <w:pPr>
        <w:spacing w:line="208" w:lineRule="auto" w:before="122"/>
        <w:ind w:left="2157" w:right="1168" w:firstLine="0"/>
        <w:jc w:val="left"/>
        <w:rPr>
          <w:sz w:val="11"/>
        </w:rPr>
      </w:pPr>
      <w:r>
        <w:rPr>
          <w:sz w:val="19"/>
        </w:rPr>
        <w:t>[Heffernan commented:] ‘The deaf community need to know we’re all well able to do whatever everybody else is doing in society. We’re all equal. The only thing is we have a different language.’</w:t>
      </w:r>
      <w:r>
        <w:rPr>
          <w:position w:val="6"/>
          <w:sz w:val="11"/>
        </w:rPr>
        <w:t>122</w:t>
      </w:r>
    </w:p>
    <w:p>
      <w:pPr>
        <w:pStyle w:val="ListParagraph"/>
        <w:numPr>
          <w:ilvl w:val="1"/>
          <w:numId w:val="12"/>
        </w:numPr>
        <w:tabs>
          <w:tab w:pos="1761" w:val="left" w:leader="none"/>
          <w:tab w:pos="1762" w:val="left" w:leader="none"/>
        </w:tabs>
        <w:spacing w:line="206" w:lineRule="auto" w:before="123" w:after="0"/>
        <w:ind w:left="1761" w:right="1348" w:hanging="794"/>
        <w:jc w:val="left"/>
        <w:rPr>
          <w:sz w:val="11"/>
        </w:rPr>
      </w:pPr>
      <w:r>
        <w:rPr>
          <w:sz w:val="20"/>
        </w:rPr>
        <w:t>Judge Ni Chulachain has compared the </w:t>
      </w:r>
      <w:r>
        <w:rPr>
          <w:spacing w:val="-3"/>
          <w:sz w:val="20"/>
        </w:rPr>
        <w:t>exclusion </w:t>
      </w:r>
      <w:r>
        <w:rPr>
          <w:sz w:val="20"/>
        </w:rPr>
        <w:t>of deaf jurors to the </w:t>
      </w:r>
      <w:r>
        <w:rPr>
          <w:spacing w:val="-3"/>
          <w:sz w:val="20"/>
        </w:rPr>
        <w:t>exclusion </w:t>
      </w:r>
      <w:r>
        <w:rPr>
          <w:sz w:val="20"/>
        </w:rPr>
        <w:t>of women</w:t>
      </w:r>
      <w:r>
        <w:rPr>
          <w:spacing w:val="-9"/>
          <w:sz w:val="20"/>
        </w:rPr>
        <w:t> </w:t>
      </w:r>
      <w:r>
        <w:rPr>
          <w:spacing w:val="-3"/>
          <w:sz w:val="20"/>
        </w:rPr>
        <w:t>from</w:t>
      </w:r>
      <w:r>
        <w:rPr>
          <w:spacing w:val="-10"/>
          <w:sz w:val="20"/>
        </w:rPr>
        <w:t> </w:t>
      </w:r>
      <w:r>
        <w:rPr>
          <w:sz w:val="20"/>
        </w:rPr>
        <w:t>juries,</w:t>
      </w:r>
      <w:r>
        <w:rPr>
          <w:spacing w:val="-9"/>
          <w:sz w:val="20"/>
        </w:rPr>
        <w:t> </w:t>
      </w:r>
      <w:r>
        <w:rPr>
          <w:sz w:val="20"/>
        </w:rPr>
        <w:t>which</w:t>
      </w:r>
      <w:r>
        <w:rPr>
          <w:spacing w:val="-9"/>
          <w:sz w:val="20"/>
        </w:rPr>
        <w:t> </w:t>
      </w:r>
      <w:r>
        <w:rPr>
          <w:sz w:val="20"/>
        </w:rPr>
        <w:t>did</w:t>
      </w:r>
      <w:r>
        <w:rPr>
          <w:spacing w:val="-9"/>
          <w:sz w:val="20"/>
        </w:rPr>
        <w:t> </w:t>
      </w:r>
      <w:r>
        <w:rPr>
          <w:sz w:val="20"/>
        </w:rPr>
        <w:t>not</w:t>
      </w:r>
      <w:r>
        <w:rPr>
          <w:spacing w:val="-9"/>
          <w:sz w:val="20"/>
        </w:rPr>
        <w:t> </w:t>
      </w:r>
      <w:r>
        <w:rPr>
          <w:sz w:val="20"/>
        </w:rPr>
        <w:t>end</w:t>
      </w:r>
      <w:r>
        <w:rPr>
          <w:spacing w:val="-9"/>
          <w:sz w:val="20"/>
        </w:rPr>
        <w:t> </w:t>
      </w:r>
      <w:r>
        <w:rPr>
          <w:sz w:val="20"/>
        </w:rPr>
        <w:t>until</w:t>
      </w:r>
      <w:r>
        <w:rPr>
          <w:spacing w:val="-9"/>
          <w:sz w:val="20"/>
        </w:rPr>
        <w:t> </w:t>
      </w:r>
      <w:r>
        <w:rPr>
          <w:sz w:val="20"/>
        </w:rPr>
        <w:t>the</w:t>
      </w:r>
      <w:r>
        <w:rPr>
          <w:spacing w:val="-9"/>
          <w:sz w:val="20"/>
        </w:rPr>
        <w:t> </w:t>
      </w:r>
      <w:r>
        <w:rPr>
          <w:spacing w:val="-3"/>
          <w:sz w:val="20"/>
        </w:rPr>
        <w:t>1970s.</w:t>
      </w:r>
      <w:r>
        <w:rPr>
          <w:spacing w:val="-9"/>
          <w:sz w:val="20"/>
        </w:rPr>
        <w:t> </w:t>
      </w:r>
      <w:r>
        <w:rPr>
          <w:sz w:val="20"/>
        </w:rPr>
        <w:t>Her</w:t>
      </w:r>
      <w:r>
        <w:rPr>
          <w:spacing w:val="-9"/>
          <w:sz w:val="20"/>
        </w:rPr>
        <w:t> </w:t>
      </w:r>
      <w:r>
        <w:rPr>
          <w:sz w:val="20"/>
        </w:rPr>
        <w:t>Honour</w:t>
      </w:r>
      <w:r>
        <w:rPr>
          <w:spacing w:val="-9"/>
          <w:sz w:val="20"/>
        </w:rPr>
        <w:t> </w:t>
      </w:r>
      <w:r>
        <w:rPr>
          <w:sz w:val="20"/>
        </w:rPr>
        <w:t>commented:</w:t>
      </w:r>
      <w:r>
        <w:rPr>
          <w:spacing w:val="-9"/>
          <w:sz w:val="20"/>
        </w:rPr>
        <w:t> </w:t>
      </w:r>
      <w:r>
        <w:rPr>
          <w:sz w:val="20"/>
        </w:rPr>
        <w:t>‘I</w:t>
      </w:r>
      <w:r>
        <w:rPr>
          <w:spacing w:val="-9"/>
          <w:sz w:val="20"/>
        </w:rPr>
        <w:t> </w:t>
      </w:r>
      <w:r>
        <w:rPr>
          <w:sz w:val="20"/>
        </w:rPr>
        <w:t>hope that</w:t>
      </w:r>
      <w:r>
        <w:rPr>
          <w:spacing w:val="-10"/>
          <w:sz w:val="20"/>
        </w:rPr>
        <w:t> </w:t>
      </w:r>
      <w:r>
        <w:rPr>
          <w:sz w:val="20"/>
        </w:rPr>
        <w:t>in</w:t>
      </w:r>
      <w:r>
        <w:rPr>
          <w:spacing w:val="-9"/>
          <w:sz w:val="20"/>
        </w:rPr>
        <w:t> </w:t>
      </w:r>
      <w:r>
        <w:rPr>
          <w:spacing w:val="-3"/>
          <w:sz w:val="20"/>
        </w:rPr>
        <w:t>years</w:t>
      </w:r>
      <w:r>
        <w:rPr>
          <w:spacing w:val="-9"/>
          <w:sz w:val="20"/>
        </w:rPr>
        <w:t> </w:t>
      </w:r>
      <w:r>
        <w:rPr>
          <w:sz w:val="20"/>
        </w:rPr>
        <w:t>to</w:t>
      </w:r>
      <w:r>
        <w:rPr>
          <w:spacing w:val="-9"/>
          <w:sz w:val="20"/>
        </w:rPr>
        <w:t> </w:t>
      </w:r>
      <w:r>
        <w:rPr>
          <w:sz w:val="20"/>
        </w:rPr>
        <w:t>come</w:t>
      </w:r>
      <w:r>
        <w:rPr>
          <w:spacing w:val="-10"/>
          <w:sz w:val="20"/>
        </w:rPr>
        <w:t> </w:t>
      </w:r>
      <w:r>
        <w:rPr>
          <w:sz w:val="20"/>
        </w:rPr>
        <w:t>the</w:t>
      </w:r>
      <w:r>
        <w:rPr>
          <w:spacing w:val="-9"/>
          <w:sz w:val="20"/>
        </w:rPr>
        <w:t> </w:t>
      </w:r>
      <w:r>
        <w:rPr>
          <w:sz w:val="20"/>
        </w:rPr>
        <w:t>idea</w:t>
      </w:r>
      <w:r>
        <w:rPr>
          <w:spacing w:val="-9"/>
          <w:sz w:val="20"/>
        </w:rPr>
        <w:t> </w:t>
      </w:r>
      <w:r>
        <w:rPr>
          <w:sz w:val="20"/>
        </w:rPr>
        <w:t>that</w:t>
      </w:r>
      <w:r>
        <w:rPr>
          <w:spacing w:val="-9"/>
          <w:sz w:val="20"/>
        </w:rPr>
        <w:t> </w:t>
      </w:r>
      <w:r>
        <w:rPr>
          <w:sz w:val="20"/>
        </w:rPr>
        <w:t>a</w:t>
      </w:r>
      <w:r>
        <w:rPr>
          <w:spacing w:val="-9"/>
          <w:sz w:val="20"/>
        </w:rPr>
        <w:t> </w:t>
      </w:r>
      <w:r>
        <w:rPr>
          <w:sz w:val="20"/>
        </w:rPr>
        <w:t>deaf</w:t>
      </w:r>
      <w:r>
        <w:rPr>
          <w:spacing w:val="-10"/>
          <w:sz w:val="20"/>
        </w:rPr>
        <w:t> </w:t>
      </w:r>
      <w:r>
        <w:rPr>
          <w:sz w:val="20"/>
        </w:rPr>
        <w:t>person</w:t>
      </w:r>
      <w:r>
        <w:rPr>
          <w:spacing w:val="-9"/>
          <w:sz w:val="20"/>
        </w:rPr>
        <w:t> </w:t>
      </w:r>
      <w:r>
        <w:rPr>
          <w:sz w:val="20"/>
        </w:rPr>
        <w:t>couldn’t</w:t>
      </w:r>
      <w:r>
        <w:rPr>
          <w:spacing w:val="-9"/>
          <w:sz w:val="20"/>
        </w:rPr>
        <w:t> </w:t>
      </w:r>
      <w:r>
        <w:rPr>
          <w:sz w:val="20"/>
        </w:rPr>
        <w:t>be</w:t>
      </w:r>
      <w:r>
        <w:rPr>
          <w:spacing w:val="-9"/>
          <w:sz w:val="20"/>
        </w:rPr>
        <w:t> </w:t>
      </w:r>
      <w:r>
        <w:rPr>
          <w:sz w:val="20"/>
        </w:rPr>
        <w:t>a</w:t>
      </w:r>
      <w:r>
        <w:rPr>
          <w:spacing w:val="-10"/>
          <w:sz w:val="20"/>
        </w:rPr>
        <w:t> </w:t>
      </w:r>
      <w:r>
        <w:rPr>
          <w:sz w:val="20"/>
        </w:rPr>
        <w:t>juror</w:t>
      </w:r>
      <w:r>
        <w:rPr>
          <w:spacing w:val="-9"/>
          <w:sz w:val="20"/>
        </w:rPr>
        <w:t> </w:t>
      </w:r>
      <w:r>
        <w:rPr>
          <w:sz w:val="20"/>
        </w:rPr>
        <w:t>will</w:t>
      </w:r>
      <w:r>
        <w:rPr>
          <w:spacing w:val="-9"/>
          <w:sz w:val="20"/>
        </w:rPr>
        <w:t> </w:t>
      </w:r>
      <w:r>
        <w:rPr>
          <w:sz w:val="20"/>
        </w:rPr>
        <w:t>be</w:t>
      </w:r>
      <w:r>
        <w:rPr>
          <w:spacing w:val="-9"/>
          <w:sz w:val="20"/>
        </w:rPr>
        <w:t> </w:t>
      </w:r>
      <w:r>
        <w:rPr>
          <w:sz w:val="20"/>
        </w:rPr>
        <w:t>considered as odd as the idea that a woman</w:t>
      </w:r>
      <w:r>
        <w:rPr>
          <w:spacing w:val="-35"/>
          <w:sz w:val="20"/>
        </w:rPr>
        <w:t> </w:t>
      </w:r>
      <w:r>
        <w:rPr>
          <w:sz w:val="20"/>
        </w:rPr>
        <w:t>can’t’.</w:t>
      </w:r>
      <w:r>
        <w:rPr>
          <w:position w:val="7"/>
          <w:sz w:val="11"/>
        </w:rPr>
        <w:t>123</w:t>
      </w:r>
    </w:p>
    <w:p>
      <w:pPr>
        <w:pStyle w:val="BodyText"/>
        <w:spacing w:before="8"/>
        <w:rPr>
          <w:sz w:val="16"/>
        </w:rPr>
      </w:pPr>
    </w:p>
    <w:p>
      <w:pPr>
        <w:spacing w:before="1"/>
        <w:ind w:left="967" w:right="0" w:firstLine="0"/>
        <w:jc w:val="left"/>
        <w:rPr>
          <w:rFonts w:ascii="Raleway ExtraBold"/>
          <w:b/>
          <w:sz w:val="28"/>
        </w:rPr>
      </w:pPr>
      <w:r>
        <w:rPr>
          <w:rFonts w:ascii="Raleway ExtraBold"/>
          <w:b/>
          <w:color w:val="37617A"/>
          <w:sz w:val="28"/>
        </w:rPr>
        <w:t>Victoria is lagging behind other jurisdictions</w:t>
      </w:r>
    </w:p>
    <w:p>
      <w:pPr>
        <w:pStyle w:val="ListParagraph"/>
        <w:numPr>
          <w:ilvl w:val="1"/>
          <w:numId w:val="12"/>
        </w:numPr>
        <w:tabs>
          <w:tab w:pos="1761" w:val="left" w:leader="none"/>
          <w:tab w:pos="1762" w:val="left" w:leader="none"/>
        </w:tabs>
        <w:spacing w:line="206" w:lineRule="auto" w:before="146" w:after="0"/>
        <w:ind w:left="1761" w:right="1325" w:hanging="794"/>
        <w:jc w:val="left"/>
        <w:rPr>
          <w:sz w:val="20"/>
        </w:rPr>
      </w:pPr>
      <w:r>
        <w:rPr>
          <w:sz w:val="20"/>
        </w:rPr>
        <w:t>The</w:t>
      </w:r>
      <w:r>
        <w:rPr>
          <w:spacing w:val="-11"/>
          <w:sz w:val="20"/>
        </w:rPr>
        <w:t> </w:t>
      </w:r>
      <w:r>
        <w:rPr>
          <w:spacing w:val="-3"/>
          <w:sz w:val="20"/>
        </w:rPr>
        <w:t>examples</w:t>
      </w:r>
      <w:r>
        <w:rPr>
          <w:spacing w:val="-10"/>
          <w:sz w:val="20"/>
        </w:rPr>
        <w:t> </w:t>
      </w:r>
      <w:r>
        <w:rPr>
          <w:sz w:val="20"/>
        </w:rPr>
        <w:t>cited</w:t>
      </w:r>
      <w:r>
        <w:rPr>
          <w:spacing w:val="-11"/>
          <w:sz w:val="20"/>
        </w:rPr>
        <w:t> </w:t>
      </w:r>
      <w:r>
        <w:rPr>
          <w:sz w:val="20"/>
        </w:rPr>
        <w:t>in</w:t>
      </w:r>
      <w:r>
        <w:rPr>
          <w:spacing w:val="-10"/>
          <w:sz w:val="20"/>
        </w:rPr>
        <w:t> </w:t>
      </w:r>
      <w:r>
        <w:rPr>
          <w:sz w:val="20"/>
        </w:rPr>
        <w:t>this</w:t>
      </w:r>
      <w:r>
        <w:rPr>
          <w:spacing w:val="-10"/>
          <w:sz w:val="20"/>
        </w:rPr>
        <w:t> </w:t>
      </w:r>
      <w:r>
        <w:rPr>
          <w:sz w:val="20"/>
        </w:rPr>
        <w:t>chapter</w:t>
      </w:r>
      <w:r>
        <w:rPr>
          <w:spacing w:val="-11"/>
          <w:sz w:val="20"/>
        </w:rPr>
        <w:t> </w:t>
      </w:r>
      <w:r>
        <w:rPr>
          <w:sz w:val="20"/>
        </w:rPr>
        <w:t>demonstrate</w:t>
      </w:r>
      <w:r>
        <w:rPr>
          <w:spacing w:val="-10"/>
          <w:sz w:val="20"/>
        </w:rPr>
        <w:t> </w:t>
      </w:r>
      <w:r>
        <w:rPr>
          <w:sz w:val="20"/>
        </w:rPr>
        <w:t>that</w:t>
      </w:r>
      <w:r>
        <w:rPr>
          <w:spacing w:val="-10"/>
          <w:sz w:val="20"/>
        </w:rPr>
        <w:t> </w:t>
      </w:r>
      <w:r>
        <w:rPr>
          <w:sz w:val="20"/>
        </w:rPr>
        <w:t>barriers</w:t>
      </w:r>
      <w:r>
        <w:rPr>
          <w:spacing w:val="-11"/>
          <w:sz w:val="20"/>
        </w:rPr>
        <w:t> </w:t>
      </w:r>
      <w:r>
        <w:rPr>
          <w:sz w:val="20"/>
        </w:rPr>
        <w:t>to</w:t>
      </w:r>
      <w:r>
        <w:rPr>
          <w:spacing w:val="-10"/>
          <w:sz w:val="20"/>
        </w:rPr>
        <w:t> </w:t>
      </w:r>
      <w:r>
        <w:rPr>
          <w:sz w:val="20"/>
        </w:rPr>
        <w:t>jury</w:t>
      </w:r>
      <w:r>
        <w:rPr>
          <w:spacing w:val="-10"/>
          <w:sz w:val="20"/>
        </w:rPr>
        <w:t> </w:t>
      </w:r>
      <w:r>
        <w:rPr>
          <w:sz w:val="20"/>
        </w:rPr>
        <w:t>service</w:t>
      </w:r>
      <w:r>
        <w:rPr>
          <w:spacing w:val="-11"/>
          <w:sz w:val="20"/>
        </w:rPr>
        <w:t> </w:t>
      </w:r>
      <w:r>
        <w:rPr>
          <w:sz w:val="20"/>
        </w:rPr>
        <w:t>for</w:t>
      </w:r>
      <w:r>
        <w:rPr>
          <w:spacing w:val="-10"/>
          <w:sz w:val="20"/>
        </w:rPr>
        <w:t> </w:t>
      </w:r>
      <w:r>
        <w:rPr>
          <w:sz w:val="20"/>
        </w:rPr>
        <w:t>people in the subject groups </w:t>
      </w:r>
      <w:r>
        <w:rPr>
          <w:spacing w:val="-4"/>
          <w:sz w:val="20"/>
        </w:rPr>
        <w:t>have </w:t>
      </w:r>
      <w:r>
        <w:rPr>
          <w:sz w:val="20"/>
        </w:rPr>
        <w:t>been </w:t>
      </w:r>
      <w:r>
        <w:rPr>
          <w:spacing w:val="-3"/>
          <w:sz w:val="20"/>
        </w:rPr>
        <w:t>successfully removed </w:t>
      </w:r>
      <w:r>
        <w:rPr>
          <w:sz w:val="20"/>
        </w:rPr>
        <w:t>in other jurisdictions. The concerns that </w:t>
      </w:r>
      <w:r>
        <w:rPr>
          <w:spacing w:val="-4"/>
          <w:sz w:val="20"/>
        </w:rPr>
        <w:t>have </w:t>
      </w:r>
      <w:r>
        <w:rPr>
          <w:sz w:val="20"/>
        </w:rPr>
        <w:t>been put forward in Australia regarding the 13th person </w:t>
      </w:r>
      <w:r>
        <w:rPr>
          <w:spacing w:val="-3"/>
          <w:sz w:val="20"/>
        </w:rPr>
        <w:t>rule, </w:t>
      </w:r>
      <w:r>
        <w:rPr>
          <w:sz w:val="20"/>
        </w:rPr>
        <w:t>fair trial concerns, practical difficulties and costs (discussed in </w:t>
      </w:r>
      <w:r>
        <w:rPr>
          <w:spacing w:val="-2"/>
          <w:sz w:val="20"/>
        </w:rPr>
        <w:t>Chapters </w:t>
      </w:r>
      <w:r>
        <w:rPr>
          <w:sz w:val="20"/>
        </w:rPr>
        <w:t>6 and 9) </w:t>
      </w:r>
      <w:r>
        <w:rPr>
          <w:spacing w:val="-4"/>
          <w:sz w:val="20"/>
        </w:rPr>
        <w:t>have </w:t>
      </w:r>
      <w:r>
        <w:rPr>
          <w:sz w:val="20"/>
        </w:rPr>
        <w:t>all been addressed </w:t>
      </w:r>
      <w:r>
        <w:rPr>
          <w:spacing w:val="-3"/>
          <w:sz w:val="20"/>
        </w:rPr>
        <w:t>successfully. </w:t>
      </w:r>
      <w:r>
        <w:rPr>
          <w:sz w:val="20"/>
        </w:rPr>
        <w:t>In the second half of this report </w:t>
      </w:r>
      <w:r>
        <w:rPr>
          <w:spacing w:val="-3"/>
          <w:sz w:val="20"/>
        </w:rPr>
        <w:t>(Chapters </w:t>
      </w:r>
      <w:r>
        <w:rPr>
          <w:spacing w:val="-4"/>
          <w:sz w:val="20"/>
        </w:rPr>
        <w:t>11–19), </w:t>
      </w:r>
      <w:r>
        <w:rPr>
          <w:spacing w:val="-3"/>
          <w:sz w:val="20"/>
        </w:rPr>
        <w:t>we </w:t>
      </w:r>
      <w:r>
        <w:rPr>
          <w:sz w:val="20"/>
        </w:rPr>
        <w:t>describe</w:t>
      </w:r>
      <w:r>
        <w:rPr>
          <w:spacing w:val="-9"/>
          <w:sz w:val="20"/>
        </w:rPr>
        <w:t> </w:t>
      </w:r>
      <w:r>
        <w:rPr>
          <w:sz w:val="20"/>
        </w:rPr>
        <w:t>the</w:t>
      </w:r>
      <w:r>
        <w:rPr>
          <w:spacing w:val="-9"/>
          <w:sz w:val="20"/>
        </w:rPr>
        <w:t> </w:t>
      </w:r>
      <w:r>
        <w:rPr>
          <w:spacing w:val="-3"/>
          <w:sz w:val="20"/>
        </w:rPr>
        <w:t>reform</w:t>
      </w:r>
      <w:r>
        <w:rPr>
          <w:spacing w:val="-8"/>
          <w:sz w:val="20"/>
        </w:rPr>
        <w:t> </w:t>
      </w:r>
      <w:r>
        <w:rPr>
          <w:sz w:val="20"/>
        </w:rPr>
        <w:t>steps</w:t>
      </w:r>
      <w:r>
        <w:rPr>
          <w:spacing w:val="-9"/>
          <w:sz w:val="20"/>
        </w:rPr>
        <w:t> </w:t>
      </w:r>
      <w:r>
        <w:rPr>
          <w:sz w:val="20"/>
        </w:rPr>
        <w:t>that</w:t>
      </w:r>
      <w:r>
        <w:rPr>
          <w:spacing w:val="-8"/>
          <w:sz w:val="20"/>
        </w:rPr>
        <w:t> </w:t>
      </w:r>
      <w:r>
        <w:rPr>
          <w:sz w:val="20"/>
        </w:rPr>
        <w:t>should</w:t>
      </w:r>
      <w:r>
        <w:rPr>
          <w:spacing w:val="-9"/>
          <w:sz w:val="20"/>
        </w:rPr>
        <w:t> </w:t>
      </w:r>
      <w:r>
        <w:rPr>
          <w:sz w:val="20"/>
        </w:rPr>
        <w:t>be</w:t>
      </w:r>
      <w:r>
        <w:rPr>
          <w:spacing w:val="-8"/>
          <w:sz w:val="20"/>
        </w:rPr>
        <w:t> </w:t>
      </w:r>
      <w:r>
        <w:rPr>
          <w:sz w:val="20"/>
        </w:rPr>
        <w:t>taken</w:t>
      </w:r>
      <w:r>
        <w:rPr>
          <w:spacing w:val="-9"/>
          <w:sz w:val="20"/>
        </w:rPr>
        <w:t> </w:t>
      </w:r>
      <w:r>
        <w:rPr>
          <w:sz w:val="20"/>
        </w:rPr>
        <w:t>in</w:t>
      </w:r>
      <w:r>
        <w:rPr>
          <w:spacing w:val="-8"/>
          <w:sz w:val="20"/>
        </w:rPr>
        <w:t> </w:t>
      </w:r>
      <w:r>
        <w:rPr>
          <w:sz w:val="20"/>
        </w:rPr>
        <w:t>Victoria,</w:t>
      </w:r>
      <w:r>
        <w:rPr>
          <w:spacing w:val="-9"/>
          <w:sz w:val="20"/>
        </w:rPr>
        <w:t> </w:t>
      </w:r>
      <w:r>
        <w:rPr>
          <w:spacing w:val="-3"/>
          <w:sz w:val="20"/>
        </w:rPr>
        <w:t>drawing</w:t>
      </w:r>
      <w:r>
        <w:rPr>
          <w:spacing w:val="-8"/>
          <w:sz w:val="20"/>
        </w:rPr>
        <w:t> </w:t>
      </w:r>
      <w:r>
        <w:rPr>
          <w:sz w:val="20"/>
        </w:rPr>
        <w:t>on</w:t>
      </w:r>
      <w:r>
        <w:rPr>
          <w:spacing w:val="-9"/>
          <w:sz w:val="20"/>
        </w:rPr>
        <w:t> </w:t>
      </w:r>
      <w:r>
        <w:rPr>
          <w:sz w:val="20"/>
        </w:rPr>
        <w:t>the</w:t>
      </w:r>
      <w:r>
        <w:rPr>
          <w:spacing w:val="-8"/>
          <w:sz w:val="20"/>
        </w:rPr>
        <w:t> </w:t>
      </w:r>
      <w:r>
        <w:rPr>
          <w:spacing w:val="-3"/>
          <w:sz w:val="20"/>
        </w:rPr>
        <w:t>examples</w:t>
      </w:r>
      <w:r>
        <w:rPr>
          <w:spacing w:val="-9"/>
          <w:sz w:val="20"/>
        </w:rPr>
        <w:t> </w:t>
      </w:r>
      <w:r>
        <w:rPr>
          <w:sz w:val="20"/>
        </w:rPr>
        <w:t>of good practice</w:t>
      </w:r>
      <w:r>
        <w:rPr>
          <w:spacing w:val="-9"/>
          <w:sz w:val="20"/>
        </w:rPr>
        <w:t> </w:t>
      </w:r>
      <w:r>
        <w:rPr>
          <w:spacing w:val="-3"/>
          <w:sz w:val="20"/>
        </w:rPr>
        <w:t>above.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26"/>
        </w:rPr>
      </w:pPr>
      <w:r>
        <w:rPr/>
        <w:pict>
          <v:line style="position:absolute;mso-position-horizontal-relative:page;mso-position-vertical-relative:paragraph;z-index:6416;mso-wrap-distance-left:0;mso-wrap-distance-right:0" from="79.370102pt,21.123119pt" to="515.905102pt,21.123119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2"/>
        </w:rPr>
      </w:pPr>
    </w:p>
    <w:p>
      <w:pPr>
        <w:spacing w:before="0"/>
        <w:ind w:left="100" w:right="0" w:firstLine="0"/>
        <w:jc w:val="left"/>
        <w:rPr>
          <w:b/>
          <w:sz w:val="24"/>
        </w:rPr>
      </w:pPr>
      <w:r>
        <w:rPr>
          <w:b/>
          <w:color w:val="37617A"/>
          <w:sz w:val="24"/>
        </w:rPr>
        <w:t>104</w:t>
      </w:r>
    </w:p>
    <w:p>
      <w:pPr>
        <w:pStyle w:val="ListParagraph"/>
        <w:numPr>
          <w:ilvl w:val="0"/>
          <w:numId w:val="74"/>
        </w:numPr>
        <w:tabs>
          <w:tab w:pos="893" w:val="left" w:leader="none"/>
          <w:tab w:pos="894" w:val="left" w:leader="none"/>
        </w:tabs>
        <w:spacing w:line="213" w:lineRule="auto" w:before="38" w:after="0"/>
        <w:ind w:left="893" w:right="1529" w:hanging="793"/>
        <w:jc w:val="left"/>
        <w:rPr>
          <w:sz w:val="13"/>
        </w:rPr>
      </w:pPr>
      <w:r>
        <w:rPr>
          <w:spacing w:val="3"/>
          <w:w w:val="100"/>
          <w:sz w:val="13"/>
        </w:rPr>
        <w:br w:type="column"/>
      </w:r>
      <w:r>
        <w:rPr>
          <w:sz w:val="13"/>
        </w:rPr>
        <w:t>Conor Gallagher, ‘Galway Woman Makes </w:t>
      </w:r>
      <w:r>
        <w:rPr>
          <w:spacing w:val="2"/>
          <w:sz w:val="13"/>
        </w:rPr>
        <w:t>History </w:t>
      </w:r>
      <w:r>
        <w:rPr>
          <w:sz w:val="13"/>
        </w:rPr>
        <w:t>as First Deaf Person to Deliberate on Irish Jury’, </w:t>
      </w:r>
      <w:r>
        <w:rPr>
          <w:i/>
          <w:sz w:val="13"/>
        </w:rPr>
        <w:t>The Irish Times </w:t>
      </w:r>
      <w:r>
        <w:rPr>
          <w:sz w:val="13"/>
        </w:rPr>
        <w:t>(online, 5 October 2020) &lt;</w:t>
      </w:r>
      <w:hyperlink r:id="rId176">
        <w:r>
          <w:rPr>
            <w:sz w:val="13"/>
          </w:rPr>
          <w:t>https://www.irishtimes.com/news/crime-and-law/galway-woman-makes-history-as-first-deaf-person-to-</w:t>
        </w:r>
      </w:hyperlink>
      <w:hyperlink r:id="rId176">
        <w:r>
          <w:rPr>
            <w:sz w:val="13"/>
          </w:rPr>
          <w:t> </w:t>
        </w:r>
        <w:r>
          <w:rPr>
            <w:spacing w:val="2"/>
            <w:sz w:val="13"/>
          </w:rPr>
          <w:t>deliberate-on-irish-jury-1.4370644</w:t>
        </w:r>
      </w:hyperlink>
      <w:r>
        <w:rPr>
          <w:spacing w:val="2"/>
          <w:sz w:val="13"/>
        </w:rPr>
        <w:t>&gt;.</w:t>
      </w:r>
    </w:p>
    <w:p>
      <w:pPr>
        <w:pStyle w:val="ListParagraph"/>
        <w:numPr>
          <w:ilvl w:val="0"/>
          <w:numId w:val="74"/>
        </w:numPr>
        <w:tabs>
          <w:tab w:pos="893" w:val="left" w:leader="none"/>
          <w:tab w:pos="894" w:val="left" w:leader="none"/>
        </w:tabs>
        <w:spacing w:line="152" w:lineRule="exact" w:before="0" w:after="0"/>
        <w:ind w:left="893" w:right="0" w:hanging="793"/>
        <w:jc w:val="left"/>
        <w:rPr>
          <w:sz w:val="13"/>
        </w:rPr>
      </w:pPr>
      <w:r>
        <w:rPr>
          <w:spacing w:val="2"/>
          <w:sz w:val="13"/>
        </w:rPr>
        <w:t>Ibid.</w:t>
      </w:r>
    </w:p>
    <w:p>
      <w:pPr>
        <w:pStyle w:val="ListParagraph"/>
        <w:numPr>
          <w:ilvl w:val="0"/>
          <w:numId w:val="74"/>
        </w:numPr>
        <w:tabs>
          <w:tab w:pos="893" w:val="left" w:leader="none"/>
          <w:tab w:pos="894" w:val="left" w:leader="none"/>
        </w:tabs>
        <w:spacing w:line="160" w:lineRule="exact" w:before="0" w:after="0"/>
        <w:ind w:left="893" w:right="0" w:hanging="793"/>
        <w:jc w:val="left"/>
        <w:rPr>
          <w:sz w:val="13"/>
        </w:rPr>
      </w:pPr>
      <w:r>
        <w:rPr>
          <w:spacing w:val="2"/>
          <w:sz w:val="13"/>
        </w:rPr>
        <w:t>Public </w:t>
      </w:r>
      <w:r>
        <w:rPr>
          <w:sz w:val="13"/>
        </w:rPr>
        <w:t>Interest Law Alliance, </w:t>
      </w:r>
      <w:r>
        <w:rPr>
          <w:spacing w:val="2"/>
          <w:sz w:val="13"/>
        </w:rPr>
        <w:t>‘First </w:t>
      </w:r>
      <w:r>
        <w:rPr>
          <w:sz w:val="13"/>
        </w:rPr>
        <w:t>Deaf Person to Sit on a </w:t>
      </w:r>
      <w:r>
        <w:rPr>
          <w:spacing w:val="2"/>
          <w:sz w:val="13"/>
        </w:rPr>
        <w:t>Jury </w:t>
      </w:r>
      <w:r>
        <w:rPr>
          <w:sz w:val="13"/>
        </w:rPr>
        <w:t>and Deliberate on Verdict, </w:t>
      </w:r>
      <w:r>
        <w:rPr>
          <w:i/>
          <w:spacing w:val="2"/>
          <w:sz w:val="13"/>
        </w:rPr>
        <w:t>PILA </w:t>
      </w:r>
      <w:r>
        <w:rPr>
          <w:i/>
          <w:sz w:val="13"/>
        </w:rPr>
        <w:t>Bulletin </w:t>
      </w:r>
      <w:r>
        <w:rPr>
          <w:spacing w:val="2"/>
          <w:sz w:val="13"/>
        </w:rPr>
        <w:t>(14 </w:t>
      </w:r>
      <w:r>
        <w:rPr>
          <w:sz w:val="13"/>
        </w:rPr>
        <w:t>October</w:t>
      </w:r>
      <w:r>
        <w:rPr>
          <w:spacing w:val="20"/>
          <w:sz w:val="13"/>
        </w:rPr>
        <w:t> </w:t>
      </w:r>
      <w:r>
        <w:rPr>
          <w:sz w:val="13"/>
        </w:rPr>
        <w:t>2020)</w:t>
      </w:r>
    </w:p>
    <w:p>
      <w:pPr>
        <w:spacing w:line="170" w:lineRule="exact" w:before="0"/>
        <w:ind w:left="893" w:right="0" w:firstLine="0"/>
        <w:jc w:val="left"/>
        <w:rPr>
          <w:sz w:val="13"/>
        </w:rPr>
      </w:pPr>
      <w:r>
        <w:rPr>
          <w:sz w:val="13"/>
        </w:rPr>
        <w:t>&lt;</w:t>
      </w:r>
      <w:hyperlink r:id="rId177">
        <w:r>
          <w:rPr>
            <w:sz w:val="13"/>
          </w:rPr>
          <w:t>https://www.pila.ie/resources/bulletin/2020/10/14/first-deaf-person-to-sit-on-a-jury-and-deliberate-on-verdict/</w:t>
        </w:r>
      </w:hyperlink>
      <w:r>
        <w:rPr>
          <w:sz w:val="13"/>
        </w:rPr>
        <w:t>&gt;.</w:t>
      </w:r>
    </w:p>
    <w:p>
      <w:pPr>
        <w:spacing w:after="0" w:line="170" w:lineRule="exact"/>
        <w:jc w:val="left"/>
        <w:rPr>
          <w:sz w:val="13"/>
        </w:rPr>
        <w:sectPr>
          <w:type w:val="continuous"/>
          <w:pgSz w:w="11910" w:h="16840"/>
          <w:pgMar w:top="620" w:bottom="280" w:left="620" w:right="380"/>
          <w:cols w:num="2" w:equalWidth="0">
            <w:col w:w="536" w:space="332"/>
            <w:col w:w="10042"/>
          </w:cols>
        </w:sectPr>
      </w:pPr>
    </w:p>
    <w:p>
      <w:pPr>
        <w:pStyle w:val="BodyText"/>
      </w:pPr>
      <w:r>
        <w:rPr/>
        <w:pict>
          <v:rect style="position:absolute;margin-left:0pt;margin-top:0pt;width:595.276001pt;height:841.890015pt;mso-position-horizontal-relative:page;mso-position-vertical-relative:page;z-index:-351808" filled="true" fillcolor="#37617a" stroked="false">
            <v:fill type="solid"/>
            <w10:wrap type="none"/>
          </v:rect>
        </w:pict>
      </w:r>
    </w:p>
    <w:p>
      <w:pPr>
        <w:pStyle w:val="BodyText"/>
        <w:spacing w:before="8"/>
        <w:rPr>
          <w:sz w:val="25"/>
        </w:rPr>
      </w:pPr>
    </w:p>
    <w:p>
      <w:pPr>
        <w:spacing w:line="688" w:lineRule="exact" w:before="0"/>
        <w:ind w:left="0" w:right="745" w:firstLine="0"/>
        <w:jc w:val="right"/>
        <w:rPr>
          <w:rFonts w:ascii="Raleway SemiBold"/>
          <w:b/>
          <w:sz w:val="50"/>
        </w:rPr>
      </w:pPr>
      <w:r>
        <w:rPr/>
        <w:pict>
          <v:group style="position:absolute;margin-left:79.370102pt;margin-top:-32.519978pt;width:141.75pt;height:70.9pt;mso-position-horizontal-relative:page;mso-position-vertical-relative:paragraph;z-index:-351760" coordorigin="1587,-650" coordsize="2835,1418">
            <v:shape style="position:absolute;left:1587;top:-651;width:2835;height:1418" coordorigin="1587,-650" coordsize="2835,1418" path="m4422,-650l1587,-650,1587,682,1594,715,1612,742,1639,760,1672,767,4337,767,4370,760,4397,742,4415,715,4422,682,4422,-650xe" filled="true" fillcolor="#5c768c" stroked="false">
              <v:path arrowok="t"/>
              <v:fill type="solid"/>
            </v:shape>
            <v:shape style="position:absolute;left:1587;top:-651;width:2835;height:1418" type="#_x0000_t202" filled="false" stroked="false">
              <v:textbox inset="0,0,0,0">
                <w:txbxContent>
                  <w:p>
                    <w:pPr>
                      <w:spacing w:line="240" w:lineRule="auto" w:before="7"/>
                      <w:rPr>
                        <w:rFonts w:ascii="Raleway ExtraBold"/>
                        <w:b/>
                        <w:sz w:val="48"/>
                      </w:rPr>
                    </w:pPr>
                  </w:p>
                  <w:p>
                    <w:pPr>
                      <w:spacing w:before="1"/>
                      <w:ind w:left="300" w:right="0" w:firstLine="0"/>
                      <w:jc w:val="left"/>
                      <w:rPr>
                        <w:b/>
                        <w:sz w:val="36"/>
                      </w:rPr>
                    </w:pPr>
                    <w:r>
                      <w:rPr>
                        <w:b/>
                        <w:color w:val="FFFFFF"/>
                        <w:sz w:val="36"/>
                      </w:rPr>
                      <w:t>PA R T T WO</w:t>
                    </w:r>
                  </w:p>
                </w:txbxContent>
              </v:textbox>
              <w10:wrap type="none"/>
            </v:shape>
            <w10:wrap type="none"/>
          </v:group>
        </w:pict>
      </w:r>
      <w:r>
        <w:rPr/>
        <w:pict>
          <v:shape style="position:absolute;margin-left:422.564087pt;margin-top:4.6897pt;width:112.6pt;height:152.65pt;mso-position-horizontal-relative:page;mso-position-vertical-relative:paragraph;z-index:-351736" type="#_x0000_t202" filled="false" stroked="false">
            <v:textbox inset="0,0,0,0">
              <w:txbxContent>
                <w:p>
                  <w:pPr>
                    <w:spacing w:line="3052" w:lineRule="exact" w:before="0"/>
                    <w:ind w:left="0" w:right="0" w:firstLine="0"/>
                    <w:jc w:val="left"/>
                    <w:rPr>
                      <w:b/>
                      <w:sz w:val="260"/>
                    </w:rPr>
                  </w:pPr>
                  <w:r>
                    <w:rPr>
                      <w:b/>
                      <w:color w:val="FFFFFF"/>
                      <w:spacing w:val="-159"/>
                      <w:sz w:val="260"/>
                    </w:rPr>
                    <w:t>11</w:t>
                  </w:r>
                </w:p>
              </w:txbxContent>
            </v:textbox>
            <w10:wrap type="none"/>
          </v:shape>
        </w:pict>
      </w:r>
      <w:bookmarkStart w:name="_bookmark75" w:id="190"/>
      <w:bookmarkEnd w:id="190"/>
      <w:r>
        <w:rPr/>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spacing w:line="180" w:lineRule="auto" w:before="320"/>
        <w:ind w:left="967" w:right="1771" w:firstLine="0"/>
        <w:jc w:val="left"/>
        <w:rPr>
          <w:rFonts w:ascii="Raleway ExtraBold"/>
          <w:b/>
          <w:sz w:val="88"/>
        </w:rPr>
      </w:pPr>
      <w:r>
        <w:rPr>
          <w:rFonts w:ascii="Raleway ExtraBold"/>
          <w:b/>
          <w:color w:val="FFFFFF"/>
          <w:spacing w:val="-22"/>
          <w:sz w:val="88"/>
        </w:rPr>
        <w:t>Reforming </w:t>
      </w:r>
      <w:r>
        <w:rPr>
          <w:rFonts w:ascii="Raleway ExtraBold"/>
          <w:b/>
          <w:color w:val="FFFFFF"/>
          <w:spacing w:val="-23"/>
          <w:sz w:val="88"/>
        </w:rPr>
        <w:t>the </w:t>
      </w:r>
      <w:r>
        <w:rPr>
          <w:rFonts w:ascii="Raleway ExtraBold"/>
          <w:b/>
          <w:color w:val="FFFFFF"/>
          <w:spacing w:val="-20"/>
          <w:sz w:val="88"/>
        </w:rPr>
        <w:t>Juries </w:t>
      </w:r>
      <w:r>
        <w:rPr>
          <w:rFonts w:ascii="Raleway ExtraBold"/>
          <w:b/>
          <w:color w:val="FFFFFF"/>
          <w:spacing w:val="-16"/>
          <w:sz w:val="88"/>
        </w:rPr>
        <w:t>Act to </w:t>
      </w:r>
      <w:r>
        <w:rPr>
          <w:rFonts w:ascii="Raleway ExtraBold"/>
          <w:b/>
          <w:color w:val="FFFFFF"/>
          <w:spacing w:val="-19"/>
          <w:sz w:val="88"/>
        </w:rPr>
        <w:t>enable </w:t>
      </w:r>
      <w:r>
        <w:rPr>
          <w:rFonts w:ascii="Raleway ExtraBold"/>
          <w:b/>
          <w:color w:val="FFFFFF"/>
          <w:spacing w:val="-24"/>
          <w:sz w:val="88"/>
        </w:rPr>
        <w:t>inclusive </w:t>
      </w:r>
      <w:r>
        <w:rPr>
          <w:rFonts w:ascii="Raleway ExtraBold"/>
          <w:b/>
          <w:color w:val="FFFFFF"/>
          <w:spacing w:val="-20"/>
          <w:sz w:val="88"/>
        </w:rPr>
        <w:t>juries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0" w:after="1"/>
        <w:rPr>
          <w:rFonts w:ascii="Raleway ExtraBold"/>
          <w:b/>
          <w:sz w:val="14"/>
        </w:rPr>
      </w:pPr>
    </w:p>
    <w:tbl>
      <w:tblPr>
        <w:tblW w:w="0" w:type="auto"/>
        <w:jc w:val="left"/>
        <w:tblInd w:w="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8260"/>
      </w:tblGrid>
      <w:tr>
        <w:trPr>
          <w:trHeight w:val="336" w:hRule="atLeast"/>
        </w:trPr>
        <w:tc>
          <w:tcPr>
            <w:tcW w:w="510" w:type="dxa"/>
            <w:tcBorders>
              <w:bottom w:val="single" w:sz="18" w:space="0" w:color="8F9DAD"/>
            </w:tcBorders>
            <w:shd w:val="clear" w:color="auto" w:fill="37617A"/>
          </w:tcPr>
          <w:p>
            <w:pPr>
              <w:pStyle w:val="TableParagraph"/>
              <w:spacing w:line="282" w:lineRule="exact" w:before="0"/>
              <w:ind w:left="0"/>
              <w:rPr>
                <w:b/>
                <w:sz w:val="24"/>
              </w:rPr>
            </w:pPr>
            <w:hyperlink w:history="true" w:anchor="_bookmark76">
              <w:r>
                <w:rPr>
                  <w:b/>
                  <w:color w:val="FFFFFF"/>
                  <w:sz w:val="24"/>
                </w:rPr>
                <w:t>106</w:t>
              </w:r>
            </w:hyperlink>
          </w:p>
        </w:tc>
        <w:tc>
          <w:tcPr>
            <w:tcW w:w="8260" w:type="dxa"/>
            <w:shd w:val="clear" w:color="auto" w:fill="37617A"/>
          </w:tcPr>
          <w:p>
            <w:pPr>
              <w:pStyle w:val="TableParagraph"/>
              <w:spacing w:line="282" w:lineRule="exact" w:before="0"/>
              <w:ind w:left="56"/>
              <w:rPr>
                <w:b/>
                <w:sz w:val="24"/>
              </w:rPr>
            </w:pPr>
            <w:hyperlink w:history="true" w:anchor="_bookmark76">
              <w:r>
                <w:rPr>
                  <w:b/>
                  <w:color w:val="FFFFFF"/>
                  <w:sz w:val="24"/>
                </w:rPr>
                <w:t>Overview</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76">
              <w:r>
                <w:rPr>
                  <w:b/>
                  <w:color w:val="FFFFFF"/>
                  <w:sz w:val="24"/>
                </w:rPr>
                <w:t>106</w:t>
              </w:r>
            </w:hyperlink>
          </w:p>
        </w:tc>
        <w:tc>
          <w:tcPr>
            <w:tcW w:w="8260" w:type="dxa"/>
            <w:shd w:val="clear" w:color="auto" w:fill="37617A"/>
          </w:tcPr>
          <w:p>
            <w:pPr>
              <w:pStyle w:val="TableParagraph"/>
              <w:ind w:left="56"/>
              <w:rPr>
                <w:b/>
                <w:sz w:val="24"/>
              </w:rPr>
            </w:pPr>
            <w:hyperlink w:history="true" w:anchor="_bookmark76">
              <w:r>
                <w:rPr>
                  <w:b/>
                  <w:color w:val="FFFFFF"/>
                  <w:sz w:val="24"/>
                </w:rPr>
                <w:t>Legislative change is needed</w:t>
              </w:r>
            </w:hyperlink>
          </w:p>
        </w:tc>
      </w:tr>
      <w:tr>
        <w:trPr>
          <w:trHeight w:val="78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77">
              <w:r>
                <w:rPr>
                  <w:b/>
                  <w:color w:val="FFFFFF"/>
                  <w:sz w:val="24"/>
                </w:rPr>
                <w:t>107</w:t>
              </w:r>
            </w:hyperlink>
          </w:p>
        </w:tc>
        <w:tc>
          <w:tcPr>
            <w:tcW w:w="8260" w:type="dxa"/>
            <w:shd w:val="clear" w:color="auto" w:fill="37617A"/>
          </w:tcPr>
          <w:p>
            <w:pPr>
              <w:pStyle w:val="TableParagraph"/>
              <w:spacing w:line="259" w:lineRule="auto"/>
              <w:ind w:left="56" w:right="2" w:hanging="1"/>
              <w:rPr>
                <w:b/>
                <w:sz w:val="24"/>
              </w:rPr>
            </w:pPr>
            <w:hyperlink w:history="true" w:anchor="_bookmark77">
              <w:r>
                <w:rPr>
                  <w:b/>
                  <w:color w:val="FFFFFF"/>
                  <w:sz w:val="24"/>
                </w:rPr>
                <w:t>The legislative approach in the Australian Capital </w:t>
              </w:r>
              <w:r>
                <w:rPr>
                  <w:b/>
                  <w:color w:val="FFFFFF"/>
                  <w:spacing w:val="-4"/>
                  <w:sz w:val="24"/>
                </w:rPr>
                <w:t>Territory </w:t>
              </w:r>
              <w:r>
                <w:rPr>
                  <w:b/>
                  <w:color w:val="FFFFFF"/>
                  <w:sz w:val="24"/>
                </w:rPr>
                <w:t>and England</w:t>
              </w:r>
            </w:hyperlink>
            <w:r>
              <w:rPr>
                <w:b/>
                <w:color w:val="FFFFFF"/>
                <w:sz w:val="24"/>
              </w:rPr>
              <w:t> </w:t>
            </w:r>
            <w:hyperlink w:history="true" w:anchor="_bookmark77">
              <w:r>
                <w:rPr>
                  <w:b/>
                  <w:color w:val="FFFFFF"/>
                  <w:sz w:val="24"/>
                </w:rPr>
                <w:t>and </w:t>
              </w:r>
              <w:r>
                <w:rPr>
                  <w:b/>
                  <w:color w:val="FFFFFF"/>
                  <w:spacing w:val="-4"/>
                  <w:sz w:val="24"/>
                </w:rPr>
                <w:t>Wales</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79">
              <w:r>
                <w:rPr>
                  <w:b/>
                  <w:color w:val="FFFFFF"/>
                  <w:sz w:val="24"/>
                </w:rPr>
                <w:t>109</w:t>
              </w:r>
            </w:hyperlink>
          </w:p>
        </w:tc>
        <w:tc>
          <w:tcPr>
            <w:tcW w:w="8260" w:type="dxa"/>
            <w:shd w:val="clear" w:color="auto" w:fill="37617A"/>
          </w:tcPr>
          <w:p>
            <w:pPr>
              <w:pStyle w:val="TableParagraph"/>
              <w:ind w:left="56"/>
              <w:rPr>
                <w:b/>
                <w:sz w:val="24"/>
              </w:rPr>
            </w:pPr>
            <w:hyperlink w:history="true" w:anchor="_bookmark79">
              <w:r>
                <w:rPr>
                  <w:b/>
                  <w:color w:val="FFFFFF"/>
                  <w:sz w:val="24"/>
                </w:rPr>
                <w:t>How should the Juries Act be amended?</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82">
              <w:r>
                <w:rPr>
                  <w:b/>
                  <w:color w:val="FFFFFF"/>
                  <w:sz w:val="24"/>
                </w:rPr>
                <w:t>112</w:t>
              </w:r>
            </w:hyperlink>
          </w:p>
        </w:tc>
        <w:tc>
          <w:tcPr>
            <w:tcW w:w="8260" w:type="dxa"/>
            <w:shd w:val="clear" w:color="auto" w:fill="37617A"/>
          </w:tcPr>
          <w:p>
            <w:pPr>
              <w:pStyle w:val="TableParagraph"/>
              <w:ind w:left="56"/>
              <w:rPr>
                <w:b/>
                <w:sz w:val="24"/>
              </w:rPr>
            </w:pPr>
            <w:hyperlink w:history="true" w:anchor="_bookmark82">
              <w:r>
                <w:rPr>
                  <w:b/>
                  <w:color w:val="FFFFFF"/>
                  <w:sz w:val="24"/>
                </w:rPr>
                <w:t>We recommend modifications to the ACT approach for Victoria</w:t>
              </w:r>
            </w:hyperlink>
          </w:p>
        </w:tc>
      </w:tr>
      <w:tr>
        <w:trPr>
          <w:trHeight w:val="78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85">
              <w:r>
                <w:rPr>
                  <w:b/>
                  <w:color w:val="FFFFFF"/>
                  <w:sz w:val="24"/>
                </w:rPr>
                <w:t>119</w:t>
              </w:r>
            </w:hyperlink>
          </w:p>
        </w:tc>
        <w:tc>
          <w:tcPr>
            <w:tcW w:w="8260" w:type="dxa"/>
            <w:shd w:val="clear" w:color="auto" w:fill="37617A"/>
          </w:tcPr>
          <w:p>
            <w:pPr>
              <w:pStyle w:val="TableParagraph"/>
              <w:spacing w:line="259" w:lineRule="auto"/>
              <w:ind w:left="56" w:hanging="1"/>
              <w:rPr>
                <w:b/>
                <w:sz w:val="24"/>
              </w:rPr>
            </w:pPr>
            <w:hyperlink w:history="true" w:anchor="_bookmark85">
              <w:r>
                <w:rPr>
                  <w:b/>
                  <w:color w:val="FFFFFF"/>
                  <w:sz w:val="24"/>
                </w:rPr>
                <w:t>What should happen if a judge decides that adjustments cannot be</w:t>
              </w:r>
            </w:hyperlink>
            <w:r>
              <w:rPr>
                <w:b/>
                <w:color w:val="FFFFFF"/>
                <w:sz w:val="24"/>
              </w:rPr>
              <w:t> </w:t>
            </w:r>
            <w:hyperlink w:history="true" w:anchor="_bookmark85">
              <w:r>
                <w:rPr>
                  <w:b/>
                  <w:color w:val="FFFFFF"/>
                  <w:sz w:val="24"/>
                </w:rPr>
                <w:t>provided?</w:t>
              </w:r>
            </w:hyperlink>
          </w:p>
        </w:tc>
      </w:tr>
    </w:tbl>
    <w:p>
      <w:pPr>
        <w:spacing w:after="0" w:line="259" w:lineRule="auto"/>
        <w:rPr>
          <w:sz w:val="24"/>
        </w:rPr>
        <w:sectPr>
          <w:headerReference w:type="default" r:id="rId178"/>
          <w:headerReference w:type="even" r:id="rId179"/>
          <w:pgSz w:w="11910" w:h="16840"/>
          <w:pgMar w:header="0" w:footer="0" w:top="0" w:bottom="280" w:left="620" w:right="380"/>
        </w:sectPr>
      </w:pPr>
    </w:p>
    <w:p>
      <w:pPr>
        <w:pStyle w:val="BodyText"/>
        <w:rPr>
          <w:rFonts w:ascii="Raleway ExtraBold"/>
          <w:b/>
        </w:rPr>
      </w:pPr>
    </w:p>
    <w:p>
      <w:pPr>
        <w:pStyle w:val="BodyText"/>
        <w:rPr>
          <w:rFonts w:ascii="Raleway ExtraBold"/>
          <w:b/>
        </w:rPr>
      </w:pPr>
    </w:p>
    <w:p>
      <w:pPr>
        <w:pStyle w:val="BodyText"/>
        <w:spacing w:before="2"/>
        <w:rPr>
          <w:rFonts w:ascii="Raleway ExtraBold"/>
          <w:b/>
          <w:sz w:val="25"/>
        </w:rPr>
      </w:pPr>
    </w:p>
    <w:p>
      <w:pPr>
        <w:pStyle w:val="ListParagraph"/>
        <w:numPr>
          <w:ilvl w:val="0"/>
          <w:numId w:val="12"/>
        </w:numPr>
        <w:tabs>
          <w:tab w:pos="1086" w:val="left" w:leader="none"/>
        </w:tabs>
        <w:spacing w:line="184" w:lineRule="auto" w:before="129" w:after="0"/>
        <w:ind w:left="230" w:right="3177" w:firstLine="0"/>
        <w:jc w:val="left"/>
        <w:rPr>
          <w:rFonts w:ascii="Raleway ExtraBold"/>
          <w:b/>
          <w:sz w:val="56"/>
        </w:rPr>
      </w:pPr>
      <w:bookmarkStart w:name="11. Reforming the Juries Act to enable i" w:id="191"/>
      <w:bookmarkEnd w:id="191"/>
      <w:r>
        <w:rPr/>
      </w:r>
      <w:bookmarkStart w:name="Overview" w:id="192"/>
      <w:bookmarkEnd w:id="192"/>
      <w:r>
        <w:rPr/>
      </w:r>
      <w:bookmarkStart w:name="Legislative change is needed" w:id="193"/>
      <w:bookmarkEnd w:id="193"/>
      <w:r>
        <w:rPr/>
      </w:r>
      <w:bookmarkStart w:name="_bookmark76" w:id="194"/>
      <w:bookmarkEnd w:id="194"/>
      <w:r>
        <w:rPr/>
      </w:r>
      <w:bookmarkStart w:name="_bookmark76" w:id="195"/>
      <w:bookmarkEnd w:id="195"/>
      <w:r>
        <w:rPr>
          <w:rFonts w:ascii="Raleway ExtraBold"/>
          <w:b/>
          <w:color w:val="37617A"/>
          <w:spacing w:val="-5"/>
          <w:sz w:val="56"/>
        </w:rPr>
        <w:t>R</w:t>
      </w:r>
      <w:r>
        <w:rPr>
          <w:rFonts w:ascii="Raleway ExtraBold"/>
          <w:b/>
          <w:color w:val="37617A"/>
          <w:spacing w:val="-5"/>
          <w:sz w:val="56"/>
        </w:rPr>
        <w:t>eforming </w:t>
      </w:r>
      <w:r>
        <w:rPr>
          <w:rFonts w:ascii="Raleway ExtraBold"/>
          <w:b/>
          <w:color w:val="37617A"/>
          <w:spacing w:val="-3"/>
          <w:sz w:val="56"/>
        </w:rPr>
        <w:t>the </w:t>
      </w:r>
      <w:r>
        <w:rPr>
          <w:rFonts w:ascii="Raleway ExtraBold"/>
          <w:b/>
          <w:color w:val="37617A"/>
          <w:spacing w:val="-4"/>
          <w:sz w:val="56"/>
        </w:rPr>
        <w:t>Juries </w:t>
      </w:r>
      <w:r>
        <w:rPr>
          <w:rFonts w:ascii="Raleway ExtraBold"/>
          <w:b/>
          <w:color w:val="37617A"/>
          <w:spacing w:val="-8"/>
          <w:sz w:val="56"/>
        </w:rPr>
        <w:t>Act </w:t>
      </w:r>
      <w:r>
        <w:rPr>
          <w:rFonts w:ascii="Raleway ExtraBold"/>
          <w:b/>
          <w:color w:val="37617A"/>
          <w:spacing w:val="-5"/>
          <w:sz w:val="56"/>
        </w:rPr>
        <w:t>to </w:t>
      </w:r>
      <w:r>
        <w:rPr>
          <w:rFonts w:ascii="Raleway ExtraBold"/>
          <w:b/>
          <w:color w:val="37617A"/>
          <w:spacing w:val="-3"/>
          <w:sz w:val="56"/>
        </w:rPr>
        <w:t>enable </w:t>
      </w:r>
      <w:r>
        <w:rPr>
          <w:rFonts w:ascii="Raleway ExtraBold"/>
          <w:b/>
          <w:color w:val="37617A"/>
          <w:spacing w:val="-6"/>
          <w:sz w:val="56"/>
        </w:rPr>
        <w:t>inclusive</w:t>
      </w:r>
      <w:r>
        <w:rPr>
          <w:rFonts w:ascii="Raleway ExtraBold"/>
          <w:b/>
          <w:color w:val="37617A"/>
          <w:spacing w:val="11"/>
          <w:sz w:val="56"/>
        </w:rPr>
        <w:t> </w:t>
      </w:r>
      <w:r>
        <w:rPr>
          <w:rFonts w:ascii="Raleway ExtraBold"/>
          <w:b/>
          <w:color w:val="37617A"/>
          <w:spacing w:val="-4"/>
          <w:sz w:val="56"/>
        </w:rPr>
        <w:t>juries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3"/>
        <w:rPr>
          <w:rFonts w:ascii="Raleway ExtraBold"/>
          <w:b/>
          <w:sz w:val="14"/>
        </w:rPr>
      </w:pPr>
      <w:r>
        <w:rPr/>
        <w:pict>
          <v:line style="position:absolute;mso-position-horizontal-relative:page;mso-position-vertical-relative:paragraph;z-index:6536;mso-wrap-distance-left:0;mso-wrap-distance-right:0" from="79.370102pt,12.58884pt" to="515.905102pt,12.58884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1806" w:right="2044" w:firstLine="0"/>
        <w:jc w:val="center"/>
        <w:rPr>
          <w:rFonts w:ascii="Trebuchet MS" w:hAnsi="Trebuchet MS"/>
          <w:sz w:val="19"/>
        </w:rPr>
      </w:pPr>
      <w:r>
        <w:rPr>
          <w:rFonts w:ascii="Trebuchet MS" w:hAnsi="Trebuchet MS"/>
          <w:i/>
          <w:color w:val="37617A"/>
          <w:spacing w:val="-6"/>
          <w:sz w:val="20"/>
        </w:rPr>
        <w:t>We </w:t>
      </w:r>
      <w:r>
        <w:rPr>
          <w:rFonts w:ascii="Trebuchet MS" w:hAnsi="Trebuchet MS"/>
          <w:i/>
          <w:color w:val="37617A"/>
          <w:sz w:val="20"/>
        </w:rPr>
        <w:t>strongly believe that amending the Act to include specific obligations to </w:t>
      </w:r>
      <w:r>
        <w:rPr>
          <w:rFonts w:ascii="Trebuchet MS" w:hAnsi="Trebuchet MS"/>
          <w:i/>
          <w:color w:val="37617A"/>
          <w:sz w:val="20"/>
        </w:rPr>
        <w:t>consider providing reasonable supports is the only way that people who are blind</w:t>
      </w:r>
      <w:r>
        <w:rPr>
          <w:rFonts w:ascii="Trebuchet MS" w:hAnsi="Trebuchet MS"/>
          <w:i/>
          <w:color w:val="37617A"/>
          <w:spacing w:val="-21"/>
          <w:sz w:val="20"/>
        </w:rPr>
        <w:t> </w:t>
      </w:r>
      <w:r>
        <w:rPr>
          <w:rFonts w:ascii="Trebuchet MS" w:hAnsi="Trebuchet MS"/>
          <w:i/>
          <w:color w:val="37617A"/>
          <w:sz w:val="20"/>
        </w:rPr>
        <w:t>or</w:t>
      </w:r>
      <w:r>
        <w:rPr>
          <w:rFonts w:ascii="Trebuchet MS" w:hAnsi="Trebuchet MS"/>
          <w:i/>
          <w:color w:val="37617A"/>
          <w:spacing w:val="-20"/>
          <w:sz w:val="20"/>
        </w:rPr>
        <w:t> </w:t>
      </w:r>
      <w:r>
        <w:rPr>
          <w:rFonts w:ascii="Trebuchet MS" w:hAnsi="Trebuchet MS"/>
          <w:i/>
          <w:color w:val="37617A"/>
          <w:sz w:val="20"/>
        </w:rPr>
        <w:t>with</w:t>
      </w:r>
      <w:r>
        <w:rPr>
          <w:rFonts w:ascii="Trebuchet MS" w:hAnsi="Trebuchet MS"/>
          <w:i/>
          <w:color w:val="37617A"/>
          <w:spacing w:val="-20"/>
          <w:sz w:val="20"/>
        </w:rPr>
        <w:t> </w:t>
      </w:r>
      <w:r>
        <w:rPr>
          <w:rFonts w:ascii="Trebuchet MS" w:hAnsi="Trebuchet MS"/>
          <w:i/>
          <w:color w:val="37617A"/>
          <w:spacing w:val="-3"/>
          <w:sz w:val="20"/>
        </w:rPr>
        <w:t>low</w:t>
      </w:r>
      <w:r>
        <w:rPr>
          <w:rFonts w:ascii="Trebuchet MS" w:hAnsi="Trebuchet MS"/>
          <w:i/>
          <w:color w:val="37617A"/>
          <w:spacing w:val="-21"/>
          <w:sz w:val="20"/>
        </w:rPr>
        <w:t> </w:t>
      </w:r>
      <w:r>
        <w:rPr>
          <w:rFonts w:ascii="Trebuchet MS" w:hAnsi="Trebuchet MS"/>
          <w:i/>
          <w:color w:val="37617A"/>
          <w:sz w:val="20"/>
        </w:rPr>
        <w:t>vision</w:t>
      </w:r>
      <w:r>
        <w:rPr>
          <w:rFonts w:ascii="Trebuchet MS" w:hAnsi="Trebuchet MS"/>
          <w:i/>
          <w:color w:val="37617A"/>
          <w:spacing w:val="-20"/>
          <w:sz w:val="20"/>
        </w:rPr>
        <w:t> </w:t>
      </w:r>
      <w:r>
        <w:rPr>
          <w:rFonts w:ascii="Trebuchet MS" w:hAnsi="Trebuchet MS"/>
          <w:i/>
          <w:color w:val="37617A"/>
          <w:sz w:val="20"/>
        </w:rPr>
        <w:t>will</w:t>
      </w:r>
      <w:r>
        <w:rPr>
          <w:rFonts w:ascii="Trebuchet MS" w:hAnsi="Trebuchet MS"/>
          <w:i/>
          <w:color w:val="37617A"/>
          <w:spacing w:val="-20"/>
          <w:sz w:val="20"/>
        </w:rPr>
        <w:t> </w:t>
      </w:r>
      <w:r>
        <w:rPr>
          <w:rFonts w:ascii="Trebuchet MS" w:hAnsi="Trebuchet MS"/>
          <w:i/>
          <w:color w:val="37617A"/>
          <w:sz w:val="20"/>
        </w:rPr>
        <w:t>ever</w:t>
      </w:r>
      <w:r>
        <w:rPr>
          <w:rFonts w:ascii="Trebuchet MS" w:hAnsi="Trebuchet MS"/>
          <w:i/>
          <w:color w:val="37617A"/>
          <w:spacing w:val="-21"/>
          <w:sz w:val="20"/>
        </w:rPr>
        <w:t> </w:t>
      </w:r>
      <w:r>
        <w:rPr>
          <w:rFonts w:ascii="Trebuchet MS" w:hAnsi="Trebuchet MS"/>
          <w:i/>
          <w:color w:val="37617A"/>
          <w:sz w:val="20"/>
        </w:rPr>
        <w:t>be</w:t>
      </w:r>
      <w:r>
        <w:rPr>
          <w:rFonts w:ascii="Trebuchet MS" w:hAnsi="Trebuchet MS"/>
          <w:i/>
          <w:color w:val="37617A"/>
          <w:spacing w:val="-20"/>
          <w:sz w:val="20"/>
        </w:rPr>
        <w:t> </w:t>
      </w:r>
      <w:r>
        <w:rPr>
          <w:rFonts w:ascii="Trebuchet MS" w:hAnsi="Trebuchet MS"/>
          <w:i/>
          <w:color w:val="37617A"/>
          <w:sz w:val="20"/>
        </w:rPr>
        <w:t>given</w:t>
      </w:r>
      <w:r>
        <w:rPr>
          <w:rFonts w:ascii="Trebuchet MS" w:hAnsi="Trebuchet MS"/>
          <w:i/>
          <w:color w:val="37617A"/>
          <w:spacing w:val="-20"/>
          <w:sz w:val="20"/>
        </w:rPr>
        <w:t> </w:t>
      </w:r>
      <w:r>
        <w:rPr>
          <w:rFonts w:ascii="Trebuchet MS" w:hAnsi="Trebuchet MS"/>
          <w:i/>
          <w:color w:val="37617A"/>
          <w:sz w:val="20"/>
        </w:rPr>
        <w:t>the</w:t>
      </w:r>
      <w:r>
        <w:rPr>
          <w:rFonts w:ascii="Trebuchet MS" w:hAnsi="Trebuchet MS"/>
          <w:i/>
          <w:color w:val="37617A"/>
          <w:spacing w:val="-21"/>
          <w:sz w:val="20"/>
        </w:rPr>
        <w:t> </w:t>
      </w:r>
      <w:r>
        <w:rPr>
          <w:rFonts w:ascii="Trebuchet MS" w:hAnsi="Trebuchet MS"/>
          <w:i/>
          <w:color w:val="37617A"/>
          <w:sz w:val="20"/>
        </w:rPr>
        <w:t>realistic</w:t>
      </w:r>
      <w:r>
        <w:rPr>
          <w:rFonts w:ascii="Trebuchet MS" w:hAnsi="Trebuchet MS"/>
          <w:i/>
          <w:color w:val="37617A"/>
          <w:spacing w:val="-20"/>
          <w:sz w:val="20"/>
        </w:rPr>
        <w:t> </w:t>
      </w:r>
      <w:r>
        <w:rPr>
          <w:rFonts w:ascii="Trebuchet MS" w:hAnsi="Trebuchet MS"/>
          <w:i/>
          <w:color w:val="37617A"/>
          <w:sz w:val="20"/>
        </w:rPr>
        <w:t>opportunity</w:t>
      </w:r>
      <w:r>
        <w:rPr>
          <w:rFonts w:ascii="Trebuchet MS" w:hAnsi="Trebuchet MS"/>
          <w:i/>
          <w:color w:val="37617A"/>
          <w:spacing w:val="-20"/>
          <w:sz w:val="20"/>
        </w:rPr>
        <w:t> </w:t>
      </w:r>
      <w:r>
        <w:rPr>
          <w:rFonts w:ascii="Trebuchet MS" w:hAnsi="Trebuchet MS"/>
          <w:i/>
          <w:color w:val="37617A"/>
          <w:sz w:val="20"/>
        </w:rPr>
        <w:t>to</w:t>
      </w:r>
      <w:r>
        <w:rPr>
          <w:rFonts w:ascii="Trebuchet MS" w:hAnsi="Trebuchet MS"/>
          <w:i/>
          <w:color w:val="37617A"/>
          <w:spacing w:val="-21"/>
          <w:sz w:val="20"/>
        </w:rPr>
        <w:t> </w:t>
      </w:r>
      <w:r>
        <w:rPr>
          <w:rFonts w:ascii="Trebuchet MS" w:hAnsi="Trebuchet MS"/>
          <w:i/>
          <w:color w:val="37617A"/>
          <w:sz w:val="20"/>
        </w:rPr>
        <w:t>serve</w:t>
      </w:r>
      <w:r>
        <w:rPr>
          <w:rFonts w:ascii="Trebuchet MS" w:hAnsi="Trebuchet MS"/>
          <w:i/>
          <w:color w:val="37617A"/>
          <w:spacing w:val="-20"/>
          <w:sz w:val="20"/>
        </w:rPr>
        <w:t> </w:t>
      </w:r>
      <w:r>
        <w:rPr>
          <w:rFonts w:ascii="Trebuchet MS" w:hAnsi="Trebuchet MS"/>
          <w:i/>
          <w:color w:val="37617A"/>
          <w:sz w:val="20"/>
        </w:rPr>
        <w:t>on</w:t>
      </w:r>
      <w:r>
        <w:rPr>
          <w:rFonts w:ascii="Trebuchet MS" w:hAnsi="Trebuchet MS"/>
          <w:i/>
          <w:color w:val="37617A"/>
          <w:spacing w:val="-20"/>
          <w:sz w:val="20"/>
        </w:rPr>
        <w:t> </w:t>
      </w:r>
      <w:r>
        <w:rPr>
          <w:rFonts w:ascii="Trebuchet MS" w:hAnsi="Trebuchet MS"/>
          <w:i/>
          <w:color w:val="37617A"/>
          <w:sz w:val="20"/>
        </w:rPr>
        <w:t>a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4"/>
          <w:w w:val="84"/>
          <w:sz w:val="20"/>
        </w:rPr>
        <w:t>r</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1"/>
          <w:w w:val="97"/>
          <w:sz w:val="20"/>
        </w:rPr>
        <w:t>V</w:t>
      </w:r>
      <w:r>
        <w:rPr>
          <w:rFonts w:ascii="Trebuchet MS" w:hAnsi="Trebuchet MS"/>
          <w:i/>
          <w:color w:val="37617A"/>
          <w:w w:val="97"/>
          <w:sz w:val="20"/>
        </w:rPr>
        <w:t>i</w:t>
      </w:r>
      <w:r>
        <w:rPr>
          <w:rFonts w:ascii="Trebuchet MS" w:hAnsi="Trebuchet MS"/>
          <w:i/>
          <w:color w:val="37617A"/>
          <w:spacing w:val="-2"/>
          <w:w w:val="115"/>
          <w:sz w:val="20"/>
        </w:rPr>
        <w:t>c</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spacing w:val="1"/>
          <w:w w:val="115"/>
          <w:sz w:val="20"/>
        </w:rPr>
        <w:t>a</w:t>
      </w:r>
      <w:r>
        <w:rPr>
          <w:rFonts w:ascii="Trebuchet MS" w:hAnsi="Trebuchet MS"/>
          <w:i/>
          <w:color w:val="37617A"/>
          <w:w w:val="54"/>
          <w:sz w:val="20"/>
        </w:rPr>
        <w:t>.</w:t>
      </w:r>
      <w:r>
        <w:rPr>
          <w:rFonts w:ascii="Trebuchet MS" w:hAnsi="Trebuchet MS"/>
          <w:i/>
          <w:color w:val="37617A"/>
          <w:w w:val="87"/>
          <w:position w:val="7"/>
          <w:sz w:val="11"/>
        </w:rPr>
        <w:t>1</w:t>
      </w:r>
      <w:r>
        <w:rPr>
          <w:rFonts w:ascii="Trebuchet MS" w:hAnsi="Trebuchet MS"/>
          <w:i/>
          <w:color w:val="37617A"/>
          <w:spacing w:val="13"/>
          <w:position w:val="7"/>
          <w:sz w:val="11"/>
        </w:rPr>
        <w:t> </w:t>
      </w:r>
      <w:r>
        <w:rPr>
          <w:rFonts w:ascii="Trebuchet MS" w:hAnsi="Trebuchet MS"/>
          <w:color w:val="37617A"/>
          <w:spacing w:val="-8"/>
          <w:w w:val="124"/>
          <w:sz w:val="19"/>
        </w:rPr>
        <w:t>—</w:t>
      </w:r>
      <w:r>
        <w:rPr>
          <w:rFonts w:ascii="Trebuchet MS" w:hAnsi="Trebuchet MS"/>
          <w:color w:val="37617A"/>
          <w:w w:val="104"/>
          <w:sz w:val="19"/>
        </w:rPr>
        <w:t>Visi</w:t>
      </w:r>
      <w:r>
        <w:rPr>
          <w:rFonts w:ascii="Trebuchet MS" w:hAnsi="Trebuchet MS"/>
          <w:color w:val="37617A"/>
          <w:w w:val="109"/>
          <w:sz w:val="19"/>
        </w:rPr>
        <w:t>on</w:t>
      </w:r>
      <w:r>
        <w:rPr>
          <w:rFonts w:ascii="Trebuchet MS" w:hAnsi="Trebuchet MS"/>
          <w:color w:val="37617A"/>
          <w:spacing w:val="-12"/>
          <w:sz w:val="19"/>
        </w:rPr>
        <w:t> </w:t>
      </w:r>
      <w:r>
        <w:rPr>
          <w:rFonts w:ascii="Trebuchet MS" w:hAnsi="Trebuchet MS"/>
          <w:color w:val="37617A"/>
          <w:spacing w:val="-2"/>
          <w:w w:val="114"/>
          <w:sz w:val="19"/>
        </w:rPr>
        <w:t>A</w:t>
      </w:r>
      <w:r>
        <w:rPr>
          <w:rFonts w:ascii="Trebuchet MS" w:hAnsi="Trebuchet MS"/>
          <w:color w:val="37617A"/>
          <w:w w:val="109"/>
          <w:sz w:val="19"/>
        </w:rPr>
        <w:t>u</w:t>
      </w:r>
      <w:r>
        <w:rPr>
          <w:rFonts w:ascii="Trebuchet MS" w:hAnsi="Trebuchet MS"/>
          <w:color w:val="37617A"/>
          <w:w w:val="122"/>
          <w:sz w:val="19"/>
        </w:rPr>
        <w:t>s</w:t>
      </w:r>
      <w:r>
        <w:rPr>
          <w:rFonts w:ascii="Trebuchet MS" w:hAnsi="Trebuchet MS"/>
          <w:color w:val="37617A"/>
          <w:w w:val="88"/>
          <w:sz w:val="19"/>
        </w:rPr>
        <w:t>t</w:t>
      </w:r>
      <w:r>
        <w:rPr>
          <w:rFonts w:ascii="Trebuchet MS" w:hAnsi="Trebuchet MS"/>
          <w:color w:val="37617A"/>
          <w:w w:val="100"/>
          <w:sz w:val="19"/>
        </w:rPr>
        <w:t>r</w:t>
      </w:r>
      <w:r>
        <w:rPr>
          <w:rFonts w:ascii="Trebuchet MS" w:hAnsi="Trebuchet MS"/>
          <w:color w:val="37617A"/>
          <w:spacing w:val="-1"/>
          <w:w w:val="100"/>
          <w:sz w:val="19"/>
        </w:rPr>
        <w:t>a</w:t>
      </w:r>
      <w:r>
        <w:rPr>
          <w:rFonts w:ascii="Trebuchet MS" w:hAnsi="Trebuchet MS"/>
          <w:color w:val="37617A"/>
          <w:spacing w:val="1"/>
          <w:w w:val="96"/>
          <w:sz w:val="19"/>
        </w:rPr>
        <w:t>l</w:t>
      </w:r>
      <w:r>
        <w:rPr>
          <w:rFonts w:ascii="Trebuchet MS" w:hAnsi="Trebuchet MS"/>
          <w:color w:val="37617A"/>
          <w:w w:val="80"/>
          <w:sz w:val="19"/>
        </w:rPr>
        <w:t>i</w:t>
      </w:r>
      <w:r>
        <w:rPr>
          <w:rFonts w:ascii="Trebuchet MS" w:hAnsi="Trebuchet MS"/>
          <w:color w:val="37617A"/>
          <w:w w:val="105"/>
          <w:sz w:val="19"/>
        </w:rPr>
        <w:t>a</w:t>
      </w:r>
    </w:p>
    <w:p>
      <w:pPr>
        <w:pStyle w:val="BodyText"/>
        <w:spacing w:before="7"/>
        <w:rPr>
          <w:rFonts w:ascii="Trebuchet MS"/>
          <w:sz w:val="9"/>
        </w:rPr>
      </w:pPr>
      <w:r>
        <w:rPr/>
        <w:pict>
          <v:line style="position:absolute;mso-position-horizontal-relative:page;mso-position-vertical-relative:paragraph;z-index:6560;mso-wrap-distance-left:0;mso-wrap-distance-right:0" from="79.370102pt,7.809328pt" to="515.905102pt,7.809328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75"/>
        </w:numPr>
        <w:tabs>
          <w:tab w:pos="2157" w:val="left" w:leader="none"/>
          <w:tab w:pos="2158" w:val="left" w:leader="none"/>
        </w:tabs>
        <w:spacing w:line="206" w:lineRule="auto" w:before="146" w:after="0"/>
        <w:ind w:left="2157" w:right="1547" w:hanging="396"/>
        <w:jc w:val="left"/>
        <w:rPr>
          <w:sz w:val="20"/>
        </w:rPr>
      </w:pPr>
      <w:r>
        <w:rPr>
          <w:sz w:val="20"/>
        </w:rPr>
        <w:t>The</w:t>
      </w:r>
      <w:r>
        <w:rPr>
          <w:spacing w:val="-11"/>
          <w:sz w:val="20"/>
        </w:rPr>
        <w:t> </w:t>
      </w:r>
      <w:r>
        <w:rPr>
          <w:sz w:val="20"/>
        </w:rPr>
        <w:t>first</w:t>
      </w:r>
      <w:r>
        <w:rPr>
          <w:spacing w:val="-11"/>
          <w:sz w:val="20"/>
        </w:rPr>
        <w:t> </w:t>
      </w:r>
      <w:r>
        <w:rPr>
          <w:sz w:val="20"/>
        </w:rPr>
        <w:t>step</w:t>
      </w:r>
      <w:r>
        <w:rPr>
          <w:spacing w:val="-11"/>
          <w:sz w:val="20"/>
        </w:rPr>
        <w:t> </w:t>
      </w:r>
      <w:r>
        <w:rPr>
          <w:sz w:val="20"/>
        </w:rPr>
        <w:t>to</w:t>
      </w:r>
      <w:r>
        <w:rPr>
          <w:spacing w:val="-11"/>
          <w:sz w:val="20"/>
        </w:rPr>
        <w:t> </w:t>
      </w:r>
      <w:r>
        <w:rPr>
          <w:spacing w:val="-4"/>
          <w:sz w:val="20"/>
        </w:rPr>
        <w:t>improve</w:t>
      </w:r>
      <w:r>
        <w:rPr>
          <w:spacing w:val="-11"/>
          <w:sz w:val="20"/>
        </w:rPr>
        <w:t> </w:t>
      </w:r>
      <w:r>
        <w:rPr>
          <w:sz w:val="20"/>
        </w:rPr>
        <w:t>inclusivity</w:t>
      </w:r>
      <w:r>
        <w:rPr>
          <w:spacing w:val="-11"/>
          <w:sz w:val="20"/>
        </w:rPr>
        <w:t> </w:t>
      </w:r>
      <w:r>
        <w:rPr>
          <w:sz w:val="20"/>
        </w:rPr>
        <w:t>on</w:t>
      </w:r>
      <w:r>
        <w:rPr>
          <w:spacing w:val="-11"/>
          <w:sz w:val="20"/>
        </w:rPr>
        <w:t> </w:t>
      </w:r>
      <w:r>
        <w:rPr>
          <w:sz w:val="20"/>
        </w:rPr>
        <w:t>Victorian</w:t>
      </w:r>
      <w:r>
        <w:rPr>
          <w:spacing w:val="-11"/>
          <w:sz w:val="20"/>
        </w:rPr>
        <w:t> </w:t>
      </w:r>
      <w:r>
        <w:rPr>
          <w:sz w:val="20"/>
        </w:rPr>
        <w:t>juries</w:t>
      </w:r>
      <w:r>
        <w:rPr>
          <w:spacing w:val="-11"/>
          <w:sz w:val="20"/>
        </w:rPr>
        <w:t> </w:t>
      </w:r>
      <w:r>
        <w:rPr>
          <w:sz w:val="20"/>
        </w:rPr>
        <w:t>is</w:t>
      </w:r>
      <w:r>
        <w:rPr>
          <w:spacing w:val="-11"/>
          <w:sz w:val="20"/>
        </w:rPr>
        <w:t> </w:t>
      </w:r>
      <w:r>
        <w:rPr>
          <w:sz w:val="20"/>
        </w:rPr>
        <w:t>to</w:t>
      </w:r>
      <w:r>
        <w:rPr>
          <w:spacing w:val="-11"/>
          <w:sz w:val="20"/>
        </w:rPr>
        <w:t> </w:t>
      </w:r>
      <w:r>
        <w:rPr>
          <w:sz w:val="20"/>
        </w:rPr>
        <w:t>change</w:t>
      </w:r>
      <w:r>
        <w:rPr>
          <w:spacing w:val="-11"/>
          <w:sz w:val="20"/>
        </w:rPr>
        <w:t> </w:t>
      </w:r>
      <w:r>
        <w:rPr>
          <w:sz w:val="20"/>
        </w:rPr>
        <w:t>the</w:t>
      </w:r>
      <w:r>
        <w:rPr>
          <w:spacing w:val="-11"/>
          <w:sz w:val="20"/>
        </w:rPr>
        <w:t> </w:t>
      </w:r>
      <w:r>
        <w:rPr>
          <w:i/>
          <w:sz w:val="20"/>
        </w:rPr>
        <w:t>Juries</w:t>
      </w:r>
      <w:r>
        <w:rPr>
          <w:i/>
          <w:spacing w:val="-10"/>
          <w:sz w:val="20"/>
        </w:rPr>
        <w:t> </w:t>
      </w:r>
      <w:r>
        <w:rPr>
          <w:i/>
          <w:sz w:val="20"/>
        </w:rPr>
        <w:t>Act </w:t>
      </w:r>
      <w:r>
        <w:rPr>
          <w:i/>
          <w:sz w:val="20"/>
        </w:rPr>
        <w:t>2000 </w:t>
      </w:r>
      <w:r>
        <w:rPr>
          <w:sz w:val="20"/>
        </w:rPr>
        <w:t>(Vic) (the</w:t>
      </w:r>
      <w:r>
        <w:rPr>
          <w:spacing w:val="-12"/>
          <w:sz w:val="20"/>
        </w:rPr>
        <w:t> </w:t>
      </w:r>
      <w:r>
        <w:rPr>
          <w:spacing w:val="-3"/>
          <w:sz w:val="20"/>
        </w:rPr>
        <w:t>Act).</w:t>
      </w:r>
    </w:p>
    <w:p>
      <w:pPr>
        <w:pStyle w:val="ListParagraph"/>
        <w:numPr>
          <w:ilvl w:val="0"/>
          <w:numId w:val="75"/>
        </w:numPr>
        <w:tabs>
          <w:tab w:pos="2157" w:val="left" w:leader="none"/>
          <w:tab w:pos="2158" w:val="left" w:leader="none"/>
        </w:tabs>
        <w:spacing w:line="206" w:lineRule="auto" w:before="88" w:after="0"/>
        <w:ind w:left="2157" w:right="1393" w:hanging="396"/>
        <w:jc w:val="left"/>
        <w:rPr>
          <w:sz w:val="20"/>
        </w:rPr>
      </w:pPr>
      <w:r>
        <w:rPr>
          <w:sz w:val="20"/>
        </w:rPr>
        <w:t>The </w:t>
      </w:r>
      <w:r>
        <w:rPr>
          <w:spacing w:val="-2"/>
          <w:sz w:val="20"/>
        </w:rPr>
        <w:t>Act </w:t>
      </w:r>
      <w:r>
        <w:rPr>
          <w:sz w:val="20"/>
        </w:rPr>
        <w:t>should </w:t>
      </w:r>
      <w:r>
        <w:rPr>
          <w:spacing w:val="-3"/>
          <w:sz w:val="20"/>
        </w:rPr>
        <w:t>require </w:t>
      </w:r>
      <w:r>
        <w:rPr>
          <w:sz w:val="20"/>
        </w:rPr>
        <w:t>the courts to direct that reasonable adjustments be </w:t>
      </w:r>
      <w:r>
        <w:rPr>
          <w:spacing w:val="-3"/>
          <w:sz w:val="20"/>
        </w:rPr>
        <w:t>provided</w:t>
      </w:r>
      <w:r>
        <w:rPr>
          <w:spacing w:val="-9"/>
          <w:sz w:val="20"/>
        </w:rPr>
        <w:t> </w:t>
      </w:r>
      <w:r>
        <w:rPr>
          <w:sz w:val="20"/>
        </w:rPr>
        <w:t>where</w:t>
      </w:r>
      <w:r>
        <w:rPr>
          <w:spacing w:val="-8"/>
          <w:sz w:val="20"/>
        </w:rPr>
        <w:t> </w:t>
      </w:r>
      <w:r>
        <w:rPr>
          <w:sz w:val="20"/>
        </w:rPr>
        <w:t>the</w:t>
      </w:r>
      <w:r>
        <w:rPr>
          <w:spacing w:val="-8"/>
          <w:sz w:val="20"/>
        </w:rPr>
        <w:t> </w:t>
      </w:r>
      <w:r>
        <w:rPr>
          <w:sz w:val="20"/>
        </w:rPr>
        <w:t>court</w:t>
      </w:r>
      <w:r>
        <w:rPr>
          <w:spacing w:val="-9"/>
          <w:sz w:val="20"/>
        </w:rPr>
        <w:t> </w:t>
      </w:r>
      <w:r>
        <w:rPr>
          <w:sz w:val="20"/>
        </w:rPr>
        <w:t>considers</w:t>
      </w:r>
      <w:r>
        <w:rPr>
          <w:spacing w:val="-8"/>
          <w:sz w:val="20"/>
        </w:rPr>
        <w:t> </w:t>
      </w:r>
      <w:r>
        <w:rPr>
          <w:sz w:val="20"/>
        </w:rPr>
        <w:t>that</w:t>
      </w:r>
      <w:r>
        <w:rPr>
          <w:spacing w:val="-8"/>
          <w:sz w:val="20"/>
        </w:rPr>
        <w:t> </w:t>
      </w:r>
      <w:r>
        <w:rPr>
          <w:sz w:val="20"/>
        </w:rPr>
        <w:t>they</w:t>
      </w:r>
      <w:r>
        <w:rPr>
          <w:spacing w:val="-8"/>
          <w:sz w:val="20"/>
        </w:rPr>
        <w:t> </w:t>
      </w:r>
      <w:r>
        <w:rPr>
          <w:spacing w:val="-3"/>
          <w:sz w:val="20"/>
        </w:rPr>
        <w:t>would</w:t>
      </w:r>
      <w:r>
        <w:rPr>
          <w:spacing w:val="-9"/>
          <w:sz w:val="20"/>
        </w:rPr>
        <w:t> </w:t>
      </w:r>
      <w:r>
        <w:rPr>
          <w:sz w:val="20"/>
        </w:rPr>
        <w:t>enable</w:t>
      </w:r>
      <w:r>
        <w:rPr>
          <w:spacing w:val="-8"/>
          <w:sz w:val="20"/>
        </w:rPr>
        <w:t> </w:t>
      </w:r>
      <w:r>
        <w:rPr>
          <w:sz w:val="20"/>
        </w:rPr>
        <w:t>a</w:t>
      </w:r>
      <w:r>
        <w:rPr>
          <w:spacing w:val="-8"/>
          <w:sz w:val="20"/>
        </w:rPr>
        <w:t> </w:t>
      </w:r>
      <w:r>
        <w:rPr>
          <w:sz w:val="20"/>
        </w:rPr>
        <w:t>person</w:t>
      </w:r>
      <w:r>
        <w:rPr>
          <w:spacing w:val="-8"/>
          <w:sz w:val="20"/>
        </w:rPr>
        <w:t> </w:t>
      </w:r>
      <w:r>
        <w:rPr>
          <w:sz w:val="20"/>
        </w:rPr>
        <w:t>who</w:t>
      </w:r>
      <w:r>
        <w:rPr>
          <w:spacing w:val="-9"/>
          <w:sz w:val="20"/>
        </w:rPr>
        <w:t> </w:t>
      </w:r>
      <w:r>
        <w:rPr>
          <w:sz w:val="20"/>
        </w:rPr>
        <w:t>is</w:t>
      </w:r>
      <w:r>
        <w:rPr>
          <w:spacing w:val="-8"/>
          <w:sz w:val="20"/>
        </w:rPr>
        <w:t> </w:t>
      </w:r>
      <w:r>
        <w:rPr>
          <w:spacing w:val="-4"/>
          <w:sz w:val="20"/>
        </w:rPr>
        <w:t>deaf, </w:t>
      </w:r>
      <w:r>
        <w:rPr>
          <w:sz w:val="20"/>
        </w:rPr>
        <w:t>hard</w:t>
      </w:r>
      <w:r>
        <w:rPr>
          <w:spacing w:val="-5"/>
          <w:sz w:val="20"/>
        </w:rPr>
        <w:t> </w:t>
      </w:r>
      <w:r>
        <w:rPr>
          <w:sz w:val="20"/>
        </w:rPr>
        <w:t>of</w:t>
      </w:r>
      <w:r>
        <w:rPr>
          <w:spacing w:val="-5"/>
          <w:sz w:val="20"/>
        </w:rPr>
        <w:t> </w:t>
      </w:r>
      <w:r>
        <w:rPr>
          <w:sz w:val="20"/>
        </w:rPr>
        <w:t>hearing,</w:t>
      </w:r>
      <w:r>
        <w:rPr>
          <w:spacing w:val="-5"/>
          <w:sz w:val="20"/>
        </w:rPr>
        <w:t> </w:t>
      </w:r>
      <w:r>
        <w:rPr>
          <w:sz w:val="20"/>
        </w:rPr>
        <w:t>blind</w:t>
      </w:r>
      <w:r>
        <w:rPr>
          <w:spacing w:val="-5"/>
          <w:sz w:val="20"/>
        </w:rPr>
        <w:t> </w:t>
      </w:r>
      <w:r>
        <w:rPr>
          <w:sz w:val="20"/>
        </w:rPr>
        <w:t>or</w:t>
      </w:r>
      <w:r>
        <w:rPr>
          <w:spacing w:val="-5"/>
          <w:sz w:val="20"/>
        </w:rPr>
        <w:t> </w:t>
      </w:r>
      <w:r>
        <w:rPr>
          <w:sz w:val="20"/>
        </w:rPr>
        <w:t>has</w:t>
      </w:r>
      <w:r>
        <w:rPr>
          <w:spacing w:val="-5"/>
          <w:sz w:val="20"/>
        </w:rPr>
        <w:t> </w:t>
      </w:r>
      <w:r>
        <w:rPr>
          <w:spacing w:val="-4"/>
          <w:sz w:val="20"/>
        </w:rPr>
        <w:t>low</w:t>
      </w:r>
      <w:r>
        <w:rPr>
          <w:spacing w:val="-5"/>
          <w:sz w:val="20"/>
        </w:rPr>
        <w:t> </w:t>
      </w:r>
      <w:r>
        <w:rPr>
          <w:sz w:val="20"/>
        </w:rPr>
        <w:t>vision</w:t>
      </w:r>
      <w:r>
        <w:rPr>
          <w:spacing w:val="-5"/>
          <w:sz w:val="20"/>
        </w:rPr>
        <w:t> </w:t>
      </w:r>
      <w:r>
        <w:rPr>
          <w:sz w:val="20"/>
        </w:rPr>
        <w:t>to</w:t>
      </w:r>
      <w:r>
        <w:rPr>
          <w:spacing w:val="-4"/>
          <w:sz w:val="20"/>
        </w:rPr>
        <w:t> </w:t>
      </w:r>
      <w:r>
        <w:rPr>
          <w:sz w:val="20"/>
        </w:rPr>
        <w:t>serve</w:t>
      </w:r>
      <w:r>
        <w:rPr>
          <w:spacing w:val="-5"/>
          <w:sz w:val="20"/>
        </w:rPr>
        <w:t> </w:t>
      </w:r>
      <w:r>
        <w:rPr>
          <w:sz w:val="20"/>
        </w:rPr>
        <w:t>as</w:t>
      </w:r>
      <w:r>
        <w:rPr>
          <w:spacing w:val="-5"/>
          <w:sz w:val="20"/>
        </w:rPr>
        <w:t> </w:t>
      </w:r>
      <w:r>
        <w:rPr>
          <w:sz w:val="20"/>
        </w:rPr>
        <w:t>a</w:t>
      </w:r>
      <w:r>
        <w:rPr>
          <w:spacing w:val="-5"/>
          <w:sz w:val="20"/>
        </w:rPr>
        <w:t> </w:t>
      </w:r>
      <w:r>
        <w:rPr>
          <w:spacing w:val="-4"/>
          <w:sz w:val="20"/>
        </w:rPr>
        <w:t>juror.</w:t>
      </w:r>
    </w:p>
    <w:p>
      <w:pPr>
        <w:pStyle w:val="ListParagraph"/>
        <w:numPr>
          <w:ilvl w:val="0"/>
          <w:numId w:val="75"/>
        </w:numPr>
        <w:tabs>
          <w:tab w:pos="2157" w:val="left" w:leader="none"/>
          <w:tab w:pos="2158" w:val="left" w:leader="none"/>
        </w:tabs>
        <w:spacing w:line="206" w:lineRule="auto" w:before="89" w:after="0"/>
        <w:ind w:left="2157" w:right="1356" w:hanging="396"/>
        <w:jc w:val="left"/>
        <w:rPr>
          <w:sz w:val="20"/>
        </w:rPr>
      </w:pPr>
      <w:r>
        <w:rPr>
          <w:sz w:val="20"/>
        </w:rPr>
        <w:t>The</w:t>
      </w:r>
      <w:r>
        <w:rPr>
          <w:spacing w:val="-11"/>
          <w:sz w:val="20"/>
        </w:rPr>
        <w:t> </w:t>
      </w:r>
      <w:r>
        <w:rPr>
          <w:spacing w:val="-2"/>
          <w:sz w:val="20"/>
        </w:rPr>
        <w:t>Act</w:t>
      </w:r>
      <w:r>
        <w:rPr>
          <w:spacing w:val="-10"/>
          <w:sz w:val="20"/>
        </w:rPr>
        <w:t> </w:t>
      </w:r>
      <w:r>
        <w:rPr>
          <w:sz w:val="20"/>
        </w:rPr>
        <w:t>should</w:t>
      </w:r>
      <w:r>
        <w:rPr>
          <w:spacing w:val="-11"/>
          <w:sz w:val="20"/>
        </w:rPr>
        <w:t> </w:t>
      </w:r>
      <w:r>
        <w:rPr>
          <w:sz w:val="20"/>
        </w:rPr>
        <w:t>outline</w:t>
      </w:r>
      <w:r>
        <w:rPr>
          <w:spacing w:val="-11"/>
          <w:sz w:val="20"/>
        </w:rPr>
        <w:t> </w:t>
      </w:r>
      <w:r>
        <w:rPr>
          <w:sz w:val="20"/>
        </w:rPr>
        <w:t>what</w:t>
      </w:r>
      <w:r>
        <w:rPr>
          <w:spacing w:val="-10"/>
          <w:sz w:val="20"/>
        </w:rPr>
        <w:t> </w:t>
      </w:r>
      <w:r>
        <w:rPr>
          <w:sz w:val="20"/>
        </w:rPr>
        <w:t>factors</w:t>
      </w:r>
      <w:r>
        <w:rPr>
          <w:spacing w:val="-11"/>
          <w:sz w:val="20"/>
        </w:rPr>
        <w:t> </w:t>
      </w:r>
      <w:r>
        <w:rPr>
          <w:sz w:val="20"/>
        </w:rPr>
        <w:t>the</w:t>
      </w:r>
      <w:r>
        <w:rPr>
          <w:spacing w:val="-10"/>
          <w:sz w:val="20"/>
        </w:rPr>
        <w:t> </w:t>
      </w:r>
      <w:r>
        <w:rPr>
          <w:sz w:val="20"/>
        </w:rPr>
        <w:t>court</w:t>
      </w:r>
      <w:r>
        <w:rPr>
          <w:spacing w:val="-11"/>
          <w:sz w:val="20"/>
        </w:rPr>
        <w:t> </w:t>
      </w:r>
      <w:r>
        <w:rPr>
          <w:spacing w:val="-3"/>
          <w:sz w:val="20"/>
        </w:rPr>
        <w:t>may</w:t>
      </w:r>
      <w:r>
        <w:rPr>
          <w:spacing w:val="-10"/>
          <w:sz w:val="20"/>
        </w:rPr>
        <w:t> </w:t>
      </w:r>
      <w:r>
        <w:rPr>
          <w:sz w:val="20"/>
        </w:rPr>
        <w:t>consider</w:t>
      </w:r>
      <w:r>
        <w:rPr>
          <w:spacing w:val="-11"/>
          <w:sz w:val="20"/>
        </w:rPr>
        <w:t> </w:t>
      </w:r>
      <w:r>
        <w:rPr>
          <w:sz w:val="20"/>
        </w:rPr>
        <w:t>in</w:t>
      </w:r>
      <w:r>
        <w:rPr>
          <w:spacing w:val="-10"/>
          <w:sz w:val="20"/>
        </w:rPr>
        <w:t> </w:t>
      </w:r>
      <w:r>
        <w:rPr>
          <w:sz w:val="20"/>
        </w:rPr>
        <w:t>deciding</w:t>
      </w:r>
      <w:r>
        <w:rPr>
          <w:spacing w:val="-11"/>
          <w:sz w:val="20"/>
        </w:rPr>
        <w:t> </w:t>
      </w:r>
      <w:r>
        <w:rPr>
          <w:sz w:val="20"/>
        </w:rPr>
        <w:t>whether</w:t>
      </w:r>
      <w:r>
        <w:rPr>
          <w:spacing w:val="-10"/>
          <w:sz w:val="20"/>
        </w:rPr>
        <w:t> </w:t>
      </w:r>
      <w:r>
        <w:rPr>
          <w:sz w:val="20"/>
        </w:rPr>
        <w:t>it is reasonable to </w:t>
      </w:r>
      <w:r>
        <w:rPr>
          <w:spacing w:val="-3"/>
          <w:sz w:val="20"/>
        </w:rPr>
        <w:t>provide</w:t>
      </w:r>
      <w:r>
        <w:rPr>
          <w:spacing w:val="-18"/>
          <w:sz w:val="20"/>
        </w:rPr>
        <w:t> </w:t>
      </w:r>
      <w:r>
        <w:rPr>
          <w:sz w:val="20"/>
        </w:rPr>
        <w:t>adjustments.</w:t>
      </w:r>
    </w:p>
    <w:p>
      <w:pPr>
        <w:pStyle w:val="ListParagraph"/>
        <w:numPr>
          <w:ilvl w:val="0"/>
          <w:numId w:val="75"/>
        </w:numPr>
        <w:tabs>
          <w:tab w:pos="2157" w:val="left" w:leader="none"/>
          <w:tab w:pos="2158" w:val="left" w:leader="none"/>
        </w:tabs>
        <w:spacing w:line="240" w:lineRule="auto" w:before="55" w:after="0"/>
        <w:ind w:left="2157" w:right="0" w:hanging="396"/>
        <w:jc w:val="left"/>
        <w:rPr>
          <w:sz w:val="20"/>
        </w:rPr>
      </w:pPr>
      <w:r>
        <w:rPr>
          <w:sz w:val="20"/>
        </w:rPr>
        <w:t>The</w:t>
      </w:r>
      <w:r>
        <w:rPr>
          <w:spacing w:val="-5"/>
          <w:sz w:val="20"/>
        </w:rPr>
        <w:t> </w:t>
      </w:r>
      <w:r>
        <w:rPr>
          <w:spacing w:val="-2"/>
          <w:sz w:val="20"/>
        </w:rPr>
        <w:t>Act</w:t>
      </w:r>
      <w:r>
        <w:rPr>
          <w:spacing w:val="-5"/>
          <w:sz w:val="20"/>
        </w:rPr>
        <w:t> </w:t>
      </w:r>
      <w:r>
        <w:rPr>
          <w:sz w:val="20"/>
        </w:rPr>
        <w:t>should</w:t>
      </w:r>
      <w:r>
        <w:rPr>
          <w:spacing w:val="-4"/>
          <w:sz w:val="20"/>
        </w:rPr>
        <w:t> </w:t>
      </w:r>
      <w:r>
        <w:rPr>
          <w:sz w:val="20"/>
        </w:rPr>
        <w:t>limit</w:t>
      </w:r>
      <w:r>
        <w:rPr>
          <w:spacing w:val="-5"/>
          <w:sz w:val="20"/>
        </w:rPr>
        <w:t> </w:t>
      </w:r>
      <w:r>
        <w:rPr>
          <w:sz w:val="20"/>
        </w:rPr>
        <w:t>the</w:t>
      </w:r>
      <w:r>
        <w:rPr>
          <w:spacing w:val="-5"/>
          <w:sz w:val="20"/>
        </w:rPr>
        <w:t> </w:t>
      </w:r>
      <w:r>
        <w:rPr>
          <w:sz w:val="20"/>
        </w:rPr>
        <w:t>operation</w:t>
      </w:r>
      <w:r>
        <w:rPr>
          <w:spacing w:val="-4"/>
          <w:sz w:val="20"/>
        </w:rPr>
        <w:t> </w:t>
      </w:r>
      <w:r>
        <w:rPr>
          <w:sz w:val="20"/>
        </w:rPr>
        <w:t>of</w:t>
      </w:r>
      <w:r>
        <w:rPr>
          <w:spacing w:val="-5"/>
          <w:sz w:val="20"/>
        </w:rPr>
        <w:t> </w:t>
      </w:r>
      <w:r>
        <w:rPr>
          <w:sz w:val="20"/>
        </w:rPr>
        <w:t>the</w:t>
      </w:r>
      <w:r>
        <w:rPr>
          <w:spacing w:val="-4"/>
          <w:sz w:val="20"/>
        </w:rPr>
        <w:t> </w:t>
      </w:r>
      <w:r>
        <w:rPr>
          <w:sz w:val="20"/>
        </w:rPr>
        <w:t>13th</w:t>
      </w:r>
      <w:r>
        <w:rPr>
          <w:spacing w:val="-5"/>
          <w:sz w:val="20"/>
        </w:rPr>
        <w:t> </w:t>
      </w:r>
      <w:r>
        <w:rPr>
          <w:sz w:val="20"/>
        </w:rPr>
        <w:t>person</w:t>
      </w:r>
      <w:r>
        <w:rPr>
          <w:spacing w:val="-5"/>
          <w:sz w:val="20"/>
        </w:rPr>
        <w:t> </w:t>
      </w:r>
      <w:r>
        <w:rPr>
          <w:spacing w:val="-3"/>
          <w:sz w:val="20"/>
        </w:rPr>
        <w:t>rule.</w:t>
      </w:r>
    </w:p>
    <w:p>
      <w:pPr>
        <w:spacing w:before="185"/>
        <w:ind w:left="967" w:right="0" w:firstLine="0"/>
        <w:jc w:val="left"/>
        <w:rPr>
          <w:rFonts w:ascii="Raleway ExtraBold"/>
          <w:b/>
          <w:sz w:val="28"/>
        </w:rPr>
      </w:pPr>
      <w:r>
        <w:rPr>
          <w:rFonts w:ascii="Raleway ExtraBold"/>
          <w:b/>
          <w:color w:val="37617A"/>
          <w:sz w:val="28"/>
        </w:rPr>
        <w:t>Legislative change is needed</w:t>
      </w:r>
    </w:p>
    <w:p>
      <w:pPr>
        <w:pStyle w:val="ListParagraph"/>
        <w:numPr>
          <w:ilvl w:val="1"/>
          <w:numId w:val="12"/>
        </w:numPr>
        <w:tabs>
          <w:tab w:pos="1761" w:val="left" w:leader="none"/>
          <w:tab w:pos="1762" w:val="left" w:leader="none"/>
        </w:tabs>
        <w:spacing w:line="206" w:lineRule="auto" w:before="146" w:after="0"/>
        <w:ind w:left="1761" w:right="1778" w:hanging="794"/>
        <w:jc w:val="left"/>
        <w:rPr>
          <w:sz w:val="20"/>
        </w:rPr>
      </w:pPr>
      <w:r>
        <w:rPr>
          <w:sz w:val="20"/>
        </w:rPr>
        <w:t>The</w:t>
      </w:r>
      <w:r>
        <w:rPr>
          <w:spacing w:val="-11"/>
          <w:sz w:val="20"/>
        </w:rPr>
        <w:t> </w:t>
      </w:r>
      <w:r>
        <w:rPr>
          <w:i/>
          <w:sz w:val="20"/>
        </w:rPr>
        <w:t>Juries</w:t>
      </w:r>
      <w:r>
        <w:rPr>
          <w:i/>
          <w:spacing w:val="-11"/>
          <w:sz w:val="20"/>
        </w:rPr>
        <w:t> </w:t>
      </w:r>
      <w:r>
        <w:rPr>
          <w:i/>
          <w:sz w:val="20"/>
        </w:rPr>
        <w:t>Act</w:t>
      </w:r>
      <w:r>
        <w:rPr>
          <w:i/>
          <w:spacing w:val="-10"/>
          <w:sz w:val="20"/>
        </w:rPr>
        <w:t> </w:t>
      </w:r>
      <w:r>
        <w:rPr>
          <w:i/>
          <w:sz w:val="20"/>
        </w:rPr>
        <w:t>2000</w:t>
      </w:r>
      <w:r>
        <w:rPr>
          <w:i/>
          <w:spacing w:val="-11"/>
          <w:sz w:val="20"/>
        </w:rPr>
        <w:t> </w:t>
      </w:r>
      <w:r>
        <w:rPr>
          <w:sz w:val="20"/>
        </w:rPr>
        <w:t>(Vic)</w:t>
      </w:r>
      <w:r>
        <w:rPr>
          <w:spacing w:val="-10"/>
          <w:sz w:val="20"/>
        </w:rPr>
        <w:t> </w:t>
      </w:r>
      <w:r>
        <w:rPr>
          <w:sz w:val="20"/>
        </w:rPr>
        <w:t>(the</w:t>
      </w:r>
      <w:r>
        <w:rPr>
          <w:spacing w:val="-11"/>
          <w:sz w:val="20"/>
        </w:rPr>
        <w:t> </w:t>
      </w:r>
      <w:r>
        <w:rPr>
          <w:sz w:val="20"/>
        </w:rPr>
        <w:t>Act)</w:t>
      </w:r>
      <w:r>
        <w:rPr>
          <w:spacing w:val="-11"/>
          <w:sz w:val="20"/>
        </w:rPr>
        <w:t> </w:t>
      </w:r>
      <w:r>
        <w:rPr>
          <w:sz w:val="20"/>
        </w:rPr>
        <w:t>needs</w:t>
      </w:r>
      <w:r>
        <w:rPr>
          <w:spacing w:val="-10"/>
          <w:sz w:val="20"/>
        </w:rPr>
        <w:t> </w:t>
      </w:r>
      <w:r>
        <w:rPr>
          <w:sz w:val="20"/>
        </w:rPr>
        <w:t>to</w:t>
      </w:r>
      <w:r>
        <w:rPr>
          <w:spacing w:val="-11"/>
          <w:sz w:val="20"/>
        </w:rPr>
        <w:t> </w:t>
      </w:r>
      <w:r>
        <w:rPr>
          <w:sz w:val="20"/>
        </w:rPr>
        <w:t>be</w:t>
      </w:r>
      <w:r>
        <w:rPr>
          <w:spacing w:val="-11"/>
          <w:sz w:val="20"/>
        </w:rPr>
        <w:t> </w:t>
      </w:r>
      <w:r>
        <w:rPr>
          <w:sz w:val="20"/>
        </w:rPr>
        <w:t>changed</w:t>
      </w:r>
      <w:r>
        <w:rPr>
          <w:spacing w:val="-10"/>
          <w:sz w:val="20"/>
        </w:rPr>
        <w:t> </w:t>
      </w:r>
      <w:r>
        <w:rPr>
          <w:sz w:val="20"/>
        </w:rPr>
        <w:t>to</w:t>
      </w:r>
      <w:r>
        <w:rPr>
          <w:spacing w:val="-11"/>
          <w:sz w:val="20"/>
        </w:rPr>
        <w:t> </w:t>
      </w:r>
      <w:r>
        <w:rPr>
          <w:sz w:val="20"/>
        </w:rPr>
        <w:t>ensure</w:t>
      </w:r>
      <w:r>
        <w:rPr>
          <w:spacing w:val="-11"/>
          <w:sz w:val="20"/>
        </w:rPr>
        <w:t> </w:t>
      </w:r>
      <w:r>
        <w:rPr>
          <w:sz w:val="20"/>
        </w:rPr>
        <w:t>that</w:t>
      </w:r>
      <w:r>
        <w:rPr>
          <w:spacing w:val="-11"/>
          <w:sz w:val="20"/>
        </w:rPr>
        <w:t> </w:t>
      </w:r>
      <w:r>
        <w:rPr>
          <w:sz w:val="20"/>
        </w:rPr>
        <w:t>reasonable adjustments </w:t>
      </w:r>
      <w:r>
        <w:rPr>
          <w:spacing w:val="-3"/>
          <w:sz w:val="20"/>
        </w:rPr>
        <w:t>are provided </w:t>
      </w:r>
      <w:r>
        <w:rPr>
          <w:sz w:val="20"/>
        </w:rPr>
        <w:t>to people in the subject</w:t>
      </w:r>
      <w:r>
        <w:rPr>
          <w:spacing w:val="-33"/>
          <w:sz w:val="20"/>
        </w:rPr>
        <w:t> </w:t>
      </w:r>
      <w:r>
        <w:rPr>
          <w:sz w:val="20"/>
        </w:rPr>
        <w:t>groups.</w:t>
      </w:r>
    </w:p>
    <w:p>
      <w:pPr>
        <w:pStyle w:val="ListParagraph"/>
        <w:numPr>
          <w:ilvl w:val="1"/>
          <w:numId w:val="12"/>
        </w:numPr>
        <w:tabs>
          <w:tab w:pos="1761" w:val="left" w:leader="none"/>
          <w:tab w:pos="1762" w:val="left" w:leader="none"/>
        </w:tabs>
        <w:spacing w:line="206" w:lineRule="auto" w:before="123" w:after="0"/>
        <w:ind w:left="1761" w:right="1265" w:hanging="794"/>
        <w:jc w:val="left"/>
        <w:rPr>
          <w:sz w:val="20"/>
        </w:rPr>
      </w:pPr>
      <w:r>
        <w:rPr>
          <w:sz w:val="20"/>
        </w:rPr>
        <w:t>Changing the </w:t>
      </w:r>
      <w:r>
        <w:rPr>
          <w:spacing w:val="-2"/>
          <w:sz w:val="20"/>
        </w:rPr>
        <w:t>Act </w:t>
      </w:r>
      <w:r>
        <w:rPr>
          <w:sz w:val="20"/>
        </w:rPr>
        <w:t>will respond to the recommendations of the United Nations Committee on the Rights of Persons with Disabilities (the Convention </w:t>
      </w:r>
      <w:r>
        <w:rPr>
          <w:spacing w:val="-3"/>
          <w:sz w:val="20"/>
        </w:rPr>
        <w:t>Committee), </w:t>
      </w:r>
      <w:r>
        <w:rPr>
          <w:sz w:val="20"/>
        </w:rPr>
        <w:t>which has called on Australia to </w:t>
      </w:r>
      <w:r>
        <w:rPr>
          <w:spacing w:val="-3"/>
          <w:sz w:val="20"/>
        </w:rPr>
        <w:t>make </w:t>
      </w:r>
      <w:r>
        <w:rPr>
          <w:sz w:val="20"/>
        </w:rPr>
        <w:t>the necessary amendments to </w:t>
      </w:r>
      <w:r>
        <w:rPr>
          <w:spacing w:val="-3"/>
          <w:sz w:val="20"/>
        </w:rPr>
        <w:t>laws </w:t>
      </w:r>
      <w:r>
        <w:rPr>
          <w:sz w:val="20"/>
        </w:rPr>
        <w:t>to </w:t>
      </w:r>
      <w:r>
        <w:rPr>
          <w:spacing w:val="-4"/>
          <w:sz w:val="20"/>
        </w:rPr>
        <w:t>remove </w:t>
      </w:r>
      <w:r>
        <w:rPr>
          <w:sz w:val="20"/>
        </w:rPr>
        <w:t>barriers</w:t>
      </w:r>
      <w:r>
        <w:rPr>
          <w:spacing w:val="-10"/>
          <w:sz w:val="20"/>
        </w:rPr>
        <w:t> </w:t>
      </w:r>
      <w:r>
        <w:rPr>
          <w:sz w:val="20"/>
        </w:rPr>
        <w:t>to</w:t>
      </w:r>
      <w:r>
        <w:rPr>
          <w:spacing w:val="-10"/>
          <w:sz w:val="20"/>
        </w:rPr>
        <w:t> </w:t>
      </w:r>
      <w:r>
        <w:rPr>
          <w:sz w:val="20"/>
        </w:rPr>
        <w:t>jury</w:t>
      </w:r>
      <w:r>
        <w:rPr>
          <w:spacing w:val="-10"/>
          <w:sz w:val="20"/>
        </w:rPr>
        <w:t> </w:t>
      </w:r>
      <w:r>
        <w:rPr>
          <w:sz w:val="20"/>
        </w:rPr>
        <w:t>service.</w:t>
      </w:r>
      <w:r>
        <w:rPr>
          <w:spacing w:val="-10"/>
          <w:sz w:val="20"/>
        </w:rPr>
        <w:t> </w:t>
      </w:r>
      <w:r>
        <w:rPr>
          <w:sz w:val="20"/>
        </w:rPr>
        <w:t>It</w:t>
      </w:r>
      <w:r>
        <w:rPr>
          <w:spacing w:val="-10"/>
          <w:sz w:val="20"/>
        </w:rPr>
        <w:t> </w:t>
      </w:r>
      <w:r>
        <w:rPr>
          <w:sz w:val="20"/>
        </w:rPr>
        <w:t>will</w:t>
      </w:r>
      <w:r>
        <w:rPr>
          <w:spacing w:val="-10"/>
          <w:sz w:val="20"/>
        </w:rPr>
        <w:t> </w:t>
      </w:r>
      <w:r>
        <w:rPr>
          <w:spacing w:val="-4"/>
          <w:sz w:val="20"/>
        </w:rPr>
        <w:t>improve</w:t>
      </w:r>
      <w:r>
        <w:rPr>
          <w:spacing w:val="-10"/>
          <w:sz w:val="20"/>
        </w:rPr>
        <w:t> </w:t>
      </w:r>
      <w:r>
        <w:rPr>
          <w:sz w:val="20"/>
        </w:rPr>
        <w:t>compliance</w:t>
      </w:r>
      <w:r>
        <w:rPr>
          <w:spacing w:val="-9"/>
          <w:sz w:val="20"/>
        </w:rPr>
        <w:t> </w:t>
      </w:r>
      <w:r>
        <w:rPr>
          <w:sz w:val="20"/>
        </w:rPr>
        <w:t>with</w:t>
      </w:r>
      <w:r>
        <w:rPr>
          <w:spacing w:val="-10"/>
          <w:sz w:val="20"/>
        </w:rPr>
        <w:t> </w:t>
      </w:r>
      <w:r>
        <w:rPr>
          <w:sz w:val="20"/>
        </w:rPr>
        <w:t>the</w:t>
      </w:r>
      <w:r>
        <w:rPr>
          <w:spacing w:val="-10"/>
          <w:sz w:val="20"/>
        </w:rPr>
        <w:t> </w:t>
      </w:r>
      <w:r>
        <w:rPr>
          <w:sz w:val="20"/>
        </w:rPr>
        <w:t>Convention</w:t>
      </w:r>
      <w:r>
        <w:rPr>
          <w:spacing w:val="-10"/>
          <w:sz w:val="20"/>
        </w:rPr>
        <w:t> </w:t>
      </w:r>
      <w:r>
        <w:rPr>
          <w:sz w:val="20"/>
        </w:rPr>
        <w:t>on</w:t>
      </w:r>
      <w:r>
        <w:rPr>
          <w:spacing w:val="-10"/>
          <w:sz w:val="20"/>
        </w:rPr>
        <w:t> </w:t>
      </w:r>
      <w:r>
        <w:rPr>
          <w:sz w:val="20"/>
        </w:rPr>
        <w:t>the</w:t>
      </w:r>
      <w:r>
        <w:rPr>
          <w:spacing w:val="-10"/>
          <w:sz w:val="20"/>
        </w:rPr>
        <w:t> </w:t>
      </w:r>
      <w:r>
        <w:rPr>
          <w:sz w:val="20"/>
        </w:rPr>
        <w:t>Rights</w:t>
      </w:r>
      <w:r>
        <w:rPr>
          <w:spacing w:val="-10"/>
          <w:sz w:val="20"/>
        </w:rPr>
        <w:t> </w:t>
      </w:r>
      <w:r>
        <w:rPr>
          <w:sz w:val="20"/>
        </w:rPr>
        <w:t>of Persons</w:t>
      </w:r>
      <w:r>
        <w:rPr>
          <w:spacing w:val="-13"/>
          <w:sz w:val="20"/>
        </w:rPr>
        <w:t> </w:t>
      </w:r>
      <w:r>
        <w:rPr>
          <w:sz w:val="20"/>
        </w:rPr>
        <w:t>with</w:t>
      </w:r>
      <w:r>
        <w:rPr>
          <w:spacing w:val="-12"/>
          <w:sz w:val="20"/>
        </w:rPr>
        <w:t> </w:t>
      </w:r>
      <w:r>
        <w:rPr>
          <w:sz w:val="20"/>
        </w:rPr>
        <w:t>Disabilities</w:t>
      </w:r>
      <w:r>
        <w:rPr>
          <w:spacing w:val="-12"/>
          <w:sz w:val="20"/>
        </w:rPr>
        <w:t> </w:t>
      </w:r>
      <w:r>
        <w:rPr>
          <w:spacing w:val="-3"/>
          <w:sz w:val="20"/>
        </w:rPr>
        <w:t>(CRPD)</w:t>
      </w:r>
      <w:r>
        <w:rPr>
          <w:spacing w:val="-12"/>
          <w:sz w:val="20"/>
        </w:rPr>
        <w:t> </w:t>
      </w:r>
      <w:r>
        <w:rPr>
          <w:sz w:val="20"/>
        </w:rPr>
        <w:t>in</w:t>
      </w:r>
      <w:r>
        <w:rPr>
          <w:spacing w:val="-12"/>
          <w:sz w:val="20"/>
        </w:rPr>
        <w:t> </w:t>
      </w:r>
      <w:r>
        <w:rPr>
          <w:sz w:val="20"/>
        </w:rPr>
        <w:t>Victoria.</w:t>
      </w:r>
      <w:r>
        <w:rPr>
          <w:position w:val="7"/>
          <w:sz w:val="11"/>
        </w:rPr>
        <w:t>2</w:t>
      </w:r>
      <w:r>
        <w:rPr>
          <w:spacing w:val="13"/>
          <w:position w:val="7"/>
          <w:sz w:val="11"/>
        </w:rPr>
        <w:t> </w:t>
      </w:r>
      <w:r>
        <w:rPr>
          <w:sz w:val="20"/>
        </w:rPr>
        <w:t>Vision</w:t>
      </w:r>
      <w:r>
        <w:rPr>
          <w:spacing w:val="-12"/>
          <w:sz w:val="20"/>
        </w:rPr>
        <w:t> </w:t>
      </w:r>
      <w:r>
        <w:rPr>
          <w:sz w:val="20"/>
        </w:rPr>
        <w:t>Australia</w:t>
      </w:r>
      <w:r>
        <w:rPr>
          <w:spacing w:val="-12"/>
          <w:sz w:val="20"/>
        </w:rPr>
        <w:t> </w:t>
      </w:r>
      <w:r>
        <w:rPr>
          <w:sz w:val="20"/>
        </w:rPr>
        <w:t>highlighted</w:t>
      </w:r>
      <w:r>
        <w:rPr>
          <w:spacing w:val="-12"/>
          <w:sz w:val="20"/>
        </w:rPr>
        <w:t> </w:t>
      </w:r>
      <w:r>
        <w:rPr>
          <w:sz w:val="20"/>
        </w:rPr>
        <w:t>the</w:t>
      </w:r>
      <w:r>
        <w:rPr>
          <w:spacing w:val="-12"/>
          <w:sz w:val="20"/>
        </w:rPr>
        <w:t> </w:t>
      </w:r>
      <w:r>
        <w:rPr>
          <w:sz w:val="20"/>
        </w:rPr>
        <w:t>importance of legislative</w:t>
      </w:r>
      <w:r>
        <w:rPr>
          <w:spacing w:val="-9"/>
          <w:sz w:val="20"/>
        </w:rPr>
        <w:t> </w:t>
      </w:r>
      <w:r>
        <w:rPr>
          <w:spacing w:val="-3"/>
          <w:sz w:val="20"/>
        </w:rPr>
        <w:t>change:</w:t>
      </w:r>
    </w:p>
    <w:p>
      <w:pPr>
        <w:spacing w:line="208" w:lineRule="auto" w:before="125"/>
        <w:ind w:left="2157" w:right="1182" w:firstLine="0"/>
        <w:jc w:val="left"/>
        <w:rPr>
          <w:sz w:val="19"/>
        </w:rPr>
      </w:pPr>
      <w:r>
        <w:rPr>
          <w:sz w:val="19"/>
        </w:rPr>
        <w:t>Experience in Australia and overseas has consistently shown that lasting progress in the promotion and protection of the rights of people with a disability is only achieved when it is required or supported by legislation. In Australia this is clear when reviewing the impact of the </w:t>
      </w:r>
      <w:r>
        <w:rPr>
          <w:i/>
          <w:sz w:val="19"/>
        </w:rPr>
        <w:t>Disability Discrimination Act 1992 </w:t>
      </w:r>
      <w:r>
        <w:rPr>
          <w:sz w:val="19"/>
        </w:rPr>
        <w:t>(the DDA), and the three Disability Standards that have developed under the provisions of the DDA. In the US, the accessible public ICT [Information and Communication Technologies] procurement requirements of the Rehabilitation Act have been pivotal in improving the accessibility</w:t>
      </w:r>
    </w:p>
    <w:p>
      <w:pPr>
        <w:pStyle w:val="BodyText"/>
      </w:pPr>
    </w:p>
    <w:p>
      <w:pPr>
        <w:pStyle w:val="BodyText"/>
        <w:spacing w:before="10"/>
        <w:rPr>
          <w:sz w:val="14"/>
        </w:rPr>
      </w:pPr>
      <w:r>
        <w:rPr/>
        <w:pict>
          <v:line style="position:absolute;mso-position-horizontal-relative:page;mso-position-vertical-relative:paragraph;z-index:6584;mso-wrap-distance-left:0;mso-wrap-distance-right:0" from="79.370102pt,12.672403pt" to="515.905102pt,12.672403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r>
        <w:rPr/>
        <w:pict>
          <v:rect style="position:absolute;margin-left:0pt;margin-top:99.213013pt;width:14.173pt;height:85.748pt;mso-position-horizontal-relative:page;mso-position-vertical-relative:page;z-index:8656" filled="true" fillcolor="#37617a" stroked="false">
            <v:fill type="solid"/>
            <w10:wrap type="none"/>
          </v:rect>
        </w:pict>
      </w:r>
    </w:p>
    <w:p>
      <w:pPr>
        <w:pStyle w:val="BodyText"/>
        <w:rPr>
          <w:sz w:val="22"/>
        </w:rPr>
      </w:pPr>
    </w:p>
    <w:p>
      <w:pPr>
        <w:spacing w:before="0"/>
        <w:ind w:left="100" w:right="0" w:firstLine="0"/>
        <w:jc w:val="left"/>
        <w:rPr>
          <w:b/>
          <w:sz w:val="24"/>
        </w:rPr>
      </w:pPr>
      <w:r>
        <w:rPr>
          <w:b/>
          <w:color w:val="37617A"/>
          <w:sz w:val="24"/>
        </w:rPr>
        <w:t>106</w:t>
      </w:r>
    </w:p>
    <w:p>
      <w:pPr>
        <w:pStyle w:val="ListParagraph"/>
        <w:numPr>
          <w:ilvl w:val="0"/>
          <w:numId w:val="76"/>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76"/>
        </w:numPr>
        <w:tabs>
          <w:tab w:pos="893" w:val="left" w:leader="none"/>
          <w:tab w:pos="894" w:val="left" w:leader="none"/>
        </w:tabs>
        <w:spacing w:line="213" w:lineRule="auto" w:before="7" w:after="0"/>
        <w:ind w:left="893" w:right="1285" w:hanging="793"/>
        <w:jc w:val="left"/>
        <w:rPr>
          <w:sz w:val="13"/>
        </w:rPr>
      </w:pPr>
      <w:r>
        <w:rPr>
          <w:sz w:val="13"/>
        </w:rPr>
        <w:t>Committee on the Rights of Persons with </w:t>
      </w:r>
      <w:r>
        <w:rPr>
          <w:spacing w:val="2"/>
          <w:sz w:val="13"/>
        </w:rPr>
        <w:t>Disabilities, </w:t>
      </w:r>
      <w:r>
        <w:rPr>
          <w:i/>
          <w:sz w:val="13"/>
        </w:rPr>
        <w:t>Views: Communication No 35/2016, </w:t>
      </w:r>
      <w:r>
        <w:rPr>
          <w:sz w:val="13"/>
        </w:rPr>
        <w:t>20th sess, UN Doc CRPD/ C/20/D/35/2016 </w:t>
      </w:r>
      <w:r>
        <w:rPr>
          <w:spacing w:val="2"/>
          <w:sz w:val="13"/>
        </w:rPr>
        <w:t>(31 </w:t>
      </w:r>
      <w:r>
        <w:rPr>
          <w:sz w:val="13"/>
        </w:rPr>
        <w:t>August 2018) [8] (‘</w:t>
      </w:r>
      <w:r>
        <w:rPr>
          <w:i/>
          <w:sz w:val="13"/>
        </w:rPr>
        <w:t>JH v Australia</w:t>
      </w:r>
      <w:r>
        <w:rPr>
          <w:sz w:val="13"/>
        </w:rPr>
        <w:t>’). </w:t>
      </w:r>
      <w:r>
        <w:rPr>
          <w:spacing w:val="2"/>
          <w:sz w:val="13"/>
        </w:rPr>
        <w:t>Identical </w:t>
      </w:r>
      <w:r>
        <w:rPr>
          <w:sz w:val="13"/>
        </w:rPr>
        <w:t>recommendations were made in: Committee on the Rights of Persons with </w:t>
      </w:r>
      <w:r>
        <w:rPr>
          <w:spacing w:val="2"/>
          <w:sz w:val="13"/>
        </w:rPr>
        <w:t>Disabilities, </w:t>
      </w:r>
      <w:r>
        <w:rPr>
          <w:sz w:val="13"/>
        </w:rPr>
        <w:t>Views: </w:t>
      </w:r>
      <w:r>
        <w:rPr>
          <w:i/>
          <w:sz w:val="13"/>
        </w:rPr>
        <w:t>Communication No 13/2013, </w:t>
      </w:r>
      <w:r>
        <w:rPr>
          <w:sz w:val="13"/>
        </w:rPr>
        <w:t>15th sess, UN Doc CRPD/C/15/D/13/2013 </w:t>
      </w:r>
      <w:r>
        <w:rPr>
          <w:spacing w:val="2"/>
          <w:sz w:val="13"/>
        </w:rPr>
        <w:t>(30 </w:t>
      </w:r>
      <w:r>
        <w:rPr>
          <w:sz w:val="13"/>
        </w:rPr>
        <w:t>May 2016) (‘</w:t>
      </w:r>
      <w:r>
        <w:rPr>
          <w:i/>
          <w:sz w:val="13"/>
        </w:rPr>
        <w:t>Lockrey v </w:t>
      </w:r>
      <w:r>
        <w:rPr>
          <w:i/>
          <w:sz w:val="13"/>
        </w:rPr>
        <w:t>Australia</w:t>
      </w:r>
      <w:r>
        <w:rPr>
          <w:sz w:val="13"/>
        </w:rPr>
        <w:t>’); Committee on the Rights of Persons with </w:t>
      </w:r>
      <w:r>
        <w:rPr>
          <w:spacing w:val="2"/>
          <w:sz w:val="13"/>
        </w:rPr>
        <w:t>Disabilities, </w:t>
      </w:r>
      <w:r>
        <w:rPr>
          <w:i/>
          <w:sz w:val="13"/>
        </w:rPr>
        <w:t>Views: Communication No 11/2013, </w:t>
      </w:r>
      <w:r>
        <w:rPr>
          <w:sz w:val="13"/>
        </w:rPr>
        <w:t>15th sess, UN Doc CRPD/ C/15/D/11/2013 (25 May 2016) (‘</w:t>
      </w:r>
      <w:r>
        <w:rPr>
          <w:i/>
          <w:sz w:val="13"/>
        </w:rPr>
        <w:t>Beasley v Australia</w:t>
      </w:r>
      <w:r>
        <w:rPr>
          <w:sz w:val="13"/>
        </w:rPr>
        <w:t>’). See detailed discussion in Chapter</w:t>
      </w:r>
      <w:r>
        <w:rPr>
          <w:spacing w:val="14"/>
          <w:sz w:val="13"/>
        </w:rPr>
        <w:t> </w:t>
      </w:r>
      <w:r>
        <w:rPr>
          <w:sz w:val="13"/>
        </w:rPr>
        <w:t>6.</w:t>
      </w:r>
    </w:p>
    <w:p>
      <w:pPr>
        <w:spacing w:after="0" w:line="213" w:lineRule="auto"/>
        <w:jc w:val="left"/>
        <w:rPr>
          <w:sz w:val="13"/>
        </w:rPr>
        <w:sectPr>
          <w:type w:val="continuous"/>
          <w:pgSz w:w="11910" w:h="16840"/>
          <w:pgMar w:top="620" w:bottom="280" w:left="620" w:right="380"/>
          <w:cols w:num="2" w:equalWidth="0">
            <w:col w:w="549" w:space="319"/>
            <w:col w:w="10042"/>
          </w:cols>
        </w:sectPr>
      </w:pPr>
    </w:p>
    <w:p>
      <w:pPr>
        <w:pStyle w:val="BodyText"/>
      </w:pPr>
    </w:p>
    <w:p>
      <w:pPr>
        <w:pStyle w:val="BodyText"/>
      </w:pPr>
    </w:p>
    <w:p>
      <w:pPr>
        <w:pStyle w:val="BodyText"/>
      </w:pPr>
    </w:p>
    <w:p>
      <w:pPr>
        <w:pStyle w:val="BodyText"/>
        <w:spacing w:before="6"/>
        <w:rPr>
          <w:sz w:val="14"/>
        </w:rPr>
      </w:pPr>
    </w:p>
    <w:p>
      <w:pPr>
        <w:spacing w:line="208" w:lineRule="auto" w:before="88"/>
        <w:ind w:left="2157" w:right="1335" w:firstLine="0"/>
        <w:jc w:val="left"/>
        <w:rPr>
          <w:sz w:val="19"/>
        </w:rPr>
      </w:pPr>
      <w:bookmarkStart w:name="The legislative approach in the Australi" w:id="196"/>
      <w:bookmarkEnd w:id="196"/>
      <w:r>
        <w:rPr/>
      </w:r>
      <w:bookmarkStart w:name="_bookmark77" w:id="197"/>
      <w:bookmarkEnd w:id="197"/>
      <w:r>
        <w:rPr/>
      </w:r>
      <w:r>
        <w:rPr>
          <w:sz w:val="19"/>
        </w:rPr>
        <w:t>of a wide range of technologies and have even been identified as the catalyst for companies such as Netflix to introduce audio description to their content.</w:t>
      </w:r>
    </w:p>
    <w:p>
      <w:pPr>
        <w:spacing w:line="208" w:lineRule="auto" w:before="121"/>
        <w:ind w:left="2157" w:right="1366" w:firstLine="0"/>
        <w:jc w:val="left"/>
        <w:rPr>
          <w:sz w:val="11"/>
        </w:rPr>
      </w:pPr>
      <w:r>
        <w:rPr>
          <w:sz w:val="19"/>
        </w:rPr>
        <w:t>There are some areas where voluntary codes or agreements have helped deliver positive change for people with a disability, but in our view, and having regard to the slow-changing nature of the legal system and the legal profession, jury service for people who are blind or have low vision is not one of these areas.</w:t>
      </w:r>
      <w:r>
        <w:rPr>
          <w:position w:val="6"/>
          <w:sz w:val="11"/>
        </w:rPr>
        <w:t>3</w:t>
      </w:r>
    </w:p>
    <w:p>
      <w:pPr>
        <w:pStyle w:val="ListParagraph"/>
        <w:numPr>
          <w:ilvl w:val="1"/>
          <w:numId w:val="12"/>
        </w:numPr>
        <w:tabs>
          <w:tab w:pos="1761" w:val="left" w:leader="none"/>
          <w:tab w:pos="1762" w:val="left" w:leader="none"/>
        </w:tabs>
        <w:spacing w:line="206" w:lineRule="auto" w:before="125" w:after="0"/>
        <w:ind w:left="1761" w:right="1219" w:hanging="794"/>
        <w:jc w:val="left"/>
        <w:rPr>
          <w:sz w:val="11"/>
        </w:rPr>
      </w:pPr>
      <w:r>
        <w:rPr>
          <w:sz w:val="20"/>
        </w:rPr>
        <w:t>Juries Victoria and the courts operate </w:t>
      </w:r>
      <w:r>
        <w:rPr>
          <w:spacing w:val="-3"/>
          <w:sz w:val="20"/>
        </w:rPr>
        <w:t>separately </w:t>
      </w:r>
      <w:r>
        <w:rPr>
          <w:sz w:val="20"/>
        </w:rPr>
        <w:t>in Victoria. </w:t>
      </w:r>
      <w:r>
        <w:rPr>
          <w:spacing w:val="-3"/>
          <w:sz w:val="20"/>
        </w:rPr>
        <w:t>Therefore, </w:t>
      </w:r>
      <w:r>
        <w:rPr>
          <w:sz w:val="20"/>
        </w:rPr>
        <w:t>legislation needs</w:t>
      </w:r>
      <w:r>
        <w:rPr>
          <w:spacing w:val="-11"/>
          <w:sz w:val="20"/>
        </w:rPr>
        <w:t> </w:t>
      </w:r>
      <w:r>
        <w:rPr>
          <w:sz w:val="20"/>
        </w:rPr>
        <w:t>to</w:t>
      </w:r>
      <w:r>
        <w:rPr>
          <w:spacing w:val="-11"/>
          <w:sz w:val="20"/>
        </w:rPr>
        <w:t> </w:t>
      </w:r>
      <w:r>
        <w:rPr>
          <w:spacing w:val="-3"/>
          <w:sz w:val="20"/>
        </w:rPr>
        <w:t>drive</w:t>
      </w:r>
      <w:r>
        <w:rPr>
          <w:spacing w:val="-11"/>
          <w:sz w:val="20"/>
        </w:rPr>
        <w:t> </w:t>
      </w:r>
      <w:r>
        <w:rPr>
          <w:sz w:val="20"/>
        </w:rPr>
        <w:t>change</w:t>
      </w:r>
      <w:r>
        <w:rPr>
          <w:spacing w:val="-11"/>
          <w:sz w:val="20"/>
        </w:rPr>
        <w:t> </w:t>
      </w:r>
      <w:r>
        <w:rPr>
          <w:sz w:val="20"/>
        </w:rPr>
        <w:t>to</w:t>
      </w:r>
      <w:r>
        <w:rPr>
          <w:spacing w:val="-11"/>
          <w:sz w:val="20"/>
        </w:rPr>
        <w:t> </w:t>
      </w:r>
      <w:r>
        <w:rPr>
          <w:sz w:val="20"/>
        </w:rPr>
        <w:t>ensure</w:t>
      </w:r>
      <w:r>
        <w:rPr>
          <w:spacing w:val="-11"/>
          <w:sz w:val="20"/>
        </w:rPr>
        <w:t> </w:t>
      </w:r>
      <w:r>
        <w:rPr>
          <w:sz w:val="20"/>
        </w:rPr>
        <w:t>a</w:t>
      </w:r>
      <w:r>
        <w:rPr>
          <w:spacing w:val="-10"/>
          <w:sz w:val="20"/>
        </w:rPr>
        <w:t> </w:t>
      </w:r>
      <w:r>
        <w:rPr>
          <w:sz w:val="20"/>
        </w:rPr>
        <w:t>coordinated</w:t>
      </w:r>
      <w:r>
        <w:rPr>
          <w:spacing w:val="-11"/>
          <w:sz w:val="20"/>
        </w:rPr>
        <w:t> </w:t>
      </w:r>
      <w:r>
        <w:rPr>
          <w:sz w:val="20"/>
        </w:rPr>
        <w:t>response.</w:t>
      </w:r>
      <w:r>
        <w:rPr>
          <w:spacing w:val="-11"/>
          <w:sz w:val="20"/>
        </w:rPr>
        <w:t> </w:t>
      </w:r>
      <w:r>
        <w:rPr>
          <w:sz w:val="20"/>
        </w:rPr>
        <w:t>The</w:t>
      </w:r>
      <w:r>
        <w:rPr>
          <w:spacing w:val="-11"/>
          <w:sz w:val="20"/>
        </w:rPr>
        <w:t> </w:t>
      </w:r>
      <w:r>
        <w:rPr>
          <w:sz w:val="20"/>
        </w:rPr>
        <w:t>County</w:t>
      </w:r>
      <w:r>
        <w:rPr>
          <w:spacing w:val="-11"/>
          <w:sz w:val="20"/>
        </w:rPr>
        <w:t> </w:t>
      </w:r>
      <w:r>
        <w:rPr>
          <w:sz w:val="20"/>
        </w:rPr>
        <w:t>Court</w:t>
      </w:r>
      <w:r>
        <w:rPr>
          <w:spacing w:val="-11"/>
          <w:sz w:val="20"/>
        </w:rPr>
        <w:t> </w:t>
      </w:r>
      <w:r>
        <w:rPr>
          <w:sz w:val="20"/>
        </w:rPr>
        <w:t>submission acknowledged that </w:t>
      </w:r>
      <w:r>
        <w:rPr>
          <w:spacing w:val="-3"/>
          <w:sz w:val="20"/>
        </w:rPr>
        <w:t>reform </w:t>
      </w:r>
      <w:r>
        <w:rPr>
          <w:sz w:val="20"/>
        </w:rPr>
        <w:t>will </w:t>
      </w:r>
      <w:r>
        <w:rPr>
          <w:spacing w:val="-3"/>
          <w:sz w:val="20"/>
        </w:rPr>
        <w:t>‘require </w:t>
      </w:r>
      <w:r>
        <w:rPr>
          <w:sz w:val="20"/>
        </w:rPr>
        <w:t>extensive cooperation between Juries Victoria and the courts’.</w:t>
      </w:r>
      <w:r>
        <w:rPr>
          <w:position w:val="7"/>
          <w:sz w:val="11"/>
        </w:rPr>
        <w:t>4 </w:t>
      </w:r>
      <w:r>
        <w:rPr>
          <w:sz w:val="20"/>
        </w:rPr>
        <w:t>Participants in our consultation with Deaf Victoria pointed out that it will also be important for the courts and Juries Victoria to </w:t>
      </w:r>
      <w:r>
        <w:rPr>
          <w:spacing w:val="-3"/>
          <w:sz w:val="20"/>
        </w:rPr>
        <w:t>develop </w:t>
      </w:r>
      <w:r>
        <w:rPr>
          <w:spacing w:val="-4"/>
          <w:sz w:val="20"/>
        </w:rPr>
        <w:t>‘a </w:t>
      </w:r>
      <w:r>
        <w:rPr>
          <w:sz w:val="20"/>
        </w:rPr>
        <w:t>good partnership with service </w:t>
      </w:r>
      <w:r>
        <w:rPr>
          <w:spacing w:val="-3"/>
          <w:sz w:val="20"/>
        </w:rPr>
        <w:t>providers’ </w:t>
      </w:r>
      <w:r>
        <w:rPr>
          <w:sz w:val="20"/>
        </w:rPr>
        <w:t>to deliver</w:t>
      </w:r>
      <w:r>
        <w:rPr>
          <w:spacing w:val="-19"/>
          <w:sz w:val="20"/>
        </w:rPr>
        <w:t> </w:t>
      </w:r>
      <w:r>
        <w:rPr>
          <w:sz w:val="20"/>
        </w:rPr>
        <w:t>reforms.</w:t>
      </w:r>
      <w:r>
        <w:rPr>
          <w:position w:val="7"/>
          <w:sz w:val="11"/>
        </w:rPr>
        <w:t>5</w:t>
      </w:r>
    </w:p>
    <w:p>
      <w:pPr>
        <w:pStyle w:val="ListParagraph"/>
        <w:numPr>
          <w:ilvl w:val="1"/>
          <w:numId w:val="12"/>
        </w:numPr>
        <w:tabs>
          <w:tab w:pos="1761" w:val="left" w:leader="none"/>
          <w:tab w:pos="1762" w:val="left" w:leader="none"/>
        </w:tabs>
        <w:spacing w:line="240" w:lineRule="auto" w:before="95" w:after="0"/>
        <w:ind w:left="1761" w:right="0" w:hanging="794"/>
        <w:jc w:val="left"/>
        <w:rPr>
          <w:sz w:val="20"/>
        </w:rPr>
      </w:pPr>
      <w:r>
        <w:rPr>
          <w:sz w:val="20"/>
        </w:rPr>
        <w:t>Legislative change</w:t>
      </w:r>
      <w:r>
        <w:rPr>
          <w:spacing w:val="-9"/>
          <w:sz w:val="20"/>
        </w:rPr>
        <w:t> </w:t>
      </w:r>
      <w:r>
        <w:rPr>
          <w:sz w:val="20"/>
        </w:rPr>
        <w:t>will:</w:t>
      </w:r>
    </w:p>
    <w:p>
      <w:pPr>
        <w:pStyle w:val="ListParagraph"/>
        <w:numPr>
          <w:ilvl w:val="2"/>
          <w:numId w:val="12"/>
        </w:numPr>
        <w:tabs>
          <w:tab w:pos="2157" w:val="left" w:leader="none"/>
          <w:tab w:pos="2158" w:val="left" w:leader="none"/>
        </w:tabs>
        <w:spacing w:line="206" w:lineRule="auto" w:before="115" w:after="0"/>
        <w:ind w:left="2157" w:right="1318" w:hanging="396"/>
        <w:jc w:val="left"/>
        <w:rPr>
          <w:sz w:val="20"/>
        </w:rPr>
      </w:pPr>
      <w:r>
        <w:rPr>
          <w:sz w:val="20"/>
        </w:rPr>
        <w:t>ensure</w:t>
      </w:r>
      <w:r>
        <w:rPr>
          <w:spacing w:val="-12"/>
          <w:sz w:val="20"/>
        </w:rPr>
        <w:t> </w:t>
      </w:r>
      <w:r>
        <w:rPr>
          <w:sz w:val="20"/>
        </w:rPr>
        <w:t>that</w:t>
      </w:r>
      <w:r>
        <w:rPr>
          <w:spacing w:val="-11"/>
          <w:sz w:val="20"/>
        </w:rPr>
        <w:t> </w:t>
      </w:r>
      <w:r>
        <w:rPr>
          <w:sz w:val="20"/>
        </w:rPr>
        <w:t>people</w:t>
      </w:r>
      <w:r>
        <w:rPr>
          <w:spacing w:val="-12"/>
          <w:sz w:val="20"/>
        </w:rPr>
        <w:t> </w:t>
      </w:r>
      <w:r>
        <w:rPr>
          <w:sz w:val="20"/>
        </w:rPr>
        <w:t>in</w:t>
      </w:r>
      <w:r>
        <w:rPr>
          <w:spacing w:val="-11"/>
          <w:sz w:val="20"/>
        </w:rPr>
        <w:t> </w:t>
      </w:r>
      <w:r>
        <w:rPr>
          <w:sz w:val="20"/>
        </w:rPr>
        <w:t>the</w:t>
      </w:r>
      <w:r>
        <w:rPr>
          <w:spacing w:val="-11"/>
          <w:sz w:val="20"/>
        </w:rPr>
        <w:t> </w:t>
      </w:r>
      <w:r>
        <w:rPr>
          <w:sz w:val="20"/>
        </w:rPr>
        <w:t>subject</w:t>
      </w:r>
      <w:r>
        <w:rPr>
          <w:spacing w:val="-12"/>
          <w:sz w:val="20"/>
        </w:rPr>
        <w:t> </w:t>
      </w:r>
      <w:r>
        <w:rPr>
          <w:sz w:val="20"/>
        </w:rPr>
        <w:t>groups</w:t>
      </w:r>
      <w:r>
        <w:rPr>
          <w:spacing w:val="-11"/>
          <w:sz w:val="20"/>
        </w:rPr>
        <w:t> </w:t>
      </w:r>
      <w:r>
        <w:rPr>
          <w:spacing w:val="-4"/>
          <w:sz w:val="20"/>
        </w:rPr>
        <w:t>have</w:t>
      </w:r>
      <w:r>
        <w:rPr>
          <w:spacing w:val="-11"/>
          <w:sz w:val="20"/>
        </w:rPr>
        <w:t> </w:t>
      </w:r>
      <w:r>
        <w:rPr>
          <w:sz w:val="20"/>
        </w:rPr>
        <w:t>the</w:t>
      </w:r>
      <w:r>
        <w:rPr>
          <w:spacing w:val="-12"/>
          <w:sz w:val="20"/>
        </w:rPr>
        <w:t> </w:t>
      </w:r>
      <w:r>
        <w:rPr>
          <w:sz w:val="20"/>
        </w:rPr>
        <w:t>same</w:t>
      </w:r>
      <w:r>
        <w:rPr>
          <w:spacing w:val="-11"/>
          <w:sz w:val="20"/>
        </w:rPr>
        <w:t> </w:t>
      </w:r>
      <w:r>
        <w:rPr>
          <w:sz w:val="20"/>
        </w:rPr>
        <w:t>opportunity</w:t>
      </w:r>
      <w:r>
        <w:rPr>
          <w:spacing w:val="-11"/>
          <w:sz w:val="20"/>
        </w:rPr>
        <w:t> </w:t>
      </w:r>
      <w:r>
        <w:rPr>
          <w:sz w:val="20"/>
        </w:rPr>
        <w:t>to</w:t>
      </w:r>
      <w:r>
        <w:rPr>
          <w:spacing w:val="-12"/>
          <w:sz w:val="20"/>
        </w:rPr>
        <w:t> </w:t>
      </w:r>
      <w:r>
        <w:rPr>
          <w:sz w:val="20"/>
        </w:rPr>
        <w:t>participate on Victorian juries as others in our</w:t>
      </w:r>
      <w:r>
        <w:rPr>
          <w:spacing w:val="-33"/>
          <w:sz w:val="20"/>
        </w:rPr>
        <w:t> </w:t>
      </w:r>
      <w:r>
        <w:rPr>
          <w:sz w:val="20"/>
        </w:rPr>
        <w:t>community</w:t>
      </w:r>
    </w:p>
    <w:p>
      <w:pPr>
        <w:pStyle w:val="ListParagraph"/>
        <w:numPr>
          <w:ilvl w:val="2"/>
          <w:numId w:val="12"/>
        </w:numPr>
        <w:tabs>
          <w:tab w:pos="2157" w:val="left" w:leader="none"/>
          <w:tab w:pos="2158" w:val="left" w:leader="none"/>
        </w:tabs>
        <w:spacing w:line="206" w:lineRule="auto" w:before="87" w:after="0"/>
        <w:ind w:left="2157" w:right="1378" w:hanging="396"/>
        <w:jc w:val="left"/>
        <w:rPr>
          <w:sz w:val="20"/>
        </w:rPr>
      </w:pPr>
      <w:r>
        <w:rPr>
          <w:spacing w:val="-3"/>
          <w:sz w:val="20"/>
        </w:rPr>
        <w:t>elevate</w:t>
      </w:r>
      <w:r>
        <w:rPr>
          <w:spacing w:val="-12"/>
          <w:sz w:val="20"/>
        </w:rPr>
        <w:t> </w:t>
      </w:r>
      <w:r>
        <w:rPr>
          <w:sz w:val="20"/>
        </w:rPr>
        <w:t>the</w:t>
      </w:r>
      <w:r>
        <w:rPr>
          <w:spacing w:val="-11"/>
          <w:sz w:val="20"/>
        </w:rPr>
        <w:t> </w:t>
      </w:r>
      <w:r>
        <w:rPr>
          <w:sz w:val="20"/>
        </w:rPr>
        <w:t>rights</w:t>
      </w:r>
      <w:r>
        <w:rPr>
          <w:spacing w:val="-12"/>
          <w:sz w:val="20"/>
        </w:rPr>
        <w:t> </w:t>
      </w:r>
      <w:r>
        <w:rPr>
          <w:sz w:val="20"/>
        </w:rPr>
        <w:t>of</w:t>
      </w:r>
      <w:r>
        <w:rPr>
          <w:spacing w:val="-11"/>
          <w:sz w:val="20"/>
        </w:rPr>
        <w:t> </w:t>
      </w:r>
      <w:r>
        <w:rPr>
          <w:sz w:val="20"/>
        </w:rPr>
        <w:t>those</w:t>
      </w:r>
      <w:r>
        <w:rPr>
          <w:spacing w:val="-12"/>
          <w:sz w:val="20"/>
        </w:rPr>
        <w:t> </w:t>
      </w:r>
      <w:r>
        <w:rPr>
          <w:sz w:val="20"/>
        </w:rPr>
        <w:t>in</w:t>
      </w:r>
      <w:r>
        <w:rPr>
          <w:spacing w:val="-11"/>
          <w:sz w:val="20"/>
        </w:rPr>
        <w:t> </w:t>
      </w:r>
      <w:r>
        <w:rPr>
          <w:sz w:val="20"/>
        </w:rPr>
        <w:t>the</w:t>
      </w:r>
      <w:r>
        <w:rPr>
          <w:spacing w:val="-12"/>
          <w:sz w:val="20"/>
        </w:rPr>
        <w:t> </w:t>
      </w:r>
      <w:r>
        <w:rPr>
          <w:sz w:val="20"/>
        </w:rPr>
        <w:t>subject</w:t>
      </w:r>
      <w:r>
        <w:rPr>
          <w:spacing w:val="-11"/>
          <w:sz w:val="20"/>
        </w:rPr>
        <w:t> </w:t>
      </w:r>
      <w:r>
        <w:rPr>
          <w:sz w:val="20"/>
        </w:rPr>
        <w:t>groups</w:t>
      </w:r>
      <w:r>
        <w:rPr>
          <w:spacing w:val="-12"/>
          <w:sz w:val="20"/>
        </w:rPr>
        <w:t> </w:t>
      </w:r>
      <w:r>
        <w:rPr>
          <w:sz w:val="20"/>
        </w:rPr>
        <w:t>and</w:t>
      </w:r>
      <w:r>
        <w:rPr>
          <w:spacing w:val="-11"/>
          <w:sz w:val="20"/>
        </w:rPr>
        <w:t> </w:t>
      </w:r>
      <w:r>
        <w:rPr>
          <w:sz w:val="20"/>
        </w:rPr>
        <w:t>articulate</w:t>
      </w:r>
      <w:r>
        <w:rPr>
          <w:spacing w:val="-12"/>
          <w:sz w:val="20"/>
        </w:rPr>
        <w:t> </w:t>
      </w:r>
      <w:r>
        <w:rPr>
          <w:sz w:val="20"/>
        </w:rPr>
        <w:t>the</w:t>
      </w:r>
      <w:r>
        <w:rPr>
          <w:spacing w:val="-11"/>
          <w:sz w:val="20"/>
        </w:rPr>
        <w:t> </w:t>
      </w:r>
      <w:r>
        <w:rPr>
          <w:sz w:val="20"/>
        </w:rPr>
        <w:t>responsibilities of </w:t>
      </w:r>
      <w:r>
        <w:rPr>
          <w:spacing w:val="-3"/>
          <w:sz w:val="20"/>
        </w:rPr>
        <w:t>interpreters </w:t>
      </w:r>
      <w:r>
        <w:rPr>
          <w:sz w:val="20"/>
        </w:rPr>
        <w:t>and support</w:t>
      </w:r>
      <w:r>
        <w:rPr>
          <w:spacing w:val="-14"/>
          <w:sz w:val="20"/>
        </w:rPr>
        <w:t> </w:t>
      </w:r>
      <w:r>
        <w:rPr>
          <w:sz w:val="20"/>
        </w:rPr>
        <w:t>persons</w:t>
      </w:r>
    </w:p>
    <w:p>
      <w:pPr>
        <w:pStyle w:val="ListParagraph"/>
        <w:numPr>
          <w:ilvl w:val="2"/>
          <w:numId w:val="12"/>
        </w:numPr>
        <w:tabs>
          <w:tab w:pos="2157" w:val="left" w:leader="none"/>
          <w:tab w:pos="2158" w:val="left" w:leader="none"/>
        </w:tabs>
        <w:spacing w:line="206" w:lineRule="auto" w:before="88" w:after="0"/>
        <w:ind w:left="2157" w:right="1405" w:hanging="396"/>
        <w:jc w:val="left"/>
        <w:rPr>
          <w:sz w:val="20"/>
        </w:rPr>
      </w:pPr>
      <w:r>
        <w:rPr>
          <w:sz w:val="20"/>
        </w:rPr>
        <w:t>help</w:t>
      </w:r>
      <w:r>
        <w:rPr>
          <w:spacing w:val="-8"/>
          <w:sz w:val="20"/>
        </w:rPr>
        <w:t> </w:t>
      </w:r>
      <w:r>
        <w:rPr>
          <w:sz w:val="20"/>
        </w:rPr>
        <w:t>to</w:t>
      </w:r>
      <w:r>
        <w:rPr>
          <w:spacing w:val="-7"/>
          <w:sz w:val="20"/>
        </w:rPr>
        <w:t> </w:t>
      </w:r>
      <w:r>
        <w:rPr>
          <w:sz w:val="20"/>
        </w:rPr>
        <w:t>allay</w:t>
      </w:r>
      <w:r>
        <w:rPr>
          <w:spacing w:val="-8"/>
          <w:sz w:val="20"/>
        </w:rPr>
        <w:t> </w:t>
      </w:r>
      <w:r>
        <w:rPr>
          <w:sz w:val="20"/>
        </w:rPr>
        <w:t>the</w:t>
      </w:r>
      <w:r>
        <w:rPr>
          <w:spacing w:val="-7"/>
          <w:sz w:val="20"/>
        </w:rPr>
        <w:t> </w:t>
      </w:r>
      <w:r>
        <w:rPr>
          <w:sz w:val="20"/>
        </w:rPr>
        <w:t>legal</w:t>
      </w:r>
      <w:r>
        <w:rPr>
          <w:spacing w:val="-7"/>
          <w:sz w:val="20"/>
        </w:rPr>
        <w:t> </w:t>
      </w:r>
      <w:r>
        <w:rPr>
          <w:spacing w:val="-3"/>
          <w:sz w:val="20"/>
        </w:rPr>
        <w:t>profession’s</w:t>
      </w:r>
      <w:r>
        <w:rPr>
          <w:spacing w:val="-8"/>
          <w:sz w:val="20"/>
        </w:rPr>
        <w:t> </w:t>
      </w:r>
      <w:r>
        <w:rPr>
          <w:sz w:val="20"/>
        </w:rPr>
        <w:t>concerns</w:t>
      </w:r>
      <w:r>
        <w:rPr>
          <w:spacing w:val="-7"/>
          <w:sz w:val="20"/>
        </w:rPr>
        <w:t> </w:t>
      </w:r>
      <w:r>
        <w:rPr>
          <w:spacing w:val="-3"/>
          <w:sz w:val="20"/>
        </w:rPr>
        <w:t>by</w:t>
      </w:r>
      <w:r>
        <w:rPr>
          <w:spacing w:val="-8"/>
          <w:sz w:val="20"/>
        </w:rPr>
        <w:t> </w:t>
      </w:r>
      <w:r>
        <w:rPr>
          <w:spacing w:val="-3"/>
          <w:sz w:val="20"/>
        </w:rPr>
        <w:t>providing</w:t>
      </w:r>
      <w:r>
        <w:rPr>
          <w:spacing w:val="-7"/>
          <w:sz w:val="20"/>
        </w:rPr>
        <w:t> </w:t>
      </w:r>
      <w:r>
        <w:rPr>
          <w:sz w:val="20"/>
        </w:rPr>
        <w:t>a</w:t>
      </w:r>
      <w:r>
        <w:rPr>
          <w:spacing w:val="-7"/>
          <w:sz w:val="20"/>
        </w:rPr>
        <w:t> </w:t>
      </w:r>
      <w:r>
        <w:rPr>
          <w:sz w:val="20"/>
        </w:rPr>
        <w:t>clear</w:t>
      </w:r>
      <w:r>
        <w:rPr>
          <w:spacing w:val="-8"/>
          <w:sz w:val="20"/>
        </w:rPr>
        <w:t> </w:t>
      </w:r>
      <w:r>
        <w:rPr>
          <w:sz w:val="20"/>
        </w:rPr>
        <w:t>legal</w:t>
      </w:r>
      <w:r>
        <w:rPr>
          <w:spacing w:val="-7"/>
          <w:sz w:val="20"/>
        </w:rPr>
        <w:t> </w:t>
      </w:r>
      <w:r>
        <w:rPr>
          <w:spacing w:val="-3"/>
          <w:sz w:val="20"/>
        </w:rPr>
        <w:t>framework </w:t>
      </w:r>
      <w:r>
        <w:rPr>
          <w:sz w:val="20"/>
        </w:rPr>
        <w:t>for</w:t>
      </w:r>
      <w:r>
        <w:rPr>
          <w:spacing w:val="-5"/>
          <w:sz w:val="20"/>
        </w:rPr>
        <w:t> </w:t>
      </w:r>
      <w:r>
        <w:rPr>
          <w:sz w:val="20"/>
        </w:rPr>
        <w:t>change</w:t>
      </w:r>
    </w:p>
    <w:p>
      <w:pPr>
        <w:pStyle w:val="ListParagraph"/>
        <w:numPr>
          <w:ilvl w:val="2"/>
          <w:numId w:val="12"/>
        </w:numPr>
        <w:tabs>
          <w:tab w:pos="2157" w:val="left" w:leader="none"/>
          <w:tab w:pos="2158" w:val="left" w:leader="none"/>
        </w:tabs>
        <w:spacing w:line="206" w:lineRule="auto" w:before="88" w:after="0"/>
        <w:ind w:left="2157" w:right="1505" w:hanging="396"/>
        <w:jc w:val="left"/>
        <w:rPr>
          <w:sz w:val="20"/>
        </w:rPr>
      </w:pPr>
      <w:r>
        <w:rPr>
          <w:spacing w:val="-3"/>
          <w:sz w:val="20"/>
        </w:rPr>
        <w:t>provide</w:t>
      </w:r>
      <w:r>
        <w:rPr>
          <w:spacing w:val="-9"/>
          <w:sz w:val="20"/>
        </w:rPr>
        <w:t> </w:t>
      </w:r>
      <w:r>
        <w:rPr>
          <w:sz w:val="20"/>
        </w:rPr>
        <w:t>a</w:t>
      </w:r>
      <w:r>
        <w:rPr>
          <w:spacing w:val="-9"/>
          <w:sz w:val="20"/>
        </w:rPr>
        <w:t> </w:t>
      </w:r>
      <w:r>
        <w:rPr>
          <w:sz w:val="20"/>
        </w:rPr>
        <w:t>trigger</w:t>
      </w:r>
      <w:r>
        <w:rPr>
          <w:spacing w:val="-9"/>
          <w:sz w:val="20"/>
        </w:rPr>
        <w:t> </w:t>
      </w:r>
      <w:r>
        <w:rPr>
          <w:sz w:val="20"/>
        </w:rPr>
        <w:t>for</w:t>
      </w:r>
      <w:r>
        <w:rPr>
          <w:spacing w:val="-9"/>
          <w:sz w:val="20"/>
        </w:rPr>
        <w:t> </w:t>
      </w:r>
      <w:r>
        <w:rPr>
          <w:sz w:val="20"/>
        </w:rPr>
        <w:t>disability</w:t>
      </w:r>
      <w:r>
        <w:rPr>
          <w:spacing w:val="-9"/>
          <w:sz w:val="20"/>
        </w:rPr>
        <w:t> </w:t>
      </w:r>
      <w:r>
        <w:rPr>
          <w:spacing w:val="-3"/>
          <w:sz w:val="20"/>
        </w:rPr>
        <w:t>awareness</w:t>
      </w:r>
      <w:r>
        <w:rPr>
          <w:spacing w:val="-9"/>
          <w:sz w:val="20"/>
        </w:rPr>
        <w:t> </w:t>
      </w:r>
      <w:r>
        <w:rPr>
          <w:sz w:val="20"/>
        </w:rPr>
        <w:t>and</w:t>
      </w:r>
      <w:r>
        <w:rPr>
          <w:spacing w:val="-9"/>
          <w:sz w:val="20"/>
        </w:rPr>
        <w:t> </w:t>
      </w:r>
      <w:r>
        <w:rPr>
          <w:sz w:val="20"/>
        </w:rPr>
        <w:t>professional</w:t>
      </w:r>
      <w:r>
        <w:rPr>
          <w:spacing w:val="-9"/>
          <w:sz w:val="20"/>
        </w:rPr>
        <w:t> </w:t>
      </w:r>
      <w:r>
        <w:rPr>
          <w:spacing w:val="-3"/>
          <w:sz w:val="20"/>
        </w:rPr>
        <w:t>development</w:t>
      </w:r>
      <w:r>
        <w:rPr>
          <w:spacing w:val="-9"/>
          <w:sz w:val="20"/>
        </w:rPr>
        <w:t> </w:t>
      </w:r>
      <w:r>
        <w:rPr>
          <w:sz w:val="20"/>
        </w:rPr>
        <w:t>training about</w:t>
      </w:r>
      <w:r>
        <w:rPr>
          <w:spacing w:val="-5"/>
          <w:sz w:val="20"/>
        </w:rPr>
        <w:t> </w:t>
      </w:r>
      <w:r>
        <w:rPr>
          <w:sz w:val="20"/>
        </w:rPr>
        <w:t>adjustments.</w:t>
      </w:r>
    </w:p>
    <w:p>
      <w:pPr>
        <w:pStyle w:val="BodyText"/>
        <w:spacing w:before="3"/>
        <w:rPr>
          <w:sz w:val="19"/>
        </w:rPr>
      </w:pPr>
    </w:p>
    <w:p>
      <w:pPr>
        <w:spacing w:line="184" w:lineRule="auto" w:before="0"/>
        <w:ind w:left="967" w:right="1369" w:firstLine="0"/>
        <w:jc w:val="left"/>
        <w:rPr>
          <w:rFonts w:ascii="Raleway ExtraBold"/>
          <w:b/>
          <w:sz w:val="28"/>
        </w:rPr>
      </w:pPr>
      <w:r>
        <w:rPr>
          <w:rFonts w:ascii="Raleway ExtraBold"/>
          <w:b/>
          <w:color w:val="37617A"/>
          <w:sz w:val="28"/>
        </w:rPr>
        <w:t>The legislative approach in the Australian Capital Territory and England and Wales</w:t>
      </w:r>
    </w:p>
    <w:p>
      <w:pPr>
        <w:spacing w:before="200"/>
        <w:ind w:left="967" w:right="0" w:firstLine="0"/>
        <w:jc w:val="left"/>
        <w:rPr>
          <w:b/>
          <w:sz w:val="24"/>
        </w:rPr>
      </w:pPr>
      <w:r>
        <w:rPr>
          <w:b/>
          <w:sz w:val="24"/>
        </w:rPr>
        <w:t>Australian Capital Territory</w:t>
      </w:r>
    </w:p>
    <w:p>
      <w:pPr>
        <w:pStyle w:val="ListParagraph"/>
        <w:numPr>
          <w:ilvl w:val="1"/>
          <w:numId w:val="12"/>
        </w:numPr>
        <w:tabs>
          <w:tab w:pos="1761" w:val="left" w:leader="none"/>
          <w:tab w:pos="1762" w:val="left" w:leader="none"/>
        </w:tabs>
        <w:spacing w:line="206" w:lineRule="auto" w:before="127" w:after="0"/>
        <w:ind w:left="1761" w:right="1556" w:hanging="794"/>
        <w:jc w:val="left"/>
        <w:rPr>
          <w:sz w:val="20"/>
        </w:rPr>
      </w:pPr>
      <w:r>
        <w:rPr>
          <w:sz w:val="20"/>
        </w:rPr>
        <w:t>In </w:t>
      </w:r>
      <w:r>
        <w:rPr>
          <w:spacing w:val="-2"/>
          <w:sz w:val="20"/>
        </w:rPr>
        <w:t>Chapter </w:t>
      </w:r>
      <w:r>
        <w:rPr>
          <w:spacing w:val="-3"/>
          <w:sz w:val="20"/>
        </w:rPr>
        <w:t>10 we </w:t>
      </w:r>
      <w:r>
        <w:rPr>
          <w:sz w:val="20"/>
        </w:rPr>
        <w:t>identified that the Australian Capital </w:t>
      </w:r>
      <w:r>
        <w:rPr>
          <w:spacing w:val="-3"/>
          <w:sz w:val="20"/>
        </w:rPr>
        <w:t>Territory </w:t>
      </w:r>
      <w:r>
        <w:rPr>
          <w:sz w:val="20"/>
        </w:rPr>
        <w:t>(ACT) has a new legislative</w:t>
      </w:r>
      <w:r>
        <w:rPr>
          <w:spacing w:val="-13"/>
          <w:sz w:val="20"/>
        </w:rPr>
        <w:t> </w:t>
      </w:r>
      <w:r>
        <w:rPr>
          <w:sz w:val="20"/>
        </w:rPr>
        <w:t>obligation</w:t>
      </w:r>
      <w:r>
        <w:rPr>
          <w:spacing w:val="-12"/>
          <w:sz w:val="20"/>
        </w:rPr>
        <w:t> </w:t>
      </w:r>
      <w:r>
        <w:rPr>
          <w:sz w:val="20"/>
        </w:rPr>
        <w:t>regarding</w:t>
      </w:r>
      <w:r>
        <w:rPr>
          <w:spacing w:val="-12"/>
          <w:sz w:val="20"/>
        </w:rPr>
        <w:t> </w:t>
      </w:r>
      <w:r>
        <w:rPr>
          <w:sz w:val="20"/>
        </w:rPr>
        <w:t>the</w:t>
      </w:r>
      <w:r>
        <w:rPr>
          <w:spacing w:val="-13"/>
          <w:sz w:val="20"/>
        </w:rPr>
        <w:t> </w:t>
      </w:r>
      <w:r>
        <w:rPr>
          <w:spacing w:val="-3"/>
          <w:sz w:val="20"/>
        </w:rPr>
        <w:t>provision</w:t>
      </w:r>
      <w:r>
        <w:rPr>
          <w:spacing w:val="-12"/>
          <w:sz w:val="20"/>
        </w:rPr>
        <w:t> </w:t>
      </w:r>
      <w:r>
        <w:rPr>
          <w:sz w:val="20"/>
        </w:rPr>
        <w:t>of</w:t>
      </w:r>
      <w:r>
        <w:rPr>
          <w:spacing w:val="-12"/>
          <w:sz w:val="20"/>
        </w:rPr>
        <w:t> </w:t>
      </w:r>
      <w:r>
        <w:rPr>
          <w:sz w:val="20"/>
        </w:rPr>
        <w:t>reasonable</w:t>
      </w:r>
      <w:r>
        <w:rPr>
          <w:spacing w:val="-13"/>
          <w:sz w:val="20"/>
        </w:rPr>
        <w:t> </w:t>
      </w:r>
      <w:r>
        <w:rPr>
          <w:sz w:val="20"/>
        </w:rPr>
        <w:t>supports.</w:t>
      </w:r>
      <w:r>
        <w:rPr>
          <w:spacing w:val="-12"/>
          <w:sz w:val="20"/>
        </w:rPr>
        <w:t> </w:t>
      </w:r>
      <w:r>
        <w:rPr>
          <w:spacing w:val="-6"/>
          <w:sz w:val="20"/>
        </w:rPr>
        <w:t>We</w:t>
      </w:r>
      <w:r>
        <w:rPr>
          <w:spacing w:val="-12"/>
          <w:sz w:val="20"/>
        </w:rPr>
        <w:t> </w:t>
      </w:r>
      <w:r>
        <w:rPr>
          <w:sz w:val="20"/>
        </w:rPr>
        <w:t>noted</w:t>
      </w:r>
      <w:r>
        <w:rPr>
          <w:spacing w:val="-12"/>
          <w:sz w:val="20"/>
        </w:rPr>
        <w:t> </w:t>
      </w:r>
      <w:r>
        <w:rPr>
          <w:sz w:val="20"/>
        </w:rPr>
        <w:t>that those</w:t>
      </w:r>
      <w:r>
        <w:rPr>
          <w:spacing w:val="-10"/>
          <w:sz w:val="20"/>
        </w:rPr>
        <w:t> </w:t>
      </w:r>
      <w:r>
        <w:rPr>
          <w:sz w:val="20"/>
        </w:rPr>
        <w:t>changes</w:t>
      </w:r>
      <w:r>
        <w:rPr>
          <w:spacing w:val="-10"/>
          <w:sz w:val="20"/>
        </w:rPr>
        <w:t> </w:t>
      </w:r>
      <w:r>
        <w:rPr>
          <w:spacing w:val="-3"/>
          <w:sz w:val="20"/>
        </w:rPr>
        <w:t>apply</w:t>
      </w:r>
      <w:r>
        <w:rPr>
          <w:spacing w:val="-10"/>
          <w:sz w:val="20"/>
        </w:rPr>
        <w:t> </w:t>
      </w:r>
      <w:r>
        <w:rPr>
          <w:sz w:val="20"/>
        </w:rPr>
        <w:t>to</w:t>
      </w:r>
      <w:r>
        <w:rPr>
          <w:spacing w:val="-10"/>
          <w:sz w:val="20"/>
        </w:rPr>
        <w:t> </w:t>
      </w:r>
      <w:r>
        <w:rPr>
          <w:sz w:val="20"/>
        </w:rPr>
        <w:t>a</w:t>
      </w:r>
      <w:r>
        <w:rPr>
          <w:spacing w:val="-10"/>
          <w:sz w:val="20"/>
        </w:rPr>
        <w:t> </w:t>
      </w:r>
      <w:r>
        <w:rPr>
          <w:sz w:val="20"/>
        </w:rPr>
        <w:t>broader</w:t>
      </w:r>
      <w:r>
        <w:rPr>
          <w:spacing w:val="-10"/>
          <w:sz w:val="20"/>
        </w:rPr>
        <w:t> </w:t>
      </w:r>
      <w:r>
        <w:rPr>
          <w:sz w:val="20"/>
        </w:rPr>
        <w:t>group</w:t>
      </w:r>
      <w:r>
        <w:rPr>
          <w:spacing w:val="-10"/>
          <w:sz w:val="20"/>
        </w:rPr>
        <w:t> </w:t>
      </w:r>
      <w:r>
        <w:rPr>
          <w:sz w:val="20"/>
        </w:rPr>
        <w:t>of</w:t>
      </w:r>
      <w:r>
        <w:rPr>
          <w:spacing w:val="-10"/>
          <w:sz w:val="20"/>
        </w:rPr>
        <w:t> </w:t>
      </w:r>
      <w:r>
        <w:rPr>
          <w:sz w:val="20"/>
        </w:rPr>
        <w:t>people</w:t>
      </w:r>
      <w:r>
        <w:rPr>
          <w:spacing w:val="-9"/>
          <w:sz w:val="20"/>
        </w:rPr>
        <w:t> </w:t>
      </w:r>
      <w:r>
        <w:rPr>
          <w:sz w:val="20"/>
        </w:rPr>
        <w:t>than</w:t>
      </w:r>
      <w:r>
        <w:rPr>
          <w:spacing w:val="-10"/>
          <w:sz w:val="20"/>
        </w:rPr>
        <w:t> </w:t>
      </w:r>
      <w:r>
        <w:rPr>
          <w:sz w:val="20"/>
        </w:rPr>
        <w:t>those</w:t>
      </w:r>
      <w:r>
        <w:rPr>
          <w:spacing w:val="-10"/>
          <w:sz w:val="20"/>
        </w:rPr>
        <w:t> </w:t>
      </w:r>
      <w:r>
        <w:rPr>
          <w:sz w:val="20"/>
        </w:rPr>
        <w:t>in</w:t>
      </w:r>
      <w:r>
        <w:rPr>
          <w:spacing w:val="-10"/>
          <w:sz w:val="20"/>
        </w:rPr>
        <w:t> </w:t>
      </w:r>
      <w:r>
        <w:rPr>
          <w:sz w:val="20"/>
        </w:rPr>
        <w:t>the</w:t>
      </w:r>
      <w:r>
        <w:rPr>
          <w:spacing w:val="-10"/>
          <w:sz w:val="20"/>
        </w:rPr>
        <w:t> </w:t>
      </w:r>
      <w:r>
        <w:rPr>
          <w:sz w:val="20"/>
        </w:rPr>
        <w:t>subject</w:t>
      </w:r>
      <w:r>
        <w:rPr>
          <w:spacing w:val="-10"/>
          <w:sz w:val="20"/>
        </w:rPr>
        <w:t> </w:t>
      </w:r>
      <w:r>
        <w:rPr>
          <w:sz w:val="20"/>
        </w:rPr>
        <w:t>groups.</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The </w:t>
      </w:r>
      <w:r>
        <w:rPr>
          <w:spacing w:val="-3"/>
          <w:sz w:val="20"/>
        </w:rPr>
        <w:t>relevant provision </w:t>
      </w:r>
      <w:r>
        <w:rPr>
          <w:sz w:val="20"/>
        </w:rPr>
        <w:t>is set out</w:t>
      </w:r>
      <w:r>
        <w:rPr>
          <w:spacing w:val="-19"/>
          <w:sz w:val="20"/>
        </w:rPr>
        <w:t> </w:t>
      </w:r>
      <w:r>
        <w:rPr>
          <w:spacing w:val="-5"/>
          <w:sz w:val="20"/>
        </w:rPr>
        <w:t>below.</w:t>
      </w:r>
    </w:p>
    <w:p>
      <w:pPr>
        <w:pStyle w:val="BodyText"/>
        <w:spacing w:before="12"/>
        <w:rPr>
          <w:sz w:val="22"/>
        </w:rPr>
      </w:pPr>
      <w:r>
        <w:rPr/>
        <w:pict>
          <v:group style="position:absolute;margin-left:79.370003pt;margin-top:17.843201pt;width:436.55pt;height:224.6pt;mso-position-horizontal-relative:page;mso-position-vertical-relative:paragraph;z-index:6704;mso-wrap-distance-left:0;mso-wrap-distance-right:0" coordorigin="1587,357" coordsize="8731,4492">
            <v:rect style="position:absolute;left:1592;top:361;width:8721;height:4482" filled="true" fillcolor="#dddfe4" stroked="false">
              <v:fill type="solid"/>
            </v:rect>
            <v:line style="position:absolute" from="1587,4843" to="10318,4843" stroked="true" strokeweight=".5pt" strokecolor="#37617a">
              <v:stroke dashstyle="solid"/>
            </v:line>
            <v:line style="position:absolute" from="1587,362" to="10318,362" stroked="true" strokeweight=".5pt" strokecolor="#37617a">
              <v:stroke dashstyle="solid"/>
            </v:line>
            <v:line style="position:absolute" from="1592,4838" to="1592,367" stroked="true" strokeweight=".5pt" strokecolor="#37617a">
              <v:stroke dashstyle="solid"/>
            </v:line>
            <v:line style="position:absolute" from="10313,4838" to="10313,367" stroked="true" strokeweight=".5pt" strokecolor="#37617a">
              <v:stroke dashstyle="solid"/>
            </v:line>
            <v:shape style="position:absolute;left:2612;top:1188;width:7429;height:3475" type="#_x0000_t202" filled="false" stroked="false">
              <v:textbox inset="0,0,0,0">
                <w:txbxContent>
                  <w:p>
                    <w:pPr>
                      <w:spacing w:line="206" w:lineRule="auto" w:before="0"/>
                      <w:ind w:left="0" w:right="15" w:firstLine="0"/>
                      <w:jc w:val="left"/>
                      <w:rPr>
                        <w:sz w:val="20"/>
                      </w:rPr>
                    </w:pPr>
                    <w:r>
                      <w:rPr>
                        <w:sz w:val="20"/>
                      </w:rPr>
                      <w:t>This section applies if a judge is satisfied that a person summoned or appointed to</w:t>
                    </w:r>
                    <w:r>
                      <w:rPr>
                        <w:spacing w:val="-5"/>
                        <w:sz w:val="20"/>
                      </w:rPr>
                      <w:t> </w:t>
                    </w:r>
                    <w:r>
                      <w:rPr>
                        <w:sz w:val="20"/>
                      </w:rPr>
                      <w:t>attend</w:t>
                    </w:r>
                    <w:r>
                      <w:rPr>
                        <w:spacing w:val="-5"/>
                        <w:sz w:val="20"/>
                      </w:rPr>
                      <w:t> </w:t>
                    </w:r>
                    <w:r>
                      <w:rPr>
                        <w:sz w:val="20"/>
                      </w:rPr>
                      <w:t>to</w:t>
                    </w:r>
                    <w:r>
                      <w:rPr>
                        <w:spacing w:val="-5"/>
                        <w:sz w:val="20"/>
                      </w:rPr>
                      <w:t> </w:t>
                    </w:r>
                    <w:r>
                      <w:rPr>
                        <w:sz w:val="20"/>
                      </w:rPr>
                      <w:t>serve</w:t>
                    </w:r>
                    <w:r>
                      <w:rPr>
                        <w:spacing w:val="-4"/>
                        <w:sz w:val="20"/>
                      </w:rPr>
                      <w:t> </w:t>
                    </w:r>
                    <w:r>
                      <w:rPr>
                        <w:sz w:val="20"/>
                      </w:rPr>
                      <w:t>as</w:t>
                    </w:r>
                    <w:r>
                      <w:rPr>
                        <w:spacing w:val="-5"/>
                        <w:sz w:val="20"/>
                      </w:rPr>
                      <w:t> </w:t>
                    </w:r>
                    <w:r>
                      <w:rPr>
                        <w:sz w:val="20"/>
                      </w:rPr>
                      <w:t>a</w:t>
                    </w:r>
                    <w:r>
                      <w:rPr>
                        <w:spacing w:val="-5"/>
                        <w:sz w:val="20"/>
                      </w:rPr>
                      <w:t> </w:t>
                    </w:r>
                    <w:r>
                      <w:rPr>
                        <w:spacing w:val="-3"/>
                        <w:sz w:val="20"/>
                      </w:rPr>
                      <w:t>juror,</w:t>
                    </w:r>
                    <w:r>
                      <w:rPr>
                        <w:spacing w:val="-5"/>
                        <w:sz w:val="20"/>
                      </w:rPr>
                      <w:t> </w:t>
                    </w:r>
                    <w:r>
                      <w:rPr>
                        <w:sz w:val="20"/>
                      </w:rPr>
                      <w:t>and</w:t>
                    </w:r>
                    <w:r>
                      <w:rPr>
                        <w:spacing w:val="-4"/>
                        <w:sz w:val="20"/>
                      </w:rPr>
                      <w:t> </w:t>
                    </w:r>
                    <w:r>
                      <w:rPr>
                        <w:sz w:val="20"/>
                      </w:rPr>
                      <w:t>who</w:t>
                    </w:r>
                    <w:r>
                      <w:rPr>
                        <w:spacing w:val="-5"/>
                        <w:sz w:val="20"/>
                      </w:rPr>
                      <w:t> </w:t>
                    </w:r>
                    <w:r>
                      <w:rPr>
                        <w:sz w:val="20"/>
                      </w:rPr>
                      <w:t>has</w:t>
                    </w:r>
                    <w:r>
                      <w:rPr>
                        <w:spacing w:val="-5"/>
                        <w:sz w:val="20"/>
                      </w:rPr>
                      <w:t> </w:t>
                    </w:r>
                    <w:r>
                      <w:rPr>
                        <w:sz w:val="20"/>
                      </w:rPr>
                      <w:t>not</w:t>
                    </w:r>
                    <w:r>
                      <w:rPr>
                        <w:spacing w:val="-5"/>
                        <w:sz w:val="20"/>
                      </w:rPr>
                      <w:t> </w:t>
                    </w:r>
                    <w:r>
                      <w:rPr>
                        <w:sz w:val="20"/>
                      </w:rPr>
                      <w:t>claimed</w:t>
                    </w:r>
                    <w:r>
                      <w:rPr>
                        <w:spacing w:val="-4"/>
                        <w:sz w:val="20"/>
                      </w:rPr>
                      <w:t> </w:t>
                    </w:r>
                    <w:r>
                      <w:rPr>
                        <w:sz w:val="20"/>
                      </w:rPr>
                      <w:t>an</w:t>
                    </w:r>
                    <w:r>
                      <w:rPr>
                        <w:spacing w:val="-5"/>
                        <w:sz w:val="20"/>
                      </w:rPr>
                      <w:t> </w:t>
                    </w:r>
                    <w:r>
                      <w:rPr>
                        <w:sz w:val="20"/>
                      </w:rPr>
                      <w:t>exemption</w:t>
                    </w:r>
                    <w:r>
                      <w:rPr>
                        <w:spacing w:val="-5"/>
                        <w:sz w:val="20"/>
                      </w:rPr>
                      <w:t> </w:t>
                    </w:r>
                    <w:r>
                      <w:rPr>
                        <w:sz w:val="20"/>
                      </w:rPr>
                      <w:t>or</w:t>
                    </w:r>
                    <w:r>
                      <w:rPr>
                        <w:spacing w:val="-5"/>
                        <w:sz w:val="20"/>
                      </w:rPr>
                      <w:t> </w:t>
                    </w:r>
                    <w:r>
                      <w:rPr>
                        <w:sz w:val="20"/>
                      </w:rPr>
                      <w:t>otherwise been excused from attendance, may be unable to properly discharge the duties of a </w:t>
                    </w:r>
                    <w:r>
                      <w:rPr>
                        <w:spacing w:val="-3"/>
                        <w:sz w:val="20"/>
                      </w:rPr>
                      <w:t>juror, </w:t>
                    </w:r>
                    <w:r>
                      <w:rPr>
                        <w:sz w:val="20"/>
                      </w:rPr>
                      <w:t>because the</w:t>
                    </w:r>
                    <w:r>
                      <w:rPr>
                        <w:spacing w:val="-8"/>
                        <w:sz w:val="20"/>
                      </w:rPr>
                      <w:t> </w:t>
                    </w:r>
                    <w:r>
                      <w:rPr>
                        <w:sz w:val="20"/>
                      </w:rPr>
                      <w:t>person—</w:t>
                    </w:r>
                  </w:p>
                  <w:p>
                    <w:pPr>
                      <w:numPr>
                        <w:ilvl w:val="0"/>
                        <w:numId w:val="77"/>
                      </w:numPr>
                      <w:tabs>
                        <w:tab w:pos="397" w:val="left" w:leader="none"/>
                      </w:tabs>
                      <w:spacing w:before="82"/>
                      <w:ind w:left="396" w:right="0" w:hanging="396"/>
                      <w:jc w:val="left"/>
                      <w:rPr>
                        <w:sz w:val="20"/>
                      </w:rPr>
                    </w:pPr>
                    <w:r>
                      <w:rPr>
                        <w:sz w:val="20"/>
                      </w:rPr>
                      <w:t>has an insufficient understanding of the English language;</w:t>
                    </w:r>
                    <w:r>
                      <w:rPr>
                        <w:spacing w:val="-28"/>
                        <w:sz w:val="20"/>
                      </w:rPr>
                      <w:t> </w:t>
                    </w:r>
                    <w:r>
                      <w:rPr>
                        <w:sz w:val="20"/>
                      </w:rPr>
                      <w:t>or</w:t>
                    </w:r>
                  </w:p>
                  <w:p>
                    <w:pPr>
                      <w:numPr>
                        <w:ilvl w:val="0"/>
                        <w:numId w:val="77"/>
                      </w:numPr>
                      <w:tabs>
                        <w:tab w:pos="397" w:val="left" w:leader="none"/>
                      </w:tabs>
                      <w:spacing w:before="82"/>
                      <w:ind w:left="396" w:right="0" w:hanging="396"/>
                      <w:jc w:val="left"/>
                      <w:rPr>
                        <w:sz w:val="20"/>
                      </w:rPr>
                    </w:pPr>
                    <w:r>
                      <w:rPr>
                        <w:sz w:val="20"/>
                      </w:rPr>
                      <w:t>is suffering from a mental or physical</w:t>
                    </w:r>
                    <w:r>
                      <w:rPr>
                        <w:spacing w:val="-20"/>
                        <w:sz w:val="20"/>
                      </w:rPr>
                      <w:t> </w:t>
                    </w:r>
                    <w:r>
                      <w:rPr>
                        <w:sz w:val="20"/>
                      </w:rPr>
                      <w:t>disability.</w:t>
                    </w:r>
                  </w:p>
                  <w:p>
                    <w:pPr>
                      <w:spacing w:before="83"/>
                      <w:ind w:left="0" w:right="0" w:firstLine="0"/>
                      <w:jc w:val="left"/>
                      <w:rPr>
                        <w:sz w:val="20"/>
                      </w:rPr>
                    </w:pPr>
                    <w:r>
                      <w:rPr>
                        <w:sz w:val="20"/>
                      </w:rPr>
                      <w:t>The judge—</w:t>
                    </w:r>
                  </w:p>
                  <w:p>
                    <w:pPr>
                      <w:numPr>
                        <w:ilvl w:val="0"/>
                        <w:numId w:val="78"/>
                      </w:numPr>
                      <w:tabs>
                        <w:tab w:pos="397" w:val="left" w:leader="none"/>
                      </w:tabs>
                      <w:spacing w:line="206" w:lineRule="auto" w:before="114"/>
                      <w:ind w:left="396" w:right="18" w:hanging="396"/>
                      <w:jc w:val="left"/>
                      <w:rPr>
                        <w:sz w:val="20"/>
                      </w:rPr>
                    </w:pPr>
                    <w:r>
                      <w:rPr>
                        <w:sz w:val="20"/>
                      </w:rPr>
                      <w:t>must</w:t>
                    </w:r>
                    <w:r>
                      <w:rPr>
                        <w:spacing w:val="-7"/>
                        <w:sz w:val="20"/>
                      </w:rPr>
                      <w:t> </w:t>
                    </w:r>
                    <w:r>
                      <w:rPr>
                        <w:sz w:val="20"/>
                      </w:rPr>
                      <w:t>consider</w:t>
                    </w:r>
                    <w:r>
                      <w:rPr>
                        <w:spacing w:val="-6"/>
                        <w:sz w:val="20"/>
                      </w:rPr>
                      <w:t> </w:t>
                    </w:r>
                    <w:r>
                      <w:rPr>
                        <w:sz w:val="20"/>
                      </w:rPr>
                      <w:t>if</w:t>
                    </w:r>
                    <w:r>
                      <w:rPr>
                        <w:spacing w:val="-6"/>
                        <w:sz w:val="20"/>
                      </w:rPr>
                      <w:t> </w:t>
                    </w:r>
                    <w:r>
                      <w:rPr>
                        <w:sz w:val="20"/>
                      </w:rPr>
                      <w:t>support</w:t>
                    </w:r>
                    <w:r>
                      <w:rPr>
                        <w:spacing w:val="-7"/>
                        <w:sz w:val="20"/>
                      </w:rPr>
                      <w:t> </w:t>
                    </w:r>
                    <w:r>
                      <w:rPr>
                        <w:sz w:val="20"/>
                      </w:rPr>
                      <w:t>that</w:t>
                    </w:r>
                    <w:r>
                      <w:rPr>
                        <w:spacing w:val="-6"/>
                        <w:sz w:val="20"/>
                      </w:rPr>
                      <w:t> </w:t>
                    </w:r>
                    <w:r>
                      <w:rPr>
                        <w:sz w:val="20"/>
                      </w:rPr>
                      <w:t>would</w:t>
                    </w:r>
                    <w:r>
                      <w:rPr>
                        <w:spacing w:val="-6"/>
                        <w:sz w:val="20"/>
                      </w:rPr>
                      <w:t> </w:t>
                    </w:r>
                    <w:r>
                      <w:rPr>
                        <w:sz w:val="20"/>
                      </w:rPr>
                      <w:t>enable</w:t>
                    </w:r>
                    <w:r>
                      <w:rPr>
                        <w:spacing w:val="-6"/>
                        <w:sz w:val="20"/>
                      </w:rPr>
                      <w:t> </w:t>
                    </w:r>
                    <w:r>
                      <w:rPr>
                        <w:sz w:val="20"/>
                      </w:rPr>
                      <w:t>the</w:t>
                    </w:r>
                    <w:r>
                      <w:rPr>
                        <w:spacing w:val="-7"/>
                        <w:sz w:val="20"/>
                      </w:rPr>
                      <w:t> </w:t>
                    </w:r>
                    <w:r>
                      <w:rPr>
                        <w:sz w:val="20"/>
                      </w:rPr>
                      <w:t>person</w:t>
                    </w:r>
                    <w:r>
                      <w:rPr>
                        <w:spacing w:val="-6"/>
                        <w:sz w:val="20"/>
                      </w:rPr>
                      <w:t> </w:t>
                    </w:r>
                    <w:r>
                      <w:rPr>
                        <w:sz w:val="20"/>
                      </w:rPr>
                      <w:t>to</w:t>
                    </w:r>
                    <w:r>
                      <w:rPr>
                        <w:spacing w:val="-6"/>
                        <w:sz w:val="20"/>
                      </w:rPr>
                      <w:t> </w:t>
                    </w:r>
                    <w:r>
                      <w:rPr>
                        <w:sz w:val="20"/>
                      </w:rPr>
                      <w:t>properly</w:t>
                    </w:r>
                    <w:r>
                      <w:rPr>
                        <w:spacing w:val="-7"/>
                        <w:sz w:val="20"/>
                      </w:rPr>
                      <w:t> </w:t>
                    </w:r>
                    <w:r>
                      <w:rPr>
                        <w:sz w:val="20"/>
                      </w:rPr>
                      <w:t>discharge the duties of a juror can reasonably be given;</w:t>
                    </w:r>
                    <w:r>
                      <w:rPr>
                        <w:spacing w:val="-24"/>
                        <w:sz w:val="20"/>
                      </w:rPr>
                      <w:t> </w:t>
                    </w:r>
                    <w:r>
                      <w:rPr>
                        <w:sz w:val="20"/>
                      </w:rPr>
                      <w:t>and</w:t>
                    </w:r>
                  </w:p>
                  <w:p>
                    <w:pPr>
                      <w:numPr>
                        <w:ilvl w:val="0"/>
                        <w:numId w:val="78"/>
                      </w:numPr>
                      <w:tabs>
                        <w:tab w:pos="397" w:val="left" w:leader="none"/>
                      </w:tabs>
                      <w:spacing w:line="206" w:lineRule="auto" w:before="123"/>
                      <w:ind w:left="396" w:right="74" w:hanging="396"/>
                      <w:jc w:val="left"/>
                      <w:rPr>
                        <w:sz w:val="20"/>
                      </w:rPr>
                    </w:pPr>
                    <w:r>
                      <w:rPr>
                        <w:sz w:val="20"/>
                      </w:rPr>
                      <w:t>if satisfied that support that would enable the person to properly discharge the</w:t>
                    </w:r>
                    <w:r>
                      <w:rPr>
                        <w:spacing w:val="-7"/>
                        <w:sz w:val="20"/>
                      </w:rPr>
                      <w:t> </w:t>
                    </w:r>
                    <w:r>
                      <w:rPr>
                        <w:sz w:val="20"/>
                      </w:rPr>
                      <w:t>duties</w:t>
                    </w:r>
                    <w:r>
                      <w:rPr>
                        <w:spacing w:val="-6"/>
                        <w:sz w:val="20"/>
                      </w:rPr>
                      <w:t> </w:t>
                    </w:r>
                    <w:r>
                      <w:rPr>
                        <w:sz w:val="20"/>
                      </w:rPr>
                      <w:t>of</w:t>
                    </w:r>
                    <w:r>
                      <w:rPr>
                        <w:spacing w:val="-6"/>
                        <w:sz w:val="20"/>
                      </w:rPr>
                      <w:t> </w:t>
                    </w:r>
                    <w:r>
                      <w:rPr>
                        <w:sz w:val="20"/>
                      </w:rPr>
                      <w:t>a</w:t>
                    </w:r>
                    <w:r>
                      <w:rPr>
                        <w:spacing w:val="-6"/>
                        <w:sz w:val="20"/>
                      </w:rPr>
                      <w:t> </w:t>
                    </w:r>
                    <w:r>
                      <w:rPr>
                        <w:sz w:val="20"/>
                      </w:rPr>
                      <w:t>juror</w:t>
                    </w:r>
                    <w:r>
                      <w:rPr>
                        <w:spacing w:val="-6"/>
                        <w:sz w:val="20"/>
                      </w:rPr>
                      <w:t> </w:t>
                    </w:r>
                    <w:r>
                      <w:rPr>
                        <w:sz w:val="20"/>
                      </w:rPr>
                      <w:t>can</w:t>
                    </w:r>
                    <w:r>
                      <w:rPr>
                        <w:spacing w:val="-6"/>
                        <w:sz w:val="20"/>
                      </w:rPr>
                      <w:t> </w:t>
                    </w:r>
                    <w:r>
                      <w:rPr>
                        <w:sz w:val="20"/>
                      </w:rPr>
                      <w:t>reasonably</w:t>
                    </w:r>
                    <w:r>
                      <w:rPr>
                        <w:spacing w:val="-6"/>
                        <w:sz w:val="20"/>
                      </w:rPr>
                      <w:t> </w:t>
                    </w:r>
                    <w:r>
                      <w:rPr>
                        <w:sz w:val="20"/>
                      </w:rPr>
                      <w:t>be</w:t>
                    </w:r>
                    <w:r>
                      <w:rPr>
                        <w:spacing w:val="-6"/>
                        <w:sz w:val="20"/>
                      </w:rPr>
                      <w:t> </w:t>
                    </w:r>
                    <w:r>
                      <w:rPr>
                        <w:sz w:val="20"/>
                      </w:rPr>
                      <w:t>given,</w:t>
                    </w:r>
                    <w:r>
                      <w:rPr>
                        <w:spacing w:val="-6"/>
                        <w:sz w:val="20"/>
                      </w:rPr>
                      <w:t> </w:t>
                    </w:r>
                    <w:r>
                      <w:rPr>
                        <w:sz w:val="20"/>
                      </w:rPr>
                      <w:t>must</w:t>
                    </w:r>
                    <w:r>
                      <w:rPr>
                        <w:spacing w:val="-6"/>
                        <w:sz w:val="20"/>
                      </w:rPr>
                      <w:t> </w:t>
                    </w:r>
                    <w:r>
                      <w:rPr>
                        <w:sz w:val="20"/>
                      </w:rPr>
                      <w:t>make</w:t>
                    </w:r>
                    <w:r>
                      <w:rPr>
                        <w:spacing w:val="-6"/>
                        <w:sz w:val="20"/>
                      </w:rPr>
                      <w:t> </w:t>
                    </w:r>
                    <w:r>
                      <w:rPr>
                        <w:sz w:val="20"/>
                      </w:rPr>
                      <w:t>a</w:t>
                    </w:r>
                    <w:r>
                      <w:rPr>
                        <w:spacing w:val="-6"/>
                        <w:sz w:val="20"/>
                      </w:rPr>
                      <w:t> </w:t>
                    </w:r>
                    <w:r>
                      <w:rPr>
                        <w:sz w:val="20"/>
                      </w:rPr>
                      <w:t>direction</w:t>
                    </w:r>
                    <w:r>
                      <w:rPr>
                        <w:spacing w:val="-7"/>
                        <w:sz w:val="20"/>
                      </w:rPr>
                      <w:t> </w:t>
                    </w:r>
                    <w:r>
                      <w:rPr>
                        <w:sz w:val="20"/>
                      </w:rPr>
                      <w:t>that</w:t>
                    </w:r>
                    <w:r>
                      <w:rPr>
                        <w:spacing w:val="-6"/>
                        <w:sz w:val="20"/>
                      </w:rPr>
                      <w:t> </w:t>
                    </w:r>
                    <w:r>
                      <w:rPr>
                        <w:sz w:val="20"/>
                      </w:rPr>
                      <w:t>the support be</w:t>
                    </w:r>
                    <w:r>
                      <w:rPr>
                        <w:spacing w:val="-5"/>
                        <w:sz w:val="20"/>
                      </w:rPr>
                      <w:t> </w:t>
                    </w:r>
                    <w:r>
                      <w:rPr>
                        <w:sz w:val="20"/>
                      </w:rPr>
                      <w:t>given.</w:t>
                    </w:r>
                  </w:p>
                </w:txbxContent>
              </v:textbox>
              <w10:wrap type="none"/>
            </v:shape>
            <v:shape style="position:absolute;left:1819;top:1188;width:237;height:2035" type="#_x0000_t202" filled="false" stroked="false">
              <v:textbox inset="0,0,0,0">
                <w:txbxContent>
                  <w:p>
                    <w:pPr>
                      <w:spacing w:line="235" w:lineRule="exact" w:before="0"/>
                      <w:ind w:left="0" w:right="0" w:firstLine="0"/>
                      <w:jc w:val="left"/>
                      <w:rPr>
                        <w:sz w:val="20"/>
                      </w:rPr>
                    </w:pPr>
                    <w:r>
                      <w:rPr>
                        <w:sz w:val="20"/>
                      </w:rPr>
                      <w:t>(1)</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9"/>
                      <w:rPr>
                        <w:sz w:val="21"/>
                      </w:rPr>
                    </w:pPr>
                  </w:p>
                  <w:p>
                    <w:pPr>
                      <w:spacing w:before="0"/>
                      <w:ind w:left="0" w:right="0" w:firstLine="0"/>
                      <w:jc w:val="left"/>
                      <w:rPr>
                        <w:sz w:val="20"/>
                      </w:rPr>
                    </w:pPr>
                    <w:r>
                      <w:rPr>
                        <w:sz w:val="20"/>
                      </w:rPr>
                      <w:t>(2)</w:t>
                    </w:r>
                  </w:p>
                </w:txbxContent>
              </v:textbox>
              <w10:wrap type="none"/>
            </v:shape>
            <v:shape style="position:absolute;left:1819;top:588;width:7841;height:475" type="#_x0000_t202" filled="false" stroked="false">
              <v:textbox inset="0,0,0,0">
                <w:txbxContent>
                  <w:p>
                    <w:pPr>
                      <w:spacing w:line="216" w:lineRule="exact" w:before="0"/>
                      <w:ind w:left="0" w:right="0" w:firstLine="0"/>
                      <w:jc w:val="left"/>
                      <w:rPr>
                        <w:b/>
                        <w:sz w:val="20"/>
                      </w:rPr>
                    </w:pPr>
                    <w:r>
                      <w:rPr>
                        <w:b/>
                        <w:sz w:val="20"/>
                      </w:rPr>
                      <w:t>Section</w:t>
                    </w:r>
                    <w:r>
                      <w:rPr>
                        <w:b/>
                        <w:spacing w:val="-7"/>
                        <w:sz w:val="20"/>
                      </w:rPr>
                      <w:t> </w:t>
                    </w:r>
                    <w:r>
                      <w:rPr>
                        <w:b/>
                        <w:sz w:val="20"/>
                      </w:rPr>
                      <w:t>16</w:t>
                    </w:r>
                    <w:r>
                      <w:rPr>
                        <w:b/>
                        <w:spacing w:val="-6"/>
                        <w:sz w:val="20"/>
                      </w:rPr>
                      <w:t> </w:t>
                    </w:r>
                    <w:r>
                      <w:rPr>
                        <w:b/>
                        <w:sz w:val="20"/>
                      </w:rPr>
                      <w:t>of</w:t>
                    </w:r>
                    <w:r>
                      <w:rPr>
                        <w:b/>
                        <w:spacing w:val="-6"/>
                        <w:sz w:val="20"/>
                      </w:rPr>
                      <w:t> </w:t>
                    </w:r>
                    <w:r>
                      <w:rPr>
                        <w:b/>
                        <w:sz w:val="20"/>
                      </w:rPr>
                      <w:t>the</w:t>
                    </w:r>
                    <w:r>
                      <w:rPr>
                        <w:b/>
                        <w:spacing w:val="-3"/>
                        <w:sz w:val="20"/>
                      </w:rPr>
                      <w:t> </w:t>
                    </w:r>
                    <w:r>
                      <w:rPr>
                        <w:b/>
                        <w:i/>
                        <w:sz w:val="20"/>
                      </w:rPr>
                      <w:t>Juries</w:t>
                    </w:r>
                    <w:r>
                      <w:rPr>
                        <w:b/>
                        <w:i/>
                        <w:spacing w:val="-7"/>
                        <w:sz w:val="20"/>
                      </w:rPr>
                      <w:t> </w:t>
                    </w:r>
                    <w:r>
                      <w:rPr>
                        <w:b/>
                        <w:i/>
                        <w:sz w:val="20"/>
                      </w:rPr>
                      <w:t>Act</w:t>
                    </w:r>
                    <w:r>
                      <w:rPr>
                        <w:b/>
                        <w:i/>
                        <w:spacing w:val="-6"/>
                        <w:sz w:val="20"/>
                      </w:rPr>
                      <w:t> </w:t>
                    </w:r>
                    <w:r>
                      <w:rPr>
                        <w:b/>
                        <w:i/>
                        <w:sz w:val="20"/>
                      </w:rPr>
                      <w:t>1967</w:t>
                    </w:r>
                    <w:r>
                      <w:rPr>
                        <w:b/>
                        <w:i/>
                        <w:spacing w:val="-6"/>
                        <w:sz w:val="20"/>
                      </w:rPr>
                      <w:t> </w:t>
                    </w:r>
                    <w:r>
                      <w:rPr>
                        <w:b/>
                        <w:sz w:val="20"/>
                      </w:rPr>
                      <w:t>(ACT):</w:t>
                    </w:r>
                    <w:r>
                      <w:rPr>
                        <w:b/>
                        <w:spacing w:val="-6"/>
                        <w:sz w:val="20"/>
                      </w:rPr>
                      <w:t> </w:t>
                    </w:r>
                    <w:r>
                      <w:rPr>
                        <w:b/>
                        <w:sz w:val="20"/>
                      </w:rPr>
                      <w:t>Reasonable</w:t>
                    </w:r>
                    <w:r>
                      <w:rPr>
                        <w:b/>
                        <w:spacing w:val="-6"/>
                        <w:sz w:val="20"/>
                      </w:rPr>
                      <w:t> </w:t>
                    </w:r>
                    <w:r>
                      <w:rPr>
                        <w:b/>
                        <w:sz w:val="20"/>
                      </w:rPr>
                      <w:t>support</w:t>
                    </w:r>
                    <w:r>
                      <w:rPr>
                        <w:b/>
                        <w:spacing w:val="-6"/>
                        <w:sz w:val="20"/>
                      </w:rPr>
                      <w:t> </w:t>
                    </w:r>
                    <w:r>
                      <w:rPr>
                        <w:b/>
                        <w:sz w:val="20"/>
                      </w:rPr>
                      <w:t>because</w:t>
                    </w:r>
                    <w:r>
                      <w:rPr>
                        <w:b/>
                        <w:spacing w:val="-6"/>
                        <w:sz w:val="20"/>
                      </w:rPr>
                      <w:t> </w:t>
                    </w:r>
                    <w:r>
                      <w:rPr>
                        <w:b/>
                        <w:sz w:val="20"/>
                      </w:rPr>
                      <w:t>of</w:t>
                    </w:r>
                    <w:r>
                      <w:rPr>
                        <w:b/>
                        <w:spacing w:val="-6"/>
                        <w:sz w:val="20"/>
                      </w:rPr>
                      <w:t> </w:t>
                    </w:r>
                    <w:r>
                      <w:rPr>
                        <w:b/>
                        <w:sz w:val="20"/>
                      </w:rPr>
                      <w:t>insufficient</w:t>
                    </w:r>
                  </w:p>
                  <w:p>
                    <w:pPr>
                      <w:spacing w:line="259" w:lineRule="exact" w:before="0"/>
                      <w:ind w:left="0" w:right="0" w:firstLine="0"/>
                      <w:jc w:val="left"/>
                      <w:rPr>
                        <w:b/>
                        <w:sz w:val="20"/>
                      </w:rPr>
                    </w:pPr>
                    <w:r>
                      <w:rPr>
                        <w:b/>
                        <w:sz w:val="20"/>
                      </w:rPr>
                      <w:t>understanding or disability</w:t>
                    </w:r>
                  </w:p>
                </w:txbxContent>
              </v:textbox>
              <w10:wrap type="none"/>
            </v:shape>
            <w10:wrap type="topAndBottom"/>
          </v:group>
        </w:pict>
      </w:r>
    </w:p>
    <w:p>
      <w:pPr>
        <w:pStyle w:val="BodyText"/>
      </w:pPr>
    </w:p>
    <w:p>
      <w:pPr>
        <w:pStyle w:val="BodyText"/>
        <w:spacing w:before="2"/>
        <w:rPr>
          <w:sz w:val="12"/>
        </w:rPr>
      </w:pPr>
      <w:r>
        <w:rPr/>
        <w:pict>
          <v:line style="position:absolute;mso-position-horizontal-relative:page;mso-position-vertical-relative:paragraph;z-index:6728;mso-wrap-distance-left:0;mso-wrap-distance-right:0" from="79.370003pt,10.88230pt" to="515.905003pt,10.88230pt" stroked="true" strokeweight="1pt" strokecolor="#b6bdc8">
            <v:stroke dashstyle="solid"/>
            <w10:wrap type="topAndBottom"/>
          </v:line>
        </w:pict>
      </w:r>
    </w:p>
    <w:p>
      <w:pPr>
        <w:pStyle w:val="BodyText"/>
        <w:rPr>
          <w:sz w:val="5"/>
        </w:rPr>
      </w:pPr>
    </w:p>
    <w:p>
      <w:pPr>
        <w:spacing w:after="0"/>
        <w:rPr>
          <w:sz w:val="5"/>
        </w:rPr>
        <w:sectPr>
          <w:headerReference w:type="default" r:id="rId180"/>
          <w:headerReference w:type="even" r:id="rId181"/>
          <w:pgSz w:w="11910" w:h="16840"/>
          <w:pgMar w:header="0" w:footer="0" w:top="840" w:bottom="280" w:left="620" w:right="380"/>
        </w:sectPr>
      </w:pPr>
    </w:p>
    <w:p>
      <w:pPr>
        <w:pStyle w:val="ListParagraph"/>
        <w:numPr>
          <w:ilvl w:val="0"/>
          <w:numId w:val="76"/>
        </w:numPr>
        <w:tabs>
          <w:tab w:pos="1760" w:val="left" w:leader="none"/>
          <w:tab w:pos="1762" w:val="left" w:leader="none"/>
        </w:tabs>
        <w:spacing w:line="170" w:lineRule="exact" w:before="21" w:after="0"/>
        <w:ind w:left="1761" w:right="0" w:hanging="794"/>
        <w:jc w:val="left"/>
        <w:rPr>
          <w:sz w:val="13"/>
        </w:rPr>
      </w:pPr>
      <w:r>
        <w:rPr>
          <w:spacing w:val="2"/>
          <w:sz w:val="13"/>
        </w:rPr>
        <w:t>Submission </w:t>
      </w:r>
      <w:r>
        <w:rPr>
          <w:sz w:val="13"/>
        </w:rPr>
        <w:t>10 </w:t>
      </w:r>
      <w:r>
        <w:rPr>
          <w:spacing w:val="2"/>
          <w:sz w:val="13"/>
        </w:rPr>
        <w:t>(Vision</w:t>
      </w:r>
      <w:r>
        <w:rPr>
          <w:spacing w:val="-1"/>
          <w:sz w:val="13"/>
        </w:rPr>
        <w:t> </w:t>
      </w:r>
      <w:r>
        <w:rPr>
          <w:sz w:val="13"/>
        </w:rPr>
        <w:t>Australia).</w:t>
      </w:r>
    </w:p>
    <w:p>
      <w:pPr>
        <w:pStyle w:val="ListParagraph"/>
        <w:numPr>
          <w:ilvl w:val="0"/>
          <w:numId w:val="76"/>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3"/>
          <w:sz w:val="13"/>
        </w:rPr>
        <w:t> </w:t>
      </w:r>
      <w:r>
        <w:rPr>
          <w:sz w:val="13"/>
        </w:rPr>
        <w:t>Victoria).</w:t>
      </w:r>
    </w:p>
    <w:p>
      <w:pPr>
        <w:pStyle w:val="ListParagraph"/>
        <w:numPr>
          <w:ilvl w:val="0"/>
          <w:numId w:val="76"/>
        </w:numPr>
        <w:tabs>
          <w:tab w:pos="1760" w:val="left" w:leader="none"/>
          <w:tab w:pos="1762" w:val="left" w:leader="none"/>
        </w:tabs>
        <w:spacing w:line="170" w:lineRule="exact" w:before="0" w:after="0"/>
        <w:ind w:left="1761" w:right="0" w:hanging="794"/>
        <w:jc w:val="left"/>
        <w:rPr>
          <w:sz w:val="13"/>
        </w:rPr>
      </w:pPr>
      <w:r>
        <w:rPr>
          <w:sz w:val="13"/>
        </w:rPr>
        <w:t>Consultation</w:t>
      </w:r>
      <w:r>
        <w:rPr>
          <w:spacing w:val="11"/>
          <w:sz w:val="13"/>
        </w:rPr>
        <w:t> </w:t>
      </w:r>
      <w:r>
        <w:rPr>
          <w:sz w:val="13"/>
        </w:rPr>
        <w:t>6</w:t>
      </w:r>
      <w:r>
        <w:rPr>
          <w:spacing w:val="11"/>
          <w:sz w:val="13"/>
        </w:rPr>
        <w:t> </w:t>
      </w:r>
      <w:r>
        <w:rPr>
          <w:sz w:val="13"/>
        </w:rPr>
        <w:t>(Deaf</w:t>
      </w:r>
      <w:r>
        <w:rPr>
          <w:spacing w:val="11"/>
          <w:sz w:val="13"/>
        </w:rPr>
        <w:t> </w:t>
      </w:r>
      <w:r>
        <w:rPr>
          <w:sz w:val="13"/>
        </w:rPr>
        <w:t>Victoria</w:t>
      </w:r>
      <w:r>
        <w:rPr>
          <w:spacing w:val="12"/>
          <w:sz w:val="13"/>
        </w:rPr>
        <w:t> </w:t>
      </w:r>
      <w:r>
        <w:rPr>
          <w:sz w:val="13"/>
        </w:rPr>
        <w:t>and</w:t>
      </w:r>
      <w:r>
        <w:rPr>
          <w:spacing w:val="11"/>
          <w:sz w:val="13"/>
        </w:rPr>
        <w:t> </w:t>
      </w:r>
      <w:r>
        <w:rPr>
          <w:sz w:val="13"/>
        </w:rPr>
        <w:t>community</w:t>
      </w:r>
      <w:r>
        <w:rPr>
          <w:spacing w:val="11"/>
          <w:sz w:val="13"/>
        </w:rPr>
        <w:t> </w:t>
      </w:r>
      <w:r>
        <w:rPr>
          <w:sz w:val="13"/>
        </w:rPr>
        <w:t>participants).</w:t>
      </w:r>
    </w:p>
    <w:p>
      <w:pPr>
        <w:spacing w:before="214"/>
        <w:ind w:left="967" w:right="0" w:firstLine="0"/>
        <w:jc w:val="left"/>
        <w:rPr>
          <w:b/>
          <w:sz w:val="24"/>
        </w:rPr>
      </w:pPr>
      <w:r>
        <w:rPr/>
        <w:br w:type="column"/>
      </w:r>
      <w:r>
        <w:rPr>
          <w:b/>
          <w:color w:val="37617A"/>
          <w:sz w:val="24"/>
        </w:rPr>
        <w:t>107</w:t>
      </w:r>
    </w:p>
    <w:p>
      <w:pPr>
        <w:spacing w:after="0"/>
        <w:jc w:val="left"/>
        <w:rPr>
          <w:sz w:val="24"/>
        </w:rPr>
        <w:sectPr>
          <w:type w:val="continuous"/>
          <w:pgSz w:w="11910" w:h="16840"/>
          <w:pgMar w:top="620" w:bottom="280" w:left="620" w:right="380"/>
          <w:cols w:num="2" w:equalWidth="0">
            <w:col w:w="5394" w:space="3935"/>
            <w:col w:w="1581"/>
          </w:cols>
        </w:sectPr>
      </w:pPr>
    </w:p>
    <w:p>
      <w:pPr>
        <w:pStyle w:val="BodyText"/>
        <w:rPr>
          <w:b/>
        </w:rPr>
      </w:pPr>
    </w:p>
    <w:p>
      <w:pPr>
        <w:pStyle w:val="BodyText"/>
        <w:rPr>
          <w:b/>
        </w:rPr>
      </w:pPr>
    </w:p>
    <w:p>
      <w:pPr>
        <w:pStyle w:val="BodyText"/>
        <w:rPr>
          <w:b/>
        </w:rPr>
      </w:pPr>
    </w:p>
    <w:p>
      <w:pPr>
        <w:pStyle w:val="BodyText"/>
        <w:spacing w:before="1"/>
        <w:rPr>
          <w:b/>
          <w:sz w:val="29"/>
        </w:rPr>
      </w:pPr>
    </w:p>
    <w:p>
      <w:pPr>
        <w:pStyle w:val="BodyText"/>
        <w:spacing w:before="57"/>
        <w:ind w:left="1992"/>
      </w:pPr>
      <w:r>
        <w:rPr/>
        <w:pict>
          <v:group style="position:absolute;margin-left:79.370102pt;margin-top:-6.598379pt;width:436.55pt;height:393.85pt;mso-position-horizontal-relative:page;mso-position-vertical-relative:paragraph;z-index:-351448" coordorigin="1587,-132" coordsize="8731,7877">
            <v:rect style="position:absolute;left:1592;top:-127;width:8721;height:7867" filled="true" fillcolor="#dddfe4" stroked="false">
              <v:fill type="solid"/>
            </v:rect>
            <v:line style="position:absolute" from="1587,-127" to="10318,-127" stroked="true" strokeweight=".5pt" strokecolor="#37617a">
              <v:stroke dashstyle="solid"/>
            </v:line>
            <v:line style="position:absolute" from="1592,7734" to="1592,-122" stroked="true" strokeweight=".5pt" strokecolor="#37617a">
              <v:stroke dashstyle="solid"/>
            </v:line>
            <v:line style="position:absolute" from="10313,7734" to="10313,-122" stroked="true" strokeweight=".5pt" strokecolor="#37617a">
              <v:stroke dashstyle="solid"/>
            </v:line>
            <v:line style="position:absolute" from="1587,7739" to="10318,7739" stroked="true" strokeweight=".5pt" strokecolor="#37617a">
              <v:stroke dashstyle="solid"/>
            </v:line>
            <w10:wrap type="none"/>
          </v:group>
        </w:pict>
      </w:r>
      <w:bookmarkStart w:name="_bookmark78" w:id="198"/>
      <w:bookmarkEnd w:id="198"/>
      <w:r>
        <w:rPr/>
      </w:r>
      <w:r>
        <w:rPr/>
        <w:t>Examples—support</w:t>
      </w:r>
    </w:p>
    <w:p>
      <w:pPr>
        <w:pStyle w:val="ListParagraph"/>
        <w:numPr>
          <w:ilvl w:val="1"/>
          <w:numId w:val="76"/>
        </w:numPr>
        <w:tabs>
          <w:tab w:pos="2389" w:val="left" w:leader="none"/>
          <w:tab w:pos="2390" w:val="left" w:leader="none"/>
        </w:tabs>
        <w:spacing w:line="240" w:lineRule="auto" w:before="64" w:after="0"/>
        <w:ind w:left="2389" w:right="0" w:hanging="397"/>
        <w:jc w:val="left"/>
        <w:rPr>
          <w:sz w:val="20"/>
        </w:rPr>
      </w:pPr>
      <w:r>
        <w:rPr>
          <w:sz w:val="20"/>
        </w:rPr>
        <w:t>an </w:t>
      </w:r>
      <w:r>
        <w:rPr>
          <w:spacing w:val="-3"/>
          <w:sz w:val="20"/>
        </w:rPr>
        <w:t>interpreter, </w:t>
      </w:r>
      <w:r>
        <w:rPr>
          <w:sz w:val="20"/>
        </w:rPr>
        <w:t>including an Auslan</w:t>
      </w:r>
      <w:r>
        <w:rPr>
          <w:spacing w:val="-9"/>
          <w:sz w:val="20"/>
        </w:rPr>
        <w:t> </w:t>
      </w:r>
      <w:r>
        <w:rPr>
          <w:sz w:val="20"/>
        </w:rPr>
        <w:t>interpreter</w:t>
      </w:r>
    </w:p>
    <w:p>
      <w:pPr>
        <w:pStyle w:val="ListParagraph"/>
        <w:numPr>
          <w:ilvl w:val="1"/>
          <w:numId w:val="76"/>
        </w:numPr>
        <w:tabs>
          <w:tab w:pos="2389" w:val="left" w:leader="none"/>
          <w:tab w:pos="2390" w:val="left" w:leader="none"/>
        </w:tabs>
        <w:spacing w:line="240" w:lineRule="auto" w:before="65" w:after="0"/>
        <w:ind w:left="2389" w:right="0" w:hanging="397"/>
        <w:jc w:val="left"/>
        <w:rPr>
          <w:sz w:val="20"/>
        </w:rPr>
      </w:pPr>
      <w:r>
        <w:rPr>
          <w:sz w:val="20"/>
        </w:rPr>
        <w:t>an assistance animal, disability aid or support</w:t>
      </w:r>
      <w:r>
        <w:rPr>
          <w:spacing w:val="-15"/>
          <w:sz w:val="20"/>
        </w:rPr>
        <w:t> </w:t>
      </w:r>
      <w:r>
        <w:rPr>
          <w:sz w:val="20"/>
        </w:rPr>
        <w:t>person</w:t>
      </w:r>
    </w:p>
    <w:p>
      <w:pPr>
        <w:pStyle w:val="BodyText"/>
        <w:spacing w:line="206" w:lineRule="auto" w:before="97"/>
        <w:ind w:left="1992" w:right="1663"/>
      </w:pPr>
      <w:r>
        <w:rPr>
          <w:i/>
        </w:rPr>
        <w:t>Note </w:t>
      </w:r>
      <w:r>
        <w:rPr/>
        <w:t>An example is part of the Act, is not exhaustive and may extend, but does not limit, the meaning of the provision in which it appears (see Legislation Act, s 126 and s 132).</w:t>
      </w:r>
    </w:p>
    <w:p>
      <w:pPr>
        <w:pStyle w:val="ListParagraph"/>
        <w:numPr>
          <w:ilvl w:val="0"/>
          <w:numId w:val="79"/>
        </w:numPr>
        <w:tabs>
          <w:tab w:pos="1992" w:val="left" w:leader="none"/>
          <w:tab w:pos="1993" w:val="left" w:leader="none"/>
        </w:tabs>
        <w:spacing w:line="206" w:lineRule="auto" w:before="106" w:after="0"/>
        <w:ind w:left="1992" w:right="1854" w:hanging="793"/>
        <w:jc w:val="left"/>
        <w:rPr>
          <w:sz w:val="20"/>
        </w:rPr>
      </w:pPr>
      <w:r>
        <w:rPr>
          <w:spacing w:val="-9"/>
          <w:sz w:val="20"/>
        </w:rPr>
        <w:t>To</w:t>
      </w:r>
      <w:r>
        <w:rPr>
          <w:spacing w:val="-6"/>
          <w:sz w:val="20"/>
        </w:rPr>
        <w:t> </w:t>
      </w:r>
      <w:r>
        <w:rPr>
          <w:sz w:val="20"/>
        </w:rPr>
        <w:t>determine</w:t>
      </w:r>
      <w:r>
        <w:rPr>
          <w:spacing w:val="-6"/>
          <w:sz w:val="20"/>
        </w:rPr>
        <w:t> </w:t>
      </w:r>
      <w:r>
        <w:rPr>
          <w:sz w:val="20"/>
        </w:rPr>
        <w:t>if</w:t>
      </w:r>
      <w:r>
        <w:rPr>
          <w:spacing w:val="-6"/>
          <w:sz w:val="20"/>
        </w:rPr>
        <w:t> </w:t>
      </w:r>
      <w:r>
        <w:rPr>
          <w:sz w:val="20"/>
        </w:rPr>
        <w:t>support</w:t>
      </w:r>
      <w:r>
        <w:rPr>
          <w:spacing w:val="-6"/>
          <w:sz w:val="20"/>
        </w:rPr>
        <w:t> </w:t>
      </w:r>
      <w:r>
        <w:rPr>
          <w:sz w:val="20"/>
        </w:rPr>
        <w:t>can</w:t>
      </w:r>
      <w:r>
        <w:rPr>
          <w:spacing w:val="-6"/>
          <w:sz w:val="20"/>
        </w:rPr>
        <w:t> </w:t>
      </w:r>
      <w:r>
        <w:rPr>
          <w:sz w:val="20"/>
        </w:rPr>
        <w:t>reasonably</w:t>
      </w:r>
      <w:r>
        <w:rPr>
          <w:spacing w:val="-6"/>
          <w:sz w:val="20"/>
        </w:rPr>
        <w:t> </w:t>
      </w:r>
      <w:r>
        <w:rPr>
          <w:sz w:val="20"/>
        </w:rPr>
        <w:t>be</w:t>
      </w:r>
      <w:r>
        <w:rPr>
          <w:spacing w:val="-6"/>
          <w:sz w:val="20"/>
        </w:rPr>
        <w:t> </w:t>
      </w:r>
      <w:r>
        <w:rPr>
          <w:sz w:val="20"/>
        </w:rPr>
        <w:t>given,</w:t>
      </w:r>
      <w:r>
        <w:rPr>
          <w:spacing w:val="-6"/>
          <w:sz w:val="20"/>
        </w:rPr>
        <w:t> </w:t>
      </w:r>
      <w:r>
        <w:rPr>
          <w:sz w:val="20"/>
        </w:rPr>
        <w:t>the</w:t>
      </w:r>
      <w:r>
        <w:rPr>
          <w:spacing w:val="-5"/>
          <w:sz w:val="20"/>
        </w:rPr>
        <w:t> </w:t>
      </w:r>
      <w:r>
        <w:rPr>
          <w:sz w:val="20"/>
        </w:rPr>
        <w:t>judge</w:t>
      </w:r>
      <w:r>
        <w:rPr>
          <w:spacing w:val="-6"/>
          <w:sz w:val="20"/>
        </w:rPr>
        <w:t> </w:t>
      </w:r>
      <w:r>
        <w:rPr>
          <w:sz w:val="20"/>
        </w:rPr>
        <w:t>may</w:t>
      </w:r>
      <w:r>
        <w:rPr>
          <w:spacing w:val="-6"/>
          <w:sz w:val="20"/>
        </w:rPr>
        <w:t> </w:t>
      </w:r>
      <w:r>
        <w:rPr>
          <w:sz w:val="20"/>
        </w:rPr>
        <w:t>consider</w:t>
      </w:r>
      <w:r>
        <w:rPr>
          <w:spacing w:val="-6"/>
          <w:sz w:val="20"/>
        </w:rPr>
        <w:t> </w:t>
      </w:r>
      <w:r>
        <w:rPr>
          <w:sz w:val="20"/>
        </w:rPr>
        <w:t>the following:</w:t>
      </w:r>
    </w:p>
    <w:p>
      <w:pPr>
        <w:pStyle w:val="ListParagraph"/>
        <w:numPr>
          <w:ilvl w:val="1"/>
          <w:numId w:val="79"/>
        </w:numPr>
        <w:tabs>
          <w:tab w:pos="2390" w:val="left" w:leader="none"/>
        </w:tabs>
        <w:spacing w:line="206" w:lineRule="auto" w:before="104" w:after="0"/>
        <w:ind w:left="2389" w:right="1657" w:hanging="397"/>
        <w:jc w:val="left"/>
        <w:rPr>
          <w:sz w:val="20"/>
        </w:rPr>
      </w:pPr>
      <w:r>
        <w:rPr>
          <w:sz w:val="20"/>
        </w:rPr>
        <w:t>whether</w:t>
      </w:r>
      <w:r>
        <w:rPr>
          <w:spacing w:val="-6"/>
          <w:sz w:val="20"/>
        </w:rPr>
        <w:t> </w:t>
      </w:r>
      <w:r>
        <w:rPr>
          <w:sz w:val="20"/>
        </w:rPr>
        <w:t>the</w:t>
      </w:r>
      <w:r>
        <w:rPr>
          <w:spacing w:val="-5"/>
          <w:sz w:val="20"/>
        </w:rPr>
        <w:t> </w:t>
      </w:r>
      <w:r>
        <w:rPr>
          <w:sz w:val="20"/>
        </w:rPr>
        <w:t>support</w:t>
      </w:r>
      <w:r>
        <w:rPr>
          <w:spacing w:val="-6"/>
          <w:sz w:val="20"/>
        </w:rPr>
        <w:t> </w:t>
      </w:r>
      <w:r>
        <w:rPr>
          <w:sz w:val="20"/>
        </w:rPr>
        <w:t>would</w:t>
      </w:r>
      <w:r>
        <w:rPr>
          <w:spacing w:val="-5"/>
          <w:sz w:val="20"/>
        </w:rPr>
        <w:t> </w:t>
      </w:r>
      <w:r>
        <w:rPr>
          <w:sz w:val="20"/>
        </w:rPr>
        <w:t>impose</w:t>
      </w:r>
      <w:r>
        <w:rPr>
          <w:spacing w:val="-6"/>
          <w:sz w:val="20"/>
        </w:rPr>
        <w:t> </w:t>
      </w:r>
      <w:r>
        <w:rPr>
          <w:sz w:val="20"/>
        </w:rPr>
        <w:t>a</w:t>
      </w:r>
      <w:r>
        <w:rPr>
          <w:spacing w:val="-5"/>
          <w:sz w:val="20"/>
        </w:rPr>
        <w:t> </w:t>
      </w:r>
      <w:r>
        <w:rPr>
          <w:sz w:val="20"/>
        </w:rPr>
        <w:t>disproportionate</w:t>
      </w:r>
      <w:r>
        <w:rPr>
          <w:spacing w:val="-5"/>
          <w:sz w:val="20"/>
        </w:rPr>
        <w:t> </w:t>
      </w:r>
      <w:r>
        <w:rPr>
          <w:sz w:val="20"/>
        </w:rPr>
        <w:t>or</w:t>
      </w:r>
      <w:r>
        <w:rPr>
          <w:spacing w:val="-6"/>
          <w:sz w:val="20"/>
        </w:rPr>
        <w:t> </w:t>
      </w:r>
      <w:r>
        <w:rPr>
          <w:sz w:val="20"/>
        </w:rPr>
        <w:t>undue</w:t>
      </w:r>
      <w:r>
        <w:rPr>
          <w:spacing w:val="-5"/>
          <w:sz w:val="20"/>
        </w:rPr>
        <w:t> </w:t>
      </w:r>
      <w:r>
        <w:rPr>
          <w:sz w:val="20"/>
        </w:rPr>
        <w:t>burden</w:t>
      </w:r>
      <w:r>
        <w:rPr>
          <w:spacing w:val="-6"/>
          <w:sz w:val="20"/>
        </w:rPr>
        <w:t> </w:t>
      </w:r>
      <w:r>
        <w:rPr>
          <w:sz w:val="20"/>
        </w:rPr>
        <w:t>on court resources, facilities and time</w:t>
      </w:r>
      <w:r>
        <w:rPr>
          <w:spacing w:val="-13"/>
          <w:sz w:val="20"/>
        </w:rPr>
        <w:t> </w:t>
      </w:r>
      <w:r>
        <w:rPr>
          <w:sz w:val="20"/>
        </w:rPr>
        <w:t>frames;</w:t>
      </w:r>
    </w:p>
    <w:p>
      <w:pPr>
        <w:pStyle w:val="ListParagraph"/>
        <w:numPr>
          <w:ilvl w:val="1"/>
          <w:numId w:val="79"/>
        </w:numPr>
        <w:tabs>
          <w:tab w:pos="2390" w:val="left" w:leader="none"/>
        </w:tabs>
        <w:spacing w:line="206" w:lineRule="auto" w:before="105" w:after="0"/>
        <w:ind w:left="2389" w:right="2012" w:hanging="397"/>
        <w:jc w:val="left"/>
        <w:rPr>
          <w:sz w:val="20"/>
        </w:rPr>
      </w:pPr>
      <w:r>
        <w:rPr>
          <w:sz w:val="20"/>
        </w:rPr>
        <w:t>if the support would require a non-juror being present during jury deliberations,</w:t>
      </w:r>
      <w:r>
        <w:rPr>
          <w:spacing w:val="-10"/>
          <w:sz w:val="20"/>
        </w:rPr>
        <w:t> </w:t>
      </w:r>
      <w:r>
        <w:rPr>
          <w:sz w:val="20"/>
        </w:rPr>
        <w:t>whether</w:t>
      </w:r>
      <w:r>
        <w:rPr>
          <w:spacing w:val="-9"/>
          <w:sz w:val="20"/>
        </w:rPr>
        <w:t> </w:t>
      </w:r>
      <w:r>
        <w:rPr>
          <w:sz w:val="20"/>
        </w:rPr>
        <w:t>the</w:t>
      </w:r>
      <w:r>
        <w:rPr>
          <w:spacing w:val="-10"/>
          <w:sz w:val="20"/>
        </w:rPr>
        <w:t> </w:t>
      </w:r>
      <w:r>
        <w:rPr>
          <w:sz w:val="20"/>
        </w:rPr>
        <w:t>non-juror’s</w:t>
      </w:r>
      <w:r>
        <w:rPr>
          <w:spacing w:val="-9"/>
          <w:sz w:val="20"/>
        </w:rPr>
        <w:t> </w:t>
      </w:r>
      <w:r>
        <w:rPr>
          <w:sz w:val="20"/>
        </w:rPr>
        <w:t>presence</w:t>
      </w:r>
      <w:r>
        <w:rPr>
          <w:spacing w:val="-9"/>
          <w:sz w:val="20"/>
        </w:rPr>
        <w:t> </w:t>
      </w:r>
      <w:r>
        <w:rPr>
          <w:sz w:val="20"/>
        </w:rPr>
        <w:t>would</w:t>
      </w:r>
      <w:r>
        <w:rPr>
          <w:spacing w:val="-10"/>
          <w:sz w:val="20"/>
        </w:rPr>
        <w:t> </w:t>
      </w:r>
      <w:r>
        <w:rPr>
          <w:sz w:val="20"/>
        </w:rPr>
        <w:t>inhibit</w:t>
      </w:r>
      <w:r>
        <w:rPr>
          <w:spacing w:val="-9"/>
          <w:sz w:val="20"/>
        </w:rPr>
        <w:t> </w:t>
      </w:r>
      <w:r>
        <w:rPr>
          <w:sz w:val="20"/>
        </w:rPr>
        <w:t>or</w:t>
      </w:r>
      <w:r>
        <w:rPr>
          <w:spacing w:val="-9"/>
          <w:sz w:val="20"/>
        </w:rPr>
        <w:t> </w:t>
      </w:r>
      <w:r>
        <w:rPr>
          <w:sz w:val="20"/>
        </w:rPr>
        <w:t>restrict discussion, or unduly pressure or influence any</w:t>
      </w:r>
      <w:r>
        <w:rPr>
          <w:spacing w:val="-23"/>
          <w:sz w:val="20"/>
        </w:rPr>
        <w:t> </w:t>
      </w:r>
      <w:r>
        <w:rPr>
          <w:sz w:val="20"/>
        </w:rPr>
        <w:t>juror;</w:t>
      </w:r>
    </w:p>
    <w:p>
      <w:pPr>
        <w:pStyle w:val="ListParagraph"/>
        <w:numPr>
          <w:ilvl w:val="1"/>
          <w:numId w:val="79"/>
        </w:numPr>
        <w:tabs>
          <w:tab w:pos="2390" w:val="left" w:leader="none"/>
        </w:tabs>
        <w:spacing w:line="240" w:lineRule="auto" w:before="73" w:after="0"/>
        <w:ind w:left="2389" w:right="0" w:hanging="397"/>
        <w:jc w:val="left"/>
        <w:rPr>
          <w:sz w:val="20"/>
        </w:rPr>
      </w:pPr>
      <w:r>
        <w:rPr>
          <w:sz w:val="20"/>
        </w:rPr>
        <w:t>any other issue the judge considers</w:t>
      </w:r>
      <w:r>
        <w:rPr>
          <w:spacing w:val="-15"/>
          <w:sz w:val="20"/>
        </w:rPr>
        <w:t> </w:t>
      </w:r>
      <w:r>
        <w:rPr>
          <w:sz w:val="20"/>
        </w:rPr>
        <w:t>relevant.</w:t>
      </w:r>
    </w:p>
    <w:p>
      <w:pPr>
        <w:pStyle w:val="ListParagraph"/>
        <w:numPr>
          <w:ilvl w:val="0"/>
          <w:numId w:val="79"/>
        </w:numPr>
        <w:tabs>
          <w:tab w:pos="1992" w:val="left" w:leader="none"/>
          <w:tab w:pos="1993" w:val="left" w:leader="none"/>
        </w:tabs>
        <w:spacing w:line="206" w:lineRule="auto" w:before="97" w:after="0"/>
        <w:ind w:left="1992" w:right="1587" w:hanging="793"/>
        <w:jc w:val="both"/>
        <w:rPr>
          <w:sz w:val="20"/>
        </w:rPr>
      </w:pPr>
      <w:r>
        <w:rPr>
          <w:sz w:val="20"/>
        </w:rPr>
        <w:t>If</w:t>
      </w:r>
      <w:r>
        <w:rPr>
          <w:spacing w:val="-7"/>
          <w:sz w:val="20"/>
        </w:rPr>
        <w:t> </w:t>
      </w:r>
      <w:r>
        <w:rPr>
          <w:sz w:val="20"/>
        </w:rPr>
        <w:t>the</w:t>
      </w:r>
      <w:r>
        <w:rPr>
          <w:spacing w:val="-6"/>
          <w:sz w:val="20"/>
        </w:rPr>
        <w:t> </w:t>
      </w:r>
      <w:r>
        <w:rPr>
          <w:sz w:val="20"/>
        </w:rPr>
        <w:t>judge</w:t>
      </w:r>
      <w:r>
        <w:rPr>
          <w:spacing w:val="-6"/>
          <w:sz w:val="20"/>
        </w:rPr>
        <w:t> </w:t>
      </w:r>
      <w:r>
        <w:rPr>
          <w:sz w:val="20"/>
        </w:rPr>
        <w:t>makes</w:t>
      </w:r>
      <w:r>
        <w:rPr>
          <w:spacing w:val="-6"/>
          <w:sz w:val="20"/>
        </w:rPr>
        <w:t> </w:t>
      </w:r>
      <w:r>
        <w:rPr>
          <w:sz w:val="20"/>
        </w:rPr>
        <w:t>a</w:t>
      </w:r>
      <w:r>
        <w:rPr>
          <w:spacing w:val="-6"/>
          <w:sz w:val="20"/>
        </w:rPr>
        <w:t> </w:t>
      </w:r>
      <w:r>
        <w:rPr>
          <w:sz w:val="20"/>
        </w:rPr>
        <w:t>direction</w:t>
      </w:r>
      <w:r>
        <w:rPr>
          <w:spacing w:val="-6"/>
          <w:sz w:val="20"/>
        </w:rPr>
        <w:t> </w:t>
      </w:r>
      <w:r>
        <w:rPr>
          <w:sz w:val="20"/>
        </w:rPr>
        <w:t>allowing</w:t>
      </w:r>
      <w:r>
        <w:rPr>
          <w:spacing w:val="-6"/>
          <w:sz w:val="20"/>
        </w:rPr>
        <w:t> </w:t>
      </w:r>
      <w:r>
        <w:rPr>
          <w:sz w:val="20"/>
        </w:rPr>
        <w:t>an</w:t>
      </w:r>
      <w:r>
        <w:rPr>
          <w:spacing w:val="-6"/>
          <w:sz w:val="20"/>
        </w:rPr>
        <w:t> </w:t>
      </w:r>
      <w:r>
        <w:rPr>
          <w:sz w:val="20"/>
        </w:rPr>
        <w:t>interpreter</w:t>
      </w:r>
      <w:r>
        <w:rPr>
          <w:spacing w:val="-6"/>
          <w:sz w:val="20"/>
        </w:rPr>
        <w:t> </w:t>
      </w:r>
      <w:r>
        <w:rPr>
          <w:sz w:val="20"/>
        </w:rPr>
        <w:t>or</w:t>
      </w:r>
      <w:r>
        <w:rPr>
          <w:spacing w:val="-6"/>
          <w:sz w:val="20"/>
        </w:rPr>
        <w:t> </w:t>
      </w:r>
      <w:r>
        <w:rPr>
          <w:sz w:val="20"/>
        </w:rPr>
        <w:t>support</w:t>
      </w:r>
      <w:r>
        <w:rPr>
          <w:spacing w:val="-6"/>
          <w:sz w:val="20"/>
        </w:rPr>
        <w:t> </w:t>
      </w:r>
      <w:r>
        <w:rPr>
          <w:sz w:val="20"/>
        </w:rPr>
        <w:t>person</w:t>
      </w:r>
      <w:r>
        <w:rPr>
          <w:spacing w:val="-6"/>
          <w:sz w:val="20"/>
        </w:rPr>
        <w:t> </w:t>
      </w:r>
      <w:r>
        <w:rPr>
          <w:sz w:val="20"/>
        </w:rPr>
        <w:t>to</w:t>
      </w:r>
      <w:r>
        <w:rPr>
          <w:spacing w:val="-6"/>
          <w:sz w:val="20"/>
        </w:rPr>
        <w:t> </w:t>
      </w:r>
      <w:r>
        <w:rPr>
          <w:sz w:val="20"/>
        </w:rPr>
        <w:t>assist the person to properly discharge the duties of a</w:t>
      </w:r>
      <w:r>
        <w:rPr>
          <w:spacing w:val="-24"/>
          <w:sz w:val="20"/>
        </w:rPr>
        <w:t> </w:t>
      </w:r>
      <w:r>
        <w:rPr>
          <w:spacing w:val="-3"/>
          <w:sz w:val="20"/>
        </w:rPr>
        <w:t>juror—</w:t>
      </w:r>
    </w:p>
    <w:p>
      <w:pPr>
        <w:pStyle w:val="ListParagraph"/>
        <w:numPr>
          <w:ilvl w:val="1"/>
          <w:numId w:val="79"/>
        </w:numPr>
        <w:tabs>
          <w:tab w:pos="2390" w:val="left" w:leader="none"/>
        </w:tabs>
        <w:spacing w:line="206" w:lineRule="auto" w:before="105" w:after="0"/>
        <w:ind w:left="2389" w:right="1936" w:hanging="397"/>
        <w:jc w:val="left"/>
        <w:rPr>
          <w:sz w:val="20"/>
        </w:rPr>
      </w:pPr>
      <w:r>
        <w:rPr>
          <w:sz w:val="20"/>
        </w:rPr>
        <w:t>the</w:t>
      </w:r>
      <w:r>
        <w:rPr>
          <w:spacing w:val="-6"/>
          <w:sz w:val="20"/>
        </w:rPr>
        <w:t> </w:t>
      </w:r>
      <w:r>
        <w:rPr>
          <w:sz w:val="20"/>
        </w:rPr>
        <w:t>common</w:t>
      </w:r>
      <w:r>
        <w:rPr>
          <w:spacing w:val="-5"/>
          <w:sz w:val="20"/>
        </w:rPr>
        <w:t> </w:t>
      </w:r>
      <w:r>
        <w:rPr>
          <w:sz w:val="20"/>
        </w:rPr>
        <w:t>law</w:t>
      </w:r>
      <w:r>
        <w:rPr>
          <w:spacing w:val="-5"/>
          <w:sz w:val="20"/>
        </w:rPr>
        <w:t> </w:t>
      </w:r>
      <w:r>
        <w:rPr>
          <w:sz w:val="20"/>
        </w:rPr>
        <w:t>rule</w:t>
      </w:r>
      <w:r>
        <w:rPr>
          <w:spacing w:val="-5"/>
          <w:sz w:val="20"/>
        </w:rPr>
        <w:t> </w:t>
      </w:r>
      <w:r>
        <w:rPr>
          <w:sz w:val="20"/>
        </w:rPr>
        <w:t>against</w:t>
      </w:r>
      <w:r>
        <w:rPr>
          <w:spacing w:val="-5"/>
          <w:sz w:val="20"/>
        </w:rPr>
        <w:t> </w:t>
      </w:r>
      <w:r>
        <w:rPr>
          <w:sz w:val="20"/>
        </w:rPr>
        <w:t>having</w:t>
      </w:r>
      <w:r>
        <w:rPr>
          <w:spacing w:val="-6"/>
          <w:sz w:val="20"/>
        </w:rPr>
        <w:t> </w:t>
      </w:r>
      <w:r>
        <w:rPr>
          <w:sz w:val="20"/>
        </w:rPr>
        <w:t>a</w:t>
      </w:r>
      <w:r>
        <w:rPr>
          <w:spacing w:val="-5"/>
          <w:sz w:val="20"/>
        </w:rPr>
        <w:t> </w:t>
      </w:r>
      <w:r>
        <w:rPr>
          <w:sz w:val="20"/>
        </w:rPr>
        <w:t>non-juror</w:t>
      </w:r>
      <w:r>
        <w:rPr>
          <w:spacing w:val="-5"/>
          <w:sz w:val="20"/>
        </w:rPr>
        <w:t> </w:t>
      </w:r>
      <w:r>
        <w:rPr>
          <w:sz w:val="20"/>
        </w:rPr>
        <w:t>in</w:t>
      </w:r>
      <w:r>
        <w:rPr>
          <w:spacing w:val="-5"/>
          <w:sz w:val="20"/>
        </w:rPr>
        <w:t> </w:t>
      </w:r>
      <w:r>
        <w:rPr>
          <w:sz w:val="20"/>
        </w:rPr>
        <w:t>the</w:t>
      </w:r>
      <w:r>
        <w:rPr>
          <w:spacing w:val="-5"/>
          <w:sz w:val="20"/>
        </w:rPr>
        <w:t> </w:t>
      </w:r>
      <w:r>
        <w:rPr>
          <w:sz w:val="20"/>
        </w:rPr>
        <w:t>jury</w:t>
      </w:r>
      <w:r>
        <w:rPr>
          <w:spacing w:val="-6"/>
          <w:sz w:val="20"/>
        </w:rPr>
        <w:t> </w:t>
      </w:r>
      <w:r>
        <w:rPr>
          <w:sz w:val="20"/>
        </w:rPr>
        <w:t>room</w:t>
      </w:r>
      <w:r>
        <w:rPr>
          <w:spacing w:val="-5"/>
          <w:sz w:val="20"/>
        </w:rPr>
        <w:t> </w:t>
      </w:r>
      <w:r>
        <w:rPr>
          <w:sz w:val="20"/>
        </w:rPr>
        <w:t>is</w:t>
      </w:r>
      <w:r>
        <w:rPr>
          <w:spacing w:val="-5"/>
          <w:sz w:val="20"/>
        </w:rPr>
        <w:t> </w:t>
      </w:r>
      <w:r>
        <w:rPr>
          <w:sz w:val="20"/>
        </w:rPr>
        <w:t>not</w:t>
      </w:r>
      <w:r>
        <w:rPr>
          <w:spacing w:val="-5"/>
          <w:sz w:val="20"/>
        </w:rPr>
        <w:t> </w:t>
      </w:r>
      <w:r>
        <w:rPr>
          <w:sz w:val="20"/>
        </w:rPr>
        <w:t>a </w:t>
      </w:r>
      <w:r>
        <w:rPr>
          <w:spacing w:val="-3"/>
          <w:sz w:val="20"/>
        </w:rPr>
        <w:t>relevant </w:t>
      </w:r>
      <w:r>
        <w:rPr>
          <w:sz w:val="20"/>
        </w:rPr>
        <w:t>consideration;</w:t>
      </w:r>
      <w:r>
        <w:rPr>
          <w:spacing w:val="-2"/>
          <w:sz w:val="20"/>
        </w:rPr>
        <w:t> </w:t>
      </w:r>
      <w:r>
        <w:rPr>
          <w:sz w:val="20"/>
        </w:rPr>
        <w:t>and</w:t>
      </w:r>
    </w:p>
    <w:p>
      <w:pPr>
        <w:pStyle w:val="ListParagraph"/>
        <w:numPr>
          <w:ilvl w:val="1"/>
          <w:numId w:val="79"/>
        </w:numPr>
        <w:tabs>
          <w:tab w:pos="2390" w:val="left" w:leader="none"/>
        </w:tabs>
        <w:spacing w:line="206" w:lineRule="auto" w:before="104" w:after="0"/>
        <w:ind w:left="2389" w:right="1498" w:hanging="397"/>
        <w:jc w:val="left"/>
        <w:rPr>
          <w:sz w:val="20"/>
        </w:rPr>
      </w:pPr>
      <w:r>
        <w:rPr>
          <w:sz w:val="20"/>
        </w:rPr>
        <w:t>a direction to allow a non-juror to be present during jury deliberations is solely</w:t>
      </w:r>
      <w:r>
        <w:rPr>
          <w:spacing w:val="-6"/>
          <w:sz w:val="20"/>
        </w:rPr>
        <w:t> </w:t>
      </w:r>
      <w:r>
        <w:rPr>
          <w:sz w:val="20"/>
        </w:rPr>
        <w:t>for</w:t>
      </w:r>
      <w:r>
        <w:rPr>
          <w:spacing w:val="-6"/>
          <w:sz w:val="20"/>
        </w:rPr>
        <w:t> </w:t>
      </w:r>
      <w:r>
        <w:rPr>
          <w:sz w:val="20"/>
        </w:rPr>
        <w:t>assisting</w:t>
      </w:r>
      <w:r>
        <w:rPr>
          <w:spacing w:val="-6"/>
          <w:sz w:val="20"/>
        </w:rPr>
        <w:t> </w:t>
      </w:r>
      <w:r>
        <w:rPr>
          <w:sz w:val="20"/>
        </w:rPr>
        <w:t>the</w:t>
      </w:r>
      <w:r>
        <w:rPr>
          <w:spacing w:val="-5"/>
          <w:sz w:val="20"/>
        </w:rPr>
        <w:t> </w:t>
      </w:r>
      <w:r>
        <w:rPr>
          <w:sz w:val="20"/>
        </w:rPr>
        <w:t>person</w:t>
      </w:r>
      <w:r>
        <w:rPr>
          <w:spacing w:val="-6"/>
          <w:sz w:val="20"/>
        </w:rPr>
        <w:t> </w:t>
      </w:r>
      <w:r>
        <w:rPr>
          <w:sz w:val="20"/>
        </w:rPr>
        <w:t>to</w:t>
      </w:r>
      <w:r>
        <w:rPr>
          <w:spacing w:val="-6"/>
          <w:sz w:val="20"/>
        </w:rPr>
        <w:t> </w:t>
      </w:r>
      <w:r>
        <w:rPr>
          <w:sz w:val="20"/>
        </w:rPr>
        <w:t>properly</w:t>
      </w:r>
      <w:r>
        <w:rPr>
          <w:spacing w:val="-5"/>
          <w:sz w:val="20"/>
        </w:rPr>
        <w:t> </w:t>
      </w:r>
      <w:r>
        <w:rPr>
          <w:sz w:val="20"/>
        </w:rPr>
        <w:t>discharge</w:t>
      </w:r>
      <w:r>
        <w:rPr>
          <w:spacing w:val="-6"/>
          <w:sz w:val="20"/>
        </w:rPr>
        <w:t> </w:t>
      </w:r>
      <w:r>
        <w:rPr>
          <w:sz w:val="20"/>
        </w:rPr>
        <w:t>the</w:t>
      </w:r>
      <w:r>
        <w:rPr>
          <w:spacing w:val="-6"/>
          <w:sz w:val="20"/>
        </w:rPr>
        <w:t> </w:t>
      </w:r>
      <w:r>
        <w:rPr>
          <w:sz w:val="20"/>
        </w:rPr>
        <w:t>duties</w:t>
      </w:r>
      <w:r>
        <w:rPr>
          <w:spacing w:val="-6"/>
          <w:sz w:val="20"/>
        </w:rPr>
        <w:t> </w:t>
      </w:r>
      <w:r>
        <w:rPr>
          <w:sz w:val="20"/>
        </w:rPr>
        <w:t>of</w:t>
      </w:r>
      <w:r>
        <w:rPr>
          <w:spacing w:val="-5"/>
          <w:sz w:val="20"/>
        </w:rPr>
        <w:t> </w:t>
      </w:r>
      <w:r>
        <w:rPr>
          <w:sz w:val="20"/>
        </w:rPr>
        <w:t>a</w:t>
      </w:r>
      <w:r>
        <w:rPr>
          <w:spacing w:val="-6"/>
          <w:sz w:val="20"/>
        </w:rPr>
        <w:t> </w:t>
      </w:r>
      <w:r>
        <w:rPr>
          <w:sz w:val="20"/>
        </w:rPr>
        <w:t>juror;</w:t>
      </w:r>
      <w:r>
        <w:rPr>
          <w:spacing w:val="-6"/>
          <w:sz w:val="20"/>
        </w:rPr>
        <w:t> </w:t>
      </w:r>
      <w:r>
        <w:rPr>
          <w:sz w:val="20"/>
        </w:rPr>
        <w:t>and</w:t>
      </w:r>
    </w:p>
    <w:p>
      <w:pPr>
        <w:pStyle w:val="ListParagraph"/>
        <w:numPr>
          <w:ilvl w:val="1"/>
          <w:numId w:val="79"/>
        </w:numPr>
        <w:tabs>
          <w:tab w:pos="2390" w:val="left" w:leader="none"/>
        </w:tabs>
        <w:spacing w:line="259" w:lineRule="exact" w:before="72" w:after="0"/>
        <w:ind w:left="2389" w:right="0" w:hanging="397"/>
        <w:jc w:val="left"/>
        <w:rPr>
          <w:sz w:val="20"/>
        </w:rPr>
      </w:pPr>
      <w:r>
        <w:rPr>
          <w:sz w:val="20"/>
        </w:rPr>
        <w:t>the</w:t>
      </w:r>
      <w:r>
        <w:rPr>
          <w:spacing w:val="-4"/>
          <w:sz w:val="20"/>
        </w:rPr>
        <w:t> </w:t>
      </w:r>
      <w:r>
        <w:rPr>
          <w:sz w:val="20"/>
        </w:rPr>
        <w:t>direction</w:t>
      </w:r>
      <w:r>
        <w:rPr>
          <w:spacing w:val="-3"/>
          <w:sz w:val="20"/>
        </w:rPr>
        <w:t> </w:t>
      </w:r>
      <w:r>
        <w:rPr>
          <w:sz w:val="20"/>
        </w:rPr>
        <w:t>is</w:t>
      </w:r>
      <w:r>
        <w:rPr>
          <w:spacing w:val="-3"/>
          <w:sz w:val="20"/>
        </w:rPr>
        <w:t> </w:t>
      </w:r>
      <w:r>
        <w:rPr>
          <w:sz w:val="20"/>
        </w:rPr>
        <w:t>subject</w:t>
      </w:r>
      <w:r>
        <w:rPr>
          <w:spacing w:val="-4"/>
          <w:sz w:val="20"/>
        </w:rPr>
        <w:t> </w:t>
      </w:r>
      <w:r>
        <w:rPr>
          <w:sz w:val="20"/>
        </w:rPr>
        <w:t>to</w:t>
      </w:r>
      <w:r>
        <w:rPr>
          <w:spacing w:val="-3"/>
          <w:sz w:val="20"/>
        </w:rPr>
        <w:t> </w:t>
      </w:r>
      <w:r>
        <w:rPr>
          <w:sz w:val="20"/>
        </w:rPr>
        <w:t>the</w:t>
      </w:r>
      <w:r>
        <w:rPr>
          <w:spacing w:val="-3"/>
          <w:sz w:val="20"/>
        </w:rPr>
        <w:t> </w:t>
      </w:r>
      <w:r>
        <w:rPr>
          <w:sz w:val="20"/>
        </w:rPr>
        <w:t>interpreter</w:t>
      </w:r>
      <w:r>
        <w:rPr>
          <w:spacing w:val="-3"/>
          <w:sz w:val="20"/>
        </w:rPr>
        <w:t> </w:t>
      </w:r>
      <w:r>
        <w:rPr>
          <w:sz w:val="20"/>
        </w:rPr>
        <w:t>or</w:t>
      </w:r>
      <w:r>
        <w:rPr>
          <w:spacing w:val="-4"/>
          <w:sz w:val="20"/>
        </w:rPr>
        <w:t> </w:t>
      </w:r>
      <w:r>
        <w:rPr>
          <w:sz w:val="20"/>
        </w:rPr>
        <w:t>support</w:t>
      </w:r>
      <w:r>
        <w:rPr>
          <w:spacing w:val="-3"/>
          <w:sz w:val="20"/>
        </w:rPr>
        <w:t> </w:t>
      </w:r>
      <w:r>
        <w:rPr>
          <w:sz w:val="20"/>
        </w:rPr>
        <w:t>person</w:t>
      </w:r>
      <w:r>
        <w:rPr>
          <w:spacing w:val="-3"/>
          <w:sz w:val="20"/>
        </w:rPr>
        <w:t> </w:t>
      </w:r>
      <w:r>
        <w:rPr>
          <w:sz w:val="20"/>
        </w:rPr>
        <w:t>agreeing</w:t>
      </w:r>
      <w:r>
        <w:rPr>
          <w:spacing w:val="-4"/>
          <w:sz w:val="20"/>
        </w:rPr>
        <w:t> </w:t>
      </w:r>
      <w:r>
        <w:rPr>
          <w:sz w:val="20"/>
        </w:rPr>
        <w:t>to</w:t>
      </w:r>
      <w:r>
        <w:rPr>
          <w:spacing w:val="-3"/>
          <w:sz w:val="20"/>
        </w:rPr>
        <w:t> </w:t>
      </w:r>
      <w:r>
        <w:rPr>
          <w:sz w:val="20"/>
        </w:rPr>
        <w:t>make</w:t>
      </w:r>
    </w:p>
    <w:p>
      <w:pPr>
        <w:pStyle w:val="BodyText"/>
        <w:spacing w:line="259" w:lineRule="exact"/>
        <w:ind w:left="2389"/>
      </w:pPr>
      <w:r>
        <w:rPr/>
        <w:t>an oath or affirmation in accordance with schedule 1, part 1.1A or part 1.1B.</w:t>
      </w:r>
    </w:p>
    <w:p>
      <w:pPr>
        <w:pStyle w:val="ListParagraph"/>
        <w:numPr>
          <w:ilvl w:val="0"/>
          <w:numId w:val="79"/>
        </w:numPr>
        <w:tabs>
          <w:tab w:pos="1992" w:val="left" w:leader="none"/>
          <w:tab w:pos="1993" w:val="left" w:leader="none"/>
        </w:tabs>
        <w:spacing w:line="206" w:lineRule="auto" w:before="97" w:after="0"/>
        <w:ind w:left="1992" w:right="1518" w:hanging="793"/>
        <w:jc w:val="both"/>
        <w:rPr>
          <w:sz w:val="20"/>
        </w:rPr>
      </w:pPr>
      <w:r>
        <w:rPr>
          <w:sz w:val="20"/>
        </w:rPr>
        <w:t>If</w:t>
      </w:r>
      <w:r>
        <w:rPr>
          <w:spacing w:val="-6"/>
          <w:sz w:val="20"/>
        </w:rPr>
        <w:t> </w:t>
      </w:r>
      <w:r>
        <w:rPr>
          <w:sz w:val="20"/>
        </w:rPr>
        <w:t>the</w:t>
      </w:r>
      <w:r>
        <w:rPr>
          <w:spacing w:val="-6"/>
          <w:sz w:val="20"/>
        </w:rPr>
        <w:t> </w:t>
      </w:r>
      <w:r>
        <w:rPr>
          <w:sz w:val="20"/>
        </w:rPr>
        <w:t>judge</w:t>
      </w:r>
      <w:r>
        <w:rPr>
          <w:spacing w:val="-6"/>
          <w:sz w:val="20"/>
        </w:rPr>
        <w:t> </w:t>
      </w:r>
      <w:r>
        <w:rPr>
          <w:sz w:val="20"/>
        </w:rPr>
        <w:t>is</w:t>
      </w:r>
      <w:r>
        <w:rPr>
          <w:spacing w:val="-6"/>
          <w:sz w:val="20"/>
        </w:rPr>
        <w:t> </w:t>
      </w:r>
      <w:r>
        <w:rPr>
          <w:sz w:val="20"/>
        </w:rPr>
        <w:t>not</w:t>
      </w:r>
      <w:r>
        <w:rPr>
          <w:spacing w:val="-5"/>
          <w:sz w:val="20"/>
        </w:rPr>
        <w:t> </w:t>
      </w:r>
      <w:r>
        <w:rPr>
          <w:sz w:val="20"/>
        </w:rPr>
        <w:t>satisfied</w:t>
      </w:r>
      <w:r>
        <w:rPr>
          <w:spacing w:val="-6"/>
          <w:sz w:val="20"/>
        </w:rPr>
        <w:t> </w:t>
      </w:r>
      <w:r>
        <w:rPr>
          <w:sz w:val="20"/>
        </w:rPr>
        <w:t>that</w:t>
      </w:r>
      <w:r>
        <w:rPr>
          <w:spacing w:val="-6"/>
          <w:sz w:val="20"/>
        </w:rPr>
        <w:t> </w:t>
      </w:r>
      <w:r>
        <w:rPr>
          <w:sz w:val="20"/>
        </w:rPr>
        <w:t>support</w:t>
      </w:r>
      <w:r>
        <w:rPr>
          <w:spacing w:val="-6"/>
          <w:sz w:val="20"/>
        </w:rPr>
        <w:t> </w:t>
      </w:r>
      <w:r>
        <w:rPr>
          <w:sz w:val="20"/>
        </w:rPr>
        <w:t>that</w:t>
      </w:r>
      <w:r>
        <w:rPr>
          <w:spacing w:val="-5"/>
          <w:sz w:val="20"/>
        </w:rPr>
        <w:t> </w:t>
      </w:r>
      <w:r>
        <w:rPr>
          <w:sz w:val="20"/>
        </w:rPr>
        <w:t>would</w:t>
      </w:r>
      <w:r>
        <w:rPr>
          <w:spacing w:val="-6"/>
          <w:sz w:val="20"/>
        </w:rPr>
        <w:t> </w:t>
      </w:r>
      <w:r>
        <w:rPr>
          <w:sz w:val="20"/>
        </w:rPr>
        <w:t>enable</w:t>
      </w:r>
      <w:r>
        <w:rPr>
          <w:spacing w:val="-6"/>
          <w:sz w:val="20"/>
        </w:rPr>
        <w:t> </w:t>
      </w:r>
      <w:r>
        <w:rPr>
          <w:sz w:val="20"/>
        </w:rPr>
        <w:t>the</w:t>
      </w:r>
      <w:r>
        <w:rPr>
          <w:spacing w:val="-6"/>
          <w:sz w:val="20"/>
        </w:rPr>
        <w:t> </w:t>
      </w:r>
      <w:r>
        <w:rPr>
          <w:sz w:val="20"/>
        </w:rPr>
        <w:t>person</w:t>
      </w:r>
      <w:r>
        <w:rPr>
          <w:spacing w:val="-5"/>
          <w:sz w:val="20"/>
        </w:rPr>
        <w:t> </w:t>
      </w:r>
      <w:r>
        <w:rPr>
          <w:sz w:val="20"/>
        </w:rPr>
        <w:t>to</w:t>
      </w:r>
      <w:r>
        <w:rPr>
          <w:spacing w:val="-6"/>
          <w:sz w:val="20"/>
        </w:rPr>
        <w:t> </w:t>
      </w:r>
      <w:r>
        <w:rPr>
          <w:sz w:val="20"/>
        </w:rPr>
        <w:t>properly discharge</w:t>
      </w:r>
      <w:r>
        <w:rPr>
          <w:spacing w:val="-7"/>
          <w:sz w:val="20"/>
        </w:rPr>
        <w:t> </w:t>
      </w:r>
      <w:r>
        <w:rPr>
          <w:sz w:val="20"/>
        </w:rPr>
        <w:t>the</w:t>
      </w:r>
      <w:r>
        <w:rPr>
          <w:spacing w:val="-7"/>
          <w:sz w:val="20"/>
        </w:rPr>
        <w:t> </w:t>
      </w:r>
      <w:r>
        <w:rPr>
          <w:sz w:val="20"/>
        </w:rPr>
        <w:t>duties</w:t>
      </w:r>
      <w:r>
        <w:rPr>
          <w:spacing w:val="-7"/>
          <w:sz w:val="20"/>
        </w:rPr>
        <w:t> </w:t>
      </w:r>
      <w:r>
        <w:rPr>
          <w:sz w:val="20"/>
        </w:rPr>
        <w:t>of</w:t>
      </w:r>
      <w:r>
        <w:rPr>
          <w:spacing w:val="-7"/>
          <w:sz w:val="20"/>
        </w:rPr>
        <w:t> </w:t>
      </w:r>
      <w:r>
        <w:rPr>
          <w:sz w:val="20"/>
        </w:rPr>
        <w:t>a</w:t>
      </w:r>
      <w:r>
        <w:rPr>
          <w:spacing w:val="-7"/>
          <w:sz w:val="20"/>
        </w:rPr>
        <w:t> </w:t>
      </w:r>
      <w:r>
        <w:rPr>
          <w:sz w:val="20"/>
        </w:rPr>
        <w:t>juror</w:t>
      </w:r>
      <w:r>
        <w:rPr>
          <w:spacing w:val="-6"/>
          <w:sz w:val="20"/>
        </w:rPr>
        <w:t> </w:t>
      </w:r>
      <w:r>
        <w:rPr>
          <w:sz w:val="20"/>
        </w:rPr>
        <w:t>can</w:t>
      </w:r>
      <w:r>
        <w:rPr>
          <w:spacing w:val="-7"/>
          <w:sz w:val="20"/>
        </w:rPr>
        <w:t> </w:t>
      </w:r>
      <w:r>
        <w:rPr>
          <w:sz w:val="20"/>
        </w:rPr>
        <w:t>reasonably</w:t>
      </w:r>
      <w:r>
        <w:rPr>
          <w:spacing w:val="-7"/>
          <w:sz w:val="20"/>
        </w:rPr>
        <w:t> </w:t>
      </w:r>
      <w:r>
        <w:rPr>
          <w:sz w:val="20"/>
        </w:rPr>
        <w:t>be</w:t>
      </w:r>
      <w:r>
        <w:rPr>
          <w:spacing w:val="-7"/>
          <w:sz w:val="20"/>
        </w:rPr>
        <w:t> </w:t>
      </w:r>
      <w:r>
        <w:rPr>
          <w:sz w:val="20"/>
        </w:rPr>
        <w:t>given,</w:t>
      </w:r>
      <w:r>
        <w:rPr>
          <w:spacing w:val="-7"/>
          <w:sz w:val="20"/>
        </w:rPr>
        <w:t> </w:t>
      </w:r>
      <w:r>
        <w:rPr>
          <w:sz w:val="20"/>
        </w:rPr>
        <w:t>the</w:t>
      </w:r>
      <w:r>
        <w:rPr>
          <w:spacing w:val="-6"/>
          <w:sz w:val="20"/>
        </w:rPr>
        <w:t> </w:t>
      </w:r>
      <w:r>
        <w:rPr>
          <w:sz w:val="20"/>
        </w:rPr>
        <w:t>judge</w:t>
      </w:r>
      <w:r>
        <w:rPr>
          <w:spacing w:val="-7"/>
          <w:sz w:val="20"/>
        </w:rPr>
        <w:t> </w:t>
      </w:r>
      <w:r>
        <w:rPr>
          <w:sz w:val="20"/>
        </w:rPr>
        <w:t>may</w:t>
      </w:r>
      <w:r>
        <w:rPr>
          <w:spacing w:val="-7"/>
          <w:sz w:val="20"/>
        </w:rPr>
        <w:t> </w:t>
      </w:r>
      <w:r>
        <w:rPr>
          <w:sz w:val="20"/>
        </w:rPr>
        <w:t>discharge that</w:t>
      </w:r>
      <w:r>
        <w:rPr>
          <w:spacing w:val="-5"/>
          <w:sz w:val="20"/>
        </w:rPr>
        <w:t> </w:t>
      </w:r>
      <w:r>
        <w:rPr>
          <w:sz w:val="20"/>
        </w:rPr>
        <w:t>person</w:t>
      </w:r>
      <w:r>
        <w:rPr>
          <w:spacing w:val="-5"/>
          <w:sz w:val="20"/>
        </w:rPr>
        <w:t> </w:t>
      </w:r>
      <w:r>
        <w:rPr>
          <w:sz w:val="20"/>
        </w:rPr>
        <w:t>from</w:t>
      </w:r>
      <w:r>
        <w:rPr>
          <w:spacing w:val="-4"/>
          <w:sz w:val="20"/>
        </w:rPr>
        <w:t> </w:t>
      </w:r>
      <w:r>
        <w:rPr>
          <w:sz w:val="20"/>
        </w:rPr>
        <w:t>further</w:t>
      </w:r>
      <w:r>
        <w:rPr>
          <w:spacing w:val="-5"/>
          <w:sz w:val="20"/>
        </w:rPr>
        <w:t> </w:t>
      </w:r>
      <w:r>
        <w:rPr>
          <w:sz w:val="20"/>
        </w:rPr>
        <w:t>attendance</w:t>
      </w:r>
      <w:r>
        <w:rPr>
          <w:spacing w:val="-4"/>
          <w:sz w:val="20"/>
        </w:rPr>
        <w:t> </w:t>
      </w:r>
      <w:r>
        <w:rPr>
          <w:sz w:val="20"/>
        </w:rPr>
        <w:t>on</w:t>
      </w:r>
      <w:r>
        <w:rPr>
          <w:spacing w:val="-5"/>
          <w:sz w:val="20"/>
        </w:rPr>
        <w:t> </w:t>
      </w:r>
      <w:r>
        <w:rPr>
          <w:sz w:val="20"/>
        </w:rPr>
        <w:t>the</w:t>
      </w:r>
      <w:r>
        <w:rPr>
          <w:spacing w:val="-4"/>
          <w:sz w:val="20"/>
        </w:rPr>
        <w:t> </w:t>
      </w:r>
      <w:r>
        <w:rPr>
          <w:sz w:val="20"/>
        </w:rPr>
        <w:t>Supreme</w:t>
      </w:r>
      <w:r>
        <w:rPr>
          <w:spacing w:val="-5"/>
          <w:sz w:val="20"/>
        </w:rPr>
        <w:t> </w:t>
      </w:r>
      <w:r>
        <w:rPr>
          <w:sz w:val="20"/>
        </w:rPr>
        <w:t>Court</w:t>
      </w:r>
      <w:r>
        <w:rPr>
          <w:spacing w:val="-5"/>
          <w:sz w:val="20"/>
        </w:rPr>
        <w:t> </w:t>
      </w:r>
      <w:r>
        <w:rPr>
          <w:sz w:val="20"/>
        </w:rPr>
        <w:t>under</w:t>
      </w:r>
      <w:r>
        <w:rPr>
          <w:spacing w:val="-4"/>
          <w:sz w:val="20"/>
        </w:rPr>
        <w:t> </w:t>
      </w:r>
      <w:r>
        <w:rPr>
          <w:sz w:val="20"/>
        </w:rPr>
        <w:t>that</w:t>
      </w:r>
      <w:r>
        <w:rPr>
          <w:spacing w:val="-5"/>
          <w:sz w:val="20"/>
        </w:rPr>
        <w:t> </w:t>
      </w:r>
      <w:r>
        <w:rPr>
          <w:sz w:val="20"/>
        </w:rPr>
        <w:t>summons or</w:t>
      </w:r>
      <w:r>
        <w:rPr>
          <w:spacing w:val="-3"/>
          <w:sz w:val="20"/>
        </w:rPr>
        <w:t> </w:t>
      </w:r>
      <w:r>
        <w:rPr>
          <w:sz w:val="20"/>
        </w:rPr>
        <w:t>appointment.</w:t>
      </w:r>
    </w:p>
    <w:p>
      <w:pPr>
        <w:pStyle w:val="BodyText"/>
        <w:rPr>
          <w:sz w:val="22"/>
        </w:rPr>
      </w:pPr>
    </w:p>
    <w:p>
      <w:pPr>
        <w:pStyle w:val="BodyText"/>
        <w:spacing w:before="11"/>
        <w:rPr>
          <w:sz w:val="22"/>
        </w:rPr>
      </w:pPr>
    </w:p>
    <w:p>
      <w:pPr>
        <w:spacing w:before="0"/>
        <w:ind w:left="967" w:right="0" w:firstLine="0"/>
        <w:jc w:val="left"/>
        <w:rPr>
          <w:b/>
          <w:sz w:val="24"/>
        </w:rPr>
      </w:pPr>
      <w:r>
        <w:rPr>
          <w:b/>
          <w:sz w:val="24"/>
        </w:rPr>
        <w:t>The approach in England and Wales</w:t>
      </w:r>
    </w:p>
    <w:p>
      <w:pPr>
        <w:pStyle w:val="ListParagraph"/>
        <w:numPr>
          <w:ilvl w:val="1"/>
          <w:numId w:val="12"/>
        </w:numPr>
        <w:tabs>
          <w:tab w:pos="1761" w:val="left" w:leader="none"/>
          <w:tab w:pos="1762" w:val="left" w:leader="none"/>
        </w:tabs>
        <w:spacing w:line="206" w:lineRule="auto" w:before="127" w:after="0"/>
        <w:ind w:left="1761" w:right="1432" w:hanging="794"/>
        <w:jc w:val="left"/>
        <w:rPr>
          <w:sz w:val="20"/>
        </w:rPr>
      </w:pPr>
      <w:r>
        <w:rPr>
          <w:sz w:val="20"/>
        </w:rPr>
        <w:t>The </w:t>
      </w:r>
      <w:r>
        <w:rPr>
          <w:i/>
          <w:sz w:val="20"/>
        </w:rPr>
        <w:t>Juries Act </w:t>
      </w:r>
      <w:r>
        <w:rPr>
          <w:i/>
          <w:spacing w:val="-7"/>
          <w:sz w:val="20"/>
        </w:rPr>
        <w:t>1974 </w:t>
      </w:r>
      <w:r>
        <w:rPr>
          <w:sz w:val="20"/>
        </w:rPr>
        <w:t>(UK) </w:t>
      </w:r>
      <w:r>
        <w:rPr>
          <w:spacing w:val="-3"/>
          <w:sz w:val="20"/>
        </w:rPr>
        <w:t>(only </w:t>
      </w:r>
      <w:r>
        <w:rPr>
          <w:sz w:val="20"/>
        </w:rPr>
        <w:t>in operation in England and </w:t>
      </w:r>
      <w:r>
        <w:rPr>
          <w:spacing w:val="-4"/>
          <w:sz w:val="20"/>
        </w:rPr>
        <w:t>Wales) </w:t>
      </w:r>
      <w:r>
        <w:rPr>
          <w:sz w:val="20"/>
        </w:rPr>
        <w:t>is silent about the </w:t>
      </w:r>
      <w:r>
        <w:rPr>
          <w:spacing w:val="-3"/>
          <w:sz w:val="20"/>
        </w:rPr>
        <w:t>provision </w:t>
      </w:r>
      <w:r>
        <w:rPr>
          <w:sz w:val="20"/>
        </w:rPr>
        <w:t>of adjustments. </w:t>
      </w:r>
      <w:r>
        <w:rPr>
          <w:spacing w:val="-5"/>
          <w:sz w:val="20"/>
        </w:rPr>
        <w:t>However, </w:t>
      </w:r>
      <w:r>
        <w:rPr>
          <w:sz w:val="20"/>
        </w:rPr>
        <w:t>it </w:t>
      </w:r>
      <w:r>
        <w:rPr>
          <w:spacing w:val="-3"/>
          <w:sz w:val="20"/>
        </w:rPr>
        <w:t>gives </w:t>
      </w:r>
      <w:r>
        <w:rPr>
          <w:sz w:val="20"/>
        </w:rPr>
        <w:t>the judge the </w:t>
      </w:r>
      <w:r>
        <w:rPr>
          <w:spacing w:val="-3"/>
          <w:sz w:val="20"/>
        </w:rPr>
        <w:t>power </w:t>
      </w:r>
      <w:r>
        <w:rPr>
          <w:sz w:val="20"/>
        </w:rPr>
        <w:t>to </w:t>
      </w:r>
      <w:r>
        <w:rPr>
          <w:spacing w:val="-3"/>
          <w:sz w:val="20"/>
        </w:rPr>
        <w:t>make </w:t>
      </w:r>
      <w:r>
        <w:rPr>
          <w:sz w:val="20"/>
        </w:rPr>
        <w:t>decisions on the issue of </w:t>
      </w:r>
      <w:r>
        <w:rPr>
          <w:spacing w:val="-3"/>
          <w:sz w:val="20"/>
        </w:rPr>
        <w:t>capacity. </w:t>
      </w:r>
      <w:r>
        <w:rPr>
          <w:sz w:val="20"/>
        </w:rPr>
        <w:t>The law presumes that a person should serve unless the judge</w:t>
      </w:r>
      <w:r>
        <w:rPr>
          <w:spacing w:val="-13"/>
          <w:sz w:val="20"/>
        </w:rPr>
        <w:t> </w:t>
      </w:r>
      <w:r>
        <w:rPr>
          <w:sz w:val="20"/>
        </w:rPr>
        <w:t>thinks</w:t>
      </w:r>
      <w:r>
        <w:rPr>
          <w:spacing w:val="-13"/>
          <w:sz w:val="20"/>
        </w:rPr>
        <w:t> </w:t>
      </w:r>
      <w:r>
        <w:rPr>
          <w:sz w:val="20"/>
        </w:rPr>
        <w:t>that</w:t>
      </w:r>
      <w:r>
        <w:rPr>
          <w:spacing w:val="-12"/>
          <w:sz w:val="20"/>
        </w:rPr>
        <w:t> </w:t>
      </w:r>
      <w:r>
        <w:rPr>
          <w:sz w:val="20"/>
        </w:rPr>
        <w:t>they</w:t>
      </w:r>
      <w:r>
        <w:rPr>
          <w:spacing w:val="-13"/>
          <w:sz w:val="20"/>
        </w:rPr>
        <w:t> </w:t>
      </w:r>
      <w:r>
        <w:rPr>
          <w:sz w:val="20"/>
        </w:rPr>
        <w:t>cannot</w:t>
      </w:r>
      <w:r>
        <w:rPr>
          <w:spacing w:val="-12"/>
          <w:sz w:val="20"/>
        </w:rPr>
        <w:t> </w:t>
      </w:r>
      <w:r>
        <w:rPr>
          <w:sz w:val="20"/>
        </w:rPr>
        <w:t>act</w:t>
      </w:r>
      <w:r>
        <w:rPr>
          <w:spacing w:val="-13"/>
          <w:sz w:val="20"/>
        </w:rPr>
        <w:t> </w:t>
      </w:r>
      <w:r>
        <w:rPr>
          <w:sz w:val="20"/>
        </w:rPr>
        <w:t>effectively</w:t>
      </w:r>
      <w:r>
        <w:rPr>
          <w:spacing w:val="-13"/>
          <w:sz w:val="20"/>
        </w:rPr>
        <w:t> </w:t>
      </w:r>
      <w:r>
        <w:rPr>
          <w:sz w:val="20"/>
        </w:rPr>
        <w:t>as</w:t>
      </w:r>
      <w:r>
        <w:rPr>
          <w:spacing w:val="-12"/>
          <w:sz w:val="20"/>
        </w:rPr>
        <w:t> </w:t>
      </w:r>
      <w:r>
        <w:rPr>
          <w:sz w:val="20"/>
        </w:rPr>
        <w:t>a</w:t>
      </w:r>
      <w:r>
        <w:rPr>
          <w:spacing w:val="-13"/>
          <w:sz w:val="20"/>
        </w:rPr>
        <w:t> </w:t>
      </w:r>
      <w:r>
        <w:rPr>
          <w:sz w:val="20"/>
        </w:rPr>
        <w:t>juror</w:t>
      </w:r>
      <w:r>
        <w:rPr>
          <w:spacing w:val="-12"/>
          <w:sz w:val="20"/>
        </w:rPr>
        <w:t> </w:t>
      </w:r>
      <w:r>
        <w:rPr>
          <w:sz w:val="20"/>
        </w:rPr>
        <w:t>because</w:t>
      </w:r>
      <w:r>
        <w:rPr>
          <w:spacing w:val="-13"/>
          <w:sz w:val="20"/>
        </w:rPr>
        <w:t> </w:t>
      </w:r>
      <w:r>
        <w:rPr>
          <w:sz w:val="20"/>
        </w:rPr>
        <w:t>of</w:t>
      </w:r>
      <w:r>
        <w:rPr>
          <w:spacing w:val="-13"/>
          <w:sz w:val="20"/>
        </w:rPr>
        <w:t> </w:t>
      </w:r>
      <w:r>
        <w:rPr>
          <w:sz w:val="20"/>
        </w:rPr>
        <w:t>their</w:t>
      </w:r>
      <w:r>
        <w:rPr>
          <w:spacing w:val="-12"/>
          <w:sz w:val="20"/>
        </w:rPr>
        <w:t> </w:t>
      </w:r>
      <w:r>
        <w:rPr>
          <w:sz w:val="20"/>
        </w:rPr>
        <w:t>disability.</w:t>
      </w:r>
      <w:r>
        <w:rPr>
          <w:position w:val="7"/>
          <w:sz w:val="11"/>
        </w:rPr>
        <w:t>6</w:t>
      </w:r>
      <w:r>
        <w:rPr>
          <w:spacing w:val="12"/>
          <w:position w:val="7"/>
          <w:sz w:val="11"/>
        </w:rPr>
        <w:t> </w:t>
      </w:r>
      <w:r>
        <w:rPr>
          <w:sz w:val="20"/>
        </w:rPr>
        <w:t>The </w:t>
      </w:r>
      <w:r>
        <w:rPr>
          <w:spacing w:val="-3"/>
          <w:sz w:val="20"/>
        </w:rPr>
        <w:t>relevant provision </w:t>
      </w:r>
      <w:r>
        <w:rPr>
          <w:sz w:val="20"/>
        </w:rPr>
        <w:t>is set out</w:t>
      </w:r>
      <w:r>
        <w:rPr>
          <w:spacing w:val="-15"/>
          <w:sz w:val="20"/>
        </w:rPr>
        <w:t> </w:t>
      </w:r>
      <w:r>
        <w:rPr>
          <w:spacing w:val="-5"/>
          <w:sz w:val="20"/>
        </w:rPr>
        <w:t>below.</w:t>
      </w:r>
    </w:p>
    <w:p>
      <w:pPr>
        <w:pStyle w:val="BodyText"/>
        <w:spacing w:before="10"/>
        <w:rPr>
          <w:sz w:val="23"/>
        </w:rPr>
      </w:pPr>
      <w:r>
        <w:rPr/>
        <w:pict>
          <v:shape style="position:absolute;margin-left:79.620102pt;margin-top:18.694099pt;width:436.05pt;height:150.3pt;mso-position-horizontal-relative:page;mso-position-vertical-relative:paragraph;z-index:6752;mso-wrap-distance-left:0;mso-wrap-distance-right:0" type="#_x0000_t202" filled="true" fillcolor="#dddfe4" stroked="true" strokeweight=".5pt" strokecolor="#37617a">
            <v:textbox inset="0,0,0,0">
              <w:txbxContent>
                <w:p>
                  <w:pPr>
                    <w:spacing w:line="259" w:lineRule="exact" w:before="179"/>
                    <w:ind w:left="221" w:right="0" w:firstLine="0"/>
                    <w:jc w:val="left"/>
                    <w:rPr>
                      <w:b/>
                      <w:sz w:val="20"/>
                    </w:rPr>
                  </w:pPr>
                  <w:r>
                    <w:rPr>
                      <w:b/>
                      <w:sz w:val="20"/>
                    </w:rPr>
                    <w:t>Section 9B—Discharge of summonses to disabled persons only if incapable of acting</w:t>
                  </w:r>
                </w:p>
                <w:p>
                  <w:pPr>
                    <w:spacing w:line="259" w:lineRule="exact" w:before="0"/>
                    <w:ind w:left="221" w:right="0" w:firstLine="0"/>
                    <w:jc w:val="left"/>
                    <w:rPr>
                      <w:b/>
                      <w:sz w:val="20"/>
                    </w:rPr>
                  </w:pPr>
                  <w:r>
                    <w:rPr>
                      <w:b/>
                      <w:sz w:val="20"/>
                    </w:rPr>
                    <w:t>effectively as a juror.</w:t>
                  </w:r>
                </w:p>
                <w:p>
                  <w:pPr>
                    <w:pStyle w:val="BodyText"/>
                    <w:numPr>
                      <w:ilvl w:val="0"/>
                      <w:numId w:val="80"/>
                    </w:numPr>
                    <w:tabs>
                      <w:tab w:pos="1015" w:val="left" w:leader="none"/>
                      <w:tab w:pos="1016" w:val="left" w:leader="none"/>
                    </w:tabs>
                    <w:spacing w:line="206" w:lineRule="auto" w:before="96" w:after="0"/>
                    <w:ind w:left="1015" w:right="503" w:hanging="794"/>
                    <w:jc w:val="left"/>
                  </w:pPr>
                  <w:r>
                    <w:rPr/>
                    <w:t>Where</w:t>
                  </w:r>
                  <w:r>
                    <w:rPr>
                      <w:spacing w:val="-9"/>
                    </w:rPr>
                    <w:t> </w:t>
                  </w:r>
                  <w:r>
                    <w:rPr/>
                    <w:t>it</w:t>
                  </w:r>
                  <w:r>
                    <w:rPr>
                      <w:spacing w:val="-8"/>
                    </w:rPr>
                    <w:t> </w:t>
                  </w:r>
                  <w:r>
                    <w:rPr/>
                    <w:t>appears</w:t>
                  </w:r>
                  <w:r>
                    <w:rPr>
                      <w:spacing w:val="-8"/>
                    </w:rPr>
                    <w:t> </w:t>
                  </w:r>
                  <w:r>
                    <w:rPr/>
                    <w:t>to</w:t>
                  </w:r>
                  <w:r>
                    <w:rPr>
                      <w:spacing w:val="-8"/>
                    </w:rPr>
                    <w:t> </w:t>
                  </w:r>
                  <w:r>
                    <w:rPr/>
                    <w:t>the</w:t>
                  </w:r>
                  <w:r>
                    <w:rPr>
                      <w:spacing w:val="-9"/>
                    </w:rPr>
                    <w:t> </w:t>
                  </w:r>
                  <w:r>
                    <w:rPr/>
                    <w:t>appropriate</w:t>
                  </w:r>
                  <w:r>
                    <w:rPr>
                      <w:spacing w:val="-8"/>
                    </w:rPr>
                    <w:t> </w:t>
                  </w:r>
                  <w:r>
                    <w:rPr/>
                    <w:t>officer,</w:t>
                  </w:r>
                  <w:r>
                    <w:rPr>
                      <w:spacing w:val="-8"/>
                    </w:rPr>
                    <w:t> </w:t>
                  </w:r>
                  <w:r>
                    <w:rPr/>
                    <w:t>in</w:t>
                  </w:r>
                  <w:r>
                    <w:rPr>
                      <w:spacing w:val="-8"/>
                    </w:rPr>
                    <w:t> </w:t>
                  </w:r>
                  <w:r>
                    <w:rPr/>
                    <w:t>the</w:t>
                  </w:r>
                  <w:r>
                    <w:rPr>
                      <w:spacing w:val="-9"/>
                    </w:rPr>
                    <w:t> </w:t>
                  </w:r>
                  <w:r>
                    <w:rPr/>
                    <w:t>case</w:t>
                  </w:r>
                  <w:r>
                    <w:rPr>
                      <w:spacing w:val="-8"/>
                    </w:rPr>
                    <w:t> </w:t>
                  </w:r>
                  <w:r>
                    <w:rPr/>
                    <w:t>of</w:t>
                  </w:r>
                  <w:r>
                    <w:rPr>
                      <w:spacing w:val="-8"/>
                    </w:rPr>
                    <w:t> </w:t>
                  </w:r>
                  <w:r>
                    <w:rPr/>
                    <w:t>a</w:t>
                  </w:r>
                  <w:r>
                    <w:rPr>
                      <w:spacing w:val="-8"/>
                    </w:rPr>
                    <w:t> </w:t>
                  </w:r>
                  <w:r>
                    <w:rPr/>
                    <w:t>person</w:t>
                  </w:r>
                  <w:r>
                    <w:rPr>
                      <w:spacing w:val="-8"/>
                    </w:rPr>
                    <w:t> </w:t>
                  </w:r>
                  <w:r>
                    <w:rPr/>
                    <w:t>attending</w:t>
                  </w:r>
                  <w:r>
                    <w:rPr>
                      <w:spacing w:val="-9"/>
                    </w:rPr>
                    <w:t> </w:t>
                  </w:r>
                  <w:r>
                    <w:rPr/>
                    <w:t>in pursuance of a summons under this Act, that on account of physical disability there</w:t>
                  </w:r>
                  <w:r>
                    <w:rPr>
                      <w:spacing w:val="-6"/>
                    </w:rPr>
                    <w:t> </w:t>
                  </w:r>
                  <w:r>
                    <w:rPr/>
                    <w:t>is</w:t>
                  </w:r>
                  <w:r>
                    <w:rPr>
                      <w:spacing w:val="-6"/>
                    </w:rPr>
                    <w:t> </w:t>
                  </w:r>
                  <w:r>
                    <w:rPr/>
                    <w:t>doubt</w:t>
                  </w:r>
                  <w:r>
                    <w:rPr>
                      <w:spacing w:val="-5"/>
                    </w:rPr>
                    <w:t> </w:t>
                  </w:r>
                  <w:r>
                    <w:rPr/>
                    <w:t>as</w:t>
                  </w:r>
                  <w:r>
                    <w:rPr>
                      <w:spacing w:val="-6"/>
                    </w:rPr>
                    <w:t> </w:t>
                  </w:r>
                  <w:r>
                    <w:rPr/>
                    <w:t>to</w:t>
                  </w:r>
                  <w:r>
                    <w:rPr>
                      <w:spacing w:val="-6"/>
                    </w:rPr>
                    <w:t> </w:t>
                  </w:r>
                  <w:r>
                    <w:rPr/>
                    <w:t>his</w:t>
                  </w:r>
                  <w:r>
                    <w:rPr>
                      <w:spacing w:val="-5"/>
                    </w:rPr>
                    <w:t> </w:t>
                  </w:r>
                  <w:r>
                    <w:rPr/>
                    <w:t>capacity</w:t>
                  </w:r>
                  <w:r>
                    <w:rPr>
                      <w:spacing w:val="-6"/>
                    </w:rPr>
                    <w:t> </w:t>
                  </w:r>
                  <w:r>
                    <w:rPr/>
                    <w:t>to</w:t>
                  </w:r>
                  <w:r>
                    <w:rPr>
                      <w:spacing w:val="-5"/>
                    </w:rPr>
                    <w:t> </w:t>
                  </w:r>
                  <w:r>
                    <w:rPr/>
                    <w:t>act</w:t>
                  </w:r>
                  <w:r>
                    <w:rPr>
                      <w:spacing w:val="-6"/>
                    </w:rPr>
                    <w:t> </w:t>
                  </w:r>
                  <w:r>
                    <w:rPr/>
                    <w:t>effectively</w:t>
                  </w:r>
                  <w:r>
                    <w:rPr>
                      <w:spacing w:val="-6"/>
                    </w:rPr>
                    <w:t> </w:t>
                  </w:r>
                  <w:r>
                    <w:rPr/>
                    <w:t>as</w:t>
                  </w:r>
                  <w:r>
                    <w:rPr>
                      <w:spacing w:val="-5"/>
                    </w:rPr>
                    <w:t> </w:t>
                  </w:r>
                  <w:r>
                    <w:rPr/>
                    <w:t>a</w:t>
                  </w:r>
                  <w:r>
                    <w:rPr>
                      <w:spacing w:val="-6"/>
                    </w:rPr>
                    <w:t> </w:t>
                  </w:r>
                  <w:r>
                    <w:rPr>
                      <w:spacing w:val="-3"/>
                    </w:rPr>
                    <w:t>juror,</w:t>
                  </w:r>
                  <w:r>
                    <w:rPr>
                      <w:spacing w:val="-5"/>
                    </w:rPr>
                    <w:t> </w:t>
                  </w:r>
                  <w:r>
                    <w:rPr/>
                    <w:t>the</w:t>
                  </w:r>
                  <w:r>
                    <w:rPr>
                      <w:spacing w:val="-6"/>
                    </w:rPr>
                    <w:t> </w:t>
                  </w:r>
                  <w:r>
                    <w:rPr/>
                    <w:t>person</w:t>
                  </w:r>
                  <w:r>
                    <w:rPr>
                      <w:spacing w:val="-6"/>
                    </w:rPr>
                    <w:t> </w:t>
                  </w:r>
                  <w:r>
                    <w:rPr/>
                    <w:t>may</w:t>
                  </w:r>
                  <w:r>
                    <w:rPr>
                      <w:spacing w:val="-5"/>
                    </w:rPr>
                    <w:t> </w:t>
                  </w:r>
                  <w:r>
                    <w:rPr/>
                    <w:t>be brought before the</w:t>
                  </w:r>
                  <w:r>
                    <w:rPr>
                      <w:spacing w:val="-7"/>
                    </w:rPr>
                    <w:t> </w:t>
                  </w:r>
                  <w:r>
                    <w:rPr/>
                    <w:t>judge.</w:t>
                  </w:r>
                </w:p>
                <w:p>
                  <w:pPr>
                    <w:pStyle w:val="BodyText"/>
                    <w:numPr>
                      <w:ilvl w:val="0"/>
                      <w:numId w:val="80"/>
                    </w:numPr>
                    <w:tabs>
                      <w:tab w:pos="1015" w:val="left" w:leader="none"/>
                      <w:tab w:pos="1016" w:val="left" w:leader="none"/>
                    </w:tabs>
                    <w:spacing w:line="206" w:lineRule="auto" w:before="108" w:after="0"/>
                    <w:ind w:left="1015" w:right="267" w:hanging="794"/>
                    <w:jc w:val="left"/>
                  </w:pPr>
                  <w:r>
                    <w:rPr/>
                    <w:t>The</w:t>
                  </w:r>
                  <w:r>
                    <w:rPr>
                      <w:spacing w:val="-6"/>
                    </w:rPr>
                    <w:t> </w:t>
                  </w:r>
                  <w:r>
                    <w:rPr/>
                    <w:t>judge</w:t>
                  </w:r>
                  <w:r>
                    <w:rPr>
                      <w:spacing w:val="-5"/>
                    </w:rPr>
                    <w:t> </w:t>
                  </w:r>
                  <w:r>
                    <w:rPr/>
                    <w:t>shall</w:t>
                  </w:r>
                  <w:r>
                    <w:rPr>
                      <w:spacing w:val="-5"/>
                    </w:rPr>
                    <w:t> </w:t>
                  </w:r>
                  <w:r>
                    <w:rPr/>
                    <w:t>determine</w:t>
                  </w:r>
                  <w:r>
                    <w:rPr>
                      <w:spacing w:val="-5"/>
                    </w:rPr>
                    <w:t> </w:t>
                  </w:r>
                  <w:r>
                    <w:rPr/>
                    <w:t>whether</w:t>
                  </w:r>
                  <w:r>
                    <w:rPr>
                      <w:spacing w:val="-5"/>
                    </w:rPr>
                    <w:t> </w:t>
                  </w:r>
                  <w:r>
                    <w:rPr/>
                    <w:t>or</w:t>
                  </w:r>
                  <w:r>
                    <w:rPr>
                      <w:spacing w:val="-5"/>
                    </w:rPr>
                    <w:t> </w:t>
                  </w:r>
                  <w:r>
                    <w:rPr/>
                    <w:t>not</w:t>
                  </w:r>
                  <w:r>
                    <w:rPr>
                      <w:spacing w:val="-5"/>
                    </w:rPr>
                    <w:t> </w:t>
                  </w:r>
                  <w:r>
                    <w:rPr/>
                    <w:t>the</w:t>
                  </w:r>
                  <w:r>
                    <w:rPr>
                      <w:spacing w:val="-5"/>
                    </w:rPr>
                    <w:t> </w:t>
                  </w:r>
                  <w:r>
                    <w:rPr/>
                    <w:t>person</w:t>
                  </w:r>
                  <w:r>
                    <w:rPr>
                      <w:spacing w:val="-5"/>
                    </w:rPr>
                    <w:t> </w:t>
                  </w:r>
                  <w:r>
                    <w:rPr/>
                    <w:t>should</w:t>
                  </w:r>
                  <w:r>
                    <w:rPr>
                      <w:spacing w:val="-5"/>
                    </w:rPr>
                    <w:t> </w:t>
                  </w:r>
                  <w:r>
                    <w:rPr/>
                    <w:t>act</w:t>
                  </w:r>
                  <w:r>
                    <w:rPr>
                      <w:spacing w:val="-6"/>
                    </w:rPr>
                    <w:t> </w:t>
                  </w:r>
                  <w:r>
                    <w:rPr/>
                    <w:t>as</w:t>
                  </w:r>
                  <w:r>
                    <w:rPr>
                      <w:spacing w:val="-5"/>
                    </w:rPr>
                    <w:t> </w:t>
                  </w:r>
                  <w:r>
                    <w:rPr/>
                    <w:t>a</w:t>
                  </w:r>
                  <w:r>
                    <w:rPr>
                      <w:spacing w:val="-5"/>
                    </w:rPr>
                    <w:t> </w:t>
                  </w:r>
                  <w:r>
                    <w:rPr/>
                    <w:t>juror;</w:t>
                  </w:r>
                  <w:r>
                    <w:rPr>
                      <w:spacing w:val="-5"/>
                    </w:rPr>
                    <w:t> </w:t>
                  </w:r>
                  <w:r>
                    <w:rPr/>
                    <w:t>but</w:t>
                  </w:r>
                  <w:r>
                    <w:rPr>
                      <w:spacing w:val="-5"/>
                    </w:rPr>
                    <w:t> </w:t>
                  </w:r>
                  <w:r>
                    <w:rPr/>
                    <w:t>he shall affirm the summons unless he is of the opinion that the person will not, on account of his disability, be capable of acting effectively as a </w:t>
                  </w:r>
                  <w:r>
                    <w:rPr>
                      <w:spacing w:val="-3"/>
                    </w:rPr>
                    <w:t>juror, </w:t>
                  </w:r>
                  <w:r>
                    <w:rPr/>
                    <w:t>in which case he shall discharge the</w:t>
                  </w:r>
                  <w:r>
                    <w:rPr>
                      <w:spacing w:val="-9"/>
                    </w:rPr>
                    <w:t> </w:t>
                  </w:r>
                  <w:r>
                    <w:rPr/>
                    <w:t>summons.</w:t>
                  </w:r>
                </w:p>
              </w:txbxContent>
            </v:textbox>
            <v:fill type="solid"/>
            <v:stroke dashstyle="solid"/>
            <w10:wrap type="topAndBottom"/>
          </v:shape>
        </w:pict>
      </w:r>
    </w:p>
    <w:p>
      <w:pPr>
        <w:pStyle w:val="BodyText"/>
      </w:pPr>
    </w:p>
    <w:p>
      <w:pPr>
        <w:pStyle w:val="BodyText"/>
        <w:spacing w:before="11"/>
        <w:rPr>
          <w:sz w:val="10"/>
        </w:rPr>
      </w:pPr>
      <w:r>
        <w:rPr/>
        <w:pict>
          <v:line style="position:absolute;mso-position-horizontal-relative:page;mso-position-vertical-relative:paragraph;z-index:6776;mso-wrap-distance-left:0;mso-wrap-distance-right:0" from="79.370102pt,9.9795pt" to="515.905102pt,9.9795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spacing w:before="54"/>
        <w:ind w:left="100" w:right="0" w:firstLine="0"/>
        <w:jc w:val="left"/>
        <w:rPr>
          <w:b/>
          <w:sz w:val="24"/>
        </w:rPr>
      </w:pPr>
      <w:r>
        <w:rPr>
          <w:b/>
          <w:color w:val="37617A"/>
          <w:sz w:val="24"/>
        </w:rPr>
        <w:t>108</w:t>
      </w:r>
    </w:p>
    <w:p>
      <w:pPr>
        <w:pStyle w:val="ListParagraph"/>
        <w:numPr>
          <w:ilvl w:val="0"/>
          <w:numId w:val="76"/>
        </w:numPr>
        <w:tabs>
          <w:tab w:pos="893" w:val="left" w:leader="none"/>
          <w:tab w:pos="894" w:val="left" w:leader="none"/>
        </w:tabs>
        <w:spacing w:line="213" w:lineRule="auto" w:before="38" w:after="0"/>
        <w:ind w:left="893" w:right="1594" w:hanging="793"/>
        <w:jc w:val="left"/>
        <w:rPr>
          <w:sz w:val="13"/>
        </w:rPr>
      </w:pPr>
      <w:r>
        <w:rPr>
          <w:i/>
          <w:spacing w:val="2"/>
          <w:sz w:val="13"/>
        </w:rPr>
        <w:br w:type="column"/>
      </w:r>
      <w:r>
        <w:rPr>
          <w:i/>
          <w:sz w:val="13"/>
        </w:rPr>
        <w:t>Juries Act 1974 </w:t>
      </w:r>
      <w:r>
        <w:rPr>
          <w:spacing w:val="2"/>
          <w:sz w:val="13"/>
        </w:rPr>
        <w:t>(UK) </w:t>
      </w:r>
      <w:r>
        <w:rPr>
          <w:sz w:val="13"/>
        </w:rPr>
        <w:t>s </w:t>
      </w:r>
      <w:r>
        <w:rPr>
          <w:spacing w:val="3"/>
          <w:sz w:val="13"/>
        </w:rPr>
        <w:t>9B. </w:t>
      </w:r>
      <w:r>
        <w:rPr>
          <w:sz w:val="13"/>
        </w:rPr>
        <w:t>See </w:t>
      </w:r>
      <w:r>
        <w:rPr>
          <w:spacing w:val="2"/>
          <w:sz w:val="13"/>
        </w:rPr>
        <w:t>also </w:t>
      </w:r>
      <w:r>
        <w:rPr>
          <w:sz w:val="13"/>
        </w:rPr>
        <w:t>Judicial College </w:t>
      </w:r>
      <w:r>
        <w:rPr>
          <w:spacing w:val="2"/>
          <w:sz w:val="13"/>
        </w:rPr>
        <w:t>UK, </w:t>
      </w:r>
      <w:r>
        <w:rPr>
          <w:i/>
          <w:sz w:val="13"/>
        </w:rPr>
        <w:t>Equal Treatment Bench Book </w:t>
      </w:r>
      <w:r>
        <w:rPr>
          <w:sz w:val="13"/>
        </w:rPr>
        <w:t>(Manual, February 2021) &lt;</w:t>
      </w:r>
      <w:hyperlink r:id="rId129">
        <w:r>
          <w:rPr>
            <w:sz w:val="13"/>
          </w:rPr>
          <w:t>https://www.</w:t>
        </w:r>
      </w:hyperlink>
      <w:hyperlink r:id="rId129">
        <w:r>
          <w:rPr>
            <w:sz w:val="13"/>
          </w:rPr>
          <w:t> judiciary.uk/wp-content/uploads/2021/02/Equal-Treatment-Bench-Book-February-2021-1.pdf</w:t>
        </w:r>
      </w:hyperlink>
      <w:r>
        <w:rPr>
          <w:sz w:val="13"/>
        </w:rPr>
        <w:t>&gt;.</w:t>
      </w:r>
    </w:p>
    <w:p>
      <w:pPr>
        <w:spacing w:after="0" w:line="213" w:lineRule="auto"/>
        <w:jc w:val="left"/>
        <w:rPr>
          <w:sz w:val="13"/>
        </w:rPr>
        <w:sectPr>
          <w:type w:val="continuous"/>
          <w:pgSz w:w="11910" w:h="16840"/>
          <w:pgMar w:top="620" w:bottom="280" w:left="620" w:right="380"/>
          <w:cols w:num="2" w:equalWidth="0">
            <w:col w:w="547" w:space="321"/>
            <w:col w:w="10042"/>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305" w:hanging="794"/>
        <w:jc w:val="left"/>
        <w:rPr>
          <w:sz w:val="20"/>
        </w:rPr>
      </w:pPr>
      <w:bookmarkStart w:name="How should the Juries Act be amended?" w:id="199"/>
      <w:bookmarkEnd w:id="199"/>
      <w:r>
        <w:rPr/>
      </w:r>
      <w:bookmarkStart w:name="_bookmark79" w:id="200"/>
      <w:bookmarkEnd w:id="200"/>
      <w:r>
        <w:rPr/>
      </w:r>
      <w:bookmarkStart w:name="_bookmark79" w:id="201"/>
      <w:bookmarkEnd w:id="201"/>
      <w:r>
        <w:rPr>
          <w:sz w:val="20"/>
        </w:rPr>
        <w:t>I</w:t>
      </w:r>
      <w:r>
        <w:rPr>
          <w:sz w:val="20"/>
        </w:rPr>
        <w:t>n </w:t>
      </w:r>
      <w:r>
        <w:rPr>
          <w:spacing w:val="-2"/>
          <w:sz w:val="20"/>
        </w:rPr>
        <w:t>Chapter </w:t>
      </w:r>
      <w:r>
        <w:rPr>
          <w:spacing w:val="-3"/>
          <w:sz w:val="20"/>
        </w:rPr>
        <w:t>10 we </w:t>
      </w:r>
      <w:r>
        <w:rPr>
          <w:sz w:val="20"/>
        </w:rPr>
        <w:t>discussed the new legislation which </w:t>
      </w:r>
      <w:r>
        <w:rPr>
          <w:spacing w:val="-3"/>
          <w:sz w:val="20"/>
        </w:rPr>
        <w:t>allows </w:t>
      </w:r>
      <w:r>
        <w:rPr>
          <w:sz w:val="20"/>
        </w:rPr>
        <w:t>British Sign Language (BSL) </w:t>
      </w:r>
      <w:r>
        <w:rPr>
          <w:spacing w:val="-3"/>
          <w:sz w:val="20"/>
        </w:rPr>
        <w:t>interpreters </w:t>
      </w:r>
      <w:r>
        <w:rPr>
          <w:sz w:val="20"/>
        </w:rPr>
        <w:t>to enter jury rooms in England and </w:t>
      </w:r>
      <w:r>
        <w:rPr>
          <w:spacing w:val="-4"/>
          <w:sz w:val="20"/>
        </w:rPr>
        <w:t>Wales.</w:t>
      </w:r>
      <w:r>
        <w:rPr>
          <w:spacing w:val="-4"/>
          <w:position w:val="7"/>
          <w:sz w:val="11"/>
        </w:rPr>
        <w:t>7 </w:t>
      </w:r>
      <w:r>
        <w:rPr>
          <w:sz w:val="20"/>
        </w:rPr>
        <w:t>This amends the </w:t>
      </w:r>
      <w:r>
        <w:rPr>
          <w:i/>
          <w:sz w:val="20"/>
        </w:rPr>
        <w:t>Juries </w:t>
      </w:r>
      <w:r>
        <w:rPr>
          <w:i/>
          <w:sz w:val="20"/>
        </w:rPr>
        <w:t>Act </w:t>
      </w:r>
      <w:r>
        <w:rPr>
          <w:i/>
          <w:spacing w:val="-7"/>
          <w:sz w:val="20"/>
        </w:rPr>
        <w:t>1974 </w:t>
      </w:r>
      <w:r>
        <w:rPr>
          <w:sz w:val="20"/>
        </w:rPr>
        <w:t>(UK) so that, for the purposes of section 9B(2) (see </w:t>
      </w:r>
      <w:r>
        <w:rPr>
          <w:spacing w:val="-4"/>
          <w:sz w:val="20"/>
        </w:rPr>
        <w:t>above), </w:t>
      </w:r>
      <w:r>
        <w:rPr>
          <w:sz w:val="20"/>
        </w:rPr>
        <w:t>‘the judge must consider</w:t>
      </w:r>
      <w:r>
        <w:rPr>
          <w:spacing w:val="-9"/>
          <w:sz w:val="20"/>
        </w:rPr>
        <w:t> </w:t>
      </w:r>
      <w:r>
        <w:rPr>
          <w:sz w:val="20"/>
        </w:rPr>
        <w:t>whether</w:t>
      </w:r>
      <w:r>
        <w:rPr>
          <w:spacing w:val="-9"/>
          <w:sz w:val="20"/>
        </w:rPr>
        <w:t> </w:t>
      </w:r>
      <w:r>
        <w:rPr>
          <w:sz w:val="20"/>
        </w:rPr>
        <w:t>the</w:t>
      </w:r>
      <w:r>
        <w:rPr>
          <w:spacing w:val="-9"/>
          <w:sz w:val="20"/>
        </w:rPr>
        <w:t> </w:t>
      </w:r>
      <w:r>
        <w:rPr>
          <w:sz w:val="20"/>
        </w:rPr>
        <w:t>assistance</w:t>
      </w:r>
      <w:r>
        <w:rPr>
          <w:spacing w:val="-8"/>
          <w:sz w:val="20"/>
        </w:rPr>
        <w:t> </w:t>
      </w:r>
      <w:r>
        <w:rPr>
          <w:sz w:val="20"/>
        </w:rPr>
        <w:t>of</w:t>
      </w:r>
      <w:r>
        <w:rPr>
          <w:spacing w:val="-9"/>
          <w:sz w:val="20"/>
        </w:rPr>
        <w:t> </w:t>
      </w:r>
      <w:r>
        <w:rPr>
          <w:sz w:val="20"/>
        </w:rPr>
        <w:t>a</w:t>
      </w:r>
      <w:r>
        <w:rPr>
          <w:spacing w:val="-9"/>
          <w:sz w:val="20"/>
        </w:rPr>
        <w:t> </w:t>
      </w:r>
      <w:r>
        <w:rPr>
          <w:sz w:val="20"/>
        </w:rPr>
        <w:t>British</w:t>
      </w:r>
      <w:r>
        <w:rPr>
          <w:spacing w:val="-9"/>
          <w:sz w:val="20"/>
        </w:rPr>
        <w:t> </w:t>
      </w:r>
      <w:r>
        <w:rPr>
          <w:sz w:val="20"/>
        </w:rPr>
        <w:t>Sign</w:t>
      </w:r>
      <w:r>
        <w:rPr>
          <w:spacing w:val="-8"/>
          <w:sz w:val="20"/>
        </w:rPr>
        <w:t> </w:t>
      </w:r>
      <w:r>
        <w:rPr>
          <w:sz w:val="20"/>
        </w:rPr>
        <w:t>Language</w:t>
      </w:r>
      <w:r>
        <w:rPr>
          <w:spacing w:val="-9"/>
          <w:sz w:val="20"/>
        </w:rPr>
        <w:t> </w:t>
      </w:r>
      <w:r>
        <w:rPr>
          <w:spacing w:val="-3"/>
          <w:sz w:val="20"/>
        </w:rPr>
        <w:t>interpreter</w:t>
      </w:r>
      <w:r>
        <w:rPr>
          <w:spacing w:val="-9"/>
          <w:sz w:val="20"/>
        </w:rPr>
        <w:t> </w:t>
      </w:r>
      <w:r>
        <w:rPr>
          <w:spacing w:val="-3"/>
          <w:sz w:val="20"/>
        </w:rPr>
        <w:t>would</w:t>
      </w:r>
      <w:r>
        <w:rPr>
          <w:spacing w:val="-9"/>
          <w:sz w:val="20"/>
        </w:rPr>
        <w:t> </w:t>
      </w:r>
      <w:r>
        <w:rPr>
          <w:sz w:val="20"/>
        </w:rPr>
        <w:t>enable</w:t>
      </w:r>
      <w:r>
        <w:rPr>
          <w:spacing w:val="-8"/>
          <w:sz w:val="20"/>
        </w:rPr>
        <w:t> </w:t>
      </w:r>
      <w:r>
        <w:rPr>
          <w:sz w:val="20"/>
        </w:rPr>
        <w:t>a deaf</w:t>
      </w:r>
      <w:r>
        <w:rPr>
          <w:spacing w:val="-10"/>
          <w:sz w:val="20"/>
        </w:rPr>
        <w:t> </w:t>
      </w:r>
      <w:r>
        <w:rPr>
          <w:sz w:val="20"/>
        </w:rPr>
        <w:t>person</w:t>
      </w:r>
      <w:r>
        <w:rPr>
          <w:spacing w:val="-9"/>
          <w:sz w:val="20"/>
        </w:rPr>
        <w:t> </w:t>
      </w:r>
      <w:r>
        <w:rPr>
          <w:sz w:val="20"/>
        </w:rPr>
        <w:t>to</w:t>
      </w:r>
      <w:r>
        <w:rPr>
          <w:spacing w:val="-9"/>
          <w:sz w:val="20"/>
        </w:rPr>
        <w:t> </w:t>
      </w:r>
      <w:r>
        <w:rPr>
          <w:sz w:val="20"/>
        </w:rPr>
        <w:t>be</w:t>
      </w:r>
      <w:r>
        <w:rPr>
          <w:spacing w:val="-9"/>
          <w:sz w:val="20"/>
        </w:rPr>
        <w:t> </w:t>
      </w:r>
      <w:r>
        <w:rPr>
          <w:sz w:val="20"/>
        </w:rPr>
        <w:t>capable</w:t>
      </w:r>
      <w:r>
        <w:rPr>
          <w:spacing w:val="-9"/>
          <w:sz w:val="20"/>
        </w:rPr>
        <w:t> </w:t>
      </w:r>
      <w:r>
        <w:rPr>
          <w:sz w:val="20"/>
        </w:rPr>
        <w:t>of</w:t>
      </w:r>
      <w:r>
        <w:rPr>
          <w:spacing w:val="-9"/>
          <w:sz w:val="20"/>
        </w:rPr>
        <w:t> </w:t>
      </w:r>
      <w:r>
        <w:rPr>
          <w:sz w:val="20"/>
        </w:rPr>
        <w:t>acting</w:t>
      </w:r>
      <w:r>
        <w:rPr>
          <w:spacing w:val="-9"/>
          <w:sz w:val="20"/>
        </w:rPr>
        <w:t> </w:t>
      </w:r>
      <w:r>
        <w:rPr>
          <w:sz w:val="20"/>
        </w:rPr>
        <w:t>effectively</w:t>
      </w:r>
      <w:r>
        <w:rPr>
          <w:spacing w:val="-9"/>
          <w:sz w:val="20"/>
        </w:rPr>
        <w:t> </w:t>
      </w:r>
      <w:r>
        <w:rPr>
          <w:sz w:val="20"/>
        </w:rPr>
        <w:t>as</w:t>
      </w:r>
      <w:r>
        <w:rPr>
          <w:spacing w:val="-9"/>
          <w:sz w:val="20"/>
        </w:rPr>
        <w:t> </w:t>
      </w:r>
      <w:r>
        <w:rPr>
          <w:sz w:val="20"/>
        </w:rPr>
        <w:t>a</w:t>
      </w:r>
      <w:r>
        <w:rPr>
          <w:spacing w:val="-9"/>
          <w:sz w:val="20"/>
        </w:rPr>
        <w:t> </w:t>
      </w:r>
      <w:r>
        <w:rPr>
          <w:spacing w:val="-3"/>
          <w:sz w:val="20"/>
        </w:rPr>
        <w:t>juror’.</w:t>
      </w:r>
      <w:r>
        <w:rPr>
          <w:spacing w:val="-3"/>
          <w:position w:val="7"/>
          <w:sz w:val="11"/>
        </w:rPr>
        <w:t>8</w:t>
      </w:r>
      <w:r>
        <w:rPr>
          <w:spacing w:val="15"/>
          <w:position w:val="7"/>
          <w:sz w:val="11"/>
        </w:rPr>
        <w:t> </w:t>
      </w:r>
      <w:r>
        <w:rPr>
          <w:sz w:val="20"/>
        </w:rPr>
        <w:t>If</w:t>
      </w:r>
      <w:r>
        <w:rPr>
          <w:spacing w:val="-9"/>
          <w:sz w:val="20"/>
        </w:rPr>
        <w:t> </w:t>
      </w:r>
      <w:r>
        <w:rPr>
          <w:spacing w:val="-2"/>
          <w:sz w:val="20"/>
        </w:rPr>
        <w:t>so,</w:t>
      </w:r>
      <w:r>
        <w:rPr>
          <w:spacing w:val="-9"/>
          <w:sz w:val="20"/>
        </w:rPr>
        <w:t> </w:t>
      </w:r>
      <w:r>
        <w:rPr>
          <w:sz w:val="20"/>
        </w:rPr>
        <w:t>the</w:t>
      </w:r>
      <w:r>
        <w:rPr>
          <w:spacing w:val="-9"/>
          <w:sz w:val="20"/>
        </w:rPr>
        <w:t> </w:t>
      </w:r>
      <w:r>
        <w:rPr>
          <w:sz w:val="20"/>
        </w:rPr>
        <w:t>judge</w:t>
      </w:r>
      <w:r>
        <w:rPr>
          <w:spacing w:val="-9"/>
          <w:sz w:val="20"/>
        </w:rPr>
        <w:t> </w:t>
      </w:r>
      <w:r>
        <w:rPr>
          <w:spacing w:val="-3"/>
          <w:sz w:val="20"/>
        </w:rPr>
        <w:t>may</w:t>
      </w:r>
      <w:r>
        <w:rPr>
          <w:spacing w:val="-9"/>
          <w:sz w:val="20"/>
        </w:rPr>
        <w:t> </w:t>
      </w:r>
      <w:r>
        <w:rPr>
          <w:sz w:val="20"/>
        </w:rPr>
        <w:t>appoint one or more </w:t>
      </w:r>
      <w:r>
        <w:rPr>
          <w:spacing w:val="-3"/>
          <w:sz w:val="20"/>
        </w:rPr>
        <w:t>interpreters </w:t>
      </w:r>
      <w:r>
        <w:rPr>
          <w:sz w:val="20"/>
        </w:rPr>
        <w:t>to </w:t>
      </w:r>
      <w:r>
        <w:rPr>
          <w:spacing w:val="-3"/>
          <w:sz w:val="20"/>
        </w:rPr>
        <w:t>provide </w:t>
      </w:r>
      <w:r>
        <w:rPr>
          <w:sz w:val="20"/>
        </w:rPr>
        <w:t>that assistance and affirm the summons. The </w:t>
      </w:r>
      <w:r>
        <w:rPr>
          <w:spacing w:val="-3"/>
          <w:sz w:val="20"/>
        </w:rPr>
        <w:t>interpreter</w:t>
      </w:r>
      <w:r>
        <w:rPr>
          <w:spacing w:val="-9"/>
          <w:sz w:val="20"/>
        </w:rPr>
        <w:t> </w:t>
      </w:r>
      <w:r>
        <w:rPr>
          <w:sz w:val="20"/>
        </w:rPr>
        <w:t>must</w:t>
      </w:r>
      <w:r>
        <w:rPr>
          <w:spacing w:val="-9"/>
          <w:sz w:val="20"/>
        </w:rPr>
        <w:t> </w:t>
      </w:r>
      <w:r>
        <w:rPr>
          <w:sz w:val="20"/>
        </w:rPr>
        <w:t>not</w:t>
      </w:r>
      <w:r>
        <w:rPr>
          <w:spacing w:val="-8"/>
          <w:sz w:val="20"/>
        </w:rPr>
        <w:t> </w:t>
      </w:r>
      <w:r>
        <w:rPr>
          <w:spacing w:val="-2"/>
          <w:sz w:val="20"/>
        </w:rPr>
        <w:t>interfere</w:t>
      </w:r>
      <w:r>
        <w:rPr>
          <w:spacing w:val="-9"/>
          <w:sz w:val="20"/>
        </w:rPr>
        <w:t> </w:t>
      </w:r>
      <w:r>
        <w:rPr>
          <w:sz w:val="20"/>
        </w:rPr>
        <w:t>in</w:t>
      </w:r>
      <w:r>
        <w:rPr>
          <w:spacing w:val="-8"/>
          <w:sz w:val="20"/>
        </w:rPr>
        <w:t> </w:t>
      </w:r>
      <w:r>
        <w:rPr>
          <w:sz w:val="20"/>
        </w:rPr>
        <w:t>or</w:t>
      </w:r>
      <w:r>
        <w:rPr>
          <w:spacing w:val="-9"/>
          <w:sz w:val="20"/>
        </w:rPr>
        <w:t> </w:t>
      </w:r>
      <w:r>
        <w:rPr>
          <w:sz w:val="20"/>
        </w:rPr>
        <w:t>influence</w:t>
      </w:r>
      <w:r>
        <w:rPr>
          <w:spacing w:val="-8"/>
          <w:sz w:val="20"/>
        </w:rPr>
        <w:t> </w:t>
      </w:r>
      <w:r>
        <w:rPr>
          <w:sz w:val="20"/>
        </w:rPr>
        <w:t>the</w:t>
      </w:r>
      <w:r>
        <w:rPr>
          <w:spacing w:val="-9"/>
          <w:sz w:val="20"/>
        </w:rPr>
        <w:t> </w:t>
      </w:r>
      <w:r>
        <w:rPr>
          <w:sz w:val="20"/>
        </w:rPr>
        <w:t>deliberations</w:t>
      </w:r>
      <w:r>
        <w:rPr>
          <w:spacing w:val="-8"/>
          <w:sz w:val="20"/>
        </w:rPr>
        <w:t> </w:t>
      </w:r>
      <w:r>
        <w:rPr>
          <w:sz w:val="20"/>
        </w:rPr>
        <w:t>of</w:t>
      </w:r>
      <w:r>
        <w:rPr>
          <w:spacing w:val="-9"/>
          <w:sz w:val="20"/>
        </w:rPr>
        <w:t> </w:t>
      </w:r>
      <w:r>
        <w:rPr>
          <w:sz w:val="20"/>
        </w:rPr>
        <w:t>the</w:t>
      </w:r>
      <w:r>
        <w:rPr>
          <w:spacing w:val="-8"/>
          <w:sz w:val="20"/>
        </w:rPr>
        <w:t> </w:t>
      </w:r>
      <w:r>
        <w:rPr>
          <w:spacing w:val="-3"/>
          <w:sz w:val="20"/>
        </w:rPr>
        <w:t>jury.</w:t>
      </w:r>
      <w:r>
        <w:rPr>
          <w:spacing w:val="-3"/>
          <w:position w:val="7"/>
          <w:sz w:val="11"/>
        </w:rPr>
        <w:t>9</w:t>
      </w:r>
      <w:r>
        <w:rPr>
          <w:spacing w:val="16"/>
          <w:position w:val="7"/>
          <w:sz w:val="11"/>
        </w:rPr>
        <w:t> </w:t>
      </w:r>
      <w:r>
        <w:rPr>
          <w:sz w:val="20"/>
        </w:rPr>
        <w:t>This</w:t>
      </w:r>
      <w:r>
        <w:rPr>
          <w:spacing w:val="-8"/>
          <w:sz w:val="20"/>
        </w:rPr>
        <w:t> </w:t>
      </w:r>
      <w:r>
        <w:rPr>
          <w:sz w:val="20"/>
        </w:rPr>
        <w:t>new</w:t>
      </w:r>
      <w:r>
        <w:rPr>
          <w:spacing w:val="-9"/>
          <w:sz w:val="20"/>
        </w:rPr>
        <w:t> </w:t>
      </w:r>
      <w:r>
        <w:rPr>
          <w:sz w:val="20"/>
        </w:rPr>
        <w:t>law means that the 13th person rule does not </w:t>
      </w:r>
      <w:r>
        <w:rPr>
          <w:spacing w:val="-3"/>
          <w:sz w:val="20"/>
        </w:rPr>
        <w:t>apply </w:t>
      </w:r>
      <w:r>
        <w:rPr>
          <w:sz w:val="20"/>
        </w:rPr>
        <w:t>to BSL </w:t>
      </w:r>
      <w:r>
        <w:rPr>
          <w:spacing w:val="-3"/>
          <w:sz w:val="20"/>
        </w:rPr>
        <w:t>interpreters, </w:t>
      </w:r>
      <w:r>
        <w:rPr>
          <w:sz w:val="20"/>
        </w:rPr>
        <w:t>but it continues to </w:t>
      </w:r>
      <w:r>
        <w:rPr>
          <w:spacing w:val="-3"/>
          <w:sz w:val="20"/>
        </w:rPr>
        <w:t>apply </w:t>
      </w:r>
      <w:r>
        <w:rPr>
          <w:sz w:val="20"/>
        </w:rPr>
        <w:t>to other</w:t>
      </w:r>
      <w:r>
        <w:rPr>
          <w:spacing w:val="-10"/>
          <w:sz w:val="20"/>
        </w:rPr>
        <w:t> </w:t>
      </w:r>
      <w:r>
        <w:rPr>
          <w:sz w:val="20"/>
        </w:rPr>
        <w:t>non-jurors.</w:t>
      </w:r>
    </w:p>
    <w:p>
      <w:pPr>
        <w:pStyle w:val="BodyText"/>
        <w:spacing w:before="1"/>
        <w:rPr>
          <w:sz w:val="17"/>
        </w:rPr>
      </w:pPr>
    </w:p>
    <w:p>
      <w:pPr>
        <w:spacing w:before="0"/>
        <w:ind w:left="967" w:right="0" w:firstLine="0"/>
        <w:jc w:val="left"/>
        <w:rPr>
          <w:rFonts w:ascii="Raleway ExtraBold"/>
          <w:b/>
          <w:sz w:val="28"/>
        </w:rPr>
      </w:pPr>
      <w:r>
        <w:rPr>
          <w:rFonts w:ascii="Raleway ExtraBold"/>
          <w:b/>
          <w:color w:val="37617A"/>
          <w:sz w:val="28"/>
        </w:rPr>
        <w:t>How should the Juries Act be amended?</w:t>
      </w:r>
    </w:p>
    <w:p>
      <w:pPr>
        <w:spacing w:before="184"/>
        <w:ind w:left="967" w:right="0" w:firstLine="0"/>
        <w:jc w:val="left"/>
        <w:rPr>
          <w:b/>
          <w:sz w:val="24"/>
        </w:rPr>
      </w:pPr>
      <w:r>
        <w:rPr>
          <w:b/>
          <w:sz w:val="24"/>
        </w:rPr>
        <w:t>A new obligation on the courts to provide reasonable adjustments</w:t>
      </w:r>
    </w:p>
    <w:p>
      <w:pPr>
        <w:pStyle w:val="ListParagraph"/>
        <w:numPr>
          <w:ilvl w:val="1"/>
          <w:numId w:val="12"/>
        </w:numPr>
        <w:tabs>
          <w:tab w:pos="1761" w:val="left" w:leader="none"/>
          <w:tab w:pos="1762" w:val="left" w:leader="none"/>
        </w:tabs>
        <w:spacing w:line="206" w:lineRule="auto" w:before="127" w:after="0"/>
        <w:ind w:left="1761" w:right="1232" w:hanging="794"/>
        <w:jc w:val="left"/>
        <w:rPr>
          <w:sz w:val="20"/>
        </w:rPr>
      </w:pPr>
      <w:r>
        <w:rPr>
          <w:sz w:val="20"/>
        </w:rPr>
        <w:t>The </w:t>
      </w:r>
      <w:r>
        <w:rPr>
          <w:spacing w:val="-2"/>
          <w:sz w:val="20"/>
        </w:rPr>
        <w:t>Act </w:t>
      </w:r>
      <w:r>
        <w:rPr>
          <w:sz w:val="20"/>
        </w:rPr>
        <w:t>should be amended to </w:t>
      </w:r>
      <w:r>
        <w:rPr>
          <w:spacing w:val="-3"/>
          <w:sz w:val="20"/>
        </w:rPr>
        <w:t>require </w:t>
      </w:r>
      <w:r>
        <w:rPr>
          <w:sz w:val="20"/>
        </w:rPr>
        <w:t>that where a judge considers that reasonable adjustments</w:t>
      </w:r>
      <w:r>
        <w:rPr>
          <w:spacing w:val="-9"/>
          <w:sz w:val="20"/>
        </w:rPr>
        <w:t> </w:t>
      </w:r>
      <w:r>
        <w:rPr>
          <w:spacing w:val="-3"/>
          <w:sz w:val="20"/>
        </w:rPr>
        <w:t>would</w:t>
      </w:r>
      <w:r>
        <w:rPr>
          <w:spacing w:val="-9"/>
          <w:sz w:val="20"/>
        </w:rPr>
        <w:t> </w:t>
      </w:r>
      <w:r>
        <w:rPr>
          <w:sz w:val="20"/>
        </w:rPr>
        <w:t>enable</w:t>
      </w:r>
      <w:r>
        <w:rPr>
          <w:spacing w:val="-9"/>
          <w:sz w:val="20"/>
        </w:rPr>
        <w:t> </w:t>
      </w:r>
      <w:r>
        <w:rPr>
          <w:sz w:val="20"/>
        </w:rPr>
        <w:t>a</w:t>
      </w:r>
      <w:r>
        <w:rPr>
          <w:spacing w:val="-8"/>
          <w:sz w:val="20"/>
        </w:rPr>
        <w:t> </w:t>
      </w:r>
      <w:r>
        <w:rPr>
          <w:sz w:val="20"/>
        </w:rPr>
        <w:t>person</w:t>
      </w:r>
      <w:r>
        <w:rPr>
          <w:spacing w:val="-9"/>
          <w:sz w:val="20"/>
        </w:rPr>
        <w:t> </w:t>
      </w:r>
      <w:r>
        <w:rPr>
          <w:sz w:val="20"/>
        </w:rPr>
        <w:t>who</w:t>
      </w:r>
      <w:r>
        <w:rPr>
          <w:spacing w:val="-9"/>
          <w:sz w:val="20"/>
        </w:rPr>
        <w:t> </w:t>
      </w:r>
      <w:r>
        <w:rPr>
          <w:sz w:val="20"/>
        </w:rPr>
        <w:t>is</w:t>
      </w:r>
      <w:r>
        <w:rPr>
          <w:spacing w:val="-8"/>
          <w:sz w:val="20"/>
        </w:rPr>
        <w:t> </w:t>
      </w:r>
      <w:r>
        <w:rPr>
          <w:spacing w:val="-4"/>
          <w:sz w:val="20"/>
        </w:rPr>
        <w:t>deaf,</w:t>
      </w:r>
      <w:r>
        <w:rPr>
          <w:spacing w:val="-9"/>
          <w:sz w:val="20"/>
        </w:rPr>
        <w:t> </w:t>
      </w:r>
      <w:r>
        <w:rPr>
          <w:sz w:val="20"/>
        </w:rPr>
        <w:t>hard</w:t>
      </w:r>
      <w:r>
        <w:rPr>
          <w:spacing w:val="-9"/>
          <w:sz w:val="20"/>
        </w:rPr>
        <w:t> </w:t>
      </w:r>
      <w:r>
        <w:rPr>
          <w:sz w:val="20"/>
        </w:rPr>
        <w:t>of</w:t>
      </w:r>
      <w:r>
        <w:rPr>
          <w:spacing w:val="-8"/>
          <w:sz w:val="20"/>
        </w:rPr>
        <w:t> </w:t>
      </w:r>
      <w:r>
        <w:rPr>
          <w:sz w:val="20"/>
        </w:rPr>
        <w:t>hearing,</w:t>
      </w:r>
      <w:r>
        <w:rPr>
          <w:spacing w:val="-9"/>
          <w:sz w:val="20"/>
        </w:rPr>
        <w:t> </w:t>
      </w:r>
      <w:r>
        <w:rPr>
          <w:sz w:val="20"/>
        </w:rPr>
        <w:t>blind</w:t>
      </w:r>
      <w:r>
        <w:rPr>
          <w:spacing w:val="-9"/>
          <w:sz w:val="20"/>
        </w:rPr>
        <w:t> </w:t>
      </w:r>
      <w:r>
        <w:rPr>
          <w:sz w:val="20"/>
        </w:rPr>
        <w:t>or</w:t>
      </w:r>
      <w:r>
        <w:rPr>
          <w:spacing w:val="-8"/>
          <w:sz w:val="20"/>
        </w:rPr>
        <w:t> </w:t>
      </w:r>
      <w:r>
        <w:rPr>
          <w:sz w:val="20"/>
        </w:rPr>
        <w:t>has</w:t>
      </w:r>
      <w:r>
        <w:rPr>
          <w:spacing w:val="-9"/>
          <w:sz w:val="20"/>
        </w:rPr>
        <w:t> </w:t>
      </w:r>
      <w:r>
        <w:rPr>
          <w:spacing w:val="-4"/>
          <w:sz w:val="20"/>
        </w:rPr>
        <w:t>low</w:t>
      </w:r>
      <w:r>
        <w:rPr>
          <w:spacing w:val="-9"/>
          <w:sz w:val="20"/>
        </w:rPr>
        <w:t> </w:t>
      </w:r>
      <w:r>
        <w:rPr>
          <w:sz w:val="20"/>
        </w:rPr>
        <w:t>vision to</w:t>
      </w:r>
      <w:r>
        <w:rPr>
          <w:spacing w:val="-9"/>
          <w:sz w:val="20"/>
        </w:rPr>
        <w:t> </w:t>
      </w:r>
      <w:r>
        <w:rPr>
          <w:sz w:val="20"/>
        </w:rPr>
        <w:t>serve</w:t>
      </w:r>
      <w:r>
        <w:rPr>
          <w:spacing w:val="-9"/>
          <w:sz w:val="20"/>
        </w:rPr>
        <w:t> </w:t>
      </w:r>
      <w:r>
        <w:rPr>
          <w:sz w:val="20"/>
        </w:rPr>
        <w:t>as</w:t>
      </w:r>
      <w:r>
        <w:rPr>
          <w:spacing w:val="-8"/>
          <w:sz w:val="20"/>
        </w:rPr>
        <w:t> </w:t>
      </w:r>
      <w:r>
        <w:rPr>
          <w:sz w:val="20"/>
        </w:rPr>
        <w:t>a</w:t>
      </w:r>
      <w:r>
        <w:rPr>
          <w:spacing w:val="-9"/>
          <w:sz w:val="20"/>
        </w:rPr>
        <w:t> </w:t>
      </w:r>
      <w:r>
        <w:rPr>
          <w:spacing w:val="-4"/>
          <w:sz w:val="20"/>
        </w:rPr>
        <w:t>juror,</w:t>
      </w:r>
      <w:r>
        <w:rPr>
          <w:spacing w:val="-9"/>
          <w:sz w:val="20"/>
        </w:rPr>
        <w:t> </w:t>
      </w:r>
      <w:r>
        <w:rPr>
          <w:sz w:val="20"/>
        </w:rPr>
        <w:t>the</w:t>
      </w:r>
      <w:r>
        <w:rPr>
          <w:spacing w:val="-8"/>
          <w:sz w:val="20"/>
        </w:rPr>
        <w:t> </w:t>
      </w:r>
      <w:r>
        <w:rPr>
          <w:sz w:val="20"/>
        </w:rPr>
        <w:t>judge</w:t>
      </w:r>
      <w:r>
        <w:rPr>
          <w:spacing w:val="-9"/>
          <w:sz w:val="20"/>
        </w:rPr>
        <w:t> </w:t>
      </w:r>
      <w:r>
        <w:rPr>
          <w:sz w:val="20"/>
        </w:rPr>
        <w:t>must</w:t>
      </w:r>
      <w:r>
        <w:rPr>
          <w:spacing w:val="-8"/>
          <w:sz w:val="20"/>
        </w:rPr>
        <w:t> </w:t>
      </w:r>
      <w:r>
        <w:rPr>
          <w:sz w:val="20"/>
        </w:rPr>
        <w:t>direct</w:t>
      </w:r>
      <w:r>
        <w:rPr>
          <w:spacing w:val="-9"/>
          <w:sz w:val="20"/>
        </w:rPr>
        <w:t> </w:t>
      </w:r>
      <w:r>
        <w:rPr>
          <w:sz w:val="20"/>
        </w:rPr>
        <w:t>that</w:t>
      </w:r>
      <w:r>
        <w:rPr>
          <w:spacing w:val="-9"/>
          <w:sz w:val="20"/>
        </w:rPr>
        <w:t> </w:t>
      </w:r>
      <w:r>
        <w:rPr>
          <w:sz w:val="20"/>
        </w:rPr>
        <w:t>those</w:t>
      </w:r>
      <w:r>
        <w:rPr>
          <w:spacing w:val="-8"/>
          <w:sz w:val="20"/>
        </w:rPr>
        <w:t> </w:t>
      </w:r>
      <w:r>
        <w:rPr>
          <w:sz w:val="20"/>
        </w:rPr>
        <w:t>adjustments</w:t>
      </w:r>
      <w:r>
        <w:rPr>
          <w:spacing w:val="-9"/>
          <w:sz w:val="20"/>
        </w:rPr>
        <w:t> </w:t>
      </w:r>
      <w:r>
        <w:rPr>
          <w:sz w:val="20"/>
        </w:rPr>
        <w:t>be</w:t>
      </w:r>
      <w:r>
        <w:rPr>
          <w:spacing w:val="-9"/>
          <w:sz w:val="20"/>
        </w:rPr>
        <w:t> </w:t>
      </w:r>
      <w:r>
        <w:rPr>
          <w:spacing w:val="-3"/>
          <w:sz w:val="20"/>
        </w:rPr>
        <w:t>provided</w:t>
      </w:r>
      <w:r>
        <w:rPr>
          <w:spacing w:val="-8"/>
          <w:sz w:val="20"/>
        </w:rPr>
        <w:t> </w:t>
      </w:r>
      <w:r>
        <w:rPr>
          <w:sz w:val="20"/>
        </w:rPr>
        <w:t>or</w:t>
      </w:r>
      <w:r>
        <w:rPr>
          <w:spacing w:val="-9"/>
          <w:sz w:val="20"/>
        </w:rPr>
        <w:t> </w:t>
      </w:r>
      <w:r>
        <w:rPr>
          <w:sz w:val="20"/>
        </w:rPr>
        <w:t>that</w:t>
      </w:r>
      <w:r>
        <w:rPr>
          <w:spacing w:val="-8"/>
          <w:sz w:val="20"/>
        </w:rPr>
        <w:t> </w:t>
      </w:r>
      <w:r>
        <w:rPr>
          <w:sz w:val="20"/>
        </w:rPr>
        <w:t>the Juries Commissioner </w:t>
      </w:r>
      <w:r>
        <w:rPr>
          <w:spacing w:val="-3"/>
          <w:sz w:val="20"/>
        </w:rPr>
        <w:t>provide</w:t>
      </w:r>
      <w:r>
        <w:rPr>
          <w:spacing w:val="-13"/>
          <w:sz w:val="20"/>
        </w:rPr>
        <w:t> </w:t>
      </w:r>
      <w:r>
        <w:rPr>
          <w:sz w:val="20"/>
        </w:rPr>
        <w:t>them.</w:t>
      </w:r>
    </w:p>
    <w:p>
      <w:pPr>
        <w:pStyle w:val="ListParagraph"/>
        <w:numPr>
          <w:ilvl w:val="1"/>
          <w:numId w:val="12"/>
        </w:numPr>
        <w:tabs>
          <w:tab w:pos="1761" w:val="left" w:leader="none"/>
          <w:tab w:pos="1762" w:val="left" w:leader="none"/>
        </w:tabs>
        <w:spacing w:line="206" w:lineRule="auto" w:before="125" w:after="0"/>
        <w:ind w:left="1761" w:right="1286" w:hanging="794"/>
        <w:jc w:val="left"/>
        <w:rPr>
          <w:sz w:val="11"/>
        </w:rPr>
      </w:pPr>
      <w:r>
        <w:rPr>
          <w:sz w:val="20"/>
        </w:rPr>
        <w:t>The community responses that </w:t>
      </w:r>
      <w:r>
        <w:rPr>
          <w:spacing w:val="-3"/>
          <w:sz w:val="20"/>
        </w:rPr>
        <w:t>we received </w:t>
      </w:r>
      <w:r>
        <w:rPr>
          <w:sz w:val="20"/>
        </w:rPr>
        <w:t>supported a new legislative obligation.</w:t>
      </w:r>
      <w:r>
        <w:rPr>
          <w:position w:val="7"/>
          <w:sz w:val="11"/>
        </w:rPr>
        <w:t>10</w:t>
      </w:r>
      <w:r>
        <w:rPr>
          <w:sz w:val="11"/>
        </w:rPr>
        <w:t> </w:t>
      </w:r>
      <w:r>
        <w:rPr>
          <w:sz w:val="20"/>
        </w:rPr>
        <w:t>Juries Victoria ‘supports a default approach </w:t>
      </w:r>
      <w:r>
        <w:rPr>
          <w:spacing w:val="-3"/>
          <w:sz w:val="20"/>
        </w:rPr>
        <w:t>by </w:t>
      </w:r>
      <w:r>
        <w:rPr>
          <w:sz w:val="20"/>
        </w:rPr>
        <w:t>the courts </w:t>
      </w:r>
      <w:r>
        <w:rPr>
          <w:spacing w:val="-4"/>
          <w:sz w:val="20"/>
        </w:rPr>
        <w:t>towards </w:t>
      </w:r>
      <w:r>
        <w:rPr>
          <w:sz w:val="20"/>
        </w:rPr>
        <w:t>the </w:t>
      </w:r>
      <w:r>
        <w:rPr>
          <w:spacing w:val="-3"/>
          <w:sz w:val="20"/>
        </w:rPr>
        <w:t>provision </w:t>
      </w:r>
      <w:r>
        <w:rPr>
          <w:sz w:val="20"/>
        </w:rPr>
        <w:t>of reasonable supports for people in the subject </w:t>
      </w:r>
      <w:r>
        <w:rPr>
          <w:spacing w:val="-3"/>
          <w:sz w:val="20"/>
        </w:rPr>
        <w:t>groups’.</w:t>
      </w:r>
      <w:r>
        <w:rPr>
          <w:spacing w:val="-3"/>
          <w:position w:val="7"/>
          <w:sz w:val="11"/>
        </w:rPr>
        <w:t>11 </w:t>
      </w:r>
      <w:r>
        <w:rPr>
          <w:sz w:val="20"/>
        </w:rPr>
        <w:t>The Supreme Court ‘does not see</w:t>
      </w:r>
      <w:r>
        <w:rPr>
          <w:spacing w:val="-11"/>
          <w:sz w:val="20"/>
        </w:rPr>
        <w:t> </w:t>
      </w:r>
      <w:r>
        <w:rPr>
          <w:spacing w:val="-3"/>
          <w:sz w:val="20"/>
        </w:rPr>
        <w:t>any</w:t>
      </w:r>
      <w:r>
        <w:rPr>
          <w:spacing w:val="-10"/>
          <w:sz w:val="20"/>
        </w:rPr>
        <w:t> </w:t>
      </w:r>
      <w:r>
        <w:rPr>
          <w:sz w:val="20"/>
        </w:rPr>
        <w:t>issues</w:t>
      </w:r>
      <w:r>
        <w:rPr>
          <w:spacing w:val="-11"/>
          <w:sz w:val="20"/>
        </w:rPr>
        <w:t> </w:t>
      </w:r>
      <w:r>
        <w:rPr>
          <w:sz w:val="20"/>
        </w:rPr>
        <w:t>in</w:t>
      </w:r>
      <w:r>
        <w:rPr>
          <w:spacing w:val="-10"/>
          <w:sz w:val="20"/>
        </w:rPr>
        <w:t> </w:t>
      </w:r>
      <w:r>
        <w:rPr>
          <w:sz w:val="20"/>
        </w:rPr>
        <w:t>principle</w:t>
      </w:r>
      <w:r>
        <w:rPr>
          <w:spacing w:val="-10"/>
          <w:sz w:val="20"/>
        </w:rPr>
        <w:t> </w:t>
      </w:r>
      <w:r>
        <w:rPr>
          <w:sz w:val="20"/>
        </w:rPr>
        <w:t>with</w:t>
      </w:r>
      <w:r>
        <w:rPr>
          <w:spacing w:val="-11"/>
          <w:sz w:val="20"/>
        </w:rPr>
        <w:t> </w:t>
      </w:r>
      <w:r>
        <w:rPr>
          <w:sz w:val="20"/>
        </w:rPr>
        <w:t>requiring</w:t>
      </w:r>
      <w:r>
        <w:rPr>
          <w:spacing w:val="-10"/>
          <w:sz w:val="20"/>
        </w:rPr>
        <w:t> </w:t>
      </w:r>
      <w:r>
        <w:rPr>
          <w:sz w:val="20"/>
        </w:rPr>
        <w:t>courts</w:t>
      </w:r>
      <w:r>
        <w:rPr>
          <w:spacing w:val="-11"/>
          <w:sz w:val="20"/>
        </w:rPr>
        <w:t> </w:t>
      </w:r>
      <w:r>
        <w:rPr>
          <w:sz w:val="20"/>
        </w:rPr>
        <w:t>to</w:t>
      </w:r>
      <w:r>
        <w:rPr>
          <w:spacing w:val="-10"/>
          <w:sz w:val="20"/>
        </w:rPr>
        <w:t> </w:t>
      </w:r>
      <w:r>
        <w:rPr>
          <w:sz w:val="20"/>
        </w:rPr>
        <w:t>consider</w:t>
      </w:r>
      <w:r>
        <w:rPr>
          <w:spacing w:val="-10"/>
          <w:sz w:val="20"/>
        </w:rPr>
        <w:t> </w:t>
      </w:r>
      <w:r>
        <w:rPr>
          <w:sz w:val="20"/>
        </w:rPr>
        <w:t>the</w:t>
      </w:r>
      <w:r>
        <w:rPr>
          <w:spacing w:val="-11"/>
          <w:sz w:val="20"/>
        </w:rPr>
        <w:t> </w:t>
      </w:r>
      <w:r>
        <w:rPr>
          <w:spacing w:val="-3"/>
          <w:sz w:val="20"/>
        </w:rPr>
        <w:t>provision</w:t>
      </w:r>
      <w:r>
        <w:rPr>
          <w:spacing w:val="-10"/>
          <w:sz w:val="20"/>
        </w:rPr>
        <w:t> </w:t>
      </w:r>
      <w:r>
        <w:rPr>
          <w:sz w:val="20"/>
        </w:rPr>
        <w:t>of</w:t>
      </w:r>
      <w:r>
        <w:rPr>
          <w:spacing w:val="-10"/>
          <w:sz w:val="20"/>
        </w:rPr>
        <w:t> </w:t>
      </w:r>
      <w:r>
        <w:rPr>
          <w:sz w:val="20"/>
        </w:rPr>
        <w:t>reasonable supports for people in the subject</w:t>
      </w:r>
      <w:r>
        <w:rPr>
          <w:spacing w:val="-25"/>
          <w:sz w:val="20"/>
        </w:rPr>
        <w:t> </w:t>
      </w:r>
      <w:r>
        <w:rPr>
          <w:spacing w:val="-3"/>
          <w:sz w:val="20"/>
        </w:rPr>
        <w:t>groups’.</w:t>
      </w:r>
      <w:r>
        <w:rPr>
          <w:spacing w:val="-3"/>
          <w:position w:val="7"/>
          <w:sz w:val="11"/>
        </w:rPr>
        <w:t>12</w:t>
      </w:r>
    </w:p>
    <w:p>
      <w:pPr>
        <w:pStyle w:val="ListParagraph"/>
        <w:numPr>
          <w:ilvl w:val="1"/>
          <w:numId w:val="12"/>
        </w:numPr>
        <w:tabs>
          <w:tab w:pos="1761" w:val="left" w:leader="none"/>
          <w:tab w:pos="1762" w:val="left" w:leader="none"/>
        </w:tabs>
        <w:spacing w:line="206" w:lineRule="auto" w:before="127" w:after="0"/>
        <w:ind w:left="1761" w:right="1550" w:hanging="794"/>
        <w:jc w:val="left"/>
        <w:rPr>
          <w:sz w:val="20"/>
        </w:rPr>
      </w:pPr>
      <w:r>
        <w:rPr>
          <w:sz w:val="20"/>
        </w:rPr>
        <w:t>There</w:t>
      </w:r>
      <w:r>
        <w:rPr>
          <w:spacing w:val="-12"/>
          <w:sz w:val="20"/>
        </w:rPr>
        <w:t> </w:t>
      </w:r>
      <w:r>
        <w:rPr>
          <w:sz w:val="20"/>
        </w:rPr>
        <w:t>was</w:t>
      </w:r>
      <w:r>
        <w:rPr>
          <w:spacing w:val="-11"/>
          <w:sz w:val="20"/>
        </w:rPr>
        <w:t> </w:t>
      </w:r>
      <w:r>
        <w:rPr>
          <w:sz w:val="20"/>
        </w:rPr>
        <w:t>general</w:t>
      </w:r>
      <w:r>
        <w:rPr>
          <w:spacing w:val="-11"/>
          <w:sz w:val="20"/>
        </w:rPr>
        <w:t> </w:t>
      </w:r>
      <w:r>
        <w:rPr>
          <w:sz w:val="20"/>
        </w:rPr>
        <w:t>support</w:t>
      </w:r>
      <w:r>
        <w:rPr>
          <w:spacing w:val="-11"/>
          <w:sz w:val="20"/>
        </w:rPr>
        <w:t> </w:t>
      </w:r>
      <w:r>
        <w:rPr>
          <w:sz w:val="20"/>
        </w:rPr>
        <w:t>for</w:t>
      </w:r>
      <w:r>
        <w:rPr>
          <w:spacing w:val="-11"/>
          <w:sz w:val="20"/>
        </w:rPr>
        <w:t> </w:t>
      </w:r>
      <w:r>
        <w:rPr>
          <w:sz w:val="20"/>
        </w:rPr>
        <w:t>a</w:t>
      </w:r>
      <w:r>
        <w:rPr>
          <w:spacing w:val="-11"/>
          <w:sz w:val="20"/>
        </w:rPr>
        <w:t> </w:t>
      </w:r>
      <w:r>
        <w:rPr>
          <w:sz w:val="20"/>
        </w:rPr>
        <w:t>legislative</w:t>
      </w:r>
      <w:r>
        <w:rPr>
          <w:spacing w:val="-11"/>
          <w:sz w:val="20"/>
        </w:rPr>
        <w:t> </w:t>
      </w:r>
      <w:r>
        <w:rPr>
          <w:sz w:val="20"/>
        </w:rPr>
        <w:t>obligation</w:t>
      </w:r>
      <w:r>
        <w:rPr>
          <w:spacing w:val="-11"/>
          <w:sz w:val="20"/>
        </w:rPr>
        <w:t> </w:t>
      </w:r>
      <w:r>
        <w:rPr>
          <w:sz w:val="20"/>
        </w:rPr>
        <w:t>modelled</w:t>
      </w:r>
      <w:r>
        <w:rPr>
          <w:spacing w:val="-11"/>
          <w:sz w:val="20"/>
        </w:rPr>
        <w:t> </w:t>
      </w:r>
      <w:r>
        <w:rPr>
          <w:sz w:val="20"/>
        </w:rPr>
        <w:t>on</w:t>
      </w:r>
      <w:r>
        <w:rPr>
          <w:spacing w:val="-11"/>
          <w:sz w:val="20"/>
        </w:rPr>
        <w:t> </w:t>
      </w:r>
      <w:r>
        <w:rPr>
          <w:sz w:val="20"/>
        </w:rPr>
        <w:t>section</w:t>
      </w:r>
      <w:r>
        <w:rPr>
          <w:spacing w:val="-11"/>
          <w:sz w:val="20"/>
        </w:rPr>
        <w:t> </w:t>
      </w:r>
      <w:r>
        <w:rPr>
          <w:sz w:val="20"/>
        </w:rPr>
        <w:t>16</w:t>
      </w:r>
      <w:r>
        <w:rPr>
          <w:spacing w:val="-11"/>
          <w:sz w:val="20"/>
        </w:rPr>
        <w:t> </w:t>
      </w:r>
      <w:r>
        <w:rPr>
          <w:sz w:val="20"/>
        </w:rPr>
        <w:t>of</w:t>
      </w:r>
      <w:r>
        <w:rPr>
          <w:spacing w:val="-11"/>
          <w:sz w:val="20"/>
        </w:rPr>
        <w:t> </w:t>
      </w:r>
      <w:r>
        <w:rPr>
          <w:sz w:val="20"/>
        </w:rPr>
        <w:t>the </w:t>
      </w:r>
      <w:r>
        <w:rPr>
          <w:i/>
          <w:sz w:val="20"/>
        </w:rPr>
        <w:t>Juries Act 1967 </w:t>
      </w:r>
      <w:r>
        <w:rPr>
          <w:sz w:val="20"/>
        </w:rPr>
        <w:t>(ACT) (the </w:t>
      </w:r>
      <w:r>
        <w:rPr>
          <w:spacing w:val="-4"/>
          <w:sz w:val="20"/>
        </w:rPr>
        <w:t>ACT </w:t>
      </w:r>
      <w:r>
        <w:rPr>
          <w:sz w:val="20"/>
        </w:rPr>
        <w:t>Act).</w:t>
      </w:r>
      <w:r>
        <w:rPr>
          <w:position w:val="7"/>
          <w:sz w:val="11"/>
        </w:rPr>
        <w:t>13 </w:t>
      </w:r>
      <w:r>
        <w:rPr>
          <w:sz w:val="20"/>
        </w:rPr>
        <w:t>Victorian Criminal Bar Association consultees noted:</w:t>
      </w:r>
    </w:p>
    <w:p>
      <w:pPr>
        <w:spacing w:line="208" w:lineRule="auto" w:before="121"/>
        <w:ind w:left="2157" w:right="1335" w:firstLine="0"/>
        <w:jc w:val="left"/>
        <w:rPr>
          <w:sz w:val="11"/>
        </w:rPr>
      </w:pPr>
      <w:r>
        <w:rPr>
          <w:sz w:val="19"/>
        </w:rPr>
        <w:t>The ACT legislation appears to work well as it allows a potential juror to serve with supports, obliges the court to provide supports but also provides the judge with the last word about what is appropriate in the particular circumstances of the trial. This approach seems comprehensive and reasonable.</w:t>
      </w:r>
      <w:r>
        <w:rPr>
          <w:position w:val="6"/>
          <w:sz w:val="11"/>
        </w:rPr>
        <w:t>14</w:t>
      </w:r>
    </w:p>
    <w:p>
      <w:pPr>
        <w:pStyle w:val="ListParagraph"/>
        <w:numPr>
          <w:ilvl w:val="1"/>
          <w:numId w:val="12"/>
        </w:numPr>
        <w:tabs>
          <w:tab w:pos="1761" w:val="left" w:leader="none"/>
          <w:tab w:pos="1762" w:val="left" w:leader="none"/>
        </w:tabs>
        <w:spacing w:line="206" w:lineRule="auto" w:before="125" w:after="0"/>
        <w:ind w:left="1761" w:right="1299" w:hanging="794"/>
        <w:jc w:val="left"/>
        <w:rPr>
          <w:sz w:val="11"/>
        </w:rPr>
      </w:pPr>
      <w:r>
        <w:rPr>
          <w:sz w:val="20"/>
        </w:rPr>
        <w:t>Some submissions argued that the legislation should </w:t>
      </w:r>
      <w:r>
        <w:rPr>
          <w:spacing w:val="-3"/>
          <w:sz w:val="20"/>
        </w:rPr>
        <w:t>make </w:t>
      </w:r>
      <w:r>
        <w:rPr>
          <w:sz w:val="20"/>
        </w:rPr>
        <w:t>it clear that the default position</w:t>
      </w:r>
      <w:r>
        <w:rPr>
          <w:spacing w:val="-11"/>
          <w:sz w:val="20"/>
        </w:rPr>
        <w:t> </w:t>
      </w:r>
      <w:r>
        <w:rPr>
          <w:sz w:val="20"/>
        </w:rPr>
        <w:t>should</w:t>
      </w:r>
      <w:r>
        <w:rPr>
          <w:spacing w:val="-10"/>
          <w:sz w:val="20"/>
        </w:rPr>
        <w:t> </w:t>
      </w:r>
      <w:r>
        <w:rPr>
          <w:sz w:val="20"/>
        </w:rPr>
        <w:t>go</w:t>
      </w:r>
      <w:r>
        <w:rPr>
          <w:spacing w:val="-10"/>
          <w:sz w:val="20"/>
        </w:rPr>
        <w:t> </w:t>
      </w:r>
      <w:r>
        <w:rPr>
          <w:spacing w:val="-3"/>
          <w:sz w:val="20"/>
        </w:rPr>
        <w:t>beyond</w:t>
      </w:r>
      <w:r>
        <w:rPr>
          <w:spacing w:val="-11"/>
          <w:sz w:val="20"/>
        </w:rPr>
        <w:t> </w:t>
      </w:r>
      <w:r>
        <w:rPr>
          <w:sz w:val="20"/>
        </w:rPr>
        <w:t>mere</w:t>
      </w:r>
      <w:r>
        <w:rPr>
          <w:spacing w:val="-10"/>
          <w:sz w:val="20"/>
        </w:rPr>
        <w:t> </w:t>
      </w:r>
      <w:r>
        <w:rPr>
          <w:spacing w:val="-3"/>
          <w:sz w:val="20"/>
        </w:rPr>
        <w:t>‘consideration’</w:t>
      </w:r>
      <w:r>
        <w:rPr>
          <w:spacing w:val="-10"/>
          <w:sz w:val="20"/>
        </w:rPr>
        <w:t> </w:t>
      </w:r>
      <w:r>
        <w:rPr>
          <w:sz w:val="20"/>
        </w:rPr>
        <w:t>and</w:t>
      </w:r>
      <w:r>
        <w:rPr>
          <w:spacing w:val="-10"/>
          <w:sz w:val="20"/>
        </w:rPr>
        <w:t> </w:t>
      </w:r>
      <w:r>
        <w:rPr>
          <w:sz w:val="20"/>
        </w:rPr>
        <w:t>state</w:t>
      </w:r>
      <w:r>
        <w:rPr>
          <w:spacing w:val="-11"/>
          <w:sz w:val="20"/>
        </w:rPr>
        <w:t> </w:t>
      </w:r>
      <w:r>
        <w:rPr>
          <w:sz w:val="20"/>
        </w:rPr>
        <w:t>that</w:t>
      </w:r>
      <w:r>
        <w:rPr>
          <w:spacing w:val="-10"/>
          <w:sz w:val="20"/>
        </w:rPr>
        <w:t> </w:t>
      </w:r>
      <w:r>
        <w:rPr>
          <w:sz w:val="20"/>
        </w:rPr>
        <w:t>reasonable</w:t>
      </w:r>
      <w:r>
        <w:rPr>
          <w:spacing w:val="-10"/>
          <w:sz w:val="20"/>
        </w:rPr>
        <w:t> </w:t>
      </w:r>
      <w:r>
        <w:rPr>
          <w:sz w:val="20"/>
        </w:rPr>
        <w:t>adjustments </w:t>
      </w:r>
      <w:r>
        <w:rPr>
          <w:spacing w:val="-3"/>
          <w:sz w:val="20"/>
        </w:rPr>
        <w:t>are </w:t>
      </w:r>
      <w:r>
        <w:rPr>
          <w:sz w:val="20"/>
        </w:rPr>
        <w:t>to be provided. </w:t>
      </w:r>
      <w:r>
        <w:rPr>
          <w:spacing w:val="-3"/>
          <w:sz w:val="20"/>
        </w:rPr>
        <w:t>For example, </w:t>
      </w:r>
      <w:r>
        <w:rPr>
          <w:sz w:val="20"/>
        </w:rPr>
        <w:t>Associate </w:t>
      </w:r>
      <w:r>
        <w:rPr>
          <w:spacing w:val="-3"/>
          <w:sz w:val="20"/>
        </w:rPr>
        <w:t>Professors </w:t>
      </w:r>
      <w:r>
        <w:rPr>
          <w:sz w:val="20"/>
        </w:rPr>
        <w:t>Dr Bruce Baer Arnold and </w:t>
      </w:r>
      <w:r>
        <w:rPr>
          <w:spacing w:val="-4"/>
          <w:sz w:val="20"/>
        </w:rPr>
        <w:t>Wendy </w:t>
      </w:r>
      <w:r>
        <w:rPr>
          <w:sz w:val="20"/>
        </w:rPr>
        <w:t>Bonython submitted that ‘the history of discrimination law in Australia and elsewhere </w:t>
      </w:r>
      <w:r>
        <w:rPr>
          <w:spacing w:val="-3"/>
          <w:sz w:val="20"/>
        </w:rPr>
        <w:t>regrettably </w:t>
      </w:r>
      <w:r>
        <w:rPr>
          <w:sz w:val="20"/>
        </w:rPr>
        <w:t>indicates that </w:t>
      </w:r>
      <w:r>
        <w:rPr>
          <w:spacing w:val="-3"/>
          <w:sz w:val="20"/>
        </w:rPr>
        <w:t>“consideration” </w:t>
      </w:r>
      <w:r>
        <w:rPr>
          <w:sz w:val="20"/>
        </w:rPr>
        <w:t>is often</w:t>
      </w:r>
      <w:r>
        <w:rPr>
          <w:spacing w:val="-38"/>
          <w:sz w:val="20"/>
        </w:rPr>
        <w:t> </w:t>
      </w:r>
      <w:r>
        <w:rPr>
          <w:spacing w:val="-3"/>
          <w:sz w:val="20"/>
        </w:rPr>
        <w:t>merely </w:t>
      </w:r>
      <w:r>
        <w:rPr>
          <w:sz w:val="20"/>
        </w:rPr>
        <w:t>formalistic’.</w:t>
      </w:r>
      <w:r>
        <w:rPr>
          <w:position w:val="7"/>
          <w:sz w:val="11"/>
        </w:rPr>
        <w:t>15</w:t>
      </w:r>
    </w:p>
    <w:p>
      <w:pPr>
        <w:spacing w:before="164"/>
        <w:ind w:left="967" w:right="0" w:firstLine="0"/>
        <w:jc w:val="left"/>
        <w:rPr>
          <w:b/>
          <w:sz w:val="24"/>
        </w:rPr>
      </w:pPr>
      <w:r>
        <w:rPr>
          <w:b/>
          <w:sz w:val="24"/>
        </w:rPr>
        <w:t>Fair trial considerations</w:t>
      </w:r>
    </w:p>
    <w:p>
      <w:pPr>
        <w:pStyle w:val="ListParagraph"/>
        <w:numPr>
          <w:ilvl w:val="1"/>
          <w:numId w:val="12"/>
        </w:numPr>
        <w:tabs>
          <w:tab w:pos="1761" w:val="left" w:leader="none"/>
          <w:tab w:pos="1762" w:val="left" w:leader="none"/>
        </w:tabs>
        <w:spacing w:line="206" w:lineRule="auto" w:before="127" w:after="0"/>
        <w:ind w:left="1761" w:right="1295" w:hanging="794"/>
        <w:jc w:val="left"/>
        <w:rPr>
          <w:sz w:val="11"/>
        </w:rPr>
      </w:pPr>
      <w:r>
        <w:rPr>
          <w:sz w:val="20"/>
        </w:rPr>
        <w:t>It</w:t>
      </w:r>
      <w:r>
        <w:rPr>
          <w:spacing w:val="-11"/>
          <w:sz w:val="20"/>
        </w:rPr>
        <w:t> </w:t>
      </w:r>
      <w:r>
        <w:rPr>
          <w:sz w:val="20"/>
        </w:rPr>
        <w:t>will</w:t>
      </w:r>
      <w:r>
        <w:rPr>
          <w:spacing w:val="-11"/>
          <w:sz w:val="20"/>
        </w:rPr>
        <w:t> </w:t>
      </w:r>
      <w:r>
        <w:rPr>
          <w:sz w:val="20"/>
        </w:rPr>
        <w:t>be</w:t>
      </w:r>
      <w:r>
        <w:rPr>
          <w:spacing w:val="-11"/>
          <w:sz w:val="20"/>
        </w:rPr>
        <w:t> </w:t>
      </w:r>
      <w:r>
        <w:rPr>
          <w:sz w:val="20"/>
        </w:rPr>
        <w:t>important</w:t>
      </w:r>
      <w:r>
        <w:rPr>
          <w:spacing w:val="-11"/>
          <w:sz w:val="20"/>
        </w:rPr>
        <w:t> </w:t>
      </w:r>
      <w:r>
        <w:rPr>
          <w:sz w:val="20"/>
        </w:rPr>
        <w:t>for</w:t>
      </w:r>
      <w:r>
        <w:rPr>
          <w:spacing w:val="-10"/>
          <w:sz w:val="20"/>
        </w:rPr>
        <w:t> </w:t>
      </w:r>
      <w:r>
        <w:rPr>
          <w:sz w:val="20"/>
        </w:rPr>
        <w:t>a</w:t>
      </w:r>
      <w:r>
        <w:rPr>
          <w:spacing w:val="-11"/>
          <w:sz w:val="20"/>
        </w:rPr>
        <w:t> </w:t>
      </w:r>
      <w:r>
        <w:rPr>
          <w:sz w:val="20"/>
        </w:rPr>
        <w:t>judge</w:t>
      </w:r>
      <w:r>
        <w:rPr>
          <w:spacing w:val="-11"/>
          <w:sz w:val="20"/>
        </w:rPr>
        <w:t> </w:t>
      </w:r>
      <w:r>
        <w:rPr>
          <w:sz w:val="20"/>
        </w:rPr>
        <w:t>to</w:t>
      </w:r>
      <w:r>
        <w:rPr>
          <w:spacing w:val="-11"/>
          <w:sz w:val="20"/>
        </w:rPr>
        <w:t> </w:t>
      </w:r>
      <w:r>
        <w:rPr>
          <w:sz w:val="20"/>
        </w:rPr>
        <w:t>consider</w:t>
      </w:r>
      <w:r>
        <w:rPr>
          <w:spacing w:val="-11"/>
          <w:sz w:val="20"/>
        </w:rPr>
        <w:t> </w:t>
      </w:r>
      <w:r>
        <w:rPr>
          <w:sz w:val="20"/>
        </w:rPr>
        <w:t>whether</w:t>
      </w:r>
      <w:r>
        <w:rPr>
          <w:spacing w:val="-10"/>
          <w:sz w:val="20"/>
        </w:rPr>
        <w:t> </w:t>
      </w:r>
      <w:r>
        <w:rPr>
          <w:sz w:val="20"/>
        </w:rPr>
        <w:t>adjustments</w:t>
      </w:r>
      <w:r>
        <w:rPr>
          <w:spacing w:val="-11"/>
          <w:sz w:val="20"/>
        </w:rPr>
        <w:t> </w:t>
      </w:r>
      <w:r>
        <w:rPr>
          <w:sz w:val="20"/>
        </w:rPr>
        <w:t>will</w:t>
      </w:r>
      <w:r>
        <w:rPr>
          <w:spacing w:val="-11"/>
          <w:sz w:val="20"/>
        </w:rPr>
        <w:t> </w:t>
      </w:r>
      <w:r>
        <w:rPr>
          <w:sz w:val="20"/>
        </w:rPr>
        <w:t>enable</w:t>
      </w:r>
      <w:r>
        <w:rPr>
          <w:spacing w:val="-11"/>
          <w:sz w:val="20"/>
        </w:rPr>
        <w:t> </w:t>
      </w:r>
      <w:r>
        <w:rPr>
          <w:sz w:val="20"/>
        </w:rPr>
        <w:t>the</w:t>
      </w:r>
      <w:r>
        <w:rPr>
          <w:spacing w:val="-10"/>
          <w:sz w:val="20"/>
        </w:rPr>
        <w:t> </w:t>
      </w:r>
      <w:r>
        <w:rPr>
          <w:sz w:val="20"/>
        </w:rPr>
        <w:t>person to</w:t>
      </w:r>
      <w:r>
        <w:rPr>
          <w:spacing w:val="-8"/>
          <w:sz w:val="20"/>
        </w:rPr>
        <w:t> </w:t>
      </w:r>
      <w:r>
        <w:rPr>
          <w:sz w:val="20"/>
        </w:rPr>
        <w:t>perform</w:t>
      </w:r>
      <w:r>
        <w:rPr>
          <w:spacing w:val="-8"/>
          <w:sz w:val="20"/>
        </w:rPr>
        <w:t> </w:t>
      </w:r>
      <w:r>
        <w:rPr>
          <w:sz w:val="20"/>
        </w:rPr>
        <w:t>the</w:t>
      </w:r>
      <w:r>
        <w:rPr>
          <w:spacing w:val="-8"/>
          <w:sz w:val="20"/>
        </w:rPr>
        <w:t> </w:t>
      </w:r>
      <w:r>
        <w:rPr>
          <w:spacing w:val="-3"/>
          <w:sz w:val="20"/>
        </w:rPr>
        <w:t>role</w:t>
      </w:r>
      <w:r>
        <w:rPr>
          <w:spacing w:val="-7"/>
          <w:sz w:val="20"/>
        </w:rPr>
        <w:t> </w:t>
      </w:r>
      <w:r>
        <w:rPr>
          <w:sz w:val="20"/>
        </w:rPr>
        <w:t>of</w:t>
      </w:r>
      <w:r>
        <w:rPr>
          <w:spacing w:val="-8"/>
          <w:sz w:val="20"/>
        </w:rPr>
        <w:t> </w:t>
      </w:r>
      <w:r>
        <w:rPr>
          <w:spacing w:val="-4"/>
          <w:sz w:val="20"/>
        </w:rPr>
        <w:t>juror,</w:t>
      </w:r>
      <w:r>
        <w:rPr>
          <w:spacing w:val="-8"/>
          <w:sz w:val="20"/>
        </w:rPr>
        <w:t> </w:t>
      </w:r>
      <w:r>
        <w:rPr>
          <w:sz w:val="20"/>
        </w:rPr>
        <w:t>because</w:t>
      </w:r>
      <w:r>
        <w:rPr>
          <w:spacing w:val="-8"/>
          <w:sz w:val="20"/>
        </w:rPr>
        <w:t> </w:t>
      </w:r>
      <w:r>
        <w:rPr>
          <w:sz w:val="20"/>
        </w:rPr>
        <w:t>this</w:t>
      </w:r>
      <w:r>
        <w:rPr>
          <w:spacing w:val="-8"/>
          <w:sz w:val="20"/>
        </w:rPr>
        <w:t> </w:t>
      </w:r>
      <w:r>
        <w:rPr>
          <w:spacing w:val="-3"/>
          <w:sz w:val="20"/>
        </w:rPr>
        <w:t>relates</w:t>
      </w:r>
      <w:r>
        <w:rPr>
          <w:spacing w:val="-7"/>
          <w:sz w:val="20"/>
        </w:rPr>
        <w:t> </w:t>
      </w:r>
      <w:r>
        <w:rPr>
          <w:sz w:val="20"/>
        </w:rPr>
        <w:t>to</w:t>
      </w:r>
      <w:r>
        <w:rPr>
          <w:spacing w:val="-8"/>
          <w:sz w:val="20"/>
        </w:rPr>
        <w:t> </w:t>
      </w:r>
      <w:r>
        <w:rPr>
          <w:sz w:val="20"/>
        </w:rPr>
        <w:t>the</w:t>
      </w:r>
      <w:r>
        <w:rPr>
          <w:spacing w:val="-8"/>
          <w:sz w:val="20"/>
        </w:rPr>
        <w:t> </w:t>
      </w:r>
      <w:r>
        <w:rPr>
          <w:sz w:val="20"/>
        </w:rPr>
        <w:t>accused’s</w:t>
      </w:r>
      <w:r>
        <w:rPr>
          <w:spacing w:val="-8"/>
          <w:sz w:val="20"/>
        </w:rPr>
        <w:t> </w:t>
      </w:r>
      <w:r>
        <w:rPr>
          <w:sz w:val="20"/>
        </w:rPr>
        <w:t>right</w:t>
      </w:r>
      <w:r>
        <w:rPr>
          <w:spacing w:val="-7"/>
          <w:sz w:val="20"/>
        </w:rPr>
        <w:t> </w:t>
      </w:r>
      <w:r>
        <w:rPr>
          <w:sz w:val="20"/>
        </w:rPr>
        <w:t>to</w:t>
      </w:r>
      <w:r>
        <w:rPr>
          <w:spacing w:val="-8"/>
          <w:sz w:val="20"/>
        </w:rPr>
        <w:t> </w:t>
      </w:r>
      <w:r>
        <w:rPr>
          <w:sz w:val="20"/>
        </w:rPr>
        <w:t>a</w:t>
      </w:r>
      <w:r>
        <w:rPr>
          <w:spacing w:val="-8"/>
          <w:sz w:val="20"/>
        </w:rPr>
        <w:t> </w:t>
      </w:r>
      <w:r>
        <w:rPr>
          <w:sz w:val="20"/>
        </w:rPr>
        <w:t>fair</w:t>
      </w:r>
      <w:r>
        <w:rPr>
          <w:spacing w:val="-8"/>
          <w:sz w:val="20"/>
        </w:rPr>
        <w:t> </w:t>
      </w:r>
      <w:r>
        <w:rPr>
          <w:sz w:val="20"/>
        </w:rPr>
        <w:t>trial</w:t>
      </w:r>
      <w:r>
        <w:rPr>
          <w:spacing w:val="-7"/>
          <w:sz w:val="20"/>
        </w:rPr>
        <w:t> </w:t>
      </w:r>
      <w:r>
        <w:rPr>
          <w:sz w:val="20"/>
        </w:rPr>
        <w:t>(see </w:t>
      </w:r>
      <w:r>
        <w:rPr>
          <w:spacing w:val="-2"/>
          <w:sz w:val="20"/>
        </w:rPr>
        <w:t>Chapter</w:t>
      </w:r>
      <w:r>
        <w:rPr>
          <w:spacing w:val="-8"/>
          <w:sz w:val="20"/>
        </w:rPr>
        <w:t> </w:t>
      </w:r>
      <w:r>
        <w:rPr>
          <w:spacing w:val="-3"/>
          <w:sz w:val="20"/>
        </w:rPr>
        <w:t>9).</w:t>
      </w:r>
      <w:r>
        <w:rPr>
          <w:spacing w:val="-7"/>
          <w:sz w:val="20"/>
        </w:rPr>
        <w:t> </w:t>
      </w:r>
      <w:r>
        <w:rPr>
          <w:sz w:val="20"/>
        </w:rPr>
        <w:t>Depending</w:t>
      </w:r>
      <w:r>
        <w:rPr>
          <w:spacing w:val="-8"/>
          <w:sz w:val="20"/>
        </w:rPr>
        <w:t> </w:t>
      </w:r>
      <w:r>
        <w:rPr>
          <w:sz w:val="20"/>
        </w:rPr>
        <w:t>on</w:t>
      </w:r>
      <w:r>
        <w:rPr>
          <w:spacing w:val="-7"/>
          <w:sz w:val="20"/>
        </w:rPr>
        <w:t> </w:t>
      </w:r>
      <w:r>
        <w:rPr>
          <w:sz w:val="20"/>
        </w:rPr>
        <w:t>the</w:t>
      </w:r>
      <w:r>
        <w:rPr>
          <w:spacing w:val="-8"/>
          <w:sz w:val="20"/>
        </w:rPr>
        <w:t> </w:t>
      </w:r>
      <w:r>
        <w:rPr>
          <w:spacing w:val="-3"/>
          <w:sz w:val="20"/>
        </w:rPr>
        <w:t>nature</w:t>
      </w:r>
      <w:r>
        <w:rPr>
          <w:spacing w:val="-7"/>
          <w:sz w:val="20"/>
        </w:rPr>
        <w:t> </w:t>
      </w:r>
      <w:r>
        <w:rPr>
          <w:sz w:val="20"/>
        </w:rPr>
        <w:t>of</w:t>
      </w:r>
      <w:r>
        <w:rPr>
          <w:spacing w:val="-8"/>
          <w:sz w:val="20"/>
        </w:rPr>
        <w:t> </w:t>
      </w:r>
      <w:r>
        <w:rPr>
          <w:sz w:val="20"/>
        </w:rPr>
        <w:t>a</w:t>
      </w:r>
      <w:r>
        <w:rPr>
          <w:spacing w:val="-8"/>
          <w:sz w:val="20"/>
        </w:rPr>
        <w:t> </w:t>
      </w:r>
      <w:r>
        <w:rPr>
          <w:sz w:val="20"/>
        </w:rPr>
        <w:t>particular</w:t>
      </w:r>
      <w:r>
        <w:rPr>
          <w:spacing w:val="-7"/>
          <w:sz w:val="20"/>
        </w:rPr>
        <w:t> </w:t>
      </w:r>
      <w:r>
        <w:rPr>
          <w:sz w:val="20"/>
        </w:rPr>
        <w:t>trial</w:t>
      </w:r>
      <w:r>
        <w:rPr>
          <w:i/>
          <w:sz w:val="20"/>
        </w:rPr>
        <w:t>,</w:t>
      </w:r>
      <w:r>
        <w:rPr>
          <w:i/>
          <w:spacing w:val="-6"/>
          <w:sz w:val="20"/>
        </w:rPr>
        <w:t> </w:t>
      </w:r>
      <w:r>
        <w:rPr>
          <w:sz w:val="20"/>
        </w:rPr>
        <w:t>a</w:t>
      </w:r>
      <w:r>
        <w:rPr>
          <w:spacing w:val="-8"/>
          <w:sz w:val="20"/>
        </w:rPr>
        <w:t> </w:t>
      </w:r>
      <w:r>
        <w:rPr>
          <w:sz w:val="20"/>
        </w:rPr>
        <w:t>person</w:t>
      </w:r>
      <w:r>
        <w:rPr>
          <w:spacing w:val="-7"/>
          <w:sz w:val="20"/>
        </w:rPr>
        <w:t> </w:t>
      </w:r>
      <w:r>
        <w:rPr>
          <w:sz w:val="20"/>
        </w:rPr>
        <w:t>in</w:t>
      </w:r>
      <w:r>
        <w:rPr>
          <w:spacing w:val="-8"/>
          <w:sz w:val="20"/>
        </w:rPr>
        <w:t> </w:t>
      </w:r>
      <w:r>
        <w:rPr>
          <w:sz w:val="20"/>
        </w:rPr>
        <w:t>the</w:t>
      </w:r>
      <w:r>
        <w:rPr>
          <w:spacing w:val="-7"/>
          <w:sz w:val="20"/>
        </w:rPr>
        <w:t> </w:t>
      </w:r>
      <w:r>
        <w:rPr>
          <w:sz w:val="20"/>
        </w:rPr>
        <w:t>subject</w:t>
      </w:r>
      <w:r>
        <w:rPr>
          <w:spacing w:val="-8"/>
          <w:sz w:val="20"/>
        </w:rPr>
        <w:t> </w:t>
      </w:r>
      <w:r>
        <w:rPr>
          <w:sz w:val="20"/>
        </w:rPr>
        <w:t>groups </w:t>
      </w:r>
      <w:r>
        <w:rPr>
          <w:spacing w:val="-3"/>
          <w:sz w:val="20"/>
        </w:rPr>
        <w:t>may </w:t>
      </w:r>
      <w:r>
        <w:rPr>
          <w:sz w:val="20"/>
        </w:rPr>
        <w:t>not be able to </w:t>
      </w:r>
      <w:r>
        <w:rPr>
          <w:spacing w:val="-3"/>
          <w:sz w:val="20"/>
        </w:rPr>
        <w:t>evaluate </w:t>
      </w:r>
      <w:r>
        <w:rPr>
          <w:sz w:val="20"/>
        </w:rPr>
        <w:t>certain evidence that is material in that trial, </w:t>
      </w:r>
      <w:r>
        <w:rPr>
          <w:spacing w:val="-3"/>
          <w:sz w:val="20"/>
        </w:rPr>
        <w:t>even </w:t>
      </w:r>
      <w:r>
        <w:rPr>
          <w:sz w:val="20"/>
        </w:rPr>
        <w:t>with reasonable</w:t>
      </w:r>
      <w:r>
        <w:rPr>
          <w:spacing w:val="-5"/>
          <w:sz w:val="20"/>
        </w:rPr>
        <w:t> </w:t>
      </w:r>
      <w:r>
        <w:rPr>
          <w:sz w:val="20"/>
        </w:rPr>
        <w:t>adjustments.</w:t>
      </w:r>
      <w:r>
        <w:rPr>
          <w:position w:val="7"/>
          <w:sz w:val="11"/>
        </w:rPr>
        <w:t>16</w:t>
      </w:r>
    </w:p>
    <w:p>
      <w:pPr>
        <w:pStyle w:val="BodyText"/>
      </w:pPr>
    </w:p>
    <w:p>
      <w:pPr>
        <w:pStyle w:val="BodyText"/>
      </w:pPr>
    </w:p>
    <w:p>
      <w:pPr>
        <w:pStyle w:val="BodyText"/>
        <w:spacing w:before="3"/>
        <w:rPr>
          <w:sz w:val="10"/>
        </w:rPr>
      </w:pPr>
      <w:r>
        <w:rPr/>
        <w:pict>
          <v:line style="position:absolute;mso-position-horizontal-relative:page;mso-position-vertical-relative:paragraph;z-index:6824;mso-wrap-distance-left:0;mso-wrap-distance-right:0" from="79.370102pt,9.585520pt" to="515.905102pt,9.585520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76"/>
        </w:numPr>
        <w:tabs>
          <w:tab w:pos="1761" w:val="left" w:leader="none"/>
          <w:tab w:pos="1762" w:val="left" w:leader="none"/>
        </w:tabs>
        <w:spacing w:line="213" w:lineRule="auto" w:before="38" w:after="0"/>
        <w:ind w:left="1761" w:right="0" w:hanging="794"/>
        <w:jc w:val="left"/>
        <w:rPr>
          <w:sz w:val="13"/>
        </w:rPr>
      </w:pPr>
      <w:r>
        <w:rPr>
          <w:i/>
          <w:sz w:val="13"/>
        </w:rPr>
        <w:t>Police, Crime, Sentencing and </w:t>
      </w:r>
      <w:r>
        <w:rPr>
          <w:i/>
          <w:spacing w:val="2"/>
          <w:sz w:val="13"/>
        </w:rPr>
        <w:t>Courts </w:t>
      </w:r>
      <w:r>
        <w:rPr>
          <w:i/>
          <w:sz w:val="13"/>
        </w:rPr>
        <w:t>Act 2022 </w:t>
      </w:r>
      <w:r>
        <w:rPr>
          <w:spacing w:val="2"/>
          <w:sz w:val="13"/>
        </w:rPr>
        <w:t>(UK) </w:t>
      </w:r>
      <w:r>
        <w:rPr>
          <w:sz w:val="13"/>
        </w:rPr>
        <w:t>s </w:t>
      </w:r>
      <w:r>
        <w:rPr>
          <w:spacing w:val="2"/>
          <w:sz w:val="13"/>
        </w:rPr>
        <w:t>196. </w:t>
      </w:r>
      <w:r>
        <w:rPr>
          <w:sz w:val="13"/>
        </w:rPr>
        <w:t>This section of the </w:t>
      </w:r>
      <w:r>
        <w:rPr>
          <w:spacing w:val="2"/>
          <w:sz w:val="13"/>
        </w:rPr>
        <w:t>amending </w:t>
      </w:r>
      <w:r>
        <w:rPr>
          <w:sz w:val="13"/>
        </w:rPr>
        <w:t>legislation will come into force on 28 June 2022, pursuant to s </w:t>
      </w:r>
      <w:r>
        <w:rPr>
          <w:spacing w:val="2"/>
          <w:sz w:val="13"/>
        </w:rPr>
        <w:t>208(5)(x).</w:t>
      </w:r>
    </w:p>
    <w:p>
      <w:pPr>
        <w:tabs>
          <w:tab w:pos="1760" w:val="left" w:leader="none"/>
        </w:tabs>
        <w:spacing w:line="153" w:lineRule="exact" w:before="0"/>
        <w:ind w:left="967" w:right="0" w:firstLine="0"/>
        <w:jc w:val="left"/>
        <w:rPr>
          <w:sz w:val="13"/>
        </w:rPr>
      </w:pPr>
      <w:r>
        <w:rPr>
          <w:sz w:val="13"/>
        </w:rPr>
        <w:t>8</w:t>
        <w:tab/>
        <w:t>Ibid s 196(2).</w:t>
      </w:r>
    </w:p>
    <w:p>
      <w:pPr>
        <w:tabs>
          <w:tab w:pos="1760" w:val="left" w:leader="none"/>
        </w:tabs>
        <w:spacing w:line="160" w:lineRule="exact" w:before="0"/>
        <w:ind w:left="967" w:right="0" w:firstLine="0"/>
        <w:jc w:val="left"/>
        <w:rPr>
          <w:sz w:val="13"/>
        </w:rPr>
      </w:pPr>
      <w:r>
        <w:rPr>
          <w:sz w:val="13"/>
        </w:rPr>
        <w:t>9</w:t>
        <w:tab/>
        <w:t>Ibid s </w:t>
      </w:r>
      <w:r>
        <w:rPr>
          <w:spacing w:val="2"/>
          <w:sz w:val="13"/>
        </w:rPr>
        <w:t>196(2) </w:t>
      </w:r>
      <w:r>
        <w:rPr>
          <w:sz w:val="13"/>
        </w:rPr>
        <w:t>and</w:t>
      </w:r>
      <w:r>
        <w:rPr>
          <w:spacing w:val="-2"/>
          <w:sz w:val="13"/>
        </w:rPr>
        <w:t> </w:t>
      </w:r>
      <w:r>
        <w:rPr>
          <w:sz w:val="13"/>
        </w:rPr>
        <w:t>(3).</w:t>
      </w:r>
    </w:p>
    <w:p>
      <w:pPr>
        <w:pStyle w:val="ListParagraph"/>
        <w:numPr>
          <w:ilvl w:val="0"/>
          <w:numId w:val="81"/>
        </w:numPr>
        <w:tabs>
          <w:tab w:pos="1760" w:val="left" w:leader="none"/>
          <w:tab w:pos="1762" w:val="left" w:leader="none"/>
        </w:tabs>
        <w:spacing w:line="213" w:lineRule="auto" w:before="6" w:after="0"/>
        <w:ind w:left="1761" w:right="45" w:hanging="794"/>
        <w:jc w:val="left"/>
        <w:rPr>
          <w:sz w:val="13"/>
        </w:rPr>
      </w:pPr>
      <w:r>
        <w:rPr>
          <w:sz w:val="13"/>
        </w:rPr>
        <w:t>Position Statement 1 </w:t>
      </w:r>
      <w:r>
        <w:rPr>
          <w:spacing w:val="2"/>
          <w:sz w:val="13"/>
        </w:rPr>
        <w:t>(Blind </w:t>
      </w:r>
      <w:r>
        <w:rPr>
          <w:sz w:val="13"/>
        </w:rPr>
        <w:t>Citizens Australia); </w:t>
      </w:r>
      <w:r>
        <w:rPr>
          <w:spacing w:val="2"/>
          <w:sz w:val="13"/>
        </w:rPr>
        <w:t>Submissions </w:t>
      </w:r>
      <w:r>
        <w:rPr>
          <w:sz w:val="13"/>
        </w:rPr>
        <w:t>4 </w:t>
      </w:r>
      <w:r>
        <w:rPr>
          <w:spacing w:val="2"/>
          <w:sz w:val="13"/>
        </w:rPr>
        <w:t>(Associate </w:t>
      </w:r>
      <w:r>
        <w:rPr>
          <w:sz w:val="13"/>
        </w:rPr>
        <w:t>Professors Bruce Baer Arnold (University of </w:t>
      </w:r>
      <w:r>
        <w:rPr>
          <w:spacing w:val="2"/>
          <w:sz w:val="13"/>
        </w:rPr>
        <w:t>Canberra) </w:t>
      </w:r>
      <w:r>
        <w:rPr>
          <w:sz w:val="13"/>
        </w:rPr>
        <w:t>and Wendy Bonython (Bond University)), 7 (Law Institute of Victoria), 9 (Madison), 10 </w:t>
      </w:r>
      <w:r>
        <w:rPr>
          <w:spacing w:val="2"/>
          <w:sz w:val="13"/>
        </w:rPr>
        <w:t>(Vision </w:t>
      </w:r>
      <w:r>
        <w:rPr>
          <w:sz w:val="13"/>
        </w:rPr>
        <w:t>Australia); Consultations 4 </w:t>
      </w:r>
      <w:r>
        <w:rPr>
          <w:spacing w:val="2"/>
          <w:sz w:val="13"/>
        </w:rPr>
        <w:t>(Victorian </w:t>
      </w:r>
      <w:r>
        <w:rPr>
          <w:sz w:val="13"/>
        </w:rPr>
        <w:t>Criminal Bar Association), 8 (Brent</w:t>
      </w:r>
      <w:r>
        <w:rPr>
          <w:spacing w:val="1"/>
          <w:sz w:val="13"/>
        </w:rPr>
        <w:t> </w:t>
      </w:r>
      <w:r>
        <w:rPr>
          <w:sz w:val="13"/>
        </w:rPr>
        <w:t>Phillips).</w:t>
      </w:r>
    </w:p>
    <w:p>
      <w:pPr>
        <w:pStyle w:val="ListParagraph"/>
        <w:numPr>
          <w:ilvl w:val="0"/>
          <w:numId w:val="81"/>
        </w:numPr>
        <w:tabs>
          <w:tab w:pos="1760" w:val="left" w:leader="none"/>
          <w:tab w:pos="1762" w:val="left" w:leader="none"/>
        </w:tabs>
        <w:spacing w:line="152" w:lineRule="exact" w:before="0" w:after="0"/>
        <w:ind w:left="1761" w:right="0" w:hanging="794"/>
        <w:jc w:val="left"/>
        <w:rPr>
          <w:sz w:val="13"/>
        </w:rPr>
      </w:pPr>
      <w:r>
        <w:rPr>
          <w:spacing w:val="2"/>
          <w:sz w:val="13"/>
        </w:rPr>
        <w:t>Submission </w:t>
      </w:r>
      <w:r>
        <w:rPr>
          <w:sz w:val="13"/>
        </w:rPr>
        <w:t>13 </w:t>
      </w:r>
      <w:r>
        <w:rPr>
          <w:spacing w:val="2"/>
          <w:sz w:val="13"/>
        </w:rPr>
        <w:t>(Juries</w:t>
      </w:r>
      <w:r>
        <w:rPr>
          <w:spacing w:val="-2"/>
          <w:sz w:val="13"/>
        </w:rPr>
        <w:t> </w:t>
      </w:r>
      <w:r>
        <w:rPr>
          <w:sz w:val="13"/>
        </w:rPr>
        <w:t>Victoria).</w:t>
      </w:r>
    </w:p>
    <w:p>
      <w:pPr>
        <w:pStyle w:val="ListParagraph"/>
        <w:numPr>
          <w:ilvl w:val="0"/>
          <w:numId w:val="81"/>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z w:val="13"/>
        </w:rPr>
        <w:t>11 (Supreme </w:t>
      </w:r>
      <w:r>
        <w:rPr>
          <w:spacing w:val="2"/>
          <w:sz w:val="13"/>
        </w:rPr>
        <w:t>Court </w:t>
      </w:r>
      <w:r>
        <w:rPr>
          <w:sz w:val="13"/>
        </w:rPr>
        <w:t>of</w:t>
      </w:r>
      <w:r>
        <w:rPr>
          <w:spacing w:val="-3"/>
          <w:sz w:val="13"/>
        </w:rPr>
        <w:t> </w:t>
      </w:r>
      <w:r>
        <w:rPr>
          <w:sz w:val="13"/>
        </w:rPr>
        <w:t>Victoria).</w:t>
      </w:r>
    </w:p>
    <w:p>
      <w:pPr>
        <w:pStyle w:val="ListParagraph"/>
        <w:numPr>
          <w:ilvl w:val="0"/>
          <w:numId w:val="81"/>
        </w:numPr>
        <w:tabs>
          <w:tab w:pos="1761" w:val="left" w:leader="none"/>
          <w:tab w:pos="1762" w:val="left" w:leader="none"/>
        </w:tabs>
        <w:spacing w:line="213" w:lineRule="auto" w:before="6" w:after="0"/>
        <w:ind w:left="1761" w:right="327" w:hanging="794"/>
        <w:jc w:val="left"/>
        <w:rPr>
          <w:sz w:val="13"/>
        </w:rPr>
      </w:pPr>
      <w:r>
        <w:rPr>
          <w:sz w:val="13"/>
        </w:rPr>
        <w:t>Consultations 2 (Law Institute of Victoria), 8 (Brent Phillips), 6 (Deaf Victoria and community </w:t>
      </w:r>
      <w:r>
        <w:rPr>
          <w:spacing w:val="2"/>
          <w:sz w:val="13"/>
        </w:rPr>
        <w:t>participants, </w:t>
      </w:r>
      <w:r>
        <w:rPr>
          <w:sz w:val="13"/>
        </w:rPr>
        <w:t>18 </w:t>
      </w:r>
      <w:r>
        <w:rPr>
          <w:spacing w:val="2"/>
          <w:sz w:val="13"/>
        </w:rPr>
        <w:t>(Australian </w:t>
      </w:r>
      <w:r>
        <w:rPr>
          <w:sz w:val="13"/>
        </w:rPr>
        <w:t>Sign </w:t>
      </w:r>
      <w:r>
        <w:rPr>
          <w:spacing w:val="2"/>
          <w:sz w:val="13"/>
        </w:rPr>
        <w:t>Language </w:t>
      </w:r>
      <w:r>
        <w:rPr>
          <w:sz w:val="13"/>
        </w:rPr>
        <w:t>Interpreters’ </w:t>
      </w:r>
      <w:r>
        <w:rPr>
          <w:spacing w:val="2"/>
          <w:sz w:val="13"/>
        </w:rPr>
        <w:t>Association, </w:t>
      </w:r>
      <w:r>
        <w:rPr>
          <w:sz w:val="13"/>
        </w:rPr>
        <w:t>Victoria and Tasmania </w:t>
      </w:r>
      <w:r>
        <w:rPr>
          <w:spacing w:val="2"/>
          <w:sz w:val="13"/>
        </w:rPr>
        <w:t>(ASLIA)), </w:t>
      </w:r>
      <w:r>
        <w:rPr>
          <w:sz w:val="13"/>
        </w:rPr>
        <w:t>19 </w:t>
      </w:r>
      <w:r>
        <w:rPr>
          <w:spacing w:val="2"/>
          <w:sz w:val="13"/>
        </w:rPr>
        <w:t>(Australian </w:t>
      </w:r>
      <w:r>
        <w:rPr>
          <w:sz w:val="13"/>
        </w:rPr>
        <w:t>Institute of Interpreters and Translators (AUSIT)), 23 </w:t>
      </w:r>
      <w:r>
        <w:rPr>
          <w:spacing w:val="2"/>
          <w:sz w:val="13"/>
        </w:rPr>
        <w:t>(Victorian Aboriginal Community </w:t>
      </w:r>
      <w:r>
        <w:rPr>
          <w:sz w:val="13"/>
        </w:rPr>
        <w:t>Controlled Health Organisation (VACCHO)),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 capacity); </w:t>
      </w:r>
      <w:r>
        <w:rPr>
          <w:spacing w:val="2"/>
          <w:sz w:val="13"/>
        </w:rPr>
        <w:t>Submission </w:t>
      </w:r>
      <w:r>
        <w:rPr>
          <w:sz w:val="13"/>
        </w:rPr>
        <w:t>4 (Baer Arnold &amp; Bonython).</w:t>
      </w:r>
    </w:p>
    <w:p>
      <w:pPr>
        <w:pStyle w:val="ListParagraph"/>
        <w:numPr>
          <w:ilvl w:val="0"/>
          <w:numId w:val="81"/>
        </w:numPr>
        <w:tabs>
          <w:tab w:pos="1760" w:val="left" w:leader="none"/>
          <w:tab w:pos="1762" w:val="left" w:leader="none"/>
        </w:tabs>
        <w:spacing w:line="151" w:lineRule="exact" w:before="0" w:after="0"/>
        <w:ind w:left="1761" w:right="0" w:hanging="794"/>
        <w:jc w:val="left"/>
        <w:rPr>
          <w:sz w:val="13"/>
        </w:rPr>
      </w:pPr>
      <w:r>
        <w:rPr>
          <w:sz w:val="13"/>
        </w:rPr>
        <w:t>Consultation</w:t>
      </w:r>
      <w:r>
        <w:rPr>
          <w:spacing w:val="12"/>
          <w:sz w:val="13"/>
        </w:rPr>
        <w:t> </w:t>
      </w:r>
      <w:r>
        <w:rPr>
          <w:sz w:val="13"/>
        </w:rPr>
        <w:t>4</w:t>
      </w:r>
      <w:r>
        <w:rPr>
          <w:spacing w:val="12"/>
          <w:sz w:val="13"/>
        </w:rPr>
        <w:t> </w:t>
      </w:r>
      <w:r>
        <w:rPr>
          <w:spacing w:val="2"/>
          <w:sz w:val="13"/>
        </w:rPr>
        <w:t>(Victorian</w:t>
      </w:r>
      <w:r>
        <w:rPr>
          <w:spacing w:val="13"/>
          <w:sz w:val="13"/>
        </w:rPr>
        <w:t> </w:t>
      </w:r>
      <w:r>
        <w:rPr>
          <w:sz w:val="13"/>
        </w:rPr>
        <w:t>Criminal</w:t>
      </w:r>
      <w:r>
        <w:rPr>
          <w:spacing w:val="12"/>
          <w:sz w:val="13"/>
        </w:rPr>
        <w:t> </w:t>
      </w:r>
      <w:r>
        <w:rPr>
          <w:sz w:val="13"/>
        </w:rPr>
        <w:t>Bar</w:t>
      </w:r>
      <w:r>
        <w:rPr>
          <w:spacing w:val="13"/>
          <w:sz w:val="13"/>
        </w:rPr>
        <w:t> </w:t>
      </w:r>
      <w:r>
        <w:rPr>
          <w:sz w:val="13"/>
        </w:rPr>
        <w:t>Association).</w:t>
      </w:r>
    </w:p>
    <w:p>
      <w:pPr>
        <w:pStyle w:val="ListParagraph"/>
        <w:numPr>
          <w:ilvl w:val="0"/>
          <w:numId w:val="81"/>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z w:val="13"/>
        </w:rPr>
        <w:t>4 (Baer Arnold &amp;</w:t>
      </w:r>
      <w:r>
        <w:rPr>
          <w:spacing w:val="-1"/>
          <w:sz w:val="13"/>
        </w:rPr>
        <w:t> </w:t>
      </w:r>
      <w:r>
        <w:rPr>
          <w:sz w:val="13"/>
        </w:rPr>
        <w:t>Bonython).</w:t>
      </w:r>
    </w:p>
    <w:p>
      <w:pPr>
        <w:pStyle w:val="ListParagraph"/>
        <w:numPr>
          <w:ilvl w:val="0"/>
          <w:numId w:val="81"/>
        </w:numPr>
        <w:tabs>
          <w:tab w:pos="1761" w:val="left" w:leader="none"/>
          <w:tab w:pos="1762" w:val="left" w:leader="none"/>
        </w:tabs>
        <w:spacing w:line="170" w:lineRule="exact" w:before="0" w:after="0"/>
        <w:ind w:left="1761" w:right="0" w:hanging="794"/>
        <w:jc w:val="left"/>
        <w:rPr>
          <w:sz w:val="13"/>
        </w:rPr>
      </w:pPr>
      <w:r>
        <w:rPr>
          <w:sz w:val="13"/>
        </w:rPr>
        <w:t>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 5</w:t>
      </w:r>
      <w:r>
        <w:rPr>
          <w:spacing w:val="15"/>
          <w:sz w:val="13"/>
        </w:rPr>
        <w:t> </w:t>
      </w:r>
      <w:r>
        <w:rPr>
          <w:spacing w:val="2"/>
          <w:sz w:val="13"/>
        </w:rPr>
        <w:t>[3.8].</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36"/>
        </w:rPr>
      </w:pPr>
    </w:p>
    <w:p>
      <w:pPr>
        <w:spacing w:before="1"/>
        <w:ind w:left="619" w:right="0" w:firstLine="0"/>
        <w:jc w:val="left"/>
        <w:rPr>
          <w:b/>
          <w:sz w:val="24"/>
        </w:rPr>
      </w:pPr>
      <w:r>
        <w:rPr>
          <w:b/>
          <w:color w:val="37617A"/>
          <w:sz w:val="24"/>
        </w:rPr>
        <w:t>109</w:t>
      </w:r>
    </w:p>
    <w:p>
      <w:pPr>
        <w:spacing w:after="0"/>
        <w:jc w:val="left"/>
        <w:rPr>
          <w:sz w:val="24"/>
        </w:rPr>
        <w:sectPr>
          <w:type w:val="continuous"/>
          <w:pgSz w:w="11910" w:h="16840"/>
          <w:pgMar w:top="620" w:bottom="280" w:left="620" w:right="380"/>
          <w:cols w:num="2" w:equalWidth="0">
            <w:col w:w="9631" w:space="40"/>
            <w:col w:w="1239"/>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1" w:val="left" w:leader="none"/>
          <w:tab w:pos="1762" w:val="left" w:leader="none"/>
        </w:tabs>
        <w:spacing w:line="206" w:lineRule="auto" w:before="0" w:after="0"/>
        <w:ind w:left="1761" w:right="1193" w:hanging="794"/>
        <w:jc w:val="left"/>
        <w:rPr>
          <w:sz w:val="20"/>
        </w:rPr>
      </w:pPr>
      <w:bookmarkStart w:name="_bookmark80" w:id="202"/>
      <w:bookmarkEnd w:id="202"/>
      <w:r>
        <w:rPr/>
      </w:r>
      <w:bookmarkStart w:name="_bookmark80" w:id="203"/>
      <w:bookmarkEnd w:id="203"/>
      <w:r>
        <w:rPr>
          <w:sz w:val="20"/>
        </w:rPr>
        <w:t>T</w:t>
      </w:r>
      <w:r>
        <w:rPr>
          <w:sz w:val="20"/>
        </w:rPr>
        <w:t>he</w:t>
      </w:r>
      <w:r>
        <w:rPr>
          <w:spacing w:val="-13"/>
          <w:sz w:val="20"/>
        </w:rPr>
        <w:t> </w:t>
      </w:r>
      <w:r>
        <w:rPr>
          <w:sz w:val="20"/>
        </w:rPr>
        <w:t>judge</w:t>
      </w:r>
      <w:r>
        <w:rPr>
          <w:spacing w:val="-12"/>
          <w:sz w:val="20"/>
        </w:rPr>
        <w:t> </w:t>
      </w:r>
      <w:r>
        <w:rPr>
          <w:sz w:val="20"/>
        </w:rPr>
        <w:t>should</w:t>
      </w:r>
      <w:r>
        <w:rPr>
          <w:spacing w:val="-12"/>
          <w:sz w:val="20"/>
        </w:rPr>
        <w:t> </w:t>
      </w:r>
      <w:r>
        <w:rPr>
          <w:sz w:val="20"/>
        </w:rPr>
        <w:t>consider</w:t>
      </w:r>
      <w:r>
        <w:rPr>
          <w:spacing w:val="-12"/>
          <w:sz w:val="20"/>
        </w:rPr>
        <w:t> </w:t>
      </w:r>
      <w:r>
        <w:rPr>
          <w:sz w:val="20"/>
        </w:rPr>
        <w:t>the</w:t>
      </w:r>
      <w:r>
        <w:rPr>
          <w:spacing w:val="-12"/>
          <w:sz w:val="20"/>
        </w:rPr>
        <w:t> </w:t>
      </w:r>
      <w:r>
        <w:rPr>
          <w:sz w:val="20"/>
        </w:rPr>
        <w:t>interaction</w:t>
      </w:r>
      <w:r>
        <w:rPr>
          <w:spacing w:val="-12"/>
          <w:sz w:val="20"/>
        </w:rPr>
        <w:t> </w:t>
      </w:r>
      <w:r>
        <w:rPr>
          <w:sz w:val="20"/>
        </w:rPr>
        <w:t>between</w:t>
      </w:r>
      <w:r>
        <w:rPr>
          <w:spacing w:val="-12"/>
          <w:sz w:val="20"/>
        </w:rPr>
        <w:t> </w:t>
      </w:r>
      <w:r>
        <w:rPr>
          <w:sz w:val="20"/>
        </w:rPr>
        <w:t>the</w:t>
      </w:r>
      <w:r>
        <w:rPr>
          <w:spacing w:val="-12"/>
          <w:sz w:val="20"/>
        </w:rPr>
        <w:t> </w:t>
      </w:r>
      <w:r>
        <w:rPr>
          <w:sz w:val="20"/>
        </w:rPr>
        <w:t>particular</w:t>
      </w:r>
      <w:r>
        <w:rPr>
          <w:spacing w:val="-12"/>
          <w:sz w:val="20"/>
        </w:rPr>
        <w:t> </w:t>
      </w:r>
      <w:r>
        <w:rPr>
          <w:sz w:val="20"/>
        </w:rPr>
        <w:t>person</w:t>
      </w:r>
      <w:r>
        <w:rPr>
          <w:spacing w:val="-12"/>
          <w:sz w:val="20"/>
        </w:rPr>
        <w:t> </w:t>
      </w:r>
      <w:r>
        <w:rPr>
          <w:sz w:val="20"/>
        </w:rPr>
        <w:t>and</w:t>
      </w:r>
      <w:r>
        <w:rPr>
          <w:spacing w:val="-12"/>
          <w:sz w:val="20"/>
        </w:rPr>
        <w:t> </w:t>
      </w:r>
      <w:r>
        <w:rPr>
          <w:sz w:val="20"/>
        </w:rPr>
        <w:t>the</w:t>
      </w:r>
      <w:r>
        <w:rPr>
          <w:spacing w:val="-13"/>
          <w:sz w:val="20"/>
        </w:rPr>
        <w:t> </w:t>
      </w:r>
      <w:r>
        <w:rPr>
          <w:sz w:val="20"/>
        </w:rPr>
        <w:t>issues in</w:t>
      </w:r>
      <w:r>
        <w:rPr>
          <w:spacing w:val="-9"/>
          <w:sz w:val="20"/>
        </w:rPr>
        <w:t> </w:t>
      </w:r>
      <w:r>
        <w:rPr>
          <w:sz w:val="20"/>
        </w:rPr>
        <w:t>the</w:t>
      </w:r>
      <w:r>
        <w:rPr>
          <w:spacing w:val="-8"/>
          <w:sz w:val="20"/>
        </w:rPr>
        <w:t> </w:t>
      </w:r>
      <w:r>
        <w:rPr>
          <w:sz w:val="20"/>
        </w:rPr>
        <w:t>trial</w:t>
      </w:r>
      <w:r>
        <w:rPr>
          <w:spacing w:val="-8"/>
          <w:sz w:val="20"/>
        </w:rPr>
        <w:t> </w:t>
      </w:r>
      <w:r>
        <w:rPr>
          <w:sz w:val="20"/>
        </w:rPr>
        <w:t>in</w:t>
      </w:r>
      <w:r>
        <w:rPr>
          <w:spacing w:val="-8"/>
          <w:sz w:val="20"/>
        </w:rPr>
        <w:t> </w:t>
      </w:r>
      <w:r>
        <w:rPr>
          <w:sz w:val="20"/>
        </w:rPr>
        <w:t>order</w:t>
      </w:r>
      <w:r>
        <w:rPr>
          <w:spacing w:val="-8"/>
          <w:sz w:val="20"/>
        </w:rPr>
        <w:t> </w:t>
      </w:r>
      <w:r>
        <w:rPr>
          <w:sz w:val="20"/>
        </w:rPr>
        <w:t>to</w:t>
      </w:r>
      <w:r>
        <w:rPr>
          <w:spacing w:val="-8"/>
          <w:sz w:val="20"/>
        </w:rPr>
        <w:t> </w:t>
      </w:r>
      <w:r>
        <w:rPr>
          <w:sz w:val="20"/>
        </w:rPr>
        <w:t>determine</w:t>
      </w:r>
      <w:r>
        <w:rPr>
          <w:spacing w:val="-8"/>
          <w:sz w:val="20"/>
        </w:rPr>
        <w:t> </w:t>
      </w:r>
      <w:r>
        <w:rPr>
          <w:sz w:val="20"/>
        </w:rPr>
        <w:t>whether</w:t>
      </w:r>
      <w:r>
        <w:rPr>
          <w:spacing w:val="-8"/>
          <w:sz w:val="20"/>
        </w:rPr>
        <w:t> </w:t>
      </w:r>
      <w:r>
        <w:rPr>
          <w:sz w:val="20"/>
        </w:rPr>
        <w:t>reasonable</w:t>
      </w:r>
      <w:r>
        <w:rPr>
          <w:spacing w:val="-8"/>
          <w:sz w:val="20"/>
        </w:rPr>
        <w:t> </w:t>
      </w:r>
      <w:r>
        <w:rPr>
          <w:sz w:val="20"/>
        </w:rPr>
        <w:t>adjustments</w:t>
      </w:r>
      <w:r>
        <w:rPr>
          <w:spacing w:val="-8"/>
          <w:sz w:val="20"/>
        </w:rPr>
        <w:t> </w:t>
      </w:r>
      <w:r>
        <w:rPr>
          <w:spacing w:val="-3"/>
          <w:sz w:val="20"/>
        </w:rPr>
        <w:t>would</w:t>
      </w:r>
      <w:r>
        <w:rPr>
          <w:spacing w:val="-8"/>
          <w:sz w:val="20"/>
        </w:rPr>
        <w:t> </w:t>
      </w:r>
      <w:r>
        <w:rPr>
          <w:spacing w:val="-3"/>
          <w:sz w:val="20"/>
        </w:rPr>
        <w:t>allow</w:t>
      </w:r>
      <w:r>
        <w:rPr>
          <w:spacing w:val="-8"/>
          <w:sz w:val="20"/>
        </w:rPr>
        <w:t> </w:t>
      </w:r>
      <w:r>
        <w:rPr>
          <w:sz w:val="20"/>
        </w:rPr>
        <w:t>the</w:t>
      </w:r>
    </w:p>
    <w:p>
      <w:pPr>
        <w:pStyle w:val="BodyText"/>
        <w:spacing w:line="206" w:lineRule="auto" w:before="3"/>
        <w:ind w:left="1761" w:right="1335"/>
        <w:rPr>
          <w:sz w:val="11"/>
        </w:rPr>
      </w:pPr>
      <w:r>
        <w:rPr/>
        <w:t>juror</w:t>
      </w:r>
      <w:r>
        <w:rPr>
          <w:spacing w:val="-11"/>
        </w:rPr>
        <w:t> </w:t>
      </w:r>
      <w:r>
        <w:rPr/>
        <w:t>to</w:t>
      </w:r>
      <w:r>
        <w:rPr>
          <w:spacing w:val="-10"/>
        </w:rPr>
        <w:t> </w:t>
      </w:r>
      <w:r>
        <w:rPr/>
        <w:t>perform</w:t>
      </w:r>
      <w:r>
        <w:rPr>
          <w:spacing w:val="-10"/>
        </w:rPr>
        <w:t> </w:t>
      </w:r>
      <w:r>
        <w:rPr/>
        <w:t>jury</w:t>
      </w:r>
      <w:r>
        <w:rPr>
          <w:spacing w:val="-10"/>
        </w:rPr>
        <w:t> </w:t>
      </w:r>
      <w:r>
        <w:rPr/>
        <w:t>service</w:t>
      </w:r>
      <w:r>
        <w:rPr>
          <w:spacing w:val="-10"/>
        </w:rPr>
        <w:t> </w:t>
      </w:r>
      <w:r>
        <w:rPr/>
        <w:t>in</w:t>
      </w:r>
      <w:r>
        <w:rPr>
          <w:spacing w:val="-10"/>
        </w:rPr>
        <w:t> </w:t>
      </w:r>
      <w:r>
        <w:rPr/>
        <w:t>that</w:t>
      </w:r>
      <w:r>
        <w:rPr>
          <w:spacing w:val="-10"/>
        </w:rPr>
        <w:t> </w:t>
      </w:r>
      <w:r>
        <w:rPr/>
        <w:t>trial.</w:t>
      </w:r>
      <w:r>
        <w:rPr>
          <w:spacing w:val="-10"/>
        </w:rPr>
        <w:t> </w:t>
      </w:r>
      <w:r>
        <w:rPr/>
        <w:t>This</w:t>
      </w:r>
      <w:r>
        <w:rPr>
          <w:spacing w:val="-10"/>
        </w:rPr>
        <w:t> </w:t>
      </w:r>
      <w:r>
        <w:rPr/>
        <w:t>was</w:t>
      </w:r>
      <w:r>
        <w:rPr>
          <w:spacing w:val="-10"/>
        </w:rPr>
        <w:t> </w:t>
      </w:r>
      <w:r>
        <w:rPr/>
        <w:t>the</w:t>
      </w:r>
      <w:r>
        <w:rPr>
          <w:spacing w:val="-10"/>
        </w:rPr>
        <w:t> </w:t>
      </w:r>
      <w:r>
        <w:rPr/>
        <w:t>approach</w:t>
      </w:r>
      <w:r>
        <w:rPr>
          <w:spacing w:val="-10"/>
        </w:rPr>
        <w:t> </w:t>
      </w:r>
      <w:r>
        <w:rPr/>
        <w:t>recommended</w:t>
      </w:r>
      <w:r>
        <w:rPr>
          <w:spacing w:val="-10"/>
        </w:rPr>
        <w:t> </w:t>
      </w:r>
      <w:r>
        <w:rPr>
          <w:spacing w:val="-3"/>
        </w:rPr>
        <w:t>by</w:t>
      </w:r>
      <w:r>
        <w:rPr>
          <w:spacing w:val="-10"/>
        </w:rPr>
        <w:t> </w:t>
      </w:r>
      <w:r>
        <w:rPr/>
        <w:t>the Convention</w:t>
      </w:r>
      <w:r>
        <w:rPr>
          <w:spacing w:val="-5"/>
        </w:rPr>
        <w:t> </w:t>
      </w:r>
      <w:r>
        <w:rPr/>
        <w:t>Committee.</w:t>
      </w:r>
      <w:r>
        <w:rPr>
          <w:position w:val="7"/>
          <w:sz w:val="11"/>
        </w:rPr>
        <w:t>17</w:t>
      </w:r>
    </w:p>
    <w:p>
      <w:pPr>
        <w:pStyle w:val="ListParagraph"/>
        <w:numPr>
          <w:ilvl w:val="1"/>
          <w:numId w:val="12"/>
        </w:numPr>
        <w:tabs>
          <w:tab w:pos="1762" w:val="left" w:leader="none"/>
        </w:tabs>
        <w:spacing w:line="206" w:lineRule="auto" w:before="122" w:after="0"/>
        <w:ind w:left="1761" w:right="1102" w:hanging="794"/>
        <w:jc w:val="both"/>
        <w:rPr>
          <w:sz w:val="20"/>
        </w:rPr>
      </w:pPr>
      <w:r>
        <w:rPr>
          <w:sz w:val="20"/>
        </w:rPr>
        <w:t>The</w:t>
      </w:r>
      <w:r>
        <w:rPr>
          <w:spacing w:val="-11"/>
          <w:sz w:val="20"/>
        </w:rPr>
        <w:t> </w:t>
      </w:r>
      <w:r>
        <w:rPr>
          <w:i/>
          <w:sz w:val="20"/>
        </w:rPr>
        <w:t>Criminal</w:t>
      </w:r>
      <w:r>
        <w:rPr>
          <w:i/>
          <w:spacing w:val="-10"/>
          <w:sz w:val="20"/>
        </w:rPr>
        <w:t> </w:t>
      </w:r>
      <w:r>
        <w:rPr>
          <w:i/>
          <w:spacing w:val="-3"/>
          <w:sz w:val="20"/>
        </w:rPr>
        <w:t>Procedure</w:t>
      </w:r>
      <w:r>
        <w:rPr>
          <w:i/>
          <w:spacing w:val="-10"/>
          <w:sz w:val="20"/>
        </w:rPr>
        <w:t> </w:t>
      </w:r>
      <w:r>
        <w:rPr>
          <w:i/>
          <w:sz w:val="20"/>
        </w:rPr>
        <w:t>Act</w:t>
      </w:r>
      <w:r>
        <w:rPr>
          <w:i/>
          <w:spacing w:val="-9"/>
          <w:sz w:val="20"/>
        </w:rPr>
        <w:t> </w:t>
      </w:r>
      <w:r>
        <w:rPr>
          <w:i/>
          <w:sz w:val="20"/>
        </w:rPr>
        <w:t>2009</w:t>
      </w:r>
      <w:r>
        <w:rPr>
          <w:i/>
          <w:spacing w:val="-10"/>
          <w:sz w:val="20"/>
        </w:rPr>
        <w:t> </w:t>
      </w:r>
      <w:r>
        <w:rPr>
          <w:sz w:val="20"/>
        </w:rPr>
        <w:t>(Vic)</w:t>
      </w:r>
      <w:r>
        <w:rPr>
          <w:spacing w:val="-10"/>
          <w:sz w:val="20"/>
        </w:rPr>
        <w:t> </w:t>
      </w:r>
      <w:r>
        <w:rPr>
          <w:spacing w:val="-3"/>
          <w:sz w:val="20"/>
        </w:rPr>
        <w:t>requires</w:t>
      </w:r>
      <w:r>
        <w:rPr>
          <w:spacing w:val="-10"/>
          <w:sz w:val="20"/>
        </w:rPr>
        <w:t> </w:t>
      </w:r>
      <w:r>
        <w:rPr>
          <w:sz w:val="20"/>
        </w:rPr>
        <w:t>extensive</w:t>
      </w:r>
      <w:r>
        <w:rPr>
          <w:spacing w:val="-11"/>
          <w:sz w:val="20"/>
        </w:rPr>
        <w:t> </w:t>
      </w:r>
      <w:r>
        <w:rPr>
          <w:sz w:val="20"/>
        </w:rPr>
        <w:t>information</w:t>
      </w:r>
      <w:r>
        <w:rPr>
          <w:spacing w:val="-10"/>
          <w:sz w:val="20"/>
        </w:rPr>
        <w:t> </w:t>
      </w:r>
      <w:r>
        <w:rPr>
          <w:sz w:val="20"/>
        </w:rPr>
        <w:t>to</w:t>
      </w:r>
      <w:r>
        <w:rPr>
          <w:spacing w:val="-10"/>
          <w:sz w:val="20"/>
        </w:rPr>
        <w:t> </w:t>
      </w:r>
      <w:r>
        <w:rPr>
          <w:sz w:val="20"/>
        </w:rPr>
        <w:t>be</w:t>
      </w:r>
      <w:r>
        <w:rPr>
          <w:spacing w:val="-10"/>
          <w:sz w:val="20"/>
        </w:rPr>
        <w:t> </w:t>
      </w:r>
      <w:r>
        <w:rPr>
          <w:sz w:val="20"/>
        </w:rPr>
        <w:t>disclosed</w:t>
      </w:r>
      <w:r>
        <w:rPr>
          <w:spacing w:val="-11"/>
          <w:sz w:val="20"/>
        </w:rPr>
        <w:t> </w:t>
      </w:r>
      <w:r>
        <w:rPr>
          <w:sz w:val="20"/>
        </w:rPr>
        <w:t>pre- trial.</w:t>
      </w:r>
      <w:r>
        <w:rPr>
          <w:spacing w:val="-12"/>
          <w:sz w:val="20"/>
        </w:rPr>
        <w:t> </w:t>
      </w:r>
      <w:r>
        <w:rPr>
          <w:sz w:val="20"/>
        </w:rPr>
        <w:t>The</w:t>
      </w:r>
      <w:r>
        <w:rPr>
          <w:spacing w:val="-11"/>
          <w:sz w:val="20"/>
        </w:rPr>
        <w:t> </w:t>
      </w:r>
      <w:r>
        <w:rPr>
          <w:sz w:val="20"/>
        </w:rPr>
        <w:t>Commission’s</w:t>
      </w:r>
      <w:r>
        <w:rPr>
          <w:spacing w:val="-11"/>
          <w:sz w:val="20"/>
        </w:rPr>
        <w:t> </w:t>
      </w:r>
      <w:r>
        <w:rPr>
          <w:sz w:val="20"/>
        </w:rPr>
        <w:t>view</w:t>
      </w:r>
      <w:r>
        <w:rPr>
          <w:spacing w:val="-11"/>
          <w:sz w:val="20"/>
        </w:rPr>
        <w:t> </w:t>
      </w:r>
      <w:r>
        <w:rPr>
          <w:sz w:val="20"/>
        </w:rPr>
        <w:t>is</w:t>
      </w:r>
      <w:r>
        <w:rPr>
          <w:spacing w:val="-11"/>
          <w:sz w:val="20"/>
        </w:rPr>
        <w:t> </w:t>
      </w:r>
      <w:r>
        <w:rPr>
          <w:sz w:val="20"/>
        </w:rPr>
        <w:t>that</w:t>
      </w:r>
      <w:r>
        <w:rPr>
          <w:spacing w:val="-11"/>
          <w:sz w:val="20"/>
        </w:rPr>
        <w:t> </w:t>
      </w:r>
      <w:r>
        <w:rPr>
          <w:sz w:val="20"/>
        </w:rPr>
        <w:t>there</w:t>
      </w:r>
      <w:r>
        <w:rPr>
          <w:spacing w:val="-11"/>
          <w:sz w:val="20"/>
        </w:rPr>
        <w:t> </w:t>
      </w:r>
      <w:r>
        <w:rPr>
          <w:sz w:val="20"/>
        </w:rPr>
        <w:t>should</w:t>
      </w:r>
      <w:r>
        <w:rPr>
          <w:spacing w:val="-11"/>
          <w:sz w:val="20"/>
        </w:rPr>
        <w:t> </w:t>
      </w:r>
      <w:r>
        <w:rPr>
          <w:sz w:val="20"/>
        </w:rPr>
        <w:t>be</w:t>
      </w:r>
      <w:r>
        <w:rPr>
          <w:spacing w:val="-12"/>
          <w:sz w:val="20"/>
        </w:rPr>
        <w:t> </w:t>
      </w:r>
      <w:r>
        <w:rPr>
          <w:sz w:val="20"/>
        </w:rPr>
        <w:t>enough</w:t>
      </w:r>
      <w:r>
        <w:rPr>
          <w:spacing w:val="-11"/>
          <w:sz w:val="20"/>
        </w:rPr>
        <w:t> </w:t>
      </w:r>
      <w:r>
        <w:rPr>
          <w:sz w:val="20"/>
        </w:rPr>
        <w:t>information</w:t>
      </w:r>
      <w:r>
        <w:rPr>
          <w:spacing w:val="-11"/>
          <w:sz w:val="20"/>
        </w:rPr>
        <w:t> </w:t>
      </w:r>
      <w:r>
        <w:rPr>
          <w:spacing w:val="-3"/>
          <w:sz w:val="20"/>
        </w:rPr>
        <w:t>available</w:t>
      </w:r>
      <w:r>
        <w:rPr>
          <w:spacing w:val="-11"/>
          <w:sz w:val="20"/>
        </w:rPr>
        <w:t> </w:t>
      </w:r>
      <w:r>
        <w:rPr>
          <w:sz w:val="20"/>
        </w:rPr>
        <w:t>in</w:t>
      </w:r>
      <w:r>
        <w:rPr>
          <w:spacing w:val="-11"/>
          <w:sz w:val="20"/>
        </w:rPr>
        <w:t> </w:t>
      </w:r>
      <w:r>
        <w:rPr>
          <w:sz w:val="20"/>
        </w:rPr>
        <w:t>most cases</w:t>
      </w:r>
      <w:r>
        <w:rPr>
          <w:spacing w:val="-6"/>
          <w:sz w:val="20"/>
        </w:rPr>
        <w:t> </w:t>
      </w:r>
      <w:r>
        <w:rPr>
          <w:sz w:val="20"/>
        </w:rPr>
        <w:t>for</w:t>
      </w:r>
      <w:r>
        <w:rPr>
          <w:spacing w:val="-6"/>
          <w:sz w:val="20"/>
        </w:rPr>
        <w:t> </w:t>
      </w:r>
      <w:r>
        <w:rPr>
          <w:sz w:val="20"/>
        </w:rPr>
        <w:t>a</w:t>
      </w:r>
      <w:r>
        <w:rPr>
          <w:spacing w:val="-6"/>
          <w:sz w:val="20"/>
        </w:rPr>
        <w:t> </w:t>
      </w:r>
      <w:r>
        <w:rPr>
          <w:sz w:val="20"/>
        </w:rPr>
        <w:t>judge</w:t>
      </w:r>
      <w:r>
        <w:rPr>
          <w:spacing w:val="-5"/>
          <w:sz w:val="20"/>
        </w:rPr>
        <w:t> </w:t>
      </w:r>
      <w:r>
        <w:rPr>
          <w:sz w:val="20"/>
        </w:rPr>
        <w:t>to</w:t>
      </w:r>
      <w:r>
        <w:rPr>
          <w:spacing w:val="-6"/>
          <w:sz w:val="20"/>
        </w:rPr>
        <w:t> </w:t>
      </w:r>
      <w:r>
        <w:rPr>
          <w:spacing w:val="-3"/>
          <w:sz w:val="20"/>
        </w:rPr>
        <w:t>make</w:t>
      </w:r>
      <w:r>
        <w:rPr>
          <w:spacing w:val="-6"/>
          <w:sz w:val="20"/>
        </w:rPr>
        <w:t> </w:t>
      </w:r>
      <w:r>
        <w:rPr>
          <w:sz w:val="20"/>
        </w:rPr>
        <w:t>an</w:t>
      </w:r>
      <w:r>
        <w:rPr>
          <w:spacing w:val="-6"/>
          <w:sz w:val="20"/>
        </w:rPr>
        <w:t> </w:t>
      </w:r>
      <w:r>
        <w:rPr>
          <w:sz w:val="20"/>
        </w:rPr>
        <w:t>assessment</w:t>
      </w:r>
      <w:r>
        <w:rPr>
          <w:spacing w:val="-6"/>
          <w:sz w:val="20"/>
        </w:rPr>
        <w:t> </w:t>
      </w:r>
      <w:r>
        <w:rPr>
          <w:sz w:val="20"/>
        </w:rPr>
        <w:t>about</w:t>
      </w:r>
      <w:r>
        <w:rPr>
          <w:spacing w:val="-5"/>
          <w:sz w:val="20"/>
        </w:rPr>
        <w:t> </w:t>
      </w:r>
      <w:r>
        <w:rPr>
          <w:sz w:val="20"/>
        </w:rPr>
        <w:t>adjustments</w:t>
      </w:r>
      <w:r>
        <w:rPr>
          <w:spacing w:val="-6"/>
          <w:sz w:val="20"/>
        </w:rPr>
        <w:t> </w:t>
      </w:r>
      <w:r>
        <w:rPr>
          <w:sz w:val="20"/>
        </w:rPr>
        <w:t>at</w:t>
      </w:r>
      <w:r>
        <w:rPr>
          <w:spacing w:val="-6"/>
          <w:sz w:val="20"/>
        </w:rPr>
        <w:t> </w:t>
      </w:r>
      <w:r>
        <w:rPr>
          <w:sz w:val="20"/>
        </w:rPr>
        <w:t>an</w:t>
      </w:r>
      <w:r>
        <w:rPr>
          <w:spacing w:val="-6"/>
          <w:sz w:val="20"/>
        </w:rPr>
        <w:t> </w:t>
      </w:r>
      <w:r>
        <w:rPr>
          <w:spacing w:val="-3"/>
          <w:sz w:val="20"/>
        </w:rPr>
        <w:t>early</w:t>
      </w:r>
      <w:r>
        <w:rPr>
          <w:spacing w:val="-5"/>
          <w:sz w:val="20"/>
        </w:rPr>
        <w:t> </w:t>
      </w:r>
      <w:r>
        <w:rPr>
          <w:sz w:val="20"/>
        </w:rPr>
        <w:t>stage.</w:t>
      </w:r>
    </w:p>
    <w:p>
      <w:pPr>
        <w:pStyle w:val="ListParagraph"/>
        <w:numPr>
          <w:ilvl w:val="1"/>
          <w:numId w:val="12"/>
        </w:numPr>
        <w:tabs>
          <w:tab w:pos="1761" w:val="left" w:leader="none"/>
          <w:tab w:pos="1762" w:val="left" w:leader="none"/>
        </w:tabs>
        <w:spacing w:line="206" w:lineRule="auto" w:before="124" w:after="0"/>
        <w:ind w:left="1761" w:right="1157" w:hanging="794"/>
        <w:jc w:val="left"/>
        <w:rPr>
          <w:sz w:val="20"/>
        </w:rPr>
      </w:pPr>
      <w:r>
        <w:rPr>
          <w:sz w:val="20"/>
        </w:rPr>
        <w:t>If it is clear to the trial judge at the outset of the empanelment process that a person is not able to comprehend evidence that is material to the outcome of a trial, that person should</w:t>
      </w:r>
      <w:r>
        <w:rPr>
          <w:spacing w:val="-8"/>
          <w:sz w:val="20"/>
        </w:rPr>
        <w:t> </w:t>
      </w:r>
      <w:r>
        <w:rPr>
          <w:sz w:val="20"/>
        </w:rPr>
        <w:t>not</w:t>
      </w:r>
      <w:r>
        <w:rPr>
          <w:spacing w:val="-8"/>
          <w:sz w:val="20"/>
        </w:rPr>
        <w:t> </w:t>
      </w:r>
      <w:r>
        <w:rPr>
          <w:sz w:val="20"/>
        </w:rPr>
        <w:t>be</w:t>
      </w:r>
      <w:r>
        <w:rPr>
          <w:spacing w:val="-8"/>
          <w:sz w:val="20"/>
        </w:rPr>
        <w:t> </w:t>
      </w:r>
      <w:r>
        <w:rPr>
          <w:sz w:val="20"/>
        </w:rPr>
        <w:t>able</w:t>
      </w:r>
      <w:r>
        <w:rPr>
          <w:spacing w:val="-7"/>
          <w:sz w:val="20"/>
        </w:rPr>
        <w:t> </w:t>
      </w:r>
      <w:r>
        <w:rPr>
          <w:sz w:val="20"/>
        </w:rPr>
        <w:t>to</w:t>
      </w:r>
      <w:r>
        <w:rPr>
          <w:spacing w:val="-8"/>
          <w:sz w:val="20"/>
        </w:rPr>
        <w:t> </w:t>
      </w:r>
      <w:r>
        <w:rPr>
          <w:sz w:val="20"/>
        </w:rPr>
        <w:t>serve</w:t>
      </w:r>
      <w:r>
        <w:rPr>
          <w:spacing w:val="-8"/>
          <w:sz w:val="20"/>
        </w:rPr>
        <w:t> </w:t>
      </w:r>
      <w:r>
        <w:rPr>
          <w:sz w:val="20"/>
        </w:rPr>
        <w:t>on</w:t>
      </w:r>
      <w:r>
        <w:rPr>
          <w:spacing w:val="-8"/>
          <w:sz w:val="20"/>
        </w:rPr>
        <w:t> </w:t>
      </w:r>
      <w:r>
        <w:rPr>
          <w:sz w:val="20"/>
        </w:rPr>
        <w:t>that</w:t>
      </w:r>
      <w:r>
        <w:rPr>
          <w:spacing w:val="-7"/>
          <w:sz w:val="20"/>
        </w:rPr>
        <w:t> </w:t>
      </w:r>
      <w:r>
        <w:rPr>
          <w:sz w:val="20"/>
        </w:rPr>
        <w:t>trial.</w:t>
      </w:r>
      <w:r>
        <w:rPr>
          <w:spacing w:val="-8"/>
          <w:sz w:val="20"/>
        </w:rPr>
        <w:t> </w:t>
      </w:r>
      <w:r>
        <w:rPr>
          <w:sz w:val="20"/>
        </w:rPr>
        <w:t>An</w:t>
      </w:r>
      <w:r>
        <w:rPr>
          <w:spacing w:val="-8"/>
          <w:sz w:val="20"/>
        </w:rPr>
        <w:t> </w:t>
      </w:r>
      <w:r>
        <w:rPr>
          <w:spacing w:val="-3"/>
          <w:sz w:val="20"/>
        </w:rPr>
        <w:t>example</w:t>
      </w:r>
      <w:r>
        <w:rPr>
          <w:spacing w:val="-8"/>
          <w:sz w:val="20"/>
        </w:rPr>
        <w:t> </w:t>
      </w:r>
      <w:r>
        <w:rPr>
          <w:spacing w:val="-3"/>
          <w:sz w:val="20"/>
        </w:rPr>
        <w:t>would</w:t>
      </w:r>
      <w:r>
        <w:rPr>
          <w:spacing w:val="-7"/>
          <w:sz w:val="20"/>
        </w:rPr>
        <w:t> </w:t>
      </w:r>
      <w:r>
        <w:rPr>
          <w:sz w:val="20"/>
        </w:rPr>
        <w:t>be</w:t>
      </w:r>
      <w:r>
        <w:rPr>
          <w:spacing w:val="-8"/>
          <w:sz w:val="20"/>
        </w:rPr>
        <w:t> </w:t>
      </w:r>
      <w:r>
        <w:rPr>
          <w:sz w:val="20"/>
        </w:rPr>
        <w:t>a</w:t>
      </w:r>
      <w:r>
        <w:rPr>
          <w:spacing w:val="-8"/>
          <w:sz w:val="20"/>
        </w:rPr>
        <w:t> </w:t>
      </w:r>
      <w:r>
        <w:rPr>
          <w:sz w:val="20"/>
        </w:rPr>
        <w:t>case</w:t>
      </w:r>
      <w:r>
        <w:rPr>
          <w:spacing w:val="-7"/>
          <w:sz w:val="20"/>
        </w:rPr>
        <w:t> </w:t>
      </w:r>
      <w:r>
        <w:rPr>
          <w:sz w:val="20"/>
        </w:rPr>
        <w:t>that</w:t>
      </w:r>
      <w:r>
        <w:rPr>
          <w:spacing w:val="-8"/>
          <w:sz w:val="20"/>
        </w:rPr>
        <w:t> </w:t>
      </w:r>
      <w:r>
        <w:rPr>
          <w:sz w:val="20"/>
        </w:rPr>
        <w:t>turns</w:t>
      </w:r>
      <w:r>
        <w:rPr>
          <w:spacing w:val="-8"/>
          <w:sz w:val="20"/>
        </w:rPr>
        <w:t> </w:t>
      </w:r>
      <w:r>
        <w:rPr>
          <w:sz w:val="20"/>
        </w:rPr>
        <w:t>on</w:t>
      </w:r>
      <w:r>
        <w:rPr>
          <w:spacing w:val="-8"/>
          <w:sz w:val="20"/>
        </w:rPr>
        <w:t> </w:t>
      </w:r>
      <w:r>
        <w:rPr>
          <w:spacing w:val="-3"/>
          <w:sz w:val="20"/>
        </w:rPr>
        <w:t>voice </w:t>
      </w:r>
      <w:r>
        <w:rPr>
          <w:sz w:val="20"/>
        </w:rPr>
        <w:t>identification</w:t>
      </w:r>
      <w:r>
        <w:rPr>
          <w:spacing w:val="-6"/>
          <w:sz w:val="20"/>
        </w:rPr>
        <w:t> </w:t>
      </w:r>
      <w:r>
        <w:rPr>
          <w:sz w:val="20"/>
        </w:rPr>
        <w:t>evidence</w:t>
      </w:r>
      <w:r>
        <w:rPr>
          <w:spacing w:val="-6"/>
          <w:sz w:val="20"/>
        </w:rPr>
        <w:t> </w:t>
      </w:r>
      <w:r>
        <w:rPr>
          <w:sz w:val="20"/>
        </w:rPr>
        <w:t>which</w:t>
      </w:r>
      <w:r>
        <w:rPr>
          <w:spacing w:val="-5"/>
          <w:sz w:val="20"/>
        </w:rPr>
        <w:t> </w:t>
      </w:r>
      <w:r>
        <w:rPr>
          <w:sz w:val="20"/>
        </w:rPr>
        <w:t>a</w:t>
      </w:r>
      <w:r>
        <w:rPr>
          <w:spacing w:val="-6"/>
          <w:sz w:val="20"/>
        </w:rPr>
        <w:t> </w:t>
      </w:r>
      <w:r>
        <w:rPr>
          <w:sz w:val="20"/>
        </w:rPr>
        <w:t>deaf</w:t>
      </w:r>
      <w:r>
        <w:rPr>
          <w:spacing w:val="-6"/>
          <w:sz w:val="20"/>
        </w:rPr>
        <w:t> </w:t>
      </w:r>
      <w:r>
        <w:rPr>
          <w:sz w:val="20"/>
        </w:rPr>
        <w:t>person</w:t>
      </w:r>
      <w:r>
        <w:rPr>
          <w:spacing w:val="-5"/>
          <w:sz w:val="20"/>
        </w:rPr>
        <w:t> </w:t>
      </w:r>
      <w:r>
        <w:rPr>
          <w:spacing w:val="-3"/>
          <w:sz w:val="20"/>
        </w:rPr>
        <w:t>would</w:t>
      </w:r>
      <w:r>
        <w:rPr>
          <w:spacing w:val="-6"/>
          <w:sz w:val="20"/>
        </w:rPr>
        <w:t> </w:t>
      </w:r>
      <w:r>
        <w:rPr>
          <w:sz w:val="20"/>
        </w:rPr>
        <w:t>be</w:t>
      </w:r>
      <w:r>
        <w:rPr>
          <w:spacing w:val="-5"/>
          <w:sz w:val="20"/>
        </w:rPr>
        <w:t> </w:t>
      </w:r>
      <w:r>
        <w:rPr>
          <w:sz w:val="20"/>
        </w:rPr>
        <w:t>unable</w:t>
      </w:r>
      <w:r>
        <w:rPr>
          <w:spacing w:val="-6"/>
          <w:sz w:val="20"/>
        </w:rPr>
        <w:t> </w:t>
      </w:r>
      <w:r>
        <w:rPr>
          <w:sz w:val="20"/>
        </w:rPr>
        <w:t>to</w:t>
      </w:r>
      <w:r>
        <w:rPr>
          <w:spacing w:val="-6"/>
          <w:sz w:val="20"/>
        </w:rPr>
        <w:t> </w:t>
      </w:r>
      <w:r>
        <w:rPr>
          <w:spacing w:val="-4"/>
          <w:sz w:val="20"/>
        </w:rPr>
        <w:t>hear.</w:t>
      </w:r>
    </w:p>
    <w:p>
      <w:pPr>
        <w:pStyle w:val="ListParagraph"/>
        <w:numPr>
          <w:ilvl w:val="1"/>
          <w:numId w:val="12"/>
        </w:numPr>
        <w:tabs>
          <w:tab w:pos="1761" w:val="left" w:leader="none"/>
          <w:tab w:pos="1762" w:val="left" w:leader="none"/>
        </w:tabs>
        <w:spacing w:line="206" w:lineRule="auto" w:before="125" w:after="0"/>
        <w:ind w:left="1761" w:right="1194" w:hanging="794"/>
        <w:jc w:val="left"/>
        <w:rPr>
          <w:sz w:val="20"/>
        </w:rPr>
      </w:pPr>
      <w:r>
        <w:rPr>
          <w:sz w:val="20"/>
        </w:rPr>
        <w:t>The question of whether a potential juror should serve if they cannot comprehend certain</w:t>
      </w:r>
      <w:r>
        <w:rPr>
          <w:spacing w:val="-11"/>
          <w:sz w:val="20"/>
        </w:rPr>
        <w:t> </w:t>
      </w:r>
      <w:r>
        <w:rPr>
          <w:sz w:val="20"/>
        </w:rPr>
        <w:t>evidence</w:t>
      </w:r>
      <w:r>
        <w:rPr>
          <w:spacing w:val="-10"/>
          <w:sz w:val="20"/>
        </w:rPr>
        <w:t> </w:t>
      </w:r>
      <w:r>
        <w:rPr>
          <w:sz w:val="20"/>
        </w:rPr>
        <w:t>that</w:t>
      </w:r>
      <w:r>
        <w:rPr>
          <w:spacing w:val="-10"/>
          <w:sz w:val="20"/>
        </w:rPr>
        <w:t> </w:t>
      </w:r>
      <w:r>
        <w:rPr>
          <w:sz w:val="20"/>
        </w:rPr>
        <w:t>is</w:t>
      </w:r>
      <w:r>
        <w:rPr>
          <w:spacing w:val="-10"/>
          <w:sz w:val="20"/>
        </w:rPr>
        <w:t> </w:t>
      </w:r>
      <w:r>
        <w:rPr>
          <w:i/>
          <w:sz w:val="20"/>
        </w:rPr>
        <w:t>not</w:t>
      </w:r>
      <w:r>
        <w:rPr>
          <w:i/>
          <w:spacing w:val="-9"/>
          <w:sz w:val="20"/>
        </w:rPr>
        <w:t> </w:t>
      </w:r>
      <w:r>
        <w:rPr>
          <w:sz w:val="20"/>
        </w:rPr>
        <w:t>material</w:t>
      </w:r>
      <w:r>
        <w:rPr>
          <w:spacing w:val="-10"/>
          <w:sz w:val="20"/>
        </w:rPr>
        <w:t> </w:t>
      </w:r>
      <w:r>
        <w:rPr>
          <w:sz w:val="20"/>
        </w:rPr>
        <w:t>to</w:t>
      </w:r>
      <w:r>
        <w:rPr>
          <w:spacing w:val="-10"/>
          <w:sz w:val="20"/>
        </w:rPr>
        <w:t> </w:t>
      </w:r>
      <w:r>
        <w:rPr>
          <w:sz w:val="20"/>
        </w:rPr>
        <w:t>the</w:t>
      </w:r>
      <w:r>
        <w:rPr>
          <w:spacing w:val="-10"/>
          <w:sz w:val="20"/>
        </w:rPr>
        <w:t> </w:t>
      </w:r>
      <w:r>
        <w:rPr>
          <w:sz w:val="20"/>
        </w:rPr>
        <w:t>outcome</w:t>
      </w:r>
      <w:r>
        <w:rPr>
          <w:spacing w:val="-10"/>
          <w:sz w:val="20"/>
        </w:rPr>
        <w:t> </w:t>
      </w:r>
      <w:r>
        <w:rPr>
          <w:sz w:val="20"/>
        </w:rPr>
        <w:t>of</w:t>
      </w:r>
      <w:r>
        <w:rPr>
          <w:spacing w:val="-10"/>
          <w:sz w:val="20"/>
        </w:rPr>
        <w:t> </w:t>
      </w:r>
      <w:r>
        <w:rPr>
          <w:sz w:val="20"/>
        </w:rPr>
        <w:t>a</w:t>
      </w:r>
      <w:r>
        <w:rPr>
          <w:spacing w:val="-11"/>
          <w:sz w:val="20"/>
        </w:rPr>
        <w:t> </w:t>
      </w:r>
      <w:r>
        <w:rPr>
          <w:sz w:val="20"/>
        </w:rPr>
        <w:t>trial</w:t>
      </w:r>
      <w:r>
        <w:rPr>
          <w:spacing w:val="-10"/>
          <w:sz w:val="20"/>
        </w:rPr>
        <w:t> </w:t>
      </w:r>
      <w:r>
        <w:rPr>
          <w:sz w:val="20"/>
        </w:rPr>
        <w:t>should</w:t>
      </w:r>
      <w:r>
        <w:rPr>
          <w:spacing w:val="-10"/>
          <w:sz w:val="20"/>
        </w:rPr>
        <w:t> </w:t>
      </w:r>
      <w:r>
        <w:rPr>
          <w:sz w:val="20"/>
        </w:rPr>
        <w:t>be</w:t>
      </w:r>
      <w:r>
        <w:rPr>
          <w:spacing w:val="-10"/>
          <w:sz w:val="20"/>
        </w:rPr>
        <w:t> </w:t>
      </w:r>
      <w:r>
        <w:rPr>
          <w:sz w:val="20"/>
        </w:rPr>
        <w:t>a</w:t>
      </w:r>
      <w:r>
        <w:rPr>
          <w:spacing w:val="-10"/>
          <w:sz w:val="20"/>
        </w:rPr>
        <w:t> </w:t>
      </w:r>
      <w:r>
        <w:rPr>
          <w:sz w:val="20"/>
        </w:rPr>
        <w:t>decision</w:t>
      </w:r>
      <w:r>
        <w:rPr>
          <w:spacing w:val="-10"/>
          <w:sz w:val="20"/>
        </w:rPr>
        <w:t> </w:t>
      </w:r>
      <w:r>
        <w:rPr>
          <w:sz w:val="20"/>
        </w:rPr>
        <w:t>of</w:t>
      </w:r>
      <w:r>
        <w:rPr>
          <w:spacing w:val="-10"/>
          <w:sz w:val="20"/>
        </w:rPr>
        <w:t> </w:t>
      </w:r>
      <w:r>
        <w:rPr>
          <w:sz w:val="20"/>
        </w:rPr>
        <w:t>the trial judge, based on all the</w:t>
      </w:r>
      <w:r>
        <w:rPr>
          <w:spacing w:val="-28"/>
          <w:sz w:val="20"/>
        </w:rPr>
        <w:t> </w:t>
      </w:r>
      <w:r>
        <w:rPr>
          <w:sz w:val="20"/>
        </w:rPr>
        <w:t>circumstances.</w:t>
      </w:r>
    </w:p>
    <w:p>
      <w:pPr>
        <w:pStyle w:val="ListParagraph"/>
        <w:numPr>
          <w:ilvl w:val="1"/>
          <w:numId w:val="12"/>
        </w:numPr>
        <w:tabs>
          <w:tab w:pos="1761" w:val="left" w:leader="none"/>
          <w:tab w:pos="1762" w:val="left" w:leader="none"/>
        </w:tabs>
        <w:spacing w:line="206" w:lineRule="auto" w:before="124" w:after="0"/>
        <w:ind w:left="1761" w:right="1316" w:hanging="794"/>
        <w:jc w:val="left"/>
        <w:rPr>
          <w:sz w:val="20"/>
        </w:rPr>
      </w:pPr>
      <w:r>
        <w:rPr>
          <w:sz w:val="20"/>
        </w:rPr>
        <w:t>If during the trial it becomes clear that a person cannot comprehend evidence </w:t>
      </w:r>
      <w:r>
        <w:rPr>
          <w:spacing w:val="-3"/>
          <w:sz w:val="20"/>
        </w:rPr>
        <w:t>even </w:t>
      </w:r>
      <w:r>
        <w:rPr>
          <w:sz w:val="20"/>
        </w:rPr>
        <w:t>with</w:t>
      </w:r>
      <w:r>
        <w:rPr>
          <w:spacing w:val="-13"/>
          <w:sz w:val="20"/>
        </w:rPr>
        <w:t> </w:t>
      </w:r>
      <w:r>
        <w:rPr>
          <w:sz w:val="20"/>
        </w:rPr>
        <w:t>the</w:t>
      </w:r>
      <w:r>
        <w:rPr>
          <w:spacing w:val="-12"/>
          <w:sz w:val="20"/>
        </w:rPr>
        <w:t> </w:t>
      </w:r>
      <w:r>
        <w:rPr>
          <w:sz w:val="20"/>
        </w:rPr>
        <w:t>use</w:t>
      </w:r>
      <w:r>
        <w:rPr>
          <w:spacing w:val="-12"/>
          <w:sz w:val="20"/>
        </w:rPr>
        <w:t> </w:t>
      </w:r>
      <w:r>
        <w:rPr>
          <w:sz w:val="20"/>
        </w:rPr>
        <w:t>of</w:t>
      </w:r>
      <w:r>
        <w:rPr>
          <w:spacing w:val="-12"/>
          <w:sz w:val="20"/>
        </w:rPr>
        <w:t> </w:t>
      </w:r>
      <w:r>
        <w:rPr>
          <w:sz w:val="20"/>
        </w:rPr>
        <w:t>reasonable</w:t>
      </w:r>
      <w:r>
        <w:rPr>
          <w:spacing w:val="-13"/>
          <w:sz w:val="20"/>
        </w:rPr>
        <w:t> </w:t>
      </w:r>
      <w:r>
        <w:rPr>
          <w:sz w:val="20"/>
        </w:rPr>
        <w:t>adjustments,</w:t>
      </w:r>
      <w:r>
        <w:rPr>
          <w:spacing w:val="-12"/>
          <w:sz w:val="20"/>
        </w:rPr>
        <w:t> </w:t>
      </w:r>
      <w:r>
        <w:rPr>
          <w:sz w:val="20"/>
        </w:rPr>
        <w:t>the</w:t>
      </w:r>
      <w:r>
        <w:rPr>
          <w:spacing w:val="-12"/>
          <w:sz w:val="20"/>
        </w:rPr>
        <w:t> </w:t>
      </w:r>
      <w:r>
        <w:rPr>
          <w:sz w:val="20"/>
        </w:rPr>
        <w:t>judge</w:t>
      </w:r>
      <w:r>
        <w:rPr>
          <w:spacing w:val="-12"/>
          <w:sz w:val="20"/>
        </w:rPr>
        <w:t> </w:t>
      </w:r>
      <w:r>
        <w:rPr>
          <w:sz w:val="20"/>
        </w:rPr>
        <w:t>should</w:t>
      </w:r>
      <w:r>
        <w:rPr>
          <w:spacing w:val="-13"/>
          <w:sz w:val="20"/>
        </w:rPr>
        <w:t> </w:t>
      </w:r>
      <w:r>
        <w:rPr>
          <w:spacing w:val="-3"/>
          <w:sz w:val="20"/>
        </w:rPr>
        <w:t>make</w:t>
      </w:r>
      <w:r>
        <w:rPr>
          <w:spacing w:val="-12"/>
          <w:sz w:val="20"/>
        </w:rPr>
        <w:t> </w:t>
      </w:r>
      <w:r>
        <w:rPr>
          <w:sz w:val="20"/>
        </w:rPr>
        <w:t>a</w:t>
      </w:r>
      <w:r>
        <w:rPr>
          <w:spacing w:val="-12"/>
          <w:sz w:val="20"/>
        </w:rPr>
        <w:t> </w:t>
      </w:r>
      <w:r>
        <w:rPr>
          <w:sz w:val="20"/>
        </w:rPr>
        <w:t>determination</w:t>
      </w:r>
      <w:r>
        <w:rPr>
          <w:spacing w:val="-12"/>
          <w:sz w:val="20"/>
        </w:rPr>
        <w:t> </w:t>
      </w:r>
      <w:r>
        <w:rPr>
          <w:sz w:val="20"/>
        </w:rPr>
        <w:t>about whether to </w:t>
      </w:r>
      <w:r>
        <w:rPr>
          <w:spacing w:val="-3"/>
          <w:sz w:val="20"/>
        </w:rPr>
        <w:t>allow </w:t>
      </w:r>
      <w:r>
        <w:rPr>
          <w:sz w:val="20"/>
        </w:rPr>
        <w:t>the juror to continue to serve. That decision </w:t>
      </w:r>
      <w:r>
        <w:rPr>
          <w:spacing w:val="-3"/>
          <w:sz w:val="20"/>
        </w:rPr>
        <w:t>may </w:t>
      </w:r>
      <w:r>
        <w:rPr>
          <w:sz w:val="20"/>
        </w:rPr>
        <w:t>be challenged on appeal to the Court of Appeal. If the judge decides that the juror should not continue to</w:t>
      </w:r>
      <w:r>
        <w:rPr>
          <w:spacing w:val="-11"/>
          <w:sz w:val="20"/>
        </w:rPr>
        <w:t> </w:t>
      </w:r>
      <w:r>
        <w:rPr>
          <w:sz w:val="20"/>
        </w:rPr>
        <w:t>serve,</w:t>
      </w:r>
      <w:r>
        <w:rPr>
          <w:spacing w:val="-10"/>
          <w:sz w:val="20"/>
        </w:rPr>
        <w:t> </w:t>
      </w:r>
      <w:r>
        <w:rPr>
          <w:sz w:val="20"/>
        </w:rPr>
        <w:t>they</w:t>
      </w:r>
      <w:r>
        <w:rPr>
          <w:spacing w:val="-10"/>
          <w:sz w:val="20"/>
        </w:rPr>
        <w:t> </w:t>
      </w:r>
      <w:r>
        <w:rPr>
          <w:spacing w:val="-3"/>
          <w:sz w:val="20"/>
        </w:rPr>
        <w:t>may</w:t>
      </w:r>
      <w:r>
        <w:rPr>
          <w:spacing w:val="-10"/>
          <w:sz w:val="20"/>
        </w:rPr>
        <w:t> </w:t>
      </w:r>
      <w:r>
        <w:rPr>
          <w:sz w:val="20"/>
        </w:rPr>
        <w:t>discharge</w:t>
      </w:r>
      <w:r>
        <w:rPr>
          <w:spacing w:val="-11"/>
          <w:sz w:val="20"/>
        </w:rPr>
        <w:t> </w:t>
      </w:r>
      <w:r>
        <w:rPr>
          <w:sz w:val="20"/>
        </w:rPr>
        <w:t>the</w:t>
      </w:r>
      <w:r>
        <w:rPr>
          <w:spacing w:val="-10"/>
          <w:sz w:val="20"/>
        </w:rPr>
        <w:t> </w:t>
      </w:r>
      <w:r>
        <w:rPr>
          <w:sz w:val="20"/>
        </w:rPr>
        <w:t>juror</w:t>
      </w:r>
      <w:r>
        <w:rPr>
          <w:spacing w:val="-10"/>
          <w:sz w:val="20"/>
        </w:rPr>
        <w:t> </w:t>
      </w:r>
      <w:r>
        <w:rPr>
          <w:sz w:val="20"/>
        </w:rPr>
        <w:t>pursuant</w:t>
      </w:r>
      <w:r>
        <w:rPr>
          <w:spacing w:val="-10"/>
          <w:sz w:val="20"/>
        </w:rPr>
        <w:t> </w:t>
      </w:r>
      <w:r>
        <w:rPr>
          <w:sz w:val="20"/>
        </w:rPr>
        <w:t>to</w:t>
      </w:r>
      <w:r>
        <w:rPr>
          <w:spacing w:val="-11"/>
          <w:sz w:val="20"/>
        </w:rPr>
        <w:t> </w:t>
      </w:r>
      <w:r>
        <w:rPr>
          <w:sz w:val="20"/>
        </w:rPr>
        <w:t>existing</w:t>
      </w:r>
      <w:r>
        <w:rPr>
          <w:spacing w:val="-10"/>
          <w:sz w:val="20"/>
        </w:rPr>
        <w:t> </w:t>
      </w:r>
      <w:r>
        <w:rPr>
          <w:spacing w:val="-3"/>
          <w:sz w:val="20"/>
        </w:rPr>
        <w:t>powers</w:t>
      </w:r>
      <w:r>
        <w:rPr>
          <w:spacing w:val="-10"/>
          <w:sz w:val="20"/>
        </w:rPr>
        <w:t> </w:t>
      </w:r>
      <w:r>
        <w:rPr>
          <w:sz w:val="20"/>
        </w:rPr>
        <w:t>under</w:t>
      </w:r>
      <w:r>
        <w:rPr>
          <w:spacing w:val="-10"/>
          <w:sz w:val="20"/>
        </w:rPr>
        <w:t> </w:t>
      </w:r>
      <w:r>
        <w:rPr>
          <w:sz w:val="20"/>
        </w:rPr>
        <w:t>section</w:t>
      </w:r>
      <w:r>
        <w:rPr>
          <w:spacing w:val="-10"/>
          <w:sz w:val="20"/>
        </w:rPr>
        <w:t> </w:t>
      </w:r>
      <w:r>
        <w:rPr>
          <w:spacing w:val="-3"/>
          <w:sz w:val="20"/>
        </w:rPr>
        <w:t>43</w:t>
      </w:r>
      <w:r>
        <w:rPr>
          <w:spacing w:val="-11"/>
          <w:sz w:val="20"/>
        </w:rPr>
        <w:t> </w:t>
      </w:r>
      <w:r>
        <w:rPr>
          <w:sz w:val="20"/>
        </w:rPr>
        <w:t>of the Act. Defence counsel </w:t>
      </w:r>
      <w:r>
        <w:rPr>
          <w:spacing w:val="-3"/>
          <w:sz w:val="20"/>
        </w:rPr>
        <w:t>may </w:t>
      </w:r>
      <w:r>
        <w:rPr>
          <w:spacing w:val="-4"/>
          <w:sz w:val="20"/>
        </w:rPr>
        <w:t>have </w:t>
      </w:r>
      <w:r>
        <w:rPr>
          <w:sz w:val="20"/>
        </w:rPr>
        <w:t>an opinion about this but their </w:t>
      </w:r>
      <w:r>
        <w:rPr>
          <w:spacing w:val="-3"/>
          <w:sz w:val="20"/>
        </w:rPr>
        <w:t>involvement </w:t>
      </w:r>
      <w:r>
        <w:rPr>
          <w:sz w:val="20"/>
        </w:rPr>
        <w:t>in this decision-making</w:t>
      </w:r>
      <w:r>
        <w:rPr>
          <w:spacing w:val="-6"/>
          <w:sz w:val="20"/>
        </w:rPr>
        <w:t> </w:t>
      </w:r>
      <w:r>
        <w:rPr>
          <w:sz w:val="20"/>
        </w:rPr>
        <w:t>process</w:t>
      </w:r>
      <w:r>
        <w:rPr>
          <w:spacing w:val="-7"/>
          <w:sz w:val="20"/>
        </w:rPr>
        <w:t> </w:t>
      </w:r>
      <w:r>
        <w:rPr>
          <w:sz w:val="20"/>
        </w:rPr>
        <w:t>is</w:t>
      </w:r>
      <w:r>
        <w:rPr>
          <w:spacing w:val="-6"/>
          <w:sz w:val="20"/>
        </w:rPr>
        <w:t> </w:t>
      </w:r>
      <w:r>
        <w:rPr>
          <w:sz w:val="20"/>
        </w:rPr>
        <w:t>a</w:t>
      </w:r>
      <w:r>
        <w:rPr>
          <w:spacing w:val="-6"/>
          <w:sz w:val="20"/>
        </w:rPr>
        <w:t> </w:t>
      </w:r>
      <w:r>
        <w:rPr>
          <w:sz w:val="20"/>
        </w:rPr>
        <w:t>matter</w:t>
      </w:r>
      <w:r>
        <w:rPr>
          <w:spacing w:val="-6"/>
          <w:sz w:val="20"/>
        </w:rPr>
        <w:t> </w:t>
      </w:r>
      <w:r>
        <w:rPr>
          <w:sz w:val="20"/>
        </w:rPr>
        <w:t>for</w:t>
      </w:r>
      <w:r>
        <w:rPr>
          <w:spacing w:val="-6"/>
          <w:sz w:val="20"/>
        </w:rPr>
        <w:t> </w:t>
      </w:r>
      <w:r>
        <w:rPr>
          <w:sz w:val="20"/>
        </w:rPr>
        <w:t>the</w:t>
      </w:r>
      <w:r>
        <w:rPr>
          <w:spacing w:val="-6"/>
          <w:sz w:val="20"/>
        </w:rPr>
        <w:t> </w:t>
      </w:r>
      <w:r>
        <w:rPr>
          <w:sz w:val="20"/>
        </w:rPr>
        <w:t>trial</w:t>
      </w:r>
      <w:r>
        <w:rPr>
          <w:spacing w:val="-6"/>
          <w:sz w:val="20"/>
        </w:rPr>
        <w:t> </w:t>
      </w:r>
      <w:r>
        <w:rPr>
          <w:sz w:val="20"/>
        </w:rPr>
        <w:t>judge</w:t>
      </w:r>
      <w:r>
        <w:rPr>
          <w:spacing w:val="-6"/>
          <w:sz w:val="20"/>
        </w:rPr>
        <w:t> </w:t>
      </w:r>
      <w:r>
        <w:rPr>
          <w:sz w:val="20"/>
        </w:rPr>
        <w:t>to</w:t>
      </w:r>
      <w:r>
        <w:rPr>
          <w:spacing w:val="-6"/>
          <w:sz w:val="20"/>
        </w:rPr>
        <w:t> </w:t>
      </w:r>
      <w:r>
        <w:rPr>
          <w:sz w:val="20"/>
        </w:rPr>
        <w:t>determine.</w:t>
      </w:r>
    </w:p>
    <w:p>
      <w:pPr>
        <w:pStyle w:val="ListParagraph"/>
        <w:numPr>
          <w:ilvl w:val="1"/>
          <w:numId w:val="12"/>
        </w:numPr>
        <w:tabs>
          <w:tab w:pos="1761" w:val="left" w:leader="none"/>
          <w:tab w:pos="1762" w:val="left" w:leader="none"/>
        </w:tabs>
        <w:spacing w:line="206" w:lineRule="auto" w:before="129" w:after="0"/>
        <w:ind w:left="1761" w:right="1114" w:hanging="794"/>
        <w:jc w:val="left"/>
        <w:rPr>
          <w:sz w:val="20"/>
        </w:rPr>
      </w:pPr>
      <w:r>
        <w:rPr>
          <w:sz w:val="20"/>
        </w:rPr>
        <w:t>The</w:t>
      </w:r>
      <w:r>
        <w:rPr>
          <w:spacing w:val="-11"/>
          <w:sz w:val="20"/>
        </w:rPr>
        <w:t> </w:t>
      </w:r>
      <w:r>
        <w:rPr>
          <w:sz w:val="20"/>
        </w:rPr>
        <w:t>Commission</w:t>
      </w:r>
      <w:r>
        <w:rPr>
          <w:spacing w:val="-11"/>
          <w:sz w:val="20"/>
        </w:rPr>
        <w:t> </w:t>
      </w:r>
      <w:r>
        <w:rPr>
          <w:sz w:val="20"/>
        </w:rPr>
        <w:t>does</w:t>
      </w:r>
      <w:r>
        <w:rPr>
          <w:spacing w:val="-11"/>
          <w:sz w:val="20"/>
        </w:rPr>
        <w:t> </w:t>
      </w:r>
      <w:r>
        <w:rPr>
          <w:sz w:val="20"/>
        </w:rPr>
        <w:t>not</w:t>
      </w:r>
      <w:r>
        <w:rPr>
          <w:spacing w:val="-10"/>
          <w:sz w:val="20"/>
        </w:rPr>
        <w:t> </w:t>
      </w:r>
      <w:r>
        <w:rPr>
          <w:sz w:val="20"/>
        </w:rPr>
        <w:t>recommend</w:t>
      </w:r>
      <w:r>
        <w:rPr>
          <w:spacing w:val="-11"/>
          <w:sz w:val="20"/>
        </w:rPr>
        <w:t> </w:t>
      </w:r>
      <w:r>
        <w:rPr>
          <w:sz w:val="20"/>
        </w:rPr>
        <w:t>that</w:t>
      </w:r>
      <w:r>
        <w:rPr>
          <w:spacing w:val="-11"/>
          <w:sz w:val="20"/>
        </w:rPr>
        <w:t> </w:t>
      </w:r>
      <w:r>
        <w:rPr>
          <w:sz w:val="20"/>
        </w:rPr>
        <w:t>the</w:t>
      </w:r>
      <w:r>
        <w:rPr>
          <w:spacing w:val="-11"/>
          <w:sz w:val="20"/>
        </w:rPr>
        <w:t> </w:t>
      </w:r>
      <w:r>
        <w:rPr>
          <w:spacing w:val="-2"/>
          <w:sz w:val="20"/>
        </w:rPr>
        <w:t>Act</w:t>
      </w:r>
      <w:r>
        <w:rPr>
          <w:spacing w:val="-10"/>
          <w:sz w:val="20"/>
        </w:rPr>
        <w:t> </w:t>
      </w:r>
      <w:r>
        <w:rPr>
          <w:sz w:val="20"/>
        </w:rPr>
        <w:t>should</w:t>
      </w:r>
      <w:r>
        <w:rPr>
          <w:spacing w:val="-11"/>
          <w:sz w:val="20"/>
        </w:rPr>
        <w:t> </w:t>
      </w:r>
      <w:r>
        <w:rPr>
          <w:sz w:val="20"/>
        </w:rPr>
        <w:t>include</w:t>
      </w:r>
      <w:r>
        <w:rPr>
          <w:spacing w:val="-11"/>
          <w:sz w:val="20"/>
        </w:rPr>
        <w:t> </w:t>
      </w:r>
      <w:r>
        <w:rPr>
          <w:spacing w:val="-3"/>
          <w:sz w:val="20"/>
        </w:rPr>
        <w:t>examples</w:t>
      </w:r>
      <w:r>
        <w:rPr>
          <w:spacing w:val="-11"/>
          <w:sz w:val="20"/>
        </w:rPr>
        <w:t> </w:t>
      </w:r>
      <w:r>
        <w:rPr>
          <w:sz w:val="20"/>
        </w:rPr>
        <w:t>of</w:t>
      </w:r>
      <w:r>
        <w:rPr>
          <w:spacing w:val="-10"/>
          <w:sz w:val="20"/>
        </w:rPr>
        <w:t> </w:t>
      </w:r>
      <w:r>
        <w:rPr>
          <w:sz w:val="20"/>
        </w:rPr>
        <w:t>possible scenarios that might </w:t>
      </w:r>
      <w:r>
        <w:rPr>
          <w:spacing w:val="-4"/>
          <w:sz w:val="20"/>
        </w:rPr>
        <w:t>prevent </w:t>
      </w:r>
      <w:r>
        <w:rPr>
          <w:sz w:val="20"/>
        </w:rPr>
        <w:t>a person </w:t>
      </w:r>
      <w:r>
        <w:rPr>
          <w:spacing w:val="-3"/>
          <w:sz w:val="20"/>
        </w:rPr>
        <w:t>from </w:t>
      </w:r>
      <w:r>
        <w:rPr>
          <w:sz w:val="20"/>
        </w:rPr>
        <w:t>serving. There </w:t>
      </w:r>
      <w:r>
        <w:rPr>
          <w:spacing w:val="-3"/>
          <w:sz w:val="20"/>
        </w:rPr>
        <w:t>are </w:t>
      </w:r>
      <w:r>
        <w:rPr>
          <w:sz w:val="20"/>
        </w:rPr>
        <w:t>too </w:t>
      </w:r>
      <w:r>
        <w:rPr>
          <w:spacing w:val="-3"/>
          <w:sz w:val="20"/>
        </w:rPr>
        <w:t>many variables: everyone’s </w:t>
      </w:r>
      <w:r>
        <w:rPr>
          <w:sz w:val="20"/>
        </w:rPr>
        <w:t>disability is different, as is the evidence </w:t>
      </w:r>
      <w:r>
        <w:rPr>
          <w:spacing w:val="-3"/>
          <w:sz w:val="20"/>
        </w:rPr>
        <w:t>presented </w:t>
      </w:r>
      <w:r>
        <w:rPr>
          <w:sz w:val="20"/>
        </w:rPr>
        <w:t>in each trial, and its </w:t>
      </w:r>
      <w:r>
        <w:rPr>
          <w:spacing w:val="-3"/>
          <w:sz w:val="20"/>
        </w:rPr>
        <w:t>relevance </w:t>
      </w:r>
      <w:r>
        <w:rPr>
          <w:sz w:val="20"/>
        </w:rPr>
        <w:t>for that trial. The types of adjustments </w:t>
      </w:r>
      <w:r>
        <w:rPr>
          <w:spacing w:val="-3"/>
          <w:sz w:val="20"/>
        </w:rPr>
        <w:t>available are </w:t>
      </w:r>
      <w:r>
        <w:rPr>
          <w:sz w:val="20"/>
        </w:rPr>
        <w:t>constantly changing and </w:t>
      </w:r>
      <w:r>
        <w:rPr>
          <w:spacing w:val="-3"/>
          <w:sz w:val="20"/>
        </w:rPr>
        <w:t>evolving.</w:t>
      </w:r>
    </w:p>
    <w:p>
      <w:pPr>
        <w:spacing w:before="164"/>
        <w:ind w:left="967" w:right="0" w:firstLine="0"/>
        <w:jc w:val="left"/>
        <w:rPr>
          <w:b/>
          <w:sz w:val="24"/>
        </w:rPr>
      </w:pPr>
      <w:r>
        <w:rPr>
          <w:b/>
          <w:sz w:val="24"/>
        </w:rPr>
        <w:t>The 13th person rule should be limited</w:t>
      </w:r>
    </w:p>
    <w:p>
      <w:pPr>
        <w:pStyle w:val="ListParagraph"/>
        <w:numPr>
          <w:ilvl w:val="1"/>
          <w:numId w:val="12"/>
        </w:numPr>
        <w:tabs>
          <w:tab w:pos="1761" w:val="left" w:leader="none"/>
          <w:tab w:pos="1762" w:val="left" w:leader="none"/>
        </w:tabs>
        <w:spacing w:line="206" w:lineRule="auto" w:before="127" w:after="0"/>
        <w:ind w:left="1761" w:right="1150" w:hanging="794"/>
        <w:jc w:val="left"/>
        <w:rPr>
          <w:sz w:val="20"/>
        </w:rPr>
      </w:pPr>
      <w:r>
        <w:rPr>
          <w:sz w:val="20"/>
        </w:rPr>
        <w:t>In</w:t>
      </w:r>
      <w:r>
        <w:rPr>
          <w:spacing w:val="-11"/>
          <w:sz w:val="20"/>
        </w:rPr>
        <w:t> </w:t>
      </w:r>
      <w:r>
        <w:rPr>
          <w:spacing w:val="-2"/>
          <w:sz w:val="20"/>
        </w:rPr>
        <w:t>Chapter</w:t>
      </w:r>
      <w:r>
        <w:rPr>
          <w:spacing w:val="-10"/>
          <w:sz w:val="20"/>
        </w:rPr>
        <w:t> </w:t>
      </w:r>
      <w:r>
        <w:rPr>
          <w:sz w:val="20"/>
        </w:rPr>
        <w:t>4</w:t>
      </w:r>
      <w:r>
        <w:rPr>
          <w:spacing w:val="-10"/>
          <w:sz w:val="20"/>
        </w:rPr>
        <w:t> </w:t>
      </w:r>
      <w:r>
        <w:rPr>
          <w:spacing w:val="-3"/>
          <w:sz w:val="20"/>
        </w:rPr>
        <w:t>we</w:t>
      </w:r>
      <w:r>
        <w:rPr>
          <w:spacing w:val="-10"/>
          <w:sz w:val="20"/>
        </w:rPr>
        <w:t> </w:t>
      </w:r>
      <w:r>
        <w:rPr>
          <w:sz w:val="20"/>
        </w:rPr>
        <w:t>described</w:t>
      </w:r>
      <w:r>
        <w:rPr>
          <w:spacing w:val="-11"/>
          <w:sz w:val="20"/>
        </w:rPr>
        <w:t> </w:t>
      </w:r>
      <w:r>
        <w:rPr>
          <w:sz w:val="20"/>
        </w:rPr>
        <w:t>the</w:t>
      </w:r>
      <w:r>
        <w:rPr>
          <w:spacing w:val="-10"/>
          <w:sz w:val="20"/>
        </w:rPr>
        <w:t> </w:t>
      </w:r>
      <w:r>
        <w:rPr>
          <w:sz w:val="20"/>
        </w:rPr>
        <w:t>operation</w:t>
      </w:r>
      <w:r>
        <w:rPr>
          <w:spacing w:val="-10"/>
          <w:sz w:val="20"/>
        </w:rPr>
        <w:t> </w:t>
      </w:r>
      <w:r>
        <w:rPr>
          <w:sz w:val="20"/>
        </w:rPr>
        <w:t>of</w:t>
      </w:r>
      <w:r>
        <w:rPr>
          <w:spacing w:val="-10"/>
          <w:sz w:val="20"/>
        </w:rPr>
        <w:t> </w:t>
      </w:r>
      <w:r>
        <w:rPr>
          <w:sz w:val="20"/>
        </w:rPr>
        <w:t>the</w:t>
      </w:r>
      <w:r>
        <w:rPr>
          <w:spacing w:val="-11"/>
          <w:sz w:val="20"/>
        </w:rPr>
        <w:t> </w:t>
      </w:r>
      <w:r>
        <w:rPr>
          <w:sz w:val="20"/>
        </w:rPr>
        <w:t>common</w:t>
      </w:r>
      <w:r>
        <w:rPr>
          <w:spacing w:val="-10"/>
          <w:sz w:val="20"/>
        </w:rPr>
        <w:t> </w:t>
      </w:r>
      <w:r>
        <w:rPr>
          <w:sz w:val="20"/>
        </w:rPr>
        <w:t>law</w:t>
      </w:r>
      <w:r>
        <w:rPr>
          <w:spacing w:val="-10"/>
          <w:sz w:val="20"/>
        </w:rPr>
        <w:t> </w:t>
      </w:r>
      <w:r>
        <w:rPr>
          <w:sz w:val="20"/>
        </w:rPr>
        <w:t>rule</w:t>
      </w:r>
      <w:r>
        <w:rPr>
          <w:spacing w:val="-10"/>
          <w:sz w:val="20"/>
        </w:rPr>
        <w:t> </w:t>
      </w:r>
      <w:r>
        <w:rPr>
          <w:sz w:val="20"/>
        </w:rPr>
        <w:t>prohibiting</w:t>
      </w:r>
      <w:r>
        <w:rPr>
          <w:spacing w:val="-10"/>
          <w:sz w:val="20"/>
        </w:rPr>
        <w:t> </w:t>
      </w:r>
      <w:r>
        <w:rPr>
          <w:sz w:val="20"/>
        </w:rPr>
        <w:t>non-jurors in</w:t>
      </w:r>
      <w:r>
        <w:rPr>
          <w:spacing w:val="-9"/>
          <w:sz w:val="20"/>
        </w:rPr>
        <w:t> </w:t>
      </w:r>
      <w:r>
        <w:rPr>
          <w:sz w:val="20"/>
        </w:rPr>
        <w:t>the</w:t>
      </w:r>
      <w:r>
        <w:rPr>
          <w:spacing w:val="-8"/>
          <w:sz w:val="20"/>
        </w:rPr>
        <w:t> </w:t>
      </w:r>
      <w:r>
        <w:rPr>
          <w:sz w:val="20"/>
        </w:rPr>
        <w:t>jury</w:t>
      </w:r>
      <w:r>
        <w:rPr>
          <w:spacing w:val="-8"/>
          <w:sz w:val="20"/>
        </w:rPr>
        <w:t> </w:t>
      </w:r>
      <w:r>
        <w:rPr>
          <w:sz w:val="20"/>
        </w:rPr>
        <w:t>room</w:t>
      </w:r>
      <w:r>
        <w:rPr>
          <w:spacing w:val="-9"/>
          <w:sz w:val="20"/>
        </w:rPr>
        <w:t> </w:t>
      </w:r>
      <w:r>
        <w:rPr>
          <w:sz w:val="20"/>
        </w:rPr>
        <w:t>(the</w:t>
      </w:r>
      <w:r>
        <w:rPr>
          <w:spacing w:val="-8"/>
          <w:sz w:val="20"/>
        </w:rPr>
        <w:t> </w:t>
      </w:r>
      <w:r>
        <w:rPr>
          <w:sz w:val="20"/>
        </w:rPr>
        <w:t>13th</w:t>
      </w:r>
      <w:r>
        <w:rPr>
          <w:spacing w:val="-8"/>
          <w:sz w:val="20"/>
        </w:rPr>
        <w:t> </w:t>
      </w:r>
      <w:r>
        <w:rPr>
          <w:sz w:val="20"/>
        </w:rPr>
        <w:t>person</w:t>
      </w:r>
      <w:r>
        <w:rPr>
          <w:spacing w:val="-9"/>
          <w:sz w:val="20"/>
        </w:rPr>
        <w:t> </w:t>
      </w:r>
      <w:r>
        <w:rPr>
          <w:spacing w:val="-4"/>
          <w:sz w:val="20"/>
        </w:rPr>
        <w:t>rule).</w:t>
      </w:r>
      <w:r>
        <w:rPr>
          <w:spacing w:val="-8"/>
          <w:sz w:val="20"/>
        </w:rPr>
        <w:t> </w:t>
      </w:r>
      <w:r>
        <w:rPr>
          <w:sz w:val="20"/>
        </w:rPr>
        <w:t>The</w:t>
      </w:r>
      <w:r>
        <w:rPr>
          <w:spacing w:val="-8"/>
          <w:sz w:val="20"/>
        </w:rPr>
        <w:t> </w:t>
      </w:r>
      <w:r>
        <w:rPr>
          <w:sz w:val="20"/>
        </w:rPr>
        <w:t>aim</w:t>
      </w:r>
      <w:r>
        <w:rPr>
          <w:spacing w:val="-9"/>
          <w:sz w:val="20"/>
        </w:rPr>
        <w:t> </w:t>
      </w:r>
      <w:r>
        <w:rPr>
          <w:sz w:val="20"/>
        </w:rPr>
        <w:t>of</w:t>
      </w:r>
      <w:r>
        <w:rPr>
          <w:spacing w:val="-8"/>
          <w:sz w:val="20"/>
        </w:rPr>
        <w:t> </w:t>
      </w:r>
      <w:r>
        <w:rPr>
          <w:sz w:val="20"/>
        </w:rPr>
        <w:t>this</w:t>
      </w:r>
      <w:r>
        <w:rPr>
          <w:spacing w:val="-8"/>
          <w:sz w:val="20"/>
        </w:rPr>
        <w:t> </w:t>
      </w:r>
      <w:r>
        <w:rPr>
          <w:sz w:val="20"/>
        </w:rPr>
        <w:t>rule</w:t>
      </w:r>
      <w:r>
        <w:rPr>
          <w:spacing w:val="-9"/>
          <w:sz w:val="20"/>
        </w:rPr>
        <w:t> </w:t>
      </w:r>
      <w:r>
        <w:rPr>
          <w:sz w:val="20"/>
        </w:rPr>
        <w:t>is</w:t>
      </w:r>
      <w:r>
        <w:rPr>
          <w:spacing w:val="-8"/>
          <w:sz w:val="20"/>
        </w:rPr>
        <w:t> </w:t>
      </w:r>
      <w:r>
        <w:rPr>
          <w:sz w:val="20"/>
        </w:rPr>
        <w:t>to</w:t>
      </w:r>
      <w:r>
        <w:rPr>
          <w:spacing w:val="-8"/>
          <w:sz w:val="20"/>
        </w:rPr>
        <w:t> </w:t>
      </w:r>
      <w:r>
        <w:rPr>
          <w:sz w:val="20"/>
        </w:rPr>
        <w:t>keep</w:t>
      </w:r>
      <w:r>
        <w:rPr>
          <w:spacing w:val="-9"/>
          <w:sz w:val="20"/>
        </w:rPr>
        <w:t> </w:t>
      </w:r>
      <w:r>
        <w:rPr>
          <w:sz w:val="20"/>
        </w:rPr>
        <w:t>the</w:t>
      </w:r>
      <w:r>
        <w:rPr>
          <w:spacing w:val="-8"/>
          <w:sz w:val="20"/>
        </w:rPr>
        <w:t> </w:t>
      </w:r>
      <w:r>
        <w:rPr>
          <w:sz w:val="20"/>
        </w:rPr>
        <w:t>jury</w:t>
      </w:r>
      <w:r>
        <w:rPr>
          <w:spacing w:val="-8"/>
          <w:sz w:val="20"/>
        </w:rPr>
        <w:t> </w:t>
      </w:r>
      <w:r>
        <w:rPr>
          <w:sz w:val="20"/>
        </w:rPr>
        <w:t>separate</w:t>
      </w:r>
      <w:r>
        <w:rPr>
          <w:spacing w:val="-9"/>
          <w:sz w:val="20"/>
        </w:rPr>
        <w:t> </w:t>
      </w:r>
      <w:r>
        <w:rPr>
          <w:sz w:val="20"/>
        </w:rPr>
        <w:t>to maintain</w:t>
      </w:r>
      <w:r>
        <w:rPr>
          <w:spacing w:val="-13"/>
          <w:sz w:val="20"/>
        </w:rPr>
        <w:t> </w:t>
      </w:r>
      <w:r>
        <w:rPr>
          <w:sz w:val="20"/>
        </w:rPr>
        <w:t>confidentiality</w:t>
      </w:r>
      <w:r>
        <w:rPr>
          <w:spacing w:val="-14"/>
          <w:sz w:val="20"/>
        </w:rPr>
        <w:t> </w:t>
      </w:r>
      <w:r>
        <w:rPr>
          <w:sz w:val="20"/>
        </w:rPr>
        <w:t>of</w:t>
      </w:r>
      <w:r>
        <w:rPr>
          <w:spacing w:val="-13"/>
          <w:sz w:val="20"/>
        </w:rPr>
        <w:t> </w:t>
      </w:r>
      <w:r>
        <w:rPr>
          <w:sz w:val="20"/>
        </w:rPr>
        <w:t>the</w:t>
      </w:r>
      <w:r>
        <w:rPr>
          <w:spacing w:val="-13"/>
          <w:sz w:val="20"/>
        </w:rPr>
        <w:t> </w:t>
      </w:r>
      <w:r>
        <w:rPr>
          <w:sz w:val="20"/>
        </w:rPr>
        <w:t>deliberation</w:t>
      </w:r>
      <w:r>
        <w:rPr>
          <w:spacing w:val="-13"/>
          <w:sz w:val="20"/>
        </w:rPr>
        <w:t> </w:t>
      </w:r>
      <w:r>
        <w:rPr>
          <w:sz w:val="20"/>
        </w:rPr>
        <w:t>process.</w:t>
      </w:r>
      <w:r>
        <w:rPr>
          <w:spacing w:val="-13"/>
          <w:sz w:val="20"/>
        </w:rPr>
        <w:t> </w:t>
      </w:r>
      <w:r>
        <w:rPr>
          <w:sz w:val="20"/>
        </w:rPr>
        <w:t>This</w:t>
      </w:r>
      <w:r>
        <w:rPr>
          <w:spacing w:val="-13"/>
          <w:sz w:val="20"/>
        </w:rPr>
        <w:t> </w:t>
      </w:r>
      <w:r>
        <w:rPr>
          <w:sz w:val="20"/>
        </w:rPr>
        <w:t>rule</w:t>
      </w:r>
      <w:r>
        <w:rPr>
          <w:spacing w:val="-13"/>
          <w:sz w:val="20"/>
        </w:rPr>
        <w:t> </w:t>
      </w:r>
      <w:r>
        <w:rPr>
          <w:sz w:val="20"/>
        </w:rPr>
        <w:t>should</w:t>
      </w:r>
      <w:r>
        <w:rPr>
          <w:spacing w:val="-13"/>
          <w:sz w:val="20"/>
        </w:rPr>
        <w:t> </w:t>
      </w:r>
      <w:r>
        <w:rPr>
          <w:sz w:val="20"/>
        </w:rPr>
        <w:t>be</w:t>
      </w:r>
      <w:r>
        <w:rPr>
          <w:spacing w:val="-13"/>
          <w:sz w:val="20"/>
        </w:rPr>
        <w:t> </w:t>
      </w:r>
      <w:r>
        <w:rPr>
          <w:sz w:val="20"/>
        </w:rPr>
        <w:t>limited</w:t>
      </w:r>
      <w:r>
        <w:rPr>
          <w:spacing w:val="-13"/>
          <w:sz w:val="20"/>
        </w:rPr>
        <w:t> </w:t>
      </w:r>
      <w:r>
        <w:rPr>
          <w:sz w:val="20"/>
        </w:rPr>
        <w:t>in</w:t>
      </w:r>
      <w:r>
        <w:rPr>
          <w:spacing w:val="-13"/>
          <w:sz w:val="20"/>
        </w:rPr>
        <w:t> </w:t>
      </w:r>
      <w:r>
        <w:rPr>
          <w:sz w:val="20"/>
        </w:rPr>
        <w:t>the</w:t>
      </w:r>
      <w:r>
        <w:rPr>
          <w:spacing w:val="-13"/>
          <w:sz w:val="20"/>
        </w:rPr>
        <w:t> </w:t>
      </w:r>
      <w:r>
        <w:rPr>
          <w:spacing w:val="-2"/>
          <w:sz w:val="20"/>
        </w:rPr>
        <w:t>Act </w:t>
      </w:r>
      <w:r>
        <w:rPr>
          <w:sz w:val="20"/>
        </w:rPr>
        <w:t>to enable people to serve with reasonable adjustments. The </w:t>
      </w:r>
      <w:r>
        <w:rPr>
          <w:spacing w:val="-4"/>
          <w:sz w:val="20"/>
        </w:rPr>
        <w:t>ACT </w:t>
      </w:r>
      <w:r>
        <w:rPr>
          <w:spacing w:val="-2"/>
          <w:sz w:val="20"/>
        </w:rPr>
        <w:t>Act </w:t>
      </w:r>
      <w:r>
        <w:rPr>
          <w:spacing w:val="-3"/>
          <w:sz w:val="20"/>
        </w:rPr>
        <w:t>provides </w:t>
      </w:r>
      <w:r>
        <w:rPr>
          <w:sz w:val="20"/>
        </w:rPr>
        <w:t>a simple model for doing this in section 16(4)</w:t>
      </w:r>
      <w:r>
        <w:rPr>
          <w:spacing w:val="-31"/>
          <w:sz w:val="20"/>
        </w:rPr>
        <w:t> </w:t>
      </w:r>
      <w:r>
        <w:rPr>
          <w:spacing w:val="-5"/>
          <w:sz w:val="20"/>
        </w:rPr>
        <w:t>(above).</w:t>
      </w:r>
    </w:p>
    <w:p>
      <w:pPr>
        <w:pStyle w:val="ListParagraph"/>
        <w:numPr>
          <w:ilvl w:val="1"/>
          <w:numId w:val="12"/>
        </w:numPr>
        <w:tabs>
          <w:tab w:pos="1761" w:val="left" w:leader="none"/>
          <w:tab w:pos="1762" w:val="left" w:leader="none"/>
        </w:tabs>
        <w:spacing w:line="206" w:lineRule="auto" w:before="127" w:after="0"/>
        <w:ind w:left="1761" w:right="1173" w:hanging="794"/>
        <w:jc w:val="left"/>
        <w:rPr>
          <w:sz w:val="20"/>
        </w:rPr>
      </w:pPr>
      <w:r>
        <w:rPr>
          <w:sz w:val="20"/>
        </w:rPr>
        <w:t>Safeguards </w:t>
      </w:r>
      <w:r>
        <w:rPr>
          <w:spacing w:val="-3"/>
          <w:sz w:val="20"/>
        </w:rPr>
        <w:t>are </w:t>
      </w:r>
      <w:r>
        <w:rPr>
          <w:sz w:val="20"/>
        </w:rPr>
        <w:t>needed to ensure that legislation remains in step with the underlying purpose</w:t>
      </w:r>
      <w:r>
        <w:rPr>
          <w:spacing w:val="-9"/>
          <w:sz w:val="20"/>
        </w:rPr>
        <w:t> </w:t>
      </w:r>
      <w:r>
        <w:rPr>
          <w:sz w:val="20"/>
        </w:rPr>
        <w:t>of</w:t>
      </w:r>
      <w:r>
        <w:rPr>
          <w:spacing w:val="-8"/>
          <w:sz w:val="20"/>
        </w:rPr>
        <w:t> </w:t>
      </w:r>
      <w:r>
        <w:rPr>
          <w:sz w:val="20"/>
        </w:rPr>
        <w:t>the</w:t>
      </w:r>
      <w:r>
        <w:rPr>
          <w:spacing w:val="-9"/>
          <w:sz w:val="20"/>
        </w:rPr>
        <w:t> </w:t>
      </w:r>
      <w:r>
        <w:rPr>
          <w:sz w:val="20"/>
        </w:rPr>
        <w:t>13th</w:t>
      </w:r>
      <w:r>
        <w:rPr>
          <w:spacing w:val="-8"/>
          <w:sz w:val="20"/>
        </w:rPr>
        <w:t> </w:t>
      </w:r>
      <w:r>
        <w:rPr>
          <w:sz w:val="20"/>
        </w:rPr>
        <w:t>person</w:t>
      </w:r>
      <w:r>
        <w:rPr>
          <w:spacing w:val="-9"/>
          <w:sz w:val="20"/>
        </w:rPr>
        <w:t> </w:t>
      </w:r>
      <w:r>
        <w:rPr>
          <w:sz w:val="20"/>
        </w:rPr>
        <w:t>rule</w:t>
      </w:r>
      <w:r>
        <w:rPr>
          <w:spacing w:val="-8"/>
          <w:sz w:val="20"/>
        </w:rPr>
        <w:t> </w:t>
      </w:r>
      <w:r>
        <w:rPr>
          <w:sz w:val="20"/>
        </w:rPr>
        <w:t>and</w:t>
      </w:r>
      <w:r>
        <w:rPr>
          <w:spacing w:val="-9"/>
          <w:sz w:val="20"/>
        </w:rPr>
        <w:t> </w:t>
      </w:r>
      <w:r>
        <w:rPr>
          <w:sz w:val="20"/>
        </w:rPr>
        <w:t>to</w:t>
      </w:r>
      <w:r>
        <w:rPr>
          <w:spacing w:val="-8"/>
          <w:sz w:val="20"/>
        </w:rPr>
        <w:t> </w:t>
      </w:r>
      <w:r>
        <w:rPr>
          <w:sz w:val="20"/>
        </w:rPr>
        <w:t>address</w:t>
      </w:r>
      <w:r>
        <w:rPr>
          <w:spacing w:val="-9"/>
          <w:sz w:val="20"/>
        </w:rPr>
        <w:t> </w:t>
      </w:r>
      <w:r>
        <w:rPr>
          <w:sz w:val="20"/>
        </w:rPr>
        <w:t>the</w:t>
      </w:r>
      <w:r>
        <w:rPr>
          <w:spacing w:val="-8"/>
          <w:sz w:val="20"/>
        </w:rPr>
        <w:t> </w:t>
      </w:r>
      <w:r>
        <w:rPr>
          <w:sz w:val="20"/>
        </w:rPr>
        <w:t>High</w:t>
      </w:r>
      <w:r>
        <w:rPr>
          <w:spacing w:val="-9"/>
          <w:sz w:val="20"/>
        </w:rPr>
        <w:t> </w:t>
      </w:r>
      <w:r>
        <w:rPr>
          <w:sz w:val="20"/>
        </w:rPr>
        <w:t>Court</w:t>
      </w:r>
      <w:r>
        <w:rPr>
          <w:spacing w:val="-8"/>
          <w:sz w:val="20"/>
        </w:rPr>
        <w:t> </w:t>
      </w:r>
      <w:r>
        <w:rPr>
          <w:sz w:val="20"/>
        </w:rPr>
        <w:t>judgment</w:t>
      </w:r>
      <w:r>
        <w:rPr>
          <w:spacing w:val="-9"/>
          <w:sz w:val="20"/>
        </w:rPr>
        <w:t> </w:t>
      </w:r>
      <w:r>
        <w:rPr>
          <w:sz w:val="20"/>
        </w:rPr>
        <w:t>in</w:t>
      </w:r>
      <w:r>
        <w:rPr>
          <w:spacing w:val="-8"/>
          <w:sz w:val="20"/>
        </w:rPr>
        <w:t> </w:t>
      </w:r>
      <w:r>
        <w:rPr>
          <w:i/>
          <w:spacing w:val="-4"/>
          <w:sz w:val="20"/>
        </w:rPr>
        <w:t>Lyons</w:t>
      </w:r>
      <w:r>
        <w:rPr>
          <w:i/>
          <w:spacing w:val="-8"/>
          <w:sz w:val="20"/>
        </w:rPr>
        <w:t> </w:t>
      </w:r>
      <w:r>
        <w:rPr>
          <w:i/>
          <w:sz w:val="20"/>
        </w:rPr>
        <w:t>v</w:t>
      </w:r>
      <w:r>
        <w:rPr>
          <w:i/>
          <w:spacing w:val="-8"/>
          <w:sz w:val="20"/>
        </w:rPr>
        <w:t> </w:t>
      </w:r>
      <w:r>
        <w:rPr>
          <w:i/>
          <w:spacing w:val="-5"/>
          <w:sz w:val="20"/>
        </w:rPr>
        <w:t>State </w:t>
      </w:r>
      <w:r>
        <w:rPr>
          <w:i/>
          <w:sz w:val="20"/>
        </w:rPr>
        <w:t>of</w:t>
      </w:r>
      <w:r>
        <w:rPr>
          <w:i/>
          <w:spacing w:val="-11"/>
          <w:sz w:val="20"/>
        </w:rPr>
        <w:t> </w:t>
      </w:r>
      <w:r>
        <w:rPr>
          <w:i/>
          <w:sz w:val="20"/>
        </w:rPr>
        <w:t>Queensland</w:t>
      </w:r>
      <w:r>
        <w:rPr>
          <w:sz w:val="20"/>
        </w:rPr>
        <w:t>.</w:t>
      </w:r>
      <w:r>
        <w:rPr>
          <w:position w:val="7"/>
          <w:sz w:val="11"/>
        </w:rPr>
        <w:t>18</w:t>
      </w:r>
      <w:r>
        <w:rPr>
          <w:spacing w:val="4"/>
          <w:position w:val="7"/>
          <w:sz w:val="11"/>
        </w:rPr>
        <w:t> </w:t>
      </w:r>
      <w:r>
        <w:rPr>
          <w:sz w:val="20"/>
        </w:rPr>
        <w:t>The</w:t>
      </w:r>
      <w:r>
        <w:rPr>
          <w:spacing w:val="-11"/>
          <w:sz w:val="20"/>
        </w:rPr>
        <w:t> </w:t>
      </w:r>
      <w:r>
        <w:rPr>
          <w:sz w:val="20"/>
        </w:rPr>
        <w:t>High</w:t>
      </w:r>
      <w:r>
        <w:rPr>
          <w:spacing w:val="-10"/>
          <w:sz w:val="20"/>
        </w:rPr>
        <w:t> </w:t>
      </w:r>
      <w:r>
        <w:rPr>
          <w:sz w:val="20"/>
        </w:rPr>
        <w:t>Court</w:t>
      </w:r>
      <w:r>
        <w:rPr>
          <w:spacing w:val="-11"/>
          <w:sz w:val="20"/>
        </w:rPr>
        <w:t> </w:t>
      </w:r>
      <w:r>
        <w:rPr>
          <w:sz w:val="20"/>
        </w:rPr>
        <w:t>pointed</w:t>
      </w:r>
      <w:r>
        <w:rPr>
          <w:spacing w:val="-10"/>
          <w:sz w:val="20"/>
        </w:rPr>
        <w:t> </w:t>
      </w:r>
      <w:r>
        <w:rPr>
          <w:sz w:val="20"/>
        </w:rPr>
        <w:t>to</w:t>
      </w:r>
      <w:r>
        <w:rPr>
          <w:spacing w:val="-11"/>
          <w:sz w:val="20"/>
        </w:rPr>
        <w:t> </w:t>
      </w:r>
      <w:r>
        <w:rPr>
          <w:sz w:val="20"/>
        </w:rPr>
        <w:t>the</w:t>
      </w:r>
      <w:r>
        <w:rPr>
          <w:spacing w:val="-10"/>
          <w:sz w:val="20"/>
        </w:rPr>
        <w:t> </w:t>
      </w:r>
      <w:r>
        <w:rPr>
          <w:sz w:val="20"/>
        </w:rPr>
        <w:t>absence</w:t>
      </w:r>
      <w:r>
        <w:rPr>
          <w:spacing w:val="-11"/>
          <w:sz w:val="20"/>
        </w:rPr>
        <w:t> </w:t>
      </w:r>
      <w:r>
        <w:rPr>
          <w:sz w:val="20"/>
        </w:rPr>
        <w:t>of</w:t>
      </w:r>
      <w:r>
        <w:rPr>
          <w:spacing w:val="-10"/>
          <w:sz w:val="20"/>
        </w:rPr>
        <w:t> </w:t>
      </w:r>
      <w:r>
        <w:rPr>
          <w:sz w:val="20"/>
        </w:rPr>
        <w:t>provisions</w:t>
      </w:r>
      <w:r>
        <w:rPr>
          <w:spacing w:val="-11"/>
          <w:sz w:val="20"/>
        </w:rPr>
        <w:t> </w:t>
      </w:r>
      <w:r>
        <w:rPr>
          <w:sz w:val="20"/>
        </w:rPr>
        <w:t>in</w:t>
      </w:r>
      <w:r>
        <w:rPr>
          <w:spacing w:val="-10"/>
          <w:sz w:val="20"/>
        </w:rPr>
        <w:t> </w:t>
      </w:r>
      <w:r>
        <w:rPr>
          <w:sz w:val="20"/>
        </w:rPr>
        <w:t>the</w:t>
      </w:r>
      <w:r>
        <w:rPr>
          <w:spacing w:val="-11"/>
          <w:sz w:val="20"/>
        </w:rPr>
        <w:t> </w:t>
      </w:r>
      <w:r>
        <w:rPr>
          <w:sz w:val="20"/>
        </w:rPr>
        <w:t>Queensland legislation to administer an oath to an </w:t>
      </w:r>
      <w:r>
        <w:rPr>
          <w:spacing w:val="-3"/>
          <w:sz w:val="20"/>
        </w:rPr>
        <w:t>interpreter </w:t>
      </w:r>
      <w:r>
        <w:rPr>
          <w:sz w:val="20"/>
        </w:rPr>
        <w:t>and to maintain confidentiality. </w:t>
      </w:r>
      <w:r>
        <w:rPr>
          <w:position w:val="7"/>
          <w:sz w:val="11"/>
        </w:rPr>
        <w:t>19 </w:t>
      </w:r>
      <w:r>
        <w:rPr>
          <w:sz w:val="20"/>
        </w:rPr>
        <w:t>In </w:t>
      </w:r>
      <w:r>
        <w:rPr>
          <w:spacing w:val="-2"/>
          <w:sz w:val="20"/>
        </w:rPr>
        <w:t>Chapters </w:t>
      </w:r>
      <w:r>
        <w:rPr>
          <w:sz w:val="20"/>
        </w:rPr>
        <w:t>14 and 15 </w:t>
      </w:r>
      <w:r>
        <w:rPr>
          <w:spacing w:val="-3"/>
          <w:sz w:val="20"/>
        </w:rPr>
        <w:t>we make </w:t>
      </w:r>
      <w:r>
        <w:rPr>
          <w:sz w:val="20"/>
        </w:rPr>
        <w:t>recommendations regarding the </w:t>
      </w:r>
      <w:r>
        <w:rPr>
          <w:spacing w:val="-3"/>
          <w:sz w:val="20"/>
        </w:rPr>
        <w:t>roles </w:t>
      </w:r>
      <w:r>
        <w:rPr>
          <w:sz w:val="20"/>
        </w:rPr>
        <w:t>and responsibilities of </w:t>
      </w:r>
      <w:r>
        <w:rPr>
          <w:spacing w:val="-3"/>
          <w:sz w:val="20"/>
        </w:rPr>
        <w:t>interpreters </w:t>
      </w:r>
      <w:r>
        <w:rPr>
          <w:sz w:val="20"/>
        </w:rPr>
        <w:t>and support persons. Our recommendations for the </w:t>
      </w:r>
      <w:r>
        <w:rPr>
          <w:spacing w:val="-3"/>
          <w:sz w:val="20"/>
        </w:rPr>
        <w:t>provision </w:t>
      </w:r>
      <w:r>
        <w:rPr>
          <w:sz w:val="20"/>
        </w:rPr>
        <w:t>of an oath and penalties for breaches of duties </w:t>
      </w:r>
      <w:r>
        <w:rPr>
          <w:spacing w:val="-3"/>
          <w:sz w:val="20"/>
        </w:rPr>
        <w:t>are </w:t>
      </w:r>
      <w:r>
        <w:rPr>
          <w:sz w:val="20"/>
        </w:rPr>
        <w:t>designed to maintain confidentiality of jury deliberations</w:t>
      </w:r>
      <w:r>
        <w:rPr>
          <w:spacing w:val="-7"/>
          <w:sz w:val="20"/>
        </w:rPr>
        <w:t> </w:t>
      </w:r>
      <w:r>
        <w:rPr>
          <w:sz w:val="20"/>
        </w:rPr>
        <w:t>and</w:t>
      </w:r>
      <w:r>
        <w:rPr>
          <w:spacing w:val="-6"/>
          <w:sz w:val="20"/>
        </w:rPr>
        <w:t> </w:t>
      </w:r>
      <w:r>
        <w:rPr>
          <w:sz w:val="20"/>
        </w:rPr>
        <w:t>uphold</w:t>
      </w:r>
      <w:r>
        <w:rPr>
          <w:spacing w:val="-7"/>
          <w:sz w:val="20"/>
        </w:rPr>
        <w:t> </w:t>
      </w:r>
      <w:r>
        <w:rPr>
          <w:sz w:val="20"/>
        </w:rPr>
        <w:t>the</w:t>
      </w:r>
      <w:r>
        <w:rPr>
          <w:spacing w:val="-6"/>
          <w:sz w:val="20"/>
        </w:rPr>
        <w:t> </w:t>
      </w:r>
      <w:r>
        <w:rPr>
          <w:sz w:val="20"/>
        </w:rPr>
        <w:t>underlying</w:t>
      </w:r>
      <w:r>
        <w:rPr>
          <w:spacing w:val="-7"/>
          <w:sz w:val="20"/>
        </w:rPr>
        <w:t> </w:t>
      </w:r>
      <w:r>
        <w:rPr>
          <w:sz w:val="20"/>
        </w:rPr>
        <w:t>principles</w:t>
      </w:r>
      <w:r>
        <w:rPr>
          <w:spacing w:val="-6"/>
          <w:sz w:val="20"/>
        </w:rPr>
        <w:t> </w:t>
      </w:r>
      <w:r>
        <w:rPr>
          <w:sz w:val="20"/>
        </w:rPr>
        <w:t>of</w:t>
      </w:r>
      <w:r>
        <w:rPr>
          <w:spacing w:val="-7"/>
          <w:sz w:val="20"/>
        </w:rPr>
        <w:t> </w:t>
      </w:r>
      <w:r>
        <w:rPr>
          <w:sz w:val="20"/>
        </w:rPr>
        <w:t>the</w:t>
      </w:r>
      <w:r>
        <w:rPr>
          <w:spacing w:val="-6"/>
          <w:sz w:val="20"/>
        </w:rPr>
        <w:t> </w:t>
      </w:r>
      <w:r>
        <w:rPr>
          <w:sz w:val="20"/>
        </w:rPr>
        <w:t>13th</w:t>
      </w:r>
      <w:r>
        <w:rPr>
          <w:spacing w:val="-7"/>
          <w:sz w:val="20"/>
        </w:rPr>
        <w:t> </w:t>
      </w:r>
      <w:r>
        <w:rPr>
          <w:sz w:val="20"/>
        </w:rPr>
        <w:t>person</w:t>
      </w:r>
      <w:r>
        <w:rPr>
          <w:spacing w:val="-6"/>
          <w:sz w:val="20"/>
        </w:rPr>
        <w:t> </w:t>
      </w:r>
      <w:r>
        <w:rPr>
          <w:spacing w:val="-3"/>
          <w:sz w:val="20"/>
        </w:rPr>
        <w:t>rule.</w:t>
      </w:r>
    </w:p>
    <w:p>
      <w:pPr>
        <w:pStyle w:val="ListParagraph"/>
        <w:numPr>
          <w:ilvl w:val="1"/>
          <w:numId w:val="12"/>
        </w:numPr>
        <w:tabs>
          <w:tab w:pos="1761" w:val="left" w:leader="none"/>
          <w:tab w:pos="1762" w:val="left" w:leader="none"/>
        </w:tabs>
        <w:spacing w:line="206" w:lineRule="auto" w:before="130" w:after="0"/>
        <w:ind w:left="1761" w:right="1811" w:hanging="794"/>
        <w:jc w:val="left"/>
        <w:rPr>
          <w:sz w:val="11"/>
        </w:rPr>
      </w:pPr>
      <w:r>
        <w:rPr>
          <w:sz w:val="20"/>
        </w:rPr>
        <w:t>Community responses supported changing the </w:t>
      </w:r>
      <w:r>
        <w:rPr>
          <w:spacing w:val="-2"/>
          <w:sz w:val="20"/>
        </w:rPr>
        <w:t>Act </w:t>
      </w:r>
      <w:r>
        <w:rPr>
          <w:sz w:val="20"/>
        </w:rPr>
        <w:t>to limit the 13th person </w:t>
      </w:r>
      <w:r>
        <w:rPr>
          <w:spacing w:val="-3"/>
          <w:sz w:val="20"/>
        </w:rPr>
        <w:t>rule. </w:t>
      </w:r>
      <w:r>
        <w:rPr>
          <w:sz w:val="20"/>
        </w:rPr>
        <w:t>Alastair</w:t>
      </w:r>
      <w:r>
        <w:rPr>
          <w:spacing w:val="-7"/>
          <w:sz w:val="20"/>
        </w:rPr>
        <w:t> </w:t>
      </w:r>
      <w:r>
        <w:rPr>
          <w:spacing w:val="-3"/>
          <w:sz w:val="20"/>
        </w:rPr>
        <w:t>McEwin</w:t>
      </w:r>
      <w:r>
        <w:rPr>
          <w:spacing w:val="-7"/>
          <w:sz w:val="20"/>
        </w:rPr>
        <w:t> </w:t>
      </w:r>
      <w:r>
        <w:rPr>
          <w:spacing w:val="-3"/>
          <w:sz w:val="20"/>
        </w:rPr>
        <w:t>referred</w:t>
      </w:r>
      <w:r>
        <w:rPr>
          <w:spacing w:val="-6"/>
          <w:sz w:val="20"/>
        </w:rPr>
        <w:t> </w:t>
      </w:r>
      <w:r>
        <w:rPr>
          <w:sz w:val="20"/>
        </w:rPr>
        <w:t>to</w:t>
      </w:r>
      <w:r>
        <w:rPr>
          <w:spacing w:val="-7"/>
          <w:sz w:val="20"/>
        </w:rPr>
        <w:t> </w:t>
      </w:r>
      <w:r>
        <w:rPr>
          <w:sz w:val="20"/>
        </w:rPr>
        <w:t>a</w:t>
      </w:r>
      <w:r>
        <w:rPr>
          <w:spacing w:val="-6"/>
          <w:sz w:val="20"/>
        </w:rPr>
        <w:t> </w:t>
      </w:r>
      <w:r>
        <w:rPr>
          <w:sz w:val="20"/>
        </w:rPr>
        <w:t>mischaracterisation</w:t>
      </w:r>
      <w:r>
        <w:rPr>
          <w:spacing w:val="-7"/>
          <w:sz w:val="20"/>
        </w:rPr>
        <w:t> </w:t>
      </w:r>
      <w:r>
        <w:rPr>
          <w:sz w:val="20"/>
        </w:rPr>
        <w:t>of</w:t>
      </w:r>
      <w:r>
        <w:rPr>
          <w:spacing w:val="-7"/>
          <w:sz w:val="20"/>
        </w:rPr>
        <w:t> </w:t>
      </w:r>
      <w:r>
        <w:rPr>
          <w:sz w:val="20"/>
        </w:rPr>
        <w:t>the</w:t>
      </w:r>
      <w:r>
        <w:rPr>
          <w:spacing w:val="-6"/>
          <w:sz w:val="20"/>
        </w:rPr>
        <w:t> </w:t>
      </w:r>
      <w:r>
        <w:rPr>
          <w:spacing w:val="-3"/>
          <w:sz w:val="20"/>
        </w:rPr>
        <w:t>role</w:t>
      </w:r>
      <w:r>
        <w:rPr>
          <w:spacing w:val="-7"/>
          <w:sz w:val="20"/>
        </w:rPr>
        <w:t> </w:t>
      </w:r>
      <w:r>
        <w:rPr>
          <w:sz w:val="20"/>
        </w:rPr>
        <w:t>of</w:t>
      </w:r>
      <w:r>
        <w:rPr>
          <w:spacing w:val="-6"/>
          <w:sz w:val="20"/>
        </w:rPr>
        <w:t> </w:t>
      </w:r>
      <w:r>
        <w:rPr>
          <w:sz w:val="20"/>
        </w:rPr>
        <w:t>an</w:t>
      </w:r>
      <w:r>
        <w:rPr>
          <w:spacing w:val="-7"/>
          <w:sz w:val="20"/>
        </w:rPr>
        <w:t> </w:t>
      </w:r>
      <w:r>
        <w:rPr>
          <w:spacing w:val="-3"/>
          <w:sz w:val="20"/>
        </w:rPr>
        <w:t>interpreter</w:t>
      </w:r>
      <w:r>
        <w:rPr>
          <w:spacing w:val="-7"/>
          <w:sz w:val="20"/>
        </w:rPr>
        <w:t> </w:t>
      </w:r>
      <w:r>
        <w:rPr>
          <w:sz w:val="20"/>
        </w:rPr>
        <w:t>as</w:t>
      </w:r>
      <w:r>
        <w:rPr>
          <w:spacing w:val="-6"/>
          <w:sz w:val="20"/>
        </w:rPr>
        <w:t> </w:t>
      </w:r>
      <w:r>
        <w:rPr>
          <w:sz w:val="20"/>
        </w:rPr>
        <w:t>a 13th person in the jury room. Auslan </w:t>
      </w:r>
      <w:r>
        <w:rPr>
          <w:spacing w:val="-3"/>
          <w:sz w:val="20"/>
        </w:rPr>
        <w:t>interpreters </w:t>
      </w:r>
      <w:r>
        <w:rPr>
          <w:spacing w:val="-4"/>
          <w:sz w:val="20"/>
        </w:rPr>
        <w:t>‘are </w:t>
      </w:r>
      <w:r>
        <w:rPr>
          <w:spacing w:val="-3"/>
          <w:sz w:val="20"/>
        </w:rPr>
        <w:t>only </w:t>
      </w:r>
      <w:r>
        <w:rPr>
          <w:sz w:val="20"/>
        </w:rPr>
        <w:t>there to facilitate communication, not to participate in the</w:t>
      </w:r>
      <w:r>
        <w:rPr>
          <w:spacing w:val="-29"/>
          <w:sz w:val="20"/>
        </w:rPr>
        <w:t> </w:t>
      </w:r>
      <w:r>
        <w:rPr>
          <w:spacing w:val="-4"/>
          <w:sz w:val="20"/>
        </w:rPr>
        <w:t>conversation/debate’.</w:t>
      </w:r>
      <w:r>
        <w:rPr>
          <w:spacing w:val="-4"/>
          <w:position w:val="7"/>
          <w:sz w:val="11"/>
        </w:rPr>
        <w:t>20</w:t>
      </w:r>
    </w:p>
    <w:p>
      <w:pPr>
        <w:pStyle w:val="ListParagraph"/>
        <w:numPr>
          <w:ilvl w:val="1"/>
          <w:numId w:val="12"/>
        </w:numPr>
        <w:tabs>
          <w:tab w:pos="1761" w:val="left" w:leader="none"/>
          <w:tab w:pos="1762" w:val="left" w:leader="none"/>
        </w:tabs>
        <w:spacing w:line="206" w:lineRule="auto" w:before="125" w:after="0"/>
        <w:ind w:left="1761" w:right="1331" w:hanging="794"/>
        <w:jc w:val="left"/>
        <w:rPr>
          <w:sz w:val="11"/>
        </w:rPr>
      </w:pPr>
      <w:r>
        <w:rPr/>
        <w:pict>
          <v:line style="position:absolute;mso-position-horizontal-relative:page;mso-position-vertical-relative:paragraph;z-index:6848;mso-wrap-distance-left:0;mso-wrap-distance-right:0" from="79.370102pt,72.182602pt" to="521.575102pt,72.182602pt" stroked="true" strokeweight="1pt" strokecolor="#b6bdc8">
            <v:stroke dashstyle="solid"/>
            <w10:wrap type="topAndBottom"/>
          </v:line>
        </w:pict>
      </w:r>
      <w:r>
        <w:rPr>
          <w:sz w:val="20"/>
        </w:rPr>
        <w:t>The County Court stated that it ‘does not view the 13th person rule as an impediment to</w:t>
      </w:r>
      <w:r>
        <w:rPr>
          <w:spacing w:val="-10"/>
          <w:sz w:val="20"/>
        </w:rPr>
        <w:t> </w:t>
      </w:r>
      <w:r>
        <w:rPr>
          <w:sz w:val="20"/>
        </w:rPr>
        <w:t>jury</w:t>
      </w:r>
      <w:r>
        <w:rPr>
          <w:spacing w:val="-9"/>
          <w:sz w:val="20"/>
        </w:rPr>
        <w:t> </w:t>
      </w:r>
      <w:r>
        <w:rPr>
          <w:sz w:val="20"/>
        </w:rPr>
        <w:t>deliberations</w:t>
      </w:r>
      <w:r>
        <w:rPr>
          <w:spacing w:val="-9"/>
          <w:sz w:val="20"/>
        </w:rPr>
        <w:t> </w:t>
      </w:r>
      <w:r>
        <w:rPr>
          <w:sz w:val="20"/>
        </w:rPr>
        <w:t>in</w:t>
      </w:r>
      <w:r>
        <w:rPr>
          <w:spacing w:val="-9"/>
          <w:sz w:val="20"/>
        </w:rPr>
        <w:t> </w:t>
      </w:r>
      <w:r>
        <w:rPr>
          <w:sz w:val="20"/>
        </w:rPr>
        <w:t>relation</w:t>
      </w:r>
      <w:r>
        <w:rPr>
          <w:spacing w:val="-9"/>
          <w:sz w:val="20"/>
        </w:rPr>
        <w:t> </w:t>
      </w:r>
      <w:r>
        <w:rPr>
          <w:sz w:val="20"/>
        </w:rPr>
        <w:t>to</w:t>
      </w:r>
      <w:r>
        <w:rPr>
          <w:spacing w:val="-9"/>
          <w:sz w:val="20"/>
        </w:rPr>
        <w:t> </w:t>
      </w:r>
      <w:r>
        <w:rPr>
          <w:sz w:val="20"/>
        </w:rPr>
        <w:t>an</w:t>
      </w:r>
      <w:r>
        <w:rPr>
          <w:spacing w:val="-9"/>
          <w:sz w:val="20"/>
        </w:rPr>
        <w:t> </w:t>
      </w:r>
      <w:r>
        <w:rPr>
          <w:sz w:val="20"/>
        </w:rPr>
        <w:t>assistance</w:t>
      </w:r>
      <w:r>
        <w:rPr>
          <w:spacing w:val="-9"/>
          <w:sz w:val="20"/>
        </w:rPr>
        <w:t> </w:t>
      </w:r>
      <w:r>
        <w:rPr>
          <w:sz w:val="20"/>
        </w:rPr>
        <w:t>person</w:t>
      </w:r>
      <w:r>
        <w:rPr>
          <w:spacing w:val="-9"/>
          <w:sz w:val="20"/>
        </w:rPr>
        <w:t> </w:t>
      </w:r>
      <w:r>
        <w:rPr>
          <w:sz w:val="20"/>
        </w:rPr>
        <w:t>being</w:t>
      </w:r>
      <w:r>
        <w:rPr>
          <w:spacing w:val="-9"/>
          <w:sz w:val="20"/>
        </w:rPr>
        <w:t> </w:t>
      </w:r>
      <w:r>
        <w:rPr>
          <w:spacing w:val="-3"/>
          <w:sz w:val="20"/>
        </w:rPr>
        <w:t>present</w:t>
      </w:r>
      <w:r>
        <w:rPr>
          <w:spacing w:val="-9"/>
          <w:sz w:val="20"/>
        </w:rPr>
        <w:t> </w:t>
      </w:r>
      <w:r>
        <w:rPr>
          <w:spacing w:val="-3"/>
          <w:sz w:val="20"/>
        </w:rPr>
        <w:t>purely</w:t>
      </w:r>
      <w:r>
        <w:rPr>
          <w:spacing w:val="-9"/>
          <w:sz w:val="20"/>
        </w:rPr>
        <w:t> </w:t>
      </w:r>
      <w:r>
        <w:rPr>
          <w:sz w:val="20"/>
        </w:rPr>
        <w:t>to</w:t>
      </w:r>
      <w:r>
        <w:rPr>
          <w:spacing w:val="-9"/>
          <w:sz w:val="20"/>
        </w:rPr>
        <w:t> </w:t>
      </w:r>
      <w:r>
        <w:rPr>
          <w:sz w:val="20"/>
        </w:rPr>
        <w:t>assist</w:t>
      </w:r>
      <w:r>
        <w:rPr>
          <w:spacing w:val="-9"/>
          <w:sz w:val="20"/>
        </w:rPr>
        <w:t> </w:t>
      </w:r>
      <w:r>
        <w:rPr>
          <w:sz w:val="20"/>
        </w:rPr>
        <w:t>a person who </w:t>
      </w:r>
      <w:r>
        <w:rPr>
          <w:spacing w:val="-3"/>
          <w:sz w:val="20"/>
        </w:rPr>
        <w:t>requires </w:t>
      </w:r>
      <w:r>
        <w:rPr>
          <w:sz w:val="20"/>
        </w:rPr>
        <w:t>it’ and suggested changes ‘similar to that undertaken in the Australian Capital </w:t>
      </w:r>
      <w:r>
        <w:rPr>
          <w:spacing w:val="-3"/>
          <w:sz w:val="20"/>
        </w:rPr>
        <w:t>Territory would </w:t>
      </w:r>
      <w:r>
        <w:rPr>
          <w:sz w:val="20"/>
        </w:rPr>
        <w:t>be needed to enable a non-jury member to be </w:t>
      </w:r>
      <w:r>
        <w:rPr>
          <w:spacing w:val="-3"/>
          <w:sz w:val="20"/>
        </w:rPr>
        <w:t>present </w:t>
      </w:r>
      <w:r>
        <w:rPr>
          <w:sz w:val="20"/>
        </w:rPr>
        <w:t>in the deliberation</w:t>
      </w:r>
      <w:r>
        <w:rPr>
          <w:spacing w:val="-14"/>
          <w:sz w:val="20"/>
        </w:rPr>
        <w:t> </w:t>
      </w:r>
      <w:r>
        <w:rPr>
          <w:spacing w:val="-3"/>
          <w:sz w:val="20"/>
        </w:rPr>
        <w:t>room’.</w:t>
      </w:r>
      <w:r>
        <w:rPr>
          <w:spacing w:val="-3"/>
          <w:position w:val="7"/>
          <w:sz w:val="11"/>
        </w:rPr>
        <w:t>21</w: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2"/>
        </w:rPr>
      </w:pPr>
    </w:p>
    <w:p>
      <w:pPr>
        <w:spacing w:before="0"/>
        <w:ind w:left="100" w:right="0" w:firstLine="0"/>
        <w:jc w:val="left"/>
        <w:rPr>
          <w:b/>
          <w:sz w:val="24"/>
        </w:rPr>
      </w:pPr>
      <w:r>
        <w:rPr>
          <w:b/>
          <w:color w:val="37617A"/>
          <w:sz w:val="24"/>
        </w:rPr>
        <w:t>110</w:t>
      </w:r>
    </w:p>
    <w:p>
      <w:pPr>
        <w:pStyle w:val="ListParagraph"/>
        <w:numPr>
          <w:ilvl w:val="0"/>
          <w:numId w:val="81"/>
        </w:numPr>
        <w:tabs>
          <w:tab w:pos="893" w:val="left" w:leader="none"/>
          <w:tab w:pos="894" w:val="left" w:leader="none"/>
        </w:tabs>
        <w:spacing w:line="213" w:lineRule="auto" w:before="38" w:after="0"/>
        <w:ind w:left="100" w:right="4687" w:firstLine="0"/>
        <w:jc w:val="left"/>
        <w:rPr>
          <w:sz w:val="13"/>
        </w:rPr>
      </w:pPr>
      <w:r>
        <w:rPr>
          <w:i/>
          <w:spacing w:val="3"/>
          <w:sz w:val="13"/>
        </w:rPr>
        <w:br w:type="column"/>
      </w:r>
      <w:r>
        <w:rPr>
          <w:i/>
          <w:sz w:val="13"/>
        </w:rPr>
        <w:t>JH v Australia </w:t>
      </w:r>
      <w:r>
        <w:rPr>
          <w:sz w:val="13"/>
        </w:rPr>
        <w:t>[7,8]. See </w:t>
      </w:r>
      <w:r>
        <w:rPr>
          <w:spacing w:val="2"/>
          <w:sz w:val="13"/>
        </w:rPr>
        <w:t>also </w:t>
      </w:r>
      <w:r>
        <w:rPr>
          <w:i/>
          <w:sz w:val="13"/>
        </w:rPr>
        <w:t>Beasley v Australia </w:t>
      </w:r>
      <w:r>
        <w:rPr>
          <w:sz w:val="13"/>
        </w:rPr>
        <w:t>[9]; </w:t>
      </w:r>
      <w:r>
        <w:rPr>
          <w:i/>
          <w:sz w:val="13"/>
        </w:rPr>
        <w:t>Lockrey v Australia </w:t>
      </w:r>
      <w:r>
        <w:rPr>
          <w:spacing w:val="2"/>
          <w:sz w:val="13"/>
        </w:rPr>
        <w:t>[9]. </w:t>
      </w:r>
      <w:r>
        <w:rPr>
          <w:sz w:val="13"/>
        </w:rPr>
        <w:t>18</w:t>
        <w:tab/>
      </w:r>
      <w:r>
        <w:rPr>
          <w:i/>
          <w:sz w:val="13"/>
        </w:rPr>
        <w:t>Lyons v State of Queensland </w:t>
      </w:r>
      <w:r>
        <w:rPr>
          <w:sz w:val="13"/>
        </w:rPr>
        <w:t>[2016] HCA 38, (2016) 259 CLR 518, </w:t>
      </w:r>
      <w:r>
        <w:rPr>
          <w:spacing w:val="2"/>
          <w:sz w:val="13"/>
        </w:rPr>
        <w:t>[33]–[38]. </w:t>
      </w:r>
      <w:r>
        <w:rPr>
          <w:sz w:val="13"/>
        </w:rPr>
        <w:t>19</w:t>
        <w:tab/>
        <w:t>Ibid </w:t>
      </w:r>
      <w:r>
        <w:rPr>
          <w:spacing w:val="2"/>
          <w:sz w:val="13"/>
        </w:rPr>
        <w:t>[35],</w:t>
      </w:r>
      <w:r>
        <w:rPr>
          <w:sz w:val="13"/>
        </w:rPr>
        <w:t> </w:t>
      </w:r>
      <w:r>
        <w:rPr>
          <w:spacing w:val="2"/>
          <w:sz w:val="13"/>
        </w:rPr>
        <w:t>[36].</w:t>
      </w:r>
    </w:p>
    <w:p>
      <w:pPr>
        <w:pStyle w:val="ListParagraph"/>
        <w:numPr>
          <w:ilvl w:val="0"/>
          <w:numId w:val="82"/>
        </w:numPr>
        <w:tabs>
          <w:tab w:pos="893" w:val="left" w:leader="none"/>
          <w:tab w:pos="894" w:val="left" w:leader="none"/>
        </w:tabs>
        <w:spacing w:line="213" w:lineRule="auto" w:before="0" w:after="0"/>
        <w:ind w:left="893" w:right="1305" w:hanging="793"/>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82"/>
        </w:numPr>
        <w:tabs>
          <w:tab w:pos="893" w:val="left" w:leader="none"/>
          <w:tab w:pos="894" w:val="left" w:leader="none"/>
        </w:tabs>
        <w:spacing w:line="163" w:lineRule="exact" w:before="0" w:after="0"/>
        <w:ind w:left="893" w:right="0" w:hanging="793"/>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spacing w:after="0" w:line="163" w:lineRule="exact"/>
        <w:jc w:val="left"/>
        <w:rPr>
          <w:sz w:val="13"/>
        </w:rPr>
        <w:sectPr>
          <w:type w:val="continuous"/>
          <w:pgSz w:w="11910" w:h="16840"/>
          <w:pgMar w:top="620" w:bottom="280" w:left="620" w:right="380"/>
          <w:cols w:num="2" w:equalWidth="0">
            <w:col w:w="514" w:space="353"/>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2" w:val="left" w:leader="none"/>
        </w:tabs>
        <w:spacing w:line="206" w:lineRule="auto" w:before="90" w:after="0"/>
        <w:ind w:left="1761" w:right="1478" w:hanging="794"/>
        <w:jc w:val="both"/>
        <w:rPr>
          <w:sz w:val="11"/>
        </w:rPr>
      </w:pPr>
      <w:bookmarkStart w:name="_bookmark81" w:id="204"/>
      <w:bookmarkEnd w:id="204"/>
      <w:r>
        <w:rPr/>
      </w:r>
      <w:bookmarkStart w:name="_bookmark81" w:id="205"/>
      <w:bookmarkEnd w:id="205"/>
      <w:r>
        <w:rPr>
          <w:sz w:val="20"/>
        </w:rPr>
        <w:t>V</w:t>
      </w:r>
      <w:r>
        <w:rPr>
          <w:sz w:val="20"/>
        </w:rPr>
        <w:t>ision</w:t>
      </w:r>
      <w:r>
        <w:rPr>
          <w:spacing w:val="-13"/>
          <w:sz w:val="20"/>
        </w:rPr>
        <w:t> </w:t>
      </w:r>
      <w:r>
        <w:rPr>
          <w:sz w:val="20"/>
        </w:rPr>
        <w:t>Australia</w:t>
      </w:r>
      <w:r>
        <w:rPr>
          <w:spacing w:val="-13"/>
          <w:sz w:val="20"/>
        </w:rPr>
        <w:t> </w:t>
      </w:r>
      <w:r>
        <w:rPr>
          <w:sz w:val="20"/>
        </w:rPr>
        <w:t>noted</w:t>
      </w:r>
      <w:r>
        <w:rPr>
          <w:spacing w:val="-12"/>
          <w:sz w:val="20"/>
        </w:rPr>
        <w:t> </w:t>
      </w:r>
      <w:r>
        <w:rPr>
          <w:sz w:val="20"/>
        </w:rPr>
        <w:t>that</w:t>
      </w:r>
      <w:r>
        <w:rPr>
          <w:spacing w:val="-13"/>
          <w:sz w:val="20"/>
        </w:rPr>
        <w:t> </w:t>
      </w:r>
      <w:r>
        <w:rPr>
          <w:sz w:val="20"/>
        </w:rPr>
        <w:t>‘without</w:t>
      </w:r>
      <w:r>
        <w:rPr>
          <w:spacing w:val="-12"/>
          <w:sz w:val="20"/>
        </w:rPr>
        <w:t> </w:t>
      </w:r>
      <w:r>
        <w:rPr>
          <w:sz w:val="20"/>
        </w:rPr>
        <w:t>a</w:t>
      </w:r>
      <w:r>
        <w:rPr>
          <w:spacing w:val="-13"/>
          <w:sz w:val="20"/>
        </w:rPr>
        <w:t> </w:t>
      </w:r>
      <w:r>
        <w:rPr>
          <w:sz w:val="20"/>
        </w:rPr>
        <w:t>legislated</w:t>
      </w:r>
      <w:r>
        <w:rPr>
          <w:spacing w:val="-13"/>
          <w:sz w:val="20"/>
        </w:rPr>
        <w:t> </w:t>
      </w:r>
      <w:r>
        <w:rPr>
          <w:sz w:val="20"/>
        </w:rPr>
        <w:t>modification</w:t>
      </w:r>
      <w:r>
        <w:rPr>
          <w:spacing w:val="-12"/>
          <w:sz w:val="20"/>
        </w:rPr>
        <w:t> </w:t>
      </w:r>
      <w:r>
        <w:rPr>
          <w:sz w:val="20"/>
        </w:rPr>
        <w:t>of</w:t>
      </w:r>
      <w:r>
        <w:rPr>
          <w:spacing w:val="-13"/>
          <w:sz w:val="20"/>
        </w:rPr>
        <w:t> </w:t>
      </w:r>
      <w:r>
        <w:rPr>
          <w:sz w:val="20"/>
        </w:rPr>
        <w:t>the</w:t>
      </w:r>
      <w:r>
        <w:rPr>
          <w:spacing w:val="-12"/>
          <w:sz w:val="20"/>
        </w:rPr>
        <w:t> </w:t>
      </w:r>
      <w:r>
        <w:rPr>
          <w:sz w:val="20"/>
        </w:rPr>
        <w:t>“13th</w:t>
      </w:r>
      <w:r>
        <w:rPr>
          <w:spacing w:val="-13"/>
          <w:sz w:val="20"/>
        </w:rPr>
        <w:t> </w:t>
      </w:r>
      <w:r>
        <w:rPr>
          <w:sz w:val="20"/>
        </w:rPr>
        <w:t>person”</w:t>
      </w:r>
      <w:r>
        <w:rPr>
          <w:spacing w:val="-13"/>
          <w:sz w:val="20"/>
        </w:rPr>
        <w:t> </w:t>
      </w:r>
      <w:r>
        <w:rPr>
          <w:spacing w:val="-3"/>
          <w:sz w:val="20"/>
        </w:rPr>
        <w:t>rule, </w:t>
      </w:r>
      <w:r>
        <w:rPr>
          <w:sz w:val="20"/>
        </w:rPr>
        <w:t>there</w:t>
      </w:r>
      <w:r>
        <w:rPr>
          <w:spacing w:val="-11"/>
          <w:sz w:val="20"/>
        </w:rPr>
        <w:t> </w:t>
      </w:r>
      <w:r>
        <w:rPr>
          <w:sz w:val="20"/>
        </w:rPr>
        <w:t>will</w:t>
      </w:r>
      <w:r>
        <w:rPr>
          <w:spacing w:val="-10"/>
          <w:sz w:val="20"/>
        </w:rPr>
        <w:t> </w:t>
      </w:r>
      <w:r>
        <w:rPr>
          <w:sz w:val="20"/>
        </w:rPr>
        <w:t>be</w:t>
      </w:r>
      <w:r>
        <w:rPr>
          <w:spacing w:val="-11"/>
          <w:sz w:val="20"/>
        </w:rPr>
        <w:t> </w:t>
      </w:r>
      <w:r>
        <w:rPr>
          <w:sz w:val="20"/>
        </w:rPr>
        <w:t>situations</w:t>
      </w:r>
      <w:r>
        <w:rPr>
          <w:spacing w:val="-10"/>
          <w:sz w:val="20"/>
        </w:rPr>
        <w:t> </w:t>
      </w:r>
      <w:r>
        <w:rPr>
          <w:sz w:val="20"/>
        </w:rPr>
        <w:t>where</w:t>
      </w:r>
      <w:r>
        <w:rPr>
          <w:spacing w:val="-10"/>
          <w:sz w:val="20"/>
        </w:rPr>
        <w:t> </w:t>
      </w:r>
      <w:r>
        <w:rPr>
          <w:sz w:val="20"/>
        </w:rPr>
        <w:t>a</w:t>
      </w:r>
      <w:r>
        <w:rPr>
          <w:spacing w:val="-11"/>
          <w:sz w:val="20"/>
        </w:rPr>
        <w:t> </w:t>
      </w:r>
      <w:r>
        <w:rPr>
          <w:sz w:val="20"/>
        </w:rPr>
        <w:t>juror</w:t>
      </w:r>
      <w:r>
        <w:rPr>
          <w:spacing w:val="-10"/>
          <w:sz w:val="20"/>
        </w:rPr>
        <w:t> </w:t>
      </w:r>
      <w:r>
        <w:rPr>
          <w:sz w:val="20"/>
        </w:rPr>
        <w:t>who</w:t>
      </w:r>
      <w:r>
        <w:rPr>
          <w:spacing w:val="-11"/>
          <w:sz w:val="20"/>
        </w:rPr>
        <w:t> </w:t>
      </w:r>
      <w:r>
        <w:rPr>
          <w:sz w:val="20"/>
        </w:rPr>
        <w:t>is</w:t>
      </w:r>
      <w:r>
        <w:rPr>
          <w:spacing w:val="-10"/>
          <w:sz w:val="20"/>
        </w:rPr>
        <w:t> </w:t>
      </w:r>
      <w:r>
        <w:rPr>
          <w:sz w:val="20"/>
        </w:rPr>
        <w:t>blind</w:t>
      </w:r>
      <w:r>
        <w:rPr>
          <w:spacing w:val="-10"/>
          <w:sz w:val="20"/>
        </w:rPr>
        <w:t> </w:t>
      </w:r>
      <w:r>
        <w:rPr>
          <w:sz w:val="20"/>
        </w:rPr>
        <w:t>or</w:t>
      </w:r>
      <w:r>
        <w:rPr>
          <w:spacing w:val="-11"/>
          <w:sz w:val="20"/>
        </w:rPr>
        <w:t> </w:t>
      </w:r>
      <w:r>
        <w:rPr>
          <w:sz w:val="20"/>
        </w:rPr>
        <w:t>has</w:t>
      </w:r>
      <w:r>
        <w:rPr>
          <w:spacing w:val="-10"/>
          <w:sz w:val="20"/>
        </w:rPr>
        <w:t> </w:t>
      </w:r>
      <w:r>
        <w:rPr>
          <w:spacing w:val="-4"/>
          <w:sz w:val="20"/>
        </w:rPr>
        <w:t>low</w:t>
      </w:r>
      <w:r>
        <w:rPr>
          <w:spacing w:val="-11"/>
          <w:sz w:val="20"/>
        </w:rPr>
        <w:t> </w:t>
      </w:r>
      <w:r>
        <w:rPr>
          <w:sz w:val="20"/>
        </w:rPr>
        <w:t>vision</w:t>
      </w:r>
      <w:r>
        <w:rPr>
          <w:spacing w:val="-10"/>
          <w:sz w:val="20"/>
        </w:rPr>
        <w:t> </w:t>
      </w:r>
      <w:r>
        <w:rPr>
          <w:sz w:val="20"/>
        </w:rPr>
        <w:t>will</w:t>
      </w:r>
      <w:r>
        <w:rPr>
          <w:spacing w:val="-10"/>
          <w:sz w:val="20"/>
        </w:rPr>
        <w:t> </w:t>
      </w:r>
      <w:r>
        <w:rPr>
          <w:sz w:val="20"/>
        </w:rPr>
        <w:t>be</w:t>
      </w:r>
      <w:r>
        <w:rPr>
          <w:spacing w:val="-11"/>
          <w:sz w:val="20"/>
        </w:rPr>
        <w:t> </w:t>
      </w:r>
      <w:r>
        <w:rPr>
          <w:sz w:val="20"/>
        </w:rPr>
        <w:t>needlessly precluded </w:t>
      </w:r>
      <w:r>
        <w:rPr>
          <w:spacing w:val="-3"/>
          <w:sz w:val="20"/>
        </w:rPr>
        <w:t>from </w:t>
      </w:r>
      <w:r>
        <w:rPr>
          <w:sz w:val="20"/>
        </w:rPr>
        <w:t>carrying out their duties as a</w:t>
      </w:r>
      <w:r>
        <w:rPr>
          <w:spacing w:val="-35"/>
          <w:sz w:val="20"/>
        </w:rPr>
        <w:t> </w:t>
      </w:r>
      <w:r>
        <w:rPr>
          <w:sz w:val="20"/>
        </w:rPr>
        <w:t>juror’.</w:t>
      </w:r>
      <w:r>
        <w:rPr>
          <w:position w:val="7"/>
          <w:sz w:val="11"/>
        </w:rPr>
        <w:t>22</w:t>
      </w:r>
    </w:p>
    <w:p>
      <w:pPr>
        <w:pStyle w:val="ListParagraph"/>
        <w:numPr>
          <w:ilvl w:val="1"/>
          <w:numId w:val="12"/>
        </w:numPr>
        <w:tabs>
          <w:tab w:pos="1761" w:val="left" w:leader="none"/>
          <w:tab w:pos="1762" w:val="left" w:leader="none"/>
        </w:tabs>
        <w:spacing w:line="206" w:lineRule="auto" w:before="124" w:after="0"/>
        <w:ind w:left="1761" w:right="1343" w:hanging="794"/>
        <w:jc w:val="left"/>
        <w:rPr>
          <w:sz w:val="11"/>
        </w:rPr>
      </w:pPr>
      <w:r>
        <w:rPr>
          <w:sz w:val="20"/>
        </w:rPr>
        <w:t>Auslan service </w:t>
      </w:r>
      <w:r>
        <w:rPr>
          <w:spacing w:val="-3"/>
          <w:sz w:val="20"/>
        </w:rPr>
        <w:t>providers </w:t>
      </w:r>
      <w:r>
        <w:rPr>
          <w:sz w:val="20"/>
        </w:rPr>
        <w:t>and regulatory bodies supported </w:t>
      </w:r>
      <w:r>
        <w:rPr>
          <w:spacing w:val="-3"/>
          <w:sz w:val="20"/>
        </w:rPr>
        <w:t>reform, </w:t>
      </w:r>
      <w:r>
        <w:rPr>
          <w:sz w:val="20"/>
        </w:rPr>
        <w:t>noting that an </w:t>
      </w:r>
      <w:r>
        <w:rPr>
          <w:spacing w:val="-3"/>
          <w:sz w:val="20"/>
        </w:rPr>
        <w:t>interpreter</w:t>
      </w:r>
      <w:r>
        <w:rPr>
          <w:spacing w:val="-10"/>
          <w:sz w:val="20"/>
        </w:rPr>
        <w:t> </w:t>
      </w:r>
      <w:r>
        <w:rPr>
          <w:sz w:val="20"/>
        </w:rPr>
        <w:t>who</w:t>
      </w:r>
      <w:r>
        <w:rPr>
          <w:spacing w:val="-10"/>
          <w:sz w:val="20"/>
        </w:rPr>
        <w:t> </w:t>
      </w:r>
      <w:r>
        <w:rPr>
          <w:sz w:val="20"/>
        </w:rPr>
        <w:t>works</w:t>
      </w:r>
      <w:r>
        <w:rPr>
          <w:spacing w:val="-10"/>
          <w:sz w:val="20"/>
        </w:rPr>
        <w:t> </w:t>
      </w:r>
      <w:r>
        <w:rPr>
          <w:sz w:val="20"/>
        </w:rPr>
        <w:t>in</w:t>
      </w:r>
      <w:r>
        <w:rPr>
          <w:spacing w:val="-10"/>
          <w:sz w:val="20"/>
        </w:rPr>
        <w:t> </w:t>
      </w:r>
      <w:r>
        <w:rPr>
          <w:sz w:val="20"/>
        </w:rPr>
        <w:t>court</w:t>
      </w:r>
      <w:r>
        <w:rPr>
          <w:spacing w:val="-9"/>
          <w:sz w:val="20"/>
        </w:rPr>
        <w:t> </w:t>
      </w:r>
      <w:r>
        <w:rPr>
          <w:sz w:val="20"/>
        </w:rPr>
        <w:t>must</w:t>
      </w:r>
      <w:r>
        <w:rPr>
          <w:spacing w:val="-10"/>
          <w:sz w:val="20"/>
        </w:rPr>
        <w:t> </w:t>
      </w:r>
      <w:r>
        <w:rPr>
          <w:sz w:val="20"/>
        </w:rPr>
        <w:t>already</w:t>
      </w:r>
      <w:r>
        <w:rPr>
          <w:spacing w:val="-10"/>
          <w:sz w:val="20"/>
        </w:rPr>
        <w:t> </w:t>
      </w:r>
      <w:r>
        <w:rPr>
          <w:spacing w:val="-3"/>
          <w:sz w:val="20"/>
        </w:rPr>
        <w:t>comply</w:t>
      </w:r>
      <w:r>
        <w:rPr>
          <w:spacing w:val="-10"/>
          <w:sz w:val="20"/>
        </w:rPr>
        <w:t> </w:t>
      </w:r>
      <w:r>
        <w:rPr>
          <w:sz w:val="20"/>
        </w:rPr>
        <w:t>with</w:t>
      </w:r>
      <w:r>
        <w:rPr>
          <w:spacing w:val="-9"/>
          <w:sz w:val="20"/>
        </w:rPr>
        <w:t> </w:t>
      </w:r>
      <w:r>
        <w:rPr>
          <w:sz w:val="20"/>
        </w:rPr>
        <w:t>professional</w:t>
      </w:r>
      <w:r>
        <w:rPr>
          <w:spacing w:val="-10"/>
          <w:sz w:val="20"/>
        </w:rPr>
        <w:t> </w:t>
      </w:r>
      <w:r>
        <w:rPr>
          <w:sz w:val="20"/>
        </w:rPr>
        <w:t>standards</w:t>
      </w:r>
      <w:r>
        <w:rPr>
          <w:spacing w:val="-10"/>
          <w:sz w:val="20"/>
        </w:rPr>
        <w:t> </w:t>
      </w:r>
      <w:r>
        <w:rPr>
          <w:sz w:val="20"/>
        </w:rPr>
        <w:t>and</w:t>
      </w:r>
      <w:r>
        <w:rPr>
          <w:spacing w:val="-10"/>
          <w:sz w:val="20"/>
        </w:rPr>
        <w:t> </w:t>
      </w:r>
      <w:r>
        <w:rPr>
          <w:sz w:val="20"/>
        </w:rPr>
        <w:t>a code</w:t>
      </w:r>
      <w:r>
        <w:rPr>
          <w:spacing w:val="-7"/>
          <w:sz w:val="20"/>
        </w:rPr>
        <w:t> </w:t>
      </w:r>
      <w:r>
        <w:rPr>
          <w:sz w:val="20"/>
        </w:rPr>
        <w:t>of</w:t>
      </w:r>
      <w:r>
        <w:rPr>
          <w:spacing w:val="-7"/>
          <w:sz w:val="20"/>
        </w:rPr>
        <w:t> </w:t>
      </w:r>
      <w:r>
        <w:rPr>
          <w:sz w:val="20"/>
        </w:rPr>
        <w:t>ethics,</w:t>
      </w:r>
      <w:r>
        <w:rPr>
          <w:spacing w:val="-7"/>
          <w:sz w:val="20"/>
        </w:rPr>
        <w:t> </w:t>
      </w:r>
      <w:r>
        <w:rPr>
          <w:sz w:val="20"/>
        </w:rPr>
        <w:t>which</w:t>
      </w:r>
      <w:r>
        <w:rPr>
          <w:spacing w:val="-7"/>
          <w:sz w:val="20"/>
        </w:rPr>
        <w:t> </w:t>
      </w:r>
      <w:r>
        <w:rPr>
          <w:sz w:val="20"/>
        </w:rPr>
        <w:t>includes</w:t>
      </w:r>
      <w:r>
        <w:rPr>
          <w:spacing w:val="-7"/>
          <w:sz w:val="20"/>
        </w:rPr>
        <w:t> </w:t>
      </w:r>
      <w:r>
        <w:rPr>
          <w:sz w:val="20"/>
        </w:rPr>
        <w:t>an</w:t>
      </w:r>
      <w:r>
        <w:rPr>
          <w:spacing w:val="-7"/>
          <w:sz w:val="20"/>
        </w:rPr>
        <w:t> </w:t>
      </w:r>
      <w:r>
        <w:rPr>
          <w:sz w:val="20"/>
        </w:rPr>
        <w:t>obligation</w:t>
      </w:r>
      <w:r>
        <w:rPr>
          <w:spacing w:val="-7"/>
          <w:sz w:val="20"/>
        </w:rPr>
        <w:t> </w:t>
      </w:r>
      <w:r>
        <w:rPr>
          <w:sz w:val="20"/>
        </w:rPr>
        <w:t>to</w:t>
      </w:r>
      <w:r>
        <w:rPr>
          <w:spacing w:val="-7"/>
          <w:sz w:val="20"/>
        </w:rPr>
        <w:t> </w:t>
      </w:r>
      <w:r>
        <w:rPr>
          <w:sz w:val="20"/>
        </w:rPr>
        <w:t>maintain</w:t>
      </w:r>
      <w:r>
        <w:rPr>
          <w:spacing w:val="-6"/>
          <w:sz w:val="20"/>
        </w:rPr>
        <w:t> </w:t>
      </w:r>
      <w:r>
        <w:rPr>
          <w:sz w:val="20"/>
        </w:rPr>
        <w:t>confidentiality.</w:t>
      </w:r>
      <w:r>
        <w:rPr>
          <w:position w:val="7"/>
          <w:sz w:val="11"/>
        </w:rPr>
        <w:t>23</w:t>
      </w:r>
    </w:p>
    <w:p>
      <w:pPr>
        <w:spacing w:line="317" w:lineRule="exact" w:before="162"/>
        <w:ind w:left="967" w:right="0" w:firstLine="0"/>
        <w:jc w:val="left"/>
        <w:rPr>
          <w:b/>
          <w:sz w:val="24"/>
        </w:rPr>
      </w:pPr>
      <w:r>
        <w:rPr>
          <w:b/>
          <w:sz w:val="24"/>
        </w:rPr>
        <w:t>A judge should make the final decision about the use of reasonable</w:t>
      </w:r>
    </w:p>
    <w:p>
      <w:pPr>
        <w:spacing w:line="317" w:lineRule="exact" w:before="0"/>
        <w:ind w:left="967" w:right="0" w:firstLine="0"/>
        <w:jc w:val="left"/>
        <w:rPr>
          <w:b/>
          <w:sz w:val="24"/>
        </w:rPr>
      </w:pPr>
      <w:r>
        <w:rPr>
          <w:b/>
          <w:sz w:val="24"/>
        </w:rPr>
        <w:t>adjustments</w:t>
      </w:r>
    </w:p>
    <w:p>
      <w:pPr>
        <w:pStyle w:val="ListParagraph"/>
        <w:numPr>
          <w:ilvl w:val="1"/>
          <w:numId w:val="12"/>
        </w:numPr>
        <w:tabs>
          <w:tab w:pos="1761" w:val="left" w:leader="none"/>
          <w:tab w:pos="1762" w:val="left" w:leader="none"/>
        </w:tabs>
        <w:spacing w:line="206" w:lineRule="auto" w:before="127" w:after="0"/>
        <w:ind w:left="1761" w:right="1612" w:hanging="794"/>
        <w:jc w:val="left"/>
        <w:rPr>
          <w:i/>
          <w:sz w:val="20"/>
        </w:rPr>
      </w:pPr>
      <w:r>
        <w:rPr>
          <w:sz w:val="20"/>
        </w:rPr>
        <w:t>As</w:t>
      </w:r>
      <w:r>
        <w:rPr>
          <w:spacing w:val="-9"/>
          <w:sz w:val="20"/>
        </w:rPr>
        <w:t> </w:t>
      </w:r>
      <w:r>
        <w:rPr>
          <w:sz w:val="20"/>
        </w:rPr>
        <w:t>the</w:t>
      </w:r>
      <w:r>
        <w:rPr>
          <w:spacing w:val="-9"/>
          <w:sz w:val="20"/>
        </w:rPr>
        <w:t> </w:t>
      </w:r>
      <w:r>
        <w:rPr>
          <w:sz w:val="20"/>
        </w:rPr>
        <w:t>Supreme</w:t>
      </w:r>
      <w:r>
        <w:rPr>
          <w:spacing w:val="-9"/>
          <w:sz w:val="20"/>
        </w:rPr>
        <w:t> </w:t>
      </w:r>
      <w:r>
        <w:rPr>
          <w:sz w:val="20"/>
        </w:rPr>
        <w:t>Court</w:t>
      </w:r>
      <w:r>
        <w:rPr>
          <w:spacing w:val="-9"/>
          <w:sz w:val="20"/>
        </w:rPr>
        <w:t> </w:t>
      </w:r>
      <w:r>
        <w:rPr>
          <w:sz w:val="20"/>
        </w:rPr>
        <w:t>noted</w:t>
      </w:r>
      <w:r>
        <w:rPr>
          <w:spacing w:val="-9"/>
          <w:sz w:val="20"/>
        </w:rPr>
        <w:t> </w:t>
      </w:r>
      <w:r>
        <w:rPr>
          <w:sz w:val="20"/>
        </w:rPr>
        <w:t>in</w:t>
      </w:r>
      <w:r>
        <w:rPr>
          <w:spacing w:val="-9"/>
          <w:sz w:val="20"/>
        </w:rPr>
        <w:t> </w:t>
      </w:r>
      <w:r>
        <w:rPr>
          <w:sz w:val="20"/>
        </w:rPr>
        <w:t>submissions,</w:t>
      </w:r>
      <w:r>
        <w:rPr>
          <w:spacing w:val="-8"/>
          <w:sz w:val="20"/>
        </w:rPr>
        <w:t> </w:t>
      </w:r>
      <w:r>
        <w:rPr>
          <w:sz w:val="20"/>
        </w:rPr>
        <w:t>trial</w:t>
      </w:r>
      <w:r>
        <w:rPr>
          <w:spacing w:val="-9"/>
          <w:sz w:val="20"/>
        </w:rPr>
        <w:t> </w:t>
      </w:r>
      <w:r>
        <w:rPr>
          <w:sz w:val="20"/>
        </w:rPr>
        <w:t>judges</w:t>
      </w:r>
      <w:r>
        <w:rPr>
          <w:spacing w:val="-9"/>
          <w:sz w:val="20"/>
        </w:rPr>
        <w:t> </w:t>
      </w:r>
      <w:r>
        <w:rPr>
          <w:spacing w:val="-4"/>
          <w:sz w:val="20"/>
        </w:rPr>
        <w:t>have</w:t>
      </w:r>
      <w:r>
        <w:rPr>
          <w:spacing w:val="-9"/>
          <w:sz w:val="20"/>
        </w:rPr>
        <w:t> </w:t>
      </w:r>
      <w:r>
        <w:rPr>
          <w:sz w:val="20"/>
        </w:rPr>
        <w:t>an</w:t>
      </w:r>
      <w:r>
        <w:rPr>
          <w:spacing w:val="-9"/>
          <w:sz w:val="20"/>
        </w:rPr>
        <w:t> </w:t>
      </w:r>
      <w:r>
        <w:rPr>
          <w:spacing w:val="-3"/>
          <w:sz w:val="20"/>
        </w:rPr>
        <w:t>‘overriding</w:t>
      </w:r>
      <w:r>
        <w:rPr>
          <w:spacing w:val="-9"/>
          <w:sz w:val="20"/>
        </w:rPr>
        <w:t> </w:t>
      </w:r>
      <w:r>
        <w:rPr>
          <w:sz w:val="20"/>
        </w:rPr>
        <w:t>duty</w:t>
      </w:r>
      <w:r>
        <w:rPr>
          <w:spacing w:val="-8"/>
          <w:sz w:val="20"/>
        </w:rPr>
        <w:t> </w:t>
      </w:r>
      <w:r>
        <w:rPr>
          <w:sz w:val="20"/>
        </w:rPr>
        <w:t>to ensure</w:t>
      </w:r>
      <w:r>
        <w:rPr>
          <w:spacing w:val="-8"/>
          <w:sz w:val="20"/>
        </w:rPr>
        <w:t> </w:t>
      </w:r>
      <w:r>
        <w:rPr>
          <w:sz w:val="20"/>
        </w:rPr>
        <w:t>a</w:t>
      </w:r>
      <w:r>
        <w:rPr>
          <w:spacing w:val="-8"/>
          <w:sz w:val="20"/>
        </w:rPr>
        <w:t> </w:t>
      </w:r>
      <w:r>
        <w:rPr>
          <w:sz w:val="20"/>
        </w:rPr>
        <w:t>fair</w:t>
      </w:r>
      <w:r>
        <w:rPr>
          <w:spacing w:val="-7"/>
          <w:sz w:val="20"/>
        </w:rPr>
        <w:t> </w:t>
      </w:r>
      <w:r>
        <w:rPr>
          <w:sz w:val="20"/>
        </w:rPr>
        <w:t>trial’.</w:t>
      </w:r>
      <w:r>
        <w:rPr>
          <w:position w:val="7"/>
          <w:sz w:val="11"/>
        </w:rPr>
        <w:t>24</w:t>
      </w:r>
      <w:r>
        <w:rPr>
          <w:spacing w:val="17"/>
          <w:position w:val="7"/>
          <w:sz w:val="11"/>
        </w:rPr>
        <w:t> </w:t>
      </w:r>
      <w:r>
        <w:rPr>
          <w:sz w:val="20"/>
        </w:rPr>
        <w:t>It</w:t>
      </w:r>
      <w:r>
        <w:rPr>
          <w:spacing w:val="-8"/>
          <w:sz w:val="20"/>
        </w:rPr>
        <w:t> </w:t>
      </w:r>
      <w:r>
        <w:rPr>
          <w:sz w:val="20"/>
        </w:rPr>
        <w:t>is</w:t>
      </w:r>
      <w:r>
        <w:rPr>
          <w:spacing w:val="-7"/>
          <w:sz w:val="20"/>
        </w:rPr>
        <w:t> </w:t>
      </w:r>
      <w:r>
        <w:rPr>
          <w:sz w:val="20"/>
        </w:rPr>
        <w:t>the</w:t>
      </w:r>
      <w:r>
        <w:rPr>
          <w:spacing w:val="-8"/>
          <w:sz w:val="20"/>
        </w:rPr>
        <w:t> </w:t>
      </w:r>
      <w:r>
        <w:rPr>
          <w:spacing w:val="-3"/>
          <w:sz w:val="20"/>
        </w:rPr>
        <w:t>role</w:t>
      </w:r>
      <w:r>
        <w:rPr>
          <w:spacing w:val="-7"/>
          <w:sz w:val="20"/>
        </w:rPr>
        <w:t> </w:t>
      </w:r>
      <w:r>
        <w:rPr>
          <w:sz w:val="20"/>
        </w:rPr>
        <w:t>of</w:t>
      </w:r>
      <w:r>
        <w:rPr>
          <w:spacing w:val="-8"/>
          <w:sz w:val="20"/>
        </w:rPr>
        <w:t> </w:t>
      </w:r>
      <w:r>
        <w:rPr>
          <w:sz w:val="20"/>
        </w:rPr>
        <w:t>the</w:t>
      </w:r>
      <w:r>
        <w:rPr>
          <w:spacing w:val="-8"/>
          <w:sz w:val="20"/>
        </w:rPr>
        <w:t> </w:t>
      </w:r>
      <w:r>
        <w:rPr>
          <w:sz w:val="20"/>
        </w:rPr>
        <w:t>trial</w:t>
      </w:r>
      <w:r>
        <w:rPr>
          <w:spacing w:val="-7"/>
          <w:sz w:val="20"/>
        </w:rPr>
        <w:t> </w:t>
      </w:r>
      <w:r>
        <w:rPr>
          <w:sz w:val="20"/>
        </w:rPr>
        <w:t>judge</w:t>
      </w:r>
      <w:r>
        <w:rPr>
          <w:spacing w:val="-8"/>
          <w:sz w:val="20"/>
        </w:rPr>
        <w:t> </w:t>
      </w:r>
      <w:r>
        <w:rPr>
          <w:sz w:val="20"/>
        </w:rPr>
        <w:t>to</w:t>
      </w:r>
      <w:r>
        <w:rPr>
          <w:spacing w:val="-7"/>
          <w:sz w:val="20"/>
        </w:rPr>
        <w:t> </w:t>
      </w:r>
      <w:r>
        <w:rPr>
          <w:sz w:val="20"/>
        </w:rPr>
        <w:t>ensure</w:t>
      </w:r>
      <w:r>
        <w:rPr>
          <w:spacing w:val="-8"/>
          <w:sz w:val="20"/>
        </w:rPr>
        <w:t> </w:t>
      </w:r>
      <w:r>
        <w:rPr>
          <w:sz w:val="20"/>
        </w:rPr>
        <w:t>that</w:t>
      </w:r>
      <w:r>
        <w:rPr>
          <w:spacing w:val="-8"/>
          <w:sz w:val="20"/>
        </w:rPr>
        <w:t> </w:t>
      </w:r>
      <w:r>
        <w:rPr>
          <w:sz w:val="20"/>
        </w:rPr>
        <w:t>every</w:t>
      </w:r>
      <w:r>
        <w:rPr>
          <w:spacing w:val="-7"/>
          <w:sz w:val="20"/>
        </w:rPr>
        <w:t> </w:t>
      </w:r>
      <w:r>
        <w:rPr>
          <w:sz w:val="20"/>
        </w:rPr>
        <w:t>aspect</w:t>
      </w:r>
      <w:r>
        <w:rPr>
          <w:spacing w:val="-8"/>
          <w:sz w:val="20"/>
        </w:rPr>
        <w:t> </w:t>
      </w:r>
      <w:r>
        <w:rPr>
          <w:sz w:val="20"/>
        </w:rPr>
        <w:t>of</w:t>
      </w:r>
      <w:r>
        <w:rPr>
          <w:spacing w:val="-7"/>
          <w:sz w:val="20"/>
        </w:rPr>
        <w:t> </w:t>
      </w:r>
      <w:r>
        <w:rPr>
          <w:sz w:val="20"/>
        </w:rPr>
        <w:t>the trial</w:t>
      </w:r>
      <w:r>
        <w:rPr>
          <w:spacing w:val="-9"/>
          <w:sz w:val="20"/>
        </w:rPr>
        <w:t> </w:t>
      </w:r>
      <w:r>
        <w:rPr>
          <w:sz w:val="20"/>
        </w:rPr>
        <w:t>is</w:t>
      </w:r>
      <w:r>
        <w:rPr>
          <w:spacing w:val="-8"/>
          <w:sz w:val="20"/>
        </w:rPr>
        <w:t> </w:t>
      </w:r>
      <w:r>
        <w:rPr>
          <w:sz w:val="20"/>
        </w:rPr>
        <w:t>conducted</w:t>
      </w:r>
      <w:r>
        <w:rPr>
          <w:spacing w:val="-8"/>
          <w:sz w:val="20"/>
        </w:rPr>
        <w:t> </w:t>
      </w:r>
      <w:r>
        <w:rPr>
          <w:spacing w:val="-3"/>
          <w:sz w:val="20"/>
        </w:rPr>
        <w:t>fairly</w:t>
      </w:r>
      <w:r>
        <w:rPr>
          <w:spacing w:val="-8"/>
          <w:sz w:val="20"/>
        </w:rPr>
        <w:t> </w:t>
      </w:r>
      <w:r>
        <w:rPr>
          <w:sz w:val="20"/>
        </w:rPr>
        <w:t>and</w:t>
      </w:r>
      <w:r>
        <w:rPr>
          <w:spacing w:val="-8"/>
          <w:sz w:val="20"/>
        </w:rPr>
        <w:t> </w:t>
      </w:r>
      <w:r>
        <w:rPr>
          <w:sz w:val="20"/>
        </w:rPr>
        <w:t>according</w:t>
      </w:r>
      <w:r>
        <w:rPr>
          <w:spacing w:val="-8"/>
          <w:sz w:val="20"/>
        </w:rPr>
        <w:t> </w:t>
      </w:r>
      <w:r>
        <w:rPr>
          <w:sz w:val="20"/>
        </w:rPr>
        <w:t>to</w:t>
      </w:r>
      <w:r>
        <w:rPr>
          <w:spacing w:val="-8"/>
          <w:sz w:val="20"/>
        </w:rPr>
        <w:t> </w:t>
      </w:r>
      <w:r>
        <w:rPr>
          <w:spacing w:val="-5"/>
          <w:sz w:val="20"/>
        </w:rPr>
        <w:t>law.</w:t>
      </w:r>
      <w:r>
        <w:rPr>
          <w:spacing w:val="-9"/>
          <w:sz w:val="20"/>
        </w:rPr>
        <w:t> </w:t>
      </w:r>
      <w:r>
        <w:rPr>
          <w:sz w:val="20"/>
        </w:rPr>
        <w:t>Section</w:t>
      </w:r>
      <w:r>
        <w:rPr>
          <w:spacing w:val="-8"/>
          <w:sz w:val="20"/>
        </w:rPr>
        <w:t> </w:t>
      </w:r>
      <w:r>
        <w:rPr>
          <w:sz w:val="20"/>
        </w:rPr>
        <w:t>24(1)</w:t>
      </w:r>
      <w:r>
        <w:rPr>
          <w:spacing w:val="-8"/>
          <w:sz w:val="20"/>
        </w:rPr>
        <w:t> </w:t>
      </w:r>
      <w:r>
        <w:rPr>
          <w:sz w:val="20"/>
        </w:rPr>
        <w:t>of</w:t>
      </w:r>
      <w:r>
        <w:rPr>
          <w:spacing w:val="-8"/>
          <w:sz w:val="20"/>
        </w:rPr>
        <w:t> </w:t>
      </w:r>
      <w:r>
        <w:rPr>
          <w:sz w:val="20"/>
        </w:rPr>
        <w:t>the</w:t>
      </w:r>
      <w:r>
        <w:rPr>
          <w:spacing w:val="-8"/>
          <w:sz w:val="20"/>
        </w:rPr>
        <w:t> </w:t>
      </w:r>
      <w:r>
        <w:rPr>
          <w:i/>
          <w:sz w:val="20"/>
        </w:rPr>
        <w:t>Charter</w:t>
      </w:r>
      <w:r>
        <w:rPr>
          <w:i/>
          <w:spacing w:val="-8"/>
          <w:sz w:val="20"/>
        </w:rPr>
        <w:t> </w:t>
      </w:r>
      <w:r>
        <w:rPr>
          <w:i/>
          <w:sz w:val="20"/>
        </w:rPr>
        <w:t>of</w:t>
      </w:r>
      <w:r>
        <w:rPr>
          <w:i/>
          <w:spacing w:val="-8"/>
          <w:sz w:val="20"/>
        </w:rPr>
        <w:t> </w:t>
      </w:r>
      <w:r>
        <w:rPr>
          <w:i/>
          <w:sz w:val="20"/>
        </w:rPr>
        <w:t>Human</w:t>
      </w:r>
    </w:p>
    <w:p>
      <w:pPr>
        <w:pStyle w:val="BodyText"/>
        <w:spacing w:line="206" w:lineRule="auto" w:before="4"/>
        <w:ind w:left="1761" w:right="1202"/>
        <w:rPr>
          <w:sz w:val="11"/>
        </w:rPr>
      </w:pPr>
      <w:r>
        <w:rPr>
          <w:i/>
        </w:rPr>
        <w:t>Rights</w:t>
      </w:r>
      <w:r>
        <w:rPr>
          <w:i/>
          <w:spacing w:val="-10"/>
        </w:rPr>
        <w:t> </w:t>
      </w:r>
      <w:r>
        <w:rPr>
          <w:i/>
        </w:rPr>
        <w:t>and</w:t>
      </w:r>
      <w:r>
        <w:rPr>
          <w:i/>
          <w:spacing w:val="-10"/>
        </w:rPr>
        <w:t> </w:t>
      </w:r>
      <w:r>
        <w:rPr>
          <w:i/>
        </w:rPr>
        <w:t>Responsibilities</w:t>
      </w:r>
      <w:r>
        <w:rPr>
          <w:i/>
          <w:spacing w:val="-10"/>
        </w:rPr>
        <w:t> </w:t>
      </w:r>
      <w:r>
        <w:rPr>
          <w:i/>
        </w:rPr>
        <w:t>Act</w:t>
      </w:r>
      <w:r>
        <w:rPr>
          <w:i/>
          <w:spacing w:val="-9"/>
        </w:rPr>
        <w:t> </w:t>
      </w:r>
      <w:r>
        <w:rPr/>
        <w:t>2006</w:t>
      </w:r>
      <w:r>
        <w:rPr>
          <w:spacing w:val="-10"/>
        </w:rPr>
        <w:t> </w:t>
      </w:r>
      <w:r>
        <w:rPr/>
        <w:t>(Vic)</w:t>
      </w:r>
      <w:r>
        <w:rPr>
          <w:spacing w:val="-10"/>
        </w:rPr>
        <w:t> </w:t>
      </w:r>
      <w:r>
        <w:rPr>
          <w:spacing w:val="-3"/>
        </w:rPr>
        <w:t>provides</w:t>
      </w:r>
      <w:r>
        <w:rPr>
          <w:spacing w:val="-10"/>
        </w:rPr>
        <w:t> </w:t>
      </w:r>
      <w:r>
        <w:rPr/>
        <w:t>that</w:t>
      </w:r>
      <w:r>
        <w:rPr>
          <w:spacing w:val="-10"/>
        </w:rPr>
        <w:t> </w:t>
      </w:r>
      <w:r>
        <w:rPr/>
        <w:t>a</w:t>
      </w:r>
      <w:r>
        <w:rPr>
          <w:spacing w:val="-10"/>
        </w:rPr>
        <w:t> </w:t>
      </w:r>
      <w:r>
        <w:rPr/>
        <w:t>person</w:t>
      </w:r>
      <w:r>
        <w:rPr>
          <w:spacing w:val="-10"/>
        </w:rPr>
        <w:t> </w:t>
      </w:r>
      <w:r>
        <w:rPr/>
        <w:t>charged</w:t>
      </w:r>
      <w:r>
        <w:rPr>
          <w:spacing w:val="-10"/>
        </w:rPr>
        <w:t> </w:t>
      </w:r>
      <w:r>
        <w:rPr/>
        <w:t>with</w:t>
      </w:r>
      <w:r>
        <w:rPr>
          <w:spacing w:val="-11"/>
        </w:rPr>
        <w:t> </w:t>
      </w:r>
      <w:r>
        <w:rPr/>
        <w:t>a</w:t>
      </w:r>
      <w:r>
        <w:rPr>
          <w:spacing w:val="-10"/>
        </w:rPr>
        <w:t> </w:t>
      </w:r>
      <w:r>
        <w:rPr/>
        <w:t>criminal offence or a party to a civil proceeding has the right to </w:t>
      </w:r>
      <w:r>
        <w:rPr>
          <w:spacing w:val="-4"/>
        </w:rPr>
        <w:t>have </w:t>
      </w:r>
      <w:r>
        <w:rPr/>
        <w:t>the </w:t>
      </w:r>
      <w:r>
        <w:rPr>
          <w:spacing w:val="-2"/>
        </w:rPr>
        <w:t>charge </w:t>
      </w:r>
      <w:r>
        <w:rPr/>
        <w:t>or proceeding decided </w:t>
      </w:r>
      <w:r>
        <w:rPr>
          <w:spacing w:val="-3"/>
        </w:rPr>
        <w:t>by </w:t>
      </w:r>
      <w:r>
        <w:rPr/>
        <w:t>a ‘competent, independent and impartial court or tribunal after a fair and public</w:t>
      </w:r>
      <w:r>
        <w:rPr>
          <w:spacing w:val="-5"/>
        </w:rPr>
        <w:t> </w:t>
      </w:r>
      <w:r>
        <w:rPr/>
        <w:t>hearing’.</w:t>
      </w:r>
      <w:r>
        <w:rPr>
          <w:position w:val="7"/>
          <w:sz w:val="11"/>
        </w:rPr>
        <w:t>25</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The Supreme Court has described section 24(1) as</w:t>
      </w:r>
      <w:r>
        <w:rPr>
          <w:spacing w:val="-35"/>
          <w:sz w:val="20"/>
        </w:rPr>
        <w:t> </w:t>
      </w:r>
      <w:r>
        <w:rPr>
          <w:spacing w:val="-3"/>
          <w:sz w:val="20"/>
        </w:rPr>
        <w:t>follows:</w:t>
      </w:r>
    </w:p>
    <w:p>
      <w:pPr>
        <w:spacing w:line="208" w:lineRule="auto" w:before="113"/>
        <w:ind w:left="2157" w:right="1569" w:firstLine="0"/>
        <w:jc w:val="both"/>
        <w:rPr>
          <w:sz w:val="11"/>
        </w:rPr>
      </w:pPr>
      <w:r>
        <w:rPr>
          <w:sz w:val="19"/>
        </w:rPr>
        <w:t>The right to a fair hearing is concerned with the procedural fairness of a decision. What fairness requires will depend on all the circumstances of the case. </w:t>
      </w:r>
      <w:r>
        <w:rPr>
          <w:spacing w:val="-3"/>
          <w:sz w:val="19"/>
        </w:rPr>
        <w:t>Broadly, </w:t>
      </w:r>
      <w:r>
        <w:rPr>
          <w:sz w:val="19"/>
        </w:rPr>
        <w:t>it ensures a party has a reasonable opportunity to put their case in conditions that do</w:t>
      </w:r>
      <w:r>
        <w:rPr>
          <w:spacing w:val="-4"/>
          <w:sz w:val="19"/>
        </w:rPr>
        <w:t> </w:t>
      </w:r>
      <w:r>
        <w:rPr>
          <w:sz w:val="19"/>
        </w:rPr>
        <w:t>not</w:t>
      </w:r>
      <w:r>
        <w:rPr>
          <w:spacing w:val="-4"/>
          <w:sz w:val="19"/>
        </w:rPr>
        <w:t> </w:t>
      </w:r>
      <w:r>
        <w:rPr>
          <w:sz w:val="19"/>
        </w:rPr>
        <w:t>place</w:t>
      </w:r>
      <w:r>
        <w:rPr>
          <w:spacing w:val="-4"/>
          <w:sz w:val="19"/>
        </w:rPr>
        <w:t> </w:t>
      </w:r>
      <w:r>
        <w:rPr>
          <w:sz w:val="19"/>
        </w:rPr>
        <w:t>them</w:t>
      </w:r>
      <w:r>
        <w:rPr>
          <w:spacing w:val="-4"/>
          <w:sz w:val="19"/>
        </w:rPr>
        <w:t> </w:t>
      </w:r>
      <w:r>
        <w:rPr>
          <w:sz w:val="19"/>
        </w:rPr>
        <w:t>at</w:t>
      </w:r>
      <w:r>
        <w:rPr>
          <w:spacing w:val="-3"/>
          <w:sz w:val="19"/>
        </w:rPr>
        <w:t> </w:t>
      </w:r>
      <w:r>
        <w:rPr>
          <w:sz w:val="19"/>
        </w:rPr>
        <w:t>a</w:t>
      </w:r>
      <w:r>
        <w:rPr>
          <w:spacing w:val="-4"/>
          <w:sz w:val="19"/>
        </w:rPr>
        <w:t> </w:t>
      </w:r>
      <w:r>
        <w:rPr>
          <w:sz w:val="19"/>
        </w:rPr>
        <w:t>substantial</w:t>
      </w:r>
      <w:r>
        <w:rPr>
          <w:spacing w:val="-4"/>
          <w:sz w:val="19"/>
        </w:rPr>
        <w:t> </w:t>
      </w:r>
      <w:r>
        <w:rPr>
          <w:sz w:val="19"/>
        </w:rPr>
        <w:t>disadvantage</w:t>
      </w:r>
      <w:r>
        <w:rPr>
          <w:spacing w:val="-4"/>
          <w:sz w:val="19"/>
        </w:rPr>
        <w:t> </w:t>
      </w:r>
      <w:r>
        <w:rPr>
          <w:sz w:val="19"/>
        </w:rPr>
        <w:t>compared</w:t>
      </w:r>
      <w:r>
        <w:rPr>
          <w:spacing w:val="-4"/>
          <w:sz w:val="19"/>
        </w:rPr>
        <w:t> </w:t>
      </w:r>
      <w:r>
        <w:rPr>
          <w:sz w:val="19"/>
        </w:rPr>
        <w:t>to</w:t>
      </w:r>
      <w:r>
        <w:rPr>
          <w:spacing w:val="-3"/>
          <w:sz w:val="19"/>
        </w:rPr>
        <w:t> </w:t>
      </w:r>
      <w:r>
        <w:rPr>
          <w:sz w:val="19"/>
        </w:rPr>
        <w:t>their</w:t>
      </w:r>
      <w:r>
        <w:rPr>
          <w:spacing w:val="-4"/>
          <w:sz w:val="19"/>
        </w:rPr>
        <w:t> </w:t>
      </w:r>
      <w:r>
        <w:rPr>
          <w:sz w:val="19"/>
        </w:rPr>
        <w:t>opponent.</w:t>
      </w:r>
      <w:r>
        <w:rPr>
          <w:spacing w:val="-4"/>
          <w:sz w:val="19"/>
        </w:rPr>
        <w:t> </w:t>
      </w:r>
      <w:r>
        <w:rPr>
          <w:sz w:val="19"/>
        </w:rPr>
        <w:t>This principle is commonly known as the principle of equality of</w:t>
      </w:r>
      <w:r>
        <w:rPr>
          <w:spacing w:val="-24"/>
          <w:sz w:val="19"/>
        </w:rPr>
        <w:t> </w:t>
      </w:r>
      <w:r>
        <w:rPr>
          <w:sz w:val="19"/>
        </w:rPr>
        <w:t>arms.</w:t>
      </w:r>
      <w:r>
        <w:rPr>
          <w:position w:val="6"/>
          <w:sz w:val="11"/>
        </w:rPr>
        <w:t>26</w:t>
      </w:r>
    </w:p>
    <w:p>
      <w:pPr>
        <w:pStyle w:val="ListParagraph"/>
        <w:numPr>
          <w:ilvl w:val="1"/>
          <w:numId w:val="12"/>
        </w:numPr>
        <w:tabs>
          <w:tab w:pos="1761" w:val="left" w:leader="none"/>
          <w:tab w:pos="1762" w:val="left" w:leader="none"/>
        </w:tabs>
        <w:spacing w:line="206" w:lineRule="auto" w:before="125" w:after="0"/>
        <w:ind w:left="1761" w:right="1212" w:hanging="794"/>
        <w:jc w:val="left"/>
        <w:rPr>
          <w:sz w:val="20"/>
        </w:rPr>
      </w:pPr>
      <w:r>
        <w:rPr>
          <w:sz w:val="20"/>
        </w:rPr>
        <w:t>Most</w:t>
      </w:r>
      <w:r>
        <w:rPr>
          <w:spacing w:val="-10"/>
          <w:sz w:val="20"/>
        </w:rPr>
        <w:t> </w:t>
      </w:r>
      <w:r>
        <w:rPr>
          <w:spacing w:val="-3"/>
          <w:sz w:val="20"/>
        </w:rPr>
        <w:t>submissions</w:t>
      </w:r>
      <w:r>
        <w:rPr>
          <w:spacing w:val="-9"/>
          <w:sz w:val="20"/>
        </w:rPr>
        <w:t> </w:t>
      </w:r>
      <w:r>
        <w:rPr>
          <w:spacing w:val="-3"/>
          <w:sz w:val="20"/>
        </w:rPr>
        <w:t>supported</w:t>
      </w:r>
      <w:r>
        <w:rPr>
          <w:spacing w:val="-9"/>
          <w:sz w:val="20"/>
        </w:rPr>
        <w:t> </w:t>
      </w:r>
      <w:r>
        <w:rPr>
          <w:sz w:val="20"/>
        </w:rPr>
        <w:t>the</w:t>
      </w:r>
      <w:r>
        <w:rPr>
          <w:spacing w:val="-9"/>
          <w:sz w:val="20"/>
        </w:rPr>
        <w:t> </w:t>
      </w:r>
      <w:r>
        <w:rPr>
          <w:sz w:val="20"/>
        </w:rPr>
        <w:t>idea</w:t>
      </w:r>
      <w:r>
        <w:rPr>
          <w:spacing w:val="-10"/>
          <w:sz w:val="20"/>
        </w:rPr>
        <w:t> </w:t>
      </w:r>
      <w:r>
        <w:rPr>
          <w:spacing w:val="-3"/>
          <w:sz w:val="20"/>
        </w:rPr>
        <w:t>that</w:t>
      </w:r>
      <w:r>
        <w:rPr>
          <w:spacing w:val="-9"/>
          <w:sz w:val="20"/>
        </w:rPr>
        <w:t> </w:t>
      </w:r>
      <w:r>
        <w:rPr>
          <w:sz w:val="20"/>
        </w:rPr>
        <w:t>the</w:t>
      </w:r>
      <w:r>
        <w:rPr>
          <w:spacing w:val="-9"/>
          <w:sz w:val="20"/>
        </w:rPr>
        <w:t> </w:t>
      </w:r>
      <w:r>
        <w:rPr>
          <w:spacing w:val="-3"/>
          <w:sz w:val="20"/>
        </w:rPr>
        <w:t>judge</w:t>
      </w:r>
      <w:r>
        <w:rPr>
          <w:spacing w:val="-9"/>
          <w:sz w:val="20"/>
        </w:rPr>
        <w:t> </w:t>
      </w:r>
      <w:r>
        <w:rPr>
          <w:spacing w:val="-3"/>
          <w:sz w:val="20"/>
        </w:rPr>
        <w:t>should</w:t>
      </w:r>
      <w:r>
        <w:rPr>
          <w:spacing w:val="-10"/>
          <w:sz w:val="20"/>
        </w:rPr>
        <w:t> </w:t>
      </w:r>
      <w:r>
        <w:rPr>
          <w:spacing w:val="-4"/>
          <w:sz w:val="20"/>
        </w:rPr>
        <w:t>make</w:t>
      </w:r>
      <w:r>
        <w:rPr>
          <w:spacing w:val="-9"/>
          <w:sz w:val="20"/>
        </w:rPr>
        <w:t> </w:t>
      </w:r>
      <w:r>
        <w:rPr>
          <w:sz w:val="20"/>
        </w:rPr>
        <w:t>the</w:t>
      </w:r>
      <w:r>
        <w:rPr>
          <w:spacing w:val="-9"/>
          <w:sz w:val="20"/>
        </w:rPr>
        <w:t> </w:t>
      </w:r>
      <w:r>
        <w:rPr>
          <w:sz w:val="20"/>
        </w:rPr>
        <w:t>final</w:t>
      </w:r>
      <w:r>
        <w:rPr>
          <w:spacing w:val="-9"/>
          <w:sz w:val="20"/>
        </w:rPr>
        <w:t> </w:t>
      </w:r>
      <w:r>
        <w:rPr>
          <w:spacing w:val="-4"/>
          <w:sz w:val="20"/>
        </w:rPr>
        <w:t>determination </w:t>
      </w:r>
      <w:r>
        <w:rPr>
          <w:spacing w:val="-3"/>
          <w:sz w:val="20"/>
        </w:rPr>
        <w:t>about whether </w:t>
      </w:r>
      <w:r>
        <w:rPr>
          <w:sz w:val="20"/>
        </w:rPr>
        <w:t>a </w:t>
      </w:r>
      <w:r>
        <w:rPr>
          <w:spacing w:val="-3"/>
          <w:sz w:val="20"/>
        </w:rPr>
        <w:t>person </w:t>
      </w:r>
      <w:r>
        <w:rPr>
          <w:sz w:val="20"/>
        </w:rPr>
        <w:t>can serve on a jury </w:t>
      </w:r>
      <w:r>
        <w:rPr>
          <w:spacing w:val="-3"/>
          <w:sz w:val="20"/>
        </w:rPr>
        <w:t>with </w:t>
      </w:r>
      <w:r>
        <w:rPr>
          <w:spacing w:val="-4"/>
          <w:sz w:val="20"/>
        </w:rPr>
        <w:t>reasonable </w:t>
      </w:r>
      <w:r>
        <w:rPr>
          <w:sz w:val="20"/>
        </w:rPr>
        <w:t>adjustments.</w:t>
      </w:r>
      <w:r>
        <w:rPr>
          <w:position w:val="7"/>
          <w:sz w:val="11"/>
        </w:rPr>
        <w:t>27 </w:t>
      </w:r>
      <w:r>
        <w:rPr>
          <w:spacing w:val="-3"/>
          <w:sz w:val="20"/>
        </w:rPr>
        <w:t>This </w:t>
      </w:r>
      <w:r>
        <w:rPr>
          <w:sz w:val="20"/>
        </w:rPr>
        <w:t>is the </w:t>
      </w:r>
      <w:r>
        <w:rPr>
          <w:spacing w:val="-4"/>
          <w:sz w:val="20"/>
        </w:rPr>
        <w:t>approach</w:t>
      </w:r>
      <w:r>
        <w:rPr>
          <w:spacing w:val="-8"/>
          <w:sz w:val="20"/>
        </w:rPr>
        <w:t> </w:t>
      </w:r>
      <w:r>
        <w:rPr>
          <w:sz w:val="20"/>
        </w:rPr>
        <w:t>in</w:t>
      </w:r>
      <w:r>
        <w:rPr>
          <w:spacing w:val="-7"/>
          <w:sz w:val="20"/>
        </w:rPr>
        <w:t> </w:t>
      </w:r>
      <w:r>
        <w:rPr>
          <w:sz w:val="20"/>
        </w:rPr>
        <w:t>the</w:t>
      </w:r>
      <w:r>
        <w:rPr>
          <w:spacing w:val="-7"/>
          <w:sz w:val="20"/>
        </w:rPr>
        <w:t> </w:t>
      </w:r>
      <w:r>
        <w:rPr>
          <w:spacing w:val="-5"/>
          <w:sz w:val="20"/>
        </w:rPr>
        <w:t>ACT</w:t>
      </w:r>
      <w:r>
        <w:rPr>
          <w:spacing w:val="-7"/>
          <w:sz w:val="20"/>
        </w:rPr>
        <w:t> </w:t>
      </w:r>
      <w:r>
        <w:rPr>
          <w:sz w:val="20"/>
        </w:rPr>
        <w:t>and</w:t>
      </w:r>
      <w:r>
        <w:rPr>
          <w:spacing w:val="-7"/>
          <w:sz w:val="20"/>
        </w:rPr>
        <w:t> </w:t>
      </w:r>
      <w:r>
        <w:rPr>
          <w:sz w:val="20"/>
        </w:rPr>
        <w:t>in</w:t>
      </w:r>
      <w:r>
        <w:rPr>
          <w:spacing w:val="-7"/>
          <w:sz w:val="20"/>
        </w:rPr>
        <w:t> </w:t>
      </w:r>
      <w:r>
        <w:rPr>
          <w:spacing w:val="-3"/>
          <w:sz w:val="20"/>
        </w:rPr>
        <w:t>England</w:t>
      </w:r>
      <w:r>
        <w:rPr>
          <w:spacing w:val="-7"/>
          <w:sz w:val="20"/>
        </w:rPr>
        <w:t> </w:t>
      </w:r>
      <w:r>
        <w:rPr>
          <w:sz w:val="20"/>
        </w:rPr>
        <w:t>and</w:t>
      </w:r>
      <w:r>
        <w:rPr>
          <w:spacing w:val="-8"/>
          <w:sz w:val="20"/>
        </w:rPr>
        <w:t> </w:t>
      </w:r>
      <w:r>
        <w:rPr>
          <w:spacing w:val="-4"/>
          <w:sz w:val="20"/>
        </w:rPr>
        <w:t>Wales.</w:t>
      </w:r>
    </w:p>
    <w:p>
      <w:pPr>
        <w:pStyle w:val="ListParagraph"/>
        <w:numPr>
          <w:ilvl w:val="1"/>
          <w:numId w:val="12"/>
        </w:numPr>
        <w:tabs>
          <w:tab w:pos="1761" w:val="left" w:leader="none"/>
          <w:tab w:pos="1762" w:val="left" w:leader="none"/>
        </w:tabs>
        <w:spacing w:line="206" w:lineRule="auto" w:before="124" w:after="0"/>
        <w:ind w:left="1761" w:right="1440" w:hanging="794"/>
        <w:jc w:val="left"/>
        <w:rPr>
          <w:sz w:val="20"/>
        </w:rPr>
      </w:pPr>
      <w:r>
        <w:rPr>
          <w:spacing w:val="-5"/>
          <w:sz w:val="20"/>
        </w:rPr>
        <w:t>However,</w:t>
      </w:r>
      <w:r>
        <w:rPr>
          <w:spacing w:val="-14"/>
          <w:sz w:val="20"/>
        </w:rPr>
        <w:t> </w:t>
      </w:r>
      <w:r>
        <w:rPr>
          <w:sz w:val="20"/>
        </w:rPr>
        <w:t>Brent</w:t>
      </w:r>
      <w:r>
        <w:rPr>
          <w:spacing w:val="-14"/>
          <w:sz w:val="20"/>
        </w:rPr>
        <w:t> </w:t>
      </w:r>
      <w:r>
        <w:rPr>
          <w:sz w:val="20"/>
        </w:rPr>
        <w:t>Philips,</w:t>
      </w:r>
      <w:r>
        <w:rPr>
          <w:spacing w:val="-14"/>
          <w:sz w:val="20"/>
        </w:rPr>
        <w:t> </w:t>
      </w:r>
      <w:r>
        <w:rPr>
          <w:sz w:val="20"/>
        </w:rPr>
        <w:t>Vision</w:t>
      </w:r>
      <w:r>
        <w:rPr>
          <w:spacing w:val="-14"/>
          <w:sz w:val="20"/>
        </w:rPr>
        <w:t> </w:t>
      </w:r>
      <w:r>
        <w:rPr>
          <w:sz w:val="20"/>
        </w:rPr>
        <w:t>Australia,</w:t>
      </w:r>
      <w:r>
        <w:rPr>
          <w:spacing w:val="-14"/>
          <w:sz w:val="20"/>
        </w:rPr>
        <w:t> </w:t>
      </w:r>
      <w:r>
        <w:rPr>
          <w:sz w:val="20"/>
        </w:rPr>
        <w:t>Expression</w:t>
      </w:r>
      <w:r>
        <w:rPr>
          <w:spacing w:val="-14"/>
          <w:sz w:val="20"/>
        </w:rPr>
        <w:t> </w:t>
      </w:r>
      <w:r>
        <w:rPr>
          <w:sz w:val="20"/>
        </w:rPr>
        <w:t>Australia</w:t>
      </w:r>
      <w:r>
        <w:rPr>
          <w:spacing w:val="-14"/>
          <w:sz w:val="20"/>
        </w:rPr>
        <w:t> </w:t>
      </w:r>
      <w:r>
        <w:rPr>
          <w:sz w:val="20"/>
        </w:rPr>
        <w:t>and</w:t>
      </w:r>
      <w:r>
        <w:rPr>
          <w:spacing w:val="-13"/>
          <w:sz w:val="20"/>
        </w:rPr>
        <w:t> </w:t>
      </w:r>
      <w:r>
        <w:rPr>
          <w:sz w:val="20"/>
        </w:rPr>
        <w:t>Madison</w:t>
      </w:r>
      <w:r>
        <w:rPr>
          <w:spacing w:val="-14"/>
          <w:sz w:val="20"/>
        </w:rPr>
        <w:t> </w:t>
      </w:r>
      <w:r>
        <w:rPr>
          <w:sz w:val="20"/>
        </w:rPr>
        <w:t>noted</w:t>
      </w:r>
      <w:r>
        <w:rPr>
          <w:spacing w:val="-14"/>
          <w:sz w:val="20"/>
        </w:rPr>
        <w:t> </w:t>
      </w:r>
      <w:r>
        <w:rPr>
          <w:sz w:val="20"/>
        </w:rPr>
        <w:t>their concerns that judges </w:t>
      </w:r>
      <w:r>
        <w:rPr>
          <w:spacing w:val="-3"/>
          <w:sz w:val="20"/>
        </w:rPr>
        <w:t>may </w:t>
      </w:r>
      <w:r>
        <w:rPr>
          <w:spacing w:val="-4"/>
          <w:sz w:val="20"/>
        </w:rPr>
        <w:t>have </w:t>
      </w:r>
      <w:r>
        <w:rPr>
          <w:sz w:val="20"/>
        </w:rPr>
        <w:t>negative </w:t>
      </w:r>
      <w:r>
        <w:rPr>
          <w:spacing w:val="-3"/>
          <w:sz w:val="20"/>
        </w:rPr>
        <w:t>views </w:t>
      </w:r>
      <w:r>
        <w:rPr>
          <w:sz w:val="20"/>
        </w:rPr>
        <w:t>of people in the subject groups.</w:t>
      </w:r>
      <w:r>
        <w:rPr>
          <w:position w:val="7"/>
          <w:sz w:val="11"/>
        </w:rPr>
        <w:t>28</w:t>
      </w:r>
      <w:r>
        <w:rPr>
          <w:sz w:val="11"/>
        </w:rPr>
        <w:t> </w:t>
      </w:r>
      <w:r>
        <w:rPr>
          <w:sz w:val="20"/>
        </w:rPr>
        <w:t>Expression Australia</w:t>
      </w:r>
      <w:r>
        <w:rPr>
          <w:spacing w:val="-9"/>
          <w:sz w:val="20"/>
        </w:rPr>
        <w:t> </w:t>
      </w:r>
      <w:r>
        <w:rPr>
          <w:sz w:val="20"/>
        </w:rPr>
        <w:t>stated:</w:t>
      </w:r>
    </w:p>
    <w:p>
      <w:pPr>
        <w:spacing w:line="208" w:lineRule="auto" w:before="121"/>
        <w:ind w:left="2157" w:right="1139" w:firstLine="0"/>
        <w:jc w:val="left"/>
        <w:rPr>
          <w:sz w:val="11"/>
        </w:rPr>
      </w:pPr>
      <w:r>
        <w:rPr>
          <w:sz w:val="19"/>
        </w:rPr>
        <w:t>While it is good optics to mandate in legislation that deaf people should be allowed to participate in juries, in the end it comes down to a judge’s understanding/evaluation of whether the person can take part or not. It will be important that judges have a good understanding of what supports are available to allow a deaf person to serve, before the judge decides whether or not to exclude them from jury service.</w:t>
      </w:r>
      <w:r>
        <w:rPr>
          <w:position w:val="6"/>
          <w:sz w:val="11"/>
        </w:rPr>
        <w:t>29</w:t>
      </w:r>
    </w:p>
    <w:p>
      <w:pPr>
        <w:pStyle w:val="ListParagraph"/>
        <w:numPr>
          <w:ilvl w:val="1"/>
          <w:numId w:val="12"/>
        </w:numPr>
        <w:tabs>
          <w:tab w:pos="1761" w:val="left" w:leader="none"/>
          <w:tab w:pos="1762" w:val="left" w:leader="none"/>
        </w:tabs>
        <w:spacing w:line="206" w:lineRule="auto" w:before="125" w:after="0"/>
        <w:ind w:left="1761" w:right="1299" w:hanging="794"/>
        <w:jc w:val="left"/>
        <w:rPr>
          <w:sz w:val="11"/>
        </w:rPr>
      </w:pPr>
      <w:r>
        <w:rPr>
          <w:sz w:val="20"/>
        </w:rPr>
        <w:t>The</w:t>
      </w:r>
      <w:r>
        <w:rPr>
          <w:spacing w:val="-11"/>
          <w:sz w:val="20"/>
        </w:rPr>
        <w:t> </w:t>
      </w:r>
      <w:r>
        <w:rPr>
          <w:sz w:val="20"/>
        </w:rPr>
        <w:t>submission</w:t>
      </w:r>
      <w:r>
        <w:rPr>
          <w:spacing w:val="-10"/>
          <w:sz w:val="20"/>
        </w:rPr>
        <w:t> </w:t>
      </w:r>
      <w:r>
        <w:rPr>
          <w:spacing w:val="-3"/>
          <w:sz w:val="20"/>
        </w:rPr>
        <w:t>from</w:t>
      </w:r>
      <w:r>
        <w:rPr>
          <w:spacing w:val="-10"/>
          <w:sz w:val="20"/>
        </w:rPr>
        <w:t> </w:t>
      </w:r>
      <w:r>
        <w:rPr>
          <w:sz w:val="20"/>
        </w:rPr>
        <w:t>Madison</w:t>
      </w:r>
      <w:r>
        <w:rPr>
          <w:spacing w:val="-11"/>
          <w:sz w:val="20"/>
        </w:rPr>
        <w:t> </w:t>
      </w:r>
      <w:r>
        <w:rPr>
          <w:sz w:val="20"/>
        </w:rPr>
        <w:t>noted</w:t>
      </w:r>
      <w:r>
        <w:rPr>
          <w:spacing w:val="-10"/>
          <w:sz w:val="20"/>
        </w:rPr>
        <w:t> </w:t>
      </w:r>
      <w:r>
        <w:rPr>
          <w:sz w:val="20"/>
        </w:rPr>
        <w:t>that</w:t>
      </w:r>
      <w:r>
        <w:rPr>
          <w:spacing w:val="-10"/>
          <w:sz w:val="20"/>
        </w:rPr>
        <w:t> </w:t>
      </w:r>
      <w:r>
        <w:rPr>
          <w:sz w:val="20"/>
        </w:rPr>
        <w:t>a</w:t>
      </w:r>
      <w:r>
        <w:rPr>
          <w:spacing w:val="-11"/>
          <w:sz w:val="20"/>
        </w:rPr>
        <w:t> </w:t>
      </w:r>
      <w:r>
        <w:rPr>
          <w:sz w:val="20"/>
        </w:rPr>
        <w:t>‘</w:t>
      </w:r>
      <w:r>
        <w:rPr>
          <w:spacing w:val="-34"/>
          <w:sz w:val="20"/>
        </w:rPr>
        <w:t> </w:t>
      </w:r>
      <w:r>
        <w:rPr>
          <w:sz w:val="20"/>
        </w:rPr>
        <w:t>judge</w:t>
      </w:r>
      <w:r>
        <w:rPr>
          <w:spacing w:val="-10"/>
          <w:sz w:val="20"/>
        </w:rPr>
        <w:t> </w:t>
      </w:r>
      <w:r>
        <w:rPr>
          <w:sz w:val="20"/>
        </w:rPr>
        <w:t>could</w:t>
      </w:r>
      <w:r>
        <w:rPr>
          <w:spacing w:val="-10"/>
          <w:sz w:val="20"/>
        </w:rPr>
        <w:t> </w:t>
      </w:r>
      <w:r>
        <w:rPr>
          <w:sz w:val="20"/>
        </w:rPr>
        <w:t>be</w:t>
      </w:r>
      <w:r>
        <w:rPr>
          <w:spacing w:val="-11"/>
          <w:sz w:val="20"/>
        </w:rPr>
        <w:t> </w:t>
      </w:r>
      <w:r>
        <w:rPr>
          <w:sz w:val="20"/>
        </w:rPr>
        <w:t>old</w:t>
      </w:r>
      <w:r>
        <w:rPr>
          <w:spacing w:val="-10"/>
          <w:sz w:val="20"/>
        </w:rPr>
        <w:t> </w:t>
      </w:r>
      <w:r>
        <w:rPr>
          <w:sz w:val="20"/>
        </w:rPr>
        <w:t>fashioned</w:t>
      </w:r>
      <w:r>
        <w:rPr>
          <w:spacing w:val="-10"/>
          <w:sz w:val="20"/>
        </w:rPr>
        <w:t> </w:t>
      </w:r>
      <w:r>
        <w:rPr>
          <w:sz w:val="20"/>
        </w:rPr>
        <w:t>or</w:t>
      </w:r>
      <w:r>
        <w:rPr>
          <w:spacing w:val="-11"/>
          <w:sz w:val="20"/>
        </w:rPr>
        <w:t> </w:t>
      </w:r>
      <w:r>
        <w:rPr>
          <w:sz w:val="20"/>
        </w:rPr>
        <w:t>traditional and </w:t>
      </w:r>
      <w:r>
        <w:rPr>
          <w:spacing w:val="-3"/>
          <w:sz w:val="20"/>
        </w:rPr>
        <w:t>may </w:t>
      </w:r>
      <w:r>
        <w:rPr>
          <w:sz w:val="20"/>
        </w:rPr>
        <w:t>be biased which could </w:t>
      </w:r>
      <w:r>
        <w:rPr>
          <w:spacing w:val="-3"/>
          <w:sz w:val="20"/>
        </w:rPr>
        <w:t>negatively </w:t>
      </w:r>
      <w:r>
        <w:rPr>
          <w:sz w:val="20"/>
        </w:rPr>
        <w:t>affect </w:t>
      </w:r>
      <w:r>
        <w:rPr>
          <w:spacing w:val="-3"/>
          <w:sz w:val="20"/>
        </w:rPr>
        <w:t>how </w:t>
      </w:r>
      <w:r>
        <w:rPr>
          <w:sz w:val="20"/>
        </w:rPr>
        <w:t>they see the prospective </w:t>
      </w:r>
      <w:r>
        <w:rPr>
          <w:spacing w:val="-4"/>
          <w:sz w:val="20"/>
        </w:rPr>
        <w:t>juror’. </w:t>
      </w:r>
      <w:r>
        <w:rPr>
          <w:sz w:val="20"/>
        </w:rPr>
        <w:t>She suggested that the sheriff </w:t>
      </w:r>
      <w:r>
        <w:rPr>
          <w:spacing w:val="-3"/>
          <w:sz w:val="20"/>
        </w:rPr>
        <w:t>would ‘act </w:t>
      </w:r>
      <w:r>
        <w:rPr>
          <w:sz w:val="20"/>
        </w:rPr>
        <w:t>more impartially’ and </w:t>
      </w:r>
      <w:r>
        <w:rPr>
          <w:spacing w:val="-3"/>
          <w:sz w:val="20"/>
        </w:rPr>
        <w:t>would </w:t>
      </w:r>
      <w:r>
        <w:rPr>
          <w:sz w:val="20"/>
        </w:rPr>
        <w:t>listen to the </w:t>
      </w:r>
      <w:r>
        <w:rPr>
          <w:spacing w:val="-3"/>
          <w:sz w:val="20"/>
        </w:rPr>
        <w:t>views </w:t>
      </w:r>
      <w:r>
        <w:rPr>
          <w:sz w:val="20"/>
        </w:rPr>
        <w:t>of the prospective juror in a </w:t>
      </w:r>
      <w:r>
        <w:rPr>
          <w:spacing w:val="-4"/>
          <w:sz w:val="20"/>
        </w:rPr>
        <w:t>way </w:t>
      </w:r>
      <w:r>
        <w:rPr>
          <w:sz w:val="20"/>
        </w:rPr>
        <w:t>that was less intimidating than a judge so that they felt that they </w:t>
      </w:r>
      <w:r>
        <w:rPr>
          <w:spacing w:val="-4"/>
          <w:sz w:val="20"/>
        </w:rPr>
        <w:t>were </w:t>
      </w:r>
      <w:r>
        <w:rPr>
          <w:sz w:val="20"/>
        </w:rPr>
        <w:t>being taken</w:t>
      </w:r>
      <w:r>
        <w:rPr>
          <w:spacing w:val="-27"/>
          <w:sz w:val="20"/>
        </w:rPr>
        <w:t> </w:t>
      </w:r>
      <w:r>
        <w:rPr>
          <w:spacing w:val="-3"/>
          <w:sz w:val="20"/>
        </w:rPr>
        <w:t>seriously.</w:t>
      </w:r>
      <w:r>
        <w:rPr>
          <w:spacing w:val="-3"/>
          <w:position w:val="7"/>
          <w:sz w:val="11"/>
        </w:rPr>
        <w:t>30</w:t>
      </w:r>
    </w:p>
    <w:p>
      <w:pPr>
        <w:pStyle w:val="ListParagraph"/>
        <w:numPr>
          <w:ilvl w:val="1"/>
          <w:numId w:val="12"/>
        </w:numPr>
        <w:tabs>
          <w:tab w:pos="1761" w:val="left" w:leader="none"/>
          <w:tab w:pos="1762" w:val="left" w:leader="none"/>
        </w:tabs>
        <w:spacing w:line="206" w:lineRule="auto" w:before="127" w:after="0"/>
        <w:ind w:left="1761" w:right="1728" w:hanging="794"/>
        <w:jc w:val="left"/>
        <w:rPr>
          <w:sz w:val="20"/>
        </w:rPr>
      </w:pPr>
      <w:r>
        <w:rPr>
          <w:sz w:val="20"/>
        </w:rPr>
        <w:t>Vision Australia stressed the importance of professional disability </w:t>
      </w:r>
      <w:r>
        <w:rPr>
          <w:spacing w:val="-3"/>
          <w:sz w:val="20"/>
        </w:rPr>
        <w:t>awareness </w:t>
      </w:r>
      <w:r>
        <w:rPr>
          <w:sz w:val="20"/>
        </w:rPr>
        <w:t>training to counter ‘poor decisions based on a lack of understanding about the benefits</w:t>
      </w:r>
      <w:r>
        <w:rPr>
          <w:spacing w:val="-9"/>
          <w:sz w:val="20"/>
        </w:rPr>
        <w:t> </w:t>
      </w:r>
      <w:r>
        <w:rPr>
          <w:sz w:val="20"/>
        </w:rPr>
        <w:t>of</w:t>
      </w:r>
      <w:r>
        <w:rPr>
          <w:spacing w:val="-9"/>
          <w:sz w:val="20"/>
        </w:rPr>
        <w:t> </w:t>
      </w:r>
      <w:r>
        <w:rPr>
          <w:sz w:val="20"/>
        </w:rPr>
        <w:t>reasonable</w:t>
      </w:r>
      <w:r>
        <w:rPr>
          <w:spacing w:val="-8"/>
          <w:sz w:val="20"/>
        </w:rPr>
        <w:t> </w:t>
      </w:r>
      <w:r>
        <w:rPr>
          <w:sz w:val="20"/>
        </w:rPr>
        <w:t>supports</w:t>
      </w:r>
      <w:r>
        <w:rPr>
          <w:spacing w:val="-9"/>
          <w:sz w:val="20"/>
        </w:rPr>
        <w:t> </w:t>
      </w:r>
      <w:r>
        <w:rPr>
          <w:sz w:val="20"/>
        </w:rPr>
        <w:t>and</w:t>
      </w:r>
      <w:r>
        <w:rPr>
          <w:spacing w:val="-9"/>
          <w:sz w:val="20"/>
        </w:rPr>
        <w:t> </w:t>
      </w:r>
      <w:r>
        <w:rPr>
          <w:sz w:val="20"/>
        </w:rPr>
        <w:t>prejudicial</w:t>
      </w:r>
      <w:r>
        <w:rPr>
          <w:spacing w:val="-8"/>
          <w:sz w:val="20"/>
        </w:rPr>
        <w:t> </w:t>
      </w:r>
      <w:r>
        <w:rPr>
          <w:spacing w:val="-3"/>
          <w:sz w:val="20"/>
        </w:rPr>
        <w:t>attitudes’.</w:t>
      </w:r>
      <w:r>
        <w:rPr>
          <w:spacing w:val="-3"/>
          <w:position w:val="7"/>
          <w:sz w:val="11"/>
        </w:rPr>
        <w:t>31</w:t>
      </w:r>
      <w:r>
        <w:rPr>
          <w:spacing w:val="16"/>
          <w:position w:val="7"/>
          <w:sz w:val="11"/>
        </w:rPr>
        <w:t> </w:t>
      </w:r>
      <w:r>
        <w:rPr>
          <w:sz w:val="20"/>
        </w:rPr>
        <w:t>In</w:t>
      </w:r>
      <w:r>
        <w:rPr>
          <w:spacing w:val="-9"/>
          <w:sz w:val="20"/>
        </w:rPr>
        <w:t> </w:t>
      </w:r>
      <w:r>
        <w:rPr>
          <w:spacing w:val="-2"/>
          <w:sz w:val="20"/>
        </w:rPr>
        <w:t>Chapter</w:t>
      </w:r>
      <w:r>
        <w:rPr>
          <w:spacing w:val="-8"/>
          <w:sz w:val="20"/>
        </w:rPr>
        <w:t> </w:t>
      </w:r>
      <w:r>
        <w:rPr>
          <w:sz w:val="20"/>
        </w:rPr>
        <w:t>18</w:t>
      </w:r>
      <w:r>
        <w:rPr>
          <w:spacing w:val="-9"/>
          <w:sz w:val="20"/>
        </w:rPr>
        <w:t> </w:t>
      </w:r>
      <w:r>
        <w:rPr>
          <w:spacing w:val="-3"/>
          <w:sz w:val="20"/>
        </w:rPr>
        <w:t>we</w:t>
      </w:r>
      <w:r>
        <w:rPr>
          <w:spacing w:val="-8"/>
          <w:sz w:val="20"/>
        </w:rPr>
        <w:t> </w:t>
      </w:r>
      <w:r>
        <w:rPr>
          <w:spacing w:val="-3"/>
          <w:sz w:val="20"/>
        </w:rPr>
        <w:t>make </w:t>
      </w:r>
      <w:r>
        <w:rPr>
          <w:sz w:val="20"/>
        </w:rPr>
        <w:t>recommendations</w:t>
      </w:r>
      <w:r>
        <w:rPr>
          <w:spacing w:val="-14"/>
          <w:sz w:val="20"/>
        </w:rPr>
        <w:t> </w:t>
      </w:r>
      <w:r>
        <w:rPr>
          <w:sz w:val="20"/>
        </w:rPr>
        <w:t>about</w:t>
      </w:r>
      <w:r>
        <w:rPr>
          <w:spacing w:val="-13"/>
          <w:sz w:val="20"/>
        </w:rPr>
        <w:t> </w:t>
      </w:r>
      <w:r>
        <w:rPr>
          <w:sz w:val="20"/>
        </w:rPr>
        <w:t>disability</w:t>
      </w:r>
      <w:r>
        <w:rPr>
          <w:spacing w:val="-13"/>
          <w:sz w:val="20"/>
        </w:rPr>
        <w:t> </w:t>
      </w:r>
      <w:r>
        <w:rPr>
          <w:spacing w:val="-3"/>
          <w:sz w:val="20"/>
        </w:rPr>
        <w:t>awareness</w:t>
      </w:r>
      <w:r>
        <w:rPr>
          <w:spacing w:val="-13"/>
          <w:sz w:val="20"/>
        </w:rPr>
        <w:t> </w:t>
      </w:r>
      <w:r>
        <w:rPr>
          <w:sz w:val="20"/>
        </w:rPr>
        <w:t>training</w:t>
      </w:r>
      <w:r>
        <w:rPr>
          <w:spacing w:val="-14"/>
          <w:sz w:val="20"/>
        </w:rPr>
        <w:t> </w:t>
      </w:r>
      <w:r>
        <w:rPr>
          <w:sz w:val="20"/>
        </w:rPr>
        <w:t>for</w:t>
      </w:r>
      <w:r>
        <w:rPr>
          <w:spacing w:val="-13"/>
          <w:sz w:val="20"/>
        </w:rPr>
        <w:t> </w:t>
      </w:r>
      <w:r>
        <w:rPr>
          <w:sz w:val="20"/>
        </w:rPr>
        <w:t>the</w:t>
      </w:r>
      <w:r>
        <w:rPr>
          <w:spacing w:val="-13"/>
          <w:sz w:val="20"/>
        </w:rPr>
        <w:t> </w:t>
      </w:r>
      <w:r>
        <w:rPr>
          <w:sz w:val="20"/>
        </w:rPr>
        <w:t>legal</w:t>
      </w:r>
      <w:r>
        <w:rPr>
          <w:spacing w:val="-13"/>
          <w:sz w:val="20"/>
        </w:rPr>
        <w:t> </w:t>
      </w:r>
      <w:r>
        <w:rPr>
          <w:sz w:val="20"/>
        </w:rPr>
        <w:t>profession</w:t>
      </w:r>
      <w:r>
        <w:rPr>
          <w:spacing w:val="-13"/>
          <w:sz w:val="20"/>
        </w:rPr>
        <w:t> </w:t>
      </w:r>
      <w:r>
        <w:rPr>
          <w:sz w:val="20"/>
        </w:rPr>
        <w:t>that</w:t>
      </w:r>
    </w:p>
    <w:p>
      <w:pPr>
        <w:pStyle w:val="BodyText"/>
        <w:spacing w:before="3"/>
        <w:rPr>
          <w:sz w:val="8"/>
        </w:rPr>
      </w:pPr>
      <w:r>
        <w:rPr/>
        <w:pict>
          <v:line style="position:absolute;mso-position-horizontal-relative:page;mso-position-vertical-relative:paragraph;z-index:6872;mso-wrap-distance-left:0;mso-wrap-distance-right:0" from="79.370102pt,8.181000pt" to="515.905102pt,8.181000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82"/>
        </w:numPr>
        <w:tabs>
          <w:tab w:pos="1760" w:val="left" w:leader="none"/>
          <w:tab w:pos="1762" w:val="left" w:leader="none"/>
        </w:tabs>
        <w:spacing w:line="170" w:lineRule="exact" w:before="21" w:after="0"/>
        <w:ind w:left="1761" w:right="0" w:hanging="794"/>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82"/>
        </w:numPr>
        <w:tabs>
          <w:tab w:pos="1761" w:val="left" w:leader="none"/>
          <w:tab w:pos="1762" w:val="left" w:leader="none"/>
        </w:tabs>
        <w:spacing w:line="213" w:lineRule="auto" w:before="7" w:after="0"/>
        <w:ind w:left="1761" w:right="108" w:hanging="794"/>
        <w:jc w:val="left"/>
        <w:rPr>
          <w:sz w:val="13"/>
        </w:rPr>
      </w:pPr>
      <w:r>
        <w:rPr>
          <w:sz w:val="13"/>
        </w:rPr>
        <w:t>Consultations 18 </w:t>
      </w:r>
      <w:r>
        <w:rPr>
          <w:spacing w:val="2"/>
          <w:sz w:val="13"/>
        </w:rPr>
        <w:t>(Australian </w:t>
      </w:r>
      <w:r>
        <w:rPr>
          <w:sz w:val="13"/>
        </w:rPr>
        <w:t>Sign </w:t>
      </w:r>
      <w:r>
        <w:rPr>
          <w:spacing w:val="2"/>
          <w:sz w:val="13"/>
        </w:rPr>
        <w:t>Language </w:t>
      </w:r>
      <w:r>
        <w:rPr>
          <w:sz w:val="13"/>
        </w:rPr>
        <w:t>Interpreters’ </w:t>
      </w:r>
      <w:r>
        <w:rPr>
          <w:spacing w:val="2"/>
          <w:sz w:val="13"/>
        </w:rPr>
        <w:t>Association, </w:t>
      </w:r>
      <w:r>
        <w:rPr>
          <w:sz w:val="13"/>
        </w:rPr>
        <w:t>Victoria and Tasmania </w:t>
      </w:r>
      <w:r>
        <w:rPr>
          <w:spacing w:val="2"/>
          <w:sz w:val="13"/>
        </w:rPr>
        <w:t>(ASLIA)), </w:t>
      </w:r>
      <w:r>
        <w:rPr>
          <w:sz w:val="13"/>
        </w:rPr>
        <w:t>19 </w:t>
      </w:r>
      <w:r>
        <w:rPr>
          <w:spacing w:val="2"/>
          <w:sz w:val="13"/>
        </w:rPr>
        <w:t>(Australian </w:t>
      </w:r>
      <w:r>
        <w:rPr>
          <w:sz w:val="13"/>
        </w:rPr>
        <w:t>Institute of Interpreters and Translators (AUSIT)).</w:t>
      </w:r>
    </w:p>
    <w:p>
      <w:pPr>
        <w:pStyle w:val="ListParagraph"/>
        <w:numPr>
          <w:ilvl w:val="0"/>
          <w:numId w:val="82"/>
        </w:numPr>
        <w:tabs>
          <w:tab w:pos="1761" w:val="left" w:leader="none"/>
          <w:tab w:pos="1762" w:val="left" w:leader="none"/>
        </w:tabs>
        <w:spacing w:line="213" w:lineRule="auto" w:before="0" w:after="0"/>
        <w:ind w:left="1761" w:right="37" w:hanging="794"/>
        <w:jc w:val="both"/>
        <w:rPr>
          <w:sz w:val="13"/>
        </w:rPr>
      </w:pPr>
      <w:r>
        <w:rPr>
          <w:spacing w:val="2"/>
          <w:sz w:val="13"/>
        </w:rPr>
        <w:t>Submission </w:t>
      </w:r>
      <w:r>
        <w:rPr>
          <w:sz w:val="13"/>
        </w:rPr>
        <w:t>11 (Supreme </w:t>
      </w:r>
      <w:r>
        <w:rPr>
          <w:spacing w:val="2"/>
          <w:sz w:val="13"/>
        </w:rPr>
        <w:t>Court </w:t>
      </w:r>
      <w:r>
        <w:rPr>
          <w:sz w:val="13"/>
        </w:rPr>
        <w:t>of Victoria), citing </w:t>
      </w:r>
      <w:r>
        <w:rPr>
          <w:i/>
          <w:sz w:val="13"/>
        </w:rPr>
        <w:t>Haddara v The </w:t>
      </w:r>
      <w:r>
        <w:rPr>
          <w:i/>
          <w:spacing w:val="2"/>
          <w:sz w:val="13"/>
        </w:rPr>
        <w:t>Queen </w:t>
      </w:r>
      <w:r>
        <w:rPr>
          <w:sz w:val="13"/>
        </w:rPr>
        <w:t>[2014] VSCA 100, </w:t>
      </w:r>
      <w:r>
        <w:rPr>
          <w:spacing w:val="2"/>
          <w:sz w:val="13"/>
        </w:rPr>
        <w:t>(2014) </w:t>
      </w:r>
      <w:r>
        <w:rPr>
          <w:sz w:val="13"/>
        </w:rPr>
        <w:t>43 VR 53 [16]; </w:t>
      </w:r>
      <w:r>
        <w:rPr>
          <w:i/>
          <w:sz w:val="13"/>
        </w:rPr>
        <w:t>James v The </w:t>
      </w:r>
      <w:r>
        <w:rPr>
          <w:i/>
          <w:spacing w:val="2"/>
          <w:sz w:val="13"/>
        </w:rPr>
        <w:t>Queen</w:t>
      </w:r>
      <w:r>
        <w:rPr>
          <w:i/>
          <w:spacing w:val="36"/>
          <w:sz w:val="13"/>
        </w:rPr>
        <w:t> </w:t>
      </w:r>
      <w:r>
        <w:rPr>
          <w:sz w:val="13"/>
        </w:rPr>
        <w:t>[2014] HCA 6, </w:t>
      </w:r>
      <w:r>
        <w:rPr>
          <w:spacing w:val="2"/>
          <w:sz w:val="13"/>
        </w:rPr>
        <w:t>(2014) </w:t>
      </w:r>
      <w:r>
        <w:rPr>
          <w:sz w:val="13"/>
        </w:rPr>
        <w:t>253 CLR 475, [38]. See </w:t>
      </w:r>
      <w:r>
        <w:rPr>
          <w:spacing w:val="2"/>
          <w:sz w:val="13"/>
        </w:rPr>
        <w:t>also </w:t>
      </w:r>
      <w:r>
        <w:rPr>
          <w:sz w:val="13"/>
        </w:rPr>
        <w:t>Judicial College of Victoria, ‘6 Role of the Judge’, </w:t>
      </w:r>
      <w:r>
        <w:rPr>
          <w:i/>
          <w:sz w:val="13"/>
        </w:rPr>
        <w:t>Victorian Criminal Proceedings </w:t>
      </w:r>
      <w:r>
        <w:rPr>
          <w:i/>
          <w:sz w:val="13"/>
        </w:rPr>
        <w:t>Manual </w:t>
      </w:r>
      <w:r>
        <w:rPr>
          <w:sz w:val="13"/>
        </w:rPr>
        <w:t>(Online Manual, 1 March 2017)</w:t>
      </w:r>
      <w:r>
        <w:rPr>
          <w:spacing w:val="12"/>
          <w:sz w:val="13"/>
        </w:rPr>
        <w:t> </w:t>
      </w:r>
      <w:r>
        <w:rPr>
          <w:sz w:val="13"/>
        </w:rPr>
        <w:t>&lt;</w:t>
      </w:r>
      <w:hyperlink r:id="rId49">
        <w:r>
          <w:rPr>
            <w:sz w:val="13"/>
          </w:rPr>
          <w:t>https://www.judicialcollege.vic.edu.au/eManuals/VCPM/index.htm#27318.htm</w:t>
        </w:r>
      </w:hyperlink>
      <w:r>
        <w:rPr>
          <w:sz w:val="13"/>
        </w:rPr>
        <w:t>&gt;.</w:t>
      </w:r>
    </w:p>
    <w:p>
      <w:pPr>
        <w:pStyle w:val="ListParagraph"/>
        <w:numPr>
          <w:ilvl w:val="0"/>
          <w:numId w:val="82"/>
        </w:numPr>
        <w:tabs>
          <w:tab w:pos="1761" w:val="left" w:leader="none"/>
          <w:tab w:pos="1762" w:val="left" w:leader="none"/>
        </w:tabs>
        <w:spacing w:line="152" w:lineRule="exact" w:before="0" w:after="0"/>
        <w:ind w:left="1761" w:right="0" w:hanging="794"/>
        <w:jc w:val="left"/>
        <w:rPr>
          <w:sz w:val="13"/>
        </w:rPr>
      </w:pPr>
      <w:r>
        <w:rPr>
          <w:i/>
          <w:sz w:val="13"/>
        </w:rPr>
        <w:t>Charter of Human </w:t>
      </w:r>
      <w:r>
        <w:rPr>
          <w:i/>
          <w:spacing w:val="2"/>
          <w:sz w:val="13"/>
        </w:rPr>
        <w:t>Rights </w:t>
      </w:r>
      <w:r>
        <w:rPr>
          <w:i/>
          <w:sz w:val="13"/>
        </w:rPr>
        <w:t>and Responsibilities Act 2006 </w:t>
      </w:r>
      <w:r>
        <w:rPr>
          <w:spacing w:val="2"/>
          <w:sz w:val="13"/>
        </w:rPr>
        <w:t>(Vic) </w:t>
      </w:r>
      <w:r>
        <w:rPr>
          <w:sz w:val="13"/>
        </w:rPr>
        <w:t>s </w:t>
      </w:r>
      <w:r>
        <w:rPr>
          <w:spacing w:val="2"/>
          <w:sz w:val="13"/>
        </w:rPr>
        <w:t>24(1).</w:t>
      </w:r>
    </w:p>
    <w:p>
      <w:pPr>
        <w:pStyle w:val="ListParagraph"/>
        <w:numPr>
          <w:ilvl w:val="0"/>
          <w:numId w:val="82"/>
        </w:numPr>
        <w:tabs>
          <w:tab w:pos="1761" w:val="left" w:leader="none"/>
          <w:tab w:pos="1762" w:val="left" w:leader="none"/>
        </w:tabs>
        <w:spacing w:line="213" w:lineRule="auto" w:before="5" w:after="0"/>
        <w:ind w:left="1761" w:right="184" w:hanging="794"/>
        <w:jc w:val="left"/>
        <w:rPr>
          <w:sz w:val="13"/>
        </w:rPr>
      </w:pPr>
      <w:r>
        <w:rPr>
          <w:i/>
          <w:sz w:val="13"/>
        </w:rPr>
        <w:t>Knight v Wise </w:t>
      </w:r>
      <w:r>
        <w:rPr>
          <w:sz w:val="13"/>
        </w:rPr>
        <w:t>[2014] VSC 76 </w:t>
      </w:r>
      <w:r>
        <w:rPr>
          <w:spacing w:val="2"/>
          <w:sz w:val="13"/>
        </w:rPr>
        <w:t>[36]. </w:t>
      </w:r>
      <w:r>
        <w:rPr>
          <w:sz w:val="13"/>
        </w:rPr>
        <w:t>For </w:t>
      </w:r>
      <w:r>
        <w:rPr>
          <w:spacing w:val="2"/>
          <w:sz w:val="13"/>
        </w:rPr>
        <w:t>further </w:t>
      </w:r>
      <w:r>
        <w:rPr>
          <w:sz w:val="13"/>
        </w:rPr>
        <w:t>discussion of the scope of this right and relevant case law: see Judicial College      of Victoria, </w:t>
      </w:r>
      <w:r>
        <w:rPr>
          <w:spacing w:val="2"/>
          <w:sz w:val="13"/>
        </w:rPr>
        <w:t>‘6.18.2 </w:t>
      </w:r>
      <w:r>
        <w:rPr>
          <w:sz w:val="13"/>
        </w:rPr>
        <w:t>Scope of the Right’, </w:t>
      </w:r>
      <w:r>
        <w:rPr>
          <w:i/>
          <w:sz w:val="13"/>
        </w:rPr>
        <w:t>Charter of Human </w:t>
      </w:r>
      <w:r>
        <w:rPr>
          <w:i/>
          <w:spacing w:val="2"/>
          <w:sz w:val="13"/>
        </w:rPr>
        <w:t>Rights </w:t>
      </w:r>
      <w:r>
        <w:rPr>
          <w:i/>
          <w:sz w:val="13"/>
        </w:rPr>
        <w:t>Bench Book </w:t>
      </w:r>
      <w:r>
        <w:rPr>
          <w:sz w:val="13"/>
        </w:rPr>
        <w:t>(Online Manual, 1 September 2017) &lt;</w:t>
      </w:r>
      <w:hyperlink r:id="rId49">
        <w:r>
          <w:rPr>
            <w:sz w:val="13"/>
          </w:rPr>
          <w:t>https://www.</w:t>
        </w:r>
      </w:hyperlink>
      <w:hyperlink r:id="rId49">
        <w:r>
          <w:rPr>
            <w:sz w:val="13"/>
          </w:rPr>
          <w:t> judicialcollege.vic.edu.au/eManuals/VCPM/index.htm#27318.htm</w:t>
        </w:r>
      </w:hyperlink>
      <w:r>
        <w:rPr>
          <w:sz w:val="13"/>
        </w:rPr>
        <w:t>&gt;.</w:t>
      </w:r>
    </w:p>
    <w:p>
      <w:pPr>
        <w:pStyle w:val="ListParagraph"/>
        <w:numPr>
          <w:ilvl w:val="0"/>
          <w:numId w:val="82"/>
        </w:numPr>
        <w:tabs>
          <w:tab w:pos="1761" w:val="left" w:leader="none"/>
          <w:tab w:pos="1762" w:val="left" w:leader="none"/>
        </w:tabs>
        <w:spacing w:line="152" w:lineRule="exact" w:before="0" w:after="0"/>
        <w:ind w:left="1761" w:right="0" w:hanging="794"/>
        <w:jc w:val="left"/>
        <w:rPr>
          <w:sz w:val="13"/>
        </w:rPr>
      </w:pPr>
      <w:r>
        <w:rPr>
          <w:spacing w:val="2"/>
          <w:sz w:val="13"/>
        </w:rPr>
        <w:t>Submissions</w:t>
      </w:r>
      <w:r>
        <w:rPr>
          <w:spacing w:val="3"/>
          <w:sz w:val="13"/>
        </w:rPr>
        <w:t> </w:t>
      </w:r>
      <w:r>
        <w:rPr>
          <w:sz w:val="13"/>
        </w:rPr>
        <w:t>4</w:t>
      </w:r>
      <w:r>
        <w:rPr>
          <w:spacing w:val="4"/>
          <w:sz w:val="13"/>
        </w:rPr>
        <w:t> </w:t>
      </w:r>
      <w:r>
        <w:rPr>
          <w:sz w:val="13"/>
        </w:rPr>
        <w:t>(Baer</w:t>
      </w:r>
      <w:r>
        <w:rPr>
          <w:spacing w:val="4"/>
          <w:sz w:val="13"/>
        </w:rPr>
        <w:t> </w:t>
      </w:r>
      <w:r>
        <w:rPr>
          <w:sz w:val="13"/>
        </w:rPr>
        <w:t>Arnold</w:t>
      </w:r>
      <w:r>
        <w:rPr>
          <w:spacing w:val="4"/>
          <w:sz w:val="13"/>
        </w:rPr>
        <w:t> </w:t>
      </w:r>
      <w:r>
        <w:rPr>
          <w:sz w:val="13"/>
        </w:rPr>
        <w:t>&amp;</w:t>
      </w:r>
      <w:r>
        <w:rPr>
          <w:spacing w:val="3"/>
          <w:sz w:val="13"/>
        </w:rPr>
        <w:t> </w:t>
      </w:r>
      <w:r>
        <w:rPr>
          <w:sz w:val="13"/>
        </w:rPr>
        <w:t>Bonython),</w:t>
      </w:r>
      <w:r>
        <w:rPr>
          <w:spacing w:val="4"/>
          <w:sz w:val="13"/>
        </w:rPr>
        <w:t> </w:t>
      </w:r>
      <w:r>
        <w:rPr>
          <w:sz w:val="13"/>
        </w:rPr>
        <w:t>7</w:t>
      </w:r>
      <w:r>
        <w:rPr>
          <w:spacing w:val="4"/>
          <w:sz w:val="13"/>
        </w:rPr>
        <w:t> </w:t>
      </w:r>
      <w:r>
        <w:rPr>
          <w:sz w:val="13"/>
        </w:rPr>
        <w:t>(Law</w:t>
      </w:r>
      <w:r>
        <w:rPr>
          <w:spacing w:val="4"/>
          <w:sz w:val="13"/>
        </w:rPr>
        <w:t> </w:t>
      </w:r>
      <w:r>
        <w:rPr>
          <w:sz w:val="13"/>
        </w:rPr>
        <w:t>Institute</w:t>
      </w:r>
      <w:r>
        <w:rPr>
          <w:spacing w:val="4"/>
          <w:sz w:val="13"/>
        </w:rPr>
        <w:t> </w:t>
      </w:r>
      <w:r>
        <w:rPr>
          <w:sz w:val="13"/>
        </w:rPr>
        <w:t>of</w:t>
      </w:r>
      <w:r>
        <w:rPr>
          <w:spacing w:val="3"/>
          <w:sz w:val="13"/>
        </w:rPr>
        <w:t> </w:t>
      </w:r>
      <w:r>
        <w:rPr>
          <w:sz w:val="13"/>
        </w:rPr>
        <w:t>Victoria),</w:t>
      </w:r>
      <w:r>
        <w:rPr>
          <w:spacing w:val="4"/>
          <w:sz w:val="13"/>
        </w:rPr>
        <w:t> </w:t>
      </w:r>
      <w:r>
        <w:rPr>
          <w:sz w:val="13"/>
        </w:rPr>
        <w:t>10</w:t>
      </w:r>
      <w:r>
        <w:rPr>
          <w:spacing w:val="4"/>
          <w:sz w:val="13"/>
        </w:rPr>
        <w:t> </w:t>
      </w:r>
      <w:r>
        <w:rPr>
          <w:spacing w:val="2"/>
          <w:sz w:val="13"/>
        </w:rPr>
        <w:t>(Vision</w:t>
      </w:r>
      <w:r>
        <w:rPr>
          <w:spacing w:val="4"/>
          <w:sz w:val="13"/>
        </w:rPr>
        <w:t> </w:t>
      </w:r>
      <w:r>
        <w:rPr>
          <w:sz w:val="13"/>
        </w:rPr>
        <w:t>Australia),</w:t>
      </w:r>
      <w:r>
        <w:rPr>
          <w:spacing w:val="3"/>
          <w:sz w:val="13"/>
        </w:rPr>
        <w:t> </w:t>
      </w:r>
      <w:r>
        <w:rPr>
          <w:sz w:val="13"/>
        </w:rPr>
        <w:t>11</w:t>
      </w:r>
      <w:r>
        <w:rPr>
          <w:spacing w:val="4"/>
          <w:sz w:val="13"/>
        </w:rPr>
        <w:t> </w:t>
      </w:r>
      <w:r>
        <w:rPr>
          <w:sz w:val="13"/>
        </w:rPr>
        <w:t>(Supreme</w:t>
      </w:r>
      <w:r>
        <w:rPr>
          <w:spacing w:val="4"/>
          <w:sz w:val="13"/>
        </w:rPr>
        <w:t> </w:t>
      </w:r>
      <w:r>
        <w:rPr>
          <w:spacing w:val="2"/>
          <w:sz w:val="13"/>
        </w:rPr>
        <w:t>Court</w:t>
      </w:r>
      <w:r>
        <w:rPr>
          <w:spacing w:val="4"/>
          <w:sz w:val="13"/>
        </w:rPr>
        <w:t> </w:t>
      </w:r>
      <w:r>
        <w:rPr>
          <w:sz w:val="13"/>
        </w:rPr>
        <w:t>of</w:t>
      </w:r>
      <w:r>
        <w:rPr>
          <w:spacing w:val="4"/>
          <w:sz w:val="13"/>
        </w:rPr>
        <w:t> </w:t>
      </w:r>
      <w:r>
        <w:rPr>
          <w:sz w:val="13"/>
        </w:rPr>
        <w:t>Victoria);</w:t>
      </w:r>
    </w:p>
    <w:p>
      <w:pPr>
        <w:spacing w:line="160" w:lineRule="exact" w:before="0"/>
        <w:ind w:left="1761" w:right="0" w:firstLine="0"/>
        <w:jc w:val="left"/>
        <w:rPr>
          <w:sz w:val="13"/>
        </w:rPr>
      </w:pPr>
      <w:r>
        <w:rPr>
          <w:sz w:val="13"/>
        </w:rPr>
        <w:t>Consultation 16 (Office of Public Prosecutions Victoria).</w:t>
      </w:r>
    </w:p>
    <w:p>
      <w:pPr>
        <w:pStyle w:val="ListParagraph"/>
        <w:numPr>
          <w:ilvl w:val="0"/>
          <w:numId w:val="82"/>
        </w:numPr>
        <w:tabs>
          <w:tab w:pos="1760" w:val="left" w:leader="none"/>
          <w:tab w:pos="1762" w:val="left" w:leader="none"/>
        </w:tabs>
        <w:spacing w:line="160" w:lineRule="exact" w:before="0" w:after="0"/>
        <w:ind w:left="1761" w:right="0" w:hanging="794"/>
        <w:jc w:val="left"/>
        <w:rPr>
          <w:sz w:val="13"/>
        </w:rPr>
      </w:pPr>
      <w:r>
        <w:rPr>
          <w:sz w:val="13"/>
        </w:rPr>
        <w:t>Consultations 5 (Expression Australia), 8 (Brent Phillips); </w:t>
      </w:r>
      <w:r>
        <w:rPr>
          <w:spacing w:val="2"/>
          <w:sz w:val="13"/>
        </w:rPr>
        <w:t>Submissions </w:t>
      </w:r>
      <w:r>
        <w:rPr>
          <w:sz w:val="13"/>
        </w:rPr>
        <w:t>9 (Madison), 10 </w:t>
      </w:r>
      <w:r>
        <w:rPr>
          <w:spacing w:val="2"/>
          <w:sz w:val="13"/>
        </w:rPr>
        <w:t>(Vision</w:t>
      </w:r>
      <w:r>
        <w:rPr>
          <w:spacing w:val="20"/>
          <w:sz w:val="13"/>
        </w:rPr>
        <w:t> </w:t>
      </w:r>
      <w:r>
        <w:rPr>
          <w:sz w:val="13"/>
        </w:rPr>
        <w:t>Australia).</w:t>
      </w:r>
    </w:p>
    <w:p>
      <w:pPr>
        <w:pStyle w:val="ListParagraph"/>
        <w:numPr>
          <w:ilvl w:val="0"/>
          <w:numId w:val="82"/>
        </w:numPr>
        <w:tabs>
          <w:tab w:pos="1760" w:val="left" w:leader="none"/>
          <w:tab w:pos="1762" w:val="left" w:leader="none"/>
        </w:tabs>
        <w:spacing w:line="160" w:lineRule="exact" w:before="0" w:after="0"/>
        <w:ind w:left="1761" w:right="0" w:hanging="794"/>
        <w:jc w:val="left"/>
        <w:rPr>
          <w:sz w:val="13"/>
        </w:rPr>
      </w:pPr>
      <w:r>
        <w:rPr>
          <w:sz w:val="13"/>
        </w:rPr>
        <w:t>Consultation 5 (Expression</w:t>
      </w:r>
      <w:r>
        <w:rPr>
          <w:spacing w:val="1"/>
          <w:sz w:val="13"/>
        </w:rPr>
        <w:t> </w:t>
      </w:r>
      <w:r>
        <w:rPr>
          <w:sz w:val="13"/>
        </w:rPr>
        <w:t>Australia).</w:t>
      </w:r>
    </w:p>
    <w:p>
      <w:pPr>
        <w:pStyle w:val="ListParagraph"/>
        <w:numPr>
          <w:ilvl w:val="0"/>
          <w:numId w:val="82"/>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z w:val="13"/>
        </w:rPr>
        <w:t>9</w:t>
      </w:r>
      <w:r>
        <w:rPr>
          <w:spacing w:val="3"/>
          <w:sz w:val="13"/>
        </w:rPr>
        <w:t> </w:t>
      </w:r>
      <w:r>
        <w:rPr>
          <w:sz w:val="13"/>
        </w:rPr>
        <w:t>(Madison).</w:t>
      </w:r>
      <w:r>
        <w:rPr>
          <w:spacing w:val="3"/>
          <w:sz w:val="13"/>
        </w:rPr>
        <w:t> </w:t>
      </w:r>
      <w:r>
        <w:rPr>
          <w:sz w:val="13"/>
        </w:rPr>
        <w:t>This</w:t>
      </w:r>
      <w:r>
        <w:rPr>
          <w:spacing w:val="3"/>
          <w:sz w:val="13"/>
        </w:rPr>
        <w:t> </w:t>
      </w:r>
      <w:r>
        <w:rPr>
          <w:sz w:val="13"/>
        </w:rPr>
        <w:t>submission</w:t>
      </w:r>
      <w:r>
        <w:rPr>
          <w:spacing w:val="2"/>
          <w:sz w:val="13"/>
        </w:rPr>
        <w:t> </w:t>
      </w:r>
      <w:r>
        <w:rPr>
          <w:sz w:val="13"/>
        </w:rPr>
        <w:t>proposed</w:t>
      </w:r>
      <w:r>
        <w:rPr>
          <w:spacing w:val="3"/>
          <w:sz w:val="13"/>
        </w:rPr>
        <w:t> </w:t>
      </w:r>
      <w:r>
        <w:rPr>
          <w:sz w:val="13"/>
        </w:rPr>
        <w:t>that</w:t>
      </w:r>
      <w:r>
        <w:rPr>
          <w:spacing w:val="3"/>
          <w:sz w:val="13"/>
        </w:rPr>
        <w:t> </w:t>
      </w:r>
      <w:r>
        <w:rPr>
          <w:sz w:val="13"/>
        </w:rPr>
        <w:t>this</w:t>
      </w:r>
      <w:r>
        <w:rPr>
          <w:spacing w:val="3"/>
          <w:sz w:val="13"/>
        </w:rPr>
        <w:t> </w:t>
      </w:r>
      <w:r>
        <w:rPr>
          <w:spacing w:val="2"/>
          <w:sz w:val="13"/>
        </w:rPr>
        <w:t>assessment</w:t>
      </w:r>
      <w:r>
        <w:rPr>
          <w:spacing w:val="3"/>
          <w:sz w:val="13"/>
        </w:rPr>
        <w:t> </w:t>
      </w:r>
      <w:r>
        <w:rPr>
          <w:sz w:val="13"/>
        </w:rPr>
        <w:t>should</w:t>
      </w:r>
      <w:r>
        <w:rPr>
          <w:spacing w:val="2"/>
          <w:sz w:val="13"/>
        </w:rPr>
        <w:t> </w:t>
      </w:r>
      <w:r>
        <w:rPr>
          <w:sz w:val="13"/>
        </w:rPr>
        <w:t>not</w:t>
      </w:r>
      <w:r>
        <w:rPr>
          <w:spacing w:val="3"/>
          <w:sz w:val="13"/>
        </w:rPr>
        <w:t> </w:t>
      </w:r>
      <w:r>
        <w:rPr>
          <w:sz w:val="13"/>
        </w:rPr>
        <w:t>be</w:t>
      </w:r>
      <w:r>
        <w:rPr>
          <w:spacing w:val="3"/>
          <w:sz w:val="13"/>
        </w:rPr>
        <w:t> </w:t>
      </w:r>
      <w:r>
        <w:rPr>
          <w:sz w:val="13"/>
        </w:rPr>
        <w:t>made</w:t>
      </w:r>
      <w:r>
        <w:rPr>
          <w:spacing w:val="3"/>
          <w:sz w:val="13"/>
        </w:rPr>
        <w:t> </w:t>
      </w:r>
      <w:r>
        <w:rPr>
          <w:sz w:val="13"/>
        </w:rPr>
        <w:t>by</w:t>
      </w:r>
      <w:r>
        <w:rPr>
          <w:spacing w:val="3"/>
          <w:sz w:val="13"/>
        </w:rPr>
        <w:t> </w:t>
      </w:r>
      <w:r>
        <w:rPr>
          <w:sz w:val="13"/>
        </w:rPr>
        <w:t>a</w:t>
      </w:r>
      <w:r>
        <w:rPr>
          <w:spacing w:val="2"/>
          <w:sz w:val="13"/>
        </w:rPr>
        <w:t> </w:t>
      </w:r>
      <w:r>
        <w:rPr>
          <w:sz w:val="13"/>
        </w:rPr>
        <w:t>judge</w:t>
      </w:r>
      <w:r>
        <w:rPr>
          <w:spacing w:val="3"/>
          <w:sz w:val="13"/>
        </w:rPr>
        <w:t> </w:t>
      </w:r>
      <w:r>
        <w:rPr>
          <w:sz w:val="13"/>
        </w:rPr>
        <w:t>alone</w:t>
      </w:r>
      <w:r>
        <w:rPr>
          <w:spacing w:val="3"/>
          <w:sz w:val="13"/>
        </w:rPr>
        <w:t> </w:t>
      </w:r>
      <w:r>
        <w:rPr>
          <w:sz w:val="13"/>
        </w:rPr>
        <w:t>but</w:t>
      </w:r>
      <w:r>
        <w:rPr>
          <w:spacing w:val="3"/>
          <w:sz w:val="13"/>
        </w:rPr>
        <w:t> </w:t>
      </w:r>
      <w:r>
        <w:rPr>
          <w:sz w:val="13"/>
        </w:rPr>
        <w:t>by</w:t>
      </w:r>
      <w:r>
        <w:rPr>
          <w:spacing w:val="3"/>
          <w:sz w:val="13"/>
        </w:rPr>
        <w:t> </w:t>
      </w:r>
      <w:r>
        <w:rPr>
          <w:sz w:val="13"/>
        </w:rPr>
        <w:t>a</w:t>
      </w:r>
    </w:p>
    <w:p>
      <w:pPr>
        <w:spacing w:line="160" w:lineRule="exact" w:before="0"/>
        <w:ind w:left="1761" w:right="0" w:firstLine="0"/>
        <w:jc w:val="left"/>
        <w:rPr>
          <w:sz w:val="13"/>
        </w:rPr>
      </w:pPr>
      <w:r>
        <w:rPr>
          <w:sz w:val="13"/>
        </w:rPr>
        <w:t>‘colloquium consisting of the Sheriff, jury commissioner and the trial judge’.</w:t>
      </w:r>
    </w:p>
    <w:p>
      <w:pPr>
        <w:pStyle w:val="ListParagraph"/>
        <w:numPr>
          <w:ilvl w:val="0"/>
          <w:numId w:val="82"/>
        </w:numPr>
        <w:tabs>
          <w:tab w:pos="1760" w:val="left" w:leader="none"/>
          <w:tab w:pos="1762" w:val="left" w:leader="none"/>
        </w:tabs>
        <w:spacing w:line="213" w:lineRule="auto" w:before="6" w:after="0"/>
        <w:ind w:left="1761" w:right="0" w:hanging="794"/>
        <w:jc w:val="left"/>
        <w:rPr>
          <w:sz w:val="13"/>
        </w:rPr>
      </w:pPr>
      <w:r>
        <w:rPr>
          <w:sz w:val="13"/>
        </w:rPr>
        <w:t>Vision Australia and Brent Philips </w:t>
      </w:r>
      <w:r>
        <w:rPr>
          <w:spacing w:val="2"/>
          <w:sz w:val="13"/>
        </w:rPr>
        <w:t>also </w:t>
      </w:r>
      <w:r>
        <w:rPr>
          <w:sz w:val="13"/>
        </w:rPr>
        <w:t>stressed the </w:t>
      </w:r>
      <w:r>
        <w:rPr>
          <w:spacing w:val="2"/>
          <w:sz w:val="13"/>
        </w:rPr>
        <w:t>importance </w:t>
      </w:r>
      <w:r>
        <w:rPr>
          <w:sz w:val="13"/>
        </w:rPr>
        <w:t>of judicial training: </w:t>
      </w:r>
      <w:r>
        <w:rPr>
          <w:spacing w:val="2"/>
          <w:sz w:val="13"/>
        </w:rPr>
        <w:t>Submission </w:t>
      </w:r>
      <w:r>
        <w:rPr>
          <w:sz w:val="13"/>
        </w:rPr>
        <w:t>10 </w:t>
      </w:r>
      <w:r>
        <w:rPr>
          <w:spacing w:val="2"/>
          <w:sz w:val="13"/>
        </w:rPr>
        <w:t>(Vision </w:t>
      </w:r>
      <w:r>
        <w:rPr>
          <w:sz w:val="13"/>
        </w:rPr>
        <w:t>Australia); </w:t>
      </w:r>
      <w:r>
        <w:rPr>
          <w:spacing w:val="2"/>
          <w:sz w:val="13"/>
        </w:rPr>
        <w:t>Consultation   </w:t>
      </w:r>
      <w:r>
        <w:rPr>
          <w:sz w:val="13"/>
        </w:rPr>
        <w:t>8 (Brent Phillips).</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pPr>
    </w:p>
    <w:p>
      <w:pPr>
        <w:spacing w:before="0"/>
        <w:ind w:left="668" w:right="0" w:firstLine="0"/>
        <w:jc w:val="left"/>
        <w:rPr>
          <w:b/>
          <w:sz w:val="24"/>
        </w:rPr>
      </w:pPr>
      <w:r>
        <w:rPr>
          <w:b/>
          <w:color w:val="37617A"/>
          <w:sz w:val="24"/>
        </w:rPr>
        <w:t>111</w:t>
      </w:r>
    </w:p>
    <w:p>
      <w:pPr>
        <w:spacing w:after="0"/>
        <w:jc w:val="left"/>
        <w:rPr>
          <w:sz w:val="24"/>
        </w:rPr>
        <w:sectPr>
          <w:type w:val="continuous"/>
          <w:pgSz w:w="11910" w:h="16840"/>
          <w:pgMar w:top="620" w:bottom="280" w:left="620" w:right="380"/>
          <w:cols w:num="2" w:equalWidth="0">
            <w:col w:w="9608" w:space="39"/>
            <w:col w:w="1263"/>
          </w:cols>
        </w:sectPr>
      </w:pPr>
    </w:p>
    <w:p>
      <w:pPr>
        <w:pStyle w:val="BodyText"/>
        <w:rPr>
          <w:b/>
        </w:rPr>
      </w:pPr>
    </w:p>
    <w:p>
      <w:pPr>
        <w:pStyle w:val="BodyText"/>
        <w:rPr>
          <w:b/>
        </w:rPr>
      </w:pPr>
    </w:p>
    <w:p>
      <w:pPr>
        <w:pStyle w:val="BodyText"/>
        <w:rPr>
          <w:b/>
        </w:rPr>
      </w:pPr>
    </w:p>
    <w:p>
      <w:pPr>
        <w:pStyle w:val="BodyText"/>
        <w:spacing w:before="11"/>
        <w:rPr>
          <w:b/>
          <w:sz w:val="18"/>
        </w:rPr>
      </w:pPr>
    </w:p>
    <w:p>
      <w:pPr>
        <w:pStyle w:val="BodyText"/>
        <w:spacing w:line="206" w:lineRule="auto"/>
        <w:ind w:left="1761" w:right="1335"/>
        <w:rPr>
          <w:sz w:val="11"/>
        </w:rPr>
      </w:pPr>
      <w:bookmarkStart w:name="We recommend modifications to the ACT ap" w:id="206"/>
      <w:bookmarkEnd w:id="206"/>
      <w:r>
        <w:rPr/>
      </w:r>
      <w:bookmarkStart w:name="_bookmark82" w:id="207"/>
      <w:bookmarkEnd w:id="207"/>
      <w:r>
        <w:rPr/>
      </w:r>
      <w:r>
        <w:rPr/>
        <w:t>includes</w:t>
      </w:r>
      <w:r>
        <w:rPr>
          <w:spacing w:val="-14"/>
        </w:rPr>
        <w:t> </w:t>
      </w:r>
      <w:r>
        <w:rPr/>
        <w:t>information</w:t>
      </w:r>
      <w:r>
        <w:rPr>
          <w:spacing w:val="-13"/>
        </w:rPr>
        <w:t> </w:t>
      </w:r>
      <w:r>
        <w:rPr/>
        <w:t>about</w:t>
      </w:r>
      <w:r>
        <w:rPr>
          <w:spacing w:val="-13"/>
        </w:rPr>
        <w:t> </w:t>
      </w:r>
      <w:r>
        <w:rPr/>
        <w:t>the</w:t>
      </w:r>
      <w:r>
        <w:rPr>
          <w:spacing w:val="-13"/>
        </w:rPr>
        <w:t> </w:t>
      </w:r>
      <w:r>
        <w:rPr/>
        <w:t>range</w:t>
      </w:r>
      <w:r>
        <w:rPr>
          <w:spacing w:val="-14"/>
        </w:rPr>
        <w:t> </w:t>
      </w:r>
      <w:r>
        <w:rPr/>
        <w:t>and</w:t>
      </w:r>
      <w:r>
        <w:rPr>
          <w:spacing w:val="-13"/>
        </w:rPr>
        <w:t> </w:t>
      </w:r>
      <w:r>
        <w:rPr/>
        <w:t>operation</w:t>
      </w:r>
      <w:r>
        <w:rPr>
          <w:spacing w:val="-13"/>
        </w:rPr>
        <w:t> </w:t>
      </w:r>
      <w:r>
        <w:rPr/>
        <w:t>of</w:t>
      </w:r>
      <w:r>
        <w:rPr>
          <w:spacing w:val="-13"/>
        </w:rPr>
        <w:t> </w:t>
      </w:r>
      <w:r>
        <w:rPr/>
        <w:t>adjustments,</w:t>
      </w:r>
      <w:r>
        <w:rPr>
          <w:spacing w:val="-14"/>
        </w:rPr>
        <w:t> </w:t>
      </w:r>
      <w:r>
        <w:rPr/>
        <w:t>to</w:t>
      </w:r>
      <w:r>
        <w:rPr>
          <w:spacing w:val="-13"/>
        </w:rPr>
        <w:t> </w:t>
      </w:r>
      <w:r>
        <w:rPr/>
        <w:t>guard</w:t>
      </w:r>
      <w:r>
        <w:rPr>
          <w:spacing w:val="-13"/>
        </w:rPr>
        <w:t> </w:t>
      </w:r>
      <w:r>
        <w:rPr/>
        <w:t>against judges applying ‘too strict a judgement on whether a deaf juror can serve at the outset’.</w:t>
      </w:r>
      <w:r>
        <w:rPr>
          <w:position w:val="7"/>
          <w:sz w:val="11"/>
        </w:rPr>
        <w:t>32</w:t>
      </w:r>
    </w:p>
    <w:p>
      <w:pPr>
        <w:pStyle w:val="ListParagraph"/>
        <w:numPr>
          <w:ilvl w:val="1"/>
          <w:numId w:val="12"/>
        </w:numPr>
        <w:tabs>
          <w:tab w:pos="1761" w:val="left" w:leader="none"/>
          <w:tab w:pos="1762" w:val="left" w:leader="none"/>
        </w:tabs>
        <w:spacing w:line="206" w:lineRule="auto" w:before="124" w:after="0"/>
        <w:ind w:left="1761" w:right="1798" w:hanging="794"/>
        <w:jc w:val="left"/>
        <w:rPr>
          <w:sz w:val="20"/>
        </w:rPr>
      </w:pPr>
      <w:r>
        <w:rPr>
          <w:spacing w:val="-4"/>
          <w:sz w:val="20"/>
        </w:rPr>
        <w:t>Ultimately, </w:t>
      </w:r>
      <w:r>
        <w:rPr>
          <w:sz w:val="20"/>
        </w:rPr>
        <w:t>as Vision Australia identified, ‘the trial judge has the responsibility for conducting the trial, and so is best placed to </w:t>
      </w:r>
      <w:r>
        <w:rPr>
          <w:spacing w:val="-3"/>
          <w:sz w:val="20"/>
        </w:rPr>
        <w:t>make </w:t>
      </w:r>
      <w:r>
        <w:rPr>
          <w:sz w:val="20"/>
        </w:rPr>
        <w:t>decisions that take all the circumstances</w:t>
      </w:r>
      <w:r>
        <w:rPr>
          <w:spacing w:val="-10"/>
          <w:sz w:val="20"/>
        </w:rPr>
        <w:t> </w:t>
      </w:r>
      <w:r>
        <w:rPr>
          <w:sz w:val="20"/>
        </w:rPr>
        <w:t>of</w:t>
      </w:r>
      <w:r>
        <w:rPr>
          <w:spacing w:val="-10"/>
          <w:sz w:val="20"/>
        </w:rPr>
        <w:t> </w:t>
      </w:r>
      <w:r>
        <w:rPr>
          <w:sz w:val="20"/>
        </w:rPr>
        <w:t>the</w:t>
      </w:r>
      <w:r>
        <w:rPr>
          <w:spacing w:val="-9"/>
          <w:sz w:val="20"/>
        </w:rPr>
        <w:t> </w:t>
      </w:r>
      <w:r>
        <w:rPr>
          <w:sz w:val="20"/>
        </w:rPr>
        <w:t>case</w:t>
      </w:r>
      <w:r>
        <w:rPr>
          <w:spacing w:val="-10"/>
          <w:sz w:val="20"/>
        </w:rPr>
        <w:t> </w:t>
      </w:r>
      <w:r>
        <w:rPr>
          <w:spacing w:val="-3"/>
          <w:sz w:val="20"/>
        </w:rPr>
        <w:t>into</w:t>
      </w:r>
      <w:r>
        <w:rPr>
          <w:spacing w:val="-10"/>
          <w:sz w:val="20"/>
        </w:rPr>
        <w:t> </w:t>
      </w:r>
      <w:r>
        <w:rPr>
          <w:spacing w:val="-3"/>
          <w:sz w:val="20"/>
        </w:rPr>
        <w:t>account’.</w:t>
      </w:r>
      <w:r>
        <w:rPr>
          <w:spacing w:val="-3"/>
          <w:position w:val="7"/>
          <w:sz w:val="11"/>
        </w:rPr>
        <w:t>33</w:t>
      </w:r>
      <w:r>
        <w:rPr>
          <w:spacing w:val="16"/>
          <w:position w:val="7"/>
          <w:sz w:val="11"/>
        </w:rPr>
        <w:t> </w:t>
      </w:r>
      <w:r>
        <w:rPr>
          <w:sz w:val="20"/>
        </w:rPr>
        <w:t>The</w:t>
      </w:r>
      <w:r>
        <w:rPr>
          <w:spacing w:val="-10"/>
          <w:sz w:val="20"/>
        </w:rPr>
        <w:t> </w:t>
      </w:r>
      <w:r>
        <w:rPr>
          <w:sz w:val="20"/>
        </w:rPr>
        <w:t>Law</w:t>
      </w:r>
      <w:r>
        <w:rPr>
          <w:spacing w:val="-10"/>
          <w:sz w:val="20"/>
        </w:rPr>
        <w:t> </w:t>
      </w:r>
      <w:r>
        <w:rPr>
          <w:sz w:val="20"/>
        </w:rPr>
        <w:t>Institute</w:t>
      </w:r>
      <w:r>
        <w:rPr>
          <w:spacing w:val="-9"/>
          <w:sz w:val="20"/>
        </w:rPr>
        <w:t> </w:t>
      </w:r>
      <w:r>
        <w:rPr>
          <w:sz w:val="20"/>
        </w:rPr>
        <w:t>of</w:t>
      </w:r>
      <w:r>
        <w:rPr>
          <w:spacing w:val="-10"/>
          <w:sz w:val="20"/>
        </w:rPr>
        <w:t> </w:t>
      </w:r>
      <w:r>
        <w:rPr>
          <w:sz w:val="20"/>
        </w:rPr>
        <w:t>Victoria</w:t>
      </w:r>
      <w:r>
        <w:rPr>
          <w:spacing w:val="-9"/>
          <w:sz w:val="20"/>
        </w:rPr>
        <w:t> </w:t>
      </w:r>
      <w:r>
        <w:rPr>
          <w:sz w:val="20"/>
        </w:rPr>
        <w:t>submitted:</w:t>
      </w:r>
    </w:p>
    <w:p>
      <w:pPr>
        <w:spacing w:line="208" w:lineRule="auto" w:before="122"/>
        <w:ind w:left="2157" w:right="1209" w:firstLine="0"/>
        <w:jc w:val="left"/>
        <w:rPr>
          <w:sz w:val="11"/>
        </w:rPr>
      </w:pPr>
      <w:r>
        <w:rPr>
          <w:sz w:val="19"/>
        </w:rPr>
        <w:t>The decision of the Juries Commissioner would be an administrative decision as to the potential juror’s eligibility and requirements to participate, after which the juror’s eligibility, regardless of the Juries Commissioner’s findings, should rest with the Judge who is best positioned to make an assessment and consider the submissions from parties on this </w:t>
      </w:r>
      <w:r>
        <w:rPr>
          <w:spacing w:val="-3"/>
          <w:sz w:val="19"/>
        </w:rPr>
        <w:t>matter. </w:t>
      </w:r>
      <w:r>
        <w:rPr>
          <w:sz w:val="19"/>
        </w:rPr>
        <w:t>The Judge is best positioned to oversee a fair trial occurs, possessing wide powers to control the conduct of proceedings and is best placed to assess</w:t>
      </w:r>
      <w:r>
        <w:rPr>
          <w:spacing w:val="-4"/>
          <w:sz w:val="19"/>
        </w:rPr>
        <w:t> </w:t>
      </w:r>
      <w:r>
        <w:rPr>
          <w:sz w:val="19"/>
        </w:rPr>
        <w:t>the</w:t>
      </w:r>
      <w:r>
        <w:rPr>
          <w:spacing w:val="-4"/>
          <w:sz w:val="19"/>
        </w:rPr>
        <w:t> </w:t>
      </w:r>
      <w:r>
        <w:rPr>
          <w:sz w:val="19"/>
        </w:rPr>
        <w:t>specific</w:t>
      </w:r>
      <w:r>
        <w:rPr>
          <w:spacing w:val="-4"/>
          <w:sz w:val="19"/>
        </w:rPr>
        <w:t> </w:t>
      </w:r>
      <w:r>
        <w:rPr>
          <w:sz w:val="19"/>
        </w:rPr>
        <w:t>circumstance</w:t>
      </w:r>
      <w:r>
        <w:rPr>
          <w:spacing w:val="-4"/>
          <w:sz w:val="19"/>
        </w:rPr>
        <w:t> </w:t>
      </w:r>
      <w:r>
        <w:rPr>
          <w:sz w:val="19"/>
        </w:rPr>
        <w:t>of</w:t>
      </w:r>
      <w:r>
        <w:rPr>
          <w:spacing w:val="-4"/>
          <w:sz w:val="19"/>
        </w:rPr>
        <w:t> </w:t>
      </w:r>
      <w:r>
        <w:rPr>
          <w:sz w:val="19"/>
        </w:rPr>
        <w:t>the</w:t>
      </w:r>
      <w:r>
        <w:rPr>
          <w:spacing w:val="-3"/>
          <w:sz w:val="19"/>
        </w:rPr>
        <w:t> </w:t>
      </w:r>
      <w:r>
        <w:rPr>
          <w:sz w:val="19"/>
        </w:rPr>
        <w:t>trial</w:t>
      </w:r>
      <w:r>
        <w:rPr>
          <w:spacing w:val="-4"/>
          <w:sz w:val="19"/>
        </w:rPr>
        <w:t> </w:t>
      </w:r>
      <w:r>
        <w:rPr>
          <w:sz w:val="19"/>
        </w:rPr>
        <w:t>against</w:t>
      </w:r>
      <w:r>
        <w:rPr>
          <w:spacing w:val="-4"/>
          <w:sz w:val="19"/>
        </w:rPr>
        <w:t> </w:t>
      </w:r>
      <w:r>
        <w:rPr>
          <w:sz w:val="19"/>
        </w:rPr>
        <w:t>whether</w:t>
      </w:r>
      <w:r>
        <w:rPr>
          <w:spacing w:val="-4"/>
          <w:sz w:val="19"/>
        </w:rPr>
        <w:t> </w:t>
      </w:r>
      <w:r>
        <w:rPr>
          <w:sz w:val="19"/>
        </w:rPr>
        <w:t>the</w:t>
      </w:r>
      <w:r>
        <w:rPr>
          <w:spacing w:val="-4"/>
          <w:sz w:val="19"/>
        </w:rPr>
        <w:t> </w:t>
      </w:r>
      <w:r>
        <w:rPr>
          <w:sz w:val="19"/>
        </w:rPr>
        <w:t>individual</w:t>
      </w:r>
      <w:r>
        <w:rPr>
          <w:spacing w:val="-3"/>
          <w:sz w:val="19"/>
        </w:rPr>
        <w:t> </w:t>
      </w:r>
      <w:r>
        <w:rPr>
          <w:sz w:val="19"/>
        </w:rPr>
        <w:t>is</w:t>
      </w:r>
      <w:r>
        <w:rPr>
          <w:spacing w:val="-4"/>
          <w:sz w:val="19"/>
        </w:rPr>
        <w:t> </w:t>
      </w:r>
      <w:r>
        <w:rPr>
          <w:sz w:val="19"/>
        </w:rPr>
        <w:t>unable</w:t>
      </w:r>
      <w:r>
        <w:rPr>
          <w:spacing w:val="-4"/>
          <w:sz w:val="19"/>
        </w:rPr>
        <w:t> </w:t>
      </w:r>
      <w:r>
        <w:rPr>
          <w:sz w:val="19"/>
        </w:rPr>
        <w:t>to discharge the duties of a</w:t>
      </w:r>
      <w:r>
        <w:rPr>
          <w:spacing w:val="-11"/>
          <w:sz w:val="19"/>
        </w:rPr>
        <w:t> </w:t>
      </w:r>
      <w:r>
        <w:rPr>
          <w:sz w:val="19"/>
        </w:rPr>
        <w:t>juror.</w:t>
      </w:r>
      <w:r>
        <w:rPr>
          <w:position w:val="6"/>
          <w:sz w:val="11"/>
        </w:rPr>
        <w:t>34</w:t>
      </w:r>
    </w:p>
    <w:p>
      <w:pPr>
        <w:pStyle w:val="ListParagraph"/>
        <w:numPr>
          <w:ilvl w:val="1"/>
          <w:numId w:val="12"/>
        </w:numPr>
        <w:tabs>
          <w:tab w:pos="1761" w:val="left" w:leader="none"/>
          <w:tab w:pos="1762" w:val="left" w:leader="none"/>
        </w:tabs>
        <w:spacing w:line="206" w:lineRule="auto" w:before="126" w:after="0"/>
        <w:ind w:left="1761" w:right="1634" w:hanging="794"/>
        <w:jc w:val="left"/>
        <w:rPr>
          <w:sz w:val="11"/>
        </w:rPr>
      </w:pPr>
      <w:r>
        <w:rPr>
          <w:sz w:val="20"/>
        </w:rPr>
        <w:t>Victoria</w:t>
      </w:r>
      <w:r>
        <w:rPr>
          <w:spacing w:val="-10"/>
          <w:sz w:val="20"/>
        </w:rPr>
        <w:t> </w:t>
      </w:r>
      <w:r>
        <w:rPr>
          <w:sz w:val="20"/>
        </w:rPr>
        <w:t>Legal</w:t>
      </w:r>
      <w:r>
        <w:rPr>
          <w:spacing w:val="-9"/>
          <w:sz w:val="20"/>
        </w:rPr>
        <w:t> </w:t>
      </w:r>
      <w:r>
        <w:rPr>
          <w:sz w:val="20"/>
        </w:rPr>
        <w:t>Aid</w:t>
      </w:r>
      <w:r>
        <w:rPr>
          <w:spacing w:val="-9"/>
          <w:sz w:val="20"/>
        </w:rPr>
        <w:t> </w:t>
      </w:r>
      <w:r>
        <w:rPr>
          <w:sz w:val="20"/>
        </w:rPr>
        <w:t>(VLA)</w:t>
      </w:r>
      <w:r>
        <w:rPr>
          <w:spacing w:val="-10"/>
          <w:sz w:val="20"/>
        </w:rPr>
        <w:t> </w:t>
      </w:r>
      <w:r>
        <w:rPr>
          <w:sz w:val="20"/>
        </w:rPr>
        <w:t>argued</w:t>
      </w:r>
      <w:r>
        <w:rPr>
          <w:spacing w:val="-9"/>
          <w:sz w:val="20"/>
        </w:rPr>
        <w:t> </w:t>
      </w:r>
      <w:r>
        <w:rPr>
          <w:sz w:val="20"/>
        </w:rPr>
        <w:t>that</w:t>
      </w:r>
      <w:r>
        <w:rPr>
          <w:spacing w:val="-9"/>
          <w:sz w:val="20"/>
        </w:rPr>
        <w:t> </w:t>
      </w:r>
      <w:r>
        <w:rPr>
          <w:spacing w:val="-3"/>
          <w:sz w:val="20"/>
        </w:rPr>
        <w:t>having</w:t>
      </w:r>
      <w:r>
        <w:rPr>
          <w:spacing w:val="-10"/>
          <w:sz w:val="20"/>
        </w:rPr>
        <w:t> </w:t>
      </w:r>
      <w:r>
        <w:rPr>
          <w:sz w:val="20"/>
        </w:rPr>
        <w:t>a</w:t>
      </w:r>
      <w:r>
        <w:rPr>
          <w:spacing w:val="-9"/>
          <w:sz w:val="20"/>
        </w:rPr>
        <w:t> </w:t>
      </w:r>
      <w:r>
        <w:rPr>
          <w:sz w:val="20"/>
        </w:rPr>
        <w:t>trial</w:t>
      </w:r>
      <w:r>
        <w:rPr>
          <w:spacing w:val="-9"/>
          <w:sz w:val="20"/>
        </w:rPr>
        <w:t> </w:t>
      </w:r>
      <w:r>
        <w:rPr>
          <w:sz w:val="20"/>
        </w:rPr>
        <w:t>judge</w:t>
      </w:r>
      <w:r>
        <w:rPr>
          <w:spacing w:val="-10"/>
          <w:sz w:val="20"/>
        </w:rPr>
        <w:t> </w:t>
      </w:r>
      <w:r>
        <w:rPr>
          <w:spacing w:val="-3"/>
          <w:sz w:val="20"/>
        </w:rPr>
        <w:t>make</w:t>
      </w:r>
      <w:r>
        <w:rPr>
          <w:spacing w:val="-9"/>
          <w:sz w:val="20"/>
        </w:rPr>
        <w:t> </w:t>
      </w:r>
      <w:r>
        <w:rPr>
          <w:sz w:val="20"/>
        </w:rPr>
        <w:t>the</w:t>
      </w:r>
      <w:r>
        <w:rPr>
          <w:spacing w:val="-9"/>
          <w:sz w:val="20"/>
        </w:rPr>
        <w:t> </w:t>
      </w:r>
      <w:r>
        <w:rPr>
          <w:sz w:val="20"/>
        </w:rPr>
        <w:t>final</w:t>
      </w:r>
      <w:r>
        <w:rPr>
          <w:spacing w:val="-9"/>
          <w:sz w:val="20"/>
        </w:rPr>
        <w:t> </w:t>
      </w:r>
      <w:r>
        <w:rPr>
          <w:sz w:val="20"/>
        </w:rPr>
        <w:t>decision</w:t>
      </w:r>
      <w:r>
        <w:rPr>
          <w:spacing w:val="-10"/>
          <w:sz w:val="20"/>
        </w:rPr>
        <w:t> </w:t>
      </w:r>
      <w:r>
        <w:rPr>
          <w:sz w:val="20"/>
        </w:rPr>
        <w:t>will ‘mitigate the risk that an </w:t>
      </w:r>
      <w:r>
        <w:rPr>
          <w:spacing w:val="-3"/>
          <w:sz w:val="20"/>
        </w:rPr>
        <w:t>entire </w:t>
      </w:r>
      <w:r>
        <w:rPr>
          <w:sz w:val="20"/>
        </w:rPr>
        <w:t>jury </w:t>
      </w:r>
      <w:r>
        <w:rPr>
          <w:spacing w:val="-3"/>
          <w:sz w:val="20"/>
        </w:rPr>
        <w:t>would </w:t>
      </w:r>
      <w:r>
        <w:rPr>
          <w:sz w:val="20"/>
        </w:rPr>
        <w:t>need to be discharged and a new trial commenced,</w:t>
      </w:r>
      <w:r>
        <w:rPr>
          <w:spacing w:val="-12"/>
          <w:sz w:val="20"/>
        </w:rPr>
        <w:t> </w:t>
      </w:r>
      <w:r>
        <w:rPr>
          <w:sz w:val="20"/>
        </w:rPr>
        <w:t>and</w:t>
      </w:r>
      <w:r>
        <w:rPr>
          <w:spacing w:val="-11"/>
          <w:sz w:val="20"/>
        </w:rPr>
        <w:t> </w:t>
      </w:r>
      <w:r>
        <w:rPr>
          <w:sz w:val="20"/>
        </w:rPr>
        <w:t>the</w:t>
      </w:r>
      <w:r>
        <w:rPr>
          <w:spacing w:val="-11"/>
          <w:sz w:val="20"/>
        </w:rPr>
        <w:t> </w:t>
      </w:r>
      <w:r>
        <w:rPr>
          <w:sz w:val="20"/>
        </w:rPr>
        <w:t>risk</w:t>
      </w:r>
      <w:r>
        <w:rPr>
          <w:spacing w:val="-11"/>
          <w:sz w:val="20"/>
        </w:rPr>
        <w:t> </w:t>
      </w:r>
      <w:r>
        <w:rPr>
          <w:sz w:val="20"/>
        </w:rPr>
        <w:t>of</w:t>
      </w:r>
      <w:r>
        <w:rPr>
          <w:spacing w:val="-12"/>
          <w:sz w:val="20"/>
        </w:rPr>
        <w:t> </w:t>
      </w:r>
      <w:r>
        <w:rPr>
          <w:sz w:val="20"/>
        </w:rPr>
        <w:t>a</w:t>
      </w:r>
      <w:r>
        <w:rPr>
          <w:spacing w:val="-11"/>
          <w:sz w:val="20"/>
        </w:rPr>
        <w:t> </w:t>
      </w:r>
      <w:r>
        <w:rPr>
          <w:sz w:val="20"/>
        </w:rPr>
        <w:t>miscarriage</w:t>
      </w:r>
      <w:r>
        <w:rPr>
          <w:spacing w:val="-11"/>
          <w:sz w:val="20"/>
        </w:rPr>
        <w:t> </w:t>
      </w:r>
      <w:r>
        <w:rPr>
          <w:sz w:val="20"/>
        </w:rPr>
        <w:t>of</w:t>
      </w:r>
      <w:r>
        <w:rPr>
          <w:spacing w:val="-11"/>
          <w:sz w:val="20"/>
        </w:rPr>
        <w:t> </w:t>
      </w:r>
      <w:r>
        <w:rPr>
          <w:sz w:val="20"/>
        </w:rPr>
        <w:t>justice</w:t>
      </w:r>
      <w:r>
        <w:rPr>
          <w:spacing w:val="-12"/>
          <w:sz w:val="20"/>
        </w:rPr>
        <w:t> </w:t>
      </w:r>
      <w:r>
        <w:rPr>
          <w:sz w:val="20"/>
        </w:rPr>
        <w:t>where</w:t>
      </w:r>
      <w:r>
        <w:rPr>
          <w:spacing w:val="-11"/>
          <w:sz w:val="20"/>
        </w:rPr>
        <w:t> </w:t>
      </w:r>
      <w:r>
        <w:rPr>
          <w:sz w:val="20"/>
        </w:rPr>
        <w:t>visual</w:t>
      </w:r>
      <w:r>
        <w:rPr>
          <w:spacing w:val="-11"/>
          <w:sz w:val="20"/>
        </w:rPr>
        <w:t> </w:t>
      </w:r>
      <w:r>
        <w:rPr>
          <w:sz w:val="20"/>
        </w:rPr>
        <w:t>or</w:t>
      </w:r>
      <w:r>
        <w:rPr>
          <w:spacing w:val="-11"/>
          <w:sz w:val="20"/>
        </w:rPr>
        <w:t> </w:t>
      </w:r>
      <w:r>
        <w:rPr>
          <w:sz w:val="20"/>
        </w:rPr>
        <w:t>aural</w:t>
      </w:r>
      <w:r>
        <w:rPr>
          <w:spacing w:val="-12"/>
          <w:sz w:val="20"/>
        </w:rPr>
        <w:t> </w:t>
      </w:r>
      <w:r>
        <w:rPr>
          <w:sz w:val="20"/>
        </w:rPr>
        <w:t>evidence cannot be </w:t>
      </w:r>
      <w:r>
        <w:rPr>
          <w:spacing w:val="-3"/>
          <w:sz w:val="20"/>
        </w:rPr>
        <w:t>properly </w:t>
      </w:r>
      <w:r>
        <w:rPr>
          <w:sz w:val="20"/>
        </w:rPr>
        <w:t>scrutinised or assessed </w:t>
      </w:r>
      <w:r>
        <w:rPr>
          <w:spacing w:val="-3"/>
          <w:sz w:val="20"/>
        </w:rPr>
        <w:t>provided by </w:t>
      </w:r>
      <w:r>
        <w:rPr>
          <w:sz w:val="20"/>
        </w:rPr>
        <w:t>a</w:t>
      </w:r>
      <w:r>
        <w:rPr>
          <w:spacing w:val="-29"/>
          <w:sz w:val="20"/>
        </w:rPr>
        <w:t> </w:t>
      </w:r>
      <w:r>
        <w:rPr>
          <w:spacing w:val="-3"/>
          <w:sz w:val="20"/>
        </w:rPr>
        <w:t>juror’.</w:t>
      </w:r>
      <w:r>
        <w:rPr>
          <w:spacing w:val="-3"/>
          <w:position w:val="7"/>
          <w:sz w:val="11"/>
        </w:rPr>
        <w:t>35</w:t>
      </w:r>
    </w:p>
    <w:p>
      <w:pPr>
        <w:pStyle w:val="ListParagraph"/>
        <w:numPr>
          <w:ilvl w:val="1"/>
          <w:numId w:val="12"/>
        </w:numPr>
        <w:tabs>
          <w:tab w:pos="1761" w:val="left" w:leader="none"/>
          <w:tab w:pos="1762" w:val="left" w:leader="none"/>
        </w:tabs>
        <w:spacing w:line="206" w:lineRule="auto" w:before="125" w:after="0"/>
        <w:ind w:left="1761" w:right="1204" w:hanging="794"/>
        <w:jc w:val="left"/>
        <w:rPr>
          <w:sz w:val="20"/>
        </w:rPr>
      </w:pPr>
      <w:r>
        <w:rPr>
          <w:sz w:val="20"/>
        </w:rPr>
        <w:t>The </w:t>
      </w:r>
      <w:r>
        <w:rPr>
          <w:spacing w:val="-3"/>
          <w:sz w:val="20"/>
        </w:rPr>
        <w:t>reforms </w:t>
      </w:r>
      <w:r>
        <w:rPr>
          <w:sz w:val="20"/>
        </w:rPr>
        <w:t>discussed in </w:t>
      </w:r>
      <w:r>
        <w:rPr>
          <w:spacing w:val="-2"/>
          <w:sz w:val="20"/>
        </w:rPr>
        <w:t>Chapter </w:t>
      </w:r>
      <w:r>
        <w:rPr>
          <w:sz w:val="20"/>
        </w:rPr>
        <w:t>12 contemplate that Juries Victoria will </w:t>
      </w:r>
      <w:r>
        <w:rPr>
          <w:spacing w:val="-3"/>
          <w:sz w:val="20"/>
        </w:rPr>
        <w:t>coordinate </w:t>
      </w:r>
      <w:r>
        <w:rPr>
          <w:sz w:val="20"/>
        </w:rPr>
        <w:t>and</w:t>
      </w:r>
      <w:r>
        <w:rPr>
          <w:spacing w:val="-12"/>
          <w:sz w:val="20"/>
        </w:rPr>
        <w:t> </w:t>
      </w:r>
      <w:r>
        <w:rPr>
          <w:sz w:val="20"/>
        </w:rPr>
        <w:t>plan</w:t>
      </w:r>
      <w:r>
        <w:rPr>
          <w:spacing w:val="-11"/>
          <w:sz w:val="20"/>
        </w:rPr>
        <w:t> </w:t>
      </w:r>
      <w:r>
        <w:rPr>
          <w:spacing w:val="-3"/>
          <w:sz w:val="20"/>
        </w:rPr>
        <w:t>how</w:t>
      </w:r>
      <w:r>
        <w:rPr>
          <w:spacing w:val="-12"/>
          <w:sz w:val="20"/>
        </w:rPr>
        <w:t> </w:t>
      </w:r>
      <w:r>
        <w:rPr>
          <w:sz w:val="20"/>
        </w:rPr>
        <w:t>the</w:t>
      </w:r>
      <w:r>
        <w:rPr>
          <w:spacing w:val="-11"/>
          <w:sz w:val="20"/>
        </w:rPr>
        <w:t> </w:t>
      </w:r>
      <w:r>
        <w:rPr>
          <w:sz w:val="20"/>
        </w:rPr>
        <w:t>adjustments</w:t>
      </w:r>
      <w:r>
        <w:rPr>
          <w:spacing w:val="-12"/>
          <w:sz w:val="20"/>
        </w:rPr>
        <w:t> </w:t>
      </w:r>
      <w:r>
        <w:rPr>
          <w:spacing w:val="-3"/>
          <w:sz w:val="20"/>
        </w:rPr>
        <w:t>are</w:t>
      </w:r>
      <w:r>
        <w:rPr>
          <w:spacing w:val="-11"/>
          <w:sz w:val="20"/>
        </w:rPr>
        <w:t> </w:t>
      </w:r>
      <w:r>
        <w:rPr>
          <w:sz w:val="20"/>
        </w:rPr>
        <w:t>provided.</w:t>
      </w:r>
      <w:r>
        <w:rPr>
          <w:spacing w:val="-12"/>
          <w:sz w:val="20"/>
        </w:rPr>
        <w:t> </w:t>
      </w:r>
      <w:r>
        <w:rPr>
          <w:sz w:val="20"/>
        </w:rPr>
        <w:t>Juries</w:t>
      </w:r>
      <w:r>
        <w:rPr>
          <w:spacing w:val="-11"/>
          <w:sz w:val="20"/>
        </w:rPr>
        <w:t> </w:t>
      </w:r>
      <w:r>
        <w:rPr>
          <w:sz w:val="20"/>
        </w:rPr>
        <w:t>Victoria</w:t>
      </w:r>
      <w:r>
        <w:rPr>
          <w:spacing w:val="-12"/>
          <w:sz w:val="20"/>
        </w:rPr>
        <w:t> </w:t>
      </w:r>
      <w:r>
        <w:rPr>
          <w:sz w:val="20"/>
        </w:rPr>
        <w:t>will</w:t>
      </w:r>
      <w:r>
        <w:rPr>
          <w:spacing w:val="-11"/>
          <w:sz w:val="20"/>
        </w:rPr>
        <w:t> </w:t>
      </w:r>
      <w:r>
        <w:rPr>
          <w:sz w:val="20"/>
        </w:rPr>
        <w:t>talk</w:t>
      </w:r>
      <w:r>
        <w:rPr>
          <w:spacing w:val="-11"/>
          <w:sz w:val="20"/>
        </w:rPr>
        <w:t> </w:t>
      </w:r>
      <w:r>
        <w:rPr>
          <w:sz w:val="20"/>
        </w:rPr>
        <w:t>to</w:t>
      </w:r>
      <w:r>
        <w:rPr>
          <w:spacing w:val="-12"/>
          <w:sz w:val="20"/>
        </w:rPr>
        <w:t> </w:t>
      </w:r>
      <w:r>
        <w:rPr>
          <w:sz w:val="20"/>
        </w:rPr>
        <w:t>the</w:t>
      </w:r>
      <w:r>
        <w:rPr>
          <w:spacing w:val="-11"/>
          <w:sz w:val="20"/>
        </w:rPr>
        <w:t> </w:t>
      </w:r>
      <w:r>
        <w:rPr>
          <w:sz w:val="20"/>
        </w:rPr>
        <w:t>potential</w:t>
      </w:r>
      <w:r>
        <w:rPr>
          <w:spacing w:val="-12"/>
          <w:sz w:val="20"/>
        </w:rPr>
        <w:t> </w:t>
      </w:r>
      <w:r>
        <w:rPr>
          <w:sz w:val="20"/>
        </w:rPr>
        <w:t>juror about their needs, arrange a pre-empanelment court visit, and consult with the court about </w:t>
      </w:r>
      <w:r>
        <w:rPr>
          <w:spacing w:val="-3"/>
          <w:sz w:val="20"/>
        </w:rPr>
        <w:t>providing </w:t>
      </w:r>
      <w:r>
        <w:rPr>
          <w:sz w:val="20"/>
        </w:rPr>
        <w:t>adjustments. A </w:t>
      </w:r>
      <w:r>
        <w:rPr>
          <w:spacing w:val="-3"/>
          <w:sz w:val="20"/>
        </w:rPr>
        <w:t>judge’s </w:t>
      </w:r>
      <w:r>
        <w:rPr>
          <w:sz w:val="20"/>
        </w:rPr>
        <w:t>decision will be based on information and a recommendation </w:t>
      </w:r>
      <w:r>
        <w:rPr>
          <w:spacing w:val="-3"/>
          <w:sz w:val="20"/>
        </w:rPr>
        <w:t>provided by </w:t>
      </w:r>
      <w:r>
        <w:rPr>
          <w:sz w:val="20"/>
        </w:rPr>
        <w:t>the Juries</w:t>
      </w:r>
      <w:r>
        <w:rPr>
          <w:spacing w:val="-19"/>
          <w:sz w:val="20"/>
        </w:rPr>
        <w:t> </w:t>
      </w:r>
      <w:r>
        <w:rPr>
          <w:sz w:val="20"/>
        </w:rPr>
        <w:t>Commissioner.</w:t>
      </w:r>
    </w:p>
    <w:p>
      <w:pPr>
        <w:spacing w:before="165"/>
        <w:ind w:left="967" w:right="0" w:firstLine="0"/>
        <w:jc w:val="left"/>
        <w:rPr>
          <w:b/>
          <w:sz w:val="24"/>
        </w:rPr>
      </w:pPr>
      <w:r>
        <w:rPr>
          <w:b/>
          <w:sz w:val="24"/>
        </w:rPr>
        <w:t>The operation of Schedule 2 should be limited</w:t>
      </w:r>
    </w:p>
    <w:p>
      <w:pPr>
        <w:pStyle w:val="ListParagraph"/>
        <w:numPr>
          <w:ilvl w:val="1"/>
          <w:numId w:val="12"/>
        </w:numPr>
        <w:tabs>
          <w:tab w:pos="1761" w:val="left" w:leader="none"/>
          <w:tab w:pos="1762" w:val="left" w:leader="none"/>
        </w:tabs>
        <w:spacing w:line="206" w:lineRule="auto" w:before="127" w:after="0"/>
        <w:ind w:left="1761" w:right="1288" w:hanging="794"/>
        <w:jc w:val="left"/>
        <w:rPr>
          <w:sz w:val="20"/>
        </w:rPr>
      </w:pPr>
      <w:r>
        <w:rPr>
          <w:sz w:val="20"/>
        </w:rPr>
        <w:t>If</w:t>
      </w:r>
      <w:r>
        <w:rPr>
          <w:spacing w:val="-10"/>
          <w:sz w:val="20"/>
        </w:rPr>
        <w:t> </w:t>
      </w:r>
      <w:r>
        <w:rPr>
          <w:sz w:val="20"/>
        </w:rPr>
        <w:t>a</w:t>
      </w:r>
      <w:r>
        <w:rPr>
          <w:spacing w:val="-9"/>
          <w:sz w:val="20"/>
        </w:rPr>
        <w:t> </w:t>
      </w:r>
      <w:r>
        <w:rPr>
          <w:sz w:val="20"/>
        </w:rPr>
        <w:t>judge</w:t>
      </w:r>
      <w:r>
        <w:rPr>
          <w:spacing w:val="-9"/>
          <w:sz w:val="20"/>
        </w:rPr>
        <w:t> </w:t>
      </w:r>
      <w:r>
        <w:rPr>
          <w:spacing w:val="-3"/>
          <w:sz w:val="20"/>
        </w:rPr>
        <w:t>makes</w:t>
      </w:r>
      <w:r>
        <w:rPr>
          <w:spacing w:val="-9"/>
          <w:sz w:val="20"/>
        </w:rPr>
        <w:t> </w:t>
      </w:r>
      <w:r>
        <w:rPr>
          <w:sz w:val="20"/>
        </w:rPr>
        <w:t>a</w:t>
      </w:r>
      <w:r>
        <w:rPr>
          <w:spacing w:val="-9"/>
          <w:sz w:val="20"/>
        </w:rPr>
        <w:t> </w:t>
      </w:r>
      <w:r>
        <w:rPr>
          <w:sz w:val="20"/>
        </w:rPr>
        <w:t>direction</w:t>
      </w:r>
      <w:r>
        <w:rPr>
          <w:spacing w:val="-10"/>
          <w:sz w:val="20"/>
        </w:rPr>
        <w:t> </w:t>
      </w:r>
      <w:r>
        <w:rPr>
          <w:sz w:val="20"/>
        </w:rPr>
        <w:t>to</w:t>
      </w:r>
      <w:r>
        <w:rPr>
          <w:spacing w:val="-9"/>
          <w:sz w:val="20"/>
        </w:rPr>
        <w:t> </w:t>
      </w:r>
      <w:r>
        <w:rPr>
          <w:spacing w:val="-3"/>
          <w:sz w:val="20"/>
        </w:rPr>
        <w:t>provide</w:t>
      </w:r>
      <w:r>
        <w:rPr>
          <w:spacing w:val="-9"/>
          <w:sz w:val="20"/>
        </w:rPr>
        <w:t> </w:t>
      </w:r>
      <w:r>
        <w:rPr>
          <w:sz w:val="20"/>
        </w:rPr>
        <w:t>reasonable</w:t>
      </w:r>
      <w:r>
        <w:rPr>
          <w:spacing w:val="-9"/>
          <w:sz w:val="20"/>
        </w:rPr>
        <w:t> </w:t>
      </w:r>
      <w:r>
        <w:rPr>
          <w:sz w:val="20"/>
        </w:rPr>
        <w:t>adjustments,</w:t>
      </w:r>
      <w:r>
        <w:rPr>
          <w:spacing w:val="-9"/>
          <w:sz w:val="20"/>
        </w:rPr>
        <w:t> </w:t>
      </w:r>
      <w:r>
        <w:rPr>
          <w:sz w:val="20"/>
        </w:rPr>
        <w:t>the</w:t>
      </w:r>
      <w:r>
        <w:rPr>
          <w:spacing w:val="-10"/>
          <w:sz w:val="20"/>
        </w:rPr>
        <w:t> </w:t>
      </w:r>
      <w:r>
        <w:rPr>
          <w:spacing w:val="-2"/>
          <w:sz w:val="20"/>
        </w:rPr>
        <w:t>Act</w:t>
      </w:r>
      <w:r>
        <w:rPr>
          <w:spacing w:val="-9"/>
          <w:sz w:val="20"/>
        </w:rPr>
        <w:t> </w:t>
      </w:r>
      <w:r>
        <w:rPr>
          <w:sz w:val="20"/>
        </w:rPr>
        <w:t>should</w:t>
      </w:r>
      <w:r>
        <w:rPr>
          <w:spacing w:val="-9"/>
          <w:sz w:val="20"/>
        </w:rPr>
        <w:t> </w:t>
      </w:r>
      <w:r>
        <w:rPr>
          <w:spacing w:val="-3"/>
          <w:sz w:val="20"/>
        </w:rPr>
        <w:t>provide </w:t>
      </w:r>
      <w:r>
        <w:rPr>
          <w:sz w:val="20"/>
        </w:rPr>
        <w:t>that the ineligibility criteria in schedule 2(3)(a) of the </w:t>
      </w:r>
      <w:r>
        <w:rPr>
          <w:spacing w:val="-2"/>
          <w:sz w:val="20"/>
        </w:rPr>
        <w:t>Act </w:t>
      </w:r>
      <w:r>
        <w:rPr>
          <w:spacing w:val="-3"/>
          <w:sz w:val="20"/>
        </w:rPr>
        <w:t>(a </w:t>
      </w:r>
      <w:r>
        <w:rPr>
          <w:sz w:val="20"/>
        </w:rPr>
        <w:t>person with a </w:t>
      </w:r>
      <w:r>
        <w:rPr>
          <w:spacing w:val="-3"/>
          <w:sz w:val="20"/>
        </w:rPr>
        <w:t>physical </w:t>
      </w:r>
      <w:r>
        <w:rPr>
          <w:sz w:val="20"/>
        </w:rPr>
        <w:t>disability</w:t>
      </w:r>
      <w:r>
        <w:rPr>
          <w:spacing w:val="-11"/>
          <w:sz w:val="20"/>
        </w:rPr>
        <w:t> </w:t>
      </w:r>
      <w:r>
        <w:rPr>
          <w:sz w:val="20"/>
        </w:rPr>
        <w:t>that</w:t>
      </w:r>
      <w:r>
        <w:rPr>
          <w:spacing w:val="-10"/>
          <w:sz w:val="20"/>
        </w:rPr>
        <w:t> </w:t>
      </w:r>
      <w:r>
        <w:rPr>
          <w:sz w:val="20"/>
        </w:rPr>
        <w:t>renders</w:t>
      </w:r>
      <w:r>
        <w:rPr>
          <w:spacing w:val="-11"/>
          <w:sz w:val="20"/>
        </w:rPr>
        <w:t> </w:t>
      </w:r>
      <w:r>
        <w:rPr>
          <w:sz w:val="20"/>
        </w:rPr>
        <w:t>them</w:t>
      </w:r>
      <w:r>
        <w:rPr>
          <w:spacing w:val="-10"/>
          <w:sz w:val="20"/>
        </w:rPr>
        <w:t> </w:t>
      </w:r>
      <w:r>
        <w:rPr>
          <w:sz w:val="20"/>
        </w:rPr>
        <w:t>incapable</w:t>
      </w:r>
      <w:r>
        <w:rPr>
          <w:spacing w:val="-11"/>
          <w:sz w:val="20"/>
        </w:rPr>
        <w:t> </w:t>
      </w:r>
      <w:r>
        <w:rPr>
          <w:sz w:val="20"/>
        </w:rPr>
        <w:t>of</w:t>
      </w:r>
      <w:r>
        <w:rPr>
          <w:spacing w:val="-10"/>
          <w:sz w:val="20"/>
        </w:rPr>
        <w:t> </w:t>
      </w:r>
      <w:r>
        <w:rPr>
          <w:sz w:val="20"/>
        </w:rPr>
        <w:t>performing</w:t>
      </w:r>
      <w:r>
        <w:rPr>
          <w:spacing w:val="-11"/>
          <w:sz w:val="20"/>
        </w:rPr>
        <w:t> </w:t>
      </w:r>
      <w:r>
        <w:rPr>
          <w:sz w:val="20"/>
        </w:rPr>
        <w:t>the</w:t>
      </w:r>
      <w:r>
        <w:rPr>
          <w:spacing w:val="-10"/>
          <w:sz w:val="20"/>
        </w:rPr>
        <w:t> </w:t>
      </w:r>
      <w:r>
        <w:rPr>
          <w:sz w:val="20"/>
        </w:rPr>
        <w:t>duties</w:t>
      </w:r>
      <w:r>
        <w:rPr>
          <w:spacing w:val="-11"/>
          <w:sz w:val="20"/>
        </w:rPr>
        <w:t> </w:t>
      </w:r>
      <w:r>
        <w:rPr>
          <w:sz w:val="20"/>
        </w:rPr>
        <w:t>of</w:t>
      </w:r>
      <w:r>
        <w:rPr>
          <w:spacing w:val="-10"/>
          <w:sz w:val="20"/>
        </w:rPr>
        <w:t> </w:t>
      </w:r>
      <w:r>
        <w:rPr>
          <w:sz w:val="20"/>
        </w:rPr>
        <w:t>jury</w:t>
      </w:r>
      <w:r>
        <w:rPr>
          <w:spacing w:val="-11"/>
          <w:sz w:val="20"/>
        </w:rPr>
        <w:t> </w:t>
      </w:r>
      <w:r>
        <w:rPr>
          <w:sz w:val="20"/>
        </w:rPr>
        <w:t>service)</w:t>
      </w:r>
      <w:r>
        <w:rPr>
          <w:spacing w:val="-10"/>
          <w:sz w:val="20"/>
        </w:rPr>
        <w:t> </w:t>
      </w:r>
      <w:r>
        <w:rPr>
          <w:sz w:val="20"/>
        </w:rPr>
        <w:t>will</w:t>
      </w:r>
      <w:r>
        <w:rPr>
          <w:spacing w:val="-10"/>
          <w:sz w:val="20"/>
        </w:rPr>
        <w:t> </w:t>
      </w:r>
      <w:r>
        <w:rPr>
          <w:sz w:val="20"/>
        </w:rPr>
        <w:t>not </w:t>
      </w:r>
      <w:r>
        <w:rPr>
          <w:spacing w:val="-4"/>
          <w:sz w:val="20"/>
        </w:rPr>
        <w:t>apply.</w:t>
      </w:r>
    </w:p>
    <w:p>
      <w:pPr>
        <w:pStyle w:val="ListParagraph"/>
        <w:numPr>
          <w:ilvl w:val="1"/>
          <w:numId w:val="12"/>
        </w:numPr>
        <w:tabs>
          <w:tab w:pos="1761" w:val="left" w:leader="none"/>
          <w:tab w:pos="1762" w:val="left" w:leader="none"/>
        </w:tabs>
        <w:spacing w:line="206" w:lineRule="auto" w:before="125" w:after="0"/>
        <w:ind w:left="1761" w:right="1682" w:hanging="794"/>
        <w:jc w:val="left"/>
        <w:rPr>
          <w:sz w:val="20"/>
        </w:rPr>
      </w:pPr>
      <w:r>
        <w:rPr>
          <w:sz w:val="20"/>
        </w:rPr>
        <w:t>In</w:t>
      </w:r>
      <w:r>
        <w:rPr>
          <w:spacing w:val="-11"/>
          <w:sz w:val="20"/>
        </w:rPr>
        <w:t> </w:t>
      </w:r>
      <w:r>
        <w:rPr>
          <w:spacing w:val="-2"/>
          <w:sz w:val="20"/>
        </w:rPr>
        <w:t>Chapter</w:t>
      </w:r>
      <w:r>
        <w:rPr>
          <w:spacing w:val="-10"/>
          <w:sz w:val="20"/>
        </w:rPr>
        <w:t> </w:t>
      </w:r>
      <w:r>
        <w:rPr>
          <w:sz w:val="20"/>
        </w:rPr>
        <w:t>14</w:t>
      </w:r>
      <w:r>
        <w:rPr>
          <w:spacing w:val="-10"/>
          <w:sz w:val="20"/>
        </w:rPr>
        <w:t> </w:t>
      </w:r>
      <w:r>
        <w:rPr>
          <w:spacing w:val="-3"/>
          <w:sz w:val="20"/>
        </w:rPr>
        <w:t>we</w:t>
      </w:r>
      <w:r>
        <w:rPr>
          <w:spacing w:val="-10"/>
          <w:sz w:val="20"/>
        </w:rPr>
        <w:t> </w:t>
      </w:r>
      <w:r>
        <w:rPr>
          <w:sz w:val="20"/>
        </w:rPr>
        <w:t>also</w:t>
      </w:r>
      <w:r>
        <w:rPr>
          <w:spacing w:val="-11"/>
          <w:sz w:val="20"/>
        </w:rPr>
        <w:t> </w:t>
      </w:r>
      <w:r>
        <w:rPr>
          <w:sz w:val="20"/>
        </w:rPr>
        <w:t>recommend</w:t>
      </w:r>
      <w:r>
        <w:rPr>
          <w:spacing w:val="-10"/>
          <w:sz w:val="20"/>
        </w:rPr>
        <w:t> </w:t>
      </w:r>
      <w:r>
        <w:rPr>
          <w:sz w:val="20"/>
        </w:rPr>
        <w:t>a</w:t>
      </w:r>
      <w:r>
        <w:rPr>
          <w:spacing w:val="-10"/>
          <w:sz w:val="20"/>
        </w:rPr>
        <w:t> </w:t>
      </w:r>
      <w:r>
        <w:rPr>
          <w:sz w:val="20"/>
        </w:rPr>
        <w:t>limitation</w:t>
      </w:r>
      <w:r>
        <w:rPr>
          <w:spacing w:val="-10"/>
          <w:sz w:val="20"/>
        </w:rPr>
        <w:t> </w:t>
      </w:r>
      <w:r>
        <w:rPr>
          <w:sz w:val="20"/>
        </w:rPr>
        <w:t>to</w:t>
      </w:r>
      <w:r>
        <w:rPr>
          <w:spacing w:val="-10"/>
          <w:sz w:val="20"/>
        </w:rPr>
        <w:t> </w:t>
      </w:r>
      <w:r>
        <w:rPr>
          <w:sz w:val="20"/>
        </w:rPr>
        <w:t>schedule</w:t>
      </w:r>
      <w:r>
        <w:rPr>
          <w:spacing w:val="-11"/>
          <w:sz w:val="20"/>
        </w:rPr>
        <w:t> </w:t>
      </w:r>
      <w:r>
        <w:rPr>
          <w:sz w:val="20"/>
        </w:rPr>
        <w:t>2(3)(f)</w:t>
      </w:r>
      <w:r>
        <w:rPr>
          <w:spacing w:val="-10"/>
          <w:sz w:val="20"/>
        </w:rPr>
        <w:t> </w:t>
      </w:r>
      <w:r>
        <w:rPr>
          <w:sz w:val="20"/>
        </w:rPr>
        <w:t>regarding</w:t>
      </w:r>
      <w:r>
        <w:rPr>
          <w:spacing w:val="-10"/>
          <w:sz w:val="20"/>
        </w:rPr>
        <w:t> </w:t>
      </w:r>
      <w:r>
        <w:rPr>
          <w:sz w:val="20"/>
        </w:rPr>
        <w:t>English communication and Auslan</w:t>
      </w:r>
      <w:r>
        <w:rPr>
          <w:spacing w:val="-15"/>
          <w:sz w:val="20"/>
        </w:rPr>
        <w:t> </w:t>
      </w:r>
      <w:r>
        <w:rPr>
          <w:sz w:val="20"/>
        </w:rPr>
        <w:t>interpreting.</w:t>
      </w:r>
    </w:p>
    <w:p>
      <w:pPr>
        <w:pStyle w:val="BodyText"/>
        <w:spacing w:before="6"/>
        <w:rPr>
          <w:sz w:val="16"/>
        </w:rPr>
      </w:pPr>
    </w:p>
    <w:p>
      <w:pPr>
        <w:spacing w:before="0"/>
        <w:ind w:left="967" w:right="0" w:firstLine="0"/>
        <w:jc w:val="left"/>
        <w:rPr>
          <w:rFonts w:ascii="Raleway ExtraBold"/>
          <w:b/>
          <w:sz w:val="28"/>
        </w:rPr>
      </w:pPr>
      <w:r>
        <w:rPr>
          <w:rFonts w:ascii="Raleway ExtraBold"/>
          <w:b/>
          <w:color w:val="37617A"/>
          <w:sz w:val="28"/>
        </w:rPr>
        <w:t>We recommend modifications to the ACT approach for Victoria</w:t>
      </w:r>
    </w:p>
    <w:p>
      <w:pPr>
        <w:pStyle w:val="ListParagraph"/>
        <w:numPr>
          <w:ilvl w:val="1"/>
          <w:numId w:val="12"/>
        </w:numPr>
        <w:tabs>
          <w:tab w:pos="1761" w:val="left" w:leader="none"/>
          <w:tab w:pos="1762" w:val="left" w:leader="none"/>
        </w:tabs>
        <w:spacing w:line="206" w:lineRule="auto" w:before="146" w:after="0"/>
        <w:ind w:left="1761" w:right="1852" w:hanging="794"/>
        <w:jc w:val="left"/>
        <w:rPr>
          <w:sz w:val="20"/>
        </w:rPr>
      </w:pPr>
      <w:r>
        <w:rPr>
          <w:sz w:val="20"/>
        </w:rPr>
        <w:t>The</w:t>
      </w:r>
      <w:r>
        <w:rPr>
          <w:spacing w:val="-9"/>
          <w:sz w:val="20"/>
        </w:rPr>
        <w:t> </w:t>
      </w:r>
      <w:r>
        <w:rPr>
          <w:spacing w:val="-4"/>
          <w:sz w:val="20"/>
        </w:rPr>
        <w:t>ACT</w:t>
      </w:r>
      <w:r>
        <w:rPr>
          <w:spacing w:val="-9"/>
          <w:sz w:val="20"/>
        </w:rPr>
        <w:t> </w:t>
      </w:r>
      <w:r>
        <w:rPr>
          <w:spacing w:val="-2"/>
          <w:sz w:val="20"/>
        </w:rPr>
        <w:t>Act</w:t>
      </w:r>
      <w:r>
        <w:rPr>
          <w:spacing w:val="-8"/>
          <w:sz w:val="20"/>
        </w:rPr>
        <w:t> </w:t>
      </w:r>
      <w:r>
        <w:rPr>
          <w:spacing w:val="-3"/>
          <w:sz w:val="20"/>
        </w:rPr>
        <w:t>provides</w:t>
      </w:r>
      <w:r>
        <w:rPr>
          <w:spacing w:val="-9"/>
          <w:sz w:val="20"/>
        </w:rPr>
        <w:t> </w:t>
      </w:r>
      <w:r>
        <w:rPr>
          <w:sz w:val="20"/>
        </w:rPr>
        <w:t>a</w:t>
      </w:r>
      <w:r>
        <w:rPr>
          <w:spacing w:val="-8"/>
          <w:sz w:val="20"/>
        </w:rPr>
        <w:t> </w:t>
      </w:r>
      <w:r>
        <w:rPr>
          <w:sz w:val="20"/>
        </w:rPr>
        <w:t>helpful</w:t>
      </w:r>
      <w:r>
        <w:rPr>
          <w:spacing w:val="-9"/>
          <w:sz w:val="20"/>
        </w:rPr>
        <w:t> </w:t>
      </w:r>
      <w:r>
        <w:rPr>
          <w:sz w:val="20"/>
        </w:rPr>
        <w:t>model</w:t>
      </w:r>
      <w:r>
        <w:rPr>
          <w:spacing w:val="-9"/>
          <w:sz w:val="20"/>
        </w:rPr>
        <w:t> </w:t>
      </w:r>
      <w:r>
        <w:rPr>
          <w:sz w:val="20"/>
        </w:rPr>
        <w:t>upon</w:t>
      </w:r>
      <w:r>
        <w:rPr>
          <w:spacing w:val="-8"/>
          <w:sz w:val="20"/>
        </w:rPr>
        <w:t> </w:t>
      </w:r>
      <w:r>
        <w:rPr>
          <w:sz w:val="20"/>
        </w:rPr>
        <w:t>which</w:t>
      </w:r>
      <w:r>
        <w:rPr>
          <w:spacing w:val="-9"/>
          <w:sz w:val="20"/>
        </w:rPr>
        <w:t> </w:t>
      </w:r>
      <w:r>
        <w:rPr>
          <w:sz w:val="20"/>
        </w:rPr>
        <w:t>to</w:t>
      </w:r>
      <w:r>
        <w:rPr>
          <w:spacing w:val="-8"/>
          <w:sz w:val="20"/>
        </w:rPr>
        <w:t> </w:t>
      </w:r>
      <w:r>
        <w:rPr>
          <w:sz w:val="20"/>
        </w:rPr>
        <w:t>base</w:t>
      </w:r>
      <w:r>
        <w:rPr>
          <w:spacing w:val="-9"/>
          <w:sz w:val="20"/>
        </w:rPr>
        <w:t> </w:t>
      </w:r>
      <w:r>
        <w:rPr>
          <w:sz w:val="20"/>
        </w:rPr>
        <w:t>the</w:t>
      </w:r>
      <w:r>
        <w:rPr>
          <w:spacing w:val="-8"/>
          <w:sz w:val="20"/>
        </w:rPr>
        <w:t> </w:t>
      </w:r>
      <w:r>
        <w:rPr>
          <w:sz w:val="20"/>
        </w:rPr>
        <w:t>Victorian</w:t>
      </w:r>
      <w:r>
        <w:rPr>
          <w:spacing w:val="-9"/>
          <w:sz w:val="20"/>
        </w:rPr>
        <w:t> </w:t>
      </w:r>
      <w:r>
        <w:rPr>
          <w:sz w:val="20"/>
        </w:rPr>
        <w:t>reforms. </w:t>
      </w:r>
      <w:r>
        <w:rPr>
          <w:spacing w:val="-6"/>
          <w:sz w:val="20"/>
        </w:rPr>
        <w:t>We </w:t>
      </w:r>
      <w:r>
        <w:rPr>
          <w:spacing w:val="-3"/>
          <w:sz w:val="20"/>
        </w:rPr>
        <w:t>are </w:t>
      </w:r>
      <w:r>
        <w:rPr>
          <w:sz w:val="20"/>
        </w:rPr>
        <w:t>recommending some modifications to the </w:t>
      </w:r>
      <w:r>
        <w:rPr>
          <w:spacing w:val="-4"/>
          <w:sz w:val="20"/>
        </w:rPr>
        <w:t>ACT </w:t>
      </w:r>
      <w:r>
        <w:rPr>
          <w:sz w:val="20"/>
        </w:rPr>
        <w:t>model based upon our consultations and</w:t>
      </w:r>
      <w:r>
        <w:rPr>
          <w:spacing w:val="-9"/>
          <w:sz w:val="20"/>
        </w:rPr>
        <w:t> </w:t>
      </w:r>
      <w:r>
        <w:rPr>
          <w:spacing w:val="-3"/>
          <w:sz w:val="20"/>
        </w:rPr>
        <w:t>research.</w:t>
      </w:r>
    </w:p>
    <w:p>
      <w:pPr>
        <w:spacing w:before="162"/>
        <w:ind w:left="967" w:right="0" w:firstLine="0"/>
        <w:jc w:val="left"/>
        <w:rPr>
          <w:b/>
          <w:sz w:val="24"/>
        </w:rPr>
      </w:pPr>
      <w:r>
        <w:rPr>
          <w:b/>
          <w:sz w:val="24"/>
        </w:rPr>
        <w:t>Improving language</w:t>
      </w:r>
    </w:p>
    <w:p>
      <w:pPr>
        <w:pStyle w:val="ListParagraph"/>
        <w:numPr>
          <w:ilvl w:val="1"/>
          <w:numId w:val="12"/>
        </w:numPr>
        <w:tabs>
          <w:tab w:pos="1761" w:val="left" w:leader="none"/>
          <w:tab w:pos="1762" w:val="left" w:leader="none"/>
        </w:tabs>
        <w:spacing w:line="259" w:lineRule="exact" w:before="95" w:after="0"/>
        <w:ind w:left="1761" w:right="0" w:hanging="794"/>
        <w:jc w:val="left"/>
        <w:rPr>
          <w:sz w:val="20"/>
        </w:rPr>
      </w:pPr>
      <w:r>
        <w:rPr>
          <w:sz w:val="20"/>
        </w:rPr>
        <w:t>Vision</w:t>
      </w:r>
      <w:r>
        <w:rPr>
          <w:spacing w:val="-6"/>
          <w:sz w:val="20"/>
        </w:rPr>
        <w:t> </w:t>
      </w:r>
      <w:r>
        <w:rPr>
          <w:sz w:val="20"/>
        </w:rPr>
        <w:t>Australia</w:t>
      </w:r>
      <w:r>
        <w:rPr>
          <w:spacing w:val="-6"/>
          <w:sz w:val="20"/>
        </w:rPr>
        <w:t> </w:t>
      </w:r>
      <w:r>
        <w:rPr>
          <w:sz w:val="20"/>
        </w:rPr>
        <w:t>was</w:t>
      </w:r>
      <w:r>
        <w:rPr>
          <w:spacing w:val="-5"/>
          <w:sz w:val="20"/>
        </w:rPr>
        <w:t> </w:t>
      </w:r>
      <w:r>
        <w:rPr>
          <w:sz w:val="20"/>
        </w:rPr>
        <w:t>critical</w:t>
      </w:r>
      <w:r>
        <w:rPr>
          <w:spacing w:val="-6"/>
          <w:sz w:val="20"/>
        </w:rPr>
        <w:t> </w:t>
      </w:r>
      <w:r>
        <w:rPr>
          <w:sz w:val="20"/>
        </w:rPr>
        <w:t>of</w:t>
      </w:r>
      <w:r>
        <w:rPr>
          <w:spacing w:val="-5"/>
          <w:sz w:val="20"/>
        </w:rPr>
        <w:t> </w:t>
      </w:r>
      <w:r>
        <w:rPr>
          <w:sz w:val="20"/>
        </w:rPr>
        <w:t>the</w:t>
      </w:r>
      <w:r>
        <w:rPr>
          <w:spacing w:val="-6"/>
          <w:sz w:val="20"/>
        </w:rPr>
        <w:t> </w:t>
      </w:r>
      <w:r>
        <w:rPr>
          <w:spacing w:val="-3"/>
          <w:sz w:val="20"/>
        </w:rPr>
        <w:t>wording</w:t>
      </w:r>
      <w:r>
        <w:rPr>
          <w:spacing w:val="-5"/>
          <w:sz w:val="20"/>
        </w:rPr>
        <w:t> </w:t>
      </w:r>
      <w:r>
        <w:rPr>
          <w:sz w:val="20"/>
        </w:rPr>
        <w:t>in</w:t>
      </w:r>
      <w:r>
        <w:rPr>
          <w:spacing w:val="-6"/>
          <w:sz w:val="20"/>
        </w:rPr>
        <w:t> </w:t>
      </w:r>
      <w:r>
        <w:rPr>
          <w:sz w:val="20"/>
        </w:rPr>
        <w:t>section</w:t>
      </w:r>
      <w:r>
        <w:rPr>
          <w:spacing w:val="-5"/>
          <w:sz w:val="20"/>
        </w:rPr>
        <w:t> </w:t>
      </w:r>
      <w:r>
        <w:rPr>
          <w:sz w:val="20"/>
        </w:rPr>
        <w:t>16(1)(b)</w:t>
      </w:r>
      <w:r>
        <w:rPr>
          <w:spacing w:val="-6"/>
          <w:sz w:val="20"/>
        </w:rPr>
        <w:t> </w:t>
      </w:r>
      <w:r>
        <w:rPr>
          <w:sz w:val="20"/>
        </w:rPr>
        <w:t>of</w:t>
      </w:r>
      <w:r>
        <w:rPr>
          <w:spacing w:val="-5"/>
          <w:sz w:val="20"/>
        </w:rPr>
        <w:t> </w:t>
      </w:r>
      <w:r>
        <w:rPr>
          <w:sz w:val="20"/>
        </w:rPr>
        <w:t>the</w:t>
      </w:r>
      <w:r>
        <w:rPr>
          <w:spacing w:val="-6"/>
          <w:sz w:val="20"/>
        </w:rPr>
        <w:t> </w:t>
      </w:r>
      <w:r>
        <w:rPr>
          <w:spacing w:val="-4"/>
          <w:sz w:val="20"/>
        </w:rPr>
        <w:t>ACT</w:t>
      </w:r>
      <w:r>
        <w:rPr>
          <w:spacing w:val="-5"/>
          <w:sz w:val="20"/>
        </w:rPr>
        <w:t> </w:t>
      </w:r>
      <w:r>
        <w:rPr>
          <w:sz w:val="20"/>
        </w:rPr>
        <w:t>Act,</w:t>
      </w:r>
      <w:r>
        <w:rPr>
          <w:spacing w:val="-6"/>
          <w:sz w:val="20"/>
        </w:rPr>
        <w:t> </w:t>
      </w:r>
      <w:r>
        <w:rPr>
          <w:sz w:val="20"/>
        </w:rPr>
        <w:t>which</w:t>
      </w:r>
    </w:p>
    <w:p>
      <w:pPr>
        <w:pStyle w:val="BodyText"/>
        <w:spacing w:line="259" w:lineRule="exact"/>
        <w:ind w:left="1761"/>
      </w:pPr>
      <w:r>
        <w:rPr/>
        <w:t>describes a potential juror who ‘is suffering from a mental or physical disability’:</w:t>
      </w:r>
    </w:p>
    <w:p>
      <w:pPr>
        <w:spacing w:line="208" w:lineRule="auto" w:before="112"/>
        <w:ind w:left="2157" w:right="1308" w:firstLine="0"/>
        <w:jc w:val="left"/>
        <w:rPr>
          <w:sz w:val="11"/>
        </w:rPr>
      </w:pPr>
      <w:r>
        <w:rPr>
          <w:sz w:val="19"/>
        </w:rPr>
        <w:t>Having examined the </w:t>
      </w:r>
      <w:r>
        <w:rPr>
          <w:spacing w:val="-3"/>
          <w:sz w:val="19"/>
        </w:rPr>
        <w:t>ACT </w:t>
      </w:r>
      <w:r>
        <w:rPr>
          <w:sz w:val="19"/>
        </w:rPr>
        <w:t>approach, we feel that it is appropriate for Victoria, recognising, of course, that there may need to be customisations made to the wording and examples in the </w:t>
      </w:r>
      <w:r>
        <w:rPr>
          <w:spacing w:val="-3"/>
          <w:sz w:val="19"/>
        </w:rPr>
        <w:t>ACT </w:t>
      </w:r>
      <w:r>
        <w:rPr>
          <w:sz w:val="19"/>
        </w:rPr>
        <w:t>legislation. </w:t>
      </w:r>
      <w:r>
        <w:rPr>
          <w:spacing w:val="-5"/>
          <w:sz w:val="19"/>
        </w:rPr>
        <w:t>We </w:t>
      </w:r>
      <w:r>
        <w:rPr>
          <w:sz w:val="19"/>
        </w:rPr>
        <w:t>strongly recommend that if the </w:t>
      </w:r>
      <w:r>
        <w:rPr>
          <w:spacing w:val="-3"/>
          <w:sz w:val="19"/>
        </w:rPr>
        <w:t>ACT </w:t>
      </w:r>
      <w:r>
        <w:rPr>
          <w:sz w:val="19"/>
        </w:rPr>
        <w:t>approach is adopted in Victoria, it is expressed in language that reflects current views</w:t>
      </w:r>
      <w:r>
        <w:rPr>
          <w:spacing w:val="-8"/>
          <w:sz w:val="19"/>
        </w:rPr>
        <w:t> </w:t>
      </w:r>
      <w:r>
        <w:rPr>
          <w:sz w:val="19"/>
        </w:rPr>
        <w:t>of</w:t>
      </w:r>
      <w:r>
        <w:rPr>
          <w:spacing w:val="-7"/>
          <w:sz w:val="19"/>
        </w:rPr>
        <w:t> </w:t>
      </w:r>
      <w:r>
        <w:rPr>
          <w:sz w:val="19"/>
        </w:rPr>
        <w:t>disability</w:t>
      </w:r>
      <w:r>
        <w:rPr>
          <w:spacing w:val="-7"/>
          <w:sz w:val="19"/>
        </w:rPr>
        <w:t> </w:t>
      </w:r>
      <w:r>
        <w:rPr>
          <w:sz w:val="19"/>
        </w:rPr>
        <w:t>(so,</w:t>
      </w:r>
      <w:r>
        <w:rPr>
          <w:spacing w:val="-7"/>
          <w:sz w:val="19"/>
        </w:rPr>
        <w:t> </w:t>
      </w:r>
      <w:r>
        <w:rPr>
          <w:sz w:val="19"/>
        </w:rPr>
        <w:t>for</w:t>
      </w:r>
      <w:r>
        <w:rPr>
          <w:spacing w:val="-7"/>
          <w:sz w:val="19"/>
        </w:rPr>
        <w:t> </w:t>
      </w:r>
      <w:r>
        <w:rPr>
          <w:sz w:val="19"/>
        </w:rPr>
        <w:t>example,</w:t>
      </w:r>
      <w:r>
        <w:rPr>
          <w:spacing w:val="-7"/>
          <w:sz w:val="19"/>
        </w:rPr>
        <w:t> </w:t>
      </w:r>
      <w:r>
        <w:rPr>
          <w:sz w:val="19"/>
        </w:rPr>
        <w:t>words</w:t>
      </w:r>
      <w:r>
        <w:rPr>
          <w:spacing w:val="-7"/>
          <w:sz w:val="19"/>
        </w:rPr>
        <w:t> </w:t>
      </w:r>
      <w:r>
        <w:rPr>
          <w:sz w:val="19"/>
        </w:rPr>
        <w:t>like</w:t>
      </w:r>
      <w:r>
        <w:rPr>
          <w:spacing w:val="-7"/>
          <w:sz w:val="19"/>
        </w:rPr>
        <w:t> </w:t>
      </w:r>
      <w:r>
        <w:rPr>
          <w:sz w:val="19"/>
        </w:rPr>
        <w:t>‘suffer’</w:t>
      </w:r>
      <w:r>
        <w:rPr>
          <w:spacing w:val="-7"/>
          <w:sz w:val="19"/>
        </w:rPr>
        <w:t> </w:t>
      </w:r>
      <w:r>
        <w:rPr>
          <w:sz w:val="19"/>
        </w:rPr>
        <w:t>are</w:t>
      </w:r>
      <w:r>
        <w:rPr>
          <w:spacing w:val="-7"/>
          <w:sz w:val="19"/>
        </w:rPr>
        <w:t> </w:t>
      </w:r>
      <w:r>
        <w:rPr>
          <w:sz w:val="19"/>
        </w:rPr>
        <w:t>not</w:t>
      </w:r>
      <w:r>
        <w:rPr>
          <w:spacing w:val="-7"/>
          <w:sz w:val="19"/>
        </w:rPr>
        <w:t> </w:t>
      </w:r>
      <w:r>
        <w:rPr>
          <w:sz w:val="19"/>
        </w:rPr>
        <w:t>appropriate)</w:t>
      </w:r>
      <w:r>
        <w:rPr>
          <w:spacing w:val="-7"/>
          <w:sz w:val="19"/>
        </w:rPr>
        <w:t> </w:t>
      </w:r>
      <w:r>
        <w:rPr>
          <w:sz w:val="19"/>
        </w:rPr>
        <w:t>and</w:t>
      </w:r>
      <w:r>
        <w:rPr>
          <w:spacing w:val="-7"/>
          <w:sz w:val="19"/>
        </w:rPr>
        <w:t> </w:t>
      </w:r>
      <w:r>
        <w:rPr>
          <w:sz w:val="19"/>
        </w:rPr>
        <w:t>that</w:t>
      </w:r>
      <w:r>
        <w:rPr>
          <w:spacing w:val="-7"/>
          <w:sz w:val="19"/>
        </w:rPr>
        <w:t> </w:t>
      </w:r>
      <w:r>
        <w:rPr>
          <w:sz w:val="19"/>
        </w:rPr>
        <w:t>the illustrative material provided in the legislation is more</w:t>
      </w:r>
      <w:r>
        <w:rPr>
          <w:spacing w:val="-23"/>
          <w:sz w:val="19"/>
        </w:rPr>
        <w:t> </w:t>
      </w:r>
      <w:r>
        <w:rPr>
          <w:sz w:val="19"/>
        </w:rPr>
        <w:t>diverse.</w:t>
      </w:r>
      <w:r>
        <w:rPr>
          <w:position w:val="6"/>
          <w:sz w:val="11"/>
        </w:rPr>
        <w:t>36</w:t>
      </w:r>
    </w:p>
    <w:p>
      <w:pPr>
        <w:pStyle w:val="BodyText"/>
      </w:pPr>
    </w:p>
    <w:p>
      <w:pPr>
        <w:pStyle w:val="BodyText"/>
      </w:pPr>
    </w:p>
    <w:p>
      <w:pPr>
        <w:pStyle w:val="BodyText"/>
      </w:pPr>
    </w:p>
    <w:p>
      <w:pPr>
        <w:pStyle w:val="BodyText"/>
        <w:spacing w:before="11"/>
        <w:rPr>
          <w:sz w:val="11"/>
        </w:rPr>
      </w:pPr>
      <w:r>
        <w:rPr/>
        <w:pict>
          <v:line style="position:absolute;mso-position-horizontal-relative:page;mso-position-vertical-relative:paragraph;z-index:6896;mso-wrap-distance-left:0;mso-wrap-distance-right:0" from="79.370102pt,10.67432pt" to="515.905102pt,10.67432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2"/>
        </w:rPr>
      </w:pPr>
    </w:p>
    <w:p>
      <w:pPr>
        <w:spacing w:before="0"/>
        <w:ind w:left="100" w:right="0" w:firstLine="0"/>
        <w:jc w:val="left"/>
        <w:rPr>
          <w:b/>
          <w:sz w:val="24"/>
        </w:rPr>
      </w:pPr>
      <w:r>
        <w:rPr>
          <w:b/>
          <w:color w:val="37617A"/>
          <w:sz w:val="24"/>
        </w:rPr>
        <w:t>112</w:t>
      </w:r>
    </w:p>
    <w:p>
      <w:pPr>
        <w:pStyle w:val="ListParagraph"/>
        <w:numPr>
          <w:ilvl w:val="0"/>
          <w:numId w:val="82"/>
        </w:numPr>
        <w:tabs>
          <w:tab w:pos="893" w:val="left" w:leader="none"/>
          <w:tab w:pos="894" w:val="left" w:leader="none"/>
        </w:tabs>
        <w:spacing w:line="213" w:lineRule="auto" w:before="38" w:after="0"/>
        <w:ind w:left="893" w:right="1423" w:hanging="793"/>
        <w:jc w:val="left"/>
        <w:rPr>
          <w:sz w:val="13"/>
        </w:rPr>
      </w:pPr>
      <w:r>
        <w:rPr>
          <w:spacing w:val="3"/>
          <w:w w:val="100"/>
          <w:sz w:val="13"/>
        </w:rPr>
        <w:br w:type="column"/>
      </w:r>
      <w:r>
        <w:rPr>
          <w:sz w:val="13"/>
        </w:rPr>
        <w:t>Consultation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w:t>
      </w:r>
      <w:r>
        <w:rPr>
          <w:spacing w:val="4"/>
          <w:sz w:val="13"/>
        </w:rPr>
        <w:t> </w:t>
      </w:r>
      <w:r>
        <w:rPr>
          <w:sz w:val="13"/>
        </w:rPr>
        <w:t>Wales)).</w:t>
      </w:r>
    </w:p>
    <w:p>
      <w:pPr>
        <w:pStyle w:val="ListParagraph"/>
        <w:numPr>
          <w:ilvl w:val="0"/>
          <w:numId w:val="82"/>
        </w:numPr>
        <w:tabs>
          <w:tab w:pos="893" w:val="left" w:leader="none"/>
          <w:tab w:pos="894" w:val="left" w:leader="none"/>
        </w:tabs>
        <w:spacing w:line="153" w:lineRule="exact" w:before="0" w:after="0"/>
        <w:ind w:left="893" w:right="0" w:hanging="793"/>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7 (Law Institute of</w:t>
      </w:r>
      <w:r>
        <w:rPr>
          <w:spacing w:val="-2"/>
          <w:sz w:val="13"/>
        </w:rPr>
        <w:t> </w:t>
      </w:r>
      <w:r>
        <w:rPr>
          <w:sz w:val="13"/>
        </w:rPr>
        <w:t>Victoria).</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pStyle w:val="ListParagraph"/>
        <w:numPr>
          <w:ilvl w:val="0"/>
          <w:numId w:val="82"/>
        </w:numPr>
        <w:tabs>
          <w:tab w:pos="893" w:val="left" w:leader="none"/>
          <w:tab w:pos="894" w:val="left" w:leader="none"/>
        </w:tabs>
        <w:spacing w:line="170" w:lineRule="exact" w:before="0" w:after="0"/>
        <w:ind w:left="893" w:right="0" w:hanging="793"/>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spacing w:after="0" w:line="170" w:lineRule="exact"/>
        <w:jc w:val="left"/>
        <w:rPr>
          <w:sz w:val="13"/>
        </w:rPr>
        <w:sectPr>
          <w:type w:val="continuous"/>
          <w:pgSz w:w="11910" w:h="16840"/>
          <w:pgMar w:top="620" w:bottom="280" w:left="620" w:right="380"/>
          <w:cols w:num="2" w:equalWidth="0">
            <w:col w:w="511" w:space="356"/>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341" w:hanging="794"/>
        <w:jc w:val="left"/>
        <w:rPr>
          <w:sz w:val="11"/>
        </w:rPr>
      </w:pPr>
      <w:bookmarkStart w:name="_bookmark83" w:id="208"/>
      <w:bookmarkEnd w:id="208"/>
      <w:r>
        <w:rPr/>
      </w:r>
      <w:bookmarkStart w:name="_bookmark83" w:id="209"/>
      <w:bookmarkEnd w:id="209"/>
      <w:r>
        <w:rPr>
          <w:spacing w:val="-3"/>
          <w:sz w:val="20"/>
        </w:rPr>
        <w:t>F</w:t>
      </w:r>
      <w:r>
        <w:rPr>
          <w:spacing w:val="-3"/>
          <w:sz w:val="20"/>
        </w:rPr>
        <w:t>or </w:t>
      </w:r>
      <w:r>
        <w:rPr>
          <w:sz w:val="20"/>
        </w:rPr>
        <w:t>the reasons </w:t>
      </w:r>
      <w:r>
        <w:rPr>
          <w:spacing w:val="-3"/>
          <w:sz w:val="20"/>
        </w:rPr>
        <w:t>expressed by </w:t>
      </w:r>
      <w:r>
        <w:rPr>
          <w:sz w:val="20"/>
        </w:rPr>
        <w:t>Vision Australia, the Commission agrees that the </w:t>
      </w:r>
      <w:r>
        <w:rPr>
          <w:spacing w:val="-2"/>
          <w:sz w:val="20"/>
        </w:rPr>
        <w:t>Act </w:t>
      </w:r>
      <w:r>
        <w:rPr>
          <w:sz w:val="20"/>
        </w:rPr>
        <w:t>should not </w:t>
      </w:r>
      <w:r>
        <w:rPr>
          <w:spacing w:val="-3"/>
          <w:sz w:val="20"/>
        </w:rPr>
        <w:t>make reference </w:t>
      </w:r>
      <w:r>
        <w:rPr>
          <w:sz w:val="20"/>
        </w:rPr>
        <w:t>to a person ‘suffering </w:t>
      </w:r>
      <w:r>
        <w:rPr>
          <w:spacing w:val="-3"/>
          <w:sz w:val="20"/>
        </w:rPr>
        <w:t>from </w:t>
      </w:r>
      <w:r>
        <w:rPr>
          <w:sz w:val="20"/>
        </w:rPr>
        <w:t>a physical disability’. A form of </w:t>
      </w:r>
      <w:r>
        <w:rPr>
          <w:spacing w:val="-3"/>
          <w:sz w:val="20"/>
        </w:rPr>
        <w:t>alternative</w:t>
      </w:r>
      <w:r>
        <w:rPr>
          <w:spacing w:val="-8"/>
          <w:sz w:val="20"/>
        </w:rPr>
        <w:t> </w:t>
      </w:r>
      <w:r>
        <w:rPr>
          <w:spacing w:val="-3"/>
          <w:sz w:val="20"/>
        </w:rPr>
        <w:t>wording</w:t>
      </w:r>
      <w:r>
        <w:rPr>
          <w:spacing w:val="-8"/>
          <w:sz w:val="20"/>
        </w:rPr>
        <w:t> </w:t>
      </w:r>
      <w:r>
        <w:rPr>
          <w:sz w:val="20"/>
        </w:rPr>
        <w:t>could</w:t>
      </w:r>
      <w:r>
        <w:rPr>
          <w:spacing w:val="-8"/>
          <w:sz w:val="20"/>
        </w:rPr>
        <w:t> </w:t>
      </w:r>
      <w:r>
        <w:rPr>
          <w:sz w:val="20"/>
        </w:rPr>
        <w:t>be:</w:t>
      </w:r>
      <w:r>
        <w:rPr>
          <w:spacing w:val="-8"/>
          <w:sz w:val="20"/>
        </w:rPr>
        <w:t> </w:t>
      </w:r>
      <w:r>
        <w:rPr>
          <w:sz w:val="20"/>
        </w:rPr>
        <w:t>‘because</w:t>
      </w:r>
      <w:r>
        <w:rPr>
          <w:spacing w:val="-7"/>
          <w:sz w:val="20"/>
        </w:rPr>
        <w:t> </w:t>
      </w:r>
      <w:r>
        <w:rPr>
          <w:sz w:val="20"/>
        </w:rPr>
        <w:t>the</w:t>
      </w:r>
      <w:r>
        <w:rPr>
          <w:spacing w:val="-8"/>
          <w:sz w:val="20"/>
        </w:rPr>
        <w:t> </w:t>
      </w:r>
      <w:r>
        <w:rPr>
          <w:sz w:val="20"/>
        </w:rPr>
        <w:t>person</w:t>
      </w:r>
      <w:r>
        <w:rPr>
          <w:spacing w:val="-8"/>
          <w:sz w:val="20"/>
        </w:rPr>
        <w:t> </w:t>
      </w:r>
      <w:r>
        <w:rPr>
          <w:sz w:val="20"/>
        </w:rPr>
        <w:t>is</w:t>
      </w:r>
      <w:r>
        <w:rPr>
          <w:spacing w:val="-8"/>
          <w:sz w:val="20"/>
        </w:rPr>
        <w:t> </w:t>
      </w:r>
      <w:r>
        <w:rPr>
          <w:spacing w:val="-4"/>
          <w:sz w:val="20"/>
        </w:rPr>
        <w:t>deaf,</w:t>
      </w:r>
      <w:r>
        <w:rPr>
          <w:spacing w:val="-7"/>
          <w:sz w:val="20"/>
        </w:rPr>
        <w:t> </w:t>
      </w:r>
      <w:r>
        <w:rPr>
          <w:sz w:val="20"/>
        </w:rPr>
        <w:t>hard</w:t>
      </w:r>
      <w:r>
        <w:rPr>
          <w:spacing w:val="-8"/>
          <w:sz w:val="20"/>
        </w:rPr>
        <w:t> </w:t>
      </w:r>
      <w:r>
        <w:rPr>
          <w:sz w:val="20"/>
        </w:rPr>
        <w:t>of</w:t>
      </w:r>
      <w:r>
        <w:rPr>
          <w:spacing w:val="-8"/>
          <w:sz w:val="20"/>
        </w:rPr>
        <w:t> </w:t>
      </w:r>
      <w:r>
        <w:rPr>
          <w:sz w:val="20"/>
        </w:rPr>
        <w:t>hearing,</w:t>
      </w:r>
      <w:r>
        <w:rPr>
          <w:spacing w:val="-8"/>
          <w:sz w:val="20"/>
        </w:rPr>
        <w:t> </w:t>
      </w:r>
      <w:r>
        <w:rPr>
          <w:sz w:val="20"/>
        </w:rPr>
        <w:t>blind</w:t>
      </w:r>
      <w:r>
        <w:rPr>
          <w:spacing w:val="-7"/>
          <w:sz w:val="20"/>
        </w:rPr>
        <w:t> </w:t>
      </w:r>
      <w:r>
        <w:rPr>
          <w:sz w:val="20"/>
        </w:rPr>
        <w:t>or</w:t>
      </w:r>
      <w:r>
        <w:rPr>
          <w:spacing w:val="-8"/>
          <w:sz w:val="20"/>
        </w:rPr>
        <w:t> </w:t>
      </w:r>
      <w:r>
        <w:rPr>
          <w:sz w:val="20"/>
        </w:rPr>
        <w:t>has </w:t>
      </w:r>
      <w:r>
        <w:rPr>
          <w:spacing w:val="-4"/>
          <w:sz w:val="20"/>
        </w:rPr>
        <w:t>low </w:t>
      </w:r>
      <w:r>
        <w:rPr>
          <w:spacing w:val="-3"/>
          <w:sz w:val="20"/>
        </w:rPr>
        <w:t>vision’. </w:t>
      </w:r>
      <w:r>
        <w:rPr>
          <w:sz w:val="20"/>
        </w:rPr>
        <w:t>Disability advocacy organisations should be consulted in determining the </w:t>
      </w:r>
      <w:r>
        <w:rPr>
          <w:spacing w:val="-3"/>
          <w:sz w:val="20"/>
        </w:rPr>
        <w:t>wording </w:t>
      </w:r>
      <w:r>
        <w:rPr>
          <w:sz w:val="20"/>
        </w:rPr>
        <w:t>of the new</w:t>
      </w:r>
      <w:r>
        <w:rPr>
          <w:spacing w:val="-14"/>
          <w:sz w:val="20"/>
        </w:rPr>
        <w:t> </w:t>
      </w:r>
      <w:r>
        <w:rPr>
          <w:sz w:val="20"/>
        </w:rPr>
        <w:t>provisions.</w:t>
      </w:r>
      <w:r>
        <w:rPr>
          <w:position w:val="7"/>
          <w:sz w:val="11"/>
        </w:rPr>
        <w:t>37</w:t>
      </w:r>
    </w:p>
    <w:p>
      <w:pPr>
        <w:spacing w:before="164"/>
        <w:ind w:left="967" w:right="0" w:firstLine="0"/>
        <w:jc w:val="left"/>
        <w:rPr>
          <w:b/>
          <w:sz w:val="24"/>
        </w:rPr>
      </w:pPr>
      <w:r>
        <w:rPr>
          <w:b/>
          <w:sz w:val="24"/>
        </w:rPr>
        <w:t>Including more examples of adjustments</w:t>
      </w:r>
    </w:p>
    <w:p>
      <w:pPr>
        <w:pStyle w:val="ListParagraph"/>
        <w:numPr>
          <w:ilvl w:val="1"/>
          <w:numId w:val="12"/>
        </w:numPr>
        <w:tabs>
          <w:tab w:pos="1761" w:val="left" w:leader="none"/>
          <w:tab w:pos="1762" w:val="left" w:leader="none"/>
        </w:tabs>
        <w:spacing w:line="206" w:lineRule="auto" w:before="128" w:after="0"/>
        <w:ind w:left="1761" w:right="1824" w:hanging="794"/>
        <w:jc w:val="left"/>
        <w:rPr>
          <w:sz w:val="20"/>
        </w:rPr>
      </w:pPr>
      <w:r>
        <w:rPr>
          <w:sz w:val="20"/>
        </w:rPr>
        <w:t>The</w:t>
      </w:r>
      <w:r>
        <w:rPr>
          <w:spacing w:val="-7"/>
          <w:sz w:val="20"/>
        </w:rPr>
        <w:t> </w:t>
      </w:r>
      <w:r>
        <w:rPr>
          <w:spacing w:val="-4"/>
          <w:sz w:val="20"/>
        </w:rPr>
        <w:t>ACT</w:t>
      </w:r>
      <w:r>
        <w:rPr>
          <w:spacing w:val="-6"/>
          <w:sz w:val="20"/>
        </w:rPr>
        <w:t> </w:t>
      </w:r>
      <w:r>
        <w:rPr>
          <w:spacing w:val="-2"/>
          <w:sz w:val="20"/>
        </w:rPr>
        <w:t>Act</w:t>
      </w:r>
      <w:r>
        <w:rPr>
          <w:spacing w:val="-6"/>
          <w:sz w:val="20"/>
        </w:rPr>
        <w:t> </w:t>
      </w:r>
      <w:r>
        <w:rPr>
          <w:sz w:val="20"/>
        </w:rPr>
        <w:t>lists</w:t>
      </w:r>
      <w:r>
        <w:rPr>
          <w:spacing w:val="-6"/>
          <w:sz w:val="20"/>
        </w:rPr>
        <w:t> </w:t>
      </w:r>
      <w:r>
        <w:rPr>
          <w:sz w:val="20"/>
        </w:rPr>
        <w:t>the</w:t>
      </w:r>
      <w:r>
        <w:rPr>
          <w:spacing w:val="-6"/>
          <w:sz w:val="20"/>
        </w:rPr>
        <w:t> </w:t>
      </w:r>
      <w:r>
        <w:rPr>
          <w:spacing w:val="-3"/>
          <w:sz w:val="20"/>
        </w:rPr>
        <w:t>following</w:t>
      </w:r>
      <w:r>
        <w:rPr>
          <w:spacing w:val="-7"/>
          <w:sz w:val="20"/>
        </w:rPr>
        <w:t> </w:t>
      </w:r>
      <w:r>
        <w:rPr>
          <w:sz w:val="20"/>
        </w:rPr>
        <w:t>as</w:t>
      </w:r>
      <w:r>
        <w:rPr>
          <w:spacing w:val="-6"/>
          <w:sz w:val="20"/>
        </w:rPr>
        <w:t> </w:t>
      </w:r>
      <w:r>
        <w:rPr>
          <w:spacing w:val="-3"/>
          <w:sz w:val="20"/>
        </w:rPr>
        <w:t>examples</w:t>
      </w:r>
      <w:r>
        <w:rPr>
          <w:spacing w:val="-6"/>
          <w:sz w:val="20"/>
        </w:rPr>
        <w:t> </w:t>
      </w:r>
      <w:r>
        <w:rPr>
          <w:sz w:val="20"/>
        </w:rPr>
        <w:t>of</w:t>
      </w:r>
      <w:r>
        <w:rPr>
          <w:spacing w:val="-6"/>
          <w:sz w:val="20"/>
        </w:rPr>
        <w:t> </w:t>
      </w:r>
      <w:r>
        <w:rPr>
          <w:sz w:val="20"/>
        </w:rPr>
        <w:t>supports,</w:t>
      </w:r>
      <w:r>
        <w:rPr>
          <w:spacing w:val="-6"/>
          <w:sz w:val="20"/>
        </w:rPr>
        <w:t> </w:t>
      </w:r>
      <w:r>
        <w:rPr>
          <w:sz w:val="20"/>
        </w:rPr>
        <w:t>noting</w:t>
      </w:r>
      <w:r>
        <w:rPr>
          <w:spacing w:val="-7"/>
          <w:sz w:val="20"/>
        </w:rPr>
        <w:t> </w:t>
      </w:r>
      <w:r>
        <w:rPr>
          <w:sz w:val="20"/>
        </w:rPr>
        <w:t>that</w:t>
      </w:r>
      <w:r>
        <w:rPr>
          <w:spacing w:val="-6"/>
          <w:sz w:val="20"/>
        </w:rPr>
        <w:t> </w:t>
      </w:r>
      <w:r>
        <w:rPr>
          <w:sz w:val="20"/>
        </w:rPr>
        <w:t>the</w:t>
      </w:r>
      <w:r>
        <w:rPr>
          <w:spacing w:val="-6"/>
          <w:sz w:val="20"/>
        </w:rPr>
        <w:t> </w:t>
      </w:r>
      <w:r>
        <w:rPr>
          <w:sz w:val="20"/>
        </w:rPr>
        <w:t>list</w:t>
      </w:r>
      <w:r>
        <w:rPr>
          <w:spacing w:val="-6"/>
          <w:sz w:val="20"/>
        </w:rPr>
        <w:t> </w:t>
      </w:r>
      <w:r>
        <w:rPr>
          <w:sz w:val="20"/>
        </w:rPr>
        <w:t>is</w:t>
      </w:r>
      <w:r>
        <w:rPr>
          <w:spacing w:val="-6"/>
          <w:sz w:val="20"/>
        </w:rPr>
        <w:t> </w:t>
      </w:r>
      <w:r>
        <w:rPr>
          <w:sz w:val="20"/>
        </w:rPr>
        <w:t>not </w:t>
      </w:r>
      <w:r>
        <w:rPr>
          <w:spacing w:val="-3"/>
          <w:sz w:val="20"/>
        </w:rPr>
        <w:t>exhaustive:</w:t>
      </w:r>
    </w:p>
    <w:p>
      <w:pPr>
        <w:pStyle w:val="ListParagraph"/>
        <w:numPr>
          <w:ilvl w:val="0"/>
          <w:numId w:val="83"/>
        </w:numPr>
        <w:tabs>
          <w:tab w:pos="2157" w:val="left" w:leader="none"/>
          <w:tab w:pos="2158" w:val="left" w:leader="none"/>
        </w:tabs>
        <w:spacing w:line="240" w:lineRule="auto" w:before="90" w:after="0"/>
        <w:ind w:left="2157" w:right="0" w:hanging="396"/>
        <w:jc w:val="left"/>
        <w:rPr>
          <w:sz w:val="20"/>
        </w:rPr>
      </w:pPr>
      <w:r>
        <w:rPr>
          <w:sz w:val="20"/>
        </w:rPr>
        <w:t>an </w:t>
      </w:r>
      <w:r>
        <w:rPr>
          <w:spacing w:val="-3"/>
          <w:sz w:val="20"/>
        </w:rPr>
        <w:t>interpreter, </w:t>
      </w:r>
      <w:r>
        <w:rPr>
          <w:sz w:val="20"/>
        </w:rPr>
        <w:t>including an Auslan</w:t>
      </w:r>
      <w:r>
        <w:rPr>
          <w:spacing w:val="-9"/>
          <w:sz w:val="20"/>
        </w:rPr>
        <w:t> </w:t>
      </w:r>
      <w:r>
        <w:rPr>
          <w:sz w:val="20"/>
        </w:rPr>
        <w:t>interpreter</w:t>
      </w:r>
    </w:p>
    <w:p>
      <w:pPr>
        <w:pStyle w:val="ListParagraph"/>
        <w:numPr>
          <w:ilvl w:val="0"/>
          <w:numId w:val="83"/>
        </w:numPr>
        <w:tabs>
          <w:tab w:pos="2157" w:val="left" w:leader="none"/>
          <w:tab w:pos="2158" w:val="left" w:leader="none"/>
        </w:tabs>
        <w:spacing w:line="240" w:lineRule="auto" w:before="47" w:after="0"/>
        <w:ind w:left="2157" w:right="0" w:hanging="396"/>
        <w:jc w:val="left"/>
        <w:rPr>
          <w:sz w:val="11"/>
        </w:rPr>
      </w:pPr>
      <w:r>
        <w:rPr>
          <w:sz w:val="20"/>
        </w:rPr>
        <w:t>an assistance animal, disability aid or support</w:t>
      </w:r>
      <w:r>
        <w:rPr>
          <w:spacing w:val="-14"/>
          <w:sz w:val="20"/>
        </w:rPr>
        <w:t> </w:t>
      </w:r>
      <w:r>
        <w:rPr>
          <w:sz w:val="20"/>
        </w:rPr>
        <w:t>person.</w:t>
      </w:r>
      <w:r>
        <w:rPr>
          <w:position w:val="7"/>
          <w:sz w:val="11"/>
        </w:rPr>
        <w:t>38</w:t>
      </w:r>
    </w:p>
    <w:p>
      <w:pPr>
        <w:pStyle w:val="ListParagraph"/>
        <w:numPr>
          <w:ilvl w:val="1"/>
          <w:numId w:val="12"/>
        </w:numPr>
        <w:tabs>
          <w:tab w:pos="1761" w:val="left" w:leader="none"/>
          <w:tab w:pos="1762" w:val="left" w:leader="none"/>
        </w:tabs>
        <w:spacing w:line="206" w:lineRule="auto" w:before="80" w:after="0"/>
        <w:ind w:left="1761" w:right="1466" w:hanging="794"/>
        <w:jc w:val="left"/>
        <w:rPr>
          <w:sz w:val="20"/>
        </w:rPr>
      </w:pPr>
      <w:r>
        <w:rPr>
          <w:sz w:val="20"/>
        </w:rPr>
        <w:t>The Victorian </w:t>
      </w:r>
      <w:r>
        <w:rPr>
          <w:spacing w:val="-2"/>
          <w:sz w:val="20"/>
        </w:rPr>
        <w:t>Act </w:t>
      </w:r>
      <w:r>
        <w:rPr>
          <w:sz w:val="20"/>
        </w:rPr>
        <w:t>should also </w:t>
      </w:r>
      <w:r>
        <w:rPr>
          <w:spacing w:val="-3"/>
          <w:sz w:val="20"/>
        </w:rPr>
        <w:t>provide examples </w:t>
      </w:r>
      <w:r>
        <w:rPr>
          <w:sz w:val="20"/>
        </w:rPr>
        <w:t>of adjustments. Some community responses</w:t>
      </w:r>
      <w:r>
        <w:rPr>
          <w:spacing w:val="-8"/>
          <w:sz w:val="20"/>
        </w:rPr>
        <w:t> </w:t>
      </w:r>
      <w:r>
        <w:rPr>
          <w:sz w:val="20"/>
        </w:rPr>
        <w:t>suggested</w:t>
      </w:r>
      <w:r>
        <w:rPr>
          <w:spacing w:val="-8"/>
          <w:sz w:val="20"/>
        </w:rPr>
        <w:t> </w:t>
      </w:r>
      <w:r>
        <w:rPr>
          <w:sz w:val="20"/>
        </w:rPr>
        <w:t>that</w:t>
      </w:r>
      <w:r>
        <w:rPr>
          <w:spacing w:val="-8"/>
          <w:sz w:val="20"/>
        </w:rPr>
        <w:t> </w:t>
      </w:r>
      <w:r>
        <w:rPr>
          <w:sz w:val="20"/>
        </w:rPr>
        <w:t>the</w:t>
      </w:r>
      <w:r>
        <w:rPr>
          <w:spacing w:val="-7"/>
          <w:sz w:val="20"/>
        </w:rPr>
        <w:t> </w:t>
      </w:r>
      <w:r>
        <w:rPr>
          <w:sz w:val="20"/>
        </w:rPr>
        <w:t>list</w:t>
      </w:r>
      <w:r>
        <w:rPr>
          <w:spacing w:val="-8"/>
          <w:sz w:val="20"/>
        </w:rPr>
        <w:t> </w:t>
      </w:r>
      <w:r>
        <w:rPr>
          <w:sz w:val="20"/>
        </w:rPr>
        <w:t>of</w:t>
      </w:r>
      <w:r>
        <w:rPr>
          <w:spacing w:val="-8"/>
          <w:sz w:val="20"/>
        </w:rPr>
        <w:t> </w:t>
      </w:r>
      <w:r>
        <w:rPr>
          <w:spacing w:val="-3"/>
          <w:sz w:val="20"/>
        </w:rPr>
        <w:t>examples</w:t>
      </w:r>
      <w:r>
        <w:rPr>
          <w:spacing w:val="-8"/>
          <w:sz w:val="20"/>
        </w:rPr>
        <w:t> </w:t>
      </w:r>
      <w:r>
        <w:rPr>
          <w:sz w:val="20"/>
        </w:rPr>
        <w:t>of</w:t>
      </w:r>
      <w:r>
        <w:rPr>
          <w:spacing w:val="-7"/>
          <w:sz w:val="20"/>
        </w:rPr>
        <w:t> </w:t>
      </w:r>
      <w:r>
        <w:rPr>
          <w:sz w:val="20"/>
        </w:rPr>
        <w:t>supports</w:t>
      </w:r>
      <w:r>
        <w:rPr>
          <w:spacing w:val="-8"/>
          <w:sz w:val="20"/>
        </w:rPr>
        <w:t> </w:t>
      </w:r>
      <w:r>
        <w:rPr>
          <w:sz w:val="20"/>
        </w:rPr>
        <w:t>in</w:t>
      </w:r>
      <w:r>
        <w:rPr>
          <w:spacing w:val="-8"/>
          <w:sz w:val="20"/>
        </w:rPr>
        <w:t> </w:t>
      </w:r>
      <w:r>
        <w:rPr>
          <w:sz w:val="20"/>
        </w:rPr>
        <w:t>section</w:t>
      </w:r>
      <w:r>
        <w:rPr>
          <w:spacing w:val="-8"/>
          <w:sz w:val="20"/>
        </w:rPr>
        <w:t> </w:t>
      </w:r>
      <w:r>
        <w:rPr>
          <w:sz w:val="20"/>
        </w:rPr>
        <w:t>16(2)</w:t>
      </w:r>
      <w:r>
        <w:rPr>
          <w:spacing w:val="-7"/>
          <w:sz w:val="20"/>
        </w:rPr>
        <w:t> </w:t>
      </w:r>
      <w:r>
        <w:rPr>
          <w:sz w:val="20"/>
        </w:rPr>
        <w:t>of</w:t>
      </w:r>
      <w:r>
        <w:rPr>
          <w:spacing w:val="-8"/>
          <w:sz w:val="20"/>
        </w:rPr>
        <w:t> </w:t>
      </w:r>
      <w:r>
        <w:rPr>
          <w:sz w:val="20"/>
        </w:rPr>
        <w:t>the</w:t>
      </w:r>
      <w:r>
        <w:rPr>
          <w:spacing w:val="-8"/>
          <w:sz w:val="20"/>
        </w:rPr>
        <w:t> </w:t>
      </w:r>
      <w:r>
        <w:rPr>
          <w:spacing w:val="-4"/>
          <w:sz w:val="20"/>
        </w:rPr>
        <w:t>ACT </w:t>
      </w:r>
      <w:r>
        <w:rPr>
          <w:spacing w:val="-2"/>
          <w:sz w:val="20"/>
        </w:rPr>
        <w:t>Act </w:t>
      </w:r>
      <w:r>
        <w:rPr>
          <w:sz w:val="20"/>
        </w:rPr>
        <w:t>should be expanded for the Victorian</w:t>
      </w:r>
      <w:r>
        <w:rPr>
          <w:spacing w:val="-32"/>
          <w:sz w:val="20"/>
        </w:rPr>
        <w:t> </w:t>
      </w:r>
      <w:r>
        <w:rPr>
          <w:sz w:val="20"/>
        </w:rPr>
        <w:t>context.</w:t>
      </w:r>
    </w:p>
    <w:p>
      <w:pPr>
        <w:pStyle w:val="ListParagraph"/>
        <w:numPr>
          <w:ilvl w:val="1"/>
          <w:numId w:val="12"/>
        </w:numPr>
        <w:tabs>
          <w:tab w:pos="1761" w:val="left" w:leader="none"/>
          <w:tab w:pos="1762" w:val="left" w:leader="none"/>
        </w:tabs>
        <w:spacing w:line="206" w:lineRule="auto" w:before="124" w:after="0"/>
        <w:ind w:left="1761" w:right="1474" w:hanging="794"/>
        <w:jc w:val="left"/>
        <w:rPr>
          <w:sz w:val="20"/>
        </w:rPr>
      </w:pPr>
      <w:r>
        <w:rPr>
          <w:sz w:val="20"/>
        </w:rPr>
        <w:t>Vision</w:t>
      </w:r>
      <w:r>
        <w:rPr>
          <w:spacing w:val="-14"/>
          <w:sz w:val="20"/>
        </w:rPr>
        <w:t> </w:t>
      </w:r>
      <w:r>
        <w:rPr>
          <w:sz w:val="20"/>
        </w:rPr>
        <w:t>Australia</w:t>
      </w:r>
      <w:r>
        <w:rPr>
          <w:spacing w:val="-14"/>
          <w:sz w:val="20"/>
        </w:rPr>
        <w:t> </w:t>
      </w:r>
      <w:r>
        <w:rPr>
          <w:sz w:val="20"/>
        </w:rPr>
        <w:t>suggested</w:t>
      </w:r>
      <w:r>
        <w:rPr>
          <w:spacing w:val="-13"/>
          <w:sz w:val="20"/>
        </w:rPr>
        <w:t> </w:t>
      </w:r>
      <w:r>
        <w:rPr>
          <w:sz w:val="20"/>
        </w:rPr>
        <w:t>that</w:t>
      </w:r>
      <w:r>
        <w:rPr>
          <w:spacing w:val="-14"/>
          <w:sz w:val="20"/>
        </w:rPr>
        <w:t> </w:t>
      </w:r>
      <w:r>
        <w:rPr>
          <w:sz w:val="20"/>
        </w:rPr>
        <w:t>‘where</w:t>
      </w:r>
      <w:r>
        <w:rPr>
          <w:spacing w:val="-13"/>
          <w:sz w:val="20"/>
        </w:rPr>
        <w:t> </w:t>
      </w:r>
      <w:r>
        <w:rPr>
          <w:sz w:val="20"/>
        </w:rPr>
        <w:t>the</w:t>
      </w:r>
      <w:r>
        <w:rPr>
          <w:spacing w:val="-14"/>
          <w:sz w:val="20"/>
        </w:rPr>
        <w:t> </w:t>
      </w:r>
      <w:r>
        <w:rPr>
          <w:sz w:val="20"/>
        </w:rPr>
        <w:t>legal</w:t>
      </w:r>
      <w:r>
        <w:rPr>
          <w:spacing w:val="-14"/>
          <w:sz w:val="20"/>
        </w:rPr>
        <w:t> </w:t>
      </w:r>
      <w:r>
        <w:rPr>
          <w:sz w:val="20"/>
        </w:rPr>
        <w:t>profession</w:t>
      </w:r>
      <w:r>
        <w:rPr>
          <w:spacing w:val="-13"/>
          <w:sz w:val="20"/>
        </w:rPr>
        <w:t> </w:t>
      </w:r>
      <w:r>
        <w:rPr>
          <w:sz w:val="20"/>
        </w:rPr>
        <w:t>has</w:t>
      </w:r>
      <w:r>
        <w:rPr>
          <w:spacing w:val="-14"/>
          <w:sz w:val="20"/>
        </w:rPr>
        <w:t> </w:t>
      </w:r>
      <w:r>
        <w:rPr>
          <w:sz w:val="20"/>
        </w:rPr>
        <w:t>very</w:t>
      </w:r>
      <w:r>
        <w:rPr>
          <w:spacing w:val="-13"/>
          <w:sz w:val="20"/>
        </w:rPr>
        <w:t> </w:t>
      </w:r>
      <w:r>
        <w:rPr>
          <w:sz w:val="20"/>
        </w:rPr>
        <w:t>little</w:t>
      </w:r>
      <w:r>
        <w:rPr>
          <w:spacing w:val="-14"/>
          <w:sz w:val="20"/>
        </w:rPr>
        <w:t> </w:t>
      </w:r>
      <w:r>
        <w:rPr>
          <w:sz w:val="20"/>
        </w:rPr>
        <w:t>experience of blind people, the more </w:t>
      </w:r>
      <w:r>
        <w:rPr>
          <w:spacing w:val="-3"/>
          <w:sz w:val="20"/>
        </w:rPr>
        <w:t>examples </w:t>
      </w:r>
      <w:r>
        <w:rPr>
          <w:sz w:val="20"/>
        </w:rPr>
        <w:t>that can be provided, then the more options they</w:t>
      </w:r>
      <w:r>
        <w:rPr>
          <w:spacing w:val="-9"/>
          <w:sz w:val="20"/>
        </w:rPr>
        <w:t> </w:t>
      </w:r>
      <w:r>
        <w:rPr>
          <w:sz w:val="20"/>
        </w:rPr>
        <w:t>will</w:t>
      </w:r>
      <w:r>
        <w:rPr>
          <w:spacing w:val="-9"/>
          <w:sz w:val="20"/>
        </w:rPr>
        <w:t> </w:t>
      </w:r>
      <w:r>
        <w:rPr>
          <w:spacing w:val="-3"/>
          <w:sz w:val="20"/>
        </w:rPr>
        <w:t>consider.</w:t>
      </w:r>
      <w:r>
        <w:rPr>
          <w:spacing w:val="-9"/>
          <w:sz w:val="20"/>
        </w:rPr>
        <w:t> </w:t>
      </w:r>
      <w:r>
        <w:rPr>
          <w:sz w:val="20"/>
        </w:rPr>
        <w:t>A</w:t>
      </w:r>
      <w:r>
        <w:rPr>
          <w:spacing w:val="-9"/>
          <w:sz w:val="20"/>
        </w:rPr>
        <w:t> </w:t>
      </w:r>
      <w:r>
        <w:rPr>
          <w:sz w:val="20"/>
        </w:rPr>
        <w:t>non-exhaustive</w:t>
      </w:r>
      <w:r>
        <w:rPr>
          <w:spacing w:val="-9"/>
          <w:sz w:val="20"/>
        </w:rPr>
        <w:t> </w:t>
      </w:r>
      <w:r>
        <w:rPr>
          <w:sz w:val="20"/>
        </w:rPr>
        <w:t>list</w:t>
      </w:r>
      <w:r>
        <w:rPr>
          <w:spacing w:val="-9"/>
          <w:sz w:val="20"/>
        </w:rPr>
        <w:t> </w:t>
      </w:r>
      <w:r>
        <w:rPr>
          <w:sz w:val="20"/>
        </w:rPr>
        <w:t>…</w:t>
      </w:r>
      <w:r>
        <w:rPr>
          <w:spacing w:val="-9"/>
          <w:sz w:val="20"/>
        </w:rPr>
        <w:t> </w:t>
      </w:r>
      <w:r>
        <w:rPr>
          <w:spacing w:val="-3"/>
          <w:sz w:val="20"/>
        </w:rPr>
        <w:t>would</w:t>
      </w:r>
      <w:r>
        <w:rPr>
          <w:spacing w:val="-9"/>
          <w:sz w:val="20"/>
        </w:rPr>
        <w:t> </w:t>
      </w:r>
      <w:r>
        <w:rPr>
          <w:spacing w:val="-4"/>
          <w:sz w:val="20"/>
        </w:rPr>
        <w:t>leave</w:t>
      </w:r>
      <w:r>
        <w:rPr>
          <w:spacing w:val="-9"/>
          <w:sz w:val="20"/>
        </w:rPr>
        <w:t> </w:t>
      </w:r>
      <w:r>
        <w:rPr>
          <w:sz w:val="20"/>
        </w:rPr>
        <w:t>the</w:t>
      </w:r>
      <w:r>
        <w:rPr>
          <w:spacing w:val="-9"/>
          <w:sz w:val="20"/>
        </w:rPr>
        <w:t> </w:t>
      </w:r>
      <w:r>
        <w:rPr>
          <w:sz w:val="20"/>
        </w:rPr>
        <w:t>door</w:t>
      </w:r>
      <w:r>
        <w:rPr>
          <w:spacing w:val="-9"/>
          <w:sz w:val="20"/>
        </w:rPr>
        <w:t> </w:t>
      </w:r>
      <w:r>
        <w:rPr>
          <w:sz w:val="20"/>
        </w:rPr>
        <w:t>open</w:t>
      </w:r>
      <w:r>
        <w:rPr>
          <w:spacing w:val="-9"/>
          <w:sz w:val="20"/>
        </w:rPr>
        <w:t> </w:t>
      </w:r>
      <w:r>
        <w:rPr>
          <w:sz w:val="20"/>
        </w:rPr>
        <w:t>to</w:t>
      </w:r>
      <w:r>
        <w:rPr>
          <w:spacing w:val="-9"/>
          <w:sz w:val="20"/>
        </w:rPr>
        <w:t> </w:t>
      </w:r>
      <w:r>
        <w:rPr>
          <w:sz w:val="20"/>
        </w:rPr>
        <w:t>adapt</w:t>
      </w:r>
      <w:r>
        <w:rPr>
          <w:spacing w:val="-9"/>
          <w:sz w:val="20"/>
        </w:rPr>
        <w:t> </w:t>
      </w:r>
      <w:r>
        <w:rPr>
          <w:sz w:val="20"/>
        </w:rPr>
        <w:t>to</w:t>
      </w:r>
      <w:r>
        <w:rPr>
          <w:spacing w:val="-9"/>
          <w:sz w:val="20"/>
        </w:rPr>
        <w:t> </w:t>
      </w:r>
      <w:r>
        <w:rPr>
          <w:sz w:val="20"/>
        </w:rPr>
        <w:t>new</w:t>
      </w:r>
    </w:p>
    <w:p>
      <w:pPr>
        <w:pStyle w:val="BodyText"/>
        <w:spacing w:line="206" w:lineRule="auto" w:before="4"/>
        <w:ind w:left="1761" w:right="1161" w:hanging="1"/>
        <w:rPr>
          <w:sz w:val="11"/>
        </w:rPr>
      </w:pPr>
      <w:r>
        <w:rPr>
          <w:spacing w:val="-3"/>
        </w:rPr>
        <w:t>technologies’.</w:t>
      </w:r>
      <w:r>
        <w:rPr>
          <w:spacing w:val="-3"/>
          <w:position w:val="7"/>
          <w:sz w:val="11"/>
        </w:rPr>
        <w:t>39 </w:t>
      </w:r>
      <w:r>
        <w:rPr/>
        <w:t>Vision Australia also considered ‘it is important to be able to modify and expand the amount of illustrative material to ensure that it is </w:t>
      </w:r>
      <w:r>
        <w:rPr>
          <w:spacing w:val="-3"/>
        </w:rPr>
        <w:t>accurate </w:t>
      </w:r>
      <w:r>
        <w:rPr/>
        <w:t>and </w:t>
      </w:r>
      <w:r>
        <w:rPr>
          <w:spacing w:val="-4"/>
        </w:rPr>
        <w:t>current’. </w:t>
      </w:r>
      <w:r>
        <w:rPr>
          <w:spacing w:val="-3"/>
        </w:rPr>
        <w:t>For </w:t>
      </w:r>
      <w:r>
        <w:rPr/>
        <w:t>this reason, ‘it </w:t>
      </w:r>
      <w:r>
        <w:rPr>
          <w:spacing w:val="-3"/>
        </w:rPr>
        <w:t>may </w:t>
      </w:r>
      <w:r>
        <w:rPr/>
        <w:t>be </w:t>
      </w:r>
      <w:r>
        <w:rPr>
          <w:spacing w:val="-3"/>
        </w:rPr>
        <w:t>preferable </w:t>
      </w:r>
      <w:r>
        <w:rPr/>
        <w:t>to include it in a Regulation or other complementary material to the legislation itself’.</w:t>
      </w:r>
      <w:r>
        <w:rPr>
          <w:position w:val="7"/>
          <w:sz w:val="11"/>
        </w:rPr>
        <w:t>40</w:t>
      </w:r>
    </w:p>
    <w:p>
      <w:pPr>
        <w:pStyle w:val="ListParagraph"/>
        <w:numPr>
          <w:ilvl w:val="1"/>
          <w:numId w:val="12"/>
        </w:numPr>
        <w:tabs>
          <w:tab w:pos="1761" w:val="left" w:leader="none"/>
          <w:tab w:pos="1762" w:val="left" w:leader="none"/>
        </w:tabs>
        <w:spacing w:line="206" w:lineRule="auto" w:before="125" w:after="0"/>
        <w:ind w:left="1761" w:right="1204" w:hanging="794"/>
        <w:jc w:val="left"/>
        <w:rPr>
          <w:sz w:val="11"/>
        </w:rPr>
      </w:pPr>
      <w:r>
        <w:rPr>
          <w:sz w:val="20"/>
        </w:rPr>
        <w:t>Examples of adjustments </w:t>
      </w:r>
      <w:r>
        <w:rPr>
          <w:spacing w:val="-3"/>
          <w:sz w:val="20"/>
        </w:rPr>
        <w:t>are </w:t>
      </w:r>
      <w:r>
        <w:rPr>
          <w:sz w:val="20"/>
        </w:rPr>
        <w:t>not included in the </w:t>
      </w:r>
      <w:r>
        <w:rPr>
          <w:i/>
          <w:sz w:val="20"/>
        </w:rPr>
        <w:t>Juries Act </w:t>
      </w:r>
      <w:r>
        <w:rPr>
          <w:i/>
          <w:spacing w:val="-7"/>
          <w:sz w:val="20"/>
        </w:rPr>
        <w:t>1974 </w:t>
      </w:r>
      <w:r>
        <w:rPr>
          <w:sz w:val="20"/>
        </w:rPr>
        <w:t>(UK) for England and </w:t>
      </w:r>
      <w:r>
        <w:rPr>
          <w:spacing w:val="-3"/>
          <w:sz w:val="20"/>
        </w:rPr>
        <w:t>Wales. </w:t>
      </w:r>
      <w:r>
        <w:rPr>
          <w:spacing w:val="-5"/>
          <w:sz w:val="20"/>
        </w:rPr>
        <w:t>However, </w:t>
      </w:r>
      <w:r>
        <w:rPr>
          <w:sz w:val="20"/>
        </w:rPr>
        <w:t>a British Sign Language </w:t>
      </w:r>
      <w:r>
        <w:rPr>
          <w:spacing w:val="-3"/>
          <w:sz w:val="20"/>
        </w:rPr>
        <w:t>interpreter </w:t>
      </w:r>
      <w:r>
        <w:rPr>
          <w:sz w:val="20"/>
        </w:rPr>
        <w:t>is specifically included in the new legislative provision.</w:t>
      </w:r>
      <w:r>
        <w:rPr>
          <w:position w:val="7"/>
          <w:sz w:val="11"/>
        </w:rPr>
        <w:t>41 </w:t>
      </w:r>
      <w:r>
        <w:rPr>
          <w:sz w:val="20"/>
        </w:rPr>
        <w:t>In New Zealand, </w:t>
      </w:r>
      <w:r>
        <w:rPr>
          <w:spacing w:val="-3"/>
          <w:sz w:val="20"/>
        </w:rPr>
        <w:t>examples are </w:t>
      </w:r>
      <w:r>
        <w:rPr>
          <w:sz w:val="20"/>
        </w:rPr>
        <w:t>not </w:t>
      </w:r>
      <w:r>
        <w:rPr>
          <w:spacing w:val="-3"/>
          <w:sz w:val="20"/>
        </w:rPr>
        <w:t>provided </w:t>
      </w:r>
      <w:r>
        <w:rPr>
          <w:sz w:val="20"/>
        </w:rPr>
        <w:t>in legislation, but people</w:t>
      </w:r>
      <w:r>
        <w:rPr>
          <w:spacing w:val="-11"/>
          <w:sz w:val="20"/>
        </w:rPr>
        <w:t> </w:t>
      </w:r>
      <w:r>
        <w:rPr>
          <w:spacing w:val="-3"/>
          <w:sz w:val="20"/>
        </w:rPr>
        <w:t>are</w:t>
      </w:r>
      <w:r>
        <w:rPr>
          <w:spacing w:val="-11"/>
          <w:sz w:val="20"/>
        </w:rPr>
        <w:t> </w:t>
      </w:r>
      <w:r>
        <w:rPr>
          <w:sz w:val="20"/>
        </w:rPr>
        <w:t>encouraged</w:t>
      </w:r>
      <w:r>
        <w:rPr>
          <w:spacing w:val="-11"/>
          <w:sz w:val="20"/>
        </w:rPr>
        <w:t> </w:t>
      </w:r>
      <w:r>
        <w:rPr>
          <w:sz w:val="20"/>
        </w:rPr>
        <w:t>to</w:t>
      </w:r>
      <w:r>
        <w:rPr>
          <w:spacing w:val="-11"/>
          <w:sz w:val="20"/>
        </w:rPr>
        <w:t> </w:t>
      </w:r>
      <w:r>
        <w:rPr>
          <w:sz w:val="20"/>
        </w:rPr>
        <w:t>contact</w:t>
      </w:r>
      <w:r>
        <w:rPr>
          <w:spacing w:val="-11"/>
          <w:sz w:val="20"/>
        </w:rPr>
        <w:t> </w:t>
      </w:r>
      <w:r>
        <w:rPr>
          <w:sz w:val="20"/>
        </w:rPr>
        <w:t>the</w:t>
      </w:r>
      <w:r>
        <w:rPr>
          <w:spacing w:val="-11"/>
          <w:sz w:val="20"/>
        </w:rPr>
        <w:t> </w:t>
      </w:r>
      <w:r>
        <w:rPr>
          <w:sz w:val="20"/>
        </w:rPr>
        <w:t>court</w:t>
      </w:r>
      <w:r>
        <w:rPr>
          <w:spacing w:val="-10"/>
          <w:sz w:val="20"/>
        </w:rPr>
        <w:t> </w:t>
      </w:r>
      <w:r>
        <w:rPr>
          <w:sz w:val="20"/>
        </w:rPr>
        <w:t>to</w:t>
      </w:r>
      <w:r>
        <w:rPr>
          <w:spacing w:val="-11"/>
          <w:sz w:val="20"/>
        </w:rPr>
        <w:t> </w:t>
      </w:r>
      <w:r>
        <w:rPr>
          <w:sz w:val="20"/>
        </w:rPr>
        <w:t>discuss</w:t>
      </w:r>
      <w:r>
        <w:rPr>
          <w:spacing w:val="-10"/>
          <w:sz w:val="20"/>
        </w:rPr>
        <w:t> </w:t>
      </w:r>
      <w:r>
        <w:rPr>
          <w:sz w:val="20"/>
        </w:rPr>
        <w:t>their</w:t>
      </w:r>
      <w:r>
        <w:rPr>
          <w:spacing w:val="-12"/>
          <w:sz w:val="20"/>
        </w:rPr>
        <w:t> </w:t>
      </w:r>
      <w:r>
        <w:rPr>
          <w:sz w:val="20"/>
        </w:rPr>
        <w:t>needs.</w:t>
      </w:r>
      <w:r>
        <w:rPr>
          <w:spacing w:val="-10"/>
          <w:sz w:val="20"/>
        </w:rPr>
        <w:t> </w:t>
      </w:r>
      <w:r>
        <w:rPr>
          <w:sz w:val="20"/>
        </w:rPr>
        <w:t>In</w:t>
      </w:r>
      <w:r>
        <w:rPr>
          <w:spacing w:val="-11"/>
          <w:sz w:val="20"/>
        </w:rPr>
        <w:t> </w:t>
      </w:r>
      <w:r>
        <w:rPr>
          <w:sz w:val="20"/>
        </w:rPr>
        <w:t>the</w:t>
      </w:r>
      <w:r>
        <w:rPr>
          <w:spacing w:val="-10"/>
          <w:sz w:val="20"/>
        </w:rPr>
        <w:t> </w:t>
      </w:r>
      <w:r>
        <w:rPr>
          <w:sz w:val="20"/>
        </w:rPr>
        <w:t>United</w:t>
      </w:r>
      <w:r>
        <w:rPr>
          <w:spacing w:val="-12"/>
          <w:sz w:val="20"/>
        </w:rPr>
        <w:t> </w:t>
      </w:r>
      <w:r>
        <w:rPr>
          <w:sz w:val="20"/>
        </w:rPr>
        <w:t>States, the </w:t>
      </w:r>
      <w:r>
        <w:rPr>
          <w:i/>
          <w:sz w:val="20"/>
        </w:rPr>
        <w:t>Americans </w:t>
      </w:r>
      <w:r>
        <w:rPr>
          <w:i/>
          <w:spacing w:val="-3"/>
          <w:sz w:val="20"/>
        </w:rPr>
        <w:t>with </w:t>
      </w:r>
      <w:r>
        <w:rPr>
          <w:i/>
          <w:sz w:val="20"/>
        </w:rPr>
        <w:t>Disabilities Act </w:t>
      </w:r>
      <w:r>
        <w:rPr>
          <w:sz w:val="20"/>
        </w:rPr>
        <w:t>(ADA) lists </w:t>
      </w:r>
      <w:r>
        <w:rPr>
          <w:spacing w:val="-3"/>
          <w:sz w:val="20"/>
        </w:rPr>
        <w:t>examples </w:t>
      </w:r>
      <w:r>
        <w:rPr>
          <w:sz w:val="20"/>
        </w:rPr>
        <w:t>of aids that should be </w:t>
      </w:r>
      <w:r>
        <w:rPr>
          <w:spacing w:val="-3"/>
          <w:sz w:val="20"/>
        </w:rPr>
        <w:t>provided </w:t>
      </w:r>
      <w:r>
        <w:rPr>
          <w:sz w:val="20"/>
        </w:rPr>
        <w:t>to ensure effective communication with people with disabilities.</w:t>
      </w:r>
      <w:r>
        <w:rPr>
          <w:position w:val="7"/>
          <w:sz w:val="11"/>
        </w:rPr>
        <w:t>42 </w:t>
      </w:r>
      <w:r>
        <w:rPr>
          <w:sz w:val="20"/>
        </w:rPr>
        <w:t>In </w:t>
      </w:r>
      <w:r>
        <w:rPr>
          <w:spacing w:val="-2"/>
          <w:sz w:val="20"/>
        </w:rPr>
        <w:t>Chapter </w:t>
      </w:r>
      <w:r>
        <w:rPr>
          <w:spacing w:val="-3"/>
          <w:sz w:val="20"/>
        </w:rPr>
        <w:t>10, we </w:t>
      </w:r>
      <w:r>
        <w:rPr>
          <w:sz w:val="20"/>
        </w:rPr>
        <w:t>noted</w:t>
      </w:r>
      <w:r>
        <w:rPr>
          <w:spacing w:val="-7"/>
          <w:sz w:val="20"/>
        </w:rPr>
        <w:t> </w:t>
      </w:r>
      <w:r>
        <w:rPr>
          <w:sz w:val="20"/>
        </w:rPr>
        <w:t>the</w:t>
      </w:r>
      <w:r>
        <w:rPr>
          <w:spacing w:val="-6"/>
          <w:sz w:val="20"/>
        </w:rPr>
        <w:t> </w:t>
      </w:r>
      <w:r>
        <w:rPr>
          <w:sz w:val="20"/>
        </w:rPr>
        <w:t>long</w:t>
      </w:r>
      <w:r>
        <w:rPr>
          <w:spacing w:val="-6"/>
          <w:sz w:val="20"/>
        </w:rPr>
        <w:t> </w:t>
      </w:r>
      <w:r>
        <w:rPr>
          <w:sz w:val="20"/>
        </w:rPr>
        <w:t>list</w:t>
      </w:r>
      <w:r>
        <w:rPr>
          <w:spacing w:val="-6"/>
          <w:sz w:val="20"/>
        </w:rPr>
        <w:t> </w:t>
      </w:r>
      <w:r>
        <w:rPr>
          <w:sz w:val="20"/>
        </w:rPr>
        <w:t>of</w:t>
      </w:r>
      <w:r>
        <w:rPr>
          <w:spacing w:val="-6"/>
          <w:sz w:val="20"/>
        </w:rPr>
        <w:t> </w:t>
      </w:r>
      <w:r>
        <w:rPr>
          <w:sz w:val="20"/>
        </w:rPr>
        <w:t>accommodations</w:t>
      </w:r>
      <w:r>
        <w:rPr>
          <w:spacing w:val="-6"/>
          <w:sz w:val="20"/>
        </w:rPr>
        <w:t> </w:t>
      </w:r>
      <w:r>
        <w:rPr>
          <w:sz w:val="20"/>
        </w:rPr>
        <w:t>on</w:t>
      </w:r>
      <w:r>
        <w:rPr>
          <w:spacing w:val="-6"/>
          <w:sz w:val="20"/>
        </w:rPr>
        <w:t> </w:t>
      </w:r>
      <w:r>
        <w:rPr>
          <w:sz w:val="20"/>
        </w:rPr>
        <w:t>the</w:t>
      </w:r>
      <w:r>
        <w:rPr>
          <w:spacing w:val="-6"/>
          <w:sz w:val="20"/>
        </w:rPr>
        <w:t> </w:t>
      </w:r>
      <w:r>
        <w:rPr>
          <w:sz w:val="20"/>
        </w:rPr>
        <w:t>New</w:t>
      </w:r>
      <w:r>
        <w:rPr>
          <w:spacing w:val="-6"/>
          <w:sz w:val="20"/>
        </w:rPr>
        <w:t> </w:t>
      </w:r>
      <w:r>
        <w:rPr>
          <w:spacing w:val="-5"/>
          <w:sz w:val="20"/>
        </w:rPr>
        <w:t>York</w:t>
      </w:r>
      <w:r>
        <w:rPr>
          <w:spacing w:val="-6"/>
          <w:sz w:val="20"/>
        </w:rPr>
        <w:t> </w:t>
      </w:r>
      <w:r>
        <w:rPr>
          <w:spacing w:val="-3"/>
          <w:sz w:val="20"/>
        </w:rPr>
        <w:t>State</w:t>
      </w:r>
      <w:r>
        <w:rPr>
          <w:spacing w:val="-6"/>
          <w:sz w:val="20"/>
        </w:rPr>
        <w:t> </w:t>
      </w:r>
      <w:r>
        <w:rPr>
          <w:sz w:val="20"/>
        </w:rPr>
        <w:t>Court</w:t>
      </w:r>
      <w:r>
        <w:rPr>
          <w:spacing w:val="-6"/>
          <w:sz w:val="20"/>
        </w:rPr>
        <w:t> </w:t>
      </w:r>
      <w:r>
        <w:rPr>
          <w:sz w:val="20"/>
        </w:rPr>
        <w:t>website.</w:t>
      </w:r>
      <w:r>
        <w:rPr>
          <w:position w:val="7"/>
          <w:sz w:val="11"/>
        </w:rPr>
        <w:t>43</w:t>
      </w:r>
    </w:p>
    <w:p>
      <w:pPr>
        <w:pStyle w:val="ListParagraph"/>
        <w:numPr>
          <w:ilvl w:val="1"/>
          <w:numId w:val="12"/>
        </w:numPr>
        <w:tabs>
          <w:tab w:pos="1761" w:val="left" w:leader="none"/>
          <w:tab w:pos="1762" w:val="left" w:leader="none"/>
        </w:tabs>
        <w:spacing w:line="206" w:lineRule="auto" w:before="128" w:after="0"/>
        <w:ind w:left="1761" w:right="1321" w:hanging="794"/>
        <w:jc w:val="left"/>
        <w:rPr>
          <w:sz w:val="20"/>
        </w:rPr>
      </w:pPr>
      <w:r>
        <w:rPr>
          <w:sz w:val="20"/>
        </w:rPr>
        <w:t>The Commission agrees that more </w:t>
      </w:r>
      <w:r>
        <w:rPr>
          <w:spacing w:val="-3"/>
          <w:sz w:val="20"/>
        </w:rPr>
        <w:t>examples </w:t>
      </w:r>
      <w:r>
        <w:rPr>
          <w:sz w:val="20"/>
        </w:rPr>
        <w:t>of possible adjustments should be included</w:t>
      </w:r>
      <w:r>
        <w:rPr>
          <w:spacing w:val="-10"/>
          <w:sz w:val="20"/>
        </w:rPr>
        <w:t> </w:t>
      </w:r>
      <w:r>
        <w:rPr>
          <w:sz w:val="20"/>
        </w:rPr>
        <w:t>in</w:t>
      </w:r>
      <w:r>
        <w:rPr>
          <w:spacing w:val="-9"/>
          <w:sz w:val="20"/>
        </w:rPr>
        <w:t> </w:t>
      </w:r>
      <w:r>
        <w:rPr>
          <w:sz w:val="20"/>
        </w:rPr>
        <w:t>the</w:t>
      </w:r>
      <w:r>
        <w:rPr>
          <w:spacing w:val="-9"/>
          <w:sz w:val="20"/>
        </w:rPr>
        <w:t> </w:t>
      </w:r>
      <w:r>
        <w:rPr>
          <w:spacing w:val="-2"/>
          <w:sz w:val="20"/>
        </w:rPr>
        <w:t>Act</w:t>
      </w:r>
      <w:r>
        <w:rPr>
          <w:spacing w:val="-9"/>
          <w:sz w:val="20"/>
        </w:rPr>
        <w:t> </w:t>
      </w:r>
      <w:r>
        <w:rPr>
          <w:sz w:val="20"/>
        </w:rPr>
        <w:t>that</w:t>
      </w:r>
      <w:r>
        <w:rPr>
          <w:spacing w:val="-9"/>
          <w:sz w:val="20"/>
        </w:rPr>
        <w:t> </w:t>
      </w:r>
      <w:r>
        <w:rPr>
          <w:sz w:val="20"/>
        </w:rPr>
        <w:t>can</w:t>
      </w:r>
      <w:r>
        <w:rPr>
          <w:spacing w:val="-9"/>
          <w:sz w:val="20"/>
        </w:rPr>
        <w:t> </w:t>
      </w:r>
      <w:r>
        <w:rPr>
          <w:sz w:val="20"/>
        </w:rPr>
        <w:t>be</w:t>
      </w:r>
      <w:r>
        <w:rPr>
          <w:spacing w:val="-9"/>
          <w:sz w:val="20"/>
        </w:rPr>
        <w:t> </w:t>
      </w:r>
      <w:r>
        <w:rPr>
          <w:sz w:val="20"/>
        </w:rPr>
        <w:t>added</w:t>
      </w:r>
      <w:r>
        <w:rPr>
          <w:spacing w:val="-9"/>
          <w:sz w:val="20"/>
        </w:rPr>
        <w:t> </w:t>
      </w:r>
      <w:r>
        <w:rPr>
          <w:sz w:val="20"/>
        </w:rPr>
        <w:t>to</w:t>
      </w:r>
      <w:r>
        <w:rPr>
          <w:spacing w:val="-9"/>
          <w:sz w:val="20"/>
        </w:rPr>
        <w:t> </w:t>
      </w:r>
      <w:r>
        <w:rPr>
          <w:spacing w:val="-3"/>
          <w:sz w:val="20"/>
        </w:rPr>
        <w:t>by</w:t>
      </w:r>
      <w:r>
        <w:rPr>
          <w:spacing w:val="-9"/>
          <w:sz w:val="20"/>
        </w:rPr>
        <w:t> </w:t>
      </w:r>
      <w:r>
        <w:rPr>
          <w:sz w:val="20"/>
        </w:rPr>
        <w:t>regulation.</w:t>
      </w:r>
      <w:r>
        <w:rPr>
          <w:spacing w:val="-9"/>
          <w:sz w:val="20"/>
        </w:rPr>
        <w:t> </w:t>
      </w:r>
      <w:r>
        <w:rPr>
          <w:spacing w:val="-6"/>
          <w:sz w:val="20"/>
        </w:rPr>
        <w:t>We</w:t>
      </w:r>
      <w:r>
        <w:rPr>
          <w:spacing w:val="-9"/>
          <w:sz w:val="20"/>
        </w:rPr>
        <w:t> </w:t>
      </w:r>
      <w:r>
        <w:rPr>
          <w:spacing w:val="-3"/>
          <w:sz w:val="20"/>
        </w:rPr>
        <w:t>are</w:t>
      </w:r>
      <w:r>
        <w:rPr>
          <w:spacing w:val="-9"/>
          <w:sz w:val="20"/>
        </w:rPr>
        <w:t> </w:t>
      </w:r>
      <w:r>
        <w:rPr>
          <w:sz w:val="20"/>
        </w:rPr>
        <w:t>persuaded</w:t>
      </w:r>
      <w:r>
        <w:rPr>
          <w:spacing w:val="-9"/>
          <w:sz w:val="20"/>
        </w:rPr>
        <w:t> </w:t>
      </w:r>
      <w:r>
        <w:rPr>
          <w:sz w:val="20"/>
        </w:rPr>
        <w:t>that</w:t>
      </w:r>
      <w:r>
        <w:rPr>
          <w:spacing w:val="-10"/>
          <w:sz w:val="20"/>
        </w:rPr>
        <w:t> </w:t>
      </w:r>
      <w:r>
        <w:rPr>
          <w:sz w:val="20"/>
        </w:rPr>
        <w:t>this</w:t>
      </w:r>
      <w:r>
        <w:rPr>
          <w:spacing w:val="-9"/>
          <w:sz w:val="20"/>
        </w:rPr>
        <w:t> </w:t>
      </w:r>
      <w:r>
        <w:rPr>
          <w:sz w:val="20"/>
        </w:rPr>
        <w:t>will assist</w:t>
      </w:r>
      <w:r>
        <w:rPr>
          <w:spacing w:val="-11"/>
          <w:sz w:val="20"/>
        </w:rPr>
        <w:t> </w:t>
      </w:r>
      <w:r>
        <w:rPr>
          <w:sz w:val="20"/>
        </w:rPr>
        <w:t>the</w:t>
      </w:r>
      <w:r>
        <w:rPr>
          <w:spacing w:val="-11"/>
          <w:sz w:val="20"/>
        </w:rPr>
        <w:t> </w:t>
      </w:r>
      <w:r>
        <w:rPr>
          <w:sz w:val="20"/>
        </w:rPr>
        <w:t>courts</w:t>
      </w:r>
      <w:r>
        <w:rPr>
          <w:spacing w:val="-10"/>
          <w:sz w:val="20"/>
        </w:rPr>
        <w:t> </w:t>
      </w:r>
      <w:r>
        <w:rPr>
          <w:sz w:val="20"/>
        </w:rPr>
        <w:t>and</w:t>
      </w:r>
      <w:r>
        <w:rPr>
          <w:spacing w:val="-11"/>
          <w:sz w:val="20"/>
        </w:rPr>
        <w:t> </w:t>
      </w:r>
      <w:r>
        <w:rPr>
          <w:sz w:val="20"/>
        </w:rPr>
        <w:t>Juries</w:t>
      </w:r>
      <w:r>
        <w:rPr>
          <w:spacing w:val="-11"/>
          <w:sz w:val="20"/>
        </w:rPr>
        <w:t> </w:t>
      </w:r>
      <w:r>
        <w:rPr>
          <w:sz w:val="20"/>
        </w:rPr>
        <w:t>Victoria</w:t>
      </w:r>
      <w:r>
        <w:rPr>
          <w:spacing w:val="-10"/>
          <w:sz w:val="20"/>
        </w:rPr>
        <w:t> </w:t>
      </w:r>
      <w:r>
        <w:rPr>
          <w:sz w:val="20"/>
        </w:rPr>
        <w:t>to</w:t>
      </w:r>
      <w:r>
        <w:rPr>
          <w:spacing w:val="-11"/>
          <w:sz w:val="20"/>
        </w:rPr>
        <w:t> </w:t>
      </w:r>
      <w:r>
        <w:rPr>
          <w:sz w:val="20"/>
        </w:rPr>
        <w:t>turn</w:t>
      </w:r>
      <w:r>
        <w:rPr>
          <w:spacing w:val="-11"/>
          <w:sz w:val="20"/>
        </w:rPr>
        <w:t> </w:t>
      </w:r>
      <w:r>
        <w:rPr>
          <w:sz w:val="20"/>
        </w:rPr>
        <w:t>their</w:t>
      </w:r>
      <w:r>
        <w:rPr>
          <w:spacing w:val="-10"/>
          <w:sz w:val="20"/>
        </w:rPr>
        <w:t> </w:t>
      </w:r>
      <w:r>
        <w:rPr>
          <w:sz w:val="20"/>
        </w:rPr>
        <w:t>minds</w:t>
      </w:r>
      <w:r>
        <w:rPr>
          <w:spacing w:val="-11"/>
          <w:sz w:val="20"/>
        </w:rPr>
        <w:t> </w:t>
      </w:r>
      <w:r>
        <w:rPr>
          <w:sz w:val="20"/>
        </w:rPr>
        <w:t>to</w:t>
      </w:r>
      <w:r>
        <w:rPr>
          <w:spacing w:val="-11"/>
          <w:sz w:val="20"/>
        </w:rPr>
        <w:t> </w:t>
      </w:r>
      <w:r>
        <w:rPr>
          <w:sz w:val="20"/>
        </w:rPr>
        <w:t>possible</w:t>
      </w:r>
      <w:r>
        <w:rPr>
          <w:spacing w:val="-10"/>
          <w:sz w:val="20"/>
        </w:rPr>
        <w:t> </w:t>
      </w:r>
      <w:r>
        <w:rPr>
          <w:sz w:val="20"/>
        </w:rPr>
        <w:t>adjustment</w:t>
      </w:r>
      <w:r>
        <w:rPr>
          <w:spacing w:val="-11"/>
          <w:sz w:val="20"/>
        </w:rPr>
        <w:t> </w:t>
      </w:r>
      <w:r>
        <w:rPr>
          <w:sz w:val="20"/>
        </w:rPr>
        <w:t>options </w:t>
      </w:r>
      <w:r>
        <w:rPr>
          <w:spacing w:val="-3"/>
          <w:sz w:val="20"/>
        </w:rPr>
        <w:t>early </w:t>
      </w:r>
      <w:r>
        <w:rPr>
          <w:sz w:val="20"/>
        </w:rPr>
        <w:t>in the selection process. The list of non-exhaustive </w:t>
      </w:r>
      <w:r>
        <w:rPr>
          <w:spacing w:val="-3"/>
          <w:sz w:val="20"/>
        </w:rPr>
        <w:t>examples </w:t>
      </w:r>
      <w:r>
        <w:rPr>
          <w:sz w:val="20"/>
        </w:rPr>
        <w:t>in the </w:t>
      </w:r>
      <w:r>
        <w:rPr>
          <w:spacing w:val="-2"/>
          <w:sz w:val="20"/>
        </w:rPr>
        <w:t>Act </w:t>
      </w:r>
      <w:r>
        <w:rPr>
          <w:sz w:val="20"/>
        </w:rPr>
        <w:t>should be</w:t>
      </w:r>
      <w:r>
        <w:rPr>
          <w:spacing w:val="-15"/>
          <w:sz w:val="20"/>
        </w:rPr>
        <w:t> </w:t>
      </w:r>
      <w:r>
        <w:rPr>
          <w:sz w:val="20"/>
        </w:rPr>
        <w:t>expanded</w:t>
      </w:r>
      <w:r>
        <w:rPr>
          <w:spacing w:val="-15"/>
          <w:sz w:val="20"/>
        </w:rPr>
        <w:t> </w:t>
      </w:r>
      <w:r>
        <w:rPr>
          <w:sz w:val="20"/>
        </w:rPr>
        <w:t>to</w:t>
      </w:r>
      <w:r>
        <w:rPr>
          <w:spacing w:val="-15"/>
          <w:sz w:val="20"/>
        </w:rPr>
        <w:t> </w:t>
      </w:r>
      <w:r>
        <w:rPr>
          <w:sz w:val="20"/>
        </w:rPr>
        <w:t>include</w:t>
      </w:r>
      <w:r>
        <w:rPr>
          <w:spacing w:val="-14"/>
          <w:sz w:val="20"/>
        </w:rPr>
        <w:t> </w:t>
      </w:r>
      <w:r>
        <w:rPr>
          <w:sz w:val="20"/>
        </w:rPr>
        <w:t>‘technological</w:t>
      </w:r>
      <w:r>
        <w:rPr>
          <w:spacing w:val="-15"/>
          <w:sz w:val="20"/>
        </w:rPr>
        <w:t> </w:t>
      </w:r>
      <w:r>
        <w:rPr>
          <w:sz w:val="20"/>
        </w:rPr>
        <w:t>aids</w:t>
      </w:r>
      <w:r>
        <w:rPr>
          <w:spacing w:val="-15"/>
          <w:sz w:val="20"/>
        </w:rPr>
        <w:t> </w:t>
      </w:r>
      <w:r>
        <w:rPr>
          <w:sz w:val="20"/>
        </w:rPr>
        <w:t>that</w:t>
      </w:r>
      <w:r>
        <w:rPr>
          <w:spacing w:val="-14"/>
          <w:sz w:val="20"/>
        </w:rPr>
        <w:t> </w:t>
      </w:r>
      <w:r>
        <w:rPr>
          <w:sz w:val="20"/>
        </w:rPr>
        <w:t>facilitate</w:t>
      </w:r>
      <w:r>
        <w:rPr>
          <w:spacing w:val="-15"/>
          <w:sz w:val="20"/>
        </w:rPr>
        <w:t> </w:t>
      </w:r>
      <w:r>
        <w:rPr>
          <w:sz w:val="20"/>
        </w:rPr>
        <w:t>communication,</w:t>
      </w:r>
      <w:r>
        <w:rPr>
          <w:spacing w:val="-15"/>
          <w:sz w:val="20"/>
        </w:rPr>
        <w:t> </w:t>
      </w:r>
      <w:r>
        <w:rPr>
          <w:sz w:val="20"/>
        </w:rPr>
        <w:t>for</w:t>
      </w:r>
      <w:r>
        <w:rPr>
          <w:spacing w:val="-14"/>
          <w:sz w:val="20"/>
        </w:rPr>
        <w:t> </w:t>
      </w:r>
      <w:r>
        <w:rPr>
          <w:spacing w:val="-3"/>
          <w:sz w:val="20"/>
        </w:rPr>
        <w:t>example, </w:t>
      </w:r>
      <w:r>
        <w:rPr>
          <w:sz w:val="20"/>
        </w:rPr>
        <w:t>with speech-to-text software or screen reading </w:t>
      </w:r>
      <w:r>
        <w:rPr>
          <w:spacing w:val="-3"/>
          <w:sz w:val="20"/>
        </w:rPr>
        <w:t>technology’. </w:t>
      </w:r>
      <w:r>
        <w:rPr>
          <w:sz w:val="20"/>
        </w:rPr>
        <w:t>It </w:t>
      </w:r>
      <w:r>
        <w:rPr>
          <w:spacing w:val="-3"/>
          <w:sz w:val="20"/>
        </w:rPr>
        <w:t>may </w:t>
      </w:r>
      <w:r>
        <w:rPr>
          <w:sz w:val="20"/>
        </w:rPr>
        <w:t>also be helpful to </w:t>
      </w:r>
      <w:r>
        <w:rPr>
          <w:spacing w:val="-3"/>
          <w:sz w:val="20"/>
        </w:rPr>
        <w:t>provide</w:t>
      </w:r>
      <w:r>
        <w:rPr>
          <w:spacing w:val="-5"/>
          <w:sz w:val="20"/>
        </w:rPr>
        <w:t> </w:t>
      </w:r>
      <w:r>
        <w:rPr>
          <w:sz w:val="20"/>
        </w:rPr>
        <w:t>an</w:t>
      </w:r>
      <w:r>
        <w:rPr>
          <w:spacing w:val="-4"/>
          <w:sz w:val="20"/>
        </w:rPr>
        <w:t> </w:t>
      </w:r>
      <w:r>
        <w:rPr>
          <w:spacing w:val="-3"/>
          <w:sz w:val="20"/>
        </w:rPr>
        <w:t>example</w:t>
      </w:r>
      <w:r>
        <w:rPr>
          <w:spacing w:val="-4"/>
          <w:sz w:val="20"/>
        </w:rPr>
        <w:t> </w:t>
      </w:r>
      <w:r>
        <w:rPr>
          <w:sz w:val="20"/>
        </w:rPr>
        <w:t>of</w:t>
      </w:r>
      <w:r>
        <w:rPr>
          <w:spacing w:val="-5"/>
          <w:sz w:val="20"/>
        </w:rPr>
        <w:t> </w:t>
      </w:r>
      <w:r>
        <w:rPr>
          <w:sz w:val="20"/>
        </w:rPr>
        <w:t>a</w:t>
      </w:r>
      <w:r>
        <w:rPr>
          <w:spacing w:val="-4"/>
          <w:sz w:val="20"/>
        </w:rPr>
        <w:t> </w:t>
      </w:r>
      <w:r>
        <w:rPr>
          <w:sz w:val="20"/>
        </w:rPr>
        <w:t>disability</w:t>
      </w:r>
      <w:r>
        <w:rPr>
          <w:spacing w:val="-4"/>
          <w:sz w:val="20"/>
        </w:rPr>
        <w:t> </w:t>
      </w:r>
      <w:r>
        <w:rPr>
          <w:sz w:val="20"/>
        </w:rPr>
        <w:t>aid</w:t>
      </w:r>
      <w:r>
        <w:rPr>
          <w:spacing w:val="-5"/>
          <w:sz w:val="20"/>
        </w:rPr>
        <w:t> </w:t>
      </w:r>
      <w:r>
        <w:rPr>
          <w:sz w:val="20"/>
        </w:rPr>
        <w:t>such</w:t>
      </w:r>
      <w:r>
        <w:rPr>
          <w:spacing w:val="-4"/>
          <w:sz w:val="20"/>
        </w:rPr>
        <w:t> </w:t>
      </w:r>
      <w:r>
        <w:rPr>
          <w:sz w:val="20"/>
        </w:rPr>
        <w:t>as</w:t>
      </w:r>
      <w:r>
        <w:rPr>
          <w:spacing w:val="-4"/>
          <w:sz w:val="20"/>
        </w:rPr>
        <w:t> </w:t>
      </w:r>
      <w:r>
        <w:rPr>
          <w:sz w:val="20"/>
        </w:rPr>
        <w:t>a</w:t>
      </w:r>
      <w:r>
        <w:rPr>
          <w:spacing w:val="-5"/>
          <w:sz w:val="20"/>
        </w:rPr>
        <w:t> </w:t>
      </w:r>
      <w:r>
        <w:rPr>
          <w:spacing w:val="-3"/>
          <w:sz w:val="20"/>
        </w:rPr>
        <w:t>magnifier.</w:t>
      </w:r>
    </w:p>
    <w:p>
      <w:pPr>
        <w:pStyle w:val="ListParagraph"/>
        <w:numPr>
          <w:ilvl w:val="1"/>
          <w:numId w:val="12"/>
        </w:numPr>
        <w:tabs>
          <w:tab w:pos="1761" w:val="left" w:leader="none"/>
          <w:tab w:pos="1762" w:val="left" w:leader="none"/>
        </w:tabs>
        <w:spacing w:line="206" w:lineRule="auto" w:before="129" w:after="0"/>
        <w:ind w:left="1761" w:right="1231" w:hanging="794"/>
        <w:jc w:val="left"/>
        <w:rPr>
          <w:sz w:val="20"/>
        </w:rPr>
      </w:pPr>
      <w:r>
        <w:rPr>
          <w:sz w:val="20"/>
        </w:rPr>
        <w:t>It will be important for Juries Victoria to be </w:t>
      </w:r>
      <w:r>
        <w:rPr>
          <w:spacing w:val="-3"/>
          <w:sz w:val="20"/>
        </w:rPr>
        <w:t>proactive </w:t>
      </w:r>
      <w:r>
        <w:rPr>
          <w:sz w:val="20"/>
        </w:rPr>
        <w:t>about maintaining engagement with peak disability advocacy organisations to discuss emerging technology and </w:t>
      </w:r>
      <w:r>
        <w:rPr>
          <w:spacing w:val="-3"/>
          <w:sz w:val="20"/>
        </w:rPr>
        <w:t>available</w:t>
      </w:r>
      <w:r>
        <w:rPr>
          <w:spacing w:val="-13"/>
          <w:sz w:val="20"/>
        </w:rPr>
        <w:t> </w:t>
      </w:r>
      <w:r>
        <w:rPr>
          <w:sz w:val="20"/>
        </w:rPr>
        <w:t>adjustments.</w:t>
      </w:r>
      <w:r>
        <w:rPr>
          <w:spacing w:val="-12"/>
          <w:sz w:val="20"/>
        </w:rPr>
        <w:t> </w:t>
      </w:r>
      <w:r>
        <w:rPr>
          <w:sz w:val="20"/>
        </w:rPr>
        <w:t>In</w:t>
      </w:r>
      <w:r>
        <w:rPr>
          <w:spacing w:val="-12"/>
          <w:sz w:val="20"/>
        </w:rPr>
        <w:t> </w:t>
      </w:r>
      <w:r>
        <w:rPr>
          <w:sz w:val="20"/>
        </w:rPr>
        <w:t>England</w:t>
      </w:r>
      <w:r>
        <w:rPr>
          <w:spacing w:val="-13"/>
          <w:sz w:val="20"/>
        </w:rPr>
        <w:t> </w:t>
      </w:r>
      <w:r>
        <w:rPr>
          <w:sz w:val="20"/>
        </w:rPr>
        <w:t>and</w:t>
      </w:r>
      <w:r>
        <w:rPr>
          <w:spacing w:val="-12"/>
          <w:sz w:val="20"/>
        </w:rPr>
        <w:t> </w:t>
      </w:r>
      <w:r>
        <w:rPr>
          <w:spacing w:val="-3"/>
          <w:sz w:val="20"/>
        </w:rPr>
        <w:t>Wales,</w:t>
      </w:r>
      <w:r>
        <w:rPr>
          <w:spacing w:val="-12"/>
          <w:sz w:val="20"/>
        </w:rPr>
        <w:t> </w:t>
      </w:r>
      <w:r>
        <w:rPr>
          <w:sz w:val="20"/>
        </w:rPr>
        <w:t>courts</w:t>
      </w:r>
      <w:r>
        <w:rPr>
          <w:spacing w:val="-13"/>
          <w:sz w:val="20"/>
        </w:rPr>
        <w:t> </w:t>
      </w:r>
      <w:r>
        <w:rPr>
          <w:sz w:val="20"/>
        </w:rPr>
        <w:t>monitor</w:t>
      </w:r>
      <w:r>
        <w:rPr>
          <w:spacing w:val="-12"/>
          <w:sz w:val="20"/>
        </w:rPr>
        <w:t> </w:t>
      </w:r>
      <w:r>
        <w:rPr>
          <w:sz w:val="20"/>
        </w:rPr>
        <w:t>developments</w:t>
      </w:r>
      <w:r>
        <w:rPr>
          <w:spacing w:val="-12"/>
          <w:sz w:val="20"/>
        </w:rPr>
        <w:t> </w:t>
      </w:r>
      <w:r>
        <w:rPr>
          <w:sz w:val="20"/>
        </w:rPr>
        <w:t>in</w:t>
      </w:r>
      <w:r>
        <w:rPr>
          <w:spacing w:val="-12"/>
          <w:sz w:val="20"/>
        </w:rPr>
        <w:t> </w:t>
      </w:r>
      <w:r>
        <w:rPr>
          <w:sz w:val="20"/>
        </w:rPr>
        <w:t>potential new technological supports.</w:t>
      </w:r>
      <w:r>
        <w:rPr>
          <w:position w:val="7"/>
          <w:sz w:val="11"/>
        </w:rPr>
        <w:t>44 </w:t>
      </w:r>
      <w:r>
        <w:rPr>
          <w:sz w:val="20"/>
        </w:rPr>
        <w:t>Juries Victoria is best placed to do so in Victoria. Juries Victoria and the courts should advise the Victorian </w:t>
      </w:r>
      <w:r>
        <w:rPr>
          <w:spacing w:val="-2"/>
          <w:sz w:val="20"/>
        </w:rPr>
        <w:t>Government </w:t>
      </w:r>
      <w:r>
        <w:rPr>
          <w:sz w:val="20"/>
        </w:rPr>
        <w:t>when new </w:t>
      </w:r>
      <w:r>
        <w:rPr>
          <w:spacing w:val="-3"/>
          <w:sz w:val="20"/>
        </w:rPr>
        <w:t>examples </w:t>
      </w:r>
      <w:r>
        <w:rPr>
          <w:sz w:val="20"/>
        </w:rPr>
        <w:t>should be added to</w:t>
      </w:r>
      <w:r>
        <w:rPr>
          <w:spacing w:val="-18"/>
          <w:sz w:val="20"/>
        </w:rPr>
        <w:t> </w:t>
      </w:r>
      <w:r>
        <w:rPr>
          <w:sz w:val="20"/>
        </w:rPr>
        <w:t>regulation.</w:t>
      </w:r>
    </w:p>
    <w:p>
      <w:pPr>
        <w:pStyle w:val="BodyText"/>
      </w:pPr>
    </w:p>
    <w:p>
      <w:pPr>
        <w:pStyle w:val="BodyText"/>
      </w:pPr>
    </w:p>
    <w:p>
      <w:pPr>
        <w:pStyle w:val="BodyText"/>
      </w:pPr>
    </w:p>
    <w:p>
      <w:pPr>
        <w:pStyle w:val="BodyText"/>
        <w:spacing w:before="9"/>
        <w:rPr>
          <w:sz w:val="22"/>
        </w:rPr>
      </w:pPr>
      <w:r>
        <w:rPr/>
        <w:pict>
          <v:line style="position:absolute;mso-position-horizontal-relative:page;mso-position-vertical-relative:paragraph;z-index:6920;mso-wrap-distance-left:0;mso-wrap-distance-right:0" from="79.370102pt,18.198299pt" to="515.905102pt,18.198299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82"/>
        </w:numPr>
        <w:tabs>
          <w:tab w:pos="1761" w:val="left" w:leader="none"/>
          <w:tab w:pos="1762" w:val="left" w:leader="none"/>
        </w:tabs>
        <w:spacing w:line="170" w:lineRule="exact" w:before="21" w:after="0"/>
        <w:ind w:left="1761" w:right="0" w:hanging="794"/>
        <w:jc w:val="left"/>
        <w:rPr>
          <w:i/>
          <w:sz w:val="13"/>
        </w:rPr>
      </w:pPr>
      <w:r>
        <w:rPr>
          <w:i/>
          <w:sz w:val="13"/>
        </w:rPr>
        <w:t>JH</w:t>
      </w:r>
      <w:r>
        <w:rPr>
          <w:i/>
          <w:spacing w:val="2"/>
          <w:sz w:val="13"/>
        </w:rPr>
        <w:t> </w:t>
      </w:r>
      <w:r>
        <w:rPr>
          <w:i/>
          <w:sz w:val="13"/>
        </w:rPr>
        <w:t>v</w:t>
      </w:r>
      <w:r>
        <w:rPr>
          <w:i/>
          <w:spacing w:val="3"/>
          <w:sz w:val="13"/>
        </w:rPr>
        <w:t> </w:t>
      </w:r>
      <w:r>
        <w:rPr>
          <w:i/>
          <w:sz w:val="13"/>
        </w:rPr>
        <w:t>Australia</w:t>
      </w:r>
      <w:r>
        <w:rPr>
          <w:i/>
          <w:spacing w:val="3"/>
          <w:sz w:val="13"/>
        </w:rPr>
        <w:t> </w:t>
      </w:r>
      <w:r>
        <w:rPr>
          <w:sz w:val="13"/>
        </w:rPr>
        <w:t>[8].</w:t>
      </w:r>
      <w:r>
        <w:rPr>
          <w:spacing w:val="2"/>
          <w:sz w:val="13"/>
        </w:rPr>
        <w:t> Identical</w:t>
      </w:r>
      <w:r>
        <w:rPr>
          <w:spacing w:val="3"/>
          <w:sz w:val="13"/>
        </w:rPr>
        <w:t> </w:t>
      </w:r>
      <w:r>
        <w:rPr>
          <w:sz w:val="13"/>
        </w:rPr>
        <w:t>recommendations</w:t>
      </w:r>
      <w:r>
        <w:rPr>
          <w:spacing w:val="3"/>
          <w:sz w:val="13"/>
        </w:rPr>
        <w:t> </w:t>
      </w:r>
      <w:r>
        <w:rPr>
          <w:sz w:val="13"/>
        </w:rPr>
        <w:t>were</w:t>
      </w:r>
      <w:r>
        <w:rPr>
          <w:spacing w:val="3"/>
          <w:sz w:val="13"/>
        </w:rPr>
        <w:t> </w:t>
      </w:r>
      <w:r>
        <w:rPr>
          <w:sz w:val="13"/>
        </w:rPr>
        <w:t>made</w:t>
      </w:r>
      <w:r>
        <w:rPr>
          <w:spacing w:val="2"/>
          <w:sz w:val="13"/>
        </w:rPr>
        <w:t> </w:t>
      </w:r>
      <w:r>
        <w:rPr>
          <w:sz w:val="13"/>
        </w:rPr>
        <w:t>in</w:t>
      </w:r>
      <w:r>
        <w:rPr>
          <w:spacing w:val="3"/>
          <w:sz w:val="13"/>
        </w:rPr>
        <w:t> </w:t>
      </w:r>
      <w:r>
        <w:rPr>
          <w:sz w:val="13"/>
        </w:rPr>
        <w:t>the</w:t>
      </w:r>
      <w:r>
        <w:rPr>
          <w:spacing w:val="3"/>
          <w:sz w:val="13"/>
        </w:rPr>
        <w:t> </w:t>
      </w:r>
      <w:r>
        <w:rPr>
          <w:sz w:val="13"/>
        </w:rPr>
        <w:t>cases</w:t>
      </w:r>
      <w:r>
        <w:rPr>
          <w:spacing w:val="3"/>
          <w:sz w:val="13"/>
        </w:rPr>
        <w:t> </w:t>
      </w:r>
      <w:r>
        <w:rPr>
          <w:sz w:val="13"/>
        </w:rPr>
        <w:t>of</w:t>
      </w:r>
      <w:r>
        <w:rPr>
          <w:spacing w:val="2"/>
          <w:sz w:val="13"/>
        </w:rPr>
        <w:t> </w:t>
      </w:r>
      <w:r>
        <w:rPr>
          <w:i/>
          <w:sz w:val="13"/>
        </w:rPr>
        <w:t>Beasley</w:t>
      </w:r>
      <w:r>
        <w:rPr>
          <w:i/>
          <w:spacing w:val="3"/>
          <w:sz w:val="13"/>
        </w:rPr>
        <w:t> </w:t>
      </w:r>
      <w:r>
        <w:rPr>
          <w:i/>
          <w:sz w:val="13"/>
        </w:rPr>
        <w:t>v</w:t>
      </w:r>
      <w:r>
        <w:rPr>
          <w:i/>
          <w:spacing w:val="3"/>
          <w:sz w:val="13"/>
        </w:rPr>
        <w:t> </w:t>
      </w:r>
      <w:r>
        <w:rPr>
          <w:i/>
          <w:sz w:val="13"/>
        </w:rPr>
        <w:t>Australia</w:t>
      </w:r>
      <w:r>
        <w:rPr>
          <w:i/>
          <w:spacing w:val="2"/>
          <w:sz w:val="13"/>
        </w:rPr>
        <w:t> </w:t>
      </w:r>
      <w:r>
        <w:rPr>
          <w:sz w:val="13"/>
        </w:rPr>
        <w:t>and</w:t>
      </w:r>
      <w:r>
        <w:rPr>
          <w:spacing w:val="3"/>
          <w:sz w:val="13"/>
        </w:rPr>
        <w:t> </w:t>
      </w:r>
      <w:r>
        <w:rPr>
          <w:i/>
          <w:sz w:val="13"/>
        </w:rPr>
        <w:t>Lockrey</w:t>
      </w:r>
      <w:r>
        <w:rPr>
          <w:i/>
          <w:spacing w:val="3"/>
          <w:sz w:val="13"/>
        </w:rPr>
        <w:t> </w:t>
      </w:r>
      <w:r>
        <w:rPr>
          <w:i/>
          <w:sz w:val="13"/>
        </w:rPr>
        <w:t>v</w:t>
      </w:r>
      <w:r>
        <w:rPr>
          <w:i/>
          <w:spacing w:val="2"/>
          <w:sz w:val="13"/>
        </w:rPr>
        <w:t> </w:t>
      </w:r>
      <w:r>
        <w:rPr>
          <w:i/>
          <w:sz w:val="13"/>
        </w:rPr>
        <w:t>Australia.</w:t>
      </w:r>
    </w:p>
    <w:p>
      <w:pPr>
        <w:pStyle w:val="ListParagraph"/>
        <w:numPr>
          <w:ilvl w:val="0"/>
          <w:numId w:val="82"/>
        </w:numPr>
        <w:tabs>
          <w:tab w:pos="1761" w:val="left" w:leader="none"/>
          <w:tab w:pos="1762" w:val="left" w:leader="none"/>
        </w:tabs>
        <w:spacing w:line="160" w:lineRule="exact" w:before="0" w:after="0"/>
        <w:ind w:left="1761" w:right="0" w:hanging="794"/>
        <w:jc w:val="left"/>
        <w:rPr>
          <w:sz w:val="13"/>
        </w:rPr>
      </w:pPr>
      <w:r>
        <w:rPr>
          <w:sz w:val="13"/>
        </w:rPr>
        <w:t>See examples listed in </w:t>
      </w:r>
      <w:r>
        <w:rPr>
          <w:i/>
          <w:sz w:val="13"/>
        </w:rPr>
        <w:t>Juries Act 1967 </w:t>
      </w:r>
      <w:r>
        <w:rPr>
          <w:sz w:val="13"/>
        </w:rPr>
        <w:t>(ACT) s</w:t>
      </w:r>
      <w:r>
        <w:rPr>
          <w:spacing w:val="3"/>
          <w:sz w:val="13"/>
        </w:rPr>
        <w:t> </w:t>
      </w:r>
      <w:r>
        <w:rPr>
          <w:sz w:val="13"/>
        </w:rPr>
        <w:t>16(2).</w:t>
      </w:r>
    </w:p>
    <w:p>
      <w:pPr>
        <w:pStyle w:val="ListParagraph"/>
        <w:numPr>
          <w:ilvl w:val="0"/>
          <w:numId w:val="82"/>
        </w:numPr>
        <w:tabs>
          <w:tab w:pos="1761" w:val="left" w:leader="none"/>
          <w:tab w:pos="1762" w:val="left" w:leader="none"/>
        </w:tabs>
        <w:spacing w:line="160" w:lineRule="exact" w:before="0" w:after="0"/>
        <w:ind w:left="1761" w:right="0" w:hanging="794"/>
        <w:jc w:val="left"/>
        <w:rPr>
          <w:sz w:val="13"/>
        </w:rPr>
      </w:pPr>
      <w:r>
        <w:rPr>
          <w:sz w:val="13"/>
        </w:rPr>
        <w:t>Consultation 7 </w:t>
      </w:r>
      <w:r>
        <w:rPr>
          <w:spacing w:val="2"/>
          <w:sz w:val="13"/>
        </w:rPr>
        <w:t>(Vision </w:t>
      </w:r>
      <w:r>
        <w:rPr>
          <w:spacing w:val="9"/>
          <w:sz w:val="13"/>
        </w:rPr>
        <w:t> </w:t>
      </w:r>
      <w:r>
        <w:rPr>
          <w:sz w:val="13"/>
        </w:rPr>
        <w:t>Australia).</w:t>
      </w:r>
    </w:p>
    <w:p>
      <w:pPr>
        <w:pStyle w:val="ListParagraph"/>
        <w:numPr>
          <w:ilvl w:val="0"/>
          <w:numId w:val="82"/>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z w:val="13"/>
        </w:rPr>
        <w:t>10 </w:t>
      </w:r>
      <w:r>
        <w:rPr>
          <w:spacing w:val="2"/>
          <w:sz w:val="13"/>
        </w:rPr>
        <w:t>(Vision</w:t>
      </w:r>
      <w:r>
        <w:rPr>
          <w:spacing w:val="20"/>
          <w:sz w:val="13"/>
        </w:rPr>
        <w:t> </w:t>
      </w:r>
      <w:r>
        <w:rPr>
          <w:sz w:val="13"/>
        </w:rPr>
        <w:t>Australia).</w:t>
      </w:r>
    </w:p>
    <w:p>
      <w:pPr>
        <w:pStyle w:val="ListParagraph"/>
        <w:numPr>
          <w:ilvl w:val="0"/>
          <w:numId w:val="82"/>
        </w:numPr>
        <w:tabs>
          <w:tab w:pos="1761" w:val="left" w:leader="none"/>
          <w:tab w:pos="1762" w:val="left" w:leader="none"/>
        </w:tabs>
        <w:spacing w:line="160" w:lineRule="exact" w:before="0" w:after="0"/>
        <w:ind w:left="1761" w:right="0" w:hanging="794"/>
        <w:jc w:val="left"/>
        <w:rPr>
          <w:sz w:val="13"/>
        </w:rPr>
      </w:pPr>
      <w:r>
        <w:rPr>
          <w:i/>
          <w:sz w:val="13"/>
        </w:rPr>
        <w:t>Police, Crime, Sentencing and </w:t>
      </w:r>
      <w:r>
        <w:rPr>
          <w:i/>
          <w:spacing w:val="2"/>
          <w:sz w:val="13"/>
        </w:rPr>
        <w:t>Courts </w:t>
      </w:r>
      <w:r>
        <w:rPr>
          <w:i/>
          <w:sz w:val="13"/>
        </w:rPr>
        <w:t>Act 2022 </w:t>
      </w:r>
      <w:r>
        <w:rPr>
          <w:spacing w:val="2"/>
          <w:sz w:val="13"/>
        </w:rPr>
        <w:t>(UK) </w:t>
      </w:r>
      <w:r>
        <w:rPr>
          <w:sz w:val="13"/>
        </w:rPr>
        <w:t>s</w:t>
      </w:r>
      <w:r>
        <w:rPr>
          <w:spacing w:val="-3"/>
          <w:sz w:val="13"/>
        </w:rPr>
        <w:t> </w:t>
      </w:r>
      <w:r>
        <w:rPr>
          <w:spacing w:val="2"/>
          <w:sz w:val="13"/>
        </w:rPr>
        <w:t>196.</w:t>
      </w:r>
    </w:p>
    <w:p>
      <w:pPr>
        <w:pStyle w:val="ListParagraph"/>
        <w:numPr>
          <w:ilvl w:val="0"/>
          <w:numId w:val="82"/>
        </w:numPr>
        <w:tabs>
          <w:tab w:pos="1761" w:val="left" w:leader="none"/>
          <w:tab w:pos="1762" w:val="left" w:leader="none"/>
        </w:tabs>
        <w:spacing w:line="213" w:lineRule="auto" w:before="7" w:after="0"/>
        <w:ind w:left="1761" w:right="0" w:hanging="794"/>
        <w:jc w:val="left"/>
        <w:rPr>
          <w:sz w:val="13"/>
        </w:rPr>
      </w:pPr>
      <w:r>
        <w:rPr>
          <w:i/>
          <w:sz w:val="13"/>
        </w:rPr>
        <w:t>Americans with Disabilities Act, </w:t>
      </w:r>
      <w:r>
        <w:rPr>
          <w:sz w:val="13"/>
        </w:rPr>
        <w:t>42 USC (1990). See </w:t>
      </w:r>
      <w:r>
        <w:rPr>
          <w:spacing w:val="2"/>
          <w:sz w:val="13"/>
        </w:rPr>
        <w:t>also </w:t>
      </w:r>
      <w:r>
        <w:rPr>
          <w:sz w:val="13"/>
        </w:rPr>
        <w:t>Victorian Law Reform </w:t>
      </w:r>
      <w:r>
        <w:rPr>
          <w:spacing w:val="2"/>
          <w:sz w:val="13"/>
        </w:rPr>
        <w:t>Commission, </w:t>
      </w:r>
      <w:r>
        <w:rPr>
          <w:i/>
          <w:sz w:val="13"/>
        </w:rPr>
        <w:t>Inclusive Juries—Access for People      </w:t>
      </w:r>
      <w:r>
        <w:rPr>
          <w:i/>
          <w:sz w:val="13"/>
        </w:rPr>
        <w:t>Who Are Deaf, Hard of Hearing, Blind or Have Low Vision </w:t>
      </w:r>
      <w:r>
        <w:rPr>
          <w:sz w:val="13"/>
        </w:rPr>
        <w:t>(Consultation Paper, </w:t>
      </w:r>
      <w:r>
        <w:rPr>
          <w:spacing w:val="2"/>
          <w:sz w:val="13"/>
        </w:rPr>
        <w:t>December </w:t>
      </w:r>
      <w:r>
        <w:rPr>
          <w:sz w:val="13"/>
        </w:rPr>
        <w:t>2020) </w:t>
      </w:r>
      <w:r>
        <w:rPr>
          <w:spacing w:val="2"/>
          <w:sz w:val="13"/>
        </w:rPr>
        <w:t>34–5 [4.38]; Department </w:t>
      </w:r>
      <w:r>
        <w:rPr>
          <w:sz w:val="13"/>
        </w:rPr>
        <w:t>of Justice (US), </w:t>
      </w:r>
      <w:r>
        <w:rPr>
          <w:i/>
          <w:sz w:val="13"/>
        </w:rPr>
        <w:t>The Americans with Disabilities Act: Title II Technical Assistance Manual </w:t>
      </w:r>
      <w:r>
        <w:rPr>
          <w:spacing w:val="2"/>
          <w:sz w:val="13"/>
        </w:rPr>
        <w:t>(Manual) </w:t>
      </w:r>
      <w:r>
        <w:rPr>
          <w:sz w:val="13"/>
        </w:rPr>
        <w:t>&lt;</w:t>
      </w:r>
      <w:hyperlink r:id="rId155">
        <w:r>
          <w:rPr>
            <w:sz w:val="13"/>
          </w:rPr>
          <w:t>https://www.ada.gov/taman2.html</w:t>
        </w:r>
      </w:hyperlink>
      <w:r>
        <w:rPr>
          <w:sz w:val="13"/>
        </w:rPr>
        <w:t>&gt;; Office  of </w:t>
      </w:r>
      <w:r>
        <w:rPr>
          <w:spacing w:val="2"/>
          <w:sz w:val="13"/>
        </w:rPr>
        <w:t>Court </w:t>
      </w:r>
      <w:r>
        <w:rPr>
          <w:sz w:val="13"/>
        </w:rPr>
        <w:t>Administration, New York State Unified </w:t>
      </w:r>
      <w:r>
        <w:rPr>
          <w:spacing w:val="2"/>
          <w:sz w:val="13"/>
        </w:rPr>
        <w:t>Court </w:t>
      </w:r>
      <w:r>
        <w:rPr>
          <w:sz w:val="13"/>
        </w:rPr>
        <w:t>System, ‘Reasonable Accommodations for </w:t>
      </w:r>
      <w:r>
        <w:rPr>
          <w:spacing w:val="2"/>
          <w:sz w:val="13"/>
        </w:rPr>
        <w:t>Court </w:t>
      </w:r>
      <w:r>
        <w:rPr>
          <w:sz w:val="13"/>
        </w:rPr>
        <w:t>Users’, </w:t>
      </w:r>
      <w:r>
        <w:rPr>
          <w:i/>
          <w:sz w:val="13"/>
        </w:rPr>
        <w:t>NYCOURTS.GOV </w:t>
      </w:r>
      <w:r>
        <w:rPr>
          <w:sz w:val="13"/>
        </w:rPr>
        <w:t>(Web Page)</w:t>
      </w:r>
      <w:r>
        <w:rPr>
          <w:spacing w:val="1"/>
          <w:sz w:val="13"/>
        </w:rPr>
        <w:t> </w:t>
      </w:r>
      <w:r>
        <w:rPr>
          <w:sz w:val="13"/>
        </w:rPr>
        <w:t>&lt;</w:t>
      </w:r>
      <w:hyperlink r:id="rId154">
        <w:r>
          <w:rPr>
            <w:sz w:val="13"/>
          </w:rPr>
          <w:t>http://ww2.nycourts.gov/Accessibility/CourtUsers_Guidelines.shtml</w:t>
        </w:r>
      </w:hyperlink>
      <w:r>
        <w:rPr>
          <w:sz w:val="13"/>
        </w:rPr>
        <w:t>&gt;.</w:t>
      </w:r>
    </w:p>
    <w:p>
      <w:pPr>
        <w:pStyle w:val="ListParagraph"/>
        <w:numPr>
          <w:ilvl w:val="0"/>
          <w:numId w:val="82"/>
        </w:numPr>
        <w:tabs>
          <w:tab w:pos="1761" w:val="left" w:leader="none"/>
          <w:tab w:pos="1762" w:val="left" w:leader="none"/>
        </w:tabs>
        <w:spacing w:line="213" w:lineRule="auto" w:before="0" w:after="0"/>
        <w:ind w:left="1761" w:right="2" w:hanging="794"/>
        <w:jc w:val="left"/>
        <w:rPr>
          <w:sz w:val="13"/>
        </w:rPr>
      </w:pPr>
      <w:r>
        <w:rPr>
          <w:sz w:val="13"/>
        </w:rPr>
        <w:t>Office of </w:t>
      </w:r>
      <w:r>
        <w:rPr>
          <w:spacing w:val="2"/>
          <w:sz w:val="13"/>
        </w:rPr>
        <w:t>Court </w:t>
      </w:r>
      <w:r>
        <w:rPr>
          <w:sz w:val="13"/>
        </w:rPr>
        <w:t>Administration, New York State Unified </w:t>
      </w:r>
      <w:r>
        <w:rPr>
          <w:spacing w:val="2"/>
          <w:sz w:val="13"/>
        </w:rPr>
        <w:t>Court </w:t>
      </w:r>
      <w:r>
        <w:rPr>
          <w:sz w:val="13"/>
        </w:rPr>
        <w:t>System, ‘Reasonable Accommodations for </w:t>
      </w:r>
      <w:r>
        <w:rPr>
          <w:spacing w:val="2"/>
          <w:sz w:val="13"/>
        </w:rPr>
        <w:t>Court </w:t>
      </w:r>
      <w:r>
        <w:rPr>
          <w:sz w:val="13"/>
        </w:rPr>
        <w:t>Users’, </w:t>
      </w:r>
      <w:r>
        <w:rPr>
          <w:i/>
          <w:sz w:val="13"/>
        </w:rPr>
        <w:t>NYCOURTS. </w:t>
      </w:r>
      <w:r>
        <w:rPr>
          <w:i/>
          <w:sz w:val="13"/>
        </w:rPr>
        <w:t>GOV </w:t>
      </w:r>
      <w:r>
        <w:rPr>
          <w:sz w:val="13"/>
        </w:rPr>
        <w:t>(Web Page)</w:t>
      </w:r>
      <w:r>
        <w:rPr>
          <w:spacing w:val="3"/>
          <w:sz w:val="13"/>
        </w:rPr>
        <w:t> </w:t>
      </w:r>
      <w:r>
        <w:rPr>
          <w:sz w:val="13"/>
        </w:rPr>
        <w:t>&lt;</w:t>
      </w:r>
      <w:hyperlink r:id="rId154">
        <w:r>
          <w:rPr>
            <w:sz w:val="13"/>
          </w:rPr>
          <w:t>http://ww2.nycourts.gov/Accessibility/CourtUsers_Guidelines.shtml</w:t>
        </w:r>
      </w:hyperlink>
      <w:r>
        <w:rPr>
          <w:sz w:val="13"/>
        </w:rPr>
        <w:t>&gt;.</w:t>
      </w:r>
    </w:p>
    <w:p>
      <w:pPr>
        <w:pStyle w:val="ListParagraph"/>
        <w:numPr>
          <w:ilvl w:val="0"/>
          <w:numId w:val="82"/>
        </w:numPr>
        <w:tabs>
          <w:tab w:pos="1761" w:val="left" w:leader="none"/>
          <w:tab w:pos="1762" w:val="left" w:leader="none"/>
        </w:tabs>
        <w:spacing w:line="213" w:lineRule="auto" w:before="0" w:after="0"/>
        <w:ind w:left="1761" w:right="669" w:hanging="794"/>
        <w:jc w:val="left"/>
        <w:rPr>
          <w:sz w:val="13"/>
        </w:rPr>
      </w:pPr>
      <w:r>
        <w:rPr>
          <w:spacing w:val="2"/>
          <w:sz w:val="13"/>
        </w:rPr>
        <w:t>Ministry </w:t>
      </w:r>
      <w:r>
        <w:rPr>
          <w:sz w:val="13"/>
        </w:rPr>
        <w:t>of Justice (UK), ‘Law Change </w:t>
      </w:r>
      <w:r>
        <w:rPr>
          <w:spacing w:val="2"/>
          <w:sz w:val="13"/>
        </w:rPr>
        <w:t>Opens </w:t>
      </w:r>
      <w:r>
        <w:rPr>
          <w:sz w:val="13"/>
        </w:rPr>
        <w:t>Door to Deaf Jurors’ (Press Release, 9 March 2021) &lt;</w:t>
      </w:r>
      <w:hyperlink r:id="rId165">
        <w:r>
          <w:rPr>
            <w:sz w:val="13"/>
          </w:rPr>
          <w:t>https://www.gov.uk/</w:t>
        </w:r>
      </w:hyperlink>
      <w:hyperlink r:id="rId165">
        <w:r>
          <w:rPr>
            <w:sz w:val="13"/>
          </w:rPr>
          <w:t> government/news/law-change-opens-door-to-deaf-jurors</w:t>
        </w:r>
      </w:hyperlink>
      <w:r>
        <w:rPr>
          <w:sz w:val="13"/>
        </w:rPr>
        <w:t>&gt;.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3"/>
        <w:rPr>
          <w:sz w:val="30"/>
        </w:rPr>
      </w:pPr>
    </w:p>
    <w:p>
      <w:pPr>
        <w:spacing w:before="0"/>
        <w:ind w:left="593" w:right="0" w:firstLine="0"/>
        <w:jc w:val="left"/>
        <w:rPr>
          <w:b/>
          <w:sz w:val="24"/>
        </w:rPr>
      </w:pPr>
      <w:r>
        <w:rPr>
          <w:b/>
          <w:color w:val="37617A"/>
          <w:sz w:val="24"/>
        </w:rPr>
        <w:t>113</w:t>
      </w:r>
    </w:p>
    <w:p>
      <w:pPr>
        <w:spacing w:after="0"/>
        <w:jc w:val="left"/>
        <w:rPr>
          <w:sz w:val="24"/>
        </w:rPr>
        <w:sectPr>
          <w:type w:val="continuous"/>
          <w:pgSz w:w="11910" w:h="16840"/>
          <w:pgMar w:top="620" w:bottom="280" w:left="620" w:right="380"/>
          <w:cols w:num="2" w:equalWidth="0">
            <w:col w:w="9676" w:space="40"/>
            <w:col w:w="1194"/>
          </w:cols>
        </w:sectPr>
      </w:pPr>
    </w:p>
    <w:p>
      <w:pPr>
        <w:pStyle w:val="BodyText"/>
        <w:rPr>
          <w:b/>
        </w:rPr>
      </w:pPr>
    </w:p>
    <w:p>
      <w:pPr>
        <w:pStyle w:val="BodyText"/>
        <w:rPr>
          <w:b/>
        </w:rPr>
      </w:pPr>
    </w:p>
    <w:p>
      <w:pPr>
        <w:pStyle w:val="BodyText"/>
        <w:rPr>
          <w:b/>
        </w:rPr>
      </w:pPr>
    </w:p>
    <w:p>
      <w:pPr>
        <w:spacing w:before="220"/>
        <w:ind w:left="967" w:right="0" w:firstLine="0"/>
        <w:jc w:val="left"/>
        <w:rPr>
          <w:b/>
          <w:sz w:val="24"/>
        </w:rPr>
      </w:pPr>
      <w:bookmarkStart w:name="_bookmark84" w:id="210"/>
      <w:bookmarkEnd w:id="210"/>
      <w:r>
        <w:rPr/>
      </w:r>
      <w:r>
        <w:rPr>
          <w:b/>
          <w:sz w:val="24"/>
        </w:rPr>
        <w:t>Refining the list of factors to be considered by a judge</w:t>
      </w:r>
    </w:p>
    <w:p>
      <w:pPr>
        <w:pStyle w:val="ListParagraph"/>
        <w:numPr>
          <w:ilvl w:val="1"/>
          <w:numId w:val="12"/>
        </w:numPr>
        <w:tabs>
          <w:tab w:pos="1761" w:val="left" w:leader="none"/>
          <w:tab w:pos="1762" w:val="left" w:leader="none"/>
        </w:tabs>
        <w:spacing w:line="206" w:lineRule="auto" w:before="127" w:after="0"/>
        <w:ind w:left="1761" w:right="1297" w:hanging="794"/>
        <w:jc w:val="left"/>
        <w:rPr>
          <w:sz w:val="20"/>
        </w:rPr>
      </w:pPr>
      <w:r>
        <w:rPr>
          <w:sz w:val="20"/>
        </w:rPr>
        <w:t>Section</w:t>
      </w:r>
      <w:r>
        <w:rPr>
          <w:spacing w:val="-9"/>
          <w:sz w:val="20"/>
        </w:rPr>
        <w:t> </w:t>
      </w:r>
      <w:r>
        <w:rPr>
          <w:sz w:val="20"/>
        </w:rPr>
        <w:t>16(3)</w:t>
      </w:r>
      <w:r>
        <w:rPr>
          <w:spacing w:val="-9"/>
          <w:sz w:val="20"/>
        </w:rPr>
        <w:t> </w:t>
      </w:r>
      <w:r>
        <w:rPr>
          <w:sz w:val="20"/>
        </w:rPr>
        <w:t>of</w:t>
      </w:r>
      <w:r>
        <w:rPr>
          <w:spacing w:val="-9"/>
          <w:sz w:val="20"/>
        </w:rPr>
        <w:t> </w:t>
      </w:r>
      <w:r>
        <w:rPr>
          <w:sz w:val="20"/>
        </w:rPr>
        <w:t>the</w:t>
      </w:r>
      <w:r>
        <w:rPr>
          <w:spacing w:val="-9"/>
          <w:sz w:val="20"/>
        </w:rPr>
        <w:t> </w:t>
      </w:r>
      <w:r>
        <w:rPr>
          <w:spacing w:val="-4"/>
          <w:sz w:val="20"/>
        </w:rPr>
        <w:t>ACT</w:t>
      </w:r>
      <w:r>
        <w:rPr>
          <w:spacing w:val="-9"/>
          <w:sz w:val="20"/>
        </w:rPr>
        <w:t> </w:t>
      </w:r>
      <w:r>
        <w:rPr>
          <w:spacing w:val="-2"/>
          <w:sz w:val="20"/>
        </w:rPr>
        <w:t>Act</w:t>
      </w:r>
      <w:r>
        <w:rPr>
          <w:spacing w:val="-9"/>
          <w:sz w:val="20"/>
        </w:rPr>
        <w:t> </w:t>
      </w:r>
      <w:r>
        <w:rPr>
          <w:sz w:val="20"/>
        </w:rPr>
        <w:t>lists</w:t>
      </w:r>
      <w:r>
        <w:rPr>
          <w:spacing w:val="-9"/>
          <w:sz w:val="20"/>
        </w:rPr>
        <w:t> </w:t>
      </w:r>
      <w:r>
        <w:rPr>
          <w:sz w:val="20"/>
        </w:rPr>
        <w:t>three</w:t>
      </w:r>
      <w:r>
        <w:rPr>
          <w:spacing w:val="-9"/>
          <w:sz w:val="20"/>
        </w:rPr>
        <w:t> </w:t>
      </w:r>
      <w:r>
        <w:rPr>
          <w:sz w:val="20"/>
        </w:rPr>
        <w:t>factors</w:t>
      </w:r>
      <w:r>
        <w:rPr>
          <w:spacing w:val="-9"/>
          <w:sz w:val="20"/>
        </w:rPr>
        <w:t> </w:t>
      </w:r>
      <w:r>
        <w:rPr>
          <w:sz w:val="20"/>
        </w:rPr>
        <w:t>the</w:t>
      </w:r>
      <w:r>
        <w:rPr>
          <w:spacing w:val="-9"/>
          <w:sz w:val="20"/>
        </w:rPr>
        <w:t> </w:t>
      </w:r>
      <w:r>
        <w:rPr>
          <w:sz w:val="20"/>
        </w:rPr>
        <w:t>judge</w:t>
      </w:r>
      <w:r>
        <w:rPr>
          <w:spacing w:val="-8"/>
          <w:sz w:val="20"/>
        </w:rPr>
        <w:t> </w:t>
      </w:r>
      <w:r>
        <w:rPr>
          <w:spacing w:val="-3"/>
          <w:sz w:val="20"/>
        </w:rPr>
        <w:t>may</w:t>
      </w:r>
      <w:r>
        <w:rPr>
          <w:spacing w:val="-9"/>
          <w:sz w:val="20"/>
        </w:rPr>
        <w:t> </w:t>
      </w:r>
      <w:r>
        <w:rPr>
          <w:sz w:val="20"/>
        </w:rPr>
        <w:t>consider</w:t>
      </w:r>
      <w:r>
        <w:rPr>
          <w:spacing w:val="-9"/>
          <w:sz w:val="20"/>
        </w:rPr>
        <w:t> </w:t>
      </w:r>
      <w:r>
        <w:rPr>
          <w:sz w:val="20"/>
        </w:rPr>
        <w:t>in</w:t>
      </w:r>
      <w:r>
        <w:rPr>
          <w:spacing w:val="-9"/>
          <w:sz w:val="20"/>
        </w:rPr>
        <w:t> </w:t>
      </w:r>
      <w:r>
        <w:rPr>
          <w:sz w:val="20"/>
        </w:rPr>
        <w:t>determining</w:t>
      </w:r>
      <w:r>
        <w:rPr>
          <w:spacing w:val="-9"/>
          <w:sz w:val="20"/>
        </w:rPr>
        <w:t> </w:t>
      </w:r>
      <w:r>
        <w:rPr>
          <w:sz w:val="20"/>
        </w:rPr>
        <w:t>if support can </w:t>
      </w:r>
      <w:r>
        <w:rPr>
          <w:spacing w:val="-3"/>
          <w:sz w:val="20"/>
        </w:rPr>
        <w:t>reasonably </w:t>
      </w:r>
      <w:r>
        <w:rPr>
          <w:sz w:val="20"/>
        </w:rPr>
        <w:t>be</w:t>
      </w:r>
      <w:r>
        <w:rPr>
          <w:spacing w:val="-13"/>
          <w:sz w:val="20"/>
        </w:rPr>
        <w:t> </w:t>
      </w:r>
      <w:r>
        <w:rPr>
          <w:spacing w:val="-3"/>
          <w:sz w:val="20"/>
        </w:rPr>
        <w:t>provided:</w:t>
      </w:r>
    </w:p>
    <w:p>
      <w:pPr>
        <w:pStyle w:val="ListParagraph"/>
        <w:numPr>
          <w:ilvl w:val="2"/>
          <w:numId w:val="12"/>
        </w:numPr>
        <w:tabs>
          <w:tab w:pos="2157" w:val="left" w:leader="none"/>
          <w:tab w:pos="2158" w:val="left" w:leader="none"/>
        </w:tabs>
        <w:spacing w:line="240" w:lineRule="auto" w:before="91" w:after="0"/>
        <w:ind w:left="2157" w:right="0" w:hanging="396"/>
        <w:jc w:val="left"/>
        <w:rPr>
          <w:sz w:val="20"/>
        </w:rPr>
      </w:pPr>
      <w:r>
        <w:rPr>
          <w:sz w:val="20"/>
        </w:rPr>
        <w:t>the impact on the trial and court</w:t>
      </w:r>
      <w:r>
        <w:rPr>
          <w:spacing w:val="-30"/>
          <w:sz w:val="20"/>
        </w:rPr>
        <w:t> </w:t>
      </w:r>
      <w:r>
        <w:rPr>
          <w:spacing w:val="-3"/>
          <w:sz w:val="20"/>
        </w:rPr>
        <w:t>resources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the impact on the jury deliberation</w:t>
      </w:r>
      <w:r>
        <w:rPr>
          <w:spacing w:val="-27"/>
          <w:sz w:val="20"/>
        </w:rPr>
        <w:t> </w:t>
      </w:r>
      <w:r>
        <w:rPr>
          <w:sz w:val="20"/>
        </w:rPr>
        <w:t>process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pacing w:val="-3"/>
          <w:sz w:val="20"/>
        </w:rPr>
        <w:t>any </w:t>
      </w:r>
      <w:r>
        <w:rPr>
          <w:sz w:val="20"/>
        </w:rPr>
        <w:t>other issue that the judge thinks is</w:t>
      </w:r>
      <w:r>
        <w:rPr>
          <w:spacing w:val="-32"/>
          <w:sz w:val="20"/>
        </w:rPr>
        <w:t> </w:t>
      </w:r>
      <w:r>
        <w:rPr>
          <w:spacing w:val="-3"/>
          <w:sz w:val="20"/>
        </w:rPr>
        <w:t>relevant.</w:t>
      </w:r>
    </w:p>
    <w:p>
      <w:pPr>
        <w:pStyle w:val="ListParagraph"/>
        <w:numPr>
          <w:ilvl w:val="1"/>
          <w:numId w:val="12"/>
        </w:numPr>
        <w:tabs>
          <w:tab w:pos="1761" w:val="left" w:leader="none"/>
          <w:tab w:pos="1762" w:val="left" w:leader="none"/>
        </w:tabs>
        <w:spacing w:line="206" w:lineRule="auto" w:before="80" w:after="0"/>
        <w:ind w:left="1761" w:right="1298" w:hanging="794"/>
        <w:jc w:val="left"/>
        <w:rPr>
          <w:sz w:val="11"/>
        </w:rPr>
      </w:pPr>
      <w:r>
        <w:rPr>
          <w:sz w:val="20"/>
        </w:rPr>
        <w:t>The</w:t>
      </w:r>
      <w:r>
        <w:rPr>
          <w:spacing w:val="-11"/>
          <w:sz w:val="20"/>
        </w:rPr>
        <w:t> </w:t>
      </w:r>
      <w:r>
        <w:rPr>
          <w:sz w:val="20"/>
        </w:rPr>
        <w:t>Commission</w:t>
      </w:r>
      <w:r>
        <w:rPr>
          <w:spacing w:val="-11"/>
          <w:sz w:val="20"/>
        </w:rPr>
        <w:t> </w:t>
      </w:r>
      <w:r>
        <w:rPr>
          <w:sz w:val="20"/>
        </w:rPr>
        <w:t>asked</w:t>
      </w:r>
      <w:r>
        <w:rPr>
          <w:spacing w:val="-10"/>
          <w:sz w:val="20"/>
        </w:rPr>
        <w:t> </w:t>
      </w:r>
      <w:r>
        <w:rPr>
          <w:sz w:val="20"/>
        </w:rPr>
        <w:t>in</w:t>
      </w:r>
      <w:r>
        <w:rPr>
          <w:spacing w:val="-11"/>
          <w:sz w:val="20"/>
        </w:rPr>
        <w:t> </w:t>
      </w:r>
      <w:r>
        <w:rPr>
          <w:sz w:val="20"/>
        </w:rPr>
        <w:t>the</w:t>
      </w:r>
      <w:r>
        <w:rPr>
          <w:spacing w:val="-10"/>
          <w:sz w:val="20"/>
        </w:rPr>
        <w:t> </w:t>
      </w:r>
      <w:r>
        <w:rPr>
          <w:sz w:val="20"/>
        </w:rPr>
        <w:t>consultation</w:t>
      </w:r>
      <w:r>
        <w:rPr>
          <w:spacing w:val="-11"/>
          <w:sz w:val="20"/>
        </w:rPr>
        <w:t> </w:t>
      </w:r>
      <w:r>
        <w:rPr>
          <w:sz w:val="20"/>
        </w:rPr>
        <w:t>paper</w:t>
      </w:r>
      <w:r>
        <w:rPr>
          <w:spacing w:val="-10"/>
          <w:sz w:val="20"/>
        </w:rPr>
        <w:t> </w:t>
      </w:r>
      <w:r>
        <w:rPr>
          <w:sz w:val="20"/>
        </w:rPr>
        <w:t>whether</w:t>
      </w:r>
      <w:r>
        <w:rPr>
          <w:spacing w:val="-11"/>
          <w:sz w:val="20"/>
        </w:rPr>
        <w:t> </w:t>
      </w:r>
      <w:r>
        <w:rPr>
          <w:sz w:val="20"/>
        </w:rPr>
        <w:t>the</w:t>
      </w:r>
      <w:r>
        <w:rPr>
          <w:spacing w:val="-11"/>
          <w:sz w:val="20"/>
        </w:rPr>
        <w:t> </w:t>
      </w:r>
      <w:r>
        <w:rPr>
          <w:spacing w:val="-4"/>
          <w:sz w:val="20"/>
        </w:rPr>
        <w:t>ACT</w:t>
      </w:r>
      <w:r>
        <w:rPr>
          <w:spacing w:val="-10"/>
          <w:sz w:val="20"/>
        </w:rPr>
        <w:t> </w:t>
      </w:r>
      <w:r>
        <w:rPr>
          <w:sz w:val="20"/>
        </w:rPr>
        <w:t>list</w:t>
      </w:r>
      <w:r>
        <w:rPr>
          <w:spacing w:val="-11"/>
          <w:sz w:val="20"/>
        </w:rPr>
        <w:t> </w:t>
      </w:r>
      <w:r>
        <w:rPr>
          <w:sz w:val="20"/>
        </w:rPr>
        <w:t>was</w:t>
      </w:r>
      <w:r>
        <w:rPr>
          <w:spacing w:val="-10"/>
          <w:sz w:val="20"/>
        </w:rPr>
        <w:t> </w:t>
      </w:r>
      <w:r>
        <w:rPr>
          <w:sz w:val="20"/>
        </w:rPr>
        <w:t>satisfactory or needed to be modified in </w:t>
      </w:r>
      <w:r>
        <w:rPr>
          <w:spacing w:val="-3"/>
          <w:sz w:val="20"/>
        </w:rPr>
        <w:t>any </w:t>
      </w:r>
      <w:r>
        <w:rPr>
          <w:spacing w:val="-6"/>
          <w:sz w:val="20"/>
        </w:rPr>
        <w:t>way. </w:t>
      </w:r>
      <w:r>
        <w:rPr>
          <w:sz w:val="20"/>
        </w:rPr>
        <w:t>Most responses supported the factors outlined in</w:t>
      </w:r>
      <w:r>
        <w:rPr>
          <w:spacing w:val="-9"/>
          <w:sz w:val="20"/>
        </w:rPr>
        <w:t> </w:t>
      </w:r>
      <w:r>
        <w:rPr>
          <w:sz w:val="20"/>
        </w:rPr>
        <w:t>the</w:t>
      </w:r>
      <w:r>
        <w:rPr>
          <w:spacing w:val="-9"/>
          <w:sz w:val="20"/>
        </w:rPr>
        <w:t> </w:t>
      </w:r>
      <w:r>
        <w:rPr>
          <w:spacing w:val="-4"/>
          <w:sz w:val="20"/>
        </w:rPr>
        <w:t>ACT</w:t>
      </w:r>
      <w:r>
        <w:rPr>
          <w:spacing w:val="-9"/>
          <w:sz w:val="20"/>
        </w:rPr>
        <w:t> </w:t>
      </w:r>
      <w:r>
        <w:rPr>
          <w:sz w:val="20"/>
        </w:rPr>
        <w:t>provision.</w:t>
      </w:r>
      <w:r>
        <w:rPr>
          <w:position w:val="7"/>
          <w:sz w:val="11"/>
        </w:rPr>
        <w:t>45</w:t>
      </w:r>
      <w:r>
        <w:rPr>
          <w:spacing w:val="16"/>
          <w:position w:val="7"/>
          <w:sz w:val="11"/>
        </w:rPr>
        <w:t> </w:t>
      </w:r>
      <w:r>
        <w:rPr>
          <w:sz w:val="20"/>
        </w:rPr>
        <w:t>Vision</w:t>
      </w:r>
      <w:r>
        <w:rPr>
          <w:spacing w:val="-9"/>
          <w:sz w:val="20"/>
        </w:rPr>
        <w:t> </w:t>
      </w:r>
      <w:r>
        <w:rPr>
          <w:sz w:val="20"/>
        </w:rPr>
        <w:t>Australia</w:t>
      </w:r>
      <w:r>
        <w:rPr>
          <w:spacing w:val="-9"/>
          <w:sz w:val="20"/>
        </w:rPr>
        <w:t> </w:t>
      </w:r>
      <w:r>
        <w:rPr>
          <w:sz w:val="20"/>
        </w:rPr>
        <w:t>noted</w:t>
      </w:r>
      <w:r>
        <w:rPr>
          <w:spacing w:val="-8"/>
          <w:sz w:val="20"/>
        </w:rPr>
        <w:t> </w:t>
      </w:r>
      <w:r>
        <w:rPr>
          <w:sz w:val="20"/>
        </w:rPr>
        <w:t>that</w:t>
      </w:r>
      <w:r>
        <w:rPr>
          <w:spacing w:val="-9"/>
          <w:sz w:val="20"/>
        </w:rPr>
        <w:t> </w:t>
      </w:r>
      <w:r>
        <w:rPr>
          <w:sz w:val="20"/>
        </w:rPr>
        <w:t>it</w:t>
      </w:r>
      <w:r>
        <w:rPr>
          <w:spacing w:val="-9"/>
          <w:sz w:val="20"/>
        </w:rPr>
        <w:t> </w:t>
      </w:r>
      <w:r>
        <w:rPr>
          <w:spacing w:val="-3"/>
          <w:sz w:val="20"/>
        </w:rPr>
        <w:t>would</w:t>
      </w:r>
      <w:r>
        <w:rPr>
          <w:spacing w:val="-9"/>
          <w:sz w:val="20"/>
        </w:rPr>
        <w:t> </w:t>
      </w:r>
      <w:r>
        <w:rPr>
          <w:sz w:val="20"/>
        </w:rPr>
        <w:t>like</w:t>
      </w:r>
      <w:r>
        <w:rPr>
          <w:spacing w:val="-9"/>
          <w:sz w:val="20"/>
        </w:rPr>
        <w:t> </w:t>
      </w:r>
      <w:r>
        <w:rPr>
          <w:sz w:val="20"/>
        </w:rPr>
        <w:t>to</w:t>
      </w:r>
      <w:r>
        <w:rPr>
          <w:spacing w:val="-9"/>
          <w:sz w:val="20"/>
        </w:rPr>
        <w:t> </w:t>
      </w:r>
      <w:r>
        <w:rPr>
          <w:sz w:val="20"/>
        </w:rPr>
        <w:t>see</w:t>
      </w:r>
      <w:r>
        <w:rPr>
          <w:spacing w:val="-8"/>
          <w:sz w:val="20"/>
        </w:rPr>
        <w:t> </w:t>
      </w:r>
      <w:r>
        <w:rPr>
          <w:sz w:val="20"/>
        </w:rPr>
        <w:t>as</w:t>
      </w:r>
      <w:r>
        <w:rPr>
          <w:spacing w:val="-9"/>
          <w:sz w:val="20"/>
        </w:rPr>
        <w:t> </w:t>
      </w:r>
      <w:r>
        <w:rPr>
          <w:sz w:val="20"/>
        </w:rPr>
        <w:t>much</w:t>
      </w:r>
      <w:r>
        <w:rPr>
          <w:spacing w:val="-9"/>
          <w:sz w:val="20"/>
        </w:rPr>
        <w:t> </w:t>
      </w:r>
      <w:r>
        <w:rPr>
          <w:sz w:val="20"/>
        </w:rPr>
        <w:t>certainty as possible in the legislation.</w:t>
      </w:r>
      <w:r>
        <w:rPr>
          <w:position w:val="7"/>
          <w:sz w:val="11"/>
        </w:rPr>
        <w:t>46 </w:t>
      </w:r>
      <w:r>
        <w:rPr>
          <w:sz w:val="20"/>
        </w:rPr>
        <w:t>The Supreme Court noted that ‘there </w:t>
      </w:r>
      <w:r>
        <w:rPr>
          <w:spacing w:val="-3"/>
          <w:sz w:val="20"/>
        </w:rPr>
        <w:t>are </w:t>
      </w:r>
      <w:r>
        <w:rPr>
          <w:sz w:val="20"/>
        </w:rPr>
        <w:t>broader considerations and that the categories </w:t>
      </w:r>
      <w:r>
        <w:rPr>
          <w:spacing w:val="-3"/>
          <w:sz w:val="20"/>
        </w:rPr>
        <w:t>are </w:t>
      </w:r>
      <w:r>
        <w:rPr>
          <w:sz w:val="20"/>
        </w:rPr>
        <w:t>not</w:t>
      </w:r>
      <w:r>
        <w:rPr>
          <w:spacing w:val="-32"/>
          <w:sz w:val="20"/>
        </w:rPr>
        <w:t> </w:t>
      </w:r>
      <w:r>
        <w:rPr>
          <w:sz w:val="20"/>
        </w:rPr>
        <w:t>closed’.</w:t>
      </w:r>
      <w:r>
        <w:rPr>
          <w:position w:val="7"/>
          <w:sz w:val="11"/>
        </w:rPr>
        <w:t>47</w:t>
      </w:r>
    </w:p>
    <w:p>
      <w:pPr>
        <w:pStyle w:val="ListParagraph"/>
        <w:numPr>
          <w:ilvl w:val="1"/>
          <w:numId w:val="12"/>
        </w:numPr>
        <w:tabs>
          <w:tab w:pos="1761" w:val="left" w:leader="none"/>
          <w:tab w:pos="1762" w:val="left" w:leader="none"/>
        </w:tabs>
        <w:spacing w:line="259" w:lineRule="exact" w:before="94" w:after="0"/>
        <w:ind w:left="1761" w:right="0" w:hanging="794"/>
        <w:jc w:val="left"/>
        <w:rPr>
          <w:sz w:val="20"/>
        </w:rPr>
      </w:pPr>
      <w:r>
        <w:rPr>
          <w:sz w:val="20"/>
        </w:rPr>
        <w:t>The</w:t>
      </w:r>
      <w:r>
        <w:rPr>
          <w:spacing w:val="-6"/>
          <w:sz w:val="20"/>
        </w:rPr>
        <w:t> </w:t>
      </w:r>
      <w:r>
        <w:rPr>
          <w:sz w:val="20"/>
        </w:rPr>
        <w:t>Supreme</w:t>
      </w:r>
      <w:r>
        <w:rPr>
          <w:spacing w:val="-6"/>
          <w:sz w:val="20"/>
        </w:rPr>
        <w:t> </w:t>
      </w:r>
      <w:r>
        <w:rPr>
          <w:sz w:val="20"/>
        </w:rPr>
        <w:t>Court</w:t>
      </w:r>
      <w:r>
        <w:rPr>
          <w:spacing w:val="-6"/>
          <w:sz w:val="20"/>
        </w:rPr>
        <w:t> </w:t>
      </w:r>
      <w:r>
        <w:rPr>
          <w:sz w:val="20"/>
        </w:rPr>
        <w:t>submission</w:t>
      </w:r>
      <w:r>
        <w:rPr>
          <w:spacing w:val="-6"/>
          <w:sz w:val="20"/>
        </w:rPr>
        <w:t> </w:t>
      </w:r>
      <w:r>
        <w:rPr>
          <w:sz w:val="20"/>
        </w:rPr>
        <w:t>identified</w:t>
      </w:r>
      <w:r>
        <w:rPr>
          <w:spacing w:val="-6"/>
          <w:sz w:val="20"/>
        </w:rPr>
        <w:t> </w:t>
      </w:r>
      <w:r>
        <w:rPr>
          <w:sz w:val="20"/>
        </w:rPr>
        <w:t>three</w:t>
      </w:r>
      <w:r>
        <w:rPr>
          <w:spacing w:val="-6"/>
          <w:sz w:val="20"/>
        </w:rPr>
        <w:t> </w:t>
      </w:r>
      <w:r>
        <w:rPr>
          <w:sz w:val="20"/>
        </w:rPr>
        <w:t>categories</w:t>
      </w:r>
      <w:r>
        <w:rPr>
          <w:spacing w:val="-6"/>
          <w:sz w:val="20"/>
        </w:rPr>
        <w:t> </w:t>
      </w:r>
      <w:r>
        <w:rPr>
          <w:sz w:val="20"/>
        </w:rPr>
        <w:t>of</w:t>
      </w:r>
      <w:r>
        <w:rPr>
          <w:spacing w:val="-6"/>
          <w:sz w:val="20"/>
        </w:rPr>
        <w:t> </w:t>
      </w:r>
      <w:r>
        <w:rPr>
          <w:sz w:val="20"/>
        </w:rPr>
        <w:t>reasons</w:t>
      </w:r>
      <w:r>
        <w:rPr>
          <w:spacing w:val="-6"/>
          <w:sz w:val="20"/>
        </w:rPr>
        <w:t> </w:t>
      </w:r>
      <w:r>
        <w:rPr>
          <w:sz w:val="20"/>
        </w:rPr>
        <w:t>that</w:t>
      </w:r>
      <w:r>
        <w:rPr>
          <w:spacing w:val="-6"/>
          <w:sz w:val="20"/>
        </w:rPr>
        <w:t> </w:t>
      </w:r>
      <w:r>
        <w:rPr>
          <w:sz w:val="20"/>
        </w:rPr>
        <w:t>might</w:t>
      </w:r>
    </w:p>
    <w:p>
      <w:pPr>
        <w:pStyle w:val="BodyText"/>
        <w:spacing w:line="259" w:lineRule="exact"/>
        <w:ind w:left="1761"/>
      </w:pPr>
      <w:r>
        <w:rPr/>
        <w:t>prevent a person in the subject groups from serving on a jury:</w:t>
      </w:r>
    </w:p>
    <w:p>
      <w:pPr>
        <w:pStyle w:val="ListParagraph"/>
        <w:numPr>
          <w:ilvl w:val="0"/>
          <w:numId w:val="84"/>
        </w:numPr>
        <w:tabs>
          <w:tab w:pos="2157" w:val="left" w:leader="none"/>
          <w:tab w:pos="2158" w:val="left" w:leader="none"/>
        </w:tabs>
        <w:spacing w:line="240" w:lineRule="auto" w:before="83" w:after="0"/>
        <w:ind w:left="2157" w:right="0" w:hanging="396"/>
        <w:jc w:val="left"/>
        <w:rPr>
          <w:sz w:val="20"/>
        </w:rPr>
      </w:pPr>
      <w:r>
        <w:rPr>
          <w:i/>
          <w:sz w:val="20"/>
        </w:rPr>
        <w:t>Reasons</w:t>
      </w:r>
      <w:r>
        <w:rPr>
          <w:i/>
          <w:spacing w:val="-4"/>
          <w:sz w:val="20"/>
        </w:rPr>
        <w:t> </w:t>
      </w:r>
      <w:r>
        <w:rPr>
          <w:i/>
          <w:sz w:val="20"/>
        </w:rPr>
        <w:t>pertaining</w:t>
      </w:r>
      <w:r>
        <w:rPr>
          <w:i/>
          <w:spacing w:val="-4"/>
          <w:sz w:val="20"/>
        </w:rPr>
        <w:t> </w:t>
      </w:r>
      <w:r>
        <w:rPr>
          <w:i/>
          <w:spacing w:val="-3"/>
          <w:sz w:val="20"/>
        </w:rPr>
        <w:t>to</w:t>
      </w:r>
      <w:r>
        <w:rPr>
          <w:i/>
          <w:spacing w:val="-4"/>
          <w:sz w:val="20"/>
        </w:rPr>
        <w:t> </w:t>
      </w:r>
      <w:r>
        <w:rPr>
          <w:i/>
          <w:sz w:val="20"/>
        </w:rPr>
        <w:t>the</w:t>
      </w:r>
      <w:r>
        <w:rPr>
          <w:i/>
          <w:spacing w:val="-4"/>
          <w:sz w:val="20"/>
        </w:rPr>
        <w:t> </w:t>
      </w:r>
      <w:r>
        <w:rPr>
          <w:i/>
          <w:sz w:val="20"/>
        </w:rPr>
        <w:t>trial</w:t>
      </w:r>
      <w:r>
        <w:rPr>
          <w:sz w:val="20"/>
        </w:rPr>
        <w:t>—for</w:t>
      </w:r>
      <w:r>
        <w:rPr>
          <w:spacing w:val="-4"/>
          <w:sz w:val="20"/>
        </w:rPr>
        <w:t> </w:t>
      </w:r>
      <w:r>
        <w:rPr>
          <w:sz w:val="20"/>
        </w:rPr>
        <w:t>example,</w:t>
      </w:r>
      <w:r>
        <w:rPr>
          <w:spacing w:val="-3"/>
          <w:sz w:val="20"/>
        </w:rPr>
        <w:t> </w:t>
      </w:r>
      <w:r>
        <w:rPr>
          <w:sz w:val="20"/>
        </w:rPr>
        <w:t>the</w:t>
      </w:r>
      <w:r>
        <w:rPr>
          <w:spacing w:val="-4"/>
          <w:sz w:val="20"/>
        </w:rPr>
        <w:t> </w:t>
      </w:r>
      <w:r>
        <w:rPr>
          <w:sz w:val="20"/>
        </w:rPr>
        <w:t>evidence</w:t>
      </w:r>
      <w:r>
        <w:rPr>
          <w:spacing w:val="-4"/>
          <w:sz w:val="20"/>
        </w:rPr>
        <w:t> </w:t>
      </w:r>
      <w:r>
        <w:rPr>
          <w:sz w:val="20"/>
        </w:rPr>
        <w:t>likely</w:t>
      </w:r>
      <w:r>
        <w:rPr>
          <w:spacing w:val="-4"/>
          <w:sz w:val="20"/>
        </w:rPr>
        <w:t> </w:t>
      </w:r>
      <w:r>
        <w:rPr>
          <w:sz w:val="20"/>
        </w:rPr>
        <w:t>to</w:t>
      </w:r>
      <w:r>
        <w:rPr>
          <w:spacing w:val="-4"/>
          <w:sz w:val="20"/>
        </w:rPr>
        <w:t> </w:t>
      </w:r>
      <w:r>
        <w:rPr>
          <w:sz w:val="20"/>
        </w:rPr>
        <w:t>be</w:t>
      </w:r>
      <w:r>
        <w:rPr>
          <w:spacing w:val="-4"/>
          <w:sz w:val="20"/>
        </w:rPr>
        <w:t> </w:t>
      </w:r>
      <w:r>
        <w:rPr>
          <w:sz w:val="20"/>
        </w:rPr>
        <w:t>presented</w:t>
      </w:r>
    </w:p>
    <w:p>
      <w:pPr>
        <w:pStyle w:val="ListParagraph"/>
        <w:numPr>
          <w:ilvl w:val="0"/>
          <w:numId w:val="84"/>
        </w:numPr>
        <w:tabs>
          <w:tab w:pos="2157" w:val="left" w:leader="none"/>
          <w:tab w:pos="2158" w:val="left" w:leader="none"/>
        </w:tabs>
        <w:spacing w:line="206" w:lineRule="auto" w:before="79" w:after="0"/>
        <w:ind w:left="2157" w:right="1736" w:hanging="396"/>
        <w:jc w:val="left"/>
        <w:rPr>
          <w:sz w:val="20"/>
        </w:rPr>
      </w:pPr>
      <w:r>
        <w:rPr>
          <w:i/>
          <w:sz w:val="20"/>
        </w:rPr>
        <w:t>Reasons</w:t>
      </w:r>
      <w:r>
        <w:rPr>
          <w:i/>
          <w:spacing w:val="-7"/>
          <w:sz w:val="20"/>
        </w:rPr>
        <w:t> </w:t>
      </w:r>
      <w:r>
        <w:rPr>
          <w:i/>
          <w:sz w:val="20"/>
        </w:rPr>
        <w:t>pertaining</w:t>
      </w:r>
      <w:r>
        <w:rPr>
          <w:i/>
          <w:spacing w:val="-7"/>
          <w:sz w:val="20"/>
        </w:rPr>
        <w:t> </w:t>
      </w:r>
      <w:r>
        <w:rPr>
          <w:i/>
          <w:spacing w:val="-3"/>
          <w:sz w:val="20"/>
        </w:rPr>
        <w:t>to</w:t>
      </w:r>
      <w:r>
        <w:rPr>
          <w:i/>
          <w:spacing w:val="-7"/>
          <w:sz w:val="20"/>
        </w:rPr>
        <w:t> </w:t>
      </w:r>
      <w:r>
        <w:rPr>
          <w:i/>
          <w:sz w:val="20"/>
        </w:rPr>
        <w:t>availability</w:t>
      </w:r>
      <w:r>
        <w:rPr>
          <w:i/>
          <w:spacing w:val="-7"/>
          <w:sz w:val="20"/>
        </w:rPr>
        <w:t> </w:t>
      </w:r>
      <w:r>
        <w:rPr>
          <w:i/>
          <w:sz w:val="20"/>
        </w:rPr>
        <w:t>of</w:t>
      </w:r>
      <w:r>
        <w:rPr>
          <w:i/>
          <w:spacing w:val="-7"/>
          <w:sz w:val="20"/>
        </w:rPr>
        <w:t> </w:t>
      </w:r>
      <w:r>
        <w:rPr>
          <w:i/>
          <w:sz w:val="20"/>
        </w:rPr>
        <w:t>adjustments</w:t>
      </w:r>
      <w:r>
        <w:rPr>
          <w:sz w:val="20"/>
        </w:rPr>
        <w:t>—for</w:t>
      </w:r>
      <w:r>
        <w:rPr>
          <w:spacing w:val="-7"/>
          <w:sz w:val="20"/>
        </w:rPr>
        <w:t> </w:t>
      </w:r>
      <w:r>
        <w:rPr>
          <w:sz w:val="20"/>
        </w:rPr>
        <w:t>example,</w:t>
      </w:r>
      <w:r>
        <w:rPr>
          <w:spacing w:val="-7"/>
          <w:sz w:val="20"/>
        </w:rPr>
        <w:t> </w:t>
      </w:r>
      <w:r>
        <w:rPr>
          <w:sz w:val="20"/>
        </w:rPr>
        <w:t>if</w:t>
      </w:r>
      <w:r>
        <w:rPr>
          <w:spacing w:val="-7"/>
          <w:sz w:val="20"/>
        </w:rPr>
        <w:t> </w:t>
      </w:r>
      <w:r>
        <w:rPr>
          <w:sz w:val="20"/>
        </w:rPr>
        <w:t>adjustments cannot be arranged at short</w:t>
      </w:r>
      <w:r>
        <w:rPr>
          <w:spacing w:val="-11"/>
          <w:sz w:val="20"/>
        </w:rPr>
        <w:t> </w:t>
      </w:r>
      <w:r>
        <w:rPr>
          <w:sz w:val="20"/>
        </w:rPr>
        <w:t>notice</w:t>
      </w:r>
    </w:p>
    <w:p>
      <w:pPr>
        <w:pStyle w:val="ListParagraph"/>
        <w:numPr>
          <w:ilvl w:val="0"/>
          <w:numId w:val="84"/>
        </w:numPr>
        <w:tabs>
          <w:tab w:pos="2157" w:val="left" w:leader="none"/>
          <w:tab w:pos="2158" w:val="left" w:leader="none"/>
        </w:tabs>
        <w:spacing w:line="206" w:lineRule="auto" w:before="88" w:after="0"/>
        <w:ind w:left="2157" w:right="1470" w:hanging="396"/>
        <w:jc w:val="left"/>
        <w:rPr>
          <w:sz w:val="11"/>
        </w:rPr>
      </w:pPr>
      <w:r>
        <w:rPr>
          <w:i/>
          <w:sz w:val="20"/>
        </w:rPr>
        <w:t>Reasons</w:t>
      </w:r>
      <w:r>
        <w:rPr>
          <w:i/>
          <w:spacing w:val="-7"/>
          <w:sz w:val="20"/>
        </w:rPr>
        <w:t> </w:t>
      </w:r>
      <w:r>
        <w:rPr>
          <w:i/>
          <w:sz w:val="20"/>
        </w:rPr>
        <w:t>pertaining</w:t>
      </w:r>
      <w:r>
        <w:rPr>
          <w:i/>
          <w:spacing w:val="-7"/>
          <w:sz w:val="20"/>
        </w:rPr>
        <w:t> </w:t>
      </w:r>
      <w:r>
        <w:rPr>
          <w:i/>
          <w:spacing w:val="-3"/>
          <w:sz w:val="20"/>
        </w:rPr>
        <w:t>to</w:t>
      </w:r>
      <w:r>
        <w:rPr>
          <w:i/>
          <w:spacing w:val="-6"/>
          <w:sz w:val="20"/>
        </w:rPr>
        <w:t> </w:t>
      </w:r>
      <w:r>
        <w:rPr>
          <w:i/>
          <w:sz w:val="20"/>
        </w:rPr>
        <w:t>the</w:t>
      </w:r>
      <w:r>
        <w:rPr>
          <w:i/>
          <w:spacing w:val="-7"/>
          <w:sz w:val="20"/>
        </w:rPr>
        <w:t> </w:t>
      </w:r>
      <w:r>
        <w:rPr>
          <w:i/>
          <w:sz w:val="20"/>
        </w:rPr>
        <w:t>court</w:t>
      </w:r>
      <w:r>
        <w:rPr>
          <w:sz w:val="20"/>
        </w:rPr>
        <w:t>—for</w:t>
      </w:r>
      <w:r>
        <w:rPr>
          <w:spacing w:val="-7"/>
          <w:sz w:val="20"/>
        </w:rPr>
        <w:t> </w:t>
      </w:r>
      <w:r>
        <w:rPr>
          <w:sz w:val="20"/>
        </w:rPr>
        <w:t>example,</w:t>
      </w:r>
      <w:r>
        <w:rPr>
          <w:spacing w:val="-7"/>
          <w:sz w:val="20"/>
        </w:rPr>
        <w:t> </w:t>
      </w:r>
      <w:r>
        <w:rPr>
          <w:sz w:val="20"/>
        </w:rPr>
        <w:t>whether</w:t>
      </w:r>
      <w:r>
        <w:rPr>
          <w:spacing w:val="-6"/>
          <w:sz w:val="20"/>
        </w:rPr>
        <w:t> </w:t>
      </w:r>
      <w:r>
        <w:rPr>
          <w:sz w:val="20"/>
        </w:rPr>
        <w:t>the</w:t>
      </w:r>
      <w:r>
        <w:rPr>
          <w:spacing w:val="-7"/>
          <w:sz w:val="20"/>
        </w:rPr>
        <w:t> </w:t>
      </w:r>
      <w:r>
        <w:rPr>
          <w:sz w:val="20"/>
        </w:rPr>
        <w:t>courtroom</w:t>
      </w:r>
      <w:r>
        <w:rPr>
          <w:spacing w:val="-7"/>
          <w:sz w:val="20"/>
        </w:rPr>
        <w:t> </w:t>
      </w:r>
      <w:r>
        <w:rPr>
          <w:sz w:val="20"/>
        </w:rPr>
        <w:t>can</w:t>
      </w:r>
      <w:r>
        <w:rPr>
          <w:spacing w:val="-7"/>
          <w:sz w:val="20"/>
        </w:rPr>
        <w:t> </w:t>
      </w:r>
      <w:r>
        <w:rPr>
          <w:sz w:val="20"/>
        </w:rPr>
        <w:t>safely accommodate the</w:t>
      </w:r>
      <w:r>
        <w:rPr>
          <w:spacing w:val="-5"/>
          <w:sz w:val="20"/>
        </w:rPr>
        <w:t> </w:t>
      </w:r>
      <w:r>
        <w:rPr>
          <w:sz w:val="20"/>
        </w:rPr>
        <w:t>juror.</w:t>
      </w:r>
      <w:r>
        <w:rPr>
          <w:position w:val="7"/>
          <w:sz w:val="11"/>
        </w:rPr>
        <w:t>48</w:t>
      </w:r>
    </w:p>
    <w:p>
      <w:pPr>
        <w:pStyle w:val="Heading6"/>
        <w:spacing w:line="348" w:lineRule="auto" w:before="92"/>
        <w:ind w:right="5198"/>
        <w:rPr>
          <w:b/>
        </w:rPr>
      </w:pPr>
      <w:r>
        <w:rPr>
          <w:b/>
        </w:rPr>
        <w:t>Considerations—the provision of adjustments </w:t>
      </w:r>
      <w:r>
        <w:rPr>
          <w:b/>
          <w:color w:val="4D4D4F"/>
        </w:rPr>
        <w:t>Court resources and costs</w:t>
      </w:r>
    </w:p>
    <w:p>
      <w:pPr>
        <w:pStyle w:val="ListParagraph"/>
        <w:numPr>
          <w:ilvl w:val="1"/>
          <w:numId w:val="12"/>
        </w:numPr>
        <w:tabs>
          <w:tab w:pos="1761" w:val="left" w:leader="none"/>
          <w:tab w:pos="1762" w:val="left" w:leader="none"/>
        </w:tabs>
        <w:spacing w:line="206" w:lineRule="auto" w:before="0" w:after="0"/>
        <w:ind w:left="1761" w:right="1405" w:hanging="794"/>
        <w:jc w:val="left"/>
        <w:rPr>
          <w:sz w:val="20"/>
        </w:rPr>
      </w:pPr>
      <w:r>
        <w:rPr>
          <w:sz w:val="20"/>
        </w:rPr>
        <w:t>Some concerns </w:t>
      </w:r>
      <w:r>
        <w:rPr>
          <w:spacing w:val="-4"/>
          <w:sz w:val="20"/>
        </w:rPr>
        <w:t>were </w:t>
      </w:r>
      <w:r>
        <w:rPr>
          <w:sz w:val="20"/>
        </w:rPr>
        <w:t>raised about the consideration of court </w:t>
      </w:r>
      <w:r>
        <w:rPr>
          <w:spacing w:val="-3"/>
          <w:sz w:val="20"/>
        </w:rPr>
        <w:t>resources </w:t>
      </w:r>
      <w:r>
        <w:rPr>
          <w:sz w:val="20"/>
        </w:rPr>
        <w:t>and costs. Vision</w:t>
      </w:r>
      <w:r>
        <w:rPr>
          <w:spacing w:val="-13"/>
          <w:sz w:val="20"/>
        </w:rPr>
        <w:t> </w:t>
      </w:r>
      <w:r>
        <w:rPr>
          <w:sz w:val="20"/>
        </w:rPr>
        <w:t>Australia</w:t>
      </w:r>
      <w:r>
        <w:rPr>
          <w:spacing w:val="-13"/>
          <w:sz w:val="20"/>
        </w:rPr>
        <w:t> </w:t>
      </w:r>
      <w:r>
        <w:rPr>
          <w:sz w:val="20"/>
        </w:rPr>
        <w:t>emphasised</w:t>
      </w:r>
      <w:r>
        <w:rPr>
          <w:spacing w:val="-13"/>
          <w:sz w:val="20"/>
        </w:rPr>
        <w:t> </w:t>
      </w:r>
      <w:r>
        <w:rPr>
          <w:sz w:val="20"/>
        </w:rPr>
        <w:t>that</w:t>
      </w:r>
      <w:r>
        <w:rPr>
          <w:spacing w:val="-13"/>
          <w:sz w:val="20"/>
        </w:rPr>
        <w:t> </w:t>
      </w:r>
      <w:r>
        <w:rPr>
          <w:sz w:val="20"/>
        </w:rPr>
        <w:t>the</w:t>
      </w:r>
      <w:r>
        <w:rPr>
          <w:spacing w:val="-13"/>
          <w:sz w:val="20"/>
        </w:rPr>
        <w:t> </w:t>
      </w:r>
      <w:r>
        <w:rPr>
          <w:sz w:val="20"/>
        </w:rPr>
        <w:t>burden</w:t>
      </w:r>
      <w:r>
        <w:rPr>
          <w:spacing w:val="-13"/>
          <w:sz w:val="20"/>
        </w:rPr>
        <w:t> </w:t>
      </w:r>
      <w:r>
        <w:rPr>
          <w:sz w:val="20"/>
        </w:rPr>
        <w:t>should</w:t>
      </w:r>
      <w:r>
        <w:rPr>
          <w:spacing w:val="-13"/>
          <w:sz w:val="20"/>
        </w:rPr>
        <w:t> </w:t>
      </w:r>
      <w:r>
        <w:rPr>
          <w:sz w:val="20"/>
        </w:rPr>
        <w:t>be</w:t>
      </w:r>
      <w:r>
        <w:rPr>
          <w:spacing w:val="-12"/>
          <w:sz w:val="20"/>
        </w:rPr>
        <w:t> </w:t>
      </w:r>
      <w:r>
        <w:rPr>
          <w:sz w:val="20"/>
        </w:rPr>
        <w:t>‘weighed</w:t>
      </w:r>
      <w:r>
        <w:rPr>
          <w:spacing w:val="-13"/>
          <w:sz w:val="20"/>
        </w:rPr>
        <w:t> </w:t>
      </w:r>
      <w:r>
        <w:rPr>
          <w:sz w:val="20"/>
        </w:rPr>
        <w:t>against</w:t>
      </w:r>
      <w:r>
        <w:rPr>
          <w:spacing w:val="-13"/>
          <w:sz w:val="20"/>
        </w:rPr>
        <w:t> </w:t>
      </w:r>
      <w:r>
        <w:rPr>
          <w:sz w:val="20"/>
        </w:rPr>
        <w:t>the</w:t>
      </w:r>
      <w:r>
        <w:rPr>
          <w:spacing w:val="-13"/>
          <w:sz w:val="20"/>
        </w:rPr>
        <w:t> </w:t>
      </w:r>
      <w:r>
        <w:rPr>
          <w:sz w:val="20"/>
        </w:rPr>
        <w:t>benefits, including broader policy benefits’ and that some cost is inevitable but justified.</w:t>
      </w:r>
      <w:r>
        <w:rPr>
          <w:position w:val="7"/>
          <w:sz w:val="11"/>
        </w:rPr>
        <w:t>49</w:t>
      </w:r>
      <w:r>
        <w:rPr>
          <w:sz w:val="11"/>
        </w:rPr>
        <w:t> </w:t>
      </w:r>
      <w:r>
        <w:rPr>
          <w:spacing w:val="-3"/>
          <w:sz w:val="20"/>
        </w:rPr>
        <w:t>Similarly, </w:t>
      </w:r>
      <w:r>
        <w:rPr>
          <w:sz w:val="20"/>
        </w:rPr>
        <w:t>Daniel Stubbs did not want to see </w:t>
      </w:r>
      <w:r>
        <w:rPr>
          <w:spacing w:val="-3"/>
          <w:sz w:val="20"/>
        </w:rPr>
        <w:t>resourcing </w:t>
      </w:r>
      <w:r>
        <w:rPr>
          <w:sz w:val="20"/>
        </w:rPr>
        <w:t>being used as an </w:t>
      </w:r>
      <w:r>
        <w:rPr>
          <w:spacing w:val="-3"/>
          <w:sz w:val="20"/>
        </w:rPr>
        <w:t>excuse </w:t>
      </w:r>
      <w:r>
        <w:rPr>
          <w:sz w:val="20"/>
        </w:rPr>
        <w:t>for ‘I couldn’t be bothered in </w:t>
      </w:r>
      <w:r>
        <w:rPr>
          <w:spacing w:val="-3"/>
          <w:sz w:val="20"/>
        </w:rPr>
        <w:t>my courtroom’.</w:t>
      </w:r>
      <w:r>
        <w:rPr>
          <w:spacing w:val="-3"/>
          <w:position w:val="7"/>
          <w:sz w:val="11"/>
        </w:rPr>
        <w:t>50 </w:t>
      </w:r>
      <w:r>
        <w:rPr>
          <w:sz w:val="20"/>
        </w:rPr>
        <w:t>Instead, he argued</w:t>
      </w:r>
      <w:r>
        <w:rPr>
          <w:spacing w:val="-14"/>
          <w:sz w:val="20"/>
        </w:rPr>
        <w:t> </w:t>
      </w:r>
      <w:r>
        <w:rPr>
          <w:sz w:val="20"/>
        </w:rPr>
        <w:t>that:</w:t>
      </w:r>
    </w:p>
    <w:p>
      <w:pPr>
        <w:spacing w:line="208" w:lineRule="auto" w:before="117"/>
        <w:ind w:left="2157" w:right="1202" w:firstLine="0"/>
        <w:jc w:val="left"/>
        <w:rPr>
          <w:sz w:val="11"/>
        </w:rPr>
      </w:pPr>
      <w:r>
        <w:rPr>
          <w:sz w:val="19"/>
        </w:rPr>
        <w:t>In the calculation of ‘reasonableness’, the government and the courts should not give too much weight to the economic cost of providing supports. Given the small number of people involved this reform is not likely to have a big impact on the whole scheme of running a court.</w:t>
      </w:r>
      <w:r>
        <w:rPr>
          <w:position w:val="6"/>
          <w:sz w:val="11"/>
        </w:rPr>
        <w:t>51</w:t>
      </w:r>
    </w:p>
    <w:p>
      <w:pPr>
        <w:pStyle w:val="ListParagraph"/>
        <w:numPr>
          <w:ilvl w:val="1"/>
          <w:numId w:val="12"/>
        </w:numPr>
        <w:tabs>
          <w:tab w:pos="1761" w:val="left" w:leader="none"/>
          <w:tab w:pos="1762" w:val="left" w:leader="none"/>
        </w:tabs>
        <w:spacing w:line="206" w:lineRule="auto" w:before="125" w:after="0"/>
        <w:ind w:left="1761" w:right="1413" w:hanging="794"/>
        <w:jc w:val="left"/>
        <w:rPr>
          <w:sz w:val="20"/>
        </w:rPr>
      </w:pPr>
      <w:r>
        <w:rPr>
          <w:sz w:val="20"/>
        </w:rPr>
        <w:t>The </w:t>
      </w:r>
      <w:r>
        <w:rPr>
          <w:spacing w:val="-4"/>
          <w:sz w:val="20"/>
        </w:rPr>
        <w:t>ACT </w:t>
      </w:r>
      <w:r>
        <w:rPr>
          <w:spacing w:val="-2"/>
          <w:sz w:val="20"/>
        </w:rPr>
        <w:t>Act </w:t>
      </w:r>
      <w:r>
        <w:rPr>
          <w:sz w:val="20"/>
        </w:rPr>
        <w:t>states that the judge </w:t>
      </w:r>
      <w:r>
        <w:rPr>
          <w:spacing w:val="-3"/>
          <w:sz w:val="20"/>
        </w:rPr>
        <w:t>may </w:t>
      </w:r>
      <w:r>
        <w:rPr>
          <w:sz w:val="20"/>
        </w:rPr>
        <w:t>consider whether ‘the support </w:t>
      </w:r>
      <w:r>
        <w:rPr>
          <w:spacing w:val="-3"/>
          <w:sz w:val="20"/>
        </w:rPr>
        <w:t>would </w:t>
      </w:r>
      <w:r>
        <w:rPr>
          <w:sz w:val="20"/>
        </w:rPr>
        <w:t>impose a disproportionate or undue burden on court </w:t>
      </w:r>
      <w:r>
        <w:rPr>
          <w:spacing w:val="-3"/>
          <w:sz w:val="20"/>
        </w:rPr>
        <w:t>resources, </w:t>
      </w:r>
      <w:r>
        <w:rPr>
          <w:sz w:val="20"/>
        </w:rPr>
        <w:t>facilities and time-lines’.</w:t>
      </w:r>
      <w:r>
        <w:rPr>
          <w:position w:val="7"/>
          <w:sz w:val="11"/>
        </w:rPr>
        <w:t>52</w:t>
      </w:r>
      <w:r>
        <w:rPr>
          <w:sz w:val="11"/>
        </w:rPr>
        <w:t> </w:t>
      </w:r>
      <w:r>
        <w:rPr>
          <w:sz w:val="20"/>
        </w:rPr>
        <w:t>The Commission thinks that this </w:t>
      </w:r>
      <w:r>
        <w:rPr>
          <w:spacing w:val="-3"/>
          <w:sz w:val="20"/>
        </w:rPr>
        <w:t>wording </w:t>
      </w:r>
      <w:r>
        <w:rPr>
          <w:sz w:val="20"/>
        </w:rPr>
        <w:t>guards against judges </w:t>
      </w:r>
      <w:r>
        <w:rPr>
          <w:spacing w:val="-2"/>
          <w:sz w:val="20"/>
        </w:rPr>
        <w:t>simply </w:t>
      </w:r>
      <w:r>
        <w:rPr>
          <w:sz w:val="20"/>
        </w:rPr>
        <w:t>opting out without good reason. In </w:t>
      </w:r>
      <w:r>
        <w:rPr>
          <w:spacing w:val="-2"/>
          <w:sz w:val="20"/>
        </w:rPr>
        <w:t>Chapter </w:t>
      </w:r>
      <w:r>
        <w:rPr>
          <w:sz w:val="20"/>
        </w:rPr>
        <w:t>19 </w:t>
      </w:r>
      <w:r>
        <w:rPr>
          <w:spacing w:val="-3"/>
          <w:sz w:val="20"/>
        </w:rPr>
        <w:t>we </w:t>
      </w:r>
      <w:r>
        <w:rPr>
          <w:sz w:val="20"/>
        </w:rPr>
        <w:t>recommend that the Supreme Court include in</w:t>
      </w:r>
      <w:r>
        <w:rPr>
          <w:spacing w:val="-9"/>
          <w:sz w:val="20"/>
        </w:rPr>
        <w:t> </w:t>
      </w:r>
      <w:r>
        <w:rPr>
          <w:sz w:val="20"/>
        </w:rPr>
        <w:t>its</w:t>
      </w:r>
      <w:r>
        <w:rPr>
          <w:spacing w:val="-9"/>
          <w:sz w:val="20"/>
        </w:rPr>
        <w:t> </w:t>
      </w:r>
      <w:r>
        <w:rPr>
          <w:sz w:val="20"/>
        </w:rPr>
        <w:t>annual</w:t>
      </w:r>
      <w:r>
        <w:rPr>
          <w:spacing w:val="-9"/>
          <w:sz w:val="20"/>
        </w:rPr>
        <w:t> </w:t>
      </w:r>
      <w:r>
        <w:rPr>
          <w:sz w:val="20"/>
        </w:rPr>
        <w:t>report</w:t>
      </w:r>
      <w:r>
        <w:rPr>
          <w:spacing w:val="-9"/>
          <w:sz w:val="20"/>
        </w:rPr>
        <w:t> </w:t>
      </w:r>
      <w:r>
        <w:rPr>
          <w:sz w:val="20"/>
        </w:rPr>
        <w:t>a</w:t>
      </w:r>
      <w:r>
        <w:rPr>
          <w:spacing w:val="-9"/>
          <w:sz w:val="20"/>
        </w:rPr>
        <w:t> </w:t>
      </w:r>
      <w:r>
        <w:rPr>
          <w:sz w:val="20"/>
        </w:rPr>
        <w:t>summary</w:t>
      </w:r>
      <w:r>
        <w:rPr>
          <w:spacing w:val="-9"/>
          <w:sz w:val="20"/>
        </w:rPr>
        <w:t> </w:t>
      </w:r>
      <w:r>
        <w:rPr>
          <w:sz w:val="20"/>
        </w:rPr>
        <w:t>of</w:t>
      </w:r>
      <w:r>
        <w:rPr>
          <w:spacing w:val="-9"/>
          <w:sz w:val="20"/>
        </w:rPr>
        <w:t> </w:t>
      </w:r>
      <w:r>
        <w:rPr>
          <w:sz w:val="20"/>
        </w:rPr>
        <w:t>the</w:t>
      </w:r>
      <w:r>
        <w:rPr>
          <w:spacing w:val="-8"/>
          <w:sz w:val="20"/>
        </w:rPr>
        <w:t> </w:t>
      </w:r>
      <w:r>
        <w:rPr>
          <w:sz w:val="20"/>
        </w:rPr>
        <w:t>number</w:t>
      </w:r>
      <w:r>
        <w:rPr>
          <w:spacing w:val="-9"/>
          <w:sz w:val="20"/>
        </w:rPr>
        <w:t> </w:t>
      </w:r>
      <w:r>
        <w:rPr>
          <w:sz w:val="20"/>
        </w:rPr>
        <w:t>of</w:t>
      </w:r>
      <w:r>
        <w:rPr>
          <w:spacing w:val="-9"/>
          <w:sz w:val="20"/>
        </w:rPr>
        <w:t> </w:t>
      </w:r>
      <w:r>
        <w:rPr>
          <w:sz w:val="20"/>
        </w:rPr>
        <w:t>people</w:t>
      </w:r>
      <w:r>
        <w:rPr>
          <w:spacing w:val="-9"/>
          <w:sz w:val="20"/>
        </w:rPr>
        <w:t> </w:t>
      </w:r>
      <w:r>
        <w:rPr>
          <w:sz w:val="20"/>
        </w:rPr>
        <w:t>for</w:t>
      </w:r>
      <w:r>
        <w:rPr>
          <w:spacing w:val="-9"/>
          <w:sz w:val="20"/>
        </w:rPr>
        <w:t> </w:t>
      </w:r>
      <w:r>
        <w:rPr>
          <w:sz w:val="20"/>
        </w:rPr>
        <w:t>whom</w:t>
      </w:r>
      <w:r>
        <w:rPr>
          <w:spacing w:val="-9"/>
          <w:sz w:val="20"/>
        </w:rPr>
        <w:t> </w:t>
      </w:r>
      <w:r>
        <w:rPr>
          <w:sz w:val="20"/>
        </w:rPr>
        <w:t>adjustments</w:t>
      </w:r>
      <w:r>
        <w:rPr>
          <w:spacing w:val="-9"/>
          <w:sz w:val="20"/>
        </w:rPr>
        <w:t> </w:t>
      </w:r>
      <w:r>
        <w:rPr>
          <w:sz w:val="20"/>
        </w:rPr>
        <w:t>could not</w:t>
      </w:r>
      <w:r>
        <w:rPr>
          <w:spacing w:val="-9"/>
          <w:sz w:val="20"/>
        </w:rPr>
        <w:t> </w:t>
      </w:r>
      <w:r>
        <w:rPr>
          <w:sz w:val="20"/>
        </w:rPr>
        <w:t>be</w:t>
      </w:r>
      <w:r>
        <w:rPr>
          <w:spacing w:val="-9"/>
          <w:sz w:val="20"/>
        </w:rPr>
        <w:t> </w:t>
      </w:r>
      <w:r>
        <w:rPr>
          <w:spacing w:val="-3"/>
          <w:sz w:val="20"/>
        </w:rPr>
        <w:t>reasonably</w:t>
      </w:r>
      <w:r>
        <w:rPr>
          <w:spacing w:val="-8"/>
          <w:sz w:val="20"/>
        </w:rPr>
        <w:t> </w:t>
      </w:r>
      <w:r>
        <w:rPr>
          <w:spacing w:val="-3"/>
          <w:sz w:val="20"/>
        </w:rPr>
        <w:t>provided</w:t>
      </w:r>
      <w:r>
        <w:rPr>
          <w:spacing w:val="-9"/>
          <w:sz w:val="20"/>
        </w:rPr>
        <w:t> </w:t>
      </w:r>
      <w:r>
        <w:rPr>
          <w:sz w:val="20"/>
        </w:rPr>
        <w:t>and</w:t>
      </w:r>
      <w:r>
        <w:rPr>
          <w:spacing w:val="-8"/>
          <w:sz w:val="20"/>
        </w:rPr>
        <w:t> </w:t>
      </w:r>
      <w:r>
        <w:rPr>
          <w:sz w:val="20"/>
        </w:rPr>
        <w:t>the</w:t>
      </w:r>
      <w:r>
        <w:rPr>
          <w:spacing w:val="-9"/>
          <w:sz w:val="20"/>
        </w:rPr>
        <w:t> </w:t>
      </w:r>
      <w:r>
        <w:rPr>
          <w:sz w:val="20"/>
        </w:rPr>
        <w:t>reasons</w:t>
      </w:r>
      <w:r>
        <w:rPr>
          <w:spacing w:val="-8"/>
          <w:sz w:val="20"/>
        </w:rPr>
        <w:t> </w:t>
      </w:r>
      <w:r>
        <w:rPr>
          <w:sz w:val="20"/>
        </w:rPr>
        <w:t>given.</w:t>
      </w:r>
      <w:r>
        <w:rPr>
          <w:spacing w:val="-9"/>
          <w:sz w:val="20"/>
        </w:rPr>
        <w:t> </w:t>
      </w:r>
      <w:r>
        <w:rPr>
          <w:sz w:val="20"/>
        </w:rPr>
        <w:t>This</w:t>
      </w:r>
      <w:r>
        <w:rPr>
          <w:spacing w:val="-8"/>
          <w:sz w:val="20"/>
        </w:rPr>
        <w:t> </w:t>
      </w:r>
      <w:r>
        <w:rPr>
          <w:sz w:val="20"/>
        </w:rPr>
        <w:t>will</w:t>
      </w:r>
      <w:r>
        <w:rPr>
          <w:spacing w:val="-9"/>
          <w:sz w:val="20"/>
        </w:rPr>
        <w:t> </w:t>
      </w:r>
      <w:r>
        <w:rPr>
          <w:sz w:val="20"/>
        </w:rPr>
        <w:t>encourage</w:t>
      </w:r>
      <w:r>
        <w:rPr>
          <w:spacing w:val="-8"/>
          <w:sz w:val="20"/>
        </w:rPr>
        <w:t> </w:t>
      </w:r>
      <w:r>
        <w:rPr>
          <w:sz w:val="20"/>
        </w:rPr>
        <w:t>judges</w:t>
      </w:r>
      <w:r>
        <w:rPr>
          <w:spacing w:val="-9"/>
          <w:sz w:val="20"/>
        </w:rPr>
        <w:t> </w:t>
      </w:r>
      <w:r>
        <w:rPr>
          <w:sz w:val="20"/>
        </w:rPr>
        <w:t>to</w:t>
      </w:r>
      <w:r>
        <w:rPr>
          <w:spacing w:val="-8"/>
          <w:sz w:val="20"/>
        </w:rPr>
        <w:t> </w:t>
      </w:r>
      <w:r>
        <w:rPr>
          <w:spacing w:val="-3"/>
          <w:sz w:val="20"/>
        </w:rPr>
        <w:t>give </w:t>
      </w:r>
      <w:r>
        <w:rPr>
          <w:sz w:val="20"/>
        </w:rPr>
        <w:t>proper consideration to enabling people in the subject groups to serve. Not </w:t>
      </w:r>
      <w:r>
        <w:rPr>
          <w:spacing w:val="-3"/>
          <w:sz w:val="20"/>
        </w:rPr>
        <w:t>many </w:t>
      </w:r>
      <w:r>
        <w:rPr>
          <w:sz w:val="20"/>
        </w:rPr>
        <w:t>people will need an Auslan </w:t>
      </w:r>
      <w:r>
        <w:rPr>
          <w:spacing w:val="-3"/>
          <w:sz w:val="20"/>
        </w:rPr>
        <w:t>interpreter </w:t>
      </w:r>
      <w:r>
        <w:rPr>
          <w:sz w:val="20"/>
        </w:rPr>
        <w:t>or a CART stenographer to serve. The courts should</w:t>
      </w:r>
      <w:r>
        <w:rPr>
          <w:spacing w:val="-6"/>
          <w:sz w:val="20"/>
        </w:rPr>
        <w:t> </w:t>
      </w:r>
      <w:r>
        <w:rPr>
          <w:sz w:val="20"/>
        </w:rPr>
        <w:t>be</w:t>
      </w:r>
      <w:r>
        <w:rPr>
          <w:spacing w:val="-5"/>
          <w:sz w:val="20"/>
        </w:rPr>
        <w:t> </w:t>
      </w:r>
      <w:r>
        <w:rPr>
          <w:sz w:val="20"/>
        </w:rPr>
        <w:t>funded</w:t>
      </w:r>
      <w:r>
        <w:rPr>
          <w:spacing w:val="-5"/>
          <w:sz w:val="20"/>
        </w:rPr>
        <w:t> </w:t>
      </w:r>
      <w:r>
        <w:rPr>
          <w:sz w:val="20"/>
        </w:rPr>
        <w:t>to</w:t>
      </w:r>
      <w:r>
        <w:rPr>
          <w:spacing w:val="-5"/>
          <w:sz w:val="20"/>
        </w:rPr>
        <w:t> </w:t>
      </w:r>
      <w:r>
        <w:rPr>
          <w:spacing w:val="-3"/>
          <w:sz w:val="20"/>
        </w:rPr>
        <w:t>provide</w:t>
      </w:r>
      <w:r>
        <w:rPr>
          <w:spacing w:val="-5"/>
          <w:sz w:val="20"/>
        </w:rPr>
        <w:t> </w:t>
      </w:r>
      <w:r>
        <w:rPr>
          <w:sz w:val="20"/>
        </w:rPr>
        <w:t>these</w:t>
      </w:r>
      <w:r>
        <w:rPr>
          <w:spacing w:val="-5"/>
          <w:sz w:val="20"/>
        </w:rPr>
        <w:t> </w:t>
      </w:r>
      <w:r>
        <w:rPr>
          <w:sz w:val="20"/>
        </w:rPr>
        <w:t>adjustments</w:t>
      </w:r>
      <w:r>
        <w:rPr>
          <w:spacing w:val="-5"/>
          <w:sz w:val="20"/>
        </w:rPr>
        <w:t> </w:t>
      </w:r>
      <w:r>
        <w:rPr>
          <w:sz w:val="20"/>
        </w:rPr>
        <w:t>as</w:t>
      </w:r>
      <w:r>
        <w:rPr>
          <w:spacing w:val="-5"/>
          <w:sz w:val="20"/>
        </w:rPr>
        <w:t> </w:t>
      </w:r>
      <w:r>
        <w:rPr>
          <w:sz w:val="20"/>
        </w:rPr>
        <w:t>the</w:t>
      </w:r>
      <w:r>
        <w:rPr>
          <w:spacing w:val="-5"/>
          <w:sz w:val="20"/>
        </w:rPr>
        <w:t> </w:t>
      </w:r>
      <w:r>
        <w:rPr>
          <w:sz w:val="20"/>
        </w:rPr>
        <w:t>need</w:t>
      </w:r>
      <w:r>
        <w:rPr>
          <w:spacing w:val="-5"/>
          <w:sz w:val="20"/>
        </w:rPr>
        <w:t> </w:t>
      </w:r>
      <w:r>
        <w:rPr>
          <w:sz w:val="20"/>
        </w:rPr>
        <w:t>arises.</w:t>
      </w:r>
    </w:p>
    <w:p>
      <w:pPr>
        <w:pStyle w:val="ListParagraph"/>
        <w:numPr>
          <w:ilvl w:val="1"/>
          <w:numId w:val="12"/>
        </w:numPr>
        <w:tabs>
          <w:tab w:pos="1761" w:val="left" w:leader="none"/>
          <w:tab w:pos="1762" w:val="left" w:leader="none"/>
        </w:tabs>
        <w:spacing w:line="206" w:lineRule="auto" w:before="131" w:after="0"/>
        <w:ind w:left="1761" w:right="1497" w:hanging="794"/>
        <w:jc w:val="left"/>
        <w:rPr>
          <w:sz w:val="20"/>
        </w:rPr>
      </w:pPr>
      <w:r>
        <w:rPr>
          <w:sz w:val="20"/>
        </w:rPr>
        <w:t>An </w:t>
      </w:r>
      <w:r>
        <w:rPr>
          <w:spacing w:val="-3"/>
          <w:sz w:val="20"/>
        </w:rPr>
        <w:t>overarching </w:t>
      </w:r>
      <w:r>
        <w:rPr>
          <w:sz w:val="20"/>
        </w:rPr>
        <w:t>purpose of the </w:t>
      </w:r>
      <w:r>
        <w:rPr>
          <w:spacing w:val="-2"/>
          <w:sz w:val="20"/>
        </w:rPr>
        <w:t>Act </w:t>
      </w:r>
      <w:r>
        <w:rPr>
          <w:sz w:val="20"/>
        </w:rPr>
        <w:t>is to </w:t>
      </w:r>
      <w:r>
        <w:rPr>
          <w:spacing w:val="-3"/>
          <w:sz w:val="20"/>
        </w:rPr>
        <w:t>make </w:t>
      </w:r>
      <w:r>
        <w:rPr>
          <w:sz w:val="20"/>
        </w:rPr>
        <w:t>juries more </w:t>
      </w:r>
      <w:r>
        <w:rPr>
          <w:spacing w:val="-3"/>
          <w:sz w:val="20"/>
        </w:rPr>
        <w:t>representative </w:t>
      </w:r>
      <w:r>
        <w:rPr>
          <w:sz w:val="20"/>
        </w:rPr>
        <w:t>of the </w:t>
      </w:r>
      <w:r>
        <w:rPr>
          <w:spacing w:val="-3"/>
          <w:sz w:val="20"/>
        </w:rPr>
        <w:t>community. </w:t>
      </w:r>
      <w:r>
        <w:rPr>
          <w:position w:val="7"/>
          <w:sz w:val="11"/>
        </w:rPr>
        <w:t>53 </w:t>
      </w:r>
      <w:r>
        <w:rPr>
          <w:sz w:val="20"/>
        </w:rPr>
        <w:t>If new </w:t>
      </w:r>
      <w:r>
        <w:rPr>
          <w:spacing w:val="-3"/>
          <w:sz w:val="20"/>
        </w:rPr>
        <w:t>laws are </w:t>
      </w:r>
      <w:r>
        <w:rPr>
          <w:sz w:val="20"/>
        </w:rPr>
        <w:t>introduced, it will be important for the amending </w:t>
      </w:r>
      <w:r>
        <w:rPr>
          <w:spacing w:val="-2"/>
          <w:sz w:val="20"/>
        </w:rPr>
        <w:t>Act </w:t>
      </w:r>
      <w:r>
        <w:rPr>
          <w:sz w:val="20"/>
        </w:rPr>
        <w:t>to set out that the aim of the new provisions is to meet this </w:t>
      </w:r>
      <w:r>
        <w:rPr>
          <w:spacing w:val="-3"/>
          <w:sz w:val="20"/>
        </w:rPr>
        <w:t>overarching </w:t>
      </w:r>
      <w:r>
        <w:rPr>
          <w:sz w:val="20"/>
        </w:rPr>
        <w:t>purpose </w:t>
      </w:r>
      <w:r>
        <w:rPr>
          <w:spacing w:val="-3"/>
          <w:sz w:val="20"/>
        </w:rPr>
        <w:t>by </w:t>
      </w:r>
      <w:r>
        <w:rPr>
          <w:sz w:val="20"/>
        </w:rPr>
        <w:t>enabling</w:t>
      </w:r>
      <w:r>
        <w:rPr>
          <w:spacing w:val="-13"/>
          <w:sz w:val="20"/>
        </w:rPr>
        <w:t> </w:t>
      </w:r>
      <w:r>
        <w:rPr>
          <w:sz w:val="20"/>
        </w:rPr>
        <w:t>people</w:t>
      </w:r>
      <w:r>
        <w:rPr>
          <w:spacing w:val="-12"/>
          <w:sz w:val="20"/>
        </w:rPr>
        <w:t> </w:t>
      </w:r>
      <w:r>
        <w:rPr>
          <w:spacing w:val="-3"/>
          <w:sz w:val="20"/>
        </w:rPr>
        <w:t>from</w:t>
      </w:r>
      <w:r>
        <w:rPr>
          <w:spacing w:val="-12"/>
          <w:sz w:val="20"/>
        </w:rPr>
        <w:t> </w:t>
      </w:r>
      <w:r>
        <w:rPr>
          <w:sz w:val="20"/>
        </w:rPr>
        <w:t>the</w:t>
      </w:r>
      <w:r>
        <w:rPr>
          <w:spacing w:val="-12"/>
          <w:sz w:val="20"/>
        </w:rPr>
        <w:t> </w:t>
      </w:r>
      <w:r>
        <w:rPr>
          <w:sz w:val="20"/>
        </w:rPr>
        <w:t>subject</w:t>
      </w:r>
      <w:r>
        <w:rPr>
          <w:spacing w:val="-12"/>
          <w:sz w:val="20"/>
        </w:rPr>
        <w:t> </w:t>
      </w:r>
      <w:r>
        <w:rPr>
          <w:sz w:val="20"/>
        </w:rPr>
        <w:t>groups</w:t>
      </w:r>
      <w:r>
        <w:rPr>
          <w:spacing w:val="-12"/>
          <w:sz w:val="20"/>
        </w:rPr>
        <w:t> </w:t>
      </w:r>
      <w:r>
        <w:rPr>
          <w:sz w:val="20"/>
        </w:rPr>
        <w:t>to</w:t>
      </w:r>
      <w:r>
        <w:rPr>
          <w:spacing w:val="-12"/>
          <w:sz w:val="20"/>
        </w:rPr>
        <w:t> </w:t>
      </w:r>
      <w:r>
        <w:rPr>
          <w:sz w:val="20"/>
        </w:rPr>
        <w:t>serve</w:t>
      </w:r>
      <w:r>
        <w:rPr>
          <w:spacing w:val="-12"/>
          <w:sz w:val="20"/>
        </w:rPr>
        <w:t> </w:t>
      </w:r>
      <w:r>
        <w:rPr>
          <w:sz w:val="20"/>
        </w:rPr>
        <w:t>with</w:t>
      </w:r>
      <w:r>
        <w:rPr>
          <w:spacing w:val="-12"/>
          <w:sz w:val="20"/>
        </w:rPr>
        <w:t> </w:t>
      </w:r>
      <w:r>
        <w:rPr>
          <w:sz w:val="20"/>
        </w:rPr>
        <w:t>reasonable</w:t>
      </w:r>
      <w:r>
        <w:rPr>
          <w:spacing w:val="-13"/>
          <w:sz w:val="20"/>
        </w:rPr>
        <w:t> </w:t>
      </w:r>
      <w:r>
        <w:rPr>
          <w:sz w:val="20"/>
        </w:rPr>
        <w:t>adjustments.</w:t>
      </w:r>
      <w:r>
        <w:rPr>
          <w:spacing w:val="-12"/>
          <w:sz w:val="20"/>
        </w:rPr>
        <w:t> </w:t>
      </w:r>
      <w:r>
        <w:rPr>
          <w:sz w:val="20"/>
        </w:rPr>
        <w:t>This</w:t>
      </w:r>
    </w:p>
    <w:p>
      <w:pPr>
        <w:pStyle w:val="BodyText"/>
        <w:spacing w:line="206" w:lineRule="auto" w:before="5"/>
        <w:ind w:left="1761" w:right="1202"/>
      </w:pPr>
      <w:r>
        <w:rPr/>
        <w:t>will</w:t>
      </w:r>
      <w:r>
        <w:rPr>
          <w:spacing w:val="-11"/>
        </w:rPr>
        <w:t> </w:t>
      </w:r>
      <w:r>
        <w:rPr/>
        <w:t>serve</w:t>
      </w:r>
      <w:r>
        <w:rPr>
          <w:spacing w:val="-10"/>
        </w:rPr>
        <w:t> </w:t>
      </w:r>
      <w:r>
        <w:rPr/>
        <w:t>to</w:t>
      </w:r>
      <w:r>
        <w:rPr>
          <w:spacing w:val="-10"/>
        </w:rPr>
        <w:t> </w:t>
      </w:r>
      <w:r>
        <w:rPr/>
        <w:t>guide</w:t>
      </w:r>
      <w:r>
        <w:rPr>
          <w:spacing w:val="-10"/>
        </w:rPr>
        <w:t> </w:t>
      </w:r>
      <w:r>
        <w:rPr/>
        <w:t>the</w:t>
      </w:r>
      <w:r>
        <w:rPr>
          <w:spacing w:val="-10"/>
        </w:rPr>
        <w:t> </w:t>
      </w:r>
      <w:r>
        <w:rPr/>
        <w:t>second</w:t>
      </w:r>
      <w:r>
        <w:rPr>
          <w:spacing w:val="-10"/>
        </w:rPr>
        <w:t> </w:t>
      </w:r>
      <w:r>
        <w:rPr/>
        <w:t>reading</w:t>
      </w:r>
      <w:r>
        <w:rPr>
          <w:spacing w:val="-10"/>
        </w:rPr>
        <w:t> </w:t>
      </w:r>
      <w:r>
        <w:rPr/>
        <w:t>speech</w:t>
      </w:r>
      <w:r>
        <w:rPr>
          <w:spacing w:val="-11"/>
        </w:rPr>
        <w:t> </w:t>
      </w:r>
      <w:r>
        <w:rPr/>
        <w:t>and</w:t>
      </w:r>
      <w:r>
        <w:rPr>
          <w:spacing w:val="-10"/>
        </w:rPr>
        <w:t> </w:t>
      </w:r>
      <w:r>
        <w:rPr>
          <w:spacing w:val="-3"/>
        </w:rPr>
        <w:t>interpretation</w:t>
      </w:r>
      <w:r>
        <w:rPr>
          <w:spacing w:val="-10"/>
        </w:rPr>
        <w:t> </w:t>
      </w:r>
      <w:r>
        <w:rPr/>
        <w:t>of</w:t>
      </w:r>
      <w:r>
        <w:rPr>
          <w:spacing w:val="-10"/>
        </w:rPr>
        <w:t> </w:t>
      </w:r>
      <w:r>
        <w:rPr/>
        <w:t>the</w:t>
      </w:r>
      <w:r>
        <w:rPr>
          <w:spacing w:val="-10"/>
        </w:rPr>
        <w:t> </w:t>
      </w:r>
      <w:r>
        <w:rPr/>
        <w:t>new</w:t>
      </w:r>
      <w:r>
        <w:rPr>
          <w:spacing w:val="-10"/>
        </w:rPr>
        <w:t> </w:t>
      </w:r>
      <w:r>
        <w:rPr/>
        <w:t>provisions, including considerations of court </w:t>
      </w:r>
      <w:r>
        <w:rPr>
          <w:spacing w:val="-3"/>
        </w:rPr>
        <w:t>resources </w:t>
      </w:r>
      <w:r>
        <w:rPr/>
        <w:t>and</w:t>
      </w:r>
      <w:r>
        <w:rPr>
          <w:spacing w:val="-25"/>
        </w:rPr>
        <w:t> </w:t>
      </w:r>
      <w:r>
        <w:rPr/>
        <w:t>costs.</w:t>
      </w:r>
    </w:p>
    <w:p>
      <w:pPr>
        <w:pStyle w:val="BodyText"/>
        <w:spacing w:before="11"/>
        <w:rPr>
          <w:sz w:val="25"/>
        </w:rPr>
      </w:pPr>
      <w:r>
        <w:rPr/>
        <w:pict>
          <v:line style="position:absolute;mso-position-horizontal-relative:page;mso-position-vertical-relative:paragraph;z-index:6944;mso-wrap-distance-left:0;mso-wrap-distance-right:0" from="79.370102pt,20.361219pt" to="515.905102pt,20.361219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spacing w:before="8"/>
        <w:rPr>
          <w:sz w:val="28"/>
        </w:rPr>
      </w:pPr>
    </w:p>
    <w:p>
      <w:pPr>
        <w:spacing w:before="0"/>
        <w:ind w:left="100" w:right="0" w:firstLine="0"/>
        <w:jc w:val="left"/>
        <w:rPr>
          <w:b/>
          <w:sz w:val="24"/>
        </w:rPr>
      </w:pPr>
      <w:r>
        <w:rPr>
          <w:b/>
          <w:color w:val="37617A"/>
          <w:sz w:val="24"/>
        </w:rPr>
        <w:t>114</w:t>
      </w:r>
    </w:p>
    <w:p>
      <w:pPr>
        <w:pStyle w:val="ListParagraph"/>
        <w:numPr>
          <w:ilvl w:val="0"/>
          <w:numId w:val="82"/>
        </w:numPr>
        <w:tabs>
          <w:tab w:pos="893" w:val="left" w:leader="none"/>
          <w:tab w:pos="894" w:val="left" w:leader="none"/>
        </w:tabs>
        <w:spacing w:line="170" w:lineRule="exact" w:before="21" w:after="0"/>
        <w:ind w:left="893" w:right="0" w:hanging="793"/>
        <w:jc w:val="left"/>
        <w:rPr>
          <w:sz w:val="13"/>
        </w:rPr>
      </w:pPr>
      <w:r>
        <w:rPr>
          <w:w w:val="99"/>
          <w:sz w:val="13"/>
        </w:rPr>
        <w:br w:type="column"/>
      </w:r>
      <w:r>
        <w:rPr>
          <w:sz w:val="13"/>
        </w:rPr>
        <w:t>For example, </w:t>
      </w:r>
      <w:r>
        <w:rPr>
          <w:spacing w:val="2"/>
          <w:sz w:val="13"/>
        </w:rPr>
        <w:t>Submissions </w:t>
      </w:r>
      <w:r>
        <w:rPr>
          <w:sz w:val="13"/>
        </w:rPr>
        <w:t>4 (Baer Arnold &amp; Bonython), 9 (Madison), 11 (Supreme </w:t>
      </w:r>
      <w:r>
        <w:rPr>
          <w:spacing w:val="2"/>
          <w:sz w:val="13"/>
        </w:rPr>
        <w:t>Court </w:t>
      </w:r>
      <w:r>
        <w:rPr>
          <w:sz w:val="13"/>
        </w:rPr>
        <w:t>of Victoria), </w:t>
      </w:r>
      <w:r>
        <w:rPr>
          <w:spacing w:val="3"/>
          <w:sz w:val="13"/>
        </w:rPr>
        <w:t>14 </w:t>
      </w:r>
      <w:r>
        <w:rPr>
          <w:sz w:val="13"/>
        </w:rPr>
        <w:t>(County </w:t>
      </w:r>
      <w:r>
        <w:rPr>
          <w:spacing w:val="2"/>
          <w:sz w:val="13"/>
        </w:rPr>
        <w:t>Court </w:t>
      </w:r>
      <w:r>
        <w:rPr>
          <w:sz w:val="13"/>
        </w:rPr>
        <w:t>of</w:t>
      </w:r>
      <w:r>
        <w:rPr>
          <w:spacing w:val="27"/>
          <w:sz w:val="13"/>
        </w:rPr>
        <w:t> </w:t>
      </w:r>
      <w:r>
        <w:rPr>
          <w:sz w:val="13"/>
        </w:rPr>
        <w:t>Victoria).</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z w:val="13"/>
        </w:rPr>
        <w:t>Consultation 22 (Daniel Stubbs, Victorian </w:t>
      </w:r>
      <w:r>
        <w:rPr>
          <w:spacing w:val="2"/>
          <w:sz w:val="13"/>
        </w:rPr>
        <w:t>Disability </w:t>
      </w:r>
      <w:r>
        <w:rPr>
          <w:sz w:val="13"/>
        </w:rPr>
        <w:t>Worker Commissioner, in his personal</w:t>
      </w:r>
      <w:r>
        <w:rPr>
          <w:spacing w:val="10"/>
          <w:sz w:val="13"/>
        </w:rPr>
        <w:t> </w:t>
      </w:r>
      <w:r>
        <w:rPr>
          <w:sz w:val="13"/>
        </w:rPr>
        <w:t>capacity).</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i/>
          <w:sz w:val="13"/>
        </w:rPr>
        <w:t>Juries Act 1967 </w:t>
      </w:r>
      <w:r>
        <w:rPr>
          <w:sz w:val="13"/>
        </w:rPr>
        <w:t>(ACT) s</w:t>
      </w:r>
      <w:r>
        <w:rPr>
          <w:spacing w:val="1"/>
          <w:sz w:val="13"/>
        </w:rPr>
        <w:t> </w:t>
      </w:r>
      <w:r>
        <w:rPr>
          <w:sz w:val="13"/>
        </w:rPr>
        <w:t>16(3)(a).</w:t>
      </w:r>
    </w:p>
    <w:p>
      <w:pPr>
        <w:pStyle w:val="ListParagraph"/>
        <w:numPr>
          <w:ilvl w:val="0"/>
          <w:numId w:val="82"/>
        </w:numPr>
        <w:tabs>
          <w:tab w:pos="893" w:val="left" w:leader="none"/>
          <w:tab w:pos="894" w:val="left" w:leader="none"/>
        </w:tabs>
        <w:spacing w:line="170" w:lineRule="exact" w:before="0" w:after="0"/>
        <w:ind w:left="893" w:right="0" w:hanging="793"/>
        <w:jc w:val="left"/>
        <w:rPr>
          <w:sz w:val="13"/>
        </w:rPr>
      </w:pPr>
      <w:r>
        <w:rPr>
          <w:i/>
          <w:sz w:val="13"/>
        </w:rPr>
        <w:t>Juries Act 2000 </w:t>
      </w:r>
      <w:r>
        <w:rPr>
          <w:spacing w:val="2"/>
          <w:sz w:val="13"/>
        </w:rPr>
        <w:t>(Vic) </w:t>
      </w:r>
      <w:r>
        <w:rPr>
          <w:sz w:val="13"/>
        </w:rPr>
        <w:t>s</w:t>
      </w:r>
      <w:r>
        <w:rPr>
          <w:spacing w:val="-2"/>
          <w:sz w:val="13"/>
        </w:rPr>
        <w:t> </w:t>
      </w:r>
      <w:r>
        <w:rPr>
          <w:sz w:val="13"/>
        </w:rPr>
        <w:t>1(b).</w:t>
      </w:r>
    </w:p>
    <w:p>
      <w:pPr>
        <w:spacing w:after="0" w:line="170" w:lineRule="exact"/>
        <w:jc w:val="left"/>
        <w:rPr>
          <w:sz w:val="13"/>
        </w:rPr>
        <w:sectPr>
          <w:type w:val="continuous"/>
          <w:pgSz w:w="11910" w:h="16840"/>
          <w:pgMar w:top="620" w:bottom="280" w:left="620" w:right="380"/>
          <w:cols w:num="2" w:equalWidth="0">
            <w:col w:w="515" w:space="353"/>
            <w:col w:w="10042"/>
          </w:cols>
        </w:sectPr>
      </w:pPr>
    </w:p>
    <w:p>
      <w:pPr>
        <w:pStyle w:val="BodyText"/>
      </w:pPr>
    </w:p>
    <w:p>
      <w:pPr>
        <w:pStyle w:val="BodyText"/>
      </w:pPr>
    </w:p>
    <w:p>
      <w:pPr>
        <w:pStyle w:val="BodyText"/>
      </w:pPr>
    </w:p>
    <w:p>
      <w:pPr>
        <w:pStyle w:val="BodyText"/>
        <w:spacing w:before="6"/>
        <w:rPr>
          <w:sz w:val="14"/>
        </w:rPr>
      </w:pPr>
    </w:p>
    <w:p>
      <w:pPr>
        <w:pStyle w:val="Heading6"/>
        <w:spacing w:before="53"/>
        <w:rPr>
          <w:b/>
        </w:rPr>
      </w:pPr>
      <w:r>
        <w:rPr>
          <w:b/>
          <w:color w:val="4D4D4F"/>
        </w:rPr>
        <w:t>Practical challenges</w:t>
      </w:r>
    </w:p>
    <w:p>
      <w:pPr>
        <w:pStyle w:val="ListParagraph"/>
        <w:numPr>
          <w:ilvl w:val="1"/>
          <w:numId w:val="12"/>
        </w:numPr>
        <w:tabs>
          <w:tab w:pos="1761" w:val="left" w:leader="none"/>
          <w:tab w:pos="1762" w:val="left" w:leader="none"/>
        </w:tabs>
        <w:spacing w:line="259" w:lineRule="exact" w:before="100" w:after="0"/>
        <w:ind w:left="1761" w:right="0" w:hanging="794"/>
        <w:jc w:val="left"/>
        <w:rPr>
          <w:sz w:val="20"/>
        </w:rPr>
      </w:pPr>
      <w:r>
        <w:rPr>
          <w:spacing w:val="-3"/>
          <w:sz w:val="20"/>
        </w:rPr>
        <w:t>Several</w:t>
      </w:r>
      <w:r>
        <w:rPr>
          <w:spacing w:val="-6"/>
          <w:sz w:val="20"/>
        </w:rPr>
        <w:t> </w:t>
      </w:r>
      <w:r>
        <w:rPr>
          <w:sz w:val="20"/>
        </w:rPr>
        <w:t>responses</w:t>
      </w:r>
      <w:r>
        <w:rPr>
          <w:spacing w:val="-5"/>
          <w:sz w:val="20"/>
        </w:rPr>
        <w:t> </w:t>
      </w:r>
      <w:r>
        <w:rPr>
          <w:spacing w:val="-3"/>
          <w:sz w:val="20"/>
        </w:rPr>
        <w:t>referred</w:t>
      </w:r>
      <w:r>
        <w:rPr>
          <w:spacing w:val="-5"/>
          <w:sz w:val="20"/>
        </w:rPr>
        <w:t> </w:t>
      </w:r>
      <w:r>
        <w:rPr>
          <w:sz w:val="20"/>
        </w:rPr>
        <w:t>to</w:t>
      </w:r>
      <w:r>
        <w:rPr>
          <w:spacing w:val="-6"/>
          <w:sz w:val="20"/>
        </w:rPr>
        <w:t> </w:t>
      </w:r>
      <w:r>
        <w:rPr>
          <w:sz w:val="20"/>
        </w:rPr>
        <w:t>the</w:t>
      </w:r>
      <w:r>
        <w:rPr>
          <w:spacing w:val="-5"/>
          <w:sz w:val="20"/>
        </w:rPr>
        <w:t> </w:t>
      </w:r>
      <w:r>
        <w:rPr>
          <w:sz w:val="20"/>
        </w:rPr>
        <w:t>practical</w:t>
      </w:r>
      <w:r>
        <w:rPr>
          <w:spacing w:val="-5"/>
          <w:sz w:val="20"/>
        </w:rPr>
        <w:t> </w:t>
      </w:r>
      <w:r>
        <w:rPr>
          <w:sz w:val="20"/>
        </w:rPr>
        <w:t>challenges</w:t>
      </w:r>
      <w:r>
        <w:rPr>
          <w:spacing w:val="-5"/>
          <w:sz w:val="20"/>
        </w:rPr>
        <w:t> </w:t>
      </w:r>
      <w:r>
        <w:rPr>
          <w:sz w:val="20"/>
        </w:rPr>
        <w:t>of</w:t>
      </w:r>
      <w:r>
        <w:rPr>
          <w:spacing w:val="-6"/>
          <w:sz w:val="20"/>
        </w:rPr>
        <w:t> </w:t>
      </w:r>
      <w:r>
        <w:rPr>
          <w:spacing w:val="-3"/>
          <w:sz w:val="20"/>
        </w:rPr>
        <w:t>providing</w:t>
      </w:r>
      <w:r>
        <w:rPr>
          <w:spacing w:val="-5"/>
          <w:sz w:val="20"/>
        </w:rPr>
        <w:t> </w:t>
      </w:r>
      <w:r>
        <w:rPr>
          <w:sz w:val="20"/>
        </w:rPr>
        <w:t>adjustments.</w:t>
      </w:r>
      <w:r>
        <w:rPr>
          <w:spacing w:val="-5"/>
          <w:sz w:val="20"/>
        </w:rPr>
        <w:t> </w:t>
      </w:r>
      <w:r>
        <w:rPr>
          <w:sz w:val="20"/>
        </w:rPr>
        <w:t>The</w:t>
      </w:r>
    </w:p>
    <w:p>
      <w:pPr>
        <w:pStyle w:val="BodyText"/>
        <w:spacing w:line="259" w:lineRule="exact"/>
        <w:ind w:left="1761"/>
      </w:pPr>
      <w:r>
        <w:rPr/>
        <w:t>Office of Public Prosecutions (OPP) referred to:</w:t>
      </w:r>
    </w:p>
    <w:p>
      <w:pPr>
        <w:spacing w:line="208" w:lineRule="auto" w:before="112"/>
        <w:ind w:left="2157" w:right="1438" w:firstLine="0"/>
        <w:jc w:val="left"/>
        <w:rPr>
          <w:sz w:val="19"/>
        </w:rPr>
      </w:pPr>
      <w:r>
        <w:rPr>
          <w:sz w:val="19"/>
        </w:rPr>
        <w:t>Geographical considerations, including the availability of supports in regional areas, and the smaller pools of Auslan interpreters available in regional areas. Are there enough interpreters to support the regional courts as well as Melbourne?</w:t>
      </w:r>
    </w:p>
    <w:p>
      <w:pPr>
        <w:pStyle w:val="ListParagraph"/>
        <w:numPr>
          <w:ilvl w:val="1"/>
          <w:numId w:val="12"/>
        </w:numPr>
        <w:tabs>
          <w:tab w:pos="1761" w:val="left" w:leader="none"/>
          <w:tab w:pos="1762" w:val="left" w:leader="none"/>
        </w:tabs>
        <w:spacing w:line="206" w:lineRule="auto" w:before="124" w:after="0"/>
        <w:ind w:left="1761" w:right="1196" w:hanging="794"/>
        <w:jc w:val="left"/>
        <w:rPr>
          <w:sz w:val="20"/>
        </w:rPr>
      </w:pPr>
      <w:r>
        <w:rPr>
          <w:sz w:val="20"/>
        </w:rPr>
        <w:t>The</w:t>
      </w:r>
      <w:r>
        <w:rPr>
          <w:spacing w:val="-10"/>
          <w:sz w:val="20"/>
        </w:rPr>
        <w:t> </w:t>
      </w:r>
      <w:r>
        <w:rPr>
          <w:sz w:val="20"/>
        </w:rPr>
        <w:t>OPP</w:t>
      </w:r>
      <w:r>
        <w:rPr>
          <w:spacing w:val="-10"/>
          <w:sz w:val="20"/>
        </w:rPr>
        <w:t> </w:t>
      </w:r>
      <w:r>
        <w:rPr>
          <w:sz w:val="20"/>
        </w:rPr>
        <w:t>observed</w:t>
      </w:r>
      <w:r>
        <w:rPr>
          <w:spacing w:val="-10"/>
          <w:sz w:val="20"/>
        </w:rPr>
        <w:t> </w:t>
      </w:r>
      <w:r>
        <w:rPr>
          <w:sz w:val="20"/>
        </w:rPr>
        <w:t>that</w:t>
      </w:r>
      <w:r>
        <w:rPr>
          <w:spacing w:val="-9"/>
          <w:sz w:val="20"/>
        </w:rPr>
        <w:t> </w:t>
      </w:r>
      <w:r>
        <w:rPr>
          <w:sz w:val="20"/>
        </w:rPr>
        <w:t>finding</w:t>
      </w:r>
      <w:r>
        <w:rPr>
          <w:spacing w:val="-10"/>
          <w:sz w:val="20"/>
        </w:rPr>
        <w:t> </w:t>
      </w:r>
      <w:r>
        <w:rPr>
          <w:sz w:val="20"/>
        </w:rPr>
        <w:t>supports</w:t>
      </w:r>
      <w:r>
        <w:rPr>
          <w:spacing w:val="-10"/>
          <w:sz w:val="20"/>
        </w:rPr>
        <w:t> </w:t>
      </w:r>
      <w:r>
        <w:rPr>
          <w:sz w:val="20"/>
        </w:rPr>
        <w:t>for</w:t>
      </w:r>
      <w:r>
        <w:rPr>
          <w:spacing w:val="-9"/>
          <w:sz w:val="20"/>
        </w:rPr>
        <w:t> </w:t>
      </w:r>
      <w:r>
        <w:rPr>
          <w:sz w:val="20"/>
        </w:rPr>
        <w:t>one</w:t>
      </w:r>
      <w:r>
        <w:rPr>
          <w:spacing w:val="-10"/>
          <w:sz w:val="20"/>
        </w:rPr>
        <w:t> </w:t>
      </w:r>
      <w:r>
        <w:rPr>
          <w:sz w:val="20"/>
        </w:rPr>
        <w:t>witness</w:t>
      </w:r>
      <w:r>
        <w:rPr>
          <w:spacing w:val="-10"/>
          <w:sz w:val="20"/>
        </w:rPr>
        <w:t> </w:t>
      </w:r>
      <w:r>
        <w:rPr>
          <w:sz w:val="20"/>
        </w:rPr>
        <w:t>for</w:t>
      </w:r>
      <w:r>
        <w:rPr>
          <w:spacing w:val="-9"/>
          <w:sz w:val="20"/>
        </w:rPr>
        <w:t> </w:t>
      </w:r>
      <w:r>
        <w:rPr>
          <w:sz w:val="20"/>
        </w:rPr>
        <w:t>a</w:t>
      </w:r>
      <w:r>
        <w:rPr>
          <w:spacing w:val="-10"/>
          <w:sz w:val="20"/>
        </w:rPr>
        <w:t> </w:t>
      </w:r>
      <w:r>
        <w:rPr>
          <w:spacing w:val="-3"/>
          <w:sz w:val="20"/>
        </w:rPr>
        <w:t>few</w:t>
      </w:r>
      <w:r>
        <w:rPr>
          <w:spacing w:val="-10"/>
          <w:sz w:val="20"/>
        </w:rPr>
        <w:t> </w:t>
      </w:r>
      <w:r>
        <w:rPr>
          <w:sz w:val="20"/>
        </w:rPr>
        <w:t>hours</w:t>
      </w:r>
      <w:r>
        <w:rPr>
          <w:spacing w:val="-9"/>
          <w:sz w:val="20"/>
        </w:rPr>
        <w:t> </w:t>
      </w:r>
      <w:r>
        <w:rPr>
          <w:sz w:val="20"/>
        </w:rPr>
        <w:t>is</w:t>
      </w:r>
      <w:r>
        <w:rPr>
          <w:spacing w:val="-10"/>
          <w:sz w:val="20"/>
        </w:rPr>
        <w:t> </w:t>
      </w:r>
      <w:r>
        <w:rPr>
          <w:sz w:val="20"/>
        </w:rPr>
        <w:t>very</w:t>
      </w:r>
      <w:r>
        <w:rPr>
          <w:spacing w:val="-10"/>
          <w:sz w:val="20"/>
        </w:rPr>
        <w:t> </w:t>
      </w:r>
      <w:r>
        <w:rPr>
          <w:sz w:val="20"/>
        </w:rPr>
        <w:t>different </w:t>
      </w:r>
      <w:r>
        <w:rPr>
          <w:spacing w:val="-3"/>
          <w:sz w:val="20"/>
        </w:rPr>
        <w:t>from</w:t>
      </w:r>
      <w:r>
        <w:rPr>
          <w:spacing w:val="-6"/>
          <w:sz w:val="20"/>
        </w:rPr>
        <w:t> </w:t>
      </w:r>
      <w:r>
        <w:rPr>
          <w:sz w:val="20"/>
        </w:rPr>
        <w:t>finding</w:t>
      </w:r>
      <w:r>
        <w:rPr>
          <w:spacing w:val="-6"/>
          <w:sz w:val="20"/>
        </w:rPr>
        <w:t> </w:t>
      </w:r>
      <w:r>
        <w:rPr>
          <w:sz w:val="20"/>
        </w:rPr>
        <w:t>ongoing</w:t>
      </w:r>
      <w:r>
        <w:rPr>
          <w:spacing w:val="-6"/>
          <w:sz w:val="20"/>
        </w:rPr>
        <w:t> </w:t>
      </w:r>
      <w:r>
        <w:rPr>
          <w:sz w:val="20"/>
        </w:rPr>
        <w:t>supports</w:t>
      </w:r>
      <w:r>
        <w:rPr>
          <w:spacing w:val="-6"/>
          <w:sz w:val="20"/>
        </w:rPr>
        <w:t> </w:t>
      </w:r>
      <w:r>
        <w:rPr>
          <w:sz w:val="20"/>
        </w:rPr>
        <w:t>for</w:t>
      </w:r>
      <w:r>
        <w:rPr>
          <w:spacing w:val="-6"/>
          <w:sz w:val="20"/>
        </w:rPr>
        <w:t> </w:t>
      </w:r>
      <w:r>
        <w:rPr>
          <w:sz w:val="20"/>
        </w:rPr>
        <w:t>a</w:t>
      </w:r>
      <w:r>
        <w:rPr>
          <w:spacing w:val="-6"/>
          <w:sz w:val="20"/>
        </w:rPr>
        <w:t> </w:t>
      </w:r>
      <w:r>
        <w:rPr>
          <w:sz w:val="20"/>
        </w:rPr>
        <w:t>juror</w:t>
      </w:r>
      <w:r>
        <w:rPr>
          <w:spacing w:val="-6"/>
          <w:sz w:val="20"/>
        </w:rPr>
        <w:t> </w:t>
      </w:r>
      <w:r>
        <w:rPr>
          <w:sz w:val="20"/>
        </w:rPr>
        <w:t>for</w:t>
      </w:r>
      <w:r>
        <w:rPr>
          <w:spacing w:val="-5"/>
          <w:sz w:val="20"/>
        </w:rPr>
        <w:t> </w:t>
      </w:r>
      <w:r>
        <w:rPr>
          <w:spacing w:val="-3"/>
          <w:sz w:val="20"/>
        </w:rPr>
        <w:t>many</w:t>
      </w:r>
      <w:r>
        <w:rPr>
          <w:spacing w:val="-6"/>
          <w:sz w:val="20"/>
        </w:rPr>
        <w:t> </w:t>
      </w:r>
      <w:r>
        <w:rPr>
          <w:spacing w:val="-3"/>
          <w:sz w:val="20"/>
        </w:rPr>
        <w:t>days,</w:t>
      </w:r>
      <w:r>
        <w:rPr>
          <w:spacing w:val="-6"/>
          <w:sz w:val="20"/>
        </w:rPr>
        <w:t> </w:t>
      </w:r>
      <w:r>
        <w:rPr>
          <w:sz w:val="20"/>
        </w:rPr>
        <w:t>weeks</w:t>
      </w:r>
      <w:r>
        <w:rPr>
          <w:spacing w:val="-6"/>
          <w:sz w:val="20"/>
        </w:rPr>
        <w:t> </w:t>
      </w:r>
      <w:r>
        <w:rPr>
          <w:sz w:val="20"/>
        </w:rPr>
        <w:t>or</w:t>
      </w:r>
      <w:r>
        <w:rPr>
          <w:spacing w:val="-6"/>
          <w:sz w:val="20"/>
        </w:rPr>
        <w:t> </w:t>
      </w:r>
      <w:r>
        <w:rPr>
          <w:spacing w:val="-3"/>
          <w:sz w:val="20"/>
        </w:rPr>
        <w:t>even</w:t>
      </w:r>
      <w:r>
        <w:rPr>
          <w:spacing w:val="-6"/>
          <w:sz w:val="20"/>
        </w:rPr>
        <w:t> </w:t>
      </w:r>
      <w:r>
        <w:rPr>
          <w:sz w:val="20"/>
        </w:rPr>
        <w:t>months:</w:t>
      </w:r>
    </w:p>
    <w:p>
      <w:pPr>
        <w:spacing w:line="208" w:lineRule="auto" w:before="120"/>
        <w:ind w:left="2157" w:right="1202" w:firstLine="0"/>
        <w:jc w:val="left"/>
        <w:rPr>
          <w:sz w:val="11"/>
        </w:rPr>
      </w:pPr>
      <w:r>
        <w:rPr>
          <w:sz w:val="19"/>
        </w:rPr>
        <w:t>If someone requires more than one type of support, can multiple supports be used? How far does ‘reasonable’ extend? Interpreter availability might be an issue if a trial goes beyond 5 days. Thought is needed about the logistics of how supports could be provided in this context.</w:t>
      </w:r>
      <w:r>
        <w:rPr>
          <w:position w:val="6"/>
          <w:sz w:val="11"/>
        </w:rPr>
        <w:t>54</w:t>
      </w:r>
    </w:p>
    <w:p>
      <w:pPr>
        <w:pStyle w:val="ListParagraph"/>
        <w:numPr>
          <w:ilvl w:val="1"/>
          <w:numId w:val="12"/>
        </w:numPr>
        <w:tabs>
          <w:tab w:pos="1761" w:val="left" w:leader="none"/>
          <w:tab w:pos="1762" w:val="left" w:leader="none"/>
        </w:tabs>
        <w:spacing w:line="206" w:lineRule="auto" w:before="125" w:after="0"/>
        <w:ind w:left="1761" w:right="1429" w:hanging="794"/>
        <w:jc w:val="left"/>
        <w:rPr>
          <w:sz w:val="20"/>
        </w:rPr>
      </w:pPr>
      <w:r>
        <w:rPr>
          <w:sz w:val="20"/>
        </w:rPr>
        <w:t>Juries</w:t>
      </w:r>
      <w:r>
        <w:rPr>
          <w:spacing w:val="-10"/>
          <w:sz w:val="20"/>
        </w:rPr>
        <w:t> </w:t>
      </w:r>
      <w:r>
        <w:rPr>
          <w:sz w:val="20"/>
        </w:rPr>
        <w:t>Victoria</w:t>
      </w:r>
      <w:r>
        <w:rPr>
          <w:spacing w:val="-10"/>
          <w:sz w:val="20"/>
        </w:rPr>
        <w:t> </w:t>
      </w:r>
      <w:r>
        <w:rPr>
          <w:sz w:val="20"/>
        </w:rPr>
        <w:t>noted</w:t>
      </w:r>
      <w:r>
        <w:rPr>
          <w:spacing w:val="-9"/>
          <w:sz w:val="20"/>
        </w:rPr>
        <w:t> </w:t>
      </w:r>
      <w:r>
        <w:rPr>
          <w:sz w:val="20"/>
        </w:rPr>
        <w:t>that</w:t>
      </w:r>
      <w:r>
        <w:rPr>
          <w:spacing w:val="-10"/>
          <w:sz w:val="20"/>
        </w:rPr>
        <w:t> </w:t>
      </w:r>
      <w:r>
        <w:rPr>
          <w:sz w:val="20"/>
        </w:rPr>
        <w:t>it</w:t>
      </w:r>
      <w:r>
        <w:rPr>
          <w:spacing w:val="-10"/>
          <w:sz w:val="20"/>
        </w:rPr>
        <w:t> </w:t>
      </w:r>
      <w:r>
        <w:rPr>
          <w:sz w:val="20"/>
        </w:rPr>
        <w:t>is</w:t>
      </w:r>
      <w:r>
        <w:rPr>
          <w:spacing w:val="-9"/>
          <w:sz w:val="20"/>
        </w:rPr>
        <w:t> </w:t>
      </w:r>
      <w:r>
        <w:rPr>
          <w:sz w:val="20"/>
        </w:rPr>
        <w:t>easier</w:t>
      </w:r>
      <w:r>
        <w:rPr>
          <w:spacing w:val="-10"/>
          <w:sz w:val="20"/>
        </w:rPr>
        <w:t> </w:t>
      </w:r>
      <w:r>
        <w:rPr>
          <w:sz w:val="20"/>
        </w:rPr>
        <w:t>to</w:t>
      </w:r>
      <w:r>
        <w:rPr>
          <w:spacing w:val="-9"/>
          <w:sz w:val="20"/>
        </w:rPr>
        <w:t> </w:t>
      </w:r>
      <w:r>
        <w:rPr>
          <w:spacing w:val="-3"/>
          <w:sz w:val="20"/>
        </w:rPr>
        <w:t>provide</w:t>
      </w:r>
      <w:r>
        <w:rPr>
          <w:spacing w:val="-10"/>
          <w:sz w:val="20"/>
        </w:rPr>
        <w:t> </w:t>
      </w:r>
      <w:r>
        <w:rPr>
          <w:sz w:val="20"/>
        </w:rPr>
        <w:t>adjustments</w:t>
      </w:r>
      <w:r>
        <w:rPr>
          <w:spacing w:val="-10"/>
          <w:sz w:val="20"/>
        </w:rPr>
        <w:t> </w:t>
      </w:r>
      <w:r>
        <w:rPr>
          <w:sz w:val="20"/>
        </w:rPr>
        <w:t>in</w:t>
      </w:r>
      <w:r>
        <w:rPr>
          <w:spacing w:val="-9"/>
          <w:sz w:val="20"/>
        </w:rPr>
        <w:t> </w:t>
      </w:r>
      <w:r>
        <w:rPr>
          <w:sz w:val="20"/>
        </w:rPr>
        <w:t>some</w:t>
      </w:r>
      <w:r>
        <w:rPr>
          <w:spacing w:val="-10"/>
          <w:sz w:val="20"/>
        </w:rPr>
        <w:t> </w:t>
      </w:r>
      <w:r>
        <w:rPr>
          <w:sz w:val="20"/>
        </w:rPr>
        <w:t>jury</w:t>
      </w:r>
      <w:r>
        <w:rPr>
          <w:spacing w:val="-9"/>
          <w:sz w:val="20"/>
        </w:rPr>
        <w:t> </w:t>
      </w:r>
      <w:r>
        <w:rPr>
          <w:sz w:val="20"/>
        </w:rPr>
        <w:t>districts</w:t>
      </w:r>
      <w:r>
        <w:rPr>
          <w:spacing w:val="-10"/>
          <w:sz w:val="20"/>
        </w:rPr>
        <w:t> </w:t>
      </w:r>
      <w:r>
        <w:rPr>
          <w:sz w:val="20"/>
        </w:rPr>
        <w:t>than others:</w:t>
      </w:r>
    </w:p>
    <w:p>
      <w:pPr>
        <w:spacing w:line="208" w:lineRule="auto" w:before="120"/>
        <w:ind w:left="2157" w:right="1387" w:firstLine="0"/>
        <w:jc w:val="left"/>
        <w:rPr>
          <w:sz w:val="19"/>
        </w:rPr>
      </w:pPr>
      <w:r>
        <w:rPr>
          <w:sz w:val="19"/>
        </w:rPr>
        <w:t>It is integral to the success of more inclusive juries that all supports that can be reasonably provided are offered to those who need them. However, what can be ‘reasonably’ provided will vary according to circumstances and facilities. There are 12 operational jury districts at the time of writing, with each presenting different</w:t>
      </w:r>
    </w:p>
    <w:p>
      <w:pPr>
        <w:spacing w:line="208" w:lineRule="auto" w:before="3"/>
        <w:ind w:left="2157" w:right="1119" w:firstLine="0"/>
        <w:jc w:val="left"/>
        <w:rPr>
          <w:sz w:val="11"/>
        </w:rPr>
      </w:pPr>
      <w:r>
        <w:rPr>
          <w:sz w:val="19"/>
        </w:rPr>
        <w:t>circumstances that may affect the provision of various supports. This inconsistency is unfortunate, and as any efforts to resolve it would sit outside JV’s area of responsibility, it is not our place to speculate on how these efforts may be undertaken.</w:t>
      </w:r>
      <w:r>
        <w:rPr>
          <w:position w:val="6"/>
          <w:sz w:val="11"/>
        </w:rPr>
        <w:t>55</w:t>
      </w:r>
    </w:p>
    <w:p>
      <w:pPr>
        <w:pStyle w:val="ListParagraph"/>
        <w:numPr>
          <w:ilvl w:val="1"/>
          <w:numId w:val="12"/>
        </w:numPr>
        <w:tabs>
          <w:tab w:pos="1761" w:val="left" w:leader="none"/>
          <w:tab w:pos="1762" w:val="left" w:leader="none"/>
        </w:tabs>
        <w:spacing w:line="206" w:lineRule="auto" w:before="123" w:after="0"/>
        <w:ind w:left="1761" w:right="1413" w:hanging="794"/>
        <w:jc w:val="left"/>
        <w:rPr>
          <w:sz w:val="20"/>
        </w:rPr>
      </w:pPr>
      <w:r>
        <w:rPr>
          <w:sz w:val="20"/>
        </w:rPr>
        <w:t>The factors outlined in the </w:t>
      </w:r>
      <w:r>
        <w:rPr>
          <w:spacing w:val="-4"/>
          <w:sz w:val="20"/>
        </w:rPr>
        <w:t>ACT </w:t>
      </w:r>
      <w:r>
        <w:rPr>
          <w:spacing w:val="-2"/>
          <w:sz w:val="20"/>
        </w:rPr>
        <w:t>Act </w:t>
      </w:r>
      <w:r>
        <w:rPr>
          <w:spacing w:val="-3"/>
          <w:sz w:val="20"/>
        </w:rPr>
        <w:t>are </w:t>
      </w:r>
      <w:r>
        <w:rPr>
          <w:sz w:val="20"/>
        </w:rPr>
        <w:t>sufficient to encompass the additional issues raised</w:t>
      </w:r>
      <w:r>
        <w:rPr>
          <w:spacing w:val="-10"/>
          <w:sz w:val="20"/>
        </w:rPr>
        <w:t> </w:t>
      </w:r>
      <w:r>
        <w:rPr>
          <w:spacing w:val="-3"/>
          <w:sz w:val="20"/>
        </w:rPr>
        <w:t>by</w:t>
      </w:r>
      <w:r>
        <w:rPr>
          <w:spacing w:val="-10"/>
          <w:sz w:val="20"/>
        </w:rPr>
        <w:t> </w:t>
      </w:r>
      <w:r>
        <w:rPr>
          <w:sz w:val="20"/>
        </w:rPr>
        <w:t>the</w:t>
      </w:r>
      <w:r>
        <w:rPr>
          <w:spacing w:val="-9"/>
          <w:sz w:val="20"/>
        </w:rPr>
        <w:t> </w:t>
      </w:r>
      <w:r>
        <w:rPr>
          <w:sz w:val="20"/>
        </w:rPr>
        <w:t>OPP</w:t>
      </w:r>
      <w:r>
        <w:rPr>
          <w:spacing w:val="-10"/>
          <w:sz w:val="20"/>
        </w:rPr>
        <w:t> </w:t>
      </w:r>
      <w:r>
        <w:rPr>
          <w:sz w:val="20"/>
        </w:rPr>
        <w:t>and</w:t>
      </w:r>
      <w:r>
        <w:rPr>
          <w:spacing w:val="-10"/>
          <w:sz w:val="20"/>
        </w:rPr>
        <w:t> </w:t>
      </w:r>
      <w:r>
        <w:rPr>
          <w:sz w:val="20"/>
        </w:rPr>
        <w:t>Juries</w:t>
      </w:r>
      <w:r>
        <w:rPr>
          <w:spacing w:val="-9"/>
          <w:sz w:val="20"/>
        </w:rPr>
        <w:t> </w:t>
      </w:r>
      <w:r>
        <w:rPr>
          <w:sz w:val="20"/>
        </w:rPr>
        <w:t>Victoria.</w:t>
      </w:r>
      <w:r>
        <w:rPr>
          <w:spacing w:val="-10"/>
          <w:sz w:val="20"/>
        </w:rPr>
        <w:t> </w:t>
      </w:r>
      <w:r>
        <w:rPr>
          <w:sz w:val="20"/>
        </w:rPr>
        <w:t>The</w:t>
      </w:r>
      <w:r>
        <w:rPr>
          <w:spacing w:val="-9"/>
          <w:sz w:val="20"/>
        </w:rPr>
        <w:t> </w:t>
      </w:r>
      <w:r>
        <w:rPr>
          <w:sz w:val="20"/>
        </w:rPr>
        <w:t>Commission</w:t>
      </w:r>
      <w:r>
        <w:rPr>
          <w:spacing w:val="-10"/>
          <w:sz w:val="20"/>
        </w:rPr>
        <w:t> </w:t>
      </w:r>
      <w:r>
        <w:rPr>
          <w:sz w:val="20"/>
        </w:rPr>
        <w:t>does</w:t>
      </w:r>
      <w:r>
        <w:rPr>
          <w:spacing w:val="-10"/>
          <w:sz w:val="20"/>
        </w:rPr>
        <w:t> </w:t>
      </w:r>
      <w:r>
        <w:rPr>
          <w:sz w:val="20"/>
        </w:rPr>
        <w:t>not</w:t>
      </w:r>
      <w:r>
        <w:rPr>
          <w:spacing w:val="-9"/>
          <w:sz w:val="20"/>
        </w:rPr>
        <w:t> </w:t>
      </w:r>
      <w:r>
        <w:rPr>
          <w:sz w:val="20"/>
        </w:rPr>
        <w:t>think</w:t>
      </w:r>
      <w:r>
        <w:rPr>
          <w:spacing w:val="-10"/>
          <w:sz w:val="20"/>
        </w:rPr>
        <w:t> </w:t>
      </w:r>
      <w:r>
        <w:rPr>
          <w:sz w:val="20"/>
        </w:rPr>
        <w:t>that</w:t>
      </w:r>
      <w:r>
        <w:rPr>
          <w:spacing w:val="-9"/>
          <w:sz w:val="20"/>
        </w:rPr>
        <w:t> </w:t>
      </w:r>
      <w:r>
        <w:rPr>
          <w:sz w:val="20"/>
        </w:rPr>
        <w:t>it</w:t>
      </w:r>
      <w:r>
        <w:rPr>
          <w:spacing w:val="-10"/>
          <w:sz w:val="20"/>
        </w:rPr>
        <w:t> </w:t>
      </w:r>
      <w:r>
        <w:rPr>
          <w:sz w:val="20"/>
        </w:rPr>
        <w:t>is</w:t>
      </w:r>
      <w:r>
        <w:rPr>
          <w:spacing w:val="-10"/>
          <w:sz w:val="20"/>
        </w:rPr>
        <w:t> </w:t>
      </w:r>
      <w:r>
        <w:rPr>
          <w:sz w:val="20"/>
        </w:rPr>
        <w:t>helpful to be </w:t>
      </w:r>
      <w:r>
        <w:rPr>
          <w:spacing w:val="-4"/>
          <w:sz w:val="20"/>
        </w:rPr>
        <w:t>overly </w:t>
      </w:r>
      <w:r>
        <w:rPr>
          <w:spacing w:val="-3"/>
          <w:sz w:val="20"/>
        </w:rPr>
        <w:t>prescriptive </w:t>
      </w:r>
      <w:r>
        <w:rPr>
          <w:sz w:val="20"/>
        </w:rPr>
        <w:t>regarding decision-making factors in the Act. Instead, the legislation</w:t>
      </w:r>
      <w:r>
        <w:rPr>
          <w:spacing w:val="-9"/>
          <w:sz w:val="20"/>
        </w:rPr>
        <w:t> </w:t>
      </w:r>
      <w:r>
        <w:rPr>
          <w:sz w:val="20"/>
        </w:rPr>
        <w:t>should</w:t>
      </w:r>
      <w:r>
        <w:rPr>
          <w:spacing w:val="-9"/>
          <w:sz w:val="20"/>
        </w:rPr>
        <w:t> </w:t>
      </w:r>
      <w:r>
        <w:rPr>
          <w:sz w:val="20"/>
        </w:rPr>
        <w:t>be</w:t>
      </w:r>
      <w:r>
        <w:rPr>
          <w:spacing w:val="-9"/>
          <w:sz w:val="20"/>
        </w:rPr>
        <w:t> </w:t>
      </w:r>
      <w:r>
        <w:rPr>
          <w:sz w:val="20"/>
        </w:rPr>
        <w:t>broad</w:t>
      </w:r>
      <w:r>
        <w:rPr>
          <w:spacing w:val="-9"/>
          <w:sz w:val="20"/>
        </w:rPr>
        <w:t> </w:t>
      </w:r>
      <w:r>
        <w:rPr>
          <w:sz w:val="20"/>
        </w:rPr>
        <w:t>enough</w:t>
      </w:r>
      <w:r>
        <w:rPr>
          <w:spacing w:val="-9"/>
          <w:sz w:val="20"/>
        </w:rPr>
        <w:t> </w:t>
      </w:r>
      <w:r>
        <w:rPr>
          <w:sz w:val="20"/>
        </w:rPr>
        <w:t>to</w:t>
      </w:r>
      <w:r>
        <w:rPr>
          <w:spacing w:val="-9"/>
          <w:sz w:val="20"/>
        </w:rPr>
        <w:t> </w:t>
      </w:r>
      <w:r>
        <w:rPr>
          <w:spacing w:val="-3"/>
          <w:sz w:val="20"/>
        </w:rPr>
        <w:t>allow</w:t>
      </w:r>
      <w:r>
        <w:rPr>
          <w:spacing w:val="-9"/>
          <w:sz w:val="20"/>
        </w:rPr>
        <w:t> </w:t>
      </w:r>
      <w:r>
        <w:rPr>
          <w:sz w:val="20"/>
        </w:rPr>
        <w:t>the</w:t>
      </w:r>
      <w:r>
        <w:rPr>
          <w:spacing w:val="-9"/>
          <w:sz w:val="20"/>
        </w:rPr>
        <w:t> </w:t>
      </w:r>
      <w:r>
        <w:rPr>
          <w:sz w:val="20"/>
        </w:rPr>
        <w:t>judge</w:t>
      </w:r>
      <w:r>
        <w:rPr>
          <w:spacing w:val="-9"/>
          <w:sz w:val="20"/>
        </w:rPr>
        <w:t> </w:t>
      </w:r>
      <w:r>
        <w:rPr>
          <w:sz w:val="20"/>
        </w:rPr>
        <w:t>to</w:t>
      </w:r>
      <w:r>
        <w:rPr>
          <w:spacing w:val="-9"/>
          <w:sz w:val="20"/>
        </w:rPr>
        <w:t> </w:t>
      </w:r>
      <w:r>
        <w:rPr>
          <w:spacing w:val="-3"/>
          <w:sz w:val="20"/>
        </w:rPr>
        <w:t>exercise</w:t>
      </w:r>
      <w:r>
        <w:rPr>
          <w:spacing w:val="-9"/>
          <w:sz w:val="20"/>
        </w:rPr>
        <w:t> </w:t>
      </w:r>
      <w:r>
        <w:rPr>
          <w:sz w:val="20"/>
        </w:rPr>
        <w:t>their</w:t>
      </w:r>
      <w:r>
        <w:rPr>
          <w:spacing w:val="-9"/>
          <w:sz w:val="20"/>
        </w:rPr>
        <w:t> </w:t>
      </w:r>
      <w:r>
        <w:rPr>
          <w:sz w:val="20"/>
        </w:rPr>
        <w:t>discretion,</w:t>
      </w:r>
    </w:p>
    <w:p>
      <w:pPr>
        <w:pStyle w:val="BodyText"/>
        <w:spacing w:line="206" w:lineRule="auto" w:before="6"/>
        <w:ind w:left="1761" w:right="537"/>
      </w:pPr>
      <w:r>
        <w:rPr/>
        <w:t>keeping in mind the </w:t>
      </w:r>
      <w:r>
        <w:rPr>
          <w:spacing w:val="-3"/>
        </w:rPr>
        <w:t>overarching </w:t>
      </w:r>
      <w:r>
        <w:rPr/>
        <w:t>purpose of the </w:t>
      </w:r>
      <w:r>
        <w:rPr>
          <w:spacing w:val="-2"/>
        </w:rPr>
        <w:t>Act </w:t>
      </w:r>
      <w:r>
        <w:rPr/>
        <w:t>to </w:t>
      </w:r>
      <w:r>
        <w:rPr>
          <w:spacing w:val="-4"/>
        </w:rPr>
        <w:t>improve </w:t>
      </w:r>
      <w:r>
        <w:rPr/>
        <w:t>the </w:t>
      </w:r>
      <w:r>
        <w:rPr>
          <w:spacing w:val="-3"/>
        </w:rPr>
        <w:t>representativeness </w:t>
      </w:r>
      <w:r>
        <w:rPr/>
        <w:t>of Victorian juries.</w:t>
      </w:r>
    </w:p>
    <w:p>
      <w:pPr>
        <w:pStyle w:val="ListParagraph"/>
        <w:numPr>
          <w:ilvl w:val="1"/>
          <w:numId w:val="12"/>
        </w:numPr>
        <w:tabs>
          <w:tab w:pos="1761" w:val="left" w:leader="none"/>
          <w:tab w:pos="1762" w:val="left" w:leader="none"/>
        </w:tabs>
        <w:spacing w:line="206" w:lineRule="auto" w:before="122" w:after="0"/>
        <w:ind w:left="1761" w:right="1248" w:hanging="794"/>
        <w:jc w:val="left"/>
        <w:rPr>
          <w:sz w:val="20"/>
        </w:rPr>
      </w:pPr>
      <w:r>
        <w:rPr>
          <w:spacing w:val="-6"/>
          <w:sz w:val="20"/>
        </w:rPr>
        <w:t>We</w:t>
      </w:r>
      <w:r>
        <w:rPr>
          <w:spacing w:val="-14"/>
          <w:sz w:val="20"/>
        </w:rPr>
        <w:t> </w:t>
      </w:r>
      <w:r>
        <w:rPr>
          <w:sz w:val="20"/>
        </w:rPr>
        <w:t>acknowledge</w:t>
      </w:r>
      <w:r>
        <w:rPr>
          <w:spacing w:val="-13"/>
          <w:sz w:val="20"/>
        </w:rPr>
        <w:t> </w:t>
      </w:r>
      <w:r>
        <w:rPr>
          <w:sz w:val="20"/>
        </w:rPr>
        <w:t>that</w:t>
      </w:r>
      <w:r>
        <w:rPr>
          <w:spacing w:val="-13"/>
          <w:sz w:val="20"/>
        </w:rPr>
        <w:t> </w:t>
      </w:r>
      <w:r>
        <w:rPr>
          <w:sz w:val="20"/>
        </w:rPr>
        <w:t>sometimes,</w:t>
      </w:r>
      <w:r>
        <w:rPr>
          <w:spacing w:val="-13"/>
          <w:sz w:val="20"/>
        </w:rPr>
        <w:t> </w:t>
      </w:r>
      <w:r>
        <w:rPr>
          <w:sz w:val="20"/>
        </w:rPr>
        <w:t>despite</w:t>
      </w:r>
      <w:r>
        <w:rPr>
          <w:spacing w:val="-13"/>
          <w:sz w:val="20"/>
        </w:rPr>
        <w:t> </w:t>
      </w:r>
      <w:r>
        <w:rPr>
          <w:sz w:val="20"/>
        </w:rPr>
        <w:t>best</w:t>
      </w:r>
      <w:r>
        <w:rPr>
          <w:spacing w:val="-13"/>
          <w:sz w:val="20"/>
        </w:rPr>
        <w:t> </w:t>
      </w:r>
      <w:r>
        <w:rPr>
          <w:sz w:val="20"/>
        </w:rPr>
        <w:t>efforts,</w:t>
      </w:r>
      <w:r>
        <w:rPr>
          <w:spacing w:val="-13"/>
          <w:sz w:val="20"/>
        </w:rPr>
        <w:t> </w:t>
      </w:r>
      <w:r>
        <w:rPr>
          <w:sz w:val="20"/>
        </w:rPr>
        <w:t>adjustments</w:t>
      </w:r>
      <w:r>
        <w:rPr>
          <w:spacing w:val="-13"/>
          <w:sz w:val="20"/>
        </w:rPr>
        <w:t> </w:t>
      </w:r>
      <w:r>
        <w:rPr>
          <w:spacing w:val="-3"/>
          <w:sz w:val="20"/>
        </w:rPr>
        <w:t>may</w:t>
      </w:r>
      <w:r>
        <w:rPr>
          <w:spacing w:val="-13"/>
          <w:sz w:val="20"/>
        </w:rPr>
        <w:t> </w:t>
      </w:r>
      <w:r>
        <w:rPr>
          <w:sz w:val="20"/>
        </w:rPr>
        <w:t>not</w:t>
      </w:r>
      <w:r>
        <w:rPr>
          <w:spacing w:val="-13"/>
          <w:sz w:val="20"/>
        </w:rPr>
        <w:t> </w:t>
      </w:r>
      <w:r>
        <w:rPr>
          <w:sz w:val="20"/>
        </w:rPr>
        <w:t>be</w:t>
      </w:r>
      <w:r>
        <w:rPr>
          <w:spacing w:val="-13"/>
          <w:sz w:val="20"/>
        </w:rPr>
        <w:t> </w:t>
      </w:r>
      <w:r>
        <w:rPr>
          <w:sz w:val="20"/>
        </w:rPr>
        <w:t>able</w:t>
      </w:r>
      <w:r>
        <w:rPr>
          <w:spacing w:val="-13"/>
          <w:sz w:val="20"/>
        </w:rPr>
        <w:t> </w:t>
      </w:r>
      <w:r>
        <w:rPr>
          <w:sz w:val="20"/>
        </w:rPr>
        <w:t>to be arranged in time, for </w:t>
      </w:r>
      <w:r>
        <w:rPr>
          <w:spacing w:val="-3"/>
          <w:sz w:val="20"/>
        </w:rPr>
        <w:t>example, </w:t>
      </w:r>
      <w:r>
        <w:rPr>
          <w:sz w:val="20"/>
        </w:rPr>
        <w:t>because of a shortage of Auslan </w:t>
      </w:r>
      <w:r>
        <w:rPr>
          <w:spacing w:val="-3"/>
          <w:sz w:val="20"/>
        </w:rPr>
        <w:t>interpreters. </w:t>
      </w:r>
      <w:r>
        <w:rPr>
          <w:sz w:val="20"/>
        </w:rPr>
        <w:t>It </w:t>
      </w:r>
      <w:r>
        <w:rPr>
          <w:spacing w:val="-3"/>
          <w:sz w:val="20"/>
        </w:rPr>
        <w:t>may </w:t>
      </w:r>
      <w:r>
        <w:rPr>
          <w:sz w:val="20"/>
        </w:rPr>
        <w:t>be more difficult to </w:t>
      </w:r>
      <w:r>
        <w:rPr>
          <w:spacing w:val="-3"/>
          <w:sz w:val="20"/>
        </w:rPr>
        <w:t>source </w:t>
      </w:r>
      <w:r>
        <w:rPr>
          <w:sz w:val="20"/>
        </w:rPr>
        <w:t>Auslan </w:t>
      </w:r>
      <w:r>
        <w:rPr>
          <w:spacing w:val="-3"/>
          <w:sz w:val="20"/>
        </w:rPr>
        <w:t>interpreters </w:t>
      </w:r>
      <w:r>
        <w:rPr>
          <w:sz w:val="20"/>
        </w:rPr>
        <w:t>in regional areas.</w:t>
      </w:r>
      <w:r>
        <w:rPr>
          <w:position w:val="7"/>
          <w:sz w:val="11"/>
        </w:rPr>
        <w:t>56 </w:t>
      </w:r>
      <w:r>
        <w:rPr>
          <w:sz w:val="20"/>
        </w:rPr>
        <w:t>As consultees </w:t>
      </w:r>
      <w:r>
        <w:rPr>
          <w:spacing w:val="-3"/>
          <w:sz w:val="20"/>
        </w:rPr>
        <w:t>from </w:t>
      </w:r>
      <w:r>
        <w:rPr>
          <w:sz w:val="20"/>
        </w:rPr>
        <w:t>the</w:t>
      </w:r>
      <w:r>
        <w:rPr>
          <w:spacing w:val="-13"/>
          <w:sz w:val="20"/>
        </w:rPr>
        <w:t> </w:t>
      </w:r>
      <w:r>
        <w:rPr>
          <w:sz w:val="20"/>
        </w:rPr>
        <w:t>Victorian</w:t>
      </w:r>
      <w:r>
        <w:rPr>
          <w:spacing w:val="-13"/>
          <w:sz w:val="20"/>
        </w:rPr>
        <w:t> </w:t>
      </w:r>
      <w:r>
        <w:rPr>
          <w:sz w:val="20"/>
        </w:rPr>
        <w:t>Criminal</w:t>
      </w:r>
      <w:r>
        <w:rPr>
          <w:spacing w:val="-12"/>
          <w:sz w:val="20"/>
        </w:rPr>
        <w:t> </w:t>
      </w:r>
      <w:r>
        <w:rPr>
          <w:sz w:val="20"/>
        </w:rPr>
        <w:t>Bar</w:t>
      </w:r>
      <w:r>
        <w:rPr>
          <w:spacing w:val="-13"/>
          <w:sz w:val="20"/>
        </w:rPr>
        <w:t> </w:t>
      </w:r>
      <w:r>
        <w:rPr>
          <w:sz w:val="20"/>
        </w:rPr>
        <w:t>Association</w:t>
      </w:r>
      <w:r>
        <w:rPr>
          <w:spacing w:val="-13"/>
          <w:sz w:val="20"/>
        </w:rPr>
        <w:t> </w:t>
      </w:r>
      <w:r>
        <w:rPr>
          <w:sz w:val="20"/>
        </w:rPr>
        <w:t>pointed</w:t>
      </w:r>
      <w:r>
        <w:rPr>
          <w:spacing w:val="-12"/>
          <w:sz w:val="20"/>
        </w:rPr>
        <w:t> </w:t>
      </w:r>
      <w:r>
        <w:rPr>
          <w:sz w:val="20"/>
        </w:rPr>
        <w:t>out,</w:t>
      </w:r>
      <w:r>
        <w:rPr>
          <w:spacing w:val="-13"/>
          <w:sz w:val="20"/>
        </w:rPr>
        <w:t> </w:t>
      </w:r>
      <w:r>
        <w:rPr>
          <w:sz w:val="20"/>
        </w:rPr>
        <w:t>timelines</w:t>
      </w:r>
      <w:r>
        <w:rPr>
          <w:spacing w:val="-13"/>
          <w:sz w:val="20"/>
        </w:rPr>
        <w:t> </w:t>
      </w:r>
      <w:r>
        <w:rPr>
          <w:sz w:val="20"/>
        </w:rPr>
        <w:t>might</w:t>
      </w:r>
      <w:r>
        <w:rPr>
          <w:spacing w:val="-12"/>
          <w:sz w:val="20"/>
        </w:rPr>
        <w:t> </w:t>
      </w:r>
      <w:r>
        <w:rPr>
          <w:sz w:val="20"/>
        </w:rPr>
        <w:t>be</w:t>
      </w:r>
      <w:r>
        <w:rPr>
          <w:spacing w:val="-13"/>
          <w:sz w:val="20"/>
        </w:rPr>
        <w:t> </w:t>
      </w:r>
      <w:r>
        <w:rPr>
          <w:sz w:val="20"/>
        </w:rPr>
        <w:t>less</w:t>
      </w:r>
      <w:r>
        <w:rPr>
          <w:spacing w:val="-13"/>
          <w:sz w:val="20"/>
        </w:rPr>
        <w:t> </w:t>
      </w:r>
      <w:r>
        <w:rPr>
          <w:sz w:val="20"/>
        </w:rPr>
        <w:t>predictable in regional areas, and shorter </w:t>
      </w:r>
      <w:r>
        <w:rPr>
          <w:spacing w:val="-3"/>
          <w:sz w:val="20"/>
        </w:rPr>
        <w:t>circuit </w:t>
      </w:r>
      <w:r>
        <w:rPr>
          <w:sz w:val="20"/>
        </w:rPr>
        <w:t>times might </w:t>
      </w:r>
      <w:r>
        <w:rPr>
          <w:spacing w:val="-3"/>
          <w:sz w:val="20"/>
        </w:rPr>
        <w:t>make </w:t>
      </w:r>
      <w:r>
        <w:rPr>
          <w:sz w:val="20"/>
        </w:rPr>
        <w:t>it more difficult to arrange adjustments</w:t>
      </w:r>
      <w:r>
        <w:rPr>
          <w:spacing w:val="-9"/>
          <w:sz w:val="20"/>
        </w:rPr>
        <w:t> </w:t>
      </w:r>
      <w:r>
        <w:rPr>
          <w:spacing w:val="-4"/>
          <w:sz w:val="20"/>
        </w:rPr>
        <w:t>quickly.</w:t>
      </w:r>
      <w:r>
        <w:rPr>
          <w:spacing w:val="-8"/>
          <w:sz w:val="20"/>
        </w:rPr>
        <w:t> </w:t>
      </w:r>
      <w:r>
        <w:rPr>
          <w:sz w:val="20"/>
        </w:rPr>
        <w:t>The</w:t>
      </w:r>
      <w:r>
        <w:rPr>
          <w:spacing w:val="-9"/>
          <w:sz w:val="20"/>
        </w:rPr>
        <w:t> </w:t>
      </w:r>
      <w:r>
        <w:rPr>
          <w:sz w:val="20"/>
        </w:rPr>
        <w:t>regional</w:t>
      </w:r>
      <w:r>
        <w:rPr>
          <w:spacing w:val="-8"/>
          <w:sz w:val="20"/>
        </w:rPr>
        <w:t> </w:t>
      </w:r>
      <w:r>
        <w:rPr>
          <w:sz w:val="20"/>
        </w:rPr>
        <w:t>courts</w:t>
      </w:r>
      <w:r>
        <w:rPr>
          <w:spacing w:val="-8"/>
          <w:sz w:val="20"/>
        </w:rPr>
        <w:t> </w:t>
      </w:r>
      <w:r>
        <w:rPr>
          <w:spacing w:val="-3"/>
          <w:sz w:val="20"/>
        </w:rPr>
        <w:t>are</w:t>
      </w:r>
      <w:r>
        <w:rPr>
          <w:spacing w:val="-9"/>
          <w:sz w:val="20"/>
        </w:rPr>
        <w:t> </w:t>
      </w:r>
      <w:r>
        <w:rPr>
          <w:sz w:val="20"/>
        </w:rPr>
        <w:t>very</w:t>
      </w:r>
      <w:r>
        <w:rPr>
          <w:spacing w:val="-8"/>
          <w:sz w:val="20"/>
        </w:rPr>
        <w:t> </w:t>
      </w:r>
      <w:r>
        <w:rPr>
          <w:sz w:val="20"/>
        </w:rPr>
        <w:t>different</w:t>
      </w:r>
      <w:r>
        <w:rPr>
          <w:spacing w:val="-8"/>
          <w:sz w:val="20"/>
        </w:rPr>
        <w:t> </w:t>
      </w:r>
      <w:r>
        <w:rPr>
          <w:sz w:val="20"/>
        </w:rPr>
        <w:t>in</w:t>
      </w:r>
      <w:r>
        <w:rPr>
          <w:spacing w:val="-9"/>
          <w:sz w:val="20"/>
        </w:rPr>
        <w:t> </w:t>
      </w:r>
      <w:r>
        <w:rPr>
          <w:sz w:val="20"/>
        </w:rPr>
        <w:t>terms</w:t>
      </w:r>
      <w:r>
        <w:rPr>
          <w:spacing w:val="-8"/>
          <w:sz w:val="20"/>
        </w:rPr>
        <w:t> </w:t>
      </w:r>
      <w:r>
        <w:rPr>
          <w:sz w:val="20"/>
        </w:rPr>
        <w:t>of</w:t>
      </w:r>
      <w:r>
        <w:rPr>
          <w:spacing w:val="-8"/>
          <w:sz w:val="20"/>
        </w:rPr>
        <w:t> </w:t>
      </w:r>
      <w:r>
        <w:rPr>
          <w:sz w:val="20"/>
        </w:rPr>
        <w:t>accessibility</w:t>
      </w:r>
    </w:p>
    <w:p>
      <w:pPr>
        <w:pStyle w:val="BodyText"/>
        <w:spacing w:line="206" w:lineRule="auto" w:before="8"/>
        <w:ind w:left="1761" w:right="1335"/>
        <w:rPr>
          <w:sz w:val="11"/>
        </w:rPr>
      </w:pPr>
      <w:r>
        <w:rPr/>
        <w:t>and case load, so the </w:t>
      </w:r>
      <w:r>
        <w:rPr>
          <w:spacing w:val="-3"/>
        </w:rPr>
        <w:t>provision </w:t>
      </w:r>
      <w:r>
        <w:rPr/>
        <w:t>of adjustments should be considered on a case-by- case basis.</w:t>
      </w:r>
      <w:r>
        <w:rPr>
          <w:position w:val="7"/>
          <w:sz w:val="11"/>
        </w:rPr>
        <w:t>57 </w:t>
      </w:r>
      <w:r>
        <w:rPr/>
        <w:t>These factors should be considered </w:t>
      </w:r>
      <w:r>
        <w:rPr>
          <w:spacing w:val="-3"/>
        </w:rPr>
        <w:t>by </w:t>
      </w:r>
      <w:r>
        <w:rPr/>
        <w:t>a judge and balanced with the </w:t>
      </w:r>
      <w:r>
        <w:rPr>
          <w:spacing w:val="-3"/>
        </w:rPr>
        <w:t>overarching </w:t>
      </w:r>
      <w:r>
        <w:rPr/>
        <w:t>need for </w:t>
      </w:r>
      <w:r>
        <w:rPr>
          <w:spacing w:val="-3"/>
        </w:rPr>
        <w:t>greater representativeness </w:t>
      </w:r>
      <w:r>
        <w:rPr/>
        <w:t>outlined in the purpose of the Act.</w:t>
      </w:r>
      <w:r>
        <w:rPr>
          <w:position w:val="7"/>
          <w:sz w:val="11"/>
        </w:rPr>
        <w:t>58</w:t>
      </w:r>
    </w:p>
    <w:p>
      <w:pPr>
        <w:pStyle w:val="Heading6"/>
        <w:spacing w:line="235" w:lineRule="auto" w:before="133"/>
        <w:ind w:right="1335"/>
        <w:rPr>
          <w:b/>
        </w:rPr>
      </w:pPr>
      <w:r>
        <w:rPr>
          <w:b/>
        </w:rPr>
        <w:t>A new ‘own motion’ power for the Juries Commissioner to defer jury service to arrange adjustments</w:t>
      </w:r>
    </w:p>
    <w:p>
      <w:pPr>
        <w:pStyle w:val="ListParagraph"/>
        <w:numPr>
          <w:ilvl w:val="1"/>
          <w:numId w:val="12"/>
        </w:numPr>
        <w:tabs>
          <w:tab w:pos="1761" w:val="left" w:leader="none"/>
          <w:tab w:pos="1762" w:val="left" w:leader="none"/>
        </w:tabs>
        <w:spacing w:line="206" w:lineRule="auto" w:before="134" w:after="0"/>
        <w:ind w:left="1761" w:right="1197" w:hanging="794"/>
        <w:jc w:val="left"/>
        <w:rPr>
          <w:sz w:val="11"/>
        </w:rPr>
      </w:pPr>
      <w:r>
        <w:rPr>
          <w:spacing w:val="-10"/>
          <w:sz w:val="20"/>
        </w:rPr>
        <w:t>To</w:t>
      </w:r>
      <w:r>
        <w:rPr>
          <w:spacing w:val="-12"/>
          <w:sz w:val="20"/>
        </w:rPr>
        <w:t> </w:t>
      </w:r>
      <w:r>
        <w:rPr>
          <w:sz w:val="20"/>
        </w:rPr>
        <w:t>assist</w:t>
      </w:r>
      <w:r>
        <w:rPr>
          <w:spacing w:val="-11"/>
          <w:sz w:val="20"/>
        </w:rPr>
        <w:t> </w:t>
      </w:r>
      <w:r>
        <w:rPr>
          <w:sz w:val="20"/>
        </w:rPr>
        <w:t>Juries</w:t>
      </w:r>
      <w:r>
        <w:rPr>
          <w:spacing w:val="-11"/>
          <w:sz w:val="20"/>
        </w:rPr>
        <w:t> </w:t>
      </w:r>
      <w:r>
        <w:rPr>
          <w:sz w:val="20"/>
        </w:rPr>
        <w:t>Victoria</w:t>
      </w:r>
      <w:r>
        <w:rPr>
          <w:spacing w:val="-12"/>
          <w:sz w:val="20"/>
        </w:rPr>
        <w:t> </w:t>
      </w:r>
      <w:r>
        <w:rPr>
          <w:sz w:val="20"/>
        </w:rPr>
        <w:t>to</w:t>
      </w:r>
      <w:r>
        <w:rPr>
          <w:spacing w:val="-11"/>
          <w:sz w:val="20"/>
        </w:rPr>
        <w:t> </w:t>
      </w:r>
      <w:r>
        <w:rPr>
          <w:sz w:val="20"/>
        </w:rPr>
        <w:t>respond</w:t>
      </w:r>
      <w:r>
        <w:rPr>
          <w:spacing w:val="-11"/>
          <w:sz w:val="20"/>
        </w:rPr>
        <w:t> </w:t>
      </w:r>
      <w:r>
        <w:rPr>
          <w:sz w:val="20"/>
        </w:rPr>
        <w:t>to</w:t>
      </w:r>
      <w:r>
        <w:rPr>
          <w:spacing w:val="-11"/>
          <w:sz w:val="20"/>
        </w:rPr>
        <w:t> </w:t>
      </w:r>
      <w:r>
        <w:rPr>
          <w:sz w:val="20"/>
        </w:rPr>
        <w:t>the</w:t>
      </w:r>
      <w:r>
        <w:rPr>
          <w:spacing w:val="-12"/>
          <w:sz w:val="20"/>
        </w:rPr>
        <w:t> </w:t>
      </w:r>
      <w:r>
        <w:rPr>
          <w:sz w:val="20"/>
        </w:rPr>
        <w:t>practical</w:t>
      </w:r>
      <w:r>
        <w:rPr>
          <w:spacing w:val="-11"/>
          <w:sz w:val="20"/>
        </w:rPr>
        <w:t> </w:t>
      </w:r>
      <w:r>
        <w:rPr>
          <w:sz w:val="20"/>
        </w:rPr>
        <w:t>challenges</w:t>
      </w:r>
      <w:r>
        <w:rPr>
          <w:spacing w:val="-11"/>
          <w:sz w:val="20"/>
        </w:rPr>
        <w:t> </w:t>
      </w:r>
      <w:r>
        <w:rPr>
          <w:sz w:val="20"/>
        </w:rPr>
        <w:t>of</w:t>
      </w:r>
      <w:r>
        <w:rPr>
          <w:spacing w:val="-11"/>
          <w:sz w:val="20"/>
        </w:rPr>
        <w:t> </w:t>
      </w:r>
      <w:r>
        <w:rPr>
          <w:spacing w:val="-3"/>
          <w:sz w:val="20"/>
        </w:rPr>
        <w:t>providing</w:t>
      </w:r>
      <w:r>
        <w:rPr>
          <w:spacing w:val="-12"/>
          <w:sz w:val="20"/>
        </w:rPr>
        <w:t> </w:t>
      </w:r>
      <w:r>
        <w:rPr>
          <w:sz w:val="20"/>
        </w:rPr>
        <w:t>adjustments, the Commission recommends that the Juries Commissioner is given a new </w:t>
      </w:r>
      <w:r>
        <w:rPr>
          <w:spacing w:val="-4"/>
          <w:sz w:val="20"/>
        </w:rPr>
        <w:t>‘own </w:t>
      </w:r>
      <w:r>
        <w:rPr>
          <w:sz w:val="20"/>
        </w:rPr>
        <w:t>motion’</w:t>
      </w:r>
      <w:r>
        <w:rPr>
          <w:spacing w:val="-12"/>
          <w:sz w:val="20"/>
        </w:rPr>
        <w:t> </w:t>
      </w:r>
      <w:r>
        <w:rPr>
          <w:spacing w:val="-3"/>
          <w:sz w:val="20"/>
        </w:rPr>
        <w:t>power</w:t>
      </w:r>
      <w:r>
        <w:rPr>
          <w:spacing w:val="-11"/>
          <w:sz w:val="20"/>
        </w:rPr>
        <w:t> </w:t>
      </w:r>
      <w:r>
        <w:rPr>
          <w:sz w:val="20"/>
        </w:rPr>
        <w:t>to</w:t>
      </w:r>
      <w:r>
        <w:rPr>
          <w:spacing w:val="-11"/>
          <w:sz w:val="20"/>
        </w:rPr>
        <w:t> </w:t>
      </w:r>
      <w:r>
        <w:rPr>
          <w:sz w:val="20"/>
        </w:rPr>
        <w:t>defer</w:t>
      </w:r>
      <w:r>
        <w:rPr>
          <w:spacing w:val="-12"/>
          <w:sz w:val="20"/>
        </w:rPr>
        <w:t> </w:t>
      </w:r>
      <w:r>
        <w:rPr>
          <w:sz w:val="20"/>
        </w:rPr>
        <w:t>a</w:t>
      </w:r>
      <w:r>
        <w:rPr>
          <w:spacing w:val="-11"/>
          <w:sz w:val="20"/>
        </w:rPr>
        <w:t> </w:t>
      </w:r>
      <w:r>
        <w:rPr>
          <w:sz w:val="20"/>
        </w:rPr>
        <w:t>person’s</w:t>
      </w:r>
      <w:r>
        <w:rPr>
          <w:spacing w:val="-11"/>
          <w:sz w:val="20"/>
        </w:rPr>
        <w:t> </w:t>
      </w:r>
      <w:r>
        <w:rPr>
          <w:sz w:val="20"/>
        </w:rPr>
        <w:t>service</w:t>
      </w:r>
      <w:r>
        <w:rPr>
          <w:spacing w:val="-12"/>
          <w:sz w:val="20"/>
        </w:rPr>
        <w:t> </w:t>
      </w:r>
      <w:r>
        <w:rPr>
          <w:sz w:val="20"/>
        </w:rPr>
        <w:t>so</w:t>
      </w:r>
      <w:r>
        <w:rPr>
          <w:spacing w:val="-11"/>
          <w:sz w:val="20"/>
        </w:rPr>
        <w:t> </w:t>
      </w:r>
      <w:r>
        <w:rPr>
          <w:sz w:val="20"/>
        </w:rPr>
        <w:t>that</w:t>
      </w:r>
      <w:r>
        <w:rPr>
          <w:spacing w:val="-11"/>
          <w:sz w:val="20"/>
        </w:rPr>
        <w:t> </w:t>
      </w:r>
      <w:r>
        <w:rPr>
          <w:sz w:val="20"/>
        </w:rPr>
        <w:t>Juries</w:t>
      </w:r>
      <w:r>
        <w:rPr>
          <w:spacing w:val="-11"/>
          <w:sz w:val="20"/>
        </w:rPr>
        <w:t> </w:t>
      </w:r>
      <w:r>
        <w:rPr>
          <w:sz w:val="20"/>
        </w:rPr>
        <w:t>Victoria</w:t>
      </w:r>
      <w:r>
        <w:rPr>
          <w:spacing w:val="-12"/>
          <w:sz w:val="20"/>
        </w:rPr>
        <w:t> </w:t>
      </w:r>
      <w:r>
        <w:rPr>
          <w:sz w:val="20"/>
        </w:rPr>
        <w:t>can</w:t>
      </w:r>
      <w:r>
        <w:rPr>
          <w:spacing w:val="-11"/>
          <w:sz w:val="20"/>
        </w:rPr>
        <w:t> </w:t>
      </w:r>
      <w:r>
        <w:rPr>
          <w:sz w:val="20"/>
        </w:rPr>
        <w:t>arrange</w:t>
      </w:r>
      <w:r>
        <w:rPr>
          <w:spacing w:val="-11"/>
          <w:sz w:val="20"/>
        </w:rPr>
        <w:t> </w:t>
      </w:r>
      <w:r>
        <w:rPr>
          <w:sz w:val="20"/>
        </w:rPr>
        <w:t>reasonable adjustments.</w:t>
      </w:r>
      <w:r>
        <w:rPr>
          <w:position w:val="7"/>
          <w:sz w:val="11"/>
        </w:rPr>
        <w:t>59 </w:t>
      </w:r>
      <w:r>
        <w:rPr>
          <w:sz w:val="20"/>
        </w:rPr>
        <w:t>This </w:t>
      </w:r>
      <w:r>
        <w:rPr>
          <w:spacing w:val="-3"/>
          <w:sz w:val="20"/>
        </w:rPr>
        <w:t>power </w:t>
      </w:r>
      <w:r>
        <w:rPr>
          <w:sz w:val="20"/>
        </w:rPr>
        <w:t>should be used </w:t>
      </w:r>
      <w:r>
        <w:rPr>
          <w:spacing w:val="-3"/>
          <w:sz w:val="20"/>
        </w:rPr>
        <w:t>sparingly. </w:t>
      </w:r>
      <w:r>
        <w:rPr>
          <w:spacing w:val="-6"/>
          <w:sz w:val="20"/>
        </w:rPr>
        <w:t>We </w:t>
      </w:r>
      <w:r>
        <w:rPr>
          <w:sz w:val="20"/>
        </w:rPr>
        <w:t>understand that Juries Victoria is</w:t>
      </w:r>
      <w:r>
        <w:rPr>
          <w:spacing w:val="-9"/>
          <w:sz w:val="20"/>
        </w:rPr>
        <w:t> </w:t>
      </w:r>
      <w:r>
        <w:rPr>
          <w:spacing w:val="-3"/>
          <w:sz w:val="20"/>
        </w:rPr>
        <w:t>flexible</w:t>
      </w:r>
      <w:r>
        <w:rPr>
          <w:spacing w:val="-9"/>
          <w:sz w:val="20"/>
        </w:rPr>
        <w:t> </w:t>
      </w:r>
      <w:r>
        <w:rPr>
          <w:sz w:val="20"/>
        </w:rPr>
        <w:t>in</w:t>
      </w:r>
      <w:r>
        <w:rPr>
          <w:spacing w:val="-9"/>
          <w:sz w:val="20"/>
        </w:rPr>
        <w:t> </w:t>
      </w:r>
      <w:r>
        <w:rPr>
          <w:sz w:val="20"/>
        </w:rPr>
        <w:t>relation</w:t>
      </w:r>
      <w:r>
        <w:rPr>
          <w:spacing w:val="-8"/>
          <w:sz w:val="20"/>
        </w:rPr>
        <w:t> </w:t>
      </w:r>
      <w:r>
        <w:rPr>
          <w:sz w:val="20"/>
        </w:rPr>
        <w:t>to</w:t>
      </w:r>
      <w:r>
        <w:rPr>
          <w:spacing w:val="-9"/>
          <w:sz w:val="20"/>
        </w:rPr>
        <w:t> </w:t>
      </w:r>
      <w:r>
        <w:rPr>
          <w:sz w:val="20"/>
        </w:rPr>
        <w:t>deferrals</w:t>
      </w:r>
      <w:r>
        <w:rPr>
          <w:spacing w:val="-9"/>
          <w:sz w:val="20"/>
        </w:rPr>
        <w:t> </w:t>
      </w:r>
      <w:r>
        <w:rPr>
          <w:sz w:val="20"/>
        </w:rPr>
        <w:t>and</w:t>
      </w:r>
      <w:r>
        <w:rPr>
          <w:spacing w:val="-9"/>
          <w:sz w:val="20"/>
        </w:rPr>
        <w:t> </w:t>
      </w:r>
      <w:r>
        <w:rPr>
          <w:spacing w:val="-3"/>
          <w:sz w:val="20"/>
        </w:rPr>
        <w:t>currently</w:t>
      </w:r>
      <w:r>
        <w:rPr>
          <w:spacing w:val="-8"/>
          <w:sz w:val="20"/>
        </w:rPr>
        <w:t> </w:t>
      </w:r>
      <w:r>
        <w:rPr>
          <w:sz w:val="20"/>
        </w:rPr>
        <w:t>defers</w:t>
      </w:r>
      <w:r>
        <w:rPr>
          <w:spacing w:val="-9"/>
          <w:sz w:val="20"/>
        </w:rPr>
        <w:t> </w:t>
      </w:r>
      <w:r>
        <w:rPr>
          <w:sz w:val="20"/>
        </w:rPr>
        <w:t>service</w:t>
      </w:r>
      <w:r>
        <w:rPr>
          <w:spacing w:val="-9"/>
          <w:sz w:val="20"/>
        </w:rPr>
        <w:t> </w:t>
      </w:r>
      <w:r>
        <w:rPr>
          <w:sz w:val="20"/>
        </w:rPr>
        <w:t>for</w:t>
      </w:r>
      <w:r>
        <w:rPr>
          <w:spacing w:val="-9"/>
          <w:sz w:val="20"/>
        </w:rPr>
        <w:t> </w:t>
      </w:r>
      <w:r>
        <w:rPr>
          <w:sz w:val="20"/>
        </w:rPr>
        <w:t>up</w:t>
      </w:r>
      <w:r>
        <w:rPr>
          <w:spacing w:val="-8"/>
          <w:sz w:val="20"/>
        </w:rPr>
        <w:t> </w:t>
      </w:r>
      <w:r>
        <w:rPr>
          <w:sz w:val="20"/>
        </w:rPr>
        <w:t>to</w:t>
      </w:r>
      <w:r>
        <w:rPr>
          <w:spacing w:val="-9"/>
          <w:sz w:val="20"/>
        </w:rPr>
        <w:t> </w:t>
      </w:r>
      <w:r>
        <w:rPr>
          <w:sz w:val="20"/>
        </w:rPr>
        <w:t>three</w:t>
      </w:r>
      <w:r>
        <w:rPr>
          <w:spacing w:val="-9"/>
          <w:sz w:val="20"/>
        </w:rPr>
        <w:t> </w:t>
      </w:r>
      <w:r>
        <w:rPr>
          <w:sz w:val="20"/>
        </w:rPr>
        <w:t>months</w:t>
      </w:r>
      <w:r>
        <w:rPr>
          <w:spacing w:val="-9"/>
          <w:sz w:val="20"/>
        </w:rPr>
        <w:t> </w:t>
      </w:r>
      <w:r>
        <w:rPr>
          <w:sz w:val="20"/>
        </w:rPr>
        <w:t>but generally </w:t>
      </w:r>
      <w:r>
        <w:rPr>
          <w:spacing w:val="-3"/>
          <w:sz w:val="20"/>
        </w:rPr>
        <w:t>only </w:t>
      </w:r>
      <w:r>
        <w:rPr>
          <w:sz w:val="20"/>
        </w:rPr>
        <w:t>once, for a particular</w:t>
      </w:r>
      <w:r>
        <w:rPr>
          <w:spacing w:val="-24"/>
          <w:sz w:val="20"/>
        </w:rPr>
        <w:t> </w:t>
      </w:r>
      <w:r>
        <w:rPr>
          <w:sz w:val="20"/>
        </w:rPr>
        <w:t>reason.</w:t>
      </w:r>
      <w:r>
        <w:rPr>
          <w:position w:val="7"/>
          <w:sz w:val="11"/>
        </w:rPr>
        <w:t>60</w:t>
      </w:r>
    </w:p>
    <w:p>
      <w:pPr>
        <w:pStyle w:val="BodyText"/>
      </w:pPr>
    </w:p>
    <w:p>
      <w:pPr>
        <w:pStyle w:val="BodyText"/>
      </w:pPr>
    </w:p>
    <w:p>
      <w:pPr>
        <w:pStyle w:val="BodyText"/>
        <w:spacing w:before="11"/>
        <w:rPr>
          <w:sz w:val="12"/>
        </w:rPr>
      </w:pPr>
      <w:r>
        <w:rPr/>
        <w:pict>
          <v:line style="position:absolute;mso-position-horizontal-relative:page;mso-position-vertical-relative:paragraph;z-index:6968;mso-wrap-distance-left:0;mso-wrap-distance-right:0" from="79.370003pt,11.35714pt" to="521.575003pt,11.35714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82"/>
        </w:numPr>
        <w:tabs>
          <w:tab w:pos="1761" w:val="left" w:leader="none"/>
          <w:tab w:pos="1762" w:val="left" w:leader="none"/>
        </w:tabs>
        <w:spacing w:line="170" w:lineRule="exact" w:before="21" w:after="0"/>
        <w:ind w:left="1761" w:right="0" w:hanging="794"/>
        <w:jc w:val="left"/>
        <w:rPr>
          <w:sz w:val="13"/>
        </w:rPr>
      </w:pPr>
      <w:r>
        <w:rPr>
          <w:sz w:val="13"/>
        </w:rPr>
        <w:t>Consultation 16 (Office of </w:t>
      </w:r>
      <w:r>
        <w:rPr>
          <w:spacing w:val="2"/>
          <w:sz w:val="13"/>
        </w:rPr>
        <w:t>Public </w:t>
      </w:r>
      <w:r>
        <w:rPr>
          <w:sz w:val="13"/>
        </w:rPr>
        <w:t>Prosecutions</w:t>
      </w:r>
      <w:r>
        <w:rPr>
          <w:spacing w:val="-1"/>
          <w:sz w:val="13"/>
        </w:rPr>
        <w:t> </w:t>
      </w:r>
      <w:r>
        <w:rPr>
          <w:sz w:val="13"/>
        </w:rPr>
        <w:t>Victoria).</w:t>
      </w:r>
    </w:p>
    <w:p>
      <w:pPr>
        <w:pStyle w:val="ListParagraph"/>
        <w:numPr>
          <w:ilvl w:val="0"/>
          <w:numId w:val="82"/>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z w:val="13"/>
        </w:rPr>
        <w:t>13 </w:t>
      </w:r>
      <w:r>
        <w:rPr>
          <w:spacing w:val="2"/>
          <w:sz w:val="13"/>
        </w:rPr>
        <w:t>(Juries</w:t>
      </w:r>
      <w:r>
        <w:rPr>
          <w:spacing w:val="-2"/>
          <w:sz w:val="13"/>
        </w:rPr>
        <w:t> </w:t>
      </w:r>
      <w:r>
        <w:rPr>
          <w:sz w:val="13"/>
        </w:rPr>
        <w:t>Victoria).</w:t>
      </w:r>
    </w:p>
    <w:p>
      <w:pPr>
        <w:pStyle w:val="ListParagraph"/>
        <w:numPr>
          <w:ilvl w:val="0"/>
          <w:numId w:val="82"/>
        </w:numPr>
        <w:tabs>
          <w:tab w:pos="1761" w:val="left" w:leader="none"/>
          <w:tab w:pos="1762" w:val="left" w:leader="none"/>
        </w:tabs>
        <w:spacing w:line="160" w:lineRule="exact" w:before="0" w:after="0"/>
        <w:ind w:left="1761" w:right="0" w:hanging="794"/>
        <w:jc w:val="left"/>
        <w:rPr>
          <w:sz w:val="13"/>
        </w:rPr>
      </w:pPr>
      <w:r>
        <w:rPr>
          <w:sz w:val="13"/>
        </w:rPr>
        <w:t>This</w:t>
      </w:r>
      <w:r>
        <w:rPr>
          <w:spacing w:val="4"/>
          <w:sz w:val="13"/>
        </w:rPr>
        <w:t> </w:t>
      </w:r>
      <w:r>
        <w:rPr>
          <w:sz w:val="13"/>
        </w:rPr>
        <w:t>was</w:t>
      </w:r>
      <w:r>
        <w:rPr>
          <w:spacing w:val="4"/>
          <w:sz w:val="13"/>
        </w:rPr>
        <w:t> </w:t>
      </w:r>
      <w:r>
        <w:rPr>
          <w:sz w:val="13"/>
        </w:rPr>
        <w:t>suggested</w:t>
      </w:r>
      <w:r>
        <w:rPr>
          <w:spacing w:val="4"/>
          <w:sz w:val="13"/>
        </w:rPr>
        <w:t> </w:t>
      </w:r>
      <w:r>
        <w:rPr>
          <w:sz w:val="13"/>
        </w:rPr>
        <w:t>in</w:t>
      </w:r>
      <w:r>
        <w:rPr>
          <w:spacing w:val="4"/>
          <w:sz w:val="13"/>
        </w:rPr>
        <w:t> </w:t>
      </w:r>
      <w:r>
        <w:rPr>
          <w:sz w:val="13"/>
        </w:rPr>
        <w:t>Consultation</w:t>
      </w:r>
      <w:r>
        <w:rPr>
          <w:spacing w:val="4"/>
          <w:sz w:val="13"/>
        </w:rPr>
        <w:t> </w:t>
      </w:r>
      <w:r>
        <w:rPr>
          <w:sz w:val="13"/>
        </w:rPr>
        <w:t>11</w:t>
      </w:r>
      <w:r>
        <w:rPr>
          <w:spacing w:val="5"/>
          <w:sz w:val="13"/>
        </w:rPr>
        <w:t> </w:t>
      </w:r>
      <w:r>
        <w:rPr>
          <w:sz w:val="13"/>
        </w:rPr>
        <w:t>(Consultation</w:t>
      </w:r>
      <w:r>
        <w:rPr>
          <w:spacing w:val="4"/>
          <w:sz w:val="13"/>
        </w:rPr>
        <w:t> </w:t>
      </w:r>
      <w:r>
        <w:rPr>
          <w:sz w:val="13"/>
        </w:rPr>
        <w:t>with</w:t>
      </w:r>
      <w:r>
        <w:rPr>
          <w:spacing w:val="4"/>
          <w:sz w:val="13"/>
        </w:rPr>
        <w:t> </w:t>
      </w:r>
      <w:r>
        <w:rPr>
          <w:sz w:val="13"/>
        </w:rPr>
        <w:t>a</w:t>
      </w:r>
      <w:r>
        <w:rPr>
          <w:spacing w:val="4"/>
          <w:sz w:val="13"/>
        </w:rPr>
        <w:t> </w:t>
      </w:r>
      <w:r>
        <w:rPr>
          <w:sz w:val="13"/>
        </w:rPr>
        <w:t>Judge,</w:t>
      </w:r>
      <w:r>
        <w:rPr>
          <w:spacing w:val="4"/>
          <w:sz w:val="13"/>
        </w:rPr>
        <w:t> </w:t>
      </w:r>
      <w:r>
        <w:rPr>
          <w:sz w:val="13"/>
        </w:rPr>
        <w:t>a</w:t>
      </w:r>
      <w:r>
        <w:rPr>
          <w:spacing w:val="5"/>
          <w:sz w:val="13"/>
        </w:rPr>
        <w:t> </w:t>
      </w:r>
      <w:r>
        <w:rPr>
          <w:sz w:val="13"/>
        </w:rPr>
        <w:t>Tipstaff</w:t>
      </w:r>
      <w:r>
        <w:rPr>
          <w:spacing w:val="4"/>
          <w:sz w:val="13"/>
        </w:rPr>
        <w:t> </w:t>
      </w:r>
      <w:r>
        <w:rPr>
          <w:sz w:val="13"/>
        </w:rPr>
        <w:t>and</w:t>
      </w:r>
      <w:r>
        <w:rPr>
          <w:spacing w:val="4"/>
          <w:sz w:val="13"/>
        </w:rPr>
        <w:t> </w:t>
      </w:r>
      <w:r>
        <w:rPr>
          <w:spacing w:val="2"/>
          <w:sz w:val="13"/>
        </w:rPr>
        <w:t>Court</w:t>
      </w:r>
      <w:r>
        <w:rPr>
          <w:spacing w:val="4"/>
          <w:sz w:val="13"/>
        </w:rPr>
        <w:t> </w:t>
      </w:r>
      <w:r>
        <w:rPr>
          <w:spacing w:val="2"/>
          <w:sz w:val="13"/>
        </w:rPr>
        <w:t>policy</w:t>
      </w:r>
      <w:r>
        <w:rPr>
          <w:spacing w:val="4"/>
          <w:sz w:val="13"/>
        </w:rPr>
        <w:t> </w:t>
      </w:r>
      <w:r>
        <w:rPr>
          <w:sz w:val="13"/>
        </w:rPr>
        <w:t>staff,</w:t>
      </w:r>
      <w:r>
        <w:rPr>
          <w:spacing w:val="4"/>
          <w:sz w:val="13"/>
        </w:rPr>
        <w:t> </w:t>
      </w:r>
      <w:r>
        <w:rPr>
          <w:sz w:val="13"/>
        </w:rPr>
        <w:t>Victorian</w:t>
      </w:r>
      <w:r>
        <w:rPr>
          <w:spacing w:val="5"/>
          <w:sz w:val="13"/>
        </w:rPr>
        <w:t> </w:t>
      </w:r>
      <w:r>
        <w:rPr>
          <w:sz w:val="13"/>
        </w:rPr>
        <w:t>Supreme</w:t>
      </w:r>
      <w:r>
        <w:rPr>
          <w:spacing w:val="4"/>
          <w:sz w:val="13"/>
        </w:rPr>
        <w:t> </w:t>
      </w:r>
      <w:r>
        <w:rPr>
          <w:spacing w:val="2"/>
          <w:sz w:val="13"/>
        </w:rPr>
        <w:t>Court).</w:t>
      </w:r>
    </w:p>
    <w:p>
      <w:pPr>
        <w:pStyle w:val="ListParagraph"/>
        <w:numPr>
          <w:ilvl w:val="0"/>
          <w:numId w:val="82"/>
        </w:numPr>
        <w:tabs>
          <w:tab w:pos="1760" w:val="left" w:leader="none"/>
          <w:tab w:pos="1762" w:val="left" w:leader="none"/>
        </w:tabs>
        <w:spacing w:line="160" w:lineRule="exact" w:before="0" w:after="0"/>
        <w:ind w:left="1761" w:right="0" w:hanging="794"/>
        <w:jc w:val="left"/>
        <w:rPr>
          <w:sz w:val="13"/>
        </w:rPr>
      </w:pPr>
      <w:r>
        <w:rPr>
          <w:sz w:val="13"/>
        </w:rPr>
        <w:t>Consultation 4 </w:t>
      </w:r>
      <w:r>
        <w:rPr>
          <w:spacing w:val="2"/>
          <w:sz w:val="13"/>
        </w:rPr>
        <w:t>(Victorian </w:t>
      </w:r>
      <w:r>
        <w:rPr>
          <w:sz w:val="13"/>
        </w:rPr>
        <w:t>Criminal Bar Association).</w:t>
      </w:r>
    </w:p>
    <w:p>
      <w:pPr>
        <w:pStyle w:val="ListParagraph"/>
        <w:numPr>
          <w:ilvl w:val="0"/>
          <w:numId w:val="82"/>
        </w:numPr>
        <w:tabs>
          <w:tab w:pos="1761" w:val="left" w:leader="none"/>
          <w:tab w:pos="1762" w:val="left" w:leader="none"/>
        </w:tabs>
        <w:spacing w:line="160" w:lineRule="exact" w:before="0" w:after="0"/>
        <w:ind w:left="1761" w:right="0" w:hanging="794"/>
        <w:jc w:val="left"/>
        <w:rPr>
          <w:sz w:val="13"/>
        </w:rPr>
      </w:pPr>
      <w:r>
        <w:rPr>
          <w:i/>
          <w:sz w:val="13"/>
        </w:rPr>
        <w:t>Juries Act 2000 </w:t>
      </w:r>
      <w:r>
        <w:rPr>
          <w:spacing w:val="2"/>
          <w:sz w:val="13"/>
        </w:rPr>
        <w:t>(Vic) </w:t>
      </w:r>
      <w:r>
        <w:rPr>
          <w:sz w:val="13"/>
        </w:rPr>
        <w:t>s</w:t>
      </w:r>
      <w:r>
        <w:rPr>
          <w:spacing w:val="-2"/>
          <w:sz w:val="13"/>
        </w:rPr>
        <w:t> </w:t>
      </w:r>
      <w:r>
        <w:rPr>
          <w:sz w:val="13"/>
        </w:rPr>
        <w:t>1(b).</w:t>
      </w:r>
    </w:p>
    <w:p>
      <w:pPr>
        <w:pStyle w:val="ListParagraph"/>
        <w:numPr>
          <w:ilvl w:val="0"/>
          <w:numId w:val="82"/>
        </w:numPr>
        <w:tabs>
          <w:tab w:pos="1761" w:val="left" w:leader="none"/>
          <w:tab w:pos="1762" w:val="left" w:leader="none"/>
        </w:tabs>
        <w:spacing w:line="213" w:lineRule="auto" w:before="7" w:after="0"/>
        <w:ind w:left="1761" w:right="0" w:hanging="794"/>
        <w:jc w:val="left"/>
        <w:rPr>
          <w:sz w:val="13"/>
        </w:rPr>
      </w:pPr>
      <w:r>
        <w:rPr>
          <w:sz w:val="13"/>
        </w:rPr>
        <w:t>In relation to </w:t>
      </w:r>
      <w:r>
        <w:rPr>
          <w:spacing w:val="2"/>
          <w:sz w:val="13"/>
        </w:rPr>
        <w:t>assistance animals, </w:t>
      </w:r>
      <w:r>
        <w:rPr>
          <w:sz w:val="13"/>
        </w:rPr>
        <w:t>the County </w:t>
      </w:r>
      <w:r>
        <w:rPr>
          <w:spacing w:val="2"/>
          <w:sz w:val="13"/>
        </w:rPr>
        <w:t>Court </w:t>
      </w:r>
      <w:r>
        <w:rPr>
          <w:sz w:val="13"/>
        </w:rPr>
        <w:t>submission raised concerns about the potential for fellow jurors to have animal allergies or </w:t>
      </w:r>
      <w:r>
        <w:rPr>
          <w:spacing w:val="2"/>
          <w:sz w:val="13"/>
        </w:rPr>
        <w:t>phobias. </w:t>
      </w:r>
      <w:r>
        <w:rPr>
          <w:sz w:val="13"/>
        </w:rPr>
        <w:t>This issue, if it arises, could </w:t>
      </w:r>
      <w:r>
        <w:rPr>
          <w:spacing w:val="2"/>
          <w:sz w:val="13"/>
        </w:rPr>
        <w:t>also </w:t>
      </w:r>
      <w:r>
        <w:rPr>
          <w:sz w:val="13"/>
        </w:rPr>
        <w:t>be managed with the new own motion power recommended for the Juries </w:t>
      </w:r>
      <w:r>
        <w:rPr>
          <w:spacing w:val="2"/>
          <w:sz w:val="13"/>
        </w:rPr>
        <w:t>Commissioner </w:t>
      </w:r>
      <w:r>
        <w:rPr>
          <w:sz w:val="13"/>
        </w:rPr>
        <w:t>to defer </w:t>
      </w:r>
      <w:r>
        <w:rPr>
          <w:spacing w:val="2"/>
          <w:sz w:val="13"/>
        </w:rPr>
        <w:t>jury service </w:t>
      </w:r>
      <w:r>
        <w:rPr>
          <w:sz w:val="13"/>
        </w:rPr>
        <w:t>(of </w:t>
      </w:r>
      <w:r>
        <w:rPr>
          <w:spacing w:val="2"/>
          <w:sz w:val="13"/>
        </w:rPr>
        <w:t>either </w:t>
      </w:r>
      <w:r>
        <w:rPr>
          <w:sz w:val="13"/>
        </w:rPr>
        <w:t>juror). </w:t>
      </w:r>
      <w:r>
        <w:rPr>
          <w:spacing w:val="2"/>
          <w:sz w:val="13"/>
        </w:rPr>
        <w:t>Other </w:t>
      </w:r>
      <w:r>
        <w:rPr>
          <w:sz w:val="13"/>
        </w:rPr>
        <w:t>existing powers allow the court to excuse a person who is unable to  serve, to discharge a juror, or determine that a person not </w:t>
      </w:r>
      <w:r>
        <w:rPr>
          <w:spacing w:val="2"/>
          <w:sz w:val="13"/>
        </w:rPr>
        <w:t>perform jury service: </w:t>
      </w:r>
      <w:r>
        <w:rPr>
          <w:sz w:val="13"/>
        </w:rPr>
        <w:t>Ibid ss 12, 32(3)(b),</w:t>
      </w:r>
      <w:r>
        <w:rPr>
          <w:spacing w:val="15"/>
          <w:sz w:val="13"/>
        </w:rPr>
        <w:t> </w:t>
      </w:r>
      <w:r>
        <w:rPr>
          <w:sz w:val="13"/>
        </w:rPr>
        <w:t>43.</w:t>
      </w:r>
    </w:p>
    <w:p>
      <w:pPr>
        <w:pStyle w:val="ListParagraph"/>
        <w:numPr>
          <w:ilvl w:val="0"/>
          <w:numId w:val="82"/>
        </w:numPr>
        <w:tabs>
          <w:tab w:pos="1760" w:val="left" w:leader="none"/>
          <w:tab w:pos="1762" w:val="left" w:leader="none"/>
        </w:tabs>
        <w:spacing w:line="162" w:lineRule="exact" w:before="0" w:after="0"/>
        <w:ind w:left="1761" w:right="0" w:hanging="794"/>
        <w:jc w:val="left"/>
        <w:rPr>
          <w:sz w:val="13"/>
        </w:rPr>
      </w:pPr>
      <w:r>
        <w:rPr>
          <w:sz w:val="13"/>
        </w:rPr>
        <w:t>Information provided by Juries Victoria to Victorian Law Reform </w:t>
      </w:r>
      <w:r>
        <w:rPr>
          <w:spacing w:val="2"/>
          <w:sz w:val="13"/>
        </w:rPr>
        <w:t>Commission, </w:t>
      </w:r>
      <w:r>
        <w:rPr>
          <w:sz w:val="13"/>
        </w:rPr>
        <w:t>17 May</w:t>
      </w:r>
      <w:r>
        <w:rPr>
          <w:spacing w:val="11"/>
          <w:sz w:val="13"/>
        </w:rPr>
        <w:t> </w:t>
      </w:r>
      <w:r>
        <w:rPr>
          <w:sz w:val="13"/>
        </w:rPr>
        <w:t>2022.</w:t>
      </w:r>
    </w:p>
    <w:p>
      <w:pPr>
        <w:pStyle w:val="BodyText"/>
        <w:rPr>
          <w:sz w:val="28"/>
        </w:rPr>
      </w:pPr>
      <w:r>
        <w:rPr/>
        <w:br w:type="column"/>
      </w:r>
      <w:r>
        <w:rPr>
          <w:sz w:val="28"/>
        </w:rPr>
      </w:r>
    </w:p>
    <w:p>
      <w:pPr>
        <w:pStyle w:val="BodyText"/>
        <w:rPr>
          <w:sz w:val="28"/>
        </w:rPr>
      </w:pPr>
    </w:p>
    <w:p>
      <w:pPr>
        <w:pStyle w:val="BodyText"/>
        <w:spacing w:before="2"/>
        <w:rPr>
          <w:sz w:val="40"/>
        </w:rPr>
      </w:pPr>
    </w:p>
    <w:p>
      <w:pPr>
        <w:spacing w:before="0"/>
        <w:ind w:left="526" w:right="0" w:firstLine="0"/>
        <w:jc w:val="left"/>
        <w:rPr>
          <w:b/>
          <w:sz w:val="24"/>
        </w:rPr>
      </w:pPr>
      <w:r>
        <w:rPr>
          <w:b/>
          <w:color w:val="37617A"/>
          <w:sz w:val="24"/>
        </w:rPr>
        <w:t>115</w:t>
      </w:r>
    </w:p>
    <w:p>
      <w:pPr>
        <w:spacing w:after="0"/>
        <w:jc w:val="left"/>
        <w:rPr>
          <w:sz w:val="24"/>
        </w:rPr>
        <w:sectPr>
          <w:type w:val="continuous"/>
          <w:pgSz w:w="11910" w:h="16840"/>
          <w:pgMar w:top="620" w:bottom="280" w:left="620" w:right="380"/>
          <w:cols w:num="2" w:equalWidth="0">
            <w:col w:w="9743" w:space="40"/>
            <w:col w:w="1127"/>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2" w:val="left" w:leader="none"/>
        </w:tabs>
        <w:spacing w:line="206" w:lineRule="auto" w:before="0" w:after="0"/>
        <w:ind w:left="1761" w:right="1329" w:hanging="794"/>
        <w:jc w:val="both"/>
        <w:rPr>
          <w:sz w:val="11"/>
        </w:rPr>
      </w:pPr>
      <w:r>
        <w:rPr>
          <w:sz w:val="20"/>
        </w:rPr>
        <w:t>Some</w:t>
      </w:r>
      <w:r>
        <w:rPr>
          <w:spacing w:val="-11"/>
          <w:sz w:val="20"/>
        </w:rPr>
        <w:t> </w:t>
      </w:r>
      <w:r>
        <w:rPr>
          <w:sz w:val="20"/>
        </w:rPr>
        <w:t>responses</w:t>
      </w:r>
      <w:r>
        <w:rPr>
          <w:spacing w:val="-11"/>
          <w:sz w:val="20"/>
        </w:rPr>
        <w:t> </w:t>
      </w:r>
      <w:r>
        <w:rPr>
          <w:sz w:val="20"/>
        </w:rPr>
        <w:t>raised</w:t>
      </w:r>
      <w:r>
        <w:rPr>
          <w:spacing w:val="-11"/>
          <w:sz w:val="20"/>
        </w:rPr>
        <w:t> </w:t>
      </w:r>
      <w:r>
        <w:rPr>
          <w:sz w:val="20"/>
        </w:rPr>
        <w:t>concerns</w:t>
      </w:r>
      <w:r>
        <w:rPr>
          <w:spacing w:val="-11"/>
          <w:sz w:val="20"/>
        </w:rPr>
        <w:t> </w:t>
      </w:r>
      <w:r>
        <w:rPr>
          <w:sz w:val="20"/>
        </w:rPr>
        <w:t>that</w:t>
      </w:r>
      <w:r>
        <w:rPr>
          <w:spacing w:val="-11"/>
          <w:sz w:val="20"/>
        </w:rPr>
        <w:t> </w:t>
      </w:r>
      <w:r>
        <w:rPr>
          <w:sz w:val="20"/>
        </w:rPr>
        <w:t>the</w:t>
      </w:r>
      <w:r>
        <w:rPr>
          <w:spacing w:val="-11"/>
          <w:sz w:val="20"/>
        </w:rPr>
        <w:t> </w:t>
      </w:r>
      <w:r>
        <w:rPr>
          <w:sz w:val="20"/>
        </w:rPr>
        <w:t>use</w:t>
      </w:r>
      <w:r>
        <w:rPr>
          <w:spacing w:val="-11"/>
          <w:sz w:val="20"/>
        </w:rPr>
        <w:t> </w:t>
      </w:r>
      <w:r>
        <w:rPr>
          <w:sz w:val="20"/>
        </w:rPr>
        <w:t>of</w:t>
      </w:r>
      <w:r>
        <w:rPr>
          <w:spacing w:val="-11"/>
          <w:sz w:val="20"/>
        </w:rPr>
        <w:t> </w:t>
      </w:r>
      <w:r>
        <w:rPr>
          <w:sz w:val="20"/>
        </w:rPr>
        <w:t>adjustments</w:t>
      </w:r>
      <w:r>
        <w:rPr>
          <w:spacing w:val="-11"/>
          <w:sz w:val="20"/>
        </w:rPr>
        <w:t> </w:t>
      </w:r>
      <w:r>
        <w:rPr>
          <w:sz w:val="20"/>
        </w:rPr>
        <w:t>could</w:t>
      </w:r>
      <w:r>
        <w:rPr>
          <w:spacing w:val="-11"/>
          <w:sz w:val="20"/>
        </w:rPr>
        <w:t> </w:t>
      </w:r>
      <w:r>
        <w:rPr>
          <w:sz w:val="20"/>
        </w:rPr>
        <w:t>delay</w:t>
      </w:r>
      <w:r>
        <w:rPr>
          <w:spacing w:val="-11"/>
          <w:sz w:val="20"/>
        </w:rPr>
        <w:t> </w:t>
      </w:r>
      <w:r>
        <w:rPr>
          <w:sz w:val="20"/>
        </w:rPr>
        <w:t>the</w:t>
      </w:r>
      <w:r>
        <w:rPr>
          <w:spacing w:val="-11"/>
          <w:sz w:val="20"/>
        </w:rPr>
        <w:t> </w:t>
      </w:r>
      <w:r>
        <w:rPr>
          <w:sz w:val="20"/>
        </w:rPr>
        <w:t>trial</w:t>
      </w:r>
      <w:r>
        <w:rPr>
          <w:spacing w:val="-11"/>
          <w:sz w:val="20"/>
        </w:rPr>
        <w:t> </w:t>
      </w:r>
      <w:r>
        <w:rPr>
          <w:sz w:val="20"/>
        </w:rPr>
        <w:t>and prejudice</w:t>
      </w:r>
      <w:r>
        <w:rPr>
          <w:spacing w:val="-13"/>
          <w:sz w:val="20"/>
        </w:rPr>
        <w:t> </w:t>
      </w:r>
      <w:r>
        <w:rPr>
          <w:sz w:val="20"/>
        </w:rPr>
        <w:t>the</w:t>
      </w:r>
      <w:r>
        <w:rPr>
          <w:spacing w:val="-12"/>
          <w:sz w:val="20"/>
        </w:rPr>
        <w:t> </w:t>
      </w:r>
      <w:r>
        <w:rPr>
          <w:sz w:val="20"/>
        </w:rPr>
        <w:t>administration</w:t>
      </w:r>
      <w:r>
        <w:rPr>
          <w:spacing w:val="-12"/>
          <w:sz w:val="20"/>
        </w:rPr>
        <w:t> </w:t>
      </w:r>
      <w:r>
        <w:rPr>
          <w:sz w:val="20"/>
        </w:rPr>
        <w:t>of</w:t>
      </w:r>
      <w:r>
        <w:rPr>
          <w:spacing w:val="-12"/>
          <w:sz w:val="20"/>
        </w:rPr>
        <w:t> </w:t>
      </w:r>
      <w:r>
        <w:rPr>
          <w:sz w:val="20"/>
        </w:rPr>
        <w:t>justice.</w:t>
      </w:r>
      <w:r>
        <w:rPr>
          <w:position w:val="7"/>
          <w:sz w:val="11"/>
        </w:rPr>
        <w:t>61</w:t>
      </w:r>
      <w:r>
        <w:rPr>
          <w:spacing w:val="12"/>
          <w:position w:val="7"/>
          <w:sz w:val="11"/>
        </w:rPr>
        <w:t> </w:t>
      </w:r>
      <w:r>
        <w:rPr>
          <w:sz w:val="20"/>
        </w:rPr>
        <w:t>The</w:t>
      </w:r>
      <w:r>
        <w:rPr>
          <w:spacing w:val="-12"/>
          <w:sz w:val="20"/>
        </w:rPr>
        <w:t> </w:t>
      </w:r>
      <w:r>
        <w:rPr>
          <w:sz w:val="20"/>
        </w:rPr>
        <w:t>OPP</w:t>
      </w:r>
      <w:r>
        <w:rPr>
          <w:spacing w:val="-12"/>
          <w:sz w:val="20"/>
        </w:rPr>
        <w:t> </w:t>
      </w:r>
      <w:r>
        <w:rPr>
          <w:sz w:val="20"/>
        </w:rPr>
        <w:t>raised</w:t>
      </w:r>
      <w:r>
        <w:rPr>
          <w:spacing w:val="-12"/>
          <w:sz w:val="20"/>
        </w:rPr>
        <w:t> </w:t>
      </w:r>
      <w:r>
        <w:rPr>
          <w:sz w:val="20"/>
        </w:rPr>
        <w:t>concerns</w:t>
      </w:r>
      <w:r>
        <w:rPr>
          <w:spacing w:val="-12"/>
          <w:sz w:val="20"/>
        </w:rPr>
        <w:t> </w:t>
      </w:r>
      <w:r>
        <w:rPr>
          <w:sz w:val="20"/>
        </w:rPr>
        <w:t>about</w:t>
      </w:r>
      <w:r>
        <w:rPr>
          <w:spacing w:val="-13"/>
          <w:sz w:val="20"/>
        </w:rPr>
        <w:t> </w:t>
      </w:r>
      <w:r>
        <w:rPr>
          <w:sz w:val="20"/>
        </w:rPr>
        <w:t>the</w:t>
      </w:r>
      <w:r>
        <w:rPr>
          <w:spacing w:val="-12"/>
          <w:sz w:val="20"/>
        </w:rPr>
        <w:t> </w:t>
      </w:r>
      <w:r>
        <w:rPr>
          <w:sz w:val="20"/>
        </w:rPr>
        <w:t>effect</w:t>
      </w:r>
      <w:r>
        <w:rPr>
          <w:spacing w:val="-12"/>
          <w:sz w:val="20"/>
        </w:rPr>
        <w:t> </w:t>
      </w:r>
      <w:r>
        <w:rPr>
          <w:sz w:val="20"/>
        </w:rPr>
        <w:t>this </w:t>
      </w:r>
      <w:r>
        <w:rPr>
          <w:spacing w:val="-3"/>
          <w:sz w:val="20"/>
        </w:rPr>
        <w:t>would</w:t>
      </w:r>
      <w:r>
        <w:rPr>
          <w:spacing w:val="-9"/>
          <w:sz w:val="20"/>
        </w:rPr>
        <w:t> </w:t>
      </w:r>
      <w:r>
        <w:rPr>
          <w:spacing w:val="-4"/>
          <w:sz w:val="20"/>
        </w:rPr>
        <w:t>have</w:t>
      </w:r>
      <w:r>
        <w:rPr>
          <w:spacing w:val="-9"/>
          <w:sz w:val="20"/>
        </w:rPr>
        <w:t> </w:t>
      </w:r>
      <w:r>
        <w:rPr>
          <w:sz w:val="20"/>
        </w:rPr>
        <w:t>on</w:t>
      </w:r>
      <w:r>
        <w:rPr>
          <w:spacing w:val="-8"/>
          <w:sz w:val="20"/>
        </w:rPr>
        <w:t> </w:t>
      </w:r>
      <w:r>
        <w:rPr>
          <w:sz w:val="20"/>
        </w:rPr>
        <w:t>other</w:t>
      </w:r>
      <w:r>
        <w:rPr>
          <w:spacing w:val="-9"/>
          <w:sz w:val="20"/>
        </w:rPr>
        <w:t> </w:t>
      </w:r>
      <w:r>
        <w:rPr>
          <w:sz w:val="20"/>
        </w:rPr>
        <w:t>jurors—if</w:t>
      </w:r>
      <w:r>
        <w:rPr>
          <w:spacing w:val="-9"/>
          <w:sz w:val="20"/>
        </w:rPr>
        <w:t> </w:t>
      </w:r>
      <w:r>
        <w:rPr>
          <w:sz w:val="20"/>
        </w:rPr>
        <w:t>extra</w:t>
      </w:r>
      <w:r>
        <w:rPr>
          <w:spacing w:val="-8"/>
          <w:sz w:val="20"/>
        </w:rPr>
        <w:t> </w:t>
      </w:r>
      <w:r>
        <w:rPr>
          <w:sz w:val="20"/>
        </w:rPr>
        <w:t>time</w:t>
      </w:r>
      <w:r>
        <w:rPr>
          <w:spacing w:val="-9"/>
          <w:sz w:val="20"/>
        </w:rPr>
        <w:t> </w:t>
      </w:r>
      <w:r>
        <w:rPr>
          <w:sz w:val="20"/>
        </w:rPr>
        <w:t>is</w:t>
      </w:r>
      <w:r>
        <w:rPr>
          <w:spacing w:val="-8"/>
          <w:sz w:val="20"/>
        </w:rPr>
        <w:t> </w:t>
      </w:r>
      <w:r>
        <w:rPr>
          <w:sz w:val="20"/>
        </w:rPr>
        <w:t>needed</w:t>
      </w:r>
      <w:r>
        <w:rPr>
          <w:spacing w:val="-9"/>
          <w:sz w:val="20"/>
        </w:rPr>
        <w:t> </w:t>
      </w:r>
      <w:r>
        <w:rPr>
          <w:sz w:val="20"/>
        </w:rPr>
        <w:t>to</w:t>
      </w:r>
      <w:r>
        <w:rPr>
          <w:spacing w:val="-9"/>
          <w:sz w:val="20"/>
        </w:rPr>
        <w:t> </w:t>
      </w:r>
      <w:r>
        <w:rPr>
          <w:spacing w:val="-3"/>
          <w:sz w:val="20"/>
        </w:rPr>
        <w:t>allow</w:t>
      </w:r>
      <w:r>
        <w:rPr>
          <w:spacing w:val="-8"/>
          <w:sz w:val="20"/>
        </w:rPr>
        <w:t> </w:t>
      </w:r>
      <w:r>
        <w:rPr>
          <w:sz w:val="20"/>
        </w:rPr>
        <w:t>a</w:t>
      </w:r>
      <w:r>
        <w:rPr>
          <w:spacing w:val="-9"/>
          <w:sz w:val="20"/>
        </w:rPr>
        <w:t> </w:t>
      </w:r>
      <w:r>
        <w:rPr>
          <w:sz w:val="20"/>
        </w:rPr>
        <w:t>deaf</w:t>
      </w:r>
      <w:r>
        <w:rPr>
          <w:spacing w:val="-9"/>
          <w:sz w:val="20"/>
        </w:rPr>
        <w:t> </w:t>
      </w:r>
      <w:r>
        <w:rPr>
          <w:sz w:val="20"/>
        </w:rPr>
        <w:t>juror</w:t>
      </w:r>
      <w:r>
        <w:rPr>
          <w:spacing w:val="-8"/>
          <w:sz w:val="20"/>
        </w:rPr>
        <w:t> </w:t>
      </w:r>
      <w:r>
        <w:rPr>
          <w:sz w:val="20"/>
        </w:rPr>
        <w:t>to</w:t>
      </w:r>
      <w:r>
        <w:rPr>
          <w:spacing w:val="-9"/>
          <w:sz w:val="20"/>
        </w:rPr>
        <w:t> </w:t>
      </w:r>
      <w:r>
        <w:rPr>
          <w:sz w:val="20"/>
        </w:rPr>
        <w:t>serve,</w:t>
      </w:r>
      <w:r>
        <w:rPr>
          <w:spacing w:val="-8"/>
          <w:sz w:val="20"/>
        </w:rPr>
        <w:t> </w:t>
      </w:r>
      <w:r>
        <w:rPr>
          <w:sz w:val="20"/>
        </w:rPr>
        <w:t>does that</w:t>
      </w:r>
      <w:r>
        <w:rPr>
          <w:spacing w:val="-5"/>
          <w:sz w:val="20"/>
        </w:rPr>
        <w:t> </w:t>
      </w:r>
      <w:r>
        <w:rPr>
          <w:sz w:val="20"/>
        </w:rPr>
        <w:t>mean</w:t>
      </w:r>
      <w:r>
        <w:rPr>
          <w:spacing w:val="-5"/>
          <w:sz w:val="20"/>
        </w:rPr>
        <w:t> </w:t>
      </w:r>
      <w:r>
        <w:rPr>
          <w:sz w:val="20"/>
        </w:rPr>
        <w:t>that</w:t>
      </w:r>
      <w:r>
        <w:rPr>
          <w:spacing w:val="-4"/>
          <w:sz w:val="20"/>
        </w:rPr>
        <w:t> </w:t>
      </w:r>
      <w:r>
        <w:rPr>
          <w:sz w:val="20"/>
        </w:rPr>
        <w:t>someone</w:t>
      </w:r>
      <w:r>
        <w:rPr>
          <w:spacing w:val="-5"/>
          <w:sz w:val="20"/>
        </w:rPr>
        <w:t> </w:t>
      </w:r>
      <w:r>
        <w:rPr>
          <w:sz w:val="20"/>
        </w:rPr>
        <w:t>else</w:t>
      </w:r>
      <w:r>
        <w:rPr>
          <w:spacing w:val="-4"/>
          <w:sz w:val="20"/>
        </w:rPr>
        <w:t> </w:t>
      </w:r>
      <w:r>
        <w:rPr>
          <w:sz w:val="20"/>
        </w:rPr>
        <w:t>will</w:t>
      </w:r>
      <w:r>
        <w:rPr>
          <w:spacing w:val="-5"/>
          <w:sz w:val="20"/>
        </w:rPr>
        <w:t> </w:t>
      </w:r>
      <w:r>
        <w:rPr>
          <w:sz w:val="20"/>
        </w:rPr>
        <w:t>not</w:t>
      </w:r>
      <w:r>
        <w:rPr>
          <w:spacing w:val="-5"/>
          <w:sz w:val="20"/>
        </w:rPr>
        <w:t> </w:t>
      </w:r>
      <w:r>
        <w:rPr>
          <w:sz w:val="20"/>
        </w:rPr>
        <w:t>be</w:t>
      </w:r>
      <w:r>
        <w:rPr>
          <w:spacing w:val="-4"/>
          <w:sz w:val="20"/>
        </w:rPr>
        <w:t> </w:t>
      </w:r>
      <w:r>
        <w:rPr>
          <w:sz w:val="20"/>
        </w:rPr>
        <w:t>able</w:t>
      </w:r>
      <w:r>
        <w:rPr>
          <w:spacing w:val="-5"/>
          <w:sz w:val="20"/>
        </w:rPr>
        <w:t> </w:t>
      </w:r>
      <w:r>
        <w:rPr>
          <w:sz w:val="20"/>
        </w:rPr>
        <w:t>to</w:t>
      </w:r>
      <w:r>
        <w:rPr>
          <w:spacing w:val="-4"/>
          <w:sz w:val="20"/>
        </w:rPr>
        <w:t> </w:t>
      </w:r>
      <w:r>
        <w:rPr>
          <w:spacing w:val="-3"/>
          <w:sz w:val="20"/>
        </w:rPr>
        <w:t>serve?</w:t>
      </w:r>
      <w:r>
        <w:rPr>
          <w:spacing w:val="-5"/>
          <w:sz w:val="20"/>
        </w:rPr>
        <w:t> </w:t>
      </w:r>
      <w:r>
        <w:rPr>
          <w:position w:val="7"/>
          <w:sz w:val="11"/>
        </w:rPr>
        <w:t>62</w:t>
      </w:r>
    </w:p>
    <w:p>
      <w:pPr>
        <w:pStyle w:val="ListParagraph"/>
        <w:numPr>
          <w:ilvl w:val="1"/>
          <w:numId w:val="12"/>
        </w:numPr>
        <w:tabs>
          <w:tab w:pos="1761" w:val="left" w:leader="none"/>
          <w:tab w:pos="1762" w:val="left" w:leader="none"/>
        </w:tabs>
        <w:spacing w:line="206" w:lineRule="auto" w:before="125" w:after="0"/>
        <w:ind w:left="1761" w:right="1296" w:hanging="794"/>
        <w:jc w:val="left"/>
        <w:rPr>
          <w:sz w:val="20"/>
        </w:rPr>
      </w:pPr>
      <w:r>
        <w:rPr>
          <w:sz w:val="20"/>
        </w:rPr>
        <w:t>The</w:t>
      </w:r>
      <w:r>
        <w:rPr>
          <w:spacing w:val="-12"/>
          <w:sz w:val="20"/>
        </w:rPr>
        <w:t> </w:t>
      </w:r>
      <w:r>
        <w:rPr>
          <w:sz w:val="20"/>
        </w:rPr>
        <w:t>Commission’s</w:t>
      </w:r>
      <w:r>
        <w:rPr>
          <w:spacing w:val="-12"/>
          <w:sz w:val="20"/>
        </w:rPr>
        <w:t> </w:t>
      </w:r>
      <w:r>
        <w:rPr>
          <w:sz w:val="20"/>
        </w:rPr>
        <w:t>view</w:t>
      </w:r>
      <w:r>
        <w:rPr>
          <w:spacing w:val="-12"/>
          <w:sz w:val="20"/>
        </w:rPr>
        <w:t> </w:t>
      </w:r>
      <w:r>
        <w:rPr>
          <w:sz w:val="20"/>
        </w:rPr>
        <w:t>is</w:t>
      </w:r>
      <w:r>
        <w:rPr>
          <w:spacing w:val="-12"/>
          <w:sz w:val="20"/>
        </w:rPr>
        <w:t> </w:t>
      </w:r>
      <w:r>
        <w:rPr>
          <w:sz w:val="20"/>
        </w:rPr>
        <w:t>that</w:t>
      </w:r>
      <w:r>
        <w:rPr>
          <w:spacing w:val="-12"/>
          <w:sz w:val="20"/>
        </w:rPr>
        <w:t> </w:t>
      </w:r>
      <w:r>
        <w:rPr>
          <w:sz w:val="20"/>
        </w:rPr>
        <w:t>this</w:t>
      </w:r>
      <w:r>
        <w:rPr>
          <w:spacing w:val="-11"/>
          <w:sz w:val="20"/>
        </w:rPr>
        <w:t> </w:t>
      </w:r>
      <w:r>
        <w:rPr>
          <w:sz w:val="20"/>
        </w:rPr>
        <w:t>issue</w:t>
      </w:r>
      <w:r>
        <w:rPr>
          <w:spacing w:val="-12"/>
          <w:sz w:val="20"/>
        </w:rPr>
        <w:t> </w:t>
      </w:r>
      <w:r>
        <w:rPr>
          <w:sz w:val="20"/>
        </w:rPr>
        <w:t>is</w:t>
      </w:r>
      <w:r>
        <w:rPr>
          <w:spacing w:val="-12"/>
          <w:sz w:val="20"/>
        </w:rPr>
        <w:t> </w:t>
      </w:r>
      <w:r>
        <w:rPr>
          <w:sz w:val="20"/>
        </w:rPr>
        <w:t>sufficiently</w:t>
      </w:r>
      <w:r>
        <w:rPr>
          <w:spacing w:val="-12"/>
          <w:sz w:val="20"/>
        </w:rPr>
        <w:t> </w:t>
      </w:r>
      <w:r>
        <w:rPr>
          <w:sz w:val="20"/>
        </w:rPr>
        <w:t>captured</w:t>
      </w:r>
      <w:r>
        <w:rPr>
          <w:spacing w:val="-12"/>
          <w:sz w:val="20"/>
        </w:rPr>
        <w:t> </w:t>
      </w:r>
      <w:r>
        <w:rPr>
          <w:spacing w:val="-3"/>
          <w:sz w:val="20"/>
        </w:rPr>
        <w:t>by</w:t>
      </w:r>
      <w:r>
        <w:rPr>
          <w:spacing w:val="-12"/>
          <w:sz w:val="20"/>
        </w:rPr>
        <w:t> </w:t>
      </w:r>
      <w:r>
        <w:rPr>
          <w:sz w:val="20"/>
        </w:rPr>
        <w:t>the</w:t>
      </w:r>
      <w:r>
        <w:rPr>
          <w:spacing w:val="-11"/>
          <w:sz w:val="20"/>
        </w:rPr>
        <w:t> </w:t>
      </w:r>
      <w:r>
        <w:rPr>
          <w:spacing w:val="-4"/>
          <w:sz w:val="20"/>
        </w:rPr>
        <w:t>ACT</w:t>
      </w:r>
      <w:r>
        <w:rPr>
          <w:spacing w:val="-12"/>
          <w:sz w:val="20"/>
        </w:rPr>
        <w:t> </w:t>
      </w:r>
      <w:r>
        <w:rPr>
          <w:spacing w:val="-2"/>
          <w:sz w:val="20"/>
        </w:rPr>
        <w:t>Act</w:t>
      </w:r>
      <w:r>
        <w:rPr>
          <w:spacing w:val="-12"/>
          <w:sz w:val="20"/>
        </w:rPr>
        <w:t> </w:t>
      </w:r>
      <w:r>
        <w:rPr>
          <w:sz w:val="20"/>
        </w:rPr>
        <w:t>section 16(3)(a): ‘whether the support </w:t>
      </w:r>
      <w:r>
        <w:rPr>
          <w:spacing w:val="-3"/>
          <w:sz w:val="20"/>
        </w:rPr>
        <w:t>would </w:t>
      </w:r>
      <w:r>
        <w:rPr>
          <w:sz w:val="20"/>
        </w:rPr>
        <w:t>impose a disproportionate or undue burden on court</w:t>
      </w:r>
      <w:r>
        <w:rPr>
          <w:spacing w:val="-9"/>
          <w:sz w:val="20"/>
        </w:rPr>
        <w:t> </w:t>
      </w:r>
      <w:r>
        <w:rPr>
          <w:spacing w:val="-3"/>
          <w:sz w:val="20"/>
        </w:rPr>
        <w:t>resources,</w:t>
      </w:r>
      <w:r>
        <w:rPr>
          <w:spacing w:val="-9"/>
          <w:sz w:val="20"/>
        </w:rPr>
        <w:t> </w:t>
      </w:r>
      <w:r>
        <w:rPr>
          <w:sz w:val="20"/>
        </w:rPr>
        <w:t>facilities</w:t>
      </w:r>
      <w:r>
        <w:rPr>
          <w:spacing w:val="-8"/>
          <w:sz w:val="20"/>
        </w:rPr>
        <w:t> </w:t>
      </w:r>
      <w:r>
        <w:rPr>
          <w:sz w:val="20"/>
        </w:rPr>
        <w:t>and</w:t>
      </w:r>
      <w:r>
        <w:rPr>
          <w:spacing w:val="-9"/>
          <w:sz w:val="20"/>
        </w:rPr>
        <w:t> </w:t>
      </w:r>
      <w:r>
        <w:rPr>
          <w:sz w:val="20"/>
        </w:rPr>
        <w:t>time</w:t>
      </w:r>
      <w:r>
        <w:rPr>
          <w:spacing w:val="-8"/>
          <w:sz w:val="20"/>
        </w:rPr>
        <w:t> </w:t>
      </w:r>
      <w:r>
        <w:rPr>
          <w:spacing w:val="-3"/>
          <w:sz w:val="20"/>
        </w:rPr>
        <w:t>frames’</w:t>
      </w:r>
      <w:r>
        <w:rPr>
          <w:spacing w:val="-9"/>
          <w:sz w:val="20"/>
        </w:rPr>
        <w:t> </w:t>
      </w:r>
      <w:r>
        <w:rPr>
          <w:sz w:val="20"/>
        </w:rPr>
        <w:t>or</w:t>
      </w:r>
      <w:r>
        <w:rPr>
          <w:spacing w:val="-8"/>
          <w:sz w:val="20"/>
        </w:rPr>
        <w:t> </w:t>
      </w:r>
      <w:r>
        <w:rPr>
          <w:spacing w:val="-3"/>
          <w:sz w:val="20"/>
        </w:rPr>
        <w:t>by</w:t>
      </w:r>
      <w:r>
        <w:rPr>
          <w:spacing w:val="-9"/>
          <w:sz w:val="20"/>
        </w:rPr>
        <w:t> </w:t>
      </w:r>
      <w:r>
        <w:rPr>
          <w:sz w:val="20"/>
        </w:rPr>
        <w:t>the</w:t>
      </w:r>
      <w:r>
        <w:rPr>
          <w:spacing w:val="-9"/>
          <w:sz w:val="20"/>
        </w:rPr>
        <w:t> </w:t>
      </w:r>
      <w:r>
        <w:rPr>
          <w:sz w:val="20"/>
        </w:rPr>
        <w:t>general</w:t>
      </w:r>
      <w:r>
        <w:rPr>
          <w:spacing w:val="-8"/>
          <w:sz w:val="20"/>
        </w:rPr>
        <w:t> </w:t>
      </w:r>
      <w:r>
        <w:rPr>
          <w:sz w:val="20"/>
        </w:rPr>
        <w:t>discretion</w:t>
      </w:r>
      <w:r>
        <w:rPr>
          <w:spacing w:val="-9"/>
          <w:sz w:val="20"/>
        </w:rPr>
        <w:t> </w:t>
      </w:r>
      <w:r>
        <w:rPr>
          <w:sz w:val="20"/>
        </w:rPr>
        <w:t>to</w:t>
      </w:r>
      <w:r>
        <w:rPr>
          <w:spacing w:val="-8"/>
          <w:sz w:val="20"/>
        </w:rPr>
        <w:t> </w:t>
      </w:r>
      <w:r>
        <w:rPr>
          <w:sz w:val="20"/>
        </w:rPr>
        <w:t>consider</w:t>
      </w:r>
      <w:r>
        <w:rPr>
          <w:spacing w:val="-9"/>
          <w:sz w:val="20"/>
        </w:rPr>
        <w:t> </w:t>
      </w:r>
      <w:r>
        <w:rPr>
          <w:spacing w:val="-4"/>
          <w:sz w:val="20"/>
        </w:rPr>
        <w:t>‘any </w:t>
      </w:r>
      <w:r>
        <w:rPr>
          <w:sz w:val="20"/>
        </w:rPr>
        <w:t>other issue the judge considers</w:t>
      </w:r>
      <w:r>
        <w:rPr>
          <w:spacing w:val="-22"/>
          <w:sz w:val="20"/>
        </w:rPr>
        <w:t> </w:t>
      </w:r>
      <w:r>
        <w:rPr>
          <w:spacing w:val="-4"/>
          <w:sz w:val="20"/>
        </w:rPr>
        <w:t>relevant’.</w:t>
      </w:r>
    </w:p>
    <w:p>
      <w:pPr>
        <w:pStyle w:val="ListParagraph"/>
        <w:numPr>
          <w:ilvl w:val="1"/>
          <w:numId w:val="12"/>
        </w:numPr>
        <w:tabs>
          <w:tab w:pos="1761" w:val="left" w:leader="none"/>
          <w:tab w:pos="1762" w:val="left" w:leader="none"/>
        </w:tabs>
        <w:spacing w:line="206" w:lineRule="auto" w:before="125" w:after="0"/>
        <w:ind w:left="1761" w:right="1440" w:hanging="794"/>
        <w:jc w:val="left"/>
        <w:rPr>
          <w:sz w:val="20"/>
        </w:rPr>
      </w:pPr>
      <w:r>
        <w:rPr>
          <w:sz w:val="20"/>
        </w:rPr>
        <w:t>Additional</w:t>
      </w:r>
      <w:r>
        <w:rPr>
          <w:spacing w:val="-14"/>
          <w:sz w:val="20"/>
        </w:rPr>
        <w:t> </w:t>
      </w:r>
      <w:r>
        <w:rPr>
          <w:sz w:val="20"/>
        </w:rPr>
        <w:t>breaks</w:t>
      </w:r>
      <w:r>
        <w:rPr>
          <w:spacing w:val="-14"/>
          <w:sz w:val="20"/>
        </w:rPr>
        <w:t> </w:t>
      </w:r>
      <w:r>
        <w:rPr>
          <w:sz w:val="20"/>
        </w:rPr>
        <w:t>or</w:t>
      </w:r>
      <w:r>
        <w:rPr>
          <w:spacing w:val="-13"/>
          <w:sz w:val="20"/>
        </w:rPr>
        <w:t> </w:t>
      </w:r>
      <w:r>
        <w:rPr>
          <w:sz w:val="20"/>
        </w:rPr>
        <w:t>other</w:t>
      </w:r>
      <w:r>
        <w:rPr>
          <w:spacing w:val="-14"/>
          <w:sz w:val="20"/>
        </w:rPr>
        <w:t> </w:t>
      </w:r>
      <w:r>
        <w:rPr>
          <w:sz w:val="20"/>
        </w:rPr>
        <w:t>changes</w:t>
      </w:r>
      <w:r>
        <w:rPr>
          <w:spacing w:val="-13"/>
          <w:sz w:val="20"/>
        </w:rPr>
        <w:t> </w:t>
      </w:r>
      <w:r>
        <w:rPr>
          <w:sz w:val="20"/>
        </w:rPr>
        <w:t>should</w:t>
      </w:r>
      <w:r>
        <w:rPr>
          <w:spacing w:val="-14"/>
          <w:sz w:val="20"/>
        </w:rPr>
        <w:t> </w:t>
      </w:r>
      <w:r>
        <w:rPr>
          <w:sz w:val="20"/>
        </w:rPr>
        <w:t>not</w:t>
      </w:r>
      <w:r>
        <w:rPr>
          <w:spacing w:val="-13"/>
          <w:sz w:val="20"/>
        </w:rPr>
        <w:t> </w:t>
      </w:r>
      <w:r>
        <w:rPr>
          <w:sz w:val="20"/>
        </w:rPr>
        <w:t>be</w:t>
      </w:r>
      <w:r>
        <w:rPr>
          <w:spacing w:val="-14"/>
          <w:sz w:val="20"/>
        </w:rPr>
        <w:t> </w:t>
      </w:r>
      <w:r>
        <w:rPr>
          <w:sz w:val="20"/>
        </w:rPr>
        <w:t>a</w:t>
      </w:r>
      <w:r>
        <w:rPr>
          <w:spacing w:val="-14"/>
          <w:sz w:val="20"/>
        </w:rPr>
        <w:t> </w:t>
      </w:r>
      <w:r>
        <w:rPr>
          <w:sz w:val="20"/>
        </w:rPr>
        <w:t>significant</w:t>
      </w:r>
      <w:r>
        <w:rPr>
          <w:spacing w:val="-13"/>
          <w:sz w:val="20"/>
        </w:rPr>
        <w:t> </w:t>
      </w:r>
      <w:r>
        <w:rPr>
          <w:sz w:val="20"/>
        </w:rPr>
        <w:t>barrier</w:t>
      </w:r>
      <w:r>
        <w:rPr>
          <w:spacing w:val="-14"/>
          <w:sz w:val="20"/>
        </w:rPr>
        <w:t> </w:t>
      </w:r>
      <w:r>
        <w:rPr>
          <w:sz w:val="20"/>
        </w:rPr>
        <w:t>to</w:t>
      </w:r>
      <w:r>
        <w:rPr>
          <w:spacing w:val="-13"/>
          <w:sz w:val="20"/>
        </w:rPr>
        <w:t> </w:t>
      </w:r>
      <w:r>
        <w:rPr>
          <w:sz w:val="20"/>
        </w:rPr>
        <w:t>participation, </w:t>
      </w:r>
      <w:r>
        <w:rPr>
          <w:spacing w:val="-3"/>
          <w:sz w:val="20"/>
        </w:rPr>
        <w:t>except </w:t>
      </w:r>
      <w:r>
        <w:rPr>
          <w:sz w:val="20"/>
        </w:rPr>
        <w:t>perhaps where trials </w:t>
      </w:r>
      <w:r>
        <w:rPr>
          <w:spacing w:val="-3"/>
          <w:sz w:val="20"/>
        </w:rPr>
        <w:t>are </w:t>
      </w:r>
      <w:r>
        <w:rPr>
          <w:sz w:val="20"/>
        </w:rPr>
        <w:t>scheduled to run for a long time or </w:t>
      </w:r>
      <w:r>
        <w:rPr>
          <w:spacing w:val="-4"/>
          <w:sz w:val="20"/>
        </w:rPr>
        <w:t>involve </w:t>
      </w:r>
      <w:r>
        <w:rPr>
          <w:spacing w:val="-3"/>
          <w:sz w:val="20"/>
        </w:rPr>
        <w:t>many complex </w:t>
      </w:r>
      <w:r>
        <w:rPr>
          <w:sz w:val="20"/>
        </w:rPr>
        <w:t>documents. In this situation, it </w:t>
      </w:r>
      <w:r>
        <w:rPr>
          <w:spacing w:val="-3"/>
          <w:sz w:val="20"/>
        </w:rPr>
        <w:t>may </w:t>
      </w:r>
      <w:r>
        <w:rPr>
          <w:sz w:val="20"/>
        </w:rPr>
        <w:t>be reasonable to determine that the person </w:t>
      </w:r>
      <w:r>
        <w:rPr>
          <w:spacing w:val="-3"/>
          <w:sz w:val="20"/>
        </w:rPr>
        <w:t>from </w:t>
      </w:r>
      <w:r>
        <w:rPr>
          <w:sz w:val="20"/>
        </w:rPr>
        <w:t>the subject groups should not serve and for a judge to </w:t>
      </w:r>
      <w:r>
        <w:rPr>
          <w:spacing w:val="-3"/>
          <w:sz w:val="20"/>
        </w:rPr>
        <w:t>return </w:t>
      </w:r>
      <w:r>
        <w:rPr>
          <w:sz w:val="20"/>
        </w:rPr>
        <w:t>them to a pool to potentially serve on another</w:t>
      </w:r>
      <w:r>
        <w:rPr>
          <w:spacing w:val="-29"/>
          <w:sz w:val="20"/>
        </w:rPr>
        <w:t> </w:t>
      </w:r>
      <w:r>
        <w:rPr>
          <w:sz w:val="20"/>
        </w:rPr>
        <w:t>trial.</w:t>
      </w:r>
    </w:p>
    <w:p>
      <w:pPr>
        <w:pStyle w:val="Heading6"/>
        <w:spacing w:before="131"/>
        <w:rPr>
          <w:b/>
        </w:rPr>
      </w:pPr>
      <w:r>
        <w:rPr>
          <w:b/>
        </w:rPr>
        <w:t>Considerations—court accessibility</w:t>
      </w:r>
    </w:p>
    <w:p>
      <w:pPr>
        <w:pStyle w:val="ListParagraph"/>
        <w:numPr>
          <w:ilvl w:val="1"/>
          <w:numId w:val="12"/>
        </w:numPr>
        <w:tabs>
          <w:tab w:pos="1761" w:val="left" w:leader="none"/>
          <w:tab w:pos="1762" w:val="left" w:leader="none"/>
        </w:tabs>
        <w:spacing w:line="206" w:lineRule="auto" w:before="132" w:after="0"/>
        <w:ind w:left="1761" w:right="1251" w:hanging="794"/>
        <w:jc w:val="left"/>
        <w:rPr>
          <w:sz w:val="20"/>
        </w:rPr>
      </w:pPr>
      <w:r>
        <w:rPr>
          <w:spacing w:val="-3"/>
          <w:sz w:val="20"/>
        </w:rPr>
        <w:t>Many </w:t>
      </w:r>
      <w:r>
        <w:rPr>
          <w:sz w:val="20"/>
        </w:rPr>
        <w:t>courtroom buildings in Victoria </w:t>
      </w:r>
      <w:r>
        <w:rPr>
          <w:spacing w:val="-3"/>
          <w:sz w:val="20"/>
        </w:rPr>
        <w:t>are </w:t>
      </w:r>
      <w:r>
        <w:rPr>
          <w:sz w:val="20"/>
        </w:rPr>
        <w:t>difficult to access. The courts </w:t>
      </w:r>
      <w:r>
        <w:rPr>
          <w:spacing w:val="-4"/>
          <w:sz w:val="20"/>
        </w:rPr>
        <w:t>have </w:t>
      </w:r>
      <w:r>
        <w:rPr>
          <w:spacing w:val="-3"/>
          <w:sz w:val="20"/>
        </w:rPr>
        <w:t>told </w:t>
      </w:r>
      <w:r>
        <w:rPr>
          <w:sz w:val="20"/>
        </w:rPr>
        <w:t>us that</w:t>
      </w:r>
      <w:r>
        <w:rPr>
          <w:spacing w:val="-9"/>
          <w:sz w:val="20"/>
        </w:rPr>
        <w:t> </w:t>
      </w:r>
      <w:r>
        <w:rPr>
          <w:sz w:val="20"/>
        </w:rPr>
        <w:t>they</w:t>
      </w:r>
      <w:r>
        <w:rPr>
          <w:spacing w:val="-8"/>
          <w:sz w:val="20"/>
        </w:rPr>
        <w:t> </w:t>
      </w:r>
      <w:r>
        <w:rPr>
          <w:spacing w:val="-3"/>
          <w:sz w:val="20"/>
        </w:rPr>
        <w:t>are</w:t>
      </w:r>
      <w:r>
        <w:rPr>
          <w:spacing w:val="-8"/>
          <w:sz w:val="20"/>
        </w:rPr>
        <w:t> </w:t>
      </w:r>
      <w:r>
        <w:rPr>
          <w:sz w:val="20"/>
        </w:rPr>
        <w:t>taking</w:t>
      </w:r>
      <w:r>
        <w:rPr>
          <w:spacing w:val="-9"/>
          <w:sz w:val="20"/>
        </w:rPr>
        <w:t> </w:t>
      </w:r>
      <w:r>
        <w:rPr>
          <w:sz w:val="20"/>
        </w:rPr>
        <w:t>steps</w:t>
      </w:r>
      <w:r>
        <w:rPr>
          <w:spacing w:val="-8"/>
          <w:sz w:val="20"/>
        </w:rPr>
        <w:t> </w:t>
      </w:r>
      <w:r>
        <w:rPr>
          <w:sz w:val="20"/>
        </w:rPr>
        <w:t>to</w:t>
      </w:r>
      <w:r>
        <w:rPr>
          <w:spacing w:val="-8"/>
          <w:sz w:val="20"/>
        </w:rPr>
        <w:t> </w:t>
      </w:r>
      <w:r>
        <w:rPr>
          <w:spacing w:val="-4"/>
          <w:sz w:val="20"/>
        </w:rPr>
        <w:t>improve</w:t>
      </w:r>
      <w:r>
        <w:rPr>
          <w:spacing w:val="-9"/>
          <w:sz w:val="20"/>
        </w:rPr>
        <w:t> </w:t>
      </w:r>
      <w:r>
        <w:rPr>
          <w:spacing w:val="-3"/>
          <w:sz w:val="20"/>
        </w:rPr>
        <w:t>accessibility,</w:t>
      </w:r>
      <w:r>
        <w:rPr>
          <w:spacing w:val="-8"/>
          <w:sz w:val="20"/>
        </w:rPr>
        <w:t> </w:t>
      </w:r>
      <w:r>
        <w:rPr>
          <w:sz w:val="20"/>
        </w:rPr>
        <w:t>but</w:t>
      </w:r>
      <w:r>
        <w:rPr>
          <w:spacing w:val="-8"/>
          <w:sz w:val="20"/>
        </w:rPr>
        <w:t> </w:t>
      </w:r>
      <w:r>
        <w:rPr>
          <w:sz w:val="20"/>
        </w:rPr>
        <w:t>this</w:t>
      </w:r>
      <w:r>
        <w:rPr>
          <w:spacing w:val="-9"/>
          <w:sz w:val="20"/>
        </w:rPr>
        <w:t> </w:t>
      </w:r>
      <w:r>
        <w:rPr>
          <w:sz w:val="20"/>
        </w:rPr>
        <w:t>is</w:t>
      </w:r>
      <w:r>
        <w:rPr>
          <w:spacing w:val="-8"/>
          <w:sz w:val="20"/>
        </w:rPr>
        <w:t> </w:t>
      </w:r>
      <w:r>
        <w:rPr>
          <w:sz w:val="20"/>
        </w:rPr>
        <w:t>dependent</w:t>
      </w:r>
      <w:r>
        <w:rPr>
          <w:spacing w:val="-8"/>
          <w:sz w:val="20"/>
        </w:rPr>
        <w:t> </w:t>
      </w:r>
      <w:r>
        <w:rPr>
          <w:sz w:val="20"/>
        </w:rPr>
        <w:t>on</w:t>
      </w:r>
      <w:r>
        <w:rPr>
          <w:spacing w:val="-9"/>
          <w:sz w:val="20"/>
        </w:rPr>
        <w:t> </w:t>
      </w:r>
      <w:r>
        <w:rPr>
          <w:sz w:val="20"/>
        </w:rPr>
        <w:t>funding</w:t>
      </w:r>
      <w:r>
        <w:rPr>
          <w:spacing w:val="-8"/>
          <w:sz w:val="20"/>
        </w:rPr>
        <w:t> </w:t>
      </w:r>
      <w:r>
        <w:rPr>
          <w:sz w:val="20"/>
        </w:rPr>
        <w:t>and often limited </w:t>
      </w:r>
      <w:r>
        <w:rPr>
          <w:spacing w:val="-3"/>
          <w:sz w:val="20"/>
        </w:rPr>
        <w:t>by </w:t>
      </w:r>
      <w:r>
        <w:rPr>
          <w:sz w:val="20"/>
        </w:rPr>
        <w:t>heritage</w:t>
      </w:r>
      <w:r>
        <w:rPr>
          <w:spacing w:val="-15"/>
          <w:sz w:val="20"/>
        </w:rPr>
        <w:t> </w:t>
      </w:r>
      <w:r>
        <w:rPr>
          <w:sz w:val="20"/>
        </w:rPr>
        <w:t>restrictions.</w:t>
      </w:r>
    </w:p>
    <w:p>
      <w:pPr>
        <w:pStyle w:val="ListParagraph"/>
        <w:numPr>
          <w:ilvl w:val="1"/>
          <w:numId w:val="12"/>
        </w:numPr>
        <w:tabs>
          <w:tab w:pos="1761" w:val="left" w:leader="none"/>
          <w:tab w:pos="1762" w:val="left" w:leader="none"/>
        </w:tabs>
        <w:spacing w:line="206" w:lineRule="auto" w:before="124" w:after="0"/>
        <w:ind w:left="1761" w:right="1291" w:hanging="794"/>
        <w:jc w:val="left"/>
        <w:rPr>
          <w:sz w:val="20"/>
        </w:rPr>
      </w:pPr>
      <w:r>
        <w:rPr>
          <w:sz w:val="20"/>
        </w:rPr>
        <w:t>The</w:t>
      </w:r>
      <w:r>
        <w:rPr>
          <w:spacing w:val="-9"/>
          <w:sz w:val="20"/>
        </w:rPr>
        <w:t> </w:t>
      </w:r>
      <w:r>
        <w:rPr>
          <w:sz w:val="20"/>
        </w:rPr>
        <w:t>Supreme</w:t>
      </w:r>
      <w:r>
        <w:rPr>
          <w:spacing w:val="-9"/>
          <w:sz w:val="20"/>
        </w:rPr>
        <w:t> </w:t>
      </w:r>
      <w:r>
        <w:rPr>
          <w:sz w:val="20"/>
        </w:rPr>
        <w:t>Court</w:t>
      </w:r>
      <w:r>
        <w:rPr>
          <w:spacing w:val="-9"/>
          <w:sz w:val="20"/>
        </w:rPr>
        <w:t> </w:t>
      </w:r>
      <w:r>
        <w:rPr>
          <w:sz w:val="20"/>
        </w:rPr>
        <w:t>in</w:t>
      </w:r>
      <w:r>
        <w:rPr>
          <w:spacing w:val="-9"/>
          <w:sz w:val="20"/>
        </w:rPr>
        <w:t> </w:t>
      </w:r>
      <w:r>
        <w:rPr>
          <w:sz w:val="20"/>
        </w:rPr>
        <w:t>Melbourne</w:t>
      </w:r>
      <w:r>
        <w:rPr>
          <w:spacing w:val="-9"/>
          <w:sz w:val="20"/>
        </w:rPr>
        <w:t> </w:t>
      </w:r>
      <w:r>
        <w:rPr>
          <w:sz w:val="20"/>
        </w:rPr>
        <w:t>was</w:t>
      </w:r>
      <w:r>
        <w:rPr>
          <w:spacing w:val="-8"/>
          <w:sz w:val="20"/>
        </w:rPr>
        <w:t> </w:t>
      </w:r>
      <w:r>
        <w:rPr>
          <w:sz w:val="20"/>
        </w:rPr>
        <w:t>built</w:t>
      </w:r>
      <w:r>
        <w:rPr>
          <w:spacing w:val="-9"/>
          <w:sz w:val="20"/>
        </w:rPr>
        <w:t> </w:t>
      </w:r>
      <w:r>
        <w:rPr>
          <w:sz w:val="20"/>
        </w:rPr>
        <w:t>in</w:t>
      </w:r>
      <w:r>
        <w:rPr>
          <w:spacing w:val="-9"/>
          <w:sz w:val="20"/>
        </w:rPr>
        <w:t> </w:t>
      </w:r>
      <w:r>
        <w:rPr>
          <w:spacing w:val="-6"/>
          <w:sz w:val="20"/>
        </w:rPr>
        <w:t>1874</w:t>
      </w:r>
      <w:r>
        <w:rPr>
          <w:spacing w:val="-9"/>
          <w:sz w:val="20"/>
        </w:rPr>
        <w:t> </w:t>
      </w:r>
      <w:r>
        <w:rPr>
          <w:sz w:val="20"/>
        </w:rPr>
        <w:t>and</w:t>
      </w:r>
      <w:r>
        <w:rPr>
          <w:spacing w:val="-9"/>
          <w:sz w:val="20"/>
        </w:rPr>
        <w:t> </w:t>
      </w:r>
      <w:r>
        <w:rPr>
          <w:sz w:val="20"/>
        </w:rPr>
        <w:t>‘was</w:t>
      </w:r>
      <w:r>
        <w:rPr>
          <w:spacing w:val="-9"/>
          <w:sz w:val="20"/>
        </w:rPr>
        <w:t> </w:t>
      </w:r>
      <w:r>
        <w:rPr>
          <w:sz w:val="20"/>
        </w:rPr>
        <w:t>not</w:t>
      </w:r>
      <w:r>
        <w:rPr>
          <w:spacing w:val="-8"/>
          <w:sz w:val="20"/>
        </w:rPr>
        <w:t> </w:t>
      </w:r>
      <w:r>
        <w:rPr>
          <w:sz w:val="20"/>
        </w:rPr>
        <w:t>built</w:t>
      </w:r>
      <w:r>
        <w:rPr>
          <w:spacing w:val="-9"/>
          <w:sz w:val="20"/>
        </w:rPr>
        <w:t> </w:t>
      </w:r>
      <w:r>
        <w:rPr>
          <w:sz w:val="20"/>
        </w:rPr>
        <w:t>with</w:t>
      </w:r>
      <w:r>
        <w:rPr>
          <w:spacing w:val="-9"/>
          <w:sz w:val="20"/>
        </w:rPr>
        <w:t> </w:t>
      </w:r>
      <w:r>
        <w:rPr>
          <w:sz w:val="20"/>
        </w:rPr>
        <w:t>a</w:t>
      </w:r>
      <w:r>
        <w:rPr>
          <w:spacing w:val="-9"/>
          <w:sz w:val="20"/>
        </w:rPr>
        <w:t> </w:t>
      </w:r>
      <w:r>
        <w:rPr>
          <w:sz w:val="20"/>
        </w:rPr>
        <w:t>view</w:t>
      </w:r>
      <w:r>
        <w:rPr>
          <w:spacing w:val="-9"/>
          <w:sz w:val="20"/>
        </w:rPr>
        <w:t> </w:t>
      </w:r>
      <w:r>
        <w:rPr>
          <w:sz w:val="20"/>
        </w:rPr>
        <w:t>to</w:t>
      </w:r>
      <w:r>
        <w:rPr>
          <w:spacing w:val="-9"/>
          <w:sz w:val="20"/>
        </w:rPr>
        <w:t> </w:t>
      </w:r>
      <w:r>
        <w:rPr>
          <w:sz w:val="20"/>
        </w:rPr>
        <w:t>the accessibility of people with disabilities or the community </w:t>
      </w:r>
      <w:r>
        <w:rPr>
          <w:spacing w:val="-3"/>
          <w:sz w:val="20"/>
        </w:rPr>
        <w:t>generally’.</w:t>
      </w:r>
      <w:r>
        <w:rPr>
          <w:spacing w:val="-3"/>
          <w:position w:val="7"/>
          <w:sz w:val="11"/>
        </w:rPr>
        <w:t>63 </w:t>
      </w:r>
      <w:r>
        <w:rPr>
          <w:sz w:val="20"/>
        </w:rPr>
        <w:t>The Supreme Court submission</w:t>
      </w:r>
      <w:r>
        <w:rPr>
          <w:spacing w:val="-9"/>
          <w:sz w:val="20"/>
        </w:rPr>
        <w:t> </w:t>
      </w:r>
      <w:r>
        <w:rPr>
          <w:sz w:val="20"/>
        </w:rPr>
        <w:t>stated:</w:t>
      </w:r>
    </w:p>
    <w:p>
      <w:pPr>
        <w:spacing w:line="208" w:lineRule="auto" w:before="121"/>
        <w:ind w:left="2157" w:right="1550" w:firstLine="0"/>
        <w:jc w:val="left"/>
        <w:rPr>
          <w:sz w:val="19"/>
        </w:rPr>
      </w:pPr>
      <w:r>
        <w:rPr>
          <w:sz w:val="19"/>
        </w:rPr>
        <w:t>The Supreme Court operates in heritage listed buildings which </w:t>
      </w:r>
      <w:r>
        <w:rPr>
          <w:spacing w:val="-3"/>
          <w:sz w:val="19"/>
        </w:rPr>
        <w:t>have </w:t>
      </w:r>
      <w:r>
        <w:rPr>
          <w:sz w:val="19"/>
        </w:rPr>
        <w:t>very limited capacity to be adapted to comply with modern accessibility standards in relation to the spaces occupied by jurors. For example, jurors must negotiate steep stairs in courtrooms used for criminal trials, which could present a significant safety risk for jurors who are blind or </w:t>
      </w:r>
      <w:r>
        <w:rPr>
          <w:spacing w:val="-3"/>
          <w:sz w:val="19"/>
        </w:rPr>
        <w:t>have low </w:t>
      </w:r>
      <w:r>
        <w:rPr>
          <w:sz w:val="19"/>
        </w:rPr>
        <w:t>vision. There is limited space in the Court’s  jury</w:t>
      </w:r>
      <w:r>
        <w:rPr>
          <w:spacing w:val="-4"/>
          <w:sz w:val="19"/>
        </w:rPr>
        <w:t> </w:t>
      </w:r>
      <w:r>
        <w:rPr>
          <w:sz w:val="19"/>
        </w:rPr>
        <w:t>rooms,</w:t>
      </w:r>
      <w:r>
        <w:rPr>
          <w:spacing w:val="-3"/>
          <w:sz w:val="19"/>
        </w:rPr>
        <w:t> </w:t>
      </w:r>
      <w:r>
        <w:rPr>
          <w:sz w:val="19"/>
        </w:rPr>
        <w:t>so</w:t>
      </w:r>
      <w:r>
        <w:rPr>
          <w:spacing w:val="-3"/>
          <w:sz w:val="19"/>
        </w:rPr>
        <w:t> </w:t>
      </w:r>
      <w:r>
        <w:rPr>
          <w:sz w:val="19"/>
        </w:rPr>
        <w:t>it</w:t>
      </w:r>
      <w:r>
        <w:rPr>
          <w:spacing w:val="-3"/>
          <w:sz w:val="19"/>
        </w:rPr>
        <w:t> </w:t>
      </w:r>
      <w:r>
        <w:rPr>
          <w:sz w:val="19"/>
        </w:rPr>
        <w:t>may</w:t>
      </w:r>
      <w:r>
        <w:rPr>
          <w:spacing w:val="-3"/>
          <w:sz w:val="19"/>
        </w:rPr>
        <w:t> </w:t>
      </w:r>
      <w:r>
        <w:rPr>
          <w:sz w:val="19"/>
        </w:rPr>
        <w:t>not</w:t>
      </w:r>
      <w:r>
        <w:rPr>
          <w:spacing w:val="-4"/>
          <w:sz w:val="19"/>
        </w:rPr>
        <w:t> </w:t>
      </w:r>
      <w:r>
        <w:rPr>
          <w:sz w:val="19"/>
        </w:rPr>
        <w:t>be</w:t>
      </w:r>
      <w:r>
        <w:rPr>
          <w:spacing w:val="-3"/>
          <w:sz w:val="19"/>
        </w:rPr>
        <w:t> </w:t>
      </w:r>
      <w:r>
        <w:rPr>
          <w:sz w:val="19"/>
        </w:rPr>
        <w:t>possible</w:t>
      </w:r>
      <w:r>
        <w:rPr>
          <w:spacing w:val="-3"/>
          <w:sz w:val="19"/>
        </w:rPr>
        <w:t> </w:t>
      </w:r>
      <w:r>
        <w:rPr>
          <w:sz w:val="19"/>
        </w:rPr>
        <w:t>to</w:t>
      </w:r>
      <w:r>
        <w:rPr>
          <w:spacing w:val="-3"/>
          <w:sz w:val="19"/>
        </w:rPr>
        <w:t> </w:t>
      </w:r>
      <w:r>
        <w:rPr>
          <w:sz w:val="19"/>
        </w:rPr>
        <w:t>accommodate</w:t>
      </w:r>
      <w:r>
        <w:rPr>
          <w:spacing w:val="-3"/>
          <w:sz w:val="19"/>
        </w:rPr>
        <w:t> </w:t>
      </w:r>
      <w:r>
        <w:rPr>
          <w:sz w:val="19"/>
        </w:rPr>
        <w:t>support</w:t>
      </w:r>
      <w:r>
        <w:rPr>
          <w:spacing w:val="-4"/>
          <w:sz w:val="19"/>
        </w:rPr>
        <w:t> </w:t>
      </w:r>
      <w:r>
        <w:rPr>
          <w:sz w:val="19"/>
        </w:rPr>
        <w:t>persons</w:t>
      </w:r>
      <w:r>
        <w:rPr>
          <w:spacing w:val="-3"/>
          <w:sz w:val="19"/>
        </w:rPr>
        <w:t> </w:t>
      </w:r>
      <w:r>
        <w:rPr>
          <w:sz w:val="19"/>
        </w:rPr>
        <w:t>or</w:t>
      </w:r>
      <w:r>
        <w:rPr>
          <w:spacing w:val="-3"/>
          <w:sz w:val="19"/>
        </w:rPr>
        <w:t> </w:t>
      </w:r>
      <w:r>
        <w:rPr>
          <w:sz w:val="19"/>
        </w:rPr>
        <w:t>support</w:t>
      </w:r>
    </w:p>
    <w:p>
      <w:pPr>
        <w:spacing w:line="208" w:lineRule="auto" w:before="4"/>
        <w:ind w:left="2157" w:right="1200" w:firstLine="0"/>
        <w:jc w:val="left"/>
        <w:rPr>
          <w:sz w:val="11"/>
        </w:rPr>
      </w:pPr>
      <w:r>
        <w:rPr>
          <w:sz w:val="19"/>
        </w:rPr>
        <w:t>animals in some of those rooms. In some circumstances the Court can arrange to hold trials in the courtrooms in the County Court building which does not have these issues to the same degree, however this is generally well in advance of trial so may not be able to be arranged at short notice.</w:t>
      </w:r>
      <w:r>
        <w:rPr>
          <w:position w:val="6"/>
          <w:sz w:val="11"/>
        </w:rPr>
        <w:t>64</w:t>
      </w:r>
    </w:p>
    <w:p>
      <w:pPr>
        <w:pStyle w:val="ListParagraph"/>
        <w:numPr>
          <w:ilvl w:val="1"/>
          <w:numId w:val="12"/>
        </w:numPr>
        <w:tabs>
          <w:tab w:pos="1761" w:val="left" w:leader="none"/>
          <w:tab w:pos="1762" w:val="left" w:leader="none"/>
        </w:tabs>
        <w:spacing w:line="206" w:lineRule="auto" w:before="124" w:after="0"/>
        <w:ind w:left="1761" w:right="1239" w:hanging="794"/>
        <w:jc w:val="left"/>
        <w:rPr>
          <w:sz w:val="11"/>
        </w:rPr>
      </w:pPr>
      <w:r>
        <w:rPr>
          <w:spacing w:val="-3"/>
          <w:sz w:val="20"/>
        </w:rPr>
        <w:t>Peter </w:t>
      </w:r>
      <w:r>
        <w:rPr>
          <w:spacing w:val="-4"/>
          <w:sz w:val="20"/>
        </w:rPr>
        <w:t>Ward, </w:t>
      </w:r>
      <w:r>
        <w:rPr>
          <w:sz w:val="20"/>
        </w:rPr>
        <w:t>a legal practitioner who has </w:t>
      </w:r>
      <w:r>
        <w:rPr>
          <w:spacing w:val="-4"/>
          <w:sz w:val="20"/>
        </w:rPr>
        <w:t>low </w:t>
      </w:r>
      <w:r>
        <w:rPr>
          <w:sz w:val="20"/>
        </w:rPr>
        <w:t>vision, agreed that the Supreme Court building</w:t>
      </w:r>
      <w:r>
        <w:rPr>
          <w:spacing w:val="-12"/>
          <w:sz w:val="20"/>
        </w:rPr>
        <w:t> </w:t>
      </w:r>
      <w:r>
        <w:rPr>
          <w:sz w:val="20"/>
        </w:rPr>
        <w:t>is</w:t>
      </w:r>
      <w:r>
        <w:rPr>
          <w:spacing w:val="-11"/>
          <w:sz w:val="20"/>
        </w:rPr>
        <w:t> </w:t>
      </w:r>
      <w:r>
        <w:rPr>
          <w:sz w:val="20"/>
        </w:rPr>
        <w:t>very</w:t>
      </w:r>
      <w:r>
        <w:rPr>
          <w:spacing w:val="-11"/>
          <w:sz w:val="20"/>
        </w:rPr>
        <w:t> </w:t>
      </w:r>
      <w:r>
        <w:rPr>
          <w:sz w:val="20"/>
        </w:rPr>
        <w:t>difficult</w:t>
      </w:r>
      <w:r>
        <w:rPr>
          <w:spacing w:val="-12"/>
          <w:sz w:val="20"/>
        </w:rPr>
        <w:t> </w:t>
      </w:r>
      <w:r>
        <w:rPr>
          <w:sz w:val="20"/>
        </w:rPr>
        <w:t>to</w:t>
      </w:r>
      <w:r>
        <w:rPr>
          <w:spacing w:val="-11"/>
          <w:sz w:val="20"/>
        </w:rPr>
        <w:t> </w:t>
      </w:r>
      <w:r>
        <w:rPr>
          <w:spacing w:val="-3"/>
          <w:sz w:val="20"/>
        </w:rPr>
        <w:t>navigate:</w:t>
      </w:r>
      <w:r>
        <w:rPr>
          <w:spacing w:val="-11"/>
          <w:sz w:val="20"/>
        </w:rPr>
        <w:t> </w:t>
      </w:r>
      <w:r>
        <w:rPr>
          <w:sz w:val="20"/>
        </w:rPr>
        <w:t>‘I</w:t>
      </w:r>
      <w:r>
        <w:rPr>
          <w:spacing w:val="-11"/>
          <w:sz w:val="20"/>
        </w:rPr>
        <w:t> </w:t>
      </w:r>
      <w:r>
        <w:rPr>
          <w:spacing w:val="-3"/>
          <w:sz w:val="20"/>
        </w:rPr>
        <w:t>usually</w:t>
      </w:r>
      <w:r>
        <w:rPr>
          <w:spacing w:val="-12"/>
          <w:sz w:val="20"/>
        </w:rPr>
        <w:t> </w:t>
      </w:r>
      <w:r>
        <w:rPr>
          <w:sz w:val="20"/>
        </w:rPr>
        <w:t>go</w:t>
      </w:r>
      <w:r>
        <w:rPr>
          <w:spacing w:val="-11"/>
          <w:sz w:val="20"/>
        </w:rPr>
        <w:t> </w:t>
      </w:r>
      <w:r>
        <w:rPr>
          <w:sz w:val="20"/>
        </w:rPr>
        <w:t>with</w:t>
      </w:r>
      <w:r>
        <w:rPr>
          <w:spacing w:val="-11"/>
          <w:sz w:val="20"/>
        </w:rPr>
        <w:t> </w:t>
      </w:r>
      <w:r>
        <w:rPr>
          <w:sz w:val="20"/>
        </w:rPr>
        <w:t>someone</w:t>
      </w:r>
      <w:r>
        <w:rPr>
          <w:spacing w:val="-11"/>
          <w:sz w:val="20"/>
        </w:rPr>
        <w:t> </w:t>
      </w:r>
      <w:r>
        <w:rPr>
          <w:spacing w:val="-3"/>
          <w:sz w:val="20"/>
        </w:rPr>
        <w:t>from</w:t>
      </w:r>
      <w:r>
        <w:rPr>
          <w:spacing w:val="-12"/>
          <w:sz w:val="20"/>
        </w:rPr>
        <w:t> </w:t>
      </w:r>
      <w:r>
        <w:rPr>
          <w:sz w:val="20"/>
        </w:rPr>
        <w:t>the</w:t>
      </w:r>
      <w:r>
        <w:rPr>
          <w:spacing w:val="-11"/>
          <w:sz w:val="20"/>
        </w:rPr>
        <w:t> </w:t>
      </w:r>
      <w:r>
        <w:rPr>
          <w:sz w:val="20"/>
        </w:rPr>
        <w:t>office,</w:t>
      </w:r>
      <w:r>
        <w:rPr>
          <w:spacing w:val="-11"/>
          <w:sz w:val="20"/>
        </w:rPr>
        <w:t> </w:t>
      </w:r>
      <w:r>
        <w:rPr>
          <w:sz w:val="20"/>
        </w:rPr>
        <w:t>who</w:t>
      </w:r>
      <w:r>
        <w:rPr>
          <w:spacing w:val="-11"/>
          <w:sz w:val="20"/>
        </w:rPr>
        <w:t> </w:t>
      </w:r>
      <w:r>
        <w:rPr>
          <w:sz w:val="20"/>
        </w:rPr>
        <w:t>can help</w:t>
      </w:r>
      <w:r>
        <w:rPr>
          <w:spacing w:val="-9"/>
          <w:sz w:val="20"/>
        </w:rPr>
        <w:t> </w:t>
      </w:r>
      <w:r>
        <w:rPr>
          <w:sz w:val="20"/>
        </w:rPr>
        <w:t>me</w:t>
      </w:r>
      <w:r>
        <w:rPr>
          <w:spacing w:val="-9"/>
          <w:sz w:val="20"/>
        </w:rPr>
        <w:t> </w:t>
      </w:r>
      <w:r>
        <w:rPr>
          <w:sz w:val="20"/>
        </w:rPr>
        <w:t>find</w:t>
      </w:r>
      <w:r>
        <w:rPr>
          <w:spacing w:val="-9"/>
          <w:sz w:val="20"/>
        </w:rPr>
        <w:t> </w:t>
      </w:r>
      <w:r>
        <w:rPr>
          <w:sz w:val="20"/>
        </w:rPr>
        <w:t>the</w:t>
      </w:r>
      <w:r>
        <w:rPr>
          <w:spacing w:val="-8"/>
          <w:sz w:val="20"/>
        </w:rPr>
        <w:t> </w:t>
      </w:r>
      <w:r>
        <w:rPr>
          <w:sz w:val="20"/>
        </w:rPr>
        <w:t>court</w:t>
      </w:r>
      <w:r>
        <w:rPr>
          <w:spacing w:val="-9"/>
          <w:sz w:val="20"/>
        </w:rPr>
        <w:t> </w:t>
      </w:r>
      <w:r>
        <w:rPr>
          <w:sz w:val="20"/>
        </w:rPr>
        <w:t>etc.</w:t>
      </w:r>
      <w:r>
        <w:rPr>
          <w:spacing w:val="-9"/>
          <w:sz w:val="20"/>
        </w:rPr>
        <w:t> </w:t>
      </w:r>
      <w:r>
        <w:rPr>
          <w:sz w:val="20"/>
        </w:rPr>
        <w:t>It</w:t>
      </w:r>
      <w:r>
        <w:rPr>
          <w:spacing w:val="-8"/>
          <w:sz w:val="20"/>
        </w:rPr>
        <w:t> </w:t>
      </w:r>
      <w:r>
        <w:rPr>
          <w:sz w:val="20"/>
        </w:rPr>
        <w:t>is</w:t>
      </w:r>
      <w:r>
        <w:rPr>
          <w:spacing w:val="-9"/>
          <w:sz w:val="20"/>
        </w:rPr>
        <w:t> </w:t>
      </w:r>
      <w:r>
        <w:rPr>
          <w:sz w:val="20"/>
        </w:rPr>
        <w:t>a</w:t>
      </w:r>
      <w:r>
        <w:rPr>
          <w:spacing w:val="-9"/>
          <w:sz w:val="20"/>
        </w:rPr>
        <w:t> </w:t>
      </w:r>
      <w:r>
        <w:rPr>
          <w:sz w:val="20"/>
        </w:rPr>
        <w:t>nightmare</w:t>
      </w:r>
      <w:r>
        <w:rPr>
          <w:spacing w:val="-8"/>
          <w:sz w:val="20"/>
        </w:rPr>
        <w:t> </w:t>
      </w:r>
      <w:r>
        <w:rPr>
          <w:sz w:val="20"/>
        </w:rPr>
        <w:t>in</w:t>
      </w:r>
      <w:r>
        <w:rPr>
          <w:spacing w:val="-9"/>
          <w:sz w:val="20"/>
        </w:rPr>
        <w:t> </w:t>
      </w:r>
      <w:r>
        <w:rPr>
          <w:sz w:val="20"/>
        </w:rPr>
        <w:t>terms</w:t>
      </w:r>
      <w:r>
        <w:rPr>
          <w:spacing w:val="-9"/>
          <w:sz w:val="20"/>
        </w:rPr>
        <w:t> </w:t>
      </w:r>
      <w:r>
        <w:rPr>
          <w:sz w:val="20"/>
        </w:rPr>
        <w:t>of</w:t>
      </w:r>
      <w:r>
        <w:rPr>
          <w:spacing w:val="-9"/>
          <w:sz w:val="20"/>
        </w:rPr>
        <w:t> </w:t>
      </w:r>
      <w:r>
        <w:rPr>
          <w:sz w:val="20"/>
        </w:rPr>
        <w:t>getting</w:t>
      </w:r>
      <w:r>
        <w:rPr>
          <w:spacing w:val="-8"/>
          <w:sz w:val="20"/>
        </w:rPr>
        <w:t> </w:t>
      </w:r>
      <w:r>
        <w:rPr>
          <w:spacing w:val="-3"/>
          <w:sz w:val="20"/>
        </w:rPr>
        <w:t>into</w:t>
      </w:r>
      <w:r>
        <w:rPr>
          <w:spacing w:val="-9"/>
          <w:sz w:val="20"/>
        </w:rPr>
        <w:t> </w:t>
      </w:r>
      <w:r>
        <w:rPr>
          <w:spacing w:val="-3"/>
          <w:sz w:val="20"/>
        </w:rPr>
        <w:t>court’.</w:t>
      </w:r>
      <w:r>
        <w:rPr>
          <w:spacing w:val="-9"/>
          <w:sz w:val="20"/>
        </w:rPr>
        <w:t> </w:t>
      </w:r>
      <w:r>
        <w:rPr>
          <w:sz w:val="20"/>
        </w:rPr>
        <w:t>He</w:t>
      </w:r>
      <w:r>
        <w:rPr>
          <w:spacing w:val="-8"/>
          <w:sz w:val="20"/>
        </w:rPr>
        <w:t> </w:t>
      </w:r>
      <w:r>
        <w:rPr>
          <w:sz w:val="20"/>
        </w:rPr>
        <w:t>suggested that the ‘County Court is infinitely </w:t>
      </w:r>
      <w:r>
        <w:rPr>
          <w:spacing w:val="-4"/>
          <w:sz w:val="20"/>
        </w:rPr>
        <w:t>better, </w:t>
      </w:r>
      <w:r>
        <w:rPr>
          <w:spacing w:val="-2"/>
          <w:sz w:val="20"/>
        </w:rPr>
        <w:t>mostly </w:t>
      </w:r>
      <w:r>
        <w:rPr>
          <w:sz w:val="20"/>
        </w:rPr>
        <w:t>because it is laid out in a sensible way!’</w:t>
      </w:r>
      <w:r>
        <w:rPr>
          <w:position w:val="7"/>
          <w:sz w:val="11"/>
        </w:rPr>
        <w:t>65</w:t>
      </w:r>
    </w:p>
    <w:p>
      <w:pPr>
        <w:pStyle w:val="ListParagraph"/>
        <w:numPr>
          <w:ilvl w:val="1"/>
          <w:numId w:val="12"/>
        </w:numPr>
        <w:tabs>
          <w:tab w:pos="1761" w:val="left" w:leader="none"/>
          <w:tab w:pos="1762" w:val="left" w:leader="none"/>
        </w:tabs>
        <w:spacing w:line="206" w:lineRule="auto" w:before="127" w:after="0"/>
        <w:ind w:left="1761" w:right="1395" w:hanging="794"/>
        <w:jc w:val="left"/>
        <w:rPr>
          <w:sz w:val="20"/>
        </w:rPr>
      </w:pPr>
      <w:r>
        <w:rPr>
          <w:sz w:val="20"/>
        </w:rPr>
        <w:t>Dr </w:t>
      </w:r>
      <w:r>
        <w:rPr>
          <w:spacing w:val="-3"/>
          <w:sz w:val="20"/>
        </w:rPr>
        <w:t>David </w:t>
      </w:r>
      <w:r>
        <w:rPr>
          <w:sz w:val="20"/>
        </w:rPr>
        <w:t>Squirrell, a community </w:t>
      </w:r>
      <w:r>
        <w:rPr>
          <w:spacing w:val="-3"/>
          <w:sz w:val="20"/>
        </w:rPr>
        <w:t>member, </w:t>
      </w:r>
      <w:r>
        <w:rPr>
          <w:sz w:val="20"/>
        </w:rPr>
        <w:t>suggested that people with disabilities </w:t>
      </w:r>
      <w:r>
        <w:rPr>
          <w:spacing w:val="-3"/>
          <w:sz w:val="20"/>
        </w:rPr>
        <w:t>are </w:t>
      </w:r>
      <w:r>
        <w:rPr>
          <w:sz w:val="20"/>
        </w:rPr>
        <w:t>often</w:t>
      </w:r>
      <w:r>
        <w:rPr>
          <w:spacing w:val="-10"/>
          <w:sz w:val="20"/>
        </w:rPr>
        <w:t> </w:t>
      </w:r>
      <w:r>
        <w:rPr>
          <w:sz w:val="20"/>
        </w:rPr>
        <w:t>not</w:t>
      </w:r>
      <w:r>
        <w:rPr>
          <w:spacing w:val="-9"/>
          <w:sz w:val="20"/>
        </w:rPr>
        <w:t> </w:t>
      </w:r>
      <w:r>
        <w:rPr>
          <w:sz w:val="20"/>
        </w:rPr>
        <w:t>consulted</w:t>
      </w:r>
      <w:r>
        <w:rPr>
          <w:spacing w:val="-9"/>
          <w:sz w:val="20"/>
        </w:rPr>
        <w:t> </w:t>
      </w:r>
      <w:r>
        <w:rPr>
          <w:sz w:val="20"/>
        </w:rPr>
        <w:t>about</w:t>
      </w:r>
      <w:r>
        <w:rPr>
          <w:spacing w:val="-10"/>
          <w:sz w:val="20"/>
        </w:rPr>
        <w:t> </w:t>
      </w:r>
      <w:r>
        <w:rPr>
          <w:spacing w:val="-3"/>
          <w:sz w:val="20"/>
        </w:rPr>
        <w:t>accessibility.</w:t>
      </w:r>
      <w:r>
        <w:rPr>
          <w:spacing w:val="-9"/>
          <w:sz w:val="20"/>
        </w:rPr>
        <w:t> </w:t>
      </w:r>
      <w:r>
        <w:rPr>
          <w:sz w:val="20"/>
        </w:rPr>
        <w:t>His</w:t>
      </w:r>
      <w:r>
        <w:rPr>
          <w:spacing w:val="-9"/>
          <w:sz w:val="20"/>
        </w:rPr>
        <w:t> </w:t>
      </w:r>
      <w:r>
        <w:rPr>
          <w:sz w:val="20"/>
        </w:rPr>
        <w:t>comments</w:t>
      </w:r>
      <w:r>
        <w:rPr>
          <w:spacing w:val="-10"/>
          <w:sz w:val="20"/>
        </w:rPr>
        <w:t> </w:t>
      </w:r>
      <w:r>
        <w:rPr>
          <w:spacing w:val="-4"/>
          <w:sz w:val="20"/>
        </w:rPr>
        <w:t>were</w:t>
      </w:r>
      <w:r>
        <w:rPr>
          <w:spacing w:val="-9"/>
          <w:sz w:val="20"/>
        </w:rPr>
        <w:t> </w:t>
      </w:r>
      <w:r>
        <w:rPr>
          <w:sz w:val="20"/>
        </w:rPr>
        <w:t>made</w:t>
      </w:r>
      <w:r>
        <w:rPr>
          <w:spacing w:val="-9"/>
          <w:sz w:val="20"/>
        </w:rPr>
        <w:t> </w:t>
      </w:r>
      <w:r>
        <w:rPr>
          <w:sz w:val="20"/>
        </w:rPr>
        <w:t>in</w:t>
      </w:r>
      <w:r>
        <w:rPr>
          <w:spacing w:val="-10"/>
          <w:sz w:val="20"/>
        </w:rPr>
        <w:t> </w:t>
      </w:r>
      <w:r>
        <w:rPr>
          <w:sz w:val="20"/>
        </w:rPr>
        <w:t>relation</w:t>
      </w:r>
      <w:r>
        <w:rPr>
          <w:spacing w:val="-9"/>
          <w:sz w:val="20"/>
        </w:rPr>
        <w:t> </w:t>
      </w:r>
      <w:r>
        <w:rPr>
          <w:sz w:val="20"/>
        </w:rPr>
        <w:t>to</w:t>
      </w:r>
      <w:r>
        <w:rPr>
          <w:spacing w:val="-9"/>
          <w:sz w:val="20"/>
        </w:rPr>
        <w:t> </w:t>
      </w:r>
      <w:r>
        <w:rPr>
          <w:sz w:val="20"/>
        </w:rPr>
        <w:t>South Australian</w:t>
      </w:r>
      <w:r>
        <w:rPr>
          <w:spacing w:val="-6"/>
          <w:sz w:val="20"/>
        </w:rPr>
        <w:t> </w:t>
      </w:r>
      <w:r>
        <w:rPr>
          <w:sz w:val="20"/>
        </w:rPr>
        <w:t>courts</w:t>
      </w:r>
      <w:r>
        <w:rPr>
          <w:spacing w:val="-6"/>
          <w:sz w:val="20"/>
        </w:rPr>
        <w:t> </w:t>
      </w:r>
      <w:r>
        <w:rPr>
          <w:sz w:val="20"/>
        </w:rPr>
        <w:t>but</w:t>
      </w:r>
      <w:r>
        <w:rPr>
          <w:spacing w:val="-6"/>
          <w:sz w:val="20"/>
        </w:rPr>
        <w:t> </w:t>
      </w:r>
      <w:r>
        <w:rPr>
          <w:spacing w:val="-3"/>
          <w:sz w:val="20"/>
        </w:rPr>
        <w:t>are</w:t>
      </w:r>
      <w:r>
        <w:rPr>
          <w:spacing w:val="-5"/>
          <w:sz w:val="20"/>
        </w:rPr>
        <w:t> </w:t>
      </w:r>
      <w:r>
        <w:rPr>
          <w:sz w:val="20"/>
        </w:rPr>
        <w:t>also</w:t>
      </w:r>
      <w:r>
        <w:rPr>
          <w:spacing w:val="-6"/>
          <w:sz w:val="20"/>
        </w:rPr>
        <w:t> </w:t>
      </w:r>
      <w:r>
        <w:rPr>
          <w:sz w:val="20"/>
        </w:rPr>
        <w:t>applicable</w:t>
      </w:r>
      <w:r>
        <w:rPr>
          <w:spacing w:val="-6"/>
          <w:sz w:val="20"/>
        </w:rPr>
        <w:t> </w:t>
      </w:r>
      <w:r>
        <w:rPr>
          <w:sz w:val="20"/>
        </w:rPr>
        <w:t>to</w:t>
      </w:r>
      <w:r>
        <w:rPr>
          <w:spacing w:val="-5"/>
          <w:sz w:val="20"/>
        </w:rPr>
        <w:t> </w:t>
      </w:r>
      <w:r>
        <w:rPr>
          <w:sz w:val="20"/>
        </w:rPr>
        <w:t>Victoria.</w:t>
      </w:r>
      <w:r>
        <w:rPr>
          <w:spacing w:val="-6"/>
          <w:sz w:val="20"/>
        </w:rPr>
        <w:t> </w:t>
      </w:r>
      <w:r>
        <w:rPr>
          <w:sz w:val="20"/>
        </w:rPr>
        <w:t>He</w:t>
      </w:r>
      <w:r>
        <w:rPr>
          <w:spacing w:val="-6"/>
          <w:sz w:val="20"/>
        </w:rPr>
        <w:t> </w:t>
      </w:r>
      <w:r>
        <w:rPr>
          <w:sz w:val="20"/>
        </w:rPr>
        <w:t>observed</w:t>
      </w:r>
      <w:r>
        <w:rPr>
          <w:spacing w:val="-5"/>
          <w:sz w:val="20"/>
        </w:rPr>
        <w:t> </w:t>
      </w:r>
      <w:r>
        <w:rPr>
          <w:sz w:val="20"/>
        </w:rPr>
        <w:t>that:</w:t>
      </w:r>
    </w:p>
    <w:p>
      <w:pPr>
        <w:pStyle w:val="ListParagraph"/>
        <w:numPr>
          <w:ilvl w:val="2"/>
          <w:numId w:val="12"/>
        </w:numPr>
        <w:tabs>
          <w:tab w:pos="2157" w:val="left" w:leader="none"/>
          <w:tab w:pos="2158" w:val="left" w:leader="none"/>
        </w:tabs>
        <w:spacing w:line="206" w:lineRule="auto" w:before="123" w:after="0"/>
        <w:ind w:left="2157" w:right="1962" w:hanging="396"/>
        <w:jc w:val="left"/>
        <w:rPr>
          <w:sz w:val="20"/>
        </w:rPr>
      </w:pPr>
      <w:r>
        <w:rPr>
          <w:sz w:val="20"/>
        </w:rPr>
        <w:t>court</w:t>
      </w:r>
      <w:r>
        <w:rPr>
          <w:spacing w:val="-15"/>
          <w:sz w:val="20"/>
        </w:rPr>
        <w:t> </w:t>
      </w:r>
      <w:r>
        <w:rPr>
          <w:sz w:val="20"/>
        </w:rPr>
        <w:t>buildings</w:t>
      </w:r>
      <w:r>
        <w:rPr>
          <w:spacing w:val="-14"/>
          <w:sz w:val="20"/>
        </w:rPr>
        <w:t> </w:t>
      </w:r>
      <w:r>
        <w:rPr>
          <w:spacing w:val="-3"/>
          <w:sz w:val="20"/>
        </w:rPr>
        <w:t>are</w:t>
      </w:r>
      <w:r>
        <w:rPr>
          <w:spacing w:val="-14"/>
          <w:sz w:val="20"/>
        </w:rPr>
        <w:t> </w:t>
      </w:r>
      <w:r>
        <w:rPr>
          <w:sz w:val="20"/>
        </w:rPr>
        <w:t>often</w:t>
      </w:r>
      <w:r>
        <w:rPr>
          <w:spacing w:val="-14"/>
          <w:sz w:val="20"/>
        </w:rPr>
        <w:t> </w:t>
      </w:r>
      <w:r>
        <w:rPr>
          <w:sz w:val="20"/>
        </w:rPr>
        <w:t>inaccessible</w:t>
      </w:r>
      <w:r>
        <w:rPr>
          <w:spacing w:val="-14"/>
          <w:sz w:val="20"/>
        </w:rPr>
        <w:t> </w:t>
      </w:r>
      <w:r>
        <w:rPr>
          <w:sz w:val="20"/>
        </w:rPr>
        <w:t>to</w:t>
      </w:r>
      <w:r>
        <w:rPr>
          <w:spacing w:val="-14"/>
          <w:sz w:val="20"/>
        </w:rPr>
        <w:t> </w:t>
      </w:r>
      <w:r>
        <w:rPr>
          <w:sz w:val="20"/>
        </w:rPr>
        <w:t>wheelchairs</w:t>
      </w:r>
      <w:r>
        <w:rPr>
          <w:spacing w:val="-14"/>
          <w:sz w:val="20"/>
        </w:rPr>
        <w:t> </w:t>
      </w:r>
      <w:r>
        <w:rPr>
          <w:sz w:val="20"/>
        </w:rPr>
        <w:t>and</w:t>
      </w:r>
      <w:r>
        <w:rPr>
          <w:spacing w:val="-14"/>
          <w:sz w:val="20"/>
        </w:rPr>
        <w:t> </w:t>
      </w:r>
      <w:r>
        <w:rPr>
          <w:sz w:val="20"/>
        </w:rPr>
        <w:t>mobility</w:t>
      </w:r>
      <w:r>
        <w:rPr>
          <w:spacing w:val="-14"/>
          <w:sz w:val="20"/>
        </w:rPr>
        <w:t> </w:t>
      </w:r>
      <w:r>
        <w:rPr>
          <w:sz w:val="20"/>
        </w:rPr>
        <w:t>scooters (gophers)</w:t>
      </w:r>
    </w:p>
    <w:p>
      <w:pPr>
        <w:pStyle w:val="ListParagraph"/>
        <w:numPr>
          <w:ilvl w:val="2"/>
          <w:numId w:val="12"/>
        </w:numPr>
        <w:tabs>
          <w:tab w:pos="2157" w:val="left" w:leader="none"/>
          <w:tab w:pos="2158" w:val="left" w:leader="none"/>
        </w:tabs>
        <w:spacing w:line="240" w:lineRule="auto" w:before="56" w:after="0"/>
        <w:ind w:left="2157" w:right="0" w:hanging="396"/>
        <w:jc w:val="left"/>
        <w:rPr>
          <w:sz w:val="20"/>
        </w:rPr>
      </w:pPr>
      <w:r>
        <w:rPr>
          <w:sz w:val="20"/>
        </w:rPr>
        <w:t>court toilets often do not </w:t>
      </w:r>
      <w:r>
        <w:rPr>
          <w:spacing w:val="-4"/>
          <w:sz w:val="20"/>
        </w:rPr>
        <w:t>have </w:t>
      </w:r>
      <w:r>
        <w:rPr>
          <w:sz w:val="20"/>
        </w:rPr>
        <w:t>disability-friendly</w:t>
      </w:r>
      <w:r>
        <w:rPr>
          <w:spacing w:val="-30"/>
          <w:sz w:val="20"/>
        </w:rPr>
        <w:t> </w:t>
      </w:r>
      <w:r>
        <w:rPr>
          <w:sz w:val="20"/>
        </w:rPr>
        <w:t>doors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there</w:t>
      </w:r>
      <w:r>
        <w:rPr>
          <w:spacing w:val="-5"/>
          <w:sz w:val="20"/>
        </w:rPr>
        <w:t> </w:t>
      </w:r>
      <w:r>
        <w:rPr>
          <w:sz w:val="20"/>
        </w:rPr>
        <w:t>is</w:t>
      </w:r>
      <w:r>
        <w:rPr>
          <w:spacing w:val="-5"/>
          <w:sz w:val="20"/>
        </w:rPr>
        <w:t> </w:t>
      </w:r>
      <w:r>
        <w:rPr>
          <w:sz w:val="20"/>
        </w:rPr>
        <w:t>a</w:t>
      </w:r>
      <w:r>
        <w:rPr>
          <w:spacing w:val="-4"/>
          <w:sz w:val="20"/>
        </w:rPr>
        <w:t> </w:t>
      </w:r>
      <w:r>
        <w:rPr>
          <w:sz w:val="20"/>
        </w:rPr>
        <w:t>lack</w:t>
      </w:r>
      <w:r>
        <w:rPr>
          <w:spacing w:val="-5"/>
          <w:sz w:val="20"/>
        </w:rPr>
        <w:t> </w:t>
      </w:r>
      <w:r>
        <w:rPr>
          <w:sz w:val="20"/>
        </w:rPr>
        <w:t>of</w:t>
      </w:r>
      <w:r>
        <w:rPr>
          <w:spacing w:val="-5"/>
          <w:sz w:val="20"/>
        </w:rPr>
        <w:t> </w:t>
      </w:r>
      <w:r>
        <w:rPr>
          <w:sz w:val="20"/>
        </w:rPr>
        <w:t>standardisation</w:t>
      </w:r>
      <w:r>
        <w:rPr>
          <w:spacing w:val="-4"/>
          <w:sz w:val="20"/>
        </w:rPr>
        <w:t> </w:t>
      </w:r>
      <w:r>
        <w:rPr>
          <w:sz w:val="20"/>
        </w:rPr>
        <w:t>of</w:t>
      </w:r>
      <w:r>
        <w:rPr>
          <w:spacing w:val="-5"/>
          <w:sz w:val="20"/>
        </w:rPr>
        <w:t> </w:t>
      </w:r>
      <w:r>
        <w:rPr>
          <w:sz w:val="20"/>
        </w:rPr>
        <w:t>facilities</w:t>
      </w:r>
      <w:r>
        <w:rPr>
          <w:spacing w:val="-4"/>
          <w:sz w:val="20"/>
        </w:rPr>
        <w:t> </w:t>
      </w:r>
      <w:r>
        <w:rPr>
          <w:spacing w:val="-3"/>
          <w:sz w:val="20"/>
        </w:rPr>
        <w:t>across</w:t>
      </w:r>
      <w:r>
        <w:rPr>
          <w:spacing w:val="-5"/>
          <w:sz w:val="20"/>
        </w:rPr>
        <w:t> </w:t>
      </w:r>
      <w:r>
        <w:rPr>
          <w:sz w:val="20"/>
        </w:rPr>
        <w:t>the</w:t>
      </w:r>
      <w:r>
        <w:rPr>
          <w:spacing w:val="-5"/>
          <w:sz w:val="20"/>
        </w:rPr>
        <w:t> </w:t>
      </w:r>
      <w:r>
        <w:rPr>
          <w:sz w:val="20"/>
        </w:rPr>
        <w:t>courts</w:t>
      </w:r>
    </w:p>
    <w:p>
      <w:pPr>
        <w:pStyle w:val="ListParagraph"/>
        <w:numPr>
          <w:ilvl w:val="2"/>
          <w:numId w:val="12"/>
        </w:numPr>
        <w:tabs>
          <w:tab w:pos="2157" w:val="left" w:leader="none"/>
          <w:tab w:pos="2158" w:val="left" w:leader="none"/>
        </w:tabs>
        <w:spacing w:line="206" w:lineRule="auto" w:before="80" w:after="0"/>
        <w:ind w:left="2157" w:right="1225" w:hanging="396"/>
        <w:jc w:val="left"/>
        <w:rPr>
          <w:sz w:val="11"/>
        </w:rPr>
      </w:pPr>
      <w:r>
        <w:rPr>
          <w:sz w:val="20"/>
        </w:rPr>
        <w:t>tactile</w:t>
      </w:r>
      <w:r>
        <w:rPr>
          <w:spacing w:val="-10"/>
          <w:sz w:val="20"/>
        </w:rPr>
        <w:t> </w:t>
      </w:r>
      <w:r>
        <w:rPr>
          <w:sz w:val="20"/>
        </w:rPr>
        <w:t>ground</w:t>
      </w:r>
      <w:r>
        <w:rPr>
          <w:spacing w:val="-9"/>
          <w:sz w:val="20"/>
        </w:rPr>
        <w:t> </w:t>
      </w:r>
      <w:r>
        <w:rPr>
          <w:sz w:val="20"/>
        </w:rPr>
        <w:t>surface</w:t>
      </w:r>
      <w:r>
        <w:rPr>
          <w:spacing w:val="-10"/>
          <w:sz w:val="20"/>
        </w:rPr>
        <w:t> </w:t>
      </w:r>
      <w:r>
        <w:rPr>
          <w:sz w:val="20"/>
        </w:rPr>
        <w:t>indicators</w:t>
      </w:r>
      <w:r>
        <w:rPr>
          <w:spacing w:val="-9"/>
          <w:sz w:val="20"/>
        </w:rPr>
        <w:t> </w:t>
      </w:r>
      <w:r>
        <w:rPr>
          <w:spacing w:val="-3"/>
          <w:sz w:val="20"/>
        </w:rPr>
        <w:t>are</w:t>
      </w:r>
      <w:r>
        <w:rPr>
          <w:spacing w:val="-10"/>
          <w:sz w:val="20"/>
        </w:rPr>
        <w:t> </w:t>
      </w:r>
      <w:r>
        <w:rPr>
          <w:sz w:val="20"/>
        </w:rPr>
        <w:t>needed</w:t>
      </w:r>
      <w:r>
        <w:rPr>
          <w:spacing w:val="-9"/>
          <w:sz w:val="20"/>
        </w:rPr>
        <w:t> </w:t>
      </w:r>
      <w:r>
        <w:rPr>
          <w:sz w:val="20"/>
        </w:rPr>
        <w:t>to</w:t>
      </w:r>
      <w:r>
        <w:rPr>
          <w:spacing w:val="-10"/>
          <w:sz w:val="20"/>
        </w:rPr>
        <w:t> </w:t>
      </w:r>
      <w:r>
        <w:rPr>
          <w:sz w:val="20"/>
        </w:rPr>
        <w:t>assist</w:t>
      </w:r>
      <w:r>
        <w:rPr>
          <w:spacing w:val="-9"/>
          <w:sz w:val="20"/>
        </w:rPr>
        <w:t> </w:t>
      </w:r>
      <w:r>
        <w:rPr>
          <w:sz w:val="20"/>
        </w:rPr>
        <w:t>people</w:t>
      </w:r>
      <w:r>
        <w:rPr>
          <w:spacing w:val="-10"/>
          <w:sz w:val="20"/>
        </w:rPr>
        <w:t> </w:t>
      </w:r>
      <w:r>
        <w:rPr>
          <w:sz w:val="20"/>
        </w:rPr>
        <w:t>who</w:t>
      </w:r>
      <w:r>
        <w:rPr>
          <w:spacing w:val="-9"/>
          <w:sz w:val="20"/>
        </w:rPr>
        <w:t> </w:t>
      </w:r>
      <w:r>
        <w:rPr>
          <w:spacing w:val="-3"/>
          <w:sz w:val="20"/>
        </w:rPr>
        <w:t>are</w:t>
      </w:r>
      <w:r>
        <w:rPr>
          <w:spacing w:val="-10"/>
          <w:sz w:val="20"/>
        </w:rPr>
        <w:t> </w:t>
      </w:r>
      <w:r>
        <w:rPr>
          <w:sz w:val="20"/>
        </w:rPr>
        <w:t>blind</w:t>
      </w:r>
      <w:r>
        <w:rPr>
          <w:spacing w:val="-9"/>
          <w:sz w:val="20"/>
        </w:rPr>
        <w:t> </w:t>
      </w:r>
      <w:r>
        <w:rPr>
          <w:sz w:val="20"/>
        </w:rPr>
        <w:t>or</w:t>
      </w:r>
      <w:r>
        <w:rPr>
          <w:spacing w:val="-10"/>
          <w:sz w:val="20"/>
        </w:rPr>
        <w:t> </w:t>
      </w:r>
      <w:r>
        <w:rPr>
          <w:spacing w:val="-4"/>
          <w:sz w:val="20"/>
        </w:rPr>
        <w:t>have low </w:t>
      </w:r>
      <w:r>
        <w:rPr>
          <w:sz w:val="20"/>
        </w:rPr>
        <w:t>vision to </w:t>
      </w:r>
      <w:r>
        <w:rPr>
          <w:spacing w:val="-3"/>
          <w:sz w:val="20"/>
        </w:rPr>
        <w:t>navigate </w:t>
      </w:r>
      <w:r>
        <w:rPr>
          <w:sz w:val="20"/>
        </w:rPr>
        <w:t>court</w:t>
      </w:r>
      <w:r>
        <w:rPr>
          <w:spacing w:val="-15"/>
          <w:sz w:val="20"/>
        </w:rPr>
        <w:t> </w:t>
      </w:r>
      <w:r>
        <w:rPr>
          <w:sz w:val="20"/>
        </w:rPr>
        <w:t>buildings.</w:t>
      </w:r>
      <w:r>
        <w:rPr>
          <w:position w:val="7"/>
          <w:sz w:val="11"/>
        </w:rPr>
        <w:t>66</w:t>
      </w:r>
    </w:p>
    <w:p>
      <w:pPr>
        <w:pStyle w:val="BodyText"/>
      </w:pPr>
    </w:p>
    <w:p>
      <w:pPr>
        <w:pStyle w:val="BodyText"/>
      </w:pPr>
    </w:p>
    <w:p>
      <w:pPr>
        <w:pStyle w:val="BodyText"/>
      </w:pPr>
    </w:p>
    <w:p>
      <w:pPr>
        <w:pStyle w:val="BodyText"/>
      </w:pPr>
    </w:p>
    <w:p>
      <w:pPr>
        <w:pStyle w:val="BodyText"/>
        <w:spacing w:before="3"/>
        <w:rPr>
          <w:sz w:val="13"/>
        </w:rPr>
      </w:pPr>
      <w:r>
        <w:rPr/>
        <w:pict>
          <v:line style="position:absolute;mso-position-horizontal-relative:page;mso-position-vertical-relative:paragraph;z-index:6992;mso-wrap-distance-left:0;mso-wrap-distance-right:0" from="79.370102pt,11.62380pt" to="515.905102pt,11.62380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2"/>
        </w:rPr>
      </w:pPr>
    </w:p>
    <w:p>
      <w:pPr>
        <w:spacing w:before="0"/>
        <w:ind w:left="100" w:right="0" w:firstLine="0"/>
        <w:jc w:val="left"/>
        <w:rPr>
          <w:b/>
          <w:sz w:val="24"/>
        </w:rPr>
      </w:pPr>
      <w:r>
        <w:rPr>
          <w:b/>
          <w:color w:val="37617A"/>
          <w:sz w:val="24"/>
        </w:rPr>
        <w:t>116</w:t>
      </w:r>
    </w:p>
    <w:p>
      <w:pPr>
        <w:pStyle w:val="ListParagraph"/>
        <w:numPr>
          <w:ilvl w:val="0"/>
          <w:numId w:val="82"/>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pacing w:val="2"/>
          <w:sz w:val="13"/>
        </w:rPr>
        <w:t>Submission </w:t>
      </w:r>
      <w:r>
        <w:rPr>
          <w:spacing w:val="3"/>
          <w:sz w:val="13"/>
        </w:rPr>
        <w:t>14 </w:t>
      </w:r>
      <w:r>
        <w:rPr>
          <w:sz w:val="13"/>
        </w:rPr>
        <w:t>(County </w:t>
      </w:r>
      <w:r>
        <w:rPr>
          <w:spacing w:val="2"/>
          <w:sz w:val="13"/>
        </w:rPr>
        <w:t>Court </w:t>
      </w:r>
      <w:r>
        <w:rPr>
          <w:sz w:val="13"/>
        </w:rPr>
        <w:t>of Victoria). Discussed </w:t>
      </w:r>
      <w:r>
        <w:rPr>
          <w:spacing w:val="2"/>
          <w:sz w:val="13"/>
        </w:rPr>
        <w:t>further </w:t>
      </w:r>
      <w:r>
        <w:rPr>
          <w:sz w:val="13"/>
        </w:rPr>
        <w:t>in Chapter</w:t>
      </w:r>
      <w:r>
        <w:rPr>
          <w:spacing w:val="-5"/>
          <w:sz w:val="13"/>
        </w:rPr>
        <w:t> </w:t>
      </w:r>
      <w:r>
        <w:rPr>
          <w:spacing w:val="2"/>
          <w:sz w:val="13"/>
        </w:rPr>
        <w:t>9.</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z w:val="13"/>
        </w:rPr>
        <w:t>Consultation 16 (Office of </w:t>
      </w:r>
      <w:r>
        <w:rPr>
          <w:spacing w:val="2"/>
          <w:sz w:val="13"/>
        </w:rPr>
        <w:t>Public </w:t>
      </w:r>
      <w:r>
        <w:rPr>
          <w:sz w:val="13"/>
        </w:rPr>
        <w:t>Prosecutions</w:t>
      </w:r>
      <w:r>
        <w:rPr>
          <w:spacing w:val="-1"/>
          <w:sz w:val="13"/>
        </w:rPr>
        <w:t> </w:t>
      </w:r>
      <w:r>
        <w:rPr>
          <w:sz w:val="13"/>
        </w:rPr>
        <w:t>Victoria).</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z w:val="13"/>
        </w:rPr>
        <w:t>Consultation 25 (Peter Ward, Partner, Galbally and </w:t>
      </w:r>
      <w:r>
        <w:rPr>
          <w:spacing w:val="2"/>
          <w:sz w:val="13"/>
        </w:rPr>
        <w:t>O’Bryan</w:t>
      </w:r>
      <w:r>
        <w:rPr>
          <w:spacing w:val="3"/>
          <w:sz w:val="13"/>
        </w:rPr>
        <w:t> </w:t>
      </w:r>
      <w:r>
        <w:rPr>
          <w:sz w:val="13"/>
        </w:rPr>
        <w:t>Lawyers).</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z w:val="13"/>
        </w:rPr>
        <w:t>Consultation 25 (Peter Ward, Partner, Galbally and </w:t>
      </w:r>
      <w:r>
        <w:rPr>
          <w:spacing w:val="2"/>
          <w:sz w:val="13"/>
        </w:rPr>
        <w:t>O’Bryan</w:t>
      </w:r>
      <w:r>
        <w:rPr>
          <w:spacing w:val="3"/>
          <w:sz w:val="13"/>
        </w:rPr>
        <w:t> </w:t>
      </w:r>
      <w:r>
        <w:rPr>
          <w:sz w:val="13"/>
        </w:rPr>
        <w:t>Lawyers).</w:t>
      </w:r>
    </w:p>
    <w:p>
      <w:pPr>
        <w:pStyle w:val="ListParagraph"/>
        <w:numPr>
          <w:ilvl w:val="0"/>
          <w:numId w:val="82"/>
        </w:numPr>
        <w:tabs>
          <w:tab w:pos="893" w:val="left" w:leader="none"/>
          <w:tab w:pos="894" w:val="left" w:leader="none"/>
        </w:tabs>
        <w:spacing w:line="170" w:lineRule="exact" w:before="0" w:after="0"/>
        <w:ind w:left="893" w:right="0" w:hanging="793"/>
        <w:jc w:val="left"/>
        <w:rPr>
          <w:sz w:val="13"/>
        </w:rPr>
      </w:pPr>
      <w:r>
        <w:rPr>
          <w:spacing w:val="2"/>
          <w:sz w:val="13"/>
        </w:rPr>
        <w:t>Submission </w:t>
      </w:r>
      <w:r>
        <w:rPr>
          <w:sz w:val="13"/>
        </w:rPr>
        <w:t>2 (Dr David</w:t>
      </w:r>
      <w:r>
        <w:rPr>
          <w:spacing w:val="-2"/>
          <w:sz w:val="13"/>
        </w:rPr>
        <w:t> </w:t>
      </w:r>
      <w:r>
        <w:rPr>
          <w:sz w:val="13"/>
        </w:rPr>
        <w:t>Squirrell).</w:t>
      </w:r>
    </w:p>
    <w:p>
      <w:pPr>
        <w:spacing w:after="0" w:line="170" w:lineRule="exact"/>
        <w:jc w:val="left"/>
        <w:rPr>
          <w:sz w:val="13"/>
        </w:rPr>
        <w:sectPr>
          <w:type w:val="continuous"/>
          <w:pgSz w:w="11910" w:h="16840"/>
          <w:pgMar w:top="620" w:bottom="280" w:left="620" w:right="380"/>
          <w:cols w:num="2" w:equalWidth="0">
            <w:col w:w="516" w:space="351"/>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709" w:hanging="794"/>
        <w:jc w:val="left"/>
        <w:rPr>
          <w:sz w:val="20"/>
        </w:rPr>
      </w:pPr>
      <w:r>
        <w:rPr>
          <w:sz w:val="20"/>
        </w:rPr>
        <w:t>Other</w:t>
      </w:r>
      <w:r>
        <w:rPr>
          <w:spacing w:val="-10"/>
          <w:sz w:val="20"/>
        </w:rPr>
        <w:t> </w:t>
      </w:r>
      <w:r>
        <w:rPr>
          <w:sz w:val="20"/>
        </w:rPr>
        <w:t>responses</w:t>
      </w:r>
      <w:r>
        <w:rPr>
          <w:spacing w:val="-10"/>
          <w:sz w:val="20"/>
        </w:rPr>
        <w:t> </w:t>
      </w:r>
      <w:r>
        <w:rPr>
          <w:sz w:val="20"/>
        </w:rPr>
        <w:t>suggested</w:t>
      </w:r>
      <w:r>
        <w:rPr>
          <w:spacing w:val="-9"/>
          <w:sz w:val="20"/>
        </w:rPr>
        <w:t> </w:t>
      </w:r>
      <w:r>
        <w:rPr>
          <w:sz w:val="20"/>
        </w:rPr>
        <w:t>the</w:t>
      </w:r>
      <w:r>
        <w:rPr>
          <w:spacing w:val="-10"/>
          <w:sz w:val="20"/>
        </w:rPr>
        <w:t> </w:t>
      </w:r>
      <w:r>
        <w:rPr>
          <w:spacing w:val="-3"/>
          <w:sz w:val="20"/>
        </w:rPr>
        <w:t>following</w:t>
      </w:r>
      <w:r>
        <w:rPr>
          <w:spacing w:val="-9"/>
          <w:sz w:val="20"/>
        </w:rPr>
        <w:t> </w:t>
      </w:r>
      <w:r>
        <w:rPr>
          <w:spacing w:val="-3"/>
          <w:sz w:val="20"/>
        </w:rPr>
        <w:t>improvements</w:t>
      </w:r>
      <w:r>
        <w:rPr>
          <w:spacing w:val="-10"/>
          <w:sz w:val="20"/>
        </w:rPr>
        <w:t> </w:t>
      </w:r>
      <w:r>
        <w:rPr>
          <w:sz w:val="20"/>
        </w:rPr>
        <w:t>to</w:t>
      </w:r>
      <w:r>
        <w:rPr>
          <w:spacing w:val="-9"/>
          <w:sz w:val="20"/>
        </w:rPr>
        <w:t> </w:t>
      </w:r>
      <w:r>
        <w:rPr>
          <w:sz w:val="20"/>
        </w:rPr>
        <w:t>courtrooms</w:t>
      </w:r>
      <w:r>
        <w:rPr>
          <w:spacing w:val="-10"/>
          <w:sz w:val="20"/>
        </w:rPr>
        <w:t> </w:t>
      </w:r>
      <w:r>
        <w:rPr>
          <w:sz w:val="20"/>
        </w:rPr>
        <w:t>should</w:t>
      </w:r>
      <w:r>
        <w:rPr>
          <w:spacing w:val="-9"/>
          <w:sz w:val="20"/>
        </w:rPr>
        <w:t> </w:t>
      </w:r>
      <w:r>
        <w:rPr>
          <w:sz w:val="20"/>
        </w:rPr>
        <w:t>be made:</w:t>
      </w:r>
    </w:p>
    <w:p>
      <w:pPr>
        <w:pStyle w:val="ListParagraph"/>
        <w:numPr>
          <w:ilvl w:val="2"/>
          <w:numId w:val="12"/>
        </w:numPr>
        <w:tabs>
          <w:tab w:pos="2157" w:val="left" w:leader="none"/>
          <w:tab w:pos="2158" w:val="left" w:leader="none"/>
        </w:tabs>
        <w:spacing w:line="240" w:lineRule="auto" w:before="90" w:after="0"/>
        <w:ind w:left="2157" w:right="0" w:hanging="396"/>
        <w:jc w:val="left"/>
        <w:rPr>
          <w:sz w:val="20"/>
        </w:rPr>
      </w:pPr>
      <w:r>
        <w:rPr>
          <w:sz w:val="20"/>
        </w:rPr>
        <w:t>better</w:t>
      </w:r>
      <w:r>
        <w:rPr>
          <w:spacing w:val="-5"/>
          <w:sz w:val="20"/>
        </w:rPr>
        <w:t> </w:t>
      </w:r>
      <w:r>
        <w:rPr>
          <w:sz w:val="20"/>
        </w:rPr>
        <w:t>lighting</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adjusting lighting to </w:t>
      </w:r>
      <w:r>
        <w:rPr>
          <w:spacing w:val="-4"/>
          <w:sz w:val="20"/>
        </w:rPr>
        <w:t>prevent </w:t>
      </w:r>
      <w:r>
        <w:rPr>
          <w:sz w:val="20"/>
        </w:rPr>
        <w:t>glare for people who</w:t>
      </w:r>
      <w:r>
        <w:rPr>
          <w:spacing w:val="-37"/>
          <w:sz w:val="20"/>
        </w:rPr>
        <w:t> </w:t>
      </w:r>
      <w:r>
        <w:rPr>
          <w:spacing w:val="-4"/>
          <w:sz w:val="20"/>
        </w:rPr>
        <w:t>have low </w:t>
      </w:r>
      <w:r>
        <w:rPr>
          <w:sz w:val="20"/>
        </w:rPr>
        <w:t>vision</w:t>
      </w:r>
    </w:p>
    <w:p>
      <w:pPr>
        <w:pStyle w:val="ListParagraph"/>
        <w:numPr>
          <w:ilvl w:val="2"/>
          <w:numId w:val="12"/>
        </w:numPr>
        <w:tabs>
          <w:tab w:pos="2157" w:val="left" w:leader="none"/>
          <w:tab w:pos="2158" w:val="left" w:leader="none"/>
        </w:tabs>
        <w:spacing w:line="240" w:lineRule="auto" w:before="47" w:after="0"/>
        <w:ind w:left="2157" w:right="0" w:hanging="396"/>
        <w:jc w:val="left"/>
        <w:rPr>
          <w:sz w:val="11"/>
        </w:rPr>
      </w:pPr>
      <w:r>
        <w:rPr>
          <w:sz w:val="20"/>
        </w:rPr>
        <w:t>reducing</w:t>
      </w:r>
      <w:r>
        <w:rPr>
          <w:spacing w:val="-5"/>
          <w:sz w:val="20"/>
        </w:rPr>
        <w:t> </w:t>
      </w:r>
      <w:r>
        <w:rPr>
          <w:sz w:val="20"/>
        </w:rPr>
        <w:t>sound</w:t>
      </w:r>
      <w:r>
        <w:rPr>
          <w:spacing w:val="-5"/>
          <w:sz w:val="20"/>
        </w:rPr>
        <w:t> </w:t>
      </w:r>
      <w:r>
        <w:rPr>
          <w:spacing w:val="-3"/>
          <w:sz w:val="20"/>
        </w:rPr>
        <w:t>reverberations</w:t>
      </w:r>
      <w:r>
        <w:rPr>
          <w:spacing w:val="-5"/>
          <w:sz w:val="20"/>
        </w:rPr>
        <w:t> </w:t>
      </w:r>
      <w:r>
        <w:rPr>
          <w:spacing w:val="-3"/>
          <w:sz w:val="20"/>
        </w:rPr>
        <w:t>by</w:t>
      </w:r>
      <w:r>
        <w:rPr>
          <w:spacing w:val="-5"/>
          <w:sz w:val="20"/>
        </w:rPr>
        <w:t> </w:t>
      </w:r>
      <w:r>
        <w:rPr>
          <w:sz w:val="20"/>
        </w:rPr>
        <w:t>carpeting</w:t>
      </w:r>
      <w:r>
        <w:rPr>
          <w:spacing w:val="-4"/>
          <w:sz w:val="20"/>
        </w:rPr>
        <w:t> </w:t>
      </w:r>
      <w:r>
        <w:rPr>
          <w:sz w:val="20"/>
        </w:rPr>
        <w:t>floor</w:t>
      </w:r>
      <w:r>
        <w:rPr>
          <w:spacing w:val="-5"/>
          <w:sz w:val="20"/>
        </w:rPr>
        <w:t> </w:t>
      </w:r>
      <w:r>
        <w:rPr>
          <w:sz w:val="20"/>
        </w:rPr>
        <w:t>and</w:t>
      </w:r>
      <w:r>
        <w:rPr>
          <w:spacing w:val="-5"/>
          <w:sz w:val="20"/>
        </w:rPr>
        <w:t> </w:t>
      </w:r>
      <w:r>
        <w:rPr>
          <w:sz w:val="20"/>
        </w:rPr>
        <w:t>walls</w:t>
      </w:r>
      <w:r>
        <w:rPr>
          <w:spacing w:val="-5"/>
          <w:sz w:val="20"/>
        </w:rPr>
        <w:t> </w:t>
      </w:r>
      <w:r>
        <w:rPr>
          <w:sz w:val="20"/>
        </w:rPr>
        <w:t>to</w:t>
      </w:r>
      <w:r>
        <w:rPr>
          <w:spacing w:val="-4"/>
          <w:sz w:val="20"/>
        </w:rPr>
        <w:t> </w:t>
      </w:r>
      <w:r>
        <w:rPr>
          <w:spacing w:val="-3"/>
          <w:sz w:val="20"/>
        </w:rPr>
        <w:t>reduce</w:t>
      </w:r>
      <w:r>
        <w:rPr>
          <w:spacing w:val="-5"/>
          <w:sz w:val="20"/>
        </w:rPr>
        <w:t> </w:t>
      </w:r>
      <w:r>
        <w:rPr>
          <w:sz w:val="20"/>
        </w:rPr>
        <w:t>echo.</w:t>
      </w:r>
      <w:r>
        <w:rPr>
          <w:position w:val="7"/>
          <w:sz w:val="11"/>
        </w:rPr>
        <w:t>67</w:t>
      </w:r>
    </w:p>
    <w:p>
      <w:pPr>
        <w:pStyle w:val="ListParagraph"/>
        <w:numPr>
          <w:ilvl w:val="1"/>
          <w:numId w:val="12"/>
        </w:numPr>
        <w:tabs>
          <w:tab w:pos="1761" w:val="left" w:leader="none"/>
          <w:tab w:pos="1762" w:val="left" w:leader="none"/>
        </w:tabs>
        <w:spacing w:line="206" w:lineRule="auto" w:before="80" w:after="0"/>
        <w:ind w:left="1761" w:right="1484" w:hanging="794"/>
        <w:jc w:val="left"/>
        <w:rPr>
          <w:sz w:val="20"/>
        </w:rPr>
      </w:pPr>
      <w:r>
        <w:rPr>
          <w:sz w:val="20"/>
        </w:rPr>
        <w:t>Juries</w:t>
      </w:r>
      <w:r>
        <w:rPr>
          <w:spacing w:val="-11"/>
          <w:sz w:val="20"/>
        </w:rPr>
        <w:t> </w:t>
      </w:r>
      <w:r>
        <w:rPr>
          <w:sz w:val="20"/>
        </w:rPr>
        <w:t>Victoria</w:t>
      </w:r>
      <w:r>
        <w:rPr>
          <w:spacing w:val="-11"/>
          <w:sz w:val="20"/>
        </w:rPr>
        <w:t> </w:t>
      </w:r>
      <w:r>
        <w:rPr>
          <w:sz w:val="20"/>
        </w:rPr>
        <w:t>advised</w:t>
      </w:r>
      <w:r>
        <w:rPr>
          <w:spacing w:val="-10"/>
          <w:sz w:val="20"/>
        </w:rPr>
        <w:t> </w:t>
      </w:r>
      <w:r>
        <w:rPr>
          <w:sz w:val="20"/>
        </w:rPr>
        <w:t>that</w:t>
      </w:r>
      <w:r>
        <w:rPr>
          <w:spacing w:val="-11"/>
          <w:sz w:val="20"/>
        </w:rPr>
        <w:t> </w:t>
      </w:r>
      <w:r>
        <w:rPr>
          <w:sz w:val="20"/>
        </w:rPr>
        <w:t>it</w:t>
      </w:r>
      <w:r>
        <w:rPr>
          <w:spacing w:val="-10"/>
          <w:sz w:val="20"/>
        </w:rPr>
        <w:t> </w:t>
      </w:r>
      <w:r>
        <w:rPr>
          <w:sz w:val="20"/>
        </w:rPr>
        <w:t>‘won’t</w:t>
      </w:r>
      <w:r>
        <w:rPr>
          <w:spacing w:val="-11"/>
          <w:sz w:val="20"/>
        </w:rPr>
        <w:t> </w:t>
      </w:r>
      <w:r>
        <w:rPr>
          <w:sz w:val="20"/>
        </w:rPr>
        <w:t>know</w:t>
      </w:r>
      <w:r>
        <w:rPr>
          <w:spacing w:val="-10"/>
          <w:sz w:val="20"/>
        </w:rPr>
        <w:t> </w:t>
      </w:r>
      <w:r>
        <w:rPr>
          <w:sz w:val="20"/>
        </w:rPr>
        <w:t>until</w:t>
      </w:r>
      <w:r>
        <w:rPr>
          <w:spacing w:val="-11"/>
          <w:sz w:val="20"/>
        </w:rPr>
        <w:t> </w:t>
      </w:r>
      <w:r>
        <w:rPr>
          <w:sz w:val="20"/>
        </w:rPr>
        <w:t>the</w:t>
      </w:r>
      <w:r>
        <w:rPr>
          <w:spacing w:val="-10"/>
          <w:sz w:val="20"/>
        </w:rPr>
        <w:t> </w:t>
      </w:r>
      <w:r>
        <w:rPr>
          <w:sz w:val="20"/>
        </w:rPr>
        <w:t>very</w:t>
      </w:r>
      <w:r>
        <w:rPr>
          <w:spacing w:val="-11"/>
          <w:sz w:val="20"/>
        </w:rPr>
        <w:t> </w:t>
      </w:r>
      <w:r>
        <w:rPr>
          <w:sz w:val="20"/>
        </w:rPr>
        <w:t>last</w:t>
      </w:r>
      <w:r>
        <w:rPr>
          <w:spacing w:val="-10"/>
          <w:sz w:val="20"/>
        </w:rPr>
        <w:t> </w:t>
      </w:r>
      <w:r>
        <w:rPr>
          <w:sz w:val="20"/>
        </w:rPr>
        <w:t>minute</w:t>
      </w:r>
      <w:r>
        <w:rPr>
          <w:spacing w:val="-11"/>
          <w:sz w:val="20"/>
        </w:rPr>
        <w:t> </w:t>
      </w:r>
      <w:r>
        <w:rPr>
          <w:sz w:val="20"/>
        </w:rPr>
        <w:t>which</w:t>
      </w:r>
      <w:r>
        <w:rPr>
          <w:spacing w:val="-10"/>
          <w:sz w:val="20"/>
        </w:rPr>
        <w:t> </w:t>
      </w:r>
      <w:r>
        <w:rPr>
          <w:sz w:val="20"/>
        </w:rPr>
        <w:t>trial,</w:t>
      </w:r>
      <w:r>
        <w:rPr>
          <w:spacing w:val="-11"/>
          <w:sz w:val="20"/>
        </w:rPr>
        <w:t> </w:t>
      </w:r>
      <w:r>
        <w:rPr>
          <w:sz w:val="20"/>
        </w:rPr>
        <w:t>if</w:t>
      </w:r>
      <w:r>
        <w:rPr>
          <w:spacing w:val="-11"/>
          <w:sz w:val="20"/>
        </w:rPr>
        <w:t> </w:t>
      </w:r>
      <w:r>
        <w:rPr>
          <w:spacing w:val="-6"/>
          <w:sz w:val="20"/>
        </w:rPr>
        <w:t>any, </w:t>
      </w:r>
      <w:r>
        <w:rPr>
          <w:sz w:val="20"/>
        </w:rPr>
        <w:t>a person in the subject groups will be randomly balloted </w:t>
      </w:r>
      <w:r>
        <w:rPr>
          <w:spacing w:val="-4"/>
          <w:sz w:val="20"/>
        </w:rPr>
        <w:t>to’.</w:t>
      </w:r>
      <w:r>
        <w:rPr>
          <w:spacing w:val="-4"/>
          <w:position w:val="7"/>
          <w:sz w:val="11"/>
        </w:rPr>
        <w:t>68 </w:t>
      </w:r>
      <w:r>
        <w:rPr>
          <w:sz w:val="20"/>
        </w:rPr>
        <w:t>This </w:t>
      </w:r>
      <w:r>
        <w:rPr>
          <w:spacing w:val="-3"/>
          <w:sz w:val="20"/>
        </w:rPr>
        <w:t>makes </w:t>
      </w:r>
      <w:r>
        <w:rPr>
          <w:sz w:val="20"/>
        </w:rPr>
        <w:t>it hard to plan, adapt and change arrangements about court </w:t>
      </w:r>
      <w:r>
        <w:rPr>
          <w:spacing w:val="-3"/>
          <w:sz w:val="20"/>
        </w:rPr>
        <w:t>accessibility. </w:t>
      </w:r>
      <w:r>
        <w:rPr>
          <w:sz w:val="20"/>
        </w:rPr>
        <w:t>The Commission also acknowledges that witnesses and parties </w:t>
      </w:r>
      <w:r>
        <w:rPr>
          <w:spacing w:val="-3"/>
          <w:sz w:val="20"/>
        </w:rPr>
        <w:t>may </w:t>
      </w:r>
      <w:r>
        <w:rPr>
          <w:sz w:val="20"/>
        </w:rPr>
        <w:t>also </w:t>
      </w:r>
      <w:r>
        <w:rPr>
          <w:spacing w:val="-3"/>
          <w:sz w:val="20"/>
        </w:rPr>
        <w:t>require </w:t>
      </w:r>
      <w:r>
        <w:rPr>
          <w:sz w:val="20"/>
        </w:rPr>
        <w:t>accessible court facilities,</w:t>
      </w:r>
      <w:r>
        <w:rPr>
          <w:spacing w:val="-10"/>
          <w:sz w:val="20"/>
        </w:rPr>
        <w:t> </w:t>
      </w:r>
      <w:r>
        <w:rPr>
          <w:sz w:val="20"/>
        </w:rPr>
        <w:t>and</w:t>
      </w:r>
      <w:r>
        <w:rPr>
          <w:spacing w:val="-10"/>
          <w:sz w:val="20"/>
        </w:rPr>
        <w:t> </w:t>
      </w:r>
      <w:r>
        <w:rPr>
          <w:sz w:val="20"/>
        </w:rPr>
        <w:t>that</w:t>
      </w:r>
      <w:r>
        <w:rPr>
          <w:spacing w:val="-10"/>
          <w:sz w:val="20"/>
        </w:rPr>
        <w:t> </w:t>
      </w:r>
      <w:r>
        <w:rPr>
          <w:sz w:val="20"/>
        </w:rPr>
        <w:t>these</w:t>
      </w:r>
      <w:r>
        <w:rPr>
          <w:spacing w:val="-10"/>
          <w:sz w:val="20"/>
        </w:rPr>
        <w:t> </w:t>
      </w:r>
      <w:r>
        <w:rPr>
          <w:sz w:val="20"/>
        </w:rPr>
        <w:t>demands</w:t>
      </w:r>
      <w:r>
        <w:rPr>
          <w:spacing w:val="-9"/>
          <w:sz w:val="20"/>
        </w:rPr>
        <w:t> </w:t>
      </w:r>
      <w:r>
        <w:rPr>
          <w:sz w:val="20"/>
        </w:rPr>
        <w:t>will</w:t>
      </w:r>
      <w:r>
        <w:rPr>
          <w:spacing w:val="-10"/>
          <w:sz w:val="20"/>
        </w:rPr>
        <w:t> </w:t>
      </w:r>
      <w:r>
        <w:rPr>
          <w:sz w:val="20"/>
        </w:rPr>
        <w:t>trump</w:t>
      </w:r>
      <w:r>
        <w:rPr>
          <w:spacing w:val="-10"/>
          <w:sz w:val="20"/>
        </w:rPr>
        <w:t> </w:t>
      </w:r>
      <w:r>
        <w:rPr>
          <w:sz w:val="20"/>
        </w:rPr>
        <w:t>the</w:t>
      </w:r>
      <w:r>
        <w:rPr>
          <w:spacing w:val="-10"/>
          <w:sz w:val="20"/>
        </w:rPr>
        <w:t> </w:t>
      </w:r>
      <w:r>
        <w:rPr>
          <w:sz w:val="20"/>
        </w:rPr>
        <w:t>needs</w:t>
      </w:r>
      <w:r>
        <w:rPr>
          <w:spacing w:val="-9"/>
          <w:sz w:val="20"/>
        </w:rPr>
        <w:t> </w:t>
      </w:r>
      <w:r>
        <w:rPr>
          <w:sz w:val="20"/>
        </w:rPr>
        <w:t>of</w:t>
      </w:r>
      <w:r>
        <w:rPr>
          <w:spacing w:val="-10"/>
          <w:sz w:val="20"/>
        </w:rPr>
        <w:t> </w:t>
      </w:r>
      <w:r>
        <w:rPr>
          <w:sz w:val="20"/>
        </w:rPr>
        <w:t>a</w:t>
      </w:r>
      <w:r>
        <w:rPr>
          <w:spacing w:val="-10"/>
          <w:sz w:val="20"/>
        </w:rPr>
        <w:t> </w:t>
      </w:r>
      <w:r>
        <w:rPr>
          <w:sz w:val="20"/>
        </w:rPr>
        <w:t>juror</w:t>
      </w:r>
      <w:r>
        <w:rPr>
          <w:spacing w:val="-10"/>
          <w:sz w:val="20"/>
        </w:rPr>
        <w:t> </w:t>
      </w:r>
      <w:r>
        <w:rPr>
          <w:sz w:val="20"/>
        </w:rPr>
        <w:t>to</w:t>
      </w:r>
      <w:r>
        <w:rPr>
          <w:spacing w:val="-9"/>
          <w:sz w:val="20"/>
        </w:rPr>
        <w:t> </w:t>
      </w:r>
      <w:r>
        <w:rPr>
          <w:spacing w:val="-4"/>
          <w:sz w:val="20"/>
        </w:rPr>
        <w:t>have</w:t>
      </w:r>
      <w:r>
        <w:rPr>
          <w:spacing w:val="-10"/>
          <w:sz w:val="20"/>
        </w:rPr>
        <w:t> </w:t>
      </w:r>
      <w:r>
        <w:rPr>
          <w:sz w:val="20"/>
        </w:rPr>
        <w:t>a</w:t>
      </w:r>
      <w:r>
        <w:rPr>
          <w:spacing w:val="-10"/>
          <w:sz w:val="20"/>
        </w:rPr>
        <w:t> </w:t>
      </w:r>
      <w:r>
        <w:rPr>
          <w:sz w:val="20"/>
        </w:rPr>
        <w:t>trial</w:t>
      </w:r>
      <w:r>
        <w:rPr>
          <w:spacing w:val="-10"/>
          <w:sz w:val="20"/>
        </w:rPr>
        <w:t> </w:t>
      </w:r>
      <w:r>
        <w:rPr>
          <w:sz w:val="20"/>
        </w:rPr>
        <w:t>heard</w:t>
      </w:r>
    </w:p>
    <w:p>
      <w:pPr>
        <w:pStyle w:val="BodyText"/>
        <w:spacing w:line="206" w:lineRule="auto" w:before="6"/>
        <w:ind w:left="1761" w:right="1202"/>
        <w:rPr>
          <w:sz w:val="11"/>
        </w:rPr>
      </w:pPr>
      <w:r>
        <w:rPr/>
        <w:t>in an accessible courtroom. The County Court registrars advised the Commission that courtroom</w:t>
      </w:r>
      <w:r>
        <w:rPr>
          <w:spacing w:val="-14"/>
        </w:rPr>
        <w:t> </w:t>
      </w:r>
      <w:r>
        <w:rPr/>
        <w:t>allocation</w:t>
      </w:r>
      <w:r>
        <w:rPr>
          <w:spacing w:val="-14"/>
        </w:rPr>
        <w:t> </w:t>
      </w:r>
      <w:r>
        <w:rPr/>
        <w:t>‘is</w:t>
      </w:r>
      <w:r>
        <w:rPr>
          <w:spacing w:val="-14"/>
        </w:rPr>
        <w:t> </w:t>
      </w:r>
      <w:r>
        <w:rPr/>
        <w:t>dependent</w:t>
      </w:r>
      <w:r>
        <w:rPr>
          <w:spacing w:val="-13"/>
        </w:rPr>
        <w:t> </w:t>
      </w:r>
      <w:r>
        <w:rPr/>
        <w:t>on</w:t>
      </w:r>
      <w:r>
        <w:rPr>
          <w:spacing w:val="-14"/>
        </w:rPr>
        <w:t> </w:t>
      </w:r>
      <w:r>
        <w:rPr/>
        <w:t>the</w:t>
      </w:r>
      <w:r>
        <w:rPr>
          <w:spacing w:val="-14"/>
        </w:rPr>
        <w:t> </w:t>
      </w:r>
      <w:r>
        <w:rPr/>
        <w:t>length</w:t>
      </w:r>
      <w:r>
        <w:rPr>
          <w:spacing w:val="-14"/>
        </w:rPr>
        <w:t> </w:t>
      </w:r>
      <w:r>
        <w:rPr/>
        <w:t>of</w:t>
      </w:r>
      <w:r>
        <w:rPr>
          <w:spacing w:val="-13"/>
        </w:rPr>
        <w:t> </w:t>
      </w:r>
      <w:r>
        <w:rPr/>
        <w:t>the</w:t>
      </w:r>
      <w:r>
        <w:rPr>
          <w:spacing w:val="-14"/>
        </w:rPr>
        <w:t> </w:t>
      </w:r>
      <w:r>
        <w:rPr/>
        <w:t>trial/number</w:t>
      </w:r>
      <w:r>
        <w:rPr>
          <w:spacing w:val="-14"/>
        </w:rPr>
        <w:t> </w:t>
      </w:r>
      <w:r>
        <w:rPr/>
        <w:t>of</w:t>
      </w:r>
      <w:r>
        <w:rPr>
          <w:spacing w:val="-14"/>
        </w:rPr>
        <w:t> </w:t>
      </w:r>
      <w:r>
        <w:rPr/>
        <w:t>jurors</w:t>
      </w:r>
      <w:r>
        <w:rPr>
          <w:spacing w:val="-13"/>
        </w:rPr>
        <w:t> </w:t>
      </w:r>
      <w:r>
        <w:rPr/>
        <w:t>required, the</w:t>
      </w:r>
      <w:r>
        <w:rPr>
          <w:spacing w:val="-6"/>
        </w:rPr>
        <w:t> </w:t>
      </w:r>
      <w:r>
        <w:rPr/>
        <w:t>number</w:t>
      </w:r>
      <w:r>
        <w:rPr>
          <w:spacing w:val="-6"/>
        </w:rPr>
        <w:t> </w:t>
      </w:r>
      <w:r>
        <w:rPr/>
        <w:t>of</w:t>
      </w:r>
      <w:r>
        <w:rPr>
          <w:spacing w:val="-6"/>
        </w:rPr>
        <w:t> </w:t>
      </w:r>
      <w:r>
        <w:rPr/>
        <w:t>accused</w:t>
      </w:r>
      <w:r>
        <w:rPr>
          <w:spacing w:val="-6"/>
        </w:rPr>
        <w:t> </w:t>
      </w:r>
      <w:r>
        <w:rPr/>
        <w:t>and</w:t>
      </w:r>
      <w:r>
        <w:rPr>
          <w:spacing w:val="-6"/>
        </w:rPr>
        <w:t> </w:t>
      </w:r>
      <w:r>
        <w:rPr/>
        <w:t>whether</w:t>
      </w:r>
      <w:r>
        <w:rPr>
          <w:spacing w:val="-6"/>
        </w:rPr>
        <w:t> </w:t>
      </w:r>
      <w:r>
        <w:rPr/>
        <w:t>the</w:t>
      </w:r>
      <w:r>
        <w:rPr>
          <w:spacing w:val="-6"/>
        </w:rPr>
        <w:t> </w:t>
      </w:r>
      <w:r>
        <w:rPr/>
        <w:t>matter</w:t>
      </w:r>
      <w:r>
        <w:rPr>
          <w:spacing w:val="-6"/>
        </w:rPr>
        <w:t> </w:t>
      </w:r>
      <w:r>
        <w:rPr/>
        <w:t>will</w:t>
      </w:r>
      <w:r>
        <w:rPr>
          <w:spacing w:val="-6"/>
        </w:rPr>
        <w:t> </w:t>
      </w:r>
      <w:r>
        <w:rPr/>
        <w:t>proceed</w:t>
      </w:r>
      <w:r>
        <w:rPr>
          <w:spacing w:val="-5"/>
        </w:rPr>
        <w:t> </w:t>
      </w:r>
      <w:r>
        <w:rPr/>
        <w:t>as</w:t>
      </w:r>
      <w:r>
        <w:rPr>
          <w:spacing w:val="-6"/>
        </w:rPr>
        <w:t> </w:t>
      </w:r>
      <w:r>
        <w:rPr/>
        <w:t>an</w:t>
      </w:r>
      <w:r>
        <w:rPr>
          <w:spacing w:val="-6"/>
        </w:rPr>
        <w:t> </w:t>
      </w:r>
      <w:r>
        <w:rPr/>
        <w:t>e-trial’.</w:t>
      </w:r>
      <w:r>
        <w:rPr>
          <w:position w:val="7"/>
          <w:sz w:val="11"/>
        </w:rPr>
        <w:t>69</w:t>
      </w:r>
    </w:p>
    <w:p>
      <w:pPr>
        <w:pStyle w:val="ListParagraph"/>
        <w:numPr>
          <w:ilvl w:val="1"/>
          <w:numId w:val="12"/>
        </w:numPr>
        <w:tabs>
          <w:tab w:pos="1761" w:val="left" w:leader="none"/>
          <w:tab w:pos="1762" w:val="left" w:leader="none"/>
        </w:tabs>
        <w:spacing w:line="206" w:lineRule="auto" w:before="124" w:after="0"/>
        <w:ind w:left="1761" w:right="1556" w:hanging="794"/>
        <w:jc w:val="left"/>
        <w:rPr>
          <w:sz w:val="20"/>
        </w:rPr>
      </w:pPr>
      <w:r>
        <w:rPr>
          <w:sz w:val="20"/>
        </w:rPr>
        <w:t>Despite</w:t>
      </w:r>
      <w:r>
        <w:rPr>
          <w:spacing w:val="-14"/>
          <w:sz w:val="20"/>
        </w:rPr>
        <w:t> </w:t>
      </w:r>
      <w:r>
        <w:rPr>
          <w:sz w:val="20"/>
        </w:rPr>
        <w:t>these</w:t>
      </w:r>
      <w:r>
        <w:rPr>
          <w:spacing w:val="-14"/>
          <w:sz w:val="20"/>
        </w:rPr>
        <w:t> </w:t>
      </w:r>
      <w:r>
        <w:rPr>
          <w:sz w:val="20"/>
        </w:rPr>
        <w:t>challenges,</w:t>
      </w:r>
      <w:r>
        <w:rPr>
          <w:spacing w:val="-14"/>
          <w:sz w:val="20"/>
        </w:rPr>
        <w:t> </w:t>
      </w:r>
      <w:r>
        <w:rPr>
          <w:sz w:val="20"/>
        </w:rPr>
        <w:t>the</w:t>
      </w:r>
      <w:r>
        <w:rPr>
          <w:spacing w:val="-14"/>
          <w:sz w:val="20"/>
        </w:rPr>
        <w:t> </w:t>
      </w:r>
      <w:r>
        <w:rPr>
          <w:sz w:val="20"/>
        </w:rPr>
        <w:t>Commission</w:t>
      </w:r>
      <w:r>
        <w:rPr>
          <w:spacing w:val="-14"/>
          <w:sz w:val="20"/>
        </w:rPr>
        <w:t> </w:t>
      </w:r>
      <w:r>
        <w:rPr>
          <w:sz w:val="20"/>
        </w:rPr>
        <w:t>does</w:t>
      </w:r>
      <w:r>
        <w:rPr>
          <w:spacing w:val="-14"/>
          <w:sz w:val="20"/>
        </w:rPr>
        <w:t> </w:t>
      </w:r>
      <w:r>
        <w:rPr>
          <w:sz w:val="20"/>
        </w:rPr>
        <w:t>not</w:t>
      </w:r>
      <w:r>
        <w:rPr>
          <w:spacing w:val="-13"/>
          <w:sz w:val="20"/>
        </w:rPr>
        <w:t> </w:t>
      </w:r>
      <w:r>
        <w:rPr>
          <w:sz w:val="20"/>
        </w:rPr>
        <w:t>support</w:t>
      </w:r>
      <w:r>
        <w:rPr>
          <w:spacing w:val="-14"/>
          <w:sz w:val="20"/>
        </w:rPr>
        <w:t> </w:t>
      </w:r>
      <w:r>
        <w:rPr>
          <w:sz w:val="20"/>
        </w:rPr>
        <w:t>including</w:t>
      </w:r>
      <w:r>
        <w:rPr>
          <w:spacing w:val="-14"/>
          <w:sz w:val="20"/>
        </w:rPr>
        <w:t> </w:t>
      </w:r>
      <w:r>
        <w:rPr>
          <w:sz w:val="20"/>
        </w:rPr>
        <w:t>an</w:t>
      </w:r>
      <w:r>
        <w:rPr>
          <w:spacing w:val="-14"/>
          <w:sz w:val="20"/>
        </w:rPr>
        <w:t> </w:t>
      </w:r>
      <w:r>
        <w:rPr>
          <w:sz w:val="20"/>
        </w:rPr>
        <w:t>additional </w:t>
      </w:r>
      <w:r>
        <w:rPr>
          <w:spacing w:val="-2"/>
          <w:sz w:val="20"/>
        </w:rPr>
        <w:t>factor</w:t>
      </w:r>
      <w:r>
        <w:rPr>
          <w:spacing w:val="-6"/>
          <w:sz w:val="20"/>
        </w:rPr>
        <w:t> </w:t>
      </w:r>
      <w:r>
        <w:rPr>
          <w:sz w:val="20"/>
        </w:rPr>
        <w:t>in</w:t>
      </w:r>
      <w:r>
        <w:rPr>
          <w:spacing w:val="-5"/>
          <w:sz w:val="20"/>
        </w:rPr>
        <w:t> </w:t>
      </w:r>
      <w:r>
        <w:rPr>
          <w:sz w:val="20"/>
        </w:rPr>
        <w:t>the</w:t>
      </w:r>
      <w:r>
        <w:rPr>
          <w:spacing w:val="-6"/>
          <w:sz w:val="20"/>
        </w:rPr>
        <w:t> </w:t>
      </w:r>
      <w:r>
        <w:rPr>
          <w:sz w:val="20"/>
        </w:rPr>
        <w:t>legislation</w:t>
      </w:r>
      <w:r>
        <w:rPr>
          <w:spacing w:val="-5"/>
          <w:sz w:val="20"/>
        </w:rPr>
        <w:t> </w:t>
      </w:r>
      <w:r>
        <w:rPr>
          <w:sz w:val="20"/>
        </w:rPr>
        <w:t>relating</w:t>
      </w:r>
      <w:r>
        <w:rPr>
          <w:spacing w:val="-5"/>
          <w:sz w:val="20"/>
        </w:rPr>
        <w:t> </w:t>
      </w:r>
      <w:r>
        <w:rPr>
          <w:sz w:val="20"/>
        </w:rPr>
        <w:t>to</w:t>
      </w:r>
      <w:r>
        <w:rPr>
          <w:spacing w:val="-6"/>
          <w:sz w:val="20"/>
        </w:rPr>
        <w:t> </w:t>
      </w:r>
      <w:r>
        <w:rPr>
          <w:sz w:val="20"/>
        </w:rPr>
        <w:t>the</w:t>
      </w:r>
      <w:r>
        <w:rPr>
          <w:spacing w:val="-5"/>
          <w:sz w:val="20"/>
        </w:rPr>
        <w:t> </w:t>
      </w:r>
      <w:r>
        <w:rPr>
          <w:sz w:val="20"/>
        </w:rPr>
        <w:t>accessibility</w:t>
      </w:r>
      <w:r>
        <w:rPr>
          <w:spacing w:val="-6"/>
          <w:sz w:val="20"/>
        </w:rPr>
        <w:t> </w:t>
      </w:r>
      <w:r>
        <w:rPr>
          <w:sz w:val="20"/>
        </w:rPr>
        <w:t>of</w:t>
      </w:r>
      <w:r>
        <w:rPr>
          <w:spacing w:val="-5"/>
          <w:sz w:val="20"/>
        </w:rPr>
        <w:t> </w:t>
      </w:r>
      <w:r>
        <w:rPr>
          <w:sz w:val="20"/>
        </w:rPr>
        <w:t>the</w:t>
      </w:r>
      <w:r>
        <w:rPr>
          <w:spacing w:val="-5"/>
          <w:sz w:val="20"/>
        </w:rPr>
        <w:t> </w:t>
      </w:r>
      <w:r>
        <w:rPr>
          <w:sz w:val="20"/>
        </w:rPr>
        <w:t>courts.</w:t>
      </w:r>
    </w:p>
    <w:p>
      <w:pPr>
        <w:pStyle w:val="ListParagraph"/>
        <w:numPr>
          <w:ilvl w:val="1"/>
          <w:numId w:val="12"/>
        </w:numPr>
        <w:tabs>
          <w:tab w:pos="1761" w:val="left" w:leader="none"/>
          <w:tab w:pos="1762" w:val="left" w:leader="none"/>
        </w:tabs>
        <w:spacing w:line="206" w:lineRule="auto" w:before="122" w:after="0"/>
        <w:ind w:left="1761" w:right="1381" w:hanging="794"/>
        <w:jc w:val="left"/>
        <w:rPr>
          <w:sz w:val="20"/>
        </w:rPr>
      </w:pPr>
      <w:r>
        <w:rPr>
          <w:sz w:val="20"/>
        </w:rPr>
        <w:t>The County Court suggested that Juries Victoria and the Court </w:t>
      </w:r>
      <w:r>
        <w:rPr>
          <w:spacing w:val="-3"/>
          <w:sz w:val="20"/>
        </w:rPr>
        <w:t>would </w:t>
      </w:r>
      <w:r>
        <w:rPr>
          <w:sz w:val="20"/>
        </w:rPr>
        <w:t>need to </w:t>
      </w:r>
      <w:r>
        <w:rPr>
          <w:spacing w:val="-3"/>
          <w:sz w:val="20"/>
        </w:rPr>
        <w:t>work </w:t>
      </w:r>
      <w:r>
        <w:rPr>
          <w:sz w:val="20"/>
        </w:rPr>
        <w:t>together</w:t>
      </w:r>
      <w:r>
        <w:rPr>
          <w:spacing w:val="-12"/>
          <w:sz w:val="20"/>
        </w:rPr>
        <w:t> </w:t>
      </w:r>
      <w:r>
        <w:rPr>
          <w:sz w:val="20"/>
        </w:rPr>
        <w:t>to</w:t>
      </w:r>
      <w:r>
        <w:rPr>
          <w:spacing w:val="-12"/>
          <w:sz w:val="20"/>
        </w:rPr>
        <w:t> </w:t>
      </w:r>
      <w:r>
        <w:rPr>
          <w:sz w:val="20"/>
        </w:rPr>
        <w:t>identify</w:t>
      </w:r>
      <w:r>
        <w:rPr>
          <w:spacing w:val="-12"/>
          <w:sz w:val="20"/>
        </w:rPr>
        <w:t> </w:t>
      </w:r>
      <w:r>
        <w:rPr>
          <w:sz w:val="20"/>
        </w:rPr>
        <w:t>suitable</w:t>
      </w:r>
      <w:r>
        <w:rPr>
          <w:spacing w:val="-12"/>
          <w:sz w:val="20"/>
        </w:rPr>
        <w:t> </w:t>
      </w:r>
      <w:r>
        <w:rPr>
          <w:sz w:val="20"/>
        </w:rPr>
        <w:t>trials</w:t>
      </w:r>
      <w:r>
        <w:rPr>
          <w:spacing w:val="-12"/>
          <w:sz w:val="20"/>
        </w:rPr>
        <w:t> </w:t>
      </w:r>
      <w:r>
        <w:rPr>
          <w:sz w:val="20"/>
        </w:rPr>
        <w:t>for</w:t>
      </w:r>
      <w:r>
        <w:rPr>
          <w:spacing w:val="-12"/>
          <w:sz w:val="20"/>
        </w:rPr>
        <w:t> </w:t>
      </w:r>
      <w:r>
        <w:rPr>
          <w:sz w:val="20"/>
        </w:rPr>
        <w:t>potential</w:t>
      </w:r>
      <w:r>
        <w:rPr>
          <w:spacing w:val="-12"/>
          <w:sz w:val="20"/>
        </w:rPr>
        <w:t> </w:t>
      </w:r>
      <w:r>
        <w:rPr>
          <w:sz w:val="20"/>
        </w:rPr>
        <w:t>jurors</w:t>
      </w:r>
      <w:r>
        <w:rPr>
          <w:spacing w:val="-11"/>
          <w:sz w:val="20"/>
        </w:rPr>
        <w:t> </w:t>
      </w:r>
      <w:r>
        <w:rPr>
          <w:spacing w:val="-3"/>
          <w:sz w:val="20"/>
        </w:rPr>
        <w:t>from</w:t>
      </w:r>
      <w:r>
        <w:rPr>
          <w:spacing w:val="-12"/>
          <w:sz w:val="20"/>
        </w:rPr>
        <w:t> </w:t>
      </w:r>
      <w:r>
        <w:rPr>
          <w:sz w:val="20"/>
        </w:rPr>
        <w:t>the</w:t>
      </w:r>
      <w:r>
        <w:rPr>
          <w:spacing w:val="-12"/>
          <w:sz w:val="20"/>
        </w:rPr>
        <w:t> </w:t>
      </w:r>
      <w:r>
        <w:rPr>
          <w:sz w:val="20"/>
        </w:rPr>
        <w:t>subject</w:t>
      </w:r>
      <w:r>
        <w:rPr>
          <w:spacing w:val="-12"/>
          <w:sz w:val="20"/>
        </w:rPr>
        <w:t> </w:t>
      </w:r>
      <w:r>
        <w:rPr>
          <w:sz w:val="20"/>
        </w:rPr>
        <w:t>groups.</w:t>
      </w:r>
      <w:r>
        <w:rPr>
          <w:spacing w:val="-12"/>
          <w:sz w:val="20"/>
        </w:rPr>
        <w:t> </w:t>
      </w:r>
      <w:r>
        <w:rPr>
          <w:sz w:val="20"/>
        </w:rPr>
        <w:t>In</w:t>
      </w:r>
      <w:r>
        <w:rPr>
          <w:spacing w:val="-12"/>
          <w:sz w:val="20"/>
        </w:rPr>
        <w:t> </w:t>
      </w:r>
      <w:r>
        <w:rPr>
          <w:sz w:val="20"/>
        </w:rPr>
        <w:t>terms of</w:t>
      </w:r>
      <w:r>
        <w:rPr>
          <w:spacing w:val="-7"/>
          <w:sz w:val="20"/>
        </w:rPr>
        <w:t> </w:t>
      </w:r>
      <w:r>
        <w:rPr>
          <w:sz w:val="20"/>
        </w:rPr>
        <w:t>allocating</w:t>
      </w:r>
      <w:r>
        <w:rPr>
          <w:spacing w:val="-7"/>
          <w:sz w:val="20"/>
        </w:rPr>
        <w:t> </w:t>
      </w:r>
      <w:r>
        <w:rPr>
          <w:sz w:val="20"/>
        </w:rPr>
        <w:t>trials</w:t>
      </w:r>
      <w:r>
        <w:rPr>
          <w:spacing w:val="-6"/>
          <w:sz w:val="20"/>
        </w:rPr>
        <w:t> </w:t>
      </w:r>
      <w:r>
        <w:rPr>
          <w:sz w:val="20"/>
        </w:rPr>
        <w:t>to</w:t>
      </w:r>
      <w:r>
        <w:rPr>
          <w:spacing w:val="-7"/>
          <w:sz w:val="20"/>
        </w:rPr>
        <w:t> </w:t>
      </w:r>
      <w:r>
        <w:rPr>
          <w:sz w:val="20"/>
        </w:rPr>
        <w:t>accessible</w:t>
      </w:r>
      <w:r>
        <w:rPr>
          <w:spacing w:val="-7"/>
          <w:sz w:val="20"/>
        </w:rPr>
        <w:t> </w:t>
      </w:r>
      <w:r>
        <w:rPr>
          <w:sz w:val="20"/>
        </w:rPr>
        <w:t>courtrooms,</w:t>
      </w:r>
      <w:r>
        <w:rPr>
          <w:spacing w:val="-6"/>
          <w:sz w:val="20"/>
        </w:rPr>
        <w:t> </w:t>
      </w:r>
      <w:r>
        <w:rPr>
          <w:sz w:val="20"/>
        </w:rPr>
        <w:t>the</w:t>
      </w:r>
      <w:r>
        <w:rPr>
          <w:spacing w:val="-7"/>
          <w:sz w:val="20"/>
        </w:rPr>
        <w:t> </w:t>
      </w:r>
      <w:r>
        <w:rPr>
          <w:sz w:val="20"/>
        </w:rPr>
        <w:t>County</w:t>
      </w:r>
      <w:r>
        <w:rPr>
          <w:spacing w:val="-7"/>
          <w:sz w:val="20"/>
        </w:rPr>
        <w:t> </w:t>
      </w:r>
      <w:r>
        <w:rPr>
          <w:sz w:val="20"/>
        </w:rPr>
        <w:t>Court</w:t>
      </w:r>
      <w:r>
        <w:rPr>
          <w:spacing w:val="-6"/>
          <w:sz w:val="20"/>
        </w:rPr>
        <w:t> </w:t>
      </w:r>
      <w:r>
        <w:rPr>
          <w:sz w:val="20"/>
        </w:rPr>
        <w:t>noted</w:t>
      </w:r>
      <w:r>
        <w:rPr>
          <w:spacing w:val="-7"/>
          <w:sz w:val="20"/>
        </w:rPr>
        <w:t> </w:t>
      </w:r>
      <w:r>
        <w:rPr>
          <w:sz w:val="20"/>
        </w:rPr>
        <w:t>that:</w:t>
      </w:r>
    </w:p>
    <w:p>
      <w:pPr>
        <w:spacing w:line="208" w:lineRule="auto" w:before="122"/>
        <w:ind w:left="2157" w:right="1277" w:firstLine="0"/>
        <w:jc w:val="left"/>
        <w:rPr>
          <w:sz w:val="11"/>
        </w:rPr>
      </w:pPr>
      <w:r>
        <w:rPr>
          <w:sz w:val="19"/>
        </w:rPr>
        <w:t>it would be a significant challenge to swap trials, courtrooms or jurors on jury panels on the day of trial, particularly during the pandemic. Any arrangements for suitable trials and courtrooms would need to be done in advance of the trial commencement date.</w:t>
      </w:r>
      <w:r>
        <w:rPr>
          <w:position w:val="6"/>
          <w:sz w:val="11"/>
        </w:rPr>
        <w:t>70</w:t>
      </w:r>
    </w:p>
    <w:p>
      <w:pPr>
        <w:pStyle w:val="ListParagraph"/>
        <w:numPr>
          <w:ilvl w:val="1"/>
          <w:numId w:val="12"/>
        </w:numPr>
        <w:tabs>
          <w:tab w:pos="1761" w:val="left" w:leader="none"/>
          <w:tab w:pos="1762" w:val="left" w:leader="none"/>
        </w:tabs>
        <w:spacing w:line="206" w:lineRule="auto" w:before="124" w:after="0"/>
        <w:ind w:left="1761" w:right="1234" w:hanging="794"/>
        <w:jc w:val="left"/>
        <w:rPr>
          <w:sz w:val="20"/>
        </w:rPr>
      </w:pPr>
      <w:r>
        <w:rPr>
          <w:sz w:val="20"/>
        </w:rPr>
        <w:t>Although Juries Victoria will not know until the last minute which trial a person will be balloted</w:t>
      </w:r>
      <w:r>
        <w:rPr>
          <w:spacing w:val="-11"/>
          <w:sz w:val="20"/>
        </w:rPr>
        <w:t> </w:t>
      </w:r>
      <w:r>
        <w:rPr>
          <w:spacing w:val="-3"/>
          <w:sz w:val="20"/>
        </w:rPr>
        <w:t>to,</w:t>
      </w:r>
      <w:r>
        <w:rPr>
          <w:spacing w:val="-10"/>
          <w:sz w:val="20"/>
        </w:rPr>
        <w:t> </w:t>
      </w:r>
      <w:r>
        <w:rPr>
          <w:sz w:val="20"/>
        </w:rPr>
        <w:t>it</w:t>
      </w:r>
      <w:r>
        <w:rPr>
          <w:spacing w:val="-10"/>
          <w:sz w:val="20"/>
        </w:rPr>
        <w:t> </w:t>
      </w:r>
      <w:r>
        <w:rPr>
          <w:sz w:val="20"/>
        </w:rPr>
        <w:t>will</w:t>
      </w:r>
      <w:r>
        <w:rPr>
          <w:spacing w:val="-10"/>
          <w:sz w:val="20"/>
        </w:rPr>
        <w:t> </w:t>
      </w:r>
      <w:r>
        <w:rPr>
          <w:sz w:val="20"/>
        </w:rPr>
        <w:t>know</w:t>
      </w:r>
      <w:r>
        <w:rPr>
          <w:spacing w:val="-11"/>
          <w:sz w:val="20"/>
        </w:rPr>
        <w:t> </w:t>
      </w:r>
      <w:r>
        <w:rPr>
          <w:sz w:val="20"/>
        </w:rPr>
        <w:t>earlier</w:t>
      </w:r>
      <w:r>
        <w:rPr>
          <w:spacing w:val="-10"/>
          <w:sz w:val="20"/>
        </w:rPr>
        <w:t> </w:t>
      </w:r>
      <w:r>
        <w:rPr>
          <w:sz w:val="20"/>
        </w:rPr>
        <w:t>that</w:t>
      </w:r>
      <w:r>
        <w:rPr>
          <w:spacing w:val="-10"/>
          <w:sz w:val="20"/>
        </w:rPr>
        <w:t> </w:t>
      </w:r>
      <w:r>
        <w:rPr>
          <w:sz w:val="20"/>
        </w:rPr>
        <w:t>there</w:t>
      </w:r>
      <w:r>
        <w:rPr>
          <w:spacing w:val="-10"/>
          <w:sz w:val="20"/>
        </w:rPr>
        <w:t> </w:t>
      </w:r>
      <w:r>
        <w:rPr>
          <w:sz w:val="20"/>
        </w:rPr>
        <w:t>is</w:t>
      </w:r>
      <w:r>
        <w:rPr>
          <w:spacing w:val="-10"/>
          <w:sz w:val="20"/>
        </w:rPr>
        <w:t> </w:t>
      </w:r>
      <w:r>
        <w:rPr>
          <w:sz w:val="20"/>
        </w:rPr>
        <w:t>a</w:t>
      </w:r>
      <w:r>
        <w:rPr>
          <w:spacing w:val="-11"/>
          <w:sz w:val="20"/>
        </w:rPr>
        <w:t> </w:t>
      </w:r>
      <w:r>
        <w:rPr>
          <w:sz w:val="20"/>
        </w:rPr>
        <w:t>potential</w:t>
      </w:r>
      <w:r>
        <w:rPr>
          <w:spacing w:val="-10"/>
          <w:sz w:val="20"/>
        </w:rPr>
        <w:t> </w:t>
      </w:r>
      <w:r>
        <w:rPr>
          <w:sz w:val="20"/>
        </w:rPr>
        <w:t>juror</w:t>
      </w:r>
      <w:r>
        <w:rPr>
          <w:spacing w:val="-10"/>
          <w:sz w:val="20"/>
        </w:rPr>
        <w:t> </w:t>
      </w:r>
      <w:r>
        <w:rPr>
          <w:sz w:val="20"/>
        </w:rPr>
        <w:t>in</w:t>
      </w:r>
      <w:r>
        <w:rPr>
          <w:spacing w:val="-10"/>
          <w:sz w:val="20"/>
        </w:rPr>
        <w:t> </w:t>
      </w:r>
      <w:r>
        <w:rPr>
          <w:sz w:val="20"/>
        </w:rPr>
        <w:t>the</w:t>
      </w:r>
      <w:r>
        <w:rPr>
          <w:spacing w:val="-11"/>
          <w:sz w:val="20"/>
        </w:rPr>
        <w:t> </w:t>
      </w:r>
      <w:r>
        <w:rPr>
          <w:sz w:val="20"/>
        </w:rPr>
        <w:t>jury</w:t>
      </w:r>
      <w:r>
        <w:rPr>
          <w:spacing w:val="-10"/>
          <w:sz w:val="20"/>
        </w:rPr>
        <w:t> </w:t>
      </w:r>
      <w:r>
        <w:rPr>
          <w:sz w:val="20"/>
        </w:rPr>
        <w:t>pool</w:t>
      </w:r>
      <w:r>
        <w:rPr>
          <w:spacing w:val="-10"/>
          <w:sz w:val="20"/>
        </w:rPr>
        <w:t> </w:t>
      </w:r>
      <w:r>
        <w:rPr>
          <w:sz w:val="20"/>
        </w:rPr>
        <w:t>who</w:t>
      </w:r>
      <w:r>
        <w:rPr>
          <w:spacing w:val="-10"/>
          <w:sz w:val="20"/>
        </w:rPr>
        <w:t> </w:t>
      </w:r>
      <w:r>
        <w:rPr>
          <w:spacing w:val="-3"/>
          <w:sz w:val="20"/>
        </w:rPr>
        <w:t>requires </w:t>
      </w:r>
      <w:r>
        <w:rPr>
          <w:sz w:val="20"/>
        </w:rPr>
        <w:t>adjustments. Juries Victoria should notify the registry and ascertain if </w:t>
      </w:r>
      <w:r>
        <w:rPr>
          <w:spacing w:val="-3"/>
          <w:sz w:val="20"/>
        </w:rPr>
        <w:t>any </w:t>
      </w:r>
      <w:r>
        <w:rPr>
          <w:sz w:val="20"/>
        </w:rPr>
        <w:t>of the trials linked to a jury pool could be heard in accessible courtrooms or if </w:t>
      </w:r>
      <w:r>
        <w:rPr>
          <w:spacing w:val="-3"/>
          <w:sz w:val="20"/>
        </w:rPr>
        <w:t>any </w:t>
      </w:r>
      <w:r>
        <w:rPr>
          <w:sz w:val="20"/>
        </w:rPr>
        <w:t>adjustments could be made to get around accessibility</w:t>
      </w:r>
      <w:r>
        <w:rPr>
          <w:spacing w:val="-35"/>
          <w:sz w:val="20"/>
        </w:rPr>
        <w:t> </w:t>
      </w:r>
      <w:r>
        <w:rPr>
          <w:sz w:val="20"/>
        </w:rPr>
        <w:t>problems.</w:t>
      </w:r>
    </w:p>
    <w:p>
      <w:pPr>
        <w:pStyle w:val="Heading6"/>
        <w:spacing w:line="235" w:lineRule="auto" w:before="136"/>
        <w:ind w:right="1320"/>
        <w:rPr>
          <w:b/>
        </w:rPr>
      </w:pPr>
      <w:r>
        <w:rPr>
          <w:b/>
          <w:color w:val="4D4D4F"/>
        </w:rPr>
        <w:t>A new power for the Juries Commissioner to hold a person out of a jury pool where a trial is in an inaccessible courtroom</w:t>
      </w:r>
    </w:p>
    <w:p>
      <w:pPr>
        <w:pStyle w:val="ListParagraph"/>
        <w:numPr>
          <w:ilvl w:val="1"/>
          <w:numId w:val="12"/>
        </w:numPr>
        <w:tabs>
          <w:tab w:pos="1761" w:val="left" w:leader="none"/>
          <w:tab w:pos="1762" w:val="left" w:leader="none"/>
        </w:tabs>
        <w:spacing w:line="206" w:lineRule="auto" w:before="134" w:after="0"/>
        <w:ind w:left="1761" w:right="1248" w:hanging="794"/>
        <w:jc w:val="left"/>
        <w:rPr>
          <w:sz w:val="20"/>
        </w:rPr>
      </w:pPr>
      <w:r>
        <w:rPr>
          <w:spacing w:val="-6"/>
          <w:sz w:val="20"/>
        </w:rPr>
        <w:t>We </w:t>
      </w:r>
      <w:r>
        <w:rPr>
          <w:sz w:val="20"/>
        </w:rPr>
        <w:t>also recommend that the Juries Commissioner be given the </w:t>
      </w:r>
      <w:r>
        <w:rPr>
          <w:spacing w:val="-3"/>
          <w:sz w:val="20"/>
        </w:rPr>
        <w:t>power </w:t>
      </w:r>
      <w:r>
        <w:rPr>
          <w:sz w:val="20"/>
        </w:rPr>
        <w:t>to hold a person’s card out of a ballot for a panel where the trial will be heard in a courtroom that cannot accommodate reasonable adjustments. The person’s card could then be </w:t>
      </w:r>
      <w:r>
        <w:rPr>
          <w:spacing w:val="-3"/>
          <w:sz w:val="20"/>
        </w:rPr>
        <w:t>returned</w:t>
      </w:r>
      <w:r>
        <w:rPr>
          <w:spacing w:val="-8"/>
          <w:sz w:val="20"/>
        </w:rPr>
        <w:t> </w:t>
      </w:r>
      <w:r>
        <w:rPr>
          <w:sz w:val="20"/>
        </w:rPr>
        <w:t>to</w:t>
      </w:r>
      <w:r>
        <w:rPr>
          <w:spacing w:val="-8"/>
          <w:sz w:val="20"/>
        </w:rPr>
        <w:t> </w:t>
      </w:r>
      <w:r>
        <w:rPr>
          <w:sz w:val="20"/>
        </w:rPr>
        <w:t>the</w:t>
      </w:r>
      <w:r>
        <w:rPr>
          <w:spacing w:val="-8"/>
          <w:sz w:val="20"/>
        </w:rPr>
        <w:t> </w:t>
      </w:r>
      <w:r>
        <w:rPr>
          <w:sz w:val="20"/>
        </w:rPr>
        <w:t>pool</w:t>
      </w:r>
      <w:r>
        <w:rPr>
          <w:spacing w:val="-8"/>
          <w:sz w:val="20"/>
        </w:rPr>
        <w:t> </w:t>
      </w:r>
      <w:r>
        <w:rPr>
          <w:sz w:val="20"/>
        </w:rPr>
        <w:t>for</w:t>
      </w:r>
      <w:r>
        <w:rPr>
          <w:spacing w:val="-8"/>
          <w:sz w:val="20"/>
        </w:rPr>
        <w:t> </w:t>
      </w:r>
      <w:r>
        <w:rPr>
          <w:sz w:val="20"/>
        </w:rPr>
        <w:t>the</w:t>
      </w:r>
      <w:r>
        <w:rPr>
          <w:spacing w:val="-7"/>
          <w:sz w:val="20"/>
        </w:rPr>
        <w:t> </w:t>
      </w:r>
      <w:r>
        <w:rPr>
          <w:sz w:val="20"/>
        </w:rPr>
        <w:t>next</w:t>
      </w:r>
      <w:r>
        <w:rPr>
          <w:spacing w:val="-8"/>
          <w:sz w:val="20"/>
        </w:rPr>
        <w:t> </w:t>
      </w:r>
      <w:r>
        <w:rPr>
          <w:sz w:val="20"/>
        </w:rPr>
        <w:t>panel</w:t>
      </w:r>
      <w:r>
        <w:rPr>
          <w:spacing w:val="-8"/>
          <w:sz w:val="20"/>
        </w:rPr>
        <w:t> </w:t>
      </w:r>
      <w:r>
        <w:rPr>
          <w:sz w:val="20"/>
        </w:rPr>
        <w:t>ballot.</w:t>
      </w:r>
      <w:r>
        <w:rPr>
          <w:spacing w:val="-8"/>
          <w:sz w:val="20"/>
        </w:rPr>
        <w:t> </w:t>
      </w:r>
      <w:r>
        <w:rPr>
          <w:sz w:val="20"/>
        </w:rPr>
        <w:t>Section</w:t>
      </w:r>
      <w:r>
        <w:rPr>
          <w:spacing w:val="-8"/>
          <w:sz w:val="20"/>
        </w:rPr>
        <w:t> </w:t>
      </w:r>
      <w:r>
        <w:rPr>
          <w:spacing w:val="-3"/>
          <w:sz w:val="20"/>
        </w:rPr>
        <w:t>10</w:t>
      </w:r>
      <w:r>
        <w:rPr>
          <w:spacing w:val="-7"/>
          <w:sz w:val="20"/>
        </w:rPr>
        <w:t> </w:t>
      </w:r>
      <w:r>
        <w:rPr>
          <w:sz w:val="20"/>
        </w:rPr>
        <w:t>of</w:t>
      </w:r>
      <w:r>
        <w:rPr>
          <w:spacing w:val="-8"/>
          <w:sz w:val="20"/>
        </w:rPr>
        <w:t> </w:t>
      </w:r>
      <w:r>
        <w:rPr>
          <w:sz w:val="20"/>
        </w:rPr>
        <w:t>the</w:t>
      </w:r>
      <w:r>
        <w:rPr>
          <w:spacing w:val="-8"/>
          <w:sz w:val="20"/>
        </w:rPr>
        <w:t> </w:t>
      </w:r>
      <w:r>
        <w:rPr>
          <w:spacing w:val="-2"/>
          <w:sz w:val="20"/>
        </w:rPr>
        <w:t>Act</w:t>
      </w:r>
      <w:r>
        <w:rPr>
          <w:spacing w:val="-8"/>
          <w:sz w:val="20"/>
        </w:rPr>
        <w:t> </w:t>
      </w:r>
      <w:r>
        <w:rPr>
          <w:sz w:val="20"/>
        </w:rPr>
        <w:t>should</w:t>
      </w:r>
      <w:r>
        <w:rPr>
          <w:spacing w:val="-8"/>
          <w:sz w:val="20"/>
        </w:rPr>
        <w:t> </w:t>
      </w:r>
      <w:r>
        <w:rPr>
          <w:sz w:val="20"/>
        </w:rPr>
        <w:t>be</w:t>
      </w:r>
      <w:r>
        <w:rPr>
          <w:spacing w:val="-8"/>
          <w:sz w:val="20"/>
        </w:rPr>
        <w:t> </w:t>
      </w:r>
      <w:r>
        <w:rPr>
          <w:sz w:val="20"/>
        </w:rPr>
        <w:t>amended to enable an appeal of this decision </w:t>
      </w:r>
      <w:r>
        <w:rPr>
          <w:spacing w:val="-3"/>
          <w:sz w:val="20"/>
        </w:rPr>
        <w:t>by </w:t>
      </w:r>
      <w:r>
        <w:rPr>
          <w:sz w:val="20"/>
        </w:rPr>
        <w:t>the Juries Commissioner to the court. This appeal </w:t>
      </w:r>
      <w:r>
        <w:rPr>
          <w:spacing w:val="-3"/>
          <w:sz w:val="20"/>
        </w:rPr>
        <w:t>would </w:t>
      </w:r>
      <w:r>
        <w:rPr>
          <w:sz w:val="20"/>
        </w:rPr>
        <w:t>be heard </w:t>
      </w:r>
      <w:r>
        <w:rPr>
          <w:spacing w:val="-3"/>
          <w:sz w:val="20"/>
        </w:rPr>
        <w:t>urgently </w:t>
      </w:r>
      <w:r>
        <w:rPr>
          <w:sz w:val="20"/>
        </w:rPr>
        <w:t>on the </w:t>
      </w:r>
      <w:r>
        <w:rPr>
          <w:spacing w:val="-3"/>
          <w:sz w:val="20"/>
        </w:rPr>
        <w:t>day </w:t>
      </w:r>
      <w:r>
        <w:rPr>
          <w:sz w:val="20"/>
        </w:rPr>
        <w:t>and </w:t>
      </w:r>
      <w:r>
        <w:rPr>
          <w:spacing w:val="-3"/>
          <w:sz w:val="20"/>
        </w:rPr>
        <w:t>may </w:t>
      </w:r>
      <w:r>
        <w:rPr>
          <w:sz w:val="20"/>
        </w:rPr>
        <w:t>encourage the court to find accessible</w:t>
      </w:r>
      <w:r>
        <w:rPr>
          <w:spacing w:val="-5"/>
          <w:sz w:val="20"/>
        </w:rPr>
        <w:t> </w:t>
      </w:r>
      <w:r>
        <w:rPr>
          <w:sz w:val="20"/>
        </w:rPr>
        <w:t>facilities.</w:t>
      </w:r>
    </w:p>
    <w:p>
      <w:pPr>
        <w:pStyle w:val="ListParagraph"/>
        <w:numPr>
          <w:ilvl w:val="1"/>
          <w:numId w:val="12"/>
        </w:numPr>
        <w:tabs>
          <w:tab w:pos="1761" w:val="left" w:leader="none"/>
          <w:tab w:pos="1762" w:val="left" w:leader="none"/>
        </w:tabs>
        <w:spacing w:line="206" w:lineRule="auto" w:before="129" w:after="0"/>
        <w:ind w:left="1761" w:right="1742" w:hanging="794"/>
        <w:jc w:val="left"/>
        <w:rPr>
          <w:sz w:val="20"/>
        </w:rPr>
      </w:pPr>
      <w:r>
        <w:rPr>
          <w:sz w:val="20"/>
        </w:rPr>
        <w:t>It</w:t>
      </w:r>
      <w:r>
        <w:rPr>
          <w:spacing w:val="-10"/>
          <w:sz w:val="20"/>
        </w:rPr>
        <w:t> </w:t>
      </w:r>
      <w:r>
        <w:rPr>
          <w:sz w:val="20"/>
        </w:rPr>
        <w:t>will</w:t>
      </w:r>
      <w:r>
        <w:rPr>
          <w:spacing w:val="-9"/>
          <w:sz w:val="20"/>
        </w:rPr>
        <w:t> </w:t>
      </w:r>
      <w:r>
        <w:rPr>
          <w:sz w:val="20"/>
        </w:rPr>
        <w:t>be</w:t>
      </w:r>
      <w:r>
        <w:rPr>
          <w:spacing w:val="-9"/>
          <w:sz w:val="20"/>
        </w:rPr>
        <w:t> </w:t>
      </w:r>
      <w:r>
        <w:rPr>
          <w:sz w:val="20"/>
        </w:rPr>
        <w:t>important</w:t>
      </w:r>
      <w:r>
        <w:rPr>
          <w:spacing w:val="-10"/>
          <w:sz w:val="20"/>
        </w:rPr>
        <w:t> </w:t>
      </w:r>
      <w:r>
        <w:rPr>
          <w:sz w:val="20"/>
        </w:rPr>
        <w:t>for</w:t>
      </w:r>
      <w:r>
        <w:rPr>
          <w:spacing w:val="-9"/>
          <w:sz w:val="20"/>
        </w:rPr>
        <w:t> </w:t>
      </w:r>
      <w:r>
        <w:rPr>
          <w:sz w:val="20"/>
        </w:rPr>
        <w:t>Juries</w:t>
      </w:r>
      <w:r>
        <w:rPr>
          <w:spacing w:val="-9"/>
          <w:sz w:val="20"/>
        </w:rPr>
        <w:t> </w:t>
      </w:r>
      <w:r>
        <w:rPr>
          <w:sz w:val="20"/>
        </w:rPr>
        <w:t>Victoria</w:t>
      </w:r>
      <w:r>
        <w:rPr>
          <w:spacing w:val="-9"/>
          <w:sz w:val="20"/>
        </w:rPr>
        <w:t> </w:t>
      </w:r>
      <w:r>
        <w:rPr>
          <w:sz w:val="20"/>
        </w:rPr>
        <w:t>to</w:t>
      </w:r>
      <w:r>
        <w:rPr>
          <w:spacing w:val="-10"/>
          <w:sz w:val="20"/>
        </w:rPr>
        <w:t> </w:t>
      </w:r>
      <w:r>
        <w:rPr>
          <w:sz w:val="20"/>
        </w:rPr>
        <w:t>collect</w:t>
      </w:r>
      <w:r>
        <w:rPr>
          <w:spacing w:val="-9"/>
          <w:sz w:val="20"/>
        </w:rPr>
        <w:t> </w:t>
      </w:r>
      <w:r>
        <w:rPr>
          <w:sz w:val="20"/>
        </w:rPr>
        <w:t>data</w:t>
      </w:r>
      <w:r>
        <w:rPr>
          <w:spacing w:val="-9"/>
          <w:sz w:val="20"/>
        </w:rPr>
        <w:t> </w:t>
      </w:r>
      <w:r>
        <w:rPr>
          <w:sz w:val="20"/>
        </w:rPr>
        <w:t>about</w:t>
      </w:r>
      <w:r>
        <w:rPr>
          <w:spacing w:val="-9"/>
          <w:sz w:val="20"/>
        </w:rPr>
        <w:t> </w:t>
      </w:r>
      <w:r>
        <w:rPr>
          <w:spacing w:val="-3"/>
          <w:sz w:val="20"/>
        </w:rPr>
        <w:t>how</w:t>
      </w:r>
      <w:r>
        <w:rPr>
          <w:spacing w:val="-10"/>
          <w:sz w:val="20"/>
        </w:rPr>
        <w:t> </w:t>
      </w:r>
      <w:r>
        <w:rPr>
          <w:sz w:val="20"/>
        </w:rPr>
        <w:t>often</w:t>
      </w:r>
      <w:r>
        <w:rPr>
          <w:spacing w:val="-9"/>
          <w:sz w:val="20"/>
        </w:rPr>
        <w:t> </w:t>
      </w:r>
      <w:r>
        <w:rPr>
          <w:sz w:val="20"/>
        </w:rPr>
        <w:t>this</w:t>
      </w:r>
      <w:r>
        <w:rPr>
          <w:spacing w:val="-9"/>
          <w:sz w:val="20"/>
        </w:rPr>
        <w:t> </w:t>
      </w:r>
      <w:r>
        <w:rPr>
          <w:spacing w:val="-3"/>
          <w:sz w:val="20"/>
        </w:rPr>
        <w:t>power</w:t>
      </w:r>
      <w:r>
        <w:rPr>
          <w:spacing w:val="-9"/>
          <w:sz w:val="20"/>
        </w:rPr>
        <w:t> </w:t>
      </w:r>
      <w:r>
        <w:rPr>
          <w:sz w:val="20"/>
        </w:rPr>
        <w:t>is </w:t>
      </w:r>
      <w:r>
        <w:rPr>
          <w:spacing w:val="-3"/>
          <w:sz w:val="20"/>
        </w:rPr>
        <w:t>exercised</w:t>
      </w:r>
      <w:r>
        <w:rPr>
          <w:spacing w:val="-6"/>
          <w:sz w:val="20"/>
        </w:rPr>
        <w:t> </w:t>
      </w:r>
      <w:r>
        <w:rPr>
          <w:sz w:val="20"/>
        </w:rPr>
        <w:t>to</w:t>
      </w:r>
      <w:r>
        <w:rPr>
          <w:spacing w:val="-5"/>
          <w:sz w:val="20"/>
        </w:rPr>
        <w:t> </w:t>
      </w:r>
      <w:r>
        <w:rPr>
          <w:sz w:val="20"/>
        </w:rPr>
        <w:t>enable</w:t>
      </w:r>
      <w:r>
        <w:rPr>
          <w:spacing w:val="-5"/>
          <w:sz w:val="20"/>
        </w:rPr>
        <w:t> </w:t>
      </w:r>
      <w:r>
        <w:rPr>
          <w:sz w:val="20"/>
        </w:rPr>
        <w:t>the</w:t>
      </w:r>
      <w:r>
        <w:rPr>
          <w:spacing w:val="-6"/>
          <w:sz w:val="20"/>
        </w:rPr>
        <w:t> </w:t>
      </w:r>
      <w:r>
        <w:rPr>
          <w:sz w:val="20"/>
        </w:rPr>
        <w:t>courts</w:t>
      </w:r>
      <w:r>
        <w:rPr>
          <w:spacing w:val="-5"/>
          <w:sz w:val="20"/>
        </w:rPr>
        <w:t> </w:t>
      </w:r>
      <w:r>
        <w:rPr>
          <w:sz w:val="20"/>
        </w:rPr>
        <w:t>to</w:t>
      </w:r>
      <w:r>
        <w:rPr>
          <w:spacing w:val="-5"/>
          <w:sz w:val="20"/>
        </w:rPr>
        <w:t> </w:t>
      </w:r>
      <w:r>
        <w:rPr>
          <w:sz w:val="20"/>
        </w:rPr>
        <w:t>plan</w:t>
      </w:r>
      <w:r>
        <w:rPr>
          <w:spacing w:val="-5"/>
          <w:sz w:val="20"/>
        </w:rPr>
        <w:t> </w:t>
      </w:r>
      <w:r>
        <w:rPr>
          <w:sz w:val="20"/>
        </w:rPr>
        <w:t>for</w:t>
      </w:r>
      <w:r>
        <w:rPr>
          <w:spacing w:val="-6"/>
          <w:sz w:val="20"/>
        </w:rPr>
        <w:t> </w:t>
      </w:r>
      <w:r>
        <w:rPr>
          <w:spacing w:val="-3"/>
          <w:sz w:val="20"/>
        </w:rPr>
        <w:t>future</w:t>
      </w:r>
      <w:r>
        <w:rPr>
          <w:spacing w:val="-5"/>
          <w:sz w:val="20"/>
        </w:rPr>
        <w:t> </w:t>
      </w:r>
      <w:r>
        <w:rPr>
          <w:spacing w:val="-3"/>
          <w:sz w:val="20"/>
        </w:rPr>
        <w:t>improvements</w:t>
      </w:r>
      <w:r>
        <w:rPr>
          <w:spacing w:val="-5"/>
          <w:sz w:val="20"/>
        </w:rPr>
        <w:t> </w:t>
      </w:r>
      <w:r>
        <w:rPr>
          <w:sz w:val="20"/>
        </w:rPr>
        <w:t>(see</w:t>
      </w:r>
      <w:r>
        <w:rPr>
          <w:spacing w:val="-5"/>
          <w:sz w:val="20"/>
        </w:rPr>
        <w:t> </w:t>
      </w:r>
      <w:r>
        <w:rPr>
          <w:spacing w:val="-2"/>
          <w:sz w:val="20"/>
        </w:rPr>
        <w:t>Chapter</w:t>
      </w:r>
      <w:r>
        <w:rPr>
          <w:spacing w:val="-6"/>
          <w:sz w:val="20"/>
        </w:rPr>
        <w:t> </w:t>
      </w:r>
      <w:r>
        <w:rPr>
          <w:spacing w:val="-3"/>
          <w:sz w:val="20"/>
        </w:rPr>
        <w:t>19).</w:t>
      </w:r>
    </w:p>
    <w:p>
      <w:pPr>
        <w:pStyle w:val="Heading6"/>
        <w:spacing w:before="127"/>
        <w:rPr>
          <w:b/>
        </w:rPr>
      </w:pPr>
      <w:r>
        <w:rPr>
          <w:b/>
          <w:color w:val="4D4D4F"/>
        </w:rPr>
        <w:t>Improving accessibility in Victorian courts</w:t>
      </w:r>
    </w:p>
    <w:p>
      <w:pPr>
        <w:pStyle w:val="ListParagraph"/>
        <w:numPr>
          <w:ilvl w:val="1"/>
          <w:numId w:val="12"/>
        </w:numPr>
        <w:tabs>
          <w:tab w:pos="1761" w:val="left" w:leader="none"/>
          <w:tab w:pos="1762" w:val="left" w:leader="none"/>
        </w:tabs>
        <w:spacing w:line="206" w:lineRule="auto" w:before="132" w:after="0"/>
        <w:ind w:left="1761" w:right="1439" w:hanging="794"/>
        <w:jc w:val="left"/>
        <w:rPr>
          <w:sz w:val="20"/>
        </w:rPr>
      </w:pPr>
      <w:r>
        <w:rPr>
          <w:sz w:val="20"/>
        </w:rPr>
        <w:t>The</w:t>
      </w:r>
      <w:r>
        <w:rPr>
          <w:spacing w:val="-10"/>
          <w:sz w:val="20"/>
        </w:rPr>
        <w:t> </w:t>
      </w:r>
      <w:r>
        <w:rPr>
          <w:sz w:val="20"/>
        </w:rPr>
        <w:t>courts</w:t>
      </w:r>
      <w:r>
        <w:rPr>
          <w:spacing w:val="-10"/>
          <w:sz w:val="20"/>
        </w:rPr>
        <w:t> </w:t>
      </w:r>
      <w:r>
        <w:rPr>
          <w:sz w:val="20"/>
        </w:rPr>
        <w:t>should</w:t>
      </w:r>
      <w:r>
        <w:rPr>
          <w:spacing w:val="-10"/>
          <w:sz w:val="20"/>
        </w:rPr>
        <w:t> </w:t>
      </w:r>
      <w:r>
        <w:rPr>
          <w:sz w:val="20"/>
        </w:rPr>
        <w:t>take</w:t>
      </w:r>
      <w:r>
        <w:rPr>
          <w:spacing w:val="-10"/>
          <w:sz w:val="20"/>
        </w:rPr>
        <w:t> </w:t>
      </w:r>
      <w:r>
        <w:rPr>
          <w:sz w:val="20"/>
        </w:rPr>
        <w:t>steps</w:t>
      </w:r>
      <w:r>
        <w:rPr>
          <w:spacing w:val="-10"/>
          <w:sz w:val="20"/>
        </w:rPr>
        <w:t> </w:t>
      </w:r>
      <w:r>
        <w:rPr>
          <w:sz w:val="20"/>
        </w:rPr>
        <w:t>to</w:t>
      </w:r>
      <w:r>
        <w:rPr>
          <w:spacing w:val="-10"/>
          <w:sz w:val="20"/>
        </w:rPr>
        <w:t> </w:t>
      </w:r>
      <w:r>
        <w:rPr>
          <w:spacing w:val="-4"/>
          <w:sz w:val="20"/>
        </w:rPr>
        <w:t>improve</w:t>
      </w:r>
      <w:r>
        <w:rPr>
          <w:spacing w:val="-10"/>
          <w:sz w:val="20"/>
        </w:rPr>
        <w:t> </w:t>
      </w:r>
      <w:r>
        <w:rPr>
          <w:sz w:val="20"/>
        </w:rPr>
        <w:t>the</w:t>
      </w:r>
      <w:r>
        <w:rPr>
          <w:spacing w:val="-10"/>
          <w:sz w:val="20"/>
        </w:rPr>
        <w:t> </w:t>
      </w:r>
      <w:r>
        <w:rPr>
          <w:sz w:val="20"/>
        </w:rPr>
        <w:t>accessibility</w:t>
      </w:r>
      <w:r>
        <w:rPr>
          <w:spacing w:val="-10"/>
          <w:sz w:val="20"/>
        </w:rPr>
        <w:t> </w:t>
      </w:r>
      <w:r>
        <w:rPr>
          <w:sz w:val="20"/>
        </w:rPr>
        <w:t>of</w:t>
      </w:r>
      <w:r>
        <w:rPr>
          <w:spacing w:val="-10"/>
          <w:sz w:val="20"/>
        </w:rPr>
        <w:t> </w:t>
      </w:r>
      <w:r>
        <w:rPr>
          <w:sz w:val="20"/>
        </w:rPr>
        <w:t>courtrooms</w:t>
      </w:r>
      <w:r>
        <w:rPr>
          <w:spacing w:val="-10"/>
          <w:sz w:val="20"/>
        </w:rPr>
        <w:t> </w:t>
      </w:r>
      <w:r>
        <w:rPr>
          <w:sz w:val="20"/>
        </w:rPr>
        <w:t>for</w:t>
      </w:r>
      <w:r>
        <w:rPr>
          <w:spacing w:val="-10"/>
          <w:sz w:val="20"/>
        </w:rPr>
        <w:t> </w:t>
      </w:r>
      <w:r>
        <w:rPr>
          <w:sz w:val="20"/>
        </w:rPr>
        <w:t>people</w:t>
      </w:r>
      <w:r>
        <w:rPr>
          <w:spacing w:val="-10"/>
          <w:sz w:val="20"/>
        </w:rPr>
        <w:t> </w:t>
      </w:r>
      <w:r>
        <w:rPr>
          <w:sz w:val="20"/>
        </w:rPr>
        <w:t>in the subject groups to enable them to participate as jurors. These </w:t>
      </w:r>
      <w:r>
        <w:rPr>
          <w:spacing w:val="-3"/>
          <w:sz w:val="20"/>
        </w:rPr>
        <w:t>improvements </w:t>
      </w:r>
      <w:r>
        <w:rPr>
          <w:sz w:val="20"/>
        </w:rPr>
        <w:t>will benefit</w:t>
      </w:r>
      <w:r>
        <w:rPr>
          <w:spacing w:val="-10"/>
          <w:sz w:val="20"/>
        </w:rPr>
        <w:t> </w:t>
      </w:r>
      <w:r>
        <w:rPr>
          <w:spacing w:val="-3"/>
          <w:sz w:val="20"/>
        </w:rPr>
        <w:t>many</w:t>
      </w:r>
      <w:r>
        <w:rPr>
          <w:spacing w:val="-9"/>
          <w:sz w:val="20"/>
        </w:rPr>
        <w:t> </w:t>
      </w:r>
      <w:r>
        <w:rPr>
          <w:sz w:val="20"/>
        </w:rPr>
        <w:t>members</w:t>
      </w:r>
      <w:r>
        <w:rPr>
          <w:spacing w:val="-10"/>
          <w:sz w:val="20"/>
        </w:rPr>
        <w:t> </w:t>
      </w:r>
      <w:r>
        <w:rPr>
          <w:sz w:val="20"/>
        </w:rPr>
        <w:t>of</w:t>
      </w:r>
      <w:r>
        <w:rPr>
          <w:spacing w:val="-9"/>
          <w:sz w:val="20"/>
        </w:rPr>
        <w:t> </w:t>
      </w:r>
      <w:r>
        <w:rPr>
          <w:sz w:val="20"/>
        </w:rPr>
        <w:t>the</w:t>
      </w:r>
      <w:r>
        <w:rPr>
          <w:spacing w:val="-10"/>
          <w:sz w:val="20"/>
        </w:rPr>
        <w:t> </w:t>
      </w:r>
      <w:r>
        <w:rPr>
          <w:sz w:val="20"/>
        </w:rPr>
        <w:t>community</w:t>
      </w:r>
      <w:r>
        <w:rPr>
          <w:spacing w:val="-9"/>
          <w:sz w:val="20"/>
        </w:rPr>
        <w:t> </w:t>
      </w:r>
      <w:r>
        <w:rPr>
          <w:sz w:val="20"/>
        </w:rPr>
        <w:t>in</w:t>
      </w:r>
      <w:r>
        <w:rPr>
          <w:spacing w:val="-10"/>
          <w:sz w:val="20"/>
        </w:rPr>
        <w:t> </w:t>
      </w:r>
      <w:r>
        <w:rPr>
          <w:sz w:val="20"/>
        </w:rPr>
        <w:t>addition</w:t>
      </w:r>
      <w:r>
        <w:rPr>
          <w:spacing w:val="-9"/>
          <w:sz w:val="20"/>
        </w:rPr>
        <w:t> </w:t>
      </w:r>
      <w:r>
        <w:rPr>
          <w:sz w:val="20"/>
        </w:rPr>
        <w:t>to</w:t>
      </w:r>
      <w:r>
        <w:rPr>
          <w:spacing w:val="-9"/>
          <w:sz w:val="20"/>
        </w:rPr>
        <w:t> </w:t>
      </w:r>
      <w:r>
        <w:rPr>
          <w:sz w:val="20"/>
        </w:rPr>
        <w:t>those</w:t>
      </w:r>
      <w:r>
        <w:rPr>
          <w:spacing w:val="-10"/>
          <w:sz w:val="20"/>
        </w:rPr>
        <w:t> </w:t>
      </w:r>
      <w:r>
        <w:rPr>
          <w:sz w:val="20"/>
        </w:rPr>
        <w:t>in</w:t>
      </w:r>
      <w:r>
        <w:rPr>
          <w:spacing w:val="-9"/>
          <w:sz w:val="20"/>
        </w:rPr>
        <w:t> </w:t>
      </w:r>
      <w:r>
        <w:rPr>
          <w:sz w:val="20"/>
        </w:rPr>
        <w:t>the</w:t>
      </w:r>
      <w:r>
        <w:rPr>
          <w:spacing w:val="-10"/>
          <w:sz w:val="20"/>
        </w:rPr>
        <w:t> </w:t>
      </w:r>
      <w:r>
        <w:rPr>
          <w:sz w:val="20"/>
        </w:rPr>
        <w:t>subject</w:t>
      </w:r>
      <w:r>
        <w:rPr>
          <w:spacing w:val="-9"/>
          <w:sz w:val="20"/>
        </w:rPr>
        <w:t> </w:t>
      </w:r>
      <w:r>
        <w:rPr>
          <w:sz w:val="20"/>
        </w:rPr>
        <w:t>groups.</w:t>
      </w:r>
    </w:p>
    <w:p>
      <w:pPr>
        <w:pStyle w:val="ListParagraph"/>
        <w:numPr>
          <w:ilvl w:val="1"/>
          <w:numId w:val="12"/>
        </w:numPr>
        <w:tabs>
          <w:tab w:pos="1761" w:val="left" w:leader="none"/>
          <w:tab w:pos="1762" w:val="left" w:leader="none"/>
        </w:tabs>
        <w:spacing w:line="259" w:lineRule="exact" w:before="91" w:after="0"/>
        <w:ind w:left="1761" w:right="0" w:hanging="794"/>
        <w:jc w:val="left"/>
        <w:rPr>
          <w:sz w:val="20"/>
        </w:rPr>
      </w:pPr>
      <w:r>
        <w:rPr>
          <w:sz w:val="20"/>
        </w:rPr>
        <w:t>Court</w:t>
      </w:r>
      <w:r>
        <w:rPr>
          <w:spacing w:val="-6"/>
          <w:sz w:val="20"/>
        </w:rPr>
        <w:t> </w:t>
      </w:r>
      <w:r>
        <w:rPr>
          <w:sz w:val="20"/>
        </w:rPr>
        <w:t>Services</w:t>
      </w:r>
      <w:r>
        <w:rPr>
          <w:spacing w:val="-5"/>
          <w:sz w:val="20"/>
        </w:rPr>
        <w:t> </w:t>
      </w:r>
      <w:r>
        <w:rPr>
          <w:sz w:val="20"/>
        </w:rPr>
        <w:t>Victoria</w:t>
      </w:r>
      <w:r>
        <w:rPr>
          <w:spacing w:val="-5"/>
          <w:sz w:val="20"/>
        </w:rPr>
        <w:t> </w:t>
      </w:r>
      <w:r>
        <w:rPr>
          <w:sz w:val="20"/>
        </w:rPr>
        <w:t>(CSV)</w:t>
      </w:r>
      <w:r>
        <w:rPr>
          <w:spacing w:val="-6"/>
          <w:sz w:val="20"/>
        </w:rPr>
        <w:t> </w:t>
      </w:r>
      <w:r>
        <w:rPr>
          <w:sz w:val="20"/>
        </w:rPr>
        <w:t>is</w:t>
      </w:r>
      <w:r>
        <w:rPr>
          <w:spacing w:val="-5"/>
          <w:sz w:val="20"/>
        </w:rPr>
        <w:t> </w:t>
      </w:r>
      <w:r>
        <w:rPr>
          <w:spacing w:val="-3"/>
          <w:sz w:val="20"/>
        </w:rPr>
        <w:t>currently</w:t>
      </w:r>
      <w:r>
        <w:rPr>
          <w:spacing w:val="-5"/>
          <w:sz w:val="20"/>
        </w:rPr>
        <w:t> </w:t>
      </w:r>
      <w:r>
        <w:rPr>
          <w:sz w:val="20"/>
        </w:rPr>
        <w:t>undertaking</w:t>
      </w:r>
      <w:r>
        <w:rPr>
          <w:spacing w:val="-6"/>
          <w:sz w:val="20"/>
        </w:rPr>
        <w:t> </w:t>
      </w:r>
      <w:r>
        <w:rPr>
          <w:sz w:val="20"/>
        </w:rPr>
        <w:t>Disability</w:t>
      </w:r>
      <w:r>
        <w:rPr>
          <w:spacing w:val="-5"/>
          <w:sz w:val="20"/>
        </w:rPr>
        <w:t> </w:t>
      </w:r>
      <w:r>
        <w:rPr>
          <w:sz w:val="20"/>
        </w:rPr>
        <w:t>Discrimination</w:t>
      </w:r>
    </w:p>
    <w:p>
      <w:pPr>
        <w:pStyle w:val="BodyText"/>
        <w:spacing w:line="206" w:lineRule="auto" w:before="14"/>
        <w:ind w:left="1761" w:right="1473"/>
      </w:pPr>
      <w:r>
        <w:rPr>
          <w:spacing w:val="-2"/>
        </w:rPr>
        <w:t>Act </w:t>
      </w:r>
      <w:r>
        <w:rPr/>
        <w:t>compliance works at selected court buildings, including updating stairs and ramps, lighting, and entry </w:t>
      </w:r>
      <w:r>
        <w:rPr>
          <w:spacing w:val="-4"/>
        </w:rPr>
        <w:t>way </w:t>
      </w:r>
      <w:r>
        <w:rPr>
          <w:spacing w:val="-3"/>
        </w:rPr>
        <w:t>improvements </w:t>
      </w:r>
      <w:r>
        <w:rPr/>
        <w:t>to ensure safe and secure access and amenities.</w:t>
      </w:r>
      <w:r>
        <w:rPr>
          <w:position w:val="7"/>
          <w:sz w:val="11"/>
        </w:rPr>
        <w:t>71 </w:t>
      </w:r>
      <w:r>
        <w:rPr/>
        <w:t>CSV has advised that ‘by </w:t>
      </w:r>
      <w:r>
        <w:rPr>
          <w:spacing w:val="-3"/>
        </w:rPr>
        <w:t>2023 </w:t>
      </w:r>
      <w:r>
        <w:rPr/>
        <w:t>CSV will </w:t>
      </w:r>
      <w:r>
        <w:rPr>
          <w:spacing w:val="-4"/>
        </w:rPr>
        <w:t>have </w:t>
      </w:r>
      <w:r>
        <w:rPr>
          <w:spacing w:val="-2"/>
        </w:rPr>
        <w:t>delivered </w:t>
      </w:r>
      <w:r>
        <w:rPr>
          <w:spacing w:val="-3"/>
        </w:rPr>
        <w:t>DDA </w:t>
      </w:r>
      <w:r>
        <w:rPr/>
        <w:t>compliance upgrades to ten regional law courts (Colac, Hamilton, </w:t>
      </w:r>
      <w:r>
        <w:rPr>
          <w:spacing w:val="-3"/>
        </w:rPr>
        <w:t>Robinvale, </w:t>
      </w:r>
      <w:r>
        <w:rPr/>
        <w:t>Benalla, Cobram,</w:t>
      </w:r>
    </w:p>
    <w:p>
      <w:pPr>
        <w:pStyle w:val="BodyText"/>
        <w:spacing w:before="3"/>
        <w:rPr>
          <w:sz w:val="21"/>
        </w:rPr>
      </w:pPr>
      <w:r>
        <w:rPr/>
        <w:pict>
          <v:line style="position:absolute;mso-position-horizontal-relative:page;mso-position-vertical-relative:paragraph;z-index:7016;mso-wrap-distance-left:0;mso-wrap-distance-right:0" from="79.370003pt,17.18084pt" to="515.905003pt,17.18084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82"/>
        </w:numPr>
        <w:tabs>
          <w:tab w:pos="1761" w:val="left" w:leader="none"/>
          <w:tab w:pos="1762" w:val="left" w:leader="none"/>
        </w:tabs>
        <w:spacing w:line="170" w:lineRule="exact" w:before="21" w:after="0"/>
        <w:ind w:left="1761" w:right="0" w:hanging="794"/>
        <w:jc w:val="left"/>
        <w:rPr>
          <w:sz w:val="13"/>
        </w:rPr>
      </w:pPr>
      <w:r>
        <w:rPr>
          <w:sz w:val="13"/>
        </w:rPr>
        <w:t>Consultation 5 (Expression</w:t>
      </w:r>
      <w:r>
        <w:rPr>
          <w:spacing w:val="1"/>
          <w:sz w:val="13"/>
        </w:rPr>
        <w:t> </w:t>
      </w:r>
      <w:r>
        <w:rPr>
          <w:sz w:val="13"/>
        </w:rPr>
        <w:t>Australia).</w:t>
      </w:r>
    </w:p>
    <w:p>
      <w:pPr>
        <w:pStyle w:val="ListParagraph"/>
        <w:numPr>
          <w:ilvl w:val="0"/>
          <w:numId w:val="82"/>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z w:val="13"/>
        </w:rPr>
        <w:t>13 </w:t>
      </w:r>
      <w:r>
        <w:rPr>
          <w:spacing w:val="2"/>
          <w:sz w:val="13"/>
        </w:rPr>
        <w:t>(Juries</w:t>
      </w:r>
      <w:r>
        <w:rPr>
          <w:spacing w:val="-2"/>
          <w:sz w:val="13"/>
        </w:rPr>
        <w:t> </w:t>
      </w:r>
      <w:r>
        <w:rPr>
          <w:sz w:val="13"/>
        </w:rPr>
        <w:t>Victoria).</w:t>
      </w:r>
    </w:p>
    <w:p>
      <w:pPr>
        <w:pStyle w:val="ListParagraph"/>
        <w:numPr>
          <w:ilvl w:val="0"/>
          <w:numId w:val="82"/>
        </w:numPr>
        <w:tabs>
          <w:tab w:pos="1761" w:val="left" w:leader="none"/>
          <w:tab w:pos="1762" w:val="left" w:leader="none"/>
        </w:tabs>
        <w:spacing w:line="160" w:lineRule="exact" w:before="0" w:after="0"/>
        <w:ind w:left="1761" w:right="0" w:hanging="794"/>
        <w:jc w:val="left"/>
        <w:rPr>
          <w:sz w:val="13"/>
        </w:rPr>
      </w:pPr>
      <w:r>
        <w:rPr>
          <w:sz w:val="13"/>
        </w:rPr>
        <w:t>Consultation 12 (Consultation with Victorian County </w:t>
      </w:r>
      <w:r>
        <w:rPr>
          <w:spacing w:val="2"/>
          <w:sz w:val="13"/>
        </w:rPr>
        <w:t>Court </w:t>
      </w:r>
      <w:r>
        <w:rPr>
          <w:sz w:val="13"/>
        </w:rPr>
        <w:t>Registrars and </w:t>
      </w:r>
      <w:r>
        <w:rPr>
          <w:spacing w:val="2"/>
          <w:sz w:val="13"/>
        </w:rPr>
        <w:t>Court policy</w:t>
      </w:r>
      <w:r>
        <w:rPr>
          <w:spacing w:val="18"/>
          <w:sz w:val="13"/>
        </w:rPr>
        <w:t> </w:t>
      </w:r>
      <w:r>
        <w:rPr>
          <w:sz w:val="13"/>
        </w:rPr>
        <w:t>staff).</w:t>
      </w:r>
    </w:p>
    <w:p>
      <w:pPr>
        <w:pStyle w:val="ListParagraph"/>
        <w:numPr>
          <w:ilvl w:val="0"/>
          <w:numId w:val="82"/>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6"/>
          <w:sz w:val="13"/>
        </w:rPr>
        <w:t> </w:t>
      </w:r>
      <w:r>
        <w:rPr>
          <w:sz w:val="13"/>
        </w:rPr>
        <w:t>Victoria).</w:t>
      </w:r>
    </w:p>
    <w:p>
      <w:pPr>
        <w:pStyle w:val="ListParagraph"/>
        <w:numPr>
          <w:ilvl w:val="0"/>
          <w:numId w:val="82"/>
        </w:numPr>
        <w:tabs>
          <w:tab w:pos="1760" w:val="left" w:leader="none"/>
          <w:tab w:pos="1762" w:val="left" w:leader="none"/>
        </w:tabs>
        <w:spacing w:line="170" w:lineRule="exact" w:before="0" w:after="0"/>
        <w:ind w:left="1761" w:right="0" w:hanging="794"/>
        <w:jc w:val="left"/>
        <w:rPr>
          <w:sz w:val="13"/>
        </w:rPr>
      </w:pPr>
      <w:r>
        <w:rPr>
          <w:spacing w:val="2"/>
          <w:sz w:val="13"/>
        </w:rPr>
        <w:t>Court</w:t>
      </w:r>
      <w:r>
        <w:rPr>
          <w:spacing w:val="7"/>
          <w:sz w:val="13"/>
        </w:rPr>
        <w:t> </w:t>
      </w:r>
      <w:r>
        <w:rPr>
          <w:spacing w:val="2"/>
          <w:sz w:val="13"/>
        </w:rPr>
        <w:t>Services</w:t>
      </w:r>
      <w:r>
        <w:rPr>
          <w:spacing w:val="8"/>
          <w:sz w:val="13"/>
        </w:rPr>
        <w:t> </w:t>
      </w:r>
      <w:r>
        <w:rPr>
          <w:sz w:val="13"/>
        </w:rPr>
        <w:t>Victoria,</w:t>
      </w:r>
      <w:r>
        <w:rPr>
          <w:spacing w:val="8"/>
          <w:sz w:val="13"/>
        </w:rPr>
        <w:t> </w:t>
      </w:r>
      <w:r>
        <w:rPr>
          <w:i/>
          <w:sz w:val="13"/>
        </w:rPr>
        <w:t>Delivering</w:t>
      </w:r>
      <w:r>
        <w:rPr>
          <w:i/>
          <w:spacing w:val="8"/>
          <w:sz w:val="13"/>
        </w:rPr>
        <w:t> </w:t>
      </w:r>
      <w:r>
        <w:rPr>
          <w:i/>
          <w:sz w:val="13"/>
        </w:rPr>
        <w:t>Excellence</w:t>
      </w:r>
      <w:r>
        <w:rPr>
          <w:i/>
          <w:spacing w:val="8"/>
          <w:sz w:val="13"/>
        </w:rPr>
        <w:t> </w:t>
      </w:r>
      <w:r>
        <w:rPr>
          <w:i/>
          <w:sz w:val="13"/>
        </w:rPr>
        <w:t>in</w:t>
      </w:r>
      <w:r>
        <w:rPr>
          <w:i/>
          <w:spacing w:val="7"/>
          <w:sz w:val="13"/>
        </w:rPr>
        <w:t> </w:t>
      </w:r>
      <w:r>
        <w:rPr>
          <w:i/>
          <w:sz w:val="13"/>
        </w:rPr>
        <w:t>Court</w:t>
      </w:r>
      <w:r>
        <w:rPr>
          <w:i/>
          <w:spacing w:val="8"/>
          <w:sz w:val="13"/>
        </w:rPr>
        <w:t> </w:t>
      </w:r>
      <w:r>
        <w:rPr>
          <w:i/>
          <w:sz w:val="13"/>
        </w:rPr>
        <w:t>and</w:t>
      </w:r>
      <w:r>
        <w:rPr>
          <w:i/>
          <w:spacing w:val="7"/>
          <w:sz w:val="13"/>
        </w:rPr>
        <w:t> </w:t>
      </w:r>
      <w:r>
        <w:rPr>
          <w:i/>
          <w:sz w:val="13"/>
        </w:rPr>
        <w:t>Tribunal</w:t>
      </w:r>
      <w:r>
        <w:rPr>
          <w:i/>
          <w:spacing w:val="7"/>
          <w:sz w:val="13"/>
        </w:rPr>
        <w:t> </w:t>
      </w:r>
      <w:r>
        <w:rPr>
          <w:i/>
          <w:sz w:val="13"/>
        </w:rPr>
        <w:t>Administration</w:t>
      </w:r>
      <w:r>
        <w:rPr>
          <w:i/>
          <w:spacing w:val="8"/>
          <w:sz w:val="13"/>
        </w:rPr>
        <w:t> </w:t>
      </w:r>
      <w:r>
        <w:rPr>
          <w:spacing w:val="2"/>
          <w:sz w:val="13"/>
        </w:rPr>
        <w:t>(Annual</w:t>
      </w:r>
      <w:r>
        <w:rPr>
          <w:spacing w:val="8"/>
          <w:sz w:val="13"/>
        </w:rPr>
        <w:t> </w:t>
      </w:r>
      <w:r>
        <w:rPr>
          <w:spacing w:val="2"/>
          <w:sz w:val="13"/>
        </w:rPr>
        <w:t>Report</w:t>
      </w:r>
      <w:r>
        <w:rPr>
          <w:spacing w:val="8"/>
          <w:sz w:val="13"/>
        </w:rPr>
        <w:t> </w:t>
      </w:r>
      <w:r>
        <w:rPr>
          <w:sz w:val="13"/>
        </w:rPr>
        <w:t>2020–21,</w:t>
      </w:r>
      <w:r>
        <w:rPr>
          <w:spacing w:val="8"/>
          <w:sz w:val="13"/>
        </w:rPr>
        <w:t> </w:t>
      </w:r>
      <w:r>
        <w:rPr>
          <w:sz w:val="13"/>
        </w:rPr>
        <w:t>2021)</w:t>
      </w:r>
      <w:r>
        <w:rPr>
          <w:spacing w:val="8"/>
          <w:sz w:val="13"/>
        </w:rPr>
        <w:t> </w:t>
      </w:r>
      <w:r>
        <w:rPr>
          <w:sz w:val="13"/>
        </w:rPr>
        <w:t>32.</w:t>
      </w:r>
    </w:p>
    <w:p>
      <w:pPr>
        <w:pStyle w:val="BodyText"/>
        <w:spacing w:before="7"/>
        <w:rPr>
          <w:sz w:val="38"/>
        </w:rPr>
      </w:pPr>
      <w:r>
        <w:rPr/>
        <w:br w:type="column"/>
      </w:r>
      <w:r>
        <w:rPr>
          <w:sz w:val="38"/>
        </w:rPr>
      </w:r>
    </w:p>
    <w:p>
      <w:pPr>
        <w:spacing w:before="0"/>
        <w:ind w:left="967" w:right="0" w:firstLine="0"/>
        <w:jc w:val="left"/>
        <w:rPr>
          <w:b/>
          <w:sz w:val="24"/>
        </w:rPr>
      </w:pPr>
      <w:r>
        <w:rPr>
          <w:b/>
          <w:color w:val="37617A"/>
          <w:sz w:val="24"/>
        </w:rPr>
        <w:t>117</w:t>
      </w:r>
    </w:p>
    <w:p>
      <w:pPr>
        <w:spacing w:after="0"/>
        <w:jc w:val="left"/>
        <w:rPr>
          <w:sz w:val="24"/>
        </w:rPr>
        <w:sectPr>
          <w:type w:val="continuous"/>
          <w:pgSz w:w="11910" w:h="16840"/>
          <w:pgMar w:top="620" w:bottom="280" w:left="620" w:right="380"/>
          <w:cols w:num="2" w:equalWidth="0">
            <w:col w:w="8846" w:space="499"/>
            <w:col w:w="1565"/>
          </w:cols>
        </w:sectPr>
      </w:pPr>
    </w:p>
    <w:p>
      <w:pPr>
        <w:pStyle w:val="BodyText"/>
        <w:rPr>
          <w:b/>
        </w:rPr>
      </w:pPr>
    </w:p>
    <w:p>
      <w:pPr>
        <w:pStyle w:val="BodyText"/>
        <w:rPr>
          <w:b/>
        </w:rPr>
      </w:pPr>
    </w:p>
    <w:p>
      <w:pPr>
        <w:pStyle w:val="BodyText"/>
        <w:rPr>
          <w:b/>
        </w:rPr>
      </w:pPr>
    </w:p>
    <w:p>
      <w:pPr>
        <w:pStyle w:val="BodyText"/>
        <w:rPr>
          <w:b/>
          <w:sz w:val="13"/>
        </w:rPr>
      </w:pPr>
    </w:p>
    <w:p>
      <w:pPr>
        <w:pStyle w:val="BodyText"/>
        <w:spacing w:line="206" w:lineRule="auto" w:before="90"/>
        <w:ind w:left="1761" w:right="1202"/>
      </w:pPr>
      <w:r>
        <w:rPr/>
        <w:t>St</w:t>
      </w:r>
      <w:r>
        <w:rPr>
          <w:spacing w:val="-13"/>
        </w:rPr>
        <w:t> </w:t>
      </w:r>
      <w:r>
        <w:rPr/>
        <w:t>Arnaud,</w:t>
      </w:r>
      <w:r>
        <w:rPr>
          <w:spacing w:val="-13"/>
        </w:rPr>
        <w:t> </w:t>
      </w:r>
      <w:r>
        <w:rPr/>
        <w:t>Castlemaine,</w:t>
      </w:r>
      <w:r>
        <w:rPr>
          <w:spacing w:val="-13"/>
        </w:rPr>
        <w:t> </w:t>
      </w:r>
      <w:r>
        <w:rPr/>
        <w:t>Wangaratta,</w:t>
      </w:r>
      <w:r>
        <w:rPr>
          <w:spacing w:val="-13"/>
        </w:rPr>
        <w:t> </w:t>
      </w:r>
      <w:r>
        <w:rPr/>
        <w:t>Bacchus</w:t>
      </w:r>
      <w:r>
        <w:rPr>
          <w:spacing w:val="-13"/>
        </w:rPr>
        <w:t> </w:t>
      </w:r>
      <w:r>
        <w:rPr/>
        <w:t>Marsh</w:t>
      </w:r>
      <w:r>
        <w:rPr>
          <w:spacing w:val="-13"/>
        </w:rPr>
        <w:t> </w:t>
      </w:r>
      <w:r>
        <w:rPr/>
        <w:t>and</w:t>
      </w:r>
      <w:r>
        <w:rPr>
          <w:spacing w:val="-13"/>
        </w:rPr>
        <w:t> </w:t>
      </w:r>
      <w:r>
        <w:rPr>
          <w:spacing w:val="-3"/>
        </w:rPr>
        <w:t>Sale).</w:t>
      </w:r>
      <w:r>
        <w:rPr>
          <w:spacing w:val="-13"/>
        </w:rPr>
        <w:t> </w:t>
      </w:r>
      <w:r>
        <w:rPr/>
        <w:t>Some</w:t>
      </w:r>
      <w:r>
        <w:rPr>
          <w:spacing w:val="-13"/>
        </w:rPr>
        <w:t> </w:t>
      </w:r>
      <w:r>
        <w:rPr/>
        <w:t>compliance</w:t>
      </w:r>
      <w:r>
        <w:rPr>
          <w:spacing w:val="-13"/>
        </w:rPr>
        <w:t> </w:t>
      </w:r>
      <w:r>
        <w:rPr>
          <w:spacing w:val="-3"/>
        </w:rPr>
        <w:t>work </w:t>
      </w:r>
      <w:r>
        <w:rPr/>
        <w:t>is under </w:t>
      </w:r>
      <w:r>
        <w:rPr>
          <w:spacing w:val="-4"/>
        </w:rPr>
        <w:t>way </w:t>
      </w:r>
      <w:r>
        <w:rPr/>
        <w:t>in respect to the William Cooper Justice Centre and the Supreme Court of Victoria, both located in the Melbourne </w:t>
      </w:r>
      <w:r>
        <w:rPr>
          <w:spacing w:val="-4"/>
        </w:rPr>
        <w:t>CBD’.</w:t>
      </w:r>
      <w:r>
        <w:rPr>
          <w:spacing w:val="-4"/>
          <w:position w:val="7"/>
          <w:sz w:val="11"/>
        </w:rPr>
        <w:t>72 </w:t>
      </w:r>
      <w:r>
        <w:rPr/>
        <w:t>This </w:t>
      </w:r>
      <w:r>
        <w:rPr>
          <w:spacing w:val="-3"/>
        </w:rPr>
        <w:t>work </w:t>
      </w:r>
      <w:r>
        <w:rPr/>
        <w:t>should be built upon to </w:t>
      </w:r>
      <w:r>
        <w:rPr>
          <w:spacing w:val="-4"/>
        </w:rPr>
        <w:t>improve</w:t>
      </w:r>
      <w:r>
        <w:rPr>
          <w:spacing w:val="-10"/>
        </w:rPr>
        <w:t> </w:t>
      </w:r>
      <w:r>
        <w:rPr/>
        <w:t>accessibility</w:t>
      </w:r>
      <w:r>
        <w:rPr>
          <w:spacing w:val="-10"/>
        </w:rPr>
        <w:t> </w:t>
      </w:r>
      <w:r>
        <w:rPr/>
        <w:t>in</w:t>
      </w:r>
      <w:r>
        <w:rPr>
          <w:spacing w:val="-10"/>
        </w:rPr>
        <w:t> </w:t>
      </w:r>
      <w:r>
        <w:rPr/>
        <w:t>Victorian</w:t>
      </w:r>
      <w:r>
        <w:rPr>
          <w:spacing w:val="-10"/>
        </w:rPr>
        <w:t> </w:t>
      </w:r>
      <w:r>
        <w:rPr/>
        <w:t>courts</w:t>
      </w:r>
      <w:r>
        <w:rPr>
          <w:spacing w:val="-9"/>
        </w:rPr>
        <w:t> </w:t>
      </w:r>
      <w:r>
        <w:rPr/>
        <w:t>to</w:t>
      </w:r>
      <w:r>
        <w:rPr>
          <w:spacing w:val="-10"/>
        </w:rPr>
        <w:t> </w:t>
      </w:r>
      <w:r>
        <w:rPr/>
        <w:t>enable</w:t>
      </w:r>
      <w:r>
        <w:rPr>
          <w:spacing w:val="-10"/>
        </w:rPr>
        <w:t> </w:t>
      </w:r>
      <w:r>
        <w:rPr/>
        <w:t>jury</w:t>
      </w:r>
      <w:r>
        <w:rPr>
          <w:spacing w:val="-10"/>
        </w:rPr>
        <w:t> </w:t>
      </w:r>
      <w:r>
        <w:rPr/>
        <w:t>service</w:t>
      </w:r>
      <w:r>
        <w:rPr>
          <w:spacing w:val="-10"/>
        </w:rPr>
        <w:t> </w:t>
      </w:r>
      <w:r>
        <w:rPr/>
        <w:t>for</w:t>
      </w:r>
      <w:r>
        <w:rPr>
          <w:spacing w:val="-9"/>
        </w:rPr>
        <w:t> </w:t>
      </w:r>
      <w:r>
        <w:rPr/>
        <w:t>people</w:t>
      </w:r>
      <w:r>
        <w:rPr>
          <w:spacing w:val="-10"/>
        </w:rPr>
        <w:t> </w:t>
      </w:r>
      <w:r>
        <w:rPr/>
        <w:t>in</w:t>
      </w:r>
      <w:r>
        <w:rPr>
          <w:spacing w:val="-10"/>
        </w:rPr>
        <w:t> </w:t>
      </w:r>
      <w:r>
        <w:rPr/>
        <w:t>the</w:t>
      </w:r>
      <w:r>
        <w:rPr>
          <w:spacing w:val="-10"/>
        </w:rPr>
        <w:t> </w:t>
      </w:r>
      <w:r>
        <w:rPr/>
        <w:t>subject groups.</w:t>
      </w:r>
    </w:p>
    <w:p>
      <w:pPr>
        <w:pStyle w:val="ListParagraph"/>
        <w:numPr>
          <w:ilvl w:val="1"/>
          <w:numId w:val="12"/>
        </w:numPr>
        <w:tabs>
          <w:tab w:pos="1761" w:val="left" w:leader="none"/>
          <w:tab w:pos="1762" w:val="left" w:leader="none"/>
        </w:tabs>
        <w:spacing w:line="206" w:lineRule="auto" w:before="126" w:after="0"/>
        <w:ind w:left="1761" w:right="1276" w:hanging="794"/>
        <w:jc w:val="left"/>
        <w:rPr>
          <w:sz w:val="11"/>
        </w:rPr>
      </w:pPr>
      <w:r>
        <w:rPr>
          <w:sz w:val="20"/>
        </w:rPr>
        <w:t>The CRPD </w:t>
      </w:r>
      <w:r>
        <w:rPr>
          <w:spacing w:val="-3"/>
          <w:sz w:val="20"/>
        </w:rPr>
        <w:t>requires States </w:t>
      </w:r>
      <w:r>
        <w:rPr>
          <w:sz w:val="20"/>
        </w:rPr>
        <w:t>Parties to </w:t>
      </w:r>
      <w:r>
        <w:rPr>
          <w:spacing w:val="-3"/>
          <w:sz w:val="20"/>
        </w:rPr>
        <w:t>progressively achieve </w:t>
      </w:r>
      <w:r>
        <w:rPr>
          <w:sz w:val="20"/>
        </w:rPr>
        <w:t>‘universal </w:t>
      </w:r>
      <w:r>
        <w:rPr>
          <w:spacing w:val="-3"/>
          <w:sz w:val="20"/>
        </w:rPr>
        <w:t>design’, </w:t>
      </w:r>
      <w:r>
        <w:rPr>
          <w:sz w:val="20"/>
        </w:rPr>
        <w:t>which is defined</w:t>
      </w:r>
      <w:r>
        <w:rPr>
          <w:spacing w:val="-13"/>
          <w:sz w:val="20"/>
        </w:rPr>
        <w:t> </w:t>
      </w:r>
      <w:r>
        <w:rPr>
          <w:sz w:val="20"/>
        </w:rPr>
        <w:t>under</w:t>
      </w:r>
      <w:r>
        <w:rPr>
          <w:spacing w:val="-12"/>
          <w:sz w:val="20"/>
        </w:rPr>
        <w:t> </w:t>
      </w:r>
      <w:r>
        <w:rPr>
          <w:sz w:val="20"/>
        </w:rPr>
        <w:t>article</w:t>
      </w:r>
      <w:r>
        <w:rPr>
          <w:spacing w:val="-12"/>
          <w:sz w:val="20"/>
        </w:rPr>
        <w:t> </w:t>
      </w:r>
      <w:r>
        <w:rPr>
          <w:sz w:val="20"/>
        </w:rPr>
        <w:t>2</w:t>
      </w:r>
      <w:r>
        <w:rPr>
          <w:spacing w:val="-13"/>
          <w:sz w:val="20"/>
        </w:rPr>
        <w:t> </w:t>
      </w:r>
      <w:r>
        <w:rPr>
          <w:sz w:val="20"/>
        </w:rPr>
        <w:t>as</w:t>
      </w:r>
      <w:r>
        <w:rPr>
          <w:spacing w:val="-12"/>
          <w:sz w:val="20"/>
        </w:rPr>
        <w:t> </w:t>
      </w:r>
      <w:r>
        <w:rPr>
          <w:sz w:val="20"/>
        </w:rPr>
        <w:t>‘the</w:t>
      </w:r>
      <w:r>
        <w:rPr>
          <w:spacing w:val="-12"/>
          <w:sz w:val="20"/>
        </w:rPr>
        <w:t> </w:t>
      </w:r>
      <w:r>
        <w:rPr>
          <w:sz w:val="20"/>
        </w:rPr>
        <w:t>design</w:t>
      </w:r>
      <w:r>
        <w:rPr>
          <w:spacing w:val="-12"/>
          <w:sz w:val="20"/>
        </w:rPr>
        <w:t> </w:t>
      </w:r>
      <w:r>
        <w:rPr>
          <w:sz w:val="20"/>
        </w:rPr>
        <w:t>of</w:t>
      </w:r>
      <w:r>
        <w:rPr>
          <w:spacing w:val="-13"/>
          <w:sz w:val="20"/>
        </w:rPr>
        <w:t> </w:t>
      </w:r>
      <w:r>
        <w:rPr>
          <w:sz w:val="20"/>
        </w:rPr>
        <w:t>products,</w:t>
      </w:r>
      <w:r>
        <w:rPr>
          <w:spacing w:val="-12"/>
          <w:sz w:val="20"/>
        </w:rPr>
        <w:t> </w:t>
      </w:r>
      <w:r>
        <w:rPr>
          <w:sz w:val="20"/>
        </w:rPr>
        <w:t>environments,</w:t>
      </w:r>
      <w:r>
        <w:rPr>
          <w:spacing w:val="-12"/>
          <w:sz w:val="20"/>
        </w:rPr>
        <w:t> </w:t>
      </w:r>
      <w:r>
        <w:rPr>
          <w:sz w:val="20"/>
        </w:rPr>
        <w:t>programmes,</w:t>
      </w:r>
      <w:r>
        <w:rPr>
          <w:spacing w:val="-12"/>
          <w:sz w:val="20"/>
        </w:rPr>
        <w:t> </w:t>
      </w:r>
      <w:r>
        <w:rPr>
          <w:spacing w:val="-3"/>
          <w:sz w:val="20"/>
        </w:rPr>
        <w:t>devices </w:t>
      </w:r>
      <w:r>
        <w:rPr>
          <w:sz w:val="20"/>
        </w:rPr>
        <w:t>and services to be usable </w:t>
      </w:r>
      <w:r>
        <w:rPr>
          <w:spacing w:val="-3"/>
          <w:sz w:val="20"/>
        </w:rPr>
        <w:t>by </w:t>
      </w:r>
      <w:r>
        <w:rPr>
          <w:sz w:val="20"/>
        </w:rPr>
        <w:t>all people, to the </w:t>
      </w:r>
      <w:r>
        <w:rPr>
          <w:spacing w:val="-3"/>
          <w:sz w:val="20"/>
        </w:rPr>
        <w:t>greatest </w:t>
      </w:r>
      <w:r>
        <w:rPr>
          <w:sz w:val="20"/>
        </w:rPr>
        <w:t>extent possible, without the need for adaptation or specialized design’</w:t>
      </w:r>
      <w:r>
        <w:rPr>
          <w:position w:val="7"/>
          <w:sz w:val="11"/>
        </w:rPr>
        <w:t>73</w:t>
      </w:r>
      <w:r>
        <w:rPr>
          <w:sz w:val="20"/>
        </w:rPr>
        <w:t>. </w:t>
      </w:r>
      <w:r>
        <w:rPr>
          <w:spacing w:val="-3"/>
          <w:sz w:val="20"/>
        </w:rPr>
        <w:t>Victoria’s State </w:t>
      </w:r>
      <w:r>
        <w:rPr>
          <w:sz w:val="20"/>
        </w:rPr>
        <w:t>Disability Plan </w:t>
      </w:r>
      <w:r>
        <w:rPr>
          <w:spacing w:val="-4"/>
          <w:sz w:val="20"/>
        </w:rPr>
        <w:t>2022–2026 </w:t>
      </w:r>
      <w:r>
        <w:rPr>
          <w:sz w:val="20"/>
        </w:rPr>
        <w:t>commits to implementing ‘universal design </w:t>
      </w:r>
      <w:r>
        <w:rPr>
          <w:spacing w:val="-3"/>
          <w:sz w:val="20"/>
        </w:rPr>
        <w:t>principles’ across infrastructure </w:t>
      </w:r>
      <w:r>
        <w:rPr>
          <w:sz w:val="20"/>
        </w:rPr>
        <w:t>to ‘support people</w:t>
      </w:r>
      <w:r>
        <w:rPr>
          <w:spacing w:val="-5"/>
          <w:sz w:val="20"/>
        </w:rPr>
        <w:t> </w:t>
      </w:r>
      <w:r>
        <w:rPr>
          <w:sz w:val="20"/>
        </w:rPr>
        <w:t>with</w:t>
      </w:r>
      <w:r>
        <w:rPr>
          <w:spacing w:val="-5"/>
          <w:sz w:val="20"/>
        </w:rPr>
        <w:t> </w:t>
      </w:r>
      <w:r>
        <w:rPr>
          <w:sz w:val="20"/>
        </w:rPr>
        <w:t>disability</w:t>
      </w:r>
      <w:r>
        <w:rPr>
          <w:spacing w:val="-5"/>
          <w:sz w:val="20"/>
        </w:rPr>
        <w:t> </w:t>
      </w:r>
      <w:r>
        <w:rPr>
          <w:sz w:val="20"/>
        </w:rPr>
        <w:t>to</w:t>
      </w:r>
      <w:r>
        <w:rPr>
          <w:spacing w:val="-5"/>
          <w:sz w:val="20"/>
        </w:rPr>
        <w:t> </w:t>
      </w:r>
      <w:r>
        <w:rPr>
          <w:sz w:val="20"/>
        </w:rPr>
        <w:t>take</w:t>
      </w:r>
      <w:r>
        <w:rPr>
          <w:spacing w:val="-4"/>
          <w:sz w:val="20"/>
        </w:rPr>
        <w:t> </w:t>
      </w:r>
      <w:r>
        <w:rPr>
          <w:sz w:val="20"/>
        </w:rPr>
        <w:t>part</w:t>
      </w:r>
      <w:r>
        <w:rPr>
          <w:spacing w:val="-5"/>
          <w:sz w:val="20"/>
        </w:rPr>
        <w:t> </w:t>
      </w:r>
      <w:r>
        <w:rPr>
          <w:sz w:val="20"/>
        </w:rPr>
        <w:t>in</w:t>
      </w:r>
      <w:r>
        <w:rPr>
          <w:spacing w:val="-5"/>
          <w:sz w:val="20"/>
        </w:rPr>
        <w:t> </w:t>
      </w:r>
      <w:r>
        <w:rPr>
          <w:sz w:val="20"/>
        </w:rPr>
        <w:t>their</w:t>
      </w:r>
      <w:r>
        <w:rPr>
          <w:spacing w:val="-5"/>
          <w:sz w:val="20"/>
        </w:rPr>
        <w:t> </w:t>
      </w:r>
      <w:r>
        <w:rPr>
          <w:sz w:val="20"/>
        </w:rPr>
        <w:t>local</w:t>
      </w:r>
      <w:r>
        <w:rPr>
          <w:spacing w:val="-4"/>
          <w:sz w:val="20"/>
        </w:rPr>
        <w:t> community’.</w:t>
      </w:r>
      <w:r>
        <w:rPr>
          <w:spacing w:val="-4"/>
          <w:position w:val="7"/>
          <w:sz w:val="11"/>
        </w:rPr>
        <w:t>74</w:t>
      </w:r>
    </w:p>
    <w:p>
      <w:pPr>
        <w:pStyle w:val="ListParagraph"/>
        <w:numPr>
          <w:ilvl w:val="1"/>
          <w:numId w:val="12"/>
        </w:numPr>
        <w:tabs>
          <w:tab w:pos="1761" w:val="left" w:leader="none"/>
          <w:tab w:pos="1762" w:val="left" w:leader="none"/>
        </w:tabs>
        <w:spacing w:line="206" w:lineRule="auto" w:before="128" w:after="0"/>
        <w:ind w:left="1761" w:right="1426" w:hanging="794"/>
        <w:jc w:val="left"/>
        <w:rPr>
          <w:sz w:val="20"/>
        </w:rPr>
      </w:pPr>
      <w:r>
        <w:rPr>
          <w:sz w:val="20"/>
        </w:rPr>
        <w:t>The</w:t>
      </w:r>
      <w:r>
        <w:rPr>
          <w:spacing w:val="-9"/>
          <w:sz w:val="20"/>
        </w:rPr>
        <w:t> </w:t>
      </w:r>
      <w:r>
        <w:rPr>
          <w:spacing w:val="-2"/>
          <w:sz w:val="20"/>
        </w:rPr>
        <w:t>Government</w:t>
      </w:r>
      <w:r>
        <w:rPr>
          <w:spacing w:val="-9"/>
          <w:sz w:val="20"/>
        </w:rPr>
        <w:t> </w:t>
      </w:r>
      <w:r>
        <w:rPr>
          <w:sz w:val="20"/>
        </w:rPr>
        <w:t>of</w:t>
      </w:r>
      <w:r>
        <w:rPr>
          <w:spacing w:val="-8"/>
          <w:sz w:val="20"/>
        </w:rPr>
        <w:t> </w:t>
      </w:r>
      <w:r>
        <w:rPr>
          <w:sz w:val="20"/>
        </w:rPr>
        <w:t>the</w:t>
      </w:r>
      <w:r>
        <w:rPr>
          <w:spacing w:val="-9"/>
          <w:sz w:val="20"/>
        </w:rPr>
        <w:t> </w:t>
      </w:r>
      <w:r>
        <w:rPr>
          <w:sz w:val="20"/>
        </w:rPr>
        <w:t>United</w:t>
      </w:r>
      <w:r>
        <w:rPr>
          <w:spacing w:val="-8"/>
          <w:sz w:val="20"/>
        </w:rPr>
        <w:t> </w:t>
      </w:r>
      <w:r>
        <w:rPr>
          <w:sz w:val="20"/>
        </w:rPr>
        <w:t>Kingdom</w:t>
      </w:r>
      <w:r>
        <w:rPr>
          <w:spacing w:val="-9"/>
          <w:sz w:val="20"/>
        </w:rPr>
        <w:t> </w:t>
      </w:r>
      <w:r>
        <w:rPr>
          <w:sz w:val="20"/>
        </w:rPr>
        <w:t>has</w:t>
      </w:r>
      <w:r>
        <w:rPr>
          <w:spacing w:val="-9"/>
          <w:sz w:val="20"/>
        </w:rPr>
        <w:t> </w:t>
      </w:r>
      <w:r>
        <w:rPr>
          <w:spacing w:val="-3"/>
          <w:sz w:val="20"/>
        </w:rPr>
        <w:t>recently</w:t>
      </w:r>
      <w:r>
        <w:rPr>
          <w:spacing w:val="-8"/>
          <w:sz w:val="20"/>
        </w:rPr>
        <w:t> </w:t>
      </w:r>
      <w:r>
        <w:rPr>
          <w:spacing w:val="-3"/>
          <w:sz w:val="20"/>
        </w:rPr>
        <w:t>invested</w:t>
      </w:r>
      <w:r>
        <w:rPr>
          <w:spacing w:val="-9"/>
          <w:sz w:val="20"/>
        </w:rPr>
        <w:t> </w:t>
      </w:r>
      <w:r>
        <w:rPr>
          <w:sz w:val="20"/>
        </w:rPr>
        <w:t>£1</w:t>
      </w:r>
      <w:r>
        <w:rPr>
          <w:spacing w:val="-8"/>
          <w:sz w:val="20"/>
        </w:rPr>
        <w:t> </w:t>
      </w:r>
      <w:r>
        <w:rPr>
          <w:sz w:val="20"/>
        </w:rPr>
        <w:t>billion</w:t>
      </w:r>
      <w:r>
        <w:rPr>
          <w:spacing w:val="-9"/>
          <w:sz w:val="20"/>
        </w:rPr>
        <w:t> </w:t>
      </w:r>
      <w:r>
        <w:rPr>
          <w:sz w:val="20"/>
        </w:rPr>
        <w:t>to</w:t>
      </w:r>
      <w:r>
        <w:rPr>
          <w:spacing w:val="-9"/>
          <w:sz w:val="20"/>
        </w:rPr>
        <w:t> </w:t>
      </w:r>
      <w:r>
        <w:rPr>
          <w:sz w:val="20"/>
        </w:rPr>
        <w:t>modernise courts</w:t>
      </w:r>
      <w:r>
        <w:rPr>
          <w:spacing w:val="-8"/>
          <w:sz w:val="20"/>
        </w:rPr>
        <w:t> </w:t>
      </w:r>
      <w:r>
        <w:rPr>
          <w:sz w:val="20"/>
        </w:rPr>
        <w:t>and</w:t>
      </w:r>
      <w:r>
        <w:rPr>
          <w:spacing w:val="-7"/>
          <w:sz w:val="20"/>
        </w:rPr>
        <w:t> </w:t>
      </w:r>
      <w:r>
        <w:rPr>
          <w:sz w:val="20"/>
        </w:rPr>
        <w:t>tribunals,</w:t>
      </w:r>
      <w:r>
        <w:rPr>
          <w:spacing w:val="-7"/>
          <w:sz w:val="20"/>
        </w:rPr>
        <w:t> </w:t>
      </w:r>
      <w:r>
        <w:rPr>
          <w:sz w:val="20"/>
        </w:rPr>
        <w:t>‘seeking</w:t>
      </w:r>
      <w:r>
        <w:rPr>
          <w:spacing w:val="-7"/>
          <w:sz w:val="20"/>
        </w:rPr>
        <w:t> </w:t>
      </w:r>
      <w:r>
        <w:rPr>
          <w:sz w:val="20"/>
        </w:rPr>
        <w:t>to</w:t>
      </w:r>
      <w:r>
        <w:rPr>
          <w:spacing w:val="-7"/>
          <w:sz w:val="20"/>
        </w:rPr>
        <w:t> </w:t>
      </w:r>
      <w:r>
        <w:rPr>
          <w:sz w:val="20"/>
        </w:rPr>
        <w:t>boost</w:t>
      </w:r>
      <w:r>
        <w:rPr>
          <w:spacing w:val="-8"/>
          <w:sz w:val="20"/>
        </w:rPr>
        <w:t> </w:t>
      </w:r>
      <w:r>
        <w:rPr>
          <w:sz w:val="20"/>
        </w:rPr>
        <w:t>the</w:t>
      </w:r>
      <w:r>
        <w:rPr>
          <w:spacing w:val="-7"/>
          <w:sz w:val="20"/>
        </w:rPr>
        <w:t> </w:t>
      </w:r>
      <w:r>
        <w:rPr>
          <w:sz w:val="20"/>
        </w:rPr>
        <w:t>use</w:t>
      </w:r>
      <w:r>
        <w:rPr>
          <w:spacing w:val="-7"/>
          <w:sz w:val="20"/>
        </w:rPr>
        <w:t> </w:t>
      </w:r>
      <w:r>
        <w:rPr>
          <w:sz w:val="20"/>
        </w:rPr>
        <w:t>of</w:t>
      </w:r>
      <w:r>
        <w:rPr>
          <w:spacing w:val="-7"/>
          <w:sz w:val="20"/>
        </w:rPr>
        <w:t> </w:t>
      </w:r>
      <w:r>
        <w:rPr>
          <w:spacing w:val="-3"/>
          <w:sz w:val="20"/>
        </w:rPr>
        <w:t>technology,</w:t>
      </w:r>
      <w:r>
        <w:rPr>
          <w:spacing w:val="-7"/>
          <w:sz w:val="20"/>
        </w:rPr>
        <w:t> </w:t>
      </w:r>
      <w:r>
        <w:rPr>
          <w:sz w:val="20"/>
        </w:rPr>
        <w:t>upgrade</w:t>
      </w:r>
      <w:r>
        <w:rPr>
          <w:spacing w:val="-8"/>
          <w:sz w:val="20"/>
        </w:rPr>
        <w:t> </w:t>
      </w:r>
      <w:r>
        <w:rPr>
          <w:sz w:val="20"/>
        </w:rPr>
        <w:t>systems,</w:t>
      </w:r>
    </w:p>
    <w:p>
      <w:pPr>
        <w:pStyle w:val="BodyText"/>
        <w:spacing w:line="206" w:lineRule="auto" w:before="3"/>
        <w:ind w:left="1761" w:right="1335" w:hanging="1"/>
      </w:pPr>
      <w:r>
        <w:rPr/>
        <w:t>and ensure it better responds to the needs of the </w:t>
      </w:r>
      <w:r>
        <w:rPr>
          <w:spacing w:val="-4"/>
        </w:rPr>
        <w:t>public’.</w:t>
      </w:r>
      <w:r>
        <w:rPr>
          <w:spacing w:val="-4"/>
          <w:position w:val="7"/>
          <w:sz w:val="11"/>
        </w:rPr>
        <w:t>75 </w:t>
      </w:r>
      <w:r>
        <w:rPr/>
        <w:t>While recognising the different </w:t>
      </w:r>
      <w:r>
        <w:rPr>
          <w:spacing w:val="-3"/>
        </w:rPr>
        <w:t>size </w:t>
      </w:r>
      <w:r>
        <w:rPr/>
        <w:t>and scale of the court and tribunal system </w:t>
      </w:r>
      <w:r>
        <w:rPr>
          <w:spacing w:val="-3"/>
        </w:rPr>
        <w:t>across </w:t>
      </w:r>
      <w:r>
        <w:rPr/>
        <w:t>England and </w:t>
      </w:r>
      <w:r>
        <w:rPr>
          <w:spacing w:val="-3"/>
        </w:rPr>
        <w:t>Wales, </w:t>
      </w:r>
      <w:r>
        <w:rPr/>
        <w:t>the</w:t>
      </w:r>
      <w:r>
        <w:rPr>
          <w:spacing w:val="-16"/>
        </w:rPr>
        <w:t> </w:t>
      </w:r>
      <w:r>
        <w:rPr/>
        <w:t>Commission</w:t>
      </w:r>
      <w:r>
        <w:rPr>
          <w:spacing w:val="-15"/>
        </w:rPr>
        <w:t> </w:t>
      </w:r>
      <w:r>
        <w:rPr/>
        <w:t>recommends</w:t>
      </w:r>
      <w:r>
        <w:rPr>
          <w:spacing w:val="-15"/>
        </w:rPr>
        <w:t> </w:t>
      </w:r>
      <w:r>
        <w:rPr/>
        <w:t>that</w:t>
      </w:r>
      <w:r>
        <w:rPr>
          <w:spacing w:val="-15"/>
        </w:rPr>
        <w:t> </w:t>
      </w:r>
      <w:r>
        <w:rPr/>
        <w:t>the</w:t>
      </w:r>
      <w:r>
        <w:rPr>
          <w:spacing w:val="-16"/>
        </w:rPr>
        <w:t> </w:t>
      </w:r>
      <w:r>
        <w:rPr/>
        <w:t>Victorian</w:t>
      </w:r>
      <w:r>
        <w:rPr>
          <w:spacing w:val="-15"/>
        </w:rPr>
        <w:t> </w:t>
      </w:r>
      <w:r>
        <w:rPr/>
        <w:t>Government</w:t>
      </w:r>
      <w:r>
        <w:rPr>
          <w:spacing w:val="-15"/>
        </w:rPr>
        <w:t> </w:t>
      </w:r>
      <w:r>
        <w:rPr/>
        <w:t>similarly</w:t>
      </w:r>
      <w:r>
        <w:rPr>
          <w:spacing w:val="-15"/>
        </w:rPr>
        <w:t> </w:t>
      </w:r>
      <w:r>
        <w:rPr/>
        <w:t>invests</w:t>
      </w:r>
      <w:r>
        <w:rPr>
          <w:spacing w:val="-15"/>
        </w:rPr>
        <w:t> </w:t>
      </w:r>
      <w:r>
        <w:rPr/>
        <w:t>in</w:t>
      </w:r>
      <w:r>
        <w:rPr>
          <w:spacing w:val="-16"/>
        </w:rPr>
        <w:t> </w:t>
      </w:r>
      <w:r>
        <w:rPr/>
        <w:t>court updates to ensure that the courts </w:t>
      </w:r>
      <w:r>
        <w:rPr>
          <w:spacing w:val="-3"/>
        </w:rPr>
        <w:t>are </w:t>
      </w:r>
      <w:r>
        <w:rPr/>
        <w:t>accessible for people who </w:t>
      </w:r>
      <w:r>
        <w:rPr>
          <w:spacing w:val="-3"/>
        </w:rPr>
        <w:t>are </w:t>
      </w:r>
      <w:r>
        <w:rPr>
          <w:spacing w:val="-4"/>
        </w:rPr>
        <w:t>deaf, </w:t>
      </w:r>
      <w:r>
        <w:rPr/>
        <w:t>hard of hearing, blind or </w:t>
      </w:r>
      <w:r>
        <w:rPr>
          <w:spacing w:val="-4"/>
        </w:rPr>
        <w:t>have low</w:t>
      </w:r>
      <w:r>
        <w:rPr>
          <w:spacing w:val="-18"/>
        </w:rPr>
        <w:t> </w:t>
      </w:r>
      <w:r>
        <w:rPr/>
        <w:t>vision.</w:t>
      </w:r>
    </w:p>
    <w:p>
      <w:pPr>
        <w:pStyle w:val="Heading6"/>
        <w:rPr>
          <w:b/>
        </w:rPr>
      </w:pPr>
      <w:r>
        <w:rPr>
          <w:b/>
        </w:rPr>
        <w:t>Considerations—the presence of a non-juror and delay</w:t>
      </w:r>
    </w:p>
    <w:p>
      <w:pPr>
        <w:pStyle w:val="ListParagraph"/>
        <w:numPr>
          <w:ilvl w:val="1"/>
          <w:numId w:val="12"/>
        </w:numPr>
        <w:tabs>
          <w:tab w:pos="1761" w:val="left" w:leader="none"/>
          <w:tab w:pos="1762" w:val="left" w:leader="none"/>
        </w:tabs>
        <w:spacing w:line="206" w:lineRule="auto" w:before="132" w:after="0"/>
        <w:ind w:left="1761" w:right="1626" w:hanging="794"/>
        <w:jc w:val="left"/>
        <w:rPr>
          <w:sz w:val="20"/>
        </w:rPr>
      </w:pPr>
      <w:r>
        <w:rPr>
          <w:sz w:val="20"/>
        </w:rPr>
        <w:t>The</w:t>
      </w:r>
      <w:r>
        <w:rPr>
          <w:spacing w:val="-9"/>
          <w:sz w:val="20"/>
        </w:rPr>
        <w:t> </w:t>
      </w:r>
      <w:r>
        <w:rPr>
          <w:spacing w:val="-4"/>
          <w:sz w:val="20"/>
        </w:rPr>
        <w:t>ACT</w:t>
      </w:r>
      <w:r>
        <w:rPr>
          <w:spacing w:val="-9"/>
          <w:sz w:val="20"/>
        </w:rPr>
        <w:t> </w:t>
      </w:r>
      <w:r>
        <w:rPr>
          <w:spacing w:val="-2"/>
          <w:sz w:val="20"/>
        </w:rPr>
        <w:t>Act</w:t>
      </w:r>
      <w:r>
        <w:rPr>
          <w:spacing w:val="-8"/>
          <w:sz w:val="20"/>
        </w:rPr>
        <w:t> </w:t>
      </w:r>
      <w:r>
        <w:rPr>
          <w:sz w:val="20"/>
        </w:rPr>
        <w:t>includes</w:t>
      </w:r>
      <w:r>
        <w:rPr>
          <w:spacing w:val="-9"/>
          <w:sz w:val="20"/>
        </w:rPr>
        <w:t> </w:t>
      </w:r>
      <w:r>
        <w:rPr>
          <w:sz w:val="20"/>
        </w:rPr>
        <w:t>a</w:t>
      </w:r>
      <w:r>
        <w:rPr>
          <w:spacing w:val="-8"/>
          <w:sz w:val="20"/>
        </w:rPr>
        <w:t> </w:t>
      </w:r>
      <w:r>
        <w:rPr>
          <w:sz w:val="20"/>
        </w:rPr>
        <w:t>decision-making</w:t>
      </w:r>
      <w:r>
        <w:rPr>
          <w:spacing w:val="-9"/>
          <w:sz w:val="20"/>
        </w:rPr>
        <w:t> </w:t>
      </w:r>
      <w:r>
        <w:rPr>
          <w:spacing w:val="-2"/>
          <w:sz w:val="20"/>
        </w:rPr>
        <w:t>factor</w:t>
      </w:r>
      <w:r>
        <w:rPr>
          <w:spacing w:val="-8"/>
          <w:sz w:val="20"/>
        </w:rPr>
        <w:t> </w:t>
      </w:r>
      <w:r>
        <w:rPr>
          <w:sz w:val="20"/>
        </w:rPr>
        <w:t>relating</w:t>
      </w:r>
      <w:r>
        <w:rPr>
          <w:spacing w:val="-9"/>
          <w:sz w:val="20"/>
        </w:rPr>
        <w:t> </w:t>
      </w:r>
      <w:r>
        <w:rPr>
          <w:sz w:val="20"/>
        </w:rPr>
        <w:t>to</w:t>
      </w:r>
      <w:r>
        <w:rPr>
          <w:spacing w:val="-9"/>
          <w:sz w:val="20"/>
        </w:rPr>
        <w:t> </w:t>
      </w:r>
      <w:r>
        <w:rPr>
          <w:sz w:val="20"/>
        </w:rPr>
        <w:t>the</w:t>
      </w:r>
      <w:r>
        <w:rPr>
          <w:spacing w:val="-8"/>
          <w:sz w:val="20"/>
        </w:rPr>
        <w:t> </w:t>
      </w:r>
      <w:r>
        <w:rPr>
          <w:spacing w:val="-3"/>
          <w:sz w:val="20"/>
        </w:rPr>
        <w:t>juror’s</w:t>
      </w:r>
      <w:r>
        <w:rPr>
          <w:spacing w:val="-9"/>
          <w:sz w:val="20"/>
        </w:rPr>
        <w:t> </w:t>
      </w:r>
      <w:r>
        <w:rPr>
          <w:sz w:val="20"/>
        </w:rPr>
        <w:t>impact</w:t>
      </w:r>
      <w:r>
        <w:rPr>
          <w:spacing w:val="-8"/>
          <w:sz w:val="20"/>
        </w:rPr>
        <w:t> </w:t>
      </w:r>
      <w:r>
        <w:rPr>
          <w:sz w:val="20"/>
        </w:rPr>
        <w:t>on</w:t>
      </w:r>
      <w:r>
        <w:rPr>
          <w:spacing w:val="-9"/>
          <w:sz w:val="20"/>
        </w:rPr>
        <w:t> </w:t>
      </w:r>
      <w:r>
        <w:rPr>
          <w:sz w:val="20"/>
        </w:rPr>
        <w:t>jury deliberations.</w:t>
      </w:r>
      <w:r>
        <w:rPr>
          <w:spacing w:val="-6"/>
          <w:sz w:val="20"/>
        </w:rPr>
        <w:t> </w:t>
      </w:r>
      <w:r>
        <w:rPr>
          <w:sz w:val="20"/>
        </w:rPr>
        <w:t>Section</w:t>
      </w:r>
      <w:r>
        <w:rPr>
          <w:spacing w:val="-6"/>
          <w:sz w:val="20"/>
        </w:rPr>
        <w:t> </w:t>
      </w:r>
      <w:r>
        <w:rPr>
          <w:sz w:val="20"/>
        </w:rPr>
        <w:t>16(3)(b)</w:t>
      </w:r>
      <w:r>
        <w:rPr>
          <w:spacing w:val="-6"/>
          <w:sz w:val="20"/>
        </w:rPr>
        <w:t> </w:t>
      </w:r>
      <w:r>
        <w:rPr>
          <w:sz w:val="20"/>
        </w:rPr>
        <w:t>states</w:t>
      </w:r>
      <w:r>
        <w:rPr>
          <w:spacing w:val="-5"/>
          <w:sz w:val="20"/>
        </w:rPr>
        <w:t> </w:t>
      </w:r>
      <w:r>
        <w:rPr>
          <w:sz w:val="20"/>
        </w:rPr>
        <w:t>that</w:t>
      </w:r>
      <w:r>
        <w:rPr>
          <w:spacing w:val="-6"/>
          <w:sz w:val="20"/>
        </w:rPr>
        <w:t> </w:t>
      </w:r>
      <w:r>
        <w:rPr>
          <w:sz w:val="20"/>
        </w:rPr>
        <w:t>the</w:t>
      </w:r>
      <w:r>
        <w:rPr>
          <w:spacing w:val="-6"/>
          <w:sz w:val="20"/>
        </w:rPr>
        <w:t> </w:t>
      </w:r>
      <w:r>
        <w:rPr>
          <w:sz w:val="20"/>
        </w:rPr>
        <w:t>judge</w:t>
      </w:r>
      <w:r>
        <w:rPr>
          <w:spacing w:val="-6"/>
          <w:sz w:val="20"/>
        </w:rPr>
        <w:t> </w:t>
      </w:r>
      <w:r>
        <w:rPr>
          <w:spacing w:val="-3"/>
          <w:sz w:val="20"/>
        </w:rPr>
        <w:t>may</w:t>
      </w:r>
      <w:r>
        <w:rPr>
          <w:spacing w:val="-5"/>
          <w:sz w:val="20"/>
        </w:rPr>
        <w:t> </w:t>
      </w:r>
      <w:r>
        <w:rPr>
          <w:sz w:val="20"/>
        </w:rPr>
        <w:t>consider:</w:t>
      </w:r>
    </w:p>
    <w:p>
      <w:pPr>
        <w:spacing w:line="208" w:lineRule="auto" w:before="120"/>
        <w:ind w:left="2157" w:right="1335" w:firstLine="0"/>
        <w:jc w:val="left"/>
        <w:rPr>
          <w:sz w:val="11"/>
        </w:rPr>
      </w:pPr>
      <w:r>
        <w:rPr>
          <w:sz w:val="19"/>
        </w:rPr>
        <w:t>if the support would require a non-juror being present during jury deliberations, whether the non-juror’s presence would inhibit or restrict discussion, or unduly pressure or influence any juror</w:t>
      </w:r>
      <w:r>
        <w:rPr>
          <w:position w:val="6"/>
          <w:sz w:val="11"/>
        </w:rPr>
        <w:t>76</w:t>
      </w:r>
    </w:p>
    <w:p>
      <w:pPr>
        <w:pStyle w:val="ListParagraph"/>
        <w:numPr>
          <w:ilvl w:val="1"/>
          <w:numId w:val="12"/>
        </w:numPr>
        <w:tabs>
          <w:tab w:pos="1761" w:val="left" w:leader="none"/>
          <w:tab w:pos="1762" w:val="left" w:leader="none"/>
        </w:tabs>
        <w:spacing w:line="206" w:lineRule="auto" w:before="124" w:after="0"/>
        <w:ind w:left="1761" w:right="1726" w:hanging="794"/>
        <w:jc w:val="left"/>
        <w:rPr>
          <w:sz w:val="20"/>
        </w:rPr>
      </w:pPr>
      <w:r>
        <w:rPr>
          <w:sz w:val="20"/>
        </w:rPr>
        <w:t>The</w:t>
      </w:r>
      <w:r>
        <w:rPr>
          <w:spacing w:val="-10"/>
          <w:sz w:val="20"/>
        </w:rPr>
        <w:t> </w:t>
      </w:r>
      <w:r>
        <w:rPr>
          <w:sz w:val="20"/>
        </w:rPr>
        <w:t>County</w:t>
      </w:r>
      <w:r>
        <w:rPr>
          <w:spacing w:val="-10"/>
          <w:sz w:val="20"/>
        </w:rPr>
        <w:t> </w:t>
      </w:r>
      <w:r>
        <w:rPr>
          <w:sz w:val="20"/>
        </w:rPr>
        <w:t>Court</w:t>
      </w:r>
      <w:r>
        <w:rPr>
          <w:spacing w:val="-10"/>
          <w:sz w:val="20"/>
        </w:rPr>
        <w:t> </w:t>
      </w:r>
      <w:r>
        <w:rPr>
          <w:sz w:val="20"/>
        </w:rPr>
        <w:t>supported</w:t>
      </w:r>
      <w:r>
        <w:rPr>
          <w:spacing w:val="-10"/>
          <w:sz w:val="20"/>
        </w:rPr>
        <w:t> </w:t>
      </w:r>
      <w:r>
        <w:rPr>
          <w:sz w:val="20"/>
        </w:rPr>
        <w:t>the</w:t>
      </w:r>
      <w:r>
        <w:rPr>
          <w:spacing w:val="-9"/>
          <w:sz w:val="20"/>
        </w:rPr>
        <w:t> </w:t>
      </w:r>
      <w:r>
        <w:rPr>
          <w:sz w:val="20"/>
        </w:rPr>
        <w:t>inclusion</w:t>
      </w:r>
      <w:r>
        <w:rPr>
          <w:spacing w:val="-10"/>
          <w:sz w:val="20"/>
        </w:rPr>
        <w:t> </w:t>
      </w:r>
      <w:r>
        <w:rPr>
          <w:sz w:val="20"/>
        </w:rPr>
        <w:t>of</w:t>
      </w:r>
      <w:r>
        <w:rPr>
          <w:spacing w:val="-10"/>
          <w:sz w:val="20"/>
        </w:rPr>
        <w:t> </w:t>
      </w:r>
      <w:r>
        <w:rPr>
          <w:sz w:val="20"/>
        </w:rPr>
        <w:t>this</w:t>
      </w:r>
      <w:r>
        <w:rPr>
          <w:spacing w:val="-10"/>
          <w:sz w:val="20"/>
        </w:rPr>
        <w:t> </w:t>
      </w:r>
      <w:r>
        <w:rPr>
          <w:spacing w:val="-2"/>
          <w:sz w:val="20"/>
        </w:rPr>
        <w:t>factor</w:t>
      </w:r>
      <w:r>
        <w:rPr>
          <w:spacing w:val="-10"/>
          <w:sz w:val="20"/>
        </w:rPr>
        <w:t> </w:t>
      </w:r>
      <w:r>
        <w:rPr>
          <w:sz w:val="20"/>
        </w:rPr>
        <w:t>in</w:t>
      </w:r>
      <w:r>
        <w:rPr>
          <w:spacing w:val="-9"/>
          <w:sz w:val="20"/>
        </w:rPr>
        <w:t> </w:t>
      </w:r>
      <w:r>
        <w:rPr>
          <w:sz w:val="20"/>
        </w:rPr>
        <w:t>Victorian</w:t>
      </w:r>
      <w:r>
        <w:rPr>
          <w:spacing w:val="-10"/>
          <w:sz w:val="20"/>
        </w:rPr>
        <w:t> </w:t>
      </w:r>
      <w:r>
        <w:rPr>
          <w:sz w:val="20"/>
        </w:rPr>
        <w:t>legislation.</w:t>
      </w:r>
      <w:r>
        <w:rPr>
          <w:position w:val="7"/>
          <w:sz w:val="11"/>
        </w:rPr>
        <w:t>77</w:t>
      </w:r>
      <w:r>
        <w:rPr>
          <w:spacing w:val="15"/>
          <w:position w:val="7"/>
          <w:sz w:val="11"/>
        </w:rPr>
        <w:t> </w:t>
      </w:r>
      <w:r>
        <w:rPr>
          <w:sz w:val="20"/>
        </w:rPr>
        <w:t>In contrast, the Supreme Court</w:t>
      </w:r>
      <w:r>
        <w:rPr>
          <w:spacing w:val="-18"/>
          <w:sz w:val="20"/>
        </w:rPr>
        <w:t> </w:t>
      </w:r>
      <w:r>
        <w:rPr>
          <w:sz w:val="20"/>
        </w:rPr>
        <w:t>noted:</w:t>
      </w:r>
    </w:p>
    <w:p>
      <w:pPr>
        <w:spacing w:line="208" w:lineRule="auto" w:before="121"/>
        <w:ind w:left="2157" w:right="1563" w:firstLine="0"/>
        <w:jc w:val="left"/>
        <w:rPr>
          <w:sz w:val="19"/>
        </w:rPr>
      </w:pPr>
      <w:r>
        <w:rPr>
          <w:sz w:val="19"/>
        </w:rPr>
        <w:t>if the policy position is reached that support persons should be an exception to the common law prohibition then it would be preferable to have clear legislative amendment to that effect. Further consideration would be needed about whether</w:t>
      </w:r>
    </w:p>
    <w:p>
      <w:pPr>
        <w:spacing w:line="208" w:lineRule="auto" w:before="2"/>
        <w:ind w:left="2157" w:right="1335" w:firstLine="0"/>
        <w:jc w:val="left"/>
        <w:rPr>
          <w:sz w:val="11"/>
        </w:rPr>
      </w:pPr>
      <w:r>
        <w:rPr>
          <w:sz w:val="19"/>
        </w:rPr>
        <w:t>the court making an individual determination about inhibition of discussion or undue pressure is an appropriate course. Consideration would also need to be given to developing a standard direction before the jury commences deliberation, regarding the presence of non-jurors in the jury room.</w:t>
      </w:r>
      <w:r>
        <w:rPr>
          <w:position w:val="6"/>
          <w:sz w:val="11"/>
        </w:rPr>
        <w:t>78</w:t>
      </w:r>
    </w:p>
    <w:p>
      <w:pPr>
        <w:pStyle w:val="ListParagraph"/>
        <w:numPr>
          <w:ilvl w:val="1"/>
          <w:numId w:val="12"/>
        </w:numPr>
        <w:tabs>
          <w:tab w:pos="1761" w:val="left" w:leader="none"/>
          <w:tab w:pos="1762" w:val="left" w:leader="none"/>
        </w:tabs>
        <w:spacing w:line="206" w:lineRule="auto" w:before="124" w:after="0"/>
        <w:ind w:left="1761" w:right="1282" w:hanging="794"/>
        <w:jc w:val="left"/>
        <w:rPr>
          <w:sz w:val="20"/>
        </w:rPr>
      </w:pPr>
      <w:r>
        <w:rPr>
          <w:sz w:val="20"/>
        </w:rPr>
        <w:t>The aim of the Commission’s recommended </w:t>
      </w:r>
      <w:r>
        <w:rPr>
          <w:spacing w:val="-3"/>
          <w:sz w:val="20"/>
        </w:rPr>
        <w:t>reforms </w:t>
      </w:r>
      <w:r>
        <w:rPr>
          <w:sz w:val="20"/>
        </w:rPr>
        <w:t>is to limit the operation of the 13th person rule. The safeguards </w:t>
      </w:r>
      <w:r>
        <w:rPr>
          <w:spacing w:val="-3"/>
          <w:sz w:val="20"/>
        </w:rPr>
        <w:t>we </w:t>
      </w:r>
      <w:r>
        <w:rPr>
          <w:spacing w:val="-4"/>
          <w:sz w:val="20"/>
        </w:rPr>
        <w:t>have </w:t>
      </w:r>
      <w:r>
        <w:rPr>
          <w:sz w:val="20"/>
        </w:rPr>
        <w:t>recommended aim to ensure that jury deliberations</w:t>
      </w:r>
      <w:r>
        <w:rPr>
          <w:spacing w:val="-12"/>
          <w:sz w:val="20"/>
        </w:rPr>
        <w:t> </w:t>
      </w:r>
      <w:r>
        <w:rPr>
          <w:sz w:val="20"/>
        </w:rPr>
        <w:t>will</w:t>
      </w:r>
      <w:r>
        <w:rPr>
          <w:spacing w:val="-11"/>
          <w:sz w:val="20"/>
        </w:rPr>
        <w:t> </w:t>
      </w:r>
      <w:r>
        <w:rPr>
          <w:sz w:val="20"/>
        </w:rPr>
        <w:t>not</w:t>
      </w:r>
      <w:r>
        <w:rPr>
          <w:spacing w:val="-11"/>
          <w:sz w:val="20"/>
        </w:rPr>
        <w:t> </w:t>
      </w:r>
      <w:r>
        <w:rPr>
          <w:sz w:val="20"/>
        </w:rPr>
        <w:t>be</w:t>
      </w:r>
      <w:r>
        <w:rPr>
          <w:spacing w:val="-11"/>
          <w:sz w:val="20"/>
        </w:rPr>
        <w:t> </w:t>
      </w:r>
      <w:r>
        <w:rPr>
          <w:sz w:val="20"/>
        </w:rPr>
        <w:t>inhibited</w:t>
      </w:r>
      <w:r>
        <w:rPr>
          <w:spacing w:val="-12"/>
          <w:sz w:val="20"/>
        </w:rPr>
        <w:t> </w:t>
      </w:r>
      <w:r>
        <w:rPr>
          <w:sz w:val="20"/>
        </w:rPr>
        <w:t>or</w:t>
      </w:r>
      <w:r>
        <w:rPr>
          <w:spacing w:val="-11"/>
          <w:sz w:val="20"/>
        </w:rPr>
        <w:t> </w:t>
      </w:r>
      <w:r>
        <w:rPr>
          <w:sz w:val="20"/>
        </w:rPr>
        <w:t>restricted</w:t>
      </w:r>
      <w:r>
        <w:rPr>
          <w:spacing w:val="-11"/>
          <w:sz w:val="20"/>
        </w:rPr>
        <w:t> </w:t>
      </w:r>
      <w:r>
        <w:rPr>
          <w:spacing w:val="-3"/>
          <w:sz w:val="20"/>
        </w:rPr>
        <w:t>by</w:t>
      </w:r>
      <w:r>
        <w:rPr>
          <w:spacing w:val="-11"/>
          <w:sz w:val="20"/>
        </w:rPr>
        <w:t> </w:t>
      </w:r>
      <w:r>
        <w:rPr>
          <w:sz w:val="20"/>
        </w:rPr>
        <w:t>the</w:t>
      </w:r>
      <w:r>
        <w:rPr>
          <w:spacing w:val="-12"/>
          <w:sz w:val="20"/>
        </w:rPr>
        <w:t> </w:t>
      </w:r>
      <w:r>
        <w:rPr>
          <w:sz w:val="20"/>
        </w:rPr>
        <w:t>presence</w:t>
      </w:r>
      <w:r>
        <w:rPr>
          <w:spacing w:val="-11"/>
          <w:sz w:val="20"/>
        </w:rPr>
        <w:t> </w:t>
      </w:r>
      <w:r>
        <w:rPr>
          <w:sz w:val="20"/>
        </w:rPr>
        <w:t>of</w:t>
      </w:r>
      <w:r>
        <w:rPr>
          <w:spacing w:val="-11"/>
          <w:sz w:val="20"/>
        </w:rPr>
        <w:t> </w:t>
      </w:r>
      <w:r>
        <w:rPr>
          <w:sz w:val="20"/>
        </w:rPr>
        <w:t>an</w:t>
      </w:r>
      <w:r>
        <w:rPr>
          <w:spacing w:val="-11"/>
          <w:sz w:val="20"/>
        </w:rPr>
        <w:t> </w:t>
      </w:r>
      <w:r>
        <w:rPr>
          <w:sz w:val="20"/>
        </w:rPr>
        <w:t>Auslan</w:t>
      </w:r>
      <w:r>
        <w:rPr>
          <w:spacing w:val="-11"/>
          <w:sz w:val="20"/>
        </w:rPr>
        <w:t> </w:t>
      </w:r>
      <w:r>
        <w:rPr>
          <w:spacing w:val="-3"/>
          <w:sz w:val="20"/>
        </w:rPr>
        <w:t>interpreter</w:t>
      </w:r>
    </w:p>
    <w:p>
      <w:pPr>
        <w:pStyle w:val="BodyText"/>
        <w:spacing w:before="8"/>
        <w:rPr>
          <w:sz w:val="17"/>
        </w:rPr>
      </w:pPr>
    </w:p>
    <w:p>
      <w:pPr>
        <w:pStyle w:val="BodyText"/>
        <w:spacing w:line="206" w:lineRule="auto"/>
        <w:ind w:left="1761" w:right="1202"/>
      </w:pPr>
      <w:r>
        <w:rPr/>
        <w:t>or</w:t>
      </w:r>
      <w:r>
        <w:rPr>
          <w:spacing w:val="-9"/>
        </w:rPr>
        <w:t> </w:t>
      </w:r>
      <w:r>
        <w:rPr/>
        <w:t>a</w:t>
      </w:r>
      <w:r>
        <w:rPr>
          <w:spacing w:val="-9"/>
        </w:rPr>
        <w:t> </w:t>
      </w:r>
      <w:r>
        <w:rPr/>
        <w:t>support</w:t>
      </w:r>
      <w:r>
        <w:rPr>
          <w:spacing w:val="-9"/>
        </w:rPr>
        <w:t> </w:t>
      </w:r>
      <w:r>
        <w:rPr/>
        <w:t>person</w:t>
      </w:r>
      <w:r>
        <w:rPr>
          <w:spacing w:val="-8"/>
        </w:rPr>
        <w:t> </w:t>
      </w:r>
      <w:r>
        <w:rPr/>
        <w:t>in</w:t>
      </w:r>
      <w:r>
        <w:rPr>
          <w:spacing w:val="-9"/>
        </w:rPr>
        <w:t> </w:t>
      </w:r>
      <w:r>
        <w:rPr/>
        <w:t>the</w:t>
      </w:r>
      <w:r>
        <w:rPr>
          <w:spacing w:val="-9"/>
        </w:rPr>
        <w:t> </w:t>
      </w:r>
      <w:r>
        <w:rPr/>
        <w:t>jury</w:t>
      </w:r>
      <w:r>
        <w:rPr>
          <w:spacing w:val="-9"/>
        </w:rPr>
        <w:t> </w:t>
      </w:r>
      <w:r>
        <w:rPr/>
        <w:t>room.</w:t>
      </w:r>
      <w:r>
        <w:rPr>
          <w:spacing w:val="-8"/>
        </w:rPr>
        <w:t> </w:t>
      </w:r>
      <w:r>
        <w:rPr>
          <w:spacing w:val="-3"/>
        </w:rPr>
        <w:t>For</w:t>
      </w:r>
      <w:r>
        <w:rPr>
          <w:spacing w:val="-9"/>
        </w:rPr>
        <w:t> </w:t>
      </w:r>
      <w:r>
        <w:rPr/>
        <w:t>that</w:t>
      </w:r>
      <w:r>
        <w:rPr>
          <w:spacing w:val="-9"/>
        </w:rPr>
        <w:t> </w:t>
      </w:r>
      <w:r>
        <w:rPr/>
        <w:t>reason,</w:t>
      </w:r>
      <w:r>
        <w:rPr>
          <w:spacing w:val="-9"/>
        </w:rPr>
        <w:t> </w:t>
      </w:r>
      <w:r>
        <w:rPr/>
        <w:t>the</w:t>
      </w:r>
      <w:r>
        <w:rPr>
          <w:spacing w:val="-8"/>
        </w:rPr>
        <w:t> </w:t>
      </w:r>
      <w:r>
        <w:rPr/>
        <w:t>Commission</w:t>
      </w:r>
      <w:r>
        <w:rPr>
          <w:spacing w:val="-9"/>
        </w:rPr>
        <w:t> </w:t>
      </w:r>
      <w:r>
        <w:rPr/>
        <w:t>does</w:t>
      </w:r>
      <w:r>
        <w:rPr>
          <w:spacing w:val="-9"/>
        </w:rPr>
        <w:t> </w:t>
      </w:r>
      <w:r>
        <w:rPr/>
        <w:t>not</w:t>
      </w:r>
      <w:r>
        <w:rPr>
          <w:spacing w:val="-9"/>
        </w:rPr>
        <w:t> </w:t>
      </w:r>
      <w:r>
        <w:rPr/>
        <w:t>support including a section 16(3)(b) </w:t>
      </w:r>
      <w:r>
        <w:rPr>
          <w:spacing w:val="-2"/>
        </w:rPr>
        <w:t>factor </w:t>
      </w:r>
      <w:r>
        <w:rPr/>
        <w:t>in the</w:t>
      </w:r>
      <w:r>
        <w:rPr>
          <w:spacing w:val="-30"/>
        </w:rPr>
        <w:t> </w:t>
      </w:r>
      <w:r>
        <w:rPr/>
        <w:t>Act.</w:t>
      </w:r>
    </w:p>
    <w:p>
      <w:pPr>
        <w:pStyle w:val="ListParagraph"/>
        <w:numPr>
          <w:ilvl w:val="1"/>
          <w:numId w:val="12"/>
        </w:numPr>
        <w:tabs>
          <w:tab w:pos="1761" w:val="left" w:leader="none"/>
          <w:tab w:pos="1762" w:val="left" w:leader="none"/>
        </w:tabs>
        <w:spacing w:line="206" w:lineRule="auto" w:before="122" w:after="0"/>
        <w:ind w:left="1761" w:right="1426" w:hanging="794"/>
        <w:jc w:val="left"/>
        <w:rPr>
          <w:sz w:val="20"/>
        </w:rPr>
      </w:pPr>
      <w:r>
        <w:rPr>
          <w:sz w:val="20"/>
        </w:rPr>
        <w:t>The County Court also argued that ‘further emphasis’ needs to be placed on the ‘accused’s right to a fair trial and on the fairness of </w:t>
      </w:r>
      <w:r>
        <w:rPr>
          <w:spacing w:val="-3"/>
          <w:sz w:val="20"/>
        </w:rPr>
        <w:t>any </w:t>
      </w:r>
      <w:r>
        <w:rPr>
          <w:sz w:val="20"/>
        </w:rPr>
        <w:t>delay or </w:t>
      </w:r>
      <w:r>
        <w:rPr>
          <w:spacing w:val="-2"/>
          <w:sz w:val="20"/>
        </w:rPr>
        <w:t>inconvenience </w:t>
      </w:r>
      <w:r>
        <w:rPr>
          <w:sz w:val="20"/>
        </w:rPr>
        <w:t>to other</w:t>
      </w:r>
      <w:r>
        <w:rPr>
          <w:spacing w:val="-10"/>
          <w:sz w:val="20"/>
        </w:rPr>
        <w:t> </w:t>
      </w:r>
      <w:r>
        <w:rPr>
          <w:spacing w:val="-4"/>
          <w:sz w:val="20"/>
        </w:rPr>
        <w:t>jurors’.</w:t>
      </w:r>
      <w:r>
        <w:rPr>
          <w:spacing w:val="-4"/>
          <w:position w:val="7"/>
          <w:sz w:val="11"/>
        </w:rPr>
        <w:t>79</w:t>
      </w:r>
      <w:r>
        <w:rPr>
          <w:spacing w:val="16"/>
          <w:position w:val="7"/>
          <w:sz w:val="11"/>
        </w:rPr>
        <w:t> </w:t>
      </w:r>
      <w:r>
        <w:rPr>
          <w:sz w:val="20"/>
        </w:rPr>
        <w:t>The</w:t>
      </w:r>
      <w:r>
        <w:rPr>
          <w:spacing w:val="-9"/>
          <w:sz w:val="20"/>
        </w:rPr>
        <w:t> </w:t>
      </w:r>
      <w:r>
        <w:rPr>
          <w:sz w:val="20"/>
        </w:rPr>
        <w:t>Commission</w:t>
      </w:r>
      <w:r>
        <w:rPr>
          <w:spacing w:val="-10"/>
          <w:sz w:val="20"/>
        </w:rPr>
        <w:t> </w:t>
      </w:r>
      <w:r>
        <w:rPr>
          <w:sz w:val="20"/>
        </w:rPr>
        <w:t>does</w:t>
      </w:r>
      <w:r>
        <w:rPr>
          <w:spacing w:val="-9"/>
          <w:sz w:val="20"/>
        </w:rPr>
        <w:t> </w:t>
      </w:r>
      <w:r>
        <w:rPr>
          <w:sz w:val="20"/>
        </w:rPr>
        <w:t>not</w:t>
      </w:r>
      <w:r>
        <w:rPr>
          <w:spacing w:val="-9"/>
          <w:sz w:val="20"/>
        </w:rPr>
        <w:t> </w:t>
      </w:r>
      <w:r>
        <w:rPr>
          <w:sz w:val="20"/>
        </w:rPr>
        <w:t>agree</w:t>
      </w:r>
      <w:r>
        <w:rPr>
          <w:spacing w:val="-10"/>
          <w:sz w:val="20"/>
        </w:rPr>
        <w:t> </w:t>
      </w:r>
      <w:r>
        <w:rPr>
          <w:sz w:val="20"/>
        </w:rPr>
        <w:t>that</w:t>
      </w:r>
      <w:r>
        <w:rPr>
          <w:spacing w:val="-9"/>
          <w:sz w:val="20"/>
        </w:rPr>
        <w:t> </w:t>
      </w:r>
      <w:r>
        <w:rPr>
          <w:sz w:val="20"/>
        </w:rPr>
        <w:t>concerns</w:t>
      </w:r>
      <w:r>
        <w:rPr>
          <w:spacing w:val="-9"/>
          <w:sz w:val="20"/>
        </w:rPr>
        <w:t> </w:t>
      </w:r>
      <w:r>
        <w:rPr>
          <w:sz w:val="20"/>
        </w:rPr>
        <w:t>about</w:t>
      </w:r>
      <w:r>
        <w:rPr>
          <w:spacing w:val="-9"/>
          <w:sz w:val="20"/>
        </w:rPr>
        <w:t> </w:t>
      </w:r>
      <w:r>
        <w:rPr>
          <w:spacing w:val="-2"/>
          <w:sz w:val="20"/>
        </w:rPr>
        <w:t>inconvenience</w:t>
      </w:r>
      <w:r>
        <w:rPr>
          <w:spacing w:val="-10"/>
          <w:sz w:val="20"/>
        </w:rPr>
        <w:t> </w:t>
      </w:r>
      <w:r>
        <w:rPr>
          <w:sz w:val="20"/>
        </w:rPr>
        <w:t>or delay</w:t>
      </w:r>
      <w:r>
        <w:rPr>
          <w:spacing w:val="-13"/>
          <w:sz w:val="20"/>
        </w:rPr>
        <w:t> </w:t>
      </w:r>
      <w:r>
        <w:rPr>
          <w:spacing w:val="-3"/>
          <w:sz w:val="20"/>
        </w:rPr>
        <w:t>are</w:t>
      </w:r>
      <w:r>
        <w:rPr>
          <w:spacing w:val="-13"/>
          <w:sz w:val="20"/>
        </w:rPr>
        <w:t> </w:t>
      </w:r>
      <w:r>
        <w:rPr>
          <w:sz w:val="20"/>
        </w:rPr>
        <w:t>of</w:t>
      </w:r>
      <w:r>
        <w:rPr>
          <w:spacing w:val="-13"/>
          <w:sz w:val="20"/>
        </w:rPr>
        <w:t> </w:t>
      </w:r>
      <w:r>
        <w:rPr>
          <w:sz w:val="20"/>
        </w:rPr>
        <w:t>sufficient</w:t>
      </w:r>
      <w:r>
        <w:rPr>
          <w:spacing w:val="-13"/>
          <w:sz w:val="20"/>
        </w:rPr>
        <w:t> </w:t>
      </w:r>
      <w:r>
        <w:rPr>
          <w:sz w:val="20"/>
        </w:rPr>
        <w:t>importance</w:t>
      </w:r>
      <w:r>
        <w:rPr>
          <w:spacing w:val="-12"/>
          <w:sz w:val="20"/>
        </w:rPr>
        <w:t> </w:t>
      </w:r>
      <w:r>
        <w:rPr>
          <w:sz w:val="20"/>
        </w:rPr>
        <w:t>to</w:t>
      </w:r>
      <w:r>
        <w:rPr>
          <w:spacing w:val="-13"/>
          <w:sz w:val="20"/>
        </w:rPr>
        <w:t> </w:t>
      </w:r>
      <w:r>
        <w:rPr>
          <w:sz w:val="20"/>
        </w:rPr>
        <w:t>warrant</w:t>
      </w:r>
      <w:r>
        <w:rPr>
          <w:spacing w:val="-13"/>
          <w:sz w:val="20"/>
        </w:rPr>
        <w:t> </w:t>
      </w:r>
      <w:r>
        <w:rPr>
          <w:sz w:val="20"/>
        </w:rPr>
        <w:t>specific</w:t>
      </w:r>
      <w:r>
        <w:rPr>
          <w:spacing w:val="-13"/>
          <w:sz w:val="20"/>
        </w:rPr>
        <w:t> </w:t>
      </w:r>
      <w:r>
        <w:rPr>
          <w:sz w:val="20"/>
        </w:rPr>
        <w:t>inclusion</w:t>
      </w:r>
      <w:r>
        <w:rPr>
          <w:spacing w:val="-13"/>
          <w:sz w:val="20"/>
        </w:rPr>
        <w:t> </w:t>
      </w:r>
      <w:r>
        <w:rPr>
          <w:sz w:val="20"/>
        </w:rPr>
        <w:t>as</w:t>
      </w:r>
      <w:r>
        <w:rPr>
          <w:spacing w:val="-12"/>
          <w:sz w:val="20"/>
        </w:rPr>
        <w:t> </w:t>
      </w:r>
      <w:r>
        <w:rPr>
          <w:sz w:val="20"/>
        </w:rPr>
        <w:t>a</w:t>
      </w:r>
      <w:r>
        <w:rPr>
          <w:spacing w:val="-13"/>
          <w:sz w:val="20"/>
        </w:rPr>
        <w:t> </w:t>
      </w:r>
      <w:r>
        <w:rPr>
          <w:sz w:val="20"/>
        </w:rPr>
        <w:t>decision-making </w:t>
      </w:r>
      <w:r>
        <w:rPr>
          <w:spacing w:val="-2"/>
          <w:sz w:val="20"/>
        </w:rPr>
        <w:t>factor</w:t>
      </w:r>
      <w:r>
        <w:rPr>
          <w:spacing w:val="-9"/>
          <w:sz w:val="20"/>
        </w:rPr>
        <w:t> </w:t>
      </w:r>
      <w:r>
        <w:rPr>
          <w:sz w:val="20"/>
        </w:rPr>
        <w:t>in</w:t>
      </w:r>
      <w:r>
        <w:rPr>
          <w:spacing w:val="-8"/>
          <w:sz w:val="20"/>
        </w:rPr>
        <w:t> </w:t>
      </w:r>
      <w:r>
        <w:rPr>
          <w:sz w:val="20"/>
        </w:rPr>
        <w:t>the</w:t>
      </w:r>
      <w:r>
        <w:rPr>
          <w:spacing w:val="-8"/>
          <w:sz w:val="20"/>
        </w:rPr>
        <w:t> </w:t>
      </w:r>
      <w:r>
        <w:rPr>
          <w:sz w:val="20"/>
        </w:rPr>
        <w:t>Act.</w:t>
      </w:r>
      <w:r>
        <w:rPr>
          <w:spacing w:val="-8"/>
          <w:sz w:val="20"/>
        </w:rPr>
        <w:t> </w:t>
      </w:r>
      <w:r>
        <w:rPr>
          <w:sz w:val="20"/>
        </w:rPr>
        <w:t>It</w:t>
      </w:r>
      <w:r>
        <w:rPr>
          <w:spacing w:val="-8"/>
          <w:sz w:val="20"/>
        </w:rPr>
        <w:t> </w:t>
      </w:r>
      <w:r>
        <w:rPr>
          <w:sz w:val="20"/>
        </w:rPr>
        <w:t>is</w:t>
      </w:r>
      <w:r>
        <w:rPr>
          <w:spacing w:val="-8"/>
          <w:sz w:val="20"/>
        </w:rPr>
        <w:t> </w:t>
      </w:r>
      <w:r>
        <w:rPr>
          <w:sz w:val="20"/>
        </w:rPr>
        <w:t>difficult</w:t>
      </w:r>
      <w:r>
        <w:rPr>
          <w:spacing w:val="-9"/>
          <w:sz w:val="20"/>
        </w:rPr>
        <w:t> </w:t>
      </w:r>
      <w:r>
        <w:rPr>
          <w:sz w:val="20"/>
        </w:rPr>
        <w:t>to</w:t>
      </w:r>
      <w:r>
        <w:rPr>
          <w:spacing w:val="-8"/>
          <w:sz w:val="20"/>
        </w:rPr>
        <w:t> </w:t>
      </w:r>
      <w:r>
        <w:rPr>
          <w:sz w:val="20"/>
        </w:rPr>
        <w:t>see</w:t>
      </w:r>
      <w:r>
        <w:rPr>
          <w:spacing w:val="-8"/>
          <w:sz w:val="20"/>
        </w:rPr>
        <w:t> </w:t>
      </w:r>
      <w:r>
        <w:rPr>
          <w:spacing w:val="-3"/>
          <w:sz w:val="20"/>
        </w:rPr>
        <w:t>how</w:t>
      </w:r>
      <w:r>
        <w:rPr>
          <w:spacing w:val="-8"/>
          <w:sz w:val="20"/>
        </w:rPr>
        <w:t> </w:t>
      </w:r>
      <w:r>
        <w:rPr>
          <w:sz w:val="20"/>
        </w:rPr>
        <w:t>a</w:t>
      </w:r>
      <w:r>
        <w:rPr>
          <w:spacing w:val="-8"/>
          <w:sz w:val="20"/>
        </w:rPr>
        <w:t> </w:t>
      </w:r>
      <w:r>
        <w:rPr>
          <w:sz w:val="20"/>
        </w:rPr>
        <w:t>judge</w:t>
      </w:r>
      <w:r>
        <w:rPr>
          <w:spacing w:val="-9"/>
          <w:sz w:val="20"/>
        </w:rPr>
        <w:t> </w:t>
      </w:r>
      <w:r>
        <w:rPr>
          <w:sz w:val="20"/>
        </w:rPr>
        <w:t>could</w:t>
      </w:r>
      <w:r>
        <w:rPr>
          <w:spacing w:val="-8"/>
          <w:sz w:val="20"/>
        </w:rPr>
        <w:t> </w:t>
      </w:r>
      <w:r>
        <w:rPr>
          <w:spacing w:val="-3"/>
          <w:sz w:val="20"/>
        </w:rPr>
        <w:t>make</w:t>
      </w:r>
      <w:r>
        <w:rPr>
          <w:spacing w:val="-8"/>
          <w:sz w:val="20"/>
        </w:rPr>
        <w:t> </w:t>
      </w:r>
      <w:r>
        <w:rPr>
          <w:sz w:val="20"/>
        </w:rPr>
        <w:t>an</w:t>
      </w:r>
      <w:r>
        <w:rPr>
          <w:spacing w:val="-8"/>
          <w:sz w:val="20"/>
        </w:rPr>
        <w:t> </w:t>
      </w:r>
      <w:r>
        <w:rPr>
          <w:sz w:val="20"/>
        </w:rPr>
        <w:t>assessment</w:t>
      </w:r>
      <w:r>
        <w:rPr>
          <w:spacing w:val="-8"/>
          <w:sz w:val="20"/>
        </w:rPr>
        <w:t> </w:t>
      </w:r>
      <w:r>
        <w:rPr>
          <w:sz w:val="20"/>
        </w:rPr>
        <w:t>about</w:t>
      </w:r>
    </w:p>
    <w:p>
      <w:pPr>
        <w:pStyle w:val="BodyText"/>
        <w:spacing w:line="233" w:lineRule="exact"/>
        <w:ind w:left="1761"/>
      </w:pPr>
      <w:r>
        <w:rPr/>
        <w:t>delay and inconvenience at the commencement of a trial, assuming that all of the other</w:t>
      </w:r>
    </w:p>
    <w:p>
      <w:pPr>
        <w:pStyle w:val="BodyText"/>
        <w:spacing w:line="240" w:lineRule="exact"/>
        <w:ind w:left="1761"/>
      </w:pPr>
      <w:r>
        <w:rPr/>
        <w:t>requirements in Chapters 14 and 15 regarding training, qualification and oaths as to</w:t>
      </w:r>
    </w:p>
    <w:p>
      <w:pPr>
        <w:pStyle w:val="BodyText"/>
        <w:spacing w:line="259" w:lineRule="exact"/>
        <w:ind w:left="1761"/>
      </w:pPr>
      <w:r>
        <w:rPr/>
        <w:t>non-interference are complied with.</w:t>
      </w:r>
    </w:p>
    <w:p>
      <w:pPr>
        <w:pStyle w:val="BodyText"/>
        <w:spacing w:before="5"/>
        <w:rPr>
          <w:sz w:val="12"/>
        </w:rPr>
      </w:pPr>
      <w:r>
        <w:rPr/>
        <w:pict>
          <v:line style="position:absolute;mso-position-horizontal-relative:page;mso-position-vertical-relative:paragraph;z-index:7040;mso-wrap-distance-left:0;mso-wrap-distance-right:0" from="79.370003pt,11.0584pt" to="515.905003pt,11.0584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spacing w:before="2"/>
        <w:rPr>
          <w:sz w:val="40"/>
        </w:rPr>
      </w:pPr>
    </w:p>
    <w:p>
      <w:pPr>
        <w:spacing w:before="0"/>
        <w:ind w:left="100" w:right="0" w:firstLine="0"/>
        <w:jc w:val="left"/>
        <w:rPr>
          <w:b/>
          <w:sz w:val="24"/>
        </w:rPr>
      </w:pPr>
      <w:r>
        <w:rPr>
          <w:b/>
          <w:color w:val="37617A"/>
          <w:sz w:val="24"/>
        </w:rPr>
        <w:t>118</w:t>
      </w:r>
    </w:p>
    <w:p>
      <w:pPr>
        <w:pStyle w:val="ListParagraph"/>
        <w:numPr>
          <w:ilvl w:val="0"/>
          <w:numId w:val="82"/>
        </w:numPr>
        <w:tabs>
          <w:tab w:pos="893" w:val="left" w:leader="none"/>
          <w:tab w:pos="894" w:val="left" w:leader="none"/>
        </w:tabs>
        <w:spacing w:line="170" w:lineRule="exact" w:before="21" w:after="0"/>
        <w:ind w:left="893" w:right="0" w:hanging="793"/>
        <w:jc w:val="left"/>
        <w:rPr>
          <w:sz w:val="13"/>
        </w:rPr>
      </w:pPr>
      <w:r>
        <w:rPr>
          <w:spacing w:val="2"/>
          <w:w w:val="100"/>
          <w:sz w:val="13"/>
        </w:rPr>
        <w:br w:type="column"/>
      </w:r>
      <w:r>
        <w:rPr>
          <w:sz w:val="13"/>
        </w:rPr>
        <w:t>Information provided by </w:t>
      </w:r>
      <w:r>
        <w:rPr>
          <w:spacing w:val="2"/>
          <w:sz w:val="13"/>
        </w:rPr>
        <w:t>Court Services </w:t>
      </w:r>
      <w:r>
        <w:rPr>
          <w:sz w:val="13"/>
        </w:rPr>
        <w:t>Victoria to Victorian Law Reform </w:t>
      </w:r>
      <w:r>
        <w:rPr>
          <w:spacing w:val="2"/>
          <w:sz w:val="13"/>
        </w:rPr>
        <w:t>Commission, </w:t>
      </w:r>
      <w:r>
        <w:rPr>
          <w:sz w:val="13"/>
        </w:rPr>
        <w:t>23 June</w:t>
      </w:r>
      <w:r>
        <w:rPr>
          <w:spacing w:val="6"/>
          <w:sz w:val="13"/>
        </w:rPr>
        <w:t> </w:t>
      </w:r>
      <w:r>
        <w:rPr>
          <w:sz w:val="13"/>
        </w:rPr>
        <w:t>2022.</w:t>
      </w:r>
    </w:p>
    <w:p>
      <w:pPr>
        <w:pStyle w:val="ListParagraph"/>
        <w:numPr>
          <w:ilvl w:val="0"/>
          <w:numId w:val="82"/>
        </w:numPr>
        <w:tabs>
          <w:tab w:pos="893" w:val="left" w:leader="none"/>
          <w:tab w:pos="894" w:val="left" w:leader="none"/>
        </w:tabs>
        <w:spacing w:line="213" w:lineRule="auto" w:before="7" w:after="0"/>
        <w:ind w:left="893" w:right="1308" w:hanging="793"/>
        <w:jc w:val="left"/>
        <w:rPr>
          <w:sz w:val="13"/>
        </w:rPr>
      </w:pPr>
      <w:r>
        <w:rPr>
          <w:i/>
          <w:sz w:val="13"/>
        </w:rPr>
        <w:t>Convention on the </w:t>
      </w:r>
      <w:r>
        <w:rPr>
          <w:i/>
          <w:spacing w:val="2"/>
          <w:sz w:val="13"/>
        </w:rPr>
        <w:t>Rights </w:t>
      </w:r>
      <w:r>
        <w:rPr>
          <w:i/>
          <w:sz w:val="13"/>
        </w:rPr>
        <w:t>of Persons with Disabilities</w:t>
      </w:r>
      <w:r>
        <w:rPr>
          <w:sz w:val="13"/>
        </w:rPr>
        <w:t>, </w:t>
      </w:r>
      <w:r>
        <w:rPr>
          <w:spacing w:val="2"/>
          <w:sz w:val="13"/>
        </w:rPr>
        <w:t>opened </w:t>
      </w:r>
      <w:r>
        <w:rPr>
          <w:sz w:val="13"/>
        </w:rPr>
        <w:t>for signature 30 March 2007, 2515 UNTS 3 (entered into Force 3 May 2008) </w:t>
      </w:r>
      <w:r>
        <w:rPr>
          <w:spacing w:val="2"/>
          <w:sz w:val="13"/>
        </w:rPr>
        <w:t>art</w:t>
      </w:r>
      <w:r>
        <w:rPr>
          <w:sz w:val="13"/>
        </w:rPr>
        <w:t> 2.</w:t>
      </w:r>
    </w:p>
    <w:p>
      <w:pPr>
        <w:pStyle w:val="ListParagraph"/>
        <w:numPr>
          <w:ilvl w:val="0"/>
          <w:numId w:val="82"/>
        </w:numPr>
        <w:tabs>
          <w:tab w:pos="893" w:val="left" w:leader="none"/>
          <w:tab w:pos="894" w:val="left" w:leader="none"/>
        </w:tabs>
        <w:spacing w:line="153" w:lineRule="exact" w:before="0" w:after="0"/>
        <w:ind w:left="893" w:right="0" w:hanging="793"/>
        <w:jc w:val="left"/>
        <w:rPr>
          <w:sz w:val="13"/>
        </w:rPr>
      </w:pPr>
      <w:r>
        <w:rPr>
          <w:spacing w:val="2"/>
          <w:sz w:val="13"/>
        </w:rPr>
        <w:t>Department </w:t>
      </w:r>
      <w:r>
        <w:rPr>
          <w:sz w:val="13"/>
        </w:rPr>
        <w:t>of Families, Fairness and Housing (Vic), </w:t>
      </w:r>
      <w:r>
        <w:rPr>
          <w:i/>
          <w:sz w:val="13"/>
        </w:rPr>
        <w:t>Inclusive Victoria: State Disability Plan 2022–2026 </w:t>
      </w:r>
      <w:r>
        <w:rPr>
          <w:spacing w:val="2"/>
          <w:sz w:val="13"/>
        </w:rPr>
        <w:t>(Report, </w:t>
      </w:r>
      <w:r>
        <w:rPr>
          <w:sz w:val="13"/>
        </w:rPr>
        <w:t>March 2022)</w:t>
      </w:r>
      <w:r>
        <w:rPr>
          <w:spacing w:val="28"/>
          <w:sz w:val="13"/>
        </w:rPr>
        <w:t> </w:t>
      </w:r>
      <w:r>
        <w:rPr>
          <w:sz w:val="13"/>
        </w:rPr>
        <w:t>22.</w:t>
      </w:r>
    </w:p>
    <w:p>
      <w:pPr>
        <w:pStyle w:val="ListParagraph"/>
        <w:numPr>
          <w:ilvl w:val="0"/>
          <w:numId w:val="82"/>
        </w:numPr>
        <w:tabs>
          <w:tab w:pos="893" w:val="left" w:leader="none"/>
          <w:tab w:pos="894" w:val="left" w:leader="none"/>
        </w:tabs>
        <w:spacing w:line="213" w:lineRule="auto" w:before="6" w:after="0"/>
        <w:ind w:left="893" w:right="1899" w:hanging="793"/>
        <w:jc w:val="left"/>
        <w:rPr>
          <w:sz w:val="13"/>
        </w:rPr>
      </w:pPr>
      <w:r>
        <w:rPr>
          <w:spacing w:val="2"/>
          <w:sz w:val="13"/>
        </w:rPr>
        <w:t>Ministry </w:t>
      </w:r>
      <w:r>
        <w:rPr>
          <w:sz w:val="13"/>
        </w:rPr>
        <w:t>of Justice (UK), ‘Law Change </w:t>
      </w:r>
      <w:r>
        <w:rPr>
          <w:spacing w:val="2"/>
          <w:sz w:val="13"/>
        </w:rPr>
        <w:t>Opens </w:t>
      </w:r>
      <w:r>
        <w:rPr>
          <w:sz w:val="13"/>
        </w:rPr>
        <w:t>Door to Deaf Jurors’ (Press Release, 9 March 2021) &lt;</w:t>
      </w:r>
      <w:hyperlink r:id="rId165">
        <w:r>
          <w:rPr>
            <w:sz w:val="13"/>
          </w:rPr>
          <w:t>https://www.gov.uk/</w:t>
        </w:r>
      </w:hyperlink>
      <w:hyperlink r:id="rId165">
        <w:r>
          <w:rPr>
            <w:sz w:val="13"/>
          </w:rPr>
          <w:t> government/news/law-change-opens-door-to-deaf-jurors</w:t>
        </w:r>
      </w:hyperlink>
      <w:r>
        <w:rPr>
          <w:sz w:val="13"/>
        </w:rPr>
        <w:t>&gt;.</w:t>
      </w:r>
    </w:p>
    <w:p>
      <w:pPr>
        <w:pStyle w:val="ListParagraph"/>
        <w:numPr>
          <w:ilvl w:val="0"/>
          <w:numId w:val="82"/>
        </w:numPr>
        <w:tabs>
          <w:tab w:pos="893" w:val="left" w:leader="none"/>
          <w:tab w:pos="894" w:val="left" w:leader="none"/>
        </w:tabs>
        <w:spacing w:line="153" w:lineRule="exact" w:before="0" w:after="0"/>
        <w:ind w:left="893" w:right="0" w:hanging="793"/>
        <w:jc w:val="left"/>
        <w:rPr>
          <w:sz w:val="13"/>
        </w:rPr>
      </w:pPr>
      <w:r>
        <w:rPr>
          <w:i/>
          <w:sz w:val="13"/>
        </w:rPr>
        <w:t>Juries Act 1967 </w:t>
      </w:r>
      <w:r>
        <w:rPr>
          <w:sz w:val="13"/>
        </w:rPr>
        <w:t>(ACT) s 16(3)(b).</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pStyle w:val="ListParagraph"/>
        <w:numPr>
          <w:ilvl w:val="0"/>
          <w:numId w:val="82"/>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pStyle w:val="ListParagraph"/>
        <w:numPr>
          <w:ilvl w:val="0"/>
          <w:numId w:val="82"/>
        </w:numPr>
        <w:tabs>
          <w:tab w:pos="893" w:val="left" w:leader="none"/>
          <w:tab w:pos="894" w:val="left" w:leader="none"/>
        </w:tabs>
        <w:spacing w:line="170" w:lineRule="exact" w:before="0" w:after="0"/>
        <w:ind w:left="893" w:right="0" w:hanging="793"/>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spacing w:after="0" w:line="170" w:lineRule="exact"/>
        <w:jc w:val="left"/>
        <w:rPr>
          <w:sz w:val="13"/>
        </w:rPr>
        <w:sectPr>
          <w:type w:val="continuous"/>
          <w:pgSz w:w="11910" w:h="16840"/>
          <w:pgMar w:top="620" w:bottom="280" w:left="620" w:right="380"/>
          <w:cols w:num="2" w:equalWidth="0">
            <w:col w:w="516" w:space="351"/>
            <w:col w:w="10043"/>
          </w:cols>
        </w:sectPr>
      </w:pPr>
    </w:p>
    <w:p>
      <w:pPr>
        <w:pStyle w:val="BodyText"/>
      </w:pPr>
    </w:p>
    <w:p>
      <w:pPr>
        <w:pStyle w:val="BodyText"/>
      </w:pPr>
    </w:p>
    <w:p>
      <w:pPr>
        <w:pStyle w:val="BodyText"/>
      </w:pPr>
    </w:p>
    <w:p>
      <w:pPr>
        <w:pStyle w:val="BodyText"/>
        <w:spacing w:before="6"/>
        <w:rPr>
          <w:sz w:val="14"/>
        </w:rPr>
      </w:pPr>
    </w:p>
    <w:p>
      <w:pPr>
        <w:spacing w:before="49"/>
        <w:ind w:left="967" w:right="0" w:firstLine="0"/>
        <w:jc w:val="left"/>
        <w:rPr>
          <w:b/>
          <w:sz w:val="24"/>
        </w:rPr>
      </w:pPr>
      <w:bookmarkStart w:name="What should happen if a judge decides th" w:id="211"/>
      <w:bookmarkEnd w:id="211"/>
      <w:r>
        <w:rPr/>
      </w:r>
      <w:bookmarkStart w:name="_bookmark85" w:id="212"/>
      <w:bookmarkEnd w:id="212"/>
      <w:r>
        <w:rPr/>
      </w:r>
      <w:r>
        <w:rPr>
          <w:b/>
          <w:sz w:val="24"/>
        </w:rPr>
        <w:t>What evidence should the judge consider?</w:t>
      </w:r>
    </w:p>
    <w:p>
      <w:pPr>
        <w:pStyle w:val="ListParagraph"/>
        <w:numPr>
          <w:ilvl w:val="1"/>
          <w:numId w:val="12"/>
        </w:numPr>
        <w:tabs>
          <w:tab w:pos="1761" w:val="left" w:leader="none"/>
          <w:tab w:pos="1762" w:val="left" w:leader="none"/>
        </w:tabs>
        <w:spacing w:line="206" w:lineRule="auto" w:before="127" w:after="0"/>
        <w:ind w:left="1761" w:right="1204" w:hanging="794"/>
        <w:jc w:val="left"/>
        <w:rPr>
          <w:sz w:val="20"/>
        </w:rPr>
      </w:pPr>
      <w:r>
        <w:rPr>
          <w:sz w:val="20"/>
        </w:rPr>
        <w:t>The Commission does not hold the view that the </w:t>
      </w:r>
      <w:r>
        <w:rPr>
          <w:spacing w:val="-2"/>
          <w:sz w:val="20"/>
        </w:rPr>
        <w:t>Act </w:t>
      </w:r>
      <w:r>
        <w:rPr>
          <w:sz w:val="20"/>
        </w:rPr>
        <w:t>needs to define the material or evidence that a judge </w:t>
      </w:r>
      <w:r>
        <w:rPr>
          <w:spacing w:val="-3"/>
          <w:sz w:val="20"/>
        </w:rPr>
        <w:t>may </w:t>
      </w:r>
      <w:r>
        <w:rPr>
          <w:sz w:val="20"/>
        </w:rPr>
        <w:t>take </w:t>
      </w:r>
      <w:r>
        <w:rPr>
          <w:spacing w:val="-3"/>
          <w:sz w:val="20"/>
        </w:rPr>
        <w:t>into </w:t>
      </w:r>
      <w:r>
        <w:rPr>
          <w:sz w:val="20"/>
        </w:rPr>
        <w:t>account in reaching a decision about the use of reasonable</w:t>
      </w:r>
      <w:r>
        <w:rPr>
          <w:spacing w:val="-13"/>
          <w:sz w:val="20"/>
        </w:rPr>
        <w:t> </w:t>
      </w:r>
      <w:r>
        <w:rPr>
          <w:sz w:val="20"/>
        </w:rPr>
        <w:t>adjustments.</w:t>
      </w:r>
      <w:r>
        <w:rPr>
          <w:spacing w:val="-13"/>
          <w:sz w:val="20"/>
        </w:rPr>
        <w:t> </w:t>
      </w:r>
      <w:r>
        <w:rPr>
          <w:spacing w:val="-5"/>
          <w:sz w:val="20"/>
        </w:rPr>
        <w:t>However,</w:t>
      </w:r>
      <w:r>
        <w:rPr>
          <w:spacing w:val="-13"/>
          <w:sz w:val="20"/>
        </w:rPr>
        <w:t> </w:t>
      </w:r>
      <w:r>
        <w:rPr>
          <w:sz w:val="20"/>
        </w:rPr>
        <w:t>it</w:t>
      </w:r>
      <w:r>
        <w:rPr>
          <w:spacing w:val="-12"/>
          <w:sz w:val="20"/>
        </w:rPr>
        <w:t> </w:t>
      </w:r>
      <w:r>
        <w:rPr>
          <w:spacing w:val="-3"/>
          <w:sz w:val="20"/>
        </w:rPr>
        <w:t>would</w:t>
      </w:r>
      <w:r>
        <w:rPr>
          <w:spacing w:val="-13"/>
          <w:sz w:val="20"/>
        </w:rPr>
        <w:t> </w:t>
      </w:r>
      <w:r>
        <w:rPr>
          <w:sz w:val="20"/>
        </w:rPr>
        <w:t>be</w:t>
      </w:r>
      <w:r>
        <w:rPr>
          <w:spacing w:val="-13"/>
          <w:sz w:val="20"/>
        </w:rPr>
        <w:t> </w:t>
      </w:r>
      <w:r>
        <w:rPr>
          <w:sz w:val="20"/>
        </w:rPr>
        <w:t>helpful</w:t>
      </w:r>
      <w:r>
        <w:rPr>
          <w:spacing w:val="-12"/>
          <w:sz w:val="20"/>
        </w:rPr>
        <w:t> </w:t>
      </w:r>
      <w:r>
        <w:rPr>
          <w:sz w:val="20"/>
        </w:rPr>
        <w:t>to</w:t>
      </w:r>
      <w:r>
        <w:rPr>
          <w:spacing w:val="-13"/>
          <w:sz w:val="20"/>
        </w:rPr>
        <w:t> </w:t>
      </w:r>
      <w:r>
        <w:rPr>
          <w:sz w:val="20"/>
        </w:rPr>
        <w:t>include</w:t>
      </w:r>
      <w:r>
        <w:rPr>
          <w:spacing w:val="-13"/>
          <w:sz w:val="20"/>
        </w:rPr>
        <w:t> </w:t>
      </w:r>
      <w:r>
        <w:rPr>
          <w:sz w:val="20"/>
        </w:rPr>
        <w:t>a</w:t>
      </w:r>
      <w:r>
        <w:rPr>
          <w:spacing w:val="-13"/>
          <w:sz w:val="20"/>
        </w:rPr>
        <w:t> </w:t>
      </w:r>
      <w:r>
        <w:rPr>
          <w:sz w:val="20"/>
        </w:rPr>
        <w:t>sub-provision</w:t>
      </w:r>
      <w:r>
        <w:rPr>
          <w:spacing w:val="-12"/>
          <w:sz w:val="20"/>
        </w:rPr>
        <w:t> </w:t>
      </w:r>
      <w:r>
        <w:rPr>
          <w:sz w:val="20"/>
        </w:rPr>
        <w:t>stating that</w:t>
      </w:r>
      <w:r>
        <w:rPr>
          <w:spacing w:val="-5"/>
          <w:sz w:val="20"/>
        </w:rPr>
        <w:t> </w:t>
      </w:r>
      <w:r>
        <w:rPr>
          <w:sz w:val="20"/>
        </w:rPr>
        <w:t>a</w:t>
      </w:r>
      <w:r>
        <w:rPr>
          <w:spacing w:val="-5"/>
          <w:sz w:val="20"/>
        </w:rPr>
        <w:t> </w:t>
      </w:r>
      <w:r>
        <w:rPr>
          <w:sz w:val="20"/>
        </w:rPr>
        <w:t>judge</w:t>
      </w:r>
      <w:r>
        <w:rPr>
          <w:spacing w:val="-5"/>
          <w:sz w:val="20"/>
        </w:rPr>
        <w:t> </w:t>
      </w:r>
      <w:r>
        <w:rPr>
          <w:spacing w:val="-3"/>
          <w:sz w:val="20"/>
        </w:rPr>
        <w:t>may</w:t>
      </w:r>
      <w:r>
        <w:rPr>
          <w:spacing w:val="-5"/>
          <w:sz w:val="20"/>
        </w:rPr>
        <w:t> </w:t>
      </w:r>
      <w:r>
        <w:rPr>
          <w:sz w:val="20"/>
        </w:rPr>
        <w:t>consider</w:t>
      </w:r>
      <w:r>
        <w:rPr>
          <w:spacing w:val="-5"/>
          <w:sz w:val="20"/>
        </w:rPr>
        <w:t> </w:t>
      </w:r>
      <w:r>
        <w:rPr>
          <w:spacing w:val="-3"/>
          <w:sz w:val="20"/>
        </w:rPr>
        <w:t>any</w:t>
      </w:r>
      <w:r>
        <w:rPr>
          <w:spacing w:val="-4"/>
          <w:sz w:val="20"/>
        </w:rPr>
        <w:t> </w:t>
      </w:r>
      <w:r>
        <w:rPr>
          <w:sz w:val="20"/>
        </w:rPr>
        <w:t>evidence</w:t>
      </w:r>
      <w:r>
        <w:rPr>
          <w:spacing w:val="-5"/>
          <w:sz w:val="20"/>
        </w:rPr>
        <w:t> </w:t>
      </w:r>
      <w:r>
        <w:rPr>
          <w:sz w:val="20"/>
        </w:rPr>
        <w:t>they</w:t>
      </w:r>
      <w:r>
        <w:rPr>
          <w:spacing w:val="-5"/>
          <w:sz w:val="20"/>
        </w:rPr>
        <w:t> </w:t>
      </w:r>
      <w:r>
        <w:rPr>
          <w:sz w:val="20"/>
        </w:rPr>
        <w:t>deem</w:t>
      </w:r>
      <w:r>
        <w:rPr>
          <w:spacing w:val="-5"/>
          <w:sz w:val="20"/>
        </w:rPr>
        <w:t> </w:t>
      </w:r>
      <w:r>
        <w:rPr>
          <w:spacing w:val="-3"/>
          <w:sz w:val="20"/>
        </w:rPr>
        <w:t>relevant.</w:t>
      </w:r>
    </w:p>
    <w:p>
      <w:pPr>
        <w:pStyle w:val="BodyText"/>
        <w:spacing w:before="13"/>
        <w:rPr>
          <w:sz w:val="21"/>
        </w:rPr>
      </w:pPr>
    </w:p>
    <w:p>
      <w:pPr>
        <w:spacing w:line="184" w:lineRule="auto" w:before="0"/>
        <w:ind w:left="967" w:right="1110" w:firstLine="0"/>
        <w:jc w:val="left"/>
        <w:rPr>
          <w:rFonts w:ascii="Raleway ExtraBold"/>
          <w:b/>
          <w:sz w:val="28"/>
        </w:rPr>
      </w:pPr>
      <w:r>
        <w:rPr>
          <w:rFonts w:ascii="Raleway ExtraBold"/>
          <w:b/>
          <w:color w:val="37617A"/>
          <w:sz w:val="28"/>
        </w:rPr>
        <w:t>What should happen if a judge decides that adjustments cannot be provided?</w:t>
      </w:r>
    </w:p>
    <w:p>
      <w:pPr>
        <w:pStyle w:val="ListParagraph"/>
        <w:numPr>
          <w:ilvl w:val="1"/>
          <w:numId w:val="12"/>
        </w:numPr>
        <w:tabs>
          <w:tab w:pos="1761" w:val="left" w:leader="none"/>
          <w:tab w:pos="1762" w:val="left" w:leader="none"/>
        </w:tabs>
        <w:spacing w:line="206" w:lineRule="auto" w:before="162" w:after="0"/>
        <w:ind w:left="1761" w:right="1213" w:hanging="794"/>
        <w:jc w:val="left"/>
        <w:rPr>
          <w:sz w:val="20"/>
        </w:rPr>
      </w:pPr>
      <w:r>
        <w:rPr>
          <w:sz w:val="20"/>
        </w:rPr>
        <w:t>The</w:t>
      </w:r>
      <w:r>
        <w:rPr>
          <w:spacing w:val="-11"/>
          <w:sz w:val="20"/>
        </w:rPr>
        <w:t> </w:t>
      </w:r>
      <w:r>
        <w:rPr>
          <w:sz w:val="20"/>
        </w:rPr>
        <w:t>Commission</w:t>
      </w:r>
      <w:r>
        <w:rPr>
          <w:spacing w:val="-11"/>
          <w:sz w:val="20"/>
        </w:rPr>
        <w:t> </w:t>
      </w:r>
      <w:r>
        <w:rPr>
          <w:sz w:val="20"/>
        </w:rPr>
        <w:t>recommends</w:t>
      </w:r>
      <w:r>
        <w:rPr>
          <w:spacing w:val="-10"/>
          <w:sz w:val="20"/>
        </w:rPr>
        <w:t> </w:t>
      </w:r>
      <w:r>
        <w:rPr>
          <w:sz w:val="20"/>
        </w:rPr>
        <w:t>that</w:t>
      </w:r>
      <w:r>
        <w:rPr>
          <w:spacing w:val="-11"/>
          <w:sz w:val="20"/>
        </w:rPr>
        <w:t> </w:t>
      </w:r>
      <w:r>
        <w:rPr>
          <w:sz w:val="20"/>
        </w:rPr>
        <w:t>legislation</w:t>
      </w:r>
      <w:r>
        <w:rPr>
          <w:spacing w:val="-11"/>
          <w:sz w:val="20"/>
        </w:rPr>
        <w:t> </w:t>
      </w:r>
      <w:r>
        <w:rPr>
          <w:spacing w:val="-3"/>
          <w:sz w:val="20"/>
        </w:rPr>
        <w:t>provide</w:t>
      </w:r>
      <w:r>
        <w:rPr>
          <w:spacing w:val="-10"/>
          <w:sz w:val="20"/>
        </w:rPr>
        <w:t> </w:t>
      </w:r>
      <w:r>
        <w:rPr>
          <w:sz w:val="20"/>
        </w:rPr>
        <w:t>two</w:t>
      </w:r>
      <w:r>
        <w:rPr>
          <w:spacing w:val="-11"/>
          <w:sz w:val="20"/>
        </w:rPr>
        <w:t> </w:t>
      </w:r>
      <w:r>
        <w:rPr>
          <w:sz w:val="20"/>
        </w:rPr>
        <w:t>options</w:t>
      </w:r>
      <w:r>
        <w:rPr>
          <w:spacing w:val="-11"/>
          <w:sz w:val="20"/>
        </w:rPr>
        <w:t> </w:t>
      </w:r>
      <w:r>
        <w:rPr>
          <w:sz w:val="20"/>
        </w:rPr>
        <w:t>if</w:t>
      </w:r>
      <w:r>
        <w:rPr>
          <w:spacing w:val="-10"/>
          <w:sz w:val="20"/>
        </w:rPr>
        <w:t> </w:t>
      </w:r>
      <w:r>
        <w:rPr>
          <w:sz w:val="20"/>
        </w:rPr>
        <w:t>a</w:t>
      </w:r>
      <w:r>
        <w:rPr>
          <w:spacing w:val="-11"/>
          <w:sz w:val="20"/>
        </w:rPr>
        <w:t> </w:t>
      </w:r>
      <w:r>
        <w:rPr>
          <w:sz w:val="20"/>
        </w:rPr>
        <w:t>decision</w:t>
      </w:r>
      <w:r>
        <w:rPr>
          <w:spacing w:val="-10"/>
          <w:sz w:val="20"/>
        </w:rPr>
        <w:t> </w:t>
      </w:r>
      <w:r>
        <w:rPr>
          <w:sz w:val="20"/>
        </w:rPr>
        <w:t>is</w:t>
      </w:r>
      <w:r>
        <w:rPr>
          <w:spacing w:val="-11"/>
          <w:sz w:val="20"/>
        </w:rPr>
        <w:t> </w:t>
      </w:r>
      <w:r>
        <w:rPr>
          <w:sz w:val="20"/>
        </w:rPr>
        <w:t>made not to </w:t>
      </w:r>
      <w:r>
        <w:rPr>
          <w:spacing w:val="-3"/>
          <w:sz w:val="20"/>
        </w:rPr>
        <w:t>provide </w:t>
      </w:r>
      <w:r>
        <w:rPr>
          <w:sz w:val="20"/>
        </w:rPr>
        <w:t>reasonable</w:t>
      </w:r>
      <w:r>
        <w:rPr>
          <w:spacing w:val="-15"/>
          <w:sz w:val="20"/>
        </w:rPr>
        <w:t> </w:t>
      </w:r>
      <w:r>
        <w:rPr>
          <w:sz w:val="20"/>
        </w:rPr>
        <w:t>adjustments:</w:t>
      </w:r>
    </w:p>
    <w:p>
      <w:pPr>
        <w:pStyle w:val="ListParagraph"/>
        <w:numPr>
          <w:ilvl w:val="0"/>
          <w:numId w:val="85"/>
        </w:numPr>
        <w:tabs>
          <w:tab w:pos="2157" w:val="left" w:leader="none"/>
          <w:tab w:pos="2158" w:val="left" w:leader="none"/>
        </w:tabs>
        <w:spacing w:line="259" w:lineRule="exact" w:before="91" w:after="0"/>
        <w:ind w:left="2157" w:right="0" w:hanging="396"/>
        <w:jc w:val="left"/>
        <w:rPr>
          <w:sz w:val="20"/>
        </w:rPr>
      </w:pPr>
      <w:r>
        <w:rPr>
          <w:spacing w:val="-3"/>
          <w:sz w:val="20"/>
        </w:rPr>
        <w:t>Firstly,</w:t>
      </w:r>
      <w:r>
        <w:rPr>
          <w:spacing w:val="-4"/>
          <w:sz w:val="20"/>
        </w:rPr>
        <w:t> </w:t>
      </w:r>
      <w:r>
        <w:rPr>
          <w:sz w:val="20"/>
        </w:rPr>
        <w:t>that</w:t>
      </w:r>
      <w:r>
        <w:rPr>
          <w:spacing w:val="-3"/>
          <w:sz w:val="20"/>
        </w:rPr>
        <w:t> </w:t>
      </w:r>
      <w:r>
        <w:rPr>
          <w:sz w:val="20"/>
        </w:rPr>
        <w:t>courts</w:t>
      </w:r>
      <w:r>
        <w:rPr>
          <w:spacing w:val="-3"/>
          <w:sz w:val="20"/>
        </w:rPr>
        <w:t> </w:t>
      </w:r>
      <w:r>
        <w:rPr>
          <w:sz w:val="20"/>
        </w:rPr>
        <w:t>and</w:t>
      </w:r>
      <w:r>
        <w:rPr>
          <w:spacing w:val="-3"/>
          <w:sz w:val="20"/>
        </w:rPr>
        <w:t> </w:t>
      </w:r>
      <w:r>
        <w:rPr>
          <w:sz w:val="20"/>
        </w:rPr>
        <w:t>Juries</w:t>
      </w:r>
      <w:r>
        <w:rPr>
          <w:spacing w:val="-3"/>
          <w:sz w:val="20"/>
        </w:rPr>
        <w:t> </w:t>
      </w:r>
      <w:r>
        <w:rPr>
          <w:sz w:val="20"/>
        </w:rPr>
        <w:t>Victoria</w:t>
      </w:r>
      <w:r>
        <w:rPr>
          <w:spacing w:val="-3"/>
          <w:sz w:val="20"/>
        </w:rPr>
        <w:t> have </w:t>
      </w:r>
      <w:r>
        <w:rPr>
          <w:sz w:val="20"/>
        </w:rPr>
        <w:t>the</w:t>
      </w:r>
      <w:r>
        <w:rPr>
          <w:spacing w:val="-3"/>
          <w:sz w:val="20"/>
        </w:rPr>
        <w:t> </w:t>
      </w:r>
      <w:r>
        <w:rPr>
          <w:sz w:val="20"/>
        </w:rPr>
        <w:t>power</w:t>
      </w:r>
      <w:r>
        <w:rPr>
          <w:spacing w:val="-3"/>
          <w:sz w:val="20"/>
        </w:rPr>
        <w:t> </w:t>
      </w:r>
      <w:r>
        <w:rPr>
          <w:sz w:val="20"/>
        </w:rPr>
        <w:t>to</w:t>
      </w:r>
      <w:r>
        <w:rPr>
          <w:spacing w:val="-3"/>
          <w:sz w:val="20"/>
        </w:rPr>
        <w:t> </w:t>
      </w:r>
      <w:r>
        <w:rPr>
          <w:sz w:val="20"/>
        </w:rPr>
        <w:t>return</w:t>
      </w:r>
      <w:r>
        <w:rPr>
          <w:spacing w:val="-4"/>
          <w:sz w:val="20"/>
        </w:rPr>
        <w:t> </w:t>
      </w:r>
      <w:r>
        <w:rPr>
          <w:sz w:val="20"/>
        </w:rPr>
        <w:t>the</w:t>
      </w:r>
      <w:r>
        <w:rPr>
          <w:spacing w:val="-3"/>
          <w:sz w:val="20"/>
        </w:rPr>
        <w:t> </w:t>
      </w:r>
      <w:r>
        <w:rPr>
          <w:sz w:val="20"/>
        </w:rPr>
        <w:t>person</w:t>
      </w:r>
      <w:r>
        <w:rPr>
          <w:spacing w:val="-3"/>
          <w:sz w:val="20"/>
        </w:rPr>
        <w:t> </w:t>
      </w:r>
      <w:r>
        <w:rPr>
          <w:sz w:val="20"/>
        </w:rPr>
        <w:t>to</w:t>
      </w:r>
      <w:r>
        <w:rPr>
          <w:spacing w:val="-3"/>
          <w:sz w:val="20"/>
        </w:rPr>
        <w:t> </w:t>
      </w:r>
      <w:r>
        <w:rPr>
          <w:sz w:val="20"/>
        </w:rPr>
        <w:t>the</w:t>
      </w:r>
    </w:p>
    <w:p>
      <w:pPr>
        <w:pStyle w:val="BodyText"/>
        <w:spacing w:line="259" w:lineRule="exact"/>
        <w:ind w:left="2157"/>
      </w:pPr>
      <w:r>
        <w:rPr/>
        <w:t>jury pool to potentially serve on a different trial.</w:t>
      </w:r>
    </w:p>
    <w:p>
      <w:pPr>
        <w:pStyle w:val="ListParagraph"/>
        <w:numPr>
          <w:ilvl w:val="0"/>
          <w:numId w:val="85"/>
        </w:numPr>
        <w:tabs>
          <w:tab w:pos="2157" w:val="left" w:leader="none"/>
          <w:tab w:pos="2158" w:val="left" w:leader="none"/>
        </w:tabs>
        <w:spacing w:line="206" w:lineRule="auto" w:before="79" w:after="0"/>
        <w:ind w:left="2157" w:right="1380" w:hanging="396"/>
        <w:jc w:val="left"/>
        <w:rPr>
          <w:sz w:val="20"/>
        </w:rPr>
      </w:pPr>
      <w:r>
        <w:rPr>
          <w:spacing w:val="-3"/>
          <w:sz w:val="20"/>
        </w:rPr>
        <w:t>Alternatively, </w:t>
      </w:r>
      <w:r>
        <w:rPr>
          <w:sz w:val="20"/>
        </w:rPr>
        <w:t>in a situation where it may not be possible for a person from the subject</w:t>
      </w:r>
      <w:r>
        <w:rPr>
          <w:spacing w:val="-8"/>
          <w:sz w:val="20"/>
        </w:rPr>
        <w:t> </w:t>
      </w:r>
      <w:r>
        <w:rPr>
          <w:sz w:val="20"/>
        </w:rPr>
        <w:t>groups</w:t>
      </w:r>
      <w:r>
        <w:rPr>
          <w:spacing w:val="-7"/>
          <w:sz w:val="20"/>
        </w:rPr>
        <w:t> </w:t>
      </w:r>
      <w:r>
        <w:rPr>
          <w:sz w:val="20"/>
        </w:rPr>
        <w:t>to</w:t>
      </w:r>
      <w:r>
        <w:rPr>
          <w:spacing w:val="-7"/>
          <w:sz w:val="20"/>
        </w:rPr>
        <w:t> </w:t>
      </w:r>
      <w:r>
        <w:rPr>
          <w:sz w:val="20"/>
        </w:rPr>
        <w:t>serve</w:t>
      </w:r>
      <w:r>
        <w:rPr>
          <w:spacing w:val="-7"/>
          <w:sz w:val="20"/>
        </w:rPr>
        <w:t> </w:t>
      </w:r>
      <w:r>
        <w:rPr>
          <w:sz w:val="20"/>
        </w:rPr>
        <w:t>with</w:t>
      </w:r>
      <w:r>
        <w:rPr>
          <w:spacing w:val="-7"/>
          <w:sz w:val="20"/>
        </w:rPr>
        <w:t> </w:t>
      </w:r>
      <w:r>
        <w:rPr>
          <w:sz w:val="20"/>
        </w:rPr>
        <w:t>reasonable</w:t>
      </w:r>
      <w:r>
        <w:rPr>
          <w:spacing w:val="-7"/>
          <w:sz w:val="20"/>
        </w:rPr>
        <w:t> </w:t>
      </w:r>
      <w:r>
        <w:rPr>
          <w:sz w:val="20"/>
        </w:rPr>
        <w:t>adjustments</w:t>
      </w:r>
      <w:r>
        <w:rPr>
          <w:spacing w:val="-7"/>
          <w:sz w:val="20"/>
        </w:rPr>
        <w:t> </w:t>
      </w:r>
      <w:r>
        <w:rPr>
          <w:sz w:val="20"/>
        </w:rPr>
        <w:t>on</w:t>
      </w:r>
      <w:r>
        <w:rPr>
          <w:spacing w:val="-7"/>
          <w:sz w:val="20"/>
        </w:rPr>
        <w:t> </w:t>
      </w:r>
      <w:r>
        <w:rPr>
          <w:sz w:val="20"/>
        </w:rPr>
        <w:t>any</w:t>
      </w:r>
      <w:r>
        <w:rPr>
          <w:spacing w:val="-7"/>
          <w:sz w:val="20"/>
        </w:rPr>
        <w:t> </w:t>
      </w:r>
      <w:r>
        <w:rPr>
          <w:sz w:val="20"/>
        </w:rPr>
        <w:t>jury,</w:t>
      </w:r>
      <w:r>
        <w:rPr>
          <w:spacing w:val="-7"/>
          <w:sz w:val="20"/>
        </w:rPr>
        <w:t> </w:t>
      </w:r>
      <w:r>
        <w:rPr>
          <w:sz w:val="20"/>
        </w:rPr>
        <w:t>a</w:t>
      </w:r>
      <w:r>
        <w:rPr>
          <w:spacing w:val="-7"/>
          <w:sz w:val="20"/>
        </w:rPr>
        <w:t> </w:t>
      </w:r>
      <w:r>
        <w:rPr>
          <w:sz w:val="20"/>
        </w:rPr>
        <w:t>judge</w:t>
      </w:r>
      <w:r>
        <w:rPr>
          <w:spacing w:val="-7"/>
          <w:sz w:val="20"/>
        </w:rPr>
        <w:t> </w:t>
      </w:r>
      <w:r>
        <w:rPr>
          <w:sz w:val="20"/>
        </w:rPr>
        <w:t>should </w:t>
      </w:r>
      <w:r>
        <w:rPr>
          <w:spacing w:val="-3"/>
          <w:sz w:val="20"/>
        </w:rPr>
        <w:t>excuse </w:t>
      </w:r>
      <w:r>
        <w:rPr>
          <w:sz w:val="20"/>
        </w:rPr>
        <w:t>the person from their summons. </w:t>
      </w:r>
      <w:r>
        <w:rPr>
          <w:spacing w:val="-6"/>
          <w:sz w:val="20"/>
        </w:rPr>
        <w:t>We </w:t>
      </w:r>
      <w:r>
        <w:rPr>
          <w:sz w:val="20"/>
        </w:rPr>
        <w:t>note that a judge also has existing powers under section 12 to order that the person not perform jury duty for the whole or part of their jury service, or for a period determined </w:t>
      </w:r>
      <w:r>
        <w:rPr>
          <w:spacing w:val="-3"/>
          <w:sz w:val="20"/>
        </w:rPr>
        <w:t>by </w:t>
      </w:r>
      <w:r>
        <w:rPr>
          <w:sz w:val="20"/>
        </w:rPr>
        <w:t>the court, or permanently.</w:t>
      </w:r>
    </w:p>
    <w:p>
      <w:pPr>
        <w:pStyle w:val="ListParagraph"/>
        <w:numPr>
          <w:ilvl w:val="1"/>
          <w:numId w:val="12"/>
        </w:numPr>
        <w:tabs>
          <w:tab w:pos="1761" w:val="left" w:leader="none"/>
          <w:tab w:pos="1762" w:val="left" w:leader="none"/>
        </w:tabs>
        <w:spacing w:line="206" w:lineRule="auto" w:before="93" w:after="0"/>
        <w:ind w:left="1761" w:right="1254" w:hanging="794"/>
        <w:jc w:val="left"/>
        <w:rPr>
          <w:sz w:val="11"/>
        </w:rPr>
      </w:pPr>
      <w:r>
        <w:rPr>
          <w:sz w:val="20"/>
        </w:rPr>
        <w:t>The option to </w:t>
      </w:r>
      <w:r>
        <w:rPr>
          <w:spacing w:val="-3"/>
          <w:sz w:val="20"/>
        </w:rPr>
        <w:t>return </w:t>
      </w:r>
      <w:r>
        <w:rPr>
          <w:sz w:val="20"/>
        </w:rPr>
        <w:t>a prospective juror to the jury pool was widely supported in responses.</w:t>
      </w:r>
      <w:r>
        <w:rPr>
          <w:position w:val="7"/>
          <w:sz w:val="11"/>
        </w:rPr>
        <w:t>80 </w:t>
      </w:r>
      <w:r>
        <w:rPr>
          <w:sz w:val="20"/>
        </w:rPr>
        <w:t>Juries Victoria </w:t>
      </w:r>
      <w:r>
        <w:rPr>
          <w:spacing w:val="-3"/>
          <w:sz w:val="20"/>
        </w:rPr>
        <w:t>referred </w:t>
      </w:r>
      <w:r>
        <w:rPr>
          <w:sz w:val="20"/>
        </w:rPr>
        <w:t>to a similar </w:t>
      </w:r>
      <w:r>
        <w:rPr>
          <w:spacing w:val="-3"/>
          <w:sz w:val="20"/>
        </w:rPr>
        <w:t>power </w:t>
      </w:r>
      <w:r>
        <w:rPr>
          <w:sz w:val="20"/>
        </w:rPr>
        <w:t>in section 29(4B) of the Act, which</w:t>
      </w:r>
      <w:r>
        <w:rPr>
          <w:spacing w:val="-8"/>
          <w:sz w:val="20"/>
        </w:rPr>
        <w:t> </w:t>
      </w:r>
      <w:r>
        <w:rPr>
          <w:spacing w:val="-3"/>
          <w:sz w:val="20"/>
        </w:rPr>
        <w:t>gives</w:t>
      </w:r>
      <w:r>
        <w:rPr>
          <w:spacing w:val="-7"/>
          <w:sz w:val="20"/>
        </w:rPr>
        <w:t> </w:t>
      </w:r>
      <w:r>
        <w:rPr>
          <w:sz w:val="20"/>
        </w:rPr>
        <w:t>the</w:t>
      </w:r>
      <w:r>
        <w:rPr>
          <w:spacing w:val="-7"/>
          <w:sz w:val="20"/>
        </w:rPr>
        <w:t> </w:t>
      </w:r>
      <w:r>
        <w:rPr>
          <w:sz w:val="20"/>
        </w:rPr>
        <w:t>Juries</w:t>
      </w:r>
      <w:r>
        <w:rPr>
          <w:spacing w:val="-7"/>
          <w:sz w:val="20"/>
        </w:rPr>
        <w:t> </w:t>
      </w:r>
      <w:r>
        <w:rPr>
          <w:sz w:val="20"/>
        </w:rPr>
        <w:t>Commissioner</w:t>
      </w:r>
      <w:r>
        <w:rPr>
          <w:spacing w:val="-7"/>
          <w:sz w:val="20"/>
        </w:rPr>
        <w:t> </w:t>
      </w:r>
      <w:r>
        <w:rPr>
          <w:sz w:val="20"/>
        </w:rPr>
        <w:t>the</w:t>
      </w:r>
      <w:r>
        <w:rPr>
          <w:spacing w:val="-7"/>
          <w:sz w:val="20"/>
        </w:rPr>
        <w:t> </w:t>
      </w:r>
      <w:r>
        <w:rPr>
          <w:spacing w:val="-3"/>
          <w:sz w:val="20"/>
        </w:rPr>
        <w:t>power</w:t>
      </w:r>
      <w:r>
        <w:rPr>
          <w:spacing w:val="-7"/>
          <w:sz w:val="20"/>
        </w:rPr>
        <w:t> </w:t>
      </w:r>
      <w:r>
        <w:rPr>
          <w:sz w:val="20"/>
        </w:rPr>
        <w:t>to</w:t>
      </w:r>
      <w:r>
        <w:rPr>
          <w:spacing w:val="-7"/>
          <w:sz w:val="20"/>
        </w:rPr>
        <w:t> </w:t>
      </w:r>
      <w:r>
        <w:rPr>
          <w:spacing w:val="-3"/>
          <w:sz w:val="20"/>
        </w:rPr>
        <w:t>exclude</w:t>
      </w:r>
      <w:r>
        <w:rPr>
          <w:spacing w:val="-7"/>
          <w:sz w:val="20"/>
        </w:rPr>
        <w:t> </w:t>
      </w:r>
      <w:r>
        <w:rPr>
          <w:sz w:val="20"/>
        </w:rPr>
        <w:t>a</w:t>
      </w:r>
      <w:r>
        <w:rPr>
          <w:spacing w:val="-7"/>
          <w:sz w:val="20"/>
        </w:rPr>
        <w:t> </w:t>
      </w:r>
      <w:r>
        <w:rPr>
          <w:sz w:val="20"/>
        </w:rPr>
        <w:t>person</w:t>
      </w:r>
      <w:r>
        <w:rPr>
          <w:spacing w:val="-7"/>
          <w:sz w:val="20"/>
        </w:rPr>
        <w:t> </w:t>
      </w:r>
      <w:r>
        <w:rPr>
          <w:spacing w:val="-3"/>
          <w:sz w:val="20"/>
        </w:rPr>
        <w:t>from</w:t>
      </w:r>
      <w:r>
        <w:rPr>
          <w:spacing w:val="-7"/>
          <w:sz w:val="20"/>
        </w:rPr>
        <w:t> </w:t>
      </w:r>
      <w:r>
        <w:rPr>
          <w:sz w:val="20"/>
        </w:rPr>
        <w:t>a</w:t>
      </w:r>
      <w:r>
        <w:rPr>
          <w:spacing w:val="-7"/>
          <w:sz w:val="20"/>
        </w:rPr>
        <w:t> </w:t>
      </w:r>
      <w:r>
        <w:rPr>
          <w:sz w:val="20"/>
        </w:rPr>
        <w:t>pool</w:t>
      </w:r>
      <w:r>
        <w:rPr>
          <w:spacing w:val="-7"/>
          <w:sz w:val="20"/>
        </w:rPr>
        <w:t> </w:t>
      </w:r>
      <w:r>
        <w:rPr>
          <w:sz w:val="20"/>
        </w:rPr>
        <w:t>if</w:t>
      </w:r>
      <w:r>
        <w:rPr>
          <w:spacing w:val="-7"/>
          <w:sz w:val="20"/>
        </w:rPr>
        <w:t> </w:t>
      </w:r>
      <w:r>
        <w:rPr>
          <w:sz w:val="20"/>
        </w:rPr>
        <w:t>they </w:t>
      </w:r>
      <w:r>
        <w:rPr>
          <w:spacing w:val="-3"/>
          <w:sz w:val="20"/>
        </w:rPr>
        <w:t>are</w:t>
      </w:r>
      <w:r>
        <w:rPr>
          <w:spacing w:val="-8"/>
          <w:sz w:val="20"/>
        </w:rPr>
        <w:t> </w:t>
      </w:r>
      <w:r>
        <w:rPr>
          <w:sz w:val="20"/>
        </w:rPr>
        <w:t>satisfied</w:t>
      </w:r>
      <w:r>
        <w:rPr>
          <w:spacing w:val="-7"/>
          <w:sz w:val="20"/>
        </w:rPr>
        <w:t> </w:t>
      </w:r>
      <w:r>
        <w:rPr>
          <w:sz w:val="20"/>
        </w:rPr>
        <w:t>that</w:t>
      </w:r>
      <w:r>
        <w:rPr>
          <w:spacing w:val="-7"/>
          <w:sz w:val="20"/>
        </w:rPr>
        <w:t> </w:t>
      </w:r>
      <w:r>
        <w:rPr>
          <w:sz w:val="20"/>
        </w:rPr>
        <w:t>the</w:t>
      </w:r>
      <w:r>
        <w:rPr>
          <w:spacing w:val="-7"/>
          <w:sz w:val="20"/>
        </w:rPr>
        <w:t> </w:t>
      </w:r>
      <w:r>
        <w:rPr>
          <w:sz w:val="20"/>
        </w:rPr>
        <w:t>person</w:t>
      </w:r>
      <w:r>
        <w:rPr>
          <w:spacing w:val="-7"/>
          <w:sz w:val="20"/>
        </w:rPr>
        <w:t> </w:t>
      </w:r>
      <w:r>
        <w:rPr>
          <w:sz w:val="20"/>
        </w:rPr>
        <w:t>is</w:t>
      </w:r>
      <w:r>
        <w:rPr>
          <w:spacing w:val="-7"/>
          <w:sz w:val="20"/>
        </w:rPr>
        <w:t> </w:t>
      </w:r>
      <w:r>
        <w:rPr>
          <w:sz w:val="20"/>
        </w:rPr>
        <w:t>unavailable</w:t>
      </w:r>
      <w:r>
        <w:rPr>
          <w:spacing w:val="-7"/>
          <w:sz w:val="20"/>
        </w:rPr>
        <w:t> </w:t>
      </w:r>
      <w:r>
        <w:rPr>
          <w:sz w:val="20"/>
        </w:rPr>
        <w:t>to</w:t>
      </w:r>
      <w:r>
        <w:rPr>
          <w:spacing w:val="-7"/>
          <w:sz w:val="20"/>
        </w:rPr>
        <w:t> </w:t>
      </w:r>
      <w:r>
        <w:rPr>
          <w:sz w:val="20"/>
        </w:rPr>
        <w:t>sit</w:t>
      </w:r>
      <w:r>
        <w:rPr>
          <w:spacing w:val="-7"/>
          <w:sz w:val="20"/>
        </w:rPr>
        <w:t> </w:t>
      </w:r>
      <w:r>
        <w:rPr>
          <w:sz w:val="20"/>
        </w:rPr>
        <w:t>on</w:t>
      </w:r>
      <w:r>
        <w:rPr>
          <w:spacing w:val="-7"/>
          <w:sz w:val="20"/>
        </w:rPr>
        <w:t> </w:t>
      </w:r>
      <w:r>
        <w:rPr>
          <w:sz w:val="20"/>
        </w:rPr>
        <w:t>a</w:t>
      </w:r>
      <w:r>
        <w:rPr>
          <w:spacing w:val="-7"/>
          <w:sz w:val="20"/>
        </w:rPr>
        <w:t> </w:t>
      </w:r>
      <w:r>
        <w:rPr>
          <w:sz w:val="20"/>
        </w:rPr>
        <w:t>trial</w:t>
      </w:r>
      <w:r>
        <w:rPr>
          <w:spacing w:val="-7"/>
          <w:sz w:val="20"/>
        </w:rPr>
        <w:t> </w:t>
      </w:r>
      <w:r>
        <w:rPr>
          <w:sz w:val="20"/>
        </w:rPr>
        <w:t>due</w:t>
      </w:r>
      <w:r>
        <w:rPr>
          <w:spacing w:val="-7"/>
          <w:sz w:val="20"/>
        </w:rPr>
        <w:t> </w:t>
      </w:r>
      <w:r>
        <w:rPr>
          <w:sz w:val="20"/>
        </w:rPr>
        <w:t>to</w:t>
      </w:r>
      <w:r>
        <w:rPr>
          <w:spacing w:val="-7"/>
          <w:sz w:val="20"/>
        </w:rPr>
        <w:t> </w:t>
      </w:r>
      <w:r>
        <w:rPr>
          <w:sz w:val="20"/>
        </w:rPr>
        <w:t>its</w:t>
      </w:r>
      <w:r>
        <w:rPr>
          <w:spacing w:val="-7"/>
          <w:sz w:val="20"/>
        </w:rPr>
        <w:t> </w:t>
      </w:r>
      <w:r>
        <w:rPr>
          <w:spacing w:val="-3"/>
          <w:sz w:val="20"/>
        </w:rPr>
        <w:t>likely</w:t>
      </w:r>
      <w:r>
        <w:rPr>
          <w:spacing w:val="-7"/>
          <w:sz w:val="20"/>
        </w:rPr>
        <w:t> </w:t>
      </w:r>
      <w:r>
        <w:rPr>
          <w:sz w:val="20"/>
        </w:rPr>
        <w:t>length.</w:t>
      </w:r>
      <w:r>
        <w:rPr>
          <w:position w:val="7"/>
          <w:sz w:val="11"/>
        </w:rPr>
        <w:t>81</w:t>
      </w:r>
    </w:p>
    <w:p>
      <w:pPr>
        <w:pStyle w:val="ListParagraph"/>
        <w:numPr>
          <w:ilvl w:val="1"/>
          <w:numId w:val="12"/>
        </w:numPr>
        <w:tabs>
          <w:tab w:pos="1761" w:val="left" w:leader="none"/>
          <w:tab w:pos="1762" w:val="left" w:leader="none"/>
        </w:tabs>
        <w:spacing w:line="206" w:lineRule="auto" w:before="125" w:after="0"/>
        <w:ind w:left="1761" w:right="1372" w:hanging="794"/>
        <w:jc w:val="left"/>
        <w:rPr>
          <w:sz w:val="20"/>
        </w:rPr>
      </w:pPr>
      <w:r>
        <w:rPr>
          <w:sz w:val="20"/>
        </w:rPr>
        <w:t>The</w:t>
      </w:r>
      <w:r>
        <w:rPr>
          <w:spacing w:val="-9"/>
          <w:sz w:val="20"/>
        </w:rPr>
        <w:t> </w:t>
      </w:r>
      <w:r>
        <w:rPr>
          <w:sz w:val="20"/>
        </w:rPr>
        <w:t>County</w:t>
      </w:r>
      <w:r>
        <w:rPr>
          <w:spacing w:val="-9"/>
          <w:sz w:val="20"/>
        </w:rPr>
        <w:t> </w:t>
      </w:r>
      <w:r>
        <w:rPr>
          <w:sz w:val="20"/>
        </w:rPr>
        <w:t>Court</w:t>
      </w:r>
      <w:r>
        <w:rPr>
          <w:spacing w:val="-9"/>
          <w:sz w:val="20"/>
        </w:rPr>
        <w:t> </w:t>
      </w:r>
      <w:r>
        <w:rPr>
          <w:sz w:val="20"/>
        </w:rPr>
        <w:t>proposed</w:t>
      </w:r>
      <w:r>
        <w:rPr>
          <w:spacing w:val="-9"/>
          <w:sz w:val="20"/>
        </w:rPr>
        <w:t> </w:t>
      </w:r>
      <w:r>
        <w:rPr>
          <w:sz w:val="20"/>
        </w:rPr>
        <w:t>that</w:t>
      </w:r>
      <w:r>
        <w:rPr>
          <w:spacing w:val="-9"/>
          <w:sz w:val="20"/>
        </w:rPr>
        <w:t> </w:t>
      </w:r>
      <w:r>
        <w:rPr>
          <w:sz w:val="20"/>
        </w:rPr>
        <w:t>the</w:t>
      </w:r>
      <w:r>
        <w:rPr>
          <w:spacing w:val="-8"/>
          <w:sz w:val="20"/>
        </w:rPr>
        <w:t> </w:t>
      </w:r>
      <w:r>
        <w:rPr>
          <w:sz w:val="20"/>
        </w:rPr>
        <w:t>decision</w:t>
      </w:r>
      <w:r>
        <w:rPr>
          <w:spacing w:val="-9"/>
          <w:sz w:val="20"/>
        </w:rPr>
        <w:t> </w:t>
      </w:r>
      <w:r>
        <w:rPr>
          <w:sz w:val="20"/>
        </w:rPr>
        <w:t>to</w:t>
      </w:r>
      <w:r>
        <w:rPr>
          <w:spacing w:val="-9"/>
          <w:sz w:val="20"/>
        </w:rPr>
        <w:t> </w:t>
      </w:r>
      <w:r>
        <w:rPr>
          <w:spacing w:val="-3"/>
          <w:sz w:val="20"/>
        </w:rPr>
        <w:t>return</w:t>
      </w:r>
      <w:r>
        <w:rPr>
          <w:spacing w:val="-9"/>
          <w:sz w:val="20"/>
        </w:rPr>
        <w:t> </w:t>
      </w:r>
      <w:r>
        <w:rPr>
          <w:sz w:val="20"/>
        </w:rPr>
        <w:t>a</w:t>
      </w:r>
      <w:r>
        <w:rPr>
          <w:spacing w:val="-9"/>
          <w:sz w:val="20"/>
        </w:rPr>
        <w:t> </w:t>
      </w:r>
      <w:r>
        <w:rPr>
          <w:sz w:val="20"/>
        </w:rPr>
        <w:t>person</w:t>
      </w:r>
      <w:r>
        <w:rPr>
          <w:spacing w:val="-9"/>
          <w:sz w:val="20"/>
        </w:rPr>
        <w:t> </w:t>
      </w:r>
      <w:r>
        <w:rPr>
          <w:sz w:val="20"/>
        </w:rPr>
        <w:t>to</w:t>
      </w:r>
      <w:r>
        <w:rPr>
          <w:spacing w:val="-8"/>
          <w:sz w:val="20"/>
        </w:rPr>
        <w:t> </w:t>
      </w:r>
      <w:r>
        <w:rPr>
          <w:sz w:val="20"/>
        </w:rPr>
        <w:t>the</w:t>
      </w:r>
      <w:r>
        <w:rPr>
          <w:spacing w:val="-9"/>
          <w:sz w:val="20"/>
        </w:rPr>
        <w:t> </w:t>
      </w:r>
      <w:r>
        <w:rPr>
          <w:sz w:val="20"/>
        </w:rPr>
        <w:t>pool</w:t>
      </w:r>
      <w:r>
        <w:rPr>
          <w:spacing w:val="-9"/>
          <w:sz w:val="20"/>
        </w:rPr>
        <w:t> </w:t>
      </w:r>
      <w:r>
        <w:rPr>
          <w:sz w:val="20"/>
        </w:rPr>
        <w:t>should</w:t>
      </w:r>
      <w:r>
        <w:rPr>
          <w:spacing w:val="-9"/>
          <w:sz w:val="20"/>
        </w:rPr>
        <w:t> </w:t>
      </w:r>
      <w:r>
        <w:rPr>
          <w:sz w:val="20"/>
        </w:rPr>
        <w:t>be assessed on a case-by-case basis.</w:t>
      </w:r>
      <w:r>
        <w:rPr>
          <w:position w:val="7"/>
          <w:sz w:val="11"/>
        </w:rPr>
        <w:t>82 </w:t>
      </w:r>
      <w:r>
        <w:rPr>
          <w:sz w:val="20"/>
        </w:rPr>
        <w:t>Vision Australia</w:t>
      </w:r>
      <w:r>
        <w:rPr>
          <w:spacing w:val="-36"/>
          <w:sz w:val="20"/>
        </w:rPr>
        <w:t> </w:t>
      </w:r>
      <w:r>
        <w:rPr>
          <w:sz w:val="20"/>
        </w:rPr>
        <w:t>noted:</w:t>
      </w:r>
    </w:p>
    <w:p>
      <w:pPr>
        <w:spacing w:line="208" w:lineRule="auto" w:before="120"/>
        <w:ind w:left="2157" w:right="1335" w:firstLine="0"/>
        <w:jc w:val="left"/>
        <w:rPr>
          <w:sz w:val="11"/>
        </w:rPr>
      </w:pPr>
      <w:r>
        <w:rPr>
          <w:sz w:val="19"/>
        </w:rPr>
        <w:t>On balance, we believe that such a power is necessary: we can envisage a (small) number of situations in which a person who is blind or has low vision would be unable to discharge their duties as a juror, for example, because of inherently visual components of key evidence. However, such a power must be accompanied by a clear expectation that it is to be used sparingly, as a last resort after all other options have been explored.</w:t>
      </w:r>
      <w:r>
        <w:rPr>
          <w:position w:val="6"/>
          <w:sz w:val="11"/>
        </w:rPr>
        <w:t>83</w:t>
      </w:r>
    </w:p>
    <w:p>
      <w:pPr>
        <w:pStyle w:val="ListParagraph"/>
        <w:numPr>
          <w:ilvl w:val="1"/>
          <w:numId w:val="12"/>
        </w:numPr>
        <w:tabs>
          <w:tab w:pos="1761" w:val="left" w:leader="none"/>
          <w:tab w:pos="1762" w:val="left" w:leader="none"/>
        </w:tabs>
        <w:spacing w:line="206" w:lineRule="auto" w:before="126" w:after="0"/>
        <w:ind w:left="1761" w:right="1210" w:hanging="794"/>
        <w:jc w:val="left"/>
        <w:rPr>
          <w:sz w:val="11"/>
        </w:rPr>
      </w:pPr>
      <w:r>
        <w:rPr>
          <w:sz w:val="20"/>
        </w:rPr>
        <w:t>One survey respondent proposed that a juror should </w:t>
      </w:r>
      <w:r>
        <w:rPr>
          <w:spacing w:val="-3"/>
          <w:sz w:val="20"/>
        </w:rPr>
        <w:t>only </w:t>
      </w:r>
      <w:r>
        <w:rPr>
          <w:sz w:val="20"/>
        </w:rPr>
        <w:t>be </w:t>
      </w:r>
      <w:r>
        <w:rPr>
          <w:spacing w:val="-3"/>
          <w:sz w:val="20"/>
        </w:rPr>
        <w:t>returned </w:t>
      </w:r>
      <w:r>
        <w:rPr>
          <w:sz w:val="20"/>
        </w:rPr>
        <w:t>to the pool with their</w:t>
      </w:r>
      <w:r>
        <w:rPr>
          <w:spacing w:val="-10"/>
          <w:sz w:val="20"/>
        </w:rPr>
        <w:t> </w:t>
      </w:r>
      <w:r>
        <w:rPr>
          <w:sz w:val="20"/>
        </w:rPr>
        <w:t>agreement,</w:t>
      </w:r>
      <w:r>
        <w:rPr>
          <w:spacing w:val="-11"/>
          <w:sz w:val="20"/>
        </w:rPr>
        <w:t> </w:t>
      </w:r>
      <w:r>
        <w:rPr>
          <w:sz w:val="20"/>
        </w:rPr>
        <w:t>to</w:t>
      </w:r>
      <w:r>
        <w:rPr>
          <w:spacing w:val="-10"/>
          <w:sz w:val="20"/>
        </w:rPr>
        <w:t> </w:t>
      </w:r>
      <w:r>
        <w:rPr>
          <w:spacing w:val="-3"/>
          <w:sz w:val="20"/>
        </w:rPr>
        <w:t>avoid</w:t>
      </w:r>
      <w:r>
        <w:rPr>
          <w:spacing w:val="-10"/>
          <w:sz w:val="20"/>
        </w:rPr>
        <w:t> </w:t>
      </w:r>
      <w:r>
        <w:rPr>
          <w:sz w:val="20"/>
        </w:rPr>
        <w:t>a</w:t>
      </w:r>
      <w:r>
        <w:rPr>
          <w:spacing w:val="-10"/>
          <w:sz w:val="20"/>
        </w:rPr>
        <w:t> </w:t>
      </w:r>
      <w:r>
        <w:rPr>
          <w:sz w:val="20"/>
        </w:rPr>
        <w:t>situation</w:t>
      </w:r>
      <w:r>
        <w:rPr>
          <w:spacing w:val="-10"/>
          <w:sz w:val="20"/>
        </w:rPr>
        <w:t> </w:t>
      </w:r>
      <w:r>
        <w:rPr>
          <w:sz w:val="20"/>
        </w:rPr>
        <w:t>where</w:t>
      </w:r>
      <w:r>
        <w:rPr>
          <w:spacing w:val="-10"/>
          <w:sz w:val="20"/>
        </w:rPr>
        <w:t> </w:t>
      </w:r>
      <w:r>
        <w:rPr>
          <w:sz w:val="20"/>
        </w:rPr>
        <w:t>‘they</w:t>
      </w:r>
      <w:r>
        <w:rPr>
          <w:spacing w:val="-10"/>
          <w:sz w:val="20"/>
        </w:rPr>
        <w:t> </w:t>
      </w:r>
      <w:r>
        <w:rPr>
          <w:spacing w:val="-3"/>
          <w:sz w:val="20"/>
        </w:rPr>
        <w:t>are</w:t>
      </w:r>
      <w:r>
        <w:rPr>
          <w:spacing w:val="-10"/>
          <w:sz w:val="20"/>
        </w:rPr>
        <w:t> </w:t>
      </w:r>
      <w:r>
        <w:rPr>
          <w:spacing w:val="-3"/>
          <w:sz w:val="20"/>
        </w:rPr>
        <w:t>continually/indefinitely</w:t>
      </w:r>
      <w:r>
        <w:rPr>
          <w:spacing w:val="-10"/>
          <w:sz w:val="20"/>
        </w:rPr>
        <w:t> </w:t>
      </w:r>
      <w:r>
        <w:rPr>
          <w:sz w:val="20"/>
        </w:rPr>
        <w:t>put</w:t>
      </w:r>
      <w:r>
        <w:rPr>
          <w:spacing w:val="-10"/>
          <w:sz w:val="20"/>
        </w:rPr>
        <w:t> </w:t>
      </w:r>
      <w:r>
        <w:rPr>
          <w:sz w:val="20"/>
        </w:rPr>
        <w:t>in</w:t>
      </w:r>
      <w:r>
        <w:rPr>
          <w:spacing w:val="-10"/>
          <w:sz w:val="20"/>
        </w:rPr>
        <w:t> </w:t>
      </w:r>
      <w:r>
        <w:rPr>
          <w:sz w:val="20"/>
        </w:rPr>
        <w:t>a</w:t>
      </w:r>
      <w:r>
        <w:rPr>
          <w:spacing w:val="-10"/>
          <w:sz w:val="20"/>
        </w:rPr>
        <w:t> </w:t>
      </w:r>
      <w:r>
        <w:rPr>
          <w:sz w:val="20"/>
        </w:rPr>
        <w:t>jury pool and </w:t>
      </w:r>
      <w:r>
        <w:rPr>
          <w:spacing w:val="-3"/>
          <w:sz w:val="20"/>
        </w:rPr>
        <w:t>never </w:t>
      </w:r>
      <w:r>
        <w:rPr>
          <w:sz w:val="20"/>
        </w:rPr>
        <w:t>get to</w:t>
      </w:r>
      <w:r>
        <w:rPr>
          <w:spacing w:val="-19"/>
          <w:sz w:val="20"/>
        </w:rPr>
        <w:t> </w:t>
      </w:r>
      <w:r>
        <w:rPr>
          <w:sz w:val="20"/>
        </w:rPr>
        <w:t>serve’.</w:t>
      </w:r>
      <w:r>
        <w:rPr>
          <w:position w:val="7"/>
          <w:sz w:val="11"/>
        </w:rPr>
        <w:t>84</w:t>
      </w:r>
    </w:p>
    <w:p>
      <w:pPr>
        <w:pStyle w:val="ListParagraph"/>
        <w:numPr>
          <w:ilvl w:val="1"/>
          <w:numId w:val="12"/>
        </w:numPr>
        <w:tabs>
          <w:tab w:pos="1761" w:val="left" w:leader="none"/>
          <w:tab w:pos="1762" w:val="left" w:leader="none"/>
        </w:tabs>
        <w:spacing w:line="206" w:lineRule="auto" w:before="124" w:after="0"/>
        <w:ind w:left="1761" w:right="1353" w:hanging="794"/>
        <w:jc w:val="left"/>
        <w:rPr>
          <w:sz w:val="20"/>
        </w:rPr>
      </w:pPr>
      <w:r>
        <w:rPr>
          <w:sz w:val="20"/>
        </w:rPr>
        <w:t>Under</w:t>
      </w:r>
      <w:r>
        <w:rPr>
          <w:spacing w:val="-12"/>
          <w:sz w:val="20"/>
        </w:rPr>
        <w:t> </w:t>
      </w:r>
      <w:r>
        <w:rPr>
          <w:sz w:val="20"/>
        </w:rPr>
        <w:t>the</w:t>
      </w:r>
      <w:r>
        <w:rPr>
          <w:spacing w:val="-12"/>
          <w:sz w:val="20"/>
        </w:rPr>
        <w:t> </w:t>
      </w:r>
      <w:r>
        <w:rPr>
          <w:sz w:val="20"/>
        </w:rPr>
        <w:t>proposed</w:t>
      </w:r>
      <w:r>
        <w:rPr>
          <w:spacing w:val="-12"/>
          <w:sz w:val="20"/>
        </w:rPr>
        <w:t> </w:t>
      </w:r>
      <w:r>
        <w:rPr>
          <w:sz w:val="20"/>
        </w:rPr>
        <w:t>reforms,</w:t>
      </w:r>
      <w:r>
        <w:rPr>
          <w:spacing w:val="-12"/>
          <w:sz w:val="20"/>
        </w:rPr>
        <w:t> </w:t>
      </w:r>
      <w:r>
        <w:rPr>
          <w:sz w:val="20"/>
        </w:rPr>
        <w:t>the</w:t>
      </w:r>
      <w:r>
        <w:rPr>
          <w:spacing w:val="-12"/>
          <w:sz w:val="20"/>
        </w:rPr>
        <w:t> </w:t>
      </w:r>
      <w:r>
        <w:rPr>
          <w:sz w:val="20"/>
        </w:rPr>
        <w:t>prospective</w:t>
      </w:r>
      <w:r>
        <w:rPr>
          <w:spacing w:val="-12"/>
          <w:sz w:val="20"/>
        </w:rPr>
        <w:t> </w:t>
      </w:r>
      <w:r>
        <w:rPr>
          <w:sz w:val="20"/>
        </w:rPr>
        <w:t>juror</w:t>
      </w:r>
      <w:r>
        <w:rPr>
          <w:spacing w:val="-12"/>
          <w:sz w:val="20"/>
        </w:rPr>
        <w:t> </w:t>
      </w:r>
      <w:r>
        <w:rPr>
          <w:sz w:val="20"/>
        </w:rPr>
        <w:t>will</w:t>
      </w:r>
      <w:r>
        <w:rPr>
          <w:spacing w:val="-12"/>
          <w:sz w:val="20"/>
        </w:rPr>
        <w:t> </w:t>
      </w:r>
      <w:r>
        <w:rPr>
          <w:sz w:val="20"/>
        </w:rPr>
        <w:t>be</w:t>
      </w:r>
      <w:r>
        <w:rPr>
          <w:spacing w:val="-12"/>
          <w:sz w:val="20"/>
        </w:rPr>
        <w:t> </w:t>
      </w:r>
      <w:r>
        <w:rPr>
          <w:sz w:val="20"/>
        </w:rPr>
        <w:t>able</w:t>
      </w:r>
      <w:r>
        <w:rPr>
          <w:spacing w:val="-12"/>
          <w:sz w:val="20"/>
        </w:rPr>
        <w:t> </w:t>
      </w:r>
      <w:r>
        <w:rPr>
          <w:sz w:val="20"/>
        </w:rPr>
        <w:t>to</w:t>
      </w:r>
      <w:r>
        <w:rPr>
          <w:spacing w:val="-12"/>
          <w:sz w:val="20"/>
        </w:rPr>
        <w:t> </w:t>
      </w:r>
      <w:r>
        <w:rPr>
          <w:spacing w:val="-3"/>
          <w:sz w:val="20"/>
        </w:rPr>
        <w:t>express</w:t>
      </w:r>
      <w:r>
        <w:rPr>
          <w:spacing w:val="-12"/>
          <w:sz w:val="20"/>
        </w:rPr>
        <w:t> </w:t>
      </w:r>
      <w:r>
        <w:rPr>
          <w:sz w:val="20"/>
        </w:rPr>
        <w:t>their</w:t>
      </w:r>
      <w:r>
        <w:rPr>
          <w:spacing w:val="-12"/>
          <w:sz w:val="20"/>
        </w:rPr>
        <w:t> </w:t>
      </w:r>
      <w:r>
        <w:rPr>
          <w:sz w:val="20"/>
        </w:rPr>
        <w:t>wishes to Juries Victoria and the court. If the person does not wish to be </w:t>
      </w:r>
      <w:r>
        <w:rPr>
          <w:spacing w:val="-3"/>
          <w:sz w:val="20"/>
        </w:rPr>
        <w:t>returned </w:t>
      </w:r>
      <w:r>
        <w:rPr>
          <w:sz w:val="20"/>
        </w:rPr>
        <w:t>to the jury pool,</w:t>
      </w:r>
      <w:r>
        <w:rPr>
          <w:spacing w:val="-9"/>
          <w:sz w:val="20"/>
        </w:rPr>
        <w:t> </w:t>
      </w:r>
      <w:r>
        <w:rPr>
          <w:sz w:val="20"/>
        </w:rPr>
        <w:t>then</w:t>
      </w:r>
      <w:r>
        <w:rPr>
          <w:spacing w:val="-8"/>
          <w:sz w:val="20"/>
        </w:rPr>
        <w:t> </w:t>
      </w:r>
      <w:r>
        <w:rPr>
          <w:sz w:val="20"/>
        </w:rPr>
        <w:t>the</w:t>
      </w:r>
      <w:r>
        <w:rPr>
          <w:spacing w:val="-8"/>
          <w:sz w:val="20"/>
        </w:rPr>
        <w:t> </w:t>
      </w:r>
      <w:r>
        <w:rPr>
          <w:sz w:val="20"/>
        </w:rPr>
        <w:t>judge</w:t>
      </w:r>
      <w:r>
        <w:rPr>
          <w:spacing w:val="-8"/>
          <w:sz w:val="20"/>
        </w:rPr>
        <w:t> </w:t>
      </w:r>
      <w:r>
        <w:rPr>
          <w:spacing w:val="-3"/>
          <w:sz w:val="20"/>
        </w:rPr>
        <w:t>would</w:t>
      </w:r>
      <w:r>
        <w:rPr>
          <w:spacing w:val="-8"/>
          <w:sz w:val="20"/>
        </w:rPr>
        <w:t> </w:t>
      </w:r>
      <w:r>
        <w:rPr>
          <w:sz w:val="20"/>
        </w:rPr>
        <w:t>be</w:t>
      </w:r>
      <w:r>
        <w:rPr>
          <w:spacing w:val="-9"/>
          <w:sz w:val="20"/>
        </w:rPr>
        <w:t> </w:t>
      </w:r>
      <w:r>
        <w:rPr>
          <w:sz w:val="20"/>
        </w:rPr>
        <w:t>able</w:t>
      </w:r>
      <w:r>
        <w:rPr>
          <w:spacing w:val="-8"/>
          <w:sz w:val="20"/>
        </w:rPr>
        <w:t> </w:t>
      </w:r>
      <w:r>
        <w:rPr>
          <w:sz w:val="20"/>
        </w:rPr>
        <w:t>to</w:t>
      </w:r>
      <w:r>
        <w:rPr>
          <w:spacing w:val="-8"/>
          <w:sz w:val="20"/>
        </w:rPr>
        <w:t> </w:t>
      </w:r>
      <w:r>
        <w:rPr>
          <w:sz w:val="20"/>
        </w:rPr>
        <w:t>consider</w:t>
      </w:r>
      <w:r>
        <w:rPr>
          <w:spacing w:val="-8"/>
          <w:sz w:val="20"/>
        </w:rPr>
        <w:t> </w:t>
      </w:r>
      <w:r>
        <w:rPr>
          <w:spacing w:val="-3"/>
          <w:sz w:val="20"/>
        </w:rPr>
        <w:t>excusing</w:t>
      </w:r>
      <w:r>
        <w:rPr>
          <w:spacing w:val="-8"/>
          <w:sz w:val="20"/>
        </w:rPr>
        <w:t> </w:t>
      </w:r>
      <w:r>
        <w:rPr>
          <w:sz w:val="20"/>
        </w:rPr>
        <w:t>them</w:t>
      </w:r>
      <w:r>
        <w:rPr>
          <w:spacing w:val="-8"/>
          <w:sz w:val="20"/>
        </w:rPr>
        <w:t> </w:t>
      </w:r>
      <w:r>
        <w:rPr>
          <w:spacing w:val="-3"/>
          <w:sz w:val="20"/>
        </w:rPr>
        <w:t>from</w:t>
      </w:r>
      <w:r>
        <w:rPr>
          <w:spacing w:val="-9"/>
          <w:sz w:val="20"/>
        </w:rPr>
        <w:t> </w:t>
      </w:r>
      <w:r>
        <w:rPr>
          <w:sz w:val="20"/>
        </w:rPr>
        <w:t>their</w:t>
      </w:r>
      <w:r>
        <w:rPr>
          <w:spacing w:val="-8"/>
          <w:sz w:val="20"/>
        </w:rPr>
        <w:t> </w:t>
      </w:r>
      <w:r>
        <w:rPr>
          <w:sz w:val="20"/>
        </w:rPr>
        <w:t>summons</w:t>
      </w:r>
      <w:r>
        <w:rPr>
          <w:spacing w:val="-8"/>
          <w:sz w:val="20"/>
        </w:rPr>
        <w:t> </w:t>
      </w:r>
      <w:r>
        <w:rPr>
          <w:sz w:val="20"/>
        </w:rPr>
        <w:t>or </w:t>
      </w:r>
      <w:r>
        <w:rPr>
          <w:spacing w:val="-3"/>
          <w:sz w:val="20"/>
        </w:rPr>
        <w:t>exercising powers </w:t>
      </w:r>
      <w:r>
        <w:rPr>
          <w:sz w:val="20"/>
        </w:rPr>
        <w:t>under section</w:t>
      </w:r>
      <w:r>
        <w:rPr>
          <w:spacing w:val="-11"/>
          <w:sz w:val="20"/>
        </w:rPr>
        <w:t> </w:t>
      </w:r>
      <w:r>
        <w:rPr>
          <w:sz w:val="20"/>
        </w:rPr>
        <w:t>12.</w:t>
      </w:r>
    </w:p>
    <w:p>
      <w:pPr>
        <w:pStyle w:val="ListParagraph"/>
        <w:numPr>
          <w:ilvl w:val="1"/>
          <w:numId w:val="12"/>
        </w:numPr>
        <w:tabs>
          <w:tab w:pos="1761" w:val="left" w:leader="none"/>
          <w:tab w:pos="1762" w:val="left" w:leader="none"/>
        </w:tabs>
        <w:spacing w:line="206" w:lineRule="auto" w:before="125" w:after="0"/>
        <w:ind w:left="1761" w:right="1292" w:hanging="794"/>
        <w:jc w:val="left"/>
        <w:rPr>
          <w:sz w:val="11"/>
        </w:rPr>
      </w:pPr>
      <w:r>
        <w:rPr>
          <w:spacing w:val="-9"/>
          <w:sz w:val="20"/>
        </w:rPr>
        <w:t>Two </w:t>
      </w:r>
      <w:r>
        <w:rPr>
          <w:sz w:val="20"/>
        </w:rPr>
        <w:t>survey responses did not support </w:t>
      </w:r>
      <w:r>
        <w:rPr>
          <w:spacing w:val="-3"/>
          <w:sz w:val="20"/>
        </w:rPr>
        <w:t>returning </w:t>
      </w:r>
      <w:r>
        <w:rPr>
          <w:sz w:val="20"/>
        </w:rPr>
        <w:t>a prospective juror </w:t>
      </w:r>
      <w:r>
        <w:rPr>
          <w:spacing w:val="-3"/>
          <w:sz w:val="20"/>
        </w:rPr>
        <w:t>from </w:t>
      </w:r>
      <w:r>
        <w:rPr>
          <w:sz w:val="20"/>
        </w:rPr>
        <w:t>the subject groups to the pool because they thought it could lead to ‘ jury shopping’.</w:t>
      </w:r>
      <w:r>
        <w:rPr>
          <w:position w:val="7"/>
          <w:sz w:val="11"/>
        </w:rPr>
        <w:t>85 </w:t>
      </w:r>
      <w:r>
        <w:rPr>
          <w:sz w:val="20"/>
        </w:rPr>
        <w:t>The Commission</w:t>
      </w:r>
      <w:r>
        <w:rPr>
          <w:spacing w:val="-11"/>
          <w:sz w:val="20"/>
        </w:rPr>
        <w:t> </w:t>
      </w:r>
      <w:r>
        <w:rPr>
          <w:sz w:val="20"/>
        </w:rPr>
        <w:t>notes</w:t>
      </w:r>
      <w:r>
        <w:rPr>
          <w:spacing w:val="-11"/>
          <w:sz w:val="20"/>
        </w:rPr>
        <w:t> </w:t>
      </w:r>
      <w:r>
        <w:rPr>
          <w:sz w:val="20"/>
        </w:rPr>
        <w:t>that</w:t>
      </w:r>
      <w:r>
        <w:rPr>
          <w:spacing w:val="-10"/>
          <w:sz w:val="20"/>
        </w:rPr>
        <w:t> </w:t>
      </w:r>
      <w:r>
        <w:rPr>
          <w:sz w:val="20"/>
        </w:rPr>
        <w:t>the</w:t>
      </w:r>
      <w:r>
        <w:rPr>
          <w:spacing w:val="-11"/>
          <w:sz w:val="20"/>
        </w:rPr>
        <w:t> </w:t>
      </w:r>
      <w:r>
        <w:rPr>
          <w:sz w:val="20"/>
        </w:rPr>
        <w:t>random</w:t>
      </w:r>
      <w:r>
        <w:rPr>
          <w:spacing w:val="-10"/>
          <w:sz w:val="20"/>
        </w:rPr>
        <w:t> </w:t>
      </w:r>
      <w:r>
        <w:rPr>
          <w:spacing w:val="-3"/>
          <w:sz w:val="20"/>
        </w:rPr>
        <w:t>nature</w:t>
      </w:r>
      <w:r>
        <w:rPr>
          <w:spacing w:val="-11"/>
          <w:sz w:val="20"/>
        </w:rPr>
        <w:t> </w:t>
      </w:r>
      <w:r>
        <w:rPr>
          <w:sz w:val="20"/>
        </w:rPr>
        <w:t>of</w:t>
      </w:r>
      <w:r>
        <w:rPr>
          <w:spacing w:val="-11"/>
          <w:sz w:val="20"/>
        </w:rPr>
        <w:t> </w:t>
      </w:r>
      <w:r>
        <w:rPr>
          <w:sz w:val="20"/>
        </w:rPr>
        <w:t>jury</w:t>
      </w:r>
      <w:r>
        <w:rPr>
          <w:spacing w:val="-10"/>
          <w:sz w:val="20"/>
        </w:rPr>
        <w:t> </w:t>
      </w:r>
      <w:r>
        <w:rPr>
          <w:sz w:val="20"/>
        </w:rPr>
        <w:t>selection</w:t>
      </w:r>
      <w:r>
        <w:rPr>
          <w:spacing w:val="-11"/>
          <w:sz w:val="20"/>
        </w:rPr>
        <w:t> </w:t>
      </w:r>
      <w:r>
        <w:rPr>
          <w:sz w:val="20"/>
        </w:rPr>
        <w:t>and</w:t>
      </w:r>
      <w:r>
        <w:rPr>
          <w:spacing w:val="-10"/>
          <w:sz w:val="20"/>
        </w:rPr>
        <w:t> </w:t>
      </w:r>
      <w:r>
        <w:rPr>
          <w:sz w:val="20"/>
        </w:rPr>
        <w:t>the</w:t>
      </w:r>
      <w:r>
        <w:rPr>
          <w:spacing w:val="-11"/>
          <w:sz w:val="20"/>
        </w:rPr>
        <w:t> </w:t>
      </w:r>
      <w:r>
        <w:rPr>
          <w:sz w:val="20"/>
        </w:rPr>
        <w:t>judicial</w:t>
      </w:r>
      <w:r>
        <w:rPr>
          <w:spacing w:val="-10"/>
          <w:sz w:val="20"/>
        </w:rPr>
        <w:t> </w:t>
      </w:r>
      <w:r>
        <w:rPr>
          <w:sz w:val="20"/>
        </w:rPr>
        <w:t>supervision of the process should </w:t>
      </w:r>
      <w:r>
        <w:rPr>
          <w:spacing w:val="-4"/>
          <w:sz w:val="20"/>
        </w:rPr>
        <w:t>prevent </w:t>
      </w:r>
      <w:r>
        <w:rPr>
          <w:sz w:val="20"/>
        </w:rPr>
        <w:t>this </w:t>
      </w:r>
      <w:r>
        <w:rPr>
          <w:spacing w:val="-3"/>
          <w:sz w:val="20"/>
        </w:rPr>
        <w:t>from</w:t>
      </w:r>
      <w:r>
        <w:rPr>
          <w:spacing w:val="-27"/>
          <w:sz w:val="20"/>
        </w:rPr>
        <w:t> </w:t>
      </w:r>
      <w:r>
        <w:rPr>
          <w:sz w:val="20"/>
        </w:rPr>
        <w:t>occurring.</w:t>
      </w:r>
      <w:r>
        <w:rPr>
          <w:position w:val="7"/>
          <w:sz w:val="11"/>
        </w:rPr>
        <w:t>86</w:t>
      </w:r>
    </w:p>
    <w:p>
      <w:pPr>
        <w:pStyle w:val="BodyText"/>
      </w:pPr>
    </w:p>
    <w:p>
      <w:pPr>
        <w:pStyle w:val="BodyText"/>
      </w:pPr>
    </w:p>
    <w:p>
      <w:pPr>
        <w:pStyle w:val="BodyText"/>
      </w:pPr>
    </w:p>
    <w:p>
      <w:pPr>
        <w:pStyle w:val="BodyText"/>
        <w:spacing w:before="10"/>
        <w:rPr>
          <w:sz w:val="13"/>
        </w:rPr>
      </w:pPr>
      <w:r>
        <w:rPr/>
        <w:pict>
          <v:line style="position:absolute;mso-position-horizontal-relative:page;mso-position-vertical-relative:paragraph;z-index:7064;mso-wrap-distance-left:0;mso-wrap-distance-right:0" from="79.370102pt,11.9925pt" to="515.905102pt,11.9925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82"/>
        </w:numPr>
        <w:tabs>
          <w:tab w:pos="1760" w:val="left" w:leader="none"/>
          <w:tab w:pos="1762" w:val="left" w:leader="none"/>
        </w:tabs>
        <w:spacing w:line="213" w:lineRule="auto" w:before="38" w:after="0"/>
        <w:ind w:left="1761" w:right="109" w:hanging="794"/>
        <w:jc w:val="left"/>
        <w:rPr>
          <w:sz w:val="13"/>
        </w:rPr>
      </w:pPr>
      <w:r>
        <w:rPr>
          <w:spacing w:val="2"/>
          <w:sz w:val="13"/>
        </w:rPr>
        <w:t>Submissions </w:t>
      </w:r>
      <w:r>
        <w:rPr>
          <w:sz w:val="13"/>
        </w:rPr>
        <w:t>4 (Baer Arnold &amp; Bonython), 7 (Law Institute of Victoria), 10 </w:t>
      </w:r>
      <w:r>
        <w:rPr>
          <w:spacing w:val="2"/>
          <w:sz w:val="13"/>
        </w:rPr>
        <w:t>(Vision </w:t>
      </w:r>
      <w:r>
        <w:rPr>
          <w:sz w:val="13"/>
        </w:rPr>
        <w:t>Australia); Consultations 16 (Office of </w:t>
      </w:r>
      <w:r>
        <w:rPr>
          <w:spacing w:val="2"/>
          <w:sz w:val="13"/>
        </w:rPr>
        <w:t>Public </w:t>
      </w:r>
      <w:r>
        <w:rPr>
          <w:sz w:val="13"/>
        </w:rPr>
        <w:t>Prosecutions Victoria), 18 </w:t>
      </w:r>
      <w:r>
        <w:rPr>
          <w:spacing w:val="2"/>
          <w:sz w:val="13"/>
        </w:rPr>
        <w:t>(Australian </w:t>
      </w:r>
      <w:r>
        <w:rPr>
          <w:sz w:val="13"/>
        </w:rPr>
        <w:t>Sign </w:t>
      </w:r>
      <w:r>
        <w:rPr>
          <w:spacing w:val="2"/>
          <w:sz w:val="13"/>
        </w:rPr>
        <w:t>Language </w:t>
      </w:r>
      <w:r>
        <w:rPr>
          <w:sz w:val="13"/>
        </w:rPr>
        <w:t>Interpreters’ </w:t>
      </w:r>
      <w:r>
        <w:rPr>
          <w:spacing w:val="2"/>
          <w:sz w:val="13"/>
        </w:rPr>
        <w:t>Association, </w:t>
      </w:r>
      <w:r>
        <w:rPr>
          <w:sz w:val="13"/>
        </w:rPr>
        <w:t>Victoria and Tasmania </w:t>
      </w:r>
      <w:r>
        <w:rPr>
          <w:spacing w:val="2"/>
          <w:sz w:val="13"/>
        </w:rPr>
        <w:t>(ASLIA)), </w:t>
      </w:r>
      <w:r>
        <w:rPr>
          <w:sz w:val="13"/>
        </w:rPr>
        <w:t>19 </w:t>
      </w:r>
      <w:r>
        <w:rPr>
          <w:spacing w:val="2"/>
          <w:sz w:val="13"/>
        </w:rPr>
        <w:t>(Australian </w:t>
      </w:r>
      <w:r>
        <w:rPr>
          <w:sz w:val="13"/>
        </w:rPr>
        <w:t>Institute of Interpreters and Translators (AUSIT)), 21 </w:t>
      </w:r>
      <w:r>
        <w:rPr>
          <w:spacing w:val="2"/>
          <w:sz w:val="13"/>
        </w:rPr>
        <w:t>(Della </w:t>
      </w:r>
      <w:r>
        <w:rPr>
          <w:sz w:val="13"/>
        </w:rPr>
        <w:t>Goswell, Lecturer, Convenor </w:t>
      </w:r>
      <w:r>
        <w:rPr>
          <w:spacing w:val="2"/>
          <w:sz w:val="13"/>
        </w:rPr>
        <w:t>Auslan-English </w:t>
      </w:r>
      <w:r>
        <w:rPr>
          <w:sz w:val="13"/>
        </w:rPr>
        <w:t>Interpreting Program, Macquarie University, NSW). We </w:t>
      </w:r>
      <w:r>
        <w:rPr>
          <w:spacing w:val="2"/>
          <w:sz w:val="13"/>
        </w:rPr>
        <w:t>also </w:t>
      </w:r>
      <w:r>
        <w:rPr>
          <w:sz w:val="13"/>
        </w:rPr>
        <w:t>note that 78% of survey responses received by the </w:t>
      </w:r>
      <w:r>
        <w:rPr>
          <w:spacing w:val="2"/>
          <w:sz w:val="13"/>
        </w:rPr>
        <w:t>Commission supported </w:t>
      </w:r>
      <w:r>
        <w:rPr>
          <w:sz w:val="13"/>
        </w:rPr>
        <w:t>the return of a person to the </w:t>
      </w:r>
      <w:r>
        <w:rPr>
          <w:spacing w:val="2"/>
          <w:sz w:val="13"/>
        </w:rPr>
        <w:t>jury </w:t>
      </w:r>
      <w:r>
        <w:rPr>
          <w:sz w:val="13"/>
        </w:rPr>
        <w:t>pool if they are unable to serve on a </w:t>
      </w:r>
      <w:r>
        <w:rPr>
          <w:spacing w:val="2"/>
          <w:sz w:val="13"/>
        </w:rPr>
        <w:t>particular</w:t>
      </w:r>
      <w:r>
        <w:rPr>
          <w:spacing w:val="3"/>
          <w:sz w:val="13"/>
        </w:rPr>
        <w:t> </w:t>
      </w:r>
      <w:r>
        <w:rPr>
          <w:spacing w:val="2"/>
          <w:sz w:val="13"/>
        </w:rPr>
        <w:t>trial.</w:t>
      </w:r>
    </w:p>
    <w:p>
      <w:pPr>
        <w:pStyle w:val="ListParagraph"/>
        <w:numPr>
          <w:ilvl w:val="0"/>
          <w:numId w:val="82"/>
        </w:numPr>
        <w:tabs>
          <w:tab w:pos="1760" w:val="left" w:leader="none"/>
          <w:tab w:pos="1762" w:val="left" w:leader="none"/>
        </w:tabs>
        <w:spacing w:line="151" w:lineRule="exact" w:before="0" w:after="0"/>
        <w:ind w:left="1761" w:right="0" w:hanging="794"/>
        <w:jc w:val="left"/>
        <w:rPr>
          <w:sz w:val="13"/>
        </w:rPr>
      </w:pPr>
      <w:r>
        <w:rPr>
          <w:sz w:val="13"/>
        </w:rPr>
        <w:t>Consultation 10 </w:t>
      </w:r>
      <w:r>
        <w:rPr>
          <w:spacing w:val="2"/>
          <w:sz w:val="13"/>
        </w:rPr>
        <w:t>(Juries </w:t>
      </w:r>
      <w:r>
        <w:rPr>
          <w:sz w:val="13"/>
        </w:rPr>
        <w:t>Victoria); </w:t>
      </w:r>
      <w:r>
        <w:rPr>
          <w:i/>
          <w:sz w:val="13"/>
        </w:rPr>
        <w:t>Juries Act 2000 </w:t>
      </w:r>
      <w:r>
        <w:rPr>
          <w:spacing w:val="2"/>
          <w:sz w:val="13"/>
        </w:rPr>
        <w:t>(Vic) </w:t>
      </w:r>
      <w:r>
        <w:rPr>
          <w:sz w:val="13"/>
        </w:rPr>
        <w:t>s</w:t>
      </w:r>
      <w:r>
        <w:rPr>
          <w:spacing w:val="1"/>
          <w:sz w:val="13"/>
        </w:rPr>
        <w:t> </w:t>
      </w:r>
      <w:r>
        <w:rPr>
          <w:sz w:val="13"/>
        </w:rPr>
        <w:t>29(4B).</w:t>
      </w:r>
    </w:p>
    <w:p>
      <w:pPr>
        <w:pStyle w:val="ListParagraph"/>
        <w:numPr>
          <w:ilvl w:val="0"/>
          <w:numId w:val="82"/>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pStyle w:val="ListParagraph"/>
        <w:numPr>
          <w:ilvl w:val="0"/>
          <w:numId w:val="82"/>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82"/>
        </w:numPr>
        <w:tabs>
          <w:tab w:pos="1761" w:val="left" w:leader="none"/>
          <w:tab w:pos="1762" w:val="left" w:leader="none"/>
        </w:tabs>
        <w:spacing w:line="160" w:lineRule="exact" w:before="0" w:after="0"/>
        <w:ind w:left="1761" w:right="0" w:hanging="794"/>
        <w:jc w:val="left"/>
        <w:rPr>
          <w:sz w:val="13"/>
        </w:rPr>
      </w:pPr>
      <w:r>
        <w:rPr>
          <w:spacing w:val="2"/>
          <w:sz w:val="13"/>
        </w:rPr>
        <w:t>Online </w:t>
      </w:r>
      <w:r>
        <w:rPr>
          <w:sz w:val="13"/>
        </w:rPr>
        <w:t>Survey (Response</w:t>
      </w:r>
      <w:r>
        <w:rPr>
          <w:spacing w:val="-2"/>
          <w:sz w:val="13"/>
        </w:rPr>
        <w:t> </w:t>
      </w:r>
      <w:r>
        <w:rPr>
          <w:sz w:val="13"/>
        </w:rPr>
        <w:t>20).</w:t>
      </w:r>
    </w:p>
    <w:p>
      <w:pPr>
        <w:pStyle w:val="ListParagraph"/>
        <w:numPr>
          <w:ilvl w:val="0"/>
          <w:numId w:val="82"/>
        </w:numPr>
        <w:tabs>
          <w:tab w:pos="1760" w:val="left" w:leader="none"/>
          <w:tab w:pos="1762" w:val="left" w:leader="none"/>
        </w:tabs>
        <w:spacing w:line="213" w:lineRule="auto" w:before="6" w:after="0"/>
        <w:ind w:left="1761" w:right="0" w:hanging="794"/>
        <w:jc w:val="left"/>
        <w:rPr>
          <w:sz w:val="13"/>
        </w:rPr>
      </w:pPr>
      <w:r>
        <w:rPr>
          <w:spacing w:val="2"/>
          <w:sz w:val="13"/>
        </w:rPr>
        <w:t>Jury shopping </w:t>
      </w:r>
      <w:r>
        <w:rPr>
          <w:sz w:val="13"/>
        </w:rPr>
        <w:t>is the practice of intentionally selecting a favourable jury. It is perhaps more relevant to the United States, where a voir dire </w:t>
      </w:r>
      <w:r>
        <w:rPr>
          <w:spacing w:val="2"/>
          <w:sz w:val="13"/>
        </w:rPr>
        <w:t>questioning </w:t>
      </w:r>
      <w:r>
        <w:rPr>
          <w:sz w:val="13"/>
        </w:rPr>
        <w:t>process </w:t>
      </w:r>
      <w:r>
        <w:rPr>
          <w:spacing w:val="2"/>
          <w:sz w:val="13"/>
        </w:rPr>
        <w:t>happens </w:t>
      </w:r>
      <w:r>
        <w:rPr>
          <w:sz w:val="13"/>
        </w:rPr>
        <w:t>for potential jurors. We discuss this in Chapter</w:t>
      </w:r>
      <w:r>
        <w:rPr>
          <w:spacing w:val="6"/>
          <w:sz w:val="13"/>
        </w:rPr>
        <w:t> </w:t>
      </w:r>
      <w:r>
        <w:rPr>
          <w:sz w:val="13"/>
        </w:rPr>
        <w:t>10.</w:t>
      </w:r>
    </w:p>
    <w:p>
      <w:pPr>
        <w:pStyle w:val="ListParagraph"/>
        <w:numPr>
          <w:ilvl w:val="0"/>
          <w:numId w:val="82"/>
        </w:numPr>
        <w:tabs>
          <w:tab w:pos="1760" w:val="left" w:leader="none"/>
          <w:tab w:pos="1762" w:val="left" w:leader="none"/>
        </w:tabs>
        <w:spacing w:line="163" w:lineRule="exact" w:before="0" w:after="0"/>
        <w:ind w:left="1761" w:right="0" w:hanging="794"/>
        <w:jc w:val="left"/>
        <w:rPr>
          <w:sz w:val="13"/>
        </w:rPr>
      </w:pPr>
      <w:r>
        <w:rPr>
          <w:spacing w:val="2"/>
          <w:sz w:val="13"/>
        </w:rPr>
        <w:t>Online </w:t>
      </w:r>
      <w:r>
        <w:rPr>
          <w:sz w:val="13"/>
        </w:rPr>
        <w:t>Survey (Response 2); </w:t>
      </w:r>
      <w:r>
        <w:rPr>
          <w:spacing w:val="2"/>
          <w:sz w:val="13"/>
        </w:rPr>
        <w:t>Online </w:t>
      </w:r>
      <w:r>
        <w:rPr>
          <w:sz w:val="13"/>
        </w:rPr>
        <w:t>Survey (Response</w:t>
      </w:r>
      <w:r>
        <w:rPr>
          <w:spacing w:val="-1"/>
          <w:sz w:val="13"/>
        </w:rPr>
        <w:t> </w:t>
      </w:r>
      <w:r>
        <w:rPr>
          <w:sz w:val="13"/>
        </w:rPr>
        <w:t>26).</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2"/>
        <w:rPr>
          <w:sz w:val="35"/>
        </w:rPr>
      </w:pPr>
    </w:p>
    <w:p>
      <w:pPr>
        <w:spacing w:before="1"/>
        <w:ind w:left="601" w:right="0" w:firstLine="0"/>
        <w:jc w:val="left"/>
        <w:rPr>
          <w:b/>
          <w:sz w:val="24"/>
        </w:rPr>
      </w:pPr>
      <w:r>
        <w:rPr>
          <w:b/>
          <w:color w:val="37617A"/>
          <w:sz w:val="24"/>
        </w:rPr>
        <w:t>119</w:t>
      </w:r>
    </w:p>
    <w:p>
      <w:pPr>
        <w:spacing w:after="0"/>
        <w:jc w:val="left"/>
        <w:rPr>
          <w:sz w:val="24"/>
        </w:rPr>
        <w:sectPr>
          <w:type w:val="continuous"/>
          <w:pgSz w:w="11910" w:h="16840"/>
          <w:pgMar w:top="620" w:bottom="280" w:left="620" w:right="380"/>
          <w:cols w:num="2" w:equalWidth="0">
            <w:col w:w="9664" w:space="40"/>
            <w:col w:w="1206"/>
          </w:cols>
        </w:sectPr>
      </w:pPr>
    </w:p>
    <w:p>
      <w:pPr>
        <w:pStyle w:val="BodyText"/>
        <w:rPr>
          <w:b/>
        </w:rPr>
      </w:pPr>
    </w:p>
    <w:p>
      <w:pPr>
        <w:pStyle w:val="BodyText"/>
        <w:rPr>
          <w:b/>
        </w:rPr>
      </w:pPr>
    </w:p>
    <w:p>
      <w:pPr>
        <w:pStyle w:val="BodyText"/>
        <w:rPr>
          <w:b/>
        </w:rPr>
      </w:pPr>
    </w:p>
    <w:p>
      <w:pPr>
        <w:pStyle w:val="BodyText"/>
        <w:spacing w:before="5"/>
        <w:rPr>
          <w:b/>
          <w:sz w:val="29"/>
        </w:rPr>
      </w:pPr>
    </w:p>
    <w:p>
      <w:pPr>
        <w:spacing w:before="32"/>
        <w:ind w:left="1194" w:right="0" w:firstLine="0"/>
        <w:jc w:val="left"/>
        <w:rPr>
          <w:rFonts w:ascii="Raleway ExtraBold"/>
          <w:b/>
          <w:sz w:val="32"/>
        </w:rPr>
      </w:pPr>
      <w:r>
        <w:rPr/>
        <w:pict>
          <v:group style="position:absolute;margin-left:62.362202pt;margin-top:-6.314584pt;width:479.1pt;height:578.7pt;mso-position-horizontal-relative:page;mso-position-vertical-relative:paragraph;z-index:-351160" coordorigin="1247,-126" coordsize="9582,11574">
            <v:rect style="position:absolute;left:1587;top:-127;width:8731;height:11574" filled="true" fillcolor="#dddfe4" stroked="false">
              <v:fill type="solid"/>
            </v:rect>
            <v:line style="position:absolute" from="1247,681" to="10828,681" stroked="true" strokeweight="2.5pt" strokecolor="#ffffff">
              <v:stroke dashstyle="solid"/>
            </v:line>
            <w10:wrap type="none"/>
          </v:group>
        </w:pict>
      </w:r>
      <w:r>
        <w:rPr>
          <w:rFonts w:ascii="Raleway ExtraBold"/>
          <w:b/>
          <w:color w:val="37617A"/>
          <w:sz w:val="32"/>
        </w:rPr>
        <w:t>Recommendations</w:t>
      </w:r>
    </w:p>
    <w:p>
      <w:pPr>
        <w:pStyle w:val="BodyText"/>
        <w:rPr>
          <w:rFonts w:ascii="Raleway ExtraBold"/>
          <w:b/>
          <w:sz w:val="31"/>
        </w:rPr>
      </w:pPr>
    </w:p>
    <w:p>
      <w:pPr>
        <w:pStyle w:val="ListParagraph"/>
        <w:numPr>
          <w:ilvl w:val="1"/>
          <w:numId w:val="82"/>
        </w:numPr>
        <w:tabs>
          <w:tab w:pos="1761" w:val="left" w:leader="none"/>
          <w:tab w:pos="1762" w:val="left" w:leader="none"/>
        </w:tabs>
        <w:spacing w:line="247" w:lineRule="auto" w:before="0" w:after="0"/>
        <w:ind w:left="1761" w:right="1514" w:hanging="567"/>
        <w:jc w:val="left"/>
        <w:rPr>
          <w:rFonts w:ascii="Trebuchet MS"/>
          <w:sz w:val="20"/>
        </w:rPr>
      </w:pPr>
      <w:r>
        <w:rPr>
          <w:rFonts w:ascii="Trebuchet MS"/>
          <w:w w:val="105"/>
          <w:sz w:val="20"/>
        </w:rPr>
        <w:t>The</w:t>
      </w:r>
      <w:r>
        <w:rPr>
          <w:rFonts w:ascii="Trebuchet MS"/>
          <w:spacing w:val="-25"/>
          <w:w w:val="105"/>
          <w:sz w:val="20"/>
        </w:rPr>
        <w:t> </w:t>
      </w:r>
      <w:r>
        <w:rPr>
          <w:rFonts w:ascii="Trebuchet MS"/>
          <w:i/>
          <w:w w:val="105"/>
          <w:sz w:val="20"/>
        </w:rPr>
        <w:t>Juries</w:t>
      </w:r>
      <w:r>
        <w:rPr>
          <w:rFonts w:ascii="Trebuchet MS"/>
          <w:i/>
          <w:spacing w:val="-26"/>
          <w:w w:val="105"/>
          <w:sz w:val="20"/>
        </w:rPr>
        <w:t> </w:t>
      </w:r>
      <w:r>
        <w:rPr>
          <w:rFonts w:ascii="Trebuchet MS"/>
          <w:i/>
          <w:w w:val="105"/>
          <w:sz w:val="20"/>
        </w:rPr>
        <w:t>Act</w:t>
      </w:r>
      <w:r>
        <w:rPr>
          <w:rFonts w:ascii="Trebuchet MS"/>
          <w:i/>
          <w:spacing w:val="-25"/>
          <w:w w:val="105"/>
          <w:sz w:val="20"/>
        </w:rPr>
        <w:t> </w:t>
      </w:r>
      <w:r>
        <w:rPr>
          <w:rFonts w:ascii="Trebuchet MS"/>
          <w:i/>
          <w:w w:val="105"/>
          <w:sz w:val="20"/>
        </w:rPr>
        <w:t>2000</w:t>
      </w:r>
      <w:r>
        <w:rPr>
          <w:rFonts w:ascii="Trebuchet MS"/>
          <w:i/>
          <w:spacing w:val="-26"/>
          <w:w w:val="105"/>
          <w:sz w:val="20"/>
        </w:rPr>
        <w:t> </w:t>
      </w:r>
      <w:r>
        <w:rPr>
          <w:rFonts w:ascii="Trebuchet MS"/>
          <w:w w:val="105"/>
          <w:sz w:val="20"/>
        </w:rPr>
        <w:t>(Vic)</w:t>
      </w:r>
      <w:r>
        <w:rPr>
          <w:rFonts w:ascii="Trebuchet MS"/>
          <w:spacing w:val="-25"/>
          <w:w w:val="105"/>
          <w:sz w:val="20"/>
        </w:rPr>
        <w:t> </w:t>
      </w:r>
      <w:r>
        <w:rPr>
          <w:rFonts w:ascii="Trebuchet MS"/>
          <w:spacing w:val="-3"/>
          <w:w w:val="105"/>
          <w:sz w:val="20"/>
        </w:rPr>
        <w:t>(the</w:t>
      </w:r>
      <w:r>
        <w:rPr>
          <w:rFonts w:ascii="Trebuchet MS"/>
          <w:spacing w:val="-24"/>
          <w:w w:val="105"/>
          <w:sz w:val="20"/>
        </w:rPr>
        <w:t> </w:t>
      </w:r>
      <w:r>
        <w:rPr>
          <w:rFonts w:ascii="Trebuchet MS"/>
          <w:w w:val="105"/>
          <w:sz w:val="20"/>
        </w:rPr>
        <w:t>Juries</w:t>
      </w:r>
      <w:r>
        <w:rPr>
          <w:rFonts w:ascii="Trebuchet MS"/>
          <w:spacing w:val="-25"/>
          <w:w w:val="105"/>
          <w:sz w:val="20"/>
        </w:rPr>
        <w:t> </w:t>
      </w:r>
      <w:r>
        <w:rPr>
          <w:rFonts w:ascii="Trebuchet MS"/>
          <w:w w:val="105"/>
          <w:sz w:val="20"/>
        </w:rPr>
        <w:t>Act)</w:t>
      </w:r>
      <w:r>
        <w:rPr>
          <w:rFonts w:ascii="Trebuchet MS"/>
          <w:spacing w:val="-25"/>
          <w:w w:val="105"/>
          <w:sz w:val="20"/>
        </w:rPr>
        <w:t> </w:t>
      </w:r>
      <w:r>
        <w:rPr>
          <w:rFonts w:ascii="Trebuchet MS"/>
          <w:w w:val="105"/>
          <w:sz w:val="20"/>
        </w:rPr>
        <w:t>should</w:t>
      </w:r>
      <w:r>
        <w:rPr>
          <w:rFonts w:ascii="Trebuchet MS"/>
          <w:spacing w:val="-25"/>
          <w:w w:val="105"/>
          <w:sz w:val="20"/>
        </w:rPr>
        <w:t> </w:t>
      </w:r>
      <w:r>
        <w:rPr>
          <w:rFonts w:ascii="Trebuchet MS"/>
          <w:w w:val="105"/>
          <w:sz w:val="20"/>
        </w:rPr>
        <w:t>be</w:t>
      </w:r>
      <w:r>
        <w:rPr>
          <w:rFonts w:ascii="Trebuchet MS"/>
          <w:spacing w:val="-25"/>
          <w:w w:val="105"/>
          <w:sz w:val="20"/>
        </w:rPr>
        <w:t> </w:t>
      </w:r>
      <w:r>
        <w:rPr>
          <w:rFonts w:ascii="Trebuchet MS"/>
          <w:w w:val="105"/>
          <w:sz w:val="20"/>
        </w:rPr>
        <w:t>amended</w:t>
      </w:r>
      <w:r>
        <w:rPr>
          <w:rFonts w:ascii="Trebuchet MS"/>
          <w:spacing w:val="-24"/>
          <w:w w:val="105"/>
          <w:sz w:val="20"/>
        </w:rPr>
        <w:t> </w:t>
      </w:r>
      <w:r>
        <w:rPr>
          <w:rFonts w:ascii="Trebuchet MS"/>
          <w:w w:val="105"/>
          <w:sz w:val="20"/>
        </w:rPr>
        <w:t>to</w:t>
      </w:r>
      <w:r>
        <w:rPr>
          <w:rFonts w:ascii="Trebuchet MS"/>
          <w:spacing w:val="-25"/>
          <w:w w:val="105"/>
          <w:sz w:val="20"/>
        </w:rPr>
        <w:t> </w:t>
      </w:r>
      <w:r>
        <w:rPr>
          <w:rFonts w:ascii="Trebuchet MS"/>
          <w:w w:val="105"/>
          <w:sz w:val="20"/>
        </w:rPr>
        <w:t>require</w:t>
      </w:r>
      <w:r>
        <w:rPr>
          <w:rFonts w:ascii="Trebuchet MS"/>
          <w:spacing w:val="-25"/>
          <w:w w:val="105"/>
          <w:sz w:val="20"/>
        </w:rPr>
        <w:t> </w:t>
      </w:r>
      <w:r>
        <w:rPr>
          <w:rFonts w:ascii="Trebuchet MS"/>
          <w:w w:val="105"/>
          <w:sz w:val="20"/>
        </w:rPr>
        <w:t>that</w:t>
      </w:r>
      <w:r>
        <w:rPr>
          <w:rFonts w:ascii="Trebuchet MS"/>
          <w:spacing w:val="-25"/>
          <w:w w:val="105"/>
          <w:sz w:val="20"/>
        </w:rPr>
        <w:t> </w:t>
      </w:r>
      <w:r>
        <w:rPr>
          <w:rFonts w:ascii="Trebuchet MS"/>
          <w:w w:val="105"/>
          <w:sz w:val="20"/>
        </w:rPr>
        <w:t>where a</w:t>
      </w:r>
      <w:r>
        <w:rPr>
          <w:rFonts w:ascii="Trebuchet MS"/>
          <w:spacing w:val="-15"/>
          <w:w w:val="105"/>
          <w:sz w:val="20"/>
        </w:rPr>
        <w:t> </w:t>
      </w:r>
      <w:r>
        <w:rPr>
          <w:rFonts w:ascii="Trebuchet MS"/>
          <w:w w:val="105"/>
          <w:sz w:val="20"/>
        </w:rPr>
        <w:t>judge</w:t>
      </w:r>
      <w:r>
        <w:rPr>
          <w:rFonts w:ascii="Trebuchet MS"/>
          <w:spacing w:val="-14"/>
          <w:w w:val="105"/>
          <w:sz w:val="20"/>
        </w:rPr>
        <w:t> </w:t>
      </w:r>
      <w:r>
        <w:rPr>
          <w:rFonts w:ascii="Trebuchet MS"/>
          <w:w w:val="105"/>
          <w:sz w:val="20"/>
        </w:rPr>
        <w:t>considers</w:t>
      </w:r>
      <w:r>
        <w:rPr>
          <w:rFonts w:ascii="Trebuchet MS"/>
          <w:spacing w:val="-14"/>
          <w:w w:val="105"/>
          <w:sz w:val="20"/>
        </w:rPr>
        <w:t> </w:t>
      </w:r>
      <w:r>
        <w:rPr>
          <w:rFonts w:ascii="Trebuchet MS"/>
          <w:w w:val="105"/>
          <w:sz w:val="20"/>
        </w:rPr>
        <w:t>that</w:t>
      </w:r>
      <w:r>
        <w:rPr>
          <w:rFonts w:ascii="Trebuchet MS"/>
          <w:spacing w:val="-14"/>
          <w:w w:val="105"/>
          <w:sz w:val="20"/>
        </w:rPr>
        <w:t> </w:t>
      </w:r>
      <w:r>
        <w:rPr>
          <w:rFonts w:ascii="Trebuchet MS"/>
          <w:w w:val="105"/>
          <w:sz w:val="20"/>
        </w:rPr>
        <w:t>reasonable</w:t>
      </w:r>
      <w:r>
        <w:rPr>
          <w:rFonts w:ascii="Trebuchet MS"/>
          <w:spacing w:val="-14"/>
          <w:w w:val="105"/>
          <w:sz w:val="20"/>
        </w:rPr>
        <w:t> </w:t>
      </w:r>
      <w:r>
        <w:rPr>
          <w:rFonts w:ascii="Trebuchet MS"/>
          <w:w w:val="105"/>
          <w:sz w:val="20"/>
        </w:rPr>
        <w:t>adjustments</w:t>
      </w:r>
      <w:r>
        <w:rPr>
          <w:rFonts w:ascii="Trebuchet MS"/>
          <w:spacing w:val="-14"/>
          <w:w w:val="105"/>
          <w:sz w:val="20"/>
        </w:rPr>
        <w:t> </w:t>
      </w:r>
      <w:r>
        <w:rPr>
          <w:rFonts w:ascii="Trebuchet MS"/>
          <w:spacing w:val="-3"/>
          <w:w w:val="105"/>
          <w:sz w:val="20"/>
        </w:rPr>
        <w:t>would</w:t>
      </w:r>
      <w:r>
        <w:rPr>
          <w:rFonts w:ascii="Trebuchet MS"/>
          <w:spacing w:val="-14"/>
          <w:w w:val="105"/>
          <w:sz w:val="20"/>
        </w:rPr>
        <w:t> </w:t>
      </w:r>
      <w:r>
        <w:rPr>
          <w:rFonts w:ascii="Trebuchet MS"/>
          <w:w w:val="105"/>
          <w:sz w:val="20"/>
        </w:rPr>
        <w:t>enable</w:t>
      </w:r>
      <w:r>
        <w:rPr>
          <w:rFonts w:ascii="Trebuchet MS"/>
          <w:spacing w:val="-15"/>
          <w:w w:val="105"/>
          <w:sz w:val="20"/>
        </w:rPr>
        <w:t> </w:t>
      </w:r>
      <w:r>
        <w:rPr>
          <w:rFonts w:ascii="Trebuchet MS"/>
          <w:w w:val="105"/>
          <w:sz w:val="20"/>
        </w:rPr>
        <w:t>a</w:t>
      </w:r>
      <w:r>
        <w:rPr>
          <w:rFonts w:ascii="Trebuchet MS"/>
          <w:spacing w:val="-14"/>
          <w:w w:val="105"/>
          <w:sz w:val="20"/>
        </w:rPr>
        <w:t> </w:t>
      </w:r>
      <w:r>
        <w:rPr>
          <w:rFonts w:ascii="Trebuchet MS"/>
          <w:w w:val="105"/>
          <w:sz w:val="20"/>
        </w:rPr>
        <w:t>person</w:t>
      </w:r>
      <w:r>
        <w:rPr>
          <w:rFonts w:ascii="Trebuchet MS"/>
          <w:spacing w:val="-14"/>
          <w:w w:val="105"/>
          <w:sz w:val="20"/>
        </w:rPr>
        <w:t> </w:t>
      </w:r>
      <w:r>
        <w:rPr>
          <w:rFonts w:ascii="Trebuchet MS"/>
          <w:w w:val="105"/>
          <w:sz w:val="20"/>
        </w:rPr>
        <w:t>who</w:t>
      </w:r>
      <w:r>
        <w:rPr>
          <w:rFonts w:ascii="Trebuchet MS"/>
          <w:spacing w:val="-14"/>
          <w:w w:val="105"/>
          <w:sz w:val="20"/>
        </w:rPr>
        <w:t> </w:t>
      </w:r>
      <w:r>
        <w:rPr>
          <w:rFonts w:ascii="Trebuchet MS"/>
          <w:w w:val="105"/>
          <w:sz w:val="20"/>
        </w:rPr>
        <w:t>is</w:t>
      </w:r>
      <w:r>
        <w:rPr>
          <w:rFonts w:ascii="Trebuchet MS"/>
          <w:spacing w:val="-14"/>
          <w:w w:val="105"/>
          <w:sz w:val="20"/>
        </w:rPr>
        <w:t> </w:t>
      </w:r>
      <w:r>
        <w:rPr>
          <w:rFonts w:ascii="Trebuchet MS"/>
          <w:spacing w:val="-4"/>
          <w:w w:val="105"/>
          <w:sz w:val="20"/>
        </w:rPr>
        <w:t>deaf, </w:t>
      </w:r>
      <w:r>
        <w:rPr>
          <w:rFonts w:ascii="Trebuchet MS"/>
          <w:spacing w:val="-1"/>
          <w:w w:val="107"/>
          <w:sz w:val="20"/>
        </w:rPr>
        <w:t>h</w:t>
      </w:r>
      <w:r>
        <w:rPr>
          <w:rFonts w:ascii="Trebuchet MS"/>
          <w:spacing w:val="-2"/>
          <w:w w:val="105"/>
          <w:sz w:val="20"/>
        </w:rPr>
        <w:t>a</w:t>
      </w:r>
      <w:r>
        <w:rPr>
          <w:rFonts w:ascii="Trebuchet MS"/>
          <w:spacing w:val="-4"/>
          <w:w w:val="93"/>
          <w:sz w:val="20"/>
        </w:rPr>
        <w:t>r</w:t>
      </w:r>
      <w:r>
        <w:rPr>
          <w:rFonts w:ascii="Trebuchet MS"/>
          <w:w w:val="112"/>
          <w:sz w:val="20"/>
        </w:rPr>
        <w:t>d</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1"/>
          <w:w w:val="107"/>
          <w:sz w:val="20"/>
        </w:rPr>
        <w:t>h</w:t>
      </w:r>
      <w:r>
        <w:rPr>
          <w:rFonts w:ascii="Trebuchet MS"/>
          <w:spacing w:val="-1"/>
          <w:w w:val="108"/>
          <w:sz w:val="20"/>
        </w:rPr>
        <w:t>e</w:t>
      </w:r>
      <w:r>
        <w:rPr>
          <w:rFonts w:ascii="Trebuchet MS"/>
          <w:spacing w:val="-2"/>
          <w:w w:val="105"/>
          <w:sz w:val="20"/>
        </w:rPr>
        <w:t>a</w:t>
      </w:r>
      <w:r>
        <w:rPr>
          <w:rFonts w:ascii="Trebuchet MS"/>
          <w:spacing w:val="-2"/>
          <w:w w:val="93"/>
          <w:sz w:val="20"/>
        </w:rPr>
        <w:t>r</w:t>
      </w:r>
      <w:r>
        <w:rPr>
          <w:rFonts w:ascii="Trebuchet MS"/>
          <w:spacing w:val="-2"/>
          <w:w w:val="80"/>
          <w:sz w:val="20"/>
        </w:rPr>
        <w:t>i</w:t>
      </w:r>
      <w:r>
        <w:rPr>
          <w:rFonts w:ascii="Trebuchet MS"/>
          <w:spacing w:val="-1"/>
          <w:w w:val="107"/>
          <w:sz w:val="20"/>
        </w:rPr>
        <w:t>n</w:t>
      </w:r>
      <w:r>
        <w:rPr>
          <w:rFonts w:ascii="Trebuchet MS"/>
          <w:spacing w:val="-1"/>
          <w:w w:val="124"/>
          <w:sz w:val="20"/>
        </w:rPr>
        <w:t>g</w:t>
      </w:r>
      <w:r>
        <w:rPr>
          <w:rFonts w:ascii="Trebuchet MS"/>
          <w:w w:val="57"/>
          <w:sz w:val="20"/>
        </w:rPr>
        <w:t>,</w:t>
      </w:r>
      <w:r>
        <w:rPr>
          <w:rFonts w:ascii="Trebuchet MS"/>
          <w:spacing w:val="-14"/>
          <w:sz w:val="20"/>
        </w:rPr>
        <w:t> </w:t>
      </w:r>
      <w:r>
        <w:rPr>
          <w:rFonts w:ascii="Trebuchet MS"/>
          <w:spacing w:val="-2"/>
          <w:w w:val="111"/>
          <w:sz w:val="20"/>
        </w:rPr>
        <w:t>b</w:t>
      </w:r>
      <w:r>
        <w:rPr>
          <w:rFonts w:ascii="Trebuchet MS"/>
          <w:w w:val="96"/>
          <w:sz w:val="20"/>
        </w:rPr>
        <w:t>l</w:t>
      </w:r>
      <w:r>
        <w:rPr>
          <w:rFonts w:ascii="Trebuchet MS"/>
          <w:spacing w:val="-2"/>
          <w:w w:val="80"/>
          <w:sz w:val="20"/>
        </w:rPr>
        <w:t>i</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1"/>
          <w:w w:val="111"/>
          <w:sz w:val="20"/>
        </w:rPr>
        <w:t>o</w:t>
      </w:r>
      <w:r>
        <w:rPr>
          <w:rFonts w:ascii="Trebuchet MS"/>
          <w:w w:val="93"/>
          <w:sz w:val="20"/>
        </w:rPr>
        <w:t>r</w:t>
      </w:r>
      <w:r>
        <w:rPr>
          <w:rFonts w:ascii="Trebuchet MS"/>
          <w:spacing w:val="-14"/>
          <w:sz w:val="20"/>
        </w:rPr>
        <w:t> </w:t>
      </w:r>
      <w:r>
        <w:rPr>
          <w:rFonts w:ascii="Trebuchet MS"/>
          <w:spacing w:val="-1"/>
          <w:w w:val="107"/>
          <w:sz w:val="20"/>
        </w:rPr>
        <w:t>h</w:t>
      </w:r>
      <w:r>
        <w:rPr>
          <w:rFonts w:ascii="Trebuchet MS"/>
          <w:w w:val="105"/>
          <w:sz w:val="20"/>
        </w:rPr>
        <w:t>a</w:t>
      </w:r>
      <w:r>
        <w:rPr>
          <w:rFonts w:ascii="Trebuchet MS"/>
          <w:w w:val="122"/>
          <w:sz w:val="20"/>
        </w:rPr>
        <w:t>s</w:t>
      </w:r>
      <w:r>
        <w:rPr>
          <w:rFonts w:ascii="Trebuchet MS"/>
          <w:spacing w:val="-14"/>
          <w:sz w:val="20"/>
        </w:rPr>
        <w:t> </w:t>
      </w:r>
      <w:r>
        <w:rPr>
          <w:rFonts w:ascii="Trebuchet MS"/>
          <w:spacing w:val="-3"/>
          <w:w w:val="96"/>
          <w:sz w:val="20"/>
        </w:rPr>
        <w:t>l</w:t>
      </w:r>
      <w:r>
        <w:rPr>
          <w:rFonts w:ascii="Trebuchet MS"/>
          <w:spacing w:val="-6"/>
          <w:w w:val="111"/>
          <w:sz w:val="20"/>
        </w:rPr>
        <w:t>o</w:t>
      </w:r>
      <w:r>
        <w:rPr>
          <w:rFonts w:ascii="Trebuchet MS"/>
          <w:w w:val="110"/>
          <w:sz w:val="20"/>
        </w:rPr>
        <w:t>w</w:t>
      </w:r>
      <w:r>
        <w:rPr>
          <w:rFonts w:ascii="Trebuchet MS"/>
          <w:spacing w:val="-14"/>
          <w:sz w:val="20"/>
        </w:rPr>
        <w:t> </w:t>
      </w:r>
      <w:r>
        <w:rPr>
          <w:rFonts w:ascii="Trebuchet MS"/>
          <w:spacing w:val="-2"/>
          <w:w w:val="109"/>
          <w:sz w:val="20"/>
        </w:rPr>
        <w:t>v</w:t>
      </w:r>
      <w:r>
        <w:rPr>
          <w:rFonts w:ascii="Trebuchet MS"/>
          <w:spacing w:val="-2"/>
          <w:w w:val="80"/>
          <w:sz w:val="20"/>
        </w:rPr>
        <w:t>i</w:t>
      </w:r>
      <w:r>
        <w:rPr>
          <w:rFonts w:ascii="Trebuchet MS"/>
          <w:spacing w:val="-2"/>
          <w:w w:val="122"/>
          <w:sz w:val="20"/>
        </w:rPr>
        <w:t>s</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1"/>
          <w:w w:val="122"/>
          <w:sz w:val="20"/>
        </w:rPr>
        <w:t>s</w:t>
      </w:r>
      <w:r>
        <w:rPr>
          <w:rFonts w:ascii="Trebuchet MS"/>
          <w:spacing w:val="-1"/>
          <w:w w:val="108"/>
          <w:sz w:val="20"/>
        </w:rPr>
        <w:t>e</w:t>
      </w:r>
      <w:r>
        <w:rPr>
          <w:rFonts w:ascii="Trebuchet MS"/>
          <w:spacing w:val="3"/>
          <w:w w:val="93"/>
          <w:sz w:val="20"/>
        </w:rPr>
        <w:t>r</w:t>
      </w:r>
      <w:r>
        <w:rPr>
          <w:rFonts w:ascii="Trebuchet MS"/>
          <w:spacing w:val="-6"/>
          <w:w w:val="109"/>
          <w:sz w:val="20"/>
        </w:rPr>
        <w:t>v</w:t>
      </w:r>
      <w:r>
        <w:rPr>
          <w:rFonts w:ascii="Trebuchet MS"/>
          <w:w w:val="108"/>
          <w:sz w:val="20"/>
        </w:rPr>
        <w:t>e</w:t>
      </w:r>
      <w:r>
        <w:rPr>
          <w:rFonts w:ascii="Trebuchet MS"/>
          <w:spacing w:val="-14"/>
          <w:sz w:val="20"/>
        </w:rPr>
        <w:t> </w:t>
      </w:r>
      <w:r>
        <w:rPr>
          <w:rFonts w:ascii="Trebuchet MS"/>
          <w:w w:val="105"/>
          <w:sz w:val="20"/>
        </w:rPr>
        <w:t>a</w:t>
      </w:r>
      <w:r>
        <w:rPr>
          <w:rFonts w:ascii="Trebuchet MS"/>
          <w:w w:val="122"/>
          <w:sz w:val="20"/>
        </w:rPr>
        <w:t>s</w:t>
      </w:r>
      <w:r>
        <w:rPr>
          <w:rFonts w:ascii="Trebuchet MS"/>
          <w:spacing w:val="-14"/>
          <w:sz w:val="20"/>
        </w:rPr>
        <w:t> </w:t>
      </w:r>
      <w:r>
        <w:rPr>
          <w:rFonts w:ascii="Trebuchet MS"/>
          <w:w w:val="105"/>
          <w:sz w:val="20"/>
        </w:rPr>
        <w:t>a</w:t>
      </w:r>
      <w:r>
        <w:rPr>
          <w:rFonts w:ascii="Trebuchet MS"/>
          <w:spacing w:val="-14"/>
          <w:sz w:val="20"/>
        </w:rPr>
        <w:t> </w:t>
      </w:r>
      <w:r>
        <w:rPr>
          <w:rFonts w:ascii="Trebuchet MS"/>
          <w:spacing w:val="-2"/>
          <w:w w:val="64"/>
          <w:sz w:val="20"/>
        </w:rPr>
        <w:t>j</w:t>
      </w:r>
      <w:r>
        <w:rPr>
          <w:rFonts w:ascii="Trebuchet MS"/>
          <w:spacing w:val="-1"/>
          <w:w w:val="109"/>
          <w:sz w:val="20"/>
        </w:rPr>
        <w:t>u</w:t>
      </w:r>
      <w:r>
        <w:rPr>
          <w:rFonts w:ascii="Trebuchet MS"/>
          <w:spacing w:val="-4"/>
          <w:w w:val="93"/>
          <w:sz w:val="20"/>
        </w:rPr>
        <w:t>r</w:t>
      </w:r>
      <w:r>
        <w:rPr>
          <w:rFonts w:ascii="Trebuchet MS"/>
          <w:spacing w:val="-1"/>
          <w:w w:val="111"/>
          <w:sz w:val="20"/>
        </w:rPr>
        <w:t>o</w:t>
      </w:r>
      <w:r>
        <w:rPr>
          <w:rFonts w:ascii="Trebuchet MS"/>
          <w:spacing w:val="-14"/>
          <w:w w:val="93"/>
          <w:sz w:val="20"/>
        </w:rPr>
        <w:t>r</w:t>
      </w:r>
      <w:r>
        <w:rPr>
          <w:rFonts w:ascii="Trebuchet MS"/>
          <w:w w:val="57"/>
          <w:sz w:val="20"/>
        </w:rPr>
        <w:t>,</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64"/>
          <w:sz w:val="20"/>
        </w:rPr>
        <w:t>j</w:t>
      </w:r>
      <w:r>
        <w:rPr>
          <w:rFonts w:ascii="Trebuchet MS"/>
          <w:spacing w:val="-2"/>
          <w:w w:val="109"/>
          <w:sz w:val="20"/>
        </w:rPr>
        <w:t>u</w:t>
      </w:r>
      <w:r>
        <w:rPr>
          <w:rFonts w:ascii="Trebuchet MS"/>
          <w:spacing w:val="-2"/>
          <w:w w:val="112"/>
          <w:sz w:val="20"/>
        </w:rPr>
        <w:t>d</w:t>
      </w:r>
      <w:r>
        <w:rPr>
          <w:rFonts w:ascii="Trebuchet MS"/>
          <w:spacing w:val="-1"/>
          <w:w w:val="124"/>
          <w:sz w:val="20"/>
        </w:rPr>
        <w:t>g</w:t>
      </w:r>
      <w:r>
        <w:rPr>
          <w:rFonts w:ascii="Trebuchet MS"/>
          <w:w w:val="108"/>
          <w:sz w:val="20"/>
        </w:rPr>
        <w:t>e</w:t>
      </w:r>
      <w:r>
        <w:rPr>
          <w:rFonts w:ascii="Trebuchet MS"/>
          <w:spacing w:val="-14"/>
          <w:sz w:val="20"/>
        </w:rPr>
        <w:t> </w:t>
      </w:r>
      <w:r>
        <w:rPr>
          <w:rFonts w:ascii="Trebuchet MS"/>
          <w:spacing w:val="-2"/>
          <w:w w:val="111"/>
          <w:sz w:val="20"/>
        </w:rPr>
        <w:t>m</w:t>
      </w:r>
      <w:r>
        <w:rPr>
          <w:rFonts w:ascii="Trebuchet MS"/>
          <w:spacing w:val="-1"/>
          <w:w w:val="109"/>
          <w:sz w:val="20"/>
        </w:rPr>
        <w:t>u</w:t>
      </w:r>
      <w:r>
        <w:rPr>
          <w:rFonts w:ascii="Trebuchet MS"/>
          <w:spacing w:val="-1"/>
          <w:w w:val="122"/>
          <w:sz w:val="20"/>
        </w:rPr>
        <w:t>s</w:t>
      </w:r>
      <w:r>
        <w:rPr>
          <w:rFonts w:ascii="Trebuchet MS"/>
          <w:w w:val="88"/>
          <w:sz w:val="20"/>
        </w:rPr>
        <w:t>t</w:t>
      </w:r>
      <w:r>
        <w:rPr>
          <w:rFonts w:ascii="Trebuchet MS"/>
          <w:spacing w:val="-14"/>
          <w:sz w:val="20"/>
        </w:rPr>
        <w:t> </w:t>
      </w:r>
      <w:r>
        <w:rPr>
          <w:rFonts w:ascii="Trebuchet MS"/>
          <w:spacing w:val="-1"/>
          <w:w w:val="112"/>
          <w:sz w:val="20"/>
        </w:rPr>
        <w:t>d</w:t>
      </w:r>
      <w:r>
        <w:rPr>
          <w:rFonts w:ascii="Trebuchet MS"/>
          <w:spacing w:val="-2"/>
          <w:w w:val="80"/>
          <w:sz w:val="20"/>
        </w:rPr>
        <w:t>i</w:t>
      </w:r>
      <w:r>
        <w:rPr>
          <w:rFonts w:ascii="Trebuchet MS"/>
          <w:spacing w:val="-4"/>
          <w:w w:val="93"/>
          <w:sz w:val="20"/>
        </w:rPr>
        <w:t>r</w:t>
      </w:r>
      <w:r>
        <w:rPr>
          <w:rFonts w:ascii="Trebuchet MS"/>
          <w:w w:val="108"/>
          <w:sz w:val="20"/>
        </w:rPr>
        <w:t>e</w:t>
      </w:r>
      <w:r>
        <w:rPr>
          <w:rFonts w:ascii="Trebuchet MS"/>
          <w:spacing w:val="-2"/>
          <w:w w:val="111"/>
          <w:sz w:val="20"/>
        </w:rPr>
        <w:t>c</w:t>
      </w:r>
      <w:r>
        <w:rPr>
          <w:rFonts w:ascii="Trebuchet MS"/>
          <w:w w:val="88"/>
          <w:sz w:val="20"/>
        </w:rPr>
        <w:t>t </w:t>
      </w:r>
      <w:r>
        <w:rPr>
          <w:rFonts w:ascii="Trebuchet MS"/>
          <w:w w:val="105"/>
          <w:sz w:val="20"/>
        </w:rPr>
        <w:t>that</w:t>
      </w:r>
      <w:r>
        <w:rPr>
          <w:rFonts w:ascii="Trebuchet MS"/>
          <w:spacing w:val="-22"/>
          <w:w w:val="105"/>
          <w:sz w:val="20"/>
        </w:rPr>
        <w:t> </w:t>
      </w:r>
      <w:r>
        <w:rPr>
          <w:rFonts w:ascii="Trebuchet MS"/>
          <w:w w:val="105"/>
          <w:sz w:val="20"/>
        </w:rPr>
        <w:t>those</w:t>
      </w:r>
      <w:r>
        <w:rPr>
          <w:rFonts w:ascii="Trebuchet MS"/>
          <w:spacing w:val="-21"/>
          <w:w w:val="105"/>
          <w:sz w:val="20"/>
        </w:rPr>
        <w:t> </w:t>
      </w:r>
      <w:r>
        <w:rPr>
          <w:rFonts w:ascii="Trebuchet MS"/>
          <w:w w:val="105"/>
          <w:sz w:val="20"/>
        </w:rPr>
        <w:t>adjustments</w:t>
      </w:r>
      <w:r>
        <w:rPr>
          <w:rFonts w:ascii="Trebuchet MS"/>
          <w:spacing w:val="-21"/>
          <w:w w:val="105"/>
          <w:sz w:val="20"/>
        </w:rPr>
        <w:t> </w:t>
      </w:r>
      <w:r>
        <w:rPr>
          <w:rFonts w:ascii="Trebuchet MS"/>
          <w:w w:val="105"/>
          <w:sz w:val="20"/>
        </w:rPr>
        <w:t>be</w:t>
      </w:r>
      <w:r>
        <w:rPr>
          <w:rFonts w:ascii="Trebuchet MS"/>
          <w:spacing w:val="-21"/>
          <w:w w:val="105"/>
          <w:sz w:val="20"/>
        </w:rPr>
        <w:t> </w:t>
      </w:r>
      <w:r>
        <w:rPr>
          <w:rFonts w:ascii="Trebuchet MS"/>
          <w:w w:val="105"/>
          <w:sz w:val="20"/>
        </w:rPr>
        <w:t>provided</w:t>
      </w:r>
      <w:r>
        <w:rPr>
          <w:rFonts w:ascii="Trebuchet MS"/>
          <w:spacing w:val="-21"/>
          <w:w w:val="105"/>
          <w:sz w:val="20"/>
        </w:rPr>
        <w:t> </w:t>
      </w:r>
      <w:r>
        <w:rPr>
          <w:rFonts w:ascii="Trebuchet MS"/>
          <w:w w:val="105"/>
          <w:sz w:val="20"/>
        </w:rPr>
        <w:t>or</w:t>
      </w:r>
      <w:r>
        <w:rPr>
          <w:rFonts w:ascii="Trebuchet MS"/>
          <w:spacing w:val="-21"/>
          <w:w w:val="105"/>
          <w:sz w:val="20"/>
        </w:rPr>
        <w:t> </w:t>
      </w:r>
      <w:r>
        <w:rPr>
          <w:rFonts w:ascii="Trebuchet MS"/>
          <w:w w:val="105"/>
          <w:sz w:val="20"/>
        </w:rPr>
        <w:t>direct</w:t>
      </w:r>
      <w:r>
        <w:rPr>
          <w:rFonts w:ascii="Trebuchet MS"/>
          <w:spacing w:val="-21"/>
          <w:w w:val="105"/>
          <w:sz w:val="20"/>
        </w:rPr>
        <w:t> </w:t>
      </w:r>
      <w:r>
        <w:rPr>
          <w:rFonts w:ascii="Trebuchet MS"/>
          <w:w w:val="105"/>
          <w:sz w:val="20"/>
        </w:rPr>
        <w:t>that</w:t>
      </w:r>
      <w:r>
        <w:rPr>
          <w:rFonts w:ascii="Trebuchet MS"/>
          <w:spacing w:val="-21"/>
          <w:w w:val="105"/>
          <w:sz w:val="20"/>
        </w:rPr>
        <w:t> </w:t>
      </w:r>
      <w:r>
        <w:rPr>
          <w:rFonts w:ascii="Trebuchet MS"/>
          <w:w w:val="105"/>
          <w:sz w:val="20"/>
        </w:rPr>
        <w:t>the</w:t>
      </w:r>
      <w:r>
        <w:rPr>
          <w:rFonts w:ascii="Trebuchet MS"/>
          <w:spacing w:val="-21"/>
          <w:w w:val="105"/>
          <w:sz w:val="20"/>
        </w:rPr>
        <w:t> </w:t>
      </w:r>
      <w:r>
        <w:rPr>
          <w:rFonts w:ascii="Trebuchet MS"/>
          <w:w w:val="105"/>
          <w:sz w:val="20"/>
        </w:rPr>
        <w:t>Juries</w:t>
      </w:r>
      <w:r>
        <w:rPr>
          <w:rFonts w:ascii="Trebuchet MS"/>
          <w:spacing w:val="-21"/>
          <w:w w:val="105"/>
          <w:sz w:val="20"/>
        </w:rPr>
        <w:t> </w:t>
      </w:r>
      <w:r>
        <w:rPr>
          <w:rFonts w:ascii="Trebuchet MS"/>
          <w:w w:val="105"/>
          <w:sz w:val="20"/>
        </w:rPr>
        <w:t>Commissioner</w:t>
      </w:r>
      <w:r>
        <w:rPr>
          <w:rFonts w:ascii="Trebuchet MS"/>
          <w:spacing w:val="-21"/>
          <w:w w:val="105"/>
          <w:sz w:val="20"/>
        </w:rPr>
        <w:t> </w:t>
      </w:r>
      <w:r>
        <w:rPr>
          <w:rFonts w:ascii="Trebuchet MS"/>
          <w:spacing w:val="-3"/>
          <w:w w:val="105"/>
          <w:sz w:val="20"/>
        </w:rPr>
        <w:t>provide </w:t>
      </w:r>
      <w:r>
        <w:rPr>
          <w:rFonts w:ascii="Trebuchet MS"/>
          <w:spacing w:val="-2"/>
          <w:w w:val="99"/>
          <w:sz w:val="20"/>
        </w:rPr>
        <w:t>t</w:t>
      </w:r>
      <w:r>
        <w:rPr>
          <w:rFonts w:ascii="Trebuchet MS"/>
          <w:spacing w:val="-1"/>
          <w:w w:val="99"/>
          <w:sz w:val="20"/>
        </w:rPr>
        <w:t>h</w:t>
      </w:r>
      <w:r>
        <w:rPr>
          <w:rFonts w:ascii="Trebuchet MS"/>
          <w:spacing w:val="-1"/>
          <w:w w:val="108"/>
          <w:sz w:val="20"/>
        </w:rPr>
        <w:t>e</w:t>
      </w:r>
      <w:r>
        <w:rPr>
          <w:rFonts w:ascii="Trebuchet MS"/>
          <w:spacing w:val="-1"/>
          <w:w w:val="111"/>
          <w:sz w:val="20"/>
        </w:rPr>
        <w:t>m</w:t>
      </w:r>
      <w:r>
        <w:rPr>
          <w:rFonts w:ascii="Trebuchet MS"/>
          <w:w w:val="55"/>
          <w:sz w:val="20"/>
        </w:rPr>
        <w:t>.</w:t>
      </w:r>
    </w:p>
    <w:p>
      <w:pPr>
        <w:pStyle w:val="ListParagraph"/>
        <w:numPr>
          <w:ilvl w:val="1"/>
          <w:numId w:val="82"/>
        </w:numPr>
        <w:tabs>
          <w:tab w:pos="1761" w:val="left" w:leader="none"/>
          <w:tab w:pos="1762" w:val="left" w:leader="none"/>
        </w:tabs>
        <w:spacing w:line="247" w:lineRule="auto" w:before="89" w:after="0"/>
        <w:ind w:left="1761" w:right="1527" w:hanging="567"/>
        <w:jc w:val="left"/>
        <w:rPr>
          <w:rFonts w:ascii="Trebuchet MS"/>
          <w:sz w:val="20"/>
        </w:rPr>
      </w:pPr>
      <w:r>
        <w:rPr>
          <w:rFonts w:ascii="Trebuchet MS"/>
          <w:w w:val="105"/>
          <w:sz w:val="20"/>
        </w:rPr>
        <w:t>The</w:t>
      </w:r>
      <w:r>
        <w:rPr>
          <w:rFonts w:ascii="Trebuchet MS"/>
          <w:spacing w:val="-17"/>
          <w:w w:val="105"/>
          <w:sz w:val="20"/>
        </w:rPr>
        <w:t> </w:t>
      </w:r>
      <w:r>
        <w:rPr>
          <w:rFonts w:ascii="Trebuchet MS"/>
          <w:w w:val="105"/>
          <w:sz w:val="20"/>
        </w:rPr>
        <w:t>Juries</w:t>
      </w:r>
      <w:r>
        <w:rPr>
          <w:rFonts w:ascii="Trebuchet MS"/>
          <w:spacing w:val="-16"/>
          <w:w w:val="105"/>
          <w:sz w:val="20"/>
        </w:rPr>
        <w:t> </w:t>
      </w:r>
      <w:r>
        <w:rPr>
          <w:rFonts w:ascii="Trebuchet MS"/>
          <w:spacing w:val="-2"/>
          <w:w w:val="105"/>
          <w:sz w:val="20"/>
        </w:rPr>
        <w:t>Act</w:t>
      </w:r>
      <w:r>
        <w:rPr>
          <w:rFonts w:ascii="Trebuchet MS"/>
          <w:spacing w:val="-17"/>
          <w:w w:val="105"/>
          <w:sz w:val="20"/>
        </w:rPr>
        <w:t> </w:t>
      </w:r>
      <w:r>
        <w:rPr>
          <w:rFonts w:ascii="Trebuchet MS"/>
          <w:w w:val="105"/>
          <w:sz w:val="20"/>
        </w:rPr>
        <w:t>should</w:t>
      </w:r>
      <w:r>
        <w:rPr>
          <w:rFonts w:ascii="Trebuchet MS"/>
          <w:spacing w:val="-16"/>
          <w:w w:val="105"/>
          <w:sz w:val="20"/>
        </w:rPr>
        <w:t> </w:t>
      </w:r>
      <w:r>
        <w:rPr>
          <w:rFonts w:ascii="Trebuchet MS"/>
          <w:w w:val="105"/>
          <w:sz w:val="20"/>
        </w:rPr>
        <w:t>be</w:t>
      </w:r>
      <w:r>
        <w:rPr>
          <w:rFonts w:ascii="Trebuchet MS"/>
          <w:spacing w:val="-17"/>
          <w:w w:val="105"/>
          <w:sz w:val="20"/>
        </w:rPr>
        <w:t> </w:t>
      </w:r>
      <w:r>
        <w:rPr>
          <w:rFonts w:ascii="Trebuchet MS"/>
          <w:w w:val="105"/>
          <w:sz w:val="20"/>
        </w:rPr>
        <w:t>amended</w:t>
      </w:r>
      <w:r>
        <w:rPr>
          <w:rFonts w:ascii="Trebuchet MS"/>
          <w:spacing w:val="-16"/>
          <w:w w:val="105"/>
          <w:sz w:val="20"/>
        </w:rPr>
        <w:t> </w:t>
      </w:r>
      <w:r>
        <w:rPr>
          <w:rFonts w:ascii="Trebuchet MS"/>
          <w:w w:val="105"/>
          <w:sz w:val="20"/>
        </w:rPr>
        <w:t>to</w:t>
      </w:r>
      <w:r>
        <w:rPr>
          <w:rFonts w:ascii="Trebuchet MS"/>
          <w:spacing w:val="-17"/>
          <w:w w:val="105"/>
          <w:sz w:val="20"/>
        </w:rPr>
        <w:t> </w:t>
      </w:r>
      <w:r>
        <w:rPr>
          <w:rFonts w:ascii="Trebuchet MS"/>
          <w:spacing w:val="-3"/>
          <w:w w:val="105"/>
          <w:sz w:val="20"/>
        </w:rPr>
        <w:t>provide</w:t>
      </w:r>
      <w:r>
        <w:rPr>
          <w:rFonts w:ascii="Trebuchet MS"/>
          <w:spacing w:val="-16"/>
          <w:w w:val="105"/>
          <w:sz w:val="20"/>
        </w:rPr>
        <w:t> </w:t>
      </w:r>
      <w:r>
        <w:rPr>
          <w:rFonts w:ascii="Trebuchet MS"/>
          <w:w w:val="105"/>
          <w:sz w:val="20"/>
        </w:rPr>
        <w:t>that,</w:t>
      </w:r>
      <w:r>
        <w:rPr>
          <w:rFonts w:ascii="Trebuchet MS"/>
          <w:spacing w:val="-16"/>
          <w:w w:val="105"/>
          <w:sz w:val="20"/>
        </w:rPr>
        <w:t> </w:t>
      </w:r>
      <w:r>
        <w:rPr>
          <w:rFonts w:ascii="Trebuchet MS"/>
          <w:w w:val="105"/>
          <w:sz w:val="20"/>
        </w:rPr>
        <w:t>in</w:t>
      </w:r>
      <w:r>
        <w:rPr>
          <w:rFonts w:ascii="Trebuchet MS"/>
          <w:spacing w:val="-17"/>
          <w:w w:val="105"/>
          <w:sz w:val="20"/>
        </w:rPr>
        <w:t> </w:t>
      </w:r>
      <w:r>
        <w:rPr>
          <w:rFonts w:ascii="Trebuchet MS"/>
          <w:w w:val="105"/>
          <w:sz w:val="20"/>
        </w:rPr>
        <w:t>making</w:t>
      </w:r>
      <w:r>
        <w:rPr>
          <w:rFonts w:ascii="Trebuchet MS"/>
          <w:spacing w:val="-16"/>
          <w:w w:val="105"/>
          <w:sz w:val="20"/>
        </w:rPr>
        <w:t> </w:t>
      </w:r>
      <w:r>
        <w:rPr>
          <w:rFonts w:ascii="Trebuchet MS"/>
          <w:w w:val="105"/>
          <w:sz w:val="20"/>
        </w:rPr>
        <w:t>a</w:t>
      </w:r>
      <w:r>
        <w:rPr>
          <w:rFonts w:ascii="Trebuchet MS"/>
          <w:spacing w:val="-17"/>
          <w:w w:val="105"/>
          <w:sz w:val="20"/>
        </w:rPr>
        <w:t> </w:t>
      </w:r>
      <w:r>
        <w:rPr>
          <w:rFonts w:ascii="Trebuchet MS"/>
          <w:w w:val="105"/>
          <w:sz w:val="20"/>
        </w:rPr>
        <w:t>decision</w:t>
      </w:r>
      <w:r>
        <w:rPr>
          <w:rFonts w:ascii="Trebuchet MS"/>
          <w:spacing w:val="-16"/>
          <w:w w:val="105"/>
          <w:sz w:val="20"/>
        </w:rPr>
        <w:t> </w:t>
      </w:r>
      <w:r>
        <w:rPr>
          <w:rFonts w:ascii="Trebuchet MS"/>
          <w:w w:val="105"/>
          <w:sz w:val="20"/>
        </w:rPr>
        <w:t>about</w:t>
      </w:r>
      <w:r>
        <w:rPr>
          <w:rFonts w:ascii="Trebuchet MS"/>
          <w:spacing w:val="-17"/>
          <w:w w:val="105"/>
          <w:sz w:val="20"/>
        </w:rPr>
        <w:t> </w:t>
      </w:r>
      <w:r>
        <w:rPr>
          <w:rFonts w:ascii="Trebuchet MS"/>
          <w:w w:val="105"/>
          <w:sz w:val="20"/>
        </w:rPr>
        <w:t>the </w:t>
      </w:r>
      <w:r>
        <w:rPr>
          <w:rFonts w:ascii="Trebuchet MS"/>
          <w:spacing w:val="-1"/>
          <w:w w:val="111"/>
          <w:sz w:val="20"/>
        </w:rPr>
        <w:t>p</w:t>
      </w:r>
      <w:r>
        <w:rPr>
          <w:rFonts w:ascii="Trebuchet MS"/>
          <w:spacing w:val="-4"/>
          <w:w w:val="93"/>
          <w:sz w:val="20"/>
        </w:rPr>
        <w:t>r</w:t>
      </w:r>
      <w:r>
        <w:rPr>
          <w:rFonts w:ascii="Trebuchet MS"/>
          <w:spacing w:val="-6"/>
          <w:w w:val="111"/>
          <w:sz w:val="20"/>
        </w:rPr>
        <w:t>o</w:t>
      </w:r>
      <w:r>
        <w:rPr>
          <w:rFonts w:ascii="Trebuchet MS"/>
          <w:spacing w:val="-2"/>
          <w:w w:val="109"/>
          <w:sz w:val="20"/>
        </w:rPr>
        <w:t>v</w:t>
      </w:r>
      <w:r>
        <w:rPr>
          <w:rFonts w:ascii="Trebuchet MS"/>
          <w:spacing w:val="-2"/>
          <w:w w:val="80"/>
          <w:sz w:val="20"/>
        </w:rPr>
        <w:t>i</w:t>
      </w:r>
      <w:r>
        <w:rPr>
          <w:rFonts w:ascii="Trebuchet MS"/>
          <w:spacing w:val="-2"/>
          <w:w w:val="122"/>
          <w:sz w:val="20"/>
        </w:rPr>
        <w:t>s</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4"/>
          <w:w w:val="93"/>
          <w:sz w:val="20"/>
        </w:rPr>
        <w:t>r</w:t>
      </w:r>
      <w:r>
        <w:rPr>
          <w:rFonts w:ascii="Trebuchet MS"/>
          <w:spacing w:val="-1"/>
          <w:w w:val="108"/>
          <w:sz w:val="20"/>
        </w:rPr>
        <w:t>e</w:t>
      </w:r>
      <w:r>
        <w:rPr>
          <w:rFonts w:ascii="Trebuchet MS"/>
          <w:w w:val="105"/>
          <w:sz w:val="20"/>
        </w:rPr>
        <w:t>a</w:t>
      </w:r>
      <w:r>
        <w:rPr>
          <w:rFonts w:ascii="Trebuchet MS"/>
          <w:spacing w:val="-1"/>
          <w:w w:val="122"/>
          <w:sz w:val="20"/>
        </w:rPr>
        <w:t>s</w:t>
      </w:r>
      <w:r>
        <w:rPr>
          <w:rFonts w:ascii="Trebuchet MS"/>
          <w:spacing w:val="-1"/>
          <w:w w:val="111"/>
          <w:sz w:val="20"/>
        </w:rPr>
        <w:t>o</w:t>
      </w:r>
      <w:r>
        <w:rPr>
          <w:rFonts w:ascii="Trebuchet MS"/>
          <w:spacing w:val="-1"/>
          <w:w w:val="107"/>
          <w:sz w:val="20"/>
        </w:rPr>
        <w:t>n</w:t>
      </w:r>
      <w:r>
        <w:rPr>
          <w:rFonts w:ascii="Trebuchet MS"/>
          <w:spacing w:val="-2"/>
          <w:w w:val="105"/>
          <w:sz w:val="20"/>
        </w:rPr>
        <w:t>a</w:t>
      </w:r>
      <w:r>
        <w:rPr>
          <w:rFonts w:ascii="Trebuchet MS"/>
          <w:spacing w:val="-2"/>
          <w:w w:val="111"/>
          <w:sz w:val="20"/>
        </w:rPr>
        <w:t>b</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2"/>
          <w:w w:val="105"/>
          <w:sz w:val="20"/>
        </w:rPr>
        <w:t>a</w:t>
      </w:r>
      <w:r>
        <w:rPr>
          <w:rFonts w:ascii="Trebuchet MS"/>
          <w:spacing w:val="-2"/>
          <w:w w:val="112"/>
          <w:sz w:val="20"/>
        </w:rPr>
        <w:t>d</w:t>
      </w:r>
      <w:r>
        <w:rPr>
          <w:rFonts w:ascii="Trebuchet MS"/>
          <w:spacing w:val="-2"/>
          <w:w w:val="64"/>
          <w:sz w:val="20"/>
        </w:rPr>
        <w:t>j</w:t>
      </w:r>
      <w:r>
        <w:rPr>
          <w:rFonts w:ascii="Trebuchet MS"/>
          <w:spacing w:val="-1"/>
          <w:w w:val="109"/>
          <w:sz w:val="20"/>
        </w:rPr>
        <w:t>u</w:t>
      </w:r>
      <w:r>
        <w:rPr>
          <w:rFonts w:ascii="Trebuchet MS"/>
          <w:spacing w:val="-1"/>
          <w:w w:val="122"/>
          <w:sz w:val="20"/>
        </w:rPr>
        <w:t>s</w:t>
      </w:r>
      <w:r>
        <w:rPr>
          <w:rFonts w:ascii="Trebuchet MS"/>
          <w:spacing w:val="-2"/>
          <w:w w:val="88"/>
          <w:sz w:val="20"/>
        </w:rPr>
        <w:t>t</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spacing w:val="2"/>
          <w:w w:val="88"/>
          <w:sz w:val="20"/>
        </w:rPr>
        <w:t>t</w:t>
      </w:r>
      <w:r>
        <w:rPr>
          <w:rFonts w:ascii="Trebuchet MS"/>
          <w:spacing w:val="1"/>
          <w:w w:val="122"/>
          <w:sz w:val="20"/>
        </w:rPr>
        <w:t>s</w:t>
      </w:r>
      <w:r>
        <w:rPr>
          <w:rFonts w:ascii="Trebuchet MS"/>
          <w:w w:val="57"/>
          <w:sz w:val="20"/>
        </w:rPr>
        <w:t>,</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64"/>
          <w:sz w:val="20"/>
        </w:rPr>
        <w:t>j</w:t>
      </w:r>
      <w:r>
        <w:rPr>
          <w:rFonts w:ascii="Trebuchet MS"/>
          <w:spacing w:val="-2"/>
          <w:w w:val="109"/>
          <w:sz w:val="20"/>
        </w:rPr>
        <w:t>u</w:t>
      </w:r>
      <w:r>
        <w:rPr>
          <w:rFonts w:ascii="Trebuchet MS"/>
          <w:spacing w:val="-2"/>
          <w:w w:val="112"/>
          <w:sz w:val="20"/>
        </w:rPr>
        <w:t>d</w:t>
      </w:r>
      <w:r>
        <w:rPr>
          <w:rFonts w:ascii="Trebuchet MS"/>
          <w:spacing w:val="-1"/>
          <w:w w:val="124"/>
          <w:sz w:val="20"/>
        </w:rPr>
        <w:t>g</w:t>
      </w:r>
      <w:r>
        <w:rPr>
          <w:rFonts w:ascii="Trebuchet MS"/>
          <w:w w:val="108"/>
          <w:sz w:val="20"/>
        </w:rPr>
        <w:t>e</w:t>
      </w:r>
      <w:r>
        <w:rPr>
          <w:rFonts w:ascii="Trebuchet MS"/>
          <w:spacing w:val="-14"/>
          <w:sz w:val="20"/>
        </w:rPr>
        <w:t> </w:t>
      </w:r>
      <w:r>
        <w:rPr>
          <w:rFonts w:ascii="Trebuchet MS"/>
          <w:spacing w:val="-1"/>
          <w:w w:val="111"/>
          <w:sz w:val="20"/>
        </w:rPr>
        <w:t>m</w:t>
      </w:r>
      <w:r>
        <w:rPr>
          <w:rFonts w:ascii="Trebuchet MS"/>
          <w:spacing w:val="-7"/>
          <w:w w:val="105"/>
          <w:sz w:val="20"/>
        </w:rPr>
        <w:t>a</w:t>
      </w:r>
      <w:r>
        <w:rPr>
          <w:rFonts w:ascii="Trebuchet MS"/>
          <w:w w:val="110"/>
          <w:sz w:val="20"/>
        </w:rPr>
        <w:t>y</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2"/>
          <w:w w:val="107"/>
          <w:sz w:val="20"/>
        </w:rPr>
        <w:t>n</w:t>
      </w:r>
      <w:r>
        <w:rPr>
          <w:rFonts w:ascii="Trebuchet MS"/>
          <w:spacing w:val="-2"/>
          <w:w w:val="122"/>
          <w:sz w:val="20"/>
        </w:rPr>
        <w:t>s</w:t>
      </w:r>
      <w:r>
        <w:rPr>
          <w:rFonts w:ascii="Trebuchet MS"/>
          <w:spacing w:val="-1"/>
          <w:w w:val="80"/>
          <w:sz w:val="20"/>
        </w:rPr>
        <w:t>i</w:t>
      </w:r>
      <w:r>
        <w:rPr>
          <w:rFonts w:ascii="Trebuchet MS"/>
          <w:spacing w:val="-2"/>
          <w:w w:val="112"/>
          <w:sz w:val="20"/>
        </w:rPr>
        <w:t>d</w:t>
      </w:r>
      <w:r>
        <w:rPr>
          <w:rFonts w:ascii="Trebuchet MS"/>
          <w:spacing w:val="-1"/>
          <w:w w:val="108"/>
          <w:sz w:val="20"/>
        </w:rPr>
        <w:t>e</w:t>
      </w:r>
      <w:r>
        <w:rPr>
          <w:rFonts w:ascii="Trebuchet MS"/>
          <w:w w:val="93"/>
          <w:sz w:val="20"/>
        </w:rPr>
        <w:t>r</w:t>
      </w:r>
      <w:r>
        <w:rPr>
          <w:rFonts w:ascii="Trebuchet MS"/>
          <w:spacing w:val="-14"/>
          <w:sz w:val="20"/>
        </w:rPr>
        <w:t> </w:t>
      </w:r>
      <w:r>
        <w:rPr>
          <w:rFonts w:ascii="Trebuchet MS"/>
          <w:spacing w:val="-1"/>
          <w:w w:val="107"/>
          <w:sz w:val="20"/>
        </w:rPr>
        <w:t>h</w:t>
      </w:r>
      <w:r>
        <w:rPr>
          <w:rFonts w:ascii="Trebuchet MS"/>
          <w:spacing w:val="-6"/>
          <w:w w:val="111"/>
          <w:sz w:val="20"/>
        </w:rPr>
        <w:t>o</w:t>
      </w:r>
      <w:r>
        <w:rPr>
          <w:rFonts w:ascii="Trebuchet MS"/>
          <w:w w:val="110"/>
          <w:sz w:val="20"/>
        </w:rPr>
        <w:t>w</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105"/>
          <w:sz w:val="20"/>
        </w:rPr>
        <w:t>a</w:t>
      </w:r>
      <w:r>
        <w:rPr>
          <w:rFonts w:ascii="Trebuchet MS"/>
          <w:spacing w:val="-2"/>
          <w:w w:val="112"/>
          <w:sz w:val="20"/>
        </w:rPr>
        <w:t>d</w:t>
      </w:r>
      <w:r>
        <w:rPr>
          <w:rFonts w:ascii="Trebuchet MS"/>
          <w:spacing w:val="-2"/>
          <w:w w:val="64"/>
          <w:sz w:val="20"/>
        </w:rPr>
        <w:t>j</w:t>
      </w:r>
      <w:r>
        <w:rPr>
          <w:rFonts w:ascii="Trebuchet MS"/>
          <w:spacing w:val="-1"/>
          <w:w w:val="109"/>
          <w:sz w:val="20"/>
        </w:rPr>
        <w:t>u</w:t>
      </w:r>
      <w:r>
        <w:rPr>
          <w:rFonts w:ascii="Trebuchet MS"/>
          <w:spacing w:val="-1"/>
          <w:w w:val="122"/>
          <w:sz w:val="20"/>
        </w:rPr>
        <w:t>s</w:t>
      </w:r>
      <w:r>
        <w:rPr>
          <w:rFonts w:ascii="Trebuchet MS"/>
          <w:spacing w:val="-2"/>
          <w:w w:val="88"/>
          <w:sz w:val="20"/>
        </w:rPr>
        <w:t>t</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spacing w:val="2"/>
          <w:w w:val="88"/>
          <w:sz w:val="20"/>
        </w:rPr>
        <w:t>t</w:t>
      </w:r>
      <w:r>
        <w:rPr>
          <w:rFonts w:ascii="Trebuchet MS"/>
          <w:w w:val="122"/>
          <w:sz w:val="20"/>
        </w:rPr>
        <w:t>s </w:t>
      </w:r>
      <w:r>
        <w:rPr>
          <w:rFonts w:ascii="Trebuchet MS"/>
          <w:spacing w:val="-3"/>
          <w:w w:val="105"/>
          <w:sz w:val="20"/>
        </w:rPr>
        <w:t>may </w:t>
      </w:r>
      <w:r>
        <w:rPr>
          <w:rFonts w:ascii="Trebuchet MS"/>
          <w:w w:val="105"/>
          <w:sz w:val="20"/>
        </w:rPr>
        <w:t>affect the trial, the impact on court resources and </w:t>
      </w:r>
      <w:r>
        <w:rPr>
          <w:rFonts w:ascii="Trebuchet MS"/>
          <w:spacing w:val="-3"/>
          <w:w w:val="105"/>
          <w:sz w:val="20"/>
        </w:rPr>
        <w:t>any </w:t>
      </w:r>
      <w:r>
        <w:rPr>
          <w:rFonts w:ascii="Trebuchet MS"/>
          <w:w w:val="105"/>
          <w:sz w:val="20"/>
        </w:rPr>
        <w:t>other issue that the judge</w:t>
      </w:r>
      <w:r>
        <w:rPr>
          <w:rFonts w:ascii="Trebuchet MS"/>
          <w:spacing w:val="-16"/>
          <w:w w:val="105"/>
          <w:sz w:val="20"/>
        </w:rPr>
        <w:t> </w:t>
      </w:r>
      <w:r>
        <w:rPr>
          <w:rFonts w:ascii="Trebuchet MS"/>
          <w:w w:val="105"/>
          <w:sz w:val="20"/>
        </w:rPr>
        <w:t>considers</w:t>
      </w:r>
      <w:r>
        <w:rPr>
          <w:rFonts w:ascii="Trebuchet MS"/>
          <w:spacing w:val="-16"/>
          <w:w w:val="105"/>
          <w:sz w:val="20"/>
        </w:rPr>
        <w:t> </w:t>
      </w:r>
      <w:r>
        <w:rPr>
          <w:rFonts w:ascii="Trebuchet MS"/>
          <w:spacing w:val="-3"/>
          <w:w w:val="105"/>
          <w:sz w:val="20"/>
        </w:rPr>
        <w:t>relevant.</w:t>
      </w:r>
      <w:r>
        <w:rPr>
          <w:rFonts w:ascii="Trebuchet MS"/>
          <w:spacing w:val="-15"/>
          <w:w w:val="105"/>
          <w:sz w:val="20"/>
        </w:rPr>
        <w:t> </w:t>
      </w:r>
      <w:r>
        <w:rPr>
          <w:rFonts w:ascii="Trebuchet MS"/>
          <w:w w:val="105"/>
          <w:sz w:val="20"/>
        </w:rPr>
        <w:t>The</w:t>
      </w:r>
      <w:r>
        <w:rPr>
          <w:rFonts w:ascii="Trebuchet MS"/>
          <w:spacing w:val="-16"/>
          <w:w w:val="105"/>
          <w:sz w:val="20"/>
        </w:rPr>
        <w:t> </w:t>
      </w:r>
      <w:r>
        <w:rPr>
          <w:rFonts w:ascii="Trebuchet MS"/>
          <w:w w:val="105"/>
          <w:sz w:val="20"/>
        </w:rPr>
        <w:t>Juries</w:t>
      </w:r>
      <w:r>
        <w:rPr>
          <w:rFonts w:ascii="Trebuchet MS"/>
          <w:spacing w:val="-15"/>
          <w:w w:val="105"/>
          <w:sz w:val="20"/>
        </w:rPr>
        <w:t> </w:t>
      </w:r>
      <w:r>
        <w:rPr>
          <w:rFonts w:ascii="Trebuchet MS"/>
          <w:spacing w:val="-2"/>
          <w:w w:val="105"/>
          <w:sz w:val="20"/>
        </w:rPr>
        <w:t>Act</w:t>
      </w:r>
      <w:r>
        <w:rPr>
          <w:rFonts w:ascii="Trebuchet MS"/>
          <w:spacing w:val="-16"/>
          <w:w w:val="105"/>
          <w:sz w:val="20"/>
        </w:rPr>
        <w:t> </w:t>
      </w:r>
      <w:r>
        <w:rPr>
          <w:rFonts w:ascii="Trebuchet MS"/>
          <w:w w:val="105"/>
          <w:sz w:val="20"/>
        </w:rPr>
        <w:t>should</w:t>
      </w:r>
      <w:r>
        <w:rPr>
          <w:rFonts w:ascii="Trebuchet MS"/>
          <w:spacing w:val="-15"/>
          <w:w w:val="105"/>
          <w:sz w:val="20"/>
        </w:rPr>
        <w:t> </w:t>
      </w:r>
      <w:r>
        <w:rPr>
          <w:rFonts w:ascii="Trebuchet MS"/>
          <w:w w:val="105"/>
          <w:sz w:val="20"/>
        </w:rPr>
        <w:t>also</w:t>
      </w:r>
      <w:r>
        <w:rPr>
          <w:rFonts w:ascii="Trebuchet MS"/>
          <w:spacing w:val="-16"/>
          <w:w w:val="105"/>
          <w:sz w:val="20"/>
        </w:rPr>
        <w:t> </w:t>
      </w:r>
      <w:r>
        <w:rPr>
          <w:rFonts w:ascii="Trebuchet MS"/>
          <w:w w:val="105"/>
          <w:sz w:val="20"/>
        </w:rPr>
        <w:t>specify</w:t>
      </w:r>
      <w:r>
        <w:rPr>
          <w:rFonts w:ascii="Trebuchet MS"/>
          <w:spacing w:val="-16"/>
          <w:w w:val="105"/>
          <w:sz w:val="20"/>
        </w:rPr>
        <w:t> </w:t>
      </w:r>
      <w:r>
        <w:rPr>
          <w:rFonts w:ascii="Trebuchet MS"/>
          <w:w w:val="105"/>
          <w:sz w:val="20"/>
        </w:rPr>
        <w:t>that</w:t>
      </w:r>
      <w:r>
        <w:rPr>
          <w:rFonts w:ascii="Trebuchet MS"/>
          <w:spacing w:val="-15"/>
          <w:w w:val="105"/>
          <w:sz w:val="20"/>
        </w:rPr>
        <w:t> </w:t>
      </w:r>
      <w:r>
        <w:rPr>
          <w:rFonts w:ascii="Trebuchet MS"/>
          <w:w w:val="105"/>
          <w:sz w:val="20"/>
        </w:rPr>
        <w:t>the</w:t>
      </w:r>
      <w:r>
        <w:rPr>
          <w:rFonts w:ascii="Trebuchet MS"/>
          <w:spacing w:val="-16"/>
          <w:w w:val="105"/>
          <w:sz w:val="20"/>
        </w:rPr>
        <w:t> </w:t>
      </w:r>
      <w:r>
        <w:rPr>
          <w:rFonts w:ascii="Trebuchet MS"/>
          <w:w w:val="105"/>
          <w:sz w:val="20"/>
        </w:rPr>
        <w:t>judge</w:t>
      </w:r>
      <w:r>
        <w:rPr>
          <w:rFonts w:ascii="Trebuchet MS"/>
          <w:spacing w:val="-15"/>
          <w:w w:val="105"/>
          <w:sz w:val="20"/>
        </w:rPr>
        <w:t> </w:t>
      </w:r>
      <w:r>
        <w:rPr>
          <w:rFonts w:ascii="Trebuchet MS"/>
          <w:spacing w:val="-3"/>
          <w:w w:val="105"/>
          <w:sz w:val="20"/>
        </w:rPr>
        <w:t>may</w:t>
      </w:r>
      <w:r>
        <w:rPr>
          <w:rFonts w:ascii="Trebuchet MS"/>
          <w:spacing w:val="-16"/>
          <w:w w:val="105"/>
          <w:sz w:val="20"/>
        </w:rPr>
        <w:t> </w:t>
      </w:r>
      <w:r>
        <w:rPr>
          <w:rFonts w:ascii="Trebuchet MS"/>
          <w:w w:val="105"/>
          <w:sz w:val="20"/>
        </w:rPr>
        <w:t>be </w:t>
      </w:r>
      <w:r>
        <w:rPr>
          <w:rFonts w:ascii="Trebuchet MS"/>
          <w:spacing w:val="-2"/>
          <w:w w:val="124"/>
          <w:sz w:val="20"/>
        </w:rPr>
        <w:t>g</w:t>
      </w:r>
      <w:r>
        <w:rPr>
          <w:rFonts w:ascii="Trebuchet MS"/>
          <w:spacing w:val="-1"/>
          <w:w w:val="109"/>
          <w:sz w:val="20"/>
        </w:rPr>
        <w:t>u</w:t>
      </w:r>
      <w:r>
        <w:rPr>
          <w:rFonts w:ascii="Trebuchet MS"/>
          <w:spacing w:val="-1"/>
          <w:w w:val="80"/>
          <w:sz w:val="20"/>
        </w:rPr>
        <w:t>i</w:t>
      </w:r>
      <w:r>
        <w:rPr>
          <w:rFonts w:ascii="Trebuchet MS"/>
          <w:spacing w:val="-2"/>
          <w:w w:val="112"/>
          <w:sz w:val="20"/>
        </w:rPr>
        <w:t>d</w:t>
      </w:r>
      <w:r>
        <w:rPr>
          <w:rFonts w:ascii="Trebuchet MS"/>
          <w:w w:val="108"/>
          <w:sz w:val="20"/>
        </w:rPr>
        <w:t>e</w:t>
      </w:r>
      <w:r>
        <w:rPr>
          <w:rFonts w:ascii="Trebuchet MS"/>
          <w:w w:val="112"/>
          <w:sz w:val="20"/>
        </w:rPr>
        <w:t>d</w:t>
      </w:r>
      <w:r>
        <w:rPr>
          <w:rFonts w:ascii="Trebuchet MS"/>
          <w:spacing w:val="-14"/>
          <w:sz w:val="20"/>
        </w:rPr>
        <w:t> </w:t>
      </w:r>
      <w:r>
        <w:rPr>
          <w:rFonts w:ascii="Trebuchet MS"/>
          <w:spacing w:val="-6"/>
          <w:w w:val="111"/>
          <w:sz w:val="20"/>
        </w:rPr>
        <w:t>b</w:t>
      </w:r>
      <w:r>
        <w:rPr>
          <w:rFonts w:ascii="Trebuchet MS"/>
          <w:w w:val="110"/>
          <w:sz w:val="20"/>
        </w:rPr>
        <w:t>y</w:t>
      </w:r>
      <w:r>
        <w:rPr>
          <w:rFonts w:ascii="Trebuchet MS"/>
          <w:spacing w:val="-14"/>
          <w:sz w:val="20"/>
        </w:rPr>
        <w:t> </w:t>
      </w:r>
      <w:r>
        <w:rPr>
          <w:rFonts w:ascii="Trebuchet MS"/>
          <w:spacing w:val="-2"/>
          <w:w w:val="105"/>
          <w:sz w:val="20"/>
        </w:rPr>
        <w:t>a</w:t>
      </w:r>
      <w:r>
        <w:rPr>
          <w:rFonts w:ascii="Trebuchet MS"/>
          <w:spacing w:val="-6"/>
          <w:w w:val="107"/>
          <w:sz w:val="20"/>
        </w:rPr>
        <w:t>n</w:t>
      </w:r>
      <w:r>
        <w:rPr>
          <w:rFonts w:ascii="Trebuchet MS"/>
          <w:w w:val="110"/>
          <w:sz w:val="20"/>
        </w:rPr>
        <w:t>y</w:t>
      </w:r>
      <w:r>
        <w:rPr>
          <w:rFonts w:ascii="Trebuchet MS"/>
          <w:spacing w:val="-14"/>
          <w:sz w:val="20"/>
        </w:rPr>
        <w:t> </w:t>
      </w:r>
      <w:r>
        <w:rPr>
          <w:rFonts w:ascii="Trebuchet MS"/>
          <w:spacing w:val="-5"/>
          <w:w w:val="108"/>
          <w:sz w:val="20"/>
        </w:rPr>
        <w:t>e</w:t>
      </w:r>
      <w:r>
        <w:rPr>
          <w:rFonts w:ascii="Trebuchet MS"/>
          <w:spacing w:val="-2"/>
          <w:w w:val="109"/>
          <w:sz w:val="20"/>
        </w:rPr>
        <w:t>v</w:t>
      </w:r>
      <w:r>
        <w:rPr>
          <w:rFonts w:ascii="Trebuchet MS"/>
          <w:spacing w:val="-1"/>
          <w:w w:val="80"/>
          <w:sz w:val="20"/>
        </w:rPr>
        <w:t>i</w:t>
      </w:r>
      <w:r>
        <w:rPr>
          <w:rFonts w:ascii="Trebuchet MS"/>
          <w:spacing w:val="-2"/>
          <w:w w:val="112"/>
          <w:sz w:val="20"/>
        </w:rPr>
        <w:t>d</w:t>
      </w:r>
      <w:r>
        <w:rPr>
          <w:rFonts w:ascii="Trebuchet MS"/>
          <w:spacing w:val="-1"/>
          <w:w w:val="108"/>
          <w:sz w:val="20"/>
        </w:rPr>
        <w:t>e</w:t>
      </w:r>
      <w:r>
        <w:rPr>
          <w:rFonts w:ascii="Trebuchet MS"/>
          <w:spacing w:val="-1"/>
          <w:w w:val="107"/>
          <w:sz w:val="20"/>
        </w:rPr>
        <w:t>n</w:t>
      </w:r>
      <w:r>
        <w:rPr>
          <w:rFonts w:ascii="Trebuchet MS"/>
          <w:spacing w:val="-3"/>
          <w:w w:val="111"/>
          <w:sz w:val="20"/>
        </w:rPr>
        <w:t>c</w:t>
      </w:r>
      <w:r>
        <w:rPr>
          <w:rFonts w:ascii="Trebuchet MS"/>
          <w:w w:val="108"/>
          <w:sz w:val="20"/>
        </w:rPr>
        <w:t>e</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spacing w:val="-4"/>
          <w:w w:val="105"/>
          <w:sz w:val="20"/>
        </w:rPr>
        <w:t>a</w:t>
      </w:r>
      <w:r>
        <w:rPr>
          <w:rFonts w:ascii="Trebuchet MS"/>
          <w:w w:val="88"/>
          <w:sz w:val="20"/>
        </w:rPr>
        <w:t>t</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spacing w:val="-5"/>
          <w:w w:val="108"/>
          <w:sz w:val="20"/>
        </w:rPr>
        <w:t>e</w:t>
      </w:r>
      <w:r>
        <w:rPr>
          <w:rFonts w:ascii="Trebuchet MS"/>
          <w:w w:val="110"/>
          <w:sz w:val="20"/>
        </w:rPr>
        <w:t>y</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2"/>
          <w:w w:val="107"/>
          <w:sz w:val="20"/>
        </w:rPr>
        <w:t>n</w:t>
      </w:r>
      <w:r>
        <w:rPr>
          <w:rFonts w:ascii="Trebuchet MS"/>
          <w:spacing w:val="-2"/>
          <w:w w:val="122"/>
          <w:sz w:val="20"/>
        </w:rPr>
        <w:t>s</w:t>
      </w:r>
      <w:r>
        <w:rPr>
          <w:rFonts w:ascii="Trebuchet MS"/>
          <w:spacing w:val="-1"/>
          <w:w w:val="80"/>
          <w:sz w:val="20"/>
        </w:rPr>
        <w:t>i</w:t>
      </w:r>
      <w:r>
        <w:rPr>
          <w:rFonts w:ascii="Trebuchet MS"/>
          <w:spacing w:val="-2"/>
          <w:w w:val="112"/>
          <w:sz w:val="20"/>
        </w:rPr>
        <w:t>d</w:t>
      </w:r>
      <w:r>
        <w:rPr>
          <w:rFonts w:ascii="Trebuchet MS"/>
          <w:spacing w:val="-1"/>
          <w:w w:val="108"/>
          <w:sz w:val="20"/>
        </w:rPr>
        <w:t>e</w:t>
      </w:r>
      <w:r>
        <w:rPr>
          <w:rFonts w:ascii="Trebuchet MS"/>
          <w:w w:val="93"/>
          <w:sz w:val="20"/>
        </w:rPr>
        <w:t>r</w:t>
      </w:r>
      <w:r>
        <w:rPr>
          <w:rFonts w:ascii="Trebuchet MS"/>
          <w:spacing w:val="-14"/>
          <w:sz w:val="20"/>
        </w:rPr>
        <w:t> </w:t>
      </w:r>
      <w:r>
        <w:rPr>
          <w:rFonts w:ascii="Trebuchet MS"/>
          <w:spacing w:val="-4"/>
          <w:w w:val="93"/>
          <w:sz w:val="20"/>
        </w:rPr>
        <w:t>r</w:t>
      </w:r>
      <w:r>
        <w:rPr>
          <w:rFonts w:ascii="Trebuchet MS"/>
          <w:spacing w:val="-1"/>
          <w:w w:val="108"/>
          <w:sz w:val="20"/>
        </w:rPr>
        <w:t>e</w:t>
      </w:r>
      <w:r>
        <w:rPr>
          <w:rFonts w:ascii="Trebuchet MS"/>
          <w:spacing w:val="-3"/>
          <w:w w:val="96"/>
          <w:sz w:val="20"/>
        </w:rPr>
        <w:t>l</w:t>
      </w:r>
      <w:r>
        <w:rPr>
          <w:rFonts w:ascii="Trebuchet MS"/>
          <w:spacing w:val="-5"/>
          <w:w w:val="108"/>
          <w:sz w:val="20"/>
        </w:rPr>
        <w:t>e</w:t>
      </w:r>
      <w:r>
        <w:rPr>
          <w:rFonts w:ascii="Trebuchet MS"/>
          <w:spacing w:val="-3"/>
          <w:w w:val="109"/>
          <w:sz w:val="20"/>
        </w:rPr>
        <w:t>v</w:t>
      </w:r>
      <w:r>
        <w:rPr>
          <w:rFonts w:ascii="Trebuchet MS"/>
          <w:spacing w:val="-2"/>
          <w:w w:val="105"/>
          <w:sz w:val="20"/>
        </w:rPr>
        <w:t>a</w:t>
      </w:r>
      <w:r>
        <w:rPr>
          <w:rFonts w:ascii="Trebuchet MS"/>
          <w:spacing w:val="-4"/>
          <w:w w:val="107"/>
          <w:sz w:val="20"/>
        </w:rPr>
        <w:t>n</w:t>
      </w:r>
      <w:r>
        <w:rPr>
          <w:rFonts w:ascii="Trebuchet MS"/>
          <w:w w:val="88"/>
          <w:sz w:val="20"/>
        </w:rPr>
        <w:t>t</w:t>
      </w:r>
      <w:r>
        <w:rPr>
          <w:rFonts w:ascii="Trebuchet MS"/>
          <w:spacing w:val="-14"/>
          <w:sz w:val="20"/>
        </w:rPr>
        <w:t> </w:t>
      </w:r>
      <w:r>
        <w:rPr>
          <w:rFonts w:ascii="Trebuchet MS"/>
          <w:spacing w:val="-2"/>
          <w:w w:val="80"/>
          <w:sz w:val="20"/>
        </w:rPr>
        <w:t>i</w:t>
      </w:r>
      <w:r>
        <w:rPr>
          <w:rFonts w:ascii="Trebuchet MS"/>
          <w:w w:val="107"/>
          <w:sz w:val="20"/>
        </w:rPr>
        <w:t>n</w:t>
      </w:r>
      <w:r>
        <w:rPr>
          <w:rFonts w:ascii="Trebuchet MS"/>
          <w:spacing w:val="-14"/>
          <w:sz w:val="20"/>
        </w:rPr>
        <w:t> </w:t>
      </w:r>
      <w:r>
        <w:rPr>
          <w:rFonts w:ascii="Trebuchet MS"/>
          <w:spacing w:val="-1"/>
          <w:w w:val="111"/>
          <w:sz w:val="20"/>
        </w:rPr>
        <w:t>m</w:t>
      </w:r>
      <w:r>
        <w:rPr>
          <w:rFonts w:ascii="Trebuchet MS"/>
          <w:spacing w:val="-2"/>
          <w:w w:val="105"/>
          <w:sz w:val="20"/>
        </w:rPr>
        <w:t>a</w:t>
      </w:r>
      <w:r>
        <w:rPr>
          <w:rFonts w:ascii="Trebuchet MS"/>
          <w:spacing w:val="-1"/>
          <w:w w:val="106"/>
          <w:sz w:val="20"/>
        </w:rPr>
        <w:t>k</w:t>
      </w:r>
      <w:r>
        <w:rPr>
          <w:rFonts w:ascii="Trebuchet MS"/>
          <w:spacing w:val="-2"/>
          <w:w w:val="80"/>
          <w:sz w:val="20"/>
        </w:rPr>
        <w:t>i</w:t>
      </w:r>
      <w:r>
        <w:rPr>
          <w:rFonts w:ascii="Trebuchet MS"/>
          <w:spacing w:val="-1"/>
          <w:w w:val="107"/>
          <w:sz w:val="20"/>
        </w:rPr>
        <w:t>n</w:t>
      </w:r>
      <w:r>
        <w:rPr>
          <w:rFonts w:ascii="Trebuchet MS"/>
          <w:w w:val="124"/>
          <w:sz w:val="20"/>
        </w:rPr>
        <w:t>g</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spacing w:val="-1"/>
          <w:w w:val="108"/>
          <w:sz w:val="20"/>
        </w:rPr>
        <w:t>e</w:t>
      </w:r>
      <w:r>
        <w:rPr>
          <w:rFonts w:ascii="Trebuchet MS"/>
          <w:spacing w:val="-2"/>
          <w:w w:val="80"/>
          <w:sz w:val="20"/>
        </w:rPr>
        <w:t>i</w:t>
      </w:r>
      <w:r>
        <w:rPr>
          <w:rFonts w:ascii="Trebuchet MS"/>
          <w:w w:val="93"/>
          <w:sz w:val="20"/>
        </w:rPr>
        <w:t>r</w:t>
      </w:r>
      <w:r>
        <w:rPr>
          <w:rFonts w:ascii="Trebuchet MS"/>
          <w:spacing w:val="-14"/>
          <w:sz w:val="20"/>
        </w:rPr>
        <w:t> </w:t>
      </w:r>
      <w:r>
        <w:rPr>
          <w:rFonts w:ascii="Trebuchet MS"/>
          <w:spacing w:val="-2"/>
          <w:w w:val="112"/>
          <w:sz w:val="20"/>
        </w:rPr>
        <w:t>d</w:t>
      </w:r>
      <w:r>
        <w:rPr>
          <w:rFonts w:ascii="Trebuchet MS"/>
          <w:w w:val="108"/>
          <w:sz w:val="20"/>
        </w:rPr>
        <w:t>e</w:t>
      </w:r>
      <w:r>
        <w:rPr>
          <w:rFonts w:ascii="Trebuchet MS"/>
          <w:spacing w:val="-2"/>
          <w:w w:val="111"/>
          <w:sz w:val="20"/>
        </w:rPr>
        <w:t>c</w:t>
      </w:r>
      <w:r>
        <w:rPr>
          <w:rFonts w:ascii="Trebuchet MS"/>
          <w:spacing w:val="-1"/>
          <w:w w:val="80"/>
          <w:sz w:val="20"/>
        </w:rPr>
        <w:t>i</w:t>
      </w:r>
      <w:r>
        <w:rPr>
          <w:rFonts w:ascii="Trebuchet MS"/>
          <w:spacing w:val="-2"/>
          <w:w w:val="122"/>
          <w:sz w:val="20"/>
        </w:rPr>
        <w:t>s</w:t>
      </w:r>
      <w:r>
        <w:rPr>
          <w:rFonts w:ascii="Trebuchet MS"/>
          <w:spacing w:val="-1"/>
          <w:w w:val="80"/>
          <w:sz w:val="20"/>
        </w:rPr>
        <w:t>i</w:t>
      </w:r>
      <w:r>
        <w:rPr>
          <w:rFonts w:ascii="Trebuchet MS"/>
          <w:spacing w:val="-1"/>
          <w:w w:val="111"/>
          <w:sz w:val="20"/>
        </w:rPr>
        <w:t>o</w:t>
      </w:r>
      <w:r>
        <w:rPr>
          <w:rFonts w:ascii="Trebuchet MS"/>
          <w:spacing w:val="-1"/>
          <w:w w:val="107"/>
          <w:sz w:val="20"/>
        </w:rPr>
        <w:t>n</w:t>
      </w:r>
      <w:r>
        <w:rPr>
          <w:rFonts w:ascii="Trebuchet MS"/>
          <w:w w:val="55"/>
          <w:sz w:val="20"/>
        </w:rPr>
        <w:t>.</w:t>
      </w:r>
    </w:p>
    <w:p>
      <w:pPr>
        <w:pStyle w:val="ListParagraph"/>
        <w:numPr>
          <w:ilvl w:val="1"/>
          <w:numId w:val="82"/>
        </w:numPr>
        <w:tabs>
          <w:tab w:pos="1761" w:val="left" w:leader="none"/>
          <w:tab w:pos="1762" w:val="left" w:leader="none"/>
        </w:tabs>
        <w:spacing w:line="247" w:lineRule="auto" w:before="90" w:after="0"/>
        <w:ind w:left="1761" w:right="1681" w:hanging="567"/>
        <w:jc w:val="left"/>
        <w:rPr>
          <w:rFonts w:ascii="Trebuchet MS"/>
          <w:sz w:val="20"/>
        </w:rPr>
      </w:pPr>
      <w:r>
        <w:rPr>
          <w:rFonts w:ascii="Trebuchet MS"/>
          <w:w w:val="105"/>
          <w:sz w:val="20"/>
        </w:rPr>
        <w:t>The</w:t>
      </w:r>
      <w:r>
        <w:rPr>
          <w:rFonts w:ascii="Trebuchet MS"/>
          <w:spacing w:val="-19"/>
          <w:w w:val="105"/>
          <w:sz w:val="20"/>
        </w:rPr>
        <w:t> </w:t>
      </w:r>
      <w:r>
        <w:rPr>
          <w:rFonts w:ascii="Trebuchet MS"/>
          <w:w w:val="105"/>
          <w:sz w:val="20"/>
        </w:rPr>
        <w:t>Juries</w:t>
      </w:r>
      <w:r>
        <w:rPr>
          <w:rFonts w:ascii="Trebuchet MS"/>
          <w:spacing w:val="-18"/>
          <w:w w:val="105"/>
          <w:sz w:val="20"/>
        </w:rPr>
        <w:t> </w:t>
      </w:r>
      <w:r>
        <w:rPr>
          <w:rFonts w:ascii="Trebuchet MS"/>
          <w:spacing w:val="-2"/>
          <w:w w:val="105"/>
          <w:sz w:val="20"/>
        </w:rPr>
        <w:t>Act</w:t>
      </w:r>
      <w:r>
        <w:rPr>
          <w:rFonts w:ascii="Trebuchet MS"/>
          <w:spacing w:val="-18"/>
          <w:w w:val="105"/>
          <w:sz w:val="20"/>
        </w:rPr>
        <w:t> </w:t>
      </w:r>
      <w:r>
        <w:rPr>
          <w:rFonts w:ascii="Trebuchet MS"/>
          <w:w w:val="105"/>
          <w:sz w:val="20"/>
        </w:rPr>
        <w:t>should</w:t>
      </w:r>
      <w:r>
        <w:rPr>
          <w:rFonts w:ascii="Trebuchet MS"/>
          <w:spacing w:val="-18"/>
          <w:w w:val="105"/>
          <w:sz w:val="20"/>
        </w:rPr>
        <w:t> </w:t>
      </w:r>
      <w:r>
        <w:rPr>
          <w:rFonts w:ascii="Trebuchet MS"/>
          <w:w w:val="105"/>
          <w:sz w:val="20"/>
        </w:rPr>
        <w:t>include</w:t>
      </w:r>
      <w:r>
        <w:rPr>
          <w:rFonts w:ascii="Trebuchet MS"/>
          <w:spacing w:val="-19"/>
          <w:w w:val="105"/>
          <w:sz w:val="20"/>
        </w:rPr>
        <w:t> </w:t>
      </w:r>
      <w:r>
        <w:rPr>
          <w:rFonts w:ascii="Trebuchet MS"/>
          <w:w w:val="105"/>
          <w:sz w:val="20"/>
        </w:rPr>
        <w:t>a</w:t>
      </w:r>
      <w:r>
        <w:rPr>
          <w:rFonts w:ascii="Trebuchet MS"/>
          <w:spacing w:val="-18"/>
          <w:w w:val="105"/>
          <w:sz w:val="20"/>
        </w:rPr>
        <w:t> </w:t>
      </w:r>
      <w:r>
        <w:rPr>
          <w:rFonts w:ascii="Trebuchet MS"/>
          <w:w w:val="105"/>
          <w:sz w:val="20"/>
        </w:rPr>
        <w:t>non-exhaustive</w:t>
      </w:r>
      <w:r>
        <w:rPr>
          <w:rFonts w:ascii="Trebuchet MS"/>
          <w:spacing w:val="-18"/>
          <w:w w:val="105"/>
          <w:sz w:val="20"/>
        </w:rPr>
        <w:t> </w:t>
      </w:r>
      <w:r>
        <w:rPr>
          <w:rFonts w:ascii="Trebuchet MS"/>
          <w:w w:val="105"/>
          <w:sz w:val="20"/>
        </w:rPr>
        <w:t>list</w:t>
      </w:r>
      <w:r>
        <w:rPr>
          <w:rFonts w:ascii="Trebuchet MS"/>
          <w:spacing w:val="-18"/>
          <w:w w:val="105"/>
          <w:sz w:val="20"/>
        </w:rPr>
        <w:t> </w:t>
      </w:r>
      <w:r>
        <w:rPr>
          <w:rFonts w:ascii="Trebuchet MS"/>
          <w:w w:val="105"/>
          <w:sz w:val="20"/>
        </w:rPr>
        <w:t>of</w:t>
      </w:r>
      <w:r>
        <w:rPr>
          <w:rFonts w:ascii="Trebuchet MS"/>
          <w:spacing w:val="-19"/>
          <w:w w:val="105"/>
          <w:sz w:val="20"/>
        </w:rPr>
        <w:t> </w:t>
      </w:r>
      <w:r>
        <w:rPr>
          <w:rFonts w:ascii="Trebuchet MS"/>
          <w:w w:val="105"/>
          <w:sz w:val="20"/>
        </w:rPr>
        <w:t>possible</w:t>
      </w:r>
      <w:r>
        <w:rPr>
          <w:rFonts w:ascii="Trebuchet MS"/>
          <w:spacing w:val="-18"/>
          <w:w w:val="105"/>
          <w:sz w:val="20"/>
        </w:rPr>
        <w:t> </w:t>
      </w:r>
      <w:r>
        <w:rPr>
          <w:rFonts w:ascii="Trebuchet MS"/>
          <w:w w:val="105"/>
          <w:sz w:val="20"/>
        </w:rPr>
        <w:t>adjustments</w:t>
      </w:r>
      <w:r>
        <w:rPr>
          <w:rFonts w:ascii="Trebuchet MS"/>
          <w:spacing w:val="-18"/>
          <w:w w:val="105"/>
          <w:sz w:val="20"/>
        </w:rPr>
        <w:t> </w:t>
      </w:r>
      <w:r>
        <w:rPr>
          <w:rFonts w:ascii="Trebuchet MS"/>
          <w:w w:val="105"/>
          <w:sz w:val="20"/>
        </w:rPr>
        <w:t>that </w:t>
      </w:r>
      <w:r>
        <w:rPr>
          <w:rFonts w:ascii="Trebuchet MS"/>
          <w:w w:val="111"/>
          <w:sz w:val="20"/>
        </w:rPr>
        <w:t>c</w:t>
      </w:r>
      <w:r>
        <w:rPr>
          <w:rFonts w:ascii="Trebuchet MS"/>
          <w:spacing w:val="-2"/>
          <w:w w:val="105"/>
          <w:sz w:val="20"/>
        </w:rPr>
        <w:t>a</w:t>
      </w:r>
      <w:r>
        <w:rPr>
          <w:rFonts w:ascii="Trebuchet MS"/>
          <w:w w:val="107"/>
          <w:sz w:val="20"/>
        </w:rPr>
        <w:t>n</w:t>
      </w:r>
      <w:r>
        <w:rPr>
          <w:rFonts w:ascii="Trebuchet MS"/>
          <w:spacing w:val="-14"/>
          <w:sz w:val="20"/>
        </w:rPr>
        <w:t> </w:t>
      </w:r>
      <w:r>
        <w:rPr>
          <w:rFonts w:ascii="Trebuchet MS"/>
          <w:spacing w:val="-1"/>
          <w:w w:val="111"/>
          <w:sz w:val="20"/>
        </w:rPr>
        <w:t>b</w:t>
      </w:r>
      <w:r>
        <w:rPr>
          <w:rFonts w:ascii="Trebuchet MS"/>
          <w:w w:val="108"/>
          <w:sz w:val="20"/>
        </w:rPr>
        <w:t>e</w:t>
      </w:r>
      <w:r>
        <w:rPr>
          <w:rFonts w:ascii="Trebuchet MS"/>
          <w:spacing w:val="-14"/>
          <w:sz w:val="20"/>
        </w:rPr>
        <w:t> </w:t>
      </w:r>
      <w:r>
        <w:rPr>
          <w:rFonts w:ascii="Trebuchet MS"/>
          <w:spacing w:val="-2"/>
          <w:w w:val="122"/>
          <w:sz w:val="20"/>
        </w:rPr>
        <w:t>s</w:t>
      </w:r>
      <w:r>
        <w:rPr>
          <w:rFonts w:ascii="Trebuchet MS"/>
          <w:spacing w:val="-1"/>
          <w:w w:val="109"/>
          <w:sz w:val="20"/>
        </w:rPr>
        <w:t>u</w:t>
      </w:r>
      <w:r>
        <w:rPr>
          <w:rFonts w:ascii="Trebuchet MS"/>
          <w:spacing w:val="-1"/>
          <w:w w:val="111"/>
          <w:sz w:val="20"/>
        </w:rPr>
        <w:t>p</w:t>
      </w:r>
      <w:r>
        <w:rPr>
          <w:rFonts w:ascii="Trebuchet MS"/>
          <w:spacing w:val="-2"/>
          <w:w w:val="111"/>
          <w:sz w:val="20"/>
        </w:rPr>
        <w:t>p</w:t>
      </w:r>
      <w:r>
        <w:rPr>
          <w:rFonts w:ascii="Trebuchet MS"/>
          <w:spacing w:val="-3"/>
          <w:w w:val="96"/>
          <w:sz w:val="20"/>
        </w:rPr>
        <w:t>l</w:t>
      </w:r>
      <w:r>
        <w:rPr>
          <w:rFonts w:ascii="Trebuchet MS"/>
          <w:spacing w:val="-1"/>
          <w:w w:val="108"/>
          <w:sz w:val="20"/>
        </w:rPr>
        <w:t>e</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spacing w:val="-4"/>
          <w:w w:val="88"/>
          <w:sz w:val="20"/>
        </w:rPr>
        <w:t>t</w:t>
      </w:r>
      <w:r>
        <w:rPr>
          <w:rFonts w:ascii="Trebuchet MS"/>
          <w:w w:val="108"/>
          <w:sz w:val="20"/>
        </w:rPr>
        <w:t>e</w:t>
      </w:r>
      <w:r>
        <w:rPr>
          <w:rFonts w:ascii="Trebuchet MS"/>
          <w:w w:val="112"/>
          <w:sz w:val="20"/>
        </w:rPr>
        <w:t>d</w:t>
      </w:r>
      <w:r>
        <w:rPr>
          <w:rFonts w:ascii="Trebuchet MS"/>
          <w:spacing w:val="-14"/>
          <w:sz w:val="20"/>
        </w:rPr>
        <w:t> </w:t>
      </w:r>
      <w:r>
        <w:rPr>
          <w:rFonts w:ascii="Trebuchet MS"/>
          <w:spacing w:val="-6"/>
          <w:w w:val="111"/>
          <w:sz w:val="20"/>
        </w:rPr>
        <w:t>b</w:t>
      </w:r>
      <w:r>
        <w:rPr>
          <w:rFonts w:ascii="Trebuchet MS"/>
          <w:w w:val="110"/>
          <w:sz w:val="20"/>
        </w:rPr>
        <w:t>y</w:t>
      </w:r>
      <w:r>
        <w:rPr>
          <w:rFonts w:ascii="Trebuchet MS"/>
          <w:spacing w:val="-14"/>
          <w:sz w:val="20"/>
        </w:rPr>
        <w:t> </w:t>
      </w:r>
      <w:r>
        <w:rPr>
          <w:rFonts w:ascii="Trebuchet MS"/>
          <w:spacing w:val="-4"/>
          <w:w w:val="93"/>
          <w:sz w:val="20"/>
        </w:rPr>
        <w:t>r</w:t>
      </w:r>
      <w:r>
        <w:rPr>
          <w:rFonts w:ascii="Trebuchet MS"/>
          <w:w w:val="108"/>
          <w:sz w:val="20"/>
        </w:rPr>
        <w:t>e</w:t>
      </w:r>
      <w:r>
        <w:rPr>
          <w:rFonts w:ascii="Trebuchet MS"/>
          <w:spacing w:val="-2"/>
          <w:w w:val="124"/>
          <w:sz w:val="20"/>
        </w:rPr>
        <w:t>g</w:t>
      </w:r>
      <w:r>
        <w:rPr>
          <w:rFonts w:ascii="Trebuchet MS"/>
          <w:spacing w:val="-2"/>
          <w:w w:val="109"/>
          <w:sz w:val="20"/>
        </w:rPr>
        <w:t>u</w:t>
      </w:r>
      <w:r>
        <w:rPr>
          <w:rFonts w:ascii="Trebuchet MS"/>
          <w:spacing w:val="1"/>
          <w:w w:val="96"/>
          <w:sz w:val="20"/>
        </w:rPr>
        <w:t>l</w:t>
      </w:r>
      <w:r>
        <w:rPr>
          <w:rFonts w:ascii="Trebuchet MS"/>
          <w:spacing w:val="-4"/>
          <w:w w:val="105"/>
          <w:sz w:val="20"/>
        </w:rPr>
        <w:t>a</w:t>
      </w:r>
      <w:r>
        <w:rPr>
          <w:rFonts w:ascii="Trebuchet MS"/>
          <w:spacing w:val="-2"/>
          <w:w w:val="88"/>
          <w:sz w:val="20"/>
        </w:rPr>
        <w:t>t</w:t>
      </w:r>
      <w:r>
        <w:rPr>
          <w:rFonts w:ascii="Trebuchet MS"/>
          <w:spacing w:val="-1"/>
          <w:w w:val="80"/>
          <w:sz w:val="20"/>
        </w:rPr>
        <w:t>i</w:t>
      </w:r>
      <w:r>
        <w:rPr>
          <w:rFonts w:ascii="Trebuchet MS"/>
          <w:spacing w:val="-1"/>
          <w:w w:val="111"/>
          <w:sz w:val="20"/>
        </w:rPr>
        <w:t>o</w:t>
      </w:r>
      <w:r>
        <w:rPr>
          <w:rFonts w:ascii="Trebuchet MS"/>
          <w:spacing w:val="-1"/>
          <w:w w:val="107"/>
          <w:sz w:val="20"/>
        </w:rPr>
        <w:t>n</w:t>
      </w:r>
      <w:r>
        <w:rPr>
          <w:rFonts w:ascii="Trebuchet MS"/>
          <w:w w:val="55"/>
          <w:sz w:val="20"/>
        </w:rPr>
        <w:t>.</w:t>
      </w:r>
      <w:r>
        <w:rPr>
          <w:rFonts w:ascii="Trebuchet MS"/>
          <w:spacing w:val="-14"/>
          <w:sz w:val="20"/>
        </w:rPr>
        <w:t> </w:t>
      </w:r>
      <w:r>
        <w:rPr>
          <w:rFonts w:ascii="Trebuchet MS"/>
          <w:spacing w:val="-2"/>
          <w:w w:val="105"/>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w w:val="96"/>
          <w:sz w:val="20"/>
        </w:rPr>
        <w:t>l</w:t>
      </w:r>
      <w:r>
        <w:rPr>
          <w:rFonts w:ascii="Trebuchet MS"/>
          <w:spacing w:val="-1"/>
          <w:w w:val="80"/>
          <w:sz w:val="20"/>
        </w:rPr>
        <w:t>i</w:t>
      </w:r>
      <w:r>
        <w:rPr>
          <w:rFonts w:ascii="Trebuchet MS"/>
          <w:spacing w:val="-1"/>
          <w:w w:val="122"/>
          <w:sz w:val="20"/>
        </w:rPr>
        <w:t>s</w:t>
      </w:r>
      <w:r>
        <w:rPr>
          <w:rFonts w:ascii="Trebuchet MS"/>
          <w:w w:val="88"/>
          <w:sz w:val="20"/>
        </w:rPr>
        <w:t>t</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1"/>
          <w:w w:val="111"/>
          <w:sz w:val="20"/>
        </w:rPr>
        <w:t>p</w:t>
      </w:r>
      <w:r>
        <w:rPr>
          <w:rFonts w:ascii="Trebuchet MS"/>
          <w:spacing w:val="-2"/>
          <w:w w:val="116"/>
          <w:sz w:val="20"/>
        </w:rPr>
        <w:t>o</w:t>
      </w:r>
      <w:r>
        <w:rPr>
          <w:rFonts w:ascii="Trebuchet MS"/>
          <w:spacing w:val="-1"/>
          <w:w w:val="116"/>
          <w:sz w:val="20"/>
        </w:rPr>
        <w:t>s</w:t>
      </w:r>
      <w:r>
        <w:rPr>
          <w:rFonts w:ascii="Trebuchet MS"/>
          <w:spacing w:val="-2"/>
          <w:w w:val="122"/>
          <w:sz w:val="20"/>
        </w:rPr>
        <w:t>s</w:t>
      </w:r>
      <w:r>
        <w:rPr>
          <w:rFonts w:ascii="Trebuchet MS"/>
          <w:spacing w:val="-2"/>
          <w:w w:val="80"/>
          <w:sz w:val="20"/>
        </w:rPr>
        <w:t>i</w:t>
      </w:r>
      <w:r>
        <w:rPr>
          <w:rFonts w:ascii="Trebuchet MS"/>
          <w:spacing w:val="-2"/>
          <w:w w:val="111"/>
          <w:sz w:val="20"/>
        </w:rPr>
        <w:t>b</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2"/>
          <w:w w:val="105"/>
          <w:sz w:val="20"/>
        </w:rPr>
        <w:t>a</w:t>
      </w:r>
      <w:r>
        <w:rPr>
          <w:rFonts w:ascii="Trebuchet MS"/>
          <w:spacing w:val="-2"/>
          <w:w w:val="112"/>
          <w:sz w:val="20"/>
        </w:rPr>
        <w:t>d</w:t>
      </w:r>
      <w:r>
        <w:rPr>
          <w:rFonts w:ascii="Trebuchet MS"/>
          <w:spacing w:val="-2"/>
          <w:w w:val="64"/>
          <w:sz w:val="20"/>
        </w:rPr>
        <w:t>j</w:t>
      </w:r>
      <w:r>
        <w:rPr>
          <w:rFonts w:ascii="Trebuchet MS"/>
          <w:spacing w:val="-1"/>
          <w:w w:val="109"/>
          <w:sz w:val="20"/>
        </w:rPr>
        <w:t>u</w:t>
      </w:r>
      <w:r>
        <w:rPr>
          <w:rFonts w:ascii="Trebuchet MS"/>
          <w:spacing w:val="-1"/>
          <w:w w:val="122"/>
          <w:sz w:val="20"/>
        </w:rPr>
        <w:t>s</w:t>
      </w:r>
      <w:r>
        <w:rPr>
          <w:rFonts w:ascii="Trebuchet MS"/>
          <w:spacing w:val="-2"/>
          <w:w w:val="88"/>
          <w:sz w:val="20"/>
        </w:rPr>
        <w:t>t</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spacing w:val="2"/>
          <w:w w:val="88"/>
          <w:sz w:val="20"/>
        </w:rPr>
        <w:t>t</w:t>
      </w:r>
      <w:r>
        <w:rPr>
          <w:rFonts w:ascii="Trebuchet MS"/>
          <w:w w:val="122"/>
          <w:sz w:val="20"/>
        </w:rPr>
        <w:t>s</w:t>
      </w:r>
      <w:r>
        <w:rPr>
          <w:rFonts w:ascii="Trebuchet MS"/>
          <w:spacing w:val="-14"/>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 </w:t>
      </w:r>
      <w:r>
        <w:rPr>
          <w:rFonts w:ascii="Trebuchet MS"/>
          <w:spacing w:val="-2"/>
          <w:w w:val="80"/>
          <w:sz w:val="20"/>
        </w:rPr>
        <w:t>i</w:t>
      </w:r>
      <w:r>
        <w:rPr>
          <w:rFonts w:ascii="Trebuchet MS"/>
          <w:spacing w:val="-1"/>
          <w:w w:val="109"/>
          <w:sz w:val="20"/>
        </w:rPr>
        <w:t>n</w:t>
      </w:r>
      <w:r>
        <w:rPr>
          <w:rFonts w:ascii="Trebuchet MS"/>
          <w:spacing w:val="-3"/>
          <w:w w:val="109"/>
          <w:sz w:val="20"/>
        </w:rPr>
        <w:t>c</w:t>
      </w:r>
      <w:r>
        <w:rPr>
          <w:rFonts w:ascii="Trebuchet MS"/>
          <w:spacing w:val="-3"/>
          <w:w w:val="96"/>
          <w:sz w:val="20"/>
        </w:rPr>
        <w:t>l</w:t>
      </w:r>
      <w:r>
        <w:rPr>
          <w:rFonts w:ascii="Trebuchet MS"/>
          <w:spacing w:val="-2"/>
          <w:w w:val="109"/>
          <w:sz w:val="20"/>
        </w:rPr>
        <w:t>u</w:t>
      </w:r>
      <w:r>
        <w:rPr>
          <w:rFonts w:ascii="Trebuchet MS"/>
          <w:spacing w:val="-2"/>
          <w:w w:val="112"/>
          <w:sz w:val="20"/>
        </w:rPr>
        <w:t>d</w:t>
      </w:r>
      <w:r>
        <w:rPr>
          <w:rFonts w:ascii="Trebuchet MS"/>
          <w:spacing w:val="-4"/>
          <w:w w:val="108"/>
          <w:sz w:val="20"/>
        </w:rPr>
        <w:t>e</w:t>
      </w:r>
      <w:r>
        <w:rPr>
          <w:rFonts w:ascii="Trebuchet MS"/>
          <w:w w:val="54"/>
          <w:sz w:val="20"/>
        </w:rPr>
        <w:t>:</w:t>
      </w:r>
      <w:r>
        <w:rPr>
          <w:rFonts w:ascii="Trebuchet MS"/>
          <w:spacing w:val="-14"/>
          <w:sz w:val="20"/>
        </w:rPr>
        <w:t> </w:t>
      </w:r>
      <w:r>
        <w:rPr>
          <w:rFonts w:ascii="Trebuchet MS"/>
          <w:spacing w:val="-4"/>
          <w:w w:val="114"/>
          <w:sz w:val="20"/>
        </w:rPr>
        <w:t>A</w:t>
      </w:r>
      <w:r>
        <w:rPr>
          <w:rFonts w:ascii="Trebuchet MS"/>
          <w:spacing w:val="-1"/>
          <w:w w:val="109"/>
          <w:sz w:val="20"/>
        </w:rPr>
        <w:t>u</w:t>
      </w:r>
      <w:r>
        <w:rPr>
          <w:rFonts w:ascii="Trebuchet MS"/>
          <w:spacing w:val="-2"/>
          <w:w w:val="122"/>
          <w:sz w:val="20"/>
        </w:rPr>
        <w:t>s</w:t>
      </w:r>
      <w:r>
        <w:rPr>
          <w:rFonts w:ascii="Trebuchet MS"/>
          <w:spacing w:val="1"/>
          <w:w w:val="96"/>
          <w:sz w:val="20"/>
        </w:rPr>
        <w:t>l</w:t>
      </w:r>
      <w:r>
        <w:rPr>
          <w:rFonts w:ascii="Trebuchet MS"/>
          <w:spacing w:val="-2"/>
          <w:w w:val="105"/>
          <w:sz w:val="20"/>
        </w:rPr>
        <w:t>a</w:t>
      </w:r>
      <w:r>
        <w:rPr>
          <w:rFonts w:ascii="Trebuchet MS"/>
          <w:w w:val="107"/>
          <w:sz w:val="20"/>
        </w:rPr>
        <w:t>n</w:t>
      </w:r>
      <w:r>
        <w:rPr>
          <w:rFonts w:ascii="Trebuchet MS"/>
          <w:spacing w:val="-14"/>
          <w:sz w:val="20"/>
        </w:rPr>
        <w:t> </w:t>
      </w:r>
      <w:r>
        <w:rPr>
          <w:rFonts w:ascii="Trebuchet MS"/>
          <w:spacing w:val="-2"/>
          <w:w w:val="80"/>
          <w:sz w:val="20"/>
        </w:rPr>
        <w:t>i</w:t>
      </w:r>
      <w:r>
        <w:rPr>
          <w:rFonts w:ascii="Trebuchet MS"/>
          <w:spacing w:val="-4"/>
          <w:w w:val="107"/>
          <w:sz w:val="20"/>
        </w:rPr>
        <w:t>n</w:t>
      </w:r>
      <w:r>
        <w:rPr>
          <w:rFonts w:ascii="Trebuchet MS"/>
          <w:spacing w:val="-4"/>
          <w:w w:val="88"/>
          <w:sz w:val="20"/>
        </w:rPr>
        <w:t>t</w:t>
      </w:r>
      <w:r>
        <w:rPr>
          <w:rFonts w:ascii="Trebuchet MS"/>
          <w:spacing w:val="-1"/>
          <w:w w:val="108"/>
          <w:sz w:val="20"/>
        </w:rPr>
        <w:t>e</w:t>
      </w:r>
      <w:r>
        <w:rPr>
          <w:rFonts w:ascii="Trebuchet MS"/>
          <w:spacing w:val="-2"/>
          <w:w w:val="93"/>
          <w:sz w:val="20"/>
        </w:rPr>
        <w:t>r</w:t>
      </w:r>
      <w:r>
        <w:rPr>
          <w:rFonts w:ascii="Trebuchet MS"/>
          <w:spacing w:val="-1"/>
          <w:w w:val="104"/>
          <w:sz w:val="20"/>
        </w:rPr>
        <w:t>p</w:t>
      </w:r>
      <w:r>
        <w:rPr>
          <w:rFonts w:ascii="Trebuchet MS"/>
          <w:spacing w:val="-4"/>
          <w:w w:val="104"/>
          <w:sz w:val="20"/>
        </w:rPr>
        <w:t>r</w:t>
      </w:r>
      <w:r>
        <w:rPr>
          <w:rFonts w:ascii="Trebuchet MS"/>
          <w:spacing w:val="-3"/>
          <w:w w:val="108"/>
          <w:sz w:val="20"/>
        </w:rPr>
        <w:t>e</w:t>
      </w:r>
      <w:r>
        <w:rPr>
          <w:rFonts w:ascii="Trebuchet MS"/>
          <w:spacing w:val="-4"/>
          <w:w w:val="88"/>
          <w:sz w:val="20"/>
        </w:rPr>
        <w:t>t</w:t>
      </w:r>
      <w:r>
        <w:rPr>
          <w:rFonts w:ascii="Trebuchet MS"/>
          <w:spacing w:val="-1"/>
          <w:w w:val="108"/>
          <w:sz w:val="20"/>
        </w:rPr>
        <w:t>e</w:t>
      </w:r>
      <w:r>
        <w:rPr>
          <w:rFonts w:ascii="Trebuchet MS"/>
          <w:spacing w:val="-1"/>
          <w:w w:val="108"/>
          <w:sz w:val="20"/>
        </w:rPr>
        <w:t>r</w:t>
      </w:r>
      <w:r>
        <w:rPr>
          <w:rFonts w:ascii="Trebuchet MS"/>
          <w:spacing w:val="-4"/>
          <w:w w:val="108"/>
          <w:sz w:val="20"/>
        </w:rPr>
        <w:t>s</w:t>
      </w:r>
      <w:r>
        <w:rPr>
          <w:rFonts w:ascii="Trebuchet MS"/>
          <w:w w:val="60"/>
          <w:sz w:val="20"/>
        </w:rPr>
        <w:t>;</w:t>
      </w:r>
      <w:r>
        <w:rPr>
          <w:rFonts w:ascii="Trebuchet MS"/>
          <w:spacing w:val="-14"/>
          <w:sz w:val="20"/>
        </w:rPr>
        <w:t> </w:t>
      </w:r>
      <w:r>
        <w:rPr>
          <w:rFonts w:ascii="Trebuchet MS"/>
          <w:spacing w:val="-2"/>
          <w:w w:val="122"/>
          <w:sz w:val="20"/>
        </w:rPr>
        <w:t>s</w:t>
      </w:r>
      <w:r>
        <w:rPr>
          <w:rFonts w:ascii="Trebuchet MS"/>
          <w:spacing w:val="-1"/>
          <w:w w:val="109"/>
          <w:sz w:val="20"/>
        </w:rPr>
        <w:t>u</w:t>
      </w:r>
      <w:r>
        <w:rPr>
          <w:rFonts w:ascii="Trebuchet MS"/>
          <w:spacing w:val="-1"/>
          <w:w w:val="111"/>
          <w:sz w:val="20"/>
        </w:rPr>
        <w:t>pp</w:t>
      </w:r>
      <w:r>
        <w:rPr>
          <w:rFonts w:ascii="Trebuchet MS"/>
          <w:spacing w:val="-1"/>
          <w:w w:val="111"/>
          <w:sz w:val="20"/>
        </w:rPr>
        <w:t>o</w:t>
      </w:r>
      <w:r>
        <w:rPr>
          <w:rFonts w:ascii="Trebuchet MS"/>
          <w:spacing w:val="2"/>
          <w:w w:val="93"/>
          <w:sz w:val="20"/>
        </w:rPr>
        <w:t>r</w:t>
      </w:r>
      <w:r>
        <w:rPr>
          <w:rFonts w:ascii="Trebuchet MS"/>
          <w:w w:val="88"/>
          <w:sz w:val="20"/>
        </w:rPr>
        <w:t>t</w:t>
      </w:r>
      <w:r>
        <w:rPr>
          <w:rFonts w:ascii="Trebuchet MS"/>
          <w:spacing w:val="-14"/>
          <w:sz w:val="20"/>
        </w:rPr>
        <w:t> </w:t>
      </w:r>
      <w:r>
        <w:rPr>
          <w:rFonts w:ascii="Trebuchet MS"/>
          <w:spacing w:val="-1"/>
          <w:w w:val="111"/>
          <w:sz w:val="20"/>
        </w:rPr>
        <w:t>p</w:t>
      </w:r>
      <w:r>
        <w:rPr>
          <w:rFonts w:ascii="Trebuchet MS"/>
          <w:spacing w:val="-1"/>
          <w:w w:val="108"/>
          <w:sz w:val="20"/>
        </w:rPr>
        <w:t>e</w:t>
      </w:r>
      <w:r>
        <w:rPr>
          <w:rFonts w:ascii="Trebuchet MS"/>
          <w:spacing w:val="-1"/>
          <w:w w:val="108"/>
          <w:sz w:val="20"/>
        </w:rPr>
        <w:t>rs</w:t>
      </w:r>
      <w:r>
        <w:rPr>
          <w:rFonts w:ascii="Trebuchet MS"/>
          <w:spacing w:val="-1"/>
          <w:w w:val="111"/>
          <w:sz w:val="20"/>
        </w:rPr>
        <w:t>o</w:t>
      </w:r>
      <w:r>
        <w:rPr>
          <w:rFonts w:ascii="Trebuchet MS"/>
          <w:spacing w:val="-2"/>
          <w:w w:val="107"/>
          <w:sz w:val="20"/>
        </w:rPr>
        <w:t>n</w:t>
      </w:r>
      <w:r>
        <w:rPr>
          <w:rFonts w:ascii="Trebuchet MS"/>
          <w:spacing w:val="-4"/>
          <w:w w:val="122"/>
          <w:sz w:val="20"/>
        </w:rPr>
        <w:t>s</w:t>
      </w:r>
      <w:r>
        <w:rPr>
          <w:rFonts w:ascii="Trebuchet MS"/>
          <w:w w:val="60"/>
          <w:sz w:val="20"/>
        </w:rPr>
        <w:t>;</w:t>
      </w:r>
      <w:r>
        <w:rPr>
          <w:rFonts w:ascii="Trebuchet MS"/>
          <w:spacing w:val="-14"/>
          <w:sz w:val="20"/>
        </w:rPr>
        <w:t> </w:t>
      </w:r>
      <w:r>
        <w:rPr>
          <w:rFonts w:ascii="Trebuchet MS"/>
          <w:spacing w:val="-2"/>
          <w:w w:val="105"/>
          <w:sz w:val="20"/>
        </w:rPr>
        <w:t>a</w:t>
      </w:r>
      <w:r>
        <w:rPr>
          <w:rFonts w:ascii="Trebuchet MS"/>
          <w:w w:val="107"/>
          <w:sz w:val="20"/>
        </w:rPr>
        <w:t>n</w:t>
      </w:r>
      <w:r>
        <w:rPr>
          <w:rFonts w:ascii="Trebuchet MS"/>
          <w:spacing w:val="-14"/>
          <w:sz w:val="20"/>
        </w:rPr>
        <w:t> </w:t>
      </w:r>
      <w:r>
        <w:rPr>
          <w:rFonts w:ascii="Trebuchet MS"/>
          <w:w w:val="105"/>
          <w:sz w:val="20"/>
        </w:rPr>
        <w:t>a</w:t>
      </w:r>
      <w:r>
        <w:rPr>
          <w:rFonts w:ascii="Trebuchet MS"/>
          <w:spacing w:val="-1"/>
          <w:w w:val="122"/>
          <w:sz w:val="20"/>
        </w:rPr>
        <w:t>s</w:t>
      </w:r>
      <w:r>
        <w:rPr>
          <w:rFonts w:ascii="Trebuchet MS"/>
          <w:spacing w:val="-2"/>
          <w:w w:val="122"/>
          <w:sz w:val="20"/>
        </w:rPr>
        <w:t>s</w:t>
      </w:r>
      <w:r>
        <w:rPr>
          <w:rFonts w:ascii="Trebuchet MS"/>
          <w:spacing w:val="-1"/>
          <w:w w:val="80"/>
          <w:sz w:val="20"/>
        </w:rPr>
        <w:t>i</w:t>
      </w:r>
      <w:r>
        <w:rPr>
          <w:rFonts w:ascii="Trebuchet MS"/>
          <w:spacing w:val="-1"/>
          <w:w w:val="122"/>
          <w:sz w:val="20"/>
        </w:rPr>
        <w:t>s</w:t>
      </w:r>
      <w:r>
        <w:rPr>
          <w:rFonts w:ascii="Trebuchet MS"/>
          <w:w w:val="88"/>
          <w:sz w:val="20"/>
        </w:rPr>
        <w:t>t</w:t>
      </w:r>
      <w:r>
        <w:rPr>
          <w:rFonts w:ascii="Trebuchet MS"/>
          <w:spacing w:val="-2"/>
          <w:w w:val="105"/>
          <w:sz w:val="20"/>
        </w:rPr>
        <w:t>a</w:t>
      </w:r>
      <w:r>
        <w:rPr>
          <w:rFonts w:ascii="Trebuchet MS"/>
          <w:spacing w:val="-1"/>
          <w:w w:val="109"/>
          <w:sz w:val="20"/>
        </w:rPr>
        <w:t>n</w:t>
      </w:r>
      <w:r>
        <w:rPr>
          <w:rFonts w:ascii="Trebuchet MS"/>
          <w:spacing w:val="-3"/>
          <w:w w:val="109"/>
          <w:sz w:val="20"/>
        </w:rPr>
        <w:t>c</w:t>
      </w:r>
      <w:r>
        <w:rPr>
          <w:rFonts w:ascii="Trebuchet MS"/>
          <w:w w:val="108"/>
          <w:sz w:val="20"/>
        </w:rPr>
        <w:t>e</w:t>
      </w:r>
      <w:r>
        <w:rPr>
          <w:rFonts w:ascii="Trebuchet MS"/>
          <w:spacing w:val="-14"/>
          <w:sz w:val="20"/>
        </w:rPr>
        <w:t> </w:t>
      </w:r>
      <w:r>
        <w:rPr>
          <w:rFonts w:ascii="Trebuchet MS"/>
          <w:spacing w:val="-2"/>
          <w:w w:val="105"/>
          <w:sz w:val="20"/>
        </w:rPr>
        <w:t>a</w:t>
      </w:r>
      <w:r>
        <w:rPr>
          <w:rFonts w:ascii="Trebuchet MS"/>
          <w:spacing w:val="-2"/>
          <w:w w:val="107"/>
          <w:sz w:val="20"/>
        </w:rPr>
        <w:t>n</w:t>
      </w:r>
      <w:r>
        <w:rPr>
          <w:rFonts w:ascii="Trebuchet MS"/>
          <w:spacing w:val="-2"/>
          <w:w w:val="80"/>
          <w:sz w:val="20"/>
        </w:rPr>
        <w:t>i</w:t>
      </w:r>
      <w:r>
        <w:rPr>
          <w:rFonts w:ascii="Trebuchet MS"/>
          <w:spacing w:val="-1"/>
          <w:w w:val="111"/>
          <w:sz w:val="20"/>
        </w:rPr>
        <w:t>m</w:t>
      </w:r>
      <w:r>
        <w:rPr>
          <w:rFonts w:ascii="Trebuchet MS"/>
          <w:spacing w:val="-3"/>
          <w:w w:val="105"/>
          <w:sz w:val="20"/>
        </w:rPr>
        <w:t>a</w:t>
      </w:r>
      <w:r>
        <w:rPr>
          <w:rFonts w:ascii="Trebuchet MS"/>
          <w:w w:val="96"/>
          <w:sz w:val="20"/>
        </w:rPr>
        <w:t>l</w:t>
      </w:r>
      <w:r>
        <w:rPr>
          <w:rFonts w:ascii="Trebuchet MS"/>
          <w:w w:val="60"/>
          <w:sz w:val="20"/>
        </w:rPr>
        <w:t>;</w:t>
      </w:r>
      <w:r>
        <w:rPr>
          <w:rFonts w:ascii="Trebuchet MS"/>
          <w:spacing w:val="-14"/>
          <w:sz w:val="20"/>
        </w:rPr>
        <w:t> </w:t>
      </w:r>
      <w:r>
        <w:rPr>
          <w:rFonts w:ascii="Trebuchet MS"/>
          <w:spacing w:val="-2"/>
          <w:w w:val="105"/>
          <w:sz w:val="20"/>
        </w:rPr>
        <w:t>a</w:t>
      </w:r>
      <w:r>
        <w:rPr>
          <w:rFonts w:ascii="Trebuchet MS"/>
          <w:spacing w:val="-1"/>
          <w:w w:val="110"/>
          <w:sz w:val="20"/>
        </w:rPr>
        <w:t>n</w:t>
      </w:r>
      <w:r>
        <w:rPr>
          <w:rFonts w:ascii="Trebuchet MS"/>
          <w:w w:val="110"/>
          <w:sz w:val="20"/>
        </w:rPr>
        <w:t>d</w:t>
      </w:r>
      <w:r>
        <w:rPr>
          <w:rFonts w:ascii="Trebuchet MS"/>
          <w:spacing w:val="-14"/>
          <w:sz w:val="20"/>
        </w:rPr>
        <w:t> </w:t>
      </w:r>
      <w:r>
        <w:rPr>
          <w:rFonts w:ascii="Trebuchet MS"/>
          <w:spacing w:val="-1"/>
          <w:w w:val="101"/>
          <w:sz w:val="20"/>
        </w:rPr>
        <w:t>di</w:t>
      </w:r>
      <w:r>
        <w:rPr>
          <w:rFonts w:ascii="Trebuchet MS"/>
          <w:w w:val="122"/>
          <w:sz w:val="20"/>
        </w:rPr>
        <w:t>s</w:t>
      </w:r>
      <w:r>
        <w:rPr>
          <w:rFonts w:ascii="Trebuchet MS"/>
          <w:spacing w:val="-2"/>
          <w:w w:val="105"/>
          <w:sz w:val="20"/>
        </w:rPr>
        <w:t>a</w:t>
      </w:r>
      <w:r>
        <w:rPr>
          <w:rFonts w:ascii="Trebuchet MS"/>
          <w:spacing w:val="-1"/>
          <w:w w:val="101"/>
          <w:sz w:val="20"/>
        </w:rPr>
        <w:t>b</w:t>
      </w:r>
      <w:r>
        <w:rPr>
          <w:rFonts w:ascii="Trebuchet MS"/>
          <w:spacing w:val="-2"/>
          <w:w w:val="101"/>
          <w:sz w:val="20"/>
        </w:rPr>
        <w:t>i</w:t>
      </w:r>
      <w:r>
        <w:rPr>
          <w:rFonts w:ascii="Trebuchet MS"/>
          <w:w w:val="96"/>
          <w:sz w:val="20"/>
        </w:rPr>
        <w:t>l</w:t>
      </w:r>
      <w:r>
        <w:rPr>
          <w:rFonts w:ascii="Trebuchet MS"/>
          <w:spacing w:val="-3"/>
          <w:w w:val="80"/>
          <w:sz w:val="20"/>
        </w:rPr>
        <w:t>i</w:t>
      </w:r>
      <w:r>
        <w:rPr>
          <w:rFonts w:ascii="Trebuchet MS"/>
          <w:w w:val="88"/>
          <w:sz w:val="20"/>
        </w:rPr>
        <w:t>t</w:t>
      </w:r>
      <w:r>
        <w:rPr>
          <w:rFonts w:ascii="Trebuchet MS"/>
          <w:w w:val="110"/>
          <w:sz w:val="20"/>
        </w:rPr>
        <w:t>y </w:t>
      </w:r>
      <w:r>
        <w:rPr>
          <w:rFonts w:ascii="Trebuchet MS"/>
          <w:w w:val="105"/>
          <w:sz w:val="20"/>
        </w:rPr>
        <w:t>aids</w:t>
      </w:r>
      <w:r>
        <w:rPr>
          <w:rFonts w:ascii="Trebuchet MS"/>
          <w:spacing w:val="-34"/>
          <w:w w:val="105"/>
          <w:sz w:val="20"/>
        </w:rPr>
        <w:t> </w:t>
      </w:r>
      <w:r>
        <w:rPr>
          <w:rFonts w:ascii="Trebuchet MS"/>
          <w:w w:val="105"/>
          <w:sz w:val="20"/>
        </w:rPr>
        <w:t>including</w:t>
      </w:r>
      <w:r>
        <w:rPr>
          <w:rFonts w:ascii="Trebuchet MS"/>
          <w:spacing w:val="-33"/>
          <w:w w:val="105"/>
          <w:sz w:val="20"/>
        </w:rPr>
        <w:t> </w:t>
      </w:r>
      <w:r>
        <w:rPr>
          <w:rFonts w:ascii="Trebuchet MS"/>
          <w:w w:val="105"/>
          <w:sz w:val="20"/>
        </w:rPr>
        <w:t>technological</w:t>
      </w:r>
      <w:r>
        <w:rPr>
          <w:rFonts w:ascii="Trebuchet MS"/>
          <w:spacing w:val="-34"/>
          <w:w w:val="105"/>
          <w:sz w:val="20"/>
        </w:rPr>
        <w:t> </w:t>
      </w:r>
      <w:r>
        <w:rPr>
          <w:rFonts w:ascii="Trebuchet MS"/>
          <w:w w:val="105"/>
          <w:sz w:val="20"/>
        </w:rPr>
        <w:t>aids</w:t>
      </w:r>
      <w:r>
        <w:rPr>
          <w:rFonts w:ascii="Trebuchet MS"/>
          <w:spacing w:val="-33"/>
          <w:w w:val="105"/>
          <w:sz w:val="20"/>
        </w:rPr>
        <w:t> </w:t>
      </w:r>
      <w:r>
        <w:rPr>
          <w:rFonts w:ascii="Trebuchet MS"/>
          <w:w w:val="105"/>
          <w:sz w:val="20"/>
        </w:rPr>
        <w:t>that</w:t>
      </w:r>
      <w:r>
        <w:rPr>
          <w:rFonts w:ascii="Trebuchet MS"/>
          <w:spacing w:val="-33"/>
          <w:w w:val="105"/>
          <w:sz w:val="20"/>
        </w:rPr>
        <w:t> </w:t>
      </w:r>
      <w:r>
        <w:rPr>
          <w:rFonts w:ascii="Trebuchet MS"/>
          <w:w w:val="105"/>
          <w:sz w:val="20"/>
        </w:rPr>
        <w:t>facilitate</w:t>
      </w:r>
      <w:r>
        <w:rPr>
          <w:rFonts w:ascii="Trebuchet MS"/>
          <w:spacing w:val="-34"/>
          <w:w w:val="105"/>
          <w:sz w:val="20"/>
        </w:rPr>
        <w:t> </w:t>
      </w:r>
      <w:r>
        <w:rPr>
          <w:rFonts w:ascii="Trebuchet MS"/>
          <w:w w:val="105"/>
          <w:sz w:val="20"/>
        </w:rPr>
        <w:t>communication,</w:t>
      </w:r>
      <w:r>
        <w:rPr>
          <w:rFonts w:ascii="Trebuchet MS"/>
          <w:spacing w:val="-33"/>
          <w:w w:val="105"/>
          <w:sz w:val="20"/>
        </w:rPr>
        <w:t> </w:t>
      </w:r>
      <w:r>
        <w:rPr>
          <w:rFonts w:ascii="Trebuchet MS"/>
          <w:w w:val="105"/>
          <w:sz w:val="20"/>
        </w:rPr>
        <w:t>for</w:t>
      </w:r>
      <w:r>
        <w:rPr>
          <w:rFonts w:ascii="Trebuchet MS"/>
          <w:spacing w:val="-34"/>
          <w:w w:val="105"/>
          <w:sz w:val="20"/>
        </w:rPr>
        <w:t> </w:t>
      </w:r>
      <w:r>
        <w:rPr>
          <w:rFonts w:ascii="Trebuchet MS"/>
          <w:spacing w:val="-3"/>
          <w:w w:val="105"/>
          <w:sz w:val="20"/>
        </w:rPr>
        <w:t>example,</w:t>
      </w:r>
      <w:r>
        <w:rPr>
          <w:rFonts w:ascii="Trebuchet MS"/>
          <w:spacing w:val="-33"/>
          <w:w w:val="105"/>
          <w:sz w:val="20"/>
        </w:rPr>
        <w:t> </w:t>
      </w:r>
      <w:r>
        <w:rPr>
          <w:rFonts w:ascii="Trebuchet MS"/>
          <w:spacing w:val="-3"/>
          <w:w w:val="105"/>
          <w:sz w:val="20"/>
        </w:rPr>
        <w:t>with </w:t>
      </w:r>
      <w:r>
        <w:rPr>
          <w:rFonts w:ascii="Trebuchet MS"/>
          <w:spacing w:val="-2"/>
          <w:w w:val="122"/>
          <w:sz w:val="20"/>
        </w:rPr>
        <w:t>s</w:t>
      </w:r>
      <w:r>
        <w:rPr>
          <w:rFonts w:ascii="Trebuchet MS"/>
          <w:spacing w:val="-1"/>
          <w:w w:val="111"/>
          <w:sz w:val="20"/>
        </w:rPr>
        <w:t>p</w:t>
      </w:r>
      <w:r>
        <w:rPr>
          <w:rFonts w:ascii="Trebuchet MS"/>
          <w:w w:val="108"/>
          <w:sz w:val="20"/>
        </w:rPr>
        <w:t>ee</w:t>
      </w:r>
      <w:r>
        <w:rPr>
          <w:rFonts w:ascii="Trebuchet MS"/>
          <w:spacing w:val="-2"/>
          <w:w w:val="111"/>
          <w:sz w:val="20"/>
        </w:rPr>
        <w:t>c</w:t>
      </w:r>
      <w:r>
        <w:rPr>
          <w:rFonts w:ascii="Trebuchet MS"/>
          <w:spacing w:val="-1"/>
          <w:w w:val="107"/>
          <w:sz w:val="20"/>
        </w:rPr>
        <w:t>h</w:t>
      </w:r>
      <w:r>
        <w:rPr>
          <w:rFonts w:ascii="Trebuchet MS"/>
          <w:spacing w:val="-5"/>
          <w:w w:val="115"/>
          <w:sz w:val="20"/>
        </w:rPr>
        <w:t>-</w:t>
      </w:r>
      <w:r>
        <w:rPr>
          <w:rFonts w:ascii="Trebuchet MS"/>
          <w:spacing w:val="-4"/>
          <w:w w:val="101"/>
          <w:sz w:val="20"/>
        </w:rPr>
        <w:t>t</w:t>
      </w:r>
      <w:r>
        <w:rPr>
          <w:rFonts w:ascii="Trebuchet MS"/>
          <w:spacing w:val="1"/>
          <w:w w:val="101"/>
          <w:sz w:val="20"/>
        </w:rPr>
        <w:t>o</w:t>
      </w:r>
      <w:r>
        <w:rPr>
          <w:rFonts w:ascii="Trebuchet MS"/>
          <w:spacing w:val="-5"/>
          <w:w w:val="115"/>
          <w:sz w:val="20"/>
        </w:rPr>
        <w:t>-</w:t>
      </w:r>
      <w:r>
        <w:rPr>
          <w:rFonts w:ascii="Trebuchet MS"/>
          <w:spacing w:val="-4"/>
          <w:w w:val="100"/>
          <w:sz w:val="20"/>
        </w:rPr>
        <w:t>t</w:t>
      </w:r>
      <w:r>
        <w:rPr>
          <w:rFonts w:ascii="Trebuchet MS"/>
          <w:spacing w:val="-5"/>
          <w:w w:val="100"/>
          <w:sz w:val="20"/>
        </w:rPr>
        <w:t>e</w:t>
      </w:r>
      <w:r>
        <w:rPr>
          <w:rFonts w:ascii="Trebuchet MS"/>
          <w:spacing w:val="2"/>
          <w:w w:val="102"/>
          <w:sz w:val="20"/>
        </w:rPr>
        <w:t>x</w:t>
      </w:r>
      <w:r>
        <w:rPr>
          <w:rFonts w:ascii="Trebuchet MS"/>
          <w:w w:val="88"/>
          <w:sz w:val="20"/>
        </w:rPr>
        <w:t>t</w:t>
      </w:r>
      <w:r>
        <w:rPr>
          <w:rFonts w:ascii="Trebuchet MS"/>
          <w:spacing w:val="-14"/>
          <w:sz w:val="20"/>
        </w:rPr>
        <w:t> </w:t>
      </w:r>
      <w:r>
        <w:rPr>
          <w:rFonts w:ascii="Trebuchet MS"/>
          <w:spacing w:val="-1"/>
          <w:w w:val="122"/>
          <w:sz w:val="20"/>
        </w:rPr>
        <w:t>s</w:t>
      </w:r>
      <w:r>
        <w:rPr>
          <w:rFonts w:ascii="Trebuchet MS"/>
          <w:spacing w:val="-4"/>
          <w:w w:val="111"/>
          <w:sz w:val="20"/>
        </w:rPr>
        <w:t>o</w:t>
      </w:r>
      <w:r>
        <w:rPr>
          <w:rFonts w:ascii="Trebuchet MS"/>
          <w:spacing w:val="2"/>
          <w:w w:val="92"/>
          <w:sz w:val="20"/>
        </w:rPr>
        <w:t>f</w:t>
      </w:r>
      <w:r>
        <w:rPr>
          <w:rFonts w:ascii="Trebuchet MS"/>
          <w:w w:val="88"/>
          <w:sz w:val="20"/>
        </w:rPr>
        <w:t>t</w:t>
      </w:r>
      <w:r>
        <w:rPr>
          <w:rFonts w:ascii="Trebuchet MS"/>
          <w:spacing w:val="-3"/>
          <w:w w:val="110"/>
          <w:sz w:val="20"/>
        </w:rPr>
        <w:t>w</w:t>
      </w:r>
      <w:r>
        <w:rPr>
          <w:rFonts w:ascii="Trebuchet MS"/>
          <w:spacing w:val="-2"/>
          <w:w w:val="105"/>
          <w:sz w:val="20"/>
        </w:rPr>
        <w:t>a</w:t>
      </w:r>
      <w:r>
        <w:rPr>
          <w:rFonts w:ascii="Trebuchet MS"/>
          <w:spacing w:val="-4"/>
          <w:w w:val="102"/>
          <w:sz w:val="20"/>
        </w:rPr>
        <w:t>r</w:t>
      </w:r>
      <w:r>
        <w:rPr>
          <w:rFonts w:ascii="Trebuchet MS"/>
          <w:w w:val="102"/>
          <w:sz w:val="20"/>
        </w:rPr>
        <w:t>e</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1"/>
          <w:w w:val="122"/>
          <w:sz w:val="20"/>
        </w:rPr>
        <w:t>s</w:t>
      </w:r>
      <w:r>
        <w:rPr>
          <w:rFonts w:ascii="Trebuchet MS"/>
          <w:spacing w:val="-2"/>
          <w:w w:val="111"/>
          <w:sz w:val="20"/>
        </w:rPr>
        <w:t>c</w:t>
      </w:r>
      <w:r>
        <w:rPr>
          <w:rFonts w:ascii="Trebuchet MS"/>
          <w:spacing w:val="-4"/>
          <w:w w:val="102"/>
          <w:sz w:val="20"/>
        </w:rPr>
        <w:t>r</w:t>
      </w:r>
      <w:r>
        <w:rPr>
          <w:rFonts w:ascii="Trebuchet MS"/>
          <w:w w:val="102"/>
          <w:sz w:val="20"/>
        </w:rPr>
        <w:t>e</w:t>
      </w:r>
      <w:r>
        <w:rPr>
          <w:rFonts w:ascii="Trebuchet MS"/>
          <w:spacing w:val="-1"/>
          <w:w w:val="108"/>
          <w:sz w:val="20"/>
        </w:rPr>
        <w:t>e</w:t>
      </w:r>
      <w:r>
        <w:rPr>
          <w:rFonts w:ascii="Trebuchet MS"/>
          <w:w w:val="107"/>
          <w:sz w:val="20"/>
        </w:rPr>
        <w:t>n</w:t>
      </w:r>
      <w:r>
        <w:rPr>
          <w:rFonts w:ascii="Trebuchet MS"/>
          <w:spacing w:val="-14"/>
          <w:sz w:val="20"/>
        </w:rPr>
        <w:t> </w:t>
      </w:r>
      <w:r>
        <w:rPr>
          <w:rFonts w:ascii="Trebuchet MS"/>
          <w:spacing w:val="-4"/>
          <w:w w:val="102"/>
          <w:sz w:val="20"/>
        </w:rPr>
        <w:t>r</w:t>
      </w:r>
      <w:r>
        <w:rPr>
          <w:rFonts w:ascii="Trebuchet MS"/>
          <w:spacing w:val="-1"/>
          <w:w w:val="102"/>
          <w:sz w:val="20"/>
        </w:rPr>
        <w:t>e</w:t>
      </w:r>
      <w:r>
        <w:rPr>
          <w:rFonts w:ascii="Trebuchet MS"/>
          <w:spacing w:val="-2"/>
          <w:w w:val="105"/>
          <w:sz w:val="20"/>
        </w:rPr>
        <w:t>a</w:t>
      </w:r>
      <w:r>
        <w:rPr>
          <w:rFonts w:ascii="Trebuchet MS"/>
          <w:spacing w:val="-1"/>
          <w:w w:val="112"/>
          <w:sz w:val="20"/>
        </w:rPr>
        <w:t>d</w:t>
      </w:r>
      <w:r>
        <w:rPr>
          <w:rFonts w:ascii="Trebuchet MS"/>
          <w:spacing w:val="-2"/>
          <w:w w:val="80"/>
          <w:sz w:val="20"/>
        </w:rPr>
        <w:t>i</w:t>
      </w:r>
      <w:r>
        <w:rPr>
          <w:rFonts w:ascii="Trebuchet MS"/>
          <w:spacing w:val="-1"/>
          <w:w w:val="107"/>
          <w:sz w:val="20"/>
        </w:rPr>
        <w:t>n</w:t>
      </w:r>
      <w:r>
        <w:rPr>
          <w:rFonts w:ascii="Trebuchet MS"/>
          <w:w w:val="124"/>
          <w:sz w:val="20"/>
        </w:rPr>
        <w:t>g</w:t>
      </w:r>
      <w:r>
        <w:rPr>
          <w:rFonts w:ascii="Trebuchet MS"/>
          <w:spacing w:val="-14"/>
          <w:sz w:val="20"/>
        </w:rPr>
        <w:t> </w:t>
      </w:r>
      <w:r>
        <w:rPr>
          <w:rFonts w:ascii="Trebuchet MS"/>
          <w:spacing w:val="-1"/>
          <w:w w:val="111"/>
          <w:sz w:val="20"/>
        </w:rPr>
        <w:t>p</w:t>
      </w:r>
      <w:r>
        <w:rPr>
          <w:rFonts w:ascii="Trebuchet MS"/>
          <w:spacing w:val="-4"/>
          <w:w w:val="103"/>
          <w:sz w:val="20"/>
        </w:rPr>
        <w:t>r</w:t>
      </w:r>
      <w:r>
        <w:rPr>
          <w:rFonts w:ascii="Trebuchet MS"/>
          <w:spacing w:val="-1"/>
          <w:w w:val="103"/>
          <w:sz w:val="20"/>
        </w:rPr>
        <w:t>o</w:t>
      </w:r>
      <w:r>
        <w:rPr>
          <w:rFonts w:ascii="Trebuchet MS"/>
          <w:spacing w:val="-2"/>
          <w:w w:val="124"/>
          <w:sz w:val="20"/>
        </w:rPr>
        <w:t>g</w:t>
      </w:r>
      <w:r>
        <w:rPr>
          <w:rFonts w:ascii="Trebuchet MS"/>
          <w:spacing w:val="-2"/>
          <w:w w:val="93"/>
          <w:sz w:val="20"/>
        </w:rPr>
        <w:t>r</w:t>
      </w:r>
      <w:r>
        <w:rPr>
          <w:rFonts w:ascii="Trebuchet MS"/>
          <w:spacing w:val="-2"/>
          <w:w w:val="105"/>
          <w:sz w:val="20"/>
        </w:rPr>
        <w:t>a</w:t>
      </w:r>
      <w:r>
        <w:rPr>
          <w:rFonts w:ascii="Trebuchet MS"/>
          <w:spacing w:val="-2"/>
          <w:w w:val="111"/>
          <w:sz w:val="20"/>
        </w:rPr>
        <w:t>m</w:t>
      </w:r>
      <w:r>
        <w:rPr>
          <w:rFonts w:ascii="Trebuchet MS"/>
          <w:spacing w:val="1"/>
          <w:w w:val="122"/>
          <w:sz w:val="20"/>
        </w:rPr>
        <w:t>s</w:t>
      </w:r>
      <w:r>
        <w:rPr>
          <w:rFonts w:ascii="Trebuchet MS"/>
          <w:w w:val="55"/>
          <w:sz w:val="20"/>
        </w:rPr>
        <w:t>.</w:t>
      </w:r>
    </w:p>
    <w:p>
      <w:pPr>
        <w:pStyle w:val="ListParagraph"/>
        <w:numPr>
          <w:ilvl w:val="1"/>
          <w:numId w:val="82"/>
        </w:numPr>
        <w:tabs>
          <w:tab w:pos="1761" w:val="left" w:leader="none"/>
          <w:tab w:pos="1762" w:val="left" w:leader="none"/>
        </w:tabs>
        <w:spacing w:line="247" w:lineRule="auto" w:before="89" w:after="0"/>
        <w:ind w:left="1761" w:right="1605" w:hanging="567"/>
        <w:jc w:val="left"/>
        <w:rPr>
          <w:rFonts w:ascii="Trebuchet MS"/>
          <w:sz w:val="20"/>
        </w:rPr>
      </w:pPr>
      <w:r>
        <w:rPr>
          <w:rFonts w:ascii="Trebuchet MS"/>
          <w:sz w:val="20"/>
        </w:rPr>
        <w:t>The Juries </w:t>
      </w:r>
      <w:r>
        <w:rPr>
          <w:rFonts w:ascii="Trebuchet MS"/>
          <w:spacing w:val="-2"/>
          <w:sz w:val="20"/>
        </w:rPr>
        <w:t>Act </w:t>
      </w:r>
      <w:r>
        <w:rPr>
          <w:rFonts w:ascii="Trebuchet MS"/>
          <w:sz w:val="20"/>
        </w:rPr>
        <w:t>should be amended to limit the operation of the 13th person rule to the extent necessary to </w:t>
      </w:r>
      <w:r>
        <w:rPr>
          <w:rFonts w:ascii="Trebuchet MS"/>
          <w:spacing w:val="-3"/>
          <w:sz w:val="20"/>
        </w:rPr>
        <w:t>allow interpreters </w:t>
      </w:r>
      <w:r>
        <w:rPr>
          <w:rFonts w:ascii="Trebuchet MS"/>
          <w:sz w:val="20"/>
        </w:rPr>
        <w:t>or support persons in the jury room, as </w:t>
      </w:r>
      <w:r>
        <w:rPr>
          <w:rFonts w:ascii="Trebuchet MS"/>
          <w:spacing w:val="-1"/>
          <w:w w:val="101"/>
          <w:sz w:val="20"/>
        </w:rPr>
        <w:t>d</w:t>
      </w:r>
      <w:r>
        <w:rPr>
          <w:rFonts w:ascii="Trebuchet MS"/>
          <w:spacing w:val="-2"/>
          <w:w w:val="101"/>
          <w:sz w:val="20"/>
        </w:rPr>
        <w:t>i</w:t>
      </w:r>
      <w:r>
        <w:rPr>
          <w:rFonts w:ascii="Trebuchet MS"/>
          <w:spacing w:val="-4"/>
          <w:w w:val="93"/>
          <w:sz w:val="20"/>
        </w:rPr>
        <w:t>r</w:t>
      </w:r>
      <w:r>
        <w:rPr>
          <w:rFonts w:ascii="Trebuchet MS"/>
          <w:w w:val="108"/>
          <w:sz w:val="20"/>
        </w:rPr>
        <w:t>e</w:t>
      </w:r>
      <w:r>
        <w:rPr>
          <w:rFonts w:ascii="Trebuchet MS"/>
          <w:spacing w:val="-2"/>
          <w:w w:val="111"/>
          <w:sz w:val="20"/>
        </w:rPr>
        <w:t>c</w:t>
      </w:r>
      <w:r>
        <w:rPr>
          <w:rFonts w:ascii="Trebuchet MS"/>
          <w:spacing w:val="-4"/>
          <w:w w:val="88"/>
          <w:sz w:val="20"/>
        </w:rPr>
        <w:t>t</w:t>
      </w:r>
      <w:r>
        <w:rPr>
          <w:rFonts w:ascii="Trebuchet MS"/>
          <w:w w:val="108"/>
          <w:sz w:val="20"/>
        </w:rPr>
        <w:t>e</w:t>
      </w:r>
      <w:r>
        <w:rPr>
          <w:rFonts w:ascii="Trebuchet MS"/>
          <w:w w:val="112"/>
          <w:sz w:val="20"/>
        </w:rPr>
        <w:t>d</w:t>
      </w:r>
      <w:r>
        <w:rPr>
          <w:rFonts w:ascii="Trebuchet MS"/>
          <w:spacing w:val="-14"/>
          <w:sz w:val="20"/>
        </w:rPr>
        <w:t> </w:t>
      </w:r>
      <w:r>
        <w:rPr>
          <w:rFonts w:ascii="Trebuchet MS"/>
          <w:spacing w:val="-6"/>
          <w:w w:val="111"/>
          <w:sz w:val="20"/>
        </w:rPr>
        <w:t>b</w:t>
      </w:r>
      <w:r>
        <w:rPr>
          <w:rFonts w:ascii="Trebuchet MS"/>
          <w:w w:val="110"/>
          <w:sz w:val="20"/>
        </w:rPr>
        <w:t>y</w:t>
      </w:r>
      <w:r>
        <w:rPr>
          <w:rFonts w:ascii="Trebuchet MS"/>
          <w:spacing w:val="-14"/>
          <w:sz w:val="20"/>
        </w:rPr>
        <w:t> </w:t>
      </w:r>
      <w:r>
        <w:rPr>
          <w:rFonts w:ascii="Trebuchet MS"/>
          <w:spacing w:val="-2"/>
          <w:w w:val="88"/>
          <w:sz w:val="20"/>
        </w:rPr>
        <w:t>t</w:t>
      </w:r>
      <w:r>
        <w:rPr>
          <w:rFonts w:ascii="Trebuchet MS"/>
          <w:spacing w:val="-1"/>
          <w:w w:val="108"/>
          <w:sz w:val="20"/>
        </w:rPr>
        <w:t>h</w:t>
      </w:r>
      <w:r>
        <w:rPr>
          <w:rFonts w:ascii="Trebuchet MS"/>
          <w:w w:val="108"/>
          <w:sz w:val="20"/>
        </w:rPr>
        <w:t>e</w:t>
      </w:r>
      <w:r>
        <w:rPr>
          <w:rFonts w:ascii="Trebuchet MS"/>
          <w:spacing w:val="-14"/>
          <w:sz w:val="20"/>
        </w:rPr>
        <w:t> </w:t>
      </w:r>
      <w:r>
        <w:rPr>
          <w:rFonts w:ascii="Trebuchet MS"/>
          <w:spacing w:val="-3"/>
          <w:w w:val="111"/>
          <w:sz w:val="20"/>
        </w:rPr>
        <w:t>c</w:t>
      </w:r>
      <w:r>
        <w:rPr>
          <w:rFonts w:ascii="Trebuchet MS"/>
          <w:spacing w:val="-1"/>
          <w:w w:val="106"/>
          <w:sz w:val="20"/>
        </w:rPr>
        <w:t>ou</w:t>
      </w:r>
      <w:r>
        <w:rPr>
          <w:rFonts w:ascii="Trebuchet MS"/>
          <w:spacing w:val="2"/>
          <w:w w:val="106"/>
          <w:sz w:val="20"/>
        </w:rPr>
        <w:t>r</w:t>
      </w:r>
      <w:r>
        <w:rPr>
          <w:rFonts w:ascii="Trebuchet MS"/>
          <w:spacing w:val="1"/>
          <w:w w:val="88"/>
          <w:sz w:val="20"/>
        </w:rPr>
        <w:t>t</w:t>
      </w:r>
      <w:r>
        <w:rPr>
          <w:rFonts w:ascii="Trebuchet MS"/>
          <w:w w:val="55"/>
          <w:sz w:val="20"/>
        </w:rPr>
        <w:t>.</w:t>
      </w:r>
    </w:p>
    <w:p>
      <w:pPr>
        <w:pStyle w:val="ListParagraph"/>
        <w:numPr>
          <w:ilvl w:val="1"/>
          <w:numId w:val="82"/>
        </w:numPr>
        <w:tabs>
          <w:tab w:pos="1761" w:val="left" w:leader="none"/>
          <w:tab w:pos="1762" w:val="left" w:leader="none"/>
        </w:tabs>
        <w:spacing w:line="247" w:lineRule="auto" w:before="87" w:after="0"/>
        <w:ind w:left="1761" w:right="1596" w:hanging="567"/>
        <w:jc w:val="left"/>
        <w:rPr>
          <w:rFonts w:ascii="Trebuchet MS"/>
          <w:sz w:val="20"/>
        </w:rPr>
      </w:pPr>
      <w:r>
        <w:rPr>
          <w:rFonts w:ascii="Trebuchet MS"/>
          <w:w w:val="105"/>
          <w:sz w:val="20"/>
        </w:rPr>
        <w:t>Schedule 2 clause 3(a) of the Juries </w:t>
      </w:r>
      <w:r>
        <w:rPr>
          <w:rFonts w:ascii="Trebuchet MS"/>
          <w:spacing w:val="-2"/>
          <w:w w:val="105"/>
          <w:sz w:val="20"/>
        </w:rPr>
        <w:t>Act </w:t>
      </w:r>
      <w:r>
        <w:rPr>
          <w:rFonts w:ascii="Trebuchet MS"/>
          <w:w w:val="105"/>
          <w:sz w:val="20"/>
        </w:rPr>
        <w:t>should not </w:t>
      </w:r>
      <w:r>
        <w:rPr>
          <w:rFonts w:ascii="Trebuchet MS"/>
          <w:spacing w:val="-3"/>
          <w:w w:val="105"/>
          <w:sz w:val="20"/>
        </w:rPr>
        <w:t>apply </w:t>
      </w:r>
      <w:r>
        <w:rPr>
          <w:rFonts w:ascii="Trebuchet MS"/>
          <w:w w:val="105"/>
          <w:sz w:val="20"/>
        </w:rPr>
        <w:t>if a judge rules that reasonable</w:t>
      </w:r>
      <w:r>
        <w:rPr>
          <w:rFonts w:ascii="Trebuchet MS"/>
          <w:spacing w:val="-14"/>
          <w:w w:val="105"/>
          <w:sz w:val="20"/>
        </w:rPr>
        <w:t> </w:t>
      </w:r>
      <w:r>
        <w:rPr>
          <w:rFonts w:ascii="Trebuchet MS"/>
          <w:w w:val="105"/>
          <w:sz w:val="20"/>
        </w:rPr>
        <w:t>adjustments</w:t>
      </w:r>
      <w:r>
        <w:rPr>
          <w:rFonts w:ascii="Trebuchet MS"/>
          <w:spacing w:val="-13"/>
          <w:w w:val="105"/>
          <w:sz w:val="20"/>
        </w:rPr>
        <w:t> </w:t>
      </w:r>
      <w:r>
        <w:rPr>
          <w:rFonts w:ascii="Trebuchet MS"/>
          <w:w w:val="105"/>
          <w:sz w:val="20"/>
        </w:rPr>
        <w:t>can</w:t>
      </w:r>
      <w:r>
        <w:rPr>
          <w:rFonts w:ascii="Trebuchet MS"/>
          <w:spacing w:val="-13"/>
          <w:w w:val="105"/>
          <w:sz w:val="20"/>
        </w:rPr>
        <w:t> </w:t>
      </w:r>
      <w:r>
        <w:rPr>
          <w:rFonts w:ascii="Trebuchet MS"/>
          <w:w w:val="105"/>
          <w:sz w:val="20"/>
        </w:rPr>
        <w:t>be</w:t>
      </w:r>
      <w:r>
        <w:rPr>
          <w:rFonts w:ascii="Trebuchet MS"/>
          <w:spacing w:val="-13"/>
          <w:w w:val="105"/>
          <w:sz w:val="20"/>
        </w:rPr>
        <w:t> </w:t>
      </w:r>
      <w:r>
        <w:rPr>
          <w:rFonts w:ascii="Trebuchet MS"/>
          <w:w w:val="105"/>
          <w:sz w:val="20"/>
        </w:rPr>
        <w:t>provided</w:t>
      </w:r>
      <w:r>
        <w:rPr>
          <w:rFonts w:ascii="Trebuchet MS"/>
          <w:spacing w:val="-14"/>
          <w:w w:val="105"/>
          <w:sz w:val="20"/>
        </w:rPr>
        <w:t> </w:t>
      </w:r>
      <w:r>
        <w:rPr>
          <w:rFonts w:ascii="Trebuchet MS"/>
          <w:w w:val="105"/>
          <w:sz w:val="20"/>
        </w:rPr>
        <w:t>to</w:t>
      </w:r>
      <w:r>
        <w:rPr>
          <w:rFonts w:ascii="Trebuchet MS"/>
          <w:spacing w:val="-13"/>
          <w:w w:val="105"/>
          <w:sz w:val="20"/>
        </w:rPr>
        <w:t> </w:t>
      </w:r>
      <w:r>
        <w:rPr>
          <w:rFonts w:ascii="Trebuchet MS"/>
          <w:w w:val="105"/>
          <w:sz w:val="20"/>
        </w:rPr>
        <w:t>enable</w:t>
      </w:r>
      <w:r>
        <w:rPr>
          <w:rFonts w:ascii="Trebuchet MS"/>
          <w:spacing w:val="-13"/>
          <w:w w:val="105"/>
          <w:sz w:val="20"/>
        </w:rPr>
        <w:t> </w:t>
      </w:r>
      <w:r>
        <w:rPr>
          <w:rFonts w:ascii="Trebuchet MS"/>
          <w:w w:val="105"/>
          <w:sz w:val="20"/>
        </w:rPr>
        <w:t>a</w:t>
      </w:r>
      <w:r>
        <w:rPr>
          <w:rFonts w:ascii="Trebuchet MS"/>
          <w:spacing w:val="-13"/>
          <w:w w:val="105"/>
          <w:sz w:val="20"/>
        </w:rPr>
        <w:t> </w:t>
      </w:r>
      <w:r>
        <w:rPr>
          <w:rFonts w:ascii="Trebuchet MS"/>
          <w:w w:val="105"/>
          <w:sz w:val="20"/>
        </w:rPr>
        <w:t>person</w:t>
      </w:r>
      <w:r>
        <w:rPr>
          <w:rFonts w:ascii="Trebuchet MS"/>
          <w:spacing w:val="-14"/>
          <w:w w:val="105"/>
          <w:sz w:val="20"/>
        </w:rPr>
        <w:t> </w:t>
      </w:r>
      <w:r>
        <w:rPr>
          <w:rFonts w:ascii="Trebuchet MS"/>
          <w:w w:val="105"/>
          <w:sz w:val="20"/>
        </w:rPr>
        <w:t>in</w:t>
      </w:r>
      <w:r>
        <w:rPr>
          <w:rFonts w:ascii="Trebuchet MS"/>
          <w:spacing w:val="-13"/>
          <w:w w:val="105"/>
          <w:sz w:val="20"/>
        </w:rPr>
        <w:t> </w:t>
      </w:r>
      <w:r>
        <w:rPr>
          <w:rFonts w:ascii="Trebuchet MS"/>
          <w:w w:val="105"/>
          <w:sz w:val="20"/>
        </w:rPr>
        <w:t>the</w:t>
      </w:r>
      <w:r>
        <w:rPr>
          <w:rFonts w:ascii="Trebuchet MS"/>
          <w:spacing w:val="-13"/>
          <w:w w:val="105"/>
          <w:sz w:val="20"/>
        </w:rPr>
        <w:t> </w:t>
      </w:r>
      <w:r>
        <w:rPr>
          <w:rFonts w:ascii="Trebuchet MS"/>
          <w:w w:val="105"/>
          <w:sz w:val="20"/>
        </w:rPr>
        <w:t>subject</w:t>
      </w:r>
      <w:r>
        <w:rPr>
          <w:rFonts w:ascii="Trebuchet MS"/>
          <w:spacing w:val="-13"/>
          <w:w w:val="105"/>
          <w:sz w:val="20"/>
        </w:rPr>
        <w:t> </w:t>
      </w:r>
      <w:r>
        <w:rPr>
          <w:rFonts w:ascii="Trebuchet MS"/>
          <w:spacing w:val="-2"/>
          <w:w w:val="105"/>
          <w:sz w:val="20"/>
        </w:rPr>
        <w:t>groups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1"/>
          <w:w w:val="122"/>
          <w:sz w:val="20"/>
        </w:rPr>
        <w:t>s</w:t>
      </w:r>
      <w:r>
        <w:rPr>
          <w:rFonts w:ascii="Trebuchet MS"/>
          <w:spacing w:val="-1"/>
          <w:w w:val="108"/>
          <w:sz w:val="20"/>
        </w:rPr>
        <w:t>e</w:t>
      </w:r>
      <w:r>
        <w:rPr>
          <w:rFonts w:ascii="Trebuchet MS"/>
          <w:spacing w:val="3"/>
          <w:w w:val="93"/>
          <w:sz w:val="20"/>
        </w:rPr>
        <w:t>r</w:t>
      </w:r>
      <w:r>
        <w:rPr>
          <w:rFonts w:ascii="Trebuchet MS"/>
          <w:spacing w:val="-6"/>
          <w:w w:val="109"/>
          <w:sz w:val="20"/>
        </w:rPr>
        <w:t>v</w:t>
      </w:r>
      <w:r>
        <w:rPr>
          <w:rFonts w:ascii="Trebuchet MS"/>
          <w:w w:val="108"/>
          <w:sz w:val="20"/>
        </w:rPr>
        <w:t>e</w:t>
      </w:r>
      <w:r>
        <w:rPr>
          <w:rFonts w:ascii="Trebuchet MS"/>
          <w:spacing w:val="-14"/>
          <w:sz w:val="20"/>
        </w:rPr>
        <w:t> </w:t>
      </w:r>
      <w:r>
        <w:rPr>
          <w:rFonts w:ascii="Trebuchet MS"/>
          <w:w w:val="105"/>
          <w:sz w:val="20"/>
        </w:rPr>
        <w:t>a</w:t>
      </w:r>
      <w:r>
        <w:rPr>
          <w:rFonts w:ascii="Trebuchet MS"/>
          <w:w w:val="122"/>
          <w:sz w:val="20"/>
        </w:rPr>
        <w:t>s</w:t>
      </w:r>
      <w:r>
        <w:rPr>
          <w:rFonts w:ascii="Trebuchet MS"/>
          <w:spacing w:val="-14"/>
          <w:sz w:val="20"/>
        </w:rPr>
        <w:t> </w:t>
      </w:r>
      <w:r>
        <w:rPr>
          <w:rFonts w:ascii="Trebuchet MS"/>
          <w:w w:val="105"/>
          <w:sz w:val="20"/>
        </w:rPr>
        <w:t>a</w:t>
      </w:r>
      <w:r>
        <w:rPr>
          <w:rFonts w:ascii="Trebuchet MS"/>
          <w:spacing w:val="-14"/>
          <w:sz w:val="20"/>
        </w:rPr>
        <w:t> </w:t>
      </w:r>
      <w:r>
        <w:rPr>
          <w:rFonts w:ascii="Trebuchet MS"/>
          <w:spacing w:val="-2"/>
          <w:w w:val="64"/>
          <w:sz w:val="20"/>
        </w:rPr>
        <w:t>j</w:t>
      </w:r>
      <w:r>
        <w:rPr>
          <w:rFonts w:ascii="Trebuchet MS"/>
          <w:spacing w:val="-1"/>
          <w:w w:val="109"/>
          <w:sz w:val="20"/>
        </w:rPr>
        <w:t>u</w:t>
      </w:r>
      <w:r>
        <w:rPr>
          <w:rFonts w:ascii="Trebuchet MS"/>
          <w:spacing w:val="-4"/>
          <w:w w:val="93"/>
          <w:sz w:val="20"/>
        </w:rPr>
        <w:t>r</w:t>
      </w:r>
      <w:r>
        <w:rPr>
          <w:rFonts w:ascii="Trebuchet MS"/>
          <w:spacing w:val="-1"/>
          <w:w w:val="111"/>
          <w:sz w:val="20"/>
        </w:rPr>
        <w:t>o</w:t>
      </w:r>
      <w:r>
        <w:rPr>
          <w:rFonts w:ascii="Trebuchet MS"/>
          <w:spacing w:val="-14"/>
          <w:w w:val="93"/>
          <w:sz w:val="20"/>
        </w:rPr>
        <w:t>r</w:t>
      </w:r>
      <w:r>
        <w:rPr>
          <w:rFonts w:ascii="Trebuchet MS"/>
          <w:w w:val="55"/>
          <w:sz w:val="20"/>
        </w:rPr>
        <w:t>.</w:t>
      </w:r>
    </w:p>
    <w:p>
      <w:pPr>
        <w:pStyle w:val="ListParagraph"/>
        <w:numPr>
          <w:ilvl w:val="1"/>
          <w:numId w:val="82"/>
        </w:numPr>
        <w:tabs>
          <w:tab w:pos="1761" w:val="left" w:leader="none"/>
          <w:tab w:pos="1762" w:val="left" w:leader="none"/>
        </w:tabs>
        <w:spacing w:line="247" w:lineRule="auto" w:before="88" w:after="0"/>
        <w:ind w:left="1761" w:right="1762" w:hanging="567"/>
        <w:jc w:val="left"/>
        <w:rPr>
          <w:rFonts w:ascii="Trebuchet MS"/>
          <w:sz w:val="20"/>
        </w:rPr>
      </w:pPr>
      <w:r>
        <w:rPr>
          <w:rFonts w:ascii="Trebuchet MS"/>
          <w:w w:val="105"/>
          <w:sz w:val="20"/>
        </w:rPr>
        <w:t>The</w:t>
      </w:r>
      <w:r>
        <w:rPr>
          <w:rFonts w:ascii="Trebuchet MS"/>
          <w:spacing w:val="-11"/>
          <w:w w:val="105"/>
          <w:sz w:val="20"/>
        </w:rPr>
        <w:t> </w:t>
      </w:r>
      <w:r>
        <w:rPr>
          <w:rFonts w:ascii="Trebuchet MS"/>
          <w:w w:val="105"/>
          <w:sz w:val="20"/>
        </w:rPr>
        <w:t>Juries</w:t>
      </w:r>
      <w:r>
        <w:rPr>
          <w:rFonts w:ascii="Trebuchet MS"/>
          <w:spacing w:val="-11"/>
          <w:w w:val="105"/>
          <w:sz w:val="20"/>
        </w:rPr>
        <w:t> </w:t>
      </w:r>
      <w:r>
        <w:rPr>
          <w:rFonts w:ascii="Trebuchet MS"/>
          <w:w w:val="105"/>
          <w:sz w:val="20"/>
        </w:rPr>
        <w:t>Commissioner</w:t>
      </w:r>
      <w:r>
        <w:rPr>
          <w:rFonts w:ascii="Trebuchet MS"/>
          <w:spacing w:val="-10"/>
          <w:w w:val="105"/>
          <w:sz w:val="20"/>
        </w:rPr>
        <w:t> </w:t>
      </w:r>
      <w:r>
        <w:rPr>
          <w:rFonts w:ascii="Trebuchet MS"/>
          <w:w w:val="105"/>
          <w:sz w:val="20"/>
        </w:rPr>
        <w:t>should</w:t>
      </w:r>
      <w:r>
        <w:rPr>
          <w:rFonts w:ascii="Trebuchet MS"/>
          <w:spacing w:val="-11"/>
          <w:w w:val="105"/>
          <w:sz w:val="20"/>
        </w:rPr>
        <w:t> </w:t>
      </w:r>
      <w:r>
        <w:rPr>
          <w:rFonts w:ascii="Trebuchet MS"/>
          <w:w w:val="105"/>
          <w:sz w:val="20"/>
        </w:rPr>
        <w:t>be</w:t>
      </w:r>
      <w:r>
        <w:rPr>
          <w:rFonts w:ascii="Trebuchet MS"/>
          <w:spacing w:val="-10"/>
          <w:w w:val="105"/>
          <w:sz w:val="20"/>
        </w:rPr>
        <w:t> </w:t>
      </w:r>
      <w:r>
        <w:rPr>
          <w:rFonts w:ascii="Trebuchet MS"/>
          <w:spacing w:val="-3"/>
          <w:w w:val="105"/>
          <w:sz w:val="20"/>
        </w:rPr>
        <w:t>given</w:t>
      </w:r>
      <w:r>
        <w:rPr>
          <w:rFonts w:ascii="Trebuchet MS"/>
          <w:spacing w:val="-11"/>
          <w:w w:val="105"/>
          <w:sz w:val="20"/>
        </w:rPr>
        <w:t> </w:t>
      </w:r>
      <w:r>
        <w:rPr>
          <w:rFonts w:ascii="Trebuchet MS"/>
          <w:w w:val="105"/>
          <w:sz w:val="20"/>
        </w:rPr>
        <w:t>a</w:t>
      </w:r>
      <w:r>
        <w:rPr>
          <w:rFonts w:ascii="Trebuchet MS"/>
          <w:spacing w:val="-11"/>
          <w:w w:val="105"/>
          <w:sz w:val="20"/>
        </w:rPr>
        <w:t> </w:t>
      </w:r>
      <w:r>
        <w:rPr>
          <w:rFonts w:ascii="Trebuchet MS"/>
          <w:w w:val="105"/>
          <w:sz w:val="20"/>
        </w:rPr>
        <w:t>new</w:t>
      </w:r>
      <w:r>
        <w:rPr>
          <w:rFonts w:ascii="Trebuchet MS"/>
          <w:spacing w:val="-10"/>
          <w:w w:val="105"/>
          <w:sz w:val="20"/>
        </w:rPr>
        <w:t> </w:t>
      </w:r>
      <w:r>
        <w:rPr>
          <w:rFonts w:ascii="Trebuchet MS"/>
          <w:spacing w:val="-3"/>
          <w:w w:val="105"/>
          <w:sz w:val="20"/>
        </w:rPr>
        <w:t>own</w:t>
      </w:r>
      <w:r>
        <w:rPr>
          <w:rFonts w:ascii="Trebuchet MS"/>
          <w:spacing w:val="-11"/>
          <w:w w:val="105"/>
          <w:sz w:val="20"/>
        </w:rPr>
        <w:t> </w:t>
      </w:r>
      <w:r>
        <w:rPr>
          <w:rFonts w:ascii="Trebuchet MS"/>
          <w:w w:val="105"/>
          <w:sz w:val="20"/>
        </w:rPr>
        <w:t>motion</w:t>
      </w:r>
      <w:r>
        <w:rPr>
          <w:rFonts w:ascii="Trebuchet MS"/>
          <w:spacing w:val="-10"/>
          <w:w w:val="105"/>
          <w:sz w:val="20"/>
        </w:rPr>
        <w:t> </w:t>
      </w:r>
      <w:r>
        <w:rPr>
          <w:rFonts w:ascii="Trebuchet MS"/>
          <w:spacing w:val="-3"/>
          <w:w w:val="105"/>
          <w:sz w:val="20"/>
        </w:rPr>
        <w:t>power</w:t>
      </w:r>
      <w:r>
        <w:rPr>
          <w:rFonts w:ascii="Trebuchet MS"/>
          <w:spacing w:val="-11"/>
          <w:w w:val="105"/>
          <w:sz w:val="20"/>
        </w:rPr>
        <w:t> </w:t>
      </w:r>
      <w:r>
        <w:rPr>
          <w:rFonts w:ascii="Trebuchet MS"/>
          <w:w w:val="105"/>
          <w:sz w:val="20"/>
        </w:rPr>
        <w:t>in</w:t>
      </w:r>
      <w:r>
        <w:rPr>
          <w:rFonts w:ascii="Trebuchet MS"/>
          <w:spacing w:val="-10"/>
          <w:w w:val="105"/>
          <w:sz w:val="20"/>
        </w:rPr>
        <w:t> </w:t>
      </w:r>
      <w:r>
        <w:rPr>
          <w:rFonts w:ascii="Trebuchet MS"/>
          <w:w w:val="105"/>
          <w:sz w:val="20"/>
        </w:rPr>
        <w:t>the</w:t>
      </w:r>
      <w:r>
        <w:rPr>
          <w:rFonts w:ascii="Trebuchet MS"/>
          <w:spacing w:val="-11"/>
          <w:w w:val="105"/>
          <w:sz w:val="20"/>
        </w:rPr>
        <w:t> </w:t>
      </w:r>
      <w:r>
        <w:rPr>
          <w:rFonts w:ascii="Trebuchet MS"/>
          <w:w w:val="105"/>
          <w:sz w:val="20"/>
        </w:rPr>
        <w:t>Juries </w:t>
      </w:r>
      <w:r>
        <w:rPr>
          <w:rFonts w:ascii="Trebuchet MS"/>
          <w:spacing w:val="-2"/>
          <w:w w:val="105"/>
          <w:sz w:val="20"/>
        </w:rPr>
        <w:t>Act</w:t>
      </w:r>
      <w:r>
        <w:rPr>
          <w:rFonts w:ascii="Trebuchet MS"/>
          <w:spacing w:val="-21"/>
          <w:w w:val="105"/>
          <w:sz w:val="20"/>
        </w:rPr>
        <w:t> </w:t>
      </w:r>
      <w:r>
        <w:rPr>
          <w:rFonts w:ascii="Trebuchet MS"/>
          <w:w w:val="105"/>
          <w:sz w:val="20"/>
        </w:rPr>
        <w:t>to</w:t>
      </w:r>
      <w:r>
        <w:rPr>
          <w:rFonts w:ascii="Trebuchet MS"/>
          <w:spacing w:val="-20"/>
          <w:w w:val="105"/>
          <w:sz w:val="20"/>
        </w:rPr>
        <w:t> </w:t>
      </w:r>
      <w:r>
        <w:rPr>
          <w:rFonts w:ascii="Trebuchet MS"/>
          <w:spacing w:val="-3"/>
          <w:w w:val="105"/>
          <w:sz w:val="20"/>
        </w:rPr>
        <w:t>defer</w:t>
      </w:r>
      <w:r>
        <w:rPr>
          <w:rFonts w:ascii="Trebuchet MS"/>
          <w:spacing w:val="-21"/>
          <w:w w:val="105"/>
          <w:sz w:val="20"/>
        </w:rPr>
        <w:t> </w:t>
      </w:r>
      <w:r>
        <w:rPr>
          <w:rFonts w:ascii="Trebuchet MS"/>
          <w:w w:val="105"/>
          <w:sz w:val="20"/>
        </w:rPr>
        <w:t>jury</w:t>
      </w:r>
      <w:r>
        <w:rPr>
          <w:rFonts w:ascii="Trebuchet MS"/>
          <w:spacing w:val="-20"/>
          <w:w w:val="105"/>
          <w:sz w:val="20"/>
        </w:rPr>
        <w:t> </w:t>
      </w:r>
      <w:r>
        <w:rPr>
          <w:rFonts w:ascii="Trebuchet MS"/>
          <w:w w:val="105"/>
          <w:sz w:val="20"/>
        </w:rPr>
        <w:t>service</w:t>
      </w:r>
      <w:r>
        <w:rPr>
          <w:rFonts w:ascii="Trebuchet MS"/>
          <w:spacing w:val="-21"/>
          <w:w w:val="105"/>
          <w:sz w:val="20"/>
        </w:rPr>
        <w:t> </w:t>
      </w:r>
      <w:r>
        <w:rPr>
          <w:rFonts w:ascii="Trebuchet MS"/>
          <w:w w:val="105"/>
          <w:sz w:val="20"/>
        </w:rPr>
        <w:t>for</w:t>
      </w:r>
      <w:r>
        <w:rPr>
          <w:rFonts w:ascii="Trebuchet MS"/>
          <w:spacing w:val="-20"/>
          <w:w w:val="105"/>
          <w:sz w:val="20"/>
        </w:rPr>
        <w:t> </w:t>
      </w:r>
      <w:r>
        <w:rPr>
          <w:rFonts w:ascii="Trebuchet MS"/>
          <w:w w:val="105"/>
          <w:sz w:val="20"/>
        </w:rPr>
        <w:t>a</w:t>
      </w:r>
      <w:r>
        <w:rPr>
          <w:rFonts w:ascii="Trebuchet MS"/>
          <w:spacing w:val="-21"/>
          <w:w w:val="105"/>
          <w:sz w:val="20"/>
        </w:rPr>
        <w:t> </w:t>
      </w:r>
      <w:r>
        <w:rPr>
          <w:rFonts w:ascii="Trebuchet MS"/>
          <w:w w:val="105"/>
          <w:sz w:val="20"/>
        </w:rPr>
        <w:t>person</w:t>
      </w:r>
      <w:r>
        <w:rPr>
          <w:rFonts w:ascii="Trebuchet MS"/>
          <w:spacing w:val="-20"/>
          <w:w w:val="105"/>
          <w:sz w:val="20"/>
        </w:rPr>
        <w:t> </w:t>
      </w:r>
      <w:r>
        <w:rPr>
          <w:rFonts w:ascii="Trebuchet MS"/>
          <w:w w:val="105"/>
          <w:sz w:val="20"/>
        </w:rPr>
        <w:t>in</w:t>
      </w:r>
      <w:r>
        <w:rPr>
          <w:rFonts w:ascii="Trebuchet MS"/>
          <w:spacing w:val="-21"/>
          <w:w w:val="105"/>
          <w:sz w:val="20"/>
        </w:rPr>
        <w:t> </w:t>
      </w:r>
      <w:r>
        <w:rPr>
          <w:rFonts w:ascii="Trebuchet MS"/>
          <w:w w:val="105"/>
          <w:sz w:val="20"/>
        </w:rPr>
        <w:t>the</w:t>
      </w:r>
      <w:r>
        <w:rPr>
          <w:rFonts w:ascii="Trebuchet MS"/>
          <w:spacing w:val="-20"/>
          <w:w w:val="105"/>
          <w:sz w:val="20"/>
        </w:rPr>
        <w:t> </w:t>
      </w:r>
      <w:r>
        <w:rPr>
          <w:rFonts w:ascii="Trebuchet MS"/>
          <w:w w:val="105"/>
          <w:sz w:val="20"/>
        </w:rPr>
        <w:t>subject</w:t>
      </w:r>
      <w:r>
        <w:rPr>
          <w:rFonts w:ascii="Trebuchet MS"/>
          <w:spacing w:val="-21"/>
          <w:w w:val="105"/>
          <w:sz w:val="20"/>
        </w:rPr>
        <w:t> </w:t>
      </w:r>
      <w:r>
        <w:rPr>
          <w:rFonts w:ascii="Trebuchet MS"/>
          <w:w w:val="105"/>
          <w:sz w:val="20"/>
        </w:rPr>
        <w:t>groups</w:t>
      </w:r>
      <w:r>
        <w:rPr>
          <w:rFonts w:ascii="Trebuchet MS"/>
          <w:spacing w:val="-20"/>
          <w:w w:val="105"/>
          <w:sz w:val="20"/>
        </w:rPr>
        <w:t> </w:t>
      </w:r>
      <w:r>
        <w:rPr>
          <w:rFonts w:ascii="Trebuchet MS"/>
          <w:w w:val="105"/>
          <w:sz w:val="20"/>
        </w:rPr>
        <w:t>to</w:t>
      </w:r>
      <w:r>
        <w:rPr>
          <w:rFonts w:ascii="Trebuchet MS"/>
          <w:spacing w:val="-21"/>
          <w:w w:val="105"/>
          <w:sz w:val="20"/>
        </w:rPr>
        <w:t> </w:t>
      </w:r>
      <w:r>
        <w:rPr>
          <w:rFonts w:ascii="Trebuchet MS"/>
          <w:w w:val="105"/>
          <w:sz w:val="20"/>
        </w:rPr>
        <w:t>better</w:t>
      </w:r>
      <w:r>
        <w:rPr>
          <w:rFonts w:ascii="Trebuchet MS"/>
          <w:spacing w:val="-20"/>
          <w:w w:val="105"/>
          <w:sz w:val="20"/>
        </w:rPr>
        <w:t> </w:t>
      </w:r>
      <w:r>
        <w:rPr>
          <w:rFonts w:ascii="Trebuchet MS"/>
          <w:w w:val="105"/>
          <w:sz w:val="20"/>
        </w:rPr>
        <w:t>enable</w:t>
      </w:r>
      <w:r>
        <w:rPr>
          <w:rFonts w:ascii="Trebuchet MS"/>
          <w:spacing w:val="-21"/>
          <w:w w:val="105"/>
          <w:sz w:val="20"/>
        </w:rPr>
        <w:t> </w:t>
      </w:r>
      <w:r>
        <w:rPr>
          <w:rFonts w:ascii="Trebuchet MS"/>
          <w:w w:val="105"/>
          <w:sz w:val="20"/>
        </w:rPr>
        <w:t>the </w:t>
      </w:r>
      <w:r>
        <w:rPr>
          <w:rFonts w:ascii="Trebuchet MS"/>
          <w:spacing w:val="-1"/>
          <w:w w:val="111"/>
          <w:sz w:val="20"/>
        </w:rPr>
        <w:t>p</w:t>
      </w:r>
      <w:r>
        <w:rPr>
          <w:rFonts w:ascii="Trebuchet MS"/>
          <w:spacing w:val="-4"/>
          <w:w w:val="93"/>
          <w:sz w:val="20"/>
        </w:rPr>
        <w:t>r</w:t>
      </w:r>
      <w:r>
        <w:rPr>
          <w:rFonts w:ascii="Trebuchet MS"/>
          <w:spacing w:val="-6"/>
          <w:w w:val="111"/>
          <w:sz w:val="20"/>
        </w:rPr>
        <w:t>o</w:t>
      </w:r>
      <w:r>
        <w:rPr>
          <w:rFonts w:ascii="Trebuchet MS"/>
          <w:spacing w:val="-2"/>
          <w:w w:val="109"/>
          <w:sz w:val="20"/>
        </w:rPr>
        <w:t>v</w:t>
      </w:r>
      <w:r>
        <w:rPr>
          <w:rFonts w:ascii="Trebuchet MS"/>
          <w:spacing w:val="-1"/>
          <w:w w:val="97"/>
          <w:sz w:val="20"/>
        </w:rPr>
        <w:t>isi</w:t>
      </w:r>
      <w:r>
        <w:rPr>
          <w:rFonts w:ascii="Trebuchet MS"/>
          <w:spacing w:val="-1"/>
          <w:w w:val="109"/>
          <w:sz w:val="20"/>
        </w:rPr>
        <w:t>o</w:t>
      </w:r>
      <w:r>
        <w:rPr>
          <w:rFonts w:ascii="Trebuchet MS"/>
          <w:w w:val="109"/>
          <w:sz w:val="20"/>
        </w:rPr>
        <w:t>n</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4"/>
          <w:w w:val="93"/>
          <w:sz w:val="20"/>
        </w:rPr>
        <w:t>r</w:t>
      </w:r>
      <w:r>
        <w:rPr>
          <w:rFonts w:ascii="Trebuchet MS"/>
          <w:spacing w:val="-1"/>
          <w:w w:val="108"/>
          <w:sz w:val="20"/>
        </w:rPr>
        <w:t>e</w:t>
      </w:r>
      <w:r>
        <w:rPr>
          <w:rFonts w:ascii="Trebuchet MS"/>
          <w:w w:val="105"/>
          <w:sz w:val="20"/>
        </w:rPr>
        <w:t>a</w:t>
      </w:r>
      <w:r>
        <w:rPr>
          <w:rFonts w:ascii="Trebuchet MS"/>
          <w:spacing w:val="-1"/>
          <w:w w:val="111"/>
          <w:sz w:val="20"/>
        </w:rPr>
        <w:t>son</w:t>
      </w:r>
      <w:r>
        <w:rPr>
          <w:rFonts w:ascii="Trebuchet MS"/>
          <w:spacing w:val="-2"/>
          <w:w w:val="111"/>
          <w:sz w:val="20"/>
        </w:rPr>
        <w:t>a</w:t>
      </w:r>
      <w:r>
        <w:rPr>
          <w:rFonts w:ascii="Trebuchet MS"/>
          <w:spacing w:val="-2"/>
          <w:w w:val="111"/>
          <w:sz w:val="20"/>
        </w:rPr>
        <w:t>b</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2"/>
          <w:w w:val="105"/>
          <w:sz w:val="20"/>
        </w:rPr>
        <w:t>a</w:t>
      </w:r>
      <w:r>
        <w:rPr>
          <w:rFonts w:ascii="Trebuchet MS"/>
          <w:spacing w:val="-2"/>
          <w:w w:val="112"/>
          <w:sz w:val="20"/>
        </w:rPr>
        <w:t>d</w:t>
      </w:r>
      <w:r>
        <w:rPr>
          <w:rFonts w:ascii="Trebuchet MS"/>
          <w:spacing w:val="-2"/>
          <w:w w:val="64"/>
          <w:sz w:val="20"/>
        </w:rPr>
        <w:t>j</w:t>
      </w:r>
      <w:r>
        <w:rPr>
          <w:rFonts w:ascii="Trebuchet MS"/>
          <w:spacing w:val="-1"/>
          <w:w w:val="109"/>
          <w:sz w:val="20"/>
        </w:rPr>
        <w:t>u</w:t>
      </w:r>
      <w:r>
        <w:rPr>
          <w:rFonts w:ascii="Trebuchet MS"/>
          <w:spacing w:val="-1"/>
          <w:w w:val="122"/>
          <w:sz w:val="20"/>
        </w:rPr>
        <w:t>s</w:t>
      </w:r>
      <w:r>
        <w:rPr>
          <w:rFonts w:ascii="Trebuchet MS"/>
          <w:spacing w:val="-2"/>
          <w:w w:val="88"/>
          <w:sz w:val="20"/>
        </w:rPr>
        <w:t>t</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spacing w:val="2"/>
          <w:w w:val="88"/>
          <w:sz w:val="20"/>
        </w:rPr>
        <w:t>t</w:t>
      </w:r>
      <w:r>
        <w:rPr>
          <w:rFonts w:ascii="Trebuchet MS"/>
          <w:spacing w:val="1"/>
          <w:w w:val="122"/>
          <w:sz w:val="20"/>
        </w:rPr>
        <w:t>s</w:t>
      </w:r>
      <w:r>
        <w:rPr>
          <w:rFonts w:ascii="Trebuchet MS"/>
          <w:w w:val="55"/>
          <w:sz w:val="20"/>
        </w:rPr>
        <w:t>.</w:t>
      </w:r>
    </w:p>
    <w:p>
      <w:pPr>
        <w:pStyle w:val="ListParagraph"/>
        <w:numPr>
          <w:ilvl w:val="1"/>
          <w:numId w:val="82"/>
        </w:numPr>
        <w:tabs>
          <w:tab w:pos="1761" w:val="left" w:leader="none"/>
          <w:tab w:pos="1762" w:val="left" w:leader="none"/>
        </w:tabs>
        <w:spacing w:line="247" w:lineRule="auto" w:before="87" w:after="0"/>
        <w:ind w:left="1761" w:right="1695" w:hanging="567"/>
        <w:jc w:val="left"/>
        <w:rPr>
          <w:rFonts w:ascii="Trebuchet MS"/>
          <w:sz w:val="20"/>
        </w:rPr>
      </w:pPr>
      <w:r>
        <w:rPr>
          <w:rFonts w:ascii="Trebuchet MS"/>
          <w:w w:val="105"/>
          <w:sz w:val="20"/>
        </w:rPr>
        <w:t>The Juries Commissioner should be </w:t>
      </w:r>
      <w:r>
        <w:rPr>
          <w:rFonts w:ascii="Trebuchet MS"/>
          <w:spacing w:val="-3"/>
          <w:w w:val="105"/>
          <w:sz w:val="20"/>
        </w:rPr>
        <w:t>given </w:t>
      </w:r>
      <w:r>
        <w:rPr>
          <w:rFonts w:ascii="Trebuchet MS"/>
          <w:w w:val="105"/>
          <w:sz w:val="20"/>
        </w:rPr>
        <w:t>a new </w:t>
      </w:r>
      <w:r>
        <w:rPr>
          <w:rFonts w:ascii="Trebuchet MS"/>
          <w:spacing w:val="-3"/>
          <w:w w:val="105"/>
          <w:sz w:val="20"/>
        </w:rPr>
        <w:t>power </w:t>
      </w:r>
      <w:r>
        <w:rPr>
          <w:rFonts w:ascii="Trebuchet MS"/>
          <w:w w:val="105"/>
          <w:sz w:val="20"/>
        </w:rPr>
        <w:t>in the Juries </w:t>
      </w:r>
      <w:r>
        <w:rPr>
          <w:rFonts w:ascii="Trebuchet MS"/>
          <w:spacing w:val="-2"/>
          <w:w w:val="105"/>
          <w:sz w:val="20"/>
        </w:rPr>
        <w:t>Act </w:t>
      </w:r>
      <w:r>
        <w:rPr>
          <w:rFonts w:ascii="Trebuchet MS"/>
          <w:w w:val="105"/>
          <w:sz w:val="20"/>
        </w:rPr>
        <w:t>to hold a</w:t>
      </w:r>
      <w:r>
        <w:rPr>
          <w:rFonts w:ascii="Trebuchet MS"/>
          <w:spacing w:val="-22"/>
          <w:w w:val="105"/>
          <w:sz w:val="20"/>
        </w:rPr>
        <w:t> </w:t>
      </w:r>
      <w:r>
        <w:rPr>
          <w:rFonts w:ascii="Trebuchet MS"/>
          <w:w w:val="105"/>
          <w:sz w:val="20"/>
        </w:rPr>
        <w:t>person</w:t>
      </w:r>
      <w:r>
        <w:rPr>
          <w:rFonts w:ascii="Trebuchet MS"/>
          <w:spacing w:val="-21"/>
          <w:w w:val="105"/>
          <w:sz w:val="20"/>
        </w:rPr>
        <w:t> </w:t>
      </w:r>
      <w:r>
        <w:rPr>
          <w:rFonts w:ascii="Trebuchet MS"/>
          <w:w w:val="105"/>
          <w:sz w:val="20"/>
        </w:rPr>
        <w:t>out</w:t>
      </w:r>
      <w:r>
        <w:rPr>
          <w:rFonts w:ascii="Trebuchet MS"/>
          <w:spacing w:val="-22"/>
          <w:w w:val="105"/>
          <w:sz w:val="20"/>
        </w:rPr>
        <w:t> </w:t>
      </w:r>
      <w:r>
        <w:rPr>
          <w:rFonts w:ascii="Trebuchet MS"/>
          <w:w w:val="105"/>
          <w:sz w:val="20"/>
        </w:rPr>
        <w:t>of</w:t>
      </w:r>
      <w:r>
        <w:rPr>
          <w:rFonts w:ascii="Trebuchet MS"/>
          <w:spacing w:val="-21"/>
          <w:w w:val="105"/>
          <w:sz w:val="20"/>
        </w:rPr>
        <w:t> </w:t>
      </w:r>
      <w:r>
        <w:rPr>
          <w:rFonts w:ascii="Trebuchet MS"/>
          <w:w w:val="105"/>
          <w:sz w:val="20"/>
        </w:rPr>
        <w:t>a</w:t>
      </w:r>
      <w:r>
        <w:rPr>
          <w:rFonts w:ascii="Trebuchet MS"/>
          <w:spacing w:val="-22"/>
          <w:w w:val="105"/>
          <w:sz w:val="20"/>
        </w:rPr>
        <w:t> </w:t>
      </w:r>
      <w:r>
        <w:rPr>
          <w:rFonts w:ascii="Trebuchet MS"/>
          <w:spacing w:val="-3"/>
          <w:w w:val="105"/>
          <w:sz w:val="20"/>
        </w:rPr>
        <w:t>ballot</w:t>
      </w:r>
      <w:r>
        <w:rPr>
          <w:rFonts w:ascii="Trebuchet MS"/>
          <w:spacing w:val="-21"/>
          <w:w w:val="105"/>
          <w:sz w:val="20"/>
        </w:rPr>
        <w:t> </w:t>
      </w:r>
      <w:r>
        <w:rPr>
          <w:rFonts w:ascii="Trebuchet MS"/>
          <w:w w:val="105"/>
          <w:sz w:val="20"/>
        </w:rPr>
        <w:t>for</w:t>
      </w:r>
      <w:r>
        <w:rPr>
          <w:rFonts w:ascii="Trebuchet MS"/>
          <w:spacing w:val="-22"/>
          <w:w w:val="105"/>
          <w:sz w:val="20"/>
        </w:rPr>
        <w:t> </w:t>
      </w:r>
      <w:r>
        <w:rPr>
          <w:rFonts w:ascii="Trebuchet MS"/>
          <w:w w:val="105"/>
          <w:sz w:val="20"/>
        </w:rPr>
        <w:t>a</w:t>
      </w:r>
      <w:r>
        <w:rPr>
          <w:rFonts w:ascii="Trebuchet MS"/>
          <w:spacing w:val="-21"/>
          <w:w w:val="105"/>
          <w:sz w:val="20"/>
        </w:rPr>
        <w:t> </w:t>
      </w:r>
      <w:r>
        <w:rPr>
          <w:rFonts w:ascii="Trebuchet MS"/>
          <w:w w:val="105"/>
          <w:sz w:val="20"/>
        </w:rPr>
        <w:t>panel</w:t>
      </w:r>
      <w:r>
        <w:rPr>
          <w:rFonts w:ascii="Trebuchet MS"/>
          <w:spacing w:val="-22"/>
          <w:w w:val="105"/>
          <w:sz w:val="20"/>
        </w:rPr>
        <w:t> </w:t>
      </w:r>
      <w:r>
        <w:rPr>
          <w:rFonts w:ascii="Trebuchet MS"/>
          <w:w w:val="105"/>
          <w:sz w:val="20"/>
        </w:rPr>
        <w:t>where</w:t>
      </w:r>
      <w:r>
        <w:rPr>
          <w:rFonts w:ascii="Trebuchet MS"/>
          <w:spacing w:val="-21"/>
          <w:w w:val="105"/>
          <w:sz w:val="20"/>
        </w:rPr>
        <w:t> </w:t>
      </w:r>
      <w:r>
        <w:rPr>
          <w:rFonts w:ascii="Trebuchet MS"/>
          <w:w w:val="105"/>
          <w:sz w:val="20"/>
        </w:rPr>
        <w:t>a</w:t>
      </w:r>
      <w:r>
        <w:rPr>
          <w:rFonts w:ascii="Trebuchet MS"/>
          <w:spacing w:val="-22"/>
          <w:w w:val="105"/>
          <w:sz w:val="20"/>
        </w:rPr>
        <w:t> </w:t>
      </w:r>
      <w:r>
        <w:rPr>
          <w:rFonts w:ascii="Trebuchet MS"/>
          <w:w w:val="105"/>
          <w:sz w:val="20"/>
        </w:rPr>
        <w:t>trial</w:t>
      </w:r>
      <w:r>
        <w:rPr>
          <w:rFonts w:ascii="Trebuchet MS"/>
          <w:spacing w:val="-21"/>
          <w:w w:val="105"/>
          <w:sz w:val="20"/>
        </w:rPr>
        <w:t> </w:t>
      </w:r>
      <w:r>
        <w:rPr>
          <w:rFonts w:ascii="Trebuchet MS"/>
          <w:w w:val="105"/>
          <w:sz w:val="20"/>
        </w:rPr>
        <w:t>is</w:t>
      </w:r>
      <w:r>
        <w:rPr>
          <w:rFonts w:ascii="Trebuchet MS"/>
          <w:spacing w:val="-22"/>
          <w:w w:val="105"/>
          <w:sz w:val="20"/>
        </w:rPr>
        <w:t> </w:t>
      </w:r>
      <w:r>
        <w:rPr>
          <w:rFonts w:ascii="Trebuchet MS"/>
          <w:w w:val="105"/>
          <w:sz w:val="20"/>
        </w:rPr>
        <w:t>to</w:t>
      </w:r>
      <w:r>
        <w:rPr>
          <w:rFonts w:ascii="Trebuchet MS"/>
          <w:spacing w:val="-21"/>
          <w:w w:val="105"/>
          <w:sz w:val="20"/>
        </w:rPr>
        <w:t> </w:t>
      </w:r>
      <w:r>
        <w:rPr>
          <w:rFonts w:ascii="Trebuchet MS"/>
          <w:w w:val="105"/>
          <w:sz w:val="20"/>
        </w:rPr>
        <w:t>be</w:t>
      </w:r>
      <w:r>
        <w:rPr>
          <w:rFonts w:ascii="Trebuchet MS"/>
          <w:spacing w:val="-21"/>
          <w:w w:val="105"/>
          <w:sz w:val="20"/>
        </w:rPr>
        <w:t> </w:t>
      </w:r>
      <w:r>
        <w:rPr>
          <w:rFonts w:ascii="Trebuchet MS"/>
          <w:w w:val="105"/>
          <w:sz w:val="20"/>
        </w:rPr>
        <w:t>heard</w:t>
      </w:r>
      <w:r>
        <w:rPr>
          <w:rFonts w:ascii="Trebuchet MS"/>
          <w:spacing w:val="-22"/>
          <w:w w:val="105"/>
          <w:sz w:val="20"/>
        </w:rPr>
        <w:t> </w:t>
      </w:r>
      <w:r>
        <w:rPr>
          <w:rFonts w:ascii="Trebuchet MS"/>
          <w:w w:val="105"/>
          <w:sz w:val="20"/>
        </w:rPr>
        <w:t>in</w:t>
      </w:r>
      <w:r>
        <w:rPr>
          <w:rFonts w:ascii="Trebuchet MS"/>
          <w:spacing w:val="-21"/>
          <w:w w:val="105"/>
          <w:sz w:val="20"/>
        </w:rPr>
        <w:t> </w:t>
      </w:r>
      <w:r>
        <w:rPr>
          <w:rFonts w:ascii="Trebuchet MS"/>
          <w:w w:val="105"/>
          <w:sz w:val="20"/>
        </w:rPr>
        <w:t>a</w:t>
      </w:r>
      <w:r>
        <w:rPr>
          <w:rFonts w:ascii="Trebuchet MS"/>
          <w:spacing w:val="-22"/>
          <w:w w:val="105"/>
          <w:sz w:val="20"/>
        </w:rPr>
        <w:t> </w:t>
      </w:r>
      <w:r>
        <w:rPr>
          <w:rFonts w:ascii="Trebuchet MS"/>
          <w:w w:val="105"/>
          <w:sz w:val="20"/>
        </w:rPr>
        <w:t>courtroom</w:t>
      </w:r>
      <w:r>
        <w:rPr>
          <w:rFonts w:ascii="Trebuchet MS"/>
          <w:spacing w:val="-21"/>
          <w:w w:val="105"/>
          <w:sz w:val="20"/>
        </w:rPr>
        <w:t> </w:t>
      </w:r>
      <w:r>
        <w:rPr>
          <w:rFonts w:ascii="Trebuchet MS"/>
          <w:w w:val="105"/>
          <w:sz w:val="20"/>
        </w:rPr>
        <w:t>that cannot</w:t>
      </w:r>
      <w:r>
        <w:rPr>
          <w:rFonts w:ascii="Trebuchet MS"/>
          <w:spacing w:val="-13"/>
          <w:w w:val="105"/>
          <w:sz w:val="20"/>
        </w:rPr>
        <w:t> </w:t>
      </w:r>
      <w:r>
        <w:rPr>
          <w:rFonts w:ascii="Trebuchet MS"/>
          <w:spacing w:val="-3"/>
          <w:w w:val="105"/>
          <w:sz w:val="20"/>
        </w:rPr>
        <w:t>accommodate</w:t>
      </w:r>
      <w:r>
        <w:rPr>
          <w:rFonts w:ascii="Trebuchet MS"/>
          <w:spacing w:val="-13"/>
          <w:w w:val="105"/>
          <w:sz w:val="20"/>
        </w:rPr>
        <w:t> </w:t>
      </w:r>
      <w:r>
        <w:rPr>
          <w:rFonts w:ascii="Trebuchet MS"/>
          <w:w w:val="105"/>
          <w:sz w:val="20"/>
        </w:rPr>
        <w:t>reasonable</w:t>
      </w:r>
      <w:r>
        <w:rPr>
          <w:rFonts w:ascii="Trebuchet MS"/>
          <w:spacing w:val="-13"/>
          <w:w w:val="105"/>
          <w:sz w:val="20"/>
        </w:rPr>
        <w:t> </w:t>
      </w:r>
      <w:r>
        <w:rPr>
          <w:rFonts w:ascii="Trebuchet MS"/>
          <w:w w:val="105"/>
          <w:sz w:val="20"/>
        </w:rPr>
        <w:t>adjustments</w:t>
      </w:r>
      <w:r>
        <w:rPr>
          <w:rFonts w:ascii="Trebuchet MS"/>
          <w:spacing w:val="-13"/>
          <w:w w:val="105"/>
          <w:sz w:val="20"/>
        </w:rPr>
        <w:t> </w:t>
      </w:r>
      <w:r>
        <w:rPr>
          <w:rFonts w:ascii="Trebuchet MS"/>
          <w:w w:val="105"/>
          <w:sz w:val="20"/>
        </w:rPr>
        <w:t>that</w:t>
      </w:r>
      <w:r>
        <w:rPr>
          <w:rFonts w:ascii="Trebuchet MS"/>
          <w:spacing w:val="-13"/>
          <w:w w:val="105"/>
          <w:sz w:val="20"/>
        </w:rPr>
        <w:t> </w:t>
      </w:r>
      <w:r>
        <w:rPr>
          <w:rFonts w:ascii="Trebuchet MS"/>
          <w:spacing w:val="-3"/>
          <w:w w:val="105"/>
          <w:sz w:val="20"/>
        </w:rPr>
        <w:t>would</w:t>
      </w:r>
      <w:r>
        <w:rPr>
          <w:rFonts w:ascii="Trebuchet MS"/>
          <w:spacing w:val="-13"/>
          <w:w w:val="105"/>
          <w:sz w:val="20"/>
        </w:rPr>
        <w:t> </w:t>
      </w:r>
      <w:r>
        <w:rPr>
          <w:rFonts w:ascii="Trebuchet MS"/>
          <w:w w:val="105"/>
          <w:sz w:val="20"/>
        </w:rPr>
        <w:t>enable</w:t>
      </w:r>
      <w:r>
        <w:rPr>
          <w:rFonts w:ascii="Trebuchet MS"/>
          <w:spacing w:val="-13"/>
          <w:w w:val="105"/>
          <w:sz w:val="20"/>
        </w:rPr>
        <w:t> </w:t>
      </w:r>
      <w:r>
        <w:rPr>
          <w:rFonts w:ascii="Trebuchet MS"/>
          <w:w w:val="105"/>
          <w:sz w:val="20"/>
        </w:rPr>
        <w:t>that</w:t>
      </w:r>
      <w:r>
        <w:rPr>
          <w:rFonts w:ascii="Trebuchet MS"/>
          <w:spacing w:val="-12"/>
          <w:w w:val="105"/>
          <w:sz w:val="20"/>
        </w:rPr>
        <w:t> </w:t>
      </w:r>
      <w:r>
        <w:rPr>
          <w:rFonts w:ascii="Trebuchet MS"/>
          <w:w w:val="105"/>
          <w:sz w:val="20"/>
        </w:rPr>
        <w:t>person</w:t>
      </w:r>
      <w:r>
        <w:rPr>
          <w:rFonts w:ascii="Trebuchet MS"/>
          <w:spacing w:val="-13"/>
          <w:w w:val="105"/>
          <w:sz w:val="20"/>
        </w:rPr>
        <w:t> </w:t>
      </w:r>
      <w:r>
        <w:rPr>
          <w:rFonts w:ascii="Trebuchet MS"/>
          <w:w w:val="105"/>
          <w:sz w:val="20"/>
        </w:rPr>
        <w:t>to </w:t>
      </w:r>
      <w:r>
        <w:rPr>
          <w:rFonts w:ascii="Trebuchet MS"/>
          <w:spacing w:val="-1"/>
          <w:w w:val="122"/>
          <w:sz w:val="20"/>
        </w:rPr>
        <w:t>s</w:t>
      </w:r>
      <w:r>
        <w:rPr>
          <w:rFonts w:ascii="Trebuchet MS"/>
          <w:spacing w:val="-1"/>
          <w:w w:val="108"/>
          <w:sz w:val="20"/>
        </w:rPr>
        <w:t>e</w:t>
      </w:r>
      <w:r>
        <w:rPr>
          <w:rFonts w:ascii="Trebuchet MS"/>
          <w:spacing w:val="3"/>
          <w:w w:val="93"/>
          <w:sz w:val="20"/>
        </w:rPr>
        <w:t>r</w:t>
      </w:r>
      <w:r>
        <w:rPr>
          <w:rFonts w:ascii="Trebuchet MS"/>
          <w:spacing w:val="-6"/>
          <w:w w:val="109"/>
          <w:sz w:val="20"/>
        </w:rPr>
        <w:t>v</w:t>
      </w:r>
      <w:r>
        <w:rPr>
          <w:rFonts w:ascii="Trebuchet MS"/>
          <w:w w:val="108"/>
          <w:sz w:val="20"/>
        </w:rPr>
        <w:t>e</w:t>
      </w:r>
      <w:r>
        <w:rPr>
          <w:rFonts w:ascii="Trebuchet MS"/>
          <w:spacing w:val="-14"/>
          <w:sz w:val="20"/>
        </w:rPr>
        <w:t> </w:t>
      </w:r>
      <w:r>
        <w:rPr>
          <w:rFonts w:ascii="Trebuchet MS"/>
          <w:w w:val="105"/>
          <w:sz w:val="20"/>
        </w:rPr>
        <w:t>a</w:t>
      </w:r>
      <w:r>
        <w:rPr>
          <w:rFonts w:ascii="Trebuchet MS"/>
          <w:w w:val="122"/>
          <w:sz w:val="20"/>
        </w:rPr>
        <w:t>s</w:t>
      </w:r>
      <w:r>
        <w:rPr>
          <w:rFonts w:ascii="Trebuchet MS"/>
          <w:spacing w:val="-14"/>
          <w:sz w:val="20"/>
        </w:rPr>
        <w:t> </w:t>
      </w:r>
      <w:r>
        <w:rPr>
          <w:rFonts w:ascii="Trebuchet MS"/>
          <w:w w:val="105"/>
          <w:sz w:val="20"/>
        </w:rPr>
        <w:t>a</w:t>
      </w:r>
      <w:r>
        <w:rPr>
          <w:rFonts w:ascii="Trebuchet MS"/>
          <w:spacing w:val="-14"/>
          <w:sz w:val="20"/>
        </w:rPr>
        <w:t> </w:t>
      </w:r>
      <w:r>
        <w:rPr>
          <w:rFonts w:ascii="Trebuchet MS"/>
          <w:spacing w:val="-2"/>
          <w:w w:val="64"/>
          <w:sz w:val="20"/>
        </w:rPr>
        <w:t>j</w:t>
      </w:r>
      <w:r>
        <w:rPr>
          <w:rFonts w:ascii="Trebuchet MS"/>
          <w:spacing w:val="-1"/>
          <w:w w:val="109"/>
          <w:sz w:val="20"/>
        </w:rPr>
        <w:t>u</w:t>
      </w:r>
      <w:r>
        <w:rPr>
          <w:rFonts w:ascii="Trebuchet MS"/>
          <w:spacing w:val="-4"/>
          <w:w w:val="93"/>
          <w:sz w:val="20"/>
        </w:rPr>
        <w:t>r</w:t>
      </w:r>
      <w:r>
        <w:rPr>
          <w:rFonts w:ascii="Trebuchet MS"/>
          <w:spacing w:val="-1"/>
          <w:w w:val="111"/>
          <w:sz w:val="20"/>
        </w:rPr>
        <w:t>o</w:t>
      </w:r>
      <w:r>
        <w:rPr>
          <w:rFonts w:ascii="Trebuchet MS"/>
          <w:spacing w:val="-14"/>
          <w:w w:val="93"/>
          <w:sz w:val="20"/>
        </w:rPr>
        <w:t>r</w:t>
      </w:r>
      <w:r>
        <w:rPr>
          <w:rFonts w:ascii="Trebuchet MS"/>
          <w:w w:val="55"/>
          <w:sz w:val="20"/>
        </w:rPr>
        <w:t>.</w:t>
      </w:r>
    </w:p>
    <w:p>
      <w:pPr>
        <w:pStyle w:val="ListParagraph"/>
        <w:numPr>
          <w:ilvl w:val="1"/>
          <w:numId w:val="82"/>
        </w:numPr>
        <w:tabs>
          <w:tab w:pos="1761" w:val="left" w:leader="none"/>
          <w:tab w:pos="1762" w:val="left" w:leader="none"/>
        </w:tabs>
        <w:spacing w:line="247" w:lineRule="auto" w:before="88" w:after="0"/>
        <w:ind w:left="1761" w:right="1493" w:hanging="567"/>
        <w:jc w:val="left"/>
        <w:rPr>
          <w:rFonts w:ascii="Trebuchet MS"/>
          <w:sz w:val="20"/>
        </w:rPr>
      </w:pPr>
      <w:r>
        <w:rPr>
          <w:rFonts w:ascii="Trebuchet MS"/>
          <w:w w:val="105"/>
          <w:sz w:val="20"/>
        </w:rPr>
        <w:t>A decision </w:t>
      </w:r>
      <w:r>
        <w:rPr>
          <w:rFonts w:ascii="Trebuchet MS"/>
          <w:spacing w:val="-3"/>
          <w:w w:val="105"/>
          <w:sz w:val="20"/>
        </w:rPr>
        <w:t>by </w:t>
      </w:r>
      <w:r>
        <w:rPr>
          <w:rFonts w:ascii="Trebuchet MS"/>
          <w:w w:val="105"/>
          <w:sz w:val="20"/>
        </w:rPr>
        <w:t>the Juries Commissioner to hold a person out of a </w:t>
      </w:r>
      <w:r>
        <w:rPr>
          <w:rFonts w:ascii="Trebuchet MS"/>
          <w:spacing w:val="-3"/>
          <w:w w:val="105"/>
          <w:sz w:val="20"/>
        </w:rPr>
        <w:t>ballot </w:t>
      </w:r>
      <w:r>
        <w:rPr>
          <w:rFonts w:ascii="Trebuchet MS"/>
          <w:w w:val="105"/>
          <w:sz w:val="20"/>
        </w:rPr>
        <w:t>should be appealable under section </w:t>
      </w:r>
      <w:r>
        <w:rPr>
          <w:rFonts w:ascii="Trebuchet MS"/>
          <w:spacing w:val="-3"/>
          <w:w w:val="105"/>
          <w:sz w:val="20"/>
        </w:rPr>
        <w:t>10 </w:t>
      </w:r>
      <w:r>
        <w:rPr>
          <w:rFonts w:ascii="Trebuchet MS"/>
          <w:w w:val="105"/>
          <w:sz w:val="20"/>
        </w:rPr>
        <w:t>of the Juries </w:t>
      </w:r>
      <w:r>
        <w:rPr>
          <w:rFonts w:ascii="Trebuchet MS"/>
          <w:spacing w:val="-2"/>
          <w:w w:val="105"/>
          <w:sz w:val="20"/>
        </w:rPr>
        <w:t>Act </w:t>
      </w:r>
      <w:r>
        <w:rPr>
          <w:rFonts w:ascii="Trebuchet MS"/>
          <w:w w:val="105"/>
          <w:sz w:val="20"/>
        </w:rPr>
        <w:t>to either the County Court or the </w:t>
      </w:r>
      <w:r>
        <w:rPr>
          <w:rFonts w:ascii="Trebuchet MS"/>
          <w:spacing w:val="-1"/>
          <w:w w:val="126"/>
          <w:sz w:val="20"/>
        </w:rPr>
        <w:t>S</w:t>
      </w:r>
      <w:r>
        <w:rPr>
          <w:rFonts w:ascii="Trebuchet MS"/>
          <w:spacing w:val="-1"/>
          <w:w w:val="109"/>
          <w:sz w:val="20"/>
        </w:rPr>
        <w:t>u</w:t>
      </w:r>
      <w:r>
        <w:rPr>
          <w:rFonts w:ascii="Trebuchet MS"/>
          <w:spacing w:val="-1"/>
          <w:w w:val="111"/>
          <w:sz w:val="20"/>
        </w:rPr>
        <w:t>p</w:t>
      </w:r>
      <w:r>
        <w:rPr>
          <w:rFonts w:ascii="Trebuchet MS"/>
          <w:spacing w:val="-4"/>
          <w:w w:val="93"/>
          <w:sz w:val="20"/>
        </w:rPr>
        <w:t>r</w:t>
      </w:r>
      <w:r>
        <w:rPr>
          <w:rFonts w:ascii="Trebuchet MS"/>
          <w:spacing w:val="-1"/>
          <w:w w:val="108"/>
          <w:sz w:val="20"/>
        </w:rPr>
        <w:t>e</w:t>
      </w:r>
      <w:r>
        <w:rPr>
          <w:rFonts w:ascii="Trebuchet MS"/>
          <w:spacing w:val="-1"/>
          <w:w w:val="111"/>
          <w:sz w:val="20"/>
        </w:rPr>
        <w:t>m</w:t>
      </w:r>
      <w:r>
        <w:rPr>
          <w:rFonts w:ascii="Trebuchet MS"/>
          <w:w w:val="108"/>
          <w:sz w:val="20"/>
        </w:rPr>
        <w:t>e</w:t>
      </w:r>
      <w:r>
        <w:rPr>
          <w:rFonts w:ascii="Trebuchet MS"/>
          <w:spacing w:val="-14"/>
          <w:sz w:val="20"/>
        </w:rPr>
        <w:t> </w:t>
      </w:r>
      <w:r>
        <w:rPr>
          <w:rFonts w:ascii="Trebuchet MS"/>
          <w:spacing w:val="-1"/>
          <w:w w:val="114"/>
          <w:sz w:val="20"/>
        </w:rPr>
        <w:t>C</w:t>
      </w:r>
      <w:r>
        <w:rPr>
          <w:rFonts w:ascii="Trebuchet MS"/>
          <w:spacing w:val="-1"/>
          <w:w w:val="111"/>
          <w:sz w:val="20"/>
        </w:rPr>
        <w:t>o</w:t>
      </w:r>
      <w:r>
        <w:rPr>
          <w:rFonts w:ascii="Trebuchet MS"/>
          <w:spacing w:val="-1"/>
          <w:w w:val="109"/>
          <w:sz w:val="20"/>
        </w:rPr>
        <w:t>u</w:t>
      </w:r>
      <w:r>
        <w:rPr>
          <w:rFonts w:ascii="Trebuchet MS"/>
          <w:spacing w:val="2"/>
          <w:w w:val="93"/>
          <w:sz w:val="20"/>
        </w:rPr>
        <w:t>r</w:t>
      </w:r>
      <w:r>
        <w:rPr>
          <w:rFonts w:ascii="Trebuchet MS"/>
          <w:spacing w:val="1"/>
          <w:w w:val="88"/>
          <w:sz w:val="20"/>
        </w:rPr>
        <w:t>t</w:t>
      </w:r>
      <w:r>
        <w:rPr>
          <w:rFonts w:ascii="Trebuchet MS"/>
          <w:w w:val="55"/>
          <w:sz w:val="20"/>
        </w:rPr>
        <w:t>.</w:t>
      </w:r>
      <w:r>
        <w:rPr>
          <w:rFonts w:ascii="Trebuchet MS"/>
          <w:spacing w:val="-14"/>
          <w:sz w:val="20"/>
        </w:rPr>
        <w:t> </w:t>
      </w:r>
      <w:r>
        <w:rPr>
          <w:rFonts w:ascii="Trebuchet MS"/>
          <w:spacing w:val="-2"/>
          <w:w w:val="105"/>
          <w:sz w:val="20"/>
        </w:rPr>
        <w:t>T</w:t>
      </w:r>
      <w:r>
        <w:rPr>
          <w:rFonts w:ascii="Trebuchet MS"/>
          <w:spacing w:val="-2"/>
          <w:w w:val="107"/>
          <w:sz w:val="20"/>
        </w:rPr>
        <w:t>h</w:t>
      </w:r>
      <w:r>
        <w:rPr>
          <w:rFonts w:ascii="Trebuchet MS"/>
          <w:spacing w:val="-1"/>
          <w:w w:val="80"/>
          <w:sz w:val="20"/>
        </w:rPr>
        <w:t>i</w:t>
      </w:r>
      <w:r>
        <w:rPr>
          <w:rFonts w:ascii="Trebuchet MS"/>
          <w:w w:val="122"/>
          <w:sz w:val="20"/>
        </w:rPr>
        <w:t>s</w:t>
      </w:r>
      <w:r>
        <w:rPr>
          <w:rFonts w:ascii="Trebuchet MS"/>
          <w:spacing w:val="-14"/>
          <w:sz w:val="20"/>
        </w:rPr>
        <w:t> </w:t>
      </w:r>
      <w:r>
        <w:rPr>
          <w:rFonts w:ascii="Trebuchet MS"/>
          <w:spacing w:val="-1"/>
          <w:w w:val="111"/>
          <w:sz w:val="20"/>
        </w:rPr>
        <w:t>m</w:t>
      </w:r>
      <w:r>
        <w:rPr>
          <w:rFonts w:ascii="Trebuchet MS"/>
          <w:spacing w:val="-4"/>
          <w:w w:val="105"/>
          <w:sz w:val="20"/>
        </w:rPr>
        <w:t>a</w:t>
      </w:r>
      <w:r>
        <w:rPr>
          <w:rFonts w:ascii="Trebuchet MS"/>
          <w:spacing w:val="-1"/>
          <w:w w:val="88"/>
          <w:sz w:val="20"/>
        </w:rPr>
        <w:t>t</w:t>
      </w:r>
      <w:r>
        <w:rPr>
          <w:rFonts w:ascii="Trebuchet MS"/>
          <w:spacing w:val="-4"/>
          <w:w w:val="88"/>
          <w:sz w:val="20"/>
        </w:rPr>
        <w:t>t</w:t>
      </w:r>
      <w:r>
        <w:rPr>
          <w:rFonts w:ascii="Trebuchet MS"/>
          <w:spacing w:val="-1"/>
          <w:w w:val="108"/>
          <w:sz w:val="20"/>
        </w:rPr>
        <w:t>e</w:t>
      </w:r>
      <w:r>
        <w:rPr>
          <w:rFonts w:ascii="Trebuchet MS"/>
          <w:w w:val="93"/>
          <w:sz w:val="20"/>
        </w:rPr>
        <w:t>r</w:t>
      </w:r>
      <w:r>
        <w:rPr>
          <w:rFonts w:ascii="Trebuchet MS"/>
          <w:spacing w:val="-14"/>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1"/>
          <w:w w:val="111"/>
          <w:sz w:val="20"/>
        </w:rPr>
        <w:t>b</w:t>
      </w:r>
      <w:r>
        <w:rPr>
          <w:rFonts w:ascii="Trebuchet MS"/>
          <w:w w:val="108"/>
          <w:sz w:val="20"/>
        </w:rPr>
        <w:t>e</w:t>
      </w:r>
      <w:r>
        <w:rPr>
          <w:rFonts w:ascii="Trebuchet MS"/>
          <w:spacing w:val="-14"/>
          <w:sz w:val="20"/>
        </w:rPr>
        <w:t> </w:t>
      </w:r>
      <w:r>
        <w:rPr>
          <w:rFonts w:ascii="Trebuchet MS"/>
          <w:spacing w:val="-2"/>
          <w:w w:val="112"/>
          <w:sz w:val="20"/>
        </w:rPr>
        <w:t>d</w:t>
      </w:r>
      <w:r>
        <w:rPr>
          <w:rFonts w:ascii="Trebuchet MS"/>
          <w:spacing w:val="-1"/>
          <w:w w:val="108"/>
          <w:sz w:val="20"/>
        </w:rPr>
        <w:t>e</w:t>
      </w:r>
      <w:r>
        <w:rPr>
          <w:rFonts w:ascii="Trebuchet MS"/>
          <w:spacing w:val="-3"/>
          <w:w w:val="105"/>
          <w:sz w:val="20"/>
        </w:rPr>
        <w:t>a</w:t>
      </w:r>
      <w:r>
        <w:rPr>
          <w:rFonts w:ascii="Trebuchet MS"/>
          <w:spacing w:val="-4"/>
          <w:w w:val="96"/>
          <w:sz w:val="20"/>
        </w:rPr>
        <w:t>l</w:t>
      </w:r>
      <w:r>
        <w:rPr>
          <w:rFonts w:ascii="Trebuchet MS"/>
          <w:w w:val="88"/>
          <w:sz w:val="20"/>
        </w:rPr>
        <w:t>t</w:t>
      </w:r>
      <w:r>
        <w:rPr>
          <w:rFonts w:ascii="Trebuchet MS"/>
          <w:spacing w:val="-14"/>
          <w:sz w:val="20"/>
        </w:rPr>
        <w:t> </w:t>
      </w:r>
      <w:r>
        <w:rPr>
          <w:rFonts w:ascii="Trebuchet MS"/>
          <w:spacing w:val="-2"/>
          <w:w w:val="110"/>
          <w:sz w:val="20"/>
        </w:rPr>
        <w:t>w</w:t>
      </w:r>
      <w:r>
        <w:rPr>
          <w:rFonts w:ascii="Trebuchet MS"/>
          <w:spacing w:val="-3"/>
          <w:w w:val="80"/>
          <w:sz w:val="20"/>
        </w:rPr>
        <w:t>i</w:t>
      </w:r>
      <w:r>
        <w:rPr>
          <w:rFonts w:ascii="Trebuchet MS"/>
          <w:spacing w:val="-2"/>
          <w:w w:val="88"/>
          <w:sz w:val="20"/>
        </w:rPr>
        <w:t>t</w:t>
      </w:r>
      <w:r>
        <w:rPr>
          <w:rFonts w:ascii="Trebuchet MS"/>
          <w:w w:val="107"/>
          <w:sz w:val="20"/>
        </w:rPr>
        <w:t>h</w:t>
      </w:r>
      <w:r>
        <w:rPr>
          <w:rFonts w:ascii="Trebuchet MS"/>
          <w:spacing w:val="-14"/>
          <w:sz w:val="20"/>
        </w:rPr>
        <w:t> </w:t>
      </w:r>
      <w:r>
        <w:rPr>
          <w:rFonts w:ascii="Trebuchet MS"/>
          <w:spacing w:val="-2"/>
          <w:w w:val="80"/>
          <w:sz w:val="20"/>
        </w:rPr>
        <w:t>i</w:t>
      </w:r>
      <w:r>
        <w:rPr>
          <w:rFonts w:ascii="Trebuchet MS"/>
          <w:w w:val="107"/>
          <w:sz w:val="20"/>
        </w:rPr>
        <w:t>n</w:t>
      </w:r>
      <w:r>
        <w:rPr>
          <w:rFonts w:ascii="Trebuchet MS"/>
          <w:spacing w:val="-14"/>
          <w:sz w:val="20"/>
        </w:rPr>
        <w:t> </w:t>
      </w:r>
      <w:r>
        <w:rPr>
          <w:rFonts w:ascii="Trebuchet MS"/>
          <w:spacing w:val="-2"/>
          <w:w w:val="105"/>
          <w:sz w:val="20"/>
        </w:rPr>
        <w:t>a</w:t>
      </w:r>
      <w:r>
        <w:rPr>
          <w:rFonts w:ascii="Trebuchet MS"/>
          <w:w w:val="107"/>
          <w:sz w:val="20"/>
        </w:rPr>
        <w:t>n</w:t>
      </w:r>
      <w:r>
        <w:rPr>
          <w:rFonts w:ascii="Trebuchet MS"/>
          <w:spacing w:val="-14"/>
          <w:sz w:val="20"/>
        </w:rPr>
        <w:t> </w:t>
      </w:r>
      <w:r>
        <w:rPr>
          <w:rFonts w:ascii="Trebuchet MS"/>
          <w:spacing w:val="-1"/>
          <w:w w:val="109"/>
          <w:sz w:val="20"/>
        </w:rPr>
        <w:t>u</w:t>
      </w:r>
      <w:r>
        <w:rPr>
          <w:rFonts w:ascii="Trebuchet MS"/>
          <w:spacing w:val="-4"/>
          <w:w w:val="93"/>
          <w:sz w:val="20"/>
        </w:rPr>
        <w:t>r</w:t>
      </w:r>
      <w:r>
        <w:rPr>
          <w:rFonts w:ascii="Trebuchet MS"/>
          <w:spacing w:val="-1"/>
          <w:w w:val="124"/>
          <w:sz w:val="20"/>
        </w:rPr>
        <w:t>g</w:t>
      </w:r>
      <w:r>
        <w:rPr>
          <w:rFonts w:ascii="Trebuchet MS"/>
          <w:spacing w:val="-1"/>
          <w:w w:val="108"/>
          <w:sz w:val="20"/>
        </w:rPr>
        <w:t>e</w:t>
      </w:r>
      <w:r>
        <w:rPr>
          <w:rFonts w:ascii="Trebuchet MS"/>
          <w:spacing w:val="-4"/>
          <w:w w:val="107"/>
          <w:sz w:val="20"/>
        </w:rPr>
        <w:t>n</w:t>
      </w:r>
      <w:r>
        <w:rPr>
          <w:rFonts w:ascii="Trebuchet MS"/>
          <w:w w:val="88"/>
          <w:sz w:val="20"/>
        </w:rPr>
        <w:t>t</w:t>
      </w:r>
      <w:r>
        <w:rPr>
          <w:rFonts w:ascii="Trebuchet MS"/>
          <w:spacing w:val="-14"/>
          <w:sz w:val="20"/>
        </w:rPr>
        <w:t> </w:t>
      </w:r>
      <w:r>
        <w:rPr>
          <w:rFonts w:ascii="Trebuchet MS"/>
          <w:spacing w:val="-2"/>
          <w:w w:val="80"/>
          <w:sz w:val="20"/>
        </w:rPr>
        <w:t>i</w:t>
      </w:r>
      <w:r>
        <w:rPr>
          <w:rFonts w:ascii="Trebuchet MS"/>
          <w:spacing w:val="-4"/>
          <w:w w:val="107"/>
          <w:sz w:val="20"/>
        </w:rPr>
        <w:t>n</w:t>
      </w:r>
      <w:r>
        <w:rPr>
          <w:rFonts w:ascii="Trebuchet MS"/>
          <w:spacing w:val="-4"/>
          <w:w w:val="88"/>
          <w:sz w:val="20"/>
        </w:rPr>
        <w:t>t</w:t>
      </w:r>
      <w:r>
        <w:rPr>
          <w:rFonts w:ascii="Trebuchet MS"/>
          <w:spacing w:val="-1"/>
          <w:w w:val="108"/>
          <w:sz w:val="20"/>
        </w:rPr>
        <w:t>e</w:t>
      </w:r>
      <w:r>
        <w:rPr>
          <w:rFonts w:ascii="Trebuchet MS"/>
          <w:spacing w:val="-2"/>
          <w:w w:val="94"/>
          <w:sz w:val="20"/>
        </w:rPr>
        <w:t>r</w:t>
      </w:r>
      <w:r>
        <w:rPr>
          <w:rFonts w:ascii="Trebuchet MS"/>
          <w:spacing w:val="-3"/>
          <w:w w:val="94"/>
          <w:sz w:val="20"/>
        </w:rPr>
        <w:t>l</w:t>
      </w:r>
      <w:r>
        <w:rPr>
          <w:rFonts w:ascii="Trebuchet MS"/>
          <w:spacing w:val="-1"/>
          <w:w w:val="111"/>
          <w:sz w:val="20"/>
        </w:rPr>
        <w:t>o</w:t>
      </w:r>
      <w:r>
        <w:rPr>
          <w:rFonts w:ascii="Trebuchet MS"/>
          <w:spacing w:val="-2"/>
          <w:w w:val="110"/>
          <w:sz w:val="20"/>
        </w:rPr>
        <w:t>c</w:t>
      </w:r>
      <w:r>
        <w:rPr>
          <w:rFonts w:ascii="Trebuchet MS"/>
          <w:spacing w:val="-3"/>
          <w:w w:val="110"/>
          <w:sz w:val="20"/>
        </w:rPr>
        <w:t>u</w:t>
      </w:r>
      <w:r>
        <w:rPr>
          <w:rFonts w:ascii="Trebuchet MS"/>
          <w:spacing w:val="-4"/>
          <w:w w:val="88"/>
          <w:sz w:val="20"/>
        </w:rPr>
        <w:t>t</w:t>
      </w:r>
      <w:r>
        <w:rPr>
          <w:rFonts w:ascii="Trebuchet MS"/>
          <w:spacing w:val="-1"/>
          <w:w w:val="111"/>
          <w:sz w:val="20"/>
        </w:rPr>
        <w:t>o</w:t>
      </w:r>
      <w:r>
        <w:rPr>
          <w:rFonts w:ascii="Trebuchet MS"/>
          <w:spacing w:val="3"/>
          <w:w w:val="93"/>
          <w:sz w:val="20"/>
        </w:rPr>
        <w:t>r</w:t>
      </w:r>
      <w:r>
        <w:rPr>
          <w:rFonts w:ascii="Trebuchet MS"/>
          <w:w w:val="110"/>
          <w:sz w:val="20"/>
        </w:rPr>
        <w:t>y</w:t>
      </w:r>
      <w:r>
        <w:rPr>
          <w:rFonts w:ascii="Trebuchet MS"/>
          <w:spacing w:val="-14"/>
          <w:sz w:val="20"/>
        </w:rPr>
        <w:t> </w:t>
      </w:r>
      <w:r>
        <w:rPr>
          <w:rFonts w:ascii="Trebuchet MS"/>
          <w:spacing w:val="-1"/>
          <w:w w:val="107"/>
          <w:sz w:val="20"/>
        </w:rPr>
        <w:t>h</w:t>
      </w:r>
      <w:r>
        <w:rPr>
          <w:rFonts w:ascii="Trebuchet MS"/>
          <w:spacing w:val="-1"/>
          <w:w w:val="108"/>
          <w:sz w:val="20"/>
        </w:rPr>
        <w:t>e</w:t>
      </w:r>
      <w:r>
        <w:rPr>
          <w:rFonts w:ascii="Trebuchet MS"/>
          <w:spacing w:val="-2"/>
          <w:w w:val="105"/>
          <w:sz w:val="20"/>
        </w:rPr>
        <w:t>a</w:t>
      </w:r>
      <w:r>
        <w:rPr>
          <w:rFonts w:ascii="Trebuchet MS"/>
          <w:spacing w:val="-2"/>
          <w:w w:val="93"/>
          <w:sz w:val="20"/>
        </w:rPr>
        <w:t>r</w:t>
      </w:r>
      <w:r>
        <w:rPr>
          <w:rFonts w:ascii="Trebuchet MS"/>
          <w:spacing w:val="-2"/>
          <w:w w:val="80"/>
          <w:sz w:val="20"/>
        </w:rPr>
        <w:t>i</w:t>
      </w:r>
      <w:r>
        <w:rPr>
          <w:rFonts w:ascii="Trebuchet MS"/>
          <w:spacing w:val="-1"/>
          <w:w w:val="107"/>
          <w:sz w:val="20"/>
        </w:rPr>
        <w:t>n</w:t>
      </w:r>
      <w:r>
        <w:rPr>
          <w:rFonts w:ascii="Trebuchet MS"/>
          <w:spacing w:val="-1"/>
          <w:w w:val="124"/>
          <w:sz w:val="20"/>
        </w:rPr>
        <w:t>g</w:t>
      </w:r>
      <w:r>
        <w:rPr>
          <w:rFonts w:ascii="Trebuchet MS"/>
          <w:w w:val="55"/>
          <w:sz w:val="20"/>
        </w:rPr>
        <w:t>.</w:t>
      </w:r>
    </w:p>
    <w:p>
      <w:pPr>
        <w:pStyle w:val="ListParagraph"/>
        <w:numPr>
          <w:ilvl w:val="1"/>
          <w:numId w:val="82"/>
        </w:numPr>
        <w:tabs>
          <w:tab w:pos="1761" w:val="left" w:leader="none"/>
          <w:tab w:pos="1762" w:val="left" w:leader="none"/>
        </w:tabs>
        <w:spacing w:line="247" w:lineRule="auto" w:before="88" w:after="0"/>
        <w:ind w:left="1761" w:right="1588" w:hanging="567"/>
        <w:jc w:val="left"/>
        <w:rPr>
          <w:rFonts w:ascii="Trebuchet MS"/>
          <w:sz w:val="20"/>
        </w:rPr>
      </w:pPr>
      <w:r>
        <w:rPr>
          <w:rFonts w:ascii="Trebuchet MS"/>
          <w:w w:val="105"/>
          <w:sz w:val="20"/>
        </w:rPr>
        <w:t>The Juries </w:t>
      </w:r>
      <w:r>
        <w:rPr>
          <w:rFonts w:ascii="Trebuchet MS"/>
          <w:spacing w:val="-2"/>
          <w:w w:val="105"/>
          <w:sz w:val="20"/>
        </w:rPr>
        <w:t>Act </w:t>
      </w:r>
      <w:r>
        <w:rPr>
          <w:rFonts w:ascii="Trebuchet MS"/>
          <w:w w:val="105"/>
          <w:sz w:val="20"/>
        </w:rPr>
        <w:t>should be amended to </w:t>
      </w:r>
      <w:r>
        <w:rPr>
          <w:rFonts w:ascii="Trebuchet MS"/>
          <w:spacing w:val="-3"/>
          <w:w w:val="105"/>
          <w:sz w:val="20"/>
        </w:rPr>
        <w:t>provide </w:t>
      </w:r>
      <w:r>
        <w:rPr>
          <w:rFonts w:ascii="Trebuchet MS"/>
          <w:w w:val="105"/>
          <w:sz w:val="20"/>
        </w:rPr>
        <w:t>that if a judge determines that reasonable</w:t>
      </w:r>
      <w:r>
        <w:rPr>
          <w:rFonts w:ascii="Trebuchet MS"/>
          <w:spacing w:val="-27"/>
          <w:w w:val="105"/>
          <w:sz w:val="20"/>
        </w:rPr>
        <w:t> </w:t>
      </w:r>
      <w:r>
        <w:rPr>
          <w:rFonts w:ascii="Trebuchet MS"/>
          <w:w w:val="105"/>
          <w:sz w:val="20"/>
        </w:rPr>
        <w:t>adjustments</w:t>
      </w:r>
      <w:r>
        <w:rPr>
          <w:rFonts w:ascii="Trebuchet MS"/>
          <w:spacing w:val="-26"/>
          <w:w w:val="105"/>
          <w:sz w:val="20"/>
        </w:rPr>
        <w:t> </w:t>
      </w:r>
      <w:r>
        <w:rPr>
          <w:rFonts w:ascii="Trebuchet MS"/>
          <w:w w:val="105"/>
          <w:sz w:val="20"/>
        </w:rPr>
        <w:t>should</w:t>
      </w:r>
      <w:r>
        <w:rPr>
          <w:rFonts w:ascii="Trebuchet MS"/>
          <w:spacing w:val="-27"/>
          <w:w w:val="105"/>
          <w:sz w:val="20"/>
        </w:rPr>
        <w:t> </w:t>
      </w:r>
      <w:r>
        <w:rPr>
          <w:rFonts w:ascii="Trebuchet MS"/>
          <w:w w:val="105"/>
          <w:sz w:val="20"/>
        </w:rPr>
        <w:t>not</w:t>
      </w:r>
      <w:r>
        <w:rPr>
          <w:rFonts w:ascii="Trebuchet MS"/>
          <w:spacing w:val="-26"/>
          <w:w w:val="105"/>
          <w:sz w:val="20"/>
        </w:rPr>
        <w:t> </w:t>
      </w:r>
      <w:r>
        <w:rPr>
          <w:rFonts w:ascii="Trebuchet MS"/>
          <w:w w:val="105"/>
          <w:sz w:val="20"/>
        </w:rPr>
        <w:t>be</w:t>
      </w:r>
      <w:r>
        <w:rPr>
          <w:rFonts w:ascii="Trebuchet MS"/>
          <w:spacing w:val="-26"/>
          <w:w w:val="105"/>
          <w:sz w:val="20"/>
        </w:rPr>
        <w:t> </w:t>
      </w:r>
      <w:r>
        <w:rPr>
          <w:rFonts w:ascii="Trebuchet MS"/>
          <w:w w:val="105"/>
          <w:sz w:val="20"/>
        </w:rPr>
        <w:t>provided</w:t>
      </w:r>
      <w:r>
        <w:rPr>
          <w:rFonts w:ascii="Trebuchet MS"/>
          <w:spacing w:val="-27"/>
          <w:w w:val="105"/>
          <w:sz w:val="20"/>
        </w:rPr>
        <w:t> </w:t>
      </w:r>
      <w:r>
        <w:rPr>
          <w:rFonts w:ascii="Trebuchet MS"/>
          <w:w w:val="105"/>
          <w:sz w:val="20"/>
        </w:rPr>
        <w:t>to</w:t>
      </w:r>
      <w:r>
        <w:rPr>
          <w:rFonts w:ascii="Trebuchet MS"/>
          <w:spacing w:val="-26"/>
          <w:w w:val="105"/>
          <w:sz w:val="20"/>
        </w:rPr>
        <w:t> </w:t>
      </w:r>
      <w:r>
        <w:rPr>
          <w:rFonts w:ascii="Trebuchet MS"/>
          <w:w w:val="105"/>
          <w:sz w:val="20"/>
        </w:rPr>
        <w:t>a</w:t>
      </w:r>
      <w:r>
        <w:rPr>
          <w:rFonts w:ascii="Trebuchet MS"/>
          <w:spacing w:val="-26"/>
          <w:w w:val="105"/>
          <w:sz w:val="20"/>
        </w:rPr>
        <w:t> </w:t>
      </w:r>
      <w:r>
        <w:rPr>
          <w:rFonts w:ascii="Trebuchet MS"/>
          <w:w w:val="105"/>
          <w:sz w:val="20"/>
        </w:rPr>
        <w:t>juror</w:t>
      </w:r>
      <w:r>
        <w:rPr>
          <w:rFonts w:ascii="Trebuchet MS"/>
          <w:spacing w:val="-27"/>
          <w:w w:val="105"/>
          <w:sz w:val="20"/>
        </w:rPr>
        <w:t> </w:t>
      </w:r>
      <w:r>
        <w:rPr>
          <w:rFonts w:ascii="Trebuchet MS"/>
          <w:w w:val="105"/>
          <w:sz w:val="20"/>
        </w:rPr>
        <w:t>in</w:t>
      </w:r>
      <w:r>
        <w:rPr>
          <w:rFonts w:ascii="Trebuchet MS"/>
          <w:spacing w:val="-26"/>
          <w:w w:val="105"/>
          <w:sz w:val="20"/>
        </w:rPr>
        <w:t> </w:t>
      </w:r>
      <w:r>
        <w:rPr>
          <w:rFonts w:ascii="Trebuchet MS"/>
          <w:w w:val="105"/>
          <w:sz w:val="20"/>
        </w:rPr>
        <w:t>a</w:t>
      </w:r>
      <w:r>
        <w:rPr>
          <w:rFonts w:ascii="Trebuchet MS"/>
          <w:spacing w:val="-26"/>
          <w:w w:val="105"/>
          <w:sz w:val="20"/>
        </w:rPr>
        <w:t> </w:t>
      </w:r>
      <w:r>
        <w:rPr>
          <w:rFonts w:ascii="Trebuchet MS"/>
          <w:w w:val="105"/>
          <w:sz w:val="20"/>
        </w:rPr>
        <w:t>particular</w:t>
      </w:r>
      <w:r>
        <w:rPr>
          <w:rFonts w:ascii="Trebuchet MS"/>
          <w:spacing w:val="-27"/>
          <w:w w:val="105"/>
          <w:sz w:val="20"/>
        </w:rPr>
        <w:t> </w:t>
      </w:r>
      <w:r>
        <w:rPr>
          <w:rFonts w:ascii="Trebuchet MS"/>
          <w:w w:val="105"/>
          <w:sz w:val="20"/>
        </w:rPr>
        <w:t>trial,</w:t>
      </w:r>
      <w:r>
        <w:rPr>
          <w:rFonts w:ascii="Trebuchet MS"/>
          <w:spacing w:val="-26"/>
          <w:w w:val="105"/>
          <w:sz w:val="20"/>
        </w:rPr>
        <w:t> </w:t>
      </w:r>
      <w:r>
        <w:rPr>
          <w:rFonts w:ascii="Trebuchet MS"/>
          <w:w w:val="105"/>
          <w:sz w:val="20"/>
        </w:rPr>
        <w:t>the judge</w:t>
      </w:r>
      <w:r>
        <w:rPr>
          <w:rFonts w:ascii="Trebuchet MS"/>
          <w:spacing w:val="-22"/>
          <w:w w:val="105"/>
          <w:sz w:val="20"/>
        </w:rPr>
        <w:t> </w:t>
      </w:r>
      <w:r>
        <w:rPr>
          <w:rFonts w:ascii="Trebuchet MS"/>
          <w:spacing w:val="-3"/>
          <w:w w:val="105"/>
          <w:sz w:val="20"/>
        </w:rPr>
        <w:t>may</w:t>
      </w:r>
      <w:r>
        <w:rPr>
          <w:rFonts w:ascii="Trebuchet MS"/>
          <w:spacing w:val="-22"/>
          <w:w w:val="105"/>
          <w:sz w:val="20"/>
        </w:rPr>
        <w:t> </w:t>
      </w:r>
      <w:r>
        <w:rPr>
          <w:rFonts w:ascii="Trebuchet MS"/>
          <w:w w:val="105"/>
          <w:sz w:val="20"/>
        </w:rPr>
        <w:t>either</w:t>
      </w:r>
      <w:r>
        <w:rPr>
          <w:rFonts w:ascii="Trebuchet MS"/>
          <w:spacing w:val="-22"/>
          <w:w w:val="105"/>
          <w:sz w:val="20"/>
        </w:rPr>
        <w:t> </w:t>
      </w:r>
      <w:r>
        <w:rPr>
          <w:rFonts w:ascii="Trebuchet MS"/>
          <w:spacing w:val="-3"/>
          <w:w w:val="105"/>
          <w:sz w:val="20"/>
        </w:rPr>
        <w:t>return</w:t>
      </w:r>
      <w:r>
        <w:rPr>
          <w:rFonts w:ascii="Trebuchet MS"/>
          <w:spacing w:val="-21"/>
          <w:w w:val="105"/>
          <w:sz w:val="20"/>
        </w:rPr>
        <w:t> </w:t>
      </w:r>
      <w:r>
        <w:rPr>
          <w:rFonts w:ascii="Trebuchet MS"/>
          <w:w w:val="105"/>
          <w:sz w:val="20"/>
        </w:rPr>
        <w:t>the</w:t>
      </w:r>
      <w:r>
        <w:rPr>
          <w:rFonts w:ascii="Trebuchet MS"/>
          <w:spacing w:val="-22"/>
          <w:w w:val="105"/>
          <w:sz w:val="20"/>
        </w:rPr>
        <w:t> </w:t>
      </w:r>
      <w:r>
        <w:rPr>
          <w:rFonts w:ascii="Trebuchet MS"/>
          <w:w w:val="105"/>
          <w:sz w:val="20"/>
        </w:rPr>
        <w:t>person</w:t>
      </w:r>
      <w:r>
        <w:rPr>
          <w:rFonts w:ascii="Trebuchet MS"/>
          <w:spacing w:val="-22"/>
          <w:w w:val="105"/>
          <w:sz w:val="20"/>
        </w:rPr>
        <w:t> </w:t>
      </w:r>
      <w:r>
        <w:rPr>
          <w:rFonts w:ascii="Trebuchet MS"/>
          <w:w w:val="105"/>
          <w:sz w:val="20"/>
        </w:rPr>
        <w:t>to</w:t>
      </w:r>
      <w:r>
        <w:rPr>
          <w:rFonts w:ascii="Trebuchet MS"/>
          <w:spacing w:val="-22"/>
          <w:w w:val="105"/>
          <w:sz w:val="20"/>
        </w:rPr>
        <w:t> </w:t>
      </w:r>
      <w:r>
        <w:rPr>
          <w:rFonts w:ascii="Trebuchet MS"/>
          <w:w w:val="105"/>
          <w:sz w:val="20"/>
        </w:rPr>
        <w:t>the</w:t>
      </w:r>
      <w:r>
        <w:rPr>
          <w:rFonts w:ascii="Trebuchet MS"/>
          <w:spacing w:val="-21"/>
          <w:w w:val="105"/>
          <w:sz w:val="20"/>
        </w:rPr>
        <w:t> </w:t>
      </w:r>
      <w:r>
        <w:rPr>
          <w:rFonts w:ascii="Trebuchet MS"/>
          <w:w w:val="105"/>
          <w:sz w:val="20"/>
        </w:rPr>
        <w:t>jury</w:t>
      </w:r>
      <w:r>
        <w:rPr>
          <w:rFonts w:ascii="Trebuchet MS"/>
          <w:spacing w:val="-22"/>
          <w:w w:val="105"/>
          <w:sz w:val="20"/>
        </w:rPr>
        <w:t> </w:t>
      </w:r>
      <w:r>
        <w:rPr>
          <w:rFonts w:ascii="Trebuchet MS"/>
          <w:w w:val="105"/>
          <w:sz w:val="20"/>
        </w:rPr>
        <w:t>pool</w:t>
      </w:r>
      <w:r>
        <w:rPr>
          <w:rFonts w:ascii="Trebuchet MS"/>
          <w:spacing w:val="-22"/>
          <w:w w:val="105"/>
          <w:sz w:val="20"/>
        </w:rPr>
        <w:t> </w:t>
      </w:r>
      <w:r>
        <w:rPr>
          <w:rFonts w:ascii="Trebuchet MS"/>
          <w:w w:val="105"/>
          <w:sz w:val="20"/>
        </w:rPr>
        <w:t>to</w:t>
      </w:r>
      <w:r>
        <w:rPr>
          <w:rFonts w:ascii="Trebuchet MS"/>
          <w:spacing w:val="-22"/>
          <w:w w:val="105"/>
          <w:sz w:val="20"/>
        </w:rPr>
        <w:t> </w:t>
      </w:r>
      <w:r>
        <w:rPr>
          <w:rFonts w:ascii="Trebuchet MS"/>
          <w:spacing w:val="-3"/>
          <w:w w:val="105"/>
          <w:sz w:val="20"/>
        </w:rPr>
        <w:t>potentially</w:t>
      </w:r>
      <w:r>
        <w:rPr>
          <w:rFonts w:ascii="Trebuchet MS"/>
          <w:spacing w:val="-21"/>
          <w:w w:val="105"/>
          <w:sz w:val="20"/>
        </w:rPr>
        <w:t> </w:t>
      </w:r>
      <w:r>
        <w:rPr>
          <w:rFonts w:ascii="Trebuchet MS"/>
          <w:w w:val="105"/>
          <w:sz w:val="20"/>
        </w:rPr>
        <w:t>serve</w:t>
      </w:r>
      <w:r>
        <w:rPr>
          <w:rFonts w:ascii="Trebuchet MS"/>
          <w:spacing w:val="-22"/>
          <w:w w:val="105"/>
          <w:sz w:val="20"/>
        </w:rPr>
        <w:t> </w:t>
      </w:r>
      <w:r>
        <w:rPr>
          <w:rFonts w:ascii="Trebuchet MS"/>
          <w:w w:val="105"/>
          <w:sz w:val="20"/>
        </w:rPr>
        <w:t>as</w:t>
      </w:r>
      <w:r>
        <w:rPr>
          <w:rFonts w:ascii="Trebuchet MS"/>
          <w:spacing w:val="-22"/>
          <w:w w:val="105"/>
          <w:sz w:val="20"/>
        </w:rPr>
        <w:t> </w:t>
      </w:r>
      <w:r>
        <w:rPr>
          <w:rFonts w:ascii="Trebuchet MS"/>
          <w:w w:val="105"/>
          <w:sz w:val="20"/>
        </w:rPr>
        <w:t>a</w:t>
      </w:r>
      <w:r>
        <w:rPr>
          <w:rFonts w:ascii="Trebuchet MS"/>
          <w:spacing w:val="-22"/>
          <w:w w:val="105"/>
          <w:sz w:val="20"/>
        </w:rPr>
        <w:t> </w:t>
      </w:r>
      <w:r>
        <w:rPr>
          <w:rFonts w:ascii="Trebuchet MS"/>
          <w:w w:val="105"/>
          <w:sz w:val="20"/>
        </w:rPr>
        <w:t>juror </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spacing w:val="-4"/>
          <w:w w:val="111"/>
          <w:sz w:val="20"/>
        </w:rPr>
        <w:t>o</w:t>
      </w:r>
      <w:r>
        <w:rPr>
          <w:rFonts w:ascii="Trebuchet MS"/>
          <w:spacing w:val="-2"/>
          <w:w w:val="88"/>
          <w:sz w:val="20"/>
        </w:rPr>
        <w:t>t</w:t>
      </w:r>
      <w:r>
        <w:rPr>
          <w:rFonts w:ascii="Trebuchet MS"/>
          <w:spacing w:val="-1"/>
          <w:w w:val="107"/>
          <w:sz w:val="20"/>
        </w:rPr>
        <w:t>h</w:t>
      </w:r>
      <w:r>
        <w:rPr>
          <w:rFonts w:ascii="Trebuchet MS"/>
          <w:spacing w:val="-1"/>
          <w:w w:val="108"/>
          <w:sz w:val="20"/>
        </w:rPr>
        <w:t>e</w:t>
      </w:r>
      <w:r>
        <w:rPr>
          <w:rFonts w:ascii="Trebuchet MS"/>
          <w:w w:val="93"/>
          <w:sz w:val="20"/>
        </w:rPr>
        <w:t>r</w:t>
      </w:r>
      <w:r>
        <w:rPr>
          <w:rFonts w:ascii="Trebuchet MS"/>
          <w:spacing w:val="-14"/>
          <w:sz w:val="20"/>
        </w:rPr>
        <w:t> </w:t>
      </w:r>
      <w:r>
        <w:rPr>
          <w:rFonts w:ascii="Trebuchet MS"/>
          <w:spacing w:val="-2"/>
          <w:w w:val="88"/>
          <w:sz w:val="20"/>
        </w:rPr>
        <w:t>t</w:t>
      </w:r>
      <w:r>
        <w:rPr>
          <w:rFonts w:ascii="Trebuchet MS"/>
          <w:spacing w:val="-2"/>
          <w:w w:val="93"/>
          <w:sz w:val="20"/>
        </w:rPr>
        <w:t>r</w:t>
      </w:r>
      <w:r>
        <w:rPr>
          <w:rFonts w:ascii="Trebuchet MS"/>
          <w:spacing w:val="-1"/>
          <w:w w:val="80"/>
          <w:sz w:val="20"/>
        </w:rPr>
        <w:t>i</w:t>
      </w:r>
      <w:r>
        <w:rPr>
          <w:rFonts w:ascii="Trebuchet MS"/>
          <w:spacing w:val="-3"/>
          <w:w w:val="105"/>
          <w:sz w:val="20"/>
        </w:rPr>
        <w:t>a</w:t>
      </w:r>
      <w:r>
        <w:rPr>
          <w:rFonts w:ascii="Trebuchet MS"/>
          <w:w w:val="96"/>
          <w:sz w:val="20"/>
        </w:rPr>
        <w:t>l</w:t>
      </w:r>
      <w:r>
        <w:rPr>
          <w:rFonts w:ascii="Trebuchet MS"/>
          <w:spacing w:val="-14"/>
          <w:sz w:val="20"/>
        </w:rPr>
        <w:t> </w:t>
      </w:r>
      <w:r>
        <w:rPr>
          <w:rFonts w:ascii="Trebuchet MS"/>
          <w:spacing w:val="-1"/>
          <w:w w:val="111"/>
          <w:sz w:val="20"/>
        </w:rPr>
        <w:t>o</w:t>
      </w:r>
      <w:r>
        <w:rPr>
          <w:rFonts w:ascii="Trebuchet MS"/>
          <w:w w:val="93"/>
          <w:sz w:val="20"/>
        </w:rPr>
        <w:t>r</w:t>
      </w:r>
      <w:r>
        <w:rPr>
          <w:rFonts w:ascii="Trebuchet MS"/>
          <w:spacing w:val="-14"/>
          <w:sz w:val="20"/>
        </w:rPr>
        <w:t> </w:t>
      </w:r>
      <w:r>
        <w:rPr>
          <w:rFonts w:ascii="Trebuchet MS"/>
          <w:spacing w:val="-5"/>
          <w:w w:val="108"/>
          <w:sz w:val="20"/>
        </w:rPr>
        <w:t>e</w:t>
      </w:r>
      <w:r>
        <w:rPr>
          <w:rFonts w:ascii="Trebuchet MS"/>
          <w:spacing w:val="-5"/>
          <w:w w:val="102"/>
          <w:sz w:val="20"/>
        </w:rPr>
        <w:t>x</w:t>
      </w:r>
      <w:r>
        <w:rPr>
          <w:rFonts w:ascii="Trebuchet MS"/>
          <w:spacing w:val="-2"/>
          <w:w w:val="110"/>
          <w:sz w:val="20"/>
        </w:rPr>
        <w:t>c</w:t>
      </w:r>
      <w:r>
        <w:rPr>
          <w:rFonts w:ascii="Trebuchet MS"/>
          <w:spacing w:val="-1"/>
          <w:w w:val="110"/>
          <w:sz w:val="20"/>
        </w:rPr>
        <w:t>u</w:t>
      </w:r>
      <w:r>
        <w:rPr>
          <w:rFonts w:ascii="Trebuchet MS"/>
          <w:spacing w:val="-1"/>
          <w:w w:val="122"/>
          <w:sz w:val="20"/>
        </w:rPr>
        <w:t>s</w:t>
      </w:r>
      <w:r>
        <w:rPr>
          <w:rFonts w:ascii="Trebuchet MS"/>
          <w:w w:val="108"/>
          <w:sz w:val="20"/>
        </w:rPr>
        <w:t>e</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1"/>
          <w:w w:val="111"/>
          <w:sz w:val="20"/>
        </w:rPr>
        <w:t>p</w:t>
      </w:r>
      <w:r>
        <w:rPr>
          <w:rFonts w:ascii="Trebuchet MS"/>
          <w:spacing w:val="-1"/>
          <w:w w:val="108"/>
          <w:sz w:val="20"/>
        </w:rPr>
        <w:t>e</w:t>
      </w:r>
      <w:r>
        <w:rPr>
          <w:rFonts w:ascii="Trebuchet MS"/>
          <w:spacing w:val="-1"/>
          <w:w w:val="93"/>
          <w:sz w:val="20"/>
        </w:rPr>
        <w:t>r</w:t>
      </w:r>
      <w:r>
        <w:rPr>
          <w:rFonts w:ascii="Trebuchet MS"/>
          <w:spacing w:val="-1"/>
          <w:w w:val="122"/>
          <w:sz w:val="20"/>
        </w:rPr>
        <w:t>s</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2"/>
          <w:w w:val="93"/>
          <w:sz w:val="20"/>
        </w:rPr>
        <w:t>f</w:t>
      </w:r>
      <w:r>
        <w:rPr>
          <w:rFonts w:ascii="Trebuchet MS"/>
          <w:spacing w:val="-4"/>
          <w:w w:val="93"/>
          <w:sz w:val="20"/>
        </w:rPr>
        <w:t>r</w:t>
      </w:r>
      <w:r>
        <w:rPr>
          <w:rFonts w:ascii="Trebuchet MS"/>
          <w:spacing w:val="-1"/>
          <w:w w:val="111"/>
          <w:sz w:val="20"/>
        </w:rPr>
        <w:t>o</w:t>
      </w:r>
      <w:r>
        <w:rPr>
          <w:rFonts w:ascii="Trebuchet MS"/>
          <w:w w:val="111"/>
          <w:sz w:val="20"/>
        </w:rPr>
        <w:t>m</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spacing w:val="-1"/>
          <w:w w:val="108"/>
          <w:sz w:val="20"/>
        </w:rPr>
        <w:t>e</w:t>
      </w:r>
      <w:r>
        <w:rPr>
          <w:rFonts w:ascii="Trebuchet MS"/>
          <w:spacing w:val="-2"/>
          <w:w w:val="80"/>
          <w:sz w:val="20"/>
        </w:rPr>
        <w:t>i</w:t>
      </w:r>
      <w:r>
        <w:rPr>
          <w:rFonts w:ascii="Trebuchet MS"/>
          <w:w w:val="93"/>
          <w:sz w:val="20"/>
        </w:rPr>
        <w:t>r</w:t>
      </w:r>
      <w:r>
        <w:rPr>
          <w:rFonts w:ascii="Trebuchet MS"/>
          <w:spacing w:val="-14"/>
          <w:sz w:val="20"/>
        </w:rPr>
        <w:t> </w:t>
      </w:r>
      <w:r>
        <w:rPr>
          <w:rFonts w:ascii="Trebuchet MS"/>
          <w:spacing w:val="-2"/>
          <w:w w:val="122"/>
          <w:sz w:val="20"/>
        </w:rPr>
        <w:t>s</w:t>
      </w:r>
      <w:r>
        <w:rPr>
          <w:rFonts w:ascii="Trebuchet MS"/>
          <w:spacing w:val="-1"/>
          <w:w w:val="109"/>
          <w:sz w:val="20"/>
        </w:rPr>
        <w:t>u</w:t>
      </w:r>
      <w:r>
        <w:rPr>
          <w:rFonts w:ascii="Trebuchet MS"/>
          <w:spacing w:val="-2"/>
          <w:w w:val="111"/>
          <w:sz w:val="20"/>
        </w:rPr>
        <w:t>m</w:t>
      </w:r>
      <w:r>
        <w:rPr>
          <w:rFonts w:ascii="Trebuchet MS"/>
          <w:spacing w:val="-1"/>
          <w:w w:val="111"/>
          <w:sz w:val="20"/>
        </w:rPr>
        <w:t>m</w:t>
      </w:r>
      <w:r>
        <w:rPr>
          <w:rFonts w:ascii="Trebuchet MS"/>
          <w:spacing w:val="-1"/>
          <w:w w:val="111"/>
          <w:sz w:val="20"/>
        </w:rPr>
        <w:t>o</w:t>
      </w:r>
      <w:r>
        <w:rPr>
          <w:rFonts w:ascii="Trebuchet MS"/>
          <w:spacing w:val="-2"/>
          <w:w w:val="107"/>
          <w:sz w:val="20"/>
        </w:rPr>
        <w:t>n</w:t>
      </w:r>
      <w:r>
        <w:rPr>
          <w:rFonts w:ascii="Trebuchet MS"/>
          <w:spacing w:val="1"/>
          <w:w w:val="122"/>
          <w:sz w:val="20"/>
        </w:rPr>
        <w:t>s</w:t>
      </w:r>
      <w:r>
        <w:rPr>
          <w:rFonts w:ascii="Trebuchet MS"/>
          <w:w w:val="55"/>
          <w:sz w:val="20"/>
        </w:rPr>
        <w:t>.</w:t>
      </w:r>
      <w:r>
        <w:rPr>
          <w:rFonts w:ascii="Trebuchet MS"/>
          <w:spacing w:val="-14"/>
          <w:sz w:val="20"/>
        </w:rPr>
        <w:t> </w:t>
      </w:r>
      <w:r>
        <w:rPr>
          <w:rFonts w:ascii="Trebuchet MS"/>
          <w:spacing w:val="-2"/>
          <w:w w:val="93"/>
          <w:sz w:val="20"/>
        </w:rPr>
        <w:t>I</w:t>
      </w:r>
      <w:r>
        <w:rPr>
          <w:rFonts w:ascii="Trebuchet MS"/>
          <w:w w:val="107"/>
          <w:sz w:val="20"/>
        </w:rPr>
        <w:t>n</w:t>
      </w:r>
      <w:r>
        <w:rPr>
          <w:rFonts w:ascii="Trebuchet MS"/>
          <w:spacing w:val="-14"/>
          <w:sz w:val="20"/>
        </w:rPr>
        <w:t> </w:t>
      </w:r>
      <w:r>
        <w:rPr>
          <w:rFonts w:ascii="Trebuchet MS"/>
          <w:spacing w:val="-2"/>
          <w:w w:val="112"/>
          <w:sz w:val="20"/>
        </w:rPr>
        <w:t>d</w:t>
      </w:r>
      <w:r>
        <w:rPr>
          <w:rFonts w:ascii="Trebuchet MS"/>
          <w:spacing w:val="-3"/>
          <w:w w:val="108"/>
          <w:sz w:val="20"/>
        </w:rPr>
        <w:t>e</w:t>
      </w:r>
      <w:r>
        <w:rPr>
          <w:rFonts w:ascii="Trebuchet MS"/>
          <w:spacing w:val="-4"/>
          <w:w w:val="88"/>
          <w:sz w:val="20"/>
        </w:rPr>
        <w:t>t</w:t>
      </w:r>
      <w:r>
        <w:rPr>
          <w:rFonts w:ascii="Trebuchet MS"/>
          <w:spacing w:val="-1"/>
          <w:w w:val="108"/>
          <w:sz w:val="20"/>
        </w:rPr>
        <w:t>e</w:t>
      </w:r>
      <w:r>
        <w:rPr>
          <w:rFonts w:ascii="Trebuchet MS"/>
          <w:spacing w:val="-2"/>
          <w:w w:val="93"/>
          <w:sz w:val="20"/>
        </w:rPr>
        <w:t>r</w:t>
      </w:r>
      <w:r>
        <w:rPr>
          <w:rFonts w:ascii="Trebuchet MS"/>
          <w:spacing w:val="-2"/>
          <w:w w:val="111"/>
          <w:sz w:val="20"/>
        </w:rPr>
        <w:t>m</w:t>
      </w:r>
      <w:r>
        <w:rPr>
          <w:rFonts w:ascii="Trebuchet MS"/>
          <w:spacing w:val="-2"/>
          <w:w w:val="80"/>
          <w:sz w:val="20"/>
        </w:rPr>
        <w:t>i</w:t>
      </w:r>
      <w:r>
        <w:rPr>
          <w:rFonts w:ascii="Trebuchet MS"/>
          <w:spacing w:val="-2"/>
          <w:w w:val="107"/>
          <w:sz w:val="20"/>
        </w:rPr>
        <w:t>n</w:t>
      </w:r>
      <w:r>
        <w:rPr>
          <w:rFonts w:ascii="Trebuchet MS"/>
          <w:spacing w:val="-2"/>
          <w:w w:val="80"/>
          <w:sz w:val="20"/>
        </w:rPr>
        <w:t>i</w:t>
      </w:r>
      <w:r>
        <w:rPr>
          <w:rFonts w:ascii="Trebuchet MS"/>
          <w:spacing w:val="-1"/>
          <w:w w:val="107"/>
          <w:sz w:val="20"/>
        </w:rPr>
        <w:t>n</w:t>
      </w:r>
      <w:r>
        <w:rPr>
          <w:rFonts w:ascii="Trebuchet MS"/>
          <w:w w:val="124"/>
          <w:sz w:val="20"/>
        </w:rPr>
        <w:t>g</w:t>
      </w:r>
      <w:r>
        <w:rPr>
          <w:rFonts w:ascii="Trebuchet MS"/>
          <w:spacing w:val="-14"/>
          <w:sz w:val="20"/>
        </w:rPr>
        <w:t> </w:t>
      </w:r>
      <w:r>
        <w:rPr>
          <w:rFonts w:ascii="Trebuchet MS"/>
          <w:spacing w:val="-2"/>
          <w:w w:val="110"/>
          <w:sz w:val="20"/>
        </w:rPr>
        <w:t>w</w:t>
      </w:r>
      <w:r>
        <w:rPr>
          <w:rFonts w:ascii="Trebuchet MS"/>
          <w:spacing w:val="-1"/>
          <w:w w:val="107"/>
          <w:sz w:val="20"/>
        </w:rPr>
        <w:t>h</w:t>
      </w:r>
      <w:r>
        <w:rPr>
          <w:rFonts w:ascii="Trebuchet MS"/>
          <w:spacing w:val="-3"/>
          <w:w w:val="108"/>
          <w:sz w:val="20"/>
        </w:rPr>
        <w:t>e</w:t>
      </w:r>
      <w:r>
        <w:rPr>
          <w:rFonts w:ascii="Trebuchet MS"/>
          <w:spacing w:val="-2"/>
          <w:w w:val="88"/>
          <w:sz w:val="20"/>
        </w:rPr>
        <w:t>t</w:t>
      </w:r>
      <w:r>
        <w:rPr>
          <w:rFonts w:ascii="Trebuchet MS"/>
          <w:spacing w:val="-1"/>
          <w:w w:val="107"/>
          <w:sz w:val="20"/>
        </w:rPr>
        <w:t>h</w:t>
      </w:r>
      <w:r>
        <w:rPr>
          <w:rFonts w:ascii="Trebuchet MS"/>
          <w:spacing w:val="-1"/>
          <w:w w:val="108"/>
          <w:sz w:val="20"/>
        </w:rPr>
        <w:t>e</w:t>
      </w:r>
      <w:r>
        <w:rPr>
          <w:rFonts w:ascii="Trebuchet MS"/>
          <w:w w:val="93"/>
          <w:sz w:val="20"/>
        </w:rPr>
        <w:t>r </w:t>
      </w:r>
      <w:r>
        <w:rPr>
          <w:rFonts w:ascii="Trebuchet MS"/>
          <w:w w:val="105"/>
          <w:sz w:val="20"/>
        </w:rPr>
        <w:t>to</w:t>
      </w:r>
      <w:r>
        <w:rPr>
          <w:rFonts w:ascii="Trebuchet MS"/>
          <w:spacing w:val="-13"/>
          <w:w w:val="105"/>
          <w:sz w:val="20"/>
        </w:rPr>
        <w:t> </w:t>
      </w:r>
      <w:r>
        <w:rPr>
          <w:rFonts w:ascii="Trebuchet MS"/>
          <w:spacing w:val="-3"/>
          <w:w w:val="105"/>
          <w:sz w:val="20"/>
        </w:rPr>
        <w:t>excuse</w:t>
      </w:r>
      <w:r>
        <w:rPr>
          <w:rFonts w:ascii="Trebuchet MS"/>
          <w:spacing w:val="-12"/>
          <w:w w:val="105"/>
          <w:sz w:val="20"/>
        </w:rPr>
        <w:t> </w:t>
      </w:r>
      <w:r>
        <w:rPr>
          <w:rFonts w:ascii="Trebuchet MS"/>
          <w:w w:val="105"/>
          <w:sz w:val="20"/>
        </w:rPr>
        <w:t>a</w:t>
      </w:r>
      <w:r>
        <w:rPr>
          <w:rFonts w:ascii="Trebuchet MS"/>
          <w:spacing w:val="-12"/>
          <w:w w:val="105"/>
          <w:sz w:val="20"/>
        </w:rPr>
        <w:t> </w:t>
      </w:r>
      <w:r>
        <w:rPr>
          <w:rFonts w:ascii="Trebuchet MS"/>
          <w:w w:val="105"/>
          <w:sz w:val="20"/>
        </w:rPr>
        <w:t>person</w:t>
      </w:r>
      <w:r>
        <w:rPr>
          <w:rFonts w:ascii="Trebuchet MS"/>
          <w:spacing w:val="-13"/>
          <w:w w:val="105"/>
          <w:sz w:val="20"/>
        </w:rPr>
        <w:t> </w:t>
      </w:r>
      <w:r>
        <w:rPr>
          <w:rFonts w:ascii="Trebuchet MS"/>
          <w:w w:val="105"/>
          <w:sz w:val="20"/>
        </w:rPr>
        <w:t>from</w:t>
      </w:r>
      <w:r>
        <w:rPr>
          <w:rFonts w:ascii="Trebuchet MS"/>
          <w:spacing w:val="-12"/>
          <w:w w:val="105"/>
          <w:sz w:val="20"/>
        </w:rPr>
        <w:t> </w:t>
      </w:r>
      <w:r>
        <w:rPr>
          <w:rFonts w:ascii="Trebuchet MS"/>
          <w:w w:val="105"/>
          <w:sz w:val="20"/>
        </w:rPr>
        <w:t>their</w:t>
      </w:r>
      <w:r>
        <w:rPr>
          <w:rFonts w:ascii="Trebuchet MS"/>
          <w:spacing w:val="-12"/>
          <w:w w:val="105"/>
          <w:sz w:val="20"/>
        </w:rPr>
        <w:t> </w:t>
      </w:r>
      <w:r>
        <w:rPr>
          <w:rFonts w:ascii="Trebuchet MS"/>
          <w:w w:val="105"/>
          <w:sz w:val="20"/>
        </w:rPr>
        <w:t>summons</w:t>
      </w:r>
      <w:r>
        <w:rPr>
          <w:rFonts w:ascii="Trebuchet MS"/>
          <w:spacing w:val="-13"/>
          <w:w w:val="105"/>
          <w:sz w:val="20"/>
        </w:rPr>
        <w:t> </w:t>
      </w:r>
      <w:r>
        <w:rPr>
          <w:rFonts w:ascii="Trebuchet MS"/>
          <w:w w:val="105"/>
          <w:sz w:val="20"/>
        </w:rPr>
        <w:t>the</w:t>
      </w:r>
      <w:r>
        <w:rPr>
          <w:rFonts w:ascii="Trebuchet MS"/>
          <w:spacing w:val="-12"/>
          <w:w w:val="105"/>
          <w:sz w:val="20"/>
        </w:rPr>
        <w:t> </w:t>
      </w:r>
      <w:r>
        <w:rPr>
          <w:rFonts w:ascii="Trebuchet MS"/>
          <w:w w:val="105"/>
          <w:sz w:val="20"/>
        </w:rPr>
        <w:t>judge</w:t>
      </w:r>
      <w:r>
        <w:rPr>
          <w:rFonts w:ascii="Trebuchet MS"/>
          <w:spacing w:val="-12"/>
          <w:w w:val="105"/>
          <w:sz w:val="20"/>
        </w:rPr>
        <w:t> </w:t>
      </w:r>
      <w:r>
        <w:rPr>
          <w:rFonts w:ascii="Trebuchet MS"/>
          <w:spacing w:val="-3"/>
          <w:w w:val="105"/>
          <w:sz w:val="20"/>
        </w:rPr>
        <w:t>may</w:t>
      </w:r>
      <w:r>
        <w:rPr>
          <w:rFonts w:ascii="Trebuchet MS"/>
          <w:spacing w:val="-13"/>
          <w:w w:val="105"/>
          <w:sz w:val="20"/>
        </w:rPr>
        <w:t> </w:t>
      </w:r>
      <w:r>
        <w:rPr>
          <w:rFonts w:ascii="Trebuchet MS"/>
          <w:w w:val="105"/>
          <w:sz w:val="20"/>
        </w:rPr>
        <w:t>consider</w:t>
      </w:r>
      <w:r>
        <w:rPr>
          <w:rFonts w:ascii="Trebuchet MS"/>
          <w:spacing w:val="-12"/>
          <w:w w:val="105"/>
          <w:sz w:val="20"/>
        </w:rPr>
        <w:t> </w:t>
      </w:r>
      <w:r>
        <w:rPr>
          <w:rFonts w:ascii="Trebuchet MS"/>
          <w:w w:val="105"/>
          <w:sz w:val="20"/>
        </w:rPr>
        <w:t>the</w:t>
      </w:r>
      <w:r>
        <w:rPr>
          <w:rFonts w:ascii="Trebuchet MS"/>
          <w:spacing w:val="-12"/>
          <w:w w:val="105"/>
          <w:sz w:val="20"/>
        </w:rPr>
        <w:t> </w:t>
      </w:r>
      <w:r>
        <w:rPr>
          <w:rFonts w:ascii="Trebuchet MS"/>
          <w:w w:val="105"/>
          <w:sz w:val="20"/>
        </w:rPr>
        <w:t>wishes</w:t>
      </w:r>
      <w:r>
        <w:rPr>
          <w:rFonts w:ascii="Trebuchet MS"/>
          <w:spacing w:val="-13"/>
          <w:w w:val="105"/>
          <w:sz w:val="20"/>
        </w:rPr>
        <w:t> </w:t>
      </w:r>
      <w:r>
        <w:rPr>
          <w:rFonts w:ascii="Trebuchet MS"/>
          <w:w w:val="105"/>
          <w:sz w:val="20"/>
        </w:rPr>
        <w:t>of</w:t>
      </w:r>
      <w:r>
        <w:rPr>
          <w:rFonts w:ascii="Trebuchet MS"/>
          <w:spacing w:val="-12"/>
          <w:w w:val="105"/>
          <w:sz w:val="20"/>
        </w:rPr>
        <w:t> </w:t>
      </w:r>
      <w:r>
        <w:rPr>
          <w:rFonts w:ascii="Trebuchet MS"/>
          <w:w w:val="105"/>
          <w:sz w:val="20"/>
        </w:rPr>
        <w:t>the </w:t>
      </w:r>
      <w:r>
        <w:rPr>
          <w:rFonts w:ascii="Trebuchet MS"/>
          <w:spacing w:val="-1"/>
          <w:w w:val="111"/>
          <w:sz w:val="20"/>
        </w:rPr>
        <w:t>p</w:t>
      </w:r>
      <w:r>
        <w:rPr>
          <w:rFonts w:ascii="Trebuchet MS"/>
          <w:spacing w:val="-1"/>
          <w:w w:val="108"/>
          <w:sz w:val="20"/>
        </w:rPr>
        <w:t>e</w:t>
      </w:r>
      <w:r>
        <w:rPr>
          <w:rFonts w:ascii="Trebuchet MS"/>
          <w:spacing w:val="-1"/>
          <w:w w:val="93"/>
          <w:sz w:val="20"/>
        </w:rPr>
        <w:t>r</w:t>
      </w:r>
      <w:r>
        <w:rPr>
          <w:rFonts w:ascii="Trebuchet MS"/>
          <w:spacing w:val="-1"/>
          <w:w w:val="113"/>
          <w:sz w:val="20"/>
        </w:rPr>
        <w:t>son</w:t>
      </w:r>
      <w:r>
        <w:rPr>
          <w:rFonts w:ascii="Trebuchet MS"/>
          <w:w w:val="55"/>
          <w:sz w:val="20"/>
        </w:rPr>
        <w:t>.</w:t>
      </w:r>
    </w:p>
    <w:p>
      <w:pPr>
        <w:pStyle w:val="ListParagraph"/>
        <w:numPr>
          <w:ilvl w:val="1"/>
          <w:numId w:val="82"/>
        </w:numPr>
        <w:tabs>
          <w:tab w:pos="1761" w:val="left" w:leader="none"/>
          <w:tab w:pos="1762" w:val="left" w:leader="none"/>
        </w:tabs>
        <w:spacing w:line="247" w:lineRule="auto" w:before="90" w:after="0"/>
        <w:ind w:left="1761" w:right="1514" w:hanging="567"/>
        <w:jc w:val="left"/>
        <w:rPr>
          <w:rFonts w:ascii="Trebuchet MS"/>
          <w:sz w:val="20"/>
        </w:rPr>
      </w:pPr>
      <w:r>
        <w:rPr>
          <w:rFonts w:ascii="Trebuchet MS"/>
          <w:w w:val="105"/>
          <w:sz w:val="20"/>
        </w:rPr>
        <w:t>The Victorian courts should build on existing building </w:t>
      </w:r>
      <w:r>
        <w:rPr>
          <w:rFonts w:ascii="Trebuchet MS"/>
          <w:spacing w:val="-3"/>
          <w:w w:val="105"/>
          <w:sz w:val="20"/>
        </w:rPr>
        <w:t>improvement </w:t>
      </w:r>
      <w:r>
        <w:rPr>
          <w:rFonts w:ascii="Trebuchet MS"/>
          <w:w w:val="105"/>
          <w:sz w:val="20"/>
        </w:rPr>
        <w:t>programs to </w:t>
      </w:r>
      <w:r>
        <w:rPr>
          <w:rFonts w:ascii="Trebuchet MS"/>
          <w:spacing w:val="-2"/>
          <w:w w:val="80"/>
          <w:sz w:val="20"/>
        </w:rPr>
        <w:t>i</w:t>
      </w:r>
      <w:r>
        <w:rPr>
          <w:rFonts w:ascii="Trebuchet MS"/>
          <w:spacing w:val="-2"/>
          <w:w w:val="111"/>
          <w:sz w:val="20"/>
        </w:rPr>
        <w:t>m</w:t>
      </w:r>
      <w:r>
        <w:rPr>
          <w:rFonts w:ascii="Trebuchet MS"/>
          <w:spacing w:val="-1"/>
          <w:w w:val="111"/>
          <w:sz w:val="20"/>
        </w:rPr>
        <w:t>p</w:t>
      </w:r>
      <w:r>
        <w:rPr>
          <w:rFonts w:ascii="Trebuchet MS"/>
          <w:spacing w:val="-4"/>
          <w:w w:val="93"/>
          <w:sz w:val="20"/>
        </w:rPr>
        <w:t>r</w:t>
      </w:r>
      <w:r>
        <w:rPr>
          <w:rFonts w:ascii="Trebuchet MS"/>
          <w:spacing w:val="-6"/>
          <w:w w:val="111"/>
          <w:sz w:val="20"/>
        </w:rPr>
        <w:t>o</w:t>
      </w:r>
      <w:r>
        <w:rPr>
          <w:rFonts w:ascii="Trebuchet MS"/>
          <w:spacing w:val="-6"/>
          <w:w w:val="109"/>
          <w:sz w:val="20"/>
        </w:rPr>
        <w:t>v</w:t>
      </w:r>
      <w:r>
        <w:rPr>
          <w:rFonts w:ascii="Trebuchet MS"/>
          <w:w w:val="108"/>
          <w:sz w:val="20"/>
        </w:rPr>
        <w:t>e</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1"/>
          <w:w w:val="109"/>
          <w:sz w:val="20"/>
        </w:rPr>
        <w:t>u</w:t>
      </w:r>
      <w:r>
        <w:rPr>
          <w:rFonts w:ascii="Trebuchet MS"/>
          <w:spacing w:val="2"/>
          <w:w w:val="93"/>
          <w:sz w:val="20"/>
        </w:rPr>
        <w:t>r</w:t>
      </w:r>
      <w:r>
        <w:rPr>
          <w:rFonts w:ascii="Trebuchet MS"/>
          <w:w w:val="88"/>
          <w:sz w:val="20"/>
        </w:rPr>
        <w:t>t</w:t>
      </w:r>
      <w:r>
        <w:rPr>
          <w:rFonts w:ascii="Trebuchet MS"/>
          <w:spacing w:val="-14"/>
          <w:sz w:val="20"/>
        </w:rPr>
        <w:t> </w:t>
      </w:r>
      <w:r>
        <w:rPr>
          <w:rFonts w:ascii="Trebuchet MS"/>
          <w:spacing w:val="-2"/>
          <w:w w:val="108"/>
          <w:sz w:val="20"/>
        </w:rPr>
        <w:t>a</w:t>
      </w:r>
      <w:r>
        <w:rPr>
          <w:rFonts w:ascii="Trebuchet MS"/>
          <w:spacing w:val="-3"/>
          <w:w w:val="108"/>
          <w:sz w:val="20"/>
        </w:rPr>
        <w:t>c</w:t>
      </w:r>
      <w:r>
        <w:rPr>
          <w:rFonts w:ascii="Trebuchet MS"/>
          <w:spacing w:val="-3"/>
          <w:w w:val="111"/>
          <w:sz w:val="20"/>
        </w:rPr>
        <w:t>c</w:t>
      </w:r>
      <w:r>
        <w:rPr>
          <w:rFonts w:ascii="Trebuchet MS"/>
          <w:spacing w:val="-2"/>
          <w:w w:val="108"/>
          <w:sz w:val="20"/>
        </w:rPr>
        <w:t>e</w:t>
      </w:r>
      <w:r>
        <w:rPr>
          <w:rFonts w:ascii="Trebuchet MS"/>
          <w:spacing w:val="-1"/>
          <w:w w:val="122"/>
          <w:sz w:val="20"/>
        </w:rPr>
        <w:t>s</w:t>
      </w:r>
      <w:r>
        <w:rPr>
          <w:rFonts w:ascii="Trebuchet MS"/>
          <w:spacing w:val="-2"/>
          <w:w w:val="122"/>
          <w:sz w:val="20"/>
        </w:rPr>
        <w:t>s</w:t>
      </w:r>
      <w:r>
        <w:rPr>
          <w:rFonts w:ascii="Trebuchet MS"/>
          <w:spacing w:val="-2"/>
          <w:w w:val="80"/>
          <w:sz w:val="20"/>
        </w:rPr>
        <w:t>i</w:t>
      </w:r>
      <w:r>
        <w:rPr>
          <w:rFonts w:ascii="Trebuchet MS"/>
          <w:spacing w:val="-1"/>
          <w:w w:val="111"/>
          <w:sz w:val="20"/>
        </w:rPr>
        <w:t>b</w:t>
      </w:r>
      <w:r>
        <w:rPr>
          <w:rFonts w:ascii="Trebuchet MS"/>
          <w:spacing w:val="-2"/>
          <w:w w:val="80"/>
          <w:sz w:val="20"/>
        </w:rPr>
        <w:t>i</w:t>
      </w:r>
      <w:r>
        <w:rPr>
          <w:rFonts w:ascii="Trebuchet MS"/>
          <w:w w:val="96"/>
          <w:sz w:val="20"/>
        </w:rPr>
        <w:t>l</w:t>
      </w:r>
      <w:r>
        <w:rPr>
          <w:rFonts w:ascii="Trebuchet MS"/>
          <w:spacing w:val="-3"/>
          <w:w w:val="80"/>
          <w:sz w:val="20"/>
        </w:rPr>
        <w:t>i</w:t>
      </w:r>
      <w:r>
        <w:rPr>
          <w:rFonts w:ascii="Trebuchet MS"/>
          <w:w w:val="88"/>
          <w:sz w:val="20"/>
        </w:rPr>
        <w:t>t</w:t>
      </w:r>
      <w:r>
        <w:rPr>
          <w:rFonts w:ascii="Trebuchet MS"/>
          <w:w w:val="110"/>
          <w:sz w:val="20"/>
        </w:rPr>
        <w:t>y</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1"/>
          <w:w w:val="108"/>
          <w:sz w:val="20"/>
        </w:rPr>
        <w:t>e</w:t>
      </w:r>
      <w:r>
        <w:rPr>
          <w:rFonts w:ascii="Trebuchet MS"/>
          <w:spacing w:val="-1"/>
          <w:w w:val="107"/>
          <w:sz w:val="20"/>
        </w:rPr>
        <w:t>n</w:t>
      </w:r>
      <w:r>
        <w:rPr>
          <w:rFonts w:ascii="Trebuchet MS"/>
          <w:spacing w:val="-2"/>
          <w:w w:val="105"/>
          <w:sz w:val="20"/>
        </w:rPr>
        <w:t>a</w:t>
      </w:r>
      <w:r>
        <w:rPr>
          <w:rFonts w:ascii="Trebuchet MS"/>
          <w:spacing w:val="-2"/>
          <w:w w:val="111"/>
          <w:sz w:val="20"/>
        </w:rPr>
        <w:t>b</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1"/>
          <w:w w:val="111"/>
          <w:sz w:val="20"/>
        </w:rPr>
        <w:t>p</w:t>
      </w:r>
      <w:r>
        <w:rPr>
          <w:rFonts w:ascii="Trebuchet MS"/>
          <w:w w:val="108"/>
          <w:sz w:val="20"/>
        </w:rPr>
        <w:t>e</w:t>
      </w:r>
      <w:r>
        <w:rPr>
          <w:rFonts w:ascii="Trebuchet MS"/>
          <w:spacing w:val="-1"/>
          <w:w w:val="111"/>
          <w:sz w:val="20"/>
        </w:rPr>
        <w:t>o</w:t>
      </w:r>
      <w:r>
        <w:rPr>
          <w:rFonts w:ascii="Trebuchet MS"/>
          <w:spacing w:val="-2"/>
          <w:w w:val="111"/>
          <w:sz w:val="20"/>
        </w:rPr>
        <w:t>p</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2"/>
          <w:w w:val="110"/>
          <w:sz w:val="20"/>
        </w:rPr>
        <w:t>w</w:t>
      </w:r>
      <w:r>
        <w:rPr>
          <w:rFonts w:ascii="Trebuchet MS"/>
          <w:spacing w:val="-1"/>
          <w:w w:val="107"/>
          <w:sz w:val="20"/>
        </w:rPr>
        <w:t>h</w:t>
      </w:r>
      <w:r>
        <w:rPr>
          <w:rFonts w:ascii="Trebuchet MS"/>
          <w:w w:val="111"/>
          <w:sz w:val="20"/>
        </w:rPr>
        <w:t>o</w:t>
      </w:r>
      <w:r>
        <w:rPr>
          <w:rFonts w:ascii="Trebuchet MS"/>
          <w:spacing w:val="-14"/>
          <w:sz w:val="20"/>
        </w:rPr>
        <w:t> </w:t>
      </w:r>
      <w:r>
        <w:rPr>
          <w:rFonts w:ascii="Trebuchet MS"/>
          <w:spacing w:val="-2"/>
          <w:w w:val="105"/>
          <w:sz w:val="20"/>
        </w:rPr>
        <w:t>a</w:t>
      </w:r>
      <w:r>
        <w:rPr>
          <w:rFonts w:ascii="Trebuchet MS"/>
          <w:spacing w:val="-4"/>
          <w:w w:val="93"/>
          <w:sz w:val="20"/>
        </w:rPr>
        <w:t>r</w:t>
      </w:r>
      <w:r>
        <w:rPr>
          <w:rFonts w:ascii="Trebuchet MS"/>
          <w:w w:val="108"/>
          <w:sz w:val="20"/>
        </w:rPr>
        <w:t>e</w:t>
      </w:r>
      <w:r>
        <w:rPr>
          <w:rFonts w:ascii="Trebuchet MS"/>
          <w:spacing w:val="-14"/>
          <w:sz w:val="20"/>
        </w:rPr>
        <w:t> </w:t>
      </w:r>
      <w:r>
        <w:rPr>
          <w:rFonts w:ascii="Trebuchet MS"/>
          <w:spacing w:val="-2"/>
          <w:w w:val="112"/>
          <w:sz w:val="20"/>
        </w:rPr>
        <w:t>d</w:t>
      </w:r>
      <w:r>
        <w:rPr>
          <w:rFonts w:ascii="Trebuchet MS"/>
          <w:spacing w:val="-1"/>
          <w:w w:val="108"/>
          <w:sz w:val="20"/>
        </w:rPr>
        <w:t>e</w:t>
      </w:r>
      <w:r>
        <w:rPr>
          <w:rFonts w:ascii="Trebuchet MS"/>
          <w:spacing w:val="-4"/>
          <w:w w:val="105"/>
          <w:sz w:val="20"/>
        </w:rPr>
        <w:t>a</w:t>
      </w:r>
      <w:r>
        <w:rPr>
          <w:rFonts w:ascii="Trebuchet MS"/>
          <w:spacing w:val="-9"/>
          <w:w w:val="92"/>
          <w:sz w:val="20"/>
        </w:rPr>
        <w:t>f</w:t>
      </w:r>
      <w:r>
        <w:rPr>
          <w:rFonts w:ascii="Trebuchet MS"/>
          <w:w w:val="57"/>
          <w:sz w:val="20"/>
        </w:rPr>
        <w:t>,</w:t>
      </w:r>
      <w:r>
        <w:rPr>
          <w:rFonts w:ascii="Trebuchet MS"/>
          <w:spacing w:val="-14"/>
          <w:sz w:val="20"/>
        </w:rPr>
        <w:t> </w:t>
      </w:r>
      <w:r>
        <w:rPr>
          <w:rFonts w:ascii="Trebuchet MS"/>
          <w:spacing w:val="-1"/>
          <w:w w:val="107"/>
          <w:sz w:val="20"/>
        </w:rPr>
        <w:t>h</w:t>
      </w:r>
      <w:r>
        <w:rPr>
          <w:rFonts w:ascii="Trebuchet MS"/>
          <w:spacing w:val="-2"/>
          <w:w w:val="105"/>
          <w:sz w:val="20"/>
        </w:rPr>
        <w:t>a</w:t>
      </w:r>
      <w:r>
        <w:rPr>
          <w:rFonts w:ascii="Trebuchet MS"/>
          <w:spacing w:val="-4"/>
          <w:w w:val="93"/>
          <w:sz w:val="20"/>
        </w:rPr>
        <w:t>r</w:t>
      </w:r>
      <w:r>
        <w:rPr>
          <w:rFonts w:ascii="Trebuchet MS"/>
          <w:w w:val="112"/>
          <w:sz w:val="20"/>
        </w:rPr>
        <w:t>d</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1"/>
          <w:w w:val="107"/>
          <w:sz w:val="20"/>
        </w:rPr>
        <w:t>h</w:t>
      </w:r>
      <w:r>
        <w:rPr>
          <w:rFonts w:ascii="Trebuchet MS"/>
          <w:spacing w:val="-1"/>
          <w:w w:val="108"/>
          <w:sz w:val="20"/>
        </w:rPr>
        <w:t>e</w:t>
      </w:r>
      <w:r>
        <w:rPr>
          <w:rFonts w:ascii="Trebuchet MS"/>
          <w:spacing w:val="-2"/>
          <w:w w:val="105"/>
          <w:sz w:val="20"/>
        </w:rPr>
        <w:t>a</w:t>
      </w:r>
      <w:r>
        <w:rPr>
          <w:rFonts w:ascii="Trebuchet MS"/>
          <w:spacing w:val="-2"/>
          <w:w w:val="93"/>
          <w:sz w:val="20"/>
        </w:rPr>
        <w:t>r</w:t>
      </w:r>
      <w:r>
        <w:rPr>
          <w:rFonts w:ascii="Trebuchet MS"/>
          <w:spacing w:val="-2"/>
          <w:w w:val="80"/>
          <w:sz w:val="20"/>
        </w:rPr>
        <w:t>i</w:t>
      </w:r>
      <w:r>
        <w:rPr>
          <w:rFonts w:ascii="Trebuchet MS"/>
          <w:spacing w:val="-1"/>
          <w:w w:val="107"/>
          <w:sz w:val="20"/>
        </w:rPr>
        <w:t>n</w:t>
      </w:r>
      <w:r>
        <w:rPr>
          <w:rFonts w:ascii="Trebuchet MS"/>
          <w:spacing w:val="-1"/>
          <w:w w:val="124"/>
          <w:sz w:val="20"/>
        </w:rPr>
        <w:t>g</w:t>
      </w:r>
      <w:r>
        <w:rPr>
          <w:rFonts w:ascii="Trebuchet MS"/>
          <w:w w:val="57"/>
          <w:sz w:val="20"/>
        </w:rPr>
        <w:t>,</w:t>
      </w:r>
      <w:r>
        <w:rPr>
          <w:rFonts w:ascii="Trebuchet MS"/>
          <w:spacing w:val="-14"/>
          <w:sz w:val="20"/>
        </w:rPr>
        <w:t> </w:t>
      </w:r>
      <w:r>
        <w:rPr>
          <w:rFonts w:ascii="Trebuchet MS"/>
          <w:spacing w:val="-2"/>
          <w:w w:val="111"/>
          <w:sz w:val="20"/>
        </w:rPr>
        <w:t>b</w:t>
      </w:r>
      <w:r>
        <w:rPr>
          <w:rFonts w:ascii="Trebuchet MS"/>
          <w:w w:val="96"/>
          <w:sz w:val="20"/>
        </w:rPr>
        <w:t>l</w:t>
      </w:r>
      <w:r>
        <w:rPr>
          <w:rFonts w:ascii="Trebuchet MS"/>
          <w:spacing w:val="-2"/>
          <w:w w:val="80"/>
          <w:sz w:val="20"/>
        </w:rPr>
        <w:t>i</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1"/>
          <w:w w:val="111"/>
          <w:sz w:val="20"/>
        </w:rPr>
        <w:t>o</w:t>
      </w:r>
      <w:r>
        <w:rPr>
          <w:rFonts w:ascii="Trebuchet MS"/>
          <w:w w:val="93"/>
          <w:sz w:val="20"/>
        </w:rPr>
        <w:t>r </w:t>
      </w:r>
      <w:r>
        <w:rPr>
          <w:rFonts w:ascii="Trebuchet MS"/>
          <w:spacing w:val="-1"/>
          <w:w w:val="107"/>
          <w:sz w:val="20"/>
        </w:rPr>
        <w:t>h</w:t>
      </w:r>
      <w:r>
        <w:rPr>
          <w:rFonts w:ascii="Trebuchet MS"/>
          <w:spacing w:val="-6"/>
          <w:w w:val="105"/>
          <w:sz w:val="20"/>
        </w:rPr>
        <w:t>a</w:t>
      </w:r>
      <w:r>
        <w:rPr>
          <w:rFonts w:ascii="Trebuchet MS"/>
          <w:spacing w:val="-6"/>
          <w:w w:val="109"/>
          <w:sz w:val="20"/>
        </w:rPr>
        <w:t>v</w:t>
      </w:r>
      <w:r>
        <w:rPr>
          <w:rFonts w:ascii="Trebuchet MS"/>
          <w:w w:val="108"/>
          <w:sz w:val="20"/>
        </w:rPr>
        <w:t>e</w:t>
      </w:r>
      <w:r>
        <w:rPr>
          <w:rFonts w:ascii="Trebuchet MS"/>
          <w:spacing w:val="-14"/>
          <w:sz w:val="20"/>
        </w:rPr>
        <w:t> </w:t>
      </w:r>
      <w:r>
        <w:rPr>
          <w:rFonts w:ascii="Trebuchet MS"/>
          <w:spacing w:val="-3"/>
          <w:w w:val="96"/>
          <w:sz w:val="20"/>
        </w:rPr>
        <w:t>l</w:t>
      </w:r>
      <w:r>
        <w:rPr>
          <w:rFonts w:ascii="Trebuchet MS"/>
          <w:spacing w:val="-6"/>
          <w:w w:val="111"/>
          <w:sz w:val="20"/>
        </w:rPr>
        <w:t>o</w:t>
      </w:r>
      <w:r>
        <w:rPr>
          <w:rFonts w:ascii="Trebuchet MS"/>
          <w:w w:val="110"/>
          <w:sz w:val="20"/>
        </w:rPr>
        <w:t>w</w:t>
      </w:r>
      <w:r>
        <w:rPr>
          <w:rFonts w:ascii="Trebuchet MS"/>
          <w:spacing w:val="-14"/>
          <w:sz w:val="20"/>
        </w:rPr>
        <w:t> </w:t>
      </w:r>
      <w:r>
        <w:rPr>
          <w:rFonts w:ascii="Trebuchet MS"/>
          <w:spacing w:val="-2"/>
          <w:w w:val="109"/>
          <w:sz w:val="20"/>
        </w:rPr>
        <w:t>v</w:t>
      </w:r>
      <w:r>
        <w:rPr>
          <w:rFonts w:ascii="Trebuchet MS"/>
          <w:spacing w:val="-1"/>
          <w:w w:val="80"/>
          <w:sz w:val="20"/>
        </w:rPr>
        <w:t>i</w:t>
      </w:r>
      <w:r>
        <w:rPr>
          <w:rFonts w:ascii="Trebuchet MS"/>
          <w:spacing w:val="-2"/>
          <w:w w:val="122"/>
          <w:sz w:val="20"/>
        </w:rPr>
        <w:t>s</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1"/>
          <w:w w:val="122"/>
          <w:sz w:val="20"/>
        </w:rPr>
        <w:t>s</w:t>
      </w:r>
      <w:r>
        <w:rPr>
          <w:rFonts w:ascii="Trebuchet MS"/>
          <w:spacing w:val="-1"/>
          <w:w w:val="108"/>
          <w:sz w:val="20"/>
        </w:rPr>
        <w:t>e</w:t>
      </w:r>
      <w:r>
        <w:rPr>
          <w:rFonts w:ascii="Trebuchet MS"/>
          <w:spacing w:val="3"/>
          <w:w w:val="93"/>
          <w:sz w:val="20"/>
        </w:rPr>
        <w:t>r</w:t>
      </w:r>
      <w:r>
        <w:rPr>
          <w:rFonts w:ascii="Trebuchet MS"/>
          <w:spacing w:val="-6"/>
          <w:w w:val="109"/>
          <w:sz w:val="20"/>
        </w:rPr>
        <w:t>v</w:t>
      </w:r>
      <w:r>
        <w:rPr>
          <w:rFonts w:ascii="Trebuchet MS"/>
          <w:w w:val="108"/>
          <w:sz w:val="20"/>
        </w:rPr>
        <w:t>e</w:t>
      </w:r>
      <w:r>
        <w:rPr>
          <w:rFonts w:ascii="Trebuchet MS"/>
          <w:spacing w:val="-14"/>
          <w:sz w:val="20"/>
        </w:rPr>
        <w:t> </w:t>
      </w:r>
      <w:r>
        <w:rPr>
          <w:rFonts w:ascii="Trebuchet MS"/>
          <w:w w:val="105"/>
          <w:sz w:val="20"/>
        </w:rPr>
        <w:t>a</w:t>
      </w:r>
      <w:r>
        <w:rPr>
          <w:rFonts w:ascii="Trebuchet MS"/>
          <w:w w:val="122"/>
          <w:sz w:val="20"/>
        </w:rPr>
        <w:t>s</w:t>
      </w:r>
      <w:r>
        <w:rPr>
          <w:rFonts w:ascii="Trebuchet MS"/>
          <w:spacing w:val="-14"/>
          <w:sz w:val="20"/>
        </w:rPr>
        <w:t> </w:t>
      </w:r>
      <w:r>
        <w:rPr>
          <w:rFonts w:ascii="Trebuchet MS"/>
          <w:spacing w:val="-2"/>
          <w:w w:val="64"/>
          <w:sz w:val="20"/>
        </w:rPr>
        <w:t>j</w:t>
      </w:r>
      <w:r>
        <w:rPr>
          <w:rFonts w:ascii="Trebuchet MS"/>
          <w:spacing w:val="-1"/>
          <w:w w:val="109"/>
          <w:sz w:val="20"/>
        </w:rPr>
        <w:t>u</w:t>
      </w:r>
      <w:r>
        <w:rPr>
          <w:rFonts w:ascii="Trebuchet MS"/>
          <w:spacing w:val="-4"/>
          <w:w w:val="93"/>
          <w:sz w:val="20"/>
        </w:rPr>
        <w:t>r</w:t>
      </w:r>
      <w:r>
        <w:rPr>
          <w:rFonts w:ascii="Trebuchet MS"/>
          <w:spacing w:val="-1"/>
          <w:w w:val="111"/>
          <w:sz w:val="20"/>
        </w:rPr>
        <w:t>o</w:t>
      </w:r>
      <w:r>
        <w:rPr>
          <w:rFonts w:ascii="Trebuchet MS"/>
          <w:spacing w:val="-1"/>
          <w:w w:val="93"/>
          <w:sz w:val="20"/>
        </w:rPr>
        <w:t>r</w:t>
      </w:r>
      <w:r>
        <w:rPr>
          <w:rFonts w:ascii="Trebuchet MS"/>
          <w:spacing w:val="1"/>
          <w:w w:val="122"/>
          <w:sz w:val="20"/>
        </w:rPr>
        <w:t>s</w:t>
      </w:r>
      <w:r>
        <w:rPr>
          <w:rFonts w:ascii="Trebuchet MS"/>
          <w:w w:val="55"/>
          <w:sz w:val="20"/>
        </w:rPr>
        <w:t>.</w:t>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spacing w:before="49"/>
        <w:ind w:left="100" w:right="0" w:firstLine="0"/>
        <w:jc w:val="left"/>
        <w:rPr>
          <w:b/>
          <w:sz w:val="24"/>
        </w:rPr>
      </w:pPr>
      <w:r>
        <w:rPr>
          <w:b/>
          <w:color w:val="37617A"/>
          <w:sz w:val="24"/>
        </w:rPr>
        <w:t>120</w:t>
      </w:r>
    </w:p>
    <w:p>
      <w:pPr>
        <w:spacing w:after="0"/>
        <w:jc w:val="left"/>
        <w:rPr>
          <w:sz w:val="24"/>
        </w:rPr>
        <w:sectPr>
          <w:pgSz w:w="11910" w:h="16840"/>
          <w:pgMar w:header="567" w:footer="0" w:top="860" w:bottom="280" w:left="620" w:right="380"/>
        </w:sectPr>
      </w:pPr>
    </w:p>
    <w:p>
      <w:pPr>
        <w:pStyle w:val="BodyText"/>
        <w:rPr>
          <w:b/>
          <w:sz w:val="11"/>
        </w:rPr>
      </w:pPr>
      <w:r>
        <w:rPr/>
        <w:pict>
          <v:rect style="position:absolute;margin-left:0pt;margin-top:0pt;width:595.276001pt;height:841.890015pt;mso-position-horizontal-relative:page;mso-position-vertical-relative:page;z-index:-351136" filled="true" fillcolor="#37617a" stroked="false">
            <v:fill type="solid"/>
            <w10:wrap type="none"/>
          </v:rect>
        </w:pict>
      </w:r>
    </w:p>
    <w:p>
      <w:pPr>
        <w:spacing w:line="688" w:lineRule="exact" w:before="0"/>
        <w:ind w:left="0" w:right="745" w:firstLine="0"/>
        <w:jc w:val="right"/>
        <w:rPr>
          <w:rFonts w:ascii="Raleway SemiBold"/>
          <w:b/>
          <w:sz w:val="50"/>
        </w:rPr>
      </w:pPr>
      <w:r>
        <w:rPr/>
        <w:pict>
          <v:shape style="position:absolute;margin-left:417.350586pt;margin-top:-3.3143pt;width:124.3pt;height:152.65pt;mso-position-horizontal-relative:page;mso-position-vertical-relative:paragraph;z-index:-351112" type="#_x0000_t202" filled="false" stroked="false">
            <v:textbox inset="0,0,0,0">
              <w:txbxContent>
                <w:p>
                  <w:pPr>
                    <w:spacing w:line="3052" w:lineRule="exact" w:before="0"/>
                    <w:ind w:left="0" w:right="0" w:firstLine="0"/>
                    <w:jc w:val="left"/>
                    <w:rPr>
                      <w:b/>
                      <w:sz w:val="260"/>
                    </w:rPr>
                  </w:pPr>
                  <w:r>
                    <w:rPr>
                      <w:b/>
                      <w:color w:val="FFFFFF"/>
                      <w:spacing w:val="-133"/>
                      <w:sz w:val="260"/>
                    </w:rPr>
                    <w:t>12</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11"/>
        <w:rPr>
          <w:rFonts w:ascii="Raleway SemiBold"/>
          <w:b/>
          <w:sz w:val="24"/>
        </w:rPr>
      </w:pPr>
    </w:p>
    <w:p>
      <w:pPr>
        <w:spacing w:line="180" w:lineRule="auto" w:before="166"/>
        <w:ind w:left="907" w:right="0" w:firstLine="0"/>
        <w:jc w:val="left"/>
        <w:rPr>
          <w:rFonts w:ascii="Raleway ExtraBold"/>
          <w:b/>
          <w:sz w:val="88"/>
        </w:rPr>
      </w:pPr>
      <w:r>
        <w:rPr>
          <w:rFonts w:ascii="Raleway ExtraBold"/>
          <w:b/>
          <w:color w:val="FFFFFF"/>
          <w:spacing w:val="-30"/>
          <w:sz w:val="88"/>
        </w:rPr>
        <w:t>Reforming </w:t>
      </w:r>
      <w:r>
        <w:rPr>
          <w:rFonts w:ascii="Raleway ExtraBold"/>
          <w:b/>
          <w:color w:val="FFFFFF"/>
          <w:spacing w:val="-25"/>
          <w:sz w:val="88"/>
        </w:rPr>
        <w:t>court </w:t>
      </w:r>
      <w:r>
        <w:rPr>
          <w:rFonts w:ascii="Raleway ExtraBold"/>
          <w:b/>
          <w:color w:val="FFFFFF"/>
          <w:spacing w:val="-20"/>
          <w:sz w:val="88"/>
        </w:rPr>
        <w:t>and </w:t>
      </w:r>
      <w:r>
        <w:rPr>
          <w:rFonts w:ascii="Raleway ExtraBold"/>
          <w:b/>
          <w:color w:val="FFFFFF"/>
          <w:spacing w:val="-27"/>
          <w:sz w:val="88"/>
        </w:rPr>
        <w:t>Juries </w:t>
      </w:r>
      <w:r>
        <w:rPr>
          <w:rFonts w:ascii="Raleway ExtraBold"/>
          <w:b/>
          <w:color w:val="FFFFFF"/>
          <w:spacing w:val="-28"/>
          <w:sz w:val="88"/>
        </w:rPr>
        <w:t>Victoria </w:t>
      </w:r>
      <w:r>
        <w:rPr>
          <w:rFonts w:ascii="Raleway ExtraBold"/>
          <w:b/>
          <w:color w:val="FFFFFF"/>
          <w:spacing w:val="-29"/>
          <w:sz w:val="88"/>
        </w:rPr>
        <w:t>processes </w:t>
      </w:r>
      <w:r>
        <w:rPr>
          <w:rFonts w:ascii="Raleway ExtraBold"/>
          <w:b/>
          <w:color w:val="FFFFFF"/>
          <w:spacing w:val="-20"/>
          <w:sz w:val="88"/>
        </w:rPr>
        <w:t>to </w:t>
      </w:r>
      <w:r>
        <w:rPr>
          <w:rFonts w:ascii="Raleway ExtraBold"/>
          <w:b/>
          <w:color w:val="FFFFFF"/>
          <w:spacing w:val="-33"/>
          <w:sz w:val="88"/>
        </w:rPr>
        <w:t>remove </w:t>
      </w:r>
      <w:r>
        <w:rPr>
          <w:rFonts w:ascii="Raleway ExtraBold"/>
          <w:b/>
          <w:color w:val="FFFFFF"/>
          <w:spacing w:val="-29"/>
          <w:sz w:val="88"/>
        </w:rPr>
        <w:t>barriers </w:t>
      </w:r>
      <w:r>
        <w:rPr>
          <w:rFonts w:ascii="Raleway ExtraBold"/>
          <w:b/>
          <w:color w:val="FFFFFF"/>
          <w:spacing w:val="-20"/>
          <w:sz w:val="88"/>
        </w:rPr>
        <w:t>to </w:t>
      </w:r>
      <w:r>
        <w:rPr>
          <w:rFonts w:ascii="Raleway ExtraBold"/>
          <w:b/>
          <w:color w:val="FFFFFF"/>
          <w:spacing w:val="-32"/>
          <w:sz w:val="88"/>
        </w:rPr>
        <w:t>inclusive </w:t>
      </w:r>
      <w:r>
        <w:rPr>
          <w:rFonts w:ascii="Raleway ExtraBold"/>
          <w:b/>
          <w:color w:val="FFFFFF"/>
          <w:spacing w:val="-27"/>
          <w:sz w:val="88"/>
        </w:rPr>
        <w:t>juries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
        <w:rPr>
          <w:rFonts w:ascii="Raleway ExtraBold"/>
          <w:b/>
          <w:sz w:val="15"/>
        </w:rPr>
      </w:pPr>
    </w:p>
    <w:tbl>
      <w:tblPr>
        <w:tblW w:w="0" w:type="auto"/>
        <w:jc w:val="left"/>
        <w:tblInd w:w="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6790"/>
      </w:tblGrid>
      <w:tr>
        <w:trPr>
          <w:trHeight w:val="336" w:hRule="atLeast"/>
        </w:trPr>
        <w:tc>
          <w:tcPr>
            <w:tcW w:w="510" w:type="dxa"/>
            <w:tcBorders>
              <w:bottom w:val="single" w:sz="18" w:space="0" w:color="8F9DAD"/>
            </w:tcBorders>
            <w:shd w:val="clear" w:color="auto" w:fill="37617A"/>
          </w:tcPr>
          <w:p>
            <w:pPr>
              <w:pStyle w:val="TableParagraph"/>
              <w:spacing w:line="282" w:lineRule="exact" w:before="0"/>
              <w:ind w:left="0"/>
              <w:rPr>
                <w:b/>
                <w:sz w:val="24"/>
              </w:rPr>
            </w:pPr>
            <w:hyperlink w:history="true" w:anchor="_bookmark86">
              <w:r>
                <w:rPr>
                  <w:b/>
                  <w:color w:val="FFFFFF"/>
                  <w:sz w:val="24"/>
                </w:rPr>
                <w:t>122</w:t>
              </w:r>
            </w:hyperlink>
          </w:p>
        </w:tc>
        <w:tc>
          <w:tcPr>
            <w:tcW w:w="6790" w:type="dxa"/>
            <w:shd w:val="clear" w:color="auto" w:fill="37617A"/>
          </w:tcPr>
          <w:p>
            <w:pPr>
              <w:pStyle w:val="TableParagraph"/>
              <w:spacing w:line="282" w:lineRule="exact" w:before="0"/>
              <w:ind w:left="57"/>
              <w:rPr>
                <w:b/>
                <w:sz w:val="24"/>
              </w:rPr>
            </w:pPr>
            <w:hyperlink w:history="true" w:anchor="_bookmark86">
              <w:r>
                <w:rPr>
                  <w:b/>
                  <w:color w:val="FFFFFF"/>
                  <w:sz w:val="24"/>
                </w:rPr>
                <w:t>Overview</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86">
              <w:r>
                <w:rPr>
                  <w:b/>
                  <w:color w:val="FFFFFF"/>
                  <w:sz w:val="24"/>
                </w:rPr>
                <w:t>122</w:t>
              </w:r>
            </w:hyperlink>
          </w:p>
        </w:tc>
        <w:tc>
          <w:tcPr>
            <w:tcW w:w="6790" w:type="dxa"/>
            <w:shd w:val="clear" w:color="auto" w:fill="37617A"/>
          </w:tcPr>
          <w:p>
            <w:pPr>
              <w:pStyle w:val="TableParagraph"/>
              <w:ind w:left="57"/>
              <w:rPr>
                <w:b/>
                <w:sz w:val="24"/>
              </w:rPr>
            </w:pPr>
            <w:hyperlink w:history="true" w:anchor="_bookmark86">
              <w:r>
                <w:rPr>
                  <w:b/>
                  <w:color w:val="FFFFFF"/>
                  <w:sz w:val="24"/>
                </w:rPr>
                <w:t>Introduction</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87">
              <w:r>
                <w:rPr>
                  <w:b/>
                  <w:color w:val="FFFFFF"/>
                  <w:sz w:val="24"/>
                </w:rPr>
                <w:t>123</w:t>
              </w:r>
            </w:hyperlink>
          </w:p>
        </w:tc>
        <w:tc>
          <w:tcPr>
            <w:tcW w:w="6790" w:type="dxa"/>
            <w:shd w:val="clear" w:color="auto" w:fill="37617A"/>
          </w:tcPr>
          <w:p>
            <w:pPr>
              <w:pStyle w:val="TableParagraph"/>
              <w:ind w:left="56"/>
              <w:rPr>
                <w:b/>
                <w:sz w:val="24"/>
              </w:rPr>
            </w:pPr>
            <w:hyperlink w:history="true" w:anchor="_bookmark87">
              <w:r>
                <w:rPr>
                  <w:b/>
                  <w:color w:val="FFFFFF"/>
                  <w:sz w:val="24"/>
                </w:rPr>
                <w:t>The Victorian jury selection process: challenges for reform</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89">
              <w:r>
                <w:rPr>
                  <w:b/>
                  <w:color w:val="FFFFFF"/>
                  <w:sz w:val="24"/>
                </w:rPr>
                <w:t>125</w:t>
              </w:r>
            </w:hyperlink>
          </w:p>
        </w:tc>
        <w:tc>
          <w:tcPr>
            <w:tcW w:w="6790" w:type="dxa"/>
            <w:shd w:val="clear" w:color="auto" w:fill="37617A"/>
          </w:tcPr>
          <w:p>
            <w:pPr>
              <w:pStyle w:val="TableParagraph"/>
              <w:ind w:left="56"/>
              <w:rPr>
                <w:b/>
                <w:sz w:val="24"/>
              </w:rPr>
            </w:pPr>
            <w:hyperlink w:history="true" w:anchor="_bookmark89">
              <w:r>
                <w:rPr>
                  <w:b/>
                  <w:color w:val="FFFFFF"/>
                  <w:sz w:val="24"/>
                </w:rPr>
                <w:t>How other jurisdictions provide reasonable adjustments</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91">
              <w:r>
                <w:rPr>
                  <w:b/>
                  <w:color w:val="FFFFFF"/>
                  <w:sz w:val="24"/>
                </w:rPr>
                <w:t>127</w:t>
              </w:r>
            </w:hyperlink>
          </w:p>
        </w:tc>
        <w:tc>
          <w:tcPr>
            <w:tcW w:w="6790" w:type="dxa"/>
            <w:shd w:val="clear" w:color="auto" w:fill="37617A"/>
          </w:tcPr>
          <w:p>
            <w:pPr>
              <w:pStyle w:val="TableParagraph"/>
              <w:ind w:left="56"/>
              <w:rPr>
                <w:b/>
                <w:sz w:val="24"/>
              </w:rPr>
            </w:pPr>
            <w:hyperlink w:history="true" w:anchor="_bookmark91">
              <w:r>
                <w:rPr>
                  <w:b/>
                  <w:color w:val="FFFFFF"/>
                  <w:sz w:val="24"/>
                </w:rPr>
                <w:t>Different approaches proposed for Victoria</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95">
              <w:r>
                <w:rPr>
                  <w:b/>
                  <w:color w:val="FFFFFF"/>
                  <w:sz w:val="24"/>
                </w:rPr>
                <w:t>131</w:t>
              </w:r>
            </w:hyperlink>
          </w:p>
        </w:tc>
        <w:tc>
          <w:tcPr>
            <w:tcW w:w="6790" w:type="dxa"/>
            <w:shd w:val="clear" w:color="auto" w:fill="37617A"/>
          </w:tcPr>
          <w:p>
            <w:pPr>
              <w:pStyle w:val="TableParagraph"/>
              <w:ind w:left="56"/>
              <w:rPr>
                <w:b/>
                <w:sz w:val="24"/>
              </w:rPr>
            </w:pPr>
            <w:hyperlink w:history="true" w:anchor="_bookmark95">
              <w:r>
                <w:rPr>
                  <w:b/>
                  <w:color w:val="FFFFFF"/>
                  <w:sz w:val="24"/>
                </w:rPr>
                <w:t>The Commission’s conclusions: procedural reform</w:t>
              </w:r>
            </w:hyperlink>
          </w:p>
        </w:tc>
      </w:tr>
    </w:tbl>
    <w:p>
      <w:pPr>
        <w:spacing w:after="0"/>
        <w:rPr>
          <w:sz w:val="24"/>
        </w:rPr>
        <w:sectPr>
          <w:headerReference w:type="default" r:id="rId182"/>
          <w:headerReference w:type="even" r:id="rId183"/>
          <w:pgSz w:w="11910" w:h="16840"/>
          <w:pgMar w:header="0" w:footer="0" w:top="480" w:bottom="280" w:left="620" w:right="380"/>
        </w:sectPr>
      </w:pPr>
    </w:p>
    <w:p>
      <w:pPr>
        <w:pStyle w:val="BodyText"/>
        <w:rPr>
          <w:rFonts w:ascii="Raleway ExtraBold"/>
          <w:b/>
        </w:rPr>
      </w:pPr>
    </w:p>
    <w:p>
      <w:pPr>
        <w:pStyle w:val="BodyText"/>
        <w:rPr>
          <w:rFonts w:ascii="Raleway ExtraBold"/>
          <w:b/>
        </w:rPr>
      </w:pPr>
    </w:p>
    <w:p>
      <w:pPr>
        <w:pStyle w:val="BodyText"/>
        <w:spacing w:before="10"/>
        <w:rPr>
          <w:rFonts w:ascii="Raleway ExtraBold"/>
          <w:b/>
          <w:sz w:val="23"/>
        </w:rPr>
      </w:pPr>
    </w:p>
    <w:p>
      <w:pPr>
        <w:pStyle w:val="ListParagraph"/>
        <w:numPr>
          <w:ilvl w:val="0"/>
          <w:numId w:val="12"/>
        </w:numPr>
        <w:tabs>
          <w:tab w:pos="1115" w:val="left" w:leader="none"/>
        </w:tabs>
        <w:spacing w:line="184" w:lineRule="auto" w:before="129" w:after="0"/>
        <w:ind w:left="230" w:right="2474" w:firstLine="0"/>
        <w:jc w:val="left"/>
        <w:rPr>
          <w:rFonts w:ascii="Raleway ExtraBold"/>
          <w:b/>
          <w:sz w:val="56"/>
        </w:rPr>
      </w:pPr>
      <w:bookmarkStart w:name="12. Reforming court and Juries Victoria " w:id="213"/>
      <w:bookmarkEnd w:id="213"/>
      <w:r>
        <w:rPr/>
      </w:r>
      <w:bookmarkStart w:name="Overview" w:id="214"/>
      <w:bookmarkEnd w:id="214"/>
      <w:r>
        <w:rPr/>
      </w:r>
      <w:bookmarkStart w:name="Introduction" w:id="215"/>
      <w:bookmarkEnd w:id="215"/>
      <w:r>
        <w:rPr/>
      </w:r>
      <w:bookmarkStart w:name="_bookmark86" w:id="216"/>
      <w:bookmarkEnd w:id="216"/>
      <w:r>
        <w:rPr/>
      </w:r>
      <w:bookmarkStart w:name="_bookmark86" w:id="217"/>
      <w:bookmarkEnd w:id="217"/>
      <w:r>
        <w:rPr>
          <w:rFonts w:ascii="Raleway ExtraBold"/>
          <w:b/>
          <w:color w:val="37617A"/>
          <w:spacing w:val="-5"/>
          <w:sz w:val="56"/>
        </w:rPr>
        <w:t>R</w:t>
      </w:r>
      <w:r>
        <w:rPr>
          <w:rFonts w:ascii="Raleway ExtraBold"/>
          <w:b/>
          <w:color w:val="37617A"/>
          <w:spacing w:val="-5"/>
          <w:sz w:val="56"/>
        </w:rPr>
        <w:t>eforming </w:t>
      </w:r>
      <w:r>
        <w:rPr>
          <w:rFonts w:ascii="Raleway ExtraBold"/>
          <w:b/>
          <w:color w:val="37617A"/>
          <w:spacing w:val="-3"/>
          <w:sz w:val="56"/>
        </w:rPr>
        <w:t>court </w:t>
      </w:r>
      <w:r>
        <w:rPr>
          <w:rFonts w:ascii="Raleway ExtraBold"/>
          <w:b/>
          <w:color w:val="37617A"/>
          <w:sz w:val="56"/>
        </w:rPr>
        <w:t>and </w:t>
      </w:r>
      <w:r>
        <w:rPr>
          <w:rFonts w:ascii="Raleway ExtraBold"/>
          <w:b/>
          <w:color w:val="37617A"/>
          <w:spacing w:val="-4"/>
          <w:sz w:val="56"/>
        </w:rPr>
        <w:t>Juries Victoria processes </w:t>
      </w:r>
      <w:r>
        <w:rPr>
          <w:rFonts w:ascii="Raleway ExtraBold"/>
          <w:b/>
          <w:color w:val="37617A"/>
          <w:spacing w:val="-5"/>
          <w:sz w:val="56"/>
        </w:rPr>
        <w:t>to </w:t>
      </w:r>
      <w:r>
        <w:rPr>
          <w:rFonts w:ascii="Raleway ExtraBold"/>
          <w:b/>
          <w:color w:val="37617A"/>
          <w:spacing w:val="-8"/>
          <w:sz w:val="56"/>
        </w:rPr>
        <w:t>remove </w:t>
      </w:r>
      <w:r>
        <w:rPr>
          <w:rFonts w:ascii="Raleway ExtraBold"/>
          <w:b/>
          <w:color w:val="37617A"/>
          <w:spacing w:val="-4"/>
          <w:sz w:val="56"/>
        </w:rPr>
        <w:t>barriers </w:t>
      </w:r>
      <w:r>
        <w:rPr>
          <w:rFonts w:ascii="Raleway ExtraBold"/>
          <w:b/>
          <w:color w:val="37617A"/>
          <w:spacing w:val="-5"/>
          <w:sz w:val="56"/>
        </w:rPr>
        <w:t>to </w:t>
      </w:r>
      <w:r>
        <w:rPr>
          <w:rFonts w:ascii="Raleway ExtraBold"/>
          <w:b/>
          <w:color w:val="37617A"/>
          <w:spacing w:val="-6"/>
          <w:sz w:val="56"/>
        </w:rPr>
        <w:t>inclusive</w:t>
      </w:r>
      <w:r>
        <w:rPr>
          <w:rFonts w:ascii="Raleway ExtraBold"/>
          <w:b/>
          <w:color w:val="37617A"/>
          <w:spacing w:val="11"/>
          <w:sz w:val="56"/>
        </w:rPr>
        <w:t> </w:t>
      </w:r>
      <w:r>
        <w:rPr>
          <w:rFonts w:ascii="Raleway ExtraBold"/>
          <w:b/>
          <w:color w:val="37617A"/>
          <w:spacing w:val="-4"/>
          <w:sz w:val="56"/>
        </w:rPr>
        <w:t>juries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3"/>
        <w:rPr>
          <w:rFonts w:ascii="Raleway ExtraBold"/>
          <w:b/>
          <w:sz w:val="13"/>
        </w:rPr>
      </w:pPr>
      <w:r>
        <w:rPr/>
        <w:pict>
          <v:line style="position:absolute;mso-position-horizontal-relative:page;mso-position-vertical-relative:paragraph;z-index:7160;mso-wrap-distance-left:0;mso-wrap-distance-right:0" from="79.370102pt,11.41156pt" to="515.905102pt,11.41156pt" stroked="true" strokeweight=".5pt" strokecolor="#8f9dad">
            <v:stroke dashstyle="solid"/>
            <w10:wrap type="topAndBottom"/>
          </v:line>
        </w:pict>
      </w:r>
    </w:p>
    <w:p>
      <w:pPr>
        <w:pStyle w:val="BodyText"/>
        <w:spacing w:before="11"/>
        <w:rPr>
          <w:rFonts w:ascii="Raleway ExtraBold"/>
          <w:b/>
          <w:sz w:val="8"/>
        </w:rPr>
      </w:pPr>
    </w:p>
    <w:p>
      <w:pPr>
        <w:spacing w:line="249" w:lineRule="auto" w:before="101"/>
        <w:ind w:left="1815" w:right="2053" w:hanging="1"/>
        <w:jc w:val="center"/>
        <w:rPr>
          <w:rFonts w:ascii="Trebuchet MS" w:hAnsi="Trebuchet MS"/>
          <w:sz w:val="19"/>
        </w:rPr>
      </w:pPr>
      <w:r>
        <w:rPr>
          <w:rFonts w:ascii="Trebuchet MS" w:hAnsi="Trebuchet MS"/>
          <w:i/>
          <w:color w:val="37617A"/>
          <w:sz w:val="20"/>
        </w:rPr>
        <w:t>Every time a person with disabilities is summoned to perform jury duty, a </w:t>
      </w:r>
      <w:r>
        <w:rPr>
          <w:rFonts w:ascii="Trebuchet MS" w:hAnsi="Trebuchet MS"/>
          <w:i/>
          <w:color w:val="37617A"/>
          <w:spacing w:val="-1"/>
          <w:w w:val="80"/>
          <w:sz w:val="20"/>
        </w:rPr>
        <w:t>t</w:t>
      </w:r>
      <w:r>
        <w:rPr>
          <w:rFonts w:ascii="Trebuchet MS" w:hAnsi="Trebuchet MS"/>
          <w:i/>
          <w:color w:val="37617A"/>
          <w:spacing w:val="-1"/>
          <w:w w:val="101"/>
          <w:sz w:val="20"/>
        </w:rPr>
        <w:t>h</w:t>
      </w:r>
      <w:r>
        <w:rPr>
          <w:rFonts w:ascii="Trebuchet MS" w:hAnsi="Trebuchet MS"/>
          <w:i/>
          <w:color w:val="37617A"/>
          <w:w w:val="107"/>
          <w:sz w:val="20"/>
        </w:rPr>
        <w:t>o</w:t>
      </w:r>
      <w:r>
        <w:rPr>
          <w:rFonts w:ascii="Trebuchet MS" w:hAnsi="Trebuchet MS"/>
          <w:i/>
          <w:color w:val="37617A"/>
          <w:spacing w:val="-4"/>
          <w:w w:val="84"/>
          <w:sz w:val="20"/>
        </w:rPr>
        <w:t>r</w:t>
      </w:r>
      <w:r>
        <w:rPr>
          <w:rFonts w:ascii="Trebuchet MS" w:hAnsi="Trebuchet MS"/>
          <w:i/>
          <w:color w:val="37617A"/>
          <w:w w:val="107"/>
          <w:sz w:val="20"/>
        </w:rPr>
        <w:t>o</w:t>
      </w:r>
      <w:r>
        <w:rPr>
          <w:rFonts w:ascii="Trebuchet MS" w:hAnsi="Trebuchet MS"/>
          <w:i/>
          <w:color w:val="37617A"/>
          <w:spacing w:val="-1"/>
          <w:w w:val="103"/>
          <w:sz w:val="20"/>
        </w:rPr>
        <w:t>u</w:t>
      </w:r>
      <w:r>
        <w:rPr>
          <w:rFonts w:ascii="Trebuchet MS" w:hAnsi="Trebuchet MS"/>
          <w:i/>
          <w:color w:val="37617A"/>
          <w:w w:val="119"/>
          <w:sz w:val="20"/>
        </w:rPr>
        <w:t>g</w:t>
      </w:r>
      <w:r>
        <w:rPr>
          <w:rFonts w:ascii="Trebuchet MS" w:hAnsi="Trebuchet MS"/>
          <w:i/>
          <w:color w:val="37617A"/>
          <w:spacing w:val="1"/>
          <w:w w:val="101"/>
          <w:sz w:val="20"/>
        </w:rPr>
        <w:t>h</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107"/>
          <w:sz w:val="20"/>
        </w:rPr>
        <w:t>b</w:t>
      </w:r>
      <w:r>
        <w:rPr>
          <w:rFonts w:ascii="Trebuchet MS" w:hAnsi="Trebuchet MS"/>
          <w:i/>
          <w:color w:val="37617A"/>
          <w:w w:val="63"/>
          <w:sz w:val="20"/>
        </w:rPr>
        <w:t>j</w:t>
      </w:r>
      <w:r>
        <w:rPr>
          <w:rFonts w:ascii="Trebuchet MS" w:hAnsi="Trebuchet MS"/>
          <w:i/>
          <w:color w:val="37617A"/>
          <w:w w:val="100"/>
          <w:sz w:val="20"/>
        </w:rPr>
        <w:t>e</w:t>
      </w:r>
      <w:r>
        <w:rPr>
          <w:rFonts w:ascii="Trebuchet MS" w:hAnsi="Trebuchet MS"/>
          <w:i/>
          <w:color w:val="37617A"/>
          <w:spacing w:val="-2"/>
          <w:w w:val="115"/>
          <w:sz w:val="20"/>
        </w:rPr>
        <w:t>c</w:t>
      </w:r>
      <w:r>
        <w:rPr>
          <w:rFonts w:ascii="Trebuchet MS" w:hAnsi="Trebuchet MS"/>
          <w:i/>
          <w:color w:val="37617A"/>
          <w:spacing w:val="-1"/>
          <w:w w:val="80"/>
          <w:sz w:val="20"/>
        </w:rPr>
        <w:t>t</w:t>
      </w:r>
      <w:r>
        <w:rPr>
          <w:rFonts w:ascii="Trebuchet MS" w:hAnsi="Trebuchet MS"/>
          <w:i/>
          <w:color w:val="37617A"/>
          <w:spacing w:val="-1"/>
          <w:w w:val="92"/>
          <w:sz w:val="20"/>
        </w:rPr>
        <w:t>i</w:t>
      </w:r>
      <w:r>
        <w:rPr>
          <w:rFonts w:ascii="Trebuchet MS" w:hAnsi="Trebuchet MS"/>
          <w:i/>
          <w:color w:val="37617A"/>
          <w:spacing w:val="-3"/>
          <w:w w:val="92"/>
          <w:sz w:val="20"/>
        </w:rPr>
        <w:t>v</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6"/>
          <w:sz w:val="20"/>
        </w:rPr>
        <w:t>m</w:t>
      </w:r>
      <w:r>
        <w:rPr>
          <w:rFonts w:ascii="Trebuchet MS" w:hAnsi="Trebuchet MS"/>
          <w:i/>
          <w:color w:val="37617A"/>
          <w:w w:val="107"/>
          <w:sz w:val="20"/>
        </w:rPr>
        <w:t>p</w:t>
      </w:r>
      <w:r>
        <w:rPr>
          <w:rFonts w:ascii="Trebuchet MS" w:hAnsi="Trebuchet MS"/>
          <w:i/>
          <w:color w:val="37617A"/>
          <w:spacing w:val="-4"/>
          <w:w w:val="84"/>
          <w:sz w:val="20"/>
        </w:rPr>
        <w:t>r</w:t>
      </w:r>
      <w:r>
        <w:rPr>
          <w:rFonts w:ascii="Trebuchet MS" w:hAnsi="Trebuchet MS"/>
          <w:i/>
          <w:color w:val="37617A"/>
          <w:spacing w:val="1"/>
          <w:w w:val="100"/>
          <w:sz w:val="20"/>
        </w:rPr>
        <w:t>e</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w w:val="103"/>
          <w:sz w:val="20"/>
        </w:rPr>
        <w:t>n</w:t>
      </w:r>
      <w:r>
        <w:rPr>
          <w:rFonts w:ascii="Trebuchet MS" w:hAnsi="Trebuchet MS"/>
          <w:i/>
          <w:color w:val="37617A"/>
          <w:spacing w:val="-1"/>
          <w:w w:val="117"/>
          <w:sz w:val="20"/>
        </w:rPr>
        <w:t>s</w:t>
      </w:r>
      <w:r>
        <w:rPr>
          <w:rFonts w:ascii="Trebuchet MS" w:hAnsi="Trebuchet MS"/>
          <w:i/>
          <w:color w:val="37617A"/>
          <w:spacing w:val="-2"/>
          <w:w w:val="73"/>
          <w:sz w:val="20"/>
        </w:rPr>
        <w:t>i</w:t>
      </w:r>
      <w:r>
        <w:rPr>
          <w:rFonts w:ascii="Trebuchet MS" w:hAnsi="Trebuchet MS"/>
          <w:i/>
          <w:color w:val="37617A"/>
          <w:spacing w:val="-3"/>
          <w:w w:val="103"/>
          <w:sz w:val="20"/>
        </w:rPr>
        <w:t>v</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17"/>
          <w:sz w:val="20"/>
        </w:rPr>
        <w:t>s</w:t>
      </w:r>
      <w:r>
        <w:rPr>
          <w:rFonts w:ascii="Trebuchet MS" w:hAnsi="Trebuchet MS"/>
          <w:i/>
          <w:color w:val="37617A"/>
          <w:spacing w:val="-2"/>
          <w:w w:val="117"/>
          <w:sz w:val="20"/>
        </w:rPr>
        <w:t>s</w:t>
      </w:r>
      <w:r>
        <w:rPr>
          <w:rFonts w:ascii="Trebuchet MS" w:hAnsi="Trebuchet MS"/>
          <w:i/>
          <w:color w:val="37617A"/>
          <w:w w:val="100"/>
          <w:sz w:val="20"/>
        </w:rPr>
        <w:t>e</w:t>
      </w:r>
      <w:r>
        <w:rPr>
          <w:rFonts w:ascii="Trebuchet MS" w:hAnsi="Trebuchet MS"/>
          <w:i/>
          <w:color w:val="37617A"/>
          <w:w w:val="117"/>
          <w:sz w:val="20"/>
        </w:rPr>
        <w:t>s</w:t>
      </w:r>
      <w:r>
        <w:rPr>
          <w:rFonts w:ascii="Trebuchet MS" w:hAnsi="Trebuchet MS"/>
          <w:i/>
          <w:color w:val="37617A"/>
          <w:spacing w:val="-1"/>
          <w:w w:val="117"/>
          <w:sz w:val="20"/>
        </w:rPr>
        <w:t>s</w:t>
      </w:r>
      <w:r>
        <w:rPr>
          <w:rFonts w:ascii="Trebuchet MS" w:hAnsi="Trebuchet MS"/>
          <w:i/>
          <w:color w:val="37617A"/>
          <w:spacing w:val="-1"/>
          <w:w w:val="106"/>
          <w:sz w:val="20"/>
        </w:rPr>
        <w:t>m</w:t>
      </w:r>
      <w:r>
        <w:rPr>
          <w:rFonts w:ascii="Trebuchet MS" w:hAnsi="Trebuchet MS"/>
          <w:i/>
          <w:color w:val="37617A"/>
          <w:spacing w:val="1"/>
          <w:w w:val="100"/>
          <w:sz w:val="20"/>
        </w:rPr>
        <w:t>e</w:t>
      </w:r>
      <w:r>
        <w:rPr>
          <w:rFonts w:ascii="Trebuchet MS" w:hAnsi="Trebuchet MS"/>
          <w:i/>
          <w:color w:val="37617A"/>
          <w:spacing w:val="-2"/>
          <w:w w:val="103"/>
          <w:sz w:val="20"/>
        </w:rPr>
        <w:t>n</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w w:val="73"/>
          <w:sz w:val="20"/>
        </w:rPr>
        <w:t>i</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w w:val="107"/>
          <w:sz w:val="20"/>
        </w:rPr>
        <w:t>q</w:t>
      </w:r>
      <w:r>
        <w:rPr>
          <w:rFonts w:ascii="Trebuchet MS" w:hAnsi="Trebuchet MS"/>
          <w:i/>
          <w:color w:val="37617A"/>
          <w:spacing w:val="-1"/>
          <w:w w:val="103"/>
          <w:sz w:val="20"/>
        </w:rPr>
        <w:t>u</w:t>
      </w:r>
      <w:r>
        <w:rPr>
          <w:rFonts w:ascii="Trebuchet MS" w:hAnsi="Trebuchet MS"/>
          <w:i/>
          <w:color w:val="37617A"/>
          <w:w w:val="100"/>
          <w:sz w:val="20"/>
        </w:rPr>
        <w:t>e</w:t>
      </w:r>
      <w:r>
        <w:rPr>
          <w:rFonts w:ascii="Trebuchet MS" w:hAnsi="Trebuchet MS"/>
          <w:i/>
          <w:color w:val="37617A"/>
          <w:spacing w:val="-1"/>
          <w:w w:val="117"/>
          <w:sz w:val="20"/>
        </w:rPr>
        <w:t>s</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5"/>
          <w:w w:val="83"/>
          <w:sz w:val="20"/>
        </w:rPr>
        <w:t>f</w:t>
      </w:r>
      <w:r>
        <w:rPr>
          <w:rFonts w:ascii="Trebuchet MS" w:hAnsi="Trebuchet MS"/>
          <w:i/>
          <w:color w:val="37617A"/>
          <w:w w:val="107"/>
          <w:sz w:val="20"/>
        </w:rPr>
        <w:t>o</w:t>
      </w:r>
      <w:r>
        <w:rPr>
          <w:rFonts w:ascii="Trebuchet MS" w:hAnsi="Trebuchet MS"/>
          <w:i/>
          <w:color w:val="37617A"/>
          <w:w w:val="84"/>
          <w:sz w:val="20"/>
        </w:rPr>
        <w:t>r </w:t>
      </w:r>
      <w:r>
        <w:rPr>
          <w:rFonts w:ascii="Trebuchet MS" w:hAnsi="Trebuchet MS"/>
          <w:i/>
          <w:color w:val="37617A"/>
          <w:sz w:val="20"/>
        </w:rPr>
        <w:t>adjustment [must be] carried out and all reasonable accommodation[s] duly </w:t>
      </w:r>
      <w:r>
        <w:rPr>
          <w:rFonts w:ascii="Trebuchet MS" w:hAnsi="Trebuchet MS"/>
          <w:i/>
          <w:color w:val="37617A"/>
          <w:w w:val="107"/>
          <w:sz w:val="20"/>
        </w:rPr>
        <w:t>p</w:t>
      </w:r>
      <w:r>
        <w:rPr>
          <w:rFonts w:ascii="Trebuchet MS" w:hAnsi="Trebuchet MS"/>
          <w:i/>
          <w:color w:val="37617A"/>
          <w:spacing w:val="-4"/>
          <w:w w:val="84"/>
          <w:sz w:val="20"/>
        </w:rPr>
        <w:t>r</w:t>
      </w:r>
      <w:r>
        <w:rPr>
          <w:rFonts w:ascii="Trebuchet MS" w:hAnsi="Trebuchet MS"/>
          <w:i/>
          <w:color w:val="37617A"/>
          <w:spacing w:val="-3"/>
          <w:w w:val="107"/>
          <w:sz w:val="20"/>
        </w:rPr>
        <w:t>o</w:t>
      </w:r>
      <w:r>
        <w:rPr>
          <w:rFonts w:ascii="Trebuchet MS" w:hAnsi="Trebuchet MS"/>
          <w:i/>
          <w:color w:val="37617A"/>
          <w:spacing w:val="-3"/>
          <w:w w:val="103"/>
          <w:sz w:val="20"/>
        </w:rPr>
        <w:t>v</w:t>
      </w:r>
      <w:r>
        <w:rPr>
          <w:rFonts w:ascii="Trebuchet MS" w:hAnsi="Trebuchet MS"/>
          <w:i/>
          <w:color w:val="37617A"/>
          <w:w w:val="73"/>
          <w:sz w:val="20"/>
        </w:rPr>
        <w:t>i</w:t>
      </w:r>
      <w:r>
        <w:rPr>
          <w:rFonts w:ascii="Trebuchet MS" w:hAnsi="Trebuchet MS"/>
          <w:i/>
          <w:color w:val="37617A"/>
          <w:spacing w:val="-1"/>
          <w:w w:val="108"/>
          <w:sz w:val="20"/>
        </w:rPr>
        <w:t>d</w:t>
      </w:r>
      <w:r>
        <w:rPr>
          <w:rFonts w:ascii="Trebuchet MS" w:hAnsi="Trebuchet MS"/>
          <w:i/>
          <w:color w:val="37617A"/>
          <w:w w:val="100"/>
          <w:sz w:val="20"/>
        </w:rPr>
        <w:t>e</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spacing w:val="1"/>
          <w:w w:val="100"/>
          <w:sz w:val="20"/>
        </w:rPr>
        <w:t>e</w:t>
      </w:r>
      <w:r>
        <w:rPr>
          <w:rFonts w:ascii="Trebuchet MS" w:hAnsi="Trebuchet MS"/>
          <w:i/>
          <w:color w:val="37617A"/>
          <w:w w:val="103"/>
          <w:sz w:val="20"/>
        </w:rPr>
        <w:t>n</w:t>
      </w:r>
      <w:r>
        <w:rPr>
          <w:rFonts w:ascii="Trebuchet MS" w:hAnsi="Trebuchet MS"/>
          <w:i/>
          <w:color w:val="37617A"/>
          <w:w w:val="115"/>
          <w:sz w:val="20"/>
        </w:rPr>
        <w:t>a</w:t>
      </w:r>
      <w:r>
        <w:rPr>
          <w:rFonts w:ascii="Trebuchet MS" w:hAnsi="Trebuchet MS"/>
          <w:i/>
          <w:color w:val="37617A"/>
          <w:w w:val="107"/>
          <w:sz w:val="20"/>
        </w:rPr>
        <w:t>b</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w w:val="73"/>
          <w:sz w:val="20"/>
        </w:rPr>
        <w:t>i</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spacing w:val="-2"/>
          <w:w w:val="83"/>
          <w:sz w:val="20"/>
        </w:rPr>
        <w:t>f</w:t>
      </w:r>
      <w:r>
        <w:rPr>
          <w:rFonts w:ascii="Trebuchet MS" w:hAnsi="Trebuchet MS"/>
          <w:i/>
          <w:color w:val="37617A"/>
          <w:w w:val="103"/>
          <w:sz w:val="20"/>
        </w:rPr>
        <w:t>u</w:t>
      </w:r>
      <w:r>
        <w:rPr>
          <w:rFonts w:ascii="Trebuchet MS" w:hAnsi="Trebuchet MS"/>
          <w:i/>
          <w:color w:val="37617A"/>
          <w:spacing w:val="-2"/>
          <w:w w:val="87"/>
          <w:sz w:val="20"/>
        </w:rPr>
        <w:t>l</w:t>
      </w:r>
      <w:r>
        <w:rPr>
          <w:rFonts w:ascii="Trebuchet MS" w:hAnsi="Trebuchet MS"/>
          <w:i/>
          <w:color w:val="37617A"/>
          <w:w w:val="87"/>
          <w:sz w:val="20"/>
        </w:rPr>
        <w:t>l</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w w:val="115"/>
          <w:sz w:val="20"/>
        </w:rPr>
        <w:t>a</w:t>
      </w:r>
      <w:r>
        <w:rPr>
          <w:rFonts w:ascii="Trebuchet MS" w:hAnsi="Trebuchet MS"/>
          <w:i/>
          <w:color w:val="37617A"/>
          <w:spacing w:val="2"/>
          <w:w w:val="84"/>
          <w:sz w:val="20"/>
        </w:rPr>
        <w:t>r</w:t>
      </w:r>
      <w:r>
        <w:rPr>
          <w:rFonts w:ascii="Trebuchet MS" w:hAnsi="Trebuchet MS"/>
          <w:i/>
          <w:color w:val="37617A"/>
          <w:spacing w:val="-1"/>
          <w:w w:val="80"/>
          <w:sz w:val="20"/>
        </w:rPr>
        <w:t>t</w:t>
      </w:r>
      <w:r>
        <w:rPr>
          <w:rFonts w:ascii="Trebuchet MS" w:hAnsi="Trebuchet MS"/>
          <w:i/>
          <w:color w:val="37617A"/>
          <w:w w:val="73"/>
          <w:sz w:val="20"/>
        </w:rPr>
        <w:t>i</w:t>
      </w:r>
      <w:r>
        <w:rPr>
          <w:rFonts w:ascii="Trebuchet MS" w:hAnsi="Trebuchet MS"/>
          <w:i/>
          <w:color w:val="37617A"/>
          <w:w w:val="115"/>
          <w:sz w:val="20"/>
        </w:rPr>
        <w:t>c</w:t>
      </w:r>
      <w:r>
        <w:rPr>
          <w:rFonts w:ascii="Trebuchet MS" w:hAnsi="Trebuchet MS"/>
          <w:i/>
          <w:color w:val="37617A"/>
          <w:w w:val="73"/>
          <w:sz w:val="20"/>
        </w:rPr>
        <w:t>i</w:t>
      </w:r>
      <w:r>
        <w:rPr>
          <w:rFonts w:ascii="Trebuchet MS" w:hAnsi="Trebuchet MS"/>
          <w:i/>
          <w:color w:val="37617A"/>
          <w:w w:val="107"/>
          <w:sz w:val="20"/>
        </w:rPr>
        <w:t>p</w:t>
      </w:r>
      <w:r>
        <w:rPr>
          <w:rFonts w:ascii="Trebuchet MS" w:hAnsi="Trebuchet MS"/>
          <w:i/>
          <w:color w:val="37617A"/>
          <w:spacing w:val="-1"/>
          <w:w w:val="99"/>
          <w:sz w:val="20"/>
        </w:rPr>
        <w:t>at</w:t>
      </w:r>
      <w:r>
        <w:rPr>
          <w:rFonts w:ascii="Trebuchet MS" w:hAnsi="Trebuchet MS"/>
          <w:i/>
          <w:color w:val="37617A"/>
          <w:w w:val="73"/>
          <w:sz w:val="20"/>
        </w:rPr>
        <w:t>i</w:t>
      </w:r>
      <w:r>
        <w:rPr>
          <w:rFonts w:ascii="Trebuchet MS" w:hAnsi="Trebuchet MS"/>
          <w:i/>
          <w:color w:val="37617A"/>
          <w:w w:val="107"/>
          <w:sz w:val="20"/>
        </w:rPr>
        <w:t>o</w:t>
      </w:r>
      <w:r>
        <w:rPr>
          <w:rFonts w:ascii="Trebuchet MS" w:hAnsi="Trebuchet MS"/>
          <w:i/>
          <w:color w:val="37617A"/>
          <w:spacing w:val="1"/>
          <w:w w:val="103"/>
          <w:sz w:val="20"/>
        </w:rPr>
        <w:t>n</w:t>
      </w:r>
      <w:r>
        <w:rPr>
          <w:rFonts w:ascii="Trebuchet MS" w:hAnsi="Trebuchet MS"/>
          <w:i/>
          <w:color w:val="37617A"/>
          <w:w w:val="54"/>
          <w:sz w:val="20"/>
        </w:rPr>
        <w:t>.</w:t>
      </w:r>
      <w:r>
        <w:rPr>
          <w:rFonts w:ascii="Trebuchet MS" w:hAnsi="Trebuchet MS"/>
          <w:i/>
          <w:color w:val="37617A"/>
          <w:spacing w:val="4"/>
          <w:w w:val="87"/>
          <w:position w:val="7"/>
          <w:sz w:val="11"/>
        </w:rPr>
        <w:t>1</w:t>
      </w:r>
      <w:r>
        <w:rPr>
          <w:rFonts w:ascii="Trebuchet MS" w:hAnsi="Trebuchet MS"/>
          <w:color w:val="37617A"/>
          <w:spacing w:val="1"/>
          <w:w w:val="124"/>
          <w:sz w:val="19"/>
        </w:rPr>
        <w:t>—</w:t>
      </w:r>
      <w:r>
        <w:rPr>
          <w:rFonts w:ascii="Trebuchet MS" w:hAnsi="Trebuchet MS"/>
          <w:color w:val="37617A"/>
          <w:spacing w:val="-1"/>
          <w:w w:val="116"/>
          <w:sz w:val="19"/>
        </w:rPr>
        <w:t>U</w:t>
      </w:r>
      <w:r>
        <w:rPr>
          <w:rFonts w:ascii="Trebuchet MS" w:hAnsi="Trebuchet MS"/>
          <w:color w:val="37617A"/>
          <w:w w:val="107"/>
          <w:sz w:val="19"/>
        </w:rPr>
        <w:t>n</w:t>
      </w:r>
      <w:r>
        <w:rPr>
          <w:rFonts w:ascii="Trebuchet MS" w:hAnsi="Trebuchet MS"/>
          <w:color w:val="37617A"/>
          <w:spacing w:val="-1"/>
          <w:w w:val="80"/>
          <w:sz w:val="19"/>
        </w:rPr>
        <w:t>i</w:t>
      </w:r>
      <w:r>
        <w:rPr>
          <w:rFonts w:ascii="Trebuchet MS" w:hAnsi="Trebuchet MS"/>
          <w:color w:val="37617A"/>
          <w:spacing w:val="-3"/>
          <w:w w:val="88"/>
          <w:sz w:val="19"/>
        </w:rPr>
        <w:t>t</w:t>
      </w:r>
      <w:r>
        <w:rPr>
          <w:rFonts w:ascii="Trebuchet MS" w:hAnsi="Trebuchet MS"/>
          <w:color w:val="37617A"/>
          <w:spacing w:val="1"/>
          <w:w w:val="108"/>
          <w:sz w:val="19"/>
        </w:rPr>
        <w:t>e</w:t>
      </w:r>
      <w:r>
        <w:rPr>
          <w:rFonts w:ascii="Trebuchet MS" w:hAnsi="Trebuchet MS"/>
          <w:color w:val="37617A"/>
          <w:w w:val="112"/>
          <w:sz w:val="19"/>
        </w:rPr>
        <w:t>d</w:t>
      </w:r>
      <w:r>
        <w:rPr>
          <w:rFonts w:ascii="Trebuchet MS" w:hAnsi="Trebuchet MS"/>
          <w:color w:val="37617A"/>
          <w:spacing w:val="-12"/>
          <w:sz w:val="19"/>
        </w:rPr>
        <w:t> </w:t>
      </w:r>
      <w:r>
        <w:rPr>
          <w:rFonts w:ascii="Trebuchet MS" w:hAnsi="Trebuchet MS"/>
          <w:color w:val="37617A"/>
          <w:w w:val="120"/>
          <w:sz w:val="19"/>
        </w:rPr>
        <w:t>N</w:t>
      </w:r>
      <w:r>
        <w:rPr>
          <w:rFonts w:ascii="Trebuchet MS" w:hAnsi="Trebuchet MS"/>
          <w:color w:val="37617A"/>
          <w:spacing w:val="-3"/>
          <w:w w:val="105"/>
          <w:sz w:val="19"/>
        </w:rPr>
        <w:t>a</w:t>
      </w:r>
      <w:r>
        <w:rPr>
          <w:rFonts w:ascii="Trebuchet MS" w:hAnsi="Trebuchet MS"/>
          <w:color w:val="37617A"/>
          <w:w w:val="88"/>
          <w:sz w:val="19"/>
        </w:rPr>
        <w:t>t</w:t>
      </w:r>
      <w:r>
        <w:rPr>
          <w:rFonts w:ascii="Trebuchet MS" w:hAnsi="Trebuchet MS"/>
          <w:color w:val="37617A"/>
          <w:w w:val="80"/>
          <w:sz w:val="19"/>
        </w:rPr>
        <w:t>i</w:t>
      </w:r>
      <w:r>
        <w:rPr>
          <w:rFonts w:ascii="Trebuchet MS" w:hAnsi="Trebuchet MS"/>
          <w:color w:val="37617A"/>
          <w:w w:val="109"/>
          <w:sz w:val="19"/>
        </w:rPr>
        <w:t>on</w:t>
      </w:r>
      <w:r>
        <w:rPr>
          <w:rFonts w:ascii="Trebuchet MS" w:hAnsi="Trebuchet MS"/>
          <w:color w:val="37617A"/>
          <w:w w:val="122"/>
          <w:sz w:val="19"/>
        </w:rPr>
        <w:t>s</w:t>
      </w:r>
      <w:r>
        <w:rPr>
          <w:rFonts w:ascii="Trebuchet MS" w:hAnsi="Trebuchet MS"/>
          <w:color w:val="37617A"/>
          <w:spacing w:val="-12"/>
          <w:sz w:val="19"/>
        </w:rPr>
        <w:t> </w:t>
      </w:r>
      <w:r>
        <w:rPr>
          <w:rFonts w:ascii="Trebuchet MS" w:hAnsi="Trebuchet MS"/>
          <w:color w:val="37617A"/>
          <w:w w:val="114"/>
          <w:sz w:val="19"/>
        </w:rPr>
        <w:t>C</w:t>
      </w:r>
      <w:r>
        <w:rPr>
          <w:rFonts w:ascii="Trebuchet MS" w:hAnsi="Trebuchet MS"/>
          <w:color w:val="37617A"/>
          <w:w w:val="111"/>
          <w:sz w:val="19"/>
        </w:rPr>
        <w:t>om</w:t>
      </w:r>
      <w:r>
        <w:rPr>
          <w:rFonts w:ascii="Trebuchet MS" w:hAnsi="Trebuchet MS"/>
          <w:color w:val="37617A"/>
          <w:w w:val="111"/>
          <w:sz w:val="19"/>
        </w:rPr>
        <w:t>m</w:t>
      </w:r>
      <w:r>
        <w:rPr>
          <w:rFonts w:ascii="Trebuchet MS" w:hAnsi="Trebuchet MS"/>
          <w:color w:val="37617A"/>
          <w:spacing w:val="-1"/>
          <w:w w:val="80"/>
          <w:sz w:val="19"/>
        </w:rPr>
        <w:t>i</w:t>
      </w:r>
      <w:r>
        <w:rPr>
          <w:rFonts w:ascii="Trebuchet MS" w:hAnsi="Trebuchet MS"/>
          <w:color w:val="37617A"/>
          <w:w w:val="88"/>
          <w:sz w:val="19"/>
        </w:rPr>
        <w:t>t</w:t>
      </w:r>
      <w:r>
        <w:rPr>
          <w:rFonts w:ascii="Trebuchet MS" w:hAnsi="Trebuchet MS"/>
          <w:color w:val="37617A"/>
          <w:spacing w:val="-3"/>
          <w:w w:val="88"/>
          <w:sz w:val="19"/>
        </w:rPr>
        <w:t>t</w:t>
      </w:r>
      <w:r>
        <w:rPr>
          <w:rFonts w:ascii="Trebuchet MS" w:hAnsi="Trebuchet MS"/>
          <w:color w:val="37617A"/>
          <w:spacing w:val="1"/>
          <w:w w:val="108"/>
          <w:sz w:val="19"/>
        </w:rPr>
        <w:t>e</w:t>
      </w:r>
      <w:r>
        <w:rPr>
          <w:rFonts w:ascii="Trebuchet MS" w:hAnsi="Trebuchet MS"/>
          <w:color w:val="37617A"/>
          <w:w w:val="108"/>
          <w:sz w:val="19"/>
        </w:rPr>
        <w:t>e</w:t>
      </w:r>
      <w:r>
        <w:rPr>
          <w:rFonts w:ascii="Trebuchet MS" w:hAnsi="Trebuchet MS"/>
          <w:color w:val="37617A"/>
          <w:spacing w:val="-12"/>
          <w:sz w:val="19"/>
        </w:rPr>
        <w:t> </w:t>
      </w:r>
      <w:r>
        <w:rPr>
          <w:rFonts w:ascii="Trebuchet MS" w:hAnsi="Trebuchet MS"/>
          <w:color w:val="37617A"/>
          <w:w w:val="109"/>
          <w:sz w:val="19"/>
        </w:rPr>
        <w:t>on </w:t>
      </w:r>
      <w:r>
        <w:rPr>
          <w:rFonts w:ascii="Trebuchet MS" w:hAnsi="Trebuchet MS"/>
          <w:color w:val="37617A"/>
          <w:sz w:val="19"/>
        </w:rPr>
        <w:t>the</w:t>
      </w:r>
      <w:r>
        <w:rPr>
          <w:rFonts w:ascii="Trebuchet MS" w:hAnsi="Trebuchet MS"/>
          <w:color w:val="37617A"/>
          <w:spacing w:val="-9"/>
          <w:sz w:val="19"/>
        </w:rPr>
        <w:t> </w:t>
      </w:r>
      <w:r>
        <w:rPr>
          <w:rFonts w:ascii="Trebuchet MS" w:hAnsi="Trebuchet MS"/>
          <w:color w:val="37617A"/>
          <w:sz w:val="19"/>
        </w:rPr>
        <w:t>Rights</w:t>
      </w:r>
      <w:r>
        <w:rPr>
          <w:rFonts w:ascii="Trebuchet MS" w:hAnsi="Trebuchet MS"/>
          <w:color w:val="37617A"/>
          <w:spacing w:val="-9"/>
          <w:sz w:val="19"/>
        </w:rPr>
        <w:t> </w:t>
      </w:r>
      <w:r>
        <w:rPr>
          <w:rFonts w:ascii="Trebuchet MS" w:hAnsi="Trebuchet MS"/>
          <w:color w:val="37617A"/>
          <w:sz w:val="19"/>
        </w:rPr>
        <w:t>of</w:t>
      </w:r>
      <w:r>
        <w:rPr>
          <w:rFonts w:ascii="Trebuchet MS" w:hAnsi="Trebuchet MS"/>
          <w:color w:val="37617A"/>
          <w:spacing w:val="-8"/>
          <w:sz w:val="19"/>
        </w:rPr>
        <w:t> </w:t>
      </w:r>
      <w:r>
        <w:rPr>
          <w:rFonts w:ascii="Trebuchet MS" w:hAnsi="Trebuchet MS"/>
          <w:color w:val="37617A"/>
          <w:sz w:val="19"/>
        </w:rPr>
        <w:t>Persons</w:t>
      </w:r>
      <w:r>
        <w:rPr>
          <w:rFonts w:ascii="Trebuchet MS" w:hAnsi="Trebuchet MS"/>
          <w:color w:val="37617A"/>
          <w:spacing w:val="-9"/>
          <w:sz w:val="19"/>
        </w:rPr>
        <w:t> </w:t>
      </w:r>
      <w:r>
        <w:rPr>
          <w:rFonts w:ascii="Trebuchet MS" w:hAnsi="Trebuchet MS"/>
          <w:color w:val="37617A"/>
          <w:sz w:val="19"/>
        </w:rPr>
        <w:t>with</w:t>
      </w:r>
      <w:r>
        <w:rPr>
          <w:rFonts w:ascii="Trebuchet MS" w:hAnsi="Trebuchet MS"/>
          <w:color w:val="37617A"/>
          <w:spacing w:val="-9"/>
          <w:sz w:val="19"/>
        </w:rPr>
        <w:t> </w:t>
      </w:r>
      <w:r>
        <w:rPr>
          <w:rFonts w:ascii="Trebuchet MS" w:hAnsi="Trebuchet MS"/>
          <w:color w:val="37617A"/>
          <w:sz w:val="19"/>
        </w:rPr>
        <w:t>Disabilities</w:t>
      </w:r>
    </w:p>
    <w:p>
      <w:pPr>
        <w:pStyle w:val="BodyText"/>
        <w:spacing w:before="8"/>
        <w:rPr>
          <w:rFonts w:ascii="Trebuchet MS"/>
          <w:sz w:val="9"/>
        </w:rPr>
      </w:pPr>
      <w:r>
        <w:rPr/>
        <w:pict>
          <v:line style="position:absolute;mso-position-horizontal-relative:page;mso-position-vertical-relative:paragraph;z-index:7184;mso-wrap-distance-left:0;mso-wrap-distance-right:0" from="79.370102pt,7.872883pt" to="515.905102pt,7.872883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86"/>
        </w:numPr>
        <w:tabs>
          <w:tab w:pos="2157" w:val="left" w:leader="none"/>
          <w:tab w:pos="2158" w:val="left" w:leader="none"/>
        </w:tabs>
        <w:spacing w:line="206" w:lineRule="auto" w:before="146" w:after="0"/>
        <w:ind w:left="2157" w:right="1373" w:hanging="396"/>
        <w:jc w:val="left"/>
        <w:rPr>
          <w:sz w:val="20"/>
        </w:rPr>
      </w:pPr>
      <w:r>
        <w:rPr>
          <w:sz w:val="20"/>
        </w:rPr>
        <w:t>The</w:t>
      </w:r>
      <w:r>
        <w:rPr>
          <w:spacing w:val="-9"/>
          <w:sz w:val="20"/>
        </w:rPr>
        <w:t> </w:t>
      </w:r>
      <w:r>
        <w:rPr>
          <w:sz w:val="20"/>
        </w:rPr>
        <w:t>practices</w:t>
      </w:r>
      <w:r>
        <w:rPr>
          <w:spacing w:val="-8"/>
          <w:sz w:val="20"/>
        </w:rPr>
        <w:t> </w:t>
      </w:r>
      <w:r>
        <w:rPr>
          <w:sz w:val="20"/>
        </w:rPr>
        <w:t>and</w:t>
      </w:r>
      <w:r>
        <w:rPr>
          <w:spacing w:val="-8"/>
          <w:sz w:val="20"/>
        </w:rPr>
        <w:t> </w:t>
      </w:r>
      <w:r>
        <w:rPr>
          <w:spacing w:val="-3"/>
          <w:sz w:val="20"/>
        </w:rPr>
        <w:t>procedures</w:t>
      </w:r>
      <w:r>
        <w:rPr>
          <w:spacing w:val="-8"/>
          <w:sz w:val="20"/>
        </w:rPr>
        <w:t> </w:t>
      </w:r>
      <w:r>
        <w:rPr>
          <w:sz w:val="20"/>
        </w:rPr>
        <w:t>of</w:t>
      </w:r>
      <w:r>
        <w:rPr>
          <w:spacing w:val="-8"/>
          <w:sz w:val="20"/>
        </w:rPr>
        <w:t> </w:t>
      </w:r>
      <w:r>
        <w:rPr>
          <w:sz w:val="20"/>
        </w:rPr>
        <w:t>Juries</w:t>
      </w:r>
      <w:r>
        <w:rPr>
          <w:spacing w:val="-8"/>
          <w:sz w:val="20"/>
        </w:rPr>
        <w:t> </w:t>
      </w:r>
      <w:r>
        <w:rPr>
          <w:sz w:val="20"/>
        </w:rPr>
        <w:t>Victoria</w:t>
      </w:r>
      <w:r>
        <w:rPr>
          <w:spacing w:val="-8"/>
          <w:sz w:val="20"/>
        </w:rPr>
        <w:t> </w:t>
      </w:r>
      <w:r>
        <w:rPr>
          <w:sz w:val="20"/>
        </w:rPr>
        <w:t>and</w:t>
      </w:r>
      <w:r>
        <w:rPr>
          <w:spacing w:val="-9"/>
          <w:sz w:val="20"/>
        </w:rPr>
        <w:t> </w:t>
      </w:r>
      <w:r>
        <w:rPr>
          <w:sz w:val="20"/>
        </w:rPr>
        <w:t>the</w:t>
      </w:r>
      <w:r>
        <w:rPr>
          <w:spacing w:val="-8"/>
          <w:sz w:val="20"/>
        </w:rPr>
        <w:t> </w:t>
      </w:r>
      <w:r>
        <w:rPr>
          <w:sz w:val="20"/>
        </w:rPr>
        <w:t>courts</w:t>
      </w:r>
      <w:r>
        <w:rPr>
          <w:spacing w:val="-8"/>
          <w:sz w:val="20"/>
        </w:rPr>
        <w:t> </w:t>
      </w:r>
      <w:r>
        <w:rPr>
          <w:sz w:val="20"/>
        </w:rPr>
        <w:t>need</w:t>
      </w:r>
      <w:r>
        <w:rPr>
          <w:spacing w:val="-8"/>
          <w:sz w:val="20"/>
        </w:rPr>
        <w:t> </w:t>
      </w:r>
      <w:r>
        <w:rPr>
          <w:sz w:val="20"/>
        </w:rPr>
        <w:t>to</w:t>
      </w:r>
      <w:r>
        <w:rPr>
          <w:spacing w:val="-8"/>
          <w:sz w:val="20"/>
        </w:rPr>
        <w:t> </w:t>
      </w:r>
      <w:r>
        <w:rPr>
          <w:sz w:val="20"/>
        </w:rPr>
        <w:t>change</w:t>
      </w:r>
      <w:r>
        <w:rPr>
          <w:spacing w:val="-8"/>
          <w:sz w:val="20"/>
        </w:rPr>
        <w:t> </w:t>
      </w:r>
      <w:r>
        <w:rPr>
          <w:sz w:val="20"/>
        </w:rPr>
        <w:t>to </w:t>
      </w:r>
      <w:r>
        <w:rPr>
          <w:spacing w:val="-3"/>
          <w:sz w:val="20"/>
        </w:rPr>
        <w:t>accompany </w:t>
      </w:r>
      <w:r>
        <w:rPr>
          <w:sz w:val="20"/>
        </w:rPr>
        <w:t>amendments to the Juries</w:t>
      </w:r>
      <w:r>
        <w:rPr>
          <w:spacing w:val="-19"/>
          <w:sz w:val="20"/>
        </w:rPr>
        <w:t> </w:t>
      </w:r>
      <w:r>
        <w:rPr>
          <w:sz w:val="20"/>
        </w:rPr>
        <w:t>Act.</w:t>
      </w:r>
    </w:p>
    <w:p>
      <w:pPr>
        <w:pStyle w:val="ListParagraph"/>
        <w:numPr>
          <w:ilvl w:val="0"/>
          <w:numId w:val="86"/>
        </w:numPr>
        <w:tabs>
          <w:tab w:pos="2157" w:val="left" w:leader="none"/>
          <w:tab w:pos="2158" w:val="left" w:leader="none"/>
        </w:tabs>
        <w:spacing w:line="206" w:lineRule="auto" w:before="88" w:after="0"/>
        <w:ind w:left="2157" w:right="1229" w:hanging="396"/>
        <w:jc w:val="left"/>
        <w:rPr>
          <w:sz w:val="20"/>
        </w:rPr>
      </w:pPr>
      <w:r>
        <w:rPr>
          <w:spacing w:val="-6"/>
          <w:sz w:val="20"/>
        </w:rPr>
        <w:t>We </w:t>
      </w:r>
      <w:r>
        <w:rPr>
          <w:sz w:val="20"/>
        </w:rPr>
        <w:t>do not expect a large number of people to use reasonable adjustments on Victorian juries. Recommendations </w:t>
      </w:r>
      <w:r>
        <w:rPr>
          <w:spacing w:val="-3"/>
          <w:sz w:val="20"/>
        </w:rPr>
        <w:t>therefore </w:t>
      </w:r>
      <w:r>
        <w:rPr>
          <w:sz w:val="20"/>
        </w:rPr>
        <w:t>aim to </w:t>
      </w:r>
      <w:r>
        <w:rPr>
          <w:spacing w:val="-3"/>
          <w:sz w:val="20"/>
        </w:rPr>
        <w:t>work </w:t>
      </w:r>
      <w:r>
        <w:rPr>
          <w:sz w:val="20"/>
        </w:rPr>
        <w:t>within existing jury selection</w:t>
      </w:r>
      <w:r>
        <w:rPr>
          <w:spacing w:val="-13"/>
          <w:sz w:val="20"/>
        </w:rPr>
        <w:t> </w:t>
      </w:r>
      <w:r>
        <w:rPr>
          <w:sz w:val="20"/>
        </w:rPr>
        <w:t>processes</w:t>
      </w:r>
      <w:r>
        <w:rPr>
          <w:spacing w:val="-13"/>
          <w:sz w:val="20"/>
        </w:rPr>
        <w:t> </w:t>
      </w:r>
      <w:r>
        <w:rPr>
          <w:sz w:val="20"/>
        </w:rPr>
        <w:t>and</w:t>
      </w:r>
      <w:r>
        <w:rPr>
          <w:spacing w:val="-13"/>
          <w:sz w:val="20"/>
        </w:rPr>
        <w:t> </w:t>
      </w:r>
      <w:r>
        <w:rPr>
          <w:sz w:val="20"/>
        </w:rPr>
        <w:t>retain</w:t>
      </w:r>
      <w:r>
        <w:rPr>
          <w:spacing w:val="-13"/>
          <w:sz w:val="20"/>
        </w:rPr>
        <w:t> </w:t>
      </w:r>
      <w:r>
        <w:rPr>
          <w:sz w:val="20"/>
        </w:rPr>
        <w:t>the</w:t>
      </w:r>
      <w:r>
        <w:rPr>
          <w:spacing w:val="-13"/>
          <w:sz w:val="20"/>
        </w:rPr>
        <w:t> </w:t>
      </w:r>
      <w:r>
        <w:rPr>
          <w:sz w:val="20"/>
        </w:rPr>
        <w:t>existing</w:t>
      </w:r>
      <w:r>
        <w:rPr>
          <w:spacing w:val="-13"/>
          <w:sz w:val="20"/>
        </w:rPr>
        <w:t> </w:t>
      </w:r>
      <w:r>
        <w:rPr>
          <w:sz w:val="20"/>
        </w:rPr>
        <w:t>flexibility</w:t>
      </w:r>
      <w:r>
        <w:rPr>
          <w:spacing w:val="-13"/>
          <w:sz w:val="20"/>
        </w:rPr>
        <w:t> </w:t>
      </w:r>
      <w:r>
        <w:rPr>
          <w:sz w:val="20"/>
        </w:rPr>
        <w:t>to</w:t>
      </w:r>
      <w:r>
        <w:rPr>
          <w:spacing w:val="-13"/>
          <w:sz w:val="20"/>
        </w:rPr>
        <w:t> </w:t>
      </w:r>
      <w:r>
        <w:rPr>
          <w:sz w:val="20"/>
        </w:rPr>
        <w:t>respond</w:t>
      </w:r>
      <w:r>
        <w:rPr>
          <w:spacing w:val="-13"/>
          <w:sz w:val="20"/>
        </w:rPr>
        <w:t> </w:t>
      </w:r>
      <w:r>
        <w:rPr>
          <w:sz w:val="20"/>
        </w:rPr>
        <w:t>to</w:t>
      </w:r>
      <w:r>
        <w:rPr>
          <w:spacing w:val="-13"/>
          <w:sz w:val="20"/>
        </w:rPr>
        <w:t> </w:t>
      </w:r>
      <w:r>
        <w:rPr>
          <w:sz w:val="20"/>
        </w:rPr>
        <w:t>the</w:t>
      </w:r>
      <w:r>
        <w:rPr>
          <w:spacing w:val="-13"/>
          <w:sz w:val="20"/>
        </w:rPr>
        <w:t> </w:t>
      </w:r>
      <w:r>
        <w:rPr>
          <w:sz w:val="20"/>
        </w:rPr>
        <w:t>needs</w:t>
      </w:r>
      <w:r>
        <w:rPr>
          <w:spacing w:val="-12"/>
          <w:sz w:val="20"/>
        </w:rPr>
        <w:t> </w:t>
      </w:r>
      <w:r>
        <w:rPr>
          <w:sz w:val="20"/>
        </w:rPr>
        <w:t>of</w:t>
      </w:r>
      <w:r>
        <w:rPr>
          <w:spacing w:val="-13"/>
          <w:sz w:val="20"/>
        </w:rPr>
        <w:t> </w:t>
      </w:r>
      <w:r>
        <w:rPr>
          <w:sz w:val="20"/>
        </w:rPr>
        <w:t>the court and potential jurors as they</w:t>
      </w:r>
      <w:r>
        <w:rPr>
          <w:spacing w:val="-28"/>
          <w:sz w:val="20"/>
        </w:rPr>
        <w:t> </w:t>
      </w:r>
      <w:r>
        <w:rPr>
          <w:sz w:val="20"/>
        </w:rPr>
        <w:t>arise.</w:t>
      </w:r>
    </w:p>
    <w:p>
      <w:pPr>
        <w:pStyle w:val="ListParagraph"/>
        <w:numPr>
          <w:ilvl w:val="0"/>
          <w:numId w:val="86"/>
        </w:numPr>
        <w:tabs>
          <w:tab w:pos="2157" w:val="left" w:leader="none"/>
          <w:tab w:pos="2158" w:val="left" w:leader="none"/>
        </w:tabs>
        <w:spacing w:line="206" w:lineRule="auto" w:before="90" w:after="0"/>
        <w:ind w:left="2157" w:right="1519" w:hanging="396"/>
        <w:jc w:val="left"/>
        <w:rPr>
          <w:sz w:val="20"/>
        </w:rPr>
      </w:pPr>
      <w:r>
        <w:rPr>
          <w:sz w:val="20"/>
        </w:rPr>
        <w:t>The new practices and </w:t>
      </w:r>
      <w:r>
        <w:rPr>
          <w:spacing w:val="-3"/>
          <w:sz w:val="20"/>
        </w:rPr>
        <w:t>procedures </w:t>
      </w:r>
      <w:r>
        <w:rPr>
          <w:sz w:val="20"/>
        </w:rPr>
        <w:t>should enable the person </w:t>
      </w:r>
      <w:r>
        <w:rPr>
          <w:spacing w:val="-3"/>
          <w:sz w:val="20"/>
        </w:rPr>
        <w:t>from </w:t>
      </w:r>
      <w:r>
        <w:rPr>
          <w:sz w:val="20"/>
        </w:rPr>
        <w:t>the subject groups</w:t>
      </w:r>
      <w:r>
        <w:rPr>
          <w:spacing w:val="-9"/>
          <w:sz w:val="20"/>
        </w:rPr>
        <w:t> </w:t>
      </w:r>
      <w:r>
        <w:rPr>
          <w:sz w:val="20"/>
        </w:rPr>
        <w:t>to</w:t>
      </w:r>
      <w:r>
        <w:rPr>
          <w:spacing w:val="-9"/>
          <w:sz w:val="20"/>
        </w:rPr>
        <w:t> </w:t>
      </w:r>
      <w:r>
        <w:rPr>
          <w:sz w:val="20"/>
        </w:rPr>
        <w:t>discuss</w:t>
      </w:r>
      <w:r>
        <w:rPr>
          <w:spacing w:val="-9"/>
          <w:sz w:val="20"/>
        </w:rPr>
        <w:t> </w:t>
      </w:r>
      <w:r>
        <w:rPr>
          <w:sz w:val="20"/>
        </w:rPr>
        <w:t>their</w:t>
      </w:r>
      <w:r>
        <w:rPr>
          <w:spacing w:val="-9"/>
          <w:sz w:val="20"/>
        </w:rPr>
        <w:t> </w:t>
      </w:r>
      <w:r>
        <w:rPr>
          <w:sz w:val="20"/>
        </w:rPr>
        <w:t>needs</w:t>
      </w:r>
      <w:r>
        <w:rPr>
          <w:spacing w:val="-9"/>
          <w:sz w:val="20"/>
        </w:rPr>
        <w:t> </w:t>
      </w:r>
      <w:r>
        <w:rPr>
          <w:sz w:val="20"/>
        </w:rPr>
        <w:t>and</w:t>
      </w:r>
      <w:r>
        <w:rPr>
          <w:spacing w:val="-9"/>
          <w:sz w:val="20"/>
        </w:rPr>
        <w:t> </w:t>
      </w:r>
      <w:r>
        <w:rPr>
          <w:sz w:val="20"/>
        </w:rPr>
        <w:t>abilities</w:t>
      </w:r>
      <w:r>
        <w:rPr>
          <w:spacing w:val="-9"/>
          <w:sz w:val="20"/>
        </w:rPr>
        <w:t> </w:t>
      </w:r>
      <w:r>
        <w:rPr>
          <w:spacing w:val="-3"/>
          <w:sz w:val="20"/>
        </w:rPr>
        <w:t>from</w:t>
      </w:r>
      <w:r>
        <w:rPr>
          <w:spacing w:val="-9"/>
          <w:sz w:val="20"/>
        </w:rPr>
        <w:t> </w:t>
      </w:r>
      <w:r>
        <w:rPr>
          <w:sz w:val="20"/>
        </w:rPr>
        <w:t>the</w:t>
      </w:r>
      <w:r>
        <w:rPr>
          <w:spacing w:val="-9"/>
          <w:sz w:val="20"/>
        </w:rPr>
        <w:t> </w:t>
      </w:r>
      <w:r>
        <w:rPr>
          <w:sz w:val="20"/>
        </w:rPr>
        <w:t>start,</w:t>
      </w:r>
      <w:r>
        <w:rPr>
          <w:spacing w:val="-9"/>
          <w:sz w:val="20"/>
        </w:rPr>
        <w:t> </w:t>
      </w:r>
      <w:r>
        <w:rPr>
          <w:sz w:val="20"/>
        </w:rPr>
        <w:t>and</w:t>
      </w:r>
      <w:r>
        <w:rPr>
          <w:spacing w:val="-9"/>
          <w:sz w:val="20"/>
        </w:rPr>
        <w:t> </w:t>
      </w:r>
      <w:r>
        <w:rPr>
          <w:spacing w:val="-3"/>
          <w:sz w:val="20"/>
        </w:rPr>
        <w:t>provide</w:t>
      </w:r>
      <w:r>
        <w:rPr>
          <w:spacing w:val="-9"/>
          <w:sz w:val="20"/>
        </w:rPr>
        <w:t> </w:t>
      </w:r>
      <w:r>
        <w:rPr>
          <w:sz w:val="20"/>
        </w:rPr>
        <w:t>them</w:t>
      </w:r>
      <w:r>
        <w:rPr>
          <w:spacing w:val="-9"/>
          <w:sz w:val="20"/>
        </w:rPr>
        <w:t> </w:t>
      </w:r>
      <w:r>
        <w:rPr>
          <w:sz w:val="20"/>
        </w:rPr>
        <w:t>with the opportunity to be heard </w:t>
      </w:r>
      <w:r>
        <w:rPr>
          <w:spacing w:val="-3"/>
          <w:sz w:val="20"/>
        </w:rPr>
        <w:t>by </w:t>
      </w:r>
      <w:r>
        <w:rPr>
          <w:sz w:val="20"/>
        </w:rPr>
        <w:t>a</w:t>
      </w:r>
      <w:r>
        <w:rPr>
          <w:spacing w:val="-29"/>
          <w:sz w:val="20"/>
        </w:rPr>
        <w:t> </w:t>
      </w:r>
      <w:r>
        <w:rPr>
          <w:sz w:val="20"/>
        </w:rPr>
        <w:t>judge.</w:t>
      </w:r>
    </w:p>
    <w:p>
      <w:pPr>
        <w:pStyle w:val="ListParagraph"/>
        <w:numPr>
          <w:ilvl w:val="0"/>
          <w:numId w:val="86"/>
        </w:numPr>
        <w:tabs>
          <w:tab w:pos="2157" w:val="left" w:leader="none"/>
          <w:tab w:pos="2158" w:val="left" w:leader="none"/>
        </w:tabs>
        <w:spacing w:line="206" w:lineRule="auto" w:before="89" w:after="0"/>
        <w:ind w:left="2157" w:right="1609" w:hanging="396"/>
        <w:jc w:val="left"/>
        <w:rPr>
          <w:sz w:val="20"/>
        </w:rPr>
      </w:pPr>
      <w:r>
        <w:rPr>
          <w:sz w:val="20"/>
        </w:rPr>
        <w:t>The County and Supreme Courts </w:t>
      </w:r>
      <w:r>
        <w:rPr>
          <w:spacing w:val="-4"/>
          <w:sz w:val="20"/>
        </w:rPr>
        <w:t>have </w:t>
      </w:r>
      <w:r>
        <w:rPr>
          <w:sz w:val="20"/>
        </w:rPr>
        <w:t>different case management practices, and there is uncertainty about whether </w:t>
      </w:r>
      <w:r>
        <w:rPr>
          <w:spacing w:val="-3"/>
          <w:sz w:val="20"/>
        </w:rPr>
        <w:t>recent </w:t>
      </w:r>
      <w:r>
        <w:rPr>
          <w:sz w:val="20"/>
        </w:rPr>
        <w:t>changes will remain after the </w:t>
      </w:r>
      <w:r>
        <w:rPr>
          <w:spacing w:val="-3"/>
          <w:sz w:val="20"/>
        </w:rPr>
        <w:t>coronavirus</w:t>
      </w:r>
      <w:r>
        <w:rPr>
          <w:spacing w:val="-8"/>
          <w:sz w:val="20"/>
        </w:rPr>
        <w:t> </w:t>
      </w:r>
      <w:r>
        <w:rPr>
          <w:spacing w:val="-3"/>
          <w:sz w:val="20"/>
        </w:rPr>
        <w:t>(COVID-19)</w:t>
      </w:r>
      <w:r>
        <w:rPr>
          <w:spacing w:val="-7"/>
          <w:sz w:val="20"/>
        </w:rPr>
        <w:t> </w:t>
      </w:r>
      <w:r>
        <w:rPr>
          <w:sz w:val="20"/>
        </w:rPr>
        <w:t>pandemic.</w:t>
      </w:r>
      <w:r>
        <w:rPr>
          <w:spacing w:val="-7"/>
          <w:sz w:val="20"/>
        </w:rPr>
        <w:t> </w:t>
      </w:r>
      <w:r>
        <w:rPr>
          <w:spacing w:val="-3"/>
          <w:sz w:val="20"/>
        </w:rPr>
        <w:t>Therefore,</w:t>
      </w:r>
      <w:r>
        <w:rPr>
          <w:spacing w:val="-7"/>
          <w:sz w:val="20"/>
        </w:rPr>
        <w:t> </w:t>
      </w:r>
      <w:r>
        <w:rPr>
          <w:sz w:val="20"/>
        </w:rPr>
        <w:t>the</w:t>
      </w:r>
      <w:r>
        <w:rPr>
          <w:spacing w:val="-7"/>
          <w:sz w:val="20"/>
        </w:rPr>
        <w:t> </w:t>
      </w:r>
      <w:r>
        <w:rPr>
          <w:sz w:val="20"/>
        </w:rPr>
        <w:t>courts</w:t>
      </w:r>
      <w:r>
        <w:rPr>
          <w:spacing w:val="-7"/>
          <w:sz w:val="20"/>
        </w:rPr>
        <w:t> </w:t>
      </w:r>
      <w:r>
        <w:rPr>
          <w:sz w:val="20"/>
        </w:rPr>
        <w:t>and</w:t>
      </w:r>
      <w:r>
        <w:rPr>
          <w:spacing w:val="-8"/>
          <w:sz w:val="20"/>
        </w:rPr>
        <w:t> </w:t>
      </w:r>
      <w:r>
        <w:rPr>
          <w:sz w:val="20"/>
        </w:rPr>
        <w:t>Juries</w:t>
      </w:r>
      <w:r>
        <w:rPr>
          <w:spacing w:val="-7"/>
          <w:sz w:val="20"/>
        </w:rPr>
        <w:t> </w:t>
      </w:r>
      <w:r>
        <w:rPr>
          <w:sz w:val="20"/>
        </w:rPr>
        <w:t>Victoria</w:t>
      </w:r>
      <w:r>
        <w:rPr>
          <w:spacing w:val="-7"/>
          <w:sz w:val="20"/>
        </w:rPr>
        <w:t> </w:t>
      </w:r>
      <w:r>
        <w:rPr>
          <w:sz w:val="20"/>
        </w:rPr>
        <w:t>will need</w:t>
      </w:r>
      <w:r>
        <w:rPr>
          <w:spacing w:val="-7"/>
          <w:sz w:val="20"/>
        </w:rPr>
        <w:t> </w:t>
      </w:r>
      <w:r>
        <w:rPr>
          <w:sz w:val="20"/>
        </w:rPr>
        <w:t>to</w:t>
      </w:r>
      <w:r>
        <w:rPr>
          <w:spacing w:val="-7"/>
          <w:sz w:val="20"/>
        </w:rPr>
        <w:t> </w:t>
      </w:r>
      <w:r>
        <w:rPr>
          <w:spacing w:val="-3"/>
          <w:sz w:val="20"/>
        </w:rPr>
        <w:t>work</w:t>
      </w:r>
      <w:r>
        <w:rPr>
          <w:spacing w:val="-6"/>
          <w:sz w:val="20"/>
        </w:rPr>
        <w:t> </w:t>
      </w:r>
      <w:r>
        <w:rPr>
          <w:sz w:val="20"/>
        </w:rPr>
        <w:t>together</w:t>
      </w:r>
      <w:r>
        <w:rPr>
          <w:spacing w:val="-7"/>
          <w:sz w:val="20"/>
        </w:rPr>
        <w:t> </w:t>
      </w:r>
      <w:r>
        <w:rPr>
          <w:sz w:val="20"/>
        </w:rPr>
        <w:t>to</w:t>
      </w:r>
      <w:r>
        <w:rPr>
          <w:spacing w:val="-6"/>
          <w:sz w:val="20"/>
        </w:rPr>
        <w:t> </w:t>
      </w:r>
      <w:r>
        <w:rPr>
          <w:spacing w:val="-3"/>
          <w:sz w:val="20"/>
        </w:rPr>
        <w:t>work</w:t>
      </w:r>
      <w:r>
        <w:rPr>
          <w:spacing w:val="-7"/>
          <w:sz w:val="20"/>
        </w:rPr>
        <w:t> </w:t>
      </w:r>
      <w:r>
        <w:rPr>
          <w:sz w:val="20"/>
        </w:rPr>
        <w:t>out</w:t>
      </w:r>
      <w:r>
        <w:rPr>
          <w:spacing w:val="-7"/>
          <w:sz w:val="20"/>
        </w:rPr>
        <w:t> </w:t>
      </w:r>
      <w:r>
        <w:rPr>
          <w:sz w:val="20"/>
        </w:rPr>
        <w:t>the</w:t>
      </w:r>
      <w:r>
        <w:rPr>
          <w:spacing w:val="-6"/>
          <w:sz w:val="20"/>
        </w:rPr>
        <w:t> </w:t>
      </w:r>
      <w:r>
        <w:rPr>
          <w:sz w:val="20"/>
        </w:rPr>
        <w:t>finer</w:t>
      </w:r>
      <w:r>
        <w:rPr>
          <w:spacing w:val="-7"/>
          <w:sz w:val="20"/>
        </w:rPr>
        <w:t> </w:t>
      </w:r>
      <w:r>
        <w:rPr>
          <w:sz w:val="20"/>
        </w:rPr>
        <w:t>details</w:t>
      </w:r>
      <w:r>
        <w:rPr>
          <w:spacing w:val="-6"/>
          <w:sz w:val="20"/>
        </w:rPr>
        <w:t> </w:t>
      </w:r>
      <w:r>
        <w:rPr>
          <w:sz w:val="20"/>
        </w:rPr>
        <w:t>of</w:t>
      </w:r>
      <w:r>
        <w:rPr>
          <w:spacing w:val="-7"/>
          <w:sz w:val="20"/>
        </w:rPr>
        <w:t> </w:t>
      </w:r>
      <w:r>
        <w:rPr>
          <w:sz w:val="20"/>
        </w:rPr>
        <w:t>implementation.</w:t>
      </w:r>
    </w:p>
    <w:p>
      <w:pPr>
        <w:spacing w:before="195"/>
        <w:ind w:left="967" w:right="0" w:firstLine="0"/>
        <w:jc w:val="left"/>
        <w:rPr>
          <w:rFonts w:ascii="Raleway ExtraBold"/>
          <w:b/>
          <w:sz w:val="28"/>
        </w:rPr>
      </w:pPr>
      <w:r>
        <w:rPr>
          <w:rFonts w:ascii="Raleway ExtraBold"/>
          <w:b/>
          <w:color w:val="37617A"/>
          <w:sz w:val="28"/>
        </w:rPr>
        <w:t>Introduction</w:t>
      </w:r>
    </w:p>
    <w:p>
      <w:pPr>
        <w:pStyle w:val="ListParagraph"/>
        <w:numPr>
          <w:ilvl w:val="1"/>
          <w:numId w:val="12"/>
        </w:numPr>
        <w:tabs>
          <w:tab w:pos="1761" w:val="left" w:leader="none"/>
          <w:tab w:pos="1762" w:val="left" w:leader="none"/>
        </w:tabs>
        <w:spacing w:line="206" w:lineRule="auto" w:before="146" w:after="0"/>
        <w:ind w:left="1761" w:right="1302" w:hanging="794"/>
        <w:jc w:val="left"/>
        <w:rPr>
          <w:sz w:val="20"/>
        </w:rPr>
      </w:pPr>
      <w:r>
        <w:rPr>
          <w:sz w:val="20"/>
        </w:rPr>
        <w:t>The</w:t>
      </w:r>
      <w:r>
        <w:rPr>
          <w:spacing w:val="-10"/>
          <w:sz w:val="20"/>
        </w:rPr>
        <w:t> </w:t>
      </w:r>
      <w:r>
        <w:rPr>
          <w:sz w:val="20"/>
        </w:rPr>
        <w:t>aim</w:t>
      </w:r>
      <w:r>
        <w:rPr>
          <w:spacing w:val="-9"/>
          <w:sz w:val="20"/>
        </w:rPr>
        <w:t> </w:t>
      </w:r>
      <w:r>
        <w:rPr>
          <w:sz w:val="20"/>
        </w:rPr>
        <w:t>of</w:t>
      </w:r>
      <w:r>
        <w:rPr>
          <w:spacing w:val="-9"/>
          <w:sz w:val="20"/>
        </w:rPr>
        <w:t> </w:t>
      </w:r>
      <w:r>
        <w:rPr>
          <w:sz w:val="20"/>
        </w:rPr>
        <w:t>this</w:t>
      </w:r>
      <w:r>
        <w:rPr>
          <w:spacing w:val="-10"/>
          <w:sz w:val="20"/>
        </w:rPr>
        <w:t> </w:t>
      </w:r>
      <w:r>
        <w:rPr>
          <w:sz w:val="20"/>
        </w:rPr>
        <w:t>chapter</w:t>
      </w:r>
      <w:r>
        <w:rPr>
          <w:spacing w:val="-9"/>
          <w:sz w:val="20"/>
        </w:rPr>
        <w:t> </w:t>
      </w:r>
      <w:r>
        <w:rPr>
          <w:sz w:val="20"/>
        </w:rPr>
        <w:t>is</w:t>
      </w:r>
      <w:r>
        <w:rPr>
          <w:spacing w:val="-9"/>
          <w:sz w:val="20"/>
        </w:rPr>
        <w:t> </w:t>
      </w:r>
      <w:r>
        <w:rPr>
          <w:sz w:val="20"/>
        </w:rPr>
        <w:t>to</w:t>
      </w:r>
      <w:r>
        <w:rPr>
          <w:spacing w:val="-9"/>
          <w:sz w:val="20"/>
        </w:rPr>
        <w:t> </w:t>
      </w:r>
      <w:r>
        <w:rPr>
          <w:spacing w:val="-3"/>
          <w:sz w:val="20"/>
        </w:rPr>
        <w:t>provide</w:t>
      </w:r>
      <w:r>
        <w:rPr>
          <w:spacing w:val="-10"/>
          <w:sz w:val="20"/>
        </w:rPr>
        <w:t> </w:t>
      </w:r>
      <w:r>
        <w:rPr>
          <w:sz w:val="20"/>
        </w:rPr>
        <w:t>the</w:t>
      </w:r>
      <w:r>
        <w:rPr>
          <w:spacing w:val="-9"/>
          <w:sz w:val="20"/>
        </w:rPr>
        <w:t> </w:t>
      </w:r>
      <w:r>
        <w:rPr>
          <w:sz w:val="20"/>
        </w:rPr>
        <w:t>courts</w:t>
      </w:r>
      <w:r>
        <w:rPr>
          <w:spacing w:val="-9"/>
          <w:sz w:val="20"/>
        </w:rPr>
        <w:t> </w:t>
      </w:r>
      <w:r>
        <w:rPr>
          <w:sz w:val="20"/>
        </w:rPr>
        <w:t>and</w:t>
      </w:r>
      <w:r>
        <w:rPr>
          <w:spacing w:val="-9"/>
          <w:sz w:val="20"/>
        </w:rPr>
        <w:t> </w:t>
      </w:r>
      <w:r>
        <w:rPr>
          <w:sz w:val="20"/>
        </w:rPr>
        <w:t>Juries</w:t>
      </w:r>
      <w:r>
        <w:rPr>
          <w:spacing w:val="-10"/>
          <w:sz w:val="20"/>
        </w:rPr>
        <w:t> </w:t>
      </w:r>
      <w:r>
        <w:rPr>
          <w:sz w:val="20"/>
        </w:rPr>
        <w:t>Victoria</w:t>
      </w:r>
      <w:r>
        <w:rPr>
          <w:spacing w:val="-9"/>
          <w:sz w:val="20"/>
        </w:rPr>
        <w:t> </w:t>
      </w:r>
      <w:r>
        <w:rPr>
          <w:sz w:val="20"/>
        </w:rPr>
        <w:t>with</w:t>
      </w:r>
      <w:r>
        <w:rPr>
          <w:spacing w:val="-9"/>
          <w:sz w:val="20"/>
        </w:rPr>
        <w:t> </w:t>
      </w:r>
      <w:r>
        <w:rPr>
          <w:sz w:val="20"/>
        </w:rPr>
        <w:t>guidance</w:t>
      </w:r>
      <w:r>
        <w:rPr>
          <w:spacing w:val="-10"/>
          <w:sz w:val="20"/>
        </w:rPr>
        <w:t> </w:t>
      </w:r>
      <w:r>
        <w:rPr>
          <w:sz w:val="20"/>
        </w:rPr>
        <w:t>about </w:t>
      </w:r>
      <w:r>
        <w:rPr>
          <w:spacing w:val="-3"/>
          <w:sz w:val="20"/>
        </w:rPr>
        <w:t>how</w:t>
      </w:r>
      <w:r>
        <w:rPr>
          <w:spacing w:val="-7"/>
          <w:sz w:val="20"/>
        </w:rPr>
        <w:t> </w:t>
      </w:r>
      <w:r>
        <w:rPr>
          <w:sz w:val="20"/>
        </w:rPr>
        <w:t>legislative</w:t>
      </w:r>
      <w:r>
        <w:rPr>
          <w:spacing w:val="-6"/>
          <w:sz w:val="20"/>
        </w:rPr>
        <w:t> </w:t>
      </w:r>
      <w:r>
        <w:rPr>
          <w:spacing w:val="-3"/>
          <w:sz w:val="20"/>
        </w:rPr>
        <w:t>reforms</w:t>
      </w:r>
      <w:r>
        <w:rPr>
          <w:spacing w:val="-6"/>
          <w:sz w:val="20"/>
        </w:rPr>
        <w:t> </w:t>
      </w:r>
      <w:r>
        <w:rPr>
          <w:sz w:val="20"/>
        </w:rPr>
        <w:t>(recommended</w:t>
      </w:r>
      <w:r>
        <w:rPr>
          <w:spacing w:val="-6"/>
          <w:sz w:val="20"/>
        </w:rPr>
        <w:t> </w:t>
      </w:r>
      <w:r>
        <w:rPr>
          <w:sz w:val="20"/>
        </w:rPr>
        <w:t>in</w:t>
      </w:r>
      <w:r>
        <w:rPr>
          <w:spacing w:val="-6"/>
          <w:sz w:val="20"/>
        </w:rPr>
        <w:t> </w:t>
      </w:r>
      <w:r>
        <w:rPr>
          <w:spacing w:val="-2"/>
          <w:sz w:val="20"/>
        </w:rPr>
        <w:t>Chapter</w:t>
      </w:r>
      <w:r>
        <w:rPr>
          <w:spacing w:val="-7"/>
          <w:sz w:val="20"/>
        </w:rPr>
        <w:t> </w:t>
      </w:r>
      <w:r>
        <w:rPr>
          <w:sz w:val="20"/>
        </w:rPr>
        <w:t>11)</w:t>
      </w:r>
      <w:r>
        <w:rPr>
          <w:spacing w:val="-6"/>
          <w:sz w:val="20"/>
        </w:rPr>
        <w:t> </w:t>
      </w:r>
      <w:r>
        <w:rPr>
          <w:sz w:val="20"/>
        </w:rPr>
        <w:t>can</w:t>
      </w:r>
      <w:r>
        <w:rPr>
          <w:spacing w:val="-6"/>
          <w:sz w:val="20"/>
        </w:rPr>
        <w:t> </w:t>
      </w:r>
      <w:r>
        <w:rPr>
          <w:sz w:val="20"/>
        </w:rPr>
        <w:t>be</w:t>
      </w:r>
      <w:r>
        <w:rPr>
          <w:spacing w:val="-6"/>
          <w:sz w:val="20"/>
        </w:rPr>
        <w:t> </w:t>
      </w:r>
      <w:r>
        <w:rPr>
          <w:sz w:val="20"/>
        </w:rPr>
        <w:t>put</w:t>
      </w:r>
      <w:r>
        <w:rPr>
          <w:spacing w:val="-6"/>
          <w:sz w:val="20"/>
        </w:rPr>
        <w:t> </w:t>
      </w:r>
      <w:r>
        <w:rPr>
          <w:spacing w:val="-3"/>
          <w:sz w:val="20"/>
        </w:rPr>
        <w:t>into</w:t>
      </w:r>
      <w:r>
        <w:rPr>
          <w:spacing w:val="-6"/>
          <w:sz w:val="20"/>
        </w:rPr>
        <w:t> </w:t>
      </w:r>
      <w:r>
        <w:rPr>
          <w:sz w:val="20"/>
        </w:rPr>
        <w:t>practice.</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County</w:t>
      </w:r>
      <w:r>
        <w:rPr>
          <w:spacing w:val="-6"/>
          <w:sz w:val="20"/>
        </w:rPr>
        <w:t> </w:t>
      </w:r>
      <w:r>
        <w:rPr>
          <w:sz w:val="20"/>
        </w:rPr>
        <w:t>Court</w:t>
      </w:r>
      <w:r>
        <w:rPr>
          <w:spacing w:val="-6"/>
          <w:sz w:val="20"/>
        </w:rPr>
        <w:t> </w:t>
      </w:r>
      <w:r>
        <w:rPr>
          <w:sz w:val="20"/>
        </w:rPr>
        <w:t>consultees</w:t>
      </w:r>
      <w:r>
        <w:rPr>
          <w:spacing w:val="-6"/>
          <w:sz w:val="20"/>
        </w:rPr>
        <w:t> </w:t>
      </w:r>
      <w:r>
        <w:rPr>
          <w:sz w:val="20"/>
        </w:rPr>
        <w:t>stressed</w:t>
      </w:r>
      <w:r>
        <w:rPr>
          <w:spacing w:val="-6"/>
          <w:sz w:val="20"/>
        </w:rPr>
        <w:t> </w:t>
      </w:r>
      <w:r>
        <w:rPr>
          <w:sz w:val="20"/>
        </w:rPr>
        <w:t>the</w:t>
      </w:r>
      <w:r>
        <w:rPr>
          <w:spacing w:val="-6"/>
          <w:sz w:val="20"/>
        </w:rPr>
        <w:t> </w:t>
      </w:r>
      <w:r>
        <w:rPr>
          <w:sz w:val="20"/>
        </w:rPr>
        <w:t>importance</w:t>
      </w:r>
      <w:r>
        <w:rPr>
          <w:spacing w:val="-6"/>
          <w:sz w:val="20"/>
        </w:rPr>
        <w:t> </w:t>
      </w:r>
      <w:r>
        <w:rPr>
          <w:sz w:val="20"/>
        </w:rPr>
        <w:t>of</w:t>
      </w:r>
      <w:r>
        <w:rPr>
          <w:spacing w:val="-6"/>
          <w:sz w:val="20"/>
        </w:rPr>
        <w:t> </w:t>
      </w:r>
      <w:r>
        <w:rPr>
          <w:sz w:val="20"/>
        </w:rPr>
        <w:t>practical</w:t>
      </w:r>
      <w:r>
        <w:rPr>
          <w:spacing w:val="-6"/>
          <w:sz w:val="20"/>
        </w:rPr>
        <w:t> </w:t>
      </w:r>
      <w:r>
        <w:rPr>
          <w:sz w:val="20"/>
        </w:rPr>
        <w:t>recommendations:</w:t>
      </w:r>
    </w:p>
    <w:p>
      <w:pPr>
        <w:spacing w:line="208" w:lineRule="auto" w:before="112"/>
        <w:ind w:left="2157" w:right="1453" w:firstLine="0"/>
        <w:jc w:val="left"/>
        <w:rPr>
          <w:sz w:val="11"/>
        </w:rPr>
      </w:pPr>
      <w:r>
        <w:rPr>
          <w:sz w:val="19"/>
        </w:rPr>
        <w:t>The Commission’s recommendations should outline clearly, in a very practical way, how to reform the jury system and enact this reform. This is preferable to merely providing a conceptual review of the need to provide reasonable adjustments.</w:t>
      </w:r>
      <w:r>
        <w:rPr>
          <w:position w:val="6"/>
          <w:sz w:val="11"/>
        </w:rPr>
        <w:t>2</w:t>
      </w:r>
    </w:p>
    <w:p>
      <w:pPr>
        <w:pStyle w:val="BodyText"/>
      </w:pPr>
    </w:p>
    <w:p>
      <w:pPr>
        <w:pStyle w:val="BodyText"/>
      </w:pPr>
    </w:p>
    <w:p>
      <w:pPr>
        <w:pStyle w:val="BodyText"/>
      </w:pPr>
    </w:p>
    <w:p>
      <w:pPr>
        <w:pStyle w:val="BodyText"/>
        <w:rPr>
          <w:sz w:val="12"/>
        </w:rPr>
      </w:pPr>
      <w:r>
        <w:rPr/>
        <w:pict>
          <v:line style="position:absolute;mso-position-horizontal-relative:page;mso-position-vertical-relative:paragraph;z-index:7208;mso-wrap-distance-left:0;mso-wrap-distance-right:0" from="79.370102pt,10.799684pt" to="515.905102pt,10.799684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r>
        <w:rPr/>
        <w:pict>
          <v:rect style="position:absolute;margin-left:0pt;margin-top:99.213013pt;width:14.173pt;height:85.748pt;mso-position-horizontal-relative:page;mso-position-vertical-relative:page;z-index:9280" filled="true" fillcolor="#37617a" stroked="false">
            <v:fill type="solid"/>
            <w10:wrap type="none"/>
          </v:rect>
        </w:pict>
      </w:r>
    </w:p>
    <w:p>
      <w:pPr>
        <w:pStyle w:val="BodyText"/>
        <w:spacing w:before="7"/>
        <w:rPr>
          <w:sz w:val="33"/>
        </w:rPr>
      </w:pPr>
    </w:p>
    <w:p>
      <w:pPr>
        <w:spacing w:before="1"/>
        <w:ind w:left="100" w:right="0" w:firstLine="0"/>
        <w:jc w:val="left"/>
        <w:rPr>
          <w:b/>
          <w:sz w:val="24"/>
        </w:rPr>
      </w:pPr>
      <w:r>
        <w:rPr>
          <w:b/>
          <w:color w:val="37617A"/>
          <w:sz w:val="24"/>
        </w:rPr>
        <w:t>122</w:t>
      </w:r>
    </w:p>
    <w:p>
      <w:pPr>
        <w:pStyle w:val="ListParagraph"/>
        <w:numPr>
          <w:ilvl w:val="0"/>
          <w:numId w:val="87"/>
        </w:numPr>
        <w:tabs>
          <w:tab w:pos="893" w:val="left" w:leader="none"/>
          <w:tab w:pos="894" w:val="left" w:leader="none"/>
        </w:tabs>
        <w:spacing w:line="213" w:lineRule="auto" w:before="38" w:after="0"/>
        <w:ind w:left="893" w:right="1377" w:hanging="793"/>
        <w:jc w:val="left"/>
        <w:rPr>
          <w:i/>
          <w:sz w:val="13"/>
        </w:rPr>
      </w:pPr>
      <w:r>
        <w:rPr>
          <w:spacing w:val="3"/>
          <w:w w:val="100"/>
          <w:sz w:val="13"/>
        </w:rPr>
        <w:br w:type="column"/>
      </w:r>
      <w:r>
        <w:rPr>
          <w:sz w:val="13"/>
        </w:rPr>
        <w:t>Committee on the Rights of Persons with </w:t>
      </w:r>
      <w:r>
        <w:rPr>
          <w:spacing w:val="2"/>
          <w:sz w:val="13"/>
        </w:rPr>
        <w:t>Disabilities, </w:t>
      </w:r>
      <w:r>
        <w:rPr>
          <w:i/>
          <w:sz w:val="13"/>
        </w:rPr>
        <w:t>Views adopted by the Committee under article 5 of the Optional Protocol, </w:t>
      </w:r>
      <w:r>
        <w:rPr>
          <w:i/>
          <w:sz w:val="13"/>
        </w:rPr>
        <w:t>concerning communication No 35/2016, </w:t>
      </w:r>
      <w:r>
        <w:rPr>
          <w:sz w:val="13"/>
        </w:rPr>
        <w:t>20th sess, UN Doc CRPD/C/20/D/35/2016 </w:t>
      </w:r>
      <w:r>
        <w:rPr>
          <w:spacing w:val="2"/>
          <w:sz w:val="13"/>
        </w:rPr>
        <w:t>(31 </w:t>
      </w:r>
      <w:r>
        <w:rPr>
          <w:sz w:val="13"/>
        </w:rPr>
        <w:t>August 2018) [8(b)(i)] (‘</w:t>
      </w:r>
      <w:r>
        <w:rPr>
          <w:i/>
          <w:sz w:val="13"/>
        </w:rPr>
        <w:t>JH v Australia</w:t>
      </w:r>
      <w:r>
        <w:rPr>
          <w:sz w:val="13"/>
        </w:rPr>
        <w:t>’).    The same conclusion was reached in Committee on the Rights of Persons with </w:t>
      </w:r>
      <w:r>
        <w:rPr>
          <w:i/>
          <w:sz w:val="13"/>
        </w:rPr>
        <w:t>Disabilities, Views: Communication No 11/2013,   </w:t>
      </w:r>
      <w:r>
        <w:rPr>
          <w:sz w:val="13"/>
        </w:rPr>
        <w:t>15th sess, UN Doc CRPD/ C/15/D/11/2013 (25 May 2016) [9(b)(i)] (‘</w:t>
      </w:r>
      <w:r>
        <w:rPr>
          <w:i/>
          <w:sz w:val="13"/>
        </w:rPr>
        <w:t>Beasley v Australia</w:t>
      </w:r>
      <w:r>
        <w:rPr>
          <w:sz w:val="13"/>
        </w:rPr>
        <w:t>’) and Committee on the Rights of Persons with</w:t>
      </w:r>
      <w:r>
        <w:rPr>
          <w:spacing w:val="5"/>
          <w:sz w:val="13"/>
        </w:rPr>
        <w:t> </w:t>
      </w:r>
      <w:r>
        <w:rPr>
          <w:spacing w:val="2"/>
          <w:sz w:val="13"/>
        </w:rPr>
        <w:t>Disabilities,</w:t>
      </w:r>
      <w:r>
        <w:rPr>
          <w:spacing w:val="5"/>
          <w:sz w:val="13"/>
        </w:rPr>
        <w:t> </w:t>
      </w:r>
      <w:r>
        <w:rPr>
          <w:i/>
          <w:sz w:val="13"/>
        </w:rPr>
        <w:t>Views:</w:t>
      </w:r>
      <w:r>
        <w:rPr>
          <w:i/>
          <w:spacing w:val="5"/>
          <w:sz w:val="13"/>
        </w:rPr>
        <w:t> </w:t>
      </w:r>
      <w:r>
        <w:rPr>
          <w:i/>
          <w:sz w:val="13"/>
        </w:rPr>
        <w:t>Communication</w:t>
      </w:r>
      <w:r>
        <w:rPr>
          <w:i/>
          <w:spacing w:val="5"/>
          <w:sz w:val="13"/>
        </w:rPr>
        <w:t> </w:t>
      </w:r>
      <w:r>
        <w:rPr>
          <w:i/>
          <w:sz w:val="13"/>
        </w:rPr>
        <w:t>No</w:t>
      </w:r>
      <w:r>
        <w:rPr>
          <w:i/>
          <w:spacing w:val="5"/>
          <w:sz w:val="13"/>
        </w:rPr>
        <w:t> </w:t>
      </w:r>
      <w:r>
        <w:rPr>
          <w:i/>
          <w:sz w:val="13"/>
        </w:rPr>
        <w:t>13/2013,</w:t>
      </w:r>
      <w:r>
        <w:rPr>
          <w:i/>
          <w:spacing w:val="4"/>
          <w:sz w:val="13"/>
        </w:rPr>
        <w:t> </w:t>
      </w:r>
      <w:r>
        <w:rPr>
          <w:sz w:val="13"/>
        </w:rPr>
        <w:t>15th</w:t>
      </w:r>
      <w:r>
        <w:rPr>
          <w:spacing w:val="6"/>
          <w:sz w:val="13"/>
        </w:rPr>
        <w:t> </w:t>
      </w:r>
      <w:r>
        <w:rPr>
          <w:sz w:val="13"/>
        </w:rPr>
        <w:t>sess,</w:t>
      </w:r>
      <w:r>
        <w:rPr>
          <w:spacing w:val="5"/>
          <w:sz w:val="13"/>
        </w:rPr>
        <w:t> </w:t>
      </w:r>
      <w:r>
        <w:rPr>
          <w:sz w:val="13"/>
        </w:rPr>
        <w:t>UN</w:t>
      </w:r>
      <w:r>
        <w:rPr>
          <w:spacing w:val="5"/>
          <w:sz w:val="13"/>
        </w:rPr>
        <w:t> </w:t>
      </w:r>
      <w:r>
        <w:rPr>
          <w:sz w:val="13"/>
        </w:rPr>
        <w:t>Doc</w:t>
      </w:r>
      <w:r>
        <w:rPr>
          <w:spacing w:val="5"/>
          <w:sz w:val="13"/>
        </w:rPr>
        <w:t> </w:t>
      </w:r>
      <w:r>
        <w:rPr>
          <w:sz w:val="13"/>
        </w:rPr>
        <w:t>CRPD/C/15/D/13/2013</w:t>
      </w:r>
      <w:r>
        <w:rPr>
          <w:spacing w:val="6"/>
          <w:sz w:val="13"/>
        </w:rPr>
        <w:t> </w:t>
      </w:r>
      <w:r>
        <w:rPr>
          <w:spacing w:val="2"/>
          <w:sz w:val="13"/>
        </w:rPr>
        <w:t>(30</w:t>
      </w:r>
      <w:r>
        <w:rPr>
          <w:spacing w:val="5"/>
          <w:sz w:val="13"/>
        </w:rPr>
        <w:t> </w:t>
      </w:r>
      <w:r>
        <w:rPr>
          <w:sz w:val="13"/>
        </w:rPr>
        <w:t>May</w:t>
      </w:r>
      <w:r>
        <w:rPr>
          <w:spacing w:val="5"/>
          <w:sz w:val="13"/>
        </w:rPr>
        <w:t> </w:t>
      </w:r>
      <w:r>
        <w:rPr>
          <w:sz w:val="13"/>
        </w:rPr>
        <w:t>2016)</w:t>
      </w:r>
      <w:r>
        <w:rPr>
          <w:spacing w:val="5"/>
          <w:sz w:val="13"/>
        </w:rPr>
        <w:t> </w:t>
      </w:r>
      <w:r>
        <w:rPr>
          <w:sz w:val="13"/>
        </w:rPr>
        <w:t>[9(b)(i)]</w:t>
      </w:r>
      <w:r>
        <w:rPr>
          <w:spacing w:val="6"/>
          <w:sz w:val="13"/>
        </w:rPr>
        <w:t> </w:t>
      </w:r>
      <w:r>
        <w:rPr>
          <w:sz w:val="13"/>
        </w:rPr>
        <w:t>(‘</w:t>
      </w:r>
      <w:r>
        <w:rPr>
          <w:i/>
          <w:sz w:val="13"/>
        </w:rPr>
        <w:t>Lockrey</w:t>
      </w:r>
    </w:p>
    <w:p>
      <w:pPr>
        <w:spacing w:line="151" w:lineRule="exact" w:before="0"/>
        <w:ind w:left="893" w:right="0" w:firstLine="0"/>
        <w:jc w:val="left"/>
        <w:rPr>
          <w:sz w:val="13"/>
        </w:rPr>
      </w:pPr>
      <w:r>
        <w:rPr>
          <w:i/>
          <w:sz w:val="13"/>
        </w:rPr>
        <w:t>v Australia</w:t>
      </w:r>
      <w:r>
        <w:rPr>
          <w:sz w:val="13"/>
        </w:rPr>
        <w:t>’).</w:t>
      </w:r>
    </w:p>
    <w:p>
      <w:pPr>
        <w:pStyle w:val="ListParagraph"/>
        <w:numPr>
          <w:ilvl w:val="0"/>
          <w:numId w:val="87"/>
        </w:numPr>
        <w:tabs>
          <w:tab w:pos="893" w:val="left" w:leader="none"/>
          <w:tab w:pos="894" w:val="left" w:leader="none"/>
        </w:tabs>
        <w:spacing w:line="170" w:lineRule="exact" w:before="0" w:after="0"/>
        <w:ind w:left="893" w:right="0" w:hanging="793"/>
        <w:jc w:val="left"/>
        <w:rPr>
          <w:sz w:val="13"/>
        </w:rPr>
      </w:pPr>
      <w:r>
        <w:rPr>
          <w:sz w:val="13"/>
        </w:rPr>
        <w:t>Consultation 9 (Consultation with two Victorian County </w:t>
      </w:r>
      <w:r>
        <w:rPr>
          <w:spacing w:val="2"/>
          <w:sz w:val="13"/>
        </w:rPr>
        <w:t>Court Judges, Court policy </w:t>
      </w:r>
      <w:r>
        <w:rPr>
          <w:sz w:val="13"/>
        </w:rPr>
        <w:t>staff and two</w:t>
      </w:r>
      <w:r>
        <w:rPr>
          <w:spacing w:val="8"/>
          <w:sz w:val="13"/>
        </w:rPr>
        <w:t> </w:t>
      </w:r>
      <w:r>
        <w:rPr>
          <w:sz w:val="13"/>
        </w:rPr>
        <w:t>Associates).</w:t>
      </w:r>
    </w:p>
    <w:p>
      <w:pPr>
        <w:spacing w:after="0" w:line="170" w:lineRule="exact"/>
        <w:jc w:val="left"/>
        <w:rPr>
          <w:sz w:val="13"/>
        </w:rPr>
        <w:sectPr>
          <w:type w:val="continuous"/>
          <w:pgSz w:w="11910" w:h="16840"/>
          <w:pgMar w:top="620" w:bottom="280" w:left="620" w:right="380"/>
          <w:cols w:num="2" w:equalWidth="0">
            <w:col w:w="529" w:space="338"/>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59" w:lineRule="exact" w:before="58" w:after="0"/>
        <w:ind w:left="1761" w:right="0" w:hanging="794"/>
        <w:jc w:val="left"/>
        <w:rPr>
          <w:sz w:val="20"/>
        </w:rPr>
      </w:pPr>
      <w:bookmarkStart w:name="The Victorian jury selection process: ch" w:id="218"/>
      <w:bookmarkEnd w:id="218"/>
      <w:r>
        <w:rPr/>
      </w:r>
      <w:bookmarkStart w:name="_bookmark87" w:id="219"/>
      <w:bookmarkEnd w:id="219"/>
      <w:r>
        <w:rPr/>
      </w:r>
      <w:bookmarkStart w:name="_bookmark87" w:id="220"/>
      <w:bookmarkEnd w:id="220"/>
      <w:r>
        <w:rPr>
          <w:sz w:val="20"/>
        </w:rPr>
        <w:t>T</w:t>
      </w:r>
      <w:r>
        <w:rPr>
          <w:sz w:val="20"/>
        </w:rPr>
        <w:t>he</w:t>
      </w:r>
      <w:r>
        <w:rPr>
          <w:spacing w:val="-6"/>
          <w:sz w:val="20"/>
        </w:rPr>
        <w:t> </w:t>
      </w:r>
      <w:r>
        <w:rPr>
          <w:sz w:val="20"/>
        </w:rPr>
        <w:t>Supreme</w:t>
      </w:r>
      <w:r>
        <w:rPr>
          <w:spacing w:val="-6"/>
          <w:sz w:val="20"/>
        </w:rPr>
        <w:t> </w:t>
      </w:r>
      <w:r>
        <w:rPr>
          <w:sz w:val="20"/>
        </w:rPr>
        <w:t>Court</w:t>
      </w:r>
      <w:r>
        <w:rPr>
          <w:spacing w:val="-6"/>
          <w:sz w:val="20"/>
        </w:rPr>
        <w:t> </w:t>
      </w:r>
      <w:r>
        <w:rPr>
          <w:sz w:val="20"/>
        </w:rPr>
        <w:t>identified</w:t>
      </w:r>
      <w:r>
        <w:rPr>
          <w:spacing w:val="-6"/>
          <w:sz w:val="20"/>
        </w:rPr>
        <w:t> </w:t>
      </w:r>
      <w:r>
        <w:rPr>
          <w:sz w:val="20"/>
        </w:rPr>
        <w:t>that,</w:t>
      </w:r>
      <w:r>
        <w:rPr>
          <w:spacing w:val="-6"/>
          <w:sz w:val="20"/>
        </w:rPr>
        <w:t> </w:t>
      </w:r>
      <w:r>
        <w:rPr>
          <w:sz w:val="20"/>
        </w:rPr>
        <w:t>in</w:t>
      </w:r>
      <w:r>
        <w:rPr>
          <w:spacing w:val="-6"/>
          <w:sz w:val="20"/>
        </w:rPr>
        <w:t> </w:t>
      </w:r>
      <w:r>
        <w:rPr>
          <w:spacing w:val="-3"/>
          <w:sz w:val="20"/>
        </w:rPr>
        <w:t>developing</w:t>
      </w:r>
      <w:r>
        <w:rPr>
          <w:spacing w:val="-6"/>
          <w:sz w:val="20"/>
        </w:rPr>
        <w:t> </w:t>
      </w:r>
      <w:r>
        <w:rPr>
          <w:spacing w:val="-3"/>
          <w:sz w:val="20"/>
        </w:rPr>
        <w:t>reform</w:t>
      </w:r>
      <w:r>
        <w:rPr>
          <w:spacing w:val="-6"/>
          <w:sz w:val="20"/>
        </w:rPr>
        <w:t> </w:t>
      </w:r>
      <w:r>
        <w:rPr>
          <w:sz w:val="20"/>
        </w:rPr>
        <w:t>options,</w:t>
      </w:r>
      <w:r>
        <w:rPr>
          <w:spacing w:val="-6"/>
          <w:sz w:val="20"/>
        </w:rPr>
        <w:t> </w:t>
      </w:r>
      <w:r>
        <w:rPr>
          <w:sz w:val="20"/>
        </w:rPr>
        <w:t>there</w:t>
      </w:r>
      <w:r>
        <w:rPr>
          <w:spacing w:val="-6"/>
          <w:sz w:val="20"/>
        </w:rPr>
        <w:t> </w:t>
      </w:r>
      <w:r>
        <w:rPr>
          <w:sz w:val="20"/>
        </w:rPr>
        <w:t>will</w:t>
      </w:r>
      <w:r>
        <w:rPr>
          <w:spacing w:val="-5"/>
          <w:sz w:val="20"/>
        </w:rPr>
        <w:t> </w:t>
      </w:r>
      <w:r>
        <w:rPr>
          <w:spacing w:val="-3"/>
          <w:sz w:val="20"/>
        </w:rPr>
        <w:t>inevitably</w:t>
      </w:r>
      <w:r>
        <w:rPr>
          <w:spacing w:val="-6"/>
          <w:sz w:val="20"/>
        </w:rPr>
        <w:t> </w:t>
      </w:r>
      <w:r>
        <w:rPr>
          <w:sz w:val="20"/>
        </w:rPr>
        <w:t>be</w:t>
      </w:r>
    </w:p>
    <w:p>
      <w:pPr>
        <w:pStyle w:val="BodyText"/>
        <w:spacing w:line="259" w:lineRule="exact"/>
        <w:ind w:left="1761"/>
      </w:pPr>
      <w:r>
        <w:rPr/>
        <w:t>a tension between:</w:t>
      </w:r>
    </w:p>
    <w:p>
      <w:pPr>
        <w:pStyle w:val="ListParagraph"/>
        <w:numPr>
          <w:ilvl w:val="0"/>
          <w:numId w:val="88"/>
        </w:numPr>
        <w:tabs>
          <w:tab w:pos="2157" w:val="left" w:leader="none"/>
          <w:tab w:pos="2158" w:val="left" w:leader="none"/>
        </w:tabs>
        <w:spacing w:line="259" w:lineRule="exact" w:before="82" w:after="0"/>
        <w:ind w:left="2157" w:right="0" w:hanging="396"/>
        <w:jc w:val="left"/>
        <w:rPr>
          <w:sz w:val="20"/>
        </w:rPr>
      </w:pPr>
      <w:r>
        <w:rPr>
          <w:sz w:val="20"/>
        </w:rPr>
        <w:t>dealing</w:t>
      </w:r>
      <w:r>
        <w:rPr>
          <w:spacing w:val="-4"/>
          <w:sz w:val="20"/>
        </w:rPr>
        <w:t> </w:t>
      </w:r>
      <w:r>
        <w:rPr>
          <w:sz w:val="20"/>
        </w:rPr>
        <w:t>with</w:t>
      </w:r>
      <w:r>
        <w:rPr>
          <w:spacing w:val="-3"/>
          <w:sz w:val="20"/>
        </w:rPr>
        <w:t> </w:t>
      </w:r>
      <w:r>
        <w:rPr>
          <w:sz w:val="20"/>
        </w:rPr>
        <w:t>matters</w:t>
      </w:r>
      <w:r>
        <w:rPr>
          <w:spacing w:val="-4"/>
          <w:sz w:val="20"/>
        </w:rPr>
        <w:t> </w:t>
      </w:r>
      <w:r>
        <w:rPr>
          <w:sz w:val="20"/>
        </w:rPr>
        <w:t>as</w:t>
      </w:r>
      <w:r>
        <w:rPr>
          <w:spacing w:val="-3"/>
          <w:sz w:val="20"/>
        </w:rPr>
        <w:t> </w:t>
      </w:r>
      <w:r>
        <w:rPr>
          <w:sz w:val="20"/>
        </w:rPr>
        <w:t>far</w:t>
      </w:r>
      <w:r>
        <w:rPr>
          <w:spacing w:val="-4"/>
          <w:sz w:val="20"/>
        </w:rPr>
        <w:t> </w:t>
      </w:r>
      <w:r>
        <w:rPr>
          <w:sz w:val="20"/>
        </w:rPr>
        <w:t>in</w:t>
      </w:r>
      <w:r>
        <w:rPr>
          <w:spacing w:val="-3"/>
          <w:sz w:val="20"/>
        </w:rPr>
        <w:t> </w:t>
      </w:r>
      <w:r>
        <w:rPr>
          <w:sz w:val="20"/>
        </w:rPr>
        <w:t>advance</w:t>
      </w:r>
      <w:r>
        <w:rPr>
          <w:spacing w:val="-4"/>
          <w:sz w:val="20"/>
        </w:rPr>
        <w:t> </w:t>
      </w:r>
      <w:r>
        <w:rPr>
          <w:sz w:val="20"/>
        </w:rPr>
        <w:t>as</w:t>
      </w:r>
      <w:r>
        <w:rPr>
          <w:spacing w:val="-3"/>
          <w:sz w:val="20"/>
        </w:rPr>
        <w:t> </w:t>
      </w:r>
      <w:r>
        <w:rPr>
          <w:sz w:val="20"/>
        </w:rPr>
        <w:t>possible</w:t>
      </w:r>
      <w:r>
        <w:rPr>
          <w:spacing w:val="-4"/>
          <w:sz w:val="20"/>
        </w:rPr>
        <w:t> </w:t>
      </w:r>
      <w:r>
        <w:rPr>
          <w:sz w:val="20"/>
        </w:rPr>
        <w:t>to</w:t>
      </w:r>
      <w:r>
        <w:rPr>
          <w:spacing w:val="-3"/>
          <w:sz w:val="20"/>
        </w:rPr>
        <w:t> </w:t>
      </w:r>
      <w:r>
        <w:rPr>
          <w:sz w:val="20"/>
        </w:rPr>
        <w:t>promote</w:t>
      </w:r>
      <w:r>
        <w:rPr>
          <w:spacing w:val="-4"/>
          <w:sz w:val="20"/>
        </w:rPr>
        <w:t> </w:t>
      </w:r>
      <w:r>
        <w:rPr>
          <w:sz w:val="20"/>
        </w:rPr>
        <w:t>the</w:t>
      </w:r>
      <w:r>
        <w:rPr>
          <w:spacing w:val="-3"/>
          <w:sz w:val="20"/>
        </w:rPr>
        <w:t> </w:t>
      </w:r>
      <w:r>
        <w:rPr>
          <w:sz w:val="20"/>
        </w:rPr>
        <w:t>efficient</w:t>
      </w:r>
    </w:p>
    <w:p>
      <w:pPr>
        <w:pStyle w:val="BodyText"/>
        <w:spacing w:line="259" w:lineRule="exact"/>
        <w:ind w:left="2157"/>
      </w:pPr>
      <w:r>
        <w:rPr/>
        <w:t>administration of justice; and</w:t>
      </w:r>
    </w:p>
    <w:p>
      <w:pPr>
        <w:pStyle w:val="ListParagraph"/>
        <w:numPr>
          <w:ilvl w:val="0"/>
          <w:numId w:val="88"/>
        </w:numPr>
        <w:tabs>
          <w:tab w:pos="2157" w:val="left" w:leader="none"/>
          <w:tab w:pos="2158" w:val="left" w:leader="none"/>
        </w:tabs>
        <w:spacing w:line="206" w:lineRule="auto" w:before="80" w:after="0"/>
        <w:ind w:left="2157" w:right="1483" w:hanging="396"/>
        <w:jc w:val="left"/>
        <w:rPr>
          <w:sz w:val="11"/>
        </w:rPr>
      </w:pPr>
      <w:r>
        <w:rPr>
          <w:sz w:val="20"/>
        </w:rPr>
        <w:t>allowing</w:t>
      </w:r>
      <w:r>
        <w:rPr>
          <w:spacing w:val="-10"/>
          <w:sz w:val="20"/>
        </w:rPr>
        <w:t> </w:t>
      </w:r>
      <w:r>
        <w:rPr>
          <w:sz w:val="20"/>
        </w:rPr>
        <w:t>an</w:t>
      </w:r>
      <w:r>
        <w:rPr>
          <w:spacing w:val="-9"/>
          <w:sz w:val="20"/>
        </w:rPr>
        <w:t> </w:t>
      </w:r>
      <w:r>
        <w:rPr>
          <w:sz w:val="20"/>
        </w:rPr>
        <w:t>individual’s</w:t>
      </w:r>
      <w:r>
        <w:rPr>
          <w:spacing w:val="-10"/>
          <w:sz w:val="20"/>
        </w:rPr>
        <w:t> </w:t>
      </w:r>
      <w:r>
        <w:rPr>
          <w:sz w:val="20"/>
        </w:rPr>
        <w:t>circumstances,</w:t>
      </w:r>
      <w:r>
        <w:rPr>
          <w:spacing w:val="-9"/>
          <w:sz w:val="20"/>
        </w:rPr>
        <w:t> </w:t>
      </w:r>
      <w:r>
        <w:rPr>
          <w:sz w:val="20"/>
        </w:rPr>
        <w:t>including</w:t>
      </w:r>
      <w:r>
        <w:rPr>
          <w:spacing w:val="-10"/>
          <w:sz w:val="20"/>
        </w:rPr>
        <w:t> </w:t>
      </w:r>
      <w:r>
        <w:rPr>
          <w:sz w:val="20"/>
        </w:rPr>
        <w:t>the</w:t>
      </w:r>
      <w:r>
        <w:rPr>
          <w:spacing w:val="-9"/>
          <w:sz w:val="20"/>
        </w:rPr>
        <w:t> </w:t>
      </w:r>
      <w:r>
        <w:rPr>
          <w:sz w:val="20"/>
        </w:rPr>
        <w:t>nature</w:t>
      </w:r>
      <w:r>
        <w:rPr>
          <w:spacing w:val="-10"/>
          <w:sz w:val="20"/>
        </w:rPr>
        <w:t> </w:t>
      </w:r>
      <w:r>
        <w:rPr>
          <w:sz w:val="20"/>
        </w:rPr>
        <w:t>of</w:t>
      </w:r>
      <w:r>
        <w:rPr>
          <w:spacing w:val="-9"/>
          <w:sz w:val="20"/>
        </w:rPr>
        <w:t> </w:t>
      </w:r>
      <w:r>
        <w:rPr>
          <w:sz w:val="20"/>
        </w:rPr>
        <w:t>their</w:t>
      </w:r>
      <w:r>
        <w:rPr>
          <w:spacing w:val="-10"/>
          <w:sz w:val="20"/>
        </w:rPr>
        <w:t> </w:t>
      </w:r>
      <w:r>
        <w:rPr>
          <w:sz w:val="20"/>
        </w:rPr>
        <w:t>disability,</w:t>
      </w:r>
      <w:r>
        <w:rPr>
          <w:spacing w:val="-9"/>
          <w:sz w:val="20"/>
        </w:rPr>
        <w:t> </w:t>
      </w:r>
      <w:r>
        <w:rPr>
          <w:sz w:val="20"/>
        </w:rPr>
        <w:t>to be taken into</w:t>
      </w:r>
      <w:r>
        <w:rPr>
          <w:spacing w:val="-7"/>
          <w:sz w:val="20"/>
        </w:rPr>
        <w:t> </w:t>
      </w:r>
      <w:r>
        <w:rPr>
          <w:sz w:val="20"/>
        </w:rPr>
        <w:t>account.</w:t>
      </w:r>
      <w:r>
        <w:rPr>
          <w:position w:val="7"/>
          <w:sz w:val="11"/>
        </w:rPr>
        <w:t>3</w:t>
      </w:r>
    </w:p>
    <w:p>
      <w:pPr>
        <w:pStyle w:val="ListParagraph"/>
        <w:numPr>
          <w:ilvl w:val="1"/>
          <w:numId w:val="12"/>
        </w:numPr>
        <w:tabs>
          <w:tab w:pos="1761" w:val="left" w:leader="none"/>
          <w:tab w:pos="1762" w:val="left" w:leader="none"/>
        </w:tabs>
        <w:spacing w:line="206" w:lineRule="auto" w:before="87" w:after="0"/>
        <w:ind w:left="1761" w:right="1217" w:hanging="794"/>
        <w:jc w:val="left"/>
        <w:rPr>
          <w:sz w:val="20"/>
        </w:rPr>
      </w:pPr>
      <w:r>
        <w:rPr>
          <w:sz w:val="20"/>
        </w:rPr>
        <w:t>The number of people who might serve on Victorian juries with reasonable adjustments</w:t>
      </w:r>
      <w:r>
        <w:rPr>
          <w:spacing w:val="-10"/>
          <w:sz w:val="20"/>
        </w:rPr>
        <w:t> </w:t>
      </w:r>
      <w:r>
        <w:rPr>
          <w:sz w:val="20"/>
        </w:rPr>
        <w:t>is</w:t>
      </w:r>
      <w:r>
        <w:rPr>
          <w:spacing w:val="-10"/>
          <w:sz w:val="20"/>
        </w:rPr>
        <w:t> </w:t>
      </w:r>
      <w:r>
        <w:rPr>
          <w:spacing w:val="-3"/>
          <w:sz w:val="20"/>
        </w:rPr>
        <w:t>likely</w:t>
      </w:r>
      <w:r>
        <w:rPr>
          <w:spacing w:val="-9"/>
          <w:sz w:val="20"/>
        </w:rPr>
        <w:t> </w:t>
      </w:r>
      <w:r>
        <w:rPr>
          <w:sz w:val="20"/>
        </w:rPr>
        <w:t>to</w:t>
      </w:r>
      <w:r>
        <w:rPr>
          <w:spacing w:val="-10"/>
          <w:sz w:val="20"/>
        </w:rPr>
        <w:t> </w:t>
      </w:r>
      <w:r>
        <w:rPr>
          <w:sz w:val="20"/>
        </w:rPr>
        <w:t>increase</w:t>
      </w:r>
      <w:r>
        <w:rPr>
          <w:spacing w:val="-9"/>
          <w:sz w:val="20"/>
        </w:rPr>
        <w:t> </w:t>
      </w:r>
      <w:r>
        <w:rPr>
          <w:spacing w:val="-4"/>
          <w:sz w:val="20"/>
        </w:rPr>
        <w:t>over</w:t>
      </w:r>
      <w:r>
        <w:rPr>
          <w:spacing w:val="-10"/>
          <w:sz w:val="20"/>
        </w:rPr>
        <w:t> </w:t>
      </w:r>
      <w:r>
        <w:rPr>
          <w:sz w:val="20"/>
        </w:rPr>
        <w:t>time</w:t>
      </w:r>
      <w:r>
        <w:rPr>
          <w:spacing w:val="-9"/>
          <w:sz w:val="20"/>
        </w:rPr>
        <w:t> </w:t>
      </w:r>
      <w:r>
        <w:rPr>
          <w:sz w:val="20"/>
        </w:rPr>
        <w:t>but</w:t>
      </w:r>
      <w:r>
        <w:rPr>
          <w:spacing w:val="-10"/>
          <w:sz w:val="20"/>
        </w:rPr>
        <w:t> </w:t>
      </w:r>
      <w:r>
        <w:rPr>
          <w:sz w:val="20"/>
        </w:rPr>
        <w:t>will</w:t>
      </w:r>
      <w:r>
        <w:rPr>
          <w:spacing w:val="-10"/>
          <w:sz w:val="20"/>
        </w:rPr>
        <w:t> </w:t>
      </w:r>
      <w:r>
        <w:rPr>
          <w:sz w:val="20"/>
        </w:rPr>
        <w:t>remain</w:t>
      </w:r>
      <w:r>
        <w:rPr>
          <w:spacing w:val="-9"/>
          <w:sz w:val="20"/>
        </w:rPr>
        <w:t> </w:t>
      </w:r>
      <w:r>
        <w:rPr>
          <w:sz w:val="20"/>
        </w:rPr>
        <w:t>small.</w:t>
      </w:r>
      <w:r>
        <w:rPr>
          <w:spacing w:val="-10"/>
          <w:sz w:val="20"/>
        </w:rPr>
        <w:t> </w:t>
      </w:r>
      <w:r>
        <w:rPr>
          <w:sz w:val="20"/>
        </w:rPr>
        <w:t>Because</w:t>
      </w:r>
      <w:r>
        <w:rPr>
          <w:spacing w:val="-9"/>
          <w:sz w:val="20"/>
        </w:rPr>
        <w:t> </w:t>
      </w:r>
      <w:r>
        <w:rPr>
          <w:sz w:val="20"/>
        </w:rPr>
        <w:t>of</w:t>
      </w:r>
      <w:r>
        <w:rPr>
          <w:spacing w:val="-10"/>
          <w:sz w:val="20"/>
        </w:rPr>
        <w:t> </w:t>
      </w:r>
      <w:r>
        <w:rPr>
          <w:sz w:val="20"/>
        </w:rPr>
        <w:t>this,</w:t>
      </w:r>
      <w:r>
        <w:rPr>
          <w:spacing w:val="-9"/>
          <w:sz w:val="20"/>
        </w:rPr>
        <w:t> </w:t>
      </w:r>
      <w:r>
        <w:rPr>
          <w:sz w:val="20"/>
        </w:rPr>
        <w:t>it</w:t>
      </w:r>
      <w:r>
        <w:rPr>
          <w:spacing w:val="-10"/>
          <w:sz w:val="20"/>
        </w:rPr>
        <w:t> </w:t>
      </w:r>
      <w:r>
        <w:rPr>
          <w:sz w:val="20"/>
        </w:rPr>
        <w:t>is</w:t>
      </w:r>
      <w:r>
        <w:rPr>
          <w:spacing w:val="-10"/>
          <w:sz w:val="20"/>
        </w:rPr>
        <w:t> </w:t>
      </w:r>
      <w:r>
        <w:rPr>
          <w:sz w:val="20"/>
        </w:rPr>
        <w:t>not necessary to </w:t>
      </w:r>
      <w:r>
        <w:rPr>
          <w:spacing w:val="-3"/>
          <w:sz w:val="20"/>
        </w:rPr>
        <w:t>create </w:t>
      </w:r>
      <w:r>
        <w:rPr>
          <w:sz w:val="20"/>
        </w:rPr>
        <w:t>complicated new systems and processes. Instead of re-imagining the</w:t>
      </w:r>
      <w:r>
        <w:rPr>
          <w:spacing w:val="-7"/>
          <w:sz w:val="20"/>
        </w:rPr>
        <w:t> </w:t>
      </w:r>
      <w:r>
        <w:rPr>
          <w:spacing w:val="-3"/>
          <w:sz w:val="20"/>
        </w:rPr>
        <w:t>entire</w:t>
      </w:r>
      <w:r>
        <w:rPr>
          <w:spacing w:val="-6"/>
          <w:sz w:val="20"/>
        </w:rPr>
        <w:t> </w:t>
      </w:r>
      <w:r>
        <w:rPr>
          <w:sz w:val="20"/>
        </w:rPr>
        <w:t>jury</w:t>
      </w:r>
      <w:r>
        <w:rPr>
          <w:spacing w:val="-6"/>
          <w:sz w:val="20"/>
        </w:rPr>
        <w:t> </w:t>
      </w:r>
      <w:r>
        <w:rPr>
          <w:sz w:val="20"/>
        </w:rPr>
        <w:t>selection</w:t>
      </w:r>
      <w:r>
        <w:rPr>
          <w:spacing w:val="-7"/>
          <w:sz w:val="20"/>
        </w:rPr>
        <w:t> </w:t>
      </w:r>
      <w:r>
        <w:rPr>
          <w:sz w:val="20"/>
        </w:rPr>
        <w:t>process,</w:t>
      </w:r>
      <w:r>
        <w:rPr>
          <w:spacing w:val="-6"/>
          <w:sz w:val="20"/>
        </w:rPr>
        <w:t> </w:t>
      </w:r>
      <w:r>
        <w:rPr>
          <w:spacing w:val="-3"/>
          <w:sz w:val="20"/>
        </w:rPr>
        <w:t>reforms</w:t>
      </w:r>
      <w:r>
        <w:rPr>
          <w:spacing w:val="-6"/>
          <w:sz w:val="20"/>
        </w:rPr>
        <w:t> </w:t>
      </w:r>
      <w:r>
        <w:rPr>
          <w:sz w:val="20"/>
        </w:rPr>
        <w:t>to</w:t>
      </w:r>
      <w:r>
        <w:rPr>
          <w:spacing w:val="-6"/>
          <w:sz w:val="20"/>
        </w:rPr>
        <w:t> </w:t>
      </w:r>
      <w:r>
        <w:rPr>
          <w:spacing w:val="-3"/>
          <w:sz w:val="20"/>
        </w:rPr>
        <w:t>current</w:t>
      </w:r>
      <w:r>
        <w:rPr>
          <w:spacing w:val="-7"/>
          <w:sz w:val="20"/>
        </w:rPr>
        <w:t> </w:t>
      </w:r>
      <w:r>
        <w:rPr>
          <w:spacing w:val="-3"/>
          <w:sz w:val="20"/>
        </w:rPr>
        <w:t>procedures</w:t>
      </w:r>
      <w:r>
        <w:rPr>
          <w:spacing w:val="-6"/>
          <w:sz w:val="20"/>
        </w:rPr>
        <w:t> </w:t>
      </w:r>
      <w:r>
        <w:rPr>
          <w:sz w:val="20"/>
        </w:rPr>
        <w:t>should</w:t>
      </w:r>
      <w:r>
        <w:rPr>
          <w:spacing w:val="-6"/>
          <w:sz w:val="20"/>
        </w:rPr>
        <w:t> </w:t>
      </w:r>
      <w:r>
        <w:rPr>
          <w:sz w:val="20"/>
        </w:rPr>
        <w:t>suffice.</w:t>
      </w:r>
    </w:p>
    <w:p>
      <w:pPr>
        <w:pStyle w:val="ListParagraph"/>
        <w:numPr>
          <w:ilvl w:val="1"/>
          <w:numId w:val="12"/>
        </w:numPr>
        <w:tabs>
          <w:tab w:pos="1761" w:val="left" w:leader="none"/>
          <w:tab w:pos="1762" w:val="left" w:leader="none"/>
        </w:tabs>
        <w:spacing w:line="206" w:lineRule="auto" w:before="125" w:after="0"/>
        <w:ind w:left="1761" w:right="1207" w:hanging="794"/>
        <w:jc w:val="left"/>
        <w:rPr>
          <w:sz w:val="20"/>
        </w:rPr>
      </w:pPr>
      <w:r>
        <w:rPr>
          <w:sz w:val="20"/>
        </w:rPr>
        <w:t>This</w:t>
      </w:r>
      <w:r>
        <w:rPr>
          <w:spacing w:val="-13"/>
          <w:sz w:val="20"/>
        </w:rPr>
        <w:t> </w:t>
      </w:r>
      <w:r>
        <w:rPr>
          <w:sz w:val="20"/>
        </w:rPr>
        <w:t>chapter</w:t>
      </w:r>
      <w:r>
        <w:rPr>
          <w:spacing w:val="-12"/>
          <w:sz w:val="20"/>
        </w:rPr>
        <w:t> </w:t>
      </w:r>
      <w:r>
        <w:rPr>
          <w:sz w:val="20"/>
        </w:rPr>
        <w:t>begins</w:t>
      </w:r>
      <w:r>
        <w:rPr>
          <w:spacing w:val="-12"/>
          <w:sz w:val="20"/>
        </w:rPr>
        <w:t> </w:t>
      </w:r>
      <w:r>
        <w:rPr>
          <w:spacing w:val="-3"/>
          <w:sz w:val="20"/>
        </w:rPr>
        <w:t>by</w:t>
      </w:r>
      <w:r>
        <w:rPr>
          <w:spacing w:val="-12"/>
          <w:sz w:val="20"/>
        </w:rPr>
        <w:t> </w:t>
      </w:r>
      <w:r>
        <w:rPr>
          <w:sz w:val="20"/>
        </w:rPr>
        <w:t>considering</w:t>
      </w:r>
      <w:r>
        <w:rPr>
          <w:spacing w:val="-12"/>
          <w:sz w:val="20"/>
        </w:rPr>
        <w:t> </w:t>
      </w:r>
      <w:r>
        <w:rPr>
          <w:sz w:val="20"/>
        </w:rPr>
        <w:t>the</w:t>
      </w:r>
      <w:r>
        <w:rPr>
          <w:spacing w:val="-12"/>
          <w:sz w:val="20"/>
        </w:rPr>
        <w:t> </w:t>
      </w:r>
      <w:r>
        <w:rPr>
          <w:sz w:val="20"/>
        </w:rPr>
        <w:t>challenges</w:t>
      </w:r>
      <w:r>
        <w:rPr>
          <w:spacing w:val="-12"/>
          <w:sz w:val="20"/>
        </w:rPr>
        <w:t> </w:t>
      </w:r>
      <w:r>
        <w:rPr>
          <w:sz w:val="20"/>
        </w:rPr>
        <w:t>posed</w:t>
      </w:r>
      <w:r>
        <w:rPr>
          <w:spacing w:val="-12"/>
          <w:sz w:val="20"/>
        </w:rPr>
        <w:t> </w:t>
      </w:r>
      <w:r>
        <w:rPr>
          <w:spacing w:val="-3"/>
          <w:sz w:val="20"/>
        </w:rPr>
        <w:t>by</w:t>
      </w:r>
      <w:r>
        <w:rPr>
          <w:spacing w:val="-12"/>
          <w:sz w:val="20"/>
        </w:rPr>
        <w:t> </w:t>
      </w:r>
      <w:r>
        <w:rPr>
          <w:sz w:val="20"/>
        </w:rPr>
        <w:t>the</w:t>
      </w:r>
      <w:r>
        <w:rPr>
          <w:spacing w:val="-12"/>
          <w:sz w:val="20"/>
        </w:rPr>
        <w:t> </w:t>
      </w:r>
      <w:r>
        <w:rPr>
          <w:sz w:val="20"/>
        </w:rPr>
        <w:t>Victorian</w:t>
      </w:r>
      <w:r>
        <w:rPr>
          <w:spacing w:val="-12"/>
          <w:sz w:val="20"/>
        </w:rPr>
        <w:t> </w:t>
      </w:r>
      <w:r>
        <w:rPr>
          <w:sz w:val="20"/>
        </w:rPr>
        <w:t>jury</w:t>
      </w:r>
      <w:r>
        <w:rPr>
          <w:spacing w:val="-12"/>
          <w:sz w:val="20"/>
        </w:rPr>
        <w:t> </w:t>
      </w:r>
      <w:r>
        <w:rPr>
          <w:sz w:val="20"/>
        </w:rPr>
        <w:t>selection process.</w:t>
      </w:r>
      <w:r>
        <w:rPr>
          <w:spacing w:val="-7"/>
          <w:sz w:val="20"/>
        </w:rPr>
        <w:t> </w:t>
      </w:r>
      <w:r>
        <w:rPr>
          <w:sz w:val="20"/>
        </w:rPr>
        <w:t>It</w:t>
      </w:r>
      <w:r>
        <w:rPr>
          <w:spacing w:val="-7"/>
          <w:sz w:val="20"/>
        </w:rPr>
        <w:t> </w:t>
      </w:r>
      <w:r>
        <w:rPr>
          <w:sz w:val="20"/>
        </w:rPr>
        <w:t>then</w:t>
      </w:r>
      <w:r>
        <w:rPr>
          <w:spacing w:val="-7"/>
          <w:sz w:val="20"/>
        </w:rPr>
        <w:t> </w:t>
      </w:r>
      <w:r>
        <w:rPr>
          <w:spacing w:val="-4"/>
          <w:sz w:val="20"/>
        </w:rPr>
        <w:t>reviews</w:t>
      </w:r>
      <w:r>
        <w:rPr>
          <w:spacing w:val="-7"/>
          <w:sz w:val="20"/>
        </w:rPr>
        <w:t> </w:t>
      </w:r>
      <w:r>
        <w:rPr>
          <w:sz w:val="20"/>
        </w:rPr>
        <w:t>procedural</w:t>
      </w:r>
      <w:r>
        <w:rPr>
          <w:spacing w:val="-7"/>
          <w:sz w:val="20"/>
        </w:rPr>
        <w:t> </w:t>
      </w:r>
      <w:r>
        <w:rPr>
          <w:spacing w:val="-3"/>
          <w:sz w:val="20"/>
        </w:rPr>
        <w:t>frameworks</w:t>
      </w:r>
      <w:r>
        <w:rPr>
          <w:spacing w:val="-7"/>
          <w:sz w:val="20"/>
        </w:rPr>
        <w:t> </w:t>
      </w:r>
      <w:r>
        <w:rPr>
          <w:sz w:val="20"/>
        </w:rPr>
        <w:t>in</w:t>
      </w:r>
      <w:r>
        <w:rPr>
          <w:spacing w:val="-7"/>
          <w:sz w:val="20"/>
        </w:rPr>
        <w:t> </w:t>
      </w:r>
      <w:r>
        <w:rPr>
          <w:sz w:val="20"/>
        </w:rPr>
        <w:t>other</w:t>
      </w:r>
      <w:r>
        <w:rPr>
          <w:spacing w:val="-7"/>
          <w:sz w:val="20"/>
        </w:rPr>
        <w:t> </w:t>
      </w:r>
      <w:r>
        <w:rPr>
          <w:sz w:val="20"/>
        </w:rPr>
        <w:t>jurisdictions,</w:t>
      </w:r>
      <w:r>
        <w:rPr>
          <w:spacing w:val="-7"/>
          <w:sz w:val="20"/>
        </w:rPr>
        <w:t> </w:t>
      </w:r>
      <w:r>
        <w:rPr>
          <w:sz w:val="20"/>
        </w:rPr>
        <w:t>especially</w:t>
      </w:r>
    </w:p>
    <w:p>
      <w:pPr>
        <w:pStyle w:val="BodyText"/>
        <w:spacing w:line="206" w:lineRule="auto" w:before="3"/>
        <w:ind w:left="1761" w:right="1297"/>
      </w:pPr>
      <w:r>
        <w:rPr/>
        <w:t>the Australian Capital </w:t>
      </w:r>
      <w:r>
        <w:rPr>
          <w:spacing w:val="-3"/>
        </w:rPr>
        <w:t>Territory </w:t>
      </w:r>
      <w:r>
        <w:rPr/>
        <w:t>(ACT) and England and </w:t>
      </w:r>
      <w:r>
        <w:rPr>
          <w:spacing w:val="-3"/>
        </w:rPr>
        <w:t>Wales, </w:t>
      </w:r>
      <w:r>
        <w:rPr/>
        <w:t>where people with disabilities can serve with reasonable adjustments. The chapter </w:t>
      </w:r>
      <w:r>
        <w:rPr>
          <w:spacing w:val="-4"/>
        </w:rPr>
        <w:t>reviews </w:t>
      </w:r>
      <w:r>
        <w:rPr/>
        <w:t>the options for </w:t>
      </w:r>
      <w:r>
        <w:rPr>
          <w:spacing w:val="-3"/>
        </w:rPr>
        <w:t>reform </w:t>
      </w:r>
      <w:r>
        <w:rPr/>
        <w:t>suggested </w:t>
      </w:r>
      <w:r>
        <w:rPr>
          <w:spacing w:val="-3"/>
        </w:rPr>
        <w:t>by </w:t>
      </w:r>
      <w:r>
        <w:rPr/>
        <w:t>the Supreme Court, County Court, Juries Victoria and others.</w:t>
      </w:r>
    </w:p>
    <w:p>
      <w:pPr>
        <w:pStyle w:val="BodyText"/>
        <w:spacing w:line="206" w:lineRule="auto" w:before="4"/>
        <w:ind w:left="1761" w:right="1159"/>
      </w:pPr>
      <w:r>
        <w:rPr/>
        <w:t>The Commission then </w:t>
      </w:r>
      <w:r>
        <w:rPr>
          <w:spacing w:val="-3"/>
        </w:rPr>
        <w:t>provides </w:t>
      </w:r>
      <w:r>
        <w:rPr/>
        <w:t>recommendations on </w:t>
      </w:r>
      <w:r>
        <w:rPr>
          <w:spacing w:val="-3"/>
        </w:rPr>
        <w:t>how </w:t>
      </w:r>
      <w:r>
        <w:rPr/>
        <w:t>processes should change to enable people </w:t>
      </w:r>
      <w:r>
        <w:rPr>
          <w:spacing w:val="-3"/>
        </w:rPr>
        <w:t>from </w:t>
      </w:r>
      <w:r>
        <w:rPr/>
        <w:t>the subject groups to serve as jurors.</w:t>
      </w:r>
    </w:p>
    <w:p>
      <w:pPr>
        <w:pStyle w:val="ListParagraph"/>
        <w:numPr>
          <w:ilvl w:val="1"/>
          <w:numId w:val="12"/>
        </w:numPr>
        <w:tabs>
          <w:tab w:pos="1761" w:val="left" w:leader="none"/>
          <w:tab w:pos="1762" w:val="left" w:leader="none"/>
        </w:tabs>
        <w:spacing w:line="240" w:lineRule="auto" w:before="90" w:after="0"/>
        <w:ind w:left="1761" w:right="0" w:hanging="794"/>
        <w:jc w:val="left"/>
        <w:rPr>
          <w:sz w:val="20"/>
        </w:rPr>
      </w:pPr>
      <w:r>
        <w:rPr>
          <w:sz w:val="20"/>
        </w:rPr>
        <w:t>The Commission’s recommendations focus</w:t>
      </w:r>
      <w:r>
        <w:rPr>
          <w:spacing w:val="-19"/>
          <w:sz w:val="20"/>
        </w:rPr>
        <w:t> </w:t>
      </w:r>
      <w:r>
        <w:rPr>
          <w:sz w:val="20"/>
        </w:rPr>
        <w:t>on:</w:t>
      </w:r>
    </w:p>
    <w:p>
      <w:pPr>
        <w:pStyle w:val="ListParagraph"/>
        <w:numPr>
          <w:ilvl w:val="2"/>
          <w:numId w:val="12"/>
        </w:numPr>
        <w:tabs>
          <w:tab w:pos="2157" w:val="left" w:leader="none"/>
          <w:tab w:pos="2158" w:val="left" w:leader="none"/>
        </w:tabs>
        <w:spacing w:line="240" w:lineRule="auto" w:before="82" w:after="0"/>
        <w:ind w:left="2157" w:right="0" w:hanging="396"/>
        <w:jc w:val="left"/>
        <w:rPr>
          <w:sz w:val="20"/>
        </w:rPr>
      </w:pPr>
      <w:r>
        <w:rPr>
          <w:sz w:val="20"/>
        </w:rPr>
        <w:t>the</w:t>
      </w:r>
      <w:r>
        <w:rPr>
          <w:spacing w:val="-5"/>
          <w:sz w:val="20"/>
        </w:rPr>
        <w:t> </w:t>
      </w:r>
      <w:r>
        <w:rPr>
          <w:spacing w:val="-3"/>
          <w:sz w:val="20"/>
        </w:rPr>
        <w:t>roles</w:t>
      </w:r>
      <w:r>
        <w:rPr>
          <w:spacing w:val="-5"/>
          <w:sz w:val="20"/>
        </w:rPr>
        <w:t> </w:t>
      </w:r>
      <w:r>
        <w:rPr>
          <w:sz w:val="20"/>
        </w:rPr>
        <w:t>and</w:t>
      </w:r>
      <w:r>
        <w:rPr>
          <w:spacing w:val="-5"/>
          <w:sz w:val="20"/>
        </w:rPr>
        <w:t> </w:t>
      </w:r>
      <w:r>
        <w:rPr>
          <w:sz w:val="20"/>
        </w:rPr>
        <w:t>responsibilities</w:t>
      </w:r>
      <w:r>
        <w:rPr>
          <w:spacing w:val="-5"/>
          <w:sz w:val="20"/>
        </w:rPr>
        <w:t> </w:t>
      </w:r>
      <w:r>
        <w:rPr>
          <w:sz w:val="20"/>
        </w:rPr>
        <w:t>of</w:t>
      </w:r>
      <w:r>
        <w:rPr>
          <w:spacing w:val="-4"/>
          <w:sz w:val="20"/>
        </w:rPr>
        <w:t> </w:t>
      </w:r>
      <w:r>
        <w:rPr>
          <w:sz w:val="20"/>
        </w:rPr>
        <w:t>Juries</w:t>
      </w:r>
      <w:r>
        <w:rPr>
          <w:spacing w:val="-5"/>
          <w:sz w:val="20"/>
        </w:rPr>
        <w:t> </w:t>
      </w:r>
      <w:r>
        <w:rPr>
          <w:sz w:val="20"/>
        </w:rPr>
        <w:t>Victoria</w:t>
      </w:r>
      <w:r>
        <w:rPr>
          <w:spacing w:val="-5"/>
          <w:sz w:val="20"/>
        </w:rPr>
        <w:t> </w:t>
      </w:r>
      <w:r>
        <w:rPr>
          <w:sz w:val="20"/>
        </w:rPr>
        <w:t>and</w:t>
      </w:r>
      <w:r>
        <w:rPr>
          <w:spacing w:val="-5"/>
          <w:sz w:val="20"/>
        </w:rPr>
        <w:t> </w:t>
      </w:r>
      <w:r>
        <w:rPr>
          <w:sz w:val="20"/>
        </w:rPr>
        <w:t>the</w:t>
      </w:r>
      <w:r>
        <w:rPr>
          <w:spacing w:val="-4"/>
          <w:sz w:val="20"/>
        </w:rPr>
        <w:t> </w:t>
      </w:r>
      <w:r>
        <w:rPr>
          <w:sz w:val="20"/>
        </w:rPr>
        <w:t>courts</w:t>
      </w:r>
    </w:p>
    <w:p>
      <w:pPr>
        <w:pStyle w:val="ListParagraph"/>
        <w:numPr>
          <w:ilvl w:val="2"/>
          <w:numId w:val="12"/>
        </w:numPr>
        <w:tabs>
          <w:tab w:pos="2157" w:val="left" w:leader="none"/>
          <w:tab w:pos="2158" w:val="left" w:leader="none"/>
        </w:tabs>
        <w:spacing w:line="259" w:lineRule="exact" w:before="48" w:after="0"/>
        <w:ind w:left="2157" w:right="0" w:hanging="396"/>
        <w:jc w:val="left"/>
        <w:rPr>
          <w:sz w:val="20"/>
        </w:rPr>
      </w:pPr>
      <w:r>
        <w:rPr>
          <w:spacing w:val="-3"/>
          <w:sz w:val="20"/>
        </w:rPr>
        <w:t>how</w:t>
      </w:r>
      <w:r>
        <w:rPr>
          <w:spacing w:val="-6"/>
          <w:sz w:val="20"/>
        </w:rPr>
        <w:t> </w:t>
      </w:r>
      <w:r>
        <w:rPr>
          <w:sz w:val="20"/>
        </w:rPr>
        <w:t>to</w:t>
      </w:r>
      <w:r>
        <w:rPr>
          <w:spacing w:val="-6"/>
          <w:sz w:val="20"/>
        </w:rPr>
        <w:t> </w:t>
      </w:r>
      <w:r>
        <w:rPr>
          <w:sz w:val="20"/>
        </w:rPr>
        <w:t>fit</w:t>
      </w:r>
      <w:r>
        <w:rPr>
          <w:spacing w:val="-6"/>
          <w:sz w:val="20"/>
        </w:rPr>
        <w:t> </w:t>
      </w:r>
      <w:r>
        <w:rPr>
          <w:sz w:val="20"/>
        </w:rPr>
        <w:t>a</w:t>
      </w:r>
      <w:r>
        <w:rPr>
          <w:spacing w:val="-6"/>
          <w:sz w:val="20"/>
        </w:rPr>
        <w:t> </w:t>
      </w:r>
      <w:r>
        <w:rPr>
          <w:sz w:val="20"/>
        </w:rPr>
        <w:t>judicial</w:t>
      </w:r>
      <w:r>
        <w:rPr>
          <w:spacing w:val="-6"/>
          <w:sz w:val="20"/>
        </w:rPr>
        <w:t> </w:t>
      </w:r>
      <w:r>
        <w:rPr>
          <w:sz w:val="20"/>
        </w:rPr>
        <w:t>assessment</w:t>
      </w:r>
      <w:r>
        <w:rPr>
          <w:spacing w:val="-5"/>
          <w:sz w:val="20"/>
        </w:rPr>
        <w:t> </w:t>
      </w:r>
      <w:r>
        <w:rPr>
          <w:sz w:val="20"/>
        </w:rPr>
        <w:t>of</w:t>
      </w:r>
      <w:r>
        <w:rPr>
          <w:spacing w:val="-6"/>
          <w:sz w:val="20"/>
        </w:rPr>
        <w:t> </w:t>
      </w:r>
      <w:r>
        <w:rPr>
          <w:sz w:val="20"/>
        </w:rPr>
        <w:t>the</w:t>
      </w:r>
      <w:r>
        <w:rPr>
          <w:spacing w:val="-6"/>
          <w:sz w:val="20"/>
        </w:rPr>
        <w:t> </w:t>
      </w:r>
      <w:r>
        <w:rPr>
          <w:spacing w:val="-3"/>
          <w:sz w:val="20"/>
        </w:rPr>
        <w:t>provision</w:t>
      </w:r>
      <w:r>
        <w:rPr>
          <w:spacing w:val="-6"/>
          <w:sz w:val="20"/>
        </w:rPr>
        <w:t> </w:t>
      </w:r>
      <w:r>
        <w:rPr>
          <w:sz w:val="20"/>
        </w:rPr>
        <w:t>of</w:t>
      </w:r>
      <w:r>
        <w:rPr>
          <w:spacing w:val="-6"/>
          <w:sz w:val="20"/>
        </w:rPr>
        <w:t> </w:t>
      </w:r>
      <w:r>
        <w:rPr>
          <w:sz w:val="20"/>
        </w:rPr>
        <w:t>reasonable</w:t>
      </w:r>
      <w:r>
        <w:rPr>
          <w:spacing w:val="-6"/>
          <w:sz w:val="20"/>
        </w:rPr>
        <w:t> </w:t>
      </w:r>
      <w:r>
        <w:rPr>
          <w:sz w:val="20"/>
        </w:rPr>
        <w:t>adjustments</w:t>
      </w:r>
      <w:r>
        <w:rPr>
          <w:spacing w:val="-5"/>
          <w:sz w:val="20"/>
        </w:rPr>
        <w:t> </w:t>
      </w:r>
      <w:r>
        <w:rPr>
          <w:spacing w:val="-3"/>
          <w:sz w:val="20"/>
        </w:rPr>
        <w:t>into</w:t>
      </w:r>
      <w:r>
        <w:rPr>
          <w:spacing w:val="-6"/>
          <w:sz w:val="20"/>
        </w:rPr>
        <w:t> </w:t>
      </w:r>
      <w:r>
        <w:rPr>
          <w:sz w:val="20"/>
        </w:rPr>
        <w:t>the</w:t>
      </w:r>
    </w:p>
    <w:p>
      <w:pPr>
        <w:pStyle w:val="BodyText"/>
        <w:spacing w:line="259" w:lineRule="exact"/>
        <w:ind w:left="2157"/>
      </w:pPr>
      <w:r>
        <w:rPr/>
        <w:t>existing jury selection process</w:t>
      </w:r>
    </w:p>
    <w:p>
      <w:pPr>
        <w:pStyle w:val="ListParagraph"/>
        <w:numPr>
          <w:ilvl w:val="2"/>
          <w:numId w:val="12"/>
        </w:numPr>
        <w:tabs>
          <w:tab w:pos="2157" w:val="left" w:leader="none"/>
          <w:tab w:pos="2158" w:val="left" w:leader="none"/>
        </w:tabs>
        <w:spacing w:line="206" w:lineRule="auto" w:before="80" w:after="0"/>
        <w:ind w:left="2157" w:right="1334" w:hanging="396"/>
        <w:jc w:val="left"/>
        <w:rPr>
          <w:sz w:val="20"/>
        </w:rPr>
      </w:pPr>
      <w:r>
        <w:rPr>
          <w:sz w:val="20"/>
        </w:rPr>
        <w:t>what</w:t>
      </w:r>
      <w:r>
        <w:rPr>
          <w:spacing w:val="-13"/>
          <w:sz w:val="20"/>
        </w:rPr>
        <w:t> </w:t>
      </w:r>
      <w:r>
        <w:rPr>
          <w:sz w:val="20"/>
        </w:rPr>
        <w:t>information</w:t>
      </w:r>
      <w:r>
        <w:rPr>
          <w:spacing w:val="-13"/>
          <w:sz w:val="20"/>
        </w:rPr>
        <w:t> </w:t>
      </w:r>
      <w:r>
        <w:rPr>
          <w:sz w:val="20"/>
        </w:rPr>
        <w:t>the</w:t>
      </w:r>
      <w:r>
        <w:rPr>
          <w:spacing w:val="-13"/>
          <w:sz w:val="20"/>
        </w:rPr>
        <w:t> </w:t>
      </w:r>
      <w:r>
        <w:rPr>
          <w:sz w:val="20"/>
        </w:rPr>
        <w:t>court</w:t>
      </w:r>
      <w:r>
        <w:rPr>
          <w:spacing w:val="-12"/>
          <w:sz w:val="20"/>
        </w:rPr>
        <w:t> </w:t>
      </w:r>
      <w:r>
        <w:rPr>
          <w:sz w:val="20"/>
        </w:rPr>
        <w:t>should</w:t>
      </w:r>
      <w:r>
        <w:rPr>
          <w:spacing w:val="-13"/>
          <w:sz w:val="20"/>
        </w:rPr>
        <w:t> </w:t>
      </w:r>
      <w:r>
        <w:rPr>
          <w:spacing w:val="-3"/>
          <w:sz w:val="20"/>
        </w:rPr>
        <w:t>provide</w:t>
      </w:r>
      <w:r>
        <w:rPr>
          <w:spacing w:val="-13"/>
          <w:sz w:val="20"/>
        </w:rPr>
        <w:t> </w:t>
      </w:r>
      <w:r>
        <w:rPr>
          <w:sz w:val="20"/>
        </w:rPr>
        <w:t>to</w:t>
      </w:r>
      <w:r>
        <w:rPr>
          <w:spacing w:val="-12"/>
          <w:sz w:val="20"/>
        </w:rPr>
        <w:t> </w:t>
      </w:r>
      <w:r>
        <w:rPr>
          <w:sz w:val="20"/>
        </w:rPr>
        <w:t>counsel</w:t>
      </w:r>
      <w:r>
        <w:rPr>
          <w:spacing w:val="-13"/>
          <w:sz w:val="20"/>
        </w:rPr>
        <w:t> </w:t>
      </w:r>
      <w:r>
        <w:rPr>
          <w:sz w:val="20"/>
        </w:rPr>
        <w:t>and</w:t>
      </w:r>
      <w:r>
        <w:rPr>
          <w:spacing w:val="-13"/>
          <w:sz w:val="20"/>
        </w:rPr>
        <w:t> </w:t>
      </w:r>
      <w:r>
        <w:rPr>
          <w:sz w:val="20"/>
        </w:rPr>
        <w:t>jurors</w:t>
      </w:r>
      <w:r>
        <w:rPr>
          <w:spacing w:val="-12"/>
          <w:sz w:val="20"/>
        </w:rPr>
        <w:t> </w:t>
      </w:r>
      <w:r>
        <w:rPr>
          <w:sz w:val="20"/>
        </w:rPr>
        <w:t>about</w:t>
      </w:r>
      <w:r>
        <w:rPr>
          <w:spacing w:val="-13"/>
          <w:sz w:val="20"/>
        </w:rPr>
        <w:t> </w:t>
      </w:r>
      <w:r>
        <w:rPr>
          <w:sz w:val="20"/>
        </w:rPr>
        <w:t>reasonable adjustments.</w:t>
      </w:r>
    </w:p>
    <w:p>
      <w:pPr>
        <w:spacing w:before="193"/>
        <w:ind w:left="967" w:right="0" w:firstLine="0"/>
        <w:jc w:val="left"/>
        <w:rPr>
          <w:rFonts w:ascii="Raleway ExtraBold"/>
          <w:b/>
          <w:sz w:val="28"/>
        </w:rPr>
      </w:pPr>
      <w:r>
        <w:rPr>
          <w:rFonts w:ascii="Raleway ExtraBold"/>
          <w:b/>
          <w:color w:val="37617A"/>
          <w:sz w:val="28"/>
        </w:rPr>
        <w:t>The Victorian jury selection process: challenges for reform</w:t>
      </w:r>
    </w:p>
    <w:p>
      <w:pPr>
        <w:pStyle w:val="ListParagraph"/>
        <w:numPr>
          <w:ilvl w:val="1"/>
          <w:numId w:val="12"/>
        </w:numPr>
        <w:tabs>
          <w:tab w:pos="1761" w:val="left" w:leader="none"/>
          <w:tab w:pos="1762" w:val="left" w:leader="none"/>
        </w:tabs>
        <w:spacing w:line="206" w:lineRule="auto" w:before="146" w:after="0"/>
        <w:ind w:left="1761" w:right="1330" w:hanging="794"/>
        <w:jc w:val="left"/>
        <w:rPr>
          <w:sz w:val="20"/>
        </w:rPr>
      </w:pPr>
      <w:r>
        <w:rPr>
          <w:sz w:val="20"/>
        </w:rPr>
        <w:t>The</w:t>
      </w:r>
      <w:r>
        <w:rPr>
          <w:spacing w:val="-14"/>
          <w:sz w:val="20"/>
        </w:rPr>
        <w:t> </w:t>
      </w:r>
      <w:r>
        <w:rPr>
          <w:sz w:val="20"/>
        </w:rPr>
        <w:t>Victorian</w:t>
      </w:r>
      <w:r>
        <w:rPr>
          <w:spacing w:val="-14"/>
          <w:sz w:val="20"/>
        </w:rPr>
        <w:t> </w:t>
      </w:r>
      <w:r>
        <w:rPr>
          <w:sz w:val="20"/>
        </w:rPr>
        <w:t>jury</w:t>
      </w:r>
      <w:r>
        <w:rPr>
          <w:spacing w:val="-14"/>
          <w:sz w:val="20"/>
        </w:rPr>
        <w:t> </w:t>
      </w:r>
      <w:r>
        <w:rPr>
          <w:sz w:val="20"/>
        </w:rPr>
        <w:t>selection</w:t>
      </w:r>
      <w:r>
        <w:rPr>
          <w:spacing w:val="-14"/>
          <w:sz w:val="20"/>
        </w:rPr>
        <w:t> </w:t>
      </w:r>
      <w:r>
        <w:rPr>
          <w:sz w:val="20"/>
        </w:rPr>
        <w:t>process</w:t>
      </w:r>
      <w:r>
        <w:rPr>
          <w:spacing w:val="-13"/>
          <w:sz w:val="20"/>
        </w:rPr>
        <w:t> </w:t>
      </w:r>
      <w:r>
        <w:rPr>
          <w:sz w:val="20"/>
        </w:rPr>
        <w:t>presents</w:t>
      </w:r>
      <w:r>
        <w:rPr>
          <w:spacing w:val="-14"/>
          <w:sz w:val="20"/>
        </w:rPr>
        <w:t> </w:t>
      </w:r>
      <w:r>
        <w:rPr>
          <w:spacing w:val="-3"/>
          <w:sz w:val="20"/>
        </w:rPr>
        <w:t>several</w:t>
      </w:r>
      <w:r>
        <w:rPr>
          <w:spacing w:val="-14"/>
          <w:sz w:val="20"/>
        </w:rPr>
        <w:t> </w:t>
      </w:r>
      <w:r>
        <w:rPr>
          <w:sz w:val="20"/>
        </w:rPr>
        <w:t>challenges</w:t>
      </w:r>
      <w:r>
        <w:rPr>
          <w:spacing w:val="-14"/>
          <w:sz w:val="20"/>
        </w:rPr>
        <w:t> </w:t>
      </w:r>
      <w:r>
        <w:rPr>
          <w:sz w:val="20"/>
        </w:rPr>
        <w:t>for</w:t>
      </w:r>
      <w:r>
        <w:rPr>
          <w:spacing w:val="-13"/>
          <w:sz w:val="20"/>
        </w:rPr>
        <w:t> </w:t>
      </w:r>
      <w:r>
        <w:rPr>
          <w:sz w:val="20"/>
        </w:rPr>
        <w:t>implementing</w:t>
      </w:r>
      <w:r>
        <w:rPr>
          <w:spacing w:val="-14"/>
          <w:sz w:val="20"/>
        </w:rPr>
        <w:t> </w:t>
      </w:r>
      <w:r>
        <w:rPr>
          <w:sz w:val="20"/>
        </w:rPr>
        <w:t>our recommendations:</w:t>
      </w:r>
    </w:p>
    <w:p>
      <w:pPr>
        <w:pStyle w:val="ListParagraph"/>
        <w:numPr>
          <w:ilvl w:val="0"/>
          <w:numId w:val="89"/>
        </w:numPr>
        <w:tabs>
          <w:tab w:pos="2157" w:val="left" w:leader="none"/>
          <w:tab w:pos="2158" w:val="left" w:leader="none"/>
        </w:tabs>
        <w:spacing w:line="240" w:lineRule="auto" w:before="90" w:after="0"/>
        <w:ind w:left="2157" w:right="0" w:hanging="396"/>
        <w:jc w:val="left"/>
        <w:rPr>
          <w:sz w:val="20"/>
        </w:rPr>
      </w:pPr>
      <w:r>
        <w:rPr>
          <w:sz w:val="20"/>
        </w:rPr>
        <w:t>It is difficult to plan in</w:t>
      </w:r>
      <w:r>
        <w:rPr>
          <w:spacing w:val="-15"/>
          <w:sz w:val="20"/>
        </w:rPr>
        <w:t> </w:t>
      </w:r>
      <w:r>
        <w:rPr>
          <w:sz w:val="20"/>
        </w:rPr>
        <w:t>advance.</w:t>
      </w:r>
    </w:p>
    <w:p>
      <w:pPr>
        <w:pStyle w:val="ListParagraph"/>
        <w:numPr>
          <w:ilvl w:val="0"/>
          <w:numId w:val="89"/>
        </w:numPr>
        <w:tabs>
          <w:tab w:pos="2157" w:val="left" w:leader="none"/>
          <w:tab w:pos="2158" w:val="left" w:leader="none"/>
        </w:tabs>
        <w:spacing w:line="240" w:lineRule="auto" w:before="47" w:after="0"/>
        <w:ind w:left="2157" w:right="0" w:hanging="396"/>
        <w:jc w:val="left"/>
        <w:rPr>
          <w:sz w:val="20"/>
        </w:rPr>
      </w:pPr>
      <w:r>
        <w:rPr>
          <w:sz w:val="20"/>
        </w:rPr>
        <w:t>The Victorian courts are</w:t>
      </w:r>
      <w:r>
        <w:rPr>
          <w:spacing w:val="-9"/>
          <w:sz w:val="20"/>
        </w:rPr>
        <w:t> </w:t>
      </w:r>
      <w:r>
        <w:rPr>
          <w:spacing w:val="-3"/>
          <w:sz w:val="20"/>
        </w:rPr>
        <w:t>busy.</w:t>
      </w:r>
    </w:p>
    <w:p>
      <w:pPr>
        <w:pStyle w:val="ListParagraph"/>
        <w:numPr>
          <w:ilvl w:val="0"/>
          <w:numId w:val="89"/>
        </w:numPr>
        <w:tabs>
          <w:tab w:pos="2157" w:val="left" w:leader="none"/>
          <w:tab w:pos="2158" w:val="left" w:leader="none"/>
        </w:tabs>
        <w:spacing w:line="240" w:lineRule="auto" w:before="48" w:after="0"/>
        <w:ind w:left="2157" w:right="0" w:hanging="396"/>
        <w:jc w:val="left"/>
        <w:rPr>
          <w:sz w:val="20"/>
        </w:rPr>
      </w:pPr>
      <w:r>
        <w:rPr>
          <w:sz w:val="20"/>
        </w:rPr>
        <w:t>The Supreme and County Courts’ case management systems operate</w:t>
      </w:r>
      <w:r>
        <w:rPr>
          <w:spacing w:val="-25"/>
          <w:sz w:val="20"/>
        </w:rPr>
        <w:t> </w:t>
      </w:r>
      <w:r>
        <w:rPr>
          <w:spacing w:val="-3"/>
          <w:sz w:val="20"/>
        </w:rPr>
        <w:t>differently.</w:t>
      </w:r>
    </w:p>
    <w:p>
      <w:pPr>
        <w:pStyle w:val="ListParagraph"/>
        <w:numPr>
          <w:ilvl w:val="0"/>
          <w:numId w:val="89"/>
        </w:numPr>
        <w:tabs>
          <w:tab w:pos="2157" w:val="left" w:leader="none"/>
          <w:tab w:pos="2158" w:val="left" w:leader="none"/>
        </w:tabs>
        <w:spacing w:line="240" w:lineRule="auto" w:before="47" w:after="0"/>
        <w:ind w:left="2157" w:right="0" w:hanging="396"/>
        <w:jc w:val="left"/>
        <w:rPr>
          <w:sz w:val="20"/>
        </w:rPr>
      </w:pPr>
      <w:r>
        <w:rPr>
          <w:sz w:val="20"/>
        </w:rPr>
        <w:t>Regional courts </w:t>
      </w:r>
      <w:r>
        <w:rPr>
          <w:spacing w:val="-3"/>
          <w:sz w:val="20"/>
        </w:rPr>
        <w:t>have </w:t>
      </w:r>
      <w:r>
        <w:rPr>
          <w:sz w:val="20"/>
        </w:rPr>
        <w:t>varying levels of</w:t>
      </w:r>
      <w:r>
        <w:rPr>
          <w:spacing w:val="-11"/>
          <w:sz w:val="20"/>
        </w:rPr>
        <w:t> </w:t>
      </w:r>
      <w:r>
        <w:rPr>
          <w:sz w:val="20"/>
        </w:rPr>
        <w:t>accessibility.</w:t>
      </w:r>
    </w:p>
    <w:p>
      <w:pPr>
        <w:pStyle w:val="ListParagraph"/>
        <w:numPr>
          <w:ilvl w:val="1"/>
          <w:numId w:val="12"/>
        </w:numPr>
        <w:tabs>
          <w:tab w:pos="1761" w:val="left" w:leader="none"/>
          <w:tab w:pos="1762" w:val="left" w:leader="none"/>
        </w:tabs>
        <w:spacing w:line="206" w:lineRule="auto" w:before="80" w:after="0"/>
        <w:ind w:left="1761" w:right="1519" w:hanging="794"/>
        <w:jc w:val="left"/>
        <w:rPr>
          <w:sz w:val="20"/>
        </w:rPr>
      </w:pPr>
      <w:r>
        <w:rPr>
          <w:sz w:val="20"/>
        </w:rPr>
        <w:t>These</w:t>
      </w:r>
      <w:r>
        <w:rPr>
          <w:spacing w:val="-11"/>
          <w:sz w:val="20"/>
        </w:rPr>
        <w:t> </w:t>
      </w:r>
      <w:r>
        <w:rPr>
          <w:sz w:val="20"/>
        </w:rPr>
        <w:t>challenges</w:t>
      </w:r>
      <w:r>
        <w:rPr>
          <w:spacing w:val="-10"/>
          <w:sz w:val="20"/>
        </w:rPr>
        <w:t> </w:t>
      </w:r>
      <w:r>
        <w:rPr>
          <w:spacing w:val="-3"/>
          <w:sz w:val="20"/>
        </w:rPr>
        <w:t>are</w:t>
      </w:r>
      <w:r>
        <w:rPr>
          <w:spacing w:val="-10"/>
          <w:sz w:val="20"/>
        </w:rPr>
        <w:t> </w:t>
      </w:r>
      <w:r>
        <w:rPr>
          <w:sz w:val="20"/>
        </w:rPr>
        <w:t>discussed</w:t>
      </w:r>
      <w:r>
        <w:rPr>
          <w:spacing w:val="-10"/>
          <w:sz w:val="20"/>
        </w:rPr>
        <w:t> </w:t>
      </w:r>
      <w:r>
        <w:rPr>
          <w:sz w:val="20"/>
        </w:rPr>
        <w:t>in</w:t>
      </w:r>
      <w:r>
        <w:rPr>
          <w:spacing w:val="-11"/>
          <w:sz w:val="20"/>
        </w:rPr>
        <w:t> </w:t>
      </w:r>
      <w:r>
        <w:rPr>
          <w:sz w:val="20"/>
        </w:rPr>
        <w:t>the</w:t>
      </w:r>
      <w:r>
        <w:rPr>
          <w:spacing w:val="-10"/>
          <w:sz w:val="20"/>
        </w:rPr>
        <w:t> </w:t>
      </w:r>
      <w:r>
        <w:rPr>
          <w:spacing w:val="-3"/>
          <w:sz w:val="20"/>
        </w:rPr>
        <w:t>following</w:t>
      </w:r>
      <w:r>
        <w:rPr>
          <w:spacing w:val="-10"/>
          <w:sz w:val="20"/>
        </w:rPr>
        <w:t> </w:t>
      </w:r>
      <w:r>
        <w:rPr>
          <w:sz w:val="20"/>
        </w:rPr>
        <w:t>paragraphs.</w:t>
      </w:r>
      <w:r>
        <w:rPr>
          <w:spacing w:val="-10"/>
          <w:sz w:val="20"/>
        </w:rPr>
        <w:t> </w:t>
      </w:r>
      <w:r>
        <w:rPr>
          <w:sz w:val="20"/>
        </w:rPr>
        <w:t>Court</w:t>
      </w:r>
      <w:r>
        <w:rPr>
          <w:spacing w:val="-11"/>
          <w:sz w:val="20"/>
        </w:rPr>
        <w:t> </w:t>
      </w:r>
      <w:r>
        <w:rPr>
          <w:sz w:val="20"/>
        </w:rPr>
        <w:t>accessibility</w:t>
      </w:r>
      <w:r>
        <w:rPr>
          <w:spacing w:val="-10"/>
          <w:sz w:val="20"/>
        </w:rPr>
        <w:t> </w:t>
      </w:r>
      <w:r>
        <w:rPr>
          <w:sz w:val="20"/>
        </w:rPr>
        <w:t>was discussed in </w:t>
      </w:r>
      <w:r>
        <w:rPr>
          <w:spacing w:val="-2"/>
          <w:sz w:val="20"/>
        </w:rPr>
        <w:t>Chapter</w:t>
      </w:r>
      <w:r>
        <w:rPr>
          <w:spacing w:val="-13"/>
          <w:sz w:val="20"/>
        </w:rPr>
        <w:t> </w:t>
      </w:r>
      <w:r>
        <w:rPr>
          <w:sz w:val="20"/>
        </w:rPr>
        <w:t>11.</w:t>
      </w:r>
    </w:p>
    <w:p>
      <w:pPr>
        <w:spacing w:before="161"/>
        <w:ind w:left="967" w:right="0" w:firstLine="0"/>
        <w:jc w:val="left"/>
        <w:rPr>
          <w:b/>
          <w:sz w:val="24"/>
        </w:rPr>
      </w:pPr>
      <w:r>
        <w:rPr>
          <w:b/>
          <w:sz w:val="24"/>
        </w:rPr>
        <w:t>It is difficult to plan in advance</w:t>
      </w:r>
    </w:p>
    <w:p>
      <w:pPr>
        <w:pStyle w:val="ListParagraph"/>
        <w:numPr>
          <w:ilvl w:val="1"/>
          <w:numId w:val="12"/>
        </w:numPr>
        <w:tabs>
          <w:tab w:pos="1761" w:val="left" w:leader="none"/>
          <w:tab w:pos="1762" w:val="left" w:leader="none"/>
        </w:tabs>
        <w:spacing w:line="206" w:lineRule="auto" w:before="127" w:after="0"/>
        <w:ind w:left="1761" w:right="1749" w:hanging="794"/>
        <w:jc w:val="left"/>
        <w:rPr>
          <w:sz w:val="20"/>
        </w:rPr>
      </w:pPr>
      <w:r>
        <w:rPr>
          <w:sz w:val="20"/>
        </w:rPr>
        <w:t>Reasonable</w:t>
      </w:r>
      <w:r>
        <w:rPr>
          <w:spacing w:val="-9"/>
          <w:sz w:val="20"/>
        </w:rPr>
        <w:t> </w:t>
      </w:r>
      <w:r>
        <w:rPr>
          <w:sz w:val="20"/>
        </w:rPr>
        <w:t>adjustments</w:t>
      </w:r>
      <w:r>
        <w:rPr>
          <w:spacing w:val="-9"/>
          <w:sz w:val="20"/>
        </w:rPr>
        <w:t> </w:t>
      </w:r>
      <w:r>
        <w:rPr>
          <w:spacing w:val="-3"/>
          <w:sz w:val="20"/>
        </w:rPr>
        <w:t>may</w:t>
      </w:r>
      <w:r>
        <w:rPr>
          <w:spacing w:val="-8"/>
          <w:sz w:val="20"/>
        </w:rPr>
        <w:t> </w:t>
      </w:r>
      <w:r>
        <w:rPr>
          <w:sz w:val="20"/>
        </w:rPr>
        <w:t>need</w:t>
      </w:r>
      <w:r>
        <w:rPr>
          <w:spacing w:val="-9"/>
          <w:sz w:val="20"/>
        </w:rPr>
        <w:t> </w:t>
      </w:r>
      <w:r>
        <w:rPr>
          <w:sz w:val="20"/>
        </w:rPr>
        <w:t>to</w:t>
      </w:r>
      <w:r>
        <w:rPr>
          <w:spacing w:val="-9"/>
          <w:sz w:val="20"/>
        </w:rPr>
        <w:t> </w:t>
      </w:r>
      <w:r>
        <w:rPr>
          <w:sz w:val="20"/>
        </w:rPr>
        <w:t>be</w:t>
      </w:r>
      <w:r>
        <w:rPr>
          <w:spacing w:val="-8"/>
          <w:sz w:val="20"/>
        </w:rPr>
        <w:t> </w:t>
      </w:r>
      <w:r>
        <w:rPr>
          <w:spacing w:val="-3"/>
          <w:sz w:val="20"/>
        </w:rPr>
        <w:t>provided</w:t>
      </w:r>
      <w:r>
        <w:rPr>
          <w:spacing w:val="-9"/>
          <w:sz w:val="20"/>
        </w:rPr>
        <w:t> </w:t>
      </w:r>
      <w:r>
        <w:rPr>
          <w:sz w:val="20"/>
        </w:rPr>
        <w:t>during</w:t>
      </w:r>
      <w:r>
        <w:rPr>
          <w:spacing w:val="-9"/>
          <w:sz w:val="20"/>
        </w:rPr>
        <w:t> </w:t>
      </w:r>
      <w:r>
        <w:rPr>
          <w:sz w:val="20"/>
        </w:rPr>
        <w:t>three</w:t>
      </w:r>
      <w:r>
        <w:rPr>
          <w:spacing w:val="-8"/>
          <w:sz w:val="20"/>
        </w:rPr>
        <w:t> </w:t>
      </w:r>
      <w:r>
        <w:rPr>
          <w:sz w:val="20"/>
        </w:rPr>
        <w:t>stages</w:t>
      </w:r>
      <w:r>
        <w:rPr>
          <w:spacing w:val="-9"/>
          <w:sz w:val="20"/>
        </w:rPr>
        <w:t> </w:t>
      </w:r>
      <w:r>
        <w:rPr>
          <w:sz w:val="20"/>
        </w:rPr>
        <w:t>of</w:t>
      </w:r>
      <w:r>
        <w:rPr>
          <w:spacing w:val="-8"/>
          <w:sz w:val="20"/>
        </w:rPr>
        <w:t> </w:t>
      </w:r>
      <w:r>
        <w:rPr>
          <w:sz w:val="20"/>
        </w:rPr>
        <w:t>the</w:t>
      </w:r>
      <w:r>
        <w:rPr>
          <w:spacing w:val="-9"/>
          <w:sz w:val="20"/>
        </w:rPr>
        <w:t> </w:t>
      </w:r>
      <w:r>
        <w:rPr>
          <w:sz w:val="20"/>
        </w:rPr>
        <w:t>jury selection</w:t>
      </w:r>
      <w:r>
        <w:rPr>
          <w:spacing w:val="-5"/>
          <w:sz w:val="20"/>
        </w:rPr>
        <w:t> </w:t>
      </w:r>
      <w:r>
        <w:rPr>
          <w:spacing w:val="-3"/>
          <w:sz w:val="20"/>
        </w:rPr>
        <w:t>process:</w:t>
      </w:r>
    </w:p>
    <w:p>
      <w:pPr>
        <w:pStyle w:val="ListParagraph"/>
        <w:numPr>
          <w:ilvl w:val="0"/>
          <w:numId w:val="90"/>
        </w:numPr>
        <w:tabs>
          <w:tab w:pos="2157" w:val="left" w:leader="none"/>
          <w:tab w:pos="2158" w:val="left" w:leader="none"/>
        </w:tabs>
        <w:spacing w:line="206" w:lineRule="auto" w:before="122" w:after="0"/>
        <w:ind w:left="2157" w:right="1868" w:hanging="396"/>
        <w:jc w:val="left"/>
        <w:rPr>
          <w:sz w:val="20"/>
        </w:rPr>
      </w:pPr>
      <w:r>
        <w:rPr>
          <w:i/>
          <w:sz w:val="20"/>
        </w:rPr>
        <w:t>The</w:t>
      </w:r>
      <w:r>
        <w:rPr>
          <w:i/>
          <w:spacing w:val="-6"/>
          <w:sz w:val="20"/>
        </w:rPr>
        <w:t> </w:t>
      </w:r>
      <w:r>
        <w:rPr>
          <w:i/>
          <w:sz w:val="20"/>
        </w:rPr>
        <w:t>early</w:t>
      </w:r>
      <w:r>
        <w:rPr>
          <w:i/>
          <w:spacing w:val="-5"/>
          <w:sz w:val="20"/>
        </w:rPr>
        <w:t> </w:t>
      </w:r>
      <w:r>
        <w:rPr>
          <w:i/>
          <w:sz w:val="20"/>
        </w:rPr>
        <w:t>stage</w:t>
      </w:r>
      <w:r>
        <w:rPr>
          <w:sz w:val="20"/>
        </w:rPr>
        <w:t>—the</w:t>
      </w:r>
      <w:r>
        <w:rPr>
          <w:spacing w:val="-5"/>
          <w:sz w:val="20"/>
        </w:rPr>
        <w:t> </w:t>
      </w:r>
      <w:r>
        <w:rPr>
          <w:sz w:val="20"/>
        </w:rPr>
        <w:t>person</w:t>
      </w:r>
      <w:r>
        <w:rPr>
          <w:spacing w:val="-5"/>
          <w:sz w:val="20"/>
        </w:rPr>
        <w:t> </w:t>
      </w:r>
      <w:r>
        <w:rPr>
          <w:sz w:val="20"/>
        </w:rPr>
        <w:t>attends</w:t>
      </w:r>
      <w:r>
        <w:rPr>
          <w:spacing w:val="-6"/>
          <w:sz w:val="20"/>
        </w:rPr>
        <w:t> </w:t>
      </w:r>
      <w:r>
        <w:rPr>
          <w:sz w:val="20"/>
        </w:rPr>
        <w:t>court</w:t>
      </w:r>
      <w:r>
        <w:rPr>
          <w:spacing w:val="-5"/>
          <w:sz w:val="20"/>
        </w:rPr>
        <w:t> </w:t>
      </w:r>
      <w:r>
        <w:rPr>
          <w:sz w:val="20"/>
        </w:rPr>
        <w:t>in</w:t>
      </w:r>
      <w:r>
        <w:rPr>
          <w:spacing w:val="-5"/>
          <w:sz w:val="20"/>
        </w:rPr>
        <w:t> </w:t>
      </w:r>
      <w:r>
        <w:rPr>
          <w:sz w:val="20"/>
        </w:rPr>
        <w:t>response</w:t>
      </w:r>
      <w:r>
        <w:rPr>
          <w:spacing w:val="-5"/>
          <w:sz w:val="20"/>
        </w:rPr>
        <w:t> </w:t>
      </w:r>
      <w:r>
        <w:rPr>
          <w:sz w:val="20"/>
        </w:rPr>
        <w:t>to</w:t>
      </w:r>
      <w:r>
        <w:rPr>
          <w:spacing w:val="-6"/>
          <w:sz w:val="20"/>
        </w:rPr>
        <w:t> </w:t>
      </w:r>
      <w:r>
        <w:rPr>
          <w:sz w:val="20"/>
        </w:rPr>
        <w:t>a</w:t>
      </w:r>
      <w:r>
        <w:rPr>
          <w:spacing w:val="-5"/>
          <w:sz w:val="20"/>
        </w:rPr>
        <w:t> </w:t>
      </w:r>
      <w:r>
        <w:rPr>
          <w:sz w:val="20"/>
        </w:rPr>
        <w:t>summons</w:t>
      </w:r>
      <w:r>
        <w:rPr>
          <w:spacing w:val="-5"/>
          <w:sz w:val="20"/>
        </w:rPr>
        <w:t> </w:t>
      </w:r>
      <w:r>
        <w:rPr>
          <w:sz w:val="20"/>
        </w:rPr>
        <w:t>and</w:t>
      </w:r>
      <w:r>
        <w:rPr>
          <w:spacing w:val="-5"/>
          <w:sz w:val="20"/>
        </w:rPr>
        <w:t> </w:t>
      </w:r>
      <w:r>
        <w:rPr>
          <w:sz w:val="20"/>
        </w:rPr>
        <w:t>is briefed </w:t>
      </w:r>
      <w:r>
        <w:rPr>
          <w:spacing w:val="-3"/>
          <w:sz w:val="20"/>
        </w:rPr>
        <w:t>by </w:t>
      </w:r>
      <w:r>
        <w:rPr>
          <w:sz w:val="20"/>
        </w:rPr>
        <w:t>Juries Victoria, </w:t>
      </w:r>
      <w:r>
        <w:rPr>
          <w:spacing w:val="-2"/>
          <w:sz w:val="20"/>
        </w:rPr>
        <w:t>excuses </w:t>
      </w:r>
      <w:r>
        <w:rPr>
          <w:sz w:val="20"/>
        </w:rPr>
        <w:t>are called for and people are randomly balloted to a</w:t>
      </w:r>
      <w:r>
        <w:rPr>
          <w:spacing w:val="-7"/>
          <w:sz w:val="20"/>
        </w:rPr>
        <w:t> </w:t>
      </w:r>
      <w:r>
        <w:rPr>
          <w:sz w:val="20"/>
        </w:rPr>
        <w:t>panel.</w:t>
      </w:r>
    </w:p>
    <w:p>
      <w:pPr>
        <w:pStyle w:val="ListParagraph"/>
        <w:numPr>
          <w:ilvl w:val="0"/>
          <w:numId w:val="90"/>
        </w:numPr>
        <w:tabs>
          <w:tab w:pos="2157" w:val="left" w:leader="none"/>
          <w:tab w:pos="2158" w:val="left" w:leader="none"/>
        </w:tabs>
        <w:spacing w:line="206" w:lineRule="auto" w:before="89" w:after="0"/>
        <w:ind w:left="2157" w:right="1255" w:hanging="396"/>
        <w:jc w:val="left"/>
        <w:rPr>
          <w:sz w:val="20"/>
        </w:rPr>
      </w:pPr>
      <w:r>
        <w:rPr>
          <w:i/>
          <w:sz w:val="20"/>
        </w:rPr>
        <w:t>The</w:t>
      </w:r>
      <w:r>
        <w:rPr>
          <w:i/>
          <w:spacing w:val="-5"/>
          <w:sz w:val="20"/>
        </w:rPr>
        <w:t> </w:t>
      </w:r>
      <w:r>
        <w:rPr>
          <w:i/>
          <w:sz w:val="20"/>
        </w:rPr>
        <w:t>middle</w:t>
      </w:r>
      <w:r>
        <w:rPr>
          <w:i/>
          <w:spacing w:val="-5"/>
          <w:sz w:val="20"/>
        </w:rPr>
        <w:t> </w:t>
      </w:r>
      <w:r>
        <w:rPr>
          <w:i/>
          <w:sz w:val="20"/>
        </w:rPr>
        <w:t>stage</w:t>
      </w:r>
      <w:r>
        <w:rPr>
          <w:sz w:val="20"/>
        </w:rPr>
        <w:t>—the</w:t>
      </w:r>
      <w:r>
        <w:rPr>
          <w:spacing w:val="-6"/>
          <w:sz w:val="20"/>
        </w:rPr>
        <w:t> </w:t>
      </w:r>
      <w:r>
        <w:rPr>
          <w:sz w:val="20"/>
        </w:rPr>
        <w:t>potential</w:t>
      </w:r>
      <w:r>
        <w:rPr>
          <w:spacing w:val="-5"/>
          <w:sz w:val="20"/>
        </w:rPr>
        <w:t> </w:t>
      </w:r>
      <w:r>
        <w:rPr>
          <w:sz w:val="20"/>
        </w:rPr>
        <w:t>juror</w:t>
      </w:r>
      <w:r>
        <w:rPr>
          <w:spacing w:val="-5"/>
          <w:sz w:val="20"/>
        </w:rPr>
        <w:t> </w:t>
      </w:r>
      <w:r>
        <w:rPr>
          <w:spacing w:val="-3"/>
          <w:sz w:val="20"/>
        </w:rPr>
        <w:t>moves</w:t>
      </w:r>
      <w:r>
        <w:rPr>
          <w:spacing w:val="-5"/>
          <w:sz w:val="20"/>
        </w:rPr>
        <w:t> </w:t>
      </w:r>
      <w:r>
        <w:rPr>
          <w:sz w:val="20"/>
        </w:rPr>
        <w:t>to</w:t>
      </w:r>
      <w:r>
        <w:rPr>
          <w:spacing w:val="-5"/>
          <w:sz w:val="20"/>
        </w:rPr>
        <w:t> </w:t>
      </w:r>
      <w:r>
        <w:rPr>
          <w:sz w:val="20"/>
        </w:rPr>
        <w:t>the</w:t>
      </w:r>
      <w:r>
        <w:rPr>
          <w:spacing w:val="-5"/>
          <w:sz w:val="20"/>
        </w:rPr>
        <w:t> </w:t>
      </w:r>
      <w:r>
        <w:rPr>
          <w:sz w:val="20"/>
        </w:rPr>
        <w:t>courtroom</w:t>
      </w:r>
      <w:r>
        <w:rPr>
          <w:spacing w:val="-5"/>
          <w:sz w:val="20"/>
        </w:rPr>
        <w:t> </w:t>
      </w:r>
      <w:r>
        <w:rPr>
          <w:sz w:val="20"/>
        </w:rPr>
        <w:t>as</w:t>
      </w:r>
      <w:r>
        <w:rPr>
          <w:spacing w:val="-5"/>
          <w:sz w:val="20"/>
        </w:rPr>
        <w:t> </w:t>
      </w:r>
      <w:r>
        <w:rPr>
          <w:sz w:val="20"/>
        </w:rPr>
        <w:t>part</w:t>
      </w:r>
      <w:r>
        <w:rPr>
          <w:spacing w:val="-5"/>
          <w:sz w:val="20"/>
        </w:rPr>
        <w:t> </w:t>
      </w:r>
      <w:r>
        <w:rPr>
          <w:sz w:val="20"/>
        </w:rPr>
        <w:t>of</w:t>
      </w:r>
      <w:r>
        <w:rPr>
          <w:spacing w:val="-5"/>
          <w:sz w:val="20"/>
        </w:rPr>
        <w:t> </w:t>
      </w:r>
      <w:r>
        <w:rPr>
          <w:sz w:val="20"/>
        </w:rPr>
        <w:t>a</w:t>
      </w:r>
      <w:r>
        <w:rPr>
          <w:spacing w:val="-5"/>
          <w:sz w:val="20"/>
        </w:rPr>
        <w:t> </w:t>
      </w:r>
      <w:r>
        <w:rPr>
          <w:sz w:val="20"/>
        </w:rPr>
        <w:t>panel</w:t>
      </w:r>
      <w:r>
        <w:rPr>
          <w:spacing w:val="-5"/>
          <w:sz w:val="20"/>
        </w:rPr>
        <w:t> </w:t>
      </w:r>
      <w:r>
        <w:rPr>
          <w:sz w:val="20"/>
        </w:rPr>
        <w:t>to hear information about the upcoming trial, and may again seek to be excused. At this</w:t>
      </w:r>
      <w:r>
        <w:rPr>
          <w:spacing w:val="-7"/>
          <w:sz w:val="20"/>
        </w:rPr>
        <w:t> </w:t>
      </w:r>
      <w:r>
        <w:rPr>
          <w:sz w:val="20"/>
        </w:rPr>
        <w:t>stage</w:t>
      </w:r>
      <w:r>
        <w:rPr>
          <w:spacing w:val="-6"/>
          <w:sz w:val="20"/>
        </w:rPr>
        <w:t> </w:t>
      </w:r>
      <w:r>
        <w:rPr>
          <w:sz w:val="20"/>
        </w:rPr>
        <w:t>the</w:t>
      </w:r>
      <w:r>
        <w:rPr>
          <w:spacing w:val="-6"/>
          <w:sz w:val="20"/>
        </w:rPr>
        <w:t> </w:t>
      </w:r>
      <w:r>
        <w:rPr>
          <w:sz w:val="20"/>
        </w:rPr>
        <w:t>potential</w:t>
      </w:r>
      <w:r>
        <w:rPr>
          <w:spacing w:val="-7"/>
          <w:sz w:val="20"/>
        </w:rPr>
        <w:t> </w:t>
      </w:r>
      <w:r>
        <w:rPr>
          <w:sz w:val="20"/>
        </w:rPr>
        <w:t>juror</w:t>
      </w:r>
      <w:r>
        <w:rPr>
          <w:spacing w:val="-6"/>
          <w:sz w:val="20"/>
        </w:rPr>
        <w:t> </w:t>
      </w:r>
      <w:r>
        <w:rPr>
          <w:sz w:val="20"/>
        </w:rPr>
        <w:t>might</w:t>
      </w:r>
      <w:r>
        <w:rPr>
          <w:spacing w:val="-6"/>
          <w:sz w:val="20"/>
        </w:rPr>
        <w:t> </w:t>
      </w:r>
      <w:r>
        <w:rPr>
          <w:sz w:val="20"/>
        </w:rPr>
        <w:t>be</w:t>
      </w:r>
      <w:r>
        <w:rPr>
          <w:spacing w:val="-7"/>
          <w:sz w:val="20"/>
        </w:rPr>
        <w:t> </w:t>
      </w:r>
      <w:r>
        <w:rPr>
          <w:sz w:val="20"/>
        </w:rPr>
        <w:t>‘challenged</w:t>
      </w:r>
      <w:r>
        <w:rPr>
          <w:spacing w:val="-6"/>
          <w:sz w:val="20"/>
        </w:rPr>
        <w:t> </w:t>
      </w:r>
      <w:r>
        <w:rPr>
          <w:sz w:val="20"/>
        </w:rPr>
        <w:t>off’</w:t>
      </w:r>
      <w:r>
        <w:rPr>
          <w:spacing w:val="-6"/>
          <w:sz w:val="20"/>
        </w:rPr>
        <w:t> </w:t>
      </w:r>
      <w:r>
        <w:rPr>
          <w:spacing w:val="-3"/>
          <w:sz w:val="20"/>
        </w:rPr>
        <w:t>by</w:t>
      </w:r>
      <w:r>
        <w:rPr>
          <w:spacing w:val="-6"/>
          <w:sz w:val="20"/>
        </w:rPr>
        <w:t> </w:t>
      </w:r>
      <w:r>
        <w:rPr>
          <w:sz w:val="20"/>
        </w:rPr>
        <w:t>the</w:t>
      </w:r>
      <w:r>
        <w:rPr>
          <w:spacing w:val="-7"/>
          <w:sz w:val="20"/>
        </w:rPr>
        <w:t> </w:t>
      </w:r>
      <w:r>
        <w:rPr>
          <w:sz w:val="20"/>
        </w:rPr>
        <w:t>accused</w:t>
      </w:r>
      <w:r>
        <w:rPr>
          <w:spacing w:val="-6"/>
          <w:sz w:val="20"/>
        </w:rPr>
        <w:t> </w:t>
      </w:r>
      <w:r>
        <w:rPr>
          <w:sz w:val="20"/>
        </w:rPr>
        <w:t>through</w:t>
      </w:r>
      <w:r>
        <w:rPr>
          <w:spacing w:val="-6"/>
          <w:sz w:val="20"/>
        </w:rPr>
        <w:t> </w:t>
      </w:r>
      <w:r>
        <w:rPr>
          <w:sz w:val="20"/>
        </w:rPr>
        <w:t>the peremptory challenge process or stood aside </w:t>
      </w:r>
      <w:r>
        <w:rPr>
          <w:spacing w:val="-3"/>
          <w:sz w:val="20"/>
        </w:rPr>
        <w:t>by </w:t>
      </w:r>
      <w:r>
        <w:rPr>
          <w:sz w:val="20"/>
        </w:rPr>
        <w:t>the</w:t>
      </w:r>
      <w:r>
        <w:rPr>
          <w:spacing w:val="-20"/>
          <w:sz w:val="20"/>
        </w:rPr>
        <w:t> </w:t>
      </w:r>
      <w:r>
        <w:rPr>
          <w:sz w:val="20"/>
        </w:rPr>
        <w:t>Crown.</w:t>
      </w:r>
    </w:p>
    <w:p>
      <w:pPr>
        <w:pStyle w:val="ListParagraph"/>
        <w:numPr>
          <w:ilvl w:val="0"/>
          <w:numId w:val="90"/>
        </w:numPr>
        <w:tabs>
          <w:tab w:pos="2157" w:val="left" w:leader="none"/>
          <w:tab w:pos="2158" w:val="left" w:leader="none"/>
        </w:tabs>
        <w:spacing w:line="206" w:lineRule="auto" w:before="90" w:after="0"/>
        <w:ind w:left="2157" w:right="1703" w:hanging="396"/>
        <w:jc w:val="left"/>
        <w:rPr>
          <w:sz w:val="20"/>
        </w:rPr>
      </w:pPr>
      <w:r>
        <w:rPr>
          <w:i/>
          <w:sz w:val="20"/>
        </w:rPr>
        <w:t>The</w:t>
      </w:r>
      <w:r>
        <w:rPr>
          <w:i/>
          <w:spacing w:val="-6"/>
          <w:sz w:val="20"/>
        </w:rPr>
        <w:t> </w:t>
      </w:r>
      <w:r>
        <w:rPr>
          <w:i/>
          <w:sz w:val="20"/>
        </w:rPr>
        <w:t>final</w:t>
      </w:r>
      <w:r>
        <w:rPr>
          <w:i/>
          <w:spacing w:val="-5"/>
          <w:sz w:val="20"/>
        </w:rPr>
        <w:t> </w:t>
      </w:r>
      <w:r>
        <w:rPr>
          <w:i/>
          <w:sz w:val="20"/>
        </w:rPr>
        <w:t>stage</w:t>
      </w:r>
      <w:r>
        <w:rPr>
          <w:sz w:val="20"/>
        </w:rPr>
        <w:t>—the</w:t>
      </w:r>
      <w:r>
        <w:rPr>
          <w:spacing w:val="-6"/>
          <w:sz w:val="20"/>
        </w:rPr>
        <w:t> </w:t>
      </w:r>
      <w:r>
        <w:rPr>
          <w:sz w:val="20"/>
        </w:rPr>
        <w:t>person</w:t>
      </w:r>
      <w:r>
        <w:rPr>
          <w:spacing w:val="-5"/>
          <w:sz w:val="20"/>
        </w:rPr>
        <w:t> </w:t>
      </w:r>
      <w:r>
        <w:rPr>
          <w:sz w:val="20"/>
        </w:rPr>
        <w:t>has</w:t>
      </w:r>
      <w:r>
        <w:rPr>
          <w:spacing w:val="-5"/>
          <w:sz w:val="20"/>
        </w:rPr>
        <w:t> </w:t>
      </w:r>
      <w:r>
        <w:rPr>
          <w:sz w:val="20"/>
        </w:rPr>
        <w:t>been</w:t>
      </w:r>
      <w:r>
        <w:rPr>
          <w:spacing w:val="-6"/>
          <w:sz w:val="20"/>
        </w:rPr>
        <w:t> </w:t>
      </w:r>
      <w:r>
        <w:rPr>
          <w:sz w:val="20"/>
        </w:rPr>
        <w:t>selected</w:t>
      </w:r>
      <w:r>
        <w:rPr>
          <w:spacing w:val="-5"/>
          <w:sz w:val="20"/>
        </w:rPr>
        <w:t> </w:t>
      </w:r>
      <w:r>
        <w:rPr>
          <w:sz w:val="20"/>
        </w:rPr>
        <w:t>to</w:t>
      </w:r>
      <w:r>
        <w:rPr>
          <w:spacing w:val="-6"/>
          <w:sz w:val="20"/>
        </w:rPr>
        <w:t> </w:t>
      </w:r>
      <w:r>
        <w:rPr>
          <w:sz w:val="20"/>
        </w:rPr>
        <w:t>serve</w:t>
      </w:r>
      <w:r>
        <w:rPr>
          <w:spacing w:val="-5"/>
          <w:sz w:val="20"/>
        </w:rPr>
        <w:t> </w:t>
      </w:r>
      <w:r>
        <w:rPr>
          <w:sz w:val="20"/>
        </w:rPr>
        <w:t>as</w:t>
      </w:r>
      <w:r>
        <w:rPr>
          <w:spacing w:val="-6"/>
          <w:sz w:val="20"/>
        </w:rPr>
        <w:t> </w:t>
      </w:r>
      <w:r>
        <w:rPr>
          <w:sz w:val="20"/>
        </w:rPr>
        <w:t>a</w:t>
      </w:r>
      <w:r>
        <w:rPr>
          <w:spacing w:val="-5"/>
          <w:sz w:val="20"/>
        </w:rPr>
        <w:t> </w:t>
      </w:r>
      <w:r>
        <w:rPr>
          <w:sz w:val="20"/>
        </w:rPr>
        <w:t>juror</w:t>
      </w:r>
      <w:r>
        <w:rPr>
          <w:spacing w:val="-5"/>
          <w:sz w:val="20"/>
        </w:rPr>
        <w:t> </w:t>
      </w:r>
      <w:r>
        <w:rPr>
          <w:sz w:val="20"/>
        </w:rPr>
        <w:t>and</w:t>
      </w:r>
      <w:r>
        <w:rPr>
          <w:spacing w:val="-6"/>
          <w:sz w:val="20"/>
        </w:rPr>
        <w:t> </w:t>
      </w:r>
      <w:r>
        <w:rPr>
          <w:sz w:val="20"/>
        </w:rPr>
        <w:t>the</w:t>
      </w:r>
      <w:r>
        <w:rPr>
          <w:spacing w:val="-5"/>
          <w:sz w:val="20"/>
        </w:rPr>
        <w:t> </w:t>
      </w:r>
      <w:r>
        <w:rPr>
          <w:sz w:val="20"/>
        </w:rPr>
        <w:t>trial commences.</w:t>
      </w:r>
    </w:p>
    <w:p>
      <w:pPr>
        <w:pStyle w:val="BodyText"/>
      </w:pPr>
    </w:p>
    <w:p>
      <w:pPr>
        <w:pStyle w:val="BodyText"/>
      </w:pPr>
    </w:p>
    <w:p>
      <w:pPr>
        <w:pStyle w:val="BodyText"/>
      </w:pPr>
    </w:p>
    <w:p>
      <w:pPr>
        <w:pStyle w:val="BodyText"/>
        <w:spacing w:before="2" w:after="1"/>
        <w:rPr>
          <w:sz w:val="13"/>
        </w:rPr>
      </w:pPr>
    </w:p>
    <w:p>
      <w:pPr>
        <w:pStyle w:val="BodyText"/>
        <w:spacing w:line="20" w:lineRule="exact"/>
        <w:ind w:left="957"/>
        <w:rPr>
          <w:sz w:val="2"/>
        </w:rPr>
      </w:pPr>
      <w:r>
        <w:rPr>
          <w:sz w:val="2"/>
        </w:rPr>
        <w:pict>
          <v:group style="width:436.55pt;height:1pt;mso-position-horizontal-relative:char;mso-position-vertical-relative:line" coordorigin="0,0" coordsize="8731,20">
            <v:line style="position:absolute" from="0,10" to="8731,10" stroked="true" strokeweight="1pt" strokecolor="#b6bdc8">
              <v:stroke dashstyle="solid"/>
            </v:line>
          </v:group>
        </w:pict>
      </w:r>
      <w:r>
        <w:rPr>
          <w:sz w:val="2"/>
        </w:rPr>
      </w:r>
    </w:p>
    <w:p>
      <w:pPr>
        <w:spacing w:after="0" w:line="20" w:lineRule="exact"/>
        <w:rPr>
          <w:sz w:val="2"/>
        </w:rPr>
        <w:sectPr>
          <w:headerReference w:type="default" r:id="rId184"/>
          <w:headerReference w:type="even" r:id="rId185"/>
          <w:pgSz w:w="11910" w:h="16840"/>
          <w:pgMar w:header="0" w:footer="0" w:top="840" w:bottom="280" w:left="620" w:right="380"/>
        </w:sectPr>
      </w:pPr>
    </w:p>
    <w:p>
      <w:pPr>
        <w:pStyle w:val="ListParagraph"/>
        <w:numPr>
          <w:ilvl w:val="0"/>
          <w:numId w:val="87"/>
        </w:numPr>
        <w:tabs>
          <w:tab w:pos="1760" w:val="left" w:leader="none"/>
          <w:tab w:pos="1762" w:val="left" w:leader="none"/>
        </w:tabs>
        <w:spacing w:line="240" w:lineRule="auto" w:before="120" w:after="0"/>
        <w:ind w:left="1761" w:right="0" w:hanging="794"/>
        <w:jc w:val="left"/>
        <w:rPr>
          <w:sz w:val="13"/>
        </w:rPr>
      </w:pPr>
      <w:r>
        <w:rPr>
          <w:spacing w:val="2"/>
          <w:sz w:val="13"/>
        </w:rPr>
        <w:t>Submission </w:t>
      </w:r>
      <w:r>
        <w:rPr>
          <w:sz w:val="13"/>
        </w:rPr>
        <w:t>11 (Supreme </w:t>
      </w:r>
      <w:r>
        <w:rPr>
          <w:spacing w:val="2"/>
          <w:sz w:val="13"/>
        </w:rPr>
        <w:t>Court </w:t>
      </w:r>
      <w:r>
        <w:rPr>
          <w:sz w:val="13"/>
        </w:rPr>
        <w:t>of</w:t>
      </w:r>
      <w:r>
        <w:rPr>
          <w:spacing w:val="24"/>
          <w:sz w:val="13"/>
        </w:rPr>
        <w:t> </w:t>
      </w:r>
      <w:r>
        <w:rPr>
          <w:sz w:val="13"/>
        </w:rPr>
        <w:t>Victoria).</w:t>
      </w:r>
    </w:p>
    <w:p>
      <w:pPr>
        <w:spacing w:line="326" w:lineRule="exact" w:before="0"/>
        <w:ind w:left="967" w:right="0" w:firstLine="0"/>
        <w:jc w:val="left"/>
        <w:rPr>
          <w:b/>
          <w:sz w:val="24"/>
        </w:rPr>
      </w:pPr>
      <w:r>
        <w:rPr/>
        <w:br w:type="column"/>
      </w:r>
      <w:r>
        <w:rPr>
          <w:b/>
          <w:color w:val="37617A"/>
          <w:sz w:val="24"/>
        </w:rPr>
        <w:t>123</w:t>
      </w:r>
    </w:p>
    <w:p>
      <w:pPr>
        <w:spacing w:after="0" w:line="326" w:lineRule="exact"/>
        <w:jc w:val="left"/>
        <w:rPr>
          <w:sz w:val="24"/>
        </w:rPr>
        <w:sectPr>
          <w:type w:val="continuous"/>
          <w:pgSz w:w="11910" w:h="16840"/>
          <w:pgMar w:top="620" w:bottom="280" w:left="620" w:right="380"/>
          <w:cols w:num="2" w:equalWidth="0">
            <w:col w:w="4408" w:space="4925"/>
            <w:col w:w="1577"/>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1" w:val="left" w:leader="none"/>
          <w:tab w:pos="1762" w:val="left" w:leader="none"/>
        </w:tabs>
        <w:spacing w:line="206" w:lineRule="auto" w:before="0" w:after="0"/>
        <w:ind w:left="1761" w:right="1401" w:hanging="794"/>
        <w:jc w:val="left"/>
        <w:rPr>
          <w:sz w:val="20"/>
        </w:rPr>
      </w:pPr>
      <w:bookmarkStart w:name="_bookmark88" w:id="221"/>
      <w:bookmarkEnd w:id="221"/>
      <w:r>
        <w:rPr/>
      </w:r>
      <w:bookmarkStart w:name="_bookmark88" w:id="222"/>
      <w:bookmarkEnd w:id="222"/>
      <w:r>
        <w:rPr>
          <w:sz w:val="20"/>
        </w:rPr>
        <w:t>T</w:t>
      </w:r>
      <w:r>
        <w:rPr>
          <w:sz w:val="20"/>
        </w:rPr>
        <w:t>he jury selection process </w:t>
      </w:r>
      <w:r>
        <w:rPr>
          <w:spacing w:val="-3"/>
          <w:sz w:val="20"/>
        </w:rPr>
        <w:t>makes </w:t>
      </w:r>
      <w:r>
        <w:rPr>
          <w:sz w:val="20"/>
        </w:rPr>
        <w:t>it difficult to plan for the </w:t>
      </w:r>
      <w:r>
        <w:rPr>
          <w:spacing w:val="-3"/>
          <w:sz w:val="20"/>
        </w:rPr>
        <w:t>provision </w:t>
      </w:r>
      <w:r>
        <w:rPr>
          <w:sz w:val="20"/>
        </w:rPr>
        <w:t>of reasonable adjustments because it is hard to know whether the adjustments will be needed for trial</w:t>
      </w:r>
      <w:r>
        <w:rPr>
          <w:spacing w:val="-10"/>
          <w:sz w:val="20"/>
        </w:rPr>
        <w:t> </w:t>
      </w:r>
      <w:r>
        <w:rPr>
          <w:sz w:val="20"/>
        </w:rPr>
        <w:t>as</w:t>
      </w:r>
      <w:r>
        <w:rPr>
          <w:spacing w:val="-10"/>
          <w:sz w:val="20"/>
        </w:rPr>
        <w:t> </w:t>
      </w:r>
      <w:r>
        <w:rPr>
          <w:sz w:val="20"/>
        </w:rPr>
        <w:t>well</w:t>
      </w:r>
      <w:r>
        <w:rPr>
          <w:spacing w:val="-10"/>
          <w:sz w:val="20"/>
        </w:rPr>
        <w:t> </w:t>
      </w:r>
      <w:r>
        <w:rPr>
          <w:sz w:val="20"/>
        </w:rPr>
        <w:t>as</w:t>
      </w:r>
      <w:r>
        <w:rPr>
          <w:spacing w:val="-10"/>
          <w:sz w:val="20"/>
        </w:rPr>
        <w:t> </w:t>
      </w:r>
      <w:r>
        <w:rPr>
          <w:sz w:val="20"/>
        </w:rPr>
        <w:t>the</w:t>
      </w:r>
      <w:r>
        <w:rPr>
          <w:spacing w:val="-10"/>
          <w:sz w:val="20"/>
        </w:rPr>
        <w:t> </w:t>
      </w:r>
      <w:r>
        <w:rPr>
          <w:sz w:val="20"/>
        </w:rPr>
        <w:t>empanelment</w:t>
      </w:r>
      <w:r>
        <w:rPr>
          <w:spacing w:val="-10"/>
          <w:sz w:val="20"/>
        </w:rPr>
        <w:t> </w:t>
      </w:r>
      <w:r>
        <w:rPr>
          <w:sz w:val="20"/>
        </w:rPr>
        <w:t>process.</w:t>
      </w:r>
      <w:r>
        <w:rPr>
          <w:spacing w:val="-10"/>
          <w:sz w:val="20"/>
        </w:rPr>
        <w:t> </w:t>
      </w:r>
      <w:r>
        <w:rPr>
          <w:sz w:val="20"/>
        </w:rPr>
        <w:t>The</w:t>
      </w:r>
      <w:r>
        <w:rPr>
          <w:spacing w:val="-10"/>
          <w:sz w:val="20"/>
        </w:rPr>
        <w:t> </w:t>
      </w:r>
      <w:r>
        <w:rPr>
          <w:sz w:val="20"/>
        </w:rPr>
        <w:t>person</w:t>
      </w:r>
      <w:r>
        <w:rPr>
          <w:spacing w:val="-10"/>
          <w:sz w:val="20"/>
        </w:rPr>
        <w:t> </w:t>
      </w:r>
      <w:r>
        <w:rPr>
          <w:sz w:val="20"/>
        </w:rPr>
        <w:t>in</w:t>
      </w:r>
      <w:r>
        <w:rPr>
          <w:spacing w:val="-10"/>
          <w:sz w:val="20"/>
        </w:rPr>
        <w:t> </w:t>
      </w:r>
      <w:r>
        <w:rPr>
          <w:sz w:val="20"/>
        </w:rPr>
        <w:t>the</w:t>
      </w:r>
      <w:r>
        <w:rPr>
          <w:spacing w:val="-10"/>
          <w:sz w:val="20"/>
        </w:rPr>
        <w:t> </w:t>
      </w:r>
      <w:r>
        <w:rPr>
          <w:sz w:val="20"/>
        </w:rPr>
        <w:t>subject</w:t>
      </w:r>
      <w:r>
        <w:rPr>
          <w:spacing w:val="-10"/>
          <w:sz w:val="20"/>
        </w:rPr>
        <w:t> </w:t>
      </w:r>
      <w:r>
        <w:rPr>
          <w:sz w:val="20"/>
        </w:rPr>
        <w:t>groups</w:t>
      </w:r>
      <w:r>
        <w:rPr>
          <w:spacing w:val="-10"/>
          <w:sz w:val="20"/>
        </w:rPr>
        <w:t> </w:t>
      </w:r>
      <w:r>
        <w:rPr>
          <w:spacing w:val="-3"/>
          <w:sz w:val="20"/>
        </w:rPr>
        <w:t>may</w:t>
      </w:r>
      <w:r>
        <w:rPr>
          <w:spacing w:val="-9"/>
          <w:sz w:val="20"/>
        </w:rPr>
        <w:t> </w:t>
      </w:r>
      <w:r>
        <w:rPr>
          <w:sz w:val="20"/>
        </w:rPr>
        <w:t>seek to be </w:t>
      </w:r>
      <w:r>
        <w:rPr>
          <w:spacing w:val="-3"/>
          <w:sz w:val="20"/>
        </w:rPr>
        <w:t>excused </w:t>
      </w:r>
      <w:r>
        <w:rPr>
          <w:sz w:val="20"/>
        </w:rPr>
        <w:t>or </w:t>
      </w:r>
      <w:r>
        <w:rPr>
          <w:spacing w:val="-4"/>
          <w:sz w:val="20"/>
        </w:rPr>
        <w:t>have </w:t>
      </w:r>
      <w:r>
        <w:rPr>
          <w:sz w:val="20"/>
        </w:rPr>
        <w:t>their jury service deferred at multiple points in the selection process.</w:t>
      </w:r>
      <w:r>
        <w:rPr>
          <w:spacing w:val="-11"/>
          <w:sz w:val="20"/>
        </w:rPr>
        <w:t> </w:t>
      </w:r>
      <w:r>
        <w:rPr>
          <w:sz w:val="20"/>
        </w:rPr>
        <w:t>The</w:t>
      </w:r>
      <w:r>
        <w:rPr>
          <w:spacing w:val="-11"/>
          <w:sz w:val="20"/>
        </w:rPr>
        <w:t> </w:t>
      </w:r>
      <w:r>
        <w:rPr>
          <w:sz w:val="20"/>
        </w:rPr>
        <w:t>prospective</w:t>
      </w:r>
      <w:r>
        <w:rPr>
          <w:spacing w:val="-11"/>
          <w:sz w:val="20"/>
        </w:rPr>
        <w:t> </w:t>
      </w:r>
      <w:r>
        <w:rPr>
          <w:sz w:val="20"/>
        </w:rPr>
        <w:t>juror</w:t>
      </w:r>
      <w:r>
        <w:rPr>
          <w:spacing w:val="-11"/>
          <w:sz w:val="20"/>
        </w:rPr>
        <w:t> </w:t>
      </w:r>
      <w:r>
        <w:rPr>
          <w:spacing w:val="-3"/>
          <w:sz w:val="20"/>
        </w:rPr>
        <w:t>may</w:t>
      </w:r>
      <w:r>
        <w:rPr>
          <w:spacing w:val="-10"/>
          <w:sz w:val="20"/>
        </w:rPr>
        <w:t> </w:t>
      </w:r>
      <w:r>
        <w:rPr>
          <w:sz w:val="20"/>
        </w:rPr>
        <w:t>not</w:t>
      </w:r>
      <w:r>
        <w:rPr>
          <w:spacing w:val="-11"/>
          <w:sz w:val="20"/>
        </w:rPr>
        <w:t> </w:t>
      </w:r>
      <w:r>
        <w:rPr>
          <w:sz w:val="20"/>
        </w:rPr>
        <w:t>be</w:t>
      </w:r>
      <w:r>
        <w:rPr>
          <w:spacing w:val="-11"/>
          <w:sz w:val="20"/>
        </w:rPr>
        <w:t> </w:t>
      </w:r>
      <w:r>
        <w:rPr>
          <w:sz w:val="20"/>
        </w:rPr>
        <w:t>randomly</w:t>
      </w:r>
      <w:r>
        <w:rPr>
          <w:spacing w:val="-11"/>
          <w:sz w:val="20"/>
        </w:rPr>
        <w:t> </w:t>
      </w:r>
      <w:r>
        <w:rPr>
          <w:sz w:val="20"/>
        </w:rPr>
        <w:t>balloted</w:t>
      </w:r>
      <w:r>
        <w:rPr>
          <w:spacing w:val="-11"/>
          <w:sz w:val="20"/>
        </w:rPr>
        <w:t> </w:t>
      </w:r>
      <w:r>
        <w:rPr>
          <w:sz w:val="20"/>
        </w:rPr>
        <w:t>to</w:t>
      </w:r>
      <w:r>
        <w:rPr>
          <w:spacing w:val="-10"/>
          <w:sz w:val="20"/>
        </w:rPr>
        <w:t> </w:t>
      </w:r>
      <w:r>
        <w:rPr>
          <w:sz w:val="20"/>
        </w:rPr>
        <w:t>a</w:t>
      </w:r>
      <w:r>
        <w:rPr>
          <w:spacing w:val="-11"/>
          <w:sz w:val="20"/>
        </w:rPr>
        <w:t> </w:t>
      </w:r>
      <w:r>
        <w:rPr>
          <w:sz w:val="20"/>
        </w:rPr>
        <w:t>panel,</w:t>
      </w:r>
      <w:r>
        <w:rPr>
          <w:spacing w:val="-11"/>
          <w:sz w:val="20"/>
        </w:rPr>
        <w:t> </w:t>
      </w:r>
      <w:r>
        <w:rPr>
          <w:sz w:val="20"/>
        </w:rPr>
        <w:t>or</w:t>
      </w:r>
      <w:r>
        <w:rPr>
          <w:spacing w:val="-11"/>
          <w:sz w:val="20"/>
        </w:rPr>
        <w:t> </w:t>
      </w:r>
      <w:r>
        <w:rPr>
          <w:sz w:val="20"/>
        </w:rPr>
        <w:t>might</w:t>
      </w:r>
      <w:r>
        <w:rPr>
          <w:spacing w:val="-11"/>
          <w:sz w:val="20"/>
        </w:rPr>
        <w:t> </w:t>
      </w:r>
      <w:r>
        <w:rPr>
          <w:sz w:val="20"/>
        </w:rPr>
        <w:t>be challenged</w:t>
      </w:r>
      <w:r>
        <w:rPr>
          <w:spacing w:val="-6"/>
          <w:sz w:val="20"/>
        </w:rPr>
        <w:t> </w:t>
      </w:r>
      <w:r>
        <w:rPr>
          <w:sz w:val="20"/>
        </w:rPr>
        <w:t>or</w:t>
      </w:r>
      <w:r>
        <w:rPr>
          <w:spacing w:val="-6"/>
          <w:sz w:val="20"/>
        </w:rPr>
        <w:t> </w:t>
      </w:r>
      <w:r>
        <w:rPr>
          <w:sz w:val="20"/>
        </w:rPr>
        <w:t>stood</w:t>
      </w:r>
      <w:r>
        <w:rPr>
          <w:spacing w:val="-5"/>
          <w:sz w:val="20"/>
        </w:rPr>
        <w:t> </w:t>
      </w:r>
      <w:r>
        <w:rPr>
          <w:sz w:val="20"/>
        </w:rPr>
        <w:t>aside</w:t>
      </w:r>
      <w:r>
        <w:rPr>
          <w:spacing w:val="-6"/>
          <w:sz w:val="20"/>
        </w:rPr>
        <w:t> </w:t>
      </w:r>
      <w:r>
        <w:rPr>
          <w:sz w:val="20"/>
        </w:rPr>
        <w:t>at</w:t>
      </w:r>
      <w:r>
        <w:rPr>
          <w:spacing w:val="-5"/>
          <w:sz w:val="20"/>
        </w:rPr>
        <w:t> </w:t>
      </w:r>
      <w:r>
        <w:rPr>
          <w:sz w:val="20"/>
        </w:rPr>
        <w:t>the</w:t>
      </w:r>
      <w:r>
        <w:rPr>
          <w:spacing w:val="-6"/>
          <w:sz w:val="20"/>
        </w:rPr>
        <w:t> </w:t>
      </w:r>
      <w:r>
        <w:rPr>
          <w:sz w:val="20"/>
        </w:rPr>
        <w:t>end</w:t>
      </w:r>
      <w:r>
        <w:rPr>
          <w:spacing w:val="-5"/>
          <w:sz w:val="20"/>
        </w:rPr>
        <w:t> </w:t>
      </w:r>
      <w:r>
        <w:rPr>
          <w:sz w:val="20"/>
        </w:rPr>
        <w:t>of</w:t>
      </w:r>
      <w:r>
        <w:rPr>
          <w:spacing w:val="-6"/>
          <w:sz w:val="20"/>
        </w:rPr>
        <w:t> </w:t>
      </w:r>
      <w:r>
        <w:rPr>
          <w:sz w:val="20"/>
        </w:rPr>
        <w:t>the</w:t>
      </w:r>
      <w:r>
        <w:rPr>
          <w:spacing w:val="-5"/>
          <w:sz w:val="20"/>
        </w:rPr>
        <w:t> </w:t>
      </w:r>
      <w:r>
        <w:rPr>
          <w:sz w:val="20"/>
        </w:rPr>
        <w:t>empanelment</w:t>
      </w:r>
      <w:r>
        <w:rPr>
          <w:spacing w:val="-6"/>
          <w:sz w:val="20"/>
        </w:rPr>
        <w:t> </w:t>
      </w:r>
      <w:r>
        <w:rPr>
          <w:sz w:val="20"/>
        </w:rPr>
        <w:t>process.</w:t>
      </w:r>
    </w:p>
    <w:p>
      <w:pPr>
        <w:pStyle w:val="ListParagraph"/>
        <w:numPr>
          <w:ilvl w:val="1"/>
          <w:numId w:val="12"/>
        </w:numPr>
        <w:tabs>
          <w:tab w:pos="1761" w:val="left" w:leader="none"/>
          <w:tab w:pos="1762" w:val="left" w:leader="none"/>
        </w:tabs>
        <w:spacing w:line="206" w:lineRule="auto" w:before="128" w:after="0"/>
        <w:ind w:left="1761" w:right="1852" w:hanging="794"/>
        <w:jc w:val="left"/>
        <w:rPr>
          <w:sz w:val="11"/>
        </w:rPr>
      </w:pPr>
      <w:r>
        <w:rPr>
          <w:sz w:val="20"/>
        </w:rPr>
        <w:t>Because</w:t>
      </w:r>
      <w:r>
        <w:rPr>
          <w:spacing w:val="-9"/>
          <w:sz w:val="20"/>
        </w:rPr>
        <w:t> </w:t>
      </w:r>
      <w:r>
        <w:rPr>
          <w:sz w:val="20"/>
        </w:rPr>
        <w:t>of</w:t>
      </w:r>
      <w:r>
        <w:rPr>
          <w:spacing w:val="-8"/>
          <w:sz w:val="20"/>
        </w:rPr>
        <w:t> </w:t>
      </w:r>
      <w:r>
        <w:rPr>
          <w:sz w:val="20"/>
        </w:rPr>
        <w:t>the</w:t>
      </w:r>
      <w:r>
        <w:rPr>
          <w:spacing w:val="-9"/>
          <w:sz w:val="20"/>
        </w:rPr>
        <w:t> </w:t>
      </w:r>
      <w:r>
        <w:rPr>
          <w:sz w:val="20"/>
        </w:rPr>
        <w:t>random</w:t>
      </w:r>
      <w:r>
        <w:rPr>
          <w:spacing w:val="-8"/>
          <w:sz w:val="20"/>
        </w:rPr>
        <w:t> </w:t>
      </w:r>
      <w:r>
        <w:rPr>
          <w:sz w:val="20"/>
        </w:rPr>
        <w:t>balloting</w:t>
      </w:r>
      <w:r>
        <w:rPr>
          <w:spacing w:val="-9"/>
          <w:sz w:val="20"/>
        </w:rPr>
        <w:t> </w:t>
      </w:r>
      <w:r>
        <w:rPr>
          <w:sz w:val="20"/>
        </w:rPr>
        <w:t>process,</w:t>
      </w:r>
      <w:r>
        <w:rPr>
          <w:spacing w:val="-8"/>
          <w:sz w:val="20"/>
        </w:rPr>
        <w:t> </w:t>
      </w:r>
      <w:r>
        <w:rPr>
          <w:sz w:val="20"/>
        </w:rPr>
        <w:t>it</w:t>
      </w:r>
      <w:r>
        <w:rPr>
          <w:spacing w:val="-9"/>
          <w:sz w:val="20"/>
        </w:rPr>
        <w:t> </w:t>
      </w:r>
      <w:r>
        <w:rPr>
          <w:sz w:val="20"/>
        </w:rPr>
        <w:t>will</w:t>
      </w:r>
      <w:r>
        <w:rPr>
          <w:spacing w:val="-8"/>
          <w:sz w:val="20"/>
        </w:rPr>
        <w:t> </w:t>
      </w:r>
      <w:r>
        <w:rPr>
          <w:sz w:val="20"/>
        </w:rPr>
        <w:t>not</w:t>
      </w:r>
      <w:r>
        <w:rPr>
          <w:spacing w:val="-9"/>
          <w:sz w:val="20"/>
        </w:rPr>
        <w:t> </w:t>
      </w:r>
      <w:r>
        <w:rPr>
          <w:sz w:val="20"/>
        </w:rPr>
        <w:t>be</w:t>
      </w:r>
      <w:r>
        <w:rPr>
          <w:spacing w:val="-8"/>
          <w:sz w:val="20"/>
        </w:rPr>
        <w:t> </w:t>
      </w:r>
      <w:r>
        <w:rPr>
          <w:sz w:val="20"/>
        </w:rPr>
        <w:t>known</w:t>
      </w:r>
      <w:r>
        <w:rPr>
          <w:spacing w:val="-9"/>
          <w:sz w:val="20"/>
        </w:rPr>
        <w:t> </w:t>
      </w:r>
      <w:r>
        <w:rPr>
          <w:sz w:val="20"/>
        </w:rPr>
        <w:t>which</w:t>
      </w:r>
      <w:r>
        <w:rPr>
          <w:spacing w:val="-8"/>
          <w:sz w:val="20"/>
        </w:rPr>
        <w:t> </w:t>
      </w:r>
      <w:r>
        <w:rPr>
          <w:sz w:val="20"/>
        </w:rPr>
        <w:t>trial,</w:t>
      </w:r>
      <w:r>
        <w:rPr>
          <w:spacing w:val="-9"/>
          <w:sz w:val="20"/>
        </w:rPr>
        <w:t> </w:t>
      </w:r>
      <w:r>
        <w:rPr>
          <w:sz w:val="20"/>
        </w:rPr>
        <w:t>if</w:t>
      </w:r>
      <w:r>
        <w:rPr>
          <w:spacing w:val="-8"/>
          <w:sz w:val="20"/>
        </w:rPr>
        <w:t> </w:t>
      </w:r>
      <w:r>
        <w:rPr>
          <w:spacing w:val="-6"/>
          <w:sz w:val="20"/>
        </w:rPr>
        <w:t>any, </w:t>
      </w:r>
      <w:r>
        <w:rPr>
          <w:sz w:val="20"/>
        </w:rPr>
        <w:t>a</w:t>
      </w:r>
      <w:r>
        <w:rPr>
          <w:spacing w:val="-12"/>
          <w:sz w:val="20"/>
        </w:rPr>
        <w:t> </w:t>
      </w:r>
      <w:r>
        <w:rPr>
          <w:sz w:val="20"/>
        </w:rPr>
        <w:t>person</w:t>
      </w:r>
      <w:r>
        <w:rPr>
          <w:spacing w:val="-11"/>
          <w:sz w:val="20"/>
        </w:rPr>
        <w:t> </w:t>
      </w:r>
      <w:r>
        <w:rPr>
          <w:sz w:val="20"/>
        </w:rPr>
        <w:t>in</w:t>
      </w:r>
      <w:r>
        <w:rPr>
          <w:spacing w:val="-11"/>
          <w:sz w:val="20"/>
        </w:rPr>
        <w:t> </w:t>
      </w:r>
      <w:r>
        <w:rPr>
          <w:sz w:val="20"/>
        </w:rPr>
        <w:t>the</w:t>
      </w:r>
      <w:r>
        <w:rPr>
          <w:spacing w:val="-11"/>
          <w:sz w:val="20"/>
        </w:rPr>
        <w:t> </w:t>
      </w:r>
      <w:r>
        <w:rPr>
          <w:sz w:val="20"/>
        </w:rPr>
        <w:t>subject</w:t>
      </w:r>
      <w:r>
        <w:rPr>
          <w:spacing w:val="-11"/>
          <w:sz w:val="20"/>
        </w:rPr>
        <w:t> </w:t>
      </w:r>
      <w:r>
        <w:rPr>
          <w:sz w:val="20"/>
        </w:rPr>
        <w:t>groups</w:t>
      </w:r>
      <w:r>
        <w:rPr>
          <w:spacing w:val="-11"/>
          <w:sz w:val="20"/>
        </w:rPr>
        <w:t> </w:t>
      </w:r>
      <w:r>
        <w:rPr>
          <w:sz w:val="20"/>
        </w:rPr>
        <w:t>will</w:t>
      </w:r>
      <w:r>
        <w:rPr>
          <w:spacing w:val="-11"/>
          <w:sz w:val="20"/>
        </w:rPr>
        <w:t> </w:t>
      </w:r>
      <w:r>
        <w:rPr>
          <w:sz w:val="20"/>
        </w:rPr>
        <w:t>be</w:t>
      </w:r>
      <w:r>
        <w:rPr>
          <w:spacing w:val="-11"/>
          <w:sz w:val="20"/>
        </w:rPr>
        <w:t> </w:t>
      </w:r>
      <w:r>
        <w:rPr>
          <w:sz w:val="20"/>
        </w:rPr>
        <w:t>randomly</w:t>
      </w:r>
      <w:r>
        <w:rPr>
          <w:spacing w:val="-12"/>
          <w:sz w:val="20"/>
        </w:rPr>
        <w:t> </w:t>
      </w:r>
      <w:r>
        <w:rPr>
          <w:sz w:val="20"/>
        </w:rPr>
        <w:t>balloted</w:t>
      </w:r>
      <w:r>
        <w:rPr>
          <w:spacing w:val="-11"/>
          <w:sz w:val="20"/>
        </w:rPr>
        <w:t> </w:t>
      </w:r>
      <w:r>
        <w:rPr>
          <w:sz w:val="20"/>
        </w:rPr>
        <w:t>to</w:t>
      </w:r>
      <w:r>
        <w:rPr>
          <w:spacing w:val="-11"/>
          <w:sz w:val="20"/>
        </w:rPr>
        <w:t> </w:t>
      </w:r>
      <w:r>
        <w:rPr>
          <w:sz w:val="20"/>
        </w:rPr>
        <w:t>until</w:t>
      </w:r>
      <w:r>
        <w:rPr>
          <w:spacing w:val="-11"/>
          <w:sz w:val="20"/>
        </w:rPr>
        <w:t> </w:t>
      </w:r>
      <w:r>
        <w:rPr>
          <w:sz w:val="20"/>
        </w:rPr>
        <w:t>the</w:t>
      </w:r>
      <w:r>
        <w:rPr>
          <w:spacing w:val="-11"/>
          <w:sz w:val="20"/>
        </w:rPr>
        <w:t> </w:t>
      </w:r>
      <w:r>
        <w:rPr>
          <w:sz w:val="20"/>
        </w:rPr>
        <w:t>last</w:t>
      </w:r>
      <w:r>
        <w:rPr>
          <w:spacing w:val="-11"/>
          <w:sz w:val="20"/>
        </w:rPr>
        <w:t> </w:t>
      </w:r>
      <w:r>
        <w:rPr>
          <w:sz w:val="20"/>
        </w:rPr>
        <w:t>minute.</w:t>
      </w:r>
      <w:r>
        <w:rPr>
          <w:position w:val="7"/>
          <w:sz w:val="11"/>
        </w:rPr>
        <w:t>4</w:t>
      </w:r>
    </w:p>
    <w:p>
      <w:pPr>
        <w:pStyle w:val="BodyText"/>
        <w:spacing w:line="206" w:lineRule="auto" w:before="2"/>
        <w:ind w:left="1761" w:right="1335"/>
      </w:pPr>
      <w:r>
        <w:rPr/>
        <w:t>This</w:t>
      </w:r>
      <w:r>
        <w:rPr>
          <w:spacing w:val="-11"/>
        </w:rPr>
        <w:t> </w:t>
      </w:r>
      <w:r>
        <w:rPr>
          <w:spacing w:val="-3"/>
        </w:rPr>
        <w:t>makes</w:t>
      </w:r>
      <w:r>
        <w:rPr>
          <w:spacing w:val="-11"/>
        </w:rPr>
        <w:t> </w:t>
      </w:r>
      <w:r>
        <w:rPr/>
        <w:t>it</w:t>
      </w:r>
      <w:r>
        <w:rPr>
          <w:spacing w:val="-10"/>
        </w:rPr>
        <w:t> </w:t>
      </w:r>
      <w:r>
        <w:rPr/>
        <w:t>difficult</w:t>
      </w:r>
      <w:r>
        <w:rPr>
          <w:spacing w:val="-11"/>
        </w:rPr>
        <w:t> </w:t>
      </w:r>
      <w:r>
        <w:rPr/>
        <w:t>to</w:t>
      </w:r>
      <w:r>
        <w:rPr>
          <w:spacing w:val="-11"/>
        </w:rPr>
        <w:t> </w:t>
      </w:r>
      <w:r>
        <w:rPr/>
        <w:t>find</w:t>
      </w:r>
      <w:r>
        <w:rPr>
          <w:spacing w:val="-10"/>
        </w:rPr>
        <w:t> </w:t>
      </w:r>
      <w:r>
        <w:rPr/>
        <w:t>a</w:t>
      </w:r>
      <w:r>
        <w:rPr>
          <w:spacing w:val="-11"/>
        </w:rPr>
        <w:t> </w:t>
      </w:r>
      <w:r>
        <w:rPr/>
        <w:t>time</w:t>
      </w:r>
      <w:r>
        <w:rPr>
          <w:spacing w:val="-10"/>
        </w:rPr>
        <w:t> </w:t>
      </w:r>
      <w:r>
        <w:rPr/>
        <w:t>in</w:t>
      </w:r>
      <w:r>
        <w:rPr>
          <w:spacing w:val="-11"/>
        </w:rPr>
        <w:t> </w:t>
      </w:r>
      <w:r>
        <w:rPr/>
        <w:t>advance</w:t>
      </w:r>
      <w:r>
        <w:rPr>
          <w:spacing w:val="-11"/>
        </w:rPr>
        <w:t> </w:t>
      </w:r>
      <w:r>
        <w:rPr/>
        <w:t>of</w:t>
      </w:r>
      <w:r>
        <w:rPr>
          <w:spacing w:val="-10"/>
        </w:rPr>
        <w:t> </w:t>
      </w:r>
      <w:r>
        <w:rPr/>
        <w:t>empanelment</w:t>
      </w:r>
      <w:r>
        <w:rPr>
          <w:spacing w:val="-11"/>
        </w:rPr>
        <w:t> </w:t>
      </w:r>
      <w:r>
        <w:rPr/>
        <w:t>to</w:t>
      </w:r>
      <w:r>
        <w:rPr>
          <w:spacing w:val="-10"/>
        </w:rPr>
        <w:t> </w:t>
      </w:r>
      <w:r>
        <w:rPr/>
        <w:t>hold</w:t>
      </w:r>
      <w:r>
        <w:rPr>
          <w:spacing w:val="-11"/>
        </w:rPr>
        <w:t> </w:t>
      </w:r>
      <w:r>
        <w:rPr/>
        <w:t>a</w:t>
      </w:r>
      <w:r>
        <w:rPr>
          <w:spacing w:val="-11"/>
        </w:rPr>
        <w:t> </w:t>
      </w:r>
      <w:r>
        <w:rPr/>
        <w:t>hearing</w:t>
      </w:r>
      <w:r>
        <w:rPr>
          <w:spacing w:val="-10"/>
        </w:rPr>
        <w:t> </w:t>
      </w:r>
      <w:r>
        <w:rPr/>
        <w:t>to determine whether the person could serve on a particular trial. But there </w:t>
      </w:r>
      <w:r>
        <w:rPr>
          <w:spacing w:val="-3"/>
        </w:rPr>
        <w:t>are </w:t>
      </w:r>
      <w:r>
        <w:rPr/>
        <w:t>valid concerns</w:t>
      </w:r>
      <w:r>
        <w:rPr>
          <w:spacing w:val="-11"/>
        </w:rPr>
        <w:t> </w:t>
      </w:r>
      <w:r>
        <w:rPr/>
        <w:t>that</w:t>
      </w:r>
      <w:r>
        <w:rPr>
          <w:spacing w:val="-10"/>
        </w:rPr>
        <w:t> </w:t>
      </w:r>
      <w:r>
        <w:rPr/>
        <w:t>doing</w:t>
      </w:r>
      <w:r>
        <w:rPr>
          <w:spacing w:val="-10"/>
        </w:rPr>
        <w:t> </w:t>
      </w:r>
      <w:r>
        <w:rPr/>
        <w:t>everything</w:t>
      </w:r>
      <w:r>
        <w:rPr>
          <w:spacing w:val="-10"/>
        </w:rPr>
        <w:t> </w:t>
      </w:r>
      <w:r>
        <w:rPr/>
        <w:t>on</w:t>
      </w:r>
      <w:r>
        <w:rPr>
          <w:spacing w:val="-10"/>
        </w:rPr>
        <w:t> </w:t>
      </w:r>
      <w:r>
        <w:rPr/>
        <w:t>the</w:t>
      </w:r>
      <w:r>
        <w:rPr>
          <w:spacing w:val="-10"/>
        </w:rPr>
        <w:t> </w:t>
      </w:r>
      <w:r>
        <w:rPr>
          <w:spacing w:val="-3"/>
        </w:rPr>
        <w:t>day</w:t>
      </w:r>
      <w:r>
        <w:rPr>
          <w:spacing w:val="-11"/>
        </w:rPr>
        <w:t> </w:t>
      </w:r>
      <w:r>
        <w:rPr/>
        <w:t>of</w:t>
      </w:r>
      <w:r>
        <w:rPr>
          <w:spacing w:val="-10"/>
        </w:rPr>
        <w:t> </w:t>
      </w:r>
      <w:r>
        <w:rPr/>
        <w:t>empanelment</w:t>
      </w:r>
      <w:r>
        <w:rPr>
          <w:spacing w:val="-10"/>
        </w:rPr>
        <w:t> </w:t>
      </w:r>
      <w:r>
        <w:rPr/>
        <w:t>will</w:t>
      </w:r>
      <w:r>
        <w:rPr>
          <w:spacing w:val="-10"/>
        </w:rPr>
        <w:t> </w:t>
      </w:r>
      <w:r>
        <w:rPr/>
        <w:t>place</w:t>
      </w:r>
      <w:r>
        <w:rPr>
          <w:spacing w:val="-10"/>
        </w:rPr>
        <w:t> </w:t>
      </w:r>
      <w:r>
        <w:rPr/>
        <w:t>a</w:t>
      </w:r>
      <w:r>
        <w:rPr>
          <w:spacing w:val="-10"/>
        </w:rPr>
        <w:t> </w:t>
      </w:r>
      <w:r>
        <w:rPr/>
        <w:t>strain</w:t>
      </w:r>
      <w:r>
        <w:rPr>
          <w:spacing w:val="-10"/>
        </w:rPr>
        <w:t> </w:t>
      </w:r>
      <w:r>
        <w:rPr/>
        <w:t>on</w:t>
      </w:r>
      <w:r>
        <w:rPr>
          <w:spacing w:val="-11"/>
        </w:rPr>
        <w:t> </w:t>
      </w:r>
      <w:r>
        <w:rPr/>
        <w:t>the court</w:t>
      </w:r>
      <w:r>
        <w:rPr>
          <w:spacing w:val="-5"/>
        </w:rPr>
        <w:t> </w:t>
      </w:r>
      <w:r>
        <w:rPr/>
        <w:t>system.</w:t>
      </w:r>
    </w:p>
    <w:p>
      <w:pPr>
        <w:pStyle w:val="ListParagraph"/>
        <w:numPr>
          <w:ilvl w:val="1"/>
          <w:numId w:val="12"/>
        </w:numPr>
        <w:tabs>
          <w:tab w:pos="1761" w:val="left" w:leader="none"/>
          <w:tab w:pos="1762" w:val="left" w:leader="none"/>
        </w:tabs>
        <w:spacing w:line="259" w:lineRule="exact" w:before="93" w:after="0"/>
        <w:ind w:left="1761" w:right="0" w:hanging="794"/>
        <w:jc w:val="left"/>
        <w:rPr>
          <w:sz w:val="20"/>
        </w:rPr>
      </w:pPr>
      <w:r>
        <w:rPr>
          <w:sz w:val="20"/>
        </w:rPr>
        <w:t>Not</w:t>
      </w:r>
      <w:r>
        <w:rPr>
          <w:spacing w:val="-7"/>
          <w:sz w:val="20"/>
        </w:rPr>
        <w:t> </w:t>
      </w:r>
      <w:r>
        <w:rPr>
          <w:sz w:val="20"/>
        </w:rPr>
        <w:t>knowing</w:t>
      </w:r>
      <w:r>
        <w:rPr>
          <w:spacing w:val="-6"/>
          <w:sz w:val="20"/>
        </w:rPr>
        <w:t> </w:t>
      </w:r>
      <w:r>
        <w:rPr>
          <w:sz w:val="20"/>
        </w:rPr>
        <w:t>which</w:t>
      </w:r>
      <w:r>
        <w:rPr>
          <w:spacing w:val="-6"/>
          <w:sz w:val="20"/>
        </w:rPr>
        <w:t> </w:t>
      </w:r>
      <w:r>
        <w:rPr>
          <w:sz w:val="20"/>
        </w:rPr>
        <w:t>trial</w:t>
      </w:r>
      <w:r>
        <w:rPr>
          <w:spacing w:val="-7"/>
          <w:sz w:val="20"/>
        </w:rPr>
        <w:t> </w:t>
      </w:r>
      <w:r>
        <w:rPr>
          <w:sz w:val="20"/>
        </w:rPr>
        <w:t>a</w:t>
      </w:r>
      <w:r>
        <w:rPr>
          <w:spacing w:val="-6"/>
          <w:sz w:val="20"/>
        </w:rPr>
        <w:t> </w:t>
      </w:r>
      <w:r>
        <w:rPr>
          <w:sz w:val="20"/>
        </w:rPr>
        <w:t>person</w:t>
      </w:r>
      <w:r>
        <w:rPr>
          <w:spacing w:val="-6"/>
          <w:sz w:val="20"/>
        </w:rPr>
        <w:t> </w:t>
      </w:r>
      <w:r>
        <w:rPr>
          <w:sz w:val="20"/>
        </w:rPr>
        <w:t>in</w:t>
      </w:r>
      <w:r>
        <w:rPr>
          <w:spacing w:val="-6"/>
          <w:sz w:val="20"/>
        </w:rPr>
        <w:t> </w:t>
      </w:r>
      <w:r>
        <w:rPr>
          <w:sz w:val="20"/>
        </w:rPr>
        <w:t>the</w:t>
      </w:r>
      <w:r>
        <w:rPr>
          <w:spacing w:val="-7"/>
          <w:sz w:val="20"/>
        </w:rPr>
        <w:t> </w:t>
      </w:r>
      <w:r>
        <w:rPr>
          <w:sz w:val="20"/>
        </w:rPr>
        <w:t>subject</w:t>
      </w:r>
      <w:r>
        <w:rPr>
          <w:spacing w:val="-6"/>
          <w:sz w:val="20"/>
        </w:rPr>
        <w:t> </w:t>
      </w:r>
      <w:r>
        <w:rPr>
          <w:sz w:val="20"/>
        </w:rPr>
        <w:t>groups</w:t>
      </w:r>
      <w:r>
        <w:rPr>
          <w:spacing w:val="-6"/>
          <w:sz w:val="20"/>
        </w:rPr>
        <w:t> </w:t>
      </w:r>
      <w:r>
        <w:rPr>
          <w:sz w:val="20"/>
        </w:rPr>
        <w:t>will</w:t>
      </w:r>
      <w:r>
        <w:rPr>
          <w:spacing w:val="-7"/>
          <w:sz w:val="20"/>
        </w:rPr>
        <w:t> </w:t>
      </w:r>
      <w:r>
        <w:rPr>
          <w:sz w:val="20"/>
        </w:rPr>
        <w:t>be</w:t>
      </w:r>
      <w:r>
        <w:rPr>
          <w:spacing w:val="-6"/>
          <w:sz w:val="20"/>
        </w:rPr>
        <w:t> </w:t>
      </w:r>
      <w:r>
        <w:rPr>
          <w:sz w:val="20"/>
        </w:rPr>
        <w:t>balloted</w:t>
      </w:r>
      <w:r>
        <w:rPr>
          <w:spacing w:val="-6"/>
          <w:sz w:val="20"/>
        </w:rPr>
        <w:t> </w:t>
      </w:r>
      <w:r>
        <w:rPr>
          <w:sz w:val="20"/>
        </w:rPr>
        <w:t>to</w:t>
      </w:r>
      <w:r>
        <w:rPr>
          <w:spacing w:val="-6"/>
          <w:sz w:val="20"/>
        </w:rPr>
        <w:t> </w:t>
      </w:r>
      <w:r>
        <w:rPr>
          <w:sz w:val="20"/>
        </w:rPr>
        <w:t>also</w:t>
      </w:r>
      <w:r>
        <w:rPr>
          <w:spacing w:val="-7"/>
          <w:sz w:val="20"/>
        </w:rPr>
        <w:t> </w:t>
      </w:r>
      <w:r>
        <w:rPr>
          <w:spacing w:val="-3"/>
          <w:sz w:val="20"/>
        </w:rPr>
        <w:t>makes</w:t>
      </w:r>
      <w:r>
        <w:rPr>
          <w:spacing w:val="-6"/>
          <w:sz w:val="20"/>
        </w:rPr>
        <w:t> </w:t>
      </w:r>
      <w:r>
        <w:rPr>
          <w:sz w:val="20"/>
        </w:rPr>
        <w:t>it</w:t>
      </w:r>
    </w:p>
    <w:p>
      <w:pPr>
        <w:pStyle w:val="BodyText"/>
        <w:spacing w:line="259" w:lineRule="exact"/>
        <w:ind w:left="1761"/>
      </w:pPr>
      <w:r>
        <w:rPr/>
        <w:t>difficult to arrange to hold the trial in an accessible courtroom.</w:t>
      </w:r>
    </w:p>
    <w:p>
      <w:pPr>
        <w:spacing w:before="153"/>
        <w:ind w:left="967" w:right="0" w:firstLine="0"/>
        <w:jc w:val="left"/>
        <w:rPr>
          <w:b/>
          <w:sz w:val="24"/>
        </w:rPr>
      </w:pPr>
      <w:r>
        <w:rPr>
          <w:b/>
          <w:sz w:val="24"/>
        </w:rPr>
        <w:t>Victorian courts are busy</w:t>
      </w:r>
    </w:p>
    <w:p>
      <w:pPr>
        <w:pStyle w:val="ListParagraph"/>
        <w:numPr>
          <w:ilvl w:val="1"/>
          <w:numId w:val="12"/>
        </w:numPr>
        <w:tabs>
          <w:tab w:pos="1761" w:val="left" w:leader="none"/>
          <w:tab w:pos="1762" w:val="left" w:leader="none"/>
        </w:tabs>
        <w:spacing w:line="206" w:lineRule="auto" w:before="127" w:after="0"/>
        <w:ind w:left="1761" w:right="1339" w:hanging="794"/>
        <w:jc w:val="left"/>
        <w:rPr>
          <w:sz w:val="11"/>
        </w:rPr>
      </w:pPr>
      <w:r>
        <w:rPr>
          <w:sz w:val="20"/>
        </w:rPr>
        <w:t>In</w:t>
      </w:r>
      <w:r>
        <w:rPr>
          <w:spacing w:val="-10"/>
          <w:sz w:val="20"/>
        </w:rPr>
        <w:t> </w:t>
      </w:r>
      <w:r>
        <w:rPr>
          <w:spacing w:val="-2"/>
          <w:sz w:val="20"/>
        </w:rPr>
        <w:t>Chapter</w:t>
      </w:r>
      <w:r>
        <w:rPr>
          <w:spacing w:val="-9"/>
          <w:sz w:val="20"/>
        </w:rPr>
        <w:t> </w:t>
      </w:r>
      <w:r>
        <w:rPr>
          <w:sz w:val="20"/>
        </w:rPr>
        <w:t>11</w:t>
      </w:r>
      <w:r>
        <w:rPr>
          <w:spacing w:val="-10"/>
          <w:sz w:val="20"/>
        </w:rPr>
        <w:t> </w:t>
      </w:r>
      <w:r>
        <w:rPr>
          <w:spacing w:val="-3"/>
          <w:sz w:val="20"/>
        </w:rPr>
        <w:t>we</w:t>
      </w:r>
      <w:r>
        <w:rPr>
          <w:spacing w:val="-9"/>
          <w:sz w:val="20"/>
        </w:rPr>
        <w:t> </w:t>
      </w:r>
      <w:r>
        <w:rPr>
          <w:sz w:val="20"/>
        </w:rPr>
        <w:t>recommended</w:t>
      </w:r>
      <w:r>
        <w:rPr>
          <w:spacing w:val="-10"/>
          <w:sz w:val="20"/>
        </w:rPr>
        <w:t> </w:t>
      </w:r>
      <w:r>
        <w:rPr>
          <w:sz w:val="20"/>
        </w:rPr>
        <w:t>that</w:t>
      </w:r>
      <w:r>
        <w:rPr>
          <w:spacing w:val="-9"/>
          <w:sz w:val="20"/>
        </w:rPr>
        <w:t> </w:t>
      </w:r>
      <w:r>
        <w:rPr>
          <w:sz w:val="20"/>
        </w:rPr>
        <w:t>Victoria</w:t>
      </w:r>
      <w:r>
        <w:rPr>
          <w:spacing w:val="-10"/>
          <w:sz w:val="20"/>
        </w:rPr>
        <w:t> </w:t>
      </w:r>
      <w:r>
        <w:rPr>
          <w:sz w:val="20"/>
        </w:rPr>
        <w:t>use</w:t>
      </w:r>
      <w:r>
        <w:rPr>
          <w:spacing w:val="-9"/>
          <w:sz w:val="20"/>
        </w:rPr>
        <w:t> </w:t>
      </w:r>
      <w:r>
        <w:rPr>
          <w:sz w:val="20"/>
        </w:rPr>
        <w:t>the</w:t>
      </w:r>
      <w:r>
        <w:rPr>
          <w:spacing w:val="-9"/>
          <w:sz w:val="20"/>
        </w:rPr>
        <w:t> </w:t>
      </w:r>
      <w:r>
        <w:rPr>
          <w:sz w:val="20"/>
        </w:rPr>
        <w:t>Australian</w:t>
      </w:r>
      <w:r>
        <w:rPr>
          <w:spacing w:val="-10"/>
          <w:sz w:val="20"/>
        </w:rPr>
        <w:t> </w:t>
      </w:r>
      <w:r>
        <w:rPr>
          <w:sz w:val="20"/>
        </w:rPr>
        <w:t>Capital</w:t>
      </w:r>
      <w:r>
        <w:rPr>
          <w:spacing w:val="-9"/>
          <w:sz w:val="20"/>
        </w:rPr>
        <w:t> </w:t>
      </w:r>
      <w:r>
        <w:rPr>
          <w:spacing w:val="-3"/>
          <w:sz w:val="20"/>
        </w:rPr>
        <w:t>Territory</w:t>
      </w:r>
      <w:r>
        <w:rPr>
          <w:spacing w:val="-10"/>
          <w:sz w:val="20"/>
        </w:rPr>
        <w:t> </w:t>
      </w:r>
      <w:r>
        <w:rPr>
          <w:sz w:val="20"/>
        </w:rPr>
        <w:t>(ACT) legislation as a guide for Victorian reforms. </w:t>
      </w:r>
      <w:r>
        <w:rPr>
          <w:spacing w:val="-5"/>
          <w:sz w:val="20"/>
        </w:rPr>
        <w:t>However, </w:t>
      </w:r>
      <w:r>
        <w:rPr>
          <w:sz w:val="20"/>
        </w:rPr>
        <w:t>Victoria is a much larger and busier</w:t>
      </w:r>
      <w:r>
        <w:rPr>
          <w:spacing w:val="-6"/>
          <w:sz w:val="20"/>
        </w:rPr>
        <w:t> </w:t>
      </w:r>
      <w:r>
        <w:rPr>
          <w:sz w:val="20"/>
        </w:rPr>
        <w:t>jurisdiction</w:t>
      </w:r>
      <w:r>
        <w:rPr>
          <w:spacing w:val="-6"/>
          <w:sz w:val="20"/>
        </w:rPr>
        <w:t> </w:t>
      </w:r>
      <w:r>
        <w:rPr>
          <w:sz w:val="20"/>
        </w:rPr>
        <w:t>than</w:t>
      </w:r>
      <w:r>
        <w:rPr>
          <w:spacing w:val="-6"/>
          <w:sz w:val="20"/>
        </w:rPr>
        <w:t> </w:t>
      </w:r>
      <w:r>
        <w:rPr>
          <w:sz w:val="20"/>
        </w:rPr>
        <w:t>the</w:t>
      </w:r>
      <w:r>
        <w:rPr>
          <w:spacing w:val="-6"/>
          <w:sz w:val="20"/>
        </w:rPr>
        <w:t> </w:t>
      </w:r>
      <w:r>
        <w:rPr>
          <w:spacing w:val="-8"/>
          <w:sz w:val="20"/>
        </w:rPr>
        <w:t>ACT.</w:t>
      </w:r>
      <w:r>
        <w:rPr>
          <w:spacing w:val="-6"/>
          <w:sz w:val="20"/>
        </w:rPr>
        <w:t> </w:t>
      </w:r>
      <w:r>
        <w:rPr>
          <w:spacing w:val="-3"/>
          <w:sz w:val="20"/>
        </w:rPr>
        <w:t>For</w:t>
      </w:r>
      <w:r>
        <w:rPr>
          <w:spacing w:val="-6"/>
          <w:sz w:val="20"/>
        </w:rPr>
        <w:t> </w:t>
      </w:r>
      <w:r>
        <w:rPr>
          <w:spacing w:val="-3"/>
          <w:sz w:val="20"/>
        </w:rPr>
        <w:t>example,</w:t>
      </w:r>
      <w:r>
        <w:rPr>
          <w:spacing w:val="-6"/>
          <w:sz w:val="20"/>
        </w:rPr>
        <w:t> </w:t>
      </w:r>
      <w:r>
        <w:rPr>
          <w:spacing w:val="-3"/>
          <w:sz w:val="20"/>
        </w:rPr>
        <w:t>we</w:t>
      </w:r>
      <w:r>
        <w:rPr>
          <w:spacing w:val="-6"/>
          <w:sz w:val="20"/>
        </w:rPr>
        <w:t> </w:t>
      </w:r>
      <w:r>
        <w:rPr>
          <w:spacing w:val="-4"/>
          <w:sz w:val="20"/>
        </w:rPr>
        <w:t>were</w:t>
      </w:r>
      <w:r>
        <w:rPr>
          <w:spacing w:val="-6"/>
          <w:sz w:val="20"/>
        </w:rPr>
        <w:t> </w:t>
      </w:r>
      <w:r>
        <w:rPr>
          <w:spacing w:val="-3"/>
          <w:sz w:val="20"/>
        </w:rPr>
        <w:t>told</w:t>
      </w:r>
      <w:r>
        <w:rPr>
          <w:spacing w:val="-6"/>
          <w:sz w:val="20"/>
        </w:rPr>
        <w:t> </w:t>
      </w:r>
      <w:r>
        <w:rPr>
          <w:sz w:val="20"/>
        </w:rPr>
        <w:t>that</w:t>
      </w:r>
      <w:r>
        <w:rPr>
          <w:spacing w:val="-5"/>
          <w:sz w:val="20"/>
        </w:rPr>
        <w:t> </w:t>
      </w:r>
      <w:r>
        <w:rPr>
          <w:spacing w:val="-3"/>
          <w:sz w:val="20"/>
        </w:rPr>
        <w:t>before</w:t>
      </w:r>
      <w:r>
        <w:rPr>
          <w:spacing w:val="-6"/>
          <w:sz w:val="20"/>
        </w:rPr>
        <w:t> </w:t>
      </w:r>
      <w:r>
        <w:rPr>
          <w:sz w:val="20"/>
        </w:rPr>
        <w:t>the</w:t>
      </w:r>
      <w:r>
        <w:rPr>
          <w:spacing w:val="-6"/>
          <w:sz w:val="20"/>
        </w:rPr>
        <w:t> </w:t>
      </w:r>
      <w:r>
        <w:rPr>
          <w:spacing w:val="-3"/>
          <w:sz w:val="20"/>
        </w:rPr>
        <w:t>coronavirus (COVID-19) </w:t>
      </w:r>
      <w:r>
        <w:rPr>
          <w:sz w:val="20"/>
        </w:rPr>
        <w:t>pandemic, a busy </w:t>
      </w:r>
      <w:r>
        <w:rPr>
          <w:spacing w:val="-3"/>
          <w:sz w:val="20"/>
        </w:rPr>
        <w:t>day </w:t>
      </w:r>
      <w:r>
        <w:rPr>
          <w:sz w:val="20"/>
        </w:rPr>
        <w:t>in the Melbourne County Court </w:t>
      </w:r>
      <w:r>
        <w:rPr>
          <w:spacing w:val="-3"/>
          <w:sz w:val="20"/>
        </w:rPr>
        <w:t>would </w:t>
      </w:r>
      <w:r>
        <w:rPr>
          <w:spacing w:val="-4"/>
          <w:sz w:val="20"/>
        </w:rPr>
        <w:t>involve </w:t>
      </w:r>
      <w:r>
        <w:rPr>
          <w:sz w:val="20"/>
        </w:rPr>
        <w:t>empanelling</w:t>
      </w:r>
      <w:r>
        <w:rPr>
          <w:spacing w:val="-6"/>
          <w:sz w:val="20"/>
        </w:rPr>
        <w:t> </w:t>
      </w:r>
      <w:r>
        <w:rPr>
          <w:sz w:val="20"/>
        </w:rPr>
        <w:t>5–8</w:t>
      </w:r>
      <w:r>
        <w:rPr>
          <w:spacing w:val="-5"/>
          <w:sz w:val="20"/>
        </w:rPr>
        <w:t> </w:t>
      </w:r>
      <w:r>
        <w:rPr>
          <w:sz w:val="20"/>
        </w:rPr>
        <w:t>trials</w:t>
      </w:r>
      <w:r>
        <w:rPr>
          <w:spacing w:val="-5"/>
          <w:sz w:val="20"/>
        </w:rPr>
        <w:t> </w:t>
      </w:r>
      <w:r>
        <w:rPr>
          <w:sz w:val="20"/>
        </w:rPr>
        <w:t>with</w:t>
      </w:r>
      <w:r>
        <w:rPr>
          <w:spacing w:val="-5"/>
          <w:sz w:val="20"/>
        </w:rPr>
        <w:t> </w:t>
      </w:r>
      <w:r>
        <w:rPr>
          <w:spacing w:val="-3"/>
          <w:sz w:val="20"/>
        </w:rPr>
        <w:t>approximately</w:t>
      </w:r>
      <w:r>
        <w:rPr>
          <w:spacing w:val="-5"/>
          <w:sz w:val="20"/>
        </w:rPr>
        <w:t> </w:t>
      </w:r>
      <w:r>
        <w:rPr>
          <w:sz w:val="20"/>
        </w:rPr>
        <w:t>180</w:t>
      </w:r>
      <w:r>
        <w:rPr>
          <w:spacing w:val="-5"/>
          <w:sz w:val="20"/>
        </w:rPr>
        <w:t> </w:t>
      </w:r>
      <w:r>
        <w:rPr>
          <w:sz w:val="20"/>
        </w:rPr>
        <w:t>people</w:t>
      </w:r>
      <w:r>
        <w:rPr>
          <w:spacing w:val="-5"/>
          <w:sz w:val="20"/>
        </w:rPr>
        <w:t> </w:t>
      </w:r>
      <w:r>
        <w:rPr>
          <w:sz w:val="20"/>
        </w:rPr>
        <w:t>in</w:t>
      </w:r>
      <w:r>
        <w:rPr>
          <w:spacing w:val="-5"/>
          <w:sz w:val="20"/>
        </w:rPr>
        <w:t> </w:t>
      </w:r>
      <w:r>
        <w:rPr>
          <w:sz w:val="20"/>
        </w:rPr>
        <w:t>the</w:t>
      </w:r>
      <w:r>
        <w:rPr>
          <w:spacing w:val="-5"/>
          <w:sz w:val="20"/>
        </w:rPr>
        <w:t> </w:t>
      </w:r>
      <w:r>
        <w:rPr>
          <w:sz w:val="20"/>
        </w:rPr>
        <w:t>jury</w:t>
      </w:r>
      <w:r>
        <w:rPr>
          <w:spacing w:val="-5"/>
          <w:sz w:val="20"/>
        </w:rPr>
        <w:t> </w:t>
      </w:r>
      <w:r>
        <w:rPr>
          <w:sz w:val="20"/>
        </w:rPr>
        <w:t>pool.</w:t>
      </w:r>
      <w:r>
        <w:rPr>
          <w:position w:val="7"/>
          <w:sz w:val="11"/>
        </w:rPr>
        <w:t>5</w:t>
      </w:r>
    </w:p>
    <w:p>
      <w:pPr>
        <w:pStyle w:val="ListParagraph"/>
        <w:numPr>
          <w:ilvl w:val="1"/>
          <w:numId w:val="12"/>
        </w:numPr>
        <w:tabs>
          <w:tab w:pos="1761" w:val="left" w:leader="none"/>
          <w:tab w:pos="1762" w:val="left" w:leader="none"/>
        </w:tabs>
        <w:spacing w:line="206" w:lineRule="auto" w:before="126" w:after="0"/>
        <w:ind w:left="1761" w:right="1350" w:hanging="794"/>
        <w:jc w:val="left"/>
        <w:rPr>
          <w:sz w:val="20"/>
        </w:rPr>
      </w:pPr>
      <w:r>
        <w:rPr>
          <w:sz w:val="20"/>
        </w:rPr>
        <w:t>The </w:t>
      </w:r>
      <w:r>
        <w:rPr>
          <w:spacing w:val="-4"/>
          <w:sz w:val="20"/>
        </w:rPr>
        <w:t>ACT </w:t>
      </w:r>
      <w:r>
        <w:rPr>
          <w:sz w:val="20"/>
        </w:rPr>
        <w:t>courts hear significantly </w:t>
      </w:r>
      <w:r>
        <w:rPr>
          <w:spacing w:val="-3"/>
          <w:sz w:val="20"/>
        </w:rPr>
        <w:t>fewer </w:t>
      </w:r>
      <w:r>
        <w:rPr>
          <w:sz w:val="20"/>
        </w:rPr>
        <w:t>trials.</w:t>
      </w:r>
      <w:r>
        <w:rPr>
          <w:position w:val="7"/>
          <w:sz w:val="11"/>
        </w:rPr>
        <w:t>6 </w:t>
      </w:r>
      <w:r>
        <w:rPr>
          <w:sz w:val="20"/>
        </w:rPr>
        <w:t>The </w:t>
      </w:r>
      <w:r>
        <w:rPr>
          <w:spacing w:val="-4"/>
          <w:sz w:val="20"/>
        </w:rPr>
        <w:t>ACT </w:t>
      </w:r>
      <w:r>
        <w:rPr>
          <w:sz w:val="20"/>
        </w:rPr>
        <w:t>sheriff advised that there </w:t>
      </w:r>
      <w:r>
        <w:rPr>
          <w:spacing w:val="-3"/>
          <w:sz w:val="20"/>
        </w:rPr>
        <w:t>are only five </w:t>
      </w:r>
      <w:r>
        <w:rPr>
          <w:sz w:val="20"/>
        </w:rPr>
        <w:t>judges </w:t>
      </w:r>
      <w:r>
        <w:rPr>
          <w:spacing w:val="-3"/>
          <w:sz w:val="20"/>
        </w:rPr>
        <w:t>available </w:t>
      </w:r>
      <w:r>
        <w:rPr>
          <w:sz w:val="20"/>
        </w:rPr>
        <w:t>who </w:t>
      </w:r>
      <w:r>
        <w:rPr>
          <w:spacing w:val="-3"/>
          <w:sz w:val="20"/>
        </w:rPr>
        <w:t>would </w:t>
      </w:r>
      <w:r>
        <w:rPr>
          <w:sz w:val="20"/>
        </w:rPr>
        <w:t>typically run a jury trial in the Supreme Court.</w:t>
      </w:r>
      <w:r>
        <w:rPr>
          <w:position w:val="7"/>
          <w:sz w:val="11"/>
        </w:rPr>
        <w:t>7</w:t>
      </w:r>
      <w:r>
        <w:rPr>
          <w:sz w:val="11"/>
        </w:rPr>
        <w:t> </w:t>
      </w:r>
      <w:r>
        <w:rPr>
          <w:spacing w:val="-6"/>
          <w:sz w:val="20"/>
        </w:rPr>
        <w:t>We </w:t>
      </w:r>
      <w:r>
        <w:rPr>
          <w:spacing w:val="-4"/>
          <w:sz w:val="20"/>
        </w:rPr>
        <w:t>were </w:t>
      </w:r>
      <w:r>
        <w:rPr>
          <w:spacing w:val="-3"/>
          <w:sz w:val="20"/>
        </w:rPr>
        <w:t>told </w:t>
      </w:r>
      <w:r>
        <w:rPr>
          <w:sz w:val="20"/>
        </w:rPr>
        <w:t>that generally the maximum number of trials running on a given </w:t>
      </w:r>
      <w:r>
        <w:rPr>
          <w:spacing w:val="-3"/>
          <w:sz w:val="20"/>
        </w:rPr>
        <w:t>day </w:t>
      </w:r>
      <w:r>
        <w:rPr>
          <w:sz w:val="20"/>
        </w:rPr>
        <w:t>is </w:t>
      </w:r>
      <w:r>
        <w:rPr>
          <w:spacing w:val="-3"/>
          <w:sz w:val="20"/>
        </w:rPr>
        <w:t>two. </w:t>
      </w:r>
      <w:r>
        <w:rPr>
          <w:sz w:val="20"/>
        </w:rPr>
        <w:t>Before the pandemic the Court might hear </w:t>
      </w:r>
      <w:r>
        <w:rPr>
          <w:spacing w:val="-3"/>
          <w:sz w:val="20"/>
        </w:rPr>
        <w:t>five </w:t>
      </w:r>
      <w:r>
        <w:rPr>
          <w:sz w:val="20"/>
        </w:rPr>
        <w:t>trials a week.</w:t>
      </w:r>
      <w:r>
        <w:rPr>
          <w:position w:val="7"/>
          <w:sz w:val="11"/>
        </w:rPr>
        <w:t>8 </w:t>
      </w:r>
      <w:r>
        <w:rPr>
          <w:sz w:val="20"/>
        </w:rPr>
        <w:t>The </w:t>
      </w:r>
      <w:r>
        <w:rPr>
          <w:spacing w:val="-4"/>
          <w:sz w:val="20"/>
        </w:rPr>
        <w:t>ACT </w:t>
      </w:r>
      <w:r>
        <w:rPr>
          <w:sz w:val="20"/>
        </w:rPr>
        <w:t>has no intermediate</w:t>
      </w:r>
      <w:r>
        <w:rPr>
          <w:spacing w:val="-13"/>
          <w:sz w:val="20"/>
        </w:rPr>
        <w:t> </w:t>
      </w:r>
      <w:r>
        <w:rPr>
          <w:sz w:val="20"/>
        </w:rPr>
        <w:t>court</w:t>
      </w:r>
      <w:r>
        <w:rPr>
          <w:spacing w:val="-12"/>
          <w:sz w:val="20"/>
        </w:rPr>
        <w:t> </w:t>
      </w:r>
      <w:r>
        <w:rPr>
          <w:sz w:val="20"/>
        </w:rPr>
        <w:t>equivalent</w:t>
      </w:r>
      <w:r>
        <w:rPr>
          <w:spacing w:val="-12"/>
          <w:sz w:val="20"/>
        </w:rPr>
        <w:t> </w:t>
      </w:r>
      <w:r>
        <w:rPr>
          <w:sz w:val="20"/>
        </w:rPr>
        <w:t>to</w:t>
      </w:r>
      <w:r>
        <w:rPr>
          <w:spacing w:val="-13"/>
          <w:sz w:val="20"/>
        </w:rPr>
        <w:t> </w:t>
      </w:r>
      <w:r>
        <w:rPr>
          <w:sz w:val="20"/>
        </w:rPr>
        <w:t>the</w:t>
      </w:r>
      <w:r>
        <w:rPr>
          <w:spacing w:val="-12"/>
          <w:sz w:val="20"/>
        </w:rPr>
        <w:t> </w:t>
      </w:r>
      <w:r>
        <w:rPr>
          <w:sz w:val="20"/>
        </w:rPr>
        <w:t>County</w:t>
      </w:r>
      <w:r>
        <w:rPr>
          <w:spacing w:val="-12"/>
          <w:sz w:val="20"/>
        </w:rPr>
        <w:t> </w:t>
      </w:r>
      <w:r>
        <w:rPr>
          <w:sz w:val="20"/>
        </w:rPr>
        <w:t>Court</w:t>
      </w:r>
      <w:r>
        <w:rPr>
          <w:spacing w:val="-13"/>
          <w:sz w:val="20"/>
        </w:rPr>
        <w:t> </w:t>
      </w:r>
      <w:r>
        <w:rPr>
          <w:sz w:val="20"/>
        </w:rPr>
        <w:t>in</w:t>
      </w:r>
      <w:r>
        <w:rPr>
          <w:spacing w:val="-12"/>
          <w:sz w:val="20"/>
        </w:rPr>
        <w:t> </w:t>
      </w:r>
      <w:r>
        <w:rPr>
          <w:sz w:val="20"/>
        </w:rPr>
        <w:t>Victoria,</w:t>
      </w:r>
      <w:r>
        <w:rPr>
          <w:spacing w:val="-12"/>
          <w:sz w:val="20"/>
        </w:rPr>
        <w:t> </w:t>
      </w:r>
      <w:r>
        <w:rPr>
          <w:sz w:val="20"/>
        </w:rPr>
        <w:t>nor</w:t>
      </w:r>
      <w:r>
        <w:rPr>
          <w:spacing w:val="-13"/>
          <w:sz w:val="20"/>
        </w:rPr>
        <w:t> </w:t>
      </w:r>
      <w:r>
        <w:rPr>
          <w:sz w:val="20"/>
        </w:rPr>
        <w:t>does</w:t>
      </w:r>
      <w:r>
        <w:rPr>
          <w:spacing w:val="-12"/>
          <w:sz w:val="20"/>
        </w:rPr>
        <w:t> </w:t>
      </w:r>
      <w:r>
        <w:rPr>
          <w:sz w:val="20"/>
        </w:rPr>
        <w:t>it</w:t>
      </w:r>
      <w:r>
        <w:rPr>
          <w:spacing w:val="-12"/>
          <w:sz w:val="20"/>
        </w:rPr>
        <w:t> </w:t>
      </w:r>
      <w:r>
        <w:rPr>
          <w:spacing w:val="-4"/>
          <w:sz w:val="20"/>
        </w:rPr>
        <w:t>have</w:t>
      </w:r>
      <w:r>
        <w:rPr>
          <w:spacing w:val="-12"/>
          <w:sz w:val="20"/>
        </w:rPr>
        <w:t> </w:t>
      </w:r>
      <w:r>
        <w:rPr>
          <w:sz w:val="20"/>
        </w:rPr>
        <w:t>regional circuits.</w:t>
      </w:r>
    </w:p>
    <w:p>
      <w:pPr>
        <w:pStyle w:val="ListParagraph"/>
        <w:numPr>
          <w:ilvl w:val="1"/>
          <w:numId w:val="12"/>
        </w:numPr>
        <w:tabs>
          <w:tab w:pos="1761" w:val="left" w:leader="none"/>
          <w:tab w:pos="1762" w:val="left" w:leader="none"/>
        </w:tabs>
        <w:spacing w:line="206" w:lineRule="auto" w:before="128" w:after="0"/>
        <w:ind w:left="1761" w:right="1213" w:hanging="794"/>
        <w:jc w:val="left"/>
        <w:rPr>
          <w:sz w:val="11"/>
        </w:rPr>
      </w:pPr>
      <w:r>
        <w:rPr>
          <w:sz w:val="20"/>
        </w:rPr>
        <w:t>Case management practices in the </w:t>
      </w:r>
      <w:r>
        <w:rPr>
          <w:spacing w:val="-4"/>
          <w:sz w:val="20"/>
        </w:rPr>
        <w:t>ACT </w:t>
      </w:r>
      <w:r>
        <w:rPr>
          <w:spacing w:val="-3"/>
          <w:sz w:val="20"/>
        </w:rPr>
        <w:t>are </w:t>
      </w:r>
      <w:r>
        <w:rPr>
          <w:sz w:val="20"/>
        </w:rPr>
        <w:t>based on an individual </w:t>
      </w:r>
      <w:r>
        <w:rPr>
          <w:spacing w:val="-3"/>
          <w:sz w:val="20"/>
        </w:rPr>
        <w:t>docket </w:t>
      </w:r>
      <w:r>
        <w:rPr>
          <w:sz w:val="20"/>
        </w:rPr>
        <w:t>system, which </w:t>
      </w:r>
      <w:r>
        <w:rPr>
          <w:spacing w:val="-3"/>
          <w:sz w:val="20"/>
        </w:rPr>
        <w:t>makes </w:t>
      </w:r>
      <w:r>
        <w:rPr>
          <w:sz w:val="20"/>
        </w:rPr>
        <w:t>it easier to plan for the delivery and assessment of supports. Cases </w:t>
      </w:r>
      <w:r>
        <w:rPr>
          <w:spacing w:val="-3"/>
          <w:sz w:val="20"/>
        </w:rPr>
        <w:t>may </w:t>
      </w:r>
      <w:r>
        <w:rPr>
          <w:sz w:val="20"/>
        </w:rPr>
        <w:t>be</w:t>
      </w:r>
      <w:r>
        <w:rPr>
          <w:spacing w:val="-8"/>
          <w:sz w:val="20"/>
        </w:rPr>
        <w:t> </w:t>
      </w:r>
      <w:r>
        <w:rPr>
          <w:sz w:val="20"/>
        </w:rPr>
        <w:t>allocated</w:t>
      </w:r>
      <w:r>
        <w:rPr>
          <w:spacing w:val="-7"/>
          <w:sz w:val="20"/>
        </w:rPr>
        <w:t> </w:t>
      </w:r>
      <w:r>
        <w:rPr>
          <w:sz w:val="20"/>
        </w:rPr>
        <w:t>to</w:t>
      </w:r>
      <w:r>
        <w:rPr>
          <w:spacing w:val="-8"/>
          <w:sz w:val="20"/>
        </w:rPr>
        <w:t> </w:t>
      </w:r>
      <w:r>
        <w:rPr>
          <w:sz w:val="20"/>
        </w:rPr>
        <w:t>a</w:t>
      </w:r>
      <w:r>
        <w:rPr>
          <w:spacing w:val="-7"/>
          <w:sz w:val="20"/>
        </w:rPr>
        <w:t> </w:t>
      </w:r>
      <w:r>
        <w:rPr>
          <w:sz w:val="20"/>
        </w:rPr>
        <w:t>judge</w:t>
      </w:r>
      <w:r>
        <w:rPr>
          <w:spacing w:val="-7"/>
          <w:sz w:val="20"/>
        </w:rPr>
        <w:t> </w:t>
      </w:r>
      <w:r>
        <w:rPr>
          <w:sz w:val="20"/>
        </w:rPr>
        <w:t>at</w:t>
      </w:r>
      <w:r>
        <w:rPr>
          <w:spacing w:val="-8"/>
          <w:sz w:val="20"/>
        </w:rPr>
        <w:t> </w:t>
      </w:r>
      <w:r>
        <w:rPr>
          <w:spacing w:val="-3"/>
          <w:sz w:val="20"/>
        </w:rPr>
        <w:t>any</w:t>
      </w:r>
      <w:r>
        <w:rPr>
          <w:spacing w:val="-7"/>
          <w:sz w:val="20"/>
        </w:rPr>
        <w:t> </w:t>
      </w:r>
      <w:r>
        <w:rPr>
          <w:sz w:val="20"/>
        </w:rPr>
        <w:t>time</w:t>
      </w:r>
      <w:r>
        <w:rPr>
          <w:spacing w:val="-7"/>
          <w:sz w:val="20"/>
        </w:rPr>
        <w:t> </w:t>
      </w:r>
      <w:r>
        <w:rPr>
          <w:spacing w:val="-3"/>
          <w:sz w:val="20"/>
        </w:rPr>
        <w:t>from</w:t>
      </w:r>
      <w:r>
        <w:rPr>
          <w:spacing w:val="-8"/>
          <w:sz w:val="20"/>
        </w:rPr>
        <w:t> </w:t>
      </w:r>
      <w:r>
        <w:rPr>
          <w:spacing w:val="-3"/>
          <w:sz w:val="20"/>
        </w:rPr>
        <w:t>several</w:t>
      </w:r>
      <w:r>
        <w:rPr>
          <w:spacing w:val="-7"/>
          <w:sz w:val="20"/>
        </w:rPr>
        <w:t> </w:t>
      </w:r>
      <w:r>
        <w:rPr>
          <w:sz w:val="20"/>
        </w:rPr>
        <w:t>months</w:t>
      </w:r>
      <w:r>
        <w:rPr>
          <w:spacing w:val="-7"/>
          <w:sz w:val="20"/>
        </w:rPr>
        <w:t> </w:t>
      </w:r>
      <w:r>
        <w:rPr>
          <w:spacing w:val="-3"/>
          <w:sz w:val="20"/>
        </w:rPr>
        <w:t>before</w:t>
      </w:r>
      <w:r>
        <w:rPr>
          <w:spacing w:val="-8"/>
          <w:sz w:val="20"/>
        </w:rPr>
        <w:t> </w:t>
      </w:r>
      <w:r>
        <w:rPr>
          <w:sz w:val="20"/>
        </w:rPr>
        <w:t>the</w:t>
      </w:r>
      <w:r>
        <w:rPr>
          <w:spacing w:val="-7"/>
          <w:sz w:val="20"/>
        </w:rPr>
        <w:t> </w:t>
      </w:r>
      <w:r>
        <w:rPr>
          <w:sz w:val="20"/>
        </w:rPr>
        <w:t>trial</w:t>
      </w:r>
      <w:r>
        <w:rPr>
          <w:spacing w:val="-8"/>
          <w:sz w:val="20"/>
        </w:rPr>
        <w:t> </w:t>
      </w:r>
      <w:r>
        <w:rPr>
          <w:sz w:val="20"/>
        </w:rPr>
        <w:t>up</w:t>
      </w:r>
      <w:r>
        <w:rPr>
          <w:spacing w:val="-7"/>
          <w:sz w:val="20"/>
        </w:rPr>
        <w:t> </w:t>
      </w:r>
      <w:r>
        <w:rPr>
          <w:sz w:val="20"/>
        </w:rPr>
        <w:t>to</w:t>
      </w:r>
      <w:r>
        <w:rPr>
          <w:spacing w:val="-7"/>
          <w:sz w:val="20"/>
        </w:rPr>
        <w:t> </w:t>
      </w:r>
      <w:r>
        <w:rPr>
          <w:sz w:val="20"/>
        </w:rPr>
        <w:t>the</w:t>
      </w:r>
      <w:r>
        <w:rPr>
          <w:spacing w:val="-8"/>
          <w:sz w:val="20"/>
        </w:rPr>
        <w:t> </w:t>
      </w:r>
      <w:r>
        <w:rPr>
          <w:sz w:val="20"/>
        </w:rPr>
        <w:t>week </w:t>
      </w:r>
      <w:r>
        <w:rPr>
          <w:spacing w:val="-3"/>
          <w:sz w:val="20"/>
        </w:rPr>
        <w:t>before.</w:t>
      </w:r>
      <w:r>
        <w:rPr>
          <w:spacing w:val="-11"/>
          <w:sz w:val="20"/>
        </w:rPr>
        <w:t> </w:t>
      </w:r>
      <w:r>
        <w:rPr>
          <w:sz w:val="20"/>
        </w:rPr>
        <w:t>Courtrooms</w:t>
      </w:r>
      <w:r>
        <w:rPr>
          <w:spacing w:val="-10"/>
          <w:sz w:val="20"/>
        </w:rPr>
        <w:t> </w:t>
      </w:r>
      <w:r>
        <w:rPr>
          <w:spacing w:val="-3"/>
          <w:sz w:val="20"/>
        </w:rPr>
        <w:t>are</w:t>
      </w:r>
      <w:r>
        <w:rPr>
          <w:spacing w:val="-10"/>
          <w:sz w:val="20"/>
        </w:rPr>
        <w:t> </w:t>
      </w:r>
      <w:r>
        <w:rPr>
          <w:sz w:val="20"/>
        </w:rPr>
        <w:t>generally</w:t>
      </w:r>
      <w:r>
        <w:rPr>
          <w:spacing w:val="-10"/>
          <w:sz w:val="20"/>
        </w:rPr>
        <w:t> </w:t>
      </w:r>
      <w:r>
        <w:rPr>
          <w:sz w:val="20"/>
        </w:rPr>
        <w:t>allocated</w:t>
      </w:r>
      <w:r>
        <w:rPr>
          <w:spacing w:val="-10"/>
          <w:sz w:val="20"/>
        </w:rPr>
        <w:t> </w:t>
      </w:r>
      <w:r>
        <w:rPr>
          <w:sz w:val="20"/>
        </w:rPr>
        <w:t>a</w:t>
      </w:r>
      <w:r>
        <w:rPr>
          <w:spacing w:val="-10"/>
          <w:sz w:val="20"/>
        </w:rPr>
        <w:t> </w:t>
      </w:r>
      <w:r>
        <w:rPr>
          <w:sz w:val="20"/>
        </w:rPr>
        <w:t>week</w:t>
      </w:r>
      <w:r>
        <w:rPr>
          <w:spacing w:val="-10"/>
          <w:sz w:val="20"/>
        </w:rPr>
        <w:t> </w:t>
      </w:r>
      <w:r>
        <w:rPr>
          <w:sz w:val="20"/>
        </w:rPr>
        <w:t>in</w:t>
      </w:r>
      <w:r>
        <w:rPr>
          <w:spacing w:val="-10"/>
          <w:sz w:val="20"/>
        </w:rPr>
        <w:t> </w:t>
      </w:r>
      <w:r>
        <w:rPr>
          <w:sz w:val="20"/>
        </w:rPr>
        <w:t>advance</w:t>
      </w:r>
      <w:r>
        <w:rPr>
          <w:spacing w:val="-10"/>
          <w:sz w:val="20"/>
        </w:rPr>
        <w:t> </w:t>
      </w:r>
      <w:r>
        <w:rPr>
          <w:sz w:val="20"/>
        </w:rPr>
        <w:t>and</w:t>
      </w:r>
      <w:r>
        <w:rPr>
          <w:spacing w:val="-10"/>
          <w:sz w:val="20"/>
        </w:rPr>
        <w:t> </w:t>
      </w:r>
      <w:r>
        <w:rPr>
          <w:sz w:val="20"/>
        </w:rPr>
        <w:t>judges</w:t>
      </w:r>
      <w:r>
        <w:rPr>
          <w:spacing w:val="-10"/>
          <w:sz w:val="20"/>
        </w:rPr>
        <w:t> </w:t>
      </w:r>
      <w:r>
        <w:rPr>
          <w:spacing w:val="-3"/>
          <w:sz w:val="20"/>
        </w:rPr>
        <w:t>are</w:t>
      </w:r>
      <w:r>
        <w:rPr>
          <w:spacing w:val="-10"/>
          <w:sz w:val="20"/>
        </w:rPr>
        <w:t> </w:t>
      </w:r>
      <w:r>
        <w:rPr>
          <w:sz w:val="20"/>
        </w:rPr>
        <w:t>assigned their </w:t>
      </w:r>
      <w:r>
        <w:rPr>
          <w:spacing w:val="-3"/>
          <w:sz w:val="20"/>
        </w:rPr>
        <w:t>own </w:t>
      </w:r>
      <w:r>
        <w:rPr>
          <w:sz w:val="20"/>
        </w:rPr>
        <w:t>courtroom for all their</w:t>
      </w:r>
      <w:r>
        <w:rPr>
          <w:spacing w:val="-24"/>
          <w:sz w:val="20"/>
        </w:rPr>
        <w:t> </w:t>
      </w:r>
      <w:r>
        <w:rPr>
          <w:sz w:val="20"/>
        </w:rPr>
        <w:t>trials.</w:t>
      </w:r>
      <w:r>
        <w:rPr>
          <w:position w:val="7"/>
          <w:sz w:val="11"/>
        </w:rPr>
        <w:t>9</w:t>
      </w:r>
    </w:p>
    <w:p>
      <w:pPr>
        <w:spacing w:before="165"/>
        <w:ind w:left="967" w:right="0" w:firstLine="0"/>
        <w:jc w:val="left"/>
        <w:rPr>
          <w:b/>
          <w:sz w:val="24"/>
        </w:rPr>
      </w:pPr>
      <w:r>
        <w:rPr>
          <w:b/>
          <w:sz w:val="24"/>
        </w:rPr>
        <w:t>The Supreme and County Courts operate differently</w:t>
      </w:r>
    </w:p>
    <w:p>
      <w:pPr>
        <w:pStyle w:val="ListParagraph"/>
        <w:numPr>
          <w:ilvl w:val="1"/>
          <w:numId w:val="12"/>
        </w:numPr>
        <w:tabs>
          <w:tab w:pos="1761" w:val="left" w:leader="none"/>
          <w:tab w:pos="1762" w:val="left" w:leader="none"/>
        </w:tabs>
        <w:spacing w:line="206" w:lineRule="auto" w:before="127" w:after="0"/>
        <w:ind w:left="1761" w:right="1506" w:hanging="794"/>
        <w:jc w:val="left"/>
        <w:rPr>
          <w:sz w:val="20"/>
        </w:rPr>
      </w:pPr>
      <w:r>
        <w:rPr>
          <w:sz w:val="20"/>
        </w:rPr>
        <w:t>There </w:t>
      </w:r>
      <w:r>
        <w:rPr>
          <w:spacing w:val="-3"/>
          <w:sz w:val="20"/>
        </w:rPr>
        <w:t>are </w:t>
      </w:r>
      <w:r>
        <w:rPr>
          <w:sz w:val="20"/>
        </w:rPr>
        <w:t>differences between the case management approaches of the Victorian County Court and the Supreme Court, making it difficult to devise a procedural approach</w:t>
      </w:r>
      <w:r>
        <w:rPr>
          <w:spacing w:val="-9"/>
          <w:sz w:val="20"/>
        </w:rPr>
        <w:t> </w:t>
      </w:r>
      <w:r>
        <w:rPr>
          <w:sz w:val="20"/>
        </w:rPr>
        <w:t>that</w:t>
      </w:r>
      <w:r>
        <w:rPr>
          <w:spacing w:val="-9"/>
          <w:sz w:val="20"/>
        </w:rPr>
        <w:t> </w:t>
      </w:r>
      <w:r>
        <w:rPr>
          <w:sz w:val="20"/>
        </w:rPr>
        <w:t>suits</w:t>
      </w:r>
      <w:r>
        <w:rPr>
          <w:spacing w:val="-9"/>
          <w:sz w:val="20"/>
        </w:rPr>
        <w:t> </w:t>
      </w:r>
      <w:r>
        <w:rPr>
          <w:sz w:val="20"/>
        </w:rPr>
        <w:t>both.</w:t>
      </w:r>
      <w:r>
        <w:rPr>
          <w:spacing w:val="-8"/>
          <w:sz w:val="20"/>
        </w:rPr>
        <w:t> </w:t>
      </w:r>
      <w:r>
        <w:rPr>
          <w:sz w:val="20"/>
        </w:rPr>
        <w:t>In</w:t>
      </w:r>
      <w:r>
        <w:rPr>
          <w:spacing w:val="-9"/>
          <w:sz w:val="20"/>
        </w:rPr>
        <w:t> </w:t>
      </w:r>
      <w:r>
        <w:rPr>
          <w:sz w:val="20"/>
        </w:rPr>
        <w:t>the</w:t>
      </w:r>
      <w:r>
        <w:rPr>
          <w:spacing w:val="-9"/>
          <w:sz w:val="20"/>
        </w:rPr>
        <w:t> </w:t>
      </w:r>
      <w:r>
        <w:rPr>
          <w:sz w:val="20"/>
        </w:rPr>
        <w:t>Supreme</w:t>
      </w:r>
      <w:r>
        <w:rPr>
          <w:spacing w:val="-9"/>
          <w:sz w:val="20"/>
        </w:rPr>
        <w:t> </w:t>
      </w:r>
      <w:r>
        <w:rPr>
          <w:sz w:val="20"/>
        </w:rPr>
        <w:t>Court</w:t>
      </w:r>
      <w:r>
        <w:rPr>
          <w:spacing w:val="-8"/>
          <w:sz w:val="20"/>
        </w:rPr>
        <w:t> </w:t>
      </w:r>
      <w:r>
        <w:rPr>
          <w:sz w:val="20"/>
        </w:rPr>
        <w:t>the</w:t>
      </w:r>
      <w:r>
        <w:rPr>
          <w:spacing w:val="-9"/>
          <w:sz w:val="20"/>
        </w:rPr>
        <w:t> </w:t>
      </w:r>
      <w:r>
        <w:rPr>
          <w:sz w:val="20"/>
        </w:rPr>
        <w:t>trial</w:t>
      </w:r>
      <w:r>
        <w:rPr>
          <w:spacing w:val="-9"/>
          <w:sz w:val="20"/>
        </w:rPr>
        <w:t> </w:t>
      </w:r>
      <w:r>
        <w:rPr>
          <w:sz w:val="20"/>
        </w:rPr>
        <w:t>judge</w:t>
      </w:r>
      <w:r>
        <w:rPr>
          <w:spacing w:val="-9"/>
          <w:sz w:val="20"/>
        </w:rPr>
        <w:t> </w:t>
      </w:r>
      <w:r>
        <w:rPr>
          <w:sz w:val="20"/>
        </w:rPr>
        <w:t>has</w:t>
      </w:r>
      <w:r>
        <w:rPr>
          <w:spacing w:val="-8"/>
          <w:sz w:val="20"/>
        </w:rPr>
        <w:t> </w:t>
      </w:r>
      <w:r>
        <w:rPr>
          <w:sz w:val="20"/>
        </w:rPr>
        <w:t>more</w:t>
      </w:r>
      <w:r>
        <w:rPr>
          <w:spacing w:val="-9"/>
          <w:sz w:val="20"/>
        </w:rPr>
        <w:t> </w:t>
      </w:r>
      <w:r>
        <w:rPr>
          <w:spacing w:val="-3"/>
          <w:sz w:val="20"/>
        </w:rPr>
        <w:t>control</w:t>
      </w:r>
      <w:r>
        <w:rPr>
          <w:spacing w:val="-9"/>
          <w:sz w:val="20"/>
        </w:rPr>
        <w:t> </w:t>
      </w:r>
      <w:r>
        <w:rPr>
          <w:spacing w:val="-4"/>
          <w:sz w:val="20"/>
        </w:rPr>
        <w:t>over </w:t>
      </w:r>
      <w:r>
        <w:rPr>
          <w:sz w:val="20"/>
        </w:rPr>
        <w:t>pre-trial</w:t>
      </w:r>
      <w:r>
        <w:rPr>
          <w:spacing w:val="-9"/>
          <w:sz w:val="20"/>
        </w:rPr>
        <w:t> </w:t>
      </w:r>
      <w:r>
        <w:rPr>
          <w:sz w:val="20"/>
        </w:rPr>
        <w:t>issues.</w:t>
      </w:r>
      <w:r>
        <w:rPr>
          <w:spacing w:val="-8"/>
          <w:sz w:val="20"/>
        </w:rPr>
        <w:t> </w:t>
      </w:r>
      <w:r>
        <w:rPr>
          <w:sz w:val="20"/>
        </w:rPr>
        <w:t>There</w:t>
      </w:r>
      <w:r>
        <w:rPr>
          <w:spacing w:val="-8"/>
          <w:sz w:val="20"/>
        </w:rPr>
        <w:t> </w:t>
      </w:r>
      <w:r>
        <w:rPr>
          <w:spacing w:val="-3"/>
          <w:sz w:val="20"/>
        </w:rPr>
        <w:t>are</w:t>
      </w:r>
      <w:r>
        <w:rPr>
          <w:spacing w:val="-8"/>
          <w:sz w:val="20"/>
        </w:rPr>
        <w:t> </w:t>
      </w:r>
      <w:r>
        <w:rPr>
          <w:spacing w:val="-3"/>
          <w:sz w:val="20"/>
        </w:rPr>
        <w:t>fewer</w:t>
      </w:r>
      <w:r>
        <w:rPr>
          <w:spacing w:val="-8"/>
          <w:sz w:val="20"/>
        </w:rPr>
        <w:t> </w:t>
      </w:r>
      <w:r>
        <w:rPr>
          <w:sz w:val="20"/>
        </w:rPr>
        <w:t>trials</w:t>
      </w:r>
      <w:r>
        <w:rPr>
          <w:spacing w:val="-8"/>
          <w:sz w:val="20"/>
        </w:rPr>
        <w:t> </w:t>
      </w:r>
      <w:r>
        <w:rPr>
          <w:sz w:val="20"/>
        </w:rPr>
        <w:t>to</w:t>
      </w:r>
      <w:r>
        <w:rPr>
          <w:spacing w:val="-8"/>
          <w:sz w:val="20"/>
        </w:rPr>
        <w:t> </w:t>
      </w:r>
      <w:r>
        <w:rPr>
          <w:sz w:val="20"/>
        </w:rPr>
        <w:t>manage</w:t>
      </w:r>
      <w:r>
        <w:rPr>
          <w:spacing w:val="-8"/>
          <w:sz w:val="20"/>
        </w:rPr>
        <w:t> </w:t>
      </w:r>
      <w:r>
        <w:rPr>
          <w:sz w:val="20"/>
        </w:rPr>
        <w:t>and</w:t>
      </w:r>
      <w:r>
        <w:rPr>
          <w:spacing w:val="-8"/>
          <w:sz w:val="20"/>
        </w:rPr>
        <w:t> </w:t>
      </w:r>
      <w:r>
        <w:rPr>
          <w:sz w:val="20"/>
        </w:rPr>
        <w:t>trial</w:t>
      </w:r>
      <w:r>
        <w:rPr>
          <w:spacing w:val="-9"/>
          <w:sz w:val="20"/>
        </w:rPr>
        <w:t> </w:t>
      </w:r>
      <w:r>
        <w:rPr>
          <w:spacing w:val="-3"/>
          <w:sz w:val="20"/>
        </w:rPr>
        <w:t>dates</w:t>
      </w:r>
      <w:r>
        <w:rPr>
          <w:spacing w:val="-8"/>
          <w:sz w:val="20"/>
        </w:rPr>
        <w:t> </w:t>
      </w:r>
      <w:r>
        <w:rPr>
          <w:spacing w:val="-3"/>
          <w:sz w:val="20"/>
        </w:rPr>
        <w:t>are</w:t>
      </w:r>
      <w:r>
        <w:rPr>
          <w:spacing w:val="-8"/>
          <w:sz w:val="20"/>
        </w:rPr>
        <w:t> </w:t>
      </w:r>
      <w:r>
        <w:rPr>
          <w:sz w:val="20"/>
        </w:rPr>
        <w:t>more</w:t>
      </w:r>
      <w:r>
        <w:rPr>
          <w:spacing w:val="-8"/>
          <w:sz w:val="20"/>
        </w:rPr>
        <w:t> </w:t>
      </w:r>
      <w:r>
        <w:rPr>
          <w:sz w:val="20"/>
        </w:rPr>
        <w:t>certain.</w:t>
      </w:r>
      <w:r>
        <w:rPr>
          <w:position w:val="7"/>
          <w:sz w:val="11"/>
        </w:rPr>
        <w:t>10</w:t>
      </w:r>
      <w:r>
        <w:rPr>
          <w:spacing w:val="17"/>
          <w:position w:val="7"/>
          <w:sz w:val="11"/>
        </w:rPr>
        <w:t> </w:t>
      </w:r>
      <w:r>
        <w:rPr>
          <w:sz w:val="20"/>
        </w:rPr>
        <w:t>In this</w:t>
      </w:r>
      <w:r>
        <w:rPr>
          <w:spacing w:val="-6"/>
          <w:sz w:val="20"/>
        </w:rPr>
        <w:t> way,</w:t>
      </w:r>
      <w:r>
        <w:rPr>
          <w:spacing w:val="-5"/>
          <w:sz w:val="20"/>
        </w:rPr>
        <w:t> </w:t>
      </w:r>
      <w:r>
        <w:rPr>
          <w:sz w:val="20"/>
        </w:rPr>
        <w:t>the</w:t>
      </w:r>
      <w:r>
        <w:rPr>
          <w:spacing w:val="-5"/>
          <w:sz w:val="20"/>
        </w:rPr>
        <w:t> </w:t>
      </w:r>
      <w:r>
        <w:rPr>
          <w:sz w:val="20"/>
        </w:rPr>
        <w:t>Supreme</w:t>
      </w:r>
      <w:r>
        <w:rPr>
          <w:spacing w:val="-5"/>
          <w:sz w:val="20"/>
        </w:rPr>
        <w:t> </w:t>
      </w:r>
      <w:r>
        <w:rPr>
          <w:sz w:val="20"/>
        </w:rPr>
        <w:t>Court</w:t>
      </w:r>
      <w:r>
        <w:rPr>
          <w:spacing w:val="-5"/>
          <w:sz w:val="20"/>
        </w:rPr>
        <w:t> </w:t>
      </w:r>
      <w:r>
        <w:rPr>
          <w:sz w:val="20"/>
        </w:rPr>
        <w:t>more</w:t>
      </w:r>
      <w:r>
        <w:rPr>
          <w:spacing w:val="-5"/>
          <w:sz w:val="20"/>
        </w:rPr>
        <w:t> </w:t>
      </w:r>
      <w:r>
        <w:rPr>
          <w:spacing w:val="-3"/>
          <w:sz w:val="20"/>
        </w:rPr>
        <w:t>closely</w:t>
      </w:r>
      <w:r>
        <w:rPr>
          <w:spacing w:val="-6"/>
          <w:sz w:val="20"/>
        </w:rPr>
        <w:t> </w:t>
      </w:r>
      <w:r>
        <w:rPr>
          <w:spacing w:val="-3"/>
          <w:sz w:val="20"/>
        </w:rPr>
        <w:t>resembles</w:t>
      </w:r>
      <w:r>
        <w:rPr>
          <w:spacing w:val="-5"/>
          <w:sz w:val="20"/>
        </w:rPr>
        <w:t> </w:t>
      </w:r>
      <w:r>
        <w:rPr>
          <w:sz w:val="20"/>
        </w:rPr>
        <w:t>practice</w:t>
      </w:r>
      <w:r>
        <w:rPr>
          <w:spacing w:val="-5"/>
          <w:sz w:val="20"/>
        </w:rPr>
        <w:t> </w:t>
      </w:r>
      <w:r>
        <w:rPr>
          <w:sz w:val="20"/>
        </w:rPr>
        <w:t>in</w:t>
      </w:r>
      <w:r>
        <w:rPr>
          <w:spacing w:val="-5"/>
          <w:sz w:val="20"/>
        </w:rPr>
        <w:t> </w:t>
      </w:r>
      <w:r>
        <w:rPr>
          <w:sz w:val="20"/>
        </w:rPr>
        <w:t>the</w:t>
      </w:r>
      <w:r>
        <w:rPr>
          <w:spacing w:val="-5"/>
          <w:sz w:val="20"/>
        </w:rPr>
        <w:t> </w:t>
      </w:r>
      <w:r>
        <w:rPr>
          <w:spacing w:val="-8"/>
          <w:sz w:val="20"/>
        </w:rPr>
        <w:t>ACT.</w:t>
      </w:r>
    </w:p>
    <w:p>
      <w:pPr>
        <w:pStyle w:val="ListParagraph"/>
        <w:numPr>
          <w:ilvl w:val="1"/>
          <w:numId w:val="12"/>
        </w:numPr>
        <w:tabs>
          <w:tab w:pos="1761" w:val="left" w:leader="none"/>
          <w:tab w:pos="1762" w:val="left" w:leader="none"/>
        </w:tabs>
        <w:spacing w:line="206" w:lineRule="auto" w:before="126" w:after="0"/>
        <w:ind w:left="1761" w:right="1255" w:hanging="794"/>
        <w:jc w:val="left"/>
        <w:rPr>
          <w:sz w:val="20"/>
        </w:rPr>
      </w:pPr>
      <w:r>
        <w:rPr>
          <w:sz w:val="20"/>
        </w:rPr>
        <w:t>The Commission understands that the Victorian courts </w:t>
      </w:r>
      <w:r>
        <w:rPr>
          <w:spacing w:val="-4"/>
          <w:sz w:val="20"/>
        </w:rPr>
        <w:t>have </w:t>
      </w:r>
      <w:r>
        <w:rPr>
          <w:sz w:val="20"/>
        </w:rPr>
        <w:t>changed their case management</w:t>
      </w:r>
      <w:r>
        <w:rPr>
          <w:spacing w:val="-11"/>
          <w:sz w:val="20"/>
        </w:rPr>
        <w:t> </w:t>
      </w:r>
      <w:r>
        <w:rPr>
          <w:sz w:val="20"/>
        </w:rPr>
        <w:t>processes</w:t>
      </w:r>
      <w:r>
        <w:rPr>
          <w:spacing w:val="-11"/>
          <w:sz w:val="20"/>
        </w:rPr>
        <w:t> </w:t>
      </w:r>
      <w:r>
        <w:rPr>
          <w:sz w:val="20"/>
        </w:rPr>
        <w:t>to</w:t>
      </w:r>
      <w:r>
        <w:rPr>
          <w:spacing w:val="-11"/>
          <w:sz w:val="20"/>
        </w:rPr>
        <w:t> </w:t>
      </w:r>
      <w:r>
        <w:rPr>
          <w:sz w:val="20"/>
        </w:rPr>
        <w:t>adapt</w:t>
      </w:r>
      <w:r>
        <w:rPr>
          <w:spacing w:val="-10"/>
          <w:sz w:val="20"/>
        </w:rPr>
        <w:t> </w:t>
      </w:r>
      <w:r>
        <w:rPr>
          <w:sz w:val="20"/>
        </w:rPr>
        <w:t>to</w:t>
      </w:r>
      <w:r>
        <w:rPr>
          <w:spacing w:val="-11"/>
          <w:sz w:val="20"/>
        </w:rPr>
        <w:t> </w:t>
      </w:r>
      <w:r>
        <w:rPr>
          <w:sz w:val="20"/>
        </w:rPr>
        <w:t>the</w:t>
      </w:r>
      <w:r>
        <w:rPr>
          <w:spacing w:val="-11"/>
          <w:sz w:val="20"/>
        </w:rPr>
        <w:t> </w:t>
      </w:r>
      <w:r>
        <w:rPr>
          <w:sz w:val="20"/>
        </w:rPr>
        <w:t>pandemic.</w:t>
      </w:r>
      <w:r>
        <w:rPr>
          <w:position w:val="7"/>
          <w:sz w:val="11"/>
        </w:rPr>
        <w:t>11</w:t>
      </w:r>
      <w:r>
        <w:rPr>
          <w:spacing w:val="14"/>
          <w:position w:val="7"/>
          <w:sz w:val="11"/>
        </w:rPr>
        <w:t> </w:t>
      </w:r>
      <w:r>
        <w:rPr>
          <w:spacing w:val="-6"/>
          <w:sz w:val="20"/>
        </w:rPr>
        <w:t>We</w:t>
      </w:r>
      <w:r>
        <w:rPr>
          <w:spacing w:val="-11"/>
          <w:sz w:val="20"/>
        </w:rPr>
        <w:t> </w:t>
      </w:r>
      <w:r>
        <w:rPr>
          <w:sz w:val="20"/>
        </w:rPr>
        <w:t>discuss</w:t>
      </w:r>
      <w:r>
        <w:rPr>
          <w:spacing w:val="-10"/>
          <w:sz w:val="20"/>
        </w:rPr>
        <w:t> </w:t>
      </w:r>
      <w:r>
        <w:rPr>
          <w:sz w:val="20"/>
        </w:rPr>
        <w:t>changes</w:t>
      </w:r>
      <w:r>
        <w:rPr>
          <w:spacing w:val="-11"/>
          <w:sz w:val="20"/>
        </w:rPr>
        <w:t> </w:t>
      </w:r>
      <w:r>
        <w:rPr>
          <w:sz w:val="20"/>
        </w:rPr>
        <w:t>in</w:t>
      </w:r>
      <w:r>
        <w:rPr>
          <w:spacing w:val="-11"/>
          <w:sz w:val="20"/>
        </w:rPr>
        <w:t> </w:t>
      </w:r>
      <w:r>
        <w:rPr>
          <w:sz w:val="20"/>
        </w:rPr>
        <w:t>the</w:t>
      </w:r>
      <w:r>
        <w:rPr>
          <w:spacing w:val="-11"/>
          <w:sz w:val="20"/>
        </w:rPr>
        <w:t> </w:t>
      </w:r>
      <w:r>
        <w:rPr>
          <w:sz w:val="20"/>
        </w:rPr>
        <w:t>County Court </w:t>
      </w:r>
      <w:r>
        <w:rPr>
          <w:spacing w:val="-5"/>
          <w:sz w:val="20"/>
        </w:rPr>
        <w:t>below. </w:t>
      </w:r>
      <w:r>
        <w:rPr>
          <w:sz w:val="20"/>
        </w:rPr>
        <w:t>While the courts </w:t>
      </w:r>
      <w:r>
        <w:rPr>
          <w:spacing w:val="-3"/>
          <w:sz w:val="20"/>
        </w:rPr>
        <w:t>are </w:t>
      </w:r>
      <w:r>
        <w:rPr>
          <w:sz w:val="20"/>
        </w:rPr>
        <w:t>hopeful that these changes will continue, this remains unclear at the time of</w:t>
      </w:r>
      <w:r>
        <w:rPr>
          <w:spacing w:val="-28"/>
          <w:sz w:val="20"/>
        </w:rPr>
        <w:t> </w:t>
      </w:r>
      <w:r>
        <w:rPr>
          <w:sz w:val="20"/>
        </w:rPr>
        <w:t>writing.</w:t>
      </w:r>
    </w:p>
    <w:p>
      <w:pPr>
        <w:pStyle w:val="BodyText"/>
      </w:pPr>
    </w:p>
    <w:p>
      <w:pPr>
        <w:pStyle w:val="BodyText"/>
      </w:pPr>
    </w:p>
    <w:p>
      <w:pPr>
        <w:pStyle w:val="BodyText"/>
      </w:pPr>
    </w:p>
    <w:p>
      <w:pPr>
        <w:pStyle w:val="BodyText"/>
      </w:pPr>
    </w:p>
    <w:p>
      <w:pPr>
        <w:pStyle w:val="BodyText"/>
        <w:spacing w:before="4"/>
        <w:rPr>
          <w:sz w:val="16"/>
        </w:rPr>
      </w:pPr>
      <w:r>
        <w:rPr/>
        <w:pict>
          <v:line style="position:absolute;mso-position-horizontal-relative:page;mso-position-vertical-relative:paragraph;z-index:7280;mso-wrap-distance-left:0;mso-wrap-distance-right:0" from="79.370102pt,13.7571pt" to="515.905102pt,13.7571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spacing w:before="2"/>
        <w:rPr>
          <w:sz w:val="40"/>
        </w:rPr>
      </w:pPr>
    </w:p>
    <w:p>
      <w:pPr>
        <w:spacing w:before="0"/>
        <w:ind w:left="100" w:right="0" w:firstLine="0"/>
        <w:jc w:val="left"/>
        <w:rPr>
          <w:b/>
          <w:sz w:val="24"/>
        </w:rPr>
      </w:pPr>
      <w:r>
        <w:rPr>
          <w:b/>
          <w:color w:val="37617A"/>
          <w:sz w:val="24"/>
        </w:rPr>
        <w:t>124</w:t>
      </w:r>
    </w:p>
    <w:p>
      <w:pPr>
        <w:pStyle w:val="ListParagraph"/>
        <w:numPr>
          <w:ilvl w:val="0"/>
          <w:numId w:val="87"/>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pacing w:val="2"/>
          <w:sz w:val="13"/>
        </w:rPr>
        <w:t>Submission </w:t>
      </w:r>
      <w:r>
        <w:rPr>
          <w:sz w:val="13"/>
        </w:rPr>
        <w:t>13 </w:t>
      </w:r>
      <w:r>
        <w:rPr>
          <w:spacing w:val="2"/>
          <w:sz w:val="13"/>
        </w:rPr>
        <w:t>(Juries</w:t>
      </w:r>
      <w:r>
        <w:rPr>
          <w:spacing w:val="-2"/>
          <w:sz w:val="13"/>
        </w:rPr>
        <w:t> </w:t>
      </w:r>
      <w:r>
        <w:rPr>
          <w:sz w:val="13"/>
        </w:rPr>
        <w:t>Victoria).</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z w:val="13"/>
        </w:rPr>
        <w:t>Information provided by Juries Victoria and Victorian Law Reform </w:t>
      </w:r>
      <w:r>
        <w:rPr>
          <w:spacing w:val="2"/>
          <w:sz w:val="13"/>
        </w:rPr>
        <w:t>Commission, </w:t>
      </w:r>
      <w:r>
        <w:rPr>
          <w:sz w:val="13"/>
        </w:rPr>
        <w:t>19 May</w:t>
      </w:r>
      <w:r>
        <w:rPr>
          <w:spacing w:val="8"/>
          <w:sz w:val="13"/>
        </w:rPr>
        <w:t> </w:t>
      </w:r>
      <w:r>
        <w:rPr>
          <w:sz w:val="13"/>
        </w:rPr>
        <w:t>2022.</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z w:val="13"/>
        </w:rPr>
        <w:t>Consultation 9 (Consultation with two Victorian County </w:t>
      </w:r>
      <w:r>
        <w:rPr>
          <w:spacing w:val="2"/>
          <w:sz w:val="13"/>
        </w:rPr>
        <w:t>Court Judges, Court policy </w:t>
      </w:r>
      <w:r>
        <w:rPr>
          <w:sz w:val="13"/>
        </w:rPr>
        <w:t>staff and two</w:t>
      </w:r>
      <w:r>
        <w:rPr>
          <w:spacing w:val="8"/>
          <w:sz w:val="13"/>
        </w:rPr>
        <w:t> </w:t>
      </w:r>
      <w:r>
        <w:rPr>
          <w:sz w:val="13"/>
        </w:rPr>
        <w:t>Associates).</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z w:val="13"/>
        </w:rPr>
        <w:t>Information provided by ACT Sheriff to Victorian Law Reform </w:t>
      </w:r>
      <w:r>
        <w:rPr>
          <w:spacing w:val="2"/>
          <w:sz w:val="13"/>
        </w:rPr>
        <w:t>Commission, </w:t>
      </w:r>
      <w:r>
        <w:rPr>
          <w:sz w:val="13"/>
        </w:rPr>
        <w:t>4 August</w:t>
      </w:r>
      <w:r>
        <w:rPr>
          <w:spacing w:val="6"/>
          <w:sz w:val="13"/>
        </w:rPr>
        <w:t> </w:t>
      </w:r>
      <w:r>
        <w:rPr>
          <w:sz w:val="13"/>
        </w:rPr>
        <w:t>2021.</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z w:val="13"/>
        </w:rPr>
        <w:t>Information provided by ACT Sheriff to Victorian Law Reform </w:t>
      </w:r>
      <w:r>
        <w:rPr>
          <w:spacing w:val="2"/>
          <w:sz w:val="13"/>
        </w:rPr>
        <w:t>Commission, </w:t>
      </w:r>
      <w:r>
        <w:rPr>
          <w:sz w:val="13"/>
        </w:rPr>
        <w:t>16 September</w:t>
      </w:r>
      <w:r>
        <w:rPr>
          <w:spacing w:val="7"/>
          <w:sz w:val="13"/>
        </w:rPr>
        <w:t> </w:t>
      </w:r>
      <w:r>
        <w:rPr>
          <w:sz w:val="13"/>
        </w:rPr>
        <w:t>2020.</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z w:val="13"/>
        </w:rPr>
        <w:t>Information provided by ACT Sheriff to Victorian Law Reform </w:t>
      </w:r>
      <w:r>
        <w:rPr>
          <w:spacing w:val="2"/>
          <w:sz w:val="13"/>
        </w:rPr>
        <w:t>Commission, </w:t>
      </w:r>
      <w:r>
        <w:rPr>
          <w:sz w:val="13"/>
        </w:rPr>
        <w:t>4 August</w:t>
      </w:r>
      <w:r>
        <w:rPr>
          <w:spacing w:val="6"/>
          <w:sz w:val="13"/>
        </w:rPr>
        <w:t> </w:t>
      </w:r>
      <w:r>
        <w:rPr>
          <w:sz w:val="13"/>
        </w:rPr>
        <w:t>2021.</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z w:val="13"/>
        </w:rPr>
        <w:t>Consultation 11 (Consultation with a Judge, a Tipstaff and </w:t>
      </w:r>
      <w:r>
        <w:rPr>
          <w:spacing w:val="2"/>
          <w:sz w:val="13"/>
        </w:rPr>
        <w:t>Court policy </w:t>
      </w:r>
      <w:r>
        <w:rPr>
          <w:sz w:val="13"/>
        </w:rPr>
        <w:t>staff, Victorian Supreme</w:t>
      </w:r>
      <w:r>
        <w:rPr>
          <w:spacing w:val="9"/>
          <w:sz w:val="13"/>
        </w:rPr>
        <w:t> </w:t>
      </w:r>
      <w:r>
        <w:rPr>
          <w:spacing w:val="2"/>
          <w:sz w:val="13"/>
        </w:rPr>
        <w:t>Court).</w:t>
      </w:r>
    </w:p>
    <w:p>
      <w:pPr>
        <w:pStyle w:val="ListParagraph"/>
        <w:numPr>
          <w:ilvl w:val="0"/>
          <w:numId w:val="87"/>
        </w:numPr>
        <w:tabs>
          <w:tab w:pos="893" w:val="left" w:leader="none"/>
          <w:tab w:pos="894" w:val="left" w:leader="none"/>
        </w:tabs>
        <w:spacing w:line="213" w:lineRule="auto" w:before="7" w:after="0"/>
        <w:ind w:left="893" w:right="1322" w:hanging="793"/>
        <w:jc w:val="left"/>
        <w:rPr>
          <w:sz w:val="13"/>
        </w:rPr>
      </w:pPr>
      <w:r>
        <w:rPr>
          <w:sz w:val="13"/>
        </w:rPr>
        <w:t>‘Coronavirus (COVID-19) Divisional Responses’, </w:t>
      </w:r>
      <w:r>
        <w:rPr>
          <w:i/>
          <w:sz w:val="13"/>
        </w:rPr>
        <w:t>County Court of Victoria </w:t>
      </w:r>
      <w:r>
        <w:rPr>
          <w:sz w:val="13"/>
        </w:rPr>
        <w:t>(Web Page, 24 November 2021) &lt;</w:t>
      </w:r>
      <w:hyperlink r:id="rId186">
        <w:r>
          <w:rPr>
            <w:sz w:val="13"/>
          </w:rPr>
          <w:t>https://www.</w:t>
        </w:r>
      </w:hyperlink>
      <w:hyperlink r:id="rId186">
        <w:r>
          <w:rPr>
            <w:sz w:val="13"/>
          </w:rPr>
          <w:t> countycourt.vic.gov.au/news-and-media/news-listing/2021-11-24-coronavirus-covid-19-divisional-responses</w:t>
        </w:r>
      </w:hyperlink>
      <w:r>
        <w:rPr>
          <w:sz w:val="13"/>
        </w:rPr>
        <w:t>&gt;; ‘COVID-19  and the</w:t>
      </w:r>
      <w:r>
        <w:rPr>
          <w:spacing w:val="4"/>
          <w:sz w:val="13"/>
        </w:rPr>
        <w:t> </w:t>
      </w:r>
      <w:r>
        <w:rPr>
          <w:sz w:val="13"/>
        </w:rPr>
        <w:t>Court’,</w:t>
      </w:r>
      <w:r>
        <w:rPr>
          <w:spacing w:val="4"/>
          <w:sz w:val="13"/>
        </w:rPr>
        <w:t> </w:t>
      </w:r>
      <w:r>
        <w:rPr>
          <w:i/>
          <w:sz w:val="13"/>
        </w:rPr>
        <w:t>Supreme</w:t>
      </w:r>
      <w:r>
        <w:rPr>
          <w:i/>
          <w:spacing w:val="5"/>
          <w:sz w:val="13"/>
        </w:rPr>
        <w:t> </w:t>
      </w:r>
      <w:r>
        <w:rPr>
          <w:i/>
          <w:sz w:val="13"/>
        </w:rPr>
        <w:t>Court</w:t>
      </w:r>
      <w:r>
        <w:rPr>
          <w:i/>
          <w:spacing w:val="4"/>
          <w:sz w:val="13"/>
        </w:rPr>
        <w:t> </w:t>
      </w:r>
      <w:r>
        <w:rPr>
          <w:i/>
          <w:sz w:val="13"/>
        </w:rPr>
        <w:t>of</w:t>
      </w:r>
      <w:r>
        <w:rPr>
          <w:i/>
          <w:spacing w:val="5"/>
          <w:sz w:val="13"/>
        </w:rPr>
        <w:t> </w:t>
      </w:r>
      <w:r>
        <w:rPr>
          <w:i/>
          <w:sz w:val="13"/>
        </w:rPr>
        <w:t>Victoria</w:t>
      </w:r>
      <w:r>
        <w:rPr>
          <w:i/>
          <w:spacing w:val="4"/>
          <w:sz w:val="13"/>
        </w:rPr>
        <w:t> </w:t>
      </w:r>
      <w:r>
        <w:rPr>
          <w:sz w:val="13"/>
        </w:rPr>
        <w:t>(Web</w:t>
      </w:r>
      <w:r>
        <w:rPr>
          <w:spacing w:val="4"/>
          <w:sz w:val="13"/>
        </w:rPr>
        <w:t> </w:t>
      </w:r>
      <w:r>
        <w:rPr>
          <w:sz w:val="13"/>
        </w:rPr>
        <w:t>Page,</w:t>
      </w:r>
      <w:r>
        <w:rPr>
          <w:spacing w:val="5"/>
          <w:sz w:val="13"/>
        </w:rPr>
        <w:t> </w:t>
      </w:r>
      <w:r>
        <w:rPr>
          <w:sz w:val="13"/>
        </w:rPr>
        <w:t>27</w:t>
      </w:r>
      <w:r>
        <w:rPr>
          <w:spacing w:val="4"/>
          <w:sz w:val="13"/>
        </w:rPr>
        <w:t> </w:t>
      </w:r>
      <w:r>
        <w:rPr>
          <w:sz w:val="13"/>
        </w:rPr>
        <w:t>April</w:t>
      </w:r>
      <w:r>
        <w:rPr>
          <w:spacing w:val="5"/>
          <w:sz w:val="13"/>
        </w:rPr>
        <w:t> </w:t>
      </w:r>
      <w:r>
        <w:rPr>
          <w:sz w:val="13"/>
        </w:rPr>
        <w:t>2022)</w:t>
      </w:r>
      <w:r>
        <w:rPr>
          <w:spacing w:val="4"/>
          <w:sz w:val="13"/>
        </w:rPr>
        <w:t> </w:t>
      </w:r>
      <w:r>
        <w:rPr>
          <w:sz w:val="13"/>
        </w:rPr>
        <w:t>&lt;</w:t>
      </w:r>
      <w:hyperlink r:id="rId187">
        <w:r>
          <w:rPr>
            <w:sz w:val="13"/>
          </w:rPr>
          <w:t>https://www.supremecourt.vic.gov.au/news/covid-19</w:t>
        </w:r>
      </w:hyperlink>
      <w:r>
        <w:rPr>
          <w:sz w:val="13"/>
        </w:rPr>
        <w:t>&gt;.</w:t>
      </w:r>
    </w:p>
    <w:p>
      <w:pPr>
        <w:spacing w:after="0" w:line="213" w:lineRule="auto"/>
        <w:jc w:val="left"/>
        <w:rPr>
          <w:sz w:val="13"/>
        </w:rPr>
        <w:sectPr>
          <w:type w:val="continuous"/>
          <w:pgSz w:w="11910" w:h="16840"/>
          <w:pgMar w:top="620" w:bottom="280" w:left="620" w:right="380"/>
          <w:cols w:num="2" w:equalWidth="0">
            <w:col w:w="531" w:space="336"/>
            <w:col w:w="10043"/>
          </w:cols>
        </w:sectPr>
      </w:pPr>
    </w:p>
    <w:p>
      <w:pPr>
        <w:pStyle w:val="BodyText"/>
      </w:pPr>
    </w:p>
    <w:p>
      <w:pPr>
        <w:pStyle w:val="BodyText"/>
      </w:pPr>
    </w:p>
    <w:p>
      <w:pPr>
        <w:pStyle w:val="BodyText"/>
      </w:pPr>
    </w:p>
    <w:p>
      <w:pPr>
        <w:pStyle w:val="BodyText"/>
        <w:spacing w:before="6"/>
        <w:rPr>
          <w:sz w:val="14"/>
        </w:rPr>
      </w:pPr>
    </w:p>
    <w:p>
      <w:pPr>
        <w:spacing w:before="41"/>
        <w:ind w:left="967" w:right="0" w:firstLine="0"/>
        <w:jc w:val="left"/>
        <w:rPr>
          <w:rFonts w:ascii="Raleway ExtraBold"/>
          <w:b/>
          <w:sz w:val="28"/>
        </w:rPr>
      </w:pPr>
      <w:bookmarkStart w:name="How other jurisdictions provide reasonab" w:id="223"/>
      <w:bookmarkEnd w:id="223"/>
      <w:r>
        <w:rPr/>
      </w:r>
      <w:bookmarkStart w:name="_bookmark89" w:id="224"/>
      <w:bookmarkEnd w:id="224"/>
      <w:r>
        <w:rPr/>
      </w:r>
      <w:r>
        <w:rPr>
          <w:rFonts w:ascii="Raleway ExtraBold"/>
          <w:b/>
          <w:color w:val="37617A"/>
          <w:sz w:val="28"/>
        </w:rPr>
        <w:t>How other jurisdictions provide reasonable adjustments</w:t>
      </w:r>
    </w:p>
    <w:p>
      <w:pPr>
        <w:pStyle w:val="ListParagraph"/>
        <w:numPr>
          <w:ilvl w:val="1"/>
          <w:numId w:val="12"/>
        </w:numPr>
        <w:tabs>
          <w:tab w:pos="1761" w:val="left" w:leader="none"/>
          <w:tab w:pos="1762" w:val="left" w:leader="none"/>
        </w:tabs>
        <w:spacing w:line="206" w:lineRule="auto" w:before="146" w:after="0"/>
        <w:ind w:left="1761" w:right="1496" w:hanging="794"/>
        <w:jc w:val="left"/>
        <w:rPr>
          <w:sz w:val="20"/>
        </w:rPr>
      </w:pPr>
      <w:r>
        <w:rPr>
          <w:sz w:val="20"/>
        </w:rPr>
        <w:t>In the </w:t>
      </w:r>
      <w:r>
        <w:rPr>
          <w:spacing w:val="-4"/>
          <w:sz w:val="20"/>
        </w:rPr>
        <w:t>ACT </w:t>
      </w:r>
      <w:r>
        <w:rPr>
          <w:sz w:val="20"/>
        </w:rPr>
        <w:t>and England and </w:t>
      </w:r>
      <w:r>
        <w:rPr>
          <w:spacing w:val="-3"/>
          <w:sz w:val="20"/>
        </w:rPr>
        <w:t>Wales, many </w:t>
      </w:r>
      <w:r>
        <w:rPr>
          <w:sz w:val="20"/>
        </w:rPr>
        <w:t>of the steps </w:t>
      </w:r>
      <w:r>
        <w:rPr>
          <w:spacing w:val="-4"/>
          <w:sz w:val="20"/>
        </w:rPr>
        <w:t>involved </w:t>
      </w:r>
      <w:r>
        <w:rPr>
          <w:sz w:val="20"/>
        </w:rPr>
        <w:t>in arranging and assessing</w:t>
      </w:r>
      <w:r>
        <w:rPr>
          <w:spacing w:val="-11"/>
          <w:sz w:val="20"/>
        </w:rPr>
        <w:t> </w:t>
      </w:r>
      <w:r>
        <w:rPr>
          <w:sz w:val="20"/>
        </w:rPr>
        <w:t>the</w:t>
      </w:r>
      <w:r>
        <w:rPr>
          <w:spacing w:val="-10"/>
          <w:sz w:val="20"/>
        </w:rPr>
        <w:t> </w:t>
      </w:r>
      <w:r>
        <w:rPr>
          <w:spacing w:val="-3"/>
          <w:sz w:val="20"/>
        </w:rPr>
        <w:t>provision</w:t>
      </w:r>
      <w:r>
        <w:rPr>
          <w:spacing w:val="-11"/>
          <w:sz w:val="20"/>
        </w:rPr>
        <w:t> </w:t>
      </w:r>
      <w:r>
        <w:rPr>
          <w:sz w:val="20"/>
        </w:rPr>
        <w:t>of</w:t>
      </w:r>
      <w:r>
        <w:rPr>
          <w:spacing w:val="-10"/>
          <w:sz w:val="20"/>
        </w:rPr>
        <w:t> </w:t>
      </w:r>
      <w:r>
        <w:rPr>
          <w:sz w:val="20"/>
        </w:rPr>
        <w:t>reasonable</w:t>
      </w:r>
      <w:r>
        <w:rPr>
          <w:spacing w:val="-11"/>
          <w:sz w:val="20"/>
        </w:rPr>
        <w:t> </w:t>
      </w:r>
      <w:r>
        <w:rPr>
          <w:sz w:val="20"/>
        </w:rPr>
        <w:t>adjustments</w:t>
      </w:r>
      <w:r>
        <w:rPr>
          <w:spacing w:val="-10"/>
          <w:sz w:val="20"/>
        </w:rPr>
        <w:t> </w:t>
      </w:r>
      <w:r>
        <w:rPr>
          <w:sz w:val="20"/>
        </w:rPr>
        <w:t>occur</w:t>
      </w:r>
      <w:r>
        <w:rPr>
          <w:spacing w:val="-10"/>
          <w:sz w:val="20"/>
        </w:rPr>
        <w:t> </w:t>
      </w:r>
      <w:r>
        <w:rPr>
          <w:spacing w:val="-3"/>
          <w:sz w:val="20"/>
        </w:rPr>
        <w:t>before</w:t>
      </w:r>
      <w:r>
        <w:rPr>
          <w:spacing w:val="-11"/>
          <w:sz w:val="20"/>
        </w:rPr>
        <w:t> </w:t>
      </w:r>
      <w:r>
        <w:rPr>
          <w:sz w:val="20"/>
        </w:rPr>
        <w:t>the</w:t>
      </w:r>
      <w:r>
        <w:rPr>
          <w:spacing w:val="-10"/>
          <w:sz w:val="20"/>
        </w:rPr>
        <w:t> </w:t>
      </w:r>
      <w:r>
        <w:rPr>
          <w:sz w:val="20"/>
        </w:rPr>
        <w:t>potential</w:t>
      </w:r>
      <w:r>
        <w:rPr>
          <w:spacing w:val="-11"/>
          <w:sz w:val="20"/>
        </w:rPr>
        <w:t> </w:t>
      </w:r>
      <w:r>
        <w:rPr>
          <w:sz w:val="20"/>
        </w:rPr>
        <w:t>juror</w:t>
      </w:r>
      <w:r>
        <w:rPr>
          <w:spacing w:val="-10"/>
          <w:sz w:val="20"/>
        </w:rPr>
        <w:t> </w:t>
      </w:r>
      <w:r>
        <w:rPr>
          <w:sz w:val="20"/>
        </w:rPr>
        <w:t>is </w:t>
      </w:r>
      <w:r>
        <w:rPr>
          <w:spacing w:val="-3"/>
          <w:sz w:val="20"/>
        </w:rPr>
        <w:t>required </w:t>
      </w:r>
      <w:r>
        <w:rPr>
          <w:sz w:val="20"/>
        </w:rPr>
        <w:t>to attend court. A person notifies the court </w:t>
      </w:r>
      <w:r>
        <w:rPr>
          <w:spacing w:val="-3"/>
          <w:sz w:val="20"/>
        </w:rPr>
        <w:t>early </w:t>
      </w:r>
      <w:r>
        <w:rPr>
          <w:sz w:val="20"/>
        </w:rPr>
        <w:t>in the process about their need for adjustments.</w:t>
      </w:r>
      <w:r>
        <w:rPr>
          <w:position w:val="7"/>
          <w:sz w:val="11"/>
        </w:rPr>
        <w:t>12 </w:t>
      </w:r>
      <w:r>
        <w:rPr>
          <w:sz w:val="20"/>
        </w:rPr>
        <w:t>They can visit court ahead of the summons </w:t>
      </w:r>
      <w:r>
        <w:rPr>
          <w:spacing w:val="-3"/>
          <w:sz w:val="20"/>
        </w:rPr>
        <w:t>date </w:t>
      </w:r>
      <w:r>
        <w:rPr>
          <w:sz w:val="20"/>
        </w:rPr>
        <w:t>to discuss their circumstances and needs.</w:t>
      </w:r>
      <w:r>
        <w:rPr>
          <w:position w:val="7"/>
          <w:sz w:val="11"/>
        </w:rPr>
        <w:t>13 </w:t>
      </w:r>
      <w:r>
        <w:rPr>
          <w:sz w:val="20"/>
        </w:rPr>
        <w:t>Jury service </w:t>
      </w:r>
      <w:r>
        <w:rPr>
          <w:spacing w:val="-3"/>
          <w:sz w:val="20"/>
        </w:rPr>
        <w:t>may </w:t>
      </w:r>
      <w:r>
        <w:rPr>
          <w:sz w:val="20"/>
        </w:rPr>
        <w:t>be deferred while</w:t>
      </w:r>
      <w:r>
        <w:rPr>
          <w:spacing w:val="-37"/>
          <w:sz w:val="20"/>
        </w:rPr>
        <w:t> </w:t>
      </w:r>
      <w:r>
        <w:rPr>
          <w:sz w:val="20"/>
        </w:rPr>
        <w:t>supports</w:t>
      </w:r>
    </w:p>
    <w:p>
      <w:pPr>
        <w:pStyle w:val="BodyText"/>
        <w:spacing w:line="206" w:lineRule="auto" w:before="6"/>
        <w:ind w:left="1761" w:right="1335"/>
        <w:rPr>
          <w:sz w:val="11"/>
        </w:rPr>
      </w:pPr>
      <w:r>
        <w:rPr>
          <w:spacing w:val="-3"/>
        </w:rPr>
        <w:t>are </w:t>
      </w:r>
      <w:r>
        <w:rPr/>
        <w:t>arranged. A senior court official or the sheriff </w:t>
      </w:r>
      <w:r>
        <w:rPr>
          <w:spacing w:val="-3"/>
        </w:rPr>
        <w:t>makes </w:t>
      </w:r>
      <w:r>
        <w:rPr/>
        <w:t>a preliminary assessment about</w:t>
      </w:r>
      <w:r>
        <w:rPr>
          <w:spacing w:val="-12"/>
        </w:rPr>
        <w:t> </w:t>
      </w:r>
      <w:r>
        <w:rPr/>
        <w:t>the</w:t>
      </w:r>
      <w:r>
        <w:rPr>
          <w:spacing w:val="-11"/>
        </w:rPr>
        <w:t> </w:t>
      </w:r>
      <w:r>
        <w:rPr>
          <w:spacing w:val="-3"/>
        </w:rPr>
        <w:t>provision</w:t>
      </w:r>
      <w:r>
        <w:rPr>
          <w:spacing w:val="-11"/>
        </w:rPr>
        <w:t> </w:t>
      </w:r>
      <w:r>
        <w:rPr/>
        <w:t>of</w:t>
      </w:r>
      <w:r>
        <w:rPr>
          <w:spacing w:val="-12"/>
        </w:rPr>
        <w:t> </w:t>
      </w:r>
      <w:r>
        <w:rPr/>
        <w:t>reasonable</w:t>
      </w:r>
      <w:r>
        <w:rPr>
          <w:spacing w:val="-11"/>
        </w:rPr>
        <w:t> </w:t>
      </w:r>
      <w:r>
        <w:rPr/>
        <w:t>adjustments</w:t>
      </w:r>
      <w:r>
        <w:rPr>
          <w:spacing w:val="-11"/>
        </w:rPr>
        <w:t> </w:t>
      </w:r>
      <w:r>
        <w:rPr/>
        <w:t>with</w:t>
      </w:r>
      <w:r>
        <w:rPr>
          <w:spacing w:val="-11"/>
        </w:rPr>
        <w:t> </w:t>
      </w:r>
      <w:r>
        <w:rPr/>
        <w:t>the</w:t>
      </w:r>
      <w:r>
        <w:rPr>
          <w:spacing w:val="-12"/>
        </w:rPr>
        <w:t> </w:t>
      </w:r>
      <w:r>
        <w:rPr/>
        <w:t>final</w:t>
      </w:r>
      <w:r>
        <w:rPr>
          <w:spacing w:val="-11"/>
        </w:rPr>
        <w:t> </w:t>
      </w:r>
      <w:r>
        <w:rPr/>
        <w:t>decision</w:t>
      </w:r>
      <w:r>
        <w:rPr>
          <w:spacing w:val="-11"/>
        </w:rPr>
        <w:t> </w:t>
      </w:r>
      <w:r>
        <w:rPr/>
        <w:t>being</w:t>
      </w:r>
      <w:r>
        <w:rPr>
          <w:spacing w:val="-12"/>
        </w:rPr>
        <w:t> </w:t>
      </w:r>
      <w:r>
        <w:rPr/>
        <w:t>made,</w:t>
      </w:r>
      <w:r>
        <w:rPr>
          <w:spacing w:val="-11"/>
        </w:rPr>
        <w:t> </w:t>
      </w:r>
      <w:r>
        <w:rPr/>
        <w:t>if necessary,</w:t>
      </w:r>
      <w:r>
        <w:rPr>
          <w:spacing w:val="-8"/>
        </w:rPr>
        <w:t> </w:t>
      </w:r>
      <w:r>
        <w:rPr/>
        <w:t>in</w:t>
      </w:r>
      <w:r>
        <w:rPr>
          <w:spacing w:val="-8"/>
        </w:rPr>
        <w:t> </w:t>
      </w:r>
      <w:r>
        <w:rPr/>
        <w:t>a</w:t>
      </w:r>
      <w:r>
        <w:rPr>
          <w:spacing w:val="-7"/>
        </w:rPr>
        <w:t> </w:t>
      </w:r>
      <w:r>
        <w:rPr/>
        <w:t>hearing</w:t>
      </w:r>
      <w:r>
        <w:rPr>
          <w:spacing w:val="-8"/>
        </w:rPr>
        <w:t> </w:t>
      </w:r>
      <w:r>
        <w:rPr>
          <w:spacing w:val="-3"/>
        </w:rPr>
        <w:t>before</w:t>
      </w:r>
      <w:r>
        <w:rPr>
          <w:spacing w:val="-7"/>
        </w:rPr>
        <w:t> </w:t>
      </w:r>
      <w:r>
        <w:rPr/>
        <w:t>a</w:t>
      </w:r>
      <w:r>
        <w:rPr>
          <w:spacing w:val="-8"/>
        </w:rPr>
        <w:t> </w:t>
      </w:r>
      <w:r>
        <w:rPr/>
        <w:t>judge</w:t>
      </w:r>
      <w:r>
        <w:rPr>
          <w:spacing w:val="-7"/>
        </w:rPr>
        <w:t> </w:t>
      </w:r>
      <w:r>
        <w:rPr/>
        <w:t>attended</w:t>
      </w:r>
      <w:r>
        <w:rPr>
          <w:spacing w:val="-8"/>
        </w:rPr>
        <w:t> </w:t>
      </w:r>
      <w:r>
        <w:rPr>
          <w:spacing w:val="-3"/>
        </w:rPr>
        <w:t>by</w:t>
      </w:r>
      <w:r>
        <w:rPr>
          <w:spacing w:val="-7"/>
        </w:rPr>
        <w:t> </w:t>
      </w:r>
      <w:r>
        <w:rPr/>
        <w:t>the</w:t>
      </w:r>
      <w:r>
        <w:rPr>
          <w:spacing w:val="-8"/>
        </w:rPr>
        <w:t> </w:t>
      </w:r>
      <w:r>
        <w:rPr/>
        <w:t>person</w:t>
      </w:r>
      <w:r>
        <w:rPr>
          <w:spacing w:val="-7"/>
        </w:rPr>
        <w:t> </w:t>
      </w:r>
      <w:r>
        <w:rPr/>
        <w:t>with</w:t>
      </w:r>
      <w:r>
        <w:rPr>
          <w:spacing w:val="-8"/>
        </w:rPr>
        <w:t> </w:t>
      </w:r>
      <w:r>
        <w:rPr/>
        <w:t>a</w:t>
      </w:r>
      <w:r>
        <w:rPr>
          <w:spacing w:val="-7"/>
        </w:rPr>
        <w:t> </w:t>
      </w:r>
      <w:r>
        <w:rPr/>
        <w:t>disability.</w:t>
      </w:r>
      <w:r>
        <w:rPr>
          <w:position w:val="7"/>
          <w:sz w:val="11"/>
        </w:rPr>
        <w:t>14</w:t>
      </w:r>
    </w:p>
    <w:p>
      <w:pPr>
        <w:pStyle w:val="ListParagraph"/>
        <w:numPr>
          <w:ilvl w:val="1"/>
          <w:numId w:val="12"/>
        </w:numPr>
        <w:tabs>
          <w:tab w:pos="1761" w:val="left" w:leader="none"/>
          <w:tab w:pos="1762" w:val="left" w:leader="none"/>
        </w:tabs>
        <w:spacing w:line="259" w:lineRule="exact" w:before="91" w:after="0"/>
        <w:ind w:left="1761" w:right="0" w:hanging="794"/>
        <w:jc w:val="left"/>
        <w:rPr>
          <w:sz w:val="20"/>
        </w:rPr>
      </w:pPr>
      <w:r>
        <w:rPr>
          <w:spacing w:val="-6"/>
          <w:sz w:val="20"/>
        </w:rPr>
        <w:t>We </w:t>
      </w:r>
      <w:r>
        <w:rPr>
          <w:sz w:val="20"/>
        </w:rPr>
        <w:t>note</w:t>
      </w:r>
      <w:r>
        <w:rPr>
          <w:spacing w:val="-5"/>
          <w:sz w:val="20"/>
        </w:rPr>
        <w:t> </w:t>
      </w:r>
      <w:r>
        <w:rPr>
          <w:sz w:val="20"/>
        </w:rPr>
        <w:t>that</w:t>
      </w:r>
      <w:r>
        <w:rPr>
          <w:spacing w:val="-6"/>
          <w:sz w:val="20"/>
        </w:rPr>
        <w:t> </w:t>
      </w:r>
      <w:r>
        <w:rPr>
          <w:sz w:val="20"/>
        </w:rPr>
        <w:t>because</w:t>
      </w:r>
      <w:r>
        <w:rPr>
          <w:spacing w:val="-5"/>
          <w:sz w:val="20"/>
        </w:rPr>
        <w:t> </w:t>
      </w:r>
      <w:r>
        <w:rPr>
          <w:sz w:val="20"/>
        </w:rPr>
        <w:t>no</w:t>
      </w:r>
      <w:r>
        <w:rPr>
          <w:spacing w:val="-5"/>
          <w:sz w:val="20"/>
        </w:rPr>
        <w:t> </w:t>
      </w:r>
      <w:r>
        <w:rPr>
          <w:sz w:val="20"/>
        </w:rPr>
        <w:t>one</w:t>
      </w:r>
      <w:r>
        <w:rPr>
          <w:spacing w:val="-6"/>
          <w:sz w:val="20"/>
        </w:rPr>
        <w:t> </w:t>
      </w:r>
      <w:r>
        <w:rPr>
          <w:sz w:val="20"/>
        </w:rPr>
        <w:t>has</w:t>
      </w:r>
      <w:r>
        <w:rPr>
          <w:spacing w:val="-5"/>
          <w:sz w:val="20"/>
        </w:rPr>
        <w:t> </w:t>
      </w:r>
      <w:r>
        <w:rPr>
          <w:spacing w:val="-3"/>
          <w:sz w:val="20"/>
        </w:rPr>
        <w:t>yet</w:t>
      </w:r>
      <w:r>
        <w:rPr>
          <w:spacing w:val="-6"/>
          <w:sz w:val="20"/>
        </w:rPr>
        <w:t> </w:t>
      </w:r>
      <w:r>
        <w:rPr>
          <w:sz w:val="20"/>
        </w:rPr>
        <w:t>served</w:t>
      </w:r>
      <w:r>
        <w:rPr>
          <w:spacing w:val="-5"/>
          <w:sz w:val="20"/>
        </w:rPr>
        <w:t> </w:t>
      </w:r>
      <w:r>
        <w:rPr>
          <w:sz w:val="20"/>
        </w:rPr>
        <w:t>on</w:t>
      </w:r>
      <w:r>
        <w:rPr>
          <w:spacing w:val="-5"/>
          <w:sz w:val="20"/>
        </w:rPr>
        <w:t> </w:t>
      </w:r>
      <w:r>
        <w:rPr>
          <w:sz w:val="20"/>
        </w:rPr>
        <w:t>a</w:t>
      </w:r>
      <w:r>
        <w:rPr>
          <w:spacing w:val="-6"/>
          <w:sz w:val="20"/>
        </w:rPr>
        <w:t> </w:t>
      </w:r>
      <w:r>
        <w:rPr>
          <w:sz w:val="20"/>
        </w:rPr>
        <w:t>jury</w:t>
      </w:r>
      <w:r>
        <w:rPr>
          <w:spacing w:val="-5"/>
          <w:sz w:val="20"/>
        </w:rPr>
        <w:t> </w:t>
      </w:r>
      <w:r>
        <w:rPr>
          <w:sz w:val="20"/>
        </w:rPr>
        <w:t>pursuant</w:t>
      </w:r>
      <w:r>
        <w:rPr>
          <w:spacing w:val="-6"/>
          <w:sz w:val="20"/>
        </w:rPr>
        <w:t> </w:t>
      </w:r>
      <w:r>
        <w:rPr>
          <w:sz w:val="20"/>
        </w:rPr>
        <w:t>to</w:t>
      </w:r>
      <w:r>
        <w:rPr>
          <w:spacing w:val="-5"/>
          <w:sz w:val="20"/>
        </w:rPr>
        <w:t> </w:t>
      </w:r>
      <w:r>
        <w:rPr>
          <w:sz w:val="20"/>
        </w:rPr>
        <w:t>the</w:t>
      </w:r>
      <w:r>
        <w:rPr>
          <w:spacing w:val="-5"/>
          <w:sz w:val="20"/>
        </w:rPr>
        <w:t> </w:t>
      </w:r>
      <w:r>
        <w:rPr>
          <w:sz w:val="20"/>
        </w:rPr>
        <w:t>new</w:t>
      </w:r>
      <w:r>
        <w:rPr>
          <w:spacing w:val="-6"/>
          <w:sz w:val="20"/>
        </w:rPr>
        <w:t> </w:t>
      </w:r>
      <w:r>
        <w:rPr>
          <w:spacing w:val="-4"/>
          <w:sz w:val="20"/>
        </w:rPr>
        <w:t>ACT</w:t>
      </w:r>
      <w:r>
        <w:rPr>
          <w:spacing w:val="-5"/>
          <w:sz w:val="20"/>
        </w:rPr>
        <w:t> </w:t>
      </w:r>
      <w:r>
        <w:rPr>
          <w:sz w:val="20"/>
        </w:rPr>
        <w:t>Act,</w:t>
      </w:r>
    </w:p>
    <w:p>
      <w:pPr>
        <w:pStyle w:val="BodyText"/>
        <w:spacing w:line="259" w:lineRule="exact"/>
        <w:ind w:left="1761"/>
        <w:rPr>
          <w:sz w:val="11"/>
        </w:rPr>
      </w:pPr>
      <w:r>
        <w:rPr/>
        <w:t>the information that follows is the likely approach as outlined by the ACT sheriff.</w:t>
      </w:r>
      <w:r>
        <w:rPr>
          <w:position w:val="7"/>
          <w:sz w:val="11"/>
        </w:rPr>
        <w:t>15</w:t>
      </w:r>
    </w:p>
    <w:p>
      <w:pPr>
        <w:spacing w:before="153"/>
        <w:ind w:left="967" w:right="0" w:firstLine="0"/>
        <w:jc w:val="left"/>
        <w:rPr>
          <w:b/>
          <w:sz w:val="24"/>
        </w:rPr>
      </w:pPr>
      <w:r>
        <w:rPr>
          <w:b/>
          <w:sz w:val="24"/>
        </w:rPr>
        <w:t>Key elements of the ACT approach</w:t>
      </w:r>
    </w:p>
    <w:p>
      <w:pPr>
        <w:pStyle w:val="ListParagraph"/>
        <w:numPr>
          <w:ilvl w:val="1"/>
          <w:numId w:val="12"/>
        </w:numPr>
        <w:tabs>
          <w:tab w:pos="1761" w:val="left" w:leader="none"/>
          <w:tab w:pos="1762" w:val="left" w:leader="none"/>
        </w:tabs>
        <w:spacing w:line="206" w:lineRule="auto" w:before="127" w:after="0"/>
        <w:ind w:left="1761" w:right="1274" w:hanging="794"/>
        <w:jc w:val="left"/>
        <w:rPr>
          <w:sz w:val="11"/>
        </w:rPr>
      </w:pPr>
      <w:r>
        <w:rPr>
          <w:sz w:val="20"/>
        </w:rPr>
        <w:t>Information</w:t>
      </w:r>
      <w:r>
        <w:rPr>
          <w:spacing w:val="-11"/>
          <w:sz w:val="20"/>
        </w:rPr>
        <w:t> </w:t>
      </w:r>
      <w:r>
        <w:rPr>
          <w:sz w:val="20"/>
        </w:rPr>
        <w:t>sent</w:t>
      </w:r>
      <w:r>
        <w:rPr>
          <w:spacing w:val="-10"/>
          <w:sz w:val="20"/>
        </w:rPr>
        <w:t> </w:t>
      </w:r>
      <w:r>
        <w:rPr>
          <w:sz w:val="20"/>
        </w:rPr>
        <w:t>out</w:t>
      </w:r>
      <w:r>
        <w:rPr>
          <w:spacing w:val="-11"/>
          <w:sz w:val="20"/>
        </w:rPr>
        <w:t> </w:t>
      </w:r>
      <w:r>
        <w:rPr>
          <w:sz w:val="20"/>
        </w:rPr>
        <w:t>with</w:t>
      </w:r>
      <w:r>
        <w:rPr>
          <w:spacing w:val="-10"/>
          <w:sz w:val="20"/>
        </w:rPr>
        <w:t> </w:t>
      </w:r>
      <w:r>
        <w:rPr>
          <w:sz w:val="20"/>
        </w:rPr>
        <w:t>the</w:t>
      </w:r>
      <w:r>
        <w:rPr>
          <w:spacing w:val="-11"/>
          <w:sz w:val="20"/>
        </w:rPr>
        <w:t> </w:t>
      </w:r>
      <w:r>
        <w:rPr>
          <w:sz w:val="20"/>
        </w:rPr>
        <w:t>jury</w:t>
      </w:r>
      <w:r>
        <w:rPr>
          <w:spacing w:val="-10"/>
          <w:sz w:val="20"/>
        </w:rPr>
        <w:t> </w:t>
      </w:r>
      <w:r>
        <w:rPr>
          <w:sz w:val="20"/>
        </w:rPr>
        <w:t>summons</w:t>
      </w:r>
      <w:r>
        <w:rPr>
          <w:spacing w:val="-10"/>
          <w:sz w:val="20"/>
        </w:rPr>
        <w:t> </w:t>
      </w:r>
      <w:r>
        <w:rPr>
          <w:sz w:val="20"/>
        </w:rPr>
        <w:t>advises</w:t>
      </w:r>
      <w:r>
        <w:rPr>
          <w:spacing w:val="-11"/>
          <w:sz w:val="20"/>
        </w:rPr>
        <w:t> </w:t>
      </w:r>
      <w:r>
        <w:rPr>
          <w:sz w:val="20"/>
        </w:rPr>
        <w:t>people</w:t>
      </w:r>
      <w:r>
        <w:rPr>
          <w:spacing w:val="-10"/>
          <w:sz w:val="20"/>
        </w:rPr>
        <w:t> </w:t>
      </w:r>
      <w:r>
        <w:rPr>
          <w:sz w:val="20"/>
        </w:rPr>
        <w:t>to</w:t>
      </w:r>
      <w:r>
        <w:rPr>
          <w:spacing w:val="-11"/>
          <w:sz w:val="20"/>
        </w:rPr>
        <w:t> </w:t>
      </w:r>
      <w:r>
        <w:rPr>
          <w:sz w:val="20"/>
        </w:rPr>
        <w:t>contact</w:t>
      </w:r>
      <w:r>
        <w:rPr>
          <w:spacing w:val="-10"/>
          <w:sz w:val="20"/>
        </w:rPr>
        <w:t> </w:t>
      </w:r>
      <w:r>
        <w:rPr>
          <w:sz w:val="20"/>
        </w:rPr>
        <w:t>the</w:t>
      </w:r>
      <w:r>
        <w:rPr>
          <w:spacing w:val="-10"/>
          <w:sz w:val="20"/>
        </w:rPr>
        <w:t> </w:t>
      </w:r>
      <w:r>
        <w:rPr>
          <w:sz w:val="20"/>
        </w:rPr>
        <w:t>court</w:t>
      </w:r>
      <w:r>
        <w:rPr>
          <w:spacing w:val="-11"/>
          <w:sz w:val="20"/>
        </w:rPr>
        <w:t> </w:t>
      </w:r>
      <w:r>
        <w:rPr>
          <w:sz w:val="20"/>
        </w:rPr>
        <w:t>if</w:t>
      </w:r>
      <w:r>
        <w:rPr>
          <w:spacing w:val="-10"/>
          <w:sz w:val="20"/>
        </w:rPr>
        <w:t> </w:t>
      </w:r>
      <w:r>
        <w:rPr>
          <w:sz w:val="20"/>
        </w:rPr>
        <w:t>they </w:t>
      </w:r>
      <w:r>
        <w:rPr>
          <w:spacing w:val="-4"/>
          <w:sz w:val="20"/>
        </w:rPr>
        <w:t>have</w:t>
      </w:r>
      <w:r>
        <w:rPr>
          <w:spacing w:val="-8"/>
          <w:sz w:val="20"/>
        </w:rPr>
        <w:t> </w:t>
      </w:r>
      <w:r>
        <w:rPr>
          <w:sz w:val="20"/>
        </w:rPr>
        <w:t>a</w:t>
      </w:r>
      <w:r>
        <w:rPr>
          <w:spacing w:val="-8"/>
          <w:sz w:val="20"/>
        </w:rPr>
        <w:t> </w:t>
      </w:r>
      <w:r>
        <w:rPr>
          <w:sz w:val="20"/>
        </w:rPr>
        <w:t>disability</w:t>
      </w:r>
      <w:r>
        <w:rPr>
          <w:spacing w:val="-7"/>
          <w:sz w:val="20"/>
        </w:rPr>
        <w:t> </w:t>
      </w:r>
      <w:r>
        <w:rPr>
          <w:sz w:val="20"/>
        </w:rPr>
        <w:t>and</w:t>
      </w:r>
      <w:r>
        <w:rPr>
          <w:spacing w:val="-8"/>
          <w:sz w:val="20"/>
        </w:rPr>
        <w:t> </w:t>
      </w:r>
      <w:r>
        <w:rPr>
          <w:sz w:val="20"/>
        </w:rPr>
        <w:t>wish</w:t>
      </w:r>
      <w:r>
        <w:rPr>
          <w:spacing w:val="-7"/>
          <w:sz w:val="20"/>
        </w:rPr>
        <w:t> </w:t>
      </w:r>
      <w:r>
        <w:rPr>
          <w:sz w:val="20"/>
        </w:rPr>
        <w:t>to</w:t>
      </w:r>
      <w:r>
        <w:rPr>
          <w:spacing w:val="-8"/>
          <w:sz w:val="20"/>
        </w:rPr>
        <w:t> </w:t>
      </w:r>
      <w:r>
        <w:rPr>
          <w:sz w:val="20"/>
        </w:rPr>
        <w:t>serve</w:t>
      </w:r>
      <w:r>
        <w:rPr>
          <w:spacing w:val="-7"/>
          <w:sz w:val="20"/>
        </w:rPr>
        <w:t> </w:t>
      </w:r>
      <w:r>
        <w:rPr>
          <w:sz w:val="20"/>
        </w:rPr>
        <w:t>with</w:t>
      </w:r>
      <w:r>
        <w:rPr>
          <w:spacing w:val="-8"/>
          <w:sz w:val="20"/>
        </w:rPr>
        <w:t> </w:t>
      </w:r>
      <w:r>
        <w:rPr>
          <w:sz w:val="20"/>
        </w:rPr>
        <w:t>supports.</w:t>
      </w:r>
      <w:r>
        <w:rPr>
          <w:position w:val="7"/>
          <w:sz w:val="11"/>
        </w:rPr>
        <w:t>16</w:t>
      </w:r>
      <w:r>
        <w:rPr>
          <w:spacing w:val="18"/>
          <w:position w:val="7"/>
          <w:sz w:val="11"/>
        </w:rPr>
        <w:t> </w:t>
      </w:r>
      <w:r>
        <w:rPr>
          <w:sz w:val="20"/>
        </w:rPr>
        <w:t>The</w:t>
      </w:r>
      <w:r>
        <w:rPr>
          <w:spacing w:val="-8"/>
          <w:sz w:val="20"/>
        </w:rPr>
        <w:t> </w:t>
      </w:r>
      <w:r>
        <w:rPr>
          <w:sz w:val="20"/>
        </w:rPr>
        <w:t>person</w:t>
      </w:r>
      <w:r>
        <w:rPr>
          <w:spacing w:val="-7"/>
          <w:sz w:val="20"/>
        </w:rPr>
        <w:t> </w:t>
      </w:r>
      <w:r>
        <w:rPr>
          <w:sz w:val="20"/>
        </w:rPr>
        <w:t>seeking</w:t>
      </w:r>
      <w:r>
        <w:rPr>
          <w:spacing w:val="-8"/>
          <w:sz w:val="20"/>
        </w:rPr>
        <w:t> </w:t>
      </w:r>
      <w:r>
        <w:rPr>
          <w:sz w:val="20"/>
        </w:rPr>
        <w:t>to</w:t>
      </w:r>
      <w:r>
        <w:rPr>
          <w:spacing w:val="-8"/>
          <w:sz w:val="20"/>
        </w:rPr>
        <w:t> </w:t>
      </w:r>
      <w:r>
        <w:rPr>
          <w:sz w:val="20"/>
        </w:rPr>
        <w:t>use</w:t>
      </w:r>
      <w:r>
        <w:rPr>
          <w:spacing w:val="-7"/>
          <w:sz w:val="20"/>
        </w:rPr>
        <w:t> </w:t>
      </w:r>
      <w:r>
        <w:rPr>
          <w:sz w:val="20"/>
        </w:rPr>
        <w:t>supports can </w:t>
      </w:r>
      <w:r>
        <w:rPr>
          <w:spacing w:val="-4"/>
          <w:sz w:val="20"/>
        </w:rPr>
        <w:t>have </w:t>
      </w:r>
      <w:r>
        <w:rPr>
          <w:sz w:val="20"/>
        </w:rPr>
        <w:t>a pre-empanelment visit to the court to tour the court building, courtroom and to discuss their needs with the</w:t>
      </w:r>
      <w:r>
        <w:rPr>
          <w:spacing w:val="-31"/>
          <w:sz w:val="20"/>
        </w:rPr>
        <w:t> </w:t>
      </w:r>
      <w:r>
        <w:rPr>
          <w:spacing w:val="-4"/>
          <w:sz w:val="20"/>
        </w:rPr>
        <w:t>sheriff.</w:t>
      </w:r>
      <w:r>
        <w:rPr>
          <w:spacing w:val="-4"/>
          <w:position w:val="7"/>
          <w:sz w:val="11"/>
        </w:rPr>
        <w:t>17</w:t>
      </w:r>
    </w:p>
    <w:p>
      <w:pPr>
        <w:pStyle w:val="ListParagraph"/>
        <w:numPr>
          <w:ilvl w:val="1"/>
          <w:numId w:val="12"/>
        </w:numPr>
        <w:tabs>
          <w:tab w:pos="1762" w:val="left" w:leader="none"/>
        </w:tabs>
        <w:spacing w:line="206" w:lineRule="auto" w:before="125" w:after="0"/>
        <w:ind w:left="1761" w:right="1780" w:hanging="794"/>
        <w:jc w:val="both"/>
        <w:rPr>
          <w:sz w:val="11"/>
        </w:rPr>
      </w:pPr>
      <w:r>
        <w:rPr>
          <w:sz w:val="20"/>
        </w:rPr>
        <w:t>If</w:t>
      </w:r>
      <w:r>
        <w:rPr>
          <w:spacing w:val="-8"/>
          <w:sz w:val="20"/>
        </w:rPr>
        <w:t> </w:t>
      </w:r>
      <w:r>
        <w:rPr>
          <w:sz w:val="20"/>
        </w:rPr>
        <w:t>a</w:t>
      </w:r>
      <w:r>
        <w:rPr>
          <w:spacing w:val="-7"/>
          <w:sz w:val="20"/>
        </w:rPr>
        <w:t> </w:t>
      </w:r>
      <w:r>
        <w:rPr>
          <w:sz w:val="20"/>
        </w:rPr>
        <w:t>person</w:t>
      </w:r>
      <w:r>
        <w:rPr>
          <w:spacing w:val="-8"/>
          <w:sz w:val="20"/>
        </w:rPr>
        <w:t> </w:t>
      </w:r>
      <w:r>
        <w:rPr>
          <w:sz w:val="20"/>
        </w:rPr>
        <w:t>seeks</w:t>
      </w:r>
      <w:r>
        <w:rPr>
          <w:spacing w:val="-7"/>
          <w:sz w:val="20"/>
        </w:rPr>
        <w:t> </w:t>
      </w:r>
      <w:r>
        <w:rPr>
          <w:sz w:val="20"/>
        </w:rPr>
        <w:t>to</w:t>
      </w:r>
      <w:r>
        <w:rPr>
          <w:spacing w:val="-8"/>
          <w:sz w:val="20"/>
        </w:rPr>
        <w:t> </w:t>
      </w:r>
      <w:r>
        <w:rPr>
          <w:sz w:val="20"/>
        </w:rPr>
        <w:t>use</w:t>
      </w:r>
      <w:r>
        <w:rPr>
          <w:spacing w:val="-7"/>
          <w:sz w:val="20"/>
        </w:rPr>
        <w:t> </w:t>
      </w:r>
      <w:r>
        <w:rPr>
          <w:sz w:val="20"/>
        </w:rPr>
        <w:t>supports</w:t>
      </w:r>
      <w:r>
        <w:rPr>
          <w:spacing w:val="-8"/>
          <w:sz w:val="20"/>
        </w:rPr>
        <w:t> </w:t>
      </w:r>
      <w:r>
        <w:rPr>
          <w:sz w:val="20"/>
        </w:rPr>
        <w:t>on</w:t>
      </w:r>
      <w:r>
        <w:rPr>
          <w:spacing w:val="-7"/>
          <w:sz w:val="20"/>
        </w:rPr>
        <w:t> </w:t>
      </w:r>
      <w:r>
        <w:rPr>
          <w:sz w:val="20"/>
        </w:rPr>
        <w:t>the</w:t>
      </w:r>
      <w:r>
        <w:rPr>
          <w:spacing w:val="-8"/>
          <w:sz w:val="20"/>
        </w:rPr>
        <w:t> </w:t>
      </w:r>
      <w:r>
        <w:rPr>
          <w:spacing w:val="-3"/>
          <w:sz w:val="20"/>
        </w:rPr>
        <w:t>day</w:t>
      </w:r>
      <w:r>
        <w:rPr>
          <w:spacing w:val="-7"/>
          <w:sz w:val="20"/>
        </w:rPr>
        <w:t> </w:t>
      </w:r>
      <w:r>
        <w:rPr>
          <w:sz w:val="20"/>
        </w:rPr>
        <w:t>of</w:t>
      </w:r>
      <w:r>
        <w:rPr>
          <w:spacing w:val="-7"/>
          <w:sz w:val="20"/>
        </w:rPr>
        <w:t> </w:t>
      </w:r>
      <w:r>
        <w:rPr>
          <w:sz w:val="20"/>
        </w:rPr>
        <w:t>empanelment,</w:t>
      </w:r>
      <w:r>
        <w:rPr>
          <w:spacing w:val="-8"/>
          <w:sz w:val="20"/>
        </w:rPr>
        <w:t> </w:t>
      </w:r>
      <w:r>
        <w:rPr>
          <w:sz w:val="20"/>
        </w:rPr>
        <w:t>jury</w:t>
      </w:r>
      <w:r>
        <w:rPr>
          <w:spacing w:val="-7"/>
          <w:sz w:val="20"/>
        </w:rPr>
        <w:t> </w:t>
      </w:r>
      <w:r>
        <w:rPr>
          <w:sz w:val="20"/>
        </w:rPr>
        <w:t>duty</w:t>
      </w:r>
      <w:r>
        <w:rPr>
          <w:spacing w:val="-8"/>
          <w:sz w:val="20"/>
        </w:rPr>
        <w:t> </w:t>
      </w:r>
      <w:r>
        <w:rPr>
          <w:sz w:val="20"/>
        </w:rPr>
        <w:t>will</w:t>
      </w:r>
      <w:r>
        <w:rPr>
          <w:spacing w:val="-7"/>
          <w:sz w:val="20"/>
        </w:rPr>
        <w:t> </w:t>
      </w:r>
      <w:r>
        <w:rPr>
          <w:spacing w:val="-3"/>
          <w:sz w:val="20"/>
        </w:rPr>
        <w:t>likely </w:t>
      </w:r>
      <w:r>
        <w:rPr>
          <w:sz w:val="20"/>
        </w:rPr>
        <w:t>be</w:t>
      </w:r>
      <w:r>
        <w:rPr>
          <w:spacing w:val="-10"/>
          <w:sz w:val="20"/>
        </w:rPr>
        <w:t> </w:t>
      </w:r>
      <w:r>
        <w:rPr>
          <w:sz w:val="20"/>
        </w:rPr>
        <w:t>deferred</w:t>
      </w:r>
      <w:r>
        <w:rPr>
          <w:spacing w:val="-10"/>
          <w:sz w:val="20"/>
        </w:rPr>
        <w:t> </w:t>
      </w:r>
      <w:r>
        <w:rPr>
          <w:sz w:val="20"/>
        </w:rPr>
        <w:t>to</w:t>
      </w:r>
      <w:r>
        <w:rPr>
          <w:spacing w:val="-10"/>
          <w:sz w:val="20"/>
        </w:rPr>
        <w:t> </w:t>
      </w:r>
      <w:r>
        <w:rPr>
          <w:sz w:val="20"/>
        </w:rPr>
        <w:t>a</w:t>
      </w:r>
      <w:r>
        <w:rPr>
          <w:spacing w:val="-10"/>
          <w:sz w:val="20"/>
        </w:rPr>
        <w:t> </w:t>
      </w:r>
      <w:r>
        <w:rPr>
          <w:sz w:val="20"/>
        </w:rPr>
        <w:t>later</w:t>
      </w:r>
      <w:r>
        <w:rPr>
          <w:spacing w:val="-10"/>
          <w:sz w:val="20"/>
        </w:rPr>
        <w:t> </w:t>
      </w:r>
      <w:r>
        <w:rPr>
          <w:sz w:val="20"/>
        </w:rPr>
        <w:t>time</w:t>
      </w:r>
      <w:r>
        <w:rPr>
          <w:spacing w:val="-10"/>
          <w:sz w:val="20"/>
        </w:rPr>
        <w:t> </w:t>
      </w:r>
      <w:r>
        <w:rPr>
          <w:sz w:val="20"/>
        </w:rPr>
        <w:t>to</w:t>
      </w:r>
      <w:r>
        <w:rPr>
          <w:spacing w:val="-10"/>
          <w:sz w:val="20"/>
        </w:rPr>
        <w:t> </w:t>
      </w:r>
      <w:r>
        <w:rPr>
          <w:spacing w:val="-3"/>
          <w:sz w:val="20"/>
        </w:rPr>
        <w:t>allow</w:t>
      </w:r>
      <w:r>
        <w:rPr>
          <w:spacing w:val="-10"/>
          <w:sz w:val="20"/>
        </w:rPr>
        <w:t> </w:t>
      </w:r>
      <w:r>
        <w:rPr>
          <w:sz w:val="20"/>
        </w:rPr>
        <w:t>the</w:t>
      </w:r>
      <w:r>
        <w:rPr>
          <w:spacing w:val="-10"/>
          <w:sz w:val="20"/>
        </w:rPr>
        <w:t> </w:t>
      </w:r>
      <w:r>
        <w:rPr>
          <w:sz w:val="20"/>
        </w:rPr>
        <w:t>necessary</w:t>
      </w:r>
      <w:r>
        <w:rPr>
          <w:spacing w:val="-10"/>
          <w:sz w:val="20"/>
        </w:rPr>
        <w:t> </w:t>
      </w:r>
      <w:r>
        <w:rPr>
          <w:sz w:val="20"/>
        </w:rPr>
        <w:t>information</w:t>
      </w:r>
      <w:r>
        <w:rPr>
          <w:spacing w:val="-10"/>
          <w:sz w:val="20"/>
        </w:rPr>
        <w:t> </w:t>
      </w:r>
      <w:r>
        <w:rPr>
          <w:sz w:val="20"/>
        </w:rPr>
        <w:t>to</w:t>
      </w:r>
      <w:r>
        <w:rPr>
          <w:spacing w:val="-10"/>
          <w:sz w:val="20"/>
        </w:rPr>
        <w:t> </w:t>
      </w:r>
      <w:r>
        <w:rPr>
          <w:sz w:val="20"/>
        </w:rPr>
        <w:t>be</w:t>
      </w:r>
      <w:r>
        <w:rPr>
          <w:spacing w:val="-10"/>
          <w:sz w:val="20"/>
        </w:rPr>
        <w:t> </w:t>
      </w:r>
      <w:r>
        <w:rPr>
          <w:sz w:val="20"/>
        </w:rPr>
        <w:t>gathered</w:t>
      </w:r>
      <w:r>
        <w:rPr>
          <w:spacing w:val="-10"/>
          <w:sz w:val="20"/>
        </w:rPr>
        <w:t> </w:t>
      </w:r>
      <w:r>
        <w:rPr>
          <w:sz w:val="20"/>
        </w:rPr>
        <w:t>and arrangements made </w:t>
      </w:r>
      <w:r>
        <w:rPr>
          <w:spacing w:val="-3"/>
          <w:sz w:val="20"/>
        </w:rPr>
        <w:t>by </w:t>
      </w:r>
      <w:r>
        <w:rPr>
          <w:sz w:val="20"/>
        </w:rPr>
        <w:t>the </w:t>
      </w:r>
      <w:r>
        <w:rPr>
          <w:spacing w:val="-4"/>
          <w:sz w:val="20"/>
        </w:rPr>
        <w:t>ACT</w:t>
      </w:r>
      <w:r>
        <w:rPr>
          <w:spacing w:val="-19"/>
          <w:sz w:val="20"/>
        </w:rPr>
        <w:t> </w:t>
      </w:r>
      <w:r>
        <w:rPr>
          <w:spacing w:val="-3"/>
          <w:sz w:val="20"/>
        </w:rPr>
        <w:t>sheriff.</w:t>
      </w:r>
      <w:r>
        <w:rPr>
          <w:spacing w:val="-3"/>
          <w:position w:val="7"/>
          <w:sz w:val="11"/>
        </w:rPr>
        <w:t>18</w:t>
      </w:r>
    </w:p>
    <w:p>
      <w:pPr>
        <w:pStyle w:val="ListParagraph"/>
        <w:numPr>
          <w:ilvl w:val="1"/>
          <w:numId w:val="12"/>
        </w:numPr>
        <w:tabs>
          <w:tab w:pos="1761" w:val="left" w:leader="none"/>
          <w:tab w:pos="1762" w:val="left" w:leader="none"/>
        </w:tabs>
        <w:spacing w:line="206" w:lineRule="auto" w:before="124" w:after="0"/>
        <w:ind w:left="1761" w:right="1281" w:hanging="794"/>
        <w:jc w:val="left"/>
        <w:rPr>
          <w:sz w:val="20"/>
        </w:rPr>
      </w:pPr>
      <w:r>
        <w:rPr>
          <w:sz w:val="20"/>
        </w:rPr>
        <w:t>The</w:t>
      </w:r>
      <w:r>
        <w:rPr>
          <w:spacing w:val="-11"/>
          <w:sz w:val="20"/>
        </w:rPr>
        <w:t> </w:t>
      </w:r>
      <w:r>
        <w:rPr>
          <w:sz w:val="20"/>
        </w:rPr>
        <w:t>sheriff</w:t>
      </w:r>
      <w:r>
        <w:rPr>
          <w:spacing w:val="-10"/>
          <w:sz w:val="20"/>
        </w:rPr>
        <w:t> </w:t>
      </w:r>
      <w:r>
        <w:rPr>
          <w:sz w:val="20"/>
        </w:rPr>
        <w:t>will</w:t>
      </w:r>
      <w:r>
        <w:rPr>
          <w:spacing w:val="-11"/>
          <w:sz w:val="20"/>
        </w:rPr>
        <w:t> </w:t>
      </w:r>
      <w:r>
        <w:rPr>
          <w:spacing w:val="-3"/>
          <w:sz w:val="20"/>
        </w:rPr>
        <w:t>make</w:t>
      </w:r>
      <w:r>
        <w:rPr>
          <w:spacing w:val="-10"/>
          <w:sz w:val="20"/>
        </w:rPr>
        <w:t> </w:t>
      </w:r>
      <w:r>
        <w:rPr>
          <w:sz w:val="20"/>
        </w:rPr>
        <w:t>a</w:t>
      </w:r>
      <w:r>
        <w:rPr>
          <w:spacing w:val="-10"/>
          <w:sz w:val="20"/>
        </w:rPr>
        <w:t> </w:t>
      </w:r>
      <w:r>
        <w:rPr>
          <w:sz w:val="20"/>
        </w:rPr>
        <w:t>preliminary</w:t>
      </w:r>
      <w:r>
        <w:rPr>
          <w:spacing w:val="-11"/>
          <w:sz w:val="20"/>
        </w:rPr>
        <w:t> </w:t>
      </w:r>
      <w:r>
        <w:rPr>
          <w:sz w:val="20"/>
        </w:rPr>
        <w:t>recommendation</w:t>
      </w:r>
      <w:r>
        <w:rPr>
          <w:spacing w:val="-10"/>
          <w:sz w:val="20"/>
        </w:rPr>
        <w:t> </w:t>
      </w:r>
      <w:r>
        <w:rPr>
          <w:sz w:val="20"/>
        </w:rPr>
        <w:t>to</w:t>
      </w:r>
      <w:r>
        <w:rPr>
          <w:spacing w:val="-10"/>
          <w:sz w:val="20"/>
        </w:rPr>
        <w:t> </w:t>
      </w:r>
      <w:r>
        <w:rPr>
          <w:sz w:val="20"/>
        </w:rPr>
        <w:t>the</w:t>
      </w:r>
      <w:r>
        <w:rPr>
          <w:spacing w:val="-11"/>
          <w:sz w:val="20"/>
        </w:rPr>
        <w:t> </w:t>
      </w:r>
      <w:r>
        <w:rPr>
          <w:sz w:val="20"/>
        </w:rPr>
        <w:t>court</w:t>
      </w:r>
      <w:r>
        <w:rPr>
          <w:spacing w:val="-10"/>
          <w:sz w:val="20"/>
        </w:rPr>
        <w:t> </w:t>
      </w:r>
      <w:r>
        <w:rPr>
          <w:sz w:val="20"/>
        </w:rPr>
        <w:t>about</w:t>
      </w:r>
      <w:r>
        <w:rPr>
          <w:spacing w:val="-10"/>
          <w:sz w:val="20"/>
        </w:rPr>
        <w:t> </w:t>
      </w:r>
      <w:r>
        <w:rPr>
          <w:sz w:val="20"/>
        </w:rPr>
        <w:t>the</w:t>
      </w:r>
      <w:r>
        <w:rPr>
          <w:spacing w:val="-11"/>
          <w:sz w:val="20"/>
        </w:rPr>
        <w:t> </w:t>
      </w:r>
      <w:r>
        <w:rPr>
          <w:spacing w:val="-3"/>
          <w:sz w:val="20"/>
        </w:rPr>
        <w:t>provision</w:t>
      </w:r>
      <w:r>
        <w:rPr>
          <w:spacing w:val="-10"/>
          <w:sz w:val="20"/>
        </w:rPr>
        <w:t> </w:t>
      </w:r>
      <w:r>
        <w:rPr>
          <w:sz w:val="20"/>
        </w:rPr>
        <w:t>of supports to enable jury service. In making a recommendation the sheriff will consider matters</w:t>
      </w:r>
      <w:r>
        <w:rPr>
          <w:spacing w:val="-5"/>
          <w:sz w:val="20"/>
        </w:rPr>
        <w:t> </w:t>
      </w:r>
      <w:r>
        <w:rPr>
          <w:sz w:val="20"/>
        </w:rPr>
        <w:t>including:</w:t>
      </w:r>
    </w:p>
    <w:p>
      <w:pPr>
        <w:pStyle w:val="ListParagraph"/>
        <w:numPr>
          <w:ilvl w:val="2"/>
          <w:numId w:val="12"/>
        </w:numPr>
        <w:tabs>
          <w:tab w:pos="2157" w:val="left" w:leader="none"/>
          <w:tab w:pos="2158" w:val="left" w:leader="none"/>
        </w:tabs>
        <w:spacing w:line="240" w:lineRule="auto" w:before="92" w:after="0"/>
        <w:ind w:left="2157" w:right="0" w:hanging="396"/>
        <w:jc w:val="left"/>
        <w:rPr>
          <w:sz w:val="20"/>
        </w:rPr>
      </w:pPr>
      <w:r>
        <w:rPr>
          <w:sz w:val="20"/>
        </w:rPr>
        <w:t>the supports</w:t>
      </w:r>
      <w:r>
        <w:rPr>
          <w:spacing w:val="-9"/>
          <w:sz w:val="20"/>
        </w:rPr>
        <w:t> </w:t>
      </w:r>
      <w:r>
        <w:rPr>
          <w:sz w:val="20"/>
        </w:rPr>
        <w:t>requested</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details</w:t>
      </w:r>
      <w:r>
        <w:rPr>
          <w:spacing w:val="-5"/>
          <w:sz w:val="20"/>
        </w:rPr>
        <w:t> </w:t>
      </w:r>
      <w:r>
        <w:rPr>
          <w:sz w:val="20"/>
        </w:rPr>
        <w:t>of</w:t>
      </w:r>
      <w:r>
        <w:rPr>
          <w:spacing w:val="-5"/>
          <w:sz w:val="20"/>
        </w:rPr>
        <w:t> </w:t>
      </w:r>
      <w:r>
        <w:rPr>
          <w:sz w:val="20"/>
        </w:rPr>
        <w:t>trials</w:t>
      </w:r>
      <w:r>
        <w:rPr>
          <w:spacing w:val="-5"/>
          <w:sz w:val="20"/>
        </w:rPr>
        <w:t> </w:t>
      </w:r>
      <w:r>
        <w:rPr>
          <w:sz w:val="20"/>
        </w:rPr>
        <w:t>listed</w:t>
      </w:r>
      <w:r>
        <w:rPr>
          <w:spacing w:val="-5"/>
          <w:sz w:val="20"/>
        </w:rPr>
        <w:t> </w:t>
      </w:r>
      <w:r>
        <w:rPr>
          <w:sz w:val="20"/>
        </w:rPr>
        <w:t>for</w:t>
      </w:r>
      <w:r>
        <w:rPr>
          <w:spacing w:val="-4"/>
          <w:sz w:val="20"/>
        </w:rPr>
        <w:t> </w:t>
      </w:r>
      <w:r>
        <w:rPr>
          <w:sz w:val="20"/>
        </w:rPr>
        <w:t>the</w:t>
      </w:r>
      <w:r>
        <w:rPr>
          <w:spacing w:val="-5"/>
          <w:sz w:val="20"/>
        </w:rPr>
        <w:t> </w:t>
      </w:r>
      <w:r>
        <w:rPr>
          <w:sz w:val="20"/>
        </w:rPr>
        <w:t>period</w:t>
      </w:r>
      <w:r>
        <w:rPr>
          <w:spacing w:val="-5"/>
          <w:sz w:val="20"/>
        </w:rPr>
        <w:t> </w:t>
      </w:r>
      <w:r>
        <w:rPr>
          <w:sz w:val="20"/>
        </w:rPr>
        <w:t>the</w:t>
      </w:r>
      <w:r>
        <w:rPr>
          <w:spacing w:val="-5"/>
          <w:sz w:val="20"/>
        </w:rPr>
        <w:t> </w:t>
      </w:r>
      <w:r>
        <w:rPr>
          <w:sz w:val="20"/>
        </w:rPr>
        <w:t>person</w:t>
      </w:r>
      <w:r>
        <w:rPr>
          <w:spacing w:val="-5"/>
          <w:sz w:val="20"/>
        </w:rPr>
        <w:t> </w:t>
      </w:r>
      <w:r>
        <w:rPr>
          <w:sz w:val="20"/>
        </w:rPr>
        <w:t>has</w:t>
      </w:r>
      <w:r>
        <w:rPr>
          <w:spacing w:val="-4"/>
          <w:sz w:val="20"/>
        </w:rPr>
        <w:t> </w:t>
      </w:r>
      <w:r>
        <w:rPr>
          <w:sz w:val="20"/>
        </w:rPr>
        <w:t>been</w:t>
      </w:r>
      <w:r>
        <w:rPr>
          <w:spacing w:val="-5"/>
          <w:sz w:val="20"/>
        </w:rPr>
        <w:t> </w:t>
      </w:r>
      <w:r>
        <w:rPr>
          <w:sz w:val="20"/>
        </w:rPr>
        <w:t>summonsed</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anticipated</w:t>
      </w:r>
      <w:r>
        <w:rPr>
          <w:spacing w:val="-5"/>
          <w:sz w:val="20"/>
        </w:rPr>
        <w:t> </w:t>
      </w:r>
      <w:r>
        <w:rPr>
          <w:sz w:val="20"/>
        </w:rPr>
        <w:t>costs</w:t>
      </w:r>
    </w:p>
    <w:p>
      <w:pPr>
        <w:pStyle w:val="ListParagraph"/>
        <w:numPr>
          <w:ilvl w:val="2"/>
          <w:numId w:val="12"/>
        </w:numPr>
        <w:tabs>
          <w:tab w:pos="2157" w:val="left" w:leader="none"/>
          <w:tab w:pos="2158" w:val="left" w:leader="none"/>
        </w:tabs>
        <w:spacing w:line="240" w:lineRule="auto" w:before="47" w:after="0"/>
        <w:ind w:left="2157" w:right="0" w:hanging="396"/>
        <w:jc w:val="left"/>
        <w:rPr>
          <w:sz w:val="11"/>
        </w:rPr>
      </w:pPr>
      <w:r>
        <w:rPr>
          <w:sz w:val="20"/>
        </w:rPr>
        <w:t>impact on court </w:t>
      </w:r>
      <w:r>
        <w:rPr>
          <w:spacing w:val="-3"/>
          <w:sz w:val="20"/>
        </w:rPr>
        <w:t>resources, </w:t>
      </w:r>
      <w:r>
        <w:rPr>
          <w:sz w:val="20"/>
        </w:rPr>
        <w:t>facilities and</w:t>
      </w:r>
      <w:r>
        <w:rPr>
          <w:spacing w:val="-24"/>
          <w:sz w:val="20"/>
        </w:rPr>
        <w:t> </w:t>
      </w:r>
      <w:r>
        <w:rPr>
          <w:sz w:val="20"/>
        </w:rPr>
        <w:t>timelines.</w:t>
      </w:r>
      <w:r>
        <w:rPr>
          <w:position w:val="7"/>
          <w:sz w:val="11"/>
        </w:rPr>
        <w:t>19</w:t>
      </w:r>
    </w:p>
    <w:p>
      <w:pPr>
        <w:pStyle w:val="ListParagraph"/>
        <w:numPr>
          <w:ilvl w:val="1"/>
          <w:numId w:val="12"/>
        </w:numPr>
        <w:tabs>
          <w:tab w:pos="1761" w:val="left" w:leader="none"/>
          <w:tab w:pos="1762" w:val="left" w:leader="none"/>
        </w:tabs>
        <w:spacing w:line="206" w:lineRule="auto" w:before="80" w:after="0"/>
        <w:ind w:left="1761" w:right="1507" w:hanging="794"/>
        <w:jc w:val="left"/>
        <w:rPr>
          <w:sz w:val="11"/>
        </w:rPr>
      </w:pPr>
      <w:r>
        <w:rPr>
          <w:sz w:val="20"/>
        </w:rPr>
        <w:t>The</w:t>
      </w:r>
      <w:r>
        <w:rPr>
          <w:spacing w:val="-14"/>
          <w:sz w:val="20"/>
        </w:rPr>
        <w:t> </w:t>
      </w:r>
      <w:r>
        <w:rPr>
          <w:sz w:val="20"/>
        </w:rPr>
        <w:t>sheriff</w:t>
      </w:r>
      <w:r>
        <w:rPr>
          <w:spacing w:val="-13"/>
          <w:sz w:val="20"/>
        </w:rPr>
        <w:t> </w:t>
      </w:r>
      <w:r>
        <w:rPr>
          <w:sz w:val="20"/>
        </w:rPr>
        <w:t>will</w:t>
      </w:r>
      <w:r>
        <w:rPr>
          <w:spacing w:val="-14"/>
          <w:sz w:val="20"/>
        </w:rPr>
        <w:t> </w:t>
      </w:r>
      <w:r>
        <w:rPr>
          <w:spacing w:val="-4"/>
          <w:sz w:val="20"/>
        </w:rPr>
        <w:t>have</w:t>
      </w:r>
      <w:r>
        <w:rPr>
          <w:spacing w:val="-13"/>
          <w:sz w:val="20"/>
        </w:rPr>
        <w:t> </w:t>
      </w:r>
      <w:r>
        <w:rPr>
          <w:sz w:val="20"/>
        </w:rPr>
        <w:t>information</w:t>
      </w:r>
      <w:r>
        <w:rPr>
          <w:spacing w:val="-13"/>
          <w:sz w:val="20"/>
        </w:rPr>
        <w:t> </w:t>
      </w:r>
      <w:r>
        <w:rPr>
          <w:sz w:val="20"/>
        </w:rPr>
        <w:t>about</w:t>
      </w:r>
      <w:r>
        <w:rPr>
          <w:spacing w:val="-14"/>
          <w:sz w:val="20"/>
        </w:rPr>
        <w:t> </w:t>
      </w:r>
      <w:r>
        <w:rPr>
          <w:sz w:val="20"/>
        </w:rPr>
        <w:t>trials</w:t>
      </w:r>
      <w:r>
        <w:rPr>
          <w:spacing w:val="-13"/>
          <w:sz w:val="20"/>
        </w:rPr>
        <w:t> </w:t>
      </w:r>
      <w:r>
        <w:rPr>
          <w:sz w:val="20"/>
        </w:rPr>
        <w:t>including</w:t>
      </w:r>
      <w:r>
        <w:rPr>
          <w:spacing w:val="-14"/>
          <w:sz w:val="20"/>
        </w:rPr>
        <w:t> </w:t>
      </w:r>
      <w:r>
        <w:rPr>
          <w:sz w:val="20"/>
        </w:rPr>
        <w:t>the</w:t>
      </w:r>
      <w:r>
        <w:rPr>
          <w:spacing w:val="-13"/>
          <w:sz w:val="20"/>
        </w:rPr>
        <w:t> </w:t>
      </w:r>
      <w:r>
        <w:rPr>
          <w:sz w:val="20"/>
        </w:rPr>
        <w:t>charges,</w:t>
      </w:r>
      <w:r>
        <w:rPr>
          <w:spacing w:val="-13"/>
          <w:sz w:val="20"/>
        </w:rPr>
        <w:t> </w:t>
      </w:r>
      <w:r>
        <w:rPr>
          <w:sz w:val="20"/>
        </w:rPr>
        <w:t>expected</w:t>
      </w:r>
      <w:r>
        <w:rPr>
          <w:spacing w:val="-14"/>
          <w:sz w:val="20"/>
        </w:rPr>
        <w:t> </w:t>
      </w:r>
      <w:r>
        <w:rPr>
          <w:sz w:val="20"/>
        </w:rPr>
        <w:t>length of trial and trial </w:t>
      </w:r>
      <w:r>
        <w:rPr>
          <w:spacing w:val="-3"/>
          <w:sz w:val="20"/>
        </w:rPr>
        <w:t>callover </w:t>
      </w:r>
      <w:r>
        <w:rPr>
          <w:sz w:val="20"/>
        </w:rPr>
        <w:t>outcomes.</w:t>
      </w:r>
      <w:r>
        <w:rPr>
          <w:position w:val="7"/>
          <w:sz w:val="11"/>
        </w:rPr>
        <w:t>20 </w:t>
      </w:r>
      <w:r>
        <w:rPr>
          <w:sz w:val="20"/>
        </w:rPr>
        <w:t>Judges </w:t>
      </w:r>
      <w:r>
        <w:rPr>
          <w:spacing w:val="-3"/>
          <w:sz w:val="20"/>
        </w:rPr>
        <w:t>may </w:t>
      </w:r>
      <w:r>
        <w:rPr>
          <w:spacing w:val="-4"/>
          <w:sz w:val="20"/>
        </w:rPr>
        <w:t>have </w:t>
      </w:r>
      <w:r>
        <w:rPr>
          <w:sz w:val="20"/>
        </w:rPr>
        <w:t>access to pre-trial </w:t>
      </w:r>
      <w:r>
        <w:rPr>
          <w:spacing w:val="-3"/>
          <w:sz w:val="20"/>
        </w:rPr>
        <w:t>material </w:t>
      </w:r>
      <w:r>
        <w:rPr>
          <w:sz w:val="20"/>
        </w:rPr>
        <w:t>and</w:t>
      </w:r>
      <w:r>
        <w:rPr>
          <w:spacing w:val="-10"/>
          <w:sz w:val="20"/>
        </w:rPr>
        <w:t> </w:t>
      </w:r>
      <w:r>
        <w:rPr>
          <w:spacing w:val="-3"/>
          <w:sz w:val="20"/>
        </w:rPr>
        <w:t>may</w:t>
      </w:r>
      <w:r>
        <w:rPr>
          <w:spacing w:val="-10"/>
          <w:sz w:val="20"/>
        </w:rPr>
        <w:t> </w:t>
      </w:r>
      <w:r>
        <w:rPr>
          <w:sz w:val="20"/>
        </w:rPr>
        <w:t>be</w:t>
      </w:r>
      <w:r>
        <w:rPr>
          <w:spacing w:val="-9"/>
          <w:sz w:val="20"/>
        </w:rPr>
        <w:t> </w:t>
      </w:r>
      <w:r>
        <w:rPr>
          <w:sz w:val="20"/>
        </w:rPr>
        <w:t>better</w:t>
      </w:r>
      <w:r>
        <w:rPr>
          <w:spacing w:val="-10"/>
          <w:sz w:val="20"/>
        </w:rPr>
        <w:t> </w:t>
      </w:r>
      <w:r>
        <w:rPr>
          <w:sz w:val="20"/>
        </w:rPr>
        <w:t>able</w:t>
      </w:r>
      <w:r>
        <w:rPr>
          <w:spacing w:val="-10"/>
          <w:sz w:val="20"/>
        </w:rPr>
        <w:t> </w:t>
      </w:r>
      <w:r>
        <w:rPr>
          <w:sz w:val="20"/>
        </w:rPr>
        <w:t>to</w:t>
      </w:r>
      <w:r>
        <w:rPr>
          <w:spacing w:val="-9"/>
          <w:sz w:val="20"/>
        </w:rPr>
        <w:t> </w:t>
      </w:r>
      <w:r>
        <w:rPr>
          <w:sz w:val="20"/>
        </w:rPr>
        <w:t>assess</w:t>
      </w:r>
      <w:r>
        <w:rPr>
          <w:spacing w:val="-10"/>
          <w:sz w:val="20"/>
        </w:rPr>
        <w:t> </w:t>
      </w:r>
      <w:r>
        <w:rPr>
          <w:sz w:val="20"/>
        </w:rPr>
        <w:t>the</w:t>
      </w:r>
      <w:r>
        <w:rPr>
          <w:spacing w:val="-9"/>
          <w:sz w:val="20"/>
        </w:rPr>
        <w:t> </w:t>
      </w:r>
      <w:r>
        <w:rPr>
          <w:sz w:val="20"/>
        </w:rPr>
        <w:t>evidence</w:t>
      </w:r>
      <w:r>
        <w:rPr>
          <w:spacing w:val="-10"/>
          <w:sz w:val="20"/>
        </w:rPr>
        <w:t> </w:t>
      </w:r>
      <w:r>
        <w:rPr>
          <w:spacing w:val="-3"/>
          <w:sz w:val="20"/>
        </w:rPr>
        <w:t>likely</w:t>
      </w:r>
      <w:r>
        <w:rPr>
          <w:spacing w:val="-10"/>
          <w:sz w:val="20"/>
        </w:rPr>
        <w:t> </w:t>
      </w:r>
      <w:r>
        <w:rPr>
          <w:sz w:val="20"/>
        </w:rPr>
        <w:t>to</w:t>
      </w:r>
      <w:r>
        <w:rPr>
          <w:spacing w:val="-9"/>
          <w:sz w:val="20"/>
        </w:rPr>
        <w:t> </w:t>
      </w:r>
      <w:r>
        <w:rPr>
          <w:sz w:val="20"/>
        </w:rPr>
        <w:t>be</w:t>
      </w:r>
      <w:r>
        <w:rPr>
          <w:spacing w:val="-10"/>
          <w:sz w:val="20"/>
        </w:rPr>
        <w:t> </w:t>
      </w:r>
      <w:r>
        <w:rPr>
          <w:sz w:val="20"/>
        </w:rPr>
        <w:t>adduced.</w:t>
      </w:r>
      <w:r>
        <w:rPr>
          <w:spacing w:val="-9"/>
          <w:sz w:val="20"/>
        </w:rPr>
        <w:t> </w:t>
      </w:r>
      <w:r>
        <w:rPr>
          <w:sz w:val="20"/>
        </w:rPr>
        <w:t>The</w:t>
      </w:r>
      <w:r>
        <w:rPr>
          <w:spacing w:val="-10"/>
          <w:sz w:val="20"/>
        </w:rPr>
        <w:t> </w:t>
      </w:r>
      <w:r>
        <w:rPr>
          <w:sz w:val="20"/>
        </w:rPr>
        <w:t>sheriff</w:t>
      </w:r>
      <w:r>
        <w:rPr>
          <w:spacing w:val="-10"/>
          <w:sz w:val="20"/>
        </w:rPr>
        <w:t> </w:t>
      </w:r>
      <w:r>
        <w:rPr>
          <w:spacing w:val="-3"/>
          <w:sz w:val="20"/>
        </w:rPr>
        <w:t>may </w:t>
      </w:r>
      <w:r>
        <w:rPr>
          <w:sz w:val="20"/>
        </w:rPr>
        <w:t>approach</w:t>
      </w:r>
      <w:r>
        <w:rPr>
          <w:spacing w:val="-9"/>
          <w:sz w:val="20"/>
        </w:rPr>
        <w:t> </w:t>
      </w:r>
      <w:r>
        <w:rPr>
          <w:sz w:val="20"/>
        </w:rPr>
        <w:t>the</w:t>
      </w:r>
      <w:r>
        <w:rPr>
          <w:spacing w:val="-9"/>
          <w:sz w:val="20"/>
        </w:rPr>
        <w:t> </w:t>
      </w:r>
      <w:r>
        <w:rPr>
          <w:sz w:val="20"/>
        </w:rPr>
        <w:t>prospective</w:t>
      </w:r>
      <w:r>
        <w:rPr>
          <w:spacing w:val="-8"/>
          <w:sz w:val="20"/>
        </w:rPr>
        <w:t> </w:t>
      </w:r>
      <w:r>
        <w:rPr>
          <w:sz w:val="20"/>
        </w:rPr>
        <w:t>judges</w:t>
      </w:r>
      <w:r>
        <w:rPr>
          <w:spacing w:val="-9"/>
          <w:sz w:val="20"/>
        </w:rPr>
        <w:t> </w:t>
      </w:r>
      <w:r>
        <w:rPr>
          <w:sz w:val="20"/>
        </w:rPr>
        <w:t>and</w:t>
      </w:r>
      <w:r>
        <w:rPr>
          <w:spacing w:val="-8"/>
          <w:sz w:val="20"/>
        </w:rPr>
        <w:t> </w:t>
      </w:r>
      <w:r>
        <w:rPr>
          <w:sz w:val="20"/>
        </w:rPr>
        <w:t>discuss</w:t>
      </w:r>
      <w:r>
        <w:rPr>
          <w:spacing w:val="-9"/>
          <w:sz w:val="20"/>
        </w:rPr>
        <w:t> </w:t>
      </w:r>
      <w:r>
        <w:rPr>
          <w:sz w:val="20"/>
        </w:rPr>
        <w:t>the</w:t>
      </w:r>
      <w:r>
        <w:rPr>
          <w:spacing w:val="-9"/>
          <w:sz w:val="20"/>
        </w:rPr>
        <w:t> </w:t>
      </w:r>
      <w:r>
        <w:rPr>
          <w:spacing w:val="-3"/>
          <w:sz w:val="20"/>
        </w:rPr>
        <w:t>provision</w:t>
      </w:r>
      <w:r>
        <w:rPr>
          <w:spacing w:val="-8"/>
          <w:sz w:val="20"/>
        </w:rPr>
        <w:t> </w:t>
      </w:r>
      <w:r>
        <w:rPr>
          <w:sz w:val="20"/>
        </w:rPr>
        <w:t>of</w:t>
      </w:r>
      <w:r>
        <w:rPr>
          <w:spacing w:val="-9"/>
          <w:sz w:val="20"/>
        </w:rPr>
        <w:t> </w:t>
      </w:r>
      <w:r>
        <w:rPr>
          <w:sz w:val="20"/>
        </w:rPr>
        <w:t>supports</w:t>
      </w:r>
      <w:r>
        <w:rPr>
          <w:spacing w:val="-8"/>
          <w:sz w:val="20"/>
        </w:rPr>
        <w:t> </w:t>
      </w:r>
      <w:r>
        <w:rPr>
          <w:sz w:val="20"/>
        </w:rPr>
        <w:t>with</w:t>
      </w:r>
      <w:r>
        <w:rPr>
          <w:spacing w:val="-9"/>
          <w:sz w:val="20"/>
        </w:rPr>
        <w:t> </w:t>
      </w:r>
      <w:r>
        <w:rPr>
          <w:sz w:val="20"/>
        </w:rPr>
        <w:t>them.</w:t>
      </w:r>
      <w:r>
        <w:rPr>
          <w:spacing w:val="-8"/>
          <w:sz w:val="20"/>
        </w:rPr>
        <w:t> </w:t>
      </w:r>
      <w:r>
        <w:rPr>
          <w:position w:val="7"/>
          <w:sz w:val="11"/>
        </w:rPr>
        <w:t>21</w:t>
      </w:r>
    </w:p>
    <w:p>
      <w:pPr>
        <w:pStyle w:val="ListParagraph"/>
        <w:numPr>
          <w:ilvl w:val="1"/>
          <w:numId w:val="12"/>
        </w:numPr>
        <w:tabs>
          <w:tab w:pos="1761" w:val="left" w:leader="none"/>
          <w:tab w:pos="1762" w:val="left" w:leader="none"/>
        </w:tabs>
        <w:spacing w:line="206" w:lineRule="auto" w:before="125" w:after="0"/>
        <w:ind w:left="1761" w:right="1227" w:hanging="794"/>
        <w:jc w:val="left"/>
        <w:rPr>
          <w:sz w:val="11"/>
        </w:rPr>
      </w:pPr>
      <w:r>
        <w:rPr>
          <w:sz w:val="20"/>
        </w:rPr>
        <w:t>It is expected that the sheriff’s recommendation will be communicated to the person with a disability </w:t>
      </w:r>
      <w:r>
        <w:rPr>
          <w:spacing w:val="-4"/>
          <w:sz w:val="20"/>
        </w:rPr>
        <w:t>over </w:t>
      </w:r>
      <w:r>
        <w:rPr>
          <w:sz w:val="20"/>
        </w:rPr>
        <w:t>the phone. If the person agrees with the recommendation, the matter can be dealt with on the papers. If the recommendation is not to </w:t>
      </w:r>
      <w:r>
        <w:rPr>
          <w:spacing w:val="-3"/>
          <w:sz w:val="20"/>
        </w:rPr>
        <w:t>provide </w:t>
      </w:r>
      <w:r>
        <w:rPr>
          <w:sz w:val="20"/>
        </w:rPr>
        <w:t>supports, then the matter will be listed for a hearing </w:t>
      </w:r>
      <w:r>
        <w:rPr>
          <w:spacing w:val="-3"/>
          <w:sz w:val="20"/>
        </w:rPr>
        <w:t>before </w:t>
      </w:r>
      <w:r>
        <w:rPr>
          <w:sz w:val="20"/>
        </w:rPr>
        <w:t>a judge. The sheriff will advise</w:t>
      </w:r>
      <w:r>
        <w:rPr>
          <w:spacing w:val="-9"/>
          <w:sz w:val="20"/>
        </w:rPr>
        <w:t> </w:t>
      </w:r>
      <w:r>
        <w:rPr>
          <w:sz w:val="20"/>
        </w:rPr>
        <w:t>the</w:t>
      </w:r>
      <w:r>
        <w:rPr>
          <w:spacing w:val="-8"/>
          <w:sz w:val="20"/>
        </w:rPr>
        <w:t> </w:t>
      </w:r>
      <w:r>
        <w:rPr>
          <w:sz w:val="20"/>
        </w:rPr>
        <w:t>person</w:t>
      </w:r>
      <w:r>
        <w:rPr>
          <w:spacing w:val="-8"/>
          <w:sz w:val="20"/>
        </w:rPr>
        <w:t> </w:t>
      </w:r>
      <w:r>
        <w:rPr>
          <w:sz w:val="20"/>
        </w:rPr>
        <w:t>of</w:t>
      </w:r>
      <w:r>
        <w:rPr>
          <w:spacing w:val="-8"/>
          <w:sz w:val="20"/>
        </w:rPr>
        <w:t> </w:t>
      </w:r>
      <w:r>
        <w:rPr>
          <w:sz w:val="20"/>
        </w:rPr>
        <w:t>the</w:t>
      </w:r>
      <w:r>
        <w:rPr>
          <w:spacing w:val="-8"/>
          <w:sz w:val="20"/>
        </w:rPr>
        <w:t> </w:t>
      </w:r>
      <w:r>
        <w:rPr>
          <w:sz w:val="20"/>
        </w:rPr>
        <w:t>hearing</w:t>
      </w:r>
      <w:r>
        <w:rPr>
          <w:spacing w:val="-8"/>
          <w:sz w:val="20"/>
        </w:rPr>
        <w:t> </w:t>
      </w:r>
      <w:r>
        <w:rPr>
          <w:spacing w:val="-3"/>
          <w:sz w:val="20"/>
        </w:rPr>
        <w:t>date.</w:t>
      </w:r>
      <w:r>
        <w:rPr>
          <w:spacing w:val="-8"/>
          <w:sz w:val="20"/>
        </w:rPr>
        <w:t> </w:t>
      </w:r>
      <w:r>
        <w:rPr>
          <w:sz w:val="20"/>
        </w:rPr>
        <w:t>It</w:t>
      </w:r>
      <w:r>
        <w:rPr>
          <w:spacing w:val="-8"/>
          <w:sz w:val="20"/>
        </w:rPr>
        <w:t> </w:t>
      </w:r>
      <w:r>
        <w:rPr>
          <w:sz w:val="20"/>
        </w:rPr>
        <w:t>is</w:t>
      </w:r>
      <w:r>
        <w:rPr>
          <w:spacing w:val="-9"/>
          <w:sz w:val="20"/>
        </w:rPr>
        <w:t> </w:t>
      </w:r>
      <w:r>
        <w:rPr>
          <w:spacing w:val="-3"/>
          <w:sz w:val="20"/>
        </w:rPr>
        <w:t>preferable</w:t>
      </w:r>
      <w:r>
        <w:rPr>
          <w:spacing w:val="-8"/>
          <w:sz w:val="20"/>
        </w:rPr>
        <w:t> </w:t>
      </w:r>
      <w:r>
        <w:rPr>
          <w:sz w:val="20"/>
        </w:rPr>
        <w:t>for</w:t>
      </w:r>
      <w:r>
        <w:rPr>
          <w:spacing w:val="-8"/>
          <w:sz w:val="20"/>
        </w:rPr>
        <w:t> </w:t>
      </w:r>
      <w:r>
        <w:rPr>
          <w:sz w:val="20"/>
        </w:rPr>
        <w:t>the</w:t>
      </w:r>
      <w:r>
        <w:rPr>
          <w:spacing w:val="-8"/>
          <w:sz w:val="20"/>
        </w:rPr>
        <w:t> </w:t>
      </w:r>
      <w:r>
        <w:rPr>
          <w:sz w:val="20"/>
        </w:rPr>
        <w:t>matter</w:t>
      </w:r>
      <w:r>
        <w:rPr>
          <w:spacing w:val="-8"/>
          <w:sz w:val="20"/>
        </w:rPr>
        <w:t> </w:t>
      </w:r>
      <w:r>
        <w:rPr>
          <w:sz w:val="20"/>
        </w:rPr>
        <w:t>to</w:t>
      </w:r>
      <w:r>
        <w:rPr>
          <w:spacing w:val="-8"/>
          <w:sz w:val="20"/>
        </w:rPr>
        <w:t> </w:t>
      </w:r>
      <w:r>
        <w:rPr>
          <w:sz w:val="20"/>
        </w:rPr>
        <w:t>be</w:t>
      </w:r>
      <w:r>
        <w:rPr>
          <w:spacing w:val="-8"/>
          <w:sz w:val="20"/>
        </w:rPr>
        <w:t> </w:t>
      </w:r>
      <w:r>
        <w:rPr>
          <w:sz w:val="20"/>
        </w:rPr>
        <w:t>determined</w:t>
      </w:r>
      <w:r>
        <w:rPr>
          <w:spacing w:val="-9"/>
          <w:sz w:val="20"/>
        </w:rPr>
        <w:t> </w:t>
      </w:r>
      <w:r>
        <w:rPr>
          <w:sz w:val="20"/>
        </w:rPr>
        <w:t>in advance of the trial. This is </w:t>
      </w:r>
      <w:r>
        <w:rPr>
          <w:spacing w:val="-3"/>
          <w:sz w:val="20"/>
        </w:rPr>
        <w:t>likely </w:t>
      </w:r>
      <w:r>
        <w:rPr>
          <w:sz w:val="20"/>
        </w:rPr>
        <w:t>to be the week </w:t>
      </w:r>
      <w:r>
        <w:rPr>
          <w:spacing w:val="-3"/>
          <w:sz w:val="20"/>
        </w:rPr>
        <w:t>before </w:t>
      </w:r>
      <w:r>
        <w:rPr>
          <w:sz w:val="20"/>
        </w:rPr>
        <w:t>trial if the Court is made </w:t>
      </w:r>
      <w:r>
        <w:rPr>
          <w:spacing w:val="-4"/>
          <w:sz w:val="20"/>
        </w:rPr>
        <w:t>aware </w:t>
      </w:r>
      <w:r>
        <w:rPr>
          <w:sz w:val="20"/>
        </w:rPr>
        <w:t>of the need for supports </w:t>
      </w:r>
      <w:r>
        <w:rPr>
          <w:spacing w:val="-3"/>
          <w:sz w:val="20"/>
        </w:rPr>
        <w:t>early </w:t>
      </w:r>
      <w:r>
        <w:rPr>
          <w:sz w:val="20"/>
        </w:rPr>
        <w:t>in the</w:t>
      </w:r>
      <w:r>
        <w:rPr>
          <w:spacing w:val="-30"/>
          <w:sz w:val="20"/>
        </w:rPr>
        <w:t> </w:t>
      </w:r>
      <w:r>
        <w:rPr>
          <w:sz w:val="20"/>
        </w:rPr>
        <w:t>process.</w:t>
      </w:r>
      <w:r>
        <w:rPr>
          <w:position w:val="7"/>
          <w:sz w:val="11"/>
        </w:rPr>
        <w:t>22</w:t>
      </w:r>
    </w:p>
    <w:p>
      <w:pPr>
        <w:pStyle w:val="ListParagraph"/>
        <w:numPr>
          <w:ilvl w:val="1"/>
          <w:numId w:val="12"/>
        </w:numPr>
        <w:tabs>
          <w:tab w:pos="1761" w:val="left" w:leader="none"/>
          <w:tab w:pos="1762" w:val="left" w:leader="none"/>
        </w:tabs>
        <w:spacing w:line="206" w:lineRule="auto" w:before="129" w:after="0"/>
        <w:ind w:left="1761" w:right="1364" w:hanging="794"/>
        <w:jc w:val="left"/>
        <w:rPr>
          <w:sz w:val="20"/>
        </w:rPr>
      </w:pPr>
      <w:r>
        <w:rPr>
          <w:sz w:val="20"/>
        </w:rPr>
        <w:t>If</w:t>
      </w:r>
      <w:r>
        <w:rPr>
          <w:spacing w:val="-10"/>
          <w:sz w:val="20"/>
        </w:rPr>
        <w:t> </w:t>
      </w:r>
      <w:r>
        <w:rPr>
          <w:sz w:val="20"/>
        </w:rPr>
        <w:t>the</w:t>
      </w:r>
      <w:r>
        <w:rPr>
          <w:spacing w:val="-10"/>
          <w:sz w:val="20"/>
        </w:rPr>
        <w:t> </w:t>
      </w:r>
      <w:r>
        <w:rPr>
          <w:sz w:val="20"/>
        </w:rPr>
        <w:t>matter</w:t>
      </w:r>
      <w:r>
        <w:rPr>
          <w:spacing w:val="-10"/>
          <w:sz w:val="20"/>
        </w:rPr>
        <w:t> </w:t>
      </w:r>
      <w:r>
        <w:rPr>
          <w:sz w:val="20"/>
        </w:rPr>
        <w:t>has</w:t>
      </w:r>
      <w:r>
        <w:rPr>
          <w:spacing w:val="-10"/>
          <w:sz w:val="20"/>
        </w:rPr>
        <w:t> </w:t>
      </w:r>
      <w:r>
        <w:rPr>
          <w:sz w:val="20"/>
        </w:rPr>
        <w:t>been</w:t>
      </w:r>
      <w:r>
        <w:rPr>
          <w:spacing w:val="-10"/>
          <w:sz w:val="20"/>
        </w:rPr>
        <w:t> </w:t>
      </w:r>
      <w:r>
        <w:rPr>
          <w:sz w:val="20"/>
        </w:rPr>
        <w:t>allocated</w:t>
      </w:r>
      <w:r>
        <w:rPr>
          <w:spacing w:val="-9"/>
          <w:sz w:val="20"/>
        </w:rPr>
        <w:t> </w:t>
      </w:r>
      <w:r>
        <w:rPr>
          <w:sz w:val="20"/>
        </w:rPr>
        <w:t>to</w:t>
      </w:r>
      <w:r>
        <w:rPr>
          <w:spacing w:val="-10"/>
          <w:sz w:val="20"/>
        </w:rPr>
        <w:t> </w:t>
      </w:r>
      <w:r>
        <w:rPr>
          <w:sz w:val="20"/>
        </w:rPr>
        <w:t>a</w:t>
      </w:r>
      <w:r>
        <w:rPr>
          <w:spacing w:val="-10"/>
          <w:sz w:val="20"/>
        </w:rPr>
        <w:t> </w:t>
      </w:r>
      <w:r>
        <w:rPr>
          <w:sz w:val="20"/>
        </w:rPr>
        <w:t>trial</w:t>
      </w:r>
      <w:r>
        <w:rPr>
          <w:spacing w:val="-10"/>
          <w:sz w:val="20"/>
        </w:rPr>
        <w:t> </w:t>
      </w:r>
      <w:r>
        <w:rPr>
          <w:sz w:val="20"/>
        </w:rPr>
        <w:t>judge</w:t>
      </w:r>
      <w:r>
        <w:rPr>
          <w:spacing w:val="-10"/>
          <w:sz w:val="20"/>
        </w:rPr>
        <w:t> </w:t>
      </w:r>
      <w:r>
        <w:rPr>
          <w:sz w:val="20"/>
        </w:rPr>
        <w:t>already</w:t>
      </w:r>
      <w:r>
        <w:rPr>
          <w:spacing w:val="-10"/>
          <w:sz w:val="20"/>
        </w:rPr>
        <w:t> </w:t>
      </w:r>
      <w:r>
        <w:rPr>
          <w:sz w:val="20"/>
        </w:rPr>
        <w:t>and</w:t>
      </w:r>
      <w:r>
        <w:rPr>
          <w:spacing w:val="-9"/>
          <w:sz w:val="20"/>
        </w:rPr>
        <w:t> </w:t>
      </w:r>
      <w:r>
        <w:rPr>
          <w:sz w:val="20"/>
        </w:rPr>
        <w:t>if</w:t>
      </w:r>
      <w:r>
        <w:rPr>
          <w:spacing w:val="-10"/>
          <w:sz w:val="20"/>
        </w:rPr>
        <w:t> </w:t>
      </w:r>
      <w:r>
        <w:rPr>
          <w:sz w:val="20"/>
        </w:rPr>
        <w:t>a</w:t>
      </w:r>
      <w:r>
        <w:rPr>
          <w:spacing w:val="-10"/>
          <w:sz w:val="20"/>
        </w:rPr>
        <w:t> </w:t>
      </w:r>
      <w:r>
        <w:rPr>
          <w:sz w:val="20"/>
        </w:rPr>
        <w:t>jury</w:t>
      </w:r>
      <w:r>
        <w:rPr>
          <w:spacing w:val="-10"/>
          <w:sz w:val="20"/>
        </w:rPr>
        <w:t> </w:t>
      </w:r>
      <w:r>
        <w:rPr>
          <w:sz w:val="20"/>
        </w:rPr>
        <w:t>pool</w:t>
      </w:r>
      <w:r>
        <w:rPr>
          <w:spacing w:val="-10"/>
          <w:sz w:val="20"/>
        </w:rPr>
        <w:t> </w:t>
      </w:r>
      <w:r>
        <w:rPr>
          <w:sz w:val="20"/>
        </w:rPr>
        <w:t>is</w:t>
      </w:r>
      <w:r>
        <w:rPr>
          <w:spacing w:val="-10"/>
          <w:sz w:val="20"/>
        </w:rPr>
        <w:t> </w:t>
      </w:r>
      <w:r>
        <w:rPr>
          <w:sz w:val="20"/>
        </w:rPr>
        <w:t>specifically </w:t>
      </w:r>
      <w:r>
        <w:rPr>
          <w:spacing w:val="-3"/>
          <w:sz w:val="20"/>
        </w:rPr>
        <w:t>drawn </w:t>
      </w:r>
      <w:r>
        <w:rPr>
          <w:sz w:val="20"/>
        </w:rPr>
        <w:t>for a single allocated trial, then the allocated judge is </w:t>
      </w:r>
      <w:r>
        <w:rPr>
          <w:spacing w:val="-3"/>
          <w:sz w:val="20"/>
        </w:rPr>
        <w:t>likely </w:t>
      </w:r>
      <w:r>
        <w:rPr>
          <w:sz w:val="20"/>
        </w:rPr>
        <w:t>to determine the application for support. If the matter has not been allocated or the pool is </w:t>
      </w:r>
      <w:r>
        <w:rPr>
          <w:spacing w:val="-3"/>
          <w:sz w:val="20"/>
        </w:rPr>
        <w:t>drawn </w:t>
      </w:r>
      <w:r>
        <w:rPr>
          <w:sz w:val="20"/>
        </w:rPr>
        <w:t>for </w:t>
      </w:r>
      <w:r>
        <w:rPr>
          <w:spacing w:val="-3"/>
          <w:sz w:val="20"/>
        </w:rPr>
        <w:t>several</w:t>
      </w:r>
      <w:r>
        <w:rPr>
          <w:spacing w:val="-9"/>
          <w:sz w:val="20"/>
        </w:rPr>
        <w:t> </w:t>
      </w:r>
      <w:r>
        <w:rPr>
          <w:sz w:val="20"/>
        </w:rPr>
        <w:t>trials,</w:t>
      </w:r>
      <w:r>
        <w:rPr>
          <w:spacing w:val="-8"/>
          <w:sz w:val="20"/>
        </w:rPr>
        <w:t> </w:t>
      </w:r>
      <w:r>
        <w:rPr>
          <w:sz w:val="20"/>
        </w:rPr>
        <w:t>it</w:t>
      </w:r>
      <w:r>
        <w:rPr>
          <w:spacing w:val="-8"/>
          <w:sz w:val="20"/>
        </w:rPr>
        <w:t> </w:t>
      </w:r>
      <w:r>
        <w:rPr>
          <w:sz w:val="20"/>
        </w:rPr>
        <w:t>is</w:t>
      </w:r>
      <w:r>
        <w:rPr>
          <w:spacing w:val="-8"/>
          <w:sz w:val="20"/>
        </w:rPr>
        <w:t> </w:t>
      </w:r>
      <w:r>
        <w:rPr>
          <w:spacing w:val="-3"/>
          <w:sz w:val="20"/>
        </w:rPr>
        <w:t>likely</w:t>
      </w:r>
      <w:r>
        <w:rPr>
          <w:spacing w:val="-9"/>
          <w:sz w:val="20"/>
        </w:rPr>
        <w:t> </w:t>
      </w:r>
      <w:r>
        <w:rPr>
          <w:sz w:val="20"/>
        </w:rPr>
        <w:t>that</w:t>
      </w:r>
      <w:r>
        <w:rPr>
          <w:spacing w:val="-8"/>
          <w:sz w:val="20"/>
        </w:rPr>
        <w:t> </w:t>
      </w:r>
      <w:r>
        <w:rPr>
          <w:sz w:val="20"/>
        </w:rPr>
        <w:t>the</w:t>
      </w:r>
      <w:r>
        <w:rPr>
          <w:spacing w:val="-8"/>
          <w:sz w:val="20"/>
        </w:rPr>
        <w:t> </w:t>
      </w:r>
      <w:r>
        <w:rPr>
          <w:sz w:val="20"/>
        </w:rPr>
        <w:t>chief</w:t>
      </w:r>
      <w:r>
        <w:rPr>
          <w:spacing w:val="-8"/>
          <w:sz w:val="20"/>
        </w:rPr>
        <w:t> </w:t>
      </w:r>
      <w:r>
        <w:rPr>
          <w:sz w:val="20"/>
        </w:rPr>
        <w:t>justice</w:t>
      </w:r>
      <w:r>
        <w:rPr>
          <w:spacing w:val="-8"/>
          <w:sz w:val="20"/>
        </w:rPr>
        <w:t> </w:t>
      </w:r>
      <w:r>
        <w:rPr>
          <w:spacing w:val="-3"/>
          <w:sz w:val="20"/>
        </w:rPr>
        <w:t>would</w:t>
      </w:r>
      <w:r>
        <w:rPr>
          <w:spacing w:val="-9"/>
          <w:sz w:val="20"/>
        </w:rPr>
        <w:t> </w:t>
      </w:r>
      <w:r>
        <w:rPr>
          <w:sz w:val="20"/>
        </w:rPr>
        <w:t>either</w:t>
      </w:r>
      <w:r>
        <w:rPr>
          <w:spacing w:val="-8"/>
          <w:sz w:val="20"/>
        </w:rPr>
        <w:t> </w:t>
      </w:r>
      <w:r>
        <w:rPr>
          <w:sz w:val="20"/>
        </w:rPr>
        <w:t>hear</w:t>
      </w:r>
      <w:r>
        <w:rPr>
          <w:spacing w:val="-8"/>
          <w:sz w:val="20"/>
        </w:rPr>
        <w:t> </w:t>
      </w:r>
      <w:r>
        <w:rPr>
          <w:sz w:val="20"/>
        </w:rPr>
        <w:t>the</w:t>
      </w:r>
      <w:r>
        <w:rPr>
          <w:spacing w:val="-8"/>
          <w:sz w:val="20"/>
        </w:rPr>
        <w:t> </w:t>
      </w:r>
      <w:r>
        <w:rPr>
          <w:sz w:val="20"/>
        </w:rPr>
        <w:t>application</w:t>
      </w:r>
      <w:r>
        <w:rPr>
          <w:spacing w:val="-8"/>
          <w:sz w:val="20"/>
        </w:rPr>
        <w:t> </w:t>
      </w:r>
      <w:r>
        <w:rPr>
          <w:sz w:val="20"/>
        </w:rPr>
        <w:t>or</w:t>
      </w:r>
      <w:r>
        <w:rPr>
          <w:spacing w:val="-9"/>
          <w:sz w:val="20"/>
        </w:rPr>
        <w:t> </w:t>
      </w:r>
      <w:r>
        <w:rPr>
          <w:spacing w:val="-3"/>
          <w:sz w:val="20"/>
        </w:rPr>
        <w:t>make</w:t>
      </w:r>
    </w:p>
    <w:p>
      <w:pPr>
        <w:pStyle w:val="BodyText"/>
        <w:spacing w:before="1"/>
        <w:rPr>
          <w:sz w:val="15"/>
        </w:rPr>
      </w:pPr>
      <w:r>
        <w:rPr/>
        <w:pict>
          <v:line style="position:absolute;mso-position-horizontal-relative:page;mso-position-vertical-relative:paragraph;z-index:7304;mso-wrap-distance-left:0;mso-wrap-distance-right:0" from="79.370102pt,12.9132pt" to="515.905102pt,12.9132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87"/>
        </w:numPr>
        <w:tabs>
          <w:tab w:pos="1761" w:val="left" w:leader="none"/>
          <w:tab w:pos="1762" w:val="left" w:leader="none"/>
        </w:tabs>
        <w:spacing w:line="170" w:lineRule="exact" w:before="21" w:after="0"/>
        <w:ind w:left="1761" w:right="0" w:hanging="794"/>
        <w:jc w:val="left"/>
        <w:rPr>
          <w:sz w:val="13"/>
        </w:rPr>
      </w:pPr>
      <w:r>
        <w:rPr>
          <w:sz w:val="13"/>
        </w:rPr>
        <w:t>Information</w:t>
      </w:r>
      <w:r>
        <w:rPr>
          <w:spacing w:val="7"/>
          <w:sz w:val="13"/>
        </w:rPr>
        <w:t> </w:t>
      </w:r>
      <w:r>
        <w:rPr>
          <w:sz w:val="13"/>
        </w:rPr>
        <w:t>provided</w:t>
      </w:r>
      <w:r>
        <w:rPr>
          <w:spacing w:val="7"/>
          <w:sz w:val="13"/>
        </w:rPr>
        <w:t> </w:t>
      </w:r>
      <w:r>
        <w:rPr>
          <w:sz w:val="13"/>
        </w:rPr>
        <w:t>by</w:t>
      </w:r>
      <w:r>
        <w:rPr>
          <w:spacing w:val="7"/>
          <w:sz w:val="13"/>
        </w:rPr>
        <w:t> </w:t>
      </w:r>
      <w:r>
        <w:rPr>
          <w:sz w:val="13"/>
        </w:rPr>
        <w:t>ACT</w:t>
      </w:r>
      <w:r>
        <w:rPr>
          <w:spacing w:val="8"/>
          <w:sz w:val="13"/>
        </w:rPr>
        <w:t> </w:t>
      </w:r>
      <w:r>
        <w:rPr>
          <w:sz w:val="13"/>
        </w:rPr>
        <w:t>Sheriff</w:t>
      </w:r>
      <w:r>
        <w:rPr>
          <w:spacing w:val="7"/>
          <w:sz w:val="13"/>
        </w:rPr>
        <w:t> </w:t>
      </w:r>
      <w:r>
        <w:rPr>
          <w:sz w:val="13"/>
        </w:rPr>
        <w:t>to</w:t>
      </w:r>
      <w:r>
        <w:rPr>
          <w:spacing w:val="7"/>
          <w:sz w:val="13"/>
        </w:rPr>
        <w:t> </w:t>
      </w:r>
      <w:r>
        <w:rPr>
          <w:sz w:val="13"/>
        </w:rPr>
        <w:t>Victorian</w:t>
      </w:r>
      <w:r>
        <w:rPr>
          <w:spacing w:val="8"/>
          <w:sz w:val="13"/>
        </w:rPr>
        <w:t> </w:t>
      </w:r>
      <w:r>
        <w:rPr>
          <w:sz w:val="13"/>
        </w:rPr>
        <w:t>Law</w:t>
      </w:r>
      <w:r>
        <w:rPr>
          <w:spacing w:val="7"/>
          <w:sz w:val="13"/>
        </w:rPr>
        <w:t> </w:t>
      </w:r>
      <w:r>
        <w:rPr>
          <w:sz w:val="13"/>
        </w:rPr>
        <w:t>Reform</w:t>
      </w:r>
      <w:r>
        <w:rPr>
          <w:spacing w:val="7"/>
          <w:sz w:val="13"/>
        </w:rPr>
        <w:t> </w:t>
      </w:r>
      <w:r>
        <w:rPr>
          <w:spacing w:val="2"/>
          <w:sz w:val="13"/>
        </w:rPr>
        <w:t>Commission,</w:t>
      </w:r>
      <w:r>
        <w:rPr>
          <w:spacing w:val="8"/>
          <w:sz w:val="13"/>
        </w:rPr>
        <w:t> </w:t>
      </w:r>
      <w:r>
        <w:rPr>
          <w:sz w:val="13"/>
        </w:rPr>
        <w:t>16</w:t>
      </w:r>
      <w:r>
        <w:rPr>
          <w:spacing w:val="7"/>
          <w:sz w:val="13"/>
        </w:rPr>
        <w:t> </w:t>
      </w:r>
      <w:r>
        <w:rPr>
          <w:sz w:val="13"/>
        </w:rPr>
        <w:t>September</w:t>
      </w:r>
      <w:r>
        <w:rPr>
          <w:spacing w:val="7"/>
          <w:sz w:val="13"/>
        </w:rPr>
        <w:t> </w:t>
      </w:r>
      <w:r>
        <w:rPr>
          <w:sz w:val="13"/>
        </w:rPr>
        <w:t>2020;</w:t>
      </w:r>
      <w:r>
        <w:rPr>
          <w:spacing w:val="8"/>
          <w:sz w:val="13"/>
        </w:rPr>
        <w:t> </w:t>
      </w:r>
      <w:r>
        <w:rPr>
          <w:sz w:val="13"/>
        </w:rPr>
        <w:t>Information</w:t>
      </w:r>
      <w:r>
        <w:rPr>
          <w:spacing w:val="7"/>
          <w:sz w:val="13"/>
        </w:rPr>
        <w:t> </w:t>
      </w:r>
      <w:r>
        <w:rPr>
          <w:sz w:val="13"/>
        </w:rPr>
        <w:t>provided</w:t>
      </w:r>
      <w:r>
        <w:rPr>
          <w:spacing w:val="7"/>
          <w:sz w:val="13"/>
        </w:rPr>
        <w:t> </w:t>
      </w:r>
      <w:r>
        <w:rPr>
          <w:sz w:val="13"/>
        </w:rPr>
        <w:t>by</w:t>
      </w:r>
      <w:r>
        <w:rPr>
          <w:spacing w:val="8"/>
          <w:sz w:val="13"/>
        </w:rPr>
        <w:t> </w:t>
      </w:r>
      <w:r>
        <w:rPr>
          <w:sz w:val="13"/>
        </w:rPr>
        <w:t>Her</w:t>
      </w:r>
    </w:p>
    <w:p>
      <w:pPr>
        <w:spacing w:line="160" w:lineRule="exact" w:before="0"/>
        <w:ind w:left="1761" w:right="0" w:firstLine="0"/>
        <w:jc w:val="left"/>
        <w:rPr>
          <w:sz w:val="13"/>
        </w:rPr>
      </w:pPr>
      <w:r>
        <w:rPr>
          <w:sz w:val="13"/>
        </w:rPr>
        <w:t>Majesty’s</w:t>
      </w:r>
      <w:r>
        <w:rPr>
          <w:spacing w:val="7"/>
          <w:sz w:val="13"/>
        </w:rPr>
        <w:t> </w:t>
      </w:r>
      <w:r>
        <w:rPr>
          <w:spacing w:val="2"/>
          <w:sz w:val="13"/>
        </w:rPr>
        <w:t>Courts</w:t>
      </w:r>
      <w:r>
        <w:rPr>
          <w:spacing w:val="7"/>
          <w:sz w:val="13"/>
        </w:rPr>
        <w:t> </w:t>
      </w:r>
      <w:r>
        <w:rPr>
          <w:sz w:val="13"/>
        </w:rPr>
        <w:t>and</w:t>
      </w:r>
      <w:r>
        <w:rPr>
          <w:spacing w:val="7"/>
          <w:sz w:val="13"/>
        </w:rPr>
        <w:t> </w:t>
      </w:r>
      <w:r>
        <w:rPr>
          <w:sz w:val="13"/>
        </w:rPr>
        <w:t>Tribunals</w:t>
      </w:r>
      <w:r>
        <w:rPr>
          <w:spacing w:val="7"/>
          <w:sz w:val="13"/>
        </w:rPr>
        <w:t> </w:t>
      </w:r>
      <w:r>
        <w:rPr>
          <w:spacing w:val="2"/>
          <w:sz w:val="13"/>
        </w:rPr>
        <w:t>Service</w:t>
      </w:r>
      <w:r>
        <w:rPr>
          <w:spacing w:val="7"/>
          <w:sz w:val="13"/>
        </w:rPr>
        <w:t> </w:t>
      </w:r>
      <w:r>
        <w:rPr>
          <w:sz w:val="13"/>
        </w:rPr>
        <w:t>to</w:t>
      </w:r>
      <w:r>
        <w:rPr>
          <w:spacing w:val="7"/>
          <w:sz w:val="13"/>
        </w:rPr>
        <w:t> </w:t>
      </w:r>
      <w:r>
        <w:rPr>
          <w:sz w:val="13"/>
        </w:rPr>
        <w:t>Victorian</w:t>
      </w:r>
      <w:r>
        <w:rPr>
          <w:spacing w:val="7"/>
          <w:sz w:val="13"/>
        </w:rPr>
        <w:t> </w:t>
      </w:r>
      <w:r>
        <w:rPr>
          <w:sz w:val="13"/>
        </w:rPr>
        <w:t>Law</w:t>
      </w:r>
      <w:r>
        <w:rPr>
          <w:spacing w:val="7"/>
          <w:sz w:val="13"/>
        </w:rPr>
        <w:t> </w:t>
      </w:r>
      <w:r>
        <w:rPr>
          <w:sz w:val="13"/>
        </w:rPr>
        <w:t>Reform</w:t>
      </w:r>
      <w:r>
        <w:rPr>
          <w:spacing w:val="7"/>
          <w:sz w:val="13"/>
        </w:rPr>
        <w:t> </w:t>
      </w:r>
      <w:r>
        <w:rPr>
          <w:spacing w:val="2"/>
          <w:sz w:val="13"/>
        </w:rPr>
        <w:t>Commission,</w:t>
      </w:r>
      <w:r>
        <w:rPr>
          <w:spacing w:val="7"/>
          <w:sz w:val="13"/>
        </w:rPr>
        <w:t> </w:t>
      </w:r>
      <w:r>
        <w:rPr>
          <w:sz w:val="13"/>
        </w:rPr>
        <w:t>17</w:t>
      </w:r>
      <w:r>
        <w:rPr>
          <w:spacing w:val="7"/>
          <w:sz w:val="13"/>
        </w:rPr>
        <w:t> </w:t>
      </w:r>
      <w:r>
        <w:rPr>
          <w:sz w:val="13"/>
        </w:rPr>
        <w:t>August</w:t>
      </w:r>
      <w:r>
        <w:rPr>
          <w:spacing w:val="7"/>
          <w:sz w:val="13"/>
        </w:rPr>
        <w:t> </w:t>
      </w:r>
      <w:r>
        <w:rPr>
          <w:sz w:val="13"/>
        </w:rPr>
        <w:t>2020.</w:t>
      </w:r>
    </w:p>
    <w:p>
      <w:pPr>
        <w:pStyle w:val="ListParagraph"/>
        <w:numPr>
          <w:ilvl w:val="0"/>
          <w:numId w:val="87"/>
        </w:numPr>
        <w:tabs>
          <w:tab w:pos="1761" w:val="left" w:leader="none"/>
          <w:tab w:pos="1762" w:val="left" w:leader="none"/>
        </w:tabs>
        <w:spacing w:line="213" w:lineRule="auto" w:before="7" w:after="0"/>
        <w:ind w:left="1761" w:right="0" w:hanging="794"/>
        <w:jc w:val="both"/>
        <w:rPr>
          <w:sz w:val="13"/>
        </w:rPr>
      </w:pPr>
      <w:r>
        <w:rPr>
          <w:sz w:val="13"/>
        </w:rPr>
        <w:t>In the ACT the </w:t>
      </w:r>
      <w:r>
        <w:rPr>
          <w:spacing w:val="2"/>
          <w:sz w:val="13"/>
        </w:rPr>
        <w:t>Deputy </w:t>
      </w:r>
      <w:r>
        <w:rPr>
          <w:sz w:val="13"/>
        </w:rPr>
        <w:t>Sheriff will show the person around the court and discuss their potential needs: Information provided  by ACT Sheriff to Victorian Law Reform </w:t>
      </w:r>
      <w:r>
        <w:rPr>
          <w:spacing w:val="2"/>
          <w:sz w:val="13"/>
        </w:rPr>
        <w:t>Commission, </w:t>
      </w:r>
      <w:r>
        <w:rPr>
          <w:sz w:val="13"/>
        </w:rPr>
        <w:t>16 September 2020; Information provided by Her Majesty’s </w:t>
      </w:r>
      <w:r>
        <w:rPr>
          <w:spacing w:val="2"/>
          <w:sz w:val="13"/>
        </w:rPr>
        <w:t>Courts </w:t>
      </w:r>
      <w:r>
        <w:rPr>
          <w:sz w:val="13"/>
        </w:rPr>
        <w:t>and Tribunals </w:t>
      </w:r>
      <w:r>
        <w:rPr>
          <w:spacing w:val="2"/>
          <w:sz w:val="13"/>
        </w:rPr>
        <w:t>Service </w:t>
      </w:r>
      <w:r>
        <w:rPr>
          <w:sz w:val="13"/>
        </w:rPr>
        <w:t>to Victorian Law Reform </w:t>
      </w:r>
      <w:r>
        <w:rPr>
          <w:spacing w:val="2"/>
          <w:sz w:val="13"/>
        </w:rPr>
        <w:t>Commission, </w:t>
      </w:r>
      <w:r>
        <w:rPr>
          <w:sz w:val="13"/>
        </w:rPr>
        <w:t>17 August 2020.</w:t>
      </w:r>
    </w:p>
    <w:p>
      <w:pPr>
        <w:pStyle w:val="ListParagraph"/>
        <w:numPr>
          <w:ilvl w:val="0"/>
          <w:numId w:val="87"/>
        </w:numPr>
        <w:tabs>
          <w:tab w:pos="1760" w:val="left" w:leader="none"/>
          <w:tab w:pos="1762" w:val="left" w:leader="none"/>
        </w:tabs>
        <w:spacing w:line="152" w:lineRule="exact" w:before="0" w:after="0"/>
        <w:ind w:left="1761" w:right="0" w:hanging="794"/>
        <w:jc w:val="left"/>
        <w:rPr>
          <w:sz w:val="13"/>
        </w:rPr>
      </w:pPr>
      <w:r>
        <w:rPr>
          <w:sz w:val="13"/>
        </w:rPr>
        <w:t>Information</w:t>
      </w:r>
      <w:r>
        <w:rPr>
          <w:spacing w:val="7"/>
          <w:sz w:val="13"/>
        </w:rPr>
        <w:t> </w:t>
      </w:r>
      <w:r>
        <w:rPr>
          <w:sz w:val="13"/>
        </w:rPr>
        <w:t>provided</w:t>
      </w:r>
      <w:r>
        <w:rPr>
          <w:spacing w:val="7"/>
          <w:sz w:val="13"/>
        </w:rPr>
        <w:t> </w:t>
      </w:r>
      <w:r>
        <w:rPr>
          <w:sz w:val="13"/>
        </w:rPr>
        <w:t>by</w:t>
      </w:r>
      <w:r>
        <w:rPr>
          <w:spacing w:val="7"/>
          <w:sz w:val="13"/>
        </w:rPr>
        <w:t> </w:t>
      </w:r>
      <w:r>
        <w:rPr>
          <w:sz w:val="13"/>
        </w:rPr>
        <w:t>ACT</w:t>
      </w:r>
      <w:r>
        <w:rPr>
          <w:spacing w:val="8"/>
          <w:sz w:val="13"/>
        </w:rPr>
        <w:t> </w:t>
      </w:r>
      <w:r>
        <w:rPr>
          <w:sz w:val="13"/>
        </w:rPr>
        <w:t>Sheriff</w:t>
      </w:r>
      <w:r>
        <w:rPr>
          <w:spacing w:val="7"/>
          <w:sz w:val="13"/>
        </w:rPr>
        <w:t> </w:t>
      </w:r>
      <w:r>
        <w:rPr>
          <w:sz w:val="13"/>
        </w:rPr>
        <w:t>to</w:t>
      </w:r>
      <w:r>
        <w:rPr>
          <w:spacing w:val="7"/>
          <w:sz w:val="13"/>
        </w:rPr>
        <w:t> </w:t>
      </w:r>
      <w:r>
        <w:rPr>
          <w:sz w:val="13"/>
        </w:rPr>
        <w:t>Victorian</w:t>
      </w:r>
      <w:r>
        <w:rPr>
          <w:spacing w:val="8"/>
          <w:sz w:val="13"/>
        </w:rPr>
        <w:t> </w:t>
      </w:r>
      <w:r>
        <w:rPr>
          <w:sz w:val="13"/>
        </w:rPr>
        <w:t>Law</w:t>
      </w:r>
      <w:r>
        <w:rPr>
          <w:spacing w:val="7"/>
          <w:sz w:val="13"/>
        </w:rPr>
        <w:t> </w:t>
      </w:r>
      <w:r>
        <w:rPr>
          <w:sz w:val="13"/>
        </w:rPr>
        <w:t>Reform</w:t>
      </w:r>
      <w:r>
        <w:rPr>
          <w:spacing w:val="7"/>
          <w:sz w:val="13"/>
        </w:rPr>
        <w:t> </w:t>
      </w:r>
      <w:r>
        <w:rPr>
          <w:spacing w:val="2"/>
          <w:sz w:val="13"/>
        </w:rPr>
        <w:t>Commission,</w:t>
      </w:r>
      <w:r>
        <w:rPr>
          <w:spacing w:val="8"/>
          <w:sz w:val="13"/>
        </w:rPr>
        <w:t> </w:t>
      </w:r>
      <w:r>
        <w:rPr>
          <w:sz w:val="13"/>
        </w:rPr>
        <w:t>16</w:t>
      </w:r>
      <w:r>
        <w:rPr>
          <w:spacing w:val="7"/>
          <w:sz w:val="13"/>
        </w:rPr>
        <w:t> </w:t>
      </w:r>
      <w:r>
        <w:rPr>
          <w:sz w:val="13"/>
        </w:rPr>
        <w:t>September</w:t>
      </w:r>
      <w:r>
        <w:rPr>
          <w:spacing w:val="7"/>
          <w:sz w:val="13"/>
        </w:rPr>
        <w:t> </w:t>
      </w:r>
      <w:r>
        <w:rPr>
          <w:sz w:val="13"/>
        </w:rPr>
        <w:t>2020;</w:t>
      </w:r>
      <w:r>
        <w:rPr>
          <w:spacing w:val="8"/>
          <w:sz w:val="13"/>
        </w:rPr>
        <w:t> </w:t>
      </w:r>
      <w:r>
        <w:rPr>
          <w:sz w:val="13"/>
        </w:rPr>
        <w:t>Information</w:t>
      </w:r>
      <w:r>
        <w:rPr>
          <w:spacing w:val="7"/>
          <w:sz w:val="13"/>
        </w:rPr>
        <w:t> </w:t>
      </w:r>
      <w:r>
        <w:rPr>
          <w:sz w:val="13"/>
        </w:rPr>
        <w:t>provided</w:t>
      </w:r>
      <w:r>
        <w:rPr>
          <w:spacing w:val="7"/>
          <w:sz w:val="13"/>
        </w:rPr>
        <w:t> </w:t>
      </w:r>
      <w:r>
        <w:rPr>
          <w:sz w:val="13"/>
        </w:rPr>
        <w:t>by</w:t>
      </w:r>
      <w:r>
        <w:rPr>
          <w:spacing w:val="8"/>
          <w:sz w:val="13"/>
        </w:rPr>
        <w:t> </w:t>
      </w:r>
      <w:r>
        <w:rPr>
          <w:sz w:val="13"/>
        </w:rPr>
        <w:t>Her</w:t>
      </w:r>
    </w:p>
    <w:p>
      <w:pPr>
        <w:spacing w:line="160" w:lineRule="exact" w:before="0"/>
        <w:ind w:left="1761" w:right="0" w:firstLine="0"/>
        <w:jc w:val="left"/>
        <w:rPr>
          <w:sz w:val="13"/>
        </w:rPr>
      </w:pPr>
      <w:r>
        <w:rPr>
          <w:sz w:val="13"/>
        </w:rPr>
        <w:t>Majesty’s Courts and Tribunals Service to Victorian Law Reform Commission, 17 August 2020.</w:t>
      </w:r>
    </w:p>
    <w:p>
      <w:pPr>
        <w:pStyle w:val="ListParagraph"/>
        <w:numPr>
          <w:ilvl w:val="0"/>
          <w:numId w:val="87"/>
        </w:numPr>
        <w:tabs>
          <w:tab w:pos="1760" w:val="left" w:leader="none"/>
          <w:tab w:pos="1762" w:val="left" w:leader="none"/>
        </w:tabs>
        <w:spacing w:line="160" w:lineRule="exact" w:before="0" w:after="0"/>
        <w:ind w:left="1761" w:right="0" w:hanging="794"/>
        <w:jc w:val="left"/>
        <w:rPr>
          <w:sz w:val="13"/>
        </w:rPr>
      </w:pPr>
      <w:r>
        <w:rPr>
          <w:sz w:val="13"/>
        </w:rPr>
        <w:t>Information provided by ACT Sheriff to Victorian Law Reform </w:t>
      </w:r>
      <w:r>
        <w:rPr>
          <w:spacing w:val="2"/>
          <w:sz w:val="13"/>
        </w:rPr>
        <w:t>Commission, </w:t>
      </w:r>
      <w:r>
        <w:rPr>
          <w:sz w:val="13"/>
        </w:rPr>
        <w:t>30 May</w:t>
      </w:r>
      <w:r>
        <w:rPr>
          <w:spacing w:val="10"/>
          <w:sz w:val="13"/>
        </w:rPr>
        <w:t> </w:t>
      </w:r>
      <w:r>
        <w:rPr>
          <w:sz w:val="13"/>
        </w:rPr>
        <w:t>2022.</w:t>
      </w:r>
    </w:p>
    <w:p>
      <w:pPr>
        <w:pStyle w:val="ListParagraph"/>
        <w:numPr>
          <w:ilvl w:val="0"/>
          <w:numId w:val="87"/>
        </w:numPr>
        <w:tabs>
          <w:tab w:pos="1761" w:val="left" w:leader="none"/>
          <w:tab w:pos="1762" w:val="left" w:leader="none"/>
        </w:tabs>
        <w:spacing w:line="160" w:lineRule="exact" w:before="0" w:after="0"/>
        <w:ind w:left="1761" w:right="0" w:hanging="794"/>
        <w:jc w:val="left"/>
        <w:rPr>
          <w:sz w:val="13"/>
        </w:rPr>
      </w:pPr>
      <w:r>
        <w:rPr>
          <w:sz w:val="13"/>
        </w:rPr>
        <w:t>Information provided by ACT Sheriff to Victorian Law Reform </w:t>
      </w:r>
      <w:r>
        <w:rPr>
          <w:spacing w:val="2"/>
          <w:sz w:val="13"/>
        </w:rPr>
        <w:t>Commission, </w:t>
      </w:r>
      <w:r>
        <w:rPr>
          <w:sz w:val="13"/>
        </w:rPr>
        <w:t>16 September</w:t>
      </w:r>
      <w:r>
        <w:rPr>
          <w:spacing w:val="14"/>
          <w:sz w:val="13"/>
        </w:rPr>
        <w:t> </w:t>
      </w:r>
      <w:r>
        <w:rPr>
          <w:sz w:val="13"/>
        </w:rPr>
        <w:t>2020.</w:t>
      </w:r>
    </w:p>
    <w:p>
      <w:pPr>
        <w:pStyle w:val="ListParagraph"/>
        <w:numPr>
          <w:ilvl w:val="0"/>
          <w:numId w:val="87"/>
        </w:numPr>
        <w:tabs>
          <w:tab w:pos="1760"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87"/>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87"/>
        </w:numPr>
        <w:tabs>
          <w:tab w:pos="1760" w:val="left" w:leader="none"/>
          <w:tab w:pos="1762" w:val="left" w:leader="none"/>
        </w:tabs>
        <w:spacing w:line="160" w:lineRule="exact" w:before="0" w:after="0"/>
        <w:ind w:left="1761" w:right="0" w:hanging="794"/>
        <w:jc w:val="left"/>
        <w:rPr>
          <w:sz w:val="13"/>
        </w:rPr>
      </w:pPr>
      <w:r>
        <w:rPr>
          <w:sz w:val="13"/>
        </w:rPr>
        <w:t>See legislative factors listed in </w:t>
      </w:r>
      <w:r>
        <w:rPr>
          <w:i/>
          <w:sz w:val="13"/>
        </w:rPr>
        <w:t>Juries Act 1967 </w:t>
      </w:r>
      <w:r>
        <w:rPr>
          <w:sz w:val="13"/>
        </w:rPr>
        <w:t>(ACT) s</w:t>
      </w:r>
      <w:r>
        <w:rPr>
          <w:spacing w:val="5"/>
          <w:sz w:val="13"/>
        </w:rPr>
        <w:t> </w:t>
      </w:r>
      <w:r>
        <w:rPr>
          <w:sz w:val="13"/>
        </w:rPr>
        <w:t>16.</w:t>
      </w:r>
    </w:p>
    <w:p>
      <w:pPr>
        <w:pStyle w:val="ListParagraph"/>
        <w:numPr>
          <w:ilvl w:val="0"/>
          <w:numId w:val="87"/>
        </w:numPr>
        <w:tabs>
          <w:tab w:pos="1760" w:val="left" w:leader="none"/>
          <w:tab w:pos="1762" w:val="left" w:leader="none"/>
        </w:tabs>
        <w:spacing w:line="160" w:lineRule="exact" w:before="0" w:after="0"/>
        <w:ind w:left="1761" w:right="0" w:hanging="794"/>
        <w:jc w:val="left"/>
        <w:rPr>
          <w:sz w:val="13"/>
        </w:rPr>
      </w:pPr>
      <w:r>
        <w:rPr>
          <w:sz w:val="13"/>
        </w:rPr>
        <w:t>Information provided by ACT Sheriff to Victorian Law Reform </w:t>
      </w:r>
      <w:r>
        <w:rPr>
          <w:spacing w:val="2"/>
          <w:sz w:val="13"/>
        </w:rPr>
        <w:t>Commission, </w:t>
      </w:r>
      <w:r>
        <w:rPr>
          <w:sz w:val="13"/>
        </w:rPr>
        <w:t>4 August</w:t>
      </w:r>
      <w:r>
        <w:rPr>
          <w:spacing w:val="11"/>
          <w:sz w:val="13"/>
        </w:rPr>
        <w:t> </w:t>
      </w:r>
      <w:r>
        <w:rPr>
          <w:sz w:val="13"/>
        </w:rPr>
        <w:t>2021.</w:t>
      </w:r>
    </w:p>
    <w:p>
      <w:pPr>
        <w:pStyle w:val="ListParagraph"/>
        <w:numPr>
          <w:ilvl w:val="0"/>
          <w:numId w:val="87"/>
        </w:numPr>
        <w:tabs>
          <w:tab w:pos="1760" w:val="left" w:leader="none"/>
          <w:tab w:pos="1762" w:val="left" w:leader="none"/>
        </w:tabs>
        <w:spacing w:line="160" w:lineRule="exact" w:before="0" w:after="0"/>
        <w:ind w:left="1761" w:right="0" w:hanging="794"/>
        <w:jc w:val="left"/>
        <w:rPr>
          <w:sz w:val="13"/>
        </w:rPr>
      </w:pPr>
      <w:r>
        <w:rPr>
          <w:sz w:val="13"/>
        </w:rPr>
        <w:t>Information provided by ACT Sheriff to Victorian Law Reform </w:t>
      </w:r>
      <w:r>
        <w:rPr>
          <w:spacing w:val="2"/>
          <w:sz w:val="13"/>
        </w:rPr>
        <w:t>Commission, </w:t>
      </w:r>
      <w:r>
        <w:rPr>
          <w:sz w:val="13"/>
        </w:rPr>
        <w:t>16 September</w:t>
      </w:r>
      <w:r>
        <w:rPr>
          <w:spacing w:val="14"/>
          <w:sz w:val="13"/>
        </w:rPr>
        <w:t> </w:t>
      </w:r>
      <w:r>
        <w:rPr>
          <w:sz w:val="13"/>
        </w:rPr>
        <w:t>2020.</w:t>
      </w:r>
    </w:p>
    <w:p>
      <w:pPr>
        <w:pStyle w:val="ListParagraph"/>
        <w:numPr>
          <w:ilvl w:val="0"/>
          <w:numId w:val="87"/>
        </w:numPr>
        <w:tabs>
          <w:tab w:pos="1760" w:val="left" w:leader="none"/>
          <w:tab w:pos="1762" w:val="left" w:leader="none"/>
        </w:tabs>
        <w:spacing w:line="170" w:lineRule="exact" w:before="0" w:after="0"/>
        <w:ind w:left="1761" w:right="0" w:hanging="794"/>
        <w:jc w:val="left"/>
        <w:rPr>
          <w:sz w:val="13"/>
        </w:rPr>
      </w:pPr>
      <w:r>
        <w:rPr>
          <w:spacing w:val="2"/>
          <w:sz w:val="13"/>
        </w:rPr>
        <w:t>Ibid.</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11"/>
        <w:rPr>
          <w:sz w:val="41"/>
        </w:rPr>
      </w:pPr>
    </w:p>
    <w:p>
      <w:pPr>
        <w:spacing w:before="0"/>
        <w:ind w:left="903" w:right="0" w:firstLine="0"/>
        <w:jc w:val="left"/>
        <w:rPr>
          <w:b/>
          <w:sz w:val="24"/>
        </w:rPr>
      </w:pPr>
      <w:r>
        <w:rPr>
          <w:b/>
          <w:color w:val="37617A"/>
          <w:sz w:val="24"/>
        </w:rPr>
        <w:t>125</w:t>
      </w:r>
    </w:p>
    <w:p>
      <w:pPr>
        <w:spacing w:after="0"/>
        <w:jc w:val="left"/>
        <w:rPr>
          <w:sz w:val="24"/>
        </w:rPr>
        <w:sectPr>
          <w:type w:val="continuous"/>
          <w:pgSz w:w="11910" w:h="16840"/>
          <w:pgMar w:top="620" w:bottom="280" w:left="620" w:right="380"/>
          <w:cols w:num="2" w:equalWidth="0">
            <w:col w:w="9356" w:space="40"/>
            <w:col w:w="1514"/>
          </w:cols>
        </w:sectPr>
      </w:pPr>
    </w:p>
    <w:p>
      <w:pPr>
        <w:pStyle w:val="BodyText"/>
        <w:rPr>
          <w:b/>
        </w:rPr>
      </w:pPr>
    </w:p>
    <w:p>
      <w:pPr>
        <w:pStyle w:val="BodyText"/>
        <w:rPr>
          <w:b/>
        </w:rPr>
      </w:pPr>
    </w:p>
    <w:p>
      <w:pPr>
        <w:pStyle w:val="BodyText"/>
        <w:rPr>
          <w:b/>
        </w:rPr>
      </w:pPr>
    </w:p>
    <w:p>
      <w:pPr>
        <w:pStyle w:val="BodyText"/>
        <w:spacing w:before="11"/>
        <w:rPr>
          <w:b/>
          <w:sz w:val="18"/>
        </w:rPr>
      </w:pPr>
    </w:p>
    <w:p>
      <w:pPr>
        <w:pStyle w:val="BodyText"/>
        <w:spacing w:line="206" w:lineRule="auto"/>
        <w:ind w:left="1761" w:right="1335"/>
        <w:rPr>
          <w:sz w:val="11"/>
        </w:rPr>
      </w:pPr>
      <w:bookmarkStart w:name="_bookmark90" w:id="225"/>
      <w:bookmarkEnd w:id="225"/>
      <w:r>
        <w:rPr/>
      </w:r>
      <w:r>
        <w:rPr/>
        <w:t>a</w:t>
      </w:r>
      <w:r>
        <w:rPr>
          <w:spacing w:val="-10"/>
        </w:rPr>
        <w:t> </w:t>
      </w:r>
      <w:r>
        <w:rPr/>
        <w:t>determination</w:t>
      </w:r>
      <w:r>
        <w:rPr>
          <w:spacing w:val="-10"/>
        </w:rPr>
        <w:t> </w:t>
      </w:r>
      <w:r>
        <w:rPr/>
        <w:t>about</w:t>
      </w:r>
      <w:r>
        <w:rPr>
          <w:spacing w:val="-9"/>
        </w:rPr>
        <w:t> </w:t>
      </w:r>
      <w:r>
        <w:rPr>
          <w:spacing w:val="-3"/>
        </w:rPr>
        <w:t>how</w:t>
      </w:r>
      <w:r>
        <w:rPr>
          <w:spacing w:val="-10"/>
        </w:rPr>
        <w:t> </w:t>
      </w:r>
      <w:r>
        <w:rPr/>
        <w:t>it</w:t>
      </w:r>
      <w:r>
        <w:rPr>
          <w:spacing w:val="-10"/>
        </w:rPr>
        <w:t> </w:t>
      </w:r>
      <w:r>
        <w:rPr/>
        <w:t>should</w:t>
      </w:r>
      <w:r>
        <w:rPr>
          <w:spacing w:val="-9"/>
        </w:rPr>
        <w:t> </w:t>
      </w:r>
      <w:r>
        <w:rPr/>
        <w:t>be</w:t>
      </w:r>
      <w:r>
        <w:rPr>
          <w:spacing w:val="-10"/>
        </w:rPr>
        <w:t> </w:t>
      </w:r>
      <w:r>
        <w:rPr/>
        <w:t>dealt</w:t>
      </w:r>
      <w:r>
        <w:rPr>
          <w:spacing w:val="-10"/>
        </w:rPr>
        <w:t> </w:t>
      </w:r>
      <w:r>
        <w:rPr/>
        <w:t>with.</w:t>
      </w:r>
      <w:r>
        <w:rPr>
          <w:spacing w:val="-9"/>
        </w:rPr>
        <w:t> </w:t>
      </w:r>
      <w:r>
        <w:rPr>
          <w:spacing w:val="-4"/>
        </w:rPr>
        <w:t>Ultimately,</w:t>
      </w:r>
      <w:r>
        <w:rPr>
          <w:spacing w:val="-10"/>
        </w:rPr>
        <w:t> </w:t>
      </w:r>
      <w:r>
        <w:rPr/>
        <w:t>it</w:t>
      </w:r>
      <w:r>
        <w:rPr>
          <w:spacing w:val="-10"/>
        </w:rPr>
        <w:t> </w:t>
      </w:r>
      <w:r>
        <w:rPr/>
        <w:t>will</w:t>
      </w:r>
      <w:r>
        <w:rPr>
          <w:spacing w:val="-9"/>
        </w:rPr>
        <w:t> </w:t>
      </w:r>
      <w:r>
        <w:rPr/>
        <w:t>be</w:t>
      </w:r>
      <w:r>
        <w:rPr>
          <w:spacing w:val="-10"/>
        </w:rPr>
        <w:t> </w:t>
      </w:r>
      <w:r>
        <w:rPr/>
        <w:t>up</w:t>
      </w:r>
      <w:r>
        <w:rPr>
          <w:spacing w:val="-10"/>
        </w:rPr>
        <w:t> </w:t>
      </w:r>
      <w:r>
        <w:rPr/>
        <w:t>to</w:t>
      </w:r>
      <w:r>
        <w:rPr>
          <w:spacing w:val="-9"/>
        </w:rPr>
        <w:t> </w:t>
      </w:r>
      <w:r>
        <w:rPr/>
        <w:t>the</w:t>
      </w:r>
      <w:r>
        <w:rPr>
          <w:spacing w:val="-10"/>
        </w:rPr>
        <w:t> </w:t>
      </w:r>
      <w:r>
        <w:rPr/>
        <w:t>chief justice or an allocated judge to </w:t>
      </w:r>
      <w:r>
        <w:rPr>
          <w:spacing w:val="-3"/>
        </w:rPr>
        <w:t>make any</w:t>
      </w:r>
      <w:r>
        <w:rPr>
          <w:spacing w:val="-37"/>
        </w:rPr>
        <w:t> </w:t>
      </w:r>
      <w:r>
        <w:rPr/>
        <w:t>determinations.</w:t>
      </w:r>
      <w:r>
        <w:rPr>
          <w:position w:val="7"/>
          <w:sz w:val="11"/>
        </w:rPr>
        <w:t>23</w:t>
      </w:r>
    </w:p>
    <w:p>
      <w:pPr>
        <w:pStyle w:val="ListParagraph"/>
        <w:numPr>
          <w:ilvl w:val="1"/>
          <w:numId w:val="12"/>
        </w:numPr>
        <w:tabs>
          <w:tab w:pos="1761" w:val="left" w:leader="none"/>
          <w:tab w:pos="1762" w:val="left" w:leader="none"/>
        </w:tabs>
        <w:spacing w:line="206" w:lineRule="auto" w:before="123" w:after="0"/>
        <w:ind w:left="1761" w:right="1292" w:hanging="794"/>
        <w:jc w:val="left"/>
        <w:rPr>
          <w:sz w:val="11"/>
        </w:rPr>
      </w:pPr>
      <w:r>
        <w:rPr>
          <w:sz w:val="20"/>
        </w:rPr>
        <w:t>The judge will consider the issue and </w:t>
      </w:r>
      <w:r>
        <w:rPr>
          <w:spacing w:val="-3"/>
          <w:sz w:val="20"/>
        </w:rPr>
        <w:t>may </w:t>
      </w:r>
      <w:r>
        <w:rPr>
          <w:sz w:val="20"/>
        </w:rPr>
        <w:t>discharge the person </w:t>
      </w:r>
      <w:r>
        <w:rPr>
          <w:spacing w:val="-3"/>
          <w:sz w:val="20"/>
        </w:rPr>
        <w:t>from </w:t>
      </w:r>
      <w:r>
        <w:rPr>
          <w:sz w:val="20"/>
        </w:rPr>
        <w:t>further attendance</w:t>
      </w:r>
      <w:r>
        <w:rPr>
          <w:spacing w:val="-10"/>
          <w:sz w:val="20"/>
        </w:rPr>
        <w:t> </w:t>
      </w:r>
      <w:r>
        <w:rPr>
          <w:sz w:val="20"/>
        </w:rPr>
        <w:t>under</w:t>
      </w:r>
      <w:r>
        <w:rPr>
          <w:spacing w:val="-10"/>
          <w:sz w:val="20"/>
        </w:rPr>
        <w:t> </w:t>
      </w:r>
      <w:r>
        <w:rPr>
          <w:sz w:val="20"/>
        </w:rPr>
        <w:t>that</w:t>
      </w:r>
      <w:r>
        <w:rPr>
          <w:spacing w:val="-9"/>
          <w:sz w:val="20"/>
        </w:rPr>
        <w:t> </w:t>
      </w:r>
      <w:r>
        <w:rPr>
          <w:sz w:val="20"/>
        </w:rPr>
        <w:t>summons.</w:t>
      </w:r>
      <w:r>
        <w:rPr>
          <w:spacing w:val="-10"/>
          <w:sz w:val="20"/>
        </w:rPr>
        <w:t> </w:t>
      </w:r>
      <w:r>
        <w:rPr>
          <w:sz w:val="20"/>
        </w:rPr>
        <w:t>The</w:t>
      </w:r>
      <w:r>
        <w:rPr>
          <w:spacing w:val="-9"/>
          <w:sz w:val="20"/>
        </w:rPr>
        <w:t> </w:t>
      </w:r>
      <w:r>
        <w:rPr>
          <w:sz w:val="20"/>
        </w:rPr>
        <w:t>hearing</w:t>
      </w:r>
      <w:r>
        <w:rPr>
          <w:spacing w:val="-10"/>
          <w:sz w:val="20"/>
        </w:rPr>
        <w:t> </w:t>
      </w:r>
      <w:r>
        <w:rPr>
          <w:sz w:val="20"/>
        </w:rPr>
        <w:t>is</w:t>
      </w:r>
      <w:r>
        <w:rPr>
          <w:spacing w:val="-9"/>
          <w:sz w:val="20"/>
        </w:rPr>
        <w:t> </w:t>
      </w:r>
      <w:r>
        <w:rPr>
          <w:spacing w:val="-3"/>
          <w:sz w:val="20"/>
        </w:rPr>
        <w:t>likely</w:t>
      </w:r>
      <w:r>
        <w:rPr>
          <w:spacing w:val="-10"/>
          <w:sz w:val="20"/>
        </w:rPr>
        <w:t> </w:t>
      </w:r>
      <w:r>
        <w:rPr>
          <w:sz w:val="20"/>
        </w:rPr>
        <w:t>to</w:t>
      </w:r>
      <w:r>
        <w:rPr>
          <w:spacing w:val="-9"/>
          <w:sz w:val="20"/>
        </w:rPr>
        <w:t> </w:t>
      </w:r>
      <w:r>
        <w:rPr>
          <w:sz w:val="20"/>
        </w:rPr>
        <w:t>occur</w:t>
      </w:r>
      <w:r>
        <w:rPr>
          <w:spacing w:val="-10"/>
          <w:sz w:val="20"/>
        </w:rPr>
        <w:t> </w:t>
      </w:r>
      <w:r>
        <w:rPr>
          <w:sz w:val="20"/>
        </w:rPr>
        <w:t>in</w:t>
      </w:r>
      <w:r>
        <w:rPr>
          <w:spacing w:val="-9"/>
          <w:sz w:val="20"/>
        </w:rPr>
        <w:t> </w:t>
      </w:r>
      <w:r>
        <w:rPr>
          <w:spacing w:val="-3"/>
          <w:sz w:val="20"/>
        </w:rPr>
        <w:t>private</w:t>
      </w:r>
      <w:r>
        <w:rPr>
          <w:spacing w:val="-10"/>
          <w:sz w:val="20"/>
        </w:rPr>
        <w:t> </w:t>
      </w:r>
      <w:r>
        <w:rPr>
          <w:sz w:val="20"/>
        </w:rPr>
        <w:t>and</w:t>
      </w:r>
      <w:r>
        <w:rPr>
          <w:spacing w:val="-9"/>
          <w:sz w:val="20"/>
        </w:rPr>
        <w:t> </w:t>
      </w:r>
      <w:r>
        <w:rPr>
          <w:sz w:val="20"/>
        </w:rPr>
        <w:t>the</w:t>
      </w:r>
      <w:r>
        <w:rPr>
          <w:spacing w:val="-10"/>
          <w:sz w:val="20"/>
        </w:rPr>
        <w:t> </w:t>
      </w:r>
      <w:r>
        <w:rPr>
          <w:sz w:val="20"/>
        </w:rPr>
        <w:t>judge </w:t>
      </w:r>
      <w:r>
        <w:rPr>
          <w:spacing w:val="-3"/>
          <w:sz w:val="20"/>
        </w:rPr>
        <w:t>may</w:t>
      </w:r>
      <w:r>
        <w:rPr>
          <w:spacing w:val="-6"/>
          <w:sz w:val="20"/>
        </w:rPr>
        <w:t> </w:t>
      </w:r>
      <w:r>
        <w:rPr>
          <w:spacing w:val="-3"/>
          <w:sz w:val="20"/>
        </w:rPr>
        <w:t>‘conduct</w:t>
      </w:r>
      <w:r>
        <w:rPr>
          <w:spacing w:val="-6"/>
          <w:sz w:val="20"/>
        </w:rPr>
        <w:t> </w:t>
      </w:r>
      <w:r>
        <w:rPr>
          <w:sz w:val="20"/>
        </w:rPr>
        <w:t>the</w:t>
      </w:r>
      <w:r>
        <w:rPr>
          <w:spacing w:val="-6"/>
          <w:sz w:val="20"/>
        </w:rPr>
        <w:t> </w:t>
      </w:r>
      <w:r>
        <w:rPr>
          <w:sz w:val="20"/>
        </w:rPr>
        <w:t>hearing</w:t>
      </w:r>
      <w:r>
        <w:rPr>
          <w:spacing w:val="-6"/>
          <w:sz w:val="20"/>
        </w:rPr>
        <w:t> </w:t>
      </w:r>
      <w:r>
        <w:rPr>
          <w:sz w:val="20"/>
        </w:rPr>
        <w:t>and</w:t>
      </w:r>
      <w:r>
        <w:rPr>
          <w:spacing w:val="-6"/>
          <w:sz w:val="20"/>
        </w:rPr>
        <w:t> </w:t>
      </w:r>
      <w:r>
        <w:rPr>
          <w:sz w:val="20"/>
        </w:rPr>
        <w:t>consider</w:t>
      </w:r>
      <w:r>
        <w:rPr>
          <w:spacing w:val="-6"/>
          <w:sz w:val="20"/>
        </w:rPr>
        <w:t> </w:t>
      </w:r>
      <w:r>
        <w:rPr>
          <w:sz w:val="20"/>
        </w:rPr>
        <w:t>such</w:t>
      </w:r>
      <w:r>
        <w:rPr>
          <w:spacing w:val="-6"/>
          <w:sz w:val="20"/>
        </w:rPr>
        <w:t> </w:t>
      </w:r>
      <w:r>
        <w:rPr>
          <w:sz w:val="20"/>
        </w:rPr>
        <w:t>evidence</w:t>
      </w:r>
      <w:r>
        <w:rPr>
          <w:spacing w:val="-6"/>
          <w:sz w:val="20"/>
        </w:rPr>
        <w:t> </w:t>
      </w:r>
      <w:r>
        <w:rPr>
          <w:sz w:val="20"/>
        </w:rPr>
        <w:t>as</w:t>
      </w:r>
      <w:r>
        <w:rPr>
          <w:spacing w:val="-6"/>
          <w:sz w:val="20"/>
        </w:rPr>
        <w:t> </w:t>
      </w:r>
      <w:r>
        <w:rPr>
          <w:sz w:val="20"/>
        </w:rPr>
        <w:t>she</w:t>
      </w:r>
      <w:r>
        <w:rPr>
          <w:spacing w:val="-6"/>
          <w:sz w:val="20"/>
        </w:rPr>
        <w:t> </w:t>
      </w:r>
      <w:r>
        <w:rPr>
          <w:sz w:val="20"/>
        </w:rPr>
        <w:t>or</w:t>
      </w:r>
      <w:r>
        <w:rPr>
          <w:spacing w:val="-6"/>
          <w:sz w:val="20"/>
        </w:rPr>
        <w:t> </w:t>
      </w:r>
      <w:r>
        <w:rPr>
          <w:sz w:val="20"/>
        </w:rPr>
        <w:t>he</w:t>
      </w:r>
      <w:r>
        <w:rPr>
          <w:spacing w:val="-6"/>
          <w:sz w:val="20"/>
        </w:rPr>
        <w:t> </w:t>
      </w:r>
      <w:r>
        <w:rPr>
          <w:sz w:val="20"/>
        </w:rPr>
        <w:t>thinks</w:t>
      </w:r>
      <w:r>
        <w:rPr>
          <w:spacing w:val="-5"/>
          <w:sz w:val="20"/>
        </w:rPr>
        <w:t> </w:t>
      </w:r>
      <w:r>
        <w:rPr>
          <w:sz w:val="20"/>
        </w:rPr>
        <w:t>fit’.</w:t>
      </w:r>
      <w:r>
        <w:rPr>
          <w:position w:val="7"/>
          <w:sz w:val="11"/>
        </w:rPr>
        <w:t>24</w:t>
      </w:r>
    </w:p>
    <w:p>
      <w:pPr>
        <w:pStyle w:val="ListParagraph"/>
        <w:numPr>
          <w:ilvl w:val="1"/>
          <w:numId w:val="12"/>
        </w:numPr>
        <w:tabs>
          <w:tab w:pos="1761" w:val="left" w:leader="none"/>
          <w:tab w:pos="1762" w:val="left" w:leader="none"/>
        </w:tabs>
        <w:spacing w:line="206" w:lineRule="auto" w:before="124" w:after="0"/>
        <w:ind w:left="1761" w:right="1426" w:hanging="794"/>
        <w:jc w:val="left"/>
        <w:rPr>
          <w:sz w:val="11"/>
        </w:rPr>
      </w:pPr>
      <w:r>
        <w:rPr>
          <w:sz w:val="20"/>
        </w:rPr>
        <w:t>If</w:t>
      </w:r>
      <w:r>
        <w:rPr>
          <w:spacing w:val="-11"/>
          <w:sz w:val="20"/>
        </w:rPr>
        <w:t> </w:t>
      </w:r>
      <w:r>
        <w:rPr>
          <w:sz w:val="20"/>
        </w:rPr>
        <w:t>the</w:t>
      </w:r>
      <w:r>
        <w:rPr>
          <w:spacing w:val="-10"/>
          <w:sz w:val="20"/>
        </w:rPr>
        <w:t> </w:t>
      </w:r>
      <w:r>
        <w:rPr>
          <w:sz w:val="20"/>
        </w:rPr>
        <w:t>judge</w:t>
      </w:r>
      <w:r>
        <w:rPr>
          <w:spacing w:val="-10"/>
          <w:sz w:val="20"/>
        </w:rPr>
        <w:t> </w:t>
      </w:r>
      <w:r>
        <w:rPr>
          <w:sz w:val="20"/>
        </w:rPr>
        <w:t>determines</w:t>
      </w:r>
      <w:r>
        <w:rPr>
          <w:spacing w:val="-10"/>
          <w:sz w:val="20"/>
        </w:rPr>
        <w:t> </w:t>
      </w:r>
      <w:r>
        <w:rPr>
          <w:sz w:val="20"/>
        </w:rPr>
        <w:t>that</w:t>
      </w:r>
      <w:r>
        <w:rPr>
          <w:spacing w:val="-11"/>
          <w:sz w:val="20"/>
        </w:rPr>
        <w:t> </w:t>
      </w:r>
      <w:r>
        <w:rPr>
          <w:sz w:val="20"/>
        </w:rPr>
        <w:t>the</w:t>
      </w:r>
      <w:r>
        <w:rPr>
          <w:spacing w:val="-10"/>
          <w:sz w:val="20"/>
        </w:rPr>
        <w:t> </w:t>
      </w:r>
      <w:r>
        <w:rPr>
          <w:sz w:val="20"/>
        </w:rPr>
        <w:t>person</w:t>
      </w:r>
      <w:r>
        <w:rPr>
          <w:spacing w:val="-10"/>
          <w:sz w:val="20"/>
        </w:rPr>
        <w:t> </w:t>
      </w:r>
      <w:r>
        <w:rPr>
          <w:sz w:val="20"/>
        </w:rPr>
        <w:t>with</w:t>
      </w:r>
      <w:r>
        <w:rPr>
          <w:spacing w:val="-10"/>
          <w:sz w:val="20"/>
        </w:rPr>
        <w:t> </w:t>
      </w:r>
      <w:r>
        <w:rPr>
          <w:sz w:val="20"/>
        </w:rPr>
        <w:t>a</w:t>
      </w:r>
      <w:r>
        <w:rPr>
          <w:spacing w:val="-10"/>
          <w:sz w:val="20"/>
        </w:rPr>
        <w:t> </w:t>
      </w:r>
      <w:r>
        <w:rPr>
          <w:sz w:val="20"/>
        </w:rPr>
        <w:t>disability</w:t>
      </w:r>
      <w:r>
        <w:rPr>
          <w:spacing w:val="-11"/>
          <w:sz w:val="20"/>
        </w:rPr>
        <w:t> </w:t>
      </w:r>
      <w:r>
        <w:rPr>
          <w:sz w:val="20"/>
        </w:rPr>
        <w:t>can</w:t>
      </w:r>
      <w:r>
        <w:rPr>
          <w:spacing w:val="-10"/>
          <w:sz w:val="20"/>
        </w:rPr>
        <w:t> </w:t>
      </w:r>
      <w:r>
        <w:rPr>
          <w:sz w:val="20"/>
        </w:rPr>
        <w:t>serve</w:t>
      </w:r>
      <w:r>
        <w:rPr>
          <w:spacing w:val="-10"/>
          <w:sz w:val="20"/>
        </w:rPr>
        <w:t> </w:t>
      </w:r>
      <w:r>
        <w:rPr>
          <w:sz w:val="20"/>
        </w:rPr>
        <w:t>with</w:t>
      </w:r>
      <w:r>
        <w:rPr>
          <w:spacing w:val="-10"/>
          <w:sz w:val="20"/>
        </w:rPr>
        <w:t> </w:t>
      </w:r>
      <w:r>
        <w:rPr>
          <w:sz w:val="20"/>
        </w:rPr>
        <w:t>supports,</w:t>
      </w:r>
      <w:r>
        <w:rPr>
          <w:spacing w:val="-10"/>
          <w:sz w:val="20"/>
        </w:rPr>
        <w:t> </w:t>
      </w:r>
      <w:r>
        <w:rPr>
          <w:sz w:val="20"/>
        </w:rPr>
        <w:t>they will participate in the empanelment process. If they </w:t>
      </w:r>
      <w:r>
        <w:rPr>
          <w:spacing w:val="-3"/>
          <w:sz w:val="20"/>
        </w:rPr>
        <w:t>are </w:t>
      </w:r>
      <w:r>
        <w:rPr>
          <w:sz w:val="20"/>
        </w:rPr>
        <w:t>not challenged they will be </w:t>
      </w:r>
      <w:r>
        <w:rPr>
          <w:spacing w:val="-3"/>
          <w:sz w:val="20"/>
        </w:rPr>
        <w:t>sworn</w:t>
      </w:r>
      <w:r>
        <w:rPr>
          <w:spacing w:val="-6"/>
          <w:sz w:val="20"/>
        </w:rPr>
        <w:t> </w:t>
      </w:r>
      <w:r>
        <w:rPr>
          <w:sz w:val="20"/>
        </w:rPr>
        <w:t>in</w:t>
      </w:r>
      <w:r>
        <w:rPr>
          <w:spacing w:val="-5"/>
          <w:sz w:val="20"/>
        </w:rPr>
        <w:t> </w:t>
      </w:r>
      <w:r>
        <w:rPr>
          <w:sz w:val="20"/>
        </w:rPr>
        <w:t>and</w:t>
      </w:r>
      <w:r>
        <w:rPr>
          <w:spacing w:val="-5"/>
          <w:sz w:val="20"/>
        </w:rPr>
        <w:t> </w:t>
      </w:r>
      <w:r>
        <w:rPr>
          <w:spacing w:val="-3"/>
          <w:sz w:val="20"/>
        </w:rPr>
        <w:t>provide</w:t>
      </w:r>
      <w:r>
        <w:rPr>
          <w:spacing w:val="-5"/>
          <w:sz w:val="20"/>
        </w:rPr>
        <w:t> </w:t>
      </w:r>
      <w:r>
        <w:rPr>
          <w:sz w:val="20"/>
        </w:rPr>
        <w:t>an</w:t>
      </w:r>
      <w:r>
        <w:rPr>
          <w:spacing w:val="-5"/>
          <w:sz w:val="20"/>
        </w:rPr>
        <w:t> </w:t>
      </w:r>
      <w:r>
        <w:rPr>
          <w:spacing w:val="-3"/>
          <w:sz w:val="20"/>
        </w:rPr>
        <w:t>oath/affirmation,</w:t>
      </w:r>
      <w:r>
        <w:rPr>
          <w:spacing w:val="-5"/>
          <w:sz w:val="20"/>
        </w:rPr>
        <w:t> </w:t>
      </w:r>
      <w:r>
        <w:rPr>
          <w:sz w:val="20"/>
        </w:rPr>
        <w:t>as</w:t>
      </w:r>
      <w:r>
        <w:rPr>
          <w:spacing w:val="-5"/>
          <w:sz w:val="20"/>
        </w:rPr>
        <w:t> </w:t>
      </w:r>
      <w:r>
        <w:rPr>
          <w:sz w:val="20"/>
        </w:rPr>
        <w:t>will</w:t>
      </w:r>
      <w:r>
        <w:rPr>
          <w:spacing w:val="-6"/>
          <w:sz w:val="20"/>
        </w:rPr>
        <w:t> </w:t>
      </w:r>
      <w:r>
        <w:rPr>
          <w:sz w:val="20"/>
        </w:rPr>
        <w:t>the</w:t>
      </w:r>
      <w:r>
        <w:rPr>
          <w:spacing w:val="-5"/>
          <w:sz w:val="20"/>
        </w:rPr>
        <w:t> </w:t>
      </w:r>
      <w:r>
        <w:rPr>
          <w:sz w:val="20"/>
        </w:rPr>
        <w:t>supporter</w:t>
      </w:r>
      <w:r>
        <w:rPr>
          <w:spacing w:val="-5"/>
          <w:sz w:val="20"/>
        </w:rPr>
        <w:t> </w:t>
      </w:r>
      <w:r>
        <w:rPr>
          <w:sz w:val="20"/>
        </w:rPr>
        <w:t>or</w:t>
      </w:r>
      <w:r>
        <w:rPr>
          <w:spacing w:val="-5"/>
          <w:sz w:val="20"/>
        </w:rPr>
        <w:t> </w:t>
      </w:r>
      <w:r>
        <w:rPr>
          <w:spacing w:val="-4"/>
          <w:sz w:val="20"/>
        </w:rPr>
        <w:t>interpreter.</w:t>
      </w:r>
      <w:r>
        <w:rPr>
          <w:spacing w:val="-5"/>
          <w:sz w:val="20"/>
        </w:rPr>
        <w:t> </w:t>
      </w:r>
      <w:r>
        <w:rPr>
          <w:position w:val="7"/>
          <w:sz w:val="11"/>
        </w:rPr>
        <w:t>25</w:t>
      </w:r>
    </w:p>
    <w:p>
      <w:pPr>
        <w:spacing w:before="162"/>
        <w:ind w:left="967" w:right="0" w:firstLine="0"/>
        <w:jc w:val="left"/>
        <w:rPr>
          <w:b/>
          <w:sz w:val="24"/>
        </w:rPr>
      </w:pPr>
      <w:r>
        <w:rPr>
          <w:b/>
          <w:sz w:val="24"/>
        </w:rPr>
        <w:t>The approach in England and Wales</w:t>
      </w:r>
    </w:p>
    <w:p>
      <w:pPr>
        <w:pStyle w:val="ListParagraph"/>
        <w:numPr>
          <w:ilvl w:val="1"/>
          <w:numId w:val="12"/>
        </w:numPr>
        <w:tabs>
          <w:tab w:pos="1761" w:val="left" w:leader="none"/>
          <w:tab w:pos="1762" w:val="left" w:leader="none"/>
        </w:tabs>
        <w:spacing w:line="206" w:lineRule="auto" w:before="127" w:after="0"/>
        <w:ind w:left="1761" w:right="1759" w:hanging="794"/>
        <w:jc w:val="left"/>
        <w:rPr>
          <w:sz w:val="20"/>
        </w:rPr>
      </w:pPr>
      <w:r>
        <w:rPr>
          <w:sz w:val="20"/>
        </w:rPr>
        <w:t>The</w:t>
      </w:r>
      <w:r>
        <w:rPr>
          <w:spacing w:val="-11"/>
          <w:sz w:val="20"/>
        </w:rPr>
        <w:t> </w:t>
      </w:r>
      <w:r>
        <w:rPr>
          <w:sz w:val="20"/>
        </w:rPr>
        <w:t>approach</w:t>
      </w:r>
      <w:r>
        <w:rPr>
          <w:spacing w:val="-10"/>
          <w:sz w:val="20"/>
        </w:rPr>
        <w:t> </w:t>
      </w:r>
      <w:r>
        <w:rPr>
          <w:sz w:val="20"/>
        </w:rPr>
        <w:t>to</w:t>
      </w:r>
      <w:r>
        <w:rPr>
          <w:spacing w:val="-10"/>
          <w:sz w:val="20"/>
        </w:rPr>
        <w:t> </w:t>
      </w:r>
      <w:r>
        <w:rPr>
          <w:spacing w:val="-3"/>
          <w:sz w:val="20"/>
        </w:rPr>
        <w:t>providing</w:t>
      </w:r>
      <w:r>
        <w:rPr>
          <w:spacing w:val="-10"/>
          <w:sz w:val="20"/>
        </w:rPr>
        <w:t> </w:t>
      </w:r>
      <w:r>
        <w:rPr>
          <w:sz w:val="20"/>
        </w:rPr>
        <w:t>reasonable</w:t>
      </w:r>
      <w:r>
        <w:rPr>
          <w:spacing w:val="-10"/>
          <w:sz w:val="20"/>
        </w:rPr>
        <w:t> </w:t>
      </w:r>
      <w:r>
        <w:rPr>
          <w:sz w:val="20"/>
        </w:rPr>
        <w:t>adjustments</w:t>
      </w:r>
      <w:r>
        <w:rPr>
          <w:spacing w:val="-11"/>
          <w:sz w:val="20"/>
        </w:rPr>
        <w:t> </w:t>
      </w:r>
      <w:r>
        <w:rPr>
          <w:sz w:val="20"/>
        </w:rPr>
        <w:t>in</w:t>
      </w:r>
      <w:r>
        <w:rPr>
          <w:spacing w:val="-10"/>
          <w:sz w:val="20"/>
        </w:rPr>
        <w:t> </w:t>
      </w:r>
      <w:r>
        <w:rPr>
          <w:sz w:val="20"/>
        </w:rPr>
        <w:t>England</w:t>
      </w:r>
      <w:r>
        <w:rPr>
          <w:spacing w:val="-10"/>
          <w:sz w:val="20"/>
        </w:rPr>
        <w:t> </w:t>
      </w:r>
      <w:r>
        <w:rPr>
          <w:sz w:val="20"/>
        </w:rPr>
        <w:t>and</w:t>
      </w:r>
      <w:r>
        <w:rPr>
          <w:spacing w:val="-10"/>
          <w:sz w:val="20"/>
        </w:rPr>
        <w:t> </w:t>
      </w:r>
      <w:r>
        <w:rPr>
          <w:spacing w:val="-4"/>
          <w:sz w:val="20"/>
        </w:rPr>
        <w:t>Wales</w:t>
      </w:r>
      <w:r>
        <w:rPr>
          <w:spacing w:val="-10"/>
          <w:sz w:val="20"/>
        </w:rPr>
        <w:t> </w:t>
      </w:r>
      <w:r>
        <w:rPr>
          <w:sz w:val="20"/>
        </w:rPr>
        <w:t>has</w:t>
      </w:r>
      <w:r>
        <w:rPr>
          <w:spacing w:val="-10"/>
          <w:sz w:val="20"/>
        </w:rPr>
        <w:t> </w:t>
      </w:r>
      <w:r>
        <w:rPr>
          <w:sz w:val="20"/>
        </w:rPr>
        <w:t>the </w:t>
      </w:r>
      <w:r>
        <w:rPr>
          <w:spacing w:val="-3"/>
          <w:sz w:val="20"/>
        </w:rPr>
        <w:t>following </w:t>
      </w:r>
      <w:r>
        <w:rPr>
          <w:spacing w:val="-4"/>
          <w:sz w:val="20"/>
        </w:rPr>
        <w:t>key</w:t>
      </w:r>
      <w:r>
        <w:rPr>
          <w:spacing w:val="-6"/>
          <w:sz w:val="20"/>
        </w:rPr>
        <w:t> </w:t>
      </w:r>
      <w:r>
        <w:rPr>
          <w:sz w:val="20"/>
        </w:rPr>
        <w:t>elements:</w:t>
      </w:r>
    </w:p>
    <w:p>
      <w:pPr>
        <w:pStyle w:val="ListParagraph"/>
        <w:numPr>
          <w:ilvl w:val="2"/>
          <w:numId w:val="12"/>
        </w:numPr>
        <w:tabs>
          <w:tab w:pos="2157" w:val="left" w:leader="none"/>
          <w:tab w:pos="2158" w:val="left" w:leader="none"/>
        </w:tabs>
        <w:spacing w:line="206" w:lineRule="auto" w:before="122" w:after="0"/>
        <w:ind w:left="2157" w:right="1319" w:hanging="396"/>
        <w:jc w:val="left"/>
        <w:rPr>
          <w:sz w:val="11"/>
        </w:rPr>
      </w:pPr>
      <w:r>
        <w:rPr>
          <w:sz w:val="20"/>
        </w:rPr>
        <w:t>A</w:t>
      </w:r>
      <w:r>
        <w:rPr>
          <w:spacing w:val="-12"/>
          <w:sz w:val="20"/>
        </w:rPr>
        <w:t> </w:t>
      </w:r>
      <w:r>
        <w:rPr>
          <w:sz w:val="20"/>
        </w:rPr>
        <w:t>senior</w:t>
      </w:r>
      <w:r>
        <w:rPr>
          <w:spacing w:val="-12"/>
          <w:sz w:val="20"/>
        </w:rPr>
        <w:t> </w:t>
      </w:r>
      <w:r>
        <w:rPr>
          <w:sz w:val="20"/>
        </w:rPr>
        <w:t>court</w:t>
      </w:r>
      <w:r>
        <w:rPr>
          <w:spacing w:val="-11"/>
          <w:sz w:val="20"/>
        </w:rPr>
        <w:t> </w:t>
      </w:r>
      <w:r>
        <w:rPr>
          <w:sz w:val="20"/>
        </w:rPr>
        <w:t>official</w:t>
      </w:r>
      <w:r>
        <w:rPr>
          <w:spacing w:val="-12"/>
          <w:sz w:val="20"/>
        </w:rPr>
        <w:t> </w:t>
      </w:r>
      <w:r>
        <w:rPr>
          <w:sz w:val="20"/>
        </w:rPr>
        <w:t>first</w:t>
      </w:r>
      <w:r>
        <w:rPr>
          <w:spacing w:val="-11"/>
          <w:sz w:val="20"/>
        </w:rPr>
        <w:t> </w:t>
      </w:r>
      <w:r>
        <w:rPr>
          <w:spacing w:val="-3"/>
          <w:sz w:val="20"/>
        </w:rPr>
        <w:t>makes</w:t>
      </w:r>
      <w:r>
        <w:rPr>
          <w:spacing w:val="-12"/>
          <w:sz w:val="20"/>
        </w:rPr>
        <w:t> </w:t>
      </w:r>
      <w:r>
        <w:rPr>
          <w:sz w:val="20"/>
        </w:rPr>
        <w:t>an</w:t>
      </w:r>
      <w:r>
        <w:rPr>
          <w:spacing w:val="-11"/>
          <w:sz w:val="20"/>
        </w:rPr>
        <w:t> </w:t>
      </w:r>
      <w:r>
        <w:rPr>
          <w:sz w:val="20"/>
        </w:rPr>
        <w:t>assessment</w:t>
      </w:r>
      <w:r>
        <w:rPr>
          <w:spacing w:val="-12"/>
          <w:sz w:val="20"/>
        </w:rPr>
        <w:t> </w:t>
      </w:r>
      <w:r>
        <w:rPr>
          <w:sz w:val="20"/>
        </w:rPr>
        <w:t>about</w:t>
      </w:r>
      <w:r>
        <w:rPr>
          <w:spacing w:val="-11"/>
          <w:sz w:val="20"/>
        </w:rPr>
        <w:t> </w:t>
      </w:r>
      <w:r>
        <w:rPr>
          <w:sz w:val="20"/>
        </w:rPr>
        <w:t>the</w:t>
      </w:r>
      <w:r>
        <w:rPr>
          <w:spacing w:val="-12"/>
          <w:sz w:val="20"/>
        </w:rPr>
        <w:t> </w:t>
      </w:r>
      <w:r>
        <w:rPr>
          <w:spacing w:val="-3"/>
          <w:sz w:val="20"/>
        </w:rPr>
        <w:t>provision</w:t>
      </w:r>
      <w:r>
        <w:rPr>
          <w:spacing w:val="-12"/>
          <w:sz w:val="20"/>
        </w:rPr>
        <w:t> </w:t>
      </w:r>
      <w:r>
        <w:rPr>
          <w:sz w:val="20"/>
        </w:rPr>
        <w:t>of</w:t>
      </w:r>
      <w:r>
        <w:rPr>
          <w:spacing w:val="-11"/>
          <w:sz w:val="20"/>
        </w:rPr>
        <w:t> </w:t>
      </w:r>
      <w:r>
        <w:rPr>
          <w:sz w:val="20"/>
        </w:rPr>
        <w:t>reasonable adjustments.</w:t>
      </w:r>
      <w:r>
        <w:rPr>
          <w:spacing w:val="-12"/>
          <w:sz w:val="20"/>
        </w:rPr>
        <w:t> </w:t>
      </w:r>
      <w:r>
        <w:rPr>
          <w:sz w:val="20"/>
        </w:rPr>
        <w:t>The</w:t>
      </w:r>
      <w:r>
        <w:rPr>
          <w:spacing w:val="-11"/>
          <w:sz w:val="20"/>
        </w:rPr>
        <w:t> </w:t>
      </w:r>
      <w:r>
        <w:rPr>
          <w:sz w:val="20"/>
        </w:rPr>
        <w:t>court</w:t>
      </w:r>
      <w:r>
        <w:rPr>
          <w:spacing w:val="-11"/>
          <w:sz w:val="20"/>
        </w:rPr>
        <w:t> </w:t>
      </w:r>
      <w:r>
        <w:rPr>
          <w:sz w:val="20"/>
        </w:rPr>
        <w:t>official</w:t>
      </w:r>
      <w:r>
        <w:rPr>
          <w:spacing w:val="-11"/>
          <w:sz w:val="20"/>
        </w:rPr>
        <w:t> </w:t>
      </w:r>
      <w:r>
        <w:rPr>
          <w:sz w:val="20"/>
        </w:rPr>
        <w:t>explains</w:t>
      </w:r>
      <w:r>
        <w:rPr>
          <w:spacing w:val="-11"/>
          <w:sz w:val="20"/>
        </w:rPr>
        <w:t> </w:t>
      </w:r>
      <w:r>
        <w:rPr>
          <w:sz w:val="20"/>
        </w:rPr>
        <w:t>that</w:t>
      </w:r>
      <w:r>
        <w:rPr>
          <w:spacing w:val="-12"/>
          <w:sz w:val="20"/>
        </w:rPr>
        <w:t> </w:t>
      </w:r>
      <w:r>
        <w:rPr>
          <w:sz w:val="20"/>
        </w:rPr>
        <w:t>the</w:t>
      </w:r>
      <w:r>
        <w:rPr>
          <w:spacing w:val="-11"/>
          <w:sz w:val="20"/>
        </w:rPr>
        <w:t> </w:t>
      </w:r>
      <w:r>
        <w:rPr>
          <w:sz w:val="20"/>
        </w:rPr>
        <w:t>person</w:t>
      </w:r>
      <w:r>
        <w:rPr>
          <w:spacing w:val="-11"/>
          <w:sz w:val="20"/>
        </w:rPr>
        <w:t> </w:t>
      </w:r>
      <w:r>
        <w:rPr>
          <w:sz w:val="20"/>
        </w:rPr>
        <w:t>can</w:t>
      </w:r>
      <w:r>
        <w:rPr>
          <w:spacing w:val="-11"/>
          <w:sz w:val="20"/>
        </w:rPr>
        <w:t> </w:t>
      </w:r>
      <w:r>
        <w:rPr>
          <w:spacing w:val="-3"/>
          <w:sz w:val="20"/>
        </w:rPr>
        <w:t>apply</w:t>
      </w:r>
      <w:r>
        <w:rPr>
          <w:spacing w:val="-11"/>
          <w:sz w:val="20"/>
        </w:rPr>
        <w:t> </w:t>
      </w:r>
      <w:r>
        <w:rPr>
          <w:sz w:val="20"/>
        </w:rPr>
        <w:t>to</w:t>
      </w:r>
      <w:r>
        <w:rPr>
          <w:spacing w:val="-12"/>
          <w:sz w:val="20"/>
        </w:rPr>
        <w:t> </w:t>
      </w:r>
      <w:r>
        <w:rPr>
          <w:sz w:val="20"/>
        </w:rPr>
        <w:t>be</w:t>
      </w:r>
      <w:r>
        <w:rPr>
          <w:spacing w:val="-11"/>
          <w:sz w:val="20"/>
        </w:rPr>
        <w:t> </w:t>
      </w:r>
      <w:r>
        <w:rPr>
          <w:sz w:val="20"/>
        </w:rPr>
        <w:t>excused.</w:t>
      </w:r>
      <w:r>
        <w:rPr>
          <w:position w:val="7"/>
          <w:sz w:val="11"/>
        </w:rPr>
        <w:t>26</w:t>
      </w:r>
    </w:p>
    <w:p>
      <w:pPr>
        <w:pStyle w:val="ListParagraph"/>
        <w:numPr>
          <w:ilvl w:val="2"/>
          <w:numId w:val="12"/>
        </w:numPr>
        <w:tabs>
          <w:tab w:pos="2157" w:val="left" w:leader="none"/>
          <w:tab w:pos="2158" w:val="left" w:leader="none"/>
        </w:tabs>
        <w:spacing w:line="206" w:lineRule="auto" w:before="88" w:after="0"/>
        <w:ind w:left="2157" w:right="1400" w:hanging="396"/>
        <w:jc w:val="left"/>
        <w:rPr>
          <w:sz w:val="11"/>
        </w:rPr>
      </w:pPr>
      <w:r>
        <w:rPr>
          <w:sz w:val="20"/>
        </w:rPr>
        <w:t>If</w:t>
      </w:r>
      <w:r>
        <w:rPr>
          <w:spacing w:val="-10"/>
          <w:sz w:val="20"/>
        </w:rPr>
        <w:t> </w:t>
      </w:r>
      <w:r>
        <w:rPr>
          <w:sz w:val="20"/>
        </w:rPr>
        <w:t>the</w:t>
      </w:r>
      <w:r>
        <w:rPr>
          <w:spacing w:val="-9"/>
          <w:sz w:val="20"/>
        </w:rPr>
        <w:t> </w:t>
      </w:r>
      <w:r>
        <w:rPr>
          <w:sz w:val="20"/>
        </w:rPr>
        <w:t>juror</w:t>
      </w:r>
      <w:r>
        <w:rPr>
          <w:spacing w:val="-9"/>
          <w:sz w:val="20"/>
        </w:rPr>
        <w:t> </w:t>
      </w:r>
      <w:r>
        <w:rPr>
          <w:sz w:val="20"/>
        </w:rPr>
        <w:t>does</w:t>
      </w:r>
      <w:r>
        <w:rPr>
          <w:spacing w:val="-9"/>
          <w:sz w:val="20"/>
        </w:rPr>
        <w:t> </w:t>
      </w:r>
      <w:r>
        <w:rPr>
          <w:sz w:val="20"/>
        </w:rPr>
        <w:t>not</w:t>
      </w:r>
      <w:r>
        <w:rPr>
          <w:spacing w:val="-9"/>
          <w:sz w:val="20"/>
        </w:rPr>
        <w:t> </w:t>
      </w:r>
      <w:r>
        <w:rPr>
          <w:sz w:val="20"/>
        </w:rPr>
        <w:t>want</w:t>
      </w:r>
      <w:r>
        <w:rPr>
          <w:spacing w:val="-9"/>
          <w:sz w:val="20"/>
        </w:rPr>
        <w:t> </w:t>
      </w:r>
      <w:r>
        <w:rPr>
          <w:sz w:val="20"/>
        </w:rPr>
        <w:t>to</w:t>
      </w:r>
      <w:r>
        <w:rPr>
          <w:spacing w:val="-9"/>
          <w:sz w:val="20"/>
        </w:rPr>
        <w:t> </w:t>
      </w:r>
      <w:r>
        <w:rPr>
          <w:sz w:val="20"/>
        </w:rPr>
        <w:t>be</w:t>
      </w:r>
      <w:r>
        <w:rPr>
          <w:spacing w:val="-9"/>
          <w:sz w:val="20"/>
        </w:rPr>
        <w:t> </w:t>
      </w:r>
      <w:r>
        <w:rPr>
          <w:spacing w:val="-3"/>
          <w:sz w:val="20"/>
        </w:rPr>
        <w:t>excused</w:t>
      </w:r>
      <w:r>
        <w:rPr>
          <w:spacing w:val="-9"/>
          <w:sz w:val="20"/>
        </w:rPr>
        <w:t> </w:t>
      </w:r>
      <w:r>
        <w:rPr>
          <w:sz w:val="20"/>
        </w:rPr>
        <w:t>and</w:t>
      </w:r>
      <w:r>
        <w:rPr>
          <w:spacing w:val="-9"/>
          <w:sz w:val="20"/>
        </w:rPr>
        <w:t> </w:t>
      </w:r>
      <w:r>
        <w:rPr>
          <w:sz w:val="20"/>
        </w:rPr>
        <w:t>the</w:t>
      </w:r>
      <w:r>
        <w:rPr>
          <w:spacing w:val="-9"/>
          <w:sz w:val="20"/>
        </w:rPr>
        <w:t> </w:t>
      </w:r>
      <w:r>
        <w:rPr>
          <w:sz w:val="20"/>
        </w:rPr>
        <w:t>court</w:t>
      </w:r>
      <w:r>
        <w:rPr>
          <w:spacing w:val="-9"/>
          <w:sz w:val="20"/>
        </w:rPr>
        <w:t> </w:t>
      </w:r>
      <w:r>
        <w:rPr>
          <w:sz w:val="20"/>
        </w:rPr>
        <w:t>officer</w:t>
      </w:r>
      <w:r>
        <w:rPr>
          <w:spacing w:val="-9"/>
          <w:sz w:val="20"/>
        </w:rPr>
        <w:t> </w:t>
      </w:r>
      <w:r>
        <w:rPr>
          <w:sz w:val="20"/>
        </w:rPr>
        <w:t>has</w:t>
      </w:r>
      <w:r>
        <w:rPr>
          <w:spacing w:val="-9"/>
          <w:sz w:val="20"/>
        </w:rPr>
        <w:t> </w:t>
      </w:r>
      <w:r>
        <w:rPr>
          <w:sz w:val="20"/>
        </w:rPr>
        <w:t>doubts</w:t>
      </w:r>
      <w:r>
        <w:rPr>
          <w:spacing w:val="-9"/>
          <w:sz w:val="20"/>
        </w:rPr>
        <w:t> </w:t>
      </w:r>
      <w:r>
        <w:rPr>
          <w:sz w:val="20"/>
        </w:rPr>
        <w:t>about</w:t>
      </w:r>
      <w:r>
        <w:rPr>
          <w:spacing w:val="-10"/>
          <w:sz w:val="20"/>
        </w:rPr>
        <w:t> </w:t>
      </w:r>
      <w:r>
        <w:rPr>
          <w:sz w:val="20"/>
        </w:rPr>
        <w:t>a person’s</w:t>
      </w:r>
      <w:r>
        <w:rPr>
          <w:spacing w:val="-14"/>
          <w:sz w:val="20"/>
        </w:rPr>
        <w:t> </w:t>
      </w:r>
      <w:r>
        <w:rPr>
          <w:sz w:val="20"/>
        </w:rPr>
        <w:t>capacity</w:t>
      </w:r>
      <w:r>
        <w:rPr>
          <w:spacing w:val="-13"/>
          <w:sz w:val="20"/>
        </w:rPr>
        <w:t> </w:t>
      </w:r>
      <w:r>
        <w:rPr>
          <w:sz w:val="20"/>
        </w:rPr>
        <w:t>to</w:t>
      </w:r>
      <w:r>
        <w:rPr>
          <w:spacing w:val="-14"/>
          <w:sz w:val="20"/>
        </w:rPr>
        <w:t> </w:t>
      </w:r>
      <w:r>
        <w:rPr>
          <w:sz w:val="20"/>
        </w:rPr>
        <w:t>act</w:t>
      </w:r>
      <w:r>
        <w:rPr>
          <w:spacing w:val="-13"/>
          <w:sz w:val="20"/>
        </w:rPr>
        <w:t> </w:t>
      </w:r>
      <w:r>
        <w:rPr>
          <w:sz w:val="20"/>
        </w:rPr>
        <w:t>effectively</w:t>
      </w:r>
      <w:r>
        <w:rPr>
          <w:spacing w:val="-14"/>
          <w:sz w:val="20"/>
        </w:rPr>
        <w:t> </w:t>
      </w:r>
      <w:r>
        <w:rPr>
          <w:sz w:val="20"/>
        </w:rPr>
        <w:t>as</w:t>
      </w:r>
      <w:r>
        <w:rPr>
          <w:spacing w:val="-13"/>
          <w:sz w:val="20"/>
        </w:rPr>
        <w:t> </w:t>
      </w:r>
      <w:r>
        <w:rPr>
          <w:sz w:val="20"/>
        </w:rPr>
        <w:t>a</w:t>
      </w:r>
      <w:r>
        <w:rPr>
          <w:spacing w:val="-14"/>
          <w:sz w:val="20"/>
        </w:rPr>
        <w:t> </w:t>
      </w:r>
      <w:r>
        <w:rPr>
          <w:sz w:val="20"/>
        </w:rPr>
        <w:t>juror</w:t>
      </w:r>
      <w:r>
        <w:rPr>
          <w:spacing w:val="-13"/>
          <w:sz w:val="20"/>
        </w:rPr>
        <w:t> </w:t>
      </w:r>
      <w:r>
        <w:rPr>
          <w:sz w:val="20"/>
        </w:rPr>
        <w:t>because</w:t>
      </w:r>
      <w:r>
        <w:rPr>
          <w:spacing w:val="-13"/>
          <w:sz w:val="20"/>
        </w:rPr>
        <w:t> </w:t>
      </w:r>
      <w:r>
        <w:rPr>
          <w:sz w:val="20"/>
        </w:rPr>
        <w:t>of</w:t>
      </w:r>
      <w:r>
        <w:rPr>
          <w:spacing w:val="-14"/>
          <w:sz w:val="20"/>
        </w:rPr>
        <w:t> </w:t>
      </w:r>
      <w:r>
        <w:rPr>
          <w:sz w:val="20"/>
        </w:rPr>
        <w:t>a</w:t>
      </w:r>
      <w:r>
        <w:rPr>
          <w:spacing w:val="-13"/>
          <w:sz w:val="20"/>
        </w:rPr>
        <w:t> </w:t>
      </w:r>
      <w:r>
        <w:rPr>
          <w:sz w:val="20"/>
        </w:rPr>
        <w:t>physical</w:t>
      </w:r>
      <w:r>
        <w:rPr>
          <w:spacing w:val="-14"/>
          <w:sz w:val="20"/>
        </w:rPr>
        <w:t> </w:t>
      </w:r>
      <w:r>
        <w:rPr>
          <w:sz w:val="20"/>
        </w:rPr>
        <w:t>disability,</w:t>
      </w:r>
      <w:r>
        <w:rPr>
          <w:spacing w:val="-13"/>
          <w:sz w:val="20"/>
        </w:rPr>
        <w:t> </w:t>
      </w:r>
      <w:r>
        <w:rPr>
          <w:sz w:val="20"/>
        </w:rPr>
        <w:t>that person</w:t>
      </w:r>
      <w:r>
        <w:rPr>
          <w:spacing w:val="-9"/>
          <w:sz w:val="20"/>
        </w:rPr>
        <w:t> </w:t>
      </w:r>
      <w:r>
        <w:rPr>
          <w:sz w:val="20"/>
        </w:rPr>
        <w:t>is</w:t>
      </w:r>
      <w:r>
        <w:rPr>
          <w:spacing w:val="-8"/>
          <w:sz w:val="20"/>
        </w:rPr>
        <w:t> </w:t>
      </w:r>
      <w:r>
        <w:rPr>
          <w:sz w:val="20"/>
        </w:rPr>
        <w:t>brought</w:t>
      </w:r>
      <w:r>
        <w:rPr>
          <w:spacing w:val="-9"/>
          <w:sz w:val="20"/>
        </w:rPr>
        <w:t> </w:t>
      </w:r>
      <w:r>
        <w:rPr>
          <w:spacing w:val="-3"/>
          <w:sz w:val="20"/>
        </w:rPr>
        <w:t>before</w:t>
      </w:r>
      <w:r>
        <w:rPr>
          <w:spacing w:val="-8"/>
          <w:sz w:val="20"/>
        </w:rPr>
        <w:t> </w:t>
      </w:r>
      <w:r>
        <w:rPr>
          <w:sz w:val="20"/>
        </w:rPr>
        <w:t>a</w:t>
      </w:r>
      <w:r>
        <w:rPr>
          <w:spacing w:val="-8"/>
          <w:sz w:val="20"/>
        </w:rPr>
        <w:t> </w:t>
      </w:r>
      <w:r>
        <w:rPr>
          <w:sz w:val="20"/>
        </w:rPr>
        <w:t>judge</w:t>
      </w:r>
      <w:r>
        <w:rPr>
          <w:spacing w:val="-9"/>
          <w:sz w:val="20"/>
        </w:rPr>
        <w:t> </w:t>
      </w:r>
      <w:r>
        <w:rPr>
          <w:sz w:val="20"/>
        </w:rPr>
        <w:t>to</w:t>
      </w:r>
      <w:r>
        <w:rPr>
          <w:spacing w:val="-8"/>
          <w:sz w:val="20"/>
        </w:rPr>
        <w:t> </w:t>
      </w:r>
      <w:r>
        <w:rPr>
          <w:sz w:val="20"/>
        </w:rPr>
        <w:t>determine</w:t>
      </w:r>
      <w:r>
        <w:rPr>
          <w:spacing w:val="-8"/>
          <w:sz w:val="20"/>
        </w:rPr>
        <w:t> </w:t>
      </w:r>
      <w:r>
        <w:rPr>
          <w:sz w:val="20"/>
        </w:rPr>
        <w:t>the</w:t>
      </w:r>
      <w:r>
        <w:rPr>
          <w:spacing w:val="-9"/>
          <w:sz w:val="20"/>
        </w:rPr>
        <w:t> </w:t>
      </w:r>
      <w:r>
        <w:rPr>
          <w:sz w:val="20"/>
        </w:rPr>
        <w:t>issue.</w:t>
      </w:r>
      <w:r>
        <w:rPr>
          <w:position w:val="7"/>
          <w:sz w:val="11"/>
        </w:rPr>
        <w:t>27</w:t>
      </w:r>
      <w:r>
        <w:rPr>
          <w:spacing w:val="17"/>
          <w:position w:val="7"/>
          <w:sz w:val="11"/>
        </w:rPr>
        <w:t> </w:t>
      </w:r>
      <w:r>
        <w:rPr>
          <w:sz w:val="20"/>
        </w:rPr>
        <w:t>Court</w:t>
      </w:r>
      <w:r>
        <w:rPr>
          <w:spacing w:val="-9"/>
          <w:sz w:val="20"/>
        </w:rPr>
        <w:t> </w:t>
      </w:r>
      <w:r>
        <w:rPr>
          <w:sz w:val="20"/>
        </w:rPr>
        <w:t>staff</w:t>
      </w:r>
      <w:r>
        <w:rPr>
          <w:spacing w:val="-8"/>
          <w:sz w:val="20"/>
        </w:rPr>
        <w:t> </w:t>
      </w:r>
      <w:r>
        <w:rPr>
          <w:sz w:val="20"/>
        </w:rPr>
        <w:t>do</w:t>
      </w:r>
      <w:r>
        <w:rPr>
          <w:spacing w:val="-8"/>
          <w:sz w:val="20"/>
        </w:rPr>
        <w:t> </w:t>
      </w:r>
      <w:r>
        <w:rPr>
          <w:sz w:val="20"/>
        </w:rPr>
        <w:t>not</w:t>
      </w:r>
      <w:r>
        <w:rPr>
          <w:spacing w:val="-9"/>
          <w:sz w:val="20"/>
        </w:rPr>
        <w:t> </w:t>
      </w:r>
      <w:r>
        <w:rPr>
          <w:spacing w:val="-4"/>
          <w:sz w:val="20"/>
        </w:rPr>
        <w:t>have </w:t>
      </w:r>
      <w:r>
        <w:rPr>
          <w:spacing w:val="-3"/>
          <w:sz w:val="20"/>
        </w:rPr>
        <w:t>any power </w:t>
      </w:r>
      <w:r>
        <w:rPr>
          <w:sz w:val="20"/>
        </w:rPr>
        <w:t>to discharge a juror under their summons. The hearing will occur in the court that the person has been summonsed to attend, generally </w:t>
      </w:r>
      <w:r>
        <w:rPr>
          <w:spacing w:val="-3"/>
          <w:sz w:val="20"/>
        </w:rPr>
        <w:t>before </w:t>
      </w:r>
      <w:r>
        <w:rPr>
          <w:sz w:val="20"/>
        </w:rPr>
        <w:t>the beginning of jury</w:t>
      </w:r>
      <w:r>
        <w:rPr>
          <w:spacing w:val="-13"/>
          <w:sz w:val="20"/>
        </w:rPr>
        <w:t> </w:t>
      </w:r>
      <w:r>
        <w:rPr>
          <w:sz w:val="20"/>
        </w:rPr>
        <w:t>service.</w:t>
      </w:r>
      <w:r>
        <w:rPr>
          <w:position w:val="7"/>
          <w:sz w:val="11"/>
        </w:rPr>
        <w:t>28</w:t>
      </w:r>
    </w:p>
    <w:p>
      <w:pPr>
        <w:pStyle w:val="ListParagraph"/>
        <w:numPr>
          <w:ilvl w:val="2"/>
          <w:numId w:val="12"/>
        </w:numPr>
        <w:tabs>
          <w:tab w:pos="2157" w:val="left" w:leader="none"/>
          <w:tab w:pos="2158" w:val="left" w:leader="none"/>
        </w:tabs>
        <w:spacing w:line="206" w:lineRule="auto" w:before="92" w:after="0"/>
        <w:ind w:left="2157" w:right="1208" w:hanging="396"/>
        <w:jc w:val="left"/>
        <w:rPr>
          <w:sz w:val="20"/>
        </w:rPr>
      </w:pPr>
      <w:r>
        <w:rPr>
          <w:sz w:val="20"/>
        </w:rPr>
        <w:t>The judge ‘shall affirm the summons unless [the judge] is of the opinion that the person</w:t>
      </w:r>
      <w:r>
        <w:rPr>
          <w:spacing w:val="-13"/>
          <w:sz w:val="20"/>
        </w:rPr>
        <w:t> </w:t>
      </w:r>
      <w:r>
        <w:rPr>
          <w:sz w:val="20"/>
        </w:rPr>
        <w:t>will</w:t>
      </w:r>
      <w:r>
        <w:rPr>
          <w:spacing w:val="-13"/>
          <w:sz w:val="20"/>
        </w:rPr>
        <w:t> </w:t>
      </w:r>
      <w:r>
        <w:rPr>
          <w:sz w:val="20"/>
        </w:rPr>
        <w:t>not,</w:t>
      </w:r>
      <w:r>
        <w:rPr>
          <w:spacing w:val="-12"/>
          <w:sz w:val="20"/>
        </w:rPr>
        <w:t> </w:t>
      </w:r>
      <w:r>
        <w:rPr>
          <w:sz w:val="20"/>
        </w:rPr>
        <w:t>on</w:t>
      </w:r>
      <w:r>
        <w:rPr>
          <w:spacing w:val="-13"/>
          <w:sz w:val="20"/>
        </w:rPr>
        <w:t> </w:t>
      </w:r>
      <w:r>
        <w:rPr>
          <w:sz w:val="20"/>
        </w:rPr>
        <w:t>account</w:t>
      </w:r>
      <w:r>
        <w:rPr>
          <w:spacing w:val="-13"/>
          <w:sz w:val="20"/>
        </w:rPr>
        <w:t> </w:t>
      </w:r>
      <w:r>
        <w:rPr>
          <w:sz w:val="20"/>
        </w:rPr>
        <w:t>of</w:t>
      </w:r>
      <w:r>
        <w:rPr>
          <w:spacing w:val="-12"/>
          <w:sz w:val="20"/>
        </w:rPr>
        <w:t> </w:t>
      </w:r>
      <w:r>
        <w:rPr>
          <w:sz w:val="20"/>
        </w:rPr>
        <w:t>[their]</w:t>
      </w:r>
      <w:r>
        <w:rPr>
          <w:spacing w:val="-13"/>
          <w:sz w:val="20"/>
        </w:rPr>
        <w:t> </w:t>
      </w:r>
      <w:r>
        <w:rPr>
          <w:sz w:val="20"/>
        </w:rPr>
        <w:t>disability,</w:t>
      </w:r>
      <w:r>
        <w:rPr>
          <w:spacing w:val="-12"/>
          <w:sz w:val="20"/>
        </w:rPr>
        <w:t> </w:t>
      </w:r>
      <w:r>
        <w:rPr>
          <w:sz w:val="20"/>
        </w:rPr>
        <w:t>be</w:t>
      </w:r>
      <w:r>
        <w:rPr>
          <w:spacing w:val="-13"/>
          <w:sz w:val="20"/>
        </w:rPr>
        <w:t> </w:t>
      </w:r>
      <w:r>
        <w:rPr>
          <w:sz w:val="20"/>
        </w:rPr>
        <w:t>capable</w:t>
      </w:r>
      <w:r>
        <w:rPr>
          <w:spacing w:val="-13"/>
          <w:sz w:val="20"/>
        </w:rPr>
        <w:t> </w:t>
      </w:r>
      <w:r>
        <w:rPr>
          <w:sz w:val="20"/>
        </w:rPr>
        <w:t>of</w:t>
      </w:r>
      <w:r>
        <w:rPr>
          <w:spacing w:val="-12"/>
          <w:sz w:val="20"/>
        </w:rPr>
        <w:t> </w:t>
      </w:r>
      <w:r>
        <w:rPr>
          <w:sz w:val="20"/>
        </w:rPr>
        <w:t>acting</w:t>
      </w:r>
      <w:r>
        <w:rPr>
          <w:spacing w:val="-13"/>
          <w:sz w:val="20"/>
        </w:rPr>
        <w:t> </w:t>
      </w:r>
      <w:r>
        <w:rPr>
          <w:sz w:val="20"/>
        </w:rPr>
        <w:t>effectively</w:t>
      </w:r>
      <w:r>
        <w:rPr>
          <w:spacing w:val="-12"/>
          <w:sz w:val="20"/>
        </w:rPr>
        <w:t> </w:t>
      </w:r>
      <w:r>
        <w:rPr>
          <w:sz w:val="20"/>
        </w:rPr>
        <w:t>as</w:t>
      </w:r>
      <w:r>
        <w:rPr>
          <w:spacing w:val="-13"/>
          <w:sz w:val="20"/>
        </w:rPr>
        <w:t> </w:t>
      </w:r>
      <w:r>
        <w:rPr>
          <w:sz w:val="20"/>
        </w:rPr>
        <w:t>a </w:t>
      </w:r>
      <w:r>
        <w:rPr>
          <w:spacing w:val="-4"/>
          <w:sz w:val="20"/>
        </w:rPr>
        <w:t>juror,</w:t>
      </w:r>
      <w:r>
        <w:rPr>
          <w:spacing w:val="-12"/>
          <w:sz w:val="20"/>
        </w:rPr>
        <w:t> </w:t>
      </w:r>
      <w:r>
        <w:rPr>
          <w:sz w:val="20"/>
        </w:rPr>
        <w:t>in</w:t>
      </w:r>
      <w:r>
        <w:rPr>
          <w:spacing w:val="-11"/>
          <w:sz w:val="20"/>
        </w:rPr>
        <w:t> </w:t>
      </w:r>
      <w:r>
        <w:rPr>
          <w:sz w:val="20"/>
        </w:rPr>
        <w:t>which</w:t>
      </w:r>
      <w:r>
        <w:rPr>
          <w:spacing w:val="-11"/>
          <w:sz w:val="20"/>
        </w:rPr>
        <w:t> </w:t>
      </w:r>
      <w:r>
        <w:rPr>
          <w:sz w:val="20"/>
        </w:rPr>
        <w:t>case</w:t>
      </w:r>
      <w:r>
        <w:rPr>
          <w:spacing w:val="-11"/>
          <w:sz w:val="20"/>
        </w:rPr>
        <w:t> </w:t>
      </w:r>
      <w:r>
        <w:rPr>
          <w:sz w:val="20"/>
        </w:rPr>
        <w:t>[the</w:t>
      </w:r>
      <w:r>
        <w:rPr>
          <w:spacing w:val="-12"/>
          <w:sz w:val="20"/>
        </w:rPr>
        <w:t> </w:t>
      </w:r>
      <w:r>
        <w:rPr>
          <w:sz w:val="20"/>
        </w:rPr>
        <w:t>judge]</w:t>
      </w:r>
      <w:r>
        <w:rPr>
          <w:spacing w:val="-11"/>
          <w:sz w:val="20"/>
        </w:rPr>
        <w:t> </w:t>
      </w:r>
      <w:r>
        <w:rPr>
          <w:sz w:val="20"/>
        </w:rPr>
        <w:t>shall</w:t>
      </w:r>
      <w:r>
        <w:rPr>
          <w:spacing w:val="-11"/>
          <w:sz w:val="20"/>
        </w:rPr>
        <w:t> </w:t>
      </w:r>
      <w:r>
        <w:rPr>
          <w:sz w:val="20"/>
        </w:rPr>
        <w:t>discharge</w:t>
      </w:r>
      <w:r>
        <w:rPr>
          <w:spacing w:val="-11"/>
          <w:sz w:val="20"/>
        </w:rPr>
        <w:t> </w:t>
      </w:r>
      <w:r>
        <w:rPr>
          <w:sz w:val="20"/>
        </w:rPr>
        <w:t>the</w:t>
      </w:r>
      <w:r>
        <w:rPr>
          <w:spacing w:val="-12"/>
          <w:sz w:val="20"/>
        </w:rPr>
        <w:t> </w:t>
      </w:r>
      <w:r>
        <w:rPr>
          <w:sz w:val="20"/>
        </w:rPr>
        <w:t>summons’.</w:t>
      </w:r>
      <w:r>
        <w:rPr>
          <w:position w:val="7"/>
          <w:sz w:val="11"/>
        </w:rPr>
        <w:t>29</w:t>
      </w:r>
      <w:r>
        <w:rPr>
          <w:spacing w:val="14"/>
          <w:position w:val="7"/>
          <w:sz w:val="11"/>
        </w:rPr>
        <w:t> </w:t>
      </w:r>
      <w:r>
        <w:rPr>
          <w:sz w:val="20"/>
        </w:rPr>
        <w:t>If</w:t>
      </w:r>
      <w:r>
        <w:rPr>
          <w:spacing w:val="-11"/>
          <w:sz w:val="20"/>
        </w:rPr>
        <w:t> </w:t>
      </w:r>
      <w:r>
        <w:rPr>
          <w:sz w:val="20"/>
        </w:rPr>
        <w:t>the</w:t>
      </w:r>
      <w:r>
        <w:rPr>
          <w:spacing w:val="-12"/>
          <w:sz w:val="20"/>
        </w:rPr>
        <w:t> </w:t>
      </w:r>
      <w:r>
        <w:rPr>
          <w:sz w:val="20"/>
        </w:rPr>
        <w:t>potential</w:t>
      </w:r>
      <w:r>
        <w:rPr>
          <w:spacing w:val="-11"/>
          <w:sz w:val="20"/>
        </w:rPr>
        <w:t> </w:t>
      </w:r>
      <w:r>
        <w:rPr>
          <w:sz w:val="20"/>
        </w:rPr>
        <w:t>juror is</w:t>
      </w:r>
      <w:r>
        <w:rPr>
          <w:spacing w:val="-9"/>
          <w:sz w:val="20"/>
        </w:rPr>
        <w:t> </w:t>
      </w:r>
      <w:r>
        <w:rPr>
          <w:spacing w:val="-4"/>
          <w:sz w:val="20"/>
        </w:rPr>
        <w:t>deaf,</w:t>
      </w:r>
      <w:r>
        <w:rPr>
          <w:spacing w:val="-9"/>
          <w:sz w:val="20"/>
        </w:rPr>
        <w:t> </w:t>
      </w:r>
      <w:r>
        <w:rPr>
          <w:sz w:val="20"/>
        </w:rPr>
        <w:t>the</w:t>
      </w:r>
      <w:r>
        <w:rPr>
          <w:spacing w:val="-9"/>
          <w:sz w:val="20"/>
        </w:rPr>
        <w:t> </w:t>
      </w:r>
      <w:r>
        <w:rPr>
          <w:sz w:val="20"/>
        </w:rPr>
        <w:t>judge</w:t>
      </w:r>
      <w:r>
        <w:rPr>
          <w:spacing w:val="-9"/>
          <w:sz w:val="20"/>
        </w:rPr>
        <w:t> </w:t>
      </w:r>
      <w:r>
        <w:rPr>
          <w:sz w:val="20"/>
        </w:rPr>
        <w:t>must</w:t>
      </w:r>
      <w:r>
        <w:rPr>
          <w:spacing w:val="-9"/>
          <w:sz w:val="20"/>
        </w:rPr>
        <w:t> </w:t>
      </w:r>
      <w:r>
        <w:rPr>
          <w:sz w:val="20"/>
        </w:rPr>
        <w:t>consider</w:t>
      </w:r>
      <w:r>
        <w:rPr>
          <w:spacing w:val="-9"/>
          <w:sz w:val="20"/>
        </w:rPr>
        <w:t> </w:t>
      </w:r>
      <w:r>
        <w:rPr>
          <w:sz w:val="20"/>
        </w:rPr>
        <w:t>‘whether</w:t>
      </w:r>
      <w:r>
        <w:rPr>
          <w:spacing w:val="-9"/>
          <w:sz w:val="20"/>
        </w:rPr>
        <w:t> </w:t>
      </w:r>
      <w:r>
        <w:rPr>
          <w:sz w:val="20"/>
        </w:rPr>
        <w:t>the</w:t>
      </w:r>
      <w:r>
        <w:rPr>
          <w:spacing w:val="-9"/>
          <w:sz w:val="20"/>
        </w:rPr>
        <w:t> </w:t>
      </w:r>
      <w:r>
        <w:rPr>
          <w:sz w:val="20"/>
        </w:rPr>
        <w:t>assistance</w:t>
      </w:r>
      <w:r>
        <w:rPr>
          <w:spacing w:val="-9"/>
          <w:sz w:val="20"/>
        </w:rPr>
        <w:t> </w:t>
      </w:r>
      <w:r>
        <w:rPr>
          <w:sz w:val="20"/>
        </w:rPr>
        <w:t>of</w:t>
      </w:r>
      <w:r>
        <w:rPr>
          <w:spacing w:val="-9"/>
          <w:sz w:val="20"/>
        </w:rPr>
        <w:t> </w:t>
      </w:r>
      <w:r>
        <w:rPr>
          <w:sz w:val="20"/>
        </w:rPr>
        <w:t>a</w:t>
      </w:r>
      <w:r>
        <w:rPr>
          <w:spacing w:val="-8"/>
          <w:sz w:val="20"/>
        </w:rPr>
        <w:t> </w:t>
      </w:r>
      <w:r>
        <w:rPr>
          <w:sz w:val="20"/>
        </w:rPr>
        <w:t>British</w:t>
      </w:r>
      <w:r>
        <w:rPr>
          <w:spacing w:val="-9"/>
          <w:sz w:val="20"/>
        </w:rPr>
        <w:t> </w:t>
      </w:r>
      <w:r>
        <w:rPr>
          <w:sz w:val="20"/>
        </w:rPr>
        <w:t>Sign</w:t>
      </w:r>
      <w:r>
        <w:rPr>
          <w:spacing w:val="-9"/>
          <w:sz w:val="20"/>
        </w:rPr>
        <w:t> </w:t>
      </w:r>
      <w:r>
        <w:rPr>
          <w:sz w:val="20"/>
        </w:rPr>
        <w:t>Language </w:t>
      </w:r>
      <w:r>
        <w:rPr>
          <w:spacing w:val="-3"/>
          <w:sz w:val="20"/>
        </w:rPr>
        <w:t>interpreter</w:t>
      </w:r>
      <w:r>
        <w:rPr>
          <w:spacing w:val="-10"/>
          <w:sz w:val="20"/>
        </w:rPr>
        <w:t> </w:t>
      </w:r>
      <w:r>
        <w:rPr>
          <w:spacing w:val="-3"/>
          <w:sz w:val="20"/>
        </w:rPr>
        <w:t>would</w:t>
      </w:r>
      <w:r>
        <w:rPr>
          <w:spacing w:val="-9"/>
          <w:sz w:val="20"/>
        </w:rPr>
        <w:t> </w:t>
      </w:r>
      <w:r>
        <w:rPr>
          <w:sz w:val="20"/>
        </w:rPr>
        <w:t>enable</w:t>
      </w:r>
      <w:r>
        <w:rPr>
          <w:spacing w:val="-9"/>
          <w:sz w:val="20"/>
        </w:rPr>
        <w:t> </w:t>
      </w:r>
      <w:r>
        <w:rPr>
          <w:sz w:val="20"/>
        </w:rPr>
        <w:t>that</w:t>
      </w:r>
      <w:r>
        <w:rPr>
          <w:spacing w:val="-9"/>
          <w:sz w:val="20"/>
        </w:rPr>
        <w:t> </w:t>
      </w:r>
      <w:r>
        <w:rPr>
          <w:sz w:val="20"/>
        </w:rPr>
        <w:t>person</w:t>
      </w:r>
      <w:r>
        <w:rPr>
          <w:spacing w:val="-9"/>
          <w:sz w:val="20"/>
        </w:rPr>
        <w:t> </w:t>
      </w:r>
      <w:r>
        <w:rPr>
          <w:sz w:val="20"/>
        </w:rPr>
        <w:t>to</w:t>
      </w:r>
      <w:r>
        <w:rPr>
          <w:spacing w:val="-10"/>
          <w:sz w:val="20"/>
        </w:rPr>
        <w:t> </w:t>
      </w:r>
      <w:r>
        <w:rPr>
          <w:sz w:val="20"/>
        </w:rPr>
        <w:t>be</w:t>
      </w:r>
      <w:r>
        <w:rPr>
          <w:spacing w:val="-9"/>
          <w:sz w:val="20"/>
        </w:rPr>
        <w:t> </w:t>
      </w:r>
      <w:r>
        <w:rPr>
          <w:sz w:val="20"/>
        </w:rPr>
        <w:t>capable</w:t>
      </w:r>
      <w:r>
        <w:rPr>
          <w:spacing w:val="-9"/>
          <w:sz w:val="20"/>
        </w:rPr>
        <w:t> </w:t>
      </w:r>
      <w:r>
        <w:rPr>
          <w:sz w:val="20"/>
        </w:rPr>
        <w:t>of</w:t>
      </w:r>
      <w:r>
        <w:rPr>
          <w:spacing w:val="-9"/>
          <w:sz w:val="20"/>
        </w:rPr>
        <w:t> </w:t>
      </w:r>
      <w:r>
        <w:rPr>
          <w:sz w:val="20"/>
        </w:rPr>
        <w:t>acting</w:t>
      </w:r>
      <w:r>
        <w:rPr>
          <w:spacing w:val="-9"/>
          <w:sz w:val="20"/>
        </w:rPr>
        <w:t> </w:t>
      </w:r>
      <w:r>
        <w:rPr>
          <w:sz w:val="20"/>
        </w:rPr>
        <w:t>effectively</w:t>
      </w:r>
      <w:r>
        <w:rPr>
          <w:spacing w:val="-9"/>
          <w:sz w:val="20"/>
        </w:rPr>
        <w:t> </w:t>
      </w:r>
      <w:r>
        <w:rPr>
          <w:sz w:val="20"/>
        </w:rPr>
        <w:t>as</w:t>
      </w:r>
      <w:r>
        <w:rPr>
          <w:spacing w:val="-10"/>
          <w:sz w:val="20"/>
        </w:rPr>
        <w:t> </w:t>
      </w:r>
      <w:r>
        <w:rPr>
          <w:sz w:val="20"/>
        </w:rPr>
        <w:t>a</w:t>
      </w:r>
      <w:r>
        <w:rPr>
          <w:spacing w:val="-9"/>
          <w:sz w:val="20"/>
        </w:rPr>
        <w:t> </w:t>
      </w:r>
      <w:r>
        <w:rPr>
          <w:spacing w:val="-3"/>
          <w:sz w:val="20"/>
        </w:rPr>
        <w:t>juror’.</w:t>
      </w:r>
      <w:r>
        <w:rPr>
          <w:spacing w:val="-3"/>
          <w:position w:val="7"/>
          <w:sz w:val="11"/>
        </w:rPr>
        <w:t>30</w:t>
      </w:r>
      <w:r>
        <w:rPr>
          <w:spacing w:val="-3"/>
          <w:sz w:val="11"/>
        </w:rPr>
        <w:t> </w:t>
      </w:r>
      <w:r>
        <w:rPr>
          <w:sz w:val="20"/>
        </w:rPr>
        <w:t>If </w:t>
      </w:r>
      <w:r>
        <w:rPr>
          <w:spacing w:val="-2"/>
          <w:sz w:val="20"/>
        </w:rPr>
        <w:t>so, </w:t>
      </w:r>
      <w:r>
        <w:rPr>
          <w:sz w:val="20"/>
        </w:rPr>
        <w:t>the judge </w:t>
      </w:r>
      <w:r>
        <w:rPr>
          <w:spacing w:val="-3"/>
          <w:sz w:val="20"/>
        </w:rPr>
        <w:t>now </w:t>
      </w:r>
      <w:r>
        <w:rPr>
          <w:sz w:val="20"/>
        </w:rPr>
        <w:t>has the </w:t>
      </w:r>
      <w:r>
        <w:rPr>
          <w:spacing w:val="-3"/>
          <w:sz w:val="20"/>
        </w:rPr>
        <w:t>power </w:t>
      </w:r>
      <w:r>
        <w:rPr>
          <w:sz w:val="20"/>
        </w:rPr>
        <w:t>to appoint one or more </w:t>
      </w:r>
      <w:r>
        <w:rPr>
          <w:spacing w:val="-3"/>
          <w:sz w:val="20"/>
        </w:rPr>
        <w:t>interpreters </w:t>
      </w:r>
      <w:r>
        <w:rPr>
          <w:sz w:val="20"/>
        </w:rPr>
        <w:t>to facilitate that</w:t>
      </w:r>
      <w:r>
        <w:rPr>
          <w:spacing w:val="-10"/>
          <w:sz w:val="20"/>
        </w:rPr>
        <w:t> </w:t>
      </w:r>
      <w:r>
        <w:rPr>
          <w:sz w:val="20"/>
        </w:rPr>
        <w:t>person’s</w:t>
      </w:r>
      <w:r>
        <w:rPr>
          <w:spacing w:val="-9"/>
          <w:sz w:val="20"/>
        </w:rPr>
        <w:t> </w:t>
      </w:r>
      <w:r>
        <w:rPr>
          <w:sz w:val="20"/>
        </w:rPr>
        <w:t>jury</w:t>
      </w:r>
      <w:r>
        <w:rPr>
          <w:spacing w:val="-9"/>
          <w:sz w:val="20"/>
        </w:rPr>
        <w:t> </w:t>
      </w:r>
      <w:r>
        <w:rPr>
          <w:sz w:val="20"/>
        </w:rPr>
        <w:t>service.</w:t>
      </w:r>
      <w:r>
        <w:rPr>
          <w:spacing w:val="-10"/>
          <w:sz w:val="20"/>
        </w:rPr>
        <w:t> </w:t>
      </w:r>
      <w:r>
        <w:rPr>
          <w:sz w:val="20"/>
        </w:rPr>
        <w:t>The</w:t>
      </w:r>
      <w:r>
        <w:rPr>
          <w:spacing w:val="-9"/>
          <w:sz w:val="20"/>
        </w:rPr>
        <w:t> </w:t>
      </w:r>
      <w:r>
        <w:rPr>
          <w:sz w:val="20"/>
        </w:rPr>
        <w:t>13th</w:t>
      </w:r>
      <w:r>
        <w:rPr>
          <w:spacing w:val="-9"/>
          <w:sz w:val="20"/>
        </w:rPr>
        <w:t> </w:t>
      </w:r>
      <w:r>
        <w:rPr>
          <w:sz w:val="20"/>
        </w:rPr>
        <w:t>person</w:t>
      </w:r>
      <w:r>
        <w:rPr>
          <w:spacing w:val="-10"/>
          <w:sz w:val="20"/>
        </w:rPr>
        <w:t> </w:t>
      </w:r>
      <w:r>
        <w:rPr>
          <w:sz w:val="20"/>
        </w:rPr>
        <w:t>rule</w:t>
      </w:r>
      <w:r>
        <w:rPr>
          <w:spacing w:val="-9"/>
          <w:sz w:val="20"/>
        </w:rPr>
        <w:t> </w:t>
      </w:r>
      <w:r>
        <w:rPr>
          <w:sz w:val="20"/>
        </w:rPr>
        <w:t>will</w:t>
      </w:r>
      <w:r>
        <w:rPr>
          <w:spacing w:val="-9"/>
          <w:sz w:val="20"/>
        </w:rPr>
        <w:t> </w:t>
      </w:r>
      <w:r>
        <w:rPr>
          <w:sz w:val="20"/>
        </w:rPr>
        <w:t>continue</w:t>
      </w:r>
      <w:r>
        <w:rPr>
          <w:spacing w:val="-10"/>
          <w:sz w:val="20"/>
        </w:rPr>
        <w:t> </w:t>
      </w:r>
      <w:r>
        <w:rPr>
          <w:sz w:val="20"/>
        </w:rPr>
        <w:t>to</w:t>
      </w:r>
      <w:r>
        <w:rPr>
          <w:spacing w:val="-9"/>
          <w:sz w:val="20"/>
        </w:rPr>
        <w:t> </w:t>
      </w:r>
      <w:r>
        <w:rPr>
          <w:spacing w:val="-4"/>
          <w:sz w:val="20"/>
        </w:rPr>
        <w:t>prevent</w:t>
      </w:r>
      <w:r>
        <w:rPr>
          <w:spacing w:val="-9"/>
          <w:sz w:val="20"/>
        </w:rPr>
        <w:t> </w:t>
      </w:r>
      <w:r>
        <w:rPr>
          <w:sz w:val="20"/>
        </w:rPr>
        <w:t>a</w:t>
      </w:r>
      <w:r>
        <w:rPr>
          <w:spacing w:val="-10"/>
          <w:sz w:val="20"/>
        </w:rPr>
        <w:t> </w:t>
      </w:r>
      <w:r>
        <w:rPr>
          <w:sz w:val="20"/>
        </w:rPr>
        <w:t>juror</w:t>
      </w:r>
      <w:r>
        <w:rPr>
          <w:spacing w:val="-9"/>
          <w:sz w:val="20"/>
        </w:rPr>
        <w:t> </w:t>
      </w:r>
      <w:r>
        <w:rPr>
          <w:spacing w:val="-3"/>
          <w:sz w:val="20"/>
        </w:rPr>
        <w:t>from </w:t>
      </w:r>
      <w:r>
        <w:rPr>
          <w:sz w:val="20"/>
        </w:rPr>
        <w:t>obtaining assistance </w:t>
      </w:r>
      <w:r>
        <w:rPr>
          <w:spacing w:val="-3"/>
          <w:sz w:val="20"/>
        </w:rPr>
        <w:t>from </w:t>
      </w:r>
      <w:r>
        <w:rPr>
          <w:sz w:val="20"/>
        </w:rPr>
        <w:t>a </w:t>
      </w:r>
      <w:r>
        <w:rPr>
          <w:spacing w:val="-3"/>
          <w:sz w:val="20"/>
        </w:rPr>
        <w:t>non-juror, </w:t>
      </w:r>
      <w:r>
        <w:rPr>
          <w:sz w:val="20"/>
        </w:rPr>
        <w:t>other than a British Sign Language (BSL) </w:t>
      </w:r>
      <w:r>
        <w:rPr>
          <w:spacing w:val="-4"/>
          <w:sz w:val="20"/>
        </w:rPr>
        <w:t>interpreter, </w:t>
      </w:r>
      <w:r>
        <w:rPr>
          <w:sz w:val="20"/>
        </w:rPr>
        <w:t>in jury</w:t>
      </w:r>
      <w:r>
        <w:rPr>
          <w:spacing w:val="-9"/>
          <w:sz w:val="20"/>
        </w:rPr>
        <w:t> </w:t>
      </w:r>
      <w:r>
        <w:rPr>
          <w:sz w:val="20"/>
        </w:rPr>
        <w:t>deliberations.</w:t>
      </w:r>
    </w:p>
    <w:p>
      <w:pPr>
        <w:pStyle w:val="ListParagraph"/>
        <w:numPr>
          <w:ilvl w:val="2"/>
          <w:numId w:val="12"/>
        </w:numPr>
        <w:tabs>
          <w:tab w:pos="2157" w:val="left" w:leader="none"/>
          <w:tab w:pos="2158" w:val="left" w:leader="none"/>
        </w:tabs>
        <w:spacing w:line="206" w:lineRule="auto" w:before="97" w:after="0"/>
        <w:ind w:left="2157" w:right="1654" w:hanging="396"/>
        <w:jc w:val="left"/>
        <w:rPr>
          <w:sz w:val="11"/>
        </w:rPr>
      </w:pPr>
      <w:r>
        <w:rPr>
          <w:sz w:val="20"/>
        </w:rPr>
        <w:t>The judge could choose to </w:t>
      </w:r>
      <w:r>
        <w:rPr>
          <w:spacing w:val="-3"/>
          <w:sz w:val="20"/>
        </w:rPr>
        <w:t>release </w:t>
      </w:r>
      <w:r>
        <w:rPr>
          <w:sz w:val="20"/>
        </w:rPr>
        <w:t>the potential juror </w:t>
      </w:r>
      <w:r>
        <w:rPr>
          <w:spacing w:val="-3"/>
          <w:sz w:val="20"/>
        </w:rPr>
        <w:t>from </w:t>
      </w:r>
      <w:r>
        <w:rPr>
          <w:sz w:val="20"/>
        </w:rPr>
        <w:t>the panel or </w:t>
      </w:r>
      <w:r>
        <w:rPr>
          <w:spacing w:val="-3"/>
          <w:sz w:val="20"/>
        </w:rPr>
        <w:t>from </w:t>
      </w:r>
      <w:r>
        <w:rPr>
          <w:sz w:val="20"/>
        </w:rPr>
        <w:t>service</w:t>
      </w:r>
      <w:r>
        <w:rPr>
          <w:spacing w:val="-12"/>
          <w:sz w:val="20"/>
        </w:rPr>
        <w:t> </w:t>
      </w:r>
      <w:r>
        <w:rPr>
          <w:spacing w:val="-4"/>
          <w:sz w:val="20"/>
        </w:rPr>
        <w:t>entirely,</w:t>
      </w:r>
      <w:r>
        <w:rPr>
          <w:spacing w:val="-11"/>
          <w:sz w:val="20"/>
        </w:rPr>
        <w:t> </w:t>
      </w:r>
      <w:r>
        <w:rPr>
          <w:sz w:val="20"/>
        </w:rPr>
        <w:t>or</w:t>
      </w:r>
      <w:r>
        <w:rPr>
          <w:spacing w:val="-11"/>
          <w:sz w:val="20"/>
        </w:rPr>
        <w:t> </w:t>
      </w:r>
      <w:r>
        <w:rPr>
          <w:sz w:val="20"/>
        </w:rPr>
        <w:t>if</w:t>
      </w:r>
      <w:r>
        <w:rPr>
          <w:spacing w:val="-12"/>
          <w:sz w:val="20"/>
        </w:rPr>
        <w:t> </w:t>
      </w:r>
      <w:r>
        <w:rPr>
          <w:sz w:val="20"/>
        </w:rPr>
        <w:t>not,</w:t>
      </w:r>
      <w:r>
        <w:rPr>
          <w:spacing w:val="-11"/>
          <w:sz w:val="20"/>
        </w:rPr>
        <w:t> </w:t>
      </w:r>
      <w:r>
        <w:rPr>
          <w:sz w:val="20"/>
        </w:rPr>
        <w:t>decide</w:t>
      </w:r>
      <w:r>
        <w:rPr>
          <w:spacing w:val="-11"/>
          <w:sz w:val="20"/>
        </w:rPr>
        <w:t> </w:t>
      </w:r>
      <w:r>
        <w:rPr>
          <w:sz w:val="20"/>
        </w:rPr>
        <w:t>that</w:t>
      </w:r>
      <w:r>
        <w:rPr>
          <w:spacing w:val="-11"/>
          <w:sz w:val="20"/>
        </w:rPr>
        <w:t> </w:t>
      </w:r>
      <w:r>
        <w:rPr>
          <w:sz w:val="20"/>
        </w:rPr>
        <w:t>the</w:t>
      </w:r>
      <w:r>
        <w:rPr>
          <w:spacing w:val="-12"/>
          <w:sz w:val="20"/>
        </w:rPr>
        <w:t> </w:t>
      </w:r>
      <w:r>
        <w:rPr>
          <w:sz w:val="20"/>
        </w:rPr>
        <w:t>potential</w:t>
      </w:r>
      <w:r>
        <w:rPr>
          <w:spacing w:val="-11"/>
          <w:sz w:val="20"/>
        </w:rPr>
        <w:t> </w:t>
      </w:r>
      <w:r>
        <w:rPr>
          <w:sz w:val="20"/>
        </w:rPr>
        <w:t>juror</w:t>
      </w:r>
      <w:r>
        <w:rPr>
          <w:spacing w:val="-11"/>
          <w:sz w:val="20"/>
        </w:rPr>
        <w:t> </w:t>
      </w:r>
      <w:r>
        <w:rPr>
          <w:sz w:val="20"/>
        </w:rPr>
        <w:t>could</w:t>
      </w:r>
      <w:r>
        <w:rPr>
          <w:spacing w:val="-11"/>
          <w:sz w:val="20"/>
        </w:rPr>
        <w:t> </w:t>
      </w:r>
      <w:r>
        <w:rPr>
          <w:spacing w:val="-3"/>
          <w:sz w:val="20"/>
        </w:rPr>
        <w:t>fully</w:t>
      </w:r>
      <w:r>
        <w:rPr>
          <w:spacing w:val="-12"/>
          <w:sz w:val="20"/>
        </w:rPr>
        <w:t> </w:t>
      </w:r>
      <w:r>
        <w:rPr>
          <w:sz w:val="20"/>
        </w:rPr>
        <w:t>participate.</w:t>
      </w:r>
      <w:r>
        <w:rPr>
          <w:position w:val="7"/>
          <w:sz w:val="11"/>
        </w:rPr>
        <w:t>31</w:t>
      </w:r>
    </w:p>
    <w:p>
      <w:pPr>
        <w:pStyle w:val="ListParagraph"/>
        <w:numPr>
          <w:ilvl w:val="2"/>
          <w:numId w:val="12"/>
        </w:numPr>
        <w:tabs>
          <w:tab w:pos="2157" w:val="left" w:leader="none"/>
          <w:tab w:pos="2158" w:val="left" w:leader="none"/>
        </w:tabs>
        <w:spacing w:line="206" w:lineRule="auto" w:before="87" w:after="0"/>
        <w:ind w:left="2157" w:right="1428" w:hanging="396"/>
        <w:jc w:val="left"/>
        <w:rPr>
          <w:sz w:val="11"/>
        </w:rPr>
      </w:pPr>
      <w:r>
        <w:rPr>
          <w:sz w:val="20"/>
        </w:rPr>
        <w:t>Her Majesty’s Courts and </w:t>
      </w:r>
      <w:r>
        <w:rPr>
          <w:spacing w:val="-4"/>
          <w:sz w:val="20"/>
        </w:rPr>
        <w:t>Tribunal </w:t>
      </w:r>
      <w:r>
        <w:rPr>
          <w:sz w:val="20"/>
        </w:rPr>
        <w:t>Service </w:t>
      </w:r>
      <w:r>
        <w:rPr>
          <w:spacing w:val="-3"/>
          <w:sz w:val="20"/>
        </w:rPr>
        <w:t>(HMCTS) </w:t>
      </w:r>
      <w:r>
        <w:rPr>
          <w:sz w:val="20"/>
        </w:rPr>
        <w:t>has advised that if the situation is addressed at the start of or </w:t>
      </w:r>
      <w:r>
        <w:rPr>
          <w:spacing w:val="-3"/>
          <w:sz w:val="20"/>
        </w:rPr>
        <w:t>before </w:t>
      </w:r>
      <w:r>
        <w:rPr>
          <w:sz w:val="20"/>
        </w:rPr>
        <w:t>jury service, the assessment </w:t>
      </w:r>
      <w:r>
        <w:rPr>
          <w:spacing w:val="-3"/>
          <w:sz w:val="20"/>
        </w:rPr>
        <w:t>by </w:t>
      </w:r>
      <w:r>
        <w:rPr>
          <w:sz w:val="20"/>
        </w:rPr>
        <w:t>the judge is about capacity to serve generally </w:t>
      </w:r>
      <w:r>
        <w:rPr>
          <w:spacing w:val="-3"/>
          <w:sz w:val="20"/>
        </w:rPr>
        <w:t>across </w:t>
      </w:r>
      <w:r>
        <w:rPr>
          <w:sz w:val="20"/>
        </w:rPr>
        <w:t>all trials. The judge </w:t>
      </w:r>
      <w:r>
        <w:rPr>
          <w:spacing w:val="-3"/>
          <w:sz w:val="20"/>
        </w:rPr>
        <w:t>makes </w:t>
      </w:r>
      <w:r>
        <w:rPr>
          <w:sz w:val="20"/>
        </w:rPr>
        <w:t>their assessment </w:t>
      </w:r>
      <w:r>
        <w:rPr>
          <w:spacing w:val="-3"/>
          <w:sz w:val="20"/>
        </w:rPr>
        <w:t>by </w:t>
      </w:r>
      <w:r>
        <w:rPr>
          <w:sz w:val="20"/>
        </w:rPr>
        <w:t>speaking to the juror and asking questions. If the juror has been selected to form part of a panel </w:t>
      </w:r>
      <w:r>
        <w:rPr>
          <w:spacing w:val="-3"/>
          <w:sz w:val="20"/>
        </w:rPr>
        <w:t>from </w:t>
      </w:r>
      <w:r>
        <w:rPr>
          <w:sz w:val="20"/>
        </w:rPr>
        <w:t>which a jury is selected and needs reasonable</w:t>
      </w:r>
      <w:r>
        <w:rPr>
          <w:spacing w:val="-11"/>
          <w:sz w:val="20"/>
        </w:rPr>
        <w:t> </w:t>
      </w:r>
      <w:r>
        <w:rPr>
          <w:sz w:val="20"/>
        </w:rPr>
        <w:t>adjustments</w:t>
      </w:r>
      <w:r>
        <w:rPr>
          <w:spacing w:val="-11"/>
          <w:sz w:val="20"/>
        </w:rPr>
        <w:t> </w:t>
      </w:r>
      <w:r>
        <w:rPr>
          <w:sz w:val="20"/>
        </w:rPr>
        <w:t>to</w:t>
      </w:r>
      <w:r>
        <w:rPr>
          <w:spacing w:val="-11"/>
          <w:sz w:val="20"/>
        </w:rPr>
        <w:t> </w:t>
      </w:r>
      <w:r>
        <w:rPr>
          <w:sz w:val="20"/>
        </w:rPr>
        <w:t>participate,</w:t>
      </w:r>
      <w:r>
        <w:rPr>
          <w:spacing w:val="-10"/>
          <w:sz w:val="20"/>
        </w:rPr>
        <w:t> </w:t>
      </w:r>
      <w:r>
        <w:rPr>
          <w:sz w:val="20"/>
        </w:rPr>
        <w:t>the</w:t>
      </w:r>
      <w:r>
        <w:rPr>
          <w:spacing w:val="-11"/>
          <w:sz w:val="20"/>
        </w:rPr>
        <w:t> </w:t>
      </w:r>
      <w:r>
        <w:rPr>
          <w:sz w:val="20"/>
        </w:rPr>
        <w:t>judge</w:t>
      </w:r>
      <w:r>
        <w:rPr>
          <w:spacing w:val="-11"/>
          <w:sz w:val="20"/>
        </w:rPr>
        <w:t> </w:t>
      </w:r>
      <w:r>
        <w:rPr>
          <w:spacing w:val="-3"/>
          <w:sz w:val="20"/>
        </w:rPr>
        <w:t>may</w:t>
      </w:r>
      <w:r>
        <w:rPr>
          <w:spacing w:val="-11"/>
          <w:sz w:val="20"/>
        </w:rPr>
        <w:t> </w:t>
      </w:r>
      <w:r>
        <w:rPr>
          <w:sz w:val="20"/>
        </w:rPr>
        <w:t>consider</w:t>
      </w:r>
      <w:r>
        <w:rPr>
          <w:spacing w:val="-10"/>
          <w:sz w:val="20"/>
        </w:rPr>
        <w:t> </w:t>
      </w:r>
      <w:r>
        <w:rPr>
          <w:sz w:val="20"/>
        </w:rPr>
        <w:t>the</w:t>
      </w:r>
      <w:r>
        <w:rPr>
          <w:spacing w:val="-11"/>
          <w:sz w:val="20"/>
        </w:rPr>
        <w:t> </w:t>
      </w:r>
      <w:r>
        <w:rPr>
          <w:spacing w:val="-3"/>
          <w:sz w:val="20"/>
        </w:rPr>
        <w:t>nature</w:t>
      </w:r>
      <w:r>
        <w:rPr>
          <w:spacing w:val="-11"/>
          <w:sz w:val="20"/>
        </w:rPr>
        <w:t> </w:t>
      </w:r>
      <w:r>
        <w:rPr>
          <w:sz w:val="20"/>
        </w:rPr>
        <w:t>of</w:t>
      </w:r>
      <w:r>
        <w:rPr>
          <w:spacing w:val="-11"/>
          <w:sz w:val="20"/>
        </w:rPr>
        <w:t> </w:t>
      </w:r>
      <w:r>
        <w:rPr>
          <w:sz w:val="20"/>
        </w:rPr>
        <w:t>the evidence in that particular trial. </w:t>
      </w:r>
      <w:r>
        <w:rPr>
          <w:spacing w:val="-3"/>
          <w:sz w:val="20"/>
        </w:rPr>
        <w:t>For example, </w:t>
      </w:r>
      <w:r>
        <w:rPr>
          <w:sz w:val="20"/>
        </w:rPr>
        <w:t>if the juror is partially sighted and there</w:t>
      </w:r>
      <w:r>
        <w:rPr>
          <w:spacing w:val="-8"/>
          <w:sz w:val="20"/>
        </w:rPr>
        <w:t> </w:t>
      </w:r>
      <w:r>
        <w:rPr>
          <w:sz w:val="20"/>
        </w:rPr>
        <w:t>is</w:t>
      </w:r>
      <w:r>
        <w:rPr>
          <w:spacing w:val="-8"/>
          <w:sz w:val="20"/>
        </w:rPr>
        <w:t> </w:t>
      </w:r>
      <w:r>
        <w:rPr>
          <w:sz w:val="20"/>
        </w:rPr>
        <w:t>a</w:t>
      </w:r>
      <w:r>
        <w:rPr>
          <w:spacing w:val="-8"/>
          <w:sz w:val="20"/>
        </w:rPr>
        <w:t> </w:t>
      </w:r>
      <w:r>
        <w:rPr>
          <w:spacing w:val="-3"/>
          <w:sz w:val="20"/>
        </w:rPr>
        <w:t>lot</w:t>
      </w:r>
      <w:r>
        <w:rPr>
          <w:spacing w:val="-8"/>
          <w:sz w:val="20"/>
        </w:rPr>
        <w:t> </w:t>
      </w:r>
      <w:r>
        <w:rPr>
          <w:sz w:val="20"/>
        </w:rPr>
        <w:t>of</w:t>
      </w:r>
      <w:r>
        <w:rPr>
          <w:spacing w:val="-8"/>
          <w:sz w:val="20"/>
        </w:rPr>
        <w:t> </w:t>
      </w:r>
      <w:r>
        <w:rPr>
          <w:sz w:val="20"/>
        </w:rPr>
        <w:t>visual</w:t>
      </w:r>
      <w:r>
        <w:rPr>
          <w:spacing w:val="-8"/>
          <w:sz w:val="20"/>
        </w:rPr>
        <w:t> </w:t>
      </w:r>
      <w:r>
        <w:rPr>
          <w:spacing w:val="-3"/>
          <w:sz w:val="20"/>
        </w:rPr>
        <w:t>evidence,</w:t>
      </w:r>
      <w:r>
        <w:rPr>
          <w:spacing w:val="-8"/>
          <w:sz w:val="20"/>
        </w:rPr>
        <w:t> </w:t>
      </w:r>
      <w:r>
        <w:rPr>
          <w:sz w:val="20"/>
        </w:rPr>
        <w:t>the</w:t>
      </w:r>
      <w:r>
        <w:rPr>
          <w:spacing w:val="-8"/>
          <w:sz w:val="20"/>
        </w:rPr>
        <w:t> </w:t>
      </w:r>
      <w:r>
        <w:rPr>
          <w:sz w:val="20"/>
        </w:rPr>
        <w:t>judge</w:t>
      </w:r>
      <w:r>
        <w:rPr>
          <w:spacing w:val="-8"/>
          <w:sz w:val="20"/>
        </w:rPr>
        <w:t> </w:t>
      </w:r>
      <w:r>
        <w:rPr>
          <w:spacing w:val="-3"/>
          <w:sz w:val="20"/>
        </w:rPr>
        <w:t>may</w:t>
      </w:r>
      <w:r>
        <w:rPr>
          <w:spacing w:val="-7"/>
          <w:sz w:val="20"/>
        </w:rPr>
        <w:t> </w:t>
      </w:r>
      <w:r>
        <w:rPr>
          <w:sz w:val="20"/>
        </w:rPr>
        <w:t>decide</w:t>
      </w:r>
      <w:r>
        <w:rPr>
          <w:spacing w:val="-8"/>
          <w:sz w:val="20"/>
        </w:rPr>
        <w:t> </w:t>
      </w:r>
      <w:r>
        <w:rPr>
          <w:sz w:val="20"/>
        </w:rPr>
        <w:t>that</w:t>
      </w:r>
      <w:r>
        <w:rPr>
          <w:spacing w:val="-8"/>
          <w:sz w:val="20"/>
        </w:rPr>
        <w:t> </w:t>
      </w:r>
      <w:r>
        <w:rPr>
          <w:sz w:val="20"/>
        </w:rPr>
        <w:t>the</w:t>
      </w:r>
      <w:r>
        <w:rPr>
          <w:spacing w:val="-8"/>
          <w:sz w:val="20"/>
        </w:rPr>
        <w:t> </w:t>
      </w:r>
      <w:r>
        <w:rPr>
          <w:sz w:val="20"/>
        </w:rPr>
        <w:t>juror</w:t>
      </w:r>
      <w:r>
        <w:rPr>
          <w:spacing w:val="-8"/>
          <w:sz w:val="20"/>
        </w:rPr>
        <w:t> </w:t>
      </w:r>
      <w:r>
        <w:rPr>
          <w:spacing w:val="-3"/>
          <w:sz w:val="20"/>
        </w:rPr>
        <w:t>would</w:t>
      </w:r>
      <w:r>
        <w:rPr>
          <w:spacing w:val="-8"/>
          <w:sz w:val="20"/>
        </w:rPr>
        <w:t> </w:t>
      </w:r>
      <w:r>
        <w:rPr>
          <w:sz w:val="20"/>
        </w:rPr>
        <w:t>not</w:t>
      </w:r>
      <w:r>
        <w:rPr>
          <w:spacing w:val="-8"/>
          <w:sz w:val="20"/>
        </w:rPr>
        <w:t> </w:t>
      </w:r>
      <w:r>
        <w:rPr>
          <w:sz w:val="20"/>
        </w:rPr>
        <w:t>be able to </w:t>
      </w:r>
      <w:r>
        <w:rPr>
          <w:spacing w:val="-3"/>
          <w:sz w:val="20"/>
        </w:rPr>
        <w:t>fully</w:t>
      </w:r>
      <w:r>
        <w:rPr>
          <w:spacing w:val="-13"/>
          <w:sz w:val="20"/>
        </w:rPr>
        <w:t> </w:t>
      </w:r>
      <w:r>
        <w:rPr>
          <w:sz w:val="20"/>
        </w:rPr>
        <w:t>participate.</w:t>
      </w:r>
      <w:r>
        <w:rPr>
          <w:position w:val="7"/>
          <w:sz w:val="11"/>
        </w:rPr>
        <w:t>32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1"/>
        </w:rPr>
      </w:pPr>
      <w:r>
        <w:rPr/>
        <w:pict>
          <v:line style="position:absolute;mso-position-horizontal-relative:page;mso-position-vertical-relative:paragraph;z-index:7328;mso-wrap-distance-left:0;mso-wrap-distance-right:0" from="79.370102pt,10.366pt" to="515.905102pt,10.366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spacing w:before="2"/>
        <w:rPr>
          <w:sz w:val="40"/>
        </w:rPr>
      </w:pPr>
    </w:p>
    <w:p>
      <w:pPr>
        <w:spacing w:before="0"/>
        <w:ind w:left="100" w:right="0" w:firstLine="0"/>
        <w:jc w:val="left"/>
        <w:rPr>
          <w:b/>
          <w:sz w:val="24"/>
        </w:rPr>
      </w:pPr>
      <w:r>
        <w:rPr>
          <w:b/>
          <w:color w:val="37617A"/>
          <w:sz w:val="24"/>
        </w:rPr>
        <w:t>126</w:t>
      </w:r>
    </w:p>
    <w:p>
      <w:pPr>
        <w:pStyle w:val="ListParagraph"/>
        <w:numPr>
          <w:ilvl w:val="0"/>
          <w:numId w:val="87"/>
        </w:numPr>
        <w:tabs>
          <w:tab w:pos="893" w:val="left" w:leader="none"/>
          <w:tab w:pos="894" w:val="left" w:leader="none"/>
        </w:tabs>
        <w:spacing w:line="170" w:lineRule="exact" w:before="21" w:after="0"/>
        <w:ind w:left="893" w:right="0" w:hanging="793"/>
        <w:jc w:val="left"/>
        <w:rPr>
          <w:sz w:val="13"/>
        </w:rPr>
      </w:pPr>
      <w:r>
        <w:rPr>
          <w:spacing w:val="2"/>
          <w:w w:val="100"/>
          <w:sz w:val="13"/>
        </w:rPr>
        <w:br w:type="column"/>
      </w:r>
      <w:r>
        <w:rPr>
          <w:sz w:val="13"/>
        </w:rPr>
        <w:t>Information provided by ACT Sheriff to Victorian Law Reform </w:t>
      </w:r>
      <w:r>
        <w:rPr>
          <w:spacing w:val="2"/>
          <w:sz w:val="13"/>
        </w:rPr>
        <w:t>Commission, </w:t>
      </w:r>
      <w:r>
        <w:rPr>
          <w:sz w:val="13"/>
        </w:rPr>
        <w:t>4 August</w:t>
      </w:r>
      <w:r>
        <w:rPr>
          <w:spacing w:val="6"/>
          <w:sz w:val="13"/>
        </w:rPr>
        <w:t> </w:t>
      </w:r>
      <w:r>
        <w:rPr>
          <w:sz w:val="13"/>
        </w:rPr>
        <w:t>2021.</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z w:val="13"/>
        </w:rPr>
        <w:t>Information provided by ACT Sheriff to Victorian Law Reform </w:t>
      </w:r>
      <w:r>
        <w:rPr>
          <w:spacing w:val="2"/>
          <w:sz w:val="13"/>
        </w:rPr>
        <w:t>Commission, </w:t>
      </w:r>
      <w:r>
        <w:rPr>
          <w:sz w:val="13"/>
        </w:rPr>
        <w:t>16 September</w:t>
      </w:r>
      <w:r>
        <w:rPr>
          <w:spacing w:val="7"/>
          <w:sz w:val="13"/>
        </w:rPr>
        <w:t> </w:t>
      </w:r>
      <w:r>
        <w:rPr>
          <w:sz w:val="13"/>
        </w:rPr>
        <w:t>2020.</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z w:val="13"/>
        </w:rPr>
        <w:t>Information provided by Her Majesty’s </w:t>
      </w:r>
      <w:r>
        <w:rPr>
          <w:spacing w:val="2"/>
          <w:sz w:val="13"/>
        </w:rPr>
        <w:t>Courts </w:t>
      </w:r>
      <w:r>
        <w:rPr>
          <w:sz w:val="13"/>
        </w:rPr>
        <w:t>and Tribunal </w:t>
      </w:r>
      <w:r>
        <w:rPr>
          <w:spacing w:val="2"/>
          <w:sz w:val="13"/>
        </w:rPr>
        <w:t>Service </w:t>
      </w:r>
      <w:r>
        <w:rPr>
          <w:sz w:val="13"/>
        </w:rPr>
        <w:t>to Victorian Law Reform </w:t>
      </w:r>
      <w:r>
        <w:rPr>
          <w:spacing w:val="2"/>
          <w:sz w:val="13"/>
        </w:rPr>
        <w:t>Commission, </w:t>
      </w:r>
      <w:r>
        <w:rPr>
          <w:sz w:val="13"/>
        </w:rPr>
        <w:t>17 August</w:t>
      </w:r>
      <w:r>
        <w:rPr>
          <w:spacing w:val="20"/>
          <w:sz w:val="13"/>
        </w:rPr>
        <w:t> </w:t>
      </w:r>
      <w:r>
        <w:rPr>
          <w:sz w:val="13"/>
        </w:rPr>
        <w:t>2020.</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i/>
          <w:sz w:val="13"/>
        </w:rPr>
        <w:t>Juries Act 1974 </w:t>
      </w:r>
      <w:r>
        <w:rPr>
          <w:spacing w:val="2"/>
          <w:sz w:val="13"/>
        </w:rPr>
        <w:t>(UK) </w:t>
      </w:r>
      <w:r>
        <w:rPr>
          <w:sz w:val="13"/>
        </w:rPr>
        <w:t>s</w:t>
      </w:r>
      <w:r>
        <w:rPr>
          <w:spacing w:val="-2"/>
          <w:sz w:val="13"/>
        </w:rPr>
        <w:t> </w:t>
      </w:r>
      <w:r>
        <w:rPr>
          <w:spacing w:val="2"/>
          <w:sz w:val="13"/>
        </w:rPr>
        <w:t>9B(1).</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z w:val="13"/>
        </w:rPr>
        <w:t>Information provided by Her Majesty’s </w:t>
      </w:r>
      <w:r>
        <w:rPr>
          <w:spacing w:val="2"/>
          <w:sz w:val="13"/>
        </w:rPr>
        <w:t>Courts </w:t>
      </w:r>
      <w:r>
        <w:rPr>
          <w:sz w:val="13"/>
        </w:rPr>
        <w:t>and Tribunals </w:t>
      </w:r>
      <w:r>
        <w:rPr>
          <w:spacing w:val="2"/>
          <w:sz w:val="13"/>
        </w:rPr>
        <w:t>Service </w:t>
      </w:r>
      <w:r>
        <w:rPr>
          <w:sz w:val="13"/>
        </w:rPr>
        <w:t>to Victorian Law Reform </w:t>
      </w:r>
      <w:r>
        <w:rPr>
          <w:spacing w:val="2"/>
          <w:sz w:val="13"/>
        </w:rPr>
        <w:t>Commission, </w:t>
      </w:r>
      <w:r>
        <w:rPr>
          <w:sz w:val="13"/>
        </w:rPr>
        <w:t>15 September</w:t>
      </w:r>
      <w:r>
        <w:rPr>
          <w:spacing w:val="31"/>
          <w:sz w:val="13"/>
        </w:rPr>
        <w:t> </w:t>
      </w:r>
      <w:r>
        <w:rPr>
          <w:sz w:val="13"/>
        </w:rPr>
        <w:t>2021.</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i/>
          <w:sz w:val="13"/>
        </w:rPr>
        <w:t>Juries Act 1974 </w:t>
      </w:r>
      <w:r>
        <w:rPr>
          <w:sz w:val="13"/>
        </w:rPr>
        <w:t>s </w:t>
      </w:r>
      <w:r>
        <w:rPr>
          <w:spacing w:val="2"/>
          <w:sz w:val="13"/>
        </w:rPr>
        <w:t>9B(2).</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i/>
          <w:sz w:val="13"/>
        </w:rPr>
        <w:t>Police, Crime, Sentencing and </w:t>
      </w:r>
      <w:r>
        <w:rPr>
          <w:i/>
          <w:spacing w:val="2"/>
          <w:sz w:val="13"/>
        </w:rPr>
        <w:t>Courts </w:t>
      </w:r>
      <w:r>
        <w:rPr>
          <w:i/>
          <w:sz w:val="13"/>
        </w:rPr>
        <w:t>Act 2022 </w:t>
      </w:r>
      <w:r>
        <w:rPr>
          <w:spacing w:val="2"/>
          <w:sz w:val="13"/>
        </w:rPr>
        <w:t>(UK) </w:t>
      </w:r>
      <w:r>
        <w:rPr>
          <w:sz w:val="13"/>
        </w:rPr>
        <w:t>s 196(2). This Act only </w:t>
      </w:r>
      <w:r>
        <w:rPr>
          <w:spacing w:val="2"/>
          <w:sz w:val="13"/>
        </w:rPr>
        <w:t>applies </w:t>
      </w:r>
      <w:r>
        <w:rPr>
          <w:sz w:val="13"/>
        </w:rPr>
        <w:t>to </w:t>
      </w:r>
      <w:r>
        <w:rPr>
          <w:spacing w:val="2"/>
          <w:sz w:val="13"/>
        </w:rPr>
        <w:t>England </w:t>
      </w:r>
      <w:r>
        <w:rPr>
          <w:sz w:val="13"/>
        </w:rPr>
        <w:t>and</w:t>
      </w:r>
      <w:r>
        <w:rPr>
          <w:spacing w:val="4"/>
          <w:sz w:val="13"/>
        </w:rPr>
        <w:t> </w:t>
      </w:r>
      <w:r>
        <w:rPr>
          <w:sz w:val="13"/>
        </w:rPr>
        <w:t>Wales.</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z w:val="13"/>
        </w:rPr>
        <w:t>Information provided by Her Majesty’s </w:t>
      </w:r>
      <w:r>
        <w:rPr>
          <w:spacing w:val="2"/>
          <w:sz w:val="13"/>
        </w:rPr>
        <w:t>Courts </w:t>
      </w:r>
      <w:r>
        <w:rPr>
          <w:sz w:val="13"/>
        </w:rPr>
        <w:t>and Tribunals </w:t>
      </w:r>
      <w:r>
        <w:rPr>
          <w:spacing w:val="2"/>
          <w:sz w:val="13"/>
        </w:rPr>
        <w:t>Service </w:t>
      </w:r>
      <w:r>
        <w:rPr>
          <w:sz w:val="13"/>
        </w:rPr>
        <w:t>to Victorian Law Reform </w:t>
      </w:r>
      <w:r>
        <w:rPr>
          <w:spacing w:val="2"/>
          <w:sz w:val="13"/>
        </w:rPr>
        <w:t>Commission, </w:t>
      </w:r>
      <w:r>
        <w:rPr>
          <w:sz w:val="13"/>
        </w:rPr>
        <w:t>15 September</w:t>
      </w:r>
      <w:r>
        <w:rPr>
          <w:spacing w:val="31"/>
          <w:sz w:val="13"/>
        </w:rPr>
        <w:t> </w:t>
      </w:r>
      <w:r>
        <w:rPr>
          <w:sz w:val="13"/>
        </w:rPr>
        <w:t>2021.</w:t>
      </w:r>
    </w:p>
    <w:p>
      <w:pPr>
        <w:pStyle w:val="ListParagraph"/>
        <w:numPr>
          <w:ilvl w:val="0"/>
          <w:numId w:val="87"/>
        </w:numPr>
        <w:tabs>
          <w:tab w:pos="893" w:val="left" w:leader="none"/>
          <w:tab w:pos="894" w:val="left" w:leader="none"/>
        </w:tabs>
        <w:spacing w:line="170" w:lineRule="exact" w:before="0" w:after="0"/>
        <w:ind w:left="893" w:right="0" w:hanging="793"/>
        <w:jc w:val="left"/>
        <w:rPr>
          <w:sz w:val="13"/>
        </w:rPr>
      </w:pPr>
      <w:r>
        <w:rPr>
          <w:spacing w:val="2"/>
          <w:sz w:val="13"/>
        </w:rPr>
        <w:t>Ibid.</w:t>
      </w:r>
    </w:p>
    <w:p>
      <w:pPr>
        <w:spacing w:after="0" w:line="170" w:lineRule="exact"/>
        <w:jc w:val="left"/>
        <w:rPr>
          <w:sz w:val="13"/>
        </w:rPr>
        <w:sectPr>
          <w:type w:val="continuous"/>
          <w:pgSz w:w="11910" w:h="16840"/>
          <w:pgMar w:top="620" w:bottom="280" w:left="620" w:right="380"/>
          <w:cols w:num="2" w:equalWidth="0">
            <w:col w:w="541" w:space="326"/>
            <w:col w:w="10043"/>
          </w:cols>
        </w:sectPr>
      </w:pPr>
    </w:p>
    <w:p>
      <w:pPr>
        <w:pStyle w:val="BodyText"/>
      </w:pPr>
    </w:p>
    <w:p>
      <w:pPr>
        <w:pStyle w:val="BodyText"/>
      </w:pPr>
    </w:p>
    <w:p>
      <w:pPr>
        <w:pStyle w:val="BodyText"/>
      </w:pPr>
    </w:p>
    <w:p>
      <w:pPr>
        <w:pStyle w:val="BodyText"/>
        <w:spacing w:before="6"/>
        <w:rPr>
          <w:sz w:val="14"/>
        </w:rPr>
      </w:pPr>
    </w:p>
    <w:p>
      <w:pPr>
        <w:spacing w:before="41"/>
        <w:ind w:left="967" w:right="0" w:firstLine="0"/>
        <w:jc w:val="left"/>
        <w:rPr>
          <w:rFonts w:ascii="Raleway ExtraBold"/>
          <w:b/>
          <w:sz w:val="28"/>
        </w:rPr>
      </w:pPr>
      <w:bookmarkStart w:name="Different approaches proposed for Victor" w:id="226"/>
      <w:bookmarkEnd w:id="226"/>
      <w:r>
        <w:rPr/>
      </w:r>
      <w:bookmarkStart w:name="_bookmark91" w:id="227"/>
      <w:bookmarkEnd w:id="227"/>
      <w:r>
        <w:rPr/>
      </w:r>
      <w:r>
        <w:rPr>
          <w:rFonts w:ascii="Raleway ExtraBold"/>
          <w:b/>
          <w:color w:val="37617A"/>
          <w:sz w:val="28"/>
        </w:rPr>
        <w:t>Different approaches proposed for Victoria</w:t>
      </w:r>
    </w:p>
    <w:p>
      <w:pPr>
        <w:pStyle w:val="ListParagraph"/>
        <w:numPr>
          <w:ilvl w:val="1"/>
          <w:numId w:val="12"/>
        </w:numPr>
        <w:tabs>
          <w:tab w:pos="1762" w:val="left" w:leader="none"/>
        </w:tabs>
        <w:spacing w:line="206" w:lineRule="auto" w:before="146" w:after="0"/>
        <w:ind w:left="1761" w:right="1251" w:hanging="794"/>
        <w:jc w:val="both"/>
        <w:rPr>
          <w:sz w:val="20"/>
        </w:rPr>
      </w:pPr>
      <w:r>
        <w:rPr>
          <w:sz w:val="20"/>
        </w:rPr>
        <w:t>In</w:t>
      </w:r>
      <w:r>
        <w:rPr>
          <w:spacing w:val="-10"/>
          <w:sz w:val="20"/>
        </w:rPr>
        <w:t> </w:t>
      </w:r>
      <w:r>
        <w:rPr>
          <w:sz w:val="20"/>
        </w:rPr>
        <w:t>our</w:t>
      </w:r>
      <w:r>
        <w:rPr>
          <w:spacing w:val="-9"/>
          <w:sz w:val="20"/>
        </w:rPr>
        <w:t> </w:t>
      </w:r>
      <w:r>
        <w:rPr>
          <w:sz w:val="20"/>
        </w:rPr>
        <w:t>consultation</w:t>
      </w:r>
      <w:r>
        <w:rPr>
          <w:spacing w:val="-9"/>
          <w:sz w:val="20"/>
        </w:rPr>
        <w:t> </w:t>
      </w:r>
      <w:r>
        <w:rPr>
          <w:sz w:val="20"/>
        </w:rPr>
        <w:t>paper</w:t>
      </w:r>
      <w:r>
        <w:rPr>
          <w:spacing w:val="-10"/>
          <w:sz w:val="20"/>
        </w:rPr>
        <w:t> </w:t>
      </w:r>
      <w:r>
        <w:rPr>
          <w:spacing w:val="-3"/>
          <w:sz w:val="20"/>
        </w:rPr>
        <w:t>we</w:t>
      </w:r>
      <w:r>
        <w:rPr>
          <w:spacing w:val="-9"/>
          <w:sz w:val="20"/>
        </w:rPr>
        <w:t> </w:t>
      </w:r>
      <w:r>
        <w:rPr>
          <w:sz w:val="20"/>
        </w:rPr>
        <w:t>asked</w:t>
      </w:r>
      <w:r>
        <w:rPr>
          <w:spacing w:val="-9"/>
          <w:sz w:val="20"/>
        </w:rPr>
        <w:t> </w:t>
      </w:r>
      <w:r>
        <w:rPr>
          <w:sz w:val="20"/>
        </w:rPr>
        <w:t>whether</w:t>
      </w:r>
      <w:r>
        <w:rPr>
          <w:spacing w:val="-10"/>
          <w:sz w:val="20"/>
        </w:rPr>
        <w:t> </w:t>
      </w:r>
      <w:r>
        <w:rPr>
          <w:sz w:val="20"/>
        </w:rPr>
        <w:t>a</w:t>
      </w:r>
      <w:r>
        <w:rPr>
          <w:spacing w:val="-9"/>
          <w:sz w:val="20"/>
        </w:rPr>
        <w:t> </w:t>
      </w:r>
      <w:r>
        <w:rPr>
          <w:sz w:val="20"/>
        </w:rPr>
        <w:t>similar</w:t>
      </w:r>
      <w:r>
        <w:rPr>
          <w:spacing w:val="-9"/>
          <w:sz w:val="20"/>
        </w:rPr>
        <w:t> </w:t>
      </w:r>
      <w:r>
        <w:rPr>
          <w:sz w:val="20"/>
        </w:rPr>
        <w:t>approach</w:t>
      </w:r>
      <w:r>
        <w:rPr>
          <w:spacing w:val="-10"/>
          <w:sz w:val="20"/>
        </w:rPr>
        <w:t> </w:t>
      </w:r>
      <w:r>
        <w:rPr>
          <w:sz w:val="20"/>
        </w:rPr>
        <w:t>to</w:t>
      </w:r>
      <w:r>
        <w:rPr>
          <w:spacing w:val="-9"/>
          <w:sz w:val="20"/>
        </w:rPr>
        <w:t> </w:t>
      </w:r>
      <w:r>
        <w:rPr>
          <w:sz w:val="20"/>
        </w:rPr>
        <w:t>that</w:t>
      </w:r>
      <w:r>
        <w:rPr>
          <w:spacing w:val="-9"/>
          <w:sz w:val="20"/>
        </w:rPr>
        <w:t> </w:t>
      </w:r>
      <w:r>
        <w:rPr>
          <w:sz w:val="20"/>
        </w:rPr>
        <w:t>used</w:t>
      </w:r>
      <w:r>
        <w:rPr>
          <w:spacing w:val="-10"/>
          <w:sz w:val="20"/>
        </w:rPr>
        <w:t> </w:t>
      </w:r>
      <w:r>
        <w:rPr>
          <w:sz w:val="20"/>
        </w:rPr>
        <w:t>in</w:t>
      </w:r>
      <w:r>
        <w:rPr>
          <w:spacing w:val="-9"/>
          <w:sz w:val="20"/>
        </w:rPr>
        <w:t> </w:t>
      </w:r>
      <w:r>
        <w:rPr>
          <w:sz w:val="20"/>
        </w:rPr>
        <w:t>the</w:t>
      </w:r>
      <w:r>
        <w:rPr>
          <w:spacing w:val="-9"/>
          <w:sz w:val="20"/>
        </w:rPr>
        <w:t> </w:t>
      </w:r>
      <w:r>
        <w:rPr>
          <w:spacing w:val="-4"/>
          <w:sz w:val="20"/>
        </w:rPr>
        <w:t>ACT </w:t>
      </w:r>
      <w:r>
        <w:rPr>
          <w:sz w:val="20"/>
        </w:rPr>
        <w:t>could</w:t>
      </w:r>
      <w:r>
        <w:rPr>
          <w:spacing w:val="-7"/>
          <w:sz w:val="20"/>
        </w:rPr>
        <w:t> </w:t>
      </w:r>
      <w:r>
        <w:rPr>
          <w:spacing w:val="-3"/>
          <w:sz w:val="20"/>
        </w:rPr>
        <w:t>work</w:t>
      </w:r>
      <w:r>
        <w:rPr>
          <w:spacing w:val="-7"/>
          <w:sz w:val="20"/>
        </w:rPr>
        <w:t> </w:t>
      </w:r>
      <w:r>
        <w:rPr>
          <w:sz w:val="20"/>
        </w:rPr>
        <w:t>in</w:t>
      </w:r>
      <w:r>
        <w:rPr>
          <w:spacing w:val="-7"/>
          <w:sz w:val="20"/>
        </w:rPr>
        <w:t> </w:t>
      </w:r>
      <w:r>
        <w:rPr>
          <w:sz w:val="20"/>
        </w:rPr>
        <w:t>Victoria.</w:t>
      </w:r>
      <w:r>
        <w:rPr>
          <w:spacing w:val="-6"/>
          <w:sz w:val="20"/>
        </w:rPr>
        <w:t> We</w:t>
      </w:r>
      <w:r>
        <w:rPr>
          <w:spacing w:val="-7"/>
          <w:sz w:val="20"/>
        </w:rPr>
        <w:t> </w:t>
      </w:r>
      <w:r>
        <w:rPr>
          <w:sz w:val="20"/>
        </w:rPr>
        <w:t>asked</w:t>
      </w:r>
      <w:r>
        <w:rPr>
          <w:spacing w:val="-7"/>
          <w:sz w:val="20"/>
        </w:rPr>
        <w:t> </w:t>
      </w:r>
      <w:r>
        <w:rPr>
          <w:sz w:val="20"/>
        </w:rPr>
        <w:t>for</w:t>
      </w:r>
      <w:r>
        <w:rPr>
          <w:spacing w:val="-7"/>
          <w:sz w:val="20"/>
        </w:rPr>
        <w:t> </w:t>
      </w:r>
      <w:r>
        <w:rPr>
          <w:sz w:val="20"/>
        </w:rPr>
        <w:t>feedback</w:t>
      </w:r>
      <w:r>
        <w:rPr>
          <w:spacing w:val="-6"/>
          <w:sz w:val="20"/>
        </w:rPr>
        <w:t> </w:t>
      </w:r>
      <w:r>
        <w:rPr>
          <w:sz w:val="20"/>
        </w:rPr>
        <w:t>on</w:t>
      </w:r>
      <w:r>
        <w:rPr>
          <w:spacing w:val="-7"/>
          <w:sz w:val="20"/>
        </w:rPr>
        <w:t> </w:t>
      </w:r>
      <w:r>
        <w:rPr>
          <w:sz w:val="20"/>
        </w:rPr>
        <w:t>the</w:t>
      </w:r>
      <w:r>
        <w:rPr>
          <w:spacing w:val="-7"/>
          <w:sz w:val="20"/>
        </w:rPr>
        <w:t> </w:t>
      </w:r>
      <w:r>
        <w:rPr>
          <w:spacing w:val="-3"/>
          <w:sz w:val="20"/>
        </w:rPr>
        <w:t>respective</w:t>
      </w:r>
      <w:r>
        <w:rPr>
          <w:spacing w:val="-7"/>
          <w:sz w:val="20"/>
        </w:rPr>
        <w:t> </w:t>
      </w:r>
      <w:r>
        <w:rPr>
          <w:spacing w:val="-3"/>
          <w:sz w:val="20"/>
        </w:rPr>
        <w:t>roles</w:t>
      </w:r>
      <w:r>
        <w:rPr>
          <w:spacing w:val="-6"/>
          <w:sz w:val="20"/>
        </w:rPr>
        <w:t> </w:t>
      </w:r>
      <w:r>
        <w:rPr>
          <w:sz w:val="20"/>
        </w:rPr>
        <w:t>of</w:t>
      </w:r>
      <w:r>
        <w:rPr>
          <w:spacing w:val="-7"/>
          <w:sz w:val="20"/>
        </w:rPr>
        <w:t> </w:t>
      </w:r>
      <w:r>
        <w:rPr>
          <w:sz w:val="20"/>
        </w:rPr>
        <w:t>the</w:t>
      </w:r>
      <w:r>
        <w:rPr>
          <w:spacing w:val="-7"/>
          <w:sz w:val="20"/>
        </w:rPr>
        <w:t> </w:t>
      </w:r>
      <w:r>
        <w:rPr>
          <w:sz w:val="20"/>
        </w:rPr>
        <w:t>courts</w:t>
      </w:r>
      <w:r>
        <w:rPr>
          <w:spacing w:val="-6"/>
          <w:sz w:val="20"/>
        </w:rPr>
        <w:t> </w:t>
      </w:r>
      <w:r>
        <w:rPr>
          <w:sz w:val="20"/>
        </w:rPr>
        <w:t>and Juries</w:t>
      </w:r>
      <w:r>
        <w:rPr>
          <w:spacing w:val="-5"/>
          <w:sz w:val="20"/>
        </w:rPr>
        <w:t> </w:t>
      </w:r>
      <w:r>
        <w:rPr>
          <w:sz w:val="20"/>
        </w:rPr>
        <w:t>Victoria.</w:t>
      </w:r>
    </w:p>
    <w:p>
      <w:pPr>
        <w:pStyle w:val="ListParagraph"/>
        <w:numPr>
          <w:ilvl w:val="1"/>
          <w:numId w:val="12"/>
        </w:numPr>
        <w:tabs>
          <w:tab w:pos="1761" w:val="left" w:leader="none"/>
          <w:tab w:pos="1762" w:val="left" w:leader="none"/>
        </w:tabs>
        <w:spacing w:line="206" w:lineRule="auto" w:before="123" w:after="0"/>
        <w:ind w:left="1761" w:right="1908" w:hanging="794"/>
        <w:jc w:val="left"/>
        <w:rPr>
          <w:sz w:val="20"/>
        </w:rPr>
      </w:pPr>
      <w:r>
        <w:rPr>
          <w:sz w:val="20"/>
        </w:rPr>
        <w:t>The</w:t>
      </w:r>
      <w:r>
        <w:rPr>
          <w:spacing w:val="-12"/>
          <w:sz w:val="20"/>
        </w:rPr>
        <w:t> </w:t>
      </w:r>
      <w:r>
        <w:rPr>
          <w:sz w:val="20"/>
        </w:rPr>
        <w:t>County</w:t>
      </w:r>
      <w:r>
        <w:rPr>
          <w:spacing w:val="-11"/>
          <w:sz w:val="20"/>
        </w:rPr>
        <w:t> </w:t>
      </w:r>
      <w:r>
        <w:rPr>
          <w:sz w:val="20"/>
        </w:rPr>
        <w:t>Court,</w:t>
      </w:r>
      <w:r>
        <w:rPr>
          <w:spacing w:val="-11"/>
          <w:sz w:val="20"/>
        </w:rPr>
        <w:t> </w:t>
      </w:r>
      <w:r>
        <w:rPr>
          <w:sz w:val="20"/>
        </w:rPr>
        <w:t>Supreme</w:t>
      </w:r>
      <w:r>
        <w:rPr>
          <w:spacing w:val="-11"/>
          <w:sz w:val="20"/>
        </w:rPr>
        <w:t> </w:t>
      </w:r>
      <w:r>
        <w:rPr>
          <w:sz w:val="20"/>
        </w:rPr>
        <w:t>Court</w:t>
      </w:r>
      <w:r>
        <w:rPr>
          <w:spacing w:val="-11"/>
          <w:sz w:val="20"/>
        </w:rPr>
        <w:t> </w:t>
      </w:r>
      <w:r>
        <w:rPr>
          <w:sz w:val="20"/>
        </w:rPr>
        <w:t>and</w:t>
      </w:r>
      <w:r>
        <w:rPr>
          <w:spacing w:val="-11"/>
          <w:sz w:val="20"/>
        </w:rPr>
        <w:t> </w:t>
      </w:r>
      <w:r>
        <w:rPr>
          <w:sz w:val="20"/>
        </w:rPr>
        <w:t>Juries</w:t>
      </w:r>
      <w:r>
        <w:rPr>
          <w:spacing w:val="-11"/>
          <w:sz w:val="20"/>
        </w:rPr>
        <w:t> </w:t>
      </w:r>
      <w:r>
        <w:rPr>
          <w:sz w:val="20"/>
        </w:rPr>
        <w:t>Victoria</w:t>
      </w:r>
      <w:r>
        <w:rPr>
          <w:spacing w:val="-11"/>
          <w:sz w:val="20"/>
        </w:rPr>
        <w:t> </w:t>
      </w:r>
      <w:r>
        <w:rPr>
          <w:sz w:val="20"/>
        </w:rPr>
        <w:t>suggested</w:t>
      </w:r>
      <w:r>
        <w:rPr>
          <w:spacing w:val="-12"/>
          <w:sz w:val="20"/>
        </w:rPr>
        <w:t> </w:t>
      </w:r>
      <w:r>
        <w:rPr>
          <w:sz w:val="20"/>
        </w:rPr>
        <w:t>three</w:t>
      </w:r>
      <w:r>
        <w:rPr>
          <w:spacing w:val="-11"/>
          <w:sz w:val="20"/>
        </w:rPr>
        <w:t> </w:t>
      </w:r>
      <w:r>
        <w:rPr>
          <w:sz w:val="20"/>
        </w:rPr>
        <w:t>detailed approaches,</w:t>
      </w:r>
      <w:r>
        <w:rPr>
          <w:spacing w:val="-13"/>
          <w:sz w:val="20"/>
        </w:rPr>
        <w:t> </w:t>
      </w:r>
      <w:r>
        <w:rPr>
          <w:sz w:val="20"/>
        </w:rPr>
        <w:t>which</w:t>
      </w:r>
      <w:r>
        <w:rPr>
          <w:spacing w:val="-13"/>
          <w:sz w:val="20"/>
        </w:rPr>
        <w:t> </w:t>
      </w:r>
      <w:r>
        <w:rPr>
          <w:sz w:val="20"/>
        </w:rPr>
        <w:t>differ</w:t>
      </w:r>
      <w:r>
        <w:rPr>
          <w:spacing w:val="-13"/>
          <w:sz w:val="20"/>
        </w:rPr>
        <w:t> </w:t>
      </w:r>
      <w:r>
        <w:rPr>
          <w:spacing w:val="-3"/>
          <w:sz w:val="20"/>
        </w:rPr>
        <w:t>from</w:t>
      </w:r>
      <w:r>
        <w:rPr>
          <w:spacing w:val="-13"/>
          <w:sz w:val="20"/>
        </w:rPr>
        <w:t> </w:t>
      </w:r>
      <w:r>
        <w:rPr>
          <w:sz w:val="20"/>
        </w:rPr>
        <w:t>each</w:t>
      </w:r>
      <w:r>
        <w:rPr>
          <w:spacing w:val="-13"/>
          <w:sz w:val="20"/>
        </w:rPr>
        <w:t> </w:t>
      </w:r>
      <w:r>
        <w:rPr>
          <w:spacing w:val="-4"/>
          <w:sz w:val="20"/>
        </w:rPr>
        <w:t>other,</w:t>
      </w:r>
      <w:r>
        <w:rPr>
          <w:spacing w:val="-13"/>
          <w:sz w:val="20"/>
        </w:rPr>
        <w:t> </w:t>
      </w:r>
      <w:r>
        <w:rPr>
          <w:sz w:val="20"/>
        </w:rPr>
        <w:t>with</w:t>
      </w:r>
      <w:r>
        <w:rPr>
          <w:spacing w:val="-13"/>
          <w:sz w:val="20"/>
        </w:rPr>
        <w:t> </w:t>
      </w:r>
      <w:r>
        <w:rPr>
          <w:sz w:val="20"/>
        </w:rPr>
        <w:t>some</w:t>
      </w:r>
      <w:r>
        <w:rPr>
          <w:spacing w:val="-13"/>
          <w:sz w:val="20"/>
        </w:rPr>
        <w:t> </w:t>
      </w:r>
      <w:r>
        <w:rPr>
          <w:sz w:val="20"/>
        </w:rPr>
        <w:t>overlapping</w:t>
      </w:r>
      <w:r>
        <w:rPr>
          <w:spacing w:val="-13"/>
          <w:sz w:val="20"/>
        </w:rPr>
        <w:t> </w:t>
      </w:r>
      <w:r>
        <w:rPr>
          <w:sz w:val="20"/>
        </w:rPr>
        <w:t>elements.</w:t>
      </w:r>
      <w:r>
        <w:rPr>
          <w:spacing w:val="-13"/>
          <w:sz w:val="20"/>
        </w:rPr>
        <w:t> </w:t>
      </w:r>
      <w:r>
        <w:rPr>
          <w:spacing w:val="-4"/>
          <w:sz w:val="20"/>
        </w:rPr>
        <w:t>Key </w:t>
      </w:r>
      <w:r>
        <w:rPr>
          <w:sz w:val="20"/>
        </w:rPr>
        <w:t>elements of those proposals </w:t>
      </w:r>
      <w:r>
        <w:rPr>
          <w:spacing w:val="-3"/>
          <w:sz w:val="20"/>
        </w:rPr>
        <w:t>are </w:t>
      </w:r>
      <w:r>
        <w:rPr>
          <w:sz w:val="20"/>
        </w:rPr>
        <w:t>summarised </w:t>
      </w:r>
      <w:r>
        <w:rPr>
          <w:spacing w:val="-5"/>
          <w:sz w:val="20"/>
        </w:rPr>
        <w:t>below. </w:t>
      </w:r>
      <w:r>
        <w:rPr>
          <w:sz w:val="20"/>
        </w:rPr>
        <w:t>The submissions of these organisations can be </w:t>
      </w:r>
      <w:r>
        <w:rPr>
          <w:spacing w:val="-3"/>
          <w:sz w:val="20"/>
        </w:rPr>
        <w:t>viewed </w:t>
      </w:r>
      <w:r>
        <w:rPr>
          <w:sz w:val="20"/>
        </w:rPr>
        <w:t>on the Commission’s</w:t>
      </w:r>
      <w:r>
        <w:rPr>
          <w:spacing w:val="-31"/>
          <w:sz w:val="20"/>
        </w:rPr>
        <w:t> </w:t>
      </w:r>
      <w:r>
        <w:rPr>
          <w:spacing w:val="-3"/>
          <w:sz w:val="20"/>
        </w:rPr>
        <w:t>website.</w:t>
      </w:r>
    </w:p>
    <w:p>
      <w:pPr>
        <w:pStyle w:val="ListParagraph"/>
        <w:numPr>
          <w:ilvl w:val="1"/>
          <w:numId w:val="12"/>
        </w:numPr>
        <w:tabs>
          <w:tab w:pos="1761" w:val="left" w:leader="none"/>
          <w:tab w:pos="1762" w:val="left" w:leader="none"/>
        </w:tabs>
        <w:spacing w:line="259" w:lineRule="exact" w:before="93" w:after="0"/>
        <w:ind w:left="1761" w:right="0" w:hanging="794"/>
        <w:jc w:val="left"/>
        <w:rPr>
          <w:sz w:val="20"/>
        </w:rPr>
      </w:pPr>
      <w:r>
        <w:rPr>
          <w:sz w:val="20"/>
        </w:rPr>
        <w:t>All</w:t>
      </w:r>
      <w:r>
        <w:rPr>
          <w:spacing w:val="-7"/>
          <w:sz w:val="20"/>
        </w:rPr>
        <w:t> </w:t>
      </w:r>
      <w:r>
        <w:rPr>
          <w:sz w:val="20"/>
        </w:rPr>
        <w:t>approaches</w:t>
      </w:r>
      <w:r>
        <w:rPr>
          <w:spacing w:val="-6"/>
          <w:sz w:val="20"/>
        </w:rPr>
        <w:t> </w:t>
      </w:r>
      <w:r>
        <w:rPr>
          <w:sz w:val="20"/>
        </w:rPr>
        <w:t>supported</w:t>
      </w:r>
      <w:r>
        <w:rPr>
          <w:spacing w:val="-6"/>
          <w:sz w:val="20"/>
        </w:rPr>
        <w:t> </w:t>
      </w:r>
      <w:r>
        <w:rPr>
          <w:sz w:val="20"/>
        </w:rPr>
        <w:t>changing</w:t>
      </w:r>
      <w:r>
        <w:rPr>
          <w:spacing w:val="-6"/>
          <w:sz w:val="20"/>
        </w:rPr>
        <w:t> </w:t>
      </w:r>
      <w:r>
        <w:rPr>
          <w:sz w:val="20"/>
        </w:rPr>
        <w:t>procedural</w:t>
      </w:r>
      <w:r>
        <w:rPr>
          <w:spacing w:val="-7"/>
          <w:sz w:val="20"/>
        </w:rPr>
        <w:t> </w:t>
      </w:r>
      <w:r>
        <w:rPr>
          <w:sz w:val="20"/>
        </w:rPr>
        <w:t>practices</w:t>
      </w:r>
      <w:r>
        <w:rPr>
          <w:spacing w:val="-6"/>
          <w:sz w:val="20"/>
        </w:rPr>
        <w:t> </w:t>
      </w:r>
      <w:r>
        <w:rPr>
          <w:sz w:val="20"/>
        </w:rPr>
        <w:t>so</w:t>
      </w:r>
      <w:r>
        <w:rPr>
          <w:spacing w:val="-6"/>
          <w:sz w:val="20"/>
        </w:rPr>
        <w:t> </w:t>
      </w:r>
      <w:r>
        <w:rPr>
          <w:sz w:val="20"/>
        </w:rPr>
        <w:t>that</w:t>
      </w:r>
      <w:r>
        <w:rPr>
          <w:spacing w:val="-6"/>
          <w:sz w:val="20"/>
        </w:rPr>
        <w:t> </w:t>
      </w:r>
      <w:r>
        <w:rPr>
          <w:sz w:val="20"/>
        </w:rPr>
        <w:t>Juries</w:t>
      </w:r>
      <w:r>
        <w:rPr>
          <w:spacing w:val="-7"/>
          <w:sz w:val="20"/>
        </w:rPr>
        <w:t> </w:t>
      </w:r>
      <w:r>
        <w:rPr>
          <w:sz w:val="20"/>
        </w:rPr>
        <w:t>Victoria</w:t>
      </w:r>
      <w:r>
        <w:rPr>
          <w:spacing w:val="-6"/>
          <w:sz w:val="20"/>
        </w:rPr>
        <w:t> </w:t>
      </w:r>
      <w:r>
        <w:rPr>
          <w:sz w:val="20"/>
        </w:rPr>
        <w:t>is</w:t>
      </w:r>
    </w:p>
    <w:p>
      <w:pPr>
        <w:pStyle w:val="BodyText"/>
        <w:spacing w:line="259" w:lineRule="exact"/>
        <w:ind w:left="1761"/>
        <w:rPr>
          <w:sz w:val="11"/>
        </w:rPr>
      </w:pPr>
      <w:r>
        <w:rPr/>
        <w:t>notified as soon as possible about the need for reasonable adjustments.</w:t>
      </w:r>
      <w:r>
        <w:rPr>
          <w:position w:val="7"/>
          <w:sz w:val="11"/>
        </w:rPr>
        <w:t>33</w:t>
      </w:r>
    </w:p>
    <w:p>
      <w:pPr>
        <w:spacing w:before="153"/>
        <w:ind w:left="967" w:right="0" w:firstLine="0"/>
        <w:jc w:val="left"/>
        <w:rPr>
          <w:b/>
          <w:sz w:val="24"/>
        </w:rPr>
      </w:pPr>
      <w:r>
        <w:rPr>
          <w:b/>
          <w:sz w:val="24"/>
        </w:rPr>
        <w:t>The County Court’s proposed approach</w:t>
      </w:r>
    </w:p>
    <w:p>
      <w:pPr>
        <w:pStyle w:val="ListParagraph"/>
        <w:numPr>
          <w:ilvl w:val="1"/>
          <w:numId w:val="12"/>
        </w:numPr>
        <w:tabs>
          <w:tab w:pos="1761" w:val="left" w:leader="none"/>
          <w:tab w:pos="1762" w:val="left" w:leader="none"/>
        </w:tabs>
        <w:spacing w:line="206" w:lineRule="auto" w:before="127" w:after="0"/>
        <w:ind w:left="1761" w:right="1355" w:hanging="794"/>
        <w:jc w:val="left"/>
        <w:rPr>
          <w:sz w:val="11"/>
        </w:rPr>
      </w:pPr>
      <w:r>
        <w:rPr>
          <w:sz w:val="20"/>
        </w:rPr>
        <w:t>The County Court proposed that Juries Victoria </w:t>
      </w:r>
      <w:r>
        <w:rPr>
          <w:spacing w:val="-3"/>
          <w:sz w:val="20"/>
        </w:rPr>
        <w:t>‘conduct </w:t>
      </w:r>
      <w:r>
        <w:rPr>
          <w:sz w:val="20"/>
        </w:rPr>
        <w:t>the assessments and </w:t>
      </w:r>
      <w:r>
        <w:rPr>
          <w:spacing w:val="-3"/>
          <w:sz w:val="20"/>
        </w:rPr>
        <w:t>determinations’</w:t>
      </w:r>
      <w:r>
        <w:rPr>
          <w:spacing w:val="-8"/>
          <w:sz w:val="20"/>
        </w:rPr>
        <w:t> </w:t>
      </w:r>
      <w:r>
        <w:rPr>
          <w:sz w:val="20"/>
        </w:rPr>
        <w:t>about</w:t>
      </w:r>
      <w:r>
        <w:rPr>
          <w:spacing w:val="-8"/>
          <w:sz w:val="20"/>
        </w:rPr>
        <w:t> </w:t>
      </w:r>
      <w:r>
        <w:rPr>
          <w:sz w:val="20"/>
        </w:rPr>
        <w:t>adjustments.</w:t>
      </w:r>
      <w:r>
        <w:rPr>
          <w:spacing w:val="-8"/>
          <w:sz w:val="20"/>
        </w:rPr>
        <w:t> </w:t>
      </w:r>
      <w:r>
        <w:rPr>
          <w:sz w:val="20"/>
        </w:rPr>
        <w:t>Undertaking</w:t>
      </w:r>
      <w:r>
        <w:rPr>
          <w:spacing w:val="-8"/>
          <w:sz w:val="20"/>
        </w:rPr>
        <w:t> </w:t>
      </w:r>
      <w:r>
        <w:rPr>
          <w:spacing w:val="-3"/>
          <w:sz w:val="20"/>
        </w:rPr>
        <w:t>work</w:t>
      </w:r>
      <w:r>
        <w:rPr>
          <w:spacing w:val="-8"/>
          <w:sz w:val="20"/>
        </w:rPr>
        <w:t> </w:t>
      </w:r>
      <w:r>
        <w:rPr>
          <w:spacing w:val="-3"/>
          <w:sz w:val="20"/>
        </w:rPr>
        <w:t>before</w:t>
      </w:r>
      <w:r>
        <w:rPr>
          <w:spacing w:val="-8"/>
          <w:sz w:val="20"/>
        </w:rPr>
        <w:t> </w:t>
      </w:r>
      <w:r>
        <w:rPr>
          <w:sz w:val="20"/>
        </w:rPr>
        <w:t>trial</w:t>
      </w:r>
      <w:r>
        <w:rPr>
          <w:spacing w:val="-8"/>
          <w:sz w:val="20"/>
        </w:rPr>
        <w:t> </w:t>
      </w:r>
      <w:r>
        <w:rPr>
          <w:sz w:val="20"/>
        </w:rPr>
        <w:t>‘will</w:t>
      </w:r>
      <w:r>
        <w:rPr>
          <w:spacing w:val="-8"/>
          <w:sz w:val="20"/>
        </w:rPr>
        <w:t> </w:t>
      </w:r>
      <w:r>
        <w:rPr>
          <w:sz w:val="20"/>
        </w:rPr>
        <w:t>not</w:t>
      </w:r>
      <w:r>
        <w:rPr>
          <w:spacing w:val="-8"/>
          <w:sz w:val="20"/>
        </w:rPr>
        <w:t> </w:t>
      </w:r>
      <w:r>
        <w:rPr>
          <w:spacing w:val="-3"/>
          <w:sz w:val="20"/>
        </w:rPr>
        <w:t>only</w:t>
      </w:r>
      <w:r>
        <w:rPr>
          <w:spacing w:val="-8"/>
          <w:sz w:val="20"/>
        </w:rPr>
        <w:t> </w:t>
      </w:r>
      <w:r>
        <w:rPr>
          <w:sz w:val="20"/>
        </w:rPr>
        <w:t>ensure the</w:t>
      </w:r>
      <w:r>
        <w:rPr>
          <w:spacing w:val="-13"/>
          <w:sz w:val="20"/>
        </w:rPr>
        <w:t> </w:t>
      </w:r>
      <w:r>
        <w:rPr>
          <w:sz w:val="20"/>
        </w:rPr>
        <w:t>efficient</w:t>
      </w:r>
      <w:r>
        <w:rPr>
          <w:spacing w:val="-12"/>
          <w:sz w:val="20"/>
        </w:rPr>
        <w:t> </w:t>
      </w:r>
      <w:r>
        <w:rPr>
          <w:sz w:val="20"/>
        </w:rPr>
        <w:t>commencement</w:t>
      </w:r>
      <w:r>
        <w:rPr>
          <w:spacing w:val="-13"/>
          <w:sz w:val="20"/>
        </w:rPr>
        <w:t> </w:t>
      </w:r>
      <w:r>
        <w:rPr>
          <w:sz w:val="20"/>
        </w:rPr>
        <w:t>of</w:t>
      </w:r>
      <w:r>
        <w:rPr>
          <w:spacing w:val="-12"/>
          <w:sz w:val="20"/>
        </w:rPr>
        <w:t> </w:t>
      </w:r>
      <w:r>
        <w:rPr>
          <w:sz w:val="20"/>
        </w:rPr>
        <w:t>a</w:t>
      </w:r>
      <w:r>
        <w:rPr>
          <w:spacing w:val="-13"/>
          <w:sz w:val="20"/>
        </w:rPr>
        <w:t> </w:t>
      </w:r>
      <w:r>
        <w:rPr>
          <w:sz w:val="20"/>
        </w:rPr>
        <w:t>trial,</w:t>
      </w:r>
      <w:r>
        <w:rPr>
          <w:spacing w:val="-12"/>
          <w:sz w:val="20"/>
        </w:rPr>
        <w:t> </w:t>
      </w:r>
      <w:r>
        <w:rPr>
          <w:sz w:val="20"/>
        </w:rPr>
        <w:t>it</w:t>
      </w:r>
      <w:r>
        <w:rPr>
          <w:spacing w:val="-13"/>
          <w:sz w:val="20"/>
        </w:rPr>
        <w:t> </w:t>
      </w:r>
      <w:r>
        <w:rPr>
          <w:sz w:val="20"/>
        </w:rPr>
        <w:t>ensures</w:t>
      </w:r>
      <w:r>
        <w:rPr>
          <w:spacing w:val="-12"/>
          <w:sz w:val="20"/>
        </w:rPr>
        <w:t> </w:t>
      </w:r>
      <w:r>
        <w:rPr>
          <w:sz w:val="20"/>
        </w:rPr>
        <w:t>all</w:t>
      </w:r>
      <w:r>
        <w:rPr>
          <w:spacing w:val="-13"/>
          <w:sz w:val="20"/>
        </w:rPr>
        <w:t> </w:t>
      </w:r>
      <w:r>
        <w:rPr>
          <w:sz w:val="20"/>
        </w:rPr>
        <w:t>jurors</w:t>
      </w:r>
      <w:r>
        <w:rPr>
          <w:spacing w:val="-12"/>
          <w:sz w:val="20"/>
        </w:rPr>
        <w:t> </w:t>
      </w:r>
      <w:r>
        <w:rPr>
          <w:spacing w:val="-3"/>
          <w:sz w:val="20"/>
        </w:rPr>
        <w:t>are</w:t>
      </w:r>
      <w:r>
        <w:rPr>
          <w:spacing w:val="-13"/>
          <w:sz w:val="20"/>
        </w:rPr>
        <w:t> </w:t>
      </w:r>
      <w:r>
        <w:rPr>
          <w:spacing w:val="-3"/>
          <w:sz w:val="20"/>
        </w:rPr>
        <w:t>appropriately</w:t>
      </w:r>
      <w:r>
        <w:rPr>
          <w:spacing w:val="-12"/>
          <w:sz w:val="20"/>
        </w:rPr>
        <w:t> </w:t>
      </w:r>
      <w:r>
        <w:rPr>
          <w:sz w:val="20"/>
        </w:rPr>
        <w:t>supported </w:t>
      </w:r>
      <w:r>
        <w:rPr>
          <w:spacing w:val="-3"/>
          <w:sz w:val="20"/>
        </w:rPr>
        <w:t>from </w:t>
      </w:r>
      <w:r>
        <w:rPr>
          <w:sz w:val="20"/>
        </w:rPr>
        <w:t>the outset’.</w:t>
      </w:r>
      <w:r>
        <w:rPr>
          <w:position w:val="7"/>
          <w:sz w:val="11"/>
        </w:rPr>
        <w:t>34 </w:t>
      </w:r>
      <w:r>
        <w:rPr>
          <w:sz w:val="20"/>
        </w:rPr>
        <w:t>County Court consultees did not think that it </w:t>
      </w:r>
      <w:r>
        <w:rPr>
          <w:spacing w:val="-3"/>
          <w:sz w:val="20"/>
        </w:rPr>
        <w:t>would </w:t>
      </w:r>
      <w:r>
        <w:rPr>
          <w:sz w:val="20"/>
        </w:rPr>
        <w:t>be </w:t>
      </w:r>
      <w:r>
        <w:rPr>
          <w:spacing w:val="-3"/>
          <w:sz w:val="20"/>
        </w:rPr>
        <w:t>‘appropriate </w:t>
      </w:r>
      <w:r>
        <w:rPr>
          <w:sz w:val="20"/>
        </w:rPr>
        <w:t>for the trial judge to </w:t>
      </w:r>
      <w:r>
        <w:rPr>
          <w:spacing w:val="-4"/>
          <w:sz w:val="20"/>
        </w:rPr>
        <w:t>have </w:t>
      </w:r>
      <w:r>
        <w:rPr>
          <w:sz w:val="20"/>
        </w:rPr>
        <w:t>to </w:t>
      </w:r>
      <w:r>
        <w:rPr>
          <w:spacing w:val="-3"/>
          <w:sz w:val="20"/>
        </w:rPr>
        <w:t>make </w:t>
      </w:r>
      <w:r>
        <w:rPr>
          <w:sz w:val="20"/>
        </w:rPr>
        <w:t>a determination about the </w:t>
      </w:r>
      <w:r>
        <w:rPr>
          <w:spacing w:val="-3"/>
          <w:sz w:val="20"/>
        </w:rPr>
        <w:t>provision </w:t>
      </w:r>
      <w:r>
        <w:rPr>
          <w:sz w:val="20"/>
        </w:rPr>
        <w:t>of supports on the </w:t>
      </w:r>
      <w:r>
        <w:rPr>
          <w:spacing w:val="-3"/>
          <w:sz w:val="20"/>
        </w:rPr>
        <w:t>day </w:t>
      </w:r>
      <w:r>
        <w:rPr>
          <w:sz w:val="20"/>
        </w:rPr>
        <w:t>of</w:t>
      </w:r>
      <w:r>
        <w:rPr>
          <w:spacing w:val="-10"/>
          <w:sz w:val="20"/>
        </w:rPr>
        <w:t> </w:t>
      </w:r>
      <w:r>
        <w:rPr>
          <w:sz w:val="20"/>
        </w:rPr>
        <w:t>empanelment’.</w:t>
      </w:r>
      <w:r>
        <w:rPr>
          <w:position w:val="7"/>
          <w:sz w:val="11"/>
        </w:rPr>
        <w:t>35</w:t>
      </w:r>
    </w:p>
    <w:p>
      <w:pPr>
        <w:pStyle w:val="ListParagraph"/>
        <w:numPr>
          <w:ilvl w:val="1"/>
          <w:numId w:val="12"/>
        </w:numPr>
        <w:tabs>
          <w:tab w:pos="1761" w:val="left" w:leader="none"/>
          <w:tab w:pos="1762" w:val="left" w:leader="none"/>
        </w:tabs>
        <w:spacing w:line="240" w:lineRule="auto" w:before="95" w:after="0"/>
        <w:ind w:left="1761" w:right="0" w:hanging="794"/>
        <w:jc w:val="left"/>
        <w:rPr>
          <w:sz w:val="20"/>
        </w:rPr>
      </w:pPr>
      <w:r>
        <w:rPr>
          <w:sz w:val="20"/>
        </w:rPr>
        <w:t>Other</w:t>
      </w:r>
      <w:r>
        <w:rPr>
          <w:spacing w:val="-5"/>
          <w:sz w:val="20"/>
        </w:rPr>
        <w:t> </w:t>
      </w:r>
      <w:r>
        <w:rPr>
          <w:sz w:val="20"/>
        </w:rPr>
        <w:t>elements</w:t>
      </w:r>
      <w:r>
        <w:rPr>
          <w:spacing w:val="-6"/>
          <w:sz w:val="20"/>
        </w:rPr>
        <w:t> </w:t>
      </w:r>
      <w:r>
        <w:rPr>
          <w:sz w:val="20"/>
        </w:rPr>
        <w:t>of</w:t>
      </w:r>
      <w:r>
        <w:rPr>
          <w:spacing w:val="-5"/>
          <w:sz w:val="20"/>
        </w:rPr>
        <w:t> </w:t>
      </w:r>
      <w:r>
        <w:rPr>
          <w:sz w:val="20"/>
        </w:rPr>
        <w:t>the</w:t>
      </w:r>
      <w:r>
        <w:rPr>
          <w:spacing w:val="-5"/>
          <w:sz w:val="20"/>
        </w:rPr>
        <w:t> </w:t>
      </w:r>
      <w:r>
        <w:rPr>
          <w:sz w:val="20"/>
        </w:rPr>
        <w:t>County</w:t>
      </w:r>
      <w:r>
        <w:rPr>
          <w:spacing w:val="-5"/>
          <w:sz w:val="20"/>
        </w:rPr>
        <w:t> </w:t>
      </w:r>
      <w:r>
        <w:rPr>
          <w:sz w:val="20"/>
        </w:rPr>
        <w:t>Court’s</w:t>
      </w:r>
      <w:r>
        <w:rPr>
          <w:spacing w:val="-5"/>
          <w:sz w:val="20"/>
        </w:rPr>
        <w:t> </w:t>
      </w:r>
      <w:r>
        <w:rPr>
          <w:sz w:val="20"/>
        </w:rPr>
        <w:t>suggested</w:t>
      </w:r>
      <w:r>
        <w:rPr>
          <w:spacing w:val="-5"/>
          <w:sz w:val="20"/>
        </w:rPr>
        <w:t> </w:t>
      </w:r>
      <w:r>
        <w:rPr>
          <w:sz w:val="20"/>
        </w:rPr>
        <w:t>approach</w:t>
      </w:r>
      <w:r>
        <w:rPr>
          <w:spacing w:val="-5"/>
          <w:sz w:val="20"/>
        </w:rPr>
        <w:t> </w:t>
      </w:r>
      <w:r>
        <w:rPr>
          <w:sz w:val="20"/>
        </w:rPr>
        <w:t>include:</w:t>
      </w:r>
    </w:p>
    <w:p>
      <w:pPr>
        <w:pStyle w:val="ListParagraph"/>
        <w:numPr>
          <w:ilvl w:val="2"/>
          <w:numId w:val="12"/>
        </w:numPr>
        <w:tabs>
          <w:tab w:pos="2157" w:val="left" w:leader="none"/>
          <w:tab w:pos="2158" w:val="left" w:leader="none"/>
        </w:tabs>
        <w:spacing w:line="206" w:lineRule="auto" w:before="115" w:after="0"/>
        <w:ind w:left="2157" w:right="1446" w:hanging="396"/>
        <w:jc w:val="left"/>
        <w:rPr>
          <w:sz w:val="11"/>
        </w:rPr>
      </w:pPr>
      <w:r>
        <w:rPr>
          <w:sz w:val="20"/>
        </w:rPr>
        <w:t>A judge or judicial registrar could designate an upcoming trial as accessible to those</w:t>
      </w:r>
      <w:r>
        <w:rPr>
          <w:spacing w:val="-9"/>
          <w:sz w:val="20"/>
        </w:rPr>
        <w:t> </w:t>
      </w:r>
      <w:r>
        <w:rPr>
          <w:sz w:val="20"/>
        </w:rPr>
        <w:t>who</w:t>
      </w:r>
      <w:r>
        <w:rPr>
          <w:spacing w:val="-8"/>
          <w:sz w:val="20"/>
        </w:rPr>
        <w:t> </w:t>
      </w:r>
      <w:r>
        <w:rPr>
          <w:spacing w:val="-3"/>
          <w:sz w:val="20"/>
        </w:rPr>
        <w:t>may</w:t>
      </w:r>
      <w:r>
        <w:rPr>
          <w:spacing w:val="-8"/>
          <w:sz w:val="20"/>
        </w:rPr>
        <w:t> </w:t>
      </w:r>
      <w:r>
        <w:rPr>
          <w:spacing w:val="-3"/>
          <w:sz w:val="20"/>
        </w:rPr>
        <w:t>require</w:t>
      </w:r>
      <w:r>
        <w:rPr>
          <w:spacing w:val="-8"/>
          <w:sz w:val="20"/>
        </w:rPr>
        <w:t> </w:t>
      </w:r>
      <w:r>
        <w:rPr>
          <w:sz w:val="20"/>
        </w:rPr>
        <w:t>supports.</w:t>
      </w:r>
      <w:r>
        <w:rPr>
          <w:spacing w:val="-8"/>
          <w:sz w:val="20"/>
        </w:rPr>
        <w:t> </w:t>
      </w:r>
      <w:r>
        <w:rPr>
          <w:sz w:val="20"/>
        </w:rPr>
        <w:t>Identifying</w:t>
      </w:r>
      <w:r>
        <w:rPr>
          <w:spacing w:val="-8"/>
          <w:sz w:val="20"/>
        </w:rPr>
        <w:t> </w:t>
      </w:r>
      <w:r>
        <w:rPr>
          <w:sz w:val="20"/>
        </w:rPr>
        <w:t>a</w:t>
      </w:r>
      <w:r>
        <w:rPr>
          <w:spacing w:val="-9"/>
          <w:sz w:val="20"/>
        </w:rPr>
        <w:t> </w:t>
      </w:r>
      <w:r>
        <w:rPr>
          <w:sz w:val="20"/>
        </w:rPr>
        <w:t>trial</w:t>
      </w:r>
      <w:r>
        <w:rPr>
          <w:spacing w:val="-8"/>
          <w:sz w:val="20"/>
        </w:rPr>
        <w:t> </w:t>
      </w:r>
      <w:r>
        <w:rPr>
          <w:sz w:val="20"/>
        </w:rPr>
        <w:t>as</w:t>
      </w:r>
      <w:r>
        <w:rPr>
          <w:spacing w:val="-8"/>
          <w:sz w:val="20"/>
        </w:rPr>
        <w:t> </w:t>
      </w:r>
      <w:r>
        <w:rPr>
          <w:sz w:val="20"/>
        </w:rPr>
        <w:t>an</w:t>
      </w:r>
      <w:r>
        <w:rPr>
          <w:spacing w:val="-8"/>
          <w:sz w:val="20"/>
        </w:rPr>
        <w:t> </w:t>
      </w:r>
      <w:r>
        <w:rPr>
          <w:sz w:val="20"/>
        </w:rPr>
        <w:t>accessible</w:t>
      </w:r>
      <w:r>
        <w:rPr>
          <w:spacing w:val="-8"/>
          <w:sz w:val="20"/>
        </w:rPr>
        <w:t> </w:t>
      </w:r>
      <w:r>
        <w:rPr>
          <w:sz w:val="20"/>
        </w:rPr>
        <w:t>jury</w:t>
      </w:r>
      <w:r>
        <w:rPr>
          <w:spacing w:val="-8"/>
          <w:sz w:val="20"/>
        </w:rPr>
        <w:t> </w:t>
      </w:r>
      <w:r>
        <w:rPr>
          <w:sz w:val="20"/>
        </w:rPr>
        <w:t>trial</w:t>
      </w:r>
      <w:r>
        <w:rPr>
          <w:spacing w:val="-8"/>
          <w:sz w:val="20"/>
        </w:rPr>
        <w:t> </w:t>
      </w:r>
      <w:r>
        <w:rPr>
          <w:spacing w:val="-3"/>
          <w:sz w:val="20"/>
        </w:rPr>
        <w:t>may </w:t>
      </w:r>
      <w:r>
        <w:rPr>
          <w:sz w:val="20"/>
        </w:rPr>
        <w:t>be determined at the final directions hearing after discussion with the parties, including whether there </w:t>
      </w:r>
      <w:r>
        <w:rPr>
          <w:spacing w:val="-3"/>
          <w:sz w:val="20"/>
        </w:rPr>
        <w:t>are any </w:t>
      </w:r>
      <w:r>
        <w:rPr>
          <w:sz w:val="20"/>
        </w:rPr>
        <w:t>issues in dispute that </w:t>
      </w:r>
      <w:r>
        <w:rPr>
          <w:spacing w:val="-3"/>
          <w:sz w:val="20"/>
        </w:rPr>
        <w:t>would require </w:t>
      </w:r>
      <w:r>
        <w:rPr>
          <w:sz w:val="20"/>
        </w:rPr>
        <w:t>full hearing or sight, for </w:t>
      </w:r>
      <w:r>
        <w:rPr>
          <w:spacing w:val="-3"/>
          <w:sz w:val="20"/>
        </w:rPr>
        <w:t>example, </w:t>
      </w:r>
      <w:r>
        <w:rPr>
          <w:sz w:val="20"/>
        </w:rPr>
        <w:t>visual or </w:t>
      </w:r>
      <w:r>
        <w:rPr>
          <w:spacing w:val="-3"/>
          <w:sz w:val="20"/>
        </w:rPr>
        <w:t>voice </w:t>
      </w:r>
      <w:r>
        <w:rPr>
          <w:sz w:val="20"/>
        </w:rPr>
        <w:t>identification.</w:t>
      </w:r>
      <w:r>
        <w:rPr>
          <w:position w:val="7"/>
          <w:sz w:val="11"/>
        </w:rPr>
        <w:t>36 </w:t>
      </w:r>
      <w:r>
        <w:rPr>
          <w:sz w:val="20"/>
        </w:rPr>
        <w:t>County Court consultees suggested that ‘ judicial </w:t>
      </w:r>
      <w:r>
        <w:rPr>
          <w:spacing w:val="-3"/>
          <w:sz w:val="20"/>
        </w:rPr>
        <w:t>oversight </w:t>
      </w:r>
      <w:r>
        <w:rPr>
          <w:sz w:val="20"/>
        </w:rPr>
        <w:t>of this assessment should guard against prejudicial judgements </w:t>
      </w:r>
      <w:r>
        <w:rPr>
          <w:spacing w:val="-3"/>
          <w:sz w:val="20"/>
        </w:rPr>
        <w:t>by</w:t>
      </w:r>
      <w:r>
        <w:rPr>
          <w:spacing w:val="-13"/>
          <w:sz w:val="20"/>
        </w:rPr>
        <w:t> </w:t>
      </w:r>
      <w:r>
        <w:rPr>
          <w:spacing w:val="-3"/>
          <w:sz w:val="20"/>
        </w:rPr>
        <w:t>parties’.</w:t>
      </w:r>
      <w:r>
        <w:rPr>
          <w:spacing w:val="-3"/>
          <w:position w:val="7"/>
          <w:sz w:val="11"/>
        </w:rPr>
        <w:t>37</w:t>
      </w:r>
    </w:p>
    <w:p>
      <w:pPr>
        <w:pStyle w:val="ListParagraph"/>
        <w:numPr>
          <w:ilvl w:val="2"/>
          <w:numId w:val="12"/>
        </w:numPr>
        <w:tabs>
          <w:tab w:pos="2158" w:val="left" w:leader="none"/>
        </w:tabs>
        <w:spacing w:line="206" w:lineRule="auto" w:before="94" w:after="0"/>
        <w:ind w:left="2157" w:right="1717" w:hanging="396"/>
        <w:jc w:val="both"/>
        <w:rPr>
          <w:sz w:val="11"/>
        </w:rPr>
      </w:pPr>
      <w:r>
        <w:rPr>
          <w:sz w:val="20"/>
        </w:rPr>
        <w:t>This</w:t>
      </w:r>
      <w:r>
        <w:rPr>
          <w:spacing w:val="-10"/>
          <w:sz w:val="20"/>
        </w:rPr>
        <w:t> </w:t>
      </w:r>
      <w:r>
        <w:rPr>
          <w:sz w:val="20"/>
        </w:rPr>
        <w:t>information</w:t>
      </w:r>
      <w:r>
        <w:rPr>
          <w:spacing w:val="-9"/>
          <w:sz w:val="20"/>
        </w:rPr>
        <w:t> </w:t>
      </w:r>
      <w:r>
        <w:rPr>
          <w:sz w:val="20"/>
        </w:rPr>
        <w:t>could</w:t>
      </w:r>
      <w:r>
        <w:rPr>
          <w:spacing w:val="-10"/>
          <w:sz w:val="20"/>
        </w:rPr>
        <w:t> </w:t>
      </w:r>
      <w:r>
        <w:rPr>
          <w:sz w:val="20"/>
        </w:rPr>
        <w:t>then</w:t>
      </w:r>
      <w:r>
        <w:rPr>
          <w:spacing w:val="-9"/>
          <w:sz w:val="20"/>
        </w:rPr>
        <w:t> </w:t>
      </w:r>
      <w:r>
        <w:rPr>
          <w:sz w:val="20"/>
        </w:rPr>
        <w:t>be</w:t>
      </w:r>
      <w:r>
        <w:rPr>
          <w:spacing w:val="-10"/>
          <w:sz w:val="20"/>
        </w:rPr>
        <w:t> </w:t>
      </w:r>
      <w:r>
        <w:rPr>
          <w:spacing w:val="-3"/>
          <w:sz w:val="20"/>
        </w:rPr>
        <w:t>provided</w:t>
      </w:r>
      <w:r>
        <w:rPr>
          <w:spacing w:val="-9"/>
          <w:sz w:val="20"/>
        </w:rPr>
        <w:t> </w:t>
      </w:r>
      <w:r>
        <w:rPr>
          <w:spacing w:val="-3"/>
          <w:sz w:val="20"/>
        </w:rPr>
        <w:t>by</w:t>
      </w:r>
      <w:r>
        <w:rPr>
          <w:spacing w:val="-9"/>
          <w:sz w:val="20"/>
        </w:rPr>
        <w:t> </w:t>
      </w:r>
      <w:r>
        <w:rPr>
          <w:sz w:val="20"/>
        </w:rPr>
        <w:t>the</w:t>
      </w:r>
      <w:r>
        <w:rPr>
          <w:spacing w:val="-10"/>
          <w:sz w:val="20"/>
        </w:rPr>
        <w:t> </w:t>
      </w:r>
      <w:r>
        <w:rPr>
          <w:sz w:val="20"/>
        </w:rPr>
        <w:t>Court</w:t>
      </w:r>
      <w:r>
        <w:rPr>
          <w:spacing w:val="-9"/>
          <w:sz w:val="20"/>
        </w:rPr>
        <w:t> </w:t>
      </w:r>
      <w:r>
        <w:rPr>
          <w:sz w:val="20"/>
        </w:rPr>
        <w:t>to</w:t>
      </w:r>
      <w:r>
        <w:rPr>
          <w:spacing w:val="-10"/>
          <w:sz w:val="20"/>
        </w:rPr>
        <w:t> </w:t>
      </w:r>
      <w:r>
        <w:rPr>
          <w:sz w:val="20"/>
        </w:rPr>
        <w:t>Juries</w:t>
      </w:r>
      <w:r>
        <w:rPr>
          <w:spacing w:val="-9"/>
          <w:sz w:val="20"/>
        </w:rPr>
        <w:t> </w:t>
      </w:r>
      <w:r>
        <w:rPr>
          <w:sz w:val="20"/>
        </w:rPr>
        <w:t>Victoria</w:t>
      </w:r>
      <w:r>
        <w:rPr>
          <w:spacing w:val="-9"/>
          <w:sz w:val="20"/>
        </w:rPr>
        <w:t> </w:t>
      </w:r>
      <w:r>
        <w:rPr>
          <w:sz w:val="20"/>
        </w:rPr>
        <w:t>so</w:t>
      </w:r>
      <w:r>
        <w:rPr>
          <w:spacing w:val="-10"/>
          <w:sz w:val="20"/>
        </w:rPr>
        <w:t> </w:t>
      </w:r>
      <w:r>
        <w:rPr>
          <w:sz w:val="20"/>
        </w:rPr>
        <w:t>that jurors</w:t>
      </w:r>
      <w:r>
        <w:rPr>
          <w:spacing w:val="-10"/>
          <w:sz w:val="20"/>
        </w:rPr>
        <w:t> </w:t>
      </w:r>
      <w:r>
        <w:rPr>
          <w:sz w:val="20"/>
        </w:rPr>
        <w:t>who</w:t>
      </w:r>
      <w:r>
        <w:rPr>
          <w:spacing w:val="-9"/>
          <w:sz w:val="20"/>
        </w:rPr>
        <w:t> </w:t>
      </w:r>
      <w:r>
        <w:rPr>
          <w:spacing w:val="-3"/>
          <w:sz w:val="20"/>
        </w:rPr>
        <w:t>require</w:t>
      </w:r>
      <w:r>
        <w:rPr>
          <w:spacing w:val="-10"/>
          <w:sz w:val="20"/>
        </w:rPr>
        <w:t> </w:t>
      </w:r>
      <w:r>
        <w:rPr>
          <w:sz w:val="20"/>
        </w:rPr>
        <w:t>supports</w:t>
      </w:r>
      <w:r>
        <w:rPr>
          <w:spacing w:val="-9"/>
          <w:sz w:val="20"/>
        </w:rPr>
        <w:t> </w:t>
      </w:r>
      <w:r>
        <w:rPr>
          <w:spacing w:val="-3"/>
          <w:sz w:val="20"/>
        </w:rPr>
        <w:t>are</w:t>
      </w:r>
      <w:r>
        <w:rPr>
          <w:spacing w:val="-9"/>
          <w:sz w:val="20"/>
        </w:rPr>
        <w:t> </w:t>
      </w:r>
      <w:r>
        <w:rPr>
          <w:sz w:val="20"/>
        </w:rPr>
        <w:t>not</w:t>
      </w:r>
      <w:r>
        <w:rPr>
          <w:spacing w:val="-10"/>
          <w:sz w:val="20"/>
        </w:rPr>
        <w:t> </w:t>
      </w:r>
      <w:r>
        <w:rPr>
          <w:sz w:val="20"/>
        </w:rPr>
        <w:t>allocated</w:t>
      </w:r>
      <w:r>
        <w:rPr>
          <w:spacing w:val="-9"/>
          <w:sz w:val="20"/>
        </w:rPr>
        <w:t> </w:t>
      </w:r>
      <w:r>
        <w:rPr>
          <w:sz w:val="20"/>
        </w:rPr>
        <w:t>to</w:t>
      </w:r>
      <w:r>
        <w:rPr>
          <w:spacing w:val="-9"/>
          <w:sz w:val="20"/>
        </w:rPr>
        <w:t> </w:t>
      </w:r>
      <w:r>
        <w:rPr>
          <w:sz w:val="20"/>
        </w:rPr>
        <w:t>a</w:t>
      </w:r>
      <w:r>
        <w:rPr>
          <w:spacing w:val="-10"/>
          <w:sz w:val="20"/>
        </w:rPr>
        <w:t> </w:t>
      </w:r>
      <w:r>
        <w:rPr>
          <w:sz w:val="20"/>
        </w:rPr>
        <w:t>trial</w:t>
      </w:r>
      <w:r>
        <w:rPr>
          <w:spacing w:val="-9"/>
          <w:sz w:val="20"/>
        </w:rPr>
        <w:t> </w:t>
      </w:r>
      <w:r>
        <w:rPr>
          <w:sz w:val="20"/>
        </w:rPr>
        <w:t>that</w:t>
      </w:r>
      <w:r>
        <w:rPr>
          <w:spacing w:val="-9"/>
          <w:sz w:val="20"/>
        </w:rPr>
        <w:t> </w:t>
      </w:r>
      <w:r>
        <w:rPr>
          <w:sz w:val="20"/>
        </w:rPr>
        <w:t>is</w:t>
      </w:r>
      <w:r>
        <w:rPr>
          <w:spacing w:val="-10"/>
          <w:sz w:val="20"/>
        </w:rPr>
        <w:t> </w:t>
      </w:r>
      <w:r>
        <w:rPr>
          <w:sz w:val="20"/>
        </w:rPr>
        <w:t>not</w:t>
      </w:r>
      <w:r>
        <w:rPr>
          <w:spacing w:val="-9"/>
          <w:sz w:val="20"/>
        </w:rPr>
        <w:t> </w:t>
      </w:r>
      <w:r>
        <w:rPr>
          <w:sz w:val="20"/>
        </w:rPr>
        <w:t>suitable.</w:t>
      </w:r>
      <w:r>
        <w:rPr>
          <w:spacing w:val="-10"/>
          <w:sz w:val="20"/>
        </w:rPr>
        <w:t> </w:t>
      </w:r>
      <w:r>
        <w:rPr>
          <w:sz w:val="20"/>
        </w:rPr>
        <w:t>The Juries Commissioner </w:t>
      </w:r>
      <w:r>
        <w:rPr>
          <w:spacing w:val="-3"/>
          <w:sz w:val="20"/>
        </w:rPr>
        <w:t>would </w:t>
      </w:r>
      <w:r>
        <w:rPr>
          <w:sz w:val="20"/>
        </w:rPr>
        <w:t>need a new </w:t>
      </w:r>
      <w:r>
        <w:rPr>
          <w:spacing w:val="-3"/>
          <w:sz w:val="20"/>
        </w:rPr>
        <w:t>power </w:t>
      </w:r>
      <w:r>
        <w:rPr>
          <w:sz w:val="20"/>
        </w:rPr>
        <w:t>to </w:t>
      </w:r>
      <w:r>
        <w:rPr>
          <w:spacing w:val="-3"/>
          <w:sz w:val="20"/>
        </w:rPr>
        <w:t>achieve</w:t>
      </w:r>
      <w:r>
        <w:rPr>
          <w:spacing w:val="-35"/>
          <w:sz w:val="20"/>
        </w:rPr>
        <w:t> </w:t>
      </w:r>
      <w:r>
        <w:rPr>
          <w:sz w:val="20"/>
        </w:rPr>
        <w:t>this.</w:t>
      </w:r>
      <w:r>
        <w:rPr>
          <w:position w:val="7"/>
          <w:sz w:val="11"/>
        </w:rPr>
        <w:t>38</w:t>
      </w:r>
    </w:p>
    <w:p>
      <w:pPr>
        <w:pStyle w:val="ListParagraph"/>
        <w:numPr>
          <w:ilvl w:val="2"/>
          <w:numId w:val="12"/>
        </w:numPr>
        <w:tabs>
          <w:tab w:pos="2157" w:val="left" w:leader="none"/>
          <w:tab w:pos="2158" w:val="left" w:leader="none"/>
        </w:tabs>
        <w:spacing w:line="259" w:lineRule="exact" w:before="57" w:after="0"/>
        <w:ind w:left="2157" w:right="0" w:hanging="396"/>
        <w:jc w:val="left"/>
        <w:rPr>
          <w:sz w:val="20"/>
        </w:rPr>
      </w:pPr>
      <w:r>
        <w:rPr>
          <w:sz w:val="20"/>
        </w:rPr>
        <w:t>A</w:t>
      </w:r>
      <w:r>
        <w:rPr>
          <w:spacing w:val="-6"/>
          <w:sz w:val="20"/>
        </w:rPr>
        <w:t> </w:t>
      </w:r>
      <w:r>
        <w:rPr>
          <w:sz w:val="20"/>
        </w:rPr>
        <w:t>small</w:t>
      </w:r>
      <w:r>
        <w:rPr>
          <w:spacing w:val="-6"/>
          <w:sz w:val="20"/>
        </w:rPr>
        <w:t> </w:t>
      </w:r>
      <w:r>
        <w:rPr>
          <w:sz w:val="20"/>
        </w:rPr>
        <w:t>pool</w:t>
      </w:r>
      <w:r>
        <w:rPr>
          <w:spacing w:val="-6"/>
          <w:sz w:val="20"/>
        </w:rPr>
        <w:t> </w:t>
      </w:r>
      <w:r>
        <w:rPr>
          <w:sz w:val="20"/>
        </w:rPr>
        <w:t>of</w:t>
      </w:r>
      <w:r>
        <w:rPr>
          <w:spacing w:val="-5"/>
          <w:sz w:val="20"/>
        </w:rPr>
        <w:t> </w:t>
      </w:r>
      <w:r>
        <w:rPr>
          <w:sz w:val="20"/>
        </w:rPr>
        <w:t>people</w:t>
      </w:r>
      <w:r>
        <w:rPr>
          <w:spacing w:val="-6"/>
          <w:sz w:val="20"/>
        </w:rPr>
        <w:t> </w:t>
      </w:r>
      <w:r>
        <w:rPr>
          <w:sz w:val="20"/>
        </w:rPr>
        <w:t>in</w:t>
      </w:r>
      <w:r>
        <w:rPr>
          <w:spacing w:val="-6"/>
          <w:sz w:val="20"/>
        </w:rPr>
        <w:t> </w:t>
      </w:r>
      <w:r>
        <w:rPr>
          <w:sz w:val="20"/>
        </w:rPr>
        <w:t>the</w:t>
      </w:r>
      <w:r>
        <w:rPr>
          <w:spacing w:val="-5"/>
          <w:sz w:val="20"/>
        </w:rPr>
        <w:t> </w:t>
      </w:r>
      <w:r>
        <w:rPr>
          <w:sz w:val="20"/>
        </w:rPr>
        <w:t>Juries</w:t>
      </w:r>
      <w:r>
        <w:rPr>
          <w:spacing w:val="-6"/>
          <w:sz w:val="20"/>
        </w:rPr>
        <w:t> </w:t>
      </w:r>
      <w:r>
        <w:rPr>
          <w:sz w:val="20"/>
        </w:rPr>
        <w:t>Commissioner’s</w:t>
      </w:r>
      <w:r>
        <w:rPr>
          <w:spacing w:val="-6"/>
          <w:sz w:val="20"/>
        </w:rPr>
        <w:t> </w:t>
      </w:r>
      <w:r>
        <w:rPr>
          <w:sz w:val="20"/>
        </w:rPr>
        <w:t>Office,</w:t>
      </w:r>
      <w:r>
        <w:rPr>
          <w:spacing w:val="-5"/>
          <w:sz w:val="20"/>
        </w:rPr>
        <w:t> </w:t>
      </w:r>
      <w:r>
        <w:rPr>
          <w:sz w:val="20"/>
        </w:rPr>
        <w:t>with</w:t>
      </w:r>
      <w:r>
        <w:rPr>
          <w:spacing w:val="-6"/>
          <w:sz w:val="20"/>
        </w:rPr>
        <w:t> </w:t>
      </w:r>
      <w:r>
        <w:rPr>
          <w:spacing w:val="-3"/>
          <w:sz w:val="20"/>
        </w:rPr>
        <w:t>appropriate</w:t>
      </w:r>
    </w:p>
    <w:p>
      <w:pPr>
        <w:pStyle w:val="BodyText"/>
        <w:spacing w:line="259" w:lineRule="exact"/>
        <w:ind w:left="2157"/>
        <w:rPr>
          <w:sz w:val="11"/>
        </w:rPr>
      </w:pPr>
      <w:r>
        <w:rPr/>
        <w:t>training and guidelines, could make those assessments instead of judges.</w:t>
      </w:r>
      <w:r>
        <w:rPr>
          <w:position w:val="7"/>
          <w:sz w:val="11"/>
        </w:rPr>
        <w:t>39</w:t>
      </w:r>
    </w:p>
    <w:p>
      <w:pPr>
        <w:pStyle w:val="BodyText"/>
        <w:spacing w:before="47"/>
        <w:ind w:left="1761"/>
      </w:pPr>
      <w:r>
        <w:rPr/>
        <w:t>Consultees from the County Court suggested additional elements:</w:t>
      </w:r>
    </w:p>
    <w:p>
      <w:pPr>
        <w:pStyle w:val="ListParagraph"/>
        <w:numPr>
          <w:ilvl w:val="2"/>
          <w:numId w:val="12"/>
        </w:numPr>
        <w:tabs>
          <w:tab w:pos="2157" w:val="left" w:leader="none"/>
          <w:tab w:pos="2158" w:val="left" w:leader="none"/>
        </w:tabs>
        <w:spacing w:line="206" w:lineRule="auto" w:before="115" w:after="0"/>
        <w:ind w:left="2157" w:right="1249" w:hanging="396"/>
        <w:jc w:val="left"/>
        <w:rPr>
          <w:sz w:val="20"/>
        </w:rPr>
      </w:pPr>
      <w:r>
        <w:rPr>
          <w:sz w:val="20"/>
        </w:rPr>
        <w:t>The</w:t>
      </w:r>
      <w:r>
        <w:rPr>
          <w:spacing w:val="-11"/>
          <w:sz w:val="20"/>
        </w:rPr>
        <w:t> </w:t>
      </w:r>
      <w:r>
        <w:rPr>
          <w:sz w:val="20"/>
        </w:rPr>
        <w:t>decision</w:t>
      </w:r>
      <w:r>
        <w:rPr>
          <w:spacing w:val="-10"/>
          <w:sz w:val="20"/>
        </w:rPr>
        <w:t> </w:t>
      </w:r>
      <w:r>
        <w:rPr>
          <w:sz w:val="20"/>
        </w:rPr>
        <w:t>of</w:t>
      </w:r>
      <w:r>
        <w:rPr>
          <w:spacing w:val="-10"/>
          <w:sz w:val="20"/>
        </w:rPr>
        <w:t> </w:t>
      </w:r>
      <w:r>
        <w:rPr>
          <w:sz w:val="20"/>
        </w:rPr>
        <w:t>the</w:t>
      </w:r>
      <w:r>
        <w:rPr>
          <w:spacing w:val="-10"/>
          <w:sz w:val="20"/>
        </w:rPr>
        <w:t> </w:t>
      </w:r>
      <w:r>
        <w:rPr>
          <w:sz w:val="20"/>
        </w:rPr>
        <w:t>Juries</w:t>
      </w:r>
      <w:r>
        <w:rPr>
          <w:spacing w:val="-10"/>
          <w:sz w:val="20"/>
        </w:rPr>
        <w:t> </w:t>
      </w:r>
      <w:r>
        <w:rPr>
          <w:sz w:val="20"/>
        </w:rPr>
        <w:t>Commissioner</w:t>
      </w:r>
      <w:r>
        <w:rPr>
          <w:spacing w:val="-10"/>
          <w:sz w:val="20"/>
        </w:rPr>
        <w:t> </w:t>
      </w:r>
      <w:r>
        <w:rPr>
          <w:sz w:val="20"/>
        </w:rPr>
        <w:t>‘should</w:t>
      </w:r>
      <w:r>
        <w:rPr>
          <w:spacing w:val="-10"/>
          <w:sz w:val="20"/>
        </w:rPr>
        <w:t> </w:t>
      </w:r>
      <w:r>
        <w:rPr>
          <w:sz w:val="20"/>
        </w:rPr>
        <w:t>be</w:t>
      </w:r>
      <w:r>
        <w:rPr>
          <w:spacing w:val="-10"/>
          <w:sz w:val="20"/>
        </w:rPr>
        <w:t> </w:t>
      </w:r>
      <w:r>
        <w:rPr>
          <w:spacing w:val="-3"/>
          <w:sz w:val="20"/>
        </w:rPr>
        <w:t>reviewable</w:t>
      </w:r>
      <w:r>
        <w:rPr>
          <w:spacing w:val="-10"/>
          <w:sz w:val="20"/>
        </w:rPr>
        <w:t> </w:t>
      </w:r>
      <w:r>
        <w:rPr>
          <w:spacing w:val="-3"/>
          <w:sz w:val="20"/>
        </w:rPr>
        <w:t>by</w:t>
      </w:r>
      <w:r>
        <w:rPr>
          <w:spacing w:val="-10"/>
          <w:sz w:val="20"/>
        </w:rPr>
        <w:t> </w:t>
      </w:r>
      <w:r>
        <w:rPr>
          <w:sz w:val="20"/>
        </w:rPr>
        <w:t>an</w:t>
      </w:r>
      <w:r>
        <w:rPr>
          <w:spacing w:val="-10"/>
          <w:sz w:val="20"/>
        </w:rPr>
        <w:t> </w:t>
      </w:r>
      <w:r>
        <w:rPr>
          <w:sz w:val="20"/>
        </w:rPr>
        <w:t>independent </w:t>
      </w:r>
      <w:r>
        <w:rPr>
          <w:spacing w:val="-5"/>
          <w:sz w:val="20"/>
        </w:rPr>
        <w:t>reviewer, </w:t>
      </w:r>
      <w:r>
        <w:rPr>
          <w:sz w:val="20"/>
        </w:rPr>
        <w:t>for </w:t>
      </w:r>
      <w:r>
        <w:rPr>
          <w:spacing w:val="-3"/>
          <w:sz w:val="20"/>
        </w:rPr>
        <w:t>example </w:t>
      </w:r>
      <w:r>
        <w:rPr>
          <w:sz w:val="20"/>
        </w:rPr>
        <w:t>a Judicial Registrar or a List Judge in advance of the </w:t>
      </w:r>
      <w:r>
        <w:rPr>
          <w:spacing w:val="-3"/>
          <w:sz w:val="20"/>
        </w:rPr>
        <w:t>date </w:t>
      </w:r>
      <w:r>
        <w:rPr>
          <w:sz w:val="20"/>
        </w:rPr>
        <w:t>the potential juror </w:t>
      </w:r>
      <w:r>
        <w:rPr>
          <w:spacing w:val="-3"/>
          <w:sz w:val="20"/>
        </w:rPr>
        <w:t>would </w:t>
      </w:r>
      <w:r>
        <w:rPr>
          <w:sz w:val="20"/>
        </w:rPr>
        <w:t>be summonsed for service. It should not be left to a trial judge when</w:t>
      </w:r>
      <w:r>
        <w:rPr>
          <w:spacing w:val="-9"/>
          <w:sz w:val="20"/>
        </w:rPr>
        <w:t> </w:t>
      </w:r>
      <w:r>
        <w:rPr>
          <w:spacing w:val="-3"/>
          <w:sz w:val="20"/>
        </w:rPr>
        <w:t>empanelling’.</w:t>
      </w:r>
    </w:p>
    <w:p>
      <w:pPr>
        <w:pStyle w:val="ListParagraph"/>
        <w:numPr>
          <w:ilvl w:val="2"/>
          <w:numId w:val="12"/>
        </w:numPr>
        <w:tabs>
          <w:tab w:pos="2158" w:val="left" w:leader="none"/>
        </w:tabs>
        <w:spacing w:line="206" w:lineRule="auto" w:before="90" w:after="0"/>
        <w:ind w:left="2157" w:right="1405" w:hanging="396"/>
        <w:jc w:val="both"/>
        <w:rPr>
          <w:sz w:val="20"/>
        </w:rPr>
      </w:pPr>
      <w:r>
        <w:rPr>
          <w:sz w:val="20"/>
        </w:rPr>
        <w:t>On</w:t>
      </w:r>
      <w:r>
        <w:rPr>
          <w:spacing w:val="-12"/>
          <w:sz w:val="20"/>
        </w:rPr>
        <w:t> </w:t>
      </w:r>
      <w:r>
        <w:rPr>
          <w:sz w:val="20"/>
        </w:rPr>
        <w:t>the</w:t>
      </w:r>
      <w:r>
        <w:rPr>
          <w:spacing w:val="-11"/>
          <w:sz w:val="20"/>
        </w:rPr>
        <w:t> </w:t>
      </w:r>
      <w:r>
        <w:rPr>
          <w:spacing w:val="-3"/>
          <w:sz w:val="20"/>
        </w:rPr>
        <w:t>day</w:t>
      </w:r>
      <w:r>
        <w:rPr>
          <w:spacing w:val="-11"/>
          <w:sz w:val="20"/>
        </w:rPr>
        <w:t> </w:t>
      </w:r>
      <w:r>
        <w:rPr>
          <w:sz w:val="20"/>
        </w:rPr>
        <w:t>of</w:t>
      </w:r>
      <w:r>
        <w:rPr>
          <w:spacing w:val="-11"/>
          <w:sz w:val="20"/>
        </w:rPr>
        <w:t> </w:t>
      </w:r>
      <w:r>
        <w:rPr>
          <w:sz w:val="20"/>
        </w:rPr>
        <w:t>empanelment,</w:t>
      </w:r>
      <w:r>
        <w:rPr>
          <w:spacing w:val="-11"/>
          <w:sz w:val="20"/>
        </w:rPr>
        <w:t> </w:t>
      </w:r>
      <w:r>
        <w:rPr>
          <w:sz w:val="20"/>
        </w:rPr>
        <w:t>if</w:t>
      </w:r>
      <w:r>
        <w:rPr>
          <w:spacing w:val="-11"/>
          <w:sz w:val="20"/>
        </w:rPr>
        <w:t> </w:t>
      </w:r>
      <w:r>
        <w:rPr>
          <w:sz w:val="20"/>
        </w:rPr>
        <w:t>a</w:t>
      </w:r>
      <w:r>
        <w:rPr>
          <w:spacing w:val="-12"/>
          <w:sz w:val="20"/>
        </w:rPr>
        <w:t> </w:t>
      </w:r>
      <w:r>
        <w:rPr>
          <w:sz w:val="20"/>
        </w:rPr>
        <w:t>potential</w:t>
      </w:r>
      <w:r>
        <w:rPr>
          <w:spacing w:val="-11"/>
          <w:sz w:val="20"/>
        </w:rPr>
        <w:t> </w:t>
      </w:r>
      <w:r>
        <w:rPr>
          <w:sz w:val="20"/>
        </w:rPr>
        <w:t>juror</w:t>
      </w:r>
      <w:r>
        <w:rPr>
          <w:spacing w:val="-11"/>
          <w:sz w:val="20"/>
        </w:rPr>
        <w:t> </w:t>
      </w:r>
      <w:r>
        <w:rPr>
          <w:sz w:val="20"/>
        </w:rPr>
        <w:t>is</w:t>
      </w:r>
      <w:r>
        <w:rPr>
          <w:spacing w:val="-11"/>
          <w:sz w:val="20"/>
        </w:rPr>
        <w:t> </w:t>
      </w:r>
      <w:r>
        <w:rPr>
          <w:sz w:val="20"/>
        </w:rPr>
        <w:t>attending</w:t>
      </w:r>
      <w:r>
        <w:rPr>
          <w:spacing w:val="-11"/>
          <w:sz w:val="20"/>
        </w:rPr>
        <w:t> </w:t>
      </w:r>
      <w:r>
        <w:rPr>
          <w:sz w:val="20"/>
        </w:rPr>
        <w:t>with</w:t>
      </w:r>
      <w:r>
        <w:rPr>
          <w:spacing w:val="-11"/>
          <w:sz w:val="20"/>
        </w:rPr>
        <w:t> </w:t>
      </w:r>
      <w:r>
        <w:rPr>
          <w:sz w:val="20"/>
        </w:rPr>
        <w:t>adjustments,</w:t>
      </w:r>
      <w:r>
        <w:rPr>
          <w:spacing w:val="-12"/>
          <w:sz w:val="20"/>
        </w:rPr>
        <w:t> </w:t>
      </w:r>
      <w:r>
        <w:rPr>
          <w:sz w:val="20"/>
        </w:rPr>
        <w:t>the selection</w:t>
      </w:r>
      <w:r>
        <w:rPr>
          <w:spacing w:val="-9"/>
          <w:sz w:val="20"/>
        </w:rPr>
        <w:t> </w:t>
      </w:r>
      <w:r>
        <w:rPr>
          <w:sz w:val="20"/>
        </w:rPr>
        <w:t>of</w:t>
      </w:r>
      <w:r>
        <w:rPr>
          <w:spacing w:val="-9"/>
          <w:sz w:val="20"/>
        </w:rPr>
        <w:t> </w:t>
      </w:r>
      <w:r>
        <w:rPr>
          <w:sz w:val="20"/>
        </w:rPr>
        <w:t>the</w:t>
      </w:r>
      <w:r>
        <w:rPr>
          <w:spacing w:val="-8"/>
          <w:sz w:val="20"/>
        </w:rPr>
        <w:t> </w:t>
      </w:r>
      <w:r>
        <w:rPr>
          <w:sz w:val="20"/>
        </w:rPr>
        <w:t>jury</w:t>
      </w:r>
      <w:r>
        <w:rPr>
          <w:spacing w:val="-9"/>
          <w:sz w:val="20"/>
        </w:rPr>
        <w:t> </w:t>
      </w:r>
      <w:r>
        <w:rPr>
          <w:sz w:val="20"/>
        </w:rPr>
        <w:t>panel</w:t>
      </w:r>
      <w:r>
        <w:rPr>
          <w:spacing w:val="-9"/>
          <w:sz w:val="20"/>
        </w:rPr>
        <w:t> </w:t>
      </w:r>
      <w:r>
        <w:rPr>
          <w:spacing w:val="-3"/>
          <w:sz w:val="20"/>
        </w:rPr>
        <w:t>would</w:t>
      </w:r>
      <w:r>
        <w:rPr>
          <w:spacing w:val="-8"/>
          <w:sz w:val="20"/>
        </w:rPr>
        <w:t> </w:t>
      </w:r>
      <w:r>
        <w:rPr>
          <w:sz w:val="20"/>
        </w:rPr>
        <w:t>proceed</w:t>
      </w:r>
      <w:r>
        <w:rPr>
          <w:spacing w:val="-9"/>
          <w:sz w:val="20"/>
        </w:rPr>
        <w:t> </w:t>
      </w:r>
      <w:r>
        <w:rPr>
          <w:sz w:val="20"/>
        </w:rPr>
        <w:t>as</w:t>
      </w:r>
      <w:r>
        <w:rPr>
          <w:spacing w:val="-8"/>
          <w:sz w:val="20"/>
        </w:rPr>
        <w:t> </w:t>
      </w:r>
      <w:r>
        <w:rPr>
          <w:sz w:val="20"/>
        </w:rPr>
        <w:t>normal.</w:t>
      </w:r>
      <w:r>
        <w:rPr>
          <w:spacing w:val="-9"/>
          <w:sz w:val="20"/>
        </w:rPr>
        <w:t> </w:t>
      </w:r>
      <w:r>
        <w:rPr>
          <w:sz w:val="20"/>
        </w:rPr>
        <w:t>The</w:t>
      </w:r>
      <w:r>
        <w:rPr>
          <w:spacing w:val="-9"/>
          <w:sz w:val="20"/>
        </w:rPr>
        <w:t> </w:t>
      </w:r>
      <w:r>
        <w:rPr>
          <w:sz w:val="20"/>
        </w:rPr>
        <w:t>judge</w:t>
      </w:r>
      <w:r>
        <w:rPr>
          <w:spacing w:val="-8"/>
          <w:sz w:val="20"/>
        </w:rPr>
        <w:t> </w:t>
      </w:r>
      <w:r>
        <w:rPr>
          <w:spacing w:val="-3"/>
          <w:sz w:val="20"/>
        </w:rPr>
        <w:t>would</w:t>
      </w:r>
      <w:r>
        <w:rPr>
          <w:spacing w:val="-9"/>
          <w:sz w:val="20"/>
        </w:rPr>
        <w:t> </w:t>
      </w:r>
      <w:r>
        <w:rPr>
          <w:sz w:val="20"/>
        </w:rPr>
        <w:t>talk</w:t>
      </w:r>
      <w:r>
        <w:rPr>
          <w:spacing w:val="-8"/>
          <w:sz w:val="20"/>
        </w:rPr>
        <w:t> </w:t>
      </w:r>
      <w:r>
        <w:rPr>
          <w:sz w:val="20"/>
        </w:rPr>
        <w:t>about the</w:t>
      </w:r>
      <w:r>
        <w:rPr>
          <w:spacing w:val="-7"/>
          <w:sz w:val="20"/>
        </w:rPr>
        <w:t> </w:t>
      </w:r>
      <w:r>
        <w:rPr>
          <w:sz w:val="20"/>
        </w:rPr>
        <w:t>use</w:t>
      </w:r>
      <w:r>
        <w:rPr>
          <w:spacing w:val="-6"/>
          <w:sz w:val="20"/>
        </w:rPr>
        <w:t> </w:t>
      </w:r>
      <w:r>
        <w:rPr>
          <w:sz w:val="20"/>
        </w:rPr>
        <w:t>of</w:t>
      </w:r>
      <w:r>
        <w:rPr>
          <w:spacing w:val="-6"/>
          <w:sz w:val="20"/>
        </w:rPr>
        <w:t> </w:t>
      </w:r>
      <w:r>
        <w:rPr>
          <w:sz w:val="20"/>
        </w:rPr>
        <w:t>supports</w:t>
      </w:r>
      <w:r>
        <w:rPr>
          <w:spacing w:val="-6"/>
          <w:sz w:val="20"/>
        </w:rPr>
        <w:t> </w:t>
      </w:r>
      <w:r>
        <w:rPr>
          <w:sz w:val="20"/>
        </w:rPr>
        <w:t>in</w:t>
      </w:r>
      <w:r>
        <w:rPr>
          <w:spacing w:val="-6"/>
          <w:sz w:val="20"/>
        </w:rPr>
        <w:t> </w:t>
      </w:r>
      <w:r>
        <w:rPr>
          <w:sz w:val="20"/>
        </w:rPr>
        <w:t>directions</w:t>
      </w:r>
      <w:r>
        <w:rPr>
          <w:spacing w:val="-6"/>
          <w:sz w:val="20"/>
        </w:rPr>
        <w:t> </w:t>
      </w:r>
      <w:r>
        <w:rPr>
          <w:sz w:val="20"/>
        </w:rPr>
        <w:t>prior</w:t>
      </w:r>
      <w:r>
        <w:rPr>
          <w:spacing w:val="-6"/>
          <w:sz w:val="20"/>
        </w:rPr>
        <w:t> </w:t>
      </w:r>
      <w:r>
        <w:rPr>
          <w:sz w:val="20"/>
        </w:rPr>
        <w:t>to</w:t>
      </w:r>
      <w:r>
        <w:rPr>
          <w:spacing w:val="-7"/>
          <w:sz w:val="20"/>
        </w:rPr>
        <w:t> </w:t>
      </w:r>
      <w:r>
        <w:rPr>
          <w:sz w:val="20"/>
        </w:rPr>
        <w:t>the</w:t>
      </w:r>
      <w:r>
        <w:rPr>
          <w:spacing w:val="-6"/>
          <w:sz w:val="20"/>
        </w:rPr>
        <w:t> </w:t>
      </w:r>
      <w:r>
        <w:rPr>
          <w:sz w:val="20"/>
        </w:rPr>
        <w:t>empanelment</w:t>
      </w:r>
      <w:r>
        <w:rPr>
          <w:spacing w:val="-6"/>
          <w:sz w:val="20"/>
        </w:rPr>
        <w:t> </w:t>
      </w:r>
      <w:r>
        <w:rPr>
          <w:sz w:val="20"/>
        </w:rPr>
        <w:t>of</w:t>
      </w:r>
      <w:r>
        <w:rPr>
          <w:spacing w:val="-6"/>
          <w:sz w:val="20"/>
        </w:rPr>
        <w:t> </w:t>
      </w:r>
      <w:r>
        <w:rPr>
          <w:sz w:val="20"/>
        </w:rPr>
        <w:t>the</w:t>
      </w:r>
      <w:r>
        <w:rPr>
          <w:spacing w:val="-6"/>
          <w:sz w:val="20"/>
        </w:rPr>
        <w:t> </w:t>
      </w:r>
      <w:r>
        <w:rPr>
          <w:sz w:val="20"/>
        </w:rPr>
        <w:t>jury.</w:t>
      </w:r>
    </w:p>
    <w:p>
      <w:pPr>
        <w:pStyle w:val="ListParagraph"/>
        <w:numPr>
          <w:ilvl w:val="2"/>
          <w:numId w:val="12"/>
        </w:numPr>
        <w:tabs>
          <w:tab w:pos="2157" w:val="left" w:leader="none"/>
          <w:tab w:pos="2158" w:val="left" w:leader="none"/>
        </w:tabs>
        <w:spacing w:line="206" w:lineRule="auto" w:before="89" w:after="0"/>
        <w:ind w:left="2157" w:right="1286" w:hanging="396"/>
        <w:jc w:val="left"/>
        <w:rPr>
          <w:sz w:val="20"/>
        </w:rPr>
      </w:pPr>
      <w:r>
        <w:rPr>
          <w:sz w:val="20"/>
        </w:rPr>
        <w:t>An Auslan </w:t>
      </w:r>
      <w:r>
        <w:rPr>
          <w:spacing w:val="-3"/>
          <w:sz w:val="20"/>
        </w:rPr>
        <w:t>interpreter would </w:t>
      </w:r>
      <w:r>
        <w:rPr>
          <w:sz w:val="20"/>
        </w:rPr>
        <w:t>be </w:t>
      </w:r>
      <w:r>
        <w:rPr>
          <w:spacing w:val="-3"/>
          <w:sz w:val="20"/>
        </w:rPr>
        <w:t>sworn </w:t>
      </w:r>
      <w:r>
        <w:rPr>
          <w:sz w:val="20"/>
        </w:rPr>
        <w:t>in at the start of the empanelment process </w:t>
      </w:r>
      <w:r>
        <w:rPr>
          <w:spacing w:val="-3"/>
          <w:sz w:val="20"/>
        </w:rPr>
        <w:t>(consistently</w:t>
      </w:r>
      <w:r>
        <w:rPr>
          <w:spacing w:val="-8"/>
          <w:sz w:val="20"/>
        </w:rPr>
        <w:t> </w:t>
      </w:r>
      <w:r>
        <w:rPr>
          <w:sz w:val="20"/>
        </w:rPr>
        <w:t>with</w:t>
      </w:r>
      <w:r>
        <w:rPr>
          <w:spacing w:val="-8"/>
          <w:sz w:val="20"/>
        </w:rPr>
        <w:t> </w:t>
      </w:r>
      <w:r>
        <w:rPr>
          <w:sz w:val="20"/>
        </w:rPr>
        <w:t>the</w:t>
      </w:r>
      <w:r>
        <w:rPr>
          <w:spacing w:val="-7"/>
          <w:sz w:val="20"/>
        </w:rPr>
        <w:t> </w:t>
      </w:r>
      <w:r>
        <w:rPr>
          <w:sz w:val="20"/>
        </w:rPr>
        <w:t>usual</w:t>
      </w:r>
      <w:r>
        <w:rPr>
          <w:spacing w:val="-8"/>
          <w:sz w:val="20"/>
        </w:rPr>
        <w:t> </w:t>
      </w:r>
      <w:r>
        <w:rPr>
          <w:sz w:val="20"/>
        </w:rPr>
        <w:t>practice</w:t>
      </w:r>
      <w:r>
        <w:rPr>
          <w:spacing w:val="-7"/>
          <w:sz w:val="20"/>
        </w:rPr>
        <w:t> </w:t>
      </w:r>
      <w:r>
        <w:rPr>
          <w:sz w:val="20"/>
        </w:rPr>
        <w:t>of</w:t>
      </w:r>
      <w:r>
        <w:rPr>
          <w:spacing w:val="-8"/>
          <w:sz w:val="20"/>
        </w:rPr>
        <w:t> </w:t>
      </w:r>
      <w:r>
        <w:rPr>
          <w:sz w:val="20"/>
        </w:rPr>
        <w:t>swearing</w:t>
      </w:r>
      <w:r>
        <w:rPr>
          <w:spacing w:val="-8"/>
          <w:sz w:val="20"/>
        </w:rPr>
        <w:t> </w:t>
      </w:r>
      <w:r>
        <w:rPr>
          <w:sz w:val="20"/>
        </w:rPr>
        <w:t>in</w:t>
      </w:r>
      <w:r>
        <w:rPr>
          <w:spacing w:val="-7"/>
          <w:sz w:val="20"/>
        </w:rPr>
        <w:t> </w:t>
      </w:r>
      <w:r>
        <w:rPr>
          <w:spacing w:val="-3"/>
          <w:sz w:val="20"/>
        </w:rPr>
        <w:t>interpreters</w:t>
      </w:r>
      <w:r>
        <w:rPr>
          <w:spacing w:val="-8"/>
          <w:sz w:val="20"/>
        </w:rPr>
        <w:t> </w:t>
      </w:r>
      <w:r>
        <w:rPr>
          <w:sz w:val="20"/>
        </w:rPr>
        <w:t>as</w:t>
      </w:r>
      <w:r>
        <w:rPr>
          <w:spacing w:val="-7"/>
          <w:sz w:val="20"/>
        </w:rPr>
        <w:t> </w:t>
      </w:r>
      <w:r>
        <w:rPr>
          <w:sz w:val="20"/>
        </w:rPr>
        <w:t>soon</w:t>
      </w:r>
      <w:r>
        <w:rPr>
          <w:spacing w:val="-8"/>
          <w:sz w:val="20"/>
        </w:rPr>
        <w:t> </w:t>
      </w:r>
      <w:r>
        <w:rPr>
          <w:sz w:val="20"/>
        </w:rPr>
        <w:t>as</w:t>
      </w:r>
      <w:r>
        <w:rPr>
          <w:spacing w:val="-8"/>
          <w:sz w:val="20"/>
        </w:rPr>
        <w:t> </w:t>
      </w:r>
      <w:r>
        <w:rPr>
          <w:sz w:val="20"/>
        </w:rPr>
        <w:t>they</w:t>
      </w:r>
      <w:r>
        <w:rPr>
          <w:spacing w:val="-7"/>
          <w:sz w:val="20"/>
        </w:rPr>
        <w:t> </w:t>
      </w:r>
      <w:r>
        <w:rPr>
          <w:spacing w:val="-3"/>
          <w:sz w:val="20"/>
        </w:rPr>
        <w:t>are </w:t>
      </w:r>
      <w:r>
        <w:rPr>
          <w:sz w:val="20"/>
        </w:rPr>
        <w:t>needed to assist a person to participate in a </w:t>
      </w:r>
      <w:r>
        <w:rPr>
          <w:spacing w:val="-3"/>
          <w:sz w:val="20"/>
        </w:rPr>
        <w:t>hearing). At </w:t>
      </w:r>
      <w:r>
        <w:rPr>
          <w:sz w:val="20"/>
        </w:rPr>
        <w:t>that point, the trial judge can state </w:t>
      </w:r>
      <w:r>
        <w:rPr>
          <w:spacing w:val="-2"/>
          <w:sz w:val="20"/>
        </w:rPr>
        <w:t>simply </w:t>
      </w:r>
      <w:r>
        <w:rPr>
          <w:sz w:val="20"/>
        </w:rPr>
        <w:t>what the </w:t>
      </w:r>
      <w:r>
        <w:rPr>
          <w:spacing w:val="-3"/>
          <w:sz w:val="20"/>
        </w:rPr>
        <w:t>role </w:t>
      </w:r>
      <w:r>
        <w:rPr>
          <w:sz w:val="20"/>
        </w:rPr>
        <w:t>of the </w:t>
      </w:r>
      <w:r>
        <w:rPr>
          <w:spacing w:val="-3"/>
          <w:sz w:val="20"/>
        </w:rPr>
        <w:t>interpreter </w:t>
      </w:r>
      <w:r>
        <w:rPr>
          <w:sz w:val="20"/>
        </w:rPr>
        <w:t>is. The trial judge </w:t>
      </w:r>
      <w:r>
        <w:rPr>
          <w:spacing w:val="-3"/>
          <w:sz w:val="20"/>
        </w:rPr>
        <w:t>would </w:t>
      </w:r>
      <w:r>
        <w:rPr>
          <w:sz w:val="20"/>
        </w:rPr>
        <w:t>hear </w:t>
      </w:r>
      <w:r>
        <w:rPr>
          <w:spacing w:val="-3"/>
          <w:sz w:val="20"/>
        </w:rPr>
        <w:t>any excuses</w:t>
      </w:r>
      <w:r>
        <w:rPr>
          <w:spacing w:val="-10"/>
          <w:sz w:val="20"/>
        </w:rPr>
        <w:t> </w:t>
      </w:r>
      <w:r>
        <w:rPr>
          <w:sz w:val="20"/>
        </w:rPr>
        <w:t>and</w:t>
      </w:r>
      <w:r>
        <w:rPr>
          <w:spacing w:val="-9"/>
          <w:sz w:val="20"/>
        </w:rPr>
        <w:t> </w:t>
      </w:r>
      <w:r>
        <w:rPr>
          <w:sz w:val="20"/>
        </w:rPr>
        <w:t>then</w:t>
      </w:r>
      <w:r>
        <w:rPr>
          <w:spacing w:val="-9"/>
          <w:sz w:val="20"/>
        </w:rPr>
        <w:t> </w:t>
      </w:r>
      <w:r>
        <w:rPr>
          <w:sz w:val="20"/>
        </w:rPr>
        <w:t>the</w:t>
      </w:r>
      <w:r>
        <w:rPr>
          <w:spacing w:val="-9"/>
          <w:sz w:val="20"/>
        </w:rPr>
        <w:t> </w:t>
      </w:r>
      <w:r>
        <w:rPr>
          <w:sz w:val="20"/>
        </w:rPr>
        <w:t>parties</w:t>
      </w:r>
      <w:r>
        <w:rPr>
          <w:spacing w:val="-9"/>
          <w:sz w:val="20"/>
        </w:rPr>
        <w:t> </w:t>
      </w:r>
      <w:r>
        <w:rPr>
          <w:spacing w:val="-3"/>
          <w:sz w:val="20"/>
        </w:rPr>
        <w:t>would</w:t>
      </w:r>
      <w:r>
        <w:rPr>
          <w:spacing w:val="-9"/>
          <w:sz w:val="20"/>
        </w:rPr>
        <w:t> </w:t>
      </w:r>
      <w:r>
        <w:rPr>
          <w:sz w:val="20"/>
        </w:rPr>
        <w:t>proceed</w:t>
      </w:r>
      <w:r>
        <w:rPr>
          <w:spacing w:val="-9"/>
          <w:sz w:val="20"/>
        </w:rPr>
        <w:t> </w:t>
      </w:r>
      <w:r>
        <w:rPr>
          <w:sz w:val="20"/>
        </w:rPr>
        <w:t>with</w:t>
      </w:r>
      <w:r>
        <w:rPr>
          <w:spacing w:val="-9"/>
          <w:sz w:val="20"/>
        </w:rPr>
        <w:t> </w:t>
      </w:r>
      <w:r>
        <w:rPr>
          <w:sz w:val="20"/>
        </w:rPr>
        <w:t>their</w:t>
      </w:r>
      <w:r>
        <w:rPr>
          <w:spacing w:val="-9"/>
          <w:sz w:val="20"/>
        </w:rPr>
        <w:t> </w:t>
      </w:r>
      <w:r>
        <w:rPr>
          <w:sz w:val="20"/>
        </w:rPr>
        <w:t>challenges</w:t>
      </w:r>
      <w:r>
        <w:rPr>
          <w:spacing w:val="-10"/>
          <w:sz w:val="20"/>
        </w:rPr>
        <w:t> </w:t>
      </w:r>
      <w:r>
        <w:rPr>
          <w:sz w:val="20"/>
        </w:rPr>
        <w:t>or</w:t>
      </w:r>
      <w:r>
        <w:rPr>
          <w:spacing w:val="-9"/>
          <w:sz w:val="20"/>
        </w:rPr>
        <w:t> </w:t>
      </w:r>
      <w:r>
        <w:rPr>
          <w:sz w:val="20"/>
        </w:rPr>
        <w:t>stand</w:t>
      </w:r>
      <w:r>
        <w:rPr>
          <w:spacing w:val="-9"/>
          <w:sz w:val="20"/>
        </w:rPr>
        <w:t> </w:t>
      </w:r>
      <w:r>
        <w:rPr>
          <w:sz w:val="20"/>
        </w:rPr>
        <w:t>asides.</w:t>
      </w:r>
    </w:p>
    <w:p>
      <w:pPr>
        <w:pStyle w:val="ListParagraph"/>
        <w:numPr>
          <w:ilvl w:val="2"/>
          <w:numId w:val="12"/>
        </w:numPr>
        <w:tabs>
          <w:tab w:pos="2157" w:val="left" w:leader="none"/>
          <w:tab w:pos="2158" w:val="left" w:leader="none"/>
        </w:tabs>
        <w:spacing w:line="206" w:lineRule="auto" w:before="91" w:after="0"/>
        <w:ind w:left="2157" w:right="1306" w:hanging="396"/>
        <w:jc w:val="left"/>
        <w:rPr>
          <w:sz w:val="11"/>
        </w:rPr>
      </w:pPr>
      <w:r>
        <w:rPr>
          <w:sz w:val="20"/>
        </w:rPr>
        <w:t>The</w:t>
      </w:r>
      <w:r>
        <w:rPr>
          <w:spacing w:val="-7"/>
          <w:sz w:val="20"/>
        </w:rPr>
        <w:t> </w:t>
      </w:r>
      <w:r>
        <w:rPr>
          <w:sz w:val="20"/>
        </w:rPr>
        <w:t>trial</w:t>
      </w:r>
      <w:r>
        <w:rPr>
          <w:spacing w:val="-7"/>
          <w:sz w:val="20"/>
        </w:rPr>
        <w:t> </w:t>
      </w:r>
      <w:r>
        <w:rPr>
          <w:sz w:val="20"/>
        </w:rPr>
        <w:t>judge</w:t>
      </w:r>
      <w:r>
        <w:rPr>
          <w:spacing w:val="-7"/>
          <w:sz w:val="20"/>
        </w:rPr>
        <w:t> </w:t>
      </w:r>
      <w:r>
        <w:rPr>
          <w:spacing w:val="-3"/>
          <w:sz w:val="20"/>
        </w:rPr>
        <w:t>would</w:t>
      </w:r>
      <w:r>
        <w:rPr>
          <w:spacing w:val="-7"/>
          <w:sz w:val="20"/>
        </w:rPr>
        <w:t> </w:t>
      </w:r>
      <w:r>
        <w:rPr>
          <w:spacing w:val="-3"/>
          <w:sz w:val="20"/>
        </w:rPr>
        <w:t>swear</w:t>
      </w:r>
      <w:r>
        <w:rPr>
          <w:spacing w:val="-6"/>
          <w:sz w:val="20"/>
        </w:rPr>
        <w:t> </w:t>
      </w:r>
      <w:r>
        <w:rPr>
          <w:sz w:val="20"/>
        </w:rPr>
        <w:t>in</w:t>
      </w:r>
      <w:r>
        <w:rPr>
          <w:spacing w:val="-7"/>
          <w:sz w:val="20"/>
        </w:rPr>
        <w:t> </w:t>
      </w:r>
      <w:r>
        <w:rPr>
          <w:sz w:val="20"/>
        </w:rPr>
        <w:t>the</w:t>
      </w:r>
      <w:r>
        <w:rPr>
          <w:spacing w:val="-7"/>
          <w:sz w:val="20"/>
        </w:rPr>
        <w:t> </w:t>
      </w:r>
      <w:r>
        <w:rPr>
          <w:sz w:val="20"/>
        </w:rPr>
        <w:t>jury</w:t>
      </w:r>
      <w:r>
        <w:rPr>
          <w:spacing w:val="-7"/>
          <w:sz w:val="20"/>
        </w:rPr>
        <w:t> </w:t>
      </w:r>
      <w:r>
        <w:rPr>
          <w:sz w:val="20"/>
        </w:rPr>
        <w:t>and</w:t>
      </w:r>
      <w:r>
        <w:rPr>
          <w:spacing w:val="-7"/>
          <w:sz w:val="20"/>
        </w:rPr>
        <w:t> </w:t>
      </w:r>
      <w:r>
        <w:rPr>
          <w:sz w:val="20"/>
        </w:rPr>
        <w:t>the</w:t>
      </w:r>
      <w:r>
        <w:rPr>
          <w:spacing w:val="-6"/>
          <w:sz w:val="20"/>
        </w:rPr>
        <w:t> </w:t>
      </w:r>
      <w:r>
        <w:rPr>
          <w:sz w:val="20"/>
        </w:rPr>
        <w:t>supporter</w:t>
      </w:r>
      <w:r>
        <w:rPr>
          <w:spacing w:val="-7"/>
          <w:sz w:val="20"/>
        </w:rPr>
        <w:t> </w:t>
      </w:r>
      <w:r>
        <w:rPr>
          <w:sz w:val="20"/>
        </w:rPr>
        <w:t>or</w:t>
      </w:r>
      <w:r>
        <w:rPr>
          <w:spacing w:val="-7"/>
          <w:sz w:val="20"/>
        </w:rPr>
        <w:t> </w:t>
      </w:r>
      <w:r>
        <w:rPr>
          <w:spacing w:val="-3"/>
          <w:sz w:val="20"/>
        </w:rPr>
        <w:t>interpreter</w:t>
      </w:r>
      <w:r>
        <w:rPr>
          <w:spacing w:val="-7"/>
          <w:sz w:val="20"/>
        </w:rPr>
        <w:t> </w:t>
      </w:r>
      <w:r>
        <w:rPr>
          <w:spacing w:val="-3"/>
          <w:sz w:val="20"/>
        </w:rPr>
        <w:t>would</w:t>
      </w:r>
      <w:r>
        <w:rPr>
          <w:spacing w:val="-6"/>
          <w:sz w:val="20"/>
        </w:rPr>
        <w:t> </w:t>
      </w:r>
      <w:r>
        <w:rPr>
          <w:sz w:val="20"/>
        </w:rPr>
        <w:t>take an additional</w:t>
      </w:r>
      <w:r>
        <w:rPr>
          <w:spacing w:val="-9"/>
          <w:sz w:val="20"/>
        </w:rPr>
        <w:t> </w:t>
      </w:r>
      <w:r>
        <w:rPr>
          <w:sz w:val="20"/>
        </w:rPr>
        <w:t>oath.</w:t>
      </w:r>
      <w:r>
        <w:rPr>
          <w:position w:val="7"/>
          <w:sz w:val="11"/>
        </w:rPr>
        <w:t>40</w:t>
      </w:r>
    </w:p>
    <w:p>
      <w:pPr>
        <w:pStyle w:val="BodyText"/>
        <w:spacing w:before="11"/>
        <w:rPr>
          <w:sz w:val="22"/>
        </w:rPr>
      </w:pPr>
      <w:r>
        <w:rPr/>
        <w:pict>
          <v:line style="position:absolute;mso-position-horizontal-relative:page;mso-position-vertical-relative:paragraph;z-index:7352;mso-wrap-distance-left:0;mso-wrap-distance-right:0" from="79.370102pt,18.296301pt" to="515.905102pt,18.296301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87"/>
        </w:numPr>
        <w:tabs>
          <w:tab w:pos="1760" w:val="left" w:leader="none"/>
          <w:tab w:pos="1762" w:val="left" w:leader="none"/>
        </w:tabs>
        <w:spacing w:line="170" w:lineRule="exact" w:before="21" w:after="0"/>
        <w:ind w:left="1761" w:right="0" w:hanging="794"/>
        <w:jc w:val="left"/>
        <w:rPr>
          <w:sz w:val="13"/>
        </w:rPr>
      </w:pPr>
      <w:r>
        <w:rPr>
          <w:spacing w:val="2"/>
          <w:sz w:val="13"/>
        </w:rPr>
        <w:t>Submissions </w:t>
      </w:r>
      <w:r>
        <w:rPr>
          <w:sz w:val="13"/>
        </w:rPr>
        <w:t>11 (Supreme </w:t>
      </w:r>
      <w:r>
        <w:rPr>
          <w:spacing w:val="2"/>
          <w:sz w:val="13"/>
        </w:rPr>
        <w:t>Court </w:t>
      </w:r>
      <w:r>
        <w:rPr>
          <w:sz w:val="13"/>
        </w:rPr>
        <w:t>of Victoria), 13 </w:t>
      </w:r>
      <w:r>
        <w:rPr>
          <w:spacing w:val="2"/>
          <w:sz w:val="13"/>
        </w:rPr>
        <w:t>(Juries </w:t>
      </w:r>
      <w:r>
        <w:rPr>
          <w:sz w:val="13"/>
        </w:rPr>
        <w:t>Victoria), </w:t>
      </w:r>
      <w:r>
        <w:rPr>
          <w:spacing w:val="3"/>
          <w:sz w:val="13"/>
        </w:rPr>
        <w:t>14 </w:t>
      </w:r>
      <w:r>
        <w:rPr>
          <w:sz w:val="13"/>
        </w:rPr>
        <w:t>(County </w:t>
      </w:r>
      <w:r>
        <w:rPr>
          <w:spacing w:val="2"/>
          <w:sz w:val="13"/>
        </w:rPr>
        <w:t>Court </w:t>
      </w:r>
      <w:r>
        <w:rPr>
          <w:sz w:val="13"/>
        </w:rPr>
        <w:t>of</w:t>
      </w:r>
      <w:r>
        <w:rPr>
          <w:spacing w:val="13"/>
          <w:sz w:val="13"/>
        </w:rPr>
        <w:t> </w:t>
      </w:r>
      <w:r>
        <w:rPr>
          <w:sz w:val="13"/>
        </w:rPr>
        <w:t>Victoria).</w:t>
      </w:r>
    </w:p>
    <w:p>
      <w:pPr>
        <w:pStyle w:val="ListParagraph"/>
        <w:numPr>
          <w:ilvl w:val="0"/>
          <w:numId w:val="87"/>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6"/>
          <w:sz w:val="13"/>
        </w:rPr>
        <w:t> </w:t>
      </w:r>
      <w:r>
        <w:rPr>
          <w:sz w:val="13"/>
        </w:rPr>
        <w:t>Victoria).</w:t>
      </w:r>
    </w:p>
    <w:p>
      <w:pPr>
        <w:pStyle w:val="ListParagraph"/>
        <w:numPr>
          <w:ilvl w:val="0"/>
          <w:numId w:val="87"/>
        </w:numPr>
        <w:tabs>
          <w:tab w:pos="1760" w:val="left" w:leader="none"/>
          <w:tab w:pos="1762" w:val="left" w:leader="none"/>
        </w:tabs>
        <w:spacing w:line="160" w:lineRule="exact" w:before="0" w:after="0"/>
        <w:ind w:left="1761" w:right="0" w:hanging="794"/>
        <w:jc w:val="left"/>
        <w:rPr>
          <w:sz w:val="13"/>
        </w:rPr>
      </w:pPr>
      <w:r>
        <w:rPr>
          <w:sz w:val="13"/>
        </w:rPr>
        <w:t>Consultation</w:t>
      </w:r>
      <w:r>
        <w:rPr>
          <w:spacing w:val="6"/>
          <w:sz w:val="13"/>
        </w:rPr>
        <w:t> </w:t>
      </w:r>
      <w:r>
        <w:rPr>
          <w:sz w:val="13"/>
        </w:rPr>
        <w:t>9</w:t>
      </w:r>
      <w:r>
        <w:rPr>
          <w:spacing w:val="6"/>
          <w:sz w:val="13"/>
        </w:rPr>
        <w:t> </w:t>
      </w:r>
      <w:r>
        <w:rPr>
          <w:sz w:val="13"/>
        </w:rPr>
        <w:t>(Consultation</w:t>
      </w:r>
      <w:r>
        <w:rPr>
          <w:spacing w:val="7"/>
          <w:sz w:val="13"/>
        </w:rPr>
        <w:t> </w:t>
      </w:r>
      <w:r>
        <w:rPr>
          <w:sz w:val="13"/>
        </w:rPr>
        <w:t>with</w:t>
      </w:r>
      <w:r>
        <w:rPr>
          <w:spacing w:val="6"/>
          <w:sz w:val="13"/>
        </w:rPr>
        <w:t> </w:t>
      </w:r>
      <w:r>
        <w:rPr>
          <w:sz w:val="13"/>
        </w:rPr>
        <w:t>two</w:t>
      </w:r>
      <w:r>
        <w:rPr>
          <w:spacing w:val="7"/>
          <w:sz w:val="13"/>
        </w:rPr>
        <w:t> </w:t>
      </w:r>
      <w:r>
        <w:rPr>
          <w:sz w:val="13"/>
        </w:rPr>
        <w:t>Victorian</w:t>
      </w:r>
      <w:r>
        <w:rPr>
          <w:spacing w:val="6"/>
          <w:sz w:val="13"/>
        </w:rPr>
        <w:t> </w:t>
      </w:r>
      <w:r>
        <w:rPr>
          <w:sz w:val="13"/>
        </w:rPr>
        <w:t>County</w:t>
      </w:r>
      <w:r>
        <w:rPr>
          <w:spacing w:val="7"/>
          <w:sz w:val="13"/>
        </w:rPr>
        <w:t> </w:t>
      </w:r>
      <w:r>
        <w:rPr>
          <w:spacing w:val="2"/>
          <w:sz w:val="13"/>
        </w:rPr>
        <w:t>Court</w:t>
      </w:r>
      <w:r>
        <w:rPr>
          <w:spacing w:val="6"/>
          <w:sz w:val="13"/>
        </w:rPr>
        <w:t> </w:t>
      </w:r>
      <w:r>
        <w:rPr>
          <w:spacing w:val="2"/>
          <w:sz w:val="13"/>
        </w:rPr>
        <w:t>Judges,</w:t>
      </w:r>
      <w:r>
        <w:rPr>
          <w:spacing w:val="7"/>
          <w:sz w:val="13"/>
        </w:rPr>
        <w:t> </w:t>
      </w:r>
      <w:r>
        <w:rPr>
          <w:spacing w:val="2"/>
          <w:sz w:val="13"/>
        </w:rPr>
        <w:t>Court</w:t>
      </w:r>
      <w:r>
        <w:rPr>
          <w:spacing w:val="6"/>
          <w:sz w:val="13"/>
        </w:rPr>
        <w:t> </w:t>
      </w:r>
      <w:r>
        <w:rPr>
          <w:spacing w:val="2"/>
          <w:sz w:val="13"/>
        </w:rPr>
        <w:t>policy</w:t>
      </w:r>
      <w:r>
        <w:rPr>
          <w:spacing w:val="7"/>
          <w:sz w:val="13"/>
        </w:rPr>
        <w:t> </w:t>
      </w:r>
      <w:r>
        <w:rPr>
          <w:sz w:val="13"/>
        </w:rPr>
        <w:t>staff</w:t>
      </w:r>
      <w:r>
        <w:rPr>
          <w:spacing w:val="6"/>
          <w:sz w:val="13"/>
        </w:rPr>
        <w:t> </w:t>
      </w:r>
      <w:r>
        <w:rPr>
          <w:sz w:val="13"/>
        </w:rPr>
        <w:t>and</w:t>
      </w:r>
      <w:r>
        <w:rPr>
          <w:spacing w:val="7"/>
          <w:sz w:val="13"/>
        </w:rPr>
        <w:t> </w:t>
      </w:r>
      <w:r>
        <w:rPr>
          <w:sz w:val="13"/>
        </w:rPr>
        <w:t>two</w:t>
      </w:r>
      <w:r>
        <w:rPr>
          <w:spacing w:val="6"/>
          <w:sz w:val="13"/>
        </w:rPr>
        <w:t> </w:t>
      </w:r>
      <w:r>
        <w:rPr>
          <w:sz w:val="13"/>
        </w:rPr>
        <w:t>Associates).</w:t>
      </w:r>
    </w:p>
    <w:p>
      <w:pPr>
        <w:pStyle w:val="ListParagraph"/>
        <w:numPr>
          <w:ilvl w:val="0"/>
          <w:numId w:val="87"/>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6"/>
          <w:sz w:val="13"/>
        </w:rPr>
        <w:t> </w:t>
      </w:r>
      <w:r>
        <w:rPr>
          <w:sz w:val="13"/>
        </w:rPr>
        <w:t>Victoria).</w:t>
      </w:r>
    </w:p>
    <w:p>
      <w:pPr>
        <w:pStyle w:val="ListParagraph"/>
        <w:numPr>
          <w:ilvl w:val="0"/>
          <w:numId w:val="87"/>
        </w:numPr>
        <w:tabs>
          <w:tab w:pos="1760" w:val="left" w:leader="none"/>
          <w:tab w:pos="1762" w:val="left" w:leader="none"/>
        </w:tabs>
        <w:spacing w:line="160" w:lineRule="exact" w:before="0" w:after="0"/>
        <w:ind w:left="1761" w:right="0" w:hanging="794"/>
        <w:jc w:val="left"/>
        <w:rPr>
          <w:sz w:val="13"/>
        </w:rPr>
      </w:pPr>
      <w:r>
        <w:rPr>
          <w:sz w:val="13"/>
        </w:rPr>
        <w:t>Consultation</w:t>
      </w:r>
      <w:r>
        <w:rPr>
          <w:spacing w:val="6"/>
          <w:sz w:val="13"/>
        </w:rPr>
        <w:t> </w:t>
      </w:r>
      <w:r>
        <w:rPr>
          <w:sz w:val="13"/>
        </w:rPr>
        <w:t>9</w:t>
      </w:r>
      <w:r>
        <w:rPr>
          <w:spacing w:val="6"/>
          <w:sz w:val="13"/>
        </w:rPr>
        <w:t> </w:t>
      </w:r>
      <w:r>
        <w:rPr>
          <w:sz w:val="13"/>
        </w:rPr>
        <w:t>(Consultation</w:t>
      </w:r>
      <w:r>
        <w:rPr>
          <w:spacing w:val="7"/>
          <w:sz w:val="13"/>
        </w:rPr>
        <w:t> </w:t>
      </w:r>
      <w:r>
        <w:rPr>
          <w:sz w:val="13"/>
        </w:rPr>
        <w:t>with</w:t>
      </w:r>
      <w:r>
        <w:rPr>
          <w:spacing w:val="6"/>
          <w:sz w:val="13"/>
        </w:rPr>
        <w:t> </w:t>
      </w:r>
      <w:r>
        <w:rPr>
          <w:sz w:val="13"/>
        </w:rPr>
        <w:t>two</w:t>
      </w:r>
      <w:r>
        <w:rPr>
          <w:spacing w:val="7"/>
          <w:sz w:val="13"/>
        </w:rPr>
        <w:t> </w:t>
      </w:r>
      <w:r>
        <w:rPr>
          <w:sz w:val="13"/>
        </w:rPr>
        <w:t>Victorian</w:t>
      </w:r>
      <w:r>
        <w:rPr>
          <w:spacing w:val="6"/>
          <w:sz w:val="13"/>
        </w:rPr>
        <w:t> </w:t>
      </w:r>
      <w:r>
        <w:rPr>
          <w:sz w:val="13"/>
        </w:rPr>
        <w:t>County</w:t>
      </w:r>
      <w:r>
        <w:rPr>
          <w:spacing w:val="7"/>
          <w:sz w:val="13"/>
        </w:rPr>
        <w:t> </w:t>
      </w:r>
      <w:r>
        <w:rPr>
          <w:spacing w:val="2"/>
          <w:sz w:val="13"/>
        </w:rPr>
        <w:t>Court</w:t>
      </w:r>
      <w:r>
        <w:rPr>
          <w:spacing w:val="6"/>
          <w:sz w:val="13"/>
        </w:rPr>
        <w:t> </w:t>
      </w:r>
      <w:r>
        <w:rPr>
          <w:spacing w:val="2"/>
          <w:sz w:val="13"/>
        </w:rPr>
        <w:t>Judges,</w:t>
      </w:r>
      <w:r>
        <w:rPr>
          <w:spacing w:val="7"/>
          <w:sz w:val="13"/>
        </w:rPr>
        <w:t> </w:t>
      </w:r>
      <w:r>
        <w:rPr>
          <w:spacing w:val="2"/>
          <w:sz w:val="13"/>
        </w:rPr>
        <w:t>Court</w:t>
      </w:r>
      <w:r>
        <w:rPr>
          <w:spacing w:val="6"/>
          <w:sz w:val="13"/>
        </w:rPr>
        <w:t> </w:t>
      </w:r>
      <w:r>
        <w:rPr>
          <w:spacing w:val="2"/>
          <w:sz w:val="13"/>
        </w:rPr>
        <w:t>policy</w:t>
      </w:r>
      <w:r>
        <w:rPr>
          <w:spacing w:val="7"/>
          <w:sz w:val="13"/>
        </w:rPr>
        <w:t> </w:t>
      </w:r>
      <w:r>
        <w:rPr>
          <w:sz w:val="13"/>
        </w:rPr>
        <w:t>staff</w:t>
      </w:r>
      <w:r>
        <w:rPr>
          <w:spacing w:val="6"/>
          <w:sz w:val="13"/>
        </w:rPr>
        <w:t> </w:t>
      </w:r>
      <w:r>
        <w:rPr>
          <w:sz w:val="13"/>
        </w:rPr>
        <w:t>and</w:t>
      </w:r>
      <w:r>
        <w:rPr>
          <w:spacing w:val="7"/>
          <w:sz w:val="13"/>
        </w:rPr>
        <w:t> </w:t>
      </w:r>
      <w:r>
        <w:rPr>
          <w:sz w:val="13"/>
        </w:rPr>
        <w:t>two</w:t>
      </w:r>
      <w:r>
        <w:rPr>
          <w:spacing w:val="6"/>
          <w:sz w:val="13"/>
        </w:rPr>
        <w:t> </w:t>
      </w:r>
      <w:r>
        <w:rPr>
          <w:sz w:val="13"/>
        </w:rPr>
        <w:t>Associates).</w:t>
      </w:r>
    </w:p>
    <w:p>
      <w:pPr>
        <w:pStyle w:val="ListParagraph"/>
        <w:numPr>
          <w:ilvl w:val="0"/>
          <w:numId w:val="87"/>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6"/>
          <w:sz w:val="13"/>
        </w:rPr>
        <w:t> </w:t>
      </w:r>
      <w:r>
        <w:rPr>
          <w:sz w:val="13"/>
        </w:rPr>
        <w:t>Victoria).</w:t>
      </w:r>
    </w:p>
    <w:p>
      <w:pPr>
        <w:pStyle w:val="ListParagraph"/>
        <w:numPr>
          <w:ilvl w:val="0"/>
          <w:numId w:val="87"/>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87"/>
        </w:numPr>
        <w:tabs>
          <w:tab w:pos="1760" w:val="left" w:leader="none"/>
          <w:tab w:pos="1762" w:val="left" w:leader="none"/>
        </w:tabs>
        <w:spacing w:line="170" w:lineRule="exact" w:before="0" w:after="0"/>
        <w:ind w:left="1761" w:right="0" w:hanging="794"/>
        <w:jc w:val="left"/>
        <w:rPr>
          <w:sz w:val="13"/>
        </w:rPr>
      </w:pPr>
      <w:r>
        <w:rPr>
          <w:sz w:val="13"/>
        </w:rPr>
        <w:t>Consultation</w:t>
      </w:r>
      <w:r>
        <w:rPr>
          <w:spacing w:val="6"/>
          <w:sz w:val="13"/>
        </w:rPr>
        <w:t> </w:t>
      </w:r>
      <w:r>
        <w:rPr>
          <w:sz w:val="13"/>
        </w:rPr>
        <w:t>9</w:t>
      </w:r>
      <w:r>
        <w:rPr>
          <w:spacing w:val="6"/>
          <w:sz w:val="13"/>
        </w:rPr>
        <w:t> </w:t>
      </w:r>
      <w:r>
        <w:rPr>
          <w:sz w:val="13"/>
        </w:rPr>
        <w:t>(Consultation</w:t>
      </w:r>
      <w:r>
        <w:rPr>
          <w:spacing w:val="7"/>
          <w:sz w:val="13"/>
        </w:rPr>
        <w:t> </w:t>
      </w:r>
      <w:r>
        <w:rPr>
          <w:sz w:val="13"/>
        </w:rPr>
        <w:t>with</w:t>
      </w:r>
      <w:r>
        <w:rPr>
          <w:spacing w:val="6"/>
          <w:sz w:val="13"/>
        </w:rPr>
        <w:t> </w:t>
      </w:r>
      <w:r>
        <w:rPr>
          <w:sz w:val="13"/>
        </w:rPr>
        <w:t>two</w:t>
      </w:r>
      <w:r>
        <w:rPr>
          <w:spacing w:val="7"/>
          <w:sz w:val="13"/>
        </w:rPr>
        <w:t> </w:t>
      </w:r>
      <w:r>
        <w:rPr>
          <w:sz w:val="13"/>
        </w:rPr>
        <w:t>Victorian</w:t>
      </w:r>
      <w:r>
        <w:rPr>
          <w:spacing w:val="6"/>
          <w:sz w:val="13"/>
        </w:rPr>
        <w:t> </w:t>
      </w:r>
      <w:r>
        <w:rPr>
          <w:sz w:val="13"/>
        </w:rPr>
        <w:t>County</w:t>
      </w:r>
      <w:r>
        <w:rPr>
          <w:spacing w:val="7"/>
          <w:sz w:val="13"/>
        </w:rPr>
        <w:t> </w:t>
      </w:r>
      <w:r>
        <w:rPr>
          <w:spacing w:val="2"/>
          <w:sz w:val="13"/>
        </w:rPr>
        <w:t>Court</w:t>
      </w:r>
      <w:r>
        <w:rPr>
          <w:spacing w:val="6"/>
          <w:sz w:val="13"/>
        </w:rPr>
        <w:t> </w:t>
      </w:r>
      <w:r>
        <w:rPr>
          <w:spacing w:val="2"/>
          <w:sz w:val="13"/>
        </w:rPr>
        <w:t>Judges,</w:t>
      </w:r>
      <w:r>
        <w:rPr>
          <w:spacing w:val="7"/>
          <w:sz w:val="13"/>
        </w:rPr>
        <w:t> </w:t>
      </w:r>
      <w:r>
        <w:rPr>
          <w:spacing w:val="2"/>
          <w:sz w:val="13"/>
        </w:rPr>
        <w:t>Court</w:t>
      </w:r>
      <w:r>
        <w:rPr>
          <w:spacing w:val="6"/>
          <w:sz w:val="13"/>
        </w:rPr>
        <w:t> </w:t>
      </w:r>
      <w:r>
        <w:rPr>
          <w:spacing w:val="2"/>
          <w:sz w:val="13"/>
        </w:rPr>
        <w:t>policy</w:t>
      </w:r>
      <w:r>
        <w:rPr>
          <w:spacing w:val="7"/>
          <w:sz w:val="13"/>
        </w:rPr>
        <w:t> </w:t>
      </w:r>
      <w:r>
        <w:rPr>
          <w:sz w:val="13"/>
        </w:rPr>
        <w:t>staff</w:t>
      </w:r>
      <w:r>
        <w:rPr>
          <w:spacing w:val="6"/>
          <w:sz w:val="13"/>
        </w:rPr>
        <w:t> </w:t>
      </w:r>
      <w:r>
        <w:rPr>
          <w:sz w:val="13"/>
        </w:rPr>
        <w:t>and</w:t>
      </w:r>
      <w:r>
        <w:rPr>
          <w:spacing w:val="7"/>
          <w:sz w:val="13"/>
        </w:rPr>
        <w:t> </w:t>
      </w:r>
      <w:r>
        <w:rPr>
          <w:sz w:val="13"/>
        </w:rPr>
        <w:t>two</w:t>
      </w:r>
      <w:r>
        <w:rPr>
          <w:spacing w:val="6"/>
          <w:sz w:val="13"/>
        </w:rPr>
        <w:t> </w:t>
      </w:r>
      <w:r>
        <w:rPr>
          <w:sz w:val="13"/>
        </w:rPr>
        <w:t>Associates).</w:t>
      </w:r>
    </w:p>
    <w:p>
      <w:pPr>
        <w:pStyle w:val="BodyText"/>
        <w:rPr>
          <w:sz w:val="28"/>
        </w:rPr>
      </w:pPr>
      <w:r>
        <w:rPr/>
        <w:br w:type="column"/>
      </w:r>
      <w:r>
        <w:rPr>
          <w:sz w:val="28"/>
        </w:rPr>
      </w:r>
    </w:p>
    <w:p>
      <w:pPr>
        <w:pStyle w:val="BodyText"/>
        <w:rPr>
          <w:sz w:val="28"/>
        </w:rPr>
      </w:pPr>
    </w:p>
    <w:p>
      <w:pPr>
        <w:spacing w:before="237"/>
        <w:ind w:left="967" w:right="0" w:firstLine="0"/>
        <w:jc w:val="left"/>
        <w:rPr>
          <w:b/>
          <w:sz w:val="24"/>
        </w:rPr>
      </w:pPr>
      <w:r>
        <w:rPr>
          <w:b/>
          <w:color w:val="37617A"/>
          <w:sz w:val="24"/>
        </w:rPr>
        <w:t>127</w:t>
      </w:r>
    </w:p>
    <w:p>
      <w:pPr>
        <w:spacing w:after="0"/>
        <w:jc w:val="left"/>
        <w:rPr>
          <w:sz w:val="24"/>
        </w:rPr>
        <w:sectPr>
          <w:type w:val="continuous"/>
          <w:pgSz w:w="11910" w:h="16840"/>
          <w:pgMar w:top="620" w:bottom="280" w:left="620" w:right="380"/>
          <w:cols w:num="2" w:equalWidth="0">
            <w:col w:w="8444" w:space="887"/>
            <w:col w:w="1579"/>
          </w:cols>
        </w:sectPr>
      </w:pPr>
    </w:p>
    <w:p>
      <w:pPr>
        <w:pStyle w:val="BodyText"/>
        <w:rPr>
          <w:b/>
        </w:rPr>
      </w:pPr>
    </w:p>
    <w:p>
      <w:pPr>
        <w:pStyle w:val="BodyText"/>
        <w:rPr>
          <w:b/>
        </w:rPr>
      </w:pPr>
    </w:p>
    <w:p>
      <w:pPr>
        <w:pStyle w:val="BodyText"/>
        <w:rPr>
          <w:b/>
        </w:rPr>
      </w:pPr>
    </w:p>
    <w:p>
      <w:pPr>
        <w:pStyle w:val="Heading6"/>
        <w:spacing w:before="224"/>
        <w:rPr>
          <w:b/>
        </w:rPr>
      </w:pPr>
      <w:bookmarkStart w:name="_bookmark92" w:id="228"/>
      <w:bookmarkEnd w:id="228"/>
      <w:r>
        <w:rPr/>
      </w:r>
      <w:r>
        <w:rPr>
          <w:b/>
        </w:rPr>
        <w:t>Recent changes to case management practices in the County Court</w:t>
      </w:r>
    </w:p>
    <w:p>
      <w:pPr>
        <w:pStyle w:val="ListParagraph"/>
        <w:numPr>
          <w:ilvl w:val="1"/>
          <w:numId w:val="12"/>
        </w:numPr>
        <w:tabs>
          <w:tab w:pos="1761" w:val="left" w:leader="none"/>
          <w:tab w:pos="1762" w:val="left" w:leader="none"/>
        </w:tabs>
        <w:spacing w:line="206" w:lineRule="auto" w:before="132" w:after="0"/>
        <w:ind w:left="1761" w:right="1227" w:hanging="794"/>
        <w:jc w:val="left"/>
        <w:rPr>
          <w:sz w:val="11"/>
        </w:rPr>
      </w:pPr>
      <w:r>
        <w:rPr>
          <w:sz w:val="20"/>
        </w:rPr>
        <w:t>The Commission was </w:t>
      </w:r>
      <w:r>
        <w:rPr>
          <w:spacing w:val="-3"/>
          <w:sz w:val="20"/>
        </w:rPr>
        <w:t>told </w:t>
      </w:r>
      <w:r>
        <w:rPr>
          <w:sz w:val="20"/>
        </w:rPr>
        <w:t>in consultations with County Court Registrars that changes to case management practices </w:t>
      </w:r>
      <w:r>
        <w:rPr>
          <w:spacing w:val="-4"/>
          <w:sz w:val="20"/>
        </w:rPr>
        <w:t>have </w:t>
      </w:r>
      <w:r>
        <w:rPr>
          <w:spacing w:val="-3"/>
          <w:sz w:val="20"/>
        </w:rPr>
        <w:t>flowed from </w:t>
      </w:r>
      <w:r>
        <w:rPr>
          <w:sz w:val="20"/>
        </w:rPr>
        <w:t>the County Court’s response to the pandemic. Cases </w:t>
      </w:r>
      <w:r>
        <w:rPr>
          <w:spacing w:val="-3"/>
          <w:sz w:val="20"/>
        </w:rPr>
        <w:t>are now </w:t>
      </w:r>
      <w:r>
        <w:rPr>
          <w:sz w:val="20"/>
        </w:rPr>
        <w:t>being allocated to a trial judge one to two months ahead of trial</w:t>
      </w:r>
      <w:r>
        <w:rPr>
          <w:spacing w:val="-8"/>
          <w:sz w:val="20"/>
        </w:rPr>
        <w:t> </w:t>
      </w:r>
      <w:r>
        <w:rPr>
          <w:sz w:val="20"/>
        </w:rPr>
        <w:t>(rather</w:t>
      </w:r>
      <w:r>
        <w:rPr>
          <w:spacing w:val="-7"/>
          <w:sz w:val="20"/>
        </w:rPr>
        <w:t> </w:t>
      </w:r>
      <w:r>
        <w:rPr>
          <w:sz w:val="20"/>
        </w:rPr>
        <w:t>than</w:t>
      </w:r>
      <w:r>
        <w:rPr>
          <w:spacing w:val="-7"/>
          <w:sz w:val="20"/>
        </w:rPr>
        <w:t> </w:t>
      </w:r>
      <w:r>
        <w:rPr>
          <w:sz w:val="20"/>
        </w:rPr>
        <w:t>a</w:t>
      </w:r>
      <w:r>
        <w:rPr>
          <w:spacing w:val="-7"/>
          <w:sz w:val="20"/>
        </w:rPr>
        <w:t> </w:t>
      </w:r>
      <w:r>
        <w:rPr>
          <w:spacing w:val="-3"/>
          <w:sz w:val="20"/>
        </w:rPr>
        <w:t>few</w:t>
      </w:r>
      <w:r>
        <w:rPr>
          <w:spacing w:val="-8"/>
          <w:sz w:val="20"/>
        </w:rPr>
        <w:t> </w:t>
      </w:r>
      <w:r>
        <w:rPr>
          <w:spacing w:val="-5"/>
          <w:sz w:val="20"/>
        </w:rPr>
        <w:t>days).</w:t>
      </w:r>
      <w:r>
        <w:rPr>
          <w:spacing w:val="-7"/>
          <w:sz w:val="20"/>
        </w:rPr>
        <w:t> </w:t>
      </w:r>
      <w:r>
        <w:rPr>
          <w:sz w:val="20"/>
        </w:rPr>
        <w:t>Courtrooms</w:t>
      </w:r>
      <w:r>
        <w:rPr>
          <w:spacing w:val="-7"/>
          <w:sz w:val="20"/>
        </w:rPr>
        <w:t> </w:t>
      </w:r>
      <w:r>
        <w:rPr>
          <w:spacing w:val="-3"/>
          <w:sz w:val="20"/>
        </w:rPr>
        <w:t>are</w:t>
      </w:r>
      <w:r>
        <w:rPr>
          <w:spacing w:val="-7"/>
          <w:sz w:val="20"/>
        </w:rPr>
        <w:t> </w:t>
      </w:r>
      <w:r>
        <w:rPr>
          <w:spacing w:val="-3"/>
          <w:sz w:val="20"/>
        </w:rPr>
        <w:t>now</w:t>
      </w:r>
      <w:r>
        <w:rPr>
          <w:spacing w:val="-8"/>
          <w:sz w:val="20"/>
        </w:rPr>
        <w:t> </w:t>
      </w:r>
      <w:r>
        <w:rPr>
          <w:sz w:val="20"/>
        </w:rPr>
        <w:t>being</w:t>
      </w:r>
      <w:r>
        <w:rPr>
          <w:spacing w:val="-7"/>
          <w:sz w:val="20"/>
        </w:rPr>
        <w:t> </w:t>
      </w:r>
      <w:r>
        <w:rPr>
          <w:sz w:val="20"/>
        </w:rPr>
        <w:t>allocated</w:t>
      </w:r>
      <w:r>
        <w:rPr>
          <w:spacing w:val="-7"/>
          <w:sz w:val="20"/>
        </w:rPr>
        <w:t> </w:t>
      </w:r>
      <w:r>
        <w:rPr>
          <w:spacing w:val="-3"/>
          <w:sz w:val="20"/>
        </w:rPr>
        <w:t>several</w:t>
      </w:r>
      <w:r>
        <w:rPr>
          <w:spacing w:val="-7"/>
          <w:sz w:val="20"/>
        </w:rPr>
        <w:t> </w:t>
      </w:r>
      <w:r>
        <w:rPr>
          <w:sz w:val="20"/>
        </w:rPr>
        <w:t>weeks</w:t>
      </w:r>
      <w:r>
        <w:rPr>
          <w:spacing w:val="-8"/>
          <w:sz w:val="20"/>
        </w:rPr>
        <w:t> </w:t>
      </w:r>
      <w:r>
        <w:rPr>
          <w:spacing w:val="-3"/>
          <w:sz w:val="20"/>
        </w:rPr>
        <w:t>before </w:t>
      </w:r>
      <w:r>
        <w:rPr>
          <w:sz w:val="20"/>
        </w:rPr>
        <w:t>trial (not the week </w:t>
      </w:r>
      <w:r>
        <w:rPr>
          <w:spacing w:val="-4"/>
          <w:sz w:val="20"/>
        </w:rPr>
        <w:t>before). </w:t>
      </w:r>
      <w:r>
        <w:rPr>
          <w:sz w:val="20"/>
        </w:rPr>
        <w:t>In regional areas, trials </w:t>
      </w:r>
      <w:r>
        <w:rPr>
          <w:spacing w:val="-3"/>
          <w:sz w:val="20"/>
        </w:rPr>
        <w:t>are </w:t>
      </w:r>
      <w:r>
        <w:rPr>
          <w:sz w:val="20"/>
        </w:rPr>
        <w:t>allocated to a judge a minimum of eight weeks </w:t>
      </w:r>
      <w:r>
        <w:rPr>
          <w:spacing w:val="-3"/>
          <w:sz w:val="20"/>
        </w:rPr>
        <w:t>before </w:t>
      </w:r>
      <w:r>
        <w:rPr>
          <w:sz w:val="20"/>
        </w:rPr>
        <w:t>trial. The first </w:t>
      </w:r>
      <w:r>
        <w:rPr>
          <w:spacing w:val="-3"/>
          <w:sz w:val="20"/>
        </w:rPr>
        <w:t>day </w:t>
      </w:r>
      <w:r>
        <w:rPr>
          <w:sz w:val="20"/>
        </w:rPr>
        <w:t>of trial </w:t>
      </w:r>
      <w:r>
        <w:rPr>
          <w:spacing w:val="-3"/>
          <w:sz w:val="20"/>
        </w:rPr>
        <w:t>now </w:t>
      </w:r>
      <w:r>
        <w:rPr>
          <w:sz w:val="20"/>
        </w:rPr>
        <w:t>generally proceeds with jury empanelment.</w:t>
      </w:r>
      <w:r>
        <w:rPr>
          <w:spacing w:val="-5"/>
          <w:sz w:val="20"/>
        </w:rPr>
        <w:t> </w:t>
      </w:r>
      <w:r>
        <w:rPr>
          <w:position w:val="7"/>
          <w:sz w:val="11"/>
        </w:rPr>
        <w:t>41</w:t>
      </w:r>
    </w:p>
    <w:p>
      <w:pPr>
        <w:pStyle w:val="ListParagraph"/>
        <w:numPr>
          <w:ilvl w:val="1"/>
          <w:numId w:val="12"/>
        </w:numPr>
        <w:tabs>
          <w:tab w:pos="1761" w:val="left" w:leader="none"/>
          <w:tab w:pos="1762" w:val="left" w:leader="none"/>
        </w:tabs>
        <w:spacing w:line="206" w:lineRule="auto" w:before="129" w:after="0"/>
        <w:ind w:left="1761" w:right="1446" w:hanging="794"/>
        <w:jc w:val="left"/>
        <w:rPr>
          <w:sz w:val="20"/>
        </w:rPr>
      </w:pPr>
      <w:r>
        <w:rPr>
          <w:sz w:val="20"/>
        </w:rPr>
        <w:t>The</w:t>
      </w:r>
      <w:r>
        <w:rPr>
          <w:spacing w:val="-14"/>
          <w:sz w:val="20"/>
        </w:rPr>
        <w:t> </w:t>
      </w:r>
      <w:r>
        <w:rPr>
          <w:sz w:val="20"/>
        </w:rPr>
        <w:t>changes</w:t>
      </w:r>
      <w:r>
        <w:rPr>
          <w:spacing w:val="-13"/>
          <w:sz w:val="20"/>
        </w:rPr>
        <w:t> </w:t>
      </w:r>
      <w:r>
        <w:rPr>
          <w:sz w:val="20"/>
        </w:rPr>
        <w:t>mean</w:t>
      </w:r>
      <w:r>
        <w:rPr>
          <w:spacing w:val="-13"/>
          <w:sz w:val="20"/>
        </w:rPr>
        <w:t> </w:t>
      </w:r>
      <w:r>
        <w:rPr>
          <w:sz w:val="20"/>
        </w:rPr>
        <w:t>that</w:t>
      </w:r>
      <w:r>
        <w:rPr>
          <w:spacing w:val="-13"/>
          <w:sz w:val="20"/>
        </w:rPr>
        <w:t> </w:t>
      </w:r>
      <w:r>
        <w:rPr>
          <w:sz w:val="20"/>
        </w:rPr>
        <w:t>trial</w:t>
      </w:r>
      <w:r>
        <w:rPr>
          <w:spacing w:val="-13"/>
          <w:sz w:val="20"/>
        </w:rPr>
        <w:t> </w:t>
      </w:r>
      <w:r>
        <w:rPr>
          <w:sz w:val="20"/>
        </w:rPr>
        <w:t>judges</w:t>
      </w:r>
      <w:r>
        <w:rPr>
          <w:spacing w:val="-13"/>
          <w:sz w:val="20"/>
        </w:rPr>
        <w:t> </w:t>
      </w:r>
      <w:r>
        <w:rPr>
          <w:spacing w:val="-3"/>
          <w:sz w:val="20"/>
        </w:rPr>
        <w:t>now</w:t>
      </w:r>
      <w:r>
        <w:rPr>
          <w:spacing w:val="-13"/>
          <w:sz w:val="20"/>
        </w:rPr>
        <w:t> </w:t>
      </w:r>
      <w:r>
        <w:rPr>
          <w:sz w:val="20"/>
        </w:rPr>
        <w:t>commonly</w:t>
      </w:r>
      <w:r>
        <w:rPr>
          <w:spacing w:val="-13"/>
          <w:sz w:val="20"/>
        </w:rPr>
        <w:t> </w:t>
      </w:r>
      <w:r>
        <w:rPr>
          <w:spacing w:val="-3"/>
          <w:sz w:val="20"/>
        </w:rPr>
        <w:t>make</w:t>
      </w:r>
      <w:r>
        <w:rPr>
          <w:spacing w:val="-13"/>
          <w:sz w:val="20"/>
        </w:rPr>
        <w:t> </w:t>
      </w:r>
      <w:r>
        <w:rPr>
          <w:sz w:val="20"/>
        </w:rPr>
        <w:t>determinations</w:t>
      </w:r>
      <w:r>
        <w:rPr>
          <w:spacing w:val="-13"/>
          <w:sz w:val="20"/>
        </w:rPr>
        <w:t> </w:t>
      </w:r>
      <w:r>
        <w:rPr>
          <w:sz w:val="20"/>
        </w:rPr>
        <w:t>on</w:t>
      </w:r>
      <w:r>
        <w:rPr>
          <w:spacing w:val="-13"/>
          <w:sz w:val="20"/>
        </w:rPr>
        <w:t> </w:t>
      </w:r>
      <w:r>
        <w:rPr>
          <w:sz w:val="20"/>
        </w:rPr>
        <w:t>pre-trial issues, including issues regarding the </w:t>
      </w:r>
      <w:r>
        <w:rPr>
          <w:spacing w:val="-3"/>
          <w:sz w:val="20"/>
        </w:rPr>
        <w:t>cross-examination </w:t>
      </w:r>
      <w:r>
        <w:rPr>
          <w:sz w:val="20"/>
        </w:rPr>
        <w:t>of witnesses, evidentiary arguments and whether the matter is </w:t>
      </w:r>
      <w:r>
        <w:rPr>
          <w:spacing w:val="-3"/>
          <w:sz w:val="20"/>
        </w:rPr>
        <w:t>ready </w:t>
      </w:r>
      <w:r>
        <w:rPr>
          <w:sz w:val="20"/>
        </w:rPr>
        <w:t>for trial. County Court judicial registrars suggested</w:t>
      </w:r>
      <w:r>
        <w:rPr>
          <w:spacing w:val="-5"/>
          <w:sz w:val="20"/>
        </w:rPr>
        <w:t> </w:t>
      </w:r>
      <w:r>
        <w:rPr>
          <w:sz w:val="20"/>
        </w:rPr>
        <w:t>that:</w:t>
      </w:r>
    </w:p>
    <w:p>
      <w:pPr>
        <w:spacing w:line="208" w:lineRule="auto" w:before="123"/>
        <w:ind w:left="2157" w:right="1635" w:firstLine="0"/>
        <w:jc w:val="left"/>
        <w:rPr>
          <w:sz w:val="19"/>
        </w:rPr>
      </w:pPr>
      <w:r>
        <w:rPr>
          <w:sz w:val="19"/>
        </w:rPr>
        <w:t>the new case management system would allow sufficient time for the Court to consider whether an upcoming trial would be suitable for a juror who has vision or hearing loss. The Court would have sufficient information early on to make this decision before empanelment. It would be best to front-load the issue of this</w:t>
      </w:r>
    </w:p>
    <w:p>
      <w:pPr>
        <w:spacing w:line="208" w:lineRule="auto" w:before="3"/>
        <w:ind w:left="2157" w:right="1110" w:firstLine="0"/>
        <w:jc w:val="left"/>
        <w:rPr>
          <w:sz w:val="11"/>
        </w:rPr>
      </w:pPr>
      <w:r>
        <w:rPr>
          <w:sz w:val="19"/>
        </w:rPr>
        <w:t>assessment and for it to occur close to the trial commencement date, preferably soon after the trial is allocated to a trial judge.</w:t>
      </w:r>
      <w:r>
        <w:rPr>
          <w:position w:val="6"/>
          <w:sz w:val="11"/>
        </w:rPr>
        <w:t>42</w:t>
      </w:r>
    </w:p>
    <w:p>
      <w:pPr>
        <w:pStyle w:val="ListParagraph"/>
        <w:numPr>
          <w:ilvl w:val="1"/>
          <w:numId w:val="12"/>
        </w:numPr>
        <w:tabs>
          <w:tab w:pos="1761" w:val="left" w:leader="none"/>
          <w:tab w:pos="1762" w:val="left" w:leader="none"/>
        </w:tabs>
        <w:spacing w:line="206" w:lineRule="auto" w:before="123" w:after="0"/>
        <w:ind w:left="1761" w:right="1279" w:hanging="794"/>
        <w:jc w:val="left"/>
        <w:rPr>
          <w:sz w:val="11"/>
        </w:rPr>
      </w:pPr>
      <w:r>
        <w:rPr>
          <w:sz w:val="20"/>
        </w:rPr>
        <w:t>The</w:t>
      </w:r>
      <w:r>
        <w:rPr>
          <w:spacing w:val="-10"/>
          <w:sz w:val="20"/>
        </w:rPr>
        <w:t> </w:t>
      </w:r>
      <w:r>
        <w:rPr>
          <w:sz w:val="20"/>
        </w:rPr>
        <w:t>judicial</w:t>
      </w:r>
      <w:r>
        <w:rPr>
          <w:spacing w:val="-10"/>
          <w:sz w:val="20"/>
        </w:rPr>
        <w:t> </w:t>
      </w:r>
      <w:r>
        <w:rPr>
          <w:sz w:val="20"/>
        </w:rPr>
        <w:t>registrars</w:t>
      </w:r>
      <w:r>
        <w:rPr>
          <w:spacing w:val="-10"/>
          <w:sz w:val="20"/>
        </w:rPr>
        <w:t> </w:t>
      </w:r>
      <w:r>
        <w:rPr>
          <w:spacing w:val="-3"/>
          <w:sz w:val="20"/>
        </w:rPr>
        <w:t>told</w:t>
      </w:r>
      <w:r>
        <w:rPr>
          <w:spacing w:val="-10"/>
          <w:sz w:val="20"/>
        </w:rPr>
        <w:t> </w:t>
      </w:r>
      <w:r>
        <w:rPr>
          <w:sz w:val="20"/>
        </w:rPr>
        <w:t>us</w:t>
      </w:r>
      <w:r>
        <w:rPr>
          <w:spacing w:val="-10"/>
          <w:sz w:val="20"/>
        </w:rPr>
        <w:t> </w:t>
      </w:r>
      <w:r>
        <w:rPr>
          <w:sz w:val="20"/>
        </w:rPr>
        <w:t>that</w:t>
      </w:r>
      <w:r>
        <w:rPr>
          <w:spacing w:val="-10"/>
          <w:sz w:val="20"/>
        </w:rPr>
        <w:t> </w:t>
      </w:r>
      <w:r>
        <w:rPr>
          <w:sz w:val="20"/>
        </w:rPr>
        <w:t>the</w:t>
      </w:r>
      <w:r>
        <w:rPr>
          <w:spacing w:val="-10"/>
          <w:sz w:val="20"/>
        </w:rPr>
        <w:t> </w:t>
      </w:r>
      <w:r>
        <w:rPr>
          <w:sz w:val="20"/>
        </w:rPr>
        <w:t>Juries</w:t>
      </w:r>
      <w:r>
        <w:rPr>
          <w:spacing w:val="-10"/>
          <w:sz w:val="20"/>
        </w:rPr>
        <w:t> </w:t>
      </w:r>
      <w:r>
        <w:rPr>
          <w:sz w:val="20"/>
        </w:rPr>
        <w:t>Commissioner</w:t>
      </w:r>
      <w:r>
        <w:rPr>
          <w:spacing w:val="-10"/>
          <w:sz w:val="20"/>
        </w:rPr>
        <w:t> </w:t>
      </w:r>
      <w:r>
        <w:rPr>
          <w:sz w:val="20"/>
        </w:rPr>
        <w:t>is</w:t>
      </w:r>
      <w:r>
        <w:rPr>
          <w:spacing w:val="-10"/>
          <w:sz w:val="20"/>
        </w:rPr>
        <w:t> </w:t>
      </w:r>
      <w:r>
        <w:rPr>
          <w:spacing w:val="-3"/>
          <w:sz w:val="20"/>
        </w:rPr>
        <w:t>provided</w:t>
      </w:r>
      <w:r>
        <w:rPr>
          <w:spacing w:val="-10"/>
          <w:sz w:val="20"/>
        </w:rPr>
        <w:t> </w:t>
      </w:r>
      <w:r>
        <w:rPr>
          <w:sz w:val="20"/>
        </w:rPr>
        <w:t>with</w:t>
      </w:r>
      <w:r>
        <w:rPr>
          <w:spacing w:val="-10"/>
          <w:sz w:val="20"/>
        </w:rPr>
        <w:t> </w:t>
      </w:r>
      <w:r>
        <w:rPr>
          <w:sz w:val="20"/>
        </w:rPr>
        <w:t>trial</w:t>
      </w:r>
      <w:r>
        <w:rPr>
          <w:spacing w:val="-10"/>
          <w:sz w:val="20"/>
        </w:rPr>
        <w:t> </w:t>
      </w:r>
      <w:r>
        <w:rPr>
          <w:sz w:val="20"/>
        </w:rPr>
        <w:t>listings </w:t>
      </w:r>
      <w:r>
        <w:rPr>
          <w:spacing w:val="-3"/>
          <w:sz w:val="20"/>
        </w:rPr>
        <w:t>approximately</w:t>
      </w:r>
      <w:r>
        <w:rPr>
          <w:spacing w:val="-8"/>
          <w:sz w:val="20"/>
        </w:rPr>
        <w:t> </w:t>
      </w:r>
      <w:r>
        <w:rPr>
          <w:sz w:val="20"/>
        </w:rPr>
        <w:t>one</w:t>
      </w:r>
      <w:r>
        <w:rPr>
          <w:spacing w:val="-8"/>
          <w:sz w:val="20"/>
        </w:rPr>
        <w:t> </w:t>
      </w:r>
      <w:r>
        <w:rPr>
          <w:sz w:val="20"/>
        </w:rPr>
        <w:t>and</w:t>
      </w:r>
      <w:r>
        <w:rPr>
          <w:spacing w:val="-8"/>
          <w:sz w:val="20"/>
        </w:rPr>
        <w:t> </w:t>
      </w:r>
      <w:r>
        <w:rPr>
          <w:sz w:val="20"/>
        </w:rPr>
        <w:t>a</w:t>
      </w:r>
      <w:r>
        <w:rPr>
          <w:spacing w:val="-7"/>
          <w:sz w:val="20"/>
        </w:rPr>
        <w:t> </w:t>
      </w:r>
      <w:r>
        <w:rPr>
          <w:sz w:val="20"/>
        </w:rPr>
        <w:t>half</w:t>
      </w:r>
      <w:r>
        <w:rPr>
          <w:spacing w:val="-8"/>
          <w:sz w:val="20"/>
        </w:rPr>
        <w:t> </w:t>
      </w:r>
      <w:r>
        <w:rPr>
          <w:sz w:val="20"/>
        </w:rPr>
        <w:t>months</w:t>
      </w:r>
      <w:r>
        <w:rPr>
          <w:spacing w:val="-8"/>
          <w:sz w:val="20"/>
        </w:rPr>
        <w:t> </w:t>
      </w:r>
      <w:r>
        <w:rPr>
          <w:spacing w:val="-3"/>
          <w:sz w:val="20"/>
        </w:rPr>
        <w:t>before</w:t>
      </w:r>
      <w:r>
        <w:rPr>
          <w:spacing w:val="-7"/>
          <w:sz w:val="20"/>
        </w:rPr>
        <w:t> </w:t>
      </w:r>
      <w:r>
        <w:rPr>
          <w:sz w:val="20"/>
        </w:rPr>
        <w:t>trial</w:t>
      </w:r>
      <w:r>
        <w:rPr>
          <w:spacing w:val="-8"/>
          <w:sz w:val="20"/>
        </w:rPr>
        <w:t> </w:t>
      </w:r>
      <w:r>
        <w:rPr>
          <w:sz w:val="20"/>
        </w:rPr>
        <w:t>dates.</w:t>
      </w:r>
      <w:r>
        <w:rPr>
          <w:spacing w:val="-8"/>
          <w:sz w:val="20"/>
        </w:rPr>
        <w:t> </w:t>
      </w:r>
      <w:r>
        <w:rPr>
          <w:sz w:val="20"/>
        </w:rPr>
        <w:t>If</w:t>
      </w:r>
      <w:r>
        <w:rPr>
          <w:spacing w:val="-7"/>
          <w:sz w:val="20"/>
        </w:rPr>
        <w:t> </w:t>
      </w:r>
      <w:r>
        <w:rPr>
          <w:sz w:val="20"/>
        </w:rPr>
        <w:t>the</w:t>
      </w:r>
      <w:r>
        <w:rPr>
          <w:spacing w:val="-8"/>
          <w:sz w:val="20"/>
        </w:rPr>
        <w:t> </w:t>
      </w:r>
      <w:r>
        <w:rPr>
          <w:sz w:val="20"/>
        </w:rPr>
        <w:t>trial</w:t>
      </w:r>
      <w:r>
        <w:rPr>
          <w:spacing w:val="-8"/>
          <w:sz w:val="20"/>
        </w:rPr>
        <w:t> </w:t>
      </w:r>
      <w:r>
        <w:rPr>
          <w:sz w:val="20"/>
        </w:rPr>
        <w:t>is</w:t>
      </w:r>
      <w:r>
        <w:rPr>
          <w:spacing w:val="-8"/>
          <w:sz w:val="20"/>
        </w:rPr>
        <w:t> </w:t>
      </w:r>
      <w:r>
        <w:rPr>
          <w:sz w:val="20"/>
        </w:rPr>
        <w:t>a</w:t>
      </w:r>
      <w:r>
        <w:rPr>
          <w:spacing w:val="-7"/>
          <w:sz w:val="20"/>
        </w:rPr>
        <w:t> </w:t>
      </w:r>
      <w:r>
        <w:rPr>
          <w:sz w:val="20"/>
        </w:rPr>
        <w:t>criminal</w:t>
      </w:r>
      <w:r>
        <w:rPr>
          <w:spacing w:val="-8"/>
          <w:sz w:val="20"/>
        </w:rPr>
        <w:t> </w:t>
      </w:r>
      <w:r>
        <w:rPr>
          <w:sz w:val="20"/>
        </w:rPr>
        <w:t>trial,</w:t>
      </w:r>
      <w:r>
        <w:rPr>
          <w:spacing w:val="-8"/>
          <w:sz w:val="20"/>
        </w:rPr>
        <w:t> </w:t>
      </w:r>
      <w:r>
        <w:rPr>
          <w:sz w:val="20"/>
        </w:rPr>
        <w:t>the Juries Commissioner is notified of the estimated duration of the trial, the number of accused</w:t>
      </w:r>
      <w:r>
        <w:rPr>
          <w:spacing w:val="-10"/>
          <w:sz w:val="20"/>
        </w:rPr>
        <w:t> </w:t>
      </w:r>
      <w:r>
        <w:rPr>
          <w:sz w:val="20"/>
        </w:rPr>
        <w:t>and</w:t>
      </w:r>
      <w:r>
        <w:rPr>
          <w:spacing w:val="-10"/>
          <w:sz w:val="20"/>
        </w:rPr>
        <w:t> </w:t>
      </w:r>
      <w:r>
        <w:rPr>
          <w:sz w:val="20"/>
        </w:rPr>
        <w:t>the</w:t>
      </w:r>
      <w:r>
        <w:rPr>
          <w:spacing w:val="-10"/>
          <w:sz w:val="20"/>
        </w:rPr>
        <w:t> </w:t>
      </w:r>
      <w:r>
        <w:rPr>
          <w:sz w:val="20"/>
        </w:rPr>
        <w:t>charges.</w:t>
      </w:r>
      <w:r>
        <w:rPr>
          <w:spacing w:val="-10"/>
          <w:sz w:val="20"/>
        </w:rPr>
        <w:t> </w:t>
      </w:r>
      <w:r>
        <w:rPr>
          <w:sz w:val="20"/>
        </w:rPr>
        <w:t>The</w:t>
      </w:r>
      <w:r>
        <w:rPr>
          <w:spacing w:val="-10"/>
          <w:sz w:val="20"/>
        </w:rPr>
        <w:t> </w:t>
      </w:r>
      <w:r>
        <w:rPr>
          <w:sz w:val="20"/>
        </w:rPr>
        <w:t>Juries</w:t>
      </w:r>
      <w:r>
        <w:rPr>
          <w:spacing w:val="-10"/>
          <w:sz w:val="20"/>
        </w:rPr>
        <w:t> </w:t>
      </w:r>
      <w:r>
        <w:rPr>
          <w:sz w:val="20"/>
        </w:rPr>
        <w:t>Commissioner</w:t>
      </w:r>
      <w:r>
        <w:rPr>
          <w:spacing w:val="-9"/>
          <w:sz w:val="20"/>
        </w:rPr>
        <w:t> </w:t>
      </w:r>
      <w:r>
        <w:rPr>
          <w:sz w:val="20"/>
        </w:rPr>
        <w:t>is</w:t>
      </w:r>
      <w:r>
        <w:rPr>
          <w:spacing w:val="-10"/>
          <w:sz w:val="20"/>
        </w:rPr>
        <w:t> </w:t>
      </w:r>
      <w:r>
        <w:rPr>
          <w:sz w:val="20"/>
        </w:rPr>
        <w:t>notified</w:t>
      </w:r>
      <w:r>
        <w:rPr>
          <w:spacing w:val="-10"/>
          <w:sz w:val="20"/>
        </w:rPr>
        <w:t> </w:t>
      </w:r>
      <w:r>
        <w:rPr>
          <w:sz w:val="20"/>
        </w:rPr>
        <w:t>of</w:t>
      </w:r>
      <w:r>
        <w:rPr>
          <w:spacing w:val="-10"/>
          <w:sz w:val="20"/>
        </w:rPr>
        <w:t> </w:t>
      </w:r>
      <w:r>
        <w:rPr>
          <w:sz w:val="20"/>
        </w:rPr>
        <w:t>the</w:t>
      </w:r>
      <w:r>
        <w:rPr>
          <w:spacing w:val="-10"/>
          <w:sz w:val="20"/>
        </w:rPr>
        <w:t> </w:t>
      </w:r>
      <w:r>
        <w:rPr>
          <w:sz w:val="20"/>
        </w:rPr>
        <w:t>number</w:t>
      </w:r>
      <w:r>
        <w:rPr>
          <w:spacing w:val="-10"/>
          <w:sz w:val="20"/>
        </w:rPr>
        <w:t> </w:t>
      </w:r>
      <w:r>
        <w:rPr>
          <w:sz w:val="20"/>
        </w:rPr>
        <w:t>of</w:t>
      </w:r>
      <w:r>
        <w:rPr>
          <w:spacing w:val="-9"/>
          <w:sz w:val="20"/>
        </w:rPr>
        <w:t> </w:t>
      </w:r>
      <w:r>
        <w:rPr>
          <w:sz w:val="20"/>
        </w:rPr>
        <w:t>panels needed each week and once the trial is allocated, the </w:t>
      </w:r>
      <w:r>
        <w:rPr>
          <w:spacing w:val="-3"/>
          <w:sz w:val="20"/>
        </w:rPr>
        <w:t>judge’s </w:t>
      </w:r>
      <w:r>
        <w:rPr>
          <w:sz w:val="20"/>
        </w:rPr>
        <w:t>chambers is in contact with Juries Victoria to confirm</w:t>
      </w:r>
      <w:r>
        <w:rPr>
          <w:spacing w:val="-23"/>
          <w:sz w:val="20"/>
        </w:rPr>
        <w:t> </w:t>
      </w:r>
      <w:r>
        <w:rPr>
          <w:sz w:val="20"/>
        </w:rPr>
        <w:t>logistics.</w:t>
      </w:r>
      <w:r>
        <w:rPr>
          <w:position w:val="7"/>
          <w:sz w:val="11"/>
        </w:rPr>
        <w:t>43</w:t>
      </w:r>
    </w:p>
    <w:p>
      <w:pPr>
        <w:spacing w:before="165"/>
        <w:ind w:left="967" w:right="0" w:firstLine="0"/>
        <w:jc w:val="left"/>
        <w:rPr>
          <w:b/>
          <w:sz w:val="24"/>
        </w:rPr>
      </w:pPr>
      <w:r>
        <w:rPr>
          <w:b/>
          <w:sz w:val="24"/>
        </w:rPr>
        <w:t>The Supreme Court’s proposed approach</w:t>
      </w:r>
    </w:p>
    <w:p>
      <w:pPr>
        <w:pStyle w:val="ListParagraph"/>
        <w:numPr>
          <w:ilvl w:val="1"/>
          <w:numId w:val="12"/>
        </w:numPr>
        <w:tabs>
          <w:tab w:pos="1761" w:val="left" w:leader="none"/>
          <w:tab w:pos="1762" w:val="left" w:leader="none"/>
        </w:tabs>
        <w:spacing w:line="206" w:lineRule="auto" w:before="127" w:after="0"/>
        <w:ind w:left="1761" w:right="1207" w:hanging="794"/>
        <w:jc w:val="left"/>
        <w:rPr>
          <w:sz w:val="20"/>
        </w:rPr>
      </w:pPr>
      <w:r>
        <w:rPr>
          <w:sz w:val="20"/>
        </w:rPr>
        <w:t>The</w:t>
      </w:r>
      <w:r>
        <w:rPr>
          <w:spacing w:val="-12"/>
          <w:sz w:val="20"/>
        </w:rPr>
        <w:t> </w:t>
      </w:r>
      <w:r>
        <w:rPr>
          <w:sz w:val="20"/>
        </w:rPr>
        <w:t>Supreme</w:t>
      </w:r>
      <w:r>
        <w:rPr>
          <w:spacing w:val="-11"/>
          <w:sz w:val="20"/>
        </w:rPr>
        <w:t> </w:t>
      </w:r>
      <w:r>
        <w:rPr>
          <w:sz w:val="20"/>
        </w:rPr>
        <w:t>Court</w:t>
      </w:r>
      <w:r>
        <w:rPr>
          <w:spacing w:val="-12"/>
          <w:sz w:val="20"/>
        </w:rPr>
        <w:t> </w:t>
      </w:r>
      <w:r>
        <w:rPr>
          <w:sz w:val="20"/>
        </w:rPr>
        <w:t>submission</w:t>
      </w:r>
      <w:r>
        <w:rPr>
          <w:spacing w:val="-11"/>
          <w:sz w:val="20"/>
        </w:rPr>
        <w:t> </w:t>
      </w:r>
      <w:r>
        <w:rPr>
          <w:sz w:val="20"/>
        </w:rPr>
        <w:t>notes</w:t>
      </w:r>
      <w:r>
        <w:rPr>
          <w:spacing w:val="-11"/>
          <w:sz w:val="20"/>
        </w:rPr>
        <w:t> </w:t>
      </w:r>
      <w:r>
        <w:rPr>
          <w:sz w:val="20"/>
        </w:rPr>
        <w:t>that</w:t>
      </w:r>
      <w:r>
        <w:rPr>
          <w:spacing w:val="-12"/>
          <w:sz w:val="20"/>
        </w:rPr>
        <w:t> </w:t>
      </w:r>
      <w:r>
        <w:rPr>
          <w:sz w:val="20"/>
        </w:rPr>
        <w:t>it</w:t>
      </w:r>
      <w:r>
        <w:rPr>
          <w:spacing w:val="-11"/>
          <w:sz w:val="20"/>
        </w:rPr>
        <w:t> </w:t>
      </w:r>
      <w:r>
        <w:rPr>
          <w:sz w:val="20"/>
        </w:rPr>
        <w:t>does</w:t>
      </w:r>
      <w:r>
        <w:rPr>
          <w:spacing w:val="-11"/>
          <w:sz w:val="20"/>
        </w:rPr>
        <w:t> </w:t>
      </w:r>
      <w:r>
        <w:rPr>
          <w:sz w:val="20"/>
        </w:rPr>
        <w:t>not</w:t>
      </w:r>
      <w:r>
        <w:rPr>
          <w:spacing w:val="-12"/>
          <w:sz w:val="20"/>
        </w:rPr>
        <w:t> </w:t>
      </w:r>
      <w:r>
        <w:rPr>
          <w:sz w:val="20"/>
        </w:rPr>
        <w:t>put</w:t>
      </w:r>
      <w:r>
        <w:rPr>
          <w:spacing w:val="-11"/>
          <w:sz w:val="20"/>
        </w:rPr>
        <w:t> </w:t>
      </w:r>
      <w:r>
        <w:rPr>
          <w:sz w:val="20"/>
        </w:rPr>
        <w:t>forward</w:t>
      </w:r>
      <w:r>
        <w:rPr>
          <w:spacing w:val="-11"/>
          <w:sz w:val="20"/>
        </w:rPr>
        <w:t> </w:t>
      </w:r>
      <w:r>
        <w:rPr>
          <w:sz w:val="20"/>
        </w:rPr>
        <w:t>a</w:t>
      </w:r>
      <w:r>
        <w:rPr>
          <w:spacing w:val="-12"/>
          <w:sz w:val="20"/>
        </w:rPr>
        <w:t> </w:t>
      </w:r>
      <w:r>
        <w:rPr>
          <w:sz w:val="20"/>
        </w:rPr>
        <w:t>procedural</w:t>
      </w:r>
      <w:r>
        <w:rPr>
          <w:spacing w:val="-11"/>
          <w:sz w:val="20"/>
        </w:rPr>
        <w:t> </w:t>
      </w:r>
      <w:r>
        <w:rPr>
          <w:sz w:val="20"/>
        </w:rPr>
        <w:t>solution but instead ‘suggests options for the Commission’s consideration and identifies potential drawbacks associated with those options where </w:t>
      </w:r>
      <w:r>
        <w:rPr>
          <w:spacing w:val="-2"/>
          <w:sz w:val="20"/>
        </w:rPr>
        <w:t>relevant’.</w:t>
      </w:r>
      <w:r>
        <w:rPr>
          <w:spacing w:val="-2"/>
          <w:position w:val="7"/>
          <w:sz w:val="11"/>
        </w:rPr>
        <w:t>44 </w:t>
      </w:r>
      <w:r>
        <w:rPr>
          <w:sz w:val="20"/>
        </w:rPr>
        <w:t>The Court’s approach can be summarised as</w:t>
      </w:r>
      <w:r>
        <w:rPr>
          <w:spacing w:val="-22"/>
          <w:sz w:val="20"/>
        </w:rPr>
        <w:t> </w:t>
      </w:r>
      <w:r>
        <w:rPr>
          <w:spacing w:val="-3"/>
          <w:sz w:val="20"/>
        </w:rPr>
        <w:t>follows:</w:t>
      </w:r>
    </w:p>
    <w:p>
      <w:pPr>
        <w:pStyle w:val="ListParagraph"/>
        <w:numPr>
          <w:ilvl w:val="2"/>
          <w:numId w:val="12"/>
        </w:numPr>
        <w:tabs>
          <w:tab w:pos="2157" w:val="left" w:leader="none"/>
          <w:tab w:pos="2158" w:val="left" w:leader="none"/>
        </w:tabs>
        <w:spacing w:line="206" w:lineRule="auto" w:before="125" w:after="0"/>
        <w:ind w:left="2157" w:right="1592" w:hanging="396"/>
        <w:jc w:val="left"/>
        <w:rPr>
          <w:sz w:val="20"/>
        </w:rPr>
      </w:pPr>
      <w:r>
        <w:rPr>
          <w:sz w:val="20"/>
        </w:rPr>
        <w:t>A</w:t>
      </w:r>
      <w:r>
        <w:rPr>
          <w:spacing w:val="-14"/>
          <w:sz w:val="20"/>
        </w:rPr>
        <w:t> </w:t>
      </w:r>
      <w:r>
        <w:rPr>
          <w:sz w:val="20"/>
        </w:rPr>
        <w:t>post-committal</w:t>
      </w:r>
      <w:r>
        <w:rPr>
          <w:spacing w:val="-13"/>
          <w:sz w:val="20"/>
        </w:rPr>
        <w:t> </w:t>
      </w:r>
      <w:r>
        <w:rPr>
          <w:sz w:val="20"/>
        </w:rPr>
        <w:t>directions</w:t>
      </w:r>
      <w:r>
        <w:rPr>
          <w:spacing w:val="-13"/>
          <w:sz w:val="20"/>
        </w:rPr>
        <w:t> </w:t>
      </w:r>
      <w:r>
        <w:rPr>
          <w:sz w:val="20"/>
        </w:rPr>
        <w:t>hearing</w:t>
      </w:r>
      <w:r>
        <w:rPr>
          <w:spacing w:val="-13"/>
          <w:sz w:val="20"/>
        </w:rPr>
        <w:t> </w:t>
      </w:r>
      <w:r>
        <w:rPr>
          <w:sz w:val="20"/>
        </w:rPr>
        <w:t>or</w:t>
      </w:r>
      <w:r>
        <w:rPr>
          <w:spacing w:val="-13"/>
          <w:sz w:val="20"/>
        </w:rPr>
        <w:t> </w:t>
      </w:r>
      <w:r>
        <w:rPr>
          <w:sz w:val="20"/>
        </w:rPr>
        <w:t>a</w:t>
      </w:r>
      <w:r>
        <w:rPr>
          <w:spacing w:val="-13"/>
          <w:sz w:val="20"/>
        </w:rPr>
        <w:t> </w:t>
      </w:r>
      <w:r>
        <w:rPr>
          <w:sz w:val="20"/>
        </w:rPr>
        <w:t>later</w:t>
      </w:r>
      <w:r>
        <w:rPr>
          <w:spacing w:val="-13"/>
          <w:sz w:val="20"/>
        </w:rPr>
        <w:t> </w:t>
      </w:r>
      <w:r>
        <w:rPr>
          <w:sz w:val="20"/>
        </w:rPr>
        <w:t>directions</w:t>
      </w:r>
      <w:r>
        <w:rPr>
          <w:spacing w:val="-13"/>
          <w:sz w:val="20"/>
        </w:rPr>
        <w:t> </w:t>
      </w:r>
      <w:r>
        <w:rPr>
          <w:sz w:val="20"/>
        </w:rPr>
        <w:t>hearing</w:t>
      </w:r>
      <w:r>
        <w:rPr>
          <w:spacing w:val="-13"/>
          <w:sz w:val="20"/>
        </w:rPr>
        <w:t> </w:t>
      </w:r>
      <w:r>
        <w:rPr>
          <w:sz w:val="20"/>
        </w:rPr>
        <w:t>could</w:t>
      </w:r>
      <w:r>
        <w:rPr>
          <w:spacing w:val="-13"/>
          <w:sz w:val="20"/>
        </w:rPr>
        <w:t> </w:t>
      </w:r>
      <w:r>
        <w:rPr>
          <w:sz w:val="20"/>
        </w:rPr>
        <w:t>be</w:t>
      </w:r>
      <w:r>
        <w:rPr>
          <w:spacing w:val="-13"/>
          <w:sz w:val="20"/>
        </w:rPr>
        <w:t> </w:t>
      </w:r>
      <w:r>
        <w:rPr>
          <w:sz w:val="20"/>
        </w:rPr>
        <w:t>used as</w:t>
      </w:r>
      <w:r>
        <w:rPr>
          <w:spacing w:val="-11"/>
          <w:sz w:val="20"/>
        </w:rPr>
        <w:t> </w:t>
      </w:r>
      <w:r>
        <w:rPr>
          <w:sz w:val="20"/>
        </w:rPr>
        <w:t>an</w:t>
      </w:r>
      <w:r>
        <w:rPr>
          <w:spacing w:val="-11"/>
          <w:sz w:val="20"/>
        </w:rPr>
        <w:t> </w:t>
      </w:r>
      <w:r>
        <w:rPr>
          <w:sz w:val="20"/>
        </w:rPr>
        <w:t>information-gathering</w:t>
      </w:r>
      <w:r>
        <w:rPr>
          <w:spacing w:val="-10"/>
          <w:sz w:val="20"/>
        </w:rPr>
        <w:t> </w:t>
      </w:r>
      <w:r>
        <w:rPr>
          <w:spacing w:val="-3"/>
          <w:sz w:val="20"/>
        </w:rPr>
        <w:t>exercise</w:t>
      </w:r>
      <w:r>
        <w:rPr>
          <w:spacing w:val="-11"/>
          <w:sz w:val="20"/>
        </w:rPr>
        <w:t> </w:t>
      </w:r>
      <w:r>
        <w:rPr>
          <w:sz w:val="20"/>
        </w:rPr>
        <w:t>to</w:t>
      </w:r>
      <w:r>
        <w:rPr>
          <w:spacing w:val="-11"/>
          <w:sz w:val="20"/>
        </w:rPr>
        <w:t> </w:t>
      </w:r>
      <w:r>
        <w:rPr>
          <w:sz w:val="20"/>
        </w:rPr>
        <w:t>ask</w:t>
      </w:r>
      <w:r>
        <w:rPr>
          <w:spacing w:val="-10"/>
          <w:sz w:val="20"/>
        </w:rPr>
        <w:t> </w:t>
      </w:r>
      <w:r>
        <w:rPr>
          <w:sz w:val="20"/>
        </w:rPr>
        <w:t>counsel</w:t>
      </w:r>
      <w:r>
        <w:rPr>
          <w:spacing w:val="-11"/>
          <w:sz w:val="20"/>
        </w:rPr>
        <w:t> </w:t>
      </w:r>
      <w:r>
        <w:rPr>
          <w:sz w:val="20"/>
        </w:rPr>
        <w:t>whether</w:t>
      </w:r>
      <w:r>
        <w:rPr>
          <w:spacing w:val="-11"/>
          <w:sz w:val="20"/>
        </w:rPr>
        <w:t> </w:t>
      </w:r>
      <w:r>
        <w:rPr>
          <w:sz w:val="20"/>
        </w:rPr>
        <w:t>the</w:t>
      </w:r>
      <w:r>
        <w:rPr>
          <w:spacing w:val="-10"/>
          <w:sz w:val="20"/>
        </w:rPr>
        <w:t> </w:t>
      </w:r>
      <w:r>
        <w:rPr>
          <w:sz w:val="20"/>
        </w:rPr>
        <w:t>trial</w:t>
      </w:r>
      <w:r>
        <w:rPr>
          <w:spacing w:val="-11"/>
          <w:sz w:val="20"/>
        </w:rPr>
        <w:t> </w:t>
      </w:r>
      <w:r>
        <w:rPr>
          <w:sz w:val="20"/>
        </w:rPr>
        <w:t>might</w:t>
      </w:r>
      <w:r>
        <w:rPr>
          <w:spacing w:val="-11"/>
          <w:sz w:val="20"/>
        </w:rPr>
        <w:t> </w:t>
      </w:r>
      <w:r>
        <w:rPr>
          <w:sz w:val="20"/>
        </w:rPr>
        <w:t>be</w:t>
      </w:r>
    </w:p>
    <w:p>
      <w:pPr>
        <w:pStyle w:val="BodyText"/>
        <w:spacing w:line="206" w:lineRule="auto" w:before="3"/>
        <w:ind w:left="2157" w:right="1277"/>
      </w:pPr>
      <w:r>
        <w:rPr/>
        <w:t>suitable</w:t>
      </w:r>
      <w:r>
        <w:rPr>
          <w:spacing w:val="-9"/>
        </w:rPr>
        <w:t> </w:t>
      </w:r>
      <w:r>
        <w:rPr/>
        <w:t>for</w:t>
      </w:r>
      <w:r>
        <w:rPr>
          <w:spacing w:val="-9"/>
        </w:rPr>
        <w:t> </w:t>
      </w:r>
      <w:r>
        <w:rPr/>
        <w:t>a</w:t>
      </w:r>
      <w:r>
        <w:rPr>
          <w:spacing w:val="-9"/>
        </w:rPr>
        <w:t> </w:t>
      </w:r>
      <w:r>
        <w:rPr/>
        <w:t>juror</w:t>
      </w:r>
      <w:r>
        <w:rPr>
          <w:spacing w:val="-9"/>
        </w:rPr>
        <w:t> </w:t>
      </w:r>
      <w:r>
        <w:rPr>
          <w:spacing w:val="-3"/>
        </w:rPr>
        <w:t>from</w:t>
      </w:r>
      <w:r>
        <w:rPr>
          <w:spacing w:val="-9"/>
        </w:rPr>
        <w:t> </w:t>
      </w:r>
      <w:r>
        <w:rPr/>
        <w:t>the</w:t>
      </w:r>
      <w:r>
        <w:rPr>
          <w:spacing w:val="-9"/>
        </w:rPr>
        <w:t> </w:t>
      </w:r>
      <w:r>
        <w:rPr/>
        <w:t>subject</w:t>
      </w:r>
      <w:r>
        <w:rPr>
          <w:spacing w:val="-8"/>
        </w:rPr>
        <w:t> </w:t>
      </w:r>
      <w:r>
        <w:rPr/>
        <w:t>groups.</w:t>
      </w:r>
      <w:r>
        <w:rPr>
          <w:spacing w:val="-9"/>
        </w:rPr>
        <w:t> </w:t>
      </w:r>
      <w:r>
        <w:rPr/>
        <w:t>This</w:t>
      </w:r>
      <w:r>
        <w:rPr>
          <w:spacing w:val="-9"/>
        </w:rPr>
        <w:t> </w:t>
      </w:r>
      <w:r>
        <w:rPr/>
        <w:t>consideration</w:t>
      </w:r>
      <w:r>
        <w:rPr>
          <w:spacing w:val="-9"/>
        </w:rPr>
        <w:t> </w:t>
      </w:r>
      <w:r>
        <w:rPr>
          <w:spacing w:val="-3"/>
        </w:rPr>
        <w:t>‘would</w:t>
      </w:r>
      <w:r>
        <w:rPr>
          <w:spacing w:val="-9"/>
        </w:rPr>
        <w:t> </w:t>
      </w:r>
      <w:r>
        <w:rPr/>
        <w:t>be</w:t>
      </w:r>
      <w:r>
        <w:rPr>
          <w:spacing w:val="-9"/>
        </w:rPr>
        <w:t> </w:t>
      </w:r>
      <w:r>
        <w:rPr/>
        <w:t>at</w:t>
      </w:r>
      <w:r>
        <w:rPr>
          <w:spacing w:val="-8"/>
        </w:rPr>
        <w:t> </w:t>
      </w:r>
      <w:r>
        <w:rPr/>
        <w:t>a</w:t>
      </w:r>
      <w:r>
        <w:rPr>
          <w:spacing w:val="-9"/>
        </w:rPr>
        <w:t> </w:t>
      </w:r>
      <w:r>
        <w:rPr>
          <w:spacing w:val="-4"/>
        </w:rPr>
        <w:t>level </w:t>
      </w:r>
      <w:r>
        <w:rPr/>
        <w:t>of</w:t>
      </w:r>
      <w:r>
        <w:rPr>
          <w:spacing w:val="-6"/>
        </w:rPr>
        <w:t> </w:t>
      </w:r>
      <w:r>
        <w:rPr/>
        <w:t>abstraction</w:t>
      </w:r>
      <w:r>
        <w:rPr>
          <w:spacing w:val="-6"/>
        </w:rPr>
        <w:t> </w:t>
      </w:r>
      <w:r>
        <w:rPr/>
        <w:t>as</w:t>
      </w:r>
      <w:r>
        <w:rPr>
          <w:spacing w:val="-5"/>
        </w:rPr>
        <w:t> </w:t>
      </w:r>
      <w:r>
        <w:rPr>
          <w:spacing w:val="-3"/>
        </w:rPr>
        <w:t>regards</w:t>
      </w:r>
      <w:r>
        <w:rPr>
          <w:spacing w:val="-6"/>
        </w:rPr>
        <w:t> </w:t>
      </w:r>
      <w:r>
        <w:rPr/>
        <w:t>the</w:t>
      </w:r>
      <w:r>
        <w:rPr>
          <w:spacing w:val="-5"/>
        </w:rPr>
        <w:t> </w:t>
      </w:r>
      <w:r>
        <w:rPr>
          <w:spacing w:val="-3"/>
        </w:rPr>
        <w:t>nature</w:t>
      </w:r>
      <w:r>
        <w:rPr>
          <w:spacing w:val="-6"/>
        </w:rPr>
        <w:t> </w:t>
      </w:r>
      <w:r>
        <w:rPr/>
        <w:t>of</w:t>
      </w:r>
      <w:r>
        <w:rPr>
          <w:spacing w:val="-5"/>
        </w:rPr>
        <w:t> </w:t>
      </w:r>
      <w:r>
        <w:rPr/>
        <w:t>the</w:t>
      </w:r>
      <w:r>
        <w:rPr>
          <w:spacing w:val="-6"/>
        </w:rPr>
        <w:t> </w:t>
      </w:r>
      <w:r>
        <w:rPr/>
        <w:t>disability</w:t>
      </w:r>
      <w:r>
        <w:rPr>
          <w:spacing w:val="-5"/>
        </w:rPr>
        <w:t> </w:t>
      </w:r>
      <w:r>
        <w:rPr/>
        <w:t>and</w:t>
      </w:r>
      <w:r>
        <w:rPr>
          <w:spacing w:val="-6"/>
        </w:rPr>
        <w:t> </w:t>
      </w:r>
      <w:r>
        <w:rPr/>
        <w:t>the</w:t>
      </w:r>
      <w:r>
        <w:rPr>
          <w:spacing w:val="-5"/>
        </w:rPr>
        <w:t> </w:t>
      </w:r>
      <w:r>
        <w:rPr/>
        <w:t>supports</w:t>
      </w:r>
      <w:r>
        <w:rPr>
          <w:spacing w:val="-6"/>
        </w:rPr>
        <w:t> </w:t>
      </w:r>
      <w:r>
        <w:rPr>
          <w:spacing w:val="-4"/>
        </w:rPr>
        <w:t>available’.</w:t>
      </w:r>
    </w:p>
    <w:p>
      <w:pPr>
        <w:pStyle w:val="ListParagraph"/>
        <w:numPr>
          <w:ilvl w:val="2"/>
          <w:numId w:val="12"/>
        </w:numPr>
        <w:tabs>
          <w:tab w:pos="2157" w:val="left" w:leader="none"/>
          <w:tab w:pos="2158" w:val="left" w:leader="none"/>
        </w:tabs>
        <w:spacing w:line="206" w:lineRule="auto" w:before="88" w:after="0"/>
        <w:ind w:left="2157" w:right="1524" w:hanging="396"/>
        <w:jc w:val="left"/>
        <w:rPr>
          <w:sz w:val="20"/>
        </w:rPr>
      </w:pPr>
      <w:r>
        <w:rPr>
          <w:sz w:val="20"/>
        </w:rPr>
        <w:t>If a person </w:t>
      </w:r>
      <w:r>
        <w:rPr>
          <w:spacing w:val="-3"/>
          <w:sz w:val="20"/>
        </w:rPr>
        <w:t>from </w:t>
      </w:r>
      <w:r>
        <w:rPr>
          <w:sz w:val="20"/>
        </w:rPr>
        <w:t>the subject groups is summonsed, Juries Victoria could book </w:t>
      </w:r>
      <w:r>
        <w:rPr>
          <w:spacing w:val="-3"/>
          <w:sz w:val="20"/>
        </w:rPr>
        <w:t>any</w:t>
      </w:r>
      <w:r>
        <w:rPr>
          <w:spacing w:val="-11"/>
          <w:sz w:val="20"/>
        </w:rPr>
        <w:t> </w:t>
      </w:r>
      <w:r>
        <w:rPr>
          <w:sz w:val="20"/>
        </w:rPr>
        <w:t>necessary</w:t>
      </w:r>
      <w:r>
        <w:rPr>
          <w:spacing w:val="-10"/>
          <w:sz w:val="20"/>
        </w:rPr>
        <w:t> </w:t>
      </w:r>
      <w:r>
        <w:rPr>
          <w:sz w:val="20"/>
        </w:rPr>
        <w:t>adjustments</w:t>
      </w:r>
      <w:r>
        <w:rPr>
          <w:spacing w:val="-10"/>
          <w:sz w:val="20"/>
        </w:rPr>
        <w:t> </w:t>
      </w:r>
      <w:r>
        <w:rPr>
          <w:sz w:val="20"/>
        </w:rPr>
        <w:t>for</w:t>
      </w:r>
      <w:r>
        <w:rPr>
          <w:spacing w:val="-10"/>
          <w:sz w:val="20"/>
        </w:rPr>
        <w:t> </w:t>
      </w:r>
      <w:r>
        <w:rPr>
          <w:sz w:val="20"/>
        </w:rPr>
        <w:t>attendance</w:t>
      </w:r>
      <w:r>
        <w:rPr>
          <w:spacing w:val="-10"/>
          <w:sz w:val="20"/>
        </w:rPr>
        <w:t> </w:t>
      </w:r>
      <w:r>
        <w:rPr>
          <w:sz w:val="20"/>
        </w:rPr>
        <w:t>at</w:t>
      </w:r>
      <w:r>
        <w:rPr>
          <w:spacing w:val="-10"/>
          <w:sz w:val="20"/>
        </w:rPr>
        <w:t> </w:t>
      </w:r>
      <w:r>
        <w:rPr>
          <w:sz w:val="20"/>
        </w:rPr>
        <w:t>court.</w:t>
      </w:r>
      <w:r>
        <w:rPr>
          <w:spacing w:val="-10"/>
          <w:sz w:val="20"/>
        </w:rPr>
        <w:t> </w:t>
      </w:r>
      <w:r>
        <w:rPr>
          <w:sz w:val="20"/>
        </w:rPr>
        <w:t>If</w:t>
      </w:r>
      <w:r>
        <w:rPr>
          <w:spacing w:val="-10"/>
          <w:sz w:val="20"/>
        </w:rPr>
        <w:t> </w:t>
      </w:r>
      <w:r>
        <w:rPr>
          <w:sz w:val="20"/>
        </w:rPr>
        <w:t>adjustments</w:t>
      </w:r>
      <w:r>
        <w:rPr>
          <w:spacing w:val="-10"/>
          <w:sz w:val="20"/>
        </w:rPr>
        <w:t> </w:t>
      </w:r>
      <w:r>
        <w:rPr>
          <w:sz w:val="20"/>
        </w:rPr>
        <w:t>could</w:t>
      </w:r>
      <w:r>
        <w:rPr>
          <w:spacing w:val="-10"/>
          <w:sz w:val="20"/>
        </w:rPr>
        <w:t> </w:t>
      </w:r>
      <w:r>
        <w:rPr>
          <w:sz w:val="20"/>
        </w:rPr>
        <w:t>not</w:t>
      </w:r>
      <w:r>
        <w:rPr>
          <w:spacing w:val="-10"/>
          <w:sz w:val="20"/>
        </w:rPr>
        <w:t> </w:t>
      </w:r>
      <w:r>
        <w:rPr>
          <w:sz w:val="20"/>
        </w:rPr>
        <w:t>be arranged, the person could be </w:t>
      </w:r>
      <w:r>
        <w:rPr>
          <w:spacing w:val="-3"/>
          <w:sz w:val="20"/>
        </w:rPr>
        <w:t>invited </w:t>
      </w:r>
      <w:r>
        <w:rPr>
          <w:sz w:val="20"/>
        </w:rPr>
        <w:t>to defer their service. The Court queried whether the Juries Commissioner should </w:t>
      </w:r>
      <w:r>
        <w:rPr>
          <w:spacing w:val="-4"/>
          <w:sz w:val="20"/>
        </w:rPr>
        <w:t>have </w:t>
      </w:r>
      <w:r>
        <w:rPr>
          <w:sz w:val="20"/>
        </w:rPr>
        <w:t>an </w:t>
      </w:r>
      <w:r>
        <w:rPr>
          <w:spacing w:val="-3"/>
          <w:sz w:val="20"/>
        </w:rPr>
        <w:t>own </w:t>
      </w:r>
      <w:r>
        <w:rPr>
          <w:sz w:val="20"/>
        </w:rPr>
        <w:t>motion </w:t>
      </w:r>
      <w:r>
        <w:rPr>
          <w:spacing w:val="-3"/>
          <w:sz w:val="20"/>
        </w:rPr>
        <w:t>power </w:t>
      </w:r>
      <w:r>
        <w:rPr>
          <w:sz w:val="20"/>
        </w:rPr>
        <w:t>to defer service.</w:t>
      </w:r>
    </w:p>
    <w:p>
      <w:pPr>
        <w:pStyle w:val="ListParagraph"/>
        <w:numPr>
          <w:ilvl w:val="2"/>
          <w:numId w:val="12"/>
        </w:numPr>
        <w:tabs>
          <w:tab w:pos="2158" w:val="left" w:leader="none"/>
        </w:tabs>
        <w:spacing w:line="206" w:lineRule="auto" w:before="91" w:after="0"/>
        <w:ind w:left="2157" w:right="1298" w:hanging="396"/>
        <w:jc w:val="both"/>
        <w:rPr>
          <w:sz w:val="20"/>
        </w:rPr>
      </w:pPr>
      <w:r>
        <w:rPr>
          <w:spacing w:val="-3"/>
          <w:sz w:val="20"/>
        </w:rPr>
        <w:t>At</w:t>
      </w:r>
      <w:r>
        <w:rPr>
          <w:spacing w:val="-11"/>
          <w:sz w:val="20"/>
        </w:rPr>
        <w:t> </w:t>
      </w:r>
      <w:r>
        <w:rPr>
          <w:sz w:val="20"/>
        </w:rPr>
        <w:t>the</w:t>
      </w:r>
      <w:r>
        <w:rPr>
          <w:spacing w:val="-11"/>
          <w:sz w:val="20"/>
        </w:rPr>
        <w:t> </w:t>
      </w:r>
      <w:r>
        <w:rPr>
          <w:sz w:val="20"/>
        </w:rPr>
        <w:t>summons</w:t>
      </w:r>
      <w:r>
        <w:rPr>
          <w:spacing w:val="-11"/>
          <w:sz w:val="20"/>
        </w:rPr>
        <w:t> </w:t>
      </w:r>
      <w:r>
        <w:rPr>
          <w:sz w:val="20"/>
        </w:rPr>
        <w:t>stage,</w:t>
      </w:r>
      <w:r>
        <w:rPr>
          <w:spacing w:val="-11"/>
          <w:sz w:val="20"/>
        </w:rPr>
        <w:t> </w:t>
      </w:r>
      <w:r>
        <w:rPr>
          <w:sz w:val="20"/>
        </w:rPr>
        <w:t>Juries</w:t>
      </w:r>
      <w:r>
        <w:rPr>
          <w:spacing w:val="-10"/>
          <w:sz w:val="20"/>
        </w:rPr>
        <w:t> </w:t>
      </w:r>
      <w:r>
        <w:rPr>
          <w:sz w:val="20"/>
        </w:rPr>
        <w:t>Victoria</w:t>
      </w:r>
      <w:r>
        <w:rPr>
          <w:spacing w:val="-11"/>
          <w:sz w:val="20"/>
        </w:rPr>
        <w:t> </w:t>
      </w:r>
      <w:r>
        <w:rPr>
          <w:sz w:val="20"/>
        </w:rPr>
        <w:t>might</w:t>
      </w:r>
      <w:r>
        <w:rPr>
          <w:spacing w:val="-11"/>
          <w:sz w:val="20"/>
        </w:rPr>
        <w:t> </w:t>
      </w:r>
      <w:r>
        <w:rPr>
          <w:sz w:val="20"/>
        </w:rPr>
        <w:t>also</w:t>
      </w:r>
      <w:r>
        <w:rPr>
          <w:spacing w:val="-11"/>
          <w:sz w:val="20"/>
        </w:rPr>
        <w:t> </w:t>
      </w:r>
      <w:r>
        <w:rPr>
          <w:sz w:val="20"/>
        </w:rPr>
        <w:t>consider</w:t>
      </w:r>
      <w:r>
        <w:rPr>
          <w:spacing w:val="-11"/>
          <w:sz w:val="20"/>
        </w:rPr>
        <w:t> </w:t>
      </w:r>
      <w:r>
        <w:rPr>
          <w:sz w:val="20"/>
        </w:rPr>
        <w:t>if</w:t>
      </w:r>
      <w:r>
        <w:rPr>
          <w:spacing w:val="-10"/>
          <w:sz w:val="20"/>
        </w:rPr>
        <w:t> </w:t>
      </w:r>
      <w:r>
        <w:rPr>
          <w:sz w:val="20"/>
        </w:rPr>
        <w:t>adjustments</w:t>
      </w:r>
      <w:r>
        <w:rPr>
          <w:spacing w:val="-11"/>
          <w:sz w:val="20"/>
        </w:rPr>
        <w:t> </w:t>
      </w:r>
      <w:r>
        <w:rPr>
          <w:sz w:val="20"/>
        </w:rPr>
        <w:t>could</w:t>
      </w:r>
      <w:r>
        <w:rPr>
          <w:spacing w:val="-11"/>
          <w:sz w:val="20"/>
        </w:rPr>
        <w:t> </w:t>
      </w:r>
      <w:r>
        <w:rPr>
          <w:sz w:val="20"/>
        </w:rPr>
        <w:t>be made</w:t>
      </w:r>
      <w:r>
        <w:rPr>
          <w:spacing w:val="-8"/>
          <w:sz w:val="20"/>
        </w:rPr>
        <w:t> </w:t>
      </w:r>
      <w:r>
        <w:rPr>
          <w:spacing w:val="-3"/>
          <w:sz w:val="20"/>
        </w:rPr>
        <w:t>available</w:t>
      </w:r>
      <w:r>
        <w:rPr>
          <w:spacing w:val="-8"/>
          <w:sz w:val="20"/>
        </w:rPr>
        <w:t> </w:t>
      </w:r>
      <w:r>
        <w:rPr>
          <w:sz w:val="20"/>
        </w:rPr>
        <w:t>if</w:t>
      </w:r>
      <w:r>
        <w:rPr>
          <w:spacing w:val="-8"/>
          <w:sz w:val="20"/>
        </w:rPr>
        <w:t> </w:t>
      </w:r>
      <w:r>
        <w:rPr>
          <w:sz w:val="20"/>
        </w:rPr>
        <w:t>the</w:t>
      </w:r>
      <w:r>
        <w:rPr>
          <w:spacing w:val="-8"/>
          <w:sz w:val="20"/>
        </w:rPr>
        <w:t> </w:t>
      </w:r>
      <w:r>
        <w:rPr>
          <w:sz w:val="20"/>
        </w:rPr>
        <w:t>person</w:t>
      </w:r>
      <w:r>
        <w:rPr>
          <w:spacing w:val="-8"/>
          <w:sz w:val="20"/>
        </w:rPr>
        <w:t> </w:t>
      </w:r>
      <w:r>
        <w:rPr>
          <w:sz w:val="20"/>
        </w:rPr>
        <w:t>was</w:t>
      </w:r>
      <w:r>
        <w:rPr>
          <w:spacing w:val="-8"/>
          <w:sz w:val="20"/>
        </w:rPr>
        <w:t> </w:t>
      </w:r>
      <w:r>
        <w:rPr>
          <w:sz w:val="20"/>
        </w:rPr>
        <w:t>selected</w:t>
      </w:r>
      <w:r>
        <w:rPr>
          <w:spacing w:val="-8"/>
          <w:sz w:val="20"/>
        </w:rPr>
        <w:t> </w:t>
      </w:r>
      <w:r>
        <w:rPr>
          <w:sz w:val="20"/>
        </w:rPr>
        <w:t>on</w:t>
      </w:r>
      <w:r>
        <w:rPr>
          <w:spacing w:val="-8"/>
          <w:sz w:val="20"/>
        </w:rPr>
        <w:t> </w:t>
      </w:r>
      <w:r>
        <w:rPr>
          <w:sz w:val="20"/>
        </w:rPr>
        <w:t>a</w:t>
      </w:r>
      <w:r>
        <w:rPr>
          <w:spacing w:val="-8"/>
          <w:sz w:val="20"/>
        </w:rPr>
        <w:t> </w:t>
      </w:r>
      <w:r>
        <w:rPr>
          <w:sz w:val="20"/>
        </w:rPr>
        <w:t>panel.</w:t>
      </w:r>
      <w:r>
        <w:rPr>
          <w:spacing w:val="-8"/>
          <w:sz w:val="20"/>
        </w:rPr>
        <w:t> </w:t>
      </w:r>
      <w:r>
        <w:rPr>
          <w:sz w:val="20"/>
        </w:rPr>
        <w:t>If</w:t>
      </w:r>
      <w:r>
        <w:rPr>
          <w:spacing w:val="-8"/>
          <w:sz w:val="20"/>
        </w:rPr>
        <w:t> </w:t>
      </w:r>
      <w:r>
        <w:rPr>
          <w:sz w:val="20"/>
        </w:rPr>
        <w:t>adjustments</w:t>
      </w:r>
      <w:r>
        <w:rPr>
          <w:spacing w:val="-8"/>
          <w:sz w:val="20"/>
        </w:rPr>
        <w:t> </w:t>
      </w:r>
      <w:r>
        <w:rPr>
          <w:sz w:val="20"/>
        </w:rPr>
        <w:t>could</w:t>
      </w:r>
      <w:r>
        <w:rPr>
          <w:spacing w:val="-8"/>
          <w:sz w:val="20"/>
        </w:rPr>
        <w:t> </w:t>
      </w:r>
      <w:r>
        <w:rPr>
          <w:sz w:val="20"/>
        </w:rPr>
        <w:t>not</w:t>
      </w:r>
      <w:r>
        <w:rPr>
          <w:spacing w:val="-8"/>
          <w:sz w:val="20"/>
        </w:rPr>
        <w:t> </w:t>
      </w:r>
      <w:r>
        <w:rPr>
          <w:sz w:val="20"/>
        </w:rPr>
        <w:t>be arranged,</w:t>
      </w:r>
      <w:r>
        <w:rPr>
          <w:spacing w:val="-6"/>
          <w:sz w:val="20"/>
        </w:rPr>
        <w:t> </w:t>
      </w:r>
      <w:r>
        <w:rPr>
          <w:sz w:val="20"/>
        </w:rPr>
        <w:t>the</w:t>
      </w:r>
      <w:r>
        <w:rPr>
          <w:spacing w:val="-5"/>
          <w:sz w:val="20"/>
        </w:rPr>
        <w:t> </w:t>
      </w:r>
      <w:r>
        <w:rPr>
          <w:sz w:val="20"/>
        </w:rPr>
        <w:t>person</w:t>
      </w:r>
      <w:r>
        <w:rPr>
          <w:spacing w:val="-5"/>
          <w:sz w:val="20"/>
        </w:rPr>
        <w:t> </w:t>
      </w:r>
      <w:r>
        <w:rPr>
          <w:sz w:val="20"/>
        </w:rPr>
        <w:t>could</w:t>
      </w:r>
      <w:r>
        <w:rPr>
          <w:spacing w:val="-5"/>
          <w:sz w:val="20"/>
        </w:rPr>
        <w:t> </w:t>
      </w:r>
      <w:r>
        <w:rPr>
          <w:sz w:val="20"/>
        </w:rPr>
        <w:t>be</w:t>
      </w:r>
      <w:r>
        <w:rPr>
          <w:spacing w:val="-5"/>
          <w:sz w:val="20"/>
        </w:rPr>
        <w:t> </w:t>
      </w:r>
      <w:r>
        <w:rPr>
          <w:spacing w:val="-3"/>
          <w:sz w:val="20"/>
        </w:rPr>
        <w:t>invited</w:t>
      </w:r>
      <w:r>
        <w:rPr>
          <w:spacing w:val="-5"/>
          <w:sz w:val="20"/>
        </w:rPr>
        <w:t> </w:t>
      </w:r>
      <w:r>
        <w:rPr>
          <w:sz w:val="20"/>
        </w:rPr>
        <w:t>to</w:t>
      </w:r>
      <w:r>
        <w:rPr>
          <w:spacing w:val="-5"/>
          <w:sz w:val="20"/>
        </w:rPr>
        <w:t> </w:t>
      </w:r>
      <w:r>
        <w:rPr>
          <w:sz w:val="20"/>
        </w:rPr>
        <w:t>defer</w:t>
      </w:r>
      <w:r>
        <w:rPr>
          <w:spacing w:val="-5"/>
          <w:sz w:val="20"/>
        </w:rPr>
        <w:t> </w:t>
      </w:r>
      <w:r>
        <w:rPr>
          <w:sz w:val="20"/>
        </w:rPr>
        <w:t>their</w:t>
      </w:r>
      <w:r>
        <w:rPr>
          <w:spacing w:val="-6"/>
          <w:sz w:val="20"/>
        </w:rPr>
        <w:t> </w:t>
      </w:r>
      <w:r>
        <w:rPr>
          <w:sz w:val="20"/>
        </w:rPr>
        <w:t>service.</w:t>
      </w:r>
    </w:p>
    <w:p>
      <w:pPr>
        <w:pStyle w:val="ListParagraph"/>
        <w:numPr>
          <w:ilvl w:val="2"/>
          <w:numId w:val="12"/>
        </w:numPr>
        <w:tabs>
          <w:tab w:pos="2157" w:val="left" w:leader="none"/>
          <w:tab w:pos="2158" w:val="left" w:leader="none"/>
        </w:tabs>
        <w:spacing w:line="206" w:lineRule="auto" w:before="89" w:after="0"/>
        <w:ind w:left="2157" w:right="1318" w:hanging="396"/>
        <w:jc w:val="left"/>
        <w:rPr>
          <w:sz w:val="20"/>
        </w:rPr>
      </w:pPr>
      <w:r>
        <w:rPr>
          <w:sz w:val="20"/>
        </w:rPr>
        <w:t>When a panel is requested </w:t>
      </w:r>
      <w:r>
        <w:rPr>
          <w:spacing w:val="-3"/>
          <w:sz w:val="20"/>
        </w:rPr>
        <w:t>by </w:t>
      </w:r>
      <w:r>
        <w:rPr>
          <w:sz w:val="20"/>
        </w:rPr>
        <w:t>a judge, Juries Victoria could notify the </w:t>
      </w:r>
      <w:r>
        <w:rPr>
          <w:spacing w:val="-3"/>
          <w:sz w:val="20"/>
        </w:rPr>
        <w:t>judge’s </w:t>
      </w:r>
      <w:r>
        <w:rPr>
          <w:sz w:val="20"/>
        </w:rPr>
        <w:t>chambers</w:t>
      </w:r>
      <w:r>
        <w:rPr>
          <w:spacing w:val="-10"/>
          <w:sz w:val="20"/>
        </w:rPr>
        <w:t> </w:t>
      </w:r>
      <w:r>
        <w:rPr>
          <w:sz w:val="20"/>
        </w:rPr>
        <w:t>that</w:t>
      </w:r>
      <w:r>
        <w:rPr>
          <w:spacing w:val="-10"/>
          <w:sz w:val="20"/>
        </w:rPr>
        <w:t> </w:t>
      </w:r>
      <w:r>
        <w:rPr>
          <w:sz w:val="20"/>
        </w:rPr>
        <w:t>a</w:t>
      </w:r>
      <w:r>
        <w:rPr>
          <w:spacing w:val="-10"/>
          <w:sz w:val="20"/>
        </w:rPr>
        <w:t> </w:t>
      </w:r>
      <w:r>
        <w:rPr>
          <w:sz w:val="20"/>
        </w:rPr>
        <w:t>person</w:t>
      </w:r>
      <w:r>
        <w:rPr>
          <w:spacing w:val="-10"/>
          <w:sz w:val="20"/>
        </w:rPr>
        <w:t> </w:t>
      </w:r>
      <w:r>
        <w:rPr>
          <w:sz w:val="20"/>
        </w:rPr>
        <w:t>in</w:t>
      </w:r>
      <w:r>
        <w:rPr>
          <w:spacing w:val="-9"/>
          <w:sz w:val="20"/>
        </w:rPr>
        <w:t> </w:t>
      </w:r>
      <w:r>
        <w:rPr>
          <w:sz w:val="20"/>
        </w:rPr>
        <w:t>the</w:t>
      </w:r>
      <w:r>
        <w:rPr>
          <w:spacing w:val="-10"/>
          <w:sz w:val="20"/>
        </w:rPr>
        <w:t> </w:t>
      </w:r>
      <w:r>
        <w:rPr>
          <w:sz w:val="20"/>
        </w:rPr>
        <w:t>pool</w:t>
      </w:r>
      <w:r>
        <w:rPr>
          <w:spacing w:val="-10"/>
          <w:sz w:val="20"/>
        </w:rPr>
        <w:t> </w:t>
      </w:r>
      <w:r>
        <w:rPr>
          <w:spacing w:val="-3"/>
          <w:sz w:val="20"/>
        </w:rPr>
        <w:t>requires</w:t>
      </w:r>
      <w:r>
        <w:rPr>
          <w:spacing w:val="-10"/>
          <w:sz w:val="20"/>
        </w:rPr>
        <w:t> </w:t>
      </w:r>
      <w:r>
        <w:rPr>
          <w:sz w:val="20"/>
        </w:rPr>
        <w:t>adjustments.</w:t>
      </w:r>
      <w:r>
        <w:rPr>
          <w:spacing w:val="-10"/>
          <w:sz w:val="20"/>
        </w:rPr>
        <w:t> </w:t>
      </w:r>
      <w:r>
        <w:rPr>
          <w:sz w:val="20"/>
        </w:rPr>
        <w:t>Juries</w:t>
      </w:r>
      <w:r>
        <w:rPr>
          <w:spacing w:val="-9"/>
          <w:sz w:val="20"/>
        </w:rPr>
        <w:t> </w:t>
      </w:r>
      <w:r>
        <w:rPr>
          <w:sz w:val="20"/>
        </w:rPr>
        <w:t>Victoria</w:t>
      </w:r>
      <w:r>
        <w:rPr>
          <w:spacing w:val="-10"/>
          <w:sz w:val="20"/>
        </w:rPr>
        <w:t> </w:t>
      </w:r>
      <w:r>
        <w:rPr>
          <w:sz w:val="20"/>
        </w:rPr>
        <w:t>could</w:t>
      </w:r>
      <w:r>
        <w:rPr>
          <w:spacing w:val="-10"/>
          <w:sz w:val="20"/>
        </w:rPr>
        <w:t> </w:t>
      </w:r>
      <w:r>
        <w:rPr>
          <w:sz w:val="20"/>
        </w:rPr>
        <w:t>ask if the judge has </w:t>
      </w:r>
      <w:r>
        <w:rPr>
          <w:spacing w:val="-3"/>
          <w:sz w:val="20"/>
        </w:rPr>
        <w:t>any </w:t>
      </w:r>
      <w:r>
        <w:rPr>
          <w:sz w:val="20"/>
        </w:rPr>
        <w:t>concerns with a person </w:t>
      </w:r>
      <w:r>
        <w:rPr>
          <w:spacing w:val="-3"/>
          <w:sz w:val="20"/>
        </w:rPr>
        <w:t>from </w:t>
      </w:r>
      <w:r>
        <w:rPr>
          <w:sz w:val="20"/>
        </w:rPr>
        <w:t>the subject groups serving as a juror in the particular</w:t>
      </w:r>
      <w:r>
        <w:rPr>
          <w:spacing w:val="-18"/>
          <w:sz w:val="20"/>
        </w:rPr>
        <w:t> </w:t>
      </w:r>
      <w:r>
        <w:rPr>
          <w:sz w:val="20"/>
        </w:rPr>
        <w:t>trial.</w:t>
      </w:r>
    </w:p>
    <w:p>
      <w:pPr>
        <w:pStyle w:val="ListParagraph"/>
        <w:numPr>
          <w:ilvl w:val="2"/>
          <w:numId w:val="12"/>
        </w:numPr>
        <w:tabs>
          <w:tab w:pos="2157" w:val="left" w:leader="none"/>
          <w:tab w:pos="2158" w:val="left" w:leader="none"/>
        </w:tabs>
        <w:spacing w:line="206" w:lineRule="auto" w:before="90" w:after="0"/>
        <w:ind w:left="2157" w:right="1237" w:hanging="396"/>
        <w:jc w:val="left"/>
        <w:rPr>
          <w:sz w:val="20"/>
        </w:rPr>
      </w:pPr>
      <w:r>
        <w:rPr>
          <w:sz w:val="20"/>
        </w:rPr>
        <w:t>After being balloted to a panel, the trial judge could </w:t>
      </w:r>
      <w:r>
        <w:rPr>
          <w:spacing w:val="-3"/>
          <w:sz w:val="20"/>
        </w:rPr>
        <w:t>give </w:t>
      </w:r>
      <w:r>
        <w:rPr>
          <w:sz w:val="20"/>
        </w:rPr>
        <w:t>Juries Victoria a non- binding indication that the trial appears unsuitable for all or certain people in the subject</w:t>
      </w:r>
      <w:r>
        <w:rPr>
          <w:spacing w:val="-10"/>
          <w:sz w:val="20"/>
        </w:rPr>
        <w:t> </w:t>
      </w:r>
      <w:r>
        <w:rPr>
          <w:sz w:val="20"/>
        </w:rPr>
        <w:t>groups</w:t>
      </w:r>
      <w:r>
        <w:rPr>
          <w:spacing w:val="-10"/>
          <w:sz w:val="20"/>
        </w:rPr>
        <w:t> </w:t>
      </w:r>
      <w:r>
        <w:rPr>
          <w:sz w:val="20"/>
        </w:rPr>
        <w:t>to</w:t>
      </w:r>
      <w:r>
        <w:rPr>
          <w:spacing w:val="-9"/>
          <w:sz w:val="20"/>
        </w:rPr>
        <w:t> </w:t>
      </w:r>
      <w:r>
        <w:rPr>
          <w:sz w:val="20"/>
        </w:rPr>
        <w:t>serve</w:t>
      </w:r>
      <w:r>
        <w:rPr>
          <w:spacing w:val="-10"/>
          <w:sz w:val="20"/>
        </w:rPr>
        <w:t> </w:t>
      </w:r>
      <w:r>
        <w:rPr>
          <w:sz w:val="20"/>
        </w:rPr>
        <w:t>as</w:t>
      </w:r>
      <w:r>
        <w:rPr>
          <w:spacing w:val="-9"/>
          <w:sz w:val="20"/>
        </w:rPr>
        <w:t> </w:t>
      </w:r>
      <w:r>
        <w:rPr>
          <w:sz w:val="20"/>
        </w:rPr>
        <w:t>a</w:t>
      </w:r>
      <w:r>
        <w:rPr>
          <w:spacing w:val="-10"/>
          <w:sz w:val="20"/>
        </w:rPr>
        <w:t> </w:t>
      </w:r>
      <w:r>
        <w:rPr>
          <w:spacing w:val="-4"/>
          <w:sz w:val="20"/>
        </w:rPr>
        <w:t>juror,</w:t>
      </w:r>
      <w:r>
        <w:rPr>
          <w:spacing w:val="-9"/>
          <w:sz w:val="20"/>
        </w:rPr>
        <w:t> </w:t>
      </w:r>
      <w:r>
        <w:rPr>
          <w:sz w:val="20"/>
        </w:rPr>
        <w:t>and</w:t>
      </w:r>
      <w:r>
        <w:rPr>
          <w:spacing w:val="-10"/>
          <w:sz w:val="20"/>
        </w:rPr>
        <w:t> </w:t>
      </w:r>
      <w:r>
        <w:rPr>
          <w:sz w:val="20"/>
        </w:rPr>
        <w:t>Juries</w:t>
      </w:r>
      <w:r>
        <w:rPr>
          <w:spacing w:val="-9"/>
          <w:sz w:val="20"/>
        </w:rPr>
        <w:t> </w:t>
      </w:r>
      <w:r>
        <w:rPr>
          <w:sz w:val="20"/>
        </w:rPr>
        <w:t>Victoria</w:t>
      </w:r>
      <w:r>
        <w:rPr>
          <w:spacing w:val="-10"/>
          <w:sz w:val="20"/>
        </w:rPr>
        <w:t> </w:t>
      </w:r>
      <w:r>
        <w:rPr>
          <w:sz w:val="20"/>
        </w:rPr>
        <w:t>could</w:t>
      </w:r>
      <w:r>
        <w:rPr>
          <w:spacing w:val="-9"/>
          <w:sz w:val="20"/>
        </w:rPr>
        <w:t> </w:t>
      </w:r>
      <w:r>
        <w:rPr>
          <w:sz w:val="20"/>
        </w:rPr>
        <w:t>be</w:t>
      </w:r>
      <w:r>
        <w:rPr>
          <w:spacing w:val="-10"/>
          <w:sz w:val="20"/>
        </w:rPr>
        <w:t> </w:t>
      </w:r>
      <w:r>
        <w:rPr>
          <w:sz w:val="20"/>
        </w:rPr>
        <w:t>informed.</w:t>
      </w:r>
      <w:r>
        <w:rPr>
          <w:spacing w:val="-9"/>
          <w:sz w:val="20"/>
        </w:rPr>
        <w:t> </w:t>
      </w:r>
      <w:r>
        <w:rPr>
          <w:sz w:val="20"/>
        </w:rPr>
        <w:t>The</w:t>
      </w:r>
      <w:r>
        <w:rPr>
          <w:spacing w:val="-10"/>
          <w:sz w:val="20"/>
        </w:rPr>
        <w:t> </w:t>
      </w:r>
      <w:r>
        <w:rPr>
          <w:sz w:val="20"/>
        </w:rPr>
        <w:t>Court cautioned</w:t>
      </w:r>
      <w:r>
        <w:rPr>
          <w:spacing w:val="-14"/>
          <w:sz w:val="20"/>
        </w:rPr>
        <w:t> </w:t>
      </w:r>
      <w:r>
        <w:rPr>
          <w:sz w:val="20"/>
        </w:rPr>
        <w:t>against</w:t>
      </w:r>
      <w:r>
        <w:rPr>
          <w:spacing w:val="-13"/>
          <w:sz w:val="20"/>
        </w:rPr>
        <w:t> </w:t>
      </w:r>
      <w:r>
        <w:rPr>
          <w:sz w:val="20"/>
        </w:rPr>
        <w:t>this</w:t>
      </w:r>
      <w:r>
        <w:rPr>
          <w:spacing w:val="-13"/>
          <w:sz w:val="20"/>
        </w:rPr>
        <w:t> </w:t>
      </w:r>
      <w:r>
        <w:rPr>
          <w:sz w:val="20"/>
        </w:rPr>
        <w:t>being</w:t>
      </w:r>
      <w:r>
        <w:rPr>
          <w:spacing w:val="-13"/>
          <w:sz w:val="20"/>
        </w:rPr>
        <w:t> </w:t>
      </w:r>
      <w:r>
        <w:rPr>
          <w:sz w:val="20"/>
        </w:rPr>
        <w:t>a</w:t>
      </w:r>
      <w:r>
        <w:rPr>
          <w:spacing w:val="-14"/>
          <w:sz w:val="20"/>
        </w:rPr>
        <w:t> </w:t>
      </w:r>
      <w:r>
        <w:rPr>
          <w:sz w:val="20"/>
        </w:rPr>
        <w:t>binding</w:t>
      </w:r>
      <w:r>
        <w:rPr>
          <w:spacing w:val="-13"/>
          <w:sz w:val="20"/>
        </w:rPr>
        <w:t> </w:t>
      </w:r>
      <w:r>
        <w:rPr>
          <w:sz w:val="20"/>
        </w:rPr>
        <w:t>decision</w:t>
      </w:r>
      <w:r>
        <w:rPr>
          <w:spacing w:val="-13"/>
          <w:sz w:val="20"/>
        </w:rPr>
        <w:t> </w:t>
      </w:r>
      <w:r>
        <w:rPr>
          <w:sz w:val="20"/>
        </w:rPr>
        <w:t>because</w:t>
      </w:r>
      <w:r>
        <w:rPr>
          <w:spacing w:val="-13"/>
          <w:sz w:val="20"/>
        </w:rPr>
        <w:t> </w:t>
      </w:r>
      <w:r>
        <w:rPr>
          <w:sz w:val="20"/>
        </w:rPr>
        <w:t>‘</w:t>
      </w:r>
      <w:r>
        <w:rPr>
          <w:spacing w:val="-35"/>
          <w:sz w:val="20"/>
        </w:rPr>
        <w:t> </w:t>
      </w:r>
      <w:r>
        <w:rPr>
          <w:sz w:val="20"/>
        </w:rPr>
        <w:t>judges</w:t>
      </w:r>
      <w:r>
        <w:rPr>
          <w:spacing w:val="-13"/>
          <w:sz w:val="20"/>
        </w:rPr>
        <w:t> </w:t>
      </w:r>
      <w:r>
        <w:rPr>
          <w:spacing w:val="-3"/>
          <w:sz w:val="20"/>
        </w:rPr>
        <w:t>may</w:t>
      </w:r>
      <w:r>
        <w:rPr>
          <w:spacing w:val="-14"/>
          <w:sz w:val="20"/>
        </w:rPr>
        <w:t> </w:t>
      </w:r>
      <w:r>
        <w:rPr>
          <w:sz w:val="20"/>
        </w:rPr>
        <w:t>find</w:t>
      </w:r>
      <w:r>
        <w:rPr>
          <w:spacing w:val="-13"/>
          <w:sz w:val="20"/>
        </w:rPr>
        <w:t> </w:t>
      </w:r>
      <w:r>
        <w:rPr>
          <w:sz w:val="20"/>
        </w:rPr>
        <w:t>it</w:t>
      </w:r>
      <w:r>
        <w:rPr>
          <w:spacing w:val="-13"/>
          <w:sz w:val="20"/>
        </w:rPr>
        <w:t> </w:t>
      </w:r>
      <w:r>
        <w:rPr>
          <w:sz w:val="20"/>
        </w:rPr>
        <w:t>difficult</w:t>
      </w:r>
    </w:p>
    <w:p>
      <w:pPr>
        <w:pStyle w:val="BodyText"/>
        <w:spacing w:before="10"/>
        <w:rPr>
          <w:sz w:val="19"/>
        </w:rPr>
      </w:pPr>
      <w:r>
        <w:rPr/>
        <w:pict>
          <v:line style="position:absolute;mso-position-horizontal-relative:page;mso-position-vertical-relative:paragraph;z-index:7376;mso-wrap-distance-left:0;mso-wrap-distance-right:0" from="79.370102pt,16.159281pt" to="515.905102pt,16.159281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spacing w:before="7"/>
        <w:rPr>
          <w:sz w:val="38"/>
        </w:rPr>
      </w:pPr>
    </w:p>
    <w:p>
      <w:pPr>
        <w:spacing w:before="0"/>
        <w:ind w:left="100" w:right="0" w:firstLine="0"/>
        <w:jc w:val="left"/>
        <w:rPr>
          <w:b/>
          <w:sz w:val="24"/>
        </w:rPr>
      </w:pPr>
      <w:r>
        <w:rPr>
          <w:b/>
          <w:color w:val="37617A"/>
          <w:sz w:val="24"/>
        </w:rPr>
        <w:t>128</w:t>
      </w:r>
    </w:p>
    <w:p>
      <w:pPr>
        <w:pStyle w:val="ListParagraph"/>
        <w:numPr>
          <w:ilvl w:val="0"/>
          <w:numId w:val="87"/>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z w:val="13"/>
        </w:rPr>
        <w:t>Consultation 12 (Consultation with Victorian County </w:t>
      </w:r>
      <w:r>
        <w:rPr>
          <w:spacing w:val="2"/>
          <w:sz w:val="13"/>
        </w:rPr>
        <w:t>Court </w:t>
      </w:r>
      <w:r>
        <w:rPr>
          <w:sz w:val="13"/>
        </w:rPr>
        <w:t>Registrars and </w:t>
      </w:r>
      <w:r>
        <w:rPr>
          <w:spacing w:val="2"/>
          <w:sz w:val="13"/>
        </w:rPr>
        <w:t>Court policy </w:t>
      </w:r>
      <w:r>
        <w:rPr>
          <w:sz w:val="13"/>
        </w:rPr>
        <w:t>staff). It was noted that matters are</w:t>
      </w:r>
      <w:r>
        <w:rPr>
          <w:spacing w:val="1"/>
          <w:sz w:val="13"/>
        </w:rPr>
        <w:t> </w:t>
      </w:r>
      <w:r>
        <w:rPr>
          <w:sz w:val="13"/>
        </w:rPr>
        <w:t>not</w:t>
      </w:r>
    </w:p>
    <w:p>
      <w:pPr>
        <w:spacing w:line="160" w:lineRule="exact" w:before="0"/>
        <w:ind w:left="893" w:right="0" w:firstLine="0"/>
        <w:jc w:val="left"/>
        <w:rPr>
          <w:sz w:val="13"/>
        </w:rPr>
      </w:pPr>
      <w:r>
        <w:rPr>
          <w:sz w:val="13"/>
        </w:rPr>
        <w:t>allocated as early in the Common Law List because they are more likely to settle before trial.</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87"/>
        </w:numPr>
        <w:tabs>
          <w:tab w:pos="893" w:val="left" w:leader="none"/>
          <w:tab w:pos="894" w:val="left" w:leader="none"/>
        </w:tabs>
        <w:spacing w:line="170" w:lineRule="exact" w:before="0" w:after="0"/>
        <w:ind w:left="893" w:right="0" w:hanging="793"/>
        <w:jc w:val="left"/>
        <w:rPr>
          <w:sz w:val="13"/>
        </w:rPr>
      </w:pP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spacing w:after="0" w:line="170" w:lineRule="exact"/>
        <w:jc w:val="left"/>
        <w:rPr>
          <w:sz w:val="13"/>
        </w:rPr>
        <w:sectPr>
          <w:type w:val="continuous"/>
          <w:pgSz w:w="11910" w:h="16840"/>
          <w:pgMar w:top="620" w:bottom="280" w:left="620" w:right="380"/>
          <w:cols w:num="2" w:equalWidth="0">
            <w:col w:w="539" w:space="328"/>
            <w:col w:w="10043"/>
          </w:cols>
        </w:sectPr>
      </w:pPr>
    </w:p>
    <w:p>
      <w:pPr>
        <w:pStyle w:val="BodyText"/>
      </w:pPr>
    </w:p>
    <w:p>
      <w:pPr>
        <w:pStyle w:val="BodyText"/>
      </w:pPr>
    </w:p>
    <w:p>
      <w:pPr>
        <w:pStyle w:val="BodyText"/>
      </w:pPr>
    </w:p>
    <w:p>
      <w:pPr>
        <w:pStyle w:val="BodyText"/>
        <w:spacing w:before="6"/>
        <w:rPr>
          <w:sz w:val="14"/>
        </w:rPr>
      </w:pPr>
    </w:p>
    <w:p>
      <w:pPr>
        <w:pStyle w:val="BodyText"/>
        <w:spacing w:line="259" w:lineRule="exact" w:before="58"/>
        <w:ind w:left="2157"/>
      </w:pPr>
      <w:bookmarkStart w:name="_bookmark93" w:id="229"/>
      <w:bookmarkEnd w:id="229"/>
      <w:r>
        <w:rPr/>
      </w:r>
      <w:r>
        <w:rPr/>
        <w:t>to make a determination without regard to a specific juror and their specific needs’.</w:t>
      </w:r>
    </w:p>
    <w:p>
      <w:pPr>
        <w:pStyle w:val="BodyText"/>
        <w:spacing w:line="259" w:lineRule="exact"/>
        <w:ind w:left="2157"/>
      </w:pPr>
      <w:r>
        <w:rPr/>
        <w:t>It may also give rise to legal challenges from the person that has been excluded.</w:t>
      </w:r>
    </w:p>
    <w:p>
      <w:pPr>
        <w:pStyle w:val="ListParagraph"/>
        <w:numPr>
          <w:ilvl w:val="1"/>
          <w:numId w:val="87"/>
        </w:numPr>
        <w:tabs>
          <w:tab w:pos="2157" w:val="left" w:leader="none"/>
          <w:tab w:pos="2158" w:val="left" w:leader="none"/>
        </w:tabs>
        <w:spacing w:line="206" w:lineRule="auto" w:before="79" w:after="0"/>
        <w:ind w:left="2157" w:right="1383" w:hanging="396"/>
        <w:jc w:val="left"/>
        <w:rPr>
          <w:sz w:val="20"/>
        </w:rPr>
      </w:pPr>
      <w:r>
        <w:rPr>
          <w:sz w:val="20"/>
        </w:rPr>
        <w:t>If</w:t>
      </w:r>
      <w:r>
        <w:rPr>
          <w:spacing w:val="-11"/>
          <w:sz w:val="20"/>
        </w:rPr>
        <w:t> </w:t>
      </w:r>
      <w:r>
        <w:rPr>
          <w:sz w:val="20"/>
        </w:rPr>
        <w:t>the</w:t>
      </w:r>
      <w:r>
        <w:rPr>
          <w:spacing w:val="-10"/>
          <w:sz w:val="20"/>
        </w:rPr>
        <w:t> </w:t>
      </w:r>
      <w:r>
        <w:rPr>
          <w:sz w:val="20"/>
        </w:rPr>
        <w:t>non-binding</w:t>
      </w:r>
      <w:r>
        <w:rPr>
          <w:spacing w:val="-11"/>
          <w:sz w:val="20"/>
        </w:rPr>
        <w:t> </w:t>
      </w:r>
      <w:r>
        <w:rPr>
          <w:sz w:val="20"/>
        </w:rPr>
        <w:t>direction</w:t>
      </w:r>
      <w:r>
        <w:rPr>
          <w:spacing w:val="-10"/>
          <w:sz w:val="20"/>
        </w:rPr>
        <w:t> </w:t>
      </w:r>
      <w:r>
        <w:rPr>
          <w:sz w:val="20"/>
        </w:rPr>
        <w:t>raises</w:t>
      </w:r>
      <w:r>
        <w:rPr>
          <w:spacing w:val="-11"/>
          <w:sz w:val="20"/>
        </w:rPr>
        <w:t> </w:t>
      </w:r>
      <w:r>
        <w:rPr>
          <w:sz w:val="20"/>
        </w:rPr>
        <w:t>concerns,</w:t>
      </w:r>
      <w:r>
        <w:rPr>
          <w:spacing w:val="-10"/>
          <w:sz w:val="20"/>
        </w:rPr>
        <w:t> </w:t>
      </w:r>
      <w:r>
        <w:rPr>
          <w:sz w:val="20"/>
        </w:rPr>
        <w:t>Juries</w:t>
      </w:r>
      <w:r>
        <w:rPr>
          <w:spacing w:val="-10"/>
          <w:sz w:val="20"/>
        </w:rPr>
        <w:t> </w:t>
      </w:r>
      <w:r>
        <w:rPr>
          <w:sz w:val="20"/>
        </w:rPr>
        <w:t>Victoria</w:t>
      </w:r>
      <w:r>
        <w:rPr>
          <w:spacing w:val="-11"/>
          <w:sz w:val="20"/>
        </w:rPr>
        <w:t> </w:t>
      </w:r>
      <w:r>
        <w:rPr>
          <w:sz w:val="20"/>
        </w:rPr>
        <w:t>could</w:t>
      </w:r>
      <w:r>
        <w:rPr>
          <w:spacing w:val="-10"/>
          <w:sz w:val="20"/>
        </w:rPr>
        <w:t> </w:t>
      </w:r>
      <w:r>
        <w:rPr>
          <w:sz w:val="20"/>
        </w:rPr>
        <w:t>ask</w:t>
      </w:r>
      <w:r>
        <w:rPr>
          <w:spacing w:val="-11"/>
          <w:sz w:val="20"/>
        </w:rPr>
        <w:t> </w:t>
      </w:r>
      <w:r>
        <w:rPr>
          <w:sz w:val="20"/>
        </w:rPr>
        <w:t>the</w:t>
      </w:r>
      <w:r>
        <w:rPr>
          <w:spacing w:val="-10"/>
          <w:sz w:val="20"/>
        </w:rPr>
        <w:t> </w:t>
      </w:r>
      <w:r>
        <w:rPr>
          <w:sz w:val="20"/>
        </w:rPr>
        <w:t>person if</w:t>
      </w:r>
      <w:r>
        <w:rPr>
          <w:spacing w:val="-8"/>
          <w:sz w:val="20"/>
        </w:rPr>
        <w:t> </w:t>
      </w:r>
      <w:r>
        <w:rPr>
          <w:sz w:val="20"/>
        </w:rPr>
        <w:t>they</w:t>
      </w:r>
      <w:r>
        <w:rPr>
          <w:spacing w:val="-7"/>
          <w:sz w:val="20"/>
        </w:rPr>
        <w:t> </w:t>
      </w:r>
      <w:r>
        <w:rPr>
          <w:spacing w:val="-3"/>
          <w:sz w:val="20"/>
        </w:rPr>
        <w:t>are</w:t>
      </w:r>
      <w:r>
        <w:rPr>
          <w:spacing w:val="-8"/>
          <w:sz w:val="20"/>
        </w:rPr>
        <w:t> </w:t>
      </w:r>
      <w:r>
        <w:rPr>
          <w:spacing w:val="-3"/>
          <w:sz w:val="20"/>
        </w:rPr>
        <w:t>content</w:t>
      </w:r>
      <w:r>
        <w:rPr>
          <w:spacing w:val="-7"/>
          <w:sz w:val="20"/>
        </w:rPr>
        <w:t> </w:t>
      </w:r>
      <w:r>
        <w:rPr>
          <w:sz w:val="20"/>
        </w:rPr>
        <w:t>to</w:t>
      </w:r>
      <w:r>
        <w:rPr>
          <w:spacing w:val="-7"/>
          <w:sz w:val="20"/>
        </w:rPr>
        <w:t> </w:t>
      </w:r>
      <w:r>
        <w:rPr>
          <w:sz w:val="20"/>
        </w:rPr>
        <w:t>be</w:t>
      </w:r>
      <w:r>
        <w:rPr>
          <w:spacing w:val="-8"/>
          <w:sz w:val="20"/>
        </w:rPr>
        <w:t> </w:t>
      </w:r>
      <w:r>
        <w:rPr>
          <w:spacing w:val="-3"/>
          <w:sz w:val="20"/>
        </w:rPr>
        <w:t>excluded</w:t>
      </w:r>
      <w:r>
        <w:rPr>
          <w:spacing w:val="-7"/>
          <w:sz w:val="20"/>
        </w:rPr>
        <w:t> </w:t>
      </w:r>
      <w:r>
        <w:rPr>
          <w:spacing w:val="-3"/>
          <w:sz w:val="20"/>
        </w:rPr>
        <w:t>from</w:t>
      </w:r>
      <w:r>
        <w:rPr>
          <w:spacing w:val="-8"/>
          <w:sz w:val="20"/>
        </w:rPr>
        <w:t> </w:t>
      </w:r>
      <w:r>
        <w:rPr>
          <w:sz w:val="20"/>
        </w:rPr>
        <w:t>a</w:t>
      </w:r>
      <w:r>
        <w:rPr>
          <w:spacing w:val="-7"/>
          <w:sz w:val="20"/>
        </w:rPr>
        <w:t> </w:t>
      </w:r>
      <w:r>
        <w:rPr>
          <w:sz w:val="20"/>
        </w:rPr>
        <w:t>panel</w:t>
      </w:r>
      <w:r>
        <w:rPr>
          <w:spacing w:val="-7"/>
          <w:sz w:val="20"/>
        </w:rPr>
        <w:t> </w:t>
      </w:r>
      <w:r>
        <w:rPr>
          <w:sz w:val="20"/>
        </w:rPr>
        <w:t>where</w:t>
      </w:r>
      <w:r>
        <w:rPr>
          <w:spacing w:val="-8"/>
          <w:sz w:val="20"/>
        </w:rPr>
        <w:t> </w:t>
      </w:r>
      <w:r>
        <w:rPr>
          <w:sz w:val="20"/>
        </w:rPr>
        <w:t>the</w:t>
      </w:r>
      <w:r>
        <w:rPr>
          <w:spacing w:val="-7"/>
          <w:sz w:val="20"/>
        </w:rPr>
        <w:t> </w:t>
      </w:r>
      <w:r>
        <w:rPr>
          <w:sz w:val="20"/>
        </w:rPr>
        <w:t>trial</w:t>
      </w:r>
      <w:r>
        <w:rPr>
          <w:spacing w:val="-8"/>
          <w:sz w:val="20"/>
        </w:rPr>
        <w:t> </w:t>
      </w:r>
      <w:r>
        <w:rPr>
          <w:sz w:val="20"/>
        </w:rPr>
        <w:t>judge</w:t>
      </w:r>
      <w:r>
        <w:rPr>
          <w:spacing w:val="-7"/>
          <w:sz w:val="20"/>
        </w:rPr>
        <w:t> </w:t>
      </w:r>
      <w:r>
        <w:rPr>
          <w:sz w:val="20"/>
        </w:rPr>
        <w:t>has</w:t>
      </w:r>
      <w:r>
        <w:rPr>
          <w:spacing w:val="-7"/>
          <w:sz w:val="20"/>
        </w:rPr>
        <w:t> </w:t>
      </w:r>
      <w:r>
        <w:rPr>
          <w:sz w:val="20"/>
        </w:rPr>
        <w:t>given</w:t>
      </w:r>
      <w:r>
        <w:rPr>
          <w:spacing w:val="-8"/>
          <w:sz w:val="20"/>
        </w:rPr>
        <w:t> </w:t>
      </w:r>
      <w:r>
        <w:rPr>
          <w:sz w:val="20"/>
        </w:rPr>
        <w:t>an indication of unsuitability. Juries Victoria </w:t>
      </w:r>
      <w:r>
        <w:rPr>
          <w:spacing w:val="-3"/>
          <w:sz w:val="20"/>
        </w:rPr>
        <w:t>would </w:t>
      </w:r>
      <w:r>
        <w:rPr>
          <w:sz w:val="20"/>
        </w:rPr>
        <w:t>need a clear statutory </w:t>
      </w:r>
      <w:r>
        <w:rPr>
          <w:spacing w:val="-3"/>
          <w:sz w:val="20"/>
        </w:rPr>
        <w:t>power </w:t>
      </w:r>
      <w:r>
        <w:rPr>
          <w:sz w:val="20"/>
        </w:rPr>
        <w:t>to </w:t>
      </w:r>
      <w:r>
        <w:rPr>
          <w:spacing w:val="-3"/>
          <w:sz w:val="20"/>
        </w:rPr>
        <w:t>exclude</w:t>
      </w:r>
      <w:r>
        <w:rPr>
          <w:spacing w:val="-7"/>
          <w:sz w:val="20"/>
        </w:rPr>
        <w:t> </w:t>
      </w:r>
      <w:r>
        <w:rPr>
          <w:sz w:val="20"/>
        </w:rPr>
        <w:t>them.</w:t>
      </w:r>
      <w:r>
        <w:rPr>
          <w:spacing w:val="-6"/>
          <w:sz w:val="20"/>
        </w:rPr>
        <w:t> </w:t>
      </w:r>
      <w:r>
        <w:rPr>
          <w:sz w:val="20"/>
        </w:rPr>
        <w:t>The</w:t>
      </w:r>
      <w:r>
        <w:rPr>
          <w:spacing w:val="-7"/>
          <w:sz w:val="20"/>
        </w:rPr>
        <w:t> </w:t>
      </w:r>
      <w:r>
        <w:rPr>
          <w:sz w:val="20"/>
        </w:rPr>
        <w:t>person</w:t>
      </w:r>
      <w:r>
        <w:rPr>
          <w:spacing w:val="-6"/>
          <w:sz w:val="20"/>
        </w:rPr>
        <w:t> </w:t>
      </w:r>
      <w:r>
        <w:rPr>
          <w:sz w:val="20"/>
        </w:rPr>
        <w:t>could</w:t>
      </w:r>
      <w:r>
        <w:rPr>
          <w:spacing w:val="-6"/>
          <w:sz w:val="20"/>
        </w:rPr>
        <w:t> </w:t>
      </w:r>
      <w:r>
        <w:rPr>
          <w:sz w:val="20"/>
        </w:rPr>
        <w:t>then</w:t>
      </w:r>
      <w:r>
        <w:rPr>
          <w:spacing w:val="-7"/>
          <w:sz w:val="20"/>
        </w:rPr>
        <w:t> </w:t>
      </w:r>
      <w:r>
        <w:rPr>
          <w:sz w:val="20"/>
        </w:rPr>
        <w:t>be</w:t>
      </w:r>
      <w:r>
        <w:rPr>
          <w:spacing w:val="-6"/>
          <w:sz w:val="20"/>
        </w:rPr>
        <w:t> </w:t>
      </w:r>
      <w:r>
        <w:rPr>
          <w:sz w:val="20"/>
        </w:rPr>
        <w:t>balloted</w:t>
      </w:r>
      <w:r>
        <w:rPr>
          <w:spacing w:val="-7"/>
          <w:sz w:val="20"/>
        </w:rPr>
        <w:t> </w:t>
      </w:r>
      <w:r>
        <w:rPr>
          <w:sz w:val="20"/>
        </w:rPr>
        <w:t>to</w:t>
      </w:r>
      <w:r>
        <w:rPr>
          <w:spacing w:val="-6"/>
          <w:sz w:val="20"/>
        </w:rPr>
        <w:t> </w:t>
      </w:r>
      <w:r>
        <w:rPr>
          <w:sz w:val="20"/>
        </w:rPr>
        <w:t>a</w:t>
      </w:r>
      <w:r>
        <w:rPr>
          <w:spacing w:val="-6"/>
          <w:sz w:val="20"/>
        </w:rPr>
        <w:t> </w:t>
      </w:r>
      <w:r>
        <w:rPr>
          <w:sz w:val="20"/>
        </w:rPr>
        <w:t>different</w:t>
      </w:r>
      <w:r>
        <w:rPr>
          <w:spacing w:val="-7"/>
          <w:sz w:val="20"/>
        </w:rPr>
        <w:t> </w:t>
      </w:r>
      <w:r>
        <w:rPr>
          <w:sz w:val="20"/>
        </w:rPr>
        <w:t>trial.</w:t>
      </w:r>
    </w:p>
    <w:p>
      <w:pPr>
        <w:pStyle w:val="ListParagraph"/>
        <w:numPr>
          <w:ilvl w:val="2"/>
          <w:numId w:val="87"/>
        </w:numPr>
        <w:tabs>
          <w:tab w:pos="2497" w:val="left" w:leader="none"/>
          <w:tab w:pos="2499" w:val="left" w:leader="none"/>
        </w:tabs>
        <w:spacing w:line="259" w:lineRule="exact" w:before="58" w:after="0"/>
        <w:ind w:left="2498" w:right="0" w:hanging="397"/>
        <w:jc w:val="left"/>
        <w:rPr>
          <w:sz w:val="20"/>
        </w:rPr>
      </w:pPr>
      <w:r>
        <w:rPr>
          <w:sz w:val="20"/>
        </w:rPr>
        <w:t>If</w:t>
      </w:r>
      <w:r>
        <w:rPr>
          <w:spacing w:val="-7"/>
          <w:sz w:val="20"/>
        </w:rPr>
        <w:t> </w:t>
      </w:r>
      <w:r>
        <w:rPr>
          <w:sz w:val="20"/>
        </w:rPr>
        <w:t>the</w:t>
      </w:r>
      <w:r>
        <w:rPr>
          <w:spacing w:val="-4"/>
          <w:sz w:val="20"/>
        </w:rPr>
        <w:t> </w:t>
      </w:r>
      <w:r>
        <w:rPr>
          <w:sz w:val="20"/>
        </w:rPr>
        <w:t>person</w:t>
      </w:r>
      <w:r>
        <w:rPr>
          <w:spacing w:val="-3"/>
          <w:sz w:val="20"/>
        </w:rPr>
        <w:t> </w:t>
      </w:r>
      <w:r>
        <w:rPr>
          <w:sz w:val="20"/>
        </w:rPr>
        <w:t>is</w:t>
      </w:r>
      <w:r>
        <w:rPr>
          <w:spacing w:val="-3"/>
          <w:sz w:val="20"/>
        </w:rPr>
        <w:t> </w:t>
      </w:r>
      <w:r>
        <w:rPr>
          <w:sz w:val="20"/>
        </w:rPr>
        <w:t>not</w:t>
      </w:r>
      <w:r>
        <w:rPr>
          <w:spacing w:val="-3"/>
          <w:sz w:val="20"/>
        </w:rPr>
        <w:t> </w:t>
      </w:r>
      <w:r>
        <w:rPr>
          <w:sz w:val="20"/>
        </w:rPr>
        <w:t>content</w:t>
      </w:r>
      <w:r>
        <w:rPr>
          <w:spacing w:val="-3"/>
          <w:sz w:val="20"/>
        </w:rPr>
        <w:t> </w:t>
      </w:r>
      <w:r>
        <w:rPr>
          <w:sz w:val="20"/>
        </w:rPr>
        <w:t>to</w:t>
      </w:r>
      <w:r>
        <w:rPr>
          <w:spacing w:val="-4"/>
          <w:sz w:val="20"/>
        </w:rPr>
        <w:t> </w:t>
      </w:r>
      <w:r>
        <w:rPr>
          <w:sz w:val="20"/>
        </w:rPr>
        <w:t>be</w:t>
      </w:r>
      <w:r>
        <w:rPr>
          <w:spacing w:val="-3"/>
          <w:sz w:val="20"/>
        </w:rPr>
        <w:t> </w:t>
      </w:r>
      <w:r>
        <w:rPr>
          <w:sz w:val="20"/>
        </w:rPr>
        <w:t>excluded,</w:t>
      </w:r>
      <w:r>
        <w:rPr>
          <w:spacing w:val="-3"/>
          <w:sz w:val="20"/>
        </w:rPr>
        <w:t> </w:t>
      </w:r>
      <w:r>
        <w:rPr>
          <w:sz w:val="20"/>
        </w:rPr>
        <w:t>they</w:t>
      </w:r>
      <w:r>
        <w:rPr>
          <w:spacing w:val="-13"/>
          <w:sz w:val="20"/>
        </w:rPr>
        <w:t> </w:t>
      </w:r>
      <w:r>
        <w:rPr>
          <w:sz w:val="20"/>
        </w:rPr>
        <w:t>would</w:t>
      </w:r>
      <w:r>
        <w:rPr>
          <w:spacing w:val="-4"/>
          <w:sz w:val="20"/>
        </w:rPr>
        <w:t> </w:t>
      </w:r>
      <w:r>
        <w:rPr>
          <w:sz w:val="20"/>
        </w:rPr>
        <w:t>remain</w:t>
      </w:r>
      <w:r>
        <w:rPr>
          <w:spacing w:val="-3"/>
          <w:sz w:val="20"/>
        </w:rPr>
        <w:t> </w:t>
      </w:r>
      <w:r>
        <w:rPr>
          <w:sz w:val="20"/>
        </w:rPr>
        <w:t>on</w:t>
      </w:r>
      <w:r>
        <w:rPr>
          <w:spacing w:val="-3"/>
          <w:sz w:val="20"/>
        </w:rPr>
        <w:t> </w:t>
      </w:r>
      <w:r>
        <w:rPr>
          <w:sz w:val="20"/>
        </w:rPr>
        <w:t>the</w:t>
      </w:r>
      <w:r>
        <w:rPr>
          <w:spacing w:val="-3"/>
          <w:sz w:val="20"/>
        </w:rPr>
        <w:t> </w:t>
      </w:r>
      <w:r>
        <w:rPr>
          <w:sz w:val="20"/>
        </w:rPr>
        <w:t>panel.</w:t>
      </w:r>
    </w:p>
    <w:p>
      <w:pPr>
        <w:pStyle w:val="BodyText"/>
        <w:spacing w:line="206" w:lineRule="auto" w:before="14"/>
        <w:ind w:left="2498" w:right="1335"/>
      </w:pPr>
      <w:r>
        <w:rPr/>
        <w:t>The Court could push empanelment back by one or two hours to hold a hearing to determine capacity to serve. The Court noted ‘it is not unusual for the Court to delay arrival of a panel in order to deal with an issue that has arisen on the morning of empanelment’.</w:t>
      </w:r>
    </w:p>
    <w:p>
      <w:pPr>
        <w:pStyle w:val="ListParagraph"/>
        <w:numPr>
          <w:ilvl w:val="3"/>
          <w:numId w:val="87"/>
        </w:numPr>
        <w:tabs>
          <w:tab w:pos="2894" w:val="left" w:leader="none"/>
          <w:tab w:pos="2895" w:val="left" w:leader="none"/>
        </w:tabs>
        <w:spacing w:line="206" w:lineRule="auto" w:before="90" w:after="0"/>
        <w:ind w:left="2894" w:right="1517" w:hanging="396"/>
        <w:jc w:val="left"/>
        <w:rPr>
          <w:sz w:val="20"/>
        </w:rPr>
      </w:pPr>
      <w:r>
        <w:rPr>
          <w:sz w:val="20"/>
        </w:rPr>
        <w:t>The court could hear from the person and counsel. If the court determines that the person would not be capable of serving with supports then the Court should decide whether to return the person</w:t>
      </w:r>
      <w:r>
        <w:rPr>
          <w:spacing w:val="-34"/>
          <w:sz w:val="20"/>
        </w:rPr>
        <w:t> </w:t>
      </w:r>
      <w:r>
        <w:rPr>
          <w:sz w:val="20"/>
        </w:rPr>
        <w:t>to the pool or to discharge them from their</w:t>
      </w:r>
      <w:r>
        <w:rPr>
          <w:spacing w:val="-19"/>
          <w:sz w:val="20"/>
        </w:rPr>
        <w:t> </w:t>
      </w:r>
      <w:r>
        <w:rPr>
          <w:sz w:val="20"/>
        </w:rPr>
        <w:t>summons.</w:t>
      </w:r>
    </w:p>
    <w:p>
      <w:pPr>
        <w:pStyle w:val="ListParagraph"/>
        <w:numPr>
          <w:ilvl w:val="3"/>
          <w:numId w:val="87"/>
        </w:numPr>
        <w:tabs>
          <w:tab w:pos="2894" w:val="left" w:leader="none"/>
          <w:tab w:pos="2895" w:val="left" w:leader="none"/>
        </w:tabs>
        <w:spacing w:line="206" w:lineRule="auto" w:before="90" w:after="0"/>
        <w:ind w:left="2894" w:right="1266" w:hanging="396"/>
        <w:jc w:val="left"/>
        <w:rPr>
          <w:sz w:val="20"/>
        </w:rPr>
      </w:pPr>
      <w:r>
        <w:rPr>
          <w:sz w:val="20"/>
        </w:rPr>
        <w:t>If the court determines that the person can serve, then the person could wait</w:t>
      </w:r>
      <w:r>
        <w:rPr>
          <w:spacing w:val="-3"/>
          <w:sz w:val="20"/>
        </w:rPr>
        <w:t> </w:t>
      </w:r>
      <w:r>
        <w:rPr>
          <w:sz w:val="20"/>
        </w:rPr>
        <w:t>in</w:t>
      </w:r>
      <w:r>
        <w:rPr>
          <w:spacing w:val="-2"/>
          <w:sz w:val="20"/>
        </w:rPr>
        <w:t> </w:t>
      </w:r>
      <w:r>
        <w:rPr>
          <w:sz w:val="20"/>
        </w:rPr>
        <w:t>court</w:t>
      </w:r>
      <w:r>
        <w:rPr>
          <w:spacing w:val="-3"/>
          <w:sz w:val="20"/>
        </w:rPr>
        <w:t> </w:t>
      </w:r>
      <w:r>
        <w:rPr>
          <w:sz w:val="20"/>
        </w:rPr>
        <w:t>for</w:t>
      </w:r>
      <w:r>
        <w:rPr>
          <w:spacing w:val="-7"/>
          <w:sz w:val="20"/>
        </w:rPr>
        <w:t> </w:t>
      </w:r>
      <w:r>
        <w:rPr>
          <w:sz w:val="20"/>
        </w:rPr>
        <w:t>everyone</w:t>
      </w:r>
      <w:r>
        <w:rPr>
          <w:spacing w:val="-3"/>
          <w:sz w:val="20"/>
        </w:rPr>
        <w:t> </w:t>
      </w:r>
      <w:r>
        <w:rPr>
          <w:sz w:val="20"/>
        </w:rPr>
        <w:t>else</w:t>
      </w:r>
      <w:r>
        <w:rPr>
          <w:spacing w:val="-2"/>
          <w:sz w:val="20"/>
        </w:rPr>
        <w:t> </w:t>
      </w:r>
      <w:r>
        <w:rPr>
          <w:sz w:val="20"/>
        </w:rPr>
        <w:t>or</w:t>
      </w:r>
      <w:r>
        <w:rPr>
          <w:spacing w:val="-7"/>
          <w:sz w:val="20"/>
        </w:rPr>
        <w:t> </w:t>
      </w:r>
      <w:r>
        <w:rPr>
          <w:sz w:val="20"/>
        </w:rPr>
        <w:t>choose</w:t>
      </w:r>
      <w:r>
        <w:rPr>
          <w:spacing w:val="-3"/>
          <w:sz w:val="20"/>
        </w:rPr>
        <w:t> </w:t>
      </w:r>
      <w:r>
        <w:rPr>
          <w:sz w:val="20"/>
        </w:rPr>
        <w:t>to</w:t>
      </w:r>
      <w:r>
        <w:rPr>
          <w:spacing w:val="-2"/>
          <w:sz w:val="20"/>
        </w:rPr>
        <w:t> </w:t>
      </w:r>
      <w:r>
        <w:rPr>
          <w:sz w:val="20"/>
        </w:rPr>
        <w:t>be</w:t>
      </w:r>
      <w:r>
        <w:rPr>
          <w:spacing w:val="-3"/>
          <w:sz w:val="20"/>
        </w:rPr>
        <w:t> </w:t>
      </w:r>
      <w:r>
        <w:rPr>
          <w:sz w:val="20"/>
        </w:rPr>
        <w:t>returned</w:t>
      </w:r>
      <w:r>
        <w:rPr>
          <w:spacing w:val="-2"/>
          <w:sz w:val="20"/>
        </w:rPr>
        <w:t> </w:t>
      </w:r>
      <w:r>
        <w:rPr>
          <w:sz w:val="20"/>
        </w:rPr>
        <w:t>to</w:t>
      </w:r>
      <w:r>
        <w:rPr>
          <w:spacing w:val="-3"/>
          <w:sz w:val="20"/>
        </w:rPr>
        <w:t> </w:t>
      </w:r>
      <w:r>
        <w:rPr>
          <w:sz w:val="20"/>
        </w:rPr>
        <w:t>the</w:t>
      </w:r>
      <w:r>
        <w:rPr>
          <w:spacing w:val="-2"/>
          <w:sz w:val="20"/>
        </w:rPr>
        <w:t> </w:t>
      </w:r>
      <w:r>
        <w:rPr>
          <w:sz w:val="20"/>
        </w:rPr>
        <w:t>pool</w:t>
      </w:r>
      <w:r>
        <w:rPr>
          <w:spacing w:val="-9"/>
          <w:sz w:val="20"/>
        </w:rPr>
        <w:t> </w:t>
      </w:r>
      <w:r>
        <w:rPr>
          <w:sz w:val="20"/>
        </w:rPr>
        <w:t>room.</w:t>
      </w:r>
    </w:p>
    <w:p>
      <w:pPr>
        <w:pStyle w:val="ListParagraph"/>
        <w:numPr>
          <w:ilvl w:val="1"/>
          <w:numId w:val="87"/>
        </w:numPr>
        <w:tabs>
          <w:tab w:pos="2157" w:val="left" w:leader="none"/>
          <w:tab w:pos="2158" w:val="left" w:leader="none"/>
        </w:tabs>
        <w:spacing w:line="206" w:lineRule="auto" w:before="87" w:after="0"/>
        <w:ind w:left="2157" w:right="1446" w:hanging="396"/>
        <w:jc w:val="left"/>
        <w:rPr>
          <w:sz w:val="20"/>
        </w:rPr>
      </w:pPr>
      <w:r>
        <w:rPr>
          <w:sz w:val="20"/>
        </w:rPr>
        <w:t>If the preliminary non-binding direction does not raise </w:t>
      </w:r>
      <w:r>
        <w:rPr>
          <w:spacing w:val="-3"/>
          <w:sz w:val="20"/>
        </w:rPr>
        <w:t>any </w:t>
      </w:r>
      <w:r>
        <w:rPr>
          <w:sz w:val="20"/>
        </w:rPr>
        <w:t>concerns about a person</w:t>
      </w:r>
      <w:r>
        <w:rPr>
          <w:spacing w:val="-10"/>
          <w:sz w:val="20"/>
        </w:rPr>
        <w:t> </w:t>
      </w:r>
      <w:r>
        <w:rPr>
          <w:sz w:val="20"/>
        </w:rPr>
        <w:t>serving</w:t>
      </w:r>
      <w:r>
        <w:rPr>
          <w:spacing w:val="-10"/>
          <w:sz w:val="20"/>
        </w:rPr>
        <w:t> </w:t>
      </w:r>
      <w:r>
        <w:rPr>
          <w:sz w:val="20"/>
        </w:rPr>
        <w:t>with</w:t>
      </w:r>
      <w:r>
        <w:rPr>
          <w:spacing w:val="-10"/>
          <w:sz w:val="20"/>
        </w:rPr>
        <w:t> </w:t>
      </w:r>
      <w:r>
        <w:rPr>
          <w:sz w:val="20"/>
        </w:rPr>
        <w:t>reasonable</w:t>
      </w:r>
      <w:r>
        <w:rPr>
          <w:spacing w:val="-9"/>
          <w:sz w:val="20"/>
        </w:rPr>
        <w:t> </w:t>
      </w:r>
      <w:r>
        <w:rPr>
          <w:sz w:val="20"/>
        </w:rPr>
        <w:t>adjustments,</w:t>
      </w:r>
      <w:r>
        <w:rPr>
          <w:spacing w:val="-10"/>
          <w:sz w:val="20"/>
        </w:rPr>
        <w:t> </w:t>
      </w:r>
      <w:r>
        <w:rPr>
          <w:sz w:val="20"/>
        </w:rPr>
        <w:t>then</w:t>
      </w:r>
      <w:r>
        <w:rPr>
          <w:spacing w:val="-10"/>
          <w:sz w:val="20"/>
        </w:rPr>
        <w:t> </w:t>
      </w:r>
      <w:r>
        <w:rPr>
          <w:spacing w:val="-3"/>
          <w:sz w:val="20"/>
        </w:rPr>
        <w:t>before</w:t>
      </w:r>
      <w:r>
        <w:rPr>
          <w:spacing w:val="-10"/>
          <w:sz w:val="20"/>
        </w:rPr>
        <w:t> </w:t>
      </w:r>
      <w:r>
        <w:rPr>
          <w:sz w:val="20"/>
        </w:rPr>
        <w:t>the</w:t>
      </w:r>
      <w:r>
        <w:rPr>
          <w:spacing w:val="-9"/>
          <w:sz w:val="20"/>
        </w:rPr>
        <w:t> </w:t>
      </w:r>
      <w:r>
        <w:rPr>
          <w:sz w:val="20"/>
        </w:rPr>
        <w:t>panel</w:t>
      </w:r>
      <w:r>
        <w:rPr>
          <w:spacing w:val="-10"/>
          <w:sz w:val="20"/>
        </w:rPr>
        <w:t> </w:t>
      </w:r>
      <w:r>
        <w:rPr>
          <w:spacing w:val="-3"/>
          <w:sz w:val="20"/>
        </w:rPr>
        <w:t>arrives</w:t>
      </w:r>
      <w:r>
        <w:rPr>
          <w:spacing w:val="-10"/>
          <w:sz w:val="20"/>
        </w:rPr>
        <w:t> </w:t>
      </w:r>
      <w:r>
        <w:rPr>
          <w:sz w:val="20"/>
        </w:rPr>
        <w:t>in</w:t>
      </w:r>
      <w:r>
        <w:rPr>
          <w:spacing w:val="-9"/>
          <w:sz w:val="20"/>
        </w:rPr>
        <w:t> </w:t>
      </w:r>
      <w:r>
        <w:rPr>
          <w:sz w:val="20"/>
        </w:rPr>
        <w:t>the courtroom,</w:t>
      </w:r>
      <w:r>
        <w:rPr>
          <w:spacing w:val="-7"/>
          <w:sz w:val="20"/>
        </w:rPr>
        <w:t> </w:t>
      </w:r>
      <w:r>
        <w:rPr>
          <w:sz w:val="20"/>
        </w:rPr>
        <w:t>the</w:t>
      </w:r>
      <w:r>
        <w:rPr>
          <w:spacing w:val="-6"/>
          <w:sz w:val="20"/>
        </w:rPr>
        <w:t> </w:t>
      </w:r>
      <w:r>
        <w:rPr>
          <w:sz w:val="20"/>
        </w:rPr>
        <w:t>judge</w:t>
      </w:r>
      <w:r>
        <w:rPr>
          <w:spacing w:val="-6"/>
          <w:sz w:val="20"/>
        </w:rPr>
        <w:t> </w:t>
      </w:r>
      <w:r>
        <w:rPr>
          <w:sz w:val="20"/>
        </w:rPr>
        <w:t>could</w:t>
      </w:r>
      <w:r>
        <w:rPr>
          <w:spacing w:val="-7"/>
          <w:sz w:val="20"/>
        </w:rPr>
        <w:t> </w:t>
      </w:r>
      <w:r>
        <w:rPr>
          <w:sz w:val="20"/>
        </w:rPr>
        <w:t>explain</w:t>
      </w:r>
      <w:r>
        <w:rPr>
          <w:spacing w:val="-6"/>
          <w:sz w:val="20"/>
        </w:rPr>
        <w:t> </w:t>
      </w:r>
      <w:r>
        <w:rPr>
          <w:sz w:val="20"/>
        </w:rPr>
        <w:t>to</w:t>
      </w:r>
      <w:r>
        <w:rPr>
          <w:spacing w:val="-6"/>
          <w:sz w:val="20"/>
        </w:rPr>
        <w:t> </w:t>
      </w:r>
      <w:r>
        <w:rPr>
          <w:sz w:val="20"/>
        </w:rPr>
        <w:t>counsel</w:t>
      </w:r>
      <w:r>
        <w:rPr>
          <w:spacing w:val="-6"/>
          <w:sz w:val="20"/>
        </w:rPr>
        <w:t> </w:t>
      </w:r>
      <w:r>
        <w:rPr>
          <w:sz w:val="20"/>
        </w:rPr>
        <w:t>what</w:t>
      </w:r>
      <w:r>
        <w:rPr>
          <w:spacing w:val="-7"/>
          <w:sz w:val="20"/>
        </w:rPr>
        <w:t> </w:t>
      </w:r>
      <w:r>
        <w:rPr>
          <w:sz w:val="20"/>
        </w:rPr>
        <w:t>will</w:t>
      </w:r>
      <w:r>
        <w:rPr>
          <w:spacing w:val="-6"/>
          <w:sz w:val="20"/>
        </w:rPr>
        <w:t> </w:t>
      </w:r>
      <w:r>
        <w:rPr>
          <w:sz w:val="20"/>
        </w:rPr>
        <w:t>happen.</w:t>
      </w:r>
    </w:p>
    <w:p>
      <w:pPr>
        <w:pStyle w:val="ListParagraph"/>
        <w:numPr>
          <w:ilvl w:val="1"/>
          <w:numId w:val="87"/>
        </w:numPr>
        <w:tabs>
          <w:tab w:pos="2157" w:val="left" w:leader="none"/>
          <w:tab w:pos="2158" w:val="left" w:leader="none"/>
        </w:tabs>
        <w:spacing w:line="206" w:lineRule="auto" w:before="89" w:after="0"/>
        <w:ind w:left="2157" w:right="1284" w:hanging="396"/>
        <w:jc w:val="left"/>
        <w:rPr>
          <w:sz w:val="20"/>
        </w:rPr>
      </w:pPr>
      <w:r>
        <w:rPr>
          <w:sz w:val="20"/>
        </w:rPr>
        <w:t>When the panel is seated in the courtroom, the trial </w:t>
      </w:r>
      <w:r>
        <w:rPr>
          <w:spacing w:val="-3"/>
          <w:sz w:val="20"/>
        </w:rPr>
        <w:t>judge’s </w:t>
      </w:r>
      <w:r>
        <w:rPr>
          <w:sz w:val="20"/>
        </w:rPr>
        <w:t>briefing could also include a statement that it is important to be able to understand and assess all types</w:t>
      </w:r>
      <w:r>
        <w:rPr>
          <w:spacing w:val="-8"/>
          <w:sz w:val="20"/>
        </w:rPr>
        <w:t> </w:t>
      </w:r>
      <w:r>
        <w:rPr>
          <w:sz w:val="20"/>
        </w:rPr>
        <w:t>of</w:t>
      </w:r>
      <w:r>
        <w:rPr>
          <w:spacing w:val="-7"/>
          <w:sz w:val="20"/>
        </w:rPr>
        <w:t> </w:t>
      </w:r>
      <w:r>
        <w:rPr>
          <w:sz w:val="20"/>
        </w:rPr>
        <w:t>evidence</w:t>
      </w:r>
      <w:r>
        <w:rPr>
          <w:spacing w:val="-7"/>
          <w:sz w:val="20"/>
        </w:rPr>
        <w:t> </w:t>
      </w:r>
      <w:r>
        <w:rPr>
          <w:sz w:val="20"/>
        </w:rPr>
        <w:t>in</w:t>
      </w:r>
      <w:r>
        <w:rPr>
          <w:spacing w:val="-8"/>
          <w:sz w:val="20"/>
        </w:rPr>
        <w:t> </w:t>
      </w:r>
      <w:r>
        <w:rPr>
          <w:sz w:val="20"/>
        </w:rPr>
        <w:t>a</w:t>
      </w:r>
      <w:r>
        <w:rPr>
          <w:spacing w:val="-7"/>
          <w:sz w:val="20"/>
        </w:rPr>
        <w:t> </w:t>
      </w:r>
      <w:r>
        <w:rPr>
          <w:sz w:val="20"/>
        </w:rPr>
        <w:t>trial.</w:t>
      </w:r>
      <w:r>
        <w:rPr>
          <w:spacing w:val="-7"/>
          <w:sz w:val="20"/>
        </w:rPr>
        <w:t> </w:t>
      </w:r>
      <w:r>
        <w:rPr>
          <w:sz w:val="20"/>
        </w:rPr>
        <w:t>A</w:t>
      </w:r>
      <w:r>
        <w:rPr>
          <w:spacing w:val="-7"/>
          <w:sz w:val="20"/>
        </w:rPr>
        <w:t> </w:t>
      </w:r>
      <w:r>
        <w:rPr>
          <w:sz w:val="20"/>
        </w:rPr>
        <w:t>person</w:t>
      </w:r>
      <w:r>
        <w:rPr>
          <w:spacing w:val="-8"/>
          <w:sz w:val="20"/>
        </w:rPr>
        <w:t> </w:t>
      </w:r>
      <w:r>
        <w:rPr>
          <w:spacing w:val="-3"/>
          <w:sz w:val="20"/>
        </w:rPr>
        <w:t>may</w:t>
      </w:r>
      <w:r>
        <w:rPr>
          <w:spacing w:val="-7"/>
          <w:sz w:val="20"/>
        </w:rPr>
        <w:t> </w:t>
      </w:r>
      <w:r>
        <w:rPr>
          <w:sz w:val="20"/>
        </w:rPr>
        <w:t>want</w:t>
      </w:r>
      <w:r>
        <w:rPr>
          <w:spacing w:val="-7"/>
          <w:sz w:val="20"/>
        </w:rPr>
        <w:t> </w:t>
      </w:r>
      <w:r>
        <w:rPr>
          <w:sz w:val="20"/>
        </w:rPr>
        <w:t>to</w:t>
      </w:r>
      <w:r>
        <w:rPr>
          <w:spacing w:val="-7"/>
          <w:sz w:val="20"/>
        </w:rPr>
        <w:t> </w:t>
      </w:r>
      <w:r>
        <w:rPr>
          <w:sz w:val="20"/>
        </w:rPr>
        <w:t>be</w:t>
      </w:r>
      <w:r>
        <w:rPr>
          <w:spacing w:val="-8"/>
          <w:sz w:val="20"/>
        </w:rPr>
        <w:t> </w:t>
      </w:r>
      <w:r>
        <w:rPr>
          <w:spacing w:val="-3"/>
          <w:sz w:val="20"/>
        </w:rPr>
        <w:t>excused</w:t>
      </w:r>
      <w:r>
        <w:rPr>
          <w:spacing w:val="-7"/>
          <w:sz w:val="20"/>
        </w:rPr>
        <w:t> </w:t>
      </w:r>
      <w:r>
        <w:rPr>
          <w:sz w:val="20"/>
        </w:rPr>
        <w:t>after</w:t>
      </w:r>
      <w:r>
        <w:rPr>
          <w:spacing w:val="-7"/>
          <w:sz w:val="20"/>
        </w:rPr>
        <w:t> </w:t>
      </w:r>
      <w:r>
        <w:rPr>
          <w:sz w:val="20"/>
        </w:rPr>
        <w:t>being</w:t>
      </w:r>
      <w:r>
        <w:rPr>
          <w:spacing w:val="-7"/>
          <w:sz w:val="20"/>
        </w:rPr>
        <w:t> </w:t>
      </w:r>
      <w:r>
        <w:rPr>
          <w:spacing w:val="-3"/>
          <w:sz w:val="20"/>
        </w:rPr>
        <w:t>provided </w:t>
      </w:r>
      <w:r>
        <w:rPr>
          <w:sz w:val="20"/>
        </w:rPr>
        <w:t>with information </w:t>
      </w:r>
      <w:r>
        <w:rPr>
          <w:spacing w:val="-3"/>
          <w:sz w:val="20"/>
        </w:rPr>
        <w:t>from </w:t>
      </w:r>
      <w:r>
        <w:rPr>
          <w:sz w:val="20"/>
        </w:rPr>
        <w:t>the trial judge in the</w:t>
      </w:r>
      <w:r>
        <w:rPr>
          <w:spacing w:val="-37"/>
          <w:sz w:val="20"/>
        </w:rPr>
        <w:t> </w:t>
      </w:r>
      <w:r>
        <w:rPr>
          <w:sz w:val="20"/>
        </w:rPr>
        <w:t>briefing.</w:t>
      </w:r>
    </w:p>
    <w:p>
      <w:pPr>
        <w:pStyle w:val="ListParagraph"/>
        <w:numPr>
          <w:ilvl w:val="1"/>
          <w:numId w:val="87"/>
        </w:numPr>
        <w:tabs>
          <w:tab w:pos="2157" w:val="left" w:leader="none"/>
          <w:tab w:pos="2158" w:val="left" w:leader="none"/>
        </w:tabs>
        <w:spacing w:line="206" w:lineRule="auto" w:before="90" w:after="0"/>
        <w:ind w:left="2157" w:right="1365" w:hanging="396"/>
        <w:jc w:val="left"/>
        <w:rPr>
          <w:sz w:val="20"/>
        </w:rPr>
      </w:pPr>
      <w:r>
        <w:rPr>
          <w:sz w:val="20"/>
        </w:rPr>
        <w:t>If it becomes necessary to </w:t>
      </w:r>
      <w:r>
        <w:rPr>
          <w:spacing w:val="-3"/>
          <w:sz w:val="20"/>
        </w:rPr>
        <w:t>excuse </w:t>
      </w:r>
      <w:r>
        <w:rPr>
          <w:sz w:val="20"/>
        </w:rPr>
        <w:t>or </w:t>
      </w:r>
      <w:r>
        <w:rPr>
          <w:spacing w:val="-3"/>
          <w:sz w:val="20"/>
        </w:rPr>
        <w:t>exclude </w:t>
      </w:r>
      <w:r>
        <w:rPr>
          <w:sz w:val="20"/>
        </w:rPr>
        <w:t>a person </w:t>
      </w:r>
      <w:r>
        <w:rPr>
          <w:spacing w:val="-3"/>
          <w:sz w:val="20"/>
        </w:rPr>
        <w:t>from </w:t>
      </w:r>
      <w:r>
        <w:rPr>
          <w:sz w:val="20"/>
        </w:rPr>
        <w:t>the subject groups during empanelment, this should occur in a respectful and sensitive </w:t>
      </w:r>
      <w:r>
        <w:rPr>
          <w:spacing w:val="-3"/>
          <w:sz w:val="20"/>
        </w:rPr>
        <w:t>manner, </w:t>
      </w:r>
      <w:r>
        <w:rPr>
          <w:sz w:val="20"/>
        </w:rPr>
        <w:t>perhaps</w:t>
      </w:r>
      <w:r>
        <w:rPr>
          <w:spacing w:val="-8"/>
          <w:sz w:val="20"/>
        </w:rPr>
        <w:t> </w:t>
      </w:r>
      <w:r>
        <w:rPr>
          <w:sz w:val="20"/>
        </w:rPr>
        <w:t>in</w:t>
      </w:r>
      <w:r>
        <w:rPr>
          <w:spacing w:val="-7"/>
          <w:sz w:val="20"/>
        </w:rPr>
        <w:t> </w:t>
      </w:r>
      <w:r>
        <w:rPr>
          <w:sz w:val="20"/>
        </w:rPr>
        <w:t>a</w:t>
      </w:r>
      <w:r>
        <w:rPr>
          <w:spacing w:val="-7"/>
          <w:sz w:val="20"/>
        </w:rPr>
        <w:t> </w:t>
      </w:r>
      <w:r>
        <w:rPr>
          <w:spacing w:val="-3"/>
          <w:sz w:val="20"/>
        </w:rPr>
        <w:t>private</w:t>
      </w:r>
      <w:r>
        <w:rPr>
          <w:spacing w:val="-8"/>
          <w:sz w:val="20"/>
        </w:rPr>
        <w:t> </w:t>
      </w:r>
      <w:r>
        <w:rPr>
          <w:sz w:val="20"/>
        </w:rPr>
        <w:t>hearing.</w:t>
      </w:r>
      <w:r>
        <w:rPr>
          <w:spacing w:val="-7"/>
          <w:sz w:val="20"/>
        </w:rPr>
        <w:t> </w:t>
      </w:r>
      <w:r>
        <w:rPr>
          <w:sz w:val="20"/>
        </w:rPr>
        <w:t>An</w:t>
      </w:r>
      <w:r>
        <w:rPr>
          <w:spacing w:val="-7"/>
          <w:sz w:val="20"/>
        </w:rPr>
        <w:t> </w:t>
      </w:r>
      <w:r>
        <w:rPr>
          <w:spacing w:val="-3"/>
          <w:sz w:val="20"/>
        </w:rPr>
        <w:t>excluded</w:t>
      </w:r>
      <w:r>
        <w:rPr>
          <w:spacing w:val="-7"/>
          <w:sz w:val="20"/>
        </w:rPr>
        <w:t> </w:t>
      </w:r>
      <w:r>
        <w:rPr>
          <w:sz w:val="20"/>
        </w:rPr>
        <w:t>juror</w:t>
      </w:r>
      <w:r>
        <w:rPr>
          <w:spacing w:val="-8"/>
          <w:sz w:val="20"/>
        </w:rPr>
        <w:t> </w:t>
      </w:r>
      <w:r>
        <w:rPr>
          <w:sz w:val="20"/>
        </w:rPr>
        <w:t>should</w:t>
      </w:r>
      <w:r>
        <w:rPr>
          <w:spacing w:val="-7"/>
          <w:sz w:val="20"/>
        </w:rPr>
        <w:t> </w:t>
      </w:r>
      <w:r>
        <w:rPr>
          <w:sz w:val="20"/>
        </w:rPr>
        <w:t>be</w:t>
      </w:r>
      <w:r>
        <w:rPr>
          <w:spacing w:val="-7"/>
          <w:sz w:val="20"/>
        </w:rPr>
        <w:t> </w:t>
      </w:r>
      <w:r>
        <w:rPr>
          <w:spacing w:val="-3"/>
          <w:sz w:val="20"/>
        </w:rPr>
        <w:t>required</w:t>
      </w:r>
      <w:r>
        <w:rPr>
          <w:spacing w:val="-7"/>
          <w:sz w:val="20"/>
        </w:rPr>
        <w:t> </w:t>
      </w:r>
      <w:r>
        <w:rPr>
          <w:sz w:val="20"/>
        </w:rPr>
        <w:t>to</w:t>
      </w:r>
      <w:r>
        <w:rPr>
          <w:spacing w:val="-8"/>
          <w:sz w:val="20"/>
        </w:rPr>
        <w:t> </w:t>
      </w:r>
      <w:r>
        <w:rPr>
          <w:spacing w:val="-3"/>
          <w:sz w:val="20"/>
        </w:rPr>
        <w:t>return</w:t>
      </w:r>
      <w:r>
        <w:rPr>
          <w:spacing w:val="-7"/>
          <w:sz w:val="20"/>
        </w:rPr>
        <w:t> </w:t>
      </w:r>
      <w:r>
        <w:rPr>
          <w:sz w:val="20"/>
        </w:rPr>
        <w:t>to</w:t>
      </w:r>
      <w:r>
        <w:rPr>
          <w:spacing w:val="-7"/>
          <w:sz w:val="20"/>
        </w:rPr>
        <w:t> </w:t>
      </w:r>
      <w:r>
        <w:rPr>
          <w:sz w:val="20"/>
        </w:rPr>
        <w:t>the jury pool unless the court orders</w:t>
      </w:r>
      <w:r>
        <w:rPr>
          <w:spacing w:val="-28"/>
          <w:sz w:val="20"/>
        </w:rPr>
        <w:t> </w:t>
      </w:r>
      <w:r>
        <w:rPr>
          <w:sz w:val="20"/>
        </w:rPr>
        <w:t>otherwise.</w:t>
      </w:r>
    </w:p>
    <w:p>
      <w:pPr>
        <w:pStyle w:val="ListParagraph"/>
        <w:numPr>
          <w:ilvl w:val="1"/>
          <w:numId w:val="87"/>
        </w:numPr>
        <w:tabs>
          <w:tab w:pos="2157" w:val="left" w:leader="none"/>
          <w:tab w:pos="2158" w:val="left" w:leader="none"/>
        </w:tabs>
        <w:spacing w:line="206" w:lineRule="auto" w:before="90" w:after="0"/>
        <w:ind w:left="2157" w:right="1438" w:hanging="396"/>
        <w:jc w:val="left"/>
        <w:rPr>
          <w:sz w:val="20"/>
        </w:rPr>
      </w:pPr>
      <w:r>
        <w:rPr>
          <w:sz w:val="20"/>
        </w:rPr>
        <w:t>After swearing in the </w:t>
      </w:r>
      <w:r>
        <w:rPr>
          <w:spacing w:val="-3"/>
          <w:sz w:val="20"/>
        </w:rPr>
        <w:t>jury, </w:t>
      </w:r>
      <w:r>
        <w:rPr>
          <w:sz w:val="20"/>
        </w:rPr>
        <w:t>there </w:t>
      </w:r>
      <w:r>
        <w:rPr>
          <w:spacing w:val="-3"/>
          <w:sz w:val="20"/>
        </w:rPr>
        <w:t>may </w:t>
      </w:r>
      <w:r>
        <w:rPr>
          <w:sz w:val="20"/>
        </w:rPr>
        <w:t>need to be a short adjournment to discuss with counsel seating arrangements during the trial, breaks for support persons such as Auslan </w:t>
      </w:r>
      <w:r>
        <w:rPr>
          <w:spacing w:val="-3"/>
          <w:sz w:val="20"/>
        </w:rPr>
        <w:t>interpreters, </w:t>
      </w:r>
      <w:r>
        <w:rPr>
          <w:sz w:val="20"/>
        </w:rPr>
        <w:t>and possibly the need to adjust </w:t>
      </w:r>
      <w:r>
        <w:rPr>
          <w:spacing w:val="-3"/>
          <w:sz w:val="20"/>
        </w:rPr>
        <w:t>how </w:t>
      </w:r>
      <w:r>
        <w:rPr>
          <w:sz w:val="20"/>
        </w:rPr>
        <w:t>they speak. The judge will need to discuss with counsel that the trial </w:t>
      </w:r>
      <w:r>
        <w:rPr>
          <w:spacing w:val="-3"/>
          <w:sz w:val="20"/>
        </w:rPr>
        <w:t>may </w:t>
      </w:r>
      <w:r>
        <w:rPr>
          <w:sz w:val="20"/>
        </w:rPr>
        <w:t>take longer than estimated, particularly if Auslan </w:t>
      </w:r>
      <w:r>
        <w:rPr>
          <w:spacing w:val="-3"/>
          <w:sz w:val="20"/>
        </w:rPr>
        <w:t>interpreters are </w:t>
      </w:r>
      <w:r>
        <w:rPr>
          <w:sz w:val="20"/>
        </w:rPr>
        <w:t>used. If the additional time </w:t>
      </w:r>
      <w:r>
        <w:rPr>
          <w:spacing w:val="-3"/>
          <w:sz w:val="20"/>
        </w:rPr>
        <w:t>required</w:t>
      </w:r>
      <w:r>
        <w:rPr>
          <w:spacing w:val="-11"/>
          <w:sz w:val="20"/>
        </w:rPr>
        <w:t> </w:t>
      </w:r>
      <w:r>
        <w:rPr>
          <w:sz w:val="20"/>
        </w:rPr>
        <w:t>is</w:t>
      </w:r>
      <w:r>
        <w:rPr>
          <w:spacing w:val="-10"/>
          <w:sz w:val="20"/>
        </w:rPr>
        <w:t> </w:t>
      </w:r>
      <w:r>
        <w:rPr>
          <w:sz w:val="20"/>
        </w:rPr>
        <w:t>significant,</w:t>
      </w:r>
      <w:r>
        <w:rPr>
          <w:spacing w:val="-10"/>
          <w:sz w:val="20"/>
        </w:rPr>
        <w:t> </w:t>
      </w:r>
      <w:r>
        <w:rPr>
          <w:sz w:val="20"/>
        </w:rPr>
        <w:t>the</w:t>
      </w:r>
      <w:r>
        <w:rPr>
          <w:spacing w:val="-10"/>
          <w:sz w:val="20"/>
        </w:rPr>
        <w:t> </w:t>
      </w:r>
      <w:r>
        <w:rPr>
          <w:sz w:val="20"/>
        </w:rPr>
        <w:t>court</w:t>
      </w:r>
      <w:r>
        <w:rPr>
          <w:spacing w:val="-10"/>
          <w:sz w:val="20"/>
        </w:rPr>
        <w:t> </w:t>
      </w:r>
      <w:r>
        <w:rPr>
          <w:spacing w:val="-3"/>
          <w:sz w:val="20"/>
        </w:rPr>
        <w:t>may</w:t>
      </w:r>
      <w:r>
        <w:rPr>
          <w:spacing w:val="-10"/>
          <w:sz w:val="20"/>
        </w:rPr>
        <w:t> </w:t>
      </w:r>
      <w:r>
        <w:rPr>
          <w:sz w:val="20"/>
        </w:rPr>
        <w:t>need</w:t>
      </w:r>
      <w:r>
        <w:rPr>
          <w:spacing w:val="-10"/>
          <w:sz w:val="20"/>
        </w:rPr>
        <w:t> </w:t>
      </w:r>
      <w:r>
        <w:rPr>
          <w:sz w:val="20"/>
        </w:rPr>
        <w:t>to</w:t>
      </w:r>
      <w:r>
        <w:rPr>
          <w:spacing w:val="-10"/>
          <w:sz w:val="20"/>
        </w:rPr>
        <w:t> </w:t>
      </w:r>
      <w:r>
        <w:rPr>
          <w:sz w:val="20"/>
        </w:rPr>
        <w:t>confirm</w:t>
      </w:r>
      <w:r>
        <w:rPr>
          <w:spacing w:val="-10"/>
          <w:sz w:val="20"/>
        </w:rPr>
        <w:t> </w:t>
      </w:r>
      <w:r>
        <w:rPr>
          <w:sz w:val="20"/>
        </w:rPr>
        <w:t>with</w:t>
      </w:r>
      <w:r>
        <w:rPr>
          <w:spacing w:val="-11"/>
          <w:sz w:val="20"/>
        </w:rPr>
        <w:t> </w:t>
      </w:r>
      <w:r>
        <w:rPr>
          <w:sz w:val="20"/>
        </w:rPr>
        <w:t>jurors</w:t>
      </w:r>
      <w:r>
        <w:rPr>
          <w:spacing w:val="-10"/>
          <w:sz w:val="20"/>
        </w:rPr>
        <w:t> </w:t>
      </w:r>
      <w:r>
        <w:rPr>
          <w:sz w:val="20"/>
        </w:rPr>
        <w:t>that</w:t>
      </w:r>
      <w:r>
        <w:rPr>
          <w:spacing w:val="-10"/>
          <w:sz w:val="20"/>
        </w:rPr>
        <w:t> </w:t>
      </w:r>
      <w:r>
        <w:rPr>
          <w:sz w:val="20"/>
        </w:rPr>
        <w:t>there</w:t>
      </w:r>
      <w:r>
        <w:rPr>
          <w:spacing w:val="-10"/>
          <w:sz w:val="20"/>
        </w:rPr>
        <w:t> </w:t>
      </w:r>
      <w:r>
        <w:rPr>
          <w:spacing w:val="-3"/>
          <w:sz w:val="20"/>
        </w:rPr>
        <w:t>are</w:t>
      </w:r>
      <w:r>
        <w:rPr>
          <w:spacing w:val="-10"/>
          <w:sz w:val="20"/>
        </w:rPr>
        <w:t> </w:t>
      </w:r>
      <w:r>
        <w:rPr>
          <w:sz w:val="20"/>
        </w:rPr>
        <w:t>no issues with the new</w:t>
      </w:r>
      <w:r>
        <w:rPr>
          <w:spacing w:val="-17"/>
          <w:sz w:val="20"/>
        </w:rPr>
        <w:t> </w:t>
      </w:r>
      <w:r>
        <w:rPr>
          <w:spacing w:val="-3"/>
          <w:sz w:val="20"/>
        </w:rPr>
        <w:t>estimate.</w:t>
      </w:r>
    </w:p>
    <w:p>
      <w:pPr>
        <w:pStyle w:val="ListParagraph"/>
        <w:numPr>
          <w:ilvl w:val="1"/>
          <w:numId w:val="87"/>
        </w:numPr>
        <w:tabs>
          <w:tab w:pos="2157" w:val="left" w:leader="none"/>
          <w:tab w:pos="2158" w:val="left" w:leader="none"/>
        </w:tabs>
        <w:spacing w:line="259" w:lineRule="exact" w:before="62" w:after="0"/>
        <w:ind w:left="2157" w:right="0" w:hanging="396"/>
        <w:jc w:val="left"/>
        <w:rPr>
          <w:sz w:val="20"/>
        </w:rPr>
      </w:pPr>
      <w:r>
        <w:rPr>
          <w:sz w:val="20"/>
        </w:rPr>
        <w:t>After</w:t>
      </w:r>
      <w:r>
        <w:rPr>
          <w:spacing w:val="-7"/>
          <w:sz w:val="20"/>
        </w:rPr>
        <w:t> </w:t>
      </w:r>
      <w:r>
        <w:rPr>
          <w:sz w:val="20"/>
        </w:rPr>
        <w:t>the</w:t>
      </w:r>
      <w:r>
        <w:rPr>
          <w:spacing w:val="-7"/>
          <w:sz w:val="20"/>
        </w:rPr>
        <w:t> </w:t>
      </w:r>
      <w:r>
        <w:rPr>
          <w:sz w:val="20"/>
        </w:rPr>
        <w:t>adjournment,</w:t>
      </w:r>
      <w:r>
        <w:rPr>
          <w:spacing w:val="-7"/>
          <w:sz w:val="20"/>
        </w:rPr>
        <w:t> </w:t>
      </w:r>
      <w:r>
        <w:rPr>
          <w:sz w:val="20"/>
        </w:rPr>
        <w:t>when</w:t>
      </w:r>
      <w:r>
        <w:rPr>
          <w:spacing w:val="-7"/>
          <w:sz w:val="20"/>
        </w:rPr>
        <w:t> </w:t>
      </w:r>
      <w:r>
        <w:rPr>
          <w:sz w:val="20"/>
        </w:rPr>
        <w:t>first</w:t>
      </w:r>
      <w:r>
        <w:rPr>
          <w:spacing w:val="-7"/>
          <w:sz w:val="20"/>
        </w:rPr>
        <w:t> </w:t>
      </w:r>
      <w:r>
        <w:rPr>
          <w:sz w:val="20"/>
        </w:rPr>
        <w:t>addressing</w:t>
      </w:r>
      <w:r>
        <w:rPr>
          <w:spacing w:val="-6"/>
          <w:sz w:val="20"/>
        </w:rPr>
        <w:t> </w:t>
      </w:r>
      <w:r>
        <w:rPr>
          <w:sz w:val="20"/>
        </w:rPr>
        <w:t>the</w:t>
      </w:r>
      <w:r>
        <w:rPr>
          <w:spacing w:val="-7"/>
          <w:sz w:val="20"/>
        </w:rPr>
        <w:t> </w:t>
      </w:r>
      <w:r>
        <w:rPr>
          <w:spacing w:val="-3"/>
          <w:sz w:val="20"/>
        </w:rPr>
        <w:t>jury,</w:t>
      </w:r>
      <w:r>
        <w:rPr>
          <w:spacing w:val="-7"/>
          <w:sz w:val="20"/>
        </w:rPr>
        <w:t> </w:t>
      </w:r>
      <w:r>
        <w:rPr>
          <w:sz w:val="20"/>
        </w:rPr>
        <w:t>the</w:t>
      </w:r>
      <w:r>
        <w:rPr>
          <w:spacing w:val="-7"/>
          <w:sz w:val="20"/>
        </w:rPr>
        <w:t> </w:t>
      </w:r>
      <w:r>
        <w:rPr>
          <w:sz w:val="20"/>
        </w:rPr>
        <w:t>trial</w:t>
      </w:r>
      <w:r>
        <w:rPr>
          <w:spacing w:val="-7"/>
          <w:sz w:val="20"/>
        </w:rPr>
        <w:t> </w:t>
      </w:r>
      <w:r>
        <w:rPr>
          <w:sz w:val="20"/>
        </w:rPr>
        <w:t>judge</w:t>
      </w:r>
      <w:r>
        <w:rPr>
          <w:spacing w:val="-7"/>
          <w:sz w:val="20"/>
        </w:rPr>
        <w:t> </w:t>
      </w:r>
      <w:r>
        <w:rPr>
          <w:sz w:val="20"/>
        </w:rPr>
        <w:t>could</w:t>
      </w:r>
      <w:r>
        <w:rPr>
          <w:spacing w:val="-6"/>
          <w:sz w:val="20"/>
        </w:rPr>
        <w:t> </w:t>
      </w:r>
      <w:r>
        <w:rPr>
          <w:sz w:val="20"/>
        </w:rPr>
        <w:t>explain</w:t>
      </w:r>
    </w:p>
    <w:p>
      <w:pPr>
        <w:pStyle w:val="BodyText"/>
        <w:spacing w:line="259" w:lineRule="exact"/>
        <w:ind w:left="2157"/>
      </w:pPr>
      <w:r>
        <w:rPr/>
        <w:t>the following additional matters:</w:t>
      </w:r>
    </w:p>
    <w:p>
      <w:pPr>
        <w:pStyle w:val="ListParagraph"/>
        <w:numPr>
          <w:ilvl w:val="2"/>
          <w:numId w:val="87"/>
        </w:numPr>
        <w:tabs>
          <w:tab w:pos="2497" w:val="left" w:leader="none"/>
          <w:tab w:pos="2499" w:val="left" w:leader="none"/>
        </w:tabs>
        <w:spacing w:line="240" w:lineRule="auto" w:before="47" w:after="0"/>
        <w:ind w:left="2498" w:right="0" w:hanging="397"/>
        <w:jc w:val="left"/>
        <w:rPr>
          <w:sz w:val="20"/>
        </w:rPr>
      </w:pPr>
      <w:r>
        <w:rPr>
          <w:sz w:val="20"/>
        </w:rPr>
        <w:t>the adjustments that will be used during</w:t>
      </w:r>
      <w:r>
        <w:rPr>
          <w:spacing w:val="-14"/>
          <w:sz w:val="20"/>
        </w:rPr>
        <w:t> </w:t>
      </w:r>
      <w:r>
        <w:rPr>
          <w:sz w:val="20"/>
        </w:rPr>
        <w:t>trial</w:t>
      </w:r>
    </w:p>
    <w:p>
      <w:pPr>
        <w:pStyle w:val="ListParagraph"/>
        <w:numPr>
          <w:ilvl w:val="2"/>
          <w:numId w:val="87"/>
        </w:numPr>
        <w:tabs>
          <w:tab w:pos="2497" w:val="left" w:leader="none"/>
          <w:tab w:pos="2499" w:val="left" w:leader="none"/>
        </w:tabs>
        <w:spacing w:line="240" w:lineRule="auto" w:before="48" w:after="0"/>
        <w:ind w:left="2498" w:right="0" w:hanging="397"/>
        <w:jc w:val="left"/>
        <w:rPr>
          <w:sz w:val="20"/>
        </w:rPr>
      </w:pPr>
      <w:r>
        <w:rPr>
          <w:sz w:val="20"/>
        </w:rPr>
        <w:t>seating</w:t>
      </w:r>
      <w:r>
        <w:rPr>
          <w:spacing w:val="-1"/>
          <w:sz w:val="20"/>
        </w:rPr>
        <w:t> </w:t>
      </w:r>
      <w:r>
        <w:rPr>
          <w:sz w:val="20"/>
        </w:rPr>
        <w:t>arrangements</w:t>
      </w:r>
    </w:p>
    <w:p>
      <w:pPr>
        <w:pStyle w:val="ListParagraph"/>
        <w:numPr>
          <w:ilvl w:val="2"/>
          <w:numId w:val="87"/>
        </w:numPr>
        <w:tabs>
          <w:tab w:pos="2497" w:val="left" w:leader="none"/>
          <w:tab w:pos="2499" w:val="left" w:leader="none"/>
        </w:tabs>
        <w:spacing w:line="240" w:lineRule="auto" w:before="47" w:after="0"/>
        <w:ind w:left="2498" w:right="0" w:hanging="397"/>
        <w:jc w:val="left"/>
        <w:rPr>
          <w:sz w:val="20"/>
        </w:rPr>
      </w:pPr>
      <w:r>
        <w:rPr>
          <w:sz w:val="20"/>
        </w:rPr>
        <w:t>matters relating to Auslan</w:t>
      </w:r>
      <w:r>
        <w:rPr>
          <w:spacing w:val="-7"/>
          <w:sz w:val="20"/>
        </w:rPr>
        <w:t> </w:t>
      </w:r>
      <w:r>
        <w:rPr>
          <w:sz w:val="20"/>
        </w:rPr>
        <w:t>interpreters</w:t>
      </w:r>
    </w:p>
    <w:p>
      <w:pPr>
        <w:pStyle w:val="ListParagraph"/>
        <w:numPr>
          <w:ilvl w:val="2"/>
          <w:numId w:val="87"/>
        </w:numPr>
        <w:tabs>
          <w:tab w:pos="2497" w:val="left" w:leader="none"/>
          <w:tab w:pos="2499" w:val="left" w:leader="none"/>
        </w:tabs>
        <w:spacing w:line="206" w:lineRule="auto" w:before="80" w:after="0"/>
        <w:ind w:left="2498" w:right="1435" w:hanging="397"/>
        <w:jc w:val="left"/>
        <w:rPr>
          <w:sz w:val="11"/>
        </w:rPr>
      </w:pPr>
      <w:r>
        <w:rPr>
          <w:sz w:val="20"/>
        </w:rPr>
        <w:t>that</w:t>
      </w:r>
      <w:r>
        <w:rPr>
          <w:spacing w:val="-4"/>
          <w:sz w:val="20"/>
        </w:rPr>
        <w:t> </w:t>
      </w:r>
      <w:r>
        <w:rPr>
          <w:sz w:val="20"/>
        </w:rPr>
        <w:t>if</w:t>
      </w:r>
      <w:r>
        <w:rPr>
          <w:spacing w:val="-7"/>
          <w:sz w:val="20"/>
        </w:rPr>
        <w:t> </w:t>
      </w:r>
      <w:r>
        <w:rPr>
          <w:sz w:val="20"/>
        </w:rPr>
        <w:t>jurors</w:t>
      </w:r>
      <w:r>
        <w:rPr>
          <w:spacing w:val="-3"/>
          <w:sz w:val="20"/>
        </w:rPr>
        <w:t> </w:t>
      </w:r>
      <w:r>
        <w:rPr>
          <w:sz w:val="20"/>
        </w:rPr>
        <w:t>have</w:t>
      </w:r>
      <w:r>
        <w:rPr>
          <w:spacing w:val="-3"/>
          <w:sz w:val="20"/>
        </w:rPr>
        <w:t> </w:t>
      </w:r>
      <w:r>
        <w:rPr>
          <w:sz w:val="20"/>
        </w:rPr>
        <w:t>any</w:t>
      </w:r>
      <w:r>
        <w:rPr>
          <w:spacing w:val="-9"/>
          <w:sz w:val="20"/>
        </w:rPr>
        <w:t> </w:t>
      </w:r>
      <w:r>
        <w:rPr>
          <w:sz w:val="20"/>
        </w:rPr>
        <w:t>concerns</w:t>
      </w:r>
      <w:r>
        <w:rPr>
          <w:spacing w:val="-4"/>
          <w:sz w:val="20"/>
        </w:rPr>
        <w:t> </w:t>
      </w:r>
      <w:r>
        <w:rPr>
          <w:sz w:val="20"/>
        </w:rPr>
        <w:t>about</w:t>
      </w:r>
      <w:r>
        <w:rPr>
          <w:spacing w:val="-3"/>
          <w:sz w:val="20"/>
        </w:rPr>
        <w:t> </w:t>
      </w:r>
      <w:r>
        <w:rPr>
          <w:sz w:val="20"/>
        </w:rPr>
        <w:t>adjustments,</w:t>
      </w:r>
      <w:r>
        <w:rPr>
          <w:spacing w:val="-3"/>
          <w:sz w:val="20"/>
        </w:rPr>
        <w:t> </w:t>
      </w:r>
      <w:r>
        <w:rPr>
          <w:sz w:val="20"/>
        </w:rPr>
        <w:t>they</w:t>
      </w:r>
      <w:r>
        <w:rPr>
          <w:spacing w:val="-9"/>
          <w:sz w:val="20"/>
        </w:rPr>
        <w:t> </w:t>
      </w:r>
      <w:r>
        <w:rPr>
          <w:sz w:val="20"/>
        </w:rPr>
        <w:t>can</w:t>
      </w:r>
      <w:r>
        <w:rPr>
          <w:spacing w:val="-3"/>
          <w:sz w:val="20"/>
        </w:rPr>
        <w:t> </w:t>
      </w:r>
      <w:r>
        <w:rPr>
          <w:sz w:val="20"/>
        </w:rPr>
        <w:t>raise</w:t>
      </w:r>
      <w:r>
        <w:rPr>
          <w:spacing w:val="-4"/>
          <w:sz w:val="20"/>
        </w:rPr>
        <w:t> </w:t>
      </w:r>
      <w:r>
        <w:rPr>
          <w:sz w:val="20"/>
        </w:rPr>
        <w:t>them</w:t>
      </w:r>
      <w:r>
        <w:rPr>
          <w:spacing w:val="-9"/>
          <w:sz w:val="20"/>
        </w:rPr>
        <w:t> </w:t>
      </w:r>
      <w:r>
        <w:rPr>
          <w:sz w:val="20"/>
        </w:rPr>
        <w:t>with the court.</w:t>
      </w:r>
      <w:r>
        <w:rPr>
          <w:position w:val="7"/>
          <w:sz w:val="11"/>
        </w:rPr>
        <w:t>45</w:t>
      </w:r>
    </w:p>
    <w:p>
      <w:pPr>
        <w:spacing w:before="126"/>
        <w:ind w:left="967" w:right="0" w:firstLine="0"/>
        <w:jc w:val="left"/>
        <w:rPr>
          <w:b/>
          <w:sz w:val="24"/>
        </w:rPr>
      </w:pPr>
      <w:r>
        <w:rPr>
          <w:b/>
          <w:sz w:val="24"/>
        </w:rPr>
        <w:t>Juries Victoria’s proposed approach</w:t>
      </w:r>
    </w:p>
    <w:p>
      <w:pPr>
        <w:pStyle w:val="ListParagraph"/>
        <w:numPr>
          <w:ilvl w:val="1"/>
          <w:numId w:val="12"/>
        </w:numPr>
        <w:tabs>
          <w:tab w:pos="1761" w:val="left" w:leader="none"/>
          <w:tab w:pos="1762" w:val="left" w:leader="none"/>
        </w:tabs>
        <w:spacing w:line="206" w:lineRule="auto" w:before="127" w:after="0"/>
        <w:ind w:left="1761" w:right="1515" w:hanging="794"/>
        <w:jc w:val="left"/>
        <w:rPr>
          <w:sz w:val="11"/>
        </w:rPr>
      </w:pPr>
      <w:r>
        <w:rPr>
          <w:sz w:val="20"/>
        </w:rPr>
        <w:t>Juries</w:t>
      </w:r>
      <w:r>
        <w:rPr>
          <w:spacing w:val="-10"/>
          <w:sz w:val="20"/>
        </w:rPr>
        <w:t> </w:t>
      </w:r>
      <w:r>
        <w:rPr>
          <w:sz w:val="20"/>
        </w:rPr>
        <w:t>Victoria</w:t>
      </w:r>
      <w:r>
        <w:rPr>
          <w:spacing w:val="-9"/>
          <w:sz w:val="20"/>
        </w:rPr>
        <w:t> </w:t>
      </w:r>
      <w:r>
        <w:rPr>
          <w:sz w:val="20"/>
        </w:rPr>
        <w:t>submitted</w:t>
      </w:r>
      <w:r>
        <w:rPr>
          <w:spacing w:val="-9"/>
          <w:sz w:val="20"/>
        </w:rPr>
        <w:t> </w:t>
      </w:r>
      <w:r>
        <w:rPr>
          <w:sz w:val="20"/>
        </w:rPr>
        <w:t>that</w:t>
      </w:r>
      <w:r>
        <w:rPr>
          <w:spacing w:val="-10"/>
          <w:sz w:val="20"/>
        </w:rPr>
        <w:t> </w:t>
      </w:r>
      <w:r>
        <w:rPr>
          <w:sz w:val="20"/>
        </w:rPr>
        <w:t>a</w:t>
      </w:r>
      <w:r>
        <w:rPr>
          <w:spacing w:val="-9"/>
          <w:sz w:val="20"/>
        </w:rPr>
        <w:t> </w:t>
      </w:r>
      <w:r>
        <w:rPr>
          <w:sz w:val="20"/>
        </w:rPr>
        <w:t>‘trial</w:t>
      </w:r>
      <w:r>
        <w:rPr>
          <w:spacing w:val="-9"/>
          <w:sz w:val="20"/>
        </w:rPr>
        <w:t> </w:t>
      </w:r>
      <w:r>
        <w:rPr>
          <w:sz w:val="20"/>
        </w:rPr>
        <w:t>judge</w:t>
      </w:r>
      <w:r>
        <w:rPr>
          <w:spacing w:val="-10"/>
          <w:sz w:val="20"/>
        </w:rPr>
        <w:t> </w:t>
      </w:r>
      <w:r>
        <w:rPr>
          <w:spacing w:val="-3"/>
          <w:sz w:val="20"/>
        </w:rPr>
        <w:t>may</w:t>
      </w:r>
      <w:r>
        <w:rPr>
          <w:spacing w:val="-9"/>
          <w:sz w:val="20"/>
        </w:rPr>
        <w:t> </w:t>
      </w:r>
      <w:r>
        <w:rPr>
          <w:sz w:val="20"/>
        </w:rPr>
        <w:t>not</w:t>
      </w:r>
      <w:r>
        <w:rPr>
          <w:spacing w:val="-9"/>
          <w:sz w:val="20"/>
        </w:rPr>
        <w:t> </w:t>
      </w:r>
      <w:r>
        <w:rPr>
          <w:sz w:val="20"/>
        </w:rPr>
        <w:t>be</w:t>
      </w:r>
      <w:r>
        <w:rPr>
          <w:spacing w:val="-10"/>
          <w:sz w:val="20"/>
        </w:rPr>
        <w:t> </w:t>
      </w:r>
      <w:r>
        <w:rPr>
          <w:sz w:val="20"/>
        </w:rPr>
        <w:t>best</w:t>
      </w:r>
      <w:r>
        <w:rPr>
          <w:spacing w:val="-9"/>
          <w:sz w:val="20"/>
        </w:rPr>
        <w:t> </w:t>
      </w:r>
      <w:r>
        <w:rPr>
          <w:sz w:val="20"/>
        </w:rPr>
        <w:t>placed</w:t>
      </w:r>
      <w:r>
        <w:rPr>
          <w:spacing w:val="-9"/>
          <w:sz w:val="20"/>
        </w:rPr>
        <w:t> </w:t>
      </w:r>
      <w:r>
        <w:rPr>
          <w:sz w:val="20"/>
        </w:rPr>
        <w:t>to</w:t>
      </w:r>
      <w:r>
        <w:rPr>
          <w:spacing w:val="-10"/>
          <w:sz w:val="20"/>
        </w:rPr>
        <w:t> </w:t>
      </w:r>
      <w:r>
        <w:rPr>
          <w:sz w:val="20"/>
        </w:rPr>
        <w:t>be</w:t>
      </w:r>
      <w:r>
        <w:rPr>
          <w:spacing w:val="-9"/>
          <w:sz w:val="20"/>
        </w:rPr>
        <w:t> </w:t>
      </w:r>
      <w:r>
        <w:rPr>
          <w:sz w:val="20"/>
        </w:rPr>
        <w:t>the</w:t>
      </w:r>
      <w:r>
        <w:rPr>
          <w:spacing w:val="-9"/>
          <w:sz w:val="20"/>
        </w:rPr>
        <w:t> </w:t>
      </w:r>
      <w:r>
        <w:rPr>
          <w:sz w:val="20"/>
        </w:rPr>
        <w:t>primary assessor</w:t>
      </w:r>
      <w:r>
        <w:rPr>
          <w:spacing w:val="-10"/>
          <w:sz w:val="20"/>
        </w:rPr>
        <w:t> </w:t>
      </w:r>
      <w:r>
        <w:rPr>
          <w:sz w:val="20"/>
        </w:rPr>
        <w:t>as</w:t>
      </w:r>
      <w:r>
        <w:rPr>
          <w:spacing w:val="-9"/>
          <w:sz w:val="20"/>
        </w:rPr>
        <w:t> </w:t>
      </w:r>
      <w:r>
        <w:rPr>
          <w:sz w:val="20"/>
        </w:rPr>
        <w:t>to</w:t>
      </w:r>
      <w:r>
        <w:rPr>
          <w:spacing w:val="-9"/>
          <w:sz w:val="20"/>
        </w:rPr>
        <w:t> </w:t>
      </w:r>
      <w:r>
        <w:rPr>
          <w:sz w:val="20"/>
        </w:rPr>
        <w:t>whether</w:t>
      </w:r>
      <w:r>
        <w:rPr>
          <w:spacing w:val="-9"/>
          <w:sz w:val="20"/>
        </w:rPr>
        <w:t> </w:t>
      </w:r>
      <w:r>
        <w:rPr>
          <w:sz w:val="20"/>
        </w:rPr>
        <w:t>or</w:t>
      </w:r>
      <w:r>
        <w:rPr>
          <w:spacing w:val="-9"/>
          <w:sz w:val="20"/>
        </w:rPr>
        <w:t> </w:t>
      </w:r>
      <w:r>
        <w:rPr>
          <w:sz w:val="20"/>
        </w:rPr>
        <w:t>not</w:t>
      </w:r>
      <w:r>
        <w:rPr>
          <w:spacing w:val="-10"/>
          <w:sz w:val="20"/>
        </w:rPr>
        <w:t> </w:t>
      </w:r>
      <w:r>
        <w:rPr>
          <w:sz w:val="20"/>
        </w:rPr>
        <w:t>a</w:t>
      </w:r>
      <w:r>
        <w:rPr>
          <w:spacing w:val="-9"/>
          <w:sz w:val="20"/>
        </w:rPr>
        <w:t> </w:t>
      </w:r>
      <w:r>
        <w:rPr>
          <w:sz w:val="20"/>
        </w:rPr>
        <w:t>person’</w:t>
      </w:r>
      <w:r>
        <w:rPr>
          <w:spacing w:val="-9"/>
          <w:sz w:val="20"/>
        </w:rPr>
        <w:t> </w:t>
      </w:r>
      <w:r>
        <w:rPr>
          <w:spacing w:val="-3"/>
          <w:sz w:val="20"/>
        </w:rPr>
        <w:t>from</w:t>
      </w:r>
      <w:r>
        <w:rPr>
          <w:spacing w:val="-9"/>
          <w:sz w:val="20"/>
        </w:rPr>
        <w:t> </w:t>
      </w:r>
      <w:r>
        <w:rPr>
          <w:sz w:val="20"/>
        </w:rPr>
        <w:t>the</w:t>
      </w:r>
      <w:r>
        <w:rPr>
          <w:spacing w:val="-9"/>
          <w:sz w:val="20"/>
        </w:rPr>
        <w:t> </w:t>
      </w:r>
      <w:r>
        <w:rPr>
          <w:sz w:val="20"/>
        </w:rPr>
        <w:t>subject</w:t>
      </w:r>
      <w:r>
        <w:rPr>
          <w:spacing w:val="-9"/>
          <w:sz w:val="20"/>
        </w:rPr>
        <w:t> </w:t>
      </w:r>
      <w:r>
        <w:rPr>
          <w:sz w:val="20"/>
        </w:rPr>
        <w:t>groups</w:t>
      </w:r>
      <w:r>
        <w:rPr>
          <w:spacing w:val="-10"/>
          <w:sz w:val="20"/>
        </w:rPr>
        <w:t> </w:t>
      </w:r>
      <w:r>
        <w:rPr>
          <w:sz w:val="20"/>
        </w:rPr>
        <w:t>can</w:t>
      </w:r>
      <w:r>
        <w:rPr>
          <w:spacing w:val="-9"/>
          <w:sz w:val="20"/>
        </w:rPr>
        <w:t> </w:t>
      </w:r>
      <w:r>
        <w:rPr>
          <w:sz w:val="20"/>
        </w:rPr>
        <w:t>discharge</w:t>
      </w:r>
      <w:r>
        <w:rPr>
          <w:spacing w:val="-9"/>
          <w:sz w:val="20"/>
        </w:rPr>
        <w:t> </w:t>
      </w:r>
      <w:r>
        <w:rPr>
          <w:sz w:val="20"/>
        </w:rPr>
        <w:t>their duties. It argued that </w:t>
      </w:r>
      <w:r>
        <w:rPr>
          <w:spacing w:val="-4"/>
          <w:sz w:val="20"/>
        </w:rPr>
        <w:t>‘any </w:t>
      </w:r>
      <w:r>
        <w:rPr>
          <w:sz w:val="20"/>
        </w:rPr>
        <w:t>assessment </w:t>
      </w:r>
      <w:r>
        <w:rPr>
          <w:spacing w:val="-3"/>
          <w:sz w:val="20"/>
        </w:rPr>
        <w:t>by </w:t>
      </w:r>
      <w:r>
        <w:rPr>
          <w:sz w:val="20"/>
        </w:rPr>
        <w:t>the trial judge cannot be the first or </w:t>
      </w:r>
      <w:r>
        <w:rPr>
          <w:spacing w:val="-3"/>
          <w:sz w:val="20"/>
        </w:rPr>
        <w:t>only </w:t>
      </w:r>
      <w:r>
        <w:rPr>
          <w:sz w:val="20"/>
        </w:rPr>
        <w:t>assessment </w:t>
      </w:r>
      <w:r>
        <w:rPr>
          <w:spacing w:val="-3"/>
          <w:sz w:val="20"/>
        </w:rPr>
        <w:t>made’ </w:t>
      </w:r>
      <w:r>
        <w:rPr>
          <w:sz w:val="20"/>
        </w:rPr>
        <w:t>nor the most</w:t>
      </w:r>
      <w:r>
        <w:rPr>
          <w:spacing w:val="-18"/>
          <w:sz w:val="20"/>
        </w:rPr>
        <w:t> </w:t>
      </w:r>
      <w:r>
        <w:rPr>
          <w:sz w:val="20"/>
        </w:rPr>
        <w:t>detailed.</w:t>
      </w:r>
      <w:r>
        <w:rPr>
          <w:position w:val="7"/>
          <w:sz w:val="11"/>
        </w:rPr>
        <w:t>46</w:t>
      </w:r>
    </w:p>
    <w:p>
      <w:pPr>
        <w:pStyle w:val="BodyText"/>
      </w:pPr>
    </w:p>
    <w:p>
      <w:pPr>
        <w:pStyle w:val="BodyText"/>
      </w:pPr>
    </w:p>
    <w:p>
      <w:pPr>
        <w:pStyle w:val="BodyText"/>
      </w:pPr>
    </w:p>
    <w:p>
      <w:pPr>
        <w:pStyle w:val="BodyText"/>
        <w:spacing w:before="1"/>
        <w:rPr>
          <w:sz w:val="18"/>
        </w:rPr>
      </w:pPr>
      <w:r>
        <w:rPr/>
        <w:pict>
          <v:line style="position:absolute;mso-position-horizontal-relative:page;mso-position-vertical-relative:paragraph;z-index:7400;mso-wrap-distance-left:0;mso-wrap-distance-right:0" from="79.370102pt,15.0321pt" to="515.905102pt,15.0321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87"/>
        </w:numPr>
        <w:tabs>
          <w:tab w:pos="1761" w:val="left" w:leader="none"/>
          <w:tab w:pos="1762" w:val="left" w:leader="none"/>
        </w:tabs>
        <w:spacing w:line="170" w:lineRule="exact" w:before="21" w:after="0"/>
        <w:ind w:left="1761" w:right="0" w:hanging="794"/>
        <w:jc w:val="left"/>
        <w:rPr>
          <w:sz w:val="13"/>
        </w:rPr>
      </w:pPr>
      <w:r>
        <w:rPr>
          <w:spacing w:val="2"/>
          <w:sz w:val="13"/>
        </w:rPr>
        <w:t>Ibid.</w:t>
      </w:r>
    </w:p>
    <w:p>
      <w:pPr>
        <w:pStyle w:val="ListParagraph"/>
        <w:numPr>
          <w:ilvl w:val="0"/>
          <w:numId w:val="87"/>
        </w:numPr>
        <w:tabs>
          <w:tab w:pos="1761" w:val="left" w:leader="none"/>
          <w:tab w:pos="1762" w:val="left" w:leader="none"/>
        </w:tabs>
        <w:spacing w:line="170" w:lineRule="exact" w:before="0" w:after="0"/>
        <w:ind w:left="1761" w:right="0" w:hanging="794"/>
        <w:jc w:val="left"/>
        <w:rPr>
          <w:sz w:val="13"/>
        </w:rPr>
      </w:pPr>
      <w:r>
        <w:rPr>
          <w:spacing w:val="2"/>
          <w:sz w:val="13"/>
        </w:rPr>
        <w:t>Submission </w:t>
      </w:r>
      <w:r>
        <w:rPr>
          <w:sz w:val="13"/>
        </w:rPr>
        <w:t>13 </w:t>
      </w:r>
      <w:r>
        <w:rPr>
          <w:spacing w:val="2"/>
          <w:sz w:val="13"/>
        </w:rPr>
        <w:t>(Juries</w:t>
      </w:r>
      <w:r>
        <w:rPr>
          <w:spacing w:val="12"/>
          <w:sz w:val="13"/>
        </w:rPr>
        <w:t> </w:t>
      </w:r>
      <w:r>
        <w:rPr>
          <w:sz w:val="13"/>
        </w:rPr>
        <w:t>Victoria).</w:t>
      </w:r>
    </w:p>
    <w:p>
      <w:pPr>
        <w:spacing w:before="54"/>
        <w:ind w:left="967" w:right="0" w:firstLine="0"/>
        <w:jc w:val="left"/>
        <w:rPr>
          <w:b/>
          <w:sz w:val="24"/>
        </w:rPr>
      </w:pPr>
      <w:r>
        <w:rPr/>
        <w:br w:type="column"/>
      </w:r>
      <w:r>
        <w:rPr>
          <w:b/>
          <w:color w:val="37617A"/>
          <w:sz w:val="24"/>
        </w:rPr>
        <w:t>129</w:t>
      </w:r>
    </w:p>
    <w:p>
      <w:pPr>
        <w:spacing w:after="0"/>
        <w:jc w:val="left"/>
        <w:rPr>
          <w:sz w:val="24"/>
        </w:rPr>
        <w:sectPr>
          <w:type w:val="continuous"/>
          <w:pgSz w:w="11910" w:h="16840"/>
          <w:pgMar w:top="620" w:bottom="280" w:left="620" w:right="380"/>
          <w:cols w:num="2" w:equalWidth="0">
            <w:col w:w="3686" w:space="5641"/>
            <w:col w:w="1583"/>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1" w:val="left" w:leader="none"/>
          <w:tab w:pos="1762" w:val="left" w:leader="none"/>
        </w:tabs>
        <w:spacing w:line="206" w:lineRule="auto" w:before="0" w:after="0"/>
        <w:ind w:left="1761" w:right="1339" w:hanging="794"/>
        <w:jc w:val="left"/>
        <w:rPr>
          <w:sz w:val="20"/>
        </w:rPr>
      </w:pPr>
      <w:bookmarkStart w:name="_bookmark94" w:id="230"/>
      <w:bookmarkEnd w:id="230"/>
      <w:r>
        <w:rPr/>
      </w:r>
      <w:bookmarkStart w:name="_bookmark94" w:id="231"/>
      <w:bookmarkEnd w:id="231"/>
      <w:r>
        <w:rPr>
          <w:sz w:val="20"/>
        </w:rPr>
        <w:t>J</w:t>
      </w:r>
      <w:r>
        <w:rPr>
          <w:sz w:val="20"/>
        </w:rPr>
        <w:t>uries Victoria raised concerns that the random balloting process means that trial judges</w:t>
      </w:r>
      <w:r>
        <w:rPr>
          <w:spacing w:val="-9"/>
          <w:sz w:val="20"/>
        </w:rPr>
        <w:t> </w:t>
      </w:r>
      <w:r>
        <w:rPr>
          <w:spacing w:val="-3"/>
          <w:sz w:val="20"/>
        </w:rPr>
        <w:t>would</w:t>
      </w:r>
      <w:r>
        <w:rPr>
          <w:spacing w:val="-9"/>
          <w:sz w:val="20"/>
        </w:rPr>
        <w:t> </w:t>
      </w:r>
      <w:r>
        <w:rPr>
          <w:sz w:val="20"/>
        </w:rPr>
        <w:t>be</w:t>
      </w:r>
      <w:r>
        <w:rPr>
          <w:spacing w:val="-9"/>
          <w:sz w:val="20"/>
        </w:rPr>
        <w:t> </w:t>
      </w:r>
      <w:r>
        <w:rPr>
          <w:sz w:val="20"/>
        </w:rPr>
        <w:t>unable</w:t>
      </w:r>
      <w:r>
        <w:rPr>
          <w:spacing w:val="-9"/>
          <w:sz w:val="20"/>
        </w:rPr>
        <w:t> </w:t>
      </w:r>
      <w:r>
        <w:rPr>
          <w:sz w:val="20"/>
        </w:rPr>
        <w:t>to</w:t>
      </w:r>
      <w:r>
        <w:rPr>
          <w:spacing w:val="-9"/>
          <w:sz w:val="20"/>
        </w:rPr>
        <w:t> </w:t>
      </w:r>
      <w:r>
        <w:rPr>
          <w:spacing w:val="-3"/>
          <w:sz w:val="20"/>
        </w:rPr>
        <w:t>make</w:t>
      </w:r>
      <w:r>
        <w:rPr>
          <w:spacing w:val="-9"/>
          <w:sz w:val="20"/>
        </w:rPr>
        <w:t> </w:t>
      </w:r>
      <w:r>
        <w:rPr>
          <w:sz w:val="20"/>
        </w:rPr>
        <w:t>a</w:t>
      </w:r>
      <w:r>
        <w:rPr>
          <w:spacing w:val="-9"/>
          <w:sz w:val="20"/>
        </w:rPr>
        <w:t> </w:t>
      </w:r>
      <w:r>
        <w:rPr>
          <w:sz w:val="20"/>
        </w:rPr>
        <w:t>decision</w:t>
      </w:r>
      <w:r>
        <w:rPr>
          <w:spacing w:val="-9"/>
          <w:sz w:val="20"/>
        </w:rPr>
        <w:t> </w:t>
      </w:r>
      <w:r>
        <w:rPr>
          <w:sz w:val="20"/>
        </w:rPr>
        <w:t>ahead</w:t>
      </w:r>
      <w:r>
        <w:rPr>
          <w:spacing w:val="-9"/>
          <w:sz w:val="20"/>
        </w:rPr>
        <w:t> </w:t>
      </w:r>
      <w:r>
        <w:rPr>
          <w:sz w:val="20"/>
        </w:rPr>
        <w:t>of</w:t>
      </w:r>
      <w:r>
        <w:rPr>
          <w:spacing w:val="-9"/>
          <w:sz w:val="20"/>
        </w:rPr>
        <w:t> </w:t>
      </w:r>
      <w:r>
        <w:rPr>
          <w:sz w:val="20"/>
        </w:rPr>
        <w:t>the</w:t>
      </w:r>
      <w:r>
        <w:rPr>
          <w:spacing w:val="-9"/>
          <w:sz w:val="20"/>
        </w:rPr>
        <w:t> </w:t>
      </w:r>
      <w:r>
        <w:rPr>
          <w:sz w:val="20"/>
        </w:rPr>
        <w:t>empanelment</w:t>
      </w:r>
      <w:r>
        <w:rPr>
          <w:spacing w:val="-9"/>
          <w:sz w:val="20"/>
        </w:rPr>
        <w:t> </w:t>
      </w:r>
      <w:r>
        <w:rPr>
          <w:sz w:val="20"/>
        </w:rPr>
        <w:t>process.</w:t>
      </w:r>
      <w:r>
        <w:rPr>
          <w:spacing w:val="-9"/>
          <w:sz w:val="20"/>
        </w:rPr>
        <w:t> </w:t>
      </w:r>
      <w:r>
        <w:rPr>
          <w:sz w:val="20"/>
        </w:rPr>
        <w:t>It</w:t>
      </w:r>
      <w:r>
        <w:rPr>
          <w:spacing w:val="-9"/>
          <w:sz w:val="20"/>
        </w:rPr>
        <w:t> </w:t>
      </w:r>
      <w:r>
        <w:rPr>
          <w:sz w:val="20"/>
        </w:rPr>
        <w:t>did not</w:t>
      </w:r>
      <w:r>
        <w:rPr>
          <w:spacing w:val="-8"/>
          <w:sz w:val="20"/>
        </w:rPr>
        <w:t> </w:t>
      </w:r>
      <w:r>
        <w:rPr>
          <w:sz w:val="20"/>
        </w:rPr>
        <w:t>support</w:t>
      </w:r>
      <w:r>
        <w:rPr>
          <w:spacing w:val="-7"/>
          <w:sz w:val="20"/>
        </w:rPr>
        <w:t> </w:t>
      </w:r>
      <w:r>
        <w:rPr>
          <w:sz w:val="20"/>
        </w:rPr>
        <w:t>delaying</w:t>
      </w:r>
      <w:r>
        <w:rPr>
          <w:spacing w:val="-8"/>
          <w:sz w:val="20"/>
        </w:rPr>
        <w:t> </w:t>
      </w:r>
      <w:r>
        <w:rPr>
          <w:sz w:val="20"/>
        </w:rPr>
        <w:t>empanelment</w:t>
      </w:r>
      <w:r>
        <w:rPr>
          <w:spacing w:val="-7"/>
          <w:sz w:val="20"/>
        </w:rPr>
        <w:t> </w:t>
      </w:r>
      <w:r>
        <w:rPr>
          <w:sz w:val="20"/>
        </w:rPr>
        <w:t>to</w:t>
      </w:r>
      <w:r>
        <w:rPr>
          <w:spacing w:val="-8"/>
          <w:sz w:val="20"/>
        </w:rPr>
        <w:t> </w:t>
      </w:r>
      <w:r>
        <w:rPr>
          <w:spacing w:val="-3"/>
          <w:sz w:val="20"/>
        </w:rPr>
        <w:t>make</w:t>
      </w:r>
      <w:r>
        <w:rPr>
          <w:spacing w:val="-7"/>
          <w:sz w:val="20"/>
        </w:rPr>
        <w:t> </w:t>
      </w:r>
      <w:r>
        <w:rPr>
          <w:sz w:val="20"/>
        </w:rPr>
        <w:t>this</w:t>
      </w:r>
      <w:r>
        <w:rPr>
          <w:spacing w:val="-8"/>
          <w:sz w:val="20"/>
        </w:rPr>
        <w:t> </w:t>
      </w:r>
      <w:r>
        <w:rPr>
          <w:sz w:val="20"/>
        </w:rPr>
        <w:t>assessment</w:t>
      </w:r>
      <w:r>
        <w:rPr>
          <w:spacing w:val="-7"/>
          <w:sz w:val="20"/>
        </w:rPr>
        <w:t> </w:t>
      </w:r>
      <w:r>
        <w:rPr>
          <w:sz w:val="20"/>
        </w:rPr>
        <w:t>because</w:t>
      </w:r>
      <w:r>
        <w:rPr>
          <w:spacing w:val="-7"/>
          <w:sz w:val="20"/>
        </w:rPr>
        <w:t> </w:t>
      </w:r>
      <w:r>
        <w:rPr>
          <w:sz w:val="20"/>
        </w:rPr>
        <w:t>this</w:t>
      </w:r>
      <w:r>
        <w:rPr>
          <w:spacing w:val="-8"/>
          <w:sz w:val="20"/>
        </w:rPr>
        <w:t> </w:t>
      </w:r>
      <w:r>
        <w:rPr>
          <w:spacing w:val="-3"/>
          <w:sz w:val="20"/>
        </w:rPr>
        <w:t>would:</w:t>
      </w:r>
    </w:p>
    <w:p>
      <w:pPr>
        <w:pStyle w:val="ListParagraph"/>
        <w:numPr>
          <w:ilvl w:val="2"/>
          <w:numId w:val="12"/>
        </w:numPr>
        <w:tabs>
          <w:tab w:pos="2157" w:val="left" w:leader="none"/>
          <w:tab w:pos="2158" w:val="left" w:leader="none"/>
        </w:tabs>
        <w:spacing w:line="240" w:lineRule="auto" w:before="92" w:after="0"/>
        <w:ind w:left="2157" w:right="0" w:hanging="396"/>
        <w:jc w:val="left"/>
        <w:rPr>
          <w:sz w:val="20"/>
        </w:rPr>
      </w:pPr>
      <w:r>
        <w:rPr>
          <w:sz w:val="20"/>
        </w:rPr>
        <w:t>‘significantly single out the </w:t>
      </w:r>
      <w:r>
        <w:rPr>
          <w:spacing w:val="-3"/>
          <w:sz w:val="20"/>
        </w:rPr>
        <w:t>person’, </w:t>
      </w:r>
      <w:r>
        <w:rPr>
          <w:sz w:val="20"/>
        </w:rPr>
        <w:t>potentially causing</w:t>
      </w:r>
      <w:r>
        <w:rPr>
          <w:spacing w:val="-35"/>
          <w:sz w:val="20"/>
        </w:rPr>
        <w:t> </w:t>
      </w:r>
      <w:r>
        <w:rPr>
          <w:sz w:val="20"/>
        </w:rPr>
        <w:t>distress.</w:t>
      </w:r>
    </w:p>
    <w:p>
      <w:pPr>
        <w:pStyle w:val="ListParagraph"/>
        <w:numPr>
          <w:ilvl w:val="2"/>
          <w:numId w:val="12"/>
        </w:numPr>
        <w:tabs>
          <w:tab w:pos="2157" w:val="left" w:leader="none"/>
          <w:tab w:pos="2158" w:val="left" w:leader="none"/>
        </w:tabs>
        <w:spacing w:line="206" w:lineRule="auto" w:before="79" w:after="0"/>
        <w:ind w:left="2157" w:right="1460" w:hanging="396"/>
        <w:jc w:val="left"/>
        <w:rPr>
          <w:sz w:val="20"/>
        </w:rPr>
      </w:pPr>
      <w:r>
        <w:rPr>
          <w:sz w:val="20"/>
        </w:rPr>
        <w:t>the remainder of the panel </w:t>
      </w:r>
      <w:r>
        <w:rPr>
          <w:spacing w:val="-3"/>
          <w:sz w:val="20"/>
        </w:rPr>
        <w:t>would </w:t>
      </w:r>
      <w:r>
        <w:rPr>
          <w:sz w:val="20"/>
        </w:rPr>
        <w:t>need to wait outside the courtroom, raising concerns</w:t>
      </w:r>
      <w:r>
        <w:rPr>
          <w:spacing w:val="-12"/>
          <w:sz w:val="20"/>
        </w:rPr>
        <w:t> </w:t>
      </w:r>
      <w:r>
        <w:rPr>
          <w:sz w:val="20"/>
        </w:rPr>
        <w:t>about</w:t>
      </w:r>
      <w:r>
        <w:rPr>
          <w:spacing w:val="-12"/>
          <w:sz w:val="20"/>
        </w:rPr>
        <w:t> </w:t>
      </w:r>
      <w:r>
        <w:rPr>
          <w:sz w:val="20"/>
        </w:rPr>
        <w:t>the</w:t>
      </w:r>
      <w:r>
        <w:rPr>
          <w:spacing w:val="-12"/>
          <w:sz w:val="20"/>
        </w:rPr>
        <w:t> </w:t>
      </w:r>
      <w:r>
        <w:rPr>
          <w:sz w:val="20"/>
        </w:rPr>
        <w:t>risk</w:t>
      </w:r>
      <w:r>
        <w:rPr>
          <w:spacing w:val="-12"/>
          <w:sz w:val="20"/>
        </w:rPr>
        <w:t> </w:t>
      </w:r>
      <w:r>
        <w:rPr>
          <w:sz w:val="20"/>
        </w:rPr>
        <w:t>of</w:t>
      </w:r>
      <w:r>
        <w:rPr>
          <w:spacing w:val="-12"/>
          <w:sz w:val="20"/>
        </w:rPr>
        <w:t> </w:t>
      </w:r>
      <w:r>
        <w:rPr>
          <w:sz w:val="20"/>
        </w:rPr>
        <w:t>contamination</w:t>
      </w:r>
      <w:r>
        <w:rPr>
          <w:spacing w:val="-12"/>
          <w:sz w:val="20"/>
        </w:rPr>
        <w:t> </w:t>
      </w:r>
      <w:r>
        <w:rPr>
          <w:sz w:val="20"/>
        </w:rPr>
        <w:t>of</w:t>
      </w:r>
      <w:r>
        <w:rPr>
          <w:spacing w:val="-12"/>
          <w:sz w:val="20"/>
        </w:rPr>
        <w:t> </w:t>
      </w:r>
      <w:r>
        <w:rPr>
          <w:sz w:val="20"/>
        </w:rPr>
        <w:t>the</w:t>
      </w:r>
      <w:r>
        <w:rPr>
          <w:spacing w:val="-12"/>
          <w:sz w:val="20"/>
        </w:rPr>
        <w:t> </w:t>
      </w:r>
      <w:r>
        <w:rPr>
          <w:sz w:val="20"/>
        </w:rPr>
        <w:t>jury</w:t>
      </w:r>
      <w:r>
        <w:rPr>
          <w:spacing w:val="-11"/>
          <w:sz w:val="20"/>
        </w:rPr>
        <w:t> </w:t>
      </w:r>
      <w:r>
        <w:rPr>
          <w:sz w:val="20"/>
        </w:rPr>
        <w:t>and</w:t>
      </w:r>
      <w:r>
        <w:rPr>
          <w:spacing w:val="-12"/>
          <w:sz w:val="20"/>
        </w:rPr>
        <w:t> </w:t>
      </w:r>
      <w:r>
        <w:rPr>
          <w:sz w:val="20"/>
        </w:rPr>
        <w:t>logistical</w:t>
      </w:r>
      <w:r>
        <w:rPr>
          <w:spacing w:val="-12"/>
          <w:sz w:val="20"/>
        </w:rPr>
        <w:t> </w:t>
      </w:r>
      <w:r>
        <w:rPr>
          <w:sz w:val="20"/>
        </w:rPr>
        <w:t>problems</w:t>
      </w:r>
      <w:r>
        <w:rPr>
          <w:spacing w:val="-12"/>
          <w:sz w:val="20"/>
        </w:rPr>
        <w:t> </w:t>
      </w:r>
      <w:r>
        <w:rPr>
          <w:sz w:val="20"/>
        </w:rPr>
        <w:t>with </w:t>
      </w:r>
      <w:r>
        <w:rPr>
          <w:spacing w:val="-3"/>
          <w:sz w:val="20"/>
        </w:rPr>
        <w:t>having ‘upwards </w:t>
      </w:r>
      <w:r>
        <w:rPr>
          <w:sz w:val="20"/>
        </w:rPr>
        <w:t>of 35 people clustered’ outside the</w:t>
      </w:r>
      <w:r>
        <w:rPr>
          <w:spacing w:val="-34"/>
          <w:sz w:val="20"/>
        </w:rPr>
        <w:t> </w:t>
      </w:r>
      <w:r>
        <w:rPr>
          <w:sz w:val="20"/>
        </w:rPr>
        <w:t>courtroom.</w:t>
      </w:r>
    </w:p>
    <w:p>
      <w:pPr>
        <w:pStyle w:val="ListParagraph"/>
        <w:numPr>
          <w:ilvl w:val="2"/>
          <w:numId w:val="12"/>
        </w:numPr>
        <w:tabs>
          <w:tab w:pos="2157" w:val="left" w:leader="none"/>
          <w:tab w:pos="2158" w:val="left" w:leader="none"/>
        </w:tabs>
        <w:spacing w:line="240" w:lineRule="auto" w:before="57" w:after="0"/>
        <w:ind w:left="2157" w:right="0" w:hanging="396"/>
        <w:jc w:val="left"/>
        <w:rPr>
          <w:sz w:val="20"/>
        </w:rPr>
      </w:pPr>
      <w:r>
        <w:rPr>
          <w:sz w:val="20"/>
        </w:rPr>
        <w:t>delay</w:t>
      </w:r>
      <w:r>
        <w:rPr>
          <w:spacing w:val="-5"/>
          <w:sz w:val="20"/>
        </w:rPr>
        <w:t> </w:t>
      </w:r>
      <w:r>
        <w:rPr>
          <w:sz w:val="20"/>
        </w:rPr>
        <w:t>empanelment.</w:t>
      </w:r>
    </w:p>
    <w:p>
      <w:pPr>
        <w:pStyle w:val="ListParagraph"/>
        <w:numPr>
          <w:ilvl w:val="1"/>
          <w:numId w:val="12"/>
        </w:numPr>
        <w:tabs>
          <w:tab w:pos="1761" w:val="left" w:leader="none"/>
          <w:tab w:pos="1762" w:val="left" w:leader="none"/>
        </w:tabs>
        <w:spacing w:line="312" w:lineRule="auto" w:before="47" w:after="0"/>
        <w:ind w:left="1761" w:right="3043" w:hanging="794"/>
        <w:jc w:val="left"/>
        <w:rPr>
          <w:sz w:val="20"/>
        </w:rPr>
      </w:pPr>
      <w:r>
        <w:rPr>
          <w:sz w:val="20"/>
        </w:rPr>
        <w:t>Instead,</w:t>
      </w:r>
      <w:r>
        <w:rPr>
          <w:spacing w:val="-10"/>
          <w:sz w:val="20"/>
        </w:rPr>
        <w:t> </w:t>
      </w:r>
      <w:r>
        <w:rPr>
          <w:sz w:val="20"/>
        </w:rPr>
        <w:t>Juries</w:t>
      </w:r>
      <w:r>
        <w:rPr>
          <w:spacing w:val="-9"/>
          <w:sz w:val="20"/>
        </w:rPr>
        <w:t> </w:t>
      </w:r>
      <w:r>
        <w:rPr>
          <w:sz w:val="20"/>
        </w:rPr>
        <w:t>Victoria</w:t>
      </w:r>
      <w:r>
        <w:rPr>
          <w:spacing w:val="-9"/>
          <w:sz w:val="20"/>
        </w:rPr>
        <w:t> </w:t>
      </w:r>
      <w:r>
        <w:rPr>
          <w:sz w:val="20"/>
        </w:rPr>
        <w:t>suggests</w:t>
      </w:r>
      <w:r>
        <w:rPr>
          <w:spacing w:val="-9"/>
          <w:sz w:val="20"/>
        </w:rPr>
        <w:t> </w:t>
      </w:r>
      <w:r>
        <w:rPr>
          <w:sz w:val="20"/>
        </w:rPr>
        <w:t>the</w:t>
      </w:r>
      <w:r>
        <w:rPr>
          <w:spacing w:val="-9"/>
          <w:sz w:val="20"/>
        </w:rPr>
        <w:t> </w:t>
      </w:r>
      <w:r>
        <w:rPr>
          <w:spacing w:val="-3"/>
          <w:sz w:val="20"/>
        </w:rPr>
        <w:t>following</w:t>
      </w:r>
      <w:r>
        <w:rPr>
          <w:spacing w:val="-9"/>
          <w:sz w:val="20"/>
        </w:rPr>
        <w:t> </w:t>
      </w:r>
      <w:r>
        <w:rPr>
          <w:sz w:val="20"/>
        </w:rPr>
        <w:t>assessment</w:t>
      </w:r>
      <w:r>
        <w:rPr>
          <w:spacing w:val="-10"/>
          <w:sz w:val="20"/>
        </w:rPr>
        <w:t> </w:t>
      </w:r>
      <w:r>
        <w:rPr>
          <w:spacing w:val="-3"/>
          <w:sz w:val="20"/>
        </w:rPr>
        <w:t>process: </w:t>
      </w:r>
      <w:r>
        <w:rPr>
          <w:sz w:val="20"/>
        </w:rPr>
        <w:t>Informing Juries Victoria about</w:t>
      </w:r>
      <w:r>
        <w:rPr>
          <w:spacing w:val="-10"/>
          <w:sz w:val="20"/>
        </w:rPr>
        <w:t> </w:t>
      </w:r>
      <w:r>
        <w:rPr>
          <w:sz w:val="20"/>
        </w:rPr>
        <w:t>disability</w:t>
      </w:r>
    </w:p>
    <w:p>
      <w:pPr>
        <w:pStyle w:val="ListParagraph"/>
        <w:numPr>
          <w:ilvl w:val="2"/>
          <w:numId w:val="12"/>
        </w:numPr>
        <w:tabs>
          <w:tab w:pos="2157" w:val="left" w:leader="none"/>
          <w:tab w:pos="2158" w:val="left" w:leader="none"/>
        </w:tabs>
        <w:spacing w:line="206" w:lineRule="auto" w:before="31" w:after="0"/>
        <w:ind w:left="2157" w:right="1409" w:hanging="396"/>
        <w:jc w:val="left"/>
        <w:rPr>
          <w:sz w:val="20"/>
        </w:rPr>
      </w:pPr>
      <w:r>
        <w:rPr>
          <w:sz w:val="20"/>
        </w:rPr>
        <w:t>The jury management system could alert Juries Victoria when a person summonsed</w:t>
      </w:r>
      <w:r>
        <w:rPr>
          <w:spacing w:val="-13"/>
          <w:sz w:val="20"/>
        </w:rPr>
        <w:t> </w:t>
      </w:r>
      <w:r>
        <w:rPr>
          <w:sz w:val="20"/>
        </w:rPr>
        <w:t>had</w:t>
      </w:r>
      <w:r>
        <w:rPr>
          <w:spacing w:val="-13"/>
          <w:sz w:val="20"/>
        </w:rPr>
        <w:t> </w:t>
      </w:r>
      <w:r>
        <w:rPr>
          <w:sz w:val="20"/>
        </w:rPr>
        <w:t>earlier</w:t>
      </w:r>
      <w:r>
        <w:rPr>
          <w:spacing w:val="-13"/>
          <w:sz w:val="20"/>
        </w:rPr>
        <w:t> </w:t>
      </w:r>
      <w:r>
        <w:rPr>
          <w:sz w:val="20"/>
        </w:rPr>
        <w:t>indicated</w:t>
      </w:r>
      <w:r>
        <w:rPr>
          <w:spacing w:val="-12"/>
          <w:sz w:val="20"/>
        </w:rPr>
        <w:t> </w:t>
      </w:r>
      <w:r>
        <w:rPr>
          <w:sz w:val="20"/>
        </w:rPr>
        <w:t>they</w:t>
      </w:r>
      <w:r>
        <w:rPr>
          <w:spacing w:val="-13"/>
          <w:sz w:val="20"/>
        </w:rPr>
        <w:t> </w:t>
      </w:r>
      <w:r>
        <w:rPr>
          <w:spacing w:val="-3"/>
          <w:sz w:val="20"/>
        </w:rPr>
        <w:t>may</w:t>
      </w:r>
      <w:r>
        <w:rPr>
          <w:spacing w:val="-13"/>
          <w:sz w:val="20"/>
        </w:rPr>
        <w:t> </w:t>
      </w:r>
      <w:r>
        <w:rPr>
          <w:sz w:val="20"/>
        </w:rPr>
        <w:t>need</w:t>
      </w:r>
      <w:r>
        <w:rPr>
          <w:spacing w:val="-12"/>
          <w:sz w:val="20"/>
        </w:rPr>
        <w:t> </w:t>
      </w:r>
      <w:r>
        <w:rPr>
          <w:sz w:val="20"/>
        </w:rPr>
        <w:t>reasonable</w:t>
      </w:r>
      <w:r>
        <w:rPr>
          <w:spacing w:val="-13"/>
          <w:sz w:val="20"/>
        </w:rPr>
        <w:t> </w:t>
      </w:r>
      <w:r>
        <w:rPr>
          <w:sz w:val="20"/>
        </w:rPr>
        <w:t>adjustments.</w:t>
      </w:r>
      <w:r>
        <w:rPr>
          <w:spacing w:val="-13"/>
          <w:sz w:val="20"/>
        </w:rPr>
        <w:t> </w:t>
      </w:r>
      <w:r>
        <w:rPr>
          <w:sz w:val="20"/>
        </w:rPr>
        <w:t>‘Once flagged, a Juries Victoria staff member </w:t>
      </w:r>
      <w:r>
        <w:rPr>
          <w:spacing w:val="-3"/>
          <w:sz w:val="20"/>
        </w:rPr>
        <w:t>would </w:t>
      </w:r>
      <w:r>
        <w:rPr>
          <w:sz w:val="20"/>
        </w:rPr>
        <w:t>contact the individual to initiate a </w:t>
      </w:r>
      <w:r>
        <w:rPr>
          <w:spacing w:val="-3"/>
          <w:sz w:val="20"/>
        </w:rPr>
        <w:t>conversation </w:t>
      </w:r>
      <w:r>
        <w:rPr>
          <w:sz w:val="20"/>
        </w:rPr>
        <w:t>around the </w:t>
      </w:r>
      <w:r>
        <w:rPr>
          <w:spacing w:val="-3"/>
          <w:sz w:val="20"/>
        </w:rPr>
        <w:t>provision </w:t>
      </w:r>
      <w:r>
        <w:rPr>
          <w:sz w:val="20"/>
        </w:rPr>
        <w:t>of</w:t>
      </w:r>
      <w:r>
        <w:rPr>
          <w:spacing w:val="-16"/>
          <w:sz w:val="20"/>
        </w:rPr>
        <w:t> </w:t>
      </w:r>
      <w:r>
        <w:rPr>
          <w:sz w:val="20"/>
        </w:rPr>
        <w:t>supports’.</w:t>
      </w:r>
    </w:p>
    <w:p>
      <w:pPr>
        <w:pStyle w:val="BodyText"/>
        <w:spacing w:before="58"/>
        <w:ind w:left="1761"/>
      </w:pPr>
      <w:r>
        <w:rPr/>
        <w:t>Stage 1: Juries Commissioner</w:t>
      </w:r>
    </w:p>
    <w:p>
      <w:pPr>
        <w:pStyle w:val="ListParagraph"/>
        <w:numPr>
          <w:ilvl w:val="2"/>
          <w:numId w:val="12"/>
        </w:numPr>
        <w:tabs>
          <w:tab w:pos="2157" w:val="left" w:leader="none"/>
          <w:tab w:pos="2158" w:val="left" w:leader="none"/>
        </w:tabs>
        <w:spacing w:line="206" w:lineRule="auto" w:before="114" w:after="0"/>
        <w:ind w:left="2157" w:right="1232" w:hanging="396"/>
        <w:jc w:val="left"/>
        <w:rPr>
          <w:sz w:val="20"/>
        </w:rPr>
      </w:pPr>
      <w:r>
        <w:rPr>
          <w:sz w:val="20"/>
        </w:rPr>
        <w:t>The Juries Commissioner should </w:t>
      </w:r>
      <w:r>
        <w:rPr>
          <w:spacing w:val="-3"/>
          <w:sz w:val="20"/>
        </w:rPr>
        <w:t>make </w:t>
      </w:r>
      <w:r>
        <w:rPr>
          <w:sz w:val="20"/>
        </w:rPr>
        <w:t>the initial assessment about whether adjustments could be </w:t>
      </w:r>
      <w:r>
        <w:rPr>
          <w:spacing w:val="-3"/>
          <w:sz w:val="20"/>
        </w:rPr>
        <w:t>reasonably </w:t>
      </w:r>
      <w:r>
        <w:rPr>
          <w:sz w:val="20"/>
        </w:rPr>
        <w:t>provided. This </w:t>
      </w:r>
      <w:r>
        <w:rPr>
          <w:spacing w:val="-3"/>
          <w:sz w:val="20"/>
        </w:rPr>
        <w:t>would </w:t>
      </w:r>
      <w:r>
        <w:rPr>
          <w:sz w:val="20"/>
        </w:rPr>
        <w:t>occur when summonses </w:t>
      </w:r>
      <w:r>
        <w:rPr>
          <w:spacing w:val="-4"/>
          <w:sz w:val="20"/>
        </w:rPr>
        <w:t>were</w:t>
      </w:r>
      <w:r>
        <w:rPr>
          <w:spacing w:val="-7"/>
          <w:sz w:val="20"/>
        </w:rPr>
        <w:t> </w:t>
      </w:r>
      <w:r>
        <w:rPr>
          <w:spacing w:val="-3"/>
          <w:sz w:val="20"/>
        </w:rPr>
        <w:t>created,</w:t>
      </w:r>
      <w:r>
        <w:rPr>
          <w:spacing w:val="-6"/>
          <w:sz w:val="20"/>
        </w:rPr>
        <w:t> </w:t>
      </w:r>
      <w:r>
        <w:rPr>
          <w:spacing w:val="-3"/>
          <w:sz w:val="20"/>
        </w:rPr>
        <w:t>roughly</w:t>
      </w:r>
      <w:r>
        <w:rPr>
          <w:spacing w:val="-7"/>
          <w:sz w:val="20"/>
        </w:rPr>
        <w:t> </w:t>
      </w:r>
      <w:r>
        <w:rPr>
          <w:sz w:val="20"/>
        </w:rPr>
        <w:t>two</w:t>
      </w:r>
      <w:r>
        <w:rPr>
          <w:spacing w:val="-6"/>
          <w:sz w:val="20"/>
        </w:rPr>
        <w:t> </w:t>
      </w:r>
      <w:r>
        <w:rPr>
          <w:sz w:val="20"/>
        </w:rPr>
        <w:t>months</w:t>
      </w:r>
      <w:r>
        <w:rPr>
          <w:spacing w:val="-7"/>
          <w:sz w:val="20"/>
        </w:rPr>
        <w:t> </w:t>
      </w:r>
      <w:r>
        <w:rPr>
          <w:spacing w:val="-3"/>
          <w:sz w:val="20"/>
        </w:rPr>
        <w:t>before</w:t>
      </w:r>
      <w:r>
        <w:rPr>
          <w:spacing w:val="-6"/>
          <w:sz w:val="20"/>
        </w:rPr>
        <w:t> </w:t>
      </w:r>
      <w:r>
        <w:rPr>
          <w:sz w:val="20"/>
        </w:rPr>
        <w:t>the</w:t>
      </w:r>
      <w:r>
        <w:rPr>
          <w:spacing w:val="-7"/>
          <w:sz w:val="20"/>
        </w:rPr>
        <w:t> </w:t>
      </w:r>
      <w:r>
        <w:rPr>
          <w:spacing w:val="-3"/>
          <w:sz w:val="20"/>
        </w:rPr>
        <w:t>date</w:t>
      </w:r>
      <w:r>
        <w:rPr>
          <w:spacing w:val="-6"/>
          <w:sz w:val="20"/>
        </w:rPr>
        <w:t> </w:t>
      </w:r>
      <w:r>
        <w:rPr>
          <w:sz w:val="20"/>
        </w:rPr>
        <w:t>of</w:t>
      </w:r>
      <w:r>
        <w:rPr>
          <w:spacing w:val="-7"/>
          <w:sz w:val="20"/>
        </w:rPr>
        <w:t> </w:t>
      </w:r>
      <w:r>
        <w:rPr>
          <w:sz w:val="20"/>
        </w:rPr>
        <w:t>attendance</w:t>
      </w:r>
      <w:r>
        <w:rPr>
          <w:spacing w:val="-6"/>
          <w:sz w:val="20"/>
        </w:rPr>
        <w:t> </w:t>
      </w:r>
      <w:r>
        <w:rPr>
          <w:sz w:val="20"/>
        </w:rPr>
        <w:t>on</w:t>
      </w:r>
      <w:r>
        <w:rPr>
          <w:spacing w:val="-7"/>
          <w:sz w:val="20"/>
        </w:rPr>
        <w:t> </w:t>
      </w:r>
      <w:r>
        <w:rPr>
          <w:sz w:val="20"/>
        </w:rPr>
        <w:t>the</w:t>
      </w:r>
      <w:r>
        <w:rPr>
          <w:spacing w:val="-6"/>
          <w:sz w:val="20"/>
        </w:rPr>
        <w:t> </w:t>
      </w:r>
      <w:r>
        <w:rPr>
          <w:sz w:val="20"/>
        </w:rPr>
        <w:t>summons.</w:t>
      </w:r>
    </w:p>
    <w:p>
      <w:pPr>
        <w:pStyle w:val="BodyText"/>
        <w:spacing w:before="57"/>
        <w:ind w:left="1761"/>
      </w:pPr>
      <w:r>
        <w:rPr/>
        <w:t>Stage 2: Judicial officer</w:t>
      </w:r>
    </w:p>
    <w:p>
      <w:pPr>
        <w:pStyle w:val="ListParagraph"/>
        <w:numPr>
          <w:ilvl w:val="2"/>
          <w:numId w:val="12"/>
        </w:numPr>
        <w:tabs>
          <w:tab w:pos="2157" w:val="left" w:leader="none"/>
          <w:tab w:pos="2158" w:val="left" w:leader="none"/>
        </w:tabs>
        <w:spacing w:line="206" w:lineRule="auto" w:before="115" w:after="0"/>
        <w:ind w:left="2157" w:right="1287" w:hanging="396"/>
        <w:jc w:val="left"/>
        <w:rPr>
          <w:sz w:val="20"/>
        </w:rPr>
      </w:pPr>
      <w:r>
        <w:rPr>
          <w:sz w:val="20"/>
        </w:rPr>
        <w:t>A</w:t>
      </w:r>
      <w:r>
        <w:rPr>
          <w:spacing w:val="-13"/>
          <w:sz w:val="20"/>
        </w:rPr>
        <w:t> </w:t>
      </w:r>
      <w:r>
        <w:rPr>
          <w:sz w:val="20"/>
        </w:rPr>
        <w:t>judicial</w:t>
      </w:r>
      <w:r>
        <w:rPr>
          <w:spacing w:val="-12"/>
          <w:sz w:val="20"/>
        </w:rPr>
        <w:t> </w:t>
      </w:r>
      <w:r>
        <w:rPr>
          <w:spacing w:val="-3"/>
          <w:sz w:val="20"/>
        </w:rPr>
        <w:t>officer,</w:t>
      </w:r>
      <w:r>
        <w:rPr>
          <w:spacing w:val="-13"/>
          <w:sz w:val="20"/>
        </w:rPr>
        <w:t> </w:t>
      </w:r>
      <w:r>
        <w:rPr>
          <w:sz w:val="20"/>
        </w:rPr>
        <w:t>through</w:t>
      </w:r>
      <w:r>
        <w:rPr>
          <w:spacing w:val="-13"/>
          <w:sz w:val="20"/>
        </w:rPr>
        <w:t> </w:t>
      </w:r>
      <w:r>
        <w:rPr>
          <w:sz w:val="20"/>
        </w:rPr>
        <w:t>a</w:t>
      </w:r>
      <w:r>
        <w:rPr>
          <w:spacing w:val="-12"/>
          <w:sz w:val="20"/>
        </w:rPr>
        <w:t> </w:t>
      </w:r>
      <w:r>
        <w:rPr>
          <w:sz w:val="20"/>
        </w:rPr>
        <w:t>discussion</w:t>
      </w:r>
      <w:r>
        <w:rPr>
          <w:spacing w:val="-13"/>
          <w:sz w:val="20"/>
        </w:rPr>
        <w:t> </w:t>
      </w:r>
      <w:r>
        <w:rPr>
          <w:sz w:val="20"/>
        </w:rPr>
        <w:t>with</w:t>
      </w:r>
      <w:r>
        <w:rPr>
          <w:spacing w:val="-12"/>
          <w:sz w:val="20"/>
        </w:rPr>
        <w:t> </w:t>
      </w:r>
      <w:r>
        <w:rPr>
          <w:sz w:val="20"/>
        </w:rPr>
        <w:t>the</w:t>
      </w:r>
      <w:r>
        <w:rPr>
          <w:spacing w:val="-13"/>
          <w:sz w:val="20"/>
        </w:rPr>
        <w:t> </w:t>
      </w:r>
      <w:r>
        <w:rPr>
          <w:sz w:val="20"/>
        </w:rPr>
        <w:t>person</w:t>
      </w:r>
      <w:r>
        <w:rPr>
          <w:spacing w:val="-12"/>
          <w:sz w:val="20"/>
        </w:rPr>
        <w:t> </w:t>
      </w:r>
      <w:r>
        <w:rPr>
          <w:sz w:val="20"/>
        </w:rPr>
        <w:t>in</w:t>
      </w:r>
      <w:r>
        <w:rPr>
          <w:spacing w:val="-13"/>
          <w:sz w:val="20"/>
        </w:rPr>
        <w:t> </w:t>
      </w:r>
      <w:r>
        <w:rPr>
          <w:sz w:val="20"/>
        </w:rPr>
        <w:t>the</w:t>
      </w:r>
      <w:r>
        <w:rPr>
          <w:spacing w:val="-12"/>
          <w:sz w:val="20"/>
        </w:rPr>
        <w:t> </w:t>
      </w:r>
      <w:r>
        <w:rPr>
          <w:sz w:val="20"/>
        </w:rPr>
        <w:t>subject</w:t>
      </w:r>
      <w:r>
        <w:rPr>
          <w:spacing w:val="-13"/>
          <w:sz w:val="20"/>
        </w:rPr>
        <w:t> </w:t>
      </w:r>
      <w:r>
        <w:rPr>
          <w:sz w:val="20"/>
        </w:rPr>
        <w:t>groups,</w:t>
      </w:r>
      <w:r>
        <w:rPr>
          <w:spacing w:val="-12"/>
          <w:sz w:val="20"/>
        </w:rPr>
        <w:t> </w:t>
      </w:r>
      <w:r>
        <w:rPr>
          <w:spacing w:val="-3"/>
          <w:sz w:val="20"/>
        </w:rPr>
        <w:t>would make </w:t>
      </w:r>
      <w:r>
        <w:rPr>
          <w:sz w:val="20"/>
        </w:rPr>
        <w:t>a detailed assessment </w:t>
      </w:r>
      <w:r>
        <w:rPr>
          <w:spacing w:val="-3"/>
          <w:sz w:val="20"/>
        </w:rPr>
        <w:t>‘as </w:t>
      </w:r>
      <w:r>
        <w:rPr>
          <w:sz w:val="20"/>
        </w:rPr>
        <w:t>to what elements in a specific trial </w:t>
      </w:r>
      <w:r>
        <w:rPr>
          <w:spacing w:val="-3"/>
          <w:sz w:val="20"/>
        </w:rPr>
        <w:t>may </w:t>
      </w:r>
      <w:r>
        <w:rPr>
          <w:sz w:val="20"/>
        </w:rPr>
        <w:t>render it unsuitable for them to serve on as a </w:t>
      </w:r>
      <w:r>
        <w:rPr>
          <w:spacing w:val="-4"/>
          <w:sz w:val="20"/>
        </w:rPr>
        <w:t>juror’. </w:t>
      </w:r>
      <w:r>
        <w:rPr>
          <w:sz w:val="20"/>
        </w:rPr>
        <w:t>Juries Victoria suggests that this </w:t>
      </w:r>
      <w:r>
        <w:rPr>
          <w:spacing w:val="-3"/>
          <w:sz w:val="20"/>
        </w:rPr>
        <w:t>would </w:t>
      </w:r>
      <w:r>
        <w:rPr>
          <w:sz w:val="20"/>
        </w:rPr>
        <w:t>be a general assessment of the </w:t>
      </w:r>
      <w:r>
        <w:rPr>
          <w:spacing w:val="-3"/>
          <w:sz w:val="20"/>
        </w:rPr>
        <w:t>overall </w:t>
      </w:r>
      <w:r>
        <w:rPr>
          <w:sz w:val="20"/>
        </w:rPr>
        <w:t>suitability of trials.</w:t>
      </w:r>
      <w:r>
        <w:rPr>
          <w:position w:val="7"/>
          <w:sz w:val="11"/>
        </w:rPr>
        <w:t>47 </w:t>
      </w:r>
      <w:r>
        <w:rPr>
          <w:sz w:val="20"/>
        </w:rPr>
        <w:t>The judicial officer could be </w:t>
      </w:r>
      <w:r>
        <w:rPr>
          <w:spacing w:val="-3"/>
          <w:sz w:val="20"/>
        </w:rPr>
        <w:t>drawn from </w:t>
      </w:r>
      <w:r>
        <w:rPr>
          <w:sz w:val="20"/>
        </w:rPr>
        <w:t>a panel comprising </w:t>
      </w:r>
      <w:r>
        <w:rPr>
          <w:spacing w:val="-3"/>
          <w:sz w:val="20"/>
        </w:rPr>
        <w:t>representatives from </w:t>
      </w:r>
      <w:r>
        <w:rPr>
          <w:sz w:val="20"/>
        </w:rPr>
        <w:t>the criminal and common</w:t>
      </w:r>
      <w:r>
        <w:rPr>
          <w:spacing w:val="-6"/>
          <w:sz w:val="20"/>
        </w:rPr>
        <w:t> </w:t>
      </w:r>
      <w:r>
        <w:rPr>
          <w:sz w:val="20"/>
        </w:rPr>
        <w:t>law</w:t>
      </w:r>
      <w:r>
        <w:rPr>
          <w:spacing w:val="-5"/>
          <w:sz w:val="20"/>
        </w:rPr>
        <w:t> </w:t>
      </w:r>
      <w:r>
        <w:rPr>
          <w:sz w:val="20"/>
        </w:rPr>
        <w:t>divisions</w:t>
      </w:r>
      <w:r>
        <w:rPr>
          <w:spacing w:val="-5"/>
          <w:sz w:val="20"/>
        </w:rPr>
        <w:t> </w:t>
      </w:r>
      <w:r>
        <w:rPr>
          <w:sz w:val="20"/>
        </w:rPr>
        <w:t>of</w:t>
      </w:r>
      <w:r>
        <w:rPr>
          <w:spacing w:val="-5"/>
          <w:sz w:val="20"/>
        </w:rPr>
        <w:t> </w:t>
      </w:r>
      <w:r>
        <w:rPr>
          <w:sz w:val="20"/>
        </w:rPr>
        <w:t>both</w:t>
      </w:r>
      <w:r>
        <w:rPr>
          <w:spacing w:val="-5"/>
          <w:sz w:val="20"/>
        </w:rPr>
        <w:t> </w:t>
      </w:r>
      <w:r>
        <w:rPr>
          <w:sz w:val="20"/>
        </w:rPr>
        <w:t>the</w:t>
      </w:r>
      <w:r>
        <w:rPr>
          <w:spacing w:val="-5"/>
          <w:sz w:val="20"/>
        </w:rPr>
        <w:t> </w:t>
      </w:r>
      <w:r>
        <w:rPr>
          <w:sz w:val="20"/>
        </w:rPr>
        <w:t>Supreme</w:t>
      </w:r>
      <w:r>
        <w:rPr>
          <w:spacing w:val="-6"/>
          <w:sz w:val="20"/>
        </w:rPr>
        <w:t> </w:t>
      </w:r>
      <w:r>
        <w:rPr>
          <w:sz w:val="20"/>
        </w:rPr>
        <w:t>and</w:t>
      </w:r>
      <w:r>
        <w:rPr>
          <w:spacing w:val="-5"/>
          <w:sz w:val="20"/>
        </w:rPr>
        <w:t> </w:t>
      </w:r>
      <w:r>
        <w:rPr>
          <w:sz w:val="20"/>
        </w:rPr>
        <w:t>County</w:t>
      </w:r>
      <w:r>
        <w:rPr>
          <w:spacing w:val="-5"/>
          <w:sz w:val="20"/>
        </w:rPr>
        <w:t> </w:t>
      </w:r>
      <w:r>
        <w:rPr>
          <w:sz w:val="20"/>
        </w:rPr>
        <w:t>Courts.</w:t>
      </w:r>
    </w:p>
    <w:p>
      <w:pPr>
        <w:pStyle w:val="BodyText"/>
        <w:spacing w:before="60"/>
        <w:ind w:left="1761"/>
      </w:pPr>
      <w:r>
        <w:rPr/>
        <w:t>Stage 3: Trial judge</w:t>
      </w:r>
    </w:p>
    <w:p>
      <w:pPr>
        <w:pStyle w:val="ListParagraph"/>
        <w:numPr>
          <w:ilvl w:val="2"/>
          <w:numId w:val="12"/>
        </w:numPr>
        <w:tabs>
          <w:tab w:pos="2157" w:val="left" w:leader="none"/>
          <w:tab w:pos="2158" w:val="left" w:leader="none"/>
        </w:tabs>
        <w:spacing w:line="206" w:lineRule="auto" w:before="115" w:after="0"/>
        <w:ind w:left="2157" w:right="1304" w:hanging="396"/>
        <w:jc w:val="left"/>
        <w:rPr>
          <w:sz w:val="20"/>
        </w:rPr>
      </w:pPr>
      <w:r>
        <w:rPr>
          <w:sz w:val="20"/>
        </w:rPr>
        <w:t>In the </w:t>
      </w:r>
      <w:r>
        <w:rPr>
          <w:spacing w:val="-4"/>
          <w:sz w:val="20"/>
        </w:rPr>
        <w:t>days </w:t>
      </w:r>
      <w:r>
        <w:rPr>
          <w:sz w:val="20"/>
        </w:rPr>
        <w:t>prior to empanelment, the trial judge </w:t>
      </w:r>
      <w:r>
        <w:rPr>
          <w:spacing w:val="-3"/>
          <w:sz w:val="20"/>
        </w:rPr>
        <w:t>would make </w:t>
      </w:r>
      <w:r>
        <w:rPr>
          <w:sz w:val="20"/>
        </w:rPr>
        <w:t>a final assessment as</w:t>
      </w:r>
      <w:r>
        <w:rPr>
          <w:spacing w:val="-9"/>
          <w:sz w:val="20"/>
        </w:rPr>
        <w:t> </w:t>
      </w:r>
      <w:r>
        <w:rPr>
          <w:sz w:val="20"/>
        </w:rPr>
        <w:t>to</w:t>
      </w:r>
      <w:r>
        <w:rPr>
          <w:spacing w:val="-8"/>
          <w:sz w:val="20"/>
        </w:rPr>
        <w:t> </w:t>
      </w:r>
      <w:r>
        <w:rPr>
          <w:sz w:val="20"/>
        </w:rPr>
        <w:t>the</w:t>
      </w:r>
      <w:r>
        <w:rPr>
          <w:spacing w:val="-9"/>
          <w:sz w:val="20"/>
        </w:rPr>
        <w:t> </w:t>
      </w:r>
      <w:r>
        <w:rPr>
          <w:sz w:val="20"/>
        </w:rPr>
        <w:t>suitability</w:t>
      </w:r>
      <w:r>
        <w:rPr>
          <w:spacing w:val="-8"/>
          <w:sz w:val="20"/>
        </w:rPr>
        <w:t> </w:t>
      </w:r>
      <w:r>
        <w:rPr>
          <w:sz w:val="20"/>
        </w:rPr>
        <w:t>of</w:t>
      </w:r>
      <w:r>
        <w:rPr>
          <w:spacing w:val="-9"/>
          <w:sz w:val="20"/>
        </w:rPr>
        <w:t> </w:t>
      </w:r>
      <w:r>
        <w:rPr>
          <w:sz w:val="20"/>
        </w:rPr>
        <w:t>their</w:t>
      </w:r>
      <w:r>
        <w:rPr>
          <w:spacing w:val="-8"/>
          <w:sz w:val="20"/>
        </w:rPr>
        <w:t> </w:t>
      </w:r>
      <w:r>
        <w:rPr>
          <w:sz w:val="20"/>
        </w:rPr>
        <w:t>trial</w:t>
      </w:r>
      <w:r>
        <w:rPr>
          <w:spacing w:val="-8"/>
          <w:sz w:val="20"/>
        </w:rPr>
        <w:t> </w:t>
      </w:r>
      <w:r>
        <w:rPr>
          <w:sz w:val="20"/>
        </w:rPr>
        <w:t>to</w:t>
      </w:r>
      <w:r>
        <w:rPr>
          <w:spacing w:val="-9"/>
          <w:sz w:val="20"/>
        </w:rPr>
        <w:t> </w:t>
      </w:r>
      <w:r>
        <w:rPr>
          <w:spacing w:val="-4"/>
          <w:sz w:val="20"/>
        </w:rPr>
        <w:t>have</w:t>
      </w:r>
      <w:r>
        <w:rPr>
          <w:spacing w:val="-8"/>
          <w:sz w:val="20"/>
        </w:rPr>
        <w:t> </w:t>
      </w:r>
      <w:r>
        <w:rPr>
          <w:sz w:val="20"/>
        </w:rPr>
        <w:t>a</w:t>
      </w:r>
      <w:r>
        <w:rPr>
          <w:spacing w:val="-9"/>
          <w:sz w:val="20"/>
        </w:rPr>
        <w:t> </w:t>
      </w:r>
      <w:r>
        <w:rPr>
          <w:sz w:val="20"/>
        </w:rPr>
        <w:t>jury</w:t>
      </w:r>
      <w:r>
        <w:rPr>
          <w:spacing w:val="-8"/>
          <w:sz w:val="20"/>
        </w:rPr>
        <w:t> </w:t>
      </w:r>
      <w:r>
        <w:rPr>
          <w:sz w:val="20"/>
        </w:rPr>
        <w:t>with</w:t>
      </w:r>
      <w:r>
        <w:rPr>
          <w:spacing w:val="-8"/>
          <w:sz w:val="20"/>
        </w:rPr>
        <w:t> </w:t>
      </w:r>
      <w:r>
        <w:rPr>
          <w:sz w:val="20"/>
        </w:rPr>
        <w:t>a</w:t>
      </w:r>
      <w:r>
        <w:rPr>
          <w:spacing w:val="-9"/>
          <w:sz w:val="20"/>
        </w:rPr>
        <w:t> </w:t>
      </w:r>
      <w:r>
        <w:rPr>
          <w:sz w:val="20"/>
        </w:rPr>
        <w:t>member</w:t>
      </w:r>
      <w:r>
        <w:rPr>
          <w:spacing w:val="-8"/>
          <w:sz w:val="20"/>
        </w:rPr>
        <w:t> </w:t>
      </w:r>
      <w:r>
        <w:rPr>
          <w:sz w:val="20"/>
        </w:rPr>
        <w:t>of</w:t>
      </w:r>
      <w:r>
        <w:rPr>
          <w:spacing w:val="-9"/>
          <w:sz w:val="20"/>
        </w:rPr>
        <w:t> </w:t>
      </w:r>
      <w:r>
        <w:rPr>
          <w:sz w:val="20"/>
        </w:rPr>
        <w:t>the</w:t>
      </w:r>
      <w:r>
        <w:rPr>
          <w:spacing w:val="-8"/>
          <w:sz w:val="20"/>
        </w:rPr>
        <w:t> </w:t>
      </w:r>
      <w:r>
        <w:rPr>
          <w:sz w:val="20"/>
        </w:rPr>
        <w:t>subject</w:t>
      </w:r>
      <w:r>
        <w:rPr>
          <w:spacing w:val="-8"/>
          <w:sz w:val="20"/>
        </w:rPr>
        <w:t> </w:t>
      </w:r>
      <w:r>
        <w:rPr>
          <w:sz w:val="20"/>
        </w:rPr>
        <w:t>groups based on the detailed assessment conducted </w:t>
      </w:r>
      <w:r>
        <w:rPr>
          <w:spacing w:val="-3"/>
          <w:sz w:val="20"/>
        </w:rPr>
        <w:t>earlier. </w:t>
      </w:r>
      <w:r>
        <w:rPr>
          <w:sz w:val="20"/>
        </w:rPr>
        <w:t>The trial judge </w:t>
      </w:r>
      <w:r>
        <w:rPr>
          <w:spacing w:val="-3"/>
          <w:sz w:val="20"/>
        </w:rPr>
        <w:t>would </w:t>
      </w:r>
      <w:r>
        <w:rPr>
          <w:sz w:val="20"/>
        </w:rPr>
        <w:t>be </w:t>
      </w:r>
      <w:r>
        <w:rPr>
          <w:spacing w:val="-3"/>
          <w:sz w:val="20"/>
        </w:rPr>
        <w:t>required</w:t>
      </w:r>
      <w:r>
        <w:rPr>
          <w:spacing w:val="-8"/>
          <w:sz w:val="20"/>
        </w:rPr>
        <w:t> </w:t>
      </w:r>
      <w:r>
        <w:rPr>
          <w:sz w:val="20"/>
        </w:rPr>
        <w:t>to</w:t>
      </w:r>
      <w:r>
        <w:rPr>
          <w:spacing w:val="-8"/>
          <w:sz w:val="20"/>
        </w:rPr>
        <w:t> </w:t>
      </w:r>
      <w:r>
        <w:rPr>
          <w:sz w:val="20"/>
        </w:rPr>
        <w:t>notify</w:t>
      </w:r>
      <w:r>
        <w:rPr>
          <w:spacing w:val="-8"/>
          <w:sz w:val="20"/>
        </w:rPr>
        <w:t> </w:t>
      </w:r>
      <w:r>
        <w:rPr>
          <w:sz w:val="20"/>
        </w:rPr>
        <w:t>Juries</w:t>
      </w:r>
      <w:r>
        <w:rPr>
          <w:spacing w:val="-7"/>
          <w:sz w:val="20"/>
        </w:rPr>
        <w:t> </w:t>
      </w:r>
      <w:r>
        <w:rPr>
          <w:sz w:val="20"/>
        </w:rPr>
        <w:t>Victoria</w:t>
      </w:r>
      <w:r>
        <w:rPr>
          <w:spacing w:val="-8"/>
          <w:sz w:val="20"/>
        </w:rPr>
        <w:t> </w:t>
      </w:r>
      <w:r>
        <w:rPr>
          <w:sz w:val="20"/>
        </w:rPr>
        <w:t>if</w:t>
      </w:r>
      <w:r>
        <w:rPr>
          <w:spacing w:val="-8"/>
          <w:sz w:val="20"/>
        </w:rPr>
        <w:t> </w:t>
      </w:r>
      <w:r>
        <w:rPr>
          <w:sz w:val="20"/>
        </w:rPr>
        <w:t>they</w:t>
      </w:r>
      <w:r>
        <w:rPr>
          <w:spacing w:val="-7"/>
          <w:sz w:val="20"/>
        </w:rPr>
        <w:t> </w:t>
      </w:r>
      <w:r>
        <w:rPr>
          <w:sz w:val="20"/>
        </w:rPr>
        <w:t>determined</w:t>
      </w:r>
      <w:r>
        <w:rPr>
          <w:spacing w:val="-8"/>
          <w:sz w:val="20"/>
        </w:rPr>
        <w:t> </w:t>
      </w:r>
      <w:r>
        <w:rPr>
          <w:sz w:val="20"/>
        </w:rPr>
        <w:t>the</w:t>
      </w:r>
      <w:r>
        <w:rPr>
          <w:spacing w:val="-8"/>
          <w:sz w:val="20"/>
        </w:rPr>
        <w:t> </w:t>
      </w:r>
      <w:r>
        <w:rPr>
          <w:sz w:val="20"/>
        </w:rPr>
        <w:t>trial</w:t>
      </w:r>
      <w:r>
        <w:rPr>
          <w:spacing w:val="-7"/>
          <w:sz w:val="20"/>
        </w:rPr>
        <w:t> </w:t>
      </w:r>
      <w:r>
        <w:rPr>
          <w:sz w:val="20"/>
        </w:rPr>
        <w:t>was</w:t>
      </w:r>
      <w:r>
        <w:rPr>
          <w:spacing w:val="-8"/>
          <w:sz w:val="20"/>
        </w:rPr>
        <w:t> </w:t>
      </w:r>
      <w:r>
        <w:rPr>
          <w:sz w:val="20"/>
        </w:rPr>
        <w:t>not</w:t>
      </w:r>
      <w:r>
        <w:rPr>
          <w:spacing w:val="-8"/>
          <w:sz w:val="20"/>
        </w:rPr>
        <w:t> </w:t>
      </w:r>
      <w:r>
        <w:rPr>
          <w:sz w:val="20"/>
        </w:rPr>
        <w:t>suitable.</w:t>
      </w:r>
    </w:p>
    <w:p>
      <w:pPr>
        <w:pStyle w:val="BodyText"/>
        <w:spacing w:before="58"/>
        <w:ind w:left="1761"/>
      </w:pPr>
      <w:r>
        <w:rPr/>
        <w:t>Balloting the jury panel</w:t>
      </w:r>
    </w:p>
    <w:p>
      <w:pPr>
        <w:pStyle w:val="ListParagraph"/>
        <w:numPr>
          <w:ilvl w:val="2"/>
          <w:numId w:val="12"/>
        </w:numPr>
        <w:tabs>
          <w:tab w:pos="2157" w:val="left" w:leader="none"/>
          <w:tab w:pos="2158" w:val="left" w:leader="none"/>
        </w:tabs>
        <w:spacing w:line="206" w:lineRule="auto" w:before="114" w:after="0"/>
        <w:ind w:left="2157" w:right="1265" w:hanging="396"/>
        <w:jc w:val="left"/>
        <w:rPr>
          <w:sz w:val="11"/>
        </w:rPr>
      </w:pPr>
      <w:r>
        <w:rPr>
          <w:sz w:val="20"/>
        </w:rPr>
        <w:t>On </w:t>
      </w:r>
      <w:r>
        <w:rPr>
          <w:spacing w:val="-3"/>
          <w:sz w:val="20"/>
        </w:rPr>
        <w:t>receipt </w:t>
      </w:r>
      <w:r>
        <w:rPr>
          <w:sz w:val="20"/>
        </w:rPr>
        <w:t>of the </w:t>
      </w:r>
      <w:r>
        <w:rPr>
          <w:spacing w:val="-3"/>
          <w:sz w:val="20"/>
        </w:rPr>
        <w:t>judge’s </w:t>
      </w:r>
      <w:r>
        <w:rPr>
          <w:sz w:val="20"/>
        </w:rPr>
        <w:t>notification of trial unsuitability, Juries Victoria </w:t>
      </w:r>
      <w:r>
        <w:rPr>
          <w:spacing w:val="-3"/>
          <w:sz w:val="20"/>
        </w:rPr>
        <w:t>would </w:t>
      </w:r>
      <w:r>
        <w:rPr>
          <w:spacing w:val="-4"/>
          <w:sz w:val="20"/>
        </w:rPr>
        <w:t>remove</w:t>
      </w:r>
      <w:r>
        <w:rPr>
          <w:spacing w:val="-12"/>
          <w:sz w:val="20"/>
        </w:rPr>
        <w:t> </w:t>
      </w:r>
      <w:r>
        <w:rPr>
          <w:sz w:val="20"/>
        </w:rPr>
        <w:t>that</w:t>
      </w:r>
      <w:r>
        <w:rPr>
          <w:spacing w:val="-11"/>
          <w:sz w:val="20"/>
        </w:rPr>
        <w:t> </w:t>
      </w:r>
      <w:r>
        <w:rPr>
          <w:sz w:val="20"/>
        </w:rPr>
        <w:t>person’s</w:t>
      </w:r>
      <w:r>
        <w:rPr>
          <w:spacing w:val="-11"/>
          <w:sz w:val="20"/>
        </w:rPr>
        <w:t> </w:t>
      </w:r>
      <w:r>
        <w:rPr>
          <w:sz w:val="20"/>
        </w:rPr>
        <w:t>ballot</w:t>
      </w:r>
      <w:r>
        <w:rPr>
          <w:spacing w:val="-12"/>
          <w:sz w:val="20"/>
        </w:rPr>
        <w:t> </w:t>
      </w:r>
      <w:r>
        <w:rPr>
          <w:sz w:val="20"/>
        </w:rPr>
        <w:t>card</w:t>
      </w:r>
      <w:r>
        <w:rPr>
          <w:spacing w:val="-11"/>
          <w:sz w:val="20"/>
        </w:rPr>
        <w:t> </w:t>
      </w:r>
      <w:r>
        <w:rPr>
          <w:spacing w:val="-3"/>
          <w:sz w:val="20"/>
        </w:rPr>
        <w:t>from</w:t>
      </w:r>
      <w:r>
        <w:rPr>
          <w:spacing w:val="-11"/>
          <w:sz w:val="20"/>
        </w:rPr>
        <w:t> </w:t>
      </w:r>
      <w:r>
        <w:rPr>
          <w:sz w:val="20"/>
        </w:rPr>
        <w:t>the</w:t>
      </w:r>
      <w:r>
        <w:rPr>
          <w:spacing w:val="-11"/>
          <w:sz w:val="20"/>
        </w:rPr>
        <w:t> </w:t>
      </w:r>
      <w:r>
        <w:rPr>
          <w:sz w:val="20"/>
        </w:rPr>
        <w:t>pool</w:t>
      </w:r>
      <w:r>
        <w:rPr>
          <w:spacing w:val="-12"/>
          <w:sz w:val="20"/>
        </w:rPr>
        <w:t> </w:t>
      </w:r>
      <w:r>
        <w:rPr>
          <w:sz w:val="20"/>
        </w:rPr>
        <w:t>when</w:t>
      </w:r>
      <w:r>
        <w:rPr>
          <w:spacing w:val="-11"/>
          <w:sz w:val="20"/>
        </w:rPr>
        <w:t> </w:t>
      </w:r>
      <w:r>
        <w:rPr>
          <w:sz w:val="20"/>
        </w:rPr>
        <w:t>randomly</w:t>
      </w:r>
      <w:r>
        <w:rPr>
          <w:spacing w:val="-11"/>
          <w:sz w:val="20"/>
        </w:rPr>
        <w:t> </w:t>
      </w:r>
      <w:r>
        <w:rPr>
          <w:sz w:val="20"/>
        </w:rPr>
        <w:t>selecting</w:t>
      </w:r>
      <w:r>
        <w:rPr>
          <w:spacing w:val="-12"/>
          <w:sz w:val="20"/>
        </w:rPr>
        <w:t> </w:t>
      </w:r>
      <w:r>
        <w:rPr>
          <w:sz w:val="20"/>
        </w:rPr>
        <w:t>the</w:t>
      </w:r>
      <w:r>
        <w:rPr>
          <w:spacing w:val="-11"/>
          <w:sz w:val="20"/>
        </w:rPr>
        <w:t> </w:t>
      </w:r>
      <w:r>
        <w:rPr>
          <w:sz w:val="20"/>
        </w:rPr>
        <w:t>panel for that trial. The ballot card </w:t>
      </w:r>
      <w:r>
        <w:rPr>
          <w:spacing w:val="-3"/>
          <w:sz w:val="20"/>
        </w:rPr>
        <w:t>would </w:t>
      </w:r>
      <w:r>
        <w:rPr>
          <w:sz w:val="20"/>
        </w:rPr>
        <w:t>remain for other trials not deemed unsuitable. Juries Victoria suggested that an amendment to the </w:t>
      </w:r>
      <w:r>
        <w:rPr>
          <w:spacing w:val="-2"/>
          <w:sz w:val="20"/>
        </w:rPr>
        <w:t>Act </w:t>
      </w:r>
      <w:r>
        <w:rPr>
          <w:spacing w:val="-3"/>
          <w:sz w:val="20"/>
        </w:rPr>
        <w:t>would </w:t>
      </w:r>
      <w:r>
        <w:rPr>
          <w:sz w:val="20"/>
        </w:rPr>
        <w:t>be needed to </w:t>
      </w:r>
      <w:r>
        <w:rPr>
          <w:spacing w:val="-3"/>
          <w:sz w:val="20"/>
        </w:rPr>
        <w:t>provide </w:t>
      </w:r>
      <w:r>
        <w:rPr>
          <w:sz w:val="20"/>
        </w:rPr>
        <w:t>similar </w:t>
      </w:r>
      <w:r>
        <w:rPr>
          <w:spacing w:val="-3"/>
          <w:sz w:val="20"/>
        </w:rPr>
        <w:t>powers </w:t>
      </w:r>
      <w:r>
        <w:rPr>
          <w:sz w:val="20"/>
        </w:rPr>
        <w:t>to the Juries Commissioner that </w:t>
      </w:r>
      <w:r>
        <w:rPr>
          <w:spacing w:val="-3"/>
          <w:sz w:val="20"/>
        </w:rPr>
        <w:t>are currently </w:t>
      </w:r>
      <w:r>
        <w:rPr>
          <w:sz w:val="20"/>
        </w:rPr>
        <w:t>in place for </w:t>
      </w:r>
      <w:r>
        <w:rPr>
          <w:spacing w:val="-3"/>
          <w:sz w:val="20"/>
        </w:rPr>
        <w:t>lengthy</w:t>
      </w:r>
      <w:r>
        <w:rPr>
          <w:spacing w:val="-4"/>
          <w:sz w:val="20"/>
        </w:rPr>
        <w:t> </w:t>
      </w:r>
      <w:r>
        <w:rPr>
          <w:sz w:val="20"/>
        </w:rPr>
        <w:t>trials.</w:t>
      </w:r>
      <w:r>
        <w:rPr>
          <w:position w:val="7"/>
          <w:sz w:val="11"/>
        </w:rPr>
        <w:t>48</w:t>
      </w:r>
    </w:p>
    <w:p>
      <w:pPr>
        <w:spacing w:before="131"/>
        <w:ind w:left="967" w:right="0" w:firstLine="0"/>
        <w:jc w:val="left"/>
        <w:rPr>
          <w:b/>
          <w:sz w:val="24"/>
        </w:rPr>
      </w:pPr>
      <w:r>
        <w:rPr>
          <w:b/>
          <w:sz w:val="24"/>
        </w:rPr>
        <w:t>Other proposals</w:t>
      </w:r>
    </w:p>
    <w:p>
      <w:pPr>
        <w:pStyle w:val="ListParagraph"/>
        <w:numPr>
          <w:ilvl w:val="1"/>
          <w:numId w:val="12"/>
        </w:numPr>
        <w:tabs>
          <w:tab w:pos="1761" w:val="left" w:leader="none"/>
          <w:tab w:pos="1762" w:val="left" w:leader="none"/>
        </w:tabs>
        <w:spacing w:line="206" w:lineRule="auto" w:before="127" w:after="0"/>
        <w:ind w:left="1761" w:right="1356" w:hanging="794"/>
        <w:jc w:val="left"/>
        <w:rPr>
          <w:sz w:val="11"/>
        </w:rPr>
      </w:pPr>
      <w:r>
        <w:rPr>
          <w:sz w:val="20"/>
        </w:rPr>
        <w:t>In</w:t>
      </w:r>
      <w:r>
        <w:rPr>
          <w:spacing w:val="-13"/>
          <w:sz w:val="20"/>
        </w:rPr>
        <w:t> </w:t>
      </w:r>
      <w:r>
        <w:rPr>
          <w:sz w:val="20"/>
        </w:rPr>
        <w:t>consultation,</w:t>
      </w:r>
      <w:r>
        <w:rPr>
          <w:spacing w:val="-13"/>
          <w:sz w:val="20"/>
        </w:rPr>
        <w:t> </w:t>
      </w:r>
      <w:r>
        <w:rPr>
          <w:sz w:val="20"/>
        </w:rPr>
        <w:t>the</w:t>
      </w:r>
      <w:r>
        <w:rPr>
          <w:spacing w:val="-12"/>
          <w:sz w:val="20"/>
        </w:rPr>
        <w:t> </w:t>
      </w:r>
      <w:r>
        <w:rPr>
          <w:sz w:val="20"/>
        </w:rPr>
        <w:t>Law</w:t>
      </w:r>
      <w:r>
        <w:rPr>
          <w:spacing w:val="-13"/>
          <w:sz w:val="20"/>
        </w:rPr>
        <w:t> </w:t>
      </w:r>
      <w:r>
        <w:rPr>
          <w:sz w:val="20"/>
        </w:rPr>
        <w:t>Institute</w:t>
      </w:r>
      <w:r>
        <w:rPr>
          <w:spacing w:val="-12"/>
          <w:sz w:val="20"/>
        </w:rPr>
        <w:t> </w:t>
      </w:r>
      <w:r>
        <w:rPr>
          <w:sz w:val="20"/>
        </w:rPr>
        <w:t>of</w:t>
      </w:r>
      <w:r>
        <w:rPr>
          <w:spacing w:val="-13"/>
          <w:sz w:val="20"/>
        </w:rPr>
        <w:t> </w:t>
      </w:r>
      <w:r>
        <w:rPr>
          <w:sz w:val="20"/>
        </w:rPr>
        <w:t>Victoria</w:t>
      </w:r>
      <w:r>
        <w:rPr>
          <w:spacing w:val="-12"/>
          <w:sz w:val="20"/>
        </w:rPr>
        <w:t> </w:t>
      </w:r>
      <w:r>
        <w:rPr>
          <w:sz w:val="20"/>
        </w:rPr>
        <w:t>(LIV)</w:t>
      </w:r>
      <w:r>
        <w:rPr>
          <w:spacing w:val="-13"/>
          <w:sz w:val="20"/>
        </w:rPr>
        <w:t> </w:t>
      </w:r>
      <w:r>
        <w:rPr>
          <w:sz w:val="20"/>
        </w:rPr>
        <w:t>raised</w:t>
      </w:r>
      <w:r>
        <w:rPr>
          <w:spacing w:val="-12"/>
          <w:sz w:val="20"/>
        </w:rPr>
        <w:t> </w:t>
      </w:r>
      <w:r>
        <w:rPr>
          <w:sz w:val="20"/>
        </w:rPr>
        <w:t>the</w:t>
      </w:r>
      <w:r>
        <w:rPr>
          <w:spacing w:val="-13"/>
          <w:sz w:val="20"/>
        </w:rPr>
        <w:t> </w:t>
      </w:r>
      <w:r>
        <w:rPr>
          <w:sz w:val="20"/>
        </w:rPr>
        <w:t>possibility</w:t>
      </w:r>
      <w:r>
        <w:rPr>
          <w:spacing w:val="-12"/>
          <w:sz w:val="20"/>
        </w:rPr>
        <w:t> </w:t>
      </w:r>
      <w:r>
        <w:rPr>
          <w:sz w:val="20"/>
        </w:rPr>
        <w:t>of</w:t>
      </w:r>
      <w:r>
        <w:rPr>
          <w:spacing w:val="-13"/>
          <w:sz w:val="20"/>
        </w:rPr>
        <w:t> </w:t>
      </w:r>
      <w:r>
        <w:rPr>
          <w:sz w:val="20"/>
        </w:rPr>
        <w:t>trial</w:t>
      </w:r>
      <w:r>
        <w:rPr>
          <w:spacing w:val="-12"/>
          <w:sz w:val="20"/>
        </w:rPr>
        <w:t> </w:t>
      </w:r>
      <w:r>
        <w:rPr>
          <w:sz w:val="20"/>
        </w:rPr>
        <w:t>suitability being</w:t>
      </w:r>
      <w:r>
        <w:rPr>
          <w:spacing w:val="-12"/>
          <w:sz w:val="20"/>
        </w:rPr>
        <w:t> </w:t>
      </w:r>
      <w:r>
        <w:rPr>
          <w:sz w:val="20"/>
        </w:rPr>
        <w:t>discussed</w:t>
      </w:r>
      <w:r>
        <w:rPr>
          <w:spacing w:val="-12"/>
          <w:sz w:val="20"/>
        </w:rPr>
        <w:t> </w:t>
      </w:r>
      <w:r>
        <w:rPr>
          <w:sz w:val="20"/>
        </w:rPr>
        <w:t>in</w:t>
      </w:r>
      <w:r>
        <w:rPr>
          <w:spacing w:val="-11"/>
          <w:sz w:val="20"/>
        </w:rPr>
        <w:t> </w:t>
      </w:r>
      <w:r>
        <w:rPr>
          <w:sz w:val="20"/>
        </w:rPr>
        <w:t>a</w:t>
      </w:r>
      <w:r>
        <w:rPr>
          <w:spacing w:val="-12"/>
          <w:sz w:val="20"/>
        </w:rPr>
        <w:t> </w:t>
      </w:r>
      <w:r>
        <w:rPr>
          <w:sz w:val="20"/>
        </w:rPr>
        <w:t>directions</w:t>
      </w:r>
      <w:r>
        <w:rPr>
          <w:spacing w:val="-11"/>
          <w:sz w:val="20"/>
        </w:rPr>
        <w:t> </w:t>
      </w:r>
      <w:r>
        <w:rPr>
          <w:sz w:val="20"/>
        </w:rPr>
        <w:t>hearing,</w:t>
      </w:r>
      <w:r>
        <w:rPr>
          <w:spacing w:val="-12"/>
          <w:sz w:val="20"/>
        </w:rPr>
        <w:t> </w:t>
      </w:r>
      <w:r>
        <w:rPr>
          <w:sz w:val="20"/>
        </w:rPr>
        <w:t>while</w:t>
      </w:r>
      <w:r>
        <w:rPr>
          <w:spacing w:val="-11"/>
          <w:sz w:val="20"/>
        </w:rPr>
        <w:t> </w:t>
      </w:r>
      <w:r>
        <w:rPr>
          <w:sz w:val="20"/>
        </w:rPr>
        <w:t>noting</w:t>
      </w:r>
      <w:r>
        <w:rPr>
          <w:spacing w:val="-12"/>
          <w:sz w:val="20"/>
        </w:rPr>
        <w:t> </w:t>
      </w:r>
      <w:r>
        <w:rPr>
          <w:sz w:val="20"/>
        </w:rPr>
        <w:t>that</w:t>
      </w:r>
      <w:r>
        <w:rPr>
          <w:spacing w:val="-11"/>
          <w:sz w:val="20"/>
        </w:rPr>
        <w:t> </w:t>
      </w:r>
      <w:r>
        <w:rPr>
          <w:sz w:val="20"/>
        </w:rPr>
        <w:t>the</w:t>
      </w:r>
      <w:r>
        <w:rPr>
          <w:spacing w:val="-12"/>
          <w:sz w:val="20"/>
        </w:rPr>
        <w:t> </w:t>
      </w:r>
      <w:r>
        <w:rPr>
          <w:sz w:val="20"/>
        </w:rPr>
        <w:t>final</w:t>
      </w:r>
      <w:r>
        <w:rPr>
          <w:spacing w:val="-11"/>
          <w:sz w:val="20"/>
        </w:rPr>
        <w:t> </w:t>
      </w:r>
      <w:r>
        <w:rPr>
          <w:sz w:val="20"/>
        </w:rPr>
        <w:t>decision</w:t>
      </w:r>
      <w:r>
        <w:rPr>
          <w:spacing w:val="-12"/>
          <w:sz w:val="20"/>
        </w:rPr>
        <w:t> </w:t>
      </w:r>
      <w:r>
        <w:rPr>
          <w:sz w:val="20"/>
        </w:rPr>
        <w:t>should</w:t>
      </w:r>
      <w:r>
        <w:rPr>
          <w:spacing w:val="-11"/>
          <w:sz w:val="20"/>
        </w:rPr>
        <w:t> </w:t>
      </w:r>
      <w:r>
        <w:rPr>
          <w:sz w:val="20"/>
        </w:rPr>
        <w:t>be made </w:t>
      </w:r>
      <w:r>
        <w:rPr>
          <w:spacing w:val="-3"/>
          <w:sz w:val="20"/>
        </w:rPr>
        <w:t>by </w:t>
      </w:r>
      <w:r>
        <w:rPr>
          <w:sz w:val="20"/>
        </w:rPr>
        <w:t>the trial</w:t>
      </w:r>
      <w:r>
        <w:rPr>
          <w:spacing w:val="-14"/>
          <w:sz w:val="20"/>
        </w:rPr>
        <w:t> </w:t>
      </w:r>
      <w:r>
        <w:rPr>
          <w:sz w:val="20"/>
        </w:rPr>
        <w:t>judge.</w:t>
      </w:r>
      <w:r>
        <w:rPr>
          <w:position w:val="7"/>
          <w:sz w:val="11"/>
        </w:rPr>
        <w:t>49</w:t>
      </w:r>
    </w:p>
    <w:p>
      <w:pPr>
        <w:pStyle w:val="ListParagraph"/>
        <w:numPr>
          <w:ilvl w:val="1"/>
          <w:numId w:val="12"/>
        </w:numPr>
        <w:tabs>
          <w:tab w:pos="1761" w:val="left" w:leader="none"/>
          <w:tab w:pos="1762" w:val="left" w:leader="none"/>
        </w:tabs>
        <w:spacing w:line="206" w:lineRule="auto" w:before="124" w:after="0"/>
        <w:ind w:left="1761" w:right="1404" w:hanging="794"/>
        <w:jc w:val="left"/>
        <w:rPr>
          <w:sz w:val="20"/>
        </w:rPr>
      </w:pPr>
      <w:r>
        <w:rPr/>
        <w:pict>
          <v:line style="position:absolute;mso-position-horizontal-relative:page;mso-position-vertical-relative:paragraph;z-index:7424;mso-wrap-distance-left:0;mso-wrap-distance-right:0" from="79.370102pt,96.116905pt" to="515.905102pt,96.116905pt" stroked="true" strokeweight="1pt" strokecolor="#b6bdc8">
            <v:stroke dashstyle="solid"/>
            <w10:wrap type="topAndBottom"/>
          </v:line>
        </w:pict>
      </w:r>
      <w:r>
        <w:rPr>
          <w:sz w:val="20"/>
        </w:rPr>
        <w:t>Victoria Legal Aid (VLA) proposed that Juries Victoria </w:t>
      </w:r>
      <w:r>
        <w:rPr>
          <w:spacing w:val="-3"/>
          <w:sz w:val="20"/>
        </w:rPr>
        <w:t>provide </w:t>
      </w:r>
      <w:r>
        <w:rPr>
          <w:sz w:val="20"/>
        </w:rPr>
        <w:t>information about disability</w:t>
      </w:r>
      <w:r>
        <w:rPr>
          <w:spacing w:val="-10"/>
          <w:sz w:val="20"/>
        </w:rPr>
        <w:t> </w:t>
      </w:r>
      <w:r>
        <w:rPr>
          <w:sz w:val="20"/>
        </w:rPr>
        <w:t>and</w:t>
      </w:r>
      <w:r>
        <w:rPr>
          <w:spacing w:val="-9"/>
          <w:sz w:val="20"/>
        </w:rPr>
        <w:t> </w:t>
      </w:r>
      <w:r>
        <w:rPr>
          <w:sz w:val="20"/>
        </w:rPr>
        <w:t>what</w:t>
      </w:r>
      <w:r>
        <w:rPr>
          <w:spacing w:val="-10"/>
          <w:sz w:val="20"/>
        </w:rPr>
        <w:t> </w:t>
      </w:r>
      <w:r>
        <w:rPr>
          <w:sz w:val="20"/>
        </w:rPr>
        <w:t>adjustments</w:t>
      </w:r>
      <w:r>
        <w:rPr>
          <w:spacing w:val="-9"/>
          <w:sz w:val="20"/>
        </w:rPr>
        <w:t> </w:t>
      </w:r>
      <w:r>
        <w:rPr>
          <w:spacing w:val="-4"/>
          <w:sz w:val="20"/>
        </w:rPr>
        <w:t>have</w:t>
      </w:r>
      <w:r>
        <w:rPr>
          <w:spacing w:val="-10"/>
          <w:sz w:val="20"/>
        </w:rPr>
        <w:t> </w:t>
      </w:r>
      <w:r>
        <w:rPr>
          <w:sz w:val="20"/>
        </w:rPr>
        <w:t>been</w:t>
      </w:r>
      <w:r>
        <w:rPr>
          <w:spacing w:val="-9"/>
          <w:sz w:val="20"/>
        </w:rPr>
        <w:t> </w:t>
      </w:r>
      <w:r>
        <w:rPr>
          <w:sz w:val="20"/>
        </w:rPr>
        <w:t>requested</w:t>
      </w:r>
      <w:r>
        <w:rPr>
          <w:spacing w:val="-10"/>
          <w:sz w:val="20"/>
        </w:rPr>
        <w:t> </w:t>
      </w:r>
      <w:r>
        <w:rPr>
          <w:sz w:val="20"/>
        </w:rPr>
        <w:t>to</w:t>
      </w:r>
      <w:r>
        <w:rPr>
          <w:spacing w:val="-9"/>
          <w:sz w:val="20"/>
        </w:rPr>
        <w:t> </w:t>
      </w:r>
      <w:r>
        <w:rPr>
          <w:sz w:val="20"/>
        </w:rPr>
        <w:t>the</w:t>
      </w:r>
      <w:r>
        <w:rPr>
          <w:spacing w:val="-9"/>
          <w:sz w:val="20"/>
        </w:rPr>
        <w:t> </w:t>
      </w:r>
      <w:r>
        <w:rPr>
          <w:sz w:val="20"/>
        </w:rPr>
        <w:t>judge</w:t>
      </w:r>
      <w:r>
        <w:rPr>
          <w:spacing w:val="-10"/>
          <w:sz w:val="20"/>
        </w:rPr>
        <w:t> </w:t>
      </w:r>
      <w:r>
        <w:rPr>
          <w:sz w:val="20"/>
        </w:rPr>
        <w:t>and</w:t>
      </w:r>
      <w:r>
        <w:rPr>
          <w:spacing w:val="-9"/>
          <w:sz w:val="20"/>
        </w:rPr>
        <w:t> </w:t>
      </w:r>
      <w:r>
        <w:rPr>
          <w:sz w:val="20"/>
        </w:rPr>
        <w:t>parties</w:t>
      </w:r>
      <w:r>
        <w:rPr>
          <w:spacing w:val="-10"/>
          <w:sz w:val="20"/>
        </w:rPr>
        <w:t> </w:t>
      </w:r>
      <w:r>
        <w:rPr>
          <w:spacing w:val="-3"/>
          <w:sz w:val="20"/>
        </w:rPr>
        <w:t>before </w:t>
      </w:r>
      <w:r>
        <w:rPr>
          <w:sz w:val="20"/>
        </w:rPr>
        <w:t>the</w:t>
      </w:r>
      <w:r>
        <w:rPr>
          <w:spacing w:val="-10"/>
          <w:sz w:val="20"/>
        </w:rPr>
        <w:t> </w:t>
      </w:r>
      <w:r>
        <w:rPr>
          <w:sz w:val="20"/>
        </w:rPr>
        <w:t>jury</w:t>
      </w:r>
      <w:r>
        <w:rPr>
          <w:spacing w:val="-9"/>
          <w:sz w:val="20"/>
        </w:rPr>
        <w:t> </w:t>
      </w:r>
      <w:r>
        <w:rPr>
          <w:sz w:val="20"/>
        </w:rPr>
        <w:t>panel</w:t>
      </w:r>
      <w:r>
        <w:rPr>
          <w:spacing w:val="-9"/>
          <w:sz w:val="20"/>
        </w:rPr>
        <w:t> </w:t>
      </w:r>
      <w:r>
        <w:rPr>
          <w:sz w:val="20"/>
        </w:rPr>
        <w:t>enters</w:t>
      </w:r>
      <w:r>
        <w:rPr>
          <w:spacing w:val="-9"/>
          <w:sz w:val="20"/>
        </w:rPr>
        <w:t> </w:t>
      </w:r>
      <w:r>
        <w:rPr>
          <w:sz w:val="20"/>
        </w:rPr>
        <w:t>the</w:t>
      </w:r>
      <w:r>
        <w:rPr>
          <w:spacing w:val="-10"/>
          <w:sz w:val="20"/>
        </w:rPr>
        <w:t> </w:t>
      </w:r>
      <w:r>
        <w:rPr>
          <w:sz w:val="20"/>
        </w:rPr>
        <w:t>courtroom.</w:t>
      </w:r>
      <w:r>
        <w:rPr>
          <w:spacing w:val="-9"/>
          <w:sz w:val="20"/>
        </w:rPr>
        <w:t> </w:t>
      </w:r>
      <w:r>
        <w:rPr>
          <w:spacing w:val="-3"/>
          <w:sz w:val="20"/>
        </w:rPr>
        <w:t>At</w:t>
      </w:r>
      <w:r>
        <w:rPr>
          <w:spacing w:val="-9"/>
          <w:sz w:val="20"/>
        </w:rPr>
        <w:t> </w:t>
      </w:r>
      <w:r>
        <w:rPr>
          <w:sz w:val="20"/>
        </w:rPr>
        <w:t>that</w:t>
      </w:r>
      <w:r>
        <w:rPr>
          <w:spacing w:val="-9"/>
          <w:sz w:val="20"/>
        </w:rPr>
        <w:t> </w:t>
      </w:r>
      <w:r>
        <w:rPr>
          <w:sz w:val="20"/>
        </w:rPr>
        <w:t>stage</w:t>
      </w:r>
      <w:r>
        <w:rPr>
          <w:spacing w:val="-9"/>
          <w:sz w:val="20"/>
        </w:rPr>
        <w:t> </w:t>
      </w:r>
      <w:r>
        <w:rPr>
          <w:sz w:val="20"/>
        </w:rPr>
        <w:t>there</w:t>
      </w:r>
      <w:r>
        <w:rPr>
          <w:spacing w:val="-10"/>
          <w:sz w:val="20"/>
        </w:rPr>
        <w:t> </w:t>
      </w:r>
      <w:r>
        <w:rPr>
          <w:sz w:val="20"/>
        </w:rPr>
        <w:t>should</w:t>
      </w:r>
      <w:r>
        <w:rPr>
          <w:spacing w:val="-9"/>
          <w:sz w:val="20"/>
        </w:rPr>
        <w:t> </w:t>
      </w:r>
      <w:r>
        <w:rPr>
          <w:sz w:val="20"/>
        </w:rPr>
        <w:t>be</w:t>
      </w:r>
      <w:r>
        <w:rPr>
          <w:spacing w:val="-9"/>
          <w:sz w:val="20"/>
        </w:rPr>
        <w:t> </w:t>
      </w:r>
      <w:r>
        <w:rPr>
          <w:sz w:val="20"/>
        </w:rPr>
        <w:t>an</w:t>
      </w:r>
      <w:r>
        <w:rPr>
          <w:spacing w:val="-9"/>
          <w:sz w:val="20"/>
        </w:rPr>
        <w:t> </w:t>
      </w:r>
      <w:r>
        <w:rPr>
          <w:sz w:val="20"/>
        </w:rPr>
        <w:t>opportunity</w:t>
      </w:r>
      <w:r>
        <w:rPr>
          <w:spacing w:val="-9"/>
          <w:sz w:val="20"/>
        </w:rPr>
        <w:t> </w:t>
      </w:r>
      <w:r>
        <w:rPr>
          <w:sz w:val="20"/>
        </w:rPr>
        <w:t>for the</w:t>
      </w:r>
      <w:r>
        <w:rPr>
          <w:spacing w:val="-11"/>
          <w:sz w:val="20"/>
        </w:rPr>
        <w:t> </w:t>
      </w:r>
      <w:r>
        <w:rPr>
          <w:sz w:val="20"/>
        </w:rPr>
        <w:t>parties</w:t>
      </w:r>
      <w:r>
        <w:rPr>
          <w:spacing w:val="-10"/>
          <w:sz w:val="20"/>
        </w:rPr>
        <w:t> </w:t>
      </w:r>
      <w:r>
        <w:rPr>
          <w:sz w:val="20"/>
        </w:rPr>
        <w:t>and</w:t>
      </w:r>
      <w:r>
        <w:rPr>
          <w:spacing w:val="-10"/>
          <w:sz w:val="20"/>
        </w:rPr>
        <w:t> </w:t>
      </w:r>
      <w:r>
        <w:rPr>
          <w:sz w:val="20"/>
        </w:rPr>
        <w:t>trial</w:t>
      </w:r>
      <w:r>
        <w:rPr>
          <w:spacing w:val="-10"/>
          <w:sz w:val="20"/>
        </w:rPr>
        <w:t> </w:t>
      </w:r>
      <w:r>
        <w:rPr>
          <w:sz w:val="20"/>
        </w:rPr>
        <w:t>judge</w:t>
      </w:r>
      <w:r>
        <w:rPr>
          <w:spacing w:val="-10"/>
          <w:sz w:val="20"/>
        </w:rPr>
        <w:t> </w:t>
      </w:r>
      <w:r>
        <w:rPr>
          <w:sz w:val="20"/>
        </w:rPr>
        <w:t>to</w:t>
      </w:r>
      <w:r>
        <w:rPr>
          <w:spacing w:val="-10"/>
          <w:sz w:val="20"/>
        </w:rPr>
        <w:t> </w:t>
      </w:r>
      <w:r>
        <w:rPr>
          <w:sz w:val="20"/>
        </w:rPr>
        <w:t>discuss</w:t>
      </w:r>
      <w:r>
        <w:rPr>
          <w:spacing w:val="-10"/>
          <w:sz w:val="20"/>
        </w:rPr>
        <w:t> </w:t>
      </w:r>
      <w:r>
        <w:rPr>
          <w:sz w:val="20"/>
        </w:rPr>
        <w:t>and</w:t>
      </w:r>
      <w:r>
        <w:rPr>
          <w:spacing w:val="-10"/>
          <w:sz w:val="20"/>
        </w:rPr>
        <w:t> </w:t>
      </w:r>
      <w:r>
        <w:rPr>
          <w:sz w:val="20"/>
        </w:rPr>
        <w:t>decide</w:t>
      </w:r>
      <w:r>
        <w:rPr>
          <w:spacing w:val="-10"/>
          <w:sz w:val="20"/>
        </w:rPr>
        <w:t> </w:t>
      </w:r>
      <w:r>
        <w:rPr>
          <w:sz w:val="20"/>
        </w:rPr>
        <w:t>whether</w:t>
      </w:r>
      <w:r>
        <w:rPr>
          <w:spacing w:val="-11"/>
          <w:sz w:val="20"/>
        </w:rPr>
        <w:t> </w:t>
      </w:r>
      <w:r>
        <w:rPr>
          <w:sz w:val="20"/>
        </w:rPr>
        <w:t>that</w:t>
      </w:r>
      <w:r>
        <w:rPr>
          <w:spacing w:val="-10"/>
          <w:sz w:val="20"/>
        </w:rPr>
        <w:t> </w:t>
      </w:r>
      <w:r>
        <w:rPr>
          <w:sz w:val="20"/>
        </w:rPr>
        <w:t>person</w:t>
      </w:r>
      <w:r>
        <w:rPr>
          <w:spacing w:val="-10"/>
          <w:sz w:val="20"/>
        </w:rPr>
        <w:t> </w:t>
      </w:r>
      <w:r>
        <w:rPr>
          <w:sz w:val="20"/>
        </w:rPr>
        <w:t>can</w:t>
      </w:r>
      <w:r>
        <w:rPr>
          <w:spacing w:val="-10"/>
          <w:sz w:val="20"/>
        </w:rPr>
        <w:t> </w:t>
      </w:r>
      <w:r>
        <w:rPr>
          <w:sz w:val="20"/>
        </w:rPr>
        <w:t>participate as a </w:t>
      </w:r>
      <w:r>
        <w:rPr>
          <w:spacing w:val="-4"/>
          <w:sz w:val="20"/>
        </w:rPr>
        <w:t>juror. </w:t>
      </w:r>
      <w:r>
        <w:rPr>
          <w:sz w:val="20"/>
        </w:rPr>
        <w:t>The jury panel should not be present. VLA noted that </w:t>
      </w:r>
      <w:r>
        <w:rPr>
          <w:spacing w:val="-3"/>
          <w:sz w:val="20"/>
        </w:rPr>
        <w:t>‘critically </w:t>
      </w:r>
      <w:r>
        <w:rPr>
          <w:sz w:val="20"/>
        </w:rPr>
        <w:t>the trial judge must </w:t>
      </w:r>
      <w:r>
        <w:rPr>
          <w:spacing w:val="-4"/>
          <w:sz w:val="20"/>
        </w:rPr>
        <w:t>have </w:t>
      </w:r>
      <w:r>
        <w:rPr>
          <w:sz w:val="20"/>
        </w:rPr>
        <w:t>the final decision as to whether to empanel a potential </w:t>
      </w:r>
      <w:r>
        <w:rPr>
          <w:spacing w:val="-4"/>
          <w:sz w:val="20"/>
        </w:rPr>
        <w:t>juror, </w:t>
      </w:r>
      <w:r>
        <w:rPr>
          <w:sz w:val="20"/>
        </w:rPr>
        <w:t>with the</w:t>
      </w:r>
      <w:r>
        <w:rPr>
          <w:spacing w:val="-7"/>
          <w:sz w:val="20"/>
        </w:rPr>
        <w:t> </w:t>
      </w:r>
      <w:r>
        <w:rPr>
          <w:sz w:val="20"/>
        </w:rPr>
        <w:t>assistance</w:t>
      </w:r>
      <w:r>
        <w:rPr>
          <w:spacing w:val="-6"/>
          <w:sz w:val="20"/>
        </w:rPr>
        <w:t> </w:t>
      </w:r>
      <w:r>
        <w:rPr>
          <w:sz w:val="20"/>
        </w:rPr>
        <w:t>of</w:t>
      </w:r>
      <w:r>
        <w:rPr>
          <w:spacing w:val="-6"/>
          <w:sz w:val="20"/>
        </w:rPr>
        <w:t> </w:t>
      </w:r>
      <w:r>
        <w:rPr>
          <w:sz w:val="20"/>
        </w:rPr>
        <w:t>the</w:t>
      </w:r>
      <w:r>
        <w:rPr>
          <w:spacing w:val="-7"/>
          <w:sz w:val="20"/>
        </w:rPr>
        <w:t> </w:t>
      </w:r>
      <w:r>
        <w:rPr>
          <w:spacing w:val="-3"/>
          <w:sz w:val="20"/>
        </w:rPr>
        <w:t>parties’.</w:t>
      </w:r>
      <w:r>
        <w:rPr>
          <w:spacing w:val="-3"/>
          <w:position w:val="7"/>
          <w:sz w:val="11"/>
        </w:rPr>
        <w:t>50</w:t>
      </w:r>
      <w:r>
        <w:rPr>
          <w:spacing w:val="19"/>
          <w:position w:val="7"/>
          <w:sz w:val="11"/>
        </w:rPr>
        <w:t> </w:t>
      </w:r>
      <w:r>
        <w:rPr>
          <w:sz w:val="20"/>
        </w:rPr>
        <w:t>This</w:t>
      </w:r>
      <w:r>
        <w:rPr>
          <w:spacing w:val="-6"/>
          <w:sz w:val="20"/>
        </w:rPr>
        <w:t> </w:t>
      </w:r>
      <w:r>
        <w:rPr>
          <w:sz w:val="20"/>
        </w:rPr>
        <w:t>should</w:t>
      </w:r>
      <w:r>
        <w:rPr>
          <w:spacing w:val="-7"/>
          <w:sz w:val="20"/>
        </w:rPr>
        <w:t> </w:t>
      </w:r>
      <w:r>
        <w:rPr>
          <w:spacing w:val="-4"/>
          <w:sz w:val="20"/>
        </w:rPr>
        <w:t>involve</w:t>
      </w:r>
      <w:r>
        <w:rPr>
          <w:spacing w:val="-6"/>
          <w:sz w:val="20"/>
        </w:rPr>
        <w:t> </w:t>
      </w:r>
      <w:r>
        <w:rPr>
          <w:sz w:val="20"/>
        </w:rPr>
        <w:t>an</w:t>
      </w:r>
      <w:r>
        <w:rPr>
          <w:spacing w:val="-6"/>
          <w:sz w:val="20"/>
        </w:rPr>
        <w:t> </w:t>
      </w:r>
      <w:r>
        <w:rPr>
          <w:sz w:val="20"/>
        </w:rPr>
        <w:t>assessment</w:t>
      </w:r>
      <w:r>
        <w:rPr>
          <w:spacing w:val="-7"/>
          <w:sz w:val="20"/>
        </w:rPr>
        <w:t> </w:t>
      </w:r>
      <w:r>
        <w:rPr>
          <w:sz w:val="20"/>
        </w:rPr>
        <w:t>of</w:t>
      </w:r>
      <w:r>
        <w:rPr>
          <w:spacing w:val="-6"/>
          <w:sz w:val="20"/>
        </w:rPr>
        <w:t> </w:t>
      </w:r>
      <w:r>
        <w:rPr>
          <w:sz w:val="20"/>
        </w:rPr>
        <w:t>the</w:t>
      </w:r>
      <w:r>
        <w:rPr>
          <w:spacing w:val="-6"/>
          <w:sz w:val="20"/>
        </w:rPr>
        <w:t> </w:t>
      </w:r>
      <w:r>
        <w:rPr>
          <w:spacing w:val="-3"/>
          <w:sz w:val="20"/>
        </w:rPr>
        <w:t>nature</w:t>
      </w:r>
      <w:r>
        <w:rPr>
          <w:spacing w:val="-7"/>
          <w:sz w:val="20"/>
        </w:rPr>
        <w:t> </w:t>
      </w:r>
      <w:r>
        <w:rPr>
          <w:sz w:val="20"/>
        </w:rPr>
        <w:t>of</w:t>
      </w:r>
      <w:r>
        <w:rPr>
          <w:spacing w:val="-6"/>
          <w:sz w:val="20"/>
        </w:rPr>
        <w:t> </w:t>
      </w:r>
      <w:r>
        <w:rPr>
          <w:sz w:val="20"/>
        </w:rPr>
        <w:t>the</w:t>
      </w:r>
    </w:p>
    <w:p>
      <w:pPr>
        <w:pStyle w:val="BodyText"/>
        <w:rPr>
          <w:sz w:val="5"/>
        </w:rPr>
      </w:pPr>
    </w:p>
    <w:p>
      <w:pPr>
        <w:spacing w:after="0"/>
        <w:rPr>
          <w:sz w:val="5"/>
        </w:rPr>
        <w:sectPr>
          <w:pgSz w:w="11910" w:h="16840"/>
          <w:pgMar w:header="567" w:footer="0" w:top="860" w:bottom="280" w:left="620" w:right="380"/>
        </w:sectPr>
      </w:pPr>
    </w:p>
    <w:p>
      <w:pPr>
        <w:pStyle w:val="BodyText"/>
        <w:spacing w:before="13"/>
        <w:rPr>
          <w:sz w:val="26"/>
        </w:rPr>
      </w:pPr>
    </w:p>
    <w:p>
      <w:pPr>
        <w:spacing w:before="0"/>
        <w:ind w:left="100" w:right="0" w:firstLine="0"/>
        <w:jc w:val="left"/>
        <w:rPr>
          <w:b/>
          <w:sz w:val="24"/>
        </w:rPr>
      </w:pPr>
      <w:r>
        <w:rPr>
          <w:b/>
          <w:color w:val="37617A"/>
          <w:sz w:val="24"/>
        </w:rPr>
        <w:t>130</w:t>
      </w:r>
    </w:p>
    <w:p>
      <w:pPr>
        <w:pStyle w:val="ListParagraph"/>
        <w:numPr>
          <w:ilvl w:val="0"/>
          <w:numId w:val="87"/>
        </w:numPr>
        <w:tabs>
          <w:tab w:pos="893" w:val="left" w:leader="none"/>
          <w:tab w:pos="894" w:val="left" w:leader="none"/>
        </w:tabs>
        <w:spacing w:line="170" w:lineRule="exact" w:before="21" w:after="0"/>
        <w:ind w:left="893" w:right="0" w:hanging="793"/>
        <w:jc w:val="left"/>
        <w:rPr>
          <w:sz w:val="13"/>
        </w:rPr>
      </w:pPr>
      <w:r>
        <w:rPr>
          <w:spacing w:val="2"/>
          <w:w w:val="100"/>
          <w:sz w:val="13"/>
        </w:rPr>
        <w:br w:type="column"/>
      </w:r>
      <w:r>
        <w:rPr>
          <w:sz w:val="13"/>
        </w:rPr>
        <w:t>The </w:t>
      </w:r>
      <w:r>
        <w:rPr>
          <w:spacing w:val="2"/>
          <w:sz w:val="13"/>
        </w:rPr>
        <w:t>Commission </w:t>
      </w:r>
      <w:r>
        <w:rPr>
          <w:sz w:val="13"/>
        </w:rPr>
        <w:t>notes that at this </w:t>
      </w:r>
      <w:r>
        <w:rPr>
          <w:spacing w:val="2"/>
          <w:sz w:val="13"/>
        </w:rPr>
        <w:t>stage </w:t>
      </w:r>
      <w:r>
        <w:rPr>
          <w:sz w:val="13"/>
        </w:rPr>
        <w:t>it will not be known what specific trial the person may be balloted</w:t>
      </w:r>
      <w:r>
        <w:rPr>
          <w:spacing w:val="14"/>
          <w:sz w:val="13"/>
        </w:rPr>
        <w:t> </w:t>
      </w:r>
      <w:r>
        <w:rPr>
          <w:sz w:val="13"/>
        </w:rPr>
        <w:t>to.</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13 </w:t>
      </w:r>
      <w:r>
        <w:rPr>
          <w:spacing w:val="2"/>
          <w:sz w:val="13"/>
        </w:rPr>
        <w:t>(Juries</w:t>
      </w:r>
      <w:r>
        <w:rPr>
          <w:spacing w:val="-2"/>
          <w:sz w:val="13"/>
        </w:rPr>
        <w:t> </w:t>
      </w:r>
      <w:r>
        <w:rPr>
          <w:sz w:val="13"/>
        </w:rPr>
        <w:t>Victoria).</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z w:val="13"/>
        </w:rPr>
        <w:t>Consultation 2 (Law Institute of</w:t>
      </w:r>
      <w:r>
        <w:rPr>
          <w:spacing w:val="1"/>
          <w:sz w:val="13"/>
        </w:rPr>
        <w:t> </w:t>
      </w:r>
      <w:r>
        <w:rPr>
          <w:sz w:val="13"/>
        </w:rPr>
        <w:t>Victoria).</w:t>
      </w:r>
    </w:p>
    <w:p>
      <w:pPr>
        <w:pStyle w:val="ListParagraph"/>
        <w:numPr>
          <w:ilvl w:val="0"/>
          <w:numId w:val="87"/>
        </w:numPr>
        <w:tabs>
          <w:tab w:pos="893" w:val="left" w:leader="none"/>
          <w:tab w:pos="894" w:val="left" w:leader="none"/>
        </w:tabs>
        <w:spacing w:line="170" w:lineRule="exact" w:before="0" w:after="0"/>
        <w:ind w:left="893" w:right="0" w:hanging="793"/>
        <w:jc w:val="left"/>
        <w:rPr>
          <w:sz w:val="13"/>
        </w:rPr>
      </w:pP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spacing w:after="0" w:line="170" w:lineRule="exact"/>
        <w:jc w:val="left"/>
        <w:rPr>
          <w:sz w:val="13"/>
        </w:rPr>
        <w:sectPr>
          <w:type w:val="continuous"/>
          <w:pgSz w:w="11910" w:h="16840"/>
          <w:pgMar w:top="620" w:bottom="280" w:left="620" w:right="380"/>
          <w:cols w:num="2" w:equalWidth="0">
            <w:col w:w="537" w:space="331"/>
            <w:col w:w="10042"/>
          </w:cols>
        </w:sectPr>
      </w:pPr>
    </w:p>
    <w:p>
      <w:pPr>
        <w:pStyle w:val="BodyText"/>
      </w:pPr>
    </w:p>
    <w:p>
      <w:pPr>
        <w:pStyle w:val="BodyText"/>
      </w:pPr>
    </w:p>
    <w:p>
      <w:pPr>
        <w:pStyle w:val="BodyText"/>
      </w:pPr>
    </w:p>
    <w:p>
      <w:pPr>
        <w:pStyle w:val="BodyText"/>
        <w:spacing w:before="6"/>
        <w:rPr>
          <w:sz w:val="14"/>
        </w:rPr>
      </w:pPr>
    </w:p>
    <w:p>
      <w:pPr>
        <w:pStyle w:val="BodyText"/>
        <w:spacing w:line="206" w:lineRule="auto" w:before="90"/>
        <w:ind w:left="1761" w:right="1223"/>
        <w:rPr>
          <w:sz w:val="11"/>
        </w:rPr>
      </w:pPr>
      <w:bookmarkStart w:name="The Commission’s conclusions: procedural" w:id="232"/>
      <w:bookmarkEnd w:id="232"/>
      <w:r>
        <w:rPr/>
      </w:r>
      <w:bookmarkStart w:name="_bookmark95" w:id="233"/>
      <w:bookmarkEnd w:id="233"/>
      <w:r>
        <w:rPr/>
      </w:r>
      <w:r>
        <w:rPr>
          <w:spacing w:val="-3"/>
        </w:rPr>
        <w:t>evidence, </w:t>
      </w:r>
      <w:r>
        <w:rPr/>
        <w:t>the </w:t>
      </w:r>
      <w:r>
        <w:rPr>
          <w:spacing w:val="-4"/>
        </w:rPr>
        <w:t>key </w:t>
      </w:r>
      <w:r>
        <w:rPr/>
        <w:t>issues at trial, and the potential </w:t>
      </w:r>
      <w:r>
        <w:rPr>
          <w:spacing w:val="-3"/>
        </w:rPr>
        <w:t>juror’s </w:t>
      </w:r>
      <w:r>
        <w:rPr/>
        <w:t>impairments and the supports and adjustments available.</w:t>
      </w:r>
      <w:r>
        <w:rPr>
          <w:position w:val="7"/>
          <w:sz w:val="11"/>
        </w:rPr>
        <w:t>51</w:t>
      </w:r>
    </w:p>
    <w:p>
      <w:pPr>
        <w:pStyle w:val="ListParagraph"/>
        <w:numPr>
          <w:ilvl w:val="1"/>
          <w:numId w:val="12"/>
        </w:numPr>
        <w:tabs>
          <w:tab w:pos="1761" w:val="left" w:leader="none"/>
          <w:tab w:pos="1762" w:val="left" w:leader="none"/>
        </w:tabs>
        <w:spacing w:line="206" w:lineRule="auto" w:before="122" w:after="0"/>
        <w:ind w:left="1761" w:right="1360" w:hanging="794"/>
        <w:jc w:val="left"/>
        <w:rPr>
          <w:sz w:val="11"/>
        </w:rPr>
      </w:pPr>
      <w:r>
        <w:rPr>
          <w:sz w:val="20"/>
        </w:rPr>
        <w:t>The</w:t>
      </w:r>
      <w:r>
        <w:rPr>
          <w:spacing w:val="-12"/>
          <w:sz w:val="20"/>
        </w:rPr>
        <w:t> </w:t>
      </w:r>
      <w:r>
        <w:rPr>
          <w:sz w:val="20"/>
        </w:rPr>
        <w:t>Office</w:t>
      </w:r>
      <w:r>
        <w:rPr>
          <w:spacing w:val="-11"/>
          <w:sz w:val="20"/>
        </w:rPr>
        <w:t> </w:t>
      </w:r>
      <w:r>
        <w:rPr>
          <w:sz w:val="20"/>
        </w:rPr>
        <w:t>of</w:t>
      </w:r>
      <w:r>
        <w:rPr>
          <w:spacing w:val="-11"/>
          <w:sz w:val="20"/>
        </w:rPr>
        <w:t> </w:t>
      </w:r>
      <w:r>
        <w:rPr>
          <w:sz w:val="20"/>
        </w:rPr>
        <w:t>Public</w:t>
      </w:r>
      <w:r>
        <w:rPr>
          <w:spacing w:val="-11"/>
          <w:sz w:val="20"/>
        </w:rPr>
        <w:t> </w:t>
      </w:r>
      <w:r>
        <w:rPr>
          <w:sz w:val="20"/>
        </w:rPr>
        <w:t>Prosecutions</w:t>
      </w:r>
      <w:r>
        <w:rPr>
          <w:spacing w:val="-11"/>
          <w:sz w:val="20"/>
        </w:rPr>
        <w:t> </w:t>
      </w:r>
      <w:r>
        <w:rPr>
          <w:spacing w:val="-3"/>
          <w:sz w:val="20"/>
        </w:rPr>
        <w:t>(OPP)</w:t>
      </w:r>
      <w:r>
        <w:rPr>
          <w:spacing w:val="-11"/>
          <w:sz w:val="20"/>
        </w:rPr>
        <w:t> </w:t>
      </w:r>
      <w:r>
        <w:rPr>
          <w:sz w:val="20"/>
        </w:rPr>
        <w:t>did</w:t>
      </w:r>
      <w:r>
        <w:rPr>
          <w:spacing w:val="-11"/>
          <w:sz w:val="20"/>
        </w:rPr>
        <w:t> </w:t>
      </w:r>
      <w:r>
        <w:rPr>
          <w:sz w:val="20"/>
        </w:rPr>
        <w:t>not</w:t>
      </w:r>
      <w:r>
        <w:rPr>
          <w:spacing w:val="-11"/>
          <w:sz w:val="20"/>
        </w:rPr>
        <w:t> </w:t>
      </w:r>
      <w:r>
        <w:rPr>
          <w:sz w:val="20"/>
        </w:rPr>
        <w:t>think</w:t>
      </w:r>
      <w:r>
        <w:rPr>
          <w:spacing w:val="-11"/>
          <w:sz w:val="20"/>
        </w:rPr>
        <w:t> </w:t>
      </w:r>
      <w:r>
        <w:rPr>
          <w:sz w:val="20"/>
        </w:rPr>
        <w:t>that</w:t>
      </w:r>
      <w:r>
        <w:rPr>
          <w:spacing w:val="-12"/>
          <w:sz w:val="20"/>
        </w:rPr>
        <w:t> </w:t>
      </w:r>
      <w:r>
        <w:rPr>
          <w:sz w:val="20"/>
        </w:rPr>
        <w:t>all</w:t>
      </w:r>
      <w:r>
        <w:rPr>
          <w:spacing w:val="-11"/>
          <w:sz w:val="20"/>
        </w:rPr>
        <w:t> </w:t>
      </w:r>
      <w:r>
        <w:rPr>
          <w:sz w:val="20"/>
        </w:rPr>
        <w:t>matters</w:t>
      </w:r>
      <w:r>
        <w:rPr>
          <w:spacing w:val="-11"/>
          <w:sz w:val="20"/>
        </w:rPr>
        <w:t> </w:t>
      </w:r>
      <w:r>
        <w:rPr>
          <w:spacing w:val="-3"/>
          <w:sz w:val="20"/>
        </w:rPr>
        <w:t>would</w:t>
      </w:r>
      <w:r>
        <w:rPr>
          <w:spacing w:val="-11"/>
          <w:sz w:val="20"/>
        </w:rPr>
        <w:t> </w:t>
      </w:r>
      <w:r>
        <w:rPr>
          <w:sz w:val="20"/>
        </w:rPr>
        <w:t>need</w:t>
      </w:r>
      <w:r>
        <w:rPr>
          <w:spacing w:val="-11"/>
          <w:sz w:val="20"/>
        </w:rPr>
        <w:t> </w:t>
      </w:r>
      <w:r>
        <w:rPr>
          <w:sz w:val="20"/>
        </w:rPr>
        <w:t>to</w:t>
      </w:r>
      <w:r>
        <w:rPr>
          <w:spacing w:val="-11"/>
          <w:sz w:val="20"/>
        </w:rPr>
        <w:t> </w:t>
      </w:r>
      <w:r>
        <w:rPr>
          <w:sz w:val="20"/>
        </w:rPr>
        <w:t>go </w:t>
      </w:r>
      <w:r>
        <w:rPr>
          <w:spacing w:val="-3"/>
          <w:sz w:val="20"/>
        </w:rPr>
        <w:t>before</w:t>
      </w:r>
      <w:r>
        <w:rPr>
          <w:spacing w:val="-9"/>
          <w:sz w:val="20"/>
        </w:rPr>
        <w:t> </w:t>
      </w:r>
      <w:r>
        <w:rPr>
          <w:sz w:val="20"/>
        </w:rPr>
        <w:t>a</w:t>
      </w:r>
      <w:r>
        <w:rPr>
          <w:spacing w:val="-9"/>
          <w:sz w:val="20"/>
        </w:rPr>
        <w:t> </w:t>
      </w:r>
      <w:r>
        <w:rPr>
          <w:sz w:val="20"/>
        </w:rPr>
        <w:t>judge.</w:t>
      </w:r>
      <w:r>
        <w:rPr>
          <w:spacing w:val="-8"/>
          <w:sz w:val="20"/>
        </w:rPr>
        <w:t> </w:t>
      </w:r>
      <w:r>
        <w:rPr>
          <w:spacing w:val="-5"/>
          <w:sz w:val="20"/>
        </w:rPr>
        <w:t>However,</w:t>
      </w:r>
      <w:r>
        <w:rPr>
          <w:spacing w:val="-9"/>
          <w:sz w:val="20"/>
        </w:rPr>
        <w:t> </w:t>
      </w:r>
      <w:r>
        <w:rPr>
          <w:sz w:val="20"/>
        </w:rPr>
        <w:t>it</w:t>
      </w:r>
      <w:r>
        <w:rPr>
          <w:spacing w:val="-8"/>
          <w:sz w:val="20"/>
        </w:rPr>
        <w:t> </w:t>
      </w:r>
      <w:r>
        <w:rPr>
          <w:sz w:val="20"/>
        </w:rPr>
        <w:t>stated</w:t>
      </w:r>
      <w:r>
        <w:rPr>
          <w:spacing w:val="-9"/>
          <w:sz w:val="20"/>
        </w:rPr>
        <w:t> </w:t>
      </w:r>
      <w:r>
        <w:rPr>
          <w:sz w:val="20"/>
        </w:rPr>
        <w:t>that</w:t>
      </w:r>
      <w:r>
        <w:rPr>
          <w:spacing w:val="-9"/>
          <w:sz w:val="20"/>
        </w:rPr>
        <w:t> </w:t>
      </w:r>
      <w:r>
        <w:rPr>
          <w:sz w:val="20"/>
        </w:rPr>
        <w:t>it</w:t>
      </w:r>
      <w:r>
        <w:rPr>
          <w:spacing w:val="-8"/>
          <w:sz w:val="20"/>
        </w:rPr>
        <w:t> </w:t>
      </w:r>
      <w:r>
        <w:rPr>
          <w:sz w:val="20"/>
        </w:rPr>
        <w:t>was</w:t>
      </w:r>
      <w:r>
        <w:rPr>
          <w:spacing w:val="-9"/>
          <w:sz w:val="20"/>
        </w:rPr>
        <w:t> </w:t>
      </w:r>
      <w:r>
        <w:rPr>
          <w:sz w:val="20"/>
        </w:rPr>
        <w:t>important</w:t>
      </w:r>
      <w:r>
        <w:rPr>
          <w:spacing w:val="-8"/>
          <w:sz w:val="20"/>
        </w:rPr>
        <w:t> </w:t>
      </w:r>
      <w:r>
        <w:rPr>
          <w:sz w:val="20"/>
        </w:rPr>
        <w:t>that</w:t>
      </w:r>
      <w:r>
        <w:rPr>
          <w:spacing w:val="-9"/>
          <w:sz w:val="20"/>
        </w:rPr>
        <w:t> </w:t>
      </w:r>
      <w:r>
        <w:rPr>
          <w:sz w:val="20"/>
        </w:rPr>
        <w:t>the</w:t>
      </w:r>
      <w:r>
        <w:rPr>
          <w:spacing w:val="-9"/>
          <w:sz w:val="20"/>
        </w:rPr>
        <w:t> </w:t>
      </w:r>
      <w:r>
        <w:rPr>
          <w:sz w:val="20"/>
        </w:rPr>
        <w:t>final</w:t>
      </w:r>
      <w:r>
        <w:rPr>
          <w:spacing w:val="-8"/>
          <w:sz w:val="20"/>
        </w:rPr>
        <w:t> </w:t>
      </w:r>
      <w:r>
        <w:rPr>
          <w:sz w:val="20"/>
        </w:rPr>
        <w:t>decision</w:t>
      </w:r>
      <w:r>
        <w:rPr>
          <w:spacing w:val="-9"/>
          <w:sz w:val="20"/>
        </w:rPr>
        <w:t> </w:t>
      </w:r>
      <w:r>
        <w:rPr>
          <w:sz w:val="20"/>
        </w:rPr>
        <w:t>is</w:t>
      </w:r>
      <w:r>
        <w:rPr>
          <w:spacing w:val="-8"/>
          <w:sz w:val="20"/>
        </w:rPr>
        <w:t> </w:t>
      </w:r>
      <w:r>
        <w:rPr>
          <w:sz w:val="20"/>
        </w:rPr>
        <w:t>made </w:t>
      </w:r>
      <w:r>
        <w:rPr>
          <w:spacing w:val="-3"/>
          <w:sz w:val="20"/>
        </w:rPr>
        <w:t>by </w:t>
      </w:r>
      <w:r>
        <w:rPr>
          <w:sz w:val="20"/>
        </w:rPr>
        <w:t>a judge.</w:t>
      </w:r>
      <w:r>
        <w:rPr>
          <w:spacing w:val="-10"/>
          <w:sz w:val="20"/>
        </w:rPr>
        <w:t> </w:t>
      </w:r>
      <w:r>
        <w:rPr>
          <w:spacing w:val="3"/>
          <w:position w:val="7"/>
          <w:sz w:val="11"/>
        </w:rPr>
        <w:t>52</w:t>
      </w:r>
    </w:p>
    <w:p>
      <w:pPr>
        <w:pStyle w:val="ListParagraph"/>
        <w:numPr>
          <w:ilvl w:val="1"/>
          <w:numId w:val="12"/>
        </w:numPr>
        <w:tabs>
          <w:tab w:pos="1761" w:val="left" w:leader="none"/>
          <w:tab w:pos="1762" w:val="left" w:leader="none"/>
        </w:tabs>
        <w:spacing w:line="206" w:lineRule="auto" w:before="124" w:after="0"/>
        <w:ind w:left="1761" w:right="1338" w:hanging="794"/>
        <w:jc w:val="left"/>
        <w:rPr>
          <w:sz w:val="20"/>
        </w:rPr>
      </w:pPr>
      <w:r>
        <w:rPr>
          <w:sz w:val="20"/>
        </w:rPr>
        <w:t>The</w:t>
      </w:r>
      <w:r>
        <w:rPr>
          <w:spacing w:val="-9"/>
          <w:sz w:val="20"/>
        </w:rPr>
        <w:t> </w:t>
      </w:r>
      <w:r>
        <w:rPr>
          <w:sz w:val="20"/>
        </w:rPr>
        <w:t>process</w:t>
      </w:r>
      <w:r>
        <w:rPr>
          <w:spacing w:val="-8"/>
          <w:sz w:val="20"/>
        </w:rPr>
        <w:t> </w:t>
      </w:r>
      <w:r>
        <w:rPr>
          <w:sz w:val="20"/>
        </w:rPr>
        <w:t>suggested</w:t>
      </w:r>
      <w:r>
        <w:rPr>
          <w:spacing w:val="-9"/>
          <w:sz w:val="20"/>
        </w:rPr>
        <w:t> </w:t>
      </w:r>
      <w:r>
        <w:rPr>
          <w:spacing w:val="-3"/>
          <w:sz w:val="20"/>
        </w:rPr>
        <w:t>by</w:t>
      </w:r>
      <w:r>
        <w:rPr>
          <w:spacing w:val="-8"/>
          <w:sz w:val="20"/>
        </w:rPr>
        <w:t> </w:t>
      </w:r>
      <w:r>
        <w:rPr>
          <w:sz w:val="20"/>
        </w:rPr>
        <w:t>the</w:t>
      </w:r>
      <w:r>
        <w:rPr>
          <w:spacing w:val="-9"/>
          <w:sz w:val="20"/>
        </w:rPr>
        <w:t> </w:t>
      </w:r>
      <w:r>
        <w:rPr>
          <w:sz w:val="20"/>
        </w:rPr>
        <w:t>New</w:t>
      </w:r>
      <w:r>
        <w:rPr>
          <w:spacing w:val="-8"/>
          <w:sz w:val="20"/>
        </w:rPr>
        <w:t> </w:t>
      </w:r>
      <w:r>
        <w:rPr>
          <w:sz w:val="20"/>
        </w:rPr>
        <w:t>South</w:t>
      </w:r>
      <w:r>
        <w:rPr>
          <w:spacing w:val="-8"/>
          <w:sz w:val="20"/>
        </w:rPr>
        <w:t> </w:t>
      </w:r>
      <w:r>
        <w:rPr>
          <w:spacing w:val="-4"/>
          <w:sz w:val="20"/>
        </w:rPr>
        <w:t>Wales</w:t>
      </w:r>
      <w:r>
        <w:rPr>
          <w:spacing w:val="-9"/>
          <w:sz w:val="20"/>
        </w:rPr>
        <w:t> </w:t>
      </w:r>
      <w:r>
        <w:rPr>
          <w:sz w:val="20"/>
        </w:rPr>
        <w:t>Law</w:t>
      </w:r>
      <w:r>
        <w:rPr>
          <w:spacing w:val="-8"/>
          <w:sz w:val="20"/>
        </w:rPr>
        <w:t> </w:t>
      </w:r>
      <w:r>
        <w:rPr>
          <w:sz w:val="20"/>
        </w:rPr>
        <w:t>Reform</w:t>
      </w:r>
      <w:r>
        <w:rPr>
          <w:spacing w:val="-9"/>
          <w:sz w:val="20"/>
        </w:rPr>
        <w:t> </w:t>
      </w:r>
      <w:r>
        <w:rPr>
          <w:sz w:val="20"/>
        </w:rPr>
        <w:t>Commission</w:t>
      </w:r>
      <w:r>
        <w:rPr>
          <w:spacing w:val="-8"/>
          <w:sz w:val="20"/>
        </w:rPr>
        <w:t> </w:t>
      </w:r>
      <w:r>
        <w:rPr>
          <w:spacing w:val="-3"/>
          <w:sz w:val="20"/>
        </w:rPr>
        <w:t>(NSWLRC) was:</w:t>
      </w:r>
    </w:p>
    <w:p>
      <w:pPr>
        <w:pStyle w:val="ListParagraph"/>
        <w:numPr>
          <w:ilvl w:val="2"/>
          <w:numId w:val="12"/>
        </w:numPr>
        <w:tabs>
          <w:tab w:pos="2157" w:val="left" w:leader="none"/>
          <w:tab w:pos="2158" w:val="left" w:leader="none"/>
        </w:tabs>
        <w:spacing w:line="206" w:lineRule="auto" w:before="123" w:after="0"/>
        <w:ind w:left="2157" w:right="1349" w:hanging="396"/>
        <w:jc w:val="left"/>
        <w:rPr>
          <w:sz w:val="20"/>
        </w:rPr>
      </w:pPr>
      <w:r>
        <w:rPr>
          <w:sz w:val="20"/>
        </w:rPr>
        <w:t>The</w:t>
      </w:r>
      <w:r>
        <w:rPr>
          <w:spacing w:val="-8"/>
          <w:sz w:val="20"/>
        </w:rPr>
        <w:t> </w:t>
      </w:r>
      <w:r>
        <w:rPr>
          <w:sz w:val="20"/>
        </w:rPr>
        <w:t>person</w:t>
      </w:r>
      <w:r>
        <w:rPr>
          <w:spacing w:val="-8"/>
          <w:sz w:val="20"/>
        </w:rPr>
        <w:t> </w:t>
      </w:r>
      <w:r>
        <w:rPr>
          <w:spacing w:val="-3"/>
          <w:sz w:val="20"/>
        </w:rPr>
        <w:t>would</w:t>
      </w:r>
      <w:r>
        <w:rPr>
          <w:spacing w:val="-8"/>
          <w:sz w:val="20"/>
        </w:rPr>
        <w:t> </w:t>
      </w:r>
      <w:r>
        <w:rPr>
          <w:spacing w:val="-3"/>
          <w:sz w:val="20"/>
        </w:rPr>
        <w:t>make</w:t>
      </w:r>
      <w:r>
        <w:rPr>
          <w:spacing w:val="-8"/>
          <w:sz w:val="20"/>
        </w:rPr>
        <w:t> </w:t>
      </w:r>
      <w:r>
        <w:rPr>
          <w:sz w:val="20"/>
        </w:rPr>
        <w:t>an</w:t>
      </w:r>
      <w:r>
        <w:rPr>
          <w:spacing w:val="-8"/>
          <w:sz w:val="20"/>
        </w:rPr>
        <w:t> </w:t>
      </w:r>
      <w:r>
        <w:rPr>
          <w:spacing w:val="-3"/>
          <w:sz w:val="20"/>
        </w:rPr>
        <w:t>early</w:t>
      </w:r>
      <w:r>
        <w:rPr>
          <w:spacing w:val="-7"/>
          <w:sz w:val="20"/>
        </w:rPr>
        <w:t> </w:t>
      </w:r>
      <w:r>
        <w:rPr>
          <w:sz w:val="20"/>
        </w:rPr>
        <w:t>request</w:t>
      </w:r>
      <w:r>
        <w:rPr>
          <w:spacing w:val="-8"/>
          <w:sz w:val="20"/>
        </w:rPr>
        <w:t> </w:t>
      </w:r>
      <w:r>
        <w:rPr>
          <w:sz w:val="20"/>
        </w:rPr>
        <w:t>to</w:t>
      </w:r>
      <w:r>
        <w:rPr>
          <w:spacing w:val="-8"/>
          <w:sz w:val="20"/>
        </w:rPr>
        <w:t> </w:t>
      </w:r>
      <w:r>
        <w:rPr>
          <w:sz w:val="20"/>
        </w:rPr>
        <w:t>be</w:t>
      </w:r>
      <w:r>
        <w:rPr>
          <w:spacing w:val="-8"/>
          <w:sz w:val="20"/>
        </w:rPr>
        <w:t> </w:t>
      </w:r>
      <w:r>
        <w:rPr>
          <w:spacing w:val="-3"/>
          <w:sz w:val="20"/>
        </w:rPr>
        <w:t>excused</w:t>
      </w:r>
      <w:r>
        <w:rPr>
          <w:spacing w:val="-8"/>
          <w:sz w:val="20"/>
        </w:rPr>
        <w:t> </w:t>
      </w:r>
      <w:r>
        <w:rPr>
          <w:sz w:val="20"/>
        </w:rPr>
        <w:t>or</w:t>
      </w:r>
      <w:r>
        <w:rPr>
          <w:spacing w:val="-7"/>
          <w:sz w:val="20"/>
        </w:rPr>
        <w:t> </w:t>
      </w:r>
      <w:r>
        <w:rPr>
          <w:sz w:val="20"/>
        </w:rPr>
        <w:t>notify</w:t>
      </w:r>
      <w:r>
        <w:rPr>
          <w:spacing w:val="-8"/>
          <w:sz w:val="20"/>
        </w:rPr>
        <w:t> </w:t>
      </w:r>
      <w:r>
        <w:rPr>
          <w:sz w:val="20"/>
        </w:rPr>
        <w:t>the</w:t>
      </w:r>
      <w:r>
        <w:rPr>
          <w:spacing w:val="-8"/>
          <w:sz w:val="20"/>
        </w:rPr>
        <w:t> </w:t>
      </w:r>
      <w:r>
        <w:rPr>
          <w:sz w:val="20"/>
        </w:rPr>
        <w:t>sheriff</w:t>
      </w:r>
      <w:r>
        <w:rPr>
          <w:spacing w:val="-8"/>
          <w:sz w:val="20"/>
        </w:rPr>
        <w:t> </w:t>
      </w:r>
      <w:r>
        <w:rPr>
          <w:sz w:val="20"/>
        </w:rPr>
        <w:t>about adjustments required. The sheriff’s office should </w:t>
      </w:r>
      <w:r>
        <w:rPr>
          <w:spacing w:val="-4"/>
          <w:sz w:val="20"/>
        </w:rPr>
        <w:t>have </w:t>
      </w:r>
      <w:r>
        <w:rPr>
          <w:sz w:val="20"/>
        </w:rPr>
        <w:t>responsibility for ensuring adjustments.</w:t>
      </w:r>
    </w:p>
    <w:p>
      <w:pPr>
        <w:pStyle w:val="ListParagraph"/>
        <w:numPr>
          <w:ilvl w:val="2"/>
          <w:numId w:val="12"/>
        </w:numPr>
        <w:tabs>
          <w:tab w:pos="2157" w:val="left" w:leader="none"/>
          <w:tab w:pos="2158" w:val="left" w:leader="none"/>
        </w:tabs>
        <w:spacing w:line="206" w:lineRule="auto" w:before="89" w:after="0"/>
        <w:ind w:left="2157" w:right="1660" w:hanging="396"/>
        <w:jc w:val="left"/>
        <w:rPr>
          <w:sz w:val="11"/>
        </w:rPr>
      </w:pPr>
      <w:r>
        <w:rPr>
          <w:spacing w:val="-3"/>
          <w:sz w:val="20"/>
        </w:rPr>
        <w:t>Forewarned </w:t>
      </w:r>
      <w:r>
        <w:rPr>
          <w:sz w:val="20"/>
        </w:rPr>
        <w:t>of potential problems, in the presence of counsel and prior to commencing</w:t>
      </w:r>
      <w:r>
        <w:rPr>
          <w:spacing w:val="-13"/>
          <w:sz w:val="20"/>
        </w:rPr>
        <w:t> </w:t>
      </w:r>
      <w:r>
        <w:rPr>
          <w:sz w:val="20"/>
        </w:rPr>
        <w:t>empanelment,</w:t>
      </w:r>
      <w:r>
        <w:rPr>
          <w:spacing w:val="-12"/>
          <w:sz w:val="20"/>
        </w:rPr>
        <w:t> </w:t>
      </w:r>
      <w:r>
        <w:rPr>
          <w:sz w:val="20"/>
        </w:rPr>
        <w:t>the</w:t>
      </w:r>
      <w:r>
        <w:rPr>
          <w:spacing w:val="-12"/>
          <w:sz w:val="20"/>
        </w:rPr>
        <w:t> </w:t>
      </w:r>
      <w:r>
        <w:rPr>
          <w:sz w:val="20"/>
        </w:rPr>
        <w:t>trial</w:t>
      </w:r>
      <w:r>
        <w:rPr>
          <w:spacing w:val="-12"/>
          <w:sz w:val="20"/>
        </w:rPr>
        <w:t> </w:t>
      </w:r>
      <w:r>
        <w:rPr>
          <w:sz w:val="20"/>
        </w:rPr>
        <w:t>judge</w:t>
      </w:r>
      <w:r>
        <w:rPr>
          <w:spacing w:val="-13"/>
          <w:sz w:val="20"/>
        </w:rPr>
        <w:t> </w:t>
      </w:r>
      <w:r>
        <w:rPr>
          <w:sz w:val="20"/>
        </w:rPr>
        <w:t>could</w:t>
      </w:r>
      <w:r>
        <w:rPr>
          <w:spacing w:val="-12"/>
          <w:sz w:val="20"/>
        </w:rPr>
        <w:t> </w:t>
      </w:r>
      <w:r>
        <w:rPr>
          <w:sz w:val="20"/>
        </w:rPr>
        <w:t>deal</w:t>
      </w:r>
      <w:r>
        <w:rPr>
          <w:spacing w:val="-12"/>
          <w:sz w:val="20"/>
        </w:rPr>
        <w:t> </w:t>
      </w:r>
      <w:r>
        <w:rPr>
          <w:sz w:val="20"/>
        </w:rPr>
        <w:t>with</w:t>
      </w:r>
      <w:r>
        <w:rPr>
          <w:spacing w:val="-12"/>
          <w:sz w:val="20"/>
        </w:rPr>
        <w:t> </w:t>
      </w:r>
      <w:r>
        <w:rPr>
          <w:sz w:val="20"/>
        </w:rPr>
        <w:t>the</w:t>
      </w:r>
      <w:r>
        <w:rPr>
          <w:spacing w:val="-13"/>
          <w:sz w:val="20"/>
        </w:rPr>
        <w:t> </w:t>
      </w:r>
      <w:r>
        <w:rPr>
          <w:sz w:val="20"/>
        </w:rPr>
        <w:t>capacity</w:t>
      </w:r>
      <w:r>
        <w:rPr>
          <w:spacing w:val="-12"/>
          <w:sz w:val="20"/>
        </w:rPr>
        <w:t> </w:t>
      </w:r>
      <w:r>
        <w:rPr>
          <w:sz w:val="20"/>
        </w:rPr>
        <w:t>of</w:t>
      </w:r>
      <w:r>
        <w:rPr>
          <w:spacing w:val="-12"/>
          <w:sz w:val="20"/>
        </w:rPr>
        <w:t> </w:t>
      </w:r>
      <w:r>
        <w:rPr>
          <w:sz w:val="20"/>
        </w:rPr>
        <w:t>the juror to serve in the trial.</w:t>
      </w:r>
      <w:r>
        <w:rPr>
          <w:spacing w:val="-26"/>
          <w:sz w:val="20"/>
        </w:rPr>
        <w:t> </w:t>
      </w:r>
      <w:r>
        <w:rPr>
          <w:position w:val="7"/>
          <w:sz w:val="11"/>
        </w:rPr>
        <w:t>53</w:t>
      </w:r>
    </w:p>
    <w:p>
      <w:pPr>
        <w:spacing w:before="194"/>
        <w:ind w:left="967" w:right="0" w:firstLine="0"/>
        <w:jc w:val="left"/>
        <w:rPr>
          <w:rFonts w:ascii="Raleway ExtraBold" w:hAnsi="Raleway ExtraBold"/>
          <w:b/>
          <w:sz w:val="28"/>
        </w:rPr>
      </w:pPr>
      <w:r>
        <w:rPr>
          <w:rFonts w:ascii="Raleway ExtraBold" w:hAnsi="Raleway ExtraBold"/>
          <w:b/>
          <w:color w:val="37617A"/>
          <w:sz w:val="28"/>
        </w:rPr>
        <w:t>The Commission’s conclusions: procedural reform</w:t>
      </w:r>
    </w:p>
    <w:p>
      <w:pPr>
        <w:pStyle w:val="ListParagraph"/>
        <w:numPr>
          <w:ilvl w:val="1"/>
          <w:numId w:val="12"/>
        </w:numPr>
        <w:tabs>
          <w:tab w:pos="1761" w:val="left" w:leader="none"/>
          <w:tab w:pos="1762" w:val="left" w:leader="none"/>
        </w:tabs>
        <w:spacing w:line="206" w:lineRule="auto" w:before="146" w:after="0"/>
        <w:ind w:left="1761" w:right="1586" w:hanging="794"/>
        <w:jc w:val="left"/>
        <w:rPr>
          <w:sz w:val="20"/>
        </w:rPr>
      </w:pPr>
      <w:r>
        <w:rPr>
          <w:sz w:val="20"/>
        </w:rPr>
        <w:t>The Commission </w:t>
      </w:r>
      <w:r>
        <w:rPr>
          <w:spacing w:val="-3"/>
          <w:sz w:val="20"/>
        </w:rPr>
        <w:t>makes </w:t>
      </w:r>
      <w:r>
        <w:rPr>
          <w:sz w:val="20"/>
        </w:rPr>
        <w:t>the </w:t>
      </w:r>
      <w:r>
        <w:rPr>
          <w:spacing w:val="-3"/>
          <w:sz w:val="20"/>
        </w:rPr>
        <w:t>following </w:t>
      </w:r>
      <w:r>
        <w:rPr>
          <w:sz w:val="20"/>
        </w:rPr>
        <w:t>recommendations based on our </w:t>
      </w:r>
      <w:r>
        <w:rPr>
          <w:spacing w:val="-3"/>
          <w:sz w:val="20"/>
        </w:rPr>
        <w:t>analysis </w:t>
      </w:r>
      <w:r>
        <w:rPr>
          <w:sz w:val="20"/>
        </w:rPr>
        <w:t>of the</w:t>
      </w:r>
      <w:r>
        <w:rPr>
          <w:spacing w:val="-11"/>
          <w:sz w:val="20"/>
        </w:rPr>
        <w:t> </w:t>
      </w:r>
      <w:r>
        <w:rPr>
          <w:sz w:val="20"/>
        </w:rPr>
        <w:t>approaches</w:t>
      </w:r>
      <w:r>
        <w:rPr>
          <w:spacing w:val="-10"/>
          <w:sz w:val="20"/>
        </w:rPr>
        <w:t> </w:t>
      </w:r>
      <w:r>
        <w:rPr>
          <w:sz w:val="20"/>
        </w:rPr>
        <w:t>proposed</w:t>
      </w:r>
      <w:r>
        <w:rPr>
          <w:spacing w:val="-10"/>
          <w:sz w:val="20"/>
        </w:rPr>
        <w:t> </w:t>
      </w:r>
      <w:r>
        <w:rPr>
          <w:sz w:val="20"/>
        </w:rPr>
        <w:t>in</w:t>
      </w:r>
      <w:r>
        <w:rPr>
          <w:spacing w:val="-10"/>
          <w:sz w:val="20"/>
        </w:rPr>
        <w:t> </w:t>
      </w:r>
      <w:r>
        <w:rPr>
          <w:sz w:val="20"/>
        </w:rPr>
        <w:t>submissions</w:t>
      </w:r>
      <w:r>
        <w:rPr>
          <w:spacing w:val="-11"/>
          <w:sz w:val="20"/>
        </w:rPr>
        <w:t> </w:t>
      </w:r>
      <w:r>
        <w:rPr>
          <w:sz w:val="20"/>
        </w:rPr>
        <w:t>as</w:t>
      </w:r>
      <w:r>
        <w:rPr>
          <w:spacing w:val="-10"/>
          <w:sz w:val="20"/>
        </w:rPr>
        <w:t> </w:t>
      </w:r>
      <w:r>
        <w:rPr>
          <w:sz w:val="20"/>
        </w:rPr>
        <w:t>well</w:t>
      </w:r>
      <w:r>
        <w:rPr>
          <w:spacing w:val="-10"/>
          <w:sz w:val="20"/>
        </w:rPr>
        <w:t> </w:t>
      </w:r>
      <w:r>
        <w:rPr>
          <w:sz w:val="20"/>
        </w:rPr>
        <w:t>as</w:t>
      </w:r>
      <w:r>
        <w:rPr>
          <w:spacing w:val="-10"/>
          <w:sz w:val="20"/>
        </w:rPr>
        <w:t> </w:t>
      </w:r>
      <w:r>
        <w:rPr>
          <w:spacing w:val="-3"/>
          <w:sz w:val="20"/>
        </w:rPr>
        <w:t>overseas</w:t>
      </w:r>
      <w:r>
        <w:rPr>
          <w:spacing w:val="-10"/>
          <w:sz w:val="20"/>
        </w:rPr>
        <w:t> </w:t>
      </w:r>
      <w:r>
        <w:rPr>
          <w:sz w:val="20"/>
        </w:rPr>
        <w:t>practice.</w:t>
      </w:r>
      <w:r>
        <w:rPr>
          <w:spacing w:val="-11"/>
          <w:sz w:val="20"/>
        </w:rPr>
        <w:t> </w:t>
      </w:r>
      <w:r>
        <w:rPr>
          <w:sz w:val="20"/>
        </w:rPr>
        <w:t>Because</w:t>
      </w:r>
      <w:r>
        <w:rPr>
          <w:spacing w:val="-10"/>
          <w:sz w:val="20"/>
        </w:rPr>
        <w:t> </w:t>
      </w:r>
      <w:r>
        <w:rPr>
          <w:sz w:val="20"/>
        </w:rPr>
        <w:t>the courts</w:t>
      </w:r>
      <w:r>
        <w:rPr>
          <w:spacing w:val="-11"/>
          <w:sz w:val="20"/>
        </w:rPr>
        <w:t> </w:t>
      </w:r>
      <w:r>
        <w:rPr>
          <w:spacing w:val="-4"/>
          <w:sz w:val="20"/>
        </w:rPr>
        <w:t>have</w:t>
      </w:r>
      <w:r>
        <w:rPr>
          <w:spacing w:val="-10"/>
          <w:sz w:val="20"/>
        </w:rPr>
        <w:t> </w:t>
      </w:r>
      <w:r>
        <w:rPr>
          <w:sz w:val="20"/>
        </w:rPr>
        <w:t>different</w:t>
      </w:r>
      <w:r>
        <w:rPr>
          <w:spacing w:val="-10"/>
          <w:sz w:val="20"/>
        </w:rPr>
        <w:t> </w:t>
      </w:r>
      <w:r>
        <w:rPr>
          <w:sz w:val="20"/>
        </w:rPr>
        <w:t>case</w:t>
      </w:r>
      <w:r>
        <w:rPr>
          <w:spacing w:val="-11"/>
          <w:sz w:val="20"/>
        </w:rPr>
        <w:t> </w:t>
      </w:r>
      <w:r>
        <w:rPr>
          <w:sz w:val="20"/>
        </w:rPr>
        <w:t>management</w:t>
      </w:r>
      <w:r>
        <w:rPr>
          <w:spacing w:val="-10"/>
          <w:sz w:val="20"/>
        </w:rPr>
        <w:t> </w:t>
      </w:r>
      <w:r>
        <w:rPr>
          <w:sz w:val="20"/>
        </w:rPr>
        <w:t>practices,</w:t>
      </w:r>
      <w:r>
        <w:rPr>
          <w:spacing w:val="-10"/>
          <w:sz w:val="20"/>
        </w:rPr>
        <w:t> </w:t>
      </w:r>
      <w:r>
        <w:rPr>
          <w:sz w:val="20"/>
        </w:rPr>
        <w:t>and</w:t>
      </w:r>
      <w:r>
        <w:rPr>
          <w:spacing w:val="-11"/>
          <w:sz w:val="20"/>
        </w:rPr>
        <w:t> </w:t>
      </w:r>
      <w:r>
        <w:rPr>
          <w:sz w:val="20"/>
        </w:rPr>
        <w:t>there</w:t>
      </w:r>
      <w:r>
        <w:rPr>
          <w:spacing w:val="-10"/>
          <w:sz w:val="20"/>
        </w:rPr>
        <w:t> </w:t>
      </w:r>
      <w:r>
        <w:rPr>
          <w:sz w:val="20"/>
        </w:rPr>
        <w:t>is</w:t>
      </w:r>
      <w:r>
        <w:rPr>
          <w:spacing w:val="-10"/>
          <w:sz w:val="20"/>
        </w:rPr>
        <w:t> </w:t>
      </w:r>
      <w:r>
        <w:rPr>
          <w:sz w:val="20"/>
        </w:rPr>
        <w:t>uncertainty</w:t>
      </w:r>
      <w:r>
        <w:rPr>
          <w:spacing w:val="-11"/>
          <w:sz w:val="20"/>
        </w:rPr>
        <w:t> </w:t>
      </w:r>
      <w:r>
        <w:rPr>
          <w:sz w:val="20"/>
        </w:rPr>
        <w:t>about</w:t>
      </w:r>
    </w:p>
    <w:p>
      <w:pPr>
        <w:pStyle w:val="BodyText"/>
        <w:spacing w:line="206" w:lineRule="auto" w:before="4"/>
        <w:ind w:left="1761" w:right="1270"/>
      </w:pPr>
      <w:r>
        <w:rPr/>
        <w:t>long-term changes to those practices </w:t>
      </w:r>
      <w:r>
        <w:rPr>
          <w:spacing w:val="-3"/>
        </w:rPr>
        <w:t>following </w:t>
      </w:r>
      <w:r>
        <w:rPr/>
        <w:t>the </w:t>
      </w:r>
      <w:r>
        <w:rPr>
          <w:spacing w:val="-3"/>
        </w:rPr>
        <w:t>coronavirus (COVID-19) </w:t>
      </w:r>
      <w:r>
        <w:rPr/>
        <w:t>pandemic, the courts and Juries Victoria will need to collaborate to </w:t>
      </w:r>
      <w:r>
        <w:rPr>
          <w:spacing w:val="-3"/>
        </w:rPr>
        <w:t>work </w:t>
      </w:r>
      <w:r>
        <w:rPr/>
        <w:t>out the finer details of implementation.</w:t>
      </w:r>
    </w:p>
    <w:p>
      <w:pPr>
        <w:spacing w:line="216" w:lineRule="auto" w:before="189"/>
        <w:ind w:left="967" w:right="1335" w:firstLine="0"/>
        <w:jc w:val="left"/>
        <w:rPr>
          <w:b/>
          <w:sz w:val="24"/>
        </w:rPr>
      </w:pPr>
      <w:r>
        <w:rPr>
          <w:b/>
          <w:sz w:val="24"/>
        </w:rPr>
        <w:t>Juries Victoria should request information from potential jurors about adjustments</w:t>
      </w:r>
    </w:p>
    <w:p>
      <w:pPr>
        <w:pStyle w:val="ListParagraph"/>
        <w:numPr>
          <w:ilvl w:val="1"/>
          <w:numId w:val="12"/>
        </w:numPr>
        <w:tabs>
          <w:tab w:pos="1761" w:val="left" w:leader="none"/>
          <w:tab w:pos="1762" w:val="left" w:leader="none"/>
        </w:tabs>
        <w:spacing w:line="206" w:lineRule="auto" w:before="133" w:after="0"/>
        <w:ind w:left="1761" w:right="1732" w:hanging="794"/>
        <w:jc w:val="left"/>
        <w:rPr>
          <w:sz w:val="20"/>
        </w:rPr>
      </w:pPr>
      <w:r>
        <w:rPr>
          <w:sz w:val="20"/>
        </w:rPr>
        <w:t>Juries</w:t>
      </w:r>
      <w:r>
        <w:rPr>
          <w:spacing w:val="-12"/>
          <w:sz w:val="20"/>
        </w:rPr>
        <w:t> </w:t>
      </w:r>
      <w:r>
        <w:rPr>
          <w:sz w:val="20"/>
        </w:rPr>
        <w:t>Victoria</w:t>
      </w:r>
      <w:r>
        <w:rPr>
          <w:spacing w:val="-11"/>
          <w:sz w:val="20"/>
        </w:rPr>
        <w:t> </w:t>
      </w:r>
      <w:r>
        <w:rPr>
          <w:sz w:val="20"/>
        </w:rPr>
        <w:t>should</w:t>
      </w:r>
      <w:r>
        <w:rPr>
          <w:spacing w:val="-11"/>
          <w:sz w:val="20"/>
        </w:rPr>
        <w:t> </w:t>
      </w:r>
      <w:r>
        <w:rPr>
          <w:sz w:val="20"/>
        </w:rPr>
        <w:t>obtain</w:t>
      </w:r>
      <w:r>
        <w:rPr>
          <w:spacing w:val="-11"/>
          <w:sz w:val="20"/>
        </w:rPr>
        <w:t> </w:t>
      </w:r>
      <w:r>
        <w:rPr>
          <w:sz w:val="20"/>
        </w:rPr>
        <w:t>information</w:t>
      </w:r>
      <w:r>
        <w:rPr>
          <w:spacing w:val="-11"/>
          <w:sz w:val="20"/>
        </w:rPr>
        <w:t> </w:t>
      </w:r>
      <w:r>
        <w:rPr>
          <w:spacing w:val="-3"/>
          <w:sz w:val="20"/>
        </w:rPr>
        <w:t>early</w:t>
      </w:r>
      <w:r>
        <w:rPr>
          <w:spacing w:val="-12"/>
          <w:sz w:val="20"/>
        </w:rPr>
        <w:t> </w:t>
      </w:r>
      <w:r>
        <w:rPr>
          <w:sz w:val="20"/>
        </w:rPr>
        <w:t>in</w:t>
      </w:r>
      <w:r>
        <w:rPr>
          <w:spacing w:val="-11"/>
          <w:sz w:val="20"/>
        </w:rPr>
        <w:t> </w:t>
      </w:r>
      <w:r>
        <w:rPr>
          <w:sz w:val="20"/>
        </w:rPr>
        <w:t>the</w:t>
      </w:r>
      <w:r>
        <w:rPr>
          <w:spacing w:val="-11"/>
          <w:sz w:val="20"/>
        </w:rPr>
        <w:t> </w:t>
      </w:r>
      <w:r>
        <w:rPr>
          <w:sz w:val="20"/>
        </w:rPr>
        <w:t>jury</w:t>
      </w:r>
      <w:r>
        <w:rPr>
          <w:spacing w:val="-11"/>
          <w:sz w:val="20"/>
        </w:rPr>
        <w:t> </w:t>
      </w:r>
      <w:r>
        <w:rPr>
          <w:sz w:val="20"/>
        </w:rPr>
        <w:t>selection</w:t>
      </w:r>
      <w:r>
        <w:rPr>
          <w:spacing w:val="-11"/>
          <w:sz w:val="20"/>
        </w:rPr>
        <w:t> </w:t>
      </w:r>
      <w:r>
        <w:rPr>
          <w:sz w:val="20"/>
        </w:rPr>
        <w:t>process</w:t>
      </w:r>
      <w:r>
        <w:rPr>
          <w:spacing w:val="-11"/>
          <w:sz w:val="20"/>
        </w:rPr>
        <w:t> </w:t>
      </w:r>
      <w:r>
        <w:rPr>
          <w:sz w:val="20"/>
        </w:rPr>
        <w:t>about the</w:t>
      </w:r>
      <w:r>
        <w:rPr>
          <w:spacing w:val="-9"/>
          <w:sz w:val="20"/>
        </w:rPr>
        <w:t> </w:t>
      </w:r>
      <w:r>
        <w:rPr>
          <w:sz w:val="20"/>
        </w:rPr>
        <w:t>need</w:t>
      </w:r>
      <w:r>
        <w:rPr>
          <w:spacing w:val="-9"/>
          <w:sz w:val="20"/>
        </w:rPr>
        <w:t> </w:t>
      </w:r>
      <w:r>
        <w:rPr>
          <w:sz w:val="20"/>
        </w:rPr>
        <w:t>for</w:t>
      </w:r>
      <w:r>
        <w:rPr>
          <w:spacing w:val="-9"/>
          <w:sz w:val="20"/>
        </w:rPr>
        <w:t> </w:t>
      </w:r>
      <w:r>
        <w:rPr>
          <w:sz w:val="20"/>
        </w:rPr>
        <w:t>adjustments</w:t>
      </w:r>
      <w:r>
        <w:rPr>
          <w:spacing w:val="-9"/>
          <w:sz w:val="20"/>
        </w:rPr>
        <w:t> </w:t>
      </w:r>
      <w:r>
        <w:rPr>
          <w:sz w:val="20"/>
        </w:rPr>
        <w:t>and</w:t>
      </w:r>
      <w:r>
        <w:rPr>
          <w:spacing w:val="-9"/>
          <w:sz w:val="20"/>
        </w:rPr>
        <w:t> </w:t>
      </w:r>
      <w:r>
        <w:rPr>
          <w:sz w:val="20"/>
        </w:rPr>
        <w:t>then</w:t>
      </w:r>
      <w:r>
        <w:rPr>
          <w:spacing w:val="-9"/>
          <w:sz w:val="20"/>
        </w:rPr>
        <w:t> </w:t>
      </w:r>
      <w:r>
        <w:rPr>
          <w:spacing w:val="-3"/>
          <w:sz w:val="20"/>
        </w:rPr>
        <w:t>investigate</w:t>
      </w:r>
      <w:r>
        <w:rPr>
          <w:spacing w:val="-9"/>
          <w:sz w:val="20"/>
        </w:rPr>
        <w:t> </w:t>
      </w:r>
      <w:r>
        <w:rPr>
          <w:sz w:val="20"/>
        </w:rPr>
        <w:t>whether</w:t>
      </w:r>
      <w:r>
        <w:rPr>
          <w:spacing w:val="-9"/>
          <w:sz w:val="20"/>
        </w:rPr>
        <w:t> </w:t>
      </w:r>
      <w:r>
        <w:rPr>
          <w:sz w:val="20"/>
        </w:rPr>
        <w:t>those</w:t>
      </w:r>
      <w:r>
        <w:rPr>
          <w:spacing w:val="-9"/>
          <w:sz w:val="20"/>
        </w:rPr>
        <w:t> </w:t>
      </w:r>
      <w:r>
        <w:rPr>
          <w:sz w:val="20"/>
        </w:rPr>
        <w:t>adjustments</w:t>
      </w:r>
      <w:r>
        <w:rPr>
          <w:spacing w:val="-9"/>
          <w:sz w:val="20"/>
        </w:rPr>
        <w:t> </w:t>
      </w:r>
      <w:r>
        <w:rPr>
          <w:sz w:val="20"/>
        </w:rPr>
        <w:t>can</w:t>
      </w:r>
      <w:r>
        <w:rPr>
          <w:spacing w:val="-9"/>
          <w:sz w:val="20"/>
        </w:rPr>
        <w:t> </w:t>
      </w:r>
      <w:r>
        <w:rPr>
          <w:sz w:val="20"/>
        </w:rPr>
        <w:t>be </w:t>
      </w:r>
      <w:r>
        <w:rPr>
          <w:spacing w:val="-3"/>
          <w:sz w:val="20"/>
        </w:rPr>
        <w:t>reasonably</w:t>
      </w:r>
      <w:r>
        <w:rPr>
          <w:spacing w:val="-5"/>
          <w:sz w:val="20"/>
        </w:rPr>
        <w:t> </w:t>
      </w:r>
      <w:r>
        <w:rPr>
          <w:sz w:val="20"/>
        </w:rPr>
        <w:t>provided.</w:t>
      </w:r>
    </w:p>
    <w:p>
      <w:pPr>
        <w:pStyle w:val="ListParagraph"/>
        <w:numPr>
          <w:ilvl w:val="1"/>
          <w:numId w:val="12"/>
        </w:numPr>
        <w:tabs>
          <w:tab w:pos="1761" w:val="left" w:leader="none"/>
          <w:tab w:pos="1762" w:val="left" w:leader="none"/>
        </w:tabs>
        <w:spacing w:line="206" w:lineRule="auto" w:before="124" w:after="0"/>
        <w:ind w:left="1761" w:right="1524" w:hanging="794"/>
        <w:jc w:val="left"/>
        <w:rPr>
          <w:sz w:val="20"/>
        </w:rPr>
      </w:pPr>
      <w:r>
        <w:rPr>
          <w:sz w:val="20"/>
        </w:rPr>
        <w:t>The</w:t>
      </w:r>
      <w:r>
        <w:rPr>
          <w:spacing w:val="-12"/>
          <w:sz w:val="20"/>
        </w:rPr>
        <w:t> </w:t>
      </w:r>
      <w:r>
        <w:rPr>
          <w:sz w:val="20"/>
        </w:rPr>
        <w:t>questionnaire</w:t>
      </w:r>
      <w:r>
        <w:rPr>
          <w:spacing w:val="-11"/>
          <w:sz w:val="20"/>
        </w:rPr>
        <w:t> </w:t>
      </w:r>
      <w:r>
        <w:rPr>
          <w:sz w:val="20"/>
        </w:rPr>
        <w:t>(jury</w:t>
      </w:r>
      <w:r>
        <w:rPr>
          <w:spacing w:val="-11"/>
          <w:sz w:val="20"/>
        </w:rPr>
        <w:t> </w:t>
      </w:r>
      <w:r>
        <w:rPr>
          <w:sz w:val="20"/>
        </w:rPr>
        <w:t>eligibility</w:t>
      </w:r>
      <w:r>
        <w:rPr>
          <w:spacing w:val="-11"/>
          <w:sz w:val="20"/>
        </w:rPr>
        <w:t> </w:t>
      </w:r>
      <w:r>
        <w:rPr>
          <w:sz w:val="20"/>
        </w:rPr>
        <w:t>form)</w:t>
      </w:r>
      <w:r>
        <w:rPr>
          <w:spacing w:val="-11"/>
          <w:sz w:val="20"/>
        </w:rPr>
        <w:t> </w:t>
      </w:r>
      <w:r>
        <w:rPr>
          <w:sz w:val="20"/>
        </w:rPr>
        <w:t>and</w:t>
      </w:r>
      <w:r>
        <w:rPr>
          <w:spacing w:val="-11"/>
          <w:sz w:val="20"/>
        </w:rPr>
        <w:t> </w:t>
      </w:r>
      <w:r>
        <w:rPr>
          <w:sz w:val="20"/>
        </w:rPr>
        <w:t>the</w:t>
      </w:r>
      <w:r>
        <w:rPr>
          <w:spacing w:val="-11"/>
          <w:sz w:val="20"/>
        </w:rPr>
        <w:t> </w:t>
      </w:r>
      <w:r>
        <w:rPr>
          <w:sz w:val="20"/>
        </w:rPr>
        <w:t>juror</w:t>
      </w:r>
      <w:r>
        <w:rPr>
          <w:spacing w:val="-11"/>
          <w:sz w:val="20"/>
        </w:rPr>
        <w:t> </w:t>
      </w:r>
      <w:r>
        <w:rPr>
          <w:sz w:val="20"/>
        </w:rPr>
        <w:t>summons</w:t>
      </w:r>
      <w:r>
        <w:rPr>
          <w:spacing w:val="-12"/>
          <w:sz w:val="20"/>
        </w:rPr>
        <w:t> </w:t>
      </w:r>
      <w:r>
        <w:rPr>
          <w:sz w:val="20"/>
        </w:rPr>
        <w:t>should</w:t>
      </w:r>
      <w:r>
        <w:rPr>
          <w:spacing w:val="-11"/>
          <w:sz w:val="20"/>
        </w:rPr>
        <w:t> </w:t>
      </w:r>
      <w:r>
        <w:rPr>
          <w:sz w:val="20"/>
        </w:rPr>
        <w:t>be</w:t>
      </w:r>
      <w:r>
        <w:rPr>
          <w:spacing w:val="-11"/>
          <w:sz w:val="20"/>
        </w:rPr>
        <w:t> </w:t>
      </w:r>
      <w:r>
        <w:rPr>
          <w:sz w:val="20"/>
        </w:rPr>
        <w:t>amended to</w:t>
      </w:r>
      <w:r>
        <w:rPr>
          <w:spacing w:val="-9"/>
          <w:sz w:val="20"/>
        </w:rPr>
        <w:t> </w:t>
      </w:r>
      <w:r>
        <w:rPr>
          <w:sz w:val="20"/>
        </w:rPr>
        <w:t>notify</w:t>
      </w:r>
      <w:r>
        <w:rPr>
          <w:spacing w:val="-9"/>
          <w:sz w:val="20"/>
        </w:rPr>
        <w:t> </w:t>
      </w:r>
      <w:r>
        <w:rPr>
          <w:sz w:val="20"/>
        </w:rPr>
        <w:t>the</w:t>
      </w:r>
      <w:r>
        <w:rPr>
          <w:spacing w:val="-8"/>
          <w:sz w:val="20"/>
        </w:rPr>
        <w:t> </w:t>
      </w:r>
      <w:r>
        <w:rPr>
          <w:sz w:val="20"/>
        </w:rPr>
        <w:t>community</w:t>
      </w:r>
      <w:r>
        <w:rPr>
          <w:spacing w:val="-9"/>
          <w:sz w:val="20"/>
        </w:rPr>
        <w:t> </w:t>
      </w:r>
      <w:r>
        <w:rPr>
          <w:sz w:val="20"/>
        </w:rPr>
        <w:t>that</w:t>
      </w:r>
      <w:r>
        <w:rPr>
          <w:spacing w:val="-9"/>
          <w:sz w:val="20"/>
        </w:rPr>
        <w:t> </w:t>
      </w:r>
      <w:r>
        <w:rPr>
          <w:sz w:val="20"/>
        </w:rPr>
        <w:t>people</w:t>
      </w:r>
      <w:r>
        <w:rPr>
          <w:spacing w:val="-8"/>
          <w:sz w:val="20"/>
        </w:rPr>
        <w:t> </w:t>
      </w:r>
      <w:r>
        <w:rPr>
          <w:sz w:val="20"/>
        </w:rPr>
        <w:t>who</w:t>
      </w:r>
      <w:r>
        <w:rPr>
          <w:spacing w:val="-9"/>
          <w:sz w:val="20"/>
        </w:rPr>
        <w:t> </w:t>
      </w:r>
      <w:r>
        <w:rPr>
          <w:spacing w:val="-3"/>
          <w:sz w:val="20"/>
        </w:rPr>
        <w:t>are</w:t>
      </w:r>
      <w:r>
        <w:rPr>
          <w:spacing w:val="-8"/>
          <w:sz w:val="20"/>
        </w:rPr>
        <w:t> </w:t>
      </w:r>
      <w:r>
        <w:rPr>
          <w:spacing w:val="-4"/>
          <w:sz w:val="20"/>
        </w:rPr>
        <w:t>deaf,</w:t>
      </w:r>
      <w:r>
        <w:rPr>
          <w:spacing w:val="-9"/>
          <w:sz w:val="20"/>
        </w:rPr>
        <w:t> </w:t>
      </w:r>
      <w:r>
        <w:rPr>
          <w:sz w:val="20"/>
        </w:rPr>
        <w:t>hard</w:t>
      </w:r>
      <w:r>
        <w:rPr>
          <w:spacing w:val="-9"/>
          <w:sz w:val="20"/>
        </w:rPr>
        <w:t> </w:t>
      </w:r>
      <w:r>
        <w:rPr>
          <w:sz w:val="20"/>
        </w:rPr>
        <w:t>of</w:t>
      </w:r>
      <w:r>
        <w:rPr>
          <w:spacing w:val="-8"/>
          <w:sz w:val="20"/>
        </w:rPr>
        <w:t> </w:t>
      </w:r>
      <w:r>
        <w:rPr>
          <w:sz w:val="20"/>
        </w:rPr>
        <w:t>hearing,</w:t>
      </w:r>
      <w:r>
        <w:rPr>
          <w:spacing w:val="-9"/>
          <w:sz w:val="20"/>
        </w:rPr>
        <w:t> </w:t>
      </w:r>
      <w:r>
        <w:rPr>
          <w:sz w:val="20"/>
        </w:rPr>
        <w:t>blind</w:t>
      </w:r>
      <w:r>
        <w:rPr>
          <w:spacing w:val="-8"/>
          <w:sz w:val="20"/>
        </w:rPr>
        <w:t> </w:t>
      </w:r>
      <w:r>
        <w:rPr>
          <w:sz w:val="20"/>
        </w:rPr>
        <w:t>or</w:t>
      </w:r>
      <w:r>
        <w:rPr>
          <w:spacing w:val="-9"/>
          <w:sz w:val="20"/>
        </w:rPr>
        <w:t> </w:t>
      </w:r>
      <w:r>
        <w:rPr>
          <w:spacing w:val="-4"/>
          <w:sz w:val="20"/>
        </w:rPr>
        <w:t>have</w:t>
      </w:r>
      <w:r>
        <w:rPr>
          <w:spacing w:val="-9"/>
          <w:sz w:val="20"/>
        </w:rPr>
        <w:t> </w:t>
      </w:r>
      <w:r>
        <w:rPr>
          <w:spacing w:val="-4"/>
          <w:sz w:val="20"/>
        </w:rPr>
        <w:t>low</w:t>
      </w:r>
    </w:p>
    <w:p>
      <w:pPr>
        <w:pStyle w:val="BodyText"/>
        <w:spacing w:line="206" w:lineRule="auto" w:before="3"/>
        <w:ind w:left="1761" w:right="1277"/>
        <w:rPr>
          <w:sz w:val="11"/>
        </w:rPr>
      </w:pPr>
      <w:r>
        <w:rPr/>
        <w:t>vision</w:t>
      </w:r>
      <w:r>
        <w:rPr>
          <w:spacing w:val="-13"/>
        </w:rPr>
        <w:t> </w:t>
      </w:r>
      <w:r>
        <w:rPr>
          <w:spacing w:val="-3"/>
        </w:rPr>
        <w:t>are</w:t>
      </w:r>
      <w:r>
        <w:rPr>
          <w:spacing w:val="-13"/>
        </w:rPr>
        <w:t> </w:t>
      </w:r>
      <w:r>
        <w:rPr/>
        <w:t>able</w:t>
      </w:r>
      <w:r>
        <w:rPr>
          <w:spacing w:val="-12"/>
        </w:rPr>
        <w:t> </w:t>
      </w:r>
      <w:r>
        <w:rPr/>
        <w:t>to</w:t>
      </w:r>
      <w:r>
        <w:rPr>
          <w:spacing w:val="-13"/>
        </w:rPr>
        <w:t> </w:t>
      </w:r>
      <w:r>
        <w:rPr/>
        <w:t>serve</w:t>
      </w:r>
      <w:r>
        <w:rPr>
          <w:spacing w:val="-12"/>
        </w:rPr>
        <w:t> </w:t>
      </w:r>
      <w:r>
        <w:rPr/>
        <w:t>on</w:t>
      </w:r>
      <w:r>
        <w:rPr>
          <w:spacing w:val="-13"/>
        </w:rPr>
        <w:t> </w:t>
      </w:r>
      <w:r>
        <w:rPr/>
        <w:t>Victorian</w:t>
      </w:r>
      <w:r>
        <w:rPr>
          <w:spacing w:val="-12"/>
        </w:rPr>
        <w:t> </w:t>
      </w:r>
      <w:r>
        <w:rPr/>
        <w:t>juries</w:t>
      </w:r>
      <w:r>
        <w:rPr>
          <w:spacing w:val="-13"/>
        </w:rPr>
        <w:t> </w:t>
      </w:r>
      <w:r>
        <w:rPr/>
        <w:t>with</w:t>
      </w:r>
      <w:r>
        <w:rPr>
          <w:spacing w:val="-12"/>
        </w:rPr>
        <w:t> </w:t>
      </w:r>
      <w:r>
        <w:rPr/>
        <w:t>reasonable</w:t>
      </w:r>
      <w:r>
        <w:rPr>
          <w:spacing w:val="-13"/>
        </w:rPr>
        <w:t> </w:t>
      </w:r>
      <w:r>
        <w:rPr/>
        <w:t>adjustments.</w:t>
      </w:r>
      <w:r>
        <w:rPr>
          <w:spacing w:val="-12"/>
        </w:rPr>
        <w:t> </w:t>
      </w:r>
      <w:r>
        <w:rPr>
          <w:spacing w:val="-2"/>
        </w:rPr>
        <w:t>Potential</w:t>
      </w:r>
      <w:r>
        <w:rPr>
          <w:spacing w:val="-13"/>
        </w:rPr>
        <w:t> </w:t>
      </w:r>
      <w:r>
        <w:rPr/>
        <w:t>jurors </w:t>
      </w:r>
      <w:r>
        <w:rPr>
          <w:spacing w:val="-3"/>
        </w:rPr>
        <w:t>from </w:t>
      </w:r>
      <w:r>
        <w:rPr/>
        <w:t>the subject groups should be asked to contact Juries Victoria to discuss their needs. A range of accessible contact details should be </w:t>
      </w:r>
      <w:r>
        <w:rPr>
          <w:spacing w:val="-3"/>
        </w:rPr>
        <w:t>provided </w:t>
      </w:r>
      <w:r>
        <w:rPr/>
        <w:t>to accommodate people in the subject</w:t>
      </w:r>
      <w:r>
        <w:rPr>
          <w:spacing w:val="-17"/>
        </w:rPr>
        <w:t> </w:t>
      </w:r>
      <w:r>
        <w:rPr/>
        <w:t>groups.</w:t>
      </w:r>
      <w:r>
        <w:rPr>
          <w:position w:val="7"/>
          <w:sz w:val="11"/>
        </w:rPr>
        <w:t>54</w:t>
      </w:r>
    </w:p>
    <w:p>
      <w:pPr>
        <w:pStyle w:val="ListParagraph"/>
        <w:numPr>
          <w:ilvl w:val="1"/>
          <w:numId w:val="12"/>
        </w:numPr>
        <w:tabs>
          <w:tab w:pos="1761" w:val="left" w:leader="none"/>
          <w:tab w:pos="1762" w:val="left" w:leader="none"/>
        </w:tabs>
        <w:spacing w:line="206" w:lineRule="auto" w:before="125" w:after="0"/>
        <w:ind w:left="1761" w:right="1240" w:hanging="794"/>
        <w:jc w:val="left"/>
        <w:rPr>
          <w:sz w:val="20"/>
        </w:rPr>
      </w:pPr>
      <w:r>
        <w:rPr>
          <w:sz w:val="20"/>
        </w:rPr>
        <w:t>If possible, Juries </w:t>
      </w:r>
      <w:r>
        <w:rPr>
          <w:spacing w:val="-3"/>
          <w:sz w:val="20"/>
        </w:rPr>
        <w:t>Victoria’s </w:t>
      </w:r>
      <w:r>
        <w:rPr>
          <w:sz w:val="20"/>
        </w:rPr>
        <w:t>jury management system should be programmed to flag </w:t>
      </w:r>
      <w:r>
        <w:rPr>
          <w:spacing w:val="-3"/>
          <w:sz w:val="20"/>
        </w:rPr>
        <w:t>any </w:t>
      </w:r>
      <w:r>
        <w:rPr>
          <w:sz w:val="20"/>
        </w:rPr>
        <w:t>summonsed individual who had </w:t>
      </w:r>
      <w:r>
        <w:rPr>
          <w:spacing w:val="-3"/>
          <w:sz w:val="20"/>
        </w:rPr>
        <w:t>previously </w:t>
      </w:r>
      <w:r>
        <w:rPr>
          <w:sz w:val="20"/>
        </w:rPr>
        <w:t>indicated that they </w:t>
      </w:r>
      <w:r>
        <w:rPr>
          <w:spacing w:val="-3"/>
          <w:sz w:val="20"/>
        </w:rPr>
        <w:t>are </w:t>
      </w:r>
      <w:r>
        <w:rPr>
          <w:spacing w:val="-4"/>
          <w:sz w:val="20"/>
        </w:rPr>
        <w:t>deaf, </w:t>
      </w:r>
      <w:r>
        <w:rPr>
          <w:sz w:val="20"/>
        </w:rPr>
        <w:t>hard of hearing, blind or </w:t>
      </w:r>
      <w:r>
        <w:rPr>
          <w:spacing w:val="-4"/>
          <w:sz w:val="20"/>
        </w:rPr>
        <w:t>have low </w:t>
      </w:r>
      <w:r>
        <w:rPr>
          <w:sz w:val="20"/>
        </w:rPr>
        <w:t>vision. This approach was supported </w:t>
      </w:r>
      <w:r>
        <w:rPr>
          <w:spacing w:val="-3"/>
          <w:sz w:val="20"/>
        </w:rPr>
        <w:t>by </w:t>
      </w:r>
      <w:r>
        <w:rPr>
          <w:sz w:val="20"/>
        </w:rPr>
        <w:t>the courts, Juries Victoria, the LIV and Vision Australia.</w:t>
      </w:r>
      <w:r>
        <w:rPr>
          <w:position w:val="7"/>
          <w:sz w:val="11"/>
        </w:rPr>
        <w:t>55 </w:t>
      </w:r>
      <w:r>
        <w:rPr>
          <w:spacing w:val="-3"/>
          <w:sz w:val="20"/>
        </w:rPr>
        <w:t>For example, </w:t>
      </w:r>
      <w:r>
        <w:rPr>
          <w:sz w:val="20"/>
        </w:rPr>
        <w:t>if a person identifies that they </w:t>
      </w:r>
      <w:r>
        <w:rPr>
          <w:spacing w:val="-3"/>
          <w:sz w:val="20"/>
        </w:rPr>
        <w:t>are </w:t>
      </w:r>
      <w:r>
        <w:rPr>
          <w:sz w:val="20"/>
        </w:rPr>
        <w:t>deaf and </w:t>
      </w:r>
      <w:r>
        <w:rPr>
          <w:spacing w:val="-3"/>
          <w:sz w:val="20"/>
        </w:rPr>
        <w:t>require </w:t>
      </w:r>
      <w:r>
        <w:rPr>
          <w:sz w:val="20"/>
        </w:rPr>
        <w:t>Auslan </w:t>
      </w:r>
      <w:r>
        <w:rPr>
          <w:spacing w:val="-3"/>
          <w:sz w:val="20"/>
        </w:rPr>
        <w:t>interpreters </w:t>
      </w:r>
      <w:r>
        <w:rPr>
          <w:sz w:val="20"/>
        </w:rPr>
        <w:t>to serve, Juries Victoria should contact Auslan service</w:t>
      </w:r>
      <w:r>
        <w:rPr>
          <w:spacing w:val="-8"/>
          <w:sz w:val="20"/>
        </w:rPr>
        <w:t> </w:t>
      </w:r>
      <w:r>
        <w:rPr>
          <w:spacing w:val="-3"/>
          <w:sz w:val="20"/>
        </w:rPr>
        <w:t>providers</w:t>
      </w:r>
      <w:r>
        <w:rPr>
          <w:spacing w:val="-7"/>
          <w:sz w:val="20"/>
        </w:rPr>
        <w:t> </w:t>
      </w:r>
      <w:r>
        <w:rPr>
          <w:sz w:val="20"/>
        </w:rPr>
        <w:t>as</w:t>
      </w:r>
      <w:r>
        <w:rPr>
          <w:spacing w:val="-7"/>
          <w:sz w:val="20"/>
        </w:rPr>
        <w:t> </w:t>
      </w:r>
      <w:r>
        <w:rPr>
          <w:sz w:val="20"/>
        </w:rPr>
        <w:t>soon</w:t>
      </w:r>
      <w:r>
        <w:rPr>
          <w:spacing w:val="-7"/>
          <w:sz w:val="20"/>
        </w:rPr>
        <w:t> </w:t>
      </w:r>
      <w:r>
        <w:rPr>
          <w:sz w:val="20"/>
        </w:rPr>
        <w:t>as</w:t>
      </w:r>
      <w:r>
        <w:rPr>
          <w:spacing w:val="-7"/>
          <w:sz w:val="20"/>
        </w:rPr>
        <w:t> </w:t>
      </w:r>
      <w:r>
        <w:rPr>
          <w:sz w:val="20"/>
        </w:rPr>
        <w:t>possible</w:t>
      </w:r>
      <w:r>
        <w:rPr>
          <w:spacing w:val="-7"/>
          <w:sz w:val="20"/>
        </w:rPr>
        <w:t> </w:t>
      </w:r>
      <w:r>
        <w:rPr>
          <w:sz w:val="20"/>
        </w:rPr>
        <w:t>to</w:t>
      </w:r>
      <w:r>
        <w:rPr>
          <w:spacing w:val="-7"/>
          <w:sz w:val="20"/>
        </w:rPr>
        <w:t> </w:t>
      </w:r>
      <w:r>
        <w:rPr>
          <w:sz w:val="20"/>
        </w:rPr>
        <w:t>ensure</w:t>
      </w:r>
      <w:r>
        <w:rPr>
          <w:spacing w:val="-7"/>
          <w:sz w:val="20"/>
        </w:rPr>
        <w:t> </w:t>
      </w:r>
      <w:r>
        <w:rPr>
          <w:sz w:val="20"/>
        </w:rPr>
        <w:t>that</w:t>
      </w:r>
      <w:r>
        <w:rPr>
          <w:spacing w:val="-8"/>
          <w:sz w:val="20"/>
        </w:rPr>
        <w:t> </w:t>
      </w:r>
      <w:r>
        <w:rPr>
          <w:spacing w:val="-3"/>
          <w:sz w:val="20"/>
        </w:rPr>
        <w:t>interpreters</w:t>
      </w:r>
      <w:r>
        <w:rPr>
          <w:spacing w:val="-7"/>
          <w:sz w:val="20"/>
        </w:rPr>
        <w:t> </w:t>
      </w:r>
      <w:r>
        <w:rPr>
          <w:sz w:val="20"/>
        </w:rPr>
        <w:t>will</w:t>
      </w:r>
      <w:r>
        <w:rPr>
          <w:spacing w:val="-7"/>
          <w:sz w:val="20"/>
        </w:rPr>
        <w:t> </w:t>
      </w:r>
      <w:r>
        <w:rPr>
          <w:sz w:val="20"/>
        </w:rPr>
        <w:t>be</w:t>
      </w:r>
      <w:r>
        <w:rPr>
          <w:spacing w:val="-7"/>
          <w:sz w:val="20"/>
        </w:rPr>
        <w:t> </w:t>
      </w:r>
      <w:r>
        <w:rPr>
          <w:spacing w:val="-3"/>
          <w:sz w:val="20"/>
        </w:rPr>
        <w:t>available</w:t>
      </w:r>
      <w:r>
        <w:rPr>
          <w:spacing w:val="-7"/>
          <w:sz w:val="20"/>
        </w:rPr>
        <w:t> </w:t>
      </w:r>
      <w:r>
        <w:rPr>
          <w:sz w:val="20"/>
        </w:rPr>
        <w:t>on</w:t>
      </w:r>
      <w:r>
        <w:rPr>
          <w:spacing w:val="-7"/>
          <w:sz w:val="20"/>
        </w:rPr>
        <w:t> </w:t>
      </w:r>
      <w:r>
        <w:rPr>
          <w:sz w:val="20"/>
        </w:rPr>
        <w:t>the </w:t>
      </w:r>
      <w:r>
        <w:rPr>
          <w:spacing w:val="-3"/>
          <w:sz w:val="20"/>
        </w:rPr>
        <w:t>date </w:t>
      </w:r>
      <w:r>
        <w:rPr>
          <w:sz w:val="20"/>
        </w:rPr>
        <w:t>the person is </w:t>
      </w:r>
      <w:r>
        <w:rPr>
          <w:spacing w:val="-3"/>
          <w:sz w:val="20"/>
        </w:rPr>
        <w:t>required </w:t>
      </w:r>
      <w:r>
        <w:rPr>
          <w:sz w:val="20"/>
        </w:rPr>
        <w:t>to attend</w:t>
      </w:r>
      <w:r>
        <w:rPr>
          <w:spacing w:val="-24"/>
          <w:sz w:val="20"/>
        </w:rPr>
        <w:t> </w:t>
      </w:r>
      <w:r>
        <w:rPr>
          <w:sz w:val="20"/>
        </w:rPr>
        <w:t>court.</w:t>
      </w:r>
    </w:p>
    <w:p>
      <w:pPr>
        <w:pStyle w:val="ListParagraph"/>
        <w:numPr>
          <w:ilvl w:val="1"/>
          <w:numId w:val="12"/>
        </w:numPr>
        <w:tabs>
          <w:tab w:pos="1761" w:val="left" w:leader="none"/>
          <w:tab w:pos="1762" w:val="left" w:leader="none"/>
        </w:tabs>
        <w:spacing w:line="206" w:lineRule="auto" w:before="129" w:after="0"/>
        <w:ind w:left="1761" w:right="1552" w:hanging="794"/>
        <w:jc w:val="left"/>
        <w:rPr>
          <w:sz w:val="20"/>
        </w:rPr>
      </w:pPr>
      <w:r>
        <w:rPr>
          <w:sz w:val="20"/>
        </w:rPr>
        <w:t>Vision</w:t>
      </w:r>
      <w:r>
        <w:rPr>
          <w:spacing w:val="-12"/>
          <w:sz w:val="20"/>
        </w:rPr>
        <w:t> </w:t>
      </w:r>
      <w:r>
        <w:rPr>
          <w:sz w:val="20"/>
        </w:rPr>
        <w:t>Australia</w:t>
      </w:r>
      <w:r>
        <w:rPr>
          <w:spacing w:val="-12"/>
          <w:sz w:val="20"/>
        </w:rPr>
        <w:t> </w:t>
      </w:r>
      <w:r>
        <w:rPr>
          <w:sz w:val="20"/>
        </w:rPr>
        <w:t>suggested</w:t>
      </w:r>
      <w:r>
        <w:rPr>
          <w:spacing w:val="-11"/>
          <w:sz w:val="20"/>
        </w:rPr>
        <w:t> </w:t>
      </w:r>
      <w:r>
        <w:rPr>
          <w:sz w:val="20"/>
        </w:rPr>
        <w:t>that</w:t>
      </w:r>
      <w:r>
        <w:rPr>
          <w:spacing w:val="-12"/>
          <w:sz w:val="20"/>
        </w:rPr>
        <w:t> </w:t>
      </w:r>
      <w:r>
        <w:rPr>
          <w:sz w:val="20"/>
        </w:rPr>
        <w:t>it</w:t>
      </w:r>
      <w:r>
        <w:rPr>
          <w:spacing w:val="-12"/>
          <w:sz w:val="20"/>
        </w:rPr>
        <w:t> </w:t>
      </w:r>
      <w:r>
        <w:rPr>
          <w:sz w:val="20"/>
        </w:rPr>
        <w:t>should</w:t>
      </w:r>
      <w:r>
        <w:rPr>
          <w:spacing w:val="-11"/>
          <w:sz w:val="20"/>
        </w:rPr>
        <w:t> </w:t>
      </w:r>
      <w:r>
        <w:rPr>
          <w:sz w:val="20"/>
        </w:rPr>
        <w:t>not</w:t>
      </w:r>
      <w:r>
        <w:rPr>
          <w:spacing w:val="-12"/>
          <w:sz w:val="20"/>
        </w:rPr>
        <w:t> </w:t>
      </w:r>
      <w:r>
        <w:rPr>
          <w:sz w:val="20"/>
        </w:rPr>
        <w:t>be</w:t>
      </w:r>
      <w:r>
        <w:rPr>
          <w:spacing w:val="-12"/>
          <w:sz w:val="20"/>
        </w:rPr>
        <w:t> </w:t>
      </w:r>
      <w:r>
        <w:rPr>
          <w:sz w:val="20"/>
        </w:rPr>
        <w:t>mandatory</w:t>
      </w:r>
      <w:r>
        <w:rPr>
          <w:spacing w:val="-11"/>
          <w:sz w:val="20"/>
        </w:rPr>
        <w:t> </w:t>
      </w:r>
      <w:r>
        <w:rPr>
          <w:sz w:val="20"/>
        </w:rPr>
        <w:t>to</w:t>
      </w:r>
      <w:r>
        <w:rPr>
          <w:spacing w:val="-12"/>
          <w:sz w:val="20"/>
        </w:rPr>
        <w:t> </w:t>
      </w:r>
      <w:r>
        <w:rPr>
          <w:sz w:val="20"/>
        </w:rPr>
        <w:t>disclose</w:t>
      </w:r>
      <w:r>
        <w:rPr>
          <w:spacing w:val="-12"/>
          <w:sz w:val="20"/>
        </w:rPr>
        <w:t> </w:t>
      </w:r>
      <w:r>
        <w:rPr>
          <w:sz w:val="20"/>
        </w:rPr>
        <w:t>that</w:t>
      </w:r>
      <w:r>
        <w:rPr>
          <w:spacing w:val="-11"/>
          <w:sz w:val="20"/>
        </w:rPr>
        <w:t> </w:t>
      </w:r>
      <w:r>
        <w:rPr>
          <w:sz w:val="20"/>
        </w:rPr>
        <w:t>a</w:t>
      </w:r>
      <w:r>
        <w:rPr>
          <w:spacing w:val="-12"/>
          <w:sz w:val="20"/>
        </w:rPr>
        <w:t> </w:t>
      </w:r>
      <w:r>
        <w:rPr>
          <w:sz w:val="20"/>
        </w:rPr>
        <w:t>person is </w:t>
      </w:r>
      <w:r>
        <w:rPr>
          <w:spacing w:val="-4"/>
          <w:sz w:val="20"/>
        </w:rPr>
        <w:t>deaf, </w:t>
      </w:r>
      <w:r>
        <w:rPr>
          <w:sz w:val="20"/>
        </w:rPr>
        <w:t>hard of hearing, blind or has </w:t>
      </w:r>
      <w:r>
        <w:rPr>
          <w:spacing w:val="-4"/>
          <w:sz w:val="20"/>
        </w:rPr>
        <w:t>low </w:t>
      </w:r>
      <w:r>
        <w:rPr>
          <w:sz w:val="20"/>
        </w:rPr>
        <w:t>vision in response to the questionnaire or summons. Instead, it should be open to the potential juror to request the </w:t>
      </w:r>
      <w:r>
        <w:rPr>
          <w:spacing w:val="-3"/>
          <w:sz w:val="20"/>
        </w:rPr>
        <w:t>provision </w:t>
      </w:r>
      <w:r>
        <w:rPr>
          <w:sz w:val="20"/>
        </w:rPr>
        <w:t>of reasonable adjustments at </w:t>
      </w:r>
      <w:r>
        <w:rPr>
          <w:spacing w:val="-3"/>
          <w:sz w:val="20"/>
        </w:rPr>
        <w:t>any </w:t>
      </w:r>
      <w:r>
        <w:rPr>
          <w:sz w:val="20"/>
        </w:rPr>
        <w:t>time ‘including, in theory at least, after trial has commenced’,</w:t>
      </w:r>
      <w:r>
        <w:rPr>
          <w:spacing w:val="-5"/>
          <w:sz w:val="20"/>
        </w:rPr>
        <w:t> </w:t>
      </w:r>
      <w:r>
        <w:rPr>
          <w:sz w:val="20"/>
        </w:rPr>
        <w:t>noting:</w:t>
      </w:r>
    </w:p>
    <w:p>
      <w:pPr>
        <w:pStyle w:val="BodyText"/>
      </w:pPr>
    </w:p>
    <w:p>
      <w:pPr>
        <w:pStyle w:val="BodyText"/>
      </w:pPr>
    </w:p>
    <w:p>
      <w:pPr>
        <w:pStyle w:val="BodyText"/>
      </w:pPr>
    </w:p>
    <w:p>
      <w:pPr>
        <w:pStyle w:val="BodyText"/>
        <w:spacing w:before="1"/>
        <w:rPr>
          <w:sz w:val="21"/>
        </w:rPr>
      </w:pPr>
      <w:r>
        <w:rPr/>
        <w:pict>
          <v:line style="position:absolute;mso-position-horizontal-relative:page;mso-position-vertical-relative:paragraph;z-index:7448;mso-wrap-distance-left:0;mso-wrap-distance-right:0" from="79.370102pt,17.0914pt" to="515.905102pt,17.0914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87"/>
        </w:numPr>
        <w:tabs>
          <w:tab w:pos="1760" w:val="left" w:leader="none"/>
          <w:tab w:pos="1762" w:val="left" w:leader="none"/>
        </w:tabs>
        <w:spacing w:line="170" w:lineRule="exact" w:before="21" w:after="0"/>
        <w:ind w:left="1761" w:right="0" w:hanging="794"/>
        <w:jc w:val="left"/>
        <w:rPr>
          <w:sz w:val="13"/>
        </w:rPr>
      </w:pPr>
      <w:r>
        <w:rPr>
          <w:spacing w:val="2"/>
          <w:sz w:val="13"/>
        </w:rPr>
        <w:t>Ibid.</w:t>
      </w:r>
    </w:p>
    <w:p>
      <w:pPr>
        <w:pStyle w:val="ListParagraph"/>
        <w:numPr>
          <w:ilvl w:val="0"/>
          <w:numId w:val="87"/>
        </w:numPr>
        <w:tabs>
          <w:tab w:pos="1760" w:val="left" w:leader="none"/>
          <w:tab w:pos="1762" w:val="left" w:leader="none"/>
        </w:tabs>
        <w:spacing w:line="160" w:lineRule="exact" w:before="0" w:after="0"/>
        <w:ind w:left="1761" w:right="0" w:hanging="794"/>
        <w:jc w:val="left"/>
        <w:rPr>
          <w:sz w:val="13"/>
        </w:rPr>
      </w:pPr>
      <w:r>
        <w:rPr>
          <w:sz w:val="13"/>
        </w:rPr>
        <w:t>Consultation 16 (Office of </w:t>
      </w:r>
      <w:r>
        <w:rPr>
          <w:spacing w:val="2"/>
          <w:sz w:val="13"/>
        </w:rPr>
        <w:t>Public </w:t>
      </w:r>
      <w:r>
        <w:rPr>
          <w:sz w:val="13"/>
        </w:rPr>
        <w:t>Prosecutions Victoria).</w:t>
      </w:r>
    </w:p>
    <w:p>
      <w:pPr>
        <w:pStyle w:val="ListParagraph"/>
        <w:numPr>
          <w:ilvl w:val="0"/>
          <w:numId w:val="87"/>
        </w:numPr>
        <w:tabs>
          <w:tab w:pos="1760" w:val="left" w:leader="none"/>
          <w:tab w:pos="1762" w:val="left" w:leader="none"/>
        </w:tabs>
        <w:spacing w:line="160" w:lineRule="exact" w:before="0" w:after="0"/>
        <w:ind w:left="1761" w:right="0" w:hanging="794"/>
        <w:jc w:val="left"/>
        <w:rPr>
          <w:sz w:val="13"/>
        </w:rPr>
      </w:pPr>
      <w:r>
        <w:rPr>
          <w:sz w:val="13"/>
        </w:rPr>
        <w:t>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w:t>
      </w:r>
      <w:r>
        <w:rPr>
          <w:spacing w:val="12"/>
          <w:sz w:val="13"/>
        </w:rPr>
        <w:t> </w:t>
      </w:r>
      <w:r>
        <w:rPr>
          <w:spacing w:val="3"/>
          <w:sz w:val="13"/>
        </w:rPr>
        <w:t>[4.8].</w:t>
      </w:r>
    </w:p>
    <w:p>
      <w:pPr>
        <w:pStyle w:val="ListParagraph"/>
        <w:numPr>
          <w:ilvl w:val="0"/>
          <w:numId w:val="87"/>
        </w:numPr>
        <w:tabs>
          <w:tab w:pos="1761" w:val="left" w:leader="none"/>
          <w:tab w:pos="1762" w:val="left" w:leader="none"/>
        </w:tabs>
        <w:spacing w:line="213" w:lineRule="auto" w:before="7" w:after="0"/>
        <w:ind w:left="1761" w:right="0" w:hanging="794"/>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87"/>
        </w:numPr>
        <w:tabs>
          <w:tab w:pos="1761" w:val="left" w:leader="none"/>
          <w:tab w:pos="1762" w:val="left" w:leader="none"/>
        </w:tabs>
        <w:spacing w:line="163" w:lineRule="exact" w:before="0" w:after="0"/>
        <w:ind w:left="1761" w:right="0" w:hanging="794"/>
        <w:jc w:val="left"/>
        <w:rPr>
          <w:sz w:val="13"/>
        </w:rPr>
      </w:pPr>
      <w:r>
        <w:rPr>
          <w:spacing w:val="2"/>
          <w:sz w:val="13"/>
        </w:rPr>
        <w:t>Submissions </w:t>
      </w:r>
      <w:r>
        <w:rPr>
          <w:sz w:val="13"/>
        </w:rPr>
        <w:t>7 (Law Institute of Victoria), 10 </w:t>
      </w:r>
      <w:r>
        <w:rPr>
          <w:spacing w:val="2"/>
          <w:sz w:val="13"/>
        </w:rPr>
        <w:t>(Vision </w:t>
      </w:r>
      <w:r>
        <w:rPr>
          <w:sz w:val="13"/>
        </w:rPr>
        <w:t>Australia), 13 </w:t>
      </w:r>
      <w:r>
        <w:rPr>
          <w:spacing w:val="2"/>
          <w:sz w:val="13"/>
        </w:rPr>
        <w:t>(Juries</w:t>
      </w:r>
      <w:r>
        <w:rPr>
          <w:spacing w:val="4"/>
          <w:sz w:val="13"/>
        </w:rPr>
        <w:t> </w:t>
      </w:r>
      <w:r>
        <w:rPr>
          <w:sz w:val="13"/>
        </w:rPr>
        <w:t>Victoria).</w:t>
      </w:r>
    </w:p>
    <w:p>
      <w:pPr>
        <w:pStyle w:val="BodyText"/>
        <w:rPr>
          <w:sz w:val="28"/>
        </w:rPr>
      </w:pPr>
      <w:r>
        <w:rPr/>
        <w:br w:type="column"/>
      </w:r>
      <w:r>
        <w:rPr>
          <w:sz w:val="28"/>
        </w:rPr>
      </w:r>
    </w:p>
    <w:p>
      <w:pPr>
        <w:pStyle w:val="BodyText"/>
        <w:rPr>
          <w:sz w:val="22"/>
        </w:rPr>
      </w:pPr>
    </w:p>
    <w:p>
      <w:pPr>
        <w:spacing w:before="0"/>
        <w:ind w:left="668" w:right="0" w:firstLine="0"/>
        <w:jc w:val="left"/>
        <w:rPr>
          <w:b/>
          <w:sz w:val="24"/>
        </w:rPr>
      </w:pPr>
      <w:r>
        <w:rPr>
          <w:b/>
          <w:color w:val="37617A"/>
          <w:sz w:val="24"/>
        </w:rPr>
        <w:t>131</w:t>
      </w:r>
    </w:p>
    <w:p>
      <w:pPr>
        <w:spacing w:after="0"/>
        <w:jc w:val="left"/>
        <w:rPr>
          <w:sz w:val="24"/>
        </w:rPr>
        <w:sectPr>
          <w:type w:val="continuous"/>
          <w:pgSz w:w="11910" w:h="16840"/>
          <w:pgMar w:top="620" w:bottom="280" w:left="620" w:right="380"/>
          <w:cols w:num="2" w:equalWidth="0">
            <w:col w:w="9599" w:space="40"/>
            <w:col w:w="1271"/>
          </w:cols>
        </w:sectPr>
      </w:pPr>
    </w:p>
    <w:p>
      <w:pPr>
        <w:pStyle w:val="BodyText"/>
        <w:rPr>
          <w:b/>
        </w:rPr>
      </w:pPr>
    </w:p>
    <w:p>
      <w:pPr>
        <w:pStyle w:val="BodyText"/>
        <w:rPr>
          <w:b/>
        </w:rPr>
      </w:pPr>
    </w:p>
    <w:p>
      <w:pPr>
        <w:pStyle w:val="BodyText"/>
        <w:rPr>
          <w:b/>
        </w:rPr>
      </w:pPr>
    </w:p>
    <w:p>
      <w:pPr>
        <w:pStyle w:val="BodyText"/>
        <w:spacing w:before="9"/>
        <w:rPr>
          <w:b/>
          <w:sz w:val="18"/>
        </w:rPr>
      </w:pPr>
    </w:p>
    <w:p>
      <w:pPr>
        <w:spacing w:line="208" w:lineRule="auto" w:before="1"/>
        <w:ind w:left="2157" w:right="1277" w:firstLine="0"/>
        <w:jc w:val="left"/>
        <w:rPr>
          <w:sz w:val="11"/>
        </w:rPr>
      </w:pPr>
      <w:bookmarkStart w:name="_bookmark96" w:id="234"/>
      <w:bookmarkEnd w:id="234"/>
      <w:r>
        <w:rPr/>
      </w:r>
      <w:r>
        <w:rPr>
          <w:sz w:val="19"/>
        </w:rPr>
        <w:t>There may be situations where a person acquires a disability (or the impact of their existing disability changes) after they are summoned, or a person may, at the time of receiving the summons, be unfamiliar with the kinds of supports they would need if they were selected to serve on a jury. The majority of people who are blind or have low vision have had little if any experience serving on a jury and may need time and discussion with others before they can make informed decisions about the supports they would need. </w:t>
      </w:r>
      <w:r>
        <w:rPr>
          <w:position w:val="6"/>
          <w:sz w:val="11"/>
        </w:rPr>
        <w:t>56</w:t>
      </w:r>
    </w:p>
    <w:p>
      <w:pPr>
        <w:pStyle w:val="ListParagraph"/>
        <w:numPr>
          <w:ilvl w:val="1"/>
          <w:numId w:val="12"/>
        </w:numPr>
        <w:tabs>
          <w:tab w:pos="1761" w:val="left" w:leader="none"/>
          <w:tab w:pos="1762" w:val="left" w:leader="none"/>
        </w:tabs>
        <w:spacing w:line="206" w:lineRule="auto" w:before="126" w:after="0"/>
        <w:ind w:left="1761" w:right="1340" w:hanging="794"/>
        <w:jc w:val="left"/>
        <w:rPr>
          <w:sz w:val="20"/>
        </w:rPr>
      </w:pPr>
      <w:r>
        <w:rPr>
          <w:sz w:val="20"/>
        </w:rPr>
        <w:t>Where Juries Victoria is notified later in the jury selection process about the need for adjustments, for </w:t>
      </w:r>
      <w:r>
        <w:rPr>
          <w:spacing w:val="-3"/>
          <w:sz w:val="20"/>
        </w:rPr>
        <w:t>example </w:t>
      </w:r>
      <w:r>
        <w:rPr>
          <w:sz w:val="20"/>
        </w:rPr>
        <w:t>after the person attends court in response to a summons, the Commission anticipates that new </w:t>
      </w:r>
      <w:r>
        <w:rPr>
          <w:spacing w:val="-3"/>
          <w:sz w:val="20"/>
        </w:rPr>
        <w:t>own </w:t>
      </w:r>
      <w:r>
        <w:rPr>
          <w:sz w:val="20"/>
        </w:rPr>
        <w:t>motion </w:t>
      </w:r>
      <w:r>
        <w:rPr>
          <w:spacing w:val="-3"/>
          <w:sz w:val="20"/>
        </w:rPr>
        <w:t>powers </w:t>
      </w:r>
      <w:r>
        <w:rPr>
          <w:sz w:val="20"/>
        </w:rPr>
        <w:t>to defer service (discussed in</w:t>
      </w:r>
      <w:r>
        <w:rPr>
          <w:spacing w:val="-11"/>
          <w:sz w:val="20"/>
        </w:rPr>
        <w:t> </w:t>
      </w:r>
      <w:r>
        <w:rPr>
          <w:spacing w:val="-2"/>
          <w:sz w:val="20"/>
        </w:rPr>
        <w:t>Chapter</w:t>
      </w:r>
      <w:r>
        <w:rPr>
          <w:spacing w:val="-10"/>
          <w:sz w:val="20"/>
        </w:rPr>
        <w:t> </w:t>
      </w:r>
      <w:r>
        <w:rPr>
          <w:sz w:val="20"/>
        </w:rPr>
        <w:t>11)</w:t>
      </w:r>
      <w:r>
        <w:rPr>
          <w:spacing w:val="-10"/>
          <w:sz w:val="20"/>
        </w:rPr>
        <w:t> </w:t>
      </w:r>
      <w:r>
        <w:rPr>
          <w:sz w:val="20"/>
        </w:rPr>
        <w:t>will</w:t>
      </w:r>
      <w:r>
        <w:rPr>
          <w:spacing w:val="-10"/>
          <w:sz w:val="20"/>
        </w:rPr>
        <w:t> </w:t>
      </w:r>
      <w:r>
        <w:rPr>
          <w:spacing w:val="-3"/>
          <w:sz w:val="20"/>
        </w:rPr>
        <w:t>provide</w:t>
      </w:r>
      <w:r>
        <w:rPr>
          <w:spacing w:val="-10"/>
          <w:sz w:val="20"/>
        </w:rPr>
        <w:t> </w:t>
      </w:r>
      <w:r>
        <w:rPr>
          <w:sz w:val="20"/>
        </w:rPr>
        <w:t>Juries</w:t>
      </w:r>
      <w:r>
        <w:rPr>
          <w:spacing w:val="-10"/>
          <w:sz w:val="20"/>
        </w:rPr>
        <w:t> </w:t>
      </w:r>
      <w:r>
        <w:rPr>
          <w:sz w:val="20"/>
        </w:rPr>
        <w:t>Victoria</w:t>
      </w:r>
      <w:r>
        <w:rPr>
          <w:spacing w:val="-10"/>
          <w:sz w:val="20"/>
        </w:rPr>
        <w:t> </w:t>
      </w:r>
      <w:r>
        <w:rPr>
          <w:sz w:val="20"/>
        </w:rPr>
        <w:t>with</w:t>
      </w:r>
      <w:r>
        <w:rPr>
          <w:spacing w:val="-10"/>
          <w:sz w:val="20"/>
        </w:rPr>
        <w:t> </w:t>
      </w:r>
      <w:r>
        <w:rPr>
          <w:sz w:val="20"/>
        </w:rPr>
        <w:t>more</w:t>
      </w:r>
      <w:r>
        <w:rPr>
          <w:spacing w:val="-10"/>
          <w:sz w:val="20"/>
        </w:rPr>
        <w:t> </w:t>
      </w:r>
      <w:r>
        <w:rPr>
          <w:sz w:val="20"/>
        </w:rPr>
        <w:t>time</w:t>
      </w:r>
      <w:r>
        <w:rPr>
          <w:spacing w:val="-10"/>
          <w:sz w:val="20"/>
        </w:rPr>
        <w:t> </w:t>
      </w:r>
      <w:r>
        <w:rPr>
          <w:sz w:val="20"/>
        </w:rPr>
        <w:t>to</w:t>
      </w:r>
      <w:r>
        <w:rPr>
          <w:spacing w:val="-10"/>
          <w:sz w:val="20"/>
        </w:rPr>
        <w:t> </w:t>
      </w:r>
      <w:r>
        <w:rPr>
          <w:sz w:val="20"/>
        </w:rPr>
        <w:t>arrange</w:t>
      </w:r>
      <w:r>
        <w:rPr>
          <w:spacing w:val="-10"/>
          <w:sz w:val="20"/>
        </w:rPr>
        <w:t> </w:t>
      </w:r>
      <w:r>
        <w:rPr>
          <w:sz w:val="20"/>
        </w:rPr>
        <w:t>those</w:t>
      </w:r>
      <w:r>
        <w:rPr>
          <w:spacing w:val="-10"/>
          <w:sz w:val="20"/>
        </w:rPr>
        <w:t> </w:t>
      </w:r>
      <w:r>
        <w:rPr>
          <w:sz w:val="20"/>
        </w:rPr>
        <w:t>adjustments.</w:t>
      </w:r>
    </w:p>
    <w:p>
      <w:pPr>
        <w:pStyle w:val="BodyText"/>
        <w:spacing w:line="206" w:lineRule="auto" w:before="5"/>
        <w:ind w:left="1761" w:right="1146"/>
        <w:rPr>
          <w:sz w:val="11"/>
        </w:rPr>
      </w:pPr>
      <w:r>
        <w:rPr>
          <w:spacing w:val="-4"/>
        </w:rPr>
        <w:t>Alternatively, </w:t>
      </w:r>
      <w:r>
        <w:rPr/>
        <w:t>the person could seek to be </w:t>
      </w:r>
      <w:r>
        <w:rPr>
          <w:spacing w:val="-3"/>
        </w:rPr>
        <w:t>excused. </w:t>
      </w:r>
      <w:r>
        <w:rPr/>
        <w:t>If adjustments </w:t>
      </w:r>
      <w:r>
        <w:rPr>
          <w:spacing w:val="-4"/>
        </w:rPr>
        <w:t>were </w:t>
      </w:r>
      <w:r>
        <w:rPr/>
        <w:t>requested after the trial has commenced, the judge </w:t>
      </w:r>
      <w:r>
        <w:rPr>
          <w:spacing w:val="-3"/>
        </w:rPr>
        <w:t>would </w:t>
      </w:r>
      <w:r>
        <w:rPr/>
        <w:t>need to </w:t>
      </w:r>
      <w:r>
        <w:rPr>
          <w:spacing w:val="-3"/>
        </w:rPr>
        <w:t>make </w:t>
      </w:r>
      <w:r>
        <w:rPr/>
        <w:t>a decision about whether it is necessary to discharge a </w:t>
      </w:r>
      <w:r>
        <w:rPr>
          <w:spacing w:val="-3"/>
        </w:rPr>
        <w:t>juror.</w:t>
      </w:r>
      <w:r>
        <w:rPr>
          <w:spacing w:val="-3"/>
          <w:position w:val="7"/>
          <w:sz w:val="11"/>
        </w:rPr>
        <w:t>57</w:t>
      </w:r>
    </w:p>
    <w:p>
      <w:pPr>
        <w:spacing w:line="216" w:lineRule="auto" w:before="190"/>
        <w:ind w:left="967" w:right="1335" w:firstLine="0"/>
        <w:jc w:val="left"/>
        <w:rPr>
          <w:b/>
          <w:sz w:val="24"/>
        </w:rPr>
      </w:pPr>
      <w:r>
        <w:rPr>
          <w:b/>
          <w:sz w:val="24"/>
        </w:rPr>
        <w:t>Juries Victoria should discuss the provision of adjustments with the potential juror</w:t>
      </w:r>
    </w:p>
    <w:p>
      <w:pPr>
        <w:pStyle w:val="ListParagraph"/>
        <w:numPr>
          <w:ilvl w:val="1"/>
          <w:numId w:val="12"/>
        </w:numPr>
        <w:tabs>
          <w:tab w:pos="1762" w:val="left" w:leader="none"/>
        </w:tabs>
        <w:spacing w:line="206" w:lineRule="auto" w:before="132" w:after="0"/>
        <w:ind w:left="1761" w:right="1904" w:hanging="794"/>
        <w:jc w:val="both"/>
        <w:rPr>
          <w:sz w:val="11"/>
        </w:rPr>
      </w:pPr>
      <w:r>
        <w:rPr>
          <w:sz w:val="20"/>
        </w:rPr>
        <w:t>Associate</w:t>
      </w:r>
      <w:r>
        <w:rPr>
          <w:spacing w:val="-9"/>
          <w:sz w:val="20"/>
        </w:rPr>
        <w:t> </w:t>
      </w:r>
      <w:r>
        <w:rPr>
          <w:spacing w:val="-3"/>
          <w:sz w:val="20"/>
        </w:rPr>
        <w:t>Professors</w:t>
      </w:r>
      <w:r>
        <w:rPr>
          <w:spacing w:val="-9"/>
          <w:sz w:val="20"/>
        </w:rPr>
        <w:t> </w:t>
      </w:r>
      <w:r>
        <w:rPr>
          <w:sz w:val="20"/>
        </w:rPr>
        <w:t>Bruce</w:t>
      </w:r>
      <w:r>
        <w:rPr>
          <w:spacing w:val="-9"/>
          <w:sz w:val="20"/>
        </w:rPr>
        <w:t> </w:t>
      </w:r>
      <w:r>
        <w:rPr>
          <w:sz w:val="20"/>
        </w:rPr>
        <w:t>Baer</w:t>
      </w:r>
      <w:r>
        <w:rPr>
          <w:spacing w:val="-8"/>
          <w:sz w:val="20"/>
        </w:rPr>
        <w:t> </w:t>
      </w:r>
      <w:r>
        <w:rPr>
          <w:sz w:val="20"/>
        </w:rPr>
        <w:t>Arnold</w:t>
      </w:r>
      <w:r>
        <w:rPr>
          <w:spacing w:val="-9"/>
          <w:sz w:val="20"/>
        </w:rPr>
        <w:t> </w:t>
      </w:r>
      <w:r>
        <w:rPr>
          <w:sz w:val="20"/>
        </w:rPr>
        <w:t>and</w:t>
      </w:r>
      <w:r>
        <w:rPr>
          <w:spacing w:val="-9"/>
          <w:sz w:val="20"/>
        </w:rPr>
        <w:t> </w:t>
      </w:r>
      <w:r>
        <w:rPr>
          <w:spacing w:val="-4"/>
          <w:sz w:val="20"/>
        </w:rPr>
        <w:t>Wendy</w:t>
      </w:r>
      <w:r>
        <w:rPr>
          <w:spacing w:val="-9"/>
          <w:sz w:val="20"/>
        </w:rPr>
        <w:t> </w:t>
      </w:r>
      <w:r>
        <w:rPr>
          <w:sz w:val="20"/>
        </w:rPr>
        <w:t>Bonython</w:t>
      </w:r>
      <w:r>
        <w:rPr>
          <w:spacing w:val="-8"/>
          <w:sz w:val="20"/>
        </w:rPr>
        <w:t> </w:t>
      </w:r>
      <w:r>
        <w:rPr>
          <w:sz w:val="20"/>
        </w:rPr>
        <w:t>stressed</w:t>
      </w:r>
      <w:r>
        <w:rPr>
          <w:spacing w:val="-9"/>
          <w:sz w:val="20"/>
        </w:rPr>
        <w:t> </w:t>
      </w:r>
      <w:r>
        <w:rPr>
          <w:sz w:val="20"/>
        </w:rPr>
        <w:t>that</w:t>
      </w:r>
      <w:r>
        <w:rPr>
          <w:spacing w:val="-9"/>
          <w:sz w:val="20"/>
        </w:rPr>
        <w:t> </w:t>
      </w:r>
      <w:r>
        <w:rPr>
          <w:sz w:val="20"/>
        </w:rPr>
        <w:t>the contact</w:t>
      </w:r>
      <w:r>
        <w:rPr>
          <w:spacing w:val="-10"/>
          <w:sz w:val="20"/>
        </w:rPr>
        <w:t> </w:t>
      </w:r>
      <w:r>
        <w:rPr>
          <w:sz w:val="20"/>
        </w:rPr>
        <w:t>point</w:t>
      </w:r>
      <w:r>
        <w:rPr>
          <w:spacing w:val="-9"/>
          <w:sz w:val="20"/>
        </w:rPr>
        <w:t> </w:t>
      </w:r>
      <w:r>
        <w:rPr>
          <w:sz w:val="20"/>
        </w:rPr>
        <w:t>for</w:t>
      </w:r>
      <w:r>
        <w:rPr>
          <w:spacing w:val="-9"/>
          <w:sz w:val="20"/>
        </w:rPr>
        <w:t> </w:t>
      </w:r>
      <w:r>
        <w:rPr>
          <w:sz w:val="20"/>
        </w:rPr>
        <w:t>the</w:t>
      </w:r>
      <w:r>
        <w:rPr>
          <w:spacing w:val="-10"/>
          <w:sz w:val="20"/>
        </w:rPr>
        <w:t> </w:t>
      </w:r>
      <w:r>
        <w:rPr>
          <w:sz w:val="20"/>
        </w:rPr>
        <w:t>new</w:t>
      </w:r>
      <w:r>
        <w:rPr>
          <w:spacing w:val="-9"/>
          <w:sz w:val="20"/>
        </w:rPr>
        <w:t> </w:t>
      </w:r>
      <w:r>
        <w:rPr>
          <w:spacing w:val="-3"/>
          <w:sz w:val="20"/>
        </w:rPr>
        <w:t>laws</w:t>
      </w:r>
      <w:r>
        <w:rPr>
          <w:spacing w:val="-9"/>
          <w:sz w:val="20"/>
        </w:rPr>
        <w:t> </w:t>
      </w:r>
      <w:r>
        <w:rPr>
          <w:sz w:val="20"/>
        </w:rPr>
        <w:t>must</w:t>
      </w:r>
      <w:r>
        <w:rPr>
          <w:spacing w:val="-9"/>
          <w:sz w:val="20"/>
        </w:rPr>
        <w:t> </w:t>
      </w:r>
      <w:r>
        <w:rPr>
          <w:sz w:val="20"/>
        </w:rPr>
        <w:t>be</w:t>
      </w:r>
      <w:r>
        <w:rPr>
          <w:spacing w:val="-10"/>
          <w:sz w:val="20"/>
        </w:rPr>
        <w:t> </w:t>
      </w:r>
      <w:r>
        <w:rPr>
          <w:sz w:val="20"/>
        </w:rPr>
        <w:t>accessible</w:t>
      </w:r>
      <w:r>
        <w:rPr>
          <w:spacing w:val="-9"/>
          <w:sz w:val="20"/>
        </w:rPr>
        <w:t> </w:t>
      </w:r>
      <w:r>
        <w:rPr>
          <w:sz w:val="20"/>
        </w:rPr>
        <w:t>to</w:t>
      </w:r>
      <w:r>
        <w:rPr>
          <w:spacing w:val="-9"/>
          <w:sz w:val="20"/>
        </w:rPr>
        <w:t> </w:t>
      </w:r>
      <w:r>
        <w:rPr>
          <w:sz w:val="20"/>
        </w:rPr>
        <w:t>people</w:t>
      </w:r>
      <w:r>
        <w:rPr>
          <w:spacing w:val="-9"/>
          <w:sz w:val="20"/>
        </w:rPr>
        <w:t> </w:t>
      </w:r>
      <w:r>
        <w:rPr>
          <w:sz w:val="20"/>
        </w:rPr>
        <w:t>so</w:t>
      </w:r>
      <w:r>
        <w:rPr>
          <w:spacing w:val="-10"/>
          <w:sz w:val="20"/>
        </w:rPr>
        <w:t> </w:t>
      </w:r>
      <w:r>
        <w:rPr>
          <w:sz w:val="20"/>
        </w:rPr>
        <w:t>that</w:t>
      </w:r>
      <w:r>
        <w:rPr>
          <w:spacing w:val="-9"/>
          <w:sz w:val="20"/>
        </w:rPr>
        <w:t> </w:t>
      </w:r>
      <w:r>
        <w:rPr>
          <w:sz w:val="20"/>
        </w:rPr>
        <w:t>‘it</w:t>
      </w:r>
      <w:r>
        <w:rPr>
          <w:spacing w:val="-9"/>
          <w:sz w:val="20"/>
        </w:rPr>
        <w:t> </w:t>
      </w:r>
      <w:r>
        <w:rPr>
          <w:sz w:val="20"/>
        </w:rPr>
        <w:t>does</w:t>
      </w:r>
      <w:r>
        <w:rPr>
          <w:spacing w:val="-10"/>
          <w:sz w:val="20"/>
        </w:rPr>
        <w:t> </w:t>
      </w:r>
      <w:r>
        <w:rPr>
          <w:sz w:val="20"/>
        </w:rPr>
        <w:t>not function as a tacit barrier to</w:t>
      </w:r>
      <w:r>
        <w:rPr>
          <w:spacing w:val="-26"/>
          <w:sz w:val="20"/>
        </w:rPr>
        <w:t> </w:t>
      </w:r>
      <w:r>
        <w:rPr>
          <w:spacing w:val="-2"/>
          <w:sz w:val="20"/>
        </w:rPr>
        <w:t>inclusion’.</w:t>
      </w:r>
      <w:r>
        <w:rPr>
          <w:spacing w:val="-2"/>
          <w:position w:val="7"/>
          <w:sz w:val="11"/>
        </w:rPr>
        <w:t>58</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VLA stated in its</w:t>
      </w:r>
      <w:r>
        <w:rPr>
          <w:spacing w:val="-17"/>
          <w:sz w:val="20"/>
        </w:rPr>
        <w:t> </w:t>
      </w:r>
      <w:r>
        <w:rPr>
          <w:sz w:val="20"/>
        </w:rPr>
        <w:t>submission:</w:t>
      </w:r>
    </w:p>
    <w:p>
      <w:pPr>
        <w:spacing w:line="247" w:lineRule="exact" w:before="84"/>
        <w:ind w:left="2157" w:right="0" w:firstLine="0"/>
        <w:jc w:val="left"/>
        <w:rPr>
          <w:sz w:val="19"/>
        </w:rPr>
      </w:pPr>
      <w:r>
        <w:rPr>
          <w:sz w:val="19"/>
        </w:rPr>
        <w:t>VLA welcomes the VLRC’s proposal for prospective jurors to be asked what supports</w:t>
      </w:r>
    </w:p>
    <w:p>
      <w:pPr>
        <w:spacing w:line="230" w:lineRule="exact" w:before="0"/>
        <w:ind w:left="2157" w:right="0" w:firstLine="0"/>
        <w:jc w:val="left"/>
        <w:rPr>
          <w:sz w:val="19"/>
        </w:rPr>
      </w:pPr>
      <w:r>
        <w:rPr>
          <w:sz w:val="19"/>
        </w:rPr>
        <w:t>they require to participate as a juror, and for a flexible and case by case approach</w:t>
      </w:r>
    </w:p>
    <w:p>
      <w:pPr>
        <w:spacing w:line="208" w:lineRule="auto" w:before="12"/>
        <w:ind w:left="2157" w:right="1300" w:firstLine="0"/>
        <w:jc w:val="left"/>
        <w:rPr>
          <w:sz w:val="11"/>
        </w:rPr>
      </w:pPr>
      <w:r>
        <w:rPr>
          <w:sz w:val="19"/>
        </w:rPr>
        <w:t>to be adopted for the provision of supports. Given the diversity of experience of people who have vision and hearing impairments, it is critical that people with a lived experience of these disabilities are consulted on the types of individual supports that will assist them to participate as jurors.</w:t>
      </w:r>
      <w:r>
        <w:rPr>
          <w:position w:val="6"/>
          <w:sz w:val="11"/>
        </w:rPr>
        <w:t>59</w:t>
      </w:r>
    </w:p>
    <w:p>
      <w:pPr>
        <w:pStyle w:val="ListParagraph"/>
        <w:numPr>
          <w:ilvl w:val="1"/>
          <w:numId w:val="12"/>
        </w:numPr>
        <w:tabs>
          <w:tab w:pos="1761" w:val="left" w:leader="none"/>
          <w:tab w:pos="1762" w:val="left" w:leader="none"/>
        </w:tabs>
        <w:spacing w:line="206" w:lineRule="auto" w:before="124" w:after="0"/>
        <w:ind w:left="1761" w:right="1555" w:hanging="794"/>
        <w:jc w:val="left"/>
        <w:rPr>
          <w:sz w:val="11"/>
        </w:rPr>
      </w:pPr>
      <w:r>
        <w:rPr>
          <w:sz w:val="20"/>
        </w:rPr>
        <w:t>The experiences of jurors </w:t>
      </w:r>
      <w:r>
        <w:rPr>
          <w:spacing w:val="-3"/>
          <w:sz w:val="20"/>
        </w:rPr>
        <w:t>(or </w:t>
      </w:r>
      <w:r>
        <w:rPr>
          <w:sz w:val="20"/>
        </w:rPr>
        <w:t>potential </w:t>
      </w:r>
      <w:r>
        <w:rPr>
          <w:spacing w:val="-3"/>
          <w:sz w:val="20"/>
        </w:rPr>
        <w:t>jurors) </w:t>
      </w:r>
      <w:r>
        <w:rPr>
          <w:sz w:val="20"/>
        </w:rPr>
        <w:t>with disabilities </w:t>
      </w:r>
      <w:r>
        <w:rPr>
          <w:spacing w:val="-3"/>
          <w:sz w:val="20"/>
        </w:rPr>
        <w:t>overseas </w:t>
      </w:r>
      <w:r>
        <w:rPr>
          <w:sz w:val="20"/>
        </w:rPr>
        <w:t>indicates that</w:t>
      </w:r>
      <w:r>
        <w:rPr>
          <w:spacing w:val="-9"/>
          <w:sz w:val="20"/>
        </w:rPr>
        <w:t> </w:t>
      </w:r>
      <w:r>
        <w:rPr>
          <w:sz w:val="20"/>
        </w:rPr>
        <w:t>what</w:t>
      </w:r>
      <w:r>
        <w:rPr>
          <w:spacing w:val="-9"/>
          <w:sz w:val="20"/>
        </w:rPr>
        <w:t> </w:t>
      </w:r>
      <w:r>
        <w:rPr>
          <w:sz w:val="20"/>
        </w:rPr>
        <w:t>happens</w:t>
      </w:r>
      <w:r>
        <w:rPr>
          <w:spacing w:val="-9"/>
          <w:sz w:val="20"/>
        </w:rPr>
        <w:t> </w:t>
      </w:r>
      <w:r>
        <w:rPr>
          <w:sz w:val="20"/>
        </w:rPr>
        <w:t>after</w:t>
      </w:r>
      <w:r>
        <w:rPr>
          <w:spacing w:val="-9"/>
          <w:sz w:val="20"/>
        </w:rPr>
        <w:t> </w:t>
      </w:r>
      <w:r>
        <w:rPr>
          <w:sz w:val="20"/>
        </w:rPr>
        <w:t>a</w:t>
      </w:r>
      <w:r>
        <w:rPr>
          <w:spacing w:val="-9"/>
          <w:sz w:val="20"/>
        </w:rPr>
        <w:t> </w:t>
      </w:r>
      <w:r>
        <w:rPr>
          <w:sz w:val="20"/>
        </w:rPr>
        <w:t>person</w:t>
      </w:r>
      <w:r>
        <w:rPr>
          <w:spacing w:val="-9"/>
          <w:sz w:val="20"/>
        </w:rPr>
        <w:t> </w:t>
      </w:r>
      <w:r>
        <w:rPr>
          <w:sz w:val="20"/>
        </w:rPr>
        <w:t>first</w:t>
      </w:r>
      <w:r>
        <w:rPr>
          <w:spacing w:val="-9"/>
          <w:sz w:val="20"/>
        </w:rPr>
        <w:t> </w:t>
      </w:r>
      <w:r>
        <w:rPr>
          <w:spacing w:val="-3"/>
          <w:sz w:val="20"/>
        </w:rPr>
        <w:t>receives</w:t>
      </w:r>
      <w:r>
        <w:rPr>
          <w:spacing w:val="-9"/>
          <w:sz w:val="20"/>
        </w:rPr>
        <w:t> </w:t>
      </w:r>
      <w:r>
        <w:rPr>
          <w:sz w:val="20"/>
        </w:rPr>
        <w:t>a</w:t>
      </w:r>
      <w:r>
        <w:rPr>
          <w:spacing w:val="-9"/>
          <w:sz w:val="20"/>
        </w:rPr>
        <w:t> </w:t>
      </w:r>
      <w:r>
        <w:rPr>
          <w:sz w:val="20"/>
        </w:rPr>
        <w:t>jury</w:t>
      </w:r>
      <w:r>
        <w:rPr>
          <w:spacing w:val="-9"/>
          <w:sz w:val="20"/>
        </w:rPr>
        <w:t> </w:t>
      </w:r>
      <w:r>
        <w:rPr>
          <w:sz w:val="20"/>
        </w:rPr>
        <w:t>selection</w:t>
      </w:r>
      <w:r>
        <w:rPr>
          <w:spacing w:val="-9"/>
          <w:sz w:val="20"/>
        </w:rPr>
        <w:t> </w:t>
      </w:r>
      <w:r>
        <w:rPr>
          <w:sz w:val="20"/>
        </w:rPr>
        <w:t>notice</w:t>
      </w:r>
      <w:r>
        <w:rPr>
          <w:spacing w:val="-9"/>
          <w:sz w:val="20"/>
        </w:rPr>
        <w:t> </w:t>
      </w:r>
      <w:r>
        <w:rPr>
          <w:sz w:val="20"/>
        </w:rPr>
        <w:t>and</w:t>
      </w:r>
      <w:r>
        <w:rPr>
          <w:spacing w:val="-9"/>
          <w:sz w:val="20"/>
        </w:rPr>
        <w:t> </w:t>
      </w:r>
      <w:r>
        <w:rPr>
          <w:sz w:val="20"/>
        </w:rPr>
        <w:t>their</w:t>
      </w:r>
      <w:r>
        <w:rPr>
          <w:spacing w:val="-9"/>
          <w:sz w:val="20"/>
        </w:rPr>
        <w:t> </w:t>
      </w:r>
      <w:r>
        <w:rPr>
          <w:spacing w:val="-3"/>
          <w:sz w:val="20"/>
        </w:rPr>
        <w:t>early </w:t>
      </w:r>
      <w:r>
        <w:rPr>
          <w:sz w:val="20"/>
        </w:rPr>
        <w:t>interactions with officials is</w:t>
      </w:r>
      <w:r>
        <w:rPr>
          <w:spacing w:val="-19"/>
          <w:sz w:val="20"/>
        </w:rPr>
        <w:t> </w:t>
      </w:r>
      <w:r>
        <w:rPr>
          <w:sz w:val="20"/>
        </w:rPr>
        <w:t>important.</w:t>
      </w:r>
      <w:r>
        <w:rPr>
          <w:position w:val="7"/>
          <w:sz w:val="11"/>
        </w:rPr>
        <w:t>60</w:t>
      </w:r>
    </w:p>
    <w:p>
      <w:pPr>
        <w:pStyle w:val="ListParagraph"/>
        <w:numPr>
          <w:ilvl w:val="1"/>
          <w:numId w:val="12"/>
        </w:numPr>
        <w:tabs>
          <w:tab w:pos="1761" w:val="left" w:leader="none"/>
          <w:tab w:pos="1762" w:val="left" w:leader="none"/>
        </w:tabs>
        <w:spacing w:line="206" w:lineRule="auto" w:before="124" w:after="0"/>
        <w:ind w:left="1761" w:right="1338" w:hanging="794"/>
        <w:jc w:val="left"/>
        <w:rPr>
          <w:sz w:val="20"/>
        </w:rPr>
      </w:pPr>
      <w:r>
        <w:rPr>
          <w:sz w:val="20"/>
        </w:rPr>
        <w:t>In line with community responses, the Commission recommends that the potential juror</w:t>
      </w:r>
      <w:r>
        <w:rPr>
          <w:spacing w:val="-10"/>
          <w:sz w:val="20"/>
        </w:rPr>
        <w:t> </w:t>
      </w:r>
      <w:r>
        <w:rPr>
          <w:sz w:val="20"/>
        </w:rPr>
        <w:t>is</w:t>
      </w:r>
      <w:r>
        <w:rPr>
          <w:spacing w:val="-10"/>
          <w:sz w:val="20"/>
        </w:rPr>
        <w:t> </w:t>
      </w:r>
      <w:r>
        <w:rPr>
          <w:sz w:val="20"/>
        </w:rPr>
        <w:t>given</w:t>
      </w:r>
      <w:r>
        <w:rPr>
          <w:spacing w:val="-10"/>
          <w:sz w:val="20"/>
        </w:rPr>
        <w:t> </w:t>
      </w:r>
      <w:r>
        <w:rPr>
          <w:sz w:val="20"/>
        </w:rPr>
        <w:t>the</w:t>
      </w:r>
      <w:r>
        <w:rPr>
          <w:spacing w:val="-9"/>
          <w:sz w:val="20"/>
        </w:rPr>
        <w:t> </w:t>
      </w:r>
      <w:r>
        <w:rPr>
          <w:sz w:val="20"/>
        </w:rPr>
        <w:t>opportunity</w:t>
      </w:r>
      <w:r>
        <w:rPr>
          <w:spacing w:val="-10"/>
          <w:sz w:val="20"/>
        </w:rPr>
        <w:t> </w:t>
      </w:r>
      <w:r>
        <w:rPr>
          <w:sz w:val="20"/>
        </w:rPr>
        <w:t>to</w:t>
      </w:r>
      <w:r>
        <w:rPr>
          <w:spacing w:val="-10"/>
          <w:sz w:val="20"/>
        </w:rPr>
        <w:t> </w:t>
      </w:r>
      <w:r>
        <w:rPr>
          <w:sz w:val="20"/>
        </w:rPr>
        <w:t>discuss</w:t>
      </w:r>
      <w:r>
        <w:rPr>
          <w:spacing w:val="-10"/>
          <w:sz w:val="20"/>
        </w:rPr>
        <w:t> </w:t>
      </w:r>
      <w:r>
        <w:rPr>
          <w:sz w:val="20"/>
        </w:rPr>
        <w:t>their</w:t>
      </w:r>
      <w:r>
        <w:rPr>
          <w:spacing w:val="-9"/>
          <w:sz w:val="20"/>
        </w:rPr>
        <w:t> </w:t>
      </w:r>
      <w:r>
        <w:rPr>
          <w:sz w:val="20"/>
        </w:rPr>
        <w:t>needs</w:t>
      </w:r>
      <w:r>
        <w:rPr>
          <w:spacing w:val="-10"/>
          <w:sz w:val="20"/>
        </w:rPr>
        <w:t> </w:t>
      </w:r>
      <w:r>
        <w:rPr>
          <w:sz w:val="20"/>
        </w:rPr>
        <w:t>and</w:t>
      </w:r>
      <w:r>
        <w:rPr>
          <w:spacing w:val="-10"/>
          <w:sz w:val="20"/>
        </w:rPr>
        <w:t> </w:t>
      </w:r>
      <w:r>
        <w:rPr>
          <w:sz w:val="20"/>
        </w:rPr>
        <w:t>abilities</w:t>
      </w:r>
      <w:r>
        <w:rPr>
          <w:spacing w:val="-9"/>
          <w:sz w:val="20"/>
        </w:rPr>
        <w:t> </w:t>
      </w:r>
      <w:r>
        <w:rPr>
          <w:spacing w:val="-3"/>
          <w:sz w:val="20"/>
        </w:rPr>
        <w:t>from</w:t>
      </w:r>
      <w:r>
        <w:rPr>
          <w:spacing w:val="-10"/>
          <w:sz w:val="20"/>
        </w:rPr>
        <w:t> </w:t>
      </w:r>
      <w:r>
        <w:rPr>
          <w:sz w:val="20"/>
        </w:rPr>
        <w:t>the</w:t>
      </w:r>
      <w:r>
        <w:rPr>
          <w:spacing w:val="-10"/>
          <w:sz w:val="20"/>
        </w:rPr>
        <w:t> </w:t>
      </w:r>
      <w:r>
        <w:rPr>
          <w:sz w:val="20"/>
        </w:rPr>
        <w:t>outset</w:t>
      </w:r>
      <w:r>
        <w:rPr>
          <w:spacing w:val="-10"/>
          <w:sz w:val="20"/>
        </w:rPr>
        <w:t> </w:t>
      </w:r>
      <w:r>
        <w:rPr>
          <w:sz w:val="20"/>
        </w:rPr>
        <w:t>of</w:t>
      </w:r>
      <w:r>
        <w:rPr>
          <w:spacing w:val="-9"/>
          <w:sz w:val="20"/>
        </w:rPr>
        <w:t> </w:t>
      </w:r>
      <w:r>
        <w:rPr>
          <w:sz w:val="20"/>
        </w:rPr>
        <w:t>the jury selection process. Juries Victoria is best placed to </w:t>
      </w:r>
      <w:r>
        <w:rPr>
          <w:spacing w:val="-4"/>
          <w:sz w:val="20"/>
        </w:rPr>
        <w:t>have </w:t>
      </w:r>
      <w:r>
        <w:rPr>
          <w:sz w:val="20"/>
        </w:rPr>
        <w:t>this initial discussion. </w:t>
      </w:r>
      <w:r>
        <w:rPr>
          <w:spacing w:val="-6"/>
          <w:sz w:val="20"/>
        </w:rPr>
        <w:t>We </w:t>
      </w:r>
      <w:r>
        <w:rPr>
          <w:sz w:val="20"/>
        </w:rPr>
        <w:t>agree with Juries Victoria that these discussions should occur when the summons is created.</w:t>
      </w:r>
    </w:p>
    <w:p>
      <w:pPr>
        <w:pStyle w:val="ListParagraph"/>
        <w:numPr>
          <w:ilvl w:val="1"/>
          <w:numId w:val="12"/>
        </w:numPr>
        <w:tabs>
          <w:tab w:pos="1761" w:val="left" w:leader="none"/>
          <w:tab w:pos="1762" w:val="left" w:leader="none"/>
        </w:tabs>
        <w:spacing w:line="206" w:lineRule="auto" w:before="126" w:after="0"/>
        <w:ind w:left="1761" w:right="1269" w:hanging="794"/>
        <w:jc w:val="left"/>
        <w:rPr>
          <w:sz w:val="20"/>
        </w:rPr>
      </w:pPr>
      <w:r>
        <w:rPr>
          <w:sz w:val="20"/>
        </w:rPr>
        <w:t>This</w:t>
      </w:r>
      <w:r>
        <w:rPr>
          <w:spacing w:val="-10"/>
          <w:sz w:val="20"/>
        </w:rPr>
        <w:t> </w:t>
      </w:r>
      <w:r>
        <w:rPr>
          <w:spacing w:val="-3"/>
          <w:sz w:val="20"/>
        </w:rPr>
        <w:t>role</w:t>
      </w:r>
      <w:r>
        <w:rPr>
          <w:spacing w:val="-9"/>
          <w:sz w:val="20"/>
        </w:rPr>
        <w:t> </w:t>
      </w:r>
      <w:r>
        <w:rPr>
          <w:sz w:val="20"/>
        </w:rPr>
        <w:t>is</w:t>
      </w:r>
      <w:r>
        <w:rPr>
          <w:spacing w:val="-10"/>
          <w:sz w:val="20"/>
        </w:rPr>
        <w:t> </w:t>
      </w:r>
      <w:r>
        <w:rPr>
          <w:sz w:val="20"/>
        </w:rPr>
        <w:t>in</w:t>
      </w:r>
      <w:r>
        <w:rPr>
          <w:spacing w:val="-9"/>
          <w:sz w:val="20"/>
        </w:rPr>
        <w:t> </w:t>
      </w:r>
      <w:r>
        <w:rPr>
          <w:sz w:val="20"/>
        </w:rPr>
        <w:t>keeping</w:t>
      </w:r>
      <w:r>
        <w:rPr>
          <w:spacing w:val="-9"/>
          <w:sz w:val="20"/>
        </w:rPr>
        <w:t> </w:t>
      </w:r>
      <w:r>
        <w:rPr>
          <w:sz w:val="20"/>
        </w:rPr>
        <w:t>with</w:t>
      </w:r>
      <w:r>
        <w:rPr>
          <w:spacing w:val="-10"/>
          <w:sz w:val="20"/>
        </w:rPr>
        <w:t> </w:t>
      </w:r>
      <w:r>
        <w:rPr>
          <w:sz w:val="20"/>
        </w:rPr>
        <w:t>the</w:t>
      </w:r>
      <w:r>
        <w:rPr>
          <w:spacing w:val="-9"/>
          <w:sz w:val="20"/>
        </w:rPr>
        <w:t> </w:t>
      </w:r>
      <w:r>
        <w:rPr>
          <w:sz w:val="20"/>
        </w:rPr>
        <w:t>existing</w:t>
      </w:r>
      <w:r>
        <w:rPr>
          <w:spacing w:val="-10"/>
          <w:sz w:val="20"/>
        </w:rPr>
        <w:t> </w:t>
      </w:r>
      <w:r>
        <w:rPr>
          <w:spacing w:val="-3"/>
          <w:sz w:val="20"/>
        </w:rPr>
        <w:t>work</w:t>
      </w:r>
      <w:r>
        <w:rPr>
          <w:spacing w:val="-9"/>
          <w:sz w:val="20"/>
        </w:rPr>
        <w:t> </w:t>
      </w:r>
      <w:r>
        <w:rPr>
          <w:sz w:val="20"/>
        </w:rPr>
        <w:t>of</w:t>
      </w:r>
      <w:r>
        <w:rPr>
          <w:spacing w:val="-9"/>
          <w:sz w:val="20"/>
        </w:rPr>
        <w:t> </w:t>
      </w:r>
      <w:r>
        <w:rPr>
          <w:sz w:val="20"/>
        </w:rPr>
        <w:t>Juries</w:t>
      </w:r>
      <w:r>
        <w:rPr>
          <w:spacing w:val="-10"/>
          <w:sz w:val="20"/>
        </w:rPr>
        <w:t> </w:t>
      </w:r>
      <w:r>
        <w:rPr>
          <w:sz w:val="20"/>
        </w:rPr>
        <w:t>Victoria,</w:t>
      </w:r>
      <w:r>
        <w:rPr>
          <w:spacing w:val="-9"/>
          <w:sz w:val="20"/>
        </w:rPr>
        <w:t> </w:t>
      </w:r>
      <w:r>
        <w:rPr>
          <w:sz w:val="20"/>
        </w:rPr>
        <w:t>as</w:t>
      </w:r>
      <w:r>
        <w:rPr>
          <w:spacing w:val="-10"/>
          <w:sz w:val="20"/>
        </w:rPr>
        <w:t> </w:t>
      </w:r>
      <w:r>
        <w:rPr>
          <w:sz w:val="20"/>
        </w:rPr>
        <w:t>it</w:t>
      </w:r>
      <w:r>
        <w:rPr>
          <w:spacing w:val="-9"/>
          <w:sz w:val="20"/>
        </w:rPr>
        <w:t> </w:t>
      </w:r>
      <w:r>
        <w:rPr>
          <w:sz w:val="20"/>
        </w:rPr>
        <w:t>already</w:t>
      </w:r>
      <w:r>
        <w:rPr>
          <w:spacing w:val="-9"/>
          <w:sz w:val="20"/>
        </w:rPr>
        <w:t> </w:t>
      </w:r>
      <w:r>
        <w:rPr>
          <w:sz w:val="20"/>
        </w:rPr>
        <w:t>has</w:t>
      </w:r>
      <w:r>
        <w:rPr>
          <w:spacing w:val="-10"/>
          <w:sz w:val="20"/>
        </w:rPr>
        <w:t> </w:t>
      </w:r>
      <w:r>
        <w:rPr>
          <w:sz w:val="20"/>
        </w:rPr>
        <w:t>one-on- one </w:t>
      </w:r>
      <w:r>
        <w:rPr>
          <w:spacing w:val="-2"/>
          <w:sz w:val="20"/>
        </w:rPr>
        <w:t>conversations </w:t>
      </w:r>
      <w:r>
        <w:rPr>
          <w:sz w:val="20"/>
        </w:rPr>
        <w:t>with </w:t>
      </w:r>
      <w:r>
        <w:rPr>
          <w:spacing w:val="-3"/>
          <w:sz w:val="20"/>
        </w:rPr>
        <w:t>many </w:t>
      </w:r>
      <w:r>
        <w:rPr>
          <w:sz w:val="20"/>
        </w:rPr>
        <w:t>people about their jury service and special needs. More </w:t>
      </w:r>
      <w:r>
        <w:rPr>
          <w:spacing w:val="-3"/>
          <w:sz w:val="20"/>
        </w:rPr>
        <w:t>recently </w:t>
      </w:r>
      <w:r>
        <w:rPr>
          <w:sz w:val="20"/>
        </w:rPr>
        <w:t>it has held </w:t>
      </w:r>
      <w:r>
        <w:rPr>
          <w:spacing w:val="-2"/>
          <w:sz w:val="20"/>
        </w:rPr>
        <w:t>conversations </w:t>
      </w:r>
      <w:r>
        <w:rPr>
          <w:sz w:val="20"/>
        </w:rPr>
        <w:t>with people about social distancing requirements and their </w:t>
      </w:r>
      <w:r>
        <w:rPr>
          <w:spacing w:val="-4"/>
          <w:sz w:val="20"/>
        </w:rPr>
        <w:t>level </w:t>
      </w:r>
      <w:r>
        <w:rPr>
          <w:sz w:val="20"/>
        </w:rPr>
        <w:t>of comfort coming </w:t>
      </w:r>
      <w:r>
        <w:rPr>
          <w:spacing w:val="-3"/>
          <w:sz w:val="20"/>
        </w:rPr>
        <w:t>into </w:t>
      </w:r>
      <w:r>
        <w:rPr>
          <w:sz w:val="20"/>
        </w:rPr>
        <w:t>court during the pandemic.</w:t>
      </w:r>
      <w:r>
        <w:rPr>
          <w:position w:val="7"/>
          <w:sz w:val="11"/>
        </w:rPr>
        <w:t>61 </w:t>
      </w:r>
      <w:r>
        <w:rPr>
          <w:sz w:val="20"/>
        </w:rPr>
        <w:t>Discussing reasonable adjustments is an </w:t>
      </w:r>
      <w:r>
        <w:rPr>
          <w:spacing w:val="-3"/>
          <w:sz w:val="20"/>
        </w:rPr>
        <w:t>appropriate </w:t>
      </w:r>
      <w:r>
        <w:rPr>
          <w:sz w:val="20"/>
        </w:rPr>
        <w:t>extension of its</w:t>
      </w:r>
      <w:r>
        <w:rPr>
          <w:spacing w:val="-36"/>
          <w:sz w:val="20"/>
        </w:rPr>
        <w:t> </w:t>
      </w:r>
      <w:r>
        <w:rPr>
          <w:spacing w:val="-3"/>
          <w:sz w:val="20"/>
        </w:rPr>
        <w:t>role.</w:t>
      </w:r>
    </w:p>
    <w:p>
      <w:pPr>
        <w:pStyle w:val="ListParagraph"/>
        <w:numPr>
          <w:ilvl w:val="1"/>
          <w:numId w:val="12"/>
        </w:numPr>
        <w:tabs>
          <w:tab w:pos="1761" w:val="left" w:leader="none"/>
          <w:tab w:pos="1762" w:val="left" w:leader="none"/>
        </w:tabs>
        <w:spacing w:line="206" w:lineRule="auto" w:before="126" w:after="0"/>
        <w:ind w:left="1761" w:right="1218" w:hanging="794"/>
        <w:jc w:val="left"/>
        <w:rPr>
          <w:sz w:val="11"/>
        </w:rPr>
      </w:pPr>
      <w:r>
        <w:rPr>
          <w:sz w:val="20"/>
        </w:rPr>
        <w:t>Juries</w:t>
      </w:r>
      <w:r>
        <w:rPr>
          <w:spacing w:val="-8"/>
          <w:sz w:val="20"/>
        </w:rPr>
        <w:t> </w:t>
      </w:r>
      <w:r>
        <w:rPr>
          <w:sz w:val="20"/>
        </w:rPr>
        <w:t>Victoria</w:t>
      </w:r>
      <w:r>
        <w:rPr>
          <w:spacing w:val="-8"/>
          <w:sz w:val="20"/>
        </w:rPr>
        <w:t> </w:t>
      </w:r>
      <w:r>
        <w:rPr>
          <w:sz w:val="20"/>
        </w:rPr>
        <w:t>has</w:t>
      </w:r>
      <w:r>
        <w:rPr>
          <w:spacing w:val="-8"/>
          <w:sz w:val="20"/>
        </w:rPr>
        <w:t> </w:t>
      </w:r>
      <w:r>
        <w:rPr>
          <w:sz w:val="20"/>
        </w:rPr>
        <w:t>existing</w:t>
      </w:r>
      <w:r>
        <w:rPr>
          <w:spacing w:val="-8"/>
          <w:sz w:val="20"/>
        </w:rPr>
        <w:t> </w:t>
      </w:r>
      <w:r>
        <w:rPr>
          <w:spacing w:val="-3"/>
          <w:sz w:val="20"/>
        </w:rPr>
        <w:t>powers</w:t>
      </w:r>
      <w:r>
        <w:rPr>
          <w:spacing w:val="-8"/>
          <w:sz w:val="20"/>
        </w:rPr>
        <w:t> </w:t>
      </w:r>
      <w:r>
        <w:rPr>
          <w:sz w:val="20"/>
        </w:rPr>
        <w:t>to</w:t>
      </w:r>
      <w:r>
        <w:rPr>
          <w:spacing w:val="-8"/>
          <w:sz w:val="20"/>
        </w:rPr>
        <w:t> </w:t>
      </w:r>
      <w:r>
        <w:rPr>
          <w:spacing w:val="-3"/>
          <w:sz w:val="20"/>
        </w:rPr>
        <w:t>excuse</w:t>
      </w:r>
      <w:r>
        <w:rPr>
          <w:spacing w:val="-8"/>
          <w:sz w:val="20"/>
        </w:rPr>
        <w:t> </w:t>
      </w:r>
      <w:r>
        <w:rPr>
          <w:sz w:val="20"/>
        </w:rPr>
        <w:t>a</w:t>
      </w:r>
      <w:r>
        <w:rPr>
          <w:spacing w:val="-8"/>
          <w:sz w:val="20"/>
        </w:rPr>
        <w:t> </w:t>
      </w:r>
      <w:r>
        <w:rPr>
          <w:sz w:val="20"/>
        </w:rPr>
        <w:t>person</w:t>
      </w:r>
      <w:r>
        <w:rPr>
          <w:spacing w:val="-8"/>
          <w:sz w:val="20"/>
        </w:rPr>
        <w:t> </w:t>
      </w:r>
      <w:r>
        <w:rPr>
          <w:sz w:val="20"/>
        </w:rPr>
        <w:t>for</w:t>
      </w:r>
      <w:r>
        <w:rPr>
          <w:spacing w:val="-7"/>
          <w:sz w:val="20"/>
        </w:rPr>
        <w:t> </w:t>
      </w:r>
      <w:r>
        <w:rPr>
          <w:sz w:val="20"/>
        </w:rPr>
        <w:t>good</w:t>
      </w:r>
      <w:r>
        <w:rPr>
          <w:spacing w:val="-8"/>
          <w:sz w:val="20"/>
        </w:rPr>
        <w:t> </w:t>
      </w:r>
      <w:r>
        <w:rPr>
          <w:sz w:val="20"/>
        </w:rPr>
        <w:t>cause</w:t>
      </w:r>
      <w:r>
        <w:rPr>
          <w:spacing w:val="-8"/>
          <w:sz w:val="20"/>
        </w:rPr>
        <w:t> </w:t>
      </w:r>
      <w:r>
        <w:rPr>
          <w:sz w:val="20"/>
        </w:rPr>
        <w:t>for</w:t>
      </w:r>
      <w:r>
        <w:rPr>
          <w:spacing w:val="-8"/>
          <w:sz w:val="20"/>
        </w:rPr>
        <w:t> </w:t>
      </w:r>
      <w:r>
        <w:rPr>
          <w:sz w:val="20"/>
        </w:rPr>
        <w:t>a</w:t>
      </w:r>
      <w:r>
        <w:rPr>
          <w:spacing w:val="-8"/>
          <w:sz w:val="20"/>
        </w:rPr>
        <w:t> </w:t>
      </w:r>
      <w:r>
        <w:rPr>
          <w:sz w:val="20"/>
        </w:rPr>
        <w:t>short</w:t>
      </w:r>
      <w:r>
        <w:rPr>
          <w:spacing w:val="-8"/>
          <w:sz w:val="20"/>
        </w:rPr>
        <w:t> </w:t>
      </w:r>
      <w:r>
        <w:rPr>
          <w:sz w:val="20"/>
        </w:rPr>
        <w:t>period or </w:t>
      </w:r>
      <w:r>
        <w:rPr>
          <w:spacing w:val="-3"/>
          <w:sz w:val="20"/>
        </w:rPr>
        <w:t>permanently, </w:t>
      </w:r>
      <w:r>
        <w:rPr>
          <w:sz w:val="20"/>
        </w:rPr>
        <w:t>and to defer jury service. The </w:t>
      </w:r>
      <w:r>
        <w:rPr>
          <w:spacing w:val="-2"/>
          <w:sz w:val="20"/>
        </w:rPr>
        <w:t>conversations </w:t>
      </w:r>
      <w:r>
        <w:rPr>
          <w:sz w:val="20"/>
        </w:rPr>
        <w:t>that Juries Victoria has with people </w:t>
      </w:r>
      <w:r>
        <w:rPr>
          <w:spacing w:val="-3"/>
          <w:sz w:val="20"/>
        </w:rPr>
        <w:t>from </w:t>
      </w:r>
      <w:r>
        <w:rPr>
          <w:sz w:val="20"/>
        </w:rPr>
        <w:t>the subject groups </w:t>
      </w:r>
      <w:r>
        <w:rPr>
          <w:spacing w:val="-3"/>
          <w:sz w:val="20"/>
        </w:rPr>
        <w:t>early </w:t>
      </w:r>
      <w:r>
        <w:rPr>
          <w:sz w:val="20"/>
        </w:rPr>
        <w:t>on in the selection process </w:t>
      </w:r>
      <w:r>
        <w:rPr>
          <w:spacing w:val="-3"/>
          <w:sz w:val="20"/>
        </w:rPr>
        <w:t>may free </w:t>
      </w:r>
      <w:r>
        <w:rPr>
          <w:sz w:val="20"/>
        </w:rPr>
        <w:t>up the </w:t>
      </w:r>
      <w:r>
        <w:rPr>
          <w:spacing w:val="-3"/>
          <w:sz w:val="20"/>
        </w:rPr>
        <w:t>judge’s </w:t>
      </w:r>
      <w:r>
        <w:rPr>
          <w:sz w:val="20"/>
        </w:rPr>
        <w:t>time later on. Juries Victoria noted that ‘time and availability constraints mean that</w:t>
      </w:r>
      <w:r>
        <w:rPr>
          <w:spacing w:val="-8"/>
          <w:sz w:val="20"/>
        </w:rPr>
        <w:t> </w:t>
      </w:r>
      <w:r>
        <w:rPr>
          <w:sz w:val="20"/>
        </w:rPr>
        <w:t>a</w:t>
      </w:r>
      <w:r>
        <w:rPr>
          <w:spacing w:val="-8"/>
          <w:sz w:val="20"/>
        </w:rPr>
        <w:t> </w:t>
      </w:r>
      <w:r>
        <w:rPr>
          <w:sz w:val="20"/>
        </w:rPr>
        <w:t>trial</w:t>
      </w:r>
      <w:r>
        <w:rPr>
          <w:spacing w:val="-7"/>
          <w:sz w:val="20"/>
        </w:rPr>
        <w:t> </w:t>
      </w:r>
      <w:r>
        <w:rPr>
          <w:sz w:val="20"/>
        </w:rPr>
        <w:t>judge</w:t>
      </w:r>
      <w:r>
        <w:rPr>
          <w:spacing w:val="-8"/>
          <w:sz w:val="20"/>
        </w:rPr>
        <w:t> </w:t>
      </w:r>
      <w:r>
        <w:rPr>
          <w:spacing w:val="-3"/>
          <w:sz w:val="20"/>
        </w:rPr>
        <w:t>would</w:t>
      </w:r>
      <w:r>
        <w:rPr>
          <w:spacing w:val="-8"/>
          <w:sz w:val="20"/>
        </w:rPr>
        <w:t> </w:t>
      </w:r>
      <w:r>
        <w:rPr>
          <w:sz w:val="20"/>
        </w:rPr>
        <w:t>not</w:t>
      </w:r>
      <w:r>
        <w:rPr>
          <w:spacing w:val="-7"/>
          <w:sz w:val="20"/>
        </w:rPr>
        <w:t> </w:t>
      </w:r>
      <w:r>
        <w:rPr>
          <w:sz w:val="20"/>
        </w:rPr>
        <w:t>be</w:t>
      </w:r>
      <w:r>
        <w:rPr>
          <w:spacing w:val="-8"/>
          <w:sz w:val="20"/>
        </w:rPr>
        <w:t> </w:t>
      </w:r>
      <w:r>
        <w:rPr>
          <w:sz w:val="20"/>
        </w:rPr>
        <w:t>able</w:t>
      </w:r>
      <w:r>
        <w:rPr>
          <w:spacing w:val="-8"/>
          <w:sz w:val="20"/>
        </w:rPr>
        <w:t> </w:t>
      </w:r>
      <w:r>
        <w:rPr>
          <w:sz w:val="20"/>
        </w:rPr>
        <w:t>to</w:t>
      </w:r>
      <w:r>
        <w:rPr>
          <w:spacing w:val="-7"/>
          <w:sz w:val="20"/>
        </w:rPr>
        <w:t> </w:t>
      </w:r>
      <w:r>
        <w:rPr>
          <w:sz w:val="20"/>
        </w:rPr>
        <w:t>listen</w:t>
      </w:r>
      <w:r>
        <w:rPr>
          <w:spacing w:val="-8"/>
          <w:sz w:val="20"/>
        </w:rPr>
        <w:t> </w:t>
      </w:r>
      <w:r>
        <w:rPr>
          <w:sz w:val="20"/>
        </w:rPr>
        <w:t>to</w:t>
      </w:r>
      <w:r>
        <w:rPr>
          <w:spacing w:val="-8"/>
          <w:sz w:val="20"/>
        </w:rPr>
        <w:t> </w:t>
      </w:r>
      <w:r>
        <w:rPr>
          <w:sz w:val="20"/>
        </w:rPr>
        <w:t>every</w:t>
      </w:r>
      <w:r>
        <w:rPr>
          <w:spacing w:val="-7"/>
          <w:sz w:val="20"/>
        </w:rPr>
        <w:t> </w:t>
      </w:r>
      <w:r>
        <w:rPr>
          <w:sz w:val="20"/>
        </w:rPr>
        <w:t>reason</w:t>
      </w:r>
      <w:r>
        <w:rPr>
          <w:spacing w:val="-8"/>
          <w:sz w:val="20"/>
        </w:rPr>
        <w:t> </w:t>
      </w:r>
      <w:r>
        <w:rPr>
          <w:sz w:val="20"/>
        </w:rPr>
        <w:t>or</w:t>
      </w:r>
      <w:r>
        <w:rPr>
          <w:spacing w:val="-8"/>
          <w:sz w:val="20"/>
        </w:rPr>
        <w:t> </w:t>
      </w:r>
      <w:r>
        <w:rPr>
          <w:sz w:val="20"/>
        </w:rPr>
        <w:t>request</w:t>
      </w:r>
      <w:r>
        <w:rPr>
          <w:spacing w:val="-7"/>
          <w:sz w:val="20"/>
        </w:rPr>
        <w:t> </w:t>
      </w:r>
      <w:r>
        <w:rPr>
          <w:sz w:val="20"/>
        </w:rPr>
        <w:t>not</w:t>
      </w:r>
      <w:r>
        <w:rPr>
          <w:spacing w:val="-8"/>
          <w:sz w:val="20"/>
        </w:rPr>
        <w:t> </w:t>
      </w:r>
      <w:r>
        <w:rPr>
          <w:sz w:val="20"/>
        </w:rPr>
        <w:t>to</w:t>
      </w:r>
      <w:r>
        <w:rPr>
          <w:spacing w:val="-8"/>
          <w:sz w:val="20"/>
        </w:rPr>
        <w:t> </w:t>
      </w:r>
      <w:r>
        <w:rPr>
          <w:spacing w:val="-3"/>
          <w:sz w:val="20"/>
        </w:rPr>
        <w:t>serve’.</w:t>
      </w:r>
      <w:r>
        <w:rPr>
          <w:spacing w:val="-3"/>
          <w:position w:val="7"/>
          <w:sz w:val="11"/>
        </w:rPr>
        <w:t>62</w:t>
      </w:r>
    </w:p>
    <w:p>
      <w:pPr>
        <w:pStyle w:val="BodyText"/>
      </w:pPr>
    </w:p>
    <w:p>
      <w:pPr>
        <w:pStyle w:val="BodyText"/>
      </w:pPr>
    </w:p>
    <w:p>
      <w:pPr>
        <w:pStyle w:val="BodyText"/>
      </w:pPr>
    </w:p>
    <w:p>
      <w:pPr>
        <w:pStyle w:val="BodyText"/>
      </w:pPr>
    </w:p>
    <w:p>
      <w:pPr>
        <w:pStyle w:val="BodyText"/>
        <w:spacing w:before="1"/>
        <w:rPr>
          <w:sz w:val="14"/>
        </w:rPr>
      </w:pPr>
      <w:r>
        <w:rPr/>
        <w:pict>
          <v:line style="position:absolute;mso-position-horizontal-relative:page;mso-position-vertical-relative:paragraph;z-index:7472;mso-wrap-distance-left:0;mso-wrap-distance-right:0" from="79.370102pt,12.229735pt" to="515.905102pt,12.229735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spacing w:before="8"/>
        <w:rPr>
          <w:sz w:val="33"/>
        </w:rPr>
      </w:pPr>
    </w:p>
    <w:p>
      <w:pPr>
        <w:spacing w:before="0"/>
        <w:ind w:left="100" w:right="0" w:firstLine="0"/>
        <w:jc w:val="left"/>
        <w:rPr>
          <w:b/>
          <w:sz w:val="24"/>
        </w:rPr>
      </w:pPr>
      <w:r>
        <w:rPr>
          <w:b/>
          <w:color w:val="37617A"/>
          <w:sz w:val="24"/>
        </w:rPr>
        <w:t>132</w:t>
      </w:r>
    </w:p>
    <w:p>
      <w:pPr>
        <w:pStyle w:val="ListParagraph"/>
        <w:numPr>
          <w:ilvl w:val="0"/>
          <w:numId w:val="87"/>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i/>
          <w:sz w:val="13"/>
        </w:rPr>
        <w:t>Juries Act 2000 </w:t>
      </w:r>
      <w:r>
        <w:rPr>
          <w:spacing w:val="2"/>
          <w:sz w:val="13"/>
        </w:rPr>
        <w:t>(Vic) </w:t>
      </w:r>
      <w:r>
        <w:rPr>
          <w:sz w:val="13"/>
        </w:rPr>
        <w:t>s</w:t>
      </w:r>
      <w:r>
        <w:rPr>
          <w:spacing w:val="-2"/>
          <w:sz w:val="13"/>
        </w:rPr>
        <w:t> </w:t>
      </w:r>
      <w:r>
        <w:rPr>
          <w:sz w:val="13"/>
        </w:rPr>
        <w:t>43.</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4 </w:t>
      </w:r>
      <w:r>
        <w:rPr>
          <w:spacing w:val="2"/>
          <w:sz w:val="13"/>
        </w:rPr>
        <w:t>(Associate </w:t>
      </w:r>
      <w:r>
        <w:rPr>
          <w:sz w:val="13"/>
        </w:rPr>
        <w:t>Professors Bruce Baer Arnold (University of </w:t>
      </w:r>
      <w:r>
        <w:rPr>
          <w:spacing w:val="2"/>
          <w:sz w:val="13"/>
        </w:rPr>
        <w:t>Canberra) </w:t>
      </w:r>
      <w:r>
        <w:rPr>
          <w:sz w:val="13"/>
        </w:rPr>
        <w:t>and Wendy Bonython (Bond</w:t>
      </w:r>
      <w:r>
        <w:rPr>
          <w:spacing w:val="18"/>
          <w:sz w:val="13"/>
        </w:rPr>
        <w:t> </w:t>
      </w:r>
      <w:r>
        <w:rPr>
          <w:sz w:val="13"/>
        </w:rPr>
        <w:t>University)).</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z w:val="13"/>
        </w:rPr>
        <w:t>See the comments by Jim Moynihan in relation to his </w:t>
      </w:r>
      <w:r>
        <w:rPr>
          <w:spacing w:val="2"/>
          <w:sz w:val="13"/>
        </w:rPr>
        <w:t>jury service </w:t>
      </w:r>
      <w:r>
        <w:rPr>
          <w:sz w:val="13"/>
        </w:rPr>
        <w:t>in Missouri in 2002 in Chapter 10 at</w:t>
      </w:r>
      <w:r>
        <w:rPr>
          <w:spacing w:val="17"/>
          <w:sz w:val="13"/>
        </w:rPr>
        <w:t> </w:t>
      </w:r>
      <w:r>
        <w:rPr>
          <w:sz w:val="13"/>
        </w:rPr>
        <w:t>[10.32].</w:t>
      </w:r>
    </w:p>
    <w:p>
      <w:pPr>
        <w:pStyle w:val="ListParagraph"/>
        <w:numPr>
          <w:ilvl w:val="0"/>
          <w:numId w:val="87"/>
        </w:numPr>
        <w:tabs>
          <w:tab w:pos="893" w:val="left" w:leader="none"/>
          <w:tab w:pos="894" w:val="left" w:leader="none"/>
        </w:tabs>
        <w:spacing w:line="160" w:lineRule="exact" w:before="0" w:after="0"/>
        <w:ind w:left="893" w:right="0" w:hanging="793"/>
        <w:jc w:val="left"/>
        <w:rPr>
          <w:sz w:val="13"/>
        </w:rPr>
      </w:pPr>
      <w:r>
        <w:rPr>
          <w:sz w:val="13"/>
        </w:rPr>
        <w:t>Consultation 10 </w:t>
      </w:r>
      <w:r>
        <w:rPr>
          <w:spacing w:val="2"/>
          <w:sz w:val="13"/>
        </w:rPr>
        <w:t>(Juries</w:t>
      </w:r>
      <w:r>
        <w:rPr>
          <w:sz w:val="13"/>
        </w:rPr>
        <w:t> Victoria).</w:t>
      </w:r>
    </w:p>
    <w:p>
      <w:pPr>
        <w:pStyle w:val="ListParagraph"/>
        <w:numPr>
          <w:ilvl w:val="0"/>
          <w:numId w:val="87"/>
        </w:numPr>
        <w:tabs>
          <w:tab w:pos="893" w:val="left" w:leader="none"/>
          <w:tab w:pos="894" w:val="left" w:leader="none"/>
        </w:tabs>
        <w:spacing w:line="170" w:lineRule="exact" w:before="0" w:after="0"/>
        <w:ind w:left="893" w:right="0" w:hanging="793"/>
        <w:jc w:val="left"/>
        <w:rPr>
          <w:sz w:val="13"/>
        </w:rPr>
      </w:pPr>
      <w:r>
        <w:rPr>
          <w:spacing w:val="2"/>
          <w:sz w:val="13"/>
        </w:rPr>
        <w:t>Ibid.</w:t>
      </w:r>
    </w:p>
    <w:p>
      <w:pPr>
        <w:spacing w:after="0" w:line="170" w:lineRule="exact"/>
        <w:jc w:val="left"/>
        <w:rPr>
          <w:sz w:val="13"/>
        </w:rPr>
        <w:sectPr>
          <w:type w:val="continuous"/>
          <w:pgSz w:w="11910" w:h="16840"/>
          <w:pgMar w:top="620" w:bottom="280" w:left="620" w:right="380"/>
          <w:cols w:num="2" w:equalWidth="0">
            <w:col w:w="525" w:space="342"/>
            <w:col w:w="10043"/>
          </w:cols>
        </w:sectPr>
      </w:pPr>
    </w:p>
    <w:p>
      <w:pPr>
        <w:pStyle w:val="BodyText"/>
      </w:pPr>
    </w:p>
    <w:p>
      <w:pPr>
        <w:pStyle w:val="BodyText"/>
      </w:pPr>
    </w:p>
    <w:p>
      <w:pPr>
        <w:pStyle w:val="BodyText"/>
      </w:pPr>
    </w:p>
    <w:p>
      <w:pPr>
        <w:pStyle w:val="BodyText"/>
        <w:spacing w:before="6"/>
        <w:rPr>
          <w:sz w:val="14"/>
        </w:rPr>
      </w:pPr>
    </w:p>
    <w:p>
      <w:pPr>
        <w:spacing w:before="49"/>
        <w:ind w:left="967" w:right="0" w:firstLine="0"/>
        <w:jc w:val="left"/>
        <w:rPr>
          <w:b/>
          <w:sz w:val="24"/>
        </w:rPr>
      </w:pPr>
      <w:bookmarkStart w:name="_bookmark97" w:id="235"/>
      <w:bookmarkEnd w:id="235"/>
      <w:r>
        <w:rPr/>
      </w:r>
      <w:r>
        <w:rPr>
          <w:b/>
          <w:sz w:val="24"/>
        </w:rPr>
        <w:t>Pre-empanelment court visits should be permitted</w:t>
      </w:r>
    </w:p>
    <w:p>
      <w:pPr>
        <w:pStyle w:val="ListParagraph"/>
        <w:numPr>
          <w:ilvl w:val="1"/>
          <w:numId w:val="12"/>
        </w:numPr>
        <w:tabs>
          <w:tab w:pos="1761" w:val="left" w:leader="none"/>
          <w:tab w:pos="1762" w:val="left" w:leader="none"/>
        </w:tabs>
        <w:spacing w:line="206" w:lineRule="auto" w:before="127" w:after="0"/>
        <w:ind w:left="1761" w:right="1253" w:hanging="794"/>
        <w:jc w:val="left"/>
        <w:rPr>
          <w:sz w:val="20"/>
        </w:rPr>
      </w:pPr>
      <w:r>
        <w:rPr>
          <w:sz w:val="20"/>
        </w:rPr>
        <w:t>Consistent</w:t>
      </w:r>
      <w:r>
        <w:rPr>
          <w:spacing w:val="-11"/>
          <w:sz w:val="20"/>
        </w:rPr>
        <w:t> </w:t>
      </w:r>
      <w:r>
        <w:rPr>
          <w:sz w:val="20"/>
        </w:rPr>
        <w:t>with</w:t>
      </w:r>
      <w:r>
        <w:rPr>
          <w:spacing w:val="-11"/>
          <w:sz w:val="20"/>
        </w:rPr>
        <w:t> </w:t>
      </w:r>
      <w:r>
        <w:rPr>
          <w:sz w:val="20"/>
        </w:rPr>
        <w:t>the</w:t>
      </w:r>
      <w:r>
        <w:rPr>
          <w:spacing w:val="-11"/>
          <w:sz w:val="20"/>
        </w:rPr>
        <w:t> </w:t>
      </w:r>
      <w:r>
        <w:rPr>
          <w:sz w:val="20"/>
        </w:rPr>
        <w:t>approach</w:t>
      </w:r>
      <w:r>
        <w:rPr>
          <w:spacing w:val="-11"/>
          <w:sz w:val="20"/>
        </w:rPr>
        <w:t> </w:t>
      </w:r>
      <w:r>
        <w:rPr>
          <w:sz w:val="20"/>
        </w:rPr>
        <w:t>in</w:t>
      </w:r>
      <w:r>
        <w:rPr>
          <w:spacing w:val="-11"/>
          <w:sz w:val="20"/>
        </w:rPr>
        <w:t> </w:t>
      </w:r>
      <w:r>
        <w:rPr>
          <w:sz w:val="20"/>
        </w:rPr>
        <w:t>the</w:t>
      </w:r>
      <w:r>
        <w:rPr>
          <w:spacing w:val="-11"/>
          <w:sz w:val="20"/>
        </w:rPr>
        <w:t> </w:t>
      </w:r>
      <w:r>
        <w:rPr>
          <w:spacing w:val="-4"/>
          <w:sz w:val="20"/>
        </w:rPr>
        <w:t>ACT</w:t>
      </w:r>
      <w:r>
        <w:rPr>
          <w:spacing w:val="-11"/>
          <w:sz w:val="20"/>
        </w:rPr>
        <w:t> </w:t>
      </w:r>
      <w:r>
        <w:rPr>
          <w:sz w:val="20"/>
        </w:rPr>
        <w:t>and</w:t>
      </w:r>
      <w:r>
        <w:rPr>
          <w:spacing w:val="-11"/>
          <w:sz w:val="20"/>
        </w:rPr>
        <w:t> </w:t>
      </w:r>
      <w:r>
        <w:rPr>
          <w:sz w:val="20"/>
        </w:rPr>
        <w:t>England</w:t>
      </w:r>
      <w:r>
        <w:rPr>
          <w:spacing w:val="-11"/>
          <w:sz w:val="20"/>
        </w:rPr>
        <w:t> </w:t>
      </w:r>
      <w:r>
        <w:rPr>
          <w:sz w:val="20"/>
        </w:rPr>
        <w:t>and</w:t>
      </w:r>
      <w:r>
        <w:rPr>
          <w:spacing w:val="-11"/>
          <w:sz w:val="20"/>
        </w:rPr>
        <w:t> </w:t>
      </w:r>
      <w:r>
        <w:rPr>
          <w:spacing w:val="-3"/>
          <w:sz w:val="20"/>
        </w:rPr>
        <w:t>Wales,</w:t>
      </w:r>
      <w:r>
        <w:rPr>
          <w:spacing w:val="-11"/>
          <w:sz w:val="20"/>
        </w:rPr>
        <w:t> </w:t>
      </w:r>
      <w:r>
        <w:rPr>
          <w:sz w:val="20"/>
        </w:rPr>
        <w:t>Juries</w:t>
      </w:r>
      <w:r>
        <w:rPr>
          <w:spacing w:val="-11"/>
          <w:sz w:val="20"/>
        </w:rPr>
        <w:t> </w:t>
      </w:r>
      <w:r>
        <w:rPr>
          <w:sz w:val="20"/>
        </w:rPr>
        <w:t>Victoria</w:t>
      </w:r>
      <w:r>
        <w:rPr>
          <w:spacing w:val="-11"/>
          <w:sz w:val="20"/>
        </w:rPr>
        <w:t> </w:t>
      </w:r>
      <w:r>
        <w:rPr>
          <w:sz w:val="20"/>
        </w:rPr>
        <w:t>should ask</w:t>
      </w:r>
      <w:r>
        <w:rPr>
          <w:spacing w:val="-9"/>
          <w:sz w:val="20"/>
        </w:rPr>
        <w:t> </w:t>
      </w:r>
      <w:r>
        <w:rPr>
          <w:sz w:val="20"/>
        </w:rPr>
        <w:t>the</w:t>
      </w:r>
      <w:r>
        <w:rPr>
          <w:spacing w:val="-9"/>
          <w:sz w:val="20"/>
        </w:rPr>
        <w:t> </w:t>
      </w:r>
      <w:r>
        <w:rPr>
          <w:sz w:val="20"/>
        </w:rPr>
        <w:t>person</w:t>
      </w:r>
      <w:r>
        <w:rPr>
          <w:spacing w:val="-9"/>
          <w:sz w:val="20"/>
        </w:rPr>
        <w:t> </w:t>
      </w:r>
      <w:r>
        <w:rPr>
          <w:spacing w:val="-3"/>
          <w:sz w:val="20"/>
        </w:rPr>
        <w:t>from</w:t>
      </w:r>
      <w:r>
        <w:rPr>
          <w:spacing w:val="-9"/>
          <w:sz w:val="20"/>
        </w:rPr>
        <w:t> </w:t>
      </w:r>
      <w:r>
        <w:rPr>
          <w:sz w:val="20"/>
        </w:rPr>
        <w:t>the</w:t>
      </w:r>
      <w:r>
        <w:rPr>
          <w:spacing w:val="-8"/>
          <w:sz w:val="20"/>
        </w:rPr>
        <w:t> </w:t>
      </w:r>
      <w:r>
        <w:rPr>
          <w:sz w:val="20"/>
        </w:rPr>
        <w:t>subject</w:t>
      </w:r>
      <w:r>
        <w:rPr>
          <w:spacing w:val="-9"/>
          <w:sz w:val="20"/>
        </w:rPr>
        <w:t> </w:t>
      </w:r>
      <w:r>
        <w:rPr>
          <w:sz w:val="20"/>
        </w:rPr>
        <w:t>groups</w:t>
      </w:r>
      <w:r>
        <w:rPr>
          <w:spacing w:val="-9"/>
          <w:sz w:val="20"/>
        </w:rPr>
        <w:t> </w:t>
      </w:r>
      <w:r>
        <w:rPr>
          <w:sz w:val="20"/>
        </w:rPr>
        <w:t>if</w:t>
      </w:r>
      <w:r>
        <w:rPr>
          <w:spacing w:val="-9"/>
          <w:sz w:val="20"/>
        </w:rPr>
        <w:t> </w:t>
      </w:r>
      <w:r>
        <w:rPr>
          <w:sz w:val="20"/>
        </w:rPr>
        <w:t>they</w:t>
      </w:r>
      <w:r>
        <w:rPr>
          <w:spacing w:val="-8"/>
          <w:sz w:val="20"/>
        </w:rPr>
        <w:t> </w:t>
      </w:r>
      <w:r>
        <w:rPr>
          <w:spacing w:val="-3"/>
          <w:sz w:val="20"/>
        </w:rPr>
        <w:t>would</w:t>
      </w:r>
      <w:r>
        <w:rPr>
          <w:spacing w:val="-9"/>
          <w:sz w:val="20"/>
        </w:rPr>
        <w:t> </w:t>
      </w:r>
      <w:r>
        <w:rPr>
          <w:sz w:val="20"/>
        </w:rPr>
        <w:t>like</w:t>
      </w:r>
      <w:r>
        <w:rPr>
          <w:spacing w:val="-9"/>
          <w:sz w:val="20"/>
        </w:rPr>
        <w:t> </w:t>
      </w:r>
      <w:r>
        <w:rPr>
          <w:sz w:val="20"/>
        </w:rPr>
        <w:t>to</w:t>
      </w:r>
      <w:r>
        <w:rPr>
          <w:spacing w:val="-9"/>
          <w:sz w:val="20"/>
        </w:rPr>
        <w:t> </w:t>
      </w:r>
      <w:r>
        <w:rPr>
          <w:sz w:val="20"/>
        </w:rPr>
        <w:t>attend</w:t>
      </w:r>
      <w:r>
        <w:rPr>
          <w:spacing w:val="-9"/>
          <w:sz w:val="20"/>
        </w:rPr>
        <w:t> </w:t>
      </w:r>
      <w:r>
        <w:rPr>
          <w:sz w:val="20"/>
        </w:rPr>
        <w:t>court</w:t>
      </w:r>
      <w:r>
        <w:rPr>
          <w:spacing w:val="-8"/>
          <w:sz w:val="20"/>
        </w:rPr>
        <w:t> </w:t>
      </w:r>
      <w:r>
        <w:rPr>
          <w:sz w:val="20"/>
        </w:rPr>
        <w:t>in</w:t>
      </w:r>
      <w:r>
        <w:rPr>
          <w:spacing w:val="-9"/>
          <w:sz w:val="20"/>
        </w:rPr>
        <w:t> </w:t>
      </w:r>
      <w:r>
        <w:rPr>
          <w:sz w:val="20"/>
        </w:rPr>
        <w:t>advance</w:t>
      </w:r>
      <w:r>
        <w:rPr>
          <w:spacing w:val="-9"/>
          <w:sz w:val="20"/>
        </w:rPr>
        <w:t> </w:t>
      </w:r>
      <w:r>
        <w:rPr>
          <w:sz w:val="20"/>
        </w:rPr>
        <w:t>of their summons </w:t>
      </w:r>
      <w:r>
        <w:rPr>
          <w:spacing w:val="-3"/>
          <w:sz w:val="20"/>
        </w:rPr>
        <w:t>date </w:t>
      </w:r>
      <w:r>
        <w:rPr>
          <w:sz w:val="20"/>
        </w:rPr>
        <w:t>to discuss their adjustment needs and to familiarise </w:t>
      </w:r>
      <w:r>
        <w:rPr>
          <w:spacing w:val="-3"/>
          <w:sz w:val="20"/>
        </w:rPr>
        <w:t>themselves </w:t>
      </w:r>
      <w:r>
        <w:rPr>
          <w:sz w:val="20"/>
        </w:rPr>
        <w:t>with court </w:t>
      </w:r>
      <w:r>
        <w:rPr>
          <w:spacing w:val="-3"/>
          <w:sz w:val="20"/>
        </w:rPr>
        <w:t>layout </w:t>
      </w:r>
      <w:r>
        <w:rPr>
          <w:sz w:val="20"/>
        </w:rPr>
        <w:t>and general</w:t>
      </w:r>
      <w:r>
        <w:rPr>
          <w:spacing w:val="-18"/>
          <w:sz w:val="20"/>
        </w:rPr>
        <w:t> </w:t>
      </w:r>
      <w:r>
        <w:rPr>
          <w:spacing w:val="-3"/>
          <w:sz w:val="20"/>
        </w:rPr>
        <w:t>accessibility.</w:t>
      </w:r>
    </w:p>
    <w:p>
      <w:pPr>
        <w:pStyle w:val="ListParagraph"/>
        <w:numPr>
          <w:ilvl w:val="1"/>
          <w:numId w:val="12"/>
        </w:numPr>
        <w:tabs>
          <w:tab w:pos="1761" w:val="left" w:leader="none"/>
          <w:tab w:pos="1762" w:val="left" w:leader="none"/>
        </w:tabs>
        <w:spacing w:line="206" w:lineRule="auto" w:before="125" w:after="0"/>
        <w:ind w:left="1761" w:right="1451" w:hanging="794"/>
        <w:jc w:val="left"/>
        <w:rPr>
          <w:sz w:val="20"/>
        </w:rPr>
      </w:pPr>
      <w:r>
        <w:rPr>
          <w:sz w:val="20"/>
        </w:rPr>
        <w:t>This</w:t>
      </w:r>
      <w:r>
        <w:rPr>
          <w:spacing w:val="-11"/>
          <w:sz w:val="20"/>
        </w:rPr>
        <w:t> </w:t>
      </w:r>
      <w:r>
        <w:rPr>
          <w:sz w:val="20"/>
        </w:rPr>
        <w:t>will</w:t>
      </w:r>
      <w:r>
        <w:rPr>
          <w:spacing w:val="-10"/>
          <w:sz w:val="20"/>
        </w:rPr>
        <w:t> </w:t>
      </w:r>
      <w:r>
        <w:rPr>
          <w:sz w:val="20"/>
        </w:rPr>
        <w:t>assist</w:t>
      </w:r>
      <w:r>
        <w:rPr>
          <w:spacing w:val="-10"/>
          <w:sz w:val="20"/>
        </w:rPr>
        <w:t> </w:t>
      </w:r>
      <w:r>
        <w:rPr>
          <w:sz w:val="20"/>
        </w:rPr>
        <w:t>Juries</w:t>
      </w:r>
      <w:r>
        <w:rPr>
          <w:spacing w:val="-10"/>
          <w:sz w:val="20"/>
        </w:rPr>
        <w:t> </w:t>
      </w:r>
      <w:r>
        <w:rPr>
          <w:sz w:val="20"/>
        </w:rPr>
        <w:t>Victoria</w:t>
      </w:r>
      <w:r>
        <w:rPr>
          <w:spacing w:val="-10"/>
          <w:sz w:val="20"/>
        </w:rPr>
        <w:t> </w:t>
      </w:r>
      <w:r>
        <w:rPr>
          <w:sz w:val="20"/>
        </w:rPr>
        <w:t>to</w:t>
      </w:r>
      <w:r>
        <w:rPr>
          <w:spacing w:val="-10"/>
          <w:sz w:val="20"/>
        </w:rPr>
        <w:t> </w:t>
      </w:r>
      <w:r>
        <w:rPr>
          <w:spacing w:val="-3"/>
          <w:sz w:val="20"/>
        </w:rPr>
        <w:t>make</w:t>
      </w:r>
      <w:r>
        <w:rPr>
          <w:spacing w:val="-10"/>
          <w:sz w:val="20"/>
        </w:rPr>
        <w:t> </w:t>
      </w:r>
      <w:r>
        <w:rPr>
          <w:sz w:val="20"/>
        </w:rPr>
        <w:t>its</w:t>
      </w:r>
      <w:r>
        <w:rPr>
          <w:spacing w:val="-10"/>
          <w:sz w:val="20"/>
        </w:rPr>
        <w:t> </w:t>
      </w:r>
      <w:r>
        <w:rPr>
          <w:sz w:val="20"/>
        </w:rPr>
        <w:t>preliminary</w:t>
      </w:r>
      <w:r>
        <w:rPr>
          <w:spacing w:val="-11"/>
          <w:sz w:val="20"/>
        </w:rPr>
        <w:t> </w:t>
      </w:r>
      <w:r>
        <w:rPr>
          <w:sz w:val="20"/>
        </w:rPr>
        <w:t>decision</w:t>
      </w:r>
      <w:r>
        <w:rPr>
          <w:spacing w:val="-10"/>
          <w:sz w:val="20"/>
        </w:rPr>
        <w:t> </w:t>
      </w:r>
      <w:r>
        <w:rPr>
          <w:sz w:val="20"/>
        </w:rPr>
        <w:t>about</w:t>
      </w:r>
      <w:r>
        <w:rPr>
          <w:spacing w:val="-10"/>
          <w:sz w:val="20"/>
        </w:rPr>
        <w:t> </w:t>
      </w:r>
      <w:r>
        <w:rPr>
          <w:sz w:val="20"/>
        </w:rPr>
        <w:t>whether</w:t>
      </w:r>
      <w:r>
        <w:rPr>
          <w:spacing w:val="-10"/>
          <w:sz w:val="20"/>
        </w:rPr>
        <w:t> </w:t>
      </w:r>
      <w:r>
        <w:rPr>
          <w:sz w:val="20"/>
        </w:rPr>
        <w:t>it</w:t>
      </w:r>
      <w:r>
        <w:rPr>
          <w:spacing w:val="-10"/>
          <w:sz w:val="20"/>
        </w:rPr>
        <w:t> </w:t>
      </w:r>
      <w:r>
        <w:rPr>
          <w:spacing w:val="-3"/>
          <w:sz w:val="20"/>
        </w:rPr>
        <w:t>would </w:t>
      </w:r>
      <w:r>
        <w:rPr>
          <w:sz w:val="20"/>
        </w:rPr>
        <w:t>be possible to </w:t>
      </w:r>
      <w:r>
        <w:rPr>
          <w:spacing w:val="-3"/>
          <w:sz w:val="20"/>
        </w:rPr>
        <w:t>provide </w:t>
      </w:r>
      <w:r>
        <w:rPr>
          <w:sz w:val="20"/>
        </w:rPr>
        <w:t>reasonable adjustments (discussed </w:t>
      </w:r>
      <w:r>
        <w:rPr>
          <w:spacing w:val="-3"/>
          <w:sz w:val="20"/>
        </w:rPr>
        <w:t>below) </w:t>
      </w:r>
      <w:r>
        <w:rPr>
          <w:sz w:val="20"/>
        </w:rPr>
        <w:t>and assist the potential juror to determine if they </w:t>
      </w:r>
      <w:r>
        <w:rPr>
          <w:spacing w:val="-3"/>
          <w:sz w:val="20"/>
        </w:rPr>
        <w:t>would </w:t>
      </w:r>
      <w:r>
        <w:rPr>
          <w:sz w:val="20"/>
        </w:rPr>
        <w:t>like to seek to be </w:t>
      </w:r>
      <w:r>
        <w:rPr>
          <w:spacing w:val="-3"/>
          <w:sz w:val="20"/>
        </w:rPr>
        <w:t>excused. </w:t>
      </w:r>
      <w:r>
        <w:rPr>
          <w:sz w:val="20"/>
        </w:rPr>
        <w:t>In addition to possible adjustments, Juries Victoria </w:t>
      </w:r>
      <w:r>
        <w:rPr>
          <w:spacing w:val="-3"/>
          <w:sz w:val="20"/>
        </w:rPr>
        <w:t>may </w:t>
      </w:r>
      <w:r>
        <w:rPr>
          <w:sz w:val="20"/>
        </w:rPr>
        <w:t>also </w:t>
      </w:r>
      <w:r>
        <w:rPr>
          <w:spacing w:val="-3"/>
          <w:sz w:val="20"/>
        </w:rPr>
        <w:t>explore how </w:t>
      </w:r>
      <w:r>
        <w:rPr>
          <w:sz w:val="20"/>
        </w:rPr>
        <w:t>courtroom </w:t>
      </w:r>
      <w:r>
        <w:rPr>
          <w:spacing w:val="-3"/>
          <w:sz w:val="20"/>
        </w:rPr>
        <w:t>layout </w:t>
      </w:r>
      <w:r>
        <w:rPr>
          <w:sz w:val="20"/>
        </w:rPr>
        <w:t>might need</w:t>
      </w:r>
      <w:r>
        <w:rPr>
          <w:spacing w:val="-7"/>
          <w:sz w:val="20"/>
        </w:rPr>
        <w:t> </w:t>
      </w:r>
      <w:r>
        <w:rPr>
          <w:sz w:val="20"/>
        </w:rPr>
        <w:t>to</w:t>
      </w:r>
      <w:r>
        <w:rPr>
          <w:spacing w:val="-7"/>
          <w:sz w:val="20"/>
        </w:rPr>
        <w:t> </w:t>
      </w:r>
      <w:r>
        <w:rPr>
          <w:sz w:val="20"/>
        </w:rPr>
        <w:t>be</w:t>
      </w:r>
      <w:r>
        <w:rPr>
          <w:spacing w:val="-6"/>
          <w:sz w:val="20"/>
        </w:rPr>
        <w:t> </w:t>
      </w:r>
      <w:r>
        <w:rPr>
          <w:sz w:val="20"/>
        </w:rPr>
        <w:t>adjusted</w:t>
      </w:r>
      <w:r>
        <w:rPr>
          <w:spacing w:val="-7"/>
          <w:sz w:val="20"/>
        </w:rPr>
        <w:t> </w:t>
      </w:r>
      <w:r>
        <w:rPr>
          <w:sz w:val="20"/>
        </w:rPr>
        <w:t>and</w:t>
      </w:r>
      <w:r>
        <w:rPr>
          <w:spacing w:val="-7"/>
          <w:sz w:val="20"/>
        </w:rPr>
        <w:t> </w:t>
      </w:r>
      <w:r>
        <w:rPr>
          <w:sz w:val="20"/>
        </w:rPr>
        <w:t>explain</w:t>
      </w:r>
      <w:r>
        <w:rPr>
          <w:spacing w:val="-6"/>
          <w:sz w:val="20"/>
        </w:rPr>
        <w:t> </w:t>
      </w:r>
      <w:r>
        <w:rPr>
          <w:sz w:val="20"/>
        </w:rPr>
        <w:t>what</w:t>
      </w:r>
      <w:r>
        <w:rPr>
          <w:spacing w:val="-7"/>
          <w:sz w:val="20"/>
        </w:rPr>
        <w:t> </w:t>
      </w:r>
      <w:r>
        <w:rPr>
          <w:sz w:val="20"/>
        </w:rPr>
        <w:t>the</w:t>
      </w:r>
      <w:r>
        <w:rPr>
          <w:spacing w:val="-7"/>
          <w:sz w:val="20"/>
        </w:rPr>
        <w:t> </w:t>
      </w:r>
      <w:r>
        <w:rPr>
          <w:sz w:val="20"/>
        </w:rPr>
        <w:t>courts’</w:t>
      </w:r>
      <w:r>
        <w:rPr>
          <w:spacing w:val="-6"/>
          <w:sz w:val="20"/>
        </w:rPr>
        <w:t> </w:t>
      </w:r>
      <w:r>
        <w:rPr>
          <w:sz w:val="20"/>
        </w:rPr>
        <w:t>expectations</w:t>
      </w:r>
      <w:r>
        <w:rPr>
          <w:spacing w:val="-7"/>
          <w:sz w:val="20"/>
        </w:rPr>
        <w:t> </w:t>
      </w:r>
      <w:r>
        <w:rPr>
          <w:spacing w:val="-3"/>
          <w:sz w:val="20"/>
        </w:rPr>
        <w:t>are</w:t>
      </w:r>
      <w:r>
        <w:rPr>
          <w:spacing w:val="-6"/>
          <w:sz w:val="20"/>
        </w:rPr>
        <w:t> </w:t>
      </w:r>
      <w:r>
        <w:rPr>
          <w:sz w:val="20"/>
        </w:rPr>
        <w:t>of</w:t>
      </w:r>
      <w:r>
        <w:rPr>
          <w:spacing w:val="-7"/>
          <w:sz w:val="20"/>
        </w:rPr>
        <w:t> </w:t>
      </w:r>
      <w:r>
        <w:rPr>
          <w:sz w:val="20"/>
        </w:rPr>
        <w:t>jurors.</w:t>
      </w:r>
    </w:p>
    <w:p>
      <w:pPr>
        <w:pStyle w:val="ListParagraph"/>
        <w:numPr>
          <w:ilvl w:val="1"/>
          <w:numId w:val="12"/>
        </w:numPr>
        <w:tabs>
          <w:tab w:pos="1761" w:val="left" w:leader="none"/>
          <w:tab w:pos="1762" w:val="left" w:leader="none"/>
        </w:tabs>
        <w:spacing w:line="206" w:lineRule="auto" w:before="127" w:after="0"/>
        <w:ind w:left="1761" w:right="1389" w:hanging="794"/>
        <w:jc w:val="left"/>
        <w:rPr>
          <w:sz w:val="20"/>
        </w:rPr>
      </w:pPr>
      <w:r>
        <w:rPr>
          <w:sz w:val="20"/>
        </w:rPr>
        <w:t>A standard form should be </w:t>
      </w:r>
      <w:r>
        <w:rPr>
          <w:spacing w:val="-3"/>
          <w:sz w:val="20"/>
        </w:rPr>
        <w:t>developed by </w:t>
      </w:r>
      <w:r>
        <w:rPr>
          <w:sz w:val="20"/>
        </w:rPr>
        <w:t>Juries Victoria to guide staff about </w:t>
      </w:r>
      <w:r>
        <w:rPr>
          <w:spacing w:val="-4"/>
          <w:sz w:val="20"/>
        </w:rPr>
        <w:t>key </w:t>
      </w:r>
      <w:r>
        <w:rPr>
          <w:sz w:val="20"/>
        </w:rPr>
        <w:t>information to discuss. </w:t>
      </w:r>
      <w:r>
        <w:rPr>
          <w:spacing w:val="-3"/>
          <w:sz w:val="20"/>
        </w:rPr>
        <w:t>For example, </w:t>
      </w:r>
      <w:r>
        <w:rPr>
          <w:sz w:val="20"/>
        </w:rPr>
        <w:t>what adjustments does the person need, which </w:t>
      </w:r>
      <w:r>
        <w:rPr>
          <w:spacing w:val="-3"/>
          <w:sz w:val="20"/>
        </w:rPr>
        <w:t>are</w:t>
      </w:r>
      <w:r>
        <w:rPr>
          <w:spacing w:val="-8"/>
          <w:sz w:val="20"/>
        </w:rPr>
        <w:t> </w:t>
      </w:r>
      <w:r>
        <w:rPr>
          <w:spacing w:val="-3"/>
          <w:sz w:val="20"/>
        </w:rPr>
        <w:t>available</w:t>
      </w:r>
      <w:r>
        <w:rPr>
          <w:spacing w:val="-8"/>
          <w:sz w:val="20"/>
        </w:rPr>
        <w:t> </w:t>
      </w:r>
      <w:r>
        <w:rPr>
          <w:sz w:val="20"/>
        </w:rPr>
        <w:t>in</w:t>
      </w:r>
      <w:r>
        <w:rPr>
          <w:spacing w:val="-8"/>
          <w:sz w:val="20"/>
        </w:rPr>
        <w:t> </w:t>
      </w:r>
      <w:r>
        <w:rPr>
          <w:sz w:val="20"/>
        </w:rPr>
        <w:t>the</w:t>
      </w:r>
      <w:r>
        <w:rPr>
          <w:spacing w:val="-8"/>
          <w:sz w:val="20"/>
        </w:rPr>
        <w:t> </w:t>
      </w:r>
      <w:r>
        <w:rPr>
          <w:sz w:val="20"/>
        </w:rPr>
        <w:t>court,</w:t>
      </w:r>
      <w:r>
        <w:rPr>
          <w:spacing w:val="-8"/>
          <w:sz w:val="20"/>
        </w:rPr>
        <w:t> </w:t>
      </w:r>
      <w:r>
        <w:rPr>
          <w:sz w:val="20"/>
        </w:rPr>
        <w:t>and</w:t>
      </w:r>
      <w:r>
        <w:rPr>
          <w:spacing w:val="-8"/>
          <w:sz w:val="20"/>
        </w:rPr>
        <w:t> </w:t>
      </w:r>
      <w:r>
        <w:rPr>
          <w:sz w:val="20"/>
        </w:rPr>
        <w:t>which</w:t>
      </w:r>
      <w:r>
        <w:rPr>
          <w:spacing w:val="-7"/>
          <w:sz w:val="20"/>
        </w:rPr>
        <w:t> </w:t>
      </w:r>
      <w:r>
        <w:rPr>
          <w:sz w:val="20"/>
        </w:rPr>
        <w:t>can</w:t>
      </w:r>
      <w:r>
        <w:rPr>
          <w:spacing w:val="-8"/>
          <w:sz w:val="20"/>
        </w:rPr>
        <w:t> </w:t>
      </w:r>
      <w:r>
        <w:rPr>
          <w:sz w:val="20"/>
        </w:rPr>
        <w:t>be</w:t>
      </w:r>
      <w:r>
        <w:rPr>
          <w:spacing w:val="-8"/>
          <w:sz w:val="20"/>
        </w:rPr>
        <w:t> </w:t>
      </w:r>
      <w:r>
        <w:rPr>
          <w:spacing w:val="-3"/>
          <w:sz w:val="20"/>
        </w:rPr>
        <w:t>reasonably</w:t>
      </w:r>
      <w:r>
        <w:rPr>
          <w:spacing w:val="-8"/>
          <w:sz w:val="20"/>
        </w:rPr>
        <w:t> </w:t>
      </w:r>
      <w:r>
        <w:rPr>
          <w:sz w:val="20"/>
        </w:rPr>
        <w:t>purchased</w:t>
      </w:r>
      <w:r>
        <w:rPr>
          <w:spacing w:val="-8"/>
          <w:sz w:val="20"/>
        </w:rPr>
        <w:t> </w:t>
      </w:r>
      <w:r>
        <w:rPr>
          <w:sz w:val="20"/>
        </w:rPr>
        <w:t>or</w:t>
      </w:r>
      <w:r>
        <w:rPr>
          <w:spacing w:val="-8"/>
          <w:sz w:val="20"/>
        </w:rPr>
        <w:t> </w:t>
      </w:r>
      <w:r>
        <w:rPr>
          <w:sz w:val="20"/>
        </w:rPr>
        <w:t>booked</w:t>
      </w:r>
      <w:r>
        <w:rPr>
          <w:spacing w:val="-7"/>
          <w:sz w:val="20"/>
        </w:rPr>
        <w:t> </w:t>
      </w:r>
      <w:r>
        <w:rPr>
          <w:sz w:val="20"/>
        </w:rPr>
        <w:t>through a service </w:t>
      </w:r>
      <w:r>
        <w:rPr>
          <w:spacing w:val="-3"/>
          <w:sz w:val="20"/>
        </w:rPr>
        <w:t>provider </w:t>
      </w:r>
      <w:r>
        <w:rPr>
          <w:sz w:val="20"/>
        </w:rPr>
        <w:t>in </w:t>
      </w:r>
      <w:r>
        <w:rPr>
          <w:spacing w:val="-3"/>
          <w:sz w:val="20"/>
        </w:rPr>
        <w:t>time? </w:t>
      </w:r>
      <w:r>
        <w:rPr>
          <w:sz w:val="20"/>
        </w:rPr>
        <w:t>Juries Victoria should consult with HMCTS in England and </w:t>
      </w:r>
      <w:r>
        <w:rPr>
          <w:spacing w:val="-4"/>
          <w:sz w:val="20"/>
        </w:rPr>
        <w:t>Wales </w:t>
      </w:r>
      <w:r>
        <w:rPr>
          <w:sz w:val="20"/>
        </w:rPr>
        <w:t>in preparing these documents, because of its extensive experience </w:t>
      </w:r>
      <w:r>
        <w:rPr>
          <w:spacing w:val="-3"/>
          <w:sz w:val="20"/>
        </w:rPr>
        <w:t>providing </w:t>
      </w:r>
      <w:r>
        <w:rPr>
          <w:sz w:val="20"/>
        </w:rPr>
        <w:t>adjustments for people with</w:t>
      </w:r>
      <w:r>
        <w:rPr>
          <w:spacing w:val="-18"/>
          <w:sz w:val="20"/>
        </w:rPr>
        <w:t> </w:t>
      </w:r>
      <w:r>
        <w:rPr>
          <w:sz w:val="20"/>
        </w:rPr>
        <w:t>disabilities.</w:t>
      </w:r>
    </w:p>
    <w:p>
      <w:pPr>
        <w:pStyle w:val="ListParagraph"/>
        <w:numPr>
          <w:ilvl w:val="1"/>
          <w:numId w:val="12"/>
        </w:numPr>
        <w:tabs>
          <w:tab w:pos="1762" w:val="left" w:leader="none"/>
        </w:tabs>
        <w:spacing w:line="206" w:lineRule="auto" w:before="127" w:after="0"/>
        <w:ind w:left="1761" w:right="1308" w:hanging="794"/>
        <w:jc w:val="both"/>
        <w:rPr>
          <w:sz w:val="20"/>
        </w:rPr>
      </w:pPr>
      <w:r>
        <w:rPr>
          <w:sz w:val="20"/>
        </w:rPr>
        <w:t>Juries</w:t>
      </w:r>
      <w:r>
        <w:rPr>
          <w:spacing w:val="-10"/>
          <w:sz w:val="20"/>
        </w:rPr>
        <w:t> </w:t>
      </w:r>
      <w:r>
        <w:rPr>
          <w:sz w:val="20"/>
        </w:rPr>
        <w:t>Victoria</w:t>
      </w:r>
      <w:r>
        <w:rPr>
          <w:spacing w:val="-9"/>
          <w:sz w:val="20"/>
        </w:rPr>
        <w:t> </w:t>
      </w:r>
      <w:r>
        <w:rPr>
          <w:sz w:val="20"/>
        </w:rPr>
        <w:t>will</w:t>
      </w:r>
      <w:r>
        <w:rPr>
          <w:spacing w:val="-9"/>
          <w:sz w:val="20"/>
        </w:rPr>
        <w:t> </w:t>
      </w:r>
      <w:r>
        <w:rPr>
          <w:sz w:val="20"/>
        </w:rPr>
        <w:t>need</w:t>
      </w:r>
      <w:r>
        <w:rPr>
          <w:spacing w:val="-10"/>
          <w:sz w:val="20"/>
        </w:rPr>
        <w:t> </w:t>
      </w:r>
      <w:r>
        <w:rPr>
          <w:sz w:val="20"/>
        </w:rPr>
        <w:t>to</w:t>
      </w:r>
      <w:r>
        <w:rPr>
          <w:spacing w:val="-9"/>
          <w:sz w:val="20"/>
        </w:rPr>
        <w:t> </w:t>
      </w:r>
      <w:r>
        <w:rPr>
          <w:spacing w:val="-3"/>
          <w:sz w:val="20"/>
        </w:rPr>
        <w:t>coordinate</w:t>
      </w:r>
      <w:r>
        <w:rPr>
          <w:spacing w:val="-9"/>
          <w:sz w:val="20"/>
        </w:rPr>
        <w:t> </w:t>
      </w:r>
      <w:r>
        <w:rPr>
          <w:sz w:val="20"/>
        </w:rPr>
        <w:t>with</w:t>
      </w:r>
      <w:r>
        <w:rPr>
          <w:spacing w:val="-10"/>
          <w:sz w:val="20"/>
        </w:rPr>
        <w:t> </w:t>
      </w:r>
      <w:r>
        <w:rPr>
          <w:sz w:val="20"/>
        </w:rPr>
        <w:t>the</w:t>
      </w:r>
      <w:r>
        <w:rPr>
          <w:spacing w:val="-9"/>
          <w:sz w:val="20"/>
        </w:rPr>
        <w:t> </w:t>
      </w:r>
      <w:r>
        <w:rPr>
          <w:sz w:val="20"/>
        </w:rPr>
        <w:t>registrars</w:t>
      </w:r>
      <w:r>
        <w:rPr>
          <w:spacing w:val="-9"/>
          <w:sz w:val="20"/>
        </w:rPr>
        <w:t> </w:t>
      </w:r>
      <w:r>
        <w:rPr>
          <w:sz w:val="20"/>
        </w:rPr>
        <w:t>of</w:t>
      </w:r>
      <w:r>
        <w:rPr>
          <w:spacing w:val="-10"/>
          <w:sz w:val="20"/>
        </w:rPr>
        <w:t> </w:t>
      </w:r>
      <w:r>
        <w:rPr>
          <w:sz w:val="20"/>
        </w:rPr>
        <w:t>the</w:t>
      </w:r>
      <w:r>
        <w:rPr>
          <w:spacing w:val="-9"/>
          <w:sz w:val="20"/>
        </w:rPr>
        <w:t> </w:t>
      </w:r>
      <w:r>
        <w:rPr>
          <w:sz w:val="20"/>
        </w:rPr>
        <w:t>courts</w:t>
      </w:r>
      <w:r>
        <w:rPr>
          <w:spacing w:val="-9"/>
          <w:sz w:val="20"/>
        </w:rPr>
        <w:t> </w:t>
      </w:r>
      <w:r>
        <w:rPr>
          <w:sz w:val="20"/>
        </w:rPr>
        <w:t>to</w:t>
      </w:r>
      <w:r>
        <w:rPr>
          <w:spacing w:val="-10"/>
          <w:sz w:val="20"/>
        </w:rPr>
        <w:t> </w:t>
      </w:r>
      <w:r>
        <w:rPr>
          <w:sz w:val="20"/>
        </w:rPr>
        <w:t>arrange</w:t>
      </w:r>
      <w:r>
        <w:rPr>
          <w:spacing w:val="-9"/>
          <w:sz w:val="20"/>
        </w:rPr>
        <w:t> </w:t>
      </w:r>
      <w:r>
        <w:rPr>
          <w:sz w:val="20"/>
        </w:rPr>
        <w:t>these visits.</w:t>
      </w:r>
      <w:r>
        <w:rPr>
          <w:spacing w:val="-9"/>
          <w:sz w:val="20"/>
        </w:rPr>
        <w:t> </w:t>
      </w:r>
      <w:r>
        <w:rPr>
          <w:sz w:val="20"/>
        </w:rPr>
        <w:t>Court</w:t>
      </w:r>
      <w:r>
        <w:rPr>
          <w:spacing w:val="-9"/>
          <w:sz w:val="20"/>
        </w:rPr>
        <w:t> </w:t>
      </w:r>
      <w:r>
        <w:rPr>
          <w:sz w:val="20"/>
        </w:rPr>
        <w:t>technology</w:t>
      </w:r>
      <w:r>
        <w:rPr>
          <w:spacing w:val="-9"/>
          <w:sz w:val="20"/>
        </w:rPr>
        <w:t> </w:t>
      </w:r>
      <w:r>
        <w:rPr>
          <w:sz w:val="20"/>
        </w:rPr>
        <w:t>services</w:t>
      </w:r>
      <w:r>
        <w:rPr>
          <w:spacing w:val="-9"/>
          <w:sz w:val="20"/>
        </w:rPr>
        <w:t> </w:t>
      </w:r>
      <w:r>
        <w:rPr>
          <w:spacing w:val="-3"/>
          <w:sz w:val="20"/>
        </w:rPr>
        <w:t>may</w:t>
      </w:r>
      <w:r>
        <w:rPr>
          <w:spacing w:val="-9"/>
          <w:sz w:val="20"/>
        </w:rPr>
        <w:t> </w:t>
      </w:r>
      <w:r>
        <w:rPr>
          <w:sz w:val="20"/>
        </w:rPr>
        <w:t>also</w:t>
      </w:r>
      <w:r>
        <w:rPr>
          <w:spacing w:val="-9"/>
          <w:sz w:val="20"/>
        </w:rPr>
        <w:t> </w:t>
      </w:r>
      <w:r>
        <w:rPr>
          <w:sz w:val="20"/>
        </w:rPr>
        <w:t>need</w:t>
      </w:r>
      <w:r>
        <w:rPr>
          <w:spacing w:val="-9"/>
          <w:sz w:val="20"/>
        </w:rPr>
        <w:t> </w:t>
      </w:r>
      <w:r>
        <w:rPr>
          <w:sz w:val="20"/>
        </w:rPr>
        <w:t>to</w:t>
      </w:r>
      <w:r>
        <w:rPr>
          <w:spacing w:val="-9"/>
          <w:sz w:val="20"/>
        </w:rPr>
        <w:t> </w:t>
      </w:r>
      <w:r>
        <w:rPr>
          <w:sz w:val="20"/>
        </w:rPr>
        <w:t>attend.</w:t>
      </w:r>
      <w:r>
        <w:rPr>
          <w:spacing w:val="-9"/>
          <w:sz w:val="20"/>
        </w:rPr>
        <w:t> </w:t>
      </w:r>
      <w:r>
        <w:rPr>
          <w:sz w:val="20"/>
        </w:rPr>
        <w:t>Arrangements</w:t>
      </w:r>
      <w:r>
        <w:rPr>
          <w:spacing w:val="-9"/>
          <w:sz w:val="20"/>
        </w:rPr>
        <w:t> </w:t>
      </w:r>
      <w:r>
        <w:rPr>
          <w:spacing w:val="-3"/>
          <w:sz w:val="20"/>
        </w:rPr>
        <w:t>may</w:t>
      </w:r>
      <w:r>
        <w:rPr>
          <w:spacing w:val="-9"/>
          <w:sz w:val="20"/>
        </w:rPr>
        <w:t> </w:t>
      </w:r>
      <w:r>
        <w:rPr>
          <w:sz w:val="20"/>
        </w:rPr>
        <w:t>need</w:t>
      </w:r>
      <w:r>
        <w:rPr>
          <w:spacing w:val="-9"/>
          <w:sz w:val="20"/>
        </w:rPr>
        <w:t> </w:t>
      </w:r>
      <w:r>
        <w:rPr>
          <w:sz w:val="20"/>
        </w:rPr>
        <w:t>to be</w:t>
      </w:r>
      <w:r>
        <w:rPr>
          <w:spacing w:val="-6"/>
          <w:sz w:val="20"/>
        </w:rPr>
        <w:t> </w:t>
      </w:r>
      <w:r>
        <w:rPr>
          <w:sz w:val="20"/>
        </w:rPr>
        <w:t>made</w:t>
      </w:r>
      <w:r>
        <w:rPr>
          <w:spacing w:val="-5"/>
          <w:sz w:val="20"/>
        </w:rPr>
        <w:t> </w:t>
      </w:r>
      <w:r>
        <w:rPr>
          <w:sz w:val="20"/>
        </w:rPr>
        <w:t>to</w:t>
      </w:r>
      <w:r>
        <w:rPr>
          <w:spacing w:val="-5"/>
          <w:sz w:val="20"/>
        </w:rPr>
        <w:t> </w:t>
      </w:r>
      <w:r>
        <w:rPr>
          <w:sz w:val="20"/>
        </w:rPr>
        <w:t>cater</w:t>
      </w:r>
      <w:r>
        <w:rPr>
          <w:spacing w:val="-5"/>
          <w:sz w:val="20"/>
        </w:rPr>
        <w:t> </w:t>
      </w:r>
      <w:r>
        <w:rPr>
          <w:sz w:val="20"/>
        </w:rPr>
        <w:t>for</w:t>
      </w:r>
      <w:r>
        <w:rPr>
          <w:spacing w:val="-5"/>
          <w:sz w:val="20"/>
        </w:rPr>
        <w:t> </w:t>
      </w:r>
      <w:r>
        <w:rPr>
          <w:sz w:val="20"/>
        </w:rPr>
        <w:t>the</w:t>
      </w:r>
      <w:r>
        <w:rPr>
          <w:spacing w:val="-5"/>
          <w:sz w:val="20"/>
        </w:rPr>
        <w:t> </w:t>
      </w:r>
      <w:r>
        <w:rPr>
          <w:sz w:val="20"/>
        </w:rPr>
        <w:t>individual</w:t>
      </w:r>
      <w:r>
        <w:rPr>
          <w:spacing w:val="-5"/>
          <w:sz w:val="20"/>
        </w:rPr>
        <w:t> </w:t>
      </w:r>
      <w:r>
        <w:rPr>
          <w:sz w:val="20"/>
        </w:rPr>
        <w:t>needs</w:t>
      </w:r>
      <w:r>
        <w:rPr>
          <w:spacing w:val="-5"/>
          <w:sz w:val="20"/>
        </w:rPr>
        <w:t> </w:t>
      </w:r>
      <w:r>
        <w:rPr>
          <w:sz w:val="20"/>
        </w:rPr>
        <w:t>of</w:t>
      </w:r>
      <w:r>
        <w:rPr>
          <w:spacing w:val="-5"/>
          <w:sz w:val="20"/>
        </w:rPr>
        <w:t> </w:t>
      </w:r>
      <w:r>
        <w:rPr>
          <w:sz w:val="20"/>
        </w:rPr>
        <w:t>a</w:t>
      </w:r>
      <w:r>
        <w:rPr>
          <w:spacing w:val="-5"/>
          <w:sz w:val="20"/>
        </w:rPr>
        <w:t> </w:t>
      </w:r>
      <w:r>
        <w:rPr>
          <w:sz w:val="20"/>
        </w:rPr>
        <w:t>potential</w:t>
      </w:r>
      <w:r>
        <w:rPr>
          <w:spacing w:val="-5"/>
          <w:sz w:val="20"/>
        </w:rPr>
        <w:t> </w:t>
      </w:r>
      <w:r>
        <w:rPr>
          <w:spacing w:val="-4"/>
          <w:sz w:val="20"/>
        </w:rPr>
        <w:t>juror.</w:t>
      </w:r>
    </w:p>
    <w:p>
      <w:pPr>
        <w:spacing w:before="162"/>
        <w:ind w:left="967" w:right="0" w:firstLine="0"/>
        <w:jc w:val="left"/>
        <w:rPr>
          <w:b/>
          <w:sz w:val="24"/>
        </w:rPr>
      </w:pPr>
      <w:r>
        <w:rPr>
          <w:b/>
          <w:sz w:val="24"/>
        </w:rPr>
        <w:t>Juries Victoria should coordinate the provision of adjustments</w:t>
      </w:r>
    </w:p>
    <w:p>
      <w:pPr>
        <w:pStyle w:val="ListParagraph"/>
        <w:numPr>
          <w:ilvl w:val="1"/>
          <w:numId w:val="12"/>
        </w:numPr>
        <w:tabs>
          <w:tab w:pos="1761" w:val="left" w:leader="none"/>
          <w:tab w:pos="1762" w:val="left" w:leader="none"/>
        </w:tabs>
        <w:spacing w:line="206" w:lineRule="auto" w:before="127" w:after="0"/>
        <w:ind w:left="1761" w:right="1339" w:hanging="794"/>
        <w:jc w:val="left"/>
        <w:rPr>
          <w:sz w:val="11"/>
        </w:rPr>
      </w:pPr>
      <w:r>
        <w:rPr>
          <w:sz w:val="20"/>
        </w:rPr>
        <w:t>Juries Victoria is best placed to </w:t>
      </w:r>
      <w:r>
        <w:rPr>
          <w:spacing w:val="-3"/>
          <w:sz w:val="20"/>
        </w:rPr>
        <w:t>coordinate </w:t>
      </w:r>
      <w:r>
        <w:rPr>
          <w:sz w:val="20"/>
        </w:rPr>
        <w:t>the </w:t>
      </w:r>
      <w:r>
        <w:rPr>
          <w:spacing w:val="-3"/>
          <w:sz w:val="20"/>
        </w:rPr>
        <w:t>provision </w:t>
      </w:r>
      <w:r>
        <w:rPr>
          <w:sz w:val="20"/>
        </w:rPr>
        <w:t>of adjustments for </w:t>
      </w:r>
      <w:r>
        <w:rPr>
          <w:spacing w:val="-3"/>
          <w:sz w:val="20"/>
        </w:rPr>
        <w:t>several </w:t>
      </w:r>
      <w:r>
        <w:rPr>
          <w:sz w:val="20"/>
        </w:rPr>
        <w:t>reasons.</w:t>
      </w:r>
      <w:r>
        <w:rPr>
          <w:spacing w:val="-9"/>
          <w:sz w:val="20"/>
        </w:rPr>
        <w:t> </w:t>
      </w:r>
      <w:r>
        <w:rPr>
          <w:sz w:val="20"/>
        </w:rPr>
        <w:t>The</w:t>
      </w:r>
      <w:r>
        <w:rPr>
          <w:spacing w:val="-9"/>
          <w:sz w:val="20"/>
        </w:rPr>
        <w:t> </w:t>
      </w:r>
      <w:r>
        <w:rPr>
          <w:sz w:val="20"/>
        </w:rPr>
        <w:t>County</w:t>
      </w:r>
      <w:r>
        <w:rPr>
          <w:spacing w:val="-9"/>
          <w:sz w:val="20"/>
        </w:rPr>
        <w:t> </w:t>
      </w:r>
      <w:r>
        <w:rPr>
          <w:sz w:val="20"/>
        </w:rPr>
        <w:t>and</w:t>
      </w:r>
      <w:r>
        <w:rPr>
          <w:spacing w:val="-9"/>
          <w:sz w:val="20"/>
        </w:rPr>
        <w:t> </w:t>
      </w:r>
      <w:r>
        <w:rPr>
          <w:sz w:val="20"/>
        </w:rPr>
        <w:t>Supreme</w:t>
      </w:r>
      <w:r>
        <w:rPr>
          <w:spacing w:val="-9"/>
          <w:sz w:val="20"/>
        </w:rPr>
        <w:t> </w:t>
      </w:r>
      <w:r>
        <w:rPr>
          <w:sz w:val="20"/>
        </w:rPr>
        <w:t>Courts</w:t>
      </w:r>
      <w:r>
        <w:rPr>
          <w:spacing w:val="-9"/>
          <w:sz w:val="20"/>
        </w:rPr>
        <w:t> </w:t>
      </w:r>
      <w:r>
        <w:rPr>
          <w:sz w:val="20"/>
        </w:rPr>
        <w:t>do</w:t>
      </w:r>
      <w:r>
        <w:rPr>
          <w:spacing w:val="-9"/>
          <w:sz w:val="20"/>
        </w:rPr>
        <w:t> </w:t>
      </w:r>
      <w:r>
        <w:rPr>
          <w:sz w:val="20"/>
        </w:rPr>
        <w:t>not</w:t>
      </w:r>
      <w:r>
        <w:rPr>
          <w:spacing w:val="-9"/>
          <w:sz w:val="20"/>
        </w:rPr>
        <w:t> </w:t>
      </w:r>
      <w:r>
        <w:rPr>
          <w:spacing w:val="-3"/>
          <w:sz w:val="20"/>
        </w:rPr>
        <w:t>currently</w:t>
      </w:r>
      <w:r>
        <w:rPr>
          <w:spacing w:val="-9"/>
          <w:sz w:val="20"/>
        </w:rPr>
        <w:t> </w:t>
      </w:r>
      <w:r>
        <w:rPr>
          <w:sz w:val="20"/>
        </w:rPr>
        <w:t>arrange</w:t>
      </w:r>
      <w:r>
        <w:rPr>
          <w:spacing w:val="-8"/>
          <w:sz w:val="20"/>
        </w:rPr>
        <w:t> </w:t>
      </w:r>
      <w:r>
        <w:rPr>
          <w:spacing w:val="-3"/>
          <w:sz w:val="20"/>
        </w:rPr>
        <w:t>many</w:t>
      </w:r>
      <w:r>
        <w:rPr>
          <w:spacing w:val="-9"/>
          <w:sz w:val="20"/>
        </w:rPr>
        <w:t> </w:t>
      </w:r>
      <w:r>
        <w:rPr>
          <w:sz w:val="20"/>
        </w:rPr>
        <w:t>adjustments for witnesses and parties. Instead, adjustments </w:t>
      </w:r>
      <w:r>
        <w:rPr>
          <w:spacing w:val="-3"/>
          <w:sz w:val="20"/>
        </w:rPr>
        <w:t>are provided by </w:t>
      </w:r>
      <w:r>
        <w:rPr>
          <w:sz w:val="20"/>
        </w:rPr>
        <w:t>the OPP</w:t>
      </w:r>
      <w:r>
        <w:rPr>
          <w:position w:val="7"/>
          <w:sz w:val="11"/>
        </w:rPr>
        <w:t>63 </w:t>
      </w:r>
      <w:r>
        <w:rPr>
          <w:sz w:val="20"/>
        </w:rPr>
        <w:t>or arranged </w:t>
      </w:r>
      <w:r>
        <w:rPr>
          <w:spacing w:val="-3"/>
          <w:sz w:val="20"/>
        </w:rPr>
        <w:t>by </w:t>
      </w:r>
      <w:r>
        <w:rPr>
          <w:sz w:val="20"/>
        </w:rPr>
        <w:t>the parties</w:t>
      </w:r>
      <w:r>
        <w:rPr>
          <w:spacing w:val="-10"/>
          <w:sz w:val="20"/>
        </w:rPr>
        <w:t> </w:t>
      </w:r>
      <w:r>
        <w:rPr>
          <w:sz w:val="20"/>
        </w:rPr>
        <w:t>themselves.</w:t>
      </w:r>
      <w:r>
        <w:rPr>
          <w:position w:val="7"/>
          <w:sz w:val="11"/>
        </w:rPr>
        <w:t>64</w:t>
      </w:r>
    </w:p>
    <w:p>
      <w:pPr>
        <w:pStyle w:val="ListParagraph"/>
        <w:numPr>
          <w:ilvl w:val="1"/>
          <w:numId w:val="12"/>
        </w:numPr>
        <w:tabs>
          <w:tab w:pos="1761" w:val="left" w:leader="none"/>
          <w:tab w:pos="1762" w:val="left" w:leader="none"/>
        </w:tabs>
        <w:spacing w:line="206" w:lineRule="auto" w:before="125" w:after="0"/>
        <w:ind w:left="1761" w:right="1461" w:hanging="794"/>
        <w:jc w:val="left"/>
        <w:rPr>
          <w:sz w:val="11"/>
        </w:rPr>
      </w:pPr>
      <w:r>
        <w:rPr>
          <w:sz w:val="20"/>
        </w:rPr>
        <w:t>The Supreme Court observed that, due to the 13th person rule and the historical </w:t>
      </w:r>
      <w:r>
        <w:rPr>
          <w:spacing w:val="-3"/>
          <w:sz w:val="20"/>
        </w:rPr>
        <w:t>exclusion</w:t>
      </w:r>
      <w:r>
        <w:rPr>
          <w:spacing w:val="-9"/>
          <w:sz w:val="20"/>
        </w:rPr>
        <w:t> </w:t>
      </w:r>
      <w:r>
        <w:rPr>
          <w:sz w:val="20"/>
        </w:rPr>
        <w:t>of</w:t>
      </w:r>
      <w:r>
        <w:rPr>
          <w:spacing w:val="-8"/>
          <w:sz w:val="20"/>
        </w:rPr>
        <w:t> </w:t>
      </w:r>
      <w:r>
        <w:rPr>
          <w:sz w:val="20"/>
        </w:rPr>
        <w:t>people</w:t>
      </w:r>
      <w:r>
        <w:rPr>
          <w:spacing w:val="-9"/>
          <w:sz w:val="20"/>
        </w:rPr>
        <w:t> </w:t>
      </w:r>
      <w:r>
        <w:rPr>
          <w:spacing w:val="-3"/>
          <w:sz w:val="20"/>
        </w:rPr>
        <w:t>from</w:t>
      </w:r>
      <w:r>
        <w:rPr>
          <w:spacing w:val="-8"/>
          <w:sz w:val="20"/>
        </w:rPr>
        <w:t> </w:t>
      </w:r>
      <w:r>
        <w:rPr>
          <w:sz w:val="20"/>
        </w:rPr>
        <w:t>the</w:t>
      </w:r>
      <w:r>
        <w:rPr>
          <w:spacing w:val="-8"/>
          <w:sz w:val="20"/>
        </w:rPr>
        <w:t> </w:t>
      </w:r>
      <w:r>
        <w:rPr>
          <w:sz w:val="20"/>
        </w:rPr>
        <w:t>subject</w:t>
      </w:r>
      <w:r>
        <w:rPr>
          <w:spacing w:val="-9"/>
          <w:sz w:val="20"/>
        </w:rPr>
        <w:t> </w:t>
      </w:r>
      <w:r>
        <w:rPr>
          <w:sz w:val="20"/>
        </w:rPr>
        <w:t>groups,</w:t>
      </w:r>
      <w:r>
        <w:rPr>
          <w:spacing w:val="-8"/>
          <w:sz w:val="20"/>
        </w:rPr>
        <w:t> </w:t>
      </w:r>
      <w:r>
        <w:rPr>
          <w:sz w:val="20"/>
        </w:rPr>
        <w:t>the</w:t>
      </w:r>
      <w:r>
        <w:rPr>
          <w:spacing w:val="-9"/>
          <w:sz w:val="20"/>
        </w:rPr>
        <w:t> </w:t>
      </w:r>
      <w:r>
        <w:rPr>
          <w:sz w:val="20"/>
        </w:rPr>
        <w:t>Court</w:t>
      </w:r>
      <w:r>
        <w:rPr>
          <w:spacing w:val="-8"/>
          <w:sz w:val="20"/>
        </w:rPr>
        <w:t> </w:t>
      </w:r>
      <w:r>
        <w:rPr>
          <w:sz w:val="20"/>
        </w:rPr>
        <w:t>‘has</w:t>
      </w:r>
      <w:r>
        <w:rPr>
          <w:spacing w:val="-8"/>
          <w:sz w:val="20"/>
        </w:rPr>
        <w:t> </w:t>
      </w:r>
      <w:r>
        <w:rPr>
          <w:sz w:val="20"/>
        </w:rPr>
        <w:t>not</w:t>
      </w:r>
      <w:r>
        <w:rPr>
          <w:spacing w:val="-9"/>
          <w:sz w:val="20"/>
        </w:rPr>
        <w:t> </w:t>
      </w:r>
      <w:r>
        <w:rPr>
          <w:sz w:val="20"/>
        </w:rPr>
        <w:t>had</w:t>
      </w:r>
      <w:r>
        <w:rPr>
          <w:spacing w:val="-8"/>
          <w:sz w:val="20"/>
        </w:rPr>
        <w:t> </w:t>
      </w:r>
      <w:r>
        <w:rPr>
          <w:sz w:val="20"/>
        </w:rPr>
        <w:t>systems</w:t>
      </w:r>
      <w:r>
        <w:rPr>
          <w:spacing w:val="-9"/>
          <w:sz w:val="20"/>
        </w:rPr>
        <w:t> </w:t>
      </w:r>
      <w:r>
        <w:rPr>
          <w:sz w:val="20"/>
        </w:rPr>
        <w:t>in</w:t>
      </w:r>
      <w:r>
        <w:rPr>
          <w:spacing w:val="-8"/>
          <w:sz w:val="20"/>
        </w:rPr>
        <w:t> </w:t>
      </w:r>
      <w:r>
        <w:rPr>
          <w:sz w:val="20"/>
        </w:rPr>
        <w:t>place to </w:t>
      </w:r>
      <w:r>
        <w:rPr>
          <w:spacing w:val="-3"/>
          <w:sz w:val="20"/>
        </w:rPr>
        <w:t>provide </w:t>
      </w:r>
      <w:r>
        <w:rPr>
          <w:sz w:val="20"/>
        </w:rPr>
        <w:t>those supports in the jury context. The Court </w:t>
      </w:r>
      <w:r>
        <w:rPr>
          <w:spacing w:val="-3"/>
          <w:sz w:val="20"/>
        </w:rPr>
        <w:t>would </w:t>
      </w:r>
      <w:r>
        <w:rPr>
          <w:sz w:val="20"/>
        </w:rPr>
        <w:t>of course adapt its processes with changes to the</w:t>
      </w:r>
      <w:r>
        <w:rPr>
          <w:spacing w:val="-23"/>
          <w:sz w:val="20"/>
        </w:rPr>
        <w:t> </w:t>
      </w:r>
      <w:r>
        <w:rPr>
          <w:sz w:val="20"/>
        </w:rPr>
        <w:t>law’.</w:t>
      </w:r>
      <w:r>
        <w:rPr>
          <w:position w:val="7"/>
          <w:sz w:val="11"/>
        </w:rPr>
        <w:t>65</w:t>
      </w:r>
    </w:p>
    <w:p>
      <w:pPr>
        <w:pStyle w:val="ListParagraph"/>
        <w:numPr>
          <w:ilvl w:val="1"/>
          <w:numId w:val="12"/>
        </w:numPr>
        <w:tabs>
          <w:tab w:pos="1761" w:val="left" w:leader="none"/>
          <w:tab w:pos="1762" w:val="left" w:leader="none"/>
        </w:tabs>
        <w:spacing w:line="206" w:lineRule="auto" w:before="125" w:after="0"/>
        <w:ind w:left="1761" w:right="1430" w:hanging="794"/>
        <w:jc w:val="left"/>
        <w:rPr>
          <w:sz w:val="20"/>
        </w:rPr>
      </w:pPr>
      <w:r>
        <w:rPr>
          <w:sz w:val="20"/>
        </w:rPr>
        <w:t>Requiring Juries Victoria to take on this </w:t>
      </w:r>
      <w:r>
        <w:rPr>
          <w:spacing w:val="-3"/>
          <w:sz w:val="20"/>
        </w:rPr>
        <w:t>coordinator role </w:t>
      </w:r>
      <w:r>
        <w:rPr>
          <w:sz w:val="20"/>
        </w:rPr>
        <w:t>means that the </w:t>
      </w:r>
      <w:r>
        <w:rPr>
          <w:spacing w:val="-3"/>
          <w:sz w:val="20"/>
        </w:rPr>
        <w:t>provision </w:t>
      </w:r>
      <w:r>
        <w:rPr>
          <w:sz w:val="20"/>
        </w:rPr>
        <w:t>of adjustments will be coordinated </w:t>
      </w:r>
      <w:r>
        <w:rPr>
          <w:spacing w:val="-3"/>
          <w:sz w:val="20"/>
        </w:rPr>
        <w:t>centrally </w:t>
      </w:r>
      <w:r>
        <w:rPr>
          <w:sz w:val="20"/>
        </w:rPr>
        <w:t>rather than </w:t>
      </w:r>
      <w:r>
        <w:rPr>
          <w:spacing w:val="-3"/>
          <w:sz w:val="20"/>
        </w:rPr>
        <w:t>separately </w:t>
      </w:r>
      <w:r>
        <w:rPr>
          <w:sz w:val="20"/>
        </w:rPr>
        <w:t>in the courts and specifically for jurors. One agency will </w:t>
      </w:r>
      <w:r>
        <w:rPr>
          <w:spacing w:val="-3"/>
          <w:sz w:val="20"/>
        </w:rPr>
        <w:t>develop </w:t>
      </w:r>
      <w:r>
        <w:rPr>
          <w:sz w:val="20"/>
        </w:rPr>
        <w:t>knowledge about adjustments and partnerships</w:t>
      </w:r>
      <w:r>
        <w:rPr>
          <w:spacing w:val="-11"/>
          <w:sz w:val="20"/>
        </w:rPr>
        <w:t> </w:t>
      </w:r>
      <w:r>
        <w:rPr>
          <w:sz w:val="20"/>
        </w:rPr>
        <w:t>with</w:t>
      </w:r>
      <w:r>
        <w:rPr>
          <w:spacing w:val="-11"/>
          <w:sz w:val="20"/>
        </w:rPr>
        <w:t> </w:t>
      </w:r>
      <w:r>
        <w:rPr>
          <w:sz w:val="20"/>
        </w:rPr>
        <w:t>service</w:t>
      </w:r>
      <w:r>
        <w:rPr>
          <w:spacing w:val="-10"/>
          <w:sz w:val="20"/>
        </w:rPr>
        <w:t> </w:t>
      </w:r>
      <w:r>
        <w:rPr>
          <w:sz w:val="20"/>
        </w:rPr>
        <w:t>providers.</w:t>
      </w:r>
      <w:r>
        <w:rPr>
          <w:spacing w:val="-11"/>
          <w:sz w:val="20"/>
        </w:rPr>
        <w:t> </w:t>
      </w:r>
      <w:r>
        <w:rPr>
          <w:spacing w:val="-3"/>
          <w:sz w:val="20"/>
        </w:rPr>
        <w:t>Having</w:t>
      </w:r>
      <w:r>
        <w:rPr>
          <w:spacing w:val="-11"/>
          <w:sz w:val="20"/>
        </w:rPr>
        <w:t> </w:t>
      </w:r>
      <w:r>
        <w:rPr>
          <w:sz w:val="20"/>
        </w:rPr>
        <w:t>a</w:t>
      </w:r>
      <w:r>
        <w:rPr>
          <w:spacing w:val="-10"/>
          <w:sz w:val="20"/>
        </w:rPr>
        <w:t> </w:t>
      </w:r>
      <w:r>
        <w:rPr>
          <w:sz w:val="20"/>
        </w:rPr>
        <w:t>centralised</w:t>
      </w:r>
      <w:r>
        <w:rPr>
          <w:spacing w:val="-11"/>
          <w:sz w:val="20"/>
        </w:rPr>
        <w:t> </w:t>
      </w:r>
      <w:r>
        <w:rPr>
          <w:sz w:val="20"/>
        </w:rPr>
        <w:t>approach</w:t>
      </w:r>
      <w:r>
        <w:rPr>
          <w:spacing w:val="-10"/>
          <w:sz w:val="20"/>
        </w:rPr>
        <w:t> </w:t>
      </w:r>
      <w:r>
        <w:rPr>
          <w:sz w:val="20"/>
        </w:rPr>
        <w:t>to</w:t>
      </w:r>
      <w:r>
        <w:rPr>
          <w:spacing w:val="-11"/>
          <w:sz w:val="20"/>
        </w:rPr>
        <w:t> </w:t>
      </w:r>
      <w:r>
        <w:rPr>
          <w:sz w:val="20"/>
        </w:rPr>
        <w:t>the</w:t>
      </w:r>
      <w:r>
        <w:rPr>
          <w:spacing w:val="-11"/>
          <w:sz w:val="20"/>
        </w:rPr>
        <w:t> </w:t>
      </w:r>
      <w:r>
        <w:rPr>
          <w:spacing w:val="-3"/>
          <w:sz w:val="20"/>
        </w:rPr>
        <w:t>provision</w:t>
      </w:r>
      <w:r>
        <w:rPr>
          <w:spacing w:val="-10"/>
          <w:sz w:val="20"/>
        </w:rPr>
        <w:t> </w:t>
      </w:r>
      <w:r>
        <w:rPr>
          <w:sz w:val="20"/>
        </w:rPr>
        <w:t>of adjustments</w:t>
      </w:r>
      <w:r>
        <w:rPr>
          <w:spacing w:val="-10"/>
          <w:sz w:val="20"/>
        </w:rPr>
        <w:t> </w:t>
      </w:r>
      <w:r>
        <w:rPr>
          <w:sz w:val="20"/>
        </w:rPr>
        <w:t>will</w:t>
      </w:r>
      <w:r>
        <w:rPr>
          <w:spacing w:val="-10"/>
          <w:sz w:val="20"/>
        </w:rPr>
        <w:t> </w:t>
      </w:r>
      <w:r>
        <w:rPr>
          <w:sz w:val="20"/>
        </w:rPr>
        <w:t>be</w:t>
      </w:r>
      <w:r>
        <w:rPr>
          <w:spacing w:val="-10"/>
          <w:sz w:val="20"/>
        </w:rPr>
        <w:t> </w:t>
      </w:r>
      <w:r>
        <w:rPr>
          <w:sz w:val="20"/>
        </w:rPr>
        <w:t>particularly</w:t>
      </w:r>
      <w:r>
        <w:rPr>
          <w:spacing w:val="-10"/>
          <w:sz w:val="20"/>
        </w:rPr>
        <w:t> </w:t>
      </w:r>
      <w:r>
        <w:rPr>
          <w:sz w:val="20"/>
        </w:rPr>
        <w:t>important</w:t>
      </w:r>
      <w:r>
        <w:rPr>
          <w:spacing w:val="-10"/>
          <w:sz w:val="20"/>
        </w:rPr>
        <w:t> </w:t>
      </w:r>
      <w:r>
        <w:rPr>
          <w:sz w:val="20"/>
        </w:rPr>
        <w:t>for</w:t>
      </w:r>
      <w:r>
        <w:rPr>
          <w:spacing w:val="-10"/>
          <w:sz w:val="20"/>
        </w:rPr>
        <w:t> </w:t>
      </w:r>
      <w:r>
        <w:rPr>
          <w:sz w:val="20"/>
        </w:rPr>
        <w:t>Auslan</w:t>
      </w:r>
      <w:r>
        <w:rPr>
          <w:spacing w:val="-10"/>
          <w:sz w:val="20"/>
        </w:rPr>
        <w:t> </w:t>
      </w:r>
      <w:r>
        <w:rPr>
          <w:spacing w:val="-3"/>
          <w:sz w:val="20"/>
        </w:rPr>
        <w:t>interpreters</w:t>
      </w:r>
      <w:r>
        <w:rPr>
          <w:spacing w:val="-10"/>
          <w:sz w:val="20"/>
        </w:rPr>
        <w:t> </w:t>
      </w:r>
      <w:r>
        <w:rPr>
          <w:sz w:val="20"/>
        </w:rPr>
        <w:t>because</w:t>
      </w:r>
      <w:r>
        <w:rPr>
          <w:spacing w:val="-10"/>
          <w:sz w:val="20"/>
        </w:rPr>
        <w:t> </w:t>
      </w:r>
      <w:r>
        <w:rPr>
          <w:sz w:val="20"/>
        </w:rPr>
        <w:t>they</w:t>
      </w:r>
      <w:r>
        <w:rPr>
          <w:spacing w:val="-10"/>
          <w:sz w:val="20"/>
        </w:rPr>
        <w:t> </w:t>
      </w:r>
      <w:r>
        <w:rPr>
          <w:spacing w:val="-3"/>
          <w:sz w:val="20"/>
        </w:rPr>
        <w:t>are</w:t>
      </w:r>
      <w:r>
        <w:rPr>
          <w:spacing w:val="-9"/>
          <w:sz w:val="20"/>
        </w:rPr>
        <w:t> </w:t>
      </w:r>
      <w:r>
        <w:rPr>
          <w:sz w:val="20"/>
        </w:rPr>
        <w:t>in short </w:t>
      </w:r>
      <w:r>
        <w:rPr>
          <w:spacing w:val="-2"/>
          <w:sz w:val="20"/>
        </w:rPr>
        <w:t>supply </w:t>
      </w:r>
      <w:r>
        <w:rPr>
          <w:sz w:val="20"/>
        </w:rPr>
        <w:t>in the court</w:t>
      </w:r>
      <w:r>
        <w:rPr>
          <w:spacing w:val="-20"/>
          <w:sz w:val="20"/>
        </w:rPr>
        <w:t> </w:t>
      </w:r>
      <w:r>
        <w:rPr>
          <w:sz w:val="20"/>
        </w:rPr>
        <w:t>system.</w:t>
      </w:r>
    </w:p>
    <w:p>
      <w:pPr>
        <w:pStyle w:val="ListParagraph"/>
        <w:numPr>
          <w:ilvl w:val="1"/>
          <w:numId w:val="12"/>
        </w:numPr>
        <w:tabs>
          <w:tab w:pos="1761" w:val="left" w:leader="none"/>
          <w:tab w:pos="1762" w:val="left" w:leader="none"/>
        </w:tabs>
        <w:spacing w:line="206" w:lineRule="auto" w:before="128" w:after="0"/>
        <w:ind w:left="1761" w:right="1429" w:hanging="794"/>
        <w:jc w:val="left"/>
        <w:rPr>
          <w:sz w:val="11"/>
        </w:rPr>
      </w:pPr>
      <w:r>
        <w:rPr>
          <w:sz w:val="20"/>
        </w:rPr>
        <w:t>Juries</w:t>
      </w:r>
      <w:r>
        <w:rPr>
          <w:spacing w:val="-11"/>
          <w:sz w:val="20"/>
        </w:rPr>
        <w:t> </w:t>
      </w:r>
      <w:r>
        <w:rPr>
          <w:sz w:val="20"/>
        </w:rPr>
        <w:t>Victoria</w:t>
      </w:r>
      <w:r>
        <w:rPr>
          <w:spacing w:val="-10"/>
          <w:sz w:val="20"/>
        </w:rPr>
        <w:t> </w:t>
      </w:r>
      <w:r>
        <w:rPr>
          <w:sz w:val="20"/>
        </w:rPr>
        <w:t>has</w:t>
      </w:r>
      <w:r>
        <w:rPr>
          <w:spacing w:val="-10"/>
          <w:sz w:val="20"/>
        </w:rPr>
        <w:t> </w:t>
      </w:r>
      <w:r>
        <w:rPr>
          <w:sz w:val="20"/>
        </w:rPr>
        <w:t>said</w:t>
      </w:r>
      <w:r>
        <w:rPr>
          <w:spacing w:val="-11"/>
          <w:sz w:val="20"/>
        </w:rPr>
        <w:t> </w:t>
      </w:r>
      <w:r>
        <w:rPr>
          <w:sz w:val="20"/>
        </w:rPr>
        <w:t>in</w:t>
      </w:r>
      <w:r>
        <w:rPr>
          <w:spacing w:val="-10"/>
          <w:sz w:val="20"/>
        </w:rPr>
        <w:t> </w:t>
      </w:r>
      <w:r>
        <w:rPr>
          <w:sz w:val="20"/>
        </w:rPr>
        <w:t>consultation</w:t>
      </w:r>
      <w:r>
        <w:rPr>
          <w:spacing w:val="-10"/>
          <w:sz w:val="20"/>
        </w:rPr>
        <w:t> </w:t>
      </w:r>
      <w:r>
        <w:rPr>
          <w:sz w:val="20"/>
        </w:rPr>
        <w:t>that</w:t>
      </w:r>
      <w:r>
        <w:rPr>
          <w:spacing w:val="-10"/>
          <w:sz w:val="20"/>
        </w:rPr>
        <w:t> </w:t>
      </w:r>
      <w:r>
        <w:rPr>
          <w:sz w:val="20"/>
        </w:rPr>
        <w:t>it</w:t>
      </w:r>
      <w:r>
        <w:rPr>
          <w:spacing w:val="-11"/>
          <w:sz w:val="20"/>
        </w:rPr>
        <w:t> </w:t>
      </w:r>
      <w:r>
        <w:rPr>
          <w:sz w:val="20"/>
        </w:rPr>
        <w:t>is</w:t>
      </w:r>
      <w:r>
        <w:rPr>
          <w:spacing w:val="-10"/>
          <w:sz w:val="20"/>
        </w:rPr>
        <w:t> </w:t>
      </w:r>
      <w:r>
        <w:rPr>
          <w:sz w:val="20"/>
        </w:rPr>
        <w:t>open</w:t>
      </w:r>
      <w:r>
        <w:rPr>
          <w:spacing w:val="-10"/>
          <w:sz w:val="20"/>
        </w:rPr>
        <w:t> </w:t>
      </w:r>
      <w:r>
        <w:rPr>
          <w:sz w:val="20"/>
        </w:rPr>
        <w:t>to</w:t>
      </w:r>
      <w:r>
        <w:rPr>
          <w:spacing w:val="-10"/>
          <w:sz w:val="20"/>
        </w:rPr>
        <w:t> </w:t>
      </w:r>
      <w:r>
        <w:rPr>
          <w:sz w:val="20"/>
        </w:rPr>
        <w:t>playing</w:t>
      </w:r>
      <w:r>
        <w:rPr>
          <w:spacing w:val="-11"/>
          <w:sz w:val="20"/>
        </w:rPr>
        <w:t> </w:t>
      </w:r>
      <w:r>
        <w:rPr>
          <w:sz w:val="20"/>
        </w:rPr>
        <w:t>a</w:t>
      </w:r>
      <w:r>
        <w:rPr>
          <w:spacing w:val="-10"/>
          <w:sz w:val="20"/>
        </w:rPr>
        <w:t> </w:t>
      </w:r>
      <w:r>
        <w:rPr>
          <w:spacing w:val="-3"/>
          <w:sz w:val="20"/>
        </w:rPr>
        <w:t>role</w:t>
      </w:r>
      <w:r>
        <w:rPr>
          <w:spacing w:val="-10"/>
          <w:sz w:val="20"/>
        </w:rPr>
        <w:t> </w:t>
      </w:r>
      <w:r>
        <w:rPr>
          <w:sz w:val="20"/>
        </w:rPr>
        <w:t>in</w:t>
      </w:r>
      <w:r>
        <w:rPr>
          <w:spacing w:val="-11"/>
          <w:sz w:val="20"/>
        </w:rPr>
        <w:t> </w:t>
      </w:r>
      <w:r>
        <w:rPr>
          <w:sz w:val="20"/>
        </w:rPr>
        <w:t>arranging</w:t>
      </w:r>
      <w:r>
        <w:rPr>
          <w:spacing w:val="-10"/>
          <w:sz w:val="20"/>
        </w:rPr>
        <w:t> </w:t>
      </w:r>
      <w:r>
        <w:rPr>
          <w:sz w:val="20"/>
        </w:rPr>
        <w:t>and </w:t>
      </w:r>
      <w:r>
        <w:rPr>
          <w:spacing w:val="-3"/>
          <w:sz w:val="20"/>
        </w:rPr>
        <w:t>paying</w:t>
      </w:r>
      <w:r>
        <w:rPr>
          <w:spacing w:val="-5"/>
          <w:sz w:val="20"/>
        </w:rPr>
        <w:t> </w:t>
      </w:r>
      <w:r>
        <w:rPr>
          <w:sz w:val="20"/>
        </w:rPr>
        <w:t>for</w:t>
      </w:r>
      <w:r>
        <w:rPr>
          <w:spacing w:val="-4"/>
          <w:sz w:val="20"/>
        </w:rPr>
        <w:t> </w:t>
      </w:r>
      <w:r>
        <w:rPr>
          <w:sz w:val="20"/>
        </w:rPr>
        <w:t>adjustments</w:t>
      </w:r>
      <w:r>
        <w:rPr>
          <w:spacing w:val="-4"/>
          <w:sz w:val="20"/>
        </w:rPr>
        <w:t> </w:t>
      </w:r>
      <w:r>
        <w:rPr>
          <w:spacing w:val="-3"/>
          <w:sz w:val="20"/>
        </w:rPr>
        <w:t>provided</w:t>
      </w:r>
      <w:r>
        <w:rPr>
          <w:spacing w:val="-4"/>
          <w:sz w:val="20"/>
        </w:rPr>
        <w:t> </w:t>
      </w:r>
      <w:r>
        <w:rPr>
          <w:sz w:val="20"/>
        </w:rPr>
        <w:t>it</w:t>
      </w:r>
      <w:r>
        <w:rPr>
          <w:spacing w:val="-4"/>
          <w:sz w:val="20"/>
        </w:rPr>
        <w:t> </w:t>
      </w:r>
      <w:r>
        <w:rPr>
          <w:sz w:val="20"/>
        </w:rPr>
        <w:t>is</w:t>
      </w:r>
      <w:r>
        <w:rPr>
          <w:spacing w:val="-5"/>
          <w:sz w:val="20"/>
        </w:rPr>
        <w:t> </w:t>
      </w:r>
      <w:r>
        <w:rPr>
          <w:spacing w:val="-3"/>
          <w:sz w:val="20"/>
        </w:rPr>
        <w:t>properly</w:t>
      </w:r>
      <w:r>
        <w:rPr>
          <w:spacing w:val="-4"/>
          <w:sz w:val="20"/>
        </w:rPr>
        <w:t> </w:t>
      </w:r>
      <w:r>
        <w:rPr>
          <w:sz w:val="20"/>
        </w:rPr>
        <w:t>funded</w:t>
      </w:r>
      <w:r>
        <w:rPr>
          <w:spacing w:val="-4"/>
          <w:sz w:val="20"/>
        </w:rPr>
        <w:t> </w:t>
      </w:r>
      <w:r>
        <w:rPr>
          <w:sz w:val="20"/>
        </w:rPr>
        <w:t>to</w:t>
      </w:r>
      <w:r>
        <w:rPr>
          <w:spacing w:val="-4"/>
          <w:sz w:val="20"/>
        </w:rPr>
        <w:t> </w:t>
      </w:r>
      <w:r>
        <w:rPr>
          <w:sz w:val="20"/>
        </w:rPr>
        <w:t>do</w:t>
      </w:r>
      <w:r>
        <w:rPr>
          <w:spacing w:val="-4"/>
          <w:sz w:val="20"/>
        </w:rPr>
        <w:t> </w:t>
      </w:r>
      <w:r>
        <w:rPr>
          <w:sz w:val="20"/>
        </w:rPr>
        <w:t>so.</w:t>
      </w:r>
      <w:r>
        <w:rPr>
          <w:spacing w:val="-17"/>
          <w:sz w:val="20"/>
        </w:rPr>
        <w:t> </w:t>
      </w:r>
      <w:r>
        <w:rPr>
          <w:position w:val="7"/>
          <w:sz w:val="11"/>
        </w:rPr>
        <w:t>66</w:t>
      </w:r>
    </w:p>
    <w:p>
      <w:pPr>
        <w:pStyle w:val="ListParagraph"/>
        <w:numPr>
          <w:ilvl w:val="1"/>
          <w:numId w:val="12"/>
        </w:numPr>
        <w:tabs>
          <w:tab w:pos="1761" w:val="left" w:leader="none"/>
          <w:tab w:pos="1762" w:val="left" w:leader="none"/>
        </w:tabs>
        <w:spacing w:line="206" w:lineRule="auto" w:before="122" w:after="0"/>
        <w:ind w:left="1761" w:right="1453" w:hanging="794"/>
        <w:jc w:val="left"/>
        <w:rPr>
          <w:sz w:val="20"/>
        </w:rPr>
      </w:pPr>
      <w:r>
        <w:rPr>
          <w:sz w:val="20"/>
        </w:rPr>
        <w:t>Because the higher courts and Juries Victoria do not </w:t>
      </w:r>
      <w:r>
        <w:rPr>
          <w:spacing w:val="-3"/>
          <w:sz w:val="20"/>
        </w:rPr>
        <w:t>currently </w:t>
      </w:r>
      <w:r>
        <w:rPr>
          <w:sz w:val="20"/>
        </w:rPr>
        <w:t>arrange adjustments for parties or witnesses, their staff will need training about the types of adjustments </w:t>
      </w:r>
      <w:r>
        <w:rPr>
          <w:spacing w:val="-3"/>
          <w:sz w:val="20"/>
        </w:rPr>
        <w:t>available</w:t>
      </w:r>
      <w:r>
        <w:rPr>
          <w:spacing w:val="-8"/>
          <w:sz w:val="20"/>
        </w:rPr>
        <w:t> </w:t>
      </w:r>
      <w:r>
        <w:rPr>
          <w:sz w:val="20"/>
        </w:rPr>
        <w:t>and</w:t>
      </w:r>
      <w:r>
        <w:rPr>
          <w:spacing w:val="-8"/>
          <w:sz w:val="20"/>
        </w:rPr>
        <w:t> </w:t>
      </w:r>
      <w:r>
        <w:rPr>
          <w:spacing w:val="-3"/>
          <w:sz w:val="20"/>
        </w:rPr>
        <w:t>how</w:t>
      </w:r>
      <w:r>
        <w:rPr>
          <w:spacing w:val="-7"/>
          <w:sz w:val="20"/>
        </w:rPr>
        <w:t> </w:t>
      </w:r>
      <w:r>
        <w:rPr>
          <w:sz w:val="20"/>
        </w:rPr>
        <w:t>they</w:t>
      </w:r>
      <w:r>
        <w:rPr>
          <w:spacing w:val="-8"/>
          <w:sz w:val="20"/>
        </w:rPr>
        <w:t> </w:t>
      </w:r>
      <w:r>
        <w:rPr>
          <w:sz w:val="20"/>
        </w:rPr>
        <w:t>work,</w:t>
      </w:r>
      <w:r>
        <w:rPr>
          <w:spacing w:val="-7"/>
          <w:sz w:val="20"/>
        </w:rPr>
        <w:t> </w:t>
      </w:r>
      <w:r>
        <w:rPr>
          <w:sz w:val="20"/>
        </w:rPr>
        <w:t>and</w:t>
      </w:r>
      <w:r>
        <w:rPr>
          <w:spacing w:val="-8"/>
          <w:sz w:val="20"/>
        </w:rPr>
        <w:t> </w:t>
      </w:r>
      <w:r>
        <w:rPr>
          <w:sz w:val="20"/>
        </w:rPr>
        <w:t>should</w:t>
      </w:r>
      <w:r>
        <w:rPr>
          <w:spacing w:val="-7"/>
          <w:sz w:val="20"/>
        </w:rPr>
        <w:t> </w:t>
      </w:r>
      <w:r>
        <w:rPr>
          <w:sz w:val="20"/>
        </w:rPr>
        <w:t>be</w:t>
      </w:r>
      <w:r>
        <w:rPr>
          <w:spacing w:val="-8"/>
          <w:sz w:val="20"/>
        </w:rPr>
        <w:t> </w:t>
      </w:r>
      <w:r>
        <w:rPr>
          <w:sz w:val="20"/>
        </w:rPr>
        <w:t>funded</w:t>
      </w:r>
      <w:r>
        <w:rPr>
          <w:spacing w:val="-7"/>
          <w:sz w:val="20"/>
        </w:rPr>
        <w:t> </w:t>
      </w:r>
      <w:r>
        <w:rPr>
          <w:spacing w:val="-3"/>
          <w:sz w:val="20"/>
        </w:rPr>
        <w:t>by</w:t>
      </w:r>
      <w:r>
        <w:rPr>
          <w:spacing w:val="-8"/>
          <w:sz w:val="20"/>
        </w:rPr>
        <w:t> </w:t>
      </w:r>
      <w:r>
        <w:rPr>
          <w:spacing w:val="-2"/>
          <w:sz w:val="20"/>
        </w:rPr>
        <w:t>Government</w:t>
      </w:r>
      <w:r>
        <w:rPr>
          <w:spacing w:val="-7"/>
          <w:sz w:val="20"/>
        </w:rPr>
        <w:t> </w:t>
      </w:r>
      <w:r>
        <w:rPr>
          <w:sz w:val="20"/>
        </w:rPr>
        <w:t>to</w:t>
      </w:r>
      <w:r>
        <w:rPr>
          <w:spacing w:val="-8"/>
          <w:sz w:val="20"/>
        </w:rPr>
        <w:t> </w:t>
      </w:r>
      <w:r>
        <w:rPr>
          <w:spacing w:val="-3"/>
          <w:sz w:val="20"/>
        </w:rPr>
        <w:t>provide</w:t>
      </w:r>
      <w:r>
        <w:rPr>
          <w:spacing w:val="-7"/>
          <w:sz w:val="20"/>
        </w:rPr>
        <w:t> </w:t>
      </w:r>
      <w:r>
        <w:rPr>
          <w:sz w:val="20"/>
        </w:rPr>
        <w:t>them. Partnerships will need to be established with Auslan service </w:t>
      </w:r>
      <w:r>
        <w:rPr>
          <w:spacing w:val="-3"/>
          <w:sz w:val="20"/>
        </w:rPr>
        <w:t>providers </w:t>
      </w:r>
      <w:r>
        <w:rPr>
          <w:sz w:val="20"/>
        </w:rPr>
        <w:t>to ensure services</w:t>
      </w:r>
      <w:r>
        <w:rPr>
          <w:spacing w:val="-6"/>
          <w:sz w:val="20"/>
        </w:rPr>
        <w:t> </w:t>
      </w:r>
      <w:r>
        <w:rPr>
          <w:sz w:val="20"/>
        </w:rPr>
        <w:t>can</w:t>
      </w:r>
      <w:r>
        <w:rPr>
          <w:spacing w:val="-6"/>
          <w:sz w:val="20"/>
        </w:rPr>
        <w:t> </w:t>
      </w:r>
      <w:r>
        <w:rPr>
          <w:sz w:val="20"/>
        </w:rPr>
        <w:t>be</w:t>
      </w:r>
      <w:r>
        <w:rPr>
          <w:spacing w:val="-5"/>
          <w:sz w:val="20"/>
        </w:rPr>
        <w:t> </w:t>
      </w:r>
      <w:r>
        <w:rPr>
          <w:sz w:val="20"/>
        </w:rPr>
        <w:t>booked</w:t>
      </w:r>
      <w:r>
        <w:rPr>
          <w:spacing w:val="-6"/>
          <w:sz w:val="20"/>
        </w:rPr>
        <w:t> </w:t>
      </w:r>
      <w:r>
        <w:rPr>
          <w:spacing w:val="-4"/>
          <w:sz w:val="20"/>
        </w:rPr>
        <w:t>early.</w:t>
      </w:r>
      <w:r>
        <w:rPr>
          <w:spacing w:val="-6"/>
          <w:sz w:val="20"/>
        </w:rPr>
        <w:t> We</w:t>
      </w:r>
      <w:r>
        <w:rPr>
          <w:spacing w:val="-5"/>
          <w:sz w:val="20"/>
        </w:rPr>
        <w:t> </w:t>
      </w:r>
      <w:r>
        <w:rPr>
          <w:sz w:val="20"/>
        </w:rPr>
        <w:t>discuss</w:t>
      </w:r>
      <w:r>
        <w:rPr>
          <w:spacing w:val="-6"/>
          <w:sz w:val="20"/>
        </w:rPr>
        <w:t> </w:t>
      </w:r>
      <w:r>
        <w:rPr>
          <w:sz w:val="20"/>
        </w:rPr>
        <w:t>these</w:t>
      </w:r>
      <w:r>
        <w:rPr>
          <w:spacing w:val="-6"/>
          <w:sz w:val="20"/>
        </w:rPr>
        <w:t> </w:t>
      </w:r>
      <w:r>
        <w:rPr>
          <w:sz w:val="20"/>
        </w:rPr>
        <w:t>issues</w:t>
      </w:r>
      <w:r>
        <w:rPr>
          <w:spacing w:val="-5"/>
          <w:sz w:val="20"/>
        </w:rPr>
        <w:t> </w:t>
      </w:r>
      <w:r>
        <w:rPr>
          <w:sz w:val="20"/>
        </w:rPr>
        <w:t>further</w:t>
      </w:r>
      <w:r>
        <w:rPr>
          <w:spacing w:val="-6"/>
          <w:sz w:val="20"/>
        </w:rPr>
        <w:t> </w:t>
      </w:r>
      <w:r>
        <w:rPr>
          <w:sz w:val="20"/>
        </w:rPr>
        <w:t>in</w:t>
      </w:r>
      <w:r>
        <w:rPr>
          <w:spacing w:val="-6"/>
          <w:sz w:val="20"/>
        </w:rPr>
        <w:t> </w:t>
      </w:r>
      <w:r>
        <w:rPr>
          <w:spacing w:val="-2"/>
          <w:sz w:val="20"/>
        </w:rPr>
        <w:t>Chapter</w:t>
      </w:r>
      <w:r>
        <w:rPr>
          <w:spacing w:val="-5"/>
          <w:sz w:val="20"/>
        </w:rPr>
        <w:t> </w:t>
      </w:r>
      <w:r>
        <w:rPr>
          <w:spacing w:val="3"/>
          <w:sz w:val="20"/>
        </w:rPr>
        <w:t>14.</w:t>
      </w:r>
    </w:p>
    <w:p>
      <w:pPr>
        <w:pStyle w:val="ListParagraph"/>
        <w:numPr>
          <w:ilvl w:val="1"/>
          <w:numId w:val="12"/>
        </w:numPr>
        <w:tabs>
          <w:tab w:pos="1761" w:val="left" w:leader="none"/>
          <w:tab w:pos="1762" w:val="left" w:leader="none"/>
        </w:tabs>
        <w:spacing w:line="206" w:lineRule="auto" w:before="127" w:after="0"/>
        <w:ind w:left="1761" w:right="1501" w:hanging="794"/>
        <w:jc w:val="left"/>
        <w:rPr>
          <w:sz w:val="20"/>
        </w:rPr>
      </w:pPr>
      <w:r>
        <w:rPr>
          <w:sz w:val="20"/>
        </w:rPr>
        <w:t>Juries</w:t>
      </w:r>
      <w:r>
        <w:rPr>
          <w:spacing w:val="-10"/>
          <w:sz w:val="20"/>
        </w:rPr>
        <w:t> </w:t>
      </w:r>
      <w:r>
        <w:rPr>
          <w:sz w:val="20"/>
        </w:rPr>
        <w:t>Victoria</w:t>
      </w:r>
      <w:r>
        <w:rPr>
          <w:spacing w:val="-10"/>
          <w:sz w:val="20"/>
        </w:rPr>
        <w:t> </w:t>
      </w:r>
      <w:r>
        <w:rPr>
          <w:sz w:val="20"/>
        </w:rPr>
        <w:t>should</w:t>
      </w:r>
      <w:r>
        <w:rPr>
          <w:spacing w:val="-10"/>
          <w:sz w:val="20"/>
        </w:rPr>
        <w:t> </w:t>
      </w:r>
      <w:r>
        <w:rPr>
          <w:spacing w:val="-4"/>
          <w:sz w:val="20"/>
        </w:rPr>
        <w:t>cover</w:t>
      </w:r>
      <w:r>
        <w:rPr>
          <w:spacing w:val="-10"/>
          <w:sz w:val="20"/>
        </w:rPr>
        <w:t> </w:t>
      </w:r>
      <w:r>
        <w:rPr>
          <w:sz w:val="20"/>
        </w:rPr>
        <w:t>the</w:t>
      </w:r>
      <w:r>
        <w:rPr>
          <w:spacing w:val="-9"/>
          <w:sz w:val="20"/>
        </w:rPr>
        <w:t> </w:t>
      </w:r>
      <w:r>
        <w:rPr>
          <w:sz w:val="20"/>
        </w:rPr>
        <w:t>reasonable</w:t>
      </w:r>
      <w:r>
        <w:rPr>
          <w:spacing w:val="-10"/>
          <w:sz w:val="20"/>
        </w:rPr>
        <w:t> </w:t>
      </w:r>
      <w:r>
        <w:rPr>
          <w:sz w:val="20"/>
        </w:rPr>
        <w:t>costs</w:t>
      </w:r>
      <w:r>
        <w:rPr>
          <w:spacing w:val="-10"/>
          <w:sz w:val="20"/>
        </w:rPr>
        <w:t> </w:t>
      </w:r>
      <w:r>
        <w:rPr>
          <w:sz w:val="20"/>
        </w:rPr>
        <w:t>of</w:t>
      </w:r>
      <w:r>
        <w:rPr>
          <w:spacing w:val="-10"/>
          <w:sz w:val="20"/>
        </w:rPr>
        <w:t> </w:t>
      </w:r>
      <w:r>
        <w:rPr>
          <w:sz w:val="20"/>
        </w:rPr>
        <w:t>the</w:t>
      </w:r>
      <w:r>
        <w:rPr>
          <w:spacing w:val="-9"/>
          <w:sz w:val="20"/>
        </w:rPr>
        <w:t> </w:t>
      </w:r>
      <w:r>
        <w:rPr>
          <w:sz w:val="20"/>
        </w:rPr>
        <w:t>potential</w:t>
      </w:r>
      <w:r>
        <w:rPr>
          <w:spacing w:val="-10"/>
          <w:sz w:val="20"/>
        </w:rPr>
        <w:t> </w:t>
      </w:r>
      <w:r>
        <w:rPr>
          <w:spacing w:val="-3"/>
          <w:sz w:val="20"/>
        </w:rPr>
        <w:t>juror’s</w:t>
      </w:r>
      <w:r>
        <w:rPr>
          <w:spacing w:val="-10"/>
          <w:sz w:val="20"/>
        </w:rPr>
        <w:t> </w:t>
      </w:r>
      <w:r>
        <w:rPr>
          <w:spacing w:val="-3"/>
          <w:sz w:val="20"/>
        </w:rPr>
        <w:t>travel</w:t>
      </w:r>
      <w:r>
        <w:rPr>
          <w:spacing w:val="-10"/>
          <w:sz w:val="20"/>
        </w:rPr>
        <w:t> </w:t>
      </w:r>
      <w:r>
        <w:rPr>
          <w:sz w:val="20"/>
        </w:rPr>
        <w:t>to</w:t>
      </w:r>
      <w:r>
        <w:rPr>
          <w:spacing w:val="-10"/>
          <w:sz w:val="20"/>
        </w:rPr>
        <w:t> </w:t>
      </w:r>
      <w:r>
        <w:rPr>
          <w:sz w:val="20"/>
        </w:rPr>
        <w:t>and </w:t>
      </w:r>
      <w:r>
        <w:rPr>
          <w:spacing w:val="-3"/>
          <w:sz w:val="20"/>
        </w:rPr>
        <w:t>from</w:t>
      </w:r>
      <w:r>
        <w:rPr>
          <w:spacing w:val="-5"/>
          <w:sz w:val="20"/>
        </w:rPr>
        <w:t> </w:t>
      </w:r>
      <w:r>
        <w:rPr>
          <w:sz w:val="20"/>
        </w:rPr>
        <w:t>the</w:t>
      </w:r>
      <w:r>
        <w:rPr>
          <w:spacing w:val="-4"/>
          <w:sz w:val="20"/>
        </w:rPr>
        <w:t> </w:t>
      </w:r>
      <w:r>
        <w:rPr>
          <w:sz w:val="20"/>
        </w:rPr>
        <w:t>court</w:t>
      </w:r>
      <w:r>
        <w:rPr>
          <w:spacing w:val="-5"/>
          <w:sz w:val="20"/>
        </w:rPr>
        <w:t> </w:t>
      </w:r>
      <w:r>
        <w:rPr>
          <w:sz w:val="20"/>
        </w:rPr>
        <w:t>as</w:t>
      </w:r>
      <w:r>
        <w:rPr>
          <w:spacing w:val="-4"/>
          <w:sz w:val="20"/>
        </w:rPr>
        <w:t> </w:t>
      </w:r>
      <w:r>
        <w:rPr>
          <w:sz w:val="20"/>
        </w:rPr>
        <w:t>part</w:t>
      </w:r>
      <w:r>
        <w:rPr>
          <w:spacing w:val="-4"/>
          <w:sz w:val="20"/>
        </w:rPr>
        <w:t> </w:t>
      </w:r>
      <w:r>
        <w:rPr>
          <w:sz w:val="20"/>
        </w:rPr>
        <w:t>of</w:t>
      </w:r>
      <w:r>
        <w:rPr>
          <w:spacing w:val="-5"/>
          <w:sz w:val="20"/>
        </w:rPr>
        <w:t> </w:t>
      </w:r>
      <w:r>
        <w:rPr>
          <w:sz w:val="20"/>
        </w:rPr>
        <w:t>the</w:t>
      </w:r>
      <w:r>
        <w:rPr>
          <w:spacing w:val="-4"/>
          <w:sz w:val="20"/>
        </w:rPr>
        <w:t> </w:t>
      </w:r>
      <w:r>
        <w:rPr>
          <w:spacing w:val="-3"/>
          <w:sz w:val="20"/>
        </w:rPr>
        <w:t>provision</w:t>
      </w:r>
      <w:r>
        <w:rPr>
          <w:spacing w:val="-4"/>
          <w:sz w:val="20"/>
        </w:rPr>
        <w:t> </w:t>
      </w:r>
      <w:r>
        <w:rPr>
          <w:sz w:val="20"/>
        </w:rPr>
        <w:t>of</w:t>
      </w:r>
      <w:r>
        <w:rPr>
          <w:spacing w:val="-5"/>
          <w:sz w:val="20"/>
        </w:rPr>
        <w:t> </w:t>
      </w:r>
      <w:r>
        <w:rPr>
          <w:sz w:val="20"/>
        </w:rPr>
        <w:t>adjustments</w:t>
      </w:r>
      <w:r>
        <w:rPr>
          <w:spacing w:val="-4"/>
          <w:sz w:val="20"/>
        </w:rPr>
        <w:t> </w:t>
      </w:r>
      <w:r>
        <w:rPr>
          <w:sz w:val="20"/>
        </w:rPr>
        <w:t>if</w:t>
      </w:r>
      <w:r>
        <w:rPr>
          <w:spacing w:val="-4"/>
          <w:sz w:val="20"/>
        </w:rPr>
        <w:t> </w:t>
      </w:r>
      <w:r>
        <w:rPr>
          <w:sz w:val="20"/>
        </w:rPr>
        <w:t>needed.</w:t>
      </w:r>
    </w:p>
    <w:p>
      <w:pPr>
        <w:pStyle w:val="BodyText"/>
      </w:pPr>
    </w:p>
    <w:p>
      <w:pPr>
        <w:pStyle w:val="BodyText"/>
      </w:pPr>
    </w:p>
    <w:p>
      <w:pPr>
        <w:pStyle w:val="BodyText"/>
      </w:pPr>
    </w:p>
    <w:p>
      <w:pPr>
        <w:pStyle w:val="BodyText"/>
        <w:spacing w:before="13"/>
        <w:rPr>
          <w:sz w:val="12"/>
        </w:rPr>
      </w:pPr>
      <w:r>
        <w:rPr/>
        <w:pict>
          <v:line style="position:absolute;mso-position-horizontal-relative:page;mso-position-vertical-relative:paragraph;z-index:7496;mso-wrap-distance-left:0;mso-wrap-distance-right:0" from="79.370102pt,11.45540pt" to="515.905102pt,11.45540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87"/>
        </w:numPr>
        <w:tabs>
          <w:tab w:pos="1761" w:val="left" w:leader="none"/>
          <w:tab w:pos="1762" w:val="left" w:leader="none"/>
        </w:tabs>
        <w:spacing w:line="170" w:lineRule="exact" w:before="21" w:after="0"/>
        <w:ind w:left="1761" w:right="0" w:hanging="794"/>
        <w:jc w:val="left"/>
        <w:rPr>
          <w:sz w:val="13"/>
        </w:rPr>
      </w:pPr>
      <w:r>
        <w:rPr>
          <w:sz w:val="13"/>
        </w:rPr>
        <w:t>The</w:t>
      </w:r>
      <w:r>
        <w:rPr>
          <w:spacing w:val="6"/>
          <w:sz w:val="13"/>
        </w:rPr>
        <w:t> </w:t>
      </w:r>
      <w:r>
        <w:rPr>
          <w:sz w:val="13"/>
        </w:rPr>
        <w:t>OPP</w:t>
      </w:r>
      <w:r>
        <w:rPr>
          <w:spacing w:val="6"/>
          <w:sz w:val="13"/>
        </w:rPr>
        <w:t> </w:t>
      </w:r>
      <w:r>
        <w:rPr>
          <w:sz w:val="13"/>
        </w:rPr>
        <w:t>pays</w:t>
      </w:r>
      <w:r>
        <w:rPr>
          <w:spacing w:val="6"/>
          <w:sz w:val="13"/>
        </w:rPr>
        <w:t> </w:t>
      </w:r>
      <w:r>
        <w:rPr>
          <w:sz w:val="13"/>
        </w:rPr>
        <w:t>for</w:t>
      </w:r>
      <w:r>
        <w:rPr>
          <w:spacing w:val="6"/>
          <w:sz w:val="13"/>
        </w:rPr>
        <w:t> </w:t>
      </w:r>
      <w:r>
        <w:rPr>
          <w:spacing w:val="2"/>
          <w:sz w:val="13"/>
        </w:rPr>
        <w:t>adjustments,</w:t>
      </w:r>
      <w:r>
        <w:rPr>
          <w:spacing w:val="7"/>
          <w:sz w:val="13"/>
        </w:rPr>
        <w:t> </w:t>
      </w:r>
      <w:r>
        <w:rPr>
          <w:sz w:val="13"/>
        </w:rPr>
        <w:t>including</w:t>
      </w:r>
      <w:r>
        <w:rPr>
          <w:spacing w:val="6"/>
          <w:sz w:val="13"/>
        </w:rPr>
        <w:t> </w:t>
      </w:r>
      <w:r>
        <w:rPr>
          <w:sz w:val="13"/>
        </w:rPr>
        <w:t>interpreters</w:t>
      </w:r>
      <w:r>
        <w:rPr>
          <w:spacing w:val="6"/>
          <w:sz w:val="13"/>
        </w:rPr>
        <w:t> </w:t>
      </w:r>
      <w:r>
        <w:rPr>
          <w:sz w:val="13"/>
        </w:rPr>
        <w:t>for</w:t>
      </w:r>
      <w:r>
        <w:rPr>
          <w:spacing w:val="6"/>
          <w:sz w:val="13"/>
        </w:rPr>
        <w:t> </w:t>
      </w:r>
      <w:r>
        <w:rPr>
          <w:spacing w:val="2"/>
          <w:sz w:val="13"/>
        </w:rPr>
        <w:t>witnesses,</w:t>
      </w:r>
      <w:r>
        <w:rPr>
          <w:spacing w:val="6"/>
          <w:sz w:val="13"/>
        </w:rPr>
        <w:t> </w:t>
      </w:r>
      <w:r>
        <w:rPr>
          <w:sz w:val="13"/>
        </w:rPr>
        <w:t>victims,</w:t>
      </w:r>
      <w:r>
        <w:rPr>
          <w:spacing w:val="7"/>
          <w:sz w:val="13"/>
        </w:rPr>
        <w:t> </w:t>
      </w:r>
      <w:r>
        <w:rPr>
          <w:sz w:val="13"/>
        </w:rPr>
        <w:t>and</w:t>
      </w:r>
      <w:r>
        <w:rPr>
          <w:spacing w:val="6"/>
          <w:sz w:val="13"/>
        </w:rPr>
        <w:t> </w:t>
      </w:r>
      <w:r>
        <w:rPr>
          <w:sz w:val="13"/>
        </w:rPr>
        <w:t>for</w:t>
      </w:r>
      <w:r>
        <w:rPr>
          <w:spacing w:val="6"/>
          <w:sz w:val="13"/>
        </w:rPr>
        <w:t> </w:t>
      </w:r>
      <w:r>
        <w:rPr>
          <w:sz w:val="13"/>
        </w:rPr>
        <w:t>the</w:t>
      </w:r>
      <w:r>
        <w:rPr>
          <w:spacing w:val="6"/>
          <w:sz w:val="13"/>
        </w:rPr>
        <w:t> </w:t>
      </w:r>
      <w:r>
        <w:rPr>
          <w:sz w:val="13"/>
        </w:rPr>
        <w:t>accused,</w:t>
      </w:r>
      <w:r>
        <w:rPr>
          <w:spacing w:val="6"/>
          <w:sz w:val="13"/>
        </w:rPr>
        <w:t> </w:t>
      </w:r>
      <w:r>
        <w:rPr>
          <w:sz w:val="13"/>
        </w:rPr>
        <w:t>when</w:t>
      </w:r>
      <w:r>
        <w:rPr>
          <w:spacing w:val="7"/>
          <w:sz w:val="13"/>
        </w:rPr>
        <w:t> </w:t>
      </w:r>
      <w:r>
        <w:rPr>
          <w:sz w:val="13"/>
        </w:rPr>
        <w:t>requested</w:t>
      </w:r>
      <w:r>
        <w:rPr>
          <w:spacing w:val="6"/>
          <w:sz w:val="13"/>
        </w:rPr>
        <w:t> </w:t>
      </w:r>
      <w:r>
        <w:rPr>
          <w:sz w:val="13"/>
        </w:rPr>
        <w:t>by</w:t>
      </w:r>
      <w:r>
        <w:rPr>
          <w:spacing w:val="6"/>
          <w:sz w:val="13"/>
        </w:rPr>
        <w:t> </w:t>
      </w:r>
      <w:r>
        <w:rPr>
          <w:sz w:val="13"/>
        </w:rPr>
        <w:t>defence</w:t>
      </w:r>
    </w:p>
    <w:p>
      <w:pPr>
        <w:spacing w:line="160" w:lineRule="exact" w:before="0"/>
        <w:ind w:left="1761" w:right="0" w:firstLine="0"/>
        <w:jc w:val="left"/>
        <w:rPr>
          <w:sz w:val="13"/>
        </w:rPr>
      </w:pPr>
      <w:r>
        <w:rPr>
          <w:sz w:val="13"/>
        </w:rPr>
        <w:t>and supported by a reason. It also provides iPads in electronic trials: Consultation 16 (Office of Public Prosecutions Victoria).</w:t>
      </w:r>
    </w:p>
    <w:p>
      <w:pPr>
        <w:pStyle w:val="ListParagraph"/>
        <w:numPr>
          <w:ilvl w:val="0"/>
          <w:numId w:val="87"/>
        </w:numPr>
        <w:tabs>
          <w:tab w:pos="1761" w:val="left" w:leader="none"/>
          <w:tab w:pos="1762" w:val="left" w:leader="none"/>
        </w:tabs>
        <w:spacing w:line="213" w:lineRule="auto" w:before="7" w:after="0"/>
        <w:ind w:left="1761" w:right="0" w:hanging="794"/>
        <w:jc w:val="left"/>
        <w:rPr>
          <w:sz w:val="13"/>
        </w:rPr>
      </w:pPr>
      <w:r>
        <w:rPr>
          <w:sz w:val="13"/>
        </w:rPr>
        <w:t>The Supreme </w:t>
      </w:r>
      <w:r>
        <w:rPr>
          <w:spacing w:val="2"/>
          <w:sz w:val="13"/>
        </w:rPr>
        <w:t>Court </w:t>
      </w:r>
      <w:r>
        <w:rPr>
          <w:sz w:val="13"/>
        </w:rPr>
        <w:t>notes that it provides an accessible website, wayfinding systems, hearing loops, </w:t>
      </w:r>
      <w:r>
        <w:rPr>
          <w:spacing w:val="2"/>
          <w:sz w:val="13"/>
        </w:rPr>
        <w:t>portable headphones,    </w:t>
      </w:r>
      <w:r>
        <w:rPr>
          <w:sz w:val="13"/>
        </w:rPr>
        <w:t>and communication </w:t>
      </w:r>
      <w:r>
        <w:rPr>
          <w:spacing w:val="2"/>
          <w:sz w:val="13"/>
        </w:rPr>
        <w:t>assistance </w:t>
      </w:r>
      <w:r>
        <w:rPr>
          <w:sz w:val="13"/>
        </w:rPr>
        <w:t>in accessing registry </w:t>
      </w:r>
      <w:r>
        <w:rPr>
          <w:spacing w:val="2"/>
          <w:sz w:val="13"/>
        </w:rPr>
        <w:t>services: Submission </w:t>
      </w:r>
      <w:r>
        <w:rPr>
          <w:sz w:val="13"/>
        </w:rPr>
        <w:t>11 (Supreme </w:t>
      </w:r>
      <w:r>
        <w:rPr>
          <w:spacing w:val="2"/>
          <w:sz w:val="13"/>
        </w:rPr>
        <w:t>Court </w:t>
      </w:r>
      <w:r>
        <w:rPr>
          <w:sz w:val="13"/>
        </w:rPr>
        <w:t>of Victoria). The County </w:t>
      </w:r>
      <w:r>
        <w:rPr>
          <w:spacing w:val="2"/>
          <w:sz w:val="13"/>
        </w:rPr>
        <w:t>Court </w:t>
      </w:r>
      <w:r>
        <w:rPr>
          <w:sz w:val="13"/>
        </w:rPr>
        <w:t>notes that it has hearing loops in some courtrooms and </w:t>
      </w:r>
      <w:r>
        <w:rPr>
          <w:spacing w:val="2"/>
          <w:sz w:val="13"/>
        </w:rPr>
        <w:t>public </w:t>
      </w:r>
      <w:r>
        <w:rPr>
          <w:sz w:val="13"/>
        </w:rPr>
        <w:t>areas, but not in </w:t>
      </w:r>
      <w:r>
        <w:rPr>
          <w:spacing w:val="2"/>
          <w:sz w:val="13"/>
        </w:rPr>
        <w:t>jury </w:t>
      </w:r>
      <w:r>
        <w:rPr>
          <w:sz w:val="13"/>
        </w:rPr>
        <w:t>rooms. Headsets are available for use in all courtrooms if </w:t>
      </w:r>
      <w:r>
        <w:rPr>
          <w:spacing w:val="2"/>
          <w:sz w:val="13"/>
        </w:rPr>
        <w:t>arrangements </w:t>
      </w:r>
      <w:r>
        <w:rPr>
          <w:sz w:val="13"/>
        </w:rPr>
        <w:t>are made in advance: </w:t>
      </w:r>
      <w:r>
        <w:rPr>
          <w:spacing w:val="2"/>
          <w:sz w:val="13"/>
        </w:rPr>
        <w:t>Submission </w:t>
      </w:r>
      <w:r>
        <w:rPr>
          <w:spacing w:val="3"/>
          <w:sz w:val="13"/>
        </w:rPr>
        <w:t>14 </w:t>
      </w:r>
      <w:r>
        <w:rPr>
          <w:sz w:val="13"/>
        </w:rPr>
        <w:t>(County </w:t>
      </w:r>
      <w:r>
        <w:rPr>
          <w:spacing w:val="2"/>
          <w:sz w:val="13"/>
        </w:rPr>
        <w:t>Court </w:t>
      </w:r>
      <w:r>
        <w:rPr>
          <w:sz w:val="13"/>
        </w:rPr>
        <w:t>of</w:t>
      </w:r>
      <w:r>
        <w:rPr>
          <w:spacing w:val="3"/>
          <w:sz w:val="13"/>
        </w:rPr>
        <w:t> </w:t>
      </w:r>
      <w:r>
        <w:rPr>
          <w:sz w:val="13"/>
        </w:rPr>
        <w:t>Victoria).</w:t>
      </w:r>
    </w:p>
    <w:p>
      <w:pPr>
        <w:pStyle w:val="ListParagraph"/>
        <w:numPr>
          <w:ilvl w:val="0"/>
          <w:numId w:val="87"/>
        </w:numPr>
        <w:tabs>
          <w:tab w:pos="1761" w:val="left" w:leader="none"/>
          <w:tab w:pos="1762" w:val="left" w:leader="none"/>
        </w:tabs>
        <w:spacing w:line="151" w:lineRule="exact" w:before="0" w:after="0"/>
        <w:ind w:left="1761" w:right="0" w:hanging="794"/>
        <w:jc w:val="left"/>
        <w:rPr>
          <w:sz w:val="13"/>
        </w:rPr>
      </w:pPr>
      <w:r>
        <w:rPr>
          <w:spacing w:val="2"/>
          <w:sz w:val="13"/>
        </w:rPr>
        <w:t>Submission </w:t>
      </w:r>
      <w:r>
        <w:rPr>
          <w:sz w:val="13"/>
        </w:rPr>
        <w:t>11 (Supreme </w:t>
      </w:r>
      <w:r>
        <w:rPr>
          <w:spacing w:val="2"/>
          <w:sz w:val="13"/>
        </w:rPr>
        <w:t>Court </w:t>
      </w:r>
      <w:r>
        <w:rPr>
          <w:sz w:val="13"/>
        </w:rPr>
        <w:t>of</w:t>
      </w:r>
      <w:r>
        <w:rPr>
          <w:spacing w:val="-3"/>
          <w:sz w:val="13"/>
        </w:rPr>
        <w:t> </w:t>
      </w:r>
      <w:r>
        <w:rPr>
          <w:sz w:val="13"/>
        </w:rPr>
        <w:t>Victoria).</w:t>
      </w:r>
    </w:p>
    <w:p>
      <w:pPr>
        <w:pStyle w:val="ListParagraph"/>
        <w:numPr>
          <w:ilvl w:val="0"/>
          <w:numId w:val="87"/>
        </w:numPr>
        <w:tabs>
          <w:tab w:pos="1760" w:val="left" w:leader="none"/>
          <w:tab w:pos="1762" w:val="left" w:leader="none"/>
        </w:tabs>
        <w:spacing w:line="170" w:lineRule="exact" w:before="0" w:after="0"/>
        <w:ind w:left="1761" w:right="0" w:hanging="794"/>
        <w:jc w:val="left"/>
        <w:rPr>
          <w:sz w:val="13"/>
        </w:rPr>
      </w:pPr>
      <w:r>
        <w:rPr>
          <w:sz w:val="13"/>
        </w:rPr>
        <w:t>Consultation 10 </w:t>
      </w:r>
      <w:r>
        <w:rPr>
          <w:spacing w:val="2"/>
          <w:sz w:val="13"/>
        </w:rPr>
        <w:t>(Juries</w:t>
      </w:r>
      <w:r>
        <w:rPr>
          <w:sz w:val="13"/>
        </w:rPr>
        <w:t> Victoria).</w:t>
      </w:r>
    </w:p>
    <w:p>
      <w:pPr>
        <w:pStyle w:val="BodyText"/>
        <w:rPr>
          <w:sz w:val="28"/>
        </w:rPr>
      </w:pPr>
      <w:r>
        <w:rPr/>
        <w:br w:type="column"/>
      </w:r>
      <w:r>
        <w:rPr>
          <w:sz w:val="28"/>
        </w:rPr>
      </w:r>
    </w:p>
    <w:p>
      <w:pPr>
        <w:pStyle w:val="BodyText"/>
        <w:rPr>
          <w:sz w:val="28"/>
        </w:rPr>
      </w:pPr>
    </w:p>
    <w:p>
      <w:pPr>
        <w:spacing w:before="237"/>
        <w:ind w:left="747" w:right="0" w:firstLine="0"/>
        <w:jc w:val="left"/>
        <w:rPr>
          <w:b/>
          <w:sz w:val="24"/>
        </w:rPr>
      </w:pPr>
      <w:r>
        <w:rPr>
          <w:b/>
          <w:color w:val="37617A"/>
          <w:sz w:val="24"/>
        </w:rPr>
        <w:t>133</w:t>
      </w:r>
    </w:p>
    <w:p>
      <w:pPr>
        <w:spacing w:after="0"/>
        <w:jc w:val="left"/>
        <w:rPr>
          <w:sz w:val="24"/>
        </w:rPr>
        <w:sectPr>
          <w:type w:val="continuous"/>
          <w:pgSz w:w="11910" w:h="16840"/>
          <w:pgMar w:top="620" w:bottom="280" w:left="620" w:right="380"/>
          <w:cols w:num="2" w:equalWidth="0">
            <w:col w:w="9514" w:space="40"/>
            <w:col w:w="1356"/>
          </w:cols>
        </w:sectPr>
      </w:pPr>
    </w:p>
    <w:p>
      <w:pPr>
        <w:pStyle w:val="BodyText"/>
        <w:rPr>
          <w:b/>
        </w:rPr>
      </w:pPr>
    </w:p>
    <w:p>
      <w:pPr>
        <w:pStyle w:val="BodyText"/>
        <w:rPr>
          <w:b/>
        </w:rPr>
      </w:pPr>
    </w:p>
    <w:p>
      <w:pPr>
        <w:pStyle w:val="BodyText"/>
        <w:rPr>
          <w:b/>
        </w:rPr>
      </w:pPr>
    </w:p>
    <w:p>
      <w:pPr>
        <w:spacing w:before="220"/>
        <w:ind w:left="967" w:right="0" w:firstLine="0"/>
        <w:jc w:val="left"/>
        <w:rPr>
          <w:b/>
          <w:sz w:val="24"/>
        </w:rPr>
      </w:pPr>
      <w:bookmarkStart w:name="_bookmark98" w:id="236"/>
      <w:bookmarkEnd w:id="236"/>
      <w:r>
        <w:rPr/>
      </w:r>
      <w:r>
        <w:rPr>
          <w:b/>
          <w:sz w:val="24"/>
        </w:rPr>
        <w:t>The Juries Commissioner should make a recommendation to the court</w:t>
      </w:r>
    </w:p>
    <w:p>
      <w:pPr>
        <w:pStyle w:val="ListParagraph"/>
        <w:numPr>
          <w:ilvl w:val="1"/>
          <w:numId w:val="12"/>
        </w:numPr>
        <w:tabs>
          <w:tab w:pos="1761" w:val="left" w:leader="none"/>
          <w:tab w:pos="1762" w:val="left" w:leader="none"/>
        </w:tabs>
        <w:spacing w:line="206" w:lineRule="auto" w:before="127" w:after="0"/>
        <w:ind w:left="1761" w:right="1253" w:hanging="794"/>
        <w:jc w:val="left"/>
        <w:rPr>
          <w:sz w:val="20"/>
        </w:rPr>
      </w:pPr>
      <w:r>
        <w:rPr>
          <w:sz w:val="20"/>
        </w:rPr>
        <w:t>Consistent</w:t>
      </w:r>
      <w:r>
        <w:rPr>
          <w:spacing w:val="-11"/>
          <w:sz w:val="20"/>
        </w:rPr>
        <w:t> </w:t>
      </w:r>
      <w:r>
        <w:rPr>
          <w:sz w:val="20"/>
        </w:rPr>
        <w:t>with</w:t>
      </w:r>
      <w:r>
        <w:rPr>
          <w:spacing w:val="-11"/>
          <w:sz w:val="20"/>
        </w:rPr>
        <w:t> </w:t>
      </w:r>
      <w:r>
        <w:rPr>
          <w:sz w:val="20"/>
        </w:rPr>
        <w:t>the</w:t>
      </w:r>
      <w:r>
        <w:rPr>
          <w:spacing w:val="-11"/>
          <w:sz w:val="20"/>
        </w:rPr>
        <w:t> </w:t>
      </w:r>
      <w:r>
        <w:rPr>
          <w:sz w:val="20"/>
        </w:rPr>
        <w:t>approach</w:t>
      </w:r>
      <w:r>
        <w:rPr>
          <w:spacing w:val="-11"/>
          <w:sz w:val="20"/>
        </w:rPr>
        <w:t> </w:t>
      </w:r>
      <w:r>
        <w:rPr>
          <w:sz w:val="20"/>
        </w:rPr>
        <w:t>in</w:t>
      </w:r>
      <w:r>
        <w:rPr>
          <w:spacing w:val="-11"/>
          <w:sz w:val="20"/>
        </w:rPr>
        <w:t> </w:t>
      </w:r>
      <w:r>
        <w:rPr>
          <w:sz w:val="20"/>
        </w:rPr>
        <w:t>the</w:t>
      </w:r>
      <w:r>
        <w:rPr>
          <w:spacing w:val="-11"/>
          <w:sz w:val="20"/>
        </w:rPr>
        <w:t> </w:t>
      </w:r>
      <w:r>
        <w:rPr>
          <w:spacing w:val="-4"/>
          <w:sz w:val="20"/>
        </w:rPr>
        <w:t>ACT</w:t>
      </w:r>
      <w:r>
        <w:rPr>
          <w:spacing w:val="-11"/>
          <w:sz w:val="20"/>
        </w:rPr>
        <w:t> </w:t>
      </w:r>
      <w:r>
        <w:rPr>
          <w:sz w:val="20"/>
        </w:rPr>
        <w:t>and</w:t>
      </w:r>
      <w:r>
        <w:rPr>
          <w:spacing w:val="-11"/>
          <w:sz w:val="20"/>
        </w:rPr>
        <w:t> </w:t>
      </w:r>
      <w:r>
        <w:rPr>
          <w:sz w:val="20"/>
        </w:rPr>
        <w:t>England</w:t>
      </w:r>
      <w:r>
        <w:rPr>
          <w:spacing w:val="-11"/>
          <w:sz w:val="20"/>
        </w:rPr>
        <w:t> </w:t>
      </w:r>
      <w:r>
        <w:rPr>
          <w:sz w:val="20"/>
        </w:rPr>
        <w:t>and</w:t>
      </w:r>
      <w:r>
        <w:rPr>
          <w:spacing w:val="-11"/>
          <w:sz w:val="20"/>
        </w:rPr>
        <w:t> </w:t>
      </w:r>
      <w:r>
        <w:rPr>
          <w:spacing w:val="-3"/>
          <w:sz w:val="20"/>
        </w:rPr>
        <w:t>Wales,</w:t>
      </w:r>
      <w:r>
        <w:rPr>
          <w:spacing w:val="-11"/>
          <w:sz w:val="20"/>
        </w:rPr>
        <w:t> </w:t>
      </w:r>
      <w:r>
        <w:rPr>
          <w:sz w:val="20"/>
        </w:rPr>
        <w:t>Juries</w:t>
      </w:r>
      <w:r>
        <w:rPr>
          <w:spacing w:val="-11"/>
          <w:sz w:val="20"/>
        </w:rPr>
        <w:t> </w:t>
      </w:r>
      <w:r>
        <w:rPr>
          <w:sz w:val="20"/>
        </w:rPr>
        <w:t>Victoria</w:t>
      </w:r>
      <w:r>
        <w:rPr>
          <w:spacing w:val="-11"/>
          <w:sz w:val="20"/>
        </w:rPr>
        <w:t> </w:t>
      </w:r>
      <w:r>
        <w:rPr>
          <w:sz w:val="20"/>
        </w:rPr>
        <w:t>should conduct</w:t>
      </w:r>
      <w:r>
        <w:rPr>
          <w:spacing w:val="-12"/>
          <w:sz w:val="20"/>
        </w:rPr>
        <w:t> </w:t>
      </w:r>
      <w:r>
        <w:rPr>
          <w:sz w:val="20"/>
        </w:rPr>
        <w:t>a</w:t>
      </w:r>
      <w:r>
        <w:rPr>
          <w:spacing w:val="-11"/>
          <w:sz w:val="20"/>
        </w:rPr>
        <w:t> </w:t>
      </w:r>
      <w:r>
        <w:rPr>
          <w:sz w:val="20"/>
        </w:rPr>
        <w:t>preliminary</w:t>
      </w:r>
      <w:r>
        <w:rPr>
          <w:spacing w:val="-11"/>
          <w:sz w:val="20"/>
        </w:rPr>
        <w:t> </w:t>
      </w:r>
      <w:r>
        <w:rPr>
          <w:sz w:val="20"/>
        </w:rPr>
        <w:t>assessment</w:t>
      </w:r>
      <w:r>
        <w:rPr>
          <w:spacing w:val="-11"/>
          <w:sz w:val="20"/>
        </w:rPr>
        <w:t> </w:t>
      </w:r>
      <w:r>
        <w:rPr>
          <w:sz w:val="20"/>
        </w:rPr>
        <w:t>about</w:t>
      </w:r>
      <w:r>
        <w:rPr>
          <w:spacing w:val="-11"/>
          <w:sz w:val="20"/>
        </w:rPr>
        <w:t> </w:t>
      </w:r>
      <w:r>
        <w:rPr>
          <w:sz w:val="20"/>
        </w:rPr>
        <w:t>the</w:t>
      </w:r>
      <w:r>
        <w:rPr>
          <w:spacing w:val="-11"/>
          <w:sz w:val="20"/>
        </w:rPr>
        <w:t> </w:t>
      </w:r>
      <w:r>
        <w:rPr>
          <w:spacing w:val="-3"/>
          <w:sz w:val="20"/>
        </w:rPr>
        <w:t>provision</w:t>
      </w:r>
      <w:r>
        <w:rPr>
          <w:spacing w:val="-11"/>
          <w:sz w:val="20"/>
        </w:rPr>
        <w:t> </w:t>
      </w:r>
      <w:r>
        <w:rPr>
          <w:sz w:val="20"/>
        </w:rPr>
        <w:t>of</w:t>
      </w:r>
      <w:r>
        <w:rPr>
          <w:spacing w:val="-11"/>
          <w:sz w:val="20"/>
        </w:rPr>
        <w:t> </w:t>
      </w:r>
      <w:r>
        <w:rPr>
          <w:sz w:val="20"/>
        </w:rPr>
        <w:t>reasonable</w:t>
      </w:r>
      <w:r>
        <w:rPr>
          <w:spacing w:val="-11"/>
          <w:sz w:val="20"/>
        </w:rPr>
        <w:t> </w:t>
      </w:r>
      <w:r>
        <w:rPr>
          <w:sz w:val="20"/>
        </w:rPr>
        <w:t>adjustments.</w:t>
      </w:r>
      <w:r>
        <w:rPr>
          <w:spacing w:val="-11"/>
          <w:sz w:val="20"/>
        </w:rPr>
        <w:t> </w:t>
      </w:r>
      <w:r>
        <w:rPr>
          <w:sz w:val="20"/>
        </w:rPr>
        <w:t>This assessment should be conducted as soon as practicable in the pre-trial process, to ensure</w:t>
      </w:r>
      <w:r>
        <w:rPr>
          <w:spacing w:val="-7"/>
          <w:sz w:val="20"/>
        </w:rPr>
        <w:t> </w:t>
      </w:r>
      <w:r>
        <w:rPr>
          <w:sz w:val="20"/>
        </w:rPr>
        <w:t>that</w:t>
      </w:r>
      <w:r>
        <w:rPr>
          <w:spacing w:val="-7"/>
          <w:sz w:val="20"/>
        </w:rPr>
        <w:t> </w:t>
      </w:r>
      <w:r>
        <w:rPr>
          <w:sz w:val="20"/>
        </w:rPr>
        <w:t>no</w:t>
      </w:r>
      <w:r>
        <w:rPr>
          <w:spacing w:val="-6"/>
          <w:sz w:val="20"/>
        </w:rPr>
        <w:t> </w:t>
      </w:r>
      <w:r>
        <w:rPr>
          <w:sz w:val="20"/>
        </w:rPr>
        <w:t>practical</w:t>
      </w:r>
      <w:r>
        <w:rPr>
          <w:spacing w:val="-7"/>
          <w:sz w:val="20"/>
        </w:rPr>
        <w:t> </w:t>
      </w:r>
      <w:r>
        <w:rPr>
          <w:sz w:val="20"/>
        </w:rPr>
        <w:t>issues</w:t>
      </w:r>
      <w:r>
        <w:rPr>
          <w:spacing w:val="-6"/>
          <w:sz w:val="20"/>
        </w:rPr>
        <w:t> </w:t>
      </w:r>
      <w:r>
        <w:rPr>
          <w:sz w:val="20"/>
        </w:rPr>
        <w:t>arise</w:t>
      </w:r>
      <w:r>
        <w:rPr>
          <w:spacing w:val="-7"/>
          <w:sz w:val="20"/>
        </w:rPr>
        <w:t> </w:t>
      </w:r>
      <w:r>
        <w:rPr>
          <w:sz w:val="20"/>
        </w:rPr>
        <w:t>with</w:t>
      </w:r>
      <w:r>
        <w:rPr>
          <w:spacing w:val="-6"/>
          <w:sz w:val="20"/>
        </w:rPr>
        <w:t> </w:t>
      </w:r>
      <w:r>
        <w:rPr>
          <w:spacing w:val="-3"/>
          <w:sz w:val="20"/>
        </w:rPr>
        <w:t>providing</w:t>
      </w:r>
      <w:r>
        <w:rPr>
          <w:spacing w:val="-7"/>
          <w:sz w:val="20"/>
        </w:rPr>
        <w:t> </w:t>
      </w:r>
      <w:r>
        <w:rPr>
          <w:sz w:val="20"/>
        </w:rPr>
        <w:t>reasonable</w:t>
      </w:r>
      <w:r>
        <w:rPr>
          <w:spacing w:val="-6"/>
          <w:sz w:val="20"/>
        </w:rPr>
        <w:t> </w:t>
      </w:r>
      <w:r>
        <w:rPr>
          <w:sz w:val="20"/>
        </w:rPr>
        <w:t>adjustments.</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z w:val="20"/>
        </w:rPr>
        <w:t>The preliminary assessment should be guided </w:t>
      </w:r>
      <w:r>
        <w:rPr>
          <w:spacing w:val="-3"/>
          <w:sz w:val="20"/>
        </w:rPr>
        <w:t>by </w:t>
      </w:r>
      <w:r>
        <w:rPr>
          <w:sz w:val="20"/>
        </w:rPr>
        <w:t>information</w:t>
      </w:r>
      <w:r>
        <w:rPr>
          <w:spacing w:val="-37"/>
          <w:sz w:val="20"/>
        </w:rPr>
        <w:t> </w:t>
      </w:r>
      <w:r>
        <w:rPr>
          <w:spacing w:val="-3"/>
          <w:sz w:val="20"/>
        </w:rPr>
        <w:t>from:</w:t>
      </w:r>
    </w:p>
    <w:p>
      <w:pPr>
        <w:pStyle w:val="ListParagraph"/>
        <w:numPr>
          <w:ilvl w:val="2"/>
          <w:numId w:val="12"/>
        </w:numPr>
        <w:tabs>
          <w:tab w:pos="2157" w:val="left" w:leader="none"/>
          <w:tab w:pos="2158" w:val="left" w:leader="none"/>
        </w:tabs>
        <w:spacing w:line="240" w:lineRule="auto" w:before="82" w:after="0"/>
        <w:ind w:left="2157" w:right="0" w:hanging="396"/>
        <w:jc w:val="left"/>
        <w:rPr>
          <w:sz w:val="20"/>
        </w:rPr>
      </w:pPr>
      <w:r>
        <w:rPr>
          <w:sz w:val="20"/>
        </w:rPr>
        <w:t>the potential</w:t>
      </w:r>
      <w:r>
        <w:rPr>
          <w:spacing w:val="-9"/>
          <w:sz w:val="20"/>
        </w:rPr>
        <w:t> </w:t>
      </w:r>
      <w:r>
        <w:rPr>
          <w:sz w:val="20"/>
        </w:rPr>
        <w:t>juror</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a pre-court</w:t>
      </w:r>
      <w:r>
        <w:rPr>
          <w:spacing w:val="-9"/>
          <w:sz w:val="20"/>
        </w:rPr>
        <w:t> </w:t>
      </w:r>
      <w:r>
        <w:rPr>
          <w:sz w:val="20"/>
        </w:rPr>
        <w:t>visit</w:t>
      </w:r>
    </w:p>
    <w:p>
      <w:pPr>
        <w:pStyle w:val="ListParagraph"/>
        <w:numPr>
          <w:ilvl w:val="2"/>
          <w:numId w:val="12"/>
        </w:numPr>
        <w:tabs>
          <w:tab w:pos="2157" w:val="left" w:leader="none"/>
          <w:tab w:pos="2158" w:val="left" w:leader="none"/>
        </w:tabs>
        <w:spacing w:line="206" w:lineRule="auto" w:before="80" w:after="0"/>
        <w:ind w:left="2157" w:right="2092" w:hanging="396"/>
        <w:jc w:val="left"/>
        <w:rPr>
          <w:sz w:val="20"/>
        </w:rPr>
      </w:pPr>
      <w:r>
        <w:rPr>
          <w:sz w:val="20"/>
        </w:rPr>
        <w:t>the</w:t>
      </w:r>
      <w:r>
        <w:rPr>
          <w:spacing w:val="-11"/>
          <w:sz w:val="20"/>
        </w:rPr>
        <w:t> </w:t>
      </w:r>
      <w:r>
        <w:rPr>
          <w:sz w:val="20"/>
        </w:rPr>
        <w:t>decision-making</w:t>
      </w:r>
      <w:r>
        <w:rPr>
          <w:spacing w:val="-11"/>
          <w:sz w:val="20"/>
        </w:rPr>
        <w:t> </w:t>
      </w:r>
      <w:r>
        <w:rPr>
          <w:sz w:val="20"/>
        </w:rPr>
        <w:t>factors</w:t>
      </w:r>
      <w:r>
        <w:rPr>
          <w:spacing w:val="-11"/>
          <w:sz w:val="20"/>
        </w:rPr>
        <w:t> </w:t>
      </w:r>
      <w:r>
        <w:rPr>
          <w:sz w:val="20"/>
        </w:rPr>
        <w:t>set</w:t>
      </w:r>
      <w:r>
        <w:rPr>
          <w:spacing w:val="-11"/>
          <w:sz w:val="20"/>
        </w:rPr>
        <w:t> </w:t>
      </w:r>
      <w:r>
        <w:rPr>
          <w:sz w:val="20"/>
        </w:rPr>
        <w:t>out</w:t>
      </w:r>
      <w:r>
        <w:rPr>
          <w:spacing w:val="-10"/>
          <w:sz w:val="20"/>
        </w:rPr>
        <w:t> </w:t>
      </w:r>
      <w:r>
        <w:rPr>
          <w:sz w:val="20"/>
        </w:rPr>
        <w:t>in</w:t>
      </w:r>
      <w:r>
        <w:rPr>
          <w:spacing w:val="-11"/>
          <w:sz w:val="20"/>
        </w:rPr>
        <w:t> </w:t>
      </w:r>
      <w:r>
        <w:rPr>
          <w:sz w:val="20"/>
        </w:rPr>
        <w:t>the</w:t>
      </w:r>
      <w:r>
        <w:rPr>
          <w:spacing w:val="-11"/>
          <w:sz w:val="20"/>
        </w:rPr>
        <w:t> </w:t>
      </w:r>
      <w:r>
        <w:rPr>
          <w:sz w:val="20"/>
        </w:rPr>
        <w:t>new</w:t>
      </w:r>
      <w:r>
        <w:rPr>
          <w:spacing w:val="-11"/>
          <w:sz w:val="20"/>
        </w:rPr>
        <w:t> </w:t>
      </w:r>
      <w:r>
        <w:rPr>
          <w:sz w:val="20"/>
        </w:rPr>
        <w:t>obligation</w:t>
      </w:r>
      <w:r>
        <w:rPr>
          <w:spacing w:val="-10"/>
          <w:sz w:val="20"/>
        </w:rPr>
        <w:t> </w:t>
      </w:r>
      <w:r>
        <w:rPr>
          <w:sz w:val="20"/>
        </w:rPr>
        <w:t>in</w:t>
      </w:r>
      <w:r>
        <w:rPr>
          <w:spacing w:val="-11"/>
          <w:sz w:val="20"/>
        </w:rPr>
        <w:t> </w:t>
      </w:r>
      <w:r>
        <w:rPr>
          <w:sz w:val="20"/>
        </w:rPr>
        <w:t>the</w:t>
      </w:r>
      <w:r>
        <w:rPr>
          <w:spacing w:val="-11"/>
          <w:sz w:val="20"/>
        </w:rPr>
        <w:t> </w:t>
      </w:r>
      <w:r>
        <w:rPr>
          <w:sz w:val="20"/>
        </w:rPr>
        <w:t>Juries</w:t>
      </w:r>
      <w:r>
        <w:rPr>
          <w:spacing w:val="-11"/>
          <w:sz w:val="20"/>
        </w:rPr>
        <w:t> </w:t>
      </w:r>
      <w:r>
        <w:rPr>
          <w:spacing w:val="-2"/>
          <w:sz w:val="20"/>
        </w:rPr>
        <w:t>Act </w:t>
      </w:r>
      <w:r>
        <w:rPr>
          <w:sz w:val="20"/>
        </w:rPr>
        <w:t>(discussed in </w:t>
      </w:r>
      <w:r>
        <w:rPr>
          <w:spacing w:val="-2"/>
          <w:sz w:val="20"/>
        </w:rPr>
        <w:t>Chapter</w:t>
      </w:r>
      <w:r>
        <w:rPr>
          <w:spacing w:val="-13"/>
          <w:sz w:val="20"/>
        </w:rPr>
        <w:t> </w:t>
      </w:r>
      <w:r>
        <w:rPr>
          <w:sz w:val="20"/>
        </w:rPr>
        <w:t>11)</w:t>
      </w:r>
    </w:p>
    <w:p>
      <w:pPr>
        <w:pStyle w:val="ListParagraph"/>
        <w:numPr>
          <w:ilvl w:val="2"/>
          <w:numId w:val="12"/>
        </w:numPr>
        <w:tabs>
          <w:tab w:pos="2157" w:val="left" w:leader="none"/>
          <w:tab w:pos="2158" w:val="left" w:leader="none"/>
        </w:tabs>
        <w:spacing w:line="206" w:lineRule="auto" w:before="87" w:after="0"/>
        <w:ind w:left="2157" w:right="1324" w:hanging="396"/>
        <w:jc w:val="left"/>
        <w:rPr>
          <w:sz w:val="20"/>
        </w:rPr>
      </w:pPr>
      <w:r>
        <w:rPr>
          <w:sz w:val="20"/>
        </w:rPr>
        <w:t>information</w:t>
      </w:r>
      <w:r>
        <w:rPr>
          <w:spacing w:val="-14"/>
          <w:sz w:val="20"/>
        </w:rPr>
        <w:t> </w:t>
      </w:r>
      <w:r>
        <w:rPr>
          <w:spacing w:val="-3"/>
          <w:sz w:val="20"/>
        </w:rPr>
        <w:t>provided</w:t>
      </w:r>
      <w:r>
        <w:rPr>
          <w:spacing w:val="-14"/>
          <w:sz w:val="20"/>
        </w:rPr>
        <w:t> </w:t>
      </w:r>
      <w:r>
        <w:rPr>
          <w:spacing w:val="-3"/>
          <w:sz w:val="20"/>
        </w:rPr>
        <w:t>by</w:t>
      </w:r>
      <w:r>
        <w:rPr>
          <w:spacing w:val="-13"/>
          <w:sz w:val="20"/>
        </w:rPr>
        <w:t> </w:t>
      </w:r>
      <w:r>
        <w:rPr>
          <w:sz w:val="20"/>
        </w:rPr>
        <w:t>the</w:t>
      </w:r>
      <w:r>
        <w:rPr>
          <w:spacing w:val="-14"/>
          <w:sz w:val="20"/>
        </w:rPr>
        <w:t> </w:t>
      </w:r>
      <w:r>
        <w:rPr>
          <w:sz w:val="20"/>
        </w:rPr>
        <w:t>court</w:t>
      </w:r>
      <w:r>
        <w:rPr>
          <w:spacing w:val="-14"/>
          <w:sz w:val="20"/>
        </w:rPr>
        <w:t> </w:t>
      </w:r>
      <w:r>
        <w:rPr>
          <w:sz w:val="20"/>
        </w:rPr>
        <w:t>about</w:t>
      </w:r>
      <w:r>
        <w:rPr>
          <w:spacing w:val="-13"/>
          <w:sz w:val="20"/>
        </w:rPr>
        <w:t> </w:t>
      </w:r>
      <w:r>
        <w:rPr>
          <w:sz w:val="20"/>
        </w:rPr>
        <w:t>courtroom</w:t>
      </w:r>
      <w:r>
        <w:rPr>
          <w:spacing w:val="-14"/>
          <w:sz w:val="20"/>
        </w:rPr>
        <w:t> </w:t>
      </w:r>
      <w:r>
        <w:rPr>
          <w:sz w:val="20"/>
        </w:rPr>
        <w:t>organisation,</w:t>
      </w:r>
      <w:r>
        <w:rPr>
          <w:spacing w:val="-13"/>
          <w:sz w:val="20"/>
        </w:rPr>
        <w:t> </w:t>
      </w:r>
      <w:r>
        <w:rPr>
          <w:sz w:val="20"/>
        </w:rPr>
        <w:t>the</w:t>
      </w:r>
      <w:r>
        <w:rPr>
          <w:spacing w:val="-14"/>
          <w:sz w:val="20"/>
        </w:rPr>
        <w:t> </w:t>
      </w:r>
      <w:r>
        <w:rPr>
          <w:sz w:val="20"/>
        </w:rPr>
        <w:t>compatibility of technology and accessibility of</w:t>
      </w:r>
      <w:r>
        <w:rPr>
          <w:spacing w:val="-24"/>
          <w:sz w:val="20"/>
        </w:rPr>
        <w:t> </w:t>
      </w:r>
      <w:r>
        <w:rPr>
          <w:sz w:val="20"/>
        </w:rPr>
        <w:t>courtrooms</w:t>
      </w:r>
    </w:p>
    <w:p>
      <w:pPr>
        <w:pStyle w:val="ListParagraph"/>
        <w:numPr>
          <w:ilvl w:val="2"/>
          <w:numId w:val="12"/>
        </w:numPr>
        <w:tabs>
          <w:tab w:pos="2157" w:val="left" w:leader="none"/>
          <w:tab w:pos="2158" w:val="left" w:leader="none"/>
        </w:tabs>
        <w:spacing w:line="206" w:lineRule="auto" w:before="88" w:after="0"/>
        <w:ind w:left="2157" w:right="1299" w:hanging="396"/>
        <w:jc w:val="left"/>
        <w:rPr>
          <w:sz w:val="20"/>
        </w:rPr>
      </w:pPr>
      <w:r>
        <w:rPr>
          <w:sz w:val="20"/>
        </w:rPr>
        <w:t>preliminary </w:t>
      </w:r>
      <w:r>
        <w:rPr>
          <w:spacing w:val="-2"/>
          <w:sz w:val="20"/>
        </w:rPr>
        <w:t>conversations </w:t>
      </w:r>
      <w:r>
        <w:rPr>
          <w:sz w:val="20"/>
        </w:rPr>
        <w:t>with trial judges if the matter has been allocated (discussed</w:t>
      </w:r>
      <w:r>
        <w:rPr>
          <w:spacing w:val="-10"/>
          <w:sz w:val="20"/>
        </w:rPr>
        <w:t> </w:t>
      </w:r>
      <w:r>
        <w:rPr>
          <w:spacing w:val="-3"/>
          <w:sz w:val="20"/>
        </w:rPr>
        <w:t>below)</w:t>
      </w:r>
      <w:r>
        <w:rPr>
          <w:spacing w:val="-9"/>
          <w:sz w:val="20"/>
        </w:rPr>
        <w:t> </w:t>
      </w:r>
      <w:r>
        <w:rPr>
          <w:sz w:val="20"/>
        </w:rPr>
        <w:t>and</w:t>
      </w:r>
      <w:r>
        <w:rPr>
          <w:spacing w:val="-9"/>
          <w:sz w:val="20"/>
        </w:rPr>
        <w:t> </w:t>
      </w:r>
      <w:r>
        <w:rPr>
          <w:sz w:val="20"/>
        </w:rPr>
        <w:t>information</w:t>
      </w:r>
      <w:r>
        <w:rPr>
          <w:spacing w:val="-9"/>
          <w:sz w:val="20"/>
        </w:rPr>
        <w:t> </w:t>
      </w:r>
      <w:r>
        <w:rPr>
          <w:spacing w:val="-3"/>
          <w:sz w:val="20"/>
        </w:rPr>
        <w:t>provided</w:t>
      </w:r>
      <w:r>
        <w:rPr>
          <w:spacing w:val="-9"/>
          <w:sz w:val="20"/>
        </w:rPr>
        <w:t> </w:t>
      </w:r>
      <w:r>
        <w:rPr>
          <w:spacing w:val="-3"/>
          <w:sz w:val="20"/>
        </w:rPr>
        <w:t>by</w:t>
      </w:r>
      <w:r>
        <w:rPr>
          <w:spacing w:val="-9"/>
          <w:sz w:val="20"/>
        </w:rPr>
        <w:t> </w:t>
      </w:r>
      <w:r>
        <w:rPr>
          <w:sz w:val="20"/>
        </w:rPr>
        <w:t>the</w:t>
      </w:r>
      <w:r>
        <w:rPr>
          <w:spacing w:val="-9"/>
          <w:sz w:val="20"/>
        </w:rPr>
        <w:t> </w:t>
      </w:r>
      <w:r>
        <w:rPr>
          <w:sz w:val="20"/>
        </w:rPr>
        <w:t>court</w:t>
      </w:r>
      <w:r>
        <w:rPr>
          <w:spacing w:val="-9"/>
          <w:sz w:val="20"/>
        </w:rPr>
        <w:t> </w:t>
      </w:r>
      <w:r>
        <w:rPr>
          <w:sz w:val="20"/>
        </w:rPr>
        <w:t>when</w:t>
      </w:r>
      <w:r>
        <w:rPr>
          <w:spacing w:val="-9"/>
          <w:sz w:val="20"/>
        </w:rPr>
        <w:t> </w:t>
      </w:r>
      <w:r>
        <w:rPr>
          <w:sz w:val="20"/>
        </w:rPr>
        <w:t>it</w:t>
      </w:r>
      <w:r>
        <w:rPr>
          <w:spacing w:val="-9"/>
          <w:sz w:val="20"/>
        </w:rPr>
        <w:t> </w:t>
      </w:r>
      <w:r>
        <w:rPr>
          <w:sz w:val="20"/>
        </w:rPr>
        <w:t>requests</w:t>
      </w:r>
      <w:r>
        <w:rPr>
          <w:spacing w:val="-9"/>
          <w:sz w:val="20"/>
        </w:rPr>
        <w:t> </w:t>
      </w:r>
      <w:r>
        <w:rPr>
          <w:sz w:val="20"/>
        </w:rPr>
        <w:t>a</w:t>
      </w:r>
      <w:r>
        <w:rPr>
          <w:spacing w:val="-9"/>
          <w:sz w:val="20"/>
        </w:rPr>
        <w:t> </w:t>
      </w:r>
      <w:r>
        <w:rPr>
          <w:sz w:val="20"/>
        </w:rPr>
        <w:t>panel.</w:t>
      </w:r>
    </w:p>
    <w:p>
      <w:pPr>
        <w:pStyle w:val="ListParagraph"/>
        <w:numPr>
          <w:ilvl w:val="1"/>
          <w:numId w:val="12"/>
        </w:numPr>
        <w:tabs>
          <w:tab w:pos="1761" w:val="left" w:leader="none"/>
          <w:tab w:pos="1762" w:val="left" w:leader="none"/>
        </w:tabs>
        <w:spacing w:line="240" w:lineRule="auto" w:before="55" w:after="0"/>
        <w:ind w:left="1761" w:right="0" w:hanging="794"/>
        <w:jc w:val="left"/>
        <w:rPr>
          <w:sz w:val="20"/>
        </w:rPr>
      </w:pPr>
      <w:r>
        <w:rPr>
          <w:sz w:val="20"/>
        </w:rPr>
        <w:t>In</w:t>
      </w:r>
      <w:r>
        <w:rPr>
          <w:spacing w:val="-5"/>
          <w:sz w:val="20"/>
        </w:rPr>
        <w:t> </w:t>
      </w:r>
      <w:r>
        <w:rPr>
          <w:sz w:val="20"/>
        </w:rPr>
        <w:t>most</w:t>
      </w:r>
      <w:r>
        <w:rPr>
          <w:spacing w:val="-5"/>
          <w:sz w:val="20"/>
        </w:rPr>
        <w:t> </w:t>
      </w:r>
      <w:r>
        <w:rPr>
          <w:sz w:val="20"/>
        </w:rPr>
        <w:t>cases,</w:t>
      </w:r>
      <w:r>
        <w:rPr>
          <w:spacing w:val="-5"/>
          <w:sz w:val="20"/>
        </w:rPr>
        <w:t> </w:t>
      </w:r>
      <w:r>
        <w:rPr>
          <w:sz w:val="20"/>
        </w:rPr>
        <w:t>this</w:t>
      </w:r>
      <w:r>
        <w:rPr>
          <w:spacing w:val="-5"/>
          <w:sz w:val="20"/>
        </w:rPr>
        <w:t> </w:t>
      </w:r>
      <w:r>
        <w:rPr>
          <w:sz w:val="20"/>
        </w:rPr>
        <w:t>assessment</w:t>
      </w:r>
      <w:r>
        <w:rPr>
          <w:spacing w:val="-5"/>
          <w:sz w:val="20"/>
        </w:rPr>
        <w:t> </w:t>
      </w:r>
      <w:r>
        <w:rPr>
          <w:sz w:val="20"/>
        </w:rPr>
        <w:t>is</w:t>
      </w:r>
      <w:r>
        <w:rPr>
          <w:spacing w:val="-5"/>
          <w:sz w:val="20"/>
        </w:rPr>
        <w:t> </w:t>
      </w:r>
      <w:r>
        <w:rPr>
          <w:spacing w:val="-3"/>
          <w:sz w:val="20"/>
        </w:rPr>
        <w:t>likely</w:t>
      </w:r>
      <w:r>
        <w:rPr>
          <w:spacing w:val="-4"/>
          <w:sz w:val="20"/>
        </w:rPr>
        <w:t> </w:t>
      </w:r>
      <w:r>
        <w:rPr>
          <w:sz w:val="20"/>
        </w:rPr>
        <w:t>to</w:t>
      </w:r>
      <w:r>
        <w:rPr>
          <w:spacing w:val="-5"/>
          <w:sz w:val="20"/>
        </w:rPr>
        <w:t> </w:t>
      </w:r>
      <w:r>
        <w:rPr>
          <w:sz w:val="20"/>
        </w:rPr>
        <w:t>be</w:t>
      </w:r>
      <w:r>
        <w:rPr>
          <w:spacing w:val="-5"/>
          <w:sz w:val="20"/>
        </w:rPr>
        <w:t> </w:t>
      </w:r>
      <w:r>
        <w:rPr>
          <w:sz w:val="20"/>
        </w:rPr>
        <w:t>straightforward.</w:t>
      </w:r>
      <w:r>
        <w:rPr>
          <w:spacing w:val="-5"/>
          <w:sz w:val="20"/>
        </w:rPr>
        <w:t> </w:t>
      </w:r>
      <w:r>
        <w:rPr>
          <w:spacing w:val="-3"/>
          <w:sz w:val="20"/>
        </w:rPr>
        <w:t>For</w:t>
      </w:r>
      <w:r>
        <w:rPr>
          <w:spacing w:val="-5"/>
          <w:sz w:val="20"/>
        </w:rPr>
        <w:t> </w:t>
      </w:r>
      <w:r>
        <w:rPr>
          <w:spacing w:val="-3"/>
          <w:sz w:val="20"/>
        </w:rPr>
        <w:t>example:</w:t>
      </w:r>
    </w:p>
    <w:p>
      <w:pPr>
        <w:pStyle w:val="ListParagraph"/>
        <w:numPr>
          <w:ilvl w:val="2"/>
          <w:numId w:val="12"/>
        </w:numPr>
        <w:tabs>
          <w:tab w:pos="2157" w:val="left" w:leader="none"/>
          <w:tab w:pos="2158" w:val="left" w:leader="none"/>
        </w:tabs>
        <w:spacing w:line="240" w:lineRule="auto" w:before="82" w:after="0"/>
        <w:ind w:left="2157" w:right="0" w:hanging="396"/>
        <w:jc w:val="left"/>
        <w:rPr>
          <w:sz w:val="20"/>
        </w:rPr>
      </w:pPr>
      <w:r>
        <w:rPr>
          <w:sz w:val="20"/>
        </w:rPr>
        <w:t>Can a hearing loop be</w:t>
      </w:r>
      <w:r>
        <w:rPr>
          <w:spacing w:val="-21"/>
          <w:sz w:val="20"/>
        </w:rPr>
        <w:t> </w:t>
      </w:r>
      <w:r>
        <w:rPr>
          <w:spacing w:val="-3"/>
          <w:sz w:val="20"/>
        </w:rPr>
        <w:t>provided?</w:t>
      </w:r>
    </w:p>
    <w:p>
      <w:pPr>
        <w:pStyle w:val="ListParagraph"/>
        <w:numPr>
          <w:ilvl w:val="2"/>
          <w:numId w:val="12"/>
        </w:numPr>
        <w:tabs>
          <w:tab w:pos="2157" w:val="left" w:leader="none"/>
          <w:tab w:pos="2158" w:val="left" w:leader="none"/>
        </w:tabs>
        <w:spacing w:line="206" w:lineRule="auto" w:before="80" w:after="0"/>
        <w:ind w:left="2157" w:right="1450" w:hanging="396"/>
        <w:jc w:val="left"/>
        <w:rPr>
          <w:sz w:val="20"/>
        </w:rPr>
      </w:pPr>
      <w:r>
        <w:rPr>
          <w:sz w:val="20"/>
        </w:rPr>
        <w:t>Will</w:t>
      </w:r>
      <w:r>
        <w:rPr>
          <w:spacing w:val="-10"/>
          <w:sz w:val="20"/>
        </w:rPr>
        <w:t> </w:t>
      </w:r>
      <w:r>
        <w:rPr>
          <w:sz w:val="20"/>
        </w:rPr>
        <w:t>the</w:t>
      </w:r>
      <w:r>
        <w:rPr>
          <w:spacing w:val="-10"/>
          <w:sz w:val="20"/>
        </w:rPr>
        <w:t> </w:t>
      </w:r>
      <w:r>
        <w:rPr>
          <w:sz w:val="20"/>
        </w:rPr>
        <w:t>person</w:t>
      </w:r>
      <w:r>
        <w:rPr>
          <w:spacing w:val="-9"/>
          <w:sz w:val="20"/>
        </w:rPr>
        <w:t> </w:t>
      </w:r>
      <w:r>
        <w:rPr>
          <w:sz w:val="20"/>
        </w:rPr>
        <w:t>be</w:t>
      </w:r>
      <w:r>
        <w:rPr>
          <w:spacing w:val="-10"/>
          <w:sz w:val="20"/>
        </w:rPr>
        <w:t> </w:t>
      </w:r>
      <w:r>
        <w:rPr>
          <w:sz w:val="20"/>
        </w:rPr>
        <w:t>able</w:t>
      </w:r>
      <w:r>
        <w:rPr>
          <w:spacing w:val="-9"/>
          <w:sz w:val="20"/>
        </w:rPr>
        <w:t> </w:t>
      </w:r>
      <w:r>
        <w:rPr>
          <w:sz w:val="20"/>
        </w:rPr>
        <w:t>to</w:t>
      </w:r>
      <w:r>
        <w:rPr>
          <w:spacing w:val="-10"/>
          <w:sz w:val="20"/>
        </w:rPr>
        <w:t> </w:t>
      </w:r>
      <w:r>
        <w:rPr>
          <w:sz w:val="20"/>
        </w:rPr>
        <w:t>hear</w:t>
      </w:r>
      <w:r>
        <w:rPr>
          <w:spacing w:val="-9"/>
          <w:sz w:val="20"/>
        </w:rPr>
        <w:t> </w:t>
      </w:r>
      <w:r>
        <w:rPr>
          <w:sz w:val="20"/>
        </w:rPr>
        <w:t>in</w:t>
      </w:r>
      <w:r>
        <w:rPr>
          <w:spacing w:val="-10"/>
          <w:sz w:val="20"/>
        </w:rPr>
        <w:t> </w:t>
      </w:r>
      <w:r>
        <w:rPr>
          <w:sz w:val="20"/>
        </w:rPr>
        <w:t>the</w:t>
      </w:r>
      <w:r>
        <w:rPr>
          <w:spacing w:val="-10"/>
          <w:sz w:val="20"/>
        </w:rPr>
        <w:t> </w:t>
      </w:r>
      <w:r>
        <w:rPr>
          <w:sz w:val="20"/>
        </w:rPr>
        <w:t>jury</w:t>
      </w:r>
      <w:r>
        <w:rPr>
          <w:spacing w:val="-9"/>
          <w:sz w:val="20"/>
        </w:rPr>
        <w:t> </w:t>
      </w:r>
      <w:r>
        <w:rPr>
          <w:sz w:val="20"/>
        </w:rPr>
        <w:t>box</w:t>
      </w:r>
      <w:r>
        <w:rPr>
          <w:spacing w:val="-10"/>
          <w:sz w:val="20"/>
        </w:rPr>
        <w:t> </w:t>
      </w:r>
      <w:r>
        <w:rPr>
          <w:sz w:val="20"/>
        </w:rPr>
        <w:t>where</w:t>
      </w:r>
      <w:r>
        <w:rPr>
          <w:spacing w:val="-9"/>
          <w:sz w:val="20"/>
        </w:rPr>
        <w:t> </w:t>
      </w:r>
      <w:r>
        <w:rPr>
          <w:sz w:val="20"/>
        </w:rPr>
        <w:t>there</w:t>
      </w:r>
      <w:r>
        <w:rPr>
          <w:spacing w:val="-10"/>
          <w:sz w:val="20"/>
        </w:rPr>
        <w:t> </w:t>
      </w:r>
      <w:r>
        <w:rPr>
          <w:sz w:val="20"/>
        </w:rPr>
        <w:t>is</w:t>
      </w:r>
      <w:r>
        <w:rPr>
          <w:spacing w:val="-9"/>
          <w:sz w:val="20"/>
        </w:rPr>
        <w:t> </w:t>
      </w:r>
      <w:r>
        <w:rPr>
          <w:sz w:val="20"/>
        </w:rPr>
        <w:t>no</w:t>
      </w:r>
      <w:r>
        <w:rPr>
          <w:spacing w:val="-10"/>
          <w:sz w:val="20"/>
        </w:rPr>
        <w:t> </w:t>
      </w:r>
      <w:r>
        <w:rPr>
          <w:sz w:val="20"/>
        </w:rPr>
        <w:t>hearing</w:t>
      </w:r>
      <w:r>
        <w:rPr>
          <w:spacing w:val="-10"/>
          <w:sz w:val="20"/>
        </w:rPr>
        <w:t> </w:t>
      </w:r>
      <w:r>
        <w:rPr>
          <w:sz w:val="20"/>
        </w:rPr>
        <w:t>loop</w:t>
      </w:r>
      <w:r>
        <w:rPr>
          <w:spacing w:val="-9"/>
          <w:sz w:val="20"/>
        </w:rPr>
        <w:t> </w:t>
      </w:r>
      <w:r>
        <w:rPr>
          <w:sz w:val="20"/>
        </w:rPr>
        <w:t>but where jurors </w:t>
      </w:r>
      <w:r>
        <w:rPr>
          <w:spacing w:val="-3"/>
          <w:sz w:val="20"/>
        </w:rPr>
        <w:t>are </w:t>
      </w:r>
      <w:r>
        <w:rPr>
          <w:sz w:val="20"/>
        </w:rPr>
        <w:t>sitting in close</w:t>
      </w:r>
      <w:r>
        <w:rPr>
          <w:spacing w:val="-24"/>
          <w:sz w:val="20"/>
        </w:rPr>
        <w:t> </w:t>
      </w:r>
      <w:r>
        <w:rPr>
          <w:spacing w:val="-3"/>
          <w:sz w:val="20"/>
        </w:rPr>
        <w:t>proximity?</w:t>
      </w:r>
    </w:p>
    <w:p>
      <w:pPr>
        <w:pStyle w:val="ListParagraph"/>
        <w:numPr>
          <w:ilvl w:val="2"/>
          <w:numId w:val="12"/>
        </w:numPr>
        <w:tabs>
          <w:tab w:pos="2157" w:val="left" w:leader="none"/>
          <w:tab w:pos="2158" w:val="left" w:leader="none"/>
        </w:tabs>
        <w:spacing w:line="240" w:lineRule="auto" w:before="55" w:after="0"/>
        <w:ind w:left="2157" w:right="0" w:hanging="396"/>
        <w:jc w:val="left"/>
        <w:rPr>
          <w:sz w:val="20"/>
        </w:rPr>
      </w:pPr>
      <w:r>
        <w:rPr>
          <w:spacing w:val="-3"/>
          <w:sz w:val="20"/>
        </w:rPr>
        <w:t>Are </w:t>
      </w:r>
      <w:r>
        <w:rPr>
          <w:sz w:val="20"/>
        </w:rPr>
        <w:t>Auslan </w:t>
      </w:r>
      <w:r>
        <w:rPr>
          <w:spacing w:val="-3"/>
          <w:sz w:val="20"/>
        </w:rPr>
        <w:t>interpreters</w:t>
      </w:r>
      <w:r>
        <w:rPr>
          <w:spacing w:val="-9"/>
          <w:sz w:val="20"/>
        </w:rPr>
        <w:t> </w:t>
      </w:r>
      <w:r>
        <w:rPr>
          <w:spacing w:val="-3"/>
          <w:sz w:val="20"/>
        </w:rPr>
        <w:t>required?</w:t>
      </w:r>
    </w:p>
    <w:p>
      <w:pPr>
        <w:pStyle w:val="ListParagraph"/>
        <w:numPr>
          <w:ilvl w:val="2"/>
          <w:numId w:val="12"/>
        </w:numPr>
        <w:tabs>
          <w:tab w:pos="2157" w:val="left" w:leader="none"/>
          <w:tab w:pos="2158" w:val="left" w:leader="none"/>
        </w:tabs>
        <w:spacing w:line="259" w:lineRule="exact" w:before="48" w:after="0"/>
        <w:ind w:left="2157" w:right="0" w:hanging="396"/>
        <w:jc w:val="left"/>
        <w:rPr>
          <w:sz w:val="20"/>
        </w:rPr>
      </w:pPr>
      <w:r>
        <w:rPr>
          <w:sz w:val="20"/>
        </w:rPr>
        <w:t>Can</w:t>
      </w:r>
      <w:r>
        <w:rPr>
          <w:spacing w:val="-6"/>
          <w:sz w:val="20"/>
        </w:rPr>
        <w:t> </w:t>
      </w:r>
      <w:r>
        <w:rPr>
          <w:sz w:val="20"/>
        </w:rPr>
        <w:t>a</w:t>
      </w:r>
      <w:r>
        <w:rPr>
          <w:spacing w:val="-5"/>
          <w:sz w:val="20"/>
        </w:rPr>
        <w:t> </w:t>
      </w:r>
      <w:r>
        <w:rPr>
          <w:sz w:val="20"/>
        </w:rPr>
        <w:t>magnifier</w:t>
      </w:r>
      <w:r>
        <w:rPr>
          <w:spacing w:val="-5"/>
          <w:sz w:val="20"/>
        </w:rPr>
        <w:t> </w:t>
      </w:r>
      <w:r>
        <w:rPr>
          <w:sz w:val="20"/>
        </w:rPr>
        <w:t>be</w:t>
      </w:r>
      <w:r>
        <w:rPr>
          <w:spacing w:val="-5"/>
          <w:sz w:val="20"/>
        </w:rPr>
        <w:t> </w:t>
      </w:r>
      <w:r>
        <w:rPr>
          <w:spacing w:val="-3"/>
          <w:sz w:val="20"/>
        </w:rPr>
        <w:t>provided</w:t>
      </w:r>
      <w:r>
        <w:rPr>
          <w:spacing w:val="-6"/>
          <w:sz w:val="20"/>
        </w:rPr>
        <w:t> </w:t>
      </w:r>
      <w:r>
        <w:rPr>
          <w:sz w:val="20"/>
        </w:rPr>
        <w:t>or</w:t>
      </w:r>
      <w:r>
        <w:rPr>
          <w:spacing w:val="-5"/>
          <w:sz w:val="20"/>
        </w:rPr>
        <w:t> </w:t>
      </w:r>
      <w:r>
        <w:rPr>
          <w:sz w:val="20"/>
        </w:rPr>
        <w:t>is</w:t>
      </w:r>
      <w:r>
        <w:rPr>
          <w:spacing w:val="-5"/>
          <w:sz w:val="20"/>
        </w:rPr>
        <w:t> </w:t>
      </w:r>
      <w:r>
        <w:rPr>
          <w:sz w:val="20"/>
        </w:rPr>
        <w:t>it</w:t>
      </w:r>
      <w:r>
        <w:rPr>
          <w:spacing w:val="-5"/>
          <w:sz w:val="20"/>
        </w:rPr>
        <w:t> </w:t>
      </w:r>
      <w:r>
        <w:rPr>
          <w:sz w:val="20"/>
        </w:rPr>
        <w:t>possible</w:t>
      </w:r>
      <w:r>
        <w:rPr>
          <w:spacing w:val="-6"/>
          <w:sz w:val="20"/>
        </w:rPr>
        <w:t> </w:t>
      </w:r>
      <w:r>
        <w:rPr>
          <w:sz w:val="20"/>
        </w:rPr>
        <w:t>for</w:t>
      </w:r>
      <w:r>
        <w:rPr>
          <w:spacing w:val="-5"/>
          <w:sz w:val="20"/>
        </w:rPr>
        <w:t> </w:t>
      </w:r>
      <w:r>
        <w:rPr>
          <w:sz w:val="20"/>
        </w:rPr>
        <w:t>court</w:t>
      </w:r>
      <w:r>
        <w:rPr>
          <w:spacing w:val="-5"/>
          <w:sz w:val="20"/>
        </w:rPr>
        <w:t> </w:t>
      </w:r>
      <w:r>
        <w:rPr>
          <w:sz w:val="20"/>
        </w:rPr>
        <w:t>documents</w:t>
      </w:r>
      <w:r>
        <w:rPr>
          <w:spacing w:val="-5"/>
          <w:sz w:val="20"/>
        </w:rPr>
        <w:t> </w:t>
      </w:r>
      <w:r>
        <w:rPr>
          <w:sz w:val="20"/>
        </w:rPr>
        <w:t>to</w:t>
      </w:r>
      <w:r>
        <w:rPr>
          <w:spacing w:val="-6"/>
          <w:sz w:val="20"/>
        </w:rPr>
        <w:t> </w:t>
      </w:r>
      <w:r>
        <w:rPr>
          <w:sz w:val="20"/>
        </w:rPr>
        <w:t>be</w:t>
      </w:r>
      <w:r>
        <w:rPr>
          <w:spacing w:val="-5"/>
          <w:sz w:val="20"/>
        </w:rPr>
        <w:t> </w:t>
      </w:r>
      <w:r>
        <w:rPr>
          <w:spacing w:val="-3"/>
          <w:sz w:val="20"/>
        </w:rPr>
        <w:t>read</w:t>
      </w:r>
      <w:r>
        <w:rPr>
          <w:spacing w:val="-5"/>
          <w:sz w:val="20"/>
        </w:rPr>
        <w:t> </w:t>
      </w:r>
      <w:r>
        <w:rPr>
          <w:sz w:val="20"/>
        </w:rPr>
        <w:t>on</w:t>
      </w:r>
      <w:r>
        <w:rPr>
          <w:spacing w:val="-5"/>
          <w:sz w:val="20"/>
        </w:rPr>
        <w:t> </w:t>
      </w:r>
      <w:r>
        <w:rPr>
          <w:sz w:val="20"/>
        </w:rPr>
        <w:t>an</w:t>
      </w:r>
    </w:p>
    <w:p>
      <w:pPr>
        <w:pStyle w:val="BodyText"/>
        <w:spacing w:line="259" w:lineRule="exact"/>
        <w:ind w:left="2157"/>
      </w:pPr>
      <w:r>
        <w:rPr/>
        <w:t>iPad at closer proximity?</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What other adjustments might the person</w:t>
      </w:r>
      <w:r>
        <w:rPr>
          <w:spacing w:val="-28"/>
          <w:sz w:val="20"/>
        </w:rPr>
        <w:t> </w:t>
      </w:r>
      <w:r>
        <w:rPr>
          <w:sz w:val="20"/>
        </w:rPr>
        <w:t>need?</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Is</w:t>
      </w:r>
      <w:r>
        <w:rPr>
          <w:spacing w:val="-6"/>
          <w:sz w:val="20"/>
        </w:rPr>
        <w:t> </w:t>
      </w:r>
      <w:r>
        <w:rPr>
          <w:sz w:val="20"/>
        </w:rPr>
        <w:t>it</w:t>
      </w:r>
      <w:r>
        <w:rPr>
          <w:spacing w:val="-5"/>
          <w:sz w:val="20"/>
        </w:rPr>
        <w:t> </w:t>
      </w:r>
      <w:r>
        <w:rPr>
          <w:sz w:val="20"/>
        </w:rPr>
        <w:t>possible</w:t>
      </w:r>
      <w:r>
        <w:rPr>
          <w:spacing w:val="-6"/>
          <w:sz w:val="20"/>
        </w:rPr>
        <w:t> </w:t>
      </w:r>
      <w:r>
        <w:rPr>
          <w:sz w:val="20"/>
        </w:rPr>
        <w:t>and</w:t>
      </w:r>
      <w:r>
        <w:rPr>
          <w:spacing w:val="-5"/>
          <w:sz w:val="20"/>
        </w:rPr>
        <w:t> </w:t>
      </w:r>
      <w:r>
        <w:rPr>
          <w:sz w:val="20"/>
        </w:rPr>
        <w:t>reasonable</w:t>
      </w:r>
      <w:r>
        <w:rPr>
          <w:spacing w:val="-5"/>
          <w:sz w:val="20"/>
        </w:rPr>
        <w:t> </w:t>
      </w:r>
      <w:r>
        <w:rPr>
          <w:sz w:val="20"/>
        </w:rPr>
        <w:t>for</w:t>
      </w:r>
      <w:r>
        <w:rPr>
          <w:spacing w:val="-6"/>
          <w:sz w:val="20"/>
        </w:rPr>
        <w:t> </w:t>
      </w:r>
      <w:r>
        <w:rPr>
          <w:sz w:val="20"/>
        </w:rPr>
        <w:t>the</w:t>
      </w:r>
      <w:r>
        <w:rPr>
          <w:spacing w:val="-5"/>
          <w:sz w:val="20"/>
        </w:rPr>
        <w:t> </w:t>
      </w:r>
      <w:r>
        <w:rPr>
          <w:sz w:val="20"/>
        </w:rPr>
        <w:t>court</w:t>
      </w:r>
      <w:r>
        <w:rPr>
          <w:spacing w:val="-5"/>
          <w:sz w:val="20"/>
        </w:rPr>
        <w:t> </w:t>
      </w:r>
      <w:r>
        <w:rPr>
          <w:sz w:val="20"/>
        </w:rPr>
        <w:t>to</w:t>
      </w:r>
      <w:r>
        <w:rPr>
          <w:spacing w:val="-6"/>
          <w:sz w:val="20"/>
        </w:rPr>
        <w:t> </w:t>
      </w:r>
      <w:r>
        <w:rPr>
          <w:spacing w:val="-3"/>
          <w:sz w:val="20"/>
        </w:rPr>
        <w:t>provide</w:t>
      </w:r>
      <w:r>
        <w:rPr>
          <w:spacing w:val="-5"/>
          <w:sz w:val="20"/>
        </w:rPr>
        <w:t> </w:t>
      </w:r>
      <w:r>
        <w:rPr>
          <w:sz w:val="20"/>
        </w:rPr>
        <w:t>those</w:t>
      </w:r>
      <w:r>
        <w:rPr>
          <w:spacing w:val="-5"/>
          <w:sz w:val="20"/>
        </w:rPr>
        <w:t> </w:t>
      </w:r>
      <w:r>
        <w:rPr>
          <w:sz w:val="20"/>
        </w:rPr>
        <w:t>adjustments?</w:t>
      </w:r>
    </w:p>
    <w:p>
      <w:pPr>
        <w:pStyle w:val="ListParagraph"/>
        <w:numPr>
          <w:ilvl w:val="1"/>
          <w:numId w:val="12"/>
        </w:numPr>
        <w:tabs>
          <w:tab w:pos="1761" w:val="left" w:leader="none"/>
          <w:tab w:pos="1762" w:val="left" w:leader="none"/>
        </w:tabs>
        <w:spacing w:line="206" w:lineRule="auto" w:before="79" w:after="0"/>
        <w:ind w:left="1761" w:right="1439" w:hanging="794"/>
        <w:jc w:val="left"/>
        <w:rPr>
          <w:sz w:val="20"/>
        </w:rPr>
      </w:pPr>
      <w:r>
        <w:rPr>
          <w:sz w:val="20"/>
        </w:rPr>
        <w:t>If</w:t>
      </w:r>
      <w:r>
        <w:rPr>
          <w:spacing w:val="-14"/>
          <w:sz w:val="20"/>
        </w:rPr>
        <w:t> </w:t>
      </w:r>
      <w:r>
        <w:rPr>
          <w:sz w:val="20"/>
        </w:rPr>
        <w:t>the</w:t>
      </w:r>
      <w:r>
        <w:rPr>
          <w:spacing w:val="-14"/>
          <w:sz w:val="20"/>
        </w:rPr>
        <w:t> </w:t>
      </w:r>
      <w:r>
        <w:rPr>
          <w:sz w:val="20"/>
        </w:rPr>
        <w:t>recommendation</w:t>
      </w:r>
      <w:r>
        <w:rPr>
          <w:spacing w:val="-14"/>
          <w:sz w:val="20"/>
        </w:rPr>
        <w:t> </w:t>
      </w:r>
      <w:r>
        <w:rPr>
          <w:sz w:val="20"/>
        </w:rPr>
        <w:t>is</w:t>
      </w:r>
      <w:r>
        <w:rPr>
          <w:spacing w:val="-14"/>
          <w:sz w:val="20"/>
        </w:rPr>
        <w:t> </w:t>
      </w:r>
      <w:r>
        <w:rPr>
          <w:sz w:val="20"/>
        </w:rPr>
        <w:t>that</w:t>
      </w:r>
      <w:r>
        <w:rPr>
          <w:spacing w:val="-14"/>
          <w:sz w:val="20"/>
        </w:rPr>
        <w:t> </w:t>
      </w:r>
      <w:r>
        <w:rPr>
          <w:sz w:val="20"/>
        </w:rPr>
        <w:t>adjustments</w:t>
      </w:r>
      <w:r>
        <w:rPr>
          <w:spacing w:val="-14"/>
          <w:sz w:val="20"/>
        </w:rPr>
        <w:t> </w:t>
      </w:r>
      <w:r>
        <w:rPr>
          <w:sz w:val="20"/>
        </w:rPr>
        <w:t>should</w:t>
      </w:r>
      <w:r>
        <w:rPr>
          <w:spacing w:val="-13"/>
          <w:sz w:val="20"/>
        </w:rPr>
        <w:t> </w:t>
      </w:r>
      <w:r>
        <w:rPr>
          <w:sz w:val="20"/>
        </w:rPr>
        <w:t>be</w:t>
      </w:r>
      <w:r>
        <w:rPr>
          <w:spacing w:val="-14"/>
          <w:sz w:val="20"/>
        </w:rPr>
        <w:t> </w:t>
      </w:r>
      <w:r>
        <w:rPr>
          <w:sz w:val="20"/>
        </w:rPr>
        <w:t>provided,</w:t>
      </w:r>
      <w:r>
        <w:rPr>
          <w:spacing w:val="-14"/>
          <w:sz w:val="20"/>
        </w:rPr>
        <w:t> </w:t>
      </w:r>
      <w:r>
        <w:rPr>
          <w:sz w:val="20"/>
        </w:rPr>
        <w:t>Juries</w:t>
      </w:r>
      <w:r>
        <w:rPr>
          <w:spacing w:val="-14"/>
          <w:sz w:val="20"/>
        </w:rPr>
        <w:t> </w:t>
      </w:r>
      <w:r>
        <w:rPr>
          <w:sz w:val="20"/>
        </w:rPr>
        <w:t>Victoria</w:t>
      </w:r>
      <w:r>
        <w:rPr>
          <w:spacing w:val="-14"/>
          <w:sz w:val="20"/>
        </w:rPr>
        <w:t> </w:t>
      </w:r>
      <w:r>
        <w:rPr>
          <w:sz w:val="20"/>
        </w:rPr>
        <w:t>should book them in for the selection process and enquire about their availability for trial should the person be selected as a</w:t>
      </w:r>
      <w:r>
        <w:rPr>
          <w:spacing w:val="-31"/>
          <w:sz w:val="20"/>
        </w:rPr>
        <w:t> </w:t>
      </w:r>
      <w:r>
        <w:rPr>
          <w:spacing w:val="-4"/>
          <w:sz w:val="20"/>
        </w:rPr>
        <w:t>juror.</w:t>
      </w:r>
    </w:p>
    <w:p>
      <w:pPr>
        <w:pStyle w:val="ListParagraph"/>
        <w:numPr>
          <w:ilvl w:val="1"/>
          <w:numId w:val="12"/>
        </w:numPr>
        <w:tabs>
          <w:tab w:pos="1761" w:val="left" w:leader="none"/>
          <w:tab w:pos="1762" w:val="left" w:leader="none"/>
        </w:tabs>
        <w:spacing w:line="206" w:lineRule="auto" w:before="124" w:after="0"/>
        <w:ind w:left="1761" w:right="1550" w:hanging="794"/>
        <w:jc w:val="left"/>
        <w:rPr>
          <w:sz w:val="20"/>
        </w:rPr>
      </w:pPr>
      <w:r>
        <w:rPr>
          <w:sz w:val="20"/>
        </w:rPr>
        <w:t>A</w:t>
      </w:r>
      <w:r>
        <w:rPr>
          <w:spacing w:val="-14"/>
          <w:sz w:val="20"/>
        </w:rPr>
        <w:t> </w:t>
      </w:r>
      <w:r>
        <w:rPr>
          <w:sz w:val="20"/>
        </w:rPr>
        <w:t>template</w:t>
      </w:r>
      <w:r>
        <w:rPr>
          <w:spacing w:val="-13"/>
          <w:sz w:val="20"/>
        </w:rPr>
        <w:t> </w:t>
      </w:r>
      <w:r>
        <w:rPr>
          <w:sz w:val="20"/>
        </w:rPr>
        <w:t>form</w:t>
      </w:r>
      <w:r>
        <w:rPr>
          <w:spacing w:val="-14"/>
          <w:sz w:val="20"/>
        </w:rPr>
        <w:t> </w:t>
      </w:r>
      <w:r>
        <w:rPr>
          <w:sz w:val="20"/>
        </w:rPr>
        <w:t>for</w:t>
      </w:r>
      <w:r>
        <w:rPr>
          <w:spacing w:val="-13"/>
          <w:sz w:val="20"/>
        </w:rPr>
        <w:t> </w:t>
      </w:r>
      <w:r>
        <w:rPr>
          <w:sz w:val="20"/>
        </w:rPr>
        <w:t>the</w:t>
      </w:r>
      <w:r>
        <w:rPr>
          <w:spacing w:val="-14"/>
          <w:sz w:val="20"/>
        </w:rPr>
        <w:t> </w:t>
      </w:r>
      <w:r>
        <w:rPr>
          <w:sz w:val="20"/>
        </w:rPr>
        <w:t>Juries</w:t>
      </w:r>
      <w:r>
        <w:rPr>
          <w:spacing w:val="-13"/>
          <w:sz w:val="20"/>
        </w:rPr>
        <w:t> </w:t>
      </w:r>
      <w:r>
        <w:rPr>
          <w:sz w:val="20"/>
        </w:rPr>
        <w:t>Commissioner’s</w:t>
      </w:r>
      <w:r>
        <w:rPr>
          <w:spacing w:val="-14"/>
          <w:sz w:val="20"/>
        </w:rPr>
        <w:t> </w:t>
      </w:r>
      <w:r>
        <w:rPr>
          <w:sz w:val="20"/>
        </w:rPr>
        <w:t>recommendation</w:t>
      </w:r>
      <w:r>
        <w:rPr>
          <w:spacing w:val="-13"/>
          <w:sz w:val="20"/>
        </w:rPr>
        <w:t> </w:t>
      </w:r>
      <w:r>
        <w:rPr>
          <w:sz w:val="20"/>
        </w:rPr>
        <w:t>should</w:t>
      </w:r>
      <w:r>
        <w:rPr>
          <w:spacing w:val="-14"/>
          <w:sz w:val="20"/>
        </w:rPr>
        <w:t> </w:t>
      </w:r>
      <w:r>
        <w:rPr>
          <w:sz w:val="20"/>
        </w:rPr>
        <w:t>be</w:t>
      </w:r>
      <w:r>
        <w:rPr>
          <w:spacing w:val="-13"/>
          <w:sz w:val="20"/>
        </w:rPr>
        <w:t> </w:t>
      </w:r>
      <w:r>
        <w:rPr>
          <w:sz w:val="20"/>
        </w:rPr>
        <w:t>created. This</w:t>
      </w:r>
      <w:r>
        <w:rPr>
          <w:spacing w:val="-6"/>
          <w:sz w:val="20"/>
        </w:rPr>
        <w:t> </w:t>
      </w:r>
      <w:r>
        <w:rPr>
          <w:sz w:val="20"/>
        </w:rPr>
        <w:t>could</w:t>
      </w:r>
      <w:r>
        <w:rPr>
          <w:spacing w:val="-5"/>
          <w:sz w:val="20"/>
        </w:rPr>
        <w:t> </w:t>
      </w:r>
      <w:r>
        <w:rPr>
          <w:sz w:val="20"/>
        </w:rPr>
        <w:t>be</w:t>
      </w:r>
      <w:r>
        <w:rPr>
          <w:spacing w:val="-5"/>
          <w:sz w:val="20"/>
        </w:rPr>
        <w:t> </w:t>
      </w:r>
      <w:r>
        <w:rPr>
          <w:sz w:val="20"/>
        </w:rPr>
        <w:t>modelled</w:t>
      </w:r>
      <w:r>
        <w:rPr>
          <w:spacing w:val="-5"/>
          <w:sz w:val="20"/>
        </w:rPr>
        <w:t> </w:t>
      </w:r>
      <w:r>
        <w:rPr>
          <w:sz w:val="20"/>
        </w:rPr>
        <w:t>on</w:t>
      </w:r>
      <w:r>
        <w:rPr>
          <w:spacing w:val="-5"/>
          <w:sz w:val="20"/>
        </w:rPr>
        <w:t> </w:t>
      </w:r>
      <w:r>
        <w:rPr>
          <w:sz w:val="20"/>
        </w:rPr>
        <w:t>the</w:t>
      </w:r>
      <w:r>
        <w:rPr>
          <w:spacing w:val="-5"/>
          <w:sz w:val="20"/>
        </w:rPr>
        <w:t> </w:t>
      </w:r>
      <w:r>
        <w:rPr>
          <w:spacing w:val="-4"/>
          <w:sz w:val="20"/>
        </w:rPr>
        <w:t>ACT</w:t>
      </w:r>
      <w:r>
        <w:rPr>
          <w:spacing w:val="-5"/>
          <w:sz w:val="20"/>
        </w:rPr>
        <w:t> </w:t>
      </w:r>
      <w:r>
        <w:rPr>
          <w:sz w:val="20"/>
        </w:rPr>
        <w:t>form,</w:t>
      </w:r>
      <w:r>
        <w:rPr>
          <w:spacing w:val="-5"/>
          <w:sz w:val="20"/>
        </w:rPr>
        <w:t> </w:t>
      </w:r>
      <w:r>
        <w:rPr>
          <w:sz w:val="20"/>
        </w:rPr>
        <w:t>which</w:t>
      </w:r>
      <w:r>
        <w:rPr>
          <w:spacing w:val="-5"/>
          <w:sz w:val="20"/>
        </w:rPr>
        <w:t> </w:t>
      </w:r>
      <w:r>
        <w:rPr>
          <w:sz w:val="20"/>
        </w:rPr>
        <w:t>outlines:</w:t>
      </w:r>
    </w:p>
    <w:p>
      <w:pPr>
        <w:pStyle w:val="ListParagraph"/>
        <w:numPr>
          <w:ilvl w:val="2"/>
          <w:numId w:val="12"/>
        </w:numPr>
        <w:tabs>
          <w:tab w:pos="2157" w:val="left" w:leader="none"/>
          <w:tab w:pos="2158" w:val="left" w:leader="none"/>
        </w:tabs>
        <w:spacing w:line="240" w:lineRule="auto" w:before="91" w:after="0"/>
        <w:ind w:left="2157" w:right="0" w:hanging="396"/>
        <w:jc w:val="left"/>
        <w:rPr>
          <w:sz w:val="20"/>
        </w:rPr>
      </w:pPr>
      <w:r>
        <w:rPr>
          <w:sz w:val="20"/>
        </w:rPr>
        <w:t>pool </w:t>
      </w:r>
      <w:r>
        <w:rPr>
          <w:spacing w:val="-3"/>
          <w:sz w:val="20"/>
        </w:rPr>
        <w:t>number, member, </w:t>
      </w:r>
      <w:r>
        <w:rPr>
          <w:sz w:val="20"/>
        </w:rPr>
        <w:t>pool</w:t>
      </w:r>
      <w:r>
        <w:rPr>
          <w:spacing w:val="-11"/>
          <w:sz w:val="20"/>
        </w:rPr>
        <w:t> </w:t>
      </w:r>
      <w:r>
        <w:rPr>
          <w:sz w:val="20"/>
        </w:rPr>
        <w:t>period</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trials during pool</w:t>
      </w:r>
      <w:r>
        <w:rPr>
          <w:spacing w:val="-13"/>
          <w:sz w:val="20"/>
        </w:rPr>
        <w:t> </w:t>
      </w:r>
      <w:r>
        <w:rPr>
          <w:sz w:val="20"/>
        </w:rPr>
        <w:t>period</w:t>
      </w:r>
    </w:p>
    <w:p>
      <w:pPr>
        <w:pStyle w:val="ListParagraph"/>
        <w:numPr>
          <w:ilvl w:val="2"/>
          <w:numId w:val="12"/>
        </w:numPr>
        <w:tabs>
          <w:tab w:pos="2157" w:val="left" w:leader="none"/>
          <w:tab w:pos="2158" w:val="left" w:leader="none"/>
        </w:tabs>
        <w:spacing w:line="206" w:lineRule="auto" w:before="80" w:after="0"/>
        <w:ind w:left="2157" w:right="1839" w:hanging="396"/>
        <w:jc w:val="left"/>
        <w:rPr>
          <w:sz w:val="20"/>
        </w:rPr>
      </w:pPr>
      <w:r>
        <w:rPr>
          <w:sz w:val="20"/>
        </w:rPr>
        <w:t>information</w:t>
      </w:r>
      <w:r>
        <w:rPr>
          <w:spacing w:val="-14"/>
          <w:sz w:val="20"/>
        </w:rPr>
        <w:t> </w:t>
      </w:r>
      <w:r>
        <w:rPr>
          <w:sz w:val="20"/>
        </w:rPr>
        <w:t>regarding</w:t>
      </w:r>
      <w:r>
        <w:rPr>
          <w:spacing w:val="-14"/>
          <w:sz w:val="20"/>
        </w:rPr>
        <w:t> </w:t>
      </w:r>
      <w:r>
        <w:rPr>
          <w:sz w:val="20"/>
        </w:rPr>
        <w:t>adjustment</w:t>
      </w:r>
      <w:r>
        <w:rPr>
          <w:spacing w:val="-14"/>
          <w:sz w:val="20"/>
        </w:rPr>
        <w:t> </w:t>
      </w:r>
      <w:r>
        <w:rPr>
          <w:sz w:val="20"/>
        </w:rPr>
        <w:t>required</w:t>
      </w:r>
      <w:r>
        <w:rPr>
          <w:spacing w:val="-13"/>
          <w:sz w:val="20"/>
        </w:rPr>
        <w:t> </w:t>
      </w:r>
      <w:r>
        <w:rPr>
          <w:spacing w:val="-3"/>
          <w:sz w:val="20"/>
        </w:rPr>
        <w:t>(for</w:t>
      </w:r>
      <w:r>
        <w:rPr>
          <w:spacing w:val="-14"/>
          <w:sz w:val="20"/>
        </w:rPr>
        <w:t> </w:t>
      </w:r>
      <w:r>
        <w:rPr>
          <w:spacing w:val="-3"/>
          <w:sz w:val="20"/>
        </w:rPr>
        <w:t>example,</w:t>
      </w:r>
      <w:r>
        <w:rPr>
          <w:spacing w:val="-14"/>
          <w:sz w:val="20"/>
        </w:rPr>
        <w:t> </w:t>
      </w:r>
      <w:r>
        <w:rPr>
          <w:sz w:val="20"/>
        </w:rPr>
        <w:t>Auslan</w:t>
      </w:r>
      <w:r>
        <w:rPr>
          <w:spacing w:val="-14"/>
          <w:sz w:val="20"/>
        </w:rPr>
        <w:t> </w:t>
      </w:r>
      <w:r>
        <w:rPr>
          <w:spacing w:val="-3"/>
          <w:sz w:val="20"/>
        </w:rPr>
        <w:t>interpreters, </w:t>
      </w:r>
      <w:r>
        <w:rPr>
          <w:sz w:val="20"/>
        </w:rPr>
        <w:t>assistance animal, disability</w:t>
      </w:r>
      <w:r>
        <w:rPr>
          <w:spacing w:val="-14"/>
          <w:sz w:val="20"/>
        </w:rPr>
        <w:t> </w:t>
      </w:r>
      <w:r>
        <w:rPr>
          <w:sz w:val="20"/>
        </w:rPr>
        <w:t>aid)</w:t>
      </w:r>
    </w:p>
    <w:p>
      <w:pPr>
        <w:pStyle w:val="ListParagraph"/>
        <w:numPr>
          <w:ilvl w:val="2"/>
          <w:numId w:val="12"/>
        </w:numPr>
        <w:tabs>
          <w:tab w:pos="2157" w:val="left" w:leader="none"/>
          <w:tab w:pos="2158" w:val="left" w:leader="none"/>
        </w:tabs>
        <w:spacing w:line="240" w:lineRule="auto" w:before="55" w:after="0"/>
        <w:ind w:left="2157" w:right="0" w:hanging="396"/>
        <w:jc w:val="left"/>
        <w:rPr>
          <w:sz w:val="20"/>
        </w:rPr>
      </w:pPr>
      <w:r>
        <w:rPr>
          <w:sz w:val="20"/>
        </w:rPr>
        <w:t>factors</w:t>
      </w:r>
      <w:r>
        <w:rPr>
          <w:spacing w:val="-5"/>
          <w:sz w:val="20"/>
        </w:rPr>
        <w:t> </w:t>
      </w:r>
      <w:r>
        <w:rPr>
          <w:sz w:val="20"/>
        </w:rPr>
        <w:t>considered</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anticipated</w:t>
      </w:r>
      <w:r>
        <w:rPr>
          <w:spacing w:val="-5"/>
          <w:sz w:val="20"/>
        </w:rPr>
        <w:t> </w:t>
      </w:r>
      <w:r>
        <w:rPr>
          <w:sz w:val="20"/>
        </w:rPr>
        <w:t>costs</w:t>
      </w:r>
    </w:p>
    <w:p>
      <w:pPr>
        <w:pStyle w:val="ListParagraph"/>
        <w:numPr>
          <w:ilvl w:val="2"/>
          <w:numId w:val="12"/>
        </w:numPr>
        <w:tabs>
          <w:tab w:pos="2157" w:val="left" w:leader="none"/>
          <w:tab w:pos="2158" w:val="left" w:leader="none"/>
        </w:tabs>
        <w:spacing w:line="240" w:lineRule="auto" w:before="48" w:after="0"/>
        <w:ind w:left="2157" w:right="0" w:hanging="396"/>
        <w:jc w:val="left"/>
        <w:rPr>
          <w:sz w:val="11"/>
        </w:rPr>
      </w:pPr>
      <w:r>
        <w:rPr>
          <w:sz w:val="20"/>
        </w:rPr>
        <w:t>recommendation.</w:t>
      </w:r>
      <w:r>
        <w:rPr>
          <w:position w:val="7"/>
          <w:sz w:val="11"/>
        </w:rPr>
        <w:t>67</w:t>
      </w:r>
    </w:p>
    <w:p>
      <w:pPr>
        <w:pStyle w:val="Heading6"/>
        <w:spacing w:line="235" w:lineRule="auto" w:before="89"/>
        <w:ind w:right="1610"/>
        <w:rPr>
          <w:b/>
        </w:rPr>
      </w:pPr>
      <w:r>
        <w:rPr>
          <w:b/>
        </w:rPr>
        <w:t>Juries Victoria could contact judges’ chambers for further information about the trial</w:t>
      </w:r>
    </w:p>
    <w:p>
      <w:pPr>
        <w:pStyle w:val="ListParagraph"/>
        <w:numPr>
          <w:ilvl w:val="1"/>
          <w:numId w:val="12"/>
        </w:numPr>
        <w:tabs>
          <w:tab w:pos="1761" w:val="left" w:leader="none"/>
          <w:tab w:pos="1762" w:val="left" w:leader="none"/>
        </w:tabs>
        <w:spacing w:line="206" w:lineRule="auto" w:before="134" w:after="0"/>
        <w:ind w:left="1761" w:right="1256" w:hanging="794"/>
        <w:jc w:val="left"/>
        <w:rPr>
          <w:sz w:val="20"/>
        </w:rPr>
      </w:pPr>
      <w:r>
        <w:rPr>
          <w:spacing w:val="-10"/>
          <w:sz w:val="20"/>
        </w:rPr>
        <w:t>To </w:t>
      </w:r>
      <w:r>
        <w:rPr>
          <w:sz w:val="20"/>
        </w:rPr>
        <w:t>assist the Juries Commissioner to </w:t>
      </w:r>
      <w:r>
        <w:rPr>
          <w:spacing w:val="-3"/>
          <w:sz w:val="20"/>
        </w:rPr>
        <w:t>make </w:t>
      </w:r>
      <w:r>
        <w:rPr>
          <w:sz w:val="20"/>
        </w:rPr>
        <w:t>a recommendation, in the weeks leading up</w:t>
      </w:r>
      <w:r>
        <w:rPr>
          <w:spacing w:val="-12"/>
          <w:sz w:val="20"/>
        </w:rPr>
        <w:t> </w:t>
      </w:r>
      <w:r>
        <w:rPr>
          <w:sz w:val="20"/>
        </w:rPr>
        <w:t>to</w:t>
      </w:r>
      <w:r>
        <w:rPr>
          <w:spacing w:val="-11"/>
          <w:sz w:val="20"/>
        </w:rPr>
        <w:t> </w:t>
      </w:r>
      <w:r>
        <w:rPr>
          <w:sz w:val="20"/>
        </w:rPr>
        <w:t>trial</w:t>
      </w:r>
      <w:r>
        <w:rPr>
          <w:spacing w:val="-11"/>
          <w:sz w:val="20"/>
        </w:rPr>
        <w:t> </w:t>
      </w:r>
      <w:r>
        <w:rPr>
          <w:sz w:val="20"/>
        </w:rPr>
        <w:t>Juries</w:t>
      </w:r>
      <w:r>
        <w:rPr>
          <w:spacing w:val="-11"/>
          <w:sz w:val="20"/>
        </w:rPr>
        <w:t> </w:t>
      </w:r>
      <w:r>
        <w:rPr>
          <w:sz w:val="20"/>
        </w:rPr>
        <w:t>Victoria</w:t>
      </w:r>
      <w:r>
        <w:rPr>
          <w:spacing w:val="-11"/>
          <w:sz w:val="20"/>
        </w:rPr>
        <w:t> </w:t>
      </w:r>
      <w:r>
        <w:rPr>
          <w:sz w:val="20"/>
        </w:rPr>
        <w:t>could</w:t>
      </w:r>
      <w:r>
        <w:rPr>
          <w:spacing w:val="-11"/>
          <w:sz w:val="20"/>
        </w:rPr>
        <w:t> </w:t>
      </w:r>
      <w:r>
        <w:rPr>
          <w:sz w:val="20"/>
        </w:rPr>
        <w:t>inform</w:t>
      </w:r>
      <w:r>
        <w:rPr>
          <w:spacing w:val="-11"/>
          <w:sz w:val="20"/>
        </w:rPr>
        <w:t> </w:t>
      </w:r>
      <w:r>
        <w:rPr>
          <w:sz w:val="20"/>
        </w:rPr>
        <w:t>the</w:t>
      </w:r>
      <w:r>
        <w:rPr>
          <w:spacing w:val="-11"/>
          <w:sz w:val="20"/>
        </w:rPr>
        <w:t> </w:t>
      </w:r>
      <w:r>
        <w:rPr>
          <w:sz w:val="20"/>
        </w:rPr>
        <w:t>group</w:t>
      </w:r>
      <w:r>
        <w:rPr>
          <w:spacing w:val="-11"/>
          <w:sz w:val="20"/>
        </w:rPr>
        <w:t> </w:t>
      </w:r>
      <w:r>
        <w:rPr>
          <w:sz w:val="20"/>
        </w:rPr>
        <w:t>of</w:t>
      </w:r>
      <w:r>
        <w:rPr>
          <w:spacing w:val="-11"/>
          <w:sz w:val="20"/>
        </w:rPr>
        <w:t> </w:t>
      </w:r>
      <w:r>
        <w:rPr>
          <w:spacing w:val="-3"/>
          <w:sz w:val="20"/>
        </w:rPr>
        <w:t>relevant</w:t>
      </w:r>
      <w:r>
        <w:rPr>
          <w:spacing w:val="-11"/>
          <w:sz w:val="20"/>
        </w:rPr>
        <w:t> </w:t>
      </w:r>
      <w:r>
        <w:rPr>
          <w:sz w:val="20"/>
        </w:rPr>
        <w:t>trial</w:t>
      </w:r>
      <w:r>
        <w:rPr>
          <w:spacing w:val="-11"/>
          <w:sz w:val="20"/>
        </w:rPr>
        <w:t> </w:t>
      </w:r>
      <w:r>
        <w:rPr>
          <w:sz w:val="20"/>
        </w:rPr>
        <w:t>judges,</w:t>
      </w:r>
      <w:r>
        <w:rPr>
          <w:spacing w:val="-11"/>
          <w:sz w:val="20"/>
        </w:rPr>
        <w:t> </w:t>
      </w:r>
      <w:r>
        <w:rPr>
          <w:sz w:val="20"/>
        </w:rPr>
        <w:t>through</w:t>
      </w:r>
      <w:r>
        <w:rPr>
          <w:spacing w:val="-11"/>
          <w:sz w:val="20"/>
        </w:rPr>
        <w:t> </w:t>
      </w:r>
      <w:r>
        <w:rPr>
          <w:spacing w:val="-3"/>
          <w:sz w:val="20"/>
        </w:rPr>
        <w:t>judge’s </w:t>
      </w:r>
      <w:r>
        <w:rPr>
          <w:sz w:val="20"/>
        </w:rPr>
        <w:t>chambers, that there is a person in the pool who is </w:t>
      </w:r>
      <w:r>
        <w:rPr>
          <w:spacing w:val="-3"/>
          <w:sz w:val="20"/>
        </w:rPr>
        <w:t>from </w:t>
      </w:r>
      <w:r>
        <w:rPr>
          <w:sz w:val="20"/>
        </w:rPr>
        <w:t>the subject groups. It could notify</w:t>
      </w:r>
      <w:r>
        <w:rPr>
          <w:spacing w:val="-11"/>
          <w:sz w:val="20"/>
        </w:rPr>
        <w:t> </w:t>
      </w:r>
      <w:r>
        <w:rPr>
          <w:sz w:val="20"/>
        </w:rPr>
        <w:t>the</w:t>
      </w:r>
      <w:r>
        <w:rPr>
          <w:spacing w:val="-10"/>
          <w:sz w:val="20"/>
        </w:rPr>
        <w:t> </w:t>
      </w:r>
      <w:r>
        <w:rPr>
          <w:sz w:val="20"/>
        </w:rPr>
        <w:t>judges</w:t>
      </w:r>
      <w:r>
        <w:rPr>
          <w:spacing w:val="-11"/>
          <w:sz w:val="20"/>
        </w:rPr>
        <w:t> </w:t>
      </w:r>
      <w:r>
        <w:rPr>
          <w:sz w:val="20"/>
        </w:rPr>
        <w:t>of</w:t>
      </w:r>
      <w:r>
        <w:rPr>
          <w:spacing w:val="-10"/>
          <w:sz w:val="20"/>
        </w:rPr>
        <w:t> </w:t>
      </w:r>
      <w:r>
        <w:rPr>
          <w:sz w:val="20"/>
        </w:rPr>
        <w:t>the</w:t>
      </w:r>
      <w:r>
        <w:rPr>
          <w:spacing w:val="-11"/>
          <w:sz w:val="20"/>
        </w:rPr>
        <w:t> </w:t>
      </w:r>
      <w:r>
        <w:rPr>
          <w:sz w:val="20"/>
        </w:rPr>
        <w:t>adjustments</w:t>
      </w:r>
      <w:r>
        <w:rPr>
          <w:spacing w:val="-10"/>
          <w:sz w:val="20"/>
        </w:rPr>
        <w:t> </w:t>
      </w:r>
      <w:r>
        <w:rPr>
          <w:sz w:val="20"/>
        </w:rPr>
        <w:t>the</w:t>
      </w:r>
      <w:r>
        <w:rPr>
          <w:spacing w:val="-11"/>
          <w:sz w:val="20"/>
        </w:rPr>
        <w:t> </w:t>
      </w:r>
      <w:r>
        <w:rPr>
          <w:sz w:val="20"/>
        </w:rPr>
        <w:t>potential</w:t>
      </w:r>
      <w:r>
        <w:rPr>
          <w:spacing w:val="-10"/>
          <w:sz w:val="20"/>
        </w:rPr>
        <w:t> </w:t>
      </w:r>
      <w:r>
        <w:rPr>
          <w:sz w:val="20"/>
        </w:rPr>
        <w:t>juror</w:t>
      </w:r>
      <w:r>
        <w:rPr>
          <w:spacing w:val="-11"/>
          <w:sz w:val="20"/>
        </w:rPr>
        <w:t> </w:t>
      </w:r>
      <w:r>
        <w:rPr>
          <w:sz w:val="20"/>
        </w:rPr>
        <w:t>will</w:t>
      </w:r>
      <w:r>
        <w:rPr>
          <w:spacing w:val="-10"/>
          <w:sz w:val="20"/>
        </w:rPr>
        <w:t> </w:t>
      </w:r>
      <w:r>
        <w:rPr>
          <w:sz w:val="20"/>
        </w:rPr>
        <w:t>need.</w:t>
      </w:r>
      <w:r>
        <w:rPr>
          <w:spacing w:val="-11"/>
          <w:sz w:val="20"/>
        </w:rPr>
        <w:t> </w:t>
      </w:r>
      <w:r>
        <w:rPr>
          <w:sz w:val="20"/>
        </w:rPr>
        <w:t>Juries</w:t>
      </w:r>
      <w:r>
        <w:rPr>
          <w:spacing w:val="-10"/>
          <w:sz w:val="20"/>
        </w:rPr>
        <w:t> </w:t>
      </w:r>
      <w:r>
        <w:rPr>
          <w:sz w:val="20"/>
        </w:rPr>
        <w:t>Victoria</w:t>
      </w:r>
      <w:r>
        <w:rPr>
          <w:spacing w:val="-11"/>
          <w:sz w:val="20"/>
        </w:rPr>
        <w:t> </w:t>
      </w:r>
      <w:r>
        <w:rPr>
          <w:sz w:val="20"/>
        </w:rPr>
        <w:t>could</w:t>
      </w:r>
    </w:p>
    <w:p>
      <w:pPr>
        <w:pStyle w:val="BodyText"/>
        <w:spacing w:line="206" w:lineRule="auto" w:before="5"/>
        <w:ind w:left="1761"/>
      </w:pPr>
      <w:r>
        <w:rPr/>
        <w:t>ask</w:t>
      </w:r>
      <w:r>
        <w:rPr>
          <w:spacing w:val="-12"/>
        </w:rPr>
        <w:t> </w:t>
      </w:r>
      <w:r>
        <w:rPr/>
        <w:t>trial</w:t>
      </w:r>
      <w:r>
        <w:rPr>
          <w:spacing w:val="-11"/>
        </w:rPr>
        <w:t> </w:t>
      </w:r>
      <w:r>
        <w:rPr/>
        <w:t>judges</w:t>
      </w:r>
      <w:r>
        <w:rPr>
          <w:spacing w:val="-11"/>
        </w:rPr>
        <w:t> </w:t>
      </w:r>
      <w:r>
        <w:rPr/>
        <w:t>for</w:t>
      </w:r>
      <w:r>
        <w:rPr>
          <w:spacing w:val="-11"/>
        </w:rPr>
        <w:t> </w:t>
      </w:r>
      <w:r>
        <w:rPr/>
        <w:t>additional</w:t>
      </w:r>
      <w:r>
        <w:rPr>
          <w:spacing w:val="-11"/>
        </w:rPr>
        <w:t> </w:t>
      </w:r>
      <w:r>
        <w:rPr/>
        <w:t>information</w:t>
      </w:r>
      <w:r>
        <w:rPr>
          <w:spacing w:val="-11"/>
        </w:rPr>
        <w:t> </w:t>
      </w:r>
      <w:r>
        <w:rPr/>
        <w:t>about</w:t>
      </w:r>
      <w:r>
        <w:rPr>
          <w:spacing w:val="-12"/>
        </w:rPr>
        <w:t> </w:t>
      </w:r>
      <w:r>
        <w:rPr/>
        <w:t>the</w:t>
      </w:r>
      <w:r>
        <w:rPr>
          <w:spacing w:val="-11"/>
        </w:rPr>
        <w:t> </w:t>
      </w:r>
      <w:r>
        <w:rPr/>
        <w:t>upcoming</w:t>
      </w:r>
      <w:r>
        <w:rPr>
          <w:spacing w:val="-11"/>
        </w:rPr>
        <w:t> </w:t>
      </w:r>
      <w:r>
        <w:rPr>
          <w:spacing w:val="-3"/>
        </w:rPr>
        <w:t>trial/s</w:t>
      </w:r>
      <w:r>
        <w:rPr>
          <w:spacing w:val="-11"/>
        </w:rPr>
        <w:t> </w:t>
      </w:r>
      <w:r>
        <w:rPr/>
        <w:t>to</w:t>
      </w:r>
      <w:r>
        <w:rPr>
          <w:spacing w:val="-11"/>
        </w:rPr>
        <w:t> </w:t>
      </w:r>
      <w:r>
        <w:rPr/>
        <w:t>assist</w:t>
      </w:r>
      <w:r>
        <w:rPr>
          <w:spacing w:val="-11"/>
        </w:rPr>
        <w:t> </w:t>
      </w:r>
      <w:r>
        <w:rPr/>
        <w:t>the</w:t>
      </w:r>
      <w:r>
        <w:rPr>
          <w:spacing w:val="-12"/>
        </w:rPr>
        <w:t> </w:t>
      </w:r>
      <w:r>
        <w:rPr/>
        <w:t>Juries Commissioner</w:t>
      </w:r>
      <w:r>
        <w:rPr>
          <w:spacing w:val="-7"/>
        </w:rPr>
        <w:t> </w:t>
      </w:r>
      <w:r>
        <w:rPr/>
        <w:t>to</w:t>
      </w:r>
      <w:r>
        <w:rPr>
          <w:spacing w:val="-6"/>
        </w:rPr>
        <w:t> </w:t>
      </w:r>
      <w:r>
        <w:rPr>
          <w:spacing w:val="-3"/>
        </w:rPr>
        <w:t>make</w:t>
      </w:r>
      <w:r>
        <w:rPr>
          <w:spacing w:val="-6"/>
        </w:rPr>
        <w:t> </w:t>
      </w:r>
      <w:r>
        <w:rPr/>
        <w:t>a</w:t>
      </w:r>
      <w:r>
        <w:rPr>
          <w:spacing w:val="-6"/>
        </w:rPr>
        <w:t> </w:t>
      </w:r>
      <w:r>
        <w:rPr/>
        <w:t>preliminary</w:t>
      </w:r>
      <w:r>
        <w:rPr>
          <w:spacing w:val="-6"/>
        </w:rPr>
        <w:t> </w:t>
      </w:r>
      <w:r>
        <w:rPr/>
        <w:t>recommendation</w:t>
      </w:r>
      <w:r>
        <w:rPr>
          <w:spacing w:val="-6"/>
        </w:rPr>
        <w:t> </w:t>
      </w:r>
      <w:r>
        <w:rPr/>
        <w:t>about</w:t>
      </w:r>
      <w:r>
        <w:rPr>
          <w:spacing w:val="-6"/>
        </w:rPr>
        <w:t> </w:t>
      </w:r>
      <w:r>
        <w:rPr/>
        <w:t>jury</w:t>
      </w:r>
      <w:r>
        <w:rPr>
          <w:spacing w:val="-6"/>
        </w:rPr>
        <w:t> </w:t>
      </w:r>
      <w:r>
        <w:rPr/>
        <w:t>service.</w:t>
      </w:r>
    </w:p>
    <w:p>
      <w:pPr>
        <w:pStyle w:val="ListParagraph"/>
        <w:numPr>
          <w:ilvl w:val="1"/>
          <w:numId w:val="12"/>
        </w:numPr>
        <w:tabs>
          <w:tab w:pos="1762" w:val="left" w:leader="none"/>
        </w:tabs>
        <w:spacing w:line="206" w:lineRule="auto" w:before="122" w:after="0"/>
        <w:ind w:left="1761" w:right="1500" w:hanging="794"/>
        <w:jc w:val="both"/>
        <w:rPr>
          <w:sz w:val="20"/>
        </w:rPr>
      </w:pPr>
      <w:r>
        <w:rPr>
          <w:sz w:val="20"/>
        </w:rPr>
        <w:t>It</w:t>
      </w:r>
      <w:r>
        <w:rPr>
          <w:spacing w:val="-9"/>
          <w:sz w:val="20"/>
        </w:rPr>
        <w:t> </w:t>
      </w:r>
      <w:r>
        <w:rPr>
          <w:spacing w:val="-3"/>
          <w:sz w:val="20"/>
        </w:rPr>
        <w:t>would</w:t>
      </w:r>
      <w:r>
        <w:rPr>
          <w:spacing w:val="-9"/>
          <w:sz w:val="20"/>
        </w:rPr>
        <w:t> </w:t>
      </w:r>
      <w:r>
        <w:rPr>
          <w:sz w:val="20"/>
        </w:rPr>
        <w:t>also</w:t>
      </w:r>
      <w:r>
        <w:rPr>
          <w:spacing w:val="-8"/>
          <w:sz w:val="20"/>
        </w:rPr>
        <w:t> </w:t>
      </w:r>
      <w:r>
        <w:rPr>
          <w:sz w:val="20"/>
        </w:rPr>
        <w:t>be</w:t>
      </w:r>
      <w:r>
        <w:rPr>
          <w:spacing w:val="-9"/>
          <w:sz w:val="20"/>
        </w:rPr>
        <w:t> </w:t>
      </w:r>
      <w:r>
        <w:rPr>
          <w:sz w:val="20"/>
        </w:rPr>
        <w:t>useful</w:t>
      </w:r>
      <w:r>
        <w:rPr>
          <w:spacing w:val="-9"/>
          <w:sz w:val="20"/>
        </w:rPr>
        <w:t> </w:t>
      </w:r>
      <w:r>
        <w:rPr>
          <w:sz w:val="20"/>
        </w:rPr>
        <w:t>for</w:t>
      </w:r>
      <w:r>
        <w:rPr>
          <w:spacing w:val="-8"/>
          <w:sz w:val="20"/>
        </w:rPr>
        <w:t> </w:t>
      </w:r>
      <w:r>
        <w:rPr>
          <w:sz w:val="20"/>
        </w:rPr>
        <w:t>more</w:t>
      </w:r>
      <w:r>
        <w:rPr>
          <w:spacing w:val="-9"/>
          <w:sz w:val="20"/>
        </w:rPr>
        <w:t> </w:t>
      </w:r>
      <w:r>
        <w:rPr>
          <w:sz w:val="20"/>
        </w:rPr>
        <w:t>information</w:t>
      </w:r>
      <w:r>
        <w:rPr>
          <w:spacing w:val="-8"/>
          <w:sz w:val="20"/>
        </w:rPr>
        <w:t> </w:t>
      </w:r>
      <w:r>
        <w:rPr>
          <w:sz w:val="20"/>
        </w:rPr>
        <w:t>to</w:t>
      </w:r>
      <w:r>
        <w:rPr>
          <w:spacing w:val="-9"/>
          <w:sz w:val="20"/>
        </w:rPr>
        <w:t> </w:t>
      </w:r>
      <w:r>
        <w:rPr>
          <w:sz w:val="20"/>
        </w:rPr>
        <w:t>be</w:t>
      </w:r>
      <w:r>
        <w:rPr>
          <w:spacing w:val="-9"/>
          <w:sz w:val="20"/>
        </w:rPr>
        <w:t> </w:t>
      </w:r>
      <w:r>
        <w:rPr>
          <w:spacing w:val="-3"/>
          <w:sz w:val="20"/>
        </w:rPr>
        <w:t>provided</w:t>
      </w:r>
      <w:r>
        <w:rPr>
          <w:spacing w:val="-8"/>
          <w:sz w:val="20"/>
        </w:rPr>
        <w:t> </w:t>
      </w:r>
      <w:r>
        <w:rPr>
          <w:sz w:val="20"/>
        </w:rPr>
        <w:t>to</w:t>
      </w:r>
      <w:r>
        <w:rPr>
          <w:spacing w:val="-9"/>
          <w:sz w:val="20"/>
        </w:rPr>
        <w:t> </w:t>
      </w:r>
      <w:r>
        <w:rPr>
          <w:sz w:val="20"/>
        </w:rPr>
        <w:t>Juries</w:t>
      </w:r>
      <w:r>
        <w:rPr>
          <w:spacing w:val="-9"/>
          <w:sz w:val="20"/>
        </w:rPr>
        <w:t> </w:t>
      </w:r>
      <w:r>
        <w:rPr>
          <w:sz w:val="20"/>
        </w:rPr>
        <w:t>Victoria</w:t>
      </w:r>
      <w:r>
        <w:rPr>
          <w:spacing w:val="-8"/>
          <w:sz w:val="20"/>
        </w:rPr>
        <w:t> </w:t>
      </w:r>
      <w:r>
        <w:rPr>
          <w:sz w:val="20"/>
        </w:rPr>
        <w:t>about</w:t>
      </w:r>
      <w:r>
        <w:rPr>
          <w:spacing w:val="-9"/>
          <w:sz w:val="20"/>
        </w:rPr>
        <w:t> </w:t>
      </w:r>
      <w:r>
        <w:rPr>
          <w:sz w:val="20"/>
        </w:rPr>
        <w:t>a trial</w:t>
      </w:r>
      <w:r>
        <w:rPr>
          <w:spacing w:val="-8"/>
          <w:sz w:val="20"/>
        </w:rPr>
        <w:t> </w:t>
      </w:r>
      <w:r>
        <w:rPr>
          <w:sz w:val="20"/>
        </w:rPr>
        <w:t>when</w:t>
      </w:r>
      <w:r>
        <w:rPr>
          <w:spacing w:val="-8"/>
          <w:sz w:val="20"/>
        </w:rPr>
        <w:t> </w:t>
      </w:r>
      <w:r>
        <w:rPr>
          <w:sz w:val="20"/>
        </w:rPr>
        <w:t>a</w:t>
      </w:r>
      <w:r>
        <w:rPr>
          <w:spacing w:val="-8"/>
          <w:sz w:val="20"/>
        </w:rPr>
        <w:t> </w:t>
      </w:r>
      <w:r>
        <w:rPr>
          <w:spacing w:val="-3"/>
          <w:sz w:val="20"/>
        </w:rPr>
        <w:t>judge’s</w:t>
      </w:r>
      <w:r>
        <w:rPr>
          <w:spacing w:val="-8"/>
          <w:sz w:val="20"/>
        </w:rPr>
        <w:t> </w:t>
      </w:r>
      <w:r>
        <w:rPr>
          <w:sz w:val="20"/>
        </w:rPr>
        <w:t>chambers</w:t>
      </w:r>
      <w:r>
        <w:rPr>
          <w:spacing w:val="-8"/>
          <w:sz w:val="20"/>
        </w:rPr>
        <w:t> </w:t>
      </w:r>
      <w:r>
        <w:rPr>
          <w:sz w:val="20"/>
        </w:rPr>
        <w:t>requests</w:t>
      </w:r>
      <w:r>
        <w:rPr>
          <w:spacing w:val="-7"/>
          <w:sz w:val="20"/>
        </w:rPr>
        <w:t> </w:t>
      </w:r>
      <w:r>
        <w:rPr>
          <w:sz w:val="20"/>
        </w:rPr>
        <w:t>a</w:t>
      </w:r>
      <w:r>
        <w:rPr>
          <w:spacing w:val="-8"/>
          <w:sz w:val="20"/>
        </w:rPr>
        <w:t> </w:t>
      </w:r>
      <w:r>
        <w:rPr>
          <w:sz w:val="20"/>
        </w:rPr>
        <w:t>panel</w:t>
      </w:r>
      <w:r>
        <w:rPr>
          <w:spacing w:val="-8"/>
          <w:sz w:val="20"/>
        </w:rPr>
        <w:t> </w:t>
      </w:r>
      <w:r>
        <w:rPr>
          <w:spacing w:val="-3"/>
          <w:sz w:val="20"/>
        </w:rPr>
        <w:t>before</w:t>
      </w:r>
      <w:r>
        <w:rPr>
          <w:spacing w:val="-8"/>
          <w:sz w:val="20"/>
        </w:rPr>
        <w:t> </w:t>
      </w:r>
      <w:r>
        <w:rPr>
          <w:sz w:val="20"/>
        </w:rPr>
        <w:t>the</w:t>
      </w:r>
      <w:r>
        <w:rPr>
          <w:spacing w:val="-8"/>
          <w:sz w:val="20"/>
        </w:rPr>
        <w:t> </w:t>
      </w:r>
      <w:r>
        <w:rPr>
          <w:sz w:val="20"/>
        </w:rPr>
        <w:t>trial</w:t>
      </w:r>
      <w:r>
        <w:rPr>
          <w:spacing w:val="-7"/>
          <w:sz w:val="20"/>
        </w:rPr>
        <w:t> </w:t>
      </w:r>
      <w:r>
        <w:rPr>
          <w:sz w:val="20"/>
        </w:rPr>
        <w:t>starts.</w:t>
      </w:r>
      <w:r>
        <w:rPr>
          <w:spacing w:val="-8"/>
          <w:sz w:val="20"/>
        </w:rPr>
        <w:t> </w:t>
      </w:r>
      <w:r>
        <w:rPr>
          <w:spacing w:val="-3"/>
          <w:sz w:val="20"/>
        </w:rPr>
        <w:t>At</w:t>
      </w:r>
      <w:r>
        <w:rPr>
          <w:spacing w:val="-8"/>
          <w:sz w:val="20"/>
        </w:rPr>
        <w:t> </w:t>
      </w:r>
      <w:r>
        <w:rPr>
          <w:sz w:val="20"/>
        </w:rPr>
        <w:t>present,</w:t>
      </w:r>
      <w:r>
        <w:rPr>
          <w:spacing w:val="-8"/>
          <w:sz w:val="20"/>
        </w:rPr>
        <w:t> </w:t>
      </w:r>
      <w:r>
        <w:rPr>
          <w:sz w:val="20"/>
        </w:rPr>
        <w:t>the information</w:t>
      </w:r>
      <w:r>
        <w:rPr>
          <w:spacing w:val="-6"/>
          <w:sz w:val="20"/>
        </w:rPr>
        <w:t> </w:t>
      </w:r>
      <w:r>
        <w:rPr>
          <w:sz w:val="20"/>
        </w:rPr>
        <w:t>included</w:t>
      </w:r>
      <w:r>
        <w:rPr>
          <w:spacing w:val="-5"/>
          <w:sz w:val="20"/>
        </w:rPr>
        <w:t> </w:t>
      </w:r>
      <w:r>
        <w:rPr>
          <w:sz w:val="20"/>
        </w:rPr>
        <w:t>in</w:t>
      </w:r>
      <w:r>
        <w:rPr>
          <w:spacing w:val="-6"/>
          <w:sz w:val="20"/>
        </w:rPr>
        <w:t> </w:t>
      </w:r>
      <w:r>
        <w:rPr>
          <w:sz w:val="20"/>
        </w:rPr>
        <w:t>a</w:t>
      </w:r>
      <w:r>
        <w:rPr>
          <w:spacing w:val="-5"/>
          <w:sz w:val="20"/>
        </w:rPr>
        <w:t> </w:t>
      </w:r>
      <w:r>
        <w:rPr>
          <w:sz w:val="20"/>
        </w:rPr>
        <w:t>panel</w:t>
      </w:r>
      <w:r>
        <w:rPr>
          <w:spacing w:val="-5"/>
          <w:sz w:val="20"/>
        </w:rPr>
        <w:t> </w:t>
      </w:r>
      <w:r>
        <w:rPr>
          <w:sz w:val="20"/>
        </w:rPr>
        <w:t>request</w:t>
      </w:r>
      <w:r>
        <w:rPr>
          <w:spacing w:val="-6"/>
          <w:sz w:val="20"/>
        </w:rPr>
        <w:t> </w:t>
      </w:r>
      <w:r>
        <w:rPr>
          <w:sz w:val="20"/>
        </w:rPr>
        <w:t>form</w:t>
      </w:r>
      <w:r>
        <w:rPr>
          <w:spacing w:val="-5"/>
          <w:sz w:val="20"/>
        </w:rPr>
        <w:t> </w:t>
      </w:r>
      <w:r>
        <w:rPr>
          <w:spacing w:val="-3"/>
          <w:sz w:val="20"/>
        </w:rPr>
        <w:t>from</w:t>
      </w:r>
      <w:r>
        <w:rPr>
          <w:spacing w:val="-5"/>
          <w:sz w:val="20"/>
        </w:rPr>
        <w:t> </w:t>
      </w:r>
      <w:r>
        <w:rPr>
          <w:sz w:val="20"/>
        </w:rPr>
        <w:t>chambers</w:t>
      </w:r>
      <w:r>
        <w:rPr>
          <w:spacing w:val="-6"/>
          <w:sz w:val="20"/>
        </w:rPr>
        <w:t> </w:t>
      </w:r>
      <w:r>
        <w:rPr>
          <w:sz w:val="20"/>
        </w:rPr>
        <w:t>is:</w:t>
      </w:r>
    </w:p>
    <w:p>
      <w:pPr>
        <w:pStyle w:val="BodyText"/>
        <w:spacing w:before="6"/>
        <w:rPr>
          <w:sz w:val="23"/>
        </w:rPr>
      </w:pPr>
      <w:r>
        <w:rPr/>
        <w:pict>
          <v:line style="position:absolute;mso-position-horizontal-relative:page;mso-position-vertical-relative:paragraph;z-index:7520;mso-wrap-distance-left:0;mso-wrap-distance-right:0" from="79.370102pt,18.741619pt" to="515.905102pt,18.741619pt" stroked="true" strokeweight="1pt" strokecolor="#b6bdc8">
            <v:stroke dashstyle="solid"/>
            <w10:wrap type="topAndBottom"/>
          </v:line>
        </w:pict>
      </w:r>
    </w:p>
    <w:p>
      <w:pPr>
        <w:tabs>
          <w:tab w:pos="967" w:val="left" w:leader="none"/>
          <w:tab w:pos="1761" w:val="left" w:leader="none"/>
        </w:tabs>
        <w:spacing w:line="297" w:lineRule="exact" w:before="0"/>
        <w:ind w:left="100" w:right="0" w:firstLine="0"/>
        <w:jc w:val="left"/>
        <w:rPr>
          <w:sz w:val="13"/>
        </w:rPr>
      </w:pPr>
      <w:r>
        <w:rPr>
          <w:b/>
          <w:color w:val="37617A"/>
          <w:sz w:val="24"/>
        </w:rPr>
        <w:t>134</w:t>
        <w:tab/>
      </w:r>
      <w:r>
        <w:rPr>
          <w:sz w:val="13"/>
        </w:rPr>
        <w:t>67</w:t>
        <w:tab/>
        <w:t>Information provided by ACT Sheriff to Victorian Law Reform </w:t>
      </w:r>
      <w:r>
        <w:rPr>
          <w:spacing w:val="2"/>
          <w:sz w:val="13"/>
        </w:rPr>
        <w:t>Commission, </w:t>
      </w:r>
      <w:r>
        <w:rPr>
          <w:sz w:val="13"/>
        </w:rPr>
        <w:t>16 September</w:t>
      </w:r>
      <w:r>
        <w:rPr>
          <w:spacing w:val="7"/>
          <w:sz w:val="13"/>
        </w:rPr>
        <w:t> </w:t>
      </w:r>
      <w:r>
        <w:rPr>
          <w:sz w:val="13"/>
        </w:rPr>
        <w:t>2020.</w:t>
      </w:r>
    </w:p>
    <w:p>
      <w:pPr>
        <w:spacing w:after="0" w:line="297"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0"/>
          <w:numId w:val="91"/>
        </w:numPr>
        <w:tabs>
          <w:tab w:pos="2157" w:val="left" w:leader="none"/>
          <w:tab w:pos="2158" w:val="left" w:leader="none"/>
        </w:tabs>
        <w:spacing w:line="240" w:lineRule="auto" w:before="58" w:after="0"/>
        <w:ind w:left="2157" w:right="0" w:hanging="396"/>
        <w:jc w:val="left"/>
        <w:rPr>
          <w:sz w:val="20"/>
        </w:rPr>
      </w:pPr>
      <w:r>
        <w:rPr>
          <w:sz w:val="20"/>
        </w:rPr>
        <w:t>the name of the</w:t>
      </w:r>
      <w:r>
        <w:rPr>
          <w:spacing w:val="-17"/>
          <w:sz w:val="20"/>
        </w:rPr>
        <w:t> </w:t>
      </w:r>
      <w:r>
        <w:rPr>
          <w:sz w:val="20"/>
        </w:rPr>
        <w:t>judge</w:t>
      </w:r>
    </w:p>
    <w:p>
      <w:pPr>
        <w:pStyle w:val="ListParagraph"/>
        <w:numPr>
          <w:ilvl w:val="0"/>
          <w:numId w:val="91"/>
        </w:numPr>
        <w:tabs>
          <w:tab w:pos="2157" w:val="left" w:leader="none"/>
          <w:tab w:pos="2158" w:val="left" w:leader="none"/>
        </w:tabs>
        <w:spacing w:line="240" w:lineRule="auto" w:before="47" w:after="0"/>
        <w:ind w:left="2157" w:right="0" w:hanging="396"/>
        <w:jc w:val="left"/>
        <w:rPr>
          <w:sz w:val="20"/>
        </w:rPr>
      </w:pPr>
      <w:r>
        <w:rPr>
          <w:sz w:val="20"/>
        </w:rPr>
        <w:t>courtroom</w:t>
      </w:r>
    </w:p>
    <w:p>
      <w:pPr>
        <w:pStyle w:val="ListParagraph"/>
        <w:numPr>
          <w:ilvl w:val="0"/>
          <w:numId w:val="91"/>
        </w:numPr>
        <w:tabs>
          <w:tab w:pos="2157" w:val="left" w:leader="none"/>
          <w:tab w:pos="2158" w:val="left" w:leader="none"/>
        </w:tabs>
        <w:spacing w:line="240" w:lineRule="auto" w:before="48" w:after="0"/>
        <w:ind w:left="2157" w:right="0" w:hanging="396"/>
        <w:jc w:val="left"/>
        <w:rPr>
          <w:sz w:val="20"/>
        </w:rPr>
      </w:pPr>
      <w:r>
        <w:rPr>
          <w:spacing w:val="-2"/>
          <w:sz w:val="20"/>
        </w:rPr>
        <w:t>accused/parties</w:t>
      </w:r>
    </w:p>
    <w:p>
      <w:pPr>
        <w:pStyle w:val="ListParagraph"/>
        <w:numPr>
          <w:ilvl w:val="0"/>
          <w:numId w:val="91"/>
        </w:numPr>
        <w:tabs>
          <w:tab w:pos="2157" w:val="left" w:leader="none"/>
          <w:tab w:pos="2158" w:val="left" w:leader="none"/>
        </w:tabs>
        <w:spacing w:line="240" w:lineRule="auto" w:before="47" w:after="0"/>
        <w:ind w:left="2157" w:right="0" w:hanging="396"/>
        <w:jc w:val="left"/>
        <w:rPr>
          <w:sz w:val="20"/>
        </w:rPr>
      </w:pPr>
      <w:r>
        <w:rPr>
          <w:sz w:val="20"/>
        </w:rPr>
        <w:t>case</w:t>
      </w:r>
      <w:r>
        <w:rPr>
          <w:spacing w:val="-11"/>
          <w:sz w:val="20"/>
        </w:rPr>
        <w:t> </w:t>
      </w:r>
      <w:r>
        <w:rPr>
          <w:sz w:val="20"/>
        </w:rPr>
        <w:t>number</w:t>
      </w:r>
    </w:p>
    <w:p>
      <w:pPr>
        <w:pStyle w:val="ListParagraph"/>
        <w:numPr>
          <w:ilvl w:val="0"/>
          <w:numId w:val="91"/>
        </w:numPr>
        <w:tabs>
          <w:tab w:pos="2157" w:val="left" w:leader="none"/>
          <w:tab w:pos="2158" w:val="left" w:leader="none"/>
        </w:tabs>
        <w:spacing w:line="240" w:lineRule="auto" w:before="47" w:after="0"/>
        <w:ind w:left="2157" w:right="0" w:hanging="396"/>
        <w:jc w:val="left"/>
        <w:rPr>
          <w:sz w:val="20"/>
        </w:rPr>
      </w:pPr>
      <w:r>
        <w:rPr>
          <w:spacing w:val="-4"/>
          <w:sz w:val="20"/>
        </w:rPr>
        <w:t>charge/claim</w:t>
      </w:r>
    </w:p>
    <w:p>
      <w:pPr>
        <w:pStyle w:val="ListParagraph"/>
        <w:numPr>
          <w:ilvl w:val="0"/>
          <w:numId w:val="91"/>
        </w:numPr>
        <w:tabs>
          <w:tab w:pos="2157" w:val="left" w:leader="none"/>
          <w:tab w:pos="2158" w:val="left" w:leader="none"/>
        </w:tabs>
        <w:spacing w:line="240" w:lineRule="auto" w:before="48" w:after="0"/>
        <w:ind w:left="2157" w:right="0" w:hanging="396"/>
        <w:jc w:val="left"/>
        <w:rPr>
          <w:sz w:val="20"/>
        </w:rPr>
      </w:pPr>
      <w:r>
        <w:rPr>
          <w:sz w:val="20"/>
        </w:rPr>
        <w:t>estimated duration of</w:t>
      </w:r>
      <w:r>
        <w:rPr>
          <w:spacing w:val="-13"/>
          <w:sz w:val="20"/>
        </w:rPr>
        <w:t> </w:t>
      </w:r>
      <w:r>
        <w:rPr>
          <w:sz w:val="20"/>
        </w:rPr>
        <w:t>trial</w:t>
      </w:r>
    </w:p>
    <w:p>
      <w:pPr>
        <w:pStyle w:val="ListParagraph"/>
        <w:numPr>
          <w:ilvl w:val="0"/>
          <w:numId w:val="91"/>
        </w:numPr>
        <w:tabs>
          <w:tab w:pos="2157" w:val="left" w:leader="none"/>
          <w:tab w:pos="2158" w:val="left" w:leader="none"/>
        </w:tabs>
        <w:spacing w:line="240" w:lineRule="auto" w:before="47" w:after="0"/>
        <w:ind w:left="2157" w:right="0" w:hanging="396"/>
        <w:jc w:val="left"/>
        <w:rPr>
          <w:sz w:val="11"/>
        </w:rPr>
      </w:pPr>
      <w:r>
        <w:rPr>
          <w:sz w:val="20"/>
        </w:rPr>
        <w:t>time of</w:t>
      </w:r>
      <w:r>
        <w:rPr>
          <w:spacing w:val="-9"/>
          <w:sz w:val="20"/>
        </w:rPr>
        <w:t> </w:t>
      </w:r>
      <w:r>
        <w:rPr>
          <w:sz w:val="20"/>
        </w:rPr>
        <w:t>empanelment.</w:t>
      </w:r>
      <w:r>
        <w:rPr>
          <w:position w:val="7"/>
          <w:sz w:val="11"/>
        </w:rPr>
        <w:t>68</w:t>
      </w:r>
    </w:p>
    <w:p>
      <w:pPr>
        <w:pStyle w:val="ListParagraph"/>
        <w:numPr>
          <w:ilvl w:val="1"/>
          <w:numId w:val="12"/>
        </w:numPr>
        <w:tabs>
          <w:tab w:pos="1761" w:val="left" w:leader="none"/>
          <w:tab w:pos="1762" w:val="left" w:leader="none"/>
        </w:tabs>
        <w:spacing w:line="206" w:lineRule="auto" w:before="80" w:after="0"/>
        <w:ind w:left="1761" w:right="1256" w:hanging="794"/>
        <w:jc w:val="left"/>
        <w:rPr>
          <w:sz w:val="20"/>
        </w:rPr>
      </w:pPr>
      <w:r>
        <w:rPr>
          <w:sz w:val="20"/>
        </w:rPr>
        <w:t>The</w:t>
      </w:r>
      <w:r>
        <w:rPr>
          <w:spacing w:val="-14"/>
          <w:sz w:val="20"/>
        </w:rPr>
        <w:t> </w:t>
      </w:r>
      <w:r>
        <w:rPr>
          <w:sz w:val="20"/>
        </w:rPr>
        <w:t>Commission</w:t>
      </w:r>
      <w:r>
        <w:rPr>
          <w:spacing w:val="-13"/>
          <w:sz w:val="20"/>
        </w:rPr>
        <w:t> </w:t>
      </w:r>
      <w:r>
        <w:rPr>
          <w:sz w:val="20"/>
        </w:rPr>
        <w:t>recommends</w:t>
      </w:r>
      <w:r>
        <w:rPr>
          <w:spacing w:val="-13"/>
          <w:sz w:val="20"/>
        </w:rPr>
        <w:t> </w:t>
      </w:r>
      <w:r>
        <w:rPr>
          <w:sz w:val="20"/>
        </w:rPr>
        <w:t>that</w:t>
      </w:r>
      <w:r>
        <w:rPr>
          <w:spacing w:val="-13"/>
          <w:sz w:val="20"/>
        </w:rPr>
        <w:t> </w:t>
      </w:r>
      <w:r>
        <w:rPr>
          <w:sz w:val="20"/>
        </w:rPr>
        <w:t>chambers</w:t>
      </w:r>
      <w:r>
        <w:rPr>
          <w:spacing w:val="-13"/>
          <w:sz w:val="20"/>
        </w:rPr>
        <w:t> </w:t>
      </w:r>
      <w:r>
        <w:rPr>
          <w:spacing w:val="-3"/>
          <w:sz w:val="20"/>
        </w:rPr>
        <w:t>provide</w:t>
      </w:r>
      <w:r>
        <w:rPr>
          <w:spacing w:val="-14"/>
          <w:sz w:val="20"/>
        </w:rPr>
        <w:t> </w:t>
      </w:r>
      <w:r>
        <w:rPr>
          <w:sz w:val="20"/>
        </w:rPr>
        <w:t>additional</w:t>
      </w:r>
      <w:r>
        <w:rPr>
          <w:spacing w:val="-13"/>
          <w:sz w:val="20"/>
        </w:rPr>
        <w:t> </w:t>
      </w:r>
      <w:r>
        <w:rPr>
          <w:sz w:val="20"/>
        </w:rPr>
        <w:t>information</w:t>
      </w:r>
      <w:r>
        <w:rPr>
          <w:spacing w:val="-13"/>
          <w:sz w:val="20"/>
        </w:rPr>
        <w:t> </w:t>
      </w:r>
      <w:r>
        <w:rPr>
          <w:sz w:val="20"/>
        </w:rPr>
        <w:t>about</w:t>
      </w:r>
      <w:r>
        <w:rPr>
          <w:spacing w:val="-13"/>
          <w:sz w:val="20"/>
        </w:rPr>
        <w:t> </w:t>
      </w:r>
      <w:r>
        <w:rPr>
          <w:sz w:val="20"/>
        </w:rPr>
        <w:t>the evidence that is </w:t>
      </w:r>
      <w:r>
        <w:rPr>
          <w:spacing w:val="-3"/>
          <w:sz w:val="20"/>
        </w:rPr>
        <w:t>likely </w:t>
      </w:r>
      <w:r>
        <w:rPr>
          <w:sz w:val="20"/>
        </w:rPr>
        <w:t>to be material to the outcome of a trial and that might </w:t>
      </w:r>
      <w:r>
        <w:rPr>
          <w:spacing w:val="-3"/>
          <w:sz w:val="20"/>
        </w:rPr>
        <w:t>make </w:t>
      </w:r>
      <w:r>
        <w:rPr>
          <w:sz w:val="20"/>
        </w:rPr>
        <w:t>it difficult</w:t>
      </w:r>
      <w:r>
        <w:rPr>
          <w:spacing w:val="-12"/>
          <w:sz w:val="20"/>
        </w:rPr>
        <w:t> </w:t>
      </w:r>
      <w:r>
        <w:rPr>
          <w:sz w:val="20"/>
        </w:rPr>
        <w:t>for</w:t>
      </w:r>
      <w:r>
        <w:rPr>
          <w:spacing w:val="-12"/>
          <w:sz w:val="20"/>
        </w:rPr>
        <w:t> </w:t>
      </w:r>
      <w:r>
        <w:rPr>
          <w:sz w:val="20"/>
        </w:rPr>
        <w:t>the</w:t>
      </w:r>
      <w:r>
        <w:rPr>
          <w:spacing w:val="-12"/>
          <w:sz w:val="20"/>
        </w:rPr>
        <w:t> </w:t>
      </w:r>
      <w:r>
        <w:rPr>
          <w:sz w:val="20"/>
        </w:rPr>
        <w:t>potential</w:t>
      </w:r>
      <w:r>
        <w:rPr>
          <w:spacing w:val="-12"/>
          <w:sz w:val="20"/>
        </w:rPr>
        <w:t> </w:t>
      </w:r>
      <w:r>
        <w:rPr>
          <w:sz w:val="20"/>
        </w:rPr>
        <w:t>juror</w:t>
      </w:r>
      <w:r>
        <w:rPr>
          <w:spacing w:val="-12"/>
          <w:sz w:val="20"/>
        </w:rPr>
        <w:t> </w:t>
      </w:r>
      <w:r>
        <w:rPr>
          <w:sz w:val="20"/>
        </w:rPr>
        <w:t>to</w:t>
      </w:r>
      <w:r>
        <w:rPr>
          <w:spacing w:val="-12"/>
          <w:sz w:val="20"/>
        </w:rPr>
        <w:t> </w:t>
      </w:r>
      <w:r>
        <w:rPr>
          <w:sz w:val="20"/>
        </w:rPr>
        <w:t>serve</w:t>
      </w:r>
      <w:r>
        <w:rPr>
          <w:spacing w:val="-12"/>
          <w:sz w:val="20"/>
        </w:rPr>
        <w:t> </w:t>
      </w:r>
      <w:r>
        <w:rPr>
          <w:sz w:val="20"/>
        </w:rPr>
        <w:t>on</w:t>
      </w:r>
      <w:r>
        <w:rPr>
          <w:spacing w:val="-12"/>
          <w:sz w:val="20"/>
        </w:rPr>
        <w:t> </w:t>
      </w:r>
      <w:r>
        <w:rPr>
          <w:sz w:val="20"/>
        </w:rPr>
        <w:t>that</w:t>
      </w:r>
      <w:r>
        <w:rPr>
          <w:spacing w:val="-12"/>
          <w:sz w:val="20"/>
        </w:rPr>
        <w:t> </w:t>
      </w:r>
      <w:r>
        <w:rPr>
          <w:sz w:val="20"/>
        </w:rPr>
        <w:t>trial.</w:t>
      </w:r>
      <w:r>
        <w:rPr>
          <w:spacing w:val="-12"/>
          <w:sz w:val="20"/>
        </w:rPr>
        <w:t> </w:t>
      </w:r>
      <w:r>
        <w:rPr>
          <w:spacing w:val="-5"/>
          <w:sz w:val="20"/>
        </w:rPr>
        <w:t>However,</w:t>
      </w:r>
      <w:r>
        <w:rPr>
          <w:spacing w:val="-12"/>
          <w:sz w:val="20"/>
        </w:rPr>
        <w:t> </w:t>
      </w:r>
      <w:r>
        <w:rPr>
          <w:spacing w:val="-3"/>
          <w:sz w:val="20"/>
        </w:rPr>
        <w:t>we</w:t>
      </w:r>
      <w:r>
        <w:rPr>
          <w:spacing w:val="-11"/>
          <w:sz w:val="20"/>
        </w:rPr>
        <w:t> </w:t>
      </w:r>
      <w:r>
        <w:rPr>
          <w:sz w:val="20"/>
        </w:rPr>
        <w:t>acknowledge</w:t>
      </w:r>
      <w:r>
        <w:rPr>
          <w:spacing w:val="-12"/>
          <w:sz w:val="20"/>
        </w:rPr>
        <w:t> </w:t>
      </w:r>
      <w:r>
        <w:rPr>
          <w:sz w:val="20"/>
        </w:rPr>
        <w:t>that</w:t>
      </w:r>
      <w:r>
        <w:rPr>
          <w:spacing w:val="-12"/>
          <w:sz w:val="20"/>
        </w:rPr>
        <w:t> </w:t>
      </w:r>
      <w:r>
        <w:rPr>
          <w:sz w:val="20"/>
        </w:rPr>
        <w:t>the </w:t>
      </w:r>
      <w:r>
        <w:rPr>
          <w:spacing w:val="-3"/>
          <w:sz w:val="20"/>
        </w:rPr>
        <w:t>nature</w:t>
      </w:r>
      <w:r>
        <w:rPr>
          <w:spacing w:val="-8"/>
          <w:sz w:val="20"/>
        </w:rPr>
        <w:t> </w:t>
      </w:r>
      <w:r>
        <w:rPr>
          <w:sz w:val="20"/>
        </w:rPr>
        <w:t>of</w:t>
      </w:r>
      <w:r>
        <w:rPr>
          <w:spacing w:val="-7"/>
          <w:sz w:val="20"/>
        </w:rPr>
        <w:t> </w:t>
      </w:r>
      <w:r>
        <w:rPr>
          <w:sz w:val="20"/>
        </w:rPr>
        <w:t>a</w:t>
      </w:r>
      <w:r>
        <w:rPr>
          <w:spacing w:val="-8"/>
          <w:sz w:val="20"/>
        </w:rPr>
        <w:t> </w:t>
      </w:r>
      <w:r>
        <w:rPr>
          <w:sz w:val="20"/>
        </w:rPr>
        <w:t>case</w:t>
      </w:r>
      <w:r>
        <w:rPr>
          <w:spacing w:val="-7"/>
          <w:sz w:val="20"/>
        </w:rPr>
        <w:t> </w:t>
      </w:r>
      <w:r>
        <w:rPr>
          <w:sz w:val="20"/>
        </w:rPr>
        <w:t>and</w:t>
      </w:r>
      <w:r>
        <w:rPr>
          <w:spacing w:val="-8"/>
          <w:sz w:val="20"/>
        </w:rPr>
        <w:t> </w:t>
      </w:r>
      <w:r>
        <w:rPr>
          <w:sz w:val="20"/>
        </w:rPr>
        <w:t>evidence</w:t>
      </w:r>
      <w:r>
        <w:rPr>
          <w:spacing w:val="-7"/>
          <w:sz w:val="20"/>
        </w:rPr>
        <w:t> </w:t>
      </w:r>
      <w:r>
        <w:rPr>
          <w:sz w:val="20"/>
        </w:rPr>
        <w:t>on</w:t>
      </w:r>
      <w:r>
        <w:rPr>
          <w:spacing w:val="-8"/>
          <w:sz w:val="20"/>
        </w:rPr>
        <w:t> </w:t>
      </w:r>
      <w:r>
        <w:rPr>
          <w:sz w:val="20"/>
        </w:rPr>
        <w:t>the</w:t>
      </w:r>
      <w:r>
        <w:rPr>
          <w:spacing w:val="-7"/>
          <w:sz w:val="20"/>
        </w:rPr>
        <w:t> </w:t>
      </w:r>
      <w:r>
        <w:rPr>
          <w:sz w:val="20"/>
        </w:rPr>
        <w:t>brief</w:t>
      </w:r>
      <w:r>
        <w:rPr>
          <w:spacing w:val="-8"/>
          <w:sz w:val="20"/>
        </w:rPr>
        <w:t> </w:t>
      </w:r>
      <w:r>
        <w:rPr>
          <w:spacing w:val="-3"/>
          <w:sz w:val="20"/>
        </w:rPr>
        <w:t>may</w:t>
      </w:r>
      <w:r>
        <w:rPr>
          <w:spacing w:val="-7"/>
          <w:sz w:val="20"/>
        </w:rPr>
        <w:t> </w:t>
      </w:r>
      <w:r>
        <w:rPr>
          <w:sz w:val="20"/>
        </w:rPr>
        <w:t>not</w:t>
      </w:r>
      <w:r>
        <w:rPr>
          <w:spacing w:val="-8"/>
          <w:sz w:val="20"/>
        </w:rPr>
        <w:t> </w:t>
      </w:r>
      <w:r>
        <w:rPr>
          <w:spacing w:val="-4"/>
          <w:sz w:val="20"/>
        </w:rPr>
        <w:t>always</w:t>
      </w:r>
      <w:r>
        <w:rPr>
          <w:spacing w:val="-7"/>
          <w:sz w:val="20"/>
        </w:rPr>
        <w:t> </w:t>
      </w:r>
      <w:r>
        <w:rPr>
          <w:sz w:val="20"/>
        </w:rPr>
        <w:t>enable</w:t>
      </w:r>
      <w:r>
        <w:rPr>
          <w:spacing w:val="-7"/>
          <w:sz w:val="20"/>
        </w:rPr>
        <w:t> </w:t>
      </w:r>
      <w:r>
        <w:rPr>
          <w:sz w:val="20"/>
        </w:rPr>
        <w:t>this</w:t>
      </w:r>
      <w:r>
        <w:rPr>
          <w:spacing w:val="-8"/>
          <w:sz w:val="20"/>
        </w:rPr>
        <w:t> </w:t>
      </w:r>
      <w:r>
        <w:rPr>
          <w:sz w:val="20"/>
        </w:rPr>
        <w:t>to</w:t>
      </w:r>
      <w:r>
        <w:rPr>
          <w:spacing w:val="-7"/>
          <w:sz w:val="20"/>
        </w:rPr>
        <w:t> </w:t>
      </w:r>
      <w:r>
        <w:rPr>
          <w:spacing w:val="-4"/>
          <w:sz w:val="20"/>
        </w:rPr>
        <w:t>occur.</w:t>
      </w:r>
      <w:r>
        <w:rPr>
          <w:spacing w:val="-8"/>
          <w:sz w:val="20"/>
        </w:rPr>
        <w:t> </w:t>
      </w:r>
      <w:r>
        <w:rPr>
          <w:sz w:val="20"/>
        </w:rPr>
        <w:t>It</w:t>
      </w:r>
      <w:r>
        <w:rPr>
          <w:spacing w:val="-7"/>
          <w:sz w:val="20"/>
        </w:rPr>
        <w:t> </w:t>
      </w:r>
      <w:r>
        <w:rPr>
          <w:sz w:val="20"/>
        </w:rPr>
        <w:t>might not </w:t>
      </w:r>
      <w:r>
        <w:rPr>
          <w:spacing w:val="-4"/>
          <w:sz w:val="20"/>
        </w:rPr>
        <w:t>always </w:t>
      </w:r>
      <w:r>
        <w:rPr>
          <w:sz w:val="20"/>
        </w:rPr>
        <w:t>be obvious whether something is material to the outcome of a trial at this point.</w:t>
      </w:r>
    </w:p>
    <w:p>
      <w:pPr>
        <w:pStyle w:val="ListParagraph"/>
        <w:numPr>
          <w:ilvl w:val="1"/>
          <w:numId w:val="12"/>
        </w:numPr>
        <w:tabs>
          <w:tab w:pos="1761" w:val="left" w:leader="none"/>
          <w:tab w:pos="1762" w:val="left" w:leader="none"/>
        </w:tabs>
        <w:spacing w:line="206" w:lineRule="auto" w:before="128" w:after="0"/>
        <w:ind w:left="1761" w:right="1627" w:hanging="794"/>
        <w:jc w:val="left"/>
        <w:rPr>
          <w:sz w:val="20"/>
        </w:rPr>
      </w:pPr>
      <w:r>
        <w:rPr>
          <w:spacing w:val="-4"/>
          <w:sz w:val="20"/>
        </w:rPr>
        <w:t>If,</w:t>
      </w:r>
      <w:r>
        <w:rPr>
          <w:spacing w:val="-12"/>
          <w:sz w:val="20"/>
        </w:rPr>
        <w:t> </w:t>
      </w:r>
      <w:r>
        <w:rPr>
          <w:sz w:val="20"/>
        </w:rPr>
        <w:t>based</w:t>
      </w:r>
      <w:r>
        <w:rPr>
          <w:spacing w:val="-11"/>
          <w:sz w:val="20"/>
        </w:rPr>
        <w:t> </w:t>
      </w:r>
      <w:r>
        <w:rPr>
          <w:sz w:val="20"/>
        </w:rPr>
        <w:t>on</w:t>
      </w:r>
      <w:r>
        <w:rPr>
          <w:spacing w:val="-11"/>
          <w:sz w:val="20"/>
        </w:rPr>
        <w:t> </w:t>
      </w:r>
      <w:r>
        <w:rPr>
          <w:sz w:val="20"/>
        </w:rPr>
        <w:t>all</w:t>
      </w:r>
      <w:r>
        <w:rPr>
          <w:spacing w:val="-12"/>
          <w:sz w:val="20"/>
        </w:rPr>
        <w:t> </w:t>
      </w:r>
      <w:r>
        <w:rPr>
          <w:sz w:val="20"/>
        </w:rPr>
        <w:t>the</w:t>
      </w:r>
      <w:r>
        <w:rPr>
          <w:spacing w:val="-11"/>
          <w:sz w:val="20"/>
        </w:rPr>
        <w:t> </w:t>
      </w:r>
      <w:r>
        <w:rPr>
          <w:sz w:val="20"/>
        </w:rPr>
        <w:t>information</w:t>
      </w:r>
      <w:r>
        <w:rPr>
          <w:spacing w:val="-11"/>
          <w:sz w:val="20"/>
        </w:rPr>
        <w:t> </w:t>
      </w:r>
      <w:r>
        <w:rPr>
          <w:sz w:val="20"/>
        </w:rPr>
        <w:t>that</w:t>
      </w:r>
      <w:r>
        <w:rPr>
          <w:spacing w:val="-12"/>
          <w:sz w:val="20"/>
        </w:rPr>
        <w:t> </w:t>
      </w:r>
      <w:r>
        <w:rPr>
          <w:sz w:val="20"/>
        </w:rPr>
        <w:t>Juries</w:t>
      </w:r>
      <w:r>
        <w:rPr>
          <w:spacing w:val="-11"/>
          <w:sz w:val="20"/>
        </w:rPr>
        <w:t> </w:t>
      </w:r>
      <w:r>
        <w:rPr>
          <w:sz w:val="20"/>
        </w:rPr>
        <w:t>Victoria</w:t>
      </w:r>
      <w:r>
        <w:rPr>
          <w:spacing w:val="-11"/>
          <w:sz w:val="20"/>
        </w:rPr>
        <w:t> </w:t>
      </w:r>
      <w:r>
        <w:rPr>
          <w:sz w:val="20"/>
        </w:rPr>
        <w:t>has</w:t>
      </w:r>
      <w:r>
        <w:rPr>
          <w:spacing w:val="-12"/>
          <w:sz w:val="20"/>
        </w:rPr>
        <w:t> </w:t>
      </w:r>
      <w:r>
        <w:rPr>
          <w:sz w:val="20"/>
        </w:rPr>
        <w:t>collected,</w:t>
      </w:r>
      <w:r>
        <w:rPr>
          <w:spacing w:val="-11"/>
          <w:sz w:val="20"/>
        </w:rPr>
        <w:t> </w:t>
      </w:r>
      <w:r>
        <w:rPr>
          <w:sz w:val="20"/>
        </w:rPr>
        <w:t>it</w:t>
      </w:r>
      <w:r>
        <w:rPr>
          <w:spacing w:val="-11"/>
          <w:sz w:val="20"/>
        </w:rPr>
        <w:t> </w:t>
      </w:r>
      <w:r>
        <w:rPr>
          <w:sz w:val="20"/>
        </w:rPr>
        <w:t>has</w:t>
      </w:r>
      <w:r>
        <w:rPr>
          <w:spacing w:val="-12"/>
          <w:sz w:val="20"/>
        </w:rPr>
        <w:t> </w:t>
      </w:r>
      <w:r>
        <w:rPr>
          <w:sz w:val="20"/>
        </w:rPr>
        <w:t>no</w:t>
      </w:r>
      <w:r>
        <w:rPr>
          <w:spacing w:val="-11"/>
          <w:sz w:val="20"/>
        </w:rPr>
        <w:t> </w:t>
      </w:r>
      <w:r>
        <w:rPr>
          <w:sz w:val="20"/>
        </w:rPr>
        <w:t>concerns, then it should confirm adjustments for the </w:t>
      </w:r>
      <w:r>
        <w:rPr>
          <w:spacing w:val="-3"/>
          <w:sz w:val="20"/>
        </w:rPr>
        <w:t>day </w:t>
      </w:r>
      <w:r>
        <w:rPr>
          <w:sz w:val="20"/>
        </w:rPr>
        <w:t>the potential juror first attends on summons</w:t>
      </w:r>
      <w:r>
        <w:rPr>
          <w:spacing w:val="-8"/>
          <w:sz w:val="20"/>
        </w:rPr>
        <w:t> </w:t>
      </w:r>
      <w:r>
        <w:rPr>
          <w:sz w:val="20"/>
        </w:rPr>
        <w:t>and</w:t>
      </w:r>
      <w:r>
        <w:rPr>
          <w:spacing w:val="-7"/>
          <w:sz w:val="20"/>
        </w:rPr>
        <w:t> </w:t>
      </w:r>
      <w:r>
        <w:rPr>
          <w:sz w:val="20"/>
        </w:rPr>
        <w:t>in</w:t>
      </w:r>
      <w:r>
        <w:rPr>
          <w:spacing w:val="-8"/>
          <w:sz w:val="20"/>
        </w:rPr>
        <w:t> </w:t>
      </w:r>
      <w:r>
        <w:rPr>
          <w:sz w:val="20"/>
        </w:rPr>
        <w:t>readiness</w:t>
      </w:r>
      <w:r>
        <w:rPr>
          <w:spacing w:val="-7"/>
          <w:sz w:val="20"/>
        </w:rPr>
        <w:t> </w:t>
      </w:r>
      <w:r>
        <w:rPr>
          <w:sz w:val="20"/>
        </w:rPr>
        <w:t>for</w:t>
      </w:r>
      <w:r>
        <w:rPr>
          <w:spacing w:val="-8"/>
          <w:sz w:val="20"/>
        </w:rPr>
        <w:t> </w:t>
      </w:r>
      <w:r>
        <w:rPr>
          <w:sz w:val="20"/>
        </w:rPr>
        <w:t>trial</w:t>
      </w:r>
      <w:r>
        <w:rPr>
          <w:spacing w:val="-7"/>
          <w:sz w:val="20"/>
        </w:rPr>
        <w:t> </w:t>
      </w:r>
      <w:r>
        <w:rPr>
          <w:sz w:val="20"/>
        </w:rPr>
        <w:t>if</w:t>
      </w:r>
      <w:r>
        <w:rPr>
          <w:spacing w:val="-8"/>
          <w:sz w:val="20"/>
        </w:rPr>
        <w:t> </w:t>
      </w:r>
      <w:r>
        <w:rPr>
          <w:sz w:val="20"/>
        </w:rPr>
        <w:t>the</w:t>
      </w:r>
      <w:r>
        <w:rPr>
          <w:spacing w:val="-7"/>
          <w:sz w:val="20"/>
        </w:rPr>
        <w:t> </w:t>
      </w:r>
      <w:r>
        <w:rPr>
          <w:sz w:val="20"/>
        </w:rPr>
        <w:t>potential</w:t>
      </w:r>
      <w:r>
        <w:rPr>
          <w:spacing w:val="-8"/>
          <w:sz w:val="20"/>
        </w:rPr>
        <w:t> </w:t>
      </w:r>
      <w:r>
        <w:rPr>
          <w:sz w:val="20"/>
        </w:rPr>
        <w:t>juror</w:t>
      </w:r>
      <w:r>
        <w:rPr>
          <w:spacing w:val="-7"/>
          <w:sz w:val="20"/>
        </w:rPr>
        <w:t> </w:t>
      </w:r>
      <w:r>
        <w:rPr>
          <w:sz w:val="20"/>
        </w:rPr>
        <w:t>is</w:t>
      </w:r>
      <w:r>
        <w:rPr>
          <w:spacing w:val="-7"/>
          <w:sz w:val="20"/>
        </w:rPr>
        <w:t> </w:t>
      </w:r>
      <w:r>
        <w:rPr>
          <w:spacing w:val="-3"/>
          <w:sz w:val="20"/>
        </w:rPr>
        <w:t>ultimately</w:t>
      </w:r>
      <w:r>
        <w:rPr>
          <w:spacing w:val="-8"/>
          <w:sz w:val="20"/>
        </w:rPr>
        <w:t> </w:t>
      </w:r>
      <w:r>
        <w:rPr>
          <w:sz w:val="20"/>
        </w:rPr>
        <w:t>selected.</w:t>
      </w:r>
    </w:p>
    <w:p>
      <w:pPr>
        <w:pStyle w:val="Heading6"/>
        <w:spacing w:before="128"/>
        <w:rPr>
          <w:b/>
        </w:rPr>
      </w:pPr>
      <w:r>
        <w:rPr>
          <w:b/>
        </w:rPr>
        <w:t>When fair trial issues need to be considered</w:t>
      </w:r>
    </w:p>
    <w:p>
      <w:pPr>
        <w:pStyle w:val="ListParagraph"/>
        <w:numPr>
          <w:ilvl w:val="1"/>
          <w:numId w:val="12"/>
        </w:numPr>
        <w:tabs>
          <w:tab w:pos="1761" w:val="left" w:leader="none"/>
          <w:tab w:pos="1762" w:val="left" w:leader="none"/>
        </w:tabs>
        <w:spacing w:line="206" w:lineRule="auto" w:before="132" w:after="0"/>
        <w:ind w:left="1761" w:right="1352" w:hanging="794"/>
        <w:jc w:val="left"/>
        <w:rPr>
          <w:sz w:val="20"/>
        </w:rPr>
      </w:pPr>
      <w:r>
        <w:rPr>
          <w:sz w:val="20"/>
        </w:rPr>
        <w:t>In some situations, for </w:t>
      </w:r>
      <w:r>
        <w:rPr>
          <w:spacing w:val="-3"/>
          <w:sz w:val="20"/>
        </w:rPr>
        <w:t>example, </w:t>
      </w:r>
      <w:r>
        <w:rPr>
          <w:sz w:val="20"/>
        </w:rPr>
        <w:t>where the person is blind or </w:t>
      </w:r>
      <w:r>
        <w:rPr>
          <w:spacing w:val="-3"/>
          <w:sz w:val="20"/>
        </w:rPr>
        <w:t>requires </w:t>
      </w:r>
      <w:r>
        <w:rPr>
          <w:sz w:val="20"/>
        </w:rPr>
        <w:t>Auslan </w:t>
      </w:r>
      <w:r>
        <w:rPr>
          <w:spacing w:val="-3"/>
          <w:sz w:val="20"/>
        </w:rPr>
        <w:t>interpreters, </w:t>
      </w:r>
      <w:r>
        <w:rPr>
          <w:sz w:val="20"/>
        </w:rPr>
        <w:t>it </w:t>
      </w:r>
      <w:r>
        <w:rPr>
          <w:spacing w:val="-3"/>
          <w:sz w:val="20"/>
        </w:rPr>
        <w:t>may </w:t>
      </w:r>
      <w:r>
        <w:rPr>
          <w:sz w:val="20"/>
        </w:rPr>
        <w:t>be difficult for the Juries Commissioner to </w:t>
      </w:r>
      <w:r>
        <w:rPr>
          <w:spacing w:val="-3"/>
          <w:sz w:val="20"/>
        </w:rPr>
        <w:t>make </w:t>
      </w:r>
      <w:r>
        <w:rPr>
          <w:sz w:val="20"/>
        </w:rPr>
        <w:t>an assessment about</w:t>
      </w:r>
      <w:r>
        <w:rPr>
          <w:spacing w:val="-12"/>
          <w:sz w:val="20"/>
        </w:rPr>
        <w:t> </w:t>
      </w:r>
      <w:r>
        <w:rPr>
          <w:sz w:val="20"/>
        </w:rPr>
        <w:t>whether</w:t>
      </w:r>
      <w:r>
        <w:rPr>
          <w:spacing w:val="-11"/>
          <w:sz w:val="20"/>
        </w:rPr>
        <w:t> </w:t>
      </w:r>
      <w:r>
        <w:rPr>
          <w:sz w:val="20"/>
        </w:rPr>
        <w:t>adjustments</w:t>
      </w:r>
      <w:r>
        <w:rPr>
          <w:spacing w:val="-12"/>
          <w:sz w:val="20"/>
        </w:rPr>
        <w:t> </w:t>
      </w:r>
      <w:r>
        <w:rPr>
          <w:sz w:val="20"/>
        </w:rPr>
        <w:t>will</w:t>
      </w:r>
      <w:r>
        <w:rPr>
          <w:spacing w:val="-11"/>
          <w:sz w:val="20"/>
        </w:rPr>
        <w:t> </w:t>
      </w:r>
      <w:r>
        <w:rPr>
          <w:sz w:val="20"/>
        </w:rPr>
        <w:t>enable</w:t>
      </w:r>
      <w:r>
        <w:rPr>
          <w:spacing w:val="-12"/>
          <w:sz w:val="20"/>
        </w:rPr>
        <w:t> </w:t>
      </w:r>
      <w:r>
        <w:rPr>
          <w:sz w:val="20"/>
        </w:rPr>
        <w:t>the</w:t>
      </w:r>
      <w:r>
        <w:rPr>
          <w:spacing w:val="-11"/>
          <w:sz w:val="20"/>
        </w:rPr>
        <w:t> </w:t>
      </w:r>
      <w:r>
        <w:rPr>
          <w:sz w:val="20"/>
        </w:rPr>
        <w:t>person</w:t>
      </w:r>
      <w:r>
        <w:rPr>
          <w:spacing w:val="-12"/>
          <w:sz w:val="20"/>
        </w:rPr>
        <w:t> </w:t>
      </w:r>
      <w:r>
        <w:rPr>
          <w:sz w:val="20"/>
        </w:rPr>
        <w:t>to</w:t>
      </w:r>
      <w:r>
        <w:rPr>
          <w:spacing w:val="-11"/>
          <w:sz w:val="20"/>
        </w:rPr>
        <w:t> </w:t>
      </w:r>
      <w:r>
        <w:rPr>
          <w:sz w:val="20"/>
        </w:rPr>
        <w:t>perform</w:t>
      </w:r>
      <w:r>
        <w:rPr>
          <w:spacing w:val="-12"/>
          <w:sz w:val="20"/>
        </w:rPr>
        <w:t> </w:t>
      </w:r>
      <w:r>
        <w:rPr>
          <w:sz w:val="20"/>
        </w:rPr>
        <w:t>their</w:t>
      </w:r>
      <w:r>
        <w:rPr>
          <w:spacing w:val="-11"/>
          <w:sz w:val="20"/>
        </w:rPr>
        <w:t> </w:t>
      </w:r>
      <w:r>
        <w:rPr>
          <w:spacing w:val="-3"/>
          <w:sz w:val="20"/>
        </w:rPr>
        <w:t>role,</w:t>
      </w:r>
      <w:r>
        <w:rPr>
          <w:spacing w:val="-12"/>
          <w:sz w:val="20"/>
        </w:rPr>
        <w:t> </w:t>
      </w:r>
      <w:r>
        <w:rPr>
          <w:sz w:val="20"/>
        </w:rPr>
        <w:t>because</w:t>
      </w:r>
      <w:r>
        <w:rPr>
          <w:spacing w:val="-11"/>
          <w:sz w:val="20"/>
        </w:rPr>
        <w:t> </w:t>
      </w:r>
      <w:r>
        <w:rPr>
          <w:sz w:val="20"/>
        </w:rPr>
        <w:t>they will</w:t>
      </w:r>
      <w:r>
        <w:rPr>
          <w:spacing w:val="-6"/>
          <w:sz w:val="20"/>
        </w:rPr>
        <w:t> </w:t>
      </w:r>
      <w:r>
        <w:rPr>
          <w:sz w:val="20"/>
        </w:rPr>
        <w:t>not</w:t>
      </w:r>
      <w:r>
        <w:rPr>
          <w:spacing w:val="-5"/>
          <w:sz w:val="20"/>
        </w:rPr>
        <w:t> </w:t>
      </w:r>
      <w:r>
        <w:rPr>
          <w:sz w:val="20"/>
        </w:rPr>
        <w:t>be</w:t>
      </w:r>
      <w:r>
        <w:rPr>
          <w:spacing w:val="-5"/>
          <w:sz w:val="20"/>
        </w:rPr>
        <w:t> </w:t>
      </w:r>
      <w:r>
        <w:rPr>
          <w:sz w:val="20"/>
        </w:rPr>
        <w:t>familiar</w:t>
      </w:r>
      <w:r>
        <w:rPr>
          <w:spacing w:val="-5"/>
          <w:sz w:val="20"/>
        </w:rPr>
        <w:t> </w:t>
      </w:r>
      <w:r>
        <w:rPr>
          <w:sz w:val="20"/>
        </w:rPr>
        <w:t>with</w:t>
      </w:r>
      <w:r>
        <w:rPr>
          <w:spacing w:val="-6"/>
          <w:sz w:val="20"/>
        </w:rPr>
        <w:t> </w:t>
      </w:r>
      <w:r>
        <w:rPr>
          <w:sz w:val="20"/>
        </w:rPr>
        <w:t>the</w:t>
      </w:r>
      <w:r>
        <w:rPr>
          <w:spacing w:val="-5"/>
          <w:sz w:val="20"/>
        </w:rPr>
        <w:t> </w:t>
      </w:r>
      <w:r>
        <w:rPr>
          <w:sz w:val="20"/>
        </w:rPr>
        <w:t>evidence</w:t>
      </w:r>
      <w:r>
        <w:rPr>
          <w:spacing w:val="-5"/>
          <w:sz w:val="20"/>
        </w:rPr>
        <w:t> </w:t>
      </w:r>
      <w:r>
        <w:rPr>
          <w:spacing w:val="-3"/>
          <w:sz w:val="20"/>
        </w:rPr>
        <w:t>likely</w:t>
      </w:r>
      <w:r>
        <w:rPr>
          <w:spacing w:val="-5"/>
          <w:sz w:val="20"/>
        </w:rPr>
        <w:t> </w:t>
      </w:r>
      <w:r>
        <w:rPr>
          <w:sz w:val="20"/>
        </w:rPr>
        <w:t>to</w:t>
      </w:r>
      <w:r>
        <w:rPr>
          <w:spacing w:val="-6"/>
          <w:sz w:val="20"/>
        </w:rPr>
        <w:t> </w:t>
      </w:r>
      <w:r>
        <w:rPr>
          <w:sz w:val="20"/>
        </w:rPr>
        <w:t>be</w:t>
      </w:r>
      <w:r>
        <w:rPr>
          <w:spacing w:val="-5"/>
          <w:sz w:val="20"/>
        </w:rPr>
        <w:t> </w:t>
      </w:r>
      <w:r>
        <w:rPr>
          <w:spacing w:val="-3"/>
          <w:sz w:val="20"/>
        </w:rPr>
        <w:t>presented</w:t>
      </w:r>
      <w:r>
        <w:rPr>
          <w:spacing w:val="-5"/>
          <w:sz w:val="20"/>
        </w:rPr>
        <w:t> </w:t>
      </w:r>
      <w:r>
        <w:rPr>
          <w:sz w:val="20"/>
        </w:rPr>
        <w:t>at</w:t>
      </w:r>
      <w:r>
        <w:rPr>
          <w:spacing w:val="-5"/>
          <w:sz w:val="20"/>
        </w:rPr>
        <w:t> </w:t>
      </w:r>
      <w:r>
        <w:rPr>
          <w:sz w:val="20"/>
        </w:rPr>
        <w:t>trial.</w:t>
      </w:r>
    </w:p>
    <w:p>
      <w:pPr>
        <w:pStyle w:val="Heading6"/>
        <w:spacing w:line="235" w:lineRule="auto" w:before="135"/>
        <w:ind w:right="2412"/>
        <w:rPr>
          <w:b/>
        </w:rPr>
      </w:pPr>
      <w:r>
        <w:rPr>
          <w:b/>
          <w:color w:val="4D4D4F"/>
        </w:rPr>
        <w:t>The final directions hearing should not inform the Juries Commissioner’s recommendation</w:t>
      </w:r>
    </w:p>
    <w:p>
      <w:pPr>
        <w:pStyle w:val="ListParagraph"/>
        <w:numPr>
          <w:ilvl w:val="1"/>
          <w:numId w:val="12"/>
        </w:numPr>
        <w:tabs>
          <w:tab w:pos="1761" w:val="left" w:leader="none"/>
          <w:tab w:pos="1762" w:val="left" w:leader="none"/>
        </w:tabs>
        <w:spacing w:line="206" w:lineRule="auto" w:before="133" w:after="0"/>
        <w:ind w:left="1761" w:right="1297" w:hanging="794"/>
        <w:jc w:val="left"/>
        <w:rPr>
          <w:sz w:val="11"/>
        </w:rPr>
      </w:pPr>
      <w:r>
        <w:rPr>
          <w:sz w:val="20"/>
        </w:rPr>
        <w:t>Although raised </w:t>
      </w:r>
      <w:r>
        <w:rPr>
          <w:spacing w:val="-3"/>
          <w:sz w:val="20"/>
        </w:rPr>
        <w:t>by </w:t>
      </w:r>
      <w:r>
        <w:rPr>
          <w:sz w:val="20"/>
        </w:rPr>
        <w:t>the Commission in consultations, the Commission </w:t>
      </w:r>
      <w:r>
        <w:rPr>
          <w:spacing w:val="-3"/>
          <w:sz w:val="20"/>
        </w:rPr>
        <w:t>now </w:t>
      </w:r>
      <w:r>
        <w:rPr>
          <w:sz w:val="20"/>
        </w:rPr>
        <w:t>does not think that the final directions hearing should generate a binding direction about the suitability of a trial for a person </w:t>
      </w:r>
      <w:r>
        <w:rPr>
          <w:spacing w:val="-3"/>
          <w:sz w:val="20"/>
        </w:rPr>
        <w:t>from </w:t>
      </w:r>
      <w:r>
        <w:rPr>
          <w:sz w:val="20"/>
        </w:rPr>
        <w:t>the subject groups (albeit appealable to the Court). Such a direction </w:t>
      </w:r>
      <w:r>
        <w:rPr>
          <w:spacing w:val="-3"/>
          <w:sz w:val="20"/>
        </w:rPr>
        <w:t>would </w:t>
      </w:r>
      <w:r>
        <w:rPr>
          <w:sz w:val="20"/>
        </w:rPr>
        <w:t>be made in the absence of </w:t>
      </w:r>
      <w:r>
        <w:rPr>
          <w:spacing w:val="-3"/>
          <w:sz w:val="20"/>
        </w:rPr>
        <w:t>any </w:t>
      </w:r>
      <w:r>
        <w:rPr>
          <w:sz w:val="20"/>
        </w:rPr>
        <w:t>understanding of the particular adjustments </w:t>
      </w:r>
      <w:r>
        <w:rPr>
          <w:spacing w:val="-3"/>
          <w:sz w:val="20"/>
        </w:rPr>
        <w:t>required by </w:t>
      </w:r>
      <w:r>
        <w:rPr>
          <w:sz w:val="20"/>
        </w:rPr>
        <w:t>the potential </w:t>
      </w:r>
      <w:r>
        <w:rPr>
          <w:spacing w:val="-4"/>
          <w:sz w:val="20"/>
        </w:rPr>
        <w:t>juror. </w:t>
      </w:r>
      <w:r>
        <w:rPr>
          <w:sz w:val="20"/>
        </w:rPr>
        <w:t>It </w:t>
      </w:r>
      <w:r>
        <w:rPr>
          <w:spacing w:val="-3"/>
          <w:sz w:val="20"/>
        </w:rPr>
        <w:t>would </w:t>
      </w:r>
      <w:r>
        <w:rPr>
          <w:sz w:val="20"/>
        </w:rPr>
        <w:t>run contrary to the recommendations of the United Nations Committee on the Rights of Persons with Disabilities’</w:t>
      </w:r>
      <w:r>
        <w:rPr>
          <w:spacing w:val="-14"/>
          <w:sz w:val="20"/>
        </w:rPr>
        <w:t> </w:t>
      </w:r>
      <w:r>
        <w:rPr>
          <w:sz w:val="20"/>
        </w:rPr>
        <w:t>recommendations</w:t>
      </w:r>
      <w:r>
        <w:rPr>
          <w:spacing w:val="-13"/>
          <w:sz w:val="20"/>
        </w:rPr>
        <w:t> </w:t>
      </w:r>
      <w:r>
        <w:rPr>
          <w:sz w:val="20"/>
        </w:rPr>
        <w:t>for</w:t>
      </w:r>
      <w:r>
        <w:rPr>
          <w:spacing w:val="-13"/>
          <w:sz w:val="20"/>
        </w:rPr>
        <w:t> </w:t>
      </w:r>
      <w:r>
        <w:rPr>
          <w:sz w:val="20"/>
        </w:rPr>
        <w:t>an</w:t>
      </w:r>
      <w:r>
        <w:rPr>
          <w:spacing w:val="-14"/>
          <w:sz w:val="20"/>
        </w:rPr>
        <w:t> </w:t>
      </w:r>
      <w:r>
        <w:rPr>
          <w:sz w:val="20"/>
        </w:rPr>
        <w:t>objective</w:t>
      </w:r>
      <w:r>
        <w:rPr>
          <w:spacing w:val="-13"/>
          <w:sz w:val="20"/>
        </w:rPr>
        <w:t> </w:t>
      </w:r>
      <w:r>
        <w:rPr>
          <w:sz w:val="20"/>
        </w:rPr>
        <w:t>assessment</w:t>
      </w:r>
      <w:r>
        <w:rPr>
          <w:spacing w:val="-13"/>
          <w:sz w:val="20"/>
        </w:rPr>
        <w:t> </w:t>
      </w:r>
      <w:r>
        <w:rPr>
          <w:sz w:val="20"/>
        </w:rPr>
        <w:t>of</w:t>
      </w:r>
      <w:r>
        <w:rPr>
          <w:spacing w:val="-13"/>
          <w:sz w:val="20"/>
        </w:rPr>
        <w:t> </w:t>
      </w:r>
      <w:r>
        <w:rPr>
          <w:sz w:val="20"/>
        </w:rPr>
        <w:t>a</w:t>
      </w:r>
      <w:r>
        <w:rPr>
          <w:spacing w:val="-14"/>
          <w:sz w:val="20"/>
        </w:rPr>
        <w:t> </w:t>
      </w:r>
      <w:r>
        <w:rPr>
          <w:sz w:val="20"/>
        </w:rPr>
        <w:t>person’s</w:t>
      </w:r>
      <w:r>
        <w:rPr>
          <w:spacing w:val="-13"/>
          <w:sz w:val="20"/>
        </w:rPr>
        <w:t> </w:t>
      </w:r>
      <w:r>
        <w:rPr>
          <w:sz w:val="20"/>
        </w:rPr>
        <w:t>request</w:t>
      </w:r>
      <w:r>
        <w:rPr>
          <w:spacing w:val="-13"/>
          <w:sz w:val="20"/>
        </w:rPr>
        <w:t> </w:t>
      </w:r>
      <w:r>
        <w:rPr>
          <w:sz w:val="20"/>
        </w:rPr>
        <w:t>for</w:t>
      </w:r>
      <w:r>
        <w:rPr>
          <w:spacing w:val="-14"/>
          <w:sz w:val="20"/>
        </w:rPr>
        <w:t> </w:t>
      </w:r>
      <w:r>
        <w:rPr>
          <w:sz w:val="20"/>
        </w:rPr>
        <w:t>an adjustment.</w:t>
      </w:r>
      <w:r>
        <w:rPr>
          <w:position w:val="7"/>
          <w:sz w:val="11"/>
        </w:rPr>
        <w:t>69</w:t>
      </w:r>
    </w:p>
    <w:p>
      <w:pPr>
        <w:pStyle w:val="ListParagraph"/>
        <w:numPr>
          <w:ilvl w:val="1"/>
          <w:numId w:val="12"/>
        </w:numPr>
        <w:tabs>
          <w:tab w:pos="1761" w:val="left" w:leader="none"/>
          <w:tab w:pos="1762" w:val="left" w:leader="none"/>
        </w:tabs>
        <w:spacing w:line="206" w:lineRule="auto" w:before="130" w:after="0"/>
        <w:ind w:left="1761" w:right="1265" w:hanging="794"/>
        <w:jc w:val="left"/>
        <w:rPr>
          <w:sz w:val="20"/>
        </w:rPr>
      </w:pPr>
      <w:r>
        <w:rPr>
          <w:sz w:val="20"/>
        </w:rPr>
        <w:t>The</w:t>
      </w:r>
      <w:r>
        <w:rPr>
          <w:spacing w:val="-12"/>
          <w:sz w:val="20"/>
        </w:rPr>
        <w:t> </w:t>
      </w:r>
      <w:r>
        <w:rPr>
          <w:sz w:val="20"/>
        </w:rPr>
        <w:t>Supreme</w:t>
      </w:r>
      <w:r>
        <w:rPr>
          <w:spacing w:val="-12"/>
          <w:sz w:val="20"/>
        </w:rPr>
        <w:t> </w:t>
      </w:r>
      <w:r>
        <w:rPr>
          <w:sz w:val="20"/>
        </w:rPr>
        <w:t>Court</w:t>
      </w:r>
      <w:r>
        <w:rPr>
          <w:spacing w:val="-11"/>
          <w:sz w:val="20"/>
        </w:rPr>
        <w:t> </w:t>
      </w:r>
      <w:r>
        <w:rPr>
          <w:sz w:val="20"/>
        </w:rPr>
        <w:t>suggested</w:t>
      </w:r>
      <w:r>
        <w:rPr>
          <w:spacing w:val="-12"/>
          <w:sz w:val="20"/>
        </w:rPr>
        <w:t> </w:t>
      </w:r>
      <w:r>
        <w:rPr>
          <w:sz w:val="20"/>
        </w:rPr>
        <w:t>that</w:t>
      </w:r>
      <w:r>
        <w:rPr>
          <w:spacing w:val="-11"/>
          <w:sz w:val="20"/>
        </w:rPr>
        <w:t> </w:t>
      </w:r>
      <w:r>
        <w:rPr>
          <w:sz w:val="20"/>
        </w:rPr>
        <w:t>rather</w:t>
      </w:r>
      <w:r>
        <w:rPr>
          <w:spacing w:val="-12"/>
          <w:sz w:val="20"/>
        </w:rPr>
        <w:t> </w:t>
      </w:r>
      <w:r>
        <w:rPr>
          <w:sz w:val="20"/>
        </w:rPr>
        <w:t>than</w:t>
      </w:r>
      <w:r>
        <w:rPr>
          <w:spacing w:val="-11"/>
          <w:sz w:val="20"/>
        </w:rPr>
        <w:t> </w:t>
      </w:r>
      <w:r>
        <w:rPr>
          <w:sz w:val="20"/>
        </w:rPr>
        <w:t>generating</w:t>
      </w:r>
      <w:r>
        <w:rPr>
          <w:spacing w:val="-12"/>
          <w:sz w:val="20"/>
        </w:rPr>
        <w:t> </w:t>
      </w:r>
      <w:r>
        <w:rPr>
          <w:sz w:val="20"/>
        </w:rPr>
        <w:t>a</w:t>
      </w:r>
      <w:r>
        <w:rPr>
          <w:spacing w:val="-11"/>
          <w:sz w:val="20"/>
        </w:rPr>
        <w:t> </w:t>
      </w:r>
      <w:r>
        <w:rPr>
          <w:sz w:val="20"/>
        </w:rPr>
        <w:t>binding</w:t>
      </w:r>
      <w:r>
        <w:rPr>
          <w:spacing w:val="-12"/>
          <w:sz w:val="20"/>
        </w:rPr>
        <w:t> </w:t>
      </w:r>
      <w:r>
        <w:rPr>
          <w:spacing w:val="-3"/>
          <w:sz w:val="20"/>
        </w:rPr>
        <w:t>outcome,</w:t>
      </w:r>
      <w:r>
        <w:rPr>
          <w:spacing w:val="-11"/>
          <w:sz w:val="20"/>
        </w:rPr>
        <w:t> </w:t>
      </w:r>
      <w:r>
        <w:rPr>
          <w:sz w:val="20"/>
        </w:rPr>
        <w:t>the</w:t>
      </w:r>
      <w:r>
        <w:rPr>
          <w:spacing w:val="-12"/>
          <w:sz w:val="20"/>
        </w:rPr>
        <w:t> </w:t>
      </w:r>
      <w:r>
        <w:rPr>
          <w:sz w:val="20"/>
        </w:rPr>
        <w:t>final directions hearing discussion could be an information-gathering </w:t>
      </w:r>
      <w:r>
        <w:rPr>
          <w:spacing w:val="-3"/>
          <w:sz w:val="20"/>
        </w:rPr>
        <w:t>exercise </w:t>
      </w:r>
      <w:r>
        <w:rPr>
          <w:spacing w:val="-5"/>
          <w:sz w:val="20"/>
        </w:rPr>
        <w:t>only, </w:t>
      </w:r>
      <w:r>
        <w:rPr>
          <w:sz w:val="20"/>
        </w:rPr>
        <w:t>as the </w:t>
      </w:r>
      <w:r>
        <w:rPr>
          <w:spacing w:val="-3"/>
          <w:sz w:val="20"/>
        </w:rPr>
        <w:t>nature</w:t>
      </w:r>
      <w:r>
        <w:rPr>
          <w:spacing w:val="-9"/>
          <w:sz w:val="20"/>
        </w:rPr>
        <w:t> </w:t>
      </w:r>
      <w:r>
        <w:rPr>
          <w:sz w:val="20"/>
        </w:rPr>
        <w:t>of</w:t>
      </w:r>
      <w:r>
        <w:rPr>
          <w:spacing w:val="-8"/>
          <w:sz w:val="20"/>
        </w:rPr>
        <w:t> </w:t>
      </w:r>
      <w:r>
        <w:rPr>
          <w:sz w:val="20"/>
        </w:rPr>
        <w:t>the</w:t>
      </w:r>
      <w:r>
        <w:rPr>
          <w:spacing w:val="-8"/>
          <w:sz w:val="20"/>
        </w:rPr>
        <w:t> </w:t>
      </w:r>
      <w:r>
        <w:rPr>
          <w:sz w:val="20"/>
        </w:rPr>
        <w:t>disability</w:t>
      </w:r>
      <w:r>
        <w:rPr>
          <w:spacing w:val="-8"/>
          <w:sz w:val="20"/>
        </w:rPr>
        <w:t> </w:t>
      </w:r>
      <w:r>
        <w:rPr>
          <w:sz w:val="20"/>
        </w:rPr>
        <w:t>of</w:t>
      </w:r>
      <w:r>
        <w:rPr>
          <w:spacing w:val="-9"/>
          <w:sz w:val="20"/>
        </w:rPr>
        <w:t> </w:t>
      </w:r>
      <w:r>
        <w:rPr>
          <w:sz w:val="20"/>
        </w:rPr>
        <w:t>the</w:t>
      </w:r>
      <w:r>
        <w:rPr>
          <w:spacing w:val="-8"/>
          <w:sz w:val="20"/>
        </w:rPr>
        <w:t> </w:t>
      </w:r>
      <w:r>
        <w:rPr>
          <w:sz w:val="20"/>
        </w:rPr>
        <w:t>person</w:t>
      </w:r>
      <w:r>
        <w:rPr>
          <w:spacing w:val="-8"/>
          <w:sz w:val="20"/>
        </w:rPr>
        <w:t> </w:t>
      </w:r>
      <w:r>
        <w:rPr>
          <w:spacing w:val="-3"/>
          <w:sz w:val="20"/>
        </w:rPr>
        <w:t>would</w:t>
      </w:r>
      <w:r>
        <w:rPr>
          <w:spacing w:val="-8"/>
          <w:sz w:val="20"/>
        </w:rPr>
        <w:t> </w:t>
      </w:r>
      <w:r>
        <w:rPr>
          <w:sz w:val="20"/>
        </w:rPr>
        <w:t>not</w:t>
      </w:r>
      <w:r>
        <w:rPr>
          <w:spacing w:val="-9"/>
          <w:sz w:val="20"/>
        </w:rPr>
        <w:t> </w:t>
      </w:r>
      <w:r>
        <w:rPr>
          <w:sz w:val="20"/>
        </w:rPr>
        <w:t>be</w:t>
      </w:r>
      <w:r>
        <w:rPr>
          <w:spacing w:val="-8"/>
          <w:sz w:val="20"/>
        </w:rPr>
        <w:t> </w:t>
      </w:r>
      <w:r>
        <w:rPr>
          <w:sz w:val="20"/>
        </w:rPr>
        <w:t>known.</w:t>
      </w:r>
      <w:r>
        <w:rPr>
          <w:spacing w:val="-8"/>
          <w:sz w:val="20"/>
        </w:rPr>
        <w:t> </w:t>
      </w:r>
      <w:r>
        <w:rPr>
          <w:sz w:val="20"/>
        </w:rPr>
        <w:t>This</w:t>
      </w:r>
      <w:r>
        <w:rPr>
          <w:spacing w:val="-8"/>
          <w:sz w:val="20"/>
        </w:rPr>
        <w:t> </w:t>
      </w:r>
      <w:r>
        <w:rPr>
          <w:sz w:val="20"/>
        </w:rPr>
        <w:t>information</w:t>
      </w:r>
      <w:r>
        <w:rPr>
          <w:spacing w:val="-9"/>
          <w:sz w:val="20"/>
        </w:rPr>
        <w:t> </w:t>
      </w:r>
      <w:r>
        <w:rPr>
          <w:spacing w:val="-3"/>
          <w:sz w:val="20"/>
        </w:rPr>
        <w:t>would</w:t>
      </w:r>
      <w:r>
        <w:rPr>
          <w:spacing w:val="-8"/>
          <w:sz w:val="20"/>
        </w:rPr>
        <w:t> </w:t>
      </w:r>
      <w:r>
        <w:rPr>
          <w:sz w:val="20"/>
        </w:rPr>
        <w:t>then assist Juries Victoria in its preliminary</w:t>
      </w:r>
      <w:r>
        <w:rPr>
          <w:spacing w:val="-29"/>
          <w:sz w:val="20"/>
        </w:rPr>
        <w:t> </w:t>
      </w:r>
      <w:r>
        <w:rPr>
          <w:sz w:val="20"/>
        </w:rPr>
        <w:t>assessment.</w:t>
      </w:r>
    </w:p>
    <w:p>
      <w:pPr>
        <w:pStyle w:val="ListParagraph"/>
        <w:numPr>
          <w:ilvl w:val="1"/>
          <w:numId w:val="12"/>
        </w:numPr>
        <w:tabs>
          <w:tab w:pos="1761" w:val="left" w:leader="none"/>
          <w:tab w:pos="1762" w:val="left" w:leader="none"/>
        </w:tabs>
        <w:spacing w:line="206" w:lineRule="auto" w:before="125" w:after="0"/>
        <w:ind w:left="1761" w:right="1482" w:hanging="794"/>
        <w:jc w:val="left"/>
        <w:rPr>
          <w:sz w:val="20"/>
        </w:rPr>
      </w:pPr>
      <w:r>
        <w:rPr>
          <w:sz w:val="20"/>
        </w:rPr>
        <w:t>The</w:t>
      </w:r>
      <w:r>
        <w:rPr>
          <w:spacing w:val="-10"/>
          <w:sz w:val="20"/>
        </w:rPr>
        <w:t> </w:t>
      </w:r>
      <w:r>
        <w:rPr>
          <w:sz w:val="20"/>
        </w:rPr>
        <w:t>Commission</w:t>
      </w:r>
      <w:r>
        <w:rPr>
          <w:spacing w:val="-9"/>
          <w:sz w:val="20"/>
        </w:rPr>
        <w:t> </w:t>
      </w:r>
      <w:r>
        <w:rPr>
          <w:sz w:val="20"/>
        </w:rPr>
        <w:t>is</w:t>
      </w:r>
      <w:r>
        <w:rPr>
          <w:spacing w:val="-9"/>
          <w:sz w:val="20"/>
        </w:rPr>
        <w:t> </w:t>
      </w:r>
      <w:r>
        <w:rPr>
          <w:sz w:val="20"/>
        </w:rPr>
        <w:t>of</w:t>
      </w:r>
      <w:r>
        <w:rPr>
          <w:spacing w:val="-9"/>
          <w:sz w:val="20"/>
        </w:rPr>
        <w:t> </w:t>
      </w:r>
      <w:r>
        <w:rPr>
          <w:sz w:val="20"/>
        </w:rPr>
        <w:t>the</w:t>
      </w:r>
      <w:r>
        <w:rPr>
          <w:spacing w:val="-9"/>
          <w:sz w:val="20"/>
        </w:rPr>
        <w:t> </w:t>
      </w:r>
      <w:r>
        <w:rPr>
          <w:sz w:val="20"/>
        </w:rPr>
        <w:t>view</w:t>
      </w:r>
      <w:r>
        <w:rPr>
          <w:spacing w:val="-9"/>
          <w:sz w:val="20"/>
        </w:rPr>
        <w:t> </w:t>
      </w:r>
      <w:r>
        <w:rPr>
          <w:sz w:val="20"/>
        </w:rPr>
        <w:t>that</w:t>
      </w:r>
      <w:r>
        <w:rPr>
          <w:spacing w:val="-9"/>
          <w:sz w:val="20"/>
        </w:rPr>
        <w:t> </w:t>
      </w:r>
      <w:r>
        <w:rPr>
          <w:sz w:val="20"/>
        </w:rPr>
        <w:t>although</w:t>
      </w:r>
      <w:r>
        <w:rPr>
          <w:spacing w:val="-9"/>
          <w:sz w:val="20"/>
        </w:rPr>
        <w:t> </w:t>
      </w:r>
      <w:r>
        <w:rPr>
          <w:sz w:val="20"/>
        </w:rPr>
        <w:t>this</w:t>
      </w:r>
      <w:r>
        <w:rPr>
          <w:spacing w:val="-9"/>
          <w:sz w:val="20"/>
        </w:rPr>
        <w:t> </w:t>
      </w:r>
      <w:r>
        <w:rPr>
          <w:sz w:val="20"/>
        </w:rPr>
        <w:t>information</w:t>
      </w:r>
      <w:r>
        <w:rPr>
          <w:spacing w:val="-9"/>
          <w:sz w:val="20"/>
        </w:rPr>
        <w:t> </w:t>
      </w:r>
      <w:r>
        <w:rPr>
          <w:spacing w:val="-3"/>
          <w:sz w:val="20"/>
        </w:rPr>
        <w:t>would</w:t>
      </w:r>
      <w:r>
        <w:rPr>
          <w:spacing w:val="-9"/>
          <w:sz w:val="20"/>
        </w:rPr>
        <w:t> </w:t>
      </w:r>
      <w:r>
        <w:rPr>
          <w:sz w:val="20"/>
        </w:rPr>
        <w:t>assist,</w:t>
      </w:r>
      <w:r>
        <w:rPr>
          <w:spacing w:val="-9"/>
          <w:sz w:val="20"/>
        </w:rPr>
        <w:t> </w:t>
      </w:r>
      <w:r>
        <w:rPr>
          <w:sz w:val="20"/>
        </w:rPr>
        <w:t>it</w:t>
      </w:r>
      <w:r>
        <w:rPr>
          <w:spacing w:val="-9"/>
          <w:sz w:val="20"/>
        </w:rPr>
        <w:t> </w:t>
      </w:r>
      <w:r>
        <w:rPr>
          <w:spacing w:val="-3"/>
          <w:sz w:val="20"/>
        </w:rPr>
        <w:t>may</w:t>
      </w:r>
      <w:r>
        <w:rPr>
          <w:spacing w:val="-9"/>
          <w:sz w:val="20"/>
        </w:rPr>
        <w:t> </w:t>
      </w:r>
      <w:r>
        <w:rPr>
          <w:sz w:val="20"/>
        </w:rPr>
        <w:t>be inefficient</w:t>
      </w:r>
      <w:r>
        <w:rPr>
          <w:spacing w:val="-10"/>
          <w:sz w:val="20"/>
        </w:rPr>
        <w:t> </w:t>
      </w:r>
      <w:r>
        <w:rPr>
          <w:sz w:val="20"/>
        </w:rPr>
        <w:t>to</w:t>
      </w:r>
      <w:r>
        <w:rPr>
          <w:spacing w:val="-10"/>
          <w:sz w:val="20"/>
        </w:rPr>
        <w:t> </w:t>
      </w:r>
      <w:r>
        <w:rPr>
          <w:sz w:val="20"/>
        </w:rPr>
        <w:t>set</w:t>
      </w:r>
      <w:r>
        <w:rPr>
          <w:spacing w:val="-9"/>
          <w:sz w:val="20"/>
        </w:rPr>
        <w:t> </w:t>
      </w:r>
      <w:r>
        <w:rPr>
          <w:sz w:val="20"/>
        </w:rPr>
        <w:t>this</w:t>
      </w:r>
      <w:r>
        <w:rPr>
          <w:spacing w:val="-10"/>
          <w:sz w:val="20"/>
        </w:rPr>
        <w:t> </w:t>
      </w:r>
      <w:r>
        <w:rPr>
          <w:sz w:val="20"/>
        </w:rPr>
        <w:t>process</w:t>
      </w:r>
      <w:r>
        <w:rPr>
          <w:spacing w:val="-9"/>
          <w:sz w:val="20"/>
        </w:rPr>
        <w:t> </w:t>
      </w:r>
      <w:r>
        <w:rPr>
          <w:sz w:val="20"/>
        </w:rPr>
        <w:t>up</w:t>
      </w:r>
      <w:r>
        <w:rPr>
          <w:spacing w:val="-10"/>
          <w:sz w:val="20"/>
        </w:rPr>
        <w:t> </w:t>
      </w:r>
      <w:r>
        <w:rPr>
          <w:spacing w:val="-3"/>
          <w:sz w:val="20"/>
        </w:rPr>
        <w:t>across</w:t>
      </w:r>
      <w:r>
        <w:rPr>
          <w:spacing w:val="-9"/>
          <w:sz w:val="20"/>
        </w:rPr>
        <w:t> </w:t>
      </w:r>
      <w:r>
        <w:rPr>
          <w:sz w:val="20"/>
        </w:rPr>
        <w:t>all</w:t>
      </w:r>
      <w:r>
        <w:rPr>
          <w:spacing w:val="-10"/>
          <w:sz w:val="20"/>
        </w:rPr>
        <w:t> </w:t>
      </w:r>
      <w:r>
        <w:rPr>
          <w:sz w:val="20"/>
        </w:rPr>
        <w:t>trials</w:t>
      </w:r>
      <w:r>
        <w:rPr>
          <w:spacing w:val="-10"/>
          <w:sz w:val="20"/>
        </w:rPr>
        <w:t> </w:t>
      </w:r>
      <w:r>
        <w:rPr>
          <w:sz w:val="20"/>
        </w:rPr>
        <w:t>when</w:t>
      </w:r>
      <w:r>
        <w:rPr>
          <w:spacing w:val="-9"/>
          <w:sz w:val="20"/>
        </w:rPr>
        <w:t> </w:t>
      </w:r>
      <w:r>
        <w:rPr>
          <w:sz w:val="20"/>
        </w:rPr>
        <w:t>it</w:t>
      </w:r>
      <w:r>
        <w:rPr>
          <w:spacing w:val="-10"/>
          <w:sz w:val="20"/>
        </w:rPr>
        <w:t> </w:t>
      </w:r>
      <w:r>
        <w:rPr>
          <w:sz w:val="20"/>
        </w:rPr>
        <w:t>is</w:t>
      </w:r>
      <w:r>
        <w:rPr>
          <w:spacing w:val="-9"/>
          <w:sz w:val="20"/>
        </w:rPr>
        <w:t> </w:t>
      </w:r>
      <w:r>
        <w:rPr>
          <w:spacing w:val="-3"/>
          <w:sz w:val="20"/>
        </w:rPr>
        <w:t>likely</w:t>
      </w:r>
      <w:r>
        <w:rPr>
          <w:spacing w:val="-10"/>
          <w:sz w:val="20"/>
        </w:rPr>
        <w:t> </w:t>
      </w:r>
      <w:r>
        <w:rPr>
          <w:sz w:val="20"/>
        </w:rPr>
        <w:t>that</w:t>
      </w:r>
      <w:r>
        <w:rPr>
          <w:spacing w:val="-9"/>
          <w:sz w:val="20"/>
        </w:rPr>
        <w:t> </w:t>
      </w:r>
      <w:r>
        <w:rPr>
          <w:sz w:val="20"/>
        </w:rPr>
        <w:t>most</w:t>
      </w:r>
      <w:r>
        <w:rPr>
          <w:spacing w:val="-10"/>
          <w:sz w:val="20"/>
        </w:rPr>
        <w:t> </w:t>
      </w:r>
      <w:r>
        <w:rPr>
          <w:sz w:val="20"/>
        </w:rPr>
        <w:t>will</w:t>
      </w:r>
      <w:r>
        <w:rPr>
          <w:spacing w:val="-10"/>
          <w:sz w:val="20"/>
        </w:rPr>
        <w:t> </w:t>
      </w:r>
      <w:r>
        <w:rPr>
          <w:sz w:val="20"/>
        </w:rPr>
        <w:t>not</w:t>
      </w:r>
      <w:r>
        <w:rPr>
          <w:spacing w:val="-9"/>
          <w:sz w:val="20"/>
        </w:rPr>
        <w:t> </w:t>
      </w:r>
      <w:r>
        <w:rPr>
          <w:sz w:val="20"/>
        </w:rPr>
        <w:t>be affected.</w:t>
      </w:r>
      <w:r>
        <w:rPr>
          <w:spacing w:val="-10"/>
          <w:sz w:val="20"/>
        </w:rPr>
        <w:t> </w:t>
      </w:r>
      <w:r>
        <w:rPr>
          <w:sz w:val="20"/>
        </w:rPr>
        <w:t>It</w:t>
      </w:r>
      <w:r>
        <w:rPr>
          <w:spacing w:val="-9"/>
          <w:sz w:val="20"/>
        </w:rPr>
        <w:t> </w:t>
      </w:r>
      <w:r>
        <w:rPr>
          <w:spacing w:val="-3"/>
          <w:sz w:val="20"/>
        </w:rPr>
        <w:t>may</w:t>
      </w:r>
      <w:r>
        <w:rPr>
          <w:spacing w:val="-9"/>
          <w:sz w:val="20"/>
        </w:rPr>
        <w:t> </w:t>
      </w:r>
      <w:r>
        <w:rPr>
          <w:sz w:val="20"/>
        </w:rPr>
        <w:t>also</w:t>
      </w:r>
      <w:r>
        <w:rPr>
          <w:spacing w:val="-9"/>
          <w:sz w:val="20"/>
        </w:rPr>
        <w:t> </w:t>
      </w:r>
      <w:r>
        <w:rPr>
          <w:sz w:val="20"/>
        </w:rPr>
        <w:t>be</w:t>
      </w:r>
      <w:r>
        <w:rPr>
          <w:spacing w:val="-10"/>
          <w:sz w:val="20"/>
        </w:rPr>
        <w:t> </w:t>
      </w:r>
      <w:r>
        <w:rPr>
          <w:sz w:val="20"/>
        </w:rPr>
        <w:t>unnecessary</w:t>
      </w:r>
      <w:r>
        <w:rPr>
          <w:spacing w:val="-9"/>
          <w:sz w:val="20"/>
        </w:rPr>
        <w:t> </w:t>
      </w:r>
      <w:r>
        <w:rPr>
          <w:sz w:val="20"/>
        </w:rPr>
        <w:t>if</w:t>
      </w:r>
      <w:r>
        <w:rPr>
          <w:spacing w:val="-9"/>
          <w:sz w:val="20"/>
        </w:rPr>
        <w:t> </w:t>
      </w:r>
      <w:r>
        <w:rPr>
          <w:spacing w:val="-3"/>
          <w:sz w:val="20"/>
        </w:rPr>
        <w:t>recent</w:t>
      </w:r>
      <w:r>
        <w:rPr>
          <w:spacing w:val="-9"/>
          <w:sz w:val="20"/>
        </w:rPr>
        <w:t> </w:t>
      </w:r>
      <w:r>
        <w:rPr>
          <w:sz w:val="20"/>
        </w:rPr>
        <w:t>case</w:t>
      </w:r>
      <w:r>
        <w:rPr>
          <w:spacing w:val="-10"/>
          <w:sz w:val="20"/>
        </w:rPr>
        <w:t> </w:t>
      </w:r>
      <w:r>
        <w:rPr>
          <w:sz w:val="20"/>
        </w:rPr>
        <w:t>management</w:t>
      </w:r>
      <w:r>
        <w:rPr>
          <w:spacing w:val="-9"/>
          <w:sz w:val="20"/>
        </w:rPr>
        <w:t> </w:t>
      </w:r>
      <w:r>
        <w:rPr>
          <w:sz w:val="20"/>
        </w:rPr>
        <w:t>changes</w:t>
      </w:r>
      <w:r>
        <w:rPr>
          <w:spacing w:val="-9"/>
          <w:sz w:val="20"/>
        </w:rPr>
        <w:t> </w:t>
      </w:r>
      <w:r>
        <w:rPr>
          <w:sz w:val="20"/>
        </w:rPr>
        <w:t>remain</w:t>
      </w:r>
      <w:r>
        <w:rPr>
          <w:spacing w:val="-9"/>
          <w:sz w:val="20"/>
        </w:rPr>
        <w:t> </w:t>
      </w:r>
      <w:r>
        <w:rPr>
          <w:sz w:val="20"/>
        </w:rPr>
        <w:t>so that</w:t>
      </w:r>
      <w:r>
        <w:rPr>
          <w:spacing w:val="-6"/>
          <w:sz w:val="20"/>
        </w:rPr>
        <w:t> </w:t>
      </w:r>
      <w:r>
        <w:rPr>
          <w:sz w:val="20"/>
        </w:rPr>
        <w:t>the</w:t>
      </w:r>
      <w:r>
        <w:rPr>
          <w:spacing w:val="-6"/>
          <w:sz w:val="20"/>
        </w:rPr>
        <w:t> </w:t>
      </w:r>
      <w:r>
        <w:rPr>
          <w:sz w:val="20"/>
        </w:rPr>
        <w:t>trial</w:t>
      </w:r>
      <w:r>
        <w:rPr>
          <w:spacing w:val="-5"/>
          <w:sz w:val="20"/>
        </w:rPr>
        <w:t> </w:t>
      </w:r>
      <w:r>
        <w:rPr>
          <w:sz w:val="20"/>
        </w:rPr>
        <w:t>is</w:t>
      </w:r>
      <w:r>
        <w:rPr>
          <w:spacing w:val="-6"/>
          <w:sz w:val="20"/>
        </w:rPr>
        <w:t> </w:t>
      </w:r>
      <w:r>
        <w:rPr>
          <w:sz w:val="20"/>
        </w:rPr>
        <w:t>allocated</w:t>
      </w:r>
      <w:r>
        <w:rPr>
          <w:spacing w:val="-6"/>
          <w:sz w:val="20"/>
        </w:rPr>
        <w:t> </w:t>
      </w:r>
      <w:r>
        <w:rPr>
          <w:spacing w:val="-5"/>
          <w:sz w:val="20"/>
        </w:rPr>
        <w:t>early, </w:t>
      </w:r>
      <w:r>
        <w:rPr>
          <w:sz w:val="20"/>
        </w:rPr>
        <w:t>and</w:t>
      </w:r>
      <w:r>
        <w:rPr>
          <w:spacing w:val="-6"/>
          <w:sz w:val="20"/>
        </w:rPr>
        <w:t> </w:t>
      </w:r>
      <w:r>
        <w:rPr>
          <w:sz w:val="20"/>
        </w:rPr>
        <w:t>the</w:t>
      </w:r>
      <w:r>
        <w:rPr>
          <w:spacing w:val="-5"/>
          <w:sz w:val="20"/>
        </w:rPr>
        <w:t> </w:t>
      </w:r>
      <w:r>
        <w:rPr>
          <w:sz w:val="20"/>
        </w:rPr>
        <w:t>judge</w:t>
      </w:r>
      <w:r>
        <w:rPr>
          <w:spacing w:val="-6"/>
          <w:sz w:val="20"/>
        </w:rPr>
        <w:t> </w:t>
      </w:r>
      <w:r>
        <w:rPr>
          <w:sz w:val="20"/>
        </w:rPr>
        <w:t>is</w:t>
      </w:r>
      <w:r>
        <w:rPr>
          <w:spacing w:val="-6"/>
          <w:sz w:val="20"/>
        </w:rPr>
        <w:t> </w:t>
      </w:r>
      <w:r>
        <w:rPr>
          <w:spacing w:val="-3"/>
          <w:sz w:val="20"/>
        </w:rPr>
        <w:t>across</w:t>
      </w:r>
      <w:r>
        <w:rPr>
          <w:spacing w:val="-5"/>
          <w:sz w:val="20"/>
        </w:rPr>
        <w:t> </w:t>
      </w:r>
      <w:r>
        <w:rPr>
          <w:sz w:val="20"/>
        </w:rPr>
        <w:t>pre-trial</w:t>
      </w:r>
      <w:r>
        <w:rPr>
          <w:spacing w:val="-6"/>
          <w:sz w:val="20"/>
        </w:rPr>
        <w:t> </w:t>
      </w:r>
      <w:r>
        <w:rPr>
          <w:sz w:val="20"/>
        </w:rPr>
        <w:t>issues.</w:t>
      </w:r>
    </w:p>
    <w:p>
      <w:pPr>
        <w:pStyle w:val="Heading6"/>
        <w:rPr>
          <w:b/>
        </w:rPr>
      </w:pPr>
      <w:r>
        <w:rPr>
          <w:b/>
        </w:rPr>
        <w:t>A new power for the Juries Commissioner to hold a person out of a pool</w:t>
      </w:r>
    </w:p>
    <w:p>
      <w:pPr>
        <w:pStyle w:val="ListParagraph"/>
        <w:numPr>
          <w:ilvl w:val="1"/>
          <w:numId w:val="12"/>
        </w:numPr>
        <w:tabs>
          <w:tab w:pos="1761" w:val="left" w:leader="none"/>
          <w:tab w:pos="1762" w:val="left" w:leader="none"/>
        </w:tabs>
        <w:spacing w:line="206" w:lineRule="auto" w:before="132" w:after="0"/>
        <w:ind w:left="1761" w:right="1268" w:hanging="794"/>
        <w:jc w:val="left"/>
        <w:rPr>
          <w:sz w:val="20"/>
        </w:rPr>
      </w:pPr>
      <w:r>
        <w:rPr>
          <w:sz w:val="20"/>
        </w:rPr>
        <w:t>The Juries Commissioner should </w:t>
      </w:r>
      <w:r>
        <w:rPr>
          <w:spacing w:val="-4"/>
          <w:sz w:val="20"/>
        </w:rPr>
        <w:t>have </w:t>
      </w:r>
      <w:r>
        <w:rPr>
          <w:sz w:val="20"/>
        </w:rPr>
        <w:t>a new </w:t>
      </w:r>
      <w:r>
        <w:rPr>
          <w:spacing w:val="-3"/>
          <w:sz w:val="20"/>
        </w:rPr>
        <w:t>power </w:t>
      </w:r>
      <w:r>
        <w:rPr>
          <w:sz w:val="20"/>
        </w:rPr>
        <w:t>to hold a person out of a pool when a panel ballot is being conducted for a particular trial if they do not think that reasonable adjustments can be provided. Section </w:t>
      </w:r>
      <w:r>
        <w:rPr>
          <w:spacing w:val="-3"/>
          <w:sz w:val="20"/>
        </w:rPr>
        <w:t>10 </w:t>
      </w:r>
      <w:r>
        <w:rPr>
          <w:sz w:val="20"/>
        </w:rPr>
        <w:t>of the Juries </w:t>
      </w:r>
      <w:r>
        <w:rPr>
          <w:spacing w:val="-2"/>
          <w:sz w:val="20"/>
        </w:rPr>
        <w:t>Act </w:t>
      </w:r>
      <w:r>
        <w:rPr>
          <w:sz w:val="20"/>
        </w:rPr>
        <w:t>should be amended</w:t>
      </w:r>
      <w:r>
        <w:rPr>
          <w:spacing w:val="-10"/>
          <w:sz w:val="20"/>
        </w:rPr>
        <w:t> </w:t>
      </w:r>
      <w:r>
        <w:rPr>
          <w:sz w:val="20"/>
        </w:rPr>
        <w:t>to</w:t>
      </w:r>
      <w:r>
        <w:rPr>
          <w:spacing w:val="-9"/>
          <w:sz w:val="20"/>
        </w:rPr>
        <w:t> </w:t>
      </w:r>
      <w:r>
        <w:rPr>
          <w:sz w:val="20"/>
        </w:rPr>
        <w:t>enable</w:t>
      </w:r>
      <w:r>
        <w:rPr>
          <w:spacing w:val="-10"/>
          <w:sz w:val="20"/>
        </w:rPr>
        <w:t> </w:t>
      </w:r>
      <w:r>
        <w:rPr>
          <w:sz w:val="20"/>
        </w:rPr>
        <w:t>an</w:t>
      </w:r>
      <w:r>
        <w:rPr>
          <w:spacing w:val="-9"/>
          <w:sz w:val="20"/>
        </w:rPr>
        <w:t> </w:t>
      </w:r>
      <w:r>
        <w:rPr>
          <w:sz w:val="20"/>
        </w:rPr>
        <w:t>appeal</w:t>
      </w:r>
      <w:r>
        <w:rPr>
          <w:spacing w:val="-9"/>
          <w:sz w:val="20"/>
        </w:rPr>
        <w:t> </w:t>
      </w:r>
      <w:r>
        <w:rPr>
          <w:sz w:val="20"/>
        </w:rPr>
        <w:t>of</w:t>
      </w:r>
      <w:r>
        <w:rPr>
          <w:spacing w:val="-10"/>
          <w:sz w:val="20"/>
        </w:rPr>
        <w:t> </w:t>
      </w:r>
      <w:r>
        <w:rPr>
          <w:sz w:val="20"/>
        </w:rPr>
        <w:t>this</w:t>
      </w:r>
      <w:r>
        <w:rPr>
          <w:spacing w:val="-9"/>
          <w:sz w:val="20"/>
        </w:rPr>
        <w:t> </w:t>
      </w:r>
      <w:r>
        <w:rPr>
          <w:sz w:val="20"/>
        </w:rPr>
        <w:t>decision</w:t>
      </w:r>
      <w:r>
        <w:rPr>
          <w:spacing w:val="-9"/>
          <w:sz w:val="20"/>
        </w:rPr>
        <w:t> </w:t>
      </w:r>
      <w:r>
        <w:rPr>
          <w:spacing w:val="-3"/>
          <w:sz w:val="20"/>
        </w:rPr>
        <w:t>by</w:t>
      </w:r>
      <w:r>
        <w:rPr>
          <w:spacing w:val="-10"/>
          <w:sz w:val="20"/>
        </w:rPr>
        <w:t> </w:t>
      </w:r>
      <w:r>
        <w:rPr>
          <w:sz w:val="20"/>
        </w:rPr>
        <w:t>the</w:t>
      </w:r>
      <w:r>
        <w:rPr>
          <w:spacing w:val="-9"/>
          <w:sz w:val="20"/>
        </w:rPr>
        <w:t> </w:t>
      </w:r>
      <w:r>
        <w:rPr>
          <w:sz w:val="20"/>
        </w:rPr>
        <w:t>Juries</w:t>
      </w:r>
      <w:r>
        <w:rPr>
          <w:spacing w:val="-10"/>
          <w:sz w:val="20"/>
        </w:rPr>
        <w:t> </w:t>
      </w:r>
      <w:r>
        <w:rPr>
          <w:sz w:val="20"/>
        </w:rPr>
        <w:t>Commissioner</w:t>
      </w:r>
      <w:r>
        <w:rPr>
          <w:spacing w:val="-9"/>
          <w:sz w:val="20"/>
        </w:rPr>
        <w:t> </w:t>
      </w:r>
      <w:r>
        <w:rPr>
          <w:sz w:val="20"/>
        </w:rPr>
        <w:t>to</w:t>
      </w:r>
      <w:r>
        <w:rPr>
          <w:spacing w:val="-9"/>
          <w:sz w:val="20"/>
        </w:rPr>
        <w:t> </w:t>
      </w:r>
      <w:r>
        <w:rPr>
          <w:sz w:val="20"/>
        </w:rPr>
        <w:t>the</w:t>
      </w:r>
      <w:r>
        <w:rPr>
          <w:spacing w:val="-10"/>
          <w:sz w:val="20"/>
        </w:rPr>
        <w:t> </w:t>
      </w:r>
      <w:r>
        <w:rPr>
          <w:sz w:val="20"/>
        </w:rPr>
        <w:t>court. The</w:t>
      </w:r>
      <w:r>
        <w:rPr>
          <w:spacing w:val="-9"/>
          <w:sz w:val="20"/>
        </w:rPr>
        <w:t> </w:t>
      </w:r>
      <w:r>
        <w:rPr>
          <w:sz w:val="20"/>
        </w:rPr>
        <w:t>person’s</w:t>
      </w:r>
      <w:r>
        <w:rPr>
          <w:spacing w:val="-8"/>
          <w:sz w:val="20"/>
        </w:rPr>
        <w:t> </w:t>
      </w:r>
      <w:r>
        <w:rPr>
          <w:sz w:val="20"/>
        </w:rPr>
        <w:t>ballot</w:t>
      </w:r>
      <w:r>
        <w:rPr>
          <w:spacing w:val="-9"/>
          <w:sz w:val="20"/>
        </w:rPr>
        <w:t> </w:t>
      </w:r>
      <w:r>
        <w:rPr>
          <w:sz w:val="20"/>
        </w:rPr>
        <w:t>card</w:t>
      </w:r>
      <w:r>
        <w:rPr>
          <w:spacing w:val="-8"/>
          <w:sz w:val="20"/>
        </w:rPr>
        <w:t> </w:t>
      </w:r>
      <w:r>
        <w:rPr>
          <w:sz w:val="20"/>
        </w:rPr>
        <w:t>could</w:t>
      </w:r>
      <w:r>
        <w:rPr>
          <w:spacing w:val="-8"/>
          <w:sz w:val="20"/>
        </w:rPr>
        <w:t> </w:t>
      </w:r>
      <w:r>
        <w:rPr>
          <w:sz w:val="20"/>
        </w:rPr>
        <w:t>then</w:t>
      </w:r>
      <w:r>
        <w:rPr>
          <w:spacing w:val="-9"/>
          <w:sz w:val="20"/>
        </w:rPr>
        <w:t> </w:t>
      </w:r>
      <w:r>
        <w:rPr>
          <w:sz w:val="20"/>
        </w:rPr>
        <w:t>be</w:t>
      </w:r>
      <w:r>
        <w:rPr>
          <w:spacing w:val="-8"/>
          <w:sz w:val="20"/>
        </w:rPr>
        <w:t> </w:t>
      </w:r>
      <w:r>
        <w:rPr>
          <w:spacing w:val="-3"/>
          <w:sz w:val="20"/>
        </w:rPr>
        <w:t>returned</w:t>
      </w:r>
      <w:r>
        <w:rPr>
          <w:spacing w:val="-9"/>
          <w:sz w:val="20"/>
        </w:rPr>
        <w:t> </w:t>
      </w:r>
      <w:r>
        <w:rPr>
          <w:sz w:val="20"/>
        </w:rPr>
        <w:t>to</w:t>
      </w:r>
      <w:r>
        <w:rPr>
          <w:spacing w:val="-8"/>
          <w:sz w:val="20"/>
        </w:rPr>
        <w:t> </w:t>
      </w:r>
      <w:r>
        <w:rPr>
          <w:sz w:val="20"/>
        </w:rPr>
        <w:t>the</w:t>
      </w:r>
      <w:r>
        <w:rPr>
          <w:spacing w:val="-8"/>
          <w:sz w:val="20"/>
        </w:rPr>
        <w:t> </w:t>
      </w:r>
      <w:r>
        <w:rPr>
          <w:sz w:val="20"/>
        </w:rPr>
        <w:t>pool</w:t>
      </w:r>
      <w:r>
        <w:rPr>
          <w:spacing w:val="-9"/>
          <w:sz w:val="20"/>
        </w:rPr>
        <w:t> </w:t>
      </w:r>
      <w:r>
        <w:rPr>
          <w:sz w:val="20"/>
        </w:rPr>
        <w:t>for</w:t>
      </w:r>
      <w:r>
        <w:rPr>
          <w:spacing w:val="-8"/>
          <w:sz w:val="20"/>
        </w:rPr>
        <w:t> </w:t>
      </w:r>
      <w:r>
        <w:rPr>
          <w:sz w:val="20"/>
        </w:rPr>
        <w:t>the</w:t>
      </w:r>
      <w:r>
        <w:rPr>
          <w:spacing w:val="-9"/>
          <w:sz w:val="20"/>
        </w:rPr>
        <w:t> </w:t>
      </w:r>
      <w:r>
        <w:rPr>
          <w:sz w:val="20"/>
        </w:rPr>
        <w:t>next</w:t>
      </w:r>
      <w:r>
        <w:rPr>
          <w:spacing w:val="-8"/>
          <w:sz w:val="20"/>
        </w:rPr>
        <w:t> </w:t>
      </w:r>
      <w:r>
        <w:rPr>
          <w:sz w:val="20"/>
        </w:rPr>
        <w:t>panel</w:t>
      </w:r>
      <w:r>
        <w:rPr>
          <w:spacing w:val="-8"/>
          <w:sz w:val="20"/>
        </w:rPr>
        <w:t> </w:t>
      </w:r>
      <w:r>
        <w:rPr>
          <w:sz w:val="20"/>
        </w:rPr>
        <w:t>ballot.</w:t>
      </w:r>
    </w:p>
    <w:p>
      <w:pPr>
        <w:pStyle w:val="BodyText"/>
        <w:spacing w:line="206" w:lineRule="auto" w:before="6"/>
        <w:ind w:left="1761" w:right="1335"/>
      </w:pPr>
      <w:r>
        <w:rPr/>
        <w:t>It</w:t>
      </w:r>
      <w:r>
        <w:rPr>
          <w:spacing w:val="-10"/>
        </w:rPr>
        <w:t> </w:t>
      </w:r>
      <w:r>
        <w:rPr/>
        <w:t>will</w:t>
      </w:r>
      <w:r>
        <w:rPr>
          <w:spacing w:val="-9"/>
        </w:rPr>
        <w:t> </w:t>
      </w:r>
      <w:r>
        <w:rPr/>
        <w:t>be</w:t>
      </w:r>
      <w:r>
        <w:rPr>
          <w:spacing w:val="-9"/>
        </w:rPr>
        <w:t> </w:t>
      </w:r>
      <w:r>
        <w:rPr/>
        <w:t>important</w:t>
      </w:r>
      <w:r>
        <w:rPr>
          <w:spacing w:val="-10"/>
        </w:rPr>
        <w:t> </w:t>
      </w:r>
      <w:r>
        <w:rPr/>
        <w:t>for</w:t>
      </w:r>
      <w:r>
        <w:rPr>
          <w:spacing w:val="-9"/>
        </w:rPr>
        <w:t> </w:t>
      </w:r>
      <w:r>
        <w:rPr/>
        <w:t>Juries</w:t>
      </w:r>
      <w:r>
        <w:rPr>
          <w:spacing w:val="-9"/>
        </w:rPr>
        <w:t> </w:t>
      </w:r>
      <w:r>
        <w:rPr/>
        <w:t>Victoria</w:t>
      </w:r>
      <w:r>
        <w:rPr>
          <w:spacing w:val="-9"/>
        </w:rPr>
        <w:t> </w:t>
      </w:r>
      <w:r>
        <w:rPr/>
        <w:t>to</w:t>
      </w:r>
      <w:r>
        <w:rPr>
          <w:spacing w:val="-10"/>
        </w:rPr>
        <w:t> </w:t>
      </w:r>
      <w:r>
        <w:rPr/>
        <w:t>collect</w:t>
      </w:r>
      <w:r>
        <w:rPr>
          <w:spacing w:val="-9"/>
        </w:rPr>
        <w:t> </w:t>
      </w:r>
      <w:r>
        <w:rPr/>
        <w:t>data</w:t>
      </w:r>
      <w:r>
        <w:rPr>
          <w:spacing w:val="-9"/>
        </w:rPr>
        <w:t> </w:t>
      </w:r>
      <w:r>
        <w:rPr/>
        <w:t>about</w:t>
      </w:r>
      <w:r>
        <w:rPr>
          <w:spacing w:val="-9"/>
        </w:rPr>
        <w:t> </w:t>
      </w:r>
      <w:r>
        <w:rPr>
          <w:spacing w:val="-3"/>
        </w:rPr>
        <w:t>how</w:t>
      </w:r>
      <w:r>
        <w:rPr>
          <w:spacing w:val="-10"/>
        </w:rPr>
        <w:t> </w:t>
      </w:r>
      <w:r>
        <w:rPr/>
        <w:t>often</w:t>
      </w:r>
      <w:r>
        <w:rPr>
          <w:spacing w:val="-9"/>
        </w:rPr>
        <w:t> </w:t>
      </w:r>
      <w:r>
        <w:rPr/>
        <w:t>this</w:t>
      </w:r>
      <w:r>
        <w:rPr>
          <w:spacing w:val="-9"/>
        </w:rPr>
        <w:t> </w:t>
      </w:r>
      <w:r>
        <w:rPr>
          <w:spacing w:val="-3"/>
        </w:rPr>
        <w:t>power</w:t>
      </w:r>
      <w:r>
        <w:rPr>
          <w:spacing w:val="-9"/>
        </w:rPr>
        <w:t> </w:t>
      </w:r>
      <w:r>
        <w:rPr/>
        <w:t>is </w:t>
      </w:r>
      <w:r>
        <w:rPr>
          <w:spacing w:val="-3"/>
        </w:rPr>
        <w:t>exercised </w:t>
      </w:r>
      <w:r>
        <w:rPr/>
        <w:t>(discussed in </w:t>
      </w:r>
      <w:r>
        <w:rPr>
          <w:spacing w:val="-2"/>
        </w:rPr>
        <w:t>Chapter</w:t>
      </w:r>
      <w:r>
        <w:rPr>
          <w:spacing w:val="-14"/>
        </w:rPr>
        <w:t> </w:t>
      </w:r>
      <w:r>
        <w:rPr>
          <w:spacing w:val="-4"/>
        </w:rPr>
        <w:t>19).</w:t>
      </w:r>
    </w:p>
    <w:p>
      <w:pPr>
        <w:pStyle w:val="BodyText"/>
        <w:spacing w:before="1"/>
        <w:rPr>
          <w:sz w:val="28"/>
        </w:rPr>
      </w:pPr>
      <w:r>
        <w:rPr/>
        <w:pict>
          <v:line style="position:absolute;mso-position-horizontal-relative:page;mso-position-vertical-relative:paragraph;z-index:7544;mso-wrap-distance-left:0;mso-wrap-distance-right:0" from="79.370102pt,21.970421pt" to="515.905102pt,21.970421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92"/>
        </w:numPr>
        <w:tabs>
          <w:tab w:pos="1761" w:val="left" w:leader="none"/>
          <w:tab w:pos="1762" w:val="left" w:leader="none"/>
        </w:tabs>
        <w:spacing w:line="170" w:lineRule="exact" w:before="21" w:after="0"/>
        <w:ind w:left="1761" w:right="0" w:hanging="794"/>
        <w:jc w:val="left"/>
        <w:rPr>
          <w:sz w:val="13"/>
        </w:rPr>
      </w:pPr>
      <w:r>
        <w:rPr>
          <w:sz w:val="13"/>
        </w:rPr>
        <w:t>Information provided by Juries Victoria to Victorian Law Reform </w:t>
      </w:r>
      <w:r>
        <w:rPr>
          <w:spacing w:val="2"/>
          <w:sz w:val="13"/>
        </w:rPr>
        <w:t>Commission, </w:t>
      </w:r>
      <w:r>
        <w:rPr>
          <w:sz w:val="13"/>
        </w:rPr>
        <w:t>6 October</w:t>
      </w:r>
      <w:r>
        <w:rPr>
          <w:spacing w:val="23"/>
          <w:sz w:val="13"/>
        </w:rPr>
        <w:t> </w:t>
      </w:r>
      <w:r>
        <w:rPr>
          <w:sz w:val="13"/>
        </w:rPr>
        <w:t>2020.</w:t>
      </w:r>
    </w:p>
    <w:p>
      <w:pPr>
        <w:pStyle w:val="ListParagraph"/>
        <w:numPr>
          <w:ilvl w:val="0"/>
          <w:numId w:val="92"/>
        </w:numPr>
        <w:tabs>
          <w:tab w:pos="1761" w:val="left" w:leader="none"/>
          <w:tab w:pos="1762" w:val="left" w:leader="none"/>
        </w:tabs>
        <w:spacing w:line="213" w:lineRule="auto" w:before="7" w:after="0"/>
        <w:ind w:left="1761" w:right="38" w:hanging="794"/>
        <w:jc w:val="left"/>
        <w:rPr>
          <w:sz w:val="13"/>
        </w:rPr>
      </w:pPr>
      <w:r>
        <w:rPr>
          <w:sz w:val="13"/>
        </w:rPr>
        <w:t>Committee on the Rights of Persons with </w:t>
      </w:r>
      <w:r>
        <w:rPr>
          <w:spacing w:val="2"/>
          <w:sz w:val="13"/>
        </w:rPr>
        <w:t>Disabilities, </w:t>
      </w:r>
      <w:r>
        <w:rPr>
          <w:i/>
          <w:sz w:val="13"/>
        </w:rPr>
        <w:t>Views: Communication No 11/2013, </w:t>
      </w:r>
      <w:r>
        <w:rPr>
          <w:sz w:val="13"/>
        </w:rPr>
        <w:t>15th sess, UN Doc CRPD/ C/15/D/11/2013 (25 May 2016) 17 [9(b)] (‘</w:t>
      </w:r>
      <w:r>
        <w:rPr>
          <w:i/>
          <w:sz w:val="13"/>
        </w:rPr>
        <w:t>Beasley v</w:t>
      </w:r>
      <w:r>
        <w:rPr>
          <w:i/>
          <w:spacing w:val="4"/>
          <w:sz w:val="13"/>
        </w:rPr>
        <w:t> </w:t>
      </w:r>
      <w:r>
        <w:rPr>
          <w:i/>
          <w:sz w:val="13"/>
        </w:rPr>
        <w:t>Australia</w:t>
      </w:r>
      <w:r>
        <w:rPr>
          <w:sz w:val="13"/>
        </w:rPr>
        <w:t>’).</w:t>
      </w:r>
    </w:p>
    <w:p>
      <w:pPr>
        <w:spacing w:before="214"/>
        <w:ind w:left="967" w:right="0" w:firstLine="0"/>
        <w:jc w:val="left"/>
        <w:rPr>
          <w:b/>
          <w:sz w:val="24"/>
        </w:rPr>
      </w:pPr>
      <w:r>
        <w:rPr/>
        <w:br w:type="column"/>
      </w:r>
      <w:r>
        <w:rPr>
          <w:b/>
          <w:color w:val="37617A"/>
          <w:sz w:val="24"/>
        </w:rPr>
        <w:t>135</w:t>
      </w:r>
    </w:p>
    <w:p>
      <w:pPr>
        <w:spacing w:after="0"/>
        <w:jc w:val="left"/>
        <w:rPr>
          <w:sz w:val="24"/>
        </w:rPr>
        <w:sectPr>
          <w:type w:val="continuous"/>
          <w:pgSz w:w="11910" w:h="16840"/>
          <w:pgMar w:top="620" w:bottom="280" w:left="620" w:right="380"/>
          <w:cols w:num="2" w:equalWidth="0">
            <w:col w:w="8784" w:space="550"/>
            <w:col w:w="1576"/>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1" w:val="left" w:leader="none"/>
          <w:tab w:pos="1762" w:val="left" w:leader="none"/>
        </w:tabs>
        <w:spacing w:line="206" w:lineRule="auto" w:before="0" w:after="0"/>
        <w:ind w:left="1761" w:right="1209" w:hanging="794"/>
        <w:jc w:val="left"/>
        <w:rPr>
          <w:sz w:val="20"/>
        </w:rPr>
      </w:pPr>
      <w:bookmarkStart w:name="_bookmark99" w:id="237"/>
      <w:bookmarkEnd w:id="237"/>
      <w:r>
        <w:rPr/>
      </w:r>
      <w:bookmarkStart w:name="_bookmark99" w:id="238"/>
      <w:bookmarkEnd w:id="238"/>
      <w:r>
        <w:rPr>
          <w:sz w:val="20"/>
        </w:rPr>
        <w:t>P</w:t>
      </w:r>
      <w:r>
        <w:rPr>
          <w:sz w:val="20"/>
        </w:rPr>
        <w:t>ursuant</w:t>
      </w:r>
      <w:r>
        <w:rPr>
          <w:spacing w:val="-11"/>
          <w:sz w:val="20"/>
        </w:rPr>
        <w:t> </w:t>
      </w:r>
      <w:r>
        <w:rPr>
          <w:sz w:val="20"/>
        </w:rPr>
        <w:t>to</w:t>
      </w:r>
      <w:r>
        <w:rPr>
          <w:spacing w:val="-10"/>
          <w:sz w:val="20"/>
        </w:rPr>
        <w:t> </w:t>
      </w:r>
      <w:r>
        <w:rPr>
          <w:sz w:val="20"/>
        </w:rPr>
        <w:t>the</w:t>
      </w:r>
      <w:r>
        <w:rPr>
          <w:spacing w:val="-11"/>
          <w:sz w:val="20"/>
        </w:rPr>
        <w:t> </w:t>
      </w:r>
      <w:r>
        <w:rPr>
          <w:sz w:val="20"/>
        </w:rPr>
        <w:t>new</w:t>
      </w:r>
      <w:r>
        <w:rPr>
          <w:spacing w:val="-10"/>
          <w:sz w:val="20"/>
        </w:rPr>
        <w:t> </w:t>
      </w:r>
      <w:r>
        <w:rPr>
          <w:spacing w:val="-3"/>
          <w:sz w:val="20"/>
        </w:rPr>
        <w:t>power</w:t>
      </w:r>
      <w:r>
        <w:rPr>
          <w:spacing w:val="-11"/>
          <w:sz w:val="20"/>
        </w:rPr>
        <w:t> </w:t>
      </w:r>
      <w:r>
        <w:rPr>
          <w:sz w:val="20"/>
        </w:rPr>
        <w:t>recommended</w:t>
      </w:r>
      <w:r>
        <w:rPr>
          <w:spacing w:val="-10"/>
          <w:sz w:val="20"/>
        </w:rPr>
        <w:t> </w:t>
      </w:r>
      <w:r>
        <w:rPr>
          <w:sz w:val="20"/>
        </w:rPr>
        <w:t>in</w:t>
      </w:r>
      <w:r>
        <w:rPr>
          <w:spacing w:val="-11"/>
          <w:sz w:val="20"/>
        </w:rPr>
        <w:t> </w:t>
      </w:r>
      <w:r>
        <w:rPr>
          <w:spacing w:val="-2"/>
          <w:sz w:val="20"/>
        </w:rPr>
        <w:t>Chapter</w:t>
      </w:r>
      <w:r>
        <w:rPr>
          <w:spacing w:val="-10"/>
          <w:sz w:val="20"/>
        </w:rPr>
        <w:t> </w:t>
      </w:r>
      <w:r>
        <w:rPr>
          <w:sz w:val="20"/>
        </w:rPr>
        <w:t>11</w:t>
      </w:r>
      <w:r>
        <w:rPr>
          <w:spacing w:val="-10"/>
          <w:sz w:val="20"/>
        </w:rPr>
        <w:t> </w:t>
      </w:r>
      <w:r>
        <w:rPr>
          <w:sz w:val="20"/>
        </w:rPr>
        <w:t>the</w:t>
      </w:r>
      <w:r>
        <w:rPr>
          <w:spacing w:val="-11"/>
          <w:sz w:val="20"/>
        </w:rPr>
        <w:t> </w:t>
      </w:r>
      <w:r>
        <w:rPr>
          <w:sz w:val="20"/>
        </w:rPr>
        <w:t>Juries</w:t>
      </w:r>
      <w:r>
        <w:rPr>
          <w:spacing w:val="-10"/>
          <w:sz w:val="20"/>
        </w:rPr>
        <w:t> </w:t>
      </w:r>
      <w:r>
        <w:rPr>
          <w:sz w:val="20"/>
        </w:rPr>
        <w:t>Commissioner</w:t>
      </w:r>
      <w:r>
        <w:rPr>
          <w:spacing w:val="-11"/>
          <w:sz w:val="20"/>
        </w:rPr>
        <w:t> </w:t>
      </w:r>
      <w:r>
        <w:rPr>
          <w:sz w:val="20"/>
        </w:rPr>
        <w:t>could also defer the person’s service so that the Juries Commissioner can better enable the </w:t>
      </w:r>
      <w:r>
        <w:rPr>
          <w:spacing w:val="-3"/>
          <w:sz w:val="20"/>
        </w:rPr>
        <w:t>provision </w:t>
      </w:r>
      <w:r>
        <w:rPr>
          <w:sz w:val="20"/>
        </w:rPr>
        <w:t>of reasonable</w:t>
      </w:r>
      <w:r>
        <w:rPr>
          <w:spacing w:val="-10"/>
          <w:sz w:val="20"/>
        </w:rPr>
        <w:t> </w:t>
      </w:r>
      <w:r>
        <w:rPr>
          <w:sz w:val="20"/>
        </w:rPr>
        <w:t>adjustments.</w:t>
      </w:r>
    </w:p>
    <w:p>
      <w:pPr>
        <w:pStyle w:val="ListParagraph"/>
        <w:numPr>
          <w:ilvl w:val="1"/>
          <w:numId w:val="12"/>
        </w:numPr>
        <w:tabs>
          <w:tab w:pos="1761" w:val="left" w:leader="none"/>
          <w:tab w:pos="1762" w:val="left" w:leader="none"/>
        </w:tabs>
        <w:spacing w:line="206" w:lineRule="auto" w:before="124" w:after="0"/>
        <w:ind w:left="1761" w:right="1339" w:hanging="794"/>
        <w:jc w:val="left"/>
        <w:rPr>
          <w:sz w:val="20"/>
        </w:rPr>
      </w:pPr>
      <w:r>
        <w:rPr>
          <w:spacing w:val="-4"/>
          <w:sz w:val="20"/>
        </w:rPr>
        <w:t>Alternatively,</w:t>
      </w:r>
      <w:r>
        <w:rPr>
          <w:spacing w:val="-10"/>
          <w:sz w:val="20"/>
        </w:rPr>
        <w:t> </w:t>
      </w:r>
      <w:r>
        <w:rPr>
          <w:sz w:val="20"/>
        </w:rPr>
        <w:t>the</w:t>
      </w:r>
      <w:r>
        <w:rPr>
          <w:spacing w:val="-9"/>
          <w:sz w:val="20"/>
        </w:rPr>
        <w:t> </w:t>
      </w:r>
      <w:r>
        <w:rPr>
          <w:sz w:val="20"/>
        </w:rPr>
        <w:t>Juries</w:t>
      </w:r>
      <w:r>
        <w:rPr>
          <w:spacing w:val="-9"/>
          <w:sz w:val="20"/>
        </w:rPr>
        <w:t> </w:t>
      </w:r>
      <w:r>
        <w:rPr>
          <w:sz w:val="20"/>
        </w:rPr>
        <w:t>Commissioner</w:t>
      </w:r>
      <w:r>
        <w:rPr>
          <w:spacing w:val="-10"/>
          <w:sz w:val="20"/>
        </w:rPr>
        <w:t> </w:t>
      </w:r>
      <w:r>
        <w:rPr>
          <w:spacing w:val="-3"/>
          <w:sz w:val="20"/>
        </w:rPr>
        <w:t>may</w:t>
      </w:r>
      <w:r>
        <w:rPr>
          <w:spacing w:val="-9"/>
          <w:sz w:val="20"/>
        </w:rPr>
        <w:t> </w:t>
      </w:r>
      <w:r>
        <w:rPr>
          <w:sz w:val="20"/>
        </w:rPr>
        <w:t>recommend</w:t>
      </w:r>
      <w:r>
        <w:rPr>
          <w:spacing w:val="-9"/>
          <w:sz w:val="20"/>
        </w:rPr>
        <w:t> </w:t>
      </w:r>
      <w:r>
        <w:rPr>
          <w:sz w:val="20"/>
        </w:rPr>
        <w:t>to</w:t>
      </w:r>
      <w:r>
        <w:rPr>
          <w:spacing w:val="-9"/>
          <w:sz w:val="20"/>
        </w:rPr>
        <w:t> </w:t>
      </w:r>
      <w:r>
        <w:rPr>
          <w:sz w:val="20"/>
        </w:rPr>
        <w:t>the</w:t>
      </w:r>
      <w:r>
        <w:rPr>
          <w:spacing w:val="-10"/>
          <w:sz w:val="20"/>
        </w:rPr>
        <w:t> </w:t>
      </w:r>
      <w:r>
        <w:rPr>
          <w:sz w:val="20"/>
        </w:rPr>
        <w:t>court</w:t>
      </w:r>
      <w:r>
        <w:rPr>
          <w:spacing w:val="-9"/>
          <w:sz w:val="20"/>
        </w:rPr>
        <w:t> </w:t>
      </w:r>
      <w:r>
        <w:rPr>
          <w:sz w:val="20"/>
        </w:rPr>
        <w:t>that</w:t>
      </w:r>
      <w:r>
        <w:rPr>
          <w:spacing w:val="-9"/>
          <w:sz w:val="20"/>
        </w:rPr>
        <w:t> </w:t>
      </w:r>
      <w:r>
        <w:rPr>
          <w:sz w:val="20"/>
        </w:rPr>
        <w:t>the</w:t>
      </w:r>
      <w:r>
        <w:rPr>
          <w:spacing w:val="-10"/>
          <w:sz w:val="20"/>
        </w:rPr>
        <w:t> </w:t>
      </w:r>
      <w:r>
        <w:rPr>
          <w:sz w:val="20"/>
        </w:rPr>
        <w:t>person</w:t>
      </w:r>
      <w:r>
        <w:rPr>
          <w:spacing w:val="-9"/>
          <w:sz w:val="20"/>
        </w:rPr>
        <w:t> </w:t>
      </w:r>
      <w:r>
        <w:rPr>
          <w:sz w:val="20"/>
        </w:rPr>
        <w:t>is </w:t>
      </w:r>
      <w:r>
        <w:rPr>
          <w:spacing w:val="-3"/>
          <w:sz w:val="20"/>
        </w:rPr>
        <w:t>excused</w:t>
      </w:r>
      <w:r>
        <w:rPr>
          <w:spacing w:val="-11"/>
          <w:sz w:val="20"/>
        </w:rPr>
        <w:t> </w:t>
      </w:r>
      <w:r>
        <w:rPr>
          <w:spacing w:val="-3"/>
          <w:sz w:val="20"/>
        </w:rPr>
        <w:t>from</w:t>
      </w:r>
      <w:r>
        <w:rPr>
          <w:spacing w:val="-11"/>
          <w:sz w:val="20"/>
        </w:rPr>
        <w:t> </w:t>
      </w:r>
      <w:r>
        <w:rPr>
          <w:sz w:val="20"/>
        </w:rPr>
        <w:t>their</w:t>
      </w:r>
      <w:r>
        <w:rPr>
          <w:spacing w:val="-11"/>
          <w:sz w:val="20"/>
        </w:rPr>
        <w:t> </w:t>
      </w:r>
      <w:r>
        <w:rPr>
          <w:sz w:val="20"/>
        </w:rPr>
        <w:t>summons</w:t>
      </w:r>
      <w:r>
        <w:rPr>
          <w:spacing w:val="-11"/>
          <w:sz w:val="20"/>
        </w:rPr>
        <w:t> </w:t>
      </w:r>
      <w:r>
        <w:rPr>
          <w:sz w:val="20"/>
        </w:rPr>
        <w:t>where</w:t>
      </w:r>
      <w:r>
        <w:rPr>
          <w:spacing w:val="-11"/>
          <w:sz w:val="20"/>
        </w:rPr>
        <w:t> </w:t>
      </w:r>
      <w:r>
        <w:rPr>
          <w:sz w:val="20"/>
        </w:rPr>
        <w:t>it</w:t>
      </w:r>
      <w:r>
        <w:rPr>
          <w:spacing w:val="-10"/>
          <w:sz w:val="20"/>
        </w:rPr>
        <w:t> </w:t>
      </w:r>
      <w:r>
        <w:rPr>
          <w:sz w:val="20"/>
        </w:rPr>
        <w:t>does</w:t>
      </w:r>
      <w:r>
        <w:rPr>
          <w:spacing w:val="-11"/>
          <w:sz w:val="20"/>
        </w:rPr>
        <w:t> </w:t>
      </w:r>
      <w:r>
        <w:rPr>
          <w:sz w:val="20"/>
        </w:rPr>
        <w:t>not</w:t>
      </w:r>
      <w:r>
        <w:rPr>
          <w:spacing w:val="-11"/>
          <w:sz w:val="20"/>
        </w:rPr>
        <w:t> </w:t>
      </w:r>
      <w:r>
        <w:rPr>
          <w:sz w:val="20"/>
        </w:rPr>
        <w:t>think</w:t>
      </w:r>
      <w:r>
        <w:rPr>
          <w:spacing w:val="-11"/>
          <w:sz w:val="20"/>
        </w:rPr>
        <w:t> </w:t>
      </w:r>
      <w:r>
        <w:rPr>
          <w:sz w:val="20"/>
        </w:rPr>
        <w:t>that</w:t>
      </w:r>
      <w:r>
        <w:rPr>
          <w:spacing w:val="-11"/>
          <w:sz w:val="20"/>
        </w:rPr>
        <w:t> </w:t>
      </w:r>
      <w:r>
        <w:rPr>
          <w:sz w:val="20"/>
        </w:rPr>
        <w:t>reasonable</w:t>
      </w:r>
      <w:r>
        <w:rPr>
          <w:spacing w:val="-10"/>
          <w:sz w:val="20"/>
        </w:rPr>
        <w:t> </w:t>
      </w:r>
      <w:r>
        <w:rPr>
          <w:sz w:val="20"/>
        </w:rPr>
        <w:t>adjustments</w:t>
      </w:r>
      <w:r>
        <w:rPr>
          <w:spacing w:val="-11"/>
          <w:sz w:val="20"/>
        </w:rPr>
        <w:t> </w:t>
      </w:r>
      <w:r>
        <w:rPr>
          <w:sz w:val="20"/>
        </w:rPr>
        <w:t>will enable</w:t>
      </w:r>
      <w:r>
        <w:rPr>
          <w:spacing w:val="-9"/>
          <w:sz w:val="20"/>
        </w:rPr>
        <w:t> </w:t>
      </w:r>
      <w:r>
        <w:rPr>
          <w:sz w:val="20"/>
        </w:rPr>
        <w:t>them</w:t>
      </w:r>
      <w:r>
        <w:rPr>
          <w:spacing w:val="-9"/>
          <w:sz w:val="20"/>
        </w:rPr>
        <w:t> </w:t>
      </w:r>
      <w:r>
        <w:rPr>
          <w:sz w:val="20"/>
        </w:rPr>
        <w:t>to</w:t>
      </w:r>
      <w:r>
        <w:rPr>
          <w:spacing w:val="-9"/>
          <w:sz w:val="20"/>
        </w:rPr>
        <w:t> </w:t>
      </w:r>
      <w:r>
        <w:rPr>
          <w:sz w:val="20"/>
        </w:rPr>
        <w:t>serve</w:t>
      </w:r>
      <w:r>
        <w:rPr>
          <w:spacing w:val="-8"/>
          <w:sz w:val="20"/>
        </w:rPr>
        <w:t> </w:t>
      </w:r>
      <w:r>
        <w:rPr>
          <w:sz w:val="20"/>
        </w:rPr>
        <w:t>at</w:t>
      </w:r>
      <w:r>
        <w:rPr>
          <w:spacing w:val="-9"/>
          <w:sz w:val="20"/>
        </w:rPr>
        <w:t> </w:t>
      </w:r>
      <w:r>
        <w:rPr>
          <w:sz w:val="20"/>
        </w:rPr>
        <w:t>all.</w:t>
      </w:r>
      <w:r>
        <w:rPr>
          <w:spacing w:val="-9"/>
          <w:sz w:val="20"/>
        </w:rPr>
        <w:t> </w:t>
      </w:r>
      <w:r>
        <w:rPr>
          <w:sz w:val="20"/>
        </w:rPr>
        <w:t>A</w:t>
      </w:r>
      <w:r>
        <w:rPr>
          <w:spacing w:val="-8"/>
          <w:sz w:val="20"/>
        </w:rPr>
        <w:t> </w:t>
      </w:r>
      <w:r>
        <w:rPr>
          <w:sz w:val="20"/>
        </w:rPr>
        <w:t>final</w:t>
      </w:r>
      <w:r>
        <w:rPr>
          <w:spacing w:val="-9"/>
          <w:sz w:val="20"/>
        </w:rPr>
        <w:t> </w:t>
      </w:r>
      <w:r>
        <w:rPr>
          <w:sz w:val="20"/>
        </w:rPr>
        <w:t>determination</w:t>
      </w:r>
      <w:r>
        <w:rPr>
          <w:spacing w:val="-9"/>
          <w:sz w:val="20"/>
        </w:rPr>
        <w:t> </w:t>
      </w:r>
      <w:r>
        <w:rPr>
          <w:sz w:val="20"/>
        </w:rPr>
        <w:t>on</w:t>
      </w:r>
      <w:r>
        <w:rPr>
          <w:spacing w:val="-8"/>
          <w:sz w:val="20"/>
        </w:rPr>
        <w:t> </w:t>
      </w:r>
      <w:r>
        <w:rPr>
          <w:sz w:val="20"/>
        </w:rPr>
        <w:t>this</w:t>
      </w:r>
      <w:r>
        <w:rPr>
          <w:spacing w:val="-9"/>
          <w:sz w:val="20"/>
        </w:rPr>
        <w:t> </w:t>
      </w:r>
      <w:r>
        <w:rPr>
          <w:spacing w:val="-3"/>
          <w:sz w:val="20"/>
        </w:rPr>
        <w:t>would</w:t>
      </w:r>
      <w:r>
        <w:rPr>
          <w:spacing w:val="-9"/>
          <w:sz w:val="20"/>
        </w:rPr>
        <w:t> </w:t>
      </w:r>
      <w:r>
        <w:rPr>
          <w:sz w:val="20"/>
        </w:rPr>
        <w:t>need</w:t>
      </w:r>
      <w:r>
        <w:rPr>
          <w:spacing w:val="-8"/>
          <w:sz w:val="20"/>
        </w:rPr>
        <w:t> </w:t>
      </w:r>
      <w:r>
        <w:rPr>
          <w:sz w:val="20"/>
        </w:rPr>
        <w:t>to</w:t>
      </w:r>
      <w:r>
        <w:rPr>
          <w:spacing w:val="-9"/>
          <w:sz w:val="20"/>
        </w:rPr>
        <w:t> </w:t>
      </w:r>
      <w:r>
        <w:rPr>
          <w:sz w:val="20"/>
        </w:rPr>
        <w:t>be</w:t>
      </w:r>
      <w:r>
        <w:rPr>
          <w:spacing w:val="-9"/>
          <w:sz w:val="20"/>
        </w:rPr>
        <w:t> </w:t>
      </w:r>
      <w:r>
        <w:rPr>
          <w:sz w:val="20"/>
        </w:rPr>
        <w:t>made</w:t>
      </w:r>
      <w:r>
        <w:rPr>
          <w:spacing w:val="-8"/>
          <w:sz w:val="20"/>
        </w:rPr>
        <w:t> </w:t>
      </w:r>
      <w:r>
        <w:rPr>
          <w:spacing w:val="-3"/>
          <w:sz w:val="20"/>
        </w:rPr>
        <w:t>by</w:t>
      </w:r>
      <w:r>
        <w:rPr>
          <w:spacing w:val="-9"/>
          <w:sz w:val="20"/>
        </w:rPr>
        <w:t> </w:t>
      </w:r>
      <w:r>
        <w:rPr>
          <w:sz w:val="20"/>
        </w:rPr>
        <w:t>a judge.</w:t>
      </w:r>
    </w:p>
    <w:p>
      <w:pPr>
        <w:spacing w:before="163"/>
        <w:ind w:left="967" w:right="0" w:firstLine="0"/>
        <w:jc w:val="left"/>
        <w:rPr>
          <w:b/>
          <w:sz w:val="24"/>
        </w:rPr>
      </w:pPr>
      <w:r>
        <w:rPr>
          <w:b/>
          <w:sz w:val="24"/>
        </w:rPr>
        <w:t>The trial judge should make the final decision</w:t>
      </w:r>
    </w:p>
    <w:p>
      <w:pPr>
        <w:pStyle w:val="ListParagraph"/>
        <w:numPr>
          <w:ilvl w:val="1"/>
          <w:numId w:val="12"/>
        </w:numPr>
        <w:tabs>
          <w:tab w:pos="1761" w:val="left" w:leader="none"/>
          <w:tab w:pos="1762" w:val="left" w:leader="none"/>
        </w:tabs>
        <w:spacing w:line="206" w:lineRule="auto" w:before="127" w:after="0"/>
        <w:ind w:left="1761" w:right="1542" w:hanging="794"/>
        <w:jc w:val="left"/>
        <w:rPr>
          <w:sz w:val="20"/>
        </w:rPr>
      </w:pPr>
      <w:r>
        <w:rPr>
          <w:spacing w:val="-4"/>
          <w:sz w:val="20"/>
        </w:rPr>
        <w:t>Ultimately,</w:t>
      </w:r>
      <w:r>
        <w:rPr>
          <w:spacing w:val="-10"/>
          <w:sz w:val="20"/>
        </w:rPr>
        <w:t> </w:t>
      </w:r>
      <w:r>
        <w:rPr>
          <w:sz w:val="20"/>
        </w:rPr>
        <w:t>when</w:t>
      </w:r>
      <w:r>
        <w:rPr>
          <w:spacing w:val="-10"/>
          <w:sz w:val="20"/>
        </w:rPr>
        <w:t> </w:t>
      </w:r>
      <w:r>
        <w:rPr>
          <w:sz w:val="20"/>
        </w:rPr>
        <w:t>a</w:t>
      </w:r>
      <w:r>
        <w:rPr>
          <w:spacing w:val="-10"/>
          <w:sz w:val="20"/>
        </w:rPr>
        <w:t> </w:t>
      </w:r>
      <w:r>
        <w:rPr>
          <w:sz w:val="20"/>
        </w:rPr>
        <w:t>person</w:t>
      </w:r>
      <w:r>
        <w:rPr>
          <w:spacing w:val="-9"/>
          <w:sz w:val="20"/>
        </w:rPr>
        <w:t> </w:t>
      </w:r>
      <w:r>
        <w:rPr>
          <w:sz w:val="20"/>
        </w:rPr>
        <w:t>is</w:t>
      </w:r>
      <w:r>
        <w:rPr>
          <w:spacing w:val="-10"/>
          <w:sz w:val="20"/>
        </w:rPr>
        <w:t> </w:t>
      </w:r>
      <w:r>
        <w:rPr>
          <w:sz w:val="20"/>
        </w:rPr>
        <w:t>balloted</w:t>
      </w:r>
      <w:r>
        <w:rPr>
          <w:spacing w:val="-10"/>
          <w:sz w:val="20"/>
        </w:rPr>
        <w:t> </w:t>
      </w:r>
      <w:r>
        <w:rPr>
          <w:sz w:val="20"/>
        </w:rPr>
        <w:t>to</w:t>
      </w:r>
      <w:r>
        <w:rPr>
          <w:spacing w:val="-10"/>
          <w:sz w:val="20"/>
        </w:rPr>
        <w:t> </w:t>
      </w:r>
      <w:r>
        <w:rPr>
          <w:sz w:val="20"/>
        </w:rPr>
        <w:t>a</w:t>
      </w:r>
      <w:r>
        <w:rPr>
          <w:spacing w:val="-9"/>
          <w:sz w:val="20"/>
        </w:rPr>
        <w:t> </w:t>
      </w:r>
      <w:r>
        <w:rPr>
          <w:sz w:val="20"/>
        </w:rPr>
        <w:t>panel</w:t>
      </w:r>
      <w:r>
        <w:rPr>
          <w:spacing w:val="-10"/>
          <w:sz w:val="20"/>
        </w:rPr>
        <w:t> </w:t>
      </w:r>
      <w:r>
        <w:rPr>
          <w:sz w:val="20"/>
        </w:rPr>
        <w:t>for</w:t>
      </w:r>
      <w:r>
        <w:rPr>
          <w:spacing w:val="-10"/>
          <w:sz w:val="20"/>
        </w:rPr>
        <w:t> </w:t>
      </w:r>
      <w:r>
        <w:rPr>
          <w:sz w:val="20"/>
        </w:rPr>
        <w:t>a</w:t>
      </w:r>
      <w:r>
        <w:rPr>
          <w:spacing w:val="-9"/>
          <w:sz w:val="20"/>
        </w:rPr>
        <w:t> </w:t>
      </w:r>
      <w:r>
        <w:rPr>
          <w:sz w:val="20"/>
        </w:rPr>
        <w:t>trial,</w:t>
      </w:r>
      <w:r>
        <w:rPr>
          <w:spacing w:val="-10"/>
          <w:sz w:val="20"/>
        </w:rPr>
        <w:t> </w:t>
      </w:r>
      <w:r>
        <w:rPr>
          <w:sz w:val="20"/>
        </w:rPr>
        <w:t>the</w:t>
      </w:r>
      <w:r>
        <w:rPr>
          <w:spacing w:val="-10"/>
          <w:sz w:val="20"/>
        </w:rPr>
        <w:t> </w:t>
      </w:r>
      <w:r>
        <w:rPr>
          <w:sz w:val="20"/>
        </w:rPr>
        <w:t>judge</w:t>
      </w:r>
      <w:r>
        <w:rPr>
          <w:spacing w:val="-10"/>
          <w:sz w:val="20"/>
        </w:rPr>
        <w:t> </w:t>
      </w:r>
      <w:r>
        <w:rPr>
          <w:sz w:val="20"/>
        </w:rPr>
        <w:t>should</w:t>
      </w:r>
      <w:r>
        <w:rPr>
          <w:spacing w:val="-9"/>
          <w:sz w:val="20"/>
        </w:rPr>
        <w:t> </w:t>
      </w:r>
      <w:r>
        <w:rPr>
          <w:sz w:val="20"/>
        </w:rPr>
        <w:t>consider whether the person in the subject groups can serve as a juror as </w:t>
      </w:r>
      <w:r>
        <w:rPr>
          <w:spacing w:val="-3"/>
          <w:sz w:val="20"/>
        </w:rPr>
        <w:t>allowed by </w:t>
      </w:r>
      <w:r>
        <w:rPr>
          <w:sz w:val="20"/>
        </w:rPr>
        <w:t>the amended</w:t>
      </w:r>
      <w:r>
        <w:rPr>
          <w:spacing w:val="-5"/>
          <w:sz w:val="20"/>
        </w:rPr>
        <w:t> </w:t>
      </w:r>
      <w:r>
        <w:rPr>
          <w:sz w:val="20"/>
        </w:rPr>
        <w:t>legislation.</w:t>
      </w:r>
    </w:p>
    <w:p>
      <w:pPr>
        <w:pStyle w:val="ListParagraph"/>
        <w:numPr>
          <w:ilvl w:val="1"/>
          <w:numId w:val="12"/>
        </w:numPr>
        <w:tabs>
          <w:tab w:pos="1761" w:val="left" w:leader="none"/>
          <w:tab w:pos="1762" w:val="left" w:leader="none"/>
        </w:tabs>
        <w:spacing w:line="206" w:lineRule="auto" w:before="124" w:after="0"/>
        <w:ind w:left="1761" w:right="1337" w:hanging="794"/>
        <w:jc w:val="left"/>
        <w:rPr>
          <w:sz w:val="20"/>
        </w:rPr>
      </w:pPr>
      <w:r>
        <w:rPr>
          <w:sz w:val="20"/>
        </w:rPr>
        <w:t>If there </w:t>
      </w:r>
      <w:r>
        <w:rPr>
          <w:spacing w:val="-3"/>
          <w:sz w:val="20"/>
        </w:rPr>
        <w:t>are </w:t>
      </w:r>
      <w:r>
        <w:rPr>
          <w:sz w:val="20"/>
        </w:rPr>
        <w:t>concerns, the Supreme Court approach envisages that empanelment might</w:t>
      </w:r>
      <w:r>
        <w:rPr>
          <w:spacing w:val="-9"/>
          <w:sz w:val="20"/>
        </w:rPr>
        <w:t> </w:t>
      </w:r>
      <w:r>
        <w:rPr>
          <w:sz w:val="20"/>
        </w:rPr>
        <w:t>need</w:t>
      </w:r>
      <w:r>
        <w:rPr>
          <w:spacing w:val="-8"/>
          <w:sz w:val="20"/>
        </w:rPr>
        <w:t> </w:t>
      </w:r>
      <w:r>
        <w:rPr>
          <w:sz w:val="20"/>
        </w:rPr>
        <w:t>to</w:t>
      </w:r>
      <w:r>
        <w:rPr>
          <w:spacing w:val="-9"/>
          <w:sz w:val="20"/>
        </w:rPr>
        <w:t> </w:t>
      </w:r>
      <w:r>
        <w:rPr>
          <w:sz w:val="20"/>
        </w:rPr>
        <w:t>be</w:t>
      </w:r>
      <w:r>
        <w:rPr>
          <w:spacing w:val="-8"/>
          <w:sz w:val="20"/>
        </w:rPr>
        <w:t> </w:t>
      </w:r>
      <w:r>
        <w:rPr>
          <w:sz w:val="20"/>
        </w:rPr>
        <w:t>pushed</w:t>
      </w:r>
      <w:r>
        <w:rPr>
          <w:spacing w:val="-8"/>
          <w:sz w:val="20"/>
        </w:rPr>
        <w:t> </w:t>
      </w:r>
      <w:r>
        <w:rPr>
          <w:sz w:val="20"/>
        </w:rPr>
        <w:t>back</w:t>
      </w:r>
      <w:r>
        <w:rPr>
          <w:spacing w:val="-9"/>
          <w:sz w:val="20"/>
        </w:rPr>
        <w:t> </w:t>
      </w:r>
      <w:r>
        <w:rPr>
          <w:spacing w:val="-3"/>
          <w:sz w:val="20"/>
        </w:rPr>
        <w:t>by</w:t>
      </w:r>
      <w:r>
        <w:rPr>
          <w:spacing w:val="-8"/>
          <w:sz w:val="20"/>
        </w:rPr>
        <w:t> </w:t>
      </w:r>
      <w:r>
        <w:rPr>
          <w:sz w:val="20"/>
        </w:rPr>
        <w:t>an</w:t>
      </w:r>
      <w:r>
        <w:rPr>
          <w:spacing w:val="-9"/>
          <w:sz w:val="20"/>
        </w:rPr>
        <w:t> </w:t>
      </w:r>
      <w:r>
        <w:rPr>
          <w:sz w:val="20"/>
        </w:rPr>
        <w:t>hour</w:t>
      </w:r>
      <w:r>
        <w:rPr>
          <w:spacing w:val="-8"/>
          <w:sz w:val="20"/>
        </w:rPr>
        <w:t> </w:t>
      </w:r>
      <w:r>
        <w:rPr>
          <w:sz w:val="20"/>
        </w:rPr>
        <w:t>or</w:t>
      </w:r>
      <w:r>
        <w:rPr>
          <w:spacing w:val="-8"/>
          <w:sz w:val="20"/>
        </w:rPr>
        <w:t> </w:t>
      </w:r>
      <w:r>
        <w:rPr>
          <w:sz w:val="20"/>
        </w:rPr>
        <w:t>two</w:t>
      </w:r>
      <w:r>
        <w:rPr>
          <w:spacing w:val="-9"/>
          <w:sz w:val="20"/>
        </w:rPr>
        <w:t> </w:t>
      </w:r>
      <w:r>
        <w:rPr>
          <w:sz w:val="20"/>
        </w:rPr>
        <w:t>to</w:t>
      </w:r>
      <w:r>
        <w:rPr>
          <w:spacing w:val="-8"/>
          <w:sz w:val="20"/>
        </w:rPr>
        <w:t> </w:t>
      </w:r>
      <w:r>
        <w:rPr>
          <w:sz w:val="20"/>
        </w:rPr>
        <w:t>deal</w:t>
      </w:r>
      <w:r>
        <w:rPr>
          <w:spacing w:val="-9"/>
          <w:sz w:val="20"/>
        </w:rPr>
        <w:t> </w:t>
      </w:r>
      <w:r>
        <w:rPr>
          <w:sz w:val="20"/>
        </w:rPr>
        <w:t>with</w:t>
      </w:r>
      <w:r>
        <w:rPr>
          <w:spacing w:val="-8"/>
          <w:sz w:val="20"/>
        </w:rPr>
        <w:t> </w:t>
      </w:r>
      <w:r>
        <w:rPr>
          <w:sz w:val="20"/>
        </w:rPr>
        <w:t>these</w:t>
      </w:r>
      <w:r>
        <w:rPr>
          <w:spacing w:val="-8"/>
          <w:sz w:val="20"/>
        </w:rPr>
        <w:t> </w:t>
      </w:r>
      <w:r>
        <w:rPr>
          <w:sz w:val="20"/>
        </w:rPr>
        <w:t>issues.</w:t>
      </w:r>
      <w:r>
        <w:rPr>
          <w:spacing w:val="-9"/>
          <w:sz w:val="20"/>
        </w:rPr>
        <w:t> </w:t>
      </w:r>
      <w:r>
        <w:rPr>
          <w:sz w:val="20"/>
        </w:rPr>
        <w:t>It</w:t>
      </w:r>
      <w:r>
        <w:rPr>
          <w:spacing w:val="-8"/>
          <w:sz w:val="20"/>
        </w:rPr>
        <w:t> </w:t>
      </w:r>
      <w:r>
        <w:rPr>
          <w:sz w:val="20"/>
        </w:rPr>
        <w:t>suggests that empanelment is often delayed for a variety of reasons and that this should be manageable.</w:t>
      </w:r>
    </w:p>
    <w:p>
      <w:pPr>
        <w:pStyle w:val="ListParagraph"/>
        <w:numPr>
          <w:ilvl w:val="1"/>
          <w:numId w:val="12"/>
        </w:numPr>
        <w:tabs>
          <w:tab w:pos="1761" w:val="left" w:leader="none"/>
          <w:tab w:pos="1762" w:val="left" w:leader="none"/>
        </w:tabs>
        <w:spacing w:line="206" w:lineRule="auto" w:before="125" w:after="0"/>
        <w:ind w:left="1761" w:right="1250" w:hanging="794"/>
        <w:jc w:val="left"/>
        <w:rPr>
          <w:sz w:val="20"/>
        </w:rPr>
      </w:pPr>
      <w:r>
        <w:rPr>
          <w:sz w:val="20"/>
        </w:rPr>
        <w:t>Some submissions suggested that it </w:t>
      </w:r>
      <w:r>
        <w:rPr>
          <w:spacing w:val="-3"/>
          <w:sz w:val="20"/>
        </w:rPr>
        <w:t>would </w:t>
      </w:r>
      <w:r>
        <w:rPr>
          <w:sz w:val="20"/>
        </w:rPr>
        <w:t>be important for counsel to be </w:t>
      </w:r>
      <w:r>
        <w:rPr>
          <w:spacing w:val="-4"/>
          <w:sz w:val="20"/>
        </w:rPr>
        <w:t>involved </w:t>
      </w:r>
      <w:r>
        <w:rPr>
          <w:sz w:val="20"/>
        </w:rPr>
        <w:t>in this</w:t>
      </w:r>
      <w:r>
        <w:rPr>
          <w:spacing w:val="-10"/>
          <w:sz w:val="20"/>
        </w:rPr>
        <w:t> </w:t>
      </w:r>
      <w:r>
        <w:rPr>
          <w:sz w:val="20"/>
        </w:rPr>
        <w:t>hearing.</w:t>
      </w:r>
      <w:r>
        <w:rPr>
          <w:position w:val="7"/>
          <w:sz w:val="11"/>
        </w:rPr>
        <w:t>70</w:t>
      </w:r>
      <w:r>
        <w:rPr>
          <w:spacing w:val="16"/>
          <w:position w:val="7"/>
          <w:sz w:val="11"/>
        </w:rPr>
        <w:t> </w:t>
      </w:r>
      <w:r>
        <w:rPr>
          <w:spacing w:val="-3"/>
          <w:sz w:val="20"/>
        </w:rPr>
        <w:t>Ultimately</w:t>
      </w:r>
      <w:r>
        <w:rPr>
          <w:spacing w:val="-9"/>
          <w:sz w:val="20"/>
        </w:rPr>
        <w:t> </w:t>
      </w:r>
      <w:r>
        <w:rPr>
          <w:sz w:val="20"/>
        </w:rPr>
        <w:t>it</w:t>
      </w:r>
      <w:r>
        <w:rPr>
          <w:spacing w:val="-10"/>
          <w:sz w:val="20"/>
        </w:rPr>
        <w:t> </w:t>
      </w:r>
      <w:r>
        <w:rPr>
          <w:sz w:val="20"/>
        </w:rPr>
        <w:t>will</w:t>
      </w:r>
      <w:r>
        <w:rPr>
          <w:spacing w:val="-9"/>
          <w:sz w:val="20"/>
        </w:rPr>
        <w:t> </w:t>
      </w:r>
      <w:r>
        <w:rPr>
          <w:sz w:val="20"/>
        </w:rPr>
        <w:t>be</w:t>
      </w:r>
      <w:r>
        <w:rPr>
          <w:spacing w:val="-9"/>
          <w:sz w:val="20"/>
        </w:rPr>
        <w:t> </w:t>
      </w:r>
      <w:r>
        <w:rPr>
          <w:sz w:val="20"/>
        </w:rPr>
        <w:t>up</w:t>
      </w:r>
      <w:r>
        <w:rPr>
          <w:spacing w:val="-9"/>
          <w:sz w:val="20"/>
        </w:rPr>
        <w:t> </w:t>
      </w:r>
      <w:r>
        <w:rPr>
          <w:sz w:val="20"/>
        </w:rPr>
        <w:t>to</w:t>
      </w:r>
      <w:r>
        <w:rPr>
          <w:spacing w:val="-10"/>
          <w:sz w:val="20"/>
        </w:rPr>
        <w:t> </w:t>
      </w:r>
      <w:r>
        <w:rPr>
          <w:sz w:val="20"/>
        </w:rPr>
        <w:t>the</w:t>
      </w:r>
      <w:r>
        <w:rPr>
          <w:spacing w:val="-9"/>
          <w:sz w:val="20"/>
        </w:rPr>
        <w:t> </w:t>
      </w:r>
      <w:r>
        <w:rPr>
          <w:sz w:val="20"/>
        </w:rPr>
        <w:t>judge</w:t>
      </w:r>
      <w:r>
        <w:rPr>
          <w:spacing w:val="-9"/>
          <w:sz w:val="20"/>
        </w:rPr>
        <w:t> </w:t>
      </w:r>
      <w:r>
        <w:rPr>
          <w:sz w:val="20"/>
        </w:rPr>
        <w:t>to</w:t>
      </w:r>
      <w:r>
        <w:rPr>
          <w:spacing w:val="-9"/>
          <w:sz w:val="20"/>
        </w:rPr>
        <w:t> </w:t>
      </w:r>
      <w:r>
        <w:rPr>
          <w:sz w:val="20"/>
        </w:rPr>
        <w:t>decide</w:t>
      </w:r>
      <w:r>
        <w:rPr>
          <w:spacing w:val="-10"/>
          <w:sz w:val="20"/>
        </w:rPr>
        <w:t> </w:t>
      </w:r>
      <w:r>
        <w:rPr>
          <w:spacing w:val="-3"/>
          <w:sz w:val="20"/>
        </w:rPr>
        <w:t>how</w:t>
      </w:r>
      <w:r>
        <w:rPr>
          <w:spacing w:val="-9"/>
          <w:sz w:val="20"/>
        </w:rPr>
        <w:t> </w:t>
      </w:r>
      <w:r>
        <w:rPr>
          <w:sz w:val="20"/>
        </w:rPr>
        <w:t>to</w:t>
      </w:r>
      <w:r>
        <w:rPr>
          <w:spacing w:val="-9"/>
          <w:sz w:val="20"/>
        </w:rPr>
        <w:t> </w:t>
      </w:r>
      <w:r>
        <w:rPr>
          <w:sz w:val="20"/>
        </w:rPr>
        <w:t>conduct</w:t>
      </w:r>
      <w:r>
        <w:rPr>
          <w:spacing w:val="-9"/>
          <w:sz w:val="20"/>
        </w:rPr>
        <w:t> </w:t>
      </w:r>
      <w:r>
        <w:rPr>
          <w:sz w:val="20"/>
        </w:rPr>
        <w:t>the</w:t>
      </w:r>
      <w:r>
        <w:rPr>
          <w:spacing w:val="-10"/>
          <w:sz w:val="20"/>
        </w:rPr>
        <w:t> </w:t>
      </w:r>
      <w:r>
        <w:rPr>
          <w:sz w:val="20"/>
        </w:rPr>
        <w:t>hearing and what evidence to</w:t>
      </w:r>
      <w:r>
        <w:rPr>
          <w:spacing w:val="-18"/>
          <w:sz w:val="20"/>
        </w:rPr>
        <w:t> </w:t>
      </w:r>
      <w:r>
        <w:rPr>
          <w:sz w:val="20"/>
        </w:rPr>
        <w:t>admit.</w:t>
      </w:r>
    </w:p>
    <w:p>
      <w:pPr>
        <w:pStyle w:val="ListParagraph"/>
        <w:numPr>
          <w:ilvl w:val="1"/>
          <w:numId w:val="12"/>
        </w:numPr>
        <w:tabs>
          <w:tab w:pos="1761" w:val="left" w:leader="none"/>
          <w:tab w:pos="1762" w:val="left" w:leader="none"/>
        </w:tabs>
        <w:spacing w:line="206" w:lineRule="auto" w:before="124" w:after="0"/>
        <w:ind w:left="1761" w:right="1216" w:hanging="794"/>
        <w:jc w:val="left"/>
        <w:rPr>
          <w:sz w:val="20"/>
        </w:rPr>
      </w:pPr>
      <w:r>
        <w:rPr>
          <w:sz w:val="20"/>
        </w:rPr>
        <w:t>As</w:t>
      </w:r>
      <w:r>
        <w:rPr>
          <w:spacing w:val="-8"/>
          <w:sz w:val="20"/>
        </w:rPr>
        <w:t> </w:t>
      </w:r>
      <w:r>
        <w:rPr>
          <w:spacing w:val="-3"/>
          <w:sz w:val="20"/>
        </w:rPr>
        <w:t>few</w:t>
      </w:r>
      <w:r>
        <w:rPr>
          <w:spacing w:val="-7"/>
          <w:sz w:val="20"/>
        </w:rPr>
        <w:t> </w:t>
      </w:r>
      <w:r>
        <w:rPr>
          <w:sz w:val="20"/>
        </w:rPr>
        <w:t>trials</w:t>
      </w:r>
      <w:r>
        <w:rPr>
          <w:spacing w:val="-8"/>
          <w:sz w:val="20"/>
        </w:rPr>
        <w:t> </w:t>
      </w:r>
      <w:r>
        <w:rPr>
          <w:spacing w:val="-3"/>
          <w:sz w:val="20"/>
        </w:rPr>
        <w:t>may</w:t>
      </w:r>
      <w:r>
        <w:rPr>
          <w:spacing w:val="-7"/>
          <w:sz w:val="20"/>
        </w:rPr>
        <w:t> </w:t>
      </w:r>
      <w:r>
        <w:rPr>
          <w:sz w:val="20"/>
        </w:rPr>
        <w:t>be</w:t>
      </w:r>
      <w:r>
        <w:rPr>
          <w:spacing w:val="-8"/>
          <w:sz w:val="20"/>
        </w:rPr>
        <w:t> </w:t>
      </w:r>
      <w:r>
        <w:rPr>
          <w:sz w:val="20"/>
        </w:rPr>
        <w:t>impacted</w:t>
      </w:r>
      <w:r>
        <w:rPr>
          <w:spacing w:val="-7"/>
          <w:sz w:val="20"/>
        </w:rPr>
        <w:t> </w:t>
      </w:r>
      <w:r>
        <w:rPr>
          <w:spacing w:val="-3"/>
          <w:sz w:val="20"/>
        </w:rPr>
        <w:t>by</w:t>
      </w:r>
      <w:r>
        <w:rPr>
          <w:spacing w:val="-8"/>
          <w:sz w:val="20"/>
        </w:rPr>
        <w:t> </w:t>
      </w:r>
      <w:r>
        <w:rPr>
          <w:sz w:val="20"/>
        </w:rPr>
        <w:t>reforms,</w:t>
      </w:r>
      <w:r>
        <w:rPr>
          <w:spacing w:val="-7"/>
          <w:sz w:val="20"/>
        </w:rPr>
        <w:t> </w:t>
      </w:r>
      <w:r>
        <w:rPr>
          <w:sz w:val="20"/>
        </w:rPr>
        <w:t>the</w:t>
      </w:r>
      <w:r>
        <w:rPr>
          <w:spacing w:val="-8"/>
          <w:sz w:val="20"/>
        </w:rPr>
        <w:t> </w:t>
      </w:r>
      <w:r>
        <w:rPr>
          <w:sz w:val="20"/>
        </w:rPr>
        <w:t>simplest</w:t>
      </w:r>
      <w:r>
        <w:rPr>
          <w:spacing w:val="-7"/>
          <w:sz w:val="20"/>
        </w:rPr>
        <w:t> </w:t>
      </w:r>
      <w:r>
        <w:rPr>
          <w:sz w:val="20"/>
        </w:rPr>
        <w:t>and</w:t>
      </w:r>
      <w:r>
        <w:rPr>
          <w:spacing w:val="-8"/>
          <w:sz w:val="20"/>
        </w:rPr>
        <w:t> </w:t>
      </w:r>
      <w:r>
        <w:rPr>
          <w:spacing w:val="-3"/>
          <w:sz w:val="20"/>
        </w:rPr>
        <w:t>fairest</w:t>
      </w:r>
      <w:r>
        <w:rPr>
          <w:spacing w:val="-7"/>
          <w:sz w:val="20"/>
        </w:rPr>
        <w:t> </w:t>
      </w:r>
      <w:r>
        <w:rPr>
          <w:sz w:val="20"/>
        </w:rPr>
        <w:t>approach</w:t>
      </w:r>
      <w:r>
        <w:rPr>
          <w:spacing w:val="-8"/>
          <w:sz w:val="20"/>
        </w:rPr>
        <w:t> </w:t>
      </w:r>
      <w:r>
        <w:rPr>
          <w:spacing w:val="-3"/>
          <w:sz w:val="20"/>
        </w:rPr>
        <w:t>may</w:t>
      </w:r>
      <w:r>
        <w:rPr>
          <w:spacing w:val="-7"/>
          <w:sz w:val="20"/>
        </w:rPr>
        <w:t> </w:t>
      </w:r>
      <w:r>
        <w:rPr>
          <w:sz w:val="20"/>
        </w:rPr>
        <w:t>be</w:t>
      </w:r>
      <w:r>
        <w:rPr>
          <w:spacing w:val="-8"/>
          <w:sz w:val="20"/>
        </w:rPr>
        <w:t> </w:t>
      </w:r>
      <w:r>
        <w:rPr>
          <w:sz w:val="20"/>
        </w:rPr>
        <w:t>to occasionally</w:t>
      </w:r>
      <w:r>
        <w:rPr>
          <w:spacing w:val="-13"/>
          <w:sz w:val="20"/>
        </w:rPr>
        <w:t> </w:t>
      </w:r>
      <w:r>
        <w:rPr>
          <w:sz w:val="20"/>
        </w:rPr>
        <w:t>delay</w:t>
      </w:r>
      <w:r>
        <w:rPr>
          <w:spacing w:val="-12"/>
          <w:sz w:val="20"/>
        </w:rPr>
        <w:t> </w:t>
      </w:r>
      <w:r>
        <w:rPr>
          <w:sz w:val="20"/>
        </w:rPr>
        <w:t>empanelment</w:t>
      </w:r>
      <w:r>
        <w:rPr>
          <w:spacing w:val="-12"/>
          <w:sz w:val="20"/>
        </w:rPr>
        <w:t> </w:t>
      </w:r>
      <w:r>
        <w:rPr>
          <w:sz w:val="20"/>
        </w:rPr>
        <w:t>to</w:t>
      </w:r>
      <w:r>
        <w:rPr>
          <w:spacing w:val="-12"/>
          <w:sz w:val="20"/>
        </w:rPr>
        <w:t> </w:t>
      </w:r>
      <w:r>
        <w:rPr>
          <w:sz w:val="20"/>
        </w:rPr>
        <w:t>determine</w:t>
      </w:r>
      <w:r>
        <w:rPr>
          <w:spacing w:val="-12"/>
          <w:sz w:val="20"/>
        </w:rPr>
        <w:t> </w:t>
      </w:r>
      <w:r>
        <w:rPr>
          <w:sz w:val="20"/>
        </w:rPr>
        <w:t>the</w:t>
      </w:r>
      <w:r>
        <w:rPr>
          <w:spacing w:val="-12"/>
          <w:sz w:val="20"/>
        </w:rPr>
        <w:t> </w:t>
      </w:r>
      <w:r>
        <w:rPr>
          <w:spacing w:val="-4"/>
          <w:sz w:val="20"/>
        </w:rPr>
        <w:t>matter.</w:t>
      </w:r>
      <w:r>
        <w:rPr>
          <w:spacing w:val="-12"/>
          <w:sz w:val="20"/>
        </w:rPr>
        <w:t> </w:t>
      </w:r>
      <w:r>
        <w:rPr>
          <w:spacing w:val="-6"/>
          <w:sz w:val="20"/>
        </w:rPr>
        <w:t>We</w:t>
      </w:r>
      <w:r>
        <w:rPr>
          <w:spacing w:val="-12"/>
          <w:sz w:val="20"/>
        </w:rPr>
        <w:t> </w:t>
      </w:r>
      <w:r>
        <w:rPr>
          <w:spacing w:val="-3"/>
          <w:sz w:val="20"/>
        </w:rPr>
        <w:t>are</w:t>
      </w:r>
      <w:r>
        <w:rPr>
          <w:spacing w:val="-12"/>
          <w:sz w:val="20"/>
        </w:rPr>
        <w:t> </w:t>
      </w:r>
      <w:r>
        <w:rPr>
          <w:sz w:val="20"/>
        </w:rPr>
        <w:t>confident</w:t>
      </w:r>
      <w:r>
        <w:rPr>
          <w:spacing w:val="-12"/>
          <w:sz w:val="20"/>
        </w:rPr>
        <w:t> </w:t>
      </w:r>
      <w:r>
        <w:rPr>
          <w:sz w:val="20"/>
        </w:rPr>
        <w:t>that</w:t>
      </w:r>
      <w:r>
        <w:rPr>
          <w:spacing w:val="-12"/>
          <w:sz w:val="20"/>
        </w:rPr>
        <w:t> </w:t>
      </w:r>
      <w:r>
        <w:rPr>
          <w:sz w:val="20"/>
        </w:rPr>
        <w:t>Juries Victoria can </w:t>
      </w:r>
      <w:r>
        <w:rPr>
          <w:spacing w:val="-3"/>
          <w:sz w:val="20"/>
        </w:rPr>
        <w:t>work </w:t>
      </w:r>
      <w:r>
        <w:rPr>
          <w:sz w:val="20"/>
        </w:rPr>
        <w:t>out a solution to the logistical issue it raises about where to put the remainder</w:t>
      </w:r>
      <w:r>
        <w:rPr>
          <w:spacing w:val="-10"/>
          <w:sz w:val="20"/>
        </w:rPr>
        <w:t> </w:t>
      </w:r>
      <w:r>
        <w:rPr>
          <w:sz w:val="20"/>
        </w:rPr>
        <w:t>of</w:t>
      </w:r>
      <w:r>
        <w:rPr>
          <w:spacing w:val="-10"/>
          <w:sz w:val="20"/>
        </w:rPr>
        <w:t> </w:t>
      </w:r>
      <w:r>
        <w:rPr>
          <w:sz w:val="20"/>
        </w:rPr>
        <w:t>the</w:t>
      </w:r>
      <w:r>
        <w:rPr>
          <w:spacing w:val="-10"/>
          <w:sz w:val="20"/>
        </w:rPr>
        <w:t> </w:t>
      </w:r>
      <w:r>
        <w:rPr>
          <w:sz w:val="20"/>
        </w:rPr>
        <w:t>jury</w:t>
      </w:r>
      <w:r>
        <w:rPr>
          <w:spacing w:val="-10"/>
          <w:sz w:val="20"/>
        </w:rPr>
        <w:t> </w:t>
      </w:r>
      <w:r>
        <w:rPr>
          <w:sz w:val="20"/>
        </w:rPr>
        <w:t>panel</w:t>
      </w:r>
      <w:r>
        <w:rPr>
          <w:spacing w:val="-10"/>
          <w:sz w:val="20"/>
        </w:rPr>
        <w:t> </w:t>
      </w:r>
      <w:r>
        <w:rPr>
          <w:sz w:val="20"/>
        </w:rPr>
        <w:t>while</w:t>
      </w:r>
      <w:r>
        <w:rPr>
          <w:spacing w:val="-10"/>
          <w:sz w:val="20"/>
        </w:rPr>
        <w:t> </w:t>
      </w:r>
      <w:r>
        <w:rPr>
          <w:sz w:val="20"/>
        </w:rPr>
        <w:t>the</w:t>
      </w:r>
      <w:r>
        <w:rPr>
          <w:spacing w:val="-10"/>
          <w:sz w:val="20"/>
        </w:rPr>
        <w:t> </w:t>
      </w:r>
      <w:r>
        <w:rPr>
          <w:sz w:val="20"/>
        </w:rPr>
        <w:t>matter</w:t>
      </w:r>
      <w:r>
        <w:rPr>
          <w:spacing w:val="-10"/>
          <w:sz w:val="20"/>
        </w:rPr>
        <w:t> </w:t>
      </w:r>
      <w:r>
        <w:rPr>
          <w:sz w:val="20"/>
        </w:rPr>
        <w:t>is</w:t>
      </w:r>
      <w:r>
        <w:rPr>
          <w:spacing w:val="-9"/>
          <w:sz w:val="20"/>
        </w:rPr>
        <w:t> </w:t>
      </w:r>
      <w:r>
        <w:rPr>
          <w:sz w:val="20"/>
        </w:rPr>
        <w:t>being</w:t>
      </w:r>
      <w:r>
        <w:rPr>
          <w:spacing w:val="-10"/>
          <w:sz w:val="20"/>
        </w:rPr>
        <w:t> </w:t>
      </w:r>
      <w:r>
        <w:rPr>
          <w:sz w:val="20"/>
        </w:rPr>
        <w:t>considered</w:t>
      </w:r>
      <w:r>
        <w:rPr>
          <w:spacing w:val="-10"/>
          <w:sz w:val="20"/>
        </w:rPr>
        <w:t> </w:t>
      </w:r>
      <w:r>
        <w:rPr>
          <w:spacing w:val="-3"/>
          <w:sz w:val="20"/>
        </w:rPr>
        <w:t>by</w:t>
      </w:r>
      <w:r>
        <w:rPr>
          <w:spacing w:val="-10"/>
          <w:sz w:val="20"/>
        </w:rPr>
        <w:t> </w:t>
      </w:r>
      <w:r>
        <w:rPr>
          <w:sz w:val="20"/>
        </w:rPr>
        <w:t>the</w:t>
      </w:r>
      <w:r>
        <w:rPr>
          <w:spacing w:val="-10"/>
          <w:sz w:val="20"/>
        </w:rPr>
        <w:t> </w:t>
      </w:r>
      <w:r>
        <w:rPr>
          <w:sz w:val="20"/>
        </w:rPr>
        <w:t>trial</w:t>
      </w:r>
      <w:r>
        <w:rPr>
          <w:spacing w:val="-10"/>
          <w:sz w:val="20"/>
        </w:rPr>
        <w:t> </w:t>
      </w:r>
      <w:r>
        <w:rPr>
          <w:sz w:val="20"/>
        </w:rPr>
        <w:t>judge.</w:t>
      </w:r>
      <w:r>
        <w:rPr>
          <w:spacing w:val="-10"/>
          <w:sz w:val="20"/>
        </w:rPr>
        <w:t> </w:t>
      </w:r>
      <w:r>
        <w:rPr>
          <w:sz w:val="20"/>
        </w:rPr>
        <w:t>The trial</w:t>
      </w:r>
      <w:r>
        <w:rPr>
          <w:spacing w:val="-12"/>
          <w:sz w:val="20"/>
        </w:rPr>
        <w:t> </w:t>
      </w:r>
      <w:r>
        <w:rPr>
          <w:sz w:val="20"/>
        </w:rPr>
        <w:t>judge</w:t>
      </w:r>
      <w:r>
        <w:rPr>
          <w:spacing w:val="-12"/>
          <w:sz w:val="20"/>
        </w:rPr>
        <w:t> </w:t>
      </w:r>
      <w:r>
        <w:rPr>
          <w:sz w:val="20"/>
        </w:rPr>
        <w:t>will</w:t>
      </w:r>
      <w:r>
        <w:rPr>
          <w:spacing w:val="-12"/>
          <w:sz w:val="20"/>
        </w:rPr>
        <w:t> </w:t>
      </w:r>
      <w:r>
        <w:rPr>
          <w:spacing w:val="-4"/>
          <w:sz w:val="20"/>
        </w:rPr>
        <w:t>have</w:t>
      </w:r>
      <w:r>
        <w:rPr>
          <w:spacing w:val="-12"/>
          <w:sz w:val="20"/>
        </w:rPr>
        <w:t> </w:t>
      </w:r>
      <w:r>
        <w:rPr>
          <w:sz w:val="20"/>
        </w:rPr>
        <w:t>all</w:t>
      </w:r>
      <w:r>
        <w:rPr>
          <w:spacing w:val="-11"/>
          <w:sz w:val="20"/>
        </w:rPr>
        <w:t> </w:t>
      </w:r>
      <w:r>
        <w:rPr>
          <w:sz w:val="20"/>
        </w:rPr>
        <w:t>the</w:t>
      </w:r>
      <w:r>
        <w:rPr>
          <w:spacing w:val="-12"/>
          <w:sz w:val="20"/>
        </w:rPr>
        <w:t> </w:t>
      </w:r>
      <w:r>
        <w:rPr>
          <w:sz w:val="20"/>
        </w:rPr>
        <w:t>information</w:t>
      </w:r>
      <w:r>
        <w:rPr>
          <w:spacing w:val="-12"/>
          <w:sz w:val="20"/>
        </w:rPr>
        <w:t> </w:t>
      </w:r>
      <w:r>
        <w:rPr>
          <w:sz w:val="20"/>
        </w:rPr>
        <w:t>collected</w:t>
      </w:r>
      <w:r>
        <w:rPr>
          <w:spacing w:val="-12"/>
          <w:sz w:val="20"/>
        </w:rPr>
        <w:t> </w:t>
      </w:r>
      <w:r>
        <w:rPr>
          <w:spacing w:val="-3"/>
          <w:sz w:val="20"/>
        </w:rPr>
        <w:t>by</w:t>
      </w:r>
      <w:r>
        <w:rPr>
          <w:spacing w:val="-12"/>
          <w:sz w:val="20"/>
        </w:rPr>
        <w:t> </w:t>
      </w:r>
      <w:r>
        <w:rPr>
          <w:sz w:val="20"/>
        </w:rPr>
        <w:t>Juries</w:t>
      </w:r>
      <w:r>
        <w:rPr>
          <w:spacing w:val="-11"/>
          <w:sz w:val="20"/>
        </w:rPr>
        <w:t> </w:t>
      </w:r>
      <w:r>
        <w:rPr>
          <w:sz w:val="20"/>
        </w:rPr>
        <w:t>Victoria</w:t>
      </w:r>
      <w:r>
        <w:rPr>
          <w:spacing w:val="-12"/>
          <w:sz w:val="20"/>
        </w:rPr>
        <w:t> </w:t>
      </w:r>
      <w:r>
        <w:rPr>
          <w:sz w:val="20"/>
        </w:rPr>
        <w:t>to</w:t>
      </w:r>
      <w:r>
        <w:rPr>
          <w:spacing w:val="-12"/>
          <w:sz w:val="20"/>
        </w:rPr>
        <w:t> </w:t>
      </w:r>
      <w:r>
        <w:rPr>
          <w:sz w:val="20"/>
        </w:rPr>
        <w:t>base</w:t>
      </w:r>
      <w:r>
        <w:rPr>
          <w:spacing w:val="-12"/>
          <w:sz w:val="20"/>
        </w:rPr>
        <w:t> </w:t>
      </w:r>
      <w:r>
        <w:rPr>
          <w:sz w:val="20"/>
        </w:rPr>
        <w:t>their</w:t>
      </w:r>
      <w:r>
        <w:rPr>
          <w:spacing w:val="-11"/>
          <w:sz w:val="20"/>
        </w:rPr>
        <w:t> </w:t>
      </w:r>
      <w:r>
        <w:rPr>
          <w:sz w:val="20"/>
        </w:rPr>
        <w:t>decision on</w:t>
      </w:r>
      <w:r>
        <w:rPr>
          <w:spacing w:val="-5"/>
          <w:sz w:val="20"/>
        </w:rPr>
        <w:t> </w:t>
      </w:r>
      <w:r>
        <w:rPr>
          <w:sz w:val="20"/>
        </w:rPr>
        <w:t>so</w:t>
      </w:r>
      <w:r>
        <w:rPr>
          <w:spacing w:val="-5"/>
          <w:sz w:val="20"/>
        </w:rPr>
        <w:t> </w:t>
      </w:r>
      <w:r>
        <w:rPr>
          <w:spacing w:val="-3"/>
          <w:sz w:val="20"/>
        </w:rPr>
        <w:t>we</w:t>
      </w:r>
      <w:r>
        <w:rPr>
          <w:spacing w:val="-4"/>
          <w:sz w:val="20"/>
        </w:rPr>
        <w:t> </w:t>
      </w:r>
      <w:r>
        <w:rPr>
          <w:sz w:val="20"/>
        </w:rPr>
        <w:t>do</w:t>
      </w:r>
      <w:r>
        <w:rPr>
          <w:spacing w:val="-5"/>
          <w:sz w:val="20"/>
        </w:rPr>
        <w:t> </w:t>
      </w:r>
      <w:r>
        <w:rPr>
          <w:sz w:val="20"/>
        </w:rPr>
        <w:t>not</w:t>
      </w:r>
      <w:r>
        <w:rPr>
          <w:spacing w:val="-5"/>
          <w:sz w:val="20"/>
        </w:rPr>
        <w:t> </w:t>
      </w:r>
      <w:r>
        <w:rPr>
          <w:sz w:val="20"/>
        </w:rPr>
        <w:t>think</w:t>
      </w:r>
      <w:r>
        <w:rPr>
          <w:spacing w:val="-4"/>
          <w:sz w:val="20"/>
        </w:rPr>
        <w:t> </w:t>
      </w:r>
      <w:r>
        <w:rPr>
          <w:sz w:val="20"/>
        </w:rPr>
        <w:t>that</w:t>
      </w:r>
      <w:r>
        <w:rPr>
          <w:spacing w:val="-5"/>
          <w:sz w:val="20"/>
        </w:rPr>
        <w:t> </w:t>
      </w:r>
      <w:r>
        <w:rPr>
          <w:sz w:val="20"/>
        </w:rPr>
        <w:t>this</w:t>
      </w:r>
      <w:r>
        <w:rPr>
          <w:spacing w:val="-5"/>
          <w:sz w:val="20"/>
        </w:rPr>
        <w:t> </w:t>
      </w:r>
      <w:r>
        <w:rPr>
          <w:sz w:val="20"/>
        </w:rPr>
        <w:t>hearing</w:t>
      </w:r>
      <w:r>
        <w:rPr>
          <w:spacing w:val="-4"/>
          <w:sz w:val="20"/>
        </w:rPr>
        <w:t> </w:t>
      </w:r>
      <w:r>
        <w:rPr>
          <w:sz w:val="20"/>
        </w:rPr>
        <w:t>will</w:t>
      </w:r>
      <w:r>
        <w:rPr>
          <w:spacing w:val="-5"/>
          <w:sz w:val="20"/>
        </w:rPr>
        <w:t> </w:t>
      </w:r>
      <w:r>
        <w:rPr>
          <w:sz w:val="20"/>
        </w:rPr>
        <w:t>be</w:t>
      </w:r>
      <w:r>
        <w:rPr>
          <w:spacing w:val="-5"/>
          <w:sz w:val="20"/>
        </w:rPr>
        <w:t> </w:t>
      </w:r>
      <w:r>
        <w:rPr>
          <w:spacing w:val="-4"/>
          <w:sz w:val="20"/>
        </w:rPr>
        <w:t>lengthy.</w:t>
      </w:r>
    </w:p>
    <w:p>
      <w:pPr>
        <w:pStyle w:val="ListParagraph"/>
        <w:numPr>
          <w:ilvl w:val="1"/>
          <w:numId w:val="12"/>
        </w:numPr>
        <w:tabs>
          <w:tab w:pos="1761" w:val="left" w:leader="none"/>
          <w:tab w:pos="1762" w:val="left" w:leader="none"/>
        </w:tabs>
        <w:spacing w:line="206" w:lineRule="auto" w:before="128" w:after="0"/>
        <w:ind w:left="1761" w:right="1269" w:hanging="794"/>
        <w:jc w:val="left"/>
        <w:rPr>
          <w:sz w:val="20"/>
        </w:rPr>
      </w:pPr>
      <w:r>
        <w:rPr>
          <w:spacing w:val="-6"/>
          <w:sz w:val="20"/>
        </w:rPr>
        <w:t>We</w:t>
      </w:r>
      <w:r>
        <w:rPr>
          <w:spacing w:val="-12"/>
          <w:sz w:val="20"/>
        </w:rPr>
        <w:t> </w:t>
      </w:r>
      <w:r>
        <w:rPr>
          <w:sz w:val="20"/>
        </w:rPr>
        <w:t>acknowledge</w:t>
      </w:r>
      <w:r>
        <w:rPr>
          <w:spacing w:val="-12"/>
          <w:sz w:val="20"/>
        </w:rPr>
        <w:t> </w:t>
      </w:r>
      <w:r>
        <w:rPr>
          <w:sz w:val="20"/>
        </w:rPr>
        <w:t>that</w:t>
      </w:r>
      <w:r>
        <w:rPr>
          <w:spacing w:val="-12"/>
          <w:sz w:val="20"/>
        </w:rPr>
        <w:t> </w:t>
      </w:r>
      <w:r>
        <w:rPr>
          <w:sz w:val="20"/>
        </w:rPr>
        <w:t>this</w:t>
      </w:r>
      <w:r>
        <w:rPr>
          <w:spacing w:val="-12"/>
          <w:sz w:val="20"/>
        </w:rPr>
        <w:t> </w:t>
      </w:r>
      <w:r>
        <w:rPr>
          <w:sz w:val="20"/>
        </w:rPr>
        <w:t>approach</w:t>
      </w:r>
      <w:r>
        <w:rPr>
          <w:spacing w:val="-11"/>
          <w:sz w:val="20"/>
        </w:rPr>
        <w:t> </w:t>
      </w:r>
      <w:r>
        <w:rPr>
          <w:spacing w:val="-3"/>
          <w:sz w:val="20"/>
        </w:rPr>
        <w:t>may</w:t>
      </w:r>
      <w:r>
        <w:rPr>
          <w:spacing w:val="-12"/>
          <w:sz w:val="20"/>
        </w:rPr>
        <w:t> </w:t>
      </w:r>
      <w:r>
        <w:rPr>
          <w:sz w:val="20"/>
        </w:rPr>
        <w:t>be</w:t>
      </w:r>
      <w:r>
        <w:rPr>
          <w:spacing w:val="-12"/>
          <w:sz w:val="20"/>
        </w:rPr>
        <w:t> </w:t>
      </w:r>
      <w:r>
        <w:rPr>
          <w:sz w:val="20"/>
        </w:rPr>
        <w:t>more</w:t>
      </w:r>
      <w:r>
        <w:rPr>
          <w:spacing w:val="-12"/>
          <w:sz w:val="20"/>
        </w:rPr>
        <w:t> </w:t>
      </w:r>
      <w:r>
        <w:rPr>
          <w:sz w:val="20"/>
        </w:rPr>
        <w:t>difficult</w:t>
      </w:r>
      <w:r>
        <w:rPr>
          <w:spacing w:val="-11"/>
          <w:sz w:val="20"/>
        </w:rPr>
        <w:t> </w:t>
      </w:r>
      <w:r>
        <w:rPr>
          <w:sz w:val="20"/>
        </w:rPr>
        <w:t>in</w:t>
      </w:r>
      <w:r>
        <w:rPr>
          <w:spacing w:val="-12"/>
          <w:sz w:val="20"/>
        </w:rPr>
        <w:t> </w:t>
      </w:r>
      <w:r>
        <w:rPr>
          <w:sz w:val="20"/>
        </w:rPr>
        <w:t>the</w:t>
      </w:r>
      <w:r>
        <w:rPr>
          <w:spacing w:val="-12"/>
          <w:sz w:val="20"/>
        </w:rPr>
        <w:t> </w:t>
      </w:r>
      <w:r>
        <w:rPr>
          <w:sz w:val="20"/>
        </w:rPr>
        <w:t>County</w:t>
      </w:r>
      <w:r>
        <w:rPr>
          <w:spacing w:val="-12"/>
          <w:sz w:val="20"/>
        </w:rPr>
        <w:t> </w:t>
      </w:r>
      <w:r>
        <w:rPr>
          <w:sz w:val="20"/>
        </w:rPr>
        <w:t>Court,</w:t>
      </w:r>
      <w:r>
        <w:rPr>
          <w:spacing w:val="-11"/>
          <w:sz w:val="20"/>
        </w:rPr>
        <w:t> </w:t>
      </w:r>
      <w:r>
        <w:rPr>
          <w:sz w:val="20"/>
        </w:rPr>
        <w:t>where there</w:t>
      </w:r>
      <w:r>
        <w:rPr>
          <w:spacing w:val="-11"/>
          <w:sz w:val="20"/>
        </w:rPr>
        <w:t> </w:t>
      </w:r>
      <w:r>
        <w:rPr>
          <w:spacing w:val="-3"/>
          <w:sz w:val="20"/>
        </w:rPr>
        <w:t>are</w:t>
      </w:r>
      <w:r>
        <w:rPr>
          <w:spacing w:val="-10"/>
          <w:sz w:val="20"/>
        </w:rPr>
        <w:t> </w:t>
      </w:r>
      <w:r>
        <w:rPr>
          <w:spacing w:val="-3"/>
          <w:sz w:val="20"/>
        </w:rPr>
        <w:t>many</w:t>
      </w:r>
      <w:r>
        <w:rPr>
          <w:spacing w:val="-10"/>
          <w:sz w:val="20"/>
        </w:rPr>
        <w:t> </w:t>
      </w:r>
      <w:r>
        <w:rPr>
          <w:sz w:val="20"/>
        </w:rPr>
        <w:t>more</w:t>
      </w:r>
      <w:r>
        <w:rPr>
          <w:spacing w:val="-10"/>
          <w:sz w:val="20"/>
        </w:rPr>
        <w:t> </w:t>
      </w:r>
      <w:r>
        <w:rPr>
          <w:sz w:val="20"/>
        </w:rPr>
        <w:t>trials</w:t>
      </w:r>
      <w:r>
        <w:rPr>
          <w:spacing w:val="-10"/>
          <w:sz w:val="20"/>
        </w:rPr>
        <w:t> </w:t>
      </w:r>
      <w:r>
        <w:rPr>
          <w:sz w:val="20"/>
        </w:rPr>
        <w:t>to</w:t>
      </w:r>
      <w:r>
        <w:rPr>
          <w:spacing w:val="-10"/>
          <w:sz w:val="20"/>
        </w:rPr>
        <w:t> </w:t>
      </w:r>
      <w:r>
        <w:rPr>
          <w:sz w:val="20"/>
        </w:rPr>
        <w:t>be</w:t>
      </w:r>
      <w:r>
        <w:rPr>
          <w:spacing w:val="-11"/>
          <w:sz w:val="20"/>
        </w:rPr>
        <w:t> </w:t>
      </w:r>
      <w:r>
        <w:rPr>
          <w:sz w:val="20"/>
        </w:rPr>
        <w:t>heard</w:t>
      </w:r>
      <w:r>
        <w:rPr>
          <w:spacing w:val="-10"/>
          <w:sz w:val="20"/>
        </w:rPr>
        <w:t> </w:t>
      </w:r>
      <w:r>
        <w:rPr>
          <w:sz w:val="20"/>
        </w:rPr>
        <w:t>each</w:t>
      </w:r>
      <w:r>
        <w:rPr>
          <w:spacing w:val="-10"/>
          <w:sz w:val="20"/>
        </w:rPr>
        <w:t> </w:t>
      </w:r>
      <w:r>
        <w:rPr>
          <w:spacing w:val="-6"/>
          <w:sz w:val="20"/>
        </w:rPr>
        <w:t>day,</w:t>
      </w:r>
      <w:r>
        <w:rPr>
          <w:spacing w:val="-10"/>
          <w:sz w:val="20"/>
        </w:rPr>
        <w:t> </w:t>
      </w:r>
      <w:r>
        <w:rPr>
          <w:sz w:val="20"/>
        </w:rPr>
        <w:t>and</w:t>
      </w:r>
      <w:r>
        <w:rPr>
          <w:spacing w:val="-10"/>
          <w:sz w:val="20"/>
        </w:rPr>
        <w:t> </w:t>
      </w:r>
      <w:r>
        <w:rPr>
          <w:sz w:val="20"/>
        </w:rPr>
        <w:t>potentially</w:t>
      </w:r>
      <w:r>
        <w:rPr>
          <w:spacing w:val="-10"/>
          <w:sz w:val="20"/>
        </w:rPr>
        <w:t> </w:t>
      </w:r>
      <w:r>
        <w:rPr>
          <w:sz w:val="20"/>
        </w:rPr>
        <w:t>more</w:t>
      </w:r>
      <w:r>
        <w:rPr>
          <w:spacing w:val="-11"/>
          <w:sz w:val="20"/>
        </w:rPr>
        <w:t> </w:t>
      </w:r>
      <w:r>
        <w:rPr>
          <w:sz w:val="20"/>
        </w:rPr>
        <w:t>judges</w:t>
      </w:r>
      <w:r>
        <w:rPr>
          <w:spacing w:val="-10"/>
          <w:sz w:val="20"/>
        </w:rPr>
        <w:t> </w:t>
      </w:r>
      <w:r>
        <w:rPr>
          <w:sz w:val="20"/>
        </w:rPr>
        <w:t>for</w:t>
      </w:r>
      <w:r>
        <w:rPr>
          <w:spacing w:val="-10"/>
          <w:sz w:val="20"/>
        </w:rPr>
        <w:t> </w:t>
      </w:r>
      <w:r>
        <w:rPr>
          <w:sz w:val="20"/>
        </w:rPr>
        <w:t>Juries Victoria to consult with </w:t>
      </w:r>
      <w:r>
        <w:rPr>
          <w:spacing w:val="-3"/>
          <w:sz w:val="20"/>
        </w:rPr>
        <w:t>before</w:t>
      </w:r>
      <w:r>
        <w:rPr>
          <w:spacing w:val="-23"/>
          <w:sz w:val="20"/>
        </w:rPr>
        <w:t> </w:t>
      </w:r>
      <w:r>
        <w:rPr>
          <w:sz w:val="20"/>
        </w:rPr>
        <w:t>empanelment.</w:t>
      </w:r>
    </w:p>
    <w:p>
      <w:pPr>
        <w:spacing w:before="162"/>
        <w:ind w:left="967" w:right="0" w:firstLine="0"/>
        <w:jc w:val="left"/>
        <w:rPr>
          <w:b/>
          <w:sz w:val="24"/>
        </w:rPr>
      </w:pPr>
      <w:r>
        <w:rPr>
          <w:b/>
          <w:sz w:val="24"/>
        </w:rPr>
        <w:t>The court should provide information about the use of adjustments</w:t>
      </w:r>
    </w:p>
    <w:p>
      <w:pPr>
        <w:pStyle w:val="ListParagraph"/>
        <w:numPr>
          <w:ilvl w:val="1"/>
          <w:numId w:val="12"/>
        </w:numPr>
        <w:tabs>
          <w:tab w:pos="1761" w:val="left" w:leader="none"/>
          <w:tab w:pos="1762" w:val="left" w:leader="none"/>
        </w:tabs>
        <w:spacing w:line="206" w:lineRule="auto" w:before="127" w:after="0"/>
        <w:ind w:left="1761" w:right="1418" w:hanging="794"/>
        <w:jc w:val="left"/>
        <w:rPr>
          <w:sz w:val="20"/>
        </w:rPr>
      </w:pPr>
      <w:r>
        <w:rPr>
          <w:sz w:val="20"/>
        </w:rPr>
        <w:t>As with </w:t>
      </w:r>
      <w:r>
        <w:rPr>
          <w:spacing w:val="-3"/>
          <w:sz w:val="20"/>
        </w:rPr>
        <w:t>many </w:t>
      </w:r>
      <w:r>
        <w:rPr>
          <w:sz w:val="20"/>
        </w:rPr>
        <w:t>parts of the conduct of a trial, the Commission thinks that it is best left to the trial judge to decide what directions should be given to the court about the use</w:t>
      </w:r>
      <w:r>
        <w:rPr>
          <w:spacing w:val="-10"/>
          <w:sz w:val="20"/>
        </w:rPr>
        <w:t> </w:t>
      </w:r>
      <w:r>
        <w:rPr>
          <w:sz w:val="20"/>
        </w:rPr>
        <w:t>of</w:t>
      </w:r>
      <w:r>
        <w:rPr>
          <w:spacing w:val="-10"/>
          <w:sz w:val="20"/>
        </w:rPr>
        <w:t> </w:t>
      </w:r>
      <w:r>
        <w:rPr>
          <w:sz w:val="20"/>
        </w:rPr>
        <w:t>adjustments,</w:t>
      </w:r>
      <w:r>
        <w:rPr>
          <w:spacing w:val="-10"/>
          <w:sz w:val="20"/>
        </w:rPr>
        <w:t> </w:t>
      </w:r>
      <w:r>
        <w:rPr>
          <w:sz w:val="20"/>
        </w:rPr>
        <w:t>and</w:t>
      </w:r>
      <w:r>
        <w:rPr>
          <w:spacing w:val="-9"/>
          <w:sz w:val="20"/>
        </w:rPr>
        <w:t> </w:t>
      </w:r>
      <w:r>
        <w:rPr>
          <w:sz w:val="20"/>
        </w:rPr>
        <w:t>when.</w:t>
      </w:r>
      <w:r>
        <w:rPr>
          <w:spacing w:val="-10"/>
          <w:sz w:val="20"/>
        </w:rPr>
        <w:t> </w:t>
      </w:r>
      <w:r>
        <w:rPr>
          <w:spacing w:val="-6"/>
          <w:sz w:val="20"/>
        </w:rPr>
        <w:t>We</w:t>
      </w:r>
      <w:r>
        <w:rPr>
          <w:spacing w:val="-10"/>
          <w:sz w:val="20"/>
        </w:rPr>
        <w:t> </w:t>
      </w:r>
      <w:r>
        <w:rPr>
          <w:sz w:val="20"/>
        </w:rPr>
        <w:t>recommend</w:t>
      </w:r>
      <w:r>
        <w:rPr>
          <w:spacing w:val="-9"/>
          <w:sz w:val="20"/>
        </w:rPr>
        <w:t> </w:t>
      </w:r>
      <w:r>
        <w:rPr>
          <w:sz w:val="20"/>
        </w:rPr>
        <w:t>that</w:t>
      </w:r>
      <w:r>
        <w:rPr>
          <w:spacing w:val="-10"/>
          <w:sz w:val="20"/>
        </w:rPr>
        <w:t> </w:t>
      </w:r>
      <w:r>
        <w:rPr>
          <w:sz w:val="20"/>
        </w:rPr>
        <w:t>the</w:t>
      </w:r>
      <w:r>
        <w:rPr>
          <w:spacing w:val="-10"/>
          <w:sz w:val="20"/>
        </w:rPr>
        <w:t> </w:t>
      </w:r>
      <w:r>
        <w:rPr>
          <w:sz w:val="20"/>
        </w:rPr>
        <w:t>Supreme</w:t>
      </w:r>
      <w:r>
        <w:rPr>
          <w:spacing w:val="-10"/>
          <w:sz w:val="20"/>
        </w:rPr>
        <w:t> </w:t>
      </w:r>
      <w:r>
        <w:rPr>
          <w:sz w:val="20"/>
        </w:rPr>
        <w:t>and</w:t>
      </w:r>
      <w:r>
        <w:rPr>
          <w:spacing w:val="-9"/>
          <w:sz w:val="20"/>
        </w:rPr>
        <w:t> </w:t>
      </w:r>
      <w:r>
        <w:rPr>
          <w:sz w:val="20"/>
        </w:rPr>
        <w:t>County</w:t>
      </w:r>
      <w:r>
        <w:rPr>
          <w:spacing w:val="-10"/>
          <w:sz w:val="20"/>
        </w:rPr>
        <w:t> </w:t>
      </w:r>
      <w:r>
        <w:rPr>
          <w:sz w:val="20"/>
        </w:rPr>
        <w:t>Courts</w:t>
      </w:r>
    </w:p>
    <w:p>
      <w:pPr>
        <w:pStyle w:val="BodyText"/>
        <w:spacing w:line="206" w:lineRule="auto" w:before="4"/>
        <w:ind w:left="1761" w:right="1202"/>
      </w:pPr>
      <w:r>
        <w:rPr>
          <w:spacing w:val="-3"/>
        </w:rPr>
        <w:t>develop</w:t>
      </w:r>
      <w:r>
        <w:rPr>
          <w:spacing w:val="-12"/>
        </w:rPr>
        <w:t> </w:t>
      </w:r>
      <w:r>
        <w:rPr/>
        <w:t>standard</w:t>
      </w:r>
      <w:r>
        <w:rPr>
          <w:spacing w:val="-11"/>
        </w:rPr>
        <w:t> </w:t>
      </w:r>
      <w:r>
        <w:rPr/>
        <w:t>directions</w:t>
      </w:r>
      <w:r>
        <w:rPr>
          <w:spacing w:val="-11"/>
        </w:rPr>
        <w:t> </w:t>
      </w:r>
      <w:r>
        <w:rPr/>
        <w:t>to</w:t>
      </w:r>
      <w:r>
        <w:rPr>
          <w:spacing w:val="-11"/>
        </w:rPr>
        <w:t> </w:t>
      </w:r>
      <w:r>
        <w:rPr/>
        <w:t>assist</w:t>
      </w:r>
      <w:r>
        <w:rPr>
          <w:spacing w:val="-12"/>
        </w:rPr>
        <w:t> </w:t>
      </w:r>
      <w:r>
        <w:rPr/>
        <w:t>judges</w:t>
      </w:r>
      <w:r>
        <w:rPr>
          <w:spacing w:val="-11"/>
        </w:rPr>
        <w:t> </w:t>
      </w:r>
      <w:r>
        <w:rPr/>
        <w:t>regarding</w:t>
      </w:r>
      <w:r>
        <w:rPr>
          <w:spacing w:val="-11"/>
        </w:rPr>
        <w:t> </w:t>
      </w:r>
      <w:r>
        <w:rPr/>
        <w:t>the</w:t>
      </w:r>
      <w:r>
        <w:rPr>
          <w:spacing w:val="-11"/>
        </w:rPr>
        <w:t> </w:t>
      </w:r>
      <w:r>
        <w:rPr/>
        <w:t>use</w:t>
      </w:r>
      <w:r>
        <w:rPr>
          <w:spacing w:val="-12"/>
        </w:rPr>
        <w:t> </w:t>
      </w:r>
      <w:r>
        <w:rPr/>
        <w:t>of</w:t>
      </w:r>
      <w:r>
        <w:rPr>
          <w:spacing w:val="-11"/>
        </w:rPr>
        <w:t> </w:t>
      </w:r>
      <w:r>
        <w:rPr/>
        <w:t>adjustments</w:t>
      </w:r>
      <w:r>
        <w:rPr>
          <w:spacing w:val="-11"/>
        </w:rPr>
        <w:t> </w:t>
      </w:r>
      <w:r>
        <w:rPr/>
        <w:t>that</w:t>
      </w:r>
      <w:r>
        <w:rPr>
          <w:spacing w:val="-11"/>
        </w:rPr>
        <w:t> </w:t>
      </w:r>
      <w:r>
        <w:rPr>
          <w:spacing w:val="-3"/>
        </w:rPr>
        <w:t>may </w:t>
      </w:r>
      <w:r>
        <w:rPr/>
        <w:t>be </w:t>
      </w:r>
      <w:r>
        <w:rPr>
          <w:spacing w:val="-3"/>
        </w:rPr>
        <w:t>relevant </w:t>
      </w:r>
      <w:r>
        <w:rPr/>
        <w:t>at the time of empanelment, after the jury has been selected and at the commencement of formal deliberations, to explain the </w:t>
      </w:r>
      <w:r>
        <w:rPr>
          <w:spacing w:val="-3"/>
        </w:rPr>
        <w:t>nature </w:t>
      </w:r>
      <w:r>
        <w:rPr/>
        <w:t>of </w:t>
      </w:r>
      <w:r>
        <w:rPr>
          <w:spacing w:val="-3"/>
        </w:rPr>
        <w:t>any </w:t>
      </w:r>
      <w:r>
        <w:rPr/>
        <w:t>adjustments that </w:t>
      </w:r>
      <w:r>
        <w:rPr>
          <w:spacing w:val="-4"/>
        </w:rPr>
        <w:t>have </w:t>
      </w:r>
      <w:r>
        <w:rPr/>
        <w:t>been made and </w:t>
      </w:r>
      <w:r>
        <w:rPr>
          <w:spacing w:val="-3"/>
        </w:rPr>
        <w:t>how </w:t>
      </w:r>
      <w:r>
        <w:rPr/>
        <w:t>they will </w:t>
      </w:r>
      <w:r>
        <w:rPr>
          <w:spacing w:val="-3"/>
        </w:rPr>
        <w:t>work </w:t>
      </w:r>
      <w:r>
        <w:rPr/>
        <w:t>in</w:t>
      </w:r>
      <w:r>
        <w:rPr>
          <w:spacing w:val="-31"/>
        </w:rPr>
        <w:t> </w:t>
      </w:r>
      <w:r>
        <w:rPr/>
        <w:t>practice.</w:t>
      </w:r>
    </w:p>
    <w:p>
      <w:pPr>
        <w:pStyle w:val="Heading6"/>
        <w:spacing w:before="129"/>
        <w:rPr>
          <w:b/>
        </w:rPr>
      </w:pPr>
      <w:r>
        <w:rPr>
          <w:b/>
        </w:rPr>
        <w:t>Statement to counsel before empanelment</w:t>
      </w:r>
    </w:p>
    <w:p>
      <w:pPr>
        <w:pStyle w:val="ListParagraph"/>
        <w:numPr>
          <w:ilvl w:val="1"/>
          <w:numId w:val="12"/>
        </w:numPr>
        <w:tabs>
          <w:tab w:pos="1761" w:val="left" w:leader="none"/>
          <w:tab w:pos="1762" w:val="left" w:leader="none"/>
        </w:tabs>
        <w:spacing w:line="206" w:lineRule="auto" w:before="132" w:after="0"/>
        <w:ind w:left="1761" w:right="1641" w:hanging="794"/>
        <w:jc w:val="left"/>
        <w:rPr>
          <w:sz w:val="20"/>
        </w:rPr>
      </w:pPr>
      <w:r>
        <w:rPr>
          <w:sz w:val="20"/>
        </w:rPr>
        <w:t>It </w:t>
      </w:r>
      <w:r>
        <w:rPr>
          <w:spacing w:val="-3"/>
          <w:sz w:val="20"/>
        </w:rPr>
        <w:t>would </w:t>
      </w:r>
      <w:r>
        <w:rPr>
          <w:sz w:val="20"/>
        </w:rPr>
        <w:t>be helpful for the judge to </w:t>
      </w:r>
      <w:r>
        <w:rPr>
          <w:spacing w:val="-3"/>
          <w:sz w:val="20"/>
        </w:rPr>
        <w:t>give </w:t>
      </w:r>
      <w:r>
        <w:rPr>
          <w:sz w:val="20"/>
        </w:rPr>
        <w:t>a very brief statement to counsel and the accused</w:t>
      </w:r>
      <w:r>
        <w:rPr>
          <w:spacing w:val="-11"/>
          <w:sz w:val="20"/>
        </w:rPr>
        <w:t> </w:t>
      </w:r>
      <w:r>
        <w:rPr>
          <w:sz w:val="20"/>
        </w:rPr>
        <w:t>that</w:t>
      </w:r>
      <w:r>
        <w:rPr>
          <w:spacing w:val="-11"/>
          <w:sz w:val="20"/>
        </w:rPr>
        <w:t> </w:t>
      </w:r>
      <w:r>
        <w:rPr>
          <w:sz w:val="20"/>
        </w:rPr>
        <w:t>there</w:t>
      </w:r>
      <w:r>
        <w:rPr>
          <w:spacing w:val="-10"/>
          <w:sz w:val="20"/>
        </w:rPr>
        <w:t> </w:t>
      </w:r>
      <w:r>
        <w:rPr>
          <w:sz w:val="20"/>
        </w:rPr>
        <w:t>is</w:t>
      </w:r>
      <w:r>
        <w:rPr>
          <w:spacing w:val="-11"/>
          <w:sz w:val="20"/>
        </w:rPr>
        <w:t> </w:t>
      </w:r>
      <w:r>
        <w:rPr>
          <w:sz w:val="20"/>
        </w:rPr>
        <w:t>a</w:t>
      </w:r>
      <w:r>
        <w:rPr>
          <w:spacing w:val="-10"/>
          <w:sz w:val="20"/>
        </w:rPr>
        <w:t> </w:t>
      </w:r>
      <w:r>
        <w:rPr>
          <w:sz w:val="20"/>
        </w:rPr>
        <w:t>potential</w:t>
      </w:r>
      <w:r>
        <w:rPr>
          <w:spacing w:val="-11"/>
          <w:sz w:val="20"/>
        </w:rPr>
        <w:t> </w:t>
      </w:r>
      <w:r>
        <w:rPr>
          <w:sz w:val="20"/>
        </w:rPr>
        <w:t>juror</w:t>
      </w:r>
      <w:r>
        <w:rPr>
          <w:spacing w:val="-10"/>
          <w:sz w:val="20"/>
        </w:rPr>
        <w:t> </w:t>
      </w:r>
      <w:r>
        <w:rPr>
          <w:spacing w:val="-3"/>
          <w:sz w:val="20"/>
        </w:rPr>
        <w:t>from</w:t>
      </w:r>
      <w:r>
        <w:rPr>
          <w:spacing w:val="-11"/>
          <w:sz w:val="20"/>
        </w:rPr>
        <w:t> </w:t>
      </w:r>
      <w:r>
        <w:rPr>
          <w:sz w:val="20"/>
        </w:rPr>
        <w:t>the</w:t>
      </w:r>
      <w:r>
        <w:rPr>
          <w:spacing w:val="-11"/>
          <w:sz w:val="20"/>
        </w:rPr>
        <w:t> </w:t>
      </w:r>
      <w:r>
        <w:rPr>
          <w:sz w:val="20"/>
        </w:rPr>
        <w:t>subject</w:t>
      </w:r>
      <w:r>
        <w:rPr>
          <w:spacing w:val="-10"/>
          <w:sz w:val="20"/>
        </w:rPr>
        <w:t> </w:t>
      </w:r>
      <w:r>
        <w:rPr>
          <w:sz w:val="20"/>
        </w:rPr>
        <w:t>groups</w:t>
      </w:r>
      <w:r>
        <w:rPr>
          <w:spacing w:val="-11"/>
          <w:sz w:val="20"/>
        </w:rPr>
        <w:t> </w:t>
      </w:r>
      <w:r>
        <w:rPr>
          <w:sz w:val="20"/>
        </w:rPr>
        <w:t>in</w:t>
      </w:r>
      <w:r>
        <w:rPr>
          <w:spacing w:val="-10"/>
          <w:sz w:val="20"/>
        </w:rPr>
        <w:t> </w:t>
      </w:r>
      <w:r>
        <w:rPr>
          <w:sz w:val="20"/>
        </w:rPr>
        <w:t>the</w:t>
      </w:r>
      <w:r>
        <w:rPr>
          <w:spacing w:val="-11"/>
          <w:sz w:val="20"/>
        </w:rPr>
        <w:t> </w:t>
      </w:r>
      <w:r>
        <w:rPr>
          <w:sz w:val="20"/>
        </w:rPr>
        <w:t>panel</w:t>
      </w:r>
      <w:r>
        <w:rPr>
          <w:spacing w:val="-10"/>
          <w:sz w:val="20"/>
        </w:rPr>
        <w:t> </w:t>
      </w:r>
      <w:r>
        <w:rPr>
          <w:sz w:val="20"/>
        </w:rPr>
        <w:t>and</w:t>
      </w:r>
      <w:r>
        <w:rPr>
          <w:spacing w:val="-11"/>
          <w:sz w:val="20"/>
        </w:rPr>
        <w:t> </w:t>
      </w:r>
      <w:r>
        <w:rPr>
          <w:sz w:val="20"/>
        </w:rPr>
        <w:t>that adjustments </w:t>
      </w:r>
      <w:r>
        <w:rPr>
          <w:spacing w:val="-4"/>
          <w:sz w:val="20"/>
        </w:rPr>
        <w:t>have </w:t>
      </w:r>
      <w:r>
        <w:rPr>
          <w:sz w:val="20"/>
        </w:rPr>
        <w:t>been made to enable them to serve. This should occur </w:t>
      </w:r>
      <w:r>
        <w:rPr>
          <w:spacing w:val="-3"/>
          <w:sz w:val="20"/>
        </w:rPr>
        <w:t>before </w:t>
      </w:r>
      <w:r>
        <w:rPr>
          <w:sz w:val="20"/>
        </w:rPr>
        <w:t>the</w:t>
      </w:r>
      <w:r>
        <w:rPr>
          <w:spacing w:val="-10"/>
          <w:sz w:val="20"/>
        </w:rPr>
        <w:t> </w:t>
      </w:r>
      <w:r>
        <w:rPr>
          <w:sz w:val="20"/>
        </w:rPr>
        <w:t>panel</w:t>
      </w:r>
      <w:r>
        <w:rPr>
          <w:spacing w:val="-10"/>
          <w:sz w:val="20"/>
        </w:rPr>
        <w:t> </w:t>
      </w:r>
      <w:r>
        <w:rPr>
          <w:sz w:val="20"/>
        </w:rPr>
        <w:t>is</w:t>
      </w:r>
      <w:r>
        <w:rPr>
          <w:spacing w:val="-9"/>
          <w:sz w:val="20"/>
        </w:rPr>
        <w:t> </w:t>
      </w:r>
      <w:r>
        <w:rPr>
          <w:sz w:val="20"/>
        </w:rPr>
        <w:t>brought</w:t>
      </w:r>
      <w:r>
        <w:rPr>
          <w:spacing w:val="-10"/>
          <w:sz w:val="20"/>
        </w:rPr>
        <w:t> </w:t>
      </w:r>
      <w:r>
        <w:rPr>
          <w:spacing w:val="-3"/>
          <w:sz w:val="20"/>
        </w:rPr>
        <w:t>into</w:t>
      </w:r>
      <w:r>
        <w:rPr>
          <w:spacing w:val="-10"/>
          <w:sz w:val="20"/>
        </w:rPr>
        <w:t> </w:t>
      </w:r>
      <w:r>
        <w:rPr>
          <w:sz w:val="20"/>
        </w:rPr>
        <w:t>the</w:t>
      </w:r>
      <w:r>
        <w:rPr>
          <w:spacing w:val="-9"/>
          <w:sz w:val="20"/>
        </w:rPr>
        <w:t> </w:t>
      </w:r>
      <w:r>
        <w:rPr>
          <w:sz w:val="20"/>
        </w:rPr>
        <w:t>courtroom.</w:t>
      </w:r>
      <w:r>
        <w:rPr>
          <w:spacing w:val="-10"/>
          <w:sz w:val="20"/>
        </w:rPr>
        <w:t> </w:t>
      </w:r>
      <w:r>
        <w:rPr>
          <w:spacing w:val="-6"/>
          <w:sz w:val="20"/>
        </w:rPr>
        <w:t>We</w:t>
      </w:r>
      <w:r>
        <w:rPr>
          <w:spacing w:val="-10"/>
          <w:sz w:val="20"/>
        </w:rPr>
        <w:t> </w:t>
      </w:r>
      <w:r>
        <w:rPr>
          <w:sz w:val="20"/>
        </w:rPr>
        <w:t>do</w:t>
      </w:r>
      <w:r>
        <w:rPr>
          <w:spacing w:val="-9"/>
          <w:sz w:val="20"/>
        </w:rPr>
        <w:t> </w:t>
      </w:r>
      <w:r>
        <w:rPr>
          <w:sz w:val="20"/>
        </w:rPr>
        <w:t>not</w:t>
      </w:r>
      <w:r>
        <w:rPr>
          <w:spacing w:val="-10"/>
          <w:sz w:val="20"/>
        </w:rPr>
        <w:t> </w:t>
      </w:r>
      <w:r>
        <w:rPr>
          <w:sz w:val="20"/>
        </w:rPr>
        <w:t>think</w:t>
      </w:r>
      <w:r>
        <w:rPr>
          <w:spacing w:val="-10"/>
          <w:sz w:val="20"/>
        </w:rPr>
        <w:t> </w:t>
      </w:r>
      <w:r>
        <w:rPr>
          <w:spacing w:val="-3"/>
          <w:sz w:val="20"/>
        </w:rPr>
        <w:t>any</w:t>
      </w:r>
      <w:r>
        <w:rPr>
          <w:spacing w:val="-9"/>
          <w:sz w:val="20"/>
        </w:rPr>
        <w:t> </w:t>
      </w:r>
      <w:r>
        <w:rPr>
          <w:sz w:val="20"/>
        </w:rPr>
        <w:t>other</w:t>
      </w:r>
      <w:r>
        <w:rPr>
          <w:spacing w:val="-10"/>
          <w:sz w:val="20"/>
        </w:rPr>
        <w:t> </w:t>
      </w:r>
      <w:r>
        <w:rPr>
          <w:sz w:val="20"/>
        </w:rPr>
        <w:t>attention</w:t>
      </w:r>
      <w:r>
        <w:rPr>
          <w:spacing w:val="-10"/>
          <w:sz w:val="20"/>
        </w:rPr>
        <w:t> </w:t>
      </w:r>
      <w:r>
        <w:rPr>
          <w:sz w:val="20"/>
        </w:rPr>
        <w:t>needs to</w:t>
      </w:r>
      <w:r>
        <w:rPr>
          <w:spacing w:val="-8"/>
          <w:sz w:val="20"/>
        </w:rPr>
        <w:t> </w:t>
      </w:r>
      <w:r>
        <w:rPr>
          <w:sz w:val="20"/>
        </w:rPr>
        <w:t>be</w:t>
      </w:r>
      <w:r>
        <w:rPr>
          <w:spacing w:val="-8"/>
          <w:sz w:val="20"/>
        </w:rPr>
        <w:t> </w:t>
      </w:r>
      <w:r>
        <w:rPr>
          <w:spacing w:val="-3"/>
          <w:sz w:val="20"/>
        </w:rPr>
        <w:t>drawn</w:t>
      </w:r>
      <w:r>
        <w:rPr>
          <w:spacing w:val="-8"/>
          <w:sz w:val="20"/>
        </w:rPr>
        <w:t> </w:t>
      </w:r>
      <w:r>
        <w:rPr>
          <w:sz w:val="20"/>
        </w:rPr>
        <w:t>to</w:t>
      </w:r>
      <w:r>
        <w:rPr>
          <w:spacing w:val="-8"/>
          <w:sz w:val="20"/>
        </w:rPr>
        <w:t> </w:t>
      </w:r>
      <w:r>
        <w:rPr>
          <w:sz w:val="20"/>
        </w:rPr>
        <w:t>the</w:t>
      </w:r>
      <w:r>
        <w:rPr>
          <w:spacing w:val="-8"/>
          <w:sz w:val="20"/>
        </w:rPr>
        <w:t> </w:t>
      </w:r>
      <w:r>
        <w:rPr>
          <w:sz w:val="20"/>
        </w:rPr>
        <w:t>potential</w:t>
      </w:r>
      <w:r>
        <w:rPr>
          <w:spacing w:val="-8"/>
          <w:sz w:val="20"/>
        </w:rPr>
        <w:t> </w:t>
      </w:r>
      <w:r>
        <w:rPr>
          <w:sz w:val="20"/>
        </w:rPr>
        <w:t>juror</w:t>
      </w:r>
      <w:r>
        <w:rPr>
          <w:spacing w:val="-8"/>
          <w:sz w:val="20"/>
        </w:rPr>
        <w:t> </w:t>
      </w:r>
      <w:r>
        <w:rPr>
          <w:sz w:val="20"/>
        </w:rPr>
        <w:t>at</w:t>
      </w:r>
      <w:r>
        <w:rPr>
          <w:spacing w:val="-8"/>
          <w:sz w:val="20"/>
        </w:rPr>
        <w:t> </w:t>
      </w:r>
      <w:r>
        <w:rPr>
          <w:sz w:val="20"/>
        </w:rPr>
        <w:t>this</w:t>
      </w:r>
      <w:r>
        <w:rPr>
          <w:spacing w:val="-7"/>
          <w:sz w:val="20"/>
        </w:rPr>
        <w:t> </w:t>
      </w:r>
      <w:r>
        <w:rPr>
          <w:sz w:val="20"/>
        </w:rPr>
        <w:t>point.</w:t>
      </w:r>
      <w:r>
        <w:rPr>
          <w:spacing w:val="-8"/>
          <w:sz w:val="20"/>
        </w:rPr>
        <w:t> </w:t>
      </w:r>
      <w:r>
        <w:rPr>
          <w:sz w:val="20"/>
        </w:rPr>
        <w:t>The</w:t>
      </w:r>
      <w:r>
        <w:rPr>
          <w:spacing w:val="-8"/>
          <w:sz w:val="20"/>
        </w:rPr>
        <w:t> </w:t>
      </w:r>
      <w:r>
        <w:rPr>
          <w:sz w:val="20"/>
        </w:rPr>
        <w:t>purpose</w:t>
      </w:r>
      <w:r>
        <w:rPr>
          <w:spacing w:val="-8"/>
          <w:sz w:val="20"/>
        </w:rPr>
        <w:t> </w:t>
      </w:r>
      <w:r>
        <w:rPr>
          <w:sz w:val="20"/>
        </w:rPr>
        <w:t>of</w:t>
      </w:r>
      <w:r>
        <w:rPr>
          <w:spacing w:val="-8"/>
          <w:sz w:val="20"/>
        </w:rPr>
        <w:t> </w:t>
      </w:r>
      <w:r>
        <w:rPr>
          <w:sz w:val="20"/>
        </w:rPr>
        <w:t>this</w:t>
      </w:r>
      <w:r>
        <w:rPr>
          <w:spacing w:val="-8"/>
          <w:sz w:val="20"/>
        </w:rPr>
        <w:t> </w:t>
      </w:r>
      <w:r>
        <w:rPr>
          <w:spacing w:val="-3"/>
          <w:sz w:val="20"/>
        </w:rPr>
        <w:t>reform</w:t>
      </w:r>
      <w:r>
        <w:rPr>
          <w:spacing w:val="-8"/>
          <w:sz w:val="20"/>
        </w:rPr>
        <w:t> </w:t>
      </w:r>
      <w:r>
        <w:rPr>
          <w:sz w:val="20"/>
        </w:rPr>
        <w:t>is</w:t>
      </w:r>
      <w:r>
        <w:rPr>
          <w:spacing w:val="-8"/>
          <w:sz w:val="20"/>
        </w:rPr>
        <w:t> </w:t>
      </w:r>
      <w:r>
        <w:rPr>
          <w:sz w:val="20"/>
        </w:rPr>
        <w:t>to</w:t>
      </w:r>
      <w:r>
        <w:rPr>
          <w:spacing w:val="-7"/>
          <w:sz w:val="20"/>
        </w:rPr>
        <w:t> </w:t>
      </w:r>
      <w:r>
        <w:rPr>
          <w:sz w:val="20"/>
        </w:rPr>
        <w:t>shift misconceptions</w:t>
      </w:r>
      <w:r>
        <w:rPr>
          <w:spacing w:val="-6"/>
          <w:sz w:val="20"/>
        </w:rPr>
        <w:t> </w:t>
      </w:r>
      <w:r>
        <w:rPr>
          <w:spacing w:val="-3"/>
          <w:sz w:val="20"/>
        </w:rPr>
        <w:t>before</w:t>
      </w:r>
      <w:r>
        <w:rPr>
          <w:spacing w:val="-6"/>
          <w:sz w:val="20"/>
        </w:rPr>
        <w:t> </w:t>
      </w:r>
      <w:r>
        <w:rPr>
          <w:sz w:val="20"/>
        </w:rPr>
        <w:t>the</w:t>
      </w:r>
      <w:r>
        <w:rPr>
          <w:spacing w:val="-6"/>
          <w:sz w:val="20"/>
        </w:rPr>
        <w:t> </w:t>
      </w:r>
      <w:r>
        <w:rPr>
          <w:spacing w:val="-3"/>
          <w:sz w:val="20"/>
        </w:rPr>
        <w:t>exercise</w:t>
      </w:r>
      <w:r>
        <w:rPr>
          <w:spacing w:val="-6"/>
          <w:sz w:val="20"/>
        </w:rPr>
        <w:t> </w:t>
      </w:r>
      <w:r>
        <w:rPr>
          <w:sz w:val="20"/>
        </w:rPr>
        <w:t>of</w:t>
      </w:r>
      <w:r>
        <w:rPr>
          <w:spacing w:val="-5"/>
          <w:sz w:val="20"/>
        </w:rPr>
        <w:t> </w:t>
      </w:r>
      <w:r>
        <w:rPr>
          <w:sz w:val="20"/>
        </w:rPr>
        <w:t>challenges</w:t>
      </w:r>
      <w:r>
        <w:rPr>
          <w:spacing w:val="-6"/>
          <w:sz w:val="20"/>
        </w:rPr>
        <w:t> </w:t>
      </w:r>
      <w:r>
        <w:rPr>
          <w:spacing w:val="-4"/>
          <w:sz w:val="20"/>
        </w:rPr>
        <w:t>(we</w:t>
      </w:r>
      <w:r>
        <w:rPr>
          <w:spacing w:val="-6"/>
          <w:sz w:val="20"/>
        </w:rPr>
        <w:t> </w:t>
      </w:r>
      <w:r>
        <w:rPr>
          <w:sz w:val="20"/>
        </w:rPr>
        <w:t>also</w:t>
      </w:r>
      <w:r>
        <w:rPr>
          <w:spacing w:val="-6"/>
          <w:sz w:val="20"/>
        </w:rPr>
        <w:t> </w:t>
      </w:r>
      <w:r>
        <w:rPr>
          <w:sz w:val="20"/>
        </w:rPr>
        <w:t>discuss</w:t>
      </w:r>
      <w:r>
        <w:rPr>
          <w:spacing w:val="-6"/>
          <w:sz w:val="20"/>
        </w:rPr>
        <w:t> </w:t>
      </w:r>
      <w:r>
        <w:rPr>
          <w:sz w:val="20"/>
        </w:rPr>
        <w:t>this</w:t>
      </w:r>
      <w:r>
        <w:rPr>
          <w:spacing w:val="-5"/>
          <w:sz w:val="20"/>
        </w:rPr>
        <w:t> </w:t>
      </w:r>
      <w:r>
        <w:rPr>
          <w:sz w:val="20"/>
        </w:rPr>
        <w:t>in</w:t>
      </w:r>
    </w:p>
    <w:p>
      <w:pPr>
        <w:pStyle w:val="BodyText"/>
        <w:spacing w:line="253" w:lineRule="exact"/>
        <w:ind w:left="1761"/>
      </w:pPr>
      <w:r>
        <w:rPr/>
        <w:t>Chapter 17).</w:t>
      </w: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1"/>
        </w:rPr>
      </w:pPr>
      <w:r>
        <w:rPr/>
        <w:pict>
          <v:line style="position:absolute;mso-position-horizontal-relative:page;mso-position-vertical-relative:paragraph;z-index:7568;mso-wrap-distance-left:0;mso-wrap-distance-right:0" from="79.370102pt,17.392500pt" to="515.905102pt,17.392500pt" stroked="true" strokeweight="1pt" strokecolor="#b6bdc8">
            <v:stroke dashstyle="solid"/>
            <w10:wrap type="topAndBottom"/>
          </v:line>
        </w:pict>
      </w:r>
    </w:p>
    <w:p>
      <w:pPr>
        <w:tabs>
          <w:tab w:pos="967" w:val="left" w:leader="none"/>
          <w:tab w:pos="1761" w:val="left" w:leader="none"/>
        </w:tabs>
        <w:spacing w:line="297" w:lineRule="exact" w:before="0"/>
        <w:ind w:left="100" w:right="0" w:firstLine="0"/>
        <w:jc w:val="left"/>
        <w:rPr>
          <w:sz w:val="13"/>
        </w:rPr>
      </w:pPr>
      <w:r>
        <w:rPr>
          <w:b/>
          <w:color w:val="37617A"/>
          <w:sz w:val="24"/>
        </w:rPr>
        <w:t>136</w:t>
        <w:tab/>
      </w:r>
      <w:r>
        <w:rPr>
          <w:sz w:val="13"/>
        </w:rPr>
        <w:t>70</w:t>
        <w:tab/>
      </w: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spacing w:after="0" w:line="297"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72" w:hanging="794"/>
        <w:jc w:val="left"/>
        <w:rPr>
          <w:sz w:val="11"/>
        </w:rPr>
      </w:pPr>
      <w:r>
        <w:rPr>
          <w:sz w:val="20"/>
        </w:rPr>
        <w:t>The Supreme Court notes that </w:t>
      </w:r>
      <w:r>
        <w:rPr>
          <w:spacing w:val="-3"/>
          <w:sz w:val="20"/>
        </w:rPr>
        <w:t>current </w:t>
      </w:r>
      <w:r>
        <w:rPr>
          <w:sz w:val="20"/>
        </w:rPr>
        <w:t>practice is that once the panel is seated in the courtroom, the judge </w:t>
      </w:r>
      <w:r>
        <w:rPr>
          <w:spacing w:val="-3"/>
          <w:sz w:val="20"/>
        </w:rPr>
        <w:t>gives </w:t>
      </w:r>
      <w:r>
        <w:rPr>
          <w:sz w:val="20"/>
        </w:rPr>
        <w:t>a briefing about the trial and other matters. This </w:t>
      </w:r>
      <w:r>
        <w:rPr>
          <w:spacing w:val="-3"/>
          <w:sz w:val="20"/>
        </w:rPr>
        <w:t>‘generally </w:t>
      </w:r>
      <w:r>
        <w:rPr>
          <w:sz w:val="20"/>
        </w:rPr>
        <w:t>includes</w:t>
      </w:r>
      <w:r>
        <w:rPr>
          <w:spacing w:val="-10"/>
          <w:sz w:val="20"/>
        </w:rPr>
        <w:t> </w:t>
      </w:r>
      <w:r>
        <w:rPr>
          <w:sz w:val="20"/>
        </w:rPr>
        <w:t>the</w:t>
      </w:r>
      <w:r>
        <w:rPr>
          <w:spacing w:val="-9"/>
          <w:sz w:val="20"/>
        </w:rPr>
        <w:t> </w:t>
      </w:r>
      <w:r>
        <w:rPr>
          <w:sz w:val="20"/>
        </w:rPr>
        <w:t>estimated</w:t>
      </w:r>
      <w:r>
        <w:rPr>
          <w:spacing w:val="-9"/>
          <w:sz w:val="20"/>
        </w:rPr>
        <w:t> </w:t>
      </w:r>
      <w:r>
        <w:rPr>
          <w:sz w:val="20"/>
        </w:rPr>
        <w:t>length</w:t>
      </w:r>
      <w:r>
        <w:rPr>
          <w:spacing w:val="-9"/>
          <w:sz w:val="20"/>
        </w:rPr>
        <w:t> </w:t>
      </w:r>
      <w:r>
        <w:rPr>
          <w:sz w:val="20"/>
        </w:rPr>
        <w:t>of</w:t>
      </w:r>
      <w:r>
        <w:rPr>
          <w:spacing w:val="-9"/>
          <w:sz w:val="20"/>
        </w:rPr>
        <w:t> </w:t>
      </w:r>
      <w:r>
        <w:rPr>
          <w:sz w:val="20"/>
        </w:rPr>
        <w:t>trial</w:t>
      </w:r>
      <w:r>
        <w:rPr>
          <w:spacing w:val="-10"/>
          <w:sz w:val="20"/>
        </w:rPr>
        <w:t> </w:t>
      </w:r>
      <w:r>
        <w:rPr>
          <w:sz w:val="20"/>
        </w:rPr>
        <w:t>hours</w:t>
      </w:r>
      <w:r>
        <w:rPr>
          <w:spacing w:val="-9"/>
          <w:sz w:val="20"/>
        </w:rPr>
        <w:t> </w:t>
      </w:r>
      <w:r>
        <w:rPr>
          <w:spacing w:val="-3"/>
          <w:sz w:val="20"/>
        </w:rPr>
        <w:t>required</w:t>
      </w:r>
      <w:r>
        <w:rPr>
          <w:spacing w:val="-9"/>
          <w:sz w:val="20"/>
        </w:rPr>
        <w:t> </w:t>
      </w:r>
      <w:r>
        <w:rPr>
          <w:sz w:val="20"/>
        </w:rPr>
        <w:t>if</w:t>
      </w:r>
      <w:r>
        <w:rPr>
          <w:spacing w:val="-9"/>
          <w:sz w:val="20"/>
        </w:rPr>
        <w:t> </w:t>
      </w:r>
      <w:r>
        <w:rPr>
          <w:sz w:val="20"/>
        </w:rPr>
        <w:t>selected</w:t>
      </w:r>
      <w:r>
        <w:rPr>
          <w:spacing w:val="-9"/>
          <w:sz w:val="20"/>
        </w:rPr>
        <w:t> </w:t>
      </w:r>
      <w:r>
        <w:rPr>
          <w:sz w:val="20"/>
        </w:rPr>
        <w:t>as</w:t>
      </w:r>
      <w:r>
        <w:rPr>
          <w:spacing w:val="-10"/>
          <w:sz w:val="20"/>
        </w:rPr>
        <w:t> </w:t>
      </w:r>
      <w:r>
        <w:rPr>
          <w:sz w:val="20"/>
        </w:rPr>
        <w:t>a</w:t>
      </w:r>
      <w:r>
        <w:rPr>
          <w:spacing w:val="-9"/>
          <w:sz w:val="20"/>
        </w:rPr>
        <w:t> </w:t>
      </w:r>
      <w:r>
        <w:rPr>
          <w:spacing w:val="-4"/>
          <w:sz w:val="20"/>
        </w:rPr>
        <w:t>juror,</w:t>
      </w:r>
      <w:r>
        <w:rPr>
          <w:spacing w:val="-9"/>
          <w:sz w:val="20"/>
        </w:rPr>
        <w:t> </w:t>
      </w:r>
      <w:r>
        <w:rPr>
          <w:sz w:val="20"/>
        </w:rPr>
        <w:t>and</w:t>
      </w:r>
      <w:r>
        <w:rPr>
          <w:spacing w:val="-9"/>
          <w:sz w:val="20"/>
        </w:rPr>
        <w:t> </w:t>
      </w:r>
      <w:r>
        <w:rPr>
          <w:sz w:val="20"/>
        </w:rPr>
        <w:t>the</w:t>
      </w:r>
      <w:r>
        <w:rPr>
          <w:spacing w:val="-9"/>
          <w:sz w:val="20"/>
        </w:rPr>
        <w:t> </w:t>
      </w:r>
      <w:r>
        <w:rPr>
          <w:sz w:val="20"/>
        </w:rPr>
        <w:t>need to be able to sit in jury </w:t>
      </w:r>
      <w:r>
        <w:rPr>
          <w:spacing w:val="-4"/>
          <w:sz w:val="20"/>
        </w:rPr>
        <w:t>seats’. </w:t>
      </w:r>
      <w:r>
        <w:rPr>
          <w:sz w:val="20"/>
        </w:rPr>
        <w:t>The court suggests that the </w:t>
      </w:r>
      <w:r>
        <w:rPr>
          <w:spacing w:val="-3"/>
          <w:sz w:val="20"/>
        </w:rPr>
        <w:t>judge’s </w:t>
      </w:r>
      <w:r>
        <w:rPr>
          <w:sz w:val="20"/>
        </w:rPr>
        <w:t>briefing could ‘also include a statement that it is important to be able to understand and assess certain types of evidence in a particular trial. This case statement could be given in all cases or in cases where the Court is </w:t>
      </w:r>
      <w:r>
        <w:rPr>
          <w:spacing w:val="-4"/>
          <w:sz w:val="20"/>
        </w:rPr>
        <w:t>aware </w:t>
      </w:r>
      <w:r>
        <w:rPr>
          <w:sz w:val="20"/>
        </w:rPr>
        <w:t>that the panel includes a person in the subject </w:t>
      </w:r>
      <w:r>
        <w:rPr>
          <w:spacing w:val="-4"/>
          <w:sz w:val="20"/>
        </w:rPr>
        <w:t>groups’.</w:t>
      </w:r>
      <w:r>
        <w:rPr>
          <w:spacing w:val="-4"/>
          <w:position w:val="7"/>
          <w:sz w:val="11"/>
        </w:rPr>
        <w:t>71</w:t>
      </w:r>
    </w:p>
    <w:p>
      <w:pPr>
        <w:pStyle w:val="ListParagraph"/>
        <w:numPr>
          <w:ilvl w:val="1"/>
          <w:numId w:val="12"/>
        </w:numPr>
        <w:tabs>
          <w:tab w:pos="1761" w:val="left" w:leader="none"/>
          <w:tab w:pos="1762" w:val="left" w:leader="none"/>
        </w:tabs>
        <w:spacing w:line="206" w:lineRule="auto" w:before="130" w:after="0"/>
        <w:ind w:left="1761" w:right="1289" w:hanging="794"/>
        <w:jc w:val="left"/>
        <w:rPr>
          <w:sz w:val="20"/>
        </w:rPr>
      </w:pPr>
      <w:r>
        <w:rPr>
          <w:sz w:val="20"/>
        </w:rPr>
        <w:t>The</w:t>
      </w:r>
      <w:r>
        <w:rPr>
          <w:spacing w:val="-12"/>
          <w:sz w:val="20"/>
        </w:rPr>
        <w:t> </w:t>
      </w:r>
      <w:r>
        <w:rPr>
          <w:sz w:val="20"/>
        </w:rPr>
        <w:t>additional</w:t>
      </w:r>
      <w:r>
        <w:rPr>
          <w:spacing w:val="-11"/>
          <w:sz w:val="20"/>
        </w:rPr>
        <w:t> </w:t>
      </w:r>
      <w:r>
        <w:rPr>
          <w:sz w:val="20"/>
        </w:rPr>
        <w:t>statement</w:t>
      </w:r>
      <w:r>
        <w:rPr>
          <w:spacing w:val="-12"/>
          <w:sz w:val="20"/>
        </w:rPr>
        <w:t> </w:t>
      </w:r>
      <w:r>
        <w:rPr>
          <w:sz w:val="20"/>
        </w:rPr>
        <w:t>suggested</w:t>
      </w:r>
      <w:r>
        <w:rPr>
          <w:spacing w:val="-11"/>
          <w:sz w:val="20"/>
        </w:rPr>
        <w:t> </w:t>
      </w:r>
      <w:r>
        <w:rPr>
          <w:spacing w:val="-3"/>
          <w:sz w:val="20"/>
        </w:rPr>
        <w:t>by</w:t>
      </w:r>
      <w:r>
        <w:rPr>
          <w:spacing w:val="-12"/>
          <w:sz w:val="20"/>
        </w:rPr>
        <w:t> </w:t>
      </w:r>
      <w:r>
        <w:rPr>
          <w:sz w:val="20"/>
        </w:rPr>
        <w:t>the</w:t>
      </w:r>
      <w:r>
        <w:rPr>
          <w:spacing w:val="-11"/>
          <w:sz w:val="20"/>
        </w:rPr>
        <w:t> </w:t>
      </w:r>
      <w:r>
        <w:rPr>
          <w:sz w:val="20"/>
        </w:rPr>
        <w:t>Supreme</w:t>
      </w:r>
      <w:r>
        <w:rPr>
          <w:spacing w:val="-11"/>
          <w:sz w:val="20"/>
        </w:rPr>
        <w:t> </w:t>
      </w:r>
      <w:r>
        <w:rPr>
          <w:sz w:val="20"/>
        </w:rPr>
        <w:t>Court</w:t>
      </w:r>
      <w:r>
        <w:rPr>
          <w:spacing w:val="-12"/>
          <w:sz w:val="20"/>
        </w:rPr>
        <w:t> </w:t>
      </w:r>
      <w:r>
        <w:rPr>
          <w:sz w:val="20"/>
        </w:rPr>
        <w:t>about</w:t>
      </w:r>
      <w:r>
        <w:rPr>
          <w:spacing w:val="-11"/>
          <w:sz w:val="20"/>
        </w:rPr>
        <w:t> </w:t>
      </w:r>
      <w:r>
        <w:rPr>
          <w:sz w:val="20"/>
        </w:rPr>
        <w:t>being</w:t>
      </w:r>
      <w:r>
        <w:rPr>
          <w:spacing w:val="-12"/>
          <w:sz w:val="20"/>
        </w:rPr>
        <w:t> </w:t>
      </w:r>
      <w:r>
        <w:rPr>
          <w:sz w:val="20"/>
        </w:rPr>
        <w:t>able</w:t>
      </w:r>
      <w:r>
        <w:rPr>
          <w:spacing w:val="-11"/>
          <w:sz w:val="20"/>
        </w:rPr>
        <w:t> </w:t>
      </w:r>
      <w:r>
        <w:rPr>
          <w:sz w:val="20"/>
        </w:rPr>
        <w:t>to</w:t>
      </w:r>
      <w:r>
        <w:rPr>
          <w:spacing w:val="-11"/>
          <w:sz w:val="20"/>
        </w:rPr>
        <w:t> </w:t>
      </w:r>
      <w:r>
        <w:rPr>
          <w:sz w:val="20"/>
        </w:rPr>
        <w:t>assess evidence will </w:t>
      </w:r>
      <w:r>
        <w:rPr>
          <w:spacing w:val="-3"/>
          <w:sz w:val="20"/>
        </w:rPr>
        <w:t>probably </w:t>
      </w:r>
      <w:r>
        <w:rPr>
          <w:sz w:val="20"/>
        </w:rPr>
        <w:t>not be necessary because Juries Victoria will </w:t>
      </w:r>
      <w:r>
        <w:rPr>
          <w:spacing w:val="-4"/>
          <w:sz w:val="20"/>
        </w:rPr>
        <w:t>have </w:t>
      </w:r>
      <w:r>
        <w:rPr>
          <w:spacing w:val="-3"/>
          <w:sz w:val="20"/>
        </w:rPr>
        <w:t>relayed </w:t>
      </w:r>
      <w:r>
        <w:rPr>
          <w:sz w:val="20"/>
        </w:rPr>
        <w:t>this information</w:t>
      </w:r>
      <w:r>
        <w:rPr>
          <w:spacing w:val="-12"/>
          <w:sz w:val="20"/>
        </w:rPr>
        <w:t> </w:t>
      </w:r>
      <w:r>
        <w:rPr>
          <w:sz w:val="20"/>
        </w:rPr>
        <w:t>to</w:t>
      </w:r>
      <w:r>
        <w:rPr>
          <w:spacing w:val="-11"/>
          <w:sz w:val="20"/>
        </w:rPr>
        <w:t> </w:t>
      </w:r>
      <w:r>
        <w:rPr>
          <w:sz w:val="20"/>
        </w:rPr>
        <w:t>the</w:t>
      </w:r>
      <w:r>
        <w:rPr>
          <w:spacing w:val="-11"/>
          <w:sz w:val="20"/>
        </w:rPr>
        <w:t> </w:t>
      </w:r>
      <w:r>
        <w:rPr>
          <w:sz w:val="20"/>
        </w:rPr>
        <w:t>potential</w:t>
      </w:r>
      <w:r>
        <w:rPr>
          <w:spacing w:val="-11"/>
          <w:sz w:val="20"/>
        </w:rPr>
        <w:t> </w:t>
      </w:r>
      <w:r>
        <w:rPr>
          <w:sz w:val="20"/>
        </w:rPr>
        <w:t>juror</w:t>
      </w:r>
      <w:r>
        <w:rPr>
          <w:spacing w:val="-11"/>
          <w:sz w:val="20"/>
        </w:rPr>
        <w:t> </w:t>
      </w:r>
      <w:r>
        <w:rPr>
          <w:sz w:val="20"/>
        </w:rPr>
        <w:t>much</w:t>
      </w:r>
      <w:r>
        <w:rPr>
          <w:spacing w:val="-11"/>
          <w:sz w:val="20"/>
        </w:rPr>
        <w:t> </w:t>
      </w:r>
      <w:r>
        <w:rPr>
          <w:sz w:val="20"/>
        </w:rPr>
        <w:t>earlier</w:t>
      </w:r>
      <w:r>
        <w:rPr>
          <w:spacing w:val="-11"/>
          <w:sz w:val="20"/>
        </w:rPr>
        <w:t> </w:t>
      </w:r>
      <w:r>
        <w:rPr>
          <w:sz w:val="20"/>
        </w:rPr>
        <w:t>in</w:t>
      </w:r>
      <w:r>
        <w:rPr>
          <w:spacing w:val="-11"/>
          <w:sz w:val="20"/>
        </w:rPr>
        <w:t> </w:t>
      </w:r>
      <w:r>
        <w:rPr>
          <w:sz w:val="20"/>
        </w:rPr>
        <w:t>its</w:t>
      </w:r>
      <w:r>
        <w:rPr>
          <w:spacing w:val="-11"/>
          <w:sz w:val="20"/>
        </w:rPr>
        <w:t> </w:t>
      </w:r>
      <w:r>
        <w:rPr>
          <w:sz w:val="20"/>
        </w:rPr>
        <w:t>discussions</w:t>
      </w:r>
      <w:r>
        <w:rPr>
          <w:spacing w:val="-11"/>
          <w:sz w:val="20"/>
        </w:rPr>
        <w:t> </w:t>
      </w:r>
      <w:r>
        <w:rPr>
          <w:sz w:val="20"/>
        </w:rPr>
        <w:t>with</w:t>
      </w:r>
      <w:r>
        <w:rPr>
          <w:spacing w:val="-11"/>
          <w:sz w:val="20"/>
        </w:rPr>
        <w:t> </w:t>
      </w:r>
      <w:r>
        <w:rPr>
          <w:sz w:val="20"/>
        </w:rPr>
        <w:t>them.</w:t>
      </w:r>
      <w:r>
        <w:rPr>
          <w:spacing w:val="-12"/>
          <w:sz w:val="20"/>
        </w:rPr>
        <w:t> </w:t>
      </w:r>
      <w:r>
        <w:rPr>
          <w:sz w:val="20"/>
        </w:rPr>
        <w:t>The</w:t>
      </w:r>
      <w:r>
        <w:rPr>
          <w:spacing w:val="-11"/>
          <w:sz w:val="20"/>
        </w:rPr>
        <w:t> </w:t>
      </w:r>
      <w:r>
        <w:rPr>
          <w:sz w:val="20"/>
        </w:rPr>
        <w:t>matter </w:t>
      </w:r>
      <w:r>
        <w:rPr>
          <w:spacing w:val="-3"/>
          <w:sz w:val="20"/>
        </w:rPr>
        <w:t>may</w:t>
      </w:r>
      <w:r>
        <w:rPr>
          <w:spacing w:val="-8"/>
          <w:sz w:val="20"/>
        </w:rPr>
        <w:t> </w:t>
      </w:r>
      <w:r>
        <w:rPr>
          <w:spacing w:val="-4"/>
          <w:sz w:val="20"/>
        </w:rPr>
        <w:t>have</w:t>
      </w:r>
      <w:r>
        <w:rPr>
          <w:spacing w:val="-8"/>
          <w:sz w:val="20"/>
        </w:rPr>
        <w:t> </w:t>
      </w:r>
      <w:r>
        <w:rPr>
          <w:sz w:val="20"/>
        </w:rPr>
        <w:t>also</w:t>
      </w:r>
      <w:r>
        <w:rPr>
          <w:spacing w:val="-7"/>
          <w:sz w:val="20"/>
        </w:rPr>
        <w:t> </w:t>
      </w:r>
      <w:r>
        <w:rPr>
          <w:sz w:val="20"/>
        </w:rPr>
        <w:t>already</w:t>
      </w:r>
      <w:r>
        <w:rPr>
          <w:spacing w:val="-8"/>
          <w:sz w:val="20"/>
        </w:rPr>
        <w:t> </w:t>
      </w:r>
      <w:r>
        <w:rPr>
          <w:sz w:val="20"/>
        </w:rPr>
        <w:t>been</w:t>
      </w:r>
      <w:r>
        <w:rPr>
          <w:spacing w:val="-7"/>
          <w:sz w:val="20"/>
        </w:rPr>
        <w:t> </w:t>
      </w:r>
      <w:r>
        <w:rPr>
          <w:sz w:val="20"/>
        </w:rPr>
        <w:t>considered</w:t>
      </w:r>
      <w:r>
        <w:rPr>
          <w:spacing w:val="-8"/>
          <w:sz w:val="20"/>
        </w:rPr>
        <w:t> </w:t>
      </w:r>
      <w:r>
        <w:rPr>
          <w:spacing w:val="-3"/>
          <w:sz w:val="20"/>
        </w:rPr>
        <w:t>by</w:t>
      </w:r>
      <w:r>
        <w:rPr>
          <w:spacing w:val="-8"/>
          <w:sz w:val="20"/>
        </w:rPr>
        <w:t> </w:t>
      </w:r>
      <w:r>
        <w:rPr>
          <w:sz w:val="20"/>
        </w:rPr>
        <w:t>a</w:t>
      </w:r>
      <w:r>
        <w:rPr>
          <w:spacing w:val="-7"/>
          <w:sz w:val="20"/>
        </w:rPr>
        <w:t> </w:t>
      </w:r>
      <w:r>
        <w:rPr>
          <w:sz w:val="20"/>
        </w:rPr>
        <w:t>judge</w:t>
      </w:r>
      <w:r>
        <w:rPr>
          <w:spacing w:val="-8"/>
          <w:sz w:val="20"/>
        </w:rPr>
        <w:t> </w:t>
      </w:r>
      <w:r>
        <w:rPr>
          <w:sz w:val="20"/>
        </w:rPr>
        <w:t>in</w:t>
      </w:r>
      <w:r>
        <w:rPr>
          <w:spacing w:val="-7"/>
          <w:sz w:val="20"/>
        </w:rPr>
        <w:t> </w:t>
      </w:r>
      <w:r>
        <w:rPr>
          <w:sz w:val="20"/>
        </w:rPr>
        <w:t>a</w:t>
      </w:r>
      <w:r>
        <w:rPr>
          <w:spacing w:val="-8"/>
          <w:sz w:val="20"/>
        </w:rPr>
        <w:t> </w:t>
      </w:r>
      <w:r>
        <w:rPr>
          <w:sz w:val="20"/>
        </w:rPr>
        <w:t>hearing</w:t>
      </w:r>
      <w:r>
        <w:rPr>
          <w:spacing w:val="-8"/>
          <w:sz w:val="20"/>
        </w:rPr>
        <w:t> </w:t>
      </w:r>
      <w:r>
        <w:rPr>
          <w:sz w:val="20"/>
        </w:rPr>
        <w:t>pre-empanelment.</w:t>
      </w:r>
    </w:p>
    <w:p>
      <w:pPr>
        <w:pStyle w:val="Heading6"/>
        <w:rPr>
          <w:b/>
        </w:rPr>
      </w:pPr>
      <w:r>
        <w:rPr>
          <w:b/>
        </w:rPr>
        <w:t>Swearing in jurors and interpreters</w:t>
      </w:r>
    </w:p>
    <w:p>
      <w:pPr>
        <w:pStyle w:val="ListParagraph"/>
        <w:numPr>
          <w:ilvl w:val="1"/>
          <w:numId w:val="12"/>
        </w:numPr>
        <w:tabs>
          <w:tab w:pos="1761" w:val="left" w:leader="none"/>
          <w:tab w:pos="1762" w:val="left" w:leader="none"/>
        </w:tabs>
        <w:spacing w:line="206" w:lineRule="auto" w:before="131" w:after="0"/>
        <w:ind w:left="1761" w:right="1459" w:hanging="794"/>
        <w:jc w:val="left"/>
        <w:rPr>
          <w:sz w:val="20"/>
        </w:rPr>
      </w:pPr>
      <w:r>
        <w:rPr>
          <w:sz w:val="20"/>
        </w:rPr>
        <w:t>If a person </w:t>
      </w:r>
      <w:r>
        <w:rPr>
          <w:spacing w:val="-3"/>
          <w:sz w:val="20"/>
        </w:rPr>
        <w:t>from </w:t>
      </w:r>
      <w:r>
        <w:rPr>
          <w:sz w:val="20"/>
        </w:rPr>
        <w:t>the subject groups is empanelled as a </w:t>
      </w:r>
      <w:r>
        <w:rPr>
          <w:spacing w:val="-4"/>
          <w:sz w:val="20"/>
        </w:rPr>
        <w:t>juror, </w:t>
      </w:r>
      <w:r>
        <w:rPr>
          <w:sz w:val="20"/>
        </w:rPr>
        <w:t>they will be </w:t>
      </w:r>
      <w:r>
        <w:rPr>
          <w:spacing w:val="-3"/>
          <w:sz w:val="20"/>
        </w:rPr>
        <w:t>sworn </w:t>
      </w:r>
      <w:r>
        <w:rPr>
          <w:sz w:val="20"/>
        </w:rPr>
        <w:t>in </w:t>
      </w:r>
      <w:r>
        <w:rPr>
          <w:spacing w:val="-3"/>
          <w:sz w:val="20"/>
        </w:rPr>
        <w:t>(like</w:t>
      </w:r>
      <w:r>
        <w:rPr>
          <w:spacing w:val="-9"/>
          <w:sz w:val="20"/>
        </w:rPr>
        <w:t> </w:t>
      </w:r>
      <w:r>
        <w:rPr>
          <w:sz w:val="20"/>
        </w:rPr>
        <w:t>all</w:t>
      </w:r>
      <w:r>
        <w:rPr>
          <w:spacing w:val="-9"/>
          <w:sz w:val="20"/>
        </w:rPr>
        <w:t> </w:t>
      </w:r>
      <w:r>
        <w:rPr>
          <w:sz w:val="20"/>
        </w:rPr>
        <w:t>other</w:t>
      </w:r>
      <w:r>
        <w:rPr>
          <w:spacing w:val="-9"/>
          <w:sz w:val="20"/>
        </w:rPr>
        <w:t> </w:t>
      </w:r>
      <w:r>
        <w:rPr>
          <w:spacing w:val="-3"/>
          <w:sz w:val="20"/>
        </w:rPr>
        <w:t>jurors).</w:t>
      </w:r>
      <w:r>
        <w:rPr>
          <w:spacing w:val="-9"/>
          <w:sz w:val="20"/>
        </w:rPr>
        <w:t> </w:t>
      </w:r>
      <w:r>
        <w:rPr>
          <w:sz w:val="20"/>
        </w:rPr>
        <w:t>First,</w:t>
      </w:r>
      <w:r>
        <w:rPr>
          <w:spacing w:val="-9"/>
          <w:sz w:val="20"/>
        </w:rPr>
        <w:t> </w:t>
      </w:r>
      <w:r>
        <w:rPr>
          <w:spacing w:val="-5"/>
          <w:sz w:val="20"/>
        </w:rPr>
        <w:t>however,</w:t>
      </w:r>
      <w:r>
        <w:rPr>
          <w:spacing w:val="-8"/>
          <w:sz w:val="20"/>
        </w:rPr>
        <w:t> </w:t>
      </w:r>
      <w:r>
        <w:rPr>
          <w:sz w:val="20"/>
        </w:rPr>
        <w:t>it</w:t>
      </w:r>
      <w:r>
        <w:rPr>
          <w:spacing w:val="-9"/>
          <w:sz w:val="20"/>
        </w:rPr>
        <w:t> </w:t>
      </w:r>
      <w:r>
        <w:rPr>
          <w:sz w:val="20"/>
        </w:rPr>
        <w:t>will</w:t>
      </w:r>
      <w:r>
        <w:rPr>
          <w:spacing w:val="-9"/>
          <w:sz w:val="20"/>
        </w:rPr>
        <w:t> </w:t>
      </w:r>
      <w:r>
        <w:rPr>
          <w:sz w:val="20"/>
        </w:rPr>
        <w:t>be</w:t>
      </w:r>
      <w:r>
        <w:rPr>
          <w:spacing w:val="-9"/>
          <w:sz w:val="20"/>
        </w:rPr>
        <w:t> </w:t>
      </w:r>
      <w:r>
        <w:rPr>
          <w:sz w:val="20"/>
        </w:rPr>
        <w:t>necessary</w:t>
      </w:r>
      <w:r>
        <w:rPr>
          <w:spacing w:val="-9"/>
          <w:sz w:val="20"/>
        </w:rPr>
        <w:t> </w:t>
      </w:r>
      <w:r>
        <w:rPr>
          <w:sz w:val="20"/>
        </w:rPr>
        <w:t>(in</w:t>
      </w:r>
      <w:r>
        <w:rPr>
          <w:spacing w:val="-8"/>
          <w:sz w:val="20"/>
        </w:rPr>
        <w:t> </w:t>
      </w:r>
      <w:r>
        <w:rPr>
          <w:sz w:val="20"/>
        </w:rPr>
        <w:t>some</w:t>
      </w:r>
      <w:r>
        <w:rPr>
          <w:spacing w:val="-9"/>
          <w:sz w:val="20"/>
        </w:rPr>
        <w:t> </w:t>
      </w:r>
      <w:r>
        <w:rPr>
          <w:sz w:val="20"/>
        </w:rPr>
        <w:t>cases)</w:t>
      </w:r>
      <w:r>
        <w:rPr>
          <w:spacing w:val="-9"/>
          <w:sz w:val="20"/>
        </w:rPr>
        <w:t> </w:t>
      </w:r>
      <w:r>
        <w:rPr>
          <w:sz w:val="20"/>
        </w:rPr>
        <w:t>for</w:t>
      </w:r>
      <w:r>
        <w:rPr>
          <w:spacing w:val="-9"/>
          <w:sz w:val="20"/>
        </w:rPr>
        <w:t> </w:t>
      </w:r>
      <w:r>
        <w:rPr>
          <w:sz w:val="20"/>
        </w:rPr>
        <w:t>the</w:t>
      </w:r>
      <w:r>
        <w:rPr>
          <w:spacing w:val="-9"/>
          <w:sz w:val="20"/>
        </w:rPr>
        <w:t> </w:t>
      </w:r>
      <w:r>
        <w:rPr>
          <w:sz w:val="20"/>
        </w:rPr>
        <w:t>Auslan </w:t>
      </w:r>
      <w:r>
        <w:rPr>
          <w:spacing w:val="-3"/>
          <w:sz w:val="20"/>
        </w:rPr>
        <w:t>interpreter </w:t>
      </w:r>
      <w:r>
        <w:rPr>
          <w:sz w:val="20"/>
        </w:rPr>
        <w:t>or support person to be </w:t>
      </w:r>
      <w:r>
        <w:rPr>
          <w:spacing w:val="-3"/>
          <w:sz w:val="20"/>
        </w:rPr>
        <w:t>sworn </w:t>
      </w:r>
      <w:r>
        <w:rPr>
          <w:sz w:val="20"/>
        </w:rPr>
        <w:t>in. </w:t>
      </w:r>
      <w:r>
        <w:rPr>
          <w:spacing w:val="-6"/>
          <w:sz w:val="20"/>
        </w:rPr>
        <w:t>We </w:t>
      </w:r>
      <w:r>
        <w:rPr>
          <w:sz w:val="20"/>
        </w:rPr>
        <w:t>discuss these </w:t>
      </w:r>
      <w:r>
        <w:rPr>
          <w:spacing w:val="-3"/>
          <w:sz w:val="20"/>
        </w:rPr>
        <w:t>oaths/affirmations </w:t>
      </w:r>
      <w:r>
        <w:rPr>
          <w:sz w:val="20"/>
        </w:rPr>
        <w:t>in </w:t>
      </w:r>
      <w:r>
        <w:rPr>
          <w:spacing w:val="-2"/>
          <w:sz w:val="20"/>
        </w:rPr>
        <w:t>Chapters </w:t>
      </w:r>
      <w:r>
        <w:rPr>
          <w:sz w:val="20"/>
        </w:rPr>
        <w:t>14 and</w:t>
      </w:r>
      <w:r>
        <w:rPr>
          <w:spacing w:val="-10"/>
          <w:sz w:val="20"/>
        </w:rPr>
        <w:t> </w:t>
      </w:r>
      <w:r>
        <w:rPr>
          <w:spacing w:val="2"/>
          <w:sz w:val="20"/>
        </w:rPr>
        <w:t>15.</w:t>
      </w:r>
    </w:p>
    <w:p>
      <w:pPr>
        <w:pStyle w:val="Heading6"/>
        <w:rPr>
          <w:b/>
        </w:rPr>
      </w:pPr>
      <w:r>
        <w:rPr>
          <w:b/>
        </w:rPr>
        <w:t>Discussion with counsel after the jury is sworn in</w:t>
      </w:r>
    </w:p>
    <w:p>
      <w:pPr>
        <w:pStyle w:val="ListParagraph"/>
        <w:numPr>
          <w:ilvl w:val="1"/>
          <w:numId w:val="12"/>
        </w:numPr>
        <w:tabs>
          <w:tab w:pos="1761" w:val="left" w:leader="none"/>
          <w:tab w:pos="1762" w:val="left" w:leader="none"/>
        </w:tabs>
        <w:spacing w:line="206" w:lineRule="auto" w:before="132" w:after="0"/>
        <w:ind w:left="1761" w:right="1249" w:hanging="794"/>
        <w:jc w:val="left"/>
        <w:rPr>
          <w:sz w:val="11"/>
        </w:rPr>
      </w:pPr>
      <w:r>
        <w:rPr>
          <w:sz w:val="20"/>
        </w:rPr>
        <w:t>The Supreme Court suggested that after the jury is </w:t>
      </w:r>
      <w:r>
        <w:rPr>
          <w:spacing w:val="-3"/>
          <w:sz w:val="20"/>
        </w:rPr>
        <w:t>sworn </w:t>
      </w:r>
      <w:r>
        <w:rPr>
          <w:sz w:val="20"/>
        </w:rPr>
        <w:t>in there </w:t>
      </w:r>
      <w:r>
        <w:rPr>
          <w:spacing w:val="-3"/>
          <w:sz w:val="20"/>
        </w:rPr>
        <w:t>may </w:t>
      </w:r>
      <w:r>
        <w:rPr>
          <w:sz w:val="20"/>
        </w:rPr>
        <w:t>need to be a short break to discuss with counsel the arrangements that will be made for the juror using</w:t>
      </w:r>
      <w:r>
        <w:rPr>
          <w:spacing w:val="-15"/>
          <w:sz w:val="20"/>
        </w:rPr>
        <w:t> </w:t>
      </w:r>
      <w:r>
        <w:rPr>
          <w:sz w:val="20"/>
        </w:rPr>
        <w:t>adjustments.</w:t>
      </w:r>
      <w:r>
        <w:rPr>
          <w:spacing w:val="-14"/>
          <w:sz w:val="20"/>
        </w:rPr>
        <w:t> </w:t>
      </w:r>
      <w:r>
        <w:rPr>
          <w:sz w:val="20"/>
        </w:rPr>
        <w:t>This</w:t>
      </w:r>
      <w:r>
        <w:rPr>
          <w:spacing w:val="-14"/>
          <w:sz w:val="20"/>
        </w:rPr>
        <w:t> </w:t>
      </w:r>
      <w:r>
        <w:rPr>
          <w:sz w:val="20"/>
        </w:rPr>
        <w:t>might</w:t>
      </w:r>
      <w:r>
        <w:rPr>
          <w:spacing w:val="-14"/>
          <w:sz w:val="20"/>
        </w:rPr>
        <w:t> </w:t>
      </w:r>
      <w:r>
        <w:rPr>
          <w:sz w:val="20"/>
        </w:rPr>
        <w:t>include</w:t>
      </w:r>
      <w:r>
        <w:rPr>
          <w:spacing w:val="-14"/>
          <w:sz w:val="20"/>
        </w:rPr>
        <w:t> </w:t>
      </w:r>
      <w:r>
        <w:rPr>
          <w:sz w:val="20"/>
        </w:rPr>
        <w:t>things</w:t>
      </w:r>
      <w:r>
        <w:rPr>
          <w:spacing w:val="-14"/>
          <w:sz w:val="20"/>
        </w:rPr>
        <w:t> </w:t>
      </w:r>
      <w:r>
        <w:rPr>
          <w:sz w:val="20"/>
        </w:rPr>
        <w:t>like</w:t>
      </w:r>
      <w:r>
        <w:rPr>
          <w:spacing w:val="-14"/>
          <w:sz w:val="20"/>
        </w:rPr>
        <w:t> </w:t>
      </w:r>
      <w:r>
        <w:rPr>
          <w:sz w:val="20"/>
        </w:rPr>
        <w:t>‘seating</w:t>
      </w:r>
      <w:r>
        <w:rPr>
          <w:spacing w:val="-15"/>
          <w:sz w:val="20"/>
        </w:rPr>
        <w:t> </w:t>
      </w:r>
      <w:r>
        <w:rPr>
          <w:sz w:val="20"/>
        </w:rPr>
        <w:t>arrangements</w:t>
      </w:r>
      <w:r>
        <w:rPr>
          <w:spacing w:val="-14"/>
          <w:sz w:val="20"/>
        </w:rPr>
        <w:t> </w:t>
      </w:r>
      <w:r>
        <w:rPr>
          <w:sz w:val="20"/>
        </w:rPr>
        <w:t>during</w:t>
      </w:r>
      <w:r>
        <w:rPr>
          <w:spacing w:val="-14"/>
          <w:sz w:val="20"/>
        </w:rPr>
        <w:t> </w:t>
      </w:r>
      <w:r>
        <w:rPr>
          <w:sz w:val="20"/>
        </w:rPr>
        <w:t>the</w:t>
      </w:r>
      <w:r>
        <w:rPr>
          <w:spacing w:val="-14"/>
          <w:sz w:val="20"/>
        </w:rPr>
        <w:t> </w:t>
      </w:r>
      <w:r>
        <w:rPr>
          <w:sz w:val="20"/>
        </w:rPr>
        <w:t>trial, breaks for </w:t>
      </w:r>
      <w:r>
        <w:rPr>
          <w:spacing w:val="-3"/>
          <w:sz w:val="20"/>
        </w:rPr>
        <w:t>any </w:t>
      </w:r>
      <w:r>
        <w:rPr>
          <w:sz w:val="20"/>
        </w:rPr>
        <w:t>support persons such as Auslan </w:t>
      </w:r>
      <w:r>
        <w:rPr>
          <w:spacing w:val="-3"/>
          <w:sz w:val="20"/>
        </w:rPr>
        <w:t>interpreters, </w:t>
      </w:r>
      <w:r>
        <w:rPr>
          <w:sz w:val="20"/>
        </w:rPr>
        <w:t>and possibly the need to adjust </w:t>
      </w:r>
      <w:r>
        <w:rPr>
          <w:spacing w:val="-3"/>
          <w:sz w:val="20"/>
        </w:rPr>
        <w:t>how </w:t>
      </w:r>
      <w:r>
        <w:rPr>
          <w:sz w:val="20"/>
        </w:rPr>
        <w:t>they</w:t>
      </w:r>
      <w:r>
        <w:rPr>
          <w:spacing w:val="-10"/>
          <w:sz w:val="20"/>
        </w:rPr>
        <w:t> </w:t>
      </w:r>
      <w:r>
        <w:rPr>
          <w:sz w:val="20"/>
        </w:rPr>
        <w:t>speak’.</w:t>
      </w:r>
      <w:r>
        <w:rPr>
          <w:position w:val="7"/>
          <w:sz w:val="11"/>
        </w:rPr>
        <w:t>72</w:t>
      </w:r>
    </w:p>
    <w:p>
      <w:pPr>
        <w:pStyle w:val="ListParagraph"/>
        <w:numPr>
          <w:ilvl w:val="1"/>
          <w:numId w:val="12"/>
        </w:numPr>
        <w:tabs>
          <w:tab w:pos="1761" w:val="left" w:leader="none"/>
          <w:tab w:pos="1762" w:val="left" w:leader="none"/>
        </w:tabs>
        <w:spacing w:line="206" w:lineRule="auto" w:before="126" w:after="0"/>
        <w:ind w:left="1761" w:right="1216" w:hanging="794"/>
        <w:jc w:val="left"/>
        <w:rPr>
          <w:sz w:val="20"/>
        </w:rPr>
      </w:pPr>
      <w:r>
        <w:rPr>
          <w:sz w:val="20"/>
        </w:rPr>
        <w:t>Information about the use of Auslan </w:t>
      </w:r>
      <w:r>
        <w:rPr>
          <w:spacing w:val="-3"/>
          <w:sz w:val="20"/>
        </w:rPr>
        <w:t>interpreters </w:t>
      </w:r>
      <w:r>
        <w:rPr>
          <w:sz w:val="20"/>
        </w:rPr>
        <w:t>could be shared with counsel at this time. In </w:t>
      </w:r>
      <w:r>
        <w:rPr>
          <w:spacing w:val="-2"/>
          <w:sz w:val="20"/>
        </w:rPr>
        <w:t>Chapter </w:t>
      </w:r>
      <w:r>
        <w:rPr>
          <w:sz w:val="20"/>
        </w:rPr>
        <w:t>9 </w:t>
      </w:r>
      <w:r>
        <w:rPr>
          <w:spacing w:val="-3"/>
          <w:sz w:val="20"/>
        </w:rPr>
        <w:t>we referred </w:t>
      </w:r>
      <w:r>
        <w:rPr>
          <w:sz w:val="20"/>
        </w:rPr>
        <w:t>to the Recommended National Standards for </w:t>
      </w:r>
      <w:r>
        <w:rPr>
          <w:spacing w:val="-3"/>
          <w:sz w:val="20"/>
        </w:rPr>
        <w:t>Working </w:t>
      </w:r>
      <w:r>
        <w:rPr>
          <w:sz w:val="20"/>
        </w:rPr>
        <w:t>with </w:t>
      </w:r>
      <w:r>
        <w:rPr>
          <w:spacing w:val="-3"/>
          <w:sz w:val="20"/>
        </w:rPr>
        <w:t>Interpreters </w:t>
      </w:r>
      <w:r>
        <w:rPr>
          <w:sz w:val="20"/>
        </w:rPr>
        <w:t>in Courts and </w:t>
      </w:r>
      <w:r>
        <w:rPr>
          <w:spacing w:val="-3"/>
          <w:sz w:val="20"/>
        </w:rPr>
        <w:t>Tribunals </w:t>
      </w:r>
      <w:r>
        <w:rPr>
          <w:sz w:val="20"/>
        </w:rPr>
        <w:t>(RNS) that outline best practice for working with </w:t>
      </w:r>
      <w:r>
        <w:rPr>
          <w:spacing w:val="-3"/>
          <w:sz w:val="20"/>
        </w:rPr>
        <w:t>interpreters </w:t>
      </w:r>
      <w:r>
        <w:rPr>
          <w:sz w:val="20"/>
        </w:rPr>
        <w:t>in the legal system, including the need for breaks, briefing </w:t>
      </w:r>
      <w:r>
        <w:rPr>
          <w:spacing w:val="-3"/>
          <w:sz w:val="20"/>
        </w:rPr>
        <w:t>etc.</w:t>
      </w:r>
      <w:r>
        <w:rPr>
          <w:spacing w:val="-3"/>
          <w:position w:val="7"/>
          <w:sz w:val="11"/>
        </w:rPr>
        <w:t>73 </w:t>
      </w:r>
      <w:r>
        <w:rPr>
          <w:sz w:val="20"/>
        </w:rPr>
        <w:t>The academics</w:t>
      </w:r>
      <w:r>
        <w:rPr>
          <w:spacing w:val="-10"/>
          <w:sz w:val="20"/>
        </w:rPr>
        <w:t> </w:t>
      </w:r>
      <w:r>
        <w:rPr>
          <w:sz w:val="20"/>
        </w:rPr>
        <w:t>who</w:t>
      </w:r>
      <w:r>
        <w:rPr>
          <w:spacing w:val="-10"/>
          <w:sz w:val="20"/>
        </w:rPr>
        <w:t> </w:t>
      </w:r>
      <w:r>
        <w:rPr>
          <w:sz w:val="20"/>
        </w:rPr>
        <w:t>undertook</w:t>
      </w:r>
      <w:r>
        <w:rPr>
          <w:spacing w:val="-10"/>
          <w:sz w:val="20"/>
        </w:rPr>
        <w:t> </w:t>
      </w:r>
      <w:r>
        <w:rPr>
          <w:sz w:val="20"/>
        </w:rPr>
        <w:t>the</w:t>
      </w:r>
      <w:r>
        <w:rPr>
          <w:spacing w:val="-9"/>
          <w:sz w:val="20"/>
        </w:rPr>
        <w:t> </w:t>
      </w:r>
      <w:r>
        <w:rPr>
          <w:sz w:val="20"/>
        </w:rPr>
        <w:t>mock</w:t>
      </w:r>
      <w:r>
        <w:rPr>
          <w:spacing w:val="-10"/>
          <w:sz w:val="20"/>
        </w:rPr>
        <w:t> </w:t>
      </w:r>
      <w:r>
        <w:rPr>
          <w:sz w:val="20"/>
        </w:rPr>
        <w:t>trial</w:t>
      </w:r>
      <w:r>
        <w:rPr>
          <w:spacing w:val="-10"/>
          <w:sz w:val="20"/>
        </w:rPr>
        <w:t> </w:t>
      </w:r>
      <w:r>
        <w:rPr>
          <w:sz w:val="20"/>
        </w:rPr>
        <w:t>study</w:t>
      </w:r>
      <w:r>
        <w:rPr>
          <w:spacing w:val="-10"/>
          <w:sz w:val="20"/>
        </w:rPr>
        <w:t> </w:t>
      </w:r>
      <w:r>
        <w:rPr>
          <w:spacing w:val="-3"/>
          <w:sz w:val="20"/>
        </w:rPr>
        <w:t>told</w:t>
      </w:r>
      <w:r>
        <w:rPr>
          <w:spacing w:val="-10"/>
          <w:sz w:val="20"/>
        </w:rPr>
        <w:t> </w:t>
      </w:r>
      <w:r>
        <w:rPr>
          <w:sz w:val="20"/>
        </w:rPr>
        <w:t>the</w:t>
      </w:r>
      <w:r>
        <w:rPr>
          <w:spacing w:val="-9"/>
          <w:sz w:val="20"/>
        </w:rPr>
        <w:t> </w:t>
      </w:r>
      <w:r>
        <w:rPr>
          <w:sz w:val="20"/>
        </w:rPr>
        <w:t>Commission</w:t>
      </w:r>
      <w:r>
        <w:rPr>
          <w:spacing w:val="-10"/>
          <w:sz w:val="20"/>
        </w:rPr>
        <w:t> </w:t>
      </w:r>
      <w:r>
        <w:rPr>
          <w:sz w:val="20"/>
        </w:rPr>
        <w:t>that</w:t>
      </w:r>
      <w:r>
        <w:rPr>
          <w:spacing w:val="-10"/>
          <w:sz w:val="20"/>
        </w:rPr>
        <w:t> </w:t>
      </w:r>
      <w:r>
        <w:rPr>
          <w:sz w:val="20"/>
        </w:rPr>
        <w:t>they</w:t>
      </w:r>
      <w:r>
        <w:rPr>
          <w:spacing w:val="-10"/>
          <w:sz w:val="20"/>
        </w:rPr>
        <w:t> </w:t>
      </w:r>
      <w:r>
        <w:rPr>
          <w:spacing w:val="-3"/>
          <w:sz w:val="20"/>
        </w:rPr>
        <w:t>provided </w:t>
      </w:r>
      <w:r>
        <w:rPr>
          <w:sz w:val="20"/>
        </w:rPr>
        <w:t>a one-page briefing document for the participants. Briefing notes </w:t>
      </w:r>
      <w:r>
        <w:rPr>
          <w:spacing w:val="-4"/>
          <w:sz w:val="20"/>
        </w:rPr>
        <w:t>were </w:t>
      </w:r>
      <w:r>
        <w:rPr>
          <w:spacing w:val="-3"/>
          <w:sz w:val="20"/>
        </w:rPr>
        <w:t>provided </w:t>
      </w:r>
      <w:r>
        <w:rPr>
          <w:sz w:val="20"/>
        </w:rPr>
        <w:t>to lawyers and the police, the judge, </w:t>
      </w:r>
      <w:r>
        <w:rPr>
          <w:spacing w:val="-3"/>
          <w:sz w:val="20"/>
        </w:rPr>
        <w:t>interpreters, </w:t>
      </w:r>
      <w:r>
        <w:rPr>
          <w:sz w:val="20"/>
        </w:rPr>
        <w:t>hearing and non-hearing jurors. Similar information,</w:t>
      </w:r>
      <w:r>
        <w:rPr>
          <w:spacing w:val="-6"/>
          <w:sz w:val="20"/>
        </w:rPr>
        <w:t> </w:t>
      </w:r>
      <w:r>
        <w:rPr>
          <w:sz w:val="20"/>
        </w:rPr>
        <w:t>based</w:t>
      </w:r>
      <w:r>
        <w:rPr>
          <w:spacing w:val="-6"/>
          <w:sz w:val="20"/>
        </w:rPr>
        <w:t> </w:t>
      </w:r>
      <w:r>
        <w:rPr>
          <w:sz w:val="20"/>
        </w:rPr>
        <w:t>on</w:t>
      </w:r>
      <w:r>
        <w:rPr>
          <w:spacing w:val="-6"/>
          <w:sz w:val="20"/>
        </w:rPr>
        <w:t> </w:t>
      </w:r>
      <w:r>
        <w:rPr>
          <w:sz w:val="20"/>
        </w:rPr>
        <w:t>the</w:t>
      </w:r>
      <w:r>
        <w:rPr>
          <w:spacing w:val="-6"/>
          <w:sz w:val="20"/>
        </w:rPr>
        <w:t> </w:t>
      </w:r>
      <w:r>
        <w:rPr>
          <w:sz w:val="20"/>
        </w:rPr>
        <w:t>RNS,</w:t>
      </w:r>
      <w:r>
        <w:rPr>
          <w:spacing w:val="-6"/>
          <w:sz w:val="20"/>
        </w:rPr>
        <w:t> </w:t>
      </w:r>
      <w:r>
        <w:rPr>
          <w:sz w:val="20"/>
        </w:rPr>
        <w:t>could</w:t>
      </w:r>
      <w:r>
        <w:rPr>
          <w:spacing w:val="-6"/>
          <w:sz w:val="20"/>
        </w:rPr>
        <w:t> </w:t>
      </w:r>
      <w:r>
        <w:rPr>
          <w:sz w:val="20"/>
        </w:rPr>
        <w:t>be</w:t>
      </w:r>
      <w:r>
        <w:rPr>
          <w:spacing w:val="-5"/>
          <w:sz w:val="20"/>
        </w:rPr>
        <w:t> </w:t>
      </w:r>
      <w:r>
        <w:rPr>
          <w:spacing w:val="-3"/>
          <w:sz w:val="20"/>
        </w:rPr>
        <w:t>developed</w:t>
      </w:r>
      <w:r>
        <w:rPr>
          <w:spacing w:val="-6"/>
          <w:sz w:val="20"/>
        </w:rPr>
        <w:t> </w:t>
      </w:r>
      <w:r>
        <w:rPr>
          <w:sz w:val="20"/>
        </w:rPr>
        <w:t>for</w:t>
      </w:r>
      <w:r>
        <w:rPr>
          <w:spacing w:val="-6"/>
          <w:sz w:val="20"/>
        </w:rPr>
        <w:t> </w:t>
      </w:r>
      <w:r>
        <w:rPr>
          <w:sz w:val="20"/>
        </w:rPr>
        <w:t>judges</w:t>
      </w:r>
      <w:r>
        <w:rPr>
          <w:spacing w:val="-6"/>
          <w:sz w:val="20"/>
        </w:rPr>
        <w:t> </w:t>
      </w:r>
      <w:r>
        <w:rPr>
          <w:sz w:val="20"/>
        </w:rPr>
        <w:t>and</w:t>
      </w:r>
      <w:r>
        <w:rPr>
          <w:spacing w:val="-6"/>
          <w:sz w:val="20"/>
        </w:rPr>
        <w:t> </w:t>
      </w:r>
      <w:r>
        <w:rPr>
          <w:sz w:val="20"/>
        </w:rPr>
        <w:t>lawyers.</w:t>
      </w:r>
    </w:p>
    <w:p>
      <w:pPr>
        <w:pStyle w:val="ListParagraph"/>
        <w:numPr>
          <w:ilvl w:val="1"/>
          <w:numId w:val="12"/>
        </w:numPr>
        <w:tabs>
          <w:tab w:pos="1761" w:val="left" w:leader="none"/>
          <w:tab w:pos="1762" w:val="left" w:leader="none"/>
        </w:tabs>
        <w:spacing w:line="240" w:lineRule="auto" w:before="98" w:after="0"/>
        <w:ind w:left="1761" w:right="0" w:hanging="794"/>
        <w:jc w:val="left"/>
        <w:rPr>
          <w:sz w:val="11"/>
        </w:rPr>
      </w:pPr>
      <w:r>
        <w:rPr>
          <w:sz w:val="20"/>
        </w:rPr>
        <w:t>Information</w:t>
      </w:r>
      <w:r>
        <w:rPr>
          <w:spacing w:val="-5"/>
          <w:sz w:val="20"/>
        </w:rPr>
        <w:t> </w:t>
      </w:r>
      <w:r>
        <w:rPr>
          <w:spacing w:val="-3"/>
          <w:sz w:val="20"/>
        </w:rPr>
        <w:t>provided</w:t>
      </w:r>
      <w:r>
        <w:rPr>
          <w:spacing w:val="-5"/>
          <w:sz w:val="20"/>
        </w:rPr>
        <w:t> </w:t>
      </w:r>
      <w:r>
        <w:rPr>
          <w:sz w:val="20"/>
        </w:rPr>
        <w:t>to</w:t>
      </w:r>
      <w:r>
        <w:rPr>
          <w:spacing w:val="-4"/>
          <w:sz w:val="20"/>
        </w:rPr>
        <w:t> </w:t>
      </w:r>
      <w:r>
        <w:rPr>
          <w:sz w:val="20"/>
        </w:rPr>
        <w:t>lawyers</w:t>
      </w:r>
      <w:r>
        <w:rPr>
          <w:spacing w:val="-5"/>
          <w:sz w:val="20"/>
        </w:rPr>
        <w:t> </w:t>
      </w:r>
      <w:r>
        <w:rPr>
          <w:sz w:val="20"/>
        </w:rPr>
        <w:t>and</w:t>
      </w:r>
      <w:r>
        <w:rPr>
          <w:spacing w:val="-5"/>
          <w:sz w:val="20"/>
        </w:rPr>
        <w:t> </w:t>
      </w:r>
      <w:r>
        <w:rPr>
          <w:sz w:val="20"/>
        </w:rPr>
        <w:t>the</w:t>
      </w:r>
      <w:r>
        <w:rPr>
          <w:spacing w:val="-4"/>
          <w:sz w:val="20"/>
        </w:rPr>
        <w:t> </w:t>
      </w:r>
      <w:r>
        <w:rPr>
          <w:sz w:val="20"/>
        </w:rPr>
        <w:t>judge</w:t>
      </w:r>
      <w:r>
        <w:rPr>
          <w:spacing w:val="-5"/>
          <w:sz w:val="20"/>
        </w:rPr>
        <w:t> </w:t>
      </w:r>
      <w:r>
        <w:rPr>
          <w:spacing w:val="-3"/>
          <w:sz w:val="20"/>
        </w:rPr>
        <w:t>before</w:t>
      </w:r>
      <w:r>
        <w:rPr>
          <w:spacing w:val="-4"/>
          <w:sz w:val="20"/>
        </w:rPr>
        <w:t> </w:t>
      </w:r>
      <w:r>
        <w:rPr>
          <w:sz w:val="20"/>
        </w:rPr>
        <w:t>the</w:t>
      </w:r>
      <w:r>
        <w:rPr>
          <w:spacing w:val="-5"/>
          <w:sz w:val="20"/>
        </w:rPr>
        <w:t> </w:t>
      </w:r>
      <w:r>
        <w:rPr>
          <w:sz w:val="20"/>
        </w:rPr>
        <w:t>mock</w:t>
      </w:r>
      <w:r>
        <w:rPr>
          <w:spacing w:val="-5"/>
          <w:sz w:val="20"/>
        </w:rPr>
        <w:t> </w:t>
      </w:r>
      <w:r>
        <w:rPr>
          <w:sz w:val="20"/>
        </w:rPr>
        <w:t>trial</w:t>
      </w:r>
      <w:r>
        <w:rPr>
          <w:spacing w:val="-4"/>
          <w:sz w:val="20"/>
        </w:rPr>
        <w:t> </w:t>
      </w:r>
      <w:r>
        <w:rPr>
          <w:spacing w:val="-5"/>
          <w:sz w:val="20"/>
        </w:rPr>
        <w:t>covered:</w:t>
      </w:r>
      <w:r>
        <w:rPr>
          <w:spacing w:val="-5"/>
          <w:position w:val="7"/>
          <w:sz w:val="11"/>
        </w:rPr>
        <w:t>74</w:t>
      </w:r>
    </w:p>
    <w:p>
      <w:pPr>
        <w:pStyle w:val="ListParagraph"/>
        <w:numPr>
          <w:ilvl w:val="2"/>
          <w:numId w:val="12"/>
        </w:numPr>
        <w:tabs>
          <w:tab w:pos="2157" w:val="left" w:leader="none"/>
          <w:tab w:pos="2158" w:val="left" w:leader="none"/>
        </w:tabs>
        <w:spacing w:line="206" w:lineRule="auto" w:before="115" w:after="0"/>
        <w:ind w:left="2157" w:right="1788" w:hanging="396"/>
        <w:jc w:val="left"/>
        <w:rPr>
          <w:sz w:val="20"/>
        </w:rPr>
      </w:pPr>
      <w:r>
        <w:rPr>
          <w:sz w:val="20"/>
        </w:rPr>
        <w:t>The</w:t>
      </w:r>
      <w:r>
        <w:rPr>
          <w:spacing w:val="-13"/>
          <w:sz w:val="20"/>
        </w:rPr>
        <w:t> </w:t>
      </w:r>
      <w:r>
        <w:rPr>
          <w:sz w:val="20"/>
        </w:rPr>
        <w:t>presence</w:t>
      </w:r>
      <w:r>
        <w:rPr>
          <w:spacing w:val="-13"/>
          <w:sz w:val="20"/>
        </w:rPr>
        <w:t> </w:t>
      </w:r>
      <w:r>
        <w:rPr>
          <w:sz w:val="20"/>
        </w:rPr>
        <w:t>of</w:t>
      </w:r>
      <w:r>
        <w:rPr>
          <w:spacing w:val="-13"/>
          <w:sz w:val="20"/>
        </w:rPr>
        <w:t> </w:t>
      </w:r>
      <w:r>
        <w:rPr>
          <w:sz w:val="20"/>
        </w:rPr>
        <w:t>two</w:t>
      </w:r>
      <w:r>
        <w:rPr>
          <w:spacing w:val="-13"/>
          <w:sz w:val="20"/>
        </w:rPr>
        <w:t> </w:t>
      </w:r>
      <w:r>
        <w:rPr>
          <w:sz w:val="20"/>
        </w:rPr>
        <w:t>Auslan</w:t>
      </w:r>
      <w:r>
        <w:rPr>
          <w:spacing w:val="-12"/>
          <w:sz w:val="20"/>
        </w:rPr>
        <w:t> </w:t>
      </w:r>
      <w:r>
        <w:rPr>
          <w:spacing w:val="-3"/>
          <w:sz w:val="20"/>
        </w:rPr>
        <w:t>interpreters,</w:t>
      </w:r>
      <w:r>
        <w:rPr>
          <w:spacing w:val="-13"/>
          <w:sz w:val="20"/>
        </w:rPr>
        <w:t> </w:t>
      </w:r>
      <w:r>
        <w:rPr>
          <w:sz w:val="20"/>
        </w:rPr>
        <w:t>their</w:t>
      </w:r>
      <w:r>
        <w:rPr>
          <w:spacing w:val="-13"/>
          <w:sz w:val="20"/>
        </w:rPr>
        <w:t> </w:t>
      </w:r>
      <w:r>
        <w:rPr>
          <w:sz w:val="20"/>
        </w:rPr>
        <w:t>professional</w:t>
      </w:r>
      <w:r>
        <w:rPr>
          <w:spacing w:val="-13"/>
          <w:sz w:val="20"/>
        </w:rPr>
        <w:t> </w:t>
      </w:r>
      <w:r>
        <w:rPr>
          <w:sz w:val="20"/>
        </w:rPr>
        <w:t>qualifications</w:t>
      </w:r>
      <w:r>
        <w:rPr>
          <w:spacing w:val="-13"/>
          <w:sz w:val="20"/>
        </w:rPr>
        <w:t> </w:t>
      </w:r>
      <w:r>
        <w:rPr>
          <w:sz w:val="20"/>
        </w:rPr>
        <w:t>and obligations of</w:t>
      </w:r>
      <w:r>
        <w:rPr>
          <w:spacing w:val="-10"/>
          <w:sz w:val="20"/>
        </w:rPr>
        <w:t> </w:t>
      </w:r>
      <w:r>
        <w:rPr>
          <w:sz w:val="20"/>
        </w:rPr>
        <w:t>confidentiality.</w:t>
      </w:r>
    </w:p>
    <w:p>
      <w:pPr>
        <w:pStyle w:val="ListParagraph"/>
        <w:numPr>
          <w:ilvl w:val="2"/>
          <w:numId w:val="12"/>
        </w:numPr>
        <w:tabs>
          <w:tab w:pos="2157" w:val="left" w:leader="none"/>
          <w:tab w:pos="2158" w:val="left" w:leader="none"/>
        </w:tabs>
        <w:spacing w:line="206" w:lineRule="auto" w:before="87" w:after="0"/>
        <w:ind w:left="2157" w:right="1318" w:hanging="396"/>
        <w:jc w:val="left"/>
        <w:rPr>
          <w:sz w:val="20"/>
        </w:rPr>
      </w:pPr>
      <w:r>
        <w:rPr>
          <w:sz w:val="20"/>
        </w:rPr>
        <w:t>Their</w:t>
      </w:r>
      <w:r>
        <w:rPr>
          <w:spacing w:val="-9"/>
          <w:sz w:val="20"/>
        </w:rPr>
        <w:t> </w:t>
      </w:r>
      <w:r>
        <w:rPr>
          <w:spacing w:val="-3"/>
          <w:sz w:val="20"/>
        </w:rPr>
        <w:t>role,</w:t>
      </w:r>
      <w:r>
        <w:rPr>
          <w:spacing w:val="-9"/>
          <w:sz w:val="20"/>
        </w:rPr>
        <w:t> </w:t>
      </w:r>
      <w:r>
        <w:rPr>
          <w:sz w:val="20"/>
        </w:rPr>
        <w:t>which</w:t>
      </w:r>
      <w:r>
        <w:rPr>
          <w:spacing w:val="-8"/>
          <w:sz w:val="20"/>
        </w:rPr>
        <w:t> </w:t>
      </w:r>
      <w:r>
        <w:rPr>
          <w:spacing w:val="-3"/>
          <w:sz w:val="20"/>
        </w:rPr>
        <w:t>would</w:t>
      </w:r>
      <w:r>
        <w:rPr>
          <w:spacing w:val="-9"/>
          <w:sz w:val="20"/>
        </w:rPr>
        <w:t> </w:t>
      </w:r>
      <w:r>
        <w:rPr>
          <w:sz w:val="20"/>
        </w:rPr>
        <w:t>be</w:t>
      </w:r>
      <w:r>
        <w:rPr>
          <w:spacing w:val="-9"/>
          <w:sz w:val="20"/>
        </w:rPr>
        <w:t> </w:t>
      </w:r>
      <w:r>
        <w:rPr>
          <w:sz w:val="20"/>
        </w:rPr>
        <w:t>to</w:t>
      </w:r>
      <w:r>
        <w:rPr>
          <w:spacing w:val="-8"/>
          <w:sz w:val="20"/>
        </w:rPr>
        <w:t> </w:t>
      </w:r>
      <w:r>
        <w:rPr>
          <w:spacing w:val="-3"/>
          <w:sz w:val="20"/>
        </w:rPr>
        <w:t>interpret</w:t>
      </w:r>
      <w:r>
        <w:rPr>
          <w:spacing w:val="-9"/>
          <w:sz w:val="20"/>
        </w:rPr>
        <w:t> </w:t>
      </w:r>
      <w:r>
        <w:rPr>
          <w:spacing w:val="-3"/>
          <w:sz w:val="20"/>
        </w:rPr>
        <w:t>faithfully</w:t>
      </w:r>
      <w:r>
        <w:rPr>
          <w:spacing w:val="-8"/>
          <w:sz w:val="20"/>
        </w:rPr>
        <w:t> </w:t>
      </w:r>
      <w:r>
        <w:rPr>
          <w:sz w:val="20"/>
        </w:rPr>
        <w:t>and</w:t>
      </w:r>
      <w:r>
        <w:rPr>
          <w:spacing w:val="-9"/>
          <w:sz w:val="20"/>
        </w:rPr>
        <w:t> </w:t>
      </w:r>
      <w:r>
        <w:rPr>
          <w:sz w:val="20"/>
        </w:rPr>
        <w:t>impartially</w:t>
      </w:r>
      <w:r>
        <w:rPr>
          <w:spacing w:val="-9"/>
          <w:sz w:val="20"/>
        </w:rPr>
        <w:t> </w:t>
      </w:r>
      <w:r>
        <w:rPr>
          <w:sz w:val="20"/>
        </w:rPr>
        <w:t>everything</w:t>
      </w:r>
      <w:r>
        <w:rPr>
          <w:spacing w:val="-8"/>
          <w:sz w:val="20"/>
        </w:rPr>
        <w:t> </w:t>
      </w:r>
      <w:r>
        <w:rPr>
          <w:sz w:val="20"/>
        </w:rPr>
        <w:t>in</w:t>
      </w:r>
      <w:r>
        <w:rPr>
          <w:spacing w:val="-9"/>
          <w:sz w:val="20"/>
        </w:rPr>
        <w:t> </w:t>
      </w:r>
      <w:r>
        <w:rPr>
          <w:sz w:val="20"/>
        </w:rPr>
        <w:t>court during</w:t>
      </w:r>
      <w:r>
        <w:rPr>
          <w:spacing w:val="-7"/>
          <w:sz w:val="20"/>
        </w:rPr>
        <w:t> </w:t>
      </w:r>
      <w:r>
        <w:rPr>
          <w:sz w:val="20"/>
        </w:rPr>
        <w:t>the</w:t>
      </w:r>
      <w:r>
        <w:rPr>
          <w:spacing w:val="-7"/>
          <w:sz w:val="20"/>
        </w:rPr>
        <w:t> </w:t>
      </w:r>
      <w:r>
        <w:rPr>
          <w:sz w:val="20"/>
        </w:rPr>
        <w:t>trial</w:t>
      </w:r>
      <w:r>
        <w:rPr>
          <w:spacing w:val="-7"/>
          <w:sz w:val="20"/>
        </w:rPr>
        <w:t> </w:t>
      </w:r>
      <w:r>
        <w:rPr>
          <w:sz w:val="20"/>
        </w:rPr>
        <w:t>and</w:t>
      </w:r>
      <w:r>
        <w:rPr>
          <w:spacing w:val="-7"/>
          <w:sz w:val="20"/>
        </w:rPr>
        <w:t> </w:t>
      </w:r>
      <w:r>
        <w:rPr>
          <w:sz w:val="20"/>
        </w:rPr>
        <w:t>in</w:t>
      </w:r>
      <w:r>
        <w:rPr>
          <w:spacing w:val="-7"/>
          <w:sz w:val="20"/>
        </w:rPr>
        <w:t> </w:t>
      </w:r>
      <w:r>
        <w:rPr>
          <w:sz w:val="20"/>
        </w:rPr>
        <w:t>the</w:t>
      </w:r>
      <w:r>
        <w:rPr>
          <w:spacing w:val="-7"/>
          <w:sz w:val="20"/>
        </w:rPr>
        <w:t> </w:t>
      </w:r>
      <w:r>
        <w:rPr>
          <w:sz w:val="20"/>
        </w:rPr>
        <w:t>deliberation</w:t>
      </w:r>
      <w:r>
        <w:rPr>
          <w:spacing w:val="-7"/>
          <w:sz w:val="20"/>
        </w:rPr>
        <w:t> </w:t>
      </w:r>
      <w:r>
        <w:rPr>
          <w:sz w:val="20"/>
        </w:rPr>
        <w:t>room</w:t>
      </w:r>
      <w:r>
        <w:rPr>
          <w:spacing w:val="-7"/>
          <w:sz w:val="20"/>
        </w:rPr>
        <w:t> </w:t>
      </w:r>
      <w:r>
        <w:rPr>
          <w:sz w:val="20"/>
        </w:rPr>
        <w:t>during</w:t>
      </w:r>
      <w:r>
        <w:rPr>
          <w:spacing w:val="-7"/>
          <w:sz w:val="20"/>
        </w:rPr>
        <w:t> </w:t>
      </w:r>
      <w:r>
        <w:rPr>
          <w:sz w:val="20"/>
        </w:rPr>
        <w:t>the</w:t>
      </w:r>
      <w:r>
        <w:rPr>
          <w:spacing w:val="-7"/>
          <w:sz w:val="20"/>
        </w:rPr>
        <w:t> </w:t>
      </w:r>
      <w:r>
        <w:rPr>
          <w:sz w:val="20"/>
        </w:rPr>
        <w:t>jury</w:t>
      </w:r>
      <w:r>
        <w:rPr>
          <w:spacing w:val="-7"/>
          <w:sz w:val="20"/>
        </w:rPr>
        <w:t> </w:t>
      </w:r>
      <w:r>
        <w:rPr>
          <w:sz w:val="20"/>
        </w:rPr>
        <w:t>deliberation.</w:t>
      </w:r>
    </w:p>
    <w:p>
      <w:pPr>
        <w:pStyle w:val="ListParagraph"/>
        <w:numPr>
          <w:ilvl w:val="2"/>
          <w:numId w:val="12"/>
        </w:numPr>
        <w:tabs>
          <w:tab w:pos="2157" w:val="left" w:leader="none"/>
          <w:tab w:pos="2158" w:val="left" w:leader="none"/>
        </w:tabs>
        <w:spacing w:line="206" w:lineRule="auto" w:before="88" w:after="0"/>
        <w:ind w:left="2157" w:right="1410" w:hanging="396"/>
        <w:jc w:val="left"/>
        <w:rPr>
          <w:sz w:val="20"/>
        </w:rPr>
      </w:pPr>
      <w:r>
        <w:rPr>
          <w:spacing w:val="-3"/>
          <w:sz w:val="20"/>
        </w:rPr>
        <w:t>How</w:t>
      </w:r>
      <w:r>
        <w:rPr>
          <w:spacing w:val="-10"/>
          <w:sz w:val="20"/>
        </w:rPr>
        <w:t> </w:t>
      </w:r>
      <w:r>
        <w:rPr>
          <w:spacing w:val="-2"/>
          <w:sz w:val="20"/>
        </w:rPr>
        <w:t>everyone</w:t>
      </w:r>
      <w:r>
        <w:rPr>
          <w:spacing w:val="-10"/>
          <w:sz w:val="20"/>
        </w:rPr>
        <w:t> </w:t>
      </w:r>
      <w:r>
        <w:rPr>
          <w:sz w:val="20"/>
        </w:rPr>
        <w:t>should</w:t>
      </w:r>
      <w:r>
        <w:rPr>
          <w:spacing w:val="-10"/>
          <w:sz w:val="20"/>
        </w:rPr>
        <w:t> </w:t>
      </w:r>
      <w:r>
        <w:rPr>
          <w:sz w:val="20"/>
        </w:rPr>
        <w:t>address</w:t>
      </w:r>
      <w:r>
        <w:rPr>
          <w:spacing w:val="-10"/>
          <w:sz w:val="20"/>
        </w:rPr>
        <w:t> </w:t>
      </w:r>
      <w:r>
        <w:rPr>
          <w:sz w:val="20"/>
        </w:rPr>
        <w:t>questions</w:t>
      </w:r>
      <w:r>
        <w:rPr>
          <w:spacing w:val="-9"/>
          <w:sz w:val="20"/>
        </w:rPr>
        <w:t> </w:t>
      </w:r>
      <w:r>
        <w:rPr>
          <w:sz w:val="20"/>
        </w:rPr>
        <w:t>and</w:t>
      </w:r>
      <w:r>
        <w:rPr>
          <w:spacing w:val="-10"/>
          <w:sz w:val="20"/>
        </w:rPr>
        <w:t> </w:t>
      </w:r>
      <w:r>
        <w:rPr>
          <w:sz w:val="20"/>
        </w:rPr>
        <w:t>remarks</w:t>
      </w:r>
      <w:r>
        <w:rPr>
          <w:spacing w:val="-10"/>
          <w:sz w:val="20"/>
        </w:rPr>
        <w:t> </w:t>
      </w:r>
      <w:r>
        <w:rPr>
          <w:spacing w:val="-3"/>
          <w:sz w:val="20"/>
        </w:rPr>
        <w:t>directly</w:t>
      </w:r>
      <w:r>
        <w:rPr>
          <w:spacing w:val="-10"/>
          <w:sz w:val="20"/>
        </w:rPr>
        <w:t> </w:t>
      </w:r>
      <w:r>
        <w:rPr>
          <w:sz w:val="20"/>
        </w:rPr>
        <w:t>to</w:t>
      </w:r>
      <w:r>
        <w:rPr>
          <w:spacing w:val="-9"/>
          <w:sz w:val="20"/>
        </w:rPr>
        <w:t> </w:t>
      </w:r>
      <w:r>
        <w:rPr>
          <w:sz w:val="20"/>
        </w:rPr>
        <w:t>the</w:t>
      </w:r>
      <w:r>
        <w:rPr>
          <w:spacing w:val="-10"/>
          <w:sz w:val="20"/>
        </w:rPr>
        <w:t> </w:t>
      </w:r>
      <w:r>
        <w:rPr>
          <w:sz w:val="20"/>
        </w:rPr>
        <w:t>person</w:t>
      </w:r>
      <w:r>
        <w:rPr>
          <w:spacing w:val="-10"/>
          <w:sz w:val="20"/>
        </w:rPr>
        <w:t> </w:t>
      </w:r>
      <w:r>
        <w:rPr>
          <w:sz w:val="20"/>
        </w:rPr>
        <w:t>they </w:t>
      </w:r>
      <w:r>
        <w:rPr>
          <w:spacing w:val="-3"/>
          <w:sz w:val="20"/>
        </w:rPr>
        <w:t>are </w:t>
      </w:r>
      <w:r>
        <w:rPr>
          <w:sz w:val="20"/>
        </w:rPr>
        <w:t>speaking </w:t>
      </w:r>
      <w:r>
        <w:rPr>
          <w:spacing w:val="-3"/>
          <w:sz w:val="20"/>
        </w:rPr>
        <w:t>to, </w:t>
      </w:r>
      <w:r>
        <w:rPr>
          <w:sz w:val="20"/>
        </w:rPr>
        <w:t>including deaf jurors, rather than to the </w:t>
      </w:r>
      <w:r>
        <w:rPr>
          <w:spacing w:val="-3"/>
          <w:sz w:val="20"/>
        </w:rPr>
        <w:t>interpreters </w:t>
      </w:r>
      <w:r>
        <w:rPr>
          <w:sz w:val="20"/>
        </w:rPr>
        <w:t>who </w:t>
      </w:r>
      <w:r>
        <w:rPr>
          <w:spacing w:val="-3"/>
          <w:sz w:val="20"/>
        </w:rPr>
        <w:t>would interpret </w:t>
      </w:r>
      <w:r>
        <w:rPr>
          <w:sz w:val="20"/>
        </w:rPr>
        <w:t>what was</w:t>
      </w:r>
      <w:r>
        <w:rPr>
          <w:spacing w:val="-10"/>
          <w:sz w:val="20"/>
        </w:rPr>
        <w:t> </w:t>
      </w:r>
      <w:r>
        <w:rPr>
          <w:sz w:val="20"/>
        </w:rPr>
        <w:t>said.</w:t>
      </w:r>
    </w:p>
    <w:p>
      <w:pPr>
        <w:pStyle w:val="ListParagraph"/>
        <w:numPr>
          <w:ilvl w:val="2"/>
          <w:numId w:val="12"/>
        </w:numPr>
        <w:tabs>
          <w:tab w:pos="2157" w:val="left" w:leader="none"/>
          <w:tab w:pos="2158" w:val="left" w:leader="none"/>
        </w:tabs>
        <w:spacing w:line="206" w:lineRule="auto" w:before="89" w:after="0"/>
        <w:ind w:left="2157" w:right="1693" w:hanging="396"/>
        <w:jc w:val="left"/>
        <w:rPr>
          <w:sz w:val="20"/>
        </w:rPr>
      </w:pPr>
      <w:r>
        <w:rPr>
          <w:sz w:val="20"/>
        </w:rPr>
        <w:t>The</w:t>
      </w:r>
      <w:r>
        <w:rPr>
          <w:spacing w:val="-8"/>
          <w:sz w:val="20"/>
        </w:rPr>
        <w:t> </w:t>
      </w:r>
      <w:r>
        <w:rPr>
          <w:sz w:val="20"/>
        </w:rPr>
        <w:t>complexity</w:t>
      </w:r>
      <w:r>
        <w:rPr>
          <w:spacing w:val="-8"/>
          <w:sz w:val="20"/>
        </w:rPr>
        <w:t> </w:t>
      </w:r>
      <w:r>
        <w:rPr>
          <w:sz w:val="20"/>
        </w:rPr>
        <w:t>of</w:t>
      </w:r>
      <w:r>
        <w:rPr>
          <w:spacing w:val="-7"/>
          <w:sz w:val="20"/>
        </w:rPr>
        <w:t> </w:t>
      </w:r>
      <w:r>
        <w:rPr>
          <w:spacing w:val="-3"/>
          <w:sz w:val="20"/>
        </w:rPr>
        <w:t>interpreting</w:t>
      </w:r>
      <w:r>
        <w:rPr>
          <w:spacing w:val="-8"/>
          <w:sz w:val="20"/>
        </w:rPr>
        <w:t> </w:t>
      </w:r>
      <w:r>
        <w:rPr>
          <w:sz w:val="20"/>
        </w:rPr>
        <w:t>and</w:t>
      </w:r>
      <w:r>
        <w:rPr>
          <w:spacing w:val="-7"/>
          <w:sz w:val="20"/>
        </w:rPr>
        <w:t> </w:t>
      </w:r>
      <w:r>
        <w:rPr>
          <w:sz w:val="20"/>
        </w:rPr>
        <w:t>that</w:t>
      </w:r>
      <w:r>
        <w:rPr>
          <w:spacing w:val="-8"/>
          <w:sz w:val="20"/>
        </w:rPr>
        <w:t> </w:t>
      </w:r>
      <w:r>
        <w:rPr>
          <w:spacing w:val="-3"/>
          <w:sz w:val="20"/>
        </w:rPr>
        <w:t>interpreting</w:t>
      </w:r>
      <w:r>
        <w:rPr>
          <w:spacing w:val="-7"/>
          <w:sz w:val="20"/>
        </w:rPr>
        <w:t> </w:t>
      </w:r>
      <w:r>
        <w:rPr>
          <w:spacing w:val="-3"/>
          <w:sz w:val="20"/>
        </w:rPr>
        <w:t>accurately</w:t>
      </w:r>
      <w:r>
        <w:rPr>
          <w:spacing w:val="-8"/>
          <w:sz w:val="20"/>
        </w:rPr>
        <w:t> </w:t>
      </w:r>
      <w:r>
        <w:rPr>
          <w:sz w:val="20"/>
        </w:rPr>
        <w:t>does</w:t>
      </w:r>
      <w:r>
        <w:rPr>
          <w:spacing w:val="-7"/>
          <w:sz w:val="20"/>
        </w:rPr>
        <w:t> </w:t>
      </w:r>
      <w:r>
        <w:rPr>
          <w:sz w:val="20"/>
        </w:rPr>
        <w:t>not</w:t>
      </w:r>
      <w:r>
        <w:rPr>
          <w:spacing w:val="-8"/>
          <w:sz w:val="20"/>
        </w:rPr>
        <w:t> </w:t>
      </w:r>
      <w:r>
        <w:rPr>
          <w:sz w:val="20"/>
        </w:rPr>
        <w:t>mean </w:t>
      </w:r>
      <w:r>
        <w:rPr>
          <w:spacing w:val="-3"/>
          <w:sz w:val="20"/>
        </w:rPr>
        <w:t>interpreting </w:t>
      </w:r>
      <w:r>
        <w:rPr>
          <w:spacing w:val="-5"/>
          <w:sz w:val="20"/>
        </w:rPr>
        <w:t>word-for-word </w:t>
      </w:r>
      <w:r>
        <w:rPr>
          <w:sz w:val="20"/>
        </w:rPr>
        <w:t>or</w:t>
      </w:r>
      <w:r>
        <w:rPr>
          <w:spacing w:val="-4"/>
          <w:sz w:val="20"/>
        </w:rPr>
        <w:t> literally.</w:t>
      </w:r>
    </w:p>
    <w:p>
      <w:pPr>
        <w:pStyle w:val="ListParagraph"/>
        <w:numPr>
          <w:ilvl w:val="2"/>
          <w:numId w:val="12"/>
        </w:numPr>
        <w:tabs>
          <w:tab w:pos="2157" w:val="left" w:leader="none"/>
          <w:tab w:pos="2158" w:val="left" w:leader="none"/>
        </w:tabs>
        <w:spacing w:line="206" w:lineRule="auto" w:before="87" w:after="0"/>
        <w:ind w:left="2157" w:right="1368" w:hanging="396"/>
        <w:jc w:val="left"/>
        <w:rPr>
          <w:sz w:val="20"/>
        </w:rPr>
      </w:pPr>
      <w:r>
        <w:rPr>
          <w:sz w:val="20"/>
        </w:rPr>
        <w:t>That</w:t>
      </w:r>
      <w:r>
        <w:rPr>
          <w:spacing w:val="-10"/>
          <w:sz w:val="20"/>
        </w:rPr>
        <w:t> </w:t>
      </w:r>
      <w:r>
        <w:rPr>
          <w:sz w:val="20"/>
        </w:rPr>
        <w:t>if</w:t>
      </w:r>
      <w:r>
        <w:rPr>
          <w:spacing w:val="-10"/>
          <w:sz w:val="20"/>
        </w:rPr>
        <w:t> </w:t>
      </w:r>
      <w:r>
        <w:rPr>
          <w:sz w:val="20"/>
        </w:rPr>
        <w:t>the</w:t>
      </w:r>
      <w:r>
        <w:rPr>
          <w:spacing w:val="-9"/>
          <w:sz w:val="20"/>
        </w:rPr>
        <w:t> </w:t>
      </w:r>
      <w:r>
        <w:rPr>
          <w:spacing w:val="-3"/>
          <w:sz w:val="20"/>
        </w:rPr>
        <w:t>interpreters</w:t>
      </w:r>
      <w:r>
        <w:rPr>
          <w:spacing w:val="-10"/>
          <w:sz w:val="20"/>
        </w:rPr>
        <w:t> </w:t>
      </w:r>
      <w:r>
        <w:rPr>
          <w:spacing w:val="-3"/>
          <w:sz w:val="20"/>
        </w:rPr>
        <w:t>required</w:t>
      </w:r>
      <w:r>
        <w:rPr>
          <w:spacing w:val="-9"/>
          <w:sz w:val="20"/>
        </w:rPr>
        <w:t> </w:t>
      </w:r>
      <w:r>
        <w:rPr>
          <w:sz w:val="20"/>
        </w:rPr>
        <w:t>clarification</w:t>
      </w:r>
      <w:r>
        <w:rPr>
          <w:spacing w:val="-10"/>
          <w:sz w:val="20"/>
        </w:rPr>
        <w:t> </w:t>
      </w:r>
      <w:r>
        <w:rPr>
          <w:sz w:val="20"/>
        </w:rPr>
        <w:t>of</w:t>
      </w:r>
      <w:r>
        <w:rPr>
          <w:spacing w:val="-9"/>
          <w:sz w:val="20"/>
        </w:rPr>
        <w:t> </w:t>
      </w:r>
      <w:r>
        <w:rPr>
          <w:sz w:val="20"/>
        </w:rPr>
        <w:t>concepts</w:t>
      </w:r>
      <w:r>
        <w:rPr>
          <w:spacing w:val="-10"/>
          <w:sz w:val="20"/>
        </w:rPr>
        <w:t> </w:t>
      </w:r>
      <w:r>
        <w:rPr>
          <w:sz w:val="20"/>
        </w:rPr>
        <w:t>or</w:t>
      </w:r>
      <w:r>
        <w:rPr>
          <w:spacing w:val="-9"/>
          <w:sz w:val="20"/>
        </w:rPr>
        <w:t> </w:t>
      </w:r>
      <w:r>
        <w:rPr>
          <w:sz w:val="20"/>
        </w:rPr>
        <w:t>to</w:t>
      </w:r>
      <w:r>
        <w:rPr>
          <w:spacing w:val="-10"/>
          <w:sz w:val="20"/>
        </w:rPr>
        <w:t> </w:t>
      </w:r>
      <w:r>
        <w:rPr>
          <w:sz w:val="20"/>
        </w:rPr>
        <w:t>explain</w:t>
      </w:r>
      <w:r>
        <w:rPr>
          <w:spacing w:val="-9"/>
          <w:sz w:val="20"/>
        </w:rPr>
        <w:t> </w:t>
      </w:r>
      <w:r>
        <w:rPr>
          <w:sz w:val="20"/>
        </w:rPr>
        <w:t>a</w:t>
      </w:r>
      <w:r>
        <w:rPr>
          <w:spacing w:val="-10"/>
          <w:sz w:val="20"/>
        </w:rPr>
        <w:t> </w:t>
      </w:r>
      <w:r>
        <w:rPr>
          <w:sz w:val="20"/>
        </w:rPr>
        <w:t>translation </w:t>
      </w:r>
      <w:r>
        <w:rPr>
          <w:spacing w:val="-3"/>
          <w:sz w:val="20"/>
        </w:rPr>
        <w:t>difficulty,</w:t>
      </w:r>
      <w:r>
        <w:rPr>
          <w:spacing w:val="-7"/>
          <w:sz w:val="20"/>
        </w:rPr>
        <w:t> </w:t>
      </w:r>
      <w:r>
        <w:rPr>
          <w:sz w:val="20"/>
        </w:rPr>
        <w:t>they</w:t>
      </w:r>
      <w:r>
        <w:rPr>
          <w:spacing w:val="-7"/>
          <w:sz w:val="20"/>
        </w:rPr>
        <w:t> </w:t>
      </w:r>
      <w:r>
        <w:rPr>
          <w:spacing w:val="-3"/>
          <w:sz w:val="20"/>
        </w:rPr>
        <w:t>would</w:t>
      </w:r>
      <w:r>
        <w:rPr>
          <w:spacing w:val="-6"/>
          <w:sz w:val="20"/>
        </w:rPr>
        <w:t> </w:t>
      </w:r>
      <w:r>
        <w:rPr>
          <w:sz w:val="20"/>
        </w:rPr>
        <w:t>seek</w:t>
      </w:r>
      <w:r>
        <w:rPr>
          <w:spacing w:val="-7"/>
          <w:sz w:val="20"/>
        </w:rPr>
        <w:t> </w:t>
      </w:r>
      <w:r>
        <w:rPr>
          <w:sz w:val="20"/>
        </w:rPr>
        <w:t>permission</w:t>
      </w:r>
      <w:r>
        <w:rPr>
          <w:spacing w:val="-6"/>
          <w:sz w:val="20"/>
        </w:rPr>
        <w:t> </w:t>
      </w:r>
      <w:r>
        <w:rPr>
          <w:sz w:val="20"/>
        </w:rPr>
        <w:t>of</w:t>
      </w:r>
      <w:r>
        <w:rPr>
          <w:spacing w:val="-7"/>
          <w:sz w:val="20"/>
        </w:rPr>
        <w:t> </w:t>
      </w:r>
      <w:r>
        <w:rPr>
          <w:sz w:val="20"/>
        </w:rPr>
        <w:t>the</w:t>
      </w:r>
      <w:r>
        <w:rPr>
          <w:spacing w:val="-6"/>
          <w:sz w:val="20"/>
        </w:rPr>
        <w:t> </w:t>
      </w:r>
      <w:r>
        <w:rPr>
          <w:sz w:val="20"/>
        </w:rPr>
        <w:t>judge</w:t>
      </w:r>
      <w:r>
        <w:rPr>
          <w:spacing w:val="-7"/>
          <w:sz w:val="20"/>
        </w:rPr>
        <w:t> </w:t>
      </w:r>
      <w:r>
        <w:rPr>
          <w:spacing w:val="-3"/>
          <w:sz w:val="20"/>
        </w:rPr>
        <w:t>by</w:t>
      </w:r>
      <w:r>
        <w:rPr>
          <w:spacing w:val="-7"/>
          <w:sz w:val="20"/>
        </w:rPr>
        <w:t> </w:t>
      </w:r>
      <w:r>
        <w:rPr>
          <w:sz w:val="20"/>
        </w:rPr>
        <w:t>raising</w:t>
      </w:r>
      <w:r>
        <w:rPr>
          <w:spacing w:val="-6"/>
          <w:sz w:val="20"/>
        </w:rPr>
        <w:t> </w:t>
      </w:r>
      <w:r>
        <w:rPr>
          <w:sz w:val="20"/>
        </w:rPr>
        <w:t>their</w:t>
      </w:r>
      <w:r>
        <w:rPr>
          <w:spacing w:val="-7"/>
          <w:sz w:val="20"/>
        </w:rPr>
        <w:t> </w:t>
      </w:r>
      <w:r>
        <w:rPr>
          <w:sz w:val="20"/>
        </w:rPr>
        <w:t>hand.</w:t>
      </w:r>
    </w:p>
    <w:p>
      <w:pPr>
        <w:pStyle w:val="ListParagraph"/>
        <w:numPr>
          <w:ilvl w:val="2"/>
          <w:numId w:val="12"/>
        </w:numPr>
        <w:tabs>
          <w:tab w:pos="2157" w:val="left" w:leader="none"/>
          <w:tab w:pos="2158" w:val="left" w:leader="none"/>
        </w:tabs>
        <w:spacing w:line="259" w:lineRule="exact" w:before="56" w:after="0"/>
        <w:ind w:left="2157" w:right="0" w:hanging="396"/>
        <w:jc w:val="left"/>
        <w:rPr>
          <w:sz w:val="20"/>
        </w:rPr>
      </w:pPr>
      <w:r>
        <w:rPr>
          <w:sz w:val="20"/>
        </w:rPr>
        <w:t>That</w:t>
      </w:r>
      <w:r>
        <w:rPr>
          <w:spacing w:val="-7"/>
          <w:sz w:val="20"/>
        </w:rPr>
        <w:t> </w:t>
      </w:r>
      <w:r>
        <w:rPr>
          <w:sz w:val="20"/>
        </w:rPr>
        <w:t>the</w:t>
      </w:r>
      <w:r>
        <w:rPr>
          <w:spacing w:val="-6"/>
          <w:sz w:val="20"/>
        </w:rPr>
        <w:t> </w:t>
      </w:r>
      <w:r>
        <w:rPr>
          <w:sz w:val="20"/>
        </w:rPr>
        <w:t>deaf</w:t>
      </w:r>
      <w:r>
        <w:rPr>
          <w:spacing w:val="-6"/>
          <w:sz w:val="20"/>
        </w:rPr>
        <w:t> </w:t>
      </w:r>
      <w:r>
        <w:rPr>
          <w:sz w:val="20"/>
        </w:rPr>
        <w:t>jurors</w:t>
      </w:r>
      <w:r>
        <w:rPr>
          <w:spacing w:val="-6"/>
          <w:sz w:val="20"/>
        </w:rPr>
        <w:t> </w:t>
      </w:r>
      <w:r>
        <w:rPr>
          <w:sz w:val="20"/>
        </w:rPr>
        <w:t>could</w:t>
      </w:r>
      <w:r>
        <w:rPr>
          <w:spacing w:val="-6"/>
          <w:sz w:val="20"/>
        </w:rPr>
        <w:t> </w:t>
      </w:r>
      <w:r>
        <w:rPr>
          <w:sz w:val="20"/>
        </w:rPr>
        <w:t>ask</w:t>
      </w:r>
      <w:r>
        <w:rPr>
          <w:spacing w:val="-6"/>
          <w:sz w:val="20"/>
        </w:rPr>
        <w:t> </w:t>
      </w:r>
      <w:r>
        <w:rPr>
          <w:sz w:val="20"/>
        </w:rPr>
        <w:t>for</w:t>
      </w:r>
      <w:r>
        <w:rPr>
          <w:spacing w:val="-6"/>
          <w:sz w:val="20"/>
        </w:rPr>
        <w:t> </w:t>
      </w:r>
      <w:r>
        <w:rPr>
          <w:sz w:val="20"/>
        </w:rPr>
        <w:t>clarifications</w:t>
      </w:r>
      <w:r>
        <w:rPr>
          <w:spacing w:val="-6"/>
          <w:sz w:val="20"/>
        </w:rPr>
        <w:t> </w:t>
      </w:r>
      <w:r>
        <w:rPr>
          <w:sz w:val="20"/>
        </w:rPr>
        <w:t>through</w:t>
      </w:r>
      <w:r>
        <w:rPr>
          <w:spacing w:val="-6"/>
          <w:sz w:val="20"/>
        </w:rPr>
        <w:t> </w:t>
      </w:r>
      <w:r>
        <w:rPr>
          <w:sz w:val="20"/>
        </w:rPr>
        <w:t>the</w:t>
      </w:r>
      <w:r>
        <w:rPr>
          <w:spacing w:val="-6"/>
          <w:sz w:val="20"/>
        </w:rPr>
        <w:t> </w:t>
      </w:r>
      <w:r>
        <w:rPr>
          <w:spacing w:val="-3"/>
          <w:sz w:val="20"/>
        </w:rPr>
        <w:t>interpreters</w:t>
      </w:r>
      <w:r>
        <w:rPr>
          <w:spacing w:val="-6"/>
          <w:sz w:val="20"/>
        </w:rPr>
        <w:t> </w:t>
      </w:r>
      <w:r>
        <w:rPr>
          <w:spacing w:val="-3"/>
          <w:sz w:val="20"/>
        </w:rPr>
        <w:t>by</w:t>
      </w:r>
      <w:r>
        <w:rPr>
          <w:spacing w:val="-6"/>
          <w:sz w:val="20"/>
        </w:rPr>
        <w:t> </w:t>
      </w:r>
      <w:r>
        <w:rPr>
          <w:sz w:val="20"/>
        </w:rPr>
        <w:t>raising</w:t>
      </w:r>
    </w:p>
    <w:p>
      <w:pPr>
        <w:pStyle w:val="BodyText"/>
        <w:spacing w:line="259" w:lineRule="exact"/>
        <w:ind w:left="2157"/>
      </w:pPr>
      <w:r>
        <w:rPr/>
        <w:t>their hand.</w:t>
      </w:r>
    </w:p>
    <w:p>
      <w:pPr>
        <w:pStyle w:val="BodyText"/>
      </w:pPr>
    </w:p>
    <w:p>
      <w:pPr>
        <w:pStyle w:val="BodyText"/>
        <w:spacing w:before="1"/>
        <w:rPr>
          <w:sz w:val="27"/>
        </w:rPr>
      </w:pPr>
      <w:r>
        <w:rPr/>
        <w:pict>
          <v:line style="position:absolute;mso-position-horizontal-relative:page;mso-position-vertical-relative:paragraph;z-index:7592;mso-wrap-distance-left:0;mso-wrap-distance-right:0" from="79.370102pt,21.268208pt" to="515.905102pt,21.268208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93"/>
        </w:numPr>
        <w:tabs>
          <w:tab w:pos="1760" w:val="left" w:leader="none"/>
          <w:tab w:pos="1762" w:val="left" w:leader="none"/>
        </w:tabs>
        <w:spacing w:line="170" w:lineRule="exact" w:before="21" w:after="0"/>
        <w:ind w:left="1761" w:right="0" w:hanging="794"/>
        <w:jc w:val="left"/>
        <w:rPr>
          <w:sz w:val="13"/>
        </w:rPr>
      </w:pPr>
      <w:r>
        <w:rPr>
          <w:spacing w:val="2"/>
          <w:sz w:val="13"/>
        </w:rPr>
        <w:t>Submission </w:t>
      </w:r>
      <w:r>
        <w:rPr>
          <w:sz w:val="13"/>
        </w:rPr>
        <w:t>11 (Supreme </w:t>
      </w:r>
      <w:r>
        <w:rPr>
          <w:spacing w:val="2"/>
          <w:sz w:val="13"/>
        </w:rPr>
        <w:t>Court </w:t>
      </w:r>
      <w:r>
        <w:rPr>
          <w:sz w:val="13"/>
        </w:rPr>
        <w:t>of</w:t>
      </w:r>
      <w:r>
        <w:rPr>
          <w:spacing w:val="-3"/>
          <w:sz w:val="13"/>
        </w:rPr>
        <w:t> </w:t>
      </w:r>
      <w:r>
        <w:rPr>
          <w:sz w:val="13"/>
        </w:rPr>
        <w:t>Victoria).</w:t>
      </w:r>
    </w:p>
    <w:p>
      <w:pPr>
        <w:pStyle w:val="ListParagraph"/>
        <w:numPr>
          <w:ilvl w:val="0"/>
          <w:numId w:val="93"/>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93"/>
        </w:numPr>
        <w:tabs>
          <w:tab w:pos="1761" w:val="left" w:leader="none"/>
          <w:tab w:pos="1762" w:val="left" w:leader="none"/>
        </w:tabs>
        <w:spacing w:line="160" w:lineRule="exact" w:before="0" w:after="0"/>
        <w:ind w:left="1761" w:right="0" w:hanging="794"/>
        <w:jc w:val="left"/>
        <w:rPr>
          <w:i/>
          <w:sz w:val="13"/>
        </w:rPr>
      </w:pPr>
      <w:r>
        <w:rPr>
          <w:sz w:val="13"/>
        </w:rPr>
        <w:t>Judicial</w:t>
      </w:r>
      <w:r>
        <w:rPr>
          <w:spacing w:val="4"/>
          <w:sz w:val="13"/>
        </w:rPr>
        <w:t> </w:t>
      </w:r>
      <w:r>
        <w:rPr>
          <w:sz w:val="13"/>
        </w:rPr>
        <w:t>Council</w:t>
      </w:r>
      <w:r>
        <w:rPr>
          <w:spacing w:val="5"/>
          <w:sz w:val="13"/>
        </w:rPr>
        <w:t> </w:t>
      </w:r>
      <w:r>
        <w:rPr>
          <w:sz w:val="13"/>
        </w:rPr>
        <w:t>on</w:t>
      </w:r>
      <w:r>
        <w:rPr>
          <w:spacing w:val="5"/>
          <w:sz w:val="13"/>
        </w:rPr>
        <w:t> </w:t>
      </w:r>
      <w:r>
        <w:rPr>
          <w:sz w:val="13"/>
        </w:rPr>
        <w:t>Cultural</w:t>
      </w:r>
      <w:r>
        <w:rPr>
          <w:spacing w:val="5"/>
          <w:sz w:val="13"/>
        </w:rPr>
        <w:t> </w:t>
      </w:r>
      <w:r>
        <w:rPr>
          <w:sz w:val="13"/>
        </w:rPr>
        <w:t>Diversity,</w:t>
      </w:r>
      <w:r>
        <w:rPr>
          <w:spacing w:val="5"/>
          <w:sz w:val="13"/>
        </w:rPr>
        <w:t> </w:t>
      </w:r>
      <w:r>
        <w:rPr>
          <w:i/>
          <w:spacing w:val="2"/>
          <w:sz w:val="13"/>
        </w:rPr>
        <w:t>Recommended</w:t>
      </w:r>
      <w:r>
        <w:rPr>
          <w:i/>
          <w:spacing w:val="5"/>
          <w:sz w:val="13"/>
        </w:rPr>
        <w:t> </w:t>
      </w:r>
      <w:r>
        <w:rPr>
          <w:i/>
          <w:sz w:val="13"/>
        </w:rPr>
        <w:t>National</w:t>
      </w:r>
      <w:r>
        <w:rPr>
          <w:i/>
          <w:spacing w:val="5"/>
          <w:sz w:val="13"/>
        </w:rPr>
        <w:t> </w:t>
      </w:r>
      <w:r>
        <w:rPr>
          <w:i/>
          <w:sz w:val="13"/>
        </w:rPr>
        <w:t>Standards</w:t>
      </w:r>
      <w:r>
        <w:rPr>
          <w:i/>
          <w:spacing w:val="5"/>
          <w:sz w:val="13"/>
        </w:rPr>
        <w:t> </w:t>
      </w:r>
      <w:r>
        <w:rPr>
          <w:i/>
          <w:sz w:val="13"/>
        </w:rPr>
        <w:t>for</w:t>
      </w:r>
      <w:r>
        <w:rPr>
          <w:i/>
          <w:spacing w:val="3"/>
          <w:sz w:val="13"/>
        </w:rPr>
        <w:t> </w:t>
      </w:r>
      <w:r>
        <w:rPr>
          <w:i/>
          <w:sz w:val="13"/>
        </w:rPr>
        <w:t>Working</w:t>
      </w:r>
      <w:r>
        <w:rPr>
          <w:i/>
          <w:spacing w:val="5"/>
          <w:sz w:val="13"/>
        </w:rPr>
        <w:t> </w:t>
      </w:r>
      <w:r>
        <w:rPr>
          <w:i/>
          <w:sz w:val="13"/>
        </w:rPr>
        <w:t>with</w:t>
      </w:r>
      <w:r>
        <w:rPr>
          <w:i/>
          <w:spacing w:val="5"/>
          <w:sz w:val="13"/>
        </w:rPr>
        <w:t> </w:t>
      </w:r>
      <w:r>
        <w:rPr>
          <w:i/>
          <w:sz w:val="13"/>
        </w:rPr>
        <w:t>Interpreters</w:t>
      </w:r>
      <w:r>
        <w:rPr>
          <w:i/>
          <w:spacing w:val="5"/>
          <w:sz w:val="13"/>
        </w:rPr>
        <w:t> </w:t>
      </w:r>
      <w:r>
        <w:rPr>
          <w:i/>
          <w:sz w:val="13"/>
        </w:rPr>
        <w:t>in</w:t>
      </w:r>
      <w:r>
        <w:rPr>
          <w:i/>
          <w:spacing w:val="4"/>
          <w:sz w:val="13"/>
        </w:rPr>
        <w:t> </w:t>
      </w:r>
      <w:r>
        <w:rPr>
          <w:i/>
          <w:spacing w:val="2"/>
          <w:sz w:val="13"/>
        </w:rPr>
        <w:t>Courts</w:t>
      </w:r>
      <w:r>
        <w:rPr>
          <w:i/>
          <w:spacing w:val="4"/>
          <w:sz w:val="13"/>
        </w:rPr>
        <w:t> </w:t>
      </w:r>
      <w:r>
        <w:rPr>
          <w:i/>
          <w:sz w:val="13"/>
        </w:rPr>
        <w:t>and</w:t>
      </w:r>
      <w:r>
        <w:rPr>
          <w:i/>
          <w:spacing w:val="5"/>
          <w:sz w:val="13"/>
        </w:rPr>
        <w:t> </w:t>
      </w:r>
      <w:r>
        <w:rPr>
          <w:i/>
          <w:sz w:val="13"/>
        </w:rPr>
        <w:t>Tribunals</w:t>
      </w:r>
    </w:p>
    <w:p>
      <w:pPr>
        <w:spacing w:line="160" w:lineRule="exact" w:before="0"/>
        <w:ind w:left="1761" w:right="0" w:firstLine="0"/>
        <w:jc w:val="left"/>
        <w:rPr>
          <w:sz w:val="13"/>
        </w:rPr>
      </w:pPr>
      <w:r>
        <w:rPr>
          <w:sz w:val="13"/>
        </w:rPr>
        <w:t>(Report, Second Edition, March 2022).</w:t>
      </w:r>
    </w:p>
    <w:p>
      <w:pPr>
        <w:pStyle w:val="ListParagraph"/>
        <w:numPr>
          <w:ilvl w:val="0"/>
          <w:numId w:val="93"/>
        </w:numPr>
        <w:tabs>
          <w:tab w:pos="1760" w:val="left" w:leader="none"/>
          <w:tab w:pos="1762" w:val="left" w:leader="none"/>
        </w:tabs>
        <w:spacing w:line="213" w:lineRule="auto" w:before="7" w:after="0"/>
        <w:ind w:left="1761" w:right="0" w:hanging="794"/>
        <w:jc w:val="both"/>
        <w:rPr>
          <w:sz w:val="13"/>
        </w:rPr>
      </w:pPr>
      <w:r>
        <w:rPr>
          <w:sz w:val="13"/>
        </w:rPr>
        <w:t>Information provided by </w:t>
      </w:r>
      <w:r>
        <w:rPr>
          <w:spacing w:val="2"/>
          <w:sz w:val="13"/>
        </w:rPr>
        <w:t>Sandra </w:t>
      </w:r>
      <w:r>
        <w:rPr>
          <w:sz w:val="13"/>
        </w:rPr>
        <w:t>Hale to Victorian Law Reform </w:t>
      </w:r>
      <w:r>
        <w:rPr>
          <w:spacing w:val="2"/>
          <w:sz w:val="13"/>
        </w:rPr>
        <w:t>Commission, </w:t>
      </w:r>
      <w:r>
        <w:rPr>
          <w:sz w:val="13"/>
        </w:rPr>
        <w:t>25 February 2021; </w:t>
      </w:r>
      <w:r>
        <w:rPr>
          <w:spacing w:val="2"/>
          <w:sz w:val="13"/>
        </w:rPr>
        <w:t>Sandra </w:t>
      </w:r>
      <w:r>
        <w:rPr>
          <w:sz w:val="13"/>
        </w:rPr>
        <w:t>Hale et </w:t>
      </w:r>
      <w:r>
        <w:rPr>
          <w:spacing w:val="2"/>
          <w:sz w:val="13"/>
        </w:rPr>
        <w:t>al, </w:t>
      </w:r>
      <w:r>
        <w:rPr>
          <w:i/>
          <w:sz w:val="13"/>
        </w:rPr>
        <w:t>Participation in </w:t>
      </w:r>
      <w:r>
        <w:rPr>
          <w:i/>
          <w:sz w:val="13"/>
        </w:rPr>
        <w:t>the Administration of Justice: Deaf Citizens as Jurors </w:t>
      </w:r>
      <w:r>
        <w:rPr>
          <w:spacing w:val="2"/>
          <w:sz w:val="13"/>
        </w:rPr>
        <w:t>(Australian </w:t>
      </w:r>
      <w:r>
        <w:rPr>
          <w:sz w:val="13"/>
        </w:rPr>
        <w:t>Research Council Linkage Project No 120200261, 2016): </w:t>
      </w:r>
      <w:r>
        <w:rPr>
          <w:spacing w:val="2"/>
          <w:sz w:val="13"/>
        </w:rPr>
        <w:t>Extracts </w:t>
      </w:r>
      <w:r>
        <w:rPr>
          <w:sz w:val="13"/>
        </w:rPr>
        <w:t>from </w:t>
      </w:r>
      <w:r>
        <w:rPr>
          <w:spacing w:val="2"/>
          <w:sz w:val="13"/>
        </w:rPr>
        <w:t>‘Briefing </w:t>
      </w:r>
      <w:r>
        <w:rPr>
          <w:sz w:val="13"/>
        </w:rPr>
        <w:t>for Judge’ for mock </w:t>
      </w:r>
      <w:r>
        <w:rPr>
          <w:spacing w:val="2"/>
          <w:sz w:val="13"/>
        </w:rPr>
        <w:t>trial, </w:t>
      </w:r>
      <w:r>
        <w:rPr>
          <w:sz w:val="13"/>
        </w:rPr>
        <w:t>held 16–17 July</w:t>
      </w:r>
      <w:r>
        <w:rPr>
          <w:spacing w:val="-2"/>
          <w:sz w:val="13"/>
        </w:rPr>
        <w:t> </w:t>
      </w:r>
      <w:r>
        <w:rPr>
          <w:spacing w:val="3"/>
          <w:sz w:val="13"/>
        </w:rPr>
        <w:t>2014.</w:t>
      </w:r>
    </w:p>
    <w:p>
      <w:pPr>
        <w:pStyle w:val="BodyText"/>
        <w:rPr>
          <w:sz w:val="28"/>
        </w:rPr>
      </w:pPr>
      <w:r>
        <w:rPr/>
        <w:br w:type="column"/>
      </w:r>
      <w:r>
        <w:rPr>
          <w:sz w:val="28"/>
        </w:rPr>
      </w:r>
    </w:p>
    <w:p>
      <w:pPr>
        <w:pStyle w:val="BodyText"/>
        <w:spacing w:before="7"/>
        <w:rPr>
          <w:sz w:val="33"/>
        </w:rPr>
      </w:pPr>
    </w:p>
    <w:p>
      <w:pPr>
        <w:spacing w:before="1"/>
        <w:ind w:left="707" w:right="0" w:firstLine="0"/>
        <w:jc w:val="left"/>
        <w:rPr>
          <w:b/>
          <w:sz w:val="24"/>
        </w:rPr>
      </w:pPr>
      <w:r>
        <w:rPr>
          <w:b/>
          <w:color w:val="37617A"/>
          <w:sz w:val="24"/>
        </w:rPr>
        <w:t>137</w:t>
      </w:r>
    </w:p>
    <w:p>
      <w:pPr>
        <w:spacing w:after="0"/>
        <w:jc w:val="left"/>
        <w:rPr>
          <w:sz w:val="24"/>
        </w:rPr>
        <w:sectPr>
          <w:type w:val="continuous"/>
          <w:pgSz w:w="11910" w:h="16840"/>
          <w:pgMar w:top="620" w:bottom="280" w:left="620" w:right="380"/>
          <w:cols w:num="2" w:equalWidth="0">
            <w:col w:w="9554" w:space="40"/>
            <w:col w:w="1316"/>
          </w:cols>
        </w:sectPr>
      </w:pPr>
    </w:p>
    <w:p>
      <w:pPr>
        <w:pStyle w:val="BodyText"/>
        <w:rPr>
          <w:b/>
        </w:rPr>
      </w:pPr>
    </w:p>
    <w:p>
      <w:pPr>
        <w:pStyle w:val="BodyText"/>
        <w:rPr>
          <w:b/>
        </w:rPr>
      </w:pPr>
    </w:p>
    <w:p>
      <w:pPr>
        <w:pStyle w:val="BodyText"/>
        <w:rPr>
          <w:b/>
        </w:rPr>
      </w:pPr>
    </w:p>
    <w:p>
      <w:pPr>
        <w:pStyle w:val="BodyText"/>
        <w:spacing w:before="7"/>
        <w:rPr>
          <w:b/>
          <w:sz w:val="16"/>
        </w:rPr>
      </w:pPr>
    </w:p>
    <w:p>
      <w:pPr>
        <w:pStyle w:val="ListParagraph"/>
        <w:numPr>
          <w:ilvl w:val="1"/>
          <w:numId w:val="93"/>
        </w:numPr>
        <w:tabs>
          <w:tab w:pos="2157" w:val="left" w:leader="none"/>
          <w:tab w:pos="2158" w:val="left" w:leader="none"/>
        </w:tabs>
        <w:spacing w:line="240" w:lineRule="auto" w:before="0" w:after="0"/>
        <w:ind w:left="2157" w:right="0" w:hanging="396"/>
        <w:jc w:val="left"/>
        <w:rPr>
          <w:sz w:val="20"/>
        </w:rPr>
      </w:pPr>
      <w:r>
        <w:rPr>
          <w:sz w:val="20"/>
        </w:rPr>
        <w:t>The need for lawyers</w:t>
      </w:r>
      <w:r>
        <w:rPr>
          <w:spacing w:val="-17"/>
          <w:sz w:val="20"/>
        </w:rPr>
        <w:t> </w:t>
      </w:r>
      <w:r>
        <w:rPr>
          <w:spacing w:val="-3"/>
          <w:sz w:val="20"/>
        </w:rPr>
        <w:t>to:</w:t>
      </w:r>
    </w:p>
    <w:p>
      <w:pPr>
        <w:pStyle w:val="ListParagraph"/>
        <w:numPr>
          <w:ilvl w:val="2"/>
          <w:numId w:val="93"/>
        </w:numPr>
        <w:tabs>
          <w:tab w:pos="2497" w:val="left" w:leader="none"/>
          <w:tab w:pos="2499" w:val="left" w:leader="none"/>
        </w:tabs>
        <w:spacing w:line="240" w:lineRule="auto" w:before="47" w:after="0"/>
        <w:ind w:left="2498" w:right="0" w:hanging="397"/>
        <w:jc w:val="left"/>
        <w:rPr>
          <w:sz w:val="20"/>
        </w:rPr>
      </w:pPr>
      <w:r>
        <w:rPr>
          <w:sz w:val="20"/>
        </w:rPr>
        <w:t>phrase questions clearly and ask one question at a</w:t>
      </w:r>
      <w:r>
        <w:rPr>
          <w:spacing w:val="-8"/>
          <w:sz w:val="20"/>
        </w:rPr>
        <w:t> </w:t>
      </w:r>
      <w:r>
        <w:rPr>
          <w:sz w:val="20"/>
        </w:rPr>
        <w:t>time</w:t>
      </w:r>
    </w:p>
    <w:p>
      <w:pPr>
        <w:pStyle w:val="ListParagraph"/>
        <w:numPr>
          <w:ilvl w:val="2"/>
          <w:numId w:val="93"/>
        </w:numPr>
        <w:tabs>
          <w:tab w:pos="2497" w:val="left" w:leader="none"/>
          <w:tab w:pos="2499" w:val="left" w:leader="none"/>
        </w:tabs>
        <w:spacing w:line="240" w:lineRule="auto" w:before="48" w:after="0"/>
        <w:ind w:left="2498" w:right="0" w:hanging="397"/>
        <w:jc w:val="left"/>
        <w:rPr>
          <w:sz w:val="20"/>
        </w:rPr>
      </w:pPr>
      <w:r>
        <w:rPr>
          <w:sz w:val="20"/>
        </w:rPr>
        <w:t>avoid colloquialisms, puns, jokes and overly technical</w:t>
      </w:r>
      <w:r>
        <w:rPr>
          <w:spacing w:val="-17"/>
          <w:sz w:val="20"/>
        </w:rPr>
        <w:t> </w:t>
      </w:r>
      <w:r>
        <w:rPr>
          <w:sz w:val="20"/>
        </w:rPr>
        <w:t>language</w:t>
      </w:r>
    </w:p>
    <w:p>
      <w:pPr>
        <w:pStyle w:val="ListParagraph"/>
        <w:numPr>
          <w:ilvl w:val="2"/>
          <w:numId w:val="93"/>
        </w:numPr>
        <w:tabs>
          <w:tab w:pos="2497" w:val="left" w:leader="none"/>
          <w:tab w:pos="2499" w:val="left" w:leader="none"/>
        </w:tabs>
        <w:spacing w:line="206" w:lineRule="auto" w:before="79" w:after="0"/>
        <w:ind w:left="2498" w:right="1370" w:hanging="397"/>
        <w:jc w:val="left"/>
        <w:rPr>
          <w:sz w:val="20"/>
        </w:rPr>
      </w:pPr>
      <w:r>
        <w:rPr>
          <w:sz w:val="20"/>
        </w:rPr>
        <w:t>give</w:t>
      </w:r>
      <w:r>
        <w:rPr>
          <w:spacing w:val="-3"/>
          <w:sz w:val="20"/>
        </w:rPr>
        <w:t> </w:t>
      </w:r>
      <w:r>
        <w:rPr>
          <w:sz w:val="20"/>
        </w:rPr>
        <w:t>copies</w:t>
      </w:r>
      <w:r>
        <w:rPr>
          <w:spacing w:val="-3"/>
          <w:sz w:val="20"/>
        </w:rPr>
        <w:t> </w:t>
      </w:r>
      <w:r>
        <w:rPr>
          <w:sz w:val="20"/>
        </w:rPr>
        <w:t>of</w:t>
      </w:r>
      <w:r>
        <w:rPr>
          <w:spacing w:val="-11"/>
          <w:sz w:val="20"/>
        </w:rPr>
        <w:t> </w:t>
      </w:r>
      <w:r>
        <w:rPr>
          <w:sz w:val="20"/>
        </w:rPr>
        <w:t>written</w:t>
      </w:r>
      <w:r>
        <w:rPr>
          <w:spacing w:val="-3"/>
          <w:sz w:val="20"/>
        </w:rPr>
        <w:t> </w:t>
      </w:r>
      <w:r>
        <w:rPr>
          <w:sz w:val="20"/>
        </w:rPr>
        <w:t>materials</w:t>
      </w:r>
      <w:r>
        <w:rPr>
          <w:spacing w:val="-3"/>
          <w:sz w:val="20"/>
        </w:rPr>
        <w:t> </w:t>
      </w:r>
      <w:r>
        <w:rPr>
          <w:sz w:val="20"/>
        </w:rPr>
        <w:t>they</w:t>
      </w:r>
      <w:r>
        <w:rPr>
          <w:spacing w:val="-8"/>
          <w:sz w:val="20"/>
        </w:rPr>
        <w:t> </w:t>
      </w:r>
      <w:r>
        <w:rPr>
          <w:sz w:val="20"/>
        </w:rPr>
        <w:t>planned</w:t>
      </w:r>
      <w:r>
        <w:rPr>
          <w:spacing w:val="-3"/>
          <w:sz w:val="20"/>
        </w:rPr>
        <w:t> </w:t>
      </w:r>
      <w:r>
        <w:rPr>
          <w:sz w:val="20"/>
        </w:rPr>
        <w:t>to</w:t>
      </w:r>
      <w:r>
        <w:rPr>
          <w:spacing w:val="-3"/>
          <w:sz w:val="20"/>
        </w:rPr>
        <w:t> </w:t>
      </w:r>
      <w:r>
        <w:rPr>
          <w:sz w:val="20"/>
        </w:rPr>
        <w:t>read</w:t>
      </w:r>
      <w:r>
        <w:rPr>
          <w:spacing w:val="-2"/>
          <w:sz w:val="20"/>
        </w:rPr>
        <w:t> </w:t>
      </w:r>
      <w:r>
        <w:rPr>
          <w:sz w:val="20"/>
        </w:rPr>
        <w:t>from</w:t>
      </w:r>
      <w:r>
        <w:rPr>
          <w:spacing w:val="-3"/>
          <w:sz w:val="20"/>
        </w:rPr>
        <w:t> </w:t>
      </w:r>
      <w:r>
        <w:rPr>
          <w:sz w:val="20"/>
        </w:rPr>
        <w:t>to</w:t>
      </w:r>
      <w:r>
        <w:rPr>
          <w:spacing w:val="-3"/>
          <w:sz w:val="20"/>
        </w:rPr>
        <w:t> </w:t>
      </w:r>
      <w:r>
        <w:rPr>
          <w:sz w:val="20"/>
        </w:rPr>
        <w:t>the</w:t>
      </w:r>
      <w:r>
        <w:rPr>
          <w:spacing w:val="-3"/>
          <w:sz w:val="20"/>
        </w:rPr>
        <w:t> </w:t>
      </w:r>
      <w:r>
        <w:rPr>
          <w:sz w:val="20"/>
        </w:rPr>
        <w:t>interpreters because it is challenging to interpret what someone else is reading aloud without the benefit of the</w:t>
      </w:r>
      <w:r>
        <w:rPr>
          <w:spacing w:val="-6"/>
          <w:sz w:val="20"/>
        </w:rPr>
        <w:t> </w:t>
      </w:r>
      <w:r>
        <w:rPr>
          <w:sz w:val="20"/>
        </w:rPr>
        <w:t>text.</w:t>
      </w:r>
    </w:p>
    <w:p>
      <w:pPr>
        <w:pStyle w:val="ListParagraph"/>
        <w:numPr>
          <w:ilvl w:val="1"/>
          <w:numId w:val="93"/>
        </w:numPr>
        <w:tabs>
          <w:tab w:pos="2157" w:val="left" w:leader="none"/>
          <w:tab w:pos="2158" w:val="left" w:leader="none"/>
        </w:tabs>
        <w:spacing w:line="206" w:lineRule="auto" w:before="89" w:after="0"/>
        <w:ind w:left="2157" w:right="1108" w:hanging="396"/>
        <w:jc w:val="left"/>
        <w:rPr>
          <w:sz w:val="20"/>
        </w:rPr>
      </w:pPr>
      <w:r>
        <w:rPr>
          <w:sz w:val="20"/>
        </w:rPr>
        <w:t>When</w:t>
      </w:r>
      <w:r>
        <w:rPr>
          <w:spacing w:val="-9"/>
          <w:sz w:val="20"/>
        </w:rPr>
        <w:t> </w:t>
      </w:r>
      <w:r>
        <w:rPr>
          <w:sz w:val="20"/>
        </w:rPr>
        <w:t>the</w:t>
      </w:r>
      <w:r>
        <w:rPr>
          <w:spacing w:val="-8"/>
          <w:sz w:val="20"/>
        </w:rPr>
        <w:t> </w:t>
      </w:r>
      <w:r>
        <w:rPr>
          <w:spacing w:val="-3"/>
          <w:sz w:val="20"/>
        </w:rPr>
        <w:t>interpreters</w:t>
      </w:r>
      <w:r>
        <w:rPr>
          <w:spacing w:val="-8"/>
          <w:sz w:val="20"/>
        </w:rPr>
        <w:t> </w:t>
      </w:r>
      <w:r>
        <w:rPr>
          <w:spacing w:val="-3"/>
          <w:sz w:val="20"/>
        </w:rPr>
        <w:t>would</w:t>
      </w:r>
      <w:r>
        <w:rPr>
          <w:spacing w:val="-8"/>
          <w:sz w:val="20"/>
        </w:rPr>
        <w:t> </w:t>
      </w:r>
      <w:r>
        <w:rPr>
          <w:sz w:val="20"/>
        </w:rPr>
        <w:t>take</w:t>
      </w:r>
      <w:r>
        <w:rPr>
          <w:spacing w:val="-9"/>
          <w:sz w:val="20"/>
        </w:rPr>
        <w:t> </w:t>
      </w:r>
      <w:r>
        <w:rPr>
          <w:sz w:val="20"/>
        </w:rPr>
        <w:t>breaks,</w:t>
      </w:r>
      <w:r>
        <w:rPr>
          <w:spacing w:val="-8"/>
          <w:sz w:val="20"/>
        </w:rPr>
        <w:t> </w:t>
      </w:r>
      <w:r>
        <w:rPr>
          <w:sz w:val="20"/>
        </w:rPr>
        <w:t>where</w:t>
      </w:r>
      <w:r>
        <w:rPr>
          <w:spacing w:val="-8"/>
          <w:sz w:val="20"/>
        </w:rPr>
        <w:t> </w:t>
      </w:r>
      <w:r>
        <w:rPr>
          <w:sz w:val="20"/>
        </w:rPr>
        <w:t>they</w:t>
      </w:r>
      <w:r>
        <w:rPr>
          <w:spacing w:val="-9"/>
          <w:sz w:val="20"/>
        </w:rPr>
        <w:t> </w:t>
      </w:r>
      <w:r>
        <w:rPr>
          <w:spacing w:val="-3"/>
          <w:sz w:val="20"/>
        </w:rPr>
        <w:t>would</w:t>
      </w:r>
      <w:r>
        <w:rPr>
          <w:spacing w:val="-8"/>
          <w:sz w:val="20"/>
        </w:rPr>
        <w:t> </w:t>
      </w:r>
      <w:r>
        <w:rPr>
          <w:sz w:val="20"/>
        </w:rPr>
        <w:t>sit,</w:t>
      </w:r>
      <w:r>
        <w:rPr>
          <w:spacing w:val="-8"/>
          <w:sz w:val="20"/>
        </w:rPr>
        <w:t> </w:t>
      </w:r>
      <w:r>
        <w:rPr>
          <w:sz w:val="20"/>
        </w:rPr>
        <w:t>and</w:t>
      </w:r>
      <w:r>
        <w:rPr>
          <w:spacing w:val="-8"/>
          <w:sz w:val="20"/>
        </w:rPr>
        <w:t> </w:t>
      </w:r>
      <w:r>
        <w:rPr>
          <w:spacing w:val="-3"/>
          <w:sz w:val="20"/>
        </w:rPr>
        <w:t>how</w:t>
      </w:r>
      <w:r>
        <w:rPr>
          <w:spacing w:val="-9"/>
          <w:sz w:val="20"/>
        </w:rPr>
        <w:t> </w:t>
      </w:r>
      <w:r>
        <w:rPr>
          <w:sz w:val="20"/>
        </w:rPr>
        <w:t>they</w:t>
      </w:r>
      <w:r>
        <w:rPr>
          <w:spacing w:val="-8"/>
          <w:sz w:val="20"/>
        </w:rPr>
        <w:t> </w:t>
      </w:r>
      <w:r>
        <w:rPr>
          <w:spacing w:val="-3"/>
          <w:sz w:val="20"/>
        </w:rPr>
        <w:t>would </w:t>
      </w:r>
      <w:r>
        <w:rPr>
          <w:sz w:val="20"/>
        </w:rPr>
        <w:t>take turns </w:t>
      </w:r>
      <w:r>
        <w:rPr>
          <w:spacing w:val="-3"/>
          <w:sz w:val="20"/>
        </w:rPr>
        <w:t>interpreting </w:t>
      </w:r>
      <w:r>
        <w:rPr>
          <w:sz w:val="20"/>
        </w:rPr>
        <w:t>every twenty</w:t>
      </w:r>
      <w:r>
        <w:rPr>
          <w:spacing w:val="-20"/>
          <w:sz w:val="20"/>
        </w:rPr>
        <w:t> </w:t>
      </w:r>
      <w:r>
        <w:rPr>
          <w:sz w:val="20"/>
        </w:rPr>
        <w:t>minutes.</w:t>
      </w:r>
    </w:p>
    <w:p>
      <w:pPr>
        <w:pStyle w:val="ListParagraph"/>
        <w:numPr>
          <w:ilvl w:val="1"/>
          <w:numId w:val="12"/>
        </w:numPr>
        <w:tabs>
          <w:tab w:pos="1761" w:val="left" w:leader="none"/>
          <w:tab w:pos="1762" w:val="left" w:leader="none"/>
        </w:tabs>
        <w:spacing w:line="206" w:lineRule="auto" w:before="88" w:after="0"/>
        <w:ind w:left="1761" w:right="1262" w:hanging="794"/>
        <w:jc w:val="left"/>
        <w:rPr>
          <w:sz w:val="20"/>
        </w:rPr>
      </w:pPr>
      <w:r>
        <w:rPr>
          <w:sz w:val="20"/>
        </w:rPr>
        <w:t>The Supreme Court also recommended that the court </w:t>
      </w:r>
      <w:r>
        <w:rPr>
          <w:spacing w:val="-3"/>
          <w:sz w:val="20"/>
        </w:rPr>
        <w:t>would </w:t>
      </w:r>
      <w:r>
        <w:rPr>
          <w:sz w:val="20"/>
        </w:rPr>
        <w:t>need to discuss with counsel whether the trial will take longer because of the use of </w:t>
      </w:r>
      <w:r>
        <w:rPr>
          <w:spacing w:val="-3"/>
          <w:sz w:val="20"/>
        </w:rPr>
        <w:t>interpreters. </w:t>
      </w:r>
      <w:r>
        <w:rPr>
          <w:sz w:val="20"/>
        </w:rPr>
        <w:t>If the additional time is significant ‘the Court </w:t>
      </w:r>
      <w:r>
        <w:rPr>
          <w:spacing w:val="-3"/>
          <w:sz w:val="20"/>
        </w:rPr>
        <w:t>may </w:t>
      </w:r>
      <w:r>
        <w:rPr>
          <w:sz w:val="20"/>
        </w:rPr>
        <w:t>need to </w:t>
      </w:r>
      <w:r>
        <w:rPr>
          <w:spacing w:val="-3"/>
          <w:sz w:val="20"/>
        </w:rPr>
        <w:t>[subsequently] </w:t>
      </w:r>
      <w:r>
        <w:rPr>
          <w:sz w:val="20"/>
        </w:rPr>
        <w:t>confirm with jurors that</w:t>
      </w:r>
      <w:r>
        <w:rPr>
          <w:spacing w:val="-9"/>
          <w:sz w:val="20"/>
        </w:rPr>
        <w:t> </w:t>
      </w:r>
      <w:r>
        <w:rPr>
          <w:sz w:val="20"/>
        </w:rPr>
        <w:t>there</w:t>
      </w:r>
      <w:r>
        <w:rPr>
          <w:spacing w:val="-9"/>
          <w:sz w:val="20"/>
        </w:rPr>
        <w:t> </w:t>
      </w:r>
      <w:r>
        <w:rPr>
          <w:spacing w:val="-3"/>
          <w:sz w:val="20"/>
        </w:rPr>
        <w:t>are</w:t>
      </w:r>
      <w:r>
        <w:rPr>
          <w:spacing w:val="-9"/>
          <w:sz w:val="20"/>
        </w:rPr>
        <w:t> </w:t>
      </w:r>
      <w:r>
        <w:rPr>
          <w:sz w:val="20"/>
        </w:rPr>
        <w:t>no</w:t>
      </w:r>
      <w:r>
        <w:rPr>
          <w:spacing w:val="-9"/>
          <w:sz w:val="20"/>
        </w:rPr>
        <w:t> </w:t>
      </w:r>
      <w:r>
        <w:rPr>
          <w:sz w:val="20"/>
        </w:rPr>
        <w:t>issues</w:t>
      </w:r>
      <w:r>
        <w:rPr>
          <w:spacing w:val="-9"/>
          <w:sz w:val="20"/>
        </w:rPr>
        <w:t> </w:t>
      </w:r>
      <w:r>
        <w:rPr>
          <w:sz w:val="20"/>
        </w:rPr>
        <w:t>with</w:t>
      </w:r>
      <w:r>
        <w:rPr>
          <w:spacing w:val="-9"/>
          <w:sz w:val="20"/>
        </w:rPr>
        <w:t> </w:t>
      </w:r>
      <w:r>
        <w:rPr>
          <w:sz w:val="20"/>
        </w:rPr>
        <w:t>the</w:t>
      </w:r>
      <w:r>
        <w:rPr>
          <w:spacing w:val="-9"/>
          <w:sz w:val="20"/>
        </w:rPr>
        <w:t> </w:t>
      </w:r>
      <w:r>
        <w:rPr>
          <w:sz w:val="20"/>
        </w:rPr>
        <w:t>new</w:t>
      </w:r>
      <w:r>
        <w:rPr>
          <w:spacing w:val="-9"/>
          <w:sz w:val="20"/>
        </w:rPr>
        <w:t> </w:t>
      </w:r>
      <w:r>
        <w:rPr>
          <w:spacing w:val="-4"/>
          <w:sz w:val="20"/>
        </w:rPr>
        <w:t>estimate’.</w:t>
      </w:r>
      <w:r>
        <w:rPr>
          <w:spacing w:val="-4"/>
          <w:position w:val="7"/>
          <w:sz w:val="11"/>
        </w:rPr>
        <w:t>75</w:t>
      </w:r>
      <w:r>
        <w:rPr>
          <w:spacing w:val="5"/>
          <w:position w:val="7"/>
          <w:sz w:val="11"/>
        </w:rPr>
        <w:t> </w:t>
      </w:r>
      <w:r>
        <w:rPr>
          <w:sz w:val="20"/>
        </w:rPr>
        <w:t>The</w:t>
      </w:r>
      <w:r>
        <w:rPr>
          <w:spacing w:val="-9"/>
          <w:sz w:val="20"/>
        </w:rPr>
        <w:t> </w:t>
      </w:r>
      <w:r>
        <w:rPr>
          <w:sz w:val="20"/>
        </w:rPr>
        <w:t>Commission</w:t>
      </w:r>
      <w:r>
        <w:rPr>
          <w:spacing w:val="-9"/>
          <w:sz w:val="20"/>
        </w:rPr>
        <w:t> </w:t>
      </w:r>
      <w:r>
        <w:rPr>
          <w:sz w:val="20"/>
        </w:rPr>
        <w:t>does</w:t>
      </w:r>
      <w:r>
        <w:rPr>
          <w:spacing w:val="-9"/>
          <w:sz w:val="20"/>
        </w:rPr>
        <w:t> </w:t>
      </w:r>
      <w:r>
        <w:rPr>
          <w:sz w:val="20"/>
        </w:rPr>
        <w:t>not</w:t>
      </w:r>
      <w:r>
        <w:rPr>
          <w:spacing w:val="-9"/>
          <w:sz w:val="20"/>
        </w:rPr>
        <w:t> </w:t>
      </w:r>
      <w:r>
        <w:rPr>
          <w:sz w:val="20"/>
        </w:rPr>
        <w:t>believe</w:t>
      </w:r>
      <w:r>
        <w:rPr>
          <w:spacing w:val="-9"/>
          <w:sz w:val="20"/>
        </w:rPr>
        <w:t> </w:t>
      </w:r>
      <w:r>
        <w:rPr>
          <w:sz w:val="20"/>
        </w:rPr>
        <w:t>that this</w:t>
      </w:r>
      <w:r>
        <w:rPr>
          <w:spacing w:val="-8"/>
          <w:sz w:val="20"/>
        </w:rPr>
        <w:t> </w:t>
      </w:r>
      <w:r>
        <w:rPr>
          <w:spacing w:val="-3"/>
          <w:sz w:val="20"/>
        </w:rPr>
        <w:t>would</w:t>
      </w:r>
      <w:r>
        <w:rPr>
          <w:spacing w:val="-7"/>
          <w:sz w:val="20"/>
        </w:rPr>
        <w:t> </w:t>
      </w:r>
      <w:r>
        <w:rPr>
          <w:sz w:val="20"/>
        </w:rPr>
        <w:t>be</w:t>
      </w:r>
      <w:r>
        <w:rPr>
          <w:spacing w:val="-7"/>
          <w:sz w:val="20"/>
        </w:rPr>
        <w:t> </w:t>
      </w:r>
      <w:r>
        <w:rPr>
          <w:sz w:val="20"/>
        </w:rPr>
        <w:t>the</w:t>
      </w:r>
      <w:r>
        <w:rPr>
          <w:spacing w:val="-7"/>
          <w:sz w:val="20"/>
        </w:rPr>
        <w:t> </w:t>
      </w:r>
      <w:r>
        <w:rPr>
          <w:sz w:val="20"/>
        </w:rPr>
        <w:t>best</w:t>
      </w:r>
      <w:r>
        <w:rPr>
          <w:spacing w:val="-7"/>
          <w:sz w:val="20"/>
        </w:rPr>
        <w:t> </w:t>
      </w:r>
      <w:r>
        <w:rPr>
          <w:sz w:val="20"/>
        </w:rPr>
        <w:t>time</w:t>
      </w:r>
      <w:r>
        <w:rPr>
          <w:spacing w:val="-7"/>
          <w:sz w:val="20"/>
        </w:rPr>
        <w:t> </w:t>
      </w:r>
      <w:r>
        <w:rPr>
          <w:sz w:val="20"/>
        </w:rPr>
        <w:t>to</w:t>
      </w:r>
      <w:r>
        <w:rPr>
          <w:spacing w:val="-7"/>
          <w:sz w:val="20"/>
        </w:rPr>
        <w:t> </w:t>
      </w:r>
      <w:r>
        <w:rPr>
          <w:sz w:val="20"/>
        </w:rPr>
        <w:t>discuss</w:t>
      </w:r>
      <w:r>
        <w:rPr>
          <w:spacing w:val="-7"/>
          <w:sz w:val="20"/>
        </w:rPr>
        <w:t> </w:t>
      </w:r>
      <w:r>
        <w:rPr>
          <w:sz w:val="20"/>
        </w:rPr>
        <w:t>this</w:t>
      </w:r>
      <w:r>
        <w:rPr>
          <w:spacing w:val="-7"/>
          <w:sz w:val="20"/>
        </w:rPr>
        <w:t> </w:t>
      </w:r>
      <w:r>
        <w:rPr>
          <w:sz w:val="20"/>
        </w:rPr>
        <w:t>issue.</w:t>
      </w:r>
      <w:r>
        <w:rPr>
          <w:spacing w:val="-7"/>
          <w:sz w:val="20"/>
        </w:rPr>
        <w:t> </w:t>
      </w:r>
      <w:r>
        <w:rPr>
          <w:sz w:val="20"/>
        </w:rPr>
        <w:t>Instead,</w:t>
      </w:r>
      <w:r>
        <w:rPr>
          <w:spacing w:val="-7"/>
          <w:sz w:val="20"/>
        </w:rPr>
        <w:t> </w:t>
      </w:r>
      <w:r>
        <w:rPr>
          <w:sz w:val="20"/>
        </w:rPr>
        <w:t>it</w:t>
      </w:r>
      <w:r>
        <w:rPr>
          <w:spacing w:val="-7"/>
          <w:sz w:val="20"/>
        </w:rPr>
        <w:t> </w:t>
      </w:r>
      <w:r>
        <w:rPr>
          <w:spacing w:val="-3"/>
          <w:sz w:val="20"/>
        </w:rPr>
        <w:t>would</w:t>
      </w:r>
      <w:r>
        <w:rPr>
          <w:spacing w:val="-7"/>
          <w:sz w:val="20"/>
        </w:rPr>
        <w:t> </w:t>
      </w:r>
      <w:r>
        <w:rPr>
          <w:sz w:val="20"/>
        </w:rPr>
        <w:t>be</w:t>
      </w:r>
      <w:r>
        <w:rPr>
          <w:spacing w:val="-7"/>
          <w:sz w:val="20"/>
        </w:rPr>
        <w:t> </w:t>
      </w:r>
      <w:r>
        <w:rPr>
          <w:spacing w:val="-3"/>
          <w:sz w:val="20"/>
        </w:rPr>
        <w:t>preferable</w:t>
      </w:r>
      <w:r>
        <w:rPr>
          <w:spacing w:val="-7"/>
          <w:sz w:val="20"/>
        </w:rPr>
        <w:t> </w:t>
      </w:r>
      <w:r>
        <w:rPr>
          <w:sz w:val="20"/>
        </w:rPr>
        <w:t>for</w:t>
      </w:r>
      <w:r>
        <w:rPr>
          <w:spacing w:val="-7"/>
          <w:sz w:val="20"/>
        </w:rPr>
        <w:t> </w:t>
      </w:r>
      <w:r>
        <w:rPr>
          <w:sz w:val="20"/>
        </w:rPr>
        <w:t>the trial</w:t>
      </w:r>
      <w:r>
        <w:rPr>
          <w:spacing w:val="-10"/>
          <w:sz w:val="20"/>
        </w:rPr>
        <w:t> </w:t>
      </w:r>
      <w:r>
        <w:rPr>
          <w:sz w:val="20"/>
        </w:rPr>
        <w:t>judge</w:t>
      </w:r>
      <w:r>
        <w:rPr>
          <w:spacing w:val="-10"/>
          <w:sz w:val="20"/>
        </w:rPr>
        <w:t> </w:t>
      </w:r>
      <w:r>
        <w:rPr>
          <w:sz w:val="20"/>
        </w:rPr>
        <w:t>to</w:t>
      </w:r>
      <w:r>
        <w:rPr>
          <w:spacing w:val="-9"/>
          <w:sz w:val="20"/>
        </w:rPr>
        <w:t> </w:t>
      </w:r>
      <w:r>
        <w:rPr>
          <w:sz w:val="20"/>
        </w:rPr>
        <w:t>take</w:t>
      </w:r>
      <w:r>
        <w:rPr>
          <w:spacing w:val="-10"/>
          <w:sz w:val="20"/>
        </w:rPr>
        <w:t> </w:t>
      </w:r>
      <w:r>
        <w:rPr>
          <w:spacing w:val="-3"/>
          <w:sz w:val="20"/>
        </w:rPr>
        <w:t>into</w:t>
      </w:r>
      <w:r>
        <w:rPr>
          <w:spacing w:val="-9"/>
          <w:sz w:val="20"/>
        </w:rPr>
        <w:t> </w:t>
      </w:r>
      <w:r>
        <w:rPr>
          <w:sz w:val="20"/>
        </w:rPr>
        <w:t>account</w:t>
      </w:r>
      <w:r>
        <w:rPr>
          <w:spacing w:val="-10"/>
          <w:sz w:val="20"/>
        </w:rPr>
        <w:t> </w:t>
      </w:r>
      <w:r>
        <w:rPr>
          <w:sz w:val="20"/>
        </w:rPr>
        <w:t>that</w:t>
      </w:r>
      <w:r>
        <w:rPr>
          <w:spacing w:val="-9"/>
          <w:sz w:val="20"/>
        </w:rPr>
        <w:t> </w:t>
      </w:r>
      <w:r>
        <w:rPr>
          <w:sz w:val="20"/>
        </w:rPr>
        <w:t>there</w:t>
      </w:r>
      <w:r>
        <w:rPr>
          <w:spacing w:val="-10"/>
          <w:sz w:val="20"/>
        </w:rPr>
        <w:t> </w:t>
      </w:r>
      <w:r>
        <w:rPr>
          <w:spacing w:val="-3"/>
          <w:sz w:val="20"/>
        </w:rPr>
        <w:t>may</w:t>
      </w:r>
      <w:r>
        <w:rPr>
          <w:spacing w:val="-9"/>
          <w:sz w:val="20"/>
        </w:rPr>
        <w:t> </w:t>
      </w:r>
      <w:r>
        <w:rPr>
          <w:sz w:val="20"/>
        </w:rPr>
        <w:t>be</w:t>
      </w:r>
      <w:r>
        <w:rPr>
          <w:spacing w:val="-10"/>
          <w:sz w:val="20"/>
        </w:rPr>
        <w:t> </w:t>
      </w:r>
      <w:r>
        <w:rPr>
          <w:sz w:val="20"/>
        </w:rPr>
        <w:t>a</w:t>
      </w:r>
      <w:r>
        <w:rPr>
          <w:spacing w:val="-9"/>
          <w:sz w:val="20"/>
        </w:rPr>
        <w:t> </w:t>
      </w:r>
      <w:r>
        <w:rPr>
          <w:sz w:val="20"/>
        </w:rPr>
        <w:t>juror</w:t>
      </w:r>
      <w:r>
        <w:rPr>
          <w:spacing w:val="-10"/>
          <w:sz w:val="20"/>
        </w:rPr>
        <w:t> </w:t>
      </w:r>
      <w:r>
        <w:rPr>
          <w:sz w:val="20"/>
        </w:rPr>
        <w:t>using</w:t>
      </w:r>
      <w:r>
        <w:rPr>
          <w:spacing w:val="-9"/>
          <w:sz w:val="20"/>
        </w:rPr>
        <w:t> </w:t>
      </w:r>
      <w:r>
        <w:rPr>
          <w:sz w:val="20"/>
        </w:rPr>
        <w:t>adjustments</w:t>
      </w:r>
      <w:r>
        <w:rPr>
          <w:spacing w:val="-10"/>
          <w:sz w:val="20"/>
        </w:rPr>
        <w:t> </w:t>
      </w:r>
      <w:r>
        <w:rPr>
          <w:sz w:val="20"/>
        </w:rPr>
        <w:t>on</w:t>
      </w:r>
      <w:r>
        <w:rPr>
          <w:spacing w:val="-9"/>
          <w:sz w:val="20"/>
        </w:rPr>
        <w:t> </w:t>
      </w:r>
      <w:r>
        <w:rPr>
          <w:sz w:val="20"/>
        </w:rPr>
        <w:t>the</w:t>
      </w:r>
      <w:r>
        <w:rPr>
          <w:spacing w:val="-10"/>
          <w:sz w:val="20"/>
        </w:rPr>
        <w:t> </w:t>
      </w:r>
      <w:r>
        <w:rPr>
          <w:sz w:val="20"/>
        </w:rPr>
        <w:t>trial and to </w:t>
      </w:r>
      <w:r>
        <w:rPr>
          <w:spacing w:val="-2"/>
          <w:sz w:val="20"/>
        </w:rPr>
        <w:t>factor </w:t>
      </w:r>
      <w:r>
        <w:rPr>
          <w:sz w:val="20"/>
        </w:rPr>
        <w:t>this </w:t>
      </w:r>
      <w:r>
        <w:rPr>
          <w:spacing w:val="-3"/>
          <w:sz w:val="20"/>
        </w:rPr>
        <w:t>into </w:t>
      </w:r>
      <w:r>
        <w:rPr>
          <w:sz w:val="20"/>
        </w:rPr>
        <w:t>the trial duration estimate that is </w:t>
      </w:r>
      <w:r>
        <w:rPr>
          <w:spacing w:val="-3"/>
          <w:sz w:val="20"/>
        </w:rPr>
        <w:t>provided </w:t>
      </w:r>
      <w:r>
        <w:rPr>
          <w:sz w:val="20"/>
        </w:rPr>
        <w:t>to the panel </w:t>
      </w:r>
      <w:r>
        <w:rPr>
          <w:spacing w:val="-3"/>
          <w:sz w:val="20"/>
        </w:rPr>
        <w:t>before </w:t>
      </w:r>
      <w:r>
        <w:rPr>
          <w:sz w:val="20"/>
        </w:rPr>
        <w:t>empanelment</w:t>
      </w:r>
      <w:r>
        <w:rPr>
          <w:spacing w:val="-5"/>
          <w:sz w:val="20"/>
        </w:rPr>
        <w:t> </w:t>
      </w:r>
      <w:r>
        <w:rPr>
          <w:sz w:val="20"/>
        </w:rPr>
        <w:t>occurs.</w:t>
      </w:r>
    </w:p>
    <w:p>
      <w:pPr>
        <w:pStyle w:val="Heading6"/>
        <w:spacing w:before="134"/>
        <w:rPr>
          <w:b/>
        </w:rPr>
      </w:pPr>
      <w:r>
        <w:rPr>
          <w:b/>
        </w:rPr>
        <w:t>Directions to the court before the trial starts</w:t>
      </w:r>
    </w:p>
    <w:p>
      <w:pPr>
        <w:pStyle w:val="ListParagraph"/>
        <w:numPr>
          <w:ilvl w:val="1"/>
          <w:numId w:val="12"/>
        </w:numPr>
        <w:tabs>
          <w:tab w:pos="1762" w:val="left" w:leader="none"/>
        </w:tabs>
        <w:spacing w:line="206" w:lineRule="auto" w:before="132" w:after="0"/>
        <w:ind w:left="1761" w:right="1184" w:hanging="794"/>
        <w:jc w:val="both"/>
        <w:rPr>
          <w:sz w:val="11"/>
        </w:rPr>
      </w:pPr>
      <w:r>
        <w:rPr>
          <w:sz w:val="20"/>
        </w:rPr>
        <w:t>Some</w:t>
      </w:r>
      <w:r>
        <w:rPr>
          <w:spacing w:val="-7"/>
          <w:sz w:val="20"/>
        </w:rPr>
        <w:t> </w:t>
      </w:r>
      <w:r>
        <w:rPr>
          <w:sz w:val="20"/>
        </w:rPr>
        <w:t>members</w:t>
      </w:r>
      <w:r>
        <w:rPr>
          <w:spacing w:val="-7"/>
          <w:sz w:val="20"/>
        </w:rPr>
        <w:t> </w:t>
      </w:r>
      <w:r>
        <w:rPr>
          <w:sz w:val="20"/>
        </w:rPr>
        <w:t>of</w:t>
      </w:r>
      <w:r>
        <w:rPr>
          <w:spacing w:val="-6"/>
          <w:sz w:val="20"/>
        </w:rPr>
        <w:t> </w:t>
      </w:r>
      <w:r>
        <w:rPr>
          <w:sz w:val="20"/>
        </w:rPr>
        <w:t>the</w:t>
      </w:r>
      <w:r>
        <w:rPr>
          <w:spacing w:val="-7"/>
          <w:sz w:val="20"/>
        </w:rPr>
        <w:t> </w:t>
      </w:r>
      <w:r>
        <w:rPr>
          <w:sz w:val="20"/>
        </w:rPr>
        <w:t>jury</w:t>
      </w:r>
      <w:r>
        <w:rPr>
          <w:spacing w:val="-6"/>
          <w:sz w:val="20"/>
        </w:rPr>
        <w:t> </w:t>
      </w:r>
      <w:r>
        <w:rPr>
          <w:spacing w:val="-3"/>
          <w:sz w:val="20"/>
        </w:rPr>
        <w:t>may</w:t>
      </w:r>
      <w:r>
        <w:rPr>
          <w:spacing w:val="-7"/>
          <w:sz w:val="20"/>
        </w:rPr>
        <w:t> </w:t>
      </w:r>
      <w:r>
        <w:rPr>
          <w:sz w:val="20"/>
        </w:rPr>
        <w:t>not</w:t>
      </w:r>
      <w:r>
        <w:rPr>
          <w:spacing w:val="-6"/>
          <w:sz w:val="20"/>
        </w:rPr>
        <w:t> </w:t>
      </w:r>
      <w:r>
        <w:rPr>
          <w:spacing w:val="-4"/>
          <w:sz w:val="20"/>
        </w:rPr>
        <w:t>have</w:t>
      </w:r>
      <w:r>
        <w:rPr>
          <w:spacing w:val="-7"/>
          <w:sz w:val="20"/>
        </w:rPr>
        <w:t> </w:t>
      </w:r>
      <w:r>
        <w:rPr>
          <w:sz w:val="20"/>
        </w:rPr>
        <w:t>met</w:t>
      </w:r>
      <w:r>
        <w:rPr>
          <w:spacing w:val="-6"/>
          <w:sz w:val="20"/>
        </w:rPr>
        <w:t> </w:t>
      </w:r>
      <w:r>
        <w:rPr>
          <w:sz w:val="20"/>
        </w:rPr>
        <w:t>or</w:t>
      </w:r>
      <w:r>
        <w:rPr>
          <w:spacing w:val="-7"/>
          <w:sz w:val="20"/>
        </w:rPr>
        <w:t> </w:t>
      </w:r>
      <w:r>
        <w:rPr>
          <w:spacing w:val="-3"/>
          <w:sz w:val="20"/>
        </w:rPr>
        <w:t>worked</w:t>
      </w:r>
      <w:r>
        <w:rPr>
          <w:spacing w:val="-6"/>
          <w:sz w:val="20"/>
        </w:rPr>
        <w:t> </w:t>
      </w:r>
      <w:r>
        <w:rPr>
          <w:sz w:val="20"/>
        </w:rPr>
        <w:t>with</w:t>
      </w:r>
      <w:r>
        <w:rPr>
          <w:spacing w:val="-7"/>
          <w:sz w:val="20"/>
        </w:rPr>
        <w:t> </w:t>
      </w:r>
      <w:r>
        <w:rPr>
          <w:sz w:val="20"/>
        </w:rPr>
        <w:t>people</w:t>
      </w:r>
      <w:r>
        <w:rPr>
          <w:spacing w:val="-6"/>
          <w:sz w:val="20"/>
        </w:rPr>
        <w:t> </w:t>
      </w:r>
      <w:r>
        <w:rPr>
          <w:sz w:val="20"/>
        </w:rPr>
        <w:t>who</w:t>
      </w:r>
      <w:r>
        <w:rPr>
          <w:spacing w:val="-7"/>
          <w:sz w:val="20"/>
        </w:rPr>
        <w:t> </w:t>
      </w:r>
      <w:r>
        <w:rPr>
          <w:spacing w:val="-3"/>
          <w:sz w:val="20"/>
        </w:rPr>
        <w:t>are</w:t>
      </w:r>
      <w:r>
        <w:rPr>
          <w:spacing w:val="-7"/>
          <w:sz w:val="20"/>
        </w:rPr>
        <w:t> </w:t>
      </w:r>
      <w:r>
        <w:rPr>
          <w:spacing w:val="-4"/>
          <w:sz w:val="20"/>
        </w:rPr>
        <w:t>deaf,</w:t>
      </w:r>
      <w:r>
        <w:rPr>
          <w:spacing w:val="-6"/>
          <w:sz w:val="20"/>
        </w:rPr>
        <w:t> </w:t>
      </w:r>
      <w:r>
        <w:rPr>
          <w:sz w:val="20"/>
        </w:rPr>
        <w:t>hard of</w:t>
      </w:r>
      <w:r>
        <w:rPr>
          <w:spacing w:val="-9"/>
          <w:sz w:val="20"/>
        </w:rPr>
        <w:t> </w:t>
      </w:r>
      <w:r>
        <w:rPr>
          <w:sz w:val="20"/>
        </w:rPr>
        <w:t>hearing,</w:t>
      </w:r>
      <w:r>
        <w:rPr>
          <w:spacing w:val="-8"/>
          <w:sz w:val="20"/>
        </w:rPr>
        <w:t> </w:t>
      </w:r>
      <w:r>
        <w:rPr>
          <w:sz w:val="20"/>
        </w:rPr>
        <w:t>blind</w:t>
      </w:r>
      <w:r>
        <w:rPr>
          <w:spacing w:val="-8"/>
          <w:sz w:val="20"/>
        </w:rPr>
        <w:t> </w:t>
      </w:r>
      <w:r>
        <w:rPr>
          <w:sz w:val="20"/>
        </w:rPr>
        <w:t>or</w:t>
      </w:r>
      <w:r>
        <w:rPr>
          <w:spacing w:val="-8"/>
          <w:sz w:val="20"/>
        </w:rPr>
        <w:t> </w:t>
      </w:r>
      <w:r>
        <w:rPr>
          <w:spacing w:val="-4"/>
          <w:sz w:val="20"/>
        </w:rPr>
        <w:t>have</w:t>
      </w:r>
      <w:r>
        <w:rPr>
          <w:spacing w:val="-8"/>
          <w:sz w:val="20"/>
        </w:rPr>
        <w:t> </w:t>
      </w:r>
      <w:r>
        <w:rPr>
          <w:spacing w:val="-4"/>
          <w:sz w:val="20"/>
        </w:rPr>
        <w:t>low</w:t>
      </w:r>
      <w:r>
        <w:rPr>
          <w:spacing w:val="-8"/>
          <w:sz w:val="20"/>
        </w:rPr>
        <w:t> </w:t>
      </w:r>
      <w:r>
        <w:rPr>
          <w:sz w:val="20"/>
        </w:rPr>
        <w:t>vision</w:t>
      </w:r>
      <w:r>
        <w:rPr>
          <w:spacing w:val="-8"/>
          <w:sz w:val="20"/>
        </w:rPr>
        <w:t> </w:t>
      </w:r>
      <w:r>
        <w:rPr>
          <w:spacing w:val="-3"/>
          <w:sz w:val="20"/>
        </w:rPr>
        <w:t>before.</w:t>
      </w:r>
      <w:r>
        <w:rPr>
          <w:spacing w:val="-8"/>
          <w:sz w:val="20"/>
        </w:rPr>
        <w:t> </w:t>
      </w:r>
      <w:r>
        <w:rPr>
          <w:sz w:val="20"/>
        </w:rPr>
        <w:t>Brent</w:t>
      </w:r>
      <w:r>
        <w:rPr>
          <w:spacing w:val="-8"/>
          <w:sz w:val="20"/>
        </w:rPr>
        <w:t> </w:t>
      </w:r>
      <w:r>
        <w:rPr>
          <w:sz w:val="20"/>
        </w:rPr>
        <w:t>Phillips</w:t>
      </w:r>
      <w:r>
        <w:rPr>
          <w:spacing w:val="-8"/>
          <w:sz w:val="20"/>
        </w:rPr>
        <w:t> </w:t>
      </w:r>
      <w:r>
        <w:rPr>
          <w:sz w:val="20"/>
        </w:rPr>
        <w:t>noted</w:t>
      </w:r>
      <w:r>
        <w:rPr>
          <w:spacing w:val="-8"/>
          <w:sz w:val="20"/>
        </w:rPr>
        <w:t> </w:t>
      </w:r>
      <w:r>
        <w:rPr>
          <w:sz w:val="20"/>
        </w:rPr>
        <w:t>that</w:t>
      </w:r>
      <w:r>
        <w:rPr>
          <w:spacing w:val="-8"/>
          <w:sz w:val="20"/>
        </w:rPr>
        <w:t> </w:t>
      </w:r>
      <w:r>
        <w:rPr>
          <w:sz w:val="20"/>
        </w:rPr>
        <w:t>it</w:t>
      </w:r>
      <w:r>
        <w:rPr>
          <w:spacing w:val="-8"/>
          <w:sz w:val="20"/>
        </w:rPr>
        <w:t> </w:t>
      </w:r>
      <w:r>
        <w:rPr>
          <w:sz w:val="20"/>
        </w:rPr>
        <w:t>is</w:t>
      </w:r>
      <w:r>
        <w:rPr>
          <w:spacing w:val="-8"/>
          <w:sz w:val="20"/>
        </w:rPr>
        <w:t> </w:t>
      </w:r>
      <w:r>
        <w:rPr>
          <w:spacing w:val="-3"/>
          <w:sz w:val="20"/>
        </w:rPr>
        <w:t>probably</w:t>
      </w:r>
      <w:r>
        <w:rPr>
          <w:spacing w:val="-8"/>
          <w:sz w:val="20"/>
        </w:rPr>
        <w:t> </w:t>
      </w:r>
      <w:r>
        <w:rPr>
          <w:sz w:val="20"/>
        </w:rPr>
        <w:t>safe</w:t>
      </w:r>
      <w:r>
        <w:rPr>
          <w:spacing w:val="-8"/>
          <w:sz w:val="20"/>
        </w:rPr>
        <w:t> </w:t>
      </w:r>
      <w:r>
        <w:rPr>
          <w:sz w:val="20"/>
        </w:rPr>
        <w:t>to assume</w:t>
      </w:r>
      <w:r>
        <w:rPr>
          <w:spacing w:val="-6"/>
          <w:sz w:val="20"/>
        </w:rPr>
        <w:t> </w:t>
      </w:r>
      <w:r>
        <w:rPr>
          <w:sz w:val="20"/>
        </w:rPr>
        <w:t>that</w:t>
      </w:r>
      <w:r>
        <w:rPr>
          <w:spacing w:val="-5"/>
          <w:sz w:val="20"/>
        </w:rPr>
        <w:t> </w:t>
      </w:r>
      <w:r>
        <w:rPr>
          <w:sz w:val="20"/>
        </w:rPr>
        <w:t>‘hearing</w:t>
      </w:r>
      <w:r>
        <w:rPr>
          <w:spacing w:val="-6"/>
          <w:sz w:val="20"/>
        </w:rPr>
        <w:t> </w:t>
      </w:r>
      <w:r>
        <w:rPr>
          <w:sz w:val="20"/>
        </w:rPr>
        <w:t>jurors</w:t>
      </w:r>
      <w:r>
        <w:rPr>
          <w:spacing w:val="-5"/>
          <w:sz w:val="20"/>
        </w:rPr>
        <w:t> </w:t>
      </w:r>
      <w:r>
        <w:rPr>
          <w:spacing w:val="-3"/>
          <w:sz w:val="20"/>
        </w:rPr>
        <w:t>are</w:t>
      </w:r>
      <w:r>
        <w:rPr>
          <w:spacing w:val="-6"/>
          <w:sz w:val="20"/>
        </w:rPr>
        <w:t> </w:t>
      </w:r>
      <w:r>
        <w:rPr>
          <w:spacing w:val="-3"/>
          <w:sz w:val="20"/>
        </w:rPr>
        <w:t>unlikely</w:t>
      </w:r>
      <w:r>
        <w:rPr>
          <w:spacing w:val="-5"/>
          <w:sz w:val="20"/>
        </w:rPr>
        <w:t> </w:t>
      </w:r>
      <w:r>
        <w:rPr>
          <w:sz w:val="20"/>
        </w:rPr>
        <w:t>to</w:t>
      </w:r>
      <w:r>
        <w:rPr>
          <w:spacing w:val="-6"/>
          <w:sz w:val="20"/>
        </w:rPr>
        <w:t> </w:t>
      </w:r>
      <w:r>
        <w:rPr>
          <w:sz w:val="20"/>
        </w:rPr>
        <w:t>know</w:t>
      </w:r>
      <w:r>
        <w:rPr>
          <w:spacing w:val="-5"/>
          <w:sz w:val="20"/>
        </w:rPr>
        <w:t> </w:t>
      </w:r>
      <w:r>
        <w:rPr>
          <w:sz w:val="20"/>
        </w:rPr>
        <w:t>about</w:t>
      </w:r>
      <w:r>
        <w:rPr>
          <w:spacing w:val="-6"/>
          <w:sz w:val="20"/>
        </w:rPr>
        <w:t> </w:t>
      </w:r>
      <w:r>
        <w:rPr>
          <w:sz w:val="20"/>
        </w:rPr>
        <w:t>the</w:t>
      </w:r>
      <w:r>
        <w:rPr>
          <w:spacing w:val="-5"/>
          <w:sz w:val="20"/>
        </w:rPr>
        <w:t> </w:t>
      </w:r>
      <w:r>
        <w:rPr>
          <w:spacing w:val="-3"/>
          <w:sz w:val="20"/>
        </w:rPr>
        <w:t>role</w:t>
      </w:r>
      <w:r>
        <w:rPr>
          <w:spacing w:val="-6"/>
          <w:sz w:val="20"/>
        </w:rPr>
        <w:t> </w:t>
      </w:r>
      <w:r>
        <w:rPr>
          <w:sz w:val="20"/>
        </w:rPr>
        <w:t>of</w:t>
      </w:r>
      <w:r>
        <w:rPr>
          <w:spacing w:val="-5"/>
          <w:sz w:val="20"/>
        </w:rPr>
        <w:t> </w:t>
      </w:r>
      <w:r>
        <w:rPr>
          <w:sz w:val="20"/>
        </w:rPr>
        <w:t>an</w:t>
      </w:r>
      <w:r>
        <w:rPr>
          <w:spacing w:val="-6"/>
          <w:sz w:val="20"/>
        </w:rPr>
        <w:t> </w:t>
      </w:r>
      <w:r>
        <w:rPr>
          <w:spacing w:val="-4"/>
          <w:sz w:val="20"/>
        </w:rPr>
        <w:t>interpreter’.</w:t>
      </w:r>
      <w:r>
        <w:rPr>
          <w:spacing w:val="-4"/>
          <w:position w:val="7"/>
          <w:sz w:val="11"/>
        </w:rPr>
        <w:t>76</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The County Court submitted</w:t>
      </w:r>
      <w:r>
        <w:rPr>
          <w:spacing w:val="-17"/>
          <w:sz w:val="20"/>
        </w:rPr>
        <w:t> </w:t>
      </w:r>
      <w:r>
        <w:rPr>
          <w:sz w:val="20"/>
        </w:rPr>
        <w:t>that:</w:t>
      </w:r>
    </w:p>
    <w:p>
      <w:pPr>
        <w:spacing w:line="208" w:lineRule="auto" w:before="112"/>
        <w:ind w:left="2157" w:right="1110" w:firstLine="0"/>
        <w:jc w:val="left"/>
        <w:rPr>
          <w:sz w:val="11"/>
        </w:rPr>
      </w:pPr>
      <w:r>
        <w:rPr>
          <w:sz w:val="19"/>
        </w:rPr>
        <w:t>directions may need to be formulated in order to be provided to the jury at the commencement of trial and before they retire to consider the verdict. The directions could encompass, for example, how the person will be assisted, the role of the person who is assisting, and the prohibition on the supporter engaging with the remainder of the jury.</w:t>
      </w:r>
      <w:r>
        <w:rPr>
          <w:position w:val="6"/>
          <w:sz w:val="11"/>
        </w:rPr>
        <w:t>77</w:t>
      </w:r>
    </w:p>
    <w:p>
      <w:pPr>
        <w:pStyle w:val="ListParagraph"/>
        <w:numPr>
          <w:ilvl w:val="1"/>
          <w:numId w:val="12"/>
        </w:numPr>
        <w:tabs>
          <w:tab w:pos="1761" w:val="left" w:leader="none"/>
          <w:tab w:pos="1762" w:val="left" w:leader="none"/>
        </w:tabs>
        <w:spacing w:line="206" w:lineRule="auto" w:before="125" w:after="0"/>
        <w:ind w:left="1761" w:right="1210" w:hanging="794"/>
        <w:jc w:val="left"/>
        <w:rPr>
          <w:sz w:val="11"/>
        </w:rPr>
      </w:pPr>
      <w:r>
        <w:rPr>
          <w:sz w:val="20"/>
        </w:rPr>
        <w:t>Associate </w:t>
      </w:r>
      <w:r>
        <w:rPr>
          <w:spacing w:val="-3"/>
          <w:sz w:val="20"/>
        </w:rPr>
        <w:t>Professors </w:t>
      </w:r>
      <w:r>
        <w:rPr>
          <w:sz w:val="20"/>
        </w:rPr>
        <w:t>Bruce Baer Arnold and </w:t>
      </w:r>
      <w:r>
        <w:rPr>
          <w:spacing w:val="-4"/>
          <w:sz w:val="20"/>
        </w:rPr>
        <w:t>Wendy </w:t>
      </w:r>
      <w:r>
        <w:rPr>
          <w:sz w:val="20"/>
        </w:rPr>
        <w:t>Bonython suggested that training material </w:t>
      </w:r>
      <w:r>
        <w:rPr>
          <w:spacing w:val="-3"/>
          <w:sz w:val="20"/>
        </w:rPr>
        <w:t>provided </w:t>
      </w:r>
      <w:r>
        <w:rPr>
          <w:sz w:val="20"/>
        </w:rPr>
        <w:t>to jurors could incorporate information about jury service with adjustments.</w:t>
      </w:r>
      <w:r>
        <w:rPr>
          <w:spacing w:val="-11"/>
          <w:sz w:val="20"/>
        </w:rPr>
        <w:t> </w:t>
      </w:r>
      <w:r>
        <w:rPr>
          <w:sz w:val="20"/>
        </w:rPr>
        <w:t>They</w:t>
      </w:r>
      <w:r>
        <w:rPr>
          <w:spacing w:val="-10"/>
          <w:sz w:val="20"/>
        </w:rPr>
        <w:t> </w:t>
      </w:r>
      <w:r>
        <w:rPr>
          <w:sz w:val="20"/>
        </w:rPr>
        <w:t>also</w:t>
      </w:r>
      <w:r>
        <w:rPr>
          <w:spacing w:val="-10"/>
          <w:sz w:val="20"/>
        </w:rPr>
        <w:t> </w:t>
      </w:r>
      <w:r>
        <w:rPr>
          <w:sz w:val="20"/>
        </w:rPr>
        <w:t>submitted</w:t>
      </w:r>
      <w:r>
        <w:rPr>
          <w:spacing w:val="-10"/>
          <w:sz w:val="20"/>
        </w:rPr>
        <w:t> </w:t>
      </w:r>
      <w:r>
        <w:rPr>
          <w:sz w:val="20"/>
        </w:rPr>
        <w:t>that</w:t>
      </w:r>
      <w:r>
        <w:rPr>
          <w:spacing w:val="-10"/>
          <w:sz w:val="20"/>
        </w:rPr>
        <w:t> </w:t>
      </w:r>
      <w:r>
        <w:rPr>
          <w:sz w:val="20"/>
        </w:rPr>
        <w:t>a</w:t>
      </w:r>
      <w:r>
        <w:rPr>
          <w:spacing w:val="-10"/>
          <w:sz w:val="20"/>
        </w:rPr>
        <w:t> </w:t>
      </w:r>
      <w:r>
        <w:rPr>
          <w:sz w:val="20"/>
        </w:rPr>
        <w:t>judge</w:t>
      </w:r>
      <w:r>
        <w:rPr>
          <w:spacing w:val="-10"/>
          <w:sz w:val="20"/>
        </w:rPr>
        <w:t> </w:t>
      </w:r>
      <w:r>
        <w:rPr>
          <w:sz w:val="20"/>
        </w:rPr>
        <w:t>should</w:t>
      </w:r>
      <w:r>
        <w:rPr>
          <w:spacing w:val="-10"/>
          <w:sz w:val="20"/>
        </w:rPr>
        <w:t> </w:t>
      </w:r>
      <w:r>
        <w:rPr>
          <w:sz w:val="20"/>
        </w:rPr>
        <w:t>inform</w:t>
      </w:r>
      <w:r>
        <w:rPr>
          <w:spacing w:val="-10"/>
          <w:sz w:val="20"/>
        </w:rPr>
        <w:t> </w:t>
      </w:r>
      <w:r>
        <w:rPr>
          <w:sz w:val="20"/>
        </w:rPr>
        <w:t>the</w:t>
      </w:r>
      <w:r>
        <w:rPr>
          <w:spacing w:val="-10"/>
          <w:sz w:val="20"/>
        </w:rPr>
        <w:t> </w:t>
      </w:r>
      <w:r>
        <w:rPr>
          <w:sz w:val="20"/>
        </w:rPr>
        <w:t>court</w:t>
      </w:r>
      <w:r>
        <w:rPr>
          <w:spacing w:val="-10"/>
          <w:sz w:val="20"/>
        </w:rPr>
        <w:t> </w:t>
      </w:r>
      <w:r>
        <w:rPr>
          <w:sz w:val="20"/>
        </w:rPr>
        <w:t>about</w:t>
      </w:r>
      <w:r>
        <w:rPr>
          <w:spacing w:val="-10"/>
          <w:sz w:val="20"/>
        </w:rPr>
        <w:t> </w:t>
      </w:r>
      <w:r>
        <w:rPr>
          <w:sz w:val="20"/>
        </w:rPr>
        <w:t>the</w:t>
      </w:r>
      <w:r>
        <w:rPr>
          <w:spacing w:val="-10"/>
          <w:sz w:val="20"/>
        </w:rPr>
        <w:t> </w:t>
      </w:r>
      <w:r>
        <w:rPr>
          <w:sz w:val="20"/>
        </w:rPr>
        <w:t>use</w:t>
      </w:r>
      <w:r>
        <w:rPr>
          <w:spacing w:val="-11"/>
          <w:sz w:val="20"/>
        </w:rPr>
        <w:t> </w:t>
      </w:r>
      <w:r>
        <w:rPr>
          <w:sz w:val="20"/>
        </w:rPr>
        <w:t>of adjustments. They note that </w:t>
      </w:r>
      <w:r>
        <w:rPr>
          <w:spacing w:val="-3"/>
          <w:sz w:val="20"/>
        </w:rPr>
        <w:t>‘we </w:t>
      </w:r>
      <w:r>
        <w:rPr>
          <w:sz w:val="20"/>
        </w:rPr>
        <w:t>specifically </w:t>
      </w:r>
      <w:r>
        <w:rPr>
          <w:spacing w:val="-3"/>
          <w:sz w:val="20"/>
        </w:rPr>
        <w:t>refer </w:t>
      </w:r>
      <w:r>
        <w:rPr>
          <w:sz w:val="20"/>
        </w:rPr>
        <w:t>to a judge because that introduction signals the seriousness of jury participation as part of the justice system and that disrespect of a supported juror is abhorrent. Such signalling serves to educate the broader community</w:t>
      </w:r>
      <w:r>
        <w:rPr>
          <w:spacing w:val="-9"/>
          <w:sz w:val="20"/>
        </w:rPr>
        <w:t> </w:t>
      </w:r>
      <w:r>
        <w:rPr>
          <w:spacing w:val="-2"/>
          <w:sz w:val="20"/>
        </w:rPr>
        <w:t>…’</w:t>
      </w:r>
      <w:r>
        <w:rPr>
          <w:spacing w:val="-2"/>
          <w:position w:val="7"/>
          <w:sz w:val="11"/>
        </w:rPr>
        <w:t>78</w:t>
      </w:r>
    </w:p>
    <w:p>
      <w:pPr>
        <w:pStyle w:val="ListParagraph"/>
        <w:numPr>
          <w:ilvl w:val="1"/>
          <w:numId w:val="12"/>
        </w:numPr>
        <w:tabs>
          <w:tab w:pos="1761" w:val="left" w:leader="none"/>
          <w:tab w:pos="1762" w:val="left" w:leader="none"/>
        </w:tabs>
        <w:spacing w:line="206" w:lineRule="auto" w:before="129" w:after="0"/>
        <w:ind w:left="1761" w:right="1187" w:hanging="794"/>
        <w:jc w:val="left"/>
        <w:rPr>
          <w:sz w:val="20"/>
        </w:rPr>
      </w:pPr>
      <w:r>
        <w:rPr>
          <w:sz w:val="20"/>
        </w:rPr>
        <w:t>When the jury is brought back </w:t>
      </w:r>
      <w:r>
        <w:rPr>
          <w:spacing w:val="-3"/>
          <w:sz w:val="20"/>
        </w:rPr>
        <w:t>into </w:t>
      </w:r>
      <w:r>
        <w:rPr>
          <w:sz w:val="20"/>
        </w:rPr>
        <w:t>the courtroom, the judge </w:t>
      </w:r>
      <w:r>
        <w:rPr>
          <w:spacing w:val="-3"/>
          <w:sz w:val="20"/>
        </w:rPr>
        <w:t>usually provides </w:t>
      </w:r>
      <w:r>
        <w:rPr>
          <w:sz w:val="20"/>
        </w:rPr>
        <w:t>a general housekeeping</w:t>
      </w:r>
      <w:r>
        <w:rPr>
          <w:spacing w:val="-13"/>
          <w:sz w:val="20"/>
        </w:rPr>
        <w:t> </w:t>
      </w:r>
      <w:r>
        <w:rPr>
          <w:sz w:val="20"/>
        </w:rPr>
        <w:t>briefing.</w:t>
      </w:r>
      <w:r>
        <w:rPr>
          <w:spacing w:val="-13"/>
          <w:sz w:val="20"/>
        </w:rPr>
        <w:t> </w:t>
      </w:r>
      <w:r>
        <w:rPr>
          <w:sz w:val="20"/>
        </w:rPr>
        <w:t>This</w:t>
      </w:r>
      <w:r>
        <w:rPr>
          <w:spacing w:val="-13"/>
          <w:sz w:val="20"/>
        </w:rPr>
        <w:t> </w:t>
      </w:r>
      <w:r>
        <w:rPr>
          <w:sz w:val="20"/>
        </w:rPr>
        <w:t>includes</w:t>
      </w:r>
      <w:r>
        <w:rPr>
          <w:spacing w:val="-12"/>
          <w:sz w:val="20"/>
        </w:rPr>
        <w:t> </w:t>
      </w:r>
      <w:r>
        <w:rPr>
          <w:sz w:val="20"/>
        </w:rPr>
        <w:t>things</w:t>
      </w:r>
      <w:r>
        <w:rPr>
          <w:spacing w:val="-13"/>
          <w:sz w:val="20"/>
        </w:rPr>
        <w:t> </w:t>
      </w:r>
      <w:r>
        <w:rPr>
          <w:sz w:val="20"/>
        </w:rPr>
        <w:t>like</w:t>
      </w:r>
      <w:r>
        <w:rPr>
          <w:spacing w:val="-13"/>
          <w:sz w:val="20"/>
        </w:rPr>
        <w:t> </w:t>
      </w:r>
      <w:r>
        <w:rPr>
          <w:sz w:val="20"/>
        </w:rPr>
        <w:t>the</w:t>
      </w:r>
      <w:r>
        <w:rPr>
          <w:spacing w:val="-12"/>
          <w:sz w:val="20"/>
        </w:rPr>
        <w:t> </w:t>
      </w:r>
      <w:r>
        <w:rPr>
          <w:sz w:val="20"/>
        </w:rPr>
        <w:t>need</w:t>
      </w:r>
      <w:r>
        <w:rPr>
          <w:spacing w:val="-13"/>
          <w:sz w:val="20"/>
        </w:rPr>
        <w:t> </w:t>
      </w:r>
      <w:r>
        <w:rPr>
          <w:sz w:val="20"/>
        </w:rPr>
        <w:t>to</w:t>
      </w:r>
      <w:r>
        <w:rPr>
          <w:spacing w:val="-13"/>
          <w:sz w:val="20"/>
        </w:rPr>
        <w:t> </w:t>
      </w:r>
      <w:r>
        <w:rPr>
          <w:sz w:val="20"/>
        </w:rPr>
        <w:t>be</w:t>
      </w:r>
      <w:r>
        <w:rPr>
          <w:spacing w:val="-12"/>
          <w:sz w:val="20"/>
        </w:rPr>
        <w:t> </w:t>
      </w:r>
      <w:r>
        <w:rPr>
          <w:sz w:val="20"/>
        </w:rPr>
        <w:t>punctual</w:t>
      </w:r>
      <w:r>
        <w:rPr>
          <w:spacing w:val="-13"/>
          <w:sz w:val="20"/>
        </w:rPr>
        <w:t> </w:t>
      </w:r>
      <w:r>
        <w:rPr>
          <w:sz w:val="20"/>
        </w:rPr>
        <w:t>for</w:t>
      </w:r>
      <w:r>
        <w:rPr>
          <w:spacing w:val="-13"/>
          <w:sz w:val="20"/>
        </w:rPr>
        <w:t> </w:t>
      </w:r>
      <w:r>
        <w:rPr>
          <w:sz w:val="20"/>
        </w:rPr>
        <w:t>jury</w:t>
      </w:r>
      <w:r>
        <w:rPr>
          <w:spacing w:val="-13"/>
          <w:sz w:val="20"/>
        </w:rPr>
        <w:t> </w:t>
      </w:r>
      <w:r>
        <w:rPr>
          <w:sz w:val="20"/>
        </w:rPr>
        <w:t>service, to</w:t>
      </w:r>
      <w:r>
        <w:rPr>
          <w:spacing w:val="-12"/>
          <w:sz w:val="20"/>
        </w:rPr>
        <w:t> </w:t>
      </w:r>
      <w:r>
        <w:rPr>
          <w:sz w:val="20"/>
        </w:rPr>
        <w:t>direct</w:t>
      </w:r>
      <w:r>
        <w:rPr>
          <w:spacing w:val="-11"/>
          <w:sz w:val="20"/>
        </w:rPr>
        <w:t> </w:t>
      </w:r>
      <w:r>
        <w:rPr>
          <w:sz w:val="20"/>
        </w:rPr>
        <w:t>questions</w:t>
      </w:r>
      <w:r>
        <w:rPr>
          <w:spacing w:val="-11"/>
          <w:sz w:val="20"/>
        </w:rPr>
        <w:t> </w:t>
      </w:r>
      <w:r>
        <w:rPr>
          <w:sz w:val="20"/>
        </w:rPr>
        <w:t>to</w:t>
      </w:r>
      <w:r>
        <w:rPr>
          <w:spacing w:val="-11"/>
          <w:sz w:val="20"/>
        </w:rPr>
        <w:t> </w:t>
      </w:r>
      <w:r>
        <w:rPr>
          <w:sz w:val="20"/>
        </w:rPr>
        <w:t>the</w:t>
      </w:r>
      <w:r>
        <w:rPr>
          <w:spacing w:val="-11"/>
          <w:sz w:val="20"/>
        </w:rPr>
        <w:t> </w:t>
      </w:r>
      <w:r>
        <w:rPr>
          <w:spacing w:val="-3"/>
          <w:sz w:val="20"/>
        </w:rPr>
        <w:t>tipstaff,</w:t>
      </w:r>
      <w:r>
        <w:rPr>
          <w:spacing w:val="-11"/>
          <w:sz w:val="20"/>
        </w:rPr>
        <w:t> </w:t>
      </w:r>
      <w:r>
        <w:rPr>
          <w:sz w:val="20"/>
        </w:rPr>
        <w:t>where</w:t>
      </w:r>
      <w:r>
        <w:rPr>
          <w:spacing w:val="-11"/>
          <w:sz w:val="20"/>
        </w:rPr>
        <w:t> </w:t>
      </w:r>
      <w:r>
        <w:rPr>
          <w:sz w:val="20"/>
        </w:rPr>
        <w:t>tea</w:t>
      </w:r>
      <w:r>
        <w:rPr>
          <w:spacing w:val="-11"/>
          <w:sz w:val="20"/>
        </w:rPr>
        <w:t> </w:t>
      </w:r>
      <w:r>
        <w:rPr>
          <w:sz w:val="20"/>
        </w:rPr>
        <w:t>and</w:t>
      </w:r>
      <w:r>
        <w:rPr>
          <w:spacing w:val="-11"/>
          <w:sz w:val="20"/>
        </w:rPr>
        <w:t> </w:t>
      </w:r>
      <w:r>
        <w:rPr>
          <w:sz w:val="20"/>
        </w:rPr>
        <w:t>coffee</w:t>
      </w:r>
      <w:r>
        <w:rPr>
          <w:spacing w:val="-11"/>
          <w:sz w:val="20"/>
        </w:rPr>
        <w:t> </w:t>
      </w:r>
      <w:r>
        <w:rPr>
          <w:sz w:val="20"/>
        </w:rPr>
        <w:t>will</w:t>
      </w:r>
      <w:r>
        <w:rPr>
          <w:spacing w:val="-11"/>
          <w:sz w:val="20"/>
        </w:rPr>
        <w:t> </w:t>
      </w:r>
      <w:r>
        <w:rPr>
          <w:sz w:val="20"/>
        </w:rPr>
        <w:t>be</w:t>
      </w:r>
      <w:r>
        <w:rPr>
          <w:spacing w:val="-11"/>
          <w:sz w:val="20"/>
        </w:rPr>
        <w:t> </w:t>
      </w:r>
      <w:r>
        <w:rPr>
          <w:sz w:val="20"/>
        </w:rPr>
        <w:t>provided,</w:t>
      </w:r>
      <w:r>
        <w:rPr>
          <w:spacing w:val="-11"/>
          <w:sz w:val="20"/>
        </w:rPr>
        <w:t> </w:t>
      </w:r>
      <w:r>
        <w:rPr>
          <w:sz w:val="20"/>
        </w:rPr>
        <w:t>and</w:t>
      </w:r>
      <w:r>
        <w:rPr>
          <w:spacing w:val="-11"/>
          <w:sz w:val="20"/>
        </w:rPr>
        <w:t> </w:t>
      </w:r>
      <w:r>
        <w:rPr>
          <w:sz w:val="20"/>
        </w:rPr>
        <w:t>not</w:t>
      </w:r>
      <w:r>
        <w:rPr>
          <w:spacing w:val="-11"/>
          <w:sz w:val="20"/>
        </w:rPr>
        <w:t> </w:t>
      </w:r>
      <w:r>
        <w:rPr>
          <w:sz w:val="20"/>
        </w:rPr>
        <w:t>to</w:t>
      </w:r>
      <w:r>
        <w:rPr>
          <w:spacing w:val="-11"/>
          <w:sz w:val="20"/>
        </w:rPr>
        <w:t> </w:t>
      </w:r>
      <w:r>
        <w:rPr>
          <w:sz w:val="20"/>
        </w:rPr>
        <w:t>talk about the trial to</w:t>
      </w:r>
      <w:r>
        <w:rPr>
          <w:spacing w:val="-18"/>
          <w:sz w:val="20"/>
        </w:rPr>
        <w:t> </w:t>
      </w:r>
      <w:r>
        <w:rPr>
          <w:sz w:val="20"/>
        </w:rPr>
        <w:t>non-jurors.</w:t>
      </w:r>
    </w:p>
    <w:p>
      <w:pPr>
        <w:pStyle w:val="ListParagraph"/>
        <w:numPr>
          <w:ilvl w:val="1"/>
          <w:numId w:val="12"/>
        </w:numPr>
        <w:tabs>
          <w:tab w:pos="1761" w:val="left" w:leader="none"/>
          <w:tab w:pos="1762" w:val="left" w:leader="none"/>
        </w:tabs>
        <w:spacing w:line="206" w:lineRule="auto" w:before="125" w:after="0"/>
        <w:ind w:left="1761" w:right="1802" w:hanging="794"/>
        <w:jc w:val="left"/>
        <w:rPr>
          <w:sz w:val="20"/>
        </w:rPr>
      </w:pPr>
      <w:r>
        <w:rPr>
          <w:sz w:val="20"/>
        </w:rPr>
        <w:t>The</w:t>
      </w:r>
      <w:r>
        <w:rPr>
          <w:spacing w:val="-11"/>
          <w:sz w:val="20"/>
        </w:rPr>
        <w:t> </w:t>
      </w:r>
      <w:r>
        <w:rPr>
          <w:sz w:val="20"/>
        </w:rPr>
        <w:t>Supreme</w:t>
      </w:r>
      <w:r>
        <w:rPr>
          <w:spacing w:val="-10"/>
          <w:sz w:val="20"/>
        </w:rPr>
        <w:t> </w:t>
      </w:r>
      <w:r>
        <w:rPr>
          <w:sz w:val="20"/>
        </w:rPr>
        <w:t>Court</w:t>
      </w:r>
      <w:r>
        <w:rPr>
          <w:spacing w:val="-11"/>
          <w:sz w:val="20"/>
        </w:rPr>
        <w:t> </w:t>
      </w:r>
      <w:r>
        <w:rPr>
          <w:sz w:val="20"/>
        </w:rPr>
        <w:t>suggested</w:t>
      </w:r>
      <w:r>
        <w:rPr>
          <w:spacing w:val="-10"/>
          <w:sz w:val="20"/>
        </w:rPr>
        <w:t> </w:t>
      </w:r>
      <w:r>
        <w:rPr>
          <w:sz w:val="20"/>
        </w:rPr>
        <w:t>that</w:t>
      </w:r>
      <w:r>
        <w:rPr>
          <w:spacing w:val="-11"/>
          <w:sz w:val="20"/>
        </w:rPr>
        <w:t> </w:t>
      </w:r>
      <w:r>
        <w:rPr>
          <w:sz w:val="20"/>
        </w:rPr>
        <w:t>the</w:t>
      </w:r>
      <w:r>
        <w:rPr>
          <w:spacing w:val="-10"/>
          <w:sz w:val="20"/>
        </w:rPr>
        <w:t> </w:t>
      </w:r>
      <w:r>
        <w:rPr>
          <w:sz w:val="20"/>
        </w:rPr>
        <w:t>trial</w:t>
      </w:r>
      <w:r>
        <w:rPr>
          <w:spacing w:val="-11"/>
          <w:sz w:val="20"/>
        </w:rPr>
        <w:t> </w:t>
      </w:r>
      <w:r>
        <w:rPr>
          <w:sz w:val="20"/>
        </w:rPr>
        <w:t>judge</w:t>
      </w:r>
      <w:r>
        <w:rPr>
          <w:spacing w:val="-10"/>
          <w:sz w:val="20"/>
        </w:rPr>
        <w:t> </w:t>
      </w:r>
      <w:r>
        <w:rPr>
          <w:sz w:val="20"/>
        </w:rPr>
        <w:t>should</w:t>
      </w:r>
      <w:r>
        <w:rPr>
          <w:spacing w:val="-10"/>
          <w:sz w:val="20"/>
        </w:rPr>
        <w:t> </w:t>
      </w:r>
      <w:r>
        <w:rPr>
          <w:sz w:val="20"/>
        </w:rPr>
        <w:t>explain</w:t>
      </w:r>
      <w:r>
        <w:rPr>
          <w:spacing w:val="-11"/>
          <w:sz w:val="20"/>
        </w:rPr>
        <w:t> </w:t>
      </w:r>
      <w:r>
        <w:rPr>
          <w:sz w:val="20"/>
        </w:rPr>
        <w:t>the</w:t>
      </w:r>
      <w:r>
        <w:rPr>
          <w:spacing w:val="-10"/>
          <w:sz w:val="20"/>
        </w:rPr>
        <w:t> </w:t>
      </w:r>
      <w:r>
        <w:rPr>
          <w:spacing w:val="-3"/>
          <w:sz w:val="20"/>
        </w:rPr>
        <w:t>following</w:t>
      </w:r>
      <w:r>
        <w:rPr>
          <w:spacing w:val="-11"/>
          <w:sz w:val="20"/>
        </w:rPr>
        <w:t> </w:t>
      </w:r>
      <w:r>
        <w:rPr>
          <w:sz w:val="20"/>
        </w:rPr>
        <w:t>in addition to the usual housekeeping</w:t>
      </w:r>
      <w:r>
        <w:rPr>
          <w:spacing w:val="-25"/>
          <w:sz w:val="20"/>
        </w:rPr>
        <w:t> </w:t>
      </w:r>
      <w:r>
        <w:rPr>
          <w:sz w:val="20"/>
        </w:rPr>
        <w:t>matters:</w:t>
      </w:r>
    </w:p>
    <w:p>
      <w:pPr>
        <w:pStyle w:val="ListParagraph"/>
        <w:numPr>
          <w:ilvl w:val="2"/>
          <w:numId w:val="12"/>
        </w:numPr>
        <w:tabs>
          <w:tab w:pos="2157" w:val="left" w:leader="none"/>
          <w:tab w:pos="2158" w:val="left" w:leader="none"/>
        </w:tabs>
        <w:spacing w:line="240" w:lineRule="auto" w:before="90" w:after="0"/>
        <w:ind w:left="2157" w:right="0" w:hanging="396"/>
        <w:jc w:val="left"/>
        <w:rPr>
          <w:sz w:val="20"/>
        </w:rPr>
      </w:pPr>
      <w:r>
        <w:rPr>
          <w:sz w:val="20"/>
        </w:rPr>
        <w:t>the adjustments that will be used during the</w:t>
      </w:r>
      <w:r>
        <w:rPr>
          <w:spacing w:val="-37"/>
          <w:sz w:val="20"/>
        </w:rPr>
        <w:t> </w:t>
      </w:r>
      <w:r>
        <w:rPr>
          <w:sz w:val="20"/>
        </w:rPr>
        <w:t>trial</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seating</w:t>
      </w:r>
      <w:r>
        <w:rPr>
          <w:spacing w:val="-5"/>
          <w:sz w:val="20"/>
        </w:rPr>
        <w:t> </w:t>
      </w:r>
      <w:r>
        <w:rPr>
          <w:sz w:val="20"/>
        </w:rPr>
        <w:t>arrangements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matters relating to Auslan </w:t>
      </w:r>
      <w:r>
        <w:rPr>
          <w:spacing w:val="-3"/>
          <w:sz w:val="20"/>
        </w:rPr>
        <w:t>interpreters </w:t>
      </w:r>
      <w:r>
        <w:rPr>
          <w:sz w:val="20"/>
        </w:rPr>
        <w:t>if they </w:t>
      </w:r>
      <w:r>
        <w:rPr>
          <w:spacing w:val="-3"/>
          <w:sz w:val="20"/>
        </w:rPr>
        <w:t>are</w:t>
      </w:r>
      <w:r>
        <w:rPr>
          <w:spacing w:val="-33"/>
          <w:sz w:val="20"/>
        </w:rPr>
        <w:t> </w:t>
      </w:r>
      <w:r>
        <w:rPr>
          <w:spacing w:val="-3"/>
          <w:sz w:val="20"/>
        </w:rPr>
        <w:t>present</w:t>
      </w:r>
    </w:p>
    <w:p>
      <w:pPr>
        <w:pStyle w:val="ListParagraph"/>
        <w:numPr>
          <w:ilvl w:val="2"/>
          <w:numId w:val="12"/>
        </w:numPr>
        <w:tabs>
          <w:tab w:pos="2157" w:val="left" w:leader="none"/>
          <w:tab w:pos="2158" w:val="left" w:leader="none"/>
        </w:tabs>
        <w:spacing w:line="206" w:lineRule="auto" w:before="80" w:after="0"/>
        <w:ind w:left="2157" w:right="1159" w:hanging="396"/>
        <w:jc w:val="left"/>
        <w:rPr>
          <w:sz w:val="11"/>
        </w:rPr>
      </w:pPr>
      <w:r>
        <w:rPr>
          <w:sz w:val="20"/>
        </w:rPr>
        <w:t>that</w:t>
      </w:r>
      <w:r>
        <w:rPr>
          <w:spacing w:val="-10"/>
          <w:sz w:val="20"/>
        </w:rPr>
        <w:t> </w:t>
      </w:r>
      <w:r>
        <w:rPr>
          <w:sz w:val="20"/>
        </w:rPr>
        <w:t>if</w:t>
      </w:r>
      <w:r>
        <w:rPr>
          <w:spacing w:val="-10"/>
          <w:sz w:val="20"/>
        </w:rPr>
        <w:t> </w:t>
      </w:r>
      <w:r>
        <w:rPr>
          <w:sz w:val="20"/>
        </w:rPr>
        <w:t>jurors</w:t>
      </w:r>
      <w:r>
        <w:rPr>
          <w:spacing w:val="-11"/>
          <w:sz w:val="20"/>
        </w:rPr>
        <w:t> </w:t>
      </w:r>
      <w:r>
        <w:rPr>
          <w:spacing w:val="-4"/>
          <w:sz w:val="20"/>
        </w:rPr>
        <w:t>have</w:t>
      </w:r>
      <w:r>
        <w:rPr>
          <w:spacing w:val="-10"/>
          <w:sz w:val="20"/>
        </w:rPr>
        <w:t> </w:t>
      </w:r>
      <w:r>
        <w:rPr>
          <w:spacing w:val="-3"/>
          <w:sz w:val="20"/>
        </w:rPr>
        <w:t>any</w:t>
      </w:r>
      <w:r>
        <w:rPr>
          <w:spacing w:val="-10"/>
          <w:sz w:val="20"/>
        </w:rPr>
        <w:t> </w:t>
      </w:r>
      <w:r>
        <w:rPr>
          <w:sz w:val="20"/>
        </w:rPr>
        <w:t>concerns</w:t>
      </w:r>
      <w:r>
        <w:rPr>
          <w:spacing w:val="-10"/>
          <w:sz w:val="20"/>
        </w:rPr>
        <w:t> </w:t>
      </w:r>
      <w:r>
        <w:rPr>
          <w:sz w:val="20"/>
        </w:rPr>
        <w:t>about</w:t>
      </w:r>
      <w:r>
        <w:rPr>
          <w:spacing w:val="-10"/>
          <w:sz w:val="20"/>
        </w:rPr>
        <w:t> </w:t>
      </w:r>
      <w:r>
        <w:rPr>
          <w:sz w:val="20"/>
        </w:rPr>
        <w:t>the</w:t>
      </w:r>
      <w:r>
        <w:rPr>
          <w:spacing w:val="-10"/>
          <w:sz w:val="20"/>
        </w:rPr>
        <w:t> </w:t>
      </w:r>
      <w:r>
        <w:rPr>
          <w:sz w:val="20"/>
        </w:rPr>
        <w:t>adjustments,</w:t>
      </w:r>
      <w:r>
        <w:rPr>
          <w:spacing w:val="-10"/>
          <w:sz w:val="20"/>
        </w:rPr>
        <w:t> </w:t>
      </w:r>
      <w:r>
        <w:rPr>
          <w:sz w:val="20"/>
        </w:rPr>
        <w:t>they</w:t>
      </w:r>
      <w:r>
        <w:rPr>
          <w:spacing w:val="-10"/>
          <w:sz w:val="20"/>
        </w:rPr>
        <w:t> </w:t>
      </w:r>
      <w:r>
        <w:rPr>
          <w:sz w:val="20"/>
        </w:rPr>
        <w:t>can</w:t>
      </w:r>
      <w:r>
        <w:rPr>
          <w:spacing w:val="-10"/>
          <w:sz w:val="20"/>
        </w:rPr>
        <w:t> </w:t>
      </w:r>
      <w:r>
        <w:rPr>
          <w:sz w:val="20"/>
        </w:rPr>
        <w:t>raise</w:t>
      </w:r>
      <w:r>
        <w:rPr>
          <w:spacing w:val="-10"/>
          <w:sz w:val="20"/>
        </w:rPr>
        <w:t> </w:t>
      </w:r>
      <w:r>
        <w:rPr>
          <w:sz w:val="20"/>
        </w:rPr>
        <w:t>them</w:t>
      </w:r>
      <w:r>
        <w:rPr>
          <w:spacing w:val="-10"/>
          <w:sz w:val="20"/>
        </w:rPr>
        <w:t> </w:t>
      </w:r>
      <w:r>
        <w:rPr>
          <w:sz w:val="20"/>
        </w:rPr>
        <w:t>with</w:t>
      </w:r>
      <w:r>
        <w:rPr>
          <w:spacing w:val="-10"/>
          <w:sz w:val="20"/>
        </w:rPr>
        <w:t> </w:t>
      </w:r>
      <w:r>
        <w:rPr>
          <w:sz w:val="20"/>
        </w:rPr>
        <w:t>the court.</w:t>
      </w:r>
      <w:r>
        <w:rPr>
          <w:position w:val="7"/>
          <w:sz w:val="11"/>
        </w:rPr>
        <w:t>79</w:t>
      </w:r>
    </w:p>
    <w:p>
      <w:pPr>
        <w:pStyle w:val="BodyText"/>
      </w:pPr>
    </w:p>
    <w:p>
      <w:pPr>
        <w:pStyle w:val="BodyText"/>
      </w:pPr>
    </w:p>
    <w:p>
      <w:pPr>
        <w:pStyle w:val="BodyText"/>
      </w:pPr>
    </w:p>
    <w:p>
      <w:pPr>
        <w:pStyle w:val="BodyText"/>
        <w:spacing w:before="2"/>
        <w:rPr>
          <w:sz w:val="19"/>
        </w:rPr>
      </w:pPr>
      <w:r>
        <w:rPr/>
        <w:pict>
          <v:line style="position:absolute;mso-position-horizontal-relative:page;mso-position-vertical-relative:paragraph;z-index:7616;mso-wrap-distance-left:0;mso-wrap-distance-right:0" from="79.370102pt,15.7511pt" to="521.575102pt,15.7511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spacing w:before="7"/>
        <w:rPr>
          <w:sz w:val="38"/>
        </w:rPr>
      </w:pPr>
    </w:p>
    <w:p>
      <w:pPr>
        <w:spacing w:before="0"/>
        <w:ind w:left="100" w:right="0" w:firstLine="0"/>
        <w:jc w:val="left"/>
        <w:rPr>
          <w:b/>
          <w:sz w:val="24"/>
        </w:rPr>
      </w:pPr>
      <w:r>
        <w:rPr>
          <w:b/>
          <w:color w:val="37617A"/>
          <w:sz w:val="24"/>
        </w:rPr>
        <w:t>138</w:t>
      </w:r>
    </w:p>
    <w:p>
      <w:pPr>
        <w:pStyle w:val="ListParagraph"/>
        <w:numPr>
          <w:ilvl w:val="0"/>
          <w:numId w:val="93"/>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pStyle w:val="ListParagraph"/>
        <w:numPr>
          <w:ilvl w:val="0"/>
          <w:numId w:val="93"/>
        </w:numPr>
        <w:tabs>
          <w:tab w:pos="893" w:val="left" w:leader="none"/>
          <w:tab w:pos="894" w:val="left" w:leader="none"/>
        </w:tabs>
        <w:spacing w:line="160" w:lineRule="exact" w:before="0" w:after="0"/>
        <w:ind w:left="893" w:right="0" w:hanging="793"/>
        <w:jc w:val="left"/>
        <w:rPr>
          <w:sz w:val="13"/>
        </w:rPr>
      </w:pPr>
      <w:r>
        <w:rPr>
          <w:sz w:val="13"/>
        </w:rPr>
        <w:t>Consultation 8 (Brent Phillips).</w:t>
      </w:r>
    </w:p>
    <w:p>
      <w:pPr>
        <w:pStyle w:val="ListParagraph"/>
        <w:numPr>
          <w:ilvl w:val="0"/>
          <w:numId w:val="93"/>
        </w:numPr>
        <w:tabs>
          <w:tab w:pos="893" w:val="left" w:leader="none"/>
          <w:tab w:pos="894" w:val="left" w:leader="none"/>
        </w:tabs>
        <w:spacing w:line="160" w:lineRule="exact" w:before="0" w:after="0"/>
        <w:ind w:left="893" w:right="0" w:hanging="793"/>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pStyle w:val="ListParagraph"/>
        <w:numPr>
          <w:ilvl w:val="0"/>
          <w:numId w:val="93"/>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4 (Baer Arnold &amp;</w:t>
      </w:r>
      <w:r>
        <w:rPr>
          <w:spacing w:val="-2"/>
          <w:sz w:val="13"/>
        </w:rPr>
        <w:t> </w:t>
      </w:r>
      <w:r>
        <w:rPr>
          <w:sz w:val="13"/>
        </w:rPr>
        <w:t>Bonython).</w:t>
      </w:r>
    </w:p>
    <w:p>
      <w:pPr>
        <w:pStyle w:val="ListParagraph"/>
        <w:numPr>
          <w:ilvl w:val="0"/>
          <w:numId w:val="93"/>
        </w:numPr>
        <w:tabs>
          <w:tab w:pos="893" w:val="left" w:leader="none"/>
          <w:tab w:pos="894" w:val="left" w:leader="none"/>
        </w:tabs>
        <w:spacing w:line="170" w:lineRule="exact" w:before="0" w:after="0"/>
        <w:ind w:left="893" w:right="0" w:hanging="793"/>
        <w:jc w:val="left"/>
        <w:rPr>
          <w:sz w:val="13"/>
        </w:rPr>
      </w:pP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spacing w:after="0" w:line="170" w:lineRule="exact"/>
        <w:jc w:val="left"/>
        <w:rPr>
          <w:sz w:val="13"/>
        </w:rPr>
        <w:sectPr>
          <w:type w:val="continuous"/>
          <w:pgSz w:w="11910" w:h="16840"/>
          <w:pgMar w:top="620" w:bottom="280" w:left="620" w:right="380"/>
          <w:cols w:num="2" w:equalWidth="0">
            <w:col w:w="535" w:space="332"/>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623" w:hanging="794"/>
        <w:jc w:val="left"/>
        <w:rPr>
          <w:sz w:val="11"/>
        </w:rPr>
      </w:pPr>
      <w:r>
        <w:rPr>
          <w:sz w:val="20"/>
        </w:rPr>
        <w:t>All the Auslan service </w:t>
      </w:r>
      <w:r>
        <w:rPr>
          <w:spacing w:val="-3"/>
          <w:sz w:val="20"/>
        </w:rPr>
        <w:t>providers </w:t>
      </w:r>
      <w:r>
        <w:rPr>
          <w:sz w:val="20"/>
        </w:rPr>
        <w:t>and the mock trial academics suggested that it is important that the court is </w:t>
      </w:r>
      <w:r>
        <w:rPr>
          <w:spacing w:val="-3"/>
          <w:sz w:val="20"/>
        </w:rPr>
        <w:t>provided </w:t>
      </w:r>
      <w:r>
        <w:rPr>
          <w:sz w:val="20"/>
        </w:rPr>
        <w:t>with information about the </w:t>
      </w:r>
      <w:r>
        <w:rPr>
          <w:spacing w:val="-3"/>
          <w:sz w:val="20"/>
        </w:rPr>
        <w:t>role </w:t>
      </w:r>
      <w:r>
        <w:rPr>
          <w:sz w:val="20"/>
        </w:rPr>
        <w:t>of the Auslan </w:t>
      </w:r>
      <w:r>
        <w:rPr>
          <w:spacing w:val="-3"/>
          <w:sz w:val="20"/>
        </w:rPr>
        <w:t>interpreter </w:t>
      </w:r>
      <w:r>
        <w:rPr>
          <w:sz w:val="20"/>
        </w:rPr>
        <w:t>and </w:t>
      </w:r>
      <w:r>
        <w:rPr>
          <w:spacing w:val="-3"/>
          <w:sz w:val="20"/>
        </w:rPr>
        <w:t>how </w:t>
      </w:r>
      <w:r>
        <w:rPr>
          <w:sz w:val="20"/>
        </w:rPr>
        <w:t>they work.</w:t>
      </w:r>
      <w:r>
        <w:rPr>
          <w:position w:val="7"/>
          <w:sz w:val="11"/>
        </w:rPr>
        <w:t>80 </w:t>
      </w:r>
      <w:r>
        <w:rPr>
          <w:sz w:val="20"/>
        </w:rPr>
        <w:t>This </w:t>
      </w:r>
      <w:r>
        <w:rPr>
          <w:spacing w:val="-3"/>
          <w:sz w:val="20"/>
        </w:rPr>
        <w:t>would </w:t>
      </w:r>
      <w:r>
        <w:rPr>
          <w:sz w:val="20"/>
        </w:rPr>
        <w:t>‘help to normalise things, so people don’t</w:t>
      </w:r>
      <w:r>
        <w:rPr>
          <w:spacing w:val="-9"/>
          <w:sz w:val="20"/>
        </w:rPr>
        <w:t> </w:t>
      </w:r>
      <w:r>
        <w:rPr>
          <w:sz w:val="20"/>
        </w:rPr>
        <w:t>get</w:t>
      </w:r>
      <w:r>
        <w:rPr>
          <w:spacing w:val="-10"/>
          <w:sz w:val="20"/>
        </w:rPr>
        <w:t> </w:t>
      </w:r>
      <w:r>
        <w:rPr>
          <w:sz w:val="20"/>
        </w:rPr>
        <w:t>caught</w:t>
      </w:r>
      <w:r>
        <w:rPr>
          <w:spacing w:val="-9"/>
          <w:sz w:val="20"/>
        </w:rPr>
        <w:t> </w:t>
      </w:r>
      <w:r>
        <w:rPr>
          <w:sz w:val="20"/>
        </w:rPr>
        <w:t>up</w:t>
      </w:r>
      <w:r>
        <w:rPr>
          <w:spacing w:val="-9"/>
          <w:sz w:val="20"/>
        </w:rPr>
        <w:t> </w:t>
      </w:r>
      <w:r>
        <w:rPr>
          <w:sz w:val="20"/>
        </w:rPr>
        <w:t>or</w:t>
      </w:r>
      <w:r>
        <w:rPr>
          <w:spacing w:val="-9"/>
          <w:sz w:val="20"/>
        </w:rPr>
        <w:t> </w:t>
      </w:r>
      <w:r>
        <w:rPr>
          <w:sz w:val="20"/>
        </w:rPr>
        <w:t>distracted</w:t>
      </w:r>
      <w:r>
        <w:rPr>
          <w:spacing w:val="-9"/>
          <w:sz w:val="20"/>
        </w:rPr>
        <w:t> </w:t>
      </w:r>
      <w:r>
        <w:rPr>
          <w:sz w:val="20"/>
        </w:rPr>
        <w:t>wondering</w:t>
      </w:r>
      <w:r>
        <w:rPr>
          <w:spacing w:val="-9"/>
          <w:sz w:val="20"/>
        </w:rPr>
        <w:t> </w:t>
      </w:r>
      <w:r>
        <w:rPr>
          <w:sz w:val="20"/>
        </w:rPr>
        <w:t>who</w:t>
      </w:r>
      <w:r>
        <w:rPr>
          <w:spacing w:val="-9"/>
          <w:sz w:val="20"/>
        </w:rPr>
        <w:t> </w:t>
      </w:r>
      <w:r>
        <w:rPr>
          <w:sz w:val="20"/>
        </w:rPr>
        <w:t>the</w:t>
      </w:r>
      <w:r>
        <w:rPr>
          <w:spacing w:val="-9"/>
          <w:sz w:val="20"/>
        </w:rPr>
        <w:t> </w:t>
      </w:r>
      <w:r>
        <w:rPr>
          <w:spacing w:val="-3"/>
          <w:sz w:val="20"/>
        </w:rPr>
        <w:t>interpreter</w:t>
      </w:r>
      <w:r>
        <w:rPr>
          <w:spacing w:val="-9"/>
          <w:sz w:val="20"/>
        </w:rPr>
        <w:t> </w:t>
      </w:r>
      <w:r>
        <w:rPr>
          <w:spacing w:val="-3"/>
          <w:sz w:val="20"/>
        </w:rPr>
        <w:t>is’.</w:t>
      </w:r>
      <w:r>
        <w:rPr>
          <w:spacing w:val="-3"/>
          <w:position w:val="7"/>
          <w:sz w:val="11"/>
        </w:rPr>
        <w:t>81</w:t>
      </w:r>
      <w:r>
        <w:rPr>
          <w:spacing w:val="16"/>
          <w:position w:val="7"/>
          <w:sz w:val="11"/>
        </w:rPr>
        <w:t> </w:t>
      </w:r>
      <w:r>
        <w:rPr>
          <w:sz w:val="20"/>
        </w:rPr>
        <w:t>The</w:t>
      </w:r>
      <w:r>
        <w:rPr>
          <w:spacing w:val="-9"/>
          <w:sz w:val="20"/>
        </w:rPr>
        <w:t> </w:t>
      </w:r>
      <w:r>
        <w:rPr>
          <w:sz w:val="20"/>
        </w:rPr>
        <w:t>mock</w:t>
      </w:r>
      <w:r>
        <w:rPr>
          <w:spacing w:val="-9"/>
          <w:sz w:val="20"/>
        </w:rPr>
        <w:t> </w:t>
      </w:r>
      <w:r>
        <w:rPr>
          <w:sz w:val="20"/>
        </w:rPr>
        <w:t>trial academics</w:t>
      </w:r>
      <w:r>
        <w:rPr>
          <w:spacing w:val="-11"/>
          <w:sz w:val="20"/>
        </w:rPr>
        <w:t> </w:t>
      </w:r>
      <w:r>
        <w:rPr>
          <w:sz w:val="20"/>
        </w:rPr>
        <w:t>point</w:t>
      </w:r>
      <w:r>
        <w:rPr>
          <w:spacing w:val="-11"/>
          <w:sz w:val="20"/>
        </w:rPr>
        <w:t> </w:t>
      </w:r>
      <w:r>
        <w:rPr>
          <w:sz w:val="20"/>
        </w:rPr>
        <w:t>out</w:t>
      </w:r>
      <w:r>
        <w:rPr>
          <w:spacing w:val="-10"/>
          <w:sz w:val="20"/>
        </w:rPr>
        <w:t> </w:t>
      </w:r>
      <w:r>
        <w:rPr>
          <w:sz w:val="20"/>
        </w:rPr>
        <w:t>that</w:t>
      </w:r>
      <w:r>
        <w:rPr>
          <w:spacing w:val="-11"/>
          <w:sz w:val="20"/>
        </w:rPr>
        <w:t> </w:t>
      </w:r>
      <w:r>
        <w:rPr>
          <w:sz w:val="20"/>
        </w:rPr>
        <w:t>this</w:t>
      </w:r>
      <w:r>
        <w:rPr>
          <w:spacing w:val="-10"/>
          <w:sz w:val="20"/>
        </w:rPr>
        <w:t> </w:t>
      </w:r>
      <w:r>
        <w:rPr>
          <w:spacing w:val="-3"/>
          <w:sz w:val="20"/>
        </w:rPr>
        <w:t>would</w:t>
      </w:r>
      <w:r>
        <w:rPr>
          <w:spacing w:val="-11"/>
          <w:sz w:val="20"/>
        </w:rPr>
        <w:t> </w:t>
      </w:r>
      <w:r>
        <w:rPr>
          <w:sz w:val="20"/>
        </w:rPr>
        <w:t>not</w:t>
      </w:r>
      <w:r>
        <w:rPr>
          <w:spacing w:val="-10"/>
          <w:sz w:val="20"/>
        </w:rPr>
        <w:t> </w:t>
      </w:r>
      <w:r>
        <w:rPr>
          <w:sz w:val="20"/>
        </w:rPr>
        <w:t>be</w:t>
      </w:r>
      <w:r>
        <w:rPr>
          <w:spacing w:val="-11"/>
          <w:sz w:val="20"/>
        </w:rPr>
        <w:t> </w:t>
      </w:r>
      <w:r>
        <w:rPr>
          <w:sz w:val="20"/>
        </w:rPr>
        <w:t>a</w:t>
      </w:r>
      <w:r>
        <w:rPr>
          <w:spacing w:val="-10"/>
          <w:sz w:val="20"/>
        </w:rPr>
        <w:t> </w:t>
      </w:r>
      <w:r>
        <w:rPr>
          <w:sz w:val="20"/>
        </w:rPr>
        <w:t>significant</w:t>
      </w:r>
      <w:r>
        <w:rPr>
          <w:spacing w:val="-11"/>
          <w:sz w:val="20"/>
        </w:rPr>
        <w:t> </w:t>
      </w:r>
      <w:r>
        <w:rPr>
          <w:sz w:val="20"/>
        </w:rPr>
        <w:t>interruption</w:t>
      </w:r>
      <w:r>
        <w:rPr>
          <w:spacing w:val="-11"/>
          <w:sz w:val="20"/>
        </w:rPr>
        <w:t> </w:t>
      </w:r>
      <w:r>
        <w:rPr>
          <w:sz w:val="20"/>
        </w:rPr>
        <w:t>to</w:t>
      </w:r>
      <w:r>
        <w:rPr>
          <w:spacing w:val="-10"/>
          <w:sz w:val="20"/>
        </w:rPr>
        <w:t> </w:t>
      </w:r>
      <w:r>
        <w:rPr>
          <w:sz w:val="20"/>
        </w:rPr>
        <w:t>the</w:t>
      </w:r>
      <w:r>
        <w:rPr>
          <w:spacing w:val="-11"/>
          <w:sz w:val="20"/>
        </w:rPr>
        <w:t> </w:t>
      </w:r>
      <w:r>
        <w:rPr>
          <w:sz w:val="20"/>
        </w:rPr>
        <w:t>trial</w:t>
      </w:r>
      <w:r>
        <w:rPr>
          <w:spacing w:val="-10"/>
          <w:sz w:val="20"/>
        </w:rPr>
        <w:t> </w:t>
      </w:r>
      <w:r>
        <w:rPr>
          <w:sz w:val="20"/>
        </w:rPr>
        <w:t>and it</w:t>
      </w:r>
      <w:r>
        <w:rPr>
          <w:spacing w:val="-8"/>
          <w:sz w:val="20"/>
        </w:rPr>
        <w:t> </w:t>
      </w:r>
      <w:r>
        <w:rPr>
          <w:spacing w:val="-3"/>
          <w:sz w:val="20"/>
        </w:rPr>
        <w:t>would</w:t>
      </w:r>
      <w:r>
        <w:rPr>
          <w:spacing w:val="-7"/>
          <w:sz w:val="20"/>
        </w:rPr>
        <w:t> </w:t>
      </w:r>
      <w:r>
        <w:rPr>
          <w:sz w:val="20"/>
        </w:rPr>
        <w:t>be</w:t>
      </w:r>
      <w:r>
        <w:rPr>
          <w:spacing w:val="-7"/>
          <w:sz w:val="20"/>
        </w:rPr>
        <w:t> </w:t>
      </w:r>
      <w:r>
        <w:rPr>
          <w:sz w:val="20"/>
        </w:rPr>
        <w:t>good</w:t>
      </w:r>
      <w:r>
        <w:rPr>
          <w:spacing w:val="-8"/>
          <w:sz w:val="20"/>
        </w:rPr>
        <w:t> </w:t>
      </w:r>
      <w:r>
        <w:rPr>
          <w:sz w:val="20"/>
        </w:rPr>
        <w:t>for</w:t>
      </w:r>
      <w:r>
        <w:rPr>
          <w:spacing w:val="-7"/>
          <w:sz w:val="20"/>
        </w:rPr>
        <w:t> </w:t>
      </w:r>
      <w:r>
        <w:rPr>
          <w:sz w:val="20"/>
        </w:rPr>
        <w:t>the</w:t>
      </w:r>
      <w:r>
        <w:rPr>
          <w:spacing w:val="-7"/>
          <w:sz w:val="20"/>
        </w:rPr>
        <w:t> </w:t>
      </w:r>
      <w:r>
        <w:rPr>
          <w:sz w:val="20"/>
        </w:rPr>
        <w:t>parties,</w:t>
      </w:r>
      <w:r>
        <w:rPr>
          <w:spacing w:val="-8"/>
          <w:sz w:val="20"/>
        </w:rPr>
        <w:t> </w:t>
      </w:r>
      <w:r>
        <w:rPr>
          <w:sz w:val="20"/>
        </w:rPr>
        <w:t>jurors</w:t>
      </w:r>
      <w:r>
        <w:rPr>
          <w:spacing w:val="-7"/>
          <w:sz w:val="20"/>
        </w:rPr>
        <w:t> </w:t>
      </w:r>
      <w:r>
        <w:rPr>
          <w:sz w:val="20"/>
        </w:rPr>
        <w:t>and</w:t>
      </w:r>
      <w:r>
        <w:rPr>
          <w:spacing w:val="-7"/>
          <w:sz w:val="20"/>
        </w:rPr>
        <w:t> </w:t>
      </w:r>
      <w:r>
        <w:rPr>
          <w:sz w:val="20"/>
        </w:rPr>
        <w:t>lawyers</w:t>
      </w:r>
      <w:r>
        <w:rPr>
          <w:spacing w:val="-8"/>
          <w:sz w:val="20"/>
        </w:rPr>
        <w:t> </w:t>
      </w:r>
      <w:r>
        <w:rPr>
          <w:sz w:val="20"/>
        </w:rPr>
        <w:t>and</w:t>
      </w:r>
      <w:r>
        <w:rPr>
          <w:spacing w:val="-7"/>
          <w:sz w:val="20"/>
        </w:rPr>
        <w:t> </w:t>
      </w:r>
      <w:r>
        <w:rPr>
          <w:sz w:val="20"/>
        </w:rPr>
        <w:t>good</w:t>
      </w:r>
      <w:r>
        <w:rPr>
          <w:spacing w:val="-7"/>
          <w:sz w:val="20"/>
        </w:rPr>
        <w:t> </w:t>
      </w:r>
      <w:r>
        <w:rPr>
          <w:sz w:val="20"/>
        </w:rPr>
        <w:t>practice</w:t>
      </w:r>
      <w:r>
        <w:rPr>
          <w:spacing w:val="-8"/>
          <w:sz w:val="20"/>
        </w:rPr>
        <w:t> </w:t>
      </w:r>
      <w:r>
        <w:rPr>
          <w:spacing w:val="-3"/>
          <w:sz w:val="20"/>
        </w:rPr>
        <w:t>generally.</w:t>
      </w:r>
      <w:r>
        <w:rPr>
          <w:spacing w:val="-7"/>
          <w:sz w:val="20"/>
        </w:rPr>
        <w:t> </w:t>
      </w:r>
      <w:r>
        <w:rPr>
          <w:position w:val="7"/>
          <w:sz w:val="11"/>
        </w:rPr>
        <w:t>82</w:t>
      </w:r>
    </w:p>
    <w:p>
      <w:pPr>
        <w:pStyle w:val="BodyText"/>
        <w:spacing w:line="234" w:lineRule="exact"/>
        <w:ind w:left="1761"/>
      </w:pPr>
      <w:r>
        <w:rPr/>
        <w:t>NAATI also identified that ‘an Auslan interpreter needs to have confidence that others</w:t>
      </w:r>
    </w:p>
    <w:p>
      <w:pPr>
        <w:pStyle w:val="BodyText"/>
        <w:spacing w:line="259" w:lineRule="exact"/>
        <w:ind w:left="1761"/>
        <w:rPr>
          <w:sz w:val="11"/>
        </w:rPr>
      </w:pPr>
      <w:r>
        <w:rPr/>
        <w:t>understand’ their role.</w:t>
      </w:r>
      <w:r>
        <w:rPr>
          <w:position w:val="7"/>
          <w:sz w:val="11"/>
        </w:rPr>
        <w:t>83</w:t>
      </w:r>
    </w:p>
    <w:p>
      <w:pPr>
        <w:pStyle w:val="ListParagraph"/>
        <w:numPr>
          <w:ilvl w:val="1"/>
          <w:numId w:val="12"/>
        </w:numPr>
        <w:tabs>
          <w:tab w:pos="1761" w:val="left" w:leader="none"/>
          <w:tab w:pos="1762" w:val="left" w:leader="none"/>
        </w:tabs>
        <w:spacing w:line="206" w:lineRule="auto" w:before="115" w:after="0"/>
        <w:ind w:left="1761" w:right="1285" w:hanging="794"/>
        <w:jc w:val="left"/>
        <w:rPr>
          <w:sz w:val="20"/>
        </w:rPr>
      </w:pPr>
      <w:r>
        <w:rPr>
          <w:spacing w:val="-3"/>
          <w:sz w:val="20"/>
        </w:rPr>
        <w:t>At </w:t>
      </w:r>
      <w:r>
        <w:rPr>
          <w:sz w:val="20"/>
        </w:rPr>
        <w:t>the start of proceedings, and </w:t>
      </w:r>
      <w:r>
        <w:rPr>
          <w:spacing w:val="-3"/>
          <w:sz w:val="20"/>
        </w:rPr>
        <w:t>before </w:t>
      </w:r>
      <w:r>
        <w:rPr>
          <w:sz w:val="20"/>
        </w:rPr>
        <w:t>an </w:t>
      </w:r>
      <w:r>
        <w:rPr>
          <w:spacing w:val="-3"/>
          <w:sz w:val="20"/>
        </w:rPr>
        <w:t>interpreter </w:t>
      </w:r>
      <w:r>
        <w:rPr>
          <w:sz w:val="20"/>
        </w:rPr>
        <w:t>commences </w:t>
      </w:r>
      <w:r>
        <w:rPr>
          <w:spacing w:val="-3"/>
          <w:sz w:val="20"/>
        </w:rPr>
        <w:t>interpreting, </w:t>
      </w:r>
      <w:r>
        <w:rPr>
          <w:sz w:val="20"/>
        </w:rPr>
        <w:t>judges should </w:t>
      </w:r>
      <w:r>
        <w:rPr>
          <w:spacing w:val="-3"/>
          <w:sz w:val="20"/>
        </w:rPr>
        <w:t>introduce </w:t>
      </w:r>
      <w:r>
        <w:rPr>
          <w:sz w:val="20"/>
        </w:rPr>
        <w:t>the </w:t>
      </w:r>
      <w:r>
        <w:rPr>
          <w:spacing w:val="-3"/>
          <w:sz w:val="20"/>
        </w:rPr>
        <w:t>interpreter </w:t>
      </w:r>
      <w:r>
        <w:rPr>
          <w:sz w:val="20"/>
        </w:rPr>
        <w:t>and explain their </w:t>
      </w:r>
      <w:r>
        <w:rPr>
          <w:spacing w:val="-3"/>
          <w:sz w:val="20"/>
        </w:rPr>
        <w:t>role </w:t>
      </w:r>
      <w:r>
        <w:rPr>
          <w:sz w:val="20"/>
        </w:rPr>
        <w:t>as an officer of the court.</w:t>
      </w:r>
      <w:r>
        <w:rPr>
          <w:position w:val="7"/>
          <w:sz w:val="11"/>
        </w:rPr>
        <w:t>84 </w:t>
      </w:r>
      <w:r>
        <w:rPr>
          <w:sz w:val="20"/>
        </w:rPr>
        <w:t>This information</w:t>
      </w:r>
      <w:r>
        <w:rPr>
          <w:spacing w:val="-10"/>
          <w:sz w:val="20"/>
        </w:rPr>
        <w:t> </w:t>
      </w:r>
      <w:r>
        <w:rPr>
          <w:spacing w:val="-3"/>
          <w:sz w:val="20"/>
        </w:rPr>
        <w:t>would</w:t>
      </w:r>
      <w:r>
        <w:rPr>
          <w:spacing w:val="-10"/>
          <w:sz w:val="20"/>
        </w:rPr>
        <w:t> </w:t>
      </w:r>
      <w:r>
        <w:rPr>
          <w:sz w:val="20"/>
        </w:rPr>
        <w:t>be</w:t>
      </w:r>
      <w:r>
        <w:rPr>
          <w:spacing w:val="-9"/>
          <w:sz w:val="20"/>
        </w:rPr>
        <w:t> </w:t>
      </w:r>
      <w:r>
        <w:rPr>
          <w:sz w:val="20"/>
        </w:rPr>
        <w:t>most</w:t>
      </w:r>
      <w:r>
        <w:rPr>
          <w:spacing w:val="-10"/>
          <w:sz w:val="20"/>
        </w:rPr>
        <w:t> </w:t>
      </w:r>
      <w:r>
        <w:rPr>
          <w:sz w:val="20"/>
        </w:rPr>
        <w:t>helpful</w:t>
      </w:r>
      <w:r>
        <w:rPr>
          <w:spacing w:val="-9"/>
          <w:sz w:val="20"/>
        </w:rPr>
        <w:t> </w:t>
      </w:r>
      <w:r>
        <w:rPr>
          <w:sz w:val="20"/>
        </w:rPr>
        <w:t>if</w:t>
      </w:r>
      <w:r>
        <w:rPr>
          <w:spacing w:val="-10"/>
          <w:sz w:val="20"/>
        </w:rPr>
        <w:t> </w:t>
      </w:r>
      <w:r>
        <w:rPr>
          <w:sz w:val="20"/>
        </w:rPr>
        <w:t>it</w:t>
      </w:r>
      <w:r>
        <w:rPr>
          <w:spacing w:val="-9"/>
          <w:sz w:val="20"/>
        </w:rPr>
        <w:t> </w:t>
      </w:r>
      <w:r>
        <w:rPr>
          <w:sz w:val="20"/>
        </w:rPr>
        <w:t>could</w:t>
      </w:r>
      <w:r>
        <w:rPr>
          <w:spacing w:val="-10"/>
          <w:sz w:val="20"/>
        </w:rPr>
        <w:t> </w:t>
      </w:r>
      <w:r>
        <w:rPr>
          <w:sz w:val="20"/>
        </w:rPr>
        <w:t>be</w:t>
      </w:r>
      <w:r>
        <w:rPr>
          <w:spacing w:val="-10"/>
          <w:sz w:val="20"/>
        </w:rPr>
        <w:t> </w:t>
      </w:r>
      <w:r>
        <w:rPr>
          <w:sz w:val="20"/>
        </w:rPr>
        <w:t>reduced</w:t>
      </w:r>
      <w:r>
        <w:rPr>
          <w:spacing w:val="-9"/>
          <w:sz w:val="20"/>
        </w:rPr>
        <w:t> </w:t>
      </w:r>
      <w:r>
        <w:rPr>
          <w:spacing w:val="-3"/>
          <w:sz w:val="20"/>
        </w:rPr>
        <w:t>into</w:t>
      </w:r>
      <w:r>
        <w:rPr>
          <w:spacing w:val="-10"/>
          <w:sz w:val="20"/>
        </w:rPr>
        <w:t> </w:t>
      </w:r>
      <w:r>
        <w:rPr>
          <w:sz w:val="20"/>
        </w:rPr>
        <w:t>a</w:t>
      </w:r>
      <w:r>
        <w:rPr>
          <w:spacing w:val="-9"/>
          <w:sz w:val="20"/>
        </w:rPr>
        <w:t> </w:t>
      </w:r>
      <w:r>
        <w:rPr>
          <w:sz w:val="20"/>
        </w:rPr>
        <w:t>one-page</w:t>
      </w:r>
      <w:r>
        <w:rPr>
          <w:spacing w:val="-10"/>
          <w:sz w:val="20"/>
        </w:rPr>
        <w:t> </w:t>
      </w:r>
      <w:r>
        <w:rPr>
          <w:sz w:val="20"/>
        </w:rPr>
        <w:t>briefing.</w:t>
      </w:r>
      <w:r>
        <w:rPr>
          <w:spacing w:val="-9"/>
          <w:sz w:val="20"/>
        </w:rPr>
        <w:t> </w:t>
      </w:r>
      <w:r>
        <w:rPr>
          <w:sz w:val="20"/>
        </w:rPr>
        <w:t>The mock</w:t>
      </w:r>
      <w:r>
        <w:rPr>
          <w:spacing w:val="-10"/>
          <w:sz w:val="20"/>
        </w:rPr>
        <w:t> </w:t>
      </w:r>
      <w:r>
        <w:rPr>
          <w:sz w:val="20"/>
        </w:rPr>
        <w:t>trial</w:t>
      </w:r>
      <w:r>
        <w:rPr>
          <w:spacing w:val="-10"/>
          <w:sz w:val="20"/>
        </w:rPr>
        <w:t> </w:t>
      </w:r>
      <w:r>
        <w:rPr>
          <w:sz w:val="20"/>
        </w:rPr>
        <w:t>academics</w:t>
      </w:r>
      <w:r>
        <w:rPr>
          <w:spacing w:val="-9"/>
          <w:sz w:val="20"/>
        </w:rPr>
        <w:t> </w:t>
      </w:r>
      <w:r>
        <w:rPr>
          <w:sz w:val="20"/>
        </w:rPr>
        <w:t>noted</w:t>
      </w:r>
      <w:r>
        <w:rPr>
          <w:spacing w:val="-10"/>
          <w:sz w:val="20"/>
        </w:rPr>
        <w:t> </w:t>
      </w:r>
      <w:r>
        <w:rPr>
          <w:sz w:val="20"/>
        </w:rPr>
        <w:t>that</w:t>
      </w:r>
      <w:r>
        <w:rPr>
          <w:spacing w:val="-10"/>
          <w:sz w:val="20"/>
        </w:rPr>
        <w:t> </w:t>
      </w:r>
      <w:r>
        <w:rPr>
          <w:sz w:val="20"/>
        </w:rPr>
        <w:t>‘there</w:t>
      </w:r>
      <w:r>
        <w:rPr>
          <w:spacing w:val="-9"/>
          <w:sz w:val="20"/>
        </w:rPr>
        <w:t> </w:t>
      </w:r>
      <w:r>
        <w:rPr>
          <w:sz w:val="20"/>
        </w:rPr>
        <w:t>is</w:t>
      </w:r>
      <w:r>
        <w:rPr>
          <w:spacing w:val="-10"/>
          <w:sz w:val="20"/>
        </w:rPr>
        <w:t> </w:t>
      </w:r>
      <w:r>
        <w:rPr>
          <w:sz w:val="20"/>
        </w:rPr>
        <w:t>benefit</w:t>
      </w:r>
      <w:r>
        <w:rPr>
          <w:spacing w:val="-9"/>
          <w:sz w:val="20"/>
        </w:rPr>
        <w:t> </w:t>
      </w:r>
      <w:r>
        <w:rPr>
          <w:sz w:val="20"/>
        </w:rPr>
        <w:t>in</w:t>
      </w:r>
      <w:r>
        <w:rPr>
          <w:spacing w:val="-10"/>
          <w:sz w:val="20"/>
        </w:rPr>
        <w:t> </w:t>
      </w:r>
      <w:r>
        <w:rPr>
          <w:sz w:val="20"/>
        </w:rPr>
        <w:t>ensuring</w:t>
      </w:r>
      <w:r>
        <w:rPr>
          <w:spacing w:val="-10"/>
          <w:sz w:val="20"/>
        </w:rPr>
        <w:t> </w:t>
      </w:r>
      <w:r>
        <w:rPr>
          <w:spacing w:val="-2"/>
          <w:sz w:val="20"/>
        </w:rPr>
        <w:t>everyone</w:t>
      </w:r>
      <w:r>
        <w:rPr>
          <w:spacing w:val="-9"/>
          <w:sz w:val="20"/>
        </w:rPr>
        <w:t> </w:t>
      </w:r>
      <w:r>
        <w:rPr>
          <w:sz w:val="20"/>
        </w:rPr>
        <w:t>in</w:t>
      </w:r>
      <w:r>
        <w:rPr>
          <w:spacing w:val="-10"/>
          <w:sz w:val="20"/>
        </w:rPr>
        <w:t> </w:t>
      </w:r>
      <w:r>
        <w:rPr>
          <w:sz w:val="20"/>
        </w:rPr>
        <w:t>the</w:t>
      </w:r>
      <w:r>
        <w:rPr>
          <w:spacing w:val="-10"/>
          <w:sz w:val="20"/>
        </w:rPr>
        <w:t> </w:t>
      </w:r>
      <w:r>
        <w:rPr>
          <w:sz w:val="20"/>
        </w:rPr>
        <w:t>court</w:t>
      </w:r>
      <w:r>
        <w:rPr>
          <w:spacing w:val="-9"/>
          <w:sz w:val="20"/>
        </w:rPr>
        <w:t> </w:t>
      </w:r>
      <w:r>
        <w:rPr>
          <w:sz w:val="20"/>
        </w:rPr>
        <w:t>has a</w:t>
      </w:r>
      <w:r>
        <w:rPr>
          <w:spacing w:val="-9"/>
          <w:sz w:val="20"/>
        </w:rPr>
        <w:t> </w:t>
      </w:r>
      <w:r>
        <w:rPr>
          <w:spacing w:val="-3"/>
          <w:sz w:val="20"/>
        </w:rPr>
        <w:t>copy</w:t>
      </w:r>
      <w:r>
        <w:rPr>
          <w:spacing w:val="-8"/>
          <w:sz w:val="20"/>
        </w:rPr>
        <w:t> </w:t>
      </w:r>
      <w:r>
        <w:rPr>
          <w:sz w:val="20"/>
        </w:rPr>
        <w:t>of</w:t>
      </w:r>
      <w:r>
        <w:rPr>
          <w:spacing w:val="-8"/>
          <w:sz w:val="20"/>
        </w:rPr>
        <w:t> </w:t>
      </w:r>
      <w:r>
        <w:rPr>
          <w:sz w:val="20"/>
        </w:rPr>
        <w:t>that</w:t>
      </w:r>
      <w:r>
        <w:rPr>
          <w:spacing w:val="-8"/>
          <w:sz w:val="20"/>
        </w:rPr>
        <w:t> </w:t>
      </w:r>
      <w:r>
        <w:rPr>
          <w:sz w:val="20"/>
        </w:rPr>
        <w:t>briefing</w:t>
      </w:r>
      <w:r>
        <w:rPr>
          <w:spacing w:val="-9"/>
          <w:sz w:val="20"/>
        </w:rPr>
        <w:t> </w:t>
      </w:r>
      <w:r>
        <w:rPr>
          <w:sz w:val="20"/>
        </w:rPr>
        <w:t>to</w:t>
      </w:r>
      <w:r>
        <w:rPr>
          <w:spacing w:val="-8"/>
          <w:sz w:val="20"/>
        </w:rPr>
        <w:t> </w:t>
      </w:r>
      <w:r>
        <w:rPr>
          <w:sz w:val="20"/>
        </w:rPr>
        <w:t>understand</w:t>
      </w:r>
      <w:r>
        <w:rPr>
          <w:spacing w:val="-8"/>
          <w:sz w:val="20"/>
        </w:rPr>
        <w:t> </w:t>
      </w:r>
      <w:r>
        <w:rPr>
          <w:sz w:val="20"/>
        </w:rPr>
        <w:t>the</w:t>
      </w:r>
      <w:r>
        <w:rPr>
          <w:spacing w:val="-8"/>
          <w:sz w:val="20"/>
        </w:rPr>
        <w:t> </w:t>
      </w:r>
      <w:r>
        <w:rPr>
          <w:spacing w:val="-3"/>
          <w:sz w:val="20"/>
        </w:rPr>
        <w:t>role</w:t>
      </w:r>
      <w:r>
        <w:rPr>
          <w:spacing w:val="-9"/>
          <w:sz w:val="20"/>
        </w:rPr>
        <w:t> </w:t>
      </w:r>
      <w:r>
        <w:rPr>
          <w:sz w:val="20"/>
        </w:rPr>
        <w:t>of</w:t>
      </w:r>
      <w:r>
        <w:rPr>
          <w:spacing w:val="-8"/>
          <w:sz w:val="20"/>
        </w:rPr>
        <w:t> </w:t>
      </w:r>
      <w:r>
        <w:rPr>
          <w:spacing w:val="-3"/>
          <w:sz w:val="20"/>
        </w:rPr>
        <w:t>interpreters’.</w:t>
      </w:r>
      <w:r>
        <w:rPr>
          <w:spacing w:val="-3"/>
          <w:position w:val="7"/>
          <w:sz w:val="11"/>
        </w:rPr>
        <w:t>85</w:t>
      </w:r>
      <w:r>
        <w:rPr>
          <w:spacing w:val="17"/>
          <w:position w:val="7"/>
          <w:sz w:val="11"/>
        </w:rPr>
        <w:t> </w:t>
      </w:r>
      <w:r>
        <w:rPr>
          <w:sz w:val="20"/>
        </w:rPr>
        <w:t>They</w:t>
      </w:r>
      <w:r>
        <w:rPr>
          <w:spacing w:val="-8"/>
          <w:sz w:val="20"/>
        </w:rPr>
        <w:t> </w:t>
      </w:r>
      <w:r>
        <w:rPr>
          <w:sz w:val="20"/>
        </w:rPr>
        <w:t>suggested</w:t>
      </w:r>
      <w:r>
        <w:rPr>
          <w:spacing w:val="-9"/>
          <w:sz w:val="20"/>
        </w:rPr>
        <w:t> </w:t>
      </w:r>
      <w:r>
        <w:rPr>
          <w:sz w:val="20"/>
        </w:rPr>
        <w:t>that</w:t>
      </w:r>
      <w:r>
        <w:rPr>
          <w:spacing w:val="-8"/>
          <w:sz w:val="20"/>
        </w:rPr>
        <w:t> </w:t>
      </w:r>
      <w:r>
        <w:rPr>
          <w:sz w:val="20"/>
        </w:rPr>
        <w:t>the </w:t>
      </w:r>
      <w:r>
        <w:rPr>
          <w:spacing w:val="-4"/>
          <w:sz w:val="20"/>
        </w:rPr>
        <w:t>key</w:t>
      </w:r>
      <w:r>
        <w:rPr>
          <w:spacing w:val="-7"/>
          <w:sz w:val="20"/>
        </w:rPr>
        <w:t> </w:t>
      </w:r>
      <w:r>
        <w:rPr>
          <w:sz w:val="20"/>
        </w:rPr>
        <w:t>information</w:t>
      </w:r>
      <w:r>
        <w:rPr>
          <w:spacing w:val="-7"/>
          <w:sz w:val="20"/>
        </w:rPr>
        <w:t> </w:t>
      </w:r>
      <w:r>
        <w:rPr>
          <w:sz w:val="20"/>
        </w:rPr>
        <w:t>to</w:t>
      </w:r>
      <w:r>
        <w:rPr>
          <w:spacing w:val="-7"/>
          <w:sz w:val="20"/>
        </w:rPr>
        <w:t> </w:t>
      </w:r>
      <w:r>
        <w:rPr>
          <w:sz w:val="20"/>
        </w:rPr>
        <w:t>pass</w:t>
      </w:r>
      <w:r>
        <w:rPr>
          <w:spacing w:val="-7"/>
          <w:sz w:val="20"/>
        </w:rPr>
        <w:t> </w:t>
      </w:r>
      <w:r>
        <w:rPr>
          <w:sz w:val="20"/>
        </w:rPr>
        <w:t>on</w:t>
      </w:r>
      <w:r>
        <w:rPr>
          <w:spacing w:val="-7"/>
          <w:sz w:val="20"/>
        </w:rPr>
        <w:t> </w:t>
      </w:r>
      <w:r>
        <w:rPr>
          <w:sz w:val="20"/>
        </w:rPr>
        <w:t>about</w:t>
      </w:r>
      <w:r>
        <w:rPr>
          <w:spacing w:val="-7"/>
          <w:sz w:val="20"/>
        </w:rPr>
        <w:t> </w:t>
      </w:r>
      <w:r>
        <w:rPr>
          <w:sz w:val="20"/>
        </w:rPr>
        <w:t>working</w:t>
      </w:r>
      <w:r>
        <w:rPr>
          <w:spacing w:val="-7"/>
          <w:sz w:val="20"/>
        </w:rPr>
        <w:t> </w:t>
      </w:r>
      <w:r>
        <w:rPr>
          <w:sz w:val="20"/>
        </w:rPr>
        <w:t>with</w:t>
      </w:r>
      <w:r>
        <w:rPr>
          <w:spacing w:val="-7"/>
          <w:sz w:val="20"/>
        </w:rPr>
        <w:t> </w:t>
      </w:r>
      <w:r>
        <w:rPr>
          <w:spacing w:val="-3"/>
          <w:sz w:val="20"/>
        </w:rPr>
        <w:t>interpreters</w:t>
      </w:r>
      <w:r>
        <w:rPr>
          <w:spacing w:val="-7"/>
          <w:sz w:val="20"/>
        </w:rPr>
        <w:t> </w:t>
      </w:r>
      <w:r>
        <w:rPr>
          <w:sz w:val="20"/>
        </w:rPr>
        <w:t>is</w:t>
      </w:r>
      <w:r>
        <w:rPr>
          <w:spacing w:val="-7"/>
          <w:sz w:val="20"/>
        </w:rPr>
        <w:t> </w:t>
      </w:r>
      <w:r>
        <w:rPr>
          <w:sz w:val="20"/>
        </w:rPr>
        <w:t>information</w:t>
      </w:r>
      <w:r>
        <w:rPr>
          <w:spacing w:val="-7"/>
          <w:sz w:val="20"/>
        </w:rPr>
        <w:t> </w:t>
      </w:r>
      <w:r>
        <w:rPr>
          <w:sz w:val="20"/>
        </w:rPr>
        <w:t>about:</w:t>
      </w:r>
    </w:p>
    <w:p>
      <w:pPr>
        <w:pStyle w:val="ListParagraph"/>
        <w:numPr>
          <w:ilvl w:val="2"/>
          <w:numId w:val="12"/>
        </w:numPr>
        <w:tabs>
          <w:tab w:pos="2157" w:val="left" w:leader="none"/>
          <w:tab w:pos="2158" w:val="left" w:leader="none"/>
        </w:tabs>
        <w:spacing w:line="240" w:lineRule="auto" w:before="95" w:after="0"/>
        <w:ind w:left="2157" w:right="0" w:hanging="396"/>
        <w:jc w:val="left"/>
        <w:rPr>
          <w:sz w:val="20"/>
        </w:rPr>
      </w:pPr>
      <w:r>
        <w:rPr>
          <w:spacing w:val="-3"/>
          <w:sz w:val="20"/>
        </w:rPr>
        <w:t>how </w:t>
      </w:r>
      <w:r>
        <w:rPr>
          <w:sz w:val="20"/>
        </w:rPr>
        <w:t>they</w:t>
      </w:r>
      <w:r>
        <w:rPr>
          <w:spacing w:val="-6"/>
          <w:sz w:val="20"/>
        </w:rPr>
        <w:t> </w:t>
      </w:r>
      <w:r>
        <w:rPr>
          <w:spacing w:val="-3"/>
          <w:sz w:val="20"/>
        </w:rPr>
        <w:t>work</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the need for two</w:t>
      </w:r>
      <w:r>
        <w:rPr>
          <w:spacing w:val="-17"/>
          <w:sz w:val="20"/>
        </w:rPr>
        <w:t> </w:t>
      </w:r>
      <w:r>
        <w:rPr>
          <w:spacing w:val="-3"/>
          <w:sz w:val="20"/>
        </w:rPr>
        <w:t>interpreters</w:t>
      </w:r>
    </w:p>
    <w:p>
      <w:pPr>
        <w:pStyle w:val="ListParagraph"/>
        <w:numPr>
          <w:ilvl w:val="2"/>
          <w:numId w:val="12"/>
        </w:numPr>
        <w:tabs>
          <w:tab w:pos="2157" w:val="left" w:leader="none"/>
          <w:tab w:pos="2158" w:val="left" w:leader="none"/>
        </w:tabs>
        <w:spacing w:line="206" w:lineRule="auto" w:before="80" w:after="0"/>
        <w:ind w:left="2157" w:right="1626" w:hanging="396"/>
        <w:jc w:val="left"/>
        <w:rPr>
          <w:sz w:val="20"/>
        </w:rPr>
      </w:pPr>
      <w:r>
        <w:rPr>
          <w:sz w:val="20"/>
        </w:rPr>
        <w:t>the</w:t>
      </w:r>
      <w:r>
        <w:rPr>
          <w:spacing w:val="-9"/>
          <w:sz w:val="20"/>
        </w:rPr>
        <w:t> </w:t>
      </w:r>
      <w:r>
        <w:rPr>
          <w:sz w:val="20"/>
        </w:rPr>
        <w:t>need</w:t>
      </w:r>
      <w:r>
        <w:rPr>
          <w:spacing w:val="-9"/>
          <w:sz w:val="20"/>
        </w:rPr>
        <w:t> </w:t>
      </w:r>
      <w:r>
        <w:rPr>
          <w:sz w:val="20"/>
        </w:rPr>
        <w:t>for</w:t>
      </w:r>
      <w:r>
        <w:rPr>
          <w:spacing w:val="-9"/>
          <w:sz w:val="20"/>
        </w:rPr>
        <w:t> </w:t>
      </w:r>
      <w:r>
        <w:rPr>
          <w:sz w:val="20"/>
        </w:rPr>
        <w:t>people</w:t>
      </w:r>
      <w:r>
        <w:rPr>
          <w:spacing w:val="-9"/>
          <w:sz w:val="20"/>
        </w:rPr>
        <w:t> </w:t>
      </w:r>
      <w:r>
        <w:rPr>
          <w:sz w:val="20"/>
        </w:rPr>
        <w:t>speaking</w:t>
      </w:r>
      <w:r>
        <w:rPr>
          <w:spacing w:val="-8"/>
          <w:sz w:val="20"/>
        </w:rPr>
        <w:t> </w:t>
      </w:r>
      <w:r>
        <w:rPr>
          <w:sz w:val="20"/>
        </w:rPr>
        <w:t>in</w:t>
      </w:r>
      <w:r>
        <w:rPr>
          <w:spacing w:val="-9"/>
          <w:sz w:val="20"/>
        </w:rPr>
        <w:t> </w:t>
      </w:r>
      <w:r>
        <w:rPr>
          <w:sz w:val="20"/>
        </w:rPr>
        <w:t>court</w:t>
      </w:r>
      <w:r>
        <w:rPr>
          <w:spacing w:val="-9"/>
          <w:sz w:val="20"/>
        </w:rPr>
        <w:t> </w:t>
      </w:r>
      <w:r>
        <w:rPr>
          <w:sz w:val="20"/>
        </w:rPr>
        <w:t>to</w:t>
      </w:r>
      <w:r>
        <w:rPr>
          <w:spacing w:val="-9"/>
          <w:sz w:val="20"/>
        </w:rPr>
        <w:t> </w:t>
      </w:r>
      <w:r>
        <w:rPr>
          <w:sz w:val="20"/>
        </w:rPr>
        <w:t>take</w:t>
      </w:r>
      <w:r>
        <w:rPr>
          <w:spacing w:val="-8"/>
          <w:sz w:val="20"/>
        </w:rPr>
        <w:t> </w:t>
      </w:r>
      <w:r>
        <w:rPr>
          <w:sz w:val="20"/>
        </w:rPr>
        <w:t>turns</w:t>
      </w:r>
      <w:r>
        <w:rPr>
          <w:spacing w:val="-9"/>
          <w:sz w:val="20"/>
        </w:rPr>
        <w:t> </w:t>
      </w:r>
      <w:r>
        <w:rPr>
          <w:sz w:val="20"/>
        </w:rPr>
        <w:t>and</w:t>
      </w:r>
      <w:r>
        <w:rPr>
          <w:spacing w:val="-9"/>
          <w:sz w:val="20"/>
        </w:rPr>
        <w:t> </w:t>
      </w:r>
      <w:r>
        <w:rPr>
          <w:sz w:val="20"/>
        </w:rPr>
        <w:t>not</w:t>
      </w:r>
      <w:r>
        <w:rPr>
          <w:spacing w:val="-9"/>
          <w:sz w:val="20"/>
        </w:rPr>
        <w:t> </w:t>
      </w:r>
      <w:r>
        <w:rPr>
          <w:sz w:val="20"/>
        </w:rPr>
        <w:t>to</w:t>
      </w:r>
      <w:r>
        <w:rPr>
          <w:spacing w:val="-9"/>
          <w:sz w:val="20"/>
        </w:rPr>
        <w:t> </w:t>
      </w:r>
      <w:r>
        <w:rPr>
          <w:sz w:val="20"/>
        </w:rPr>
        <w:t>speak</w:t>
      </w:r>
      <w:r>
        <w:rPr>
          <w:spacing w:val="-8"/>
          <w:sz w:val="20"/>
        </w:rPr>
        <w:t> </w:t>
      </w:r>
      <w:r>
        <w:rPr>
          <w:spacing w:val="-4"/>
          <w:sz w:val="20"/>
        </w:rPr>
        <w:t>over</w:t>
      </w:r>
      <w:r>
        <w:rPr>
          <w:spacing w:val="-9"/>
          <w:sz w:val="20"/>
        </w:rPr>
        <w:t> </w:t>
      </w:r>
      <w:r>
        <w:rPr>
          <w:sz w:val="20"/>
        </w:rPr>
        <w:t>each other</w:t>
      </w:r>
    </w:p>
    <w:p>
      <w:pPr>
        <w:pStyle w:val="ListParagraph"/>
        <w:numPr>
          <w:ilvl w:val="2"/>
          <w:numId w:val="12"/>
        </w:numPr>
        <w:tabs>
          <w:tab w:pos="2157" w:val="left" w:leader="none"/>
          <w:tab w:pos="2158" w:val="left" w:leader="none"/>
        </w:tabs>
        <w:spacing w:line="240" w:lineRule="auto" w:before="55" w:after="0"/>
        <w:ind w:left="2157" w:right="0" w:hanging="396"/>
        <w:jc w:val="left"/>
        <w:rPr>
          <w:sz w:val="20"/>
        </w:rPr>
      </w:pPr>
      <w:r>
        <w:rPr>
          <w:sz w:val="20"/>
        </w:rPr>
        <w:t>the impartial </w:t>
      </w:r>
      <w:r>
        <w:rPr>
          <w:spacing w:val="-3"/>
          <w:sz w:val="20"/>
        </w:rPr>
        <w:t>role </w:t>
      </w:r>
      <w:r>
        <w:rPr>
          <w:sz w:val="20"/>
        </w:rPr>
        <w:t>of the</w:t>
      </w:r>
      <w:r>
        <w:rPr>
          <w:spacing w:val="-18"/>
          <w:sz w:val="20"/>
        </w:rPr>
        <w:t> </w:t>
      </w:r>
      <w:r>
        <w:rPr>
          <w:spacing w:val="-3"/>
          <w:sz w:val="20"/>
        </w:rPr>
        <w:t>interpreter</w:t>
      </w:r>
    </w:p>
    <w:p>
      <w:pPr>
        <w:pStyle w:val="ListParagraph"/>
        <w:numPr>
          <w:ilvl w:val="2"/>
          <w:numId w:val="12"/>
        </w:numPr>
        <w:tabs>
          <w:tab w:pos="2157" w:val="left" w:leader="none"/>
          <w:tab w:pos="2158" w:val="left" w:leader="none"/>
        </w:tabs>
        <w:spacing w:line="240" w:lineRule="auto" w:before="48" w:after="0"/>
        <w:ind w:left="2157" w:right="0" w:hanging="396"/>
        <w:jc w:val="left"/>
        <w:rPr>
          <w:sz w:val="11"/>
        </w:rPr>
      </w:pPr>
      <w:r>
        <w:rPr>
          <w:sz w:val="20"/>
        </w:rPr>
        <w:t>not</w:t>
      </w:r>
      <w:r>
        <w:rPr>
          <w:spacing w:val="-5"/>
          <w:sz w:val="20"/>
        </w:rPr>
        <w:t> </w:t>
      </w:r>
      <w:r>
        <w:rPr>
          <w:sz w:val="20"/>
        </w:rPr>
        <w:t>to</w:t>
      </w:r>
      <w:r>
        <w:rPr>
          <w:spacing w:val="-5"/>
          <w:sz w:val="20"/>
        </w:rPr>
        <w:t> </w:t>
      </w:r>
      <w:r>
        <w:rPr>
          <w:sz w:val="20"/>
        </w:rPr>
        <w:t>ask</w:t>
      </w:r>
      <w:r>
        <w:rPr>
          <w:spacing w:val="-4"/>
          <w:sz w:val="20"/>
        </w:rPr>
        <w:t> </w:t>
      </w:r>
      <w:r>
        <w:rPr>
          <w:sz w:val="20"/>
        </w:rPr>
        <w:t>the</w:t>
      </w:r>
      <w:r>
        <w:rPr>
          <w:spacing w:val="-5"/>
          <w:sz w:val="20"/>
        </w:rPr>
        <w:t> </w:t>
      </w:r>
      <w:r>
        <w:rPr>
          <w:spacing w:val="-3"/>
          <w:sz w:val="20"/>
        </w:rPr>
        <w:t>interpreter</w:t>
      </w:r>
      <w:r>
        <w:rPr>
          <w:spacing w:val="-5"/>
          <w:sz w:val="20"/>
        </w:rPr>
        <w:t> </w:t>
      </w:r>
      <w:r>
        <w:rPr>
          <w:sz w:val="20"/>
        </w:rPr>
        <w:t>for</w:t>
      </w:r>
      <w:r>
        <w:rPr>
          <w:spacing w:val="-4"/>
          <w:sz w:val="20"/>
        </w:rPr>
        <w:t> </w:t>
      </w:r>
      <w:r>
        <w:rPr>
          <w:sz w:val="20"/>
        </w:rPr>
        <w:t>their</w:t>
      </w:r>
      <w:r>
        <w:rPr>
          <w:spacing w:val="-5"/>
          <w:sz w:val="20"/>
        </w:rPr>
        <w:t> </w:t>
      </w:r>
      <w:r>
        <w:rPr>
          <w:sz w:val="20"/>
        </w:rPr>
        <w:t>opinion</w:t>
      </w:r>
      <w:r>
        <w:rPr>
          <w:spacing w:val="-4"/>
          <w:sz w:val="20"/>
        </w:rPr>
        <w:t> </w:t>
      </w:r>
      <w:r>
        <w:rPr>
          <w:sz w:val="20"/>
        </w:rPr>
        <w:t>during</w:t>
      </w:r>
      <w:r>
        <w:rPr>
          <w:spacing w:val="-5"/>
          <w:sz w:val="20"/>
        </w:rPr>
        <w:t> </w:t>
      </w:r>
      <w:r>
        <w:rPr>
          <w:sz w:val="20"/>
        </w:rPr>
        <w:t>deliberations.</w:t>
      </w:r>
      <w:r>
        <w:rPr>
          <w:position w:val="7"/>
          <w:sz w:val="11"/>
        </w:rPr>
        <w:t>86</w:t>
      </w:r>
    </w:p>
    <w:p>
      <w:pPr>
        <w:pStyle w:val="ListParagraph"/>
        <w:numPr>
          <w:ilvl w:val="1"/>
          <w:numId w:val="12"/>
        </w:numPr>
        <w:tabs>
          <w:tab w:pos="1761" w:val="left" w:leader="none"/>
          <w:tab w:pos="1762" w:val="left" w:leader="none"/>
        </w:tabs>
        <w:spacing w:line="206" w:lineRule="auto" w:before="80" w:after="0"/>
        <w:ind w:left="1761" w:right="1261" w:hanging="794"/>
        <w:jc w:val="left"/>
        <w:rPr>
          <w:sz w:val="11"/>
        </w:rPr>
      </w:pPr>
      <w:r>
        <w:rPr>
          <w:sz w:val="20"/>
        </w:rPr>
        <w:t>Some</w:t>
      </w:r>
      <w:r>
        <w:rPr>
          <w:spacing w:val="-10"/>
          <w:sz w:val="20"/>
        </w:rPr>
        <w:t> </w:t>
      </w:r>
      <w:r>
        <w:rPr>
          <w:sz w:val="20"/>
        </w:rPr>
        <w:t>of</w:t>
      </w:r>
      <w:r>
        <w:rPr>
          <w:spacing w:val="-10"/>
          <w:sz w:val="20"/>
        </w:rPr>
        <w:t> </w:t>
      </w:r>
      <w:r>
        <w:rPr>
          <w:sz w:val="20"/>
        </w:rPr>
        <w:t>the</w:t>
      </w:r>
      <w:r>
        <w:rPr>
          <w:spacing w:val="-9"/>
          <w:sz w:val="20"/>
        </w:rPr>
        <w:t> </w:t>
      </w:r>
      <w:r>
        <w:rPr>
          <w:sz w:val="20"/>
        </w:rPr>
        <w:t>information</w:t>
      </w:r>
      <w:r>
        <w:rPr>
          <w:spacing w:val="-10"/>
          <w:sz w:val="20"/>
        </w:rPr>
        <w:t> </w:t>
      </w:r>
      <w:r>
        <w:rPr>
          <w:sz w:val="20"/>
        </w:rPr>
        <w:t>that</w:t>
      </w:r>
      <w:r>
        <w:rPr>
          <w:spacing w:val="-10"/>
          <w:sz w:val="20"/>
        </w:rPr>
        <w:t> </w:t>
      </w:r>
      <w:r>
        <w:rPr>
          <w:sz w:val="20"/>
        </w:rPr>
        <w:t>could</w:t>
      </w:r>
      <w:r>
        <w:rPr>
          <w:spacing w:val="-9"/>
          <w:sz w:val="20"/>
        </w:rPr>
        <w:t> </w:t>
      </w:r>
      <w:r>
        <w:rPr>
          <w:sz w:val="20"/>
        </w:rPr>
        <w:t>be</w:t>
      </w:r>
      <w:r>
        <w:rPr>
          <w:spacing w:val="-10"/>
          <w:sz w:val="20"/>
        </w:rPr>
        <w:t> </w:t>
      </w:r>
      <w:r>
        <w:rPr>
          <w:spacing w:val="-3"/>
          <w:sz w:val="20"/>
        </w:rPr>
        <w:t>provided</w:t>
      </w:r>
      <w:r>
        <w:rPr>
          <w:spacing w:val="-10"/>
          <w:sz w:val="20"/>
        </w:rPr>
        <w:t> </w:t>
      </w:r>
      <w:r>
        <w:rPr>
          <w:sz w:val="20"/>
        </w:rPr>
        <w:t>to</w:t>
      </w:r>
      <w:r>
        <w:rPr>
          <w:spacing w:val="-9"/>
          <w:sz w:val="20"/>
        </w:rPr>
        <w:t> </w:t>
      </w:r>
      <w:r>
        <w:rPr>
          <w:sz w:val="20"/>
        </w:rPr>
        <w:t>the</w:t>
      </w:r>
      <w:r>
        <w:rPr>
          <w:spacing w:val="-10"/>
          <w:sz w:val="20"/>
        </w:rPr>
        <w:t> </w:t>
      </w:r>
      <w:r>
        <w:rPr>
          <w:sz w:val="20"/>
        </w:rPr>
        <w:t>jurors</w:t>
      </w:r>
      <w:r>
        <w:rPr>
          <w:spacing w:val="-10"/>
          <w:sz w:val="20"/>
        </w:rPr>
        <w:t> </w:t>
      </w:r>
      <w:r>
        <w:rPr>
          <w:sz w:val="20"/>
        </w:rPr>
        <w:t>could</w:t>
      </w:r>
      <w:r>
        <w:rPr>
          <w:spacing w:val="-9"/>
          <w:sz w:val="20"/>
        </w:rPr>
        <w:t> </w:t>
      </w:r>
      <w:r>
        <w:rPr>
          <w:sz w:val="20"/>
        </w:rPr>
        <w:t>be</w:t>
      </w:r>
      <w:r>
        <w:rPr>
          <w:spacing w:val="-10"/>
          <w:sz w:val="20"/>
        </w:rPr>
        <w:t> </w:t>
      </w:r>
      <w:r>
        <w:rPr>
          <w:sz w:val="20"/>
        </w:rPr>
        <w:t>modelled</w:t>
      </w:r>
      <w:r>
        <w:rPr>
          <w:spacing w:val="-10"/>
          <w:sz w:val="20"/>
        </w:rPr>
        <w:t> </w:t>
      </w:r>
      <w:r>
        <w:rPr>
          <w:sz w:val="20"/>
        </w:rPr>
        <w:t>on</w:t>
      </w:r>
      <w:r>
        <w:rPr>
          <w:spacing w:val="-9"/>
          <w:sz w:val="20"/>
        </w:rPr>
        <w:t> </w:t>
      </w:r>
      <w:r>
        <w:rPr>
          <w:sz w:val="20"/>
        </w:rPr>
        <w:t>the information</w:t>
      </w:r>
      <w:r>
        <w:rPr>
          <w:spacing w:val="-9"/>
          <w:sz w:val="20"/>
        </w:rPr>
        <w:t> </w:t>
      </w:r>
      <w:r>
        <w:rPr>
          <w:spacing w:val="-3"/>
          <w:sz w:val="20"/>
        </w:rPr>
        <w:t>prepared</w:t>
      </w:r>
      <w:r>
        <w:rPr>
          <w:spacing w:val="-8"/>
          <w:sz w:val="20"/>
        </w:rPr>
        <w:t> </w:t>
      </w:r>
      <w:r>
        <w:rPr>
          <w:sz w:val="20"/>
        </w:rPr>
        <w:t>for</w:t>
      </w:r>
      <w:r>
        <w:rPr>
          <w:spacing w:val="-9"/>
          <w:sz w:val="20"/>
        </w:rPr>
        <w:t> </w:t>
      </w:r>
      <w:r>
        <w:rPr>
          <w:sz w:val="20"/>
        </w:rPr>
        <w:t>the</w:t>
      </w:r>
      <w:r>
        <w:rPr>
          <w:spacing w:val="-8"/>
          <w:sz w:val="20"/>
        </w:rPr>
        <w:t> </w:t>
      </w:r>
      <w:r>
        <w:rPr>
          <w:sz w:val="20"/>
        </w:rPr>
        <w:t>mock</w:t>
      </w:r>
      <w:r>
        <w:rPr>
          <w:spacing w:val="-8"/>
          <w:sz w:val="20"/>
        </w:rPr>
        <w:t> </w:t>
      </w:r>
      <w:r>
        <w:rPr>
          <w:sz w:val="20"/>
        </w:rPr>
        <w:t>trial.</w:t>
      </w:r>
      <w:r>
        <w:rPr>
          <w:spacing w:val="-9"/>
          <w:sz w:val="20"/>
        </w:rPr>
        <w:t> </w:t>
      </w:r>
      <w:r>
        <w:rPr>
          <w:sz w:val="20"/>
        </w:rPr>
        <w:t>As</w:t>
      </w:r>
      <w:r>
        <w:rPr>
          <w:spacing w:val="-8"/>
          <w:sz w:val="20"/>
        </w:rPr>
        <w:t> </w:t>
      </w:r>
      <w:r>
        <w:rPr>
          <w:sz w:val="20"/>
        </w:rPr>
        <w:t>well</w:t>
      </w:r>
      <w:r>
        <w:rPr>
          <w:spacing w:val="-8"/>
          <w:sz w:val="20"/>
        </w:rPr>
        <w:t> </w:t>
      </w:r>
      <w:r>
        <w:rPr>
          <w:sz w:val="20"/>
        </w:rPr>
        <w:t>as</w:t>
      </w:r>
      <w:r>
        <w:rPr>
          <w:spacing w:val="-9"/>
          <w:sz w:val="20"/>
        </w:rPr>
        <w:t> </w:t>
      </w:r>
      <w:r>
        <w:rPr>
          <w:spacing w:val="-3"/>
          <w:sz w:val="20"/>
        </w:rPr>
        <w:t>covering</w:t>
      </w:r>
      <w:r>
        <w:rPr>
          <w:spacing w:val="-8"/>
          <w:sz w:val="20"/>
        </w:rPr>
        <w:t> </w:t>
      </w:r>
      <w:r>
        <w:rPr>
          <w:sz w:val="20"/>
        </w:rPr>
        <w:t>the</w:t>
      </w:r>
      <w:r>
        <w:rPr>
          <w:spacing w:val="-8"/>
          <w:sz w:val="20"/>
        </w:rPr>
        <w:t> </w:t>
      </w:r>
      <w:r>
        <w:rPr>
          <w:sz w:val="20"/>
        </w:rPr>
        <w:t>information</w:t>
      </w:r>
      <w:r>
        <w:rPr>
          <w:spacing w:val="-9"/>
          <w:sz w:val="20"/>
        </w:rPr>
        <w:t> </w:t>
      </w:r>
      <w:r>
        <w:rPr>
          <w:spacing w:val="-3"/>
          <w:sz w:val="20"/>
        </w:rPr>
        <w:t>provided</w:t>
      </w:r>
      <w:r>
        <w:rPr>
          <w:spacing w:val="-8"/>
          <w:sz w:val="20"/>
        </w:rPr>
        <w:t> </w:t>
      </w:r>
      <w:r>
        <w:rPr>
          <w:sz w:val="20"/>
        </w:rPr>
        <w:t>to lawyers</w:t>
      </w:r>
      <w:r>
        <w:rPr>
          <w:spacing w:val="-9"/>
          <w:sz w:val="20"/>
        </w:rPr>
        <w:t> </w:t>
      </w:r>
      <w:r>
        <w:rPr>
          <w:sz w:val="20"/>
        </w:rPr>
        <w:t>and</w:t>
      </w:r>
      <w:r>
        <w:rPr>
          <w:spacing w:val="-9"/>
          <w:sz w:val="20"/>
        </w:rPr>
        <w:t> </w:t>
      </w:r>
      <w:r>
        <w:rPr>
          <w:sz w:val="20"/>
        </w:rPr>
        <w:t>judges,</w:t>
      </w:r>
      <w:r>
        <w:rPr>
          <w:spacing w:val="-9"/>
          <w:sz w:val="20"/>
        </w:rPr>
        <w:t> </w:t>
      </w:r>
      <w:r>
        <w:rPr>
          <w:sz w:val="20"/>
        </w:rPr>
        <w:t>summarised</w:t>
      </w:r>
      <w:r>
        <w:rPr>
          <w:spacing w:val="-9"/>
          <w:sz w:val="20"/>
        </w:rPr>
        <w:t> </w:t>
      </w:r>
      <w:r>
        <w:rPr>
          <w:spacing w:val="-3"/>
          <w:sz w:val="20"/>
        </w:rPr>
        <w:t>earlier,</w:t>
      </w:r>
      <w:r>
        <w:rPr>
          <w:spacing w:val="-9"/>
          <w:sz w:val="20"/>
        </w:rPr>
        <w:t> </w:t>
      </w:r>
      <w:r>
        <w:rPr>
          <w:sz w:val="20"/>
        </w:rPr>
        <w:t>this</w:t>
      </w:r>
      <w:r>
        <w:rPr>
          <w:spacing w:val="-9"/>
          <w:sz w:val="20"/>
        </w:rPr>
        <w:t> </w:t>
      </w:r>
      <w:r>
        <w:rPr>
          <w:spacing w:val="-4"/>
          <w:sz w:val="20"/>
        </w:rPr>
        <w:t>covered</w:t>
      </w:r>
      <w:r>
        <w:rPr>
          <w:spacing w:val="-9"/>
          <w:sz w:val="20"/>
        </w:rPr>
        <w:t> </w:t>
      </w:r>
      <w:r>
        <w:rPr>
          <w:spacing w:val="-3"/>
          <w:sz w:val="20"/>
        </w:rPr>
        <w:t>how</w:t>
      </w:r>
      <w:r>
        <w:rPr>
          <w:spacing w:val="-9"/>
          <w:sz w:val="20"/>
        </w:rPr>
        <w:t> </w:t>
      </w:r>
      <w:r>
        <w:rPr>
          <w:sz w:val="20"/>
        </w:rPr>
        <w:t>the</w:t>
      </w:r>
      <w:r>
        <w:rPr>
          <w:spacing w:val="-9"/>
          <w:sz w:val="20"/>
        </w:rPr>
        <w:t> </w:t>
      </w:r>
      <w:r>
        <w:rPr>
          <w:sz w:val="20"/>
        </w:rPr>
        <w:t>foreperson</w:t>
      </w:r>
      <w:r>
        <w:rPr>
          <w:spacing w:val="-9"/>
          <w:sz w:val="20"/>
        </w:rPr>
        <w:t> </w:t>
      </w:r>
      <w:r>
        <w:rPr>
          <w:spacing w:val="-3"/>
          <w:sz w:val="20"/>
        </w:rPr>
        <w:t>would</w:t>
      </w:r>
      <w:r>
        <w:rPr>
          <w:spacing w:val="-9"/>
          <w:sz w:val="20"/>
        </w:rPr>
        <w:t> </w:t>
      </w:r>
      <w:r>
        <w:rPr>
          <w:sz w:val="20"/>
        </w:rPr>
        <w:t>agree strategies with the </w:t>
      </w:r>
      <w:r>
        <w:rPr>
          <w:spacing w:val="-3"/>
          <w:sz w:val="20"/>
        </w:rPr>
        <w:t>interpreters </w:t>
      </w:r>
      <w:r>
        <w:rPr>
          <w:sz w:val="20"/>
        </w:rPr>
        <w:t>to manage the </w:t>
      </w:r>
      <w:r>
        <w:rPr>
          <w:spacing w:val="-3"/>
          <w:sz w:val="20"/>
        </w:rPr>
        <w:t>flow </w:t>
      </w:r>
      <w:r>
        <w:rPr>
          <w:sz w:val="20"/>
        </w:rPr>
        <w:t>of the </w:t>
      </w:r>
      <w:r>
        <w:rPr>
          <w:spacing w:val="-3"/>
          <w:sz w:val="20"/>
        </w:rPr>
        <w:t>conversation </w:t>
      </w:r>
      <w:r>
        <w:rPr>
          <w:sz w:val="20"/>
        </w:rPr>
        <w:t>and minimise overlapping</w:t>
      </w:r>
      <w:r>
        <w:rPr>
          <w:spacing w:val="-5"/>
          <w:sz w:val="20"/>
        </w:rPr>
        <w:t> </w:t>
      </w:r>
      <w:r>
        <w:rPr>
          <w:sz w:val="20"/>
        </w:rPr>
        <w:t>speech.</w:t>
      </w:r>
      <w:r>
        <w:rPr>
          <w:position w:val="7"/>
          <w:sz w:val="11"/>
        </w:rPr>
        <w:t>87</w:t>
      </w:r>
    </w:p>
    <w:p>
      <w:pPr>
        <w:pStyle w:val="Heading6"/>
        <w:rPr>
          <w:b/>
        </w:rPr>
      </w:pPr>
      <w:r>
        <w:rPr>
          <w:b/>
        </w:rPr>
        <w:t>Directions to the jury before final deliberations</w:t>
      </w:r>
    </w:p>
    <w:p>
      <w:pPr>
        <w:pStyle w:val="ListParagraph"/>
        <w:numPr>
          <w:ilvl w:val="1"/>
          <w:numId w:val="12"/>
        </w:numPr>
        <w:tabs>
          <w:tab w:pos="1761" w:val="left" w:leader="none"/>
          <w:tab w:pos="1762" w:val="left" w:leader="none"/>
        </w:tabs>
        <w:spacing w:line="206" w:lineRule="auto" w:before="132" w:after="0"/>
        <w:ind w:left="1761" w:right="1228" w:hanging="794"/>
        <w:jc w:val="left"/>
        <w:rPr>
          <w:sz w:val="20"/>
        </w:rPr>
      </w:pPr>
      <w:r>
        <w:rPr>
          <w:sz w:val="20"/>
        </w:rPr>
        <w:t>The Commission suggests a simple direction be given </w:t>
      </w:r>
      <w:r>
        <w:rPr>
          <w:spacing w:val="-3"/>
          <w:sz w:val="20"/>
        </w:rPr>
        <w:t>by </w:t>
      </w:r>
      <w:r>
        <w:rPr>
          <w:sz w:val="20"/>
        </w:rPr>
        <w:t>the judge to the </w:t>
      </w:r>
      <w:r>
        <w:rPr>
          <w:spacing w:val="-3"/>
          <w:sz w:val="20"/>
        </w:rPr>
        <w:t>jury, before </w:t>
      </w:r>
      <w:r>
        <w:rPr>
          <w:sz w:val="20"/>
        </w:rPr>
        <w:t>jury deliberations formally commence, if a support person or Auslan </w:t>
      </w:r>
      <w:r>
        <w:rPr>
          <w:spacing w:val="-3"/>
          <w:sz w:val="20"/>
        </w:rPr>
        <w:t>interpreters are </w:t>
      </w:r>
      <w:r>
        <w:rPr>
          <w:sz w:val="20"/>
        </w:rPr>
        <w:t>going to enter the jury room. The Commission acknowledges that the jury will be discussing</w:t>
      </w:r>
      <w:r>
        <w:rPr>
          <w:spacing w:val="-9"/>
          <w:sz w:val="20"/>
        </w:rPr>
        <w:t> </w:t>
      </w:r>
      <w:r>
        <w:rPr>
          <w:sz w:val="20"/>
        </w:rPr>
        <w:t>the</w:t>
      </w:r>
      <w:r>
        <w:rPr>
          <w:spacing w:val="-8"/>
          <w:sz w:val="20"/>
        </w:rPr>
        <w:t> </w:t>
      </w:r>
      <w:r>
        <w:rPr>
          <w:sz w:val="20"/>
        </w:rPr>
        <w:t>case</w:t>
      </w:r>
      <w:r>
        <w:rPr>
          <w:spacing w:val="-9"/>
          <w:sz w:val="20"/>
        </w:rPr>
        <w:t> </w:t>
      </w:r>
      <w:r>
        <w:rPr>
          <w:sz w:val="20"/>
        </w:rPr>
        <w:t>and</w:t>
      </w:r>
      <w:r>
        <w:rPr>
          <w:spacing w:val="-8"/>
          <w:sz w:val="20"/>
        </w:rPr>
        <w:t> </w:t>
      </w:r>
      <w:r>
        <w:rPr>
          <w:sz w:val="20"/>
        </w:rPr>
        <w:t>meeting</w:t>
      </w:r>
      <w:r>
        <w:rPr>
          <w:spacing w:val="-8"/>
          <w:sz w:val="20"/>
        </w:rPr>
        <w:t> </w:t>
      </w:r>
      <w:r>
        <w:rPr>
          <w:sz w:val="20"/>
        </w:rPr>
        <w:t>in</w:t>
      </w:r>
      <w:r>
        <w:rPr>
          <w:spacing w:val="-9"/>
          <w:sz w:val="20"/>
        </w:rPr>
        <w:t> </w:t>
      </w:r>
      <w:r>
        <w:rPr>
          <w:sz w:val="20"/>
        </w:rPr>
        <w:t>the</w:t>
      </w:r>
      <w:r>
        <w:rPr>
          <w:spacing w:val="-8"/>
          <w:sz w:val="20"/>
        </w:rPr>
        <w:t> </w:t>
      </w:r>
      <w:r>
        <w:rPr>
          <w:sz w:val="20"/>
        </w:rPr>
        <w:t>jury</w:t>
      </w:r>
      <w:r>
        <w:rPr>
          <w:spacing w:val="-9"/>
          <w:sz w:val="20"/>
        </w:rPr>
        <w:t> </w:t>
      </w:r>
      <w:r>
        <w:rPr>
          <w:sz w:val="20"/>
        </w:rPr>
        <w:t>room</w:t>
      </w:r>
      <w:r>
        <w:rPr>
          <w:spacing w:val="-8"/>
          <w:sz w:val="20"/>
        </w:rPr>
        <w:t> </w:t>
      </w:r>
      <w:r>
        <w:rPr>
          <w:spacing w:val="-3"/>
          <w:sz w:val="20"/>
        </w:rPr>
        <w:t>from</w:t>
      </w:r>
      <w:r>
        <w:rPr>
          <w:spacing w:val="-8"/>
          <w:sz w:val="20"/>
        </w:rPr>
        <w:t> </w:t>
      </w:r>
      <w:r>
        <w:rPr>
          <w:sz w:val="20"/>
        </w:rPr>
        <w:t>very</w:t>
      </w:r>
      <w:r>
        <w:rPr>
          <w:spacing w:val="-9"/>
          <w:sz w:val="20"/>
        </w:rPr>
        <w:t> </w:t>
      </w:r>
      <w:r>
        <w:rPr>
          <w:spacing w:val="-3"/>
          <w:sz w:val="20"/>
        </w:rPr>
        <w:t>early</w:t>
      </w:r>
      <w:r>
        <w:rPr>
          <w:spacing w:val="-8"/>
          <w:sz w:val="20"/>
        </w:rPr>
        <w:t> </w:t>
      </w:r>
      <w:r>
        <w:rPr>
          <w:sz w:val="20"/>
        </w:rPr>
        <w:t>on</w:t>
      </w:r>
      <w:r>
        <w:rPr>
          <w:spacing w:val="-9"/>
          <w:sz w:val="20"/>
        </w:rPr>
        <w:t> </w:t>
      </w:r>
      <w:r>
        <w:rPr>
          <w:sz w:val="20"/>
        </w:rPr>
        <w:t>in</w:t>
      </w:r>
      <w:r>
        <w:rPr>
          <w:spacing w:val="-8"/>
          <w:sz w:val="20"/>
        </w:rPr>
        <w:t> </w:t>
      </w:r>
      <w:r>
        <w:rPr>
          <w:sz w:val="20"/>
        </w:rPr>
        <w:t>the</w:t>
      </w:r>
      <w:r>
        <w:rPr>
          <w:spacing w:val="-8"/>
          <w:sz w:val="20"/>
        </w:rPr>
        <w:t> </w:t>
      </w:r>
      <w:r>
        <w:rPr>
          <w:sz w:val="20"/>
        </w:rPr>
        <w:t>trial</w:t>
      </w:r>
      <w:r>
        <w:rPr>
          <w:spacing w:val="-9"/>
          <w:sz w:val="20"/>
        </w:rPr>
        <w:t> </w:t>
      </w:r>
      <w:r>
        <w:rPr>
          <w:sz w:val="20"/>
        </w:rPr>
        <w:t>process. This means that this direction </w:t>
      </w:r>
      <w:r>
        <w:rPr>
          <w:spacing w:val="-3"/>
          <w:sz w:val="20"/>
        </w:rPr>
        <w:t>may </w:t>
      </w:r>
      <w:r>
        <w:rPr>
          <w:spacing w:val="-2"/>
          <w:sz w:val="20"/>
        </w:rPr>
        <w:t>simply </w:t>
      </w:r>
      <w:r>
        <w:rPr>
          <w:spacing w:val="-3"/>
          <w:sz w:val="20"/>
        </w:rPr>
        <w:t>reinforce </w:t>
      </w:r>
      <w:r>
        <w:rPr>
          <w:sz w:val="20"/>
        </w:rPr>
        <w:t>or remind jurors of </w:t>
      </w:r>
      <w:r>
        <w:rPr>
          <w:spacing w:val="-3"/>
          <w:sz w:val="20"/>
        </w:rPr>
        <w:t>previous </w:t>
      </w:r>
      <w:r>
        <w:rPr>
          <w:sz w:val="20"/>
        </w:rPr>
        <w:t>advice outlined </w:t>
      </w:r>
      <w:r>
        <w:rPr>
          <w:spacing w:val="-3"/>
          <w:sz w:val="20"/>
        </w:rPr>
        <w:t>above. </w:t>
      </w:r>
      <w:r>
        <w:rPr>
          <w:sz w:val="20"/>
        </w:rPr>
        <w:t>In relation to Auslan </w:t>
      </w:r>
      <w:r>
        <w:rPr>
          <w:spacing w:val="-3"/>
          <w:sz w:val="20"/>
        </w:rPr>
        <w:t>interpreters, </w:t>
      </w:r>
      <w:r>
        <w:rPr>
          <w:sz w:val="20"/>
        </w:rPr>
        <w:t>this briefing should remind jurors that the</w:t>
      </w:r>
      <w:r>
        <w:rPr>
          <w:spacing w:val="-8"/>
          <w:sz w:val="20"/>
        </w:rPr>
        <w:t> </w:t>
      </w:r>
      <w:r>
        <w:rPr>
          <w:sz w:val="20"/>
        </w:rPr>
        <w:t>Auslan</w:t>
      </w:r>
      <w:r>
        <w:rPr>
          <w:spacing w:val="-8"/>
          <w:sz w:val="20"/>
        </w:rPr>
        <w:t> </w:t>
      </w:r>
      <w:r>
        <w:rPr>
          <w:spacing w:val="-3"/>
          <w:sz w:val="20"/>
        </w:rPr>
        <w:t>interpreter</w:t>
      </w:r>
      <w:r>
        <w:rPr>
          <w:spacing w:val="-7"/>
          <w:sz w:val="20"/>
        </w:rPr>
        <w:t> </w:t>
      </w:r>
      <w:r>
        <w:rPr>
          <w:sz w:val="20"/>
        </w:rPr>
        <w:t>has</w:t>
      </w:r>
      <w:r>
        <w:rPr>
          <w:spacing w:val="-8"/>
          <w:sz w:val="20"/>
        </w:rPr>
        <w:t> </w:t>
      </w:r>
      <w:r>
        <w:rPr>
          <w:spacing w:val="-3"/>
          <w:sz w:val="20"/>
        </w:rPr>
        <w:t>sworn</w:t>
      </w:r>
      <w:r>
        <w:rPr>
          <w:spacing w:val="-8"/>
          <w:sz w:val="20"/>
        </w:rPr>
        <w:t> </w:t>
      </w:r>
      <w:r>
        <w:rPr>
          <w:sz w:val="20"/>
        </w:rPr>
        <w:t>an</w:t>
      </w:r>
      <w:r>
        <w:rPr>
          <w:spacing w:val="-7"/>
          <w:sz w:val="20"/>
        </w:rPr>
        <w:t> </w:t>
      </w:r>
      <w:r>
        <w:rPr>
          <w:sz w:val="20"/>
        </w:rPr>
        <w:t>oath</w:t>
      </w:r>
      <w:r>
        <w:rPr>
          <w:spacing w:val="-8"/>
          <w:sz w:val="20"/>
        </w:rPr>
        <w:t> </w:t>
      </w:r>
      <w:r>
        <w:rPr>
          <w:sz w:val="20"/>
        </w:rPr>
        <w:t>to</w:t>
      </w:r>
      <w:r>
        <w:rPr>
          <w:spacing w:val="-8"/>
          <w:sz w:val="20"/>
        </w:rPr>
        <w:t> </w:t>
      </w:r>
      <w:r>
        <w:rPr>
          <w:sz w:val="20"/>
        </w:rPr>
        <w:t>the</w:t>
      </w:r>
      <w:r>
        <w:rPr>
          <w:spacing w:val="-7"/>
          <w:sz w:val="20"/>
        </w:rPr>
        <w:t> </w:t>
      </w:r>
      <w:r>
        <w:rPr>
          <w:sz w:val="20"/>
        </w:rPr>
        <w:t>court</w:t>
      </w:r>
      <w:r>
        <w:rPr>
          <w:spacing w:val="-8"/>
          <w:sz w:val="20"/>
        </w:rPr>
        <w:t> </w:t>
      </w:r>
      <w:r>
        <w:rPr>
          <w:sz w:val="20"/>
        </w:rPr>
        <w:t>to</w:t>
      </w:r>
      <w:r>
        <w:rPr>
          <w:spacing w:val="-8"/>
          <w:sz w:val="20"/>
        </w:rPr>
        <w:t> </w:t>
      </w:r>
      <w:r>
        <w:rPr>
          <w:sz w:val="20"/>
        </w:rPr>
        <w:t>maintain</w:t>
      </w:r>
      <w:r>
        <w:rPr>
          <w:spacing w:val="-7"/>
          <w:sz w:val="20"/>
        </w:rPr>
        <w:t> </w:t>
      </w:r>
      <w:r>
        <w:rPr>
          <w:sz w:val="20"/>
        </w:rPr>
        <w:t>confidentiality</w:t>
      </w:r>
      <w:r>
        <w:rPr>
          <w:spacing w:val="-8"/>
          <w:sz w:val="20"/>
        </w:rPr>
        <w:t> </w:t>
      </w:r>
      <w:r>
        <w:rPr>
          <w:sz w:val="20"/>
        </w:rPr>
        <w:t>and</w:t>
      </w:r>
    </w:p>
    <w:p>
      <w:pPr>
        <w:pStyle w:val="BodyText"/>
        <w:spacing w:line="206" w:lineRule="auto" w:before="9"/>
        <w:ind w:left="1761" w:right="1444"/>
      </w:pPr>
      <w:r>
        <w:rPr/>
        <w:t>not be </w:t>
      </w:r>
      <w:r>
        <w:rPr>
          <w:spacing w:val="-4"/>
        </w:rPr>
        <w:t>involved </w:t>
      </w:r>
      <w:r>
        <w:rPr/>
        <w:t>in jury deliberations. Jurors should not seek an </w:t>
      </w:r>
      <w:r>
        <w:rPr>
          <w:spacing w:val="-3"/>
        </w:rPr>
        <w:t>interpreter’s </w:t>
      </w:r>
      <w:r>
        <w:rPr/>
        <w:t>opinion or interact with an </w:t>
      </w:r>
      <w:r>
        <w:rPr>
          <w:spacing w:val="-3"/>
        </w:rPr>
        <w:t>interpreter separately </w:t>
      </w:r>
      <w:r>
        <w:rPr/>
        <w:t>to the juror </w:t>
      </w:r>
      <w:r>
        <w:rPr>
          <w:spacing w:val="-3"/>
        </w:rPr>
        <w:t>from </w:t>
      </w:r>
      <w:r>
        <w:rPr/>
        <w:t>the subject groups. A juror should</w:t>
      </w:r>
      <w:r>
        <w:rPr>
          <w:spacing w:val="-11"/>
        </w:rPr>
        <w:t> </w:t>
      </w:r>
      <w:r>
        <w:rPr/>
        <w:t>raise</w:t>
      </w:r>
      <w:r>
        <w:rPr>
          <w:spacing w:val="-10"/>
        </w:rPr>
        <w:t> </w:t>
      </w:r>
      <w:r>
        <w:rPr>
          <w:spacing w:val="-3"/>
        </w:rPr>
        <w:t>any</w:t>
      </w:r>
      <w:r>
        <w:rPr>
          <w:spacing w:val="-11"/>
        </w:rPr>
        <w:t> </w:t>
      </w:r>
      <w:r>
        <w:rPr/>
        <w:t>concerns</w:t>
      </w:r>
      <w:r>
        <w:rPr>
          <w:spacing w:val="-10"/>
        </w:rPr>
        <w:t> </w:t>
      </w:r>
      <w:r>
        <w:rPr/>
        <w:t>about</w:t>
      </w:r>
      <w:r>
        <w:rPr>
          <w:spacing w:val="-11"/>
        </w:rPr>
        <w:t> </w:t>
      </w:r>
      <w:r>
        <w:rPr/>
        <w:t>the</w:t>
      </w:r>
      <w:r>
        <w:rPr>
          <w:spacing w:val="-10"/>
        </w:rPr>
        <w:t> </w:t>
      </w:r>
      <w:r>
        <w:rPr>
          <w:spacing w:val="-3"/>
        </w:rPr>
        <w:t>interpreter’s</w:t>
      </w:r>
      <w:r>
        <w:rPr>
          <w:spacing w:val="-11"/>
        </w:rPr>
        <w:t> </w:t>
      </w:r>
      <w:r>
        <w:rPr/>
        <w:t>conduct</w:t>
      </w:r>
      <w:r>
        <w:rPr>
          <w:spacing w:val="-10"/>
        </w:rPr>
        <w:t> </w:t>
      </w:r>
      <w:r>
        <w:rPr/>
        <w:t>with</w:t>
      </w:r>
      <w:r>
        <w:rPr>
          <w:spacing w:val="-10"/>
        </w:rPr>
        <w:t> </w:t>
      </w:r>
      <w:r>
        <w:rPr/>
        <w:t>the</w:t>
      </w:r>
      <w:r>
        <w:rPr>
          <w:spacing w:val="-11"/>
        </w:rPr>
        <w:t> </w:t>
      </w:r>
      <w:r>
        <w:rPr/>
        <w:t>judge</w:t>
      </w:r>
      <w:r>
        <w:rPr>
          <w:spacing w:val="-10"/>
        </w:rPr>
        <w:t> </w:t>
      </w:r>
      <w:r>
        <w:rPr/>
        <w:t>through</w:t>
      </w:r>
      <w:r>
        <w:rPr>
          <w:spacing w:val="-11"/>
        </w:rPr>
        <w:t> </w:t>
      </w:r>
      <w:r>
        <w:rPr/>
        <w:t>the foreperson.</w:t>
      </w:r>
    </w:p>
    <w:p>
      <w:pPr>
        <w:pStyle w:val="ListParagraph"/>
        <w:numPr>
          <w:ilvl w:val="1"/>
          <w:numId w:val="12"/>
        </w:numPr>
        <w:tabs>
          <w:tab w:pos="1761" w:val="left" w:leader="none"/>
          <w:tab w:pos="1762" w:val="left" w:leader="none"/>
        </w:tabs>
        <w:spacing w:line="206" w:lineRule="auto" w:before="125" w:after="0"/>
        <w:ind w:left="1761" w:right="1579" w:hanging="794"/>
        <w:jc w:val="left"/>
        <w:rPr>
          <w:sz w:val="20"/>
        </w:rPr>
      </w:pPr>
      <w:r>
        <w:rPr>
          <w:sz w:val="20"/>
        </w:rPr>
        <w:t>Before a jury formally deliberates, a judge is </w:t>
      </w:r>
      <w:r>
        <w:rPr>
          <w:spacing w:val="-3"/>
          <w:sz w:val="20"/>
        </w:rPr>
        <w:t>required </w:t>
      </w:r>
      <w:r>
        <w:rPr>
          <w:sz w:val="20"/>
        </w:rPr>
        <w:t>to </w:t>
      </w:r>
      <w:r>
        <w:rPr>
          <w:spacing w:val="-3"/>
          <w:sz w:val="20"/>
        </w:rPr>
        <w:t>provide </w:t>
      </w:r>
      <w:r>
        <w:rPr>
          <w:sz w:val="20"/>
        </w:rPr>
        <w:t>directions to the jury</w:t>
      </w:r>
      <w:r>
        <w:rPr>
          <w:spacing w:val="-10"/>
          <w:sz w:val="20"/>
        </w:rPr>
        <w:t> </w:t>
      </w:r>
      <w:r>
        <w:rPr>
          <w:sz w:val="20"/>
        </w:rPr>
        <w:t>pursuant</w:t>
      </w:r>
      <w:r>
        <w:rPr>
          <w:spacing w:val="-9"/>
          <w:sz w:val="20"/>
        </w:rPr>
        <w:t> </w:t>
      </w:r>
      <w:r>
        <w:rPr>
          <w:sz w:val="20"/>
        </w:rPr>
        <w:t>to</w:t>
      </w:r>
      <w:r>
        <w:rPr>
          <w:spacing w:val="-10"/>
          <w:sz w:val="20"/>
        </w:rPr>
        <w:t> </w:t>
      </w:r>
      <w:r>
        <w:rPr>
          <w:sz w:val="20"/>
        </w:rPr>
        <w:t>the</w:t>
      </w:r>
      <w:r>
        <w:rPr>
          <w:spacing w:val="-9"/>
          <w:sz w:val="20"/>
        </w:rPr>
        <w:t> </w:t>
      </w:r>
      <w:r>
        <w:rPr>
          <w:i/>
          <w:sz w:val="20"/>
        </w:rPr>
        <w:t>Jury</w:t>
      </w:r>
      <w:r>
        <w:rPr>
          <w:i/>
          <w:spacing w:val="-10"/>
          <w:sz w:val="20"/>
        </w:rPr>
        <w:t> </w:t>
      </w:r>
      <w:r>
        <w:rPr>
          <w:i/>
          <w:sz w:val="20"/>
        </w:rPr>
        <w:t>Directions</w:t>
      </w:r>
      <w:r>
        <w:rPr>
          <w:i/>
          <w:spacing w:val="-9"/>
          <w:sz w:val="20"/>
        </w:rPr>
        <w:t> </w:t>
      </w:r>
      <w:r>
        <w:rPr>
          <w:i/>
          <w:sz w:val="20"/>
        </w:rPr>
        <w:t>Act</w:t>
      </w:r>
      <w:r>
        <w:rPr>
          <w:i/>
          <w:spacing w:val="-10"/>
          <w:sz w:val="20"/>
        </w:rPr>
        <w:t> </w:t>
      </w:r>
      <w:r>
        <w:rPr>
          <w:i/>
          <w:sz w:val="20"/>
        </w:rPr>
        <w:t>2015</w:t>
      </w:r>
      <w:r>
        <w:rPr>
          <w:i/>
          <w:spacing w:val="-8"/>
          <w:sz w:val="20"/>
        </w:rPr>
        <w:t> </w:t>
      </w:r>
      <w:r>
        <w:rPr>
          <w:sz w:val="20"/>
        </w:rPr>
        <w:t>(Vic)</w:t>
      </w:r>
      <w:r>
        <w:rPr>
          <w:spacing w:val="-9"/>
          <w:sz w:val="20"/>
        </w:rPr>
        <w:t> </w:t>
      </w:r>
      <w:r>
        <w:rPr>
          <w:sz w:val="20"/>
        </w:rPr>
        <w:t>and</w:t>
      </w:r>
      <w:r>
        <w:rPr>
          <w:spacing w:val="-10"/>
          <w:sz w:val="20"/>
        </w:rPr>
        <w:t> </w:t>
      </w:r>
      <w:r>
        <w:rPr>
          <w:sz w:val="20"/>
        </w:rPr>
        <w:t>as</w:t>
      </w:r>
      <w:r>
        <w:rPr>
          <w:spacing w:val="-9"/>
          <w:sz w:val="20"/>
        </w:rPr>
        <w:t> </w:t>
      </w:r>
      <w:r>
        <w:rPr>
          <w:sz w:val="20"/>
        </w:rPr>
        <w:t>outlined,</w:t>
      </w:r>
      <w:r>
        <w:rPr>
          <w:spacing w:val="-10"/>
          <w:sz w:val="20"/>
        </w:rPr>
        <w:t> </w:t>
      </w:r>
      <w:r>
        <w:rPr>
          <w:sz w:val="20"/>
        </w:rPr>
        <w:t>for</w:t>
      </w:r>
      <w:r>
        <w:rPr>
          <w:spacing w:val="-9"/>
          <w:sz w:val="20"/>
        </w:rPr>
        <w:t> </w:t>
      </w:r>
      <w:r>
        <w:rPr>
          <w:spacing w:val="-3"/>
          <w:sz w:val="20"/>
        </w:rPr>
        <w:t>example,</w:t>
      </w:r>
      <w:r>
        <w:rPr>
          <w:spacing w:val="-10"/>
          <w:sz w:val="20"/>
        </w:rPr>
        <w:t> </w:t>
      </w:r>
      <w:r>
        <w:rPr>
          <w:sz w:val="20"/>
        </w:rPr>
        <w:t>in</w:t>
      </w:r>
      <w:r>
        <w:rPr>
          <w:spacing w:val="-9"/>
          <w:sz w:val="20"/>
        </w:rPr>
        <w:t> </w:t>
      </w:r>
      <w:r>
        <w:rPr>
          <w:sz w:val="20"/>
        </w:rPr>
        <w:t>the</w:t>
      </w:r>
    </w:p>
    <w:p>
      <w:pPr>
        <w:spacing w:line="206" w:lineRule="auto" w:before="3"/>
        <w:ind w:left="1761" w:right="1132" w:hanging="1"/>
        <w:jc w:val="left"/>
        <w:rPr>
          <w:sz w:val="20"/>
        </w:rPr>
      </w:pPr>
      <w:r>
        <w:rPr>
          <w:i/>
          <w:sz w:val="20"/>
        </w:rPr>
        <w:t>Criminal Charge Book</w:t>
      </w:r>
      <w:r>
        <w:rPr>
          <w:sz w:val="20"/>
        </w:rPr>
        <w:t>.</w:t>
      </w:r>
      <w:r>
        <w:rPr>
          <w:position w:val="7"/>
          <w:sz w:val="11"/>
        </w:rPr>
        <w:t>88 </w:t>
      </w:r>
      <w:r>
        <w:rPr>
          <w:sz w:val="20"/>
        </w:rPr>
        <w:t>The recommended direction should be included in the </w:t>
      </w:r>
      <w:r>
        <w:rPr>
          <w:spacing w:val="-3"/>
          <w:sz w:val="20"/>
        </w:rPr>
        <w:t>relevant </w:t>
      </w:r>
      <w:r>
        <w:rPr>
          <w:sz w:val="20"/>
        </w:rPr>
        <w:t>bench book.</w:t>
      </w:r>
    </w:p>
    <w:p>
      <w:pPr>
        <w:pStyle w:val="BodyText"/>
        <w:spacing w:before="4"/>
        <w:rPr>
          <w:sz w:val="10"/>
        </w:rPr>
      </w:pPr>
      <w:r>
        <w:rPr/>
        <w:pict>
          <v:line style="position:absolute;mso-position-horizontal-relative:page;mso-position-vertical-relative:paragraph;z-index:7640;mso-wrap-distance-left:0;mso-wrap-distance-right:0" from="79.370102pt,9.6329pt" to="515.905102pt,9.6329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93"/>
        </w:numPr>
        <w:tabs>
          <w:tab w:pos="1760" w:val="left" w:leader="none"/>
          <w:tab w:pos="1762" w:val="left" w:leader="none"/>
        </w:tabs>
        <w:spacing w:line="213" w:lineRule="auto" w:before="38" w:after="0"/>
        <w:ind w:left="1761" w:right="5" w:hanging="794"/>
        <w:jc w:val="left"/>
        <w:rPr>
          <w:sz w:val="13"/>
        </w:rPr>
      </w:pPr>
      <w:r>
        <w:rPr>
          <w:sz w:val="13"/>
        </w:rPr>
        <w:t>Consultations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 Wales)), 13 (National Accreditation Authority for Translators and Interpreters (NAATI)); Consultation 19 </w:t>
      </w:r>
      <w:r>
        <w:rPr>
          <w:spacing w:val="2"/>
          <w:sz w:val="13"/>
        </w:rPr>
        <w:t>(Australian </w:t>
      </w:r>
      <w:r>
        <w:rPr>
          <w:sz w:val="13"/>
        </w:rPr>
        <w:t>Institute of Interpreters and Translators</w:t>
      </w:r>
      <w:r>
        <w:rPr>
          <w:spacing w:val="2"/>
          <w:sz w:val="13"/>
        </w:rPr>
        <w:t> </w:t>
      </w:r>
      <w:r>
        <w:rPr>
          <w:sz w:val="13"/>
        </w:rPr>
        <w:t>(AUSIT)).</w:t>
      </w:r>
    </w:p>
    <w:p>
      <w:pPr>
        <w:pStyle w:val="ListParagraph"/>
        <w:numPr>
          <w:ilvl w:val="0"/>
          <w:numId w:val="93"/>
        </w:numPr>
        <w:tabs>
          <w:tab w:pos="1760" w:val="left" w:leader="none"/>
          <w:tab w:pos="1762" w:val="left" w:leader="none"/>
        </w:tabs>
        <w:spacing w:line="152" w:lineRule="exact" w:before="0" w:after="0"/>
        <w:ind w:left="1761" w:right="0" w:hanging="794"/>
        <w:jc w:val="left"/>
        <w:rPr>
          <w:sz w:val="13"/>
        </w:rPr>
      </w:pPr>
      <w:r>
        <w:rPr>
          <w:sz w:val="13"/>
        </w:rPr>
        <w:t>Consultation 21 </w:t>
      </w:r>
      <w:r>
        <w:rPr>
          <w:spacing w:val="2"/>
          <w:sz w:val="13"/>
        </w:rPr>
        <w:t>(Della </w:t>
      </w:r>
      <w:r>
        <w:rPr>
          <w:sz w:val="13"/>
        </w:rPr>
        <w:t>Goswell, Lecturer, Convenor </w:t>
      </w:r>
      <w:r>
        <w:rPr>
          <w:spacing w:val="2"/>
          <w:sz w:val="13"/>
        </w:rPr>
        <w:t>Auslan-English </w:t>
      </w:r>
      <w:r>
        <w:rPr>
          <w:sz w:val="13"/>
        </w:rPr>
        <w:t>Interpreting Program, Macquarie University,</w:t>
      </w:r>
      <w:r>
        <w:rPr>
          <w:spacing w:val="3"/>
          <w:sz w:val="13"/>
        </w:rPr>
        <w:t> </w:t>
      </w:r>
      <w:r>
        <w:rPr>
          <w:sz w:val="13"/>
        </w:rPr>
        <w:t>NSW).</w:t>
      </w:r>
    </w:p>
    <w:p>
      <w:pPr>
        <w:pStyle w:val="ListParagraph"/>
        <w:numPr>
          <w:ilvl w:val="0"/>
          <w:numId w:val="93"/>
        </w:numPr>
        <w:tabs>
          <w:tab w:pos="1761" w:val="left" w:leader="none"/>
          <w:tab w:pos="1762" w:val="left" w:leader="none"/>
        </w:tabs>
        <w:spacing w:line="213" w:lineRule="auto" w:before="6" w:after="0"/>
        <w:ind w:left="1761" w:right="71" w:hanging="794"/>
        <w:jc w:val="left"/>
        <w:rPr>
          <w:sz w:val="13"/>
        </w:rPr>
      </w:pPr>
      <w:r>
        <w:rPr>
          <w:sz w:val="13"/>
        </w:rPr>
        <w:t>Consultation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w:t>
      </w:r>
      <w:r>
        <w:rPr>
          <w:spacing w:val="4"/>
          <w:sz w:val="13"/>
        </w:rPr>
        <w:t> </w:t>
      </w:r>
      <w:r>
        <w:rPr>
          <w:sz w:val="13"/>
        </w:rPr>
        <w:t>Wales)).</w:t>
      </w:r>
    </w:p>
    <w:p>
      <w:pPr>
        <w:pStyle w:val="ListParagraph"/>
        <w:numPr>
          <w:ilvl w:val="0"/>
          <w:numId w:val="93"/>
        </w:numPr>
        <w:tabs>
          <w:tab w:pos="1761" w:val="left" w:leader="none"/>
          <w:tab w:pos="1762" w:val="left" w:leader="none"/>
        </w:tabs>
        <w:spacing w:line="153" w:lineRule="exact" w:before="0" w:after="0"/>
        <w:ind w:left="1761" w:right="0" w:hanging="794"/>
        <w:jc w:val="left"/>
        <w:rPr>
          <w:sz w:val="13"/>
        </w:rPr>
      </w:pPr>
      <w:r>
        <w:rPr>
          <w:sz w:val="13"/>
        </w:rPr>
        <w:t>Consultation 13 (National Accreditation Authority for Translators and Interpreters</w:t>
      </w:r>
      <w:r>
        <w:rPr>
          <w:spacing w:val="13"/>
          <w:sz w:val="13"/>
        </w:rPr>
        <w:t> </w:t>
      </w:r>
      <w:r>
        <w:rPr>
          <w:sz w:val="13"/>
        </w:rPr>
        <w:t>(NAATI)).</w:t>
      </w:r>
    </w:p>
    <w:p>
      <w:pPr>
        <w:pStyle w:val="ListParagraph"/>
        <w:numPr>
          <w:ilvl w:val="0"/>
          <w:numId w:val="93"/>
        </w:numPr>
        <w:tabs>
          <w:tab w:pos="1761" w:val="left" w:leader="none"/>
          <w:tab w:pos="1762" w:val="left" w:leader="none"/>
        </w:tabs>
        <w:spacing w:line="160" w:lineRule="exact" w:before="0" w:after="0"/>
        <w:ind w:left="1761" w:right="0" w:hanging="794"/>
        <w:jc w:val="left"/>
        <w:rPr>
          <w:i/>
          <w:sz w:val="13"/>
        </w:rPr>
      </w:pPr>
      <w:r>
        <w:rPr>
          <w:sz w:val="13"/>
        </w:rPr>
        <w:t>Judicial</w:t>
      </w:r>
      <w:r>
        <w:rPr>
          <w:spacing w:val="4"/>
          <w:sz w:val="13"/>
        </w:rPr>
        <w:t> </w:t>
      </w:r>
      <w:r>
        <w:rPr>
          <w:sz w:val="13"/>
        </w:rPr>
        <w:t>Council</w:t>
      </w:r>
      <w:r>
        <w:rPr>
          <w:spacing w:val="5"/>
          <w:sz w:val="13"/>
        </w:rPr>
        <w:t> </w:t>
      </w:r>
      <w:r>
        <w:rPr>
          <w:sz w:val="13"/>
        </w:rPr>
        <w:t>on</w:t>
      </w:r>
      <w:r>
        <w:rPr>
          <w:spacing w:val="5"/>
          <w:sz w:val="13"/>
        </w:rPr>
        <w:t> </w:t>
      </w:r>
      <w:r>
        <w:rPr>
          <w:sz w:val="13"/>
        </w:rPr>
        <w:t>Cultural</w:t>
      </w:r>
      <w:r>
        <w:rPr>
          <w:spacing w:val="5"/>
          <w:sz w:val="13"/>
        </w:rPr>
        <w:t> </w:t>
      </w:r>
      <w:r>
        <w:rPr>
          <w:sz w:val="13"/>
        </w:rPr>
        <w:t>Diversity,</w:t>
      </w:r>
      <w:r>
        <w:rPr>
          <w:spacing w:val="5"/>
          <w:sz w:val="13"/>
        </w:rPr>
        <w:t> </w:t>
      </w:r>
      <w:r>
        <w:rPr>
          <w:i/>
          <w:spacing w:val="2"/>
          <w:sz w:val="13"/>
        </w:rPr>
        <w:t>Recommended</w:t>
      </w:r>
      <w:r>
        <w:rPr>
          <w:i/>
          <w:spacing w:val="5"/>
          <w:sz w:val="13"/>
        </w:rPr>
        <w:t> </w:t>
      </w:r>
      <w:r>
        <w:rPr>
          <w:i/>
          <w:sz w:val="13"/>
        </w:rPr>
        <w:t>National</w:t>
      </w:r>
      <w:r>
        <w:rPr>
          <w:i/>
          <w:spacing w:val="5"/>
          <w:sz w:val="13"/>
        </w:rPr>
        <w:t> </w:t>
      </w:r>
      <w:r>
        <w:rPr>
          <w:i/>
          <w:sz w:val="13"/>
        </w:rPr>
        <w:t>Standards</w:t>
      </w:r>
      <w:r>
        <w:rPr>
          <w:i/>
          <w:spacing w:val="5"/>
          <w:sz w:val="13"/>
        </w:rPr>
        <w:t> </w:t>
      </w:r>
      <w:r>
        <w:rPr>
          <w:i/>
          <w:sz w:val="13"/>
        </w:rPr>
        <w:t>for</w:t>
      </w:r>
      <w:r>
        <w:rPr>
          <w:i/>
          <w:spacing w:val="3"/>
          <w:sz w:val="13"/>
        </w:rPr>
        <w:t> </w:t>
      </w:r>
      <w:r>
        <w:rPr>
          <w:i/>
          <w:sz w:val="13"/>
        </w:rPr>
        <w:t>Working</w:t>
      </w:r>
      <w:r>
        <w:rPr>
          <w:i/>
          <w:spacing w:val="5"/>
          <w:sz w:val="13"/>
        </w:rPr>
        <w:t> </w:t>
      </w:r>
      <w:r>
        <w:rPr>
          <w:i/>
          <w:sz w:val="13"/>
        </w:rPr>
        <w:t>with</w:t>
      </w:r>
      <w:r>
        <w:rPr>
          <w:i/>
          <w:spacing w:val="5"/>
          <w:sz w:val="13"/>
        </w:rPr>
        <w:t> </w:t>
      </w:r>
      <w:r>
        <w:rPr>
          <w:i/>
          <w:sz w:val="13"/>
        </w:rPr>
        <w:t>Interpreters</w:t>
      </w:r>
      <w:r>
        <w:rPr>
          <w:i/>
          <w:spacing w:val="5"/>
          <w:sz w:val="13"/>
        </w:rPr>
        <w:t> </w:t>
      </w:r>
      <w:r>
        <w:rPr>
          <w:i/>
          <w:sz w:val="13"/>
        </w:rPr>
        <w:t>in</w:t>
      </w:r>
      <w:r>
        <w:rPr>
          <w:i/>
          <w:spacing w:val="4"/>
          <w:sz w:val="13"/>
        </w:rPr>
        <w:t> </w:t>
      </w:r>
      <w:r>
        <w:rPr>
          <w:i/>
          <w:spacing w:val="2"/>
          <w:sz w:val="13"/>
        </w:rPr>
        <w:t>Courts</w:t>
      </w:r>
      <w:r>
        <w:rPr>
          <w:i/>
          <w:spacing w:val="4"/>
          <w:sz w:val="13"/>
        </w:rPr>
        <w:t> </w:t>
      </w:r>
      <w:r>
        <w:rPr>
          <w:i/>
          <w:sz w:val="13"/>
        </w:rPr>
        <w:t>and</w:t>
      </w:r>
      <w:r>
        <w:rPr>
          <w:i/>
          <w:spacing w:val="5"/>
          <w:sz w:val="13"/>
        </w:rPr>
        <w:t> </w:t>
      </w:r>
      <w:r>
        <w:rPr>
          <w:i/>
          <w:sz w:val="13"/>
        </w:rPr>
        <w:t>Tribunals</w:t>
      </w:r>
    </w:p>
    <w:p>
      <w:pPr>
        <w:spacing w:line="160" w:lineRule="exact" w:before="0"/>
        <w:ind w:left="1761" w:right="0" w:firstLine="0"/>
        <w:jc w:val="left"/>
        <w:rPr>
          <w:sz w:val="13"/>
        </w:rPr>
      </w:pPr>
      <w:r>
        <w:rPr>
          <w:sz w:val="13"/>
        </w:rPr>
        <w:t>(Report, Second Edition, March 2022), 19 [17.5].</w:t>
      </w:r>
    </w:p>
    <w:p>
      <w:pPr>
        <w:pStyle w:val="ListParagraph"/>
        <w:numPr>
          <w:ilvl w:val="0"/>
          <w:numId w:val="93"/>
        </w:numPr>
        <w:tabs>
          <w:tab w:pos="1760" w:val="left" w:leader="none"/>
          <w:tab w:pos="1762" w:val="left" w:leader="none"/>
        </w:tabs>
        <w:spacing w:line="213" w:lineRule="auto" w:before="6" w:after="0"/>
        <w:ind w:left="1761" w:right="71" w:hanging="794"/>
        <w:jc w:val="left"/>
        <w:rPr>
          <w:sz w:val="13"/>
        </w:rPr>
      </w:pPr>
      <w:r>
        <w:rPr>
          <w:sz w:val="13"/>
        </w:rPr>
        <w:t>Consultation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w:t>
      </w:r>
      <w:r>
        <w:rPr>
          <w:spacing w:val="4"/>
          <w:sz w:val="13"/>
        </w:rPr>
        <w:t> </w:t>
      </w:r>
      <w:r>
        <w:rPr>
          <w:sz w:val="13"/>
        </w:rPr>
        <w:t>Wales)).</w:t>
      </w:r>
    </w:p>
    <w:p>
      <w:pPr>
        <w:pStyle w:val="ListParagraph"/>
        <w:numPr>
          <w:ilvl w:val="0"/>
          <w:numId w:val="93"/>
        </w:numPr>
        <w:tabs>
          <w:tab w:pos="1760" w:val="left" w:leader="none"/>
          <w:tab w:pos="1762" w:val="left" w:leader="none"/>
        </w:tabs>
        <w:spacing w:line="152" w:lineRule="exact" w:before="0" w:after="0"/>
        <w:ind w:left="1761" w:right="0" w:hanging="794"/>
        <w:jc w:val="left"/>
        <w:rPr>
          <w:sz w:val="13"/>
        </w:rPr>
      </w:pPr>
      <w:r>
        <w:rPr>
          <w:spacing w:val="2"/>
          <w:sz w:val="13"/>
        </w:rPr>
        <w:t>Ibid.</w:t>
      </w:r>
    </w:p>
    <w:p>
      <w:pPr>
        <w:pStyle w:val="ListParagraph"/>
        <w:numPr>
          <w:ilvl w:val="0"/>
          <w:numId w:val="93"/>
        </w:numPr>
        <w:tabs>
          <w:tab w:pos="1760" w:val="left" w:leader="none"/>
          <w:tab w:pos="1762" w:val="left" w:leader="none"/>
        </w:tabs>
        <w:spacing w:line="213" w:lineRule="auto" w:before="7" w:after="0"/>
        <w:ind w:left="1761" w:right="0" w:hanging="794"/>
        <w:jc w:val="both"/>
        <w:rPr>
          <w:sz w:val="13"/>
        </w:rPr>
      </w:pPr>
      <w:r>
        <w:rPr>
          <w:sz w:val="13"/>
        </w:rPr>
        <w:t>Information provided by </w:t>
      </w:r>
      <w:r>
        <w:rPr>
          <w:spacing w:val="2"/>
          <w:sz w:val="13"/>
        </w:rPr>
        <w:t>Sandra </w:t>
      </w:r>
      <w:r>
        <w:rPr>
          <w:sz w:val="13"/>
        </w:rPr>
        <w:t>Hale to Victorian Law Reform </w:t>
      </w:r>
      <w:r>
        <w:rPr>
          <w:spacing w:val="2"/>
          <w:sz w:val="13"/>
        </w:rPr>
        <w:t>Commission, </w:t>
      </w:r>
      <w:r>
        <w:rPr>
          <w:sz w:val="13"/>
        </w:rPr>
        <w:t>25 February 2021; </w:t>
      </w:r>
      <w:r>
        <w:rPr>
          <w:spacing w:val="2"/>
          <w:sz w:val="13"/>
        </w:rPr>
        <w:t>Sandra </w:t>
      </w:r>
      <w:r>
        <w:rPr>
          <w:sz w:val="13"/>
        </w:rPr>
        <w:t>Hale et </w:t>
      </w:r>
      <w:r>
        <w:rPr>
          <w:spacing w:val="2"/>
          <w:sz w:val="13"/>
        </w:rPr>
        <w:t>al, </w:t>
      </w:r>
      <w:r>
        <w:rPr>
          <w:i/>
          <w:sz w:val="13"/>
        </w:rPr>
        <w:t>Participation in </w:t>
      </w:r>
      <w:r>
        <w:rPr>
          <w:i/>
          <w:sz w:val="13"/>
        </w:rPr>
        <w:t>the Administration of Justice: Deaf Citizens as Jurors </w:t>
      </w:r>
      <w:r>
        <w:rPr>
          <w:spacing w:val="2"/>
          <w:sz w:val="13"/>
        </w:rPr>
        <w:t>(Australian </w:t>
      </w:r>
      <w:r>
        <w:rPr>
          <w:sz w:val="13"/>
        </w:rPr>
        <w:t>Research Council Linkage Project No 120200261, 2016): </w:t>
      </w:r>
      <w:r>
        <w:rPr>
          <w:spacing w:val="2"/>
          <w:sz w:val="13"/>
        </w:rPr>
        <w:t>Extracts </w:t>
      </w:r>
      <w:r>
        <w:rPr>
          <w:sz w:val="13"/>
        </w:rPr>
        <w:t>from </w:t>
      </w:r>
      <w:r>
        <w:rPr>
          <w:spacing w:val="2"/>
          <w:sz w:val="13"/>
        </w:rPr>
        <w:t>‘Hearing </w:t>
      </w:r>
      <w:r>
        <w:rPr>
          <w:sz w:val="13"/>
        </w:rPr>
        <w:t>Juror </w:t>
      </w:r>
      <w:r>
        <w:rPr>
          <w:spacing w:val="2"/>
          <w:sz w:val="13"/>
        </w:rPr>
        <w:t>Protocol’ </w:t>
      </w:r>
      <w:r>
        <w:rPr>
          <w:sz w:val="13"/>
        </w:rPr>
        <w:t>for mock </w:t>
      </w:r>
      <w:r>
        <w:rPr>
          <w:spacing w:val="2"/>
          <w:sz w:val="13"/>
        </w:rPr>
        <w:t>trial, </w:t>
      </w:r>
      <w:r>
        <w:rPr>
          <w:sz w:val="13"/>
        </w:rPr>
        <w:t>held 16–17 July</w:t>
      </w:r>
      <w:r>
        <w:rPr>
          <w:spacing w:val="-4"/>
          <w:sz w:val="13"/>
        </w:rPr>
        <w:t> </w:t>
      </w:r>
      <w:r>
        <w:rPr>
          <w:spacing w:val="3"/>
          <w:sz w:val="13"/>
        </w:rPr>
        <w:t>2014.</w:t>
      </w:r>
    </w:p>
    <w:p>
      <w:pPr>
        <w:pStyle w:val="ListParagraph"/>
        <w:numPr>
          <w:ilvl w:val="0"/>
          <w:numId w:val="93"/>
        </w:numPr>
        <w:tabs>
          <w:tab w:pos="1761" w:val="left" w:leader="none"/>
          <w:tab w:pos="1762" w:val="left" w:leader="none"/>
        </w:tabs>
        <w:spacing w:line="213" w:lineRule="auto" w:before="0" w:after="0"/>
        <w:ind w:left="1760" w:right="74" w:hanging="793"/>
        <w:jc w:val="left"/>
        <w:rPr>
          <w:sz w:val="13"/>
        </w:rPr>
      </w:pPr>
      <w:r>
        <w:rPr>
          <w:i/>
          <w:spacing w:val="2"/>
          <w:sz w:val="13"/>
        </w:rPr>
        <w:t>Jury </w:t>
      </w:r>
      <w:r>
        <w:rPr>
          <w:i/>
          <w:sz w:val="13"/>
        </w:rPr>
        <w:t>Directions Act 2015 </w:t>
      </w:r>
      <w:r>
        <w:rPr>
          <w:spacing w:val="2"/>
          <w:sz w:val="13"/>
        </w:rPr>
        <w:t>(Vic); </w:t>
      </w:r>
      <w:r>
        <w:rPr>
          <w:sz w:val="13"/>
        </w:rPr>
        <w:t>Judicial College of Victoria, </w:t>
      </w:r>
      <w:r>
        <w:rPr>
          <w:spacing w:val="2"/>
          <w:sz w:val="13"/>
        </w:rPr>
        <w:t>‘1.11 </w:t>
      </w:r>
      <w:r>
        <w:rPr>
          <w:sz w:val="13"/>
        </w:rPr>
        <w:t>Consolidated Preliminary Directions’, </w:t>
      </w:r>
      <w:r>
        <w:rPr>
          <w:i/>
          <w:sz w:val="13"/>
        </w:rPr>
        <w:t>Victorian Criminal Charge </w:t>
      </w:r>
      <w:r>
        <w:rPr>
          <w:i/>
          <w:sz w:val="13"/>
        </w:rPr>
        <w:t>Book </w:t>
      </w:r>
      <w:r>
        <w:rPr>
          <w:sz w:val="13"/>
        </w:rPr>
        <w:t>(Online Manual, 16 May 2019) &lt;</w:t>
      </w:r>
      <w:hyperlink r:id="rId40">
        <w:r>
          <w:rPr>
            <w:sz w:val="13"/>
          </w:rPr>
          <w:t>www.judicialcollege.vic.edu.au/eManuals/CCB/index.htm#19193.htm</w:t>
        </w:r>
      </w:hyperlink>
      <w:r>
        <w:rPr>
          <w:sz w:val="13"/>
        </w:rPr>
        <w:t>&gt;. See </w:t>
      </w:r>
      <w:r>
        <w:rPr>
          <w:spacing w:val="2"/>
          <w:sz w:val="13"/>
        </w:rPr>
        <w:t>also </w:t>
      </w:r>
      <w:r>
        <w:rPr>
          <w:sz w:val="13"/>
        </w:rPr>
        <w:t>Judicial College of Victoria, </w:t>
      </w:r>
      <w:r>
        <w:rPr>
          <w:i/>
          <w:sz w:val="13"/>
        </w:rPr>
        <w:t>Civil Juries Charge Book </w:t>
      </w:r>
      <w:r>
        <w:rPr>
          <w:sz w:val="13"/>
        </w:rPr>
        <w:t>(Online Manual, </w:t>
      </w:r>
      <w:r>
        <w:rPr>
          <w:spacing w:val="2"/>
          <w:sz w:val="13"/>
        </w:rPr>
        <w:t>2014) </w:t>
      </w:r>
      <w:hyperlink r:id="rId188">
        <w:r>
          <w:rPr>
            <w:sz w:val="13"/>
          </w:rPr>
          <w:t>&lt;https://www.judicialcollege.vic.edu.au/eManuals/CJCB/</w:t>
        </w:r>
      </w:hyperlink>
      <w:hyperlink r:id="rId188">
        <w:r>
          <w:rPr>
            <w:sz w:val="13"/>
          </w:rPr>
          <w:t> index.htm#45310.htm&gt;</w:t>
        </w:r>
      </w:hyperlink>
      <w:r>
        <w:rPr>
          <w:sz w:val="13"/>
        </w:rPr>
        <w: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2"/>
        <w:rPr>
          <w:sz w:val="31"/>
        </w:rPr>
      </w:pPr>
    </w:p>
    <w:p>
      <w:pPr>
        <w:spacing w:before="0"/>
        <w:ind w:left="702" w:right="0" w:firstLine="0"/>
        <w:jc w:val="left"/>
        <w:rPr>
          <w:b/>
          <w:sz w:val="24"/>
        </w:rPr>
      </w:pPr>
      <w:r>
        <w:rPr>
          <w:b/>
          <w:color w:val="37617A"/>
          <w:sz w:val="24"/>
        </w:rPr>
        <w:t>139</w:t>
      </w:r>
    </w:p>
    <w:p>
      <w:pPr>
        <w:spacing w:after="0"/>
        <w:jc w:val="left"/>
        <w:rPr>
          <w:sz w:val="24"/>
        </w:rPr>
        <w:sectPr>
          <w:type w:val="continuous"/>
          <w:pgSz w:w="11910" w:h="16840"/>
          <w:pgMar w:top="620" w:bottom="280" w:left="620" w:right="380"/>
          <w:cols w:num="2" w:equalWidth="0">
            <w:col w:w="9554" w:space="40"/>
            <w:col w:w="1316"/>
          </w:cols>
        </w:sectPr>
      </w:pPr>
    </w:p>
    <w:p>
      <w:pPr>
        <w:pStyle w:val="BodyText"/>
        <w:rPr>
          <w:b/>
        </w:rPr>
      </w:pPr>
    </w:p>
    <w:p>
      <w:pPr>
        <w:pStyle w:val="BodyText"/>
        <w:rPr>
          <w:b/>
        </w:rPr>
      </w:pPr>
    </w:p>
    <w:p>
      <w:pPr>
        <w:pStyle w:val="BodyText"/>
        <w:rPr>
          <w:b/>
        </w:rPr>
      </w:pPr>
    </w:p>
    <w:p>
      <w:pPr>
        <w:pStyle w:val="BodyText"/>
        <w:rPr>
          <w:b/>
        </w:rPr>
      </w:pPr>
    </w:p>
    <w:p>
      <w:pPr>
        <w:spacing w:before="171"/>
        <w:ind w:left="1194" w:right="0" w:firstLine="0"/>
        <w:jc w:val="left"/>
        <w:rPr>
          <w:rFonts w:ascii="Raleway ExtraBold"/>
          <w:b/>
          <w:sz w:val="32"/>
        </w:rPr>
      </w:pPr>
      <w:r>
        <w:rPr/>
        <w:pict>
          <v:group style="position:absolute;margin-left:62.362202pt;margin-top:.635882pt;width:479.1pt;height:402.2pt;mso-position-horizontal-relative:page;mso-position-vertical-relative:paragraph;z-index:-350584" coordorigin="1247,13" coordsize="9582,8044">
            <v:rect style="position:absolute;left:1587;top:12;width:8731;height:8044" filled="true" fillcolor="#dddfe4" stroked="false">
              <v:fill type="solid"/>
            </v:rect>
            <v:line style="position:absolute" from="1247,820" to="10828,820" stroked="true" strokeweight="2.5pt" strokecolor="#ffffff">
              <v:stroke dashstyle="solid"/>
            </v:line>
            <w10:wrap type="none"/>
          </v:group>
        </w:pict>
      </w:r>
      <w:r>
        <w:rPr>
          <w:rFonts w:ascii="Raleway ExtraBold"/>
          <w:b/>
          <w:color w:val="37617A"/>
          <w:sz w:val="32"/>
        </w:rPr>
        <w:t>Recommendations</w:t>
      </w:r>
    </w:p>
    <w:p>
      <w:pPr>
        <w:pStyle w:val="BodyText"/>
        <w:spacing w:before="1"/>
        <w:rPr>
          <w:rFonts w:ascii="Raleway ExtraBold"/>
          <w:b/>
          <w:sz w:val="31"/>
        </w:rPr>
      </w:pPr>
    </w:p>
    <w:p>
      <w:pPr>
        <w:pStyle w:val="ListParagraph"/>
        <w:numPr>
          <w:ilvl w:val="0"/>
          <w:numId w:val="94"/>
        </w:numPr>
        <w:tabs>
          <w:tab w:pos="1761" w:val="left" w:leader="none"/>
          <w:tab w:pos="1762" w:val="left" w:leader="none"/>
        </w:tabs>
        <w:spacing w:line="240" w:lineRule="auto" w:before="0" w:after="0"/>
        <w:ind w:left="1761" w:right="0" w:hanging="567"/>
        <w:jc w:val="left"/>
        <w:rPr>
          <w:rFonts w:ascii="Trebuchet MS"/>
          <w:sz w:val="20"/>
        </w:rPr>
      </w:pPr>
      <w:r>
        <w:rPr>
          <w:rFonts w:ascii="Trebuchet MS"/>
          <w:spacing w:val="-1"/>
          <w:w w:val="101"/>
          <w:sz w:val="20"/>
        </w:rPr>
        <w:t>J</w:t>
      </w:r>
      <w:r>
        <w:rPr>
          <w:rFonts w:ascii="Trebuchet MS"/>
          <w:spacing w:val="-1"/>
          <w:w w:val="103"/>
          <w:sz w:val="20"/>
        </w:rPr>
        <w:t>u</w:t>
      </w:r>
      <w:r>
        <w:rPr>
          <w:rFonts w:ascii="Trebuchet MS"/>
          <w:spacing w:val="-2"/>
          <w:w w:val="103"/>
          <w:sz w:val="20"/>
        </w:rPr>
        <w:t>r</w:t>
      </w:r>
      <w:r>
        <w:rPr>
          <w:rFonts w:ascii="Trebuchet MS"/>
          <w:spacing w:val="-1"/>
          <w:w w:val="80"/>
          <w:sz w:val="20"/>
        </w:rPr>
        <w:t>i</w:t>
      </w:r>
      <w:r>
        <w:rPr>
          <w:rFonts w:ascii="Trebuchet MS"/>
          <w:spacing w:val="-2"/>
          <w:w w:val="108"/>
          <w:sz w:val="20"/>
        </w:rPr>
        <w:t>e</w:t>
      </w:r>
      <w:r>
        <w:rPr>
          <w:rFonts w:ascii="Trebuchet MS"/>
          <w:w w:val="122"/>
          <w:sz w:val="20"/>
        </w:rPr>
        <w:t>s</w:t>
      </w:r>
      <w:r>
        <w:rPr>
          <w:rFonts w:ascii="Trebuchet MS"/>
          <w:spacing w:val="-14"/>
          <w:sz w:val="20"/>
        </w:rPr>
        <w:t> </w:t>
      </w:r>
      <w:r>
        <w:rPr>
          <w:rFonts w:ascii="Trebuchet MS"/>
          <w:spacing w:val="-1"/>
          <w:w w:val="115"/>
          <w:sz w:val="20"/>
        </w:rPr>
        <w:t>V</w:t>
      </w:r>
      <w:r>
        <w:rPr>
          <w:rFonts w:ascii="Trebuchet MS"/>
          <w:spacing w:val="-1"/>
          <w:w w:val="80"/>
          <w:sz w:val="20"/>
        </w:rPr>
        <w:t>i</w:t>
      </w:r>
      <w:r>
        <w:rPr>
          <w:rFonts w:ascii="Trebuchet MS"/>
          <w:spacing w:val="-2"/>
          <w:w w:val="111"/>
          <w:sz w:val="20"/>
        </w:rPr>
        <w:t>c</w:t>
      </w:r>
      <w:r>
        <w:rPr>
          <w:rFonts w:ascii="Trebuchet MS"/>
          <w:spacing w:val="-4"/>
          <w:w w:val="88"/>
          <w:sz w:val="20"/>
        </w:rPr>
        <w:t>t</w:t>
      </w:r>
      <w:r>
        <w:rPr>
          <w:rFonts w:ascii="Trebuchet MS"/>
          <w:spacing w:val="-1"/>
          <w:w w:val="111"/>
          <w:sz w:val="20"/>
        </w:rPr>
        <w:t>o</w:t>
      </w:r>
      <w:r>
        <w:rPr>
          <w:rFonts w:ascii="Trebuchet MS"/>
          <w:spacing w:val="-2"/>
          <w:w w:val="93"/>
          <w:sz w:val="20"/>
        </w:rPr>
        <w:t>r</w:t>
      </w:r>
      <w:r>
        <w:rPr>
          <w:rFonts w:ascii="Trebuchet MS"/>
          <w:spacing w:val="-1"/>
          <w:w w:val="96"/>
          <w:sz w:val="20"/>
        </w:rPr>
        <w:t>i</w:t>
      </w:r>
      <w:r>
        <w:rPr>
          <w:rFonts w:ascii="Trebuchet MS"/>
          <w:w w:val="96"/>
          <w:sz w:val="20"/>
        </w:rPr>
        <w:t>a</w:t>
      </w:r>
      <w:r>
        <w:rPr>
          <w:rFonts w:ascii="Trebuchet MS"/>
          <w:spacing w:val="-14"/>
          <w:sz w:val="20"/>
        </w:rPr>
        <w:t> </w:t>
      </w:r>
      <w:r>
        <w:rPr>
          <w:rFonts w:ascii="Trebuchet MS"/>
          <w:spacing w:val="-2"/>
          <w:w w:val="122"/>
          <w:sz w:val="20"/>
        </w:rPr>
        <w:t>s</w:t>
      </w:r>
      <w:r>
        <w:rPr>
          <w:rFonts w:ascii="Trebuchet MS"/>
          <w:spacing w:val="-1"/>
          <w:w w:val="109"/>
          <w:sz w:val="20"/>
        </w:rPr>
        <w:t>ho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3"/>
          <w:w w:val="111"/>
          <w:sz w:val="20"/>
        </w:rPr>
        <w:t>c</w:t>
      </w:r>
      <w:r>
        <w:rPr>
          <w:rFonts w:ascii="Trebuchet MS"/>
          <w:spacing w:val="-1"/>
          <w:w w:val="111"/>
          <w:sz w:val="20"/>
        </w:rPr>
        <w:t>oo</w:t>
      </w:r>
      <w:r>
        <w:rPr>
          <w:rFonts w:ascii="Trebuchet MS"/>
          <w:spacing w:val="-4"/>
          <w:w w:val="93"/>
          <w:sz w:val="20"/>
        </w:rPr>
        <w:t>r</w:t>
      </w:r>
      <w:r>
        <w:rPr>
          <w:rFonts w:ascii="Trebuchet MS"/>
          <w:spacing w:val="-1"/>
          <w:w w:val="101"/>
          <w:sz w:val="20"/>
        </w:rPr>
        <w:t>d</w:t>
      </w:r>
      <w:r>
        <w:rPr>
          <w:rFonts w:ascii="Trebuchet MS"/>
          <w:spacing w:val="-2"/>
          <w:w w:val="101"/>
          <w:sz w:val="20"/>
        </w:rPr>
        <w:t>i</w:t>
      </w:r>
      <w:r>
        <w:rPr>
          <w:rFonts w:ascii="Trebuchet MS"/>
          <w:spacing w:val="-1"/>
          <w:w w:val="107"/>
          <w:sz w:val="20"/>
        </w:rPr>
        <w:t>n</w:t>
      </w:r>
      <w:r>
        <w:rPr>
          <w:rFonts w:ascii="Trebuchet MS"/>
          <w:spacing w:val="-4"/>
          <w:w w:val="105"/>
          <w:sz w:val="20"/>
        </w:rPr>
        <w:t>a</w:t>
      </w:r>
      <w:r>
        <w:rPr>
          <w:rFonts w:ascii="Trebuchet MS"/>
          <w:spacing w:val="-4"/>
          <w:w w:val="88"/>
          <w:sz w:val="20"/>
        </w:rPr>
        <w:t>t</w:t>
      </w:r>
      <w:r>
        <w:rPr>
          <w:rFonts w:ascii="Trebuchet MS"/>
          <w:w w:val="108"/>
          <w:sz w:val="20"/>
        </w:rPr>
        <w:t>e</w:t>
      </w:r>
      <w:r>
        <w:rPr>
          <w:rFonts w:ascii="Trebuchet MS"/>
          <w:spacing w:val="-14"/>
          <w:sz w:val="20"/>
        </w:rPr>
        <w:t> </w:t>
      </w:r>
      <w:r>
        <w:rPr>
          <w:rFonts w:ascii="Trebuchet MS"/>
          <w:spacing w:val="-2"/>
          <w:w w:val="88"/>
          <w:sz w:val="20"/>
        </w:rPr>
        <w:t>t</w:t>
      </w:r>
      <w:r>
        <w:rPr>
          <w:rFonts w:ascii="Trebuchet MS"/>
          <w:spacing w:val="-1"/>
          <w:w w:val="108"/>
          <w:sz w:val="20"/>
        </w:rPr>
        <w:t>h</w:t>
      </w:r>
      <w:r>
        <w:rPr>
          <w:rFonts w:ascii="Trebuchet MS"/>
          <w:w w:val="108"/>
          <w:sz w:val="20"/>
        </w:rPr>
        <w:t>e</w:t>
      </w:r>
      <w:r>
        <w:rPr>
          <w:rFonts w:ascii="Trebuchet MS"/>
          <w:spacing w:val="-14"/>
          <w:sz w:val="20"/>
        </w:rPr>
        <w:t> </w:t>
      </w:r>
      <w:r>
        <w:rPr>
          <w:rFonts w:ascii="Trebuchet MS"/>
          <w:spacing w:val="-1"/>
          <w:w w:val="104"/>
          <w:sz w:val="20"/>
        </w:rPr>
        <w:t>p</w:t>
      </w:r>
      <w:r>
        <w:rPr>
          <w:rFonts w:ascii="Trebuchet MS"/>
          <w:spacing w:val="-4"/>
          <w:w w:val="104"/>
          <w:sz w:val="20"/>
        </w:rPr>
        <w:t>r</w:t>
      </w:r>
      <w:r>
        <w:rPr>
          <w:rFonts w:ascii="Trebuchet MS"/>
          <w:spacing w:val="-6"/>
          <w:w w:val="111"/>
          <w:sz w:val="20"/>
        </w:rPr>
        <w:t>o</w:t>
      </w:r>
      <w:r>
        <w:rPr>
          <w:rFonts w:ascii="Trebuchet MS"/>
          <w:spacing w:val="-2"/>
          <w:w w:val="109"/>
          <w:sz w:val="20"/>
        </w:rPr>
        <w:t>v</w:t>
      </w:r>
      <w:r>
        <w:rPr>
          <w:rFonts w:ascii="Trebuchet MS"/>
          <w:spacing w:val="-1"/>
          <w:w w:val="80"/>
          <w:sz w:val="20"/>
        </w:rPr>
        <w:t>i</w:t>
      </w:r>
      <w:r>
        <w:rPr>
          <w:rFonts w:ascii="Trebuchet MS"/>
          <w:spacing w:val="-2"/>
          <w:w w:val="122"/>
          <w:sz w:val="20"/>
        </w:rPr>
        <w:t>s</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4"/>
          <w:w w:val="93"/>
          <w:sz w:val="20"/>
        </w:rPr>
        <w:t>r</w:t>
      </w:r>
      <w:r>
        <w:rPr>
          <w:rFonts w:ascii="Trebuchet MS"/>
          <w:spacing w:val="-1"/>
          <w:w w:val="108"/>
          <w:sz w:val="20"/>
        </w:rPr>
        <w:t>e</w:t>
      </w:r>
      <w:r>
        <w:rPr>
          <w:rFonts w:ascii="Trebuchet MS"/>
          <w:w w:val="105"/>
          <w:sz w:val="20"/>
        </w:rPr>
        <w:t>a</w:t>
      </w:r>
      <w:r>
        <w:rPr>
          <w:rFonts w:ascii="Trebuchet MS"/>
          <w:spacing w:val="-1"/>
          <w:w w:val="122"/>
          <w:sz w:val="20"/>
        </w:rPr>
        <w:t>s</w:t>
      </w:r>
      <w:r>
        <w:rPr>
          <w:rFonts w:ascii="Trebuchet MS"/>
          <w:spacing w:val="-1"/>
          <w:w w:val="111"/>
          <w:sz w:val="20"/>
        </w:rPr>
        <w:t>o</w:t>
      </w:r>
      <w:r>
        <w:rPr>
          <w:rFonts w:ascii="Trebuchet MS"/>
          <w:spacing w:val="-1"/>
          <w:w w:val="107"/>
          <w:sz w:val="20"/>
        </w:rPr>
        <w:t>n</w:t>
      </w:r>
      <w:r>
        <w:rPr>
          <w:rFonts w:ascii="Trebuchet MS"/>
          <w:spacing w:val="-2"/>
          <w:w w:val="105"/>
          <w:sz w:val="20"/>
        </w:rPr>
        <w:t>a</w:t>
      </w:r>
      <w:r>
        <w:rPr>
          <w:rFonts w:ascii="Trebuchet MS"/>
          <w:spacing w:val="-2"/>
          <w:w w:val="111"/>
          <w:sz w:val="20"/>
        </w:rPr>
        <w:t>b</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2"/>
          <w:w w:val="105"/>
          <w:sz w:val="20"/>
        </w:rPr>
        <w:t>a</w:t>
      </w:r>
      <w:r>
        <w:rPr>
          <w:rFonts w:ascii="Trebuchet MS"/>
          <w:spacing w:val="-2"/>
          <w:w w:val="112"/>
          <w:sz w:val="20"/>
        </w:rPr>
        <w:t>d</w:t>
      </w:r>
      <w:r>
        <w:rPr>
          <w:rFonts w:ascii="Trebuchet MS"/>
          <w:spacing w:val="-2"/>
          <w:w w:val="64"/>
          <w:sz w:val="20"/>
        </w:rPr>
        <w:t>j</w:t>
      </w:r>
      <w:r>
        <w:rPr>
          <w:rFonts w:ascii="Trebuchet MS"/>
          <w:spacing w:val="-1"/>
          <w:w w:val="109"/>
          <w:sz w:val="20"/>
        </w:rPr>
        <w:t>u</w:t>
      </w:r>
      <w:r>
        <w:rPr>
          <w:rFonts w:ascii="Trebuchet MS"/>
          <w:spacing w:val="-1"/>
          <w:w w:val="122"/>
          <w:sz w:val="20"/>
        </w:rPr>
        <w:t>s</w:t>
      </w:r>
      <w:r>
        <w:rPr>
          <w:rFonts w:ascii="Trebuchet MS"/>
          <w:spacing w:val="-2"/>
          <w:w w:val="88"/>
          <w:sz w:val="20"/>
        </w:rPr>
        <w:t>t</w:t>
      </w:r>
      <w:r>
        <w:rPr>
          <w:rFonts w:ascii="Trebuchet MS"/>
          <w:spacing w:val="-1"/>
          <w:w w:val="110"/>
          <w:sz w:val="20"/>
        </w:rPr>
        <w:t>me</w:t>
      </w:r>
      <w:r>
        <w:rPr>
          <w:rFonts w:ascii="Trebuchet MS"/>
          <w:spacing w:val="-4"/>
          <w:w w:val="107"/>
          <w:sz w:val="20"/>
        </w:rPr>
        <w:t>n</w:t>
      </w:r>
      <w:r>
        <w:rPr>
          <w:rFonts w:ascii="Trebuchet MS"/>
          <w:spacing w:val="2"/>
          <w:w w:val="88"/>
          <w:sz w:val="20"/>
        </w:rPr>
        <w:t>t</w:t>
      </w:r>
      <w:r>
        <w:rPr>
          <w:rFonts w:ascii="Trebuchet MS"/>
          <w:spacing w:val="1"/>
          <w:w w:val="122"/>
          <w:sz w:val="20"/>
        </w:rPr>
        <w:t>s</w:t>
      </w:r>
      <w:r>
        <w:rPr>
          <w:rFonts w:ascii="Trebuchet MS"/>
          <w:w w:val="55"/>
          <w:sz w:val="20"/>
        </w:rPr>
        <w:t>.</w:t>
      </w:r>
    </w:p>
    <w:p>
      <w:pPr>
        <w:pStyle w:val="ListParagraph"/>
        <w:numPr>
          <w:ilvl w:val="0"/>
          <w:numId w:val="94"/>
        </w:numPr>
        <w:tabs>
          <w:tab w:pos="1761" w:val="left" w:leader="none"/>
          <w:tab w:pos="1762" w:val="left" w:leader="none"/>
        </w:tabs>
        <w:spacing w:line="247" w:lineRule="auto" w:before="93" w:after="0"/>
        <w:ind w:left="1761" w:right="1594" w:hanging="567"/>
        <w:jc w:val="left"/>
        <w:rPr>
          <w:rFonts w:ascii="Trebuchet MS"/>
          <w:sz w:val="20"/>
        </w:rPr>
      </w:pPr>
      <w:r>
        <w:rPr>
          <w:rFonts w:ascii="Trebuchet MS"/>
          <w:w w:val="105"/>
          <w:sz w:val="20"/>
        </w:rPr>
        <w:t>Juries</w:t>
      </w:r>
      <w:r>
        <w:rPr>
          <w:rFonts w:ascii="Trebuchet MS"/>
          <w:spacing w:val="-34"/>
          <w:w w:val="105"/>
          <w:sz w:val="20"/>
        </w:rPr>
        <w:t> </w:t>
      </w:r>
      <w:r>
        <w:rPr>
          <w:rFonts w:ascii="Trebuchet MS"/>
          <w:w w:val="105"/>
          <w:sz w:val="20"/>
        </w:rPr>
        <w:t>Victoria</w:t>
      </w:r>
      <w:r>
        <w:rPr>
          <w:rFonts w:ascii="Trebuchet MS"/>
          <w:spacing w:val="-34"/>
          <w:w w:val="105"/>
          <w:sz w:val="20"/>
        </w:rPr>
        <w:t> </w:t>
      </w:r>
      <w:r>
        <w:rPr>
          <w:rFonts w:ascii="Trebuchet MS"/>
          <w:w w:val="105"/>
          <w:sz w:val="20"/>
        </w:rPr>
        <w:t>should</w:t>
      </w:r>
      <w:r>
        <w:rPr>
          <w:rFonts w:ascii="Trebuchet MS"/>
          <w:spacing w:val="-33"/>
          <w:w w:val="105"/>
          <w:sz w:val="20"/>
        </w:rPr>
        <w:t> </w:t>
      </w:r>
      <w:r>
        <w:rPr>
          <w:rFonts w:ascii="Trebuchet MS"/>
          <w:w w:val="105"/>
          <w:sz w:val="20"/>
        </w:rPr>
        <w:t>change</w:t>
      </w:r>
      <w:r>
        <w:rPr>
          <w:rFonts w:ascii="Trebuchet MS"/>
          <w:spacing w:val="-34"/>
          <w:w w:val="105"/>
          <w:sz w:val="20"/>
        </w:rPr>
        <w:t> </w:t>
      </w:r>
      <w:r>
        <w:rPr>
          <w:rFonts w:ascii="Trebuchet MS"/>
          <w:w w:val="105"/>
          <w:sz w:val="20"/>
        </w:rPr>
        <w:t>the</w:t>
      </w:r>
      <w:r>
        <w:rPr>
          <w:rFonts w:ascii="Trebuchet MS"/>
          <w:spacing w:val="-33"/>
          <w:w w:val="105"/>
          <w:sz w:val="20"/>
        </w:rPr>
        <w:t> </w:t>
      </w:r>
      <w:r>
        <w:rPr>
          <w:rFonts w:ascii="Trebuchet MS"/>
          <w:w w:val="105"/>
          <w:sz w:val="20"/>
        </w:rPr>
        <w:t>juror</w:t>
      </w:r>
      <w:r>
        <w:rPr>
          <w:rFonts w:ascii="Trebuchet MS"/>
          <w:spacing w:val="-34"/>
          <w:w w:val="105"/>
          <w:sz w:val="20"/>
        </w:rPr>
        <w:t> </w:t>
      </w:r>
      <w:r>
        <w:rPr>
          <w:rFonts w:ascii="Trebuchet MS"/>
          <w:w w:val="105"/>
          <w:sz w:val="20"/>
        </w:rPr>
        <w:t>questionnaire</w:t>
      </w:r>
      <w:r>
        <w:rPr>
          <w:rFonts w:ascii="Trebuchet MS"/>
          <w:spacing w:val="-33"/>
          <w:w w:val="105"/>
          <w:sz w:val="20"/>
        </w:rPr>
        <w:t> </w:t>
      </w:r>
      <w:r>
        <w:rPr>
          <w:rFonts w:ascii="Trebuchet MS"/>
          <w:spacing w:val="-2"/>
          <w:w w:val="105"/>
          <w:sz w:val="20"/>
        </w:rPr>
        <w:t>(juror</w:t>
      </w:r>
      <w:r>
        <w:rPr>
          <w:rFonts w:ascii="Trebuchet MS"/>
          <w:spacing w:val="-34"/>
          <w:w w:val="105"/>
          <w:sz w:val="20"/>
        </w:rPr>
        <w:t> </w:t>
      </w:r>
      <w:r>
        <w:rPr>
          <w:rFonts w:ascii="Trebuchet MS"/>
          <w:w w:val="105"/>
          <w:sz w:val="20"/>
        </w:rPr>
        <w:t>eligibility</w:t>
      </w:r>
      <w:r>
        <w:rPr>
          <w:rFonts w:ascii="Trebuchet MS"/>
          <w:spacing w:val="-33"/>
          <w:w w:val="105"/>
          <w:sz w:val="20"/>
        </w:rPr>
        <w:t> </w:t>
      </w:r>
      <w:r>
        <w:rPr>
          <w:rFonts w:ascii="Trebuchet MS"/>
          <w:spacing w:val="-3"/>
          <w:w w:val="105"/>
          <w:sz w:val="20"/>
        </w:rPr>
        <w:t>form)</w:t>
      </w:r>
      <w:r>
        <w:rPr>
          <w:rFonts w:ascii="Trebuchet MS"/>
          <w:spacing w:val="-34"/>
          <w:w w:val="105"/>
          <w:sz w:val="20"/>
        </w:rPr>
        <w:t> </w:t>
      </w:r>
      <w:r>
        <w:rPr>
          <w:rFonts w:ascii="Trebuchet MS"/>
          <w:w w:val="105"/>
          <w:sz w:val="20"/>
        </w:rPr>
        <w:t>and</w:t>
      </w:r>
      <w:r>
        <w:rPr>
          <w:rFonts w:ascii="Trebuchet MS"/>
          <w:spacing w:val="-33"/>
          <w:w w:val="105"/>
          <w:sz w:val="20"/>
        </w:rPr>
        <w:t> </w:t>
      </w:r>
      <w:r>
        <w:rPr>
          <w:rFonts w:ascii="Trebuchet MS"/>
          <w:w w:val="105"/>
          <w:sz w:val="20"/>
        </w:rPr>
        <w:t>the juror</w:t>
      </w:r>
      <w:r>
        <w:rPr>
          <w:rFonts w:ascii="Trebuchet MS"/>
          <w:spacing w:val="-21"/>
          <w:w w:val="105"/>
          <w:sz w:val="20"/>
        </w:rPr>
        <w:t> </w:t>
      </w:r>
      <w:r>
        <w:rPr>
          <w:rFonts w:ascii="Trebuchet MS"/>
          <w:w w:val="105"/>
          <w:sz w:val="20"/>
        </w:rPr>
        <w:t>summons</w:t>
      </w:r>
      <w:r>
        <w:rPr>
          <w:rFonts w:ascii="Trebuchet MS"/>
          <w:spacing w:val="-20"/>
          <w:w w:val="105"/>
          <w:sz w:val="20"/>
        </w:rPr>
        <w:t> </w:t>
      </w:r>
      <w:r>
        <w:rPr>
          <w:rFonts w:ascii="Trebuchet MS"/>
          <w:w w:val="105"/>
          <w:sz w:val="20"/>
        </w:rPr>
        <w:t>form</w:t>
      </w:r>
      <w:r>
        <w:rPr>
          <w:rFonts w:ascii="Trebuchet MS"/>
          <w:spacing w:val="-21"/>
          <w:w w:val="105"/>
          <w:sz w:val="20"/>
        </w:rPr>
        <w:t> </w:t>
      </w:r>
      <w:r>
        <w:rPr>
          <w:rFonts w:ascii="Trebuchet MS"/>
          <w:w w:val="105"/>
          <w:sz w:val="20"/>
        </w:rPr>
        <w:t>to</w:t>
      </w:r>
      <w:r>
        <w:rPr>
          <w:rFonts w:ascii="Trebuchet MS"/>
          <w:spacing w:val="-20"/>
          <w:w w:val="105"/>
          <w:sz w:val="20"/>
        </w:rPr>
        <w:t> </w:t>
      </w:r>
      <w:r>
        <w:rPr>
          <w:rFonts w:ascii="Trebuchet MS"/>
          <w:w w:val="105"/>
          <w:sz w:val="20"/>
        </w:rPr>
        <w:t>request</w:t>
      </w:r>
      <w:r>
        <w:rPr>
          <w:rFonts w:ascii="Trebuchet MS"/>
          <w:spacing w:val="-21"/>
          <w:w w:val="105"/>
          <w:sz w:val="20"/>
        </w:rPr>
        <w:t> </w:t>
      </w:r>
      <w:r>
        <w:rPr>
          <w:rFonts w:ascii="Trebuchet MS"/>
          <w:spacing w:val="-3"/>
          <w:w w:val="105"/>
          <w:sz w:val="20"/>
        </w:rPr>
        <w:t>information</w:t>
      </w:r>
      <w:r>
        <w:rPr>
          <w:rFonts w:ascii="Trebuchet MS"/>
          <w:spacing w:val="-20"/>
          <w:w w:val="105"/>
          <w:sz w:val="20"/>
        </w:rPr>
        <w:t> </w:t>
      </w:r>
      <w:r>
        <w:rPr>
          <w:rFonts w:ascii="Trebuchet MS"/>
          <w:w w:val="105"/>
          <w:sz w:val="20"/>
        </w:rPr>
        <w:t>about</w:t>
      </w:r>
      <w:r>
        <w:rPr>
          <w:rFonts w:ascii="Trebuchet MS"/>
          <w:spacing w:val="-21"/>
          <w:w w:val="105"/>
          <w:sz w:val="20"/>
        </w:rPr>
        <w:t> </w:t>
      </w:r>
      <w:r>
        <w:rPr>
          <w:rFonts w:ascii="Trebuchet MS"/>
          <w:w w:val="105"/>
          <w:sz w:val="20"/>
        </w:rPr>
        <w:t>the</w:t>
      </w:r>
      <w:r>
        <w:rPr>
          <w:rFonts w:ascii="Trebuchet MS"/>
          <w:spacing w:val="-20"/>
          <w:w w:val="105"/>
          <w:sz w:val="20"/>
        </w:rPr>
        <w:t> </w:t>
      </w:r>
      <w:r>
        <w:rPr>
          <w:rFonts w:ascii="Trebuchet MS"/>
          <w:w w:val="105"/>
          <w:sz w:val="20"/>
        </w:rPr>
        <w:t>need</w:t>
      </w:r>
      <w:r>
        <w:rPr>
          <w:rFonts w:ascii="Trebuchet MS"/>
          <w:spacing w:val="-20"/>
          <w:w w:val="105"/>
          <w:sz w:val="20"/>
        </w:rPr>
        <w:t> </w:t>
      </w:r>
      <w:r>
        <w:rPr>
          <w:rFonts w:ascii="Trebuchet MS"/>
          <w:w w:val="105"/>
          <w:sz w:val="20"/>
        </w:rPr>
        <w:t>for</w:t>
      </w:r>
      <w:r>
        <w:rPr>
          <w:rFonts w:ascii="Trebuchet MS"/>
          <w:spacing w:val="-21"/>
          <w:w w:val="105"/>
          <w:sz w:val="20"/>
        </w:rPr>
        <w:t> </w:t>
      </w:r>
      <w:r>
        <w:rPr>
          <w:rFonts w:ascii="Trebuchet MS"/>
          <w:w w:val="105"/>
          <w:sz w:val="20"/>
        </w:rPr>
        <w:t>adjustments</w:t>
      </w:r>
      <w:r>
        <w:rPr>
          <w:rFonts w:ascii="Trebuchet MS"/>
          <w:spacing w:val="-20"/>
          <w:w w:val="105"/>
          <w:sz w:val="20"/>
        </w:rPr>
        <w:t> </w:t>
      </w:r>
      <w:r>
        <w:rPr>
          <w:rFonts w:ascii="Trebuchet MS"/>
          <w:w w:val="105"/>
          <w:sz w:val="20"/>
        </w:rPr>
        <w:t>for</w:t>
      </w:r>
      <w:r>
        <w:rPr>
          <w:rFonts w:ascii="Trebuchet MS"/>
          <w:spacing w:val="-21"/>
          <w:w w:val="105"/>
          <w:sz w:val="20"/>
        </w:rPr>
        <w:t> </w:t>
      </w:r>
      <w:r>
        <w:rPr>
          <w:rFonts w:ascii="Trebuchet MS"/>
          <w:w w:val="105"/>
          <w:sz w:val="20"/>
        </w:rPr>
        <w:t>a </w:t>
      </w:r>
      <w:r>
        <w:rPr>
          <w:rFonts w:ascii="Trebuchet MS"/>
          <w:spacing w:val="-1"/>
          <w:w w:val="111"/>
          <w:sz w:val="20"/>
        </w:rPr>
        <w:t>p</w:t>
      </w:r>
      <w:r>
        <w:rPr>
          <w:rFonts w:ascii="Trebuchet MS"/>
          <w:spacing w:val="-1"/>
          <w:w w:val="108"/>
          <w:sz w:val="20"/>
        </w:rPr>
        <w:t>e</w:t>
      </w:r>
      <w:r>
        <w:rPr>
          <w:rFonts w:ascii="Trebuchet MS"/>
          <w:spacing w:val="-1"/>
          <w:w w:val="93"/>
          <w:sz w:val="20"/>
        </w:rPr>
        <w:t>r</w:t>
      </w:r>
      <w:r>
        <w:rPr>
          <w:rFonts w:ascii="Trebuchet MS"/>
          <w:spacing w:val="-1"/>
          <w:w w:val="122"/>
          <w:sz w:val="20"/>
        </w:rPr>
        <w:t>s</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2"/>
          <w:w w:val="110"/>
          <w:sz w:val="20"/>
        </w:rPr>
        <w:t>w</w:t>
      </w:r>
      <w:r>
        <w:rPr>
          <w:rFonts w:ascii="Trebuchet MS"/>
          <w:spacing w:val="-1"/>
          <w:w w:val="107"/>
          <w:sz w:val="20"/>
        </w:rPr>
        <w:t>h</w:t>
      </w:r>
      <w:r>
        <w:rPr>
          <w:rFonts w:ascii="Trebuchet MS"/>
          <w:w w:val="111"/>
          <w:sz w:val="20"/>
        </w:rPr>
        <w:t>o</w:t>
      </w:r>
      <w:r>
        <w:rPr>
          <w:rFonts w:ascii="Trebuchet MS"/>
          <w:spacing w:val="-14"/>
          <w:sz w:val="20"/>
        </w:rPr>
        <w:t> </w:t>
      </w:r>
      <w:r>
        <w:rPr>
          <w:rFonts w:ascii="Trebuchet MS"/>
          <w:spacing w:val="-1"/>
          <w:w w:val="80"/>
          <w:sz w:val="20"/>
        </w:rPr>
        <w:t>i</w:t>
      </w:r>
      <w:r>
        <w:rPr>
          <w:rFonts w:ascii="Trebuchet MS"/>
          <w:w w:val="122"/>
          <w:sz w:val="20"/>
        </w:rPr>
        <w:t>s</w:t>
      </w:r>
      <w:r>
        <w:rPr>
          <w:rFonts w:ascii="Trebuchet MS"/>
          <w:spacing w:val="-14"/>
          <w:sz w:val="20"/>
        </w:rPr>
        <w:t> </w:t>
      </w:r>
      <w:r>
        <w:rPr>
          <w:rFonts w:ascii="Trebuchet MS"/>
          <w:spacing w:val="-2"/>
          <w:w w:val="112"/>
          <w:sz w:val="20"/>
        </w:rPr>
        <w:t>d</w:t>
      </w:r>
      <w:r>
        <w:rPr>
          <w:rFonts w:ascii="Trebuchet MS"/>
          <w:spacing w:val="-1"/>
          <w:w w:val="108"/>
          <w:sz w:val="20"/>
        </w:rPr>
        <w:t>e</w:t>
      </w:r>
      <w:r>
        <w:rPr>
          <w:rFonts w:ascii="Trebuchet MS"/>
          <w:spacing w:val="-4"/>
          <w:w w:val="105"/>
          <w:sz w:val="20"/>
        </w:rPr>
        <w:t>a</w:t>
      </w:r>
      <w:r>
        <w:rPr>
          <w:rFonts w:ascii="Trebuchet MS"/>
          <w:spacing w:val="-9"/>
          <w:w w:val="92"/>
          <w:sz w:val="20"/>
        </w:rPr>
        <w:t>f</w:t>
      </w:r>
      <w:r>
        <w:rPr>
          <w:rFonts w:ascii="Trebuchet MS"/>
          <w:w w:val="57"/>
          <w:sz w:val="20"/>
        </w:rPr>
        <w:t>,</w:t>
      </w:r>
      <w:r>
        <w:rPr>
          <w:rFonts w:ascii="Trebuchet MS"/>
          <w:spacing w:val="-14"/>
          <w:sz w:val="20"/>
        </w:rPr>
        <w:t> </w:t>
      </w:r>
      <w:r>
        <w:rPr>
          <w:rFonts w:ascii="Trebuchet MS"/>
          <w:spacing w:val="-1"/>
          <w:w w:val="107"/>
          <w:sz w:val="20"/>
        </w:rPr>
        <w:t>h</w:t>
      </w:r>
      <w:r>
        <w:rPr>
          <w:rFonts w:ascii="Trebuchet MS"/>
          <w:spacing w:val="-2"/>
          <w:w w:val="105"/>
          <w:sz w:val="20"/>
        </w:rPr>
        <w:t>a</w:t>
      </w:r>
      <w:r>
        <w:rPr>
          <w:rFonts w:ascii="Trebuchet MS"/>
          <w:spacing w:val="-4"/>
          <w:w w:val="93"/>
          <w:sz w:val="20"/>
        </w:rPr>
        <w:t>r</w:t>
      </w:r>
      <w:r>
        <w:rPr>
          <w:rFonts w:ascii="Trebuchet MS"/>
          <w:w w:val="112"/>
          <w:sz w:val="20"/>
        </w:rPr>
        <w:t>d</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1"/>
          <w:w w:val="107"/>
          <w:sz w:val="20"/>
        </w:rPr>
        <w:t>h</w:t>
      </w:r>
      <w:r>
        <w:rPr>
          <w:rFonts w:ascii="Trebuchet MS"/>
          <w:spacing w:val="-1"/>
          <w:w w:val="108"/>
          <w:sz w:val="20"/>
        </w:rPr>
        <w:t>e</w:t>
      </w:r>
      <w:r>
        <w:rPr>
          <w:rFonts w:ascii="Trebuchet MS"/>
          <w:spacing w:val="-2"/>
          <w:w w:val="105"/>
          <w:sz w:val="20"/>
        </w:rPr>
        <w:t>a</w:t>
      </w:r>
      <w:r>
        <w:rPr>
          <w:rFonts w:ascii="Trebuchet MS"/>
          <w:spacing w:val="-2"/>
          <w:w w:val="93"/>
          <w:sz w:val="20"/>
        </w:rPr>
        <w:t>r</w:t>
      </w:r>
      <w:r>
        <w:rPr>
          <w:rFonts w:ascii="Trebuchet MS"/>
          <w:spacing w:val="-2"/>
          <w:w w:val="80"/>
          <w:sz w:val="20"/>
        </w:rPr>
        <w:t>i</w:t>
      </w:r>
      <w:r>
        <w:rPr>
          <w:rFonts w:ascii="Trebuchet MS"/>
          <w:spacing w:val="-1"/>
          <w:w w:val="107"/>
          <w:sz w:val="20"/>
        </w:rPr>
        <w:t>n</w:t>
      </w:r>
      <w:r>
        <w:rPr>
          <w:rFonts w:ascii="Trebuchet MS"/>
          <w:spacing w:val="-1"/>
          <w:w w:val="124"/>
          <w:sz w:val="20"/>
        </w:rPr>
        <w:t>g</w:t>
      </w:r>
      <w:r>
        <w:rPr>
          <w:rFonts w:ascii="Trebuchet MS"/>
          <w:w w:val="57"/>
          <w:sz w:val="20"/>
        </w:rPr>
        <w:t>,</w:t>
      </w:r>
      <w:r>
        <w:rPr>
          <w:rFonts w:ascii="Trebuchet MS"/>
          <w:spacing w:val="-14"/>
          <w:sz w:val="20"/>
        </w:rPr>
        <w:t> </w:t>
      </w:r>
      <w:r>
        <w:rPr>
          <w:rFonts w:ascii="Trebuchet MS"/>
          <w:spacing w:val="-2"/>
          <w:w w:val="111"/>
          <w:sz w:val="20"/>
        </w:rPr>
        <w:t>b</w:t>
      </w:r>
      <w:r>
        <w:rPr>
          <w:rFonts w:ascii="Trebuchet MS"/>
          <w:w w:val="96"/>
          <w:sz w:val="20"/>
        </w:rPr>
        <w:t>l</w:t>
      </w:r>
      <w:r>
        <w:rPr>
          <w:rFonts w:ascii="Trebuchet MS"/>
          <w:spacing w:val="-2"/>
          <w:w w:val="80"/>
          <w:sz w:val="20"/>
        </w:rPr>
        <w:t>i</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1"/>
          <w:w w:val="111"/>
          <w:sz w:val="20"/>
        </w:rPr>
        <w:t>o</w:t>
      </w:r>
      <w:r>
        <w:rPr>
          <w:rFonts w:ascii="Trebuchet MS"/>
          <w:w w:val="93"/>
          <w:sz w:val="20"/>
        </w:rPr>
        <w:t>r</w:t>
      </w:r>
      <w:r>
        <w:rPr>
          <w:rFonts w:ascii="Trebuchet MS"/>
          <w:spacing w:val="-14"/>
          <w:sz w:val="20"/>
        </w:rPr>
        <w:t> </w:t>
      </w:r>
      <w:r>
        <w:rPr>
          <w:rFonts w:ascii="Trebuchet MS"/>
          <w:spacing w:val="-1"/>
          <w:w w:val="107"/>
          <w:sz w:val="20"/>
        </w:rPr>
        <w:t>h</w:t>
      </w:r>
      <w:r>
        <w:rPr>
          <w:rFonts w:ascii="Trebuchet MS"/>
          <w:w w:val="105"/>
          <w:sz w:val="20"/>
        </w:rPr>
        <w:t>a</w:t>
      </w:r>
      <w:r>
        <w:rPr>
          <w:rFonts w:ascii="Trebuchet MS"/>
          <w:w w:val="122"/>
          <w:sz w:val="20"/>
        </w:rPr>
        <w:t>s</w:t>
      </w:r>
      <w:r>
        <w:rPr>
          <w:rFonts w:ascii="Trebuchet MS"/>
          <w:spacing w:val="-14"/>
          <w:sz w:val="20"/>
        </w:rPr>
        <w:t> </w:t>
      </w:r>
      <w:r>
        <w:rPr>
          <w:rFonts w:ascii="Trebuchet MS"/>
          <w:spacing w:val="-3"/>
          <w:w w:val="96"/>
          <w:sz w:val="20"/>
        </w:rPr>
        <w:t>l</w:t>
      </w:r>
      <w:r>
        <w:rPr>
          <w:rFonts w:ascii="Trebuchet MS"/>
          <w:spacing w:val="-6"/>
          <w:w w:val="111"/>
          <w:sz w:val="20"/>
        </w:rPr>
        <w:t>o</w:t>
      </w:r>
      <w:r>
        <w:rPr>
          <w:rFonts w:ascii="Trebuchet MS"/>
          <w:w w:val="110"/>
          <w:sz w:val="20"/>
        </w:rPr>
        <w:t>w</w:t>
      </w:r>
      <w:r>
        <w:rPr>
          <w:rFonts w:ascii="Trebuchet MS"/>
          <w:spacing w:val="-14"/>
          <w:sz w:val="20"/>
        </w:rPr>
        <w:t> </w:t>
      </w:r>
      <w:r>
        <w:rPr>
          <w:rFonts w:ascii="Trebuchet MS"/>
          <w:spacing w:val="-2"/>
          <w:w w:val="109"/>
          <w:sz w:val="20"/>
        </w:rPr>
        <w:t>v</w:t>
      </w:r>
      <w:r>
        <w:rPr>
          <w:rFonts w:ascii="Trebuchet MS"/>
          <w:spacing w:val="-1"/>
          <w:w w:val="80"/>
          <w:sz w:val="20"/>
        </w:rPr>
        <w:t>i</w:t>
      </w:r>
      <w:r>
        <w:rPr>
          <w:rFonts w:ascii="Trebuchet MS"/>
          <w:spacing w:val="-2"/>
          <w:w w:val="122"/>
          <w:sz w:val="20"/>
        </w:rPr>
        <w:t>s</w:t>
      </w:r>
      <w:r>
        <w:rPr>
          <w:rFonts w:ascii="Trebuchet MS"/>
          <w:spacing w:val="-1"/>
          <w:w w:val="80"/>
          <w:sz w:val="20"/>
        </w:rPr>
        <w:t>i</w:t>
      </w:r>
      <w:r>
        <w:rPr>
          <w:rFonts w:ascii="Trebuchet MS"/>
          <w:spacing w:val="-1"/>
          <w:w w:val="111"/>
          <w:sz w:val="20"/>
        </w:rPr>
        <w:t>o</w:t>
      </w:r>
      <w:r>
        <w:rPr>
          <w:rFonts w:ascii="Trebuchet MS"/>
          <w:spacing w:val="-1"/>
          <w:w w:val="107"/>
          <w:sz w:val="20"/>
        </w:rPr>
        <w:t>n</w:t>
      </w:r>
      <w:r>
        <w:rPr>
          <w:rFonts w:ascii="Trebuchet MS"/>
          <w:w w:val="55"/>
          <w:sz w:val="20"/>
        </w:rPr>
        <w:t>.</w:t>
      </w:r>
    </w:p>
    <w:p>
      <w:pPr>
        <w:pStyle w:val="ListParagraph"/>
        <w:numPr>
          <w:ilvl w:val="0"/>
          <w:numId w:val="94"/>
        </w:numPr>
        <w:tabs>
          <w:tab w:pos="1761" w:val="left" w:leader="none"/>
          <w:tab w:pos="1762" w:val="left" w:leader="none"/>
        </w:tabs>
        <w:spacing w:line="247" w:lineRule="auto" w:before="87" w:after="0"/>
        <w:ind w:left="1761" w:right="1683" w:hanging="567"/>
        <w:jc w:val="left"/>
        <w:rPr>
          <w:rFonts w:ascii="Trebuchet MS"/>
          <w:sz w:val="20"/>
        </w:rPr>
      </w:pPr>
      <w:r>
        <w:rPr>
          <w:rFonts w:ascii="Trebuchet MS"/>
          <w:w w:val="105"/>
          <w:sz w:val="20"/>
        </w:rPr>
        <w:t>Juries</w:t>
      </w:r>
      <w:r>
        <w:rPr>
          <w:rFonts w:ascii="Trebuchet MS"/>
          <w:spacing w:val="-22"/>
          <w:w w:val="105"/>
          <w:sz w:val="20"/>
        </w:rPr>
        <w:t> </w:t>
      </w:r>
      <w:r>
        <w:rPr>
          <w:rFonts w:ascii="Trebuchet MS"/>
          <w:w w:val="105"/>
          <w:sz w:val="20"/>
        </w:rPr>
        <w:t>Victoria</w:t>
      </w:r>
      <w:r>
        <w:rPr>
          <w:rFonts w:ascii="Trebuchet MS"/>
          <w:spacing w:val="-21"/>
          <w:w w:val="105"/>
          <w:sz w:val="20"/>
        </w:rPr>
        <w:t> </w:t>
      </w:r>
      <w:r>
        <w:rPr>
          <w:rFonts w:ascii="Trebuchet MS"/>
          <w:w w:val="105"/>
          <w:sz w:val="20"/>
        </w:rPr>
        <w:t>should</w:t>
      </w:r>
      <w:r>
        <w:rPr>
          <w:rFonts w:ascii="Trebuchet MS"/>
          <w:spacing w:val="-22"/>
          <w:w w:val="105"/>
          <w:sz w:val="20"/>
        </w:rPr>
        <w:t> </w:t>
      </w:r>
      <w:r>
        <w:rPr>
          <w:rFonts w:ascii="Trebuchet MS"/>
          <w:w w:val="105"/>
          <w:sz w:val="20"/>
        </w:rPr>
        <w:t>contact</w:t>
      </w:r>
      <w:r>
        <w:rPr>
          <w:rFonts w:ascii="Trebuchet MS"/>
          <w:spacing w:val="-21"/>
          <w:w w:val="105"/>
          <w:sz w:val="20"/>
        </w:rPr>
        <w:t> </w:t>
      </w:r>
      <w:r>
        <w:rPr>
          <w:rFonts w:ascii="Trebuchet MS"/>
          <w:w w:val="105"/>
          <w:sz w:val="20"/>
        </w:rPr>
        <w:t>a</w:t>
      </w:r>
      <w:r>
        <w:rPr>
          <w:rFonts w:ascii="Trebuchet MS"/>
          <w:spacing w:val="-21"/>
          <w:w w:val="105"/>
          <w:sz w:val="20"/>
        </w:rPr>
        <w:t> </w:t>
      </w:r>
      <w:r>
        <w:rPr>
          <w:rFonts w:ascii="Trebuchet MS"/>
          <w:spacing w:val="-3"/>
          <w:w w:val="105"/>
          <w:sz w:val="20"/>
        </w:rPr>
        <w:t>potential</w:t>
      </w:r>
      <w:r>
        <w:rPr>
          <w:rFonts w:ascii="Trebuchet MS"/>
          <w:spacing w:val="-22"/>
          <w:w w:val="105"/>
          <w:sz w:val="20"/>
        </w:rPr>
        <w:t> </w:t>
      </w:r>
      <w:r>
        <w:rPr>
          <w:rFonts w:ascii="Trebuchet MS"/>
          <w:w w:val="105"/>
          <w:sz w:val="20"/>
        </w:rPr>
        <w:t>juror</w:t>
      </w:r>
      <w:r>
        <w:rPr>
          <w:rFonts w:ascii="Trebuchet MS"/>
          <w:spacing w:val="-21"/>
          <w:w w:val="105"/>
          <w:sz w:val="20"/>
        </w:rPr>
        <w:t> </w:t>
      </w:r>
      <w:r>
        <w:rPr>
          <w:rFonts w:ascii="Trebuchet MS"/>
          <w:w w:val="105"/>
          <w:sz w:val="20"/>
        </w:rPr>
        <w:t>from</w:t>
      </w:r>
      <w:r>
        <w:rPr>
          <w:rFonts w:ascii="Trebuchet MS"/>
          <w:spacing w:val="-22"/>
          <w:w w:val="105"/>
          <w:sz w:val="20"/>
        </w:rPr>
        <w:t> </w:t>
      </w:r>
      <w:r>
        <w:rPr>
          <w:rFonts w:ascii="Trebuchet MS"/>
          <w:w w:val="105"/>
          <w:sz w:val="20"/>
        </w:rPr>
        <w:t>the</w:t>
      </w:r>
      <w:r>
        <w:rPr>
          <w:rFonts w:ascii="Trebuchet MS"/>
          <w:spacing w:val="-21"/>
          <w:w w:val="105"/>
          <w:sz w:val="20"/>
        </w:rPr>
        <w:t> </w:t>
      </w:r>
      <w:r>
        <w:rPr>
          <w:rFonts w:ascii="Trebuchet MS"/>
          <w:w w:val="105"/>
          <w:sz w:val="20"/>
        </w:rPr>
        <w:t>subject</w:t>
      </w:r>
      <w:r>
        <w:rPr>
          <w:rFonts w:ascii="Trebuchet MS"/>
          <w:spacing w:val="-21"/>
          <w:w w:val="105"/>
          <w:sz w:val="20"/>
        </w:rPr>
        <w:t> </w:t>
      </w:r>
      <w:r>
        <w:rPr>
          <w:rFonts w:ascii="Trebuchet MS"/>
          <w:w w:val="105"/>
          <w:sz w:val="20"/>
        </w:rPr>
        <w:t>groups</w:t>
      </w:r>
      <w:r>
        <w:rPr>
          <w:rFonts w:ascii="Trebuchet MS"/>
          <w:spacing w:val="-22"/>
          <w:w w:val="105"/>
          <w:sz w:val="20"/>
        </w:rPr>
        <w:t> </w:t>
      </w:r>
      <w:r>
        <w:rPr>
          <w:rFonts w:ascii="Trebuchet MS"/>
          <w:w w:val="105"/>
          <w:sz w:val="20"/>
        </w:rPr>
        <w:t>to</w:t>
      </w:r>
      <w:r>
        <w:rPr>
          <w:rFonts w:ascii="Trebuchet MS"/>
          <w:spacing w:val="-21"/>
          <w:w w:val="105"/>
          <w:sz w:val="20"/>
        </w:rPr>
        <w:t> </w:t>
      </w:r>
      <w:r>
        <w:rPr>
          <w:rFonts w:ascii="Trebuchet MS"/>
          <w:w w:val="105"/>
          <w:sz w:val="20"/>
        </w:rPr>
        <w:t>discuss </w:t>
      </w:r>
      <w:r>
        <w:rPr>
          <w:rFonts w:ascii="Trebuchet MS"/>
          <w:spacing w:val="-2"/>
          <w:w w:val="88"/>
          <w:sz w:val="20"/>
        </w:rPr>
        <w:t>t</w:t>
      </w:r>
      <w:r>
        <w:rPr>
          <w:rFonts w:ascii="Trebuchet MS"/>
          <w:spacing w:val="-1"/>
          <w:w w:val="107"/>
          <w:sz w:val="20"/>
        </w:rPr>
        <w:t>h</w:t>
      </w:r>
      <w:r>
        <w:rPr>
          <w:rFonts w:ascii="Trebuchet MS"/>
          <w:spacing w:val="-1"/>
          <w:w w:val="108"/>
          <w:sz w:val="20"/>
        </w:rPr>
        <w:t>e</w:t>
      </w:r>
      <w:r>
        <w:rPr>
          <w:rFonts w:ascii="Trebuchet MS"/>
          <w:spacing w:val="-2"/>
          <w:w w:val="80"/>
          <w:sz w:val="20"/>
        </w:rPr>
        <w:t>i</w:t>
      </w:r>
      <w:r>
        <w:rPr>
          <w:rFonts w:ascii="Trebuchet MS"/>
          <w:w w:val="93"/>
          <w:sz w:val="20"/>
        </w:rPr>
        <w:t>r</w:t>
      </w:r>
      <w:r>
        <w:rPr>
          <w:rFonts w:ascii="Trebuchet MS"/>
          <w:spacing w:val="-14"/>
          <w:sz w:val="20"/>
        </w:rPr>
        <w:t> </w:t>
      </w:r>
      <w:r>
        <w:rPr>
          <w:rFonts w:ascii="Trebuchet MS"/>
          <w:spacing w:val="-1"/>
          <w:w w:val="107"/>
          <w:sz w:val="20"/>
        </w:rPr>
        <w:t>n</w:t>
      </w:r>
      <w:r>
        <w:rPr>
          <w:rFonts w:ascii="Trebuchet MS"/>
          <w:w w:val="108"/>
          <w:sz w:val="20"/>
        </w:rPr>
        <w:t>ee</w:t>
      </w:r>
      <w:r>
        <w:rPr>
          <w:rFonts w:ascii="Trebuchet MS"/>
          <w:spacing w:val="-1"/>
          <w:w w:val="112"/>
          <w:sz w:val="20"/>
        </w:rPr>
        <w:t>d</w:t>
      </w:r>
      <w:r>
        <w:rPr>
          <w:rFonts w:ascii="Trebuchet MS"/>
          <w:w w:val="122"/>
          <w:sz w:val="20"/>
        </w:rPr>
        <w:t>s</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3"/>
          <w:w w:val="111"/>
          <w:sz w:val="20"/>
        </w:rPr>
        <w:t>o</w:t>
      </w:r>
      <w:r>
        <w:rPr>
          <w:rFonts w:ascii="Trebuchet MS"/>
          <w:w w:val="81"/>
          <w:sz w:val="20"/>
        </w:rPr>
        <w:t>f</w:t>
      </w:r>
      <w:r>
        <w:rPr>
          <w:rFonts w:ascii="Trebuchet MS"/>
          <w:spacing w:val="-5"/>
          <w:w w:val="81"/>
          <w:sz w:val="20"/>
        </w:rPr>
        <w:t>f</w:t>
      </w:r>
      <w:r>
        <w:rPr>
          <w:rFonts w:ascii="Trebuchet MS"/>
          <w:spacing w:val="-1"/>
          <w:w w:val="108"/>
          <w:sz w:val="20"/>
        </w:rPr>
        <w:t>e</w:t>
      </w:r>
      <w:r>
        <w:rPr>
          <w:rFonts w:ascii="Trebuchet MS"/>
          <w:w w:val="93"/>
          <w:sz w:val="20"/>
        </w:rPr>
        <w:t>r</w:t>
      </w:r>
      <w:r>
        <w:rPr>
          <w:rFonts w:ascii="Trebuchet MS"/>
          <w:spacing w:val="-14"/>
          <w:sz w:val="20"/>
        </w:rPr>
        <w:t> </w:t>
      </w:r>
      <w:r>
        <w:rPr>
          <w:rFonts w:ascii="Trebuchet MS"/>
          <w:w w:val="105"/>
          <w:sz w:val="20"/>
        </w:rPr>
        <w:t>a</w:t>
      </w:r>
      <w:r>
        <w:rPr>
          <w:rFonts w:ascii="Trebuchet MS"/>
          <w:spacing w:val="-14"/>
          <w:sz w:val="20"/>
        </w:rPr>
        <w:t> </w:t>
      </w:r>
      <w:r>
        <w:rPr>
          <w:rFonts w:ascii="Trebuchet MS"/>
          <w:spacing w:val="-1"/>
          <w:w w:val="111"/>
          <w:sz w:val="20"/>
        </w:rPr>
        <w:t>p</w:t>
      </w:r>
      <w:r>
        <w:rPr>
          <w:rFonts w:ascii="Trebuchet MS"/>
          <w:spacing w:val="-4"/>
          <w:w w:val="93"/>
          <w:sz w:val="20"/>
        </w:rPr>
        <w:t>r</w:t>
      </w:r>
      <w:r>
        <w:rPr>
          <w:rFonts w:ascii="Trebuchet MS"/>
          <w:spacing w:val="1"/>
          <w:w w:val="108"/>
          <w:sz w:val="20"/>
        </w:rPr>
        <w:t>e</w:t>
      </w:r>
      <w:r>
        <w:rPr>
          <w:rFonts w:ascii="Trebuchet MS"/>
          <w:spacing w:val="1"/>
          <w:w w:val="115"/>
          <w:sz w:val="20"/>
        </w:rPr>
        <w:t>-</w:t>
      </w:r>
      <w:r>
        <w:rPr>
          <w:rFonts w:ascii="Trebuchet MS"/>
          <w:spacing w:val="-1"/>
          <w:w w:val="108"/>
          <w:sz w:val="20"/>
        </w:rPr>
        <w:t>e</w:t>
      </w:r>
      <w:r>
        <w:rPr>
          <w:rFonts w:ascii="Trebuchet MS"/>
          <w:spacing w:val="-2"/>
          <w:w w:val="111"/>
          <w:sz w:val="20"/>
        </w:rPr>
        <w:t>m</w:t>
      </w:r>
      <w:r>
        <w:rPr>
          <w:rFonts w:ascii="Trebuchet MS"/>
          <w:spacing w:val="-1"/>
          <w:w w:val="111"/>
          <w:sz w:val="20"/>
        </w:rPr>
        <w:t>p</w:t>
      </w:r>
      <w:r>
        <w:rPr>
          <w:rFonts w:ascii="Trebuchet MS"/>
          <w:spacing w:val="-2"/>
          <w:w w:val="105"/>
          <w:sz w:val="20"/>
        </w:rPr>
        <w:t>a</w:t>
      </w:r>
      <w:r>
        <w:rPr>
          <w:rFonts w:ascii="Trebuchet MS"/>
          <w:spacing w:val="-1"/>
          <w:w w:val="107"/>
          <w:sz w:val="20"/>
        </w:rPr>
        <w:t>n</w:t>
      </w:r>
      <w:r>
        <w:rPr>
          <w:rFonts w:ascii="Trebuchet MS"/>
          <w:spacing w:val="-1"/>
          <w:w w:val="108"/>
          <w:sz w:val="20"/>
        </w:rPr>
        <w:t>e</w:t>
      </w:r>
      <w:r>
        <w:rPr>
          <w:rFonts w:ascii="Trebuchet MS"/>
          <w:w w:val="96"/>
          <w:sz w:val="20"/>
        </w:rPr>
        <w:t>l</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w w:val="88"/>
          <w:sz w:val="20"/>
        </w:rPr>
        <w:t>t</w:t>
      </w:r>
      <w:r>
        <w:rPr>
          <w:rFonts w:ascii="Trebuchet MS"/>
          <w:spacing w:val="-14"/>
          <w:sz w:val="20"/>
        </w:rPr>
        <w:t> </w:t>
      </w:r>
      <w:r>
        <w:rPr>
          <w:rFonts w:ascii="Trebuchet MS"/>
          <w:spacing w:val="-2"/>
          <w:w w:val="109"/>
          <w:sz w:val="20"/>
        </w:rPr>
        <w:t>v</w:t>
      </w:r>
      <w:r>
        <w:rPr>
          <w:rFonts w:ascii="Trebuchet MS"/>
          <w:spacing w:val="-1"/>
          <w:w w:val="80"/>
          <w:sz w:val="20"/>
        </w:rPr>
        <w:t>i</w:t>
      </w:r>
      <w:r>
        <w:rPr>
          <w:rFonts w:ascii="Trebuchet MS"/>
          <w:spacing w:val="-2"/>
          <w:w w:val="122"/>
          <w:sz w:val="20"/>
        </w:rPr>
        <w:t>s</w:t>
      </w:r>
      <w:r>
        <w:rPr>
          <w:rFonts w:ascii="Trebuchet MS"/>
          <w:spacing w:val="-3"/>
          <w:w w:val="80"/>
          <w:sz w:val="20"/>
        </w:rPr>
        <w:t>i</w:t>
      </w:r>
      <w:r>
        <w:rPr>
          <w:rFonts w:ascii="Trebuchet MS"/>
          <w:w w:val="88"/>
          <w:sz w:val="20"/>
        </w:rPr>
        <w:t>t</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1"/>
          <w:w w:val="109"/>
          <w:sz w:val="20"/>
        </w:rPr>
        <w:t>u</w:t>
      </w:r>
      <w:r>
        <w:rPr>
          <w:rFonts w:ascii="Trebuchet MS"/>
          <w:spacing w:val="2"/>
          <w:w w:val="93"/>
          <w:sz w:val="20"/>
        </w:rPr>
        <w:t>r</w:t>
      </w:r>
      <w:r>
        <w:rPr>
          <w:rFonts w:ascii="Trebuchet MS"/>
          <w:spacing w:val="1"/>
          <w:w w:val="88"/>
          <w:sz w:val="20"/>
        </w:rPr>
        <w:t>t</w:t>
      </w:r>
      <w:r>
        <w:rPr>
          <w:rFonts w:ascii="Trebuchet MS"/>
          <w:w w:val="55"/>
          <w:sz w:val="20"/>
        </w:rPr>
        <w:t>.</w:t>
      </w:r>
    </w:p>
    <w:p>
      <w:pPr>
        <w:pStyle w:val="ListParagraph"/>
        <w:numPr>
          <w:ilvl w:val="0"/>
          <w:numId w:val="94"/>
        </w:numPr>
        <w:tabs>
          <w:tab w:pos="1761" w:val="left" w:leader="none"/>
          <w:tab w:pos="1762" w:val="left" w:leader="none"/>
        </w:tabs>
        <w:spacing w:line="247" w:lineRule="auto" w:before="87" w:after="0"/>
        <w:ind w:left="1761" w:right="1477" w:hanging="567"/>
        <w:jc w:val="left"/>
        <w:rPr>
          <w:rFonts w:ascii="Trebuchet MS" w:hAnsi="Trebuchet MS"/>
          <w:sz w:val="20"/>
        </w:rPr>
      </w:pPr>
      <w:r>
        <w:rPr>
          <w:rFonts w:ascii="Trebuchet MS" w:hAnsi="Trebuchet MS"/>
          <w:spacing w:val="-10"/>
          <w:w w:val="105"/>
          <w:sz w:val="20"/>
        </w:rPr>
        <w:t>To </w:t>
      </w:r>
      <w:r>
        <w:rPr>
          <w:rFonts w:ascii="Trebuchet MS" w:hAnsi="Trebuchet MS"/>
          <w:w w:val="105"/>
          <w:sz w:val="20"/>
        </w:rPr>
        <w:t>assist the Juries Commissioner to </w:t>
      </w:r>
      <w:r>
        <w:rPr>
          <w:rFonts w:ascii="Trebuchet MS" w:hAnsi="Trebuchet MS"/>
          <w:spacing w:val="-3"/>
          <w:w w:val="105"/>
          <w:sz w:val="20"/>
        </w:rPr>
        <w:t>make </w:t>
      </w:r>
      <w:r>
        <w:rPr>
          <w:rFonts w:ascii="Trebuchet MS" w:hAnsi="Trebuchet MS"/>
          <w:w w:val="105"/>
          <w:sz w:val="20"/>
        </w:rPr>
        <w:t>a recommendation to the court about </w:t>
      </w:r>
      <w:r>
        <w:rPr>
          <w:rFonts w:ascii="Trebuchet MS" w:hAnsi="Trebuchet MS"/>
          <w:spacing w:val="-2"/>
          <w:w w:val="88"/>
          <w:sz w:val="20"/>
        </w:rPr>
        <w:t>t</w:t>
      </w:r>
      <w:r>
        <w:rPr>
          <w:rFonts w:ascii="Trebuchet MS" w:hAnsi="Trebuchet MS"/>
          <w:spacing w:val="-1"/>
          <w:w w:val="108"/>
          <w:sz w:val="20"/>
        </w:rPr>
        <w:t>h</w:t>
      </w:r>
      <w:r>
        <w:rPr>
          <w:rFonts w:ascii="Trebuchet MS" w:hAnsi="Trebuchet MS"/>
          <w:w w:val="108"/>
          <w:sz w:val="20"/>
        </w:rPr>
        <w:t>e</w:t>
      </w:r>
      <w:r>
        <w:rPr>
          <w:rFonts w:ascii="Trebuchet MS" w:hAnsi="Trebuchet MS"/>
          <w:spacing w:val="-14"/>
          <w:sz w:val="20"/>
        </w:rPr>
        <w:t> </w:t>
      </w:r>
      <w:r>
        <w:rPr>
          <w:rFonts w:ascii="Trebuchet MS" w:hAnsi="Trebuchet MS"/>
          <w:spacing w:val="-1"/>
          <w:w w:val="104"/>
          <w:sz w:val="20"/>
        </w:rPr>
        <w:t>p</w:t>
      </w:r>
      <w:r>
        <w:rPr>
          <w:rFonts w:ascii="Trebuchet MS" w:hAnsi="Trebuchet MS"/>
          <w:spacing w:val="-4"/>
          <w:w w:val="104"/>
          <w:sz w:val="20"/>
        </w:rPr>
        <w:t>r</w:t>
      </w:r>
      <w:r>
        <w:rPr>
          <w:rFonts w:ascii="Trebuchet MS" w:hAnsi="Trebuchet MS"/>
          <w:spacing w:val="-6"/>
          <w:w w:val="111"/>
          <w:sz w:val="20"/>
        </w:rPr>
        <w:t>o</w:t>
      </w:r>
      <w:r>
        <w:rPr>
          <w:rFonts w:ascii="Trebuchet MS" w:hAnsi="Trebuchet MS"/>
          <w:spacing w:val="-2"/>
          <w:w w:val="109"/>
          <w:sz w:val="20"/>
        </w:rPr>
        <w:t>v</w:t>
      </w:r>
      <w:r>
        <w:rPr>
          <w:rFonts w:ascii="Trebuchet MS" w:hAnsi="Trebuchet MS"/>
          <w:spacing w:val="-1"/>
          <w:w w:val="80"/>
          <w:sz w:val="20"/>
        </w:rPr>
        <w:t>i</w:t>
      </w:r>
      <w:r>
        <w:rPr>
          <w:rFonts w:ascii="Trebuchet MS" w:hAnsi="Trebuchet MS"/>
          <w:spacing w:val="-2"/>
          <w:w w:val="122"/>
          <w:sz w:val="20"/>
        </w:rPr>
        <w:t>s</w:t>
      </w:r>
      <w:r>
        <w:rPr>
          <w:rFonts w:ascii="Trebuchet MS" w:hAnsi="Trebuchet MS"/>
          <w:spacing w:val="-1"/>
          <w:w w:val="80"/>
          <w:sz w:val="20"/>
        </w:rPr>
        <w:t>i</w:t>
      </w:r>
      <w:r>
        <w:rPr>
          <w:rFonts w:ascii="Trebuchet MS" w:hAnsi="Trebuchet MS"/>
          <w:spacing w:val="-1"/>
          <w:w w:val="111"/>
          <w:sz w:val="20"/>
        </w:rPr>
        <w:t>o</w:t>
      </w:r>
      <w:r>
        <w:rPr>
          <w:rFonts w:ascii="Trebuchet MS" w:hAnsi="Trebuchet MS"/>
          <w:w w:val="107"/>
          <w:sz w:val="20"/>
        </w:rPr>
        <w:t>n</w:t>
      </w:r>
      <w:r>
        <w:rPr>
          <w:rFonts w:ascii="Trebuchet MS" w:hAnsi="Trebuchet MS"/>
          <w:spacing w:val="-14"/>
          <w:sz w:val="20"/>
        </w:rPr>
        <w:t> </w:t>
      </w:r>
      <w:r>
        <w:rPr>
          <w:rFonts w:ascii="Trebuchet MS" w:hAnsi="Trebuchet MS"/>
          <w:spacing w:val="-4"/>
          <w:w w:val="111"/>
          <w:sz w:val="20"/>
        </w:rPr>
        <w:t>o</w:t>
      </w:r>
      <w:r>
        <w:rPr>
          <w:rFonts w:ascii="Trebuchet MS" w:hAnsi="Trebuchet MS"/>
          <w:w w:val="92"/>
          <w:sz w:val="20"/>
        </w:rPr>
        <w:t>f</w:t>
      </w:r>
      <w:r>
        <w:rPr>
          <w:rFonts w:ascii="Trebuchet MS" w:hAnsi="Trebuchet MS"/>
          <w:spacing w:val="-14"/>
          <w:sz w:val="20"/>
        </w:rPr>
        <w:t> </w:t>
      </w:r>
      <w:r>
        <w:rPr>
          <w:rFonts w:ascii="Trebuchet MS" w:hAnsi="Trebuchet MS"/>
          <w:spacing w:val="-4"/>
          <w:w w:val="93"/>
          <w:sz w:val="20"/>
        </w:rPr>
        <w:t>r</w:t>
      </w:r>
      <w:r>
        <w:rPr>
          <w:rFonts w:ascii="Trebuchet MS" w:hAnsi="Trebuchet MS"/>
          <w:spacing w:val="-1"/>
          <w:w w:val="108"/>
          <w:sz w:val="20"/>
        </w:rPr>
        <w:t>e</w:t>
      </w:r>
      <w:r>
        <w:rPr>
          <w:rFonts w:ascii="Trebuchet MS" w:hAnsi="Trebuchet MS"/>
          <w:w w:val="105"/>
          <w:sz w:val="20"/>
        </w:rPr>
        <w:t>a</w:t>
      </w:r>
      <w:r>
        <w:rPr>
          <w:rFonts w:ascii="Trebuchet MS" w:hAnsi="Trebuchet MS"/>
          <w:spacing w:val="-1"/>
          <w:w w:val="122"/>
          <w:sz w:val="20"/>
        </w:rPr>
        <w:t>s</w:t>
      </w:r>
      <w:r>
        <w:rPr>
          <w:rFonts w:ascii="Trebuchet MS" w:hAnsi="Trebuchet MS"/>
          <w:spacing w:val="-1"/>
          <w:w w:val="111"/>
          <w:sz w:val="20"/>
        </w:rPr>
        <w:t>o</w:t>
      </w:r>
      <w:r>
        <w:rPr>
          <w:rFonts w:ascii="Trebuchet MS" w:hAnsi="Trebuchet MS"/>
          <w:spacing w:val="-1"/>
          <w:w w:val="107"/>
          <w:sz w:val="20"/>
        </w:rPr>
        <w:t>n</w:t>
      </w:r>
      <w:r>
        <w:rPr>
          <w:rFonts w:ascii="Trebuchet MS" w:hAnsi="Trebuchet MS"/>
          <w:spacing w:val="-2"/>
          <w:w w:val="105"/>
          <w:sz w:val="20"/>
        </w:rPr>
        <w:t>a</w:t>
      </w:r>
      <w:r>
        <w:rPr>
          <w:rFonts w:ascii="Trebuchet MS" w:hAnsi="Trebuchet MS"/>
          <w:spacing w:val="-2"/>
          <w:w w:val="111"/>
          <w:sz w:val="20"/>
        </w:rPr>
        <w:t>b</w:t>
      </w:r>
      <w:r>
        <w:rPr>
          <w:rFonts w:ascii="Trebuchet MS" w:hAnsi="Trebuchet MS"/>
          <w:spacing w:val="-3"/>
          <w:w w:val="96"/>
          <w:sz w:val="20"/>
        </w:rPr>
        <w:t>l</w:t>
      </w:r>
      <w:r>
        <w:rPr>
          <w:rFonts w:ascii="Trebuchet MS" w:hAnsi="Trebuchet MS"/>
          <w:w w:val="108"/>
          <w:sz w:val="20"/>
        </w:rPr>
        <w:t>e</w:t>
      </w:r>
      <w:r>
        <w:rPr>
          <w:rFonts w:ascii="Trebuchet MS" w:hAnsi="Trebuchet MS"/>
          <w:spacing w:val="-14"/>
          <w:sz w:val="20"/>
        </w:rPr>
        <w:t> </w:t>
      </w:r>
      <w:r>
        <w:rPr>
          <w:rFonts w:ascii="Trebuchet MS" w:hAnsi="Trebuchet MS"/>
          <w:spacing w:val="-2"/>
          <w:w w:val="105"/>
          <w:sz w:val="20"/>
        </w:rPr>
        <w:t>a</w:t>
      </w:r>
      <w:r>
        <w:rPr>
          <w:rFonts w:ascii="Trebuchet MS" w:hAnsi="Trebuchet MS"/>
          <w:spacing w:val="-2"/>
          <w:w w:val="112"/>
          <w:sz w:val="20"/>
        </w:rPr>
        <w:t>d</w:t>
      </w:r>
      <w:r>
        <w:rPr>
          <w:rFonts w:ascii="Trebuchet MS" w:hAnsi="Trebuchet MS"/>
          <w:spacing w:val="-2"/>
          <w:w w:val="64"/>
          <w:sz w:val="20"/>
        </w:rPr>
        <w:t>j</w:t>
      </w:r>
      <w:r>
        <w:rPr>
          <w:rFonts w:ascii="Trebuchet MS" w:hAnsi="Trebuchet MS"/>
          <w:spacing w:val="-1"/>
          <w:w w:val="109"/>
          <w:sz w:val="20"/>
        </w:rPr>
        <w:t>u</w:t>
      </w:r>
      <w:r>
        <w:rPr>
          <w:rFonts w:ascii="Trebuchet MS" w:hAnsi="Trebuchet MS"/>
          <w:spacing w:val="-1"/>
          <w:w w:val="122"/>
          <w:sz w:val="20"/>
        </w:rPr>
        <w:t>s</w:t>
      </w:r>
      <w:r>
        <w:rPr>
          <w:rFonts w:ascii="Trebuchet MS" w:hAnsi="Trebuchet MS"/>
          <w:spacing w:val="-2"/>
          <w:w w:val="88"/>
          <w:sz w:val="20"/>
        </w:rPr>
        <w:t>t</w:t>
      </w:r>
      <w:r>
        <w:rPr>
          <w:rFonts w:ascii="Trebuchet MS" w:hAnsi="Trebuchet MS"/>
          <w:spacing w:val="-1"/>
          <w:w w:val="110"/>
          <w:sz w:val="20"/>
        </w:rPr>
        <w:t>me</w:t>
      </w:r>
      <w:r>
        <w:rPr>
          <w:rFonts w:ascii="Trebuchet MS" w:hAnsi="Trebuchet MS"/>
          <w:spacing w:val="-4"/>
          <w:w w:val="107"/>
          <w:sz w:val="20"/>
        </w:rPr>
        <w:t>n</w:t>
      </w:r>
      <w:r>
        <w:rPr>
          <w:rFonts w:ascii="Trebuchet MS" w:hAnsi="Trebuchet MS"/>
          <w:spacing w:val="2"/>
          <w:w w:val="88"/>
          <w:sz w:val="20"/>
        </w:rPr>
        <w:t>t</w:t>
      </w:r>
      <w:r>
        <w:rPr>
          <w:rFonts w:ascii="Trebuchet MS" w:hAnsi="Trebuchet MS"/>
          <w:spacing w:val="1"/>
          <w:w w:val="122"/>
          <w:sz w:val="20"/>
        </w:rPr>
        <w:t>s</w:t>
      </w:r>
      <w:r>
        <w:rPr>
          <w:rFonts w:ascii="Trebuchet MS" w:hAnsi="Trebuchet MS"/>
          <w:w w:val="57"/>
          <w:sz w:val="20"/>
        </w:rPr>
        <w:t>,</w:t>
      </w:r>
      <w:r>
        <w:rPr>
          <w:rFonts w:ascii="Trebuchet MS" w:hAnsi="Trebuchet MS"/>
          <w:spacing w:val="-14"/>
          <w:sz w:val="20"/>
        </w:rPr>
        <w:t> </w:t>
      </w:r>
      <w:r>
        <w:rPr>
          <w:rFonts w:ascii="Trebuchet MS" w:hAnsi="Trebuchet MS"/>
          <w:spacing w:val="-2"/>
          <w:w w:val="64"/>
          <w:sz w:val="20"/>
        </w:rPr>
        <w:t>j</w:t>
      </w:r>
      <w:r>
        <w:rPr>
          <w:rFonts w:ascii="Trebuchet MS" w:hAnsi="Trebuchet MS"/>
          <w:spacing w:val="-2"/>
          <w:w w:val="109"/>
          <w:sz w:val="20"/>
        </w:rPr>
        <w:t>u</w:t>
      </w:r>
      <w:r>
        <w:rPr>
          <w:rFonts w:ascii="Trebuchet MS" w:hAnsi="Trebuchet MS"/>
          <w:spacing w:val="-2"/>
          <w:w w:val="112"/>
          <w:sz w:val="20"/>
        </w:rPr>
        <w:t>d</w:t>
      </w:r>
      <w:r>
        <w:rPr>
          <w:rFonts w:ascii="Trebuchet MS" w:hAnsi="Trebuchet MS"/>
          <w:spacing w:val="-1"/>
          <w:w w:val="124"/>
          <w:sz w:val="20"/>
        </w:rPr>
        <w:t>g</w:t>
      </w:r>
      <w:r>
        <w:rPr>
          <w:rFonts w:ascii="Trebuchet MS" w:hAnsi="Trebuchet MS"/>
          <w:spacing w:val="-2"/>
          <w:w w:val="108"/>
          <w:sz w:val="20"/>
        </w:rPr>
        <w:t>e</w:t>
      </w:r>
      <w:r>
        <w:rPr>
          <w:rFonts w:ascii="Trebuchet MS" w:hAnsi="Trebuchet MS"/>
          <w:spacing w:val="-6"/>
          <w:w w:val="122"/>
          <w:sz w:val="20"/>
        </w:rPr>
        <w:t>s</w:t>
      </w:r>
      <w:r>
        <w:rPr>
          <w:rFonts w:ascii="Trebuchet MS" w:hAnsi="Trebuchet MS"/>
          <w:w w:val="54"/>
          <w:sz w:val="20"/>
        </w:rPr>
        <w:t>’</w:t>
      </w:r>
      <w:r>
        <w:rPr>
          <w:rFonts w:ascii="Trebuchet MS" w:hAnsi="Trebuchet MS"/>
          <w:spacing w:val="-14"/>
          <w:sz w:val="20"/>
        </w:rPr>
        <w:t> </w:t>
      </w:r>
      <w:r>
        <w:rPr>
          <w:rFonts w:ascii="Trebuchet MS" w:hAnsi="Trebuchet MS"/>
          <w:spacing w:val="-2"/>
          <w:w w:val="111"/>
          <w:sz w:val="20"/>
        </w:rPr>
        <w:t>c</w:t>
      </w:r>
      <w:r>
        <w:rPr>
          <w:rFonts w:ascii="Trebuchet MS" w:hAnsi="Trebuchet MS"/>
          <w:spacing w:val="-1"/>
          <w:w w:val="107"/>
          <w:sz w:val="20"/>
        </w:rPr>
        <w:t>h</w:t>
      </w:r>
      <w:r>
        <w:rPr>
          <w:rFonts w:ascii="Trebuchet MS" w:hAnsi="Trebuchet MS"/>
          <w:spacing w:val="-2"/>
          <w:w w:val="105"/>
          <w:sz w:val="20"/>
        </w:rPr>
        <w:t>a</w:t>
      </w:r>
      <w:r>
        <w:rPr>
          <w:rFonts w:ascii="Trebuchet MS" w:hAnsi="Trebuchet MS"/>
          <w:spacing w:val="-2"/>
          <w:w w:val="111"/>
          <w:sz w:val="20"/>
        </w:rPr>
        <w:t>m</w:t>
      </w:r>
      <w:r>
        <w:rPr>
          <w:rFonts w:ascii="Trebuchet MS" w:hAnsi="Trebuchet MS"/>
          <w:spacing w:val="-1"/>
          <w:w w:val="111"/>
          <w:sz w:val="20"/>
        </w:rPr>
        <w:t>b</w:t>
      </w:r>
      <w:r>
        <w:rPr>
          <w:rFonts w:ascii="Trebuchet MS" w:hAnsi="Trebuchet MS"/>
          <w:spacing w:val="-1"/>
          <w:w w:val="108"/>
          <w:sz w:val="20"/>
        </w:rPr>
        <w:t>e</w:t>
      </w:r>
      <w:r>
        <w:rPr>
          <w:rFonts w:ascii="Trebuchet MS" w:hAnsi="Trebuchet MS"/>
          <w:spacing w:val="-1"/>
          <w:w w:val="108"/>
          <w:sz w:val="20"/>
        </w:rPr>
        <w:t>r</w:t>
      </w:r>
      <w:r>
        <w:rPr>
          <w:rFonts w:ascii="Trebuchet MS" w:hAnsi="Trebuchet MS"/>
          <w:w w:val="108"/>
          <w:sz w:val="20"/>
        </w:rPr>
        <w:t>s</w:t>
      </w:r>
      <w:r>
        <w:rPr>
          <w:rFonts w:ascii="Trebuchet MS" w:hAnsi="Trebuchet MS"/>
          <w:spacing w:val="-14"/>
          <w:sz w:val="20"/>
        </w:rPr>
        <w:t> </w:t>
      </w:r>
      <w:r>
        <w:rPr>
          <w:rFonts w:ascii="Trebuchet MS" w:hAnsi="Trebuchet MS"/>
          <w:spacing w:val="-2"/>
          <w:w w:val="122"/>
          <w:sz w:val="20"/>
        </w:rPr>
        <w:t>s</w:t>
      </w:r>
      <w:r>
        <w:rPr>
          <w:rFonts w:ascii="Trebuchet MS" w:hAnsi="Trebuchet MS"/>
          <w:spacing w:val="-1"/>
          <w:w w:val="107"/>
          <w:sz w:val="20"/>
        </w:rPr>
        <w:t>h</w:t>
      </w:r>
      <w:r>
        <w:rPr>
          <w:rFonts w:ascii="Trebuchet MS" w:hAnsi="Trebuchet MS"/>
          <w:spacing w:val="-3"/>
          <w:w w:val="105"/>
          <w:sz w:val="20"/>
        </w:rPr>
        <w:t>a</w:t>
      </w:r>
      <w:r>
        <w:rPr>
          <w:rFonts w:ascii="Trebuchet MS" w:hAnsi="Trebuchet MS"/>
          <w:spacing w:val="-2"/>
          <w:w w:val="96"/>
          <w:sz w:val="20"/>
        </w:rPr>
        <w:t>l</w:t>
      </w:r>
      <w:r>
        <w:rPr>
          <w:rFonts w:ascii="Trebuchet MS" w:hAnsi="Trebuchet MS"/>
          <w:w w:val="96"/>
          <w:sz w:val="20"/>
        </w:rPr>
        <w:t>l</w:t>
      </w:r>
      <w:r>
        <w:rPr>
          <w:rFonts w:ascii="Trebuchet MS" w:hAnsi="Trebuchet MS"/>
          <w:spacing w:val="-14"/>
          <w:sz w:val="20"/>
        </w:rPr>
        <w:t> </w:t>
      </w:r>
      <w:r>
        <w:rPr>
          <w:rFonts w:ascii="Trebuchet MS" w:hAnsi="Trebuchet MS"/>
          <w:spacing w:val="-1"/>
          <w:w w:val="104"/>
          <w:sz w:val="20"/>
        </w:rPr>
        <w:t>p</w:t>
      </w:r>
      <w:r>
        <w:rPr>
          <w:rFonts w:ascii="Trebuchet MS" w:hAnsi="Trebuchet MS"/>
          <w:spacing w:val="-4"/>
          <w:w w:val="104"/>
          <w:sz w:val="20"/>
        </w:rPr>
        <w:t>r</w:t>
      </w:r>
      <w:r>
        <w:rPr>
          <w:rFonts w:ascii="Trebuchet MS" w:hAnsi="Trebuchet MS"/>
          <w:spacing w:val="-6"/>
          <w:w w:val="111"/>
          <w:sz w:val="20"/>
        </w:rPr>
        <w:t>o</w:t>
      </w:r>
      <w:r>
        <w:rPr>
          <w:rFonts w:ascii="Trebuchet MS" w:hAnsi="Trebuchet MS"/>
          <w:spacing w:val="-2"/>
          <w:w w:val="109"/>
          <w:sz w:val="20"/>
        </w:rPr>
        <w:t>v</w:t>
      </w:r>
      <w:r>
        <w:rPr>
          <w:rFonts w:ascii="Trebuchet MS" w:hAnsi="Trebuchet MS"/>
          <w:spacing w:val="-1"/>
          <w:w w:val="101"/>
          <w:sz w:val="20"/>
        </w:rPr>
        <w:t>i</w:t>
      </w:r>
      <w:r>
        <w:rPr>
          <w:rFonts w:ascii="Trebuchet MS" w:hAnsi="Trebuchet MS"/>
          <w:spacing w:val="-2"/>
          <w:w w:val="101"/>
          <w:sz w:val="20"/>
        </w:rPr>
        <w:t>d</w:t>
      </w:r>
      <w:r>
        <w:rPr>
          <w:rFonts w:ascii="Trebuchet MS" w:hAnsi="Trebuchet MS"/>
          <w:w w:val="108"/>
          <w:sz w:val="20"/>
        </w:rPr>
        <w:t>e</w:t>
      </w:r>
      <w:r>
        <w:rPr>
          <w:rFonts w:ascii="Trebuchet MS" w:hAnsi="Trebuchet MS"/>
          <w:spacing w:val="-14"/>
          <w:sz w:val="20"/>
        </w:rPr>
        <w:t> </w:t>
      </w:r>
      <w:r>
        <w:rPr>
          <w:rFonts w:ascii="Trebuchet MS" w:hAnsi="Trebuchet MS"/>
          <w:spacing w:val="-1"/>
          <w:w w:val="101"/>
          <w:sz w:val="20"/>
        </w:rPr>
        <w:t>J</w:t>
      </w:r>
      <w:r>
        <w:rPr>
          <w:rFonts w:ascii="Trebuchet MS" w:hAnsi="Trebuchet MS"/>
          <w:spacing w:val="-1"/>
          <w:w w:val="103"/>
          <w:sz w:val="20"/>
        </w:rPr>
        <w:t>u</w:t>
      </w:r>
      <w:r>
        <w:rPr>
          <w:rFonts w:ascii="Trebuchet MS" w:hAnsi="Trebuchet MS"/>
          <w:spacing w:val="-2"/>
          <w:w w:val="103"/>
          <w:sz w:val="20"/>
        </w:rPr>
        <w:t>r</w:t>
      </w:r>
      <w:r>
        <w:rPr>
          <w:rFonts w:ascii="Trebuchet MS" w:hAnsi="Trebuchet MS"/>
          <w:spacing w:val="-1"/>
          <w:w w:val="80"/>
          <w:sz w:val="20"/>
        </w:rPr>
        <w:t>i</w:t>
      </w:r>
      <w:r>
        <w:rPr>
          <w:rFonts w:ascii="Trebuchet MS" w:hAnsi="Trebuchet MS"/>
          <w:spacing w:val="-2"/>
          <w:w w:val="108"/>
          <w:sz w:val="20"/>
        </w:rPr>
        <w:t>e</w:t>
      </w:r>
      <w:r>
        <w:rPr>
          <w:rFonts w:ascii="Trebuchet MS" w:hAnsi="Trebuchet MS"/>
          <w:w w:val="122"/>
          <w:sz w:val="20"/>
        </w:rPr>
        <w:t>s </w:t>
      </w:r>
      <w:r>
        <w:rPr>
          <w:rFonts w:ascii="Trebuchet MS" w:hAnsi="Trebuchet MS"/>
          <w:w w:val="105"/>
          <w:sz w:val="20"/>
        </w:rPr>
        <w:t>Victoria</w:t>
      </w:r>
      <w:r>
        <w:rPr>
          <w:rFonts w:ascii="Trebuchet MS" w:hAnsi="Trebuchet MS"/>
          <w:spacing w:val="-28"/>
          <w:w w:val="105"/>
          <w:sz w:val="20"/>
        </w:rPr>
        <w:t> </w:t>
      </w:r>
      <w:r>
        <w:rPr>
          <w:rFonts w:ascii="Trebuchet MS" w:hAnsi="Trebuchet MS"/>
          <w:w w:val="105"/>
          <w:sz w:val="20"/>
        </w:rPr>
        <w:t>with</w:t>
      </w:r>
      <w:r>
        <w:rPr>
          <w:rFonts w:ascii="Trebuchet MS" w:hAnsi="Trebuchet MS"/>
          <w:spacing w:val="-27"/>
          <w:w w:val="105"/>
          <w:sz w:val="20"/>
        </w:rPr>
        <w:t> </w:t>
      </w:r>
      <w:r>
        <w:rPr>
          <w:rFonts w:ascii="Trebuchet MS" w:hAnsi="Trebuchet MS"/>
          <w:w w:val="105"/>
          <w:sz w:val="20"/>
        </w:rPr>
        <w:t>additional</w:t>
      </w:r>
      <w:r>
        <w:rPr>
          <w:rFonts w:ascii="Trebuchet MS" w:hAnsi="Trebuchet MS"/>
          <w:spacing w:val="-27"/>
          <w:w w:val="105"/>
          <w:sz w:val="20"/>
        </w:rPr>
        <w:t> </w:t>
      </w:r>
      <w:r>
        <w:rPr>
          <w:rFonts w:ascii="Trebuchet MS" w:hAnsi="Trebuchet MS"/>
          <w:spacing w:val="-3"/>
          <w:w w:val="105"/>
          <w:sz w:val="20"/>
        </w:rPr>
        <w:t>information</w:t>
      </w:r>
      <w:r>
        <w:rPr>
          <w:rFonts w:ascii="Trebuchet MS" w:hAnsi="Trebuchet MS"/>
          <w:spacing w:val="-27"/>
          <w:w w:val="105"/>
          <w:sz w:val="20"/>
        </w:rPr>
        <w:t> </w:t>
      </w:r>
      <w:r>
        <w:rPr>
          <w:rFonts w:ascii="Trebuchet MS" w:hAnsi="Trebuchet MS"/>
          <w:w w:val="105"/>
          <w:sz w:val="20"/>
        </w:rPr>
        <w:t>about</w:t>
      </w:r>
      <w:r>
        <w:rPr>
          <w:rFonts w:ascii="Trebuchet MS" w:hAnsi="Trebuchet MS"/>
          <w:spacing w:val="-27"/>
          <w:w w:val="105"/>
          <w:sz w:val="20"/>
        </w:rPr>
        <w:t> </w:t>
      </w:r>
      <w:r>
        <w:rPr>
          <w:rFonts w:ascii="Trebuchet MS" w:hAnsi="Trebuchet MS"/>
          <w:w w:val="105"/>
          <w:sz w:val="20"/>
        </w:rPr>
        <w:t>evidence</w:t>
      </w:r>
      <w:r>
        <w:rPr>
          <w:rFonts w:ascii="Trebuchet MS" w:hAnsi="Trebuchet MS"/>
          <w:spacing w:val="-27"/>
          <w:w w:val="105"/>
          <w:sz w:val="20"/>
        </w:rPr>
        <w:t> </w:t>
      </w:r>
      <w:r>
        <w:rPr>
          <w:rFonts w:ascii="Trebuchet MS" w:hAnsi="Trebuchet MS"/>
          <w:w w:val="105"/>
          <w:sz w:val="20"/>
        </w:rPr>
        <w:t>that</w:t>
      </w:r>
      <w:r>
        <w:rPr>
          <w:rFonts w:ascii="Trebuchet MS" w:hAnsi="Trebuchet MS"/>
          <w:spacing w:val="-28"/>
          <w:w w:val="105"/>
          <w:sz w:val="20"/>
        </w:rPr>
        <w:t> </w:t>
      </w:r>
      <w:r>
        <w:rPr>
          <w:rFonts w:ascii="Trebuchet MS" w:hAnsi="Trebuchet MS"/>
          <w:w w:val="105"/>
          <w:sz w:val="20"/>
        </w:rPr>
        <w:t>is</w:t>
      </w:r>
      <w:r>
        <w:rPr>
          <w:rFonts w:ascii="Trebuchet MS" w:hAnsi="Trebuchet MS"/>
          <w:spacing w:val="-27"/>
          <w:w w:val="105"/>
          <w:sz w:val="20"/>
        </w:rPr>
        <w:t> </w:t>
      </w:r>
      <w:r>
        <w:rPr>
          <w:rFonts w:ascii="Trebuchet MS" w:hAnsi="Trebuchet MS"/>
          <w:spacing w:val="-3"/>
          <w:w w:val="105"/>
          <w:sz w:val="20"/>
        </w:rPr>
        <w:t>likely</w:t>
      </w:r>
      <w:r>
        <w:rPr>
          <w:rFonts w:ascii="Trebuchet MS" w:hAnsi="Trebuchet MS"/>
          <w:spacing w:val="-27"/>
          <w:w w:val="105"/>
          <w:sz w:val="20"/>
        </w:rPr>
        <w:t> </w:t>
      </w:r>
      <w:r>
        <w:rPr>
          <w:rFonts w:ascii="Trebuchet MS" w:hAnsi="Trebuchet MS"/>
          <w:w w:val="105"/>
          <w:sz w:val="20"/>
        </w:rPr>
        <w:t>to</w:t>
      </w:r>
      <w:r>
        <w:rPr>
          <w:rFonts w:ascii="Trebuchet MS" w:hAnsi="Trebuchet MS"/>
          <w:spacing w:val="-27"/>
          <w:w w:val="105"/>
          <w:sz w:val="20"/>
        </w:rPr>
        <w:t> </w:t>
      </w:r>
      <w:r>
        <w:rPr>
          <w:rFonts w:ascii="Trebuchet MS" w:hAnsi="Trebuchet MS"/>
          <w:w w:val="105"/>
          <w:sz w:val="20"/>
        </w:rPr>
        <w:t>be</w:t>
      </w:r>
      <w:r>
        <w:rPr>
          <w:rFonts w:ascii="Trebuchet MS" w:hAnsi="Trebuchet MS"/>
          <w:spacing w:val="-27"/>
          <w:w w:val="105"/>
          <w:sz w:val="20"/>
        </w:rPr>
        <w:t> </w:t>
      </w:r>
      <w:r>
        <w:rPr>
          <w:rFonts w:ascii="Trebuchet MS" w:hAnsi="Trebuchet MS"/>
          <w:w w:val="105"/>
          <w:sz w:val="20"/>
        </w:rPr>
        <w:t>material</w:t>
      </w:r>
      <w:r>
        <w:rPr>
          <w:rFonts w:ascii="Trebuchet MS" w:hAnsi="Trebuchet MS"/>
          <w:spacing w:val="-27"/>
          <w:w w:val="105"/>
          <w:sz w:val="20"/>
        </w:rPr>
        <w:t> </w:t>
      </w:r>
      <w:r>
        <w:rPr>
          <w:rFonts w:ascii="Trebuchet MS" w:hAnsi="Trebuchet MS"/>
          <w:w w:val="105"/>
          <w:sz w:val="20"/>
        </w:rPr>
        <w:t>to the</w:t>
      </w:r>
      <w:r>
        <w:rPr>
          <w:rFonts w:ascii="Trebuchet MS" w:hAnsi="Trebuchet MS"/>
          <w:spacing w:val="-33"/>
          <w:w w:val="105"/>
          <w:sz w:val="20"/>
        </w:rPr>
        <w:t> </w:t>
      </w:r>
      <w:r>
        <w:rPr>
          <w:rFonts w:ascii="Trebuchet MS" w:hAnsi="Trebuchet MS"/>
          <w:w w:val="105"/>
          <w:sz w:val="20"/>
        </w:rPr>
        <w:t>outcome</w:t>
      </w:r>
      <w:r>
        <w:rPr>
          <w:rFonts w:ascii="Trebuchet MS" w:hAnsi="Trebuchet MS"/>
          <w:spacing w:val="-32"/>
          <w:w w:val="105"/>
          <w:sz w:val="20"/>
        </w:rPr>
        <w:t> </w:t>
      </w:r>
      <w:r>
        <w:rPr>
          <w:rFonts w:ascii="Trebuchet MS" w:hAnsi="Trebuchet MS"/>
          <w:w w:val="105"/>
          <w:sz w:val="20"/>
        </w:rPr>
        <w:t>of</w:t>
      </w:r>
      <w:r>
        <w:rPr>
          <w:rFonts w:ascii="Trebuchet MS" w:hAnsi="Trebuchet MS"/>
          <w:spacing w:val="-32"/>
          <w:w w:val="105"/>
          <w:sz w:val="20"/>
        </w:rPr>
        <w:t> </w:t>
      </w:r>
      <w:r>
        <w:rPr>
          <w:rFonts w:ascii="Trebuchet MS" w:hAnsi="Trebuchet MS"/>
          <w:w w:val="105"/>
          <w:sz w:val="20"/>
        </w:rPr>
        <w:t>the</w:t>
      </w:r>
      <w:r>
        <w:rPr>
          <w:rFonts w:ascii="Trebuchet MS" w:hAnsi="Trebuchet MS"/>
          <w:spacing w:val="-33"/>
          <w:w w:val="105"/>
          <w:sz w:val="20"/>
        </w:rPr>
        <w:t> </w:t>
      </w:r>
      <w:r>
        <w:rPr>
          <w:rFonts w:ascii="Trebuchet MS" w:hAnsi="Trebuchet MS"/>
          <w:w w:val="105"/>
          <w:sz w:val="20"/>
        </w:rPr>
        <w:t>trial</w:t>
      </w:r>
      <w:r>
        <w:rPr>
          <w:rFonts w:ascii="Trebuchet MS" w:hAnsi="Trebuchet MS"/>
          <w:spacing w:val="-32"/>
          <w:w w:val="105"/>
          <w:sz w:val="20"/>
        </w:rPr>
        <w:t> </w:t>
      </w:r>
      <w:r>
        <w:rPr>
          <w:rFonts w:ascii="Trebuchet MS" w:hAnsi="Trebuchet MS"/>
          <w:w w:val="105"/>
          <w:sz w:val="20"/>
        </w:rPr>
        <w:t>that</w:t>
      </w:r>
      <w:r>
        <w:rPr>
          <w:rFonts w:ascii="Trebuchet MS" w:hAnsi="Trebuchet MS"/>
          <w:spacing w:val="-32"/>
          <w:w w:val="105"/>
          <w:sz w:val="20"/>
        </w:rPr>
        <w:t> </w:t>
      </w:r>
      <w:r>
        <w:rPr>
          <w:rFonts w:ascii="Trebuchet MS" w:hAnsi="Trebuchet MS"/>
          <w:w w:val="105"/>
          <w:sz w:val="20"/>
        </w:rPr>
        <w:t>might</w:t>
      </w:r>
      <w:r>
        <w:rPr>
          <w:rFonts w:ascii="Trebuchet MS" w:hAnsi="Trebuchet MS"/>
          <w:spacing w:val="-33"/>
          <w:w w:val="105"/>
          <w:sz w:val="20"/>
        </w:rPr>
        <w:t> </w:t>
      </w:r>
      <w:r>
        <w:rPr>
          <w:rFonts w:ascii="Trebuchet MS" w:hAnsi="Trebuchet MS"/>
          <w:spacing w:val="-3"/>
          <w:w w:val="105"/>
          <w:sz w:val="20"/>
        </w:rPr>
        <w:t>make</w:t>
      </w:r>
      <w:r>
        <w:rPr>
          <w:rFonts w:ascii="Trebuchet MS" w:hAnsi="Trebuchet MS"/>
          <w:spacing w:val="-32"/>
          <w:w w:val="105"/>
          <w:sz w:val="20"/>
        </w:rPr>
        <w:t> </w:t>
      </w:r>
      <w:r>
        <w:rPr>
          <w:rFonts w:ascii="Trebuchet MS" w:hAnsi="Trebuchet MS"/>
          <w:w w:val="105"/>
          <w:sz w:val="20"/>
        </w:rPr>
        <w:t>it</w:t>
      </w:r>
      <w:r>
        <w:rPr>
          <w:rFonts w:ascii="Trebuchet MS" w:hAnsi="Trebuchet MS"/>
          <w:spacing w:val="-32"/>
          <w:w w:val="105"/>
          <w:sz w:val="20"/>
        </w:rPr>
        <w:t> </w:t>
      </w:r>
      <w:r>
        <w:rPr>
          <w:rFonts w:ascii="Trebuchet MS" w:hAnsi="Trebuchet MS"/>
          <w:w w:val="105"/>
          <w:sz w:val="20"/>
        </w:rPr>
        <w:t>difficult</w:t>
      </w:r>
      <w:r>
        <w:rPr>
          <w:rFonts w:ascii="Trebuchet MS" w:hAnsi="Trebuchet MS"/>
          <w:spacing w:val="-33"/>
          <w:w w:val="105"/>
          <w:sz w:val="20"/>
        </w:rPr>
        <w:t> </w:t>
      </w:r>
      <w:r>
        <w:rPr>
          <w:rFonts w:ascii="Trebuchet MS" w:hAnsi="Trebuchet MS"/>
          <w:w w:val="105"/>
          <w:sz w:val="20"/>
        </w:rPr>
        <w:t>for</w:t>
      </w:r>
      <w:r>
        <w:rPr>
          <w:rFonts w:ascii="Trebuchet MS" w:hAnsi="Trebuchet MS"/>
          <w:spacing w:val="-32"/>
          <w:w w:val="105"/>
          <w:sz w:val="20"/>
        </w:rPr>
        <w:t> </w:t>
      </w:r>
      <w:r>
        <w:rPr>
          <w:rFonts w:ascii="Trebuchet MS" w:hAnsi="Trebuchet MS"/>
          <w:w w:val="105"/>
          <w:sz w:val="20"/>
        </w:rPr>
        <w:t>the</w:t>
      </w:r>
      <w:r>
        <w:rPr>
          <w:rFonts w:ascii="Trebuchet MS" w:hAnsi="Trebuchet MS"/>
          <w:spacing w:val="-32"/>
          <w:w w:val="105"/>
          <w:sz w:val="20"/>
        </w:rPr>
        <w:t> </w:t>
      </w:r>
      <w:r>
        <w:rPr>
          <w:rFonts w:ascii="Trebuchet MS" w:hAnsi="Trebuchet MS"/>
          <w:spacing w:val="-3"/>
          <w:w w:val="105"/>
          <w:sz w:val="20"/>
        </w:rPr>
        <w:t>potential</w:t>
      </w:r>
      <w:r>
        <w:rPr>
          <w:rFonts w:ascii="Trebuchet MS" w:hAnsi="Trebuchet MS"/>
          <w:spacing w:val="-33"/>
          <w:w w:val="105"/>
          <w:sz w:val="20"/>
        </w:rPr>
        <w:t> </w:t>
      </w:r>
      <w:r>
        <w:rPr>
          <w:rFonts w:ascii="Trebuchet MS" w:hAnsi="Trebuchet MS"/>
          <w:w w:val="105"/>
          <w:sz w:val="20"/>
        </w:rPr>
        <w:t>juror</w:t>
      </w:r>
      <w:r>
        <w:rPr>
          <w:rFonts w:ascii="Trebuchet MS" w:hAnsi="Trebuchet MS"/>
          <w:spacing w:val="-32"/>
          <w:w w:val="105"/>
          <w:sz w:val="20"/>
        </w:rPr>
        <w:t> </w:t>
      </w:r>
      <w:r>
        <w:rPr>
          <w:rFonts w:ascii="Trebuchet MS" w:hAnsi="Trebuchet MS"/>
          <w:w w:val="105"/>
          <w:sz w:val="20"/>
        </w:rPr>
        <w:t>to</w:t>
      </w:r>
      <w:r>
        <w:rPr>
          <w:rFonts w:ascii="Trebuchet MS" w:hAnsi="Trebuchet MS"/>
          <w:spacing w:val="-32"/>
          <w:w w:val="105"/>
          <w:sz w:val="20"/>
        </w:rPr>
        <w:t> </w:t>
      </w:r>
      <w:r>
        <w:rPr>
          <w:rFonts w:ascii="Trebuchet MS" w:hAnsi="Trebuchet MS"/>
          <w:w w:val="105"/>
          <w:sz w:val="20"/>
        </w:rPr>
        <w:t>serve</w:t>
      </w:r>
      <w:r>
        <w:rPr>
          <w:rFonts w:ascii="Trebuchet MS" w:hAnsi="Trebuchet MS"/>
          <w:spacing w:val="-33"/>
          <w:w w:val="105"/>
          <w:sz w:val="20"/>
        </w:rPr>
        <w:t> </w:t>
      </w:r>
      <w:r>
        <w:rPr>
          <w:rFonts w:ascii="Trebuchet MS" w:hAnsi="Trebuchet MS"/>
          <w:w w:val="105"/>
          <w:sz w:val="20"/>
        </w:rPr>
        <w:t>on that</w:t>
      </w:r>
      <w:r>
        <w:rPr>
          <w:rFonts w:ascii="Trebuchet MS" w:hAnsi="Trebuchet MS"/>
          <w:spacing w:val="-18"/>
          <w:w w:val="105"/>
          <w:sz w:val="20"/>
        </w:rPr>
        <w:t> </w:t>
      </w:r>
      <w:r>
        <w:rPr>
          <w:rFonts w:ascii="Trebuchet MS" w:hAnsi="Trebuchet MS"/>
          <w:w w:val="105"/>
          <w:sz w:val="20"/>
        </w:rPr>
        <w:t>trial.</w:t>
      </w:r>
    </w:p>
    <w:p>
      <w:pPr>
        <w:pStyle w:val="ListParagraph"/>
        <w:numPr>
          <w:ilvl w:val="0"/>
          <w:numId w:val="94"/>
        </w:numPr>
        <w:tabs>
          <w:tab w:pos="1761" w:val="left" w:leader="none"/>
          <w:tab w:pos="1762" w:val="left" w:leader="none"/>
        </w:tabs>
        <w:spacing w:line="247" w:lineRule="auto" w:before="89" w:after="0"/>
        <w:ind w:left="1761" w:right="1633" w:hanging="567"/>
        <w:jc w:val="left"/>
        <w:rPr>
          <w:rFonts w:ascii="Trebuchet MS"/>
          <w:sz w:val="20"/>
        </w:rPr>
      </w:pPr>
      <w:r>
        <w:rPr>
          <w:rFonts w:ascii="Trebuchet MS"/>
          <w:w w:val="105"/>
          <w:sz w:val="20"/>
        </w:rPr>
        <w:t>The Juries Commissioner must </w:t>
      </w:r>
      <w:r>
        <w:rPr>
          <w:rFonts w:ascii="Trebuchet MS"/>
          <w:spacing w:val="-3"/>
          <w:w w:val="105"/>
          <w:sz w:val="20"/>
        </w:rPr>
        <w:t>make </w:t>
      </w:r>
      <w:r>
        <w:rPr>
          <w:rFonts w:ascii="Trebuchet MS"/>
          <w:w w:val="105"/>
          <w:sz w:val="20"/>
        </w:rPr>
        <w:t>a recommendation to the Court about the </w:t>
      </w:r>
      <w:r>
        <w:rPr>
          <w:rFonts w:ascii="Trebuchet MS"/>
          <w:spacing w:val="-1"/>
          <w:w w:val="111"/>
          <w:sz w:val="20"/>
        </w:rPr>
        <w:t>p</w:t>
      </w:r>
      <w:r>
        <w:rPr>
          <w:rFonts w:ascii="Trebuchet MS"/>
          <w:spacing w:val="-4"/>
          <w:w w:val="93"/>
          <w:sz w:val="20"/>
        </w:rPr>
        <w:t>r</w:t>
      </w:r>
      <w:r>
        <w:rPr>
          <w:rFonts w:ascii="Trebuchet MS"/>
          <w:spacing w:val="-6"/>
          <w:w w:val="111"/>
          <w:sz w:val="20"/>
        </w:rPr>
        <w:t>o</w:t>
      </w:r>
      <w:r>
        <w:rPr>
          <w:rFonts w:ascii="Trebuchet MS"/>
          <w:spacing w:val="-2"/>
          <w:w w:val="109"/>
          <w:sz w:val="20"/>
        </w:rPr>
        <w:t>v</w:t>
      </w:r>
      <w:r>
        <w:rPr>
          <w:rFonts w:ascii="Trebuchet MS"/>
          <w:spacing w:val="-2"/>
          <w:w w:val="80"/>
          <w:sz w:val="20"/>
        </w:rPr>
        <w:t>i</w:t>
      </w:r>
      <w:r>
        <w:rPr>
          <w:rFonts w:ascii="Trebuchet MS"/>
          <w:spacing w:val="-2"/>
          <w:w w:val="122"/>
          <w:sz w:val="20"/>
        </w:rPr>
        <w:t>s</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4"/>
          <w:w w:val="93"/>
          <w:sz w:val="20"/>
        </w:rPr>
        <w:t>r</w:t>
      </w:r>
      <w:r>
        <w:rPr>
          <w:rFonts w:ascii="Trebuchet MS"/>
          <w:spacing w:val="-1"/>
          <w:w w:val="108"/>
          <w:sz w:val="20"/>
        </w:rPr>
        <w:t>e</w:t>
      </w:r>
      <w:r>
        <w:rPr>
          <w:rFonts w:ascii="Trebuchet MS"/>
          <w:w w:val="105"/>
          <w:sz w:val="20"/>
        </w:rPr>
        <w:t>a</w:t>
      </w:r>
      <w:r>
        <w:rPr>
          <w:rFonts w:ascii="Trebuchet MS"/>
          <w:spacing w:val="-1"/>
          <w:w w:val="122"/>
          <w:sz w:val="20"/>
        </w:rPr>
        <w:t>s</w:t>
      </w:r>
      <w:r>
        <w:rPr>
          <w:rFonts w:ascii="Trebuchet MS"/>
          <w:spacing w:val="-1"/>
          <w:w w:val="111"/>
          <w:sz w:val="20"/>
        </w:rPr>
        <w:t>o</w:t>
      </w:r>
      <w:r>
        <w:rPr>
          <w:rFonts w:ascii="Trebuchet MS"/>
          <w:spacing w:val="-1"/>
          <w:w w:val="107"/>
          <w:sz w:val="20"/>
        </w:rPr>
        <w:t>n</w:t>
      </w:r>
      <w:r>
        <w:rPr>
          <w:rFonts w:ascii="Trebuchet MS"/>
          <w:spacing w:val="-2"/>
          <w:w w:val="105"/>
          <w:sz w:val="20"/>
        </w:rPr>
        <w:t>a</w:t>
      </w:r>
      <w:r>
        <w:rPr>
          <w:rFonts w:ascii="Trebuchet MS"/>
          <w:spacing w:val="-2"/>
          <w:w w:val="111"/>
          <w:sz w:val="20"/>
        </w:rPr>
        <w:t>b</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2"/>
          <w:w w:val="105"/>
          <w:sz w:val="20"/>
        </w:rPr>
        <w:t>a</w:t>
      </w:r>
      <w:r>
        <w:rPr>
          <w:rFonts w:ascii="Trebuchet MS"/>
          <w:spacing w:val="-2"/>
          <w:w w:val="112"/>
          <w:sz w:val="20"/>
        </w:rPr>
        <w:t>d</w:t>
      </w:r>
      <w:r>
        <w:rPr>
          <w:rFonts w:ascii="Trebuchet MS"/>
          <w:spacing w:val="-2"/>
          <w:w w:val="64"/>
          <w:sz w:val="20"/>
        </w:rPr>
        <w:t>j</w:t>
      </w:r>
      <w:r>
        <w:rPr>
          <w:rFonts w:ascii="Trebuchet MS"/>
          <w:spacing w:val="-1"/>
          <w:w w:val="109"/>
          <w:sz w:val="20"/>
        </w:rPr>
        <w:t>u</w:t>
      </w:r>
      <w:r>
        <w:rPr>
          <w:rFonts w:ascii="Trebuchet MS"/>
          <w:spacing w:val="-1"/>
          <w:w w:val="122"/>
          <w:sz w:val="20"/>
        </w:rPr>
        <w:t>s</w:t>
      </w:r>
      <w:r>
        <w:rPr>
          <w:rFonts w:ascii="Trebuchet MS"/>
          <w:spacing w:val="-2"/>
          <w:w w:val="88"/>
          <w:sz w:val="20"/>
        </w:rPr>
        <w:t>t</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spacing w:val="2"/>
          <w:w w:val="88"/>
          <w:sz w:val="20"/>
        </w:rPr>
        <w:t>t</w:t>
      </w:r>
      <w:r>
        <w:rPr>
          <w:rFonts w:ascii="Trebuchet MS"/>
          <w:spacing w:val="1"/>
          <w:w w:val="122"/>
          <w:sz w:val="20"/>
        </w:rPr>
        <w:t>s</w:t>
      </w:r>
      <w:r>
        <w:rPr>
          <w:rFonts w:ascii="Trebuchet MS"/>
          <w:w w:val="55"/>
          <w:sz w:val="20"/>
        </w:rPr>
        <w:t>.</w:t>
      </w:r>
      <w:r>
        <w:rPr>
          <w:rFonts w:ascii="Trebuchet MS"/>
          <w:spacing w:val="-14"/>
          <w:sz w:val="20"/>
        </w:rPr>
        <w:t> </w:t>
      </w:r>
      <w:r>
        <w:rPr>
          <w:rFonts w:ascii="Trebuchet MS"/>
          <w:spacing w:val="-2"/>
          <w:w w:val="105"/>
          <w:sz w:val="20"/>
        </w:rPr>
        <w:t>T</w:t>
      </w:r>
      <w:r>
        <w:rPr>
          <w:rFonts w:ascii="Trebuchet MS"/>
          <w:spacing w:val="-2"/>
          <w:w w:val="107"/>
          <w:sz w:val="20"/>
        </w:rPr>
        <w:t>h</w:t>
      </w:r>
      <w:r>
        <w:rPr>
          <w:rFonts w:ascii="Trebuchet MS"/>
          <w:spacing w:val="-1"/>
          <w:w w:val="80"/>
          <w:sz w:val="20"/>
        </w:rPr>
        <w:t>i</w:t>
      </w:r>
      <w:r>
        <w:rPr>
          <w:rFonts w:ascii="Trebuchet MS"/>
          <w:w w:val="122"/>
          <w:sz w:val="20"/>
        </w:rPr>
        <w:t>s</w:t>
      </w:r>
      <w:r>
        <w:rPr>
          <w:rFonts w:ascii="Trebuchet MS"/>
          <w:spacing w:val="-14"/>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1"/>
          <w:w w:val="111"/>
          <w:sz w:val="20"/>
        </w:rPr>
        <w:t>b</w:t>
      </w:r>
      <w:r>
        <w:rPr>
          <w:rFonts w:ascii="Trebuchet MS"/>
          <w:w w:val="108"/>
          <w:sz w:val="20"/>
        </w:rPr>
        <w:t>e</w:t>
      </w:r>
      <w:r>
        <w:rPr>
          <w:rFonts w:ascii="Trebuchet MS"/>
          <w:spacing w:val="-14"/>
          <w:sz w:val="20"/>
        </w:rPr>
        <w:t> </w:t>
      </w:r>
      <w:r>
        <w:rPr>
          <w:rFonts w:ascii="Trebuchet MS"/>
          <w:spacing w:val="-2"/>
          <w:w w:val="112"/>
          <w:sz w:val="20"/>
        </w:rPr>
        <w:t>d</w:t>
      </w:r>
      <w:r>
        <w:rPr>
          <w:rFonts w:ascii="Trebuchet MS"/>
          <w:spacing w:val="-1"/>
          <w:w w:val="111"/>
          <w:sz w:val="20"/>
        </w:rPr>
        <w:t>o</w:t>
      </w:r>
      <w:r>
        <w:rPr>
          <w:rFonts w:ascii="Trebuchet MS"/>
          <w:spacing w:val="-1"/>
          <w:w w:val="107"/>
          <w:sz w:val="20"/>
        </w:rPr>
        <w:t>n</w:t>
      </w:r>
      <w:r>
        <w:rPr>
          <w:rFonts w:ascii="Trebuchet MS"/>
          <w:w w:val="108"/>
          <w:sz w:val="20"/>
        </w:rPr>
        <w:t>e</w:t>
      </w:r>
      <w:r>
        <w:rPr>
          <w:rFonts w:ascii="Trebuchet MS"/>
          <w:spacing w:val="-14"/>
          <w:sz w:val="20"/>
        </w:rPr>
        <w:t> </w:t>
      </w:r>
      <w:r>
        <w:rPr>
          <w:rFonts w:ascii="Trebuchet MS"/>
          <w:w w:val="105"/>
          <w:sz w:val="20"/>
        </w:rPr>
        <w:t>a</w:t>
      </w:r>
      <w:r>
        <w:rPr>
          <w:rFonts w:ascii="Trebuchet MS"/>
          <w:w w:val="122"/>
          <w:sz w:val="20"/>
        </w:rPr>
        <w:t>s</w:t>
      </w:r>
      <w:r>
        <w:rPr>
          <w:rFonts w:ascii="Trebuchet MS"/>
          <w:spacing w:val="-14"/>
          <w:sz w:val="20"/>
        </w:rPr>
        <w:t> </w:t>
      </w:r>
      <w:r>
        <w:rPr>
          <w:rFonts w:ascii="Trebuchet MS"/>
          <w:spacing w:val="-1"/>
          <w:w w:val="108"/>
          <w:sz w:val="20"/>
        </w:rPr>
        <w:t>e</w:t>
      </w:r>
      <w:r>
        <w:rPr>
          <w:rFonts w:ascii="Trebuchet MS"/>
          <w:spacing w:val="-2"/>
          <w:w w:val="105"/>
          <w:sz w:val="20"/>
        </w:rPr>
        <w:t>a</w:t>
      </w:r>
      <w:r>
        <w:rPr>
          <w:rFonts w:ascii="Trebuchet MS"/>
          <w:spacing w:val="-2"/>
          <w:w w:val="94"/>
          <w:sz w:val="20"/>
        </w:rPr>
        <w:t>r</w:t>
      </w:r>
      <w:r>
        <w:rPr>
          <w:rFonts w:ascii="Trebuchet MS"/>
          <w:spacing w:val="-7"/>
          <w:w w:val="94"/>
          <w:sz w:val="20"/>
        </w:rPr>
        <w:t>l</w:t>
      </w:r>
      <w:r>
        <w:rPr>
          <w:rFonts w:ascii="Trebuchet MS"/>
          <w:w w:val="110"/>
          <w:sz w:val="20"/>
        </w:rPr>
        <w:t>y</w:t>
      </w:r>
      <w:r>
        <w:rPr>
          <w:rFonts w:ascii="Trebuchet MS"/>
          <w:spacing w:val="-14"/>
          <w:sz w:val="20"/>
        </w:rPr>
        <w:t> </w:t>
      </w:r>
      <w:r>
        <w:rPr>
          <w:rFonts w:ascii="Trebuchet MS"/>
          <w:w w:val="105"/>
          <w:sz w:val="20"/>
        </w:rPr>
        <w:t>a</w:t>
      </w:r>
      <w:r>
        <w:rPr>
          <w:rFonts w:ascii="Trebuchet MS"/>
          <w:w w:val="122"/>
          <w:sz w:val="20"/>
        </w:rPr>
        <w:t>s</w:t>
      </w:r>
      <w:r>
        <w:rPr>
          <w:rFonts w:ascii="Trebuchet MS"/>
          <w:spacing w:val="-14"/>
          <w:sz w:val="20"/>
        </w:rPr>
        <w:t> </w:t>
      </w:r>
      <w:r>
        <w:rPr>
          <w:rFonts w:ascii="Trebuchet MS"/>
          <w:spacing w:val="-1"/>
          <w:w w:val="111"/>
          <w:sz w:val="20"/>
        </w:rPr>
        <w:t>p</w:t>
      </w:r>
      <w:r>
        <w:rPr>
          <w:rFonts w:ascii="Trebuchet MS"/>
          <w:spacing w:val="-2"/>
          <w:w w:val="116"/>
          <w:sz w:val="20"/>
        </w:rPr>
        <w:t>o</w:t>
      </w:r>
      <w:r>
        <w:rPr>
          <w:rFonts w:ascii="Trebuchet MS"/>
          <w:spacing w:val="-1"/>
          <w:w w:val="116"/>
          <w:sz w:val="20"/>
        </w:rPr>
        <w:t>s</w:t>
      </w:r>
      <w:r>
        <w:rPr>
          <w:rFonts w:ascii="Trebuchet MS"/>
          <w:spacing w:val="-2"/>
          <w:w w:val="122"/>
          <w:sz w:val="20"/>
        </w:rPr>
        <w:t>s</w:t>
      </w:r>
      <w:r>
        <w:rPr>
          <w:rFonts w:ascii="Trebuchet MS"/>
          <w:spacing w:val="-2"/>
          <w:w w:val="80"/>
          <w:sz w:val="20"/>
        </w:rPr>
        <w:t>i</w:t>
      </w:r>
      <w:r>
        <w:rPr>
          <w:rFonts w:ascii="Trebuchet MS"/>
          <w:spacing w:val="-2"/>
          <w:w w:val="111"/>
          <w:sz w:val="20"/>
        </w:rPr>
        <w:t>b</w:t>
      </w:r>
      <w:r>
        <w:rPr>
          <w:rFonts w:ascii="Trebuchet MS"/>
          <w:spacing w:val="-3"/>
          <w:w w:val="96"/>
          <w:sz w:val="20"/>
        </w:rPr>
        <w:t>l</w:t>
      </w:r>
      <w:r>
        <w:rPr>
          <w:rFonts w:ascii="Trebuchet MS"/>
          <w:spacing w:val="-3"/>
          <w:w w:val="108"/>
          <w:sz w:val="20"/>
        </w:rPr>
        <w:t>e</w:t>
      </w:r>
      <w:r>
        <w:rPr>
          <w:rFonts w:ascii="Trebuchet MS"/>
          <w:w w:val="57"/>
          <w:sz w:val="20"/>
        </w:rPr>
        <w:t>, </w:t>
      </w:r>
      <w:r>
        <w:rPr>
          <w:rFonts w:ascii="Trebuchet MS"/>
          <w:spacing w:val="-3"/>
          <w:w w:val="105"/>
          <w:sz w:val="20"/>
        </w:rPr>
        <w:t>preferably</w:t>
      </w:r>
      <w:r>
        <w:rPr>
          <w:rFonts w:ascii="Trebuchet MS"/>
          <w:spacing w:val="-26"/>
          <w:w w:val="105"/>
          <w:sz w:val="20"/>
        </w:rPr>
        <w:t> </w:t>
      </w:r>
      <w:r>
        <w:rPr>
          <w:rFonts w:ascii="Trebuchet MS"/>
          <w:spacing w:val="-3"/>
          <w:w w:val="105"/>
          <w:sz w:val="20"/>
        </w:rPr>
        <w:t>before</w:t>
      </w:r>
      <w:r>
        <w:rPr>
          <w:rFonts w:ascii="Trebuchet MS"/>
          <w:spacing w:val="-26"/>
          <w:w w:val="105"/>
          <w:sz w:val="20"/>
        </w:rPr>
        <w:t> </w:t>
      </w:r>
      <w:r>
        <w:rPr>
          <w:rFonts w:ascii="Trebuchet MS"/>
          <w:w w:val="105"/>
          <w:sz w:val="20"/>
        </w:rPr>
        <w:t>the</w:t>
      </w:r>
      <w:r>
        <w:rPr>
          <w:rFonts w:ascii="Trebuchet MS"/>
          <w:spacing w:val="-26"/>
          <w:w w:val="105"/>
          <w:sz w:val="20"/>
        </w:rPr>
        <w:t> </w:t>
      </w:r>
      <w:r>
        <w:rPr>
          <w:rFonts w:ascii="Trebuchet MS"/>
          <w:spacing w:val="-3"/>
          <w:w w:val="105"/>
          <w:sz w:val="20"/>
        </w:rPr>
        <w:t>date</w:t>
      </w:r>
      <w:r>
        <w:rPr>
          <w:rFonts w:ascii="Trebuchet MS"/>
          <w:spacing w:val="-26"/>
          <w:w w:val="105"/>
          <w:sz w:val="20"/>
        </w:rPr>
        <w:t> </w:t>
      </w:r>
      <w:r>
        <w:rPr>
          <w:rFonts w:ascii="Trebuchet MS"/>
          <w:w w:val="105"/>
          <w:sz w:val="20"/>
        </w:rPr>
        <w:t>the</w:t>
      </w:r>
      <w:r>
        <w:rPr>
          <w:rFonts w:ascii="Trebuchet MS"/>
          <w:spacing w:val="-26"/>
          <w:w w:val="105"/>
          <w:sz w:val="20"/>
        </w:rPr>
        <w:t> </w:t>
      </w:r>
      <w:r>
        <w:rPr>
          <w:rFonts w:ascii="Trebuchet MS"/>
          <w:w w:val="105"/>
          <w:sz w:val="20"/>
        </w:rPr>
        <w:t>juror</w:t>
      </w:r>
      <w:r>
        <w:rPr>
          <w:rFonts w:ascii="Trebuchet MS"/>
          <w:spacing w:val="-26"/>
          <w:w w:val="105"/>
          <w:sz w:val="20"/>
        </w:rPr>
        <w:t> </w:t>
      </w:r>
      <w:r>
        <w:rPr>
          <w:rFonts w:ascii="Trebuchet MS"/>
          <w:w w:val="105"/>
          <w:sz w:val="20"/>
        </w:rPr>
        <w:t>is</w:t>
      </w:r>
      <w:r>
        <w:rPr>
          <w:rFonts w:ascii="Trebuchet MS"/>
          <w:spacing w:val="-26"/>
          <w:w w:val="105"/>
          <w:sz w:val="20"/>
        </w:rPr>
        <w:t> </w:t>
      </w:r>
      <w:r>
        <w:rPr>
          <w:rFonts w:ascii="Trebuchet MS"/>
          <w:w w:val="105"/>
          <w:sz w:val="20"/>
        </w:rPr>
        <w:t>required</w:t>
      </w:r>
      <w:r>
        <w:rPr>
          <w:rFonts w:ascii="Trebuchet MS"/>
          <w:spacing w:val="-26"/>
          <w:w w:val="105"/>
          <w:sz w:val="20"/>
        </w:rPr>
        <w:t> </w:t>
      </w:r>
      <w:r>
        <w:rPr>
          <w:rFonts w:ascii="Trebuchet MS"/>
          <w:w w:val="105"/>
          <w:sz w:val="20"/>
        </w:rPr>
        <w:t>to</w:t>
      </w:r>
      <w:r>
        <w:rPr>
          <w:rFonts w:ascii="Trebuchet MS"/>
          <w:spacing w:val="-26"/>
          <w:w w:val="105"/>
          <w:sz w:val="20"/>
        </w:rPr>
        <w:t> </w:t>
      </w:r>
      <w:r>
        <w:rPr>
          <w:rFonts w:ascii="Trebuchet MS"/>
          <w:w w:val="105"/>
          <w:sz w:val="20"/>
        </w:rPr>
        <w:t>attend</w:t>
      </w:r>
      <w:r>
        <w:rPr>
          <w:rFonts w:ascii="Trebuchet MS"/>
          <w:spacing w:val="-26"/>
          <w:w w:val="105"/>
          <w:sz w:val="20"/>
        </w:rPr>
        <w:t> </w:t>
      </w:r>
      <w:r>
        <w:rPr>
          <w:rFonts w:ascii="Trebuchet MS"/>
          <w:w w:val="105"/>
          <w:sz w:val="20"/>
        </w:rPr>
        <w:t>court</w:t>
      </w:r>
      <w:r>
        <w:rPr>
          <w:rFonts w:ascii="Trebuchet MS"/>
          <w:spacing w:val="-26"/>
          <w:w w:val="105"/>
          <w:sz w:val="20"/>
        </w:rPr>
        <w:t> </w:t>
      </w:r>
      <w:r>
        <w:rPr>
          <w:rFonts w:ascii="Trebuchet MS"/>
          <w:w w:val="105"/>
          <w:sz w:val="20"/>
        </w:rPr>
        <w:t>in</w:t>
      </w:r>
      <w:r>
        <w:rPr>
          <w:rFonts w:ascii="Trebuchet MS"/>
          <w:spacing w:val="-26"/>
          <w:w w:val="105"/>
          <w:sz w:val="20"/>
        </w:rPr>
        <w:t> </w:t>
      </w:r>
      <w:r>
        <w:rPr>
          <w:rFonts w:ascii="Trebuchet MS"/>
          <w:w w:val="105"/>
          <w:sz w:val="20"/>
        </w:rPr>
        <w:t>response</w:t>
      </w:r>
      <w:r>
        <w:rPr>
          <w:rFonts w:ascii="Trebuchet MS"/>
          <w:spacing w:val="-26"/>
          <w:w w:val="105"/>
          <w:sz w:val="20"/>
        </w:rPr>
        <w:t> </w:t>
      </w:r>
      <w:r>
        <w:rPr>
          <w:rFonts w:ascii="Trebuchet MS"/>
          <w:w w:val="105"/>
          <w:sz w:val="20"/>
        </w:rPr>
        <w:t>to</w:t>
      </w:r>
      <w:r>
        <w:rPr>
          <w:rFonts w:ascii="Trebuchet MS"/>
          <w:spacing w:val="-26"/>
          <w:w w:val="105"/>
          <w:sz w:val="20"/>
        </w:rPr>
        <w:t> </w:t>
      </w:r>
      <w:r>
        <w:rPr>
          <w:rFonts w:ascii="Trebuchet MS"/>
          <w:w w:val="105"/>
          <w:sz w:val="20"/>
        </w:rPr>
        <w:t>their </w:t>
      </w:r>
      <w:r>
        <w:rPr>
          <w:rFonts w:ascii="Trebuchet MS"/>
          <w:spacing w:val="-2"/>
          <w:w w:val="122"/>
          <w:sz w:val="20"/>
        </w:rPr>
        <w:t>s</w:t>
      </w:r>
      <w:r>
        <w:rPr>
          <w:rFonts w:ascii="Trebuchet MS"/>
          <w:spacing w:val="-1"/>
          <w:w w:val="109"/>
          <w:sz w:val="20"/>
        </w:rPr>
        <w:t>u</w:t>
      </w:r>
      <w:r>
        <w:rPr>
          <w:rFonts w:ascii="Trebuchet MS"/>
          <w:spacing w:val="-2"/>
          <w:w w:val="111"/>
          <w:sz w:val="20"/>
        </w:rPr>
        <w:t>m</w:t>
      </w:r>
      <w:r>
        <w:rPr>
          <w:rFonts w:ascii="Trebuchet MS"/>
          <w:spacing w:val="-1"/>
          <w:w w:val="111"/>
          <w:sz w:val="20"/>
        </w:rPr>
        <w:t>m</w:t>
      </w:r>
      <w:r>
        <w:rPr>
          <w:rFonts w:ascii="Trebuchet MS"/>
          <w:spacing w:val="-1"/>
          <w:w w:val="111"/>
          <w:sz w:val="20"/>
        </w:rPr>
        <w:t>o</w:t>
      </w:r>
      <w:r>
        <w:rPr>
          <w:rFonts w:ascii="Trebuchet MS"/>
          <w:spacing w:val="-2"/>
          <w:w w:val="113"/>
          <w:sz w:val="20"/>
        </w:rPr>
        <w:t>n</w:t>
      </w:r>
      <w:r>
        <w:rPr>
          <w:rFonts w:ascii="Trebuchet MS"/>
          <w:spacing w:val="1"/>
          <w:w w:val="113"/>
          <w:sz w:val="20"/>
        </w:rPr>
        <w:t>s</w:t>
      </w:r>
      <w:r>
        <w:rPr>
          <w:rFonts w:ascii="Trebuchet MS"/>
          <w:w w:val="55"/>
          <w:sz w:val="20"/>
        </w:rPr>
        <w:t>.</w:t>
      </w:r>
    </w:p>
    <w:p>
      <w:pPr>
        <w:pStyle w:val="ListParagraph"/>
        <w:numPr>
          <w:ilvl w:val="0"/>
          <w:numId w:val="94"/>
        </w:numPr>
        <w:tabs>
          <w:tab w:pos="1761" w:val="left" w:leader="none"/>
          <w:tab w:pos="1762" w:val="left" w:leader="none"/>
        </w:tabs>
        <w:spacing w:line="247" w:lineRule="auto" w:before="88" w:after="0"/>
        <w:ind w:left="1761" w:right="1653" w:hanging="567"/>
        <w:jc w:val="left"/>
        <w:rPr>
          <w:rFonts w:ascii="Trebuchet MS"/>
          <w:sz w:val="20"/>
        </w:rPr>
      </w:pPr>
      <w:r>
        <w:rPr>
          <w:rFonts w:ascii="Trebuchet MS"/>
          <w:w w:val="105"/>
          <w:sz w:val="20"/>
        </w:rPr>
        <w:t>The</w:t>
      </w:r>
      <w:r>
        <w:rPr>
          <w:rFonts w:ascii="Trebuchet MS"/>
          <w:spacing w:val="-10"/>
          <w:w w:val="105"/>
          <w:sz w:val="20"/>
        </w:rPr>
        <w:t> </w:t>
      </w:r>
      <w:r>
        <w:rPr>
          <w:rFonts w:ascii="Trebuchet MS"/>
          <w:w w:val="105"/>
          <w:sz w:val="20"/>
        </w:rPr>
        <w:t>Juries</w:t>
      </w:r>
      <w:r>
        <w:rPr>
          <w:rFonts w:ascii="Trebuchet MS"/>
          <w:spacing w:val="-9"/>
          <w:w w:val="105"/>
          <w:sz w:val="20"/>
        </w:rPr>
        <w:t> </w:t>
      </w:r>
      <w:r>
        <w:rPr>
          <w:rFonts w:ascii="Trebuchet MS"/>
          <w:spacing w:val="-2"/>
          <w:w w:val="105"/>
          <w:sz w:val="20"/>
        </w:rPr>
        <w:t>Act</w:t>
      </w:r>
      <w:r>
        <w:rPr>
          <w:rFonts w:ascii="Trebuchet MS"/>
          <w:spacing w:val="-9"/>
          <w:w w:val="105"/>
          <w:sz w:val="20"/>
        </w:rPr>
        <w:t> </w:t>
      </w:r>
      <w:r>
        <w:rPr>
          <w:rFonts w:ascii="Trebuchet MS"/>
          <w:w w:val="105"/>
          <w:sz w:val="20"/>
        </w:rPr>
        <w:t>should</w:t>
      </w:r>
      <w:r>
        <w:rPr>
          <w:rFonts w:ascii="Trebuchet MS"/>
          <w:spacing w:val="-10"/>
          <w:w w:val="105"/>
          <w:sz w:val="20"/>
        </w:rPr>
        <w:t> </w:t>
      </w:r>
      <w:r>
        <w:rPr>
          <w:rFonts w:ascii="Trebuchet MS"/>
          <w:w w:val="105"/>
          <w:sz w:val="20"/>
        </w:rPr>
        <w:t>be</w:t>
      </w:r>
      <w:r>
        <w:rPr>
          <w:rFonts w:ascii="Trebuchet MS"/>
          <w:spacing w:val="-9"/>
          <w:w w:val="105"/>
          <w:sz w:val="20"/>
        </w:rPr>
        <w:t> </w:t>
      </w:r>
      <w:r>
        <w:rPr>
          <w:rFonts w:ascii="Trebuchet MS"/>
          <w:w w:val="105"/>
          <w:sz w:val="20"/>
        </w:rPr>
        <w:t>amended</w:t>
      </w:r>
      <w:r>
        <w:rPr>
          <w:rFonts w:ascii="Trebuchet MS"/>
          <w:spacing w:val="-9"/>
          <w:w w:val="105"/>
          <w:sz w:val="20"/>
        </w:rPr>
        <w:t> </w:t>
      </w:r>
      <w:r>
        <w:rPr>
          <w:rFonts w:ascii="Trebuchet MS"/>
          <w:w w:val="105"/>
          <w:sz w:val="20"/>
        </w:rPr>
        <w:t>to</w:t>
      </w:r>
      <w:r>
        <w:rPr>
          <w:rFonts w:ascii="Trebuchet MS"/>
          <w:spacing w:val="-10"/>
          <w:w w:val="105"/>
          <w:sz w:val="20"/>
        </w:rPr>
        <w:t> </w:t>
      </w:r>
      <w:r>
        <w:rPr>
          <w:rFonts w:ascii="Trebuchet MS"/>
          <w:spacing w:val="-3"/>
          <w:w w:val="105"/>
          <w:sz w:val="20"/>
        </w:rPr>
        <w:t>give</w:t>
      </w:r>
      <w:r>
        <w:rPr>
          <w:rFonts w:ascii="Trebuchet MS"/>
          <w:spacing w:val="-9"/>
          <w:w w:val="105"/>
          <w:sz w:val="20"/>
        </w:rPr>
        <w:t> </w:t>
      </w:r>
      <w:r>
        <w:rPr>
          <w:rFonts w:ascii="Trebuchet MS"/>
          <w:w w:val="105"/>
          <w:sz w:val="20"/>
        </w:rPr>
        <w:t>the</w:t>
      </w:r>
      <w:r>
        <w:rPr>
          <w:rFonts w:ascii="Trebuchet MS"/>
          <w:spacing w:val="-10"/>
          <w:w w:val="105"/>
          <w:sz w:val="20"/>
        </w:rPr>
        <w:t> </w:t>
      </w:r>
      <w:r>
        <w:rPr>
          <w:rFonts w:ascii="Trebuchet MS"/>
          <w:w w:val="105"/>
          <w:sz w:val="20"/>
        </w:rPr>
        <w:t>Juries</w:t>
      </w:r>
      <w:r>
        <w:rPr>
          <w:rFonts w:ascii="Trebuchet MS"/>
          <w:spacing w:val="-9"/>
          <w:w w:val="105"/>
          <w:sz w:val="20"/>
        </w:rPr>
        <w:t> </w:t>
      </w:r>
      <w:r>
        <w:rPr>
          <w:rFonts w:ascii="Trebuchet MS"/>
          <w:w w:val="105"/>
          <w:sz w:val="20"/>
        </w:rPr>
        <w:t>Commissioner</w:t>
      </w:r>
      <w:r>
        <w:rPr>
          <w:rFonts w:ascii="Trebuchet MS"/>
          <w:spacing w:val="-9"/>
          <w:w w:val="105"/>
          <w:sz w:val="20"/>
        </w:rPr>
        <w:t> </w:t>
      </w:r>
      <w:r>
        <w:rPr>
          <w:rFonts w:ascii="Trebuchet MS"/>
          <w:w w:val="105"/>
          <w:sz w:val="20"/>
        </w:rPr>
        <w:t>a</w:t>
      </w:r>
      <w:r>
        <w:rPr>
          <w:rFonts w:ascii="Trebuchet MS"/>
          <w:spacing w:val="-10"/>
          <w:w w:val="105"/>
          <w:sz w:val="20"/>
        </w:rPr>
        <w:t> </w:t>
      </w:r>
      <w:r>
        <w:rPr>
          <w:rFonts w:ascii="Trebuchet MS"/>
          <w:w w:val="105"/>
          <w:sz w:val="20"/>
        </w:rPr>
        <w:t>new</w:t>
      </w:r>
      <w:r>
        <w:rPr>
          <w:rFonts w:ascii="Trebuchet MS"/>
          <w:spacing w:val="-9"/>
          <w:w w:val="105"/>
          <w:sz w:val="20"/>
        </w:rPr>
        <w:t> </w:t>
      </w:r>
      <w:r>
        <w:rPr>
          <w:rFonts w:ascii="Trebuchet MS"/>
          <w:spacing w:val="-3"/>
          <w:w w:val="105"/>
          <w:sz w:val="20"/>
        </w:rPr>
        <w:t>power </w:t>
      </w:r>
      <w:r>
        <w:rPr>
          <w:rFonts w:ascii="Trebuchet MS"/>
          <w:w w:val="105"/>
          <w:sz w:val="20"/>
        </w:rPr>
        <w:t>to</w:t>
      </w:r>
      <w:r>
        <w:rPr>
          <w:rFonts w:ascii="Trebuchet MS"/>
          <w:spacing w:val="-21"/>
          <w:w w:val="105"/>
          <w:sz w:val="20"/>
        </w:rPr>
        <w:t> </w:t>
      </w:r>
      <w:r>
        <w:rPr>
          <w:rFonts w:ascii="Trebuchet MS"/>
          <w:w w:val="105"/>
          <w:sz w:val="20"/>
        </w:rPr>
        <w:t>hold</w:t>
      </w:r>
      <w:r>
        <w:rPr>
          <w:rFonts w:ascii="Trebuchet MS"/>
          <w:spacing w:val="-20"/>
          <w:w w:val="105"/>
          <w:sz w:val="20"/>
        </w:rPr>
        <w:t> </w:t>
      </w:r>
      <w:r>
        <w:rPr>
          <w:rFonts w:ascii="Trebuchet MS"/>
          <w:w w:val="105"/>
          <w:sz w:val="20"/>
        </w:rPr>
        <w:t>a</w:t>
      </w:r>
      <w:r>
        <w:rPr>
          <w:rFonts w:ascii="Trebuchet MS"/>
          <w:spacing w:val="-21"/>
          <w:w w:val="105"/>
          <w:sz w:val="20"/>
        </w:rPr>
        <w:t> </w:t>
      </w:r>
      <w:r>
        <w:rPr>
          <w:rFonts w:ascii="Trebuchet MS"/>
          <w:w w:val="105"/>
          <w:sz w:val="20"/>
        </w:rPr>
        <w:t>person</w:t>
      </w:r>
      <w:r>
        <w:rPr>
          <w:rFonts w:ascii="Trebuchet MS"/>
          <w:spacing w:val="-20"/>
          <w:w w:val="105"/>
          <w:sz w:val="20"/>
        </w:rPr>
        <w:t> </w:t>
      </w:r>
      <w:r>
        <w:rPr>
          <w:rFonts w:ascii="Trebuchet MS"/>
          <w:w w:val="105"/>
          <w:sz w:val="20"/>
        </w:rPr>
        <w:t>out</w:t>
      </w:r>
      <w:r>
        <w:rPr>
          <w:rFonts w:ascii="Trebuchet MS"/>
          <w:spacing w:val="-21"/>
          <w:w w:val="105"/>
          <w:sz w:val="20"/>
        </w:rPr>
        <w:t> </w:t>
      </w:r>
      <w:r>
        <w:rPr>
          <w:rFonts w:ascii="Trebuchet MS"/>
          <w:w w:val="105"/>
          <w:sz w:val="20"/>
        </w:rPr>
        <w:t>of</w:t>
      </w:r>
      <w:r>
        <w:rPr>
          <w:rFonts w:ascii="Trebuchet MS"/>
          <w:spacing w:val="-20"/>
          <w:w w:val="105"/>
          <w:sz w:val="20"/>
        </w:rPr>
        <w:t> </w:t>
      </w:r>
      <w:r>
        <w:rPr>
          <w:rFonts w:ascii="Trebuchet MS"/>
          <w:w w:val="105"/>
          <w:sz w:val="20"/>
        </w:rPr>
        <w:t>a</w:t>
      </w:r>
      <w:r>
        <w:rPr>
          <w:rFonts w:ascii="Trebuchet MS"/>
          <w:spacing w:val="-20"/>
          <w:w w:val="105"/>
          <w:sz w:val="20"/>
        </w:rPr>
        <w:t> </w:t>
      </w:r>
      <w:r>
        <w:rPr>
          <w:rFonts w:ascii="Trebuchet MS"/>
          <w:spacing w:val="-3"/>
          <w:w w:val="105"/>
          <w:sz w:val="20"/>
        </w:rPr>
        <w:t>ballot</w:t>
      </w:r>
      <w:r>
        <w:rPr>
          <w:rFonts w:ascii="Trebuchet MS"/>
          <w:spacing w:val="-21"/>
          <w:w w:val="105"/>
          <w:sz w:val="20"/>
        </w:rPr>
        <w:t> </w:t>
      </w:r>
      <w:r>
        <w:rPr>
          <w:rFonts w:ascii="Trebuchet MS"/>
          <w:w w:val="105"/>
          <w:sz w:val="20"/>
        </w:rPr>
        <w:t>for</w:t>
      </w:r>
      <w:r>
        <w:rPr>
          <w:rFonts w:ascii="Trebuchet MS"/>
          <w:spacing w:val="-20"/>
          <w:w w:val="105"/>
          <w:sz w:val="20"/>
        </w:rPr>
        <w:t> </w:t>
      </w:r>
      <w:r>
        <w:rPr>
          <w:rFonts w:ascii="Trebuchet MS"/>
          <w:w w:val="105"/>
          <w:sz w:val="20"/>
        </w:rPr>
        <w:t>a</w:t>
      </w:r>
      <w:r>
        <w:rPr>
          <w:rFonts w:ascii="Trebuchet MS"/>
          <w:spacing w:val="-21"/>
          <w:w w:val="105"/>
          <w:sz w:val="20"/>
        </w:rPr>
        <w:t> </w:t>
      </w:r>
      <w:r>
        <w:rPr>
          <w:rFonts w:ascii="Trebuchet MS"/>
          <w:w w:val="105"/>
          <w:sz w:val="20"/>
        </w:rPr>
        <w:t>panel</w:t>
      </w:r>
      <w:r>
        <w:rPr>
          <w:rFonts w:ascii="Trebuchet MS"/>
          <w:spacing w:val="-20"/>
          <w:w w:val="105"/>
          <w:sz w:val="20"/>
        </w:rPr>
        <w:t> </w:t>
      </w:r>
      <w:r>
        <w:rPr>
          <w:rFonts w:ascii="Trebuchet MS"/>
          <w:w w:val="105"/>
          <w:sz w:val="20"/>
        </w:rPr>
        <w:t>for</w:t>
      </w:r>
      <w:r>
        <w:rPr>
          <w:rFonts w:ascii="Trebuchet MS"/>
          <w:spacing w:val="-21"/>
          <w:w w:val="105"/>
          <w:sz w:val="20"/>
        </w:rPr>
        <w:t> </w:t>
      </w:r>
      <w:r>
        <w:rPr>
          <w:rFonts w:ascii="Trebuchet MS"/>
          <w:w w:val="105"/>
          <w:sz w:val="20"/>
        </w:rPr>
        <w:t>a</w:t>
      </w:r>
      <w:r>
        <w:rPr>
          <w:rFonts w:ascii="Trebuchet MS"/>
          <w:spacing w:val="-20"/>
          <w:w w:val="105"/>
          <w:sz w:val="20"/>
        </w:rPr>
        <w:t> </w:t>
      </w:r>
      <w:r>
        <w:rPr>
          <w:rFonts w:ascii="Trebuchet MS"/>
          <w:w w:val="105"/>
          <w:sz w:val="20"/>
        </w:rPr>
        <w:t>trial</w:t>
      </w:r>
      <w:r>
        <w:rPr>
          <w:rFonts w:ascii="Trebuchet MS"/>
          <w:spacing w:val="-21"/>
          <w:w w:val="105"/>
          <w:sz w:val="20"/>
        </w:rPr>
        <w:t> </w:t>
      </w:r>
      <w:r>
        <w:rPr>
          <w:rFonts w:ascii="Trebuchet MS"/>
          <w:w w:val="105"/>
          <w:sz w:val="20"/>
        </w:rPr>
        <w:t>if</w:t>
      </w:r>
      <w:r>
        <w:rPr>
          <w:rFonts w:ascii="Trebuchet MS"/>
          <w:spacing w:val="-20"/>
          <w:w w:val="105"/>
          <w:sz w:val="20"/>
        </w:rPr>
        <w:t> </w:t>
      </w:r>
      <w:r>
        <w:rPr>
          <w:rFonts w:ascii="Trebuchet MS"/>
          <w:w w:val="105"/>
          <w:sz w:val="20"/>
        </w:rPr>
        <w:t>the</w:t>
      </w:r>
      <w:r>
        <w:rPr>
          <w:rFonts w:ascii="Trebuchet MS"/>
          <w:spacing w:val="-20"/>
          <w:w w:val="105"/>
          <w:sz w:val="20"/>
        </w:rPr>
        <w:t> </w:t>
      </w:r>
      <w:r>
        <w:rPr>
          <w:rFonts w:ascii="Trebuchet MS"/>
          <w:w w:val="105"/>
          <w:sz w:val="20"/>
        </w:rPr>
        <w:t>Juries</w:t>
      </w:r>
      <w:r>
        <w:rPr>
          <w:rFonts w:ascii="Trebuchet MS"/>
          <w:spacing w:val="-21"/>
          <w:w w:val="105"/>
          <w:sz w:val="20"/>
        </w:rPr>
        <w:t> </w:t>
      </w:r>
      <w:r>
        <w:rPr>
          <w:rFonts w:ascii="Trebuchet MS"/>
          <w:w w:val="105"/>
          <w:sz w:val="20"/>
        </w:rPr>
        <w:t>Commissioner </w:t>
      </w:r>
      <w:r>
        <w:rPr>
          <w:rFonts w:ascii="Trebuchet MS"/>
          <w:spacing w:val="-2"/>
          <w:w w:val="112"/>
          <w:sz w:val="20"/>
        </w:rPr>
        <w:t>d</w:t>
      </w:r>
      <w:r>
        <w:rPr>
          <w:rFonts w:ascii="Trebuchet MS"/>
          <w:spacing w:val="-3"/>
          <w:w w:val="108"/>
          <w:sz w:val="20"/>
        </w:rPr>
        <w:t>e</w:t>
      </w:r>
      <w:r>
        <w:rPr>
          <w:rFonts w:ascii="Trebuchet MS"/>
          <w:spacing w:val="-4"/>
          <w:w w:val="88"/>
          <w:sz w:val="20"/>
        </w:rPr>
        <w:t>t</w:t>
      </w:r>
      <w:r>
        <w:rPr>
          <w:rFonts w:ascii="Trebuchet MS"/>
          <w:spacing w:val="-1"/>
          <w:w w:val="108"/>
          <w:sz w:val="20"/>
        </w:rPr>
        <w:t>e</w:t>
      </w:r>
      <w:r>
        <w:rPr>
          <w:rFonts w:ascii="Trebuchet MS"/>
          <w:spacing w:val="-2"/>
          <w:w w:val="93"/>
          <w:sz w:val="20"/>
        </w:rPr>
        <w:t>r</w:t>
      </w:r>
      <w:r>
        <w:rPr>
          <w:rFonts w:ascii="Trebuchet MS"/>
          <w:spacing w:val="-2"/>
          <w:w w:val="111"/>
          <w:sz w:val="20"/>
        </w:rPr>
        <w:t>m</w:t>
      </w:r>
      <w:r>
        <w:rPr>
          <w:rFonts w:ascii="Trebuchet MS"/>
          <w:spacing w:val="-2"/>
          <w:w w:val="80"/>
          <w:sz w:val="20"/>
        </w:rPr>
        <w:t>i</w:t>
      </w:r>
      <w:r>
        <w:rPr>
          <w:rFonts w:ascii="Trebuchet MS"/>
          <w:spacing w:val="-1"/>
          <w:w w:val="107"/>
          <w:sz w:val="20"/>
        </w:rPr>
        <w:t>n</w:t>
      </w:r>
      <w:r>
        <w:rPr>
          <w:rFonts w:ascii="Trebuchet MS"/>
          <w:spacing w:val="-2"/>
          <w:w w:val="108"/>
          <w:sz w:val="20"/>
        </w:rPr>
        <w:t>e</w:t>
      </w:r>
      <w:r>
        <w:rPr>
          <w:rFonts w:ascii="Trebuchet MS"/>
          <w:w w:val="122"/>
          <w:sz w:val="20"/>
        </w:rPr>
        <w:t>s</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spacing w:val="-4"/>
          <w:w w:val="105"/>
          <w:sz w:val="20"/>
        </w:rPr>
        <w:t>a</w:t>
      </w:r>
      <w:r>
        <w:rPr>
          <w:rFonts w:ascii="Trebuchet MS"/>
          <w:w w:val="88"/>
          <w:sz w:val="20"/>
        </w:rPr>
        <w:t>t</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88"/>
          <w:sz w:val="20"/>
        </w:rPr>
        <w:t>t</w:t>
      </w:r>
      <w:r>
        <w:rPr>
          <w:rFonts w:ascii="Trebuchet MS"/>
          <w:spacing w:val="-2"/>
          <w:w w:val="93"/>
          <w:sz w:val="20"/>
        </w:rPr>
        <w:t>r</w:t>
      </w:r>
      <w:r>
        <w:rPr>
          <w:rFonts w:ascii="Trebuchet MS"/>
          <w:spacing w:val="-1"/>
          <w:w w:val="80"/>
          <w:sz w:val="20"/>
        </w:rPr>
        <w:t>i</w:t>
      </w:r>
      <w:r>
        <w:rPr>
          <w:rFonts w:ascii="Trebuchet MS"/>
          <w:spacing w:val="-3"/>
          <w:w w:val="105"/>
          <w:sz w:val="20"/>
        </w:rPr>
        <w:t>a</w:t>
      </w:r>
      <w:r>
        <w:rPr>
          <w:rFonts w:ascii="Trebuchet MS"/>
          <w:w w:val="96"/>
          <w:sz w:val="20"/>
        </w:rPr>
        <w:t>l</w:t>
      </w:r>
      <w:r>
        <w:rPr>
          <w:rFonts w:ascii="Trebuchet MS"/>
          <w:spacing w:val="-14"/>
          <w:sz w:val="20"/>
        </w:rPr>
        <w:t> </w:t>
      </w:r>
      <w:r>
        <w:rPr>
          <w:rFonts w:ascii="Trebuchet MS"/>
          <w:spacing w:val="-1"/>
          <w:w w:val="80"/>
          <w:sz w:val="20"/>
        </w:rPr>
        <w:t>i</w:t>
      </w:r>
      <w:r>
        <w:rPr>
          <w:rFonts w:ascii="Trebuchet MS"/>
          <w:w w:val="122"/>
          <w:sz w:val="20"/>
        </w:rPr>
        <w:t>s</w:t>
      </w:r>
      <w:r>
        <w:rPr>
          <w:rFonts w:ascii="Trebuchet MS"/>
          <w:spacing w:val="-14"/>
          <w:sz w:val="20"/>
        </w:rPr>
        <w:t> </w:t>
      </w:r>
      <w:r>
        <w:rPr>
          <w:rFonts w:ascii="Trebuchet MS"/>
          <w:spacing w:val="-1"/>
          <w:w w:val="107"/>
          <w:sz w:val="20"/>
        </w:rPr>
        <w:t>n</w:t>
      </w:r>
      <w:r>
        <w:rPr>
          <w:rFonts w:ascii="Trebuchet MS"/>
          <w:spacing w:val="-4"/>
          <w:w w:val="111"/>
          <w:sz w:val="20"/>
        </w:rPr>
        <w:t>o</w:t>
      </w:r>
      <w:r>
        <w:rPr>
          <w:rFonts w:ascii="Trebuchet MS"/>
          <w:w w:val="88"/>
          <w:sz w:val="20"/>
        </w:rPr>
        <w:t>t</w:t>
      </w:r>
      <w:r>
        <w:rPr>
          <w:rFonts w:ascii="Trebuchet MS"/>
          <w:spacing w:val="-14"/>
          <w:sz w:val="20"/>
        </w:rPr>
        <w:t> </w:t>
      </w:r>
      <w:r>
        <w:rPr>
          <w:rFonts w:ascii="Trebuchet MS"/>
          <w:spacing w:val="-2"/>
          <w:w w:val="122"/>
          <w:sz w:val="20"/>
        </w:rPr>
        <w:t>s</w:t>
      </w:r>
      <w:r>
        <w:rPr>
          <w:rFonts w:ascii="Trebuchet MS"/>
          <w:spacing w:val="-1"/>
          <w:w w:val="109"/>
          <w:sz w:val="20"/>
        </w:rPr>
        <w:t>u</w:t>
      </w:r>
      <w:r>
        <w:rPr>
          <w:rFonts w:ascii="Trebuchet MS"/>
          <w:spacing w:val="-3"/>
          <w:w w:val="80"/>
          <w:sz w:val="20"/>
        </w:rPr>
        <w:t>i</w:t>
      </w:r>
      <w:r>
        <w:rPr>
          <w:rFonts w:ascii="Trebuchet MS"/>
          <w:w w:val="88"/>
          <w:sz w:val="20"/>
        </w:rPr>
        <w:t>t</w:t>
      </w:r>
      <w:r>
        <w:rPr>
          <w:rFonts w:ascii="Trebuchet MS"/>
          <w:spacing w:val="-2"/>
          <w:w w:val="105"/>
          <w:sz w:val="20"/>
        </w:rPr>
        <w:t>a</w:t>
      </w:r>
      <w:r>
        <w:rPr>
          <w:rFonts w:ascii="Trebuchet MS"/>
          <w:spacing w:val="-2"/>
          <w:w w:val="111"/>
          <w:sz w:val="20"/>
        </w:rPr>
        <w:t>b</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5"/>
          <w:w w:val="92"/>
          <w:sz w:val="20"/>
        </w:rPr>
        <w:t>f</w:t>
      </w:r>
      <w:r>
        <w:rPr>
          <w:rFonts w:ascii="Trebuchet MS"/>
          <w:spacing w:val="-1"/>
          <w:w w:val="111"/>
          <w:sz w:val="20"/>
        </w:rPr>
        <w:t>o</w:t>
      </w:r>
      <w:r>
        <w:rPr>
          <w:rFonts w:ascii="Trebuchet MS"/>
          <w:w w:val="93"/>
          <w:sz w:val="20"/>
        </w:rPr>
        <w:t>r</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1"/>
          <w:w w:val="111"/>
          <w:sz w:val="20"/>
        </w:rPr>
        <w:t>p</w:t>
      </w:r>
      <w:r>
        <w:rPr>
          <w:rFonts w:ascii="Trebuchet MS"/>
          <w:spacing w:val="-4"/>
          <w:w w:val="111"/>
          <w:sz w:val="20"/>
        </w:rPr>
        <w:t>o</w:t>
      </w:r>
      <w:r>
        <w:rPr>
          <w:rFonts w:ascii="Trebuchet MS"/>
          <w:spacing w:val="-4"/>
          <w:w w:val="88"/>
          <w:sz w:val="20"/>
        </w:rPr>
        <w:t>t</w:t>
      </w:r>
      <w:r>
        <w:rPr>
          <w:rFonts w:ascii="Trebuchet MS"/>
          <w:spacing w:val="-1"/>
          <w:w w:val="108"/>
          <w:sz w:val="20"/>
        </w:rPr>
        <w:t>e</w:t>
      </w:r>
      <w:r>
        <w:rPr>
          <w:rFonts w:ascii="Trebuchet MS"/>
          <w:spacing w:val="-4"/>
          <w:w w:val="107"/>
          <w:sz w:val="20"/>
        </w:rPr>
        <w:t>n</w:t>
      </w:r>
      <w:r>
        <w:rPr>
          <w:rFonts w:ascii="Trebuchet MS"/>
          <w:spacing w:val="-2"/>
          <w:w w:val="88"/>
          <w:sz w:val="20"/>
        </w:rPr>
        <w:t>t</w:t>
      </w:r>
      <w:r>
        <w:rPr>
          <w:rFonts w:ascii="Trebuchet MS"/>
          <w:spacing w:val="-1"/>
          <w:w w:val="80"/>
          <w:sz w:val="20"/>
        </w:rPr>
        <w:t>i</w:t>
      </w:r>
      <w:r>
        <w:rPr>
          <w:rFonts w:ascii="Trebuchet MS"/>
          <w:spacing w:val="-3"/>
          <w:w w:val="105"/>
          <w:sz w:val="20"/>
        </w:rPr>
        <w:t>a</w:t>
      </w:r>
      <w:r>
        <w:rPr>
          <w:rFonts w:ascii="Trebuchet MS"/>
          <w:w w:val="96"/>
          <w:sz w:val="20"/>
        </w:rPr>
        <w:t>l</w:t>
      </w:r>
      <w:r>
        <w:rPr>
          <w:rFonts w:ascii="Trebuchet MS"/>
          <w:spacing w:val="-14"/>
          <w:sz w:val="20"/>
        </w:rPr>
        <w:t> </w:t>
      </w:r>
      <w:r>
        <w:rPr>
          <w:rFonts w:ascii="Trebuchet MS"/>
          <w:spacing w:val="-2"/>
          <w:w w:val="64"/>
          <w:sz w:val="20"/>
        </w:rPr>
        <w:t>j</w:t>
      </w:r>
      <w:r>
        <w:rPr>
          <w:rFonts w:ascii="Trebuchet MS"/>
          <w:spacing w:val="-1"/>
          <w:w w:val="109"/>
          <w:sz w:val="20"/>
        </w:rPr>
        <w:t>u</w:t>
      </w:r>
      <w:r>
        <w:rPr>
          <w:rFonts w:ascii="Trebuchet MS"/>
          <w:spacing w:val="-4"/>
          <w:w w:val="93"/>
          <w:sz w:val="20"/>
        </w:rPr>
        <w:t>r</w:t>
      </w:r>
      <w:r>
        <w:rPr>
          <w:rFonts w:ascii="Trebuchet MS"/>
          <w:spacing w:val="-1"/>
          <w:w w:val="111"/>
          <w:sz w:val="20"/>
        </w:rPr>
        <w:t>o</w:t>
      </w:r>
      <w:r>
        <w:rPr>
          <w:rFonts w:ascii="Trebuchet MS"/>
          <w:spacing w:val="-14"/>
          <w:w w:val="93"/>
          <w:sz w:val="20"/>
        </w:rPr>
        <w:t>r</w:t>
      </w:r>
      <w:r>
        <w:rPr>
          <w:rFonts w:ascii="Trebuchet MS"/>
          <w:w w:val="55"/>
          <w:sz w:val="20"/>
        </w:rPr>
        <w:t>.</w:t>
      </w:r>
      <w:r>
        <w:rPr>
          <w:rFonts w:ascii="Trebuchet MS"/>
          <w:spacing w:val="-14"/>
          <w:sz w:val="20"/>
        </w:rPr>
        <w:t> </w:t>
      </w:r>
      <w:r>
        <w:rPr>
          <w:rFonts w:ascii="Trebuchet MS"/>
          <w:spacing w:val="-2"/>
          <w:w w:val="105"/>
          <w:sz w:val="20"/>
        </w:rPr>
        <w:t>T</w:t>
      </w:r>
      <w:r>
        <w:rPr>
          <w:rFonts w:ascii="Trebuchet MS"/>
          <w:spacing w:val="-2"/>
          <w:w w:val="107"/>
          <w:sz w:val="20"/>
        </w:rPr>
        <w:t>h</w:t>
      </w:r>
      <w:r>
        <w:rPr>
          <w:rFonts w:ascii="Trebuchet MS"/>
          <w:spacing w:val="-1"/>
          <w:w w:val="80"/>
          <w:sz w:val="20"/>
        </w:rPr>
        <w:t>i</w:t>
      </w:r>
      <w:r>
        <w:rPr>
          <w:rFonts w:ascii="Trebuchet MS"/>
          <w:w w:val="122"/>
          <w:sz w:val="20"/>
        </w:rPr>
        <w:t>s</w:t>
      </w:r>
      <w:r>
        <w:rPr>
          <w:rFonts w:ascii="Trebuchet MS"/>
          <w:spacing w:val="-14"/>
          <w:sz w:val="20"/>
        </w:rPr>
        <w:t> </w:t>
      </w:r>
      <w:r>
        <w:rPr>
          <w:rFonts w:ascii="Trebuchet MS"/>
          <w:spacing w:val="-2"/>
          <w:w w:val="112"/>
          <w:sz w:val="20"/>
        </w:rPr>
        <w:t>d</w:t>
      </w:r>
      <w:r>
        <w:rPr>
          <w:rFonts w:ascii="Trebuchet MS"/>
          <w:w w:val="108"/>
          <w:sz w:val="20"/>
        </w:rPr>
        <w:t>e</w:t>
      </w:r>
      <w:r>
        <w:rPr>
          <w:rFonts w:ascii="Trebuchet MS"/>
          <w:spacing w:val="-2"/>
          <w:w w:val="111"/>
          <w:sz w:val="20"/>
        </w:rPr>
        <w:t>c</w:t>
      </w:r>
      <w:r>
        <w:rPr>
          <w:rFonts w:ascii="Trebuchet MS"/>
          <w:spacing w:val="-1"/>
          <w:w w:val="80"/>
          <w:sz w:val="20"/>
        </w:rPr>
        <w:t>i</w:t>
      </w:r>
      <w:r>
        <w:rPr>
          <w:rFonts w:ascii="Trebuchet MS"/>
          <w:spacing w:val="-2"/>
          <w:w w:val="122"/>
          <w:sz w:val="20"/>
        </w:rPr>
        <w:t>s</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 </w:t>
      </w:r>
      <w:r>
        <w:rPr>
          <w:rFonts w:ascii="Trebuchet MS"/>
          <w:w w:val="105"/>
          <w:sz w:val="20"/>
        </w:rPr>
        <w:t>be</w:t>
      </w:r>
      <w:r>
        <w:rPr>
          <w:rFonts w:ascii="Trebuchet MS"/>
          <w:spacing w:val="-21"/>
          <w:w w:val="105"/>
          <w:sz w:val="20"/>
        </w:rPr>
        <w:t> </w:t>
      </w:r>
      <w:r>
        <w:rPr>
          <w:rFonts w:ascii="Trebuchet MS"/>
          <w:w w:val="105"/>
          <w:sz w:val="20"/>
        </w:rPr>
        <w:t>appealable</w:t>
      </w:r>
      <w:r>
        <w:rPr>
          <w:rFonts w:ascii="Trebuchet MS"/>
          <w:spacing w:val="-20"/>
          <w:w w:val="105"/>
          <w:sz w:val="20"/>
        </w:rPr>
        <w:t> </w:t>
      </w:r>
      <w:r>
        <w:rPr>
          <w:rFonts w:ascii="Trebuchet MS"/>
          <w:w w:val="105"/>
          <w:sz w:val="20"/>
        </w:rPr>
        <w:t>under</w:t>
      </w:r>
      <w:r>
        <w:rPr>
          <w:rFonts w:ascii="Trebuchet MS"/>
          <w:spacing w:val="-20"/>
          <w:w w:val="105"/>
          <w:sz w:val="20"/>
        </w:rPr>
        <w:t> </w:t>
      </w:r>
      <w:r>
        <w:rPr>
          <w:rFonts w:ascii="Trebuchet MS"/>
          <w:w w:val="105"/>
          <w:sz w:val="20"/>
        </w:rPr>
        <w:t>section</w:t>
      </w:r>
      <w:r>
        <w:rPr>
          <w:rFonts w:ascii="Trebuchet MS"/>
          <w:spacing w:val="-20"/>
          <w:w w:val="105"/>
          <w:sz w:val="20"/>
        </w:rPr>
        <w:t> </w:t>
      </w:r>
      <w:r>
        <w:rPr>
          <w:rFonts w:ascii="Trebuchet MS"/>
          <w:spacing w:val="-3"/>
          <w:w w:val="105"/>
          <w:sz w:val="20"/>
        </w:rPr>
        <w:t>10</w:t>
      </w:r>
      <w:r>
        <w:rPr>
          <w:rFonts w:ascii="Trebuchet MS"/>
          <w:spacing w:val="-21"/>
          <w:w w:val="105"/>
          <w:sz w:val="20"/>
        </w:rPr>
        <w:t> </w:t>
      </w:r>
      <w:r>
        <w:rPr>
          <w:rFonts w:ascii="Trebuchet MS"/>
          <w:w w:val="105"/>
          <w:sz w:val="20"/>
        </w:rPr>
        <w:t>of</w:t>
      </w:r>
      <w:r>
        <w:rPr>
          <w:rFonts w:ascii="Trebuchet MS"/>
          <w:spacing w:val="-20"/>
          <w:w w:val="105"/>
          <w:sz w:val="20"/>
        </w:rPr>
        <w:t> </w:t>
      </w:r>
      <w:r>
        <w:rPr>
          <w:rFonts w:ascii="Trebuchet MS"/>
          <w:w w:val="105"/>
          <w:sz w:val="20"/>
        </w:rPr>
        <w:t>the</w:t>
      </w:r>
      <w:r>
        <w:rPr>
          <w:rFonts w:ascii="Trebuchet MS"/>
          <w:spacing w:val="-20"/>
          <w:w w:val="105"/>
          <w:sz w:val="20"/>
        </w:rPr>
        <w:t> </w:t>
      </w:r>
      <w:r>
        <w:rPr>
          <w:rFonts w:ascii="Trebuchet MS"/>
          <w:w w:val="105"/>
          <w:sz w:val="20"/>
        </w:rPr>
        <w:t>Juries</w:t>
      </w:r>
      <w:r>
        <w:rPr>
          <w:rFonts w:ascii="Trebuchet MS"/>
          <w:spacing w:val="-20"/>
          <w:w w:val="105"/>
          <w:sz w:val="20"/>
        </w:rPr>
        <w:t> </w:t>
      </w:r>
      <w:r>
        <w:rPr>
          <w:rFonts w:ascii="Trebuchet MS"/>
          <w:spacing w:val="-2"/>
          <w:w w:val="105"/>
          <w:sz w:val="20"/>
        </w:rPr>
        <w:t>Act</w:t>
      </w:r>
      <w:r>
        <w:rPr>
          <w:rFonts w:ascii="Trebuchet MS"/>
          <w:spacing w:val="-20"/>
          <w:w w:val="105"/>
          <w:sz w:val="20"/>
        </w:rPr>
        <w:t> </w:t>
      </w:r>
      <w:r>
        <w:rPr>
          <w:rFonts w:ascii="Trebuchet MS"/>
          <w:w w:val="105"/>
          <w:sz w:val="20"/>
        </w:rPr>
        <w:t>to</w:t>
      </w:r>
      <w:r>
        <w:rPr>
          <w:rFonts w:ascii="Trebuchet MS"/>
          <w:spacing w:val="-21"/>
          <w:w w:val="105"/>
          <w:sz w:val="20"/>
        </w:rPr>
        <w:t> </w:t>
      </w:r>
      <w:r>
        <w:rPr>
          <w:rFonts w:ascii="Trebuchet MS"/>
          <w:w w:val="105"/>
          <w:sz w:val="20"/>
        </w:rPr>
        <w:t>either</w:t>
      </w:r>
      <w:r>
        <w:rPr>
          <w:rFonts w:ascii="Trebuchet MS"/>
          <w:spacing w:val="-20"/>
          <w:w w:val="105"/>
          <w:sz w:val="20"/>
        </w:rPr>
        <w:t> </w:t>
      </w:r>
      <w:r>
        <w:rPr>
          <w:rFonts w:ascii="Trebuchet MS"/>
          <w:w w:val="105"/>
          <w:sz w:val="20"/>
        </w:rPr>
        <w:t>the</w:t>
      </w:r>
      <w:r>
        <w:rPr>
          <w:rFonts w:ascii="Trebuchet MS"/>
          <w:spacing w:val="-20"/>
          <w:w w:val="105"/>
          <w:sz w:val="20"/>
        </w:rPr>
        <w:t> </w:t>
      </w:r>
      <w:r>
        <w:rPr>
          <w:rFonts w:ascii="Trebuchet MS"/>
          <w:w w:val="105"/>
          <w:sz w:val="20"/>
        </w:rPr>
        <w:t>County</w:t>
      </w:r>
      <w:r>
        <w:rPr>
          <w:rFonts w:ascii="Trebuchet MS"/>
          <w:spacing w:val="-20"/>
          <w:w w:val="105"/>
          <w:sz w:val="20"/>
        </w:rPr>
        <w:t> </w:t>
      </w:r>
      <w:r>
        <w:rPr>
          <w:rFonts w:ascii="Trebuchet MS"/>
          <w:w w:val="105"/>
          <w:sz w:val="20"/>
        </w:rPr>
        <w:t>Court</w:t>
      </w:r>
      <w:r>
        <w:rPr>
          <w:rFonts w:ascii="Trebuchet MS"/>
          <w:spacing w:val="-21"/>
          <w:w w:val="105"/>
          <w:sz w:val="20"/>
        </w:rPr>
        <w:t> </w:t>
      </w:r>
      <w:r>
        <w:rPr>
          <w:rFonts w:ascii="Trebuchet MS"/>
          <w:w w:val="105"/>
          <w:sz w:val="20"/>
        </w:rPr>
        <w:t>or</w:t>
      </w:r>
      <w:r>
        <w:rPr>
          <w:rFonts w:ascii="Trebuchet MS"/>
          <w:spacing w:val="-20"/>
          <w:w w:val="105"/>
          <w:sz w:val="20"/>
        </w:rPr>
        <w:t> </w:t>
      </w:r>
      <w:r>
        <w:rPr>
          <w:rFonts w:ascii="Trebuchet MS"/>
          <w:w w:val="105"/>
          <w:sz w:val="20"/>
        </w:rPr>
        <w:t>the </w:t>
      </w:r>
      <w:r>
        <w:rPr>
          <w:rFonts w:ascii="Trebuchet MS"/>
          <w:spacing w:val="-1"/>
          <w:w w:val="111"/>
          <w:sz w:val="20"/>
        </w:rPr>
        <w:t>Sup</w:t>
      </w:r>
      <w:r>
        <w:rPr>
          <w:rFonts w:ascii="Trebuchet MS"/>
          <w:spacing w:val="-4"/>
          <w:w w:val="111"/>
          <w:sz w:val="20"/>
        </w:rPr>
        <w:t>r</w:t>
      </w:r>
      <w:r>
        <w:rPr>
          <w:rFonts w:ascii="Trebuchet MS"/>
          <w:spacing w:val="-1"/>
          <w:w w:val="108"/>
          <w:sz w:val="20"/>
        </w:rPr>
        <w:t>e</w:t>
      </w:r>
      <w:r>
        <w:rPr>
          <w:rFonts w:ascii="Trebuchet MS"/>
          <w:spacing w:val="-1"/>
          <w:w w:val="110"/>
          <w:sz w:val="20"/>
        </w:rPr>
        <w:t>m</w:t>
      </w:r>
      <w:r>
        <w:rPr>
          <w:rFonts w:ascii="Trebuchet MS"/>
          <w:w w:val="110"/>
          <w:sz w:val="20"/>
        </w:rPr>
        <w:t>e</w:t>
      </w:r>
      <w:r>
        <w:rPr>
          <w:rFonts w:ascii="Trebuchet MS"/>
          <w:spacing w:val="-14"/>
          <w:sz w:val="20"/>
        </w:rPr>
        <w:t> </w:t>
      </w:r>
      <w:r>
        <w:rPr>
          <w:rFonts w:ascii="Trebuchet MS"/>
          <w:spacing w:val="-1"/>
          <w:w w:val="114"/>
          <w:sz w:val="20"/>
        </w:rPr>
        <w:t>C</w:t>
      </w:r>
      <w:r>
        <w:rPr>
          <w:rFonts w:ascii="Trebuchet MS"/>
          <w:spacing w:val="-1"/>
          <w:w w:val="106"/>
          <w:sz w:val="20"/>
        </w:rPr>
        <w:t>ou</w:t>
      </w:r>
      <w:r>
        <w:rPr>
          <w:rFonts w:ascii="Trebuchet MS"/>
          <w:spacing w:val="2"/>
          <w:w w:val="106"/>
          <w:sz w:val="20"/>
        </w:rPr>
        <w:t>r</w:t>
      </w:r>
      <w:r>
        <w:rPr>
          <w:rFonts w:ascii="Trebuchet MS"/>
          <w:spacing w:val="1"/>
          <w:w w:val="88"/>
          <w:sz w:val="20"/>
        </w:rPr>
        <w:t>t</w:t>
      </w:r>
      <w:r>
        <w:rPr>
          <w:rFonts w:ascii="Trebuchet MS"/>
          <w:w w:val="55"/>
          <w:sz w:val="20"/>
        </w:rPr>
        <w:t>.</w:t>
      </w:r>
    </w:p>
    <w:p>
      <w:pPr>
        <w:pStyle w:val="ListParagraph"/>
        <w:numPr>
          <w:ilvl w:val="0"/>
          <w:numId w:val="94"/>
        </w:numPr>
        <w:tabs>
          <w:tab w:pos="1761" w:val="left" w:leader="none"/>
          <w:tab w:pos="1762" w:val="left" w:leader="none"/>
        </w:tabs>
        <w:spacing w:line="247" w:lineRule="auto" w:before="89" w:after="0"/>
        <w:ind w:left="1761" w:right="1498" w:hanging="567"/>
        <w:jc w:val="left"/>
        <w:rPr>
          <w:rFonts w:ascii="Trebuchet MS"/>
          <w:sz w:val="20"/>
        </w:rPr>
      </w:pPr>
      <w:r>
        <w:rPr>
          <w:rFonts w:ascii="Trebuchet MS"/>
          <w:w w:val="105"/>
          <w:sz w:val="20"/>
        </w:rPr>
        <w:t>The</w:t>
      </w:r>
      <w:r>
        <w:rPr>
          <w:rFonts w:ascii="Trebuchet MS"/>
          <w:spacing w:val="-18"/>
          <w:w w:val="105"/>
          <w:sz w:val="20"/>
        </w:rPr>
        <w:t> </w:t>
      </w:r>
      <w:r>
        <w:rPr>
          <w:rFonts w:ascii="Trebuchet MS"/>
          <w:w w:val="105"/>
          <w:sz w:val="20"/>
        </w:rPr>
        <w:t>final</w:t>
      </w:r>
      <w:r>
        <w:rPr>
          <w:rFonts w:ascii="Trebuchet MS"/>
          <w:spacing w:val="-18"/>
          <w:w w:val="105"/>
          <w:sz w:val="20"/>
        </w:rPr>
        <w:t> </w:t>
      </w:r>
      <w:r>
        <w:rPr>
          <w:rFonts w:ascii="Trebuchet MS"/>
          <w:w w:val="105"/>
          <w:sz w:val="20"/>
        </w:rPr>
        <w:t>decision</w:t>
      </w:r>
      <w:r>
        <w:rPr>
          <w:rFonts w:ascii="Trebuchet MS"/>
          <w:spacing w:val="-18"/>
          <w:w w:val="105"/>
          <w:sz w:val="20"/>
        </w:rPr>
        <w:t> </w:t>
      </w:r>
      <w:r>
        <w:rPr>
          <w:rFonts w:ascii="Trebuchet MS"/>
          <w:w w:val="105"/>
          <w:sz w:val="20"/>
        </w:rPr>
        <w:t>about</w:t>
      </w:r>
      <w:r>
        <w:rPr>
          <w:rFonts w:ascii="Trebuchet MS"/>
          <w:spacing w:val="-18"/>
          <w:w w:val="105"/>
          <w:sz w:val="20"/>
        </w:rPr>
        <w:t> </w:t>
      </w:r>
      <w:r>
        <w:rPr>
          <w:rFonts w:ascii="Trebuchet MS"/>
          <w:w w:val="105"/>
          <w:sz w:val="20"/>
        </w:rPr>
        <w:t>whether</w:t>
      </w:r>
      <w:r>
        <w:rPr>
          <w:rFonts w:ascii="Trebuchet MS"/>
          <w:spacing w:val="-18"/>
          <w:w w:val="105"/>
          <w:sz w:val="20"/>
        </w:rPr>
        <w:t> </w:t>
      </w:r>
      <w:r>
        <w:rPr>
          <w:rFonts w:ascii="Trebuchet MS"/>
          <w:w w:val="105"/>
          <w:sz w:val="20"/>
        </w:rPr>
        <w:t>a</w:t>
      </w:r>
      <w:r>
        <w:rPr>
          <w:rFonts w:ascii="Trebuchet MS"/>
          <w:spacing w:val="-18"/>
          <w:w w:val="105"/>
          <w:sz w:val="20"/>
        </w:rPr>
        <w:t> </w:t>
      </w:r>
      <w:r>
        <w:rPr>
          <w:rFonts w:ascii="Trebuchet MS"/>
          <w:w w:val="105"/>
          <w:sz w:val="20"/>
        </w:rPr>
        <w:t>person</w:t>
      </w:r>
      <w:r>
        <w:rPr>
          <w:rFonts w:ascii="Trebuchet MS"/>
          <w:spacing w:val="-18"/>
          <w:w w:val="105"/>
          <w:sz w:val="20"/>
        </w:rPr>
        <w:t> </w:t>
      </w:r>
      <w:r>
        <w:rPr>
          <w:rFonts w:ascii="Trebuchet MS"/>
          <w:w w:val="105"/>
          <w:sz w:val="20"/>
        </w:rPr>
        <w:t>in</w:t>
      </w:r>
      <w:r>
        <w:rPr>
          <w:rFonts w:ascii="Trebuchet MS"/>
          <w:spacing w:val="-18"/>
          <w:w w:val="105"/>
          <w:sz w:val="20"/>
        </w:rPr>
        <w:t> </w:t>
      </w:r>
      <w:r>
        <w:rPr>
          <w:rFonts w:ascii="Trebuchet MS"/>
          <w:w w:val="105"/>
          <w:sz w:val="20"/>
        </w:rPr>
        <w:t>the</w:t>
      </w:r>
      <w:r>
        <w:rPr>
          <w:rFonts w:ascii="Trebuchet MS"/>
          <w:spacing w:val="-18"/>
          <w:w w:val="105"/>
          <w:sz w:val="20"/>
        </w:rPr>
        <w:t> </w:t>
      </w:r>
      <w:r>
        <w:rPr>
          <w:rFonts w:ascii="Trebuchet MS"/>
          <w:w w:val="105"/>
          <w:sz w:val="20"/>
        </w:rPr>
        <w:t>subject</w:t>
      </w:r>
      <w:r>
        <w:rPr>
          <w:rFonts w:ascii="Trebuchet MS"/>
          <w:spacing w:val="-18"/>
          <w:w w:val="105"/>
          <w:sz w:val="20"/>
        </w:rPr>
        <w:t> </w:t>
      </w:r>
      <w:r>
        <w:rPr>
          <w:rFonts w:ascii="Trebuchet MS"/>
          <w:w w:val="105"/>
          <w:sz w:val="20"/>
        </w:rPr>
        <w:t>groups</w:t>
      </w:r>
      <w:r>
        <w:rPr>
          <w:rFonts w:ascii="Trebuchet MS"/>
          <w:spacing w:val="-18"/>
          <w:w w:val="105"/>
          <w:sz w:val="20"/>
        </w:rPr>
        <w:t> </w:t>
      </w:r>
      <w:r>
        <w:rPr>
          <w:rFonts w:ascii="Trebuchet MS"/>
          <w:w w:val="105"/>
          <w:sz w:val="20"/>
        </w:rPr>
        <w:t>can</w:t>
      </w:r>
      <w:r>
        <w:rPr>
          <w:rFonts w:ascii="Trebuchet MS"/>
          <w:spacing w:val="-18"/>
          <w:w w:val="105"/>
          <w:sz w:val="20"/>
        </w:rPr>
        <w:t> </w:t>
      </w:r>
      <w:r>
        <w:rPr>
          <w:rFonts w:ascii="Trebuchet MS"/>
          <w:w w:val="105"/>
          <w:sz w:val="20"/>
        </w:rPr>
        <w:t>serve</w:t>
      </w:r>
      <w:r>
        <w:rPr>
          <w:rFonts w:ascii="Trebuchet MS"/>
          <w:spacing w:val="-17"/>
          <w:w w:val="105"/>
          <w:sz w:val="20"/>
        </w:rPr>
        <w:t> </w:t>
      </w:r>
      <w:r>
        <w:rPr>
          <w:rFonts w:ascii="Trebuchet MS"/>
          <w:w w:val="105"/>
          <w:sz w:val="20"/>
        </w:rPr>
        <w:t>on</w:t>
      </w:r>
      <w:r>
        <w:rPr>
          <w:rFonts w:ascii="Trebuchet MS"/>
          <w:spacing w:val="-18"/>
          <w:w w:val="105"/>
          <w:sz w:val="20"/>
        </w:rPr>
        <w:t> </w:t>
      </w:r>
      <w:r>
        <w:rPr>
          <w:rFonts w:ascii="Trebuchet MS"/>
          <w:w w:val="105"/>
          <w:sz w:val="20"/>
        </w:rPr>
        <w:t>a</w:t>
      </w:r>
      <w:r>
        <w:rPr>
          <w:rFonts w:ascii="Trebuchet MS"/>
          <w:spacing w:val="-18"/>
          <w:w w:val="105"/>
          <w:sz w:val="20"/>
        </w:rPr>
        <w:t> </w:t>
      </w:r>
      <w:r>
        <w:rPr>
          <w:rFonts w:ascii="Trebuchet MS"/>
          <w:w w:val="105"/>
          <w:sz w:val="20"/>
        </w:rPr>
        <w:t>jury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1"/>
          <w:w w:val="111"/>
          <w:sz w:val="20"/>
        </w:rPr>
        <w:t>b</w:t>
      </w:r>
      <w:r>
        <w:rPr>
          <w:rFonts w:ascii="Trebuchet MS"/>
          <w:w w:val="108"/>
          <w:sz w:val="20"/>
        </w:rPr>
        <w:t>e</w:t>
      </w:r>
      <w:r>
        <w:rPr>
          <w:rFonts w:ascii="Trebuchet MS"/>
          <w:spacing w:val="-14"/>
          <w:sz w:val="20"/>
        </w:rPr>
        <w:t> </w:t>
      </w:r>
      <w:r>
        <w:rPr>
          <w:rFonts w:ascii="Trebuchet MS"/>
          <w:spacing w:val="-1"/>
          <w:w w:val="111"/>
          <w:sz w:val="20"/>
        </w:rPr>
        <w:t>m</w:t>
      </w:r>
      <w:r>
        <w:rPr>
          <w:rFonts w:ascii="Trebuchet MS"/>
          <w:spacing w:val="-2"/>
          <w:w w:val="105"/>
          <w:sz w:val="20"/>
        </w:rPr>
        <w:t>a</w:t>
      </w:r>
      <w:r>
        <w:rPr>
          <w:rFonts w:ascii="Trebuchet MS"/>
          <w:spacing w:val="-2"/>
          <w:w w:val="112"/>
          <w:sz w:val="20"/>
        </w:rPr>
        <w:t>d</w:t>
      </w:r>
      <w:r>
        <w:rPr>
          <w:rFonts w:ascii="Trebuchet MS"/>
          <w:w w:val="108"/>
          <w:sz w:val="20"/>
        </w:rPr>
        <w:t>e</w:t>
      </w:r>
      <w:r>
        <w:rPr>
          <w:rFonts w:ascii="Trebuchet MS"/>
          <w:spacing w:val="-14"/>
          <w:sz w:val="20"/>
        </w:rPr>
        <w:t> </w:t>
      </w:r>
      <w:r>
        <w:rPr>
          <w:rFonts w:ascii="Trebuchet MS"/>
          <w:spacing w:val="-6"/>
          <w:w w:val="111"/>
          <w:sz w:val="20"/>
        </w:rPr>
        <w:t>b</w:t>
      </w:r>
      <w:r>
        <w:rPr>
          <w:rFonts w:ascii="Trebuchet MS"/>
          <w:w w:val="110"/>
          <w:sz w:val="20"/>
        </w:rPr>
        <w:t>y</w:t>
      </w:r>
      <w:r>
        <w:rPr>
          <w:rFonts w:ascii="Trebuchet MS"/>
          <w:spacing w:val="-14"/>
          <w:sz w:val="20"/>
        </w:rPr>
        <w:t> </w:t>
      </w:r>
      <w:r>
        <w:rPr>
          <w:rFonts w:ascii="Trebuchet MS"/>
          <w:w w:val="105"/>
          <w:sz w:val="20"/>
        </w:rPr>
        <w:t>a</w:t>
      </w:r>
      <w:r>
        <w:rPr>
          <w:rFonts w:ascii="Trebuchet MS"/>
          <w:spacing w:val="-14"/>
          <w:sz w:val="20"/>
        </w:rPr>
        <w:t> </w:t>
      </w:r>
      <w:r>
        <w:rPr>
          <w:rFonts w:ascii="Trebuchet MS"/>
          <w:spacing w:val="-2"/>
          <w:w w:val="88"/>
          <w:sz w:val="20"/>
        </w:rPr>
        <w:t>t</w:t>
      </w:r>
      <w:r>
        <w:rPr>
          <w:rFonts w:ascii="Trebuchet MS"/>
          <w:spacing w:val="-2"/>
          <w:w w:val="93"/>
          <w:sz w:val="20"/>
        </w:rPr>
        <w:t>r</w:t>
      </w:r>
      <w:r>
        <w:rPr>
          <w:rFonts w:ascii="Trebuchet MS"/>
          <w:spacing w:val="-1"/>
          <w:w w:val="80"/>
          <w:sz w:val="20"/>
        </w:rPr>
        <w:t>i</w:t>
      </w:r>
      <w:r>
        <w:rPr>
          <w:rFonts w:ascii="Trebuchet MS"/>
          <w:spacing w:val="-3"/>
          <w:w w:val="105"/>
          <w:sz w:val="20"/>
        </w:rPr>
        <w:t>a</w:t>
      </w:r>
      <w:r>
        <w:rPr>
          <w:rFonts w:ascii="Trebuchet MS"/>
          <w:w w:val="96"/>
          <w:sz w:val="20"/>
        </w:rPr>
        <w:t>l</w:t>
      </w:r>
      <w:r>
        <w:rPr>
          <w:rFonts w:ascii="Trebuchet MS"/>
          <w:spacing w:val="-14"/>
          <w:sz w:val="20"/>
        </w:rPr>
        <w:t> </w:t>
      </w:r>
      <w:r>
        <w:rPr>
          <w:rFonts w:ascii="Trebuchet MS"/>
          <w:spacing w:val="-2"/>
          <w:w w:val="64"/>
          <w:sz w:val="20"/>
        </w:rPr>
        <w:t>j</w:t>
      </w:r>
      <w:r>
        <w:rPr>
          <w:rFonts w:ascii="Trebuchet MS"/>
          <w:spacing w:val="-2"/>
          <w:w w:val="109"/>
          <w:sz w:val="20"/>
        </w:rPr>
        <w:t>u</w:t>
      </w:r>
      <w:r>
        <w:rPr>
          <w:rFonts w:ascii="Trebuchet MS"/>
          <w:spacing w:val="-2"/>
          <w:w w:val="112"/>
          <w:sz w:val="20"/>
        </w:rPr>
        <w:t>d</w:t>
      </w:r>
      <w:r>
        <w:rPr>
          <w:rFonts w:ascii="Trebuchet MS"/>
          <w:spacing w:val="-1"/>
          <w:w w:val="124"/>
          <w:sz w:val="20"/>
        </w:rPr>
        <w:t>g</w:t>
      </w:r>
      <w:r>
        <w:rPr>
          <w:rFonts w:ascii="Trebuchet MS"/>
          <w:w w:val="108"/>
          <w:sz w:val="20"/>
        </w:rPr>
        <w:t>e</w:t>
      </w:r>
      <w:r>
        <w:rPr>
          <w:rFonts w:ascii="Trebuchet MS"/>
          <w:spacing w:val="-14"/>
          <w:sz w:val="20"/>
        </w:rPr>
        <w:t> </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112"/>
          <w:sz w:val="20"/>
        </w:rPr>
        <w:t>d</w:t>
      </w:r>
      <w:r>
        <w:rPr>
          <w:rFonts w:ascii="Trebuchet MS"/>
          <w:spacing w:val="-7"/>
          <w:w w:val="105"/>
          <w:sz w:val="20"/>
        </w:rPr>
        <w:t>a</w:t>
      </w:r>
      <w:r>
        <w:rPr>
          <w:rFonts w:ascii="Trebuchet MS"/>
          <w:w w:val="110"/>
          <w:sz w:val="20"/>
        </w:rPr>
        <w:t>y</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1"/>
          <w:w w:val="108"/>
          <w:sz w:val="20"/>
        </w:rPr>
        <w:t>e</w:t>
      </w:r>
      <w:r>
        <w:rPr>
          <w:rFonts w:ascii="Trebuchet MS"/>
          <w:spacing w:val="-2"/>
          <w:w w:val="111"/>
          <w:sz w:val="20"/>
        </w:rPr>
        <w:t>m</w:t>
      </w:r>
      <w:r>
        <w:rPr>
          <w:rFonts w:ascii="Trebuchet MS"/>
          <w:spacing w:val="-1"/>
          <w:w w:val="111"/>
          <w:sz w:val="20"/>
        </w:rPr>
        <w:t>p</w:t>
      </w:r>
      <w:r>
        <w:rPr>
          <w:rFonts w:ascii="Trebuchet MS"/>
          <w:spacing w:val="-2"/>
          <w:w w:val="105"/>
          <w:sz w:val="20"/>
        </w:rPr>
        <w:t>a</w:t>
      </w:r>
      <w:r>
        <w:rPr>
          <w:rFonts w:ascii="Trebuchet MS"/>
          <w:spacing w:val="-1"/>
          <w:w w:val="107"/>
          <w:sz w:val="20"/>
        </w:rPr>
        <w:t>n</w:t>
      </w:r>
      <w:r>
        <w:rPr>
          <w:rFonts w:ascii="Trebuchet MS"/>
          <w:spacing w:val="-1"/>
          <w:w w:val="108"/>
          <w:sz w:val="20"/>
        </w:rPr>
        <w:t>e</w:t>
      </w:r>
      <w:r>
        <w:rPr>
          <w:rFonts w:ascii="Trebuchet MS"/>
          <w:w w:val="96"/>
          <w:sz w:val="20"/>
        </w:rPr>
        <w:t>l</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spacing w:val="1"/>
          <w:w w:val="88"/>
          <w:sz w:val="20"/>
        </w:rPr>
        <w:t>t</w:t>
      </w:r>
      <w:r>
        <w:rPr>
          <w:rFonts w:ascii="Trebuchet MS"/>
          <w:w w:val="55"/>
          <w:sz w:val="20"/>
        </w:rPr>
        <w:t>.</w:t>
      </w:r>
    </w:p>
    <w:p>
      <w:pPr>
        <w:pStyle w:val="ListParagraph"/>
        <w:numPr>
          <w:ilvl w:val="0"/>
          <w:numId w:val="94"/>
        </w:numPr>
        <w:tabs>
          <w:tab w:pos="1761" w:val="left" w:leader="none"/>
          <w:tab w:pos="1762" w:val="left" w:leader="none"/>
        </w:tabs>
        <w:spacing w:line="247" w:lineRule="auto" w:before="87" w:after="0"/>
        <w:ind w:left="1761" w:right="1597" w:hanging="567"/>
        <w:jc w:val="left"/>
        <w:rPr>
          <w:rFonts w:ascii="Trebuchet MS"/>
          <w:sz w:val="20"/>
        </w:rPr>
      </w:pPr>
      <w:r>
        <w:rPr>
          <w:rFonts w:ascii="Trebuchet MS"/>
          <w:w w:val="105"/>
          <w:sz w:val="20"/>
        </w:rPr>
        <w:t>The County and Supreme Courts should </w:t>
      </w:r>
      <w:r>
        <w:rPr>
          <w:rFonts w:ascii="Trebuchet MS"/>
          <w:spacing w:val="-3"/>
          <w:w w:val="105"/>
          <w:sz w:val="20"/>
        </w:rPr>
        <w:t>develop </w:t>
      </w:r>
      <w:r>
        <w:rPr>
          <w:rFonts w:ascii="Trebuchet MS"/>
          <w:w w:val="105"/>
          <w:sz w:val="20"/>
        </w:rPr>
        <w:t>guidance and suggested standard directions to use at the time of empanelment, after the jury has been </w:t>
      </w:r>
      <w:r>
        <w:rPr>
          <w:rFonts w:ascii="Trebuchet MS"/>
          <w:spacing w:val="-1"/>
          <w:w w:val="122"/>
          <w:sz w:val="20"/>
        </w:rPr>
        <w:t>s</w:t>
      </w:r>
      <w:r>
        <w:rPr>
          <w:rFonts w:ascii="Trebuchet MS"/>
          <w:spacing w:val="-1"/>
          <w:w w:val="108"/>
          <w:sz w:val="20"/>
        </w:rPr>
        <w:t>e</w:t>
      </w:r>
      <w:r>
        <w:rPr>
          <w:rFonts w:ascii="Trebuchet MS"/>
          <w:spacing w:val="-3"/>
          <w:w w:val="96"/>
          <w:sz w:val="20"/>
        </w:rPr>
        <w:t>l</w:t>
      </w:r>
      <w:r>
        <w:rPr>
          <w:rFonts w:ascii="Trebuchet MS"/>
          <w:w w:val="108"/>
          <w:sz w:val="20"/>
        </w:rPr>
        <w:t>e</w:t>
      </w:r>
      <w:r>
        <w:rPr>
          <w:rFonts w:ascii="Trebuchet MS"/>
          <w:spacing w:val="-2"/>
          <w:w w:val="111"/>
          <w:sz w:val="20"/>
        </w:rPr>
        <w:t>c</w:t>
      </w:r>
      <w:r>
        <w:rPr>
          <w:rFonts w:ascii="Trebuchet MS"/>
          <w:spacing w:val="-4"/>
          <w:w w:val="88"/>
          <w:sz w:val="20"/>
        </w:rPr>
        <w:t>t</w:t>
      </w:r>
      <w:r>
        <w:rPr>
          <w:rFonts w:ascii="Trebuchet MS"/>
          <w:w w:val="108"/>
          <w:sz w:val="20"/>
        </w:rPr>
        <w:t>e</w:t>
      </w:r>
      <w:r>
        <w:rPr>
          <w:rFonts w:ascii="Trebuchet MS"/>
          <w:w w:val="112"/>
          <w:sz w:val="20"/>
        </w:rPr>
        <w:t>d</w:t>
      </w:r>
      <w:r>
        <w:rPr>
          <w:rFonts w:ascii="Trebuchet MS"/>
          <w:w w:val="57"/>
          <w:sz w:val="20"/>
        </w:rPr>
        <w:t>,</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4"/>
          <w:w w:val="105"/>
          <w:sz w:val="20"/>
        </w:rPr>
        <w:t>a</w:t>
      </w:r>
      <w:r>
        <w:rPr>
          <w:rFonts w:ascii="Trebuchet MS"/>
          <w:w w:val="88"/>
          <w:sz w:val="20"/>
        </w:rPr>
        <w:t>t</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2"/>
          <w:w w:val="111"/>
          <w:sz w:val="20"/>
        </w:rPr>
        <w:t>m</w:t>
      </w:r>
      <w:r>
        <w:rPr>
          <w:rFonts w:ascii="Trebuchet MS"/>
          <w:spacing w:val="-1"/>
          <w:w w:val="111"/>
          <w:sz w:val="20"/>
        </w:rPr>
        <w:t>m</w:t>
      </w:r>
      <w:r>
        <w:rPr>
          <w:rFonts w:ascii="Trebuchet MS"/>
          <w:spacing w:val="-1"/>
          <w:w w:val="108"/>
          <w:sz w:val="20"/>
        </w:rPr>
        <w:t>e</w:t>
      </w:r>
      <w:r>
        <w:rPr>
          <w:rFonts w:ascii="Trebuchet MS"/>
          <w:spacing w:val="-1"/>
          <w:w w:val="107"/>
          <w:sz w:val="20"/>
        </w:rPr>
        <w:t>n</w:t>
      </w:r>
      <w:r>
        <w:rPr>
          <w:rFonts w:ascii="Trebuchet MS"/>
          <w:spacing w:val="-3"/>
          <w:w w:val="111"/>
          <w:sz w:val="20"/>
        </w:rPr>
        <w:t>c</w:t>
      </w:r>
      <w:r>
        <w:rPr>
          <w:rFonts w:ascii="Trebuchet MS"/>
          <w:spacing w:val="-1"/>
          <w:w w:val="108"/>
          <w:sz w:val="20"/>
        </w:rPr>
        <w:t>e</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w w:val="88"/>
          <w:sz w:val="20"/>
        </w:rPr>
        <w:t>t</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5"/>
          <w:w w:val="92"/>
          <w:sz w:val="20"/>
        </w:rPr>
        <w:t>f</w:t>
      </w:r>
      <w:r>
        <w:rPr>
          <w:rFonts w:ascii="Trebuchet MS"/>
          <w:spacing w:val="-1"/>
          <w:w w:val="111"/>
          <w:sz w:val="20"/>
        </w:rPr>
        <w:t>o</w:t>
      </w:r>
      <w:r>
        <w:rPr>
          <w:rFonts w:ascii="Trebuchet MS"/>
          <w:spacing w:val="-2"/>
          <w:w w:val="93"/>
          <w:sz w:val="20"/>
        </w:rPr>
        <w:t>r</w:t>
      </w:r>
      <w:r>
        <w:rPr>
          <w:rFonts w:ascii="Trebuchet MS"/>
          <w:spacing w:val="-1"/>
          <w:w w:val="111"/>
          <w:sz w:val="20"/>
        </w:rPr>
        <w:t>m</w:t>
      </w:r>
      <w:r>
        <w:rPr>
          <w:rFonts w:ascii="Trebuchet MS"/>
          <w:spacing w:val="-3"/>
          <w:w w:val="105"/>
          <w:sz w:val="20"/>
        </w:rPr>
        <w:t>a</w:t>
      </w:r>
      <w:r>
        <w:rPr>
          <w:rFonts w:ascii="Trebuchet MS"/>
          <w:w w:val="96"/>
          <w:sz w:val="20"/>
        </w:rPr>
        <w:t>l</w:t>
      </w:r>
      <w:r>
        <w:rPr>
          <w:rFonts w:ascii="Trebuchet MS"/>
          <w:spacing w:val="-14"/>
          <w:sz w:val="20"/>
        </w:rPr>
        <w:t> </w:t>
      </w:r>
      <w:r>
        <w:rPr>
          <w:rFonts w:ascii="Trebuchet MS"/>
          <w:spacing w:val="-2"/>
          <w:w w:val="112"/>
          <w:sz w:val="20"/>
        </w:rPr>
        <w:t>d</w:t>
      </w:r>
      <w:r>
        <w:rPr>
          <w:rFonts w:ascii="Trebuchet MS"/>
          <w:spacing w:val="-1"/>
          <w:w w:val="108"/>
          <w:sz w:val="20"/>
        </w:rPr>
        <w:t>e</w:t>
      </w:r>
      <w:r>
        <w:rPr>
          <w:rFonts w:ascii="Trebuchet MS"/>
          <w:w w:val="96"/>
          <w:sz w:val="20"/>
        </w:rPr>
        <w:t>l</w:t>
      </w:r>
      <w:r>
        <w:rPr>
          <w:rFonts w:ascii="Trebuchet MS"/>
          <w:spacing w:val="-2"/>
          <w:w w:val="80"/>
          <w:sz w:val="20"/>
        </w:rPr>
        <w:t>i</w:t>
      </w:r>
      <w:r>
        <w:rPr>
          <w:rFonts w:ascii="Trebuchet MS"/>
          <w:spacing w:val="-1"/>
          <w:w w:val="111"/>
          <w:sz w:val="20"/>
        </w:rPr>
        <w:t>b</w:t>
      </w:r>
      <w:r>
        <w:rPr>
          <w:rFonts w:ascii="Trebuchet MS"/>
          <w:spacing w:val="-1"/>
          <w:w w:val="108"/>
          <w:sz w:val="20"/>
        </w:rPr>
        <w:t>e</w:t>
      </w:r>
      <w:r>
        <w:rPr>
          <w:rFonts w:ascii="Trebuchet MS"/>
          <w:spacing w:val="-2"/>
          <w:w w:val="93"/>
          <w:sz w:val="20"/>
        </w:rPr>
        <w:t>r</w:t>
      </w:r>
      <w:r>
        <w:rPr>
          <w:rFonts w:ascii="Trebuchet MS"/>
          <w:spacing w:val="-4"/>
          <w:w w:val="105"/>
          <w:sz w:val="20"/>
        </w:rPr>
        <w:t>a</w:t>
      </w:r>
      <w:r>
        <w:rPr>
          <w:rFonts w:ascii="Trebuchet MS"/>
          <w:spacing w:val="-2"/>
          <w:w w:val="88"/>
          <w:sz w:val="20"/>
        </w:rPr>
        <w:t>t</w:t>
      </w:r>
      <w:r>
        <w:rPr>
          <w:rFonts w:ascii="Trebuchet MS"/>
          <w:spacing w:val="-1"/>
          <w:w w:val="80"/>
          <w:sz w:val="20"/>
        </w:rPr>
        <w:t>i</w:t>
      </w:r>
      <w:r>
        <w:rPr>
          <w:rFonts w:ascii="Trebuchet MS"/>
          <w:spacing w:val="-1"/>
          <w:w w:val="111"/>
          <w:sz w:val="20"/>
        </w:rPr>
        <w:t>o</w:t>
      </w:r>
      <w:r>
        <w:rPr>
          <w:rFonts w:ascii="Trebuchet MS"/>
          <w:spacing w:val="-2"/>
          <w:w w:val="107"/>
          <w:sz w:val="20"/>
        </w:rPr>
        <w:t>n</w:t>
      </w:r>
      <w:r>
        <w:rPr>
          <w:rFonts w:ascii="Trebuchet MS"/>
          <w:spacing w:val="1"/>
          <w:w w:val="122"/>
          <w:sz w:val="20"/>
        </w:rPr>
        <w:t>s</w:t>
      </w:r>
      <w:r>
        <w:rPr>
          <w:rFonts w:ascii="Trebuchet MS"/>
          <w:w w:val="57"/>
          <w:sz w:val="20"/>
        </w:rPr>
        <w:t>,</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5"/>
          <w:w w:val="108"/>
          <w:sz w:val="20"/>
        </w:rPr>
        <w:t>e</w:t>
      </w:r>
      <w:r>
        <w:rPr>
          <w:rFonts w:ascii="Trebuchet MS"/>
          <w:spacing w:val="-2"/>
          <w:w w:val="102"/>
          <w:sz w:val="20"/>
        </w:rPr>
        <w:t>x</w:t>
      </w:r>
      <w:r>
        <w:rPr>
          <w:rFonts w:ascii="Trebuchet MS"/>
          <w:spacing w:val="-2"/>
          <w:w w:val="111"/>
          <w:sz w:val="20"/>
        </w:rPr>
        <w:t>p</w:t>
      </w:r>
      <w:r>
        <w:rPr>
          <w:rFonts w:ascii="Trebuchet MS"/>
          <w:spacing w:val="1"/>
          <w:w w:val="96"/>
          <w:sz w:val="20"/>
        </w:rPr>
        <w:t>l</w:t>
      </w:r>
      <w:r>
        <w:rPr>
          <w:rFonts w:ascii="Trebuchet MS"/>
          <w:spacing w:val="-2"/>
          <w:w w:val="105"/>
          <w:sz w:val="20"/>
        </w:rPr>
        <w:t>a</w:t>
      </w:r>
      <w:r>
        <w:rPr>
          <w:rFonts w:ascii="Trebuchet MS"/>
          <w:spacing w:val="-2"/>
          <w:w w:val="80"/>
          <w:sz w:val="20"/>
        </w:rPr>
        <w:t>i</w:t>
      </w:r>
      <w:r>
        <w:rPr>
          <w:rFonts w:ascii="Trebuchet MS"/>
          <w:w w:val="107"/>
          <w:sz w:val="20"/>
        </w:rPr>
        <w:t>n</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1"/>
          <w:w w:val="107"/>
          <w:sz w:val="20"/>
        </w:rPr>
        <w:t>n</w:t>
      </w:r>
      <w:r>
        <w:rPr>
          <w:rFonts w:ascii="Trebuchet MS"/>
          <w:spacing w:val="-4"/>
          <w:w w:val="105"/>
          <w:sz w:val="20"/>
        </w:rPr>
        <w:t>a</w:t>
      </w:r>
      <w:r>
        <w:rPr>
          <w:rFonts w:ascii="Trebuchet MS"/>
          <w:spacing w:val="-4"/>
          <w:w w:val="88"/>
          <w:sz w:val="20"/>
        </w:rPr>
        <w:t>t</w:t>
      </w:r>
      <w:r>
        <w:rPr>
          <w:rFonts w:ascii="Trebuchet MS"/>
          <w:spacing w:val="-1"/>
          <w:w w:val="109"/>
          <w:sz w:val="20"/>
        </w:rPr>
        <w:t>u</w:t>
      </w:r>
      <w:r>
        <w:rPr>
          <w:rFonts w:ascii="Trebuchet MS"/>
          <w:spacing w:val="-4"/>
          <w:w w:val="93"/>
          <w:sz w:val="20"/>
        </w:rPr>
        <w:t>r</w:t>
      </w:r>
      <w:r>
        <w:rPr>
          <w:rFonts w:ascii="Trebuchet MS"/>
          <w:w w:val="108"/>
          <w:sz w:val="20"/>
        </w:rPr>
        <w:t>e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2"/>
          <w:w w:val="105"/>
          <w:sz w:val="20"/>
        </w:rPr>
        <w:t>a</w:t>
      </w:r>
      <w:r>
        <w:rPr>
          <w:rFonts w:ascii="Trebuchet MS"/>
          <w:spacing w:val="-6"/>
          <w:w w:val="107"/>
          <w:sz w:val="20"/>
        </w:rPr>
        <w:t>n</w:t>
      </w:r>
      <w:r>
        <w:rPr>
          <w:rFonts w:ascii="Trebuchet MS"/>
          <w:w w:val="110"/>
          <w:sz w:val="20"/>
        </w:rPr>
        <w:t>y</w:t>
      </w:r>
      <w:r>
        <w:rPr>
          <w:rFonts w:ascii="Trebuchet MS"/>
          <w:spacing w:val="-14"/>
          <w:sz w:val="20"/>
        </w:rPr>
        <w:t> </w:t>
      </w:r>
      <w:r>
        <w:rPr>
          <w:rFonts w:ascii="Trebuchet MS"/>
          <w:spacing w:val="-2"/>
          <w:w w:val="105"/>
          <w:sz w:val="20"/>
        </w:rPr>
        <w:t>a</w:t>
      </w:r>
      <w:r>
        <w:rPr>
          <w:rFonts w:ascii="Trebuchet MS"/>
          <w:spacing w:val="-2"/>
          <w:w w:val="112"/>
          <w:sz w:val="20"/>
        </w:rPr>
        <w:t>d</w:t>
      </w:r>
      <w:r>
        <w:rPr>
          <w:rFonts w:ascii="Trebuchet MS"/>
          <w:spacing w:val="-2"/>
          <w:w w:val="64"/>
          <w:sz w:val="20"/>
        </w:rPr>
        <w:t>j</w:t>
      </w:r>
      <w:r>
        <w:rPr>
          <w:rFonts w:ascii="Trebuchet MS"/>
          <w:spacing w:val="-1"/>
          <w:w w:val="109"/>
          <w:sz w:val="20"/>
        </w:rPr>
        <w:t>u</w:t>
      </w:r>
      <w:r>
        <w:rPr>
          <w:rFonts w:ascii="Trebuchet MS"/>
          <w:spacing w:val="-1"/>
          <w:w w:val="122"/>
          <w:sz w:val="20"/>
        </w:rPr>
        <w:t>s</w:t>
      </w:r>
      <w:r>
        <w:rPr>
          <w:rFonts w:ascii="Trebuchet MS"/>
          <w:spacing w:val="-2"/>
          <w:w w:val="88"/>
          <w:sz w:val="20"/>
        </w:rPr>
        <w:t>t</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spacing w:val="2"/>
          <w:w w:val="88"/>
          <w:sz w:val="20"/>
        </w:rPr>
        <w:t>t</w:t>
      </w:r>
      <w:r>
        <w:rPr>
          <w:rFonts w:ascii="Trebuchet MS"/>
          <w:w w:val="122"/>
          <w:sz w:val="20"/>
        </w:rPr>
        <w:t>s</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spacing w:val="-4"/>
          <w:w w:val="105"/>
          <w:sz w:val="20"/>
        </w:rPr>
        <w:t>a</w:t>
      </w:r>
      <w:r>
        <w:rPr>
          <w:rFonts w:ascii="Trebuchet MS"/>
          <w:w w:val="88"/>
          <w:sz w:val="20"/>
        </w:rPr>
        <w:t>t</w:t>
      </w:r>
      <w:r>
        <w:rPr>
          <w:rFonts w:ascii="Trebuchet MS"/>
          <w:spacing w:val="-14"/>
          <w:sz w:val="20"/>
        </w:rPr>
        <w:t> </w:t>
      </w:r>
      <w:r>
        <w:rPr>
          <w:rFonts w:ascii="Trebuchet MS"/>
          <w:spacing w:val="-1"/>
          <w:w w:val="107"/>
          <w:sz w:val="20"/>
        </w:rPr>
        <w:t>h</w:t>
      </w:r>
      <w:r>
        <w:rPr>
          <w:rFonts w:ascii="Trebuchet MS"/>
          <w:spacing w:val="-6"/>
          <w:w w:val="105"/>
          <w:sz w:val="20"/>
        </w:rPr>
        <w:t>a</w:t>
      </w:r>
      <w:r>
        <w:rPr>
          <w:rFonts w:ascii="Trebuchet MS"/>
          <w:spacing w:val="-6"/>
          <w:w w:val="109"/>
          <w:sz w:val="20"/>
        </w:rPr>
        <w:t>v</w:t>
      </w:r>
      <w:r>
        <w:rPr>
          <w:rFonts w:ascii="Trebuchet MS"/>
          <w:w w:val="108"/>
          <w:sz w:val="20"/>
        </w:rPr>
        <w:t>e</w:t>
      </w:r>
      <w:r>
        <w:rPr>
          <w:rFonts w:ascii="Trebuchet MS"/>
          <w:spacing w:val="-14"/>
          <w:sz w:val="20"/>
        </w:rPr>
        <w:t> </w:t>
      </w:r>
      <w:r>
        <w:rPr>
          <w:rFonts w:ascii="Trebuchet MS"/>
          <w:spacing w:val="-1"/>
          <w:w w:val="111"/>
          <w:sz w:val="20"/>
        </w:rPr>
        <w:t>b</w:t>
      </w:r>
      <w:r>
        <w:rPr>
          <w:rFonts w:ascii="Trebuchet MS"/>
          <w:w w:val="108"/>
          <w:sz w:val="20"/>
        </w:rPr>
        <w:t>e</w:t>
      </w:r>
      <w:r>
        <w:rPr>
          <w:rFonts w:ascii="Trebuchet MS"/>
          <w:spacing w:val="-1"/>
          <w:w w:val="108"/>
          <w:sz w:val="20"/>
        </w:rPr>
        <w:t>e</w:t>
      </w:r>
      <w:r>
        <w:rPr>
          <w:rFonts w:ascii="Trebuchet MS"/>
          <w:w w:val="107"/>
          <w:sz w:val="20"/>
        </w:rPr>
        <w:t>n</w:t>
      </w:r>
      <w:r>
        <w:rPr>
          <w:rFonts w:ascii="Trebuchet MS"/>
          <w:spacing w:val="-14"/>
          <w:sz w:val="20"/>
        </w:rPr>
        <w:t> </w:t>
      </w:r>
      <w:r>
        <w:rPr>
          <w:rFonts w:ascii="Trebuchet MS"/>
          <w:spacing w:val="-1"/>
          <w:w w:val="111"/>
          <w:sz w:val="20"/>
        </w:rPr>
        <w:t>m</w:t>
      </w:r>
      <w:r>
        <w:rPr>
          <w:rFonts w:ascii="Trebuchet MS"/>
          <w:spacing w:val="-2"/>
          <w:w w:val="105"/>
          <w:sz w:val="20"/>
        </w:rPr>
        <w:t>a</w:t>
      </w:r>
      <w:r>
        <w:rPr>
          <w:rFonts w:ascii="Trebuchet MS"/>
          <w:spacing w:val="-2"/>
          <w:w w:val="112"/>
          <w:sz w:val="20"/>
        </w:rPr>
        <w:t>d</w:t>
      </w:r>
      <w:r>
        <w:rPr>
          <w:rFonts w:ascii="Trebuchet MS"/>
          <w:w w:val="108"/>
          <w:sz w:val="20"/>
        </w:rPr>
        <w:t>e</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1"/>
          <w:w w:val="107"/>
          <w:sz w:val="20"/>
        </w:rPr>
        <w:t>h</w:t>
      </w:r>
      <w:r>
        <w:rPr>
          <w:rFonts w:ascii="Trebuchet MS"/>
          <w:spacing w:val="-6"/>
          <w:w w:val="111"/>
          <w:sz w:val="20"/>
        </w:rPr>
        <w:t>o</w:t>
      </w:r>
      <w:r>
        <w:rPr>
          <w:rFonts w:ascii="Trebuchet MS"/>
          <w:w w:val="110"/>
          <w:sz w:val="20"/>
        </w:rPr>
        <w:t>w</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spacing w:val="-5"/>
          <w:w w:val="108"/>
          <w:sz w:val="20"/>
        </w:rPr>
        <w:t>e</w:t>
      </w:r>
      <w:r>
        <w:rPr>
          <w:rFonts w:ascii="Trebuchet MS"/>
          <w:w w:val="110"/>
          <w:sz w:val="20"/>
        </w:rPr>
        <w:t>y</w:t>
      </w:r>
      <w:r>
        <w:rPr>
          <w:rFonts w:ascii="Trebuchet MS"/>
          <w:spacing w:val="-14"/>
          <w:sz w:val="20"/>
        </w:rPr>
        <w:t> </w:t>
      </w:r>
      <w:r>
        <w:rPr>
          <w:rFonts w:ascii="Trebuchet MS"/>
          <w:spacing w:val="-2"/>
          <w:w w:val="110"/>
          <w:sz w:val="20"/>
        </w:rPr>
        <w:t>w</w:t>
      </w:r>
      <w:r>
        <w:rPr>
          <w:rFonts w:ascii="Trebuchet MS"/>
          <w:spacing w:val="-2"/>
          <w:w w:val="80"/>
          <w:sz w:val="20"/>
        </w:rPr>
        <w:t>i</w:t>
      </w:r>
      <w:r>
        <w:rPr>
          <w:rFonts w:ascii="Trebuchet MS"/>
          <w:spacing w:val="-2"/>
          <w:w w:val="96"/>
          <w:sz w:val="20"/>
        </w:rPr>
        <w:t>l</w:t>
      </w:r>
      <w:r>
        <w:rPr>
          <w:rFonts w:ascii="Trebuchet MS"/>
          <w:w w:val="96"/>
          <w:sz w:val="20"/>
        </w:rPr>
        <w:t>l</w:t>
      </w:r>
      <w:r>
        <w:rPr>
          <w:rFonts w:ascii="Trebuchet MS"/>
          <w:spacing w:val="-14"/>
          <w:sz w:val="20"/>
        </w:rPr>
        <w:t> </w:t>
      </w:r>
      <w:r>
        <w:rPr>
          <w:rFonts w:ascii="Trebuchet MS"/>
          <w:spacing w:val="-6"/>
          <w:w w:val="110"/>
          <w:sz w:val="20"/>
        </w:rPr>
        <w:t>w</w:t>
      </w:r>
      <w:r>
        <w:rPr>
          <w:rFonts w:ascii="Trebuchet MS"/>
          <w:spacing w:val="-1"/>
          <w:w w:val="111"/>
          <w:sz w:val="20"/>
        </w:rPr>
        <w:t>o</w:t>
      </w:r>
      <w:r>
        <w:rPr>
          <w:rFonts w:ascii="Trebuchet MS"/>
          <w:spacing w:val="-2"/>
          <w:w w:val="93"/>
          <w:sz w:val="20"/>
        </w:rPr>
        <w:t>r</w:t>
      </w:r>
      <w:r>
        <w:rPr>
          <w:rFonts w:ascii="Trebuchet MS"/>
          <w:spacing w:val="1"/>
          <w:w w:val="106"/>
          <w:sz w:val="20"/>
        </w:rPr>
        <w:t>k</w:t>
      </w:r>
      <w:r>
        <w:rPr>
          <w:rFonts w:ascii="Trebuchet MS"/>
          <w:w w:val="55"/>
          <w:sz w:val="20"/>
        </w:rPr>
        <w:t>.</w:t>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4"/>
        <w:rPr>
          <w:rFonts w:ascii="Trebuchet MS"/>
          <w:sz w:val="23"/>
        </w:rPr>
      </w:pPr>
    </w:p>
    <w:p>
      <w:pPr>
        <w:spacing w:before="48"/>
        <w:ind w:left="100" w:right="0" w:firstLine="0"/>
        <w:jc w:val="left"/>
        <w:rPr>
          <w:b/>
          <w:sz w:val="24"/>
        </w:rPr>
      </w:pPr>
      <w:r>
        <w:rPr>
          <w:b/>
          <w:color w:val="37617A"/>
          <w:sz w:val="24"/>
        </w:rPr>
        <w:t>140</w:t>
      </w:r>
    </w:p>
    <w:p>
      <w:pPr>
        <w:spacing w:after="0"/>
        <w:jc w:val="left"/>
        <w:rPr>
          <w:sz w:val="24"/>
        </w:rPr>
        <w:sectPr>
          <w:pgSz w:w="11910" w:h="16840"/>
          <w:pgMar w:header="567" w:footer="0" w:top="860" w:bottom="280" w:left="620" w:right="380"/>
        </w:sectPr>
      </w:pPr>
    </w:p>
    <w:p>
      <w:pPr>
        <w:pStyle w:val="BodyText"/>
        <w:rPr>
          <w:b/>
          <w:sz w:val="11"/>
        </w:rPr>
      </w:pPr>
      <w:r>
        <w:rPr/>
        <w:pict>
          <v:rect style="position:absolute;margin-left:0pt;margin-top:0pt;width:595.276001pt;height:841.890015pt;mso-position-horizontal-relative:page;mso-position-vertical-relative:page;z-index:-350560" filled="true" fillcolor="#37617a" stroked="false">
            <v:fill type="solid"/>
            <w10:wrap type="none"/>
          </v:rect>
        </w:pict>
      </w:r>
    </w:p>
    <w:p>
      <w:pPr>
        <w:spacing w:line="688" w:lineRule="exact" w:before="0"/>
        <w:ind w:left="0" w:right="745" w:firstLine="0"/>
        <w:jc w:val="right"/>
        <w:rPr>
          <w:rFonts w:ascii="Raleway SemiBold"/>
          <w:b/>
          <w:sz w:val="50"/>
        </w:rPr>
      </w:pPr>
      <w:r>
        <w:rPr/>
        <w:pict>
          <v:shape style="position:absolute;margin-left:418.812897pt;margin-top:-3.3143pt;width:119.35pt;height:152.65pt;mso-position-horizontal-relative:page;mso-position-vertical-relative:paragraph;z-index:-350536" type="#_x0000_t202" filled="false" stroked="false">
            <v:textbox inset="0,0,0,0">
              <w:txbxContent>
                <w:p>
                  <w:pPr>
                    <w:spacing w:line="3052" w:lineRule="exact" w:before="0"/>
                    <w:ind w:left="0" w:right="0" w:firstLine="0"/>
                    <w:jc w:val="left"/>
                    <w:rPr>
                      <w:b/>
                      <w:sz w:val="260"/>
                    </w:rPr>
                  </w:pPr>
                  <w:r>
                    <w:rPr>
                      <w:b/>
                      <w:color w:val="FFFFFF"/>
                      <w:spacing w:val="-175"/>
                      <w:sz w:val="260"/>
                    </w:rPr>
                    <w:t>13</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5"/>
        <w:rPr>
          <w:rFonts w:ascii="Raleway SemiBold"/>
          <w:b/>
          <w:sz w:val="17"/>
        </w:rPr>
      </w:pPr>
    </w:p>
    <w:p>
      <w:pPr>
        <w:spacing w:line="180" w:lineRule="auto" w:before="166"/>
        <w:ind w:left="967" w:right="639" w:firstLine="0"/>
        <w:jc w:val="left"/>
        <w:rPr>
          <w:rFonts w:ascii="Raleway ExtraBold"/>
          <w:b/>
          <w:sz w:val="88"/>
        </w:rPr>
      </w:pPr>
      <w:r>
        <w:rPr>
          <w:rFonts w:ascii="Raleway ExtraBold"/>
          <w:b/>
          <w:color w:val="FFFFFF"/>
          <w:spacing w:val="-22"/>
          <w:sz w:val="88"/>
        </w:rPr>
        <w:t>Adjustments </w:t>
      </w:r>
      <w:r>
        <w:rPr>
          <w:rFonts w:ascii="Raleway ExtraBold"/>
          <w:b/>
          <w:color w:val="FFFFFF"/>
          <w:spacing w:val="-16"/>
          <w:sz w:val="88"/>
        </w:rPr>
        <w:t>to </w:t>
      </w:r>
      <w:r>
        <w:rPr>
          <w:rFonts w:ascii="Raleway ExtraBold"/>
          <w:b/>
          <w:color w:val="FFFFFF"/>
          <w:spacing w:val="-19"/>
          <w:sz w:val="88"/>
        </w:rPr>
        <w:t>enable </w:t>
      </w:r>
      <w:r>
        <w:rPr>
          <w:rFonts w:ascii="Raleway ExtraBold"/>
          <w:b/>
          <w:color w:val="FFFFFF"/>
          <w:spacing w:val="-12"/>
          <w:sz w:val="88"/>
        </w:rPr>
        <w:t>jury </w:t>
      </w:r>
      <w:r>
        <w:rPr>
          <w:rFonts w:ascii="Raleway ExtraBold"/>
          <w:b/>
          <w:color w:val="FFFFFF"/>
          <w:spacing w:val="-19"/>
          <w:sz w:val="88"/>
        </w:rPr>
        <w:t>service</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7"/>
        <w:rPr>
          <w:rFonts w:ascii="Raleway ExtraBold"/>
          <w:b/>
          <w:sz w:val="14"/>
        </w:rPr>
      </w:pPr>
    </w:p>
    <w:tbl>
      <w:tblPr>
        <w:tblW w:w="0" w:type="auto"/>
        <w:jc w:val="left"/>
        <w:tblInd w:w="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8125"/>
      </w:tblGrid>
      <w:tr>
        <w:trPr>
          <w:trHeight w:val="336" w:hRule="atLeast"/>
        </w:trPr>
        <w:tc>
          <w:tcPr>
            <w:tcW w:w="510" w:type="dxa"/>
            <w:tcBorders>
              <w:bottom w:val="single" w:sz="18" w:space="0" w:color="8F9DAD"/>
            </w:tcBorders>
            <w:shd w:val="clear" w:color="auto" w:fill="37617A"/>
          </w:tcPr>
          <w:p>
            <w:pPr>
              <w:pStyle w:val="TableParagraph"/>
              <w:spacing w:line="282" w:lineRule="exact" w:before="0"/>
              <w:ind w:left="0"/>
              <w:rPr>
                <w:b/>
                <w:sz w:val="24"/>
              </w:rPr>
            </w:pPr>
            <w:hyperlink w:history="true" w:anchor="_bookmark100">
              <w:r>
                <w:rPr>
                  <w:b/>
                  <w:color w:val="FFFFFF"/>
                  <w:sz w:val="24"/>
                </w:rPr>
                <w:t>142</w:t>
              </w:r>
            </w:hyperlink>
          </w:p>
        </w:tc>
        <w:tc>
          <w:tcPr>
            <w:tcW w:w="8125" w:type="dxa"/>
            <w:shd w:val="clear" w:color="auto" w:fill="37617A"/>
          </w:tcPr>
          <w:p>
            <w:pPr>
              <w:pStyle w:val="TableParagraph"/>
              <w:spacing w:line="282" w:lineRule="exact" w:before="0"/>
              <w:ind w:left="56"/>
              <w:rPr>
                <w:b/>
                <w:sz w:val="24"/>
              </w:rPr>
            </w:pPr>
            <w:hyperlink w:history="true" w:anchor="_bookmark100">
              <w:r>
                <w:rPr>
                  <w:b/>
                  <w:color w:val="FFFFFF"/>
                  <w:sz w:val="24"/>
                </w:rPr>
                <w:t>Overview</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00">
              <w:r>
                <w:rPr>
                  <w:b/>
                  <w:color w:val="FFFFFF"/>
                  <w:sz w:val="24"/>
                </w:rPr>
                <w:t>142</w:t>
              </w:r>
            </w:hyperlink>
          </w:p>
        </w:tc>
        <w:tc>
          <w:tcPr>
            <w:tcW w:w="8125" w:type="dxa"/>
            <w:shd w:val="clear" w:color="auto" w:fill="37617A"/>
          </w:tcPr>
          <w:p>
            <w:pPr>
              <w:pStyle w:val="TableParagraph"/>
              <w:ind w:left="56"/>
              <w:rPr>
                <w:b/>
                <w:sz w:val="24"/>
              </w:rPr>
            </w:pPr>
            <w:hyperlink w:history="true" w:anchor="_bookmark100">
              <w:r>
                <w:rPr>
                  <w:b/>
                  <w:color w:val="FFFFFF"/>
                  <w:sz w:val="24"/>
                </w:rPr>
                <w:t>What types of adjustments might people use to serve on a jury?</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01">
              <w:r>
                <w:rPr>
                  <w:b/>
                  <w:color w:val="FFFFFF"/>
                  <w:sz w:val="24"/>
                </w:rPr>
                <w:t>143</w:t>
              </w:r>
            </w:hyperlink>
          </w:p>
        </w:tc>
        <w:tc>
          <w:tcPr>
            <w:tcW w:w="8125" w:type="dxa"/>
            <w:shd w:val="clear" w:color="auto" w:fill="37617A"/>
          </w:tcPr>
          <w:p>
            <w:pPr>
              <w:pStyle w:val="TableParagraph"/>
              <w:ind w:left="56"/>
              <w:rPr>
                <w:b/>
                <w:sz w:val="24"/>
              </w:rPr>
            </w:pPr>
            <w:hyperlink w:history="true" w:anchor="_bookmark101">
              <w:r>
                <w:rPr>
                  <w:b/>
                  <w:color w:val="FFFFFF"/>
                  <w:sz w:val="24"/>
                </w:rPr>
                <w:t>Adjustments for people who are deaf or hard of hearing</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03">
              <w:r>
                <w:rPr>
                  <w:b/>
                  <w:color w:val="FFFFFF"/>
                  <w:sz w:val="24"/>
                </w:rPr>
                <w:t>145</w:t>
              </w:r>
            </w:hyperlink>
          </w:p>
        </w:tc>
        <w:tc>
          <w:tcPr>
            <w:tcW w:w="8125" w:type="dxa"/>
            <w:shd w:val="clear" w:color="auto" w:fill="37617A"/>
          </w:tcPr>
          <w:p>
            <w:pPr>
              <w:pStyle w:val="TableParagraph"/>
              <w:ind w:left="56"/>
              <w:rPr>
                <w:b/>
                <w:sz w:val="24"/>
              </w:rPr>
            </w:pPr>
            <w:hyperlink w:history="true" w:anchor="_bookmark103">
              <w:r>
                <w:rPr>
                  <w:b/>
                  <w:color w:val="FFFFFF"/>
                  <w:sz w:val="24"/>
                </w:rPr>
                <w:t>Adjustments for people who are blind or have low vision</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06">
              <w:r>
                <w:rPr>
                  <w:b/>
                  <w:color w:val="FFFFFF"/>
                  <w:sz w:val="24"/>
                </w:rPr>
                <w:t>148</w:t>
              </w:r>
            </w:hyperlink>
          </w:p>
        </w:tc>
        <w:tc>
          <w:tcPr>
            <w:tcW w:w="8125" w:type="dxa"/>
            <w:shd w:val="clear" w:color="auto" w:fill="37617A"/>
          </w:tcPr>
          <w:p>
            <w:pPr>
              <w:pStyle w:val="TableParagraph"/>
              <w:ind w:left="56"/>
              <w:rPr>
                <w:b/>
                <w:sz w:val="24"/>
              </w:rPr>
            </w:pPr>
            <w:hyperlink w:history="true" w:anchor="_bookmark106">
              <w:r>
                <w:rPr>
                  <w:b/>
                  <w:color w:val="FFFFFF"/>
                  <w:sz w:val="24"/>
                </w:rPr>
                <w:t>Possible changes to courtroom organisation and how a trial is run</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08">
              <w:r>
                <w:rPr>
                  <w:b/>
                  <w:color w:val="FFFFFF"/>
                  <w:sz w:val="24"/>
                </w:rPr>
                <w:t>150</w:t>
              </w:r>
            </w:hyperlink>
          </w:p>
        </w:tc>
        <w:tc>
          <w:tcPr>
            <w:tcW w:w="8125" w:type="dxa"/>
            <w:shd w:val="clear" w:color="auto" w:fill="37617A"/>
          </w:tcPr>
          <w:p>
            <w:pPr>
              <w:pStyle w:val="TableParagraph"/>
              <w:ind w:left="56"/>
              <w:rPr>
                <w:b/>
                <w:sz w:val="24"/>
              </w:rPr>
            </w:pPr>
            <w:hyperlink w:history="true" w:anchor="_bookmark108">
              <w:r>
                <w:rPr>
                  <w:b/>
                  <w:color w:val="FFFFFF"/>
                  <w:sz w:val="24"/>
                </w:rPr>
                <w:t>Bringing personal technology to court</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09">
              <w:r>
                <w:rPr>
                  <w:b/>
                  <w:color w:val="FFFFFF"/>
                  <w:sz w:val="24"/>
                </w:rPr>
                <w:t>151</w:t>
              </w:r>
            </w:hyperlink>
          </w:p>
        </w:tc>
        <w:tc>
          <w:tcPr>
            <w:tcW w:w="8125" w:type="dxa"/>
            <w:shd w:val="clear" w:color="auto" w:fill="37617A"/>
          </w:tcPr>
          <w:p>
            <w:pPr>
              <w:pStyle w:val="TableParagraph"/>
              <w:ind w:left="56"/>
              <w:rPr>
                <w:b/>
                <w:sz w:val="24"/>
              </w:rPr>
            </w:pPr>
            <w:hyperlink w:history="true" w:anchor="_bookmark109">
              <w:r>
                <w:rPr>
                  <w:b/>
                  <w:color w:val="FFFFFF"/>
                  <w:spacing w:val="-4"/>
                  <w:sz w:val="24"/>
                </w:rPr>
                <w:t>Talking </w:t>
              </w:r>
              <w:r>
                <w:rPr>
                  <w:b/>
                  <w:color w:val="FFFFFF"/>
                  <w:sz w:val="24"/>
                </w:rPr>
                <w:t>to people in the subject groups about reasonable adjustments</w:t>
              </w:r>
            </w:hyperlink>
          </w:p>
        </w:tc>
      </w:tr>
    </w:tbl>
    <w:p>
      <w:pPr>
        <w:spacing w:after="0"/>
        <w:rPr>
          <w:sz w:val="24"/>
        </w:rPr>
        <w:sectPr>
          <w:headerReference w:type="default" r:id="rId189"/>
          <w:headerReference w:type="even" r:id="rId190"/>
          <w:pgSz w:w="11910" w:h="16840"/>
          <w:pgMar w:header="0" w:footer="0" w:top="480" w:bottom="280" w:left="620" w:right="380"/>
        </w:sectPr>
      </w:pPr>
    </w:p>
    <w:p>
      <w:pPr>
        <w:pStyle w:val="BodyText"/>
        <w:rPr>
          <w:rFonts w:ascii="Raleway ExtraBold"/>
          <w:b/>
        </w:rPr>
      </w:pPr>
    </w:p>
    <w:p>
      <w:pPr>
        <w:pStyle w:val="BodyText"/>
        <w:rPr>
          <w:rFonts w:ascii="Raleway ExtraBold"/>
          <w:b/>
        </w:rPr>
      </w:pPr>
    </w:p>
    <w:p>
      <w:pPr>
        <w:pStyle w:val="BodyText"/>
        <w:spacing w:before="4"/>
        <w:rPr>
          <w:rFonts w:ascii="Raleway ExtraBold"/>
          <w:b/>
          <w:sz w:val="22"/>
        </w:rPr>
      </w:pPr>
    </w:p>
    <w:p>
      <w:pPr>
        <w:pStyle w:val="ListParagraph"/>
        <w:numPr>
          <w:ilvl w:val="0"/>
          <w:numId w:val="12"/>
        </w:numPr>
        <w:tabs>
          <w:tab w:pos="1102" w:val="left" w:leader="none"/>
        </w:tabs>
        <w:spacing w:line="184" w:lineRule="auto" w:before="129" w:after="0"/>
        <w:ind w:left="230" w:right="3687" w:firstLine="0"/>
        <w:jc w:val="left"/>
        <w:rPr>
          <w:rFonts w:ascii="Raleway ExtraBold"/>
          <w:b/>
          <w:sz w:val="56"/>
        </w:rPr>
      </w:pPr>
      <w:bookmarkStart w:name="13. Adjustments to enable jury service" w:id="239"/>
      <w:bookmarkEnd w:id="239"/>
      <w:r>
        <w:rPr/>
      </w:r>
      <w:bookmarkStart w:name="Overview" w:id="240"/>
      <w:bookmarkEnd w:id="240"/>
      <w:r>
        <w:rPr/>
      </w:r>
      <w:bookmarkStart w:name="What types of adjustments might people u" w:id="241"/>
      <w:bookmarkEnd w:id="241"/>
      <w:r>
        <w:rPr/>
      </w:r>
      <w:bookmarkStart w:name="_bookmark100" w:id="242"/>
      <w:bookmarkEnd w:id="242"/>
      <w:r>
        <w:rPr/>
      </w:r>
      <w:bookmarkStart w:name="_bookmark100" w:id="243"/>
      <w:bookmarkEnd w:id="243"/>
      <w:r>
        <w:rPr>
          <w:rFonts w:ascii="Raleway ExtraBold"/>
          <w:b/>
          <w:color w:val="37617A"/>
          <w:spacing w:val="-5"/>
          <w:sz w:val="56"/>
        </w:rPr>
        <w:t>A</w:t>
      </w:r>
      <w:r>
        <w:rPr>
          <w:rFonts w:ascii="Raleway ExtraBold"/>
          <w:b/>
          <w:color w:val="37617A"/>
          <w:spacing w:val="-5"/>
          <w:sz w:val="56"/>
        </w:rPr>
        <w:t>djustments to </w:t>
      </w:r>
      <w:r>
        <w:rPr>
          <w:rFonts w:ascii="Raleway ExtraBold"/>
          <w:b/>
          <w:color w:val="37617A"/>
          <w:spacing w:val="-3"/>
          <w:sz w:val="56"/>
        </w:rPr>
        <w:t>enable </w:t>
      </w:r>
      <w:r>
        <w:rPr>
          <w:rFonts w:ascii="Raleway ExtraBold"/>
          <w:b/>
          <w:color w:val="37617A"/>
          <w:sz w:val="56"/>
        </w:rPr>
        <w:t>jury </w:t>
      </w:r>
      <w:r>
        <w:rPr>
          <w:rFonts w:ascii="Raleway ExtraBold"/>
          <w:b/>
          <w:color w:val="37617A"/>
          <w:spacing w:val="-3"/>
          <w:sz w:val="56"/>
        </w:rPr>
        <w:t>service</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1"/>
        <w:rPr>
          <w:rFonts w:ascii="Raleway ExtraBold"/>
          <w:b/>
          <w:sz w:val="17"/>
        </w:rPr>
      </w:pPr>
      <w:r>
        <w:rPr/>
        <w:pict>
          <v:line style="position:absolute;mso-position-horizontal-relative:page;mso-position-vertical-relative:paragraph;z-index:7736;mso-wrap-distance-left:0;mso-wrap-distance-right:0" from="79.370102pt,14.57084pt" to="515.905102pt,14.57084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1806" w:right="2044" w:firstLine="0"/>
        <w:jc w:val="center"/>
        <w:rPr>
          <w:rFonts w:ascii="Trebuchet MS" w:hAnsi="Trebuchet MS"/>
          <w:i/>
          <w:sz w:val="11"/>
        </w:rPr>
      </w:pPr>
      <w:r>
        <w:rPr>
          <w:rFonts w:ascii="Trebuchet MS" w:hAnsi="Trebuchet MS"/>
          <w:i/>
          <w:color w:val="37617A"/>
          <w:sz w:val="20"/>
        </w:rPr>
        <w:t>The</w:t>
      </w:r>
      <w:r>
        <w:rPr>
          <w:rFonts w:ascii="Trebuchet MS" w:hAnsi="Trebuchet MS"/>
          <w:i/>
          <w:color w:val="37617A"/>
          <w:spacing w:val="-9"/>
          <w:sz w:val="20"/>
        </w:rPr>
        <w:t> </w:t>
      </w:r>
      <w:r>
        <w:rPr>
          <w:rFonts w:ascii="Trebuchet MS" w:hAnsi="Trebuchet MS"/>
          <w:i/>
          <w:color w:val="37617A"/>
          <w:sz w:val="20"/>
        </w:rPr>
        <w:t>public</w:t>
      </w:r>
      <w:r>
        <w:rPr>
          <w:rFonts w:ascii="Trebuchet MS" w:hAnsi="Trebuchet MS"/>
          <w:i/>
          <w:color w:val="37617A"/>
          <w:spacing w:val="-8"/>
          <w:sz w:val="20"/>
        </w:rPr>
        <w:t> </w:t>
      </w:r>
      <w:r>
        <w:rPr>
          <w:rFonts w:ascii="Trebuchet MS" w:hAnsi="Trebuchet MS"/>
          <w:i/>
          <w:color w:val="37617A"/>
          <w:sz w:val="20"/>
        </w:rPr>
        <w:t>will</w:t>
      </w:r>
      <w:r>
        <w:rPr>
          <w:rFonts w:ascii="Trebuchet MS" w:hAnsi="Trebuchet MS"/>
          <w:i/>
          <w:color w:val="37617A"/>
          <w:spacing w:val="-8"/>
          <w:sz w:val="20"/>
        </w:rPr>
        <w:t> </w:t>
      </w:r>
      <w:r>
        <w:rPr>
          <w:rFonts w:ascii="Trebuchet MS" w:hAnsi="Trebuchet MS"/>
          <w:i/>
          <w:color w:val="37617A"/>
          <w:sz w:val="20"/>
        </w:rPr>
        <w:t>only</w:t>
      </w:r>
      <w:r>
        <w:rPr>
          <w:rFonts w:ascii="Trebuchet MS" w:hAnsi="Trebuchet MS"/>
          <w:i/>
          <w:color w:val="37617A"/>
          <w:spacing w:val="-8"/>
          <w:sz w:val="20"/>
        </w:rPr>
        <w:t> </w:t>
      </w:r>
      <w:r>
        <w:rPr>
          <w:rFonts w:ascii="Trebuchet MS" w:hAnsi="Trebuchet MS"/>
          <w:i/>
          <w:color w:val="37617A"/>
          <w:sz w:val="20"/>
        </w:rPr>
        <w:t>know</w:t>
      </w:r>
      <w:r>
        <w:rPr>
          <w:rFonts w:ascii="Trebuchet MS" w:hAnsi="Trebuchet MS"/>
          <w:i/>
          <w:color w:val="37617A"/>
          <w:spacing w:val="-9"/>
          <w:sz w:val="20"/>
        </w:rPr>
        <w:t> </w:t>
      </w:r>
      <w:r>
        <w:rPr>
          <w:rFonts w:ascii="Trebuchet MS" w:hAnsi="Trebuchet MS"/>
          <w:i/>
          <w:color w:val="37617A"/>
          <w:sz w:val="20"/>
        </w:rPr>
        <w:t>what</w:t>
      </w:r>
      <w:r>
        <w:rPr>
          <w:rFonts w:ascii="Trebuchet MS" w:hAnsi="Trebuchet MS"/>
          <w:i/>
          <w:color w:val="37617A"/>
          <w:spacing w:val="-8"/>
          <w:sz w:val="20"/>
        </w:rPr>
        <w:t> </w:t>
      </w:r>
      <w:r>
        <w:rPr>
          <w:rFonts w:ascii="Trebuchet MS" w:hAnsi="Trebuchet MS"/>
          <w:i/>
          <w:color w:val="37617A"/>
          <w:sz w:val="20"/>
        </w:rPr>
        <w:t>blind/visually</w:t>
      </w:r>
      <w:r>
        <w:rPr>
          <w:rFonts w:ascii="Trebuchet MS" w:hAnsi="Trebuchet MS"/>
          <w:i/>
          <w:color w:val="37617A"/>
          <w:spacing w:val="-8"/>
          <w:sz w:val="20"/>
        </w:rPr>
        <w:t> </w:t>
      </w:r>
      <w:r>
        <w:rPr>
          <w:rFonts w:ascii="Trebuchet MS" w:hAnsi="Trebuchet MS"/>
          <w:i/>
          <w:color w:val="37617A"/>
          <w:sz w:val="20"/>
        </w:rPr>
        <w:t>impaired</w:t>
      </w:r>
      <w:r>
        <w:rPr>
          <w:rFonts w:ascii="Trebuchet MS" w:hAnsi="Trebuchet MS"/>
          <w:i/>
          <w:color w:val="37617A"/>
          <w:spacing w:val="-8"/>
          <w:sz w:val="20"/>
        </w:rPr>
        <w:t> </w:t>
      </w:r>
      <w:r>
        <w:rPr>
          <w:rFonts w:ascii="Trebuchet MS" w:hAnsi="Trebuchet MS"/>
          <w:i/>
          <w:color w:val="37617A"/>
          <w:sz w:val="20"/>
        </w:rPr>
        <w:t>people</w:t>
      </w:r>
      <w:r>
        <w:rPr>
          <w:rFonts w:ascii="Trebuchet MS" w:hAnsi="Trebuchet MS"/>
          <w:i/>
          <w:color w:val="37617A"/>
          <w:spacing w:val="-9"/>
          <w:sz w:val="20"/>
        </w:rPr>
        <w:t> </w:t>
      </w:r>
      <w:r>
        <w:rPr>
          <w:rFonts w:ascii="Trebuchet MS" w:hAnsi="Trebuchet MS"/>
          <w:i/>
          <w:color w:val="37617A"/>
          <w:sz w:val="20"/>
        </w:rPr>
        <w:t>are</w:t>
      </w:r>
      <w:r>
        <w:rPr>
          <w:rFonts w:ascii="Trebuchet MS" w:hAnsi="Trebuchet MS"/>
          <w:i/>
          <w:color w:val="37617A"/>
          <w:spacing w:val="-8"/>
          <w:sz w:val="20"/>
        </w:rPr>
        <w:t> </w:t>
      </w:r>
      <w:r>
        <w:rPr>
          <w:rFonts w:ascii="Trebuchet MS" w:hAnsi="Trebuchet MS"/>
          <w:i/>
          <w:color w:val="37617A"/>
          <w:sz w:val="20"/>
        </w:rPr>
        <w:t>capable</w:t>
      </w:r>
      <w:r>
        <w:rPr>
          <w:rFonts w:ascii="Trebuchet MS" w:hAnsi="Trebuchet MS"/>
          <w:i/>
          <w:color w:val="37617A"/>
          <w:spacing w:val="-8"/>
          <w:sz w:val="20"/>
        </w:rPr>
        <w:t> </w:t>
      </w:r>
      <w:r>
        <w:rPr>
          <w:rFonts w:ascii="Trebuchet MS" w:hAnsi="Trebuchet MS"/>
          <w:i/>
          <w:color w:val="37617A"/>
          <w:sz w:val="20"/>
        </w:rPr>
        <w:t>of </w:t>
      </w:r>
      <w:r>
        <w:rPr>
          <w:rFonts w:ascii="Trebuchet MS" w:hAnsi="Trebuchet MS"/>
          <w:i/>
          <w:color w:val="37617A"/>
          <w:sz w:val="20"/>
        </w:rPr>
        <w:t>when</w:t>
      </w:r>
      <w:r>
        <w:rPr>
          <w:rFonts w:ascii="Trebuchet MS" w:hAnsi="Trebuchet MS"/>
          <w:i/>
          <w:color w:val="37617A"/>
          <w:spacing w:val="-13"/>
          <w:sz w:val="20"/>
        </w:rPr>
        <w:t> </w:t>
      </w:r>
      <w:r>
        <w:rPr>
          <w:rFonts w:ascii="Trebuchet MS" w:hAnsi="Trebuchet MS"/>
          <w:i/>
          <w:color w:val="37617A"/>
          <w:sz w:val="20"/>
        </w:rPr>
        <w:t>we</w:t>
      </w:r>
      <w:r>
        <w:rPr>
          <w:rFonts w:ascii="Trebuchet MS" w:hAnsi="Trebuchet MS"/>
          <w:i/>
          <w:color w:val="37617A"/>
          <w:spacing w:val="-12"/>
          <w:sz w:val="20"/>
        </w:rPr>
        <w:t> </w:t>
      </w:r>
      <w:r>
        <w:rPr>
          <w:rFonts w:ascii="Trebuchet MS" w:hAnsi="Trebuchet MS"/>
          <w:i/>
          <w:color w:val="37617A"/>
          <w:sz w:val="20"/>
        </w:rPr>
        <w:t>show</w:t>
      </w:r>
      <w:r>
        <w:rPr>
          <w:rFonts w:ascii="Trebuchet MS" w:hAnsi="Trebuchet MS"/>
          <w:i/>
          <w:color w:val="37617A"/>
          <w:spacing w:val="-12"/>
          <w:sz w:val="20"/>
        </w:rPr>
        <w:t> </w:t>
      </w:r>
      <w:r>
        <w:rPr>
          <w:rFonts w:ascii="Trebuchet MS" w:hAnsi="Trebuchet MS"/>
          <w:i/>
          <w:color w:val="37617A"/>
          <w:sz w:val="20"/>
        </w:rPr>
        <w:t>them</w:t>
      </w:r>
      <w:r>
        <w:rPr>
          <w:rFonts w:ascii="Trebuchet MS" w:hAnsi="Trebuchet MS"/>
          <w:i/>
          <w:color w:val="37617A"/>
          <w:spacing w:val="-12"/>
          <w:sz w:val="20"/>
        </w:rPr>
        <w:t> </w:t>
      </w:r>
      <w:r>
        <w:rPr>
          <w:rFonts w:ascii="Trebuchet MS" w:hAnsi="Trebuchet MS"/>
          <w:i/>
          <w:color w:val="37617A"/>
          <w:sz w:val="20"/>
        </w:rPr>
        <w:t>what</w:t>
      </w:r>
      <w:r>
        <w:rPr>
          <w:rFonts w:ascii="Trebuchet MS" w:hAnsi="Trebuchet MS"/>
          <w:i/>
          <w:color w:val="37617A"/>
          <w:spacing w:val="-12"/>
          <w:sz w:val="20"/>
        </w:rPr>
        <w:t> </w:t>
      </w:r>
      <w:r>
        <w:rPr>
          <w:rFonts w:ascii="Trebuchet MS" w:hAnsi="Trebuchet MS"/>
          <w:i/>
          <w:color w:val="37617A"/>
          <w:sz w:val="20"/>
        </w:rPr>
        <w:t>we</w:t>
      </w:r>
      <w:r>
        <w:rPr>
          <w:rFonts w:ascii="Trebuchet MS" w:hAnsi="Trebuchet MS"/>
          <w:i/>
          <w:color w:val="37617A"/>
          <w:spacing w:val="-12"/>
          <w:sz w:val="20"/>
        </w:rPr>
        <w:t> </w:t>
      </w:r>
      <w:r>
        <w:rPr>
          <w:rFonts w:ascii="Trebuchet MS" w:hAnsi="Trebuchet MS"/>
          <w:i/>
          <w:color w:val="37617A"/>
          <w:sz w:val="20"/>
        </w:rPr>
        <w:t>can</w:t>
      </w:r>
      <w:r>
        <w:rPr>
          <w:rFonts w:ascii="Trebuchet MS" w:hAnsi="Trebuchet MS"/>
          <w:i/>
          <w:color w:val="37617A"/>
          <w:spacing w:val="-12"/>
          <w:sz w:val="20"/>
        </w:rPr>
        <w:t> </w:t>
      </w:r>
      <w:r>
        <w:rPr>
          <w:rFonts w:ascii="Trebuchet MS" w:hAnsi="Trebuchet MS"/>
          <w:i/>
          <w:color w:val="37617A"/>
          <w:sz w:val="20"/>
        </w:rPr>
        <w:t>do.</w:t>
      </w:r>
      <w:r>
        <w:rPr>
          <w:rFonts w:ascii="Trebuchet MS" w:hAnsi="Trebuchet MS"/>
          <w:i/>
          <w:color w:val="37617A"/>
          <w:spacing w:val="-12"/>
          <w:sz w:val="20"/>
        </w:rPr>
        <w:t> </w:t>
      </w:r>
      <w:r>
        <w:rPr>
          <w:rFonts w:ascii="Trebuchet MS" w:hAnsi="Trebuchet MS"/>
          <w:i/>
          <w:color w:val="37617A"/>
          <w:sz w:val="20"/>
        </w:rPr>
        <w:t>If</w:t>
      </w:r>
      <w:r>
        <w:rPr>
          <w:rFonts w:ascii="Trebuchet MS" w:hAnsi="Trebuchet MS"/>
          <w:i/>
          <w:color w:val="37617A"/>
          <w:spacing w:val="-12"/>
          <w:sz w:val="20"/>
        </w:rPr>
        <w:t> </w:t>
      </w:r>
      <w:r>
        <w:rPr>
          <w:rFonts w:ascii="Trebuchet MS" w:hAnsi="Trebuchet MS"/>
          <w:i/>
          <w:color w:val="37617A"/>
          <w:sz w:val="20"/>
        </w:rPr>
        <w:t>the</w:t>
      </w:r>
      <w:r>
        <w:rPr>
          <w:rFonts w:ascii="Trebuchet MS" w:hAnsi="Trebuchet MS"/>
          <w:i/>
          <w:color w:val="37617A"/>
          <w:spacing w:val="-12"/>
          <w:sz w:val="20"/>
        </w:rPr>
        <w:t> </w:t>
      </w:r>
      <w:r>
        <w:rPr>
          <w:rFonts w:ascii="Trebuchet MS" w:hAnsi="Trebuchet MS"/>
          <w:i/>
          <w:color w:val="37617A"/>
          <w:sz w:val="20"/>
        </w:rPr>
        <w:t>public</w:t>
      </w:r>
      <w:r>
        <w:rPr>
          <w:rFonts w:ascii="Trebuchet MS" w:hAnsi="Trebuchet MS"/>
          <w:i/>
          <w:color w:val="37617A"/>
          <w:spacing w:val="-12"/>
          <w:sz w:val="20"/>
        </w:rPr>
        <w:t> </w:t>
      </w:r>
      <w:r>
        <w:rPr>
          <w:rFonts w:ascii="Trebuchet MS" w:hAnsi="Trebuchet MS"/>
          <w:i/>
          <w:color w:val="37617A"/>
          <w:sz w:val="20"/>
        </w:rPr>
        <w:t>don’t</w:t>
      </w:r>
      <w:r>
        <w:rPr>
          <w:rFonts w:ascii="Trebuchet MS" w:hAnsi="Trebuchet MS"/>
          <w:i/>
          <w:color w:val="37617A"/>
          <w:spacing w:val="-12"/>
          <w:sz w:val="20"/>
        </w:rPr>
        <w:t> </w:t>
      </w:r>
      <w:r>
        <w:rPr>
          <w:rFonts w:ascii="Trebuchet MS" w:hAnsi="Trebuchet MS"/>
          <w:i/>
          <w:color w:val="37617A"/>
          <w:sz w:val="20"/>
        </w:rPr>
        <w:t>have</w:t>
      </w:r>
      <w:r>
        <w:rPr>
          <w:rFonts w:ascii="Trebuchet MS" w:hAnsi="Trebuchet MS"/>
          <w:i/>
          <w:color w:val="37617A"/>
          <w:spacing w:val="-12"/>
          <w:sz w:val="20"/>
        </w:rPr>
        <w:t> </w:t>
      </w:r>
      <w:r>
        <w:rPr>
          <w:rFonts w:ascii="Trebuchet MS" w:hAnsi="Trebuchet MS"/>
          <w:i/>
          <w:color w:val="37617A"/>
          <w:sz w:val="20"/>
        </w:rPr>
        <w:t>any</w:t>
      </w:r>
      <w:r>
        <w:rPr>
          <w:rFonts w:ascii="Trebuchet MS" w:hAnsi="Trebuchet MS"/>
          <w:i/>
          <w:color w:val="37617A"/>
          <w:spacing w:val="-12"/>
          <w:sz w:val="20"/>
        </w:rPr>
        <w:t> </w:t>
      </w:r>
      <w:r>
        <w:rPr>
          <w:rFonts w:ascii="Trebuchet MS" w:hAnsi="Trebuchet MS"/>
          <w:i/>
          <w:color w:val="37617A"/>
          <w:sz w:val="20"/>
        </w:rPr>
        <w:t>contact</w:t>
      </w:r>
      <w:r>
        <w:rPr>
          <w:rFonts w:ascii="Trebuchet MS" w:hAnsi="Trebuchet MS"/>
          <w:i/>
          <w:color w:val="37617A"/>
          <w:spacing w:val="-13"/>
          <w:sz w:val="20"/>
        </w:rPr>
        <w:t> </w:t>
      </w:r>
      <w:r>
        <w:rPr>
          <w:rFonts w:ascii="Trebuchet MS" w:hAnsi="Trebuchet MS"/>
          <w:i/>
          <w:color w:val="37617A"/>
          <w:sz w:val="20"/>
        </w:rPr>
        <w:t>with blind/visually</w:t>
      </w:r>
      <w:r>
        <w:rPr>
          <w:rFonts w:ascii="Trebuchet MS" w:hAnsi="Trebuchet MS"/>
          <w:i/>
          <w:color w:val="37617A"/>
          <w:spacing w:val="-16"/>
          <w:sz w:val="20"/>
        </w:rPr>
        <w:t> </w:t>
      </w:r>
      <w:r>
        <w:rPr>
          <w:rFonts w:ascii="Trebuchet MS" w:hAnsi="Trebuchet MS"/>
          <w:i/>
          <w:color w:val="37617A"/>
          <w:sz w:val="20"/>
        </w:rPr>
        <w:t>impaired</w:t>
      </w:r>
      <w:r>
        <w:rPr>
          <w:rFonts w:ascii="Trebuchet MS" w:hAnsi="Trebuchet MS"/>
          <w:i/>
          <w:color w:val="37617A"/>
          <w:spacing w:val="-16"/>
          <w:sz w:val="20"/>
        </w:rPr>
        <w:t> </w:t>
      </w:r>
      <w:r>
        <w:rPr>
          <w:rFonts w:ascii="Trebuchet MS" w:hAnsi="Trebuchet MS"/>
          <w:i/>
          <w:color w:val="37617A"/>
          <w:sz w:val="20"/>
        </w:rPr>
        <w:t>people,</w:t>
      </w:r>
      <w:r>
        <w:rPr>
          <w:rFonts w:ascii="Trebuchet MS" w:hAnsi="Trebuchet MS"/>
          <w:i/>
          <w:color w:val="37617A"/>
          <w:spacing w:val="-15"/>
          <w:sz w:val="20"/>
        </w:rPr>
        <w:t> </w:t>
      </w:r>
      <w:r>
        <w:rPr>
          <w:rFonts w:ascii="Trebuchet MS" w:hAnsi="Trebuchet MS"/>
          <w:i/>
          <w:color w:val="37617A"/>
          <w:sz w:val="20"/>
        </w:rPr>
        <w:t>they</w:t>
      </w:r>
      <w:r>
        <w:rPr>
          <w:rFonts w:ascii="Trebuchet MS" w:hAnsi="Trebuchet MS"/>
          <w:i/>
          <w:color w:val="37617A"/>
          <w:spacing w:val="-16"/>
          <w:sz w:val="20"/>
        </w:rPr>
        <w:t> </w:t>
      </w:r>
      <w:r>
        <w:rPr>
          <w:rFonts w:ascii="Trebuchet MS" w:hAnsi="Trebuchet MS"/>
          <w:i/>
          <w:color w:val="37617A"/>
          <w:sz w:val="20"/>
        </w:rPr>
        <w:t>don’t</w:t>
      </w:r>
      <w:r>
        <w:rPr>
          <w:rFonts w:ascii="Trebuchet MS" w:hAnsi="Trebuchet MS"/>
          <w:i/>
          <w:color w:val="37617A"/>
          <w:spacing w:val="-16"/>
          <w:sz w:val="20"/>
        </w:rPr>
        <w:t> </w:t>
      </w:r>
      <w:r>
        <w:rPr>
          <w:rFonts w:ascii="Trebuchet MS" w:hAnsi="Trebuchet MS"/>
          <w:i/>
          <w:color w:val="37617A"/>
          <w:sz w:val="20"/>
        </w:rPr>
        <w:t>know</w:t>
      </w:r>
      <w:r>
        <w:rPr>
          <w:rFonts w:ascii="Trebuchet MS" w:hAnsi="Trebuchet MS"/>
          <w:i/>
          <w:color w:val="37617A"/>
          <w:spacing w:val="-15"/>
          <w:sz w:val="20"/>
        </w:rPr>
        <w:t> </w:t>
      </w:r>
      <w:r>
        <w:rPr>
          <w:rFonts w:ascii="Trebuchet MS" w:hAnsi="Trebuchet MS"/>
          <w:i/>
          <w:color w:val="37617A"/>
          <w:sz w:val="20"/>
        </w:rPr>
        <w:t>what</w:t>
      </w:r>
      <w:r>
        <w:rPr>
          <w:rFonts w:ascii="Trebuchet MS" w:hAnsi="Trebuchet MS"/>
          <w:i/>
          <w:color w:val="37617A"/>
          <w:spacing w:val="-16"/>
          <w:sz w:val="20"/>
        </w:rPr>
        <w:t> </w:t>
      </w:r>
      <w:r>
        <w:rPr>
          <w:rFonts w:ascii="Trebuchet MS" w:hAnsi="Trebuchet MS"/>
          <w:i/>
          <w:color w:val="37617A"/>
          <w:sz w:val="20"/>
        </w:rPr>
        <w:t>tools</w:t>
      </w:r>
      <w:r>
        <w:rPr>
          <w:rFonts w:ascii="Trebuchet MS" w:hAnsi="Trebuchet MS"/>
          <w:i/>
          <w:color w:val="37617A"/>
          <w:spacing w:val="-15"/>
          <w:sz w:val="20"/>
        </w:rPr>
        <w:t> </w:t>
      </w:r>
      <w:r>
        <w:rPr>
          <w:rFonts w:ascii="Trebuchet MS" w:hAnsi="Trebuchet MS"/>
          <w:i/>
          <w:color w:val="37617A"/>
          <w:sz w:val="20"/>
        </w:rPr>
        <w:t>are</w:t>
      </w:r>
      <w:r>
        <w:rPr>
          <w:rFonts w:ascii="Trebuchet MS" w:hAnsi="Trebuchet MS"/>
          <w:i/>
          <w:color w:val="37617A"/>
          <w:spacing w:val="-16"/>
          <w:sz w:val="20"/>
        </w:rPr>
        <w:t> </w:t>
      </w:r>
      <w:r>
        <w:rPr>
          <w:rFonts w:ascii="Trebuchet MS" w:hAnsi="Trebuchet MS"/>
          <w:i/>
          <w:color w:val="37617A"/>
          <w:sz w:val="20"/>
        </w:rPr>
        <w:t>available</w:t>
      </w:r>
      <w:r>
        <w:rPr>
          <w:rFonts w:ascii="Trebuchet MS" w:hAnsi="Trebuchet MS"/>
          <w:i/>
          <w:color w:val="37617A"/>
          <w:spacing w:val="-16"/>
          <w:sz w:val="20"/>
        </w:rPr>
        <w:t> </w:t>
      </w:r>
      <w:r>
        <w:rPr>
          <w:rFonts w:ascii="Trebuchet MS" w:hAnsi="Trebuchet MS"/>
          <w:i/>
          <w:color w:val="37617A"/>
          <w:sz w:val="20"/>
        </w:rPr>
        <w:t>to </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
          <w:w w:val="87"/>
          <w:sz w:val="20"/>
        </w:rPr>
        <w:t>l</w:t>
      </w:r>
      <w:r>
        <w:rPr>
          <w:rFonts w:ascii="Trebuchet MS" w:hAnsi="Trebuchet MS"/>
          <w:i/>
          <w:color w:val="37617A"/>
          <w:w w:val="107"/>
          <w:sz w:val="20"/>
        </w:rPr>
        <w:t>p</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spacing w:val="-1"/>
          <w:w w:val="87"/>
          <w:sz w:val="20"/>
        </w:rPr>
        <w:t>l</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3"/>
          <w:sz w:val="20"/>
        </w:rPr>
        <w:t>u</w:t>
      </w:r>
      <w:r>
        <w:rPr>
          <w:rFonts w:ascii="Trebuchet MS" w:hAnsi="Trebuchet MS"/>
          <w:i/>
          <w:color w:val="37617A"/>
          <w:w w:val="103"/>
          <w:sz w:val="20"/>
        </w:rPr>
        <w:t>n</w:t>
      </w:r>
      <w:r>
        <w:rPr>
          <w:rFonts w:ascii="Trebuchet MS" w:hAnsi="Trebuchet MS"/>
          <w:i/>
          <w:color w:val="37617A"/>
          <w:spacing w:val="-1"/>
          <w:w w:val="108"/>
          <w:sz w:val="20"/>
        </w:rPr>
        <w:t>d</w:t>
      </w:r>
      <w:r>
        <w:rPr>
          <w:rFonts w:ascii="Trebuchet MS" w:hAnsi="Trebuchet MS"/>
          <w:i/>
          <w:color w:val="37617A"/>
          <w:spacing w:val="1"/>
          <w:w w:val="100"/>
          <w:sz w:val="20"/>
        </w:rPr>
        <w:t>e</w:t>
      </w:r>
      <w:r>
        <w:rPr>
          <w:rFonts w:ascii="Trebuchet MS" w:hAnsi="Trebuchet MS"/>
          <w:i/>
          <w:color w:val="37617A"/>
          <w:spacing w:val="2"/>
          <w:w w:val="84"/>
          <w:sz w:val="20"/>
        </w:rPr>
        <w:t>r</w:t>
      </w:r>
      <w:r>
        <w:rPr>
          <w:rFonts w:ascii="Trebuchet MS" w:hAnsi="Trebuchet MS"/>
          <w:i/>
          <w:color w:val="37617A"/>
          <w:spacing w:val="-4"/>
          <w:w w:val="80"/>
          <w:sz w:val="20"/>
        </w:rPr>
        <w:t>t</w:t>
      </w:r>
      <w:r>
        <w:rPr>
          <w:rFonts w:ascii="Trebuchet MS" w:hAnsi="Trebuchet MS"/>
          <w:i/>
          <w:color w:val="37617A"/>
          <w:w w:val="115"/>
          <w:sz w:val="20"/>
        </w:rPr>
        <w:t>a</w:t>
      </w:r>
      <w:r>
        <w:rPr>
          <w:rFonts w:ascii="Trebuchet MS" w:hAnsi="Trebuchet MS"/>
          <w:i/>
          <w:color w:val="37617A"/>
          <w:spacing w:val="-1"/>
          <w:w w:val="103"/>
          <w:sz w:val="20"/>
        </w:rPr>
        <w:t>k</w:t>
      </w:r>
      <w:r>
        <w:rPr>
          <w:rFonts w:ascii="Trebuchet MS" w:hAnsi="Trebuchet MS"/>
          <w:i/>
          <w:color w:val="37617A"/>
          <w:w w:val="103"/>
          <w:sz w:val="20"/>
        </w:rPr>
        <w:t>e</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w w:val="115"/>
          <w:sz w:val="20"/>
        </w:rPr>
        <w:t>a</w:t>
      </w:r>
      <w:r>
        <w:rPr>
          <w:rFonts w:ascii="Trebuchet MS" w:hAnsi="Trebuchet MS"/>
          <w:i/>
          <w:color w:val="37617A"/>
          <w:spacing w:val="-1"/>
          <w:w w:val="106"/>
          <w:sz w:val="20"/>
        </w:rPr>
        <w:t>m</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15"/>
          <w:sz w:val="20"/>
        </w:rPr>
        <w:t>a</w:t>
      </w:r>
      <w:r>
        <w:rPr>
          <w:rFonts w:ascii="Trebuchet MS" w:hAnsi="Trebuchet MS"/>
          <w:i/>
          <w:color w:val="37617A"/>
          <w:spacing w:val="-1"/>
          <w:w w:val="117"/>
          <w:sz w:val="20"/>
        </w:rPr>
        <w:t>s</w:t>
      </w:r>
      <w:r>
        <w:rPr>
          <w:rFonts w:ascii="Trebuchet MS" w:hAnsi="Trebuchet MS"/>
          <w:i/>
          <w:color w:val="37617A"/>
          <w:spacing w:val="-1"/>
          <w:w w:val="107"/>
          <w:sz w:val="20"/>
        </w:rPr>
        <w:t>k</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spacing w:val="-1"/>
          <w:w w:val="73"/>
          <w:sz w:val="20"/>
        </w:rPr>
        <w:t>i</w:t>
      </w:r>
      <w:r>
        <w:rPr>
          <w:rFonts w:ascii="Trebuchet MS" w:hAnsi="Trebuchet MS"/>
          <w:i/>
          <w:color w:val="37617A"/>
          <w:w w:val="119"/>
          <w:sz w:val="20"/>
        </w:rPr>
        <w:t>g</w:t>
      </w:r>
      <w:r>
        <w:rPr>
          <w:rFonts w:ascii="Trebuchet MS" w:hAnsi="Trebuchet MS"/>
          <w:i/>
          <w:color w:val="37617A"/>
          <w:spacing w:val="-2"/>
          <w:w w:val="101"/>
          <w:sz w:val="20"/>
        </w:rPr>
        <w:t>h</w:t>
      </w:r>
      <w:r>
        <w:rPr>
          <w:rFonts w:ascii="Trebuchet MS" w:hAnsi="Trebuchet MS"/>
          <w:i/>
          <w:color w:val="37617A"/>
          <w:spacing w:val="-5"/>
          <w:w w:val="80"/>
          <w:sz w:val="20"/>
        </w:rPr>
        <w:t>t</w:t>
      </w:r>
      <w:r>
        <w:rPr>
          <w:rFonts w:ascii="Trebuchet MS" w:hAnsi="Trebuchet MS"/>
          <w:i/>
          <w:color w:val="37617A"/>
          <w:w w:val="100"/>
          <w:sz w:val="20"/>
        </w:rPr>
        <w:t>e</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spacing w:val="1"/>
          <w:w w:val="100"/>
          <w:sz w:val="20"/>
        </w:rPr>
        <w:t>e</w:t>
      </w:r>
      <w:r>
        <w:rPr>
          <w:rFonts w:ascii="Trebuchet MS" w:hAnsi="Trebuchet MS"/>
          <w:i/>
          <w:color w:val="37617A"/>
          <w:w w:val="54"/>
          <w:sz w:val="20"/>
        </w:rPr>
        <w:t>.</w:t>
      </w:r>
      <w:r>
        <w:rPr>
          <w:rFonts w:ascii="Trebuchet MS" w:hAnsi="Trebuchet MS"/>
          <w:i/>
          <w:color w:val="37617A"/>
          <w:spacing w:val="-13"/>
          <w:sz w:val="20"/>
        </w:rPr>
        <w:t> </w:t>
      </w:r>
      <w:r>
        <w:rPr>
          <w:rFonts w:ascii="Trebuchet MS" w:hAnsi="Trebuchet MS"/>
          <w:i/>
          <w:color w:val="37617A"/>
          <w:w w:val="92"/>
          <w:sz w:val="20"/>
        </w:rPr>
        <w:t>I</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6"/>
          <w:w w:val="87"/>
          <w:sz w:val="20"/>
        </w:rPr>
        <w:t>l</w:t>
      </w:r>
      <w:r>
        <w:rPr>
          <w:rFonts w:ascii="Trebuchet MS" w:hAnsi="Trebuchet MS"/>
          <w:i/>
          <w:color w:val="37617A"/>
          <w:spacing w:val="-3"/>
          <w:w w:val="103"/>
          <w:sz w:val="20"/>
        </w:rPr>
        <w:t>w</w:t>
      </w:r>
      <w:r>
        <w:rPr>
          <w:rFonts w:ascii="Trebuchet MS" w:hAnsi="Trebuchet MS"/>
          <w:i/>
          <w:color w:val="37617A"/>
          <w:spacing w:val="-2"/>
          <w:w w:val="115"/>
          <w:sz w:val="20"/>
        </w:rPr>
        <w:t>a</w:t>
      </w:r>
      <w:r>
        <w:rPr>
          <w:rFonts w:ascii="Trebuchet MS" w:hAnsi="Trebuchet MS"/>
          <w:i/>
          <w:color w:val="37617A"/>
          <w:spacing w:val="-2"/>
          <w:w w:val="101"/>
          <w:sz w:val="20"/>
        </w:rPr>
        <w:t>y</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spacing w:val="-2"/>
          <w:w w:val="115"/>
          <w:sz w:val="20"/>
        </w:rPr>
        <w:t>a</w:t>
      </w:r>
      <w:r>
        <w:rPr>
          <w:rFonts w:ascii="Trebuchet MS" w:hAnsi="Trebuchet MS"/>
          <w:i/>
          <w:color w:val="37617A"/>
          <w:spacing w:val="-2"/>
          <w:w w:val="101"/>
          <w:sz w:val="20"/>
        </w:rPr>
        <w:t>y</w:t>
      </w:r>
      <w:r>
        <w:rPr>
          <w:rFonts w:ascii="Trebuchet MS" w:hAnsi="Trebuchet MS"/>
          <w:i/>
          <w:color w:val="37617A"/>
          <w:w w:val="53"/>
          <w:sz w:val="20"/>
        </w:rPr>
        <w:t>:</w:t>
      </w:r>
      <w:r>
        <w:rPr>
          <w:rFonts w:ascii="Trebuchet MS" w:hAnsi="Trebuchet MS"/>
          <w:i/>
          <w:color w:val="37617A"/>
          <w:spacing w:val="-13"/>
          <w:sz w:val="20"/>
        </w:rPr>
        <w:t> </w:t>
      </w:r>
      <w:r>
        <w:rPr>
          <w:rFonts w:ascii="Trebuchet MS" w:hAnsi="Trebuchet MS"/>
          <w:i/>
          <w:color w:val="37617A"/>
          <w:spacing w:val="2"/>
          <w:w w:val="56"/>
          <w:sz w:val="20"/>
        </w:rPr>
        <w:t>‘</w:t>
      </w:r>
      <w:r>
        <w:rPr>
          <w:rFonts w:ascii="Trebuchet MS" w:hAnsi="Trebuchet MS"/>
          <w:i/>
          <w:color w:val="37617A"/>
          <w:spacing w:val="-1"/>
          <w:w w:val="92"/>
          <w:sz w:val="20"/>
        </w:rPr>
        <w:t>I</w:t>
      </w:r>
      <w:r>
        <w:rPr>
          <w:rFonts w:ascii="Trebuchet MS" w:hAnsi="Trebuchet MS"/>
          <w:i/>
          <w:color w:val="37617A"/>
          <w:w w:val="83"/>
          <w:sz w:val="20"/>
        </w:rPr>
        <w:t>f </w:t>
      </w:r>
      <w:r>
        <w:rPr>
          <w:rFonts w:ascii="Trebuchet MS" w:hAnsi="Trebuchet MS"/>
          <w:i/>
          <w:color w:val="37617A"/>
          <w:spacing w:val="-2"/>
          <w:w w:val="101"/>
          <w:sz w:val="20"/>
        </w:rPr>
        <w:t>y</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15"/>
          <w:sz w:val="20"/>
        </w:rPr>
        <w:t>a</w:t>
      </w:r>
      <w:r>
        <w:rPr>
          <w:rFonts w:ascii="Trebuchet MS" w:hAnsi="Trebuchet MS"/>
          <w:i/>
          <w:color w:val="37617A"/>
          <w:spacing w:val="-2"/>
          <w:w w:val="103"/>
          <w:sz w:val="20"/>
        </w:rPr>
        <w:t>n</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w w:val="107"/>
          <w:sz w:val="20"/>
        </w:rPr>
        <w:t>k</w:t>
      </w:r>
      <w:r>
        <w:rPr>
          <w:rFonts w:ascii="Trebuchet MS" w:hAnsi="Trebuchet MS"/>
          <w:i/>
          <w:color w:val="37617A"/>
          <w:spacing w:val="-1"/>
          <w:w w:val="103"/>
          <w:sz w:val="20"/>
        </w:rPr>
        <w:t>n</w:t>
      </w:r>
      <w:r>
        <w:rPr>
          <w:rFonts w:ascii="Trebuchet MS" w:hAnsi="Trebuchet MS"/>
          <w:i/>
          <w:color w:val="37617A"/>
          <w:spacing w:val="-4"/>
          <w:w w:val="107"/>
          <w:sz w:val="20"/>
        </w:rPr>
        <w:t>o</w:t>
      </w:r>
      <w:r>
        <w:rPr>
          <w:rFonts w:ascii="Trebuchet MS" w:hAnsi="Trebuchet MS"/>
          <w:i/>
          <w:color w:val="37617A"/>
          <w:w w:val="103"/>
          <w:sz w:val="20"/>
        </w:rPr>
        <w:t>w</w:t>
      </w:r>
      <w:r>
        <w:rPr>
          <w:rFonts w:ascii="Trebuchet MS" w:hAnsi="Trebuchet MS"/>
          <w:i/>
          <w:color w:val="37617A"/>
          <w:spacing w:val="-13"/>
          <w:sz w:val="20"/>
        </w:rPr>
        <w:t> </w:t>
      </w:r>
      <w:r>
        <w:rPr>
          <w:rFonts w:ascii="Trebuchet MS" w:hAnsi="Trebuchet MS"/>
          <w:i/>
          <w:color w:val="37617A"/>
          <w:spacing w:val="-1"/>
          <w:w w:val="101"/>
          <w:sz w:val="20"/>
        </w:rPr>
        <w:t>h</w:t>
      </w:r>
      <w:r>
        <w:rPr>
          <w:rFonts w:ascii="Trebuchet MS" w:hAnsi="Trebuchet MS"/>
          <w:i/>
          <w:color w:val="37617A"/>
          <w:spacing w:val="-4"/>
          <w:w w:val="107"/>
          <w:sz w:val="20"/>
        </w:rPr>
        <w:t>o</w:t>
      </w:r>
      <w:r>
        <w:rPr>
          <w:rFonts w:ascii="Trebuchet MS" w:hAnsi="Trebuchet MS"/>
          <w:i/>
          <w:color w:val="37617A"/>
          <w:w w:val="103"/>
          <w:sz w:val="20"/>
        </w:rPr>
        <w:t>w</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7"/>
          <w:sz w:val="20"/>
        </w:rPr>
        <w:t>o</w:t>
      </w:r>
      <w:r>
        <w:rPr>
          <w:rFonts w:ascii="Trebuchet MS" w:hAnsi="Trebuchet MS"/>
          <w:i/>
          <w:color w:val="37617A"/>
          <w:spacing w:val="-2"/>
          <w:w w:val="84"/>
          <w:sz w:val="20"/>
        </w:rPr>
        <w:t>r</w:t>
      </w:r>
      <w:r>
        <w:rPr>
          <w:rFonts w:ascii="Trebuchet MS" w:hAnsi="Trebuchet MS"/>
          <w:i/>
          <w:color w:val="37617A"/>
          <w:w w:val="107"/>
          <w:sz w:val="20"/>
        </w:rPr>
        <w:t>k</w:t>
      </w:r>
      <w:r>
        <w:rPr>
          <w:rFonts w:ascii="Trebuchet MS" w:hAnsi="Trebuchet MS"/>
          <w:i/>
          <w:color w:val="37617A"/>
          <w:spacing w:val="-13"/>
          <w:sz w:val="20"/>
        </w:rPr>
        <w:t> </w:t>
      </w:r>
      <w:r>
        <w:rPr>
          <w:rFonts w:ascii="Trebuchet MS" w:hAnsi="Trebuchet MS"/>
          <w:i/>
          <w:color w:val="37617A"/>
          <w:spacing w:val="-4"/>
          <w:w w:val="72"/>
          <w:sz w:val="20"/>
        </w:rPr>
        <w:t>[</w:t>
      </w:r>
      <w:r>
        <w:rPr>
          <w:rFonts w:ascii="Trebuchet MS" w:hAnsi="Trebuchet MS"/>
          <w:i/>
          <w:color w:val="37617A"/>
          <w:spacing w:val="-5"/>
          <w:w w:val="83"/>
          <w:sz w:val="20"/>
        </w:rPr>
        <w:t>f</w:t>
      </w:r>
      <w:r>
        <w:rPr>
          <w:rFonts w:ascii="Trebuchet MS" w:hAnsi="Trebuchet MS"/>
          <w:i/>
          <w:color w:val="37617A"/>
          <w:w w:val="107"/>
          <w:sz w:val="20"/>
        </w:rPr>
        <w:t>o</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spacing w:val="-1"/>
          <w:w w:val="87"/>
          <w:sz w:val="20"/>
        </w:rPr>
        <w:t>l</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spacing w:val="1"/>
          <w:w w:val="100"/>
          <w:sz w:val="20"/>
        </w:rPr>
        <w:t>e</w:t>
      </w:r>
      <w:r>
        <w:rPr>
          <w:rFonts w:ascii="Trebuchet MS" w:hAnsi="Trebuchet MS"/>
          <w:i/>
          <w:color w:val="37617A"/>
          <w:spacing w:val="-1"/>
          <w:w w:val="84"/>
          <w:sz w:val="20"/>
        </w:rPr>
        <w:t>r</w:t>
      </w:r>
      <w:r>
        <w:rPr>
          <w:rFonts w:ascii="Trebuchet MS" w:hAnsi="Trebuchet MS"/>
          <w:i/>
          <w:color w:val="37617A"/>
          <w:spacing w:val="-2"/>
          <w:w w:val="117"/>
          <w:sz w:val="20"/>
        </w:rPr>
        <w:t>s</w:t>
      </w:r>
      <w:r>
        <w:rPr>
          <w:rFonts w:ascii="Trebuchet MS" w:hAnsi="Trebuchet MS"/>
          <w:i/>
          <w:color w:val="37617A"/>
          <w:w w:val="107"/>
          <w:sz w:val="20"/>
        </w:rPr>
        <w:t>o</w:t>
      </w:r>
      <w:r>
        <w:rPr>
          <w:rFonts w:ascii="Trebuchet MS" w:hAnsi="Trebuchet MS"/>
          <w:i/>
          <w:color w:val="37617A"/>
          <w:spacing w:val="-2"/>
          <w:w w:val="103"/>
          <w:sz w:val="20"/>
        </w:rPr>
        <w:t>n</w:t>
      </w:r>
      <w:r>
        <w:rPr>
          <w:rFonts w:ascii="Trebuchet MS" w:hAnsi="Trebuchet MS"/>
          <w:i/>
          <w:color w:val="37617A"/>
          <w:spacing w:val="-1"/>
          <w:w w:val="72"/>
          <w:sz w:val="20"/>
        </w:rPr>
        <w:t>]</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
          <w:w w:val="117"/>
          <w:sz w:val="20"/>
        </w:rPr>
        <w:t>s</w:t>
      </w:r>
      <w:r>
        <w:rPr>
          <w:rFonts w:ascii="Trebuchet MS" w:hAnsi="Trebuchet MS"/>
          <w:i/>
          <w:color w:val="37617A"/>
          <w:w w:val="107"/>
          <w:sz w:val="20"/>
        </w:rPr>
        <w:t>k</w:t>
      </w:r>
      <w:r>
        <w:rPr>
          <w:rFonts w:ascii="Trebuchet MS" w:hAnsi="Trebuchet MS"/>
          <w:i/>
          <w:color w:val="37617A"/>
          <w:spacing w:val="-13"/>
          <w:sz w:val="20"/>
        </w:rPr>
        <w:t> </w:t>
      </w:r>
      <w:r>
        <w:rPr>
          <w:rFonts w:ascii="Trebuchet MS" w:hAnsi="Trebuchet MS"/>
          <w:i/>
          <w:color w:val="37617A"/>
          <w:spacing w:val="-1"/>
          <w:w w:val="106"/>
          <w:sz w:val="20"/>
        </w:rPr>
        <w:t>m</w:t>
      </w:r>
      <w:r>
        <w:rPr>
          <w:rFonts w:ascii="Trebuchet MS" w:hAnsi="Trebuchet MS"/>
          <w:i/>
          <w:color w:val="37617A"/>
          <w:spacing w:val="-6"/>
          <w:w w:val="100"/>
          <w:sz w:val="20"/>
        </w:rPr>
        <w:t>e</w:t>
      </w:r>
      <w:r>
        <w:rPr>
          <w:rFonts w:ascii="Trebuchet MS" w:hAnsi="Trebuchet MS"/>
          <w:i/>
          <w:color w:val="37617A"/>
          <w:spacing w:val="1"/>
          <w:w w:val="54"/>
          <w:sz w:val="20"/>
        </w:rPr>
        <w:t>’</w:t>
      </w:r>
      <w:r>
        <w:rPr>
          <w:rFonts w:ascii="Trebuchet MS" w:hAnsi="Trebuchet MS"/>
          <w:i/>
          <w:color w:val="37617A"/>
          <w:w w:val="54"/>
          <w:sz w:val="20"/>
        </w:rPr>
        <w:t>.</w:t>
      </w:r>
      <w:r>
        <w:rPr>
          <w:rFonts w:ascii="Trebuchet MS" w:hAnsi="Trebuchet MS"/>
          <w:i/>
          <w:color w:val="37617A"/>
          <w:w w:val="87"/>
          <w:position w:val="7"/>
          <w:sz w:val="11"/>
        </w:rPr>
        <w:t>1</w:t>
      </w:r>
    </w:p>
    <w:p>
      <w:pPr>
        <w:spacing w:before="3"/>
        <w:ind w:left="206" w:right="443" w:firstLine="0"/>
        <w:jc w:val="center"/>
        <w:rPr>
          <w:rFonts w:ascii="Trebuchet MS" w:hAnsi="Trebuchet MS"/>
          <w:sz w:val="19"/>
        </w:rPr>
      </w:pPr>
      <w:r>
        <w:rPr>
          <w:rFonts w:ascii="Trebuchet MS" w:hAnsi="Trebuchet MS"/>
          <w:color w:val="37617A"/>
          <w:w w:val="105"/>
          <w:sz w:val="19"/>
        </w:rPr>
        <w:t>— Participant in the Blind Citizens Australia consultation</w:t>
      </w:r>
    </w:p>
    <w:p>
      <w:pPr>
        <w:pStyle w:val="BodyText"/>
        <w:spacing w:before="3"/>
        <w:rPr>
          <w:rFonts w:ascii="Trebuchet MS"/>
          <w:sz w:val="10"/>
        </w:rPr>
      </w:pPr>
      <w:r>
        <w:rPr/>
        <w:pict>
          <v:line style="position:absolute;mso-position-horizontal-relative:page;mso-position-vertical-relative:paragraph;z-index:7760;mso-wrap-distance-left:0;mso-wrap-distance-right:0" from="79.370102pt,8.168899pt" to="515.905102pt,8.168899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95"/>
        </w:numPr>
        <w:tabs>
          <w:tab w:pos="2157" w:val="left" w:leader="none"/>
          <w:tab w:pos="2158" w:val="left" w:leader="none"/>
        </w:tabs>
        <w:spacing w:line="206" w:lineRule="auto" w:before="146" w:after="0"/>
        <w:ind w:left="2157" w:right="1617" w:hanging="396"/>
        <w:jc w:val="left"/>
        <w:rPr>
          <w:sz w:val="20"/>
        </w:rPr>
      </w:pPr>
      <w:r>
        <w:rPr>
          <w:spacing w:val="-3"/>
          <w:sz w:val="20"/>
        </w:rPr>
        <w:t>For</w:t>
      </w:r>
      <w:r>
        <w:rPr>
          <w:spacing w:val="-10"/>
          <w:sz w:val="20"/>
        </w:rPr>
        <w:t> </w:t>
      </w:r>
      <w:r>
        <w:rPr>
          <w:sz w:val="20"/>
        </w:rPr>
        <w:t>people</w:t>
      </w:r>
      <w:r>
        <w:rPr>
          <w:spacing w:val="-9"/>
          <w:sz w:val="20"/>
        </w:rPr>
        <w:t> </w:t>
      </w:r>
      <w:r>
        <w:rPr>
          <w:sz w:val="20"/>
        </w:rPr>
        <w:t>who</w:t>
      </w:r>
      <w:r>
        <w:rPr>
          <w:spacing w:val="-10"/>
          <w:sz w:val="20"/>
        </w:rPr>
        <w:t> </w:t>
      </w:r>
      <w:r>
        <w:rPr>
          <w:spacing w:val="-3"/>
          <w:sz w:val="20"/>
        </w:rPr>
        <w:t>are</w:t>
      </w:r>
      <w:r>
        <w:rPr>
          <w:spacing w:val="-9"/>
          <w:sz w:val="20"/>
        </w:rPr>
        <w:t> </w:t>
      </w:r>
      <w:r>
        <w:rPr>
          <w:sz w:val="20"/>
        </w:rPr>
        <w:t>deaf</w:t>
      </w:r>
      <w:r>
        <w:rPr>
          <w:spacing w:val="-9"/>
          <w:sz w:val="20"/>
        </w:rPr>
        <w:t> </w:t>
      </w:r>
      <w:r>
        <w:rPr>
          <w:sz w:val="20"/>
        </w:rPr>
        <w:t>or</w:t>
      </w:r>
      <w:r>
        <w:rPr>
          <w:spacing w:val="-10"/>
          <w:sz w:val="20"/>
        </w:rPr>
        <w:t> </w:t>
      </w:r>
      <w:r>
        <w:rPr>
          <w:sz w:val="20"/>
        </w:rPr>
        <w:t>hard</w:t>
      </w:r>
      <w:r>
        <w:rPr>
          <w:spacing w:val="-9"/>
          <w:sz w:val="20"/>
        </w:rPr>
        <w:t> </w:t>
      </w:r>
      <w:r>
        <w:rPr>
          <w:sz w:val="20"/>
        </w:rPr>
        <w:t>of</w:t>
      </w:r>
      <w:r>
        <w:rPr>
          <w:spacing w:val="-9"/>
          <w:sz w:val="20"/>
        </w:rPr>
        <w:t> </w:t>
      </w:r>
      <w:r>
        <w:rPr>
          <w:sz w:val="20"/>
        </w:rPr>
        <w:t>hearing,</w:t>
      </w:r>
      <w:r>
        <w:rPr>
          <w:spacing w:val="-10"/>
          <w:sz w:val="20"/>
        </w:rPr>
        <w:t> </w:t>
      </w:r>
      <w:r>
        <w:rPr>
          <w:sz w:val="20"/>
        </w:rPr>
        <w:t>adjustments</w:t>
      </w:r>
      <w:r>
        <w:rPr>
          <w:spacing w:val="-9"/>
          <w:sz w:val="20"/>
        </w:rPr>
        <w:t> </w:t>
      </w:r>
      <w:r>
        <w:rPr>
          <w:sz w:val="20"/>
        </w:rPr>
        <w:t>to</w:t>
      </w:r>
      <w:r>
        <w:rPr>
          <w:spacing w:val="-10"/>
          <w:sz w:val="20"/>
        </w:rPr>
        <w:t> </w:t>
      </w:r>
      <w:r>
        <w:rPr>
          <w:sz w:val="20"/>
        </w:rPr>
        <w:t>enable</w:t>
      </w:r>
      <w:r>
        <w:rPr>
          <w:spacing w:val="-9"/>
          <w:sz w:val="20"/>
        </w:rPr>
        <w:t> </w:t>
      </w:r>
      <w:r>
        <w:rPr>
          <w:sz w:val="20"/>
        </w:rPr>
        <w:t>jury</w:t>
      </w:r>
      <w:r>
        <w:rPr>
          <w:spacing w:val="-9"/>
          <w:sz w:val="20"/>
        </w:rPr>
        <w:t> </w:t>
      </w:r>
      <w:r>
        <w:rPr>
          <w:sz w:val="20"/>
        </w:rPr>
        <w:t>service </w:t>
      </w:r>
      <w:r>
        <w:rPr>
          <w:spacing w:val="-3"/>
          <w:sz w:val="20"/>
        </w:rPr>
        <w:t>may </w:t>
      </w:r>
      <w:r>
        <w:rPr>
          <w:sz w:val="20"/>
        </w:rPr>
        <w:t>include technology such as hearing loops or captioning, and Auslan </w:t>
      </w:r>
      <w:r>
        <w:rPr>
          <w:spacing w:val="-3"/>
          <w:sz w:val="20"/>
        </w:rPr>
        <w:t>interpreters.</w:t>
      </w:r>
    </w:p>
    <w:p>
      <w:pPr>
        <w:pStyle w:val="ListParagraph"/>
        <w:numPr>
          <w:ilvl w:val="0"/>
          <w:numId w:val="95"/>
        </w:numPr>
        <w:tabs>
          <w:tab w:pos="2157" w:val="left" w:leader="none"/>
          <w:tab w:pos="2158" w:val="left" w:leader="none"/>
        </w:tabs>
        <w:spacing w:line="206" w:lineRule="auto" w:before="89" w:after="0"/>
        <w:ind w:left="2157" w:right="1248" w:hanging="396"/>
        <w:jc w:val="left"/>
        <w:rPr>
          <w:sz w:val="20"/>
        </w:rPr>
      </w:pPr>
      <w:r>
        <w:rPr>
          <w:sz w:val="20"/>
        </w:rPr>
        <w:t>People who </w:t>
      </w:r>
      <w:r>
        <w:rPr>
          <w:spacing w:val="-3"/>
          <w:sz w:val="20"/>
        </w:rPr>
        <w:t>are </w:t>
      </w:r>
      <w:r>
        <w:rPr>
          <w:sz w:val="20"/>
        </w:rPr>
        <w:t>blind or </w:t>
      </w:r>
      <w:r>
        <w:rPr>
          <w:spacing w:val="-4"/>
          <w:sz w:val="20"/>
        </w:rPr>
        <w:t>have low </w:t>
      </w:r>
      <w:r>
        <w:rPr>
          <w:sz w:val="20"/>
        </w:rPr>
        <w:t>vision </w:t>
      </w:r>
      <w:r>
        <w:rPr>
          <w:spacing w:val="-3"/>
          <w:sz w:val="20"/>
        </w:rPr>
        <w:t>may require </w:t>
      </w:r>
      <w:r>
        <w:rPr>
          <w:sz w:val="20"/>
        </w:rPr>
        <w:t>reading assistance software or</w:t>
      </w:r>
      <w:r>
        <w:rPr>
          <w:spacing w:val="-11"/>
          <w:sz w:val="20"/>
        </w:rPr>
        <w:t> </w:t>
      </w:r>
      <w:r>
        <w:rPr>
          <w:sz w:val="20"/>
        </w:rPr>
        <w:t>Braille</w:t>
      </w:r>
      <w:r>
        <w:rPr>
          <w:spacing w:val="-11"/>
          <w:sz w:val="20"/>
        </w:rPr>
        <w:t> </w:t>
      </w:r>
      <w:r>
        <w:rPr>
          <w:sz w:val="20"/>
        </w:rPr>
        <w:t>materials,</w:t>
      </w:r>
      <w:r>
        <w:rPr>
          <w:spacing w:val="-11"/>
          <w:sz w:val="20"/>
        </w:rPr>
        <w:t> </w:t>
      </w:r>
      <w:r>
        <w:rPr>
          <w:sz w:val="20"/>
        </w:rPr>
        <w:t>materials</w:t>
      </w:r>
      <w:r>
        <w:rPr>
          <w:spacing w:val="-11"/>
          <w:sz w:val="20"/>
        </w:rPr>
        <w:t> </w:t>
      </w:r>
      <w:r>
        <w:rPr>
          <w:spacing w:val="-3"/>
          <w:sz w:val="20"/>
        </w:rPr>
        <w:t>provided</w:t>
      </w:r>
      <w:r>
        <w:rPr>
          <w:spacing w:val="-11"/>
          <w:sz w:val="20"/>
        </w:rPr>
        <w:t> </w:t>
      </w:r>
      <w:r>
        <w:rPr>
          <w:sz w:val="20"/>
        </w:rPr>
        <w:t>in</w:t>
      </w:r>
      <w:r>
        <w:rPr>
          <w:spacing w:val="-10"/>
          <w:sz w:val="20"/>
        </w:rPr>
        <w:t> </w:t>
      </w:r>
      <w:r>
        <w:rPr>
          <w:sz w:val="20"/>
        </w:rPr>
        <w:t>accessible</w:t>
      </w:r>
      <w:r>
        <w:rPr>
          <w:spacing w:val="-11"/>
          <w:sz w:val="20"/>
        </w:rPr>
        <w:t> </w:t>
      </w:r>
      <w:r>
        <w:rPr>
          <w:sz w:val="20"/>
        </w:rPr>
        <w:t>formats</w:t>
      </w:r>
      <w:r>
        <w:rPr>
          <w:spacing w:val="-11"/>
          <w:sz w:val="20"/>
        </w:rPr>
        <w:t> </w:t>
      </w:r>
      <w:r>
        <w:rPr>
          <w:sz w:val="20"/>
        </w:rPr>
        <w:t>and</w:t>
      </w:r>
      <w:r>
        <w:rPr>
          <w:spacing w:val="-11"/>
          <w:sz w:val="20"/>
        </w:rPr>
        <w:t> </w:t>
      </w:r>
      <w:r>
        <w:rPr>
          <w:sz w:val="20"/>
        </w:rPr>
        <w:t>a</w:t>
      </w:r>
      <w:r>
        <w:rPr>
          <w:spacing w:val="-11"/>
          <w:sz w:val="20"/>
        </w:rPr>
        <w:t> </w:t>
      </w:r>
      <w:r>
        <w:rPr>
          <w:sz w:val="20"/>
        </w:rPr>
        <w:t>support</w:t>
      </w:r>
      <w:r>
        <w:rPr>
          <w:spacing w:val="-11"/>
          <w:sz w:val="20"/>
        </w:rPr>
        <w:t> </w:t>
      </w:r>
      <w:r>
        <w:rPr>
          <w:sz w:val="20"/>
        </w:rPr>
        <w:t>person.</w:t>
      </w:r>
    </w:p>
    <w:p>
      <w:pPr>
        <w:pStyle w:val="ListParagraph"/>
        <w:numPr>
          <w:ilvl w:val="0"/>
          <w:numId w:val="95"/>
        </w:numPr>
        <w:tabs>
          <w:tab w:pos="2157" w:val="left" w:leader="none"/>
          <w:tab w:pos="2158" w:val="left" w:leader="none"/>
        </w:tabs>
        <w:spacing w:line="206" w:lineRule="auto" w:before="88" w:after="0"/>
        <w:ind w:left="2157" w:right="1446" w:hanging="396"/>
        <w:jc w:val="left"/>
        <w:rPr>
          <w:sz w:val="20"/>
        </w:rPr>
      </w:pPr>
      <w:r>
        <w:rPr>
          <w:sz w:val="20"/>
        </w:rPr>
        <w:t>Using</w:t>
      </w:r>
      <w:r>
        <w:rPr>
          <w:spacing w:val="-11"/>
          <w:sz w:val="20"/>
        </w:rPr>
        <w:t> </w:t>
      </w:r>
      <w:r>
        <w:rPr>
          <w:sz w:val="20"/>
        </w:rPr>
        <w:t>adjustments</w:t>
      </w:r>
      <w:r>
        <w:rPr>
          <w:spacing w:val="-11"/>
          <w:sz w:val="20"/>
        </w:rPr>
        <w:t> </w:t>
      </w:r>
      <w:r>
        <w:rPr>
          <w:spacing w:val="-3"/>
          <w:sz w:val="20"/>
        </w:rPr>
        <w:t>may</w:t>
      </w:r>
      <w:r>
        <w:rPr>
          <w:spacing w:val="-10"/>
          <w:sz w:val="20"/>
        </w:rPr>
        <w:t> </w:t>
      </w:r>
      <w:r>
        <w:rPr>
          <w:spacing w:val="-4"/>
          <w:sz w:val="20"/>
        </w:rPr>
        <w:t>involve</w:t>
      </w:r>
      <w:r>
        <w:rPr>
          <w:spacing w:val="-11"/>
          <w:sz w:val="20"/>
        </w:rPr>
        <w:t> </w:t>
      </w:r>
      <w:r>
        <w:rPr>
          <w:sz w:val="20"/>
        </w:rPr>
        <w:t>changing</w:t>
      </w:r>
      <w:r>
        <w:rPr>
          <w:spacing w:val="-10"/>
          <w:sz w:val="20"/>
        </w:rPr>
        <w:t> </w:t>
      </w:r>
      <w:r>
        <w:rPr>
          <w:sz w:val="20"/>
        </w:rPr>
        <w:t>the</w:t>
      </w:r>
      <w:r>
        <w:rPr>
          <w:spacing w:val="-11"/>
          <w:sz w:val="20"/>
        </w:rPr>
        <w:t> </w:t>
      </w:r>
      <w:r>
        <w:rPr>
          <w:spacing w:val="-4"/>
          <w:sz w:val="20"/>
        </w:rPr>
        <w:t>way</w:t>
      </w:r>
      <w:r>
        <w:rPr>
          <w:spacing w:val="-10"/>
          <w:sz w:val="20"/>
        </w:rPr>
        <w:t> </w:t>
      </w:r>
      <w:r>
        <w:rPr>
          <w:sz w:val="20"/>
        </w:rPr>
        <w:t>that</w:t>
      </w:r>
      <w:r>
        <w:rPr>
          <w:spacing w:val="-11"/>
          <w:sz w:val="20"/>
        </w:rPr>
        <w:t> </w:t>
      </w:r>
      <w:r>
        <w:rPr>
          <w:sz w:val="20"/>
        </w:rPr>
        <w:t>courtrooms</w:t>
      </w:r>
      <w:r>
        <w:rPr>
          <w:spacing w:val="-10"/>
          <w:sz w:val="20"/>
        </w:rPr>
        <w:t> </w:t>
      </w:r>
      <w:r>
        <w:rPr>
          <w:spacing w:val="-3"/>
          <w:sz w:val="20"/>
        </w:rPr>
        <w:t>are</w:t>
      </w:r>
      <w:r>
        <w:rPr>
          <w:spacing w:val="-11"/>
          <w:sz w:val="20"/>
        </w:rPr>
        <w:t> </w:t>
      </w:r>
      <w:r>
        <w:rPr>
          <w:sz w:val="20"/>
        </w:rPr>
        <w:t>organised and particular trials </w:t>
      </w:r>
      <w:r>
        <w:rPr>
          <w:spacing w:val="-3"/>
          <w:sz w:val="20"/>
        </w:rPr>
        <w:t>are</w:t>
      </w:r>
      <w:r>
        <w:rPr>
          <w:spacing w:val="-17"/>
          <w:sz w:val="20"/>
        </w:rPr>
        <w:t> </w:t>
      </w:r>
      <w:r>
        <w:rPr>
          <w:sz w:val="20"/>
        </w:rPr>
        <w:t>run.</w:t>
      </w:r>
    </w:p>
    <w:p>
      <w:pPr>
        <w:pStyle w:val="ListParagraph"/>
        <w:numPr>
          <w:ilvl w:val="0"/>
          <w:numId w:val="95"/>
        </w:numPr>
        <w:tabs>
          <w:tab w:pos="2157" w:val="left" w:leader="none"/>
          <w:tab w:pos="2158" w:val="left" w:leader="none"/>
        </w:tabs>
        <w:spacing w:line="259" w:lineRule="exact" w:before="55" w:after="0"/>
        <w:ind w:left="2157" w:right="0" w:hanging="396"/>
        <w:jc w:val="left"/>
        <w:rPr>
          <w:sz w:val="20"/>
        </w:rPr>
      </w:pPr>
      <w:r>
        <w:rPr>
          <w:sz w:val="20"/>
        </w:rPr>
        <w:t>It</w:t>
      </w:r>
      <w:r>
        <w:rPr>
          <w:spacing w:val="-6"/>
          <w:sz w:val="20"/>
        </w:rPr>
        <w:t> </w:t>
      </w:r>
      <w:r>
        <w:rPr>
          <w:spacing w:val="-3"/>
          <w:sz w:val="20"/>
        </w:rPr>
        <w:t>may</w:t>
      </w:r>
      <w:r>
        <w:rPr>
          <w:spacing w:val="-6"/>
          <w:sz w:val="20"/>
        </w:rPr>
        <w:t> </w:t>
      </w:r>
      <w:r>
        <w:rPr>
          <w:sz w:val="20"/>
        </w:rPr>
        <w:t>be</w:t>
      </w:r>
      <w:r>
        <w:rPr>
          <w:spacing w:val="-6"/>
          <w:sz w:val="20"/>
        </w:rPr>
        <w:t> </w:t>
      </w:r>
      <w:r>
        <w:rPr>
          <w:sz w:val="20"/>
        </w:rPr>
        <w:t>easier</w:t>
      </w:r>
      <w:r>
        <w:rPr>
          <w:spacing w:val="-6"/>
          <w:sz w:val="20"/>
        </w:rPr>
        <w:t> </w:t>
      </w:r>
      <w:r>
        <w:rPr>
          <w:sz w:val="20"/>
        </w:rPr>
        <w:t>for</w:t>
      </w:r>
      <w:r>
        <w:rPr>
          <w:spacing w:val="-6"/>
          <w:sz w:val="20"/>
        </w:rPr>
        <w:t> </w:t>
      </w:r>
      <w:r>
        <w:rPr>
          <w:sz w:val="20"/>
        </w:rPr>
        <w:t>jurors</w:t>
      </w:r>
      <w:r>
        <w:rPr>
          <w:spacing w:val="-6"/>
          <w:sz w:val="20"/>
        </w:rPr>
        <w:t> </w:t>
      </w:r>
      <w:r>
        <w:rPr>
          <w:sz w:val="20"/>
        </w:rPr>
        <w:t>to</w:t>
      </w:r>
      <w:r>
        <w:rPr>
          <w:spacing w:val="-6"/>
          <w:sz w:val="20"/>
        </w:rPr>
        <w:t> </w:t>
      </w:r>
      <w:r>
        <w:rPr>
          <w:sz w:val="20"/>
        </w:rPr>
        <w:t>bring</w:t>
      </w:r>
      <w:r>
        <w:rPr>
          <w:spacing w:val="-6"/>
          <w:sz w:val="20"/>
        </w:rPr>
        <w:t> </w:t>
      </w:r>
      <w:r>
        <w:rPr>
          <w:sz w:val="20"/>
        </w:rPr>
        <w:t>their</w:t>
      </w:r>
      <w:r>
        <w:rPr>
          <w:spacing w:val="-6"/>
          <w:sz w:val="20"/>
        </w:rPr>
        <w:t> </w:t>
      </w:r>
      <w:r>
        <w:rPr>
          <w:spacing w:val="-3"/>
          <w:sz w:val="20"/>
        </w:rPr>
        <w:t>own</w:t>
      </w:r>
      <w:r>
        <w:rPr>
          <w:spacing w:val="-6"/>
          <w:sz w:val="20"/>
        </w:rPr>
        <w:t> </w:t>
      </w:r>
      <w:r>
        <w:rPr>
          <w:sz w:val="20"/>
        </w:rPr>
        <w:t>technology</w:t>
      </w:r>
      <w:r>
        <w:rPr>
          <w:spacing w:val="-6"/>
          <w:sz w:val="20"/>
        </w:rPr>
        <w:t> </w:t>
      </w:r>
      <w:r>
        <w:rPr>
          <w:sz w:val="20"/>
        </w:rPr>
        <w:t>to</w:t>
      </w:r>
      <w:r>
        <w:rPr>
          <w:spacing w:val="-6"/>
          <w:sz w:val="20"/>
        </w:rPr>
        <w:t> </w:t>
      </w:r>
      <w:r>
        <w:rPr>
          <w:sz w:val="20"/>
        </w:rPr>
        <w:t>court,</w:t>
      </w:r>
      <w:r>
        <w:rPr>
          <w:spacing w:val="-6"/>
          <w:sz w:val="20"/>
        </w:rPr>
        <w:t> </w:t>
      </w:r>
      <w:r>
        <w:rPr>
          <w:sz w:val="20"/>
        </w:rPr>
        <w:t>but</w:t>
      </w:r>
      <w:r>
        <w:rPr>
          <w:spacing w:val="-6"/>
          <w:sz w:val="20"/>
        </w:rPr>
        <w:t> </w:t>
      </w:r>
      <w:r>
        <w:rPr>
          <w:sz w:val="20"/>
        </w:rPr>
        <w:t>in</w:t>
      </w:r>
      <w:r>
        <w:rPr>
          <w:spacing w:val="-6"/>
          <w:sz w:val="20"/>
        </w:rPr>
        <w:t> </w:t>
      </w:r>
      <w:r>
        <w:rPr>
          <w:sz w:val="20"/>
        </w:rPr>
        <w:t>such</w:t>
      </w:r>
      <w:r>
        <w:rPr>
          <w:spacing w:val="-6"/>
          <w:sz w:val="20"/>
        </w:rPr>
        <w:t> </w:t>
      </w:r>
      <w:r>
        <w:rPr>
          <w:sz w:val="20"/>
        </w:rPr>
        <w:t>cases</w:t>
      </w:r>
    </w:p>
    <w:p>
      <w:pPr>
        <w:pStyle w:val="BodyText"/>
        <w:spacing w:line="259" w:lineRule="exact"/>
        <w:ind w:left="2157"/>
      </w:pPr>
      <w:r>
        <w:rPr/>
        <w:t>there are issues of confidentiality and security to be considered.</w:t>
      </w:r>
    </w:p>
    <w:p>
      <w:pPr>
        <w:pStyle w:val="ListParagraph"/>
        <w:numPr>
          <w:ilvl w:val="0"/>
          <w:numId w:val="95"/>
        </w:numPr>
        <w:tabs>
          <w:tab w:pos="2157" w:val="left" w:leader="none"/>
          <w:tab w:pos="2158" w:val="left" w:leader="none"/>
        </w:tabs>
        <w:spacing w:line="259" w:lineRule="exact" w:before="47" w:after="0"/>
        <w:ind w:left="2157" w:right="0" w:hanging="396"/>
        <w:jc w:val="left"/>
        <w:rPr>
          <w:sz w:val="20"/>
        </w:rPr>
      </w:pPr>
      <w:r>
        <w:rPr>
          <w:spacing w:val="-3"/>
          <w:sz w:val="20"/>
        </w:rPr>
        <w:t>Everyone’s</w:t>
      </w:r>
      <w:r>
        <w:rPr>
          <w:spacing w:val="-6"/>
          <w:sz w:val="20"/>
        </w:rPr>
        <w:t> </w:t>
      </w:r>
      <w:r>
        <w:rPr>
          <w:sz w:val="20"/>
        </w:rPr>
        <w:t>experience</w:t>
      </w:r>
      <w:r>
        <w:rPr>
          <w:spacing w:val="-6"/>
          <w:sz w:val="20"/>
        </w:rPr>
        <w:t> </w:t>
      </w:r>
      <w:r>
        <w:rPr>
          <w:sz w:val="20"/>
        </w:rPr>
        <w:t>of</w:t>
      </w:r>
      <w:r>
        <w:rPr>
          <w:spacing w:val="-6"/>
          <w:sz w:val="20"/>
        </w:rPr>
        <w:t> </w:t>
      </w:r>
      <w:r>
        <w:rPr>
          <w:sz w:val="20"/>
        </w:rPr>
        <w:t>disability</w:t>
      </w:r>
      <w:r>
        <w:rPr>
          <w:spacing w:val="-6"/>
          <w:sz w:val="20"/>
        </w:rPr>
        <w:t> </w:t>
      </w:r>
      <w:r>
        <w:rPr>
          <w:sz w:val="20"/>
        </w:rPr>
        <w:t>is</w:t>
      </w:r>
      <w:r>
        <w:rPr>
          <w:spacing w:val="-5"/>
          <w:sz w:val="20"/>
        </w:rPr>
        <w:t> </w:t>
      </w:r>
      <w:r>
        <w:rPr>
          <w:sz w:val="20"/>
        </w:rPr>
        <w:t>unique.</w:t>
      </w:r>
      <w:r>
        <w:rPr>
          <w:spacing w:val="-6"/>
          <w:sz w:val="20"/>
        </w:rPr>
        <w:t> </w:t>
      </w:r>
      <w:r>
        <w:rPr>
          <w:spacing w:val="-3"/>
          <w:sz w:val="20"/>
        </w:rPr>
        <w:t>Therefore,</w:t>
      </w:r>
      <w:r>
        <w:rPr>
          <w:spacing w:val="-6"/>
          <w:sz w:val="20"/>
        </w:rPr>
        <w:t> </w:t>
      </w:r>
      <w:r>
        <w:rPr>
          <w:sz w:val="20"/>
        </w:rPr>
        <w:t>flexibility</w:t>
      </w:r>
      <w:r>
        <w:rPr>
          <w:spacing w:val="-6"/>
          <w:sz w:val="20"/>
        </w:rPr>
        <w:t> </w:t>
      </w:r>
      <w:r>
        <w:rPr>
          <w:sz w:val="20"/>
        </w:rPr>
        <w:t>will</w:t>
      </w:r>
      <w:r>
        <w:rPr>
          <w:spacing w:val="-6"/>
          <w:sz w:val="20"/>
        </w:rPr>
        <w:t> </w:t>
      </w:r>
      <w:r>
        <w:rPr>
          <w:sz w:val="20"/>
        </w:rPr>
        <w:t>be</w:t>
      </w:r>
      <w:r>
        <w:rPr>
          <w:spacing w:val="-5"/>
          <w:sz w:val="20"/>
        </w:rPr>
        <w:t> </w:t>
      </w:r>
      <w:r>
        <w:rPr>
          <w:sz w:val="20"/>
        </w:rPr>
        <w:t>needed</w:t>
      </w:r>
    </w:p>
    <w:p>
      <w:pPr>
        <w:pStyle w:val="BodyText"/>
        <w:spacing w:line="259" w:lineRule="exact"/>
        <w:ind w:left="2157"/>
      </w:pPr>
      <w:r>
        <w:rPr/>
        <w:t>about the provision of reasonable adjustments for jury service.</w:t>
      </w:r>
    </w:p>
    <w:p>
      <w:pPr>
        <w:spacing w:before="185"/>
        <w:ind w:left="967" w:right="0" w:firstLine="0"/>
        <w:jc w:val="left"/>
        <w:rPr>
          <w:rFonts w:ascii="Raleway ExtraBold"/>
          <w:b/>
          <w:sz w:val="28"/>
        </w:rPr>
      </w:pPr>
      <w:r>
        <w:rPr>
          <w:rFonts w:ascii="Raleway ExtraBold"/>
          <w:b/>
          <w:color w:val="37617A"/>
          <w:sz w:val="28"/>
        </w:rPr>
        <w:t>What types of adjustments might people use to serve on a jury?</w:t>
      </w:r>
    </w:p>
    <w:p>
      <w:pPr>
        <w:pStyle w:val="ListParagraph"/>
        <w:numPr>
          <w:ilvl w:val="1"/>
          <w:numId w:val="12"/>
        </w:numPr>
        <w:tabs>
          <w:tab w:pos="1761" w:val="left" w:leader="none"/>
          <w:tab w:pos="1762" w:val="left" w:leader="none"/>
        </w:tabs>
        <w:spacing w:line="206" w:lineRule="auto" w:before="147" w:after="0"/>
        <w:ind w:left="1761" w:right="1483" w:hanging="794"/>
        <w:jc w:val="left"/>
        <w:rPr>
          <w:sz w:val="20"/>
        </w:rPr>
      </w:pPr>
      <w:r>
        <w:rPr>
          <w:sz w:val="20"/>
        </w:rPr>
        <w:t>The United Nations Convention on the Rights of Persons with Disabilities </w:t>
      </w:r>
      <w:r>
        <w:rPr>
          <w:spacing w:val="-3"/>
          <w:sz w:val="20"/>
        </w:rPr>
        <w:t>(CRPD) </w:t>
      </w:r>
      <w:r>
        <w:rPr>
          <w:sz w:val="20"/>
        </w:rPr>
        <w:t>defines</w:t>
      </w:r>
      <w:r>
        <w:rPr>
          <w:spacing w:val="-9"/>
          <w:sz w:val="20"/>
        </w:rPr>
        <w:t> </w:t>
      </w:r>
      <w:r>
        <w:rPr>
          <w:spacing w:val="-3"/>
          <w:sz w:val="20"/>
        </w:rPr>
        <w:t>‘reasonable</w:t>
      </w:r>
      <w:r>
        <w:rPr>
          <w:spacing w:val="-8"/>
          <w:sz w:val="20"/>
        </w:rPr>
        <w:t> </w:t>
      </w:r>
      <w:r>
        <w:rPr>
          <w:spacing w:val="-2"/>
          <w:sz w:val="20"/>
        </w:rPr>
        <w:t>accommodations’</w:t>
      </w:r>
      <w:r>
        <w:rPr>
          <w:spacing w:val="-9"/>
          <w:sz w:val="20"/>
        </w:rPr>
        <w:t> </w:t>
      </w:r>
      <w:r>
        <w:rPr>
          <w:sz w:val="20"/>
        </w:rPr>
        <w:t>(which</w:t>
      </w:r>
      <w:r>
        <w:rPr>
          <w:spacing w:val="-8"/>
          <w:sz w:val="20"/>
        </w:rPr>
        <w:t> </w:t>
      </w:r>
      <w:r>
        <w:rPr>
          <w:spacing w:val="-3"/>
          <w:sz w:val="20"/>
        </w:rPr>
        <w:t>we</w:t>
      </w:r>
      <w:r>
        <w:rPr>
          <w:spacing w:val="-9"/>
          <w:sz w:val="20"/>
        </w:rPr>
        <w:t> </w:t>
      </w:r>
      <w:r>
        <w:rPr>
          <w:sz w:val="20"/>
        </w:rPr>
        <w:t>call</w:t>
      </w:r>
      <w:r>
        <w:rPr>
          <w:spacing w:val="-8"/>
          <w:sz w:val="20"/>
        </w:rPr>
        <w:t> </w:t>
      </w:r>
      <w:r>
        <w:rPr>
          <w:spacing w:val="-3"/>
          <w:sz w:val="20"/>
        </w:rPr>
        <w:t>‘reasonable</w:t>
      </w:r>
      <w:r>
        <w:rPr>
          <w:spacing w:val="-9"/>
          <w:sz w:val="20"/>
        </w:rPr>
        <w:t> </w:t>
      </w:r>
      <w:r>
        <w:rPr>
          <w:sz w:val="20"/>
        </w:rPr>
        <w:t>adjustments’</w:t>
      </w:r>
      <w:r>
        <w:rPr>
          <w:spacing w:val="-8"/>
          <w:sz w:val="20"/>
        </w:rPr>
        <w:t> </w:t>
      </w:r>
      <w:r>
        <w:rPr>
          <w:sz w:val="20"/>
        </w:rPr>
        <w:t>in</w:t>
      </w:r>
      <w:r>
        <w:rPr>
          <w:spacing w:val="-9"/>
          <w:sz w:val="20"/>
        </w:rPr>
        <w:t> </w:t>
      </w:r>
      <w:r>
        <w:rPr>
          <w:sz w:val="20"/>
        </w:rPr>
        <w:t>this report)</w:t>
      </w:r>
      <w:r>
        <w:rPr>
          <w:spacing w:val="-5"/>
          <w:sz w:val="20"/>
        </w:rPr>
        <w:t> </w:t>
      </w:r>
      <w:r>
        <w:rPr>
          <w:sz w:val="20"/>
        </w:rPr>
        <w:t>as:</w:t>
      </w:r>
    </w:p>
    <w:p>
      <w:pPr>
        <w:spacing w:line="208" w:lineRule="auto" w:before="121"/>
        <w:ind w:left="2157" w:right="1202" w:firstLine="0"/>
        <w:jc w:val="left"/>
        <w:rPr>
          <w:sz w:val="11"/>
        </w:rPr>
      </w:pPr>
      <w:r>
        <w:rPr>
          <w:sz w:val="19"/>
        </w:rPr>
        <w:t>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r>
        <w:rPr>
          <w:position w:val="6"/>
          <w:sz w:val="11"/>
        </w:rPr>
        <w:t>2</w:t>
      </w:r>
    </w:p>
    <w:p>
      <w:pPr>
        <w:pStyle w:val="ListParagraph"/>
        <w:numPr>
          <w:ilvl w:val="1"/>
          <w:numId w:val="12"/>
        </w:numPr>
        <w:tabs>
          <w:tab w:pos="1761" w:val="left" w:leader="none"/>
          <w:tab w:pos="1762" w:val="left" w:leader="none"/>
        </w:tabs>
        <w:spacing w:line="206" w:lineRule="auto" w:before="125" w:after="0"/>
        <w:ind w:left="1761" w:right="1666" w:hanging="794"/>
        <w:jc w:val="left"/>
        <w:rPr>
          <w:sz w:val="20"/>
        </w:rPr>
      </w:pPr>
      <w:r>
        <w:rPr>
          <w:sz w:val="20"/>
        </w:rPr>
        <w:t>In the context of jury </w:t>
      </w:r>
      <w:r>
        <w:rPr>
          <w:spacing w:val="-4"/>
          <w:sz w:val="20"/>
        </w:rPr>
        <w:t>duty, </w:t>
      </w:r>
      <w:r>
        <w:rPr>
          <w:sz w:val="20"/>
        </w:rPr>
        <w:t>accessibility tools </w:t>
      </w:r>
      <w:r>
        <w:rPr>
          <w:spacing w:val="-3"/>
          <w:sz w:val="20"/>
        </w:rPr>
        <w:t>are </w:t>
      </w:r>
      <w:r>
        <w:rPr>
          <w:sz w:val="20"/>
        </w:rPr>
        <w:t>needed to ensure that a person can</w:t>
      </w:r>
      <w:r>
        <w:rPr>
          <w:spacing w:val="-12"/>
          <w:sz w:val="20"/>
        </w:rPr>
        <w:t> </w:t>
      </w:r>
      <w:r>
        <w:rPr>
          <w:sz w:val="20"/>
        </w:rPr>
        <w:t>understand</w:t>
      </w:r>
      <w:r>
        <w:rPr>
          <w:spacing w:val="-11"/>
          <w:sz w:val="20"/>
        </w:rPr>
        <w:t> </w:t>
      </w:r>
      <w:r>
        <w:rPr>
          <w:sz w:val="20"/>
        </w:rPr>
        <w:t>and</w:t>
      </w:r>
      <w:r>
        <w:rPr>
          <w:spacing w:val="-11"/>
          <w:sz w:val="20"/>
        </w:rPr>
        <w:t> </w:t>
      </w:r>
      <w:r>
        <w:rPr>
          <w:spacing w:val="-3"/>
          <w:sz w:val="20"/>
        </w:rPr>
        <w:t>follow</w:t>
      </w:r>
      <w:r>
        <w:rPr>
          <w:spacing w:val="-11"/>
          <w:sz w:val="20"/>
        </w:rPr>
        <w:t> </w:t>
      </w:r>
      <w:r>
        <w:rPr>
          <w:sz w:val="20"/>
        </w:rPr>
        <w:t>proceedings,</w:t>
      </w:r>
      <w:r>
        <w:rPr>
          <w:spacing w:val="-11"/>
          <w:sz w:val="20"/>
        </w:rPr>
        <w:t> </w:t>
      </w:r>
      <w:r>
        <w:rPr>
          <w:spacing w:val="-3"/>
          <w:sz w:val="20"/>
        </w:rPr>
        <w:t>navigate</w:t>
      </w:r>
      <w:r>
        <w:rPr>
          <w:spacing w:val="-12"/>
          <w:sz w:val="20"/>
        </w:rPr>
        <w:t> </w:t>
      </w:r>
      <w:r>
        <w:rPr>
          <w:sz w:val="20"/>
        </w:rPr>
        <w:t>the</w:t>
      </w:r>
      <w:r>
        <w:rPr>
          <w:spacing w:val="-11"/>
          <w:sz w:val="20"/>
        </w:rPr>
        <w:t> </w:t>
      </w:r>
      <w:r>
        <w:rPr>
          <w:sz w:val="20"/>
        </w:rPr>
        <w:t>courtroom</w:t>
      </w:r>
      <w:r>
        <w:rPr>
          <w:spacing w:val="-11"/>
          <w:sz w:val="20"/>
        </w:rPr>
        <w:t> </w:t>
      </w:r>
      <w:r>
        <w:rPr>
          <w:sz w:val="20"/>
        </w:rPr>
        <w:t>and</w:t>
      </w:r>
      <w:r>
        <w:rPr>
          <w:spacing w:val="-11"/>
          <w:sz w:val="20"/>
        </w:rPr>
        <w:t> </w:t>
      </w:r>
      <w:r>
        <w:rPr>
          <w:sz w:val="20"/>
        </w:rPr>
        <w:t>building,</w:t>
      </w:r>
      <w:r>
        <w:rPr>
          <w:spacing w:val="-12"/>
          <w:sz w:val="20"/>
        </w:rPr>
        <w:t> </w:t>
      </w:r>
      <w:r>
        <w:rPr>
          <w:sz w:val="20"/>
        </w:rPr>
        <w:t>and</w:t>
      </w:r>
    </w:p>
    <w:p>
      <w:pPr>
        <w:pStyle w:val="BodyText"/>
        <w:spacing w:line="229" w:lineRule="exact"/>
        <w:ind w:left="1761"/>
      </w:pPr>
      <w:r>
        <w:rPr/>
        <w:t>communicate effectively with their fellow jurors. Potential jurors may need to use more</w:t>
      </w:r>
    </w:p>
    <w:p>
      <w:pPr>
        <w:pStyle w:val="BodyText"/>
        <w:spacing w:line="259" w:lineRule="exact"/>
        <w:ind w:left="1761"/>
      </w:pPr>
      <w:r>
        <w:rPr/>
        <w:t>than one type of adjustment.</w:t>
      </w:r>
    </w:p>
    <w:p>
      <w:pPr>
        <w:pStyle w:val="BodyText"/>
      </w:pPr>
    </w:p>
    <w:p>
      <w:pPr>
        <w:pStyle w:val="BodyText"/>
        <w:spacing w:before="8"/>
        <w:rPr>
          <w:sz w:val="23"/>
        </w:rPr>
      </w:pPr>
      <w:r>
        <w:rPr/>
        <w:pict>
          <v:line style="position:absolute;mso-position-horizontal-relative:page;mso-position-vertical-relative:paragraph;z-index:7784;mso-wrap-distance-left:0;mso-wrap-distance-right:0" from="79.370102pt,18.827463pt" to="515.905102pt,18.827463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spacing w:before="214"/>
        <w:ind w:left="100" w:right="0" w:firstLine="0"/>
        <w:jc w:val="left"/>
        <w:rPr>
          <w:b/>
          <w:sz w:val="24"/>
        </w:rPr>
      </w:pPr>
      <w:r>
        <w:rPr/>
        <w:pict>
          <v:rect style="position:absolute;margin-left:0pt;margin-top:99.213013pt;width:14.173pt;height:85.748pt;mso-position-horizontal-relative:page;mso-position-vertical-relative:page;z-index:9856" filled="true" fillcolor="#37617a" stroked="false">
            <v:fill type="solid"/>
            <w10:wrap type="none"/>
          </v:rect>
        </w:pict>
      </w:r>
      <w:r>
        <w:rPr>
          <w:b/>
          <w:color w:val="37617A"/>
          <w:sz w:val="24"/>
        </w:rPr>
        <w:t>142</w:t>
      </w:r>
    </w:p>
    <w:p>
      <w:pPr>
        <w:pStyle w:val="ListParagraph"/>
        <w:numPr>
          <w:ilvl w:val="0"/>
          <w:numId w:val="96"/>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z w:val="13"/>
        </w:rPr>
        <w:t>Consultation 1 </w:t>
      </w:r>
      <w:r>
        <w:rPr>
          <w:spacing w:val="2"/>
          <w:sz w:val="13"/>
        </w:rPr>
        <w:t>(Blind </w:t>
      </w:r>
      <w:r>
        <w:rPr>
          <w:sz w:val="13"/>
        </w:rPr>
        <w:t>Citizens</w:t>
      </w:r>
      <w:r>
        <w:rPr>
          <w:spacing w:val="-2"/>
          <w:sz w:val="13"/>
        </w:rPr>
        <w:t> </w:t>
      </w:r>
      <w:r>
        <w:rPr>
          <w:sz w:val="13"/>
        </w:rPr>
        <w:t>Australia).</w:t>
      </w:r>
    </w:p>
    <w:p>
      <w:pPr>
        <w:pStyle w:val="ListParagraph"/>
        <w:numPr>
          <w:ilvl w:val="0"/>
          <w:numId w:val="96"/>
        </w:numPr>
        <w:tabs>
          <w:tab w:pos="893" w:val="left" w:leader="none"/>
          <w:tab w:pos="894" w:val="left" w:leader="none"/>
        </w:tabs>
        <w:spacing w:line="213" w:lineRule="auto" w:before="7" w:after="0"/>
        <w:ind w:left="893" w:right="1303" w:hanging="793"/>
        <w:jc w:val="left"/>
        <w:rPr>
          <w:sz w:val="13"/>
        </w:rPr>
      </w:pP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 </w:t>
      </w:r>
      <w:r>
        <w:rPr>
          <w:spacing w:val="2"/>
          <w:sz w:val="13"/>
        </w:rPr>
        <w:t>art</w:t>
      </w:r>
      <w:r>
        <w:rPr>
          <w:sz w:val="13"/>
        </w:rPr>
        <w:t> 2.</w:t>
      </w:r>
    </w:p>
    <w:p>
      <w:pPr>
        <w:spacing w:after="0" w:line="213" w:lineRule="auto"/>
        <w:jc w:val="left"/>
        <w:rPr>
          <w:sz w:val="13"/>
        </w:rPr>
        <w:sectPr>
          <w:type w:val="continuous"/>
          <w:pgSz w:w="11910" w:h="16840"/>
          <w:pgMar w:top="620" w:bottom="280" w:left="620" w:right="380"/>
          <w:cols w:num="2" w:equalWidth="0">
            <w:col w:w="531" w:space="337"/>
            <w:col w:w="10042"/>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595" w:hanging="794"/>
        <w:jc w:val="left"/>
        <w:rPr>
          <w:sz w:val="20"/>
        </w:rPr>
      </w:pPr>
      <w:bookmarkStart w:name="Adjustments for people who are deaf or h" w:id="244"/>
      <w:bookmarkEnd w:id="244"/>
      <w:r>
        <w:rPr/>
      </w:r>
      <w:bookmarkStart w:name="_bookmark101" w:id="245"/>
      <w:bookmarkEnd w:id="245"/>
      <w:r>
        <w:rPr/>
      </w:r>
      <w:bookmarkStart w:name="_bookmark101" w:id="246"/>
      <w:bookmarkEnd w:id="246"/>
      <w:r>
        <w:rPr>
          <w:sz w:val="20"/>
        </w:rPr>
        <w:t>A</w:t>
      </w:r>
      <w:r>
        <w:rPr>
          <w:sz w:val="20"/>
        </w:rPr>
        <w:t>s</w:t>
      </w:r>
      <w:r>
        <w:rPr>
          <w:spacing w:val="-10"/>
          <w:sz w:val="20"/>
        </w:rPr>
        <w:t> </w:t>
      </w:r>
      <w:r>
        <w:rPr>
          <w:sz w:val="20"/>
        </w:rPr>
        <w:t>noted</w:t>
      </w:r>
      <w:r>
        <w:rPr>
          <w:spacing w:val="-9"/>
          <w:sz w:val="20"/>
        </w:rPr>
        <w:t> </w:t>
      </w:r>
      <w:r>
        <w:rPr>
          <w:sz w:val="20"/>
        </w:rPr>
        <w:t>in</w:t>
      </w:r>
      <w:r>
        <w:rPr>
          <w:spacing w:val="-10"/>
          <w:sz w:val="20"/>
        </w:rPr>
        <w:t> </w:t>
      </w:r>
      <w:r>
        <w:rPr>
          <w:spacing w:val="-2"/>
          <w:sz w:val="20"/>
        </w:rPr>
        <w:t>Chapter</w:t>
      </w:r>
      <w:r>
        <w:rPr>
          <w:spacing w:val="-9"/>
          <w:sz w:val="20"/>
        </w:rPr>
        <w:t> </w:t>
      </w:r>
      <w:r>
        <w:rPr>
          <w:sz w:val="20"/>
        </w:rPr>
        <w:t>11</w:t>
      </w:r>
      <w:r>
        <w:rPr>
          <w:spacing w:val="-9"/>
          <w:sz w:val="20"/>
        </w:rPr>
        <w:t> </w:t>
      </w:r>
      <w:r>
        <w:rPr>
          <w:sz w:val="20"/>
        </w:rPr>
        <w:t>it</w:t>
      </w:r>
      <w:r>
        <w:rPr>
          <w:spacing w:val="-10"/>
          <w:sz w:val="20"/>
        </w:rPr>
        <w:t> </w:t>
      </w:r>
      <w:r>
        <w:rPr>
          <w:sz w:val="20"/>
        </w:rPr>
        <w:t>will</w:t>
      </w:r>
      <w:r>
        <w:rPr>
          <w:spacing w:val="-9"/>
          <w:sz w:val="20"/>
        </w:rPr>
        <w:t> </w:t>
      </w:r>
      <w:r>
        <w:rPr>
          <w:sz w:val="20"/>
        </w:rPr>
        <w:t>be</w:t>
      </w:r>
      <w:r>
        <w:rPr>
          <w:spacing w:val="-9"/>
          <w:sz w:val="20"/>
        </w:rPr>
        <w:t> </w:t>
      </w:r>
      <w:r>
        <w:rPr>
          <w:sz w:val="20"/>
        </w:rPr>
        <w:t>important</w:t>
      </w:r>
      <w:r>
        <w:rPr>
          <w:spacing w:val="-10"/>
          <w:sz w:val="20"/>
        </w:rPr>
        <w:t> </w:t>
      </w:r>
      <w:r>
        <w:rPr>
          <w:sz w:val="20"/>
        </w:rPr>
        <w:t>for</w:t>
      </w:r>
      <w:r>
        <w:rPr>
          <w:spacing w:val="-9"/>
          <w:sz w:val="20"/>
        </w:rPr>
        <w:t> </w:t>
      </w:r>
      <w:r>
        <w:rPr>
          <w:sz w:val="20"/>
        </w:rPr>
        <w:t>Juries</w:t>
      </w:r>
      <w:r>
        <w:rPr>
          <w:spacing w:val="-10"/>
          <w:sz w:val="20"/>
        </w:rPr>
        <w:t> </w:t>
      </w:r>
      <w:r>
        <w:rPr>
          <w:sz w:val="20"/>
        </w:rPr>
        <w:t>Victoria</w:t>
      </w:r>
      <w:r>
        <w:rPr>
          <w:spacing w:val="-9"/>
          <w:sz w:val="20"/>
        </w:rPr>
        <w:t> </w:t>
      </w:r>
      <w:r>
        <w:rPr>
          <w:sz w:val="20"/>
        </w:rPr>
        <w:t>to</w:t>
      </w:r>
      <w:r>
        <w:rPr>
          <w:spacing w:val="-9"/>
          <w:sz w:val="20"/>
        </w:rPr>
        <w:t> </w:t>
      </w:r>
      <w:r>
        <w:rPr>
          <w:sz w:val="20"/>
        </w:rPr>
        <w:t>establish</w:t>
      </w:r>
      <w:r>
        <w:rPr>
          <w:spacing w:val="-10"/>
          <w:sz w:val="20"/>
        </w:rPr>
        <w:t> </w:t>
      </w:r>
      <w:r>
        <w:rPr>
          <w:sz w:val="20"/>
        </w:rPr>
        <w:t>an</w:t>
      </w:r>
      <w:r>
        <w:rPr>
          <w:spacing w:val="-9"/>
          <w:sz w:val="20"/>
        </w:rPr>
        <w:t> </w:t>
      </w:r>
      <w:r>
        <w:rPr>
          <w:sz w:val="20"/>
        </w:rPr>
        <w:t>ongoing relationship with peak disability advocacy organisations to discuss </w:t>
      </w:r>
      <w:r>
        <w:rPr>
          <w:spacing w:val="-3"/>
          <w:sz w:val="20"/>
        </w:rPr>
        <w:t>available </w:t>
      </w:r>
      <w:r>
        <w:rPr>
          <w:sz w:val="20"/>
        </w:rPr>
        <w:t>adjustments</w:t>
      </w:r>
      <w:r>
        <w:rPr>
          <w:spacing w:val="-6"/>
          <w:sz w:val="20"/>
        </w:rPr>
        <w:t> </w:t>
      </w:r>
      <w:r>
        <w:rPr>
          <w:sz w:val="20"/>
        </w:rPr>
        <w:t>and</w:t>
      </w:r>
      <w:r>
        <w:rPr>
          <w:spacing w:val="-5"/>
          <w:sz w:val="20"/>
        </w:rPr>
        <w:t> </w:t>
      </w:r>
      <w:r>
        <w:rPr>
          <w:sz w:val="20"/>
        </w:rPr>
        <w:t>keep</w:t>
      </w:r>
      <w:r>
        <w:rPr>
          <w:spacing w:val="-5"/>
          <w:sz w:val="20"/>
        </w:rPr>
        <w:t> </w:t>
      </w:r>
      <w:r>
        <w:rPr>
          <w:sz w:val="20"/>
        </w:rPr>
        <w:t>in</w:t>
      </w:r>
      <w:r>
        <w:rPr>
          <w:spacing w:val="-5"/>
          <w:sz w:val="20"/>
        </w:rPr>
        <w:t> </w:t>
      </w:r>
      <w:r>
        <w:rPr>
          <w:sz w:val="20"/>
        </w:rPr>
        <w:t>touch</w:t>
      </w:r>
      <w:r>
        <w:rPr>
          <w:spacing w:val="-5"/>
          <w:sz w:val="20"/>
        </w:rPr>
        <w:t> </w:t>
      </w:r>
      <w:r>
        <w:rPr>
          <w:sz w:val="20"/>
        </w:rPr>
        <w:t>with</w:t>
      </w:r>
      <w:r>
        <w:rPr>
          <w:spacing w:val="-5"/>
          <w:sz w:val="20"/>
        </w:rPr>
        <w:t> </w:t>
      </w:r>
      <w:r>
        <w:rPr>
          <w:sz w:val="20"/>
        </w:rPr>
        <w:t>changes</w:t>
      </w:r>
      <w:r>
        <w:rPr>
          <w:spacing w:val="-5"/>
          <w:sz w:val="20"/>
        </w:rPr>
        <w:t> </w:t>
      </w:r>
      <w:r>
        <w:rPr>
          <w:sz w:val="20"/>
        </w:rPr>
        <w:t>in</w:t>
      </w:r>
      <w:r>
        <w:rPr>
          <w:spacing w:val="-5"/>
          <w:sz w:val="20"/>
        </w:rPr>
        <w:t> </w:t>
      </w:r>
      <w:r>
        <w:rPr>
          <w:spacing w:val="-3"/>
          <w:sz w:val="20"/>
        </w:rPr>
        <w:t>technology.</w:t>
      </w:r>
    </w:p>
    <w:p>
      <w:pPr>
        <w:pStyle w:val="BodyText"/>
        <w:spacing w:before="7"/>
        <w:rPr>
          <w:sz w:val="16"/>
        </w:rPr>
      </w:pPr>
    </w:p>
    <w:p>
      <w:pPr>
        <w:spacing w:before="0"/>
        <w:ind w:left="967" w:right="0" w:firstLine="0"/>
        <w:jc w:val="left"/>
        <w:rPr>
          <w:rFonts w:ascii="Raleway ExtraBold"/>
          <w:b/>
          <w:sz w:val="28"/>
        </w:rPr>
      </w:pPr>
      <w:r>
        <w:rPr>
          <w:rFonts w:ascii="Raleway ExtraBold"/>
          <w:b/>
          <w:color w:val="37617A"/>
          <w:sz w:val="28"/>
        </w:rPr>
        <w:t>Adjustments for people who are deaf or hard of hearing</w:t>
      </w:r>
    </w:p>
    <w:p>
      <w:pPr>
        <w:pStyle w:val="ListParagraph"/>
        <w:numPr>
          <w:ilvl w:val="1"/>
          <w:numId w:val="12"/>
        </w:numPr>
        <w:tabs>
          <w:tab w:pos="1761" w:val="left" w:leader="none"/>
          <w:tab w:pos="1762" w:val="left" w:leader="none"/>
        </w:tabs>
        <w:spacing w:line="206" w:lineRule="auto" w:before="146" w:after="0"/>
        <w:ind w:left="1761" w:right="1404" w:hanging="794"/>
        <w:jc w:val="left"/>
        <w:rPr>
          <w:sz w:val="20"/>
        </w:rPr>
      </w:pPr>
      <w:r>
        <w:rPr>
          <w:sz w:val="20"/>
        </w:rPr>
        <w:t>People who </w:t>
      </w:r>
      <w:r>
        <w:rPr>
          <w:spacing w:val="-3"/>
          <w:sz w:val="20"/>
        </w:rPr>
        <w:t>are </w:t>
      </w:r>
      <w:r>
        <w:rPr>
          <w:sz w:val="20"/>
        </w:rPr>
        <w:t>deaf or hard of hearing already use a range of adjustments to participate</w:t>
      </w:r>
      <w:r>
        <w:rPr>
          <w:spacing w:val="-12"/>
          <w:sz w:val="20"/>
        </w:rPr>
        <w:t> </w:t>
      </w:r>
      <w:r>
        <w:rPr>
          <w:sz w:val="20"/>
        </w:rPr>
        <w:t>in</w:t>
      </w:r>
      <w:r>
        <w:rPr>
          <w:spacing w:val="-11"/>
          <w:sz w:val="20"/>
        </w:rPr>
        <w:t> </w:t>
      </w:r>
      <w:r>
        <w:rPr>
          <w:sz w:val="20"/>
        </w:rPr>
        <w:t>Victorian</w:t>
      </w:r>
      <w:r>
        <w:rPr>
          <w:spacing w:val="-11"/>
          <w:sz w:val="20"/>
        </w:rPr>
        <w:t> </w:t>
      </w:r>
      <w:r>
        <w:rPr>
          <w:sz w:val="20"/>
        </w:rPr>
        <w:t>court</w:t>
      </w:r>
      <w:r>
        <w:rPr>
          <w:spacing w:val="-11"/>
          <w:sz w:val="20"/>
        </w:rPr>
        <w:t> </w:t>
      </w:r>
      <w:r>
        <w:rPr>
          <w:sz w:val="20"/>
        </w:rPr>
        <w:t>proceedings</w:t>
      </w:r>
      <w:r>
        <w:rPr>
          <w:spacing w:val="-12"/>
          <w:sz w:val="20"/>
        </w:rPr>
        <w:t> </w:t>
      </w:r>
      <w:r>
        <w:rPr>
          <w:sz w:val="20"/>
        </w:rPr>
        <w:t>as</w:t>
      </w:r>
      <w:r>
        <w:rPr>
          <w:spacing w:val="-11"/>
          <w:sz w:val="20"/>
        </w:rPr>
        <w:t> </w:t>
      </w:r>
      <w:r>
        <w:rPr>
          <w:sz w:val="20"/>
        </w:rPr>
        <w:t>witnesses</w:t>
      </w:r>
      <w:r>
        <w:rPr>
          <w:spacing w:val="-11"/>
          <w:sz w:val="20"/>
        </w:rPr>
        <w:t> </w:t>
      </w:r>
      <w:r>
        <w:rPr>
          <w:sz w:val="20"/>
        </w:rPr>
        <w:t>and</w:t>
      </w:r>
      <w:r>
        <w:rPr>
          <w:spacing w:val="-11"/>
          <w:sz w:val="20"/>
        </w:rPr>
        <w:t> </w:t>
      </w:r>
      <w:r>
        <w:rPr>
          <w:sz w:val="20"/>
        </w:rPr>
        <w:t>parties.</w:t>
      </w:r>
      <w:r>
        <w:rPr>
          <w:spacing w:val="-12"/>
          <w:sz w:val="20"/>
        </w:rPr>
        <w:t> </w:t>
      </w:r>
      <w:r>
        <w:rPr>
          <w:sz w:val="20"/>
        </w:rPr>
        <w:t>Some</w:t>
      </w:r>
      <w:r>
        <w:rPr>
          <w:spacing w:val="-11"/>
          <w:sz w:val="20"/>
        </w:rPr>
        <w:t> </w:t>
      </w:r>
      <w:r>
        <w:rPr>
          <w:sz w:val="20"/>
        </w:rPr>
        <w:t>of</w:t>
      </w:r>
      <w:r>
        <w:rPr>
          <w:spacing w:val="-11"/>
          <w:sz w:val="20"/>
        </w:rPr>
        <w:t> </w:t>
      </w:r>
      <w:r>
        <w:rPr>
          <w:sz w:val="20"/>
        </w:rPr>
        <w:t>these,</w:t>
      </w:r>
      <w:r>
        <w:rPr>
          <w:spacing w:val="-11"/>
          <w:sz w:val="20"/>
        </w:rPr>
        <w:t> </w:t>
      </w:r>
      <w:r>
        <w:rPr>
          <w:sz w:val="20"/>
        </w:rPr>
        <w:t>as well</w:t>
      </w:r>
      <w:r>
        <w:rPr>
          <w:spacing w:val="-10"/>
          <w:sz w:val="20"/>
        </w:rPr>
        <w:t> </w:t>
      </w:r>
      <w:r>
        <w:rPr>
          <w:sz w:val="20"/>
        </w:rPr>
        <w:t>as</w:t>
      </w:r>
      <w:r>
        <w:rPr>
          <w:spacing w:val="-10"/>
          <w:sz w:val="20"/>
        </w:rPr>
        <w:t> </w:t>
      </w:r>
      <w:r>
        <w:rPr>
          <w:sz w:val="20"/>
        </w:rPr>
        <w:t>additional</w:t>
      </w:r>
      <w:r>
        <w:rPr>
          <w:spacing w:val="-9"/>
          <w:sz w:val="20"/>
        </w:rPr>
        <w:t> </w:t>
      </w:r>
      <w:r>
        <w:rPr>
          <w:sz w:val="20"/>
        </w:rPr>
        <w:t>adjustments</w:t>
      </w:r>
      <w:r>
        <w:rPr>
          <w:spacing w:val="-10"/>
          <w:sz w:val="20"/>
        </w:rPr>
        <w:t> </w:t>
      </w:r>
      <w:r>
        <w:rPr>
          <w:sz w:val="20"/>
        </w:rPr>
        <w:t>that</w:t>
      </w:r>
      <w:r>
        <w:rPr>
          <w:spacing w:val="-9"/>
          <w:sz w:val="20"/>
        </w:rPr>
        <w:t> </w:t>
      </w:r>
      <w:r>
        <w:rPr>
          <w:spacing w:val="-3"/>
          <w:sz w:val="20"/>
        </w:rPr>
        <w:t>may</w:t>
      </w:r>
      <w:r>
        <w:rPr>
          <w:spacing w:val="-10"/>
          <w:sz w:val="20"/>
        </w:rPr>
        <w:t> </w:t>
      </w:r>
      <w:r>
        <w:rPr>
          <w:sz w:val="20"/>
        </w:rPr>
        <w:t>be</w:t>
      </w:r>
      <w:r>
        <w:rPr>
          <w:spacing w:val="-9"/>
          <w:sz w:val="20"/>
        </w:rPr>
        <w:t> </w:t>
      </w:r>
      <w:r>
        <w:rPr>
          <w:sz w:val="20"/>
        </w:rPr>
        <w:t>useful</w:t>
      </w:r>
      <w:r>
        <w:rPr>
          <w:spacing w:val="-10"/>
          <w:sz w:val="20"/>
        </w:rPr>
        <w:t> </w:t>
      </w:r>
      <w:r>
        <w:rPr>
          <w:sz w:val="20"/>
        </w:rPr>
        <w:t>for</w:t>
      </w:r>
      <w:r>
        <w:rPr>
          <w:spacing w:val="-9"/>
          <w:sz w:val="20"/>
        </w:rPr>
        <w:t> </w:t>
      </w:r>
      <w:r>
        <w:rPr>
          <w:sz w:val="20"/>
        </w:rPr>
        <w:t>jury</w:t>
      </w:r>
      <w:r>
        <w:rPr>
          <w:spacing w:val="-10"/>
          <w:sz w:val="20"/>
        </w:rPr>
        <w:t> </w:t>
      </w:r>
      <w:r>
        <w:rPr>
          <w:sz w:val="20"/>
        </w:rPr>
        <w:t>service,</w:t>
      </w:r>
      <w:r>
        <w:rPr>
          <w:spacing w:val="-9"/>
          <w:sz w:val="20"/>
        </w:rPr>
        <w:t> </w:t>
      </w:r>
      <w:r>
        <w:rPr>
          <w:spacing w:val="-3"/>
          <w:sz w:val="20"/>
        </w:rPr>
        <w:t>are</w:t>
      </w:r>
      <w:r>
        <w:rPr>
          <w:spacing w:val="-10"/>
          <w:sz w:val="20"/>
        </w:rPr>
        <w:t> </w:t>
      </w:r>
      <w:r>
        <w:rPr>
          <w:sz w:val="20"/>
        </w:rPr>
        <w:t>outlined</w:t>
      </w:r>
      <w:r>
        <w:rPr>
          <w:spacing w:val="-9"/>
          <w:sz w:val="20"/>
        </w:rPr>
        <w:t> </w:t>
      </w:r>
      <w:r>
        <w:rPr>
          <w:spacing w:val="-5"/>
          <w:sz w:val="20"/>
        </w:rPr>
        <w:t>below.</w:t>
      </w:r>
    </w:p>
    <w:p>
      <w:pPr>
        <w:spacing w:before="162"/>
        <w:ind w:left="967" w:right="0" w:firstLine="0"/>
        <w:jc w:val="left"/>
        <w:rPr>
          <w:b/>
          <w:sz w:val="24"/>
        </w:rPr>
      </w:pPr>
      <w:r>
        <w:rPr>
          <w:b/>
          <w:sz w:val="24"/>
        </w:rPr>
        <w:t>Lip-reading</w:t>
      </w:r>
    </w:p>
    <w:p>
      <w:pPr>
        <w:pStyle w:val="ListParagraph"/>
        <w:numPr>
          <w:ilvl w:val="1"/>
          <w:numId w:val="12"/>
        </w:numPr>
        <w:tabs>
          <w:tab w:pos="1761" w:val="left" w:leader="none"/>
          <w:tab w:pos="1762" w:val="left" w:leader="none"/>
        </w:tabs>
        <w:spacing w:line="206" w:lineRule="auto" w:before="127" w:after="0"/>
        <w:ind w:left="1761" w:right="1472" w:hanging="794"/>
        <w:jc w:val="left"/>
        <w:rPr>
          <w:sz w:val="20"/>
        </w:rPr>
      </w:pPr>
      <w:r>
        <w:rPr>
          <w:spacing w:val="-3"/>
          <w:sz w:val="20"/>
        </w:rPr>
        <w:t>Many</w:t>
      </w:r>
      <w:r>
        <w:rPr>
          <w:spacing w:val="-9"/>
          <w:sz w:val="20"/>
        </w:rPr>
        <w:t> </w:t>
      </w:r>
      <w:r>
        <w:rPr>
          <w:sz w:val="20"/>
        </w:rPr>
        <w:t>people</w:t>
      </w:r>
      <w:r>
        <w:rPr>
          <w:spacing w:val="-9"/>
          <w:sz w:val="20"/>
        </w:rPr>
        <w:t> </w:t>
      </w:r>
      <w:r>
        <w:rPr>
          <w:sz w:val="20"/>
        </w:rPr>
        <w:t>who</w:t>
      </w:r>
      <w:r>
        <w:rPr>
          <w:spacing w:val="-9"/>
          <w:sz w:val="20"/>
        </w:rPr>
        <w:t> </w:t>
      </w:r>
      <w:r>
        <w:rPr>
          <w:spacing w:val="-3"/>
          <w:sz w:val="20"/>
        </w:rPr>
        <w:t>are</w:t>
      </w:r>
      <w:r>
        <w:rPr>
          <w:spacing w:val="-9"/>
          <w:sz w:val="20"/>
        </w:rPr>
        <w:t> </w:t>
      </w:r>
      <w:r>
        <w:rPr>
          <w:sz w:val="20"/>
        </w:rPr>
        <w:t>deaf</w:t>
      </w:r>
      <w:r>
        <w:rPr>
          <w:spacing w:val="-8"/>
          <w:sz w:val="20"/>
        </w:rPr>
        <w:t> </w:t>
      </w:r>
      <w:r>
        <w:rPr>
          <w:sz w:val="20"/>
        </w:rPr>
        <w:t>or</w:t>
      </w:r>
      <w:r>
        <w:rPr>
          <w:spacing w:val="-9"/>
          <w:sz w:val="20"/>
        </w:rPr>
        <w:t> </w:t>
      </w:r>
      <w:r>
        <w:rPr>
          <w:sz w:val="20"/>
        </w:rPr>
        <w:t>hard</w:t>
      </w:r>
      <w:r>
        <w:rPr>
          <w:spacing w:val="-9"/>
          <w:sz w:val="20"/>
        </w:rPr>
        <w:t> </w:t>
      </w:r>
      <w:r>
        <w:rPr>
          <w:sz w:val="20"/>
        </w:rPr>
        <w:t>of</w:t>
      </w:r>
      <w:r>
        <w:rPr>
          <w:spacing w:val="-9"/>
          <w:sz w:val="20"/>
        </w:rPr>
        <w:t> </w:t>
      </w:r>
      <w:r>
        <w:rPr>
          <w:sz w:val="20"/>
        </w:rPr>
        <w:t>hearing</w:t>
      </w:r>
      <w:r>
        <w:rPr>
          <w:spacing w:val="-9"/>
          <w:sz w:val="20"/>
        </w:rPr>
        <w:t> </w:t>
      </w:r>
      <w:r>
        <w:rPr>
          <w:sz w:val="20"/>
        </w:rPr>
        <w:t>use</w:t>
      </w:r>
      <w:r>
        <w:rPr>
          <w:spacing w:val="-9"/>
          <w:sz w:val="20"/>
        </w:rPr>
        <w:t> </w:t>
      </w:r>
      <w:r>
        <w:rPr>
          <w:sz w:val="20"/>
        </w:rPr>
        <w:t>lip-reading</w:t>
      </w:r>
      <w:r>
        <w:rPr>
          <w:spacing w:val="-8"/>
          <w:sz w:val="20"/>
        </w:rPr>
        <w:t> </w:t>
      </w:r>
      <w:r>
        <w:rPr>
          <w:sz w:val="20"/>
        </w:rPr>
        <w:t>as</w:t>
      </w:r>
      <w:r>
        <w:rPr>
          <w:spacing w:val="-9"/>
          <w:sz w:val="20"/>
        </w:rPr>
        <w:t> </w:t>
      </w:r>
      <w:r>
        <w:rPr>
          <w:sz w:val="20"/>
        </w:rPr>
        <w:t>a</w:t>
      </w:r>
      <w:r>
        <w:rPr>
          <w:spacing w:val="-9"/>
          <w:sz w:val="20"/>
        </w:rPr>
        <w:t> </w:t>
      </w:r>
      <w:r>
        <w:rPr>
          <w:sz w:val="20"/>
        </w:rPr>
        <w:t>tool</w:t>
      </w:r>
      <w:r>
        <w:rPr>
          <w:spacing w:val="-9"/>
          <w:sz w:val="20"/>
        </w:rPr>
        <w:t> </w:t>
      </w:r>
      <w:r>
        <w:rPr>
          <w:sz w:val="20"/>
        </w:rPr>
        <w:t>to</w:t>
      </w:r>
      <w:r>
        <w:rPr>
          <w:spacing w:val="-9"/>
          <w:sz w:val="20"/>
        </w:rPr>
        <w:t> </w:t>
      </w:r>
      <w:r>
        <w:rPr>
          <w:sz w:val="20"/>
        </w:rPr>
        <w:t>understand speech.</w:t>
      </w:r>
      <w:r>
        <w:rPr>
          <w:spacing w:val="-8"/>
          <w:sz w:val="20"/>
        </w:rPr>
        <w:t> </w:t>
      </w:r>
      <w:r>
        <w:rPr>
          <w:spacing w:val="-10"/>
          <w:sz w:val="20"/>
        </w:rPr>
        <w:t>To</w:t>
      </w:r>
      <w:r>
        <w:rPr>
          <w:spacing w:val="-8"/>
          <w:sz w:val="20"/>
        </w:rPr>
        <w:t> </w:t>
      </w:r>
      <w:r>
        <w:rPr>
          <w:sz w:val="20"/>
        </w:rPr>
        <w:t>lip-read</w:t>
      </w:r>
      <w:r>
        <w:rPr>
          <w:spacing w:val="-8"/>
          <w:sz w:val="20"/>
        </w:rPr>
        <w:t> </w:t>
      </w:r>
      <w:r>
        <w:rPr>
          <w:sz w:val="20"/>
        </w:rPr>
        <w:t>in</w:t>
      </w:r>
      <w:r>
        <w:rPr>
          <w:spacing w:val="-8"/>
          <w:sz w:val="20"/>
        </w:rPr>
        <w:t> </w:t>
      </w:r>
      <w:r>
        <w:rPr>
          <w:sz w:val="20"/>
        </w:rPr>
        <w:t>court</w:t>
      </w:r>
      <w:r>
        <w:rPr>
          <w:spacing w:val="-8"/>
          <w:sz w:val="20"/>
        </w:rPr>
        <w:t> </w:t>
      </w:r>
      <w:r>
        <w:rPr>
          <w:sz w:val="20"/>
        </w:rPr>
        <w:t>the</w:t>
      </w:r>
      <w:r>
        <w:rPr>
          <w:spacing w:val="-8"/>
          <w:sz w:val="20"/>
        </w:rPr>
        <w:t> </w:t>
      </w:r>
      <w:r>
        <w:rPr>
          <w:sz w:val="20"/>
        </w:rPr>
        <w:t>juror</w:t>
      </w:r>
      <w:r>
        <w:rPr>
          <w:spacing w:val="-8"/>
          <w:sz w:val="20"/>
        </w:rPr>
        <w:t> </w:t>
      </w:r>
      <w:r>
        <w:rPr>
          <w:spacing w:val="-3"/>
          <w:sz w:val="20"/>
        </w:rPr>
        <w:t>would</w:t>
      </w:r>
      <w:r>
        <w:rPr>
          <w:spacing w:val="-8"/>
          <w:sz w:val="20"/>
        </w:rPr>
        <w:t> </w:t>
      </w:r>
      <w:r>
        <w:rPr>
          <w:sz w:val="20"/>
        </w:rPr>
        <w:t>need</w:t>
      </w:r>
      <w:r>
        <w:rPr>
          <w:spacing w:val="-8"/>
          <w:sz w:val="20"/>
        </w:rPr>
        <w:t> </w:t>
      </w:r>
      <w:r>
        <w:rPr>
          <w:sz w:val="20"/>
        </w:rPr>
        <w:t>a</w:t>
      </w:r>
      <w:r>
        <w:rPr>
          <w:spacing w:val="-8"/>
          <w:sz w:val="20"/>
        </w:rPr>
        <w:t> </w:t>
      </w:r>
      <w:r>
        <w:rPr>
          <w:sz w:val="20"/>
        </w:rPr>
        <w:t>clear</w:t>
      </w:r>
      <w:r>
        <w:rPr>
          <w:spacing w:val="-8"/>
          <w:sz w:val="20"/>
        </w:rPr>
        <w:t> </w:t>
      </w:r>
      <w:r>
        <w:rPr>
          <w:sz w:val="20"/>
        </w:rPr>
        <w:t>line</w:t>
      </w:r>
      <w:r>
        <w:rPr>
          <w:spacing w:val="-8"/>
          <w:sz w:val="20"/>
        </w:rPr>
        <w:t> </w:t>
      </w:r>
      <w:r>
        <w:rPr>
          <w:sz w:val="20"/>
        </w:rPr>
        <w:t>of</w:t>
      </w:r>
      <w:r>
        <w:rPr>
          <w:spacing w:val="-8"/>
          <w:sz w:val="20"/>
        </w:rPr>
        <w:t> </w:t>
      </w:r>
      <w:r>
        <w:rPr>
          <w:sz w:val="20"/>
        </w:rPr>
        <w:t>sight</w:t>
      </w:r>
      <w:r>
        <w:rPr>
          <w:spacing w:val="-8"/>
          <w:sz w:val="20"/>
        </w:rPr>
        <w:t> </w:t>
      </w:r>
      <w:r>
        <w:rPr>
          <w:sz w:val="20"/>
        </w:rPr>
        <w:t>and</w:t>
      </w:r>
      <w:r>
        <w:rPr>
          <w:spacing w:val="-8"/>
          <w:sz w:val="20"/>
        </w:rPr>
        <w:t> </w:t>
      </w:r>
      <w:r>
        <w:rPr>
          <w:sz w:val="20"/>
        </w:rPr>
        <w:t>might</w:t>
      </w:r>
      <w:r>
        <w:rPr>
          <w:spacing w:val="-8"/>
          <w:sz w:val="20"/>
        </w:rPr>
        <w:t> </w:t>
      </w:r>
      <w:r>
        <w:rPr>
          <w:sz w:val="20"/>
        </w:rPr>
        <w:t>also want to </w:t>
      </w:r>
      <w:r>
        <w:rPr>
          <w:spacing w:val="-3"/>
          <w:sz w:val="20"/>
        </w:rPr>
        <w:t>make </w:t>
      </w:r>
      <w:r>
        <w:rPr>
          <w:sz w:val="20"/>
        </w:rPr>
        <w:t>use of technology to view evidence and court proceedings at a </w:t>
      </w:r>
      <w:r>
        <w:rPr>
          <w:spacing w:val="-3"/>
          <w:sz w:val="20"/>
        </w:rPr>
        <w:t>close </w:t>
      </w:r>
      <w:r>
        <w:rPr>
          <w:sz w:val="20"/>
        </w:rPr>
        <w:t>range.</w:t>
      </w:r>
    </w:p>
    <w:p>
      <w:pPr>
        <w:spacing w:before="164"/>
        <w:ind w:left="967" w:right="0" w:firstLine="0"/>
        <w:jc w:val="left"/>
        <w:rPr>
          <w:b/>
          <w:sz w:val="24"/>
        </w:rPr>
      </w:pPr>
      <w:r>
        <w:rPr>
          <w:b/>
          <w:sz w:val="24"/>
        </w:rPr>
        <w:t>Auslan interpreters</w:t>
      </w:r>
    </w:p>
    <w:p>
      <w:pPr>
        <w:pStyle w:val="ListParagraph"/>
        <w:numPr>
          <w:ilvl w:val="1"/>
          <w:numId w:val="12"/>
        </w:numPr>
        <w:tabs>
          <w:tab w:pos="1761" w:val="left" w:leader="none"/>
          <w:tab w:pos="1762" w:val="left" w:leader="none"/>
        </w:tabs>
        <w:spacing w:line="206" w:lineRule="auto" w:before="127" w:after="0"/>
        <w:ind w:left="1761" w:right="1707" w:hanging="794"/>
        <w:jc w:val="left"/>
        <w:rPr>
          <w:sz w:val="20"/>
        </w:rPr>
      </w:pPr>
      <w:r>
        <w:rPr>
          <w:sz w:val="20"/>
        </w:rPr>
        <w:t>Australian</w:t>
      </w:r>
      <w:r>
        <w:rPr>
          <w:spacing w:val="-11"/>
          <w:sz w:val="20"/>
        </w:rPr>
        <w:t> </w:t>
      </w:r>
      <w:r>
        <w:rPr>
          <w:sz w:val="20"/>
        </w:rPr>
        <w:t>Sign</w:t>
      </w:r>
      <w:r>
        <w:rPr>
          <w:spacing w:val="-11"/>
          <w:sz w:val="20"/>
        </w:rPr>
        <w:t> </w:t>
      </w:r>
      <w:r>
        <w:rPr>
          <w:sz w:val="20"/>
        </w:rPr>
        <w:t>Language</w:t>
      </w:r>
      <w:r>
        <w:rPr>
          <w:spacing w:val="-11"/>
          <w:sz w:val="20"/>
        </w:rPr>
        <w:t> </w:t>
      </w:r>
      <w:r>
        <w:rPr>
          <w:sz w:val="20"/>
        </w:rPr>
        <w:t>(Auslan)</w:t>
      </w:r>
      <w:r>
        <w:rPr>
          <w:spacing w:val="-11"/>
          <w:sz w:val="20"/>
        </w:rPr>
        <w:t> </w:t>
      </w:r>
      <w:r>
        <w:rPr>
          <w:sz w:val="20"/>
        </w:rPr>
        <w:t>is</w:t>
      </w:r>
      <w:r>
        <w:rPr>
          <w:spacing w:val="-11"/>
          <w:sz w:val="20"/>
        </w:rPr>
        <w:t> </w:t>
      </w:r>
      <w:r>
        <w:rPr>
          <w:sz w:val="20"/>
        </w:rPr>
        <w:t>a</w:t>
      </w:r>
      <w:r>
        <w:rPr>
          <w:spacing w:val="-11"/>
          <w:sz w:val="20"/>
        </w:rPr>
        <w:t> </w:t>
      </w:r>
      <w:r>
        <w:rPr>
          <w:sz w:val="20"/>
        </w:rPr>
        <w:t>visual</w:t>
      </w:r>
      <w:r>
        <w:rPr>
          <w:spacing w:val="-11"/>
          <w:sz w:val="20"/>
        </w:rPr>
        <w:t> </w:t>
      </w:r>
      <w:r>
        <w:rPr>
          <w:sz w:val="20"/>
        </w:rPr>
        <w:t>language</w:t>
      </w:r>
      <w:r>
        <w:rPr>
          <w:spacing w:val="-10"/>
          <w:sz w:val="20"/>
        </w:rPr>
        <w:t> </w:t>
      </w:r>
      <w:r>
        <w:rPr>
          <w:sz w:val="20"/>
        </w:rPr>
        <w:t>that</w:t>
      </w:r>
      <w:r>
        <w:rPr>
          <w:spacing w:val="-11"/>
          <w:sz w:val="20"/>
        </w:rPr>
        <w:t> </w:t>
      </w:r>
      <w:r>
        <w:rPr>
          <w:sz w:val="20"/>
        </w:rPr>
        <w:t>enables</w:t>
      </w:r>
      <w:r>
        <w:rPr>
          <w:spacing w:val="-11"/>
          <w:sz w:val="20"/>
        </w:rPr>
        <w:t> </w:t>
      </w:r>
      <w:r>
        <w:rPr>
          <w:sz w:val="20"/>
        </w:rPr>
        <w:t>deaf</w:t>
      </w:r>
      <w:r>
        <w:rPr>
          <w:spacing w:val="-11"/>
          <w:sz w:val="20"/>
        </w:rPr>
        <w:t> </w:t>
      </w:r>
      <w:r>
        <w:rPr>
          <w:sz w:val="20"/>
        </w:rPr>
        <w:t>and</w:t>
      </w:r>
      <w:r>
        <w:rPr>
          <w:spacing w:val="-11"/>
          <w:sz w:val="20"/>
        </w:rPr>
        <w:t> </w:t>
      </w:r>
      <w:r>
        <w:rPr>
          <w:sz w:val="20"/>
        </w:rPr>
        <w:t>hard of</w:t>
      </w:r>
      <w:r>
        <w:rPr>
          <w:spacing w:val="-8"/>
          <w:sz w:val="20"/>
        </w:rPr>
        <w:t> </w:t>
      </w:r>
      <w:r>
        <w:rPr>
          <w:sz w:val="20"/>
        </w:rPr>
        <w:t>hearing</w:t>
      </w:r>
      <w:r>
        <w:rPr>
          <w:spacing w:val="-8"/>
          <w:sz w:val="20"/>
        </w:rPr>
        <w:t> </w:t>
      </w:r>
      <w:r>
        <w:rPr>
          <w:sz w:val="20"/>
        </w:rPr>
        <w:t>people</w:t>
      </w:r>
      <w:r>
        <w:rPr>
          <w:spacing w:val="-7"/>
          <w:sz w:val="20"/>
        </w:rPr>
        <w:t> </w:t>
      </w:r>
      <w:r>
        <w:rPr>
          <w:sz w:val="20"/>
        </w:rPr>
        <w:t>to</w:t>
      </w:r>
      <w:r>
        <w:rPr>
          <w:spacing w:val="-8"/>
          <w:sz w:val="20"/>
        </w:rPr>
        <w:t> </w:t>
      </w:r>
      <w:r>
        <w:rPr>
          <w:sz w:val="20"/>
        </w:rPr>
        <w:t>communicate</w:t>
      </w:r>
      <w:r>
        <w:rPr>
          <w:spacing w:val="-7"/>
          <w:sz w:val="20"/>
        </w:rPr>
        <w:t> </w:t>
      </w:r>
      <w:r>
        <w:rPr>
          <w:sz w:val="20"/>
        </w:rPr>
        <w:t>and</w:t>
      </w:r>
      <w:r>
        <w:rPr>
          <w:spacing w:val="-8"/>
          <w:sz w:val="20"/>
        </w:rPr>
        <w:t> </w:t>
      </w:r>
      <w:r>
        <w:rPr>
          <w:sz w:val="20"/>
        </w:rPr>
        <w:t>participate</w:t>
      </w:r>
      <w:r>
        <w:rPr>
          <w:spacing w:val="-8"/>
          <w:sz w:val="20"/>
        </w:rPr>
        <w:t> </w:t>
      </w:r>
      <w:r>
        <w:rPr>
          <w:sz w:val="20"/>
        </w:rPr>
        <w:t>in</w:t>
      </w:r>
      <w:r>
        <w:rPr>
          <w:spacing w:val="-7"/>
          <w:sz w:val="20"/>
        </w:rPr>
        <w:t> </w:t>
      </w:r>
      <w:r>
        <w:rPr>
          <w:spacing w:val="-3"/>
          <w:sz w:val="20"/>
        </w:rPr>
        <w:t>society.</w:t>
      </w:r>
      <w:r>
        <w:rPr>
          <w:spacing w:val="-3"/>
          <w:position w:val="7"/>
          <w:sz w:val="11"/>
        </w:rPr>
        <w:t>3</w:t>
      </w:r>
      <w:r>
        <w:rPr>
          <w:spacing w:val="17"/>
          <w:position w:val="7"/>
          <w:sz w:val="11"/>
        </w:rPr>
        <w:t> </w:t>
      </w:r>
      <w:r>
        <w:rPr>
          <w:sz w:val="20"/>
        </w:rPr>
        <w:t>There</w:t>
      </w:r>
      <w:r>
        <w:rPr>
          <w:spacing w:val="-7"/>
          <w:sz w:val="20"/>
        </w:rPr>
        <w:t> </w:t>
      </w:r>
      <w:r>
        <w:rPr>
          <w:sz w:val="20"/>
        </w:rPr>
        <w:t>is</w:t>
      </w:r>
      <w:r>
        <w:rPr>
          <w:spacing w:val="-8"/>
          <w:sz w:val="20"/>
        </w:rPr>
        <w:t> </w:t>
      </w:r>
      <w:r>
        <w:rPr>
          <w:sz w:val="20"/>
        </w:rPr>
        <w:t>no</w:t>
      </w:r>
      <w:r>
        <w:rPr>
          <w:spacing w:val="-7"/>
          <w:sz w:val="20"/>
        </w:rPr>
        <w:t> </w:t>
      </w:r>
      <w:r>
        <w:rPr>
          <w:sz w:val="20"/>
        </w:rPr>
        <w:t>one</w:t>
      </w:r>
    </w:p>
    <w:p>
      <w:pPr>
        <w:pStyle w:val="BodyText"/>
        <w:spacing w:line="206" w:lineRule="auto" w:before="2"/>
        <w:ind w:left="1761" w:right="1318"/>
      </w:pPr>
      <w:r>
        <w:rPr/>
        <w:t>universal sign language. Auslan </w:t>
      </w:r>
      <w:r>
        <w:rPr>
          <w:spacing w:val="-3"/>
        </w:rPr>
        <w:t>interpreters interpret </w:t>
      </w:r>
      <w:r>
        <w:rPr/>
        <w:t>everything that is said in English </w:t>
      </w:r>
      <w:r>
        <w:rPr>
          <w:spacing w:val="-3"/>
        </w:rPr>
        <w:t>into </w:t>
      </w:r>
      <w:r>
        <w:rPr/>
        <w:t>Auslan, and anything that is signed in Auslan </w:t>
      </w:r>
      <w:r>
        <w:rPr>
          <w:spacing w:val="-3"/>
        </w:rPr>
        <w:t>into </w:t>
      </w:r>
      <w:r>
        <w:rPr/>
        <w:t>English. </w:t>
      </w:r>
      <w:r>
        <w:rPr>
          <w:spacing w:val="-2"/>
        </w:rPr>
        <w:t>Chapter </w:t>
      </w:r>
      <w:r>
        <w:rPr/>
        <w:t>14 </w:t>
      </w:r>
      <w:r>
        <w:rPr>
          <w:spacing w:val="-3"/>
        </w:rPr>
        <w:t>makes </w:t>
      </w:r>
      <w:r>
        <w:rPr/>
        <w:t>recommendations about Auslan </w:t>
      </w:r>
      <w:r>
        <w:rPr>
          <w:spacing w:val="-3"/>
        </w:rPr>
        <w:t>interpreters </w:t>
      </w:r>
      <w:r>
        <w:rPr/>
        <w:t>working with jurors.</w:t>
      </w:r>
    </w:p>
    <w:p>
      <w:pPr>
        <w:spacing w:before="162"/>
        <w:ind w:left="967" w:right="0" w:firstLine="0"/>
        <w:jc w:val="left"/>
        <w:rPr>
          <w:b/>
          <w:sz w:val="24"/>
        </w:rPr>
      </w:pPr>
      <w:r>
        <w:rPr>
          <w:b/>
          <w:sz w:val="24"/>
        </w:rPr>
        <w:t>Hearing loops</w:t>
      </w:r>
    </w:p>
    <w:p>
      <w:pPr>
        <w:pStyle w:val="ListParagraph"/>
        <w:numPr>
          <w:ilvl w:val="1"/>
          <w:numId w:val="12"/>
        </w:numPr>
        <w:tabs>
          <w:tab w:pos="1761" w:val="left" w:leader="none"/>
          <w:tab w:pos="1762" w:val="left" w:leader="none"/>
        </w:tabs>
        <w:spacing w:line="206" w:lineRule="auto" w:before="127" w:after="0"/>
        <w:ind w:left="1761" w:right="1646" w:hanging="794"/>
        <w:jc w:val="left"/>
        <w:rPr>
          <w:sz w:val="11"/>
        </w:rPr>
      </w:pPr>
      <w:r>
        <w:rPr>
          <w:sz w:val="20"/>
        </w:rPr>
        <w:t>Hearing</w:t>
      </w:r>
      <w:r>
        <w:rPr>
          <w:spacing w:val="-10"/>
          <w:sz w:val="20"/>
        </w:rPr>
        <w:t> </w:t>
      </w:r>
      <w:r>
        <w:rPr>
          <w:sz w:val="20"/>
        </w:rPr>
        <w:t>loops</w:t>
      </w:r>
      <w:r>
        <w:rPr>
          <w:spacing w:val="-10"/>
          <w:sz w:val="20"/>
        </w:rPr>
        <w:t> </w:t>
      </w:r>
      <w:r>
        <w:rPr>
          <w:sz w:val="20"/>
        </w:rPr>
        <w:t>enable</w:t>
      </w:r>
      <w:r>
        <w:rPr>
          <w:spacing w:val="-10"/>
          <w:sz w:val="20"/>
        </w:rPr>
        <w:t> </w:t>
      </w:r>
      <w:r>
        <w:rPr>
          <w:sz w:val="20"/>
        </w:rPr>
        <w:t>people</w:t>
      </w:r>
      <w:r>
        <w:rPr>
          <w:spacing w:val="-10"/>
          <w:sz w:val="20"/>
        </w:rPr>
        <w:t> </w:t>
      </w:r>
      <w:r>
        <w:rPr>
          <w:sz w:val="20"/>
        </w:rPr>
        <w:t>who</w:t>
      </w:r>
      <w:r>
        <w:rPr>
          <w:spacing w:val="-9"/>
          <w:sz w:val="20"/>
        </w:rPr>
        <w:t> </w:t>
      </w:r>
      <w:r>
        <w:rPr>
          <w:spacing w:val="-3"/>
          <w:sz w:val="20"/>
        </w:rPr>
        <w:t>wear</w:t>
      </w:r>
      <w:r>
        <w:rPr>
          <w:spacing w:val="-10"/>
          <w:sz w:val="20"/>
        </w:rPr>
        <w:t> </w:t>
      </w:r>
      <w:r>
        <w:rPr>
          <w:sz w:val="20"/>
        </w:rPr>
        <w:t>hearing</w:t>
      </w:r>
      <w:r>
        <w:rPr>
          <w:spacing w:val="-10"/>
          <w:sz w:val="20"/>
        </w:rPr>
        <w:t> </w:t>
      </w:r>
      <w:r>
        <w:rPr>
          <w:sz w:val="20"/>
        </w:rPr>
        <w:t>aids</w:t>
      </w:r>
      <w:r>
        <w:rPr>
          <w:spacing w:val="-10"/>
          <w:sz w:val="20"/>
        </w:rPr>
        <w:t> </w:t>
      </w:r>
      <w:r>
        <w:rPr>
          <w:sz w:val="20"/>
        </w:rPr>
        <w:t>to</w:t>
      </w:r>
      <w:r>
        <w:rPr>
          <w:spacing w:val="-10"/>
          <w:sz w:val="20"/>
        </w:rPr>
        <w:t> </w:t>
      </w:r>
      <w:r>
        <w:rPr>
          <w:sz w:val="20"/>
        </w:rPr>
        <w:t>hear</w:t>
      </w:r>
      <w:r>
        <w:rPr>
          <w:spacing w:val="-10"/>
          <w:sz w:val="20"/>
        </w:rPr>
        <w:t> </w:t>
      </w:r>
      <w:r>
        <w:rPr>
          <w:sz w:val="20"/>
        </w:rPr>
        <w:t>more</w:t>
      </w:r>
      <w:r>
        <w:rPr>
          <w:spacing w:val="-9"/>
          <w:sz w:val="20"/>
        </w:rPr>
        <w:t> </w:t>
      </w:r>
      <w:r>
        <w:rPr>
          <w:spacing w:val="-3"/>
          <w:sz w:val="20"/>
        </w:rPr>
        <w:t>clearly</w:t>
      </w:r>
      <w:r>
        <w:rPr>
          <w:spacing w:val="-10"/>
          <w:sz w:val="20"/>
        </w:rPr>
        <w:t> </w:t>
      </w:r>
      <w:r>
        <w:rPr>
          <w:spacing w:val="-3"/>
          <w:sz w:val="20"/>
        </w:rPr>
        <w:t>by</w:t>
      </w:r>
      <w:r>
        <w:rPr>
          <w:spacing w:val="-10"/>
          <w:sz w:val="20"/>
        </w:rPr>
        <w:t> </w:t>
      </w:r>
      <w:r>
        <w:rPr>
          <w:sz w:val="20"/>
        </w:rPr>
        <w:t>taking a sound and transferring it </w:t>
      </w:r>
      <w:r>
        <w:rPr>
          <w:spacing w:val="-3"/>
          <w:sz w:val="20"/>
        </w:rPr>
        <w:t>directly into </w:t>
      </w:r>
      <w:r>
        <w:rPr>
          <w:sz w:val="20"/>
        </w:rPr>
        <w:t>a hearing aid, without </w:t>
      </w:r>
      <w:r>
        <w:rPr>
          <w:spacing w:val="-3"/>
          <w:sz w:val="20"/>
        </w:rPr>
        <w:t>background </w:t>
      </w:r>
      <w:r>
        <w:rPr>
          <w:sz w:val="20"/>
        </w:rPr>
        <w:t>noise interference or</w:t>
      </w:r>
      <w:r>
        <w:rPr>
          <w:spacing w:val="-9"/>
          <w:sz w:val="20"/>
        </w:rPr>
        <w:t> </w:t>
      </w:r>
      <w:r>
        <w:rPr>
          <w:sz w:val="20"/>
        </w:rPr>
        <w:t>distortion.</w:t>
      </w:r>
      <w:r>
        <w:rPr>
          <w:position w:val="7"/>
          <w:sz w:val="11"/>
        </w:rPr>
        <w:t>4</w:t>
      </w:r>
    </w:p>
    <w:p>
      <w:pPr>
        <w:pStyle w:val="ListParagraph"/>
        <w:numPr>
          <w:ilvl w:val="1"/>
          <w:numId w:val="12"/>
        </w:numPr>
        <w:tabs>
          <w:tab w:pos="1761" w:val="left" w:leader="none"/>
          <w:tab w:pos="1762" w:val="left" w:leader="none"/>
        </w:tabs>
        <w:spacing w:line="206" w:lineRule="auto" w:before="124" w:after="0"/>
        <w:ind w:left="1761" w:right="1304" w:hanging="794"/>
        <w:jc w:val="left"/>
        <w:rPr>
          <w:sz w:val="11"/>
        </w:rPr>
      </w:pPr>
      <w:r>
        <w:rPr>
          <w:sz w:val="20"/>
        </w:rPr>
        <w:t>Hearing</w:t>
      </w:r>
      <w:r>
        <w:rPr>
          <w:spacing w:val="-11"/>
          <w:sz w:val="20"/>
        </w:rPr>
        <w:t> </w:t>
      </w:r>
      <w:r>
        <w:rPr>
          <w:sz w:val="20"/>
        </w:rPr>
        <w:t>loops</w:t>
      </w:r>
      <w:r>
        <w:rPr>
          <w:spacing w:val="-10"/>
          <w:sz w:val="20"/>
        </w:rPr>
        <w:t> </w:t>
      </w:r>
      <w:r>
        <w:rPr>
          <w:spacing w:val="-3"/>
          <w:sz w:val="20"/>
        </w:rPr>
        <w:t>are</w:t>
      </w:r>
      <w:r>
        <w:rPr>
          <w:spacing w:val="-10"/>
          <w:sz w:val="20"/>
        </w:rPr>
        <w:t> </w:t>
      </w:r>
      <w:r>
        <w:rPr>
          <w:sz w:val="20"/>
        </w:rPr>
        <w:t>used</w:t>
      </w:r>
      <w:r>
        <w:rPr>
          <w:spacing w:val="-10"/>
          <w:sz w:val="20"/>
        </w:rPr>
        <w:t> </w:t>
      </w:r>
      <w:r>
        <w:rPr>
          <w:spacing w:val="-3"/>
          <w:sz w:val="20"/>
        </w:rPr>
        <w:t>by</w:t>
      </w:r>
      <w:r>
        <w:rPr>
          <w:spacing w:val="-10"/>
          <w:sz w:val="20"/>
        </w:rPr>
        <w:t> </w:t>
      </w:r>
      <w:r>
        <w:rPr>
          <w:sz w:val="20"/>
        </w:rPr>
        <w:t>Australian</w:t>
      </w:r>
      <w:r>
        <w:rPr>
          <w:spacing w:val="-11"/>
          <w:sz w:val="20"/>
        </w:rPr>
        <w:t> </w:t>
      </w:r>
      <w:r>
        <w:rPr>
          <w:sz w:val="20"/>
        </w:rPr>
        <w:t>courts,</w:t>
      </w:r>
      <w:r>
        <w:rPr>
          <w:spacing w:val="-10"/>
          <w:sz w:val="20"/>
        </w:rPr>
        <w:t> </w:t>
      </w:r>
      <w:r>
        <w:rPr>
          <w:sz w:val="20"/>
        </w:rPr>
        <w:t>including</w:t>
      </w:r>
      <w:r>
        <w:rPr>
          <w:spacing w:val="-10"/>
          <w:sz w:val="20"/>
        </w:rPr>
        <w:t> </w:t>
      </w:r>
      <w:r>
        <w:rPr>
          <w:sz w:val="20"/>
        </w:rPr>
        <w:t>the</w:t>
      </w:r>
      <w:r>
        <w:rPr>
          <w:spacing w:val="-10"/>
          <w:sz w:val="20"/>
        </w:rPr>
        <w:t> </w:t>
      </w:r>
      <w:r>
        <w:rPr>
          <w:sz w:val="20"/>
        </w:rPr>
        <w:t>County</w:t>
      </w:r>
      <w:r>
        <w:rPr>
          <w:spacing w:val="-10"/>
          <w:sz w:val="20"/>
        </w:rPr>
        <w:t> </w:t>
      </w:r>
      <w:r>
        <w:rPr>
          <w:sz w:val="20"/>
        </w:rPr>
        <w:t>Court</w:t>
      </w:r>
      <w:r>
        <w:rPr>
          <w:spacing w:val="-11"/>
          <w:sz w:val="20"/>
        </w:rPr>
        <w:t> </w:t>
      </w:r>
      <w:r>
        <w:rPr>
          <w:sz w:val="20"/>
        </w:rPr>
        <w:t>and</w:t>
      </w:r>
      <w:r>
        <w:rPr>
          <w:spacing w:val="-10"/>
          <w:sz w:val="20"/>
        </w:rPr>
        <w:t> </w:t>
      </w:r>
      <w:r>
        <w:rPr>
          <w:sz w:val="20"/>
        </w:rPr>
        <w:t>Supreme Court in Victoria, though not all Victorian courtrooms </w:t>
      </w:r>
      <w:r>
        <w:rPr>
          <w:spacing w:val="-3"/>
          <w:sz w:val="20"/>
        </w:rPr>
        <w:t>are </w:t>
      </w:r>
      <w:r>
        <w:rPr>
          <w:sz w:val="20"/>
        </w:rPr>
        <w:t>equipped with them.</w:t>
      </w:r>
      <w:r>
        <w:rPr>
          <w:position w:val="7"/>
          <w:sz w:val="11"/>
        </w:rPr>
        <w:t>5 </w:t>
      </w:r>
      <w:r>
        <w:rPr>
          <w:sz w:val="20"/>
        </w:rPr>
        <w:t>The Victorian</w:t>
      </w:r>
      <w:r>
        <w:rPr>
          <w:spacing w:val="-13"/>
          <w:sz w:val="20"/>
        </w:rPr>
        <w:t> </w:t>
      </w:r>
      <w:r>
        <w:rPr>
          <w:i/>
          <w:sz w:val="20"/>
        </w:rPr>
        <w:t>Disability</w:t>
      </w:r>
      <w:r>
        <w:rPr>
          <w:i/>
          <w:spacing w:val="-12"/>
          <w:sz w:val="20"/>
        </w:rPr>
        <w:t> </w:t>
      </w:r>
      <w:r>
        <w:rPr>
          <w:i/>
          <w:sz w:val="20"/>
        </w:rPr>
        <w:t>Access</w:t>
      </w:r>
      <w:r>
        <w:rPr>
          <w:i/>
          <w:spacing w:val="-12"/>
          <w:sz w:val="20"/>
        </w:rPr>
        <w:t> </w:t>
      </w:r>
      <w:r>
        <w:rPr>
          <w:i/>
          <w:sz w:val="20"/>
        </w:rPr>
        <w:t>Bench</w:t>
      </w:r>
      <w:r>
        <w:rPr>
          <w:i/>
          <w:spacing w:val="-12"/>
          <w:sz w:val="20"/>
        </w:rPr>
        <w:t> </w:t>
      </w:r>
      <w:r>
        <w:rPr>
          <w:i/>
          <w:sz w:val="20"/>
        </w:rPr>
        <w:t>Book</w:t>
      </w:r>
      <w:r>
        <w:rPr>
          <w:i/>
          <w:spacing w:val="-11"/>
          <w:sz w:val="20"/>
        </w:rPr>
        <w:t> </w:t>
      </w:r>
      <w:r>
        <w:rPr>
          <w:sz w:val="20"/>
        </w:rPr>
        <w:t>notes</w:t>
      </w:r>
      <w:r>
        <w:rPr>
          <w:spacing w:val="-12"/>
          <w:sz w:val="20"/>
        </w:rPr>
        <w:t> </w:t>
      </w:r>
      <w:r>
        <w:rPr>
          <w:sz w:val="20"/>
        </w:rPr>
        <w:t>that,</w:t>
      </w:r>
      <w:r>
        <w:rPr>
          <w:spacing w:val="-13"/>
          <w:sz w:val="20"/>
        </w:rPr>
        <w:t> </w:t>
      </w:r>
      <w:r>
        <w:rPr>
          <w:sz w:val="20"/>
        </w:rPr>
        <w:t>where</w:t>
      </w:r>
      <w:r>
        <w:rPr>
          <w:spacing w:val="-12"/>
          <w:sz w:val="20"/>
        </w:rPr>
        <w:t> </w:t>
      </w:r>
      <w:r>
        <w:rPr>
          <w:sz w:val="20"/>
        </w:rPr>
        <w:t>hearing</w:t>
      </w:r>
      <w:r>
        <w:rPr>
          <w:spacing w:val="-12"/>
          <w:sz w:val="20"/>
        </w:rPr>
        <w:t> </w:t>
      </w:r>
      <w:r>
        <w:rPr>
          <w:sz w:val="20"/>
        </w:rPr>
        <w:t>loops</w:t>
      </w:r>
      <w:r>
        <w:rPr>
          <w:spacing w:val="-13"/>
          <w:sz w:val="20"/>
        </w:rPr>
        <w:t> </w:t>
      </w:r>
      <w:r>
        <w:rPr>
          <w:spacing w:val="-3"/>
          <w:sz w:val="20"/>
        </w:rPr>
        <w:t>are</w:t>
      </w:r>
      <w:r>
        <w:rPr>
          <w:spacing w:val="-12"/>
          <w:sz w:val="20"/>
        </w:rPr>
        <w:t> </w:t>
      </w:r>
      <w:r>
        <w:rPr>
          <w:sz w:val="20"/>
        </w:rPr>
        <w:t>not</w:t>
      </w:r>
      <w:r>
        <w:rPr>
          <w:spacing w:val="-12"/>
          <w:sz w:val="20"/>
        </w:rPr>
        <w:t> </w:t>
      </w:r>
      <w:r>
        <w:rPr>
          <w:sz w:val="20"/>
        </w:rPr>
        <w:t>in</w:t>
      </w:r>
      <w:r>
        <w:rPr>
          <w:spacing w:val="-12"/>
          <w:sz w:val="20"/>
        </w:rPr>
        <w:t> </w:t>
      </w:r>
      <w:r>
        <w:rPr>
          <w:sz w:val="20"/>
        </w:rPr>
        <w:t>place, ‘ judicial officers should consider whether a different courtroom is </w:t>
      </w:r>
      <w:r>
        <w:rPr>
          <w:spacing w:val="-3"/>
          <w:sz w:val="20"/>
        </w:rPr>
        <w:t>required’.</w:t>
      </w:r>
      <w:r>
        <w:rPr>
          <w:spacing w:val="-3"/>
          <w:position w:val="7"/>
          <w:sz w:val="11"/>
        </w:rPr>
        <w:t>6 </w:t>
      </w:r>
      <w:r>
        <w:rPr>
          <w:sz w:val="20"/>
        </w:rPr>
        <w:t>Hearing loops </w:t>
      </w:r>
      <w:r>
        <w:rPr>
          <w:spacing w:val="-3"/>
          <w:sz w:val="20"/>
        </w:rPr>
        <w:t>are </w:t>
      </w:r>
      <w:r>
        <w:rPr>
          <w:sz w:val="20"/>
        </w:rPr>
        <w:t>also used in courts in England and </w:t>
      </w:r>
      <w:r>
        <w:rPr>
          <w:spacing w:val="-3"/>
          <w:sz w:val="20"/>
        </w:rPr>
        <w:t>Wales, </w:t>
      </w:r>
      <w:r>
        <w:rPr>
          <w:sz w:val="20"/>
        </w:rPr>
        <w:t>Ireland, New Zealand and the United</w:t>
      </w:r>
      <w:r>
        <w:rPr>
          <w:spacing w:val="-5"/>
          <w:sz w:val="20"/>
        </w:rPr>
        <w:t> </w:t>
      </w:r>
      <w:r>
        <w:rPr>
          <w:spacing w:val="-3"/>
          <w:sz w:val="20"/>
        </w:rPr>
        <w:t>States.</w:t>
      </w:r>
      <w:r>
        <w:rPr>
          <w:spacing w:val="-3"/>
          <w:position w:val="7"/>
          <w:sz w:val="11"/>
        </w:rPr>
        <w:t>7</w:t>
      </w:r>
    </w:p>
    <w:p>
      <w:pPr>
        <w:pStyle w:val="ListParagraph"/>
        <w:numPr>
          <w:ilvl w:val="1"/>
          <w:numId w:val="12"/>
        </w:numPr>
        <w:tabs>
          <w:tab w:pos="1761" w:val="left" w:leader="none"/>
          <w:tab w:pos="1762" w:val="left" w:leader="none"/>
        </w:tabs>
        <w:spacing w:line="206" w:lineRule="auto" w:before="128" w:after="0"/>
        <w:ind w:left="1761" w:right="1469" w:hanging="794"/>
        <w:jc w:val="left"/>
        <w:rPr>
          <w:sz w:val="20"/>
        </w:rPr>
      </w:pPr>
      <w:r>
        <w:rPr>
          <w:sz w:val="20"/>
        </w:rPr>
        <w:t>Not</w:t>
      </w:r>
      <w:r>
        <w:rPr>
          <w:spacing w:val="-12"/>
          <w:sz w:val="20"/>
        </w:rPr>
        <w:t> </w:t>
      </w:r>
      <w:r>
        <w:rPr>
          <w:sz w:val="20"/>
        </w:rPr>
        <w:t>all</w:t>
      </w:r>
      <w:r>
        <w:rPr>
          <w:spacing w:val="-11"/>
          <w:sz w:val="20"/>
        </w:rPr>
        <w:t> </w:t>
      </w:r>
      <w:r>
        <w:rPr>
          <w:sz w:val="20"/>
        </w:rPr>
        <w:t>hearing</w:t>
      </w:r>
      <w:r>
        <w:rPr>
          <w:spacing w:val="-12"/>
          <w:sz w:val="20"/>
        </w:rPr>
        <w:t> </w:t>
      </w:r>
      <w:r>
        <w:rPr>
          <w:sz w:val="20"/>
        </w:rPr>
        <w:t>aids</w:t>
      </w:r>
      <w:r>
        <w:rPr>
          <w:spacing w:val="-11"/>
          <w:sz w:val="20"/>
        </w:rPr>
        <w:t> </w:t>
      </w:r>
      <w:r>
        <w:rPr>
          <w:spacing w:val="-3"/>
          <w:sz w:val="20"/>
        </w:rPr>
        <w:t>are</w:t>
      </w:r>
      <w:r>
        <w:rPr>
          <w:spacing w:val="-12"/>
          <w:sz w:val="20"/>
        </w:rPr>
        <w:t> </w:t>
      </w:r>
      <w:r>
        <w:rPr>
          <w:sz w:val="20"/>
        </w:rPr>
        <w:t>compatible</w:t>
      </w:r>
      <w:r>
        <w:rPr>
          <w:spacing w:val="-11"/>
          <w:sz w:val="20"/>
        </w:rPr>
        <w:t> </w:t>
      </w:r>
      <w:r>
        <w:rPr>
          <w:sz w:val="20"/>
        </w:rPr>
        <w:t>with</w:t>
      </w:r>
      <w:r>
        <w:rPr>
          <w:spacing w:val="-11"/>
          <w:sz w:val="20"/>
        </w:rPr>
        <w:t> </w:t>
      </w:r>
      <w:r>
        <w:rPr>
          <w:sz w:val="20"/>
        </w:rPr>
        <w:t>all</w:t>
      </w:r>
      <w:r>
        <w:rPr>
          <w:spacing w:val="-12"/>
          <w:sz w:val="20"/>
        </w:rPr>
        <w:t> </w:t>
      </w:r>
      <w:r>
        <w:rPr>
          <w:sz w:val="20"/>
        </w:rPr>
        <w:t>hearing</w:t>
      </w:r>
      <w:r>
        <w:rPr>
          <w:spacing w:val="-11"/>
          <w:sz w:val="20"/>
        </w:rPr>
        <w:t> </w:t>
      </w:r>
      <w:r>
        <w:rPr>
          <w:sz w:val="20"/>
        </w:rPr>
        <w:t>loops.</w:t>
      </w:r>
      <w:r>
        <w:rPr>
          <w:position w:val="7"/>
          <w:sz w:val="11"/>
        </w:rPr>
        <w:t>8</w:t>
      </w:r>
      <w:r>
        <w:rPr>
          <w:spacing w:val="13"/>
          <w:position w:val="7"/>
          <w:sz w:val="11"/>
        </w:rPr>
        <w:t> </w:t>
      </w:r>
      <w:r>
        <w:rPr>
          <w:sz w:val="20"/>
        </w:rPr>
        <w:t>There</w:t>
      </w:r>
      <w:r>
        <w:rPr>
          <w:spacing w:val="-11"/>
          <w:sz w:val="20"/>
        </w:rPr>
        <w:t> </w:t>
      </w:r>
      <w:r>
        <w:rPr>
          <w:sz w:val="20"/>
        </w:rPr>
        <w:t>can</w:t>
      </w:r>
      <w:r>
        <w:rPr>
          <w:spacing w:val="-12"/>
          <w:sz w:val="20"/>
        </w:rPr>
        <w:t> </w:t>
      </w:r>
      <w:r>
        <w:rPr>
          <w:sz w:val="20"/>
        </w:rPr>
        <w:t>be</w:t>
      </w:r>
      <w:r>
        <w:rPr>
          <w:spacing w:val="-11"/>
          <w:sz w:val="20"/>
        </w:rPr>
        <w:t> </w:t>
      </w:r>
      <w:r>
        <w:rPr>
          <w:sz w:val="20"/>
        </w:rPr>
        <w:t>mismatches between a person’s hearing aid and hearing loop technology in a courtroom.</w:t>
      </w:r>
      <w:r>
        <w:rPr>
          <w:position w:val="7"/>
          <w:sz w:val="11"/>
        </w:rPr>
        <w:t>9 </w:t>
      </w:r>
      <w:r>
        <w:rPr>
          <w:sz w:val="20"/>
        </w:rPr>
        <w:t>In </w:t>
      </w:r>
      <w:r>
        <w:rPr>
          <w:spacing w:val="-2"/>
          <w:sz w:val="20"/>
        </w:rPr>
        <w:t>Chapter </w:t>
      </w:r>
      <w:r>
        <w:rPr>
          <w:sz w:val="20"/>
        </w:rPr>
        <w:t>12 </w:t>
      </w:r>
      <w:r>
        <w:rPr>
          <w:spacing w:val="-3"/>
          <w:sz w:val="20"/>
        </w:rPr>
        <w:t>we </w:t>
      </w:r>
      <w:r>
        <w:rPr>
          <w:sz w:val="20"/>
        </w:rPr>
        <w:t>recommended a potential juror be able to visit court ahead of their summons</w:t>
      </w:r>
      <w:r>
        <w:rPr>
          <w:spacing w:val="-6"/>
          <w:sz w:val="20"/>
        </w:rPr>
        <w:t> </w:t>
      </w:r>
      <w:r>
        <w:rPr>
          <w:spacing w:val="-3"/>
          <w:sz w:val="20"/>
        </w:rPr>
        <w:t>date</w:t>
      </w:r>
      <w:r>
        <w:rPr>
          <w:spacing w:val="-6"/>
          <w:sz w:val="20"/>
        </w:rPr>
        <w:t> </w:t>
      </w:r>
      <w:r>
        <w:rPr>
          <w:sz w:val="20"/>
        </w:rPr>
        <w:t>to</w:t>
      </w:r>
      <w:r>
        <w:rPr>
          <w:spacing w:val="-5"/>
          <w:sz w:val="20"/>
        </w:rPr>
        <w:t> </w:t>
      </w:r>
      <w:r>
        <w:rPr>
          <w:sz w:val="20"/>
        </w:rPr>
        <w:t>discuss</w:t>
      </w:r>
      <w:r>
        <w:rPr>
          <w:spacing w:val="-6"/>
          <w:sz w:val="20"/>
        </w:rPr>
        <w:t> </w:t>
      </w:r>
      <w:r>
        <w:rPr>
          <w:sz w:val="20"/>
        </w:rPr>
        <w:t>their</w:t>
      </w:r>
      <w:r>
        <w:rPr>
          <w:spacing w:val="-6"/>
          <w:sz w:val="20"/>
        </w:rPr>
        <w:t> </w:t>
      </w:r>
      <w:r>
        <w:rPr>
          <w:sz w:val="20"/>
        </w:rPr>
        <w:t>needs.</w:t>
      </w:r>
      <w:r>
        <w:rPr>
          <w:spacing w:val="-5"/>
          <w:sz w:val="20"/>
        </w:rPr>
        <w:t> </w:t>
      </w:r>
      <w:r>
        <w:rPr>
          <w:sz w:val="20"/>
        </w:rPr>
        <w:t>This</w:t>
      </w:r>
      <w:r>
        <w:rPr>
          <w:spacing w:val="-6"/>
          <w:sz w:val="20"/>
        </w:rPr>
        <w:t> </w:t>
      </w:r>
      <w:r>
        <w:rPr>
          <w:sz w:val="20"/>
        </w:rPr>
        <w:t>issue</w:t>
      </w:r>
      <w:r>
        <w:rPr>
          <w:spacing w:val="-5"/>
          <w:sz w:val="20"/>
        </w:rPr>
        <w:t> </w:t>
      </w:r>
      <w:r>
        <w:rPr>
          <w:sz w:val="20"/>
        </w:rPr>
        <w:t>could</w:t>
      </w:r>
      <w:r>
        <w:rPr>
          <w:spacing w:val="-6"/>
          <w:sz w:val="20"/>
        </w:rPr>
        <w:t> </w:t>
      </w:r>
      <w:r>
        <w:rPr>
          <w:sz w:val="20"/>
        </w:rPr>
        <w:t>be</w:t>
      </w:r>
      <w:r>
        <w:rPr>
          <w:spacing w:val="-6"/>
          <w:sz w:val="20"/>
        </w:rPr>
        <w:t> </w:t>
      </w:r>
      <w:r>
        <w:rPr>
          <w:sz w:val="20"/>
        </w:rPr>
        <w:t>tested</w:t>
      </w:r>
      <w:r>
        <w:rPr>
          <w:spacing w:val="-5"/>
          <w:sz w:val="20"/>
        </w:rPr>
        <w:t> </w:t>
      </w:r>
      <w:r>
        <w:rPr>
          <w:sz w:val="20"/>
        </w:rPr>
        <w:t>then.</w:t>
      </w:r>
    </w:p>
    <w:p>
      <w:pPr>
        <w:pStyle w:val="BodyText"/>
      </w:pPr>
    </w:p>
    <w:p>
      <w:pPr>
        <w:pStyle w:val="BodyText"/>
      </w:pPr>
    </w:p>
    <w:p>
      <w:pPr>
        <w:pStyle w:val="BodyText"/>
      </w:pPr>
    </w:p>
    <w:p>
      <w:pPr>
        <w:pStyle w:val="BodyText"/>
      </w:pPr>
    </w:p>
    <w:p>
      <w:pPr>
        <w:pStyle w:val="BodyText"/>
        <w:spacing w:before="11"/>
        <w:rPr>
          <w:sz w:val="17"/>
        </w:rPr>
      </w:pPr>
      <w:r>
        <w:rPr/>
        <w:pict>
          <v:line style="position:absolute;mso-position-horizontal-relative:page;mso-position-vertical-relative:paragraph;z-index:7832;mso-wrap-distance-left:0;mso-wrap-distance-right:0" from="79.370102pt,14.8115pt" to="515.905102pt,14.8115pt" stroked="true" strokeweight="1pt" strokecolor="#b6bdc8">
            <v:stroke dashstyle="solid"/>
            <w10:wrap type="topAndBottom"/>
          </v:line>
        </w:pict>
      </w:r>
    </w:p>
    <w:p>
      <w:pPr>
        <w:pStyle w:val="BodyText"/>
        <w:rPr>
          <w:sz w:val="5"/>
        </w:rPr>
      </w:pPr>
    </w:p>
    <w:p>
      <w:pPr>
        <w:spacing w:after="0"/>
        <w:rPr>
          <w:sz w:val="5"/>
        </w:rPr>
        <w:sectPr>
          <w:headerReference w:type="default" r:id="rId191"/>
          <w:headerReference w:type="even" r:id="rId192"/>
          <w:pgSz w:w="11910" w:h="16840"/>
          <w:pgMar w:header="0" w:footer="0" w:top="840" w:bottom="280" w:left="620" w:right="380"/>
        </w:sectPr>
      </w:pPr>
    </w:p>
    <w:p>
      <w:pPr>
        <w:pStyle w:val="ListParagraph"/>
        <w:numPr>
          <w:ilvl w:val="0"/>
          <w:numId w:val="96"/>
        </w:numPr>
        <w:tabs>
          <w:tab w:pos="1760" w:val="left" w:leader="none"/>
          <w:tab w:pos="1762" w:val="left" w:leader="none"/>
        </w:tabs>
        <w:spacing w:line="213" w:lineRule="auto" w:before="38" w:after="0"/>
        <w:ind w:left="1761" w:right="0" w:hanging="794"/>
        <w:jc w:val="left"/>
        <w:rPr>
          <w:sz w:val="13"/>
        </w:rPr>
      </w:pPr>
      <w:r>
        <w:rPr>
          <w:sz w:val="13"/>
        </w:rPr>
        <w:t>The Victorian </w:t>
      </w:r>
      <w:r>
        <w:rPr>
          <w:spacing w:val="2"/>
          <w:sz w:val="13"/>
        </w:rPr>
        <w:t>Department </w:t>
      </w:r>
      <w:r>
        <w:rPr>
          <w:sz w:val="13"/>
        </w:rPr>
        <w:t>of Health website explains that: ‘Like other sign </w:t>
      </w:r>
      <w:r>
        <w:rPr>
          <w:spacing w:val="2"/>
          <w:sz w:val="13"/>
        </w:rPr>
        <w:t>languages, </w:t>
      </w:r>
      <w:r>
        <w:rPr>
          <w:sz w:val="13"/>
        </w:rPr>
        <w:t>Auslan is equal in complexity and   expression to spoken </w:t>
      </w:r>
      <w:r>
        <w:rPr>
          <w:spacing w:val="2"/>
          <w:sz w:val="13"/>
        </w:rPr>
        <w:t>language </w:t>
      </w:r>
      <w:r>
        <w:rPr>
          <w:sz w:val="13"/>
        </w:rPr>
        <w:t>and can express nuance, force and subtlety, as well as concrete information. It is not just English conveyed through signs or a manual code, but a distinct visual language’: </w:t>
      </w:r>
      <w:r>
        <w:rPr>
          <w:spacing w:val="2"/>
          <w:sz w:val="13"/>
        </w:rPr>
        <w:t>Department </w:t>
      </w:r>
      <w:r>
        <w:rPr>
          <w:sz w:val="13"/>
        </w:rPr>
        <w:t>of Health (Vic), </w:t>
      </w:r>
      <w:r>
        <w:rPr>
          <w:spacing w:val="2"/>
          <w:sz w:val="13"/>
        </w:rPr>
        <w:t>‘Sign </w:t>
      </w:r>
      <w:r>
        <w:rPr>
          <w:sz w:val="13"/>
        </w:rPr>
        <w:t>Language—Auslan’, </w:t>
      </w:r>
      <w:r>
        <w:rPr>
          <w:i/>
          <w:sz w:val="13"/>
        </w:rPr>
        <w:t>Better Health Channel </w:t>
      </w:r>
      <w:r>
        <w:rPr>
          <w:sz w:val="13"/>
        </w:rPr>
        <w:t>(Web Page) </w:t>
      </w:r>
      <w:hyperlink r:id="rId193">
        <w:r>
          <w:rPr>
            <w:sz w:val="13"/>
          </w:rPr>
          <w:t>https://www.betterhealth.vic.gov.au/health/conditionsandtreatments/sign-language-auslan</w:t>
        </w:r>
      </w:hyperlink>
      <w:r>
        <w:rPr>
          <w:sz w:val="13"/>
        </w:rPr>
        <w:t>; </w:t>
      </w:r>
      <w:r>
        <w:rPr>
          <w:spacing w:val="2"/>
          <w:sz w:val="13"/>
        </w:rPr>
        <w:t>also </w:t>
      </w:r>
      <w:r>
        <w:rPr>
          <w:sz w:val="13"/>
        </w:rPr>
        <w:t>Consultations 6 (Deaf Victoria and community participants), 8 (Brent</w:t>
      </w:r>
      <w:r>
        <w:rPr>
          <w:spacing w:val="9"/>
          <w:sz w:val="13"/>
        </w:rPr>
        <w:t> </w:t>
      </w:r>
      <w:r>
        <w:rPr>
          <w:sz w:val="13"/>
        </w:rPr>
        <w:t>Phillips).</w:t>
      </w:r>
    </w:p>
    <w:p>
      <w:pPr>
        <w:pStyle w:val="ListParagraph"/>
        <w:numPr>
          <w:ilvl w:val="0"/>
          <w:numId w:val="96"/>
        </w:numPr>
        <w:tabs>
          <w:tab w:pos="1760" w:val="left" w:leader="none"/>
          <w:tab w:pos="1762" w:val="left" w:leader="none"/>
        </w:tabs>
        <w:spacing w:line="151" w:lineRule="exact" w:before="0" w:after="0"/>
        <w:ind w:left="1761" w:right="0" w:hanging="794"/>
        <w:jc w:val="left"/>
        <w:rPr>
          <w:sz w:val="13"/>
        </w:rPr>
      </w:pPr>
      <w:r>
        <w:rPr>
          <w:spacing w:val="2"/>
          <w:sz w:val="13"/>
        </w:rPr>
        <w:t>AMPETRONIC, </w:t>
      </w:r>
      <w:r>
        <w:rPr>
          <w:i/>
          <w:sz w:val="13"/>
        </w:rPr>
        <w:t>All About Induction Loops </w:t>
      </w:r>
      <w:r>
        <w:rPr>
          <w:sz w:val="13"/>
        </w:rPr>
        <w:t>(Factsheet, 2019).</w:t>
      </w:r>
    </w:p>
    <w:p>
      <w:pPr>
        <w:pStyle w:val="ListParagraph"/>
        <w:numPr>
          <w:ilvl w:val="0"/>
          <w:numId w:val="96"/>
        </w:numPr>
        <w:tabs>
          <w:tab w:pos="1760" w:val="left" w:leader="none"/>
          <w:tab w:pos="1762" w:val="left" w:leader="none"/>
        </w:tabs>
        <w:spacing w:line="213" w:lineRule="auto" w:before="6" w:after="0"/>
        <w:ind w:left="1761" w:right="22" w:hanging="794"/>
        <w:jc w:val="left"/>
        <w:rPr>
          <w:sz w:val="13"/>
        </w:rPr>
      </w:pPr>
      <w:r>
        <w:rPr>
          <w:sz w:val="13"/>
        </w:rPr>
        <w:t>We were told that the Supreme </w:t>
      </w:r>
      <w:r>
        <w:rPr>
          <w:spacing w:val="2"/>
          <w:sz w:val="13"/>
        </w:rPr>
        <w:t>Court </w:t>
      </w:r>
      <w:r>
        <w:rPr>
          <w:sz w:val="13"/>
        </w:rPr>
        <w:t>of Victoria has hearing loops in every courtroom but the County </w:t>
      </w:r>
      <w:r>
        <w:rPr>
          <w:spacing w:val="2"/>
          <w:sz w:val="13"/>
        </w:rPr>
        <w:t>Court </w:t>
      </w:r>
      <w:r>
        <w:rPr>
          <w:sz w:val="13"/>
        </w:rPr>
        <w:t>of Victoria does not: Consultations 9 (Consultation with two Victorian County </w:t>
      </w:r>
      <w:r>
        <w:rPr>
          <w:spacing w:val="2"/>
          <w:sz w:val="13"/>
        </w:rPr>
        <w:t>Court Judges, Court policy </w:t>
      </w:r>
      <w:r>
        <w:rPr>
          <w:sz w:val="13"/>
        </w:rPr>
        <w:t>staff and two Associates), 11 (Consultation    with a Judge, a Tipstaff and </w:t>
      </w:r>
      <w:r>
        <w:rPr>
          <w:spacing w:val="2"/>
          <w:sz w:val="13"/>
        </w:rPr>
        <w:t>Court policy </w:t>
      </w:r>
      <w:r>
        <w:rPr>
          <w:sz w:val="13"/>
        </w:rPr>
        <w:t>staff, Victorian Supreme </w:t>
      </w:r>
      <w:r>
        <w:rPr>
          <w:spacing w:val="2"/>
          <w:sz w:val="13"/>
        </w:rPr>
        <w:t>Court).</w:t>
      </w:r>
    </w:p>
    <w:p>
      <w:pPr>
        <w:pStyle w:val="ListParagraph"/>
        <w:numPr>
          <w:ilvl w:val="0"/>
          <w:numId w:val="96"/>
        </w:numPr>
        <w:tabs>
          <w:tab w:pos="1760" w:val="left" w:leader="none"/>
          <w:tab w:pos="1762" w:val="left" w:leader="none"/>
        </w:tabs>
        <w:spacing w:line="213" w:lineRule="auto" w:before="0" w:after="0"/>
        <w:ind w:left="1761" w:right="312" w:hanging="794"/>
        <w:jc w:val="left"/>
        <w:rPr>
          <w:sz w:val="13"/>
        </w:rPr>
      </w:pPr>
      <w:r>
        <w:rPr>
          <w:sz w:val="13"/>
        </w:rPr>
        <w:t>Judicial College of Victoria, ‘4.4 </w:t>
      </w:r>
      <w:r>
        <w:rPr>
          <w:spacing w:val="2"/>
          <w:sz w:val="13"/>
        </w:rPr>
        <w:t>Planning—Accessibility </w:t>
      </w:r>
      <w:r>
        <w:rPr>
          <w:sz w:val="13"/>
        </w:rPr>
        <w:t>Checklist’, </w:t>
      </w:r>
      <w:r>
        <w:rPr>
          <w:i/>
          <w:sz w:val="13"/>
        </w:rPr>
        <w:t>Disability Access Bench Book </w:t>
      </w:r>
      <w:r>
        <w:rPr>
          <w:sz w:val="13"/>
        </w:rPr>
        <w:t>(Online Manual, 1 </w:t>
      </w:r>
      <w:r>
        <w:rPr>
          <w:spacing w:val="2"/>
          <w:sz w:val="13"/>
        </w:rPr>
        <w:t>December </w:t>
      </w:r>
      <w:r>
        <w:rPr>
          <w:sz w:val="13"/>
        </w:rPr>
        <w:t>2016)</w:t>
      </w:r>
      <w:r>
        <w:rPr>
          <w:spacing w:val="1"/>
          <w:sz w:val="13"/>
        </w:rPr>
        <w:t> </w:t>
      </w:r>
      <w:r>
        <w:rPr>
          <w:sz w:val="13"/>
        </w:rPr>
        <w:t>&lt;</w:t>
      </w:r>
      <w:hyperlink r:id="rId18">
        <w:r>
          <w:rPr>
            <w:sz w:val="13"/>
          </w:rPr>
          <w:t>https://www.judicialcollege.vic.edu.au/eManuals/DABB/index.htm#59523.htm</w:t>
        </w:r>
      </w:hyperlink>
      <w:r>
        <w:rPr>
          <w:sz w:val="13"/>
        </w:rPr>
        <w:t>&gt;.</w:t>
      </w:r>
    </w:p>
    <w:p>
      <w:pPr>
        <w:pStyle w:val="ListParagraph"/>
        <w:numPr>
          <w:ilvl w:val="0"/>
          <w:numId w:val="96"/>
        </w:numPr>
        <w:tabs>
          <w:tab w:pos="1760" w:val="left" w:leader="none"/>
          <w:tab w:pos="1762" w:val="left" w:leader="none"/>
        </w:tabs>
        <w:spacing w:line="213" w:lineRule="auto" w:before="0" w:after="0"/>
        <w:ind w:left="1760" w:right="440" w:hanging="793"/>
        <w:jc w:val="both"/>
        <w:rPr>
          <w:sz w:val="13"/>
        </w:rPr>
      </w:pPr>
      <w:r>
        <w:rPr>
          <w:sz w:val="13"/>
        </w:rPr>
        <w:t>Information received from Her Majesty’s </w:t>
      </w:r>
      <w:r>
        <w:rPr>
          <w:spacing w:val="2"/>
          <w:sz w:val="13"/>
        </w:rPr>
        <w:t>Courts </w:t>
      </w:r>
      <w:r>
        <w:rPr>
          <w:sz w:val="13"/>
        </w:rPr>
        <w:t>and Tribunals </w:t>
      </w:r>
      <w:r>
        <w:rPr>
          <w:spacing w:val="2"/>
          <w:sz w:val="13"/>
        </w:rPr>
        <w:t>Service </w:t>
      </w:r>
      <w:r>
        <w:rPr>
          <w:sz w:val="13"/>
        </w:rPr>
        <w:t>to Victorian Law Reform </w:t>
      </w:r>
      <w:r>
        <w:rPr>
          <w:spacing w:val="2"/>
          <w:sz w:val="13"/>
        </w:rPr>
        <w:t>Commission, </w:t>
      </w:r>
      <w:r>
        <w:rPr>
          <w:sz w:val="13"/>
        </w:rPr>
        <w:t>2 September 2021; ‘Accessibility’, </w:t>
      </w:r>
      <w:r>
        <w:rPr>
          <w:i/>
          <w:sz w:val="13"/>
        </w:rPr>
        <w:t>The </w:t>
      </w:r>
      <w:r>
        <w:rPr>
          <w:i/>
          <w:spacing w:val="2"/>
          <w:sz w:val="13"/>
        </w:rPr>
        <w:t>Courts Service </w:t>
      </w:r>
      <w:r>
        <w:rPr>
          <w:i/>
          <w:sz w:val="13"/>
        </w:rPr>
        <w:t>of Ireland </w:t>
      </w:r>
      <w:r>
        <w:rPr>
          <w:sz w:val="13"/>
        </w:rPr>
        <w:t>(Web Page) &lt;</w:t>
      </w:r>
      <w:hyperlink r:id="rId194">
        <w:r>
          <w:rPr>
            <w:sz w:val="13"/>
          </w:rPr>
          <w:t>https://www.courts.ie/accessibility</w:t>
        </w:r>
      </w:hyperlink>
      <w:r>
        <w:rPr>
          <w:sz w:val="13"/>
        </w:rPr>
        <w:t>&gt;; Consultations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 States), 15 (Representatives of High </w:t>
      </w:r>
      <w:r>
        <w:rPr>
          <w:spacing w:val="2"/>
          <w:sz w:val="13"/>
        </w:rPr>
        <w:t>Court </w:t>
      </w:r>
      <w:r>
        <w:rPr>
          <w:sz w:val="13"/>
        </w:rPr>
        <w:t>and </w:t>
      </w:r>
      <w:r>
        <w:rPr>
          <w:spacing w:val="2"/>
          <w:sz w:val="13"/>
        </w:rPr>
        <w:t>District Courts </w:t>
      </w:r>
      <w:r>
        <w:rPr>
          <w:sz w:val="13"/>
        </w:rPr>
        <w:t>of New</w:t>
      </w:r>
      <w:r>
        <w:rPr>
          <w:spacing w:val="-4"/>
          <w:sz w:val="13"/>
        </w:rPr>
        <w:t> </w:t>
      </w:r>
      <w:r>
        <w:rPr>
          <w:sz w:val="13"/>
        </w:rPr>
        <w:t>Zealand).</w:t>
      </w:r>
    </w:p>
    <w:p>
      <w:pPr>
        <w:pStyle w:val="ListParagraph"/>
        <w:numPr>
          <w:ilvl w:val="0"/>
          <w:numId w:val="96"/>
        </w:numPr>
        <w:tabs>
          <w:tab w:pos="1760" w:val="left" w:leader="none"/>
          <w:tab w:pos="1762" w:val="left" w:leader="none"/>
        </w:tabs>
        <w:spacing w:line="213" w:lineRule="auto" w:before="0" w:after="0"/>
        <w:ind w:left="1761" w:right="96" w:hanging="794"/>
        <w:jc w:val="left"/>
        <w:rPr>
          <w:sz w:val="13"/>
        </w:rPr>
      </w:pPr>
      <w:r>
        <w:rPr>
          <w:spacing w:val="2"/>
          <w:sz w:val="13"/>
        </w:rPr>
        <w:t>‘Hearing </w:t>
      </w:r>
      <w:r>
        <w:rPr>
          <w:sz w:val="13"/>
        </w:rPr>
        <w:t>Loops Frequently Asked Questions’, </w:t>
      </w:r>
      <w:r>
        <w:rPr>
          <w:i/>
          <w:sz w:val="13"/>
        </w:rPr>
        <w:t>Hearing Link </w:t>
      </w:r>
      <w:r>
        <w:rPr>
          <w:sz w:val="13"/>
        </w:rPr>
        <w:t>(Web Page) &lt;</w:t>
      </w:r>
      <w:hyperlink r:id="rId195">
        <w:r>
          <w:rPr>
            <w:sz w:val="13"/>
          </w:rPr>
          <w:t>https://www.hearinglink.org/living/loops-equipment/</w:t>
        </w:r>
      </w:hyperlink>
      <w:hyperlink r:id="rId195">
        <w:r>
          <w:rPr>
            <w:sz w:val="13"/>
          </w:rPr>
          <w:t> hearing-loops/hearing-loops-frequently-asked-questions/</w:t>
        </w:r>
      </w:hyperlink>
      <w:r>
        <w:rPr>
          <w:sz w:val="13"/>
        </w:rPr>
        <w:t>&gt;.</w:t>
      </w:r>
    </w:p>
    <w:p>
      <w:pPr>
        <w:pStyle w:val="ListParagraph"/>
        <w:numPr>
          <w:ilvl w:val="0"/>
          <w:numId w:val="96"/>
        </w:numPr>
        <w:tabs>
          <w:tab w:pos="1760" w:val="left" w:leader="none"/>
          <w:tab w:pos="1762" w:val="left" w:leader="none"/>
        </w:tabs>
        <w:spacing w:line="213" w:lineRule="auto" w:before="0" w:after="0"/>
        <w:ind w:left="1761" w:right="194" w:hanging="794"/>
        <w:jc w:val="left"/>
        <w:rPr>
          <w:sz w:val="13"/>
        </w:rPr>
      </w:pPr>
      <w:r>
        <w:rPr>
          <w:sz w:val="13"/>
        </w:rPr>
        <w:t>This was raised as an issue by the </w:t>
      </w:r>
      <w:r>
        <w:rPr>
          <w:spacing w:val="2"/>
          <w:sz w:val="13"/>
        </w:rPr>
        <w:t>Jury Commissioner </w:t>
      </w:r>
      <w:r>
        <w:rPr>
          <w:sz w:val="13"/>
        </w:rPr>
        <w:t>in Monroe County, New York State: 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 States). The </w:t>
      </w:r>
      <w:r>
        <w:rPr>
          <w:spacing w:val="2"/>
          <w:sz w:val="13"/>
        </w:rPr>
        <w:t>Jury Commissioner also </w:t>
      </w:r>
      <w:r>
        <w:rPr>
          <w:sz w:val="13"/>
        </w:rPr>
        <w:t>noted that there are two different </w:t>
      </w:r>
      <w:r>
        <w:rPr>
          <w:spacing w:val="2"/>
          <w:sz w:val="13"/>
        </w:rPr>
        <w:t>types </w:t>
      </w:r>
      <w:r>
        <w:rPr>
          <w:sz w:val="13"/>
        </w:rPr>
        <w:t>of hearing loops and the </w:t>
      </w:r>
      <w:r>
        <w:rPr>
          <w:spacing w:val="2"/>
          <w:sz w:val="13"/>
        </w:rPr>
        <w:t>courts </w:t>
      </w:r>
      <w:r>
        <w:rPr>
          <w:sz w:val="13"/>
        </w:rPr>
        <w:t>should consider which one will assist the most</w:t>
      </w:r>
      <w:r>
        <w:rPr>
          <w:spacing w:val="25"/>
          <w:sz w:val="13"/>
        </w:rPr>
        <w:t> </w:t>
      </w:r>
      <w:r>
        <w:rPr>
          <w:sz w:val="13"/>
        </w:rPr>
        <w:t>people.</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14"/>
        <w:ind w:left="571" w:right="0" w:firstLine="0"/>
        <w:jc w:val="left"/>
        <w:rPr>
          <w:b/>
          <w:sz w:val="24"/>
        </w:rPr>
      </w:pPr>
      <w:r>
        <w:rPr>
          <w:b/>
          <w:color w:val="37617A"/>
          <w:sz w:val="24"/>
        </w:rPr>
        <w:t>143</w:t>
      </w:r>
    </w:p>
    <w:p>
      <w:pPr>
        <w:spacing w:after="0"/>
        <w:jc w:val="left"/>
        <w:rPr>
          <w:sz w:val="24"/>
        </w:rPr>
        <w:sectPr>
          <w:type w:val="continuous"/>
          <w:pgSz w:w="11910" w:h="16840"/>
          <w:pgMar w:top="620" w:bottom="280" w:left="620" w:right="380"/>
          <w:cols w:num="2" w:equalWidth="0">
            <w:col w:w="9688" w:space="40"/>
            <w:col w:w="1182"/>
          </w:cols>
        </w:sectPr>
      </w:pPr>
    </w:p>
    <w:p>
      <w:pPr>
        <w:pStyle w:val="BodyText"/>
        <w:rPr>
          <w:b/>
        </w:rPr>
      </w:pPr>
    </w:p>
    <w:p>
      <w:pPr>
        <w:pStyle w:val="BodyText"/>
        <w:rPr>
          <w:b/>
        </w:rPr>
      </w:pPr>
    </w:p>
    <w:p>
      <w:pPr>
        <w:pStyle w:val="BodyText"/>
        <w:rPr>
          <w:b/>
        </w:rPr>
      </w:pPr>
    </w:p>
    <w:p>
      <w:pPr>
        <w:spacing w:line="216" w:lineRule="auto" w:before="248"/>
        <w:ind w:left="967" w:right="1951" w:firstLine="0"/>
        <w:jc w:val="left"/>
        <w:rPr>
          <w:b/>
          <w:sz w:val="24"/>
        </w:rPr>
      </w:pPr>
      <w:bookmarkStart w:name="_bookmark102" w:id="247"/>
      <w:bookmarkEnd w:id="247"/>
      <w:r>
        <w:rPr/>
      </w:r>
      <w:r>
        <w:rPr>
          <w:b/>
          <w:sz w:val="24"/>
        </w:rPr>
        <w:t>Captioning, Communication Access Real Time Translation (CART) and stenographers</w:t>
      </w:r>
    </w:p>
    <w:p>
      <w:pPr>
        <w:pStyle w:val="ListParagraph"/>
        <w:numPr>
          <w:ilvl w:val="1"/>
          <w:numId w:val="12"/>
        </w:numPr>
        <w:tabs>
          <w:tab w:pos="1762" w:val="left" w:leader="none"/>
        </w:tabs>
        <w:spacing w:line="206" w:lineRule="auto" w:before="133" w:after="0"/>
        <w:ind w:left="1761" w:right="1270" w:hanging="794"/>
        <w:jc w:val="both"/>
        <w:rPr>
          <w:sz w:val="11"/>
        </w:rPr>
      </w:pPr>
      <w:r>
        <w:rPr>
          <w:sz w:val="20"/>
        </w:rPr>
        <w:t>Captioning</w:t>
      </w:r>
      <w:r>
        <w:rPr>
          <w:spacing w:val="-10"/>
          <w:sz w:val="20"/>
        </w:rPr>
        <w:t> </w:t>
      </w:r>
      <w:r>
        <w:rPr>
          <w:sz w:val="20"/>
        </w:rPr>
        <w:t>is</w:t>
      </w:r>
      <w:r>
        <w:rPr>
          <w:spacing w:val="-10"/>
          <w:sz w:val="20"/>
        </w:rPr>
        <w:t> </w:t>
      </w:r>
      <w:r>
        <w:rPr>
          <w:sz w:val="20"/>
        </w:rPr>
        <w:t>the</w:t>
      </w:r>
      <w:r>
        <w:rPr>
          <w:spacing w:val="-10"/>
          <w:sz w:val="20"/>
        </w:rPr>
        <w:t> </w:t>
      </w:r>
      <w:r>
        <w:rPr>
          <w:sz w:val="20"/>
        </w:rPr>
        <w:t>display</w:t>
      </w:r>
      <w:r>
        <w:rPr>
          <w:spacing w:val="-10"/>
          <w:sz w:val="20"/>
        </w:rPr>
        <w:t> </w:t>
      </w:r>
      <w:r>
        <w:rPr>
          <w:sz w:val="20"/>
        </w:rPr>
        <w:t>of</w:t>
      </w:r>
      <w:r>
        <w:rPr>
          <w:spacing w:val="-9"/>
          <w:sz w:val="20"/>
        </w:rPr>
        <w:t> </w:t>
      </w:r>
      <w:r>
        <w:rPr>
          <w:sz w:val="20"/>
        </w:rPr>
        <w:t>spoken</w:t>
      </w:r>
      <w:r>
        <w:rPr>
          <w:spacing w:val="-10"/>
          <w:sz w:val="20"/>
        </w:rPr>
        <w:t> </w:t>
      </w:r>
      <w:r>
        <w:rPr>
          <w:spacing w:val="-3"/>
          <w:sz w:val="20"/>
        </w:rPr>
        <w:t>words</w:t>
      </w:r>
      <w:r>
        <w:rPr>
          <w:spacing w:val="-10"/>
          <w:sz w:val="20"/>
        </w:rPr>
        <w:t> </w:t>
      </w:r>
      <w:r>
        <w:rPr>
          <w:sz w:val="20"/>
        </w:rPr>
        <w:t>as</w:t>
      </w:r>
      <w:r>
        <w:rPr>
          <w:spacing w:val="-10"/>
          <w:sz w:val="20"/>
        </w:rPr>
        <w:t> </w:t>
      </w:r>
      <w:r>
        <w:rPr>
          <w:sz w:val="20"/>
        </w:rPr>
        <w:t>text</w:t>
      </w:r>
      <w:r>
        <w:rPr>
          <w:spacing w:val="-9"/>
          <w:sz w:val="20"/>
        </w:rPr>
        <w:t> </w:t>
      </w:r>
      <w:r>
        <w:rPr>
          <w:sz w:val="20"/>
        </w:rPr>
        <w:t>on</w:t>
      </w:r>
      <w:r>
        <w:rPr>
          <w:spacing w:val="-10"/>
          <w:sz w:val="20"/>
        </w:rPr>
        <w:t> </w:t>
      </w:r>
      <w:r>
        <w:rPr>
          <w:sz w:val="20"/>
        </w:rPr>
        <w:t>a</w:t>
      </w:r>
      <w:r>
        <w:rPr>
          <w:spacing w:val="-10"/>
          <w:sz w:val="20"/>
        </w:rPr>
        <w:t> </w:t>
      </w:r>
      <w:r>
        <w:rPr>
          <w:sz w:val="20"/>
        </w:rPr>
        <w:t>computer</w:t>
      </w:r>
      <w:r>
        <w:rPr>
          <w:spacing w:val="-10"/>
          <w:sz w:val="20"/>
        </w:rPr>
        <w:t> </w:t>
      </w:r>
      <w:r>
        <w:rPr>
          <w:sz w:val="20"/>
        </w:rPr>
        <w:t>screen,</w:t>
      </w:r>
      <w:r>
        <w:rPr>
          <w:spacing w:val="-9"/>
          <w:sz w:val="20"/>
        </w:rPr>
        <w:t> </w:t>
      </w:r>
      <w:r>
        <w:rPr>
          <w:sz w:val="20"/>
        </w:rPr>
        <w:t>mobile</w:t>
      </w:r>
      <w:r>
        <w:rPr>
          <w:spacing w:val="-10"/>
          <w:sz w:val="20"/>
        </w:rPr>
        <w:t> </w:t>
      </w:r>
      <w:r>
        <w:rPr>
          <w:spacing w:val="-3"/>
          <w:sz w:val="20"/>
        </w:rPr>
        <w:t>device </w:t>
      </w:r>
      <w:r>
        <w:rPr>
          <w:sz w:val="20"/>
        </w:rPr>
        <w:t>or</w:t>
      </w:r>
      <w:r>
        <w:rPr>
          <w:spacing w:val="-10"/>
          <w:sz w:val="20"/>
        </w:rPr>
        <w:t> </w:t>
      </w:r>
      <w:r>
        <w:rPr>
          <w:sz w:val="20"/>
        </w:rPr>
        <w:t>television.</w:t>
      </w:r>
      <w:r>
        <w:rPr>
          <w:spacing w:val="-9"/>
          <w:sz w:val="20"/>
        </w:rPr>
        <w:t> </w:t>
      </w:r>
      <w:r>
        <w:rPr>
          <w:sz w:val="20"/>
        </w:rPr>
        <w:t>Captions</w:t>
      </w:r>
      <w:r>
        <w:rPr>
          <w:spacing w:val="-9"/>
          <w:sz w:val="20"/>
        </w:rPr>
        <w:t> </w:t>
      </w:r>
      <w:r>
        <w:rPr>
          <w:spacing w:val="-3"/>
          <w:sz w:val="20"/>
        </w:rPr>
        <w:t>allow</w:t>
      </w:r>
      <w:r>
        <w:rPr>
          <w:spacing w:val="-9"/>
          <w:sz w:val="20"/>
        </w:rPr>
        <w:t> </w:t>
      </w:r>
      <w:r>
        <w:rPr>
          <w:spacing w:val="-3"/>
          <w:sz w:val="20"/>
        </w:rPr>
        <w:t>viewers</w:t>
      </w:r>
      <w:r>
        <w:rPr>
          <w:spacing w:val="-10"/>
          <w:sz w:val="20"/>
        </w:rPr>
        <w:t> </w:t>
      </w:r>
      <w:r>
        <w:rPr>
          <w:sz w:val="20"/>
        </w:rPr>
        <w:t>to</w:t>
      </w:r>
      <w:r>
        <w:rPr>
          <w:spacing w:val="-9"/>
          <w:sz w:val="20"/>
        </w:rPr>
        <w:t> </w:t>
      </w:r>
      <w:r>
        <w:rPr>
          <w:spacing w:val="-3"/>
          <w:sz w:val="20"/>
        </w:rPr>
        <w:t>follow</w:t>
      </w:r>
      <w:r>
        <w:rPr>
          <w:spacing w:val="-9"/>
          <w:sz w:val="20"/>
        </w:rPr>
        <w:t> </w:t>
      </w:r>
      <w:r>
        <w:rPr>
          <w:sz w:val="20"/>
        </w:rPr>
        <w:t>the</w:t>
      </w:r>
      <w:r>
        <w:rPr>
          <w:spacing w:val="-9"/>
          <w:sz w:val="20"/>
        </w:rPr>
        <w:t> </w:t>
      </w:r>
      <w:r>
        <w:rPr>
          <w:sz w:val="20"/>
        </w:rPr>
        <w:t>dialogue</w:t>
      </w:r>
      <w:r>
        <w:rPr>
          <w:spacing w:val="-10"/>
          <w:sz w:val="20"/>
        </w:rPr>
        <w:t> </w:t>
      </w:r>
      <w:r>
        <w:rPr>
          <w:sz w:val="20"/>
        </w:rPr>
        <w:t>and</w:t>
      </w:r>
      <w:r>
        <w:rPr>
          <w:spacing w:val="-9"/>
          <w:sz w:val="20"/>
        </w:rPr>
        <w:t> </w:t>
      </w:r>
      <w:r>
        <w:rPr>
          <w:sz w:val="20"/>
        </w:rPr>
        <w:t>the</w:t>
      </w:r>
      <w:r>
        <w:rPr>
          <w:spacing w:val="-9"/>
          <w:sz w:val="20"/>
        </w:rPr>
        <w:t> </w:t>
      </w:r>
      <w:r>
        <w:rPr>
          <w:sz w:val="20"/>
        </w:rPr>
        <w:t>action</w:t>
      </w:r>
      <w:r>
        <w:rPr>
          <w:spacing w:val="-9"/>
          <w:sz w:val="20"/>
        </w:rPr>
        <w:t> </w:t>
      </w:r>
      <w:r>
        <w:rPr>
          <w:sz w:val="20"/>
        </w:rPr>
        <w:t>of</w:t>
      </w:r>
      <w:r>
        <w:rPr>
          <w:spacing w:val="-10"/>
          <w:sz w:val="20"/>
        </w:rPr>
        <w:t> </w:t>
      </w:r>
      <w:r>
        <w:rPr>
          <w:sz w:val="20"/>
        </w:rPr>
        <w:t>a</w:t>
      </w:r>
      <w:r>
        <w:rPr>
          <w:spacing w:val="-9"/>
          <w:sz w:val="20"/>
        </w:rPr>
        <w:t> </w:t>
      </w:r>
      <w:r>
        <w:rPr>
          <w:sz w:val="20"/>
        </w:rPr>
        <w:t>program </w:t>
      </w:r>
      <w:r>
        <w:rPr>
          <w:spacing w:val="-3"/>
          <w:sz w:val="20"/>
        </w:rPr>
        <w:t>simultaneously.</w:t>
      </w:r>
      <w:r>
        <w:rPr>
          <w:spacing w:val="-3"/>
          <w:position w:val="7"/>
          <w:sz w:val="11"/>
        </w:rPr>
        <w:t>10</w:t>
      </w:r>
    </w:p>
    <w:p>
      <w:pPr>
        <w:pStyle w:val="ListParagraph"/>
        <w:numPr>
          <w:ilvl w:val="1"/>
          <w:numId w:val="12"/>
        </w:numPr>
        <w:tabs>
          <w:tab w:pos="1761" w:val="left" w:leader="none"/>
          <w:tab w:pos="1762" w:val="left" w:leader="none"/>
        </w:tabs>
        <w:spacing w:line="206" w:lineRule="auto" w:before="124" w:after="0"/>
        <w:ind w:left="1761" w:right="1627" w:hanging="794"/>
        <w:jc w:val="left"/>
        <w:rPr>
          <w:sz w:val="20"/>
        </w:rPr>
      </w:pPr>
      <w:r>
        <w:rPr>
          <w:sz w:val="20"/>
        </w:rPr>
        <w:t>Captioning</w:t>
      </w:r>
      <w:r>
        <w:rPr>
          <w:spacing w:val="-10"/>
          <w:sz w:val="20"/>
        </w:rPr>
        <w:t> </w:t>
      </w:r>
      <w:r>
        <w:rPr>
          <w:sz w:val="20"/>
        </w:rPr>
        <w:t>can</w:t>
      </w:r>
      <w:r>
        <w:rPr>
          <w:spacing w:val="-9"/>
          <w:sz w:val="20"/>
        </w:rPr>
        <w:t> </w:t>
      </w:r>
      <w:r>
        <w:rPr>
          <w:sz w:val="20"/>
        </w:rPr>
        <w:t>occur</w:t>
      </w:r>
      <w:r>
        <w:rPr>
          <w:spacing w:val="-9"/>
          <w:sz w:val="20"/>
        </w:rPr>
        <w:t> </w:t>
      </w:r>
      <w:r>
        <w:rPr>
          <w:sz w:val="20"/>
        </w:rPr>
        <w:t>in</w:t>
      </w:r>
      <w:r>
        <w:rPr>
          <w:spacing w:val="-10"/>
          <w:sz w:val="20"/>
        </w:rPr>
        <w:t> </w:t>
      </w:r>
      <w:r>
        <w:rPr>
          <w:spacing w:val="-3"/>
          <w:sz w:val="20"/>
        </w:rPr>
        <w:t>real</w:t>
      </w:r>
      <w:r>
        <w:rPr>
          <w:spacing w:val="-9"/>
          <w:sz w:val="20"/>
        </w:rPr>
        <w:t> </w:t>
      </w:r>
      <w:r>
        <w:rPr>
          <w:sz w:val="20"/>
        </w:rPr>
        <w:t>time,</w:t>
      </w:r>
      <w:r>
        <w:rPr>
          <w:spacing w:val="-9"/>
          <w:sz w:val="20"/>
        </w:rPr>
        <w:t> </w:t>
      </w:r>
      <w:r>
        <w:rPr>
          <w:sz w:val="20"/>
        </w:rPr>
        <w:t>although</w:t>
      </w:r>
      <w:r>
        <w:rPr>
          <w:spacing w:val="-9"/>
          <w:sz w:val="20"/>
        </w:rPr>
        <w:t> </w:t>
      </w:r>
      <w:r>
        <w:rPr>
          <w:sz w:val="20"/>
        </w:rPr>
        <w:t>there</w:t>
      </w:r>
      <w:r>
        <w:rPr>
          <w:spacing w:val="-10"/>
          <w:sz w:val="20"/>
        </w:rPr>
        <w:t> </w:t>
      </w:r>
      <w:r>
        <w:rPr>
          <w:sz w:val="20"/>
        </w:rPr>
        <w:t>is</w:t>
      </w:r>
      <w:r>
        <w:rPr>
          <w:spacing w:val="-9"/>
          <w:sz w:val="20"/>
        </w:rPr>
        <w:t> </w:t>
      </w:r>
      <w:r>
        <w:rPr>
          <w:sz w:val="20"/>
        </w:rPr>
        <w:t>a</w:t>
      </w:r>
      <w:r>
        <w:rPr>
          <w:spacing w:val="-9"/>
          <w:sz w:val="20"/>
        </w:rPr>
        <w:t> </w:t>
      </w:r>
      <w:r>
        <w:rPr>
          <w:sz w:val="20"/>
        </w:rPr>
        <w:t>slight</w:t>
      </w:r>
      <w:r>
        <w:rPr>
          <w:spacing w:val="-9"/>
          <w:sz w:val="20"/>
        </w:rPr>
        <w:t> </w:t>
      </w:r>
      <w:r>
        <w:rPr>
          <w:spacing w:val="-3"/>
          <w:sz w:val="20"/>
        </w:rPr>
        <w:t>delay.</w:t>
      </w:r>
      <w:r>
        <w:rPr>
          <w:spacing w:val="-3"/>
          <w:position w:val="7"/>
          <w:sz w:val="11"/>
        </w:rPr>
        <w:t>11</w:t>
      </w:r>
      <w:r>
        <w:rPr>
          <w:spacing w:val="15"/>
          <w:position w:val="7"/>
          <w:sz w:val="11"/>
        </w:rPr>
        <w:t> </w:t>
      </w:r>
      <w:r>
        <w:rPr>
          <w:sz w:val="20"/>
        </w:rPr>
        <w:t>Alastair</w:t>
      </w:r>
      <w:r>
        <w:rPr>
          <w:spacing w:val="-9"/>
          <w:sz w:val="20"/>
        </w:rPr>
        <w:t> </w:t>
      </w:r>
      <w:r>
        <w:rPr>
          <w:spacing w:val="-3"/>
          <w:sz w:val="20"/>
        </w:rPr>
        <w:t>McEwin, </w:t>
      </w:r>
      <w:r>
        <w:rPr>
          <w:sz w:val="20"/>
        </w:rPr>
        <w:t>who is </w:t>
      </w:r>
      <w:r>
        <w:rPr>
          <w:spacing w:val="-4"/>
          <w:sz w:val="20"/>
        </w:rPr>
        <w:t>deaf, </w:t>
      </w:r>
      <w:r>
        <w:rPr>
          <w:spacing w:val="-3"/>
          <w:sz w:val="20"/>
        </w:rPr>
        <w:t>told </w:t>
      </w:r>
      <w:r>
        <w:rPr>
          <w:sz w:val="20"/>
        </w:rPr>
        <w:t>the</w:t>
      </w:r>
      <w:r>
        <w:rPr>
          <w:spacing w:val="-14"/>
          <w:sz w:val="20"/>
        </w:rPr>
        <w:t> </w:t>
      </w:r>
      <w:r>
        <w:rPr>
          <w:sz w:val="20"/>
        </w:rPr>
        <w:t>Commission:</w:t>
      </w:r>
    </w:p>
    <w:p>
      <w:pPr>
        <w:spacing w:line="208" w:lineRule="auto" w:before="120"/>
        <w:ind w:left="2157" w:right="1215" w:firstLine="0"/>
        <w:jc w:val="left"/>
        <w:rPr>
          <w:sz w:val="11"/>
        </w:rPr>
      </w:pPr>
      <w:r>
        <w:rPr>
          <w:sz w:val="19"/>
        </w:rPr>
        <w:t>Captioning is important and the best services are now only a second or two behind the spoken word. It can now occur almost simultaneously … While it has improved, it is still not perfect, as it relies on the machine getting used to a wide variety of voices.</w:t>
      </w:r>
      <w:r>
        <w:rPr>
          <w:position w:val="6"/>
          <w:sz w:val="11"/>
        </w:rPr>
        <w:t>12</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A</w:t>
      </w:r>
      <w:r>
        <w:rPr>
          <w:spacing w:val="-5"/>
          <w:sz w:val="20"/>
        </w:rPr>
        <w:t> </w:t>
      </w:r>
      <w:r>
        <w:rPr>
          <w:sz w:val="20"/>
        </w:rPr>
        <w:t>participant</w:t>
      </w:r>
      <w:r>
        <w:rPr>
          <w:spacing w:val="-5"/>
          <w:sz w:val="20"/>
        </w:rPr>
        <w:t> </w:t>
      </w:r>
      <w:r>
        <w:rPr>
          <w:sz w:val="20"/>
        </w:rPr>
        <w:t>in</w:t>
      </w:r>
      <w:r>
        <w:rPr>
          <w:spacing w:val="-6"/>
          <w:sz w:val="20"/>
        </w:rPr>
        <w:t> </w:t>
      </w:r>
      <w:r>
        <w:rPr>
          <w:sz w:val="20"/>
        </w:rPr>
        <w:t>our</w:t>
      </w:r>
      <w:r>
        <w:rPr>
          <w:spacing w:val="-5"/>
          <w:sz w:val="20"/>
        </w:rPr>
        <w:t> </w:t>
      </w:r>
      <w:r>
        <w:rPr>
          <w:sz w:val="20"/>
        </w:rPr>
        <w:t>consultation</w:t>
      </w:r>
      <w:r>
        <w:rPr>
          <w:spacing w:val="-5"/>
          <w:sz w:val="20"/>
        </w:rPr>
        <w:t> </w:t>
      </w:r>
      <w:r>
        <w:rPr>
          <w:sz w:val="20"/>
        </w:rPr>
        <w:t>with</w:t>
      </w:r>
      <w:r>
        <w:rPr>
          <w:spacing w:val="-5"/>
          <w:sz w:val="20"/>
        </w:rPr>
        <w:t> </w:t>
      </w:r>
      <w:r>
        <w:rPr>
          <w:sz w:val="20"/>
        </w:rPr>
        <w:t>Deaf</w:t>
      </w:r>
      <w:r>
        <w:rPr>
          <w:spacing w:val="-5"/>
          <w:sz w:val="20"/>
        </w:rPr>
        <w:t> </w:t>
      </w:r>
      <w:r>
        <w:rPr>
          <w:sz w:val="20"/>
        </w:rPr>
        <w:t>Victoria</w:t>
      </w:r>
      <w:r>
        <w:rPr>
          <w:spacing w:val="-5"/>
          <w:sz w:val="20"/>
        </w:rPr>
        <w:t> </w:t>
      </w:r>
      <w:r>
        <w:rPr>
          <w:sz w:val="20"/>
        </w:rPr>
        <w:t>commented:</w:t>
      </w:r>
    </w:p>
    <w:p>
      <w:pPr>
        <w:spacing w:line="208" w:lineRule="auto" w:before="113"/>
        <w:ind w:left="2157" w:right="1335" w:firstLine="0"/>
        <w:jc w:val="left"/>
        <w:rPr>
          <w:sz w:val="11"/>
        </w:rPr>
      </w:pPr>
      <w:r>
        <w:rPr>
          <w:sz w:val="19"/>
        </w:rPr>
        <w:t>Captioning can be a useful tool not just for deaf or hard of hearing jurors. It is important that reputable and high-quality captioning providers are used as auto- generated captions can be inaccurate.</w:t>
      </w:r>
      <w:r>
        <w:rPr>
          <w:position w:val="6"/>
          <w:sz w:val="11"/>
        </w:rPr>
        <w:t>13</w:t>
      </w:r>
    </w:p>
    <w:p>
      <w:pPr>
        <w:pStyle w:val="ListParagraph"/>
        <w:numPr>
          <w:ilvl w:val="1"/>
          <w:numId w:val="12"/>
        </w:numPr>
        <w:tabs>
          <w:tab w:pos="1761" w:val="left" w:leader="none"/>
          <w:tab w:pos="1762" w:val="left" w:leader="none"/>
        </w:tabs>
        <w:spacing w:line="206" w:lineRule="auto" w:before="124" w:after="0"/>
        <w:ind w:left="1761" w:right="1393" w:hanging="794"/>
        <w:jc w:val="left"/>
        <w:rPr>
          <w:sz w:val="20"/>
        </w:rPr>
      </w:pPr>
      <w:r>
        <w:rPr>
          <w:sz w:val="20"/>
        </w:rPr>
        <w:t>Expression</w:t>
      </w:r>
      <w:r>
        <w:rPr>
          <w:spacing w:val="-12"/>
          <w:sz w:val="20"/>
        </w:rPr>
        <w:t> </w:t>
      </w:r>
      <w:r>
        <w:rPr>
          <w:sz w:val="20"/>
        </w:rPr>
        <w:t>Australia</w:t>
      </w:r>
      <w:r>
        <w:rPr>
          <w:spacing w:val="-11"/>
          <w:sz w:val="20"/>
        </w:rPr>
        <w:t> </w:t>
      </w:r>
      <w:r>
        <w:rPr>
          <w:sz w:val="20"/>
        </w:rPr>
        <w:t>noted</w:t>
      </w:r>
      <w:r>
        <w:rPr>
          <w:spacing w:val="-12"/>
          <w:sz w:val="20"/>
        </w:rPr>
        <w:t> </w:t>
      </w:r>
      <w:r>
        <w:rPr>
          <w:sz w:val="20"/>
        </w:rPr>
        <w:t>that</w:t>
      </w:r>
      <w:r>
        <w:rPr>
          <w:spacing w:val="-11"/>
          <w:sz w:val="20"/>
        </w:rPr>
        <w:t> </w:t>
      </w:r>
      <w:r>
        <w:rPr>
          <w:sz w:val="20"/>
        </w:rPr>
        <w:t>the</w:t>
      </w:r>
      <w:r>
        <w:rPr>
          <w:spacing w:val="-11"/>
          <w:sz w:val="20"/>
        </w:rPr>
        <w:t> </w:t>
      </w:r>
      <w:r>
        <w:rPr>
          <w:sz w:val="20"/>
        </w:rPr>
        <w:t>placement</w:t>
      </w:r>
      <w:r>
        <w:rPr>
          <w:spacing w:val="-12"/>
          <w:sz w:val="20"/>
        </w:rPr>
        <w:t> </w:t>
      </w:r>
      <w:r>
        <w:rPr>
          <w:sz w:val="20"/>
        </w:rPr>
        <w:t>of</w:t>
      </w:r>
      <w:r>
        <w:rPr>
          <w:spacing w:val="-11"/>
          <w:sz w:val="20"/>
        </w:rPr>
        <w:t> </w:t>
      </w:r>
      <w:r>
        <w:rPr>
          <w:sz w:val="20"/>
        </w:rPr>
        <w:t>the</w:t>
      </w:r>
      <w:r>
        <w:rPr>
          <w:spacing w:val="-11"/>
          <w:sz w:val="20"/>
        </w:rPr>
        <w:t> </w:t>
      </w:r>
      <w:r>
        <w:rPr>
          <w:sz w:val="20"/>
        </w:rPr>
        <w:t>captioning</w:t>
      </w:r>
      <w:r>
        <w:rPr>
          <w:spacing w:val="-12"/>
          <w:sz w:val="20"/>
        </w:rPr>
        <w:t> </w:t>
      </w:r>
      <w:r>
        <w:rPr>
          <w:sz w:val="20"/>
        </w:rPr>
        <w:t>screen</w:t>
      </w:r>
      <w:r>
        <w:rPr>
          <w:spacing w:val="-11"/>
          <w:sz w:val="20"/>
        </w:rPr>
        <w:t> </w:t>
      </w:r>
      <w:r>
        <w:rPr>
          <w:sz w:val="20"/>
        </w:rPr>
        <w:t>is</w:t>
      </w:r>
      <w:r>
        <w:rPr>
          <w:spacing w:val="-11"/>
          <w:sz w:val="20"/>
        </w:rPr>
        <w:t> </w:t>
      </w:r>
      <w:r>
        <w:rPr>
          <w:sz w:val="20"/>
        </w:rPr>
        <w:t>important.</w:t>
      </w:r>
      <w:r>
        <w:rPr>
          <w:position w:val="7"/>
          <w:sz w:val="11"/>
        </w:rPr>
        <w:t>14</w:t>
      </w:r>
      <w:r>
        <w:rPr>
          <w:sz w:val="11"/>
        </w:rPr>
        <w:t> </w:t>
      </w:r>
      <w:r>
        <w:rPr>
          <w:sz w:val="20"/>
        </w:rPr>
        <w:t>Placement and line of sight </w:t>
      </w:r>
      <w:r>
        <w:rPr>
          <w:spacing w:val="-3"/>
          <w:sz w:val="20"/>
        </w:rPr>
        <w:t>are </w:t>
      </w:r>
      <w:r>
        <w:rPr>
          <w:sz w:val="20"/>
        </w:rPr>
        <w:t>discussed further</w:t>
      </w:r>
      <w:r>
        <w:rPr>
          <w:spacing w:val="-34"/>
          <w:sz w:val="20"/>
        </w:rPr>
        <w:t> </w:t>
      </w:r>
      <w:r>
        <w:rPr>
          <w:spacing w:val="-5"/>
          <w:sz w:val="20"/>
        </w:rPr>
        <w:t>below.</w:t>
      </w:r>
    </w:p>
    <w:p>
      <w:pPr>
        <w:pStyle w:val="ListParagraph"/>
        <w:numPr>
          <w:ilvl w:val="1"/>
          <w:numId w:val="12"/>
        </w:numPr>
        <w:tabs>
          <w:tab w:pos="1761" w:val="left" w:leader="none"/>
          <w:tab w:pos="1762" w:val="left" w:leader="none"/>
        </w:tabs>
        <w:spacing w:line="206" w:lineRule="auto" w:before="122" w:after="0"/>
        <w:ind w:left="1761" w:right="1569" w:hanging="794"/>
        <w:jc w:val="left"/>
        <w:rPr>
          <w:sz w:val="11"/>
        </w:rPr>
      </w:pPr>
      <w:r>
        <w:rPr>
          <w:sz w:val="20"/>
        </w:rPr>
        <w:t>Communication</w:t>
      </w:r>
      <w:r>
        <w:rPr>
          <w:spacing w:val="-8"/>
          <w:sz w:val="20"/>
        </w:rPr>
        <w:t> </w:t>
      </w:r>
      <w:r>
        <w:rPr>
          <w:spacing w:val="-3"/>
          <w:sz w:val="20"/>
        </w:rPr>
        <w:t>Access</w:t>
      </w:r>
      <w:r>
        <w:rPr>
          <w:spacing w:val="-8"/>
          <w:sz w:val="20"/>
        </w:rPr>
        <w:t> </w:t>
      </w:r>
      <w:r>
        <w:rPr>
          <w:sz w:val="20"/>
        </w:rPr>
        <w:t>Real</w:t>
      </w:r>
      <w:r>
        <w:rPr>
          <w:spacing w:val="-8"/>
          <w:sz w:val="20"/>
        </w:rPr>
        <w:t> </w:t>
      </w:r>
      <w:r>
        <w:rPr>
          <w:sz w:val="20"/>
        </w:rPr>
        <w:t>Time</w:t>
      </w:r>
      <w:r>
        <w:rPr>
          <w:spacing w:val="-7"/>
          <w:sz w:val="20"/>
        </w:rPr>
        <w:t> </w:t>
      </w:r>
      <w:r>
        <w:rPr>
          <w:spacing w:val="-3"/>
          <w:sz w:val="20"/>
        </w:rPr>
        <w:t>Translation</w:t>
      </w:r>
      <w:r>
        <w:rPr>
          <w:spacing w:val="-8"/>
          <w:sz w:val="20"/>
        </w:rPr>
        <w:t> </w:t>
      </w:r>
      <w:r>
        <w:rPr>
          <w:sz w:val="20"/>
        </w:rPr>
        <w:t>(CART)</w:t>
      </w:r>
      <w:r>
        <w:rPr>
          <w:position w:val="7"/>
          <w:sz w:val="11"/>
        </w:rPr>
        <w:t>15</w:t>
      </w:r>
      <w:r>
        <w:rPr>
          <w:spacing w:val="17"/>
          <w:position w:val="7"/>
          <w:sz w:val="11"/>
        </w:rPr>
        <w:t> </w:t>
      </w:r>
      <w:r>
        <w:rPr>
          <w:sz w:val="20"/>
        </w:rPr>
        <w:t>is</w:t>
      </w:r>
      <w:r>
        <w:rPr>
          <w:spacing w:val="-8"/>
          <w:sz w:val="20"/>
        </w:rPr>
        <w:t> </w:t>
      </w:r>
      <w:r>
        <w:rPr>
          <w:sz w:val="20"/>
        </w:rPr>
        <w:t>already</w:t>
      </w:r>
      <w:r>
        <w:rPr>
          <w:spacing w:val="-7"/>
          <w:sz w:val="20"/>
        </w:rPr>
        <w:t> </w:t>
      </w:r>
      <w:r>
        <w:rPr>
          <w:sz w:val="20"/>
        </w:rPr>
        <w:t>used</w:t>
      </w:r>
      <w:r>
        <w:rPr>
          <w:spacing w:val="-8"/>
          <w:sz w:val="20"/>
        </w:rPr>
        <w:t> </w:t>
      </w:r>
      <w:r>
        <w:rPr>
          <w:sz w:val="20"/>
        </w:rPr>
        <w:t>in</w:t>
      </w:r>
      <w:r>
        <w:rPr>
          <w:spacing w:val="-8"/>
          <w:sz w:val="20"/>
        </w:rPr>
        <w:t> </w:t>
      </w:r>
      <w:r>
        <w:rPr>
          <w:sz w:val="20"/>
        </w:rPr>
        <w:t>the</w:t>
      </w:r>
      <w:r>
        <w:rPr>
          <w:spacing w:val="-8"/>
          <w:sz w:val="20"/>
        </w:rPr>
        <w:t> </w:t>
      </w:r>
      <w:r>
        <w:rPr>
          <w:spacing w:val="-4"/>
          <w:sz w:val="20"/>
        </w:rPr>
        <w:t>Family </w:t>
      </w:r>
      <w:r>
        <w:rPr>
          <w:sz w:val="20"/>
        </w:rPr>
        <w:t>Court of Australia and the Federal Court of Australia.</w:t>
      </w:r>
      <w:r>
        <w:rPr>
          <w:position w:val="7"/>
          <w:sz w:val="11"/>
        </w:rPr>
        <w:t>16 </w:t>
      </w:r>
      <w:r>
        <w:rPr>
          <w:sz w:val="20"/>
        </w:rPr>
        <w:t>It is also used in courts in England</w:t>
      </w:r>
      <w:r>
        <w:rPr>
          <w:spacing w:val="-8"/>
          <w:sz w:val="20"/>
        </w:rPr>
        <w:t> </w:t>
      </w:r>
      <w:r>
        <w:rPr>
          <w:sz w:val="20"/>
        </w:rPr>
        <w:t>and</w:t>
      </w:r>
      <w:r>
        <w:rPr>
          <w:spacing w:val="-8"/>
          <w:sz w:val="20"/>
        </w:rPr>
        <w:t> </w:t>
      </w:r>
      <w:r>
        <w:rPr>
          <w:spacing w:val="-4"/>
          <w:sz w:val="20"/>
        </w:rPr>
        <w:t>Wales</w:t>
      </w:r>
      <w:r>
        <w:rPr>
          <w:spacing w:val="-8"/>
          <w:sz w:val="20"/>
        </w:rPr>
        <w:t> </w:t>
      </w:r>
      <w:r>
        <w:rPr>
          <w:sz w:val="20"/>
        </w:rPr>
        <w:t>and</w:t>
      </w:r>
      <w:r>
        <w:rPr>
          <w:spacing w:val="-8"/>
          <w:sz w:val="20"/>
        </w:rPr>
        <w:t> </w:t>
      </w:r>
      <w:r>
        <w:rPr>
          <w:sz w:val="20"/>
        </w:rPr>
        <w:t>some</w:t>
      </w:r>
      <w:r>
        <w:rPr>
          <w:spacing w:val="-8"/>
          <w:sz w:val="20"/>
        </w:rPr>
        <w:t> </w:t>
      </w:r>
      <w:r>
        <w:rPr>
          <w:sz w:val="20"/>
        </w:rPr>
        <w:t>states</w:t>
      </w:r>
      <w:r>
        <w:rPr>
          <w:spacing w:val="-8"/>
          <w:sz w:val="20"/>
        </w:rPr>
        <w:t> </w:t>
      </w:r>
      <w:r>
        <w:rPr>
          <w:sz w:val="20"/>
        </w:rPr>
        <w:t>of</w:t>
      </w:r>
      <w:r>
        <w:rPr>
          <w:spacing w:val="-8"/>
          <w:sz w:val="20"/>
        </w:rPr>
        <w:t> </w:t>
      </w:r>
      <w:r>
        <w:rPr>
          <w:sz w:val="20"/>
        </w:rPr>
        <w:t>the</w:t>
      </w:r>
      <w:r>
        <w:rPr>
          <w:spacing w:val="-8"/>
          <w:sz w:val="20"/>
        </w:rPr>
        <w:t> </w:t>
      </w:r>
      <w:r>
        <w:rPr>
          <w:sz w:val="20"/>
        </w:rPr>
        <w:t>United</w:t>
      </w:r>
      <w:r>
        <w:rPr>
          <w:spacing w:val="-8"/>
          <w:sz w:val="20"/>
        </w:rPr>
        <w:t> </w:t>
      </w:r>
      <w:r>
        <w:rPr>
          <w:sz w:val="20"/>
        </w:rPr>
        <w:t>States.</w:t>
      </w:r>
      <w:r>
        <w:rPr>
          <w:position w:val="7"/>
          <w:sz w:val="11"/>
        </w:rPr>
        <w:t>17</w:t>
      </w:r>
      <w:r>
        <w:rPr>
          <w:spacing w:val="17"/>
          <w:position w:val="7"/>
          <w:sz w:val="11"/>
        </w:rPr>
        <w:t> </w:t>
      </w:r>
      <w:r>
        <w:rPr>
          <w:spacing w:val="-3"/>
          <w:sz w:val="20"/>
        </w:rPr>
        <w:t>CART</w:t>
      </w:r>
      <w:r>
        <w:rPr>
          <w:spacing w:val="-8"/>
          <w:sz w:val="20"/>
        </w:rPr>
        <w:t> </w:t>
      </w:r>
      <w:r>
        <w:rPr>
          <w:sz w:val="20"/>
        </w:rPr>
        <w:t>can</w:t>
      </w:r>
      <w:r>
        <w:rPr>
          <w:spacing w:val="-8"/>
          <w:sz w:val="20"/>
        </w:rPr>
        <w:t> </w:t>
      </w:r>
      <w:r>
        <w:rPr>
          <w:sz w:val="20"/>
        </w:rPr>
        <w:t>be</w:t>
      </w:r>
      <w:r>
        <w:rPr>
          <w:spacing w:val="-8"/>
          <w:sz w:val="20"/>
        </w:rPr>
        <w:t> </w:t>
      </w:r>
      <w:r>
        <w:rPr>
          <w:sz w:val="20"/>
        </w:rPr>
        <w:t>combined with</w:t>
      </w:r>
      <w:r>
        <w:rPr>
          <w:spacing w:val="-9"/>
          <w:sz w:val="20"/>
        </w:rPr>
        <w:t> </w:t>
      </w:r>
      <w:r>
        <w:rPr>
          <w:sz w:val="20"/>
        </w:rPr>
        <w:t>an</w:t>
      </w:r>
      <w:r>
        <w:rPr>
          <w:spacing w:val="-9"/>
          <w:sz w:val="20"/>
        </w:rPr>
        <w:t> </w:t>
      </w:r>
      <w:r>
        <w:rPr>
          <w:sz w:val="20"/>
        </w:rPr>
        <w:t>audio</w:t>
      </w:r>
      <w:r>
        <w:rPr>
          <w:spacing w:val="-9"/>
          <w:sz w:val="20"/>
        </w:rPr>
        <w:t> </w:t>
      </w:r>
      <w:r>
        <w:rPr>
          <w:sz w:val="20"/>
        </w:rPr>
        <w:t>component</w:t>
      </w:r>
      <w:r>
        <w:rPr>
          <w:spacing w:val="-9"/>
          <w:sz w:val="20"/>
        </w:rPr>
        <w:t> </w:t>
      </w:r>
      <w:r>
        <w:rPr>
          <w:sz w:val="20"/>
        </w:rPr>
        <w:t>such</w:t>
      </w:r>
      <w:r>
        <w:rPr>
          <w:spacing w:val="-9"/>
          <w:sz w:val="20"/>
        </w:rPr>
        <w:t> </w:t>
      </w:r>
      <w:r>
        <w:rPr>
          <w:sz w:val="20"/>
        </w:rPr>
        <w:t>as</w:t>
      </w:r>
      <w:r>
        <w:rPr>
          <w:spacing w:val="-9"/>
          <w:sz w:val="20"/>
        </w:rPr>
        <w:t> </w:t>
      </w:r>
      <w:r>
        <w:rPr>
          <w:sz w:val="20"/>
        </w:rPr>
        <w:t>a</w:t>
      </w:r>
      <w:r>
        <w:rPr>
          <w:spacing w:val="-9"/>
          <w:sz w:val="20"/>
        </w:rPr>
        <w:t> </w:t>
      </w:r>
      <w:r>
        <w:rPr>
          <w:sz w:val="20"/>
        </w:rPr>
        <w:t>hearing</w:t>
      </w:r>
      <w:r>
        <w:rPr>
          <w:spacing w:val="-9"/>
          <w:sz w:val="20"/>
        </w:rPr>
        <w:t> </w:t>
      </w:r>
      <w:r>
        <w:rPr>
          <w:spacing w:val="-3"/>
          <w:sz w:val="20"/>
        </w:rPr>
        <w:t>loop,</w:t>
      </w:r>
      <w:r>
        <w:rPr>
          <w:spacing w:val="-9"/>
          <w:sz w:val="20"/>
        </w:rPr>
        <w:t> </w:t>
      </w:r>
      <w:r>
        <w:rPr>
          <w:sz w:val="20"/>
        </w:rPr>
        <w:t>to</w:t>
      </w:r>
      <w:r>
        <w:rPr>
          <w:spacing w:val="-9"/>
          <w:sz w:val="20"/>
        </w:rPr>
        <w:t> </w:t>
      </w:r>
      <w:r>
        <w:rPr>
          <w:sz w:val="20"/>
        </w:rPr>
        <w:t>further</w:t>
      </w:r>
      <w:r>
        <w:rPr>
          <w:spacing w:val="-9"/>
          <w:sz w:val="20"/>
        </w:rPr>
        <w:t> </w:t>
      </w:r>
      <w:r>
        <w:rPr>
          <w:spacing w:val="-4"/>
          <w:sz w:val="20"/>
        </w:rPr>
        <w:t>improve</w:t>
      </w:r>
      <w:r>
        <w:rPr>
          <w:spacing w:val="-9"/>
          <w:sz w:val="20"/>
        </w:rPr>
        <w:t> </w:t>
      </w:r>
      <w:r>
        <w:rPr>
          <w:sz w:val="20"/>
        </w:rPr>
        <w:t>accessibility.</w:t>
      </w:r>
      <w:r>
        <w:rPr>
          <w:position w:val="7"/>
          <w:sz w:val="11"/>
        </w:rPr>
        <w:t>18</w:t>
      </w:r>
    </w:p>
    <w:p>
      <w:pPr>
        <w:pStyle w:val="ListParagraph"/>
        <w:numPr>
          <w:ilvl w:val="1"/>
          <w:numId w:val="12"/>
        </w:numPr>
        <w:tabs>
          <w:tab w:pos="1762" w:val="left" w:leader="none"/>
        </w:tabs>
        <w:spacing w:line="206" w:lineRule="auto" w:before="125" w:after="0"/>
        <w:ind w:left="1761" w:right="1312" w:hanging="794"/>
        <w:jc w:val="both"/>
        <w:rPr>
          <w:sz w:val="11"/>
        </w:rPr>
      </w:pPr>
      <w:r>
        <w:rPr>
          <w:sz w:val="20"/>
        </w:rPr>
        <w:t>Mr </w:t>
      </w:r>
      <w:r>
        <w:rPr>
          <w:spacing w:val="-3"/>
          <w:sz w:val="20"/>
        </w:rPr>
        <w:t>McEwin expressed </w:t>
      </w:r>
      <w:r>
        <w:rPr>
          <w:sz w:val="20"/>
        </w:rPr>
        <w:t>a </w:t>
      </w:r>
      <w:r>
        <w:rPr>
          <w:spacing w:val="-3"/>
          <w:sz w:val="20"/>
        </w:rPr>
        <w:t>preference </w:t>
      </w:r>
      <w:r>
        <w:rPr>
          <w:sz w:val="20"/>
        </w:rPr>
        <w:t>for the older stenography system because he felt that</w:t>
      </w:r>
      <w:r>
        <w:rPr>
          <w:spacing w:val="-10"/>
          <w:sz w:val="20"/>
        </w:rPr>
        <w:t> </w:t>
      </w:r>
      <w:r>
        <w:rPr>
          <w:sz w:val="20"/>
        </w:rPr>
        <w:t>‘stenographers</w:t>
      </w:r>
      <w:r>
        <w:rPr>
          <w:spacing w:val="-10"/>
          <w:sz w:val="20"/>
        </w:rPr>
        <w:t> </w:t>
      </w:r>
      <w:r>
        <w:rPr>
          <w:sz w:val="20"/>
        </w:rPr>
        <w:t>in</w:t>
      </w:r>
      <w:r>
        <w:rPr>
          <w:spacing w:val="-10"/>
          <w:sz w:val="20"/>
        </w:rPr>
        <w:t> </w:t>
      </w:r>
      <w:r>
        <w:rPr>
          <w:sz w:val="20"/>
        </w:rPr>
        <w:t>the</w:t>
      </w:r>
      <w:r>
        <w:rPr>
          <w:spacing w:val="-10"/>
          <w:sz w:val="20"/>
        </w:rPr>
        <w:t> </w:t>
      </w:r>
      <w:r>
        <w:rPr>
          <w:sz w:val="20"/>
        </w:rPr>
        <w:t>room</w:t>
      </w:r>
      <w:r>
        <w:rPr>
          <w:spacing w:val="-10"/>
          <w:sz w:val="20"/>
        </w:rPr>
        <w:t> </w:t>
      </w:r>
      <w:r>
        <w:rPr>
          <w:sz w:val="20"/>
        </w:rPr>
        <w:t>can</w:t>
      </w:r>
      <w:r>
        <w:rPr>
          <w:spacing w:val="-9"/>
          <w:sz w:val="20"/>
        </w:rPr>
        <w:t> </w:t>
      </w:r>
      <w:r>
        <w:rPr>
          <w:sz w:val="20"/>
        </w:rPr>
        <w:t>hear</w:t>
      </w:r>
      <w:r>
        <w:rPr>
          <w:spacing w:val="-10"/>
          <w:sz w:val="20"/>
        </w:rPr>
        <w:t> </w:t>
      </w:r>
      <w:r>
        <w:rPr>
          <w:sz w:val="20"/>
        </w:rPr>
        <w:t>and</w:t>
      </w:r>
      <w:r>
        <w:rPr>
          <w:spacing w:val="-10"/>
          <w:sz w:val="20"/>
        </w:rPr>
        <w:t> </w:t>
      </w:r>
      <w:r>
        <w:rPr>
          <w:sz w:val="20"/>
        </w:rPr>
        <w:t>sense</w:t>
      </w:r>
      <w:r>
        <w:rPr>
          <w:spacing w:val="-10"/>
          <w:sz w:val="20"/>
        </w:rPr>
        <w:t> </w:t>
      </w:r>
      <w:r>
        <w:rPr>
          <w:sz w:val="20"/>
        </w:rPr>
        <w:t>what</w:t>
      </w:r>
      <w:r>
        <w:rPr>
          <w:spacing w:val="-10"/>
          <w:sz w:val="20"/>
        </w:rPr>
        <w:t> </w:t>
      </w:r>
      <w:r>
        <w:rPr>
          <w:sz w:val="20"/>
        </w:rPr>
        <w:t>is</w:t>
      </w:r>
      <w:r>
        <w:rPr>
          <w:spacing w:val="-10"/>
          <w:sz w:val="20"/>
        </w:rPr>
        <w:t> </w:t>
      </w:r>
      <w:r>
        <w:rPr>
          <w:sz w:val="20"/>
        </w:rPr>
        <w:t>going</w:t>
      </w:r>
      <w:r>
        <w:rPr>
          <w:spacing w:val="-9"/>
          <w:sz w:val="20"/>
        </w:rPr>
        <w:t> </w:t>
      </w:r>
      <w:r>
        <w:rPr>
          <w:sz w:val="20"/>
        </w:rPr>
        <w:t>on,</w:t>
      </w:r>
      <w:r>
        <w:rPr>
          <w:spacing w:val="-10"/>
          <w:sz w:val="20"/>
        </w:rPr>
        <w:t> </w:t>
      </w:r>
      <w:r>
        <w:rPr>
          <w:sz w:val="20"/>
        </w:rPr>
        <w:t>so</w:t>
      </w:r>
      <w:r>
        <w:rPr>
          <w:spacing w:val="-10"/>
          <w:sz w:val="20"/>
        </w:rPr>
        <w:t> </w:t>
      </w:r>
      <w:r>
        <w:rPr>
          <w:sz w:val="20"/>
        </w:rPr>
        <w:t>they</w:t>
      </w:r>
      <w:r>
        <w:rPr>
          <w:spacing w:val="-10"/>
          <w:sz w:val="20"/>
        </w:rPr>
        <w:t> </w:t>
      </w:r>
      <w:r>
        <w:rPr>
          <w:spacing w:val="-3"/>
          <w:sz w:val="20"/>
        </w:rPr>
        <w:t>are</w:t>
      </w:r>
      <w:r>
        <w:rPr>
          <w:spacing w:val="-10"/>
          <w:sz w:val="20"/>
        </w:rPr>
        <w:t> </w:t>
      </w:r>
      <w:r>
        <w:rPr>
          <w:sz w:val="20"/>
        </w:rPr>
        <w:t>more </w:t>
      </w:r>
      <w:r>
        <w:rPr>
          <w:spacing w:val="-3"/>
          <w:sz w:val="20"/>
        </w:rPr>
        <w:t>accurate’ </w:t>
      </w:r>
      <w:r>
        <w:rPr>
          <w:sz w:val="20"/>
        </w:rPr>
        <w:t>than captioning based on </w:t>
      </w:r>
      <w:r>
        <w:rPr>
          <w:spacing w:val="-3"/>
          <w:sz w:val="20"/>
        </w:rPr>
        <w:t>voice </w:t>
      </w:r>
      <w:r>
        <w:rPr>
          <w:sz w:val="20"/>
        </w:rPr>
        <w:t>recognition</w:t>
      </w:r>
      <w:r>
        <w:rPr>
          <w:spacing w:val="-26"/>
          <w:sz w:val="20"/>
        </w:rPr>
        <w:t> </w:t>
      </w:r>
      <w:r>
        <w:rPr>
          <w:spacing w:val="-3"/>
          <w:sz w:val="20"/>
        </w:rPr>
        <w:t>technology.</w:t>
      </w:r>
      <w:r>
        <w:rPr>
          <w:spacing w:val="-3"/>
          <w:position w:val="7"/>
          <w:sz w:val="11"/>
        </w:rPr>
        <w:t>19</w:t>
      </w:r>
    </w:p>
    <w:p>
      <w:pPr>
        <w:spacing w:before="162"/>
        <w:ind w:left="967" w:right="0" w:firstLine="0"/>
        <w:jc w:val="left"/>
        <w:rPr>
          <w:b/>
          <w:sz w:val="24"/>
        </w:rPr>
      </w:pPr>
      <w:r>
        <w:rPr>
          <w:b/>
          <w:sz w:val="24"/>
        </w:rPr>
        <w:t>Special materials and formats of evidence</w:t>
      </w:r>
    </w:p>
    <w:p>
      <w:pPr>
        <w:pStyle w:val="ListParagraph"/>
        <w:numPr>
          <w:ilvl w:val="1"/>
          <w:numId w:val="12"/>
        </w:numPr>
        <w:tabs>
          <w:tab w:pos="1761" w:val="left" w:leader="none"/>
          <w:tab w:pos="1762" w:val="left" w:leader="none"/>
        </w:tabs>
        <w:spacing w:line="206" w:lineRule="auto" w:before="128" w:after="0"/>
        <w:ind w:left="1761" w:right="1776" w:hanging="794"/>
        <w:jc w:val="left"/>
        <w:rPr>
          <w:sz w:val="20"/>
        </w:rPr>
      </w:pPr>
      <w:r>
        <w:rPr>
          <w:spacing w:val="-3"/>
          <w:sz w:val="20"/>
        </w:rPr>
        <w:t>Transcripts</w:t>
      </w:r>
      <w:r>
        <w:rPr>
          <w:spacing w:val="-8"/>
          <w:sz w:val="20"/>
        </w:rPr>
        <w:t> </w:t>
      </w:r>
      <w:r>
        <w:rPr>
          <w:spacing w:val="-3"/>
          <w:sz w:val="20"/>
        </w:rPr>
        <w:t>may</w:t>
      </w:r>
      <w:r>
        <w:rPr>
          <w:spacing w:val="-8"/>
          <w:sz w:val="20"/>
        </w:rPr>
        <w:t> </w:t>
      </w:r>
      <w:r>
        <w:rPr>
          <w:sz w:val="20"/>
        </w:rPr>
        <w:t>need</w:t>
      </w:r>
      <w:r>
        <w:rPr>
          <w:spacing w:val="-7"/>
          <w:sz w:val="20"/>
        </w:rPr>
        <w:t> </w:t>
      </w:r>
      <w:r>
        <w:rPr>
          <w:sz w:val="20"/>
        </w:rPr>
        <w:t>to</w:t>
      </w:r>
      <w:r>
        <w:rPr>
          <w:spacing w:val="-8"/>
          <w:sz w:val="20"/>
        </w:rPr>
        <w:t> </w:t>
      </w:r>
      <w:r>
        <w:rPr>
          <w:sz w:val="20"/>
        </w:rPr>
        <w:t>be</w:t>
      </w:r>
      <w:r>
        <w:rPr>
          <w:spacing w:val="-7"/>
          <w:sz w:val="20"/>
        </w:rPr>
        <w:t> </w:t>
      </w:r>
      <w:r>
        <w:rPr>
          <w:spacing w:val="-3"/>
          <w:sz w:val="20"/>
        </w:rPr>
        <w:t>provided</w:t>
      </w:r>
      <w:r>
        <w:rPr>
          <w:spacing w:val="-8"/>
          <w:sz w:val="20"/>
        </w:rPr>
        <w:t> </w:t>
      </w:r>
      <w:r>
        <w:rPr>
          <w:sz w:val="20"/>
        </w:rPr>
        <w:t>to</w:t>
      </w:r>
      <w:r>
        <w:rPr>
          <w:spacing w:val="-7"/>
          <w:sz w:val="20"/>
        </w:rPr>
        <w:t> </w:t>
      </w:r>
      <w:r>
        <w:rPr>
          <w:sz w:val="20"/>
        </w:rPr>
        <w:t>jurors</w:t>
      </w:r>
      <w:r>
        <w:rPr>
          <w:spacing w:val="-8"/>
          <w:sz w:val="20"/>
        </w:rPr>
        <w:t> </w:t>
      </w:r>
      <w:r>
        <w:rPr>
          <w:spacing w:val="-3"/>
          <w:sz w:val="20"/>
        </w:rPr>
        <w:t>from</w:t>
      </w:r>
      <w:r>
        <w:rPr>
          <w:spacing w:val="-7"/>
          <w:sz w:val="20"/>
        </w:rPr>
        <w:t> </w:t>
      </w:r>
      <w:r>
        <w:rPr>
          <w:sz w:val="20"/>
        </w:rPr>
        <w:t>the</w:t>
      </w:r>
      <w:r>
        <w:rPr>
          <w:spacing w:val="-8"/>
          <w:sz w:val="20"/>
        </w:rPr>
        <w:t> </w:t>
      </w:r>
      <w:r>
        <w:rPr>
          <w:sz w:val="20"/>
        </w:rPr>
        <w:t>subject</w:t>
      </w:r>
      <w:r>
        <w:rPr>
          <w:spacing w:val="-7"/>
          <w:sz w:val="20"/>
        </w:rPr>
        <w:t> </w:t>
      </w:r>
      <w:r>
        <w:rPr>
          <w:sz w:val="20"/>
        </w:rPr>
        <w:t>groups</w:t>
      </w:r>
      <w:r>
        <w:rPr>
          <w:spacing w:val="-8"/>
          <w:sz w:val="20"/>
        </w:rPr>
        <w:t> </w:t>
      </w:r>
      <w:r>
        <w:rPr>
          <w:sz w:val="20"/>
        </w:rPr>
        <w:t>to</w:t>
      </w:r>
      <w:r>
        <w:rPr>
          <w:spacing w:val="-7"/>
          <w:sz w:val="20"/>
        </w:rPr>
        <w:t> </w:t>
      </w:r>
      <w:r>
        <w:rPr>
          <w:sz w:val="20"/>
        </w:rPr>
        <w:t>aid</w:t>
      </w:r>
      <w:r>
        <w:rPr>
          <w:spacing w:val="-8"/>
          <w:sz w:val="20"/>
        </w:rPr>
        <w:t> </w:t>
      </w:r>
      <w:r>
        <w:rPr>
          <w:sz w:val="20"/>
        </w:rPr>
        <w:t>their understanding of</w:t>
      </w:r>
      <w:r>
        <w:rPr>
          <w:spacing w:val="-9"/>
          <w:sz w:val="20"/>
        </w:rPr>
        <w:t> </w:t>
      </w:r>
      <w:r>
        <w:rPr>
          <w:sz w:val="20"/>
        </w:rPr>
        <w:t>proceedings.</w:t>
      </w:r>
    </w:p>
    <w:p>
      <w:pPr>
        <w:spacing w:before="160"/>
        <w:ind w:left="967" w:right="0" w:firstLine="0"/>
        <w:jc w:val="left"/>
        <w:rPr>
          <w:b/>
          <w:sz w:val="24"/>
        </w:rPr>
      </w:pPr>
      <w:r>
        <w:rPr>
          <w:b/>
          <w:sz w:val="24"/>
        </w:rPr>
        <w:t>Emerging technological supports</w:t>
      </w:r>
    </w:p>
    <w:p>
      <w:pPr>
        <w:pStyle w:val="ListParagraph"/>
        <w:numPr>
          <w:ilvl w:val="1"/>
          <w:numId w:val="12"/>
        </w:numPr>
        <w:tabs>
          <w:tab w:pos="1810" w:val="left" w:leader="none"/>
          <w:tab w:pos="1811" w:val="left" w:leader="none"/>
        </w:tabs>
        <w:spacing w:line="206" w:lineRule="auto" w:before="127" w:after="0"/>
        <w:ind w:left="1761" w:right="1582" w:hanging="794"/>
        <w:jc w:val="left"/>
        <w:rPr>
          <w:sz w:val="11"/>
        </w:rPr>
      </w:pPr>
      <w:r>
        <w:rPr/>
        <w:tab/>
      </w:r>
      <w:r>
        <w:rPr>
          <w:sz w:val="20"/>
        </w:rPr>
        <w:t>In</w:t>
      </w:r>
      <w:r>
        <w:rPr>
          <w:spacing w:val="-14"/>
          <w:sz w:val="20"/>
        </w:rPr>
        <w:t> </w:t>
      </w:r>
      <w:r>
        <w:rPr>
          <w:sz w:val="20"/>
        </w:rPr>
        <w:t>the</w:t>
      </w:r>
      <w:r>
        <w:rPr>
          <w:spacing w:val="-14"/>
          <w:sz w:val="20"/>
        </w:rPr>
        <w:t> </w:t>
      </w:r>
      <w:r>
        <w:rPr>
          <w:sz w:val="20"/>
        </w:rPr>
        <w:t>consultation</w:t>
      </w:r>
      <w:r>
        <w:rPr>
          <w:spacing w:val="-14"/>
          <w:sz w:val="20"/>
        </w:rPr>
        <w:t> </w:t>
      </w:r>
      <w:r>
        <w:rPr>
          <w:sz w:val="20"/>
        </w:rPr>
        <w:t>paper</w:t>
      </w:r>
      <w:r>
        <w:rPr>
          <w:spacing w:val="-14"/>
          <w:sz w:val="20"/>
        </w:rPr>
        <w:t> </w:t>
      </w:r>
      <w:r>
        <w:rPr>
          <w:spacing w:val="-3"/>
          <w:sz w:val="20"/>
        </w:rPr>
        <w:t>we</w:t>
      </w:r>
      <w:r>
        <w:rPr>
          <w:spacing w:val="-14"/>
          <w:sz w:val="20"/>
        </w:rPr>
        <w:t> </w:t>
      </w:r>
      <w:r>
        <w:rPr>
          <w:sz w:val="20"/>
        </w:rPr>
        <w:t>described</w:t>
      </w:r>
      <w:r>
        <w:rPr>
          <w:spacing w:val="-14"/>
          <w:sz w:val="20"/>
        </w:rPr>
        <w:t> </w:t>
      </w:r>
      <w:r>
        <w:rPr>
          <w:sz w:val="20"/>
        </w:rPr>
        <w:t>new</w:t>
      </w:r>
      <w:r>
        <w:rPr>
          <w:spacing w:val="-14"/>
          <w:sz w:val="20"/>
        </w:rPr>
        <w:t> </w:t>
      </w:r>
      <w:r>
        <w:rPr>
          <w:sz w:val="20"/>
        </w:rPr>
        <w:t>and</w:t>
      </w:r>
      <w:r>
        <w:rPr>
          <w:spacing w:val="-14"/>
          <w:sz w:val="20"/>
        </w:rPr>
        <w:t> </w:t>
      </w:r>
      <w:r>
        <w:rPr>
          <w:sz w:val="20"/>
        </w:rPr>
        <w:t>emerging</w:t>
      </w:r>
      <w:r>
        <w:rPr>
          <w:spacing w:val="-14"/>
          <w:sz w:val="20"/>
        </w:rPr>
        <w:t> </w:t>
      </w:r>
      <w:r>
        <w:rPr>
          <w:sz w:val="20"/>
        </w:rPr>
        <w:t>technologies,</w:t>
      </w:r>
      <w:r>
        <w:rPr>
          <w:spacing w:val="-14"/>
          <w:sz w:val="20"/>
        </w:rPr>
        <w:t> </w:t>
      </w:r>
      <w:r>
        <w:rPr>
          <w:sz w:val="20"/>
        </w:rPr>
        <w:t>including </w:t>
      </w:r>
      <w:r>
        <w:rPr>
          <w:spacing w:val="-3"/>
          <w:sz w:val="20"/>
        </w:rPr>
        <w:t>automated</w:t>
      </w:r>
      <w:r>
        <w:rPr>
          <w:spacing w:val="-10"/>
          <w:sz w:val="20"/>
        </w:rPr>
        <w:t> </w:t>
      </w:r>
      <w:r>
        <w:rPr>
          <w:sz w:val="20"/>
        </w:rPr>
        <w:t>speech</w:t>
      </w:r>
      <w:r>
        <w:rPr>
          <w:spacing w:val="-10"/>
          <w:sz w:val="20"/>
        </w:rPr>
        <w:t> </w:t>
      </w:r>
      <w:r>
        <w:rPr>
          <w:sz w:val="20"/>
        </w:rPr>
        <w:t>recognition,</w:t>
      </w:r>
      <w:r>
        <w:rPr>
          <w:spacing w:val="-10"/>
          <w:sz w:val="20"/>
        </w:rPr>
        <w:t> </w:t>
      </w:r>
      <w:r>
        <w:rPr>
          <w:sz w:val="20"/>
        </w:rPr>
        <w:t>lip-reading</w:t>
      </w:r>
      <w:r>
        <w:rPr>
          <w:spacing w:val="-10"/>
          <w:sz w:val="20"/>
        </w:rPr>
        <w:t> </w:t>
      </w:r>
      <w:r>
        <w:rPr>
          <w:spacing w:val="-3"/>
          <w:sz w:val="20"/>
        </w:rPr>
        <w:t>devices</w:t>
      </w:r>
      <w:r>
        <w:rPr>
          <w:spacing w:val="-10"/>
          <w:sz w:val="20"/>
        </w:rPr>
        <w:t> </w:t>
      </w:r>
      <w:r>
        <w:rPr>
          <w:sz w:val="20"/>
        </w:rPr>
        <w:t>and</w:t>
      </w:r>
      <w:r>
        <w:rPr>
          <w:spacing w:val="-10"/>
          <w:sz w:val="20"/>
        </w:rPr>
        <w:t> </w:t>
      </w:r>
      <w:r>
        <w:rPr>
          <w:sz w:val="20"/>
        </w:rPr>
        <w:t>sign</w:t>
      </w:r>
      <w:r>
        <w:rPr>
          <w:spacing w:val="-10"/>
          <w:sz w:val="20"/>
        </w:rPr>
        <w:t> </w:t>
      </w:r>
      <w:r>
        <w:rPr>
          <w:sz w:val="20"/>
        </w:rPr>
        <w:t>language</w:t>
      </w:r>
      <w:r>
        <w:rPr>
          <w:spacing w:val="-10"/>
          <w:sz w:val="20"/>
        </w:rPr>
        <w:t> </w:t>
      </w:r>
      <w:r>
        <w:rPr>
          <w:sz w:val="20"/>
        </w:rPr>
        <w:t>translators.</w:t>
      </w:r>
      <w:r>
        <w:rPr>
          <w:position w:val="7"/>
          <w:sz w:val="11"/>
        </w:rPr>
        <w:t>20</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6"/>
        </w:rPr>
      </w:pPr>
      <w:r>
        <w:rPr/>
        <w:pict>
          <v:line style="position:absolute;mso-position-horizontal-relative:page;mso-position-vertical-relative:paragraph;z-index:7856;mso-wrap-distance-left:0;mso-wrap-distance-right:0" from="79.370102pt,20.926279pt" to="515.905102pt,20.926279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3"/>
        <w:rPr>
          <w:sz w:val="26"/>
        </w:rPr>
      </w:pPr>
    </w:p>
    <w:p>
      <w:pPr>
        <w:spacing w:before="0"/>
        <w:ind w:left="100" w:right="0" w:firstLine="0"/>
        <w:jc w:val="left"/>
        <w:rPr>
          <w:b/>
          <w:sz w:val="24"/>
        </w:rPr>
      </w:pPr>
      <w:r>
        <w:rPr>
          <w:b/>
          <w:color w:val="37617A"/>
          <w:sz w:val="24"/>
        </w:rPr>
        <w:t>144</w:t>
      </w:r>
    </w:p>
    <w:p>
      <w:pPr>
        <w:pStyle w:val="ListParagraph"/>
        <w:numPr>
          <w:ilvl w:val="0"/>
          <w:numId w:val="96"/>
        </w:numPr>
        <w:tabs>
          <w:tab w:pos="893" w:val="left" w:leader="none"/>
          <w:tab w:pos="894" w:val="left" w:leader="none"/>
        </w:tabs>
        <w:spacing w:line="170" w:lineRule="exact" w:before="21" w:after="0"/>
        <w:ind w:left="893" w:right="0" w:hanging="793"/>
        <w:jc w:val="left"/>
        <w:rPr>
          <w:sz w:val="13"/>
        </w:rPr>
      </w:pPr>
      <w:r>
        <w:rPr>
          <w:spacing w:val="1"/>
          <w:w w:val="101"/>
          <w:sz w:val="13"/>
        </w:rPr>
        <w:br w:type="column"/>
      </w:r>
      <w:r>
        <w:rPr>
          <w:sz w:val="13"/>
        </w:rPr>
        <w:t>‘Captions</w:t>
      </w:r>
      <w:r>
        <w:rPr>
          <w:spacing w:val="3"/>
          <w:sz w:val="13"/>
        </w:rPr>
        <w:t> </w:t>
      </w:r>
      <w:r>
        <w:rPr>
          <w:sz w:val="13"/>
        </w:rPr>
        <w:t>For</w:t>
      </w:r>
      <w:r>
        <w:rPr>
          <w:spacing w:val="3"/>
          <w:sz w:val="13"/>
        </w:rPr>
        <w:t> </w:t>
      </w:r>
      <w:r>
        <w:rPr>
          <w:sz w:val="13"/>
        </w:rPr>
        <w:t>Deaf</w:t>
      </w:r>
      <w:r>
        <w:rPr>
          <w:spacing w:val="3"/>
          <w:sz w:val="13"/>
        </w:rPr>
        <w:t> </w:t>
      </w:r>
      <w:r>
        <w:rPr>
          <w:sz w:val="13"/>
        </w:rPr>
        <w:t>and</w:t>
      </w:r>
      <w:r>
        <w:rPr>
          <w:spacing w:val="3"/>
          <w:sz w:val="13"/>
        </w:rPr>
        <w:t> </w:t>
      </w:r>
      <w:r>
        <w:rPr>
          <w:sz w:val="13"/>
        </w:rPr>
        <w:t>Hard-of-Hearing</w:t>
      </w:r>
      <w:r>
        <w:rPr>
          <w:spacing w:val="3"/>
          <w:sz w:val="13"/>
        </w:rPr>
        <w:t> </w:t>
      </w:r>
      <w:r>
        <w:rPr>
          <w:sz w:val="13"/>
        </w:rPr>
        <w:t>Viewers’,</w:t>
      </w:r>
      <w:r>
        <w:rPr>
          <w:spacing w:val="3"/>
          <w:sz w:val="13"/>
        </w:rPr>
        <w:t> </w:t>
      </w:r>
      <w:r>
        <w:rPr>
          <w:i/>
          <w:sz w:val="13"/>
        </w:rPr>
        <w:t>National</w:t>
      </w:r>
      <w:r>
        <w:rPr>
          <w:i/>
          <w:spacing w:val="3"/>
          <w:sz w:val="13"/>
        </w:rPr>
        <w:t> </w:t>
      </w:r>
      <w:r>
        <w:rPr>
          <w:i/>
          <w:sz w:val="13"/>
        </w:rPr>
        <w:t>Institute</w:t>
      </w:r>
      <w:r>
        <w:rPr>
          <w:i/>
          <w:spacing w:val="3"/>
          <w:sz w:val="13"/>
        </w:rPr>
        <w:t> </w:t>
      </w:r>
      <w:r>
        <w:rPr>
          <w:i/>
          <w:sz w:val="13"/>
        </w:rPr>
        <w:t>on</w:t>
      </w:r>
      <w:r>
        <w:rPr>
          <w:i/>
          <w:spacing w:val="3"/>
          <w:sz w:val="13"/>
        </w:rPr>
        <w:t> </w:t>
      </w:r>
      <w:r>
        <w:rPr>
          <w:i/>
          <w:sz w:val="13"/>
        </w:rPr>
        <w:t>Deafness</w:t>
      </w:r>
      <w:r>
        <w:rPr>
          <w:i/>
          <w:spacing w:val="3"/>
          <w:sz w:val="13"/>
        </w:rPr>
        <w:t> </w:t>
      </w:r>
      <w:r>
        <w:rPr>
          <w:i/>
          <w:sz w:val="13"/>
        </w:rPr>
        <w:t>and</w:t>
      </w:r>
      <w:r>
        <w:rPr>
          <w:i/>
          <w:spacing w:val="2"/>
          <w:sz w:val="13"/>
        </w:rPr>
        <w:t> </w:t>
      </w:r>
      <w:r>
        <w:rPr>
          <w:i/>
          <w:sz w:val="13"/>
        </w:rPr>
        <w:t>Other</w:t>
      </w:r>
      <w:r>
        <w:rPr>
          <w:i/>
          <w:spacing w:val="3"/>
          <w:sz w:val="13"/>
        </w:rPr>
        <w:t> </w:t>
      </w:r>
      <w:r>
        <w:rPr>
          <w:i/>
          <w:sz w:val="13"/>
        </w:rPr>
        <w:t>Communication</w:t>
      </w:r>
      <w:r>
        <w:rPr>
          <w:i/>
          <w:spacing w:val="1"/>
          <w:sz w:val="13"/>
        </w:rPr>
        <w:t> </w:t>
      </w:r>
      <w:r>
        <w:rPr>
          <w:i/>
          <w:sz w:val="13"/>
        </w:rPr>
        <w:t>Disorders</w:t>
      </w:r>
      <w:r>
        <w:rPr>
          <w:i/>
          <w:spacing w:val="3"/>
          <w:sz w:val="13"/>
        </w:rPr>
        <w:t> </w:t>
      </w:r>
      <w:r>
        <w:rPr>
          <w:sz w:val="13"/>
        </w:rPr>
        <w:t>(Web</w:t>
      </w:r>
      <w:r>
        <w:rPr>
          <w:spacing w:val="4"/>
          <w:sz w:val="13"/>
        </w:rPr>
        <w:t> </w:t>
      </w:r>
      <w:r>
        <w:rPr>
          <w:sz w:val="13"/>
        </w:rPr>
        <w:t>Page)</w:t>
      </w:r>
    </w:p>
    <w:p>
      <w:pPr>
        <w:spacing w:line="160" w:lineRule="exact" w:before="0"/>
        <w:ind w:left="893" w:right="0" w:firstLine="0"/>
        <w:jc w:val="left"/>
        <w:rPr>
          <w:sz w:val="13"/>
        </w:rPr>
      </w:pPr>
      <w:r>
        <w:rPr>
          <w:sz w:val="13"/>
        </w:rPr>
        <w:t>&lt;</w:t>
      </w:r>
      <w:hyperlink r:id="rId196">
        <w:r>
          <w:rPr>
            <w:sz w:val="13"/>
          </w:rPr>
          <w:t>https://www.nidcd.nih.gov/health/captions-deaf-and-hard-hearing-viewers</w:t>
        </w:r>
      </w:hyperlink>
      <w:r>
        <w:rPr>
          <w:sz w:val="13"/>
        </w:rPr>
        <w:t>&gt;.</w:t>
      </w:r>
    </w:p>
    <w:p>
      <w:pPr>
        <w:pStyle w:val="ListParagraph"/>
        <w:numPr>
          <w:ilvl w:val="0"/>
          <w:numId w:val="96"/>
        </w:numPr>
        <w:tabs>
          <w:tab w:pos="893" w:val="left" w:leader="none"/>
          <w:tab w:pos="894" w:val="left" w:leader="none"/>
        </w:tabs>
        <w:spacing w:line="213" w:lineRule="auto" w:before="7" w:after="0"/>
        <w:ind w:left="893" w:right="1904" w:hanging="793"/>
        <w:jc w:val="left"/>
        <w:rPr>
          <w:sz w:val="13"/>
        </w:rPr>
      </w:pPr>
      <w:r>
        <w:rPr>
          <w:sz w:val="13"/>
        </w:rPr>
        <w:t>‘Captioning and CART’, </w:t>
      </w:r>
      <w:r>
        <w:rPr>
          <w:i/>
          <w:sz w:val="13"/>
        </w:rPr>
        <w:t>Hearing Loss Association of America </w:t>
      </w:r>
      <w:r>
        <w:rPr>
          <w:sz w:val="13"/>
        </w:rPr>
        <w:t>(Web Page) &lt;</w:t>
      </w:r>
      <w:hyperlink r:id="rId197">
        <w:r>
          <w:rPr>
            <w:sz w:val="13"/>
          </w:rPr>
          <w:t>https://www.hearingloss.org/hearing-help/</w:t>
        </w:r>
      </w:hyperlink>
      <w:hyperlink r:id="rId197">
        <w:r>
          <w:rPr>
            <w:sz w:val="13"/>
          </w:rPr>
          <w:t> technology/cartcaptioning/</w:t>
        </w:r>
      </w:hyperlink>
      <w:r>
        <w:rPr>
          <w:sz w:val="13"/>
        </w:rPr>
        <w:t>&gt;.</w:t>
      </w:r>
    </w:p>
    <w:p>
      <w:pPr>
        <w:pStyle w:val="ListParagraph"/>
        <w:numPr>
          <w:ilvl w:val="0"/>
          <w:numId w:val="96"/>
        </w:numPr>
        <w:tabs>
          <w:tab w:pos="893" w:val="left" w:leader="none"/>
          <w:tab w:pos="894" w:val="left" w:leader="none"/>
        </w:tabs>
        <w:spacing w:line="213" w:lineRule="auto" w:before="0" w:after="0"/>
        <w:ind w:left="893" w:right="1305" w:hanging="793"/>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96"/>
        </w:numPr>
        <w:tabs>
          <w:tab w:pos="893" w:val="left" w:leader="none"/>
          <w:tab w:pos="894" w:val="left" w:leader="none"/>
        </w:tabs>
        <w:spacing w:line="152" w:lineRule="exact" w:before="0" w:after="0"/>
        <w:ind w:left="893" w:right="0" w:hanging="793"/>
        <w:jc w:val="left"/>
        <w:rPr>
          <w:sz w:val="13"/>
        </w:rPr>
      </w:pPr>
      <w:r>
        <w:rPr>
          <w:sz w:val="13"/>
        </w:rPr>
        <w:t>Consultation 6 (Deaf Victoria and community</w:t>
      </w:r>
      <w:r>
        <w:rPr>
          <w:spacing w:val="3"/>
          <w:sz w:val="13"/>
        </w:rPr>
        <w:t> </w:t>
      </w:r>
      <w:r>
        <w:rPr>
          <w:sz w:val="13"/>
        </w:rPr>
        <w:t>participants).</w:t>
      </w:r>
    </w:p>
    <w:p>
      <w:pPr>
        <w:pStyle w:val="ListParagraph"/>
        <w:numPr>
          <w:ilvl w:val="0"/>
          <w:numId w:val="96"/>
        </w:numPr>
        <w:tabs>
          <w:tab w:pos="893" w:val="left" w:leader="none"/>
          <w:tab w:pos="894" w:val="left" w:leader="none"/>
        </w:tabs>
        <w:spacing w:line="160" w:lineRule="exact" w:before="0" w:after="0"/>
        <w:ind w:left="893" w:right="0" w:hanging="793"/>
        <w:jc w:val="left"/>
        <w:rPr>
          <w:sz w:val="13"/>
        </w:rPr>
      </w:pPr>
      <w:r>
        <w:rPr>
          <w:sz w:val="13"/>
        </w:rPr>
        <w:t>Consultation 5 (Expression Australia).</w:t>
      </w:r>
    </w:p>
    <w:p>
      <w:pPr>
        <w:pStyle w:val="ListParagraph"/>
        <w:numPr>
          <w:ilvl w:val="0"/>
          <w:numId w:val="96"/>
        </w:numPr>
        <w:tabs>
          <w:tab w:pos="893" w:val="left" w:leader="none"/>
          <w:tab w:pos="894" w:val="left" w:leader="none"/>
        </w:tabs>
        <w:spacing w:line="160" w:lineRule="exact" w:before="0" w:after="0"/>
        <w:ind w:left="893" w:right="0" w:hanging="793"/>
        <w:jc w:val="left"/>
        <w:rPr>
          <w:sz w:val="13"/>
        </w:rPr>
      </w:pPr>
      <w:r>
        <w:rPr>
          <w:sz w:val="13"/>
        </w:rPr>
        <w:t>Raul Sanchez, </w:t>
      </w:r>
      <w:r>
        <w:rPr>
          <w:spacing w:val="2"/>
          <w:sz w:val="13"/>
        </w:rPr>
        <w:t>Good Sport Captioning, </w:t>
      </w:r>
      <w:r>
        <w:rPr>
          <w:sz w:val="13"/>
        </w:rPr>
        <w:t>‘Differentiating CART and Closed Captioning’, </w:t>
      </w:r>
      <w:r>
        <w:rPr>
          <w:i/>
          <w:sz w:val="13"/>
        </w:rPr>
        <w:t>Our Blog </w:t>
      </w:r>
      <w:r>
        <w:rPr>
          <w:sz w:val="13"/>
        </w:rPr>
        <w:t>(Blog Post, 28 March</w:t>
      </w:r>
      <w:r>
        <w:rPr>
          <w:spacing w:val="19"/>
          <w:sz w:val="13"/>
        </w:rPr>
        <w:t> </w:t>
      </w:r>
      <w:r>
        <w:rPr>
          <w:sz w:val="13"/>
        </w:rPr>
        <w:t>2016)</w:t>
      </w:r>
    </w:p>
    <w:p>
      <w:pPr>
        <w:spacing w:line="160" w:lineRule="exact" w:before="0"/>
        <w:ind w:left="893" w:right="0" w:firstLine="0"/>
        <w:jc w:val="left"/>
        <w:rPr>
          <w:sz w:val="13"/>
        </w:rPr>
      </w:pPr>
      <w:r>
        <w:rPr>
          <w:sz w:val="13"/>
        </w:rPr>
        <w:t>&lt;</w:t>
      </w:r>
      <w:hyperlink r:id="rId198">
        <w:r>
          <w:rPr>
            <w:sz w:val="13"/>
          </w:rPr>
          <w:t>https://goodsportcaptioning.com/differentiating-cart-and-closed-captioning/</w:t>
        </w:r>
      </w:hyperlink>
      <w:r>
        <w:rPr>
          <w:sz w:val="13"/>
        </w:rPr>
        <w:t>&gt;.</w:t>
      </w:r>
    </w:p>
    <w:p>
      <w:pPr>
        <w:pStyle w:val="ListParagraph"/>
        <w:numPr>
          <w:ilvl w:val="0"/>
          <w:numId w:val="96"/>
        </w:numPr>
        <w:tabs>
          <w:tab w:pos="893" w:val="left" w:leader="none"/>
          <w:tab w:pos="894" w:val="left" w:leader="none"/>
        </w:tabs>
        <w:spacing w:line="213" w:lineRule="auto" w:before="5" w:after="0"/>
        <w:ind w:left="893" w:right="1473" w:hanging="793"/>
        <w:jc w:val="left"/>
        <w:rPr>
          <w:sz w:val="13"/>
        </w:rPr>
      </w:pPr>
      <w:r>
        <w:rPr>
          <w:sz w:val="13"/>
        </w:rPr>
        <w:t>Federal </w:t>
      </w:r>
      <w:r>
        <w:rPr>
          <w:spacing w:val="2"/>
          <w:sz w:val="13"/>
        </w:rPr>
        <w:t>Court </w:t>
      </w:r>
      <w:r>
        <w:rPr>
          <w:sz w:val="13"/>
        </w:rPr>
        <w:t>of Australia and Family </w:t>
      </w:r>
      <w:r>
        <w:rPr>
          <w:spacing w:val="2"/>
          <w:sz w:val="13"/>
        </w:rPr>
        <w:t>Court </w:t>
      </w:r>
      <w:r>
        <w:rPr>
          <w:sz w:val="13"/>
        </w:rPr>
        <w:t>of Australia, </w:t>
      </w:r>
      <w:r>
        <w:rPr>
          <w:i/>
          <w:spacing w:val="2"/>
          <w:sz w:val="13"/>
        </w:rPr>
        <w:t>Service </w:t>
      </w:r>
      <w:r>
        <w:rPr>
          <w:i/>
          <w:sz w:val="13"/>
        </w:rPr>
        <w:t>Charter for the Family Court of Australia and the Federal Court  </w:t>
      </w:r>
      <w:r>
        <w:rPr>
          <w:i/>
          <w:sz w:val="13"/>
        </w:rPr>
        <w:t>of</w:t>
      </w:r>
      <w:r>
        <w:rPr>
          <w:i/>
          <w:spacing w:val="6"/>
          <w:sz w:val="13"/>
        </w:rPr>
        <w:t> </w:t>
      </w:r>
      <w:r>
        <w:rPr>
          <w:i/>
          <w:sz w:val="13"/>
        </w:rPr>
        <w:t>Australia</w:t>
      </w:r>
      <w:r>
        <w:rPr>
          <w:i/>
          <w:spacing w:val="7"/>
          <w:sz w:val="13"/>
        </w:rPr>
        <w:t> </w:t>
      </w:r>
      <w:r>
        <w:rPr>
          <w:spacing w:val="2"/>
          <w:sz w:val="13"/>
        </w:rPr>
        <w:t>(Report,</w:t>
      </w:r>
      <w:r>
        <w:rPr>
          <w:spacing w:val="7"/>
          <w:sz w:val="13"/>
        </w:rPr>
        <w:t> </w:t>
      </w:r>
      <w:r>
        <w:rPr>
          <w:sz w:val="13"/>
        </w:rPr>
        <w:t>2016)</w:t>
      </w:r>
      <w:r>
        <w:rPr>
          <w:spacing w:val="7"/>
          <w:sz w:val="13"/>
        </w:rPr>
        <w:t> </w:t>
      </w:r>
      <w:r>
        <w:rPr>
          <w:sz w:val="13"/>
        </w:rPr>
        <w:t>7;</w:t>
      </w:r>
      <w:r>
        <w:rPr>
          <w:spacing w:val="7"/>
          <w:sz w:val="13"/>
        </w:rPr>
        <w:t> </w:t>
      </w:r>
      <w:r>
        <w:rPr>
          <w:sz w:val="13"/>
        </w:rPr>
        <w:t>‘Interpreter</w:t>
      </w:r>
      <w:r>
        <w:rPr>
          <w:spacing w:val="7"/>
          <w:sz w:val="13"/>
        </w:rPr>
        <w:t> </w:t>
      </w:r>
      <w:r>
        <w:rPr>
          <w:sz w:val="13"/>
        </w:rPr>
        <w:t>Policy</w:t>
      </w:r>
      <w:r>
        <w:rPr>
          <w:spacing w:val="7"/>
          <w:sz w:val="13"/>
        </w:rPr>
        <w:t> </w:t>
      </w:r>
      <w:r>
        <w:rPr>
          <w:sz w:val="13"/>
        </w:rPr>
        <w:t>and</w:t>
      </w:r>
      <w:r>
        <w:rPr>
          <w:spacing w:val="7"/>
          <w:sz w:val="13"/>
        </w:rPr>
        <w:t> </w:t>
      </w:r>
      <w:r>
        <w:rPr>
          <w:sz w:val="13"/>
        </w:rPr>
        <w:t>Guidelines’,</w:t>
      </w:r>
      <w:r>
        <w:rPr>
          <w:spacing w:val="6"/>
          <w:sz w:val="13"/>
        </w:rPr>
        <w:t> </w:t>
      </w:r>
      <w:r>
        <w:rPr>
          <w:i/>
          <w:sz w:val="13"/>
        </w:rPr>
        <w:t>Federal</w:t>
      </w:r>
      <w:r>
        <w:rPr>
          <w:i/>
          <w:spacing w:val="7"/>
          <w:sz w:val="13"/>
        </w:rPr>
        <w:t> </w:t>
      </w:r>
      <w:r>
        <w:rPr>
          <w:i/>
          <w:sz w:val="13"/>
        </w:rPr>
        <w:t>Circuit</w:t>
      </w:r>
      <w:r>
        <w:rPr>
          <w:i/>
          <w:spacing w:val="7"/>
          <w:sz w:val="13"/>
        </w:rPr>
        <w:t> </w:t>
      </w:r>
      <w:r>
        <w:rPr>
          <w:i/>
          <w:sz w:val="13"/>
        </w:rPr>
        <w:t>and</w:t>
      </w:r>
      <w:r>
        <w:rPr>
          <w:i/>
          <w:spacing w:val="7"/>
          <w:sz w:val="13"/>
        </w:rPr>
        <w:t> </w:t>
      </w:r>
      <w:r>
        <w:rPr>
          <w:i/>
          <w:sz w:val="13"/>
        </w:rPr>
        <w:t>Family</w:t>
      </w:r>
      <w:r>
        <w:rPr>
          <w:i/>
          <w:spacing w:val="6"/>
          <w:sz w:val="13"/>
        </w:rPr>
        <w:t> </w:t>
      </w:r>
      <w:r>
        <w:rPr>
          <w:i/>
          <w:sz w:val="13"/>
        </w:rPr>
        <w:t>Court</w:t>
      </w:r>
      <w:r>
        <w:rPr>
          <w:i/>
          <w:spacing w:val="6"/>
          <w:sz w:val="13"/>
        </w:rPr>
        <w:t> </w:t>
      </w:r>
      <w:r>
        <w:rPr>
          <w:i/>
          <w:sz w:val="13"/>
        </w:rPr>
        <w:t>of</w:t>
      </w:r>
      <w:r>
        <w:rPr>
          <w:i/>
          <w:spacing w:val="7"/>
          <w:sz w:val="13"/>
        </w:rPr>
        <w:t> </w:t>
      </w:r>
      <w:r>
        <w:rPr>
          <w:i/>
          <w:sz w:val="13"/>
        </w:rPr>
        <w:t>Australia</w:t>
      </w:r>
      <w:r>
        <w:rPr>
          <w:i/>
          <w:spacing w:val="6"/>
          <w:sz w:val="13"/>
        </w:rPr>
        <w:t> </w:t>
      </w:r>
      <w:r>
        <w:rPr>
          <w:sz w:val="13"/>
        </w:rPr>
        <w:t>(Web</w:t>
      </w:r>
      <w:r>
        <w:rPr>
          <w:spacing w:val="7"/>
          <w:sz w:val="13"/>
        </w:rPr>
        <w:t> </w:t>
      </w:r>
      <w:r>
        <w:rPr>
          <w:sz w:val="13"/>
        </w:rPr>
        <w:t>Page,</w:t>
      </w:r>
      <w:r>
        <w:rPr>
          <w:spacing w:val="7"/>
          <w:sz w:val="13"/>
        </w:rPr>
        <w:t> </w:t>
      </w:r>
      <w:r>
        <w:rPr>
          <w:sz w:val="13"/>
        </w:rPr>
        <w:t>2021)</w:t>
      </w:r>
    </w:p>
    <w:p>
      <w:pPr>
        <w:spacing w:line="153" w:lineRule="exact" w:before="0"/>
        <w:ind w:left="893" w:right="0" w:firstLine="0"/>
        <w:jc w:val="left"/>
        <w:rPr>
          <w:sz w:val="13"/>
        </w:rPr>
      </w:pPr>
      <w:r>
        <w:rPr>
          <w:sz w:val="13"/>
        </w:rPr>
        <w:t>&lt;</w:t>
      </w:r>
      <w:hyperlink r:id="rId199">
        <w:r>
          <w:rPr>
            <w:sz w:val="13"/>
          </w:rPr>
          <w:t>https://www.fcfcoa.gov.au/policy/interpreter</w:t>
        </w:r>
      </w:hyperlink>
      <w:r>
        <w:rPr>
          <w:sz w:val="13"/>
        </w:rPr>
        <w:t>&gt;.</w:t>
      </w:r>
    </w:p>
    <w:p>
      <w:pPr>
        <w:pStyle w:val="ListParagraph"/>
        <w:numPr>
          <w:ilvl w:val="0"/>
          <w:numId w:val="96"/>
        </w:numPr>
        <w:tabs>
          <w:tab w:pos="893" w:val="left" w:leader="none"/>
          <w:tab w:pos="894" w:val="left" w:leader="none"/>
        </w:tabs>
        <w:spacing w:line="213" w:lineRule="auto" w:before="6" w:after="0"/>
        <w:ind w:left="893" w:right="1286" w:hanging="793"/>
        <w:jc w:val="left"/>
        <w:rPr>
          <w:sz w:val="13"/>
        </w:rPr>
      </w:pPr>
      <w:r>
        <w:rPr>
          <w:sz w:val="13"/>
        </w:rPr>
        <w:t>See </w:t>
      </w:r>
      <w:r>
        <w:rPr>
          <w:spacing w:val="2"/>
          <w:sz w:val="13"/>
        </w:rPr>
        <w:t>American </w:t>
      </w:r>
      <w:r>
        <w:rPr>
          <w:sz w:val="13"/>
        </w:rPr>
        <w:t>Judges Foundation and National </w:t>
      </w:r>
      <w:r>
        <w:rPr>
          <w:spacing w:val="2"/>
          <w:sz w:val="13"/>
        </w:rPr>
        <w:t>Court Reporters </w:t>
      </w:r>
      <w:r>
        <w:rPr>
          <w:sz w:val="13"/>
        </w:rPr>
        <w:t>Foundation, </w:t>
      </w:r>
      <w:r>
        <w:rPr>
          <w:i/>
          <w:sz w:val="13"/>
        </w:rPr>
        <w:t>Communication Access Realtime Translation (CART)   </w:t>
      </w:r>
      <w:r>
        <w:rPr>
          <w:i/>
          <w:sz w:val="13"/>
        </w:rPr>
        <w:t>in the Courtroom: Model </w:t>
      </w:r>
      <w:r>
        <w:rPr>
          <w:i/>
          <w:spacing w:val="2"/>
          <w:sz w:val="13"/>
        </w:rPr>
        <w:t>Guidelines </w:t>
      </w:r>
      <w:r>
        <w:rPr>
          <w:spacing w:val="2"/>
          <w:sz w:val="13"/>
        </w:rPr>
        <w:t>(Report, </w:t>
      </w:r>
      <w:r>
        <w:rPr>
          <w:sz w:val="13"/>
        </w:rPr>
        <w:t>18 September</w:t>
      </w:r>
      <w:r>
        <w:rPr>
          <w:spacing w:val="-1"/>
          <w:sz w:val="13"/>
        </w:rPr>
        <w:t> </w:t>
      </w:r>
      <w:r>
        <w:rPr>
          <w:sz w:val="13"/>
        </w:rPr>
        <w:t>2002).</w:t>
      </w:r>
    </w:p>
    <w:p>
      <w:pPr>
        <w:pStyle w:val="ListParagraph"/>
        <w:numPr>
          <w:ilvl w:val="0"/>
          <w:numId w:val="96"/>
        </w:numPr>
        <w:tabs>
          <w:tab w:pos="893" w:val="left" w:leader="none"/>
          <w:tab w:pos="894" w:val="left" w:leader="none"/>
        </w:tabs>
        <w:spacing w:line="213" w:lineRule="auto" w:before="0" w:after="0"/>
        <w:ind w:left="893" w:right="1904" w:hanging="793"/>
        <w:jc w:val="left"/>
        <w:rPr>
          <w:sz w:val="13"/>
        </w:rPr>
      </w:pPr>
      <w:r>
        <w:rPr>
          <w:sz w:val="13"/>
        </w:rPr>
        <w:t>‘Captioning and CART’, </w:t>
      </w:r>
      <w:r>
        <w:rPr>
          <w:i/>
          <w:sz w:val="13"/>
        </w:rPr>
        <w:t>Hearing Loss Association of America </w:t>
      </w:r>
      <w:r>
        <w:rPr>
          <w:sz w:val="13"/>
        </w:rPr>
        <w:t>(Web Page) &lt;</w:t>
      </w:r>
      <w:hyperlink r:id="rId197">
        <w:r>
          <w:rPr>
            <w:sz w:val="13"/>
          </w:rPr>
          <w:t>https://www.hearingloss.org/hearing-help/</w:t>
        </w:r>
      </w:hyperlink>
      <w:hyperlink r:id="rId197">
        <w:r>
          <w:rPr>
            <w:sz w:val="13"/>
          </w:rPr>
          <w:t> technology/cartcaptioning/</w:t>
        </w:r>
      </w:hyperlink>
      <w:r>
        <w:rPr>
          <w:sz w:val="13"/>
        </w:rPr>
        <w:t>&gt;.</w:t>
      </w:r>
    </w:p>
    <w:p>
      <w:pPr>
        <w:pStyle w:val="ListParagraph"/>
        <w:numPr>
          <w:ilvl w:val="0"/>
          <w:numId w:val="96"/>
        </w:numPr>
        <w:tabs>
          <w:tab w:pos="893" w:val="left" w:leader="none"/>
          <w:tab w:pos="894" w:val="left" w:leader="none"/>
        </w:tabs>
        <w:spacing w:line="213" w:lineRule="auto" w:before="0" w:after="0"/>
        <w:ind w:left="893" w:right="1305" w:hanging="793"/>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96"/>
        </w:numPr>
        <w:tabs>
          <w:tab w:pos="893" w:val="left" w:leader="none"/>
          <w:tab w:pos="894" w:val="left" w:leader="none"/>
        </w:tabs>
        <w:spacing w:line="153" w:lineRule="exact" w:before="0" w:after="0"/>
        <w:ind w:left="893" w:right="0" w:hanging="793"/>
        <w:jc w:val="left"/>
        <w:rPr>
          <w:i/>
          <w:sz w:val="13"/>
        </w:rPr>
      </w:pPr>
      <w:r>
        <w:rPr>
          <w:sz w:val="13"/>
        </w:rPr>
        <w:t>Victorian Law Reform </w:t>
      </w:r>
      <w:r>
        <w:rPr>
          <w:spacing w:val="2"/>
          <w:sz w:val="13"/>
        </w:rPr>
        <w:t>Commission, </w:t>
      </w:r>
      <w:r>
        <w:rPr>
          <w:i/>
          <w:sz w:val="13"/>
        </w:rPr>
        <w:t>Inclusive Juries—Access for People Who Are Deaf, Hard of Hearing, Blind or Have Low</w:t>
      </w:r>
      <w:r>
        <w:rPr>
          <w:i/>
          <w:spacing w:val="2"/>
          <w:sz w:val="13"/>
        </w:rPr>
        <w:t> </w:t>
      </w:r>
      <w:r>
        <w:rPr>
          <w:i/>
          <w:sz w:val="13"/>
        </w:rPr>
        <w:t>Vision</w:t>
      </w:r>
    </w:p>
    <w:p>
      <w:pPr>
        <w:spacing w:line="170" w:lineRule="exact" w:before="0"/>
        <w:ind w:left="893" w:right="0" w:firstLine="0"/>
        <w:jc w:val="left"/>
        <w:rPr>
          <w:sz w:val="13"/>
        </w:rPr>
      </w:pPr>
      <w:r>
        <w:rPr>
          <w:sz w:val="13"/>
        </w:rPr>
        <w:t>(Consultation Paper, December 2020) 69 [8.25]–[8.28].</w:t>
      </w:r>
    </w:p>
    <w:p>
      <w:pPr>
        <w:spacing w:after="0" w:line="170" w:lineRule="exact"/>
        <w:jc w:val="left"/>
        <w:rPr>
          <w:sz w:val="13"/>
        </w:rPr>
        <w:sectPr>
          <w:type w:val="continuous"/>
          <w:pgSz w:w="11910" w:h="16840"/>
          <w:pgMar w:top="620" w:bottom="280" w:left="620" w:right="380"/>
          <w:cols w:num="2" w:equalWidth="0">
            <w:col w:w="537" w:space="330"/>
            <w:col w:w="10043"/>
          </w:cols>
        </w:sectPr>
      </w:pPr>
    </w:p>
    <w:p>
      <w:pPr>
        <w:pStyle w:val="BodyText"/>
      </w:pPr>
    </w:p>
    <w:p>
      <w:pPr>
        <w:pStyle w:val="BodyText"/>
      </w:pPr>
    </w:p>
    <w:p>
      <w:pPr>
        <w:pStyle w:val="BodyText"/>
      </w:pPr>
    </w:p>
    <w:p>
      <w:pPr>
        <w:pStyle w:val="BodyText"/>
        <w:spacing w:before="6"/>
        <w:rPr>
          <w:sz w:val="14"/>
        </w:rPr>
      </w:pPr>
    </w:p>
    <w:p>
      <w:pPr>
        <w:spacing w:before="41"/>
        <w:ind w:left="967" w:right="0" w:firstLine="0"/>
        <w:jc w:val="left"/>
        <w:rPr>
          <w:rFonts w:ascii="Raleway ExtraBold"/>
          <w:b/>
          <w:sz w:val="28"/>
        </w:rPr>
      </w:pPr>
      <w:bookmarkStart w:name="Adjustments for people who are blind or " w:id="248"/>
      <w:bookmarkEnd w:id="248"/>
      <w:r>
        <w:rPr/>
      </w:r>
      <w:bookmarkStart w:name="_bookmark103" w:id="249"/>
      <w:bookmarkEnd w:id="249"/>
      <w:r>
        <w:rPr/>
      </w:r>
      <w:r>
        <w:rPr>
          <w:rFonts w:ascii="Raleway ExtraBold"/>
          <w:b/>
          <w:color w:val="37617A"/>
          <w:sz w:val="28"/>
        </w:rPr>
        <w:t>Adjustments for people who are blind or have low vision</w:t>
      </w:r>
    </w:p>
    <w:p>
      <w:pPr>
        <w:pStyle w:val="ListParagraph"/>
        <w:numPr>
          <w:ilvl w:val="1"/>
          <w:numId w:val="12"/>
        </w:numPr>
        <w:tabs>
          <w:tab w:pos="1761" w:val="left" w:leader="none"/>
          <w:tab w:pos="1762" w:val="left" w:leader="none"/>
        </w:tabs>
        <w:spacing w:line="206" w:lineRule="auto" w:before="146" w:after="0"/>
        <w:ind w:left="1761" w:right="1531" w:hanging="794"/>
        <w:jc w:val="left"/>
        <w:rPr>
          <w:sz w:val="20"/>
        </w:rPr>
      </w:pPr>
      <w:r>
        <w:rPr>
          <w:sz w:val="20"/>
        </w:rPr>
        <w:t>People</w:t>
      </w:r>
      <w:r>
        <w:rPr>
          <w:spacing w:val="-9"/>
          <w:sz w:val="20"/>
        </w:rPr>
        <w:t> </w:t>
      </w:r>
      <w:r>
        <w:rPr>
          <w:sz w:val="20"/>
        </w:rPr>
        <w:t>who</w:t>
      </w:r>
      <w:r>
        <w:rPr>
          <w:spacing w:val="-8"/>
          <w:sz w:val="20"/>
        </w:rPr>
        <w:t> </w:t>
      </w:r>
      <w:r>
        <w:rPr>
          <w:spacing w:val="-3"/>
          <w:sz w:val="20"/>
        </w:rPr>
        <w:t>are</w:t>
      </w:r>
      <w:r>
        <w:rPr>
          <w:spacing w:val="-8"/>
          <w:sz w:val="20"/>
        </w:rPr>
        <w:t> </w:t>
      </w:r>
      <w:r>
        <w:rPr>
          <w:sz w:val="20"/>
        </w:rPr>
        <w:t>blind</w:t>
      </w:r>
      <w:r>
        <w:rPr>
          <w:spacing w:val="-8"/>
          <w:sz w:val="20"/>
        </w:rPr>
        <w:t> </w:t>
      </w:r>
      <w:r>
        <w:rPr>
          <w:sz w:val="20"/>
        </w:rPr>
        <w:t>or</w:t>
      </w:r>
      <w:r>
        <w:rPr>
          <w:spacing w:val="-8"/>
          <w:sz w:val="20"/>
        </w:rPr>
        <w:t> </w:t>
      </w:r>
      <w:r>
        <w:rPr>
          <w:spacing w:val="-4"/>
          <w:sz w:val="20"/>
        </w:rPr>
        <w:t>have</w:t>
      </w:r>
      <w:r>
        <w:rPr>
          <w:spacing w:val="-8"/>
          <w:sz w:val="20"/>
        </w:rPr>
        <w:t> </w:t>
      </w:r>
      <w:r>
        <w:rPr>
          <w:spacing w:val="-4"/>
          <w:sz w:val="20"/>
        </w:rPr>
        <w:t>low</w:t>
      </w:r>
      <w:r>
        <w:rPr>
          <w:spacing w:val="-8"/>
          <w:sz w:val="20"/>
        </w:rPr>
        <w:t> </w:t>
      </w:r>
      <w:r>
        <w:rPr>
          <w:sz w:val="20"/>
        </w:rPr>
        <w:t>vision</w:t>
      </w:r>
      <w:r>
        <w:rPr>
          <w:spacing w:val="-8"/>
          <w:sz w:val="20"/>
        </w:rPr>
        <w:t> </w:t>
      </w:r>
      <w:r>
        <w:rPr>
          <w:sz w:val="20"/>
        </w:rPr>
        <w:t>use</w:t>
      </w:r>
      <w:r>
        <w:rPr>
          <w:spacing w:val="-8"/>
          <w:sz w:val="20"/>
        </w:rPr>
        <w:t> </w:t>
      </w:r>
      <w:r>
        <w:rPr>
          <w:sz w:val="20"/>
        </w:rPr>
        <w:t>a</w:t>
      </w:r>
      <w:r>
        <w:rPr>
          <w:spacing w:val="-8"/>
          <w:sz w:val="20"/>
        </w:rPr>
        <w:t> </w:t>
      </w:r>
      <w:r>
        <w:rPr>
          <w:sz w:val="20"/>
        </w:rPr>
        <w:t>range</w:t>
      </w:r>
      <w:r>
        <w:rPr>
          <w:spacing w:val="-8"/>
          <w:sz w:val="20"/>
        </w:rPr>
        <w:t> </w:t>
      </w:r>
      <w:r>
        <w:rPr>
          <w:sz w:val="20"/>
        </w:rPr>
        <w:t>of</w:t>
      </w:r>
      <w:r>
        <w:rPr>
          <w:spacing w:val="-8"/>
          <w:sz w:val="20"/>
        </w:rPr>
        <w:t> </w:t>
      </w:r>
      <w:r>
        <w:rPr>
          <w:sz w:val="20"/>
        </w:rPr>
        <w:t>methods</w:t>
      </w:r>
      <w:r>
        <w:rPr>
          <w:spacing w:val="-8"/>
          <w:sz w:val="20"/>
        </w:rPr>
        <w:t> </w:t>
      </w:r>
      <w:r>
        <w:rPr>
          <w:sz w:val="20"/>
        </w:rPr>
        <w:t>and</w:t>
      </w:r>
      <w:r>
        <w:rPr>
          <w:spacing w:val="-8"/>
          <w:sz w:val="20"/>
        </w:rPr>
        <w:t> </w:t>
      </w:r>
      <w:r>
        <w:rPr>
          <w:sz w:val="20"/>
        </w:rPr>
        <w:t>tools</w:t>
      </w:r>
      <w:r>
        <w:rPr>
          <w:spacing w:val="-8"/>
          <w:sz w:val="20"/>
        </w:rPr>
        <w:t> </w:t>
      </w:r>
      <w:r>
        <w:rPr>
          <w:sz w:val="20"/>
        </w:rPr>
        <w:t>to</w:t>
      </w:r>
      <w:r>
        <w:rPr>
          <w:spacing w:val="-8"/>
          <w:sz w:val="20"/>
        </w:rPr>
        <w:t> </w:t>
      </w:r>
      <w:r>
        <w:rPr>
          <w:sz w:val="20"/>
        </w:rPr>
        <w:t>access information. The </w:t>
      </w:r>
      <w:r>
        <w:rPr>
          <w:spacing w:val="-3"/>
          <w:sz w:val="20"/>
        </w:rPr>
        <w:t>available </w:t>
      </w:r>
      <w:r>
        <w:rPr>
          <w:sz w:val="20"/>
        </w:rPr>
        <w:t>technologies </w:t>
      </w:r>
      <w:r>
        <w:rPr>
          <w:spacing w:val="-3"/>
          <w:sz w:val="20"/>
        </w:rPr>
        <w:t>are </w:t>
      </w:r>
      <w:r>
        <w:rPr>
          <w:sz w:val="20"/>
        </w:rPr>
        <w:t>advancing</w:t>
      </w:r>
      <w:r>
        <w:rPr>
          <w:spacing w:val="-25"/>
          <w:sz w:val="20"/>
        </w:rPr>
        <w:t> </w:t>
      </w:r>
      <w:r>
        <w:rPr>
          <w:spacing w:val="-4"/>
          <w:sz w:val="20"/>
        </w:rPr>
        <w:t>rapidly.</w:t>
      </w:r>
    </w:p>
    <w:p>
      <w:pPr>
        <w:pStyle w:val="ListParagraph"/>
        <w:numPr>
          <w:ilvl w:val="1"/>
          <w:numId w:val="12"/>
        </w:numPr>
        <w:tabs>
          <w:tab w:pos="1761" w:val="left" w:leader="none"/>
          <w:tab w:pos="1762" w:val="left" w:leader="none"/>
        </w:tabs>
        <w:spacing w:line="206" w:lineRule="auto" w:before="122" w:after="0"/>
        <w:ind w:left="1761" w:right="1234" w:hanging="794"/>
        <w:jc w:val="left"/>
        <w:rPr>
          <w:sz w:val="20"/>
        </w:rPr>
      </w:pPr>
      <w:r>
        <w:rPr>
          <w:sz w:val="20"/>
        </w:rPr>
        <w:t>Vision Australia identified two categories of adjustments, environmental and those relating to jury processes, that a person who is blind or has </w:t>
      </w:r>
      <w:r>
        <w:rPr>
          <w:spacing w:val="-4"/>
          <w:sz w:val="20"/>
        </w:rPr>
        <w:t>low </w:t>
      </w:r>
      <w:r>
        <w:rPr>
          <w:sz w:val="20"/>
        </w:rPr>
        <w:t>vision </w:t>
      </w:r>
      <w:r>
        <w:rPr>
          <w:spacing w:val="-3"/>
          <w:sz w:val="20"/>
        </w:rPr>
        <w:t>may </w:t>
      </w:r>
      <w:r>
        <w:rPr>
          <w:sz w:val="20"/>
        </w:rPr>
        <w:t>need in order</w:t>
      </w:r>
      <w:r>
        <w:rPr>
          <w:spacing w:val="-10"/>
          <w:sz w:val="20"/>
        </w:rPr>
        <w:t> </w:t>
      </w:r>
      <w:r>
        <w:rPr>
          <w:sz w:val="20"/>
        </w:rPr>
        <w:t>to</w:t>
      </w:r>
      <w:r>
        <w:rPr>
          <w:spacing w:val="-9"/>
          <w:sz w:val="20"/>
        </w:rPr>
        <w:t> </w:t>
      </w:r>
      <w:r>
        <w:rPr>
          <w:sz w:val="20"/>
        </w:rPr>
        <w:t>serve</w:t>
      </w:r>
      <w:r>
        <w:rPr>
          <w:spacing w:val="-9"/>
          <w:sz w:val="20"/>
        </w:rPr>
        <w:t> </w:t>
      </w:r>
      <w:r>
        <w:rPr>
          <w:sz w:val="20"/>
        </w:rPr>
        <w:t>on</w:t>
      </w:r>
      <w:r>
        <w:rPr>
          <w:spacing w:val="-9"/>
          <w:sz w:val="20"/>
        </w:rPr>
        <w:t> </w:t>
      </w:r>
      <w:r>
        <w:rPr>
          <w:sz w:val="20"/>
        </w:rPr>
        <w:t>a</w:t>
      </w:r>
      <w:r>
        <w:rPr>
          <w:spacing w:val="-10"/>
          <w:sz w:val="20"/>
        </w:rPr>
        <w:t> </w:t>
      </w:r>
      <w:r>
        <w:rPr>
          <w:sz w:val="20"/>
        </w:rPr>
        <w:t>jury.</w:t>
      </w:r>
      <w:r>
        <w:rPr>
          <w:spacing w:val="-9"/>
          <w:sz w:val="20"/>
        </w:rPr>
        <w:t> </w:t>
      </w:r>
      <w:r>
        <w:rPr>
          <w:sz w:val="20"/>
        </w:rPr>
        <w:t>The</w:t>
      </w:r>
      <w:r>
        <w:rPr>
          <w:spacing w:val="-9"/>
          <w:sz w:val="20"/>
        </w:rPr>
        <w:t> </w:t>
      </w:r>
      <w:r>
        <w:rPr>
          <w:sz w:val="20"/>
        </w:rPr>
        <w:t>areas</w:t>
      </w:r>
      <w:r>
        <w:rPr>
          <w:spacing w:val="-9"/>
          <w:sz w:val="20"/>
        </w:rPr>
        <w:t> </w:t>
      </w:r>
      <w:r>
        <w:rPr>
          <w:sz w:val="20"/>
        </w:rPr>
        <w:t>they</w:t>
      </w:r>
      <w:r>
        <w:rPr>
          <w:spacing w:val="-10"/>
          <w:sz w:val="20"/>
        </w:rPr>
        <w:t> </w:t>
      </w:r>
      <w:r>
        <w:rPr>
          <w:sz w:val="20"/>
        </w:rPr>
        <w:t>identified</w:t>
      </w:r>
      <w:r>
        <w:rPr>
          <w:spacing w:val="-9"/>
          <w:sz w:val="20"/>
        </w:rPr>
        <w:t> </w:t>
      </w:r>
      <w:r>
        <w:rPr>
          <w:sz w:val="20"/>
        </w:rPr>
        <w:t>in</w:t>
      </w:r>
      <w:r>
        <w:rPr>
          <w:spacing w:val="-9"/>
          <w:sz w:val="20"/>
        </w:rPr>
        <w:t> </w:t>
      </w:r>
      <w:r>
        <w:rPr>
          <w:sz w:val="20"/>
        </w:rPr>
        <w:t>which</w:t>
      </w:r>
      <w:r>
        <w:rPr>
          <w:spacing w:val="-9"/>
          <w:sz w:val="20"/>
        </w:rPr>
        <w:t> </w:t>
      </w:r>
      <w:r>
        <w:rPr>
          <w:sz w:val="20"/>
        </w:rPr>
        <w:t>supports</w:t>
      </w:r>
      <w:r>
        <w:rPr>
          <w:spacing w:val="-10"/>
          <w:sz w:val="20"/>
        </w:rPr>
        <w:t> </w:t>
      </w:r>
      <w:r>
        <w:rPr>
          <w:spacing w:val="-3"/>
          <w:sz w:val="20"/>
        </w:rPr>
        <w:t>may</w:t>
      </w:r>
      <w:r>
        <w:rPr>
          <w:spacing w:val="-9"/>
          <w:sz w:val="20"/>
        </w:rPr>
        <w:t> </w:t>
      </w:r>
      <w:r>
        <w:rPr>
          <w:sz w:val="20"/>
        </w:rPr>
        <w:t>be</w:t>
      </w:r>
      <w:r>
        <w:rPr>
          <w:spacing w:val="-9"/>
          <w:sz w:val="20"/>
        </w:rPr>
        <w:t> </w:t>
      </w:r>
      <w:r>
        <w:rPr>
          <w:sz w:val="20"/>
        </w:rPr>
        <w:t>needed</w:t>
      </w:r>
      <w:r>
        <w:rPr>
          <w:spacing w:val="-9"/>
          <w:sz w:val="20"/>
        </w:rPr>
        <w:t> </w:t>
      </w:r>
      <w:r>
        <w:rPr>
          <w:spacing w:val="-3"/>
          <w:sz w:val="20"/>
        </w:rPr>
        <w:t>are </w:t>
      </w:r>
      <w:r>
        <w:rPr>
          <w:sz w:val="20"/>
        </w:rPr>
        <w:t>summarised in the </w:t>
      </w:r>
      <w:r>
        <w:rPr>
          <w:spacing w:val="-3"/>
          <w:sz w:val="20"/>
        </w:rPr>
        <w:t>box</w:t>
      </w:r>
      <w:r>
        <w:rPr>
          <w:spacing w:val="-17"/>
          <w:sz w:val="20"/>
        </w:rPr>
        <w:t> </w:t>
      </w:r>
      <w:r>
        <w:rPr>
          <w:spacing w:val="-5"/>
          <w:sz w:val="20"/>
        </w:rPr>
        <w:t>below.</w:t>
      </w:r>
    </w:p>
    <w:p>
      <w:pPr>
        <w:pStyle w:val="BodyText"/>
      </w:pPr>
    </w:p>
    <w:p>
      <w:pPr>
        <w:pStyle w:val="BodyText"/>
      </w:pPr>
    </w:p>
    <w:p>
      <w:pPr>
        <w:pStyle w:val="Heading8"/>
        <w:spacing w:line="240" w:lineRule="auto" w:before="58"/>
        <w:ind w:left="1199"/>
      </w:pPr>
      <w:r>
        <w:rPr/>
        <w:pict>
          <v:group style="position:absolute;margin-left:79.370102pt;margin-top:-6.54841pt;width:437.05pt;height:411.9pt;mso-position-horizontal-relative:page;mso-position-vertical-relative:paragraph;z-index:-350344" coordorigin="1587,-131" coordsize="8741,8238">
            <v:rect style="position:absolute;left:1592;top:-126;width:8731;height:8228" filled="true" fillcolor="#dddfe4" stroked="false">
              <v:fill type="solid"/>
            </v:rect>
            <v:line style="position:absolute" from="1587,-126" to="10328,-126" stroked="true" strokeweight=".5pt" strokecolor="#37617a">
              <v:stroke dashstyle="solid"/>
            </v:line>
            <v:line style="position:absolute" from="1592,8096" to="1592,-121" stroked="true" strokeweight=".5pt" strokecolor="#37617a">
              <v:stroke dashstyle="solid"/>
            </v:line>
            <v:line style="position:absolute" from="10323,8096" to="10323,-121" stroked="true" strokeweight=".5pt" strokecolor="#37617a">
              <v:stroke dashstyle="solid"/>
            </v:line>
            <v:line style="position:absolute" from="1587,8101" to="10328,8101" stroked="true" strokeweight=".5pt" strokecolor="#37617a">
              <v:stroke dashstyle="solid"/>
            </v:line>
            <w10:wrap type="none"/>
          </v:group>
        </w:pict>
      </w:r>
      <w:r>
        <w:rPr/>
        <w:t>Environmental adjustments</w:t>
      </w:r>
    </w:p>
    <w:p>
      <w:pPr>
        <w:pStyle w:val="ListParagraph"/>
        <w:numPr>
          <w:ilvl w:val="2"/>
          <w:numId w:val="12"/>
        </w:numPr>
        <w:tabs>
          <w:tab w:pos="1595" w:val="left" w:leader="none"/>
          <w:tab w:pos="1597" w:val="left" w:leader="none"/>
        </w:tabs>
        <w:spacing w:line="240" w:lineRule="auto" w:before="82" w:after="0"/>
        <w:ind w:left="1596" w:right="0" w:hanging="397"/>
        <w:jc w:val="left"/>
        <w:rPr>
          <w:sz w:val="20"/>
        </w:rPr>
      </w:pPr>
      <w:r>
        <w:rPr>
          <w:sz w:val="20"/>
        </w:rPr>
        <w:t>getting to and </w:t>
      </w:r>
      <w:r>
        <w:rPr>
          <w:spacing w:val="-3"/>
          <w:sz w:val="20"/>
        </w:rPr>
        <w:t>from </w:t>
      </w:r>
      <w:r>
        <w:rPr>
          <w:sz w:val="20"/>
        </w:rPr>
        <w:t>the court</w:t>
      </w:r>
      <w:r>
        <w:rPr>
          <w:spacing w:val="-23"/>
          <w:sz w:val="20"/>
        </w:rPr>
        <w:t> </w:t>
      </w:r>
      <w:r>
        <w:rPr>
          <w:sz w:val="20"/>
        </w:rPr>
        <w:t>building</w:t>
      </w:r>
    </w:p>
    <w:p>
      <w:pPr>
        <w:pStyle w:val="ListParagraph"/>
        <w:numPr>
          <w:ilvl w:val="2"/>
          <w:numId w:val="12"/>
        </w:numPr>
        <w:tabs>
          <w:tab w:pos="1595" w:val="left" w:leader="none"/>
          <w:tab w:pos="1597" w:val="left" w:leader="none"/>
        </w:tabs>
        <w:spacing w:line="240" w:lineRule="auto" w:before="47" w:after="0"/>
        <w:ind w:left="1596" w:right="0" w:hanging="397"/>
        <w:jc w:val="left"/>
        <w:rPr>
          <w:sz w:val="20"/>
        </w:rPr>
      </w:pPr>
      <w:r>
        <w:rPr>
          <w:sz w:val="20"/>
        </w:rPr>
        <w:t>navigation of courthouse</w:t>
      </w:r>
      <w:r>
        <w:rPr>
          <w:spacing w:val="-13"/>
          <w:sz w:val="20"/>
        </w:rPr>
        <w:t> </w:t>
      </w:r>
      <w:r>
        <w:rPr>
          <w:sz w:val="20"/>
        </w:rPr>
        <w:t>security</w:t>
      </w:r>
    </w:p>
    <w:p>
      <w:pPr>
        <w:pStyle w:val="ListParagraph"/>
        <w:numPr>
          <w:ilvl w:val="2"/>
          <w:numId w:val="12"/>
        </w:numPr>
        <w:tabs>
          <w:tab w:pos="1595" w:val="left" w:leader="none"/>
          <w:tab w:pos="1597" w:val="left" w:leader="none"/>
        </w:tabs>
        <w:spacing w:line="240" w:lineRule="auto" w:before="48" w:after="0"/>
        <w:ind w:left="1596" w:right="0" w:hanging="397"/>
        <w:jc w:val="left"/>
        <w:rPr>
          <w:sz w:val="20"/>
        </w:rPr>
      </w:pPr>
      <w:r>
        <w:rPr>
          <w:sz w:val="20"/>
        </w:rPr>
        <w:t>moving around the</w:t>
      </w:r>
      <w:r>
        <w:rPr>
          <w:spacing w:val="-13"/>
          <w:sz w:val="20"/>
        </w:rPr>
        <w:t> </w:t>
      </w:r>
      <w:r>
        <w:rPr>
          <w:sz w:val="20"/>
        </w:rPr>
        <w:t>courtroom</w:t>
      </w:r>
    </w:p>
    <w:p>
      <w:pPr>
        <w:pStyle w:val="ListParagraph"/>
        <w:numPr>
          <w:ilvl w:val="2"/>
          <w:numId w:val="12"/>
        </w:numPr>
        <w:tabs>
          <w:tab w:pos="1595" w:val="left" w:leader="none"/>
          <w:tab w:pos="1597" w:val="left" w:leader="none"/>
        </w:tabs>
        <w:spacing w:line="240" w:lineRule="auto" w:before="47" w:after="0"/>
        <w:ind w:left="1596" w:right="0" w:hanging="397"/>
        <w:jc w:val="left"/>
        <w:rPr>
          <w:sz w:val="20"/>
        </w:rPr>
      </w:pPr>
      <w:r>
        <w:rPr>
          <w:sz w:val="20"/>
        </w:rPr>
        <w:t>moving between the courtroom and the jury</w:t>
      </w:r>
      <w:r>
        <w:rPr>
          <w:spacing w:val="-32"/>
          <w:sz w:val="20"/>
        </w:rPr>
        <w:t> </w:t>
      </w:r>
      <w:r>
        <w:rPr>
          <w:sz w:val="20"/>
        </w:rPr>
        <w:t>room</w:t>
      </w:r>
    </w:p>
    <w:p>
      <w:pPr>
        <w:pStyle w:val="ListParagraph"/>
        <w:numPr>
          <w:ilvl w:val="2"/>
          <w:numId w:val="12"/>
        </w:numPr>
        <w:tabs>
          <w:tab w:pos="1595" w:val="left" w:leader="none"/>
          <w:tab w:pos="1597" w:val="left" w:leader="none"/>
        </w:tabs>
        <w:spacing w:line="240" w:lineRule="auto" w:before="48" w:after="0"/>
        <w:ind w:left="1596" w:right="0" w:hanging="397"/>
        <w:jc w:val="left"/>
        <w:rPr>
          <w:sz w:val="20"/>
        </w:rPr>
      </w:pPr>
      <w:r>
        <w:rPr>
          <w:sz w:val="20"/>
        </w:rPr>
        <w:t>accessing</w:t>
      </w:r>
      <w:r>
        <w:rPr>
          <w:spacing w:val="-5"/>
          <w:sz w:val="20"/>
        </w:rPr>
        <w:t> </w:t>
      </w:r>
      <w:r>
        <w:rPr>
          <w:sz w:val="20"/>
        </w:rPr>
        <w:t>meals</w:t>
      </w:r>
    </w:p>
    <w:p>
      <w:pPr>
        <w:pStyle w:val="ListParagraph"/>
        <w:numPr>
          <w:ilvl w:val="2"/>
          <w:numId w:val="12"/>
        </w:numPr>
        <w:tabs>
          <w:tab w:pos="1595" w:val="left" w:leader="none"/>
          <w:tab w:pos="1597" w:val="left" w:leader="none"/>
        </w:tabs>
        <w:spacing w:line="240" w:lineRule="auto" w:before="47" w:after="0"/>
        <w:ind w:left="1596" w:right="0" w:hanging="397"/>
        <w:jc w:val="left"/>
        <w:rPr>
          <w:sz w:val="20"/>
        </w:rPr>
      </w:pPr>
      <w:r>
        <w:rPr>
          <w:sz w:val="20"/>
        </w:rPr>
        <w:t>using a Guide Dog to</w:t>
      </w:r>
      <w:r>
        <w:rPr>
          <w:spacing w:val="-21"/>
          <w:sz w:val="20"/>
        </w:rPr>
        <w:t> </w:t>
      </w:r>
      <w:r>
        <w:rPr>
          <w:spacing w:val="-3"/>
          <w:sz w:val="20"/>
        </w:rPr>
        <w:t>navigate</w:t>
      </w:r>
    </w:p>
    <w:p>
      <w:pPr>
        <w:pStyle w:val="ListParagraph"/>
        <w:numPr>
          <w:ilvl w:val="2"/>
          <w:numId w:val="12"/>
        </w:numPr>
        <w:tabs>
          <w:tab w:pos="1595" w:val="left" w:leader="none"/>
          <w:tab w:pos="1597" w:val="left" w:leader="none"/>
        </w:tabs>
        <w:spacing w:line="206" w:lineRule="auto" w:before="80" w:after="0"/>
        <w:ind w:left="1596" w:right="2155" w:hanging="397"/>
        <w:jc w:val="left"/>
        <w:rPr>
          <w:sz w:val="20"/>
        </w:rPr>
      </w:pPr>
      <w:r>
        <w:rPr>
          <w:sz w:val="20"/>
        </w:rPr>
        <w:t>jury</w:t>
      </w:r>
      <w:r>
        <w:rPr>
          <w:spacing w:val="-6"/>
          <w:sz w:val="20"/>
        </w:rPr>
        <w:t> </w:t>
      </w:r>
      <w:r>
        <w:rPr>
          <w:spacing w:val="-3"/>
          <w:sz w:val="20"/>
        </w:rPr>
        <w:t>views</w:t>
      </w:r>
      <w:r>
        <w:rPr>
          <w:spacing w:val="-5"/>
          <w:sz w:val="20"/>
        </w:rPr>
        <w:t> </w:t>
      </w:r>
      <w:r>
        <w:rPr>
          <w:sz w:val="20"/>
        </w:rPr>
        <w:t>of</w:t>
      </w:r>
      <w:r>
        <w:rPr>
          <w:spacing w:val="-5"/>
          <w:sz w:val="20"/>
        </w:rPr>
        <w:t> </w:t>
      </w:r>
      <w:r>
        <w:rPr>
          <w:sz w:val="20"/>
        </w:rPr>
        <w:t>places</w:t>
      </w:r>
      <w:r>
        <w:rPr>
          <w:spacing w:val="-6"/>
          <w:sz w:val="20"/>
        </w:rPr>
        <w:t> </w:t>
      </w:r>
      <w:r>
        <w:rPr>
          <w:sz w:val="20"/>
        </w:rPr>
        <w:t>or</w:t>
      </w:r>
      <w:r>
        <w:rPr>
          <w:spacing w:val="-5"/>
          <w:sz w:val="20"/>
        </w:rPr>
        <w:t> </w:t>
      </w:r>
      <w:r>
        <w:rPr>
          <w:sz w:val="20"/>
        </w:rPr>
        <w:t>objects,</w:t>
      </w:r>
      <w:r>
        <w:rPr>
          <w:spacing w:val="-5"/>
          <w:sz w:val="20"/>
        </w:rPr>
        <w:t> </w:t>
      </w:r>
      <w:r>
        <w:rPr>
          <w:sz w:val="20"/>
        </w:rPr>
        <w:t>as</w:t>
      </w:r>
      <w:r>
        <w:rPr>
          <w:spacing w:val="-6"/>
          <w:sz w:val="20"/>
        </w:rPr>
        <w:t> </w:t>
      </w:r>
      <w:r>
        <w:rPr>
          <w:spacing w:val="-3"/>
          <w:sz w:val="20"/>
        </w:rPr>
        <w:t>ordered</w:t>
      </w:r>
      <w:r>
        <w:rPr>
          <w:spacing w:val="-5"/>
          <w:sz w:val="20"/>
        </w:rPr>
        <w:t> </w:t>
      </w:r>
      <w:r>
        <w:rPr>
          <w:spacing w:val="-3"/>
          <w:sz w:val="20"/>
        </w:rPr>
        <w:t>by</w:t>
      </w:r>
      <w:r>
        <w:rPr>
          <w:spacing w:val="-5"/>
          <w:sz w:val="20"/>
        </w:rPr>
        <w:t> </w:t>
      </w:r>
      <w:r>
        <w:rPr>
          <w:sz w:val="20"/>
        </w:rPr>
        <w:t>a</w:t>
      </w:r>
      <w:r>
        <w:rPr>
          <w:spacing w:val="-6"/>
          <w:sz w:val="20"/>
        </w:rPr>
        <w:t> </w:t>
      </w:r>
      <w:r>
        <w:rPr>
          <w:sz w:val="20"/>
        </w:rPr>
        <w:t>judge</w:t>
      </w:r>
      <w:r>
        <w:rPr>
          <w:position w:val="7"/>
          <w:sz w:val="11"/>
        </w:rPr>
        <w:t>21</w:t>
      </w:r>
      <w:r>
        <w:rPr>
          <w:sz w:val="20"/>
        </w:rPr>
        <w:t>—assistance</w:t>
      </w:r>
      <w:r>
        <w:rPr>
          <w:spacing w:val="-5"/>
          <w:sz w:val="20"/>
        </w:rPr>
        <w:t> </w:t>
      </w:r>
      <w:r>
        <w:rPr>
          <w:spacing w:val="-3"/>
          <w:sz w:val="20"/>
        </w:rPr>
        <w:t>from</w:t>
      </w:r>
      <w:r>
        <w:rPr>
          <w:spacing w:val="-5"/>
          <w:sz w:val="20"/>
        </w:rPr>
        <w:t> </w:t>
      </w:r>
      <w:r>
        <w:rPr>
          <w:spacing w:val="-3"/>
          <w:sz w:val="20"/>
        </w:rPr>
        <w:t>court- </w:t>
      </w:r>
      <w:r>
        <w:rPr>
          <w:sz w:val="20"/>
        </w:rPr>
        <w:t>appointed</w:t>
      </w:r>
      <w:r>
        <w:rPr>
          <w:spacing w:val="-6"/>
          <w:sz w:val="20"/>
        </w:rPr>
        <w:t> </w:t>
      </w:r>
      <w:r>
        <w:rPr>
          <w:sz w:val="20"/>
        </w:rPr>
        <w:t>support</w:t>
      </w:r>
      <w:r>
        <w:rPr>
          <w:spacing w:val="-5"/>
          <w:sz w:val="20"/>
        </w:rPr>
        <w:t> </w:t>
      </w:r>
      <w:r>
        <w:rPr>
          <w:sz w:val="20"/>
        </w:rPr>
        <w:t>person</w:t>
      </w:r>
      <w:r>
        <w:rPr>
          <w:spacing w:val="-5"/>
          <w:sz w:val="20"/>
        </w:rPr>
        <w:t> </w:t>
      </w:r>
      <w:r>
        <w:rPr>
          <w:sz w:val="20"/>
        </w:rPr>
        <w:t>to</w:t>
      </w:r>
      <w:r>
        <w:rPr>
          <w:spacing w:val="-5"/>
          <w:sz w:val="20"/>
        </w:rPr>
        <w:t> </w:t>
      </w:r>
      <w:r>
        <w:rPr>
          <w:spacing w:val="-3"/>
          <w:sz w:val="20"/>
        </w:rPr>
        <w:t>navigate</w:t>
      </w:r>
      <w:r>
        <w:rPr>
          <w:spacing w:val="-5"/>
          <w:sz w:val="20"/>
        </w:rPr>
        <w:t> </w:t>
      </w:r>
      <w:r>
        <w:rPr>
          <w:sz w:val="20"/>
        </w:rPr>
        <w:t>and</w:t>
      </w:r>
      <w:r>
        <w:rPr>
          <w:spacing w:val="-6"/>
          <w:sz w:val="20"/>
        </w:rPr>
        <w:t> </w:t>
      </w:r>
      <w:r>
        <w:rPr>
          <w:sz w:val="20"/>
        </w:rPr>
        <w:t>describe</w:t>
      </w:r>
      <w:r>
        <w:rPr>
          <w:spacing w:val="-5"/>
          <w:sz w:val="20"/>
        </w:rPr>
        <w:t> </w:t>
      </w:r>
      <w:r>
        <w:rPr>
          <w:sz w:val="20"/>
        </w:rPr>
        <w:t>the</w:t>
      </w:r>
      <w:r>
        <w:rPr>
          <w:spacing w:val="-5"/>
          <w:sz w:val="20"/>
        </w:rPr>
        <w:t> </w:t>
      </w:r>
      <w:r>
        <w:rPr>
          <w:sz w:val="20"/>
        </w:rPr>
        <w:t>site</w:t>
      </w:r>
    </w:p>
    <w:p>
      <w:pPr>
        <w:pStyle w:val="Heading8"/>
        <w:spacing w:line="240" w:lineRule="auto" w:before="55"/>
        <w:ind w:left="1199"/>
      </w:pPr>
      <w:r>
        <w:rPr/>
        <w:t>Jury service adjustments</w:t>
      </w:r>
    </w:p>
    <w:p>
      <w:pPr>
        <w:pStyle w:val="ListParagraph"/>
        <w:numPr>
          <w:ilvl w:val="2"/>
          <w:numId w:val="12"/>
        </w:numPr>
        <w:tabs>
          <w:tab w:pos="1595" w:val="left" w:leader="none"/>
          <w:tab w:pos="1597" w:val="left" w:leader="none"/>
        </w:tabs>
        <w:spacing w:line="240" w:lineRule="auto" w:before="83" w:after="0"/>
        <w:ind w:left="1596" w:right="0" w:hanging="397"/>
        <w:jc w:val="left"/>
        <w:rPr>
          <w:sz w:val="20"/>
        </w:rPr>
      </w:pPr>
      <w:r>
        <w:rPr>
          <w:sz w:val="20"/>
        </w:rPr>
        <w:t>knowledge</w:t>
      </w:r>
      <w:r>
        <w:rPr>
          <w:spacing w:val="-6"/>
          <w:sz w:val="20"/>
        </w:rPr>
        <w:t> </w:t>
      </w:r>
      <w:r>
        <w:rPr>
          <w:sz w:val="20"/>
        </w:rPr>
        <w:t>of</w:t>
      </w:r>
      <w:r>
        <w:rPr>
          <w:spacing w:val="-6"/>
          <w:sz w:val="20"/>
        </w:rPr>
        <w:t> </w:t>
      </w:r>
      <w:r>
        <w:rPr>
          <w:sz w:val="20"/>
        </w:rPr>
        <w:t>who</w:t>
      </w:r>
      <w:r>
        <w:rPr>
          <w:spacing w:val="-5"/>
          <w:sz w:val="20"/>
        </w:rPr>
        <w:t> </w:t>
      </w:r>
      <w:r>
        <w:rPr>
          <w:sz w:val="20"/>
        </w:rPr>
        <w:t>is</w:t>
      </w:r>
      <w:r>
        <w:rPr>
          <w:spacing w:val="-6"/>
          <w:sz w:val="20"/>
        </w:rPr>
        <w:t> </w:t>
      </w:r>
      <w:r>
        <w:rPr>
          <w:sz w:val="20"/>
        </w:rPr>
        <w:t>in</w:t>
      </w:r>
      <w:r>
        <w:rPr>
          <w:spacing w:val="-5"/>
          <w:sz w:val="20"/>
        </w:rPr>
        <w:t> </w:t>
      </w:r>
      <w:r>
        <w:rPr>
          <w:sz w:val="20"/>
        </w:rPr>
        <w:t>the</w:t>
      </w:r>
      <w:r>
        <w:rPr>
          <w:spacing w:val="-6"/>
          <w:sz w:val="20"/>
        </w:rPr>
        <w:t> </w:t>
      </w:r>
      <w:r>
        <w:rPr>
          <w:sz w:val="20"/>
        </w:rPr>
        <w:t>courtroom,</w:t>
      </w:r>
      <w:r>
        <w:rPr>
          <w:spacing w:val="-5"/>
          <w:sz w:val="20"/>
        </w:rPr>
        <w:t> </w:t>
      </w:r>
      <w:r>
        <w:rPr>
          <w:sz w:val="20"/>
        </w:rPr>
        <w:t>where</w:t>
      </w:r>
      <w:r>
        <w:rPr>
          <w:spacing w:val="-6"/>
          <w:sz w:val="20"/>
        </w:rPr>
        <w:t> </w:t>
      </w:r>
      <w:r>
        <w:rPr>
          <w:sz w:val="20"/>
        </w:rPr>
        <w:t>they</w:t>
      </w:r>
      <w:r>
        <w:rPr>
          <w:spacing w:val="-5"/>
          <w:sz w:val="20"/>
        </w:rPr>
        <w:t> </w:t>
      </w:r>
      <w:r>
        <w:rPr>
          <w:spacing w:val="-3"/>
          <w:sz w:val="20"/>
        </w:rPr>
        <w:t>are</w:t>
      </w:r>
      <w:r>
        <w:rPr>
          <w:spacing w:val="-6"/>
          <w:sz w:val="20"/>
        </w:rPr>
        <w:t> </w:t>
      </w:r>
      <w:r>
        <w:rPr>
          <w:sz w:val="20"/>
        </w:rPr>
        <w:t>positioned</w:t>
      </w:r>
      <w:r>
        <w:rPr>
          <w:spacing w:val="-5"/>
          <w:sz w:val="20"/>
        </w:rPr>
        <w:t> </w:t>
      </w:r>
      <w:r>
        <w:rPr>
          <w:sz w:val="20"/>
        </w:rPr>
        <w:t>and</w:t>
      </w:r>
      <w:r>
        <w:rPr>
          <w:spacing w:val="-6"/>
          <w:sz w:val="20"/>
        </w:rPr>
        <w:t> </w:t>
      </w:r>
      <w:r>
        <w:rPr>
          <w:sz w:val="20"/>
        </w:rPr>
        <w:t>their</w:t>
      </w:r>
      <w:r>
        <w:rPr>
          <w:spacing w:val="-5"/>
          <w:sz w:val="20"/>
        </w:rPr>
        <w:t> </w:t>
      </w:r>
      <w:r>
        <w:rPr>
          <w:spacing w:val="-3"/>
          <w:sz w:val="20"/>
        </w:rPr>
        <w:t>roles</w:t>
      </w:r>
    </w:p>
    <w:p>
      <w:pPr>
        <w:pStyle w:val="ListParagraph"/>
        <w:numPr>
          <w:ilvl w:val="2"/>
          <w:numId w:val="12"/>
        </w:numPr>
        <w:tabs>
          <w:tab w:pos="1595" w:val="left" w:leader="none"/>
          <w:tab w:pos="1597" w:val="left" w:leader="none"/>
        </w:tabs>
        <w:spacing w:line="259" w:lineRule="exact" w:before="47" w:after="0"/>
        <w:ind w:left="1596" w:right="0" w:hanging="397"/>
        <w:jc w:val="left"/>
        <w:rPr>
          <w:sz w:val="20"/>
        </w:rPr>
      </w:pPr>
      <w:r>
        <w:rPr>
          <w:sz w:val="20"/>
        </w:rPr>
        <w:t>accessing</w:t>
      </w:r>
      <w:r>
        <w:rPr>
          <w:spacing w:val="-6"/>
          <w:sz w:val="20"/>
        </w:rPr>
        <w:t> </w:t>
      </w:r>
      <w:r>
        <w:rPr>
          <w:sz w:val="20"/>
        </w:rPr>
        <w:t>written</w:t>
      </w:r>
      <w:r>
        <w:rPr>
          <w:spacing w:val="-6"/>
          <w:sz w:val="20"/>
        </w:rPr>
        <w:t> </w:t>
      </w:r>
      <w:r>
        <w:rPr>
          <w:sz w:val="20"/>
        </w:rPr>
        <w:t>evidence—extra</w:t>
      </w:r>
      <w:r>
        <w:rPr>
          <w:spacing w:val="-5"/>
          <w:sz w:val="20"/>
        </w:rPr>
        <w:t> </w:t>
      </w:r>
      <w:r>
        <w:rPr>
          <w:sz w:val="20"/>
        </w:rPr>
        <w:t>time</w:t>
      </w:r>
      <w:r>
        <w:rPr>
          <w:spacing w:val="-6"/>
          <w:sz w:val="20"/>
        </w:rPr>
        <w:t> </w:t>
      </w:r>
      <w:r>
        <w:rPr>
          <w:sz w:val="20"/>
        </w:rPr>
        <w:t>to</w:t>
      </w:r>
      <w:r>
        <w:rPr>
          <w:spacing w:val="-5"/>
          <w:sz w:val="20"/>
        </w:rPr>
        <w:t> </w:t>
      </w:r>
      <w:r>
        <w:rPr>
          <w:sz w:val="20"/>
        </w:rPr>
        <w:t>convert</w:t>
      </w:r>
      <w:r>
        <w:rPr>
          <w:spacing w:val="-6"/>
          <w:sz w:val="20"/>
        </w:rPr>
        <w:t> </w:t>
      </w:r>
      <w:r>
        <w:rPr>
          <w:sz w:val="20"/>
        </w:rPr>
        <w:t>and</w:t>
      </w:r>
      <w:r>
        <w:rPr>
          <w:spacing w:val="-6"/>
          <w:sz w:val="20"/>
        </w:rPr>
        <w:t> </w:t>
      </w:r>
      <w:r>
        <w:rPr>
          <w:spacing w:val="-3"/>
          <w:sz w:val="20"/>
        </w:rPr>
        <w:t>read</w:t>
      </w:r>
      <w:r>
        <w:rPr>
          <w:spacing w:val="-5"/>
          <w:sz w:val="20"/>
        </w:rPr>
        <w:t> </w:t>
      </w:r>
      <w:r>
        <w:rPr>
          <w:sz w:val="20"/>
        </w:rPr>
        <w:t>material</w:t>
      </w:r>
      <w:r>
        <w:rPr>
          <w:spacing w:val="-6"/>
          <w:sz w:val="20"/>
        </w:rPr>
        <w:t> </w:t>
      </w:r>
      <w:r>
        <w:rPr>
          <w:spacing w:val="-5"/>
          <w:sz w:val="20"/>
        </w:rPr>
        <w:t>and/or </w:t>
      </w:r>
      <w:r>
        <w:rPr>
          <w:sz w:val="20"/>
        </w:rPr>
        <w:t>to</w:t>
      </w:r>
    </w:p>
    <w:p>
      <w:pPr>
        <w:pStyle w:val="BodyText"/>
        <w:spacing w:line="259" w:lineRule="exact"/>
        <w:ind w:left="1596"/>
      </w:pPr>
      <w:r>
        <w:rPr/>
        <w:t>configure adaptive technology</w:t>
      </w:r>
    </w:p>
    <w:p>
      <w:pPr>
        <w:pStyle w:val="ListParagraph"/>
        <w:numPr>
          <w:ilvl w:val="2"/>
          <w:numId w:val="12"/>
        </w:numPr>
        <w:tabs>
          <w:tab w:pos="1595" w:val="left" w:leader="none"/>
          <w:tab w:pos="1597" w:val="left" w:leader="none"/>
        </w:tabs>
        <w:spacing w:line="206" w:lineRule="auto" w:before="80" w:after="0"/>
        <w:ind w:left="1596" w:right="1725" w:hanging="397"/>
        <w:jc w:val="left"/>
        <w:rPr>
          <w:sz w:val="20"/>
        </w:rPr>
      </w:pPr>
      <w:r>
        <w:rPr>
          <w:sz w:val="20"/>
        </w:rPr>
        <w:t>accessing</w:t>
      </w:r>
      <w:r>
        <w:rPr>
          <w:spacing w:val="-14"/>
          <w:sz w:val="20"/>
        </w:rPr>
        <w:t> </w:t>
      </w:r>
      <w:r>
        <w:rPr>
          <w:spacing w:val="-2"/>
          <w:sz w:val="20"/>
        </w:rPr>
        <w:t>physical</w:t>
      </w:r>
      <w:r>
        <w:rPr>
          <w:spacing w:val="-14"/>
          <w:sz w:val="20"/>
        </w:rPr>
        <w:t> </w:t>
      </w:r>
      <w:r>
        <w:rPr>
          <w:sz w:val="20"/>
        </w:rPr>
        <w:t>evidence—assistance</w:t>
      </w:r>
      <w:r>
        <w:rPr>
          <w:spacing w:val="-14"/>
          <w:sz w:val="20"/>
        </w:rPr>
        <w:t> </w:t>
      </w:r>
      <w:r>
        <w:rPr>
          <w:spacing w:val="-3"/>
          <w:sz w:val="20"/>
        </w:rPr>
        <w:t>from</w:t>
      </w:r>
      <w:r>
        <w:rPr>
          <w:spacing w:val="-14"/>
          <w:sz w:val="20"/>
        </w:rPr>
        <w:t> </w:t>
      </w:r>
      <w:r>
        <w:rPr>
          <w:sz w:val="20"/>
        </w:rPr>
        <w:t>a</w:t>
      </w:r>
      <w:r>
        <w:rPr>
          <w:spacing w:val="-14"/>
          <w:sz w:val="20"/>
        </w:rPr>
        <w:t> </w:t>
      </w:r>
      <w:r>
        <w:rPr>
          <w:sz w:val="20"/>
        </w:rPr>
        <w:t>court-appointed</w:t>
      </w:r>
      <w:r>
        <w:rPr>
          <w:spacing w:val="-13"/>
          <w:sz w:val="20"/>
        </w:rPr>
        <w:t> </w:t>
      </w:r>
      <w:r>
        <w:rPr>
          <w:sz w:val="20"/>
        </w:rPr>
        <w:t>support</w:t>
      </w:r>
      <w:r>
        <w:rPr>
          <w:spacing w:val="-14"/>
          <w:sz w:val="20"/>
        </w:rPr>
        <w:t> </w:t>
      </w:r>
      <w:r>
        <w:rPr>
          <w:sz w:val="20"/>
        </w:rPr>
        <w:t>person</w:t>
      </w:r>
      <w:r>
        <w:rPr>
          <w:spacing w:val="-14"/>
          <w:sz w:val="20"/>
        </w:rPr>
        <w:t> </w:t>
      </w:r>
      <w:r>
        <w:rPr>
          <w:sz w:val="20"/>
        </w:rPr>
        <w:t>to describe the</w:t>
      </w:r>
      <w:r>
        <w:rPr>
          <w:spacing w:val="-9"/>
          <w:sz w:val="20"/>
        </w:rPr>
        <w:t> </w:t>
      </w:r>
      <w:r>
        <w:rPr>
          <w:sz w:val="20"/>
        </w:rPr>
        <w:t>item</w:t>
      </w:r>
    </w:p>
    <w:p>
      <w:pPr>
        <w:pStyle w:val="ListParagraph"/>
        <w:numPr>
          <w:ilvl w:val="2"/>
          <w:numId w:val="12"/>
        </w:numPr>
        <w:tabs>
          <w:tab w:pos="1597" w:val="left" w:leader="none"/>
        </w:tabs>
        <w:spacing w:line="206" w:lineRule="auto" w:before="87" w:after="0"/>
        <w:ind w:left="1596" w:right="1451" w:hanging="397"/>
        <w:jc w:val="both"/>
        <w:rPr>
          <w:sz w:val="20"/>
        </w:rPr>
      </w:pPr>
      <w:r>
        <w:rPr>
          <w:sz w:val="20"/>
        </w:rPr>
        <w:t>accessing</w:t>
      </w:r>
      <w:r>
        <w:rPr>
          <w:spacing w:val="-16"/>
          <w:sz w:val="20"/>
        </w:rPr>
        <w:t> </w:t>
      </w:r>
      <w:r>
        <w:rPr>
          <w:sz w:val="20"/>
        </w:rPr>
        <w:t>video</w:t>
      </w:r>
      <w:r>
        <w:rPr>
          <w:spacing w:val="-16"/>
          <w:sz w:val="20"/>
        </w:rPr>
        <w:t> </w:t>
      </w:r>
      <w:r>
        <w:rPr>
          <w:sz w:val="20"/>
        </w:rPr>
        <w:t>or</w:t>
      </w:r>
      <w:r>
        <w:rPr>
          <w:spacing w:val="-16"/>
          <w:sz w:val="20"/>
        </w:rPr>
        <w:t> </w:t>
      </w:r>
      <w:r>
        <w:rPr>
          <w:sz w:val="20"/>
        </w:rPr>
        <w:t>photographic</w:t>
      </w:r>
      <w:r>
        <w:rPr>
          <w:spacing w:val="-16"/>
          <w:sz w:val="20"/>
        </w:rPr>
        <w:t> </w:t>
      </w:r>
      <w:r>
        <w:rPr>
          <w:sz w:val="20"/>
        </w:rPr>
        <w:t>evidence—assistance</w:t>
      </w:r>
      <w:r>
        <w:rPr>
          <w:spacing w:val="-16"/>
          <w:sz w:val="20"/>
        </w:rPr>
        <w:t> </w:t>
      </w:r>
      <w:r>
        <w:rPr>
          <w:spacing w:val="-3"/>
          <w:sz w:val="20"/>
        </w:rPr>
        <w:t>from</w:t>
      </w:r>
      <w:r>
        <w:rPr>
          <w:spacing w:val="-16"/>
          <w:sz w:val="20"/>
        </w:rPr>
        <w:t> </w:t>
      </w:r>
      <w:r>
        <w:rPr>
          <w:sz w:val="20"/>
        </w:rPr>
        <w:t>a</w:t>
      </w:r>
      <w:r>
        <w:rPr>
          <w:spacing w:val="-16"/>
          <w:sz w:val="20"/>
        </w:rPr>
        <w:t> </w:t>
      </w:r>
      <w:r>
        <w:rPr>
          <w:sz w:val="20"/>
        </w:rPr>
        <w:t>court-appointed</w:t>
      </w:r>
      <w:r>
        <w:rPr>
          <w:spacing w:val="-15"/>
          <w:sz w:val="20"/>
        </w:rPr>
        <w:t> </w:t>
      </w:r>
      <w:r>
        <w:rPr>
          <w:sz w:val="20"/>
        </w:rPr>
        <w:t>person to</w:t>
      </w:r>
      <w:r>
        <w:rPr>
          <w:spacing w:val="-10"/>
          <w:sz w:val="20"/>
        </w:rPr>
        <w:t> </w:t>
      </w:r>
      <w:r>
        <w:rPr>
          <w:sz w:val="20"/>
        </w:rPr>
        <w:t>describe</w:t>
      </w:r>
      <w:r>
        <w:rPr>
          <w:spacing w:val="-10"/>
          <w:sz w:val="20"/>
        </w:rPr>
        <w:t> </w:t>
      </w:r>
      <w:r>
        <w:rPr>
          <w:sz w:val="20"/>
        </w:rPr>
        <w:t>video</w:t>
      </w:r>
      <w:r>
        <w:rPr>
          <w:spacing w:val="-9"/>
          <w:sz w:val="20"/>
        </w:rPr>
        <w:t> </w:t>
      </w:r>
      <w:r>
        <w:rPr>
          <w:sz w:val="20"/>
        </w:rPr>
        <w:t>or</w:t>
      </w:r>
      <w:r>
        <w:rPr>
          <w:spacing w:val="-10"/>
          <w:sz w:val="20"/>
        </w:rPr>
        <w:t> </w:t>
      </w:r>
      <w:r>
        <w:rPr>
          <w:sz w:val="20"/>
        </w:rPr>
        <w:t>photographic</w:t>
      </w:r>
      <w:r>
        <w:rPr>
          <w:spacing w:val="-10"/>
          <w:sz w:val="20"/>
        </w:rPr>
        <w:t> </w:t>
      </w:r>
      <w:r>
        <w:rPr>
          <w:sz w:val="20"/>
        </w:rPr>
        <w:t>evidence</w:t>
      </w:r>
      <w:r>
        <w:rPr>
          <w:spacing w:val="-9"/>
          <w:sz w:val="20"/>
        </w:rPr>
        <w:t> </w:t>
      </w:r>
      <w:r>
        <w:rPr>
          <w:sz w:val="20"/>
        </w:rPr>
        <w:t>(if</w:t>
      </w:r>
      <w:r>
        <w:rPr>
          <w:spacing w:val="-10"/>
          <w:sz w:val="20"/>
        </w:rPr>
        <w:t> </w:t>
      </w:r>
      <w:r>
        <w:rPr>
          <w:sz w:val="20"/>
        </w:rPr>
        <w:t>the</w:t>
      </w:r>
      <w:r>
        <w:rPr>
          <w:spacing w:val="-9"/>
          <w:sz w:val="20"/>
        </w:rPr>
        <w:t> </w:t>
      </w:r>
      <w:r>
        <w:rPr>
          <w:sz w:val="20"/>
        </w:rPr>
        <w:t>case</w:t>
      </w:r>
      <w:r>
        <w:rPr>
          <w:spacing w:val="-10"/>
          <w:sz w:val="20"/>
        </w:rPr>
        <w:t> </w:t>
      </w:r>
      <w:r>
        <w:rPr>
          <w:sz w:val="20"/>
        </w:rPr>
        <w:t>is</w:t>
      </w:r>
      <w:r>
        <w:rPr>
          <w:spacing w:val="-10"/>
          <w:sz w:val="20"/>
        </w:rPr>
        <w:t> </w:t>
      </w:r>
      <w:r>
        <w:rPr>
          <w:sz w:val="20"/>
        </w:rPr>
        <w:t>not</w:t>
      </w:r>
      <w:r>
        <w:rPr>
          <w:spacing w:val="-9"/>
          <w:sz w:val="20"/>
        </w:rPr>
        <w:t> </w:t>
      </w:r>
      <w:r>
        <w:rPr>
          <w:sz w:val="20"/>
        </w:rPr>
        <w:t>deemed</w:t>
      </w:r>
      <w:r>
        <w:rPr>
          <w:spacing w:val="-10"/>
          <w:sz w:val="20"/>
        </w:rPr>
        <w:t> </w:t>
      </w:r>
      <w:r>
        <w:rPr>
          <w:sz w:val="20"/>
        </w:rPr>
        <w:t>to</w:t>
      </w:r>
      <w:r>
        <w:rPr>
          <w:spacing w:val="-9"/>
          <w:sz w:val="20"/>
        </w:rPr>
        <w:t> </w:t>
      </w:r>
      <w:r>
        <w:rPr>
          <w:sz w:val="20"/>
        </w:rPr>
        <w:t>be</w:t>
      </w:r>
      <w:r>
        <w:rPr>
          <w:spacing w:val="-10"/>
          <w:sz w:val="20"/>
        </w:rPr>
        <w:t> </w:t>
      </w:r>
      <w:r>
        <w:rPr>
          <w:spacing w:val="-3"/>
          <w:sz w:val="20"/>
        </w:rPr>
        <w:t>inherently </w:t>
      </w:r>
      <w:r>
        <w:rPr>
          <w:sz w:val="20"/>
        </w:rPr>
        <w:t>visual in</w:t>
      </w:r>
      <w:r>
        <w:rPr>
          <w:spacing w:val="-9"/>
          <w:sz w:val="20"/>
        </w:rPr>
        <w:t> </w:t>
      </w:r>
      <w:r>
        <w:rPr>
          <w:spacing w:val="-4"/>
          <w:sz w:val="20"/>
        </w:rPr>
        <w:t>nature)</w:t>
      </w:r>
    </w:p>
    <w:p>
      <w:pPr>
        <w:pStyle w:val="ListParagraph"/>
        <w:numPr>
          <w:ilvl w:val="2"/>
          <w:numId w:val="12"/>
        </w:numPr>
        <w:tabs>
          <w:tab w:pos="1595" w:val="left" w:leader="none"/>
          <w:tab w:pos="1597" w:val="left" w:leader="none"/>
        </w:tabs>
        <w:spacing w:line="259" w:lineRule="exact" w:before="57" w:after="0"/>
        <w:ind w:left="1596" w:right="0" w:hanging="397"/>
        <w:jc w:val="left"/>
        <w:rPr>
          <w:sz w:val="20"/>
        </w:rPr>
      </w:pPr>
      <w:r>
        <w:rPr>
          <w:sz w:val="20"/>
        </w:rPr>
        <w:t>contacting</w:t>
      </w:r>
      <w:r>
        <w:rPr>
          <w:spacing w:val="-7"/>
          <w:sz w:val="20"/>
        </w:rPr>
        <w:t> </w:t>
      </w:r>
      <w:r>
        <w:rPr>
          <w:sz w:val="20"/>
        </w:rPr>
        <w:t>the</w:t>
      </w:r>
      <w:r>
        <w:rPr>
          <w:spacing w:val="-6"/>
          <w:sz w:val="20"/>
        </w:rPr>
        <w:t> </w:t>
      </w:r>
      <w:r>
        <w:rPr>
          <w:sz w:val="20"/>
        </w:rPr>
        <w:t>judge</w:t>
      </w:r>
      <w:r>
        <w:rPr>
          <w:spacing w:val="-7"/>
          <w:sz w:val="20"/>
        </w:rPr>
        <w:t> </w:t>
      </w:r>
      <w:r>
        <w:rPr>
          <w:sz w:val="20"/>
        </w:rPr>
        <w:t>to</w:t>
      </w:r>
      <w:r>
        <w:rPr>
          <w:spacing w:val="-6"/>
          <w:sz w:val="20"/>
        </w:rPr>
        <w:t> </w:t>
      </w:r>
      <w:r>
        <w:rPr>
          <w:sz w:val="20"/>
        </w:rPr>
        <w:t>ask</w:t>
      </w:r>
      <w:r>
        <w:rPr>
          <w:spacing w:val="-6"/>
          <w:sz w:val="20"/>
        </w:rPr>
        <w:t> </w:t>
      </w:r>
      <w:r>
        <w:rPr>
          <w:sz w:val="20"/>
        </w:rPr>
        <w:t>a</w:t>
      </w:r>
      <w:r>
        <w:rPr>
          <w:spacing w:val="-7"/>
          <w:sz w:val="20"/>
        </w:rPr>
        <w:t> </w:t>
      </w:r>
      <w:r>
        <w:rPr>
          <w:sz w:val="20"/>
        </w:rPr>
        <w:t>question</w:t>
      </w:r>
      <w:r>
        <w:rPr>
          <w:spacing w:val="-6"/>
          <w:sz w:val="20"/>
        </w:rPr>
        <w:t> </w:t>
      </w:r>
      <w:r>
        <w:rPr>
          <w:sz w:val="20"/>
        </w:rPr>
        <w:t>or</w:t>
      </w:r>
      <w:r>
        <w:rPr>
          <w:spacing w:val="-6"/>
          <w:sz w:val="20"/>
        </w:rPr>
        <w:t> </w:t>
      </w:r>
      <w:r>
        <w:rPr>
          <w:sz w:val="20"/>
        </w:rPr>
        <w:t>raise</w:t>
      </w:r>
      <w:r>
        <w:rPr>
          <w:spacing w:val="-7"/>
          <w:sz w:val="20"/>
        </w:rPr>
        <w:t> </w:t>
      </w:r>
      <w:r>
        <w:rPr>
          <w:sz w:val="20"/>
        </w:rPr>
        <w:t>an</w:t>
      </w:r>
      <w:r>
        <w:rPr>
          <w:spacing w:val="-6"/>
          <w:sz w:val="20"/>
        </w:rPr>
        <w:t> </w:t>
      </w:r>
      <w:r>
        <w:rPr>
          <w:sz w:val="20"/>
        </w:rPr>
        <w:t>issue</w:t>
      </w:r>
      <w:r>
        <w:rPr>
          <w:spacing w:val="-7"/>
          <w:sz w:val="20"/>
        </w:rPr>
        <w:t> </w:t>
      </w:r>
      <w:r>
        <w:rPr>
          <w:sz w:val="20"/>
        </w:rPr>
        <w:t>or</w:t>
      </w:r>
      <w:r>
        <w:rPr>
          <w:spacing w:val="-6"/>
          <w:sz w:val="20"/>
        </w:rPr>
        <w:t> </w:t>
      </w:r>
      <w:r>
        <w:rPr>
          <w:sz w:val="20"/>
        </w:rPr>
        <w:t>seek</w:t>
      </w:r>
      <w:r>
        <w:rPr>
          <w:spacing w:val="-6"/>
          <w:sz w:val="20"/>
        </w:rPr>
        <w:t> </w:t>
      </w:r>
      <w:r>
        <w:rPr>
          <w:sz w:val="20"/>
        </w:rPr>
        <w:t>clarification—through</w:t>
      </w:r>
      <w:r>
        <w:rPr>
          <w:spacing w:val="-7"/>
          <w:sz w:val="20"/>
        </w:rPr>
        <w:t> </w:t>
      </w:r>
      <w:r>
        <w:rPr>
          <w:sz w:val="20"/>
        </w:rPr>
        <w:t>a</w:t>
      </w:r>
    </w:p>
    <w:p>
      <w:pPr>
        <w:pStyle w:val="BodyText"/>
        <w:spacing w:line="259" w:lineRule="exact"/>
        <w:ind w:left="1596"/>
      </w:pPr>
      <w:r>
        <w:rPr/>
        <w:t>court-appointed support person or jury foreman depending on the context</w:t>
      </w:r>
    </w:p>
    <w:p>
      <w:pPr>
        <w:pStyle w:val="ListParagraph"/>
        <w:numPr>
          <w:ilvl w:val="2"/>
          <w:numId w:val="12"/>
        </w:numPr>
        <w:tabs>
          <w:tab w:pos="1595" w:val="left" w:leader="none"/>
          <w:tab w:pos="1597" w:val="left" w:leader="none"/>
        </w:tabs>
        <w:spacing w:line="206" w:lineRule="auto" w:before="80" w:after="0"/>
        <w:ind w:left="1596" w:right="1487" w:hanging="397"/>
        <w:jc w:val="left"/>
        <w:rPr>
          <w:sz w:val="20"/>
        </w:rPr>
      </w:pPr>
      <w:r>
        <w:rPr>
          <w:sz w:val="20"/>
        </w:rPr>
        <w:t>making</w:t>
      </w:r>
      <w:r>
        <w:rPr>
          <w:spacing w:val="-13"/>
          <w:sz w:val="20"/>
        </w:rPr>
        <w:t> </w:t>
      </w:r>
      <w:r>
        <w:rPr>
          <w:sz w:val="20"/>
        </w:rPr>
        <w:t>notes</w:t>
      </w:r>
      <w:r>
        <w:rPr>
          <w:spacing w:val="-12"/>
          <w:sz w:val="20"/>
        </w:rPr>
        <w:t> </w:t>
      </w:r>
      <w:r>
        <w:rPr>
          <w:sz w:val="20"/>
        </w:rPr>
        <w:t>of</w:t>
      </w:r>
      <w:r>
        <w:rPr>
          <w:spacing w:val="-12"/>
          <w:sz w:val="20"/>
        </w:rPr>
        <w:t> </w:t>
      </w:r>
      <w:r>
        <w:rPr>
          <w:sz w:val="20"/>
        </w:rPr>
        <w:t>the</w:t>
      </w:r>
      <w:r>
        <w:rPr>
          <w:spacing w:val="-13"/>
          <w:sz w:val="20"/>
        </w:rPr>
        <w:t> </w:t>
      </w:r>
      <w:r>
        <w:rPr>
          <w:sz w:val="20"/>
        </w:rPr>
        <w:t>evidence—permission</w:t>
      </w:r>
      <w:r>
        <w:rPr>
          <w:spacing w:val="-12"/>
          <w:sz w:val="20"/>
        </w:rPr>
        <w:t> </w:t>
      </w:r>
      <w:r>
        <w:rPr>
          <w:sz w:val="20"/>
        </w:rPr>
        <w:t>to</w:t>
      </w:r>
      <w:r>
        <w:rPr>
          <w:spacing w:val="-12"/>
          <w:sz w:val="20"/>
        </w:rPr>
        <w:t> </w:t>
      </w:r>
      <w:r>
        <w:rPr>
          <w:sz w:val="20"/>
        </w:rPr>
        <w:t>use</w:t>
      </w:r>
      <w:r>
        <w:rPr>
          <w:spacing w:val="-13"/>
          <w:sz w:val="20"/>
        </w:rPr>
        <w:t> </w:t>
      </w:r>
      <w:r>
        <w:rPr>
          <w:sz w:val="20"/>
        </w:rPr>
        <w:t>equipment</w:t>
      </w:r>
      <w:r>
        <w:rPr>
          <w:spacing w:val="-12"/>
          <w:sz w:val="20"/>
        </w:rPr>
        <w:t> </w:t>
      </w:r>
      <w:r>
        <w:rPr>
          <w:sz w:val="20"/>
        </w:rPr>
        <w:t>such</w:t>
      </w:r>
      <w:r>
        <w:rPr>
          <w:spacing w:val="-12"/>
          <w:sz w:val="20"/>
        </w:rPr>
        <w:t> </w:t>
      </w:r>
      <w:r>
        <w:rPr>
          <w:sz w:val="20"/>
        </w:rPr>
        <w:t>as</w:t>
      </w:r>
      <w:r>
        <w:rPr>
          <w:spacing w:val="-13"/>
          <w:sz w:val="20"/>
        </w:rPr>
        <w:t> </w:t>
      </w:r>
      <w:r>
        <w:rPr>
          <w:sz w:val="20"/>
        </w:rPr>
        <w:t>electronic</w:t>
      </w:r>
      <w:r>
        <w:rPr>
          <w:spacing w:val="-12"/>
          <w:sz w:val="20"/>
        </w:rPr>
        <w:t> </w:t>
      </w:r>
      <w:r>
        <w:rPr>
          <w:sz w:val="20"/>
        </w:rPr>
        <w:t>note- takers</w:t>
      </w:r>
      <w:r>
        <w:rPr>
          <w:spacing w:val="-13"/>
          <w:sz w:val="20"/>
        </w:rPr>
        <w:t> </w:t>
      </w:r>
      <w:r>
        <w:rPr>
          <w:sz w:val="20"/>
        </w:rPr>
        <w:t>and</w:t>
      </w:r>
      <w:r>
        <w:rPr>
          <w:spacing w:val="-12"/>
          <w:sz w:val="20"/>
        </w:rPr>
        <w:t> </w:t>
      </w:r>
      <w:r>
        <w:rPr>
          <w:sz w:val="20"/>
        </w:rPr>
        <w:t>document</w:t>
      </w:r>
      <w:r>
        <w:rPr>
          <w:spacing w:val="-12"/>
          <w:sz w:val="20"/>
        </w:rPr>
        <w:t> </w:t>
      </w:r>
      <w:r>
        <w:rPr>
          <w:sz w:val="20"/>
        </w:rPr>
        <w:t>readers.</w:t>
      </w:r>
      <w:r>
        <w:rPr>
          <w:spacing w:val="-12"/>
          <w:sz w:val="20"/>
        </w:rPr>
        <w:t> </w:t>
      </w:r>
      <w:r>
        <w:rPr>
          <w:sz w:val="20"/>
        </w:rPr>
        <w:t>Court</w:t>
      </w:r>
      <w:r>
        <w:rPr>
          <w:spacing w:val="-13"/>
          <w:sz w:val="20"/>
        </w:rPr>
        <w:t> </w:t>
      </w:r>
      <w:r>
        <w:rPr>
          <w:spacing w:val="-3"/>
          <w:sz w:val="20"/>
        </w:rPr>
        <w:t>would</w:t>
      </w:r>
      <w:r>
        <w:rPr>
          <w:spacing w:val="-12"/>
          <w:sz w:val="20"/>
        </w:rPr>
        <w:t> </w:t>
      </w:r>
      <w:r>
        <w:rPr>
          <w:sz w:val="20"/>
        </w:rPr>
        <w:t>arrange</w:t>
      </w:r>
      <w:r>
        <w:rPr>
          <w:spacing w:val="-12"/>
          <w:sz w:val="20"/>
        </w:rPr>
        <w:t> </w:t>
      </w:r>
      <w:r>
        <w:rPr>
          <w:sz w:val="20"/>
        </w:rPr>
        <w:t>charging</w:t>
      </w:r>
      <w:r>
        <w:rPr>
          <w:spacing w:val="-12"/>
          <w:sz w:val="20"/>
        </w:rPr>
        <w:t> </w:t>
      </w:r>
      <w:r>
        <w:rPr>
          <w:sz w:val="20"/>
        </w:rPr>
        <w:t>points,</w:t>
      </w:r>
      <w:r>
        <w:rPr>
          <w:spacing w:val="-12"/>
          <w:sz w:val="20"/>
        </w:rPr>
        <w:t> </w:t>
      </w:r>
      <w:r>
        <w:rPr>
          <w:sz w:val="20"/>
        </w:rPr>
        <w:t>Wi-Fi</w:t>
      </w:r>
      <w:r>
        <w:rPr>
          <w:spacing w:val="-13"/>
          <w:sz w:val="20"/>
        </w:rPr>
        <w:t> </w:t>
      </w:r>
      <w:r>
        <w:rPr>
          <w:sz w:val="20"/>
        </w:rPr>
        <w:t>access,</w:t>
      </w:r>
      <w:r>
        <w:rPr>
          <w:spacing w:val="-12"/>
          <w:sz w:val="20"/>
        </w:rPr>
        <w:t> </w:t>
      </w:r>
      <w:r>
        <w:rPr>
          <w:sz w:val="20"/>
        </w:rPr>
        <w:t>and </w:t>
      </w:r>
      <w:r>
        <w:rPr>
          <w:spacing w:val="-3"/>
          <w:sz w:val="20"/>
        </w:rPr>
        <w:t>any </w:t>
      </w:r>
      <w:r>
        <w:rPr>
          <w:sz w:val="20"/>
        </w:rPr>
        <w:t>other facilities </w:t>
      </w:r>
      <w:r>
        <w:rPr>
          <w:spacing w:val="-3"/>
          <w:sz w:val="20"/>
        </w:rPr>
        <w:t>required </w:t>
      </w:r>
      <w:r>
        <w:rPr>
          <w:sz w:val="20"/>
        </w:rPr>
        <w:t>to access documents. Assistance </w:t>
      </w:r>
      <w:r>
        <w:rPr>
          <w:spacing w:val="-3"/>
          <w:sz w:val="20"/>
        </w:rPr>
        <w:t>from </w:t>
      </w:r>
      <w:r>
        <w:rPr>
          <w:sz w:val="20"/>
        </w:rPr>
        <w:t>a court-appointed support person to </w:t>
      </w:r>
      <w:r>
        <w:rPr>
          <w:spacing w:val="-3"/>
          <w:sz w:val="20"/>
        </w:rPr>
        <w:t>read any </w:t>
      </w:r>
      <w:r>
        <w:rPr>
          <w:sz w:val="20"/>
        </w:rPr>
        <w:t>information that is </w:t>
      </w:r>
      <w:r>
        <w:rPr>
          <w:spacing w:val="-3"/>
          <w:sz w:val="20"/>
        </w:rPr>
        <w:t>present </w:t>
      </w:r>
      <w:r>
        <w:rPr>
          <w:sz w:val="20"/>
        </w:rPr>
        <w:t>during jury deliberations in a written or inaccessible</w:t>
      </w:r>
      <w:r>
        <w:rPr>
          <w:spacing w:val="-14"/>
          <w:sz w:val="20"/>
        </w:rPr>
        <w:t> </w:t>
      </w:r>
      <w:r>
        <w:rPr>
          <w:sz w:val="20"/>
        </w:rPr>
        <w:t>form</w:t>
      </w:r>
    </w:p>
    <w:p>
      <w:pPr>
        <w:pStyle w:val="ListParagraph"/>
        <w:numPr>
          <w:ilvl w:val="2"/>
          <w:numId w:val="12"/>
        </w:numPr>
        <w:tabs>
          <w:tab w:pos="1595" w:val="left" w:leader="none"/>
          <w:tab w:pos="1597" w:val="left" w:leader="none"/>
        </w:tabs>
        <w:spacing w:line="206" w:lineRule="auto" w:before="91" w:after="0"/>
        <w:ind w:left="1596" w:right="1800" w:hanging="397"/>
        <w:jc w:val="left"/>
        <w:rPr>
          <w:sz w:val="20"/>
        </w:rPr>
      </w:pPr>
      <w:r>
        <w:rPr>
          <w:sz w:val="20"/>
        </w:rPr>
        <w:t>access</w:t>
      </w:r>
      <w:r>
        <w:rPr>
          <w:spacing w:val="-14"/>
          <w:sz w:val="20"/>
        </w:rPr>
        <w:t> </w:t>
      </w:r>
      <w:r>
        <w:rPr>
          <w:sz w:val="20"/>
        </w:rPr>
        <w:t>to</w:t>
      </w:r>
      <w:r>
        <w:rPr>
          <w:spacing w:val="-13"/>
          <w:sz w:val="20"/>
        </w:rPr>
        <w:t> </w:t>
      </w:r>
      <w:r>
        <w:rPr>
          <w:sz w:val="20"/>
        </w:rPr>
        <w:t>and</w:t>
      </w:r>
      <w:r>
        <w:rPr>
          <w:spacing w:val="-14"/>
          <w:sz w:val="20"/>
        </w:rPr>
        <w:t> </w:t>
      </w:r>
      <w:r>
        <w:rPr>
          <w:sz w:val="20"/>
        </w:rPr>
        <w:t>accessible</w:t>
      </w:r>
      <w:r>
        <w:rPr>
          <w:spacing w:val="-13"/>
          <w:sz w:val="20"/>
        </w:rPr>
        <w:t> </w:t>
      </w:r>
      <w:r>
        <w:rPr>
          <w:sz w:val="20"/>
        </w:rPr>
        <w:t>transcript</w:t>
      </w:r>
      <w:r>
        <w:rPr>
          <w:spacing w:val="-14"/>
          <w:sz w:val="20"/>
        </w:rPr>
        <w:t> </w:t>
      </w:r>
      <w:r>
        <w:rPr>
          <w:sz w:val="20"/>
        </w:rPr>
        <w:t>of</w:t>
      </w:r>
      <w:r>
        <w:rPr>
          <w:spacing w:val="-13"/>
          <w:sz w:val="20"/>
        </w:rPr>
        <w:t> </w:t>
      </w:r>
      <w:r>
        <w:rPr>
          <w:sz w:val="20"/>
        </w:rPr>
        <w:t>proceedings—court</w:t>
      </w:r>
      <w:r>
        <w:rPr>
          <w:spacing w:val="-13"/>
          <w:sz w:val="20"/>
        </w:rPr>
        <w:t> </w:t>
      </w:r>
      <w:r>
        <w:rPr>
          <w:sz w:val="20"/>
        </w:rPr>
        <w:t>guidelines</w:t>
      </w:r>
      <w:r>
        <w:rPr>
          <w:spacing w:val="-14"/>
          <w:sz w:val="20"/>
        </w:rPr>
        <w:t> </w:t>
      </w:r>
      <w:r>
        <w:rPr>
          <w:sz w:val="20"/>
        </w:rPr>
        <w:t>about</w:t>
      </w:r>
      <w:r>
        <w:rPr>
          <w:spacing w:val="-13"/>
          <w:sz w:val="20"/>
        </w:rPr>
        <w:t> </w:t>
      </w:r>
      <w:r>
        <w:rPr>
          <w:spacing w:val="-3"/>
          <w:sz w:val="20"/>
        </w:rPr>
        <w:t>how</w:t>
      </w:r>
      <w:r>
        <w:rPr>
          <w:spacing w:val="-14"/>
          <w:sz w:val="20"/>
        </w:rPr>
        <w:t> </w:t>
      </w:r>
      <w:r>
        <w:rPr>
          <w:sz w:val="20"/>
        </w:rPr>
        <w:t>to </w:t>
      </w:r>
      <w:r>
        <w:rPr>
          <w:spacing w:val="-3"/>
          <w:sz w:val="20"/>
        </w:rPr>
        <w:t>make </w:t>
      </w:r>
      <w:r>
        <w:rPr>
          <w:sz w:val="20"/>
        </w:rPr>
        <w:t>transcript accessible and </w:t>
      </w:r>
      <w:r>
        <w:rPr>
          <w:spacing w:val="-3"/>
          <w:sz w:val="20"/>
        </w:rPr>
        <w:t>navigable</w:t>
      </w:r>
      <w:r>
        <w:rPr>
          <w:spacing w:val="-20"/>
          <w:sz w:val="20"/>
        </w:rPr>
        <w:t> </w:t>
      </w:r>
      <w:r>
        <w:rPr>
          <w:sz w:val="20"/>
        </w:rPr>
        <w:t>transcripts.</w:t>
      </w:r>
      <w:r>
        <w:rPr>
          <w:position w:val="7"/>
          <w:sz w:val="11"/>
        </w:rPr>
        <w:t>22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1"/>
        </w:rPr>
      </w:pPr>
      <w:r>
        <w:rPr/>
        <w:pict>
          <v:line style="position:absolute;mso-position-horizontal-relative:page;mso-position-vertical-relative:paragraph;z-index:7880;mso-wrap-distance-left:0;mso-wrap-distance-right:0" from="79.370102pt,10.5384pt" to="515.905102pt,10.5384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96"/>
        </w:numPr>
        <w:tabs>
          <w:tab w:pos="1760" w:val="left" w:leader="none"/>
          <w:tab w:pos="1762" w:val="left" w:leader="none"/>
        </w:tabs>
        <w:spacing w:line="213" w:lineRule="auto" w:before="38" w:after="0"/>
        <w:ind w:left="1761" w:right="0" w:hanging="794"/>
        <w:jc w:val="left"/>
        <w:rPr>
          <w:sz w:val="13"/>
        </w:rPr>
      </w:pPr>
      <w:r>
        <w:rPr>
          <w:sz w:val="13"/>
        </w:rPr>
        <w:t>The </w:t>
      </w:r>
      <w:r>
        <w:rPr>
          <w:i/>
          <w:sz w:val="13"/>
        </w:rPr>
        <w:t>Evidence Act 2008 </w:t>
      </w:r>
      <w:r>
        <w:rPr>
          <w:spacing w:val="2"/>
          <w:sz w:val="13"/>
        </w:rPr>
        <w:t>(Vic) </w:t>
      </w:r>
      <w:r>
        <w:rPr>
          <w:sz w:val="13"/>
        </w:rPr>
        <w:t>s 53 provides that a ‘ judge may, on </w:t>
      </w:r>
      <w:r>
        <w:rPr>
          <w:spacing w:val="2"/>
          <w:sz w:val="13"/>
        </w:rPr>
        <w:t>application, </w:t>
      </w:r>
      <w:r>
        <w:rPr>
          <w:sz w:val="13"/>
        </w:rPr>
        <w:t>order that a </w:t>
      </w:r>
      <w:r>
        <w:rPr>
          <w:spacing w:val="2"/>
          <w:sz w:val="13"/>
        </w:rPr>
        <w:t>demonstration, </w:t>
      </w:r>
      <w:r>
        <w:rPr>
          <w:sz w:val="13"/>
        </w:rPr>
        <w:t>experiment or </w:t>
      </w:r>
      <w:r>
        <w:rPr>
          <w:spacing w:val="2"/>
          <w:sz w:val="13"/>
        </w:rPr>
        <w:t>inspection </w:t>
      </w:r>
      <w:r>
        <w:rPr>
          <w:sz w:val="13"/>
        </w:rPr>
        <w:t>be</w:t>
      </w:r>
      <w:r>
        <w:rPr>
          <w:spacing w:val="3"/>
          <w:sz w:val="13"/>
        </w:rPr>
        <w:t> </w:t>
      </w:r>
      <w:r>
        <w:rPr>
          <w:sz w:val="13"/>
        </w:rPr>
        <w:t>held’.</w:t>
      </w:r>
      <w:r>
        <w:rPr>
          <w:spacing w:val="3"/>
          <w:sz w:val="13"/>
        </w:rPr>
        <w:t> </w:t>
      </w:r>
      <w:r>
        <w:rPr>
          <w:sz w:val="13"/>
        </w:rPr>
        <w:t>This</w:t>
      </w:r>
      <w:r>
        <w:rPr>
          <w:spacing w:val="4"/>
          <w:sz w:val="13"/>
        </w:rPr>
        <w:t> </w:t>
      </w:r>
      <w:r>
        <w:rPr>
          <w:sz w:val="13"/>
        </w:rPr>
        <w:t>is</w:t>
      </w:r>
      <w:r>
        <w:rPr>
          <w:spacing w:val="3"/>
          <w:sz w:val="13"/>
        </w:rPr>
        <w:t> </w:t>
      </w:r>
      <w:r>
        <w:rPr>
          <w:sz w:val="13"/>
        </w:rPr>
        <w:t>known</w:t>
      </w:r>
      <w:r>
        <w:rPr>
          <w:spacing w:val="4"/>
          <w:sz w:val="13"/>
        </w:rPr>
        <w:t> </w:t>
      </w:r>
      <w:r>
        <w:rPr>
          <w:sz w:val="13"/>
        </w:rPr>
        <w:t>as</w:t>
      </w:r>
      <w:r>
        <w:rPr>
          <w:spacing w:val="3"/>
          <w:sz w:val="13"/>
        </w:rPr>
        <w:t> </w:t>
      </w:r>
      <w:r>
        <w:rPr>
          <w:sz w:val="13"/>
        </w:rPr>
        <w:t>a</w:t>
      </w:r>
      <w:r>
        <w:rPr>
          <w:spacing w:val="3"/>
          <w:sz w:val="13"/>
        </w:rPr>
        <w:t> </w:t>
      </w:r>
      <w:r>
        <w:rPr>
          <w:sz w:val="13"/>
        </w:rPr>
        <w:t>‘view’.</w:t>
      </w:r>
      <w:r>
        <w:rPr>
          <w:spacing w:val="4"/>
          <w:sz w:val="13"/>
        </w:rPr>
        <w:t> </w:t>
      </w:r>
      <w:r>
        <w:rPr>
          <w:sz w:val="13"/>
        </w:rPr>
        <w:t>The</w:t>
      </w:r>
      <w:r>
        <w:rPr>
          <w:spacing w:val="3"/>
          <w:sz w:val="13"/>
        </w:rPr>
        <w:t> </w:t>
      </w:r>
      <w:r>
        <w:rPr>
          <w:i/>
          <w:sz w:val="13"/>
        </w:rPr>
        <w:t>Juries</w:t>
      </w:r>
      <w:r>
        <w:rPr>
          <w:i/>
          <w:spacing w:val="4"/>
          <w:sz w:val="13"/>
        </w:rPr>
        <w:t> </w:t>
      </w:r>
      <w:r>
        <w:rPr>
          <w:i/>
          <w:sz w:val="13"/>
        </w:rPr>
        <w:t>Act</w:t>
      </w:r>
      <w:r>
        <w:rPr>
          <w:i/>
          <w:spacing w:val="3"/>
          <w:sz w:val="13"/>
        </w:rPr>
        <w:t> </w:t>
      </w:r>
      <w:r>
        <w:rPr>
          <w:i/>
          <w:sz w:val="13"/>
        </w:rPr>
        <w:t>2000</w:t>
      </w:r>
      <w:r>
        <w:rPr>
          <w:i/>
          <w:spacing w:val="3"/>
          <w:sz w:val="13"/>
        </w:rPr>
        <w:t> </w:t>
      </w:r>
      <w:r>
        <w:rPr>
          <w:spacing w:val="2"/>
          <w:sz w:val="13"/>
        </w:rPr>
        <w:t>(Vic)</w:t>
      </w:r>
      <w:r>
        <w:rPr>
          <w:spacing w:val="4"/>
          <w:sz w:val="13"/>
        </w:rPr>
        <w:t> </w:t>
      </w:r>
      <w:r>
        <w:rPr>
          <w:sz w:val="13"/>
        </w:rPr>
        <w:t>s</w:t>
      </w:r>
      <w:r>
        <w:rPr>
          <w:spacing w:val="3"/>
          <w:sz w:val="13"/>
        </w:rPr>
        <w:t> </w:t>
      </w:r>
      <w:r>
        <w:rPr>
          <w:sz w:val="13"/>
        </w:rPr>
        <w:t>45</w:t>
      </w:r>
      <w:r>
        <w:rPr>
          <w:spacing w:val="3"/>
          <w:sz w:val="13"/>
        </w:rPr>
        <w:t> </w:t>
      </w:r>
      <w:r>
        <w:rPr>
          <w:spacing w:val="2"/>
          <w:sz w:val="13"/>
        </w:rPr>
        <w:t>also</w:t>
      </w:r>
      <w:r>
        <w:rPr>
          <w:spacing w:val="4"/>
          <w:sz w:val="13"/>
        </w:rPr>
        <w:t> </w:t>
      </w:r>
      <w:r>
        <w:rPr>
          <w:sz w:val="13"/>
        </w:rPr>
        <w:t>provides</w:t>
      </w:r>
      <w:r>
        <w:rPr>
          <w:spacing w:val="3"/>
          <w:sz w:val="13"/>
        </w:rPr>
        <w:t> </w:t>
      </w:r>
      <w:r>
        <w:rPr>
          <w:sz w:val="13"/>
        </w:rPr>
        <w:t>that:</w:t>
      </w:r>
      <w:r>
        <w:rPr>
          <w:spacing w:val="4"/>
          <w:sz w:val="13"/>
        </w:rPr>
        <w:t> </w:t>
      </w:r>
      <w:r>
        <w:rPr>
          <w:sz w:val="13"/>
        </w:rPr>
        <w:t>‘If,</w:t>
      </w:r>
      <w:r>
        <w:rPr>
          <w:spacing w:val="3"/>
          <w:sz w:val="13"/>
        </w:rPr>
        <w:t> </w:t>
      </w:r>
      <w:r>
        <w:rPr>
          <w:sz w:val="13"/>
        </w:rPr>
        <w:t>during</w:t>
      </w:r>
      <w:r>
        <w:rPr>
          <w:spacing w:val="4"/>
          <w:sz w:val="13"/>
        </w:rPr>
        <w:t> </w:t>
      </w:r>
      <w:r>
        <w:rPr>
          <w:sz w:val="13"/>
        </w:rPr>
        <w:t>a</w:t>
      </w:r>
      <w:r>
        <w:rPr>
          <w:spacing w:val="3"/>
          <w:sz w:val="13"/>
        </w:rPr>
        <w:t> </w:t>
      </w:r>
      <w:r>
        <w:rPr>
          <w:sz w:val="13"/>
        </w:rPr>
        <w:t>civil</w:t>
      </w:r>
      <w:r>
        <w:rPr>
          <w:spacing w:val="3"/>
          <w:sz w:val="13"/>
        </w:rPr>
        <w:t> </w:t>
      </w:r>
      <w:r>
        <w:rPr>
          <w:spacing w:val="2"/>
          <w:sz w:val="13"/>
        </w:rPr>
        <w:t>trial,</w:t>
      </w:r>
      <w:r>
        <w:rPr>
          <w:spacing w:val="4"/>
          <w:sz w:val="13"/>
        </w:rPr>
        <w:t> </w:t>
      </w:r>
      <w:r>
        <w:rPr>
          <w:sz w:val="13"/>
        </w:rPr>
        <w:t>the</w:t>
      </w:r>
      <w:r>
        <w:rPr>
          <w:spacing w:val="3"/>
          <w:sz w:val="13"/>
        </w:rPr>
        <w:t> </w:t>
      </w:r>
      <w:r>
        <w:rPr>
          <w:sz w:val="13"/>
        </w:rPr>
        <w:t>judge</w:t>
      </w:r>
      <w:r>
        <w:rPr>
          <w:spacing w:val="4"/>
          <w:sz w:val="13"/>
        </w:rPr>
        <w:t> </w:t>
      </w:r>
      <w:r>
        <w:rPr>
          <w:sz w:val="13"/>
        </w:rPr>
        <w:t>considers</w:t>
      </w:r>
    </w:p>
    <w:p>
      <w:pPr>
        <w:spacing w:line="213" w:lineRule="auto" w:before="0"/>
        <w:ind w:left="1760" w:right="93" w:firstLine="0"/>
        <w:jc w:val="left"/>
        <w:rPr>
          <w:sz w:val="13"/>
        </w:rPr>
      </w:pPr>
      <w:r>
        <w:rPr>
          <w:sz w:val="13"/>
        </w:rPr>
        <w:t>it desirable for the jury to view a particular place or object, the judge may order a view’. See also ‘Jury Trial and Verdict’, </w:t>
      </w:r>
      <w:r>
        <w:rPr>
          <w:i/>
          <w:sz w:val="13"/>
        </w:rPr>
        <w:t>NSW </w:t>
      </w:r>
      <w:r>
        <w:rPr>
          <w:i/>
          <w:sz w:val="13"/>
        </w:rPr>
        <w:t>Government, Communities &amp; Justice </w:t>
      </w:r>
      <w:r>
        <w:rPr>
          <w:sz w:val="13"/>
        </w:rPr>
        <w:t>(Web Page, 29 June 2020) &lt;</w:t>
      </w:r>
      <w:hyperlink r:id="rId200">
        <w:r>
          <w:rPr>
            <w:sz w:val="13"/>
          </w:rPr>
          <w:t>https://courts.nsw.gov.au/courts-and-tribunals/for-jurors/for-</w:t>
        </w:r>
      </w:hyperlink>
      <w:r>
        <w:rPr>
          <w:sz w:val="13"/>
        </w:rPr>
        <w:t> </w:t>
      </w:r>
      <w:hyperlink r:id="rId200">
        <w:r>
          <w:rPr>
            <w:sz w:val="13"/>
          </w:rPr>
          <w:t>individuals-/jury-trial-verdict.html</w:t>
        </w:r>
      </w:hyperlink>
      <w:r>
        <w:rPr>
          <w:sz w:val="13"/>
        </w:rPr>
        <w:t>&gt;.</w:t>
      </w:r>
    </w:p>
    <w:p>
      <w:pPr>
        <w:pStyle w:val="ListParagraph"/>
        <w:numPr>
          <w:ilvl w:val="0"/>
          <w:numId w:val="96"/>
        </w:numPr>
        <w:tabs>
          <w:tab w:pos="1760" w:val="left" w:leader="none"/>
          <w:tab w:pos="1762" w:val="left" w:leader="none"/>
        </w:tabs>
        <w:spacing w:line="162" w:lineRule="exact" w:before="0" w:after="0"/>
        <w:ind w:left="1761" w:right="0" w:hanging="794"/>
        <w:jc w:val="left"/>
        <w:rPr>
          <w:sz w:val="13"/>
        </w:rPr>
      </w:pPr>
      <w:r>
        <w:rPr>
          <w:sz w:val="13"/>
        </w:rPr>
        <w:t>See </w:t>
      </w:r>
      <w:r>
        <w:rPr>
          <w:spacing w:val="2"/>
          <w:sz w:val="13"/>
        </w:rPr>
        <w:t>Submission </w:t>
      </w:r>
      <w:r>
        <w:rPr>
          <w:sz w:val="13"/>
        </w:rPr>
        <w:t>10 </w:t>
      </w:r>
      <w:r>
        <w:rPr>
          <w:spacing w:val="2"/>
          <w:sz w:val="13"/>
        </w:rPr>
        <w:t>(Vision </w:t>
      </w:r>
      <w:r>
        <w:rPr>
          <w:sz w:val="13"/>
        </w:rPr>
        <w:t>Australia)</w:t>
      </w:r>
      <w:r>
        <w:rPr>
          <w:spacing w:val="-3"/>
          <w:sz w:val="13"/>
        </w:rPr>
        <w:t> </w:t>
      </w:r>
      <w:r>
        <w:rPr>
          <w:spacing w:val="2"/>
          <w:sz w:val="13"/>
        </w:rPr>
        <w:t>Appendix.</w:t>
      </w:r>
    </w:p>
    <w:p>
      <w:pPr>
        <w:pStyle w:val="BodyText"/>
        <w:rPr>
          <w:sz w:val="28"/>
        </w:rPr>
      </w:pPr>
      <w:r>
        <w:rPr/>
        <w:br w:type="column"/>
      </w:r>
      <w:r>
        <w:rPr>
          <w:sz w:val="28"/>
        </w:rPr>
      </w:r>
    </w:p>
    <w:p>
      <w:pPr>
        <w:pStyle w:val="BodyText"/>
        <w:rPr>
          <w:sz w:val="22"/>
        </w:rPr>
      </w:pPr>
    </w:p>
    <w:p>
      <w:pPr>
        <w:spacing w:before="0"/>
        <w:ind w:left="621" w:right="0" w:firstLine="0"/>
        <w:jc w:val="left"/>
        <w:rPr>
          <w:b/>
          <w:sz w:val="24"/>
        </w:rPr>
      </w:pPr>
      <w:r>
        <w:rPr>
          <w:b/>
          <w:color w:val="37617A"/>
          <w:sz w:val="24"/>
        </w:rPr>
        <w:t>145</w:t>
      </w:r>
    </w:p>
    <w:p>
      <w:pPr>
        <w:spacing w:after="0"/>
        <w:jc w:val="left"/>
        <w:rPr>
          <w:sz w:val="24"/>
        </w:rPr>
        <w:sectPr>
          <w:type w:val="continuous"/>
          <w:pgSz w:w="11910" w:h="16840"/>
          <w:pgMar w:top="620" w:bottom="280" w:left="620" w:right="380"/>
          <w:cols w:num="2" w:equalWidth="0">
            <w:col w:w="9636" w:space="40"/>
            <w:col w:w="1234"/>
          </w:cols>
        </w:sectPr>
      </w:pPr>
    </w:p>
    <w:p>
      <w:pPr>
        <w:pStyle w:val="BodyText"/>
        <w:rPr>
          <w:b/>
        </w:rPr>
      </w:pPr>
    </w:p>
    <w:p>
      <w:pPr>
        <w:pStyle w:val="BodyText"/>
        <w:rPr>
          <w:b/>
        </w:rPr>
      </w:pPr>
    </w:p>
    <w:p>
      <w:pPr>
        <w:pStyle w:val="BodyText"/>
        <w:rPr>
          <w:b/>
        </w:rPr>
      </w:pPr>
    </w:p>
    <w:p>
      <w:pPr>
        <w:spacing w:before="220"/>
        <w:ind w:left="967" w:right="0" w:firstLine="0"/>
        <w:jc w:val="left"/>
        <w:rPr>
          <w:b/>
          <w:sz w:val="24"/>
        </w:rPr>
      </w:pPr>
      <w:bookmarkStart w:name="_bookmark104" w:id="250"/>
      <w:bookmarkEnd w:id="250"/>
      <w:r>
        <w:rPr/>
      </w:r>
      <w:r>
        <w:rPr>
          <w:b/>
          <w:sz w:val="24"/>
        </w:rPr>
        <w:t>Support persons</w:t>
      </w:r>
    </w:p>
    <w:p>
      <w:pPr>
        <w:pStyle w:val="ListParagraph"/>
        <w:numPr>
          <w:ilvl w:val="1"/>
          <w:numId w:val="12"/>
        </w:numPr>
        <w:tabs>
          <w:tab w:pos="1761" w:val="left" w:leader="none"/>
          <w:tab w:pos="1762" w:val="left" w:leader="none"/>
        </w:tabs>
        <w:spacing w:line="206" w:lineRule="auto" w:before="127" w:after="0"/>
        <w:ind w:left="1761" w:right="1277" w:hanging="794"/>
        <w:jc w:val="left"/>
        <w:rPr>
          <w:sz w:val="20"/>
        </w:rPr>
      </w:pPr>
      <w:r>
        <w:rPr>
          <w:sz w:val="20"/>
        </w:rPr>
        <w:t>A</w:t>
      </w:r>
      <w:r>
        <w:rPr>
          <w:spacing w:val="-9"/>
          <w:sz w:val="20"/>
        </w:rPr>
        <w:t> </w:t>
      </w:r>
      <w:r>
        <w:rPr>
          <w:sz w:val="20"/>
        </w:rPr>
        <w:t>prospective</w:t>
      </w:r>
      <w:r>
        <w:rPr>
          <w:spacing w:val="-8"/>
          <w:sz w:val="20"/>
        </w:rPr>
        <w:t> </w:t>
      </w:r>
      <w:r>
        <w:rPr>
          <w:sz w:val="20"/>
        </w:rPr>
        <w:t>juror</w:t>
      </w:r>
      <w:r>
        <w:rPr>
          <w:spacing w:val="-9"/>
          <w:sz w:val="20"/>
        </w:rPr>
        <w:t> </w:t>
      </w:r>
      <w:r>
        <w:rPr>
          <w:sz w:val="20"/>
        </w:rPr>
        <w:t>who</w:t>
      </w:r>
      <w:r>
        <w:rPr>
          <w:spacing w:val="-8"/>
          <w:sz w:val="20"/>
        </w:rPr>
        <w:t> </w:t>
      </w:r>
      <w:r>
        <w:rPr>
          <w:sz w:val="20"/>
        </w:rPr>
        <w:t>is</w:t>
      </w:r>
      <w:r>
        <w:rPr>
          <w:spacing w:val="-8"/>
          <w:sz w:val="20"/>
        </w:rPr>
        <w:t> </w:t>
      </w:r>
      <w:r>
        <w:rPr>
          <w:sz w:val="20"/>
        </w:rPr>
        <w:t>blind</w:t>
      </w:r>
      <w:r>
        <w:rPr>
          <w:spacing w:val="-9"/>
          <w:sz w:val="20"/>
        </w:rPr>
        <w:t> </w:t>
      </w:r>
      <w:r>
        <w:rPr>
          <w:sz w:val="20"/>
        </w:rPr>
        <w:t>or</w:t>
      </w:r>
      <w:r>
        <w:rPr>
          <w:spacing w:val="-8"/>
          <w:sz w:val="20"/>
        </w:rPr>
        <w:t> </w:t>
      </w:r>
      <w:r>
        <w:rPr>
          <w:sz w:val="20"/>
        </w:rPr>
        <w:t>has</w:t>
      </w:r>
      <w:r>
        <w:rPr>
          <w:spacing w:val="-8"/>
          <w:sz w:val="20"/>
        </w:rPr>
        <w:t> </w:t>
      </w:r>
      <w:r>
        <w:rPr>
          <w:spacing w:val="-4"/>
          <w:sz w:val="20"/>
        </w:rPr>
        <w:t>low</w:t>
      </w:r>
      <w:r>
        <w:rPr>
          <w:spacing w:val="-9"/>
          <w:sz w:val="20"/>
        </w:rPr>
        <w:t> </w:t>
      </w:r>
      <w:r>
        <w:rPr>
          <w:sz w:val="20"/>
        </w:rPr>
        <w:t>vision</w:t>
      </w:r>
      <w:r>
        <w:rPr>
          <w:spacing w:val="-8"/>
          <w:sz w:val="20"/>
        </w:rPr>
        <w:t> </w:t>
      </w:r>
      <w:r>
        <w:rPr>
          <w:spacing w:val="-3"/>
          <w:sz w:val="20"/>
        </w:rPr>
        <w:t>may</w:t>
      </w:r>
      <w:r>
        <w:rPr>
          <w:spacing w:val="-9"/>
          <w:sz w:val="20"/>
        </w:rPr>
        <w:t> </w:t>
      </w:r>
      <w:r>
        <w:rPr>
          <w:sz w:val="20"/>
        </w:rPr>
        <w:t>need</w:t>
      </w:r>
      <w:r>
        <w:rPr>
          <w:spacing w:val="-8"/>
          <w:sz w:val="20"/>
        </w:rPr>
        <w:t> </w:t>
      </w:r>
      <w:r>
        <w:rPr>
          <w:sz w:val="20"/>
        </w:rPr>
        <w:t>the</w:t>
      </w:r>
      <w:r>
        <w:rPr>
          <w:spacing w:val="-8"/>
          <w:sz w:val="20"/>
        </w:rPr>
        <w:t> </w:t>
      </w:r>
      <w:r>
        <w:rPr>
          <w:sz w:val="20"/>
        </w:rPr>
        <w:t>assistance</w:t>
      </w:r>
      <w:r>
        <w:rPr>
          <w:spacing w:val="-9"/>
          <w:sz w:val="20"/>
        </w:rPr>
        <w:t> </w:t>
      </w:r>
      <w:r>
        <w:rPr>
          <w:sz w:val="20"/>
        </w:rPr>
        <w:t>of</w:t>
      </w:r>
      <w:r>
        <w:rPr>
          <w:spacing w:val="-8"/>
          <w:sz w:val="20"/>
        </w:rPr>
        <w:t> </w:t>
      </w:r>
      <w:r>
        <w:rPr>
          <w:sz w:val="20"/>
        </w:rPr>
        <w:t>a</w:t>
      </w:r>
      <w:r>
        <w:rPr>
          <w:spacing w:val="-8"/>
          <w:sz w:val="20"/>
        </w:rPr>
        <w:t> </w:t>
      </w:r>
      <w:r>
        <w:rPr>
          <w:sz w:val="20"/>
        </w:rPr>
        <w:t>support person to help them to serve as a </w:t>
      </w:r>
      <w:r>
        <w:rPr>
          <w:spacing w:val="-3"/>
          <w:sz w:val="20"/>
        </w:rPr>
        <w:t>juror.</w:t>
      </w:r>
      <w:r>
        <w:rPr>
          <w:spacing w:val="-3"/>
          <w:position w:val="7"/>
          <w:sz w:val="11"/>
        </w:rPr>
        <w:t>23 </w:t>
      </w:r>
      <w:r>
        <w:rPr>
          <w:sz w:val="20"/>
        </w:rPr>
        <w:t>Vision Australia identifies two </w:t>
      </w:r>
      <w:r>
        <w:rPr>
          <w:spacing w:val="-3"/>
          <w:sz w:val="20"/>
        </w:rPr>
        <w:t>roles </w:t>
      </w:r>
      <w:r>
        <w:rPr>
          <w:sz w:val="20"/>
        </w:rPr>
        <w:t>for that person:</w:t>
      </w:r>
    </w:p>
    <w:p>
      <w:pPr>
        <w:pStyle w:val="ListParagraph"/>
        <w:numPr>
          <w:ilvl w:val="2"/>
          <w:numId w:val="12"/>
        </w:numPr>
        <w:tabs>
          <w:tab w:pos="2157" w:val="left" w:leader="none"/>
          <w:tab w:pos="2158" w:val="left" w:leader="none"/>
        </w:tabs>
        <w:spacing w:line="240" w:lineRule="auto" w:before="92" w:after="0"/>
        <w:ind w:left="2157" w:right="0" w:hanging="396"/>
        <w:jc w:val="left"/>
        <w:rPr>
          <w:sz w:val="20"/>
        </w:rPr>
      </w:pPr>
      <w:r>
        <w:rPr>
          <w:sz w:val="20"/>
        </w:rPr>
        <w:t>assisting the prospective juror to </w:t>
      </w:r>
      <w:r>
        <w:rPr>
          <w:spacing w:val="-3"/>
          <w:sz w:val="20"/>
        </w:rPr>
        <w:t>navigate </w:t>
      </w:r>
      <w:r>
        <w:rPr>
          <w:sz w:val="20"/>
        </w:rPr>
        <w:t>the</w:t>
      </w:r>
      <w:r>
        <w:rPr>
          <w:spacing w:val="-31"/>
          <w:sz w:val="20"/>
        </w:rPr>
        <w:t> </w:t>
      </w:r>
      <w:r>
        <w:rPr>
          <w:sz w:val="20"/>
        </w:rPr>
        <w:t>courtroom</w:t>
      </w:r>
    </w:p>
    <w:p>
      <w:pPr>
        <w:pStyle w:val="ListParagraph"/>
        <w:numPr>
          <w:ilvl w:val="2"/>
          <w:numId w:val="12"/>
        </w:numPr>
        <w:tabs>
          <w:tab w:pos="2157" w:val="left" w:leader="none"/>
          <w:tab w:pos="2158" w:val="left" w:leader="none"/>
        </w:tabs>
        <w:spacing w:line="240" w:lineRule="auto" w:before="47" w:after="0"/>
        <w:ind w:left="2157" w:right="0" w:hanging="396"/>
        <w:jc w:val="left"/>
        <w:rPr>
          <w:sz w:val="11"/>
        </w:rPr>
      </w:pPr>
      <w:r>
        <w:rPr>
          <w:sz w:val="20"/>
        </w:rPr>
        <w:t>making evidence</w:t>
      </w:r>
      <w:r>
        <w:rPr>
          <w:spacing w:val="-9"/>
          <w:sz w:val="20"/>
        </w:rPr>
        <w:t> </w:t>
      </w:r>
      <w:r>
        <w:rPr>
          <w:sz w:val="20"/>
        </w:rPr>
        <w:t>accessible.</w:t>
      </w:r>
      <w:r>
        <w:rPr>
          <w:position w:val="7"/>
          <w:sz w:val="11"/>
        </w:rPr>
        <w:t>24</w:t>
      </w:r>
    </w:p>
    <w:p>
      <w:pPr>
        <w:pStyle w:val="ListParagraph"/>
        <w:numPr>
          <w:ilvl w:val="1"/>
          <w:numId w:val="12"/>
        </w:numPr>
        <w:tabs>
          <w:tab w:pos="1761" w:val="left" w:leader="none"/>
          <w:tab w:pos="1762" w:val="left" w:leader="none"/>
        </w:tabs>
        <w:spacing w:line="206" w:lineRule="auto" w:before="80" w:after="0"/>
        <w:ind w:left="1761" w:right="1222" w:hanging="794"/>
        <w:jc w:val="left"/>
        <w:rPr>
          <w:sz w:val="20"/>
        </w:rPr>
      </w:pPr>
      <w:r>
        <w:rPr>
          <w:sz w:val="20"/>
        </w:rPr>
        <w:t>In </w:t>
      </w:r>
      <w:r>
        <w:rPr>
          <w:spacing w:val="-2"/>
          <w:sz w:val="20"/>
        </w:rPr>
        <w:t>Chapter </w:t>
      </w:r>
      <w:r>
        <w:rPr>
          <w:sz w:val="20"/>
        </w:rPr>
        <w:t>15 the Commission recommends a new </w:t>
      </w:r>
      <w:r>
        <w:rPr>
          <w:spacing w:val="-3"/>
          <w:sz w:val="20"/>
        </w:rPr>
        <w:t>role </w:t>
      </w:r>
      <w:r>
        <w:rPr>
          <w:sz w:val="20"/>
        </w:rPr>
        <w:t>for an accessibility officer to help a prospective juror </w:t>
      </w:r>
      <w:r>
        <w:rPr>
          <w:spacing w:val="-3"/>
          <w:sz w:val="20"/>
        </w:rPr>
        <w:t>navigate </w:t>
      </w:r>
      <w:r>
        <w:rPr>
          <w:sz w:val="20"/>
        </w:rPr>
        <w:t>the court building during the jury selection process and</w:t>
      </w:r>
      <w:r>
        <w:rPr>
          <w:spacing w:val="-9"/>
          <w:sz w:val="20"/>
        </w:rPr>
        <w:t> </w:t>
      </w:r>
      <w:r>
        <w:rPr>
          <w:sz w:val="20"/>
        </w:rPr>
        <w:t>the</w:t>
      </w:r>
      <w:r>
        <w:rPr>
          <w:spacing w:val="-9"/>
          <w:sz w:val="20"/>
        </w:rPr>
        <w:t> </w:t>
      </w:r>
      <w:r>
        <w:rPr>
          <w:sz w:val="20"/>
        </w:rPr>
        <w:t>trial.</w:t>
      </w:r>
      <w:r>
        <w:rPr>
          <w:spacing w:val="-10"/>
          <w:sz w:val="20"/>
        </w:rPr>
        <w:t> </w:t>
      </w:r>
      <w:r>
        <w:rPr>
          <w:sz w:val="20"/>
        </w:rPr>
        <w:t>The</w:t>
      </w:r>
      <w:r>
        <w:rPr>
          <w:spacing w:val="-9"/>
          <w:sz w:val="20"/>
        </w:rPr>
        <w:t> </w:t>
      </w:r>
      <w:r>
        <w:rPr>
          <w:sz w:val="20"/>
        </w:rPr>
        <w:t>Commission</w:t>
      </w:r>
      <w:r>
        <w:rPr>
          <w:spacing w:val="-9"/>
          <w:sz w:val="20"/>
        </w:rPr>
        <w:t> </w:t>
      </w:r>
      <w:r>
        <w:rPr>
          <w:sz w:val="20"/>
        </w:rPr>
        <w:t>also</w:t>
      </w:r>
      <w:r>
        <w:rPr>
          <w:spacing w:val="-9"/>
          <w:sz w:val="20"/>
        </w:rPr>
        <w:t> </w:t>
      </w:r>
      <w:r>
        <w:rPr>
          <w:sz w:val="20"/>
        </w:rPr>
        <w:t>recommends</w:t>
      </w:r>
      <w:r>
        <w:rPr>
          <w:spacing w:val="-9"/>
          <w:sz w:val="20"/>
        </w:rPr>
        <w:t> </w:t>
      </w:r>
      <w:r>
        <w:rPr>
          <w:sz w:val="20"/>
        </w:rPr>
        <w:t>that</w:t>
      </w:r>
      <w:r>
        <w:rPr>
          <w:spacing w:val="-9"/>
          <w:sz w:val="20"/>
        </w:rPr>
        <w:t> </w:t>
      </w:r>
      <w:r>
        <w:rPr>
          <w:sz w:val="20"/>
        </w:rPr>
        <w:t>the</w:t>
      </w:r>
      <w:r>
        <w:rPr>
          <w:spacing w:val="-9"/>
          <w:sz w:val="20"/>
        </w:rPr>
        <w:t> </w:t>
      </w:r>
      <w:r>
        <w:rPr>
          <w:i/>
          <w:sz w:val="20"/>
        </w:rPr>
        <w:t>Juries</w:t>
      </w:r>
      <w:r>
        <w:rPr>
          <w:i/>
          <w:spacing w:val="-8"/>
          <w:sz w:val="20"/>
        </w:rPr>
        <w:t> </w:t>
      </w:r>
      <w:r>
        <w:rPr>
          <w:i/>
          <w:sz w:val="20"/>
        </w:rPr>
        <w:t>Act</w:t>
      </w:r>
      <w:r>
        <w:rPr>
          <w:i/>
          <w:spacing w:val="-9"/>
          <w:sz w:val="20"/>
        </w:rPr>
        <w:t> </w:t>
      </w:r>
      <w:r>
        <w:rPr>
          <w:i/>
          <w:sz w:val="20"/>
        </w:rPr>
        <w:t>2000</w:t>
      </w:r>
      <w:r>
        <w:rPr>
          <w:i/>
          <w:spacing w:val="-8"/>
          <w:sz w:val="20"/>
        </w:rPr>
        <w:t> </w:t>
      </w:r>
      <w:r>
        <w:rPr>
          <w:sz w:val="20"/>
        </w:rPr>
        <w:t>(Vic)</w:t>
      </w:r>
      <w:r>
        <w:rPr>
          <w:spacing w:val="-9"/>
          <w:sz w:val="20"/>
        </w:rPr>
        <w:t> </w:t>
      </w:r>
      <w:r>
        <w:rPr>
          <w:spacing w:val="-3"/>
          <w:sz w:val="20"/>
        </w:rPr>
        <w:t>allow</w:t>
      </w:r>
      <w:r>
        <w:rPr>
          <w:spacing w:val="-9"/>
          <w:sz w:val="20"/>
        </w:rPr>
        <w:t> </w:t>
      </w:r>
      <w:r>
        <w:rPr>
          <w:sz w:val="20"/>
        </w:rPr>
        <w:t>the appointment</w:t>
      </w:r>
      <w:r>
        <w:rPr>
          <w:spacing w:val="-10"/>
          <w:sz w:val="20"/>
        </w:rPr>
        <w:t> </w:t>
      </w:r>
      <w:r>
        <w:rPr>
          <w:sz w:val="20"/>
        </w:rPr>
        <w:t>of</w:t>
      </w:r>
      <w:r>
        <w:rPr>
          <w:spacing w:val="-10"/>
          <w:sz w:val="20"/>
        </w:rPr>
        <w:t> </w:t>
      </w:r>
      <w:r>
        <w:rPr>
          <w:sz w:val="20"/>
        </w:rPr>
        <w:t>a</w:t>
      </w:r>
      <w:r>
        <w:rPr>
          <w:spacing w:val="-10"/>
          <w:sz w:val="20"/>
        </w:rPr>
        <w:t> </w:t>
      </w:r>
      <w:r>
        <w:rPr>
          <w:sz w:val="20"/>
        </w:rPr>
        <w:t>support</w:t>
      </w:r>
      <w:r>
        <w:rPr>
          <w:spacing w:val="-10"/>
          <w:sz w:val="20"/>
        </w:rPr>
        <w:t> </w:t>
      </w:r>
      <w:r>
        <w:rPr>
          <w:sz w:val="20"/>
        </w:rPr>
        <w:t>person</w:t>
      </w:r>
      <w:r>
        <w:rPr>
          <w:spacing w:val="-10"/>
          <w:sz w:val="20"/>
        </w:rPr>
        <w:t> </w:t>
      </w:r>
      <w:r>
        <w:rPr>
          <w:sz w:val="20"/>
        </w:rPr>
        <w:t>as</w:t>
      </w:r>
      <w:r>
        <w:rPr>
          <w:spacing w:val="-10"/>
          <w:sz w:val="20"/>
        </w:rPr>
        <w:t> </w:t>
      </w:r>
      <w:r>
        <w:rPr>
          <w:sz w:val="20"/>
        </w:rPr>
        <w:t>an</w:t>
      </w:r>
      <w:r>
        <w:rPr>
          <w:spacing w:val="-10"/>
          <w:sz w:val="20"/>
        </w:rPr>
        <w:t> </w:t>
      </w:r>
      <w:r>
        <w:rPr>
          <w:sz w:val="20"/>
        </w:rPr>
        <w:t>adjustment</w:t>
      </w:r>
      <w:r>
        <w:rPr>
          <w:spacing w:val="-10"/>
          <w:sz w:val="20"/>
        </w:rPr>
        <w:t> </w:t>
      </w:r>
      <w:r>
        <w:rPr>
          <w:sz w:val="20"/>
        </w:rPr>
        <w:t>for</w:t>
      </w:r>
      <w:r>
        <w:rPr>
          <w:spacing w:val="-10"/>
          <w:sz w:val="20"/>
        </w:rPr>
        <w:t> </w:t>
      </w:r>
      <w:r>
        <w:rPr>
          <w:sz w:val="20"/>
        </w:rPr>
        <w:t>a</w:t>
      </w:r>
      <w:r>
        <w:rPr>
          <w:spacing w:val="-10"/>
          <w:sz w:val="20"/>
        </w:rPr>
        <w:t> </w:t>
      </w:r>
      <w:r>
        <w:rPr>
          <w:sz w:val="20"/>
        </w:rPr>
        <w:t>potential</w:t>
      </w:r>
      <w:r>
        <w:rPr>
          <w:spacing w:val="-10"/>
          <w:sz w:val="20"/>
        </w:rPr>
        <w:t> </w:t>
      </w:r>
      <w:r>
        <w:rPr>
          <w:sz w:val="20"/>
        </w:rPr>
        <w:t>juror</w:t>
      </w:r>
      <w:r>
        <w:rPr>
          <w:spacing w:val="-10"/>
          <w:sz w:val="20"/>
        </w:rPr>
        <w:t> </w:t>
      </w:r>
      <w:r>
        <w:rPr>
          <w:sz w:val="20"/>
        </w:rPr>
        <w:t>in</w:t>
      </w:r>
      <w:r>
        <w:rPr>
          <w:spacing w:val="-10"/>
          <w:sz w:val="20"/>
        </w:rPr>
        <w:t> </w:t>
      </w:r>
      <w:r>
        <w:rPr>
          <w:sz w:val="20"/>
        </w:rPr>
        <w:t>the</w:t>
      </w:r>
      <w:r>
        <w:rPr>
          <w:spacing w:val="-10"/>
          <w:sz w:val="20"/>
        </w:rPr>
        <w:t> </w:t>
      </w:r>
      <w:r>
        <w:rPr>
          <w:sz w:val="20"/>
        </w:rPr>
        <w:t>trial</w:t>
      </w:r>
      <w:r>
        <w:rPr>
          <w:spacing w:val="-10"/>
          <w:sz w:val="20"/>
        </w:rPr>
        <w:t> </w:t>
      </w:r>
      <w:r>
        <w:rPr>
          <w:sz w:val="20"/>
        </w:rPr>
        <w:t>and</w:t>
      </w:r>
      <w:r>
        <w:rPr>
          <w:spacing w:val="-10"/>
          <w:sz w:val="20"/>
        </w:rPr>
        <w:t> </w:t>
      </w:r>
      <w:r>
        <w:rPr>
          <w:sz w:val="20"/>
        </w:rPr>
        <w:t>in the jury</w:t>
      </w:r>
      <w:r>
        <w:rPr>
          <w:spacing w:val="-9"/>
          <w:sz w:val="20"/>
        </w:rPr>
        <w:t> </w:t>
      </w:r>
      <w:r>
        <w:rPr>
          <w:sz w:val="20"/>
        </w:rPr>
        <w:t>room.</w:t>
      </w:r>
    </w:p>
    <w:p>
      <w:pPr>
        <w:spacing w:before="165"/>
        <w:ind w:left="967" w:right="0" w:firstLine="0"/>
        <w:jc w:val="left"/>
        <w:rPr>
          <w:b/>
          <w:sz w:val="24"/>
        </w:rPr>
      </w:pPr>
      <w:r>
        <w:rPr>
          <w:b/>
          <w:sz w:val="24"/>
        </w:rPr>
        <w:t>Special materials and format of evidence</w:t>
      </w:r>
    </w:p>
    <w:p>
      <w:pPr>
        <w:pStyle w:val="ListParagraph"/>
        <w:numPr>
          <w:ilvl w:val="1"/>
          <w:numId w:val="12"/>
        </w:numPr>
        <w:tabs>
          <w:tab w:pos="1761" w:val="left" w:leader="none"/>
          <w:tab w:pos="1762" w:val="left" w:leader="none"/>
        </w:tabs>
        <w:spacing w:line="206" w:lineRule="auto" w:before="127" w:after="0"/>
        <w:ind w:left="1761" w:right="1392" w:hanging="794"/>
        <w:jc w:val="left"/>
        <w:rPr>
          <w:sz w:val="11"/>
        </w:rPr>
      </w:pPr>
      <w:r>
        <w:rPr>
          <w:sz w:val="20"/>
        </w:rPr>
        <w:t>Documents </w:t>
      </w:r>
      <w:r>
        <w:rPr>
          <w:spacing w:val="-3"/>
          <w:sz w:val="20"/>
        </w:rPr>
        <w:t>may </w:t>
      </w:r>
      <w:r>
        <w:rPr>
          <w:sz w:val="20"/>
        </w:rPr>
        <w:t>be </w:t>
      </w:r>
      <w:r>
        <w:rPr>
          <w:spacing w:val="-3"/>
          <w:sz w:val="20"/>
        </w:rPr>
        <w:t>required </w:t>
      </w:r>
      <w:r>
        <w:rPr>
          <w:sz w:val="20"/>
        </w:rPr>
        <w:t>in </w:t>
      </w:r>
      <w:r>
        <w:rPr>
          <w:spacing w:val="-3"/>
          <w:sz w:val="20"/>
        </w:rPr>
        <w:t>alternative </w:t>
      </w:r>
      <w:r>
        <w:rPr>
          <w:sz w:val="20"/>
        </w:rPr>
        <w:t>or accessible formats, such as in a larger font, a plain typeface with spacing between the </w:t>
      </w:r>
      <w:r>
        <w:rPr>
          <w:spacing w:val="-3"/>
          <w:sz w:val="20"/>
        </w:rPr>
        <w:t>words, </w:t>
      </w:r>
      <w:r>
        <w:rPr>
          <w:sz w:val="20"/>
        </w:rPr>
        <w:t>or printed on tinted paper.</w:t>
      </w:r>
      <w:r>
        <w:rPr>
          <w:position w:val="7"/>
          <w:sz w:val="11"/>
        </w:rPr>
        <w:t>25</w:t>
      </w:r>
      <w:r>
        <w:rPr>
          <w:sz w:val="11"/>
        </w:rPr>
        <w:t> </w:t>
      </w:r>
      <w:r>
        <w:rPr>
          <w:sz w:val="20"/>
        </w:rPr>
        <w:t>Where</w:t>
      </w:r>
      <w:r>
        <w:rPr>
          <w:spacing w:val="-11"/>
          <w:sz w:val="20"/>
        </w:rPr>
        <w:t> </w:t>
      </w:r>
      <w:r>
        <w:rPr>
          <w:sz w:val="20"/>
        </w:rPr>
        <w:t>a</w:t>
      </w:r>
      <w:r>
        <w:rPr>
          <w:spacing w:val="-11"/>
          <w:sz w:val="20"/>
        </w:rPr>
        <w:t> </w:t>
      </w:r>
      <w:r>
        <w:rPr>
          <w:sz w:val="20"/>
        </w:rPr>
        <w:t>person</w:t>
      </w:r>
      <w:r>
        <w:rPr>
          <w:spacing w:val="-10"/>
          <w:sz w:val="20"/>
        </w:rPr>
        <w:t> </w:t>
      </w:r>
      <w:r>
        <w:rPr>
          <w:sz w:val="20"/>
        </w:rPr>
        <w:t>wishes</w:t>
      </w:r>
      <w:r>
        <w:rPr>
          <w:spacing w:val="-11"/>
          <w:sz w:val="20"/>
        </w:rPr>
        <w:t> </w:t>
      </w:r>
      <w:r>
        <w:rPr>
          <w:sz w:val="20"/>
        </w:rPr>
        <w:t>to</w:t>
      </w:r>
      <w:r>
        <w:rPr>
          <w:spacing w:val="-11"/>
          <w:sz w:val="20"/>
        </w:rPr>
        <w:t> </w:t>
      </w:r>
      <w:r>
        <w:rPr>
          <w:sz w:val="20"/>
        </w:rPr>
        <w:t>use</w:t>
      </w:r>
      <w:r>
        <w:rPr>
          <w:spacing w:val="-10"/>
          <w:sz w:val="20"/>
        </w:rPr>
        <w:t> </w:t>
      </w:r>
      <w:r>
        <w:rPr>
          <w:sz w:val="20"/>
        </w:rPr>
        <w:t>reading</w:t>
      </w:r>
      <w:r>
        <w:rPr>
          <w:spacing w:val="-11"/>
          <w:sz w:val="20"/>
        </w:rPr>
        <w:t> </w:t>
      </w:r>
      <w:r>
        <w:rPr>
          <w:sz w:val="20"/>
        </w:rPr>
        <w:t>enhancement</w:t>
      </w:r>
      <w:r>
        <w:rPr>
          <w:spacing w:val="-11"/>
          <w:sz w:val="20"/>
        </w:rPr>
        <w:t> </w:t>
      </w:r>
      <w:r>
        <w:rPr>
          <w:spacing w:val="-3"/>
          <w:sz w:val="20"/>
        </w:rPr>
        <w:t>software,</w:t>
      </w:r>
      <w:r>
        <w:rPr>
          <w:spacing w:val="-10"/>
          <w:sz w:val="20"/>
        </w:rPr>
        <w:t> </w:t>
      </w:r>
      <w:r>
        <w:rPr>
          <w:sz w:val="20"/>
        </w:rPr>
        <w:t>documents</w:t>
      </w:r>
      <w:r>
        <w:rPr>
          <w:spacing w:val="-11"/>
          <w:sz w:val="20"/>
        </w:rPr>
        <w:t> </w:t>
      </w:r>
      <w:r>
        <w:rPr>
          <w:sz w:val="20"/>
        </w:rPr>
        <w:t>should</w:t>
      </w:r>
      <w:r>
        <w:rPr>
          <w:spacing w:val="-11"/>
          <w:sz w:val="20"/>
        </w:rPr>
        <w:t> </w:t>
      </w:r>
      <w:r>
        <w:rPr>
          <w:sz w:val="20"/>
        </w:rPr>
        <w:t>be </w:t>
      </w:r>
      <w:r>
        <w:rPr>
          <w:spacing w:val="-3"/>
          <w:sz w:val="20"/>
        </w:rPr>
        <w:t>provided </w:t>
      </w:r>
      <w:r>
        <w:rPr>
          <w:sz w:val="20"/>
        </w:rPr>
        <w:t>in Microsoft </w:t>
      </w:r>
      <w:r>
        <w:rPr>
          <w:spacing w:val="-5"/>
          <w:sz w:val="20"/>
        </w:rPr>
        <w:t>Word </w:t>
      </w:r>
      <w:r>
        <w:rPr>
          <w:sz w:val="20"/>
        </w:rPr>
        <w:t>format rather than</w:t>
      </w:r>
      <w:r>
        <w:rPr>
          <w:spacing w:val="-23"/>
          <w:sz w:val="20"/>
        </w:rPr>
        <w:t> </w:t>
      </w:r>
      <w:r>
        <w:rPr>
          <w:spacing w:val="-3"/>
          <w:sz w:val="20"/>
        </w:rPr>
        <w:t>PDF.</w:t>
      </w:r>
      <w:r>
        <w:rPr>
          <w:spacing w:val="-3"/>
          <w:position w:val="7"/>
          <w:sz w:val="11"/>
        </w:rPr>
        <w:t>26</w:t>
      </w:r>
    </w:p>
    <w:p>
      <w:pPr>
        <w:pStyle w:val="ListParagraph"/>
        <w:numPr>
          <w:ilvl w:val="1"/>
          <w:numId w:val="12"/>
        </w:numPr>
        <w:tabs>
          <w:tab w:pos="1761" w:val="left" w:leader="none"/>
          <w:tab w:pos="1762" w:val="left" w:leader="none"/>
        </w:tabs>
        <w:spacing w:line="206" w:lineRule="auto" w:before="125" w:after="0"/>
        <w:ind w:left="1761" w:right="1465" w:hanging="794"/>
        <w:jc w:val="left"/>
        <w:rPr>
          <w:sz w:val="20"/>
        </w:rPr>
      </w:pPr>
      <w:r>
        <w:rPr>
          <w:sz w:val="20"/>
        </w:rPr>
        <w:t>Audio</w:t>
      </w:r>
      <w:r>
        <w:rPr>
          <w:spacing w:val="-9"/>
          <w:sz w:val="20"/>
        </w:rPr>
        <w:t> </w:t>
      </w:r>
      <w:r>
        <w:rPr>
          <w:sz w:val="20"/>
        </w:rPr>
        <w:t>copies</w:t>
      </w:r>
      <w:r>
        <w:rPr>
          <w:spacing w:val="-8"/>
          <w:sz w:val="20"/>
        </w:rPr>
        <w:t> </w:t>
      </w:r>
      <w:r>
        <w:rPr>
          <w:sz w:val="20"/>
        </w:rPr>
        <w:t>of</w:t>
      </w:r>
      <w:r>
        <w:rPr>
          <w:spacing w:val="-8"/>
          <w:sz w:val="20"/>
        </w:rPr>
        <w:t> </w:t>
      </w:r>
      <w:r>
        <w:rPr>
          <w:sz w:val="20"/>
        </w:rPr>
        <w:t>the</w:t>
      </w:r>
      <w:r>
        <w:rPr>
          <w:spacing w:val="-8"/>
          <w:sz w:val="20"/>
        </w:rPr>
        <w:t> </w:t>
      </w:r>
      <w:r>
        <w:rPr>
          <w:sz w:val="20"/>
        </w:rPr>
        <w:t>transcript</w:t>
      </w:r>
      <w:r>
        <w:rPr>
          <w:spacing w:val="-8"/>
          <w:sz w:val="20"/>
        </w:rPr>
        <w:t> </w:t>
      </w:r>
      <w:r>
        <w:rPr>
          <w:spacing w:val="-3"/>
          <w:sz w:val="20"/>
        </w:rPr>
        <w:t>may</w:t>
      </w:r>
      <w:r>
        <w:rPr>
          <w:spacing w:val="-8"/>
          <w:sz w:val="20"/>
        </w:rPr>
        <w:t> </w:t>
      </w:r>
      <w:r>
        <w:rPr>
          <w:sz w:val="20"/>
        </w:rPr>
        <w:t>also</w:t>
      </w:r>
      <w:r>
        <w:rPr>
          <w:spacing w:val="-8"/>
          <w:sz w:val="20"/>
        </w:rPr>
        <w:t> </w:t>
      </w:r>
      <w:r>
        <w:rPr>
          <w:sz w:val="20"/>
        </w:rPr>
        <w:t>be</w:t>
      </w:r>
      <w:r>
        <w:rPr>
          <w:spacing w:val="-8"/>
          <w:sz w:val="20"/>
        </w:rPr>
        <w:t> </w:t>
      </w:r>
      <w:r>
        <w:rPr>
          <w:sz w:val="20"/>
        </w:rPr>
        <w:t>useful</w:t>
      </w:r>
      <w:r>
        <w:rPr>
          <w:spacing w:val="-8"/>
          <w:sz w:val="20"/>
        </w:rPr>
        <w:t> </w:t>
      </w:r>
      <w:r>
        <w:rPr>
          <w:sz w:val="20"/>
        </w:rPr>
        <w:t>for</w:t>
      </w:r>
      <w:r>
        <w:rPr>
          <w:spacing w:val="-8"/>
          <w:sz w:val="20"/>
        </w:rPr>
        <w:t> </w:t>
      </w:r>
      <w:r>
        <w:rPr>
          <w:sz w:val="20"/>
        </w:rPr>
        <w:t>jurors</w:t>
      </w:r>
      <w:r>
        <w:rPr>
          <w:spacing w:val="-9"/>
          <w:sz w:val="20"/>
        </w:rPr>
        <w:t> </w:t>
      </w:r>
      <w:r>
        <w:rPr>
          <w:sz w:val="20"/>
        </w:rPr>
        <w:t>who</w:t>
      </w:r>
      <w:r>
        <w:rPr>
          <w:spacing w:val="-8"/>
          <w:sz w:val="20"/>
        </w:rPr>
        <w:t> </w:t>
      </w:r>
      <w:r>
        <w:rPr>
          <w:spacing w:val="-3"/>
          <w:sz w:val="20"/>
        </w:rPr>
        <w:t>are</w:t>
      </w:r>
      <w:r>
        <w:rPr>
          <w:spacing w:val="-8"/>
          <w:sz w:val="20"/>
        </w:rPr>
        <w:t> </w:t>
      </w:r>
      <w:r>
        <w:rPr>
          <w:sz w:val="20"/>
        </w:rPr>
        <w:t>blind</w:t>
      </w:r>
      <w:r>
        <w:rPr>
          <w:spacing w:val="-8"/>
          <w:sz w:val="20"/>
        </w:rPr>
        <w:t> </w:t>
      </w:r>
      <w:r>
        <w:rPr>
          <w:sz w:val="20"/>
        </w:rPr>
        <w:t>or</w:t>
      </w:r>
      <w:r>
        <w:rPr>
          <w:spacing w:val="-8"/>
          <w:sz w:val="20"/>
        </w:rPr>
        <w:t> </w:t>
      </w:r>
      <w:r>
        <w:rPr>
          <w:spacing w:val="-4"/>
          <w:sz w:val="20"/>
        </w:rPr>
        <w:t>have</w:t>
      </w:r>
      <w:r>
        <w:rPr>
          <w:spacing w:val="-8"/>
          <w:sz w:val="20"/>
        </w:rPr>
        <w:t> </w:t>
      </w:r>
      <w:r>
        <w:rPr>
          <w:spacing w:val="-4"/>
          <w:sz w:val="20"/>
        </w:rPr>
        <w:t>low </w:t>
      </w:r>
      <w:r>
        <w:rPr>
          <w:sz w:val="20"/>
        </w:rPr>
        <w:t>vision. One survey respondent</w:t>
      </w:r>
      <w:r>
        <w:rPr>
          <w:spacing w:val="-19"/>
          <w:sz w:val="20"/>
        </w:rPr>
        <w:t> </w:t>
      </w:r>
      <w:r>
        <w:rPr>
          <w:sz w:val="20"/>
        </w:rPr>
        <w:t>noted:</w:t>
      </w:r>
    </w:p>
    <w:p>
      <w:pPr>
        <w:spacing w:line="208" w:lineRule="auto" w:before="120"/>
        <w:ind w:left="2157" w:right="1215" w:firstLine="0"/>
        <w:jc w:val="left"/>
        <w:rPr>
          <w:sz w:val="11"/>
        </w:rPr>
      </w:pPr>
      <w:r>
        <w:rPr>
          <w:sz w:val="19"/>
        </w:rPr>
        <w:t>I understand that all hearings are transcribed and on many occasions I have needed an audio copy for a person I represent so that I can present the case to the best of my ability, however in this situation I have either had to pay for or request a fee waiver for the audio copy.</w:t>
      </w:r>
      <w:r>
        <w:rPr>
          <w:position w:val="6"/>
          <w:sz w:val="11"/>
        </w:rPr>
        <w:t>27</w:t>
      </w:r>
    </w:p>
    <w:p>
      <w:pPr>
        <w:pStyle w:val="ListParagraph"/>
        <w:numPr>
          <w:ilvl w:val="1"/>
          <w:numId w:val="12"/>
        </w:numPr>
        <w:tabs>
          <w:tab w:pos="1761" w:val="left" w:leader="none"/>
          <w:tab w:pos="1762" w:val="left" w:leader="none"/>
        </w:tabs>
        <w:spacing w:line="206" w:lineRule="auto" w:before="124" w:after="0"/>
        <w:ind w:left="1761" w:right="1523" w:hanging="794"/>
        <w:jc w:val="left"/>
        <w:rPr>
          <w:sz w:val="11"/>
        </w:rPr>
      </w:pPr>
      <w:r>
        <w:rPr>
          <w:sz w:val="20"/>
        </w:rPr>
        <w:t>Some</w:t>
      </w:r>
      <w:r>
        <w:rPr>
          <w:spacing w:val="-11"/>
          <w:sz w:val="20"/>
        </w:rPr>
        <w:t> </w:t>
      </w:r>
      <w:r>
        <w:rPr>
          <w:sz w:val="20"/>
        </w:rPr>
        <w:t>people</w:t>
      </w:r>
      <w:r>
        <w:rPr>
          <w:spacing w:val="-11"/>
          <w:sz w:val="20"/>
        </w:rPr>
        <w:t> </w:t>
      </w:r>
      <w:r>
        <w:rPr>
          <w:spacing w:val="-3"/>
          <w:sz w:val="20"/>
        </w:rPr>
        <w:t>may</w:t>
      </w:r>
      <w:r>
        <w:rPr>
          <w:spacing w:val="-10"/>
          <w:sz w:val="20"/>
        </w:rPr>
        <w:t> </w:t>
      </w:r>
      <w:r>
        <w:rPr>
          <w:sz w:val="20"/>
        </w:rPr>
        <w:t>find</w:t>
      </w:r>
      <w:r>
        <w:rPr>
          <w:spacing w:val="-11"/>
          <w:sz w:val="20"/>
        </w:rPr>
        <w:t> </w:t>
      </w:r>
      <w:r>
        <w:rPr>
          <w:sz w:val="20"/>
        </w:rPr>
        <w:t>it</w:t>
      </w:r>
      <w:r>
        <w:rPr>
          <w:spacing w:val="-10"/>
          <w:sz w:val="20"/>
        </w:rPr>
        <w:t> </w:t>
      </w:r>
      <w:r>
        <w:rPr>
          <w:sz w:val="20"/>
        </w:rPr>
        <w:t>useful</w:t>
      </w:r>
      <w:r>
        <w:rPr>
          <w:spacing w:val="-11"/>
          <w:sz w:val="20"/>
        </w:rPr>
        <w:t> </w:t>
      </w:r>
      <w:r>
        <w:rPr>
          <w:sz w:val="20"/>
        </w:rPr>
        <w:t>for</w:t>
      </w:r>
      <w:r>
        <w:rPr>
          <w:spacing w:val="-10"/>
          <w:sz w:val="20"/>
        </w:rPr>
        <w:t> </w:t>
      </w:r>
      <w:r>
        <w:rPr>
          <w:sz w:val="20"/>
        </w:rPr>
        <w:t>electronic</w:t>
      </w:r>
      <w:r>
        <w:rPr>
          <w:spacing w:val="-11"/>
          <w:sz w:val="20"/>
        </w:rPr>
        <w:t> </w:t>
      </w:r>
      <w:r>
        <w:rPr>
          <w:sz w:val="20"/>
        </w:rPr>
        <w:t>documents</w:t>
      </w:r>
      <w:r>
        <w:rPr>
          <w:spacing w:val="-11"/>
          <w:sz w:val="20"/>
        </w:rPr>
        <w:t> </w:t>
      </w:r>
      <w:r>
        <w:rPr>
          <w:sz w:val="20"/>
        </w:rPr>
        <w:t>to</w:t>
      </w:r>
      <w:r>
        <w:rPr>
          <w:spacing w:val="-10"/>
          <w:sz w:val="20"/>
        </w:rPr>
        <w:t> </w:t>
      </w:r>
      <w:r>
        <w:rPr>
          <w:sz w:val="20"/>
        </w:rPr>
        <w:t>be</w:t>
      </w:r>
      <w:r>
        <w:rPr>
          <w:spacing w:val="-11"/>
          <w:sz w:val="20"/>
        </w:rPr>
        <w:t> </w:t>
      </w:r>
      <w:r>
        <w:rPr>
          <w:sz w:val="20"/>
        </w:rPr>
        <w:t>displayed</w:t>
      </w:r>
      <w:r>
        <w:rPr>
          <w:spacing w:val="-10"/>
          <w:sz w:val="20"/>
        </w:rPr>
        <w:t> </w:t>
      </w:r>
      <w:r>
        <w:rPr>
          <w:sz w:val="20"/>
        </w:rPr>
        <w:t>on</w:t>
      </w:r>
      <w:r>
        <w:rPr>
          <w:spacing w:val="-11"/>
          <w:sz w:val="20"/>
        </w:rPr>
        <w:t> </w:t>
      </w:r>
      <w:r>
        <w:rPr>
          <w:sz w:val="20"/>
        </w:rPr>
        <w:t>a</w:t>
      </w:r>
      <w:r>
        <w:rPr>
          <w:spacing w:val="-10"/>
          <w:sz w:val="20"/>
        </w:rPr>
        <w:t> </w:t>
      </w:r>
      <w:r>
        <w:rPr>
          <w:sz w:val="20"/>
        </w:rPr>
        <w:t>black </w:t>
      </w:r>
      <w:r>
        <w:rPr>
          <w:spacing w:val="-3"/>
          <w:sz w:val="20"/>
        </w:rPr>
        <w:t>background </w:t>
      </w:r>
      <w:r>
        <w:rPr>
          <w:sz w:val="20"/>
        </w:rPr>
        <w:t>with white text. This is easier for a person who has </w:t>
      </w:r>
      <w:r>
        <w:rPr>
          <w:spacing w:val="-4"/>
          <w:sz w:val="20"/>
        </w:rPr>
        <w:t>low </w:t>
      </w:r>
      <w:r>
        <w:rPr>
          <w:sz w:val="20"/>
        </w:rPr>
        <w:t>vision to </w:t>
      </w:r>
      <w:r>
        <w:rPr>
          <w:spacing w:val="-3"/>
          <w:sz w:val="20"/>
        </w:rPr>
        <w:t>read </w:t>
      </w:r>
      <w:r>
        <w:rPr>
          <w:sz w:val="20"/>
        </w:rPr>
        <w:t>because</w:t>
      </w:r>
      <w:r>
        <w:rPr>
          <w:spacing w:val="-5"/>
          <w:sz w:val="20"/>
        </w:rPr>
        <w:t> </w:t>
      </w:r>
      <w:r>
        <w:rPr>
          <w:sz w:val="20"/>
        </w:rPr>
        <w:t>the</w:t>
      </w:r>
      <w:r>
        <w:rPr>
          <w:spacing w:val="-5"/>
          <w:sz w:val="20"/>
        </w:rPr>
        <w:t> </w:t>
      </w:r>
      <w:r>
        <w:rPr>
          <w:sz w:val="20"/>
        </w:rPr>
        <w:t>text</w:t>
      </w:r>
      <w:r>
        <w:rPr>
          <w:spacing w:val="-5"/>
          <w:sz w:val="20"/>
        </w:rPr>
        <w:t> </w:t>
      </w:r>
      <w:r>
        <w:rPr>
          <w:sz w:val="20"/>
        </w:rPr>
        <w:t>is</w:t>
      </w:r>
      <w:r>
        <w:rPr>
          <w:spacing w:val="-4"/>
          <w:sz w:val="20"/>
        </w:rPr>
        <w:t> </w:t>
      </w:r>
      <w:r>
        <w:rPr>
          <w:sz w:val="20"/>
        </w:rPr>
        <w:t>less</w:t>
      </w:r>
      <w:r>
        <w:rPr>
          <w:spacing w:val="-5"/>
          <w:sz w:val="20"/>
        </w:rPr>
        <w:t> </w:t>
      </w:r>
      <w:r>
        <w:rPr>
          <w:sz w:val="20"/>
        </w:rPr>
        <w:t>glary,</w:t>
      </w:r>
      <w:r>
        <w:rPr>
          <w:spacing w:val="-5"/>
          <w:sz w:val="20"/>
        </w:rPr>
        <w:t> </w:t>
      </w:r>
      <w:r>
        <w:rPr>
          <w:spacing w:val="-3"/>
          <w:sz w:val="20"/>
        </w:rPr>
        <w:t>resulting</w:t>
      </w:r>
      <w:r>
        <w:rPr>
          <w:spacing w:val="-4"/>
          <w:sz w:val="20"/>
        </w:rPr>
        <w:t> </w:t>
      </w:r>
      <w:r>
        <w:rPr>
          <w:sz w:val="20"/>
        </w:rPr>
        <w:t>in</w:t>
      </w:r>
      <w:r>
        <w:rPr>
          <w:spacing w:val="-5"/>
          <w:sz w:val="20"/>
        </w:rPr>
        <w:t> </w:t>
      </w:r>
      <w:r>
        <w:rPr>
          <w:sz w:val="20"/>
        </w:rPr>
        <w:t>less</w:t>
      </w:r>
      <w:r>
        <w:rPr>
          <w:spacing w:val="-5"/>
          <w:sz w:val="20"/>
        </w:rPr>
        <w:t> </w:t>
      </w:r>
      <w:r>
        <w:rPr>
          <w:sz w:val="20"/>
        </w:rPr>
        <w:t>fatigue.</w:t>
      </w:r>
      <w:r>
        <w:rPr>
          <w:position w:val="7"/>
          <w:sz w:val="11"/>
        </w:rPr>
        <w:t>28</w:t>
      </w:r>
    </w:p>
    <w:p>
      <w:pPr>
        <w:spacing w:before="162"/>
        <w:ind w:left="967" w:right="0" w:firstLine="0"/>
        <w:jc w:val="left"/>
        <w:rPr>
          <w:b/>
          <w:sz w:val="24"/>
        </w:rPr>
      </w:pPr>
      <w:r>
        <w:rPr>
          <w:b/>
          <w:sz w:val="24"/>
        </w:rPr>
        <w:t>Reading assistance software</w:t>
      </w:r>
    </w:p>
    <w:p>
      <w:pPr>
        <w:pStyle w:val="ListParagraph"/>
        <w:numPr>
          <w:ilvl w:val="1"/>
          <w:numId w:val="12"/>
        </w:numPr>
        <w:tabs>
          <w:tab w:pos="1761" w:val="left" w:leader="none"/>
          <w:tab w:pos="1762" w:val="left" w:leader="none"/>
        </w:tabs>
        <w:spacing w:line="206" w:lineRule="auto" w:before="128" w:after="0"/>
        <w:ind w:left="1761" w:right="1338" w:hanging="794"/>
        <w:jc w:val="left"/>
        <w:rPr>
          <w:sz w:val="20"/>
        </w:rPr>
      </w:pPr>
      <w:r>
        <w:rPr>
          <w:sz w:val="20"/>
        </w:rPr>
        <w:t>Screen-reading programs translate the written text displayed on a screen to a </w:t>
      </w:r>
      <w:r>
        <w:rPr>
          <w:spacing w:val="-3"/>
          <w:sz w:val="20"/>
        </w:rPr>
        <w:t>voice </w:t>
      </w:r>
      <w:r>
        <w:rPr>
          <w:sz w:val="20"/>
        </w:rPr>
        <w:t>synthesiser which </w:t>
      </w:r>
      <w:r>
        <w:rPr>
          <w:spacing w:val="-3"/>
          <w:sz w:val="20"/>
        </w:rPr>
        <w:t>reproduces </w:t>
      </w:r>
      <w:r>
        <w:rPr>
          <w:sz w:val="20"/>
        </w:rPr>
        <w:t>the text as speech.</w:t>
      </w:r>
      <w:r>
        <w:rPr>
          <w:position w:val="7"/>
          <w:sz w:val="11"/>
        </w:rPr>
        <w:t>29 </w:t>
      </w:r>
      <w:r>
        <w:rPr>
          <w:sz w:val="20"/>
        </w:rPr>
        <w:t>Popular screen readers include the</w:t>
      </w:r>
      <w:r>
        <w:rPr>
          <w:spacing w:val="-9"/>
          <w:sz w:val="20"/>
        </w:rPr>
        <w:t> </w:t>
      </w:r>
      <w:r>
        <w:rPr>
          <w:spacing w:val="-4"/>
          <w:sz w:val="20"/>
        </w:rPr>
        <w:t>Jaws</w:t>
      </w:r>
      <w:r>
        <w:rPr>
          <w:spacing w:val="-9"/>
          <w:sz w:val="20"/>
        </w:rPr>
        <w:t> </w:t>
      </w:r>
      <w:r>
        <w:rPr>
          <w:sz w:val="20"/>
        </w:rPr>
        <w:t>Screen</w:t>
      </w:r>
      <w:r>
        <w:rPr>
          <w:spacing w:val="-8"/>
          <w:sz w:val="20"/>
        </w:rPr>
        <w:t> </w:t>
      </w:r>
      <w:r>
        <w:rPr>
          <w:spacing w:val="-4"/>
          <w:sz w:val="20"/>
        </w:rPr>
        <w:t>Reader,</w:t>
      </w:r>
      <w:r>
        <w:rPr>
          <w:spacing w:val="-9"/>
          <w:sz w:val="20"/>
        </w:rPr>
        <w:t> </w:t>
      </w:r>
      <w:r>
        <w:rPr>
          <w:sz w:val="20"/>
        </w:rPr>
        <w:t>which</w:t>
      </w:r>
      <w:r>
        <w:rPr>
          <w:spacing w:val="-9"/>
          <w:sz w:val="20"/>
        </w:rPr>
        <w:t> </w:t>
      </w:r>
      <w:r>
        <w:rPr>
          <w:spacing w:val="-3"/>
          <w:sz w:val="20"/>
        </w:rPr>
        <w:t>provides</w:t>
      </w:r>
      <w:r>
        <w:rPr>
          <w:spacing w:val="-8"/>
          <w:sz w:val="20"/>
        </w:rPr>
        <w:t> </w:t>
      </w:r>
      <w:r>
        <w:rPr>
          <w:sz w:val="20"/>
        </w:rPr>
        <w:t>speech</w:t>
      </w:r>
      <w:r>
        <w:rPr>
          <w:spacing w:val="-9"/>
          <w:sz w:val="20"/>
        </w:rPr>
        <w:t> </w:t>
      </w:r>
      <w:r>
        <w:rPr>
          <w:sz w:val="20"/>
        </w:rPr>
        <w:t>and</w:t>
      </w:r>
      <w:r>
        <w:rPr>
          <w:spacing w:val="-9"/>
          <w:sz w:val="20"/>
        </w:rPr>
        <w:t> </w:t>
      </w:r>
      <w:r>
        <w:rPr>
          <w:sz w:val="20"/>
        </w:rPr>
        <w:t>Braille</w:t>
      </w:r>
      <w:r>
        <w:rPr>
          <w:spacing w:val="-8"/>
          <w:sz w:val="20"/>
        </w:rPr>
        <w:t> </w:t>
      </w:r>
      <w:r>
        <w:rPr>
          <w:sz w:val="20"/>
        </w:rPr>
        <w:t>output</w:t>
      </w:r>
      <w:r>
        <w:rPr>
          <w:spacing w:val="-9"/>
          <w:sz w:val="20"/>
        </w:rPr>
        <w:t> </w:t>
      </w:r>
      <w:r>
        <w:rPr>
          <w:sz w:val="20"/>
        </w:rPr>
        <w:t>for</w:t>
      </w:r>
      <w:r>
        <w:rPr>
          <w:spacing w:val="-9"/>
          <w:sz w:val="20"/>
        </w:rPr>
        <w:t> </w:t>
      </w:r>
      <w:r>
        <w:rPr>
          <w:sz w:val="20"/>
        </w:rPr>
        <w:t>most</w:t>
      </w:r>
      <w:r>
        <w:rPr>
          <w:spacing w:val="-8"/>
          <w:sz w:val="20"/>
        </w:rPr>
        <w:t> </w:t>
      </w:r>
      <w:r>
        <w:rPr>
          <w:sz w:val="20"/>
        </w:rPr>
        <w:t>computer applications.</w:t>
      </w:r>
      <w:r>
        <w:rPr>
          <w:position w:val="7"/>
          <w:sz w:val="11"/>
        </w:rPr>
        <w:t>30</w:t>
      </w:r>
      <w:r>
        <w:rPr>
          <w:spacing w:val="14"/>
          <w:position w:val="7"/>
          <w:sz w:val="11"/>
        </w:rPr>
        <w:t> </w:t>
      </w:r>
      <w:r>
        <w:rPr>
          <w:sz w:val="20"/>
        </w:rPr>
        <w:t>Another</w:t>
      </w:r>
      <w:r>
        <w:rPr>
          <w:spacing w:val="-11"/>
          <w:sz w:val="20"/>
        </w:rPr>
        <w:t> </w:t>
      </w:r>
      <w:r>
        <w:rPr>
          <w:sz w:val="20"/>
        </w:rPr>
        <w:t>is</w:t>
      </w:r>
      <w:r>
        <w:rPr>
          <w:spacing w:val="-10"/>
          <w:sz w:val="20"/>
        </w:rPr>
        <w:t> </w:t>
      </w:r>
      <w:r>
        <w:rPr>
          <w:sz w:val="20"/>
        </w:rPr>
        <w:t>Zoom</w:t>
      </w:r>
      <w:r>
        <w:rPr>
          <w:spacing w:val="-11"/>
          <w:sz w:val="20"/>
        </w:rPr>
        <w:t> </w:t>
      </w:r>
      <w:r>
        <w:rPr>
          <w:spacing w:val="-5"/>
          <w:sz w:val="20"/>
        </w:rPr>
        <w:t>Text,</w:t>
      </w:r>
      <w:r>
        <w:rPr>
          <w:spacing w:val="-10"/>
          <w:sz w:val="20"/>
        </w:rPr>
        <w:t> </w:t>
      </w:r>
      <w:r>
        <w:rPr>
          <w:sz w:val="20"/>
        </w:rPr>
        <w:t>which</w:t>
      </w:r>
      <w:r>
        <w:rPr>
          <w:spacing w:val="-11"/>
          <w:sz w:val="20"/>
        </w:rPr>
        <w:t> </w:t>
      </w:r>
      <w:r>
        <w:rPr>
          <w:sz w:val="20"/>
        </w:rPr>
        <w:t>‘enlarges</w:t>
      </w:r>
      <w:r>
        <w:rPr>
          <w:spacing w:val="-10"/>
          <w:sz w:val="20"/>
        </w:rPr>
        <w:t> </w:t>
      </w:r>
      <w:r>
        <w:rPr>
          <w:sz w:val="20"/>
        </w:rPr>
        <w:t>and</w:t>
      </w:r>
      <w:r>
        <w:rPr>
          <w:spacing w:val="-11"/>
          <w:sz w:val="20"/>
        </w:rPr>
        <w:t> </w:t>
      </w:r>
      <w:r>
        <w:rPr>
          <w:sz w:val="20"/>
        </w:rPr>
        <w:t>enhances</w:t>
      </w:r>
      <w:r>
        <w:rPr>
          <w:spacing w:val="-10"/>
          <w:sz w:val="20"/>
        </w:rPr>
        <w:t> </w:t>
      </w:r>
      <w:r>
        <w:rPr>
          <w:sz w:val="20"/>
        </w:rPr>
        <w:t>everything</w:t>
      </w:r>
      <w:r>
        <w:rPr>
          <w:spacing w:val="-11"/>
          <w:sz w:val="20"/>
        </w:rPr>
        <w:t> </w:t>
      </w:r>
      <w:r>
        <w:rPr>
          <w:sz w:val="20"/>
        </w:rPr>
        <w:t>on</w:t>
      </w:r>
      <w:r>
        <w:rPr>
          <w:spacing w:val="-10"/>
          <w:sz w:val="20"/>
        </w:rPr>
        <w:t> </w:t>
      </w:r>
      <w:r>
        <w:rPr>
          <w:sz w:val="20"/>
        </w:rPr>
        <w:t>[a]</w:t>
      </w:r>
    </w:p>
    <w:p>
      <w:pPr>
        <w:pStyle w:val="BodyText"/>
        <w:spacing w:line="206" w:lineRule="auto" w:before="5"/>
        <w:ind w:left="1761" w:right="1243"/>
      </w:pPr>
      <w:r>
        <w:rPr/>
        <w:t>computer</w:t>
      </w:r>
      <w:r>
        <w:rPr>
          <w:spacing w:val="-16"/>
        </w:rPr>
        <w:t> </w:t>
      </w:r>
      <w:r>
        <w:rPr/>
        <w:t>screen,</w:t>
      </w:r>
      <w:r>
        <w:rPr>
          <w:spacing w:val="-15"/>
        </w:rPr>
        <w:t> </w:t>
      </w:r>
      <w:r>
        <w:rPr/>
        <w:t>echoes</w:t>
      </w:r>
      <w:r>
        <w:rPr>
          <w:spacing w:val="-15"/>
        </w:rPr>
        <w:t> </w:t>
      </w:r>
      <w:r>
        <w:rPr/>
        <w:t>your</w:t>
      </w:r>
      <w:r>
        <w:rPr>
          <w:spacing w:val="-15"/>
        </w:rPr>
        <w:t> </w:t>
      </w:r>
      <w:r>
        <w:rPr/>
        <w:t>typing</w:t>
      </w:r>
      <w:r>
        <w:rPr>
          <w:spacing w:val="-15"/>
        </w:rPr>
        <w:t> </w:t>
      </w:r>
      <w:r>
        <w:rPr/>
        <w:t>and</w:t>
      </w:r>
      <w:r>
        <w:rPr>
          <w:spacing w:val="-16"/>
        </w:rPr>
        <w:t> </w:t>
      </w:r>
      <w:r>
        <w:rPr/>
        <w:t>essential</w:t>
      </w:r>
      <w:r>
        <w:rPr>
          <w:spacing w:val="-15"/>
        </w:rPr>
        <w:t> </w:t>
      </w:r>
      <w:r>
        <w:rPr/>
        <w:t>program</w:t>
      </w:r>
      <w:r>
        <w:rPr>
          <w:spacing w:val="-15"/>
        </w:rPr>
        <w:t> </w:t>
      </w:r>
      <w:r>
        <w:rPr>
          <w:spacing w:val="-3"/>
        </w:rPr>
        <w:t>activity,</w:t>
      </w:r>
      <w:r>
        <w:rPr>
          <w:spacing w:val="-15"/>
        </w:rPr>
        <w:t> </w:t>
      </w:r>
      <w:r>
        <w:rPr/>
        <w:t>and</w:t>
      </w:r>
      <w:r>
        <w:rPr>
          <w:spacing w:val="-15"/>
        </w:rPr>
        <w:t> </w:t>
      </w:r>
      <w:r>
        <w:rPr/>
        <w:t>automatically </w:t>
      </w:r>
      <w:r>
        <w:rPr>
          <w:spacing w:val="-3"/>
        </w:rPr>
        <w:t>reads </w:t>
      </w:r>
      <w:r>
        <w:rPr/>
        <w:t>documents, </w:t>
      </w:r>
      <w:r>
        <w:rPr>
          <w:spacing w:val="-3"/>
        </w:rPr>
        <w:t>web </w:t>
      </w:r>
      <w:r>
        <w:rPr/>
        <w:t>pages, email’.</w:t>
      </w:r>
      <w:r>
        <w:rPr>
          <w:position w:val="7"/>
          <w:sz w:val="11"/>
        </w:rPr>
        <w:t>31 </w:t>
      </w:r>
      <w:r>
        <w:rPr/>
        <w:t>Apple </w:t>
      </w:r>
      <w:r>
        <w:rPr>
          <w:spacing w:val="-4"/>
        </w:rPr>
        <w:t>VoiceOver, </w:t>
      </w:r>
      <w:r>
        <w:rPr/>
        <w:t>an application on iPhones, </w:t>
      </w:r>
      <w:r>
        <w:rPr>
          <w:spacing w:val="-3"/>
        </w:rPr>
        <w:t>may </w:t>
      </w:r>
      <w:r>
        <w:rPr/>
        <w:t>also be useful.</w:t>
      </w:r>
      <w:r>
        <w:rPr>
          <w:position w:val="7"/>
          <w:sz w:val="11"/>
        </w:rPr>
        <w:t>32 </w:t>
      </w:r>
      <w:r>
        <w:rPr/>
        <w:t>These programs can be used with</w:t>
      </w:r>
      <w:r>
        <w:rPr>
          <w:spacing w:val="-20"/>
        </w:rPr>
        <w:t> </w:t>
      </w:r>
      <w:r>
        <w:rPr/>
        <w:t>headsets.</w:t>
      </w:r>
    </w:p>
    <w:p>
      <w:pPr>
        <w:spacing w:before="162"/>
        <w:ind w:left="967" w:right="0" w:firstLine="0"/>
        <w:jc w:val="left"/>
        <w:rPr>
          <w:b/>
          <w:sz w:val="24"/>
        </w:rPr>
      </w:pPr>
      <w:r>
        <w:rPr>
          <w:b/>
          <w:sz w:val="24"/>
        </w:rPr>
        <w:t>Magnifiers</w:t>
      </w:r>
    </w:p>
    <w:p>
      <w:pPr>
        <w:pStyle w:val="ListParagraph"/>
        <w:numPr>
          <w:ilvl w:val="1"/>
          <w:numId w:val="12"/>
        </w:numPr>
        <w:tabs>
          <w:tab w:pos="1761" w:val="left" w:leader="none"/>
          <w:tab w:pos="1762" w:val="left" w:leader="none"/>
        </w:tabs>
        <w:spacing w:line="206" w:lineRule="auto" w:before="127" w:after="0"/>
        <w:ind w:left="1761" w:right="1461" w:hanging="794"/>
        <w:jc w:val="left"/>
        <w:rPr>
          <w:sz w:val="11"/>
        </w:rPr>
      </w:pPr>
      <w:r>
        <w:rPr>
          <w:sz w:val="20"/>
        </w:rPr>
        <w:t>Magnifiers</w:t>
      </w:r>
      <w:r>
        <w:rPr>
          <w:spacing w:val="-10"/>
          <w:sz w:val="20"/>
        </w:rPr>
        <w:t> </w:t>
      </w:r>
      <w:r>
        <w:rPr>
          <w:spacing w:val="-3"/>
          <w:sz w:val="20"/>
        </w:rPr>
        <w:t>may</w:t>
      </w:r>
      <w:r>
        <w:rPr>
          <w:spacing w:val="-9"/>
          <w:sz w:val="20"/>
        </w:rPr>
        <w:t> </w:t>
      </w:r>
      <w:r>
        <w:rPr>
          <w:sz w:val="20"/>
        </w:rPr>
        <w:t>be</w:t>
      </w:r>
      <w:r>
        <w:rPr>
          <w:spacing w:val="-10"/>
          <w:sz w:val="20"/>
        </w:rPr>
        <w:t> </w:t>
      </w:r>
      <w:r>
        <w:rPr>
          <w:sz w:val="20"/>
        </w:rPr>
        <w:t>useful</w:t>
      </w:r>
      <w:r>
        <w:rPr>
          <w:spacing w:val="-9"/>
          <w:sz w:val="20"/>
        </w:rPr>
        <w:t> </w:t>
      </w:r>
      <w:r>
        <w:rPr>
          <w:sz w:val="20"/>
        </w:rPr>
        <w:t>for</w:t>
      </w:r>
      <w:r>
        <w:rPr>
          <w:spacing w:val="-9"/>
          <w:sz w:val="20"/>
        </w:rPr>
        <w:t> </w:t>
      </w:r>
      <w:r>
        <w:rPr>
          <w:sz w:val="20"/>
        </w:rPr>
        <w:t>people</w:t>
      </w:r>
      <w:r>
        <w:rPr>
          <w:spacing w:val="-10"/>
          <w:sz w:val="20"/>
        </w:rPr>
        <w:t> </w:t>
      </w:r>
      <w:r>
        <w:rPr>
          <w:sz w:val="20"/>
        </w:rPr>
        <w:t>who</w:t>
      </w:r>
      <w:r>
        <w:rPr>
          <w:spacing w:val="-9"/>
          <w:sz w:val="20"/>
        </w:rPr>
        <w:t> </w:t>
      </w:r>
      <w:r>
        <w:rPr>
          <w:spacing w:val="-4"/>
          <w:sz w:val="20"/>
        </w:rPr>
        <w:t>have</w:t>
      </w:r>
      <w:r>
        <w:rPr>
          <w:spacing w:val="-9"/>
          <w:sz w:val="20"/>
        </w:rPr>
        <w:t> </w:t>
      </w:r>
      <w:r>
        <w:rPr>
          <w:spacing w:val="-4"/>
          <w:sz w:val="20"/>
        </w:rPr>
        <w:t>low</w:t>
      </w:r>
      <w:r>
        <w:rPr>
          <w:spacing w:val="-10"/>
          <w:sz w:val="20"/>
        </w:rPr>
        <w:t> </w:t>
      </w:r>
      <w:r>
        <w:rPr>
          <w:sz w:val="20"/>
        </w:rPr>
        <w:t>vision.</w:t>
      </w:r>
      <w:r>
        <w:rPr>
          <w:position w:val="7"/>
          <w:sz w:val="11"/>
        </w:rPr>
        <w:t>33</w:t>
      </w:r>
      <w:r>
        <w:rPr>
          <w:spacing w:val="16"/>
          <w:position w:val="7"/>
          <w:sz w:val="11"/>
        </w:rPr>
        <w:t> </w:t>
      </w:r>
      <w:r>
        <w:rPr>
          <w:sz w:val="20"/>
        </w:rPr>
        <w:t>They</w:t>
      </w:r>
      <w:r>
        <w:rPr>
          <w:spacing w:val="-10"/>
          <w:sz w:val="20"/>
        </w:rPr>
        <w:t> </w:t>
      </w:r>
      <w:r>
        <w:rPr>
          <w:sz w:val="20"/>
        </w:rPr>
        <w:t>enlarge</w:t>
      </w:r>
      <w:r>
        <w:rPr>
          <w:spacing w:val="-9"/>
          <w:sz w:val="20"/>
        </w:rPr>
        <w:t> </w:t>
      </w:r>
      <w:r>
        <w:rPr>
          <w:sz w:val="20"/>
        </w:rPr>
        <w:t>images</w:t>
      </w:r>
      <w:r>
        <w:rPr>
          <w:spacing w:val="-10"/>
          <w:sz w:val="20"/>
        </w:rPr>
        <w:t> </w:t>
      </w:r>
      <w:r>
        <w:rPr>
          <w:sz w:val="20"/>
        </w:rPr>
        <w:t>and can be manual or</w:t>
      </w:r>
      <w:r>
        <w:rPr>
          <w:spacing w:val="-17"/>
          <w:sz w:val="20"/>
        </w:rPr>
        <w:t> </w:t>
      </w:r>
      <w:r>
        <w:rPr>
          <w:sz w:val="20"/>
        </w:rPr>
        <w:t>electronic.</w:t>
      </w:r>
      <w:r>
        <w:rPr>
          <w:position w:val="7"/>
          <w:sz w:val="11"/>
        </w:rPr>
        <w:t>34</w:t>
      </w:r>
    </w:p>
    <w:p>
      <w:pPr>
        <w:pStyle w:val="BodyText"/>
      </w:pPr>
    </w:p>
    <w:p>
      <w:pPr>
        <w:pStyle w:val="BodyText"/>
        <w:spacing w:before="5"/>
        <w:rPr>
          <w:sz w:val="29"/>
        </w:rPr>
      </w:pPr>
      <w:r>
        <w:rPr/>
        <w:pict>
          <v:line style="position:absolute;mso-position-horizontal-relative:page;mso-position-vertical-relative:paragraph;z-index:7928;mso-wrap-distance-left:0;mso-wrap-distance-right:0" from="79.370102pt,22.86412pt" to="515.905102pt,22.86412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pPr>
    </w:p>
    <w:p>
      <w:pPr>
        <w:spacing w:before="0"/>
        <w:ind w:left="100" w:right="0" w:firstLine="0"/>
        <w:jc w:val="left"/>
        <w:rPr>
          <w:b/>
          <w:sz w:val="24"/>
        </w:rPr>
      </w:pPr>
      <w:r>
        <w:rPr>
          <w:b/>
          <w:color w:val="37617A"/>
          <w:sz w:val="24"/>
        </w:rPr>
        <w:t>146</w:t>
      </w:r>
    </w:p>
    <w:p>
      <w:pPr>
        <w:pStyle w:val="ListParagraph"/>
        <w:numPr>
          <w:ilvl w:val="0"/>
          <w:numId w:val="96"/>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z w:val="13"/>
        </w:rPr>
        <w:t>Consultation 1 </w:t>
      </w:r>
      <w:r>
        <w:rPr>
          <w:spacing w:val="2"/>
          <w:sz w:val="13"/>
        </w:rPr>
        <w:t>(Blind </w:t>
      </w:r>
      <w:r>
        <w:rPr>
          <w:sz w:val="13"/>
        </w:rPr>
        <w:t>Citizens</w:t>
      </w:r>
      <w:r>
        <w:rPr>
          <w:spacing w:val="-2"/>
          <w:sz w:val="13"/>
        </w:rPr>
        <w:t> </w:t>
      </w:r>
      <w:r>
        <w:rPr>
          <w:sz w:val="13"/>
        </w:rPr>
        <w:t>Australia).</w:t>
      </w:r>
    </w:p>
    <w:p>
      <w:pPr>
        <w:pStyle w:val="ListParagraph"/>
        <w:numPr>
          <w:ilvl w:val="0"/>
          <w:numId w:val="96"/>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96"/>
        </w:numPr>
        <w:tabs>
          <w:tab w:pos="893" w:val="left" w:leader="none"/>
          <w:tab w:pos="894" w:val="left" w:leader="none"/>
        </w:tabs>
        <w:spacing w:line="213" w:lineRule="auto" w:before="7" w:after="0"/>
        <w:ind w:left="893" w:right="1558" w:hanging="793"/>
        <w:jc w:val="left"/>
        <w:rPr>
          <w:sz w:val="13"/>
        </w:rPr>
      </w:pPr>
      <w:r>
        <w:rPr>
          <w:sz w:val="13"/>
        </w:rPr>
        <w:t>Judicial College </w:t>
      </w:r>
      <w:r>
        <w:rPr>
          <w:spacing w:val="2"/>
          <w:sz w:val="13"/>
        </w:rPr>
        <w:t>UK, </w:t>
      </w:r>
      <w:r>
        <w:rPr>
          <w:i/>
          <w:sz w:val="13"/>
        </w:rPr>
        <w:t>Equal Treatment Bench Book </w:t>
      </w:r>
      <w:r>
        <w:rPr>
          <w:sz w:val="13"/>
        </w:rPr>
        <w:t>(Manual, February 2021) 460 &lt;</w:t>
      </w:r>
      <w:hyperlink r:id="rId129">
        <w:r>
          <w:rPr>
            <w:sz w:val="13"/>
          </w:rPr>
          <w:t>https://www.judiciary.uk/wp-content/</w:t>
        </w:r>
      </w:hyperlink>
      <w:hyperlink r:id="rId129">
        <w:r>
          <w:rPr>
            <w:sz w:val="13"/>
          </w:rPr>
          <w:t> uploads/2021/02/Equal-Treatment-Bench-Book-February-2021-1.pdf</w:t>
        </w:r>
      </w:hyperlink>
      <w:r>
        <w:rPr>
          <w:sz w:val="13"/>
        </w:rPr>
        <w:t>&gt;; Consultations 1 </w:t>
      </w:r>
      <w:r>
        <w:rPr>
          <w:spacing w:val="2"/>
          <w:sz w:val="13"/>
        </w:rPr>
        <w:t>(Blind </w:t>
      </w:r>
      <w:r>
        <w:rPr>
          <w:sz w:val="13"/>
        </w:rPr>
        <w:t>Citizens Australia), 22 (Daniel Stubbs, Victorian </w:t>
      </w:r>
      <w:r>
        <w:rPr>
          <w:spacing w:val="2"/>
          <w:sz w:val="13"/>
        </w:rPr>
        <w:t>Disability </w:t>
      </w:r>
      <w:r>
        <w:rPr>
          <w:sz w:val="13"/>
        </w:rPr>
        <w:t>Worker Commissioner, in his personal</w:t>
      </w:r>
      <w:r>
        <w:rPr>
          <w:spacing w:val="4"/>
          <w:sz w:val="13"/>
        </w:rPr>
        <w:t> </w:t>
      </w:r>
      <w:r>
        <w:rPr>
          <w:sz w:val="13"/>
        </w:rPr>
        <w:t>capacity).</w:t>
      </w:r>
    </w:p>
    <w:p>
      <w:pPr>
        <w:pStyle w:val="ListParagraph"/>
        <w:numPr>
          <w:ilvl w:val="0"/>
          <w:numId w:val="96"/>
        </w:numPr>
        <w:tabs>
          <w:tab w:pos="893" w:val="left" w:leader="none"/>
          <w:tab w:pos="894" w:val="left" w:leader="none"/>
        </w:tabs>
        <w:spacing w:line="213" w:lineRule="auto" w:before="0" w:after="0"/>
        <w:ind w:left="893" w:right="1820" w:hanging="793"/>
        <w:jc w:val="left"/>
        <w:rPr>
          <w:sz w:val="13"/>
        </w:rPr>
      </w:pPr>
      <w:r>
        <w:rPr>
          <w:sz w:val="13"/>
        </w:rPr>
        <w:t>Judicial College </w:t>
      </w:r>
      <w:r>
        <w:rPr>
          <w:spacing w:val="2"/>
          <w:sz w:val="13"/>
        </w:rPr>
        <w:t>UK, </w:t>
      </w:r>
      <w:r>
        <w:rPr>
          <w:i/>
          <w:sz w:val="13"/>
        </w:rPr>
        <w:t>Equal Treatment Bench Book </w:t>
      </w:r>
      <w:r>
        <w:rPr>
          <w:sz w:val="13"/>
        </w:rPr>
        <w:t>(Manual, February 2021) 460 &lt;</w:t>
      </w:r>
      <w:hyperlink r:id="rId129">
        <w:r>
          <w:rPr>
            <w:sz w:val="13"/>
          </w:rPr>
          <w:t>https://www.judiciary.uk/wp-content/</w:t>
        </w:r>
      </w:hyperlink>
      <w:hyperlink r:id="rId129">
        <w:r>
          <w:rPr>
            <w:sz w:val="13"/>
          </w:rPr>
          <w:t> uploads/2021/02/Equal-Treatment-Bench-Book-February-2021-1.pdf</w:t>
        </w:r>
      </w:hyperlink>
      <w:r>
        <w:rPr>
          <w:sz w:val="13"/>
        </w:rPr>
        <w:t>&gt;; Consultation 1 </w:t>
      </w:r>
      <w:r>
        <w:rPr>
          <w:spacing w:val="2"/>
          <w:sz w:val="13"/>
        </w:rPr>
        <w:t>(Blind </w:t>
      </w:r>
      <w:r>
        <w:rPr>
          <w:sz w:val="13"/>
        </w:rPr>
        <w:t>Citizens</w:t>
      </w:r>
      <w:r>
        <w:rPr>
          <w:spacing w:val="28"/>
          <w:sz w:val="13"/>
        </w:rPr>
        <w:t> </w:t>
      </w:r>
      <w:r>
        <w:rPr>
          <w:sz w:val="13"/>
        </w:rPr>
        <w:t>Australia).</w:t>
      </w:r>
    </w:p>
    <w:p>
      <w:pPr>
        <w:pStyle w:val="ListParagraph"/>
        <w:numPr>
          <w:ilvl w:val="0"/>
          <w:numId w:val="96"/>
        </w:numPr>
        <w:tabs>
          <w:tab w:pos="893" w:val="left" w:leader="none"/>
          <w:tab w:pos="894" w:val="left" w:leader="none"/>
        </w:tabs>
        <w:spacing w:line="152" w:lineRule="exact" w:before="0" w:after="0"/>
        <w:ind w:left="893" w:right="0" w:hanging="793"/>
        <w:jc w:val="left"/>
        <w:rPr>
          <w:sz w:val="13"/>
        </w:rPr>
      </w:pPr>
      <w:r>
        <w:rPr>
          <w:spacing w:val="2"/>
          <w:sz w:val="13"/>
        </w:rPr>
        <w:t>Online </w:t>
      </w:r>
      <w:r>
        <w:rPr>
          <w:sz w:val="13"/>
        </w:rPr>
        <w:t>Survey (Response</w:t>
      </w:r>
      <w:r>
        <w:rPr>
          <w:spacing w:val="-2"/>
          <w:sz w:val="13"/>
        </w:rPr>
        <w:t> </w:t>
      </w:r>
      <w:r>
        <w:rPr>
          <w:sz w:val="13"/>
        </w:rPr>
        <w:t>1).</w:t>
      </w:r>
    </w:p>
    <w:p>
      <w:pPr>
        <w:pStyle w:val="ListParagraph"/>
        <w:numPr>
          <w:ilvl w:val="0"/>
          <w:numId w:val="96"/>
        </w:numPr>
        <w:tabs>
          <w:tab w:pos="893" w:val="left" w:leader="none"/>
          <w:tab w:pos="894" w:val="left" w:leader="none"/>
        </w:tabs>
        <w:spacing w:line="160" w:lineRule="exact" w:before="0" w:after="0"/>
        <w:ind w:left="893" w:right="0" w:hanging="793"/>
        <w:jc w:val="left"/>
        <w:rPr>
          <w:sz w:val="13"/>
        </w:rPr>
      </w:pPr>
      <w:r>
        <w:rPr>
          <w:sz w:val="13"/>
        </w:rPr>
        <w:t>Consultation 1 </w:t>
      </w:r>
      <w:r>
        <w:rPr>
          <w:spacing w:val="2"/>
          <w:sz w:val="13"/>
        </w:rPr>
        <w:t>(Blind </w:t>
      </w:r>
      <w:r>
        <w:rPr>
          <w:sz w:val="13"/>
        </w:rPr>
        <w:t>Citizens</w:t>
      </w:r>
      <w:r>
        <w:rPr>
          <w:spacing w:val="-2"/>
          <w:sz w:val="13"/>
        </w:rPr>
        <w:t> </w:t>
      </w:r>
      <w:r>
        <w:rPr>
          <w:sz w:val="13"/>
        </w:rPr>
        <w:t>Australia).</w:t>
      </w:r>
    </w:p>
    <w:p>
      <w:pPr>
        <w:pStyle w:val="ListParagraph"/>
        <w:numPr>
          <w:ilvl w:val="0"/>
          <w:numId w:val="96"/>
        </w:numPr>
        <w:tabs>
          <w:tab w:pos="893" w:val="left" w:leader="none"/>
          <w:tab w:pos="894" w:val="left" w:leader="none"/>
        </w:tabs>
        <w:spacing w:line="213" w:lineRule="auto" w:before="4" w:after="0"/>
        <w:ind w:left="893" w:right="1420" w:hanging="793"/>
        <w:jc w:val="left"/>
        <w:rPr>
          <w:sz w:val="13"/>
        </w:rPr>
      </w:pPr>
      <w:r>
        <w:rPr>
          <w:sz w:val="13"/>
        </w:rPr>
        <w:t>‘Computer Screen Readers’, </w:t>
      </w:r>
      <w:r>
        <w:rPr>
          <w:i/>
          <w:sz w:val="13"/>
        </w:rPr>
        <w:t>Vision Australia </w:t>
      </w:r>
      <w:r>
        <w:rPr>
          <w:sz w:val="13"/>
        </w:rPr>
        <w:t>(Web Page) &lt;</w:t>
      </w:r>
      <w:hyperlink r:id="rId201">
        <w:r>
          <w:rPr>
            <w:sz w:val="13"/>
          </w:rPr>
          <w:t>https://www.visionaustralia.org/information/adaptive-technology/</w:t>
        </w:r>
      </w:hyperlink>
      <w:hyperlink r:id="rId201">
        <w:r>
          <w:rPr>
            <w:sz w:val="13"/>
          </w:rPr>
          <w:t> using-technology/computer-screen-readers</w:t>
        </w:r>
      </w:hyperlink>
      <w:r>
        <w:rPr>
          <w:sz w:val="13"/>
        </w:rPr>
        <w:t>&gt;.</w:t>
      </w:r>
    </w:p>
    <w:p>
      <w:pPr>
        <w:pStyle w:val="ListParagraph"/>
        <w:numPr>
          <w:ilvl w:val="0"/>
          <w:numId w:val="96"/>
        </w:numPr>
        <w:tabs>
          <w:tab w:pos="893" w:val="left" w:leader="none"/>
          <w:tab w:pos="894" w:val="left" w:leader="none"/>
        </w:tabs>
        <w:spacing w:line="213" w:lineRule="auto" w:before="0" w:after="0"/>
        <w:ind w:left="893" w:right="1359" w:hanging="793"/>
        <w:jc w:val="left"/>
        <w:rPr>
          <w:sz w:val="13"/>
        </w:rPr>
      </w:pPr>
      <w:r>
        <w:rPr>
          <w:spacing w:val="-3"/>
          <w:sz w:val="13"/>
        </w:rPr>
        <w:t>‘JAWS’, </w:t>
      </w:r>
      <w:r>
        <w:rPr>
          <w:i/>
          <w:sz w:val="13"/>
        </w:rPr>
        <w:t>Freedom Scientific </w:t>
      </w:r>
      <w:r>
        <w:rPr>
          <w:sz w:val="13"/>
        </w:rPr>
        <w:t>(Web Page) &lt;</w:t>
      </w:r>
      <w:hyperlink r:id="rId202">
        <w:r>
          <w:rPr>
            <w:sz w:val="13"/>
          </w:rPr>
          <w:t>https://www.freedomscientific.com/Products/software/JAWS/</w:t>
        </w:r>
      </w:hyperlink>
      <w:r>
        <w:rPr>
          <w:sz w:val="13"/>
        </w:rPr>
        <w:t>&gt;; Consultation 1 </w:t>
      </w:r>
      <w:r>
        <w:rPr>
          <w:spacing w:val="2"/>
          <w:sz w:val="13"/>
        </w:rPr>
        <w:t>(Blind </w:t>
      </w:r>
      <w:r>
        <w:rPr>
          <w:sz w:val="13"/>
        </w:rPr>
        <w:t>Citizens Australia).</w:t>
      </w:r>
    </w:p>
    <w:p>
      <w:pPr>
        <w:pStyle w:val="ListParagraph"/>
        <w:numPr>
          <w:ilvl w:val="0"/>
          <w:numId w:val="96"/>
        </w:numPr>
        <w:tabs>
          <w:tab w:pos="893" w:val="left" w:leader="none"/>
          <w:tab w:pos="894" w:val="left" w:leader="none"/>
        </w:tabs>
        <w:spacing w:line="153" w:lineRule="exact" w:before="0" w:after="0"/>
        <w:ind w:left="893" w:right="0" w:hanging="793"/>
        <w:jc w:val="left"/>
        <w:rPr>
          <w:sz w:val="13"/>
        </w:rPr>
      </w:pPr>
      <w:r>
        <w:rPr>
          <w:sz w:val="13"/>
        </w:rPr>
        <w:t>‘ZoomText Magnifier/Reader’, </w:t>
      </w:r>
      <w:r>
        <w:rPr>
          <w:i/>
          <w:sz w:val="13"/>
        </w:rPr>
        <w:t>ZoomText </w:t>
      </w:r>
      <w:r>
        <w:rPr>
          <w:sz w:val="13"/>
        </w:rPr>
        <w:t>(Web Page)</w:t>
      </w:r>
      <w:r>
        <w:rPr>
          <w:spacing w:val="4"/>
          <w:sz w:val="13"/>
        </w:rPr>
        <w:t> </w:t>
      </w:r>
      <w:r>
        <w:rPr>
          <w:sz w:val="13"/>
        </w:rPr>
        <w:t>&lt;</w:t>
      </w:r>
      <w:hyperlink r:id="rId203">
        <w:r>
          <w:rPr>
            <w:sz w:val="13"/>
          </w:rPr>
          <w:t>https://www.zoomtext.com/products/zoomtext-magnifierreader/</w:t>
        </w:r>
      </w:hyperlink>
      <w:r>
        <w:rPr>
          <w:sz w:val="13"/>
        </w:rPr>
        <w:t>&gt;.</w:t>
      </w:r>
    </w:p>
    <w:p>
      <w:pPr>
        <w:pStyle w:val="ListParagraph"/>
        <w:numPr>
          <w:ilvl w:val="0"/>
          <w:numId w:val="96"/>
        </w:numPr>
        <w:tabs>
          <w:tab w:pos="893" w:val="left" w:leader="none"/>
          <w:tab w:pos="894" w:val="left" w:leader="none"/>
        </w:tabs>
        <w:spacing w:line="160" w:lineRule="exact" w:before="0" w:after="0"/>
        <w:ind w:left="893" w:right="0" w:hanging="793"/>
        <w:jc w:val="left"/>
        <w:rPr>
          <w:sz w:val="13"/>
        </w:rPr>
      </w:pPr>
      <w:r>
        <w:rPr>
          <w:sz w:val="13"/>
        </w:rPr>
        <w:t>Consultation 1 </w:t>
      </w:r>
      <w:r>
        <w:rPr>
          <w:spacing w:val="2"/>
          <w:sz w:val="13"/>
        </w:rPr>
        <w:t>(Blind </w:t>
      </w:r>
      <w:r>
        <w:rPr>
          <w:sz w:val="13"/>
        </w:rPr>
        <w:t>Citizens</w:t>
      </w:r>
      <w:r>
        <w:rPr>
          <w:spacing w:val="-2"/>
          <w:sz w:val="13"/>
        </w:rPr>
        <w:t> </w:t>
      </w:r>
      <w:r>
        <w:rPr>
          <w:sz w:val="13"/>
        </w:rPr>
        <w:t>Australia).</w:t>
      </w:r>
    </w:p>
    <w:p>
      <w:pPr>
        <w:pStyle w:val="ListParagraph"/>
        <w:numPr>
          <w:ilvl w:val="0"/>
          <w:numId w:val="96"/>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96"/>
        </w:numPr>
        <w:tabs>
          <w:tab w:pos="893" w:val="left" w:leader="none"/>
          <w:tab w:pos="894" w:val="left" w:leader="none"/>
        </w:tabs>
        <w:spacing w:line="160" w:lineRule="exact" w:before="0" w:after="0"/>
        <w:ind w:left="893" w:right="0" w:hanging="793"/>
        <w:jc w:val="left"/>
        <w:rPr>
          <w:sz w:val="13"/>
        </w:rPr>
      </w:pPr>
      <w:r>
        <w:rPr>
          <w:sz w:val="13"/>
        </w:rPr>
        <w:t>‘Magnifiers’, </w:t>
      </w:r>
      <w:r>
        <w:rPr>
          <w:i/>
          <w:sz w:val="13"/>
        </w:rPr>
        <w:t>Vision Australia </w:t>
      </w:r>
      <w:r>
        <w:rPr>
          <w:sz w:val="13"/>
        </w:rPr>
        <w:t>(Web Page)</w:t>
      </w:r>
      <w:r>
        <w:rPr>
          <w:spacing w:val="14"/>
          <w:sz w:val="13"/>
        </w:rPr>
        <w:t> </w:t>
      </w:r>
      <w:r>
        <w:rPr>
          <w:sz w:val="13"/>
        </w:rPr>
        <w:t>&lt;</w:t>
      </w:r>
      <w:hyperlink r:id="rId204">
        <w:r>
          <w:rPr>
            <w:sz w:val="13"/>
          </w:rPr>
          <w:t>https://www.visionaustralia.org/information/adaptive-technology/using-technology/</w:t>
        </w:r>
      </w:hyperlink>
    </w:p>
    <w:p>
      <w:pPr>
        <w:spacing w:line="170" w:lineRule="exact" w:before="0"/>
        <w:ind w:left="893" w:right="0" w:firstLine="0"/>
        <w:jc w:val="left"/>
        <w:rPr>
          <w:sz w:val="13"/>
        </w:rPr>
      </w:pPr>
      <w:hyperlink r:id="rId204">
        <w:r>
          <w:rPr>
            <w:sz w:val="13"/>
          </w:rPr>
          <w:t>magnifiers</w:t>
        </w:r>
      </w:hyperlink>
      <w:r>
        <w:rPr>
          <w:sz w:val="13"/>
        </w:rPr>
        <w:t>&gt;.</w:t>
      </w:r>
    </w:p>
    <w:p>
      <w:pPr>
        <w:spacing w:after="0" w:line="170" w:lineRule="exact"/>
        <w:jc w:val="left"/>
        <w:rPr>
          <w:sz w:val="13"/>
        </w:rPr>
        <w:sectPr>
          <w:type w:val="continuous"/>
          <w:pgSz w:w="11910" w:h="16840"/>
          <w:pgMar w:top="620" w:bottom="280" w:left="620" w:right="380"/>
          <w:cols w:num="2" w:equalWidth="0">
            <w:col w:w="541" w:space="327"/>
            <w:col w:w="10042"/>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558" w:hanging="794"/>
        <w:jc w:val="left"/>
        <w:rPr>
          <w:sz w:val="11"/>
        </w:rPr>
      </w:pPr>
      <w:bookmarkStart w:name="_bookmark105" w:id="251"/>
      <w:bookmarkEnd w:id="251"/>
      <w:r>
        <w:rPr/>
      </w:r>
      <w:bookmarkStart w:name="_bookmark105" w:id="252"/>
      <w:bookmarkEnd w:id="252"/>
      <w:r>
        <w:rPr>
          <w:spacing w:val="-2"/>
          <w:sz w:val="20"/>
        </w:rPr>
        <w:t>E</w:t>
      </w:r>
      <w:r>
        <w:rPr>
          <w:spacing w:val="-2"/>
          <w:sz w:val="20"/>
        </w:rPr>
        <w:t>lectronic</w:t>
      </w:r>
      <w:r>
        <w:rPr>
          <w:spacing w:val="-12"/>
          <w:sz w:val="20"/>
        </w:rPr>
        <w:t> </w:t>
      </w:r>
      <w:r>
        <w:rPr>
          <w:sz w:val="20"/>
        </w:rPr>
        <w:t>magnifiers</w:t>
      </w:r>
      <w:r>
        <w:rPr>
          <w:spacing w:val="-12"/>
          <w:sz w:val="20"/>
        </w:rPr>
        <w:t> </w:t>
      </w:r>
      <w:r>
        <w:rPr>
          <w:sz w:val="20"/>
        </w:rPr>
        <w:t>come</w:t>
      </w:r>
      <w:r>
        <w:rPr>
          <w:spacing w:val="-11"/>
          <w:sz w:val="20"/>
        </w:rPr>
        <w:t> </w:t>
      </w:r>
      <w:r>
        <w:rPr>
          <w:sz w:val="20"/>
        </w:rPr>
        <w:t>in</w:t>
      </w:r>
      <w:r>
        <w:rPr>
          <w:spacing w:val="-12"/>
          <w:sz w:val="20"/>
        </w:rPr>
        <w:t> </w:t>
      </w:r>
      <w:r>
        <w:rPr>
          <w:spacing w:val="-3"/>
          <w:sz w:val="20"/>
        </w:rPr>
        <w:t>many</w:t>
      </w:r>
      <w:r>
        <w:rPr>
          <w:spacing w:val="-12"/>
          <w:sz w:val="20"/>
        </w:rPr>
        <w:t> </w:t>
      </w:r>
      <w:r>
        <w:rPr>
          <w:sz w:val="20"/>
        </w:rPr>
        <w:t>different</w:t>
      </w:r>
      <w:r>
        <w:rPr>
          <w:spacing w:val="-11"/>
          <w:sz w:val="20"/>
        </w:rPr>
        <w:t> </w:t>
      </w:r>
      <w:r>
        <w:rPr>
          <w:sz w:val="20"/>
        </w:rPr>
        <w:t>varieties.</w:t>
      </w:r>
      <w:r>
        <w:rPr>
          <w:spacing w:val="-12"/>
          <w:sz w:val="20"/>
        </w:rPr>
        <w:t> </w:t>
      </w:r>
      <w:r>
        <w:rPr>
          <w:sz w:val="20"/>
        </w:rPr>
        <w:t>Some</w:t>
      </w:r>
      <w:r>
        <w:rPr>
          <w:spacing w:val="-11"/>
          <w:sz w:val="20"/>
        </w:rPr>
        <w:t> </w:t>
      </w:r>
      <w:r>
        <w:rPr>
          <w:spacing w:val="-4"/>
          <w:sz w:val="20"/>
        </w:rPr>
        <w:t>have</w:t>
      </w:r>
      <w:r>
        <w:rPr>
          <w:spacing w:val="-12"/>
          <w:sz w:val="20"/>
        </w:rPr>
        <w:t> </w:t>
      </w:r>
      <w:r>
        <w:rPr>
          <w:sz w:val="20"/>
        </w:rPr>
        <w:t>a</w:t>
      </w:r>
      <w:r>
        <w:rPr>
          <w:spacing w:val="-12"/>
          <w:sz w:val="20"/>
        </w:rPr>
        <w:t> </w:t>
      </w:r>
      <w:r>
        <w:rPr>
          <w:sz w:val="20"/>
        </w:rPr>
        <w:t>camera</w:t>
      </w:r>
      <w:r>
        <w:rPr>
          <w:spacing w:val="-11"/>
          <w:sz w:val="20"/>
        </w:rPr>
        <w:t> </w:t>
      </w:r>
      <w:r>
        <w:rPr>
          <w:sz w:val="20"/>
        </w:rPr>
        <w:t>system that displays a magnified image on a </w:t>
      </w:r>
      <w:r>
        <w:rPr>
          <w:spacing w:val="-3"/>
          <w:sz w:val="20"/>
        </w:rPr>
        <w:t>monitor. </w:t>
      </w:r>
      <w:r>
        <w:rPr>
          <w:sz w:val="20"/>
        </w:rPr>
        <w:t>Others </w:t>
      </w:r>
      <w:r>
        <w:rPr>
          <w:spacing w:val="-3"/>
          <w:sz w:val="20"/>
        </w:rPr>
        <w:t>are </w:t>
      </w:r>
      <w:r>
        <w:rPr>
          <w:sz w:val="20"/>
        </w:rPr>
        <w:t>hand-held and portable. </w:t>
      </w:r>
      <w:r>
        <w:rPr>
          <w:spacing w:val="-2"/>
          <w:sz w:val="20"/>
        </w:rPr>
        <w:t>Electronic </w:t>
      </w:r>
      <w:r>
        <w:rPr>
          <w:sz w:val="20"/>
        </w:rPr>
        <w:t>magnifiers can be mounted on </w:t>
      </w:r>
      <w:r>
        <w:rPr>
          <w:spacing w:val="-4"/>
          <w:sz w:val="20"/>
        </w:rPr>
        <w:t>eye</w:t>
      </w:r>
      <w:r>
        <w:rPr>
          <w:spacing w:val="-30"/>
          <w:sz w:val="20"/>
        </w:rPr>
        <w:t> </w:t>
      </w:r>
      <w:r>
        <w:rPr>
          <w:sz w:val="20"/>
        </w:rPr>
        <w:t>glasses.</w:t>
      </w:r>
      <w:r>
        <w:rPr>
          <w:position w:val="7"/>
          <w:sz w:val="11"/>
        </w:rPr>
        <w:t>35</w:t>
      </w:r>
    </w:p>
    <w:p>
      <w:pPr>
        <w:pStyle w:val="ListParagraph"/>
        <w:numPr>
          <w:ilvl w:val="1"/>
          <w:numId w:val="12"/>
        </w:numPr>
        <w:tabs>
          <w:tab w:pos="1761" w:val="left" w:leader="none"/>
          <w:tab w:pos="1762" w:val="left" w:leader="none"/>
        </w:tabs>
        <w:spacing w:line="206" w:lineRule="auto" w:before="124" w:after="0"/>
        <w:ind w:left="1761" w:right="1261" w:hanging="794"/>
        <w:jc w:val="left"/>
        <w:rPr>
          <w:sz w:val="20"/>
        </w:rPr>
      </w:pPr>
      <w:r>
        <w:rPr>
          <w:sz w:val="20"/>
        </w:rPr>
        <w:t>CCTV</w:t>
      </w:r>
      <w:r>
        <w:rPr>
          <w:spacing w:val="-10"/>
          <w:sz w:val="20"/>
        </w:rPr>
        <w:t> </w:t>
      </w:r>
      <w:r>
        <w:rPr>
          <w:sz w:val="20"/>
        </w:rPr>
        <w:t>magnifiers</w:t>
      </w:r>
      <w:r>
        <w:rPr>
          <w:spacing w:val="-9"/>
          <w:sz w:val="20"/>
        </w:rPr>
        <w:t> </w:t>
      </w:r>
      <w:r>
        <w:rPr>
          <w:spacing w:val="-4"/>
          <w:sz w:val="20"/>
        </w:rPr>
        <w:t>have</w:t>
      </w:r>
      <w:r>
        <w:rPr>
          <w:spacing w:val="-9"/>
          <w:sz w:val="20"/>
        </w:rPr>
        <w:t> </w:t>
      </w:r>
      <w:r>
        <w:rPr>
          <w:sz w:val="20"/>
        </w:rPr>
        <w:t>a</w:t>
      </w:r>
      <w:r>
        <w:rPr>
          <w:spacing w:val="-10"/>
          <w:sz w:val="20"/>
        </w:rPr>
        <w:t> </w:t>
      </w:r>
      <w:r>
        <w:rPr>
          <w:sz w:val="20"/>
        </w:rPr>
        <w:t>camera</w:t>
      </w:r>
      <w:r>
        <w:rPr>
          <w:spacing w:val="-9"/>
          <w:sz w:val="20"/>
        </w:rPr>
        <w:t> </w:t>
      </w:r>
      <w:r>
        <w:rPr>
          <w:sz w:val="20"/>
        </w:rPr>
        <w:t>on</w:t>
      </w:r>
      <w:r>
        <w:rPr>
          <w:spacing w:val="-9"/>
          <w:sz w:val="20"/>
        </w:rPr>
        <w:t> </w:t>
      </w:r>
      <w:r>
        <w:rPr>
          <w:sz w:val="20"/>
        </w:rPr>
        <w:t>a</w:t>
      </w:r>
      <w:r>
        <w:rPr>
          <w:spacing w:val="-10"/>
          <w:sz w:val="20"/>
        </w:rPr>
        <w:t> </w:t>
      </w:r>
      <w:r>
        <w:rPr>
          <w:sz w:val="20"/>
        </w:rPr>
        <w:t>frame</w:t>
      </w:r>
      <w:r>
        <w:rPr>
          <w:spacing w:val="-9"/>
          <w:sz w:val="20"/>
        </w:rPr>
        <w:t> </w:t>
      </w:r>
      <w:r>
        <w:rPr>
          <w:sz w:val="20"/>
        </w:rPr>
        <w:t>displaying</w:t>
      </w:r>
      <w:r>
        <w:rPr>
          <w:spacing w:val="-9"/>
          <w:sz w:val="20"/>
        </w:rPr>
        <w:t> </w:t>
      </w:r>
      <w:r>
        <w:rPr>
          <w:sz w:val="20"/>
        </w:rPr>
        <w:t>a</w:t>
      </w:r>
      <w:r>
        <w:rPr>
          <w:spacing w:val="-10"/>
          <w:sz w:val="20"/>
        </w:rPr>
        <w:t> </w:t>
      </w:r>
      <w:r>
        <w:rPr>
          <w:sz w:val="20"/>
        </w:rPr>
        <w:t>magnified</w:t>
      </w:r>
      <w:r>
        <w:rPr>
          <w:spacing w:val="-9"/>
          <w:sz w:val="20"/>
        </w:rPr>
        <w:t> </w:t>
      </w:r>
      <w:r>
        <w:rPr>
          <w:sz w:val="20"/>
        </w:rPr>
        <w:t>image</w:t>
      </w:r>
      <w:r>
        <w:rPr>
          <w:spacing w:val="-9"/>
          <w:sz w:val="20"/>
        </w:rPr>
        <w:t> </w:t>
      </w:r>
      <w:r>
        <w:rPr>
          <w:sz w:val="20"/>
        </w:rPr>
        <w:t>on</w:t>
      </w:r>
      <w:r>
        <w:rPr>
          <w:spacing w:val="-10"/>
          <w:sz w:val="20"/>
        </w:rPr>
        <w:t> </w:t>
      </w:r>
      <w:r>
        <w:rPr>
          <w:sz w:val="20"/>
        </w:rPr>
        <w:t>a</w:t>
      </w:r>
      <w:r>
        <w:rPr>
          <w:spacing w:val="-9"/>
          <w:sz w:val="20"/>
        </w:rPr>
        <w:t> </w:t>
      </w:r>
      <w:r>
        <w:rPr>
          <w:spacing w:val="-3"/>
          <w:sz w:val="20"/>
        </w:rPr>
        <w:t>monitor. </w:t>
      </w:r>
      <w:r>
        <w:rPr>
          <w:spacing w:val="-6"/>
          <w:sz w:val="20"/>
        </w:rPr>
        <w:t>Text </w:t>
      </w:r>
      <w:r>
        <w:rPr>
          <w:sz w:val="20"/>
        </w:rPr>
        <w:t>and images can be enlarged and the contrast can be </w:t>
      </w:r>
      <w:r>
        <w:rPr>
          <w:spacing w:val="-3"/>
          <w:sz w:val="20"/>
        </w:rPr>
        <w:t>altered </w:t>
      </w:r>
      <w:r>
        <w:rPr>
          <w:sz w:val="20"/>
        </w:rPr>
        <w:t>to brighten images. Some</w:t>
      </w:r>
      <w:r>
        <w:rPr>
          <w:spacing w:val="-11"/>
          <w:sz w:val="20"/>
        </w:rPr>
        <w:t> </w:t>
      </w:r>
      <w:r>
        <w:rPr>
          <w:sz w:val="20"/>
        </w:rPr>
        <w:t>CCTV</w:t>
      </w:r>
      <w:r>
        <w:rPr>
          <w:spacing w:val="-10"/>
          <w:sz w:val="20"/>
        </w:rPr>
        <w:t> </w:t>
      </w:r>
      <w:r>
        <w:rPr>
          <w:sz w:val="20"/>
        </w:rPr>
        <w:t>magnifiers</w:t>
      </w:r>
      <w:r>
        <w:rPr>
          <w:spacing w:val="-10"/>
          <w:sz w:val="20"/>
        </w:rPr>
        <w:t> </w:t>
      </w:r>
      <w:r>
        <w:rPr>
          <w:sz w:val="20"/>
        </w:rPr>
        <w:t>include</w:t>
      </w:r>
      <w:r>
        <w:rPr>
          <w:spacing w:val="-10"/>
          <w:sz w:val="20"/>
        </w:rPr>
        <w:t> </w:t>
      </w:r>
      <w:r>
        <w:rPr>
          <w:sz w:val="20"/>
        </w:rPr>
        <w:t>speech</w:t>
      </w:r>
      <w:r>
        <w:rPr>
          <w:spacing w:val="-10"/>
          <w:sz w:val="20"/>
        </w:rPr>
        <w:t> </w:t>
      </w:r>
      <w:r>
        <w:rPr>
          <w:sz w:val="20"/>
        </w:rPr>
        <w:t>output</w:t>
      </w:r>
      <w:r>
        <w:rPr>
          <w:spacing w:val="-10"/>
          <w:sz w:val="20"/>
        </w:rPr>
        <w:t> </w:t>
      </w:r>
      <w:r>
        <w:rPr>
          <w:sz w:val="20"/>
        </w:rPr>
        <w:t>so</w:t>
      </w:r>
      <w:r>
        <w:rPr>
          <w:spacing w:val="-10"/>
          <w:sz w:val="20"/>
        </w:rPr>
        <w:t> </w:t>
      </w:r>
      <w:r>
        <w:rPr>
          <w:sz w:val="20"/>
        </w:rPr>
        <w:t>that</w:t>
      </w:r>
      <w:r>
        <w:rPr>
          <w:spacing w:val="-10"/>
          <w:sz w:val="20"/>
        </w:rPr>
        <w:t> </w:t>
      </w:r>
      <w:r>
        <w:rPr>
          <w:sz w:val="20"/>
        </w:rPr>
        <w:t>a</w:t>
      </w:r>
      <w:r>
        <w:rPr>
          <w:spacing w:val="-10"/>
          <w:sz w:val="20"/>
        </w:rPr>
        <w:t> </w:t>
      </w:r>
      <w:r>
        <w:rPr>
          <w:sz w:val="20"/>
        </w:rPr>
        <w:t>person</w:t>
      </w:r>
      <w:r>
        <w:rPr>
          <w:spacing w:val="-11"/>
          <w:sz w:val="20"/>
        </w:rPr>
        <w:t> </w:t>
      </w:r>
      <w:r>
        <w:rPr>
          <w:sz w:val="20"/>
        </w:rPr>
        <w:t>can</w:t>
      </w:r>
      <w:r>
        <w:rPr>
          <w:spacing w:val="-10"/>
          <w:sz w:val="20"/>
        </w:rPr>
        <w:t> </w:t>
      </w:r>
      <w:r>
        <w:rPr>
          <w:sz w:val="20"/>
        </w:rPr>
        <w:t>hear</w:t>
      </w:r>
      <w:r>
        <w:rPr>
          <w:spacing w:val="-10"/>
          <w:sz w:val="20"/>
        </w:rPr>
        <w:t> </w:t>
      </w:r>
      <w:r>
        <w:rPr>
          <w:sz w:val="20"/>
        </w:rPr>
        <w:t>the</w:t>
      </w:r>
      <w:r>
        <w:rPr>
          <w:spacing w:val="-10"/>
          <w:sz w:val="20"/>
        </w:rPr>
        <w:t> </w:t>
      </w:r>
      <w:r>
        <w:rPr>
          <w:sz w:val="20"/>
        </w:rPr>
        <w:t>text</w:t>
      </w:r>
      <w:r>
        <w:rPr>
          <w:spacing w:val="-10"/>
          <w:sz w:val="20"/>
        </w:rPr>
        <w:t> </w:t>
      </w:r>
      <w:r>
        <w:rPr>
          <w:sz w:val="20"/>
        </w:rPr>
        <w:t>being </w:t>
      </w:r>
      <w:r>
        <w:rPr>
          <w:spacing w:val="-3"/>
          <w:sz w:val="20"/>
        </w:rPr>
        <w:t>read</w:t>
      </w:r>
      <w:r>
        <w:rPr>
          <w:spacing w:val="-7"/>
          <w:sz w:val="20"/>
        </w:rPr>
        <w:t> </w:t>
      </w:r>
      <w:r>
        <w:rPr>
          <w:sz w:val="20"/>
        </w:rPr>
        <w:t>as</w:t>
      </w:r>
      <w:r>
        <w:rPr>
          <w:spacing w:val="-7"/>
          <w:sz w:val="20"/>
        </w:rPr>
        <w:t> </w:t>
      </w:r>
      <w:r>
        <w:rPr>
          <w:sz w:val="20"/>
        </w:rPr>
        <w:t>it</w:t>
      </w:r>
      <w:r>
        <w:rPr>
          <w:spacing w:val="-7"/>
          <w:sz w:val="20"/>
        </w:rPr>
        <w:t> </w:t>
      </w:r>
      <w:r>
        <w:rPr>
          <w:sz w:val="20"/>
        </w:rPr>
        <w:t>is</w:t>
      </w:r>
      <w:r>
        <w:rPr>
          <w:spacing w:val="-6"/>
          <w:sz w:val="20"/>
        </w:rPr>
        <w:t> </w:t>
      </w:r>
      <w:r>
        <w:rPr>
          <w:sz w:val="20"/>
        </w:rPr>
        <w:t>displayed</w:t>
      </w:r>
      <w:r>
        <w:rPr>
          <w:spacing w:val="-7"/>
          <w:sz w:val="20"/>
        </w:rPr>
        <w:t> </w:t>
      </w:r>
      <w:r>
        <w:rPr>
          <w:sz w:val="20"/>
        </w:rPr>
        <w:t>on</w:t>
      </w:r>
      <w:r>
        <w:rPr>
          <w:spacing w:val="-7"/>
          <w:sz w:val="20"/>
        </w:rPr>
        <w:t> </w:t>
      </w:r>
      <w:r>
        <w:rPr>
          <w:sz w:val="20"/>
        </w:rPr>
        <w:t>the</w:t>
      </w:r>
      <w:r>
        <w:rPr>
          <w:spacing w:val="-6"/>
          <w:sz w:val="20"/>
        </w:rPr>
        <w:t> </w:t>
      </w:r>
      <w:r>
        <w:rPr>
          <w:spacing w:val="-3"/>
          <w:sz w:val="20"/>
        </w:rPr>
        <w:t>monitor.</w:t>
      </w:r>
      <w:r>
        <w:rPr>
          <w:spacing w:val="-3"/>
          <w:position w:val="7"/>
          <w:sz w:val="11"/>
        </w:rPr>
        <w:t>36</w:t>
      </w:r>
      <w:r>
        <w:rPr>
          <w:spacing w:val="18"/>
          <w:position w:val="7"/>
          <w:sz w:val="11"/>
        </w:rPr>
        <w:t> </w:t>
      </w:r>
      <w:r>
        <w:rPr>
          <w:sz w:val="20"/>
        </w:rPr>
        <w:t>CCTV</w:t>
      </w:r>
      <w:r>
        <w:rPr>
          <w:spacing w:val="-7"/>
          <w:sz w:val="20"/>
        </w:rPr>
        <w:t> </w:t>
      </w:r>
      <w:r>
        <w:rPr>
          <w:sz w:val="20"/>
        </w:rPr>
        <w:t>of</w:t>
      </w:r>
      <w:r>
        <w:rPr>
          <w:spacing w:val="-7"/>
          <w:sz w:val="20"/>
        </w:rPr>
        <w:t> </w:t>
      </w:r>
      <w:r>
        <w:rPr>
          <w:sz w:val="20"/>
        </w:rPr>
        <w:t>court</w:t>
      </w:r>
      <w:r>
        <w:rPr>
          <w:spacing w:val="-6"/>
          <w:sz w:val="20"/>
        </w:rPr>
        <w:t> </w:t>
      </w:r>
      <w:r>
        <w:rPr>
          <w:sz w:val="20"/>
        </w:rPr>
        <w:t>proceedings</w:t>
      </w:r>
      <w:r>
        <w:rPr>
          <w:spacing w:val="-7"/>
          <w:sz w:val="20"/>
        </w:rPr>
        <w:t> </w:t>
      </w:r>
      <w:r>
        <w:rPr>
          <w:spacing w:val="-3"/>
          <w:sz w:val="20"/>
        </w:rPr>
        <w:t>may</w:t>
      </w:r>
      <w:r>
        <w:rPr>
          <w:spacing w:val="-7"/>
          <w:sz w:val="20"/>
        </w:rPr>
        <w:t> </w:t>
      </w:r>
      <w:r>
        <w:rPr>
          <w:sz w:val="20"/>
        </w:rPr>
        <w:t>also</w:t>
      </w:r>
      <w:r>
        <w:rPr>
          <w:spacing w:val="-6"/>
          <w:sz w:val="20"/>
        </w:rPr>
        <w:t> </w:t>
      </w:r>
      <w:r>
        <w:rPr>
          <w:sz w:val="20"/>
        </w:rPr>
        <w:t>assist</w:t>
      </w:r>
      <w:r>
        <w:rPr>
          <w:spacing w:val="-7"/>
          <w:sz w:val="20"/>
        </w:rPr>
        <w:t> </w:t>
      </w:r>
      <w:r>
        <w:rPr>
          <w:sz w:val="20"/>
        </w:rPr>
        <w:t>with lip-reading.</w:t>
      </w:r>
    </w:p>
    <w:p>
      <w:pPr>
        <w:spacing w:before="164"/>
        <w:ind w:left="967" w:right="0" w:firstLine="0"/>
        <w:jc w:val="left"/>
        <w:rPr>
          <w:b/>
          <w:sz w:val="24"/>
        </w:rPr>
      </w:pPr>
      <w:r>
        <w:rPr>
          <w:b/>
          <w:sz w:val="24"/>
        </w:rPr>
        <w:t>Braille material</w:t>
      </w:r>
    </w:p>
    <w:p>
      <w:pPr>
        <w:pStyle w:val="ListParagraph"/>
        <w:numPr>
          <w:ilvl w:val="1"/>
          <w:numId w:val="12"/>
        </w:numPr>
        <w:tabs>
          <w:tab w:pos="1762" w:val="left" w:leader="none"/>
        </w:tabs>
        <w:spacing w:line="206" w:lineRule="auto" w:before="127" w:after="0"/>
        <w:ind w:left="1761" w:right="1400" w:hanging="794"/>
        <w:jc w:val="both"/>
        <w:rPr>
          <w:sz w:val="11"/>
        </w:rPr>
      </w:pPr>
      <w:r>
        <w:rPr>
          <w:sz w:val="20"/>
        </w:rPr>
        <w:t>Braille</w:t>
      </w:r>
      <w:r>
        <w:rPr>
          <w:spacing w:val="-11"/>
          <w:sz w:val="20"/>
        </w:rPr>
        <w:t> </w:t>
      </w:r>
      <w:r>
        <w:rPr>
          <w:sz w:val="20"/>
        </w:rPr>
        <w:t>embossers</w:t>
      </w:r>
      <w:r>
        <w:rPr>
          <w:spacing w:val="-11"/>
          <w:sz w:val="20"/>
        </w:rPr>
        <w:t> </w:t>
      </w:r>
      <w:r>
        <w:rPr>
          <w:sz w:val="20"/>
        </w:rPr>
        <w:t>print</w:t>
      </w:r>
      <w:r>
        <w:rPr>
          <w:spacing w:val="-11"/>
          <w:sz w:val="20"/>
        </w:rPr>
        <w:t> </w:t>
      </w:r>
      <w:r>
        <w:rPr>
          <w:sz w:val="20"/>
        </w:rPr>
        <w:t>Braille</w:t>
      </w:r>
      <w:r>
        <w:rPr>
          <w:spacing w:val="-11"/>
          <w:sz w:val="20"/>
        </w:rPr>
        <w:t> </w:t>
      </w:r>
      <w:r>
        <w:rPr>
          <w:spacing w:val="-3"/>
          <w:sz w:val="20"/>
        </w:rPr>
        <w:t>from</w:t>
      </w:r>
      <w:r>
        <w:rPr>
          <w:spacing w:val="-11"/>
          <w:sz w:val="20"/>
        </w:rPr>
        <w:t> </w:t>
      </w:r>
      <w:r>
        <w:rPr>
          <w:sz w:val="20"/>
        </w:rPr>
        <w:t>a</w:t>
      </w:r>
      <w:r>
        <w:rPr>
          <w:spacing w:val="-11"/>
          <w:sz w:val="20"/>
        </w:rPr>
        <w:t> </w:t>
      </w:r>
      <w:r>
        <w:rPr>
          <w:sz w:val="20"/>
        </w:rPr>
        <w:t>computer</w:t>
      </w:r>
      <w:r>
        <w:rPr>
          <w:spacing w:val="-11"/>
          <w:sz w:val="20"/>
        </w:rPr>
        <w:t> </w:t>
      </w:r>
      <w:r>
        <w:rPr>
          <w:spacing w:val="-3"/>
          <w:sz w:val="20"/>
        </w:rPr>
        <w:t>by</w:t>
      </w:r>
      <w:r>
        <w:rPr>
          <w:spacing w:val="-10"/>
          <w:sz w:val="20"/>
        </w:rPr>
        <w:t> </w:t>
      </w:r>
      <w:r>
        <w:rPr>
          <w:sz w:val="20"/>
        </w:rPr>
        <w:t>punching</w:t>
      </w:r>
      <w:r>
        <w:rPr>
          <w:spacing w:val="-11"/>
          <w:sz w:val="20"/>
        </w:rPr>
        <w:t> </w:t>
      </w:r>
      <w:r>
        <w:rPr>
          <w:sz w:val="20"/>
        </w:rPr>
        <w:t>dots</w:t>
      </w:r>
      <w:r>
        <w:rPr>
          <w:spacing w:val="-11"/>
          <w:sz w:val="20"/>
        </w:rPr>
        <w:t> </w:t>
      </w:r>
      <w:r>
        <w:rPr>
          <w:sz w:val="20"/>
        </w:rPr>
        <w:t>onto</w:t>
      </w:r>
      <w:r>
        <w:rPr>
          <w:spacing w:val="-11"/>
          <w:sz w:val="20"/>
        </w:rPr>
        <w:t> </w:t>
      </w:r>
      <w:r>
        <w:rPr>
          <w:spacing w:val="-3"/>
          <w:sz w:val="20"/>
        </w:rPr>
        <w:t>paper.</w:t>
      </w:r>
      <w:r>
        <w:rPr>
          <w:spacing w:val="-3"/>
          <w:position w:val="7"/>
          <w:sz w:val="11"/>
        </w:rPr>
        <w:t>37</w:t>
      </w:r>
      <w:r>
        <w:rPr>
          <w:spacing w:val="14"/>
          <w:position w:val="7"/>
          <w:sz w:val="11"/>
        </w:rPr>
        <w:t> </w:t>
      </w:r>
      <w:r>
        <w:rPr>
          <w:sz w:val="20"/>
        </w:rPr>
        <w:t>Braille embossers</w:t>
      </w:r>
      <w:r>
        <w:rPr>
          <w:spacing w:val="-12"/>
          <w:sz w:val="20"/>
        </w:rPr>
        <w:t> </w:t>
      </w:r>
      <w:r>
        <w:rPr>
          <w:spacing w:val="-3"/>
          <w:sz w:val="20"/>
        </w:rPr>
        <w:t>are</w:t>
      </w:r>
      <w:r>
        <w:rPr>
          <w:spacing w:val="-12"/>
          <w:sz w:val="20"/>
        </w:rPr>
        <w:t> </w:t>
      </w:r>
      <w:r>
        <w:rPr>
          <w:sz w:val="20"/>
        </w:rPr>
        <w:t>accompanied</w:t>
      </w:r>
      <w:r>
        <w:rPr>
          <w:spacing w:val="-12"/>
          <w:sz w:val="20"/>
        </w:rPr>
        <w:t> </w:t>
      </w:r>
      <w:r>
        <w:rPr>
          <w:spacing w:val="-3"/>
          <w:sz w:val="20"/>
        </w:rPr>
        <w:t>by</w:t>
      </w:r>
      <w:r>
        <w:rPr>
          <w:spacing w:val="-12"/>
          <w:sz w:val="20"/>
        </w:rPr>
        <w:t> </w:t>
      </w:r>
      <w:r>
        <w:rPr>
          <w:sz w:val="20"/>
        </w:rPr>
        <w:t>translation</w:t>
      </w:r>
      <w:r>
        <w:rPr>
          <w:spacing w:val="-11"/>
          <w:sz w:val="20"/>
        </w:rPr>
        <w:t> </w:t>
      </w:r>
      <w:r>
        <w:rPr>
          <w:sz w:val="20"/>
        </w:rPr>
        <w:t>software</w:t>
      </w:r>
      <w:r>
        <w:rPr>
          <w:spacing w:val="-12"/>
          <w:sz w:val="20"/>
        </w:rPr>
        <w:t> </w:t>
      </w:r>
      <w:r>
        <w:rPr>
          <w:sz w:val="20"/>
        </w:rPr>
        <w:t>that</w:t>
      </w:r>
      <w:r>
        <w:rPr>
          <w:spacing w:val="-12"/>
          <w:sz w:val="20"/>
        </w:rPr>
        <w:t> </w:t>
      </w:r>
      <w:r>
        <w:rPr>
          <w:sz w:val="20"/>
        </w:rPr>
        <w:t>can</w:t>
      </w:r>
      <w:r>
        <w:rPr>
          <w:spacing w:val="-12"/>
          <w:sz w:val="20"/>
        </w:rPr>
        <w:t> </w:t>
      </w:r>
      <w:r>
        <w:rPr>
          <w:sz w:val="20"/>
        </w:rPr>
        <w:t>translate</w:t>
      </w:r>
      <w:r>
        <w:rPr>
          <w:spacing w:val="-11"/>
          <w:sz w:val="20"/>
        </w:rPr>
        <w:t> </w:t>
      </w:r>
      <w:r>
        <w:rPr>
          <w:sz w:val="20"/>
        </w:rPr>
        <w:t>documents</w:t>
      </w:r>
      <w:r>
        <w:rPr>
          <w:spacing w:val="-12"/>
          <w:sz w:val="20"/>
        </w:rPr>
        <w:t> </w:t>
      </w:r>
      <w:r>
        <w:rPr>
          <w:sz w:val="20"/>
        </w:rPr>
        <w:t>in </w:t>
      </w:r>
      <w:r>
        <w:rPr>
          <w:spacing w:val="-3"/>
          <w:sz w:val="20"/>
        </w:rPr>
        <w:t>word </w:t>
      </w:r>
      <w:r>
        <w:rPr>
          <w:sz w:val="20"/>
        </w:rPr>
        <w:t>processing programs </w:t>
      </w:r>
      <w:r>
        <w:rPr>
          <w:spacing w:val="-3"/>
          <w:sz w:val="20"/>
        </w:rPr>
        <w:t>into</w:t>
      </w:r>
      <w:r>
        <w:rPr>
          <w:spacing w:val="-15"/>
          <w:sz w:val="20"/>
        </w:rPr>
        <w:t> </w:t>
      </w:r>
      <w:r>
        <w:rPr>
          <w:sz w:val="20"/>
        </w:rPr>
        <w:t>Braille.</w:t>
      </w:r>
      <w:r>
        <w:rPr>
          <w:position w:val="7"/>
          <w:sz w:val="11"/>
        </w:rPr>
        <w:t>38</w:t>
      </w:r>
    </w:p>
    <w:p>
      <w:pPr>
        <w:pStyle w:val="ListParagraph"/>
        <w:numPr>
          <w:ilvl w:val="1"/>
          <w:numId w:val="12"/>
        </w:numPr>
        <w:tabs>
          <w:tab w:pos="1761" w:val="left" w:leader="none"/>
          <w:tab w:pos="1762" w:val="left" w:leader="none"/>
        </w:tabs>
        <w:spacing w:line="206" w:lineRule="auto" w:before="124" w:after="0"/>
        <w:ind w:left="1761" w:right="1601" w:hanging="794"/>
        <w:jc w:val="left"/>
        <w:rPr>
          <w:sz w:val="20"/>
        </w:rPr>
      </w:pPr>
      <w:r>
        <w:rPr>
          <w:spacing w:val="-2"/>
          <w:sz w:val="20"/>
        </w:rPr>
        <w:t>Electronic </w:t>
      </w:r>
      <w:r>
        <w:rPr>
          <w:sz w:val="20"/>
        </w:rPr>
        <w:t>or </w:t>
      </w:r>
      <w:r>
        <w:rPr>
          <w:spacing w:val="-3"/>
          <w:sz w:val="20"/>
        </w:rPr>
        <w:t>refreshable </w:t>
      </w:r>
      <w:r>
        <w:rPr>
          <w:sz w:val="20"/>
        </w:rPr>
        <w:t>Braille displays </w:t>
      </w:r>
      <w:r>
        <w:rPr>
          <w:spacing w:val="-3"/>
          <w:sz w:val="20"/>
        </w:rPr>
        <w:t>are </w:t>
      </w:r>
      <w:r>
        <w:rPr>
          <w:sz w:val="20"/>
        </w:rPr>
        <w:t>tactile </w:t>
      </w:r>
      <w:r>
        <w:rPr>
          <w:spacing w:val="-3"/>
          <w:sz w:val="20"/>
        </w:rPr>
        <w:t>devices </w:t>
      </w:r>
      <w:r>
        <w:rPr>
          <w:sz w:val="20"/>
        </w:rPr>
        <w:t>that can be connected to</w:t>
      </w:r>
      <w:r>
        <w:rPr>
          <w:spacing w:val="-11"/>
          <w:sz w:val="20"/>
        </w:rPr>
        <w:t> </w:t>
      </w:r>
      <w:r>
        <w:rPr>
          <w:sz w:val="20"/>
        </w:rPr>
        <w:t>computers</w:t>
      </w:r>
      <w:r>
        <w:rPr>
          <w:spacing w:val="-10"/>
          <w:sz w:val="20"/>
        </w:rPr>
        <w:t> </w:t>
      </w:r>
      <w:r>
        <w:rPr>
          <w:sz w:val="20"/>
        </w:rPr>
        <w:t>or</w:t>
      </w:r>
      <w:r>
        <w:rPr>
          <w:spacing w:val="-10"/>
          <w:sz w:val="20"/>
        </w:rPr>
        <w:t> </w:t>
      </w:r>
      <w:r>
        <w:rPr>
          <w:sz w:val="20"/>
        </w:rPr>
        <w:t>smart</w:t>
      </w:r>
      <w:r>
        <w:rPr>
          <w:spacing w:val="-10"/>
          <w:sz w:val="20"/>
        </w:rPr>
        <w:t> </w:t>
      </w:r>
      <w:r>
        <w:rPr>
          <w:spacing w:val="-3"/>
          <w:sz w:val="20"/>
        </w:rPr>
        <w:t>devices</w:t>
      </w:r>
      <w:r>
        <w:rPr>
          <w:spacing w:val="-10"/>
          <w:sz w:val="20"/>
        </w:rPr>
        <w:t> </w:t>
      </w:r>
      <w:r>
        <w:rPr>
          <w:sz w:val="20"/>
        </w:rPr>
        <w:t>through</w:t>
      </w:r>
      <w:r>
        <w:rPr>
          <w:spacing w:val="-11"/>
          <w:sz w:val="20"/>
        </w:rPr>
        <w:t> </w:t>
      </w:r>
      <w:r>
        <w:rPr>
          <w:sz w:val="20"/>
        </w:rPr>
        <w:t>Bluetooth.</w:t>
      </w:r>
      <w:r>
        <w:rPr>
          <w:spacing w:val="-10"/>
          <w:sz w:val="20"/>
        </w:rPr>
        <w:t> </w:t>
      </w:r>
      <w:r>
        <w:rPr>
          <w:sz w:val="20"/>
        </w:rPr>
        <w:t>They</w:t>
      </w:r>
      <w:r>
        <w:rPr>
          <w:spacing w:val="-10"/>
          <w:sz w:val="20"/>
        </w:rPr>
        <w:t> </w:t>
      </w:r>
      <w:r>
        <w:rPr>
          <w:sz w:val="20"/>
        </w:rPr>
        <w:t>enable</w:t>
      </w:r>
      <w:r>
        <w:rPr>
          <w:spacing w:val="-10"/>
          <w:sz w:val="20"/>
        </w:rPr>
        <w:t> </w:t>
      </w:r>
      <w:r>
        <w:rPr>
          <w:sz w:val="20"/>
        </w:rPr>
        <w:t>the</w:t>
      </w:r>
      <w:r>
        <w:rPr>
          <w:spacing w:val="-10"/>
          <w:sz w:val="20"/>
        </w:rPr>
        <w:t> </w:t>
      </w:r>
      <w:r>
        <w:rPr>
          <w:sz w:val="20"/>
        </w:rPr>
        <w:t>user</w:t>
      </w:r>
      <w:r>
        <w:rPr>
          <w:spacing w:val="-10"/>
          <w:sz w:val="20"/>
        </w:rPr>
        <w:t> </w:t>
      </w:r>
      <w:r>
        <w:rPr>
          <w:sz w:val="20"/>
        </w:rPr>
        <w:t>to</w:t>
      </w:r>
      <w:r>
        <w:rPr>
          <w:spacing w:val="-11"/>
          <w:sz w:val="20"/>
        </w:rPr>
        <w:t> </w:t>
      </w:r>
      <w:r>
        <w:rPr>
          <w:spacing w:val="-3"/>
          <w:sz w:val="20"/>
        </w:rPr>
        <w:t>read</w:t>
      </w:r>
      <w:r>
        <w:rPr>
          <w:spacing w:val="-10"/>
          <w:sz w:val="20"/>
        </w:rPr>
        <w:t> </w:t>
      </w:r>
      <w:r>
        <w:rPr>
          <w:sz w:val="20"/>
        </w:rPr>
        <w:t>the contents</w:t>
      </w:r>
      <w:r>
        <w:rPr>
          <w:spacing w:val="-13"/>
          <w:sz w:val="20"/>
        </w:rPr>
        <w:t> </w:t>
      </w:r>
      <w:r>
        <w:rPr>
          <w:sz w:val="20"/>
        </w:rPr>
        <w:t>of</w:t>
      </w:r>
      <w:r>
        <w:rPr>
          <w:spacing w:val="-12"/>
          <w:sz w:val="20"/>
        </w:rPr>
        <w:t> </w:t>
      </w:r>
      <w:r>
        <w:rPr>
          <w:sz w:val="20"/>
        </w:rPr>
        <w:t>a</w:t>
      </w:r>
      <w:r>
        <w:rPr>
          <w:spacing w:val="-12"/>
          <w:sz w:val="20"/>
        </w:rPr>
        <w:t> </w:t>
      </w:r>
      <w:r>
        <w:rPr>
          <w:sz w:val="20"/>
        </w:rPr>
        <w:t>screen</w:t>
      </w:r>
      <w:r>
        <w:rPr>
          <w:spacing w:val="-12"/>
          <w:sz w:val="20"/>
        </w:rPr>
        <w:t> </w:t>
      </w:r>
      <w:r>
        <w:rPr>
          <w:sz w:val="20"/>
        </w:rPr>
        <w:t>through</w:t>
      </w:r>
      <w:r>
        <w:rPr>
          <w:spacing w:val="-12"/>
          <w:sz w:val="20"/>
        </w:rPr>
        <w:t> </w:t>
      </w:r>
      <w:r>
        <w:rPr>
          <w:sz w:val="20"/>
        </w:rPr>
        <w:t>Braille.</w:t>
      </w:r>
      <w:r>
        <w:rPr>
          <w:spacing w:val="-12"/>
          <w:sz w:val="20"/>
        </w:rPr>
        <w:t> </w:t>
      </w:r>
      <w:r>
        <w:rPr>
          <w:sz w:val="20"/>
        </w:rPr>
        <w:t>Braille</w:t>
      </w:r>
      <w:r>
        <w:rPr>
          <w:spacing w:val="-12"/>
          <w:sz w:val="20"/>
        </w:rPr>
        <w:t> </w:t>
      </w:r>
      <w:r>
        <w:rPr>
          <w:sz w:val="20"/>
        </w:rPr>
        <w:t>displays</w:t>
      </w:r>
      <w:r>
        <w:rPr>
          <w:spacing w:val="-12"/>
          <w:sz w:val="20"/>
        </w:rPr>
        <w:t> </w:t>
      </w:r>
      <w:r>
        <w:rPr>
          <w:sz w:val="20"/>
        </w:rPr>
        <w:t>electronically</w:t>
      </w:r>
      <w:r>
        <w:rPr>
          <w:spacing w:val="-12"/>
          <w:sz w:val="20"/>
        </w:rPr>
        <w:t> </w:t>
      </w:r>
      <w:r>
        <w:rPr>
          <w:sz w:val="20"/>
        </w:rPr>
        <w:t>raise</w:t>
      </w:r>
      <w:r>
        <w:rPr>
          <w:spacing w:val="-13"/>
          <w:sz w:val="20"/>
        </w:rPr>
        <w:t> </w:t>
      </w:r>
      <w:r>
        <w:rPr>
          <w:sz w:val="20"/>
        </w:rPr>
        <w:t>and</w:t>
      </w:r>
      <w:r>
        <w:rPr>
          <w:spacing w:val="-12"/>
          <w:sz w:val="20"/>
        </w:rPr>
        <w:t> </w:t>
      </w:r>
      <w:r>
        <w:rPr>
          <w:spacing w:val="-4"/>
          <w:sz w:val="20"/>
        </w:rPr>
        <w:t>lower</w:t>
      </w:r>
    </w:p>
    <w:p>
      <w:pPr>
        <w:pStyle w:val="BodyText"/>
        <w:spacing w:line="230" w:lineRule="exact"/>
        <w:ind w:left="1761"/>
      </w:pPr>
      <w:r>
        <w:rPr/>
        <w:t>different combinations of pins in Braille cells, and the display changes continuously as</w:t>
      </w:r>
    </w:p>
    <w:p>
      <w:pPr>
        <w:pStyle w:val="BodyText"/>
        <w:spacing w:line="259" w:lineRule="exact"/>
        <w:ind w:left="1761"/>
        <w:rPr>
          <w:sz w:val="11"/>
        </w:rPr>
      </w:pPr>
      <w:r>
        <w:rPr/>
        <w:t>the user moves their cursor around on the screen.</w:t>
      </w:r>
      <w:r>
        <w:rPr>
          <w:position w:val="7"/>
          <w:sz w:val="11"/>
        </w:rPr>
        <w:t>39</w:t>
      </w:r>
    </w:p>
    <w:p>
      <w:pPr>
        <w:spacing w:before="153"/>
        <w:ind w:left="967" w:right="0" w:firstLine="0"/>
        <w:jc w:val="left"/>
        <w:rPr>
          <w:b/>
          <w:sz w:val="24"/>
        </w:rPr>
      </w:pPr>
      <w:r>
        <w:rPr>
          <w:b/>
          <w:sz w:val="24"/>
        </w:rPr>
        <w:t>Mobility canes and assistance animals</w:t>
      </w:r>
    </w:p>
    <w:p>
      <w:pPr>
        <w:pStyle w:val="ListParagraph"/>
        <w:numPr>
          <w:ilvl w:val="1"/>
          <w:numId w:val="12"/>
        </w:numPr>
        <w:tabs>
          <w:tab w:pos="1761" w:val="left" w:leader="none"/>
          <w:tab w:pos="1762" w:val="left" w:leader="none"/>
        </w:tabs>
        <w:spacing w:line="206" w:lineRule="auto" w:before="127" w:after="0"/>
        <w:ind w:left="1761" w:right="1350" w:hanging="794"/>
        <w:jc w:val="left"/>
        <w:rPr>
          <w:sz w:val="20"/>
        </w:rPr>
      </w:pPr>
      <w:r>
        <w:rPr>
          <w:sz w:val="20"/>
        </w:rPr>
        <w:t>In </w:t>
      </w:r>
      <w:r>
        <w:rPr>
          <w:spacing w:val="-2"/>
          <w:sz w:val="20"/>
        </w:rPr>
        <w:t>Chapter </w:t>
      </w:r>
      <w:r>
        <w:rPr>
          <w:sz w:val="20"/>
        </w:rPr>
        <w:t>11 </w:t>
      </w:r>
      <w:r>
        <w:rPr>
          <w:spacing w:val="-3"/>
          <w:sz w:val="20"/>
        </w:rPr>
        <w:t>we </w:t>
      </w:r>
      <w:r>
        <w:rPr>
          <w:sz w:val="20"/>
        </w:rPr>
        <w:t>canvass concerns about the accessibility of court buildings and courtrooms in Victoria. </w:t>
      </w:r>
      <w:r>
        <w:rPr>
          <w:spacing w:val="-6"/>
          <w:sz w:val="20"/>
        </w:rPr>
        <w:t>We </w:t>
      </w:r>
      <w:r>
        <w:rPr>
          <w:sz w:val="20"/>
        </w:rPr>
        <w:t>recommend that the courts </w:t>
      </w:r>
      <w:r>
        <w:rPr>
          <w:spacing w:val="-4"/>
          <w:sz w:val="20"/>
        </w:rPr>
        <w:t>improve </w:t>
      </w:r>
      <w:r>
        <w:rPr>
          <w:sz w:val="20"/>
        </w:rPr>
        <w:t>accessibility </w:t>
      </w:r>
      <w:r>
        <w:rPr>
          <w:spacing w:val="-3"/>
          <w:sz w:val="20"/>
        </w:rPr>
        <w:t>across </w:t>
      </w:r>
      <w:r>
        <w:rPr>
          <w:sz w:val="20"/>
        </w:rPr>
        <w:t>Melbourne</w:t>
      </w:r>
      <w:r>
        <w:rPr>
          <w:spacing w:val="-12"/>
          <w:sz w:val="20"/>
        </w:rPr>
        <w:t> </w:t>
      </w:r>
      <w:r>
        <w:rPr>
          <w:sz w:val="20"/>
        </w:rPr>
        <w:t>and</w:t>
      </w:r>
      <w:r>
        <w:rPr>
          <w:spacing w:val="-11"/>
          <w:sz w:val="20"/>
        </w:rPr>
        <w:t> </w:t>
      </w:r>
      <w:r>
        <w:rPr>
          <w:sz w:val="20"/>
        </w:rPr>
        <w:t>regional</w:t>
      </w:r>
      <w:r>
        <w:rPr>
          <w:spacing w:val="-11"/>
          <w:sz w:val="20"/>
        </w:rPr>
        <w:t> </w:t>
      </w:r>
      <w:r>
        <w:rPr>
          <w:sz w:val="20"/>
        </w:rPr>
        <w:t>Victoria</w:t>
      </w:r>
      <w:r>
        <w:rPr>
          <w:spacing w:val="-11"/>
          <w:sz w:val="20"/>
        </w:rPr>
        <w:t> </w:t>
      </w:r>
      <w:r>
        <w:rPr>
          <w:sz w:val="20"/>
        </w:rPr>
        <w:t>to</w:t>
      </w:r>
      <w:r>
        <w:rPr>
          <w:spacing w:val="-11"/>
          <w:sz w:val="20"/>
        </w:rPr>
        <w:t> </w:t>
      </w:r>
      <w:r>
        <w:rPr>
          <w:sz w:val="20"/>
        </w:rPr>
        <w:t>enable</w:t>
      </w:r>
      <w:r>
        <w:rPr>
          <w:spacing w:val="-11"/>
          <w:sz w:val="20"/>
        </w:rPr>
        <w:t> </w:t>
      </w:r>
      <w:r>
        <w:rPr>
          <w:sz w:val="20"/>
        </w:rPr>
        <w:t>people</w:t>
      </w:r>
      <w:r>
        <w:rPr>
          <w:spacing w:val="-11"/>
          <w:sz w:val="20"/>
        </w:rPr>
        <w:t> </w:t>
      </w:r>
      <w:r>
        <w:rPr>
          <w:spacing w:val="-3"/>
          <w:sz w:val="20"/>
        </w:rPr>
        <w:t>from</w:t>
      </w:r>
      <w:r>
        <w:rPr>
          <w:spacing w:val="-12"/>
          <w:sz w:val="20"/>
        </w:rPr>
        <w:t> </w:t>
      </w:r>
      <w:r>
        <w:rPr>
          <w:sz w:val="20"/>
        </w:rPr>
        <w:t>the</w:t>
      </w:r>
      <w:r>
        <w:rPr>
          <w:spacing w:val="-11"/>
          <w:sz w:val="20"/>
        </w:rPr>
        <w:t> </w:t>
      </w:r>
      <w:r>
        <w:rPr>
          <w:sz w:val="20"/>
        </w:rPr>
        <w:t>subject</w:t>
      </w:r>
      <w:r>
        <w:rPr>
          <w:spacing w:val="-11"/>
          <w:sz w:val="20"/>
        </w:rPr>
        <w:t> </w:t>
      </w:r>
      <w:r>
        <w:rPr>
          <w:sz w:val="20"/>
        </w:rPr>
        <w:t>groups</w:t>
      </w:r>
      <w:r>
        <w:rPr>
          <w:spacing w:val="-11"/>
          <w:sz w:val="20"/>
        </w:rPr>
        <w:t> </w:t>
      </w:r>
      <w:r>
        <w:rPr>
          <w:sz w:val="20"/>
        </w:rPr>
        <w:t>to</w:t>
      </w:r>
      <w:r>
        <w:rPr>
          <w:spacing w:val="-11"/>
          <w:sz w:val="20"/>
        </w:rPr>
        <w:t> </w:t>
      </w:r>
      <w:r>
        <w:rPr>
          <w:sz w:val="20"/>
        </w:rPr>
        <w:t>serve</w:t>
      </w:r>
      <w:r>
        <w:rPr>
          <w:spacing w:val="-11"/>
          <w:sz w:val="20"/>
        </w:rPr>
        <w:t> </w:t>
      </w:r>
      <w:r>
        <w:rPr>
          <w:sz w:val="20"/>
        </w:rPr>
        <w:t>as jurors.</w:t>
      </w:r>
    </w:p>
    <w:p>
      <w:pPr>
        <w:pStyle w:val="ListParagraph"/>
        <w:numPr>
          <w:ilvl w:val="1"/>
          <w:numId w:val="12"/>
        </w:numPr>
        <w:tabs>
          <w:tab w:pos="1761" w:val="left" w:leader="none"/>
          <w:tab w:pos="1762" w:val="left" w:leader="none"/>
        </w:tabs>
        <w:spacing w:line="259" w:lineRule="exact" w:before="93" w:after="0"/>
        <w:ind w:left="1761" w:right="0" w:hanging="794"/>
        <w:jc w:val="left"/>
        <w:rPr>
          <w:sz w:val="20"/>
        </w:rPr>
      </w:pPr>
      <w:r>
        <w:rPr>
          <w:sz w:val="20"/>
        </w:rPr>
        <w:t>Blind</w:t>
      </w:r>
      <w:r>
        <w:rPr>
          <w:spacing w:val="-7"/>
          <w:sz w:val="20"/>
        </w:rPr>
        <w:t> </w:t>
      </w:r>
      <w:r>
        <w:rPr>
          <w:sz w:val="20"/>
        </w:rPr>
        <w:t>jurors</w:t>
      </w:r>
      <w:r>
        <w:rPr>
          <w:spacing w:val="-6"/>
          <w:sz w:val="20"/>
        </w:rPr>
        <w:t> </w:t>
      </w:r>
      <w:r>
        <w:rPr>
          <w:spacing w:val="-3"/>
          <w:sz w:val="20"/>
        </w:rPr>
        <w:t>may</w:t>
      </w:r>
      <w:r>
        <w:rPr>
          <w:spacing w:val="-6"/>
          <w:sz w:val="20"/>
        </w:rPr>
        <w:t> </w:t>
      </w:r>
      <w:r>
        <w:rPr>
          <w:spacing w:val="-4"/>
          <w:sz w:val="20"/>
        </w:rPr>
        <w:t>rely</w:t>
      </w:r>
      <w:r>
        <w:rPr>
          <w:spacing w:val="-7"/>
          <w:sz w:val="20"/>
        </w:rPr>
        <w:t> </w:t>
      </w:r>
      <w:r>
        <w:rPr>
          <w:sz w:val="20"/>
        </w:rPr>
        <w:t>on</w:t>
      </w:r>
      <w:r>
        <w:rPr>
          <w:spacing w:val="-6"/>
          <w:sz w:val="20"/>
        </w:rPr>
        <w:t> </w:t>
      </w:r>
      <w:r>
        <w:rPr>
          <w:sz w:val="20"/>
        </w:rPr>
        <w:t>mobility</w:t>
      </w:r>
      <w:r>
        <w:rPr>
          <w:spacing w:val="-6"/>
          <w:sz w:val="20"/>
        </w:rPr>
        <w:t> </w:t>
      </w:r>
      <w:r>
        <w:rPr>
          <w:sz w:val="20"/>
        </w:rPr>
        <w:t>tools</w:t>
      </w:r>
      <w:r>
        <w:rPr>
          <w:spacing w:val="-7"/>
          <w:sz w:val="20"/>
        </w:rPr>
        <w:t> </w:t>
      </w:r>
      <w:r>
        <w:rPr>
          <w:sz w:val="20"/>
        </w:rPr>
        <w:t>such</w:t>
      </w:r>
      <w:r>
        <w:rPr>
          <w:spacing w:val="-6"/>
          <w:sz w:val="20"/>
        </w:rPr>
        <w:t> </w:t>
      </w:r>
      <w:r>
        <w:rPr>
          <w:sz w:val="20"/>
        </w:rPr>
        <w:t>as</w:t>
      </w:r>
      <w:r>
        <w:rPr>
          <w:spacing w:val="-6"/>
          <w:sz w:val="20"/>
        </w:rPr>
        <w:t> </w:t>
      </w:r>
      <w:r>
        <w:rPr>
          <w:sz w:val="20"/>
        </w:rPr>
        <w:t>mobility</w:t>
      </w:r>
      <w:r>
        <w:rPr>
          <w:spacing w:val="-7"/>
          <w:sz w:val="20"/>
        </w:rPr>
        <w:t> </w:t>
      </w:r>
      <w:r>
        <w:rPr>
          <w:sz w:val="20"/>
        </w:rPr>
        <w:t>canes,</w:t>
      </w:r>
      <w:r>
        <w:rPr>
          <w:spacing w:val="-6"/>
          <w:sz w:val="20"/>
        </w:rPr>
        <w:t> </w:t>
      </w:r>
      <w:r>
        <w:rPr>
          <w:sz w:val="20"/>
        </w:rPr>
        <w:t>which</w:t>
      </w:r>
      <w:r>
        <w:rPr>
          <w:spacing w:val="-6"/>
          <w:sz w:val="20"/>
        </w:rPr>
        <w:t> </w:t>
      </w:r>
      <w:r>
        <w:rPr>
          <w:sz w:val="20"/>
        </w:rPr>
        <w:t>come</w:t>
      </w:r>
      <w:r>
        <w:rPr>
          <w:spacing w:val="-7"/>
          <w:sz w:val="20"/>
        </w:rPr>
        <w:t> </w:t>
      </w:r>
      <w:r>
        <w:rPr>
          <w:sz w:val="20"/>
        </w:rPr>
        <w:t>in</w:t>
      </w:r>
      <w:r>
        <w:rPr>
          <w:spacing w:val="-6"/>
          <w:sz w:val="20"/>
        </w:rPr>
        <w:t> </w:t>
      </w:r>
      <w:r>
        <w:rPr>
          <w:sz w:val="20"/>
        </w:rPr>
        <w:t>different</w:t>
      </w:r>
    </w:p>
    <w:p>
      <w:pPr>
        <w:pStyle w:val="BodyText"/>
        <w:spacing w:line="259" w:lineRule="exact"/>
        <w:ind w:left="1761"/>
      </w:pPr>
      <w:r>
        <w:rPr/>
        <w:t>forms:</w:t>
      </w:r>
    </w:p>
    <w:p>
      <w:pPr>
        <w:pStyle w:val="ListParagraph"/>
        <w:numPr>
          <w:ilvl w:val="2"/>
          <w:numId w:val="12"/>
        </w:numPr>
        <w:tabs>
          <w:tab w:pos="2157" w:val="left" w:leader="none"/>
          <w:tab w:pos="2158" w:val="left" w:leader="none"/>
        </w:tabs>
        <w:spacing w:line="206" w:lineRule="auto" w:before="115" w:after="0"/>
        <w:ind w:left="2157" w:right="1422" w:hanging="396"/>
        <w:jc w:val="left"/>
        <w:rPr>
          <w:sz w:val="20"/>
        </w:rPr>
      </w:pPr>
      <w:r>
        <w:rPr>
          <w:sz w:val="20"/>
        </w:rPr>
        <w:t>Long</w:t>
      </w:r>
      <w:r>
        <w:rPr>
          <w:spacing w:val="-10"/>
          <w:sz w:val="20"/>
        </w:rPr>
        <w:t> </w:t>
      </w:r>
      <w:r>
        <w:rPr>
          <w:sz w:val="20"/>
        </w:rPr>
        <w:t>canes</w:t>
      </w:r>
      <w:r>
        <w:rPr>
          <w:spacing w:val="-10"/>
          <w:sz w:val="20"/>
        </w:rPr>
        <w:t> </w:t>
      </w:r>
      <w:r>
        <w:rPr>
          <w:sz w:val="20"/>
        </w:rPr>
        <w:t>enable</w:t>
      </w:r>
      <w:r>
        <w:rPr>
          <w:spacing w:val="-9"/>
          <w:sz w:val="20"/>
        </w:rPr>
        <w:t> </w:t>
      </w:r>
      <w:r>
        <w:rPr>
          <w:sz w:val="20"/>
        </w:rPr>
        <w:t>a</w:t>
      </w:r>
      <w:r>
        <w:rPr>
          <w:spacing w:val="-10"/>
          <w:sz w:val="20"/>
        </w:rPr>
        <w:t> </w:t>
      </w:r>
      <w:r>
        <w:rPr>
          <w:sz w:val="20"/>
        </w:rPr>
        <w:t>person</w:t>
      </w:r>
      <w:r>
        <w:rPr>
          <w:spacing w:val="-9"/>
          <w:sz w:val="20"/>
        </w:rPr>
        <w:t> </w:t>
      </w:r>
      <w:r>
        <w:rPr>
          <w:sz w:val="20"/>
        </w:rPr>
        <w:t>who</w:t>
      </w:r>
      <w:r>
        <w:rPr>
          <w:spacing w:val="-10"/>
          <w:sz w:val="20"/>
        </w:rPr>
        <w:t> </w:t>
      </w:r>
      <w:r>
        <w:rPr>
          <w:sz w:val="20"/>
        </w:rPr>
        <w:t>is</w:t>
      </w:r>
      <w:r>
        <w:rPr>
          <w:spacing w:val="-9"/>
          <w:sz w:val="20"/>
        </w:rPr>
        <w:t> </w:t>
      </w:r>
      <w:r>
        <w:rPr>
          <w:sz w:val="20"/>
        </w:rPr>
        <w:t>blind</w:t>
      </w:r>
      <w:r>
        <w:rPr>
          <w:spacing w:val="-10"/>
          <w:sz w:val="20"/>
        </w:rPr>
        <w:t> </w:t>
      </w:r>
      <w:r>
        <w:rPr>
          <w:sz w:val="20"/>
        </w:rPr>
        <w:t>or</w:t>
      </w:r>
      <w:r>
        <w:rPr>
          <w:spacing w:val="-9"/>
          <w:sz w:val="20"/>
        </w:rPr>
        <w:t> </w:t>
      </w:r>
      <w:r>
        <w:rPr>
          <w:sz w:val="20"/>
        </w:rPr>
        <w:t>has</w:t>
      </w:r>
      <w:r>
        <w:rPr>
          <w:spacing w:val="-10"/>
          <w:sz w:val="20"/>
        </w:rPr>
        <w:t> </w:t>
      </w:r>
      <w:r>
        <w:rPr>
          <w:spacing w:val="-4"/>
          <w:sz w:val="20"/>
        </w:rPr>
        <w:t>low</w:t>
      </w:r>
      <w:r>
        <w:rPr>
          <w:spacing w:val="-9"/>
          <w:sz w:val="20"/>
        </w:rPr>
        <w:t> </w:t>
      </w:r>
      <w:r>
        <w:rPr>
          <w:sz w:val="20"/>
        </w:rPr>
        <w:t>vision</w:t>
      </w:r>
      <w:r>
        <w:rPr>
          <w:spacing w:val="-10"/>
          <w:sz w:val="20"/>
        </w:rPr>
        <w:t> </w:t>
      </w:r>
      <w:r>
        <w:rPr>
          <w:sz w:val="20"/>
        </w:rPr>
        <w:t>to</w:t>
      </w:r>
      <w:r>
        <w:rPr>
          <w:spacing w:val="-9"/>
          <w:sz w:val="20"/>
        </w:rPr>
        <w:t> </w:t>
      </w:r>
      <w:r>
        <w:rPr>
          <w:sz w:val="20"/>
        </w:rPr>
        <w:t>detect</w:t>
      </w:r>
      <w:r>
        <w:rPr>
          <w:spacing w:val="-10"/>
          <w:sz w:val="20"/>
        </w:rPr>
        <w:t> </w:t>
      </w:r>
      <w:r>
        <w:rPr>
          <w:sz w:val="20"/>
        </w:rPr>
        <w:t>all</w:t>
      </w:r>
      <w:r>
        <w:rPr>
          <w:spacing w:val="-10"/>
          <w:sz w:val="20"/>
        </w:rPr>
        <w:t> </w:t>
      </w:r>
      <w:r>
        <w:rPr>
          <w:sz w:val="20"/>
        </w:rPr>
        <w:t>obstacles and hazards within their path of</w:t>
      </w:r>
      <w:r>
        <w:rPr>
          <w:spacing w:val="-27"/>
          <w:sz w:val="20"/>
        </w:rPr>
        <w:t> </w:t>
      </w:r>
      <w:r>
        <w:rPr>
          <w:spacing w:val="-3"/>
          <w:sz w:val="20"/>
        </w:rPr>
        <w:t>travel.</w:t>
      </w:r>
    </w:p>
    <w:p>
      <w:pPr>
        <w:pStyle w:val="ListParagraph"/>
        <w:numPr>
          <w:ilvl w:val="2"/>
          <w:numId w:val="12"/>
        </w:numPr>
        <w:tabs>
          <w:tab w:pos="2157" w:val="left" w:leader="none"/>
          <w:tab w:pos="2158" w:val="left" w:leader="none"/>
        </w:tabs>
        <w:spacing w:line="240" w:lineRule="auto" w:before="55" w:after="0"/>
        <w:ind w:left="2157" w:right="0" w:hanging="396"/>
        <w:jc w:val="left"/>
        <w:rPr>
          <w:sz w:val="20"/>
        </w:rPr>
      </w:pPr>
      <w:r>
        <w:rPr>
          <w:sz w:val="20"/>
        </w:rPr>
        <w:t>Support canes can aid balance and </w:t>
      </w:r>
      <w:r>
        <w:rPr>
          <w:spacing w:val="-3"/>
          <w:sz w:val="20"/>
        </w:rPr>
        <w:t>provide </w:t>
      </w:r>
      <w:r>
        <w:rPr>
          <w:spacing w:val="-2"/>
          <w:sz w:val="20"/>
        </w:rPr>
        <w:t>physical</w:t>
      </w:r>
      <w:r>
        <w:rPr>
          <w:spacing w:val="-32"/>
          <w:sz w:val="20"/>
        </w:rPr>
        <w:t> </w:t>
      </w:r>
      <w:r>
        <w:rPr>
          <w:sz w:val="20"/>
        </w:rPr>
        <w:t>support.</w:t>
      </w:r>
    </w:p>
    <w:p>
      <w:pPr>
        <w:pStyle w:val="ListParagraph"/>
        <w:numPr>
          <w:ilvl w:val="2"/>
          <w:numId w:val="12"/>
        </w:numPr>
        <w:tabs>
          <w:tab w:pos="2157" w:val="left" w:leader="none"/>
          <w:tab w:pos="2158" w:val="left" w:leader="none"/>
        </w:tabs>
        <w:spacing w:line="240" w:lineRule="auto" w:before="47" w:after="0"/>
        <w:ind w:left="2157" w:right="0" w:hanging="396"/>
        <w:jc w:val="left"/>
        <w:rPr>
          <w:sz w:val="11"/>
        </w:rPr>
      </w:pPr>
      <w:r>
        <w:rPr>
          <w:sz w:val="20"/>
        </w:rPr>
        <w:t>White</w:t>
      </w:r>
      <w:r>
        <w:rPr>
          <w:spacing w:val="-6"/>
          <w:sz w:val="20"/>
        </w:rPr>
        <w:t> </w:t>
      </w:r>
      <w:r>
        <w:rPr>
          <w:sz w:val="20"/>
        </w:rPr>
        <w:t>identification</w:t>
      </w:r>
      <w:r>
        <w:rPr>
          <w:spacing w:val="-5"/>
          <w:sz w:val="20"/>
        </w:rPr>
        <w:t> </w:t>
      </w:r>
      <w:r>
        <w:rPr>
          <w:sz w:val="20"/>
        </w:rPr>
        <w:t>canes</w:t>
      </w:r>
      <w:r>
        <w:rPr>
          <w:spacing w:val="-6"/>
          <w:sz w:val="20"/>
        </w:rPr>
        <w:t> </w:t>
      </w:r>
      <w:r>
        <w:rPr>
          <w:sz w:val="20"/>
        </w:rPr>
        <w:t>indicate</w:t>
      </w:r>
      <w:r>
        <w:rPr>
          <w:spacing w:val="-5"/>
          <w:sz w:val="20"/>
        </w:rPr>
        <w:t> </w:t>
      </w:r>
      <w:r>
        <w:rPr>
          <w:sz w:val="20"/>
        </w:rPr>
        <w:t>to</w:t>
      </w:r>
      <w:r>
        <w:rPr>
          <w:spacing w:val="-5"/>
          <w:sz w:val="20"/>
        </w:rPr>
        <w:t> </w:t>
      </w:r>
      <w:r>
        <w:rPr>
          <w:sz w:val="20"/>
        </w:rPr>
        <w:t>others</w:t>
      </w:r>
      <w:r>
        <w:rPr>
          <w:spacing w:val="-6"/>
          <w:sz w:val="20"/>
        </w:rPr>
        <w:t> </w:t>
      </w:r>
      <w:r>
        <w:rPr>
          <w:sz w:val="20"/>
        </w:rPr>
        <w:t>that</w:t>
      </w:r>
      <w:r>
        <w:rPr>
          <w:spacing w:val="-5"/>
          <w:sz w:val="20"/>
        </w:rPr>
        <w:t> </w:t>
      </w:r>
      <w:r>
        <w:rPr>
          <w:sz w:val="20"/>
        </w:rPr>
        <w:t>a</w:t>
      </w:r>
      <w:r>
        <w:rPr>
          <w:spacing w:val="-6"/>
          <w:sz w:val="20"/>
        </w:rPr>
        <w:t> </w:t>
      </w:r>
      <w:r>
        <w:rPr>
          <w:sz w:val="20"/>
        </w:rPr>
        <w:t>person</w:t>
      </w:r>
      <w:r>
        <w:rPr>
          <w:spacing w:val="-5"/>
          <w:sz w:val="20"/>
        </w:rPr>
        <w:t> </w:t>
      </w:r>
      <w:r>
        <w:rPr>
          <w:sz w:val="20"/>
        </w:rPr>
        <w:t>has</w:t>
      </w:r>
      <w:r>
        <w:rPr>
          <w:spacing w:val="-5"/>
          <w:sz w:val="20"/>
        </w:rPr>
        <w:t> </w:t>
      </w:r>
      <w:r>
        <w:rPr>
          <w:spacing w:val="-4"/>
          <w:sz w:val="20"/>
        </w:rPr>
        <w:t>low</w:t>
      </w:r>
      <w:r>
        <w:rPr>
          <w:spacing w:val="-6"/>
          <w:sz w:val="20"/>
        </w:rPr>
        <w:t> </w:t>
      </w:r>
      <w:r>
        <w:rPr>
          <w:sz w:val="20"/>
        </w:rPr>
        <w:t>vision.</w:t>
      </w:r>
      <w:r>
        <w:rPr>
          <w:position w:val="7"/>
          <w:sz w:val="11"/>
        </w:rPr>
        <w:t>40</w:t>
      </w:r>
    </w:p>
    <w:p>
      <w:pPr>
        <w:pStyle w:val="ListParagraph"/>
        <w:numPr>
          <w:ilvl w:val="1"/>
          <w:numId w:val="12"/>
        </w:numPr>
        <w:tabs>
          <w:tab w:pos="1761" w:val="left" w:leader="none"/>
          <w:tab w:pos="1762" w:val="left" w:leader="none"/>
        </w:tabs>
        <w:spacing w:line="206" w:lineRule="auto" w:before="80" w:after="0"/>
        <w:ind w:left="1761" w:right="1217" w:hanging="794"/>
        <w:jc w:val="left"/>
        <w:rPr>
          <w:sz w:val="11"/>
        </w:rPr>
      </w:pPr>
      <w:r>
        <w:rPr>
          <w:spacing w:val="-3"/>
          <w:sz w:val="20"/>
        </w:rPr>
        <w:t>Prospective </w:t>
      </w:r>
      <w:r>
        <w:rPr>
          <w:sz w:val="20"/>
        </w:rPr>
        <w:t>jurors who </w:t>
      </w:r>
      <w:r>
        <w:rPr>
          <w:spacing w:val="-3"/>
          <w:sz w:val="20"/>
        </w:rPr>
        <w:t>are </w:t>
      </w:r>
      <w:r>
        <w:rPr>
          <w:sz w:val="20"/>
        </w:rPr>
        <w:t>blind </w:t>
      </w:r>
      <w:r>
        <w:rPr>
          <w:spacing w:val="-3"/>
          <w:sz w:val="20"/>
        </w:rPr>
        <w:t>may </w:t>
      </w:r>
      <w:r>
        <w:rPr>
          <w:sz w:val="20"/>
        </w:rPr>
        <w:t>also </w:t>
      </w:r>
      <w:r>
        <w:rPr>
          <w:spacing w:val="-3"/>
          <w:sz w:val="20"/>
        </w:rPr>
        <w:t>require </w:t>
      </w:r>
      <w:r>
        <w:rPr>
          <w:sz w:val="20"/>
        </w:rPr>
        <w:t>an assistance animal to </w:t>
      </w:r>
      <w:r>
        <w:rPr>
          <w:spacing w:val="-3"/>
          <w:sz w:val="20"/>
        </w:rPr>
        <w:t>navigate </w:t>
      </w:r>
      <w:r>
        <w:rPr>
          <w:sz w:val="20"/>
        </w:rPr>
        <w:t>the courtroom,</w:t>
      </w:r>
      <w:r>
        <w:rPr>
          <w:spacing w:val="-11"/>
          <w:sz w:val="20"/>
        </w:rPr>
        <w:t> </w:t>
      </w:r>
      <w:r>
        <w:rPr>
          <w:sz w:val="20"/>
        </w:rPr>
        <w:t>jury</w:t>
      </w:r>
      <w:r>
        <w:rPr>
          <w:spacing w:val="-11"/>
          <w:sz w:val="20"/>
        </w:rPr>
        <w:t> </w:t>
      </w:r>
      <w:r>
        <w:rPr>
          <w:sz w:val="20"/>
        </w:rPr>
        <w:t>room</w:t>
      </w:r>
      <w:r>
        <w:rPr>
          <w:spacing w:val="-11"/>
          <w:sz w:val="20"/>
        </w:rPr>
        <w:t> </w:t>
      </w:r>
      <w:r>
        <w:rPr>
          <w:sz w:val="20"/>
        </w:rPr>
        <w:t>and</w:t>
      </w:r>
      <w:r>
        <w:rPr>
          <w:spacing w:val="-11"/>
          <w:sz w:val="20"/>
        </w:rPr>
        <w:t> </w:t>
      </w:r>
      <w:r>
        <w:rPr>
          <w:sz w:val="20"/>
        </w:rPr>
        <w:t>court</w:t>
      </w:r>
      <w:r>
        <w:rPr>
          <w:spacing w:val="-11"/>
          <w:sz w:val="20"/>
        </w:rPr>
        <w:t> </w:t>
      </w:r>
      <w:r>
        <w:rPr>
          <w:sz w:val="20"/>
        </w:rPr>
        <w:t>building.</w:t>
      </w:r>
      <w:r>
        <w:rPr>
          <w:spacing w:val="-11"/>
          <w:sz w:val="20"/>
        </w:rPr>
        <w:t> </w:t>
      </w:r>
      <w:r>
        <w:rPr>
          <w:sz w:val="20"/>
        </w:rPr>
        <w:t>Under</w:t>
      </w:r>
      <w:r>
        <w:rPr>
          <w:spacing w:val="-11"/>
          <w:sz w:val="20"/>
        </w:rPr>
        <w:t> </w:t>
      </w:r>
      <w:r>
        <w:rPr>
          <w:sz w:val="20"/>
        </w:rPr>
        <w:t>the</w:t>
      </w:r>
      <w:r>
        <w:rPr>
          <w:spacing w:val="-11"/>
          <w:sz w:val="20"/>
        </w:rPr>
        <w:t> </w:t>
      </w:r>
      <w:r>
        <w:rPr>
          <w:i/>
          <w:sz w:val="20"/>
        </w:rPr>
        <w:t>Equal</w:t>
      </w:r>
      <w:r>
        <w:rPr>
          <w:i/>
          <w:spacing w:val="-11"/>
          <w:sz w:val="20"/>
        </w:rPr>
        <w:t> </w:t>
      </w:r>
      <w:r>
        <w:rPr>
          <w:i/>
          <w:sz w:val="20"/>
        </w:rPr>
        <w:t>Opportunity</w:t>
      </w:r>
      <w:r>
        <w:rPr>
          <w:i/>
          <w:spacing w:val="-11"/>
          <w:sz w:val="20"/>
        </w:rPr>
        <w:t> </w:t>
      </w:r>
      <w:r>
        <w:rPr>
          <w:i/>
          <w:sz w:val="20"/>
        </w:rPr>
        <w:t>Act</w:t>
      </w:r>
      <w:r>
        <w:rPr>
          <w:i/>
          <w:spacing w:val="-10"/>
          <w:sz w:val="20"/>
        </w:rPr>
        <w:t> </w:t>
      </w:r>
      <w:r>
        <w:rPr>
          <w:i/>
          <w:spacing w:val="-3"/>
          <w:sz w:val="20"/>
        </w:rPr>
        <w:t>2010</w:t>
      </w:r>
      <w:r>
        <w:rPr>
          <w:i/>
          <w:spacing w:val="-11"/>
          <w:sz w:val="20"/>
        </w:rPr>
        <w:t> </w:t>
      </w:r>
      <w:r>
        <w:rPr>
          <w:sz w:val="20"/>
        </w:rPr>
        <w:t>(Vic),</w:t>
      </w:r>
      <w:r>
        <w:rPr>
          <w:spacing w:val="-11"/>
          <w:sz w:val="20"/>
        </w:rPr>
        <w:t> </w:t>
      </w:r>
      <w:r>
        <w:rPr>
          <w:sz w:val="20"/>
        </w:rPr>
        <w:t>it</w:t>
      </w:r>
      <w:r>
        <w:rPr>
          <w:spacing w:val="-11"/>
          <w:sz w:val="20"/>
        </w:rPr>
        <w:t> </w:t>
      </w:r>
      <w:r>
        <w:rPr>
          <w:sz w:val="20"/>
        </w:rPr>
        <w:t>is against</w:t>
      </w:r>
      <w:r>
        <w:rPr>
          <w:spacing w:val="-10"/>
          <w:sz w:val="20"/>
        </w:rPr>
        <w:t> </w:t>
      </w:r>
      <w:r>
        <w:rPr>
          <w:sz w:val="20"/>
        </w:rPr>
        <w:t>the</w:t>
      </w:r>
      <w:r>
        <w:rPr>
          <w:spacing w:val="-9"/>
          <w:sz w:val="20"/>
        </w:rPr>
        <w:t> </w:t>
      </w:r>
      <w:r>
        <w:rPr>
          <w:sz w:val="20"/>
        </w:rPr>
        <w:t>law</w:t>
      </w:r>
      <w:r>
        <w:rPr>
          <w:spacing w:val="-10"/>
          <w:sz w:val="20"/>
        </w:rPr>
        <w:t> </w:t>
      </w:r>
      <w:r>
        <w:rPr>
          <w:sz w:val="20"/>
        </w:rPr>
        <w:t>to</w:t>
      </w:r>
      <w:r>
        <w:rPr>
          <w:spacing w:val="-9"/>
          <w:sz w:val="20"/>
        </w:rPr>
        <w:t> </w:t>
      </w:r>
      <w:r>
        <w:rPr>
          <w:sz w:val="20"/>
        </w:rPr>
        <w:t>discriminate</w:t>
      </w:r>
      <w:r>
        <w:rPr>
          <w:spacing w:val="-9"/>
          <w:sz w:val="20"/>
        </w:rPr>
        <w:t> </w:t>
      </w:r>
      <w:r>
        <w:rPr>
          <w:sz w:val="20"/>
        </w:rPr>
        <w:t>against</w:t>
      </w:r>
      <w:r>
        <w:rPr>
          <w:spacing w:val="-10"/>
          <w:sz w:val="20"/>
        </w:rPr>
        <w:t> </w:t>
      </w:r>
      <w:r>
        <w:rPr>
          <w:sz w:val="20"/>
        </w:rPr>
        <w:t>a</w:t>
      </w:r>
      <w:r>
        <w:rPr>
          <w:spacing w:val="-9"/>
          <w:sz w:val="20"/>
        </w:rPr>
        <w:t> </w:t>
      </w:r>
      <w:r>
        <w:rPr>
          <w:sz w:val="20"/>
        </w:rPr>
        <w:t>person</w:t>
      </w:r>
      <w:r>
        <w:rPr>
          <w:spacing w:val="-9"/>
          <w:sz w:val="20"/>
        </w:rPr>
        <w:t> </w:t>
      </w:r>
      <w:r>
        <w:rPr>
          <w:sz w:val="20"/>
        </w:rPr>
        <w:t>because</w:t>
      </w:r>
      <w:r>
        <w:rPr>
          <w:spacing w:val="-10"/>
          <w:sz w:val="20"/>
        </w:rPr>
        <w:t> </w:t>
      </w:r>
      <w:r>
        <w:rPr>
          <w:sz w:val="20"/>
        </w:rPr>
        <w:t>they</w:t>
      </w:r>
      <w:r>
        <w:rPr>
          <w:spacing w:val="-9"/>
          <w:sz w:val="20"/>
        </w:rPr>
        <w:t> </w:t>
      </w:r>
      <w:r>
        <w:rPr>
          <w:spacing w:val="-4"/>
          <w:sz w:val="20"/>
        </w:rPr>
        <w:t>have</w:t>
      </w:r>
      <w:r>
        <w:rPr>
          <w:spacing w:val="-9"/>
          <w:sz w:val="20"/>
        </w:rPr>
        <w:t> </w:t>
      </w:r>
      <w:r>
        <w:rPr>
          <w:sz w:val="20"/>
        </w:rPr>
        <w:t>an</w:t>
      </w:r>
      <w:r>
        <w:rPr>
          <w:spacing w:val="-10"/>
          <w:sz w:val="20"/>
        </w:rPr>
        <w:t> </w:t>
      </w:r>
      <w:r>
        <w:rPr>
          <w:sz w:val="20"/>
        </w:rPr>
        <w:t>assistance</w:t>
      </w:r>
      <w:r>
        <w:rPr>
          <w:spacing w:val="-9"/>
          <w:sz w:val="20"/>
        </w:rPr>
        <w:t> </w:t>
      </w:r>
      <w:r>
        <w:rPr>
          <w:sz w:val="20"/>
        </w:rPr>
        <w:t>dog.</w:t>
      </w:r>
      <w:r>
        <w:rPr>
          <w:position w:val="7"/>
          <w:sz w:val="11"/>
        </w:rPr>
        <w:t>41</w:t>
      </w:r>
    </w:p>
    <w:p>
      <w:pPr>
        <w:pStyle w:val="ListParagraph"/>
        <w:numPr>
          <w:ilvl w:val="1"/>
          <w:numId w:val="12"/>
        </w:numPr>
        <w:tabs>
          <w:tab w:pos="1761" w:val="left" w:leader="none"/>
          <w:tab w:pos="1762" w:val="left" w:leader="none"/>
        </w:tabs>
        <w:spacing w:line="206" w:lineRule="auto" w:before="124" w:after="0"/>
        <w:ind w:left="1761" w:right="1429" w:hanging="794"/>
        <w:jc w:val="left"/>
        <w:rPr>
          <w:sz w:val="20"/>
        </w:rPr>
      </w:pPr>
      <w:r>
        <w:rPr>
          <w:sz w:val="20"/>
        </w:rPr>
        <w:t>The </w:t>
      </w:r>
      <w:r>
        <w:rPr>
          <w:i/>
          <w:sz w:val="20"/>
        </w:rPr>
        <w:t>Disability Access Bench Book </w:t>
      </w:r>
      <w:r>
        <w:rPr>
          <w:sz w:val="20"/>
        </w:rPr>
        <w:t>states that where assistance animals </w:t>
      </w:r>
      <w:r>
        <w:rPr>
          <w:spacing w:val="-3"/>
          <w:sz w:val="20"/>
        </w:rPr>
        <w:t>accompany </w:t>
      </w:r>
      <w:r>
        <w:rPr>
          <w:sz w:val="20"/>
        </w:rPr>
        <w:t>court users with disabilities there will be a need to </w:t>
      </w:r>
      <w:r>
        <w:rPr>
          <w:spacing w:val="-3"/>
          <w:sz w:val="20"/>
        </w:rPr>
        <w:t>allow water </w:t>
      </w:r>
      <w:r>
        <w:rPr>
          <w:sz w:val="20"/>
        </w:rPr>
        <w:t>and </w:t>
      </w:r>
      <w:r>
        <w:rPr>
          <w:spacing w:val="-3"/>
          <w:sz w:val="20"/>
        </w:rPr>
        <w:t>toilet </w:t>
      </w:r>
      <w:r>
        <w:rPr>
          <w:sz w:val="20"/>
        </w:rPr>
        <w:t>breaks.</w:t>
      </w:r>
      <w:r>
        <w:rPr>
          <w:position w:val="7"/>
          <w:sz w:val="11"/>
        </w:rPr>
        <w:t>42</w:t>
      </w:r>
      <w:r>
        <w:rPr>
          <w:sz w:val="11"/>
        </w:rPr>
        <w:t> </w:t>
      </w:r>
      <w:r>
        <w:rPr>
          <w:sz w:val="20"/>
        </w:rPr>
        <w:t>This</w:t>
      </w:r>
      <w:r>
        <w:rPr>
          <w:spacing w:val="-9"/>
          <w:sz w:val="20"/>
        </w:rPr>
        <w:t> </w:t>
      </w:r>
      <w:r>
        <w:rPr>
          <w:spacing w:val="-3"/>
          <w:sz w:val="20"/>
        </w:rPr>
        <w:t>would</w:t>
      </w:r>
      <w:r>
        <w:rPr>
          <w:spacing w:val="-9"/>
          <w:sz w:val="20"/>
        </w:rPr>
        <w:t> </w:t>
      </w:r>
      <w:r>
        <w:rPr>
          <w:sz w:val="20"/>
        </w:rPr>
        <w:t>also</w:t>
      </w:r>
      <w:r>
        <w:rPr>
          <w:spacing w:val="-8"/>
          <w:sz w:val="20"/>
        </w:rPr>
        <w:t> </w:t>
      </w:r>
      <w:r>
        <w:rPr>
          <w:spacing w:val="-3"/>
          <w:sz w:val="20"/>
        </w:rPr>
        <w:t>apply</w:t>
      </w:r>
      <w:r>
        <w:rPr>
          <w:spacing w:val="-9"/>
          <w:sz w:val="20"/>
        </w:rPr>
        <w:t> </w:t>
      </w:r>
      <w:r>
        <w:rPr>
          <w:sz w:val="20"/>
        </w:rPr>
        <w:t>in</w:t>
      </w:r>
      <w:r>
        <w:rPr>
          <w:spacing w:val="-8"/>
          <w:sz w:val="20"/>
        </w:rPr>
        <w:t> </w:t>
      </w:r>
      <w:r>
        <w:rPr>
          <w:sz w:val="20"/>
        </w:rPr>
        <w:t>jury</w:t>
      </w:r>
      <w:r>
        <w:rPr>
          <w:spacing w:val="-9"/>
          <w:sz w:val="20"/>
        </w:rPr>
        <w:t> </w:t>
      </w:r>
      <w:r>
        <w:rPr>
          <w:spacing w:val="-4"/>
          <w:sz w:val="20"/>
        </w:rPr>
        <w:t>duty.</w:t>
      </w:r>
      <w:r>
        <w:rPr>
          <w:spacing w:val="-9"/>
          <w:sz w:val="20"/>
        </w:rPr>
        <w:t> </w:t>
      </w:r>
      <w:r>
        <w:rPr>
          <w:sz w:val="20"/>
        </w:rPr>
        <w:t>The</w:t>
      </w:r>
      <w:r>
        <w:rPr>
          <w:spacing w:val="-8"/>
          <w:sz w:val="20"/>
        </w:rPr>
        <w:t> </w:t>
      </w:r>
      <w:r>
        <w:rPr>
          <w:sz w:val="20"/>
        </w:rPr>
        <w:t>Office</w:t>
      </w:r>
      <w:r>
        <w:rPr>
          <w:spacing w:val="-9"/>
          <w:sz w:val="20"/>
        </w:rPr>
        <w:t> </w:t>
      </w:r>
      <w:r>
        <w:rPr>
          <w:sz w:val="20"/>
        </w:rPr>
        <w:t>of</w:t>
      </w:r>
      <w:r>
        <w:rPr>
          <w:spacing w:val="-8"/>
          <w:sz w:val="20"/>
        </w:rPr>
        <w:t> </w:t>
      </w:r>
      <w:r>
        <w:rPr>
          <w:sz w:val="20"/>
        </w:rPr>
        <w:t>Public</w:t>
      </w:r>
      <w:r>
        <w:rPr>
          <w:spacing w:val="-9"/>
          <w:sz w:val="20"/>
        </w:rPr>
        <w:t> </w:t>
      </w:r>
      <w:r>
        <w:rPr>
          <w:sz w:val="20"/>
        </w:rPr>
        <w:t>Prosecutions</w:t>
      </w:r>
      <w:r>
        <w:rPr>
          <w:spacing w:val="-9"/>
          <w:sz w:val="20"/>
        </w:rPr>
        <w:t> </w:t>
      </w:r>
      <w:r>
        <w:rPr>
          <w:spacing w:val="-3"/>
          <w:sz w:val="20"/>
        </w:rPr>
        <w:t>(OPP)</w:t>
      </w:r>
      <w:r>
        <w:rPr>
          <w:spacing w:val="-8"/>
          <w:sz w:val="20"/>
        </w:rPr>
        <w:t> </w:t>
      </w:r>
      <w:r>
        <w:rPr>
          <w:spacing w:val="-3"/>
          <w:sz w:val="20"/>
        </w:rPr>
        <w:t>told</w:t>
      </w:r>
      <w:r>
        <w:rPr>
          <w:spacing w:val="-9"/>
          <w:sz w:val="20"/>
        </w:rPr>
        <w:t> </w:t>
      </w:r>
      <w:r>
        <w:rPr>
          <w:sz w:val="20"/>
        </w:rPr>
        <w:t>us</w:t>
      </w:r>
      <w:r>
        <w:rPr>
          <w:spacing w:val="-8"/>
          <w:sz w:val="20"/>
        </w:rPr>
        <w:t> </w:t>
      </w:r>
      <w:r>
        <w:rPr>
          <w:sz w:val="20"/>
        </w:rPr>
        <w:t>that</w:t>
      </w:r>
    </w:p>
    <w:p>
      <w:pPr>
        <w:pStyle w:val="BodyText"/>
        <w:spacing w:line="206" w:lineRule="auto" w:before="4"/>
        <w:ind w:left="1761" w:right="1274"/>
      </w:pPr>
      <w:r>
        <w:rPr/>
        <w:t>assistance animals are routinely accommodated for witnesses or victims.</w:t>
      </w:r>
      <w:r>
        <w:rPr>
          <w:position w:val="7"/>
          <w:sz w:val="11"/>
        </w:rPr>
        <w:t>43 </w:t>
      </w:r>
      <w:r>
        <w:rPr/>
        <w:t>The courts are therefore accustomed to them.</w:t>
      </w:r>
    </w:p>
    <w:p>
      <w:pPr>
        <w:pStyle w:val="BodyText"/>
      </w:pPr>
    </w:p>
    <w:p>
      <w:pPr>
        <w:pStyle w:val="BodyText"/>
      </w:pPr>
    </w:p>
    <w:p>
      <w:pPr>
        <w:pStyle w:val="BodyText"/>
      </w:pPr>
    </w:p>
    <w:p>
      <w:pPr>
        <w:pStyle w:val="BodyText"/>
      </w:pPr>
    </w:p>
    <w:p>
      <w:pPr>
        <w:pStyle w:val="BodyText"/>
        <w:spacing w:before="13"/>
        <w:rPr>
          <w:sz w:val="14"/>
        </w:rPr>
      </w:pPr>
      <w:r>
        <w:rPr/>
        <w:pict>
          <v:line style="position:absolute;mso-position-horizontal-relative:page;mso-position-vertical-relative:paragraph;z-index:7952;mso-wrap-distance-left:0;mso-wrap-distance-right:0" from="79.370102pt,12.859269pt" to="515.905102pt,12.859269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96"/>
        </w:numPr>
        <w:tabs>
          <w:tab w:pos="1760" w:val="left" w:leader="none"/>
          <w:tab w:pos="1762" w:val="left" w:leader="none"/>
        </w:tabs>
        <w:spacing w:line="213" w:lineRule="auto" w:before="38" w:after="0"/>
        <w:ind w:left="1760" w:right="0" w:hanging="793"/>
        <w:jc w:val="left"/>
        <w:rPr>
          <w:sz w:val="13"/>
        </w:rPr>
      </w:pPr>
      <w:r>
        <w:rPr>
          <w:sz w:val="13"/>
        </w:rPr>
        <w:t>‘Guide to Buying Low Vision Magnifiers’, </w:t>
      </w:r>
      <w:r>
        <w:rPr>
          <w:i/>
          <w:sz w:val="13"/>
        </w:rPr>
        <w:t>All About Vision </w:t>
      </w:r>
      <w:r>
        <w:rPr>
          <w:sz w:val="13"/>
        </w:rPr>
        <w:t>(Web Page) &lt;</w:t>
      </w:r>
      <w:hyperlink r:id="rId205">
        <w:r>
          <w:rPr>
            <w:sz w:val="13"/>
          </w:rPr>
          <w:t>https://www.allaboutvision.com/buysmart/magnifiers.</w:t>
        </w:r>
      </w:hyperlink>
      <w:hyperlink r:id="rId205">
        <w:r>
          <w:rPr>
            <w:sz w:val="13"/>
          </w:rPr>
          <w:t> htm</w:t>
        </w:r>
      </w:hyperlink>
      <w:r>
        <w:rPr>
          <w:sz w:val="13"/>
        </w:rPr>
        <w:t>&gt;.</w:t>
      </w:r>
    </w:p>
    <w:p>
      <w:pPr>
        <w:pStyle w:val="ListParagraph"/>
        <w:numPr>
          <w:ilvl w:val="0"/>
          <w:numId w:val="96"/>
        </w:numPr>
        <w:tabs>
          <w:tab w:pos="1761" w:val="left" w:leader="none"/>
          <w:tab w:pos="1762" w:val="left" w:leader="none"/>
        </w:tabs>
        <w:spacing w:line="153" w:lineRule="exact" w:before="0" w:after="0"/>
        <w:ind w:left="1761" w:right="0" w:hanging="794"/>
        <w:jc w:val="left"/>
        <w:rPr>
          <w:sz w:val="13"/>
        </w:rPr>
      </w:pPr>
      <w:r>
        <w:rPr>
          <w:sz w:val="13"/>
        </w:rPr>
        <w:t>Brian</w:t>
      </w:r>
      <w:r>
        <w:rPr>
          <w:spacing w:val="8"/>
          <w:sz w:val="13"/>
        </w:rPr>
        <w:t> </w:t>
      </w:r>
      <w:r>
        <w:rPr>
          <w:spacing w:val="2"/>
          <w:sz w:val="13"/>
        </w:rPr>
        <w:t>Gerritsen,</w:t>
      </w:r>
      <w:r>
        <w:rPr>
          <w:spacing w:val="8"/>
          <w:sz w:val="13"/>
        </w:rPr>
        <w:t> </w:t>
      </w:r>
      <w:r>
        <w:rPr>
          <w:sz w:val="13"/>
        </w:rPr>
        <w:t>‘Electronic</w:t>
      </w:r>
      <w:r>
        <w:rPr>
          <w:spacing w:val="9"/>
          <w:sz w:val="13"/>
        </w:rPr>
        <w:t> </w:t>
      </w:r>
      <w:r>
        <w:rPr>
          <w:sz w:val="13"/>
        </w:rPr>
        <w:t>Magnifiers</w:t>
      </w:r>
      <w:r>
        <w:rPr>
          <w:spacing w:val="8"/>
          <w:sz w:val="13"/>
        </w:rPr>
        <w:t> </w:t>
      </w:r>
      <w:r>
        <w:rPr>
          <w:sz w:val="13"/>
        </w:rPr>
        <w:t>and</w:t>
      </w:r>
      <w:r>
        <w:rPr>
          <w:spacing w:val="9"/>
          <w:sz w:val="13"/>
        </w:rPr>
        <w:t> </w:t>
      </w:r>
      <w:r>
        <w:rPr>
          <w:sz w:val="13"/>
        </w:rPr>
        <w:t>Magnifying</w:t>
      </w:r>
      <w:r>
        <w:rPr>
          <w:spacing w:val="8"/>
          <w:sz w:val="13"/>
        </w:rPr>
        <w:t> </w:t>
      </w:r>
      <w:r>
        <w:rPr>
          <w:sz w:val="13"/>
        </w:rPr>
        <w:t>Systems’,</w:t>
      </w:r>
      <w:r>
        <w:rPr>
          <w:spacing w:val="8"/>
          <w:sz w:val="13"/>
        </w:rPr>
        <w:t> </w:t>
      </w:r>
      <w:r>
        <w:rPr>
          <w:i/>
          <w:sz w:val="13"/>
        </w:rPr>
        <w:t>VisionAware</w:t>
      </w:r>
      <w:r>
        <w:rPr>
          <w:i/>
          <w:spacing w:val="9"/>
          <w:sz w:val="13"/>
        </w:rPr>
        <w:t> </w:t>
      </w:r>
      <w:r>
        <w:rPr>
          <w:sz w:val="13"/>
        </w:rPr>
        <w:t>(Web</w:t>
      </w:r>
      <w:r>
        <w:rPr>
          <w:spacing w:val="8"/>
          <w:sz w:val="13"/>
        </w:rPr>
        <w:t> </w:t>
      </w:r>
      <w:r>
        <w:rPr>
          <w:sz w:val="13"/>
        </w:rPr>
        <w:t>Page)</w:t>
      </w:r>
      <w:r>
        <w:rPr>
          <w:spacing w:val="8"/>
          <w:sz w:val="13"/>
        </w:rPr>
        <w:t> </w:t>
      </w:r>
      <w:r>
        <w:rPr>
          <w:sz w:val="13"/>
        </w:rPr>
        <w:t>&lt;</w:t>
      </w:r>
      <w:hyperlink r:id="rId206">
        <w:r>
          <w:rPr>
            <w:sz w:val="13"/>
          </w:rPr>
          <w:t>https://visionaware.org/everyday-</w:t>
        </w:r>
      </w:hyperlink>
    </w:p>
    <w:p>
      <w:pPr>
        <w:spacing w:line="160" w:lineRule="exact" w:before="0"/>
        <w:ind w:left="1761" w:right="0" w:firstLine="0"/>
        <w:jc w:val="left"/>
        <w:rPr>
          <w:sz w:val="13"/>
        </w:rPr>
      </w:pPr>
      <w:hyperlink r:id="rId206">
        <w:r>
          <w:rPr>
            <w:sz w:val="13"/>
          </w:rPr>
          <w:t>living/helpful-products/overview-of-low-vision-devices/electronic-magnifiers/</w:t>
        </w:r>
      </w:hyperlink>
      <w:r>
        <w:rPr>
          <w:sz w:val="13"/>
        </w:rPr>
        <w:t>&gt;.</w:t>
      </w:r>
    </w:p>
    <w:p>
      <w:pPr>
        <w:pStyle w:val="ListParagraph"/>
        <w:numPr>
          <w:ilvl w:val="0"/>
          <w:numId w:val="96"/>
        </w:numPr>
        <w:tabs>
          <w:tab w:pos="1760" w:val="left" w:leader="none"/>
          <w:tab w:pos="1762" w:val="left" w:leader="none"/>
        </w:tabs>
        <w:spacing w:line="213" w:lineRule="auto" w:before="6" w:after="0"/>
        <w:ind w:left="1761" w:right="59" w:hanging="794"/>
        <w:jc w:val="left"/>
        <w:rPr>
          <w:sz w:val="13"/>
        </w:rPr>
      </w:pPr>
      <w:r>
        <w:rPr>
          <w:sz w:val="13"/>
        </w:rPr>
        <w:t>‘Braille’, </w:t>
      </w:r>
      <w:r>
        <w:rPr>
          <w:i/>
          <w:sz w:val="13"/>
        </w:rPr>
        <w:t>Vision Australia </w:t>
      </w:r>
      <w:r>
        <w:rPr>
          <w:sz w:val="13"/>
        </w:rPr>
        <w:t>(Web Page) &lt;</w:t>
      </w:r>
      <w:hyperlink r:id="rId207">
        <w:r>
          <w:rPr>
            <w:sz w:val="13"/>
          </w:rPr>
          <w:t>https://www.visionaustralia.org/information/adaptive-technology/using-technology/</w:t>
        </w:r>
      </w:hyperlink>
      <w:hyperlink r:id="rId207">
        <w:r>
          <w:rPr>
            <w:sz w:val="13"/>
          </w:rPr>
          <w:t> braille</w:t>
        </w:r>
      </w:hyperlink>
      <w:r>
        <w:rPr>
          <w:sz w:val="13"/>
        </w:rPr>
        <w:t>&gt;; Consultation 7 </w:t>
      </w:r>
      <w:r>
        <w:rPr>
          <w:spacing w:val="2"/>
          <w:sz w:val="13"/>
        </w:rPr>
        <w:t>(Vision</w:t>
      </w:r>
      <w:r>
        <w:rPr>
          <w:spacing w:val="1"/>
          <w:sz w:val="13"/>
        </w:rPr>
        <w:t> </w:t>
      </w:r>
      <w:r>
        <w:rPr>
          <w:sz w:val="13"/>
        </w:rPr>
        <w:t>Australia).</w:t>
      </w:r>
    </w:p>
    <w:p>
      <w:pPr>
        <w:pStyle w:val="ListParagraph"/>
        <w:numPr>
          <w:ilvl w:val="0"/>
          <w:numId w:val="96"/>
        </w:numPr>
        <w:tabs>
          <w:tab w:pos="1761" w:val="left" w:leader="none"/>
          <w:tab w:pos="1762" w:val="left" w:leader="none"/>
        </w:tabs>
        <w:spacing w:line="213" w:lineRule="auto" w:before="0" w:after="0"/>
        <w:ind w:left="1761" w:right="59" w:hanging="794"/>
        <w:jc w:val="left"/>
        <w:rPr>
          <w:sz w:val="13"/>
        </w:rPr>
      </w:pPr>
      <w:r>
        <w:rPr>
          <w:sz w:val="13"/>
        </w:rPr>
        <w:t>‘Braille’, </w:t>
      </w:r>
      <w:r>
        <w:rPr>
          <w:i/>
          <w:sz w:val="13"/>
        </w:rPr>
        <w:t>Vision Australia </w:t>
      </w:r>
      <w:r>
        <w:rPr>
          <w:sz w:val="13"/>
        </w:rPr>
        <w:t>(Web Page) &lt;</w:t>
      </w:r>
      <w:hyperlink r:id="rId207">
        <w:r>
          <w:rPr>
            <w:sz w:val="13"/>
          </w:rPr>
          <w:t>https://www.visionaustralia.org/information/adaptive-technology/using-technology/</w:t>
        </w:r>
      </w:hyperlink>
      <w:hyperlink r:id="rId207">
        <w:r>
          <w:rPr>
            <w:sz w:val="13"/>
          </w:rPr>
          <w:t> braille</w:t>
        </w:r>
      </w:hyperlink>
      <w:r>
        <w:rPr>
          <w:sz w:val="13"/>
        </w:rPr>
        <w:t>&gt;.</w:t>
      </w:r>
    </w:p>
    <w:p>
      <w:pPr>
        <w:pStyle w:val="ListParagraph"/>
        <w:numPr>
          <w:ilvl w:val="0"/>
          <w:numId w:val="96"/>
        </w:numPr>
        <w:tabs>
          <w:tab w:pos="1761" w:val="left" w:leader="none"/>
          <w:tab w:pos="1762" w:val="left" w:leader="none"/>
        </w:tabs>
        <w:spacing w:line="213" w:lineRule="auto" w:before="0" w:after="0"/>
        <w:ind w:left="1761" w:right="50" w:hanging="794"/>
        <w:jc w:val="left"/>
        <w:rPr>
          <w:sz w:val="13"/>
        </w:rPr>
      </w:pPr>
      <w:r>
        <w:rPr>
          <w:spacing w:val="2"/>
          <w:sz w:val="13"/>
        </w:rPr>
        <w:t>‘Library Guide: Blind/Visual </w:t>
      </w:r>
      <w:r>
        <w:rPr>
          <w:sz w:val="13"/>
        </w:rPr>
        <w:t>Impairment: Common Assistive Technologies’, </w:t>
      </w:r>
      <w:r>
        <w:rPr>
          <w:i/>
          <w:sz w:val="13"/>
        </w:rPr>
        <w:t>Illinois Library </w:t>
      </w:r>
      <w:r>
        <w:rPr>
          <w:sz w:val="13"/>
        </w:rPr>
        <w:t>(Web Page) &lt;</w:t>
      </w:r>
      <w:hyperlink r:id="rId208">
        <w:r>
          <w:rPr>
            <w:sz w:val="13"/>
          </w:rPr>
          <w:t>https://guides.library.</w:t>
        </w:r>
      </w:hyperlink>
      <w:hyperlink r:id="rId208">
        <w:r>
          <w:rPr>
            <w:sz w:val="13"/>
          </w:rPr>
          <w:t> illinois.edu/c.php?g=526852&amp;p=3602299</w:t>
        </w:r>
      </w:hyperlink>
      <w:r>
        <w:rPr>
          <w:sz w:val="13"/>
        </w:rPr>
        <w:t>&gt;.</w:t>
      </w:r>
    </w:p>
    <w:p>
      <w:pPr>
        <w:pStyle w:val="ListParagraph"/>
        <w:numPr>
          <w:ilvl w:val="0"/>
          <w:numId w:val="96"/>
        </w:numPr>
        <w:tabs>
          <w:tab w:pos="1760" w:val="left" w:leader="none"/>
          <w:tab w:pos="1762" w:val="left" w:leader="none"/>
        </w:tabs>
        <w:spacing w:line="213" w:lineRule="auto" w:before="0" w:after="0"/>
        <w:ind w:left="1761" w:right="239" w:hanging="794"/>
        <w:jc w:val="left"/>
        <w:rPr>
          <w:sz w:val="13"/>
        </w:rPr>
      </w:pPr>
      <w:r>
        <w:rPr>
          <w:sz w:val="13"/>
        </w:rPr>
        <w:t>‘Accessible Equipment’, </w:t>
      </w:r>
      <w:r>
        <w:rPr>
          <w:i/>
          <w:sz w:val="13"/>
        </w:rPr>
        <w:t>Vision Australia </w:t>
      </w:r>
      <w:r>
        <w:rPr>
          <w:sz w:val="13"/>
        </w:rPr>
        <w:t>(Web Page) &lt;</w:t>
      </w:r>
      <w:hyperlink r:id="rId209">
        <w:r>
          <w:rPr>
            <w:sz w:val="13"/>
          </w:rPr>
          <w:t>https://www.visionaustralia.org/information/living-independently/</w:t>
        </w:r>
      </w:hyperlink>
      <w:hyperlink r:id="rId209">
        <w:r>
          <w:rPr>
            <w:sz w:val="13"/>
          </w:rPr>
          <w:t> accessible-equipment</w:t>
        </w:r>
      </w:hyperlink>
      <w:r>
        <w:rPr>
          <w:sz w:val="13"/>
        </w:rPr>
        <w:t>&gt;.</w:t>
      </w:r>
    </w:p>
    <w:p>
      <w:pPr>
        <w:pStyle w:val="ListParagraph"/>
        <w:numPr>
          <w:ilvl w:val="0"/>
          <w:numId w:val="96"/>
        </w:numPr>
        <w:tabs>
          <w:tab w:pos="1761" w:val="left" w:leader="none"/>
          <w:tab w:pos="1762" w:val="left" w:leader="none"/>
        </w:tabs>
        <w:spacing w:line="153" w:lineRule="exact" w:before="0" w:after="0"/>
        <w:ind w:left="1761" w:right="0" w:hanging="794"/>
        <w:jc w:val="left"/>
        <w:rPr>
          <w:sz w:val="13"/>
        </w:rPr>
      </w:pPr>
      <w:r>
        <w:rPr>
          <w:i/>
          <w:sz w:val="13"/>
        </w:rPr>
        <w:t>Equal Opportunity Act 2010 </w:t>
      </w:r>
      <w:r>
        <w:rPr>
          <w:spacing w:val="2"/>
          <w:sz w:val="13"/>
        </w:rPr>
        <w:t>(Vic) </w:t>
      </w:r>
      <w:r>
        <w:rPr>
          <w:sz w:val="13"/>
        </w:rPr>
        <w:t>s </w:t>
      </w:r>
      <w:r>
        <w:rPr>
          <w:spacing w:val="-3"/>
          <w:sz w:val="13"/>
        </w:rPr>
        <w:t>7. </w:t>
      </w:r>
      <w:r>
        <w:rPr>
          <w:sz w:val="13"/>
        </w:rPr>
        <w:t>See </w:t>
      </w:r>
      <w:r>
        <w:rPr>
          <w:spacing w:val="2"/>
          <w:sz w:val="13"/>
        </w:rPr>
        <w:t>also </w:t>
      </w:r>
      <w:r>
        <w:rPr>
          <w:i/>
          <w:sz w:val="13"/>
        </w:rPr>
        <w:t>Domestic Animals Act 1994 </w:t>
      </w:r>
      <w:r>
        <w:rPr>
          <w:spacing w:val="2"/>
          <w:sz w:val="13"/>
        </w:rPr>
        <w:t>(Vic) </w:t>
      </w:r>
      <w:r>
        <w:rPr>
          <w:sz w:val="13"/>
        </w:rPr>
        <w:t>s</w:t>
      </w:r>
      <w:r>
        <w:rPr>
          <w:spacing w:val="11"/>
          <w:sz w:val="13"/>
        </w:rPr>
        <w:t> </w:t>
      </w:r>
      <w:r>
        <w:rPr>
          <w:sz w:val="13"/>
        </w:rPr>
        <w:t>7(4).</w:t>
      </w:r>
    </w:p>
    <w:p>
      <w:pPr>
        <w:pStyle w:val="ListParagraph"/>
        <w:numPr>
          <w:ilvl w:val="0"/>
          <w:numId w:val="96"/>
        </w:numPr>
        <w:tabs>
          <w:tab w:pos="1761" w:val="left" w:leader="none"/>
          <w:tab w:pos="1762" w:val="left" w:leader="none"/>
        </w:tabs>
        <w:spacing w:line="213" w:lineRule="auto" w:before="3" w:after="0"/>
        <w:ind w:left="1761" w:right="13" w:hanging="794"/>
        <w:jc w:val="left"/>
        <w:rPr>
          <w:sz w:val="13"/>
        </w:rPr>
      </w:pPr>
      <w:r>
        <w:rPr>
          <w:sz w:val="13"/>
        </w:rPr>
        <w:t>Judicial College of Victoria, </w:t>
      </w:r>
      <w:r>
        <w:rPr>
          <w:i/>
          <w:sz w:val="13"/>
        </w:rPr>
        <w:t>Disability Access Bench Book </w:t>
      </w:r>
      <w:r>
        <w:rPr>
          <w:sz w:val="13"/>
        </w:rPr>
        <w:t>(Online Manual, 2016) </w:t>
      </w:r>
      <w:r>
        <w:rPr>
          <w:spacing w:val="3"/>
          <w:sz w:val="13"/>
        </w:rPr>
        <w:t>[4.4] </w:t>
      </w:r>
      <w:r>
        <w:rPr>
          <w:sz w:val="13"/>
        </w:rPr>
        <w:t>&lt;</w:t>
      </w:r>
      <w:hyperlink r:id="rId18">
        <w:r>
          <w:rPr>
            <w:sz w:val="13"/>
          </w:rPr>
          <w:t>https://www.judicialcollege.vic.edu.au/</w:t>
        </w:r>
      </w:hyperlink>
      <w:hyperlink r:id="rId18">
        <w:r>
          <w:rPr>
            <w:sz w:val="13"/>
          </w:rPr>
          <w:t> eManuals/DABB/index.htm#59523.htm</w:t>
        </w:r>
      </w:hyperlink>
      <w:r>
        <w:rPr>
          <w:sz w:val="13"/>
        </w:rPr>
        <w:t>&gt;.</w:t>
      </w:r>
    </w:p>
    <w:p>
      <w:pPr>
        <w:pStyle w:val="ListParagraph"/>
        <w:numPr>
          <w:ilvl w:val="0"/>
          <w:numId w:val="96"/>
        </w:numPr>
        <w:tabs>
          <w:tab w:pos="1760" w:val="left" w:leader="none"/>
          <w:tab w:pos="1762" w:val="left" w:leader="none"/>
        </w:tabs>
        <w:spacing w:line="163" w:lineRule="exact" w:before="0" w:after="0"/>
        <w:ind w:left="1761" w:right="0" w:hanging="794"/>
        <w:jc w:val="left"/>
        <w:rPr>
          <w:sz w:val="13"/>
        </w:rPr>
      </w:pPr>
      <w:r>
        <w:rPr>
          <w:sz w:val="13"/>
        </w:rPr>
        <w:t>Consultation 16 (Office of </w:t>
      </w:r>
      <w:r>
        <w:rPr>
          <w:spacing w:val="2"/>
          <w:sz w:val="13"/>
        </w:rPr>
        <w:t>Public </w:t>
      </w:r>
      <w:r>
        <w:rPr>
          <w:sz w:val="13"/>
        </w:rPr>
        <w:t>Prosecutions Victoria).</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25"/>
        </w:rPr>
      </w:pPr>
    </w:p>
    <w:p>
      <w:pPr>
        <w:spacing w:before="0"/>
        <w:ind w:left="798" w:right="0" w:firstLine="0"/>
        <w:jc w:val="left"/>
        <w:rPr>
          <w:b/>
          <w:sz w:val="24"/>
        </w:rPr>
      </w:pPr>
      <w:r>
        <w:rPr>
          <w:b/>
          <w:color w:val="37617A"/>
          <w:sz w:val="24"/>
        </w:rPr>
        <w:t>147</w:t>
      </w:r>
    </w:p>
    <w:p>
      <w:pPr>
        <w:spacing w:after="0"/>
        <w:jc w:val="left"/>
        <w:rPr>
          <w:sz w:val="24"/>
        </w:rPr>
        <w:sectPr>
          <w:type w:val="continuous"/>
          <w:pgSz w:w="11910" w:h="16840"/>
          <w:pgMar w:top="620" w:bottom="280" w:left="620" w:right="380"/>
          <w:cols w:num="2" w:equalWidth="0">
            <w:col w:w="9463" w:space="40"/>
            <w:col w:w="1407"/>
          </w:cols>
        </w:sectPr>
      </w:pPr>
    </w:p>
    <w:p>
      <w:pPr>
        <w:pStyle w:val="BodyText"/>
        <w:rPr>
          <w:b/>
        </w:rPr>
      </w:pPr>
    </w:p>
    <w:p>
      <w:pPr>
        <w:pStyle w:val="BodyText"/>
        <w:rPr>
          <w:b/>
        </w:rPr>
      </w:pPr>
    </w:p>
    <w:p>
      <w:pPr>
        <w:pStyle w:val="BodyText"/>
        <w:rPr>
          <w:b/>
        </w:rPr>
      </w:pPr>
    </w:p>
    <w:p>
      <w:pPr>
        <w:spacing w:before="220"/>
        <w:ind w:left="967" w:right="0" w:firstLine="0"/>
        <w:jc w:val="left"/>
        <w:rPr>
          <w:b/>
          <w:sz w:val="24"/>
        </w:rPr>
      </w:pPr>
      <w:bookmarkStart w:name="Possible changes to courtroom organisati" w:id="253"/>
      <w:bookmarkEnd w:id="253"/>
      <w:r>
        <w:rPr/>
      </w:r>
      <w:bookmarkStart w:name="_bookmark106" w:id="254"/>
      <w:bookmarkEnd w:id="254"/>
      <w:r>
        <w:rPr/>
      </w:r>
      <w:r>
        <w:rPr>
          <w:b/>
          <w:sz w:val="24"/>
        </w:rPr>
        <w:t>Emerging technology</w:t>
      </w:r>
    </w:p>
    <w:p>
      <w:pPr>
        <w:pStyle w:val="ListParagraph"/>
        <w:numPr>
          <w:ilvl w:val="1"/>
          <w:numId w:val="12"/>
        </w:numPr>
        <w:tabs>
          <w:tab w:pos="1761" w:val="left" w:leader="none"/>
          <w:tab w:pos="1762" w:val="left" w:leader="none"/>
        </w:tabs>
        <w:spacing w:line="206" w:lineRule="auto" w:before="127" w:after="0"/>
        <w:ind w:left="1761" w:right="1388" w:hanging="794"/>
        <w:jc w:val="left"/>
        <w:rPr>
          <w:sz w:val="11"/>
        </w:rPr>
      </w:pPr>
      <w:r>
        <w:rPr>
          <w:sz w:val="20"/>
        </w:rPr>
        <w:t>New</w:t>
      </w:r>
      <w:r>
        <w:rPr>
          <w:spacing w:val="-9"/>
          <w:sz w:val="20"/>
        </w:rPr>
        <w:t> </w:t>
      </w:r>
      <w:r>
        <w:rPr>
          <w:spacing w:val="-3"/>
          <w:sz w:val="20"/>
        </w:rPr>
        <w:t>descriptive</w:t>
      </w:r>
      <w:r>
        <w:rPr>
          <w:spacing w:val="-8"/>
          <w:sz w:val="20"/>
        </w:rPr>
        <w:t> </w:t>
      </w:r>
      <w:r>
        <w:rPr>
          <w:sz w:val="20"/>
        </w:rPr>
        <w:t>applications</w:t>
      </w:r>
      <w:r>
        <w:rPr>
          <w:spacing w:val="-8"/>
          <w:sz w:val="20"/>
        </w:rPr>
        <w:t> </w:t>
      </w:r>
      <w:r>
        <w:rPr>
          <w:spacing w:val="-3"/>
          <w:sz w:val="20"/>
        </w:rPr>
        <w:t>are</w:t>
      </w:r>
      <w:r>
        <w:rPr>
          <w:spacing w:val="-8"/>
          <w:sz w:val="20"/>
        </w:rPr>
        <w:t> </w:t>
      </w:r>
      <w:r>
        <w:rPr>
          <w:sz w:val="20"/>
        </w:rPr>
        <w:t>emerging</w:t>
      </w:r>
      <w:r>
        <w:rPr>
          <w:spacing w:val="-8"/>
          <w:sz w:val="20"/>
        </w:rPr>
        <w:t> </w:t>
      </w:r>
      <w:r>
        <w:rPr>
          <w:sz w:val="20"/>
        </w:rPr>
        <w:t>to</w:t>
      </w:r>
      <w:r>
        <w:rPr>
          <w:spacing w:val="-8"/>
          <w:sz w:val="20"/>
        </w:rPr>
        <w:t> </w:t>
      </w:r>
      <w:r>
        <w:rPr>
          <w:sz w:val="20"/>
        </w:rPr>
        <w:t>assist</w:t>
      </w:r>
      <w:r>
        <w:rPr>
          <w:spacing w:val="-8"/>
          <w:sz w:val="20"/>
        </w:rPr>
        <w:t> </w:t>
      </w:r>
      <w:r>
        <w:rPr>
          <w:sz w:val="20"/>
        </w:rPr>
        <w:t>people</w:t>
      </w:r>
      <w:r>
        <w:rPr>
          <w:spacing w:val="-8"/>
          <w:sz w:val="20"/>
        </w:rPr>
        <w:t> </w:t>
      </w:r>
      <w:r>
        <w:rPr>
          <w:sz w:val="20"/>
        </w:rPr>
        <w:t>who</w:t>
      </w:r>
      <w:r>
        <w:rPr>
          <w:spacing w:val="-8"/>
          <w:sz w:val="20"/>
        </w:rPr>
        <w:t> </w:t>
      </w:r>
      <w:r>
        <w:rPr>
          <w:spacing w:val="-3"/>
          <w:sz w:val="20"/>
        </w:rPr>
        <w:t>are</w:t>
      </w:r>
      <w:r>
        <w:rPr>
          <w:spacing w:val="-8"/>
          <w:sz w:val="20"/>
        </w:rPr>
        <w:t> </w:t>
      </w:r>
      <w:r>
        <w:rPr>
          <w:sz w:val="20"/>
        </w:rPr>
        <w:t>blind</w:t>
      </w:r>
      <w:r>
        <w:rPr>
          <w:spacing w:val="-8"/>
          <w:sz w:val="20"/>
        </w:rPr>
        <w:t> </w:t>
      </w:r>
      <w:r>
        <w:rPr>
          <w:sz w:val="20"/>
        </w:rPr>
        <w:t>or</w:t>
      </w:r>
      <w:r>
        <w:rPr>
          <w:spacing w:val="-8"/>
          <w:sz w:val="20"/>
        </w:rPr>
        <w:t> </w:t>
      </w:r>
      <w:r>
        <w:rPr>
          <w:spacing w:val="-4"/>
          <w:sz w:val="20"/>
        </w:rPr>
        <w:t>have</w:t>
      </w:r>
      <w:r>
        <w:rPr>
          <w:spacing w:val="-8"/>
          <w:sz w:val="20"/>
        </w:rPr>
        <w:t> </w:t>
      </w:r>
      <w:r>
        <w:rPr>
          <w:spacing w:val="-4"/>
          <w:sz w:val="20"/>
        </w:rPr>
        <w:t>low </w:t>
      </w:r>
      <w:r>
        <w:rPr>
          <w:sz w:val="20"/>
        </w:rPr>
        <w:t>vision.</w:t>
      </w:r>
      <w:r>
        <w:rPr>
          <w:spacing w:val="-6"/>
          <w:sz w:val="20"/>
        </w:rPr>
        <w:t> </w:t>
      </w:r>
      <w:r>
        <w:rPr>
          <w:sz w:val="20"/>
        </w:rPr>
        <w:t>These</w:t>
      </w:r>
      <w:r>
        <w:rPr>
          <w:spacing w:val="-5"/>
          <w:sz w:val="20"/>
        </w:rPr>
        <w:t> </w:t>
      </w:r>
      <w:r>
        <w:rPr>
          <w:spacing w:val="-3"/>
          <w:sz w:val="20"/>
        </w:rPr>
        <w:t>may</w:t>
      </w:r>
      <w:r>
        <w:rPr>
          <w:spacing w:val="-5"/>
          <w:sz w:val="20"/>
        </w:rPr>
        <w:t> </w:t>
      </w:r>
      <w:r>
        <w:rPr>
          <w:sz w:val="20"/>
        </w:rPr>
        <w:t>serve</w:t>
      </w:r>
      <w:r>
        <w:rPr>
          <w:spacing w:val="-6"/>
          <w:sz w:val="20"/>
        </w:rPr>
        <w:t> </w:t>
      </w:r>
      <w:r>
        <w:rPr>
          <w:sz w:val="20"/>
        </w:rPr>
        <w:t>a</w:t>
      </w:r>
      <w:r>
        <w:rPr>
          <w:spacing w:val="-5"/>
          <w:sz w:val="20"/>
        </w:rPr>
        <w:t> </w:t>
      </w:r>
      <w:r>
        <w:rPr>
          <w:sz w:val="20"/>
        </w:rPr>
        <w:t>supportive</w:t>
      </w:r>
      <w:r>
        <w:rPr>
          <w:spacing w:val="-5"/>
          <w:sz w:val="20"/>
        </w:rPr>
        <w:t> </w:t>
      </w:r>
      <w:r>
        <w:rPr>
          <w:sz w:val="20"/>
        </w:rPr>
        <w:t>function</w:t>
      </w:r>
      <w:r>
        <w:rPr>
          <w:spacing w:val="-6"/>
          <w:sz w:val="20"/>
        </w:rPr>
        <w:t> </w:t>
      </w:r>
      <w:r>
        <w:rPr>
          <w:sz w:val="20"/>
        </w:rPr>
        <w:t>for</w:t>
      </w:r>
      <w:r>
        <w:rPr>
          <w:spacing w:val="-5"/>
          <w:sz w:val="20"/>
        </w:rPr>
        <w:t> </w:t>
      </w:r>
      <w:r>
        <w:rPr>
          <w:sz w:val="20"/>
        </w:rPr>
        <w:t>jurors</w:t>
      </w:r>
      <w:r>
        <w:rPr>
          <w:spacing w:val="-5"/>
          <w:sz w:val="20"/>
        </w:rPr>
        <w:t> </w:t>
      </w:r>
      <w:r>
        <w:rPr>
          <w:sz w:val="20"/>
        </w:rPr>
        <w:t>in</w:t>
      </w:r>
      <w:r>
        <w:rPr>
          <w:spacing w:val="-6"/>
          <w:sz w:val="20"/>
        </w:rPr>
        <w:t> </w:t>
      </w:r>
      <w:r>
        <w:rPr>
          <w:sz w:val="20"/>
        </w:rPr>
        <w:t>the</w:t>
      </w:r>
      <w:r>
        <w:rPr>
          <w:spacing w:val="-5"/>
          <w:sz w:val="20"/>
        </w:rPr>
        <w:t> </w:t>
      </w:r>
      <w:r>
        <w:rPr>
          <w:sz w:val="20"/>
        </w:rPr>
        <w:t>future.</w:t>
      </w:r>
      <w:r>
        <w:rPr>
          <w:position w:val="7"/>
          <w:sz w:val="11"/>
        </w:rPr>
        <w:t>44</w:t>
      </w:r>
    </w:p>
    <w:p>
      <w:pPr>
        <w:pStyle w:val="BodyText"/>
        <w:spacing w:before="11"/>
        <w:rPr>
          <w:sz w:val="21"/>
        </w:rPr>
      </w:pPr>
    </w:p>
    <w:p>
      <w:pPr>
        <w:spacing w:line="184" w:lineRule="auto" w:before="0"/>
        <w:ind w:left="967" w:right="1335" w:firstLine="0"/>
        <w:jc w:val="left"/>
        <w:rPr>
          <w:rFonts w:ascii="Raleway ExtraBold"/>
          <w:b/>
          <w:sz w:val="28"/>
        </w:rPr>
      </w:pPr>
      <w:r>
        <w:rPr>
          <w:rFonts w:ascii="Raleway ExtraBold"/>
          <w:b/>
          <w:color w:val="37617A"/>
          <w:sz w:val="28"/>
        </w:rPr>
        <w:t>Possible changes to courtroom organisation and how a trial is run</w:t>
      </w:r>
    </w:p>
    <w:p>
      <w:pPr>
        <w:pStyle w:val="ListParagraph"/>
        <w:numPr>
          <w:ilvl w:val="1"/>
          <w:numId w:val="12"/>
        </w:numPr>
        <w:tabs>
          <w:tab w:pos="1762" w:val="left" w:leader="none"/>
        </w:tabs>
        <w:spacing w:line="206" w:lineRule="auto" w:before="162" w:after="0"/>
        <w:ind w:left="1761" w:right="1370" w:hanging="794"/>
        <w:jc w:val="both"/>
        <w:rPr>
          <w:sz w:val="20"/>
        </w:rPr>
      </w:pPr>
      <w:r>
        <w:rPr>
          <w:sz w:val="20"/>
        </w:rPr>
        <w:t>There</w:t>
      </w:r>
      <w:r>
        <w:rPr>
          <w:spacing w:val="-10"/>
          <w:sz w:val="20"/>
        </w:rPr>
        <w:t> </w:t>
      </w:r>
      <w:r>
        <w:rPr>
          <w:spacing w:val="-3"/>
          <w:sz w:val="20"/>
        </w:rPr>
        <w:t>may</w:t>
      </w:r>
      <w:r>
        <w:rPr>
          <w:spacing w:val="-10"/>
          <w:sz w:val="20"/>
        </w:rPr>
        <w:t> </w:t>
      </w:r>
      <w:r>
        <w:rPr>
          <w:sz w:val="20"/>
        </w:rPr>
        <w:t>need</w:t>
      </w:r>
      <w:r>
        <w:rPr>
          <w:spacing w:val="-9"/>
          <w:sz w:val="20"/>
        </w:rPr>
        <w:t> </w:t>
      </w:r>
      <w:r>
        <w:rPr>
          <w:sz w:val="20"/>
        </w:rPr>
        <w:t>to</w:t>
      </w:r>
      <w:r>
        <w:rPr>
          <w:spacing w:val="-10"/>
          <w:sz w:val="20"/>
        </w:rPr>
        <w:t> </w:t>
      </w:r>
      <w:r>
        <w:rPr>
          <w:sz w:val="20"/>
        </w:rPr>
        <w:t>be</w:t>
      </w:r>
      <w:r>
        <w:rPr>
          <w:spacing w:val="-9"/>
          <w:sz w:val="20"/>
        </w:rPr>
        <w:t> </w:t>
      </w:r>
      <w:r>
        <w:rPr>
          <w:sz w:val="20"/>
        </w:rPr>
        <w:t>changes</w:t>
      </w:r>
      <w:r>
        <w:rPr>
          <w:spacing w:val="-10"/>
          <w:sz w:val="20"/>
        </w:rPr>
        <w:t> </w:t>
      </w:r>
      <w:r>
        <w:rPr>
          <w:sz w:val="20"/>
        </w:rPr>
        <w:t>to</w:t>
      </w:r>
      <w:r>
        <w:rPr>
          <w:spacing w:val="-10"/>
          <w:sz w:val="20"/>
        </w:rPr>
        <w:t> </w:t>
      </w:r>
      <w:r>
        <w:rPr>
          <w:sz w:val="20"/>
        </w:rPr>
        <w:t>courtroom</w:t>
      </w:r>
      <w:r>
        <w:rPr>
          <w:spacing w:val="-9"/>
          <w:sz w:val="20"/>
        </w:rPr>
        <w:t> </w:t>
      </w:r>
      <w:r>
        <w:rPr>
          <w:spacing w:val="-3"/>
          <w:sz w:val="20"/>
        </w:rPr>
        <w:t>layout,</w:t>
      </w:r>
      <w:r>
        <w:rPr>
          <w:spacing w:val="-10"/>
          <w:sz w:val="20"/>
        </w:rPr>
        <w:t> </w:t>
      </w:r>
      <w:r>
        <w:rPr>
          <w:sz w:val="20"/>
        </w:rPr>
        <w:t>the</w:t>
      </w:r>
      <w:r>
        <w:rPr>
          <w:spacing w:val="-9"/>
          <w:sz w:val="20"/>
        </w:rPr>
        <w:t> </w:t>
      </w:r>
      <w:r>
        <w:rPr>
          <w:sz w:val="20"/>
        </w:rPr>
        <w:t>jury</w:t>
      </w:r>
      <w:r>
        <w:rPr>
          <w:spacing w:val="-10"/>
          <w:sz w:val="20"/>
        </w:rPr>
        <w:t> </w:t>
      </w:r>
      <w:r>
        <w:rPr>
          <w:sz w:val="20"/>
        </w:rPr>
        <w:t>room</w:t>
      </w:r>
      <w:r>
        <w:rPr>
          <w:spacing w:val="-10"/>
          <w:sz w:val="20"/>
        </w:rPr>
        <w:t> </w:t>
      </w:r>
      <w:r>
        <w:rPr>
          <w:sz w:val="20"/>
        </w:rPr>
        <w:t>and</w:t>
      </w:r>
      <w:r>
        <w:rPr>
          <w:spacing w:val="-9"/>
          <w:sz w:val="20"/>
        </w:rPr>
        <w:t> </w:t>
      </w:r>
      <w:r>
        <w:rPr>
          <w:sz w:val="20"/>
        </w:rPr>
        <w:t>trial</w:t>
      </w:r>
      <w:r>
        <w:rPr>
          <w:spacing w:val="-10"/>
          <w:sz w:val="20"/>
        </w:rPr>
        <w:t> </w:t>
      </w:r>
      <w:r>
        <w:rPr>
          <w:sz w:val="20"/>
        </w:rPr>
        <w:t>processes to</w:t>
      </w:r>
      <w:r>
        <w:rPr>
          <w:spacing w:val="-9"/>
          <w:sz w:val="20"/>
        </w:rPr>
        <w:t> </w:t>
      </w:r>
      <w:r>
        <w:rPr>
          <w:sz w:val="20"/>
        </w:rPr>
        <w:t>facilitate</w:t>
      </w:r>
      <w:r>
        <w:rPr>
          <w:spacing w:val="-9"/>
          <w:sz w:val="20"/>
        </w:rPr>
        <w:t> </w:t>
      </w:r>
      <w:r>
        <w:rPr>
          <w:sz w:val="20"/>
        </w:rPr>
        <w:t>the</w:t>
      </w:r>
      <w:r>
        <w:rPr>
          <w:spacing w:val="-9"/>
          <w:sz w:val="20"/>
        </w:rPr>
        <w:t> </w:t>
      </w:r>
      <w:r>
        <w:rPr>
          <w:sz w:val="20"/>
        </w:rPr>
        <w:t>use</w:t>
      </w:r>
      <w:r>
        <w:rPr>
          <w:spacing w:val="-9"/>
          <w:sz w:val="20"/>
        </w:rPr>
        <w:t> </w:t>
      </w:r>
      <w:r>
        <w:rPr>
          <w:sz w:val="20"/>
        </w:rPr>
        <w:t>of</w:t>
      </w:r>
      <w:r>
        <w:rPr>
          <w:spacing w:val="-8"/>
          <w:sz w:val="20"/>
        </w:rPr>
        <w:t> </w:t>
      </w:r>
      <w:r>
        <w:rPr>
          <w:sz w:val="20"/>
        </w:rPr>
        <w:t>adjustments.</w:t>
      </w:r>
      <w:r>
        <w:rPr>
          <w:spacing w:val="-9"/>
          <w:sz w:val="20"/>
        </w:rPr>
        <w:t> </w:t>
      </w:r>
      <w:r>
        <w:rPr>
          <w:sz w:val="20"/>
        </w:rPr>
        <w:t>In</w:t>
      </w:r>
      <w:r>
        <w:rPr>
          <w:spacing w:val="-9"/>
          <w:sz w:val="20"/>
        </w:rPr>
        <w:t> </w:t>
      </w:r>
      <w:r>
        <w:rPr>
          <w:spacing w:val="-2"/>
          <w:sz w:val="20"/>
        </w:rPr>
        <w:t>Chapters</w:t>
      </w:r>
      <w:r>
        <w:rPr>
          <w:spacing w:val="-9"/>
          <w:sz w:val="20"/>
        </w:rPr>
        <w:t> </w:t>
      </w:r>
      <w:r>
        <w:rPr>
          <w:sz w:val="20"/>
        </w:rPr>
        <w:t>12</w:t>
      </w:r>
      <w:r>
        <w:rPr>
          <w:spacing w:val="-9"/>
          <w:sz w:val="20"/>
        </w:rPr>
        <w:t> </w:t>
      </w:r>
      <w:r>
        <w:rPr>
          <w:sz w:val="20"/>
        </w:rPr>
        <w:t>and</w:t>
      </w:r>
      <w:r>
        <w:rPr>
          <w:spacing w:val="-8"/>
          <w:sz w:val="20"/>
        </w:rPr>
        <w:t> </w:t>
      </w:r>
      <w:r>
        <w:rPr>
          <w:sz w:val="20"/>
        </w:rPr>
        <w:t>18</w:t>
      </w:r>
      <w:r>
        <w:rPr>
          <w:spacing w:val="-9"/>
          <w:sz w:val="20"/>
        </w:rPr>
        <w:t> </w:t>
      </w:r>
      <w:r>
        <w:rPr>
          <w:spacing w:val="-3"/>
          <w:sz w:val="20"/>
        </w:rPr>
        <w:t>we</w:t>
      </w:r>
      <w:r>
        <w:rPr>
          <w:spacing w:val="-9"/>
          <w:sz w:val="20"/>
        </w:rPr>
        <w:t> </w:t>
      </w:r>
      <w:r>
        <w:rPr>
          <w:spacing w:val="-3"/>
          <w:sz w:val="20"/>
        </w:rPr>
        <w:t>make</w:t>
      </w:r>
      <w:r>
        <w:rPr>
          <w:spacing w:val="-9"/>
          <w:sz w:val="20"/>
        </w:rPr>
        <w:t> </w:t>
      </w:r>
      <w:r>
        <w:rPr>
          <w:sz w:val="20"/>
        </w:rPr>
        <w:t>recommendations about anticipating and preparing for these</w:t>
      </w:r>
      <w:r>
        <w:rPr>
          <w:spacing w:val="-31"/>
          <w:sz w:val="20"/>
        </w:rPr>
        <w:t> </w:t>
      </w:r>
      <w:r>
        <w:rPr>
          <w:sz w:val="20"/>
        </w:rPr>
        <w:t>adjustments.</w:t>
      </w:r>
    </w:p>
    <w:p>
      <w:pPr>
        <w:pStyle w:val="ListParagraph"/>
        <w:numPr>
          <w:ilvl w:val="1"/>
          <w:numId w:val="12"/>
        </w:numPr>
        <w:tabs>
          <w:tab w:pos="1761" w:val="left" w:leader="none"/>
          <w:tab w:pos="1762" w:val="left" w:leader="none"/>
        </w:tabs>
        <w:spacing w:line="206" w:lineRule="auto" w:before="124" w:after="0"/>
        <w:ind w:left="1761" w:right="1334" w:hanging="794"/>
        <w:jc w:val="left"/>
        <w:rPr>
          <w:sz w:val="11"/>
        </w:rPr>
      </w:pPr>
      <w:r>
        <w:rPr>
          <w:sz w:val="20"/>
        </w:rPr>
        <w:t>In </w:t>
      </w:r>
      <w:r>
        <w:rPr>
          <w:spacing w:val="-2"/>
          <w:sz w:val="20"/>
        </w:rPr>
        <w:t>Chapter </w:t>
      </w:r>
      <w:r>
        <w:rPr>
          <w:sz w:val="20"/>
        </w:rPr>
        <w:t>12 </w:t>
      </w:r>
      <w:r>
        <w:rPr>
          <w:spacing w:val="-3"/>
          <w:sz w:val="20"/>
        </w:rPr>
        <w:t>we </w:t>
      </w:r>
      <w:r>
        <w:rPr>
          <w:sz w:val="20"/>
        </w:rPr>
        <w:t>recommend that Juries Victoria and the court consider possible adjustments and changes to courtroom </w:t>
      </w:r>
      <w:r>
        <w:rPr>
          <w:spacing w:val="-3"/>
          <w:sz w:val="20"/>
        </w:rPr>
        <w:t>layout </w:t>
      </w:r>
      <w:r>
        <w:rPr>
          <w:sz w:val="20"/>
        </w:rPr>
        <w:t>in a pre-empanelment court visit. </w:t>
      </w:r>
      <w:r>
        <w:rPr>
          <w:spacing w:val="-4"/>
          <w:sz w:val="20"/>
        </w:rPr>
        <w:t>Training </w:t>
      </w:r>
      <w:r>
        <w:rPr>
          <w:sz w:val="20"/>
        </w:rPr>
        <w:t>materials for the judiciary should include information about line of sight, with diagrams.</w:t>
      </w:r>
      <w:r>
        <w:rPr>
          <w:spacing w:val="-9"/>
          <w:sz w:val="20"/>
        </w:rPr>
        <w:t> </w:t>
      </w:r>
      <w:r>
        <w:rPr>
          <w:sz w:val="20"/>
        </w:rPr>
        <w:t>This</w:t>
      </w:r>
      <w:r>
        <w:rPr>
          <w:spacing w:val="-8"/>
          <w:sz w:val="20"/>
        </w:rPr>
        <w:t> </w:t>
      </w:r>
      <w:r>
        <w:rPr>
          <w:sz w:val="20"/>
        </w:rPr>
        <w:t>should</w:t>
      </w:r>
      <w:r>
        <w:rPr>
          <w:spacing w:val="-9"/>
          <w:sz w:val="20"/>
        </w:rPr>
        <w:t> </w:t>
      </w:r>
      <w:r>
        <w:rPr>
          <w:sz w:val="20"/>
        </w:rPr>
        <w:t>ensure</w:t>
      </w:r>
      <w:r>
        <w:rPr>
          <w:spacing w:val="-8"/>
          <w:sz w:val="20"/>
        </w:rPr>
        <w:t> </w:t>
      </w:r>
      <w:r>
        <w:rPr>
          <w:sz w:val="20"/>
        </w:rPr>
        <w:t>that</w:t>
      </w:r>
      <w:r>
        <w:rPr>
          <w:spacing w:val="-8"/>
          <w:sz w:val="20"/>
        </w:rPr>
        <w:t> </w:t>
      </w:r>
      <w:r>
        <w:rPr>
          <w:sz w:val="20"/>
        </w:rPr>
        <w:t>the</w:t>
      </w:r>
      <w:r>
        <w:rPr>
          <w:spacing w:val="-9"/>
          <w:sz w:val="20"/>
        </w:rPr>
        <w:t> </w:t>
      </w:r>
      <w:r>
        <w:rPr>
          <w:sz w:val="20"/>
        </w:rPr>
        <w:t>court</w:t>
      </w:r>
      <w:r>
        <w:rPr>
          <w:spacing w:val="-8"/>
          <w:sz w:val="20"/>
        </w:rPr>
        <w:t> </w:t>
      </w:r>
      <w:r>
        <w:rPr>
          <w:sz w:val="20"/>
        </w:rPr>
        <w:t>is</w:t>
      </w:r>
      <w:r>
        <w:rPr>
          <w:spacing w:val="-8"/>
          <w:sz w:val="20"/>
        </w:rPr>
        <w:t> </w:t>
      </w:r>
      <w:r>
        <w:rPr>
          <w:spacing w:val="-3"/>
          <w:sz w:val="20"/>
        </w:rPr>
        <w:t>prepared</w:t>
      </w:r>
      <w:r>
        <w:rPr>
          <w:spacing w:val="-9"/>
          <w:sz w:val="20"/>
        </w:rPr>
        <w:t> </w:t>
      </w:r>
      <w:r>
        <w:rPr>
          <w:sz w:val="20"/>
        </w:rPr>
        <w:t>and</w:t>
      </w:r>
      <w:r>
        <w:rPr>
          <w:spacing w:val="-8"/>
          <w:sz w:val="20"/>
        </w:rPr>
        <w:t> </w:t>
      </w:r>
      <w:r>
        <w:rPr>
          <w:spacing w:val="-3"/>
          <w:sz w:val="20"/>
        </w:rPr>
        <w:t>any</w:t>
      </w:r>
      <w:r>
        <w:rPr>
          <w:spacing w:val="-8"/>
          <w:sz w:val="20"/>
        </w:rPr>
        <w:t> </w:t>
      </w:r>
      <w:r>
        <w:rPr>
          <w:sz w:val="20"/>
        </w:rPr>
        <w:t>logistical</w:t>
      </w:r>
      <w:r>
        <w:rPr>
          <w:spacing w:val="-9"/>
          <w:sz w:val="20"/>
        </w:rPr>
        <w:t> </w:t>
      </w:r>
      <w:r>
        <w:rPr>
          <w:sz w:val="20"/>
        </w:rPr>
        <w:t>issues</w:t>
      </w:r>
      <w:r>
        <w:rPr>
          <w:spacing w:val="-8"/>
          <w:sz w:val="20"/>
        </w:rPr>
        <w:t> </w:t>
      </w:r>
      <w:r>
        <w:rPr>
          <w:spacing w:val="-4"/>
          <w:sz w:val="20"/>
        </w:rPr>
        <w:t>have </w:t>
      </w:r>
      <w:r>
        <w:rPr>
          <w:sz w:val="20"/>
        </w:rPr>
        <w:t>been</w:t>
      </w:r>
      <w:r>
        <w:rPr>
          <w:spacing w:val="-10"/>
          <w:sz w:val="20"/>
        </w:rPr>
        <w:t> </w:t>
      </w:r>
      <w:r>
        <w:rPr>
          <w:sz w:val="20"/>
        </w:rPr>
        <w:t>addressed</w:t>
      </w:r>
      <w:r>
        <w:rPr>
          <w:spacing w:val="-10"/>
          <w:sz w:val="20"/>
        </w:rPr>
        <w:t> </w:t>
      </w:r>
      <w:r>
        <w:rPr>
          <w:sz w:val="20"/>
        </w:rPr>
        <w:t>ahead</w:t>
      </w:r>
      <w:r>
        <w:rPr>
          <w:spacing w:val="-10"/>
          <w:sz w:val="20"/>
        </w:rPr>
        <w:t> </w:t>
      </w:r>
      <w:r>
        <w:rPr>
          <w:sz w:val="20"/>
        </w:rPr>
        <w:t>of</w:t>
      </w:r>
      <w:r>
        <w:rPr>
          <w:spacing w:val="-10"/>
          <w:sz w:val="20"/>
        </w:rPr>
        <w:t> </w:t>
      </w:r>
      <w:r>
        <w:rPr>
          <w:sz w:val="20"/>
        </w:rPr>
        <w:t>time,</w:t>
      </w:r>
      <w:r>
        <w:rPr>
          <w:spacing w:val="-9"/>
          <w:sz w:val="20"/>
        </w:rPr>
        <w:t> </w:t>
      </w:r>
      <w:r>
        <w:rPr>
          <w:spacing w:val="-3"/>
          <w:sz w:val="20"/>
        </w:rPr>
        <w:t>allowing</w:t>
      </w:r>
      <w:r>
        <w:rPr>
          <w:spacing w:val="-10"/>
          <w:sz w:val="20"/>
        </w:rPr>
        <w:t> </w:t>
      </w:r>
      <w:r>
        <w:rPr>
          <w:sz w:val="20"/>
        </w:rPr>
        <w:t>everything</w:t>
      </w:r>
      <w:r>
        <w:rPr>
          <w:spacing w:val="-10"/>
          <w:sz w:val="20"/>
        </w:rPr>
        <w:t> </w:t>
      </w:r>
      <w:r>
        <w:rPr>
          <w:sz w:val="20"/>
        </w:rPr>
        <w:t>to</w:t>
      </w:r>
      <w:r>
        <w:rPr>
          <w:spacing w:val="-10"/>
          <w:sz w:val="20"/>
        </w:rPr>
        <w:t> </w:t>
      </w:r>
      <w:r>
        <w:rPr>
          <w:sz w:val="20"/>
        </w:rPr>
        <w:t>run</w:t>
      </w:r>
      <w:r>
        <w:rPr>
          <w:spacing w:val="-9"/>
          <w:sz w:val="20"/>
        </w:rPr>
        <w:t> </w:t>
      </w:r>
      <w:r>
        <w:rPr>
          <w:sz w:val="20"/>
        </w:rPr>
        <w:t>smoothly</w:t>
      </w:r>
      <w:r>
        <w:rPr>
          <w:spacing w:val="-10"/>
          <w:sz w:val="20"/>
        </w:rPr>
        <w:t> </w:t>
      </w:r>
      <w:r>
        <w:rPr>
          <w:sz w:val="20"/>
        </w:rPr>
        <w:t>for</w:t>
      </w:r>
      <w:r>
        <w:rPr>
          <w:spacing w:val="-10"/>
          <w:sz w:val="20"/>
        </w:rPr>
        <w:t> </w:t>
      </w:r>
      <w:r>
        <w:rPr>
          <w:sz w:val="20"/>
        </w:rPr>
        <w:t>the</w:t>
      </w:r>
      <w:r>
        <w:rPr>
          <w:spacing w:val="-10"/>
          <w:sz w:val="20"/>
        </w:rPr>
        <w:t> </w:t>
      </w:r>
      <w:r>
        <w:rPr>
          <w:sz w:val="20"/>
        </w:rPr>
        <w:t>court,</w:t>
      </w:r>
      <w:r>
        <w:rPr>
          <w:spacing w:val="-10"/>
          <w:sz w:val="20"/>
        </w:rPr>
        <w:t> </w:t>
      </w:r>
      <w:r>
        <w:rPr>
          <w:sz w:val="20"/>
        </w:rPr>
        <w:t>the potential</w:t>
      </w:r>
      <w:r>
        <w:rPr>
          <w:spacing w:val="-15"/>
          <w:sz w:val="20"/>
        </w:rPr>
        <w:t> </w:t>
      </w:r>
      <w:r>
        <w:rPr>
          <w:sz w:val="20"/>
        </w:rPr>
        <w:t>juror</w:t>
      </w:r>
      <w:r>
        <w:rPr>
          <w:spacing w:val="-14"/>
          <w:sz w:val="20"/>
        </w:rPr>
        <w:t> </w:t>
      </w:r>
      <w:r>
        <w:rPr>
          <w:sz w:val="20"/>
        </w:rPr>
        <w:t>and</w:t>
      </w:r>
      <w:r>
        <w:rPr>
          <w:spacing w:val="-15"/>
          <w:sz w:val="20"/>
        </w:rPr>
        <w:t> </w:t>
      </w:r>
      <w:r>
        <w:rPr>
          <w:spacing w:val="-4"/>
          <w:sz w:val="20"/>
        </w:rPr>
        <w:t>interpreter.</w:t>
      </w:r>
      <w:r>
        <w:rPr>
          <w:spacing w:val="-14"/>
          <w:sz w:val="20"/>
        </w:rPr>
        <w:t> </w:t>
      </w:r>
      <w:r>
        <w:rPr>
          <w:sz w:val="20"/>
        </w:rPr>
        <w:t>Victorian</w:t>
      </w:r>
      <w:r>
        <w:rPr>
          <w:spacing w:val="-15"/>
          <w:sz w:val="20"/>
        </w:rPr>
        <w:t> </w:t>
      </w:r>
      <w:r>
        <w:rPr>
          <w:sz w:val="20"/>
        </w:rPr>
        <w:t>Criminal</w:t>
      </w:r>
      <w:r>
        <w:rPr>
          <w:spacing w:val="-14"/>
          <w:sz w:val="20"/>
        </w:rPr>
        <w:t> </w:t>
      </w:r>
      <w:r>
        <w:rPr>
          <w:sz w:val="20"/>
        </w:rPr>
        <w:t>Bar</w:t>
      </w:r>
      <w:r>
        <w:rPr>
          <w:spacing w:val="-14"/>
          <w:sz w:val="20"/>
        </w:rPr>
        <w:t> </w:t>
      </w:r>
      <w:r>
        <w:rPr>
          <w:sz w:val="20"/>
        </w:rPr>
        <w:t>Association</w:t>
      </w:r>
      <w:r>
        <w:rPr>
          <w:spacing w:val="-15"/>
          <w:sz w:val="20"/>
        </w:rPr>
        <w:t> </w:t>
      </w:r>
      <w:r>
        <w:rPr>
          <w:sz w:val="20"/>
        </w:rPr>
        <w:t>consultees</w:t>
      </w:r>
      <w:r>
        <w:rPr>
          <w:spacing w:val="-14"/>
          <w:sz w:val="20"/>
        </w:rPr>
        <w:t> </w:t>
      </w:r>
      <w:r>
        <w:rPr>
          <w:sz w:val="20"/>
        </w:rPr>
        <w:t>noted</w:t>
      </w:r>
      <w:r>
        <w:rPr>
          <w:spacing w:val="-15"/>
          <w:sz w:val="20"/>
        </w:rPr>
        <w:t> </w:t>
      </w:r>
      <w:r>
        <w:rPr>
          <w:sz w:val="20"/>
        </w:rPr>
        <w:t>that a court policy on these issues </w:t>
      </w:r>
      <w:r>
        <w:rPr>
          <w:spacing w:val="-3"/>
          <w:sz w:val="20"/>
        </w:rPr>
        <w:t>would </w:t>
      </w:r>
      <w:r>
        <w:rPr>
          <w:sz w:val="20"/>
        </w:rPr>
        <w:t>mean that a ‘ judge doesn’t need to </w:t>
      </w:r>
      <w:r>
        <w:rPr>
          <w:spacing w:val="-3"/>
          <w:sz w:val="20"/>
        </w:rPr>
        <w:t>make </w:t>
      </w:r>
      <w:r>
        <w:rPr>
          <w:sz w:val="20"/>
        </w:rPr>
        <w:t>those decisions on the</w:t>
      </w:r>
      <w:r>
        <w:rPr>
          <w:spacing w:val="-13"/>
          <w:sz w:val="20"/>
        </w:rPr>
        <w:t> </w:t>
      </w:r>
      <w:r>
        <w:rPr>
          <w:sz w:val="20"/>
        </w:rPr>
        <w:t>day’.</w:t>
      </w:r>
      <w:r>
        <w:rPr>
          <w:position w:val="7"/>
          <w:sz w:val="11"/>
        </w:rPr>
        <w:t>45</w:t>
      </w:r>
    </w:p>
    <w:p>
      <w:pPr>
        <w:spacing w:before="168"/>
        <w:ind w:left="967" w:right="0" w:firstLine="0"/>
        <w:jc w:val="left"/>
        <w:rPr>
          <w:b/>
          <w:sz w:val="24"/>
        </w:rPr>
      </w:pPr>
      <w:r>
        <w:rPr>
          <w:b/>
          <w:sz w:val="24"/>
        </w:rPr>
        <w:t>Courtroom organisation</w:t>
      </w:r>
    </w:p>
    <w:p>
      <w:pPr>
        <w:pStyle w:val="ListParagraph"/>
        <w:numPr>
          <w:ilvl w:val="1"/>
          <w:numId w:val="12"/>
        </w:numPr>
        <w:tabs>
          <w:tab w:pos="1761" w:val="left" w:leader="none"/>
          <w:tab w:pos="1762" w:val="left" w:leader="none"/>
        </w:tabs>
        <w:spacing w:line="206" w:lineRule="auto" w:before="127" w:after="0"/>
        <w:ind w:left="1761" w:right="1322" w:hanging="794"/>
        <w:jc w:val="left"/>
        <w:rPr>
          <w:sz w:val="20"/>
        </w:rPr>
      </w:pPr>
      <w:r>
        <w:rPr>
          <w:sz w:val="20"/>
        </w:rPr>
        <w:t>Vision</w:t>
      </w:r>
      <w:r>
        <w:rPr>
          <w:spacing w:val="-10"/>
          <w:sz w:val="20"/>
        </w:rPr>
        <w:t> </w:t>
      </w:r>
      <w:r>
        <w:rPr>
          <w:sz w:val="20"/>
        </w:rPr>
        <w:t>Australia</w:t>
      </w:r>
      <w:r>
        <w:rPr>
          <w:spacing w:val="-10"/>
          <w:sz w:val="20"/>
        </w:rPr>
        <w:t> </w:t>
      </w:r>
      <w:r>
        <w:rPr>
          <w:spacing w:val="-3"/>
          <w:sz w:val="20"/>
        </w:rPr>
        <w:t>told</w:t>
      </w:r>
      <w:r>
        <w:rPr>
          <w:spacing w:val="-10"/>
          <w:sz w:val="20"/>
        </w:rPr>
        <w:t> </w:t>
      </w:r>
      <w:r>
        <w:rPr>
          <w:sz w:val="20"/>
        </w:rPr>
        <w:t>the</w:t>
      </w:r>
      <w:r>
        <w:rPr>
          <w:spacing w:val="-10"/>
          <w:sz w:val="20"/>
        </w:rPr>
        <w:t> </w:t>
      </w:r>
      <w:r>
        <w:rPr>
          <w:sz w:val="20"/>
        </w:rPr>
        <w:t>Commission</w:t>
      </w:r>
      <w:r>
        <w:rPr>
          <w:spacing w:val="-10"/>
          <w:sz w:val="20"/>
        </w:rPr>
        <w:t> </w:t>
      </w:r>
      <w:r>
        <w:rPr>
          <w:sz w:val="20"/>
        </w:rPr>
        <w:t>that</w:t>
      </w:r>
      <w:r>
        <w:rPr>
          <w:spacing w:val="-10"/>
          <w:sz w:val="20"/>
        </w:rPr>
        <w:t> </w:t>
      </w:r>
      <w:r>
        <w:rPr>
          <w:sz w:val="20"/>
        </w:rPr>
        <w:t>in</w:t>
      </w:r>
      <w:r>
        <w:rPr>
          <w:spacing w:val="-10"/>
          <w:sz w:val="20"/>
        </w:rPr>
        <w:t> </w:t>
      </w:r>
      <w:r>
        <w:rPr>
          <w:sz w:val="20"/>
        </w:rPr>
        <w:t>‘most</w:t>
      </w:r>
      <w:r>
        <w:rPr>
          <w:spacing w:val="-10"/>
          <w:sz w:val="20"/>
        </w:rPr>
        <w:t> </w:t>
      </w:r>
      <w:r>
        <w:rPr>
          <w:sz w:val="20"/>
        </w:rPr>
        <w:t>cases</w:t>
      </w:r>
      <w:r>
        <w:rPr>
          <w:spacing w:val="-10"/>
          <w:sz w:val="20"/>
        </w:rPr>
        <w:t> </w:t>
      </w:r>
      <w:r>
        <w:rPr>
          <w:spacing w:val="-3"/>
          <w:sz w:val="20"/>
        </w:rPr>
        <w:t>only</w:t>
      </w:r>
      <w:r>
        <w:rPr>
          <w:spacing w:val="-10"/>
          <w:sz w:val="20"/>
        </w:rPr>
        <w:t> </w:t>
      </w:r>
      <w:r>
        <w:rPr>
          <w:sz w:val="20"/>
        </w:rPr>
        <w:t>small</w:t>
      </w:r>
      <w:r>
        <w:rPr>
          <w:spacing w:val="-10"/>
          <w:sz w:val="20"/>
        </w:rPr>
        <w:t> </w:t>
      </w:r>
      <w:r>
        <w:rPr>
          <w:sz w:val="20"/>
        </w:rPr>
        <w:t>adjustments</w:t>
      </w:r>
      <w:r>
        <w:rPr>
          <w:spacing w:val="-10"/>
          <w:sz w:val="20"/>
        </w:rPr>
        <w:t> </w:t>
      </w:r>
      <w:r>
        <w:rPr>
          <w:spacing w:val="-3"/>
          <w:sz w:val="20"/>
        </w:rPr>
        <w:t>would </w:t>
      </w:r>
      <w:r>
        <w:rPr>
          <w:sz w:val="20"/>
        </w:rPr>
        <w:t>be </w:t>
      </w:r>
      <w:r>
        <w:rPr>
          <w:spacing w:val="-3"/>
          <w:sz w:val="20"/>
        </w:rPr>
        <w:t>required’, providing</w:t>
      </w:r>
      <w:r>
        <w:rPr>
          <w:spacing w:val="-9"/>
          <w:sz w:val="20"/>
        </w:rPr>
        <w:t> </w:t>
      </w:r>
      <w:r>
        <w:rPr>
          <w:spacing w:val="-3"/>
          <w:sz w:val="20"/>
        </w:rPr>
        <w:t>examples:</w:t>
      </w:r>
    </w:p>
    <w:p>
      <w:pPr>
        <w:spacing w:line="208" w:lineRule="auto" w:before="120"/>
        <w:ind w:left="2157" w:right="1239" w:firstLine="0"/>
        <w:jc w:val="left"/>
        <w:rPr>
          <w:sz w:val="11"/>
        </w:rPr>
      </w:pPr>
      <w:r>
        <w:rPr>
          <w:sz w:val="19"/>
        </w:rPr>
        <w:t>ensuring that there is sufficient space to accommodate a Seeing Eye dog if the blind or low vision juror uses one, or seating a low vision juror in a place in the courtroom or jury room where they are not negatively impacted by glare or bright light.</w:t>
      </w:r>
      <w:r>
        <w:rPr>
          <w:position w:val="6"/>
          <w:sz w:val="11"/>
        </w:rPr>
        <w:t>46</w:t>
      </w:r>
    </w:p>
    <w:p>
      <w:pPr>
        <w:pStyle w:val="ListParagraph"/>
        <w:numPr>
          <w:ilvl w:val="1"/>
          <w:numId w:val="12"/>
        </w:numPr>
        <w:tabs>
          <w:tab w:pos="1761" w:val="left" w:leader="none"/>
          <w:tab w:pos="1762" w:val="left" w:leader="none"/>
        </w:tabs>
        <w:spacing w:line="206" w:lineRule="auto" w:before="124" w:after="0"/>
        <w:ind w:left="1761" w:right="1494" w:hanging="794"/>
        <w:jc w:val="left"/>
        <w:rPr>
          <w:sz w:val="11"/>
        </w:rPr>
      </w:pPr>
      <w:r>
        <w:rPr>
          <w:spacing w:val="-3"/>
          <w:sz w:val="20"/>
        </w:rPr>
        <w:t>Similarly, </w:t>
      </w:r>
      <w:r>
        <w:rPr>
          <w:sz w:val="20"/>
        </w:rPr>
        <w:t>Alastair </w:t>
      </w:r>
      <w:r>
        <w:rPr>
          <w:spacing w:val="-3"/>
          <w:sz w:val="20"/>
        </w:rPr>
        <w:t>McEwin </w:t>
      </w:r>
      <w:r>
        <w:rPr>
          <w:sz w:val="20"/>
        </w:rPr>
        <w:t>noted that there ‘is an assumption that </w:t>
      </w:r>
      <w:r>
        <w:rPr>
          <w:spacing w:val="-3"/>
          <w:sz w:val="20"/>
        </w:rPr>
        <w:t>we </w:t>
      </w:r>
      <w:r>
        <w:rPr>
          <w:sz w:val="20"/>
        </w:rPr>
        <w:t>need to </w:t>
      </w:r>
      <w:r>
        <w:rPr>
          <w:spacing w:val="-3"/>
          <w:sz w:val="20"/>
        </w:rPr>
        <w:t>make </w:t>
      </w:r>
      <w:r>
        <w:rPr>
          <w:sz w:val="20"/>
        </w:rPr>
        <w:t>huge</w:t>
      </w:r>
      <w:r>
        <w:rPr>
          <w:spacing w:val="-11"/>
          <w:sz w:val="20"/>
        </w:rPr>
        <w:t> </w:t>
      </w:r>
      <w:r>
        <w:rPr>
          <w:sz w:val="20"/>
        </w:rPr>
        <w:t>expensive</w:t>
      </w:r>
      <w:r>
        <w:rPr>
          <w:spacing w:val="-11"/>
          <w:sz w:val="20"/>
        </w:rPr>
        <w:t> </w:t>
      </w:r>
      <w:r>
        <w:rPr>
          <w:sz w:val="20"/>
        </w:rPr>
        <w:t>changes</w:t>
      </w:r>
      <w:r>
        <w:rPr>
          <w:spacing w:val="-11"/>
          <w:sz w:val="20"/>
        </w:rPr>
        <w:t> </w:t>
      </w:r>
      <w:r>
        <w:rPr>
          <w:sz w:val="20"/>
        </w:rPr>
        <w:t>to</w:t>
      </w:r>
      <w:r>
        <w:rPr>
          <w:spacing w:val="-10"/>
          <w:sz w:val="20"/>
        </w:rPr>
        <w:t> </w:t>
      </w:r>
      <w:r>
        <w:rPr>
          <w:spacing w:val="-3"/>
          <w:sz w:val="20"/>
        </w:rPr>
        <w:t>provide</w:t>
      </w:r>
      <w:r>
        <w:rPr>
          <w:spacing w:val="-11"/>
          <w:sz w:val="20"/>
        </w:rPr>
        <w:t> </w:t>
      </w:r>
      <w:r>
        <w:rPr>
          <w:sz w:val="20"/>
        </w:rPr>
        <w:t>access</w:t>
      </w:r>
      <w:r>
        <w:rPr>
          <w:spacing w:val="-11"/>
          <w:sz w:val="20"/>
        </w:rPr>
        <w:t> </w:t>
      </w:r>
      <w:r>
        <w:rPr>
          <w:sz w:val="20"/>
        </w:rPr>
        <w:t>for</w:t>
      </w:r>
      <w:r>
        <w:rPr>
          <w:spacing w:val="-10"/>
          <w:sz w:val="20"/>
        </w:rPr>
        <w:t> </w:t>
      </w:r>
      <w:r>
        <w:rPr>
          <w:sz w:val="20"/>
        </w:rPr>
        <w:t>people</w:t>
      </w:r>
      <w:r>
        <w:rPr>
          <w:spacing w:val="-11"/>
          <w:sz w:val="20"/>
        </w:rPr>
        <w:t> </w:t>
      </w:r>
      <w:r>
        <w:rPr>
          <w:sz w:val="20"/>
        </w:rPr>
        <w:t>with</w:t>
      </w:r>
      <w:r>
        <w:rPr>
          <w:spacing w:val="-11"/>
          <w:sz w:val="20"/>
        </w:rPr>
        <w:t> </w:t>
      </w:r>
      <w:r>
        <w:rPr>
          <w:sz w:val="20"/>
        </w:rPr>
        <w:t>disabilities.</w:t>
      </w:r>
      <w:r>
        <w:rPr>
          <w:spacing w:val="-11"/>
          <w:sz w:val="20"/>
        </w:rPr>
        <w:t> </w:t>
      </w:r>
      <w:r>
        <w:rPr>
          <w:sz w:val="20"/>
        </w:rPr>
        <w:t>But</w:t>
      </w:r>
      <w:r>
        <w:rPr>
          <w:spacing w:val="-10"/>
          <w:sz w:val="20"/>
        </w:rPr>
        <w:t> </w:t>
      </w:r>
      <w:r>
        <w:rPr>
          <w:sz w:val="20"/>
        </w:rPr>
        <w:t>this</w:t>
      </w:r>
      <w:r>
        <w:rPr>
          <w:spacing w:val="-11"/>
          <w:sz w:val="20"/>
        </w:rPr>
        <w:t> </w:t>
      </w:r>
      <w:r>
        <w:rPr>
          <w:sz w:val="20"/>
        </w:rPr>
        <w:t>is</w:t>
      </w:r>
      <w:r>
        <w:rPr>
          <w:spacing w:val="-11"/>
          <w:sz w:val="20"/>
        </w:rPr>
        <w:t> </w:t>
      </w:r>
      <w:r>
        <w:rPr>
          <w:sz w:val="20"/>
        </w:rPr>
        <w:t>not necessarily</w:t>
      </w:r>
      <w:r>
        <w:rPr>
          <w:spacing w:val="-5"/>
          <w:sz w:val="20"/>
        </w:rPr>
        <w:t> </w:t>
      </w:r>
      <w:r>
        <w:rPr>
          <w:spacing w:val="-3"/>
          <w:sz w:val="20"/>
        </w:rPr>
        <w:t>true’.</w:t>
      </w:r>
      <w:r>
        <w:rPr>
          <w:spacing w:val="-3"/>
          <w:position w:val="7"/>
          <w:sz w:val="11"/>
        </w:rPr>
        <w:t>47</w:t>
      </w:r>
    </w:p>
    <w:p>
      <w:pPr>
        <w:pStyle w:val="ListParagraph"/>
        <w:numPr>
          <w:ilvl w:val="1"/>
          <w:numId w:val="12"/>
        </w:numPr>
        <w:tabs>
          <w:tab w:pos="1761" w:val="left" w:leader="none"/>
          <w:tab w:pos="1762" w:val="left" w:leader="none"/>
        </w:tabs>
        <w:spacing w:line="206" w:lineRule="auto" w:before="124" w:after="0"/>
        <w:ind w:left="1761" w:right="1267" w:hanging="794"/>
        <w:jc w:val="left"/>
        <w:rPr>
          <w:sz w:val="20"/>
        </w:rPr>
      </w:pPr>
      <w:r>
        <w:rPr>
          <w:sz w:val="20"/>
        </w:rPr>
        <w:t>The adjustments undertaken for the benefit of jurors in the subject groups </w:t>
      </w:r>
      <w:r>
        <w:rPr>
          <w:spacing w:val="-3"/>
          <w:sz w:val="20"/>
        </w:rPr>
        <w:t>may </w:t>
      </w:r>
      <w:r>
        <w:rPr>
          <w:sz w:val="20"/>
        </w:rPr>
        <w:t>also </w:t>
      </w:r>
      <w:r>
        <w:rPr>
          <w:spacing w:val="-4"/>
          <w:sz w:val="20"/>
        </w:rPr>
        <w:t>improve</w:t>
      </w:r>
      <w:r>
        <w:rPr>
          <w:spacing w:val="-7"/>
          <w:sz w:val="20"/>
        </w:rPr>
        <w:t> </w:t>
      </w:r>
      <w:r>
        <w:rPr>
          <w:sz w:val="20"/>
        </w:rPr>
        <w:t>access</w:t>
      </w:r>
      <w:r>
        <w:rPr>
          <w:spacing w:val="-7"/>
          <w:sz w:val="20"/>
        </w:rPr>
        <w:t> </w:t>
      </w:r>
      <w:r>
        <w:rPr>
          <w:sz w:val="20"/>
        </w:rPr>
        <w:t>for</w:t>
      </w:r>
      <w:r>
        <w:rPr>
          <w:spacing w:val="-7"/>
          <w:sz w:val="20"/>
        </w:rPr>
        <w:t> </w:t>
      </w:r>
      <w:r>
        <w:rPr>
          <w:sz w:val="20"/>
        </w:rPr>
        <w:t>all</w:t>
      </w:r>
      <w:r>
        <w:rPr>
          <w:spacing w:val="-7"/>
          <w:sz w:val="20"/>
        </w:rPr>
        <w:t> </w:t>
      </w:r>
      <w:r>
        <w:rPr>
          <w:sz w:val="20"/>
        </w:rPr>
        <w:t>court</w:t>
      </w:r>
      <w:r>
        <w:rPr>
          <w:spacing w:val="-7"/>
          <w:sz w:val="20"/>
        </w:rPr>
        <w:t> </w:t>
      </w:r>
      <w:r>
        <w:rPr>
          <w:sz w:val="20"/>
        </w:rPr>
        <w:t>users.</w:t>
      </w:r>
      <w:r>
        <w:rPr>
          <w:spacing w:val="-6"/>
          <w:sz w:val="20"/>
        </w:rPr>
        <w:t> </w:t>
      </w:r>
      <w:r>
        <w:rPr>
          <w:sz w:val="20"/>
        </w:rPr>
        <w:t>Associate</w:t>
      </w:r>
      <w:r>
        <w:rPr>
          <w:spacing w:val="-7"/>
          <w:sz w:val="20"/>
        </w:rPr>
        <w:t> </w:t>
      </w:r>
      <w:r>
        <w:rPr>
          <w:spacing w:val="-3"/>
          <w:sz w:val="20"/>
        </w:rPr>
        <w:t>Professors</w:t>
      </w:r>
      <w:r>
        <w:rPr>
          <w:spacing w:val="-7"/>
          <w:sz w:val="20"/>
        </w:rPr>
        <w:t> </w:t>
      </w:r>
      <w:r>
        <w:rPr>
          <w:sz w:val="20"/>
        </w:rPr>
        <w:t>Bruce</w:t>
      </w:r>
      <w:r>
        <w:rPr>
          <w:spacing w:val="-7"/>
          <w:sz w:val="20"/>
        </w:rPr>
        <w:t> </w:t>
      </w:r>
      <w:r>
        <w:rPr>
          <w:sz w:val="20"/>
        </w:rPr>
        <w:t>Baer</w:t>
      </w:r>
      <w:r>
        <w:rPr>
          <w:spacing w:val="-7"/>
          <w:sz w:val="20"/>
        </w:rPr>
        <w:t> </w:t>
      </w:r>
      <w:r>
        <w:rPr>
          <w:sz w:val="20"/>
        </w:rPr>
        <w:t>Arnold</w:t>
      </w:r>
      <w:r>
        <w:rPr>
          <w:spacing w:val="-6"/>
          <w:sz w:val="20"/>
        </w:rPr>
        <w:t> </w:t>
      </w:r>
      <w:r>
        <w:rPr>
          <w:sz w:val="20"/>
        </w:rPr>
        <w:t>and</w:t>
      </w:r>
      <w:r>
        <w:rPr>
          <w:spacing w:val="-7"/>
          <w:sz w:val="20"/>
        </w:rPr>
        <w:t> </w:t>
      </w:r>
      <w:r>
        <w:rPr>
          <w:spacing w:val="-4"/>
          <w:sz w:val="20"/>
        </w:rPr>
        <w:t>Wendy </w:t>
      </w:r>
      <w:r>
        <w:rPr>
          <w:sz w:val="20"/>
        </w:rPr>
        <w:t>Bonython submitted</w:t>
      </w:r>
      <w:r>
        <w:rPr>
          <w:spacing w:val="-9"/>
          <w:sz w:val="20"/>
        </w:rPr>
        <w:t> </w:t>
      </w:r>
      <w:r>
        <w:rPr>
          <w:sz w:val="20"/>
        </w:rPr>
        <w:t>that:</w:t>
      </w:r>
    </w:p>
    <w:p>
      <w:pPr>
        <w:spacing w:line="208" w:lineRule="auto" w:before="122"/>
        <w:ind w:left="2157" w:right="1335" w:firstLine="0"/>
        <w:jc w:val="left"/>
        <w:rPr>
          <w:sz w:val="11"/>
        </w:rPr>
      </w:pPr>
      <w:r>
        <w:rPr>
          <w:sz w:val="19"/>
        </w:rPr>
        <w:t>Our scrutiny of courtrooms in locations in Melbourne, regional NSW, Sydney and the ACT suggests that many people </w:t>
      </w:r>
      <w:r>
        <w:rPr>
          <w:i/>
          <w:sz w:val="19"/>
        </w:rPr>
        <w:t>without </w:t>
      </w:r>
      <w:r>
        <w:rPr>
          <w:sz w:val="19"/>
        </w:rPr>
        <w:t>hearing/vision difficulties would welcome redesign to assist them in following what takes place in court and in jury rooms.</w:t>
      </w:r>
      <w:r>
        <w:rPr>
          <w:position w:val="6"/>
          <w:sz w:val="11"/>
        </w:rPr>
        <w:t>48</w:t>
      </w:r>
    </w:p>
    <w:p>
      <w:pPr>
        <w:pStyle w:val="ListParagraph"/>
        <w:numPr>
          <w:ilvl w:val="1"/>
          <w:numId w:val="12"/>
        </w:numPr>
        <w:tabs>
          <w:tab w:pos="1761" w:val="left" w:leader="none"/>
          <w:tab w:pos="1762" w:val="left" w:leader="none"/>
        </w:tabs>
        <w:spacing w:line="206" w:lineRule="auto" w:before="124" w:after="0"/>
        <w:ind w:left="1761" w:right="1383" w:hanging="794"/>
        <w:jc w:val="left"/>
        <w:rPr>
          <w:sz w:val="20"/>
        </w:rPr>
      </w:pPr>
      <w:r>
        <w:rPr>
          <w:sz w:val="20"/>
        </w:rPr>
        <w:t>The County Court noted that a person requiring an assistance dog </w:t>
      </w:r>
      <w:r>
        <w:rPr>
          <w:spacing w:val="-3"/>
          <w:sz w:val="20"/>
        </w:rPr>
        <w:t>‘could </w:t>
      </w:r>
      <w:r>
        <w:rPr>
          <w:sz w:val="20"/>
        </w:rPr>
        <w:t>be seated </w:t>
      </w:r>
      <w:r>
        <w:rPr>
          <w:spacing w:val="-3"/>
          <w:sz w:val="20"/>
        </w:rPr>
        <w:t>appropriately</w:t>
      </w:r>
      <w:r>
        <w:rPr>
          <w:spacing w:val="-7"/>
          <w:sz w:val="20"/>
        </w:rPr>
        <w:t> </w:t>
      </w:r>
      <w:r>
        <w:rPr>
          <w:sz w:val="20"/>
        </w:rPr>
        <w:t>at</w:t>
      </w:r>
      <w:r>
        <w:rPr>
          <w:spacing w:val="-7"/>
          <w:sz w:val="20"/>
        </w:rPr>
        <w:t> </w:t>
      </w:r>
      <w:r>
        <w:rPr>
          <w:sz w:val="20"/>
        </w:rPr>
        <w:t>the</w:t>
      </w:r>
      <w:r>
        <w:rPr>
          <w:spacing w:val="-7"/>
          <w:sz w:val="20"/>
        </w:rPr>
        <w:t> </w:t>
      </w:r>
      <w:r>
        <w:rPr>
          <w:sz w:val="20"/>
        </w:rPr>
        <w:t>end</w:t>
      </w:r>
      <w:r>
        <w:rPr>
          <w:spacing w:val="-7"/>
          <w:sz w:val="20"/>
        </w:rPr>
        <w:t> </w:t>
      </w:r>
      <w:r>
        <w:rPr>
          <w:sz w:val="20"/>
        </w:rPr>
        <w:t>of</w:t>
      </w:r>
      <w:r>
        <w:rPr>
          <w:spacing w:val="-7"/>
          <w:sz w:val="20"/>
        </w:rPr>
        <w:t> </w:t>
      </w:r>
      <w:r>
        <w:rPr>
          <w:sz w:val="20"/>
        </w:rPr>
        <w:t>the</w:t>
      </w:r>
      <w:r>
        <w:rPr>
          <w:spacing w:val="-7"/>
          <w:sz w:val="20"/>
        </w:rPr>
        <w:t> </w:t>
      </w:r>
      <w:r>
        <w:rPr>
          <w:sz w:val="20"/>
        </w:rPr>
        <w:t>jury</w:t>
      </w:r>
      <w:r>
        <w:rPr>
          <w:spacing w:val="-7"/>
          <w:sz w:val="20"/>
        </w:rPr>
        <w:t> </w:t>
      </w:r>
      <w:r>
        <w:rPr>
          <w:sz w:val="20"/>
        </w:rPr>
        <w:t>box</w:t>
      </w:r>
      <w:r>
        <w:rPr>
          <w:spacing w:val="-7"/>
          <w:sz w:val="20"/>
        </w:rPr>
        <w:t> </w:t>
      </w:r>
      <w:r>
        <w:rPr>
          <w:sz w:val="20"/>
        </w:rPr>
        <w:t>closest</w:t>
      </w:r>
      <w:r>
        <w:rPr>
          <w:spacing w:val="-7"/>
          <w:sz w:val="20"/>
        </w:rPr>
        <w:t> </w:t>
      </w:r>
      <w:r>
        <w:rPr>
          <w:sz w:val="20"/>
        </w:rPr>
        <w:t>to</w:t>
      </w:r>
      <w:r>
        <w:rPr>
          <w:spacing w:val="-7"/>
          <w:sz w:val="20"/>
        </w:rPr>
        <w:t> </w:t>
      </w:r>
      <w:r>
        <w:rPr>
          <w:sz w:val="20"/>
        </w:rPr>
        <w:t>the</w:t>
      </w:r>
      <w:r>
        <w:rPr>
          <w:spacing w:val="-7"/>
          <w:sz w:val="20"/>
        </w:rPr>
        <w:t> </w:t>
      </w:r>
      <w:r>
        <w:rPr>
          <w:sz w:val="20"/>
        </w:rPr>
        <w:t>jury</w:t>
      </w:r>
      <w:r>
        <w:rPr>
          <w:spacing w:val="-7"/>
          <w:sz w:val="20"/>
        </w:rPr>
        <w:t> </w:t>
      </w:r>
      <w:r>
        <w:rPr>
          <w:sz w:val="20"/>
        </w:rPr>
        <w:t>room</w:t>
      </w:r>
      <w:r>
        <w:rPr>
          <w:spacing w:val="-7"/>
          <w:sz w:val="20"/>
        </w:rPr>
        <w:t> </w:t>
      </w:r>
      <w:r>
        <w:rPr>
          <w:sz w:val="20"/>
        </w:rPr>
        <w:t>door’.</w:t>
      </w:r>
      <w:r>
        <w:rPr>
          <w:position w:val="7"/>
          <w:sz w:val="11"/>
        </w:rPr>
        <w:t>49</w:t>
      </w:r>
      <w:r>
        <w:rPr>
          <w:spacing w:val="-1"/>
          <w:position w:val="7"/>
          <w:sz w:val="11"/>
        </w:rPr>
        <w:t> </w:t>
      </w:r>
      <w:r>
        <w:rPr>
          <w:sz w:val="20"/>
        </w:rPr>
        <w:t>The</w:t>
      </w:r>
      <w:r>
        <w:rPr>
          <w:spacing w:val="-7"/>
          <w:sz w:val="20"/>
        </w:rPr>
        <w:t> </w:t>
      </w:r>
      <w:r>
        <w:rPr>
          <w:sz w:val="20"/>
        </w:rPr>
        <w:t>Court</w:t>
      </w:r>
      <w:r>
        <w:rPr>
          <w:spacing w:val="-7"/>
          <w:sz w:val="20"/>
        </w:rPr>
        <w:t> </w:t>
      </w:r>
      <w:r>
        <w:rPr>
          <w:spacing w:val="-3"/>
          <w:sz w:val="20"/>
        </w:rPr>
        <w:t>told </w:t>
      </w:r>
      <w:r>
        <w:rPr>
          <w:sz w:val="20"/>
        </w:rPr>
        <w:t>the Commission that it ‘is open to adjusting lighting to an </w:t>
      </w:r>
      <w:r>
        <w:rPr>
          <w:spacing w:val="-3"/>
          <w:sz w:val="20"/>
        </w:rPr>
        <w:t>appropriate </w:t>
      </w:r>
      <w:r>
        <w:rPr>
          <w:spacing w:val="-4"/>
          <w:sz w:val="20"/>
        </w:rPr>
        <w:t>level </w:t>
      </w:r>
      <w:r>
        <w:rPr>
          <w:sz w:val="20"/>
        </w:rPr>
        <w:t>to assist with lip-reading, while remaining comfortable for all court </w:t>
      </w:r>
      <w:r>
        <w:rPr>
          <w:spacing w:val="-3"/>
          <w:sz w:val="20"/>
        </w:rPr>
        <w:t>users’.</w:t>
      </w:r>
      <w:r>
        <w:rPr>
          <w:spacing w:val="-3"/>
          <w:position w:val="7"/>
          <w:sz w:val="11"/>
        </w:rPr>
        <w:t>50 </w:t>
      </w:r>
      <w:r>
        <w:rPr>
          <w:sz w:val="20"/>
        </w:rPr>
        <w:t>Sometimes it </w:t>
      </w:r>
      <w:r>
        <w:rPr>
          <w:spacing w:val="-3"/>
          <w:sz w:val="20"/>
        </w:rPr>
        <w:t>may </w:t>
      </w:r>
      <w:r>
        <w:rPr>
          <w:sz w:val="20"/>
        </w:rPr>
        <w:t>be</w:t>
      </w:r>
      <w:r>
        <w:rPr>
          <w:spacing w:val="-8"/>
          <w:sz w:val="20"/>
        </w:rPr>
        <w:t> </w:t>
      </w:r>
      <w:r>
        <w:rPr>
          <w:sz w:val="20"/>
        </w:rPr>
        <w:t>necessary</w:t>
      </w:r>
      <w:r>
        <w:rPr>
          <w:spacing w:val="-8"/>
          <w:sz w:val="20"/>
        </w:rPr>
        <w:t> </w:t>
      </w:r>
      <w:r>
        <w:rPr>
          <w:sz w:val="20"/>
        </w:rPr>
        <w:t>to</w:t>
      </w:r>
      <w:r>
        <w:rPr>
          <w:spacing w:val="-8"/>
          <w:sz w:val="20"/>
        </w:rPr>
        <w:t> </w:t>
      </w:r>
      <w:r>
        <w:rPr>
          <w:spacing w:val="-4"/>
          <w:sz w:val="20"/>
        </w:rPr>
        <w:t>move</w:t>
      </w:r>
      <w:r>
        <w:rPr>
          <w:spacing w:val="-8"/>
          <w:sz w:val="20"/>
        </w:rPr>
        <w:t> </w:t>
      </w:r>
      <w:r>
        <w:rPr>
          <w:sz w:val="20"/>
        </w:rPr>
        <w:t>positions</w:t>
      </w:r>
      <w:r>
        <w:rPr>
          <w:spacing w:val="-8"/>
          <w:sz w:val="20"/>
        </w:rPr>
        <w:t> </w:t>
      </w:r>
      <w:r>
        <w:rPr>
          <w:sz w:val="20"/>
        </w:rPr>
        <w:t>as</w:t>
      </w:r>
      <w:r>
        <w:rPr>
          <w:spacing w:val="-8"/>
          <w:sz w:val="20"/>
        </w:rPr>
        <w:t> </w:t>
      </w:r>
      <w:r>
        <w:rPr>
          <w:sz w:val="20"/>
        </w:rPr>
        <w:t>the</w:t>
      </w:r>
      <w:r>
        <w:rPr>
          <w:spacing w:val="-8"/>
          <w:sz w:val="20"/>
        </w:rPr>
        <w:t> </w:t>
      </w:r>
      <w:r>
        <w:rPr>
          <w:sz w:val="20"/>
        </w:rPr>
        <w:t>light</w:t>
      </w:r>
      <w:r>
        <w:rPr>
          <w:spacing w:val="-8"/>
          <w:sz w:val="20"/>
        </w:rPr>
        <w:t> </w:t>
      </w:r>
      <w:r>
        <w:rPr>
          <w:sz w:val="20"/>
        </w:rPr>
        <w:t>changes,</w:t>
      </w:r>
      <w:r>
        <w:rPr>
          <w:position w:val="7"/>
          <w:sz w:val="11"/>
        </w:rPr>
        <w:t>51</w:t>
      </w:r>
      <w:r>
        <w:rPr>
          <w:spacing w:val="17"/>
          <w:position w:val="7"/>
          <w:sz w:val="11"/>
        </w:rPr>
        <w:t> </w:t>
      </w:r>
      <w:r>
        <w:rPr>
          <w:sz w:val="20"/>
        </w:rPr>
        <w:t>or</w:t>
      </w:r>
      <w:r>
        <w:rPr>
          <w:spacing w:val="-7"/>
          <w:sz w:val="20"/>
        </w:rPr>
        <w:t> </w:t>
      </w:r>
      <w:r>
        <w:rPr>
          <w:sz w:val="20"/>
        </w:rPr>
        <w:t>for</w:t>
      </w:r>
      <w:r>
        <w:rPr>
          <w:spacing w:val="-8"/>
          <w:sz w:val="20"/>
        </w:rPr>
        <w:t> </w:t>
      </w:r>
      <w:r>
        <w:rPr>
          <w:sz w:val="20"/>
        </w:rPr>
        <w:t>a</w:t>
      </w:r>
      <w:r>
        <w:rPr>
          <w:spacing w:val="-8"/>
          <w:sz w:val="20"/>
        </w:rPr>
        <w:t> </w:t>
      </w:r>
      <w:r>
        <w:rPr>
          <w:sz w:val="20"/>
        </w:rPr>
        <w:t>juror</w:t>
      </w:r>
      <w:r>
        <w:rPr>
          <w:spacing w:val="-8"/>
          <w:sz w:val="20"/>
        </w:rPr>
        <w:t> </w:t>
      </w:r>
      <w:r>
        <w:rPr>
          <w:sz w:val="20"/>
        </w:rPr>
        <w:t>to</w:t>
      </w:r>
      <w:r>
        <w:rPr>
          <w:spacing w:val="-8"/>
          <w:sz w:val="20"/>
        </w:rPr>
        <w:t> </w:t>
      </w:r>
      <w:r>
        <w:rPr>
          <w:sz w:val="20"/>
        </w:rPr>
        <w:t>be</w:t>
      </w:r>
      <w:r>
        <w:rPr>
          <w:spacing w:val="-8"/>
          <w:sz w:val="20"/>
        </w:rPr>
        <w:t> </w:t>
      </w:r>
      <w:r>
        <w:rPr>
          <w:sz w:val="20"/>
        </w:rPr>
        <w:t>seated</w:t>
      </w:r>
      <w:r>
        <w:rPr>
          <w:spacing w:val="-8"/>
          <w:sz w:val="20"/>
        </w:rPr>
        <w:t> </w:t>
      </w:r>
      <w:r>
        <w:rPr>
          <w:sz w:val="20"/>
        </w:rPr>
        <w:t>near the witness stand.</w:t>
      </w:r>
      <w:r>
        <w:rPr>
          <w:position w:val="7"/>
          <w:sz w:val="11"/>
        </w:rPr>
        <w:t>52 </w:t>
      </w:r>
      <w:r>
        <w:rPr>
          <w:sz w:val="20"/>
        </w:rPr>
        <w:t>This </w:t>
      </w:r>
      <w:r>
        <w:rPr>
          <w:spacing w:val="-3"/>
          <w:sz w:val="20"/>
        </w:rPr>
        <w:t>may </w:t>
      </w:r>
      <w:r>
        <w:rPr>
          <w:sz w:val="20"/>
        </w:rPr>
        <w:t>mean that particular trials </w:t>
      </w:r>
      <w:r>
        <w:rPr>
          <w:spacing w:val="-4"/>
          <w:sz w:val="20"/>
        </w:rPr>
        <w:t>have </w:t>
      </w:r>
      <w:r>
        <w:rPr>
          <w:sz w:val="20"/>
        </w:rPr>
        <w:t>to be heard in certain courtrooms with the right</w:t>
      </w:r>
      <w:r>
        <w:rPr>
          <w:spacing w:val="-19"/>
          <w:sz w:val="20"/>
        </w:rPr>
        <w:t> </w:t>
      </w:r>
      <w:r>
        <w:rPr>
          <w:sz w:val="20"/>
        </w:rPr>
        <w:t>configuration.</w:t>
      </w:r>
    </w:p>
    <w:p>
      <w:pPr>
        <w:pStyle w:val="BodyText"/>
      </w:pPr>
    </w:p>
    <w:p>
      <w:pPr>
        <w:pStyle w:val="BodyText"/>
      </w:pPr>
    </w:p>
    <w:p>
      <w:pPr>
        <w:pStyle w:val="BodyText"/>
        <w:rPr>
          <w:sz w:val="19"/>
        </w:rPr>
      </w:pPr>
      <w:r>
        <w:rPr/>
        <w:pict>
          <v:line style="position:absolute;mso-position-horizontal-relative:page;mso-position-vertical-relative:paragraph;z-index:7976;mso-wrap-distance-left:0;mso-wrap-distance-right:0" from="79.370102pt,15.6399pt" to="515.905102pt,15.6399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41"/>
        </w:rPr>
      </w:pPr>
    </w:p>
    <w:p>
      <w:pPr>
        <w:spacing w:before="0"/>
        <w:ind w:left="100" w:right="0" w:firstLine="0"/>
        <w:jc w:val="left"/>
        <w:rPr>
          <w:b/>
          <w:sz w:val="24"/>
        </w:rPr>
      </w:pPr>
      <w:r>
        <w:rPr>
          <w:b/>
          <w:color w:val="37617A"/>
          <w:sz w:val="24"/>
        </w:rPr>
        <w:t>148</w:t>
      </w:r>
    </w:p>
    <w:p>
      <w:pPr>
        <w:pStyle w:val="ListParagraph"/>
        <w:numPr>
          <w:ilvl w:val="0"/>
          <w:numId w:val="96"/>
        </w:numPr>
        <w:tabs>
          <w:tab w:pos="893" w:val="left" w:leader="none"/>
          <w:tab w:pos="894" w:val="left" w:leader="none"/>
        </w:tabs>
        <w:spacing w:line="213" w:lineRule="auto" w:before="38" w:after="0"/>
        <w:ind w:left="893" w:right="1225" w:hanging="793"/>
        <w:jc w:val="left"/>
        <w:rPr>
          <w:sz w:val="13"/>
        </w:rPr>
      </w:pPr>
      <w:r>
        <w:rPr>
          <w:spacing w:val="3"/>
          <w:w w:val="100"/>
          <w:sz w:val="13"/>
        </w:rPr>
        <w:br w:type="column"/>
      </w:r>
      <w:r>
        <w:rPr>
          <w:sz w:val="13"/>
        </w:rPr>
        <w:t>See generally Victorian Law Reform </w:t>
      </w:r>
      <w:r>
        <w:rPr>
          <w:spacing w:val="2"/>
          <w:sz w:val="13"/>
        </w:rPr>
        <w:t>Commission, </w:t>
      </w:r>
      <w:r>
        <w:rPr>
          <w:i/>
          <w:sz w:val="13"/>
        </w:rPr>
        <w:t>Inclusive Juries—Access for People Who Are Deaf, Hard of Hearing, Blind or Have </w:t>
      </w:r>
      <w:r>
        <w:rPr>
          <w:i/>
          <w:sz w:val="13"/>
        </w:rPr>
        <w:t>Low Vision </w:t>
      </w:r>
      <w:r>
        <w:rPr>
          <w:sz w:val="13"/>
        </w:rPr>
        <w:t>(Consultation Paper, </w:t>
      </w:r>
      <w:r>
        <w:rPr>
          <w:spacing w:val="2"/>
          <w:sz w:val="13"/>
        </w:rPr>
        <w:t>December </w:t>
      </w:r>
      <w:r>
        <w:rPr>
          <w:sz w:val="13"/>
        </w:rPr>
        <w:t>2020) 72 [8.47].</w:t>
      </w:r>
    </w:p>
    <w:p>
      <w:pPr>
        <w:pStyle w:val="ListParagraph"/>
        <w:numPr>
          <w:ilvl w:val="0"/>
          <w:numId w:val="96"/>
        </w:numPr>
        <w:tabs>
          <w:tab w:pos="893" w:val="left" w:leader="none"/>
          <w:tab w:pos="894" w:val="left" w:leader="none"/>
        </w:tabs>
        <w:spacing w:line="153" w:lineRule="exact" w:before="0" w:after="0"/>
        <w:ind w:left="893" w:right="0" w:hanging="793"/>
        <w:jc w:val="left"/>
        <w:rPr>
          <w:sz w:val="13"/>
        </w:rPr>
      </w:pPr>
      <w:r>
        <w:rPr>
          <w:sz w:val="13"/>
        </w:rPr>
        <w:t>Consultation 4 </w:t>
      </w:r>
      <w:r>
        <w:rPr>
          <w:spacing w:val="2"/>
          <w:sz w:val="13"/>
        </w:rPr>
        <w:t>(Victorian </w:t>
      </w:r>
      <w:r>
        <w:rPr>
          <w:sz w:val="13"/>
        </w:rPr>
        <w:t>Criminal Bar</w:t>
      </w:r>
      <w:r>
        <w:rPr>
          <w:spacing w:val="-1"/>
          <w:sz w:val="13"/>
        </w:rPr>
        <w:t> </w:t>
      </w:r>
      <w:r>
        <w:rPr>
          <w:sz w:val="13"/>
        </w:rPr>
        <w:t>Association).</w:t>
      </w:r>
    </w:p>
    <w:p>
      <w:pPr>
        <w:pStyle w:val="ListParagraph"/>
        <w:numPr>
          <w:ilvl w:val="0"/>
          <w:numId w:val="96"/>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96"/>
        </w:numPr>
        <w:tabs>
          <w:tab w:pos="893" w:val="left" w:leader="none"/>
          <w:tab w:pos="894" w:val="left" w:leader="none"/>
        </w:tabs>
        <w:spacing w:line="213" w:lineRule="auto" w:before="6" w:after="0"/>
        <w:ind w:left="893" w:right="1305" w:hanging="793"/>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96"/>
        </w:numPr>
        <w:tabs>
          <w:tab w:pos="893" w:val="left" w:leader="none"/>
          <w:tab w:pos="894" w:val="left" w:leader="none"/>
        </w:tabs>
        <w:spacing w:line="153" w:lineRule="exact" w:before="0" w:after="0"/>
        <w:ind w:left="893" w:right="0" w:hanging="793"/>
        <w:jc w:val="left"/>
        <w:rPr>
          <w:sz w:val="13"/>
        </w:rPr>
      </w:pPr>
      <w:r>
        <w:rPr>
          <w:spacing w:val="2"/>
          <w:sz w:val="13"/>
        </w:rPr>
        <w:t>Submission </w:t>
      </w:r>
      <w:r>
        <w:rPr>
          <w:sz w:val="13"/>
        </w:rPr>
        <w:t>4 </w:t>
      </w:r>
      <w:r>
        <w:rPr>
          <w:spacing w:val="2"/>
          <w:sz w:val="13"/>
        </w:rPr>
        <w:t>(Associate </w:t>
      </w:r>
      <w:r>
        <w:rPr>
          <w:sz w:val="13"/>
        </w:rPr>
        <w:t>Professors Bruce Baer Arnold (University of </w:t>
      </w:r>
      <w:r>
        <w:rPr>
          <w:spacing w:val="2"/>
          <w:sz w:val="13"/>
        </w:rPr>
        <w:t>Canberra) </w:t>
      </w:r>
      <w:r>
        <w:rPr>
          <w:sz w:val="13"/>
        </w:rPr>
        <w:t>and Wendy Bonython (Bond</w:t>
      </w:r>
      <w:r>
        <w:rPr>
          <w:spacing w:val="18"/>
          <w:sz w:val="13"/>
        </w:rPr>
        <w:t> </w:t>
      </w:r>
      <w:r>
        <w:rPr>
          <w:sz w:val="13"/>
        </w:rPr>
        <w:t>University)).</w:t>
      </w:r>
    </w:p>
    <w:p>
      <w:pPr>
        <w:pStyle w:val="ListParagraph"/>
        <w:numPr>
          <w:ilvl w:val="0"/>
          <w:numId w:val="96"/>
        </w:numPr>
        <w:tabs>
          <w:tab w:pos="893" w:val="left" w:leader="none"/>
          <w:tab w:pos="894" w:val="left" w:leader="none"/>
        </w:tabs>
        <w:spacing w:line="160" w:lineRule="exact" w:before="0" w:after="0"/>
        <w:ind w:left="893" w:right="0" w:hanging="793"/>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26"/>
          <w:sz w:val="13"/>
        </w:rPr>
        <w:t> </w:t>
      </w:r>
      <w:r>
        <w:rPr>
          <w:sz w:val="13"/>
        </w:rPr>
        <w:t>Victoria).</w:t>
      </w:r>
    </w:p>
    <w:p>
      <w:pPr>
        <w:pStyle w:val="ListParagraph"/>
        <w:numPr>
          <w:ilvl w:val="0"/>
          <w:numId w:val="96"/>
        </w:numPr>
        <w:tabs>
          <w:tab w:pos="893" w:val="left" w:leader="none"/>
          <w:tab w:pos="894" w:val="left" w:leader="none"/>
        </w:tabs>
        <w:spacing w:line="160" w:lineRule="exact" w:before="0" w:after="0"/>
        <w:ind w:left="893" w:right="0" w:hanging="793"/>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26"/>
          <w:sz w:val="13"/>
        </w:rPr>
        <w:t> </w:t>
      </w:r>
      <w:r>
        <w:rPr>
          <w:sz w:val="13"/>
        </w:rPr>
        <w:t>Victoria).</w:t>
      </w:r>
    </w:p>
    <w:p>
      <w:pPr>
        <w:pStyle w:val="ListParagraph"/>
        <w:numPr>
          <w:ilvl w:val="0"/>
          <w:numId w:val="96"/>
        </w:numPr>
        <w:tabs>
          <w:tab w:pos="893" w:val="left" w:leader="none"/>
          <w:tab w:pos="894" w:val="left" w:leader="none"/>
        </w:tabs>
        <w:spacing w:line="213" w:lineRule="auto" w:before="6" w:after="0"/>
        <w:ind w:left="893" w:right="1841" w:hanging="793"/>
        <w:jc w:val="left"/>
        <w:rPr>
          <w:sz w:val="13"/>
        </w:rPr>
      </w:pPr>
      <w:r>
        <w:rPr>
          <w:sz w:val="13"/>
        </w:rPr>
        <w:t>Judicial College </w:t>
      </w:r>
      <w:r>
        <w:rPr>
          <w:spacing w:val="2"/>
          <w:sz w:val="13"/>
        </w:rPr>
        <w:t>UK, </w:t>
      </w:r>
      <w:r>
        <w:rPr>
          <w:i/>
          <w:sz w:val="13"/>
        </w:rPr>
        <w:t>Equal Treatment Bench Book </w:t>
      </w:r>
      <w:r>
        <w:rPr>
          <w:sz w:val="13"/>
        </w:rPr>
        <w:t>(Manual, February 2021) 422 &lt;</w:t>
      </w:r>
      <w:hyperlink r:id="rId129">
        <w:r>
          <w:rPr>
            <w:sz w:val="13"/>
          </w:rPr>
          <w:t>https://www.judiciary.uk/wp-content/</w:t>
        </w:r>
      </w:hyperlink>
      <w:hyperlink r:id="rId129">
        <w:r>
          <w:rPr>
            <w:sz w:val="13"/>
          </w:rPr>
          <w:t> uploads/2021/02/Equal-Treatment-Bench-Book-February-2021-1.pdf</w:t>
        </w:r>
      </w:hyperlink>
      <w:r>
        <w:rPr>
          <w:sz w:val="13"/>
        </w:rPr>
        <w:t>&gt;.</w:t>
      </w:r>
    </w:p>
    <w:p>
      <w:pPr>
        <w:pStyle w:val="ListParagraph"/>
        <w:numPr>
          <w:ilvl w:val="0"/>
          <w:numId w:val="96"/>
        </w:numPr>
        <w:tabs>
          <w:tab w:pos="893" w:val="left" w:leader="none"/>
          <w:tab w:pos="894" w:val="left" w:leader="none"/>
        </w:tabs>
        <w:spacing w:line="213" w:lineRule="auto" w:before="0" w:after="0"/>
        <w:ind w:left="893" w:right="1444" w:hanging="793"/>
        <w:jc w:val="left"/>
        <w:rPr>
          <w:sz w:val="13"/>
        </w:rPr>
      </w:pPr>
      <w:r>
        <w:rPr>
          <w:sz w:val="13"/>
        </w:rPr>
        <w:t>Victorian Law Reform </w:t>
      </w:r>
      <w:r>
        <w:rPr>
          <w:spacing w:val="2"/>
          <w:sz w:val="13"/>
        </w:rPr>
        <w:t>Commission, </w:t>
      </w:r>
      <w:r>
        <w:rPr>
          <w:i/>
          <w:sz w:val="13"/>
        </w:rPr>
        <w:t>Inclusive Juries—Access for People Who Are Deaf, Hard of Hearing, Blind or Have Low Vision </w:t>
      </w:r>
      <w:r>
        <w:rPr>
          <w:sz w:val="13"/>
        </w:rPr>
        <w:t>(Consultation Paper, </w:t>
      </w:r>
      <w:r>
        <w:rPr>
          <w:spacing w:val="2"/>
          <w:sz w:val="13"/>
        </w:rPr>
        <w:t>December </w:t>
      </w:r>
      <w:r>
        <w:rPr>
          <w:sz w:val="13"/>
        </w:rPr>
        <w:t>2020) 31 </w:t>
      </w:r>
      <w:r>
        <w:rPr>
          <w:spacing w:val="3"/>
          <w:sz w:val="13"/>
        </w:rPr>
        <w:t>[4.25], </w:t>
      </w:r>
      <w:r>
        <w:rPr>
          <w:sz w:val="13"/>
        </w:rPr>
        <w:t>citing </w:t>
      </w:r>
      <w:r>
        <w:rPr>
          <w:spacing w:val="2"/>
          <w:sz w:val="13"/>
        </w:rPr>
        <w:t>Ministry </w:t>
      </w:r>
      <w:r>
        <w:rPr>
          <w:sz w:val="13"/>
        </w:rPr>
        <w:t>of Justice (NZ), </w:t>
      </w:r>
      <w:r>
        <w:rPr>
          <w:spacing w:val="2"/>
          <w:sz w:val="13"/>
        </w:rPr>
        <w:t>‘Disability </w:t>
      </w:r>
      <w:r>
        <w:rPr>
          <w:sz w:val="13"/>
        </w:rPr>
        <w:t>Support’, </w:t>
      </w:r>
      <w:r>
        <w:rPr>
          <w:i/>
          <w:spacing w:val="2"/>
          <w:sz w:val="13"/>
        </w:rPr>
        <w:t>Jury Service </w:t>
      </w:r>
      <w:r>
        <w:rPr>
          <w:sz w:val="13"/>
        </w:rPr>
        <w:t>(Web Page, 18 August 2020) &lt;</w:t>
      </w:r>
      <w:hyperlink r:id="rId170">
        <w:r>
          <w:rPr>
            <w:sz w:val="13"/>
          </w:rPr>
          <w:t>https://www.justice.govt.nz/courts/jury-service/disability-support/</w:t>
        </w:r>
      </w:hyperlink>
      <w:r>
        <w:rPr>
          <w:sz w:val="13"/>
        </w:rPr>
        <w:t>&gt;. We note that this web page no </w:t>
      </w:r>
      <w:r>
        <w:rPr>
          <w:spacing w:val="2"/>
          <w:sz w:val="13"/>
        </w:rPr>
        <w:t>longer </w:t>
      </w:r>
      <w:r>
        <w:rPr>
          <w:sz w:val="13"/>
        </w:rPr>
        <w:t>appears online.</w:t>
      </w:r>
    </w:p>
    <w:p>
      <w:pPr>
        <w:spacing w:after="0" w:line="213" w:lineRule="auto"/>
        <w:jc w:val="left"/>
        <w:rPr>
          <w:sz w:val="13"/>
        </w:rPr>
        <w:sectPr>
          <w:type w:val="continuous"/>
          <w:pgSz w:w="11910" w:h="16840"/>
          <w:pgMar w:top="620" w:bottom="280" w:left="620" w:right="380"/>
          <w:cols w:num="2" w:equalWidth="0">
            <w:col w:w="540" w:space="327"/>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59" w:lineRule="exact" w:before="58" w:after="0"/>
        <w:ind w:left="1761" w:right="0" w:hanging="794"/>
        <w:jc w:val="left"/>
        <w:rPr>
          <w:sz w:val="20"/>
        </w:rPr>
      </w:pPr>
      <w:bookmarkStart w:name="_bookmark107" w:id="255"/>
      <w:bookmarkEnd w:id="255"/>
      <w:r>
        <w:rPr/>
      </w:r>
      <w:bookmarkStart w:name="_bookmark107" w:id="256"/>
      <w:bookmarkEnd w:id="256"/>
      <w:r>
        <w:rPr>
          <w:sz w:val="20"/>
        </w:rPr>
        <w:t>S</w:t>
      </w:r>
      <w:r>
        <w:rPr>
          <w:sz w:val="20"/>
        </w:rPr>
        <w:t>pecial</w:t>
      </w:r>
      <w:r>
        <w:rPr>
          <w:spacing w:val="-5"/>
          <w:sz w:val="20"/>
        </w:rPr>
        <w:t> </w:t>
      </w:r>
      <w:r>
        <w:rPr>
          <w:sz w:val="20"/>
        </w:rPr>
        <w:t>adjustments</w:t>
      </w:r>
      <w:r>
        <w:rPr>
          <w:spacing w:val="-5"/>
          <w:sz w:val="20"/>
        </w:rPr>
        <w:t> </w:t>
      </w:r>
      <w:r>
        <w:rPr>
          <w:sz w:val="20"/>
        </w:rPr>
        <w:t>to</w:t>
      </w:r>
      <w:r>
        <w:rPr>
          <w:spacing w:val="-5"/>
          <w:sz w:val="20"/>
        </w:rPr>
        <w:t> </w:t>
      </w:r>
      <w:r>
        <w:rPr>
          <w:sz w:val="20"/>
        </w:rPr>
        <w:t>the</w:t>
      </w:r>
      <w:r>
        <w:rPr>
          <w:spacing w:val="-5"/>
          <w:sz w:val="20"/>
        </w:rPr>
        <w:t> </w:t>
      </w:r>
      <w:r>
        <w:rPr>
          <w:sz w:val="20"/>
        </w:rPr>
        <w:t>courtroom</w:t>
      </w:r>
      <w:r>
        <w:rPr>
          <w:spacing w:val="-5"/>
          <w:sz w:val="20"/>
        </w:rPr>
        <w:t> </w:t>
      </w:r>
      <w:r>
        <w:rPr>
          <w:spacing w:val="-3"/>
          <w:sz w:val="20"/>
        </w:rPr>
        <w:t>layout</w:t>
      </w:r>
      <w:r>
        <w:rPr>
          <w:spacing w:val="-5"/>
          <w:sz w:val="20"/>
        </w:rPr>
        <w:t> </w:t>
      </w:r>
      <w:r>
        <w:rPr>
          <w:sz w:val="20"/>
        </w:rPr>
        <w:t>and</w:t>
      </w:r>
      <w:r>
        <w:rPr>
          <w:spacing w:val="-5"/>
          <w:sz w:val="20"/>
        </w:rPr>
        <w:t> </w:t>
      </w:r>
      <w:r>
        <w:rPr>
          <w:sz w:val="20"/>
        </w:rPr>
        <w:t>court</w:t>
      </w:r>
      <w:r>
        <w:rPr>
          <w:spacing w:val="-5"/>
          <w:sz w:val="20"/>
        </w:rPr>
        <w:t> </w:t>
      </w:r>
      <w:r>
        <w:rPr>
          <w:spacing w:val="-3"/>
          <w:sz w:val="20"/>
        </w:rPr>
        <w:t>procedures</w:t>
      </w:r>
      <w:r>
        <w:rPr>
          <w:spacing w:val="-4"/>
          <w:sz w:val="20"/>
        </w:rPr>
        <w:t> </w:t>
      </w:r>
      <w:r>
        <w:rPr>
          <w:spacing w:val="-3"/>
          <w:sz w:val="20"/>
        </w:rPr>
        <w:t>may</w:t>
      </w:r>
      <w:r>
        <w:rPr>
          <w:spacing w:val="-5"/>
          <w:sz w:val="20"/>
        </w:rPr>
        <w:t> </w:t>
      </w:r>
      <w:r>
        <w:rPr>
          <w:sz w:val="20"/>
        </w:rPr>
        <w:t>be</w:t>
      </w:r>
      <w:r>
        <w:rPr>
          <w:spacing w:val="-5"/>
          <w:sz w:val="20"/>
        </w:rPr>
        <w:t> </w:t>
      </w:r>
      <w:r>
        <w:rPr>
          <w:spacing w:val="-3"/>
          <w:sz w:val="20"/>
        </w:rPr>
        <w:t>required</w:t>
      </w:r>
      <w:r>
        <w:rPr>
          <w:spacing w:val="-5"/>
          <w:sz w:val="20"/>
        </w:rPr>
        <w:t> </w:t>
      </w:r>
      <w:r>
        <w:rPr>
          <w:sz w:val="20"/>
        </w:rPr>
        <w:t>to</w:t>
      </w:r>
    </w:p>
    <w:p>
      <w:pPr>
        <w:pStyle w:val="BodyText"/>
        <w:spacing w:line="259" w:lineRule="exact"/>
        <w:ind w:left="1761"/>
      </w:pPr>
      <w:r>
        <w:rPr/>
        <w:t>allow Auslan interpreters to work effectively. The key issues that may arise are:</w:t>
      </w:r>
    </w:p>
    <w:p>
      <w:pPr>
        <w:pStyle w:val="ListParagraph"/>
        <w:numPr>
          <w:ilvl w:val="2"/>
          <w:numId w:val="12"/>
        </w:numPr>
        <w:tabs>
          <w:tab w:pos="2157" w:val="left" w:leader="none"/>
          <w:tab w:pos="2158" w:val="left" w:leader="none"/>
        </w:tabs>
        <w:spacing w:line="240" w:lineRule="auto" w:before="82" w:after="0"/>
        <w:ind w:left="2157" w:right="0" w:hanging="396"/>
        <w:jc w:val="left"/>
        <w:rPr>
          <w:sz w:val="11"/>
        </w:rPr>
      </w:pPr>
      <w:r>
        <w:rPr>
          <w:sz w:val="20"/>
        </w:rPr>
        <w:t>line of sight for the deaf</w:t>
      </w:r>
      <w:r>
        <w:rPr>
          <w:spacing w:val="-26"/>
          <w:sz w:val="20"/>
        </w:rPr>
        <w:t> </w:t>
      </w:r>
      <w:r>
        <w:rPr>
          <w:sz w:val="20"/>
        </w:rPr>
        <w:t>juror</w:t>
      </w:r>
      <w:r>
        <w:rPr>
          <w:position w:val="7"/>
          <w:sz w:val="11"/>
        </w:rPr>
        <w:t>53</w:t>
      </w:r>
    </w:p>
    <w:p>
      <w:pPr>
        <w:pStyle w:val="ListParagraph"/>
        <w:numPr>
          <w:ilvl w:val="2"/>
          <w:numId w:val="12"/>
        </w:numPr>
        <w:tabs>
          <w:tab w:pos="2157" w:val="left" w:leader="none"/>
          <w:tab w:pos="2158" w:val="left" w:leader="none"/>
        </w:tabs>
        <w:spacing w:line="240" w:lineRule="auto" w:before="47" w:after="0"/>
        <w:ind w:left="2157" w:right="0" w:hanging="396"/>
        <w:jc w:val="left"/>
        <w:rPr>
          <w:sz w:val="11"/>
        </w:rPr>
      </w:pPr>
      <w:r>
        <w:rPr>
          <w:sz w:val="20"/>
        </w:rPr>
        <w:t>seating position for the</w:t>
      </w:r>
      <w:r>
        <w:rPr>
          <w:spacing w:val="-18"/>
          <w:sz w:val="20"/>
        </w:rPr>
        <w:t> </w:t>
      </w:r>
      <w:r>
        <w:rPr>
          <w:sz w:val="20"/>
        </w:rPr>
        <w:t>interpreters</w:t>
      </w:r>
      <w:r>
        <w:rPr>
          <w:position w:val="7"/>
          <w:sz w:val="11"/>
        </w:rPr>
        <w:t>54</w:t>
      </w:r>
    </w:p>
    <w:p>
      <w:pPr>
        <w:pStyle w:val="ListParagraph"/>
        <w:numPr>
          <w:ilvl w:val="2"/>
          <w:numId w:val="12"/>
        </w:numPr>
        <w:tabs>
          <w:tab w:pos="2157" w:val="left" w:leader="none"/>
          <w:tab w:pos="2158" w:val="left" w:leader="none"/>
        </w:tabs>
        <w:spacing w:line="240" w:lineRule="auto" w:before="48" w:after="0"/>
        <w:ind w:left="2157" w:right="0" w:hanging="396"/>
        <w:jc w:val="left"/>
        <w:rPr>
          <w:sz w:val="11"/>
        </w:rPr>
      </w:pPr>
      <w:r>
        <w:rPr>
          <w:sz w:val="20"/>
        </w:rPr>
        <w:t>need for regular</w:t>
      </w:r>
      <w:r>
        <w:rPr>
          <w:spacing w:val="-13"/>
          <w:sz w:val="20"/>
        </w:rPr>
        <w:t> </w:t>
      </w:r>
      <w:r>
        <w:rPr>
          <w:sz w:val="20"/>
        </w:rPr>
        <w:t>breaks</w:t>
      </w:r>
      <w:r>
        <w:rPr>
          <w:position w:val="7"/>
          <w:sz w:val="11"/>
        </w:rPr>
        <w:t>55</w:t>
      </w:r>
    </w:p>
    <w:p>
      <w:pPr>
        <w:pStyle w:val="ListParagraph"/>
        <w:numPr>
          <w:ilvl w:val="2"/>
          <w:numId w:val="12"/>
        </w:numPr>
        <w:tabs>
          <w:tab w:pos="2157" w:val="left" w:leader="none"/>
          <w:tab w:pos="2158" w:val="left" w:leader="none"/>
        </w:tabs>
        <w:spacing w:line="240" w:lineRule="auto" w:before="47" w:after="0"/>
        <w:ind w:left="2157" w:right="0" w:hanging="396"/>
        <w:jc w:val="left"/>
        <w:rPr>
          <w:sz w:val="11"/>
        </w:rPr>
      </w:pPr>
      <w:r>
        <w:rPr>
          <w:sz w:val="20"/>
        </w:rPr>
        <w:t>quality of</w:t>
      </w:r>
      <w:r>
        <w:rPr>
          <w:spacing w:val="-9"/>
          <w:sz w:val="20"/>
        </w:rPr>
        <w:t> </w:t>
      </w:r>
      <w:r>
        <w:rPr>
          <w:sz w:val="20"/>
        </w:rPr>
        <w:t>acoustics.</w:t>
      </w:r>
      <w:r>
        <w:rPr>
          <w:position w:val="7"/>
          <w:sz w:val="11"/>
        </w:rPr>
        <w:t>56</w:t>
      </w:r>
    </w:p>
    <w:p>
      <w:pPr>
        <w:pStyle w:val="ListParagraph"/>
        <w:numPr>
          <w:ilvl w:val="1"/>
          <w:numId w:val="12"/>
        </w:numPr>
        <w:tabs>
          <w:tab w:pos="1761" w:val="left" w:leader="none"/>
          <w:tab w:pos="1762" w:val="left" w:leader="none"/>
        </w:tabs>
        <w:spacing w:line="259" w:lineRule="exact" w:before="48" w:after="0"/>
        <w:ind w:left="1761" w:right="0" w:hanging="794"/>
        <w:jc w:val="left"/>
        <w:rPr>
          <w:sz w:val="20"/>
        </w:rPr>
      </w:pPr>
      <w:r>
        <w:rPr>
          <w:sz w:val="20"/>
        </w:rPr>
        <w:t>The</w:t>
      </w:r>
      <w:r>
        <w:rPr>
          <w:spacing w:val="-6"/>
          <w:sz w:val="20"/>
        </w:rPr>
        <w:t> </w:t>
      </w:r>
      <w:r>
        <w:rPr>
          <w:sz w:val="20"/>
        </w:rPr>
        <w:t>Jury</w:t>
      </w:r>
      <w:r>
        <w:rPr>
          <w:spacing w:val="-5"/>
          <w:sz w:val="20"/>
        </w:rPr>
        <w:t> </w:t>
      </w:r>
      <w:r>
        <w:rPr>
          <w:sz w:val="20"/>
        </w:rPr>
        <w:t>Commissioner,</w:t>
      </w:r>
      <w:r>
        <w:rPr>
          <w:spacing w:val="-6"/>
          <w:sz w:val="20"/>
        </w:rPr>
        <w:t> </w:t>
      </w:r>
      <w:r>
        <w:rPr>
          <w:sz w:val="20"/>
        </w:rPr>
        <w:t>New</w:t>
      </w:r>
      <w:r>
        <w:rPr>
          <w:spacing w:val="-5"/>
          <w:sz w:val="20"/>
        </w:rPr>
        <w:t> York</w:t>
      </w:r>
      <w:r>
        <w:rPr>
          <w:spacing w:val="-6"/>
          <w:sz w:val="20"/>
        </w:rPr>
        <w:t> </w:t>
      </w:r>
      <w:r>
        <w:rPr>
          <w:spacing w:val="-3"/>
          <w:sz w:val="20"/>
        </w:rPr>
        <w:t>State</w:t>
      </w:r>
      <w:r>
        <w:rPr>
          <w:spacing w:val="-5"/>
          <w:sz w:val="20"/>
        </w:rPr>
        <w:t> </w:t>
      </w:r>
      <w:r>
        <w:rPr>
          <w:sz w:val="20"/>
        </w:rPr>
        <w:t>Courts</w:t>
      </w:r>
      <w:r>
        <w:rPr>
          <w:spacing w:val="-6"/>
          <w:sz w:val="20"/>
        </w:rPr>
        <w:t> </w:t>
      </w:r>
      <w:r>
        <w:rPr>
          <w:sz w:val="20"/>
        </w:rPr>
        <w:t>in</w:t>
      </w:r>
      <w:r>
        <w:rPr>
          <w:spacing w:val="-5"/>
          <w:sz w:val="20"/>
        </w:rPr>
        <w:t> </w:t>
      </w:r>
      <w:r>
        <w:rPr>
          <w:spacing w:val="-3"/>
          <w:sz w:val="20"/>
        </w:rPr>
        <w:t>Rochester,</w:t>
      </w:r>
      <w:r>
        <w:rPr>
          <w:spacing w:val="-6"/>
          <w:sz w:val="20"/>
        </w:rPr>
        <w:t> </w:t>
      </w:r>
      <w:r>
        <w:rPr>
          <w:sz w:val="20"/>
        </w:rPr>
        <w:t>Monroe</w:t>
      </w:r>
      <w:r>
        <w:rPr>
          <w:spacing w:val="-5"/>
          <w:sz w:val="20"/>
        </w:rPr>
        <w:t> </w:t>
      </w:r>
      <w:r>
        <w:rPr>
          <w:spacing w:val="-3"/>
          <w:sz w:val="20"/>
        </w:rPr>
        <w:t>County,</w:t>
      </w:r>
      <w:r>
        <w:rPr>
          <w:spacing w:val="-5"/>
          <w:sz w:val="20"/>
        </w:rPr>
        <w:t> </w:t>
      </w:r>
      <w:r>
        <w:rPr>
          <w:sz w:val="20"/>
        </w:rPr>
        <w:t>United</w:t>
      </w:r>
    </w:p>
    <w:p>
      <w:pPr>
        <w:pStyle w:val="BodyText"/>
        <w:spacing w:line="259" w:lineRule="exact"/>
        <w:ind w:left="1761"/>
      </w:pPr>
      <w:r>
        <w:rPr/>
        <w:t>States, told us that line of sight and courtroom modifications are common:</w:t>
      </w:r>
    </w:p>
    <w:p>
      <w:pPr>
        <w:spacing w:line="208" w:lineRule="auto" w:before="112"/>
        <w:ind w:left="2157" w:right="1110" w:firstLine="0"/>
        <w:jc w:val="left"/>
        <w:rPr>
          <w:sz w:val="11"/>
        </w:rPr>
      </w:pPr>
      <w:r>
        <w:rPr>
          <w:sz w:val="19"/>
        </w:rPr>
        <w:t>sometimes courtrooms need to be re-arranged to accommodate people who are deaf/hard of hearing so that they can see the interpreter (and potentially lip read as well). This can be a tricky process, giving rise to conflicts, as judges like to control their courtroom, but interpreters like to proactively assert the interests of their clients.</w:t>
      </w:r>
      <w:r>
        <w:rPr>
          <w:position w:val="6"/>
          <w:sz w:val="11"/>
        </w:rPr>
        <w:t>57</w:t>
      </w:r>
    </w:p>
    <w:p>
      <w:pPr>
        <w:spacing w:before="163"/>
        <w:ind w:left="967" w:right="0" w:firstLine="0"/>
        <w:jc w:val="left"/>
        <w:rPr>
          <w:b/>
          <w:sz w:val="24"/>
        </w:rPr>
      </w:pPr>
      <w:r>
        <w:rPr>
          <w:b/>
          <w:sz w:val="24"/>
        </w:rPr>
        <w:t>Trial adjustments</w:t>
      </w:r>
    </w:p>
    <w:p>
      <w:pPr>
        <w:pStyle w:val="ListParagraph"/>
        <w:numPr>
          <w:ilvl w:val="1"/>
          <w:numId w:val="12"/>
        </w:numPr>
        <w:tabs>
          <w:tab w:pos="1761" w:val="left" w:leader="none"/>
          <w:tab w:pos="1762" w:val="left" w:leader="none"/>
        </w:tabs>
        <w:spacing w:line="206" w:lineRule="auto" w:before="127" w:after="0"/>
        <w:ind w:left="1761" w:right="1283" w:hanging="794"/>
        <w:jc w:val="left"/>
        <w:rPr>
          <w:sz w:val="20"/>
        </w:rPr>
      </w:pPr>
      <w:r>
        <w:rPr>
          <w:sz w:val="20"/>
        </w:rPr>
        <w:t>Some adjustments to the conduct of the trial </w:t>
      </w:r>
      <w:r>
        <w:rPr>
          <w:spacing w:val="-3"/>
          <w:sz w:val="20"/>
        </w:rPr>
        <w:t>may </w:t>
      </w:r>
      <w:r>
        <w:rPr>
          <w:sz w:val="20"/>
        </w:rPr>
        <w:t>be </w:t>
      </w:r>
      <w:r>
        <w:rPr>
          <w:spacing w:val="-3"/>
          <w:sz w:val="20"/>
        </w:rPr>
        <w:t>required </w:t>
      </w:r>
      <w:r>
        <w:rPr>
          <w:sz w:val="20"/>
        </w:rPr>
        <w:t>to facilitate access for people</w:t>
      </w:r>
      <w:r>
        <w:rPr>
          <w:spacing w:val="-11"/>
          <w:sz w:val="20"/>
        </w:rPr>
        <w:t> </w:t>
      </w:r>
      <w:r>
        <w:rPr>
          <w:sz w:val="20"/>
        </w:rPr>
        <w:t>in</w:t>
      </w:r>
      <w:r>
        <w:rPr>
          <w:spacing w:val="-10"/>
          <w:sz w:val="20"/>
        </w:rPr>
        <w:t> </w:t>
      </w:r>
      <w:r>
        <w:rPr>
          <w:sz w:val="20"/>
        </w:rPr>
        <w:t>the</w:t>
      </w:r>
      <w:r>
        <w:rPr>
          <w:spacing w:val="-11"/>
          <w:sz w:val="20"/>
        </w:rPr>
        <w:t> </w:t>
      </w:r>
      <w:r>
        <w:rPr>
          <w:sz w:val="20"/>
        </w:rPr>
        <w:t>subject</w:t>
      </w:r>
      <w:r>
        <w:rPr>
          <w:spacing w:val="-10"/>
          <w:sz w:val="20"/>
        </w:rPr>
        <w:t> </w:t>
      </w:r>
      <w:r>
        <w:rPr>
          <w:sz w:val="20"/>
        </w:rPr>
        <w:t>groups.</w:t>
      </w:r>
      <w:r>
        <w:rPr>
          <w:spacing w:val="-11"/>
          <w:sz w:val="20"/>
        </w:rPr>
        <w:t> </w:t>
      </w:r>
      <w:r>
        <w:rPr>
          <w:sz w:val="20"/>
        </w:rPr>
        <w:t>These</w:t>
      </w:r>
      <w:r>
        <w:rPr>
          <w:spacing w:val="-10"/>
          <w:sz w:val="20"/>
        </w:rPr>
        <w:t> </w:t>
      </w:r>
      <w:r>
        <w:rPr>
          <w:sz w:val="20"/>
        </w:rPr>
        <w:t>adjustments</w:t>
      </w:r>
      <w:r>
        <w:rPr>
          <w:spacing w:val="-11"/>
          <w:sz w:val="20"/>
        </w:rPr>
        <w:t> </w:t>
      </w:r>
      <w:r>
        <w:rPr>
          <w:sz w:val="20"/>
        </w:rPr>
        <w:t>might</w:t>
      </w:r>
      <w:r>
        <w:rPr>
          <w:spacing w:val="-10"/>
          <w:sz w:val="20"/>
        </w:rPr>
        <w:t> </w:t>
      </w:r>
      <w:r>
        <w:rPr>
          <w:sz w:val="20"/>
        </w:rPr>
        <w:t>include</w:t>
      </w:r>
      <w:r>
        <w:rPr>
          <w:spacing w:val="-10"/>
          <w:sz w:val="20"/>
        </w:rPr>
        <w:t> </w:t>
      </w:r>
      <w:r>
        <w:rPr>
          <w:spacing w:val="-3"/>
          <w:sz w:val="20"/>
        </w:rPr>
        <w:t>allowing</w:t>
      </w:r>
      <w:r>
        <w:rPr>
          <w:spacing w:val="-11"/>
          <w:sz w:val="20"/>
        </w:rPr>
        <w:t> </w:t>
      </w:r>
      <w:r>
        <w:rPr>
          <w:sz w:val="20"/>
        </w:rPr>
        <w:t>extra</w:t>
      </w:r>
      <w:r>
        <w:rPr>
          <w:spacing w:val="-10"/>
          <w:sz w:val="20"/>
        </w:rPr>
        <w:t> </w:t>
      </w:r>
      <w:r>
        <w:rPr>
          <w:sz w:val="20"/>
        </w:rPr>
        <w:t>time</w:t>
      </w:r>
      <w:r>
        <w:rPr>
          <w:spacing w:val="-11"/>
          <w:sz w:val="20"/>
        </w:rPr>
        <w:t> </w:t>
      </w:r>
      <w:r>
        <w:rPr>
          <w:sz w:val="20"/>
        </w:rPr>
        <w:t>for jurors</w:t>
      </w:r>
      <w:r>
        <w:rPr>
          <w:spacing w:val="-11"/>
          <w:sz w:val="20"/>
        </w:rPr>
        <w:t> </w:t>
      </w:r>
      <w:r>
        <w:rPr>
          <w:sz w:val="20"/>
        </w:rPr>
        <w:t>in</w:t>
      </w:r>
      <w:r>
        <w:rPr>
          <w:spacing w:val="-11"/>
          <w:sz w:val="20"/>
        </w:rPr>
        <w:t> </w:t>
      </w:r>
      <w:r>
        <w:rPr>
          <w:sz w:val="20"/>
        </w:rPr>
        <w:t>the</w:t>
      </w:r>
      <w:r>
        <w:rPr>
          <w:spacing w:val="-11"/>
          <w:sz w:val="20"/>
        </w:rPr>
        <w:t> </w:t>
      </w:r>
      <w:r>
        <w:rPr>
          <w:sz w:val="20"/>
        </w:rPr>
        <w:t>subject</w:t>
      </w:r>
      <w:r>
        <w:rPr>
          <w:spacing w:val="-11"/>
          <w:sz w:val="20"/>
        </w:rPr>
        <w:t> </w:t>
      </w:r>
      <w:r>
        <w:rPr>
          <w:sz w:val="20"/>
        </w:rPr>
        <w:t>groups</w:t>
      </w:r>
      <w:r>
        <w:rPr>
          <w:spacing w:val="-11"/>
          <w:sz w:val="20"/>
        </w:rPr>
        <w:t> </w:t>
      </w:r>
      <w:r>
        <w:rPr>
          <w:sz w:val="20"/>
        </w:rPr>
        <w:t>to</w:t>
      </w:r>
      <w:r>
        <w:rPr>
          <w:spacing w:val="-10"/>
          <w:sz w:val="20"/>
        </w:rPr>
        <w:t> </w:t>
      </w:r>
      <w:r>
        <w:rPr>
          <w:spacing w:val="-3"/>
          <w:sz w:val="20"/>
        </w:rPr>
        <w:t>read</w:t>
      </w:r>
      <w:r>
        <w:rPr>
          <w:spacing w:val="-11"/>
          <w:sz w:val="20"/>
        </w:rPr>
        <w:t> </w:t>
      </w:r>
      <w:r>
        <w:rPr>
          <w:sz w:val="20"/>
        </w:rPr>
        <w:t>material,</w:t>
      </w:r>
      <w:r>
        <w:rPr>
          <w:spacing w:val="-11"/>
          <w:sz w:val="20"/>
        </w:rPr>
        <w:t> </w:t>
      </w:r>
      <w:r>
        <w:rPr>
          <w:sz w:val="20"/>
        </w:rPr>
        <w:t>asking</w:t>
      </w:r>
      <w:r>
        <w:rPr>
          <w:spacing w:val="-11"/>
          <w:sz w:val="20"/>
        </w:rPr>
        <w:t> </w:t>
      </w:r>
      <w:r>
        <w:rPr>
          <w:sz w:val="20"/>
        </w:rPr>
        <w:t>counsel</w:t>
      </w:r>
      <w:r>
        <w:rPr>
          <w:spacing w:val="-11"/>
          <w:sz w:val="20"/>
        </w:rPr>
        <w:t> </w:t>
      </w:r>
      <w:r>
        <w:rPr>
          <w:sz w:val="20"/>
        </w:rPr>
        <w:t>to</w:t>
      </w:r>
      <w:r>
        <w:rPr>
          <w:spacing w:val="-11"/>
          <w:sz w:val="20"/>
        </w:rPr>
        <w:t> </w:t>
      </w:r>
      <w:r>
        <w:rPr>
          <w:sz w:val="20"/>
        </w:rPr>
        <w:t>think</w:t>
      </w:r>
      <w:r>
        <w:rPr>
          <w:spacing w:val="-10"/>
          <w:sz w:val="20"/>
        </w:rPr>
        <w:t> </w:t>
      </w:r>
      <w:r>
        <w:rPr>
          <w:sz w:val="20"/>
        </w:rPr>
        <w:t>about</w:t>
      </w:r>
      <w:r>
        <w:rPr>
          <w:spacing w:val="-11"/>
          <w:sz w:val="20"/>
        </w:rPr>
        <w:t> </w:t>
      </w:r>
      <w:r>
        <w:rPr>
          <w:sz w:val="20"/>
        </w:rPr>
        <w:t>the</w:t>
      </w:r>
      <w:r>
        <w:rPr>
          <w:spacing w:val="-11"/>
          <w:sz w:val="20"/>
        </w:rPr>
        <w:t> </w:t>
      </w:r>
      <w:r>
        <w:rPr>
          <w:spacing w:val="-4"/>
          <w:sz w:val="20"/>
        </w:rPr>
        <w:t>way</w:t>
      </w:r>
      <w:r>
        <w:rPr>
          <w:spacing w:val="-11"/>
          <w:sz w:val="20"/>
        </w:rPr>
        <w:t> </w:t>
      </w:r>
      <w:r>
        <w:rPr>
          <w:sz w:val="20"/>
        </w:rPr>
        <w:t>that they ask questions, or reading exhibit material out in court. In </w:t>
      </w:r>
      <w:r>
        <w:rPr>
          <w:spacing w:val="-2"/>
          <w:sz w:val="20"/>
        </w:rPr>
        <w:t>Chapter </w:t>
      </w:r>
      <w:r>
        <w:rPr>
          <w:sz w:val="20"/>
        </w:rPr>
        <w:t>14 </w:t>
      </w:r>
      <w:r>
        <w:rPr>
          <w:spacing w:val="-3"/>
          <w:sz w:val="20"/>
        </w:rPr>
        <w:t>we </w:t>
      </w:r>
      <w:r>
        <w:rPr>
          <w:sz w:val="20"/>
        </w:rPr>
        <w:t>consider some</w:t>
      </w:r>
      <w:r>
        <w:rPr>
          <w:spacing w:val="-5"/>
          <w:sz w:val="20"/>
        </w:rPr>
        <w:t> </w:t>
      </w:r>
      <w:r>
        <w:rPr>
          <w:sz w:val="20"/>
        </w:rPr>
        <w:t>of</w:t>
      </w:r>
      <w:r>
        <w:rPr>
          <w:spacing w:val="-5"/>
          <w:sz w:val="20"/>
        </w:rPr>
        <w:t> </w:t>
      </w:r>
      <w:r>
        <w:rPr>
          <w:sz w:val="20"/>
        </w:rPr>
        <w:t>the</w:t>
      </w:r>
      <w:r>
        <w:rPr>
          <w:spacing w:val="-5"/>
          <w:sz w:val="20"/>
        </w:rPr>
        <w:t> </w:t>
      </w:r>
      <w:r>
        <w:rPr>
          <w:sz w:val="20"/>
        </w:rPr>
        <w:t>challenges</w:t>
      </w:r>
      <w:r>
        <w:rPr>
          <w:spacing w:val="-5"/>
          <w:sz w:val="20"/>
        </w:rPr>
        <w:t> </w:t>
      </w:r>
      <w:r>
        <w:rPr>
          <w:sz w:val="20"/>
        </w:rPr>
        <w:t>that</w:t>
      </w:r>
      <w:r>
        <w:rPr>
          <w:spacing w:val="-5"/>
          <w:sz w:val="20"/>
        </w:rPr>
        <w:t> </w:t>
      </w:r>
      <w:r>
        <w:rPr>
          <w:sz w:val="20"/>
        </w:rPr>
        <w:t>arise</w:t>
      </w:r>
      <w:r>
        <w:rPr>
          <w:spacing w:val="-5"/>
          <w:sz w:val="20"/>
        </w:rPr>
        <w:t> </w:t>
      </w:r>
      <w:r>
        <w:rPr>
          <w:sz w:val="20"/>
        </w:rPr>
        <w:t>for</w:t>
      </w:r>
      <w:r>
        <w:rPr>
          <w:spacing w:val="-5"/>
          <w:sz w:val="20"/>
        </w:rPr>
        <w:t> </w:t>
      </w:r>
      <w:r>
        <w:rPr>
          <w:sz w:val="20"/>
        </w:rPr>
        <w:t>Auslan</w:t>
      </w:r>
      <w:r>
        <w:rPr>
          <w:spacing w:val="-5"/>
          <w:sz w:val="20"/>
        </w:rPr>
        <w:t> </w:t>
      </w:r>
      <w:r>
        <w:rPr>
          <w:spacing w:val="-3"/>
          <w:sz w:val="20"/>
        </w:rPr>
        <w:t>interpreters</w:t>
      </w:r>
      <w:r>
        <w:rPr>
          <w:spacing w:val="-5"/>
          <w:sz w:val="20"/>
        </w:rPr>
        <w:t> </w:t>
      </w:r>
      <w:r>
        <w:rPr>
          <w:sz w:val="20"/>
        </w:rPr>
        <w:t>in</w:t>
      </w:r>
      <w:r>
        <w:rPr>
          <w:spacing w:val="-5"/>
          <w:sz w:val="20"/>
        </w:rPr>
        <w:t> </w:t>
      </w:r>
      <w:r>
        <w:rPr>
          <w:sz w:val="20"/>
        </w:rPr>
        <w:t>court.</w:t>
      </w:r>
    </w:p>
    <w:p>
      <w:pPr>
        <w:pStyle w:val="ListParagraph"/>
        <w:numPr>
          <w:ilvl w:val="1"/>
          <w:numId w:val="12"/>
        </w:numPr>
        <w:tabs>
          <w:tab w:pos="1761" w:val="left" w:leader="none"/>
          <w:tab w:pos="1762" w:val="left" w:leader="none"/>
        </w:tabs>
        <w:spacing w:line="206" w:lineRule="auto" w:before="126" w:after="0"/>
        <w:ind w:left="1761" w:right="1604" w:hanging="794"/>
        <w:jc w:val="left"/>
        <w:rPr>
          <w:sz w:val="20"/>
        </w:rPr>
      </w:pPr>
      <w:r>
        <w:rPr>
          <w:sz w:val="20"/>
        </w:rPr>
        <w:t>Blind</w:t>
      </w:r>
      <w:r>
        <w:rPr>
          <w:spacing w:val="-13"/>
          <w:sz w:val="20"/>
        </w:rPr>
        <w:t> </w:t>
      </w:r>
      <w:r>
        <w:rPr>
          <w:spacing w:val="-3"/>
          <w:sz w:val="20"/>
        </w:rPr>
        <w:t>Citizens</w:t>
      </w:r>
      <w:r>
        <w:rPr>
          <w:spacing w:val="-12"/>
          <w:sz w:val="20"/>
        </w:rPr>
        <w:t> </w:t>
      </w:r>
      <w:r>
        <w:rPr>
          <w:sz w:val="20"/>
        </w:rPr>
        <w:t>Australia</w:t>
      </w:r>
      <w:r>
        <w:rPr>
          <w:spacing w:val="-13"/>
          <w:sz w:val="20"/>
        </w:rPr>
        <w:t> </w:t>
      </w:r>
      <w:r>
        <w:rPr>
          <w:sz w:val="20"/>
        </w:rPr>
        <w:t>noted</w:t>
      </w:r>
      <w:r>
        <w:rPr>
          <w:spacing w:val="-12"/>
          <w:sz w:val="20"/>
        </w:rPr>
        <w:t> </w:t>
      </w:r>
      <w:r>
        <w:rPr>
          <w:sz w:val="20"/>
        </w:rPr>
        <w:t>that</w:t>
      </w:r>
      <w:r>
        <w:rPr>
          <w:spacing w:val="-13"/>
          <w:sz w:val="20"/>
        </w:rPr>
        <w:t> </w:t>
      </w:r>
      <w:r>
        <w:rPr>
          <w:sz w:val="20"/>
        </w:rPr>
        <w:t>‘Blind/visually</w:t>
      </w:r>
      <w:r>
        <w:rPr>
          <w:spacing w:val="-12"/>
          <w:sz w:val="20"/>
        </w:rPr>
        <w:t> </w:t>
      </w:r>
      <w:r>
        <w:rPr>
          <w:sz w:val="20"/>
        </w:rPr>
        <w:t>impaired</w:t>
      </w:r>
      <w:r>
        <w:rPr>
          <w:spacing w:val="-12"/>
          <w:sz w:val="20"/>
        </w:rPr>
        <w:t> </w:t>
      </w:r>
      <w:r>
        <w:rPr>
          <w:sz w:val="20"/>
        </w:rPr>
        <w:t>jurors</w:t>
      </w:r>
      <w:r>
        <w:rPr>
          <w:spacing w:val="-13"/>
          <w:sz w:val="20"/>
        </w:rPr>
        <w:t> </w:t>
      </w:r>
      <w:r>
        <w:rPr>
          <w:sz w:val="20"/>
        </w:rPr>
        <w:t>will</w:t>
      </w:r>
      <w:r>
        <w:rPr>
          <w:spacing w:val="-12"/>
          <w:sz w:val="20"/>
        </w:rPr>
        <w:t> </w:t>
      </w:r>
      <w:r>
        <w:rPr>
          <w:sz w:val="20"/>
        </w:rPr>
        <w:t>need</w:t>
      </w:r>
      <w:r>
        <w:rPr>
          <w:spacing w:val="-13"/>
          <w:sz w:val="20"/>
        </w:rPr>
        <w:t> </w:t>
      </w:r>
      <w:r>
        <w:rPr>
          <w:sz w:val="20"/>
        </w:rPr>
        <w:t>to</w:t>
      </w:r>
      <w:r>
        <w:rPr>
          <w:spacing w:val="-12"/>
          <w:sz w:val="20"/>
        </w:rPr>
        <w:t> </w:t>
      </w:r>
      <w:r>
        <w:rPr>
          <w:sz w:val="20"/>
        </w:rPr>
        <w:t>know what</w:t>
      </w:r>
      <w:r>
        <w:rPr>
          <w:spacing w:val="-9"/>
          <w:sz w:val="20"/>
        </w:rPr>
        <w:t> </w:t>
      </w:r>
      <w:r>
        <w:rPr>
          <w:sz w:val="20"/>
        </w:rPr>
        <w:t>tools</w:t>
      </w:r>
      <w:r>
        <w:rPr>
          <w:spacing w:val="-8"/>
          <w:sz w:val="20"/>
        </w:rPr>
        <w:t> </w:t>
      </w:r>
      <w:r>
        <w:rPr>
          <w:sz w:val="20"/>
        </w:rPr>
        <w:t>they</w:t>
      </w:r>
      <w:r>
        <w:rPr>
          <w:spacing w:val="-9"/>
          <w:sz w:val="20"/>
        </w:rPr>
        <w:t> </w:t>
      </w:r>
      <w:r>
        <w:rPr>
          <w:sz w:val="20"/>
        </w:rPr>
        <w:t>will</w:t>
      </w:r>
      <w:r>
        <w:rPr>
          <w:spacing w:val="-8"/>
          <w:sz w:val="20"/>
        </w:rPr>
        <w:t> </w:t>
      </w:r>
      <w:r>
        <w:rPr>
          <w:sz w:val="20"/>
        </w:rPr>
        <w:t>need</w:t>
      </w:r>
      <w:r>
        <w:rPr>
          <w:spacing w:val="-8"/>
          <w:sz w:val="20"/>
        </w:rPr>
        <w:t> </w:t>
      </w:r>
      <w:r>
        <w:rPr>
          <w:sz w:val="20"/>
        </w:rPr>
        <w:t>to</w:t>
      </w:r>
      <w:r>
        <w:rPr>
          <w:spacing w:val="-9"/>
          <w:sz w:val="20"/>
        </w:rPr>
        <w:t> </w:t>
      </w:r>
      <w:r>
        <w:rPr>
          <w:sz w:val="20"/>
        </w:rPr>
        <w:t>assist</w:t>
      </w:r>
      <w:r>
        <w:rPr>
          <w:spacing w:val="-8"/>
          <w:sz w:val="20"/>
        </w:rPr>
        <w:t> </w:t>
      </w:r>
      <w:r>
        <w:rPr>
          <w:sz w:val="20"/>
        </w:rPr>
        <w:t>them</w:t>
      </w:r>
      <w:r>
        <w:rPr>
          <w:spacing w:val="-8"/>
          <w:sz w:val="20"/>
        </w:rPr>
        <w:t> </w:t>
      </w:r>
      <w:r>
        <w:rPr>
          <w:sz w:val="20"/>
        </w:rPr>
        <w:t>in</w:t>
      </w:r>
      <w:r>
        <w:rPr>
          <w:spacing w:val="-9"/>
          <w:sz w:val="20"/>
        </w:rPr>
        <w:t> </w:t>
      </w:r>
      <w:r>
        <w:rPr>
          <w:spacing w:val="-4"/>
          <w:sz w:val="20"/>
        </w:rPr>
        <w:t>advance’.</w:t>
      </w:r>
      <w:r>
        <w:rPr>
          <w:spacing w:val="-8"/>
          <w:sz w:val="20"/>
        </w:rPr>
        <w:t> </w:t>
      </w:r>
      <w:r>
        <w:rPr>
          <w:spacing w:val="-3"/>
          <w:sz w:val="20"/>
        </w:rPr>
        <w:t>Further,</w:t>
      </w:r>
      <w:r>
        <w:rPr>
          <w:spacing w:val="-8"/>
          <w:sz w:val="20"/>
        </w:rPr>
        <w:t> </w:t>
      </w:r>
      <w:r>
        <w:rPr>
          <w:sz w:val="20"/>
        </w:rPr>
        <w:t>Blind</w:t>
      </w:r>
      <w:r>
        <w:rPr>
          <w:spacing w:val="-9"/>
          <w:sz w:val="20"/>
        </w:rPr>
        <w:t> </w:t>
      </w:r>
      <w:r>
        <w:rPr>
          <w:spacing w:val="-3"/>
          <w:sz w:val="20"/>
        </w:rPr>
        <w:t>Citizens</w:t>
      </w:r>
      <w:r>
        <w:rPr>
          <w:spacing w:val="-8"/>
          <w:sz w:val="20"/>
        </w:rPr>
        <w:t> </w:t>
      </w:r>
      <w:r>
        <w:rPr>
          <w:sz w:val="20"/>
        </w:rPr>
        <w:t>Australia commented</w:t>
      </w:r>
      <w:r>
        <w:rPr>
          <w:spacing w:val="-5"/>
          <w:sz w:val="20"/>
        </w:rPr>
        <w:t> </w:t>
      </w:r>
      <w:r>
        <w:rPr>
          <w:sz w:val="20"/>
        </w:rPr>
        <w:t>that:</w:t>
      </w:r>
    </w:p>
    <w:p>
      <w:pPr>
        <w:spacing w:line="208" w:lineRule="auto" w:before="122"/>
        <w:ind w:left="2157" w:right="1110" w:firstLine="0"/>
        <w:jc w:val="left"/>
        <w:rPr>
          <w:sz w:val="19"/>
        </w:rPr>
      </w:pPr>
      <w:r>
        <w:rPr>
          <w:sz w:val="19"/>
        </w:rPr>
        <w:t>Some</w:t>
      </w:r>
      <w:r>
        <w:rPr>
          <w:spacing w:val="-11"/>
          <w:sz w:val="19"/>
        </w:rPr>
        <w:t> </w:t>
      </w:r>
      <w:r>
        <w:rPr>
          <w:sz w:val="19"/>
        </w:rPr>
        <w:t>blind</w:t>
      </w:r>
      <w:r>
        <w:rPr>
          <w:spacing w:val="-10"/>
          <w:sz w:val="19"/>
        </w:rPr>
        <w:t> </w:t>
      </w:r>
      <w:r>
        <w:rPr>
          <w:sz w:val="19"/>
        </w:rPr>
        <w:t>people</w:t>
      </w:r>
      <w:r>
        <w:rPr>
          <w:spacing w:val="-11"/>
          <w:sz w:val="19"/>
        </w:rPr>
        <w:t> </w:t>
      </w:r>
      <w:r>
        <w:rPr>
          <w:spacing w:val="-3"/>
          <w:sz w:val="19"/>
        </w:rPr>
        <w:t>are</w:t>
      </w:r>
      <w:r>
        <w:rPr>
          <w:spacing w:val="-10"/>
          <w:sz w:val="19"/>
        </w:rPr>
        <w:t> </w:t>
      </w:r>
      <w:r>
        <w:rPr>
          <w:sz w:val="19"/>
        </w:rPr>
        <w:t>less</w:t>
      </w:r>
      <w:r>
        <w:rPr>
          <w:spacing w:val="-10"/>
          <w:sz w:val="19"/>
        </w:rPr>
        <w:t> </w:t>
      </w:r>
      <w:r>
        <w:rPr>
          <w:spacing w:val="-3"/>
          <w:sz w:val="19"/>
        </w:rPr>
        <w:t>technically</w:t>
      </w:r>
      <w:r>
        <w:rPr>
          <w:spacing w:val="-11"/>
          <w:sz w:val="19"/>
        </w:rPr>
        <w:t> </w:t>
      </w:r>
      <w:r>
        <w:rPr>
          <w:spacing w:val="-3"/>
          <w:sz w:val="19"/>
        </w:rPr>
        <w:t>savvy.</w:t>
      </w:r>
      <w:r>
        <w:rPr>
          <w:spacing w:val="-10"/>
          <w:sz w:val="19"/>
        </w:rPr>
        <w:t> </w:t>
      </w:r>
      <w:r>
        <w:rPr>
          <w:sz w:val="19"/>
        </w:rPr>
        <w:t>The</w:t>
      </w:r>
      <w:r>
        <w:rPr>
          <w:spacing w:val="-10"/>
          <w:sz w:val="19"/>
        </w:rPr>
        <w:t> </w:t>
      </w:r>
      <w:r>
        <w:rPr>
          <w:sz w:val="19"/>
        </w:rPr>
        <w:t>Commission</w:t>
      </w:r>
      <w:r>
        <w:rPr>
          <w:spacing w:val="-11"/>
          <w:sz w:val="19"/>
        </w:rPr>
        <w:t> </w:t>
      </w:r>
      <w:r>
        <w:rPr>
          <w:spacing w:val="-2"/>
          <w:sz w:val="19"/>
        </w:rPr>
        <w:t>should</w:t>
      </w:r>
      <w:r>
        <w:rPr>
          <w:spacing w:val="-10"/>
          <w:sz w:val="19"/>
        </w:rPr>
        <w:t> </w:t>
      </w:r>
      <w:r>
        <w:rPr>
          <w:sz w:val="19"/>
        </w:rPr>
        <w:t>keep</w:t>
      </w:r>
      <w:r>
        <w:rPr>
          <w:spacing w:val="-10"/>
          <w:sz w:val="19"/>
        </w:rPr>
        <w:t> </w:t>
      </w:r>
      <w:r>
        <w:rPr>
          <w:sz w:val="19"/>
        </w:rPr>
        <w:t>in</w:t>
      </w:r>
      <w:r>
        <w:rPr>
          <w:spacing w:val="-11"/>
          <w:sz w:val="19"/>
        </w:rPr>
        <w:t> </w:t>
      </w:r>
      <w:r>
        <w:rPr>
          <w:sz w:val="19"/>
        </w:rPr>
        <w:t>mind</w:t>
      </w:r>
      <w:r>
        <w:rPr>
          <w:spacing w:val="-10"/>
          <w:sz w:val="19"/>
        </w:rPr>
        <w:t> </w:t>
      </w:r>
      <w:r>
        <w:rPr>
          <w:sz w:val="19"/>
        </w:rPr>
        <w:t>the </w:t>
      </w:r>
      <w:r>
        <w:rPr>
          <w:spacing w:val="-3"/>
          <w:sz w:val="19"/>
        </w:rPr>
        <w:t>broad</w:t>
      </w:r>
      <w:r>
        <w:rPr>
          <w:spacing w:val="-12"/>
          <w:sz w:val="19"/>
        </w:rPr>
        <w:t> </w:t>
      </w:r>
      <w:r>
        <w:rPr>
          <w:sz w:val="19"/>
        </w:rPr>
        <w:t>spectrum</w:t>
      </w:r>
      <w:r>
        <w:rPr>
          <w:spacing w:val="-11"/>
          <w:sz w:val="19"/>
        </w:rPr>
        <w:t> </w:t>
      </w:r>
      <w:r>
        <w:rPr>
          <w:sz w:val="19"/>
        </w:rPr>
        <w:t>of</w:t>
      </w:r>
      <w:r>
        <w:rPr>
          <w:spacing w:val="-11"/>
          <w:sz w:val="19"/>
        </w:rPr>
        <w:t> </w:t>
      </w:r>
      <w:r>
        <w:rPr>
          <w:sz w:val="19"/>
        </w:rPr>
        <w:t>people</w:t>
      </w:r>
      <w:r>
        <w:rPr>
          <w:spacing w:val="-11"/>
          <w:sz w:val="19"/>
        </w:rPr>
        <w:t> </w:t>
      </w:r>
      <w:r>
        <w:rPr>
          <w:sz w:val="19"/>
        </w:rPr>
        <w:t>who</w:t>
      </w:r>
      <w:r>
        <w:rPr>
          <w:spacing w:val="-12"/>
          <w:sz w:val="19"/>
        </w:rPr>
        <w:t> </w:t>
      </w:r>
      <w:r>
        <w:rPr>
          <w:spacing w:val="-3"/>
          <w:sz w:val="19"/>
        </w:rPr>
        <w:t>are</w:t>
      </w:r>
      <w:r>
        <w:rPr>
          <w:spacing w:val="-11"/>
          <w:sz w:val="19"/>
        </w:rPr>
        <w:t> </w:t>
      </w:r>
      <w:r>
        <w:rPr>
          <w:sz w:val="19"/>
        </w:rPr>
        <w:t>blind</w:t>
      </w:r>
      <w:r>
        <w:rPr>
          <w:spacing w:val="-11"/>
          <w:sz w:val="19"/>
        </w:rPr>
        <w:t> </w:t>
      </w:r>
      <w:r>
        <w:rPr>
          <w:sz w:val="19"/>
        </w:rPr>
        <w:t>and</w:t>
      </w:r>
      <w:r>
        <w:rPr>
          <w:spacing w:val="-11"/>
          <w:sz w:val="19"/>
        </w:rPr>
        <w:t> </w:t>
      </w:r>
      <w:r>
        <w:rPr>
          <w:sz w:val="19"/>
        </w:rPr>
        <w:t>with</w:t>
      </w:r>
      <w:r>
        <w:rPr>
          <w:spacing w:val="-12"/>
          <w:sz w:val="19"/>
        </w:rPr>
        <w:t> </w:t>
      </w:r>
      <w:r>
        <w:rPr>
          <w:spacing w:val="-4"/>
          <w:sz w:val="19"/>
        </w:rPr>
        <w:t>low</w:t>
      </w:r>
      <w:r>
        <w:rPr>
          <w:spacing w:val="-11"/>
          <w:sz w:val="19"/>
        </w:rPr>
        <w:t> </w:t>
      </w:r>
      <w:r>
        <w:rPr>
          <w:sz w:val="19"/>
        </w:rPr>
        <w:t>vision</w:t>
      </w:r>
      <w:r>
        <w:rPr>
          <w:spacing w:val="-11"/>
          <w:sz w:val="19"/>
        </w:rPr>
        <w:t> </w:t>
      </w:r>
      <w:r>
        <w:rPr>
          <w:sz w:val="19"/>
        </w:rPr>
        <w:t>and</w:t>
      </w:r>
      <w:r>
        <w:rPr>
          <w:spacing w:val="-11"/>
          <w:sz w:val="19"/>
        </w:rPr>
        <w:t> </w:t>
      </w:r>
      <w:r>
        <w:rPr>
          <w:sz w:val="19"/>
        </w:rPr>
        <w:t>that</w:t>
      </w:r>
      <w:r>
        <w:rPr>
          <w:spacing w:val="-12"/>
          <w:sz w:val="19"/>
        </w:rPr>
        <w:t> </w:t>
      </w:r>
      <w:r>
        <w:rPr>
          <w:sz w:val="19"/>
        </w:rPr>
        <w:t>people</w:t>
      </w:r>
      <w:r>
        <w:rPr>
          <w:spacing w:val="-11"/>
          <w:sz w:val="19"/>
        </w:rPr>
        <w:t> </w:t>
      </w:r>
      <w:r>
        <w:rPr>
          <w:sz w:val="19"/>
        </w:rPr>
        <w:t>need</w:t>
      </w:r>
      <w:r>
        <w:rPr>
          <w:spacing w:val="-11"/>
          <w:sz w:val="19"/>
        </w:rPr>
        <w:t> </w:t>
      </w:r>
      <w:r>
        <w:rPr>
          <w:spacing w:val="-3"/>
          <w:sz w:val="19"/>
        </w:rPr>
        <w:t>to</w:t>
      </w:r>
      <w:r>
        <w:rPr>
          <w:spacing w:val="-11"/>
          <w:sz w:val="19"/>
        </w:rPr>
        <w:t> </w:t>
      </w:r>
      <w:r>
        <w:rPr>
          <w:sz w:val="19"/>
        </w:rPr>
        <w:t>be:</w:t>
      </w:r>
    </w:p>
    <w:p>
      <w:pPr>
        <w:pStyle w:val="ListParagraph"/>
        <w:numPr>
          <w:ilvl w:val="0"/>
          <w:numId w:val="97"/>
        </w:numPr>
        <w:tabs>
          <w:tab w:pos="2554" w:val="left" w:leader="none"/>
          <w:tab w:pos="2555" w:val="left" w:leader="none"/>
        </w:tabs>
        <w:spacing w:line="240" w:lineRule="auto" w:before="93" w:after="0"/>
        <w:ind w:left="2554" w:right="0" w:hanging="397"/>
        <w:jc w:val="left"/>
        <w:rPr>
          <w:sz w:val="19"/>
        </w:rPr>
      </w:pPr>
      <w:r>
        <w:rPr>
          <w:sz w:val="19"/>
        </w:rPr>
        <w:t>prewarned about what they will be expected to</w:t>
      </w:r>
      <w:r>
        <w:rPr>
          <w:spacing w:val="-19"/>
          <w:sz w:val="19"/>
        </w:rPr>
        <w:t> </w:t>
      </w:r>
      <w:r>
        <w:rPr>
          <w:sz w:val="19"/>
        </w:rPr>
        <w:t>do</w:t>
      </w:r>
    </w:p>
    <w:p>
      <w:pPr>
        <w:pStyle w:val="ListParagraph"/>
        <w:numPr>
          <w:ilvl w:val="0"/>
          <w:numId w:val="97"/>
        </w:numPr>
        <w:tabs>
          <w:tab w:pos="2554" w:val="left" w:leader="none"/>
          <w:tab w:pos="2555" w:val="left" w:leader="none"/>
        </w:tabs>
        <w:spacing w:line="240" w:lineRule="auto" w:before="86" w:after="0"/>
        <w:ind w:left="2554" w:right="0" w:hanging="397"/>
        <w:jc w:val="left"/>
        <w:rPr>
          <w:sz w:val="11"/>
        </w:rPr>
      </w:pPr>
      <w:r>
        <w:rPr>
          <w:sz w:val="19"/>
        </w:rPr>
        <w:t>given some extra time to undertake</w:t>
      </w:r>
      <w:r>
        <w:rPr>
          <w:spacing w:val="-12"/>
          <w:sz w:val="19"/>
        </w:rPr>
        <w:t> </w:t>
      </w:r>
      <w:r>
        <w:rPr>
          <w:sz w:val="19"/>
        </w:rPr>
        <w:t>tasks.</w:t>
      </w:r>
      <w:r>
        <w:rPr>
          <w:position w:val="6"/>
          <w:sz w:val="11"/>
        </w:rPr>
        <w:t>58</w:t>
      </w:r>
    </w:p>
    <w:p>
      <w:pPr>
        <w:pStyle w:val="ListParagraph"/>
        <w:numPr>
          <w:ilvl w:val="1"/>
          <w:numId w:val="12"/>
        </w:numPr>
        <w:tabs>
          <w:tab w:pos="1810" w:val="left" w:leader="none"/>
          <w:tab w:pos="1811" w:val="left" w:leader="none"/>
        </w:tabs>
        <w:spacing w:line="240" w:lineRule="auto" w:before="85" w:after="0"/>
        <w:ind w:left="1810" w:right="0" w:hanging="843"/>
        <w:jc w:val="left"/>
        <w:rPr>
          <w:sz w:val="20"/>
        </w:rPr>
      </w:pPr>
      <w:r>
        <w:rPr>
          <w:sz w:val="20"/>
        </w:rPr>
        <w:t>Brent Phillips </w:t>
      </w:r>
      <w:r>
        <w:rPr>
          <w:spacing w:val="-3"/>
          <w:sz w:val="20"/>
        </w:rPr>
        <w:t>told </w:t>
      </w:r>
      <w:r>
        <w:rPr>
          <w:sz w:val="20"/>
        </w:rPr>
        <w:t>us</w:t>
      </w:r>
      <w:r>
        <w:rPr>
          <w:spacing w:val="-14"/>
          <w:sz w:val="20"/>
        </w:rPr>
        <w:t> </w:t>
      </w:r>
      <w:r>
        <w:rPr>
          <w:sz w:val="20"/>
        </w:rPr>
        <w:t>that:</w:t>
      </w:r>
    </w:p>
    <w:p>
      <w:pPr>
        <w:spacing w:line="208" w:lineRule="auto" w:before="112"/>
        <w:ind w:left="2157" w:right="1335" w:firstLine="0"/>
        <w:jc w:val="left"/>
        <w:rPr>
          <w:sz w:val="11"/>
        </w:rPr>
      </w:pPr>
      <w:r>
        <w:rPr>
          <w:sz w:val="19"/>
        </w:rPr>
        <w:t>It would also be useful if evidentiary documents can be provided to a deaf person earlier. They may need more time to read/comprehend the documents because English may not be their first language. Deaf people are often given an extra 15 minutes reading time in University assessments.</w:t>
      </w:r>
      <w:r>
        <w:rPr>
          <w:position w:val="6"/>
          <w:sz w:val="11"/>
        </w:rPr>
        <w:t>59</w:t>
      </w:r>
    </w:p>
    <w:p>
      <w:pPr>
        <w:pStyle w:val="ListParagraph"/>
        <w:numPr>
          <w:ilvl w:val="1"/>
          <w:numId w:val="12"/>
        </w:numPr>
        <w:tabs>
          <w:tab w:pos="1761" w:val="left" w:leader="none"/>
          <w:tab w:pos="1762" w:val="left" w:leader="none"/>
        </w:tabs>
        <w:spacing w:line="206" w:lineRule="auto" w:before="125" w:after="0"/>
        <w:ind w:left="1761" w:right="1545" w:hanging="794"/>
        <w:jc w:val="left"/>
        <w:rPr>
          <w:sz w:val="20"/>
        </w:rPr>
      </w:pPr>
      <w:r>
        <w:rPr>
          <w:sz w:val="20"/>
        </w:rPr>
        <w:t>The</w:t>
      </w:r>
      <w:r>
        <w:rPr>
          <w:spacing w:val="-11"/>
          <w:sz w:val="20"/>
        </w:rPr>
        <w:t> </w:t>
      </w:r>
      <w:r>
        <w:rPr>
          <w:sz w:val="20"/>
        </w:rPr>
        <w:t>County</w:t>
      </w:r>
      <w:r>
        <w:rPr>
          <w:spacing w:val="-11"/>
          <w:sz w:val="20"/>
        </w:rPr>
        <w:t> </w:t>
      </w:r>
      <w:r>
        <w:rPr>
          <w:sz w:val="20"/>
        </w:rPr>
        <w:t>Court</w:t>
      </w:r>
      <w:r>
        <w:rPr>
          <w:spacing w:val="-10"/>
          <w:sz w:val="20"/>
        </w:rPr>
        <w:t> </w:t>
      </w:r>
      <w:r>
        <w:rPr>
          <w:sz w:val="20"/>
        </w:rPr>
        <w:t>suggested</w:t>
      </w:r>
      <w:r>
        <w:rPr>
          <w:spacing w:val="-11"/>
          <w:sz w:val="20"/>
        </w:rPr>
        <w:t> </w:t>
      </w:r>
      <w:r>
        <w:rPr>
          <w:sz w:val="20"/>
        </w:rPr>
        <w:t>that</w:t>
      </w:r>
      <w:r>
        <w:rPr>
          <w:spacing w:val="-10"/>
          <w:sz w:val="20"/>
        </w:rPr>
        <w:t> </w:t>
      </w:r>
      <w:r>
        <w:rPr>
          <w:spacing w:val="-3"/>
          <w:sz w:val="20"/>
        </w:rPr>
        <w:t>providing</w:t>
      </w:r>
      <w:r>
        <w:rPr>
          <w:spacing w:val="-11"/>
          <w:sz w:val="20"/>
        </w:rPr>
        <w:t> </w:t>
      </w:r>
      <w:r>
        <w:rPr>
          <w:sz w:val="20"/>
        </w:rPr>
        <w:t>judicial</w:t>
      </w:r>
      <w:r>
        <w:rPr>
          <w:spacing w:val="-10"/>
          <w:sz w:val="20"/>
        </w:rPr>
        <w:t> </w:t>
      </w:r>
      <w:r>
        <w:rPr>
          <w:sz w:val="20"/>
        </w:rPr>
        <w:t>instructions</w:t>
      </w:r>
      <w:r>
        <w:rPr>
          <w:spacing w:val="-11"/>
          <w:sz w:val="20"/>
        </w:rPr>
        <w:t> </w:t>
      </w:r>
      <w:r>
        <w:rPr>
          <w:sz w:val="20"/>
        </w:rPr>
        <w:t>in</w:t>
      </w:r>
      <w:r>
        <w:rPr>
          <w:spacing w:val="-11"/>
          <w:sz w:val="20"/>
        </w:rPr>
        <w:t> </w:t>
      </w:r>
      <w:r>
        <w:rPr>
          <w:sz w:val="20"/>
        </w:rPr>
        <w:t>writing</w:t>
      </w:r>
      <w:r>
        <w:rPr>
          <w:spacing w:val="-10"/>
          <w:sz w:val="20"/>
        </w:rPr>
        <w:t> </w:t>
      </w:r>
      <w:r>
        <w:rPr>
          <w:spacing w:val="-3"/>
          <w:sz w:val="20"/>
        </w:rPr>
        <w:t>may</w:t>
      </w:r>
      <w:r>
        <w:rPr>
          <w:spacing w:val="-11"/>
          <w:sz w:val="20"/>
        </w:rPr>
        <w:t> </w:t>
      </w:r>
      <w:r>
        <w:rPr>
          <w:sz w:val="20"/>
        </w:rPr>
        <w:t>assist jurors</w:t>
      </w:r>
      <w:r>
        <w:rPr>
          <w:spacing w:val="-5"/>
          <w:sz w:val="20"/>
        </w:rPr>
        <w:t> </w:t>
      </w:r>
      <w:r>
        <w:rPr>
          <w:sz w:val="20"/>
        </w:rPr>
        <w:t>who</w:t>
      </w:r>
      <w:r>
        <w:rPr>
          <w:spacing w:val="-5"/>
          <w:sz w:val="20"/>
        </w:rPr>
        <w:t> </w:t>
      </w:r>
      <w:r>
        <w:rPr>
          <w:spacing w:val="-3"/>
          <w:sz w:val="20"/>
        </w:rPr>
        <w:t>are</w:t>
      </w:r>
      <w:r>
        <w:rPr>
          <w:spacing w:val="-5"/>
          <w:sz w:val="20"/>
        </w:rPr>
        <w:t> </w:t>
      </w:r>
      <w:r>
        <w:rPr>
          <w:sz w:val="20"/>
        </w:rPr>
        <w:t>deaf</w:t>
      </w:r>
      <w:r>
        <w:rPr>
          <w:spacing w:val="-5"/>
          <w:sz w:val="20"/>
        </w:rPr>
        <w:t> </w:t>
      </w:r>
      <w:r>
        <w:rPr>
          <w:sz w:val="20"/>
        </w:rPr>
        <w:t>or</w:t>
      </w:r>
      <w:r>
        <w:rPr>
          <w:spacing w:val="-4"/>
          <w:sz w:val="20"/>
        </w:rPr>
        <w:t> </w:t>
      </w:r>
      <w:r>
        <w:rPr>
          <w:sz w:val="20"/>
        </w:rPr>
        <w:t>hard</w:t>
      </w:r>
      <w:r>
        <w:rPr>
          <w:spacing w:val="-5"/>
          <w:sz w:val="20"/>
        </w:rPr>
        <w:t> </w:t>
      </w:r>
      <w:r>
        <w:rPr>
          <w:sz w:val="20"/>
        </w:rPr>
        <w:t>of</w:t>
      </w:r>
      <w:r>
        <w:rPr>
          <w:spacing w:val="-5"/>
          <w:sz w:val="20"/>
        </w:rPr>
        <w:t> </w:t>
      </w:r>
      <w:r>
        <w:rPr>
          <w:sz w:val="20"/>
        </w:rPr>
        <w:t>hearing,</w:t>
      </w:r>
      <w:r>
        <w:rPr>
          <w:spacing w:val="-5"/>
          <w:sz w:val="20"/>
        </w:rPr>
        <w:t> </w:t>
      </w:r>
      <w:r>
        <w:rPr>
          <w:sz w:val="20"/>
        </w:rPr>
        <w:t>noting</w:t>
      </w:r>
      <w:r>
        <w:rPr>
          <w:spacing w:val="-5"/>
          <w:sz w:val="20"/>
        </w:rPr>
        <w:t> </w:t>
      </w:r>
      <w:r>
        <w:rPr>
          <w:sz w:val="20"/>
        </w:rPr>
        <w:t>that:</w:t>
      </w:r>
    </w:p>
    <w:p>
      <w:pPr>
        <w:spacing w:line="208" w:lineRule="auto" w:before="120"/>
        <w:ind w:left="2157" w:right="1277" w:firstLine="0"/>
        <w:jc w:val="left"/>
        <w:rPr>
          <w:sz w:val="11"/>
        </w:rPr>
      </w:pPr>
      <w:r>
        <w:rPr>
          <w:sz w:val="19"/>
        </w:rPr>
        <w:t>The Court does not foresee any adverse impact of this adjustment and the Court is moving toward updating the Jury Guide for civil and criminal trials which contains many of the instructions and directions in writing. Written instructions may also assist other members of the jury who were not able to fully understand or remember the direction themselves.</w:t>
      </w:r>
      <w:r>
        <w:rPr>
          <w:position w:val="6"/>
          <w:sz w:val="11"/>
        </w:rPr>
        <w:t>60</w:t>
      </w:r>
    </w:p>
    <w:p>
      <w:pPr>
        <w:pStyle w:val="BodyText"/>
        <w:spacing w:before="5"/>
        <w:rPr>
          <w:sz w:val="10"/>
        </w:rPr>
      </w:pPr>
      <w:r>
        <w:rPr/>
        <w:pict>
          <v:line style="position:absolute;mso-position-horizontal-relative:page;mso-position-vertical-relative:paragraph;z-index:8000;mso-wrap-distance-left:0;mso-wrap-distance-right:0" from="79.370102pt,9.682600pt" to="519.685102pt,9.682600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96"/>
        </w:numPr>
        <w:tabs>
          <w:tab w:pos="1760" w:val="left" w:leader="none"/>
          <w:tab w:pos="1762" w:val="left" w:leader="none"/>
        </w:tabs>
        <w:spacing w:line="213" w:lineRule="auto" w:before="38" w:after="0"/>
        <w:ind w:left="1761" w:right="21" w:hanging="794"/>
        <w:jc w:val="left"/>
        <w:rPr>
          <w:sz w:val="13"/>
        </w:rPr>
      </w:pPr>
      <w:r>
        <w:rPr>
          <w:sz w:val="13"/>
        </w:rPr>
        <w:t>Consultations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 Wales)), 5 (Expression Australia); Consultation 8 (Brent Phillips),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 States), 18 </w:t>
      </w:r>
      <w:r>
        <w:rPr>
          <w:spacing w:val="2"/>
          <w:sz w:val="13"/>
        </w:rPr>
        <w:t>(Australian </w:t>
      </w:r>
      <w:r>
        <w:rPr>
          <w:sz w:val="13"/>
        </w:rPr>
        <w:t>Sign </w:t>
      </w:r>
      <w:r>
        <w:rPr>
          <w:spacing w:val="2"/>
          <w:sz w:val="13"/>
        </w:rPr>
        <w:t>Language </w:t>
      </w:r>
      <w:r>
        <w:rPr>
          <w:sz w:val="13"/>
        </w:rPr>
        <w:t>Interpreters’</w:t>
      </w:r>
      <w:r>
        <w:rPr>
          <w:spacing w:val="3"/>
          <w:sz w:val="13"/>
        </w:rPr>
        <w:t> </w:t>
      </w:r>
      <w:r>
        <w:rPr>
          <w:spacing w:val="2"/>
          <w:sz w:val="13"/>
        </w:rPr>
        <w:t>Association,</w:t>
      </w:r>
      <w:r>
        <w:rPr>
          <w:spacing w:val="3"/>
          <w:sz w:val="13"/>
        </w:rPr>
        <w:t> </w:t>
      </w:r>
      <w:r>
        <w:rPr>
          <w:sz w:val="13"/>
        </w:rPr>
        <w:t>Victoria</w:t>
      </w:r>
      <w:r>
        <w:rPr>
          <w:spacing w:val="3"/>
          <w:sz w:val="13"/>
        </w:rPr>
        <w:t> </w:t>
      </w:r>
      <w:r>
        <w:rPr>
          <w:sz w:val="13"/>
        </w:rPr>
        <w:t>and</w:t>
      </w:r>
      <w:r>
        <w:rPr>
          <w:spacing w:val="4"/>
          <w:sz w:val="13"/>
        </w:rPr>
        <w:t> </w:t>
      </w:r>
      <w:r>
        <w:rPr>
          <w:sz w:val="13"/>
        </w:rPr>
        <w:t>Tasmania</w:t>
      </w:r>
      <w:r>
        <w:rPr>
          <w:spacing w:val="3"/>
          <w:sz w:val="13"/>
        </w:rPr>
        <w:t> </w:t>
      </w:r>
      <w:r>
        <w:rPr>
          <w:spacing w:val="2"/>
          <w:sz w:val="13"/>
        </w:rPr>
        <w:t>(ASLIA)),</w:t>
      </w:r>
      <w:r>
        <w:rPr>
          <w:spacing w:val="3"/>
          <w:sz w:val="13"/>
        </w:rPr>
        <w:t> </w:t>
      </w:r>
      <w:r>
        <w:rPr>
          <w:sz w:val="13"/>
        </w:rPr>
        <w:t>19</w:t>
      </w:r>
      <w:r>
        <w:rPr>
          <w:spacing w:val="4"/>
          <w:sz w:val="13"/>
        </w:rPr>
        <w:t> </w:t>
      </w:r>
      <w:r>
        <w:rPr>
          <w:spacing w:val="2"/>
          <w:sz w:val="13"/>
        </w:rPr>
        <w:t>(Australian</w:t>
      </w:r>
      <w:r>
        <w:rPr>
          <w:spacing w:val="3"/>
          <w:sz w:val="13"/>
        </w:rPr>
        <w:t> </w:t>
      </w:r>
      <w:r>
        <w:rPr>
          <w:sz w:val="13"/>
        </w:rPr>
        <w:t>Institute</w:t>
      </w:r>
      <w:r>
        <w:rPr>
          <w:spacing w:val="3"/>
          <w:sz w:val="13"/>
        </w:rPr>
        <w:t> </w:t>
      </w:r>
      <w:r>
        <w:rPr>
          <w:sz w:val="13"/>
        </w:rPr>
        <w:t>of</w:t>
      </w:r>
      <w:r>
        <w:rPr>
          <w:spacing w:val="3"/>
          <w:sz w:val="13"/>
        </w:rPr>
        <w:t> </w:t>
      </w:r>
      <w:r>
        <w:rPr>
          <w:sz w:val="13"/>
        </w:rPr>
        <w:t>Interpreters</w:t>
      </w:r>
      <w:r>
        <w:rPr>
          <w:spacing w:val="4"/>
          <w:sz w:val="13"/>
        </w:rPr>
        <w:t> </w:t>
      </w:r>
      <w:r>
        <w:rPr>
          <w:sz w:val="13"/>
        </w:rPr>
        <w:t>and</w:t>
      </w:r>
      <w:r>
        <w:rPr>
          <w:spacing w:val="3"/>
          <w:sz w:val="13"/>
        </w:rPr>
        <w:t> </w:t>
      </w:r>
      <w:r>
        <w:rPr>
          <w:sz w:val="13"/>
        </w:rPr>
        <w:t>Translators</w:t>
      </w:r>
      <w:r>
        <w:rPr>
          <w:spacing w:val="3"/>
          <w:sz w:val="13"/>
        </w:rPr>
        <w:t> </w:t>
      </w:r>
      <w:r>
        <w:rPr>
          <w:sz w:val="13"/>
        </w:rPr>
        <w:t>(AUSIT)),</w:t>
      </w:r>
      <w:r>
        <w:rPr>
          <w:spacing w:val="4"/>
          <w:sz w:val="13"/>
        </w:rPr>
        <w:t> </w:t>
      </w:r>
      <w:r>
        <w:rPr>
          <w:sz w:val="13"/>
        </w:rPr>
        <w:t>21</w:t>
      </w:r>
    </w:p>
    <w:p>
      <w:pPr>
        <w:spacing w:line="213" w:lineRule="auto" w:before="0"/>
        <w:ind w:left="1761" w:right="153" w:firstLine="0"/>
        <w:jc w:val="left"/>
        <w:rPr>
          <w:sz w:val="13"/>
        </w:rPr>
      </w:pPr>
      <w:r>
        <w:rPr>
          <w:sz w:val="13"/>
        </w:rPr>
        <w:t>(Della Goswell, Lecturer, Convenor Auslan-English Interpreting Program, Macquarie University, NSW), 24 (Alastair McEwin AM, Royal Commissioner, Royal Commission into Violence, Abuse, Neglect and Exploitation of People with Disability, in his personal capacity).</w:t>
      </w:r>
    </w:p>
    <w:p>
      <w:pPr>
        <w:pStyle w:val="ListParagraph"/>
        <w:numPr>
          <w:ilvl w:val="0"/>
          <w:numId w:val="96"/>
        </w:numPr>
        <w:tabs>
          <w:tab w:pos="1761" w:val="left" w:leader="none"/>
          <w:tab w:pos="1762" w:val="left" w:leader="none"/>
        </w:tabs>
        <w:spacing w:line="213" w:lineRule="auto" w:before="0" w:after="0"/>
        <w:ind w:left="1761" w:right="88" w:hanging="794"/>
        <w:jc w:val="left"/>
        <w:rPr>
          <w:sz w:val="13"/>
        </w:rPr>
      </w:pPr>
      <w:r>
        <w:rPr>
          <w:sz w:val="13"/>
        </w:rPr>
        <w:t>An ASLIA consultation </w:t>
      </w:r>
      <w:r>
        <w:rPr>
          <w:spacing w:val="2"/>
          <w:sz w:val="13"/>
        </w:rPr>
        <w:t>participant </w:t>
      </w:r>
      <w:r>
        <w:rPr>
          <w:sz w:val="13"/>
        </w:rPr>
        <w:t>who is an Auslan interpreter noted that when interpreting in </w:t>
      </w:r>
      <w:r>
        <w:rPr>
          <w:spacing w:val="2"/>
          <w:sz w:val="13"/>
        </w:rPr>
        <w:t>court, </w:t>
      </w:r>
      <w:r>
        <w:rPr>
          <w:sz w:val="13"/>
        </w:rPr>
        <w:t>she ‘is usually placed at the front of the courtroom, or </w:t>
      </w:r>
      <w:r>
        <w:rPr>
          <w:spacing w:val="2"/>
          <w:sz w:val="13"/>
        </w:rPr>
        <w:t>positioned </w:t>
      </w:r>
      <w:r>
        <w:rPr>
          <w:sz w:val="13"/>
        </w:rPr>
        <w:t>in a suitable space, </w:t>
      </w:r>
      <w:r>
        <w:rPr>
          <w:spacing w:val="2"/>
          <w:sz w:val="13"/>
        </w:rPr>
        <w:t>depending </w:t>
      </w:r>
      <w:r>
        <w:rPr>
          <w:sz w:val="13"/>
        </w:rPr>
        <w:t>on the layout of the courtroom. Usually, if at all practicable, interpreters do not have their back to the judge’: Consultation 18 </w:t>
      </w:r>
      <w:r>
        <w:rPr>
          <w:spacing w:val="2"/>
          <w:sz w:val="13"/>
        </w:rPr>
        <w:t>(Australian </w:t>
      </w:r>
      <w:r>
        <w:rPr>
          <w:sz w:val="13"/>
        </w:rPr>
        <w:t>Sign </w:t>
      </w:r>
      <w:r>
        <w:rPr>
          <w:spacing w:val="2"/>
          <w:sz w:val="13"/>
        </w:rPr>
        <w:t>Language </w:t>
      </w:r>
      <w:r>
        <w:rPr>
          <w:sz w:val="13"/>
        </w:rPr>
        <w:t>Interpreters’ </w:t>
      </w:r>
      <w:r>
        <w:rPr>
          <w:spacing w:val="2"/>
          <w:sz w:val="13"/>
        </w:rPr>
        <w:t>Association, </w:t>
      </w:r>
      <w:r>
        <w:rPr>
          <w:sz w:val="13"/>
        </w:rPr>
        <w:t>Victoria and Tasmania </w:t>
      </w:r>
      <w:r>
        <w:rPr>
          <w:spacing w:val="2"/>
          <w:sz w:val="13"/>
        </w:rPr>
        <w:t>(ASLIA)). </w:t>
      </w:r>
      <w:r>
        <w:rPr>
          <w:sz w:val="13"/>
        </w:rPr>
        <w:t>Also consultations 8 (Brent Phillips), 19 </w:t>
      </w:r>
      <w:r>
        <w:rPr>
          <w:spacing w:val="2"/>
          <w:sz w:val="13"/>
        </w:rPr>
        <w:t>(Australian </w:t>
      </w:r>
      <w:r>
        <w:rPr>
          <w:sz w:val="13"/>
        </w:rPr>
        <w:t>Institute of Interpreters and Translators</w:t>
      </w:r>
      <w:r>
        <w:rPr>
          <w:spacing w:val="6"/>
          <w:sz w:val="13"/>
        </w:rPr>
        <w:t> </w:t>
      </w:r>
      <w:r>
        <w:rPr>
          <w:sz w:val="13"/>
        </w:rPr>
        <w:t>(AUSIT)).</w:t>
      </w:r>
    </w:p>
    <w:p>
      <w:pPr>
        <w:pStyle w:val="ListParagraph"/>
        <w:numPr>
          <w:ilvl w:val="0"/>
          <w:numId w:val="96"/>
        </w:numPr>
        <w:tabs>
          <w:tab w:pos="1761" w:val="left" w:leader="none"/>
          <w:tab w:pos="1762" w:val="left" w:leader="none"/>
        </w:tabs>
        <w:spacing w:line="213" w:lineRule="auto" w:before="0" w:after="0"/>
        <w:ind w:left="1761" w:right="208" w:hanging="794"/>
        <w:jc w:val="both"/>
        <w:rPr>
          <w:sz w:val="13"/>
        </w:rPr>
      </w:pPr>
      <w:r>
        <w:rPr>
          <w:sz w:val="13"/>
        </w:rPr>
        <w:t>Consultations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 Wales)), 22 (Daniel Stubbs, Victorian </w:t>
      </w:r>
      <w:r>
        <w:rPr>
          <w:spacing w:val="2"/>
          <w:sz w:val="13"/>
        </w:rPr>
        <w:t>Disability </w:t>
      </w:r>
      <w:r>
        <w:rPr>
          <w:sz w:val="13"/>
        </w:rPr>
        <w:t>Worker Commissioner, in his personal</w:t>
      </w:r>
      <w:r>
        <w:rPr>
          <w:spacing w:val="1"/>
          <w:sz w:val="13"/>
        </w:rPr>
        <w:t> </w:t>
      </w:r>
      <w:r>
        <w:rPr>
          <w:sz w:val="13"/>
        </w:rPr>
        <w:t>capacity).</w:t>
      </w:r>
    </w:p>
    <w:p>
      <w:pPr>
        <w:pStyle w:val="ListParagraph"/>
        <w:numPr>
          <w:ilvl w:val="0"/>
          <w:numId w:val="96"/>
        </w:numPr>
        <w:tabs>
          <w:tab w:pos="1761" w:val="left" w:leader="none"/>
          <w:tab w:pos="1762" w:val="left" w:leader="none"/>
        </w:tabs>
        <w:spacing w:line="213" w:lineRule="auto" w:before="0" w:after="0"/>
        <w:ind w:left="1761" w:right="1" w:hanging="794"/>
        <w:jc w:val="left"/>
        <w:rPr>
          <w:sz w:val="13"/>
        </w:rPr>
      </w:pPr>
      <w:r>
        <w:rPr>
          <w:sz w:val="13"/>
        </w:rPr>
        <w:t>Consultations 19 </w:t>
      </w:r>
      <w:r>
        <w:rPr>
          <w:spacing w:val="2"/>
          <w:sz w:val="13"/>
        </w:rPr>
        <w:t>(Australian </w:t>
      </w:r>
      <w:r>
        <w:rPr>
          <w:sz w:val="13"/>
        </w:rPr>
        <w:t>Institute of Interpreters and Translators (AUSIT)), 21 </w:t>
      </w:r>
      <w:r>
        <w:rPr>
          <w:spacing w:val="2"/>
          <w:sz w:val="13"/>
        </w:rPr>
        <w:t>(Della </w:t>
      </w:r>
      <w:r>
        <w:rPr>
          <w:sz w:val="13"/>
        </w:rPr>
        <w:t>Goswell, Lecturer, Convenor </w:t>
      </w:r>
      <w:r>
        <w:rPr>
          <w:spacing w:val="2"/>
          <w:sz w:val="13"/>
        </w:rPr>
        <w:t>Auslan-English </w:t>
      </w:r>
      <w:r>
        <w:rPr>
          <w:sz w:val="13"/>
        </w:rPr>
        <w:t>Interpreting Program, Macquarie University,</w:t>
      </w:r>
      <w:r>
        <w:rPr>
          <w:spacing w:val="1"/>
          <w:sz w:val="13"/>
        </w:rPr>
        <w:t> </w:t>
      </w:r>
      <w:r>
        <w:rPr>
          <w:sz w:val="13"/>
        </w:rPr>
        <w:t>NSW).</w:t>
      </w:r>
    </w:p>
    <w:p>
      <w:pPr>
        <w:pStyle w:val="ListParagraph"/>
        <w:numPr>
          <w:ilvl w:val="0"/>
          <w:numId w:val="96"/>
        </w:numPr>
        <w:tabs>
          <w:tab w:pos="1760" w:val="left" w:leader="none"/>
          <w:tab w:pos="1762" w:val="left" w:leader="none"/>
        </w:tabs>
        <w:spacing w:line="152" w:lineRule="exact" w:before="0" w:after="0"/>
        <w:ind w:left="1761" w:right="0" w:hanging="794"/>
        <w:jc w:val="left"/>
        <w:rPr>
          <w:sz w:val="13"/>
        </w:rPr>
      </w:pP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w:t>
      </w:r>
      <w:r>
        <w:rPr>
          <w:spacing w:val="11"/>
          <w:sz w:val="13"/>
        </w:rPr>
        <w:t> </w:t>
      </w:r>
      <w:r>
        <w:rPr>
          <w:sz w:val="13"/>
        </w:rPr>
        <w:t>States).</w:t>
      </w:r>
    </w:p>
    <w:p>
      <w:pPr>
        <w:pStyle w:val="ListParagraph"/>
        <w:numPr>
          <w:ilvl w:val="0"/>
          <w:numId w:val="96"/>
        </w:numPr>
        <w:tabs>
          <w:tab w:pos="1760" w:val="left" w:leader="none"/>
          <w:tab w:pos="1762" w:val="left" w:leader="none"/>
        </w:tabs>
        <w:spacing w:line="160" w:lineRule="exact" w:before="0" w:after="0"/>
        <w:ind w:left="1761" w:right="0" w:hanging="794"/>
        <w:jc w:val="left"/>
        <w:rPr>
          <w:sz w:val="13"/>
        </w:rPr>
      </w:pPr>
      <w:r>
        <w:rPr>
          <w:sz w:val="13"/>
        </w:rPr>
        <w:t>Consultation 1 </w:t>
      </w:r>
      <w:r>
        <w:rPr>
          <w:spacing w:val="2"/>
          <w:sz w:val="13"/>
        </w:rPr>
        <w:t>(Blind </w:t>
      </w:r>
      <w:r>
        <w:rPr>
          <w:sz w:val="13"/>
        </w:rPr>
        <w:t>Citizens</w:t>
      </w:r>
      <w:r>
        <w:rPr>
          <w:spacing w:val="-1"/>
          <w:sz w:val="13"/>
        </w:rPr>
        <w:t> </w:t>
      </w:r>
      <w:r>
        <w:rPr>
          <w:sz w:val="13"/>
        </w:rPr>
        <w:t>Australia).</w:t>
      </w:r>
    </w:p>
    <w:p>
      <w:pPr>
        <w:pStyle w:val="ListParagraph"/>
        <w:numPr>
          <w:ilvl w:val="0"/>
          <w:numId w:val="96"/>
        </w:numPr>
        <w:tabs>
          <w:tab w:pos="1761" w:val="left" w:leader="none"/>
          <w:tab w:pos="1762" w:val="left" w:leader="none"/>
        </w:tabs>
        <w:spacing w:line="213" w:lineRule="auto" w:before="0" w:after="0"/>
        <w:ind w:left="1761" w:right="0" w:hanging="794"/>
        <w:jc w:val="left"/>
        <w:rPr>
          <w:sz w:val="13"/>
        </w:rPr>
      </w:pPr>
      <w:r>
        <w:rPr>
          <w:sz w:val="13"/>
        </w:rPr>
        <w:t>Consultation 8 (Brent Phillips). </w:t>
      </w:r>
      <w:r>
        <w:rPr>
          <w:spacing w:val="2"/>
          <w:sz w:val="13"/>
        </w:rPr>
        <w:t>Expression </w:t>
      </w:r>
      <w:r>
        <w:rPr>
          <w:sz w:val="13"/>
        </w:rPr>
        <w:t>Australia made similar comments about the </w:t>
      </w:r>
      <w:r>
        <w:rPr>
          <w:spacing w:val="2"/>
          <w:sz w:val="13"/>
        </w:rPr>
        <w:t>need </w:t>
      </w:r>
      <w:r>
        <w:rPr>
          <w:sz w:val="13"/>
        </w:rPr>
        <w:t>for extra time to analyse the evidence: Consultation 5 (Expression</w:t>
      </w:r>
      <w:r>
        <w:rPr>
          <w:spacing w:val="1"/>
          <w:sz w:val="13"/>
        </w:rPr>
        <w:t> </w:t>
      </w:r>
      <w:r>
        <w:rPr>
          <w:sz w:val="13"/>
        </w:rPr>
        <w:t>Australia).</w:t>
      </w:r>
    </w:p>
    <w:p>
      <w:pPr>
        <w:pStyle w:val="ListParagraph"/>
        <w:numPr>
          <w:ilvl w:val="0"/>
          <w:numId w:val="96"/>
        </w:numPr>
        <w:tabs>
          <w:tab w:pos="1760" w:val="left" w:leader="none"/>
          <w:tab w:pos="1762" w:val="left" w:leader="none"/>
        </w:tabs>
        <w:spacing w:line="163"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3"/>
        <w:rPr>
          <w:sz w:val="26"/>
        </w:rPr>
      </w:pPr>
    </w:p>
    <w:p>
      <w:pPr>
        <w:spacing w:before="0"/>
        <w:ind w:left="479" w:right="0" w:firstLine="0"/>
        <w:jc w:val="left"/>
        <w:rPr>
          <w:b/>
          <w:sz w:val="24"/>
        </w:rPr>
      </w:pPr>
      <w:r>
        <w:rPr>
          <w:b/>
          <w:color w:val="37617A"/>
          <w:sz w:val="24"/>
        </w:rPr>
        <w:t>149</w:t>
      </w:r>
    </w:p>
    <w:p>
      <w:pPr>
        <w:spacing w:after="0"/>
        <w:jc w:val="left"/>
        <w:rPr>
          <w:sz w:val="24"/>
        </w:rPr>
        <w:sectPr>
          <w:type w:val="continuous"/>
          <w:pgSz w:w="11910" w:h="16840"/>
          <w:pgMar w:top="620" w:bottom="280" w:left="620" w:right="380"/>
          <w:cols w:num="2" w:equalWidth="0">
            <w:col w:w="9775" w:space="40"/>
            <w:col w:w="1095"/>
          </w:cols>
        </w:sectPr>
      </w:pPr>
    </w:p>
    <w:p>
      <w:pPr>
        <w:pStyle w:val="BodyText"/>
        <w:rPr>
          <w:b/>
        </w:rPr>
      </w:pPr>
    </w:p>
    <w:p>
      <w:pPr>
        <w:pStyle w:val="BodyText"/>
        <w:rPr>
          <w:b/>
        </w:rPr>
      </w:pPr>
    </w:p>
    <w:p>
      <w:pPr>
        <w:pStyle w:val="BodyText"/>
        <w:rPr>
          <w:b/>
        </w:rPr>
      </w:pPr>
    </w:p>
    <w:p>
      <w:pPr>
        <w:spacing w:before="220"/>
        <w:ind w:left="967" w:right="0" w:firstLine="0"/>
        <w:jc w:val="left"/>
        <w:rPr>
          <w:b/>
          <w:sz w:val="24"/>
        </w:rPr>
      </w:pPr>
      <w:bookmarkStart w:name="Bringing personal technology to court" w:id="257"/>
      <w:bookmarkEnd w:id="257"/>
      <w:r>
        <w:rPr/>
      </w:r>
      <w:bookmarkStart w:name="_bookmark108" w:id="258"/>
      <w:bookmarkEnd w:id="258"/>
      <w:r>
        <w:rPr/>
      </w:r>
      <w:r>
        <w:rPr>
          <w:b/>
          <w:sz w:val="24"/>
        </w:rPr>
        <w:t>Court documents in different formats</w:t>
      </w:r>
    </w:p>
    <w:p>
      <w:pPr>
        <w:pStyle w:val="ListParagraph"/>
        <w:numPr>
          <w:ilvl w:val="1"/>
          <w:numId w:val="12"/>
        </w:numPr>
        <w:tabs>
          <w:tab w:pos="1761" w:val="left" w:leader="none"/>
          <w:tab w:pos="1762" w:val="left" w:leader="none"/>
        </w:tabs>
        <w:spacing w:line="206" w:lineRule="auto" w:before="127" w:after="0"/>
        <w:ind w:left="1761" w:right="1207" w:hanging="794"/>
        <w:jc w:val="left"/>
        <w:rPr>
          <w:sz w:val="11"/>
        </w:rPr>
      </w:pPr>
      <w:r>
        <w:rPr>
          <w:sz w:val="20"/>
        </w:rPr>
        <w:t>Sometimes jurors in the subject groups </w:t>
      </w:r>
      <w:r>
        <w:rPr>
          <w:spacing w:val="-3"/>
          <w:sz w:val="20"/>
        </w:rPr>
        <w:t>may have—as </w:t>
      </w:r>
      <w:r>
        <w:rPr>
          <w:sz w:val="20"/>
        </w:rPr>
        <w:t>a </w:t>
      </w:r>
      <w:r>
        <w:rPr>
          <w:spacing w:val="-3"/>
          <w:sz w:val="20"/>
        </w:rPr>
        <w:t>result </w:t>
      </w:r>
      <w:r>
        <w:rPr>
          <w:sz w:val="20"/>
        </w:rPr>
        <w:t>of adjustments— materials in the jury room which other jurors </w:t>
      </w:r>
      <w:r>
        <w:rPr>
          <w:spacing w:val="-3"/>
          <w:sz w:val="20"/>
        </w:rPr>
        <w:t>would </w:t>
      </w:r>
      <w:r>
        <w:rPr>
          <w:sz w:val="20"/>
        </w:rPr>
        <w:t>not normally </w:t>
      </w:r>
      <w:r>
        <w:rPr>
          <w:spacing w:val="-4"/>
          <w:sz w:val="20"/>
        </w:rPr>
        <w:t>have, </w:t>
      </w:r>
      <w:r>
        <w:rPr>
          <w:sz w:val="20"/>
        </w:rPr>
        <w:t>for </w:t>
      </w:r>
      <w:r>
        <w:rPr>
          <w:spacing w:val="-3"/>
          <w:sz w:val="20"/>
        </w:rPr>
        <w:t>example </w:t>
      </w:r>
      <w:r>
        <w:rPr>
          <w:sz w:val="20"/>
        </w:rPr>
        <w:t>digital</w:t>
      </w:r>
      <w:r>
        <w:rPr>
          <w:spacing w:val="-12"/>
          <w:sz w:val="20"/>
        </w:rPr>
        <w:t> </w:t>
      </w:r>
      <w:r>
        <w:rPr>
          <w:sz w:val="20"/>
        </w:rPr>
        <w:t>or</w:t>
      </w:r>
      <w:r>
        <w:rPr>
          <w:spacing w:val="-11"/>
          <w:sz w:val="20"/>
        </w:rPr>
        <w:t> </w:t>
      </w:r>
      <w:r>
        <w:rPr>
          <w:sz w:val="20"/>
        </w:rPr>
        <w:t>hard</w:t>
      </w:r>
      <w:r>
        <w:rPr>
          <w:spacing w:val="-11"/>
          <w:sz w:val="20"/>
        </w:rPr>
        <w:t> </w:t>
      </w:r>
      <w:r>
        <w:rPr>
          <w:spacing w:val="-3"/>
          <w:sz w:val="20"/>
        </w:rPr>
        <w:t>copy</w:t>
      </w:r>
      <w:r>
        <w:rPr>
          <w:spacing w:val="-12"/>
          <w:sz w:val="20"/>
        </w:rPr>
        <w:t> </w:t>
      </w:r>
      <w:r>
        <w:rPr>
          <w:sz w:val="20"/>
        </w:rPr>
        <w:t>versions</w:t>
      </w:r>
      <w:r>
        <w:rPr>
          <w:spacing w:val="-11"/>
          <w:sz w:val="20"/>
        </w:rPr>
        <w:t> </w:t>
      </w:r>
      <w:r>
        <w:rPr>
          <w:sz w:val="20"/>
        </w:rPr>
        <w:t>of</w:t>
      </w:r>
      <w:r>
        <w:rPr>
          <w:spacing w:val="-11"/>
          <w:sz w:val="20"/>
        </w:rPr>
        <w:t> </w:t>
      </w:r>
      <w:r>
        <w:rPr>
          <w:sz w:val="20"/>
        </w:rPr>
        <w:t>evidence</w:t>
      </w:r>
      <w:r>
        <w:rPr>
          <w:spacing w:val="-11"/>
          <w:sz w:val="20"/>
        </w:rPr>
        <w:t> </w:t>
      </w:r>
      <w:r>
        <w:rPr>
          <w:sz w:val="20"/>
        </w:rPr>
        <w:t>and</w:t>
      </w:r>
      <w:r>
        <w:rPr>
          <w:spacing w:val="-12"/>
          <w:sz w:val="20"/>
        </w:rPr>
        <w:t> </w:t>
      </w:r>
      <w:r>
        <w:rPr>
          <w:sz w:val="20"/>
        </w:rPr>
        <w:t>written</w:t>
      </w:r>
      <w:r>
        <w:rPr>
          <w:spacing w:val="-11"/>
          <w:sz w:val="20"/>
        </w:rPr>
        <w:t> </w:t>
      </w:r>
      <w:r>
        <w:rPr>
          <w:sz w:val="20"/>
        </w:rPr>
        <w:t>jury</w:t>
      </w:r>
      <w:r>
        <w:rPr>
          <w:spacing w:val="-11"/>
          <w:sz w:val="20"/>
        </w:rPr>
        <w:t> </w:t>
      </w:r>
      <w:r>
        <w:rPr>
          <w:sz w:val="20"/>
        </w:rPr>
        <w:t>directions.</w:t>
      </w:r>
      <w:r>
        <w:rPr>
          <w:spacing w:val="-11"/>
          <w:sz w:val="20"/>
        </w:rPr>
        <w:t> </w:t>
      </w:r>
      <w:r>
        <w:rPr>
          <w:sz w:val="20"/>
        </w:rPr>
        <w:t>In</w:t>
      </w:r>
      <w:r>
        <w:rPr>
          <w:spacing w:val="-12"/>
          <w:sz w:val="20"/>
        </w:rPr>
        <w:t> </w:t>
      </w:r>
      <w:r>
        <w:rPr>
          <w:sz w:val="20"/>
        </w:rPr>
        <w:t>this</w:t>
      </w:r>
      <w:r>
        <w:rPr>
          <w:spacing w:val="-11"/>
          <w:sz w:val="20"/>
        </w:rPr>
        <w:t> </w:t>
      </w:r>
      <w:r>
        <w:rPr>
          <w:sz w:val="20"/>
        </w:rPr>
        <w:t>situation,</w:t>
      </w:r>
      <w:r>
        <w:rPr>
          <w:spacing w:val="-11"/>
          <w:sz w:val="20"/>
        </w:rPr>
        <w:t> </w:t>
      </w:r>
      <w:r>
        <w:rPr>
          <w:sz w:val="20"/>
        </w:rPr>
        <w:t>the judge </w:t>
      </w:r>
      <w:r>
        <w:rPr>
          <w:spacing w:val="-3"/>
          <w:sz w:val="20"/>
        </w:rPr>
        <w:t>may </w:t>
      </w:r>
      <w:r>
        <w:rPr>
          <w:sz w:val="20"/>
        </w:rPr>
        <w:t>need to remind the other jurors that they </w:t>
      </w:r>
      <w:r>
        <w:rPr>
          <w:spacing w:val="-3"/>
          <w:sz w:val="20"/>
        </w:rPr>
        <w:t>are </w:t>
      </w:r>
      <w:r>
        <w:rPr>
          <w:sz w:val="20"/>
        </w:rPr>
        <w:t>also </w:t>
      </w:r>
      <w:r>
        <w:rPr>
          <w:spacing w:val="-3"/>
          <w:sz w:val="20"/>
        </w:rPr>
        <w:t>free </w:t>
      </w:r>
      <w:r>
        <w:rPr>
          <w:sz w:val="20"/>
        </w:rPr>
        <w:t>to </w:t>
      </w:r>
      <w:r>
        <w:rPr>
          <w:spacing w:val="-3"/>
          <w:sz w:val="20"/>
        </w:rPr>
        <w:t>share </w:t>
      </w:r>
      <w:r>
        <w:rPr>
          <w:sz w:val="20"/>
        </w:rPr>
        <w:t>and discuss that</w:t>
      </w:r>
      <w:r>
        <w:rPr>
          <w:spacing w:val="-12"/>
          <w:sz w:val="20"/>
        </w:rPr>
        <w:t> </w:t>
      </w:r>
      <w:r>
        <w:rPr>
          <w:sz w:val="20"/>
        </w:rPr>
        <w:t>material.</w:t>
      </w:r>
      <w:r>
        <w:rPr>
          <w:spacing w:val="-12"/>
          <w:sz w:val="20"/>
        </w:rPr>
        <w:t> </w:t>
      </w:r>
      <w:r>
        <w:rPr>
          <w:sz w:val="20"/>
        </w:rPr>
        <w:t>These</w:t>
      </w:r>
      <w:r>
        <w:rPr>
          <w:spacing w:val="-12"/>
          <w:sz w:val="20"/>
        </w:rPr>
        <w:t> </w:t>
      </w:r>
      <w:r>
        <w:rPr>
          <w:sz w:val="20"/>
        </w:rPr>
        <w:t>adjustments</w:t>
      </w:r>
      <w:r>
        <w:rPr>
          <w:spacing w:val="-12"/>
          <w:sz w:val="20"/>
        </w:rPr>
        <w:t> </w:t>
      </w:r>
      <w:r>
        <w:rPr>
          <w:sz w:val="20"/>
        </w:rPr>
        <w:t>will</w:t>
      </w:r>
      <w:r>
        <w:rPr>
          <w:spacing w:val="-12"/>
          <w:sz w:val="20"/>
        </w:rPr>
        <w:t> </w:t>
      </w:r>
      <w:r>
        <w:rPr>
          <w:sz w:val="20"/>
        </w:rPr>
        <w:t>offer</w:t>
      </w:r>
      <w:r>
        <w:rPr>
          <w:spacing w:val="-12"/>
          <w:sz w:val="20"/>
        </w:rPr>
        <w:t> </w:t>
      </w:r>
      <w:r>
        <w:rPr>
          <w:sz w:val="20"/>
        </w:rPr>
        <w:t>benefits</w:t>
      </w:r>
      <w:r>
        <w:rPr>
          <w:spacing w:val="-12"/>
          <w:sz w:val="20"/>
        </w:rPr>
        <w:t> </w:t>
      </w:r>
      <w:r>
        <w:rPr>
          <w:sz w:val="20"/>
        </w:rPr>
        <w:t>to</w:t>
      </w:r>
      <w:r>
        <w:rPr>
          <w:spacing w:val="-11"/>
          <w:sz w:val="20"/>
        </w:rPr>
        <w:t> </w:t>
      </w:r>
      <w:r>
        <w:rPr>
          <w:sz w:val="20"/>
        </w:rPr>
        <w:t>all</w:t>
      </w:r>
      <w:r>
        <w:rPr>
          <w:spacing w:val="-12"/>
          <w:sz w:val="20"/>
        </w:rPr>
        <w:t> </w:t>
      </w:r>
      <w:r>
        <w:rPr>
          <w:sz w:val="20"/>
        </w:rPr>
        <w:t>jurors</w:t>
      </w:r>
      <w:r>
        <w:rPr>
          <w:spacing w:val="-12"/>
          <w:sz w:val="20"/>
        </w:rPr>
        <w:t> </w:t>
      </w:r>
      <w:r>
        <w:rPr>
          <w:sz w:val="20"/>
        </w:rPr>
        <w:t>in</w:t>
      </w:r>
      <w:r>
        <w:rPr>
          <w:spacing w:val="-12"/>
          <w:sz w:val="20"/>
        </w:rPr>
        <w:t> </w:t>
      </w:r>
      <w:r>
        <w:rPr>
          <w:sz w:val="20"/>
        </w:rPr>
        <w:t>the</w:t>
      </w:r>
      <w:r>
        <w:rPr>
          <w:spacing w:val="-12"/>
          <w:sz w:val="20"/>
        </w:rPr>
        <w:t> </w:t>
      </w:r>
      <w:r>
        <w:rPr>
          <w:sz w:val="20"/>
        </w:rPr>
        <w:t>trial</w:t>
      </w:r>
      <w:r>
        <w:rPr>
          <w:spacing w:val="-12"/>
          <w:sz w:val="20"/>
        </w:rPr>
        <w:t> </w:t>
      </w:r>
      <w:r>
        <w:rPr>
          <w:sz w:val="20"/>
        </w:rPr>
        <w:t>in</w:t>
      </w:r>
      <w:r>
        <w:rPr>
          <w:spacing w:val="-12"/>
          <w:sz w:val="20"/>
        </w:rPr>
        <w:t> </w:t>
      </w:r>
      <w:r>
        <w:rPr>
          <w:sz w:val="20"/>
        </w:rPr>
        <w:t>the</w:t>
      </w:r>
      <w:r>
        <w:rPr>
          <w:spacing w:val="-11"/>
          <w:sz w:val="20"/>
        </w:rPr>
        <w:t> </w:t>
      </w:r>
      <w:r>
        <w:rPr>
          <w:spacing w:val="-4"/>
          <w:sz w:val="20"/>
        </w:rPr>
        <w:t>way</w:t>
      </w:r>
      <w:r>
        <w:rPr>
          <w:spacing w:val="-12"/>
          <w:sz w:val="20"/>
        </w:rPr>
        <w:t> </w:t>
      </w:r>
      <w:r>
        <w:rPr>
          <w:sz w:val="20"/>
        </w:rPr>
        <w:t>that universal design principles aim to </w:t>
      </w:r>
      <w:r>
        <w:rPr>
          <w:spacing w:val="-3"/>
          <w:sz w:val="20"/>
        </w:rPr>
        <w:t>make </w:t>
      </w:r>
      <w:r>
        <w:rPr>
          <w:sz w:val="20"/>
        </w:rPr>
        <w:t>spaces, policies, and programs </w:t>
      </w:r>
      <w:r>
        <w:rPr>
          <w:spacing w:val="-3"/>
          <w:sz w:val="20"/>
        </w:rPr>
        <w:t>inclusive </w:t>
      </w:r>
      <w:r>
        <w:rPr>
          <w:sz w:val="20"/>
        </w:rPr>
        <w:t>and accessible to all people </w:t>
      </w:r>
      <w:r>
        <w:rPr>
          <w:spacing w:val="-3"/>
          <w:sz w:val="20"/>
        </w:rPr>
        <w:t>beyond </w:t>
      </w:r>
      <w:r>
        <w:rPr>
          <w:sz w:val="20"/>
        </w:rPr>
        <w:t>people with</w:t>
      </w:r>
      <w:r>
        <w:rPr>
          <w:spacing w:val="-32"/>
          <w:sz w:val="20"/>
        </w:rPr>
        <w:t> </w:t>
      </w:r>
      <w:r>
        <w:rPr>
          <w:sz w:val="20"/>
        </w:rPr>
        <w:t>disabilities.</w:t>
      </w:r>
      <w:r>
        <w:rPr>
          <w:position w:val="7"/>
          <w:sz w:val="11"/>
        </w:rPr>
        <w:t>61</w:t>
      </w:r>
    </w:p>
    <w:p>
      <w:pPr>
        <w:pStyle w:val="BodyText"/>
        <w:spacing w:before="12"/>
        <w:rPr>
          <w:sz w:val="16"/>
        </w:rPr>
      </w:pPr>
    </w:p>
    <w:p>
      <w:pPr>
        <w:spacing w:before="1"/>
        <w:ind w:left="967" w:right="0" w:firstLine="0"/>
        <w:jc w:val="left"/>
        <w:rPr>
          <w:rFonts w:ascii="Raleway ExtraBold"/>
          <w:b/>
          <w:sz w:val="28"/>
        </w:rPr>
      </w:pPr>
      <w:r>
        <w:rPr>
          <w:rFonts w:ascii="Raleway ExtraBold"/>
          <w:b/>
          <w:color w:val="37617A"/>
          <w:sz w:val="28"/>
        </w:rPr>
        <w:t>Bringing personal technology to court</w:t>
      </w:r>
    </w:p>
    <w:p>
      <w:pPr>
        <w:pStyle w:val="ListParagraph"/>
        <w:numPr>
          <w:ilvl w:val="1"/>
          <w:numId w:val="12"/>
        </w:numPr>
        <w:tabs>
          <w:tab w:pos="1761" w:val="left" w:leader="none"/>
          <w:tab w:pos="1762" w:val="left" w:leader="none"/>
        </w:tabs>
        <w:spacing w:line="206" w:lineRule="auto" w:before="146" w:after="0"/>
        <w:ind w:left="1761" w:right="1330" w:hanging="794"/>
        <w:jc w:val="left"/>
        <w:rPr>
          <w:sz w:val="20"/>
        </w:rPr>
      </w:pPr>
      <w:r>
        <w:rPr>
          <w:sz w:val="20"/>
        </w:rPr>
        <w:t>Some</w:t>
      </w:r>
      <w:r>
        <w:rPr>
          <w:spacing w:val="-10"/>
          <w:sz w:val="20"/>
        </w:rPr>
        <w:t> </w:t>
      </w:r>
      <w:r>
        <w:rPr>
          <w:sz w:val="20"/>
        </w:rPr>
        <w:t>community</w:t>
      </w:r>
      <w:r>
        <w:rPr>
          <w:spacing w:val="-10"/>
          <w:sz w:val="20"/>
        </w:rPr>
        <w:t> </w:t>
      </w:r>
      <w:r>
        <w:rPr>
          <w:sz w:val="20"/>
        </w:rPr>
        <w:t>members</w:t>
      </w:r>
      <w:r>
        <w:rPr>
          <w:spacing w:val="-9"/>
          <w:sz w:val="20"/>
        </w:rPr>
        <w:t> </w:t>
      </w:r>
      <w:r>
        <w:rPr>
          <w:spacing w:val="-3"/>
          <w:sz w:val="20"/>
        </w:rPr>
        <w:t>told</w:t>
      </w:r>
      <w:r>
        <w:rPr>
          <w:spacing w:val="-10"/>
          <w:sz w:val="20"/>
        </w:rPr>
        <w:t> </w:t>
      </w:r>
      <w:r>
        <w:rPr>
          <w:sz w:val="20"/>
        </w:rPr>
        <w:t>the</w:t>
      </w:r>
      <w:r>
        <w:rPr>
          <w:spacing w:val="-9"/>
          <w:sz w:val="20"/>
        </w:rPr>
        <w:t> </w:t>
      </w:r>
      <w:r>
        <w:rPr>
          <w:sz w:val="20"/>
        </w:rPr>
        <w:t>Commission</w:t>
      </w:r>
      <w:r>
        <w:rPr>
          <w:spacing w:val="-10"/>
          <w:sz w:val="20"/>
        </w:rPr>
        <w:t> </w:t>
      </w:r>
      <w:r>
        <w:rPr>
          <w:sz w:val="20"/>
        </w:rPr>
        <w:t>that</w:t>
      </w:r>
      <w:r>
        <w:rPr>
          <w:spacing w:val="-9"/>
          <w:sz w:val="20"/>
        </w:rPr>
        <w:t> </w:t>
      </w:r>
      <w:r>
        <w:rPr>
          <w:sz w:val="20"/>
        </w:rPr>
        <w:t>it</w:t>
      </w:r>
      <w:r>
        <w:rPr>
          <w:spacing w:val="-10"/>
          <w:sz w:val="20"/>
        </w:rPr>
        <w:t> </w:t>
      </w:r>
      <w:r>
        <w:rPr>
          <w:spacing w:val="-3"/>
          <w:sz w:val="20"/>
        </w:rPr>
        <w:t>would</w:t>
      </w:r>
      <w:r>
        <w:rPr>
          <w:spacing w:val="-9"/>
          <w:sz w:val="20"/>
        </w:rPr>
        <w:t> </w:t>
      </w:r>
      <w:r>
        <w:rPr>
          <w:sz w:val="20"/>
        </w:rPr>
        <w:t>be</w:t>
      </w:r>
      <w:r>
        <w:rPr>
          <w:spacing w:val="-10"/>
          <w:sz w:val="20"/>
        </w:rPr>
        <w:t> </w:t>
      </w:r>
      <w:r>
        <w:rPr>
          <w:sz w:val="20"/>
        </w:rPr>
        <w:t>helpful</w:t>
      </w:r>
      <w:r>
        <w:rPr>
          <w:spacing w:val="-9"/>
          <w:sz w:val="20"/>
        </w:rPr>
        <w:t> </w:t>
      </w:r>
      <w:r>
        <w:rPr>
          <w:sz w:val="20"/>
        </w:rPr>
        <w:t>if</w:t>
      </w:r>
      <w:r>
        <w:rPr>
          <w:spacing w:val="-10"/>
          <w:sz w:val="20"/>
        </w:rPr>
        <w:t> </w:t>
      </w:r>
      <w:r>
        <w:rPr>
          <w:sz w:val="20"/>
        </w:rPr>
        <w:t>they</w:t>
      </w:r>
      <w:r>
        <w:rPr>
          <w:spacing w:val="-10"/>
          <w:sz w:val="20"/>
        </w:rPr>
        <w:t> </w:t>
      </w:r>
      <w:r>
        <w:rPr>
          <w:sz w:val="20"/>
        </w:rPr>
        <w:t>could bring</w:t>
      </w:r>
      <w:r>
        <w:rPr>
          <w:spacing w:val="-6"/>
          <w:sz w:val="20"/>
        </w:rPr>
        <w:t> </w:t>
      </w:r>
      <w:r>
        <w:rPr>
          <w:sz w:val="20"/>
        </w:rPr>
        <w:t>their</w:t>
      </w:r>
      <w:r>
        <w:rPr>
          <w:spacing w:val="-5"/>
          <w:sz w:val="20"/>
        </w:rPr>
        <w:t> </w:t>
      </w:r>
      <w:r>
        <w:rPr>
          <w:spacing w:val="-3"/>
          <w:sz w:val="20"/>
        </w:rPr>
        <w:t>own</w:t>
      </w:r>
      <w:r>
        <w:rPr>
          <w:spacing w:val="-5"/>
          <w:sz w:val="20"/>
        </w:rPr>
        <w:t> </w:t>
      </w:r>
      <w:r>
        <w:rPr>
          <w:sz w:val="20"/>
        </w:rPr>
        <w:t>technology</w:t>
      </w:r>
      <w:r>
        <w:rPr>
          <w:spacing w:val="-6"/>
          <w:sz w:val="20"/>
        </w:rPr>
        <w:t> </w:t>
      </w:r>
      <w:r>
        <w:rPr>
          <w:sz w:val="20"/>
        </w:rPr>
        <w:t>to</w:t>
      </w:r>
      <w:r>
        <w:rPr>
          <w:spacing w:val="-5"/>
          <w:sz w:val="20"/>
        </w:rPr>
        <w:t> </w:t>
      </w:r>
      <w:r>
        <w:rPr>
          <w:sz w:val="20"/>
        </w:rPr>
        <w:t>court.</w:t>
      </w:r>
      <w:r>
        <w:rPr>
          <w:spacing w:val="-5"/>
          <w:sz w:val="20"/>
        </w:rPr>
        <w:t> </w:t>
      </w:r>
      <w:r>
        <w:rPr>
          <w:sz w:val="20"/>
        </w:rPr>
        <w:t>Vision</w:t>
      </w:r>
      <w:r>
        <w:rPr>
          <w:spacing w:val="-5"/>
          <w:sz w:val="20"/>
        </w:rPr>
        <w:t> </w:t>
      </w:r>
      <w:r>
        <w:rPr>
          <w:sz w:val="20"/>
        </w:rPr>
        <w:t>Australia</w:t>
      </w:r>
      <w:r>
        <w:rPr>
          <w:spacing w:val="-6"/>
          <w:sz w:val="20"/>
        </w:rPr>
        <w:t> </w:t>
      </w:r>
      <w:r>
        <w:rPr>
          <w:spacing w:val="-3"/>
          <w:sz w:val="20"/>
        </w:rPr>
        <w:t>told</w:t>
      </w:r>
      <w:r>
        <w:rPr>
          <w:spacing w:val="-5"/>
          <w:sz w:val="20"/>
        </w:rPr>
        <w:t> </w:t>
      </w:r>
      <w:r>
        <w:rPr>
          <w:sz w:val="20"/>
        </w:rPr>
        <w:t>us</w:t>
      </w:r>
      <w:r>
        <w:rPr>
          <w:spacing w:val="-5"/>
          <w:sz w:val="20"/>
        </w:rPr>
        <w:t> </w:t>
      </w:r>
      <w:r>
        <w:rPr>
          <w:sz w:val="20"/>
        </w:rPr>
        <w:t>that:</w:t>
      </w:r>
    </w:p>
    <w:p>
      <w:pPr>
        <w:spacing w:line="247" w:lineRule="exact" w:before="91"/>
        <w:ind w:left="2157" w:right="0" w:firstLine="0"/>
        <w:jc w:val="left"/>
        <w:rPr>
          <w:sz w:val="19"/>
        </w:rPr>
      </w:pPr>
      <w:r>
        <w:rPr>
          <w:sz w:val="19"/>
        </w:rPr>
        <w:t>Because there are many combinations and configurations of technology used</w:t>
      </w:r>
    </w:p>
    <w:p>
      <w:pPr>
        <w:spacing w:line="208" w:lineRule="auto" w:before="12"/>
        <w:ind w:left="2157" w:right="1335" w:firstLine="0"/>
        <w:jc w:val="left"/>
        <w:rPr>
          <w:sz w:val="11"/>
        </w:rPr>
      </w:pPr>
      <w:r>
        <w:rPr>
          <w:sz w:val="19"/>
        </w:rPr>
        <w:t>by people who are blind or have low vision, we think that it will in most cases be preferable for jurors to use their own equipment rather than relying on equipment provided by the court.</w:t>
      </w:r>
      <w:r>
        <w:rPr>
          <w:position w:val="6"/>
          <w:sz w:val="11"/>
        </w:rPr>
        <w:t>62</w:t>
      </w:r>
    </w:p>
    <w:p>
      <w:pPr>
        <w:pStyle w:val="ListParagraph"/>
        <w:numPr>
          <w:ilvl w:val="1"/>
          <w:numId w:val="12"/>
        </w:numPr>
        <w:tabs>
          <w:tab w:pos="1761" w:val="left" w:leader="none"/>
          <w:tab w:pos="1762" w:val="left" w:leader="none"/>
        </w:tabs>
        <w:spacing w:line="206" w:lineRule="auto" w:before="124" w:after="0"/>
        <w:ind w:left="1761" w:right="1265" w:hanging="794"/>
        <w:jc w:val="left"/>
        <w:rPr>
          <w:sz w:val="20"/>
        </w:rPr>
      </w:pPr>
      <w:r>
        <w:rPr>
          <w:sz w:val="20"/>
        </w:rPr>
        <w:t>Vision</w:t>
      </w:r>
      <w:r>
        <w:rPr>
          <w:spacing w:val="-17"/>
          <w:sz w:val="20"/>
        </w:rPr>
        <w:t> </w:t>
      </w:r>
      <w:r>
        <w:rPr>
          <w:sz w:val="20"/>
        </w:rPr>
        <w:t>Australia</w:t>
      </w:r>
      <w:r>
        <w:rPr>
          <w:spacing w:val="-17"/>
          <w:sz w:val="20"/>
        </w:rPr>
        <w:t> </w:t>
      </w:r>
      <w:r>
        <w:rPr>
          <w:sz w:val="20"/>
        </w:rPr>
        <w:t>highlighted</w:t>
      </w:r>
      <w:r>
        <w:rPr>
          <w:spacing w:val="-16"/>
          <w:sz w:val="20"/>
        </w:rPr>
        <w:t> </w:t>
      </w:r>
      <w:r>
        <w:rPr>
          <w:sz w:val="20"/>
        </w:rPr>
        <w:t>that</w:t>
      </w:r>
      <w:r>
        <w:rPr>
          <w:spacing w:val="-17"/>
          <w:sz w:val="20"/>
        </w:rPr>
        <w:t> </w:t>
      </w:r>
      <w:r>
        <w:rPr>
          <w:sz w:val="20"/>
        </w:rPr>
        <w:t>screen-reading</w:t>
      </w:r>
      <w:r>
        <w:rPr>
          <w:spacing w:val="-16"/>
          <w:sz w:val="20"/>
        </w:rPr>
        <w:t> </w:t>
      </w:r>
      <w:r>
        <w:rPr>
          <w:sz w:val="20"/>
        </w:rPr>
        <w:t>programs</w:t>
      </w:r>
      <w:r>
        <w:rPr>
          <w:spacing w:val="-17"/>
          <w:sz w:val="20"/>
        </w:rPr>
        <w:t> </w:t>
      </w:r>
      <w:r>
        <w:rPr>
          <w:spacing w:val="-3"/>
          <w:sz w:val="20"/>
        </w:rPr>
        <w:t>are</w:t>
      </w:r>
      <w:r>
        <w:rPr>
          <w:spacing w:val="-17"/>
          <w:sz w:val="20"/>
        </w:rPr>
        <w:t> </w:t>
      </w:r>
      <w:r>
        <w:rPr>
          <w:sz w:val="20"/>
        </w:rPr>
        <w:t>regularly</w:t>
      </w:r>
      <w:r>
        <w:rPr>
          <w:spacing w:val="-16"/>
          <w:sz w:val="20"/>
        </w:rPr>
        <w:t> </w:t>
      </w:r>
      <w:r>
        <w:rPr>
          <w:sz w:val="20"/>
        </w:rPr>
        <w:t>updated.</w:t>
      </w:r>
      <w:r>
        <w:rPr>
          <w:spacing w:val="-17"/>
          <w:sz w:val="20"/>
        </w:rPr>
        <w:t> </w:t>
      </w:r>
      <w:r>
        <w:rPr>
          <w:sz w:val="20"/>
        </w:rPr>
        <w:t>Users ensure that this is done </w:t>
      </w:r>
      <w:r>
        <w:rPr>
          <w:spacing w:val="-4"/>
          <w:sz w:val="20"/>
        </w:rPr>
        <w:t>regularly, however </w:t>
      </w:r>
      <w:r>
        <w:rPr>
          <w:sz w:val="20"/>
        </w:rPr>
        <w:t>it was suggested that this might be more difficult for the court to do.</w:t>
      </w:r>
      <w:r>
        <w:rPr>
          <w:position w:val="7"/>
          <w:sz w:val="11"/>
        </w:rPr>
        <w:t>63 </w:t>
      </w:r>
      <w:r>
        <w:rPr>
          <w:sz w:val="20"/>
        </w:rPr>
        <w:t>The courts might not be as up to </w:t>
      </w:r>
      <w:r>
        <w:rPr>
          <w:spacing w:val="-3"/>
          <w:sz w:val="20"/>
        </w:rPr>
        <w:t>date </w:t>
      </w:r>
      <w:r>
        <w:rPr>
          <w:sz w:val="20"/>
        </w:rPr>
        <w:t>with technological advancements.</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z w:val="20"/>
        </w:rPr>
        <w:t>Blind </w:t>
      </w:r>
      <w:r>
        <w:rPr>
          <w:spacing w:val="-3"/>
          <w:sz w:val="20"/>
        </w:rPr>
        <w:t>Citizens </w:t>
      </w:r>
      <w:r>
        <w:rPr>
          <w:sz w:val="20"/>
        </w:rPr>
        <w:t>Australia commented</w:t>
      </w:r>
      <w:r>
        <w:rPr>
          <w:spacing w:val="-15"/>
          <w:sz w:val="20"/>
        </w:rPr>
        <w:t> </w:t>
      </w:r>
      <w:r>
        <w:rPr>
          <w:sz w:val="20"/>
        </w:rPr>
        <w:t>that:</w:t>
      </w:r>
    </w:p>
    <w:p>
      <w:pPr>
        <w:spacing w:line="208" w:lineRule="auto" w:before="112"/>
        <w:ind w:left="2157" w:right="1110" w:firstLine="0"/>
        <w:jc w:val="left"/>
        <w:rPr>
          <w:sz w:val="11"/>
        </w:rPr>
      </w:pPr>
      <w:r>
        <w:rPr>
          <w:sz w:val="19"/>
        </w:rPr>
        <w:t>It might be helpful if a juror could bring their own laptop [with the necessary programs on it] and read off that. If that is not possible people might want to bring their own keyboards that they are familiar with. This would mean that it would take less time to get used to technology that was the Court’s.</w:t>
      </w:r>
      <w:r>
        <w:rPr>
          <w:position w:val="6"/>
          <w:sz w:val="11"/>
        </w:rPr>
        <w:t>64</w:t>
      </w:r>
    </w:p>
    <w:p>
      <w:pPr>
        <w:pStyle w:val="ListParagraph"/>
        <w:numPr>
          <w:ilvl w:val="1"/>
          <w:numId w:val="12"/>
        </w:numPr>
        <w:tabs>
          <w:tab w:pos="1761" w:val="left" w:leader="none"/>
          <w:tab w:pos="1762" w:val="left" w:leader="none"/>
        </w:tabs>
        <w:spacing w:line="206" w:lineRule="auto" w:before="125" w:after="0"/>
        <w:ind w:left="1761" w:right="1286" w:hanging="794"/>
        <w:jc w:val="left"/>
        <w:rPr>
          <w:sz w:val="11"/>
        </w:rPr>
      </w:pPr>
      <w:r>
        <w:rPr>
          <w:sz w:val="20"/>
        </w:rPr>
        <w:t>The</w:t>
      </w:r>
      <w:r>
        <w:rPr>
          <w:spacing w:val="-10"/>
          <w:sz w:val="20"/>
        </w:rPr>
        <w:t> </w:t>
      </w:r>
      <w:r>
        <w:rPr>
          <w:spacing w:val="-5"/>
          <w:sz w:val="20"/>
        </w:rPr>
        <w:t>Youth</w:t>
      </w:r>
      <w:r>
        <w:rPr>
          <w:spacing w:val="-10"/>
          <w:sz w:val="20"/>
        </w:rPr>
        <w:t> </w:t>
      </w:r>
      <w:r>
        <w:rPr>
          <w:sz w:val="20"/>
        </w:rPr>
        <w:t>Disability</w:t>
      </w:r>
      <w:r>
        <w:rPr>
          <w:spacing w:val="-10"/>
          <w:sz w:val="20"/>
        </w:rPr>
        <w:t> </w:t>
      </w:r>
      <w:r>
        <w:rPr>
          <w:spacing w:val="-3"/>
          <w:sz w:val="20"/>
        </w:rPr>
        <w:t>Advocacy</w:t>
      </w:r>
      <w:r>
        <w:rPr>
          <w:spacing w:val="-10"/>
          <w:sz w:val="20"/>
        </w:rPr>
        <w:t> </w:t>
      </w:r>
      <w:r>
        <w:rPr>
          <w:sz w:val="20"/>
        </w:rPr>
        <w:t>Service</w:t>
      </w:r>
      <w:r>
        <w:rPr>
          <w:spacing w:val="-9"/>
          <w:sz w:val="20"/>
        </w:rPr>
        <w:t> </w:t>
      </w:r>
      <w:r>
        <w:rPr>
          <w:sz w:val="20"/>
        </w:rPr>
        <w:t>similarly</w:t>
      </w:r>
      <w:r>
        <w:rPr>
          <w:spacing w:val="-10"/>
          <w:sz w:val="20"/>
        </w:rPr>
        <w:t> </w:t>
      </w:r>
      <w:r>
        <w:rPr>
          <w:sz w:val="20"/>
        </w:rPr>
        <w:t>suggested</w:t>
      </w:r>
      <w:r>
        <w:rPr>
          <w:spacing w:val="-10"/>
          <w:sz w:val="20"/>
        </w:rPr>
        <w:t> </w:t>
      </w:r>
      <w:r>
        <w:rPr>
          <w:sz w:val="20"/>
        </w:rPr>
        <w:t>that</w:t>
      </w:r>
      <w:r>
        <w:rPr>
          <w:spacing w:val="-10"/>
          <w:sz w:val="20"/>
        </w:rPr>
        <w:t> </w:t>
      </w:r>
      <w:r>
        <w:rPr>
          <w:sz w:val="20"/>
        </w:rPr>
        <w:t>young</w:t>
      </w:r>
      <w:r>
        <w:rPr>
          <w:spacing w:val="-10"/>
          <w:sz w:val="20"/>
        </w:rPr>
        <w:t> </w:t>
      </w:r>
      <w:r>
        <w:rPr>
          <w:sz w:val="20"/>
        </w:rPr>
        <w:t>people</w:t>
      </w:r>
      <w:r>
        <w:rPr>
          <w:spacing w:val="-9"/>
          <w:sz w:val="20"/>
        </w:rPr>
        <w:t> </w:t>
      </w:r>
      <w:r>
        <w:rPr>
          <w:spacing w:val="-3"/>
          <w:sz w:val="20"/>
        </w:rPr>
        <w:t>from</w:t>
      </w:r>
      <w:r>
        <w:rPr>
          <w:spacing w:val="-10"/>
          <w:sz w:val="20"/>
        </w:rPr>
        <w:t> </w:t>
      </w:r>
      <w:r>
        <w:rPr>
          <w:sz w:val="20"/>
        </w:rPr>
        <w:t>the subject</w:t>
      </w:r>
      <w:r>
        <w:rPr>
          <w:spacing w:val="-9"/>
          <w:sz w:val="20"/>
        </w:rPr>
        <w:t> </w:t>
      </w:r>
      <w:r>
        <w:rPr>
          <w:sz w:val="20"/>
        </w:rPr>
        <w:t>groups</w:t>
      </w:r>
      <w:r>
        <w:rPr>
          <w:spacing w:val="-8"/>
          <w:sz w:val="20"/>
        </w:rPr>
        <w:t> </w:t>
      </w:r>
      <w:r>
        <w:rPr>
          <w:sz w:val="20"/>
        </w:rPr>
        <w:t>should</w:t>
      </w:r>
      <w:r>
        <w:rPr>
          <w:spacing w:val="-8"/>
          <w:sz w:val="20"/>
        </w:rPr>
        <w:t> </w:t>
      </w:r>
      <w:r>
        <w:rPr>
          <w:sz w:val="20"/>
        </w:rPr>
        <w:t>be</w:t>
      </w:r>
      <w:r>
        <w:rPr>
          <w:spacing w:val="-8"/>
          <w:sz w:val="20"/>
        </w:rPr>
        <w:t> </w:t>
      </w:r>
      <w:r>
        <w:rPr>
          <w:spacing w:val="-3"/>
          <w:sz w:val="20"/>
        </w:rPr>
        <w:t>allowed</w:t>
      </w:r>
      <w:r>
        <w:rPr>
          <w:spacing w:val="-8"/>
          <w:sz w:val="20"/>
        </w:rPr>
        <w:t> </w:t>
      </w:r>
      <w:r>
        <w:rPr>
          <w:sz w:val="20"/>
        </w:rPr>
        <w:t>to</w:t>
      </w:r>
      <w:r>
        <w:rPr>
          <w:spacing w:val="-9"/>
          <w:sz w:val="20"/>
        </w:rPr>
        <w:t> </w:t>
      </w:r>
      <w:r>
        <w:rPr>
          <w:sz w:val="20"/>
        </w:rPr>
        <w:t>bring</w:t>
      </w:r>
      <w:r>
        <w:rPr>
          <w:spacing w:val="-8"/>
          <w:sz w:val="20"/>
        </w:rPr>
        <w:t> </w:t>
      </w:r>
      <w:r>
        <w:rPr>
          <w:sz w:val="20"/>
        </w:rPr>
        <w:t>their</w:t>
      </w:r>
      <w:r>
        <w:rPr>
          <w:spacing w:val="-8"/>
          <w:sz w:val="20"/>
        </w:rPr>
        <w:t> </w:t>
      </w:r>
      <w:r>
        <w:rPr>
          <w:spacing w:val="-3"/>
          <w:sz w:val="20"/>
        </w:rPr>
        <w:t>own</w:t>
      </w:r>
      <w:r>
        <w:rPr>
          <w:spacing w:val="-8"/>
          <w:sz w:val="20"/>
        </w:rPr>
        <w:t> </w:t>
      </w:r>
      <w:r>
        <w:rPr>
          <w:sz w:val="20"/>
        </w:rPr>
        <w:t>assistive</w:t>
      </w:r>
      <w:r>
        <w:rPr>
          <w:spacing w:val="-8"/>
          <w:sz w:val="20"/>
        </w:rPr>
        <w:t> </w:t>
      </w:r>
      <w:r>
        <w:rPr>
          <w:sz w:val="20"/>
        </w:rPr>
        <w:t>technology</w:t>
      </w:r>
      <w:r>
        <w:rPr>
          <w:spacing w:val="-8"/>
          <w:sz w:val="20"/>
        </w:rPr>
        <w:t> </w:t>
      </w:r>
      <w:r>
        <w:rPr>
          <w:sz w:val="20"/>
        </w:rPr>
        <w:t>to</w:t>
      </w:r>
      <w:r>
        <w:rPr>
          <w:spacing w:val="-9"/>
          <w:sz w:val="20"/>
        </w:rPr>
        <w:t> </w:t>
      </w:r>
      <w:r>
        <w:rPr>
          <w:sz w:val="20"/>
        </w:rPr>
        <w:t>court.</w:t>
      </w:r>
      <w:r>
        <w:rPr>
          <w:position w:val="7"/>
          <w:sz w:val="11"/>
        </w:rPr>
        <w:t>65</w:t>
      </w:r>
    </w:p>
    <w:p>
      <w:pPr>
        <w:spacing w:before="160"/>
        <w:ind w:left="967" w:right="0" w:firstLine="0"/>
        <w:jc w:val="left"/>
        <w:rPr>
          <w:b/>
          <w:sz w:val="24"/>
        </w:rPr>
      </w:pPr>
      <w:r>
        <w:rPr>
          <w:b/>
          <w:sz w:val="24"/>
        </w:rPr>
        <w:t>The Courts have confidentiality concerns</w:t>
      </w:r>
    </w:p>
    <w:p>
      <w:pPr>
        <w:pStyle w:val="ListParagraph"/>
        <w:numPr>
          <w:ilvl w:val="1"/>
          <w:numId w:val="12"/>
        </w:numPr>
        <w:tabs>
          <w:tab w:pos="1761" w:val="left" w:leader="none"/>
          <w:tab w:pos="1762" w:val="left" w:leader="none"/>
        </w:tabs>
        <w:spacing w:line="206" w:lineRule="auto" w:before="127" w:after="0"/>
        <w:ind w:left="1761" w:right="1461" w:hanging="794"/>
        <w:jc w:val="left"/>
        <w:rPr>
          <w:sz w:val="11"/>
        </w:rPr>
      </w:pPr>
      <w:r>
        <w:rPr>
          <w:sz w:val="20"/>
        </w:rPr>
        <w:t>The</w:t>
      </w:r>
      <w:r>
        <w:rPr>
          <w:spacing w:val="-10"/>
          <w:sz w:val="20"/>
        </w:rPr>
        <w:t> </w:t>
      </w:r>
      <w:r>
        <w:rPr>
          <w:sz w:val="20"/>
        </w:rPr>
        <w:t>Commission</w:t>
      </w:r>
      <w:r>
        <w:rPr>
          <w:spacing w:val="-10"/>
          <w:sz w:val="20"/>
        </w:rPr>
        <w:t> </w:t>
      </w:r>
      <w:r>
        <w:rPr>
          <w:sz w:val="20"/>
        </w:rPr>
        <w:t>understands</w:t>
      </w:r>
      <w:r>
        <w:rPr>
          <w:spacing w:val="-9"/>
          <w:sz w:val="20"/>
        </w:rPr>
        <w:t> </w:t>
      </w:r>
      <w:r>
        <w:rPr>
          <w:sz w:val="20"/>
        </w:rPr>
        <w:t>that</w:t>
      </w:r>
      <w:r>
        <w:rPr>
          <w:spacing w:val="-10"/>
          <w:sz w:val="20"/>
        </w:rPr>
        <w:t> </w:t>
      </w:r>
      <w:r>
        <w:rPr>
          <w:sz w:val="20"/>
        </w:rPr>
        <w:t>it</w:t>
      </w:r>
      <w:r>
        <w:rPr>
          <w:spacing w:val="-9"/>
          <w:sz w:val="20"/>
        </w:rPr>
        <w:t> </w:t>
      </w:r>
      <w:r>
        <w:rPr>
          <w:sz w:val="20"/>
        </w:rPr>
        <w:t>has</w:t>
      </w:r>
      <w:r>
        <w:rPr>
          <w:spacing w:val="-10"/>
          <w:sz w:val="20"/>
        </w:rPr>
        <w:t> </w:t>
      </w:r>
      <w:r>
        <w:rPr>
          <w:sz w:val="20"/>
        </w:rPr>
        <w:t>become</w:t>
      </w:r>
      <w:r>
        <w:rPr>
          <w:spacing w:val="-9"/>
          <w:sz w:val="20"/>
        </w:rPr>
        <w:t> </w:t>
      </w:r>
      <w:r>
        <w:rPr>
          <w:sz w:val="20"/>
        </w:rPr>
        <w:t>much</w:t>
      </w:r>
      <w:r>
        <w:rPr>
          <w:spacing w:val="-10"/>
          <w:sz w:val="20"/>
        </w:rPr>
        <w:t> </w:t>
      </w:r>
      <w:r>
        <w:rPr>
          <w:sz w:val="20"/>
        </w:rPr>
        <w:t>easier</w:t>
      </w:r>
      <w:r>
        <w:rPr>
          <w:spacing w:val="-10"/>
          <w:sz w:val="20"/>
        </w:rPr>
        <w:t> </w:t>
      </w:r>
      <w:r>
        <w:rPr>
          <w:sz w:val="20"/>
        </w:rPr>
        <w:t>for</w:t>
      </w:r>
      <w:r>
        <w:rPr>
          <w:spacing w:val="-9"/>
          <w:sz w:val="20"/>
        </w:rPr>
        <w:t> </w:t>
      </w:r>
      <w:r>
        <w:rPr>
          <w:sz w:val="20"/>
        </w:rPr>
        <w:t>parties</w:t>
      </w:r>
      <w:r>
        <w:rPr>
          <w:spacing w:val="-10"/>
          <w:sz w:val="20"/>
        </w:rPr>
        <w:t> </w:t>
      </w:r>
      <w:r>
        <w:rPr>
          <w:sz w:val="20"/>
        </w:rPr>
        <w:t>to</w:t>
      </w:r>
      <w:r>
        <w:rPr>
          <w:spacing w:val="-9"/>
          <w:sz w:val="20"/>
        </w:rPr>
        <w:t> </w:t>
      </w:r>
      <w:r>
        <w:rPr>
          <w:sz w:val="20"/>
        </w:rPr>
        <w:t>use</w:t>
      </w:r>
      <w:r>
        <w:rPr>
          <w:spacing w:val="-10"/>
          <w:sz w:val="20"/>
        </w:rPr>
        <w:t> </w:t>
      </w:r>
      <w:r>
        <w:rPr>
          <w:sz w:val="20"/>
        </w:rPr>
        <w:t>their </w:t>
      </w:r>
      <w:r>
        <w:rPr>
          <w:spacing w:val="-3"/>
          <w:sz w:val="20"/>
        </w:rPr>
        <w:t>own</w:t>
      </w:r>
      <w:r>
        <w:rPr>
          <w:spacing w:val="-9"/>
          <w:sz w:val="20"/>
        </w:rPr>
        <w:t> </w:t>
      </w:r>
      <w:r>
        <w:rPr>
          <w:sz w:val="20"/>
        </w:rPr>
        <w:t>technology</w:t>
      </w:r>
      <w:r>
        <w:rPr>
          <w:spacing w:val="-8"/>
          <w:sz w:val="20"/>
        </w:rPr>
        <w:t> </w:t>
      </w:r>
      <w:r>
        <w:rPr>
          <w:sz w:val="20"/>
        </w:rPr>
        <w:t>in</w:t>
      </w:r>
      <w:r>
        <w:rPr>
          <w:spacing w:val="-8"/>
          <w:sz w:val="20"/>
        </w:rPr>
        <w:t> </w:t>
      </w:r>
      <w:r>
        <w:rPr>
          <w:sz w:val="20"/>
        </w:rPr>
        <w:t>the</w:t>
      </w:r>
      <w:r>
        <w:rPr>
          <w:spacing w:val="-8"/>
          <w:sz w:val="20"/>
        </w:rPr>
        <w:t> </w:t>
      </w:r>
      <w:r>
        <w:rPr>
          <w:sz w:val="20"/>
        </w:rPr>
        <w:t>court</w:t>
      </w:r>
      <w:r>
        <w:rPr>
          <w:spacing w:val="-9"/>
          <w:sz w:val="20"/>
        </w:rPr>
        <w:t> </w:t>
      </w:r>
      <w:r>
        <w:rPr>
          <w:sz w:val="20"/>
        </w:rPr>
        <w:t>setting</w:t>
      </w:r>
      <w:r>
        <w:rPr>
          <w:spacing w:val="-8"/>
          <w:sz w:val="20"/>
        </w:rPr>
        <w:t> </w:t>
      </w:r>
      <w:r>
        <w:rPr>
          <w:sz w:val="20"/>
        </w:rPr>
        <w:t>than</w:t>
      </w:r>
      <w:r>
        <w:rPr>
          <w:spacing w:val="-8"/>
          <w:sz w:val="20"/>
        </w:rPr>
        <w:t> </w:t>
      </w:r>
      <w:r>
        <w:rPr>
          <w:sz w:val="20"/>
        </w:rPr>
        <w:t>in</w:t>
      </w:r>
      <w:r>
        <w:rPr>
          <w:spacing w:val="-8"/>
          <w:sz w:val="20"/>
        </w:rPr>
        <w:t> </w:t>
      </w:r>
      <w:r>
        <w:rPr>
          <w:spacing w:val="-3"/>
          <w:sz w:val="20"/>
        </w:rPr>
        <w:t>previous</w:t>
      </w:r>
      <w:r>
        <w:rPr>
          <w:spacing w:val="-8"/>
          <w:sz w:val="20"/>
        </w:rPr>
        <w:t> </w:t>
      </w:r>
      <w:r>
        <w:rPr>
          <w:sz w:val="20"/>
        </w:rPr>
        <w:t>years.</w:t>
      </w:r>
      <w:r>
        <w:rPr>
          <w:spacing w:val="-9"/>
          <w:sz w:val="20"/>
        </w:rPr>
        <w:t> </w:t>
      </w:r>
      <w:r>
        <w:rPr>
          <w:sz w:val="20"/>
        </w:rPr>
        <w:t>This</w:t>
      </w:r>
      <w:r>
        <w:rPr>
          <w:spacing w:val="-8"/>
          <w:sz w:val="20"/>
        </w:rPr>
        <w:t> </w:t>
      </w:r>
      <w:r>
        <w:rPr>
          <w:sz w:val="20"/>
        </w:rPr>
        <w:t>has</w:t>
      </w:r>
      <w:r>
        <w:rPr>
          <w:spacing w:val="-8"/>
          <w:sz w:val="20"/>
        </w:rPr>
        <w:t> </w:t>
      </w:r>
      <w:r>
        <w:rPr>
          <w:sz w:val="20"/>
        </w:rPr>
        <w:t>been</w:t>
      </w:r>
      <w:r>
        <w:rPr>
          <w:spacing w:val="-8"/>
          <w:sz w:val="20"/>
        </w:rPr>
        <w:t> </w:t>
      </w:r>
      <w:r>
        <w:rPr>
          <w:spacing w:val="-3"/>
          <w:sz w:val="20"/>
        </w:rPr>
        <w:t>developing </w:t>
      </w:r>
      <w:r>
        <w:rPr>
          <w:sz w:val="20"/>
        </w:rPr>
        <w:t>with </w:t>
      </w:r>
      <w:r>
        <w:rPr>
          <w:spacing w:val="-3"/>
          <w:sz w:val="20"/>
        </w:rPr>
        <w:t>greater </w:t>
      </w:r>
      <w:r>
        <w:rPr>
          <w:sz w:val="20"/>
        </w:rPr>
        <w:t>use of electronic trials. The courts </w:t>
      </w:r>
      <w:r>
        <w:rPr>
          <w:spacing w:val="-4"/>
          <w:sz w:val="20"/>
        </w:rPr>
        <w:t>have </w:t>
      </w:r>
      <w:r>
        <w:rPr>
          <w:sz w:val="20"/>
        </w:rPr>
        <w:t>adapted again during the </w:t>
      </w:r>
      <w:r>
        <w:rPr>
          <w:spacing w:val="-3"/>
          <w:sz w:val="20"/>
        </w:rPr>
        <w:t>coronavirus (COVID-19)</w:t>
      </w:r>
      <w:r>
        <w:rPr>
          <w:spacing w:val="-6"/>
          <w:sz w:val="20"/>
        </w:rPr>
        <w:t> </w:t>
      </w:r>
      <w:r>
        <w:rPr>
          <w:sz w:val="20"/>
        </w:rPr>
        <w:t>lockdowns.</w:t>
      </w:r>
      <w:r>
        <w:rPr>
          <w:position w:val="7"/>
          <w:sz w:val="11"/>
        </w:rPr>
        <w:t>66</w:t>
      </w:r>
    </w:p>
    <w:p>
      <w:pPr>
        <w:pStyle w:val="ListParagraph"/>
        <w:numPr>
          <w:ilvl w:val="1"/>
          <w:numId w:val="12"/>
        </w:numPr>
        <w:tabs>
          <w:tab w:pos="1761" w:val="left" w:leader="none"/>
          <w:tab w:pos="1762" w:val="left" w:leader="none"/>
        </w:tabs>
        <w:spacing w:line="206" w:lineRule="auto" w:before="125" w:after="0"/>
        <w:ind w:left="1761" w:right="1272" w:hanging="794"/>
        <w:jc w:val="left"/>
        <w:rPr>
          <w:sz w:val="11"/>
        </w:rPr>
      </w:pPr>
      <w:r>
        <w:rPr>
          <w:spacing w:val="-5"/>
          <w:sz w:val="20"/>
        </w:rPr>
        <w:t>However, </w:t>
      </w:r>
      <w:r>
        <w:rPr>
          <w:sz w:val="20"/>
        </w:rPr>
        <w:t>confidentiality concerns </w:t>
      </w:r>
      <w:r>
        <w:rPr>
          <w:spacing w:val="-3"/>
          <w:sz w:val="20"/>
        </w:rPr>
        <w:t>may </w:t>
      </w:r>
      <w:r>
        <w:rPr>
          <w:sz w:val="20"/>
        </w:rPr>
        <w:t>arise with technology that can </w:t>
      </w:r>
      <w:r>
        <w:rPr>
          <w:spacing w:val="-3"/>
          <w:sz w:val="20"/>
        </w:rPr>
        <w:t>record </w:t>
      </w:r>
      <w:r>
        <w:rPr>
          <w:sz w:val="20"/>
        </w:rPr>
        <w:t>and play back information. County Court consultees suggested it could be problematic </w:t>
      </w:r>
      <w:r>
        <w:rPr>
          <w:spacing w:val="-3"/>
          <w:sz w:val="20"/>
        </w:rPr>
        <w:t>from </w:t>
      </w:r>
      <w:r>
        <w:rPr>
          <w:sz w:val="20"/>
        </w:rPr>
        <w:t>a confidentiality perspective for people to bring their </w:t>
      </w:r>
      <w:r>
        <w:rPr>
          <w:spacing w:val="-3"/>
          <w:sz w:val="20"/>
        </w:rPr>
        <w:t>own </w:t>
      </w:r>
      <w:r>
        <w:rPr>
          <w:sz w:val="20"/>
        </w:rPr>
        <w:t>support technology to Court. They</w:t>
      </w:r>
      <w:r>
        <w:rPr>
          <w:spacing w:val="-11"/>
          <w:sz w:val="20"/>
        </w:rPr>
        <w:t> </w:t>
      </w:r>
      <w:r>
        <w:rPr>
          <w:sz w:val="20"/>
        </w:rPr>
        <w:t>noted:</w:t>
      </w:r>
      <w:r>
        <w:rPr>
          <w:spacing w:val="-11"/>
          <w:sz w:val="20"/>
        </w:rPr>
        <w:t> </w:t>
      </w:r>
      <w:r>
        <w:rPr>
          <w:sz w:val="20"/>
        </w:rPr>
        <w:t>‘Phones</w:t>
      </w:r>
      <w:r>
        <w:rPr>
          <w:spacing w:val="-10"/>
          <w:sz w:val="20"/>
        </w:rPr>
        <w:t> </w:t>
      </w:r>
      <w:r>
        <w:rPr>
          <w:spacing w:val="-3"/>
          <w:sz w:val="20"/>
        </w:rPr>
        <w:t>are</w:t>
      </w:r>
      <w:r>
        <w:rPr>
          <w:spacing w:val="-11"/>
          <w:sz w:val="20"/>
        </w:rPr>
        <w:t> </w:t>
      </w:r>
      <w:r>
        <w:rPr>
          <w:spacing w:val="-3"/>
          <w:sz w:val="20"/>
        </w:rPr>
        <w:t>removed</w:t>
      </w:r>
      <w:r>
        <w:rPr>
          <w:spacing w:val="-10"/>
          <w:sz w:val="20"/>
        </w:rPr>
        <w:t> </w:t>
      </w:r>
      <w:r>
        <w:rPr>
          <w:spacing w:val="-3"/>
          <w:sz w:val="20"/>
        </w:rPr>
        <w:t>from</w:t>
      </w:r>
      <w:r>
        <w:rPr>
          <w:spacing w:val="-11"/>
          <w:sz w:val="20"/>
        </w:rPr>
        <w:t> </w:t>
      </w:r>
      <w:r>
        <w:rPr>
          <w:sz w:val="20"/>
        </w:rPr>
        <w:t>jurors</w:t>
      </w:r>
      <w:r>
        <w:rPr>
          <w:spacing w:val="-10"/>
          <w:sz w:val="20"/>
        </w:rPr>
        <w:t> </w:t>
      </w:r>
      <w:r>
        <w:rPr>
          <w:sz w:val="20"/>
        </w:rPr>
        <w:t>when</w:t>
      </w:r>
      <w:r>
        <w:rPr>
          <w:spacing w:val="-11"/>
          <w:sz w:val="20"/>
        </w:rPr>
        <w:t> </w:t>
      </w:r>
      <w:r>
        <w:rPr>
          <w:sz w:val="20"/>
        </w:rPr>
        <w:t>they</w:t>
      </w:r>
      <w:r>
        <w:rPr>
          <w:spacing w:val="-11"/>
          <w:sz w:val="20"/>
        </w:rPr>
        <w:t> </w:t>
      </w:r>
      <w:r>
        <w:rPr>
          <w:sz w:val="20"/>
        </w:rPr>
        <w:t>deliberate</w:t>
      </w:r>
      <w:r>
        <w:rPr>
          <w:spacing w:val="-10"/>
          <w:sz w:val="20"/>
        </w:rPr>
        <w:t> </w:t>
      </w:r>
      <w:r>
        <w:rPr>
          <w:sz w:val="20"/>
        </w:rPr>
        <w:t>so</w:t>
      </w:r>
      <w:r>
        <w:rPr>
          <w:spacing w:val="-11"/>
          <w:sz w:val="20"/>
        </w:rPr>
        <w:t> </w:t>
      </w:r>
      <w:r>
        <w:rPr>
          <w:sz w:val="20"/>
        </w:rPr>
        <w:t>that</w:t>
      </w:r>
      <w:r>
        <w:rPr>
          <w:spacing w:val="-10"/>
          <w:sz w:val="20"/>
        </w:rPr>
        <w:t> </w:t>
      </w:r>
      <w:r>
        <w:rPr>
          <w:sz w:val="20"/>
        </w:rPr>
        <w:t>they</w:t>
      </w:r>
      <w:r>
        <w:rPr>
          <w:spacing w:val="-11"/>
          <w:sz w:val="20"/>
        </w:rPr>
        <w:t> </w:t>
      </w:r>
      <w:r>
        <w:rPr>
          <w:sz w:val="20"/>
        </w:rPr>
        <w:t>cannot communicate</w:t>
      </w:r>
      <w:r>
        <w:rPr>
          <w:spacing w:val="-5"/>
          <w:sz w:val="20"/>
        </w:rPr>
        <w:t> </w:t>
      </w:r>
      <w:r>
        <w:rPr>
          <w:spacing w:val="-3"/>
          <w:sz w:val="20"/>
        </w:rPr>
        <w:t>externally’.</w:t>
      </w:r>
      <w:r>
        <w:rPr>
          <w:spacing w:val="-3"/>
          <w:position w:val="7"/>
          <w:sz w:val="11"/>
        </w:rPr>
        <w:t>67</w:t>
      </w:r>
    </w:p>
    <w:p>
      <w:pPr>
        <w:pStyle w:val="BodyText"/>
      </w:pPr>
    </w:p>
    <w:p>
      <w:pPr>
        <w:pStyle w:val="BodyText"/>
      </w:pPr>
    </w:p>
    <w:p>
      <w:pPr>
        <w:pStyle w:val="BodyText"/>
      </w:pPr>
    </w:p>
    <w:p>
      <w:pPr>
        <w:pStyle w:val="BodyText"/>
      </w:pPr>
    </w:p>
    <w:p>
      <w:pPr>
        <w:pStyle w:val="BodyText"/>
      </w:pPr>
    </w:p>
    <w:p>
      <w:pPr>
        <w:pStyle w:val="BodyText"/>
        <w:spacing w:before="3"/>
        <w:rPr>
          <w:sz w:val="22"/>
        </w:rPr>
      </w:pPr>
      <w:r>
        <w:rPr/>
        <w:pict>
          <v:line style="position:absolute;mso-position-horizontal-relative:page;mso-position-vertical-relative:paragraph;z-index:8024;mso-wrap-distance-left:0;mso-wrap-distance-right:0" from="79.370003pt,17.913502pt" to="515.905003pt,17.913502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18"/>
        </w:rPr>
      </w:pPr>
    </w:p>
    <w:p>
      <w:pPr>
        <w:spacing w:before="0"/>
        <w:ind w:left="100" w:right="0" w:firstLine="0"/>
        <w:jc w:val="left"/>
        <w:rPr>
          <w:b/>
          <w:sz w:val="24"/>
        </w:rPr>
      </w:pPr>
      <w:r>
        <w:rPr>
          <w:b/>
          <w:color w:val="37617A"/>
          <w:sz w:val="24"/>
        </w:rPr>
        <w:t>150</w:t>
      </w:r>
    </w:p>
    <w:p>
      <w:pPr>
        <w:pStyle w:val="ListParagraph"/>
        <w:numPr>
          <w:ilvl w:val="0"/>
          <w:numId w:val="96"/>
        </w:numPr>
        <w:tabs>
          <w:tab w:pos="893" w:val="left" w:leader="none"/>
          <w:tab w:pos="894" w:val="left" w:leader="none"/>
        </w:tabs>
        <w:spacing w:line="213" w:lineRule="auto" w:before="38" w:after="0"/>
        <w:ind w:left="893" w:right="1254" w:hanging="793"/>
        <w:jc w:val="left"/>
        <w:rPr>
          <w:sz w:val="13"/>
        </w:rPr>
      </w:pPr>
      <w:r>
        <w:rPr>
          <w:spacing w:val="4"/>
          <w:w w:val="101"/>
          <w:sz w:val="13"/>
        </w:rPr>
        <w:br w:type="column"/>
      </w:r>
      <w:r>
        <w:rPr>
          <w:sz w:val="13"/>
        </w:rPr>
        <w:t>‘Universal design’ is defined in the Victorian State </w:t>
      </w:r>
      <w:r>
        <w:rPr>
          <w:spacing w:val="2"/>
          <w:sz w:val="13"/>
        </w:rPr>
        <w:t>Disability </w:t>
      </w:r>
      <w:r>
        <w:rPr>
          <w:sz w:val="13"/>
        </w:rPr>
        <w:t>Plan as: </w:t>
      </w:r>
      <w:r>
        <w:rPr>
          <w:spacing w:val="2"/>
          <w:sz w:val="13"/>
        </w:rPr>
        <w:t>‘Making </w:t>
      </w:r>
      <w:r>
        <w:rPr>
          <w:sz w:val="13"/>
        </w:rPr>
        <w:t>spaces, </w:t>
      </w:r>
      <w:r>
        <w:rPr>
          <w:spacing w:val="2"/>
          <w:sz w:val="13"/>
        </w:rPr>
        <w:t>policies </w:t>
      </w:r>
      <w:r>
        <w:rPr>
          <w:sz w:val="13"/>
        </w:rPr>
        <w:t>and programs that are inclusive, accessible and can be used independently by all people’. The implementation of ‘universal  design’  is  one  of  six  systemic reforms outlined in the Victorian State </w:t>
      </w:r>
      <w:r>
        <w:rPr>
          <w:spacing w:val="2"/>
          <w:sz w:val="13"/>
        </w:rPr>
        <w:t>Disability </w:t>
      </w:r>
      <w:r>
        <w:rPr>
          <w:sz w:val="13"/>
        </w:rPr>
        <w:t>Plan: </w:t>
      </w:r>
      <w:r>
        <w:rPr>
          <w:spacing w:val="2"/>
          <w:sz w:val="13"/>
        </w:rPr>
        <w:t>Department </w:t>
      </w:r>
      <w:r>
        <w:rPr>
          <w:sz w:val="13"/>
        </w:rPr>
        <w:t>of Families, Fairness and Housing (Vic), </w:t>
      </w:r>
      <w:r>
        <w:rPr>
          <w:i/>
          <w:sz w:val="13"/>
        </w:rPr>
        <w:t>Inclusive Victoria: State </w:t>
      </w:r>
      <w:r>
        <w:rPr>
          <w:i/>
          <w:sz w:val="13"/>
        </w:rPr>
        <w:t>Disability Plan 2022–2026 </w:t>
      </w:r>
      <w:r>
        <w:rPr>
          <w:spacing w:val="2"/>
          <w:sz w:val="13"/>
        </w:rPr>
        <w:t>(Report, </w:t>
      </w:r>
      <w:r>
        <w:rPr>
          <w:sz w:val="13"/>
        </w:rPr>
        <w:t>March 2022) 60, </w:t>
      </w:r>
      <w:r>
        <w:rPr>
          <w:spacing w:val="3"/>
          <w:sz w:val="13"/>
        </w:rPr>
        <w:t>24, </w:t>
      </w:r>
      <w:r>
        <w:rPr>
          <w:spacing w:val="2"/>
          <w:sz w:val="13"/>
        </w:rPr>
        <w:t>29. </w:t>
      </w:r>
      <w:r>
        <w:rPr>
          <w:sz w:val="13"/>
        </w:rPr>
        <w:t>See also: ‘Accessible </w:t>
      </w:r>
      <w:r>
        <w:rPr>
          <w:spacing w:val="2"/>
          <w:sz w:val="13"/>
        </w:rPr>
        <w:t>Communications </w:t>
      </w:r>
      <w:r>
        <w:rPr>
          <w:sz w:val="13"/>
        </w:rPr>
        <w:t>and Universal Design’, </w:t>
      </w:r>
      <w:hyperlink r:id="rId210">
        <w:r>
          <w:rPr>
            <w:i/>
            <w:sz w:val="13"/>
          </w:rPr>
          <w:t>VIC.GOV.</w:t>
        </w:r>
      </w:hyperlink>
      <w:r>
        <w:rPr>
          <w:i/>
          <w:sz w:val="13"/>
        </w:rPr>
        <w:t> </w:t>
      </w:r>
      <w:hyperlink r:id="rId210">
        <w:r>
          <w:rPr>
            <w:i/>
            <w:sz w:val="13"/>
          </w:rPr>
          <w:t> </w:t>
        </w:r>
        <w:r>
          <w:rPr>
            <w:i/>
            <w:sz w:val="13"/>
          </w:rPr>
          <w:t>AU </w:t>
        </w:r>
      </w:hyperlink>
      <w:r>
        <w:rPr>
          <w:sz w:val="13"/>
        </w:rPr>
        <w:t>(Web Page) &lt;</w:t>
      </w:r>
      <w:hyperlink r:id="rId211">
        <w:r>
          <w:rPr>
            <w:sz w:val="13"/>
          </w:rPr>
          <w:t>https://www.vic.gov.au/state-disability-plan/systemic-reform-commitments-actions-and-accountability/</w:t>
        </w:r>
      </w:hyperlink>
      <w:hyperlink r:id="rId211">
        <w:r>
          <w:rPr>
            <w:sz w:val="13"/>
          </w:rPr>
          <w:t> accessible</w:t>
        </w:r>
      </w:hyperlink>
      <w:r>
        <w:rPr>
          <w:sz w:val="13"/>
        </w:rPr>
        <w:t>&gt;.</w:t>
      </w:r>
    </w:p>
    <w:p>
      <w:pPr>
        <w:pStyle w:val="ListParagraph"/>
        <w:numPr>
          <w:ilvl w:val="0"/>
          <w:numId w:val="96"/>
        </w:numPr>
        <w:tabs>
          <w:tab w:pos="893" w:val="left" w:leader="none"/>
          <w:tab w:pos="894" w:val="left" w:leader="none"/>
        </w:tabs>
        <w:spacing w:line="150" w:lineRule="exact" w:before="0" w:after="0"/>
        <w:ind w:left="893" w:right="0" w:hanging="793"/>
        <w:jc w:val="left"/>
        <w:rPr>
          <w:sz w:val="13"/>
        </w:rPr>
      </w:pPr>
      <w:r>
        <w:rPr>
          <w:spacing w:val="2"/>
          <w:sz w:val="13"/>
        </w:rPr>
        <w:t>Submission </w:t>
      </w:r>
      <w:r>
        <w:rPr>
          <w:sz w:val="13"/>
        </w:rPr>
        <w:t>10 </w:t>
      </w:r>
      <w:r>
        <w:rPr>
          <w:spacing w:val="2"/>
          <w:sz w:val="13"/>
        </w:rPr>
        <w:t>(Vision</w:t>
      </w:r>
      <w:r>
        <w:rPr>
          <w:spacing w:val="20"/>
          <w:sz w:val="13"/>
        </w:rPr>
        <w:t> </w:t>
      </w:r>
      <w:r>
        <w:rPr>
          <w:sz w:val="13"/>
        </w:rPr>
        <w:t>Australia).</w:t>
      </w:r>
    </w:p>
    <w:p>
      <w:pPr>
        <w:pStyle w:val="ListParagraph"/>
        <w:numPr>
          <w:ilvl w:val="0"/>
          <w:numId w:val="96"/>
        </w:numPr>
        <w:tabs>
          <w:tab w:pos="893" w:val="left" w:leader="none"/>
          <w:tab w:pos="894" w:val="left" w:leader="none"/>
        </w:tabs>
        <w:spacing w:line="160" w:lineRule="exact" w:before="0" w:after="0"/>
        <w:ind w:left="893" w:right="0" w:hanging="793"/>
        <w:jc w:val="left"/>
        <w:rPr>
          <w:sz w:val="13"/>
        </w:rPr>
      </w:pPr>
      <w:r>
        <w:rPr>
          <w:sz w:val="13"/>
        </w:rPr>
        <w:t>Consultation 7 </w:t>
      </w:r>
      <w:r>
        <w:rPr>
          <w:spacing w:val="2"/>
          <w:sz w:val="13"/>
        </w:rPr>
        <w:t>(Vision </w:t>
      </w:r>
      <w:r>
        <w:rPr>
          <w:spacing w:val="9"/>
          <w:sz w:val="13"/>
        </w:rPr>
        <w:t> </w:t>
      </w:r>
      <w:r>
        <w:rPr>
          <w:sz w:val="13"/>
        </w:rPr>
        <w:t>Australia).</w:t>
      </w:r>
    </w:p>
    <w:p>
      <w:pPr>
        <w:pStyle w:val="ListParagraph"/>
        <w:numPr>
          <w:ilvl w:val="0"/>
          <w:numId w:val="96"/>
        </w:numPr>
        <w:tabs>
          <w:tab w:pos="893" w:val="left" w:leader="none"/>
          <w:tab w:pos="894" w:val="left" w:leader="none"/>
        </w:tabs>
        <w:spacing w:line="160" w:lineRule="exact" w:before="0" w:after="0"/>
        <w:ind w:left="893" w:right="0" w:hanging="793"/>
        <w:jc w:val="left"/>
        <w:rPr>
          <w:sz w:val="13"/>
        </w:rPr>
      </w:pPr>
      <w:r>
        <w:rPr>
          <w:sz w:val="13"/>
        </w:rPr>
        <w:t>Consultation 1 </w:t>
      </w:r>
      <w:r>
        <w:rPr>
          <w:spacing w:val="2"/>
          <w:sz w:val="13"/>
        </w:rPr>
        <w:t>(Blind </w:t>
      </w:r>
      <w:r>
        <w:rPr>
          <w:sz w:val="13"/>
        </w:rPr>
        <w:t>Citizens</w:t>
      </w:r>
      <w:r>
        <w:rPr>
          <w:spacing w:val="-2"/>
          <w:sz w:val="13"/>
        </w:rPr>
        <w:t> </w:t>
      </w:r>
      <w:r>
        <w:rPr>
          <w:sz w:val="13"/>
        </w:rPr>
        <w:t>Australia).</w:t>
      </w:r>
    </w:p>
    <w:p>
      <w:pPr>
        <w:pStyle w:val="ListParagraph"/>
        <w:numPr>
          <w:ilvl w:val="0"/>
          <w:numId w:val="96"/>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3 (Youth </w:t>
      </w:r>
      <w:r>
        <w:rPr>
          <w:spacing w:val="2"/>
          <w:sz w:val="13"/>
        </w:rPr>
        <w:t>Disability </w:t>
      </w:r>
      <w:r>
        <w:rPr>
          <w:sz w:val="13"/>
        </w:rPr>
        <w:t>Advocacy</w:t>
      </w:r>
      <w:r>
        <w:rPr>
          <w:spacing w:val="-4"/>
          <w:sz w:val="13"/>
        </w:rPr>
        <w:t> </w:t>
      </w:r>
      <w:r>
        <w:rPr>
          <w:sz w:val="13"/>
        </w:rPr>
        <w:t>Service).</w:t>
      </w:r>
    </w:p>
    <w:p>
      <w:pPr>
        <w:pStyle w:val="ListParagraph"/>
        <w:numPr>
          <w:ilvl w:val="0"/>
          <w:numId w:val="96"/>
        </w:numPr>
        <w:tabs>
          <w:tab w:pos="893" w:val="left" w:leader="none"/>
          <w:tab w:pos="894" w:val="left" w:leader="none"/>
        </w:tabs>
        <w:spacing w:line="213" w:lineRule="auto" w:before="6" w:after="0"/>
        <w:ind w:left="893" w:right="1292" w:hanging="793"/>
        <w:jc w:val="left"/>
        <w:rPr>
          <w:sz w:val="13"/>
        </w:rPr>
      </w:pPr>
      <w:r>
        <w:rPr>
          <w:spacing w:val="2"/>
          <w:sz w:val="13"/>
        </w:rPr>
        <w:t>‘Virtual </w:t>
      </w:r>
      <w:r>
        <w:rPr>
          <w:sz w:val="13"/>
        </w:rPr>
        <w:t>Hearings and Trials’, </w:t>
      </w:r>
      <w:r>
        <w:rPr>
          <w:i/>
          <w:sz w:val="13"/>
        </w:rPr>
        <w:t>County Court Victoria </w:t>
      </w:r>
      <w:r>
        <w:rPr>
          <w:sz w:val="13"/>
        </w:rPr>
        <w:t>(Web Page, 26 April 2022) &lt;</w:t>
      </w:r>
      <w:hyperlink r:id="rId212">
        <w:r>
          <w:rPr>
            <w:sz w:val="13"/>
          </w:rPr>
          <w:t>https://www.countycourt.vic.gov.au/going-court/</w:t>
        </w:r>
      </w:hyperlink>
      <w:hyperlink r:id="rId212">
        <w:r>
          <w:rPr>
            <w:sz w:val="13"/>
          </w:rPr>
          <w:t> virtual-hearings-and-trials</w:t>
        </w:r>
      </w:hyperlink>
      <w:r>
        <w:rPr>
          <w:sz w:val="13"/>
        </w:rPr>
        <w:t>&gt;.</w:t>
      </w:r>
    </w:p>
    <w:p>
      <w:pPr>
        <w:pStyle w:val="ListParagraph"/>
        <w:numPr>
          <w:ilvl w:val="0"/>
          <w:numId w:val="96"/>
        </w:numPr>
        <w:tabs>
          <w:tab w:pos="893" w:val="left" w:leader="none"/>
          <w:tab w:pos="894" w:val="left" w:leader="none"/>
        </w:tabs>
        <w:spacing w:line="163" w:lineRule="exact" w:before="0" w:after="0"/>
        <w:ind w:left="893" w:right="0" w:hanging="793"/>
        <w:jc w:val="left"/>
        <w:rPr>
          <w:sz w:val="13"/>
        </w:rPr>
      </w:pPr>
      <w:r>
        <w:rPr>
          <w:sz w:val="13"/>
        </w:rPr>
        <w:t>Consultation 9 (Consultation with two Victorian County </w:t>
      </w:r>
      <w:r>
        <w:rPr>
          <w:spacing w:val="2"/>
          <w:sz w:val="13"/>
        </w:rPr>
        <w:t>Court Judges, Court policy </w:t>
      </w:r>
      <w:r>
        <w:rPr>
          <w:sz w:val="13"/>
        </w:rPr>
        <w:t>staff and two</w:t>
      </w:r>
      <w:r>
        <w:rPr>
          <w:spacing w:val="8"/>
          <w:sz w:val="13"/>
        </w:rPr>
        <w:t> </w:t>
      </w:r>
      <w:r>
        <w:rPr>
          <w:sz w:val="13"/>
        </w:rPr>
        <w:t>Associates).</w:t>
      </w:r>
    </w:p>
    <w:p>
      <w:pPr>
        <w:spacing w:after="0" w:line="163" w:lineRule="exact"/>
        <w:jc w:val="left"/>
        <w:rPr>
          <w:sz w:val="13"/>
        </w:rPr>
        <w:sectPr>
          <w:type w:val="continuous"/>
          <w:pgSz w:w="11910" w:h="16840"/>
          <w:pgMar w:top="620" w:bottom="280" w:left="620" w:right="380"/>
          <w:cols w:num="2" w:equalWidth="0">
            <w:col w:w="533" w:space="334"/>
            <w:col w:w="10043"/>
          </w:cols>
        </w:sectPr>
      </w:pPr>
    </w:p>
    <w:p>
      <w:pPr>
        <w:pStyle w:val="BodyText"/>
      </w:pPr>
    </w:p>
    <w:p>
      <w:pPr>
        <w:pStyle w:val="BodyText"/>
      </w:pPr>
    </w:p>
    <w:p>
      <w:pPr>
        <w:pStyle w:val="BodyText"/>
      </w:pPr>
    </w:p>
    <w:p>
      <w:pPr>
        <w:pStyle w:val="BodyText"/>
        <w:spacing w:before="6"/>
        <w:rPr>
          <w:sz w:val="14"/>
        </w:rPr>
      </w:pPr>
    </w:p>
    <w:p>
      <w:pPr>
        <w:pStyle w:val="Heading6"/>
        <w:spacing w:before="53"/>
        <w:rPr>
          <w:b/>
        </w:rPr>
      </w:pPr>
      <w:bookmarkStart w:name="Talking to people in the subject groups " w:id="259"/>
      <w:bookmarkEnd w:id="259"/>
      <w:r>
        <w:rPr/>
      </w:r>
      <w:bookmarkStart w:name="_bookmark109" w:id="260"/>
      <w:bookmarkEnd w:id="260"/>
      <w:r>
        <w:rPr/>
      </w:r>
      <w:r>
        <w:rPr>
          <w:b/>
        </w:rPr>
        <w:t>What happens elsewhere?</w:t>
      </w:r>
    </w:p>
    <w:p>
      <w:pPr>
        <w:pStyle w:val="ListParagraph"/>
        <w:numPr>
          <w:ilvl w:val="1"/>
          <w:numId w:val="12"/>
        </w:numPr>
        <w:tabs>
          <w:tab w:pos="1761" w:val="left" w:leader="none"/>
          <w:tab w:pos="1762" w:val="left" w:leader="none"/>
        </w:tabs>
        <w:spacing w:line="206" w:lineRule="auto" w:before="132" w:after="0"/>
        <w:ind w:left="1761" w:right="1292" w:hanging="794"/>
        <w:jc w:val="left"/>
        <w:rPr>
          <w:sz w:val="11"/>
        </w:rPr>
      </w:pPr>
      <w:r>
        <w:rPr>
          <w:sz w:val="20"/>
        </w:rPr>
        <w:t>In Monroe </w:t>
      </w:r>
      <w:r>
        <w:rPr>
          <w:spacing w:val="-3"/>
          <w:sz w:val="20"/>
        </w:rPr>
        <w:t>County, </w:t>
      </w:r>
      <w:r>
        <w:rPr>
          <w:sz w:val="20"/>
        </w:rPr>
        <w:t>United States, where people with disabilities regularly serve on juries, the Jury Commissioner </w:t>
      </w:r>
      <w:r>
        <w:rPr>
          <w:spacing w:val="-3"/>
          <w:sz w:val="20"/>
        </w:rPr>
        <w:t>provides </w:t>
      </w:r>
      <w:r>
        <w:rPr>
          <w:sz w:val="20"/>
        </w:rPr>
        <w:t>technology for all jurors who </w:t>
      </w:r>
      <w:r>
        <w:rPr>
          <w:spacing w:val="-3"/>
          <w:sz w:val="20"/>
        </w:rPr>
        <w:t>require </w:t>
      </w:r>
      <w:r>
        <w:rPr>
          <w:sz w:val="20"/>
        </w:rPr>
        <w:t>it. Only </w:t>
      </w:r>
      <w:r>
        <w:rPr>
          <w:spacing w:val="-3"/>
          <w:sz w:val="20"/>
        </w:rPr>
        <w:t>court-provided</w:t>
      </w:r>
      <w:r>
        <w:rPr>
          <w:spacing w:val="-12"/>
          <w:sz w:val="20"/>
        </w:rPr>
        <w:t> </w:t>
      </w:r>
      <w:r>
        <w:rPr>
          <w:sz w:val="20"/>
        </w:rPr>
        <w:t>technology</w:t>
      </w:r>
      <w:r>
        <w:rPr>
          <w:spacing w:val="-11"/>
          <w:sz w:val="20"/>
        </w:rPr>
        <w:t> </w:t>
      </w:r>
      <w:r>
        <w:rPr>
          <w:sz w:val="20"/>
        </w:rPr>
        <w:t>can</w:t>
      </w:r>
      <w:r>
        <w:rPr>
          <w:spacing w:val="-12"/>
          <w:sz w:val="20"/>
        </w:rPr>
        <w:t> </w:t>
      </w:r>
      <w:r>
        <w:rPr>
          <w:sz w:val="20"/>
        </w:rPr>
        <w:t>be</w:t>
      </w:r>
      <w:r>
        <w:rPr>
          <w:spacing w:val="-11"/>
          <w:sz w:val="20"/>
        </w:rPr>
        <w:t> </w:t>
      </w:r>
      <w:r>
        <w:rPr>
          <w:sz w:val="20"/>
        </w:rPr>
        <w:t>used</w:t>
      </w:r>
      <w:r>
        <w:rPr>
          <w:spacing w:val="-11"/>
          <w:sz w:val="20"/>
        </w:rPr>
        <w:t> </w:t>
      </w:r>
      <w:r>
        <w:rPr>
          <w:sz w:val="20"/>
        </w:rPr>
        <w:t>for</w:t>
      </w:r>
      <w:r>
        <w:rPr>
          <w:spacing w:val="-12"/>
          <w:sz w:val="20"/>
        </w:rPr>
        <w:t> </w:t>
      </w:r>
      <w:r>
        <w:rPr>
          <w:sz w:val="20"/>
        </w:rPr>
        <w:t>official</w:t>
      </w:r>
      <w:r>
        <w:rPr>
          <w:spacing w:val="-11"/>
          <w:sz w:val="20"/>
        </w:rPr>
        <w:t> </w:t>
      </w:r>
      <w:r>
        <w:rPr>
          <w:sz w:val="20"/>
        </w:rPr>
        <w:t>proceedings.</w:t>
      </w:r>
      <w:r>
        <w:rPr>
          <w:spacing w:val="-11"/>
          <w:sz w:val="20"/>
        </w:rPr>
        <w:t> </w:t>
      </w:r>
      <w:r>
        <w:rPr>
          <w:sz w:val="20"/>
        </w:rPr>
        <w:t>Jurors</w:t>
      </w:r>
      <w:r>
        <w:rPr>
          <w:spacing w:val="-12"/>
          <w:sz w:val="20"/>
        </w:rPr>
        <w:t> </w:t>
      </w:r>
      <w:r>
        <w:rPr>
          <w:spacing w:val="-3"/>
          <w:sz w:val="20"/>
        </w:rPr>
        <w:t>are</w:t>
      </w:r>
      <w:r>
        <w:rPr>
          <w:spacing w:val="-11"/>
          <w:sz w:val="20"/>
        </w:rPr>
        <w:t> </w:t>
      </w:r>
      <w:r>
        <w:rPr>
          <w:sz w:val="20"/>
        </w:rPr>
        <w:t>not</w:t>
      </w:r>
      <w:r>
        <w:rPr>
          <w:spacing w:val="-11"/>
          <w:sz w:val="20"/>
        </w:rPr>
        <w:t> </w:t>
      </w:r>
      <w:r>
        <w:rPr>
          <w:spacing w:val="-3"/>
          <w:sz w:val="20"/>
        </w:rPr>
        <w:t>allowed </w:t>
      </w:r>
      <w:r>
        <w:rPr>
          <w:sz w:val="20"/>
        </w:rPr>
        <w:t>to use phones in the deliberation</w:t>
      </w:r>
      <w:r>
        <w:rPr>
          <w:spacing w:val="-27"/>
          <w:sz w:val="20"/>
        </w:rPr>
        <w:t> </w:t>
      </w:r>
      <w:r>
        <w:rPr>
          <w:sz w:val="20"/>
        </w:rPr>
        <w:t>room.</w:t>
      </w:r>
      <w:r>
        <w:rPr>
          <w:position w:val="7"/>
          <w:sz w:val="11"/>
        </w:rPr>
        <w:t>68</w:t>
      </w:r>
    </w:p>
    <w:p>
      <w:pPr>
        <w:pStyle w:val="Heading6"/>
        <w:rPr>
          <w:b/>
        </w:rPr>
      </w:pPr>
      <w:r>
        <w:rPr>
          <w:b/>
        </w:rPr>
        <w:t>What is the best solution for Victoria?</w:t>
      </w:r>
    </w:p>
    <w:p>
      <w:pPr>
        <w:pStyle w:val="ListParagraph"/>
        <w:numPr>
          <w:ilvl w:val="1"/>
          <w:numId w:val="12"/>
        </w:numPr>
        <w:tabs>
          <w:tab w:pos="1761" w:val="left" w:leader="none"/>
          <w:tab w:pos="1762" w:val="left" w:leader="none"/>
        </w:tabs>
        <w:spacing w:line="206" w:lineRule="auto" w:before="132" w:after="0"/>
        <w:ind w:left="1761" w:right="1290" w:hanging="794"/>
        <w:jc w:val="left"/>
        <w:rPr>
          <w:sz w:val="20"/>
        </w:rPr>
      </w:pPr>
      <w:r>
        <w:rPr>
          <w:sz w:val="20"/>
        </w:rPr>
        <w:t>The</w:t>
      </w:r>
      <w:r>
        <w:rPr>
          <w:spacing w:val="-12"/>
          <w:sz w:val="20"/>
        </w:rPr>
        <w:t> </w:t>
      </w:r>
      <w:r>
        <w:rPr>
          <w:sz w:val="20"/>
        </w:rPr>
        <w:t>Commission’s</w:t>
      </w:r>
      <w:r>
        <w:rPr>
          <w:spacing w:val="-11"/>
          <w:sz w:val="20"/>
        </w:rPr>
        <w:t> </w:t>
      </w:r>
      <w:r>
        <w:rPr>
          <w:sz w:val="20"/>
        </w:rPr>
        <w:t>view</w:t>
      </w:r>
      <w:r>
        <w:rPr>
          <w:spacing w:val="-11"/>
          <w:sz w:val="20"/>
        </w:rPr>
        <w:t> </w:t>
      </w:r>
      <w:r>
        <w:rPr>
          <w:sz w:val="20"/>
        </w:rPr>
        <w:t>is</w:t>
      </w:r>
      <w:r>
        <w:rPr>
          <w:spacing w:val="-11"/>
          <w:sz w:val="20"/>
        </w:rPr>
        <w:t> </w:t>
      </w:r>
      <w:r>
        <w:rPr>
          <w:sz w:val="20"/>
        </w:rPr>
        <w:t>that,</w:t>
      </w:r>
      <w:r>
        <w:rPr>
          <w:spacing w:val="-11"/>
          <w:sz w:val="20"/>
        </w:rPr>
        <w:t> </w:t>
      </w:r>
      <w:r>
        <w:rPr>
          <w:sz w:val="20"/>
        </w:rPr>
        <w:t>in</w:t>
      </w:r>
      <w:r>
        <w:rPr>
          <w:spacing w:val="-11"/>
          <w:sz w:val="20"/>
        </w:rPr>
        <w:t> </w:t>
      </w:r>
      <w:r>
        <w:rPr>
          <w:sz w:val="20"/>
        </w:rPr>
        <w:t>general,</w:t>
      </w:r>
      <w:r>
        <w:rPr>
          <w:spacing w:val="-11"/>
          <w:sz w:val="20"/>
        </w:rPr>
        <w:t> </w:t>
      </w:r>
      <w:r>
        <w:rPr>
          <w:sz w:val="20"/>
        </w:rPr>
        <w:t>Juries</w:t>
      </w:r>
      <w:r>
        <w:rPr>
          <w:spacing w:val="-11"/>
          <w:sz w:val="20"/>
        </w:rPr>
        <w:t> </w:t>
      </w:r>
      <w:r>
        <w:rPr>
          <w:sz w:val="20"/>
        </w:rPr>
        <w:t>Victoria</w:t>
      </w:r>
      <w:r>
        <w:rPr>
          <w:spacing w:val="-11"/>
          <w:sz w:val="20"/>
        </w:rPr>
        <w:t> </w:t>
      </w:r>
      <w:r>
        <w:rPr>
          <w:sz w:val="20"/>
        </w:rPr>
        <w:t>and</w:t>
      </w:r>
      <w:r>
        <w:rPr>
          <w:spacing w:val="-11"/>
          <w:sz w:val="20"/>
        </w:rPr>
        <w:t> </w:t>
      </w:r>
      <w:r>
        <w:rPr>
          <w:sz w:val="20"/>
        </w:rPr>
        <w:t>the</w:t>
      </w:r>
      <w:r>
        <w:rPr>
          <w:spacing w:val="-11"/>
          <w:sz w:val="20"/>
        </w:rPr>
        <w:t> </w:t>
      </w:r>
      <w:r>
        <w:rPr>
          <w:sz w:val="20"/>
        </w:rPr>
        <w:t>courts</w:t>
      </w:r>
      <w:r>
        <w:rPr>
          <w:spacing w:val="-11"/>
          <w:sz w:val="20"/>
        </w:rPr>
        <w:t> </w:t>
      </w:r>
      <w:r>
        <w:rPr>
          <w:sz w:val="20"/>
        </w:rPr>
        <w:t>should</w:t>
      </w:r>
      <w:r>
        <w:rPr>
          <w:spacing w:val="-11"/>
          <w:sz w:val="20"/>
        </w:rPr>
        <w:t> </w:t>
      </w:r>
      <w:r>
        <w:rPr>
          <w:spacing w:val="-3"/>
          <w:sz w:val="20"/>
        </w:rPr>
        <w:t>provide </w:t>
      </w:r>
      <w:r>
        <w:rPr>
          <w:sz w:val="20"/>
        </w:rPr>
        <w:t>the technological adjustments to enable people in the subject groups to serve as jurors. </w:t>
      </w:r>
      <w:r>
        <w:rPr>
          <w:spacing w:val="-5"/>
          <w:sz w:val="20"/>
        </w:rPr>
        <w:t>However, </w:t>
      </w:r>
      <w:r>
        <w:rPr>
          <w:sz w:val="20"/>
        </w:rPr>
        <w:t>some </w:t>
      </w:r>
      <w:r>
        <w:rPr>
          <w:spacing w:val="-3"/>
          <w:sz w:val="20"/>
        </w:rPr>
        <w:t>exceptions may </w:t>
      </w:r>
      <w:r>
        <w:rPr>
          <w:spacing w:val="-5"/>
          <w:sz w:val="20"/>
        </w:rPr>
        <w:t>apply, </w:t>
      </w:r>
      <w:r>
        <w:rPr>
          <w:sz w:val="20"/>
        </w:rPr>
        <w:t>depending on the type of </w:t>
      </w:r>
      <w:r>
        <w:rPr>
          <w:spacing w:val="-3"/>
          <w:sz w:val="20"/>
        </w:rPr>
        <w:t>technology. For</w:t>
      </w:r>
      <w:r>
        <w:rPr>
          <w:spacing w:val="-11"/>
          <w:sz w:val="20"/>
        </w:rPr>
        <w:t> </w:t>
      </w:r>
      <w:r>
        <w:rPr>
          <w:spacing w:val="-3"/>
          <w:sz w:val="20"/>
        </w:rPr>
        <w:t>example,</w:t>
      </w:r>
      <w:r>
        <w:rPr>
          <w:spacing w:val="-10"/>
          <w:sz w:val="20"/>
        </w:rPr>
        <w:t> </w:t>
      </w:r>
      <w:r>
        <w:rPr>
          <w:sz w:val="20"/>
        </w:rPr>
        <w:t>a</w:t>
      </w:r>
      <w:r>
        <w:rPr>
          <w:spacing w:val="-10"/>
          <w:sz w:val="20"/>
        </w:rPr>
        <w:t> </w:t>
      </w:r>
      <w:r>
        <w:rPr>
          <w:sz w:val="20"/>
        </w:rPr>
        <w:t>physical</w:t>
      </w:r>
      <w:r>
        <w:rPr>
          <w:spacing w:val="-11"/>
          <w:sz w:val="20"/>
        </w:rPr>
        <w:t> </w:t>
      </w:r>
      <w:r>
        <w:rPr>
          <w:sz w:val="20"/>
        </w:rPr>
        <w:t>tool</w:t>
      </w:r>
      <w:r>
        <w:rPr>
          <w:spacing w:val="-10"/>
          <w:sz w:val="20"/>
        </w:rPr>
        <w:t> </w:t>
      </w:r>
      <w:r>
        <w:rPr>
          <w:sz w:val="20"/>
        </w:rPr>
        <w:t>like</w:t>
      </w:r>
      <w:r>
        <w:rPr>
          <w:spacing w:val="-10"/>
          <w:sz w:val="20"/>
        </w:rPr>
        <w:t> </w:t>
      </w:r>
      <w:r>
        <w:rPr>
          <w:sz w:val="20"/>
        </w:rPr>
        <w:t>a</w:t>
      </w:r>
      <w:r>
        <w:rPr>
          <w:spacing w:val="-10"/>
          <w:sz w:val="20"/>
        </w:rPr>
        <w:t> </w:t>
      </w:r>
      <w:r>
        <w:rPr>
          <w:sz w:val="20"/>
        </w:rPr>
        <w:t>Braille</w:t>
      </w:r>
      <w:r>
        <w:rPr>
          <w:spacing w:val="-11"/>
          <w:sz w:val="20"/>
        </w:rPr>
        <w:t> </w:t>
      </w:r>
      <w:r>
        <w:rPr>
          <w:sz w:val="20"/>
        </w:rPr>
        <w:t>note</w:t>
      </w:r>
      <w:r>
        <w:rPr>
          <w:spacing w:val="-10"/>
          <w:sz w:val="20"/>
        </w:rPr>
        <w:t> </w:t>
      </w:r>
      <w:r>
        <w:rPr>
          <w:spacing w:val="-4"/>
          <w:sz w:val="20"/>
        </w:rPr>
        <w:t>taker,</w:t>
      </w:r>
      <w:r>
        <w:rPr>
          <w:spacing w:val="-10"/>
          <w:sz w:val="20"/>
        </w:rPr>
        <w:t> </w:t>
      </w:r>
      <w:r>
        <w:rPr>
          <w:sz w:val="20"/>
        </w:rPr>
        <w:t>Braille</w:t>
      </w:r>
      <w:r>
        <w:rPr>
          <w:spacing w:val="-10"/>
          <w:sz w:val="20"/>
        </w:rPr>
        <w:t> </w:t>
      </w:r>
      <w:r>
        <w:rPr>
          <w:spacing w:val="-3"/>
          <w:sz w:val="20"/>
        </w:rPr>
        <w:t>keyboard</w:t>
      </w:r>
      <w:r>
        <w:rPr>
          <w:spacing w:val="-11"/>
          <w:sz w:val="20"/>
        </w:rPr>
        <w:t> </w:t>
      </w:r>
      <w:r>
        <w:rPr>
          <w:sz w:val="20"/>
        </w:rPr>
        <w:t>or</w:t>
      </w:r>
      <w:r>
        <w:rPr>
          <w:spacing w:val="-10"/>
          <w:sz w:val="20"/>
        </w:rPr>
        <w:t> </w:t>
      </w:r>
      <w:r>
        <w:rPr>
          <w:sz w:val="20"/>
        </w:rPr>
        <w:t>other</w:t>
      </w:r>
      <w:r>
        <w:rPr>
          <w:spacing w:val="-10"/>
          <w:sz w:val="20"/>
        </w:rPr>
        <w:t> </w:t>
      </w:r>
      <w:r>
        <w:rPr>
          <w:sz w:val="20"/>
        </w:rPr>
        <w:t>modified </w:t>
      </w:r>
      <w:r>
        <w:rPr>
          <w:spacing w:val="-3"/>
          <w:sz w:val="20"/>
        </w:rPr>
        <w:t>keyboard</w:t>
      </w:r>
      <w:r>
        <w:rPr>
          <w:spacing w:val="-9"/>
          <w:sz w:val="20"/>
        </w:rPr>
        <w:t> </w:t>
      </w:r>
      <w:r>
        <w:rPr>
          <w:sz w:val="20"/>
        </w:rPr>
        <w:t>could</w:t>
      </w:r>
      <w:r>
        <w:rPr>
          <w:spacing w:val="-9"/>
          <w:sz w:val="20"/>
        </w:rPr>
        <w:t> </w:t>
      </w:r>
      <w:r>
        <w:rPr>
          <w:sz w:val="20"/>
        </w:rPr>
        <w:t>be</w:t>
      </w:r>
      <w:r>
        <w:rPr>
          <w:spacing w:val="-8"/>
          <w:sz w:val="20"/>
        </w:rPr>
        <w:t> </w:t>
      </w:r>
      <w:r>
        <w:rPr>
          <w:sz w:val="20"/>
        </w:rPr>
        <w:t>brought</w:t>
      </w:r>
      <w:r>
        <w:rPr>
          <w:spacing w:val="-9"/>
          <w:sz w:val="20"/>
        </w:rPr>
        <w:t> </w:t>
      </w:r>
      <w:r>
        <w:rPr>
          <w:spacing w:val="-3"/>
          <w:sz w:val="20"/>
        </w:rPr>
        <w:t>by</w:t>
      </w:r>
      <w:r>
        <w:rPr>
          <w:spacing w:val="-8"/>
          <w:sz w:val="20"/>
        </w:rPr>
        <w:t> </w:t>
      </w:r>
      <w:r>
        <w:rPr>
          <w:sz w:val="20"/>
        </w:rPr>
        <w:t>an</w:t>
      </w:r>
      <w:r>
        <w:rPr>
          <w:spacing w:val="-9"/>
          <w:sz w:val="20"/>
        </w:rPr>
        <w:t> </w:t>
      </w:r>
      <w:r>
        <w:rPr>
          <w:sz w:val="20"/>
        </w:rPr>
        <w:t>individual</w:t>
      </w:r>
      <w:r>
        <w:rPr>
          <w:spacing w:val="-8"/>
          <w:sz w:val="20"/>
        </w:rPr>
        <w:t> </w:t>
      </w:r>
      <w:r>
        <w:rPr>
          <w:sz w:val="20"/>
        </w:rPr>
        <w:t>juror</w:t>
      </w:r>
      <w:r>
        <w:rPr>
          <w:spacing w:val="-9"/>
          <w:sz w:val="20"/>
        </w:rPr>
        <w:t> </w:t>
      </w:r>
      <w:r>
        <w:rPr>
          <w:sz w:val="20"/>
        </w:rPr>
        <w:t>with</w:t>
      </w:r>
      <w:r>
        <w:rPr>
          <w:spacing w:val="-9"/>
          <w:sz w:val="20"/>
        </w:rPr>
        <w:t> </w:t>
      </w:r>
      <w:r>
        <w:rPr>
          <w:sz w:val="20"/>
        </w:rPr>
        <w:t>the</w:t>
      </w:r>
      <w:r>
        <w:rPr>
          <w:spacing w:val="-8"/>
          <w:sz w:val="20"/>
        </w:rPr>
        <w:t> </w:t>
      </w:r>
      <w:r>
        <w:rPr>
          <w:spacing w:val="-3"/>
          <w:sz w:val="20"/>
        </w:rPr>
        <w:t>approval</w:t>
      </w:r>
      <w:r>
        <w:rPr>
          <w:spacing w:val="-9"/>
          <w:sz w:val="20"/>
        </w:rPr>
        <w:t> </w:t>
      </w:r>
      <w:r>
        <w:rPr>
          <w:sz w:val="20"/>
        </w:rPr>
        <w:t>of</w:t>
      </w:r>
      <w:r>
        <w:rPr>
          <w:spacing w:val="-8"/>
          <w:sz w:val="20"/>
        </w:rPr>
        <w:t> </w:t>
      </w:r>
      <w:r>
        <w:rPr>
          <w:sz w:val="20"/>
        </w:rPr>
        <w:t>the</w:t>
      </w:r>
      <w:r>
        <w:rPr>
          <w:spacing w:val="-9"/>
          <w:sz w:val="20"/>
        </w:rPr>
        <w:t> </w:t>
      </w:r>
      <w:r>
        <w:rPr>
          <w:sz w:val="20"/>
        </w:rPr>
        <w:t>trial</w:t>
      </w:r>
      <w:r>
        <w:rPr>
          <w:spacing w:val="-8"/>
          <w:sz w:val="20"/>
        </w:rPr>
        <w:t> </w:t>
      </w:r>
      <w:r>
        <w:rPr>
          <w:sz w:val="20"/>
        </w:rPr>
        <w:t>judge.</w:t>
      </w:r>
    </w:p>
    <w:p>
      <w:pPr>
        <w:pStyle w:val="ListParagraph"/>
        <w:numPr>
          <w:ilvl w:val="1"/>
          <w:numId w:val="12"/>
        </w:numPr>
        <w:tabs>
          <w:tab w:pos="1762" w:val="left" w:leader="none"/>
        </w:tabs>
        <w:spacing w:line="206" w:lineRule="auto" w:before="126" w:after="0"/>
        <w:ind w:left="1761" w:right="1462" w:hanging="794"/>
        <w:jc w:val="both"/>
        <w:rPr>
          <w:sz w:val="20"/>
        </w:rPr>
      </w:pPr>
      <w:r>
        <w:rPr>
          <w:sz w:val="20"/>
        </w:rPr>
        <w:t>Juries</w:t>
      </w:r>
      <w:r>
        <w:rPr>
          <w:spacing w:val="-14"/>
          <w:sz w:val="20"/>
        </w:rPr>
        <w:t> </w:t>
      </w:r>
      <w:r>
        <w:rPr>
          <w:sz w:val="20"/>
        </w:rPr>
        <w:t>Victoria</w:t>
      </w:r>
      <w:r>
        <w:rPr>
          <w:spacing w:val="-13"/>
          <w:sz w:val="20"/>
        </w:rPr>
        <w:t> </w:t>
      </w:r>
      <w:r>
        <w:rPr>
          <w:sz w:val="20"/>
        </w:rPr>
        <w:t>should</w:t>
      </w:r>
      <w:r>
        <w:rPr>
          <w:spacing w:val="-13"/>
          <w:sz w:val="20"/>
        </w:rPr>
        <w:t> </w:t>
      </w:r>
      <w:r>
        <w:rPr>
          <w:sz w:val="20"/>
        </w:rPr>
        <w:t>discuss</w:t>
      </w:r>
      <w:r>
        <w:rPr>
          <w:spacing w:val="-14"/>
          <w:sz w:val="20"/>
        </w:rPr>
        <w:t> </w:t>
      </w:r>
      <w:r>
        <w:rPr>
          <w:sz w:val="20"/>
        </w:rPr>
        <w:t>technology</w:t>
      </w:r>
      <w:r>
        <w:rPr>
          <w:spacing w:val="-13"/>
          <w:sz w:val="20"/>
        </w:rPr>
        <w:t> </w:t>
      </w:r>
      <w:r>
        <w:rPr>
          <w:sz w:val="20"/>
        </w:rPr>
        <w:t>with</w:t>
      </w:r>
      <w:r>
        <w:rPr>
          <w:spacing w:val="-13"/>
          <w:sz w:val="20"/>
        </w:rPr>
        <w:t> </w:t>
      </w:r>
      <w:r>
        <w:rPr>
          <w:sz w:val="20"/>
        </w:rPr>
        <w:t>the</w:t>
      </w:r>
      <w:r>
        <w:rPr>
          <w:spacing w:val="-14"/>
          <w:sz w:val="20"/>
        </w:rPr>
        <w:t> </w:t>
      </w:r>
      <w:r>
        <w:rPr>
          <w:sz w:val="20"/>
        </w:rPr>
        <w:t>potential</w:t>
      </w:r>
      <w:r>
        <w:rPr>
          <w:spacing w:val="-13"/>
          <w:sz w:val="20"/>
        </w:rPr>
        <w:t> </w:t>
      </w:r>
      <w:r>
        <w:rPr>
          <w:sz w:val="20"/>
        </w:rPr>
        <w:t>juror</w:t>
      </w:r>
      <w:r>
        <w:rPr>
          <w:spacing w:val="-13"/>
          <w:sz w:val="20"/>
        </w:rPr>
        <w:t> </w:t>
      </w:r>
      <w:r>
        <w:rPr>
          <w:sz w:val="20"/>
        </w:rPr>
        <w:t>to</w:t>
      </w:r>
      <w:r>
        <w:rPr>
          <w:spacing w:val="-14"/>
          <w:sz w:val="20"/>
        </w:rPr>
        <w:t> </w:t>
      </w:r>
      <w:r>
        <w:rPr>
          <w:sz w:val="20"/>
        </w:rPr>
        <w:t>ensure</w:t>
      </w:r>
      <w:r>
        <w:rPr>
          <w:spacing w:val="-13"/>
          <w:sz w:val="20"/>
        </w:rPr>
        <w:t> </w:t>
      </w:r>
      <w:r>
        <w:rPr>
          <w:sz w:val="20"/>
        </w:rPr>
        <w:t>that</w:t>
      </w:r>
      <w:r>
        <w:rPr>
          <w:spacing w:val="-13"/>
          <w:sz w:val="20"/>
        </w:rPr>
        <w:t> </w:t>
      </w:r>
      <w:r>
        <w:rPr>
          <w:sz w:val="20"/>
        </w:rPr>
        <w:t>it</w:t>
      </w:r>
      <w:r>
        <w:rPr>
          <w:spacing w:val="-14"/>
          <w:sz w:val="20"/>
        </w:rPr>
        <w:t> </w:t>
      </w:r>
      <w:r>
        <w:rPr>
          <w:sz w:val="20"/>
        </w:rPr>
        <w:t>can be</w:t>
      </w:r>
      <w:r>
        <w:rPr>
          <w:spacing w:val="-12"/>
          <w:sz w:val="20"/>
        </w:rPr>
        <w:t> </w:t>
      </w:r>
      <w:r>
        <w:rPr>
          <w:sz w:val="20"/>
        </w:rPr>
        <w:t>set</w:t>
      </w:r>
      <w:r>
        <w:rPr>
          <w:spacing w:val="-11"/>
          <w:sz w:val="20"/>
        </w:rPr>
        <w:t> </w:t>
      </w:r>
      <w:r>
        <w:rPr>
          <w:sz w:val="20"/>
        </w:rPr>
        <w:t>up</w:t>
      </w:r>
      <w:r>
        <w:rPr>
          <w:spacing w:val="-11"/>
          <w:sz w:val="20"/>
        </w:rPr>
        <w:t> </w:t>
      </w:r>
      <w:r>
        <w:rPr>
          <w:sz w:val="20"/>
        </w:rPr>
        <w:t>to</w:t>
      </w:r>
      <w:r>
        <w:rPr>
          <w:spacing w:val="-12"/>
          <w:sz w:val="20"/>
        </w:rPr>
        <w:t> </w:t>
      </w:r>
      <w:r>
        <w:rPr>
          <w:sz w:val="20"/>
        </w:rPr>
        <w:t>accommodate</w:t>
      </w:r>
      <w:r>
        <w:rPr>
          <w:spacing w:val="-11"/>
          <w:sz w:val="20"/>
        </w:rPr>
        <w:t> </w:t>
      </w:r>
      <w:r>
        <w:rPr>
          <w:sz w:val="20"/>
        </w:rPr>
        <w:t>their</w:t>
      </w:r>
      <w:r>
        <w:rPr>
          <w:spacing w:val="-11"/>
          <w:sz w:val="20"/>
        </w:rPr>
        <w:t> </w:t>
      </w:r>
      <w:r>
        <w:rPr>
          <w:sz w:val="20"/>
        </w:rPr>
        <w:t>individual</w:t>
      </w:r>
      <w:r>
        <w:rPr>
          <w:spacing w:val="-12"/>
          <w:sz w:val="20"/>
        </w:rPr>
        <w:t> </w:t>
      </w:r>
      <w:r>
        <w:rPr>
          <w:sz w:val="20"/>
        </w:rPr>
        <w:t>needs.</w:t>
      </w:r>
      <w:r>
        <w:rPr>
          <w:spacing w:val="-11"/>
          <w:sz w:val="20"/>
        </w:rPr>
        <w:t> </w:t>
      </w:r>
      <w:r>
        <w:rPr>
          <w:sz w:val="20"/>
        </w:rPr>
        <w:t>Juries</w:t>
      </w:r>
      <w:r>
        <w:rPr>
          <w:spacing w:val="-11"/>
          <w:sz w:val="20"/>
        </w:rPr>
        <w:t> </w:t>
      </w:r>
      <w:r>
        <w:rPr>
          <w:sz w:val="20"/>
        </w:rPr>
        <w:t>Victoria</w:t>
      </w:r>
      <w:r>
        <w:rPr>
          <w:spacing w:val="-12"/>
          <w:sz w:val="20"/>
        </w:rPr>
        <w:t> </w:t>
      </w:r>
      <w:r>
        <w:rPr>
          <w:sz w:val="20"/>
        </w:rPr>
        <w:t>should</w:t>
      </w:r>
      <w:r>
        <w:rPr>
          <w:spacing w:val="-11"/>
          <w:sz w:val="20"/>
        </w:rPr>
        <w:t> </w:t>
      </w:r>
      <w:r>
        <w:rPr>
          <w:sz w:val="20"/>
        </w:rPr>
        <w:t>liaise</w:t>
      </w:r>
      <w:r>
        <w:rPr>
          <w:spacing w:val="-11"/>
          <w:sz w:val="20"/>
        </w:rPr>
        <w:t> </w:t>
      </w:r>
      <w:r>
        <w:rPr>
          <w:sz w:val="20"/>
        </w:rPr>
        <w:t>with</w:t>
      </w:r>
      <w:r>
        <w:rPr>
          <w:spacing w:val="-12"/>
          <w:sz w:val="20"/>
        </w:rPr>
        <w:t> </w:t>
      </w:r>
      <w:r>
        <w:rPr>
          <w:sz w:val="20"/>
        </w:rPr>
        <w:t>In Court</w:t>
      </w:r>
      <w:r>
        <w:rPr>
          <w:spacing w:val="-7"/>
          <w:sz w:val="20"/>
        </w:rPr>
        <w:t> </w:t>
      </w:r>
      <w:r>
        <w:rPr>
          <w:spacing w:val="-4"/>
          <w:sz w:val="20"/>
        </w:rPr>
        <w:t>Technology</w:t>
      </w:r>
      <w:r>
        <w:rPr>
          <w:spacing w:val="-7"/>
          <w:sz w:val="20"/>
        </w:rPr>
        <w:t> </w:t>
      </w:r>
      <w:r>
        <w:rPr>
          <w:sz w:val="20"/>
        </w:rPr>
        <w:t>(ICT)</w:t>
      </w:r>
      <w:r>
        <w:rPr>
          <w:spacing w:val="-7"/>
          <w:sz w:val="20"/>
        </w:rPr>
        <w:t> </w:t>
      </w:r>
      <w:r>
        <w:rPr>
          <w:sz w:val="20"/>
        </w:rPr>
        <w:t>to</w:t>
      </w:r>
      <w:r>
        <w:rPr>
          <w:spacing w:val="-7"/>
          <w:sz w:val="20"/>
        </w:rPr>
        <w:t> </w:t>
      </w:r>
      <w:r>
        <w:rPr>
          <w:sz w:val="20"/>
        </w:rPr>
        <w:t>see</w:t>
      </w:r>
      <w:r>
        <w:rPr>
          <w:spacing w:val="-7"/>
          <w:sz w:val="20"/>
        </w:rPr>
        <w:t> </w:t>
      </w:r>
      <w:r>
        <w:rPr>
          <w:sz w:val="20"/>
        </w:rPr>
        <w:t>what</w:t>
      </w:r>
      <w:r>
        <w:rPr>
          <w:spacing w:val="-7"/>
          <w:sz w:val="20"/>
        </w:rPr>
        <w:t> </w:t>
      </w:r>
      <w:r>
        <w:rPr>
          <w:sz w:val="20"/>
        </w:rPr>
        <w:t>is</w:t>
      </w:r>
      <w:r>
        <w:rPr>
          <w:spacing w:val="-7"/>
          <w:sz w:val="20"/>
        </w:rPr>
        <w:t> </w:t>
      </w:r>
      <w:r>
        <w:rPr>
          <w:sz w:val="20"/>
        </w:rPr>
        <w:t>possible.</w:t>
      </w:r>
      <w:r>
        <w:rPr>
          <w:spacing w:val="-6"/>
          <w:sz w:val="20"/>
        </w:rPr>
        <w:t> </w:t>
      </w:r>
      <w:r>
        <w:rPr>
          <w:spacing w:val="-3"/>
          <w:sz w:val="20"/>
        </w:rPr>
        <w:t>Further,</w:t>
      </w:r>
      <w:r>
        <w:rPr>
          <w:spacing w:val="-7"/>
          <w:sz w:val="20"/>
        </w:rPr>
        <w:t> </w:t>
      </w:r>
      <w:r>
        <w:rPr>
          <w:sz w:val="20"/>
        </w:rPr>
        <w:t>as</w:t>
      </w:r>
      <w:r>
        <w:rPr>
          <w:spacing w:val="-7"/>
          <w:sz w:val="20"/>
        </w:rPr>
        <w:t> </w:t>
      </w:r>
      <w:r>
        <w:rPr>
          <w:sz w:val="20"/>
        </w:rPr>
        <w:t>one</w:t>
      </w:r>
      <w:r>
        <w:rPr>
          <w:spacing w:val="-7"/>
          <w:sz w:val="20"/>
        </w:rPr>
        <w:t> </w:t>
      </w:r>
      <w:r>
        <w:rPr>
          <w:sz w:val="20"/>
        </w:rPr>
        <w:t>submission</w:t>
      </w:r>
      <w:r>
        <w:rPr>
          <w:spacing w:val="-7"/>
          <w:sz w:val="20"/>
        </w:rPr>
        <w:t> </w:t>
      </w:r>
      <w:r>
        <w:rPr>
          <w:sz w:val="20"/>
        </w:rPr>
        <w:t>noted:</w:t>
      </w:r>
    </w:p>
    <w:p>
      <w:pPr>
        <w:spacing w:line="208" w:lineRule="auto" w:before="121"/>
        <w:ind w:left="2157" w:right="1302" w:firstLine="0"/>
        <w:jc w:val="both"/>
        <w:rPr>
          <w:sz w:val="11"/>
        </w:rPr>
      </w:pPr>
      <w:r>
        <w:rPr>
          <w:sz w:val="19"/>
        </w:rPr>
        <w:t>If the court provides adaptive technology for use during the trial then the juror needs time</w:t>
      </w:r>
      <w:r>
        <w:rPr>
          <w:spacing w:val="-5"/>
          <w:sz w:val="19"/>
        </w:rPr>
        <w:t> </w:t>
      </w:r>
      <w:r>
        <w:rPr>
          <w:sz w:val="19"/>
        </w:rPr>
        <w:t>prior</w:t>
      </w:r>
      <w:r>
        <w:rPr>
          <w:spacing w:val="-4"/>
          <w:sz w:val="19"/>
        </w:rPr>
        <w:t> </w:t>
      </w:r>
      <w:r>
        <w:rPr>
          <w:sz w:val="19"/>
        </w:rPr>
        <w:t>to</w:t>
      </w:r>
      <w:r>
        <w:rPr>
          <w:spacing w:val="-4"/>
          <w:sz w:val="19"/>
        </w:rPr>
        <w:t> </w:t>
      </w:r>
      <w:r>
        <w:rPr>
          <w:sz w:val="19"/>
        </w:rPr>
        <w:t>the</w:t>
      </w:r>
      <w:r>
        <w:rPr>
          <w:spacing w:val="-4"/>
          <w:sz w:val="19"/>
        </w:rPr>
        <w:t> </w:t>
      </w:r>
      <w:r>
        <w:rPr>
          <w:sz w:val="19"/>
        </w:rPr>
        <w:t>trial</w:t>
      </w:r>
      <w:r>
        <w:rPr>
          <w:spacing w:val="-4"/>
          <w:sz w:val="19"/>
        </w:rPr>
        <w:t> </w:t>
      </w:r>
      <w:r>
        <w:rPr>
          <w:sz w:val="19"/>
        </w:rPr>
        <w:t>to</w:t>
      </w:r>
      <w:r>
        <w:rPr>
          <w:spacing w:val="-4"/>
          <w:sz w:val="19"/>
        </w:rPr>
        <w:t> </w:t>
      </w:r>
      <w:r>
        <w:rPr>
          <w:sz w:val="19"/>
        </w:rPr>
        <w:t>adjust</w:t>
      </w:r>
      <w:r>
        <w:rPr>
          <w:spacing w:val="-4"/>
          <w:sz w:val="19"/>
        </w:rPr>
        <w:t> </w:t>
      </w:r>
      <w:r>
        <w:rPr>
          <w:sz w:val="19"/>
        </w:rPr>
        <w:t>settings</w:t>
      </w:r>
      <w:r>
        <w:rPr>
          <w:spacing w:val="-5"/>
          <w:sz w:val="19"/>
        </w:rPr>
        <w:t> </w:t>
      </w:r>
      <w:r>
        <w:rPr>
          <w:sz w:val="19"/>
        </w:rPr>
        <w:t>to</w:t>
      </w:r>
      <w:r>
        <w:rPr>
          <w:spacing w:val="-4"/>
          <w:sz w:val="19"/>
        </w:rPr>
        <w:t> </w:t>
      </w:r>
      <w:r>
        <w:rPr>
          <w:sz w:val="19"/>
        </w:rPr>
        <w:t>their</w:t>
      </w:r>
      <w:r>
        <w:rPr>
          <w:spacing w:val="-4"/>
          <w:sz w:val="19"/>
        </w:rPr>
        <w:t> </w:t>
      </w:r>
      <w:r>
        <w:rPr>
          <w:sz w:val="19"/>
        </w:rPr>
        <w:t>personal</w:t>
      </w:r>
      <w:r>
        <w:rPr>
          <w:spacing w:val="-4"/>
          <w:sz w:val="19"/>
        </w:rPr>
        <w:t> </w:t>
      </w:r>
      <w:r>
        <w:rPr>
          <w:sz w:val="19"/>
        </w:rPr>
        <w:t>preferences</w:t>
      </w:r>
      <w:r>
        <w:rPr>
          <w:spacing w:val="-4"/>
          <w:sz w:val="19"/>
        </w:rPr>
        <w:t> </w:t>
      </w:r>
      <w:r>
        <w:rPr>
          <w:sz w:val="19"/>
        </w:rPr>
        <w:t>and</w:t>
      </w:r>
      <w:r>
        <w:rPr>
          <w:spacing w:val="-4"/>
          <w:sz w:val="19"/>
        </w:rPr>
        <w:t> </w:t>
      </w:r>
      <w:r>
        <w:rPr>
          <w:sz w:val="19"/>
        </w:rPr>
        <w:t>to</w:t>
      </w:r>
      <w:r>
        <w:rPr>
          <w:spacing w:val="-5"/>
          <w:sz w:val="19"/>
        </w:rPr>
        <w:t> </w:t>
      </w:r>
      <w:r>
        <w:rPr>
          <w:sz w:val="19"/>
        </w:rPr>
        <w:t>familiarise themselves with</w:t>
      </w:r>
      <w:r>
        <w:rPr>
          <w:spacing w:val="-5"/>
          <w:sz w:val="19"/>
        </w:rPr>
        <w:t> </w:t>
      </w:r>
      <w:r>
        <w:rPr>
          <w:sz w:val="19"/>
        </w:rPr>
        <w:t>it.</w:t>
      </w:r>
      <w:r>
        <w:rPr>
          <w:position w:val="6"/>
          <w:sz w:val="11"/>
        </w:rPr>
        <w:t>69</w:t>
      </w:r>
    </w:p>
    <w:p>
      <w:pPr>
        <w:pStyle w:val="ListParagraph"/>
        <w:numPr>
          <w:ilvl w:val="1"/>
          <w:numId w:val="12"/>
        </w:numPr>
        <w:tabs>
          <w:tab w:pos="1761" w:val="left" w:leader="none"/>
          <w:tab w:pos="1762" w:val="left" w:leader="none"/>
        </w:tabs>
        <w:spacing w:line="206" w:lineRule="auto" w:before="124" w:after="0"/>
        <w:ind w:left="1761" w:right="1255" w:hanging="794"/>
        <w:jc w:val="left"/>
        <w:rPr>
          <w:sz w:val="20"/>
        </w:rPr>
      </w:pPr>
      <w:r>
        <w:rPr>
          <w:spacing w:val="-3"/>
          <w:sz w:val="20"/>
        </w:rPr>
        <w:t>Over</w:t>
      </w:r>
      <w:r>
        <w:rPr>
          <w:spacing w:val="-9"/>
          <w:sz w:val="20"/>
        </w:rPr>
        <w:t> </w:t>
      </w:r>
      <w:r>
        <w:rPr>
          <w:sz w:val="20"/>
        </w:rPr>
        <w:t>time</w:t>
      </w:r>
      <w:r>
        <w:rPr>
          <w:spacing w:val="-9"/>
          <w:sz w:val="20"/>
        </w:rPr>
        <w:t> </w:t>
      </w:r>
      <w:r>
        <w:rPr>
          <w:sz w:val="20"/>
        </w:rPr>
        <w:t>the</w:t>
      </w:r>
      <w:r>
        <w:rPr>
          <w:spacing w:val="-9"/>
          <w:sz w:val="20"/>
        </w:rPr>
        <w:t> </w:t>
      </w:r>
      <w:r>
        <w:rPr>
          <w:sz w:val="20"/>
        </w:rPr>
        <w:t>court</w:t>
      </w:r>
      <w:r>
        <w:rPr>
          <w:spacing w:val="-9"/>
          <w:sz w:val="20"/>
        </w:rPr>
        <w:t> </w:t>
      </w:r>
      <w:r>
        <w:rPr>
          <w:sz w:val="20"/>
        </w:rPr>
        <w:t>should</w:t>
      </w:r>
      <w:r>
        <w:rPr>
          <w:spacing w:val="-9"/>
          <w:sz w:val="20"/>
        </w:rPr>
        <w:t> </w:t>
      </w:r>
      <w:r>
        <w:rPr>
          <w:spacing w:val="-3"/>
          <w:sz w:val="20"/>
        </w:rPr>
        <w:t>develop</w:t>
      </w:r>
      <w:r>
        <w:rPr>
          <w:spacing w:val="-9"/>
          <w:sz w:val="20"/>
        </w:rPr>
        <w:t> </w:t>
      </w:r>
      <w:r>
        <w:rPr>
          <w:sz w:val="20"/>
        </w:rPr>
        <w:t>a</w:t>
      </w:r>
      <w:r>
        <w:rPr>
          <w:spacing w:val="-9"/>
          <w:sz w:val="20"/>
        </w:rPr>
        <w:t> </w:t>
      </w:r>
      <w:r>
        <w:rPr>
          <w:sz w:val="20"/>
        </w:rPr>
        <w:t>list</w:t>
      </w:r>
      <w:r>
        <w:rPr>
          <w:spacing w:val="-9"/>
          <w:sz w:val="20"/>
        </w:rPr>
        <w:t> </w:t>
      </w:r>
      <w:r>
        <w:rPr>
          <w:sz w:val="20"/>
        </w:rPr>
        <w:t>of</w:t>
      </w:r>
      <w:r>
        <w:rPr>
          <w:spacing w:val="-9"/>
          <w:sz w:val="20"/>
        </w:rPr>
        <w:t> </w:t>
      </w:r>
      <w:r>
        <w:rPr>
          <w:sz w:val="20"/>
        </w:rPr>
        <w:t>technologies</w:t>
      </w:r>
      <w:r>
        <w:rPr>
          <w:spacing w:val="-9"/>
          <w:sz w:val="20"/>
        </w:rPr>
        <w:t> </w:t>
      </w:r>
      <w:r>
        <w:rPr>
          <w:sz w:val="20"/>
        </w:rPr>
        <w:t>that</w:t>
      </w:r>
      <w:r>
        <w:rPr>
          <w:spacing w:val="-8"/>
          <w:sz w:val="20"/>
        </w:rPr>
        <w:t> </w:t>
      </w:r>
      <w:r>
        <w:rPr>
          <w:spacing w:val="-3"/>
          <w:sz w:val="20"/>
        </w:rPr>
        <w:t>are</w:t>
      </w:r>
      <w:r>
        <w:rPr>
          <w:spacing w:val="-9"/>
          <w:sz w:val="20"/>
        </w:rPr>
        <w:t> </w:t>
      </w:r>
      <w:r>
        <w:rPr>
          <w:sz w:val="20"/>
        </w:rPr>
        <w:t>suitable</w:t>
      </w:r>
      <w:r>
        <w:rPr>
          <w:spacing w:val="-9"/>
          <w:sz w:val="20"/>
        </w:rPr>
        <w:t> </w:t>
      </w:r>
      <w:r>
        <w:rPr>
          <w:sz w:val="20"/>
        </w:rPr>
        <w:t>to</w:t>
      </w:r>
      <w:r>
        <w:rPr>
          <w:spacing w:val="-9"/>
          <w:sz w:val="20"/>
        </w:rPr>
        <w:t> </w:t>
      </w:r>
      <w:r>
        <w:rPr>
          <w:sz w:val="20"/>
        </w:rPr>
        <w:t>bring</w:t>
      </w:r>
      <w:r>
        <w:rPr>
          <w:spacing w:val="-9"/>
          <w:sz w:val="20"/>
        </w:rPr>
        <w:t> </w:t>
      </w:r>
      <w:r>
        <w:rPr>
          <w:spacing w:val="-3"/>
          <w:sz w:val="20"/>
        </w:rPr>
        <w:t>from </w:t>
      </w:r>
      <w:r>
        <w:rPr>
          <w:sz w:val="20"/>
        </w:rPr>
        <w:t>home that </w:t>
      </w:r>
      <w:r>
        <w:rPr>
          <w:spacing w:val="-3"/>
          <w:sz w:val="20"/>
        </w:rPr>
        <w:t>are </w:t>
      </w:r>
      <w:r>
        <w:rPr>
          <w:sz w:val="20"/>
        </w:rPr>
        <w:t>not capable of external communication or being pre-loaded with data. An</w:t>
      </w:r>
      <w:r>
        <w:rPr>
          <w:spacing w:val="-5"/>
          <w:sz w:val="20"/>
        </w:rPr>
        <w:t> </w:t>
      </w:r>
      <w:r>
        <w:rPr>
          <w:spacing w:val="-3"/>
          <w:sz w:val="20"/>
        </w:rPr>
        <w:t>example</w:t>
      </w:r>
      <w:r>
        <w:rPr>
          <w:spacing w:val="-5"/>
          <w:sz w:val="20"/>
        </w:rPr>
        <w:t> </w:t>
      </w:r>
      <w:r>
        <w:rPr>
          <w:sz w:val="20"/>
        </w:rPr>
        <w:t>might</w:t>
      </w:r>
      <w:r>
        <w:rPr>
          <w:spacing w:val="-5"/>
          <w:sz w:val="20"/>
        </w:rPr>
        <w:t> </w:t>
      </w:r>
      <w:r>
        <w:rPr>
          <w:sz w:val="20"/>
        </w:rPr>
        <w:t>be</w:t>
      </w:r>
      <w:r>
        <w:rPr>
          <w:spacing w:val="-5"/>
          <w:sz w:val="20"/>
        </w:rPr>
        <w:t> </w:t>
      </w:r>
      <w:r>
        <w:rPr>
          <w:sz w:val="20"/>
        </w:rPr>
        <w:t>a</w:t>
      </w:r>
      <w:r>
        <w:rPr>
          <w:spacing w:val="-5"/>
          <w:sz w:val="20"/>
        </w:rPr>
        <w:t> </w:t>
      </w:r>
      <w:r>
        <w:rPr>
          <w:sz w:val="20"/>
        </w:rPr>
        <w:t>modified</w:t>
      </w:r>
      <w:r>
        <w:rPr>
          <w:spacing w:val="-5"/>
          <w:sz w:val="20"/>
        </w:rPr>
        <w:t> </w:t>
      </w:r>
      <w:r>
        <w:rPr>
          <w:spacing w:val="-3"/>
          <w:sz w:val="20"/>
        </w:rPr>
        <w:t>keyboard,</w:t>
      </w:r>
      <w:r>
        <w:rPr>
          <w:spacing w:val="-5"/>
          <w:sz w:val="20"/>
        </w:rPr>
        <w:t> </w:t>
      </w:r>
      <w:r>
        <w:rPr>
          <w:sz w:val="20"/>
        </w:rPr>
        <w:t>or</w:t>
      </w:r>
      <w:r>
        <w:rPr>
          <w:spacing w:val="-5"/>
          <w:sz w:val="20"/>
        </w:rPr>
        <w:t> </w:t>
      </w:r>
      <w:r>
        <w:rPr>
          <w:sz w:val="20"/>
        </w:rPr>
        <w:t>a</w:t>
      </w:r>
      <w:r>
        <w:rPr>
          <w:spacing w:val="-4"/>
          <w:sz w:val="20"/>
        </w:rPr>
        <w:t> </w:t>
      </w:r>
      <w:r>
        <w:rPr>
          <w:sz w:val="20"/>
        </w:rPr>
        <w:t>Braille</w:t>
      </w:r>
      <w:r>
        <w:rPr>
          <w:spacing w:val="-5"/>
          <w:sz w:val="20"/>
        </w:rPr>
        <w:t> </w:t>
      </w:r>
      <w:r>
        <w:rPr>
          <w:sz w:val="20"/>
        </w:rPr>
        <w:t>note</w:t>
      </w:r>
      <w:r>
        <w:rPr>
          <w:spacing w:val="-5"/>
          <w:sz w:val="20"/>
        </w:rPr>
        <w:t> </w:t>
      </w:r>
      <w:r>
        <w:rPr>
          <w:spacing w:val="-4"/>
          <w:sz w:val="20"/>
        </w:rPr>
        <w:t>taker.</w:t>
      </w:r>
    </w:p>
    <w:p>
      <w:pPr>
        <w:pStyle w:val="BodyText"/>
        <w:spacing w:before="12"/>
        <w:rPr>
          <w:sz w:val="21"/>
        </w:rPr>
      </w:pPr>
    </w:p>
    <w:p>
      <w:pPr>
        <w:spacing w:line="184" w:lineRule="auto" w:before="0"/>
        <w:ind w:left="967" w:right="1335" w:firstLine="0"/>
        <w:jc w:val="left"/>
        <w:rPr>
          <w:rFonts w:ascii="Raleway ExtraBold"/>
          <w:b/>
          <w:sz w:val="28"/>
        </w:rPr>
      </w:pPr>
      <w:r>
        <w:rPr>
          <w:rFonts w:ascii="Raleway ExtraBold"/>
          <w:b/>
          <w:color w:val="37617A"/>
          <w:sz w:val="28"/>
        </w:rPr>
        <w:t>Talking to people in the subject groups about reasonable adjustments</w:t>
      </w:r>
    </w:p>
    <w:p>
      <w:pPr>
        <w:pStyle w:val="ListParagraph"/>
        <w:numPr>
          <w:ilvl w:val="1"/>
          <w:numId w:val="12"/>
        </w:numPr>
        <w:tabs>
          <w:tab w:pos="1761" w:val="left" w:leader="none"/>
          <w:tab w:pos="1762" w:val="left" w:leader="none"/>
        </w:tabs>
        <w:spacing w:line="206" w:lineRule="auto" w:before="162" w:after="0"/>
        <w:ind w:left="1761" w:right="1422" w:hanging="794"/>
        <w:jc w:val="left"/>
        <w:rPr>
          <w:sz w:val="20"/>
        </w:rPr>
      </w:pPr>
      <w:r>
        <w:rPr>
          <w:sz w:val="20"/>
        </w:rPr>
        <w:t>People who </w:t>
      </w:r>
      <w:r>
        <w:rPr>
          <w:spacing w:val="-3"/>
          <w:sz w:val="20"/>
        </w:rPr>
        <w:t>are </w:t>
      </w:r>
      <w:r>
        <w:rPr>
          <w:spacing w:val="-4"/>
          <w:sz w:val="20"/>
        </w:rPr>
        <w:t>deaf, </w:t>
      </w:r>
      <w:r>
        <w:rPr>
          <w:sz w:val="20"/>
        </w:rPr>
        <w:t>hard of hearing, blind or </w:t>
      </w:r>
      <w:r>
        <w:rPr>
          <w:spacing w:val="-4"/>
          <w:sz w:val="20"/>
        </w:rPr>
        <w:t>have low </w:t>
      </w:r>
      <w:r>
        <w:rPr>
          <w:sz w:val="20"/>
        </w:rPr>
        <w:t>vision do not form one homogeneous </w:t>
      </w:r>
      <w:r>
        <w:rPr>
          <w:spacing w:val="-3"/>
          <w:sz w:val="20"/>
        </w:rPr>
        <w:t>group.</w:t>
      </w:r>
      <w:r>
        <w:rPr>
          <w:spacing w:val="-3"/>
          <w:position w:val="7"/>
          <w:sz w:val="11"/>
        </w:rPr>
        <w:t>70 </w:t>
      </w:r>
      <w:r>
        <w:rPr>
          <w:spacing w:val="-3"/>
          <w:sz w:val="20"/>
        </w:rPr>
        <w:t>Everyone’s </w:t>
      </w:r>
      <w:r>
        <w:rPr>
          <w:sz w:val="20"/>
        </w:rPr>
        <w:t>circumstances </w:t>
      </w:r>
      <w:r>
        <w:rPr>
          <w:spacing w:val="-3"/>
          <w:sz w:val="20"/>
        </w:rPr>
        <w:t>differ, </w:t>
      </w:r>
      <w:r>
        <w:rPr>
          <w:sz w:val="20"/>
        </w:rPr>
        <w:t>and people experience disability</w:t>
      </w:r>
      <w:r>
        <w:rPr>
          <w:spacing w:val="-10"/>
          <w:sz w:val="20"/>
        </w:rPr>
        <w:t> </w:t>
      </w:r>
      <w:r>
        <w:rPr>
          <w:spacing w:val="-4"/>
          <w:sz w:val="20"/>
        </w:rPr>
        <w:t>differently.</w:t>
      </w:r>
      <w:r>
        <w:rPr>
          <w:spacing w:val="-4"/>
          <w:position w:val="7"/>
          <w:sz w:val="11"/>
        </w:rPr>
        <w:t>71</w:t>
      </w:r>
      <w:r>
        <w:rPr>
          <w:spacing w:val="15"/>
          <w:position w:val="7"/>
          <w:sz w:val="11"/>
        </w:rPr>
        <w:t> </w:t>
      </w:r>
      <w:r>
        <w:rPr>
          <w:sz w:val="20"/>
        </w:rPr>
        <w:t>Flexibility</w:t>
      </w:r>
      <w:r>
        <w:rPr>
          <w:spacing w:val="-10"/>
          <w:sz w:val="20"/>
        </w:rPr>
        <w:t> </w:t>
      </w:r>
      <w:r>
        <w:rPr>
          <w:sz w:val="20"/>
        </w:rPr>
        <w:t>will</w:t>
      </w:r>
      <w:r>
        <w:rPr>
          <w:spacing w:val="-9"/>
          <w:sz w:val="20"/>
        </w:rPr>
        <w:t> </w:t>
      </w:r>
      <w:r>
        <w:rPr>
          <w:sz w:val="20"/>
        </w:rPr>
        <w:t>be</w:t>
      </w:r>
      <w:r>
        <w:rPr>
          <w:spacing w:val="-10"/>
          <w:sz w:val="20"/>
        </w:rPr>
        <w:t> </w:t>
      </w:r>
      <w:r>
        <w:rPr>
          <w:sz w:val="20"/>
        </w:rPr>
        <w:t>needed</w:t>
      </w:r>
      <w:r>
        <w:rPr>
          <w:spacing w:val="-10"/>
          <w:sz w:val="20"/>
        </w:rPr>
        <w:t> </w:t>
      </w:r>
      <w:r>
        <w:rPr>
          <w:sz w:val="20"/>
        </w:rPr>
        <w:t>about</w:t>
      </w:r>
      <w:r>
        <w:rPr>
          <w:spacing w:val="-9"/>
          <w:sz w:val="20"/>
        </w:rPr>
        <w:t> </w:t>
      </w:r>
      <w:r>
        <w:rPr>
          <w:sz w:val="20"/>
        </w:rPr>
        <w:t>the</w:t>
      </w:r>
      <w:r>
        <w:rPr>
          <w:spacing w:val="-10"/>
          <w:sz w:val="20"/>
        </w:rPr>
        <w:t> </w:t>
      </w:r>
      <w:r>
        <w:rPr>
          <w:spacing w:val="-3"/>
          <w:sz w:val="20"/>
        </w:rPr>
        <w:t>provision</w:t>
      </w:r>
      <w:r>
        <w:rPr>
          <w:spacing w:val="-10"/>
          <w:sz w:val="20"/>
        </w:rPr>
        <w:t> </w:t>
      </w:r>
      <w:r>
        <w:rPr>
          <w:sz w:val="20"/>
        </w:rPr>
        <w:t>of</w:t>
      </w:r>
      <w:r>
        <w:rPr>
          <w:spacing w:val="-9"/>
          <w:sz w:val="20"/>
        </w:rPr>
        <w:t> </w:t>
      </w:r>
      <w:r>
        <w:rPr>
          <w:sz w:val="20"/>
        </w:rPr>
        <w:t>adjustments</w:t>
      </w:r>
      <w:r>
        <w:rPr>
          <w:spacing w:val="-10"/>
          <w:sz w:val="20"/>
        </w:rPr>
        <w:t> </w:t>
      </w:r>
      <w:r>
        <w:rPr>
          <w:sz w:val="20"/>
        </w:rPr>
        <w:t>for jury</w:t>
      </w:r>
      <w:r>
        <w:rPr>
          <w:spacing w:val="-5"/>
          <w:sz w:val="20"/>
        </w:rPr>
        <w:t> </w:t>
      </w:r>
      <w:r>
        <w:rPr>
          <w:sz w:val="20"/>
        </w:rPr>
        <w:t>service.</w:t>
      </w:r>
    </w:p>
    <w:p>
      <w:pPr>
        <w:pStyle w:val="ListParagraph"/>
        <w:numPr>
          <w:ilvl w:val="1"/>
          <w:numId w:val="12"/>
        </w:numPr>
        <w:tabs>
          <w:tab w:pos="1761" w:val="left" w:leader="none"/>
          <w:tab w:pos="1762" w:val="left" w:leader="none"/>
        </w:tabs>
        <w:spacing w:line="206" w:lineRule="auto" w:before="125" w:after="0"/>
        <w:ind w:left="1761" w:right="1214" w:hanging="794"/>
        <w:jc w:val="left"/>
        <w:rPr>
          <w:sz w:val="20"/>
        </w:rPr>
      </w:pPr>
      <w:r>
        <w:rPr>
          <w:sz w:val="20"/>
        </w:rPr>
        <w:t>People in the subject groups access information and communicate with their families, colleagues</w:t>
      </w:r>
      <w:r>
        <w:rPr>
          <w:spacing w:val="-11"/>
          <w:sz w:val="20"/>
        </w:rPr>
        <w:t> </w:t>
      </w:r>
      <w:r>
        <w:rPr>
          <w:sz w:val="20"/>
        </w:rPr>
        <w:t>and</w:t>
      </w:r>
      <w:r>
        <w:rPr>
          <w:spacing w:val="-10"/>
          <w:sz w:val="20"/>
        </w:rPr>
        <w:t> </w:t>
      </w:r>
      <w:r>
        <w:rPr>
          <w:sz w:val="20"/>
        </w:rPr>
        <w:t>the</w:t>
      </w:r>
      <w:r>
        <w:rPr>
          <w:spacing w:val="-10"/>
          <w:sz w:val="20"/>
        </w:rPr>
        <w:t> </w:t>
      </w:r>
      <w:r>
        <w:rPr>
          <w:sz w:val="20"/>
        </w:rPr>
        <w:t>broader</w:t>
      </w:r>
      <w:r>
        <w:rPr>
          <w:spacing w:val="-10"/>
          <w:sz w:val="20"/>
        </w:rPr>
        <w:t> </w:t>
      </w:r>
      <w:r>
        <w:rPr>
          <w:sz w:val="20"/>
        </w:rPr>
        <w:t>community</w:t>
      </w:r>
      <w:r>
        <w:rPr>
          <w:spacing w:val="-10"/>
          <w:sz w:val="20"/>
        </w:rPr>
        <w:t> </w:t>
      </w:r>
      <w:r>
        <w:rPr>
          <w:sz w:val="20"/>
        </w:rPr>
        <w:t>every</w:t>
      </w:r>
      <w:r>
        <w:rPr>
          <w:spacing w:val="-10"/>
          <w:sz w:val="20"/>
        </w:rPr>
        <w:t> </w:t>
      </w:r>
      <w:r>
        <w:rPr>
          <w:spacing w:val="-3"/>
          <w:sz w:val="20"/>
        </w:rPr>
        <w:t>day</w:t>
      </w:r>
      <w:r>
        <w:rPr>
          <w:spacing w:val="-10"/>
          <w:sz w:val="20"/>
        </w:rPr>
        <w:t> </w:t>
      </w:r>
      <w:r>
        <w:rPr>
          <w:sz w:val="20"/>
        </w:rPr>
        <w:t>in</w:t>
      </w:r>
      <w:r>
        <w:rPr>
          <w:spacing w:val="-10"/>
          <w:sz w:val="20"/>
        </w:rPr>
        <w:t> </w:t>
      </w:r>
      <w:r>
        <w:rPr>
          <w:sz w:val="20"/>
        </w:rPr>
        <w:t>a</w:t>
      </w:r>
      <w:r>
        <w:rPr>
          <w:spacing w:val="-10"/>
          <w:sz w:val="20"/>
        </w:rPr>
        <w:t> </w:t>
      </w:r>
      <w:r>
        <w:rPr>
          <w:sz w:val="20"/>
        </w:rPr>
        <w:t>wide</w:t>
      </w:r>
      <w:r>
        <w:rPr>
          <w:spacing w:val="-10"/>
          <w:sz w:val="20"/>
        </w:rPr>
        <w:t> </w:t>
      </w:r>
      <w:r>
        <w:rPr>
          <w:sz w:val="20"/>
        </w:rPr>
        <w:t>range</w:t>
      </w:r>
      <w:r>
        <w:rPr>
          <w:spacing w:val="-10"/>
          <w:sz w:val="20"/>
        </w:rPr>
        <w:t> </w:t>
      </w:r>
      <w:r>
        <w:rPr>
          <w:sz w:val="20"/>
        </w:rPr>
        <w:t>of</w:t>
      </w:r>
      <w:r>
        <w:rPr>
          <w:spacing w:val="-11"/>
          <w:sz w:val="20"/>
        </w:rPr>
        <w:t> </w:t>
      </w:r>
      <w:r>
        <w:rPr>
          <w:sz w:val="20"/>
        </w:rPr>
        <w:t>contexts.</w:t>
      </w:r>
      <w:r>
        <w:rPr>
          <w:spacing w:val="-10"/>
          <w:sz w:val="20"/>
        </w:rPr>
        <w:t> </w:t>
      </w:r>
      <w:r>
        <w:rPr>
          <w:sz w:val="20"/>
        </w:rPr>
        <w:t>They</w:t>
      </w:r>
      <w:r>
        <w:rPr>
          <w:spacing w:val="-10"/>
          <w:sz w:val="20"/>
        </w:rPr>
        <w:t> </w:t>
      </w:r>
      <w:r>
        <w:rPr>
          <w:spacing w:val="-3"/>
          <w:sz w:val="20"/>
        </w:rPr>
        <w:t>are </w:t>
      </w:r>
      <w:r>
        <w:rPr>
          <w:sz w:val="20"/>
        </w:rPr>
        <w:t>best</w:t>
      </w:r>
      <w:r>
        <w:rPr>
          <w:spacing w:val="-12"/>
          <w:sz w:val="20"/>
        </w:rPr>
        <w:t> </w:t>
      </w:r>
      <w:r>
        <w:rPr>
          <w:sz w:val="20"/>
        </w:rPr>
        <w:t>placed</w:t>
      </w:r>
      <w:r>
        <w:rPr>
          <w:spacing w:val="-11"/>
          <w:sz w:val="20"/>
        </w:rPr>
        <w:t> </w:t>
      </w:r>
      <w:r>
        <w:rPr>
          <w:sz w:val="20"/>
        </w:rPr>
        <w:t>to</w:t>
      </w:r>
      <w:r>
        <w:rPr>
          <w:spacing w:val="-12"/>
          <w:sz w:val="20"/>
        </w:rPr>
        <w:t> </w:t>
      </w:r>
      <w:r>
        <w:rPr>
          <w:sz w:val="20"/>
        </w:rPr>
        <w:t>tell</w:t>
      </w:r>
      <w:r>
        <w:rPr>
          <w:spacing w:val="-11"/>
          <w:sz w:val="20"/>
        </w:rPr>
        <w:t> </w:t>
      </w:r>
      <w:r>
        <w:rPr>
          <w:sz w:val="20"/>
        </w:rPr>
        <w:t>Juries</w:t>
      </w:r>
      <w:r>
        <w:rPr>
          <w:spacing w:val="-12"/>
          <w:sz w:val="20"/>
        </w:rPr>
        <w:t> </w:t>
      </w:r>
      <w:r>
        <w:rPr>
          <w:sz w:val="20"/>
        </w:rPr>
        <w:t>Victoria</w:t>
      </w:r>
      <w:r>
        <w:rPr>
          <w:spacing w:val="-11"/>
          <w:sz w:val="20"/>
        </w:rPr>
        <w:t> </w:t>
      </w:r>
      <w:r>
        <w:rPr>
          <w:sz w:val="20"/>
        </w:rPr>
        <w:t>and</w:t>
      </w:r>
      <w:r>
        <w:rPr>
          <w:spacing w:val="-11"/>
          <w:sz w:val="20"/>
        </w:rPr>
        <w:t> </w:t>
      </w:r>
      <w:r>
        <w:rPr>
          <w:sz w:val="20"/>
        </w:rPr>
        <w:t>the</w:t>
      </w:r>
      <w:r>
        <w:rPr>
          <w:spacing w:val="-12"/>
          <w:sz w:val="20"/>
        </w:rPr>
        <w:t> </w:t>
      </w:r>
      <w:r>
        <w:rPr>
          <w:sz w:val="20"/>
        </w:rPr>
        <w:t>courts</w:t>
      </w:r>
      <w:r>
        <w:rPr>
          <w:spacing w:val="-11"/>
          <w:sz w:val="20"/>
        </w:rPr>
        <w:t> </w:t>
      </w:r>
      <w:r>
        <w:rPr>
          <w:sz w:val="20"/>
        </w:rPr>
        <w:t>what</w:t>
      </w:r>
      <w:r>
        <w:rPr>
          <w:spacing w:val="-12"/>
          <w:sz w:val="20"/>
        </w:rPr>
        <w:t> </w:t>
      </w:r>
      <w:r>
        <w:rPr>
          <w:sz w:val="20"/>
        </w:rPr>
        <w:t>reasonable</w:t>
      </w:r>
      <w:r>
        <w:rPr>
          <w:spacing w:val="-11"/>
          <w:sz w:val="20"/>
        </w:rPr>
        <w:t> </w:t>
      </w:r>
      <w:r>
        <w:rPr>
          <w:sz w:val="20"/>
        </w:rPr>
        <w:t>adjustments</w:t>
      </w:r>
      <w:r>
        <w:rPr>
          <w:spacing w:val="-11"/>
          <w:sz w:val="20"/>
        </w:rPr>
        <w:t> </w:t>
      </w:r>
      <w:r>
        <w:rPr>
          <w:sz w:val="20"/>
        </w:rPr>
        <w:t>they</w:t>
      </w:r>
      <w:r>
        <w:rPr>
          <w:spacing w:val="-12"/>
          <w:sz w:val="20"/>
        </w:rPr>
        <w:t> </w:t>
      </w:r>
      <w:r>
        <w:rPr>
          <w:sz w:val="20"/>
        </w:rPr>
        <w:t>will </w:t>
      </w:r>
      <w:r>
        <w:rPr>
          <w:spacing w:val="-3"/>
          <w:sz w:val="20"/>
        </w:rPr>
        <w:t>require </w:t>
      </w:r>
      <w:r>
        <w:rPr>
          <w:sz w:val="20"/>
        </w:rPr>
        <w:t>to undertake jury</w:t>
      </w:r>
      <w:r>
        <w:rPr>
          <w:spacing w:val="-14"/>
          <w:sz w:val="20"/>
        </w:rPr>
        <w:t> </w:t>
      </w:r>
      <w:r>
        <w:rPr>
          <w:sz w:val="20"/>
        </w:rPr>
        <w:t>service.</w:t>
      </w:r>
    </w:p>
    <w:p>
      <w:pPr>
        <w:pStyle w:val="ListParagraph"/>
        <w:numPr>
          <w:ilvl w:val="1"/>
          <w:numId w:val="12"/>
        </w:numPr>
        <w:tabs>
          <w:tab w:pos="1761" w:val="left" w:leader="none"/>
          <w:tab w:pos="1762" w:val="left" w:leader="none"/>
        </w:tabs>
        <w:spacing w:line="206" w:lineRule="auto" w:before="125" w:after="0"/>
        <w:ind w:left="1761" w:right="1252" w:hanging="794"/>
        <w:jc w:val="left"/>
        <w:rPr>
          <w:sz w:val="11"/>
        </w:rPr>
      </w:pPr>
      <w:r>
        <w:rPr>
          <w:sz w:val="20"/>
        </w:rPr>
        <w:t>Alastair </w:t>
      </w:r>
      <w:r>
        <w:rPr>
          <w:spacing w:val="-3"/>
          <w:sz w:val="20"/>
        </w:rPr>
        <w:t>McEwin </w:t>
      </w:r>
      <w:r>
        <w:rPr>
          <w:sz w:val="20"/>
        </w:rPr>
        <w:t>noted that the </w:t>
      </w:r>
      <w:r>
        <w:rPr>
          <w:spacing w:val="-3"/>
          <w:sz w:val="20"/>
        </w:rPr>
        <w:t>‘key </w:t>
      </w:r>
      <w:r>
        <w:rPr>
          <w:sz w:val="20"/>
        </w:rPr>
        <w:t>is that the court works with the deaf person to support</w:t>
      </w:r>
      <w:r>
        <w:rPr>
          <w:spacing w:val="-8"/>
          <w:sz w:val="20"/>
        </w:rPr>
        <w:t> </w:t>
      </w:r>
      <w:r>
        <w:rPr>
          <w:sz w:val="20"/>
        </w:rPr>
        <w:t>their</w:t>
      </w:r>
      <w:r>
        <w:rPr>
          <w:spacing w:val="-7"/>
          <w:sz w:val="20"/>
        </w:rPr>
        <w:t> </w:t>
      </w:r>
      <w:r>
        <w:rPr>
          <w:sz w:val="20"/>
        </w:rPr>
        <w:t>needs.</w:t>
      </w:r>
      <w:r>
        <w:rPr>
          <w:spacing w:val="-8"/>
          <w:sz w:val="20"/>
        </w:rPr>
        <w:t> </w:t>
      </w:r>
      <w:r>
        <w:rPr>
          <w:sz w:val="20"/>
        </w:rPr>
        <w:t>The</w:t>
      </w:r>
      <w:r>
        <w:rPr>
          <w:spacing w:val="-7"/>
          <w:sz w:val="20"/>
        </w:rPr>
        <w:t> </w:t>
      </w:r>
      <w:r>
        <w:rPr>
          <w:sz w:val="20"/>
        </w:rPr>
        <w:t>individual</w:t>
      </w:r>
      <w:r>
        <w:rPr>
          <w:spacing w:val="-8"/>
          <w:sz w:val="20"/>
        </w:rPr>
        <w:t> </w:t>
      </w:r>
      <w:r>
        <w:rPr>
          <w:sz w:val="20"/>
        </w:rPr>
        <w:t>will</w:t>
      </w:r>
      <w:r>
        <w:rPr>
          <w:spacing w:val="-7"/>
          <w:sz w:val="20"/>
        </w:rPr>
        <w:t> </w:t>
      </w:r>
      <w:r>
        <w:rPr>
          <w:spacing w:val="-3"/>
          <w:sz w:val="20"/>
        </w:rPr>
        <w:t>usually</w:t>
      </w:r>
      <w:r>
        <w:rPr>
          <w:spacing w:val="-8"/>
          <w:sz w:val="20"/>
        </w:rPr>
        <w:t> </w:t>
      </w:r>
      <w:r>
        <w:rPr>
          <w:spacing w:val="-4"/>
          <w:sz w:val="20"/>
        </w:rPr>
        <w:t>have</w:t>
      </w:r>
      <w:r>
        <w:rPr>
          <w:spacing w:val="-7"/>
          <w:sz w:val="20"/>
        </w:rPr>
        <w:t> </w:t>
      </w:r>
      <w:r>
        <w:rPr>
          <w:sz w:val="20"/>
        </w:rPr>
        <w:t>a</w:t>
      </w:r>
      <w:r>
        <w:rPr>
          <w:spacing w:val="-8"/>
          <w:sz w:val="20"/>
        </w:rPr>
        <w:t> </w:t>
      </w:r>
      <w:r>
        <w:rPr>
          <w:sz w:val="20"/>
        </w:rPr>
        <w:t>solution</w:t>
      </w:r>
      <w:r>
        <w:rPr>
          <w:spacing w:val="-7"/>
          <w:sz w:val="20"/>
        </w:rPr>
        <w:t> </w:t>
      </w:r>
      <w:r>
        <w:rPr>
          <w:sz w:val="20"/>
        </w:rPr>
        <w:t>to</w:t>
      </w:r>
      <w:r>
        <w:rPr>
          <w:spacing w:val="-8"/>
          <w:sz w:val="20"/>
        </w:rPr>
        <w:t> </w:t>
      </w:r>
      <w:r>
        <w:rPr>
          <w:spacing w:val="-3"/>
          <w:sz w:val="20"/>
        </w:rPr>
        <w:t>any</w:t>
      </w:r>
      <w:r>
        <w:rPr>
          <w:spacing w:val="-7"/>
          <w:sz w:val="20"/>
        </w:rPr>
        <w:t> </w:t>
      </w:r>
      <w:r>
        <w:rPr>
          <w:sz w:val="20"/>
        </w:rPr>
        <w:t>issues</w:t>
      </w:r>
      <w:r>
        <w:rPr>
          <w:spacing w:val="-8"/>
          <w:sz w:val="20"/>
        </w:rPr>
        <w:t> </w:t>
      </w:r>
      <w:r>
        <w:rPr>
          <w:sz w:val="20"/>
        </w:rPr>
        <w:t>that</w:t>
      </w:r>
      <w:r>
        <w:rPr>
          <w:spacing w:val="-7"/>
          <w:sz w:val="20"/>
        </w:rPr>
        <w:t> </w:t>
      </w:r>
      <w:r>
        <w:rPr>
          <w:spacing w:val="-4"/>
          <w:sz w:val="20"/>
        </w:rPr>
        <w:t>arise’.</w:t>
      </w:r>
      <w:r>
        <w:rPr>
          <w:spacing w:val="-4"/>
          <w:position w:val="7"/>
          <w:sz w:val="11"/>
        </w:rPr>
        <w:t>72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rPr>
          <w:sz w:val="14"/>
        </w:rPr>
      </w:pPr>
      <w:r>
        <w:rPr/>
        <w:pict>
          <v:line style="position:absolute;mso-position-horizontal-relative:page;mso-position-vertical-relative:paragraph;z-index:8048;mso-wrap-distance-left:0;mso-wrap-distance-right:0" from="79.370102pt,12.83546pt" to="515.905102pt,12.83546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96"/>
        </w:numPr>
        <w:tabs>
          <w:tab w:pos="1761" w:val="left" w:leader="none"/>
          <w:tab w:pos="1762" w:val="left" w:leader="none"/>
        </w:tabs>
        <w:spacing w:line="170" w:lineRule="exact" w:before="21" w:after="0"/>
        <w:ind w:left="1761" w:right="0" w:hanging="794"/>
        <w:jc w:val="left"/>
        <w:rPr>
          <w:sz w:val="13"/>
        </w:rPr>
      </w:pP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w:t>
      </w:r>
      <w:r>
        <w:rPr>
          <w:spacing w:val="13"/>
          <w:sz w:val="13"/>
        </w:rPr>
        <w:t> </w:t>
      </w:r>
      <w:r>
        <w:rPr>
          <w:sz w:val="13"/>
        </w:rPr>
        <w:t>States).</w:t>
      </w:r>
    </w:p>
    <w:p>
      <w:pPr>
        <w:pStyle w:val="ListParagraph"/>
        <w:numPr>
          <w:ilvl w:val="0"/>
          <w:numId w:val="96"/>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z w:val="13"/>
        </w:rPr>
        <w:t>5 (Name</w:t>
      </w:r>
      <w:r>
        <w:rPr>
          <w:spacing w:val="-2"/>
          <w:sz w:val="13"/>
        </w:rPr>
        <w:t> </w:t>
      </w:r>
      <w:r>
        <w:rPr>
          <w:sz w:val="13"/>
        </w:rPr>
        <w:t>withheld).</w:t>
      </w:r>
    </w:p>
    <w:p>
      <w:pPr>
        <w:pStyle w:val="ListParagraph"/>
        <w:numPr>
          <w:ilvl w:val="0"/>
          <w:numId w:val="96"/>
        </w:numPr>
        <w:tabs>
          <w:tab w:pos="1761" w:val="left" w:leader="none"/>
          <w:tab w:pos="1762" w:val="left" w:leader="none"/>
        </w:tabs>
        <w:spacing w:line="213" w:lineRule="auto" w:before="7" w:after="0"/>
        <w:ind w:left="1761" w:right="197" w:hanging="794"/>
        <w:jc w:val="left"/>
        <w:rPr>
          <w:sz w:val="13"/>
        </w:rPr>
      </w:pPr>
      <w:r>
        <w:rPr>
          <w:sz w:val="13"/>
        </w:rPr>
        <w:t>The </w:t>
      </w:r>
      <w:r>
        <w:rPr>
          <w:spacing w:val="2"/>
          <w:sz w:val="13"/>
        </w:rPr>
        <w:t>‘diversity </w:t>
      </w:r>
      <w:r>
        <w:rPr>
          <w:sz w:val="13"/>
        </w:rPr>
        <w:t>of persons with disabilities’ is recognised in the </w:t>
      </w:r>
      <w:r>
        <w:rPr>
          <w:i/>
          <w:sz w:val="13"/>
        </w:rPr>
        <w:t>Convention on the </w:t>
      </w:r>
      <w:r>
        <w:rPr>
          <w:i/>
          <w:spacing w:val="2"/>
          <w:sz w:val="13"/>
        </w:rPr>
        <w:t>Rights </w:t>
      </w:r>
      <w:r>
        <w:rPr>
          <w:i/>
          <w:sz w:val="13"/>
        </w:rPr>
        <w:t>of Persons with Disabilities</w:t>
      </w:r>
      <w:r>
        <w:rPr>
          <w:sz w:val="13"/>
        </w:rPr>
        <w:t>, </w:t>
      </w:r>
      <w:r>
        <w:rPr>
          <w:spacing w:val="2"/>
          <w:sz w:val="13"/>
        </w:rPr>
        <w:t>opened </w:t>
      </w:r>
      <w:r>
        <w:rPr>
          <w:sz w:val="13"/>
        </w:rPr>
        <w:t>for signature 30 March 2007, 2515 UNTS 3 (entered into force 3 May 2008)</w:t>
      </w:r>
      <w:r>
        <w:rPr>
          <w:spacing w:val="10"/>
          <w:sz w:val="13"/>
        </w:rPr>
        <w:t> </w:t>
      </w:r>
      <w:r>
        <w:rPr>
          <w:sz w:val="13"/>
        </w:rPr>
        <w:t>Preamble.</w:t>
      </w:r>
    </w:p>
    <w:p>
      <w:pPr>
        <w:pStyle w:val="ListParagraph"/>
        <w:numPr>
          <w:ilvl w:val="0"/>
          <w:numId w:val="96"/>
        </w:numPr>
        <w:tabs>
          <w:tab w:pos="1760" w:val="left" w:leader="none"/>
          <w:tab w:pos="1762" w:val="left" w:leader="none"/>
        </w:tabs>
        <w:spacing w:line="213" w:lineRule="auto" w:before="0" w:after="0"/>
        <w:ind w:left="1761" w:right="209" w:hanging="794"/>
        <w:jc w:val="left"/>
        <w:rPr>
          <w:sz w:val="13"/>
        </w:rPr>
      </w:pPr>
      <w:r>
        <w:rPr>
          <w:sz w:val="13"/>
        </w:rPr>
        <w:t>Consultations 6 (Deaf Victoria and community participants), 7 </w:t>
      </w:r>
      <w:r>
        <w:rPr>
          <w:spacing w:val="2"/>
          <w:sz w:val="13"/>
        </w:rPr>
        <w:t>(Vision </w:t>
      </w:r>
      <w:r>
        <w:rPr>
          <w:sz w:val="13"/>
        </w:rPr>
        <w:t>Australia), 8 (Brent Phillips), 22 (Daniel Stubbs, Victorian </w:t>
      </w:r>
      <w:r>
        <w:rPr>
          <w:spacing w:val="2"/>
          <w:sz w:val="13"/>
        </w:rPr>
        <w:t>Disability </w:t>
      </w:r>
      <w:r>
        <w:rPr>
          <w:sz w:val="13"/>
        </w:rPr>
        <w:t>Worker Commissioner, in his personal capacity), 25 (Peter Ward, Partner, Galbally and</w:t>
      </w:r>
      <w:r>
        <w:rPr>
          <w:spacing w:val="4"/>
          <w:sz w:val="13"/>
        </w:rPr>
        <w:t> </w:t>
      </w:r>
      <w:r>
        <w:rPr>
          <w:spacing w:val="2"/>
          <w:sz w:val="13"/>
        </w:rPr>
        <w:t>O’Bryan </w:t>
      </w:r>
      <w:r>
        <w:rPr>
          <w:sz w:val="13"/>
        </w:rPr>
        <w:t>Lawyers).</w:t>
      </w:r>
    </w:p>
    <w:p>
      <w:pPr>
        <w:pStyle w:val="ListParagraph"/>
        <w:numPr>
          <w:ilvl w:val="0"/>
          <w:numId w:val="96"/>
        </w:numPr>
        <w:tabs>
          <w:tab w:pos="1761" w:val="left" w:leader="none"/>
          <w:tab w:pos="1762" w:val="left" w:leader="none"/>
        </w:tabs>
        <w:spacing w:line="213" w:lineRule="auto" w:before="0" w:after="0"/>
        <w:ind w:left="1761" w:right="0" w:hanging="794"/>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BodyText"/>
        <w:rPr>
          <w:sz w:val="28"/>
        </w:rPr>
      </w:pPr>
      <w:r>
        <w:rPr/>
        <w:br w:type="column"/>
      </w:r>
      <w:r>
        <w:rPr>
          <w:sz w:val="28"/>
        </w:rPr>
      </w:r>
    </w:p>
    <w:p>
      <w:pPr>
        <w:pStyle w:val="BodyText"/>
        <w:rPr>
          <w:sz w:val="28"/>
        </w:rPr>
      </w:pPr>
    </w:p>
    <w:p>
      <w:pPr>
        <w:spacing w:before="237"/>
        <w:ind w:left="669" w:right="0" w:firstLine="0"/>
        <w:jc w:val="left"/>
        <w:rPr>
          <w:b/>
          <w:sz w:val="24"/>
        </w:rPr>
      </w:pPr>
      <w:r>
        <w:rPr>
          <w:b/>
          <w:color w:val="37617A"/>
          <w:sz w:val="24"/>
        </w:rPr>
        <w:t>151</w:t>
      </w:r>
    </w:p>
    <w:p>
      <w:pPr>
        <w:spacing w:after="0"/>
        <w:jc w:val="left"/>
        <w:rPr>
          <w:sz w:val="24"/>
        </w:rPr>
        <w:sectPr>
          <w:type w:val="continuous"/>
          <w:pgSz w:w="11910" w:h="16840"/>
          <w:pgMar w:top="620" w:bottom="280" w:left="620" w:right="380"/>
          <w:cols w:num="2" w:equalWidth="0">
            <w:col w:w="9599" w:space="40"/>
            <w:col w:w="1271"/>
          </w:cols>
        </w:sectPr>
      </w:pPr>
    </w:p>
    <w:p>
      <w:pPr>
        <w:pStyle w:val="BodyText"/>
        <w:rPr>
          <w:b/>
        </w:rPr>
      </w:pPr>
      <w:r>
        <w:rPr/>
        <w:pict>
          <v:rect style="position:absolute;margin-left:79.370003pt;margin-top:0pt;width:515.906000pt;height:841.890015pt;mso-position-horizontal-relative:page;mso-position-vertical-relative:page;z-index:10120" filled="true" fillcolor="#37617a" stroked="false">
            <v:fill type="solid"/>
            <w10:wrap type="none"/>
          </v:rect>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4"/>
        </w:rPr>
      </w:pPr>
    </w:p>
    <w:p>
      <w:pPr>
        <w:spacing w:before="49"/>
        <w:ind w:left="100" w:right="0" w:firstLine="0"/>
        <w:jc w:val="left"/>
        <w:rPr>
          <w:b/>
          <w:sz w:val="24"/>
        </w:rPr>
      </w:pPr>
      <w:r>
        <w:rPr>
          <w:b/>
          <w:color w:val="37617A"/>
          <w:sz w:val="24"/>
        </w:rPr>
        <w:t>152</w:t>
      </w:r>
    </w:p>
    <w:p>
      <w:pPr>
        <w:spacing w:after="0"/>
        <w:jc w:val="left"/>
        <w:rPr>
          <w:sz w:val="24"/>
        </w:rPr>
        <w:sectPr>
          <w:headerReference w:type="even" r:id="rId213"/>
          <w:pgSz w:w="11910" w:h="16840"/>
          <w:pgMar w:header="0" w:footer="0" w:top="1580" w:bottom="280" w:left="620" w:right="380"/>
        </w:sectPr>
      </w:pPr>
    </w:p>
    <w:p>
      <w:pPr>
        <w:pStyle w:val="BodyText"/>
        <w:rPr>
          <w:b/>
          <w:sz w:val="11"/>
        </w:rPr>
      </w:pPr>
      <w:r>
        <w:rPr/>
        <w:pict>
          <v:rect style="position:absolute;margin-left:0pt;margin-top:0pt;width:595.276001pt;height:841.890015pt;mso-position-horizontal-relative:page;mso-position-vertical-relative:page;z-index:-350152" filled="true" fillcolor="#37617a" stroked="false">
            <v:fill type="solid"/>
            <w10:wrap type="none"/>
          </v:rect>
        </w:pict>
      </w:r>
    </w:p>
    <w:p>
      <w:pPr>
        <w:spacing w:line="688" w:lineRule="exact" w:before="0"/>
        <w:ind w:left="0" w:right="745" w:firstLine="0"/>
        <w:jc w:val="right"/>
        <w:rPr>
          <w:rFonts w:ascii="Raleway SemiBold"/>
          <w:b/>
          <w:sz w:val="50"/>
        </w:rPr>
      </w:pPr>
      <w:r>
        <w:rPr/>
        <w:pict>
          <v:shape style="position:absolute;margin-left:416.251892pt;margin-top:-3.3143pt;width:127.8pt;height:152.65pt;mso-position-horizontal-relative:page;mso-position-vertical-relative:paragraph;z-index:-350128" type="#_x0000_t202" filled="false" stroked="false">
            <v:textbox inset="0,0,0,0">
              <w:txbxContent>
                <w:p>
                  <w:pPr>
                    <w:spacing w:line="3052" w:lineRule="exact" w:before="0"/>
                    <w:ind w:left="0" w:right="0" w:firstLine="0"/>
                    <w:jc w:val="left"/>
                    <w:rPr>
                      <w:b/>
                      <w:sz w:val="260"/>
                    </w:rPr>
                  </w:pPr>
                  <w:r>
                    <w:rPr>
                      <w:b/>
                      <w:color w:val="FFFFFF"/>
                      <w:spacing w:val="-107"/>
                      <w:sz w:val="260"/>
                    </w:rPr>
                    <w:t>14</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5"/>
        <w:rPr>
          <w:rFonts w:ascii="Raleway SemiBold"/>
          <w:b/>
          <w:sz w:val="17"/>
        </w:rPr>
      </w:pPr>
    </w:p>
    <w:p>
      <w:pPr>
        <w:spacing w:line="180" w:lineRule="auto" w:before="166"/>
        <w:ind w:left="967" w:right="1335" w:firstLine="0"/>
        <w:jc w:val="left"/>
        <w:rPr>
          <w:rFonts w:ascii="Raleway ExtraBold"/>
          <w:b/>
          <w:sz w:val="88"/>
        </w:rPr>
      </w:pPr>
      <w:r>
        <w:rPr>
          <w:rFonts w:ascii="Raleway ExtraBold"/>
          <w:b/>
          <w:color w:val="FFFFFF"/>
          <w:spacing w:val="-19"/>
          <w:sz w:val="88"/>
        </w:rPr>
        <w:t>Auslan </w:t>
      </w:r>
      <w:r>
        <w:rPr>
          <w:rFonts w:ascii="Raleway ExtraBold"/>
          <w:b/>
          <w:color w:val="FFFFFF"/>
          <w:spacing w:val="-25"/>
          <w:sz w:val="88"/>
        </w:rPr>
        <w:t>interpreters </w:t>
      </w:r>
      <w:r>
        <w:rPr>
          <w:rFonts w:ascii="Raleway ExtraBold"/>
          <w:b/>
          <w:color w:val="FFFFFF"/>
          <w:spacing w:val="-14"/>
          <w:sz w:val="88"/>
        </w:rPr>
        <w:t>and </w:t>
      </w:r>
      <w:r>
        <w:rPr>
          <w:rFonts w:ascii="Raleway ExtraBold"/>
          <w:b/>
          <w:color w:val="FFFFFF"/>
          <w:spacing w:val="-12"/>
          <w:sz w:val="88"/>
        </w:rPr>
        <w:t>jury </w:t>
      </w:r>
      <w:r>
        <w:rPr>
          <w:rFonts w:ascii="Raleway ExtraBold"/>
          <w:b/>
          <w:color w:val="FFFFFF"/>
          <w:spacing w:val="-19"/>
          <w:sz w:val="88"/>
        </w:rPr>
        <w:t>service</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7"/>
        <w:rPr>
          <w:rFonts w:ascii="Raleway ExtraBold"/>
          <w:b/>
          <w:sz w:val="14"/>
        </w:rPr>
      </w:pPr>
    </w:p>
    <w:tbl>
      <w:tblPr>
        <w:tblW w:w="0" w:type="auto"/>
        <w:jc w:val="left"/>
        <w:tblInd w:w="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8593"/>
      </w:tblGrid>
      <w:tr>
        <w:trPr>
          <w:trHeight w:val="336" w:hRule="atLeast"/>
        </w:trPr>
        <w:tc>
          <w:tcPr>
            <w:tcW w:w="510" w:type="dxa"/>
            <w:tcBorders>
              <w:bottom w:val="single" w:sz="18" w:space="0" w:color="8F9DAD"/>
            </w:tcBorders>
            <w:shd w:val="clear" w:color="auto" w:fill="37617A"/>
          </w:tcPr>
          <w:p>
            <w:pPr>
              <w:pStyle w:val="TableParagraph"/>
              <w:spacing w:line="282" w:lineRule="exact" w:before="0"/>
              <w:ind w:left="0"/>
              <w:rPr>
                <w:b/>
                <w:sz w:val="24"/>
              </w:rPr>
            </w:pPr>
            <w:hyperlink w:history="true" w:anchor="_bookmark110">
              <w:r>
                <w:rPr>
                  <w:b/>
                  <w:color w:val="FFFFFF"/>
                  <w:sz w:val="24"/>
                </w:rPr>
                <w:t>154</w:t>
              </w:r>
            </w:hyperlink>
          </w:p>
        </w:tc>
        <w:tc>
          <w:tcPr>
            <w:tcW w:w="8593" w:type="dxa"/>
            <w:shd w:val="clear" w:color="auto" w:fill="37617A"/>
          </w:tcPr>
          <w:p>
            <w:pPr>
              <w:pStyle w:val="TableParagraph"/>
              <w:spacing w:line="282" w:lineRule="exact" w:before="0"/>
              <w:ind w:left="57"/>
              <w:rPr>
                <w:b/>
                <w:sz w:val="24"/>
              </w:rPr>
            </w:pPr>
            <w:hyperlink w:history="true" w:anchor="_bookmark110">
              <w:r>
                <w:rPr>
                  <w:b/>
                  <w:color w:val="FFFFFF"/>
                  <w:sz w:val="24"/>
                </w:rPr>
                <w:t>Overview</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10">
              <w:r>
                <w:rPr>
                  <w:b/>
                  <w:color w:val="FFFFFF"/>
                  <w:sz w:val="24"/>
                </w:rPr>
                <w:t>154</w:t>
              </w:r>
            </w:hyperlink>
          </w:p>
        </w:tc>
        <w:tc>
          <w:tcPr>
            <w:tcW w:w="8593" w:type="dxa"/>
            <w:shd w:val="clear" w:color="auto" w:fill="37617A"/>
          </w:tcPr>
          <w:p>
            <w:pPr>
              <w:pStyle w:val="TableParagraph"/>
              <w:ind w:left="56"/>
              <w:rPr>
                <w:b/>
                <w:sz w:val="24"/>
              </w:rPr>
            </w:pPr>
            <w:hyperlink w:history="true" w:anchor="_bookmark110">
              <w:r>
                <w:rPr>
                  <w:b/>
                  <w:color w:val="FFFFFF"/>
                  <w:sz w:val="24"/>
                </w:rPr>
                <w:t>The role of an Auslan interpreter</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10">
              <w:r>
                <w:rPr>
                  <w:b/>
                  <w:color w:val="FFFFFF"/>
                  <w:sz w:val="24"/>
                </w:rPr>
                <w:t>154</w:t>
              </w:r>
            </w:hyperlink>
          </w:p>
        </w:tc>
        <w:tc>
          <w:tcPr>
            <w:tcW w:w="8593" w:type="dxa"/>
            <w:shd w:val="clear" w:color="auto" w:fill="37617A"/>
          </w:tcPr>
          <w:p>
            <w:pPr>
              <w:pStyle w:val="TableParagraph"/>
              <w:ind w:left="56"/>
              <w:rPr>
                <w:b/>
                <w:sz w:val="24"/>
              </w:rPr>
            </w:pPr>
            <w:hyperlink w:history="true" w:anchor="_bookmark110">
              <w:r>
                <w:rPr>
                  <w:b/>
                  <w:color w:val="FFFFFF"/>
                  <w:sz w:val="24"/>
                </w:rPr>
                <w:t>Ability to communicate in English</w:t>
              </w:r>
            </w:hyperlink>
          </w:p>
        </w:tc>
      </w:tr>
      <w:tr>
        <w:trPr>
          <w:trHeight w:val="78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11">
              <w:r>
                <w:rPr>
                  <w:b/>
                  <w:color w:val="FFFFFF"/>
                  <w:sz w:val="24"/>
                </w:rPr>
                <w:t>156</w:t>
              </w:r>
            </w:hyperlink>
          </w:p>
        </w:tc>
        <w:tc>
          <w:tcPr>
            <w:tcW w:w="8593" w:type="dxa"/>
            <w:shd w:val="clear" w:color="auto" w:fill="37617A"/>
          </w:tcPr>
          <w:p>
            <w:pPr>
              <w:pStyle w:val="TableParagraph"/>
              <w:spacing w:line="259" w:lineRule="auto"/>
              <w:ind w:left="56" w:right="-8" w:hanging="1"/>
              <w:rPr>
                <w:b/>
                <w:sz w:val="24"/>
              </w:rPr>
            </w:pPr>
            <w:hyperlink w:history="true" w:anchor="_bookmark111">
              <w:r>
                <w:rPr>
                  <w:b/>
                  <w:color w:val="FFFFFF"/>
                  <w:sz w:val="24"/>
                </w:rPr>
                <w:t>Recommended National Standards for </w:t>
              </w:r>
              <w:r>
                <w:rPr>
                  <w:b/>
                  <w:color w:val="FFFFFF"/>
                  <w:spacing w:val="-3"/>
                  <w:sz w:val="24"/>
                </w:rPr>
                <w:t>Working </w:t>
              </w:r>
              <w:r>
                <w:rPr>
                  <w:b/>
                  <w:color w:val="FFFFFF"/>
                  <w:sz w:val="24"/>
                </w:rPr>
                <w:t>with Interpreters in Courts</w:t>
              </w:r>
            </w:hyperlink>
            <w:r>
              <w:rPr>
                <w:b/>
                <w:color w:val="FFFFFF"/>
                <w:sz w:val="24"/>
              </w:rPr>
              <w:t> </w:t>
            </w:r>
            <w:hyperlink w:history="true" w:anchor="_bookmark111">
              <w:r>
                <w:rPr>
                  <w:b/>
                  <w:color w:val="FFFFFF"/>
                  <w:sz w:val="24"/>
                </w:rPr>
                <w:t>and </w:t>
              </w:r>
              <w:r>
                <w:rPr>
                  <w:b/>
                  <w:color w:val="FFFFFF"/>
                  <w:spacing w:val="-3"/>
                  <w:sz w:val="24"/>
                </w:rPr>
                <w:t>Tribunals</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13">
              <w:r>
                <w:rPr>
                  <w:b/>
                  <w:color w:val="FFFFFF"/>
                  <w:sz w:val="24"/>
                </w:rPr>
                <w:t>158</w:t>
              </w:r>
            </w:hyperlink>
          </w:p>
        </w:tc>
        <w:tc>
          <w:tcPr>
            <w:tcW w:w="8593" w:type="dxa"/>
            <w:shd w:val="clear" w:color="auto" w:fill="37617A"/>
          </w:tcPr>
          <w:p>
            <w:pPr>
              <w:pStyle w:val="TableParagraph"/>
              <w:ind w:left="56"/>
              <w:rPr>
                <w:b/>
                <w:sz w:val="24"/>
              </w:rPr>
            </w:pPr>
            <w:hyperlink w:history="true" w:anchor="_bookmark113">
              <w:r>
                <w:rPr>
                  <w:b/>
                  <w:color w:val="FFFFFF"/>
                  <w:sz w:val="24"/>
                </w:rPr>
                <w:t>Training and certification requirements for Auslan interpreters</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16">
              <w:r>
                <w:rPr>
                  <w:b/>
                  <w:color w:val="FFFFFF"/>
                  <w:sz w:val="24"/>
                </w:rPr>
                <w:t>161</w:t>
              </w:r>
            </w:hyperlink>
          </w:p>
        </w:tc>
        <w:tc>
          <w:tcPr>
            <w:tcW w:w="8593" w:type="dxa"/>
            <w:shd w:val="clear" w:color="auto" w:fill="37617A"/>
          </w:tcPr>
          <w:p>
            <w:pPr>
              <w:pStyle w:val="TableParagraph"/>
              <w:ind w:left="56"/>
              <w:rPr>
                <w:b/>
                <w:sz w:val="24"/>
              </w:rPr>
            </w:pPr>
            <w:hyperlink w:history="true" w:anchor="_bookmark116">
              <w:r>
                <w:rPr>
                  <w:b/>
                  <w:color w:val="FFFFFF"/>
                  <w:sz w:val="24"/>
                </w:rPr>
                <w:t>Standards for Auslan interpreters working with jurors</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17">
              <w:r>
                <w:rPr>
                  <w:b/>
                  <w:color w:val="FFFFFF"/>
                  <w:sz w:val="24"/>
                </w:rPr>
                <w:t>163</w:t>
              </w:r>
            </w:hyperlink>
          </w:p>
        </w:tc>
        <w:tc>
          <w:tcPr>
            <w:tcW w:w="8593" w:type="dxa"/>
            <w:shd w:val="clear" w:color="auto" w:fill="37617A"/>
          </w:tcPr>
          <w:p>
            <w:pPr>
              <w:pStyle w:val="TableParagraph"/>
              <w:ind w:left="56"/>
              <w:rPr>
                <w:b/>
                <w:sz w:val="24"/>
              </w:rPr>
            </w:pPr>
            <w:hyperlink w:history="true" w:anchor="_bookmark117">
              <w:r>
                <w:rPr>
                  <w:b/>
                  <w:color w:val="FFFFFF"/>
                  <w:sz w:val="24"/>
                </w:rPr>
                <w:t>A new code of conduct for Auslan interpreters</w:t>
              </w:r>
            </w:hyperlink>
          </w:p>
        </w:tc>
      </w:tr>
      <w:tr>
        <w:trPr>
          <w:trHeight w:val="78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18">
              <w:r>
                <w:rPr>
                  <w:b/>
                  <w:color w:val="FFFFFF"/>
                  <w:sz w:val="24"/>
                </w:rPr>
                <w:t>164</w:t>
              </w:r>
            </w:hyperlink>
          </w:p>
        </w:tc>
        <w:tc>
          <w:tcPr>
            <w:tcW w:w="8593" w:type="dxa"/>
            <w:shd w:val="clear" w:color="auto" w:fill="37617A"/>
          </w:tcPr>
          <w:p>
            <w:pPr>
              <w:pStyle w:val="TableParagraph"/>
              <w:ind w:left="56"/>
              <w:rPr>
                <w:b/>
                <w:sz w:val="24"/>
              </w:rPr>
            </w:pPr>
            <w:hyperlink w:history="true" w:anchor="_bookmark118">
              <w:r>
                <w:rPr>
                  <w:b/>
                  <w:color w:val="FFFFFF"/>
                  <w:sz w:val="24"/>
                </w:rPr>
                <w:t>Auslan interpreters should provide an oath or affirmation to</w:t>
              </w:r>
            </w:hyperlink>
          </w:p>
          <w:p>
            <w:pPr>
              <w:pStyle w:val="TableParagraph"/>
              <w:spacing w:before="27"/>
              <w:ind w:left="56"/>
              <w:rPr>
                <w:b/>
                <w:sz w:val="24"/>
              </w:rPr>
            </w:pPr>
            <w:hyperlink w:history="true" w:anchor="_bookmark118">
              <w:r>
                <w:rPr>
                  <w:b/>
                  <w:color w:val="FFFFFF"/>
                  <w:sz w:val="24"/>
                </w:rPr>
                <w:t>the court</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20">
              <w:r>
                <w:rPr>
                  <w:b/>
                  <w:color w:val="FFFFFF"/>
                  <w:sz w:val="24"/>
                </w:rPr>
                <w:t>166</w:t>
              </w:r>
            </w:hyperlink>
          </w:p>
        </w:tc>
        <w:tc>
          <w:tcPr>
            <w:tcW w:w="8593" w:type="dxa"/>
            <w:shd w:val="clear" w:color="auto" w:fill="37617A"/>
          </w:tcPr>
          <w:p>
            <w:pPr>
              <w:pStyle w:val="TableParagraph"/>
              <w:ind w:left="56"/>
              <w:rPr>
                <w:b/>
                <w:sz w:val="24"/>
              </w:rPr>
            </w:pPr>
            <w:hyperlink w:history="true" w:anchor="_bookmark120">
              <w:r>
                <w:rPr>
                  <w:b/>
                  <w:color w:val="FFFFFF"/>
                  <w:sz w:val="24"/>
                </w:rPr>
                <w:t>Addressing the shortage of Auslan interpreters in the courts</w:t>
              </w:r>
            </w:hyperlink>
          </w:p>
        </w:tc>
      </w:tr>
    </w:tbl>
    <w:p>
      <w:pPr>
        <w:spacing w:after="0"/>
        <w:rPr>
          <w:sz w:val="24"/>
        </w:rPr>
        <w:sectPr>
          <w:headerReference w:type="default" r:id="rId214"/>
          <w:headerReference w:type="even" r:id="rId215"/>
          <w:pgSz w:w="11910" w:h="16840"/>
          <w:pgMar w:header="0" w:footer="0" w:top="480" w:bottom="280" w:left="620" w:right="380"/>
        </w:sectPr>
      </w:pPr>
    </w:p>
    <w:p>
      <w:pPr>
        <w:pStyle w:val="BodyText"/>
        <w:rPr>
          <w:rFonts w:ascii="Raleway ExtraBold"/>
          <w:b/>
        </w:rPr>
      </w:pPr>
    </w:p>
    <w:p>
      <w:pPr>
        <w:pStyle w:val="BodyText"/>
        <w:rPr>
          <w:rFonts w:ascii="Raleway ExtraBold"/>
          <w:b/>
        </w:rPr>
      </w:pPr>
    </w:p>
    <w:p>
      <w:pPr>
        <w:pStyle w:val="BodyText"/>
        <w:spacing w:before="10"/>
        <w:rPr>
          <w:rFonts w:ascii="Raleway ExtraBold"/>
          <w:b/>
          <w:sz w:val="23"/>
        </w:rPr>
      </w:pPr>
    </w:p>
    <w:p>
      <w:pPr>
        <w:pStyle w:val="ListParagraph"/>
        <w:numPr>
          <w:ilvl w:val="0"/>
          <w:numId w:val="12"/>
        </w:numPr>
        <w:tabs>
          <w:tab w:pos="1122" w:val="left" w:leader="none"/>
        </w:tabs>
        <w:spacing w:line="184" w:lineRule="auto" w:before="129" w:after="0"/>
        <w:ind w:left="230" w:right="4593" w:firstLine="0"/>
        <w:jc w:val="left"/>
        <w:rPr>
          <w:rFonts w:ascii="Raleway ExtraBold"/>
          <w:b/>
          <w:sz w:val="56"/>
        </w:rPr>
      </w:pPr>
      <w:bookmarkStart w:name="14. Auslan interpreters and jury service" w:id="261"/>
      <w:bookmarkEnd w:id="261"/>
      <w:r>
        <w:rPr/>
      </w:r>
      <w:bookmarkStart w:name="Overview" w:id="262"/>
      <w:bookmarkEnd w:id="262"/>
      <w:r>
        <w:rPr/>
      </w:r>
      <w:bookmarkStart w:name="The role of an Auslan interpreter" w:id="263"/>
      <w:bookmarkEnd w:id="263"/>
      <w:r>
        <w:rPr/>
      </w:r>
      <w:bookmarkStart w:name="Ability to communicate in English" w:id="264"/>
      <w:bookmarkEnd w:id="264"/>
      <w:r>
        <w:rPr/>
      </w:r>
      <w:bookmarkStart w:name="_bookmark110" w:id="265"/>
      <w:bookmarkEnd w:id="265"/>
      <w:r>
        <w:rPr/>
      </w:r>
      <w:bookmarkStart w:name="_bookmark110" w:id="266"/>
      <w:bookmarkEnd w:id="266"/>
      <w:r>
        <w:rPr>
          <w:rFonts w:ascii="Raleway ExtraBold"/>
          <w:b/>
          <w:color w:val="37617A"/>
          <w:spacing w:val="-3"/>
          <w:sz w:val="56"/>
        </w:rPr>
        <w:t>A</w:t>
      </w:r>
      <w:r>
        <w:rPr>
          <w:rFonts w:ascii="Raleway ExtraBold"/>
          <w:b/>
          <w:color w:val="37617A"/>
          <w:spacing w:val="-3"/>
          <w:sz w:val="56"/>
        </w:rPr>
        <w:t>uslan </w:t>
      </w:r>
      <w:r>
        <w:rPr>
          <w:rFonts w:ascii="Raleway ExtraBold"/>
          <w:b/>
          <w:color w:val="37617A"/>
          <w:spacing w:val="-6"/>
          <w:sz w:val="56"/>
        </w:rPr>
        <w:t>interpreters </w:t>
      </w:r>
      <w:r>
        <w:rPr>
          <w:rFonts w:ascii="Raleway ExtraBold"/>
          <w:b/>
          <w:color w:val="37617A"/>
          <w:sz w:val="56"/>
        </w:rPr>
        <w:t>and jury</w:t>
      </w:r>
      <w:r>
        <w:rPr>
          <w:rFonts w:ascii="Raleway ExtraBold"/>
          <w:b/>
          <w:color w:val="37617A"/>
          <w:spacing w:val="-2"/>
          <w:sz w:val="56"/>
        </w:rPr>
        <w:t> </w:t>
      </w:r>
      <w:r>
        <w:rPr>
          <w:rFonts w:ascii="Raleway ExtraBold"/>
          <w:b/>
          <w:color w:val="37617A"/>
          <w:spacing w:val="-3"/>
          <w:sz w:val="56"/>
        </w:rPr>
        <w:t>service</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4"/>
        <w:rPr>
          <w:rFonts w:ascii="Raleway ExtraBold"/>
          <w:b/>
          <w:sz w:val="14"/>
        </w:rPr>
      </w:pPr>
      <w:r>
        <w:rPr/>
        <w:pict>
          <v:line style="position:absolute;mso-position-horizontal-relative:page;mso-position-vertical-relative:paragraph;z-index:8144;mso-wrap-distance-left:0;mso-wrap-distance-right:0" from="79.370102pt,12.15954pt" to="515.905102pt,12.15954pt" stroked="true" strokeweight=".5pt" strokecolor="#8f9dad">
            <v:stroke dashstyle="solid"/>
            <w10:wrap type="topAndBottom"/>
          </v:line>
        </w:pict>
      </w:r>
    </w:p>
    <w:p>
      <w:pPr>
        <w:pStyle w:val="BodyText"/>
        <w:spacing w:before="11"/>
        <w:rPr>
          <w:rFonts w:ascii="Raleway ExtraBold"/>
          <w:b/>
          <w:sz w:val="8"/>
        </w:rPr>
      </w:pPr>
    </w:p>
    <w:p>
      <w:pPr>
        <w:spacing w:line="252" w:lineRule="auto" w:before="101"/>
        <w:ind w:left="1806" w:right="2044" w:firstLine="0"/>
        <w:jc w:val="center"/>
        <w:rPr>
          <w:rFonts w:ascii="Trebuchet MS" w:hAnsi="Trebuchet MS"/>
          <w:sz w:val="19"/>
        </w:rPr>
      </w:pPr>
      <w:r>
        <w:rPr>
          <w:rFonts w:ascii="Trebuchet MS" w:hAnsi="Trebuchet MS"/>
          <w:i/>
          <w:color w:val="37617A"/>
          <w:sz w:val="20"/>
        </w:rPr>
        <w:t>Highly</w:t>
      </w:r>
      <w:r>
        <w:rPr>
          <w:rFonts w:ascii="Trebuchet MS" w:hAnsi="Trebuchet MS"/>
          <w:i/>
          <w:color w:val="37617A"/>
          <w:spacing w:val="-27"/>
          <w:sz w:val="20"/>
        </w:rPr>
        <w:t> </w:t>
      </w:r>
      <w:r>
        <w:rPr>
          <w:rFonts w:ascii="Trebuchet MS" w:hAnsi="Trebuchet MS"/>
          <w:i/>
          <w:color w:val="37617A"/>
          <w:sz w:val="20"/>
        </w:rPr>
        <w:t>competent</w:t>
      </w:r>
      <w:r>
        <w:rPr>
          <w:rFonts w:ascii="Trebuchet MS" w:hAnsi="Trebuchet MS"/>
          <w:i/>
          <w:color w:val="37617A"/>
          <w:spacing w:val="-27"/>
          <w:sz w:val="20"/>
        </w:rPr>
        <w:t> </w:t>
      </w:r>
      <w:r>
        <w:rPr>
          <w:rFonts w:ascii="Trebuchet MS" w:hAnsi="Trebuchet MS"/>
          <w:i/>
          <w:color w:val="37617A"/>
          <w:sz w:val="20"/>
        </w:rPr>
        <w:t>professional</w:t>
      </w:r>
      <w:r>
        <w:rPr>
          <w:rFonts w:ascii="Trebuchet MS" w:hAnsi="Trebuchet MS"/>
          <w:i/>
          <w:color w:val="37617A"/>
          <w:spacing w:val="-27"/>
          <w:sz w:val="20"/>
        </w:rPr>
        <w:t> </w:t>
      </w:r>
      <w:r>
        <w:rPr>
          <w:rFonts w:ascii="Trebuchet MS" w:hAnsi="Trebuchet MS"/>
          <w:i/>
          <w:color w:val="37617A"/>
          <w:sz w:val="20"/>
        </w:rPr>
        <w:t>and</w:t>
      </w:r>
      <w:r>
        <w:rPr>
          <w:rFonts w:ascii="Trebuchet MS" w:hAnsi="Trebuchet MS"/>
          <w:i/>
          <w:color w:val="37617A"/>
          <w:spacing w:val="-26"/>
          <w:sz w:val="20"/>
        </w:rPr>
        <w:t> </w:t>
      </w:r>
      <w:r>
        <w:rPr>
          <w:rFonts w:ascii="Trebuchet MS" w:hAnsi="Trebuchet MS"/>
          <w:i/>
          <w:color w:val="37617A"/>
          <w:sz w:val="20"/>
        </w:rPr>
        <w:t>ethical</w:t>
      </w:r>
      <w:r>
        <w:rPr>
          <w:rFonts w:ascii="Trebuchet MS" w:hAnsi="Trebuchet MS"/>
          <w:i/>
          <w:color w:val="37617A"/>
          <w:spacing w:val="-27"/>
          <w:sz w:val="20"/>
        </w:rPr>
        <w:t> </w:t>
      </w:r>
      <w:r>
        <w:rPr>
          <w:rFonts w:ascii="Trebuchet MS" w:hAnsi="Trebuchet MS"/>
          <w:i/>
          <w:color w:val="37617A"/>
          <w:sz w:val="20"/>
        </w:rPr>
        <w:t>interpreters</w:t>
      </w:r>
      <w:r>
        <w:rPr>
          <w:rFonts w:ascii="Trebuchet MS" w:hAnsi="Trebuchet MS"/>
          <w:i/>
          <w:color w:val="37617A"/>
          <w:spacing w:val="-27"/>
          <w:sz w:val="20"/>
        </w:rPr>
        <w:t> </w:t>
      </w:r>
      <w:r>
        <w:rPr>
          <w:rFonts w:ascii="Trebuchet MS" w:hAnsi="Trebuchet MS"/>
          <w:i/>
          <w:color w:val="37617A"/>
          <w:sz w:val="20"/>
        </w:rPr>
        <w:t>were</w:t>
      </w:r>
      <w:r>
        <w:rPr>
          <w:rFonts w:ascii="Trebuchet MS" w:hAnsi="Trebuchet MS"/>
          <w:i/>
          <w:color w:val="37617A"/>
          <w:spacing w:val="-26"/>
          <w:sz w:val="20"/>
        </w:rPr>
        <w:t> </w:t>
      </w:r>
      <w:r>
        <w:rPr>
          <w:rFonts w:ascii="Trebuchet MS" w:hAnsi="Trebuchet MS"/>
          <w:i/>
          <w:color w:val="37617A"/>
          <w:sz w:val="20"/>
        </w:rPr>
        <w:t>able</w:t>
      </w:r>
      <w:r>
        <w:rPr>
          <w:rFonts w:ascii="Trebuchet MS" w:hAnsi="Trebuchet MS"/>
          <w:i/>
          <w:color w:val="37617A"/>
          <w:spacing w:val="-27"/>
          <w:sz w:val="20"/>
        </w:rPr>
        <w:t> </w:t>
      </w:r>
      <w:r>
        <w:rPr>
          <w:rFonts w:ascii="Trebuchet MS" w:hAnsi="Trebuchet MS"/>
          <w:i/>
          <w:color w:val="37617A"/>
          <w:sz w:val="20"/>
        </w:rPr>
        <w:t>to</w:t>
      </w:r>
      <w:r>
        <w:rPr>
          <w:rFonts w:ascii="Trebuchet MS" w:hAnsi="Trebuchet MS"/>
          <w:i/>
          <w:color w:val="37617A"/>
          <w:spacing w:val="-27"/>
          <w:sz w:val="20"/>
        </w:rPr>
        <w:t> </w:t>
      </w:r>
      <w:r>
        <w:rPr>
          <w:rFonts w:ascii="Trebuchet MS" w:hAnsi="Trebuchet MS"/>
          <w:i/>
          <w:color w:val="37617A"/>
          <w:sz w:val="20"/>
        </w:rPr>
        <w:t>effectively </w:t>
      </w:r>
      <w:r>
        <w:rPr>
          <w:rFonts w:ascii="Trebuchet MS" w:hAnsi="Trebuchet MS"/>
          <w:i/>
          <w:color w:val="37617A"/>
          <w:spacing w:val="-4"/>
          <w:w w:val="84"/>
          <w:sz w:val="20"/>
        </w:rPr>
        <w:t>r</w:t>
      </w:r>
      <w:r>
        <w:rPr>
          <w:rFonts w:ascii="Trebuchet MS" w:hAnsi="Trebuchet MS"/>
          <w:i/>
          <w:color w:val="37617A"/>
          <w:spacing w:val="1"/>
          <w:w w:val="100"/>
          <w:sz w:val="20"/>
        </w:rPr>
        <w:t>e</w:t>
      </w:r>
      <w:r>
        <w:rPr>
          <w:rFonts w:ascii="Trebuchet MS" w:hAnsi="Trebuchet MS"/>
          <w:i/>
          <w:color w:val="37617A"/>
          <w:w w:val="106"/>
          <w:sz w:val="20"/>
        </w:rPr>
        <w:t>m</w:t>
      </w:r>
      <w:r>
        <w:rPr>
          <w:rFonts w:ascii="Trebuchet MS" w:hAnsi="Trebuchet MS"/>
          <w:i/>
          <w:color w:val="37617A"/>
          <w:spacing w:val="-3"/>
          <w:w w:val="107"/>
          <w:sz w:val="20"/>
        </w:rPr>
        <w:t>o</w:t>
      </w:r>
      <w:r>
        <w:rPr>
          <w:rFonts w:ascii="Trebuchet MS" w:hAnsi="Trebuchet MS"/>
          <w:i/>
          <w:color w:val="37617A"/>
          <w:spacing w:val="-3"/>
          <w:w w:val="103"/>
          <w:sz w:val="20"/>
        </w:rPr>
        <w:t>v</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6"/>
          <w:sz w:val="20"/>
        </w:rPr>
        <w:t>m</w:t>
      </w:r>
      <w:r>
        <w:rPr>
          <w:rFonts w:ascii="Trebuchet MS" w:hAnsi="Trebuchet MS"/>
          <w:i/>
          <w:color w:val="37617A"/>
          <w:spacing w:val="-1"/>
          <w:w w:val="106"/>
          <w:sz w:val="20"/>
        </w:rPr>
        <w:t>m</w:t>
      </w:r>
      <w:r>
        <w:rPr>
          <w:rFonts w:ascii="Trebuchet MS" w:hAnsi="Trebuchet MS"/>
          <w:i/>
          <w:color w:val="37617A"/>
          <w:w w:val="103"/>
          <w:sz w:val="20"/>
        </w:rPr>
        <w:t>u</w:t>
      </w:r>
      <w:r>
        <w:rPr>
          <w:rFonts w:ascii="Trebuchet MS" w:hAnsi="Trebuchet MS"/>
          <w:i/>
          <w:color w:val="37617A"/>
          <w:w w:val="103"/>
          <w:sz w:val="20"/>
        </w:rPr>
        <w:t>n</w:t>
      </w:r>
      <w:r>
        <w:rPr>
          <w:rFonts w:ascii="Trebuchet MS" w:hAnsi="Trebuchet MS"/>
          <w:i/>
          <w:color w:val="37617A"/>
          <w:w w:val="73"/>
          <w:sz w:val="20"/>
        </w:rPr>
        <w:t>i</w:t>
      </w:r>
      <w:r>
        <w:rPr>
          <w:rFonts w:ascii="Trebuchet MS" w:hAnsi="Trebuchet MS"/>
          <w:i/>
          <w:color w:val="37617A"/>
          <w:spacing w:val="-1"/>
          <w:w w:val="115"/>
          <w:sz w:val="20"/>
        </w:rPr>
        <w:t>c</w:t>
      </w:r>
      <w:r>
        <w:rPr>
          <w:rFonts w:ascii="Trebuchet MS" w:hAnsi="Trebuchet MS"/>
          <w:i/>
          <w:color w:val="37617A"/>
          <w:spacing w:val="-1"/>
          <w:w w:val="99"/>
          <w:sz w:val="20"/>
        </w:rPr>
        <w:t>at</w:t>
      </w:r>
      <w:r>
        <w:rPr>
          <w:rFonts w:ascii="Trebuchet MS" w:hAnsi="Trebuchet MS"/>
          <w:i/>
          <w:color w:val="37617A"/>
          <w:w w:val="73"/>
          <w:sz w:val="20"/>
        </w:rPr>
        <w:t>i</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w w:val="115"/>
          <w:sz w:val="20"/>
        </w:rPr>
        <w:t>a</w:t>
      </w:r>
      <w:r>
        <w:rPr>
          <w:rFonts w:ascii="Trebuchet MS" w:hAnsi="Trebuchet MS"/>
          <w:i/>
          <w:color w:val="37617A"/>
          <w:spacing w:val="-2"/>
          <w:w w:val="84"/>
          <w:sz w:val="20"/>
        </w:rPr>
        <w:t>rr</w:t>
      </w:r>
      <w:r>
        <w:rPr>
          <w:rFonts w:ascii="Trebuchet MS" w:hAnsi="Trebuchet MS"/>
          <w:i/>
          <w:color w:val="37617A"/>
          <w:w w:val="73"/>
          <w:sz w:val="20"/>
        </w:rPr>
        <w:t>i</w:t>
      </w:r>
      <w:r>
        <w:rPr>
          <w:rFonts w:ascii="Trebuchet MS" w:hAnsi="Trebuchet MS"/>
          <w:i/>
          <w:color w:val="37617A"/>
          <w:spacing w:val="1"/>
          <w:w w:val="100"/>
          <w:sz w:val="20"/>
        </w:rPr>
        <w:t>e</w:t>
      </w:r>
      <w:r>
        <w:rPr>
          <w:rFonts w:ascii="Trebuchet MS" w:hAnsi="Trebuchet MS"/>
          <w:i/>
          <w:color w:val="37617A"/>
          <w:spacing w:val="-11"/>
          <w:w w:val="84"/>
          <w:sz w:val="20"/>
        </w:rPr>
        <w:t>r</w:t>
      </w:r>
      <w:r>
        <w:rPr>
          <w:rFonts w:ascii="Trebuchet MS" w:hAnsi="Trebuchet MS"/>
          <w:i/>
          <w:color w:val="37617A"/>
          <w:w w:val="54"/>
          <w:sz w:val="20"/>
        </w:rPr>
        <w:t>.</w:t>
      </w:r>
      <w:r>
        <w:rPr>
          <w:rFonts w:ascii="Trebuchet MS" w:hAnsi="Trebuchet MS"/>
          <w:i/>
          <w:color w:val="37617A"/>
          <w:spacing w:val="4"/>
          <w:w w:val="87"/>
          <w:position w:val="7"/>
          <w:sz w:val="11"/>
        </w:rPr>
        <w:t>1</w:t>
      </w:r>
      <w:r>
        <w:rPr>
          <w:rFonts w:ascii="Trebuchet MS" w:hAnsi="Trebuchet MS"/>
          <w:color w:val="37617A"/>
          <w:spacing w:val="4"/>
          <w:w w:val="124"/>
          <w:sz w:val="19"/>
        </w:rPr>
        <w:t>—</w:t>
      </w:r>
      <w:r>
        <w:rPr>
          <w:rFonts w:ascii="Trebuchet MS" w:hAnsi="Trebuchet MS"/>
          <w:color w:val="37617A"/>
          <w:spacing w:val="1"/>
          <w:w w:val="111"/>
          <w:sz w:val="19"/>
        </w:rPr>
        <w:t>O</w:t>
      </w:r>
      <w:r>
        <w:rPr>
          <w:rFonts w:ascii="Trebuchet MS" w:hAnsi="Trebuchet MS"/>
          <w:color w:val="37617A"/>
          <w:spacing w:val="-1"/>
          <w:w w:val="111"/>
          <w:sz w:val="19"/>
        </w:rPr>
        <w:t>b</w:t>
      </w:r>
      <w:r>
        <w:rPr>
          <w:rFonts w:ascii="Trebuchet MS" w:hAnsi="Trebuchet MS"/>
          <w:color w:val="37617A"/>
          <w:w w:val="122"/>
          <w:sz w:val="19"/>
        </w:rPr>
        <w:t>s</w:t>
      </w:r>
      <w:r>
        <w:rPr>
          <w:rFonts w:ascii="Trebuchet MS" w:hAnsi="Trebuchet MS"/>
          <w:color w:val="37617A"/>
          <w:w w:val="108"/>
          <w:sz w:val="19"/>
        </w:rPr>
        <w:t>e</w:t>
      </w:r>
      <w:r>
        <w:rPr>
          <w:rFonts w:ascii="Trebuchet MS" w:hAnsi="Trebuchet MS"/>
          <w:color w:val="37617A"/>
          <w:spacing w:val="4"/>
          <w:w w:val="93"/>
          <w:sz w:val="19"/>
        </w:rPr>
        <w:t>r</w:t>
      </w:r>
      <w:r>
        <w:rPr>
          <w:rFonts w:ascii="Trebuchet MS" w:hAnsi="Trebuchet MS"/>
          <w:color w:val="37617A"/>
          <w:spacing w:val="-2"/>
          <w:w w:val="109"/>
          <w:sz w:val="19"/>
        </w:rPr>
        <w:t>v</w:t>
      </w:r>
      <w:r>
        <w:rPr>
          <w:rFonts w:ascii="Trebuchet MS" w:hAnsi="Trebuchet MS"/>
          <w:color w:val="37617A"/>
          <w:spacing w:val="-3"/>
          <w:w w:val="105"/>
          <w:sz w:val="19"/>
        </w:rPr>
        <w:t>a</w:t>
      </w:r>
      <w:r>
        <w:rPr>
          <w:rFonts w:ascii="Trebuchet MS" w:hAnsi="Trebuchet MS"/>
          <w:color w:val="37617A"/>
          <w:w w:val="88"/>
          <w:sz w:val="19"/>
        </w:rPr>
        <w:t>t</w:t>
      </w:r>
      <w:r>
        <w:rPr>
          <w:rFonts w:ascii="Trebuchet MS" w:hAnsi="Trebuchet MS"/>
          <w:color w:val="37617A"/>
          <w:w w:val="80"/>
          <w:sz w:val="19"/>
        </w:rPr>
        <w:t>i</w:t>
      </w:r>
      <w:r>
        <w:rPr>
          <w:rFonts w:ascii="Trebuchet MS" w:hAnsi="Trebuchet MS"/>
          <w:color w:val="37617A"/>
          <w:w w:val="111"/>
          <w:sz w:val="19"/>
        </w:rPr>
        <w:t>o</w:t>
      </w:r>
      <w:r>
        <w:rPr>
          <w:rFonts w:ascii="Trebuchet MS" w:hAnsi="Trebuchet MS"/>
          <w:color w:val="37617A"/>
          <w:w w:val="107"/>
          <w:sz w:val="19"/>
        </w:rPr>
        <w:t>n</w:t>
      </w:r>
      <w:r>
        <w:rPr>
          <w:rFonts w:ascii="Trebuchet MS" w:hAnsi="Trebuchet MS"/>
          <w:color w:val="37617A"/>
          <w:spacing w:val="-12"/>
          <w:sz w:val="19"/>
        </w:rPr>
        <w:t> </w:t>
      </w:r>
      <w:r>
        <w:rPr>
          <w:rFonts w:ascii="Trebuchet MS" w:hAnsi="Trebuchet MS"/>
          <w:color w:val="37617A"/>
          <w:spacing w:val="-1"/>
          <w:w w:val="92"/>
          <w:sz w:val="19"/>
        </w:rPr>
        <w:t>f</w:t>
      </w:r>
      <w:r>
        <w:rPr>
          <w:rFonts w:ascii="Trebuchet MS" w:hAnsi="Trebuchet MS"/>
          <w:color w:val="37617A"/>
          <w:spacing w:val="-3"/>
          <w:w w:val="93"/>
          <w:sz w:val="19"/>
        </w:rPr>
        <w:t>r</w:t>
      </w:r>
      <w:r>
        <w:rPr>
          <w:rFonts w:ascii="Trebuchet MS" w:hAnsi="Trebuchet MS"/>
          <w:color w:val="37617A"/>
          <w:w w:val="111"/>
          <w:sz w:val="19"/>
        </w:rPr>
        <w:t>o</w:t>
      </w:r>
      <w:r>
        <w:rPr>
          <w:rFonts w:ascii="Trebuchet MS" w:hAnsi="Trebuchet MS"/>
          <w:color w:val="37617A"/>
          <w:w w:val="111"/>
          <w:sz w:val="19"/>
        </w:rPr>
        <w:t>m</w:t>
      </w:r>
      <w:r>
        <w:rPr>
          <w:rFonts w:ascii="Trebuchet MS" w:hAnsi="Trebuchet MS"/>
          <w:color w:val="37617A"/>
          <w:spacing w:val="-12"/>
          <w:sz w:val="19"/>
        </w:rPr>
        <w:t> </w:t>
      </w:r>
      <w:r>
        <w:rPr>
          <w:rFonts w:ascii="Trebuchet MS" w:hAnsi="Trebuchet MS"/>
          <w:color w:val="37617A"/>
          <w:spacing w:val="-1"/>
          <w:w w:val="105"/>
          <w:sz w:val="19"/>
        </w:rPr>
        <w:t>a</w:t>
      </w:r>
      <w:r>
        <w:rPr>
          <w:rFonts w:ascii="Trebuchet MS" w:hAnsi="Trebuchet MS"/>
          <w:color w:val="37617A"/>
          <w:spacing w:val="2"/>
          <w:w w:val="111"/>
          <w:sz w:val="19"/>
        </w:rPr>
        <w:t>c</w:t>
      </w:r>
      <w:r>
        <w:rPr>
          <w:rFonts w:ascii="Trebuchet MS" w:hAnsi="Trebuchet MS"/>
          <w:color w:val="37617A"/>
          <w:spacing w:val="-1"/>
          <w:w w:val="105"/>
          <w:sz w:val="19"/>
        </w:rPr>
        <w:t>a</w:t>
      </w:r>
      <w:r>
        <w:rPr>
          <w:rFonts w:ascii="Trebuchet MS" w:hAnsi="Trebuchet MS"/>
          <w:color w:val="37617A"/>
          <w:spacing w:val="-1"/>
          <w:w w:val="112"/>
          <w:sz w:val="19"/>
        </w:rPr>
        <w:t>d</w:t>
      </w:r>
      <w:r>
        <w:rPr>
          <w:rFonts w:ascii="Trebuchet MS" w:hAnsi="Trebuchet MS"/>
          <w:color w:val="37617A"/>
          <w:w w:val="108"/>
          <w:sz w:val="19"/>
        </w:rPr>
        <w:t>e</w:t>
      </w:r>
      <w:r>
        <w:rPr>
          <w:rFonts w:ascii="Trebuchet MS" w:hAnsi="Trebuchet MS"/>
          <w:color w:val="37617A"/>
          <w:w w:val="111"/>
          <w:sz w:val="19"/>
        </w:rPr>
        <w:t>m</w:t>
      </w:r>
      <w:r>
        <w:rPr>
          <w:rFonts w:ascii="Trebuchet MS" w:hAnsi="Trebuchet MS"/>
          <w:color w:val="37617A"/>
          <w:w w:val="80"/>
          <w:sz w:val="19"/>
        </w:rPr>
        <w:t>i</w:t>
      </w:r>
      <w:r>
        <w:rPr>
          <w:rFonts w:ascii="Trebuchet MS" w:hAnsi="Trebuchet MS"/>
          <w:color w:val="37617A"/>
          <w:w w:val="111"/>
          <w:sz w:val="19"/>
        </w:rPr>
        <w:t>c</w:t>
      </w:r>
      <w:r>
        <w:rPr>
          <w:rFonts w:ascii="Trebuchet MS" w:hAnsi="Trebuchet MS"/>
          <w:color w:val="37617A"/>
          <w:w w:val="122"/>
          <w:sz w:val="19"/>
        </w:rPr>
        <w:t>s</w:t>
      </w:r>
      <w:r>
        <w:rPr>
          <w:rFonts w:ascii="Trebuchet MS" w:hAnsi="Trebuchet MS"/>
          <w:color w:val="37617A"/>
          <w:spacing w:val="-12"/>
          <w:sz w:val="19"/>
        </w:rPr>
        <w:t> </w:t>
      </w:r>
      <w:r>
        <w:rPr>
          <w:rFonts w:ascii="Trebuchet MS" w:hAnsi="Trebuchet MS"/>
          <w:color w:val="37617A"/>
          <w:w w:val="110"/>
          <w:sz w:val="19"/>
        </w:rPr>
        <w:t>w</w:t>
      </w:r>
      <w:r>
        <w:rPr>
          <w:rFonts w:ascii="Trebuchet MS" w:hAnsi="Trebuchet MS"/>
          <w:color w:val="37617A"/>
          <w:w w:val="107"/>
          <w:sz w:val="19"/>
        </w:rPr>
        <w:t>h</w:t>
      </w:r>
      <w:r>
        <w:rPr>
          <w:rFonts w:ascii="Trebuchet MS" w:hAnsi="Trebuchet MS"/>
          <w:color w:val="37617A"/>
          <w:w w:val="111"/>
          <w:sz w:val="19"/>
        </w:rPr>
        <w:t>o</w:t>
      </w:r>
      <w:r>
        <w:rPr>
          <w:rFonts w:ascii="Trebuchet MS" w:hAnsi="Trebuchet MS"/>
          <w:color w:val="37617A"/>
          <w:spacing w:val="-12"/>
          <w:sz w:val="19"/>
        </w:rPr>
        <w:t> </w:t>
      </w:r>
      <w:r>
        <w:rPr>
          <w:rFonts w:ascii="Trebuchet MS" w:hAnsi="Trebuchet MS"/>
          <w:color w:val="37617A"/>
          <w:w w:val="93"/>
          <w:sz w:val="19"/>
        </w:rPr>
        <w:t>r</w:t>
      </w:r>
      <w:r>
        <w:rPr>
          <w:rFonts w:ascii="Trebuchet MS" w:hAnsi="Trebuchet MS"/>
          <w:color w:val="37617A"/>
          <w:w w:val="105"/>
          <w:sz w:val="19"/>
        </w:rPr>
        <w:t>a</w:t>
      </w:r>
      <w:r>
        <w:rPr>
          <w:rFonts w:ascii="Trebuchet MS" w:hAnsi="Trebuchet MS"/>
          <w:color w:val="37617A"/>
          <w:w w:val="107"/>
          <w:sz w:val="19"/>
        </w:rPr>
        <w:t>n</w:t>
      </w:r>
      <w:r>
        <w:rPr>
          <w:rFonts w:ascii="Trebuchet MS" w:hAnsi="Trebuchet MS"/>
          <w:color w:val="37617A"/>
          <w:spacing w:val="-12"/>
          <w:sz w:val="19"/>
        </w:rPr>
        <w:t> </w:t>
      </w:r>
      <w:r>
        <w:rPr>
          <w:rFonts w:ascii="Trebuchet MS" w:hAnsi="Trebuchet MS"/>
          <w:color w:val="37617A"/>
          <w:w w:val="105"/>
          <w:sz w:val="19"/>
        </w:rPr>
        <w:t>a </w:t>
      </w:r>
      <w:r>
        <w:rPr>
          <w:rFonts w:ascii="Trebuchet MS" w:hAnsi="Trebuchet MS"/>
          <w:color w:val="37617A"/>
          <w:sz w:val="19"/>
        </w:rPr>
        <w:t>mock</w:t>
      </w:r>
      <w:r>
        <w:rPr>
          <w:rFonts w:ascii="Trebuchet MS" w:hAnsi="Trebuchet MS"/>
          <w:color w:val="37617A"/>
          <w:spacing w:val="-12"/>
          <w:sz w:val="19"/>
        </w:rPr>
        <w:t> </w:t>
      </w:r>
      <w:r>
        <w:rPr>
          <w:rFonts w:ascii="Trebuchet MS" w:hAnsi="Trebuchet MS"/>
          <w:color w:val="37617A"/>
          <w:sz w:val="19"/>
        </w:rPr>
        <w:t>trial</w:t>
      </w:r>
      <w:r>
        <w:rPr>
          <w:rFonts w:ascii="Trebuchet MS" w:hAnsi="Trebuchet MS"/>
          <w:color w:val="37617A"/>
          <w:spacing w:val="-11"/>
          <w:sz w:val="19"/>
        </w:rPr>
        <w:t> </w:t>
      </w:r>
      <w:r>
        <w:rPr>
          <w:rFonts w:ascii="Trebuchet MS" w:hAnsi="Trebuchet MS"/>
          <w:color w:val="37617A"/>
          <w:sz w:val="19"/>
        </w:rPr>
        <w:t>with</w:t>
      </w:r>
      <w:r>
        <w:rPr>
          <w:rFonts w:ascii="Trebuchet MS" w:hAnsi="Trebuchet MS"/>
          <w:color w:val="37617A"/>
          <w:spacing w:val="-12"/>
          <w:sz w:val="19"/>
        </w:rPr>
        <w:t> </w:t>
      </w:r>
      <w:r>
        <w:rPr>
          <w:rFonts w:ascii="Trebuchet MS" w:hAnsi="Trebuchet MS"/>
          <w:color w:val="37617A"/>
          <w:sz w:val="19"/>
        </w:rPr>
        <w:t>a</w:t>
      </w:r>
      <w:r>
        <w:rPr>
          <w:rFonts w:ascii="Trebuchet MS" w:hAnsi="Trebuchet MS"/>
          <w:color w:val="37617A"/>
          <w:spacing w:val="-11"/>
          <w:sz w:val="19"/>
        </w:rPr>
        <w:t> </w:t>
      </w:r>
      <w:r>
        <w:rPr>
          <w:rFonts w:ascii="Trebuchet MS" w:hAnsi="Trebuchet MS"/>
          <w:color w:val="37617A"/>
          <w:sz w:val="19"/>
        </w:rPr>
        <w:t>deaf</w:t>
      </w:r>
      <w:r>
        <w:rPr>
          <w:rFonts w:ascii="Trebuchet MS" w:hAnsi="Trebuchet MS"/>
          <w:color w:val="37617A"/>
          <w:spacing w:val="-11"/>
          <w:sz w:val="19"/>
        </w:rPr>
        <w:t> </w:t>
      </w:r>
      <w:r>
        <w:rPr>
          <w:rFonts w:ascii="Trebuchet MS" w:hAnsi="Trebuchet MS"/>
          <w:color w:val="37617A"/>
          <w:sz w:val="19"/>
        </w:rPr>
        <w:t>juror</w:t>
      </w:r>
    </w:p>
    <w:p>
      <w:pPr>
        <w:pStyle w:val="BodyText"/>
        <w:spacing w:before="5"/>
        <w:rPr>
          <w:rFonts w:ascii="Trebuchet MS"/>
          <w:sz w:val="9"/>
        </w:rPr>
      </w:pPr>
      <w:r>
        <w:rPr/>
        <w:pict>
          <v:line style="position:absolute;mso-position-horizontal-relative:page;mso-position-vertical-relative:paragraph;z-index:8168;mso-wrap-distance-left:0;mso-wrap-distance-right:0" from="79.370102pt,7.681911pt" to="515.905102pt,7.681911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98"/>
        </w:numPr>
        <w:tabs>
          <w:tab w:pos="2157" w:val="left" w:leader="none"/>
          <w:tab w:pos="2158" w:val="left" w:leader="none"/>
        </w:tabs>
        <w:spacing w:line="206" w:lineRule="auto" w:before="146" w:after="0"/>
        <w:ind w:left="2157" w:right="1230" w:hanging="396"/>
        <w:jc w:val="left"/>
        <w:rPr>
          <w:sz w:val="20"/>
        </w:rPr>
      </w:pPr>
      <w:r>
        <w:rPr>
          <w:sz w:val="20"/>
        </w:rPr>
        <w:t>This chapter considers the </w:t>
      </w:r>
      <w:r>
        <w:rPr>
          <w:spacing w:val="-3"/>
          <w:sz w:val="20"/>
        </w:rPr>
        <w:t>role </w:t>
      </w:r>
      <w:r>
        <w:rPr>
          <w:sz w:val="20"/>
        </w:rPr>
        <w:t>of Auslan </w:t>
      </w:r>
      <w:r>
        <w:rPr>
          <w:spacing w:val="-3"/>
          <w:sz w:val="20"/>
        </w:rPr>
        <w:t>interpreters </w:t>
      </w:r>
      <w:r>
        <w:rPr>
          <w:sz w:val="20"/>
        </w:rPr>
        <w:t>in facilitating jury service for people</w:t>
      </w:r>
      <w:r>
        <w:rPr>
          <w:spacing w:val="-9"/>
          <w:sz w:val="20"/>
        </w:rPr>
        <w:t> </w:t>
      </w:r>
      <w:r>
        <w:rPr>
          <w:sz w:val="20"/>
        </w:rPr>
        <w:t>who</w:t>
      </w:r>
      <w:r>
        <w:rPr>
          <w:spacing w:val="-9"/>
          <w:sz w:val="20"/>
        </w:rPr>
        <w:t> </w:t>
      </w:r>
      <w:r>
        <w:rPr>
          <w:spacing w:val="-3"/>
          <w:sz w:val="20"/>
        </w:rPr>
        <w:t>are</w:t>
      </w:r>
      <w:r>
        <w:rPr>
          <w:spacing w:val="-9"/>
          <w:sz w:val="20"/>
        </w:rPr>
        <w:t> </w:t>
      </w:r>
      <w:r>
        <w:rPr>
          <w:spacing w:val="-4"/>
          <w:sz w:val="20"/>
        </w:rPr>
        <w:t>deaf.</w:t>
      </w:r>
      <w:r>
        <w:rPr>
          <w:spacing w:val="-8"/>
          <w:sz w:val="20"/>
        </w:rPr>
        <w:t> </w:t>
      </w:r>
      <w:r>
        <w:rPr>
          <w:spacing w:val="-6"/>
          <w:sz w:val="20"/>
        </w:rPr>
        <w:t>We</w:t>
      </w:r>
      <w:r>
        <w:rPr>
          <w:spacing w:val="-9"/>
          <w:sz w:val="20"/>
        </w:rPr>
        <w:t> </w:t>
      </w:r>
      <w:r>
        <w:rPr>
          <w:sz w:val="20"/>
        </w:rPr>
        <w:t>start</w:t>
      </w:r>
      <w:r>
        <w:rPr>
          <w:spacing w:val="-9"/>
          <w:sz w:val="20"/>
        </w:rPr>
        <w:t> </w:t>
      </w:r>
      <w:r>
        <w:rPr>
          <w:spacing w:val="-3"/>
          <w:sz w:val="20"/>
        </w:rPr>
        <w:t>by</w:t>
      </w:r>
      <w:r>
        <w:rPr>
          <w:spacing w:val="-8"/>
          <w:sz w:val="20"/>
        </w:rPr>
        <w:t> </w:t>
      </w:r>
      <w:r>
        <w:rPr>
          <w:sz w:val="20"/>
        </w:rPr>
        <w:t>addressing</w:t>
      </w:r>
      <w:r>
        <w:rPr>
          <w:spacing w:val="-9"/>
          <w:sz w:val="20"/>
        </w:rPr>
        <w:t> </w:t>
      </w:r>
      <w:r>
        <w:rPr>
          <w:sz w:val="20"/>
        </w:rPr>
        <w:t>limitations</w:t>
      </w:r>
      <w:r>
        <w:rPr>
          <w:spacing w:val="-9"/>
          <w:sz w:val="20"/>
        </w:rPr>
        <w:t> </w:t>
      </w:r>
      <w:r>
        <w:rPr>
          <w:sz w:val="20"/>
        </w:rPr>
        <w:t>in</w:t>
      </w:r>
      <w:r>
        <w:rPr>
          <w:spacing w:val="-8"/>
          <w:sz w:val="20"/>
        </w:rPr>
        <w:t> </w:t>
      </w:r>
      <w:r>
        <w:rPr>
          <w:sz w:val="20"/>
        </w:rPr>
        <w:t>the</w:t>
      </w:r>
      <w:r>
        <w:rPr>
          <w:spacing w:val="-9"/>
          <w:sz w:val="20"/>
        </w:rPr>
        <w:t> </w:t>
      </w:r>
      <w:r>
        <w:rPr>
          <w:sz w:val="20"/>
        </w:rPr>
        <w:t>Juries</w:t>
      </w:r>
      <w:r>
        <w:rPr>
          <w:spacing w:val="-9"/>
          <w:sz w:val="20"/>
        </w:rPr>
        <w:t> </w:t>
      </w:r>
      <w:r>
        <w:rPr>
          <w:spacing w:val="-2"/>
          <w:sz w:val="20"/>
        </w:rPr>
        <w:t>Act</w:t>
      </w:r>
      <w:r>
        <w:rPr>
          <w:spacing w:val="-8"/>
          <w:sz w:val="20"/>
        </w:rPr>
        <w:t> </w:t>
      </w:r>
      <w:r>
        <w:rPr>
          <w:sz w:val="20"/>
        </w:rPr>
        <w:t>that</w:t>
      </w:r>
      <w:r>
        <w:rPr>
          <w:spacing w:val="-9"/>
          <w:sz w:val="20"/>
        </w:rPr>
        <w:t> </w:t>
      </w:r>
      <w:r>
        <w:rPr>
          <w:sz w:val="20"/>
        </w:rPr>
        <w:t>might </w:t>
      </w:r>
      <w:r>
        <w:rPr>
          <w:spacing w:val="-4"/>
          <w:sz w:val="20"/>
        </w:rPr>
        <w:t>prevent </w:t>
      </w:r>
      <w:r>
        <w:rPr>
          <w:sz w:val="20"/>
        </w:rPr>
        <w:t>their </w:t>
      </w:r>
      <w:r>
        <w:rPr>
          <w:spacing w:val="-3"/>
          <w:sz w:val="20"/>
        </w:rPr>
        <w:t>involvement </w:t>
      </w:r>
      <w:r>
        <w:rPr>
          <w:sz w:val="20"/>
        </w:rPr>
        <w:t>in jury</w:t>
      </w:r>
      <w:r>
        <w:rPr>
          <w:spacing w:val="-15"/>
          <w:sz w:val="20"/>
        </w:rPr>
        <w:t> </w:t>
      </w:r>
      <w:r>
        <w:rPr>
          <w:sz w:val="20"/>
        </w:rPr>
        <w:t>work.</w:t>
      </w:r>
    </w:p>
    <w:p>
      <w:pPr>
        <w:pStyle w:val="ListParagraph"/>
        <w:numPr>
          <w:ilvl w:val="0"/>
          <w:numId w:val="98"/>
        </w:numPr>
        <w:tabs>
          <w:tab w:pos="2157" w:val="left" w:leader="none"/>
          <w:tab w:pos="2158" w:val="left" w:leader="none"/>
        </w:tabs>
        <w:spacing w:line="259" w:lineRule="exact" w:before="57" w:after="0"/>
        <w:ind w:left="2157" w:right="0" w:hanging="396"/>
        <w:jc w:val="left"/>
        <w:rPr>
          <w:sz w:val="20"/>
        </w:rPr>
      </w:pPr>
      <w:r>
        <w:rPr>
          <w:spacing w:val="-6"/>
          <w:sz w:val="20"/>
        </w:rPr>
        <w:t>We </w:t>
      </w:r>
      <w:r>
        <w:rPr>
          <w:sz w:val="20"/>
        </w:rPr>
        <w:t>also</w:t>
      </w:r>
      <w:r>
        <w:rPr>
          <w:spacing w:val="-6"/>
          <w:sz w:val="20"/>
        </w:rPr>
        <w:t> </w:t>
      </w:r>
      <w:r>
        <w:rPr>
          <w:spacing w:val="-3"/>
          <w:sz w:val="20"/>
        </w:rPr>
        <w:t>explore</w:t>
      </w:r>
      <w:r>
        <w:rPr>
          <w:spacing w:val="-6"/>
          <w:sz w:val="20"/>
        </w:rPr>
        <w:t> </w:t>
      </w:r>
      <w:r>
        <w:rPr>
          <w:sz w:val="20"/>
        </w:rPr>
        <w:t>the</w:t>
      </w:r>
      <w:r>
        <w:rPr>
          <w:spacing w:val="-6"/>
          <w:sz w:val="20"/>
        </w:rPr>
        <w:t> </w:t>
      </w:r>
      <w:r>
        <w:rPr>
          <w:sz w:val="20"/>
        </w:rPr>
        <w:t>training</w:t>
      </w:r>
      <w:r>
        <w:rPr>
          <w:spacing w:val="-6"/>
          <w:sz w:val="20"/>
        </w:rPr>
        <w:t> </w:t>
      </w:r>
      <w:r>
        <w:rPr>
          <w:sz w:val="20"/>
        </w:rPr>
        <w:t>and</w:t>
      </w:r>
      <w:r>
        <w:rPr>
          <w:spacing w:val="-6"/>
          <w:sz w:val="20"/>
        </w:rPr>
        <w:t> </w:t>
      </w:r>
      <w:r>
        <w:rPr>
          <w:sz w:val="20"/>
        </w:rPr>
        <w:t>certification</w:t>
      </w:r>
      <w:r>
        <w:rPr>
          <w:spacing w:val="-5"/>
          <w:sz w:val="20"/>
        </w:rPr>
        <w:t> </w:t>
      </w:r>
      <w:r>
        <w:rPr>
          <w:sz w:val="20"/>
        </w:rPr>
        <w:t>requirements</w:t>
      </w:r>
      <w:r>
        <w:rPr>
          <w:spacing w:val="-6"/>
          <w:sz w:val="20"/>
        </w:rPr>
        <w:t> </w:t>
      </w:r>
      <w:r>
        <w:rPr>
          <w:sz w:val="20"/>
        </w:rPr>
        <w:t>for</w:t>
      </w:r>
      <w:r>
        <w:rPr>
          <w:spacing w:val="-6"/>
          <w:sz w:val="20"/>
        </w:rPr>
        <w:t> </w:t>
      </w:r>
      <w:r>
        <w:rPr>
          <w:sz w:val="20"/>
        </w:rPr>
        <w:t>Auslan</w:t>
      </w:r>
      <w:r>
        <w:rPr>
          <w:spacing w:val="-6"/>
          <w:sz w:val="20"/>
        </w:rPr>
        <w:t> </w:t>
      </w:r>
      <w:r>
        <w:rPr>
          <w:spacing w:val="-3"/>
          <w:sz w:val="20"/>
        </w:rPr>
        <w:t>interpreters</w:t>
      </w:r>
    </w:p>
    <w:p>
      <w:pPr>
        <w:pStyle w:val="BodyText"/>
        <w:spacing w:line="259" w:lineRule="exact"/>
        <w:ind w:left="2157"/>
      </w:pPr>
      <w:r>
        <w:rPr/>
        <w:t>who work in a court setting.</w:t>
      </w:r>
    </w:p>
    <w:p>
      <w:pPr>
        <w:pStyle w:val="ListParagraph"/>
        <w:numPr>
          <w:ilvl w:val="0"/>
          <w:numId w:val="98"/>
        </w:numPr>
        <w:tabs>
          <w:tab w:pos="2158" w:val="left" w:leader="none"/>
        </w:tabs>
        <w:spacing w:line="206" w:lineRule="auto" w:before="79" w:after="0"/>
        <w:ind w:left="2157" w:right="1227" w:hanging="396"/>
        <w:jc w:val="both"/>
        <w:rPr>
          <w:sz w:val="20"/>
        </w:rPr>
      </w:pPr>
      <w:r>
        <w:rPr>
          <w:sz w:val="20"/>
        </w:rPr>
        <w:t>Auslan</w:t>
      </w:r>
      <w:r>
        <w:rPr>
          <w:spacing w:val="-9"/>
          <w:sz w:val="20"/>
        </w:rPr>
        <w:t> </w:t>
      </w:r>
      <w:r>
        <w:rPr>
          <w:spacing w:val="-3"/>
          <w:sz w:val="20"/>
        </w:rPr>
        <w:t>interpreters</w:t>
      </w:r>
      <w:r>
        <w:rPr>
          <w:spacing w:val="-8"/>
          <w:sz w:val="20"/>
        </w:rPr>
        <w:t> </w:t>
      </w:r>
      <w:r>
        <w:rPr>
          <w:sz w:val="20"/>
        </w:rPr>
        <w:t>who</w:t>
      </w:r>
      <w:r>
        <w:rPr>
          <w:spacing w:val="-8"/>
          <w:sz w:val="20"/>
        </w:rPr>
        <w:t> </w:t>
      </w:r>
      <w:r>
        <w:rPr>
          <w:spacing w:val="-3"/>
          <w:sz w:val="20"/>
        </w:rPr>
        <w:t>work</w:t>
      </w:r>
      <w:r>
        <w:rPr>
          <w:spacing w:val="-8"/>
          <w:sz w:val="20"/>
        </w:rPr>
        <w:t> </w:t>
      </w:r>
      <w:r>
        <w:rPr>
          <w:sz w:val="20"/>
        </w:rPr>
        <w:t>with</w:t>
      </w:r>
      <w:r>
        <w:rPr>
          <w:spacing w:val="-8"/>
          <w:sz w:val="20"/>
        </w:rPr>
        <w:t> </w:t>
      </w:r>
      <w:r>
        <w:rPr>
          <w:sz w:val="20"/>
        </w:rPr>
        <w:t>jurors</w:t>
      </w:r>
      <w:r>
        <w:rPr>
          <w:spacing w:val="-8"/>
          <w:sz w:val="20"/>
        </w:rPr>
        <w:t> </w:t>
      </w:r>
      <w:r>
        <w:rPr>
          <w:sz w:val="20"/>
        </w:rPr>
        <w:t>should</w:t>
      </w:r>
      <w:r>
        <w:rPr>
          <w:spacing w:val="-9"/>
          <w:sz w:val="20"/>
        </w:rPr>
        <w:t> </w:t>
      </w:r>
      <w:r>
        <w:rPr>
          <w:sz w:val="20"/>
        </w:rPr>
        <w:t>be</w:t>
      </w:r>
      <w:r>
        <w:rPr>
          <w:spacing w:val="-8"/>
          <w:sz w:val="20"/>
        </w:rPr>
        <w:t> </w:t>
      </w:r>
      <w:r>
        <w:rPr>
          <w:spacing w:val="-3"/>
          <w:sz w:val="20"/>
        </w:rPr>
        <w:t>required</w:t>
      </w:r>
      <w:r>
        <w:rPr>
          <w:spacing w:val="-8"/>
          <w:sz w:val="20"/>
        </w:rPr>
        <w:t> </w:t>
      </w:r>
      <w:r>
        <w:rPr>
          <w:sz w:val="20"/>
        </w:rPr>
        <w:t>to</w:t>
      </w:r>
      <w:r>
        <w:rPr>
          <w:spacing w:val="-8"/>
          <w:sz w:val="20"/>
        </w:rPr>
        <w:t> </w:t>
      </w:r>
      <w:r>
        <w:rPr>
          <w:spacing w:val="-3"/>
          <w:sz w:val="20"/>
        </w:rPr>
        <w:t>complete</w:t>
      </w:r>
      <w:r>
        <w:rPr>
          <w:spacing w:val="-8"/>
          <w:sz w:val="20"/>
        </w:rPr>
        <w:t> </w:t>
      </w:r>
      <w:r>
        <w:rPr>
          <w:sz w:val="20"/>
        </w:rPr>
        <w:t>additional training</w:t>
      </w:r>
      <w:r>
        <w:rPr>
          <w:spacing w:val="-9"/>
          <w:sz w:val="20"/>
        </w:rPr>
        <w:t> </w:t>
      </w:r>
      <w:r>
        <w:rPr>
          <w:sz w:val="20"/>
        </w:rPr>
        <w:t>that</w:t>
      </w:r>
      <w:r>
        <w:rPr>
          <w:spacing w:val="-9"/>
          <w:sz w:val="20"/>
        </w:rPr>
        <w:t> </w:t>
      </w:r>
      <w:r>
        <w:rPr>
          <w:sz w:val="20"/>
        </w:rPr>
        <w:t>specifically</w:t>
      </w:r>
      <w:r>
        <w:rPr>
          <w:spacing w:val="-9"/>
          <w:sz w:val="20"/>
        </w:rPr>
        <w:t> </w:t>
      </w:r>
      <w:r>
        <w:rPr>
          <w:spacing w:val="-3"/>
          <w:sz w:val="20"/>
        </w:rPr>
        <w:t>relates</w:t>
      </w:r>
      <w:r>
        <w:rPr>
          <w:spacing w:val="-9"/>
          <w:sz w:val="20"/>
        </w:rPr>
        <w:t> </w:t>
      </w:r>
      <w:r>
        <w:rPr>
          <w:sz w:val="20"/>
        </w:rPr>
        <w:t>to</w:t>
      </w:r>
      <w:r>
        <w:rPr>
          <w:spacing w:val="-9"/>
          <w:sz w:val="20"/>
        </w:rPr>
        <w:t> </w:t>
      </w:r>
      <w:r>
        <w:rPr>
          <w:sz w:val="20"/>
        </w:rPr>
        <w:t>jury</w:t>
      </w:r>
      <w:r>
        <w:rPr>
          <w:spacing w:val="-9"/>
          <w:sz w:val="20"/>
        </w:rPr>
        <w:t> </w:t>
      </w:r>
      <w:r>
        <w:rPr>
          <w:spacing w:val="-3"/>
          <w:sz w:val="20"/>
        </w:rPr>
        <w:t>work</w:t>
      </w:r>
      <w:r>
        <w:rPr>
          <w:spacing w:val="-9"/>
          <w:sz w:val="20"/>
        </w:rPr>
        <w:t> </w:t>
      </w:r>
      <w:r>
        <w:rPr>
          <w:sz w:val="20"/>
        </w:rPr>
        <w:t>and</w:t>
      </w:r>
      <w:r>
        <w:rPr>
          <w:spacing w:val="-9"/>
          <w:sz w:val="20"/>
        </w:rPr>
        <w:t> </w:t>
      </w:r>
      <w:r>
        <w:rPr>
          <w:sz w:val="20"/>
        </w:rPr>
        <w:t>sign</w:t>
      </w:r>
      <w:r>
        <w:rPr>
          <w:spacing w:val="-9"/>
          <w:sz w:val="20"/>
        </w:rPr>
        <w:t> </w:t>
      </w:r>
      <w:r>
        <w:rPr>
          <w:sz w:val="20"/>
        </w:rPr>
        <w:t>up</w:t>
      </w:r>
      <w:r>
        <w:rPr>
          <w:spacing w:val="-9"/>
          <w:sz w:val="20"/>
        </w:rPr>
        <w:t> </w:t>
      </w:r>
      <w:r>
        <w:rPr>
          <w:sz w:val="20"/>
        </w:rPr>
        <w:t>to</w:t>
      </w:r>
      <w:r>
        <w:rPr>
          <w:spacing w:val="-9"/>
          <w:sz w:val="20"/>
        </w:rPr>
        <w:t> </w:t>
      </w:r>
      <w:r>
        <w:rPr>
          <w:sz w:val="20"/>
        </w:rPr>
        <w:t>standards</w:t>
      </w:r>
      <w:r>
        <w:rPr>
          <w:spacing w:val="-9"/>
          <w:sz w:val="20"/>
        </w:rPr>
        <w:t> </w:t>
      </w:r>
      <w:r>
        <w:rPr>
          <w:sz w:val="20"/>
        </w:rPr>
        <w:t>and</w:t>
      </w:r>
      <w:r>
        <w:rPr>
          <w:spacing w:val="-9"/>
          <w:sz w:val="20"/>
        </w:rPr>
        <w:t> </w:t>
      </w:r>
      <w:r>
        <w:rPr>
          <w:sz w:val="20"/>
        </w:rPr>
        <w:t>a</w:t>
      </w:r>
      <w:r>
        <w:rPr>
          <w:spacing w:val="-9"/>
          <w:sz w:val="20"/>
        </w:rPr>
        <w:t> </w:t>
      </w:r>
      <w:r>
        <w:rPr>
          <w:sz w:val="20"/>
        </w:rPr>
        <w:t>code</w:t>
      </w:r>
      <w:r>
        <w:rPr>
          <w:spacing w:val="-9"/>
          <w:sz w:val="20"/>
        </w:rPr>
        <w:t> </w:t>
      </w:r>
      <w:r>
        <w:rPr>
          <w:sz w:val="20"/>
        </w:rPr>
        <w:t>of conduct.</w:t>
      </w:r>
    </w:p>
    <w:p>
      <w:pPr>
        <w:pStyle w:val="ListParagraph"/>
        <w:numPr>
          <w:ilvl w:val="0"/>
          <w:numId w:val="98"/>
        </w:numPr>
        <w:tabs>
          <w:tab w:pos="2157" w:val="left" w:leader="none"/>
          <w:tab w:pos="2158" w:val="left" w:leader="none"/>
        </w:tabs>
        <w:spacing w:line="206" w:lineRule="auto" w:before="89" w:after="0"/>
        <w:ind w:left="2157" w:right="1392" w:hanging="396"/>
        <w:jc w:val="left"/>
        <w:rPr>
          <w:sz w:val="20"/>
        </w:rPr>
      </w:pPr>
      <w:r>
        <w:rPr>
          <w:sz w:val="20"/>
        </w:rPr>
        <w:t>They</w:t>
      </w:r>
      <w:r>
        <w:rPr>
          <w:spacing w:val="-13"/>
          <w:sz w:val="20"/>
        </w:rPr>
        <w:t> </w:t>
      </w:r>
      <w:r>
        <w:rPr>
          <w:sz w:val="20"/>
        </w:rPr>
        <w:t>should</w:t>
      </w:r>
      <w:r>
        <w:rPr>
          <w:spacing w:val="-12"/>
          <w:sz w:val="20"/>
        </w:rPr>
        <w:t> </w:t>
      </w:r>
      <w:r>
        <w:rPr>
          <w:spacing w:val="-3"/>
          <w:sz w:val="20"/>
        </w:rPr>
        <w:t>provide</w:t>
      </w:r>
      <w:r>
        <w:rPr>
          <w:spacing w:val="-12"/>
          <w:sz w:val="20"/>
        </w:rPr>
        <w:t> </w:t>
      </w:r>
      <w:r>
        <w:rPr>
          <w:sz w:val="20"/>
        </w:rPr>
        <w:t>an</w:t>
      </w:r>
      <w:r>
        <w:rPr>
          <w:spacing w:val="-13"/>
          <w:sz w:val="20"/>
        </w:rPr>
        <w:t> </w:t>
      </w:r>
      <w:r>
        <w:rPr>
          <w:sz w:val="20"/>
        </w:rPr>
        <w:t>oath</w:t>
      </w:r>
      <w:r>
        <w:rPr>
          <w:spacing w:val="-12"/>
          <w:sz w:val="20"/>
        </w:rPr>
        <w:t> </w:t>
      </w:r>
      <w:r>
        <w:rPr>
          <w:sz w:val="20"/>
        </w:rPr>
        <w:t>or</w:t>
      </w:r>
      <w:r>
        <w:rPr>
          <w:spacing w:val="-12"/>
          <w:sz w:val="20"/>
        </w:rPr>
        <w:t> </w:t>
      </w:r>
      <w:r>
        <w:rPr>
          <w:sz w:val="20"/>
        </w:rPr>
        <w:t>affirmation</w:t>
      </w:r>
      <w:r>
        <w:rPr>
          <w:spacing w:val="-12"/>
          <w:sz w:val="20"/>
        </w:rPr>
        <w:t> </w:t>
      </w:r>
      <w:r>
        <w:rPr>
          <w:sz w:val="20"/>
        </w:rPr>
        <w:t>to</w:t>
      </w:r>
      <w:r>
        <w:rPr>
          <w:spacing w:val="-13"/>
          <w:sz w:val="20"/>
        </w:rPr>
        <w:t> </w:t>
      </w:r>
      <w:r>
        <w:rPr>
          <w:sz w:val="20"/>
        </w:rPr>
        <w:t>the</w:t>
      </w:r>
      <w:r>
        <w:rPr>
          <w:spacing w:val="-12"/>
          <w:sz w:val="20"/>
        </w:rPr>
        <w:t> </w:t>
      </w:r>
      <w:r>
        <w:rPr>
          <w:sz w:val="20"/>
        </w:rPr>
        <w:t>court</w:t>
      </w:r>
      <w:r>
        <w:rPr>
          <w:spacing w:val="-12"/>
          <w:sz w:val="20"/>
        </w:rPr>
        <w:t> </w:t>
      </w:r>
      <w:r>
        <w:rPr>
          <w:sz w:val="20"/>
        </w:rPr>
        <w:t>regarding</w:t>
      </w:r>
      <w:r>
        <w:rPr>
          <w:spacing w:val="-12"/>
          <w:sz w:val="20"/>
        </w:rPr>
        <w:t> </w:t>
      </w:r>
      <w:r>
        <w:rPr>
          <w:sz w:val="20"/>
        </w:rPr>
        <w:t>their</w:t>
      </w:r>
      <w:r>
        <w:rPr>
          <w:spacing w:val="-13"/>
          <w:sz w:val="20"/>
        </w:rPr>
        <w:t> </w:t>
      </w:r>
      <w:r>
        <w:rPr>
          <w:sz w:val="20"/>
        </w:rPr>
        <w:t>duty</w:t>
      </w:r>
      <w:r>
        <w:rPr>
          <w:spacing w:val="-12"/>
          <w:sz w:val="20"/>
        </w:rPr>
        <w:t> </w:t>
      </w:r>
      <w:r>
        <w:rPr>
          <w:sz w:val="20"/>
        </w:rPr>
        <w:t>to</w:t>
      </w:r>
      <w:r>
        <w:rPr>
          <w:spacing w:val="-12"/>
          <w:sz w:val="20"/>
        </w:rPr>
        <w:t> </w:t>
      </w:r>
      <w:r>
        <w:rPr>
          <w:sz w:val="20"/>
        </w:rPr>
        <w:t>the court</w:t>
      </w:r>
      <w:r>
        <w:rPr>
          <w:spacing w:val="-8"/>
          <w:sz w:val="20"/>
        </w:rPr>
        <w:t> </w:t>
      </w:r>
      <w:r>
        <w:rPr>
          <w:sz w:val="20"/>
        </w:rPr>
        <w:t>and</w:t>
      </w:r>
      <w:r>
        <w:rPr>
          <w:spacing w:val="-7"/>
          <w:sz w:val="20"/>
        </w:rPr>
        <w:t> </w:t>
      </w:r>
      <w:r>
        <w:rPr>
          <w:sz w:val="20"/>
        </w:rPr>
        <w:t>obligation</w:t>
      </w:r>
      <w:r>
        <w:rPr>
          <w:spacing w:val="-7"/>
          <w:sz w:val="20"/>
        </w:rPr>
        <w:t> </w:t>
      </w:r>
      <w:r>
        <w:rPr>
          <w:sz w:val="20"/>
        </w:rPr>
        <w:t>to</w:t>
      </w:r>
      <w:r>
        <w:rPr>
          <w:spacing w:val="-8"/>
          <w:sz w:val="20"/>
        </w:rPr>
        <w:t> </w:t>
      </w:r>
      <w:r>
        <w:rPr>
          <w:sz w:val="20"/>
        </w:rPr>
        <w:t>maintain</w:t>
      </w:r>
      <w:r>
        <w:rPr>
          <w:spacing w:val="-7"/>
          <w:sz w:val="20"/>
        </w:rPr>
        <w:t> </w:t>
      </w:r>
      <w:r>
        <w:rPr>
          <w:sz w:val="20"/>
        </w:rPr>
        <w:t>the</w:t>
      </w:r>
      <w:r>
        <w:rPr>
          <w:spacing w:val="-7"/>
          <w:sz w:val="20"/>
        </w:rPr>
        <w:t> </w:t>
      </w:r>
      <w:r>
        <w:rPr>
          <w:sz w:val="20"/>
        </w:rPr>
        <w:t>confidentiality</w:t>
      </w:r>
      <w:r>
        <w:rPr>
          <w:spacing w:val="-8"/>
          <w:sz w:val="20"/>
        </w:rPr>
        <w:t> </w:t>
      </w:r>
      <w:r>
        <w:rPr>
          <w:sz w:val="20"/>
        </w:rPr>
        <w:t>of</w:t>
      </w:r>
      <w:r>
        <w:rPr>
          <w:spacing w:val="-7"/>
          <w:sz w:val="20"/>
        </w:rPr>
        <w:t> </w:t>
      </w:r>
      <w:r>
        <w:rPr>
          <w:sz w:val="20"/>
        </w:rPr>
        <w:t>jury</w:t>
      </w:r>
      <w:r>
        <w:rPr>
          <w:spacing w:val="-7"/>
          <w:sz w:val="20"/>
        </w:rPr>
        <w:t> </w:t>
      </w:r>
      <w:r>
        <w:rPr>
          <w:sz w:val="20"/>
        </w:rPr>
        <w:t>deliberations.</w:t>
      </w:r>
    </w:p>
    <w:p>
      <w:pPr>
        <w:pStyle w:val="ListParagraph"/>
        <w:numPr>
          <w:ilvl w:val="0"/>
          <w:numId w:val="98"/>
        </w:numPr>
        <w:tabs>
          <w:tab w:pos="2157" w:val="left" w:leader="none"/>
          <w:tab w:pos="2158" w:val="left" w:leader="none"/>
        </w:tabs>
        <w:spacing w:line="240" w:lineRule="auto" w:before="56" w:after="0"/>
        <w:ind w:left="2157" w:right="0" w:hanging="396"/>
        <w:jc w:val="left"/>
        <w:rPr>
          <w:sz w:val="20"/>
        </w:rPr>
      </w:pPr>
      <w:r>
        <w:rPr>
          <w:sz w:val="20"/>
        </w:rPr>
        <w:t>Penalties</w:t>
      </w:r>
      <w:r>
        <w:rPr>
          <w:spacing w:val="-6"/>
          <w:sz w:val="20"/>
        </w:rPr>
        <w:t> </w:t>
      </w:r>
      <w:r>
        <w:rPr>
          <w:sz w:val="20"/>
        </w:rPr>
        <w:t>should</w:t>
      </w:r>
      <w:r>
        <w:rPr>
          <w:spacing w:val="-6"/>
          <w:sz w:val="20"/>
        </w:rPr>
        <w:t> </w:t>
      </w:r>
      <w:r>
        <w:rPr>
          <w:spacing w:val="-3"/>
          <w:sz w:val="20"/>
        </w:rPr>
        <w:t>apply</w:t>
      </w:r>
      <w:r>
        <w:rPr>
          <w:spacing w:val="-5"/>
          <w:sz w:val="20"/>
        </w:rPr>
        <w:t> </w:t>
      </w:r>
      <w:r>
        <w:rPr>
          <w:sz w:val="20"/>
        </w:rPr>
        <w:t>for</w:t>
      </w:r>
      <w:r>
        <w:rPr>
          <w:spacing w:val="-6"/>
          <w:sz w:val="20"/>
        </w:rPr>
        <w:t> </w:t>
      </w:r>
      <w:r>
        <w:rPr>
          <w:sz w:val="20"/>
        </w:rPr>
        <w:t>breach</w:t>
      </w:r>
      <w:r>
        <w:rPr>
          <w:spacing w:val="-5"/>
          <w:sz w:val="20"/>
        </w:rPr>
        <w:t> </w:t>
      </w:r>
      <w:r>
        <w:rPr>
          <w:sz w:val="20"/>
        </w:rPr>
        <w:t>of</w:t>
      </w:r>
      <w:r>
        <w:rPr>
          <w:spacing w:val="-6"/>
          <w:sz w:val="20"/>
        </w:rPr>
        <w:t> </w:t>
      </w:r>
      <w:r>
        <w:rPr>
          <w:sz w:val="20"/>
        </w:rPr>
        <w:t>duties</w:t>
      </w:r>
      <w:r>
        <w:rPr>
          <w:spacing w:val="-5"/>
          <w:sz w:val="20"/>
        </w:rPr>
        <w:t> </w:t>
      </w:r>
      <w:r>
        <w:rPr>
          <w:sz w:val="20"/>
        </w:rPr>
        <w:t>and</w:t>
      </w:r>
      <w:r>
        <w:rPr>
          <w:spacing w:val="-6"/>
          <w:sz w:val="20"/>
        </w:rPr>
        <w:t> </w:t>
      </w:r>
      <w:r>
        <w:rPr>
          <w:spacing w:val="-3"/>
          <w:sz w:val="20"/>
        </w:rPr>
        <w:t>are</w:t>
      </w:r>
      <w:r>
        <w:rPr>
          <w:spacing w:val="-6"/>
          <w:sz w:val="20"/>
        </w:rPr>
        <w:t> </w:t>
      </w:r>
      <w:r>
        <w:rPr>
          <w:sz w:val="20"/>
        </w:rPr>
        <w:t>discussed</w:t>
      </w:r>
      <w:r>
        <w:rPr>
          <w:spacing w:val="-5"/>
          <w:sz w:val="20"/>
        </w:rPr>
        <w:t> </w:t>
      </w:r>
      <w:r>
        <w:rPr>
          <w:sz w:val="20"/>
        </w:rPr>
        <w:t>in</w:t>
      </w:r>
      <w:r>
        <w:rPr>
          <w:spacing w:val="-6"/>
          <w:sz w:val="20"/>
        </w:rPr>
        <w:t> </w:t>
      </w:r>
      <w:r>
        <w:rPr>
          <w:sz w:val="20"/>
        </w:rPr>
        <w:t>the</w:t>
      </w:r>
      <w:r>
        <w:rPr>
          <w:spacing w:val="-5"/>
          <w:sz w:val="20"/>
        </w:rPr>
        <w:t> </w:t>
      </w:r>
      <w:r>
        <w:rPr>
          <w:sz w:val="20"/>
        </w:rPr>
        <w:t>next</w:t>
      </w:r>
      <w:r>
        <w:rPr>
          <w:spacing w:val="-6"/>
          <w:sz w:val="20"/>
        </w:rPr>
        <w:t> </w:t>
      </w:r>
      <w:r>
        <w:rPr>
          <w:spacing w:val="-4"/>
          <w:sz w:val="20"/>
        </w:rPr>
        <w:t>chapter.</w:t>
      </w:r>
    </w:p>
    <w:p>
      <w:pPr>
        <w:spacing w:before="185"/>
        <w:ind w:left="967" w:right="0" w:firstLine="0"/>
        <w:jc w:val="left"/>
        <w:rPr>
          <w:rFonts w:ascii="Raleway ExtraBold"/>
          <w:b/>
          <w:sz w:val="28"/>
        </w:rPr>
      </w:pPr>
      <w:r>
        <w:rPr>
          <w:rFonts w:ascii="Raleway ExtraBold"/>
          <w:b/>
          <w:color w:val="37617A"/>
          <w:sz w:val="28"/>
        </w:rPr>
        <w:t>The role of an Auslan interpreter</w:t>
      </w:r>
    </w:p>
    <w:p>
      <w:pPr>
        <w:pStyle w:val="ListParagraph"/>
        <w:numPr>
          <w:ilvl w:val="1"/>
          <w:numId w:val="12"/>
        </w:numPr>
        <w:tabs>
          <w:tab w:pos="1761" w:val="left" w:leader="none"/>
          <w:tab w:pos="1762" w:val="left" w:leader="none"/>
        </w:tabs>
        <w:spacing w:line="206" w:lineRule="auto" w:before="146" w:after="0"/>
        <w:ind w:left="1761" w:right="1205" w:hanging="794"/>
        <w:jc w:val="left"/>
        <w:rPr>
          <w:sz w:val="20"/>
        </w:rPr>
      </w:pPr>
      <w:r>
        <w:rPr>
          <w:sz w:val="20"/>
        </w:rPr>
        <w:t>Auslan </w:t>
      </w:r>
      <w:r>
        <w:rPr>
          <w:spacing w:val="-3"/>
          <w:sz w:val="20"/>
        </w:rPr>
        <w:t>interpreters </w:t>
      </w:r>
      <w:r>
        <w:rPr>
          <w:sz w:val="20"/>
        </w:rPr>
        <w:t>will facilitate communication between a deaf juror and the other people </w:t>
      </w:r>
      <w:r>
        <w:rPr>
          <w:spacing w:val="-4"/>
          <w:sz w:val="20"/>
        </w:rPr>
        <w:t>involved </w:t>
      </w:r>
      <w:r>
        <w:rPr>
          <w:sz w:val="20"/>
        </w:rPr>
        <w:t>in a trial, including the judge, lawyers, accused, parties, witnesses and other</w:t>
      </w:r>
      <w:r>
        <w:rPr>
          <w:spacing w:val="-10"/>
          <w:sz w:val="20"/>
        </w:rPr>
        <w:t> </w:t>
      </w:r>
      <w:r>
        <w:rPr>
          <w:sz w:val="20"/>
        </w:rPr>
        <w:t>jurors.</w:t>
      </w:r>
      <w:r>
        <w:rPr>
          <w:spacing w:val="-9"/>
          <w:sz w:val="20"/>
        </w:rPr>
        <w:t> </w:t>
      </w:r>
      <w:r>
        <w:rPr>
          <w:spacing w:val="-10"/>
          <w:sz w:val="20"/>
        </w:rPr>
        <w:t>To</w:t>
      </w:r>
      <w:r>
        <w:rPr>
          <w:spacing w:val="-9"/>
          <w:sz w:val="20"/>
        </w:rPr>
        <w:t> </w:t>
      </w:r>
      <w:r>
        <w:rPr>
          <w:sz w:val="20"/>
        </w:rPr>
        <w:t>do</w:t>
      </w:r>
      <w:r>
        <w:rPr>
          <w:spacing w:val="-9"/>
          <w:sz w:val="20"/>
        </w:rPr>
        <w:t> </w:t>
      </w:r>
      <w:r>
        <w:rPr>
          <w:sz w:val="20"/>
        </w:rPr>
        <w:t>this,</w:t>
      </w:r>
      <w:r>
        <w:rPr>
          <w:spacing w:val="-10"/>
          <w:sz w:val="20"/>
        </w:rPr>
        <w:t> </w:t>
      </w:r>
      <w:r>
        <w:rPr>
          <w:sz w:val="20"/>
        </w:rPr>
        <w:t>Auslan</w:t>
      </w:r>
      <w:r>
        <w:rPr>
          <w:spacing w:val="-9"/>
          <w:sz w:val="20"/>
        </w:rPr>
        <w:t> </w:t>
      </w:r>
      <w:r>
        <w:rPr>
          <w:spacing w:val="-3"/>
          <w:sz w:val="20"/>
        </w:rPr>
        <w:t>interpreters</w:t>
      </w:r>
      <w:r>
        <w:rPr>
          <w:spacing w:val="-9"/>
          <w:sz w:val="20"/>
        </w:rPr>
        <w:t> </w:t>
      </w:r>
      <w:r>
        <w:rPr>
          <w:sz w:val="20"/>
        </w:rPr>
        <w:t>will</w:t>
      </w:r>
      <w:r>
        <w:rPr>
          <w:spacing w:val="-9"/>
          <w:sz w:val="20"/>
        </w:rPr>
        <w:t> </w:t>
      </w:r>
      <w:r>
        <w:rPr>
          <w:spacing w:val="-3"/>
          <w:sz w:val="20"/>
        </w:rPr>
        <w:t>interpret</w:t>
      </w:r>
      <w:r>
        <w:rPr>
          <w:spacing w:val="-9"/>
          <w:sz w:val="20"/>
        </w:rPr>
        <w:t> </w:t>
      </w:r>
      <w:r>
        <w:rPr>
          <w:sz w:val="20"/>
        </w:rPr>
        <w:t>everything</w:t>
      </w:r>
      <w:r>
        <w:rPr>
          <w:spacing w:val="-10"/>
          <w:sz w:val="20"/>
        </w:rPr>
        <w:t> </w:t>
      </w:r>
      <w:r>
        <w:rPr>
          <w:sz w:val="20"/>
        </w:rPr>
        <w:t>that</w:t>
      </w:r>
      <w:r>
        <w:rPr>
          <w:spacing w:val="-9"/>
          <w:sz w:val="20"/>
        </w:rPr>
        <w:t> </w:t>
      </w:r>
      <w:r>
        <w:rPr>
          <w:sz w:val="20"/>
        </w:rPr>
        <w:t>is</w:t>
      </w:r>
      <w:r>
        <w:rPr>
          <w:spacing w:val="-9"/>
          <w:sz w:val="20"/>
        </w:rPr>
        <w:t> </w:t>
      </w:r>
      <w:r>
        <w:rPr>
          <w:sz w:val="20"/>
        </w:rPr>
        <w:t>said</w:t>
      </w:r>
      <w:r>
        <w:rPr>
          <w:spacing w:val="-9"/>
          <w:sz w:val="20"/>
        </w:rPr>
        <w:t> </w:t>
      </w:r>
      <w:r>
        <w:rPr>
          <w:sz w:val="20"/>
        </w:rPr>
        <w:t>in</w:t>
      </w:r>
      <w:r>
        <w:rPr>
          <w:spacing w:val="-9"/>
          <w:sz w:val="20"/>
        </w:rPr>
        <w:t> </w:t>
      </w:r>
      <w:r>
        <w:rPr>
          <w:sz w:val="20"/>
        </w:rPr>
        <w:t>English </w:t>
      </w:r>
      <w:r>
        <w:rPr>
          <w:spacing w:val="-3"/>
          <w:sz w:val="20"/>
        </w:rPr>
        <w:t>into</w:t>
      </w:r>
      <w:r>
        <w:rPr>
          <w:spacing w:val="-6"/>
          <w:sz w:val="20"/>
        </w:rPr>
        <w:t> </w:t>
      </w:r>
      <w:r>
        <w:rPr>
          <w:sz w:val="20"/>
        </w:rPr>
        <w:t>Auslan,</w:t>
      </w:r>
      <w:r>
        <w:rPr>
          <w:spacing w:val="-5"/>
          <w:sz w:val="20"/>
        </w:rPr>
        <w:t> </w:t>
      </w:r>
      <w:r>
        <w:rPr>
          <w:sz w:val="20"/>
        </w:rPr>
        <w:t>and</w:t>
      </w:r>
      <w:r>
        <w:rPr>
          <w:spacing w:val="-5"/>
          <w:sz w:val="20"/>
        </w:rPr>
        <w:t> </w:t>
      </w:r>
      <w:r>
        <w:rPr>
          <w:sz w:val="20"/>
        </w:rPr>
        <w:t>anything</w:t>
      </w:r>
      <w:r>
        <w:rPr>
          <w:spacing w:val="-5"/>
          <w:sz w:val="20"/>
        </w:rPr>
        <w:t> </w:t>
      </w:r>
      <w:r>
        <w:rPr>
          <w:sz w:val="20"/>
        </w:rPr>
        <w:t>that</w:t>
      </w:r>
      <w:r>
        <w:rPr>
          <w:spacing w:val="-5"/>
          <w:sz w:val="20"/>
        </w:rPr>
        <w:t> </w:t>
      </w:r>
      <w:r>
        <w:rPr>
          <w:sz w:val="20"/>
        </w:rPr>
        <w:t>is</w:t>
      </w:r>
      <w:r>
        <w:rPr>
          <w:spacing w:val="-5"/>
          <w:sz w:val="20"/>
        </w:rPr>
        <w:t> </w:t>
      </w:r>
      <w:r>
        <w:rPr>
          <w:sz w:val="20"/>
        </w:rPr>
        <w:t>signed</w:t>
      </w:r>
      <w:r>
        <w:rPr>
          <w:spacing w:val="-5"/>
          <w:sz w:val="20"/>
        </w:rPr>
        <w:t> </w:t>
      </w:r>
      <w:r>
        <w:rPr>
          <w:sz w:val="20"/>
        </w:rPr>
        <w:t>in</w:t>
      </w:r>
      <w:r>
        <w:rPr>
          <w:spacing w:val="-5"/>
          <w:sz w:val="20"/>
        </w:rPr>
        <w:t> </w:t>
      </w:r>
      <w:r>
        <w:rPr>
          <w:sz w:val="20"/>
        </w:rPr>
        <w:t>Auslan</w:t>
      </w:r>
      <w:r>
        <w:rPr>
          <w:spacing w:val="-5"/>
          <w:sz w:val="20"/>
        </w:rPr>
        <w:t> </w:t>
      </w:r>
      <w:r>
        <w:rPr>
          <w:spacing w:val="-3"/>
          <w:sz w:val="20"/>
        </w:rPr>
        <w:t>into</w:t>
      </w:r>
      <w:r>
        <w:rPr>
          <w:spacing w:val="-5"/>
          <w:sz w:val="20"/>
        </w:rPr>
        <w:t> </w:t>
      </w:r>
      <w:r>
        <w:rPr>
          <w:sz w:val="20"/>
        </w:rPr>
        <w:t>English.</w:t>
      </w:r>
    </w:p>
    <w:p>
      <w:pPr>
        <w:pStyle w:val="BodyText"/>
        <w:spacing w:before="8"/>
        <w:rPr>
          <w:sz w:val="16"/>
        </w:rPr>
      </w:pPr>
    </w:p>
    <w:p>
      <w:pPr>
        <w:spacing w:before="0"/>
        <w:ind w:left="967" w:right="0" w:firstLine="0"/>
        <w:jc w:val="left"/>
        <w:rPr>
          <w:rFonts w:ascii="Raleway ExtraBold"/>
          <w:b/>
          <w:sz w:val="28"/>
        </w:rPr>
      </w:pPr>
      <w:r>
        <w:rPr>
          <w:rFonts w:ascii="Raleway ExtraBold"/>
          <w:b/>
          <w:color w:val="37617A"/>
          <w:sz w:val="28"/>
        </w:rPr>
        <w:t>Ability to communicate in English</w:t>
      </w:r>
    </w:p>
    <w:p>
      <w:pPr>
        <w:pStyle w:val="ListParagraph"/>
        <w:numPr>
          <w:ilvl w:val="1"/>
          <w:numId w:val="12"/>
        </w:numPr>
        <w:tabs>
          <w:tab w:pos="1761" w:val="left" w:leader="none"/>
          <w:tab w:pos="1762" w:val="left" w:leader="none"/>
        </w:tabs>
        <w:spacing w:line="206" w:lineRule="auto" w:before="146" w:after="0"/>
        <w:ind w:left="1761" w:right="1797" w:hanging="794"/>
        <w:jc w:val="left"/>
        <w:rPr>
          <w:sz w:val="20"/>
        </w:rPr>
      </w:pPr>
      <w:r>
        <w:rPr>
          <w:sz w:val="20"/>
        </w:rPr>
        <w:t>Schedule</w:t>
      </w:r>
      <w:r>
        <w:rPr>
          <w:spacing w:val="-11"/>
          <w:sz w:val="20"/>
        </w:rPr>
        <w:t> </w:t>
      </w:r>
      <w:r>
        <w:rPr>
          <w:sz w:val="20"/>
        </w:rPr>
        <w:t>2(3)</w:t>
      </w:r>
      <w:r>
        <w:rPr>
          <w:spacing w:val="-10"/>
          <w:sz w:val="20"/>
        </w:rPr>
        <w:t> </w:t>
      </w:r>
      <w:r>
        <w:rPr>
          <w:sz w:val="20"/>
        </w:rPr>
        <w:t>of</w:t>
      </w:r>
      <w:r>
        <w:rPr>
          <w:spacing w:val="-10"/>
          <w:sz w:val="20"/>
        </w:rPr>
        <w:t> </w:t>
      </w:r>
      <w:r>
        <w:rPr>
          <w:sz w:val="20"/>
        </w:rPr>
        <w:t>the</w:t>
      </w:r>
      <w:r>
        <w:rPr>
          <w:spacing w:val="-11"/>
          <w:sz w:val="20"/>
        </w:rPr>
        <w:t> </w:t>
      </w:r>
      <w:r>
        <w:rPr>
          <w:i/>
          <w:sz w:val="20"/>
        </w:rPr>
        <w:t>Juries</w:t>
      </w:r>
      <w:r>
        <w:rPr>
          <w:i/>
          <w:spacing w:val="-10"/>
          <w:sz w:val="20"/>
        </w:rPr>
        <w:t> </w:t>
      </w:r>
      <w:r>
        <w:rPr>
          <w:i/>
          <w:sz w:val="20"/>
        </w:rPr>
        <w:t>Act</w:t>
      </w:r>
      <w:r>
        <w:rPr>
          <w:i/>
          <w:spacing w:val="-10"/>
          <w:sz w:val="20"/>
        </w:rPr>
        <w:t> </w:t>
      </w:r>
      <w:r>
        <w:rPr>
          <w:i/>
          <w:sz w:val="20"/>
        </w:rPr>
        <w:t>2000</w:t>
      </w:r>
      <w:r>
        <w:rPr>
          <w:i/>
          <w:spacing w:val="-9"/>
          <w:sz w:val="20"/>
        </w:rPr>
        <w:t> </w:t>
      </w:r>
      <w:r>
        <w:rPr>
          <w:sz w:val="20"/>
        </w:rPr>
        <w:t>(Vic)</w:t>
      </w:r>
      <w:r>
        <w:rPr>
          <w:spacing w:val="-10"/>
          <w:sz w:val="20"/>
        </w:rPr>
        <w:t> </w:t>
      </w:r>
      <w:r>
        <w:rPr>
          <w:sz w:val="20"/>
        </w:rPr>
        <w:t>renders</w:t>
      </w:r>
      <w:r>
        <w:rPr>
          <w:spacing w:val="-11"/>
          <w:sz w:val="20"/>
        </w:rPr>
        <w:t> </w:t>
      </w:r>
      <w:r>
        <w:rPr>
          <w:sz w:val="20"/>
        </w:rPr>
        <w:t>certain</w:t>
      </w:r>
      <w:r>
        <w:rPr>
          <w:spacing w:val="-10"/>
          <w:sz w:val="20"/>
        </w:rPr>
        <w:t> </w:t>
      </w:r>
      <w:r>
        <w:rPr>
          <w:sz w:val="20"/>
        </w:rPr>
        <w:t>people</w:t>
      </w:r>
      <w:r>
        <w:rPr>
          <w:spacing w:val="-10"/>
          <w:sz w:val="20"/>
        </w:rPr>
        <w:t> </w:t>
      </w:r>
      <w:r>
        <w:rPr>
          <w:sz w:val="20"/>
        </w:rPr>
        <w:t>ineligible</w:t>
      </w:r>
      <w:r>
        <w:rPr>
          <w:spacing w:val="-10"/>
          <w:sz w:val="20"/>
        </w:rPr>
        <w:t> </w:t>
      </w:r>
      <w:r>
        <w:rPr>
          <w:sz w:val="20"/>
        </w:rPr>
        <w:t>for</w:t>
      </w:r>
      <w:r>
        <w:rPr>
          <w:spacing w:val="-11"/>
          <w:sz w:val="20"/>
        </w:rPr>
        <w:t> </w:t>
      </w:r>
      <w:r>
        <w:rPr>
          <w:sz w:val="20"/>
        </w:rPr>
        <w:t>jury service, including a person</w:t>
      </w:r>
      <w:r>
        <w:rPr>
          <w:spacing w:val="-18"/>
          <w:sz w:val="20"/>
        </w:rPr>
        <w:t> </w:t>
      </w:r>
      <w:r>
        <w:rPr>
          <w:sz w:val="20"/>
        </w:rPr>
        <w:t>who:</w:t>
      </w:r>
    </w:p>
    <w:p>
      <w:pPr>
        <w:spacing w:line="208" w:lineRule="auto" w:before="121"/>
        <w:ind w:left="2157" w:right="1202" w:firstLine="0"/>
        <w:jc w:val="left"/>
        <w:rPr>
          <w:sz w:val="19"/>
        </w:rPr>
      </w:pPr>
      <w:r>
        <w:rPr>
          <w:sz w:val="19"/>
        </w:rPr>
        <w:t>(a) has a physical disability that renders the person incapable of performing the duties of jury service</w:t>
      </w:r>
    </w:p>
    <w:p>
      <w:pPr>
        <w:spacing w:before="92"/>
        <w:ind w:left="2157" w:right="0" w:firstLine="0"/>
        <w:jc w:val="left"/>
        <w:rPr>
          <w:sz w:val="19"/>
        </w:rPr>
      </w:pPr>
      <w:r>
        <w:rPr>
          <w:sz w:val="19"/>
        </w:rPr>
        <w:t>(f) is unable to communicate in or understand the English language adequately</w:t>
      </w:r>
    </w:p>
    <w:p>
      <w:pPr>
        <w:pStyle w:val="ListParagraph"/>
        <w:numPr>
          <w:ilvl w:val="1"/>
          <w:numId w:val="12"/>
        </w:numPr>
        <w:tabs>
          <w:tab w:pos="1761" w:val="left" w:leader="none"/>
          <w:tab w:pos="1762" w:val="left" w:leader="none"/>
        </w:tabs>
        <w:spacing w:line="206" w:lineRule="auto" w:before="117" w:after="0"/>
        <w:ind w:left="1761" w:right="1366" w:hanging="794"/>
        <w:jc w:val="left"/>
        <w:rPr>
          <w:sz w:val="20"/>
        </w:rPr>
      </w:pPr>
      <w:r>
        <w:rPr>
          <w:sz w:val="20"/>
        </w:rPr>
        <w:t>In </w:t>
      </w:r>
      <w:r>
        <w:rPr>
          <w:spacing w:val="-2"/>
          <w:sz w:val="20"/>
        </w:rPr>
        <w:t>Chapter </w:t>
      </w:r>
      <w:r>
        <w:rPr>
          <w:sz w:val="20"/>
        </w:rPr>
        <w:t>11 </w:t>
      </w:r>
      <w:r>
        <w:rPr>
          <w:spacing w:val="-3"/>
          <w:sz w:val="20"/>
        </w:rPr>
        <w:t>we </w:t>
      </w:r>
      <w:r>
        <w:rPr>
          <w:sz w:val="20"/>
        </w:rPr>
        <w:t>recommended that schedule 2(3)(a) should not </w:t>
      </w:r>
      <w:r>
        <w:rPr>
          <w:spacing w:val="-3"/>
          <w:sz w:val="20"/>
        </w:rPr>
        <w:t>apply </w:t>
      </w:r>
      <w:r>
        <w:rPr>
          <w:sz w:val="20"/>
        </w:rPr>
        <w:t>if the court determines</w:t>
      </w:r>
      <w:r>
        <w:rPr>
          <w:spacing w:val="-12"/>
          <w:sz w:val="20"/>
        </w:rPr>
        <w:t> </w:t>
      </w:r>
      <w:r>
        <w:rPr>
          <w:sz w:val="20"/>
        </w:rPr>
        <w:t>that</w:t>
      </w:r>
      <w:r>
        <w:rPr>
          <w:spacing w:val="-11"/>
          <w:sz w:val="20"/>
        </w:rPr>
        <w:t> </w:t>
      </w:r>
      <w:r>
        <w:rPr>
          <w:sz w:val="20"/>
        </w:rPr>
        <w:t>reasonable</w:t>
      </w:r>
      <w:r>
        <w:rPr>
          <w:spacing w:val="-12"/>
          <w:sz w:val="20"/>
        </w:rPr>
        <w:t> </w:t>
      </w:r>
      <w:r>
        <w:rPr>
          <w:sz w:val="20"/>
        </w:rPr>
        <w:t>adjustments</w:t>
      </w:r>
      <w:r>
        <w:rPr>
          <w:spacing w:val="-11"/>
          <w:sz w:val="20"/>
        </w:rPr>
        <w:t> </w:t>
      </w:r>
      <w:r>
        <w:rPr>
          <w:sz w:val="20"/>
        </w:rPr>
        <w:t>could</w:t>
      </w:r>
      <w:r>
        <w:rPr>
          <w:spacing w:val="-12"/>
          <w:sz w:val="20"/>
        </w:rPr>
        <w:t> </w:t>
      </w:r>
      <w:r>
        <w:rPr>
          <w:sz w:val="20"/>
        </w:rPr>
        <w:t>be</w:t>
      </w:r>
      <w:r>
        <w:rPr>
          <w:spacing w:val="-11"/>
          <w:sz w:val="20"/>
        </w:rPr>
        <w:t> </w:t>
      </w:r>
      <w:r>
        <w:rPr>
          <w:spacing w:val="-3"/>
          <w:sz w:val="20"/>
        </w:rPr>
        <w:t>provided</w:t>
      </w:r>
      <w:r>
        <w:rPr>
          <w:spacing w:val="-12"/>
          <w:sz w:val="20"/>
        </w:rPr>
        <w:t> </w:t>
      </w:r>
      <w:r>
        <w:rPr>
          <w:sz w:val="20"/>
        </w:rPr>
        <w:t>to</w:t>
      </w:r>
      <w:r>
        <w:rPr>
          <w:spacing w:val="-11"/>
          <w:sz w:val="20"/>
        </w:rPr>
        <w:t> </w:t>
      </w:r>
      <w:r>
        <w:rPr>
          <w:sz w:val="20"/>
        </w:rPr>
        <w:t>enable</w:t>
      </w:r>
      <w:r>
        <w:rPr>
          <w:spacing w:val="-12"/>
          <w:sz w:val="20"/>
        </w:rPr>
        <w:t> </w:t>
      </w:r>
      <w:r>
        <w:rPr>
          <w:sz w:val="20"/>
        </w:rPr>
        <w:t>a</w:t>
      </w:r>
      <w:r>
        <w:rPr>
          <w:spacing w:val="-11"/>
          <w:sz w:val="20"/>
        </w:rPr>
        <w:t> </w:t>
      </w:r>
      <w:r>
        <w:rPr>
          <w:sz w:val="20"/>
        </w:rPr>
        <w:t>person</w:t>
      </w:r>
      <w:r>
        <w:rPr>
          <w:spacing w:val="-12"/>
          <w:sz w:val="20"/>
        </w:rPr>
        <w:t> </w:t>
      </w:r>
      <w:r>
        <w:rPr>
          <w:sz w:val="20"/>
        </w:rPr>
        <w:t>who</w:t>
      </w:r>
      <w:r>
        <w:rPr>
          <w:spacing w:val="-11"/>
          <w:sz w:val="20"/>
        </w:rPr>
        <w:t> </w:t>
      </w:r>
      <w:r>
        <w:rPr>
          <w:sz w:val="20"/>
        </w:rPr>
        <w:t>is </w:t>
      </w:r>
      <w:r>
        <w:rPr>
          <w:spacing w:val="-4"/>
          <w:sz w:val="20"/>
        </w:rPr>
        <w:t>deaf,</w:t>
      </w:r>
      <w:r>
        <w:rPr>
          <w:spacing w:val="-5"/>
          <w:sz w:val="20"/>
        </w:rPr>
        <w:t> </w:t>
      </w:r>
      <w:r>
        <w:rPr>
          <w:sz w:val="20"/>
        </w:rPr>
        <w:t>hard</w:t>
      </w:r>
      <w:r>
        <w:rPr>
          <w:spacing w:val="-5"/>
          <w:sz w:val="20"/>
        </w:rPr>
        <w:t> </w:t>
      </w:r>
      <w:r>
        <w:rPr>
          <w:sz w:val="20"/>
        </w:rPr>
        <w:t>of</w:t>
      </w:r>
      <w:r>
        <w:rPr>
          <w:spacing w:val="-5"/>
          <w:sz w:val="20"/>
        </w:rPr>
        <w:t> </w:t>
      </w:r>
      <w:r>
        <w:rPr>
          <w:sz w:val="20"/>
        </w:rPr>
        <w:t>hearing,</w:t>
      </w:r>
      <w:r>
        <w:rPr>
          <w:spacing w:val="-5"/>
          <w:sz w:val="20"/>
        </w:rPr>
        <w:t> </w:t>
      </w:r>
      <w:r>
        <w:rPr>
          <w:sz w:val="20"/>
        </w:rPr>
        <w:t>blind</w:t>
      </w:r>
      <w:r>
        <w:rPr>
          <w:spacing w:val="-5"/>
          <w:sz w:val="20"/>
        </w:rPr>
        <w:t> </w:t>
      </w:r>
      <w:r>
        <w:rPr>
          <w:sz w:val="20"/>
        </w:rPr>
        <w:t>or</w:t>
      </w:r>
      <w:r>
        <w:rPr>
          <w:spacing w:val="-4"/>
          <w:sz w:val="20"/>
        </w:rPr>
        <w:t> </w:t>
      </w:r>
      <w:r>
        <w:rPr>
          <w:sz w:val="20"/>
        </w:rPr>
        <w:t>has</w:t>
      </w:r>
      <w:r>
        <w:rPr>
          <w:spacing w:val="-5"/>
          <w:sz w:val="20"/>
        </w:rPr>
        <w:t> </w:t>
      </w:r>
      <w:r>
        <w:rPr>
          <w:spacing w:val="-4"/>
          <w:sz w:val="20"/>
        </w:rPr>
        <w:t>low</w:t>
      </w:r>
      <w:r>
        <w:rPr>
          <w:spacing w:val="-5"/>
          <w:sz w:val="20"/>
        </w:rPr>
        <w:t> </w:t>
      </w:r>
      <w:r>
        <w:rPr>
          <w:sz w:val="20"/>
        </w:rPr>
        <w:t>vision</w:t>
      </w:r>
      <w:r>
        <w:rPr>
          <w:spacing w:val="-5"/>
          <w:sz w:val="20"/>
        </w:rPr>
        <w:t> </w:t>
      </w:r>
      <w:r>
        <w:rPr>
          <w:sz w:val="20"/>
        </w:rPr>
        <w:t>to</w:t>
      </w:r>
      <w:r>
        <w:rPr>
          <w:spacing w:val="-5"/>
          <w:sz w:val="20"/>
        </w:rPr>
        <w:t> </w:t>
      </w:r>
      <w:r>
        <w:rPr>
          <w:sz w:val="20"/>
        </w:rPr>
        <w:t>perform</w:t>
      </w:r>
      <w:r>
        <w:rPr>
          <w:spacing w:val="-5"/>
          <w:sz w:val="20"/>
        </w:rPr>
        <w:t> </w:t>
      </w:r>
      <w:r>
        <w:rPr>
          <w:sz w:val="20"/>
        </w:rPr>
        <w:t>jury</w:t>
      </w:r>
      <w:r>
        <w:rPr>
          <w:spacing w:val="-4"/>
          <w:sz w:val="20"/>
        </w:rPr>
        <w:t> duty.</w:t>
      </w:r>
    </w:p>
    <w:p>
      <w:pPr>
        <w:pStyle w:val="BodyText"/>
        <w:spacing w:before="8"/>
        <w:rPr>
          <w:sz w:val="27"/>
        </w:rPr>
      </w:pPr>
      <w:r>
        <w:rPr/>
        <w:pict>
          <v:line style="position:absolute;mso-position-horizontal-relative:page;mso-position-vertical-relative:paragraph;z-index:8192;mso-wrap-distance-left:0;mso-wrap-distance-right:0" from="79.370102pt,21.603304pt" to="515.905102pt,21.603304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spacing w:before="54"/>
        <w:ind w:left="100" w:right="0" w:firstLine="0"/>
        <w:jc w:val="left"/>
        <w:rPr>
          <w:b/>
          <w:sz w:val="24"/>
        </w:rPr>
      </w:pPr>
      <w:r>
        <w:rPr/>
        <w:pict>
          <v:rect style="position:absolute;margin-left:0pt;margin-top:99.213013pt;width:14.173pt;height:85.748pt;mso-position-horizontal-relative:page;mso-position-vertical-relative:page;z-index:10264" filled="true" fillcolor="#37617a" stroked="false">
            <v:fill type="solid"/>
            <w10:wrap type="none"/>
          </v:rect>
        </w:pict>
      </w:r>
      <w:r>
        <w:rPr>
          <w:b/>
          <w:color w:val="37617A"/>
          <w:sz w:val="24"/>
        </w:rPr>
        <w:t>154</w:t>
      </w:r>
    </w:p>
    <w:p>
      <w:pPr>
        <w:tabs>
          <w:tab w:pos="893" w:val="left" w:leader="none"/>
        </w:tabs>
        <w:spacing w:line="213" w:lineRule="auto" w:before="38"/>
        <w:ind w:left="893" w:right="1290" w:hanging="794"/>
        <w:jc w:val="left"/>
        <w:rPr>
          <w:sz w:val="13"/>
        </w:rPr>
      </w:pPr>
      <w:r>
        <w:rPr/>
        <w:br w:type="column"/>
      </w:r>
      <w:r>
        <w:rPr>
          <w:sz w:val="13"/>
        </w:rPr>
        <w:t>1</w:t>
        <w:tab/>
        <w:t>Conclusion reached from the mock trial study conducted in 2014: </w:t>
      </w:r>
      <w:r>
        <w:rPr>
          <w:spacing w:val="2"/>
          <w:sz w:val="13"/>
        </w:rPr>
        <w:t>Sandra </w:t>
      </w:r>
      <w:r>
        <w:rPr>
          <w:sz w:val="13"/>
        </w:rPr>
        <w:t>Hale et </w:t>
      </w:r>
      <w:r>
        <w:rPr>
          <w:spacing w:val="2"/>
          <w:sz w:val="13"/>
        </w:rPr>
        <w:t>al, </w:t>
      </w:r>
      <w:r>
        <w:rPr>
          <w:sz w:val="13"/>
        </w:rPr>
        <w:t>‘Deaf Citizens as Jurors in Australian </w:t>
      </w:r>
      <w:r>
        <w:rPr>
          <w:spacing w:val="2"/>
          <w:sz w:val="13"/>
        </w:rPr>
        <w:t>Courts: Participating </w:t>
      </w:r>
      <w:r>
        <w:rPr>
          <w:sz w:val="13"/>
        </w:rPr>
        <w:t>via Professional Interpreters’ (2017) </w:t>
      </w:r>
      <w:r>
        <w:rPr>
          <w:spacing w:val="2"/>
          <w:sz w:val="13"/>
        </w:rPr>
        <w:t>24(2) </w:t>
      </w:r>
      <w:r>
        <w:rPr>
          <w:i/>
          <w:sz w:val="13"/>
        </w:rPr>
        <w:t>International Journal of </w:t>
      </w:r>
      <w:r>
        <w:rPr>
          <w:i/>
          <w:spacing w:val="2"/>
          <w:sz w:val="13"/>
        </w:rPr>
        <w:t>Speech </w:t>
      </w:r>
      <w:r>
        <w:rPr>
          <w:i/>
          <w:sz w:val="13"/>
        </w:rPr>
        <w:t>Language and the Law </w:t>
      </w:r>
      <w:r>
        <w:rPr>
          <w:spacing w:val="2"/>
          <w:sz w:val="13"/>
        </w:rPr>
        <w:t>151,</w:t>
      </w:r>
      <w:r>
        <w:rPr>
          <w:spacing w:val="33"/>
          <w:sz w:val="13"/>
        </w:rPr>
        <w:t> </w:t>
      </w:r>
      <w:r>
        <w:rPr>
          <w:sz w:val="13"/>
        </w:rPr>
        <w:t>170.</w:t>
      </w:r>
    </w:p>
    <w:p>
      <w:pPr>
        <w:spacing w:after="0" w:line="213" w:lineRule="auto"/>
        <w:jc w:val="left"/>
        <w:rPr>
          <w:sz w:val="13"/>
        </w:rPr>
        <w:sectPr>
          <w:type w:val="continuous"/>
          <w:pgSz w:w="11910" w:h="16840"/>
          <w:pgMar w:top="620" w:bottom="280" w:left="620" w:right="380"/>
          <w:cols w:num="2" w:equalWidth="0">
            <w:col w:w="529" w:space="339"/>
            <w:col w:w="10042"/>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378" w:hanging="794"/>
        <w:jc w:val="left"/>
        <w:rPr>
          <w:sz w:val="11"/>
        </w:rPr>
      </w:pPr>
      <w:r>
        <w:rPr>
          <w:sz w:val="20"/>
        </w:rPr>
        <w:t>Schedule 2(3)(f) should also be amended to reflect that a deaf juror using an Auslan </w:t>
      </w:r>
      <w:r>
        <w:rPr>
          <w:spacing w:val="-4"/>
          <w:sz w:val="20"/>
        </w:rPr>
        <w:t>interpreter, </w:t>
      </w:r>
      <w:r>
        <w:rPr>
          <w:sz w:val="20"/>
        </w:rPr>
        <w:t>who </w:t>
      </w:r>
      <w:r>
        <w:rPr>
          <w:spacing w:val="-3"/>
          <w:sz w:val="20"/>
        </w:rPr>
        <w:t>may </w:t>
      </w:r>
      <w:r>
        <w:rPr>
          <w:sz w:val="20"/>
        </w:rPr>
        <w:t>not be able to communicate in English but can understand it, is nonetheless</w:t>
      </w:r>
      <w:r>
        <w:rPr>
          <w:spacing w:val="-12"/>
          <w:sz w:val="20"/>
        </w:rPr>
        <w:t> </w:t>
      </w:r>
      <w:r>
        <w:rPr>
          <w:sz w:val="20"/>
        </w:rPr>
        <w:t>competent</w:t>
      </w:r>
      <w:r>
        <w:rPr>
          <w:spacing w:val="-12"/>
          <w:sz w:val="20"/>
        </w:rPr>
        <w:t> </w:t>
      </w:r>
      <w:r>
        <w:rPr>
          <w:sz w:val="20"/>
        </w:rPr>
        <w:t>to</w:t>
      </w:r>
      <w:r>
        <w:rPr>
          <w:spacing w:val="-12"/>
          <w:sz w:val="20"/>
        </w:rPr>
        <w:t> </w:t>
      </w:r>
      <w:r>
        <w:rPr>
          <w:sz w:val="20"/>
        </w:rPr>
        <w:t>serve</w:t>
      </w:r>
      <w:r>
        <w:rPr>
          <w:spacing w:val="-11"/>
          <w:sz w:val="20"/>
        </w:rPr>
        <w:t> </w:t>
      </w:r>
      <w:r>
        <w:rPr>
          <w:sz w:val="20"/>
        </w:rPr>
        <w:t>on</w:t>
      </w:r>
      <w:r>
        <w:rPr>
          <w:spacing w:val="-12"/>
          <w:sz w:val="20"/>
        </w:rPr>
        <w:t> </w:t>
      </w:r>
      <w:r>
        <w:rPr>
          <w:sz w:val="20"/>
        </w:rPr>
        <w:t>a</w:t>
      </w:r>
      <w:r>
        <w:rPr>
          <w:spacing w:val="-12"/>
          <w:sz w:val="20"/>
        </w:rPr>
        <w:t> </w:t>
      </w:r>
      <w:r>
        <w:rPr>
          <w:sz w:val="20"/>
        </w:rPr>
        <w:t>jury.</w:t>
      </w:r>
      <w:r>
        <w:rPr>
          <w:spacing w:val="-11"/>
          <w:sz w:val="20"/>
        </w:rPr>
        <w:t> </w:t>
      </w:r>
      <w:r>
        <w:rPr>
          <w:sz w:val="20"/>
        </w:rPr>
        <w:t>This</w:t>
      </w:r>
      <w:r>
        <w:rPr>
          <w:spacing w:val="-12"/>
          <w:sz w:val="20"/>
        </w:rPr>
        <w:t> </w:t>
      </w:r>
      <w:r>
        <w:rPr>
          <w:sz w:val="20"/>
        </w:rPr>
        <w:t>change</w:t>
      </w:r>
      <w:r>
        <w:rPr>
          <w:spacing w:val="-12"/>
          <w:sz w:val="20"/>
        </w:rPr>
        <w:t> </w:t>
      </w:r>
      <w:r>
        <w:rPr>
          <w:sz w:val="20"/>
        </w:rPr>
        <w:t>was</w:t>
      </w:r>
      <w:r>
        <w:rPr>
          <w:spacing w:val="-12"/>
          <w:sz w:val="20"/>
        </w:rPr>
        <w:t> </w:t>
      </w:r>
      <w:r>
        <w:rPr>
          <w:sz w:val="20"/>
        </w:rPr>
        <w:t>supported</w:t>
      </w:r>
      <w:r>
        <w:rPr>
          <w:spacing w:val="-11"/>
          <w:sz w:val="20"/>
        </w:rPr>
        <w:t> </w:t>
      </w:r>
      <w:r>
        <w:rPr>
          <w:sz w:val="20"/>
        </w:rPr>
        <w:t>in</w:t>
      </w:r>
      <w:r>
        <w:rPr>
          <w:spacing w:val="-12"/>
          <w:sz w:val="20"/>
        </w:rPr>
        <w:t> </w:t>
      </w:r>
      <w:r>
        <w:rPr>
          <w:sz w:val="20"/>
        </w:rPr>
        <w:t>submissions </w:t>
      </w:r>
      <w:r>
        <w:rPr>
          <w:spacing w:val="-3"/>
          <w:sz w:val="20"/>
        </w:rPr>
        <w:t>by</w:t>
      </w:r>
      <w:r>
        <w:rPr>
          <w:spacing w:val="-9"/>
          <w:sz w:val="20"/>
        </w:rPr>
        <w:t> </w:t>
      </w:r>
      <w:r>
        <w:rPr>
          <w:sz w:val="20"/>
        </w:rPr>
        <w:t>Associate</w:t>
      </w:r>
      <w:r>
        <w:rPr>
          <w:spacing w:val="-9"/>
          <w:sz w:val="20"/>
        </w:rPr>
        <w:t> </w:t>
      </w:r>
      <w:r>
        <w:rPr>
          <w:spacing w:val="-3"/>
          <w:sz w:val="20"/>
        </w:rPr>
        <w:t>Professors</w:t>
      </w:r>
      <w:r>
        <w:rPr>
          <w:spacing w:val="-9"/>
          <w:sz w:val="20"/>
        </w:rPr>
        <w:t> </w:t>
      </w:r>
      <w:r>
        <w:rPr>
          <w:sz w:val="20"/>
        </w:rPr>
        <w:t>Bruce</w:t>
      </w:r>
      <w:r>
        <w:rPr>
          <w:spacing w:val="-8"/>
          <w:sz w:val="20"/>
        </w:rPr>
        <w:t> </w:t>
      </w:r>
      <w:r>
        <w:rPr>
          <w:sz w:val="20"/>
        </w:rPr>
        <w:t>Baer</w:t>
      </w:r>
      <w:r>
        <w:rPr>
          <w:spacing w:val="-9"/>
          <w:sz w:val="20"/>
        </w:rPr>
        <w:t> </w:t>
      </w:r>
      <w:r>
        <w:rPr>
          <w:sz w:val="20"/>
        </w:rPr>
        <w:t>Arnold</w:t>
      </w:r>
      <w:r>
        <w:rPr>
          <w:spacing w:val="-9"/>
          <w:sz w:val="20"/>
        </w:rPr>
        <w:t> </w:t>
      </w:r>
      <w:r>
        <w:rPr>
          <w:sz w:val="20"/>
        </w:rPr>
        <w:t>and</w:t>
      </w:r>
      <w:r>
        <w:rPr>
          <w:spacing w:val="-8"/>
          <w:sz w:val="20"/>
        </w:rPr>
        <w:t> </w:t>
      </w:r>
      <w:r>
        <w:rPr>
          <w:spacing w:val="-4"/>
          <w:sz w:val="20"/>
        </w:rPr>
        <w:t>Wendy</w:t>
      </w:r>
      <w:r>
        <w:rPr>
          <w:spacing w:val="-9"/>
          <w:sz w:val="20"/>
        </w:rPr>
        <w:t> </w:t>
      </w:r>
      <w:r>
        <w:rPr>
          <w:sz w:val="20"/>
        </w:rPr>
        <w:t>Bonython,</w:t>
      </w:r>
      <w:r>
        <w:rPr>
          <w:spacing w:val="-9"/>
          <w:sz w:val="20"/>
        </w:rPr>
        <w:t> </w:t>
      </w:r>
      <w:r>
        <w:rPr>
          <w:sz w:val="20"/>
        </w:rPr>
        <w:t>the</w:t>
      </w:r>
      <w:r>
        <w:rPr>
          <w:spacing w:val="-8"/>
          <w:sz w:val="20"/>
        </w:rPr>
        <w:t> </w:t>
      </w:r>
      <w:r>
        <w:rPr>
          <w:sz w:val="20"/>
        </w:rPr>
        <w:t>Law</w:t>
      </w:r>
      <w:r>
        <w:rPr>
          <w:spacing w:val="-9"/>
          <w:sz w:val="20"/>
        </w:rPr>
        <w:t> </w:t>
      </w:r>
      <w:r>
        <w:rPr>
          <w:sz w:val="20"/>
        </w:rPr>
        <w:t>Institute</w:t>
      </w:r>
      <w:r>
        <w:rPr>
          <w:spacing w:val="-9"/>
          <w:sz w:val="20"/>
        </w:rPr>
        <w:t> </w:t>
      </w:r>
      <w:r>
        <w:rPr>
          <w:sz w:val="20"/>
        </w:rPr>
        <w:t>of Victoria (LIV), and</w:t>
      </w:r>
      <w:r>
        <w:rPr>
          <w:spacing w:val="-13"/>
          <w:sz w:val="20"/>
        </w:rPr>
        <w:t> </w:t>
      </w:r>
      <w:r>
        <w:rPr>
          <w:sz w:val="20"/>
        </w:rPr>
        <w:t>Madison.</w:t>
      </w:r>
      <w:r>
        <w:rPr>
          <w:position w:val="7"/>
          <w:sz w:val="11"/>
        </w:rPr>
        <w:t>2</w:t>
      </w:r>
    </w:p>
    <w:p>
      <w:pPr>
        <w:pStyle w:val="ListParagraph"/>
        <w:numPr>
          <w:ilvl w:val="1"/>
          <w:numId w:val="12"/>
        </w:numPr>
        <w:tabs>
          <w:tab w:pos="1761" w:val="left" w:leader="none"/>
          <w:tab w:pos="1762" w:val="left" w:leader="none"/>
        </w:tabs>
        <w:spacing w:line="206" w:lineRule="auto" w:before="126" w:after="0"/>
        <w:ind w:left="1761" w:right="1474" w:hanging="794"/>
        <w:jc w:val="left"/>
        <w:rPr>
          <w:sz w:val="20"/>
        </w:rPr>
      </w:pPr>
      <w:r>
        <w:rPr>
          <w:sz w:val="20"/>
        </w:rPr>
        <w:t>The</w:t>
      </w:r>
      <w:r>
        <w:rPr>
          <w:spacing w:val="-11"/>
          <w:sz w:val="20"/>
        </w:rPr>
        <w:t> </w:t>
      </w:r>
      <w:r>
        <w:rPr>
          <w:sz w:val="20"/>
        </w:rPr>
        <w:t>ability</w:t>
      </w:r>
      <w:r>
        <w:rPr>
          <w:spacing w:val="-10"/>
          <w:sz w:val="20"/>
        </w:rPr>
        <w:t> </w:t>
      </w:r>
      <w:r>
        <w:rPr>
          <w:sz w:val="20"/>
        </w:rPr>
        <w:t>to</w:t>
      </w:r>
      <w:r>
        <w:rPr>
          <w:spacing w:val="-10"/>
          <w:sz w:val="20"/>
        </w:rPr>
        <w:t> </w:t>
      </w:r>
      <w:r>
        <w:rPr>
          <w:sz w:val="20"/>
        </w:rPr>
        <w:t>understand</w:t>
      </w:r>
      <w:r>
        <w:rPr>
          <w:spacing w:val="-10"/>
          <w:sz w:val="20"/>
        </w:rPr>
        <w:t> </w:t>
      </w:r>
      <w:r>
        <w:rPr>
          <w:sz w:val="20"/>
        </w:rPr>
        <w:t>or</w:t>
      </w:r>
      <w:r>
        <w:rPr>
          <w:spacing w:val="-10"/>
          <w:sz w:val="20"/>
        </w:rPr>
        <w:t> </w:t>
      </w:r>
      <w:r>
        <w:rPr>
          <w:sz w:val="20"/>
        </w:rPr>
        <w:t>communicate</w:t>
      </w:r>
      <w:r>
        <w:rPr>
          <w:spacing w:val="-10"/>
          <w:sz w:val="20"/>
        </w:rPr>
        <w:t> </w:t>
      </w:r>
      <w:r>
        <w:rPr>
          <w:sz w:val="20"/>
        </w:rPr>
        <w:t>in</w:t>
      </w:r>
      <w:r>
        <w:rPr>
          <w:spacing w:val="-10"/>
          <w:sz w:val="20"/>
        </w:rPr>
        <w:t> </w:t>
      </w:r>
      <w:r>
        <w:rPr>
          <w:sz w:val="20"/>
        </w:rPr>
        <w:t>English</w:t>
      </w:r>
      <w:r>
        <w:rPr>
          <w:spacing w:val="-10"/>
          <w:sz w:val="20"/>
        </w:rPr>
        <w:t> </w:t>
      </w:r>
      <w:r>
        <w:rPr>
          <w:sz w:val="20"/>
        </w:rPr>
        <w:t>is</w:t>
      </w:r>
      <w:r>
        <w:rPr>
          <w:spacing w:val="-10"/>
          <w:sz w:val="20"/>
        </w:rPr>
        <w:t> </w:t>
      </w:r>
      <w:r>
        <w:rPr>
          <w:sz w:val="20"/>
        </w:rPr>
        <w:t>fundamental</w:t>
      </w:r>
      <w:r>
        <w:rPr>
          <w:spacing w:val="-10"/>
          <w:sz w:val="20"/>
        </w:rPr>
        <w:t> </w:t>
      </w:r>
      <w:r>
        <w:rPr>
          <w:sz w:val="20"/>
        </w:rPr>
        <w:t>to</w:t>
      </w:r>
      <w:r>
        <w:rPr>
          <w:spacing w:val="-10"/>
          <w:sz w:val="20"/>
        </w:rPr>
        <w:t> </w:t>
      </w:r>
      <w:r>
        <w:rPr>
          <w:sz w:val="20"/>
        </w:rPr>
        <w:t>being</w:t>
      </w:r>
      <w:r>
        <w:rPr>
          <w:spacing w:val="-10"/>
          <w:sz w:val="20"/>
        </w:rPr>
        <w:t> </w:t>
      </w:r>
      <w:r>
        <w:rPr>
          <w:sz w:val="20"/>
        </w:rPr>
        <w:t>a</w:t>
      </w:r>
      <w:r>
        <w:rPr>
          <w:spacing w:val="-10"/>
          <w:sz w:val="20"/>
        </w:rPr>
        <w:t> </w:t>
      </w:r>
      <w:r>
        <w:rPr>
          <w:spacing w:val="-4"/>
          <w:sz w:val="20"/>
        </w:rPr>
        <w:t>juror. </w:t>
      </w:r>
      <w:r>
        <w:rPr>
          <w:sz w:val="20"/>
        </w:rPr>
        <w:t>County</w:t>
      </w:r>
      <w:r>
        <w:rPr>
          <w:spacing w:val="-11"/>
          <w:sz w:val="20"/>
        </w:rPr>
        <w:t> </w:t>
      </w:r>
      <w:r>
        <w:rPr>
          <w:sz w:val="20"/>
        </w:rPr>
        <w:t>Court</w:t>
      </w:r>
      <w:r>
        <w:rPr>
          <w:spacing w:val="-10"/>
          <w:sz w:val="20"/>
        </w:rPr>
        <w:t> </w:t>
      </w:r>
      <w:r>
        <w:rPr>
          <w:sz w:val="20"/>
        </w:rPr>
        <w:t>consultees</w:t>
      </w:r>
      <w:r>
        <w:rPr>
          <w:spacing w:val="-10"/>
          <w:sz w:val="20"/>
        </w:rPr>
        <w:t> </w:t>
      </w:r>
      <w:r>
        <w:rPr>
          <w:sz w:val="20"/>
        </w:rPr>
        <w:t>stressed</w:t>
      </w:r>
      <w:r>
        <w:rPr>
          <w:spacing w:val="-10"/>
          <w:sz w:val="20"/>
        </w:rPr>
        <w:t> </w:t>
      </w:r>
      <w:r>
        <w:rPr>
          <w:sz w:val="20"/>
        </w:rPr>
        <w:t>that</w:t>
      </w:r>
      <w:r>
        <w:rPr>
          <w:spacing w:val="-10"/>
          <w:sz w:val="20"/>
        </w:rPr>
        <w:t> </w:t>
      </w:r>
      <w:r>
        <w:rPr>
          <w:sz w:val="20"/>
        </w:rPr>
        <w:t>‘English</w:t>
      </w:r>
      <w:r>
        <w:rPr>
          <w:spacing w:val="-10"/>
          <w:sz w:val="20"/>
        </w:rPr>
        <w:t> </w:t>
      </w:r>
      <w:r>
        <w:rPr>
          <w:sz w:val="20"/>
        </w:rPr>
        <w:t>is</w:t>
      </w:r>
      <w:r>
        <w:rPr>
          <w:spacing w:val="-10"/>
          <w:sz w:val="20"/>
        </w:rPr>
        <w:t> </w:t>
      </w:r>
      <w:r>
        <w:rPr>
          <w:sz w:val="20"/>
        </w:rPr>
        <w:t>the</w:t>
      </w:r>
      <w:r>
        <w:rPr>
          <w:spacing w:val="-10"/>
          <w:sz w:val="20"/>
        </w:rPr>
        <w:t> </w:t>
      </w:r>
      <w:r>
        <w:rPr>
          <w:sz w:val="20"/>
        </w:rPr>
        <w:t>language</w:t>
      </w:r>
      <w:r>
        <w:rPr>
          <w:spacing w:val="-10"/>
          <w:sz w:val="20"/>
        </w:rPr>
        <w:t> </w:t>
      </w:r>
      <w:r>
        <w:rPr>
          <w:sz w:val="20"/>
        </w:rPr>
        <w:t>of</w:t>
      </w:r>
      <w:r>
        <w:rPr>
          <w:spacing w:val="-10"/>
          <w:sz w:val="20"/>
        </w:rPr>
        <w:t> </w:t>
      </w:r>
      <w:r>
        <w:rPr>
          <w:sz w:val="20"/>
        </w:rPr>
        <w:t>the</w:t>
      </w:r>
      <w:r>
        <w:rPr>
          <w:spacing w:val="-10"/>
          <w:sz w:val="20"/>
        </w:rPr>
        <w:t> </w:t>
      </w:r>
      <w:r>
        <w:rPr>
          <w:sz w:val="20"/>
        </w:rPr>
        <w:t>Court’</w:t>
      </w:r>
      <w:r>
        <w:rPr>
          <w:spacing w:val="-10"/>
          <w:sz w:val="20"/>
        </w:rPr>
        <w:t> </w:t>
      </w:r>
      <w:r>
        <w:rPr>
          <w:sz w:val="20"/>
        </w:rPr>
        <w:t>and</w:t>
      </w:r>
      <w:r>
        <w:rPr>
          <w:spacing w:val="-10"/>
          <w:sz w:val="20"/>
        </w:rPr>
        <w:t> </w:t>
      </w:r>
      <w:r>
        <w:rPr>
          <w:sz w:val="20"/>
        </w:rPr>
        <w:t>that </w:t>
      </w:r>
      <w:r>
        <w:rPr>
          <w:spacing w:val="-4"/>
          <w:sz w:val="20"/>
        </w:rPr>
        <w:t>‘any</w:t>
      </w:r>
      <w:r>
        <w:rPr>
          <w:spacing w:val="-8"/>
          <w:sz w:val="20"/>
        </w:rPr>
        <w:t> </w:t>
      </w:r>
      <w:r>
        <w:rPr>
          <w:sz w:val="20"/>
        </w:rPr>
        <w:t>juror</w:t>
      </w:r>
      <w:r>
        <w:rPr>
          <w:spacing w:val="-7"/>
          <w:sz w:val="20"/>
        </w:rPr>
        <w:t> </w:t>
      </w:r>
      <w:r>
        <w:rPr>
          <w:sz w:val="20"/>
        </w:rPr>
        <w:t>needs</w:t>
      </w:r>
      <w:r>
        <w:rPr>
          <w:spacing w:val="-8"/>
          <w:sz w:val="20"/>
        </w:rPr>
        <w:t> </w:t>
      </w:r>
      <w:r>
        <w:rPr>
          <w:sz w:val="20"/>
        </w:rPr>
        <w:t>to</w:t>
      </w:r>
      <w:r>
        <w:rPr>
          <w:spacing w:val="-7"/>
          <w:sz w:val="20"/>
        </w:rPr>
        <w:t> </w:t>
      </w:r>
      <w:r>
        <w:rPr>
          <w:sz w:val="20"/>
        </w:rPr>
        <w:t>be</w:t>
      </w:r>
      <w:r>
        <w:rPr>
          <w:spacing w:val="-8"/>
          <w:sz w:val="20"/>
        </w:rPr>
        <w:t> </w:t>
      </w:r>
      <w:r>
        <w:rPr>
          <w:sz w:val="20"/>
        </w:rPr>
        <w:t>fluent</w:t>
      </w:r>
      <w:r>
        <w:rPr>
          <w:spacing w:val="-7"/>
          <w:sz w:val="20"/>
        </w:rPr>
        <w:t> </w:t>
      </w:r>
      <w:r>
        <w:rPr>
          <w:sz w:val="20"/>
        </w:rPr>
        <w:t>in</w:t>
      </w:r>
      <w:r>
        <w:rPr>
          <w:spacing w:val="-8"/>
          <w:sz w:val="20"/>
        </w:rPr>
        <w:t> </w:t>
      </w:r>
      <w:r>
        <w:rPr>
          <w:sz w:val="20"/>
        </w:rPr>
        <w:t>the</w:t>
      </w:r>
      <w:r>
        <w:rPr>
          <w:spacing w:val="-7"/>
          <w:sz w:val="20"/>
        </w:rPr>
        <w:t> </w:t>
      </w:r>
      <w:r>
        <w:rPr>
          <w:sz w:val="20"/>
        </w:rPr>
        <w:t>language</w:t>
      </w:r>
      <w:r>
        <w:rPr>
          <w:spacing w:val="-8"/>
          <w:sz w:val="20"/>
        </w:rPr>
        <w:t> </w:t>
      </w:r>
      <w:r>
        <w:rPr>
          <w:sz w:val="20"/>
        </w:rPr>
        <w:t>of</w:t>
      </w:r>
      <w:r>
        <w:rPr>
          <w:spacing w:val="-7"/>
          <w:sz w:val="20"/>
        </w:rPr>
        <w:t> </w:t>
      </w:r>
      <w:r>
        <w:rPr>
          <w:sz w:val="20"/>
        </w:rPr>
        <w:t>the</w:t>
      </w:r>
      <w:r>
        <w:rPr>
          <w:spacing w:val="-8"/>
          <w:sz w:val="20"/>
        </w:rPr>
        <w:t> </w:t>
      </w:r>
      <w:r>
        <w:rPr>
          <w:spacing w:val="-3"/>
          <w:sz w:val="20"/>
        </w:rPr>
        <w:t>court’.</w:t>
      </w:r>
      <w:r>
        <w:rPr>
          <w:spacing w:val="-3"/>
          <w:position w:val="7"/>
          <w:sz w:val="11"/>
        </w:rPr>
        <w:t>3</w:t>
      </w:r>
      <w:r>
        <w:rPr>
          <w:spacing w:val="18"/>
          <w:position w:val="7"/>
          <w:sz w:val="11"/>
        </w:rPr>
        <w:t> </w:t>
      </w:r>
      <w:r>
        <w:rPr>
          <w:sz w:val="20"/>
        </w:rPr>
        <w:t>As</w:t>
      </w:r>
      <w:r>
        <w:rPr>
          <w:spacing w:val="-8"/>
          <w:sz w:val="20"/>
        </w:rPr>
        <w:t> </w:t>
      </w:r>
      <w:r>
        <w:rPr>
          <w:sz w:val="20"/>
        </w:rPr>
        <w:t>they</w:t>
      </w:r>
      <w:r>
        <w:rPr>
          <w:spacing w:val="-7"/>
          <w:sz w:val="20"/>
        </w:rPr>
        <w:t> </w:t>
      </w:r>
      <w:r>
        <w:rPr>
          <w:sz w:val="20"/>
        </w:rPr>
        <w:t>put</w:t>
      </w:r>
      <w:r>
        <w:rPr>
          <w:spacing w:val="-8"/>
          <w:sz w:val="20"/>
        </w:rPr>
        <w:t> </w:t>
      </w:r>
      <w:r>
        <w:rPr>
          <w:sz w:val="20"/>
        </w:rPr>
        <w:t>it,</w:t>
      </w:r>
      <w:r>
        <w:rPr>
          <w:spacing w:val="-7"/>
          <w:sz w:val="20"/>
        </w:rPr>
        <w:t> </w:t>
      </w:r>
      <w:r>
        <w:rPr>
          <w:spacing w:val="-6"/>
          <w:sz w:val="20"/>
        </w:rPr>
        <w:t>‘Any</w:t>
      </w:r>
      <w:r>
        <w:rPr>
          <w:spacing w:val="-8"/>
          <w:sz w:val="20"/>
        </w:rPr>
        <w:t> </w:t>
      </w:r>
      <w:r>
        <w:rPr>
          <w:sz w:val="20"/>
        </w:rPr>
        <w:t>person </w:t>
      </w:r>
      <w:r>
        <w:rPr>
          <w:spacing w:val="-3"/>
          <w:sz w:val="20"/>
        </w:rPr>
        <w:t>regardless</w:t>
      </w:r>
      <w:r>
        <w:rPr>
          <w:spacing w:val="-10"/>
          <w:sz w:val="20"/>
        </w:rPr>
        <w:t> </w:t>
      </w:r>
      <w:r>
        <w:rPr>
          <w:sz w:val="20"/>
        </w:rPr>
        <w:t>of</w:t>
      </w:r>
      <w:r>
        <w:rPr>
          <w:spacing w:val="-10"/>
          <w:sz w:val="20"/>
        </w:rPr>
        <w:t> </w:t>
      </w:r>
      <w:r>
        <w:rPr>
          <w:sz w:val="20"/>
        </w:rPr>
        <w:t>disability,</w:t>
      </w:r>
      <w:r>
        <w:rPr>
          <w:spacing w:val="-9"/>
          <w:sz w:val="20"/>
        </w:rPr>
        <w:t> </w:t>
      </w:r>
      <w:r>
        <w:rPr>
          <w:sz w:val="20"/>
        </w:rPr>
        <w:t>should</w:t>
      </w:r>
      <w:r>
        <w:rPr>
          <w:spacing w:val="-10"/>
          <w:sz w:val="20"/>
        </w:rPr>
        <w:t> </w:t>
      </w:r>
      <w:r>
        <w:rPr>
          <w:sz w:val="20"/>
        </w:rPr>
        <w:t>not</w:t>
      </w:r>
      <w:r>
        <w:rPr>
          <w:spacing w:val="-9"/>
          <w:sz w:val="20"/>
        </w:rPr>
        <w:t> </w:t>
      </w:r>
      <w:r>
        <w:rPr>
          <w:sz w:val="20"/>
        </w:rPr>
        <w:t>serve</w:t>
      </w:r>
      <w:r>
        <w:rPr>
          <w:spacing w:val="-10"/>
          <w:sz w:val="20"/>
        </w:rPr>
        <w:t> </w:t>
      </w:r>
      <w:r>
        <w:rPr>
          <w:sz w:val="20"/>
        </w:rPr>
        <w:t>if</w:t>
      </w:r>
      <w:r>
        <w:rPr>
          <w:spacing w:val="-9"/>
          <w:sz w:val="20"/>
        </w:rPr>
        <w:t> </w:t>
      </w:r>
      <w:r>
        <w:rPr>
          <w:sz w:val="20"/>
        </w:rPr>
        <w:t>they</w:t>
      </w:r>
      <w:r>
        <w:rPr>
          <w:spacing w:val="-10"/>
          <w:sz w:val="20"/>
        </w:rPr>
        <w:t> </w:t>
      </w:r>
      <w:r>
        <w:rPr>
          <w:sz w:val="20"/>
        </w:rPr>
        <w:t>cannot</w:t>
      </w:r>
      <w:r>
        <w:rPr>
          <w:spacing w:val="-10"/>
          <w:sz w:val="20"/>
        </w:rPr>
        <w:t> </w:t>
      </w:r>
      <w:r>
        <w:rPr>
          <w:sz w:val="20"/>
        </w:rPr>
        <w:t>understand</w:t>
      </w:r>
      <w:r>
        <w:rPr>
          <w:spacing w:val="-9"/>
          <w:sz w:val="20"/>
        </w:rPr>
        <w:t> </w:t>
      </w:r>
      <w:r>
        <w:rPr>
          <w:sz w:val="20"/>
        </w:rPr>
        <w:t>English.</w:t>
      </w:r>
      <w:r>
        <w:rPr>
          <w:spacing w:val="-10"/>
          <w:sz w:val="20"/>
        </w:rPr>
        <w:t> </w:t>
      </w:r>
      <w:r>
        <w:rPr>
          <w:sz w:val="20"/>
        </w:rPr>
        <w:t>[…]</w:t>
      </w:r>
      <w:r>
        <w:rPr>
          <w:spacing w:val="-9"/>
          <w:sz w:val="20"/>
        </w:rPr>
        <w:t> </w:t>
      </w:r>
      <w:r>
        <w:rPr>
          <w:sz w:val="20"/>
        </w:rPr>
        <w:t>This</w:t>
      </w:r>
    </w:p>
    <w:p>
      <w:pPr>
        <w:pStyle w:val="BodyText"/>
        <w:spacing w:line="206" w:lineRule="auto" w:before="5"/>
        <w:ind w:left="1761" w:right="1335" w:hanging="1"/>
      </w:pPr>
      <w:r>
        <w:rPr/>
        <w:t>is</w:t>
      </w:r>
      <w:r>
        <w:rPr>
          <w:spacing w:val="-11"/>
        </w:rPr>
        <w:t> </w:t>
      </w:r>
      <w:r>
        <w:rPr/>
        <w:t>a</w:t>
      </w:r>
      <w:r>
        <w:rPr>
          <w:spacing w:val="-10"/>
        </w:rPr>
        <w:t> </w:t>
      </w:r>
      <w:r>
        <w:rPr/>
        <w:t>screening</w:t>
      </w:r>
      <w:r>
        <w:rPr>
          <w:spacing w:val="-10"/>
        </w:rPr>
        <w:t> </w:t>
      </w:r>
      <w:r>
        <w:rPr/>
        <w:t>test</w:t>
      </w:r>
      <w:r>
        <w:rPr>
          <w:spacing w:val="-11"/>
        </w:rPr>
        <w:t> </w:t>
      </w:r>
      <w:r>
        <w:rPr/>
        <w:t>for</w:t>
      </w:r>
      <w:r>
        <w:rPr>
          <w:spacing w:val="-10"/>
        </w:rPr>
        <w:t> </w:t>
      </w:r>
      <w:r>
        <w:rPr/>
        <w:t>jury</w:t>
      </w:r>
      <w:r>
        <w:rPr>
          <w:spacing w:val="-10"/>
        </w:rPr>
        <w:t> </w:t>
      </w:r>
      <w:r>
        <w:rPr/>
        <w:t>selection’.</w:t>
      </w:r>
      <w:r>
        <w:rPr>
          <w:position w:val="7"/>
          <w:sz w:val="11"/>
        </w:rPr>
        <w:t>4</w:t>
      </w:r>
      <w:r>
        <w:rPr>
          <w:spacing w:val="14"/>
          <w:position w:val="7"/>
          <w:sz w:val="11"/>
        </w:rPr>
        <w:t> </w:t>
      </w:r>
      <w:r>
        <w:rPr/>
        <w:t>In</w:t>
      </w:r>
      <w:r>
        <w:rPr>
          <w:spacing w:val="-10"/>
        </w:rPr>
        <w:t> </w:t>
      </w:r>
      <w:r>
        <w:rPr/>
        <w:t>practice,</w:t>
      </w:r>
      <w:r>
        <w:rPr>
          <w:spacing w:val="-11"/>
        </w:rPr>
        <w:t> </w:t>
      </w:r>
      <w:r>
        <w:rPr/>
        <w:t>a</w:t>
      </w:r>
      <w:r>
        <w:rPr>
          <w:spacing w:val="-10"/>
        </w:rPr>
        <w:t> </w:t>
      </w:r>
      <w:r>
        <w:rPr/>
        <w:t>deaf</w:t>
      </w:r>
      <w:r>
        <w:rPr>
          <w:spacing w:val="-10"/>
        </w:rPr>
        <w:t> </w:t>
      </w:r>
      <w:r>
        <w:rPr/>
        <w:t>juror</w:t>
      </w:r>
      <w:r>
        <w:rPr>
          <w:spacing w:val="-10"/>
        </w:rPr>
        <w:t> </w:t>
      </w:r>
      <w:r>
        <w:rPr/>
        <w:t>is</w:t>
      </w:r>
      <w:r>
        <w:rPr>
          <w:spacing w:val="-11"/>
        </w:rPr>
        <w:t> </w:t>
      </w:r>
      <w:r>
        <w:rPr>
          <w:spacing w:val="-3"/>
        </w:rPr>
        <w:t>likely</w:t>
      </w:r>
      <w:r>
        <w:rPr>
          <w:spacing w:val="-10"/>
        </w:rPr>
        <w:t> </w:t>
      </w:r>
      <w:r>
        <w:rPr/>
        <w:t>to</w:t>
      </w:r>
      <w:r>
        <w:rPr>
          <w:spacing w:val="-10"/>
        </w:rPr>
        <w:t> </w:t>
      </w:r>
      <w:r>
        <w:rPr/>
        <w:t>be</w:t>
      </w:r>
      <w:r>
        <w:rPr>
          <w:spacing w:val="-11"/>
        </w:rPr>
        <w:t> </w:t>
      </w:r>
      <w:r>
        <w:rPr/>
        <w:t>given</w:t>
      </w:r>
      <w:r>
        <w:rPr>
          <w:spacing w:val="-10"/>
        </w:rPr>
        <w:t> </w:t>
      </w:r>
      <w:r>
        <w:rPr/>
        <w:t>trial transcripts</w:t>
      </w:r>
      <w:r>
        <w:rPr>
          <w:spacing w:val="-9"/>
        </w:rPr>
        <w:t> </w:t>
      </w:r>
      <w:r>
        <w:rPr/>
        <w:t>in</w:t>
      </w:r>
      <w:r>
        <w:rPr>
          <w:spacing w:val="-9"/>
        </w:rPr>
        <w:t> </w:t>
      </w:r>
      <w:r>
        <w:rPr/>
        <w:t>English,</w:t>
      </w:r>
      <w:r>
        <w:rPr>
          <w:spacing w:val="-9"/>
        </w:rPr>
        <w:t> </w:t>
      </w:r>
      <w:r>
        <w:rPr/>
        <w:t>and</w:t>
      </w:r>
      <w:r>
        <w:rPr>
          <w:spacing w:val="-9"/>
        </w:rPr>
        <w:t> </w:t>
      </w:r>
      <w:r>
        <w:rPr/>
        <w:t>a</w:t>
      </w:r>
      <w:r>
        <w:rPr>
          <w:spacing w:val="-9"/>
        </w:rPr>
        <w:t> </w:t>
      </w:r>
      <w:r>
        <w:rPr/>
        <w:t>blind</w:t>
      </w:r>
      <w:r>
        <w:rPr>
          <w:spacing w:val="-9"/>
        </w:rPr>
        <w:t> </w:t>
      </w:r>
      <w:r>
        <w:rPr/>
        <w:t>juror</w:t>
      </w:r>
      <w:r>
        <w:rPr>
          <w:spacing w:val="-9"/>
        </w:rPr>
        <w:t> </w:t>
      </w:r>
      <w:r>
        <w:rPr/>
        <w:t>will</w:t>
      </w:r>
      <w:r>
        <w:rPr>
          <w:spacing w:val="-8"/>
        </w:rPr>
        <w:t> </w:t>
      </w:r>
      <w:r>
        <w:rPr/>
        <w:t>be</w:t>
      </w:r>
      <w:r>
        <w:rPr>
          <w:spacing w:val="-9"/>
        </w:rPr>
        <w:t> </w:t>
      </w:r>
      <w:r>
        <w:rPr/>
        <w:t>given</w:t>
      </w:r>
      <w:r>
        <w:rPr>
          <w:spacing w:val="-9"/>
        </w:rPr>
        <w:t> </w:t>
      </w:r>
      <w:r>
        <w:rPr>
          <w:spacing w:val="-3"/>
        </w:rPr>
        <w:t>voice</w:t>
      </w:r>
      <w:r>
        <w:rPr>
          <w:spacing w:val="-9"/>
        </w:rPr>
        <w:t> </w:t>
      </w:r>
      <w:r>
        <w:rPr/>
        <w:t>recordings</w:t>
      </w:r>
      <w:r>
        <w:rPr>
          <w:spacing w:val="-9"/>
        </w:rPr>
        <w:t> </w:t>
      </w:r>
      <w:r>
        <w:rPr/>
        <w:t>in</w:t>
      </w:r>
      <w:r>
        <w:rPr>
          <w:spacing w:val="-9"/>
        </w:rPr>
        <w:t> </w:t>
      </w:r>
      <w:r>
        <w:rPr/>
        <w:t>English.</w:t>
      </w:r>
    </w:p>
    <w:p>
      <w:pPr>
        <w:pStyle w:val="ListParagraph"/>
        <w:numPr>
          <w:ilvl w:val="1"/>
          <w:numId w:val="12"/>
        </w:numPr>
        <w:tabs>
          <w:tab w:pos="1761" w:val="left" w:leader="none"/>
          <w:tab w:pos="1762" w:val="left" w:leader="none"/>
        </w:tabs>
        <w:spacing w:line="206" w:lineRule="auto" w:before="123" w:after="0"/>
        <w:ind w:left="1761" w:right="1237" w:hanging="794"/>
        <w:jc w:val="left"/>
        <w:rPr>
          <w:sz w:val="11"/>
        </w:rPr>
      </w:pPr>
      <w:r>
        <w:rPr>
          <w:sz w:val="20"/>
        </w:rPr>
        <w:t>The Commission is </w:t>
      </w:r>
      <w:r>
        <w:rPr>
          <w:spacing w:val="-4"/>
          <w:sz w:val="20"/>
        </w:rPr>
        <w:t>aware </w:t>
      </w:r>
      <w:r>
        <w:rPr>
          <w:sz w:val="20"/>
        </w:rPr>
        <w:t>that deaf people </w:t>
      </w:r>
      <w:r>
        <w:rPr>
          <w:spacing w:val="-3"/>
          <w:sz w:val="20"/>
        </w:rPr>
        <w:t>‘have </w:t>
      </w:r>
      <w:r>
        <w:rPr>
          <w:sz w:val="20"/>
        </w:rPr>
        <w:t>a variety of literacy and life experiences</w:t>
      </w:r>
      <w:r>
        <w:rPr>
          <w:spacing w:val="-12"/>
          <w:sz w:val="20"/>
        </w:rPr>
        <w:t> </w:t>
      </w:r>
      <w:r>
        <w:rPr>
          <w:sz w:val="20"/>
        </w:rPr>
        <w:t>just</w:t>
      </w:r>
      <w:r>
        <w:rPr>
          <w:spacing w:val="-11"/>
          <w:sz w:val="20"/>
        </w:rPr>
        <w:t> </w:t>
      </w:r>
      <w:r>
        <w:rPr>
          <w:sz w:val="20"/>
        </w:rPr>
        <w:t>like</w:t>
      </w:r>
      <w:r>
        <w:rPr>
          <w:spacing w:val="-12"/>
          <w:sz w:val="20"/>
        </w:rPr>
        <w:t> </w:t>
      </w:r>
      <w:r>
        <w:rPr>
          <w:sz w:val="20"/>
        </w:rPr>
        <w:t>the</w:t>
      </w:r>
      <w:r>
        <w:rPr>
          <w:spacing w:val="-11"/>
          <w:sz w:val="20"/>
        </w:rPr>
        <w:t> </w:t>
      </w:r>
      <w:r>
        <w:rPr>
          <w:sz w:val="20"/>
        </w:rPr>
        <w:t>broader</w:t>
      </w:r>
      <w:r>
        <w:rPr>
          <w:spacing w:val="-11"/>
          <w:sz w:val="20"/>
        </w:rPr>
        <w:t> </w:t>
      </w:r>
      <w:r>
        <w:rPr>
          <w:sz w:val="20"/>
        </w:rPr>
        <w:t>community’.</w:t>
      </w:r>
      <w:r>
        <w:rPr>
          <w:position w:val="7"/>
          <w:sz w:val="11"/>
        </w:rPr>
        <w:t>5</w:t>
      </w:r>
      <w:r>
        <w:rPr>
          <w:spacing w:val="13"/>
          <w:position w:val="7"/>
          <w:sz w:val="11"/>
        </w:rPr>
        <w:t> </w:t>
      </w:r>
      <w:r>
        <w:rPr>
          <w:sz w:val="20"/>
        </w:rPr>
        <w:t>In</w:t>
      </w:r>
      <w:r>
        <w:rPr>
          <w:spacing w:val="-11"/>
          <w:sz w:val="20"/>
        </w:rPr>
        <w:t> </w:t>
      </w:r>
      <w:r>
        <w:rPr>
          <w:spacing w:val="-2"/>
          <w:sz w:val="20"/>
        </w:rPr>
        <w:t>Chapter</w:t>
      </w:r>
      <w:r>
        <w:rPr>
          <w:spacing w:val="-12"/>
          <w:sz w:val="20"/>
        </w:rPr>
        <w:t> </w:t>
      </w:r>
      <w:r>
        <w:rPr>
          <w:sz w:val="20"/>
        </w:rPr>
        <w:t>3</w:t>
      </w:r>
      <w:r>
        <w:rPr>
          <w:spacing w:val="-11"/>
          <w:sz w:val="20"/>
        </w:rPr>
        <w:t> </w:t>
      </w:r>
      <w:r>
        <w:rPr>
          <w:spacing w:val="-3"/>
          <w:sz w:val="20"/>
        </w:rPr>
        <w:t>we</w:t>
      </w:r>
      <w:r>
        <w:rPr>
          <w:spacing w:val="-11"/>
          <w:sz w:val="20"/>
        </w:rPr>
        <w:t> </w:t>
      </w:r>
      <w:r>
        <w:rPr>
          <w:sz w:val="20"/>
        </w:rPr>
        <w:t>noted</w:t>
      </w:r>
      <w:r>
        <w:rPr>
          <w:spacing w:val="-12"/>
          <w:sz w:val="20"/>
        </w:rPr>
        <w:t> </w:t>
      </w:r>
      <w:r>
        <w:rPr>
          <w:sz w:val="20"/>
        </w:rPr>
        <w:t>that</w:t>
      </w:r>
      <w:r>
        <w:rPr>
          <w:spacing w:val="-11"/>
          <w:sz w:val="20"/>
        </w:rPr>
        <w:t> </w:t>
      </w:r>
      <w:r>
        <w:rPr>
          <w:sz w:val="20"/>
        </w:rPr>
        <w:t>some</w:t>
      </w:r>
      <w:r>
        <w:rPr>
          <w:spacing w:val="-11"/>
          <w:sz w:val="20"/>
        </w:rPr>
        <w:t> </w:t>
      </w:r>
      <w:r>
        <w:rPr>
          <w:sz w:val="20"/>
        </w:rPr>
        <w:t>people who</w:t>
      </w:r>
      <w:r>
        <w:rPr>
          <w:spacing w:val="-7"/>
          <w:sz w:val="20"/>
        </w:rPr>
        <w:t> </w:t>
      </w:r>
      <w:r>
        <w:rPr>
          <w:spacing w:val="-3"/>
          <w:sz w:val="20"/>
        </w:rPr>
        <w:t>are</w:t>
      </w:r>
      <w:r>
        <w:rPr>
          <w:spacing w:val="-7"/>
          <w:sz w:val="20"/>
        </w:rPr>
        <w:t> </w:t>
      </w:r>
      <w:r>
        <w:rPr>
          <w:sz w:val="20"/>
        </w:rPr>
        <w:t>deaf</w:t>
      </w:r>
      <w:r>
        <w:rPr>
          <w:spacing w:val="-7"/>
          <w:sz w:val="20"/>
        </w:rPr>
        <w:t> </w:t>
      </w:r>
      <w:r>
        <w:rPr>
          <w:sz w:val="20"/>
        </w:rPr>
        <w:t>do</w:t>
      </w:r>
      <w:r>
        <w:rPr>
          <w:spacing w:val="-7"/>
          <w:sz w:val="20"/>
        </w:rPr>
        <w:t> </w:t>
      </w:r>
      <w:r>
        <w:rPr>
          <w:sz w:val="20"/>
        </w:rPr>
        <w:t>not</w:t>
      </w:r>
      <w:r>
        <w:rPr>
          <w:spacing w:val="-7"/>
          <w:sz w:val="20"/>
        </w:rPr>
        <w:t> </w:t>
      </w:r>
      <w:r>
        <w:rPr>
          <w:sz w:val="20"/>
        </w:rPr>
        <w:t>understand</w:t>
      </w:r>
      <w:r>
        <w:rPr>
          <w:spacing w:val="-7"/>
          <w:sz w:val="20"/>
        </w:rPr>
        <w:t> </w:t>
      </w:r>
      <w:r>
        <w:rPr>
          <w:sz w:val="20"/>
        </w:rPr>
        <w:t>English</w:t>
      </w:r>
      <w:r>
        <w:rPr>
          <w:spacing w:val="-7"/>
          <w:sz w:val="20"/>
        </w:rPr>
        <w:t> </w:t>
      </w:r>
      <w:r>
        <w:rPr>
          <w:sz w:val="20"/>
        </w:rPr>
        <w:t>or</w:t>
      </w:r>
      <w:r>
        <w:rPr>
          <w:spacing w:val="-7"/>
          <w:sz w:val="20"/>
        </w:rPr>
        <w:t> </w:t>
      </w:r>
      <w:r>
        <w:rPr>
          <w:sz w:val="20"/>
        </w:rPr>
        <w:t>Auslan</w:t>
      </w:r>
      <w:r>
        <w:rPr>
          <w:spacing w:val="-7"/>
          <w:sz w:val="20"/>
        </w:rPr>
        <w:t> </w:t>
      </w:r>
      <w:r>
        <w:rPr>
          <w:sz w:val="20"/>
        </w:rPr>
        <w:t>and</w:t>
      </w:r>
      <w:r>
        <w:rPr>
          <w:spacing w:val="-7"/>
          <w:sz w:val="20"/>
        </w:rPr>
        <w:t> </w:t>
      </w:r>
      <w:r>
        <w:rPr>
          <w:spacing w:val="-3"/>
          <w:sz w:val="20"/>
        </w:rPr>
        <w:t>may</w:t>
      </w:r>
      <w:r>
        <w:rPr>
          <w:spacing w:val="-7"/>
          <w:sz w:val="20"/>
        </w:rPr>
        <w:t> </w:t>
      </w:r>
      <w:r>
        <w:rPr>
          <w:spacing w:val="-3"/>
          <w:sz w:val="20"/>
        </w:rPr>
        <w:t>work</w:t>
      </w:r>
      <w:r>
        <w:rPr>
          <w:spacing w:val="-7"/>
          <w:sz w:val="20"/>
        </w:rPr>
        <w:t> </w:t>
      </w:r>
      <w:r>
        <w:rPr>
          <w:sz w:val="20"/>
        </w:rPr>
        <w:t>with</w:t>
      </w:r>
      <w:r>
        <w:rPr>
          <w:spacing w:val="-6"/>
          <w:sz w:val="20"/>
        </w:rPr>
        <w:t> </w:t>
      </w:r>
      <w:r>
        <w:rPr>
          <w:sz w:val="20"/>
        </w:rPr>
        <w:t>Deaf</w:t>
      </w:r>
      <w:r>
        <w:rPr>
          <w:spacing w:val="-7"/>
          <w:sz w:val="20"/>
        </w:rPr>
        <w:t> </w:t>
      </w:r>
      <w:r>
        <w:rPr>
          <w:spacing w:val="-3"/>
          <w:sz w:val="20"/>
        </w:rPr>
        <w:t>Interpreters </w:t>
      </w:r>
      <w:r>
        <w:rPr>
          <w:sz w:val="20"/>
        </w:rPr>
        <w:t>to communicate with</w:t>
      </w:r>
      <w:r>
        <w:rPr>
          <w:spacing w:val="-13"/>
          <w:sz w:val="20"/>
        </w:rPr>
        <w:t> </w:t>
      </w:r>
      <w:r>
        <w:rPr>
          <w:sz w:val="20"/>
        </w:rPr>
        <w:t>others.</w:t>
      </w:r>
      <w:r>
        <w:rPr>
          <w:position w:val="7"/>
          <w:sz w:val="11"/>
        </w:rPr>
        <w:t>6</w:t>
      </w:r>
    </w:p>
    <w:p>
      <w:pPr>
        <w:pStyle w:val="ListParagraph"/>
        <w:numPr>
          <w:ilvl w:val="1"/>
          <w:numId w:val="12"/>
        </w:numPr>
        <w:tabs>
          <w:tab w:pos="1762" w:val="left" w:leader="none"/>
        </w:tabs>
        <w:spacing w:line="206" w:lineRule="auto" w:before="125" w:after="0"/>
        <w:ind w:left="1761" w:right="1351" w:hanging="794"/>
        <w:jc w:val="both"/>
        <w:rPr>
          <w:sz w:val="20"/>
        </w:rPr>
      </w:pPr>
      <w:r>
        <w:rPr>
          <w:sz w:val="20"/>
        </w:rPr>
        <w:t>This</w:t>
      </w:r>
      <w:r>
        <w:rPr>
          <w:spacing w:val="-12"/>
          <w:sz w:val="20"/>
        </w:rPr>
        <w:t> </w:t>
      </w:r>
      <w:r>
        <w:rPr>
          <w:sz w:val="20"/>
        </w:rPr>
        <w:t>inquiry</w:t>
      </w:r>
      <w:r>
        <w:rPr>
          <w:spacing w:val="-12"/>
          <w:sz w:val="20"/>
        </w:rPr>
        <w:t> </w:t>
      </w:r>
      <w:r>
        <w:rPr>
          <w:sz w:val="20"/>
        </w:rPr>
        <w:t>does</w:t>
      </w:r>
      <w:r>
        <w:rPr>
          <w:spacing w:val="-11"/>
          <w:sz w:val="20"/>
        </w:rPr>
        <w:t> </w:t>
      </w:r>
      <w:r>
        <w:rPr>
          <w:sz w:val="20"/>
        </w:rPr>
        <w:t>not</w:t>
      </w:r>
      <w:r>
        <w:rPr>
          <w:spacing w:val="-12"/>
          <w:sz w:val="20"/>
        </w:rPr>
        <w:t> </w:t>
      </w:r>
      <w:r>
        <w:rPr>
          <w:sz w:val="20"/>
        </w:rPr>
        <w:t>consider</w:t>
      </w:r>
      <w:r>
        <w:rPr>
          <w:spacing w:val="-11"/>
          <w:sz w:val="20"/>
        </w:rPr>
        <w:t> </w:t>
      </w:r>
      <w:r>
        <w:rPr>
          <w:sz w:val="20"/>
        </w:rPr>
        <w:t>whether</w:t>
      </w:r>
      <w:r>
        <w:rPr>
          <w:spacing w:val="-12"/>
          <w:sz w:val="20"/>
        </w:rPr>
        <w:t> </w:t>
      </w:r>
      <w:r>
        <w:rPr>
          <w:sz w:val="20"/>
        </w:rPr>
        <w:t>people</w:t>
      </w:r>
      <w:r>
        <w:rPr>
          <w:spacing w:val="-11"/>
          <w:sz w:val="20"/>
        </w:rPr>
        <w:t> </w:t>
      </w:r>
      <w:r>
        <w:rPr>
          <w:sz w:val="20"/>
        </w:rPr>
        <w:t>who</w:t>
      </w:r>
      <w:r>
        <w:rPr>
          <w:spacing w:val="-12"/>
          <w:sz w:val="20"/>
        </w:rPr>
        <w:t> </w:t>
      </w:r>
      <w:r>
        <w:rPr>
          <w:sz w:val="20"/>
        </w:rPr>
        <w:t>do</w:t>
      </w:r>
      <w:r>
        <w:rPr>
          <w:spacing w:val="-12"/>
          <w:sz w:val="20"/>
        </w:rPr>
        <w:t> </w:t>
      </w:r>
      <w:r>
        <w:rPr>
          <w:sz w:val="20"/>
        </w:rPr>
        <w:t>not</w:t>
      </w:r>
      <w:r>
        <w:rPr>
          <w:spacing w:val="-11"/>
          <w:sz w:val="20"/>
        </w:rPr>
        <w:t> </w:t>
      </w:r>
      <w:r>
        <w:rPr>
          <w:sz w:val="20"/>
        </w:rPr>
        <w:t>understand</w:t>
      </w:r>
      <w:r>
        <w:rPr>
          <w:spacing w:val="-12"/>
          <w:sz w:val="20"/>
        </w:rPr>
        <w:t> </w:t>
      </w:r>
      <w:r>
        <w:rPr>
          <w:sz w:val="20"/>
        </w:rPr>
        <w:t>English</w:t>
      </w:r>
      <w:r>
        <w:rPr>
          <w:spacing w:val="-11"/>
          <w:sz w:val="20"/>
        </w:rPr>
        <w:t> </w:t>
      </w:r>
      <w:r>
        <w:rPr>
          <w:sz w:val="20"/>
        </w:rPr>
        <w:t>should be</w:t>
      </w:r>
      <w:r>
        <w:rPr>
          <w:spacing w:val="-8"/>
          <w:sz w:val="20"/>
        </w:rPr>
        <w:t> </w:t>
      </w:r>
      <w:r>
        <w:rPr>
          <w:spacing w:val="-3"/>
          <w:sz w:val="20"/>
        </w:rPr>
        <w:t>allowed</w:t>
      </w:r>
      <w:r>
        <w:rPr>
          <w:spacing w:val="-7"/>
          <w:sz w:val="20"/>
        </w:rPr>
        <w:t> </w:t>
      </w:r>
      <w:r>
        <w:rPr>
          <w:sz w:val="20"/>
        </w:rPr>
        <w:t>to</w:t>
      </w:r>
      <w:r>
        <w:rPr>
          <w:spacing w:val="-7"/>
          <w:sz w:val="20"/>
        </w:rPr>
        <w:t> </w:t>
      </w:r>
      <w:r>
        <w:rPr>
          <w:sz w:val="20"/>
        </w:rPr>
        <w:t>serve.</w:t>
      </w:r>
      <w:r>
        <w:rPr>
          <w:spacing w:val="-8"/>
          <w:sz w:val="20"/>
        </w:rPr>
        <w:t> </w:t>
      </w:r>
      <w:r>
        <w:rPr>
          <w:sz w:val="20"/>
        </w:rPr>
        <w:t>That</w:t>
      </w:r>
      <w:r>
        <w:rPr>
          <w:spacing w:val="-7"/>
          <w:sz w:val="20"/>
        </w:rPr>
        <w:t> </w:t>
      </w:r>
      <w:r>
        <w:rPr>
          <w:sz w:val="20"/>
        </w:rPr>
        <w:t>question</w:t>
      </w:r>
      <w:r>
        <w:rPr>
          <w:spacing w:val="-7"/>
          <w:sz w:val="20"/>
        </w:rPr>
        <w:t> </w:t>
      </w:r>
      <w:r>
        <w:rPr>
          <w:sz w:val="20"/>
        </w:rPr>
        <w:t>is</w:t>
      </w:r>
      <w:r>
        <w:rPr>
          <w:spacing w:val="-7"/>
          <w:sz w:val="20"/>
        </w:rPr>
        <w:t> </w:t>
      </w:r>
      <w:r>
        <w:rPr>
          <w:sz w:val="20"/>
        </w:rPr>
        <w:t>out</w:t>
      </w:r>
      <w:r>
        <w:rPr>
          <w:spacing w:val="-8"/>
          <w:sz w:val="20"/>
        </w:rPr>
        <w:t> </w:t>
      </w:r>
      <w:r>
        <w:rPr>
          <w:sz w:val="20"/>
        </w:rPr>
        <w:t>of</w:t>
      </w:r>
      <w:r>
        <w:rPr>
          <w:spacing w:val="-7"/>
          <w:sz w:val="20"/>
        </w:rPr>
        <w:t> </w:t>
      </w:r>
      <w:r>
        <w:rPr>
          <w:sz w:val="20"/>
        </w:rPr>
        <w:t>scope</w:t>
      </w:r>
      <w:r>
        <w:rPr>
          <w:spacing w:val="-7"/>
          <w:sz w:val="20"/>
        </w:rPr>
        <w:t> </w:t>
      </w:r>
      <w:r>
        <w:rPr>
          <w:sz w:val="20"/>
        </w:rPr>
        <w:t>for</w:t>
      </w:r>
      <w:r>
        <w:rPr>
          <w:spacing w:val="-7"/>
          <w:sz w:val="20"/>
        </w:rPr>
        <w:t> </w:t>
      </w:r>
      <w:r>
        <w:rPr>
          <w:sz w:val="20"/>
        </w:rPr>
        <w:t>us</w:t>
      </w:r>
      <w:r>
        <w:rPr>
          <w:spacing w:val="-8"/>
          <w:sz w:val="20"/>
        </w:rPr>
        <w:t> </w:t>
      </w:r>
      <w:r>
        <w:rPr>
          <w:sz w:val="20"/>
        </w:rPr>
        <w:t>(see</w:t>
      </w:r>
      <w:r>
        <w:rPr>
          <w:spacing w:val="-7"/>
          <w:sz w:val="20"/>
        </w:rPr>
        <w:t> </w:t>
      </w:r>
      <w:r>
        <w:rPr>
          <w:spacing w:val="-2"/>
          <w:sz w:val="20"/>
        </w:rPr>
        <w:t>Chapter</w:t>
      </w:r>
      <w:r>
        <w:rPr>
          <w:spacing w:val="-7"/>
          <w:sz w:val="20"/>
        </w:rPr>
        <w:t> </w:t>
      </w:r>
      <w:r>
        <w:rPr>
          <w:sz w:val="20"/>
        </w:rPr>
        <w:t>1</w:t>
      </w:r>
      <w:r>
        <w:rPr>
          <w:spacing w:val="-7"/>
          <w:sz w:val="20"/>
        </w:rPr>
        <w:t> </w:t>
      </w:r>
      <w:r>
        <w:rPr>
          <w:sz w:val="20"/>
        </w:rPr>
        <w:t>and</w:t>
      </w:r>
      <w:r>
        <w:rPr>
          <w:spacing w:val="-8"/>
          <w:sz w:val="20"/>
        </w:rPr>
        <w:t> </w:t>
      </w:r>
      <w:r>
        <w:rPr>
          <w:sz w:val="20"/>
        </w:rPr>
        <w:t>our</w:t>
      </w:r>
      <w:r>
        <w:rPr>
          <w:spacing w:val="-7"/>
          <w:sz w:val="20"/>
        </w:rPr>
        <w:t> </w:t>
      </w:r>
      <w:r>
        <w:rPr>
          <w:sz w:val="20"/>
        </w:rPr>
        <w:t>terms of</w:t>
      </w:r>
      <w:r>
        <w:rPr>
          <w:spacing w:val="-4"/>
          <w:sz w:val="20"/>
        </w:rPr>
        <w:t> reference).</w:t>
      </w:r>
    </w:p>
    <w:p>
      <w:pPr>
        <w:pStyle w:val="ListParagraph"/>
        <w:numPr>
          <w:ilvl w:val="1"/>
          <w:numId w:val="12"/>
        </w:numPr>
        <w:tabs>
          <w:tab w:pos="1761" w:val="left" w:leader="none"/>
          <w:tab w:pos="1762" w:val="left" w:leader="none"/>
        </w:tabs>
        <w:spacing w:line="206" w:lineRule="auto" w:before="124" w:after="0"/>
        <w:ind w:left="1761" w:right="1666" w:hanging="794"/>
        <w:jc w:val="left"/>
        <w:rPr>
          <w:sz w:val="11"/>
        </w:rPr>
      </w:pPr>
      <w:r>
        <w:rPr>
          <w:spacing w:val="-6"/>
          <w:sz w:val="20"/>
        </w:rPr>
        <w:t>We </w:t>
      </w:r>
      <w:r>
        <w:rPr>
          <w:sz w:val="20"/>
        </w:rPr>
        <w:t>note that in New Zealand sign language is recognised as an official language and</w:t>
      </w:r>
      <w:r>
        <w:rPr>
          <w:spacing w:val="-12"/>
          <w:sz w:val="20"/>
        </w:rPr>
        <w:t> </w:t>
      </w:r>
      <w:r>
        <w:rPr>
          <w:sz w:val="20"/>
        </w:rPr>
        <w:t>there</w:t>
      </w:r>
      <w:r>
        <w:rPr>
          <w:spacing w:val="-11"/>
          <w:sz w:val="20"/>
        </w:rPr>
        <w:t> </w:t>
      </w:r>
      <w:r>
        <w:rPr>
          <w:sz w:val="20"/>
        </w:rPr>
        <w:t>is</w:t>
      </w:r>
      <w:r>
        <w:rPr>
          <w:spacing w:val="-11"/>
          <w:sz w:val="20"/>
        </w:rPr>
        <w:t> </w:t>
      </w:r>
      <w:r>
        <w:rPr>
          <w:sz w:val="20"/>
        </w:rPr>
        <w:t>a</w:t>
      </w:r>
      <w:r>
        <w:rPr>
          <w:spacing w:val="-11"/>
          <w:sz w:val="20"/>
        </w:rPr>
        <w:t> </w:t>
      </w:r>
      <w:r>
        <w:rPr>
          <w:sz w:val="20"/>
        </w:rPr>
        <w:t>legal</w:t>
      </w:r>
      <w:r>
        <w:rPr>
          <w:spacing w:val="-11"/>
          <w:sz w:val="20"/>
        </w:rPr>
        <w:t> </w:t>
      </w:r>
      <w:r>
        <w:rPr>
          <w:sz w:val="20"/>
        </w:rPr>
        <w:t>right</w:t>
      </w:r>
      <w:r>
        <w:rPr>
          <w:spacing w:val="-11"/>
          <w:sz w:val="20"/>
        </w:rPr>
        <w:t> </w:t>
      </w:r>
      <w:r>
        <w:rPr>
          <w:sz w:val="20"/>
        </w:rPr>
        <w:t>to</w:t>
      </w:r>
      <w:r>
        <w:rPr>
          <w:spacing w:val="-11"/>
          <w:sz w:val="20"/>
        </w:rPr>
        <w:t> </w:t>
      </w:r>
      <w:r>
        <w:rPr>
          <w:sz w:val="20"/>
        </w:rPr>
        <w:t>use</w:t>
      </w:r>
      <w:r>
        <w:rPr>
          <w:spacing w:val="-11"/>
          <w:sz w:val="20"/>
        </w:rPr>
        <w:t> </w:t>
      </w:r>
      <w:r>
        <w:rPr>
          <w:sz w:val="20"/>
        </w:rPr>
        <w:t>New</w:t>
      </w:r>
      <w:r>
        <w:rPr>
          <w:spacing w:val="-11"/>
          <w:sz w:val="20"/>
        </w:rPr>
        <w:t> </w:t>
      </w:r>
      <w:r>
        <w:rPr>
          <w:sz w:val="20"/>
        </w:rPr>
        <w:t>Zealand</w:t>
      </w:r>
      <w:r>
        <w:rPr>
          <w:spacing w:val="-11"/>
          <w:sz w:val="20"/>
        </w:rPr>
        <w:t> </w:t>
      </w:r>
      <w:r>
        <w:rPr>
          <w:sz w:val="20"/>
        </w:rPr>
        <w:t>Sign</w:t>
      </w:r>
      <w:r>
        <w:rPr>
          <w:spacing w:val="-11"/>
          <w:sz w:val="20"/>
        </w:rPr>
        <w:t> </w:t>
      </w:r>
      <w:r>
        <w:rPr>
          <w:sz w:val="20"/>
        </w:rPr>
        <w:t>Language</w:t>
      </w:r>
      <w:r>
        <w:rPr>
          <w:spacing w:val="-11"/>
          <w:sz w:val="20"/>
        </w:rPr>
        <w:t> </w:t>
      </w:r>
      <w:r>
        <w:rPr>
          <w:sz w:val="20"/>
        </w:rPr>
        <w:t>in</w:t>
      </w:r>
      <w:r>
        <w:rPr>
          <w:spacing w:val="-11"/>
          <w:sz w:val="20"/>
        </w:rPr>
        <w:t> </w:t>
      </w:r>
      <w:r>
        <w:rPr>
          <w:sz w:val="20"/>
        </w:rPr>
        <w:t>legal</w:t>
      </w:r>
      <w:r>
        <w:rPr>
          <w:spacing w:val="-11"/>
          <w:sz w:val="20"/>
        </w:rPr>
        <w:t> </w:t>
      </w:r>
      <w:r>
        <w:rPr>
          <w:sz w:val="20"/>
        </w:rPr>
        <w:t>proceedings.</w:t>
      </w:r>
      <w:r>
        <w:rPr>
          <w:position w:val="7"/>
          <w:sz w:val="11"/>
        </w:rPr>
        <w:t>7</w:t>
      </w:r>
      <w:r>
        <w:rPr>
          <w:sz w:val="11"/>
        </w:rPr>
        <w:t> </w:t>
      </w:r>
      <w:r>
        <w:rPr>
          <w:spacing w:val="-5"/>
          <w:sz w:val="20"/>
        </w:rPr>
        <w:t>However,</w:t>
      </w:r>
      <w:r>
        <w:rPr>
          <w:spacing w:val="-9"/>
          <w:sz w:val="20"/>
        </w:rPr>
        <w:t> </w:t>
      </w:r>
      <w:r>
        <w:rPr>
          <w:sz w:val="20"/>
        </w:rPr>
        <w:t>the</w:t>
      </w:r>
      <w:r>
        <w:rPr>
          <w:spacing w:val="-9"/>
          <w:sz w:val="20"/>
        </w:rPr>
        <w:t> </w:t>
      </w:r>
      <w:r>
        <w:rPr>
          <w:sz w:val="20"/>
        </w:rPr>
        <w:t>New</w:t>
      </w:r>
      <w:r>
        <w:rPr>
          <w:spacing w:val="-9"/>
          <w:sz w:val="20"/>
        </w:rPr>
        <w:t> </w:t>
      </w:r>
      <w:r>
        <w:rPr>
          <w:sz w:val="20"/>
        </w:rPr>
        <w:t>Zealand</w:t>
      </w:r>
      <w:r>
        <w:rPr>
          <w:spacing w:val="-9"/>
          <w:sz w:val="20"/>
        </w:rPr>
        <w:t> </w:t>
      </w:r>
      <w:r>
        <w:rPr>
          <w:sz w:val="20"/>
        </w:rPr>
        <w:t>Juries</w:t>
      </w:r>
      <w:r>
        <w:rPr>
          <w:spacing w:val="-9"/>
          <w:sz w:val="20"/>
        </w:rPr>
        <w:t> </w:t>
      </w:r>
      <w:r>
        <w:rPr>
          <w:spacing w:val="-2"/>
          <w:sz w:val="20"/>
        </w:rPr>
        <w:t>Act</w:t>
      </w:r>
      <w:r>
        <w:rPr>
          <w:spacing w:val="-9"/>
          <w:sz w:val="20"/>
        </w:rPr>
        <w:t> </w:t>
      </w:r>
      <w:r>
        <w:rPr>
          <w:sz w:val="20"/>
        </w:rPr>
        <w:t>still</w:t>
      </w:r>
      <w:r>
        <w:rPr>
          <w:spacing w:val="-9"/>
          <w:sz w:val="20"/>
        </w:rPr>
        <w:t> </w:t>
      </w:r>
      <w:r>
        <w:rPr>
          <w:sz w:val="20"/>
        </w:rPr>
        <w:t>enables</w:t>
      </w:r>
      <w:r>
        <w:rPr>
          <w:spacing w:val="-9"/>
          <w:sz w:val="20"/>
        </w:rPr>
        <w:t> </w:t>
      </w:r>
      <w:r>
        <w:rPr>
          <w:sz w:val="20"/>
        </w:rPr>
        <w:t>a</w:t>
      </w:r>
      <w:r>
        <w:rPr>
          <w:spacing w:val="-9"/>
          <w:sz w:val="20"/>
        </w:rPr>
        <w:t> </w:t>
      </w:r>
      <w:r>
        <w:rPr>
          <w:sz w:val="20"/>
        </w:rPr>
        <w:t>judge</w:t>
      </w:r>
      <w:r>
        <w:rPr>
          <w:spacing w:val="-9"/>
          <w:sz w:val="20"/>
        </w:rPr>
        <w:t> </w:t>
      </w:r>
      <w:r>
        <w:rPr>
          <w:sz w:val="20"/>
        </w:rPr>
        <w:t>to</w:t>
      </w:r>
      <w:r>
        <w:rPr>
          <w:spacing w:val="-9"/>
          <w:sz w:val="20"/>
        </w:rPr>
        <w:t> </w:t>
      </w:r>
      <w:r>
        <w:rPr>
          <w:sz w:val="20"/>
        </w:rPr>
        <w:t>cancel</w:t>
      </w:r>
      <w:r>
        <w:rPr>
          <w:spacing w:val="-9"/>
          <w:sz w:val="20"/>
        </w:rPr>
        <w:t> </w:t>
      </w:r>
      <w:r>
        <w:rPr>
          <w:sz w:val="20"/>
        </w:rPr>
        <w:t>a</w:t>
      </w:r>
      <w:r>
        <w:rPr>
          <w:spacing w:val="-9"/>
          <w:sz w:val="20"/>
        </w:rPr>
        <w:t> </w:t>
      </w:r>
      <w:r>
        <w:rPr>
          <w:sz w:val="20"/>
        </w:rPr>
        <w:t>summons</w:t>
      </w:r>
      <w:r>
        <w:rPr>
          <w:spacing w:val="-9"/>
          <w:sz w:val="20"/>
        </w:rPr>
        <w:t> </w:t>
      </w:r>
      <w:r>
        <w:rPr>
          <w:sz w:val="20"/>
        </w:rPr>
        <w:t>if satisfied</w:t>
      </w:r>
      <w:r>
        <w:rPr>
          <w:spacing w:val="-12"/>
          <w:sz w:val="20"/>
        </w:rPr>
        <w:t> </w:t>
      </w:r>
      <w:r>
        <w:rPr>
          <w:sz w:val="20"/>
        </w:rPr>
        <w:t>that</w:t>
      </w:r>
      <w:r>
        <w:rPr>
          <w:spacing w:val="-11"/>
          <w:sz w:val="20"/>
        </w:rPr>
        <w:t> </w:t>
      </w:r>
      <w:r>
        <w:rPr>
          <w:sz w:val="20"/>
        </w:rPr>
        <w:t>the</w:t>
      </w:r>
      <w:r>
        <w:rPr>
          <w:spacing w:val="-11"/>
          <w:sz w:val="20"/>
        </w:rPr>
        <w:t> </w:t>
      </w:r>
      <w:r>
        <w:rPr>
          <w:sz w:val="20"/>
        </w:rPr>
        <w:t>person</w:t>
      </w:r>
      <w:r>
        <w:rPr>
          <w:spacing w:val="-12"/>
          <w:sz w:val="20"/>
        </w:rPr>
        <w:t> </w:t>
      </w:r>
      <w:r>
        <w:rPr>
          <w:sz w:val="20"/>
        </w:rPr>
        <w:t>cannot</w:t>
      </w:r>
      <w:r>
        <w:rPr>
          <w:spacing w:val="-11"/>
          <w:sz w:val="20"/>
        </w:rPr>
        <w:t> </w:t>
      </w:r>
      <w:r>
        <w:rPr>
          <w:sz w:val="20"/>
        </w:rPr>
        <w:t>perform</w:t>
      </w:r>
      <w:r>
        <w:rPr>
          <w:spacing w:val="-11"/>
          <w:sz w:val="20"/>
        </w:rPr>
        <w:t> </w:t>
      </w:r>
      <w:r>
        <w:rPr>
          <w:sz w:val="20"/>
        </w:rPr>
        <w:t>their</w:t>
      </w:r>
      <w:r>
        <w:rPr>
          <w:spacing w:val="-12"/>
          <w:sz w:val="20"/>
        </w:rPr>
        <w:t> </w:t>
      </w:r>
      <w:r>
        <w:rPr>
          <w:spacing w:val="-3"/>
          <w:sz w:val="20"/>
        </w:rPr>
        <w:t>role</w:t>
      </w:r>
      <w:r>
        <w:rPr>
          <w:spacing w:val="-11"/>
          <w:sz w:val="20"/>
        </w:rPr>
        <w:t> </w:t>
      </w:r>
      <w:r>
        <w:rPr>
          <w:sz w:val="20"/>
        </w:rPr>
        <w:t>effectively</w:t>
      </w:r>
      <w:r>
        <w:rPr>
          <w:spacing w:val="-11"/>
          <w:sz w:val="20"/>
        </w:rPr>
        <w:t> </w:t>
      </w:r>
      <w:r>
        <w:rPr>
          <w:sz w:val="20"/>
        </w:rPr>
        <w:t>as</w:t>
      </w:r>
      <w:r>
        <w:rPr>
          <w:spacing w:val="-12"/>
          <w:sz w:val="20"/>
        </w:rPr>
        <w:t> </w:t>
      </w:r>
      <w:r>
        <w:rPr>
          <w:sz w:val="20"/>
        </w:rPr>
        <w:t>a</w:t>
      </w:r>
      <w:r>
        <w:rPr>
          <w:spacing w:val="-11"/>
          <w:sz w:val="20"/>
        </w:rPr>
        <w:t> </w:t>
      </w:r>
      <w:r>
        <w:rPr>
          <w:sz w:val="20"/>
        </w:rPr>
        <w:t>juror</w:t>
      </w:r>
      <w:r>
        <w:rPr>
          <w:spacing w:val="-11"/>
          <w:sz w:val="20"/>
        </w:rPr>
        <w:t> </w:t>
      </w:r>
      <w:r>
        <w:rPr>
          <w:sz w:val="20"/>
        </w:rPr>
        <w:t>because</w:t>
      </w:r>
      <w:r>
        <w:rPr>
          <w:spacing w:val="-12"/>
          <w:sz w:val="20"/>
        </w:rPr>
        <w:t> </w:t>
      </w:r>
      <w:r>
        <w:rPr>
          <w:sz w:val="20"/>
        </w:rPr>
        <w:t>of disability</w:t>
      </w:r>
      <w:r>
        <w:rPr>
          <w:spacing w:val="-7"/>
          <w:sz w:val="20"/>
        </w:rPr>
        <w:t> </w:t>
      </w:r>
      <w:r>
        <w:rPr>
          <w:sz w:val="20"/>
        </w:rPr>
        <w:t>or</w:t>
      </w:r>
      <w:r>
        <w:rPr>
          <w:spacing w:val="-7"/>
          <w:sz w:val="20"/>
        </w:rPr>
        <w:t> </w:t>
      </w:r>
      <w:r>
        <w:rPr>
          <w:sz w:val="20"/>
        </w:rPr>
        <w:t>because</w:t>
      </w:r>
      <w:r>
        <w:rPr>
          <w:spacing w:val="-7"/>
          <w:sz w:val="20"/>
        </w:rPr>
        <w:t> </w:t>
      </w:r>
      <w:r>
        <w:rPr>
          <w:sz w:val="20"/>
        </w:rPr>
        <w:t>they</w:t>
      </w:r>
      <w:r>
        <w:rPr>
          <w:spacing w:val="-7"/>
          <w:sz w:val="20"/>
        </w:rPr>
        <w:t> </w:t>
      </w:r>
      <w:r>
        <w:rPr>
          <w:sz w:val="20"/>
        </w:rPr>
        <w:t>cannot</w:t>
      </w:r>
      <w:r>
        <w:rPr>
          <w:spacing w:val="-7"/>
          <w:sz w:val="20"/>
        </w:rPr>
        <w:t> </w:t>
      </w:r>
      <w:r>
        <w:rPr>
          <w:sz w:val="20"/>
        </w:rPr>
        <w:t>understand</w:t>
      </w:r>
      <w:r>
        <w:rPr>
          <w:spacing w:val="-7"/>
          <w:sz w:val="20"/>
        </w:rPr>
        <w:t> </w:t>
      </w:r>
      <w:r>
        <w:rPr>
          <w:sz w:val="20"/>
        </w:rPr>
        <w:t>or</w:t>
      </w:r>
      <w:r>
        <w:rPr>
          <w:spacing w:val="-7"/>
          <w:sz w:val="20"/>
        </w:rPr>
        <w:t> </w:t>
      </w:r>
      <w:r>
        <w:rPr>
          <w:sz w:val="20"/>
        </w:rPr>
        <w:t>communicate</w:t>
      </w:r>
      <w:r>
        <w:rPr>
          <w:spacing w:val="-7"/>
          <w:sz w:val="20"/>
        </w:rPr>
        <w:t> </w:t>
      </w:r>
      <w:r>
        <w:rPr>
          <w:sz w:val="20"/>
        </w:rPr>
        <w:t>in</w:t>
      </w:r>
      <w:r>
        <w:rPr>
          <w:spacing w:val="-7"/>
          <w:sz w:val="20"/>
        </w:rPr>
        <w:t> </w:t>
      </w:r>
      <w:r>
        <w:rPr>
          <w:sz w:val="20"/>
        </w:rPr>
        <w:t>English.</w:t>
      </w:r>
      <w:r>
        <w:rPr>
          <w:position w:val="7"/>
          <w:sz w:val="11"/>
        </w:rPr>
        <w:t>8</w:t>
      </w:r>
    </w:p>
    <w:p>
      <w:pPr>
        <w:pStyle w:val="ListParagraph"/>
        <w:numPr>
          <w:ilvl w:val="1"/>
          <w:numId w:val="12"/>
        </w:numPr>
        <w:tabs>
          <w:tab w:pos="1761" w:val="left" w:leader="none"/>
          <w:tab w:pos="1762" w:val="left" w:leader="none"/>
        </w:tabs>
        <w:spacing w:line="206" w:lineRule="auto" w:before="126" w:after="0"/>
        <w:ind w:left="1761" w:right="1482" w:hanging="794"/>
        <w:jc w:val="left"/>
        <w:rPr>
          <w:sz w:val="20"/>
        </w:rPr>
      </w:pPr>
      <w:r>
        <w:rPr>
          <w:sz w:val="20"/>
        </w:rPr>
        <w:t>Because there </w:t>
      </w:r>
      <w:r>
        <w:rPr>
          <w:spacing w:val="-3"/>
          <w:sz w:val="20"/>
        </w:rPr>
        <w:t>are </w:t>
      </w:r>
      <w:r>
        <w:rPr>
          <w:sz w:val="20"/>
        </w:rPr>
        <w:t>different </w:t>
      </w:r>
      <w:r>
        <w:rPr>
          <w:spacing w:val="-2"/>
          <w:sz w:val="20"/>
        </w:rPr>
        <w:t>levels </w:t>
      </w:r>
      <w:r>
        <w:rPr>
          <w:sz w:val="20"/>
        </w:rPr>
        <w:t>of English skills in the deaf </w:t>
      </w:r>
      <w:r>
        <w:rPr>
          <w:spacing w:val="-3"/>
          <w:sz w:val="20"/>
        </w:rPr>
        <w:t>community,</w:t>
      </w:r>
      <w:r>
        <w:rPr>
          <w:spacing w:val="-3"/>
          <w:position w:val="7"/>
          <w:sz w:val="11"/>
        </w:rPr>
        <w:t>9 </w:t>
      </w:r>
      <w:r>
        <w:rPr>
          <w:spacing w:val="-5"/>
          <w:sz w:val="20"/>
        </w:rPr>
        <w:t>any </w:t>
      </w:r>
      <w:r>
        <w:rPr>
          <w:sz w:val="20"/>
        </w:rPr>
        <w:t>information</w:t>
      </w:r>
      <w:r>
        <w:rPr>
          <w:spacing w:val="-9"/>
          <w:sz w:val="20"/>
        </w:rPr>
        <w:t> </w:t>
      </w:r>
      <w:r>
        <w:rPr>
          <w:sz w:val="20"/>
        </w:rPr>
        <w:t>about</w:t>
      </w:r>
      <w:r>
        <w:rPr>
          <w:spacing w:val="-9"/>
          <w:sz w:val="20"/>
        </w:rPr>
        <w:t> </w:t>
      </w:r>
      <w:r>
        <w:rPr>
          <w:sz w:val="20"/>
        </w:rPr>
        <w:t>serving</w:t>
      </w:r>
      <w:r>
        <w:rPr>
          <w:spacing w:val="-9"/>
          <w:sz w:val="20"/>
        </w:rPr>
        <w:t> </w:t>
      </w:r>
      <w:r>
        <w:rPr>
          <w:sz w:val="20"/>
        </w:rPr>
        <w:t>on</w:t>
      </w:r>
      <w:r>
        <w:rPr>
          <w:spacing w:val="-9"/>
          <w:sz w:val="20"/>
        </w:rPr>
        <w:t> </w:t>
      </w:r>
      <w:r>
        <w:rPr>
          <w:sz w:val="20"/>
        </w:rPr>
        <w:t>a</w:t>
      </w:r>
      <w:r>
        <w:rPr>
          <w:spacing w:val="-9"/>
          <w:sz w:val="20"/>
        </w:rPr>
        <w:t> </w:t>
      </w:r>
      <w:r>
        <w:rPr>
          <w:sz w:val="20"/>
        </w:rPr>
        <w:t>jury</w:t>
      </w:r>
      <w:r>
        <w:rPr>
          <w:spacing w:val="-9"/>
          <w:sz w:val="20"/>
        </w:rPr>
        <w:t> </w:t>
      </w:r>
      <w:r>
        <w:rPr>
          <w:spacing w:val="-3"/>
          <w:sz w:val="20"/>
        </w:rPr>
        <w:t>provided</w:t>
      </w:r>
      <w:r>
        <w:rPr>
          <w:spacing w:val="-9"/>
          <w:sz w:val="20"/>
        </w:rPr>
        <w:t> </w:t>
      </w:r>
      <w:r>
        <w:rPr>
          <w:spacing w:val="-3"/>
          <w:sz w:val="20"/>
        </w:rPr>
        <w:t>by</w:t>
      </w:r>
      <w:r>
        <w:rPr>
          <w:spacing w:val="-9"/>
          <w:sz w:val="20"/>
        </w:rPr>
        <w:t> </w:t>
      </w:r>
      <w:r>
        <w:rPr>
          <w:sz w:val="20"/>
        </w:rPr>
        <w:t>Juries</w:t>
      </w:r>
      <w:r>
        <w:rPr>
          <w:spacing w:val="-9"/>
          <w:sz w:val="20"/>
        </w:rPr>
        <w:t> </w:t>
      </w:r>
      <w:r>
        <w:rPr>
          <w:sz w:val="20"/>
        </w:rPr>
        <w:t>Victoria</w:t>
      </w:r>
      <w:r>
        <w:rPr>
          <w:spacing w:val="-9"/>
          <w:sz w:val="20"/>
        </w:rPr>
        <w:t> </w:t>
      </w:r>
      <w:r>
        <w:rPr>
          <w:sz w:val="20"/>
        </w:rPr>
        <w:t>and</w:t>
      </w:r>
      <w:r>
        <w:rPr>
          <w:spacing w:val="-9"/>
          <w:sz w:val="20"/>
        </w:rPr>
        <w:t> </w:t>
      </w:r>
      <w:r>
        <w:rPr>
          <w:sz w:val="20"/>
        </w:rPr>
        <w:t>the</w:t>
      </w:r>
      <w:r>
        <w:rPr>
          <w:spacing w:val="-9"/>
          <w:sz w:val="20"/>
        </w:rPr>
        <w:t> </w:t>
      </w:r>
      <w:r>
        <w:rPr>
          <w:sz w:val="20"/>
        </w:rPr>
        <w:t>courts</w:t>
      </w:r>
      <w:r>
        <w:rPr>
          <w:spacing w:val="-9"/>
          <w:sz w:val="20"/>
        </w:rPr>
        <w:t> </w:t>
      </w:r>
      <w:r>
        <w:rPr>
          <w:sz w:val="20"/>
        </w:rPr>
        <w:t>should </w:t>
      </w:r>
      <w:r>
        <w:rPr>
          <w:spacing w:val="-3"/>
          <w:sz w:val="20"/>
        </w:rPr>
        <w:t>make</w:t>
      </w:r>
      <w:r>
        <w:rPr>
          <w:spacing w:val="-6"/>
          <w:sz w:val="20"/>
        </w:rPr>
        <w:t> </w:t>
      </w:r>
      <w:r>
        <w:rPr>
          <w:sz w:val="20"/>
        </w:rPr>
        <w:t>it</w:t>
      </w:r>
      <w:r>
        <w:rPr>
          <w:spacing w:val="-5"/>
          <w:sz w:val="20"/>
        </w:rPr>
        <w:t> </w:t>
      </w:r>
      <w:r>
        <w:rPr>
          <w:sz w:val="20"/>
        </w:rPr>
        <w:t>clear</w:t>
      </w:r>
      <w:r>
        <w:rPr>
          <w:spacing w:val="-5"/>
          <w:sz w:val="20"/>
        </w:rPr>
        <w:t> </w:t>
      </w:r>
      <w:r>
        <w:rPr>
          <w:sz w:val="20"/>
        </w:rPr>
        <w:t>that</w:t>
      </w:r>
      <w:r>
        <w:rPr>
          <w:spacing w:val="-5"/>
          <w:sz w:val="20"/>
        </w:rPr>
        <w:t> </w:t>
      </w:r>
      <w:r>
        <w:rPr>
          <w:sz w:val="20"/>
        </w:rPr>
        <w:t>a</w:t>
      </w:r>
      <w:r>
        <w:rPr>
          <w:spacing w:val="-5"/>
          <w:sz w:val="20"/>
        </w:rPr>
        <w:t> </w:t>
      </w:r>
      <w:r>
        <w:rPr>
          <w:sz w:val="20"/>
        </w:rPr>
        <w:t>good</w:t>
      </w:r>
      <w:r>
        <w:rPr>
          <w:spacing w:val="-5"/>
          <w:sz w:val="20"/>
        </w:rPr>
        <w:t> </w:t>
      </w:r>
      <w:r>
        <w:rPr>
          <w:sz w:val="20"/>
        </w:rPr>
        <w:t>grasp</w:t>
      </w:r>
      <w:r>
        <w:rPr>
          <w:spacing w:val="-5"/>
          <w:sz w:val="20"/>
        </w:rPr>
        <w:t> </w:t>
      </w:r>
      <w:r>
        <w:rPr>
          <w:sz w:val="20"/>
        </w:rPr>
        <w:t>of</w:t>
      </w:r>
      <w:r>
        <w:rPr>
          <w:spacing w:val="-5"/>
          <w:sz w:val="20"/>
        </w:rPr>
        <w:t> </w:t>
      </w:r>
      <w:r>
        <w:rPr>
          <w:sz w:val="20"/>
        </w:rPr>
        <w:t>English</w:t>
      </w:r>
      <w:r>
        <w:rPr>
          <w:spacing w:val="-5"/>
          <w:sz w:val="20"/>
        </w:rPr>
        <w:t> </w:t>
      </w:r>
      <w:r>
        <w:rPr>
          <w:sz w:val="20"/>
        </w:rPr>
        <w:t>is</w:t>
      </w:r>
      <w:r>
        <w:rPr>
          <w:spacing w:val="-5"/>
          <w:sz w:val="20"/>
        </w:rPr>
        <w:t> </w:t>
      </w:r>
      <w:r>
        <w:rPr>
          <w:sz w:val="20"/>
        </w:rPr>
        <w:t>still</w:t>
      </w:r>
      <w:r>
        <w:rPr>
          <w:spacing w:val="-5"/>
          <w:sz w:val="20"/>
        </w:rPr>
        <w:t> </w:t>
      </w:r>
      <w:r>
        <w:rPr>
          <w:sz w:val="20"/>
        </w:rPr>
        <w:t>required.</w:t>
      </w:r>
    </w:p>
    <w:p>
      <w:pPr>
        <w:pStyle w:val="BodyText"/>
        <w:spacing w:before="6"/>
        <w:rPr>
          <w:sz w:val="19"/>
        </w:rPr>
      </w:pPr>
      <w:r>
        <w:rPr/>
        <w:pict>
          <v:group style="position:absolute;margin-left:62.362202pt;margin-top:15.4682pt;width:479.1pt;height:136.65pt;mso-position-horizontal-relative:page;mso-position-vertical-relative:paragraph;z-index:8312;mso-wrap-distance-left:0;mso-wrap-distance-right:0" coordorigin="1247,309" coordsize="9582,2733">
            <v:rect style="position:absolute;left:1587;top:309;width:8731;height:2733" filled="true" fillcolor="#dddfe4" stroked="false">
              <v:fill type="solid"/>
            </v:rect>
            <v:line style="position:absolute" from="1247,1117" to="10828,1117" stroked="true" strokeweight="2.5pt" strokecolor="#ffffff">
              <v:stroke dashstyle="solid"/>
            </v:line>
            <v:shape style="position:absolute;left:2381;top:1342;width:7491;height:1520" type="#_x0000_t202" filled="false" stroked="false">
              <v:textbox inset="0,0,0,0">
                <w:txbxContent>
                  <w:p>
                    <w:pPr>
                      <w:spacing w:line="247" w:lineRule="auto" w:before="0"/>
                      <w:ind w:left="0" w:right="220" w:firstLine="0"/>
                      <w:jc w:val="both"/>
                      <w:rPr>
                        <w:rFonts w:ascii="Trebuchet MS"/>
                        <w:sz w:val="20"/>
                      </w:rPr>
                    </w:pPr>
                    <w:r>
                      <w:rPr>
                        <w:rFonts w:ascii="Trebuchet MS"/>
                        <w:w w:val="105"/>
                        <w:sz w:val="20"/>
                      </w:rPr>
                      <w:t>The</w:t>
                    </w:r>
                    <w:r>
                      <w:rPr>
                        <w:rFonts w:ascii="Trebuchet MS"/>
                        <w:spacing w:val="-25"/>
                        <w:w w:val="105"/>
                        <w:sz w:val="20"/>
                      </w:rPr>
                      <w:t> </w:t>
                    </w:r>
                    <w:r>
                      <w:rPr>
                        <w:rFonts w:ascii="Trebuchet MS"/>
                        <w:w w:val="105"/>
                        <w:sz w:val="20"/>
                      </w:rPr>
                      <w:t>communication</w:t>
                    </w:r>
                    <w:r>
                      <w:rPr>
                        <w:rFonts w:ascii="Trebuchet MS"/>
                        <w:spacing w:val="-24"/>
                        <w:w w:val="105"/>
                        <w:sz w:val="20"/>
                      </w:rPr>
                      <w:t> </w:t>
                    </w:r>
                    <w:r>
                      <w:rPr>
                        <w:rFonts w:ascii="Trebuchet MS"/>
                        <w:w w:val="105"/>
                        <w:sz w:val="20"/>
                      </w:rPr>
                      <w:t>requirement</w:t>
                    </w:r>
                    <w:r>
                      <w:rPr>
                        <w:rFonts w:ascii="Trebuchet MS"/>
                        <w:spacing w:val="-24"/>
                        <w:w w:val="105"/>
                        <w:sz w:val="20"/>
                      </w:rPr>
                      <w:t> </w:t>
                    </w:r>
                    <w:r>
                      <w:rPr>
                        <w:rFonts w:ascii="Trebuchet MS"/>
                        <w:w w:val="105"/>
                        <w:sz w:val="20"/>
                      </w:rPr>
                      <w:t>in</w:t>
                    </w:r>
                    <w:r>
                      <w:rPr>
                        <w:rFonts w:ascii="Trebuchet MS"/>
                        <w:spacing w:val="-24"/>
                        <w:w w:val="105"/>
                        <w:sz w:val="20"/>
                      </w:rPr>
                      <w:t> </w:t>
                    </w:r>
                    <w:r>
                      <w:rPr>
                        <w:rFonts w:ascii="Trebuchet MS"/>
                        <w:w w:val="105"/>
                        <w:sz w:val="20"/>
                      </w:rPr>
                      <w:t>schedule</w:t>
                    </w:r>
                    <w:r>
                      <w:rPr>
                        <w:rFonts w:ascii="Trebuchet MS"/>
                        <w:spacing w:val="-24"/>
                        <w:w w:val="105"/>
                        <w:sz w:val="20"/>
                      </w:rPr>
                      <w:t> </w:t>
                    </w:r>
                    <w:r>
                      <w:rPr>
                        <w:rFonts w:ascii="Trebuchet MS"/>
                        <w:w w:val="105"/>
                        <w:sz w:val="20"/>
                      </w:rPr>
                      <w:t>2(3)(f)</w:t>
                    </w:r>
                    <w:r>
                      <w:rPr>
                        <w:rFonts w:ascii="Trebuchet MS"/>
                        <w:spacing w:val="-24"/>
                        <w:w w:val="105"/>
                        <w:sz w:val="20"/>
                      </w:rPr>
                      <w:t> </w:t>
                    </w:r>
                    <w:r>
                      <w:rPr>
                        <w:rFonts w:ascii="Trebuchet MS"/>
                        <w:w w:val="105"/>
                        <w:sz w:val="20"/>
                      </w:rPr>
                      <w:t>of</w:t>
                    </w:r>
                    <w:r>
                      <w:rPr>
                        <w:rFonts w:ascii="Trebuchet MS"/>
                        <w:spacing w:val="-24"/>
                        <w:w w:val="105"/>
                        <w:sz w:val="20"/>
                      </w:rPr>
                      <w:t> </w:t>
                    </w:r>
                    <w:r>
                      <w:rPr>
                        <w:rFonts w:ascii="Trebuchet MS"/>
                        <w:w w:val="105"/>
                        <w:sz w:val="20"/>
                      </w:rPr>
                      <w:t>the</w:t>
                    </w:r>
                    <w:r>
                      <w:rPr>
                        <w:rFonts w:ascii="Trebuchet MS"/>
                        <w:spacing w:val="-24"/>
                        <w:w w:val="105"/>
                        <w:sz w:val="20"/>
                      </w:rPr>
                      <w:t> </w:t>
                    </w:r>
                    <w:r>
                      <w:rPr>
                        <w:rFonts w:ascii="Trebuchet MS"/>
                        <w:w w:val="105"/>
                        <w:sz w:val="20"/>
                      </w:rPr>
                      <w:t>Juries</w:t>
                    </w:r>
                    <w:r>
                      <w:rPr>
                        <w:rFonts w:ascii="Trebuchet MS"/>
                        <w:spacing w:val="-24"/>
                        <w:w w:val="105"/>
                        <w:sz w:val="20"/>
                      </w:rPr>
                      <w:t> </w:t>
                    </w:r>
                    <w:r>
                      <w:rPr>
                        <w:rFonts w:ascii="Trebuchet MS"/>
                        <w:spacing w:val="-2"/>
                        <w:w w:val="105"/>
                        <w:sz w:val="20"/>
                      </w:rPr>
                      <w:t>Act</w:t>
                    </w:r>
                    <w:r>
                      <w:rPr>
                        <w:rFonts w:ascii="Trebuchet MS"/>
                        <w:spacing w:val="-24"/>
                        <w:w w:val="105"/>
                        <w:sz w:val="20"/>
                      </w:rPr>
                      <w:t> </w:t>
                    </w:r>
                    <w:r>
                      <w:rPr>
                        <w:rFonts w:ascii="Trebuchet MS"/>
                        <w:w w:val="105"/>
                        <w:sz w:val="20"/>
                      </w:rPr>
                      <w:t>should</w:t>
                    </w:r>
                    <w:r>
                      <w:rPr>
                        <w:rFonts w:ascii="Trebuchet MS"/>
                        <w:spacing w:val="-24"/>
                        <w:w w:val="105"/>
                        <w:sz w:val="20"/>
                      </w:rPr>
                      <w:t> </w:t>
                    </w:r>
                    <w:r>
                      <w:rPr>
                        <w:rFonts w:ascii="Trebuchet MS"/>
                        <w:w w:val="105"/>
                        <w:sz w:val="20"/>
                      </w:rPr>
                      <w:t>be modified</w:t>
                    </w:r>
                    <w:r>
                      <w:rPr>
                        <w:rFonts w:ascii="Trebuchet MS"/>
                        <w:spacing w:val="-20"/>
                        <w:w w:val="105"/>
                        <w:sz w:val="20"/>
                      </w:rPr>
                      <w:t> </w:t>
                    </w:r>
                    <w:r>
                      <w:rPr>
                        <w:rFonts w:ascii="Trebuchet MS"/>
                        <w:w w:val="105"/>
                        <w:sz w:val="20"/>
                      </w:rPr>
                      <w:t>so</w:t>
                    </w:r>
                    <w:r>
                      <w:rPr>
                        <w:rFonts w:ascii="Trebuchet MS"/>
                        <w:spacing w:val="-20"/>
                        <w:w w:val="105"/>
                        <w:sz w:val="20"/>
                      </w:rPr>
                      <w:t> </w:t>
                    </w:r>
                    <w:r>
                      <w:rPr>
                        <w:rFonts w:ascii="Trebuchet MS"/>
                        <w:w w:val="105"/>
                        <w:sz w:val="20"/>
                      </w:rPr>
                      <w:t>that</w:t>
                    </w:r>
                    <w:r>
                      <w:rPr>
                        <w:rFonts w:ascii="Trebuchet MS"/>
                        <w:spacing w:val="-20"/>
                        <w:w w:val="105"/>
                        <w:sz w:val="20"/>
                      </w:rPr>
                      <w:t> </w:t>
                    </w:r>
                    <w:r>
                      <w:rPr>
                        <w:rFonts w:ascii="Trebuchet MS"/>
                        <w:w w:val="105"/>
                        <w:sz w:val="20"/>
                      </w:rPr>
                      <w:t>the</w:t>
                    </w:r>
                    <w:r>
                      <w:rPr>
                        <w:rFonts w:ascii="Trebuchet MS"/>
                        <w:spacing w:val="-20"/>
                        <w:w w:val="105"/>
                        <w:sz w:val="20"/>
                      </w:rPr>
                      <w:t> </w:t>
                    </w:r>
                    <w:r>
                      <w:rPr>
                        <w:rFonts w:ascii="Trebuchet MS"/>
                        <w:w w:val="105"/>
                        <w:sz w:val="20"/>
                      </w:rPr>
                      <w:t>requirement</w:t>
                    </w:r>
                    <w:r>
                      <w:rPr>
                        <w:rFonts w:ascii="Trebuchet MS"/>
                        <w:spacing w:val="-19"/>
                        <w:w w:val="105"/>
                        <w:sz w:val="20"/>
                      </w:rPr>
                      <w:t> </w:t>
                    </w:r>
                    <w:r>
                      <w:rPr>
                        <w:rFonts w:ascii="Trebuchet MS"/>
                        <w:w w:val="105"/>
                        <w:sz w:val="20"/>
                      </w:rPr>
                      <w:t>to</w:t>
                    </w:r>
                    <w:r>
                      <w:rPr>
                        <w:rFonts w:ascii="Trebuchet MS"/>
                        <w:spacing w:val="-20"/>
                        <w:w w:val="105"/>
                        <w:sz w:val="20"/>
                      </w:rPr>
                      <w:t> </w:t>
                    </w:r>
                    <w:r>
                      <w:rPr>
                        <w:rFonts w:ascii="Trebuchet MS"/>
                        <w:w w:val="105"/>
                        <w:sz w:val="20"/>
                      </w:rPr>
                      <w:t>communicate</w:t>
                    </w:r>
                    <w:r>
                      <w:rPr>
                        <w:rFonts w:ascii="Trebuchet MS"/>
                        <w:spacing w:val="-20"/>
                        <w:w w:val="105"/>
                        <w:sz w:val="20"/>
                      </w:rPr>
                      <w:t> </w:t>
                    </w:r>
                    <w:r>
                      <w:rPr>
                        <w:rFonts w:ascii="Trebuchet MS"/>
                        <w:w w:val="105"/>
                        <w:sz w:val="20"/>
                      </w:rPr>
                      <w:t>in</w:t>
                    </w:r>
                    <w:r>
                      <w:rPr>
                        <w:rFonts w:ascii="Trebuchet MS"/>
                        <w:spacing w:val="-20"/>
                        <w:w w:val="105"/>
                        <w:sz w:val="20"/>
                      </w:rPr>
                      <w:t> </w:t>
                    </w:r>
                    <w:r>
                      <w:rPr>
                        <w:rFonts w:ascii="Trebuchet MS"/>
                        <w:w w:val="105"/>
                        <w:sz w:val="20"/>
                      </w:rPr>
                      <w:t>English</w:t>
                    </w:r>
                    <w:r>
                      <w:rPr>
                        <w:rFonts w:ascii="Trebuchet MS"/>
                        <w:spacing w:val="-20"/>
                        <w:w w:val="105"/>
                        <w:sz w:val="20"/>
                      </w:rPr>
                      <w:t> </w:t>
                    </w:r>
                    <w:r>
                      <w:rPr>
                        <w:rFonts w:ascii="Trebuchet MS"/>
                        <w:w w:val="105"/>
                        <w:sz w:val="20"/>
                      </w:rPr>
                      <w:t>does</w:t>
                    </w:r>
                    <w:r>
                      <w:rPr>
                        <w:rFonts w:ascii="Trebuchet MS"/>
                        <w:spacing w:val="-19"/>
                        <w:w w:val="105"/>
                        <w:sz w:val="20"/>
                      </w:rPr>
                      <w:t> </w:t>
                    </w:r>
                    <w:r>
                      <w:rPr>
                        <w:rFonts w:ascii="Trebuchet MS"/>
                        <w:w w:val="105"/>
                        <w:sz w:val="20"/>
                      </w:rPr>
                      <w:t>not</w:t>
                    </w:r>
                    <w:r>
                      <w:rPr>
                        <w:rFonts w:ascii="Trebuchet MS"/>
                        <w:spacing w:val="-20"/>
                        <w:w w:val="105"/>
                        <w:sz w:val="20"/>
                      </w:rPr>
                      <w:t> </w:t>
                    </w:r>
                    <w:r>
                      <w:rPr>
                        <w:rFonts w:ascii="Trebuchet MS"/>
                        <w:spacing w:val="-3"/>
                        <w:w w:val="105"/>
                        <w:sz w:val="20"/>
                      </w:rPr>
                      <w:t>apply</w:t>
                    </w:r>
                    <w:r>
                      <w:rPr>
                        <w:rFonts w:ascii="Trebuchet MS"/>
                        <w:spacing w:val="-20"/>
                        <w:w w:val="105"/>
                        <w:sz w:val="20"/>
                      </w:rPr>
                      <w:t> </w:t>
                    </w:r>
                    <w:r>
                      <w:rPr>
                        <w:rFonts w:ascii="Trebuchet MS"/>
                        <w:w w:val="105"/>
                        <w:sz w:val="20"/>
                      </w:rPr>
                      <w:t>if</w:t>
                    </w:r>
                    <w:r>
                      <w:rPr>
                        <w:rFonts w:ascii="Trebuchet MS"/>
                        <w:spacing w:val="-20"/>
                        <w:w w:val="105"/>
                        <w:sz w:val="20"/>
                      </w:rPr>
                      <w:t> </w:t>
                    </w:r>
                    <w:r>
                      <w:rPr>
                        <w:rFonts w:ascii="Trebuchet MS"/>
                        <w:w w:val="105"/>
                        <w:sz w:val="20"/>
                      </w:rPr>
                      <w:t>a </w:t>
                    </w:r>
                    <w:r>
                      <w:rPr>
                        <w:rFonts w:ascii="Trebuchet MS"/>
                        <w:spacing w:val="-2"/>
                        <w:w w:val="91"/>
                        <w:sz w:val="20"/>
                      </w:rPr>
                      <w:t>j</w:t>
                    </w:r>
                    <w:r>
                      <w:rPr>
                        <w:rFonts w:ascii="Trebuchet MS"/>
                        <w:spacing w:val="-1"/>
                        <w:w w:val="91"/>
                        <w:sz w:val="20"/>
                      </w:rPr>
                      <w:t>u</w:t>
                    </w:r>
                    <w:r>
                      <w:rPr>
                        <w:rFonts w:ascii="Trebuchet MS"/>
                        <w:spacing w:val="-4"/>
                        <w:w w:val="93"/>
                        <w:sz w:val="20"/>
                      </w:rPr>
                      <w:t>r</w:t>
                    </w:r>
                    <w:r>
                      <w:rPr>
                        <w:rFonts w:ascii="Trebuchet MS"/>
                        <w:spacing w:val="-1"/>
                        <w:w w:val="111"/>
                        <w:sz w:val="20"/>
                      </w:rPr>
                      <w:t>o</w:t>
                    </w:r>
                    <w:r>
                      <w:rPr>
                        <w:rFonts w:ascii="Trebuchet MS"/>
                        <w:w w:val="93"/>
                        <w:sz w:val="20"/>
                      </w:rPr>
                      <w:t>r</w:t>
                    </w:r>
                    <w:r>
                      <w:rPr>
                        <w:rFonts w:ascii="Trebuchet MS"/>
                        <w:spacing w:val="-14"/>
                        <w:sz w:val="20"/>
                      </w:rPr>
                      <w:t> </w:t>
                    </w:r>
                    <w:r>
                      <w:rPr>
                        <w:rFonts w:ascii="Trebuchet MS"/>
                        <w:w w:val="111"/>
                        <w:sz w:val="20"/>
                      </w:rPr>
                      <w:t>c</w:t>
                    </w:r>
                    <w:r>
                      <w:rPr>
                        <w:rFonts w:ascii="Trebuchet MS"/>
                        <w:spacing w:val="-2"/>
                        <w:w w:val="106"/>
                        <w:sz w:val="20"/>
                      </w:rPr>
                      <w:t>a</w:t>
                    </w:r>
                    <w:r>
                      <w:rPr>
                        <w:rFonts w:ascii="Trebuchet MS"/>
                        <w:w w:val="106"/>
                        <w:sz w:val="20"/>
                      </w:rPr>
                      <w:t>n</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2"/>
                        <w:w w:val="111"/>
                        <w:sz w:val="20"/>
                      </w:rPr>
                      <w:t>mm</w:t>
                    </w:r>
                    <w:r>
                      <w:rPr>
                        <w:rFonts w:ascii="Trebuchet MS"/>
                        <w:spacing w:val="-1"/>
                        <w:w w:val="109"/>
                        <w:sz w:val="20"/>
                      </w:rPr>
                      <w:t>u</w:t>
                    </w:r>
                    <w:r>
                      <w:rPr>
                        <w:rFonts w:ascii="Trebuchet MS"/>
                        <w:spacing w:val="-2"/>
                        <w:w w:val="98"/>
                        <w:sz w:val="20"/>
                      </w:rPr>
                      <w:t>n</w:t>
                    </w:r>
                    <w:r>
                      <w:rPr>
                        <w:rFonts w:ascii="Trebuchet MS"/>
                        <w:spacing w:val="-1"/>
                        <w:w w:val="98"/>
                        <w:sz w:val="20"/>
                      </w:rPr>
                      <w:t>i</w:t>
                    </w:r>
                    <w:r>
                      <w:rPr>
                        <w:rFonts w:ascii="Trebuchet MS"/>
                        <w:w w:val="111"/>
                        <w:sz w:val="20"/>
                      </w:rPr>
                      <w:t>c</w:t>
                    </w:r>
                    <w:r>
                      <w:rPr>
                        <w:rFonts w:ascii="Trebuchet MS"/>
                        <w:spacing w:val="-4"/>
                        <w:w w:val="105"/>
                        <w:sz w:val="20"/>
                      </w:rPr>
                      <w:t>a</w:t>
                    </w:r>
                    <w:r>
                      <w:rPr>
                        <w:rFonts w:ascii="Trebuchet MS"/>
                        <w:spacing w:val="-4"/>
                        <w:w w:val="88"/>
                        <w:sz w:val="20"/>
                      </w:rPr>
                      <w:t>t</w:t>
                    </w:r>
                    <w:r>
                      <w:rPr>
                        <w:rFonts w:ascii="Trebuchet MS"/>
                        <w:w w:val="108"/>
                        <w:sz w:val="20"/>
                      </w:rPr>
                      <w:t>e</w:t>
                    </w:r>
                    <w:r>
                      <w:rPr>
                        <w:rFonts w:ascii="Trebuchet MS"/>
                        <w:spacing w:val="-14"/>
                        <w:sz w:val="20"/>
                      </w:rPr>
                      <w:t> </w:t>
                    </w:r>
                    <w:r>
                      <w:rPr>
                        <w:rFonts w:ascii="Trebuchet MS"/>
                        <w:spacing w:val="-2"/>
                        <w:w w:val="80"/>
                        <w:sz w:val="20"/>
                      </w:rPr>
                      <w:t>i</w:t>
                    </w:r>
                    <w:r>
                      <w:rPr>
                        <w:rFonts w:ascii="Trebuchet MS"/>
                        <w:w w:val="107"/>
                        <w:sz w:val="20"/>
                      </w:rPr>
                      <w:t>n</w:t>
                    </w:r>
                    <w:r>
                      <w:rPr>
                        <w:rFonts w:ascii="Trebuchet MS"/>
                        <w:spacing w:val="-14"/>
                        <w:sz w:val="20"/>
                      </w:rPr>
                      <w:t> </w:t>
                    </w:r>
                    <w:r>
                      <w:rPr>
                        <w:rFonts w:ascii="Trebuchet MS"/>
                        <w:spacing w:val="-4"/>
                        <w:w w:val="114"/>
                        <w:sz w:val="20"/>
                      </w:rPr>
                      <w:t>A</w:t>
                    </w:r>
                    <w:r>
                      <w:rPr>
                        <w:rFonts w:ascii="Trebuchet MS"/>
                        <w:spacing w:val="-1"/>
                        <w:w w:val="109"/>
                        <w:sz w:val="20"/>
                      </w:rPr>
                      <w:t>u</w:t>
                    </w:r>
                    <w:r>
                      <w:rPr>
                        <w:rFonts w:ascii="Trebuchet MS"/>
                        <w:spacing w:val="-2"/>
                        <w:w w:val="122"/>
                        <w:sz w:val="20"/>
                      </w:rPr>
                      <w:t>s</w:t>
                    </w:r>
                    <w:r>
                      <w:rPr>
                        <w:rFonts w:ascii="Trebuchet MS"/>
                        <w:spacing w:val="1"/>
                        <w:w w:val="96"/>
                        <w:sz w:val="20"/>
                      </w:rPr>
                      <w:t>l</w:t>
                    </w:r>
                    <w:r>
                      <w:rPr>
                        <w:rFonts w:ascii="Trebuchet MS"/>
                        <w:spacing w:val="-2"/>
                        <w:w w:val="106"/>
                        <w:sz w:val="20"/>
                      </w:rPr>
                      <w:t>a</w:t>
                    </w:r>
                    <w:r>
                      <w:rPr>
                        <w:rFonts w:ascii="Trebuchet MS"/>
                        <w:spacing w:val="-1"/>
                        <w:w w:val="106"/>
                        <w:sz w:val="20"/>
                      </w:rPr>
                      <w:t>n</w:t>
                    </w:r>
                    <w:r>
                      <w:rPr>
                        <w:rFonts w:ascii="Trebuchet MS"/>
                        <w:w w:val="55"/>
                        <w:sz w:val="20"/>
                      </w:rPr>
                      <w:t>.</w:t>
                    </w:r>
                  </w:p>
                  <w:p>
                    <w:pPr>
                      <w:spacing w:line="247" w:lineRule="auto" w:before="87"/>
                      <w:ind w:left="0" w:right="18" w:firstLine="0"/>
                      <w:jc w:val="both"/>
                      <w:rPr>
                        <w:rFonts w:ascii="Trebuchet MS"/>
                        <w:sz w:val="20"/>
                      </w:rPr>
                    </w:pPr>
                    <w:r>
                      <w:rPr>
                        <w:rFonts w:ascii="Trebuchet MS"/>
                        <w:sz w:val="20"/>
                      </w:rPr>
                      <w:t>Juries Victoria and the courts should make it clear in public information about the new laws that the ability to understand English continues to be a requirement for jury service.</w:t>
                    </w:r>
                  </w:p>
                </w:txbxContent>
              </v:textbox>
              <w10:wrap type="none"/>
            </v:shape>
            <v:shape style="position:absolute;left:1814;top:1342;width:285;height:1040" type="#_x0000_t202" filled="false" stroked="false">
              <v:textbox inset="0,0,0,0">
                <w:txbxContent>
                  <w:p>
                    <w:pPr>
                      <w:spacing w:before="0"/>
                      <w:ind w:left="0" w:right="0" w:firstLine="0"/>
                      <w:jc w:val="left"/>
                      <w:rPr>
                        <w:rFonts w:ascii="Trebuchet MS"/>
                        <w:sz w:val="20"/>
                      </w:rPr>
                    </w:pPr>
                    <w:r>
                      <w:rPr>
                        <w:rFonts w:ascii="Trebuchet MS"/>
                        <w:w w:val="95"/>
                        <w:sz w:val="20"/>
                      </w:rPr>
                      <w:t>19.</w:t>
                    </w:r>
                  </w:p>
                  <w:p>
                    <w:pPr>
                      <w:spacing w:line="240" w:lineRule="auto" w:before="0"/>
                      <w:rPr>
                        <w:sz w:val="22"/>
                      </w:rPr>
                    </w:pPr>
                  </w:p>
                  <w:p>
                    <w:pPr>
                      <w:spacing w:line="240" w:lineRule="auto" w:before="3"/>
                      <w:rPr>
                        <w:sz w:val="19"/>
                      </w:rPr>
                    </w:pPr>
                  </w:p>
                  <w:p>
                    <w:pPr>
                      <w:spacing w:before="1"/>
                      <w:ind w:left="0" w:right="0" w:firstLine="0"/>
                      <w:jc w:val="left"/>
                      <w:rPr>
                        <w:rFonts w:ascii="Trebuchet MS"/>
                        <w:sz w:val="20"/>
                      </w:rPr>
                    </w:pPr>
                    <w:r>
                      <w:rPr>
                        <w:rFonts w:ascii="Trebuchet MS"/>
                        <w:spacing w:val="-3"/>
                        <w:sz w:val="20"/>
                      </w:rPr>
                      <w:t>20.</w:t>
                    </w:r>
                  </w:p>
                </w:txbxContent>
              </v:textbox>
              <w10:wrap type="none"/>
            </v:shape>
            <v:shape style="position:absolute;left:1587;top:309;width:8731;height:783" type="#_x0000_t202" filled="true" fillcolor="#dddfe4" stroked="false">
              <v:textbox inset="0,0,0,0">
                <w:txbxContent>
                  <w:p>
                    <w:pPr>
                      <w:spacing w:before="158"/>
                      <w:ind w:left="226" w:right="0" w:firstLine="0"/>
                      <w:jc w:val="left"/>
                      <w:rPr>
                        <w:rFonts w:ascii="Raleway ExtraBold"/>
                        <w:b/>
                        <w:sz w:val="32"/>
                      </w:rPr>
                    </w:pPr>
                    <w:r>
                      <w:rPr>
                        <w:rFonts w:ascii="Raleway ExtraBold"/>
                        <w:b/>
                        <w:color w:val="37617A"/>
                        <w:sz w:val="32"/>
                      </w:rPr>
                      <w:t>Recommendations</w:t>
                    </w:r>
                  </w:p>
                </w:txbxContent>
              </v:textbox>
              <v:fill type="solid"/>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2"/>
        </w:rPr>
      </w:pPr>
      <w:r>
        <w:rPr/>
        <w:pict>
          <v:line style="position:absolute;mso-position-horizontal-relative:page;mso-position-vertical-relative:paragraph;z-index:8336;mso-wrap-distance-left:0;mso-wrap-distance-right:0" from="79.370102pt,18.214899pt" to="515.905102pt,18.214899pt" stroked="true" strokeweight="1pt" strokecolor="#b6bdc8">
            <v:stroke dashstyle="solid"/>
            <w10:wrap type="topAndBottom"/>
          </v:line>
        </w:pict>
      </w:r>
    </w:p>
    <w:p>
      <w:pPr>
        <w:pStyle w:val="BodyText"/>
        <w:rPr>
          <w:sz w:val="5"/>
        </w:rPr>
      </w:pPr>
    </w:p>
    <w:p>
      <w:pPr>
        <w:spacing w:after="0"/>
        <w:rPr>
          <w:sz w:val="5"/>
        </w:rPr>
        <w:sectPr>
          <w:headerReference w:type="default" r:id="rId216"/>
          <w:headerReference w:type="even" r:id="rId217"/>
          <w:pgSz w:w="11910" w:h="16840"/>
          <w:pgMar w:header="0" w:footer="0" w:top="840" w:bottom="280" w:left="620" w:right="380"/>
        </w:sectPr>
      </w:pPr>
    </w:p>
    <w:p>
      <w:pPr>
        <w:pStyle w:val="ListParagraph"/>
        <w:numPr>
          <w:ilvl w:val="0"/>
          <w:numId w:val="99"/>
        </w:numPr>
        <w:tabs>
          <w:tab w:pos="1760" w:val="left" w:leader="none"/>
          <w:tab w:pos="1762" w:val="left" w:leader="none"/>
        </w:tabs>
        <w:spacing w:line="213" w:lineRule="auto" w:before="38" w:after="0"/>
        <w:ind w:left="1761" w:right="49" w:hanging="794"/>
        <w:jc w:val="left"/>
        <w:rPr>
          <w:sz w:val="13"/>
        </w:rPr>
      </w:pPr>
      <w:r>
        <w:rPr>
          <w:spacing w:val="2"/>
          <w:sz w:val="13"/>
        </w:rPr>
        <w:t>Submissions </w:t>
      </w:r>
      <w:r>
        <w:rPr>
          <w:sz w:val="13"/>
        </w:rPr>
        <w:t>4 </w:t>
      </w:r>
      <w:r>
        <w:rPr>
          <w:spacing w:val="2"/>
          <w:sz w:val="13"/>
        </w:rPr>
        <w:t>(Associate </w:t>
      </w:r>
      <w:r>
        <w:rPr>
          <w:sz w:val="13"/>
        </w:rPr>
        <w:t>Professors Bruce Baer Arnold (University of </w:t>
      </w:r>
      <w:r>
        <w:rPr>
          <w:spacing w:val="2"/>
          <w:sz w:val="13"/>
        </w:rPr>
        <w:t>Canberra) </w:t>
      </w:r>
      <w:r>
        <w:rPr>
          <w:sz w:val="13"/>
        </w:rPr>
        <w:t>and Wendy Bonython (Bond University)), 7 (Law Institute of Victoria), 9 (Madison).</w:t>
      </w:r>
    </w:p>
    <w:p>
      <w:pPr>
        <w:pStyle w:val="ListParagraph"/>
        <w:numPr>
          <w:ilvl w:val="0"/>
          <w:numId w:val="99"/>
        </w:numPr>
        <w:tabs>
          <w:tab w:pos="1760" w:val="left" w:leader="none"/>
          <w:tab w:pos="1762" w:val="left" w:leader="none"/>
        </w:tabs>
        <w:spacing w:line="153" w:lineRule="exact" w:before="0" w:after="0"/>
        <w:ind w:left="1761" w:right="0" w:hanging="794"/>
        <w:jc w:val="left"/>
        <w:rPr>
          <w:sz w:val="13"/>
        </w:rPr>
      </w:pPr>
      <w:r>
        <w:rPr>
          <w:sz w:val="13"/>
        </w:rPr>
        <w:t>Consultation 9 (Consultation with two Victorian County </w:t>
      </w:r>
      <w:r>
        <w:rPr>
          <w:spacing w:val="2"/>
          <w:sz w:val="13"/>
        </w:rPr>
        <w:t>Court Judges, Court policy </w:t>
      </w:r>
      <w:r>
        <w:rPr>
          <w:sz w:val="13"/>
        </w:rPr>
        <w:t>staff and two</w:t>
      </w:r>
      <w:r>
        <w:rPr>
          <w:spacing w:val="19"/>
          <w:sz w:val="13"/>
        </w:rPr>
        <w:t> </w:t>
      </w:r>
      <w:r>
        <w:rPr>
          <w:sz w:val="13"/>
        </w:rPr>
        <w:t>Associates).</w:t>
      </w:r>
    </w:p>
    <w:p>
      <w:pPr>
        <w:pStyle w:val="ListParagraph"/>
        <w:numPr>
          <w:ilvl w:val="0"/>
          <w:numId w:val="99"/>
        </w:numPr>
        <w:tabs>
          <w:tab w:pos="1760"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99"/>
        </w:numPr>
        <w:tabs>
          <w:tab w:pos="1760" w:val="left" w:leader="none"/>
          <w:tab w:pos="1762" w:val="left" w:leader="none"/>
        </w:tabs>
        <w:spacing w:line="160" w:lineRule="exact" w:before="0" w:after="0"/>
        <w:ind w:left="1761" w:right="0" w:hanging="794"/>
        <w:jc w:val="left"/>
        <w:rPr>
          <w:sz w:val="13"/>
        </w:rPr>
      </w:pPr>
      <w:r>
        <w:rPr>
          <w:sz w:val="13"/>
        </w:rPr>
        <w:t>Consultation 8 (Brent Phillips).</w:t>
      </w:r>
    </w:p>
    <w:p>
      <w:pPr>
        <w:pStyle w:val="ListParagraph"/>
        <w:numPr>
          <w:ilvl w:val="0"/>
          <w:numId w:val="99"/>
        </w:numPr>
        <w:tabs>
          <w:tab w:pos="1760" w:val="left" w:leader="none"/>
          <w:tab w:pos="1762" w:val="left" w:leader="none"/>
        </w:tabs>
        <w:spacing w:line="213" w:lineRule="auto" w:before="6" w:after="0"/>
        <w:ind w:left="1761" w:right="0" w:hanging="794"/>
        <w:jc w:val="left"/>
        <w:rPr>
          <w:sz w:val="13"/>
        </w:rPr>
      </w:pPr>
      <w:r>
        <w:rPr>
          <w:sz w:val="13"/>
        </w:rPr>
        <w:t>William Hewitt, </w:t>
      </w:r>
      <w:r>
        <w:rPr>
          <w:i/>
          <w:sz w:val="13"/>
        </w:rPr>
        <w:t>Court Interpretation: Model </w:t>
      </w:r>
      <w:r>
        <w:rPr>
          <w:i/>
          <w:spacing w:val="2"/>
          <w:sz w:val="13"/>
        </w:rPr>
        <w:t>Guides </w:t>
      </w:r>
      <w:r>
        <w:rPr>
          <w:i/>
          <w:sz w:val="13"/>
        </w:rPr>
        <w:t>for the Policy and Practice in the State </w:t>
      </w:r>
      <w:r>
        <w:rPr>
          <w:i/>
          <w:spacing w:val="2"/>
          <w:sz w:val="13"/>
        </w:rPr>
        <w:t>Courts </w:t>
      </w:r>
      <w:r>
        <w:rPr>
          <w:spacing w:val="2"/>
          <w:sz w:val="13"/>
        </w:rPr>
        <w:t>(Report </w:t>
      </w:r>
      <w:r>
        <w:rPr>
          <w:sz w:val="13"/>
        </w:rPr>
        <w:t>No 167, National Center for State </w:t>
      </w:r>
      <w:r>
        <w:rPr>
          <w:spacing w:val="2"/>
          <w:sz w:val="13"/>
        </w:rPr>
        <w:t>Courts, 1995) </w:t>
      </w:r>
      <w:r>
        <w:rPr>
          <w:sz w:val="13"/>
        </w:rPr>
        <w:t>161. See </w:t>
      </w:r>
      <w:r>
        <w:rPr>
          <w:spacing w:val="2"/>
          <w:sz w:val="13"/>
        </w:rPr>
        <w:t>also </w:t>
      </w:r>
      <w:r>
        <w:rPr>
          <w:sz w:val="13"/>
        </w:rPr>
        <w:t>Office for </w:t>
      </w:r>
      <w:r>
        <w:rPr>
          <w:spacing w:val="2"/>
          <w:sz w:val="13"/>
        </w:rPr>
        <w:t>Disability Issues, ‘Some </w:t>
      </w:r>
      <w:r>
        <w:rPr>
          <w:sz w:val="13"/>
        </w:rPr>
        <w:t>Differences in Deaf People Using Interpreters’, </w:t>
      </w:r>
      <w:r>
        <w:rPr>
          <w:i/>
          <w:sz w:val="13"/>
        </w:rPr>
        <w:t>New Zealand </w:t>
      </w:r>
      <w:r>
        <w:rPr>
          <w:i/>
          <w:sz w:val="13"/>
        </w:rPr>
        <w:t>Office for Disability Issues </w:t>
      </w:r>
      <w:r>
        <w:rPr>
          <w:sz w:val="13"/>
        </w:rPr>
        <w:t>(Web Page) &lt;</w:t>
      </w:r>
      <w:hyperlink r:id="rId65">
        <w:r>
          <w:rPr>
            <w:sz w:val="13"/>
          </w:rPr>
          <w:t>https://www.odi.govt.nz/nzsl/tools-and-resources/some-differences-in-deaf-people-</w:t>
        </w:r>
      </w:hyperlink>
      <w:hyperlink r:id="rId65">
        <w:r>
          <w:rPr>
            <w:sz w:val="13"/>
          </w:rPr>
          <w:t> using-interpreters/</w:t>
        </w:r>
      </w:hyperlink>
      <w:r>
        <w:rPr>
          <w:sz w:val="13"/>
        </w:rPr>
        <w:t>&gt;. See Chapter </w:t>
      </w:r>
      <w:r>
        <w:rPr>
          <w:spacing w:val="3"/>
          <w:sz w:val="13"/>
        </w:rPr>
        <w:t>3.</w:t>
      </w:r>
    </w:p>
    <w:p>
      <w:pPr>
        <w:pStyle w:val="ListParagraph"/>
        <w:numPr>
          <w:ilvl w:val="0"/>
          <w:numId w:val="99"/>
        </w:numPr>
        <w:tabs>
          <w:tab w:pos="1761" w:val="left" w:leader="none"/>
          <w:tab w:pos="1762" w:val="left" w:leader="none"/>
        </w:tabs>
        <w:spacing w:line="213" w:lineRule="auto" w:before="0" w:after="0"/>
        <w:ind w:left="1761" w:right="58" w:hanging="794"/>
        <w:jc w:val="left"/>
        <w:rPr>
          <w:sz w:val="13"/>
        </w:rPr>
      </w:pPr>
      <w:r>
        <w:rPr>
          <w:i/>
          <w:sz w:val="13"/>
        </w:rPr>
        <w:t>Sign Language Act 2006 </w:t>
      </w:r>
      <w:r>
        <w:rPr>
          <w:sz w:val="13"/>
        </w:rPr>
        <w:t>(NZ) ss 6, </w:t>
      </w:r>
      <w:r>
        <w:rPr>
          <w:spacing w:val="-3"/>
          <w:sz w:val="13"/>
        </w:rPr>
        <w:t>7. </w:t>
      </w:r>
      <w:r>
        <w:rPr>
          <w:sz w:val="13"/>
        </w:rPr>
        <w:t>Note that the right in section 7 enables New Zealand Sign </w:t>
      </w:r>
      <w:r>
        <w:rPr>
          <w:spacing w:val="2"/>
          <w:sz w:val="13"/>
        </w:rPr>
        <w:t>Language </w:t>
      </w:r>
      <w:r>
        <w:rPr>
          <w:sz w:val="13"/>
        </w:rPr>
        <w:t>to be used—if it is their first or preferred </w:t>
      </w:r>
      <w:r>
        <w:rPr>
          <w:spacing w:val="2"/>
          <w:sz w:val="13"/>
        </w:rPr>
        <w:t>language—by </w:t>
      </w:r>
      <w:r>
        <w:rPr>
          <w:sz w:val="13"/>
        </w:rPr>
        <w:t>any </w:t>
      </w:r>
      <w:r>
        <w:rPr>
          <w:spacing w:val="2"/>
          <w:sz w:val="13"/>
        </w:rPr>
        <w:t>member </w:t>
      </w:r>
      <w:r>
        <w:rPr>
          <w:sz w:val="13"/>
        </w:rPr>
        <w:t>of the </w:t>
      </w:r>
      <w:r>
        <w:rPr>
          <w:spacing w:val="2"/>
          <w:sz w:val="13"/>
        </w:rPr>
        <w:t>court, </w:t>
      </w:r>
      <w:r>
        <w:rPr>
          <w:sz w:val="13"/>
        </w:rPr>
        <w:t>any </w:t>
      </w:r>
      <w:r>
        <w:rPr>
          <w:spacing w:val="2"/>
          <w:sz w:val="13"/>
        </w:rPr>
        <w:t>party </w:t>
      </w:r>
      <w:r>
        <w:rPr>
          <w:sz w:val="13"/>
        </w:rPr>
        <w:t>or </w:t>
      </w:r>
      <w:r>
        <w:rPr>
          <w:spacing w:val="2"/>
          <w:sz w:val="13"/>
        </w:rPr>
        <w:t>witness, </w:t>
      </w:r>
      <w:r>
        <w:rPr>
          <w:sz w:val="13"/>
        </w:rPr>
        <w:t>any counsel, and any other person with leave of the presiding officer.</w:t>
      </w:r>
    </w:p>
    <w:p>
      <w:pPr>
        <w:pStyle w:val="ListParagraph"/>
        <w:numPr>
          <w:ilvl w:val="0"/>
          <w:numId w:val="99"/>
        </w:numPr>
        <w:tabs>
          <w:tab w:pos="1761" w:val="left" w:leader="none"/>
          <w:tab w:pos="1762" w:val="left" w:leader="none"/>
        </w:tabs>
        <w:spacing w:line="152" w:lineRule="exact" w:before="0" w:after="0"/>
        <w:ind w:left="1761" w:right="0" w:hanging="794"/>
        <w:jc w:val="left"/>
        <w:rPr>
          <w:sz w:val="13"/>
        </w:rPr>
      </w:pPr>
      <w:r>
        <w:rPr>
          <w:i/>
          <w:sz w:val="13"/>
        </w:rPr>
        <w:t>Juries Act 1981 </w:t>
      </w:r>
      <w:r>
        <w:rPr>
          <w:sz w:val="13"/>
        </w:rPr>
        <w:t>(NZ) s</w:t>
      </w:r>
      <w:r>
        <w:rPr>
          <w:spacing w:val="24"/>
          <w:sz w:val="13"/>
        </w:rPr>
        <w:t> </w:t>
      </w:r>
      <w:r>
        <w:rPr>
          <w:spacing w:val="3"/>
          <w:sz w:val="13"/>
        </w:rPr>
        <w:t>16AA.</w:t>
      </w:r>
    </w:p>
    <w:p>
      <w:pPr>
        <w:pStyle w:val="ListParagraph"/>
        <w:numPr>
          <w:ilvl w:val="0"/>
          <w:numId w:val="99"/>
        </w:numPr>
        <w:tabs>
          <w:tab w:pos="1760" w:val="left" w:leader="none"/>
          <w:tab w:pos="1762" w:val="left" w:leader="none"/>
        </w:tabs>
        <w:spacing w:line="170" w:lineRule="exact" w:before="0" w:after="0"/>
        <w:ind w:left="1761" w:right="0" w:hanging="794"/>
        <w:jc w:val="left"/>
        <w:rPr>
          <w:sz w:val="13"/>
        </w:rPr>
      </w:pPr>
      <w:r>
        <w:rPr>
          <w:sz w:val="13"/>
        </w:rPr>
        <w:t>Consultation 8 (Brent Phillips).</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3"/>
        <w:rPr>
          <w:sz w:val="30"/>
        </w:rPr>
      </w:pPr>
    </w:p>
    <w:p>
      <w:pPr>
        <w:spacing w:before="0"/>
        <w:ind w:left="571" w:right="0" w:firstLine="0"/>
        <w:jc w:val="left"/>
        <w:rPr>
          <w:b/>
          <w:sz w:val="24"/>
        </w:rPr>
      </w:pPr>
      <w:r>
        <w:rPr>
          <w:b/>
          <w:color w:val="37617A"/>
          <w:sz w:val="24"/>
        </w:rPr>
        <w:t>155</w:t>
      </w:r>
    </w:p>
    <w:p>
      <w:pPr>
        <w:spacing w:after="0"/>
        <w:jc w:val="left"/>
        <w:rPr>
          <w:sz w:val="24"/>
        </w:rPr>
        <w:sectPr>
          <w:type w:val="continuous"/>
          <w:pgSz w:w="11910" w:h="16840"/>
          <w:pgMar w:top="620" w:bottom="280" w:left="620" w:right="380"/>
          <w:cols w:num="2" w:equalWidth="0">
            <w:col w:w="9690" w:space="40"/>
            <w:col w:w="1180"/>
          </w:cols>
        </w:sectPr>
      </w:pPr>
    </w:p>
    <w:p>
      <w:pPr>
        <w:pStyle w:val="BodyText"/>
        <w:rPr>
          <w:b/>
        </w:rPr>
      </w:pPr>
    </w:p>
    <w:p>
      <w:pPr>
        <w:pStyle w:val="BodyText"/>
        <w:rPr>
          <w:b/>
        </w:rPr>
      </w:pPr>
    </w:p>
    <w:p>
      <w:pPr>
        <w:pStyle w:val="BodyText"/>
        <w:rPr>
          <w:b/>
        </w:rPr>
      </w:pPr>
    </w:p>
    <w:p>
      <w:pPr>
        <w:spacing w:line="184" w:lineRule="auto" w:before="286"/>
        <w:ind w:left="967" w:right="1335" w:firstLine="0"/>
        <w:jc w:val="left"/>
        <w:rPr>
          <w:rFonts w:ascii="Raleway ExtraBold"/>
          <w:b/>
          <w:sz w:val="28"/>
        </w:rPr>
      </w:pPr>
      <w:bookmarkStart w:name="Recommended National Standards for Worki" w:id="267"/>
      <w:bookmarkEnd w:id="267"/>
      <w:r>
        <w:rPr/>
      </w:r>
      <w:bookmarkStart w:name="_bookmark111" w:id="268"/>
      <w:bookmarkEnd w:id="268"/>
      <w:r>
        <w:rPr/>
      </w:r>
      <w:r>
        <w:rPr>
          <w:rFonts w:ascii="Raleway ExtraBold"/>
          <w:b/>
          <w:color w:val="37617A"/>
          <w:sz w:val="28"/>
        </w:rPr>
        <w:t>Recommended National Standards for Working with Interpreters in Courts and Tribunals</w:t>
      </w:r>
    </w:p>
    <w:p>
      <w:pPr>
        <w:pStyle w:val="ListParagraph"/>
        <w:numPr>
          <w:ilvl w:val="1"/>
          <w:numId w:val="12"/>
        </w:numPr>
        <w:tabs>
          <w:tab w:pos="1761" w:val="left" w:leader="none"/>
          <w:tab w:pos="1762" w:val="left" w:leader="none"/>
        </w:tabs>
        <w:spacing w:line="206" w:lineRule="auto" w:before="162" w:after="0"/>
        <w:ind w:left="1761" w:right="1257" w:hanging="794"/>
        <w:jc w:val="left"/>
        <w:rPr>
          <w:sz w:val="20"/>
        </w:rPr>
      </w:pPr>
      <w:r>
        <w:rPr>
          <w:sz w:val="20"/>
        </w:rPr>
        <w:t>In </w:t>
      </w:r>
      <w:r>
        <w:rPr>
          <w:spacing w:val="-2"/>
          <w:sz w:val="20"/>
        </w:rPr>
        <w:t>Chapter </w:t>
      </w:r>
      <w:r>
        <w:rPr>
          <w:sz w:val="20"/>
        </w:rPr>
        <w:t>9 </w:t>
      </w:r>
      <w:r>
        <w:rPr>
          <w:spacing w:val="-3"/>
          <w:sz w:val="20"/>
        </w:rPr>
        <w:t>we referred </w:t>
      </w:r>
      <w:r>
        <w:rPr>
          <w:sz w:val="20"/>
        </w:rPr>
        <w:t>to the Recommended National Standards for </w:t>
      </w:r>
      <w:r>
        <w:rPr>
          <w:spacing w:val="-3"/>
          <w:sz w:val="20"/>
        </w:rPr>
        <w:t>Working </w:t>
      </w:r>
      <w:r>
        <w:rPr>
          <w:sz w:val="20"/>
        </w:rPr>
        <w:t>with </w:t>
      </w:r>
      <w:r>
        <w:rPr>
          <w:spacing w:val="-3"/>
          <w:sz w:val="20"/>
        </w:rPr>
        <w:t>Interpreters</w:t>
      </w:r>
      <w:r>
        <w:rPr>
          <w:spacing w:val="-6"/>
          <w:sz w:val="20"/>
        </w:rPr>
        <w:t> </w:t>
      </w:r>
      <w:r>
        <w:rPr>
          <w:sz w:val="20"/>
        </w:rPr>
        <w:t>in</w:t>
      </w:r>
      <w:r>
        <w:rPr>
          <w:spacing w:val="-6"/>
          <w:sz w:val="20"/>
        </w:rPr>
        <w:t> </w:t>
      </w:r>
      <w:r>
        <w:rPr>
          <w:sz w:val="20"/>
        </w:rPr>
        <w:t>Courts</w:t>
      </w:r>
      <w:r>
        <w:rPr>
          <w:spacing w:val="-6"/>
          <w:sz w:val="20"/>
        </w:rPr>
        <w:t> </w:t>
      </w:r>
      <w:r>
        <w:rPr>
          <w:sz w:val="20"/>
        </w:rPr>
        <w:t>and</w:t>
      </w:r>
      <w:r>
        <w:rPr>
          <w:spacing w:val="-6"/>
          <w:sz w:val="20"/>
        </w:rPr>
        <w:t> </w:t>
      </w:r>
      <w:r>
        <w:rPr>
          <w:spacing w:val="-3"/>
          <w:sz w:val="20"/>
        </w:rPr>
        <w:t>Tribunals</w:t>
      </w:r>
      <w:r>
        <w:rPr>
          <w:spacing w:val="-6"/>
          <w:sz w:val="20"/>
        </w:rPr>
        <w:t> </w:t>
      </w:r>
      <w:r>
        <w:rPr>
          <w:sz w:val="20"/>
        </w:rPr>
        <w:t>(RNS)</w:t>
      </w:r>
      <w:r>
        <w:rPr>
          <w:spacing w:val="-6"/>
          <w:sz w:val="20"/>
        </w:rPr>
        <w:t> </w:t>
      </w:r>
      <w:r>
        <w:rPr>
          <w:sz w:val="20"/>
        </w:rPr>
        <w:t>that</w:t>
      </w:r>
      <w:r>
        <w:rPr>
          <w:spacing w:val="-5"/>
          <w:sz w:val="20"/>
        </w:rPr>
        <w:t> </w:t>
      </w:r>
      <w:r>
        <w:rPr>
          <w:spacing w:val="-3"/>
          <w:sz w:val="20"/>
        </w:rPr>
        <w:t>apply</w:t>
      </w:r>
      <w:r>
        <w:rPr>
          <w:spacing w:val="-6"/>
          <w:sz w:val="20"/>
        </w:rPr>
        <w:t> </w:t>
      </w:r>
      <w:r>
        <w:rPr>
          <w:sz w:val="20"/>
        </w:rPr>
        <w:t>to</w:t>
      </w:r>
      <w:r>
        <w:rPr>
          <w:spacing w:val="-6"/>
          <w:sz w:val="20"/>
        </w:rPr>
        <w:t> </w:t>
      </w:r>
      <w:r>
        <w:rPr>
          <w:sz w:val="20"/>
        </w:rPr>
        <w:t>Auslan</w:t>
      </w:r>
      <w:r>
        <w:rPr>
          <w:spacing w:val="-6"/>
          <w:sz w:val="20"/>
        </w:rPr>
        <w:t> </w:t>
      </w:r>
      <w:r>
        <w:rPr>
          <w:spacing w:val="-3"/>
          <w:sz w:val="20"/>
        </w:rPr>
        <w:t>interpreters</w:t>
      </w:r>
      <w:r>
        <w:rPr>
          <w:spacing w:val="-6"/>
          <w:sz w:val="20"/>
        </w:rPr>
        <w:t> </w:t>
      </w:r>
      <w:r>
        <w:rPr>
          <w:sz w:val="20"/>
        </w:rPr>
        <w:t>in</w:t>
      </w:r>
      <w:r>
        <w:rPr>
          <w:spacing w:val="-6"/>
          <w:sz w:val="20"/>
        </w:rPr>
        <w:t> </w:t>
      </w:r>
      <w:r>
        <w:rPr>
          <w:sz w:val="20"/>
        </w:rPr>
        <w:t>court.</w:t>
      </w:r>
      <w:r>
        <w:rPr>
          <w:spacing w:val="-6"/>
          <w:sz w:val="20"/>
        </w:rPr>
        <w:t> </w:t>
      </w:r>
      <w:r>
        <w:rPr>
          <w:sz w:val="20"/>
        </w:rPr>
        <w:t>The RNS</w:t>
      </w:r>
      <w:r>
        <w:rPr>
          <w:spacing w:val="-11"/>
          <w:sz w:val="20"/>
        </w:rPr>
        <w:t> </w:t>
      </w:r>
      <w:r>
        <w:rPr>
          <w:spacing w:val="-3"/>
          <w:sz w:val="20"/>
        </w:rPr>
        <w:t>provide</w:t>
      </w:r>
      <w:r>
        <w:rPr>
          <w:spacing w:val="-11"/>
          <w:sz w:val="20"/>
        </w:rPr>
        <w:t> </w:t>
      </w:r>
      <w:r>
        <w:rPr>
          <w:sz w:val="20"/>
        </w:rPr>
        <w:t>a</w:t>
      </w:r>
      <w:r>
        <w:rPr>
          <w:spacing w:val="-10"/>
          <w:sz w:val="20"/>
        </w:rPr>
        <w:t> </w:t>
      </w:r>
      <w:r>
        <w:rPr>
          <w:sz w:val="20"/>
        </w:rPr>
        <w:t>guide</w:t>
      </w:r>
      <w:r>
        <w:rPr>
          <w:spacing w:val="-11"/>
          <w:sz w:val="20"/>
        </w:rPr>
        <w:t> </w:t>
      </w:r>
      <w:r>
        <w:rPr>
          <w:sz w:val="20"/>
        </w:rPr>
        <w:t>for</w:t>
      </w:r>
      <w:r>
        <w:rPr>
          <w:spacing w:val="-11"/>
          <w:sz w:val="20"/>
        </w:rPr>
        <w:t> </w:t>
      </w:r>
      <w:r>
        <w:rPr>
          <w:sz w:val="20"/>
        </w:rPr>
        <w:t>the</w:t>
      </w:r>
      <w:r>
        <w:rPr>
          <w:spacing w:val="-10"/>
          <w:sz w:val="20"/>
        </w:rPr>
        <w:t> </w:t>
      </w:r>
      <w:r>
        <w:rPr>
          <w:sz w:val="20"/>
        </w:rPr>
        <w:t>courts,</w:t>
      </w:r>
      <w:r>
        <w:rPr>
          <w:spacing w:val="-11"/>
          <w:sz w:val="20"/>
        </w:rPr>
        <w:t> </w:t>
      </w:r>
      <w:r>
        <w:rPr>
          <w:sz w:val="20"/>
        </w:rPr>
        <w:t>judicial</w:t>
      </w:r>
      <w:r>
        <w:rPr>
          <w:spacing w:val="-10"/>
          <w:sz w:val="20"/>
        </w:rPr>
        <w:t> </w:t>
      </w:r>
      <w:r>
        <w:rPr>
          <w:sz w:val="20"/>
        </w:rPr>
        <w:t>officers,</w:t>
      </w:r>
      <w:r>
        <w:rPr>
          <w:spacing w:val="-11"/>
          <w:sz w:val="20"/>
        </w:rPr>
        <w:t> </w:t>
      </w:r>
      <w:r>
        <w:rPr>
          <w:spacing w:val="-3"/>
          <w:sz w:val="20"/>
        </w:rPr>
        <w:t>interpreters</w:t>
      </w:r>
      <w:r>
        <w:rPr>
          <w:spacing w:val="-11"/>
          <w:sz w:val="20"/>
        </w:rPr>
        <w:t> </w:t>
      </w:r>
      <w:r>
        <w:rPr>
          <w:sz w:val="20"/>
        </w:rPr>
        <w:t>and</w:t>
      </w:r>
      <w:r>
        <w:rPr>
          <w:spacing w:val="-10"/>
          <w:sz w:val="20"/>
        </w:rPr>
        <w:t> </w:t>
      </w:r>
      <w:r>
        <w:rPr>
          <w:sz w:val="20"/>
        </w:rPr>
        <w:t>legal</w:t>
      </w:r>
      <w:r>
        <w:rPr>
          <w:spacing w:val="-11"/>
          <w:sz w:val="20"/>
        </w:rPr>
        <w:t> </w:t>
      </w:r>
      <w:r>
        <w:rPr>
          <w:sz w:val="20"/>
        </w:rPr>
        <w:t>practitioners when</w:t>
      </w:r>
      <w:r>
        <w:rPr>
          <w:spacing w:val="-6"/>
          <w:sz w:val="20"/>
        </w:rPr>
        <w:t> </w:t>
      </w:r>
      <w:r>
        <w:rPr>
          <w:spacing w:val="-3"/>
          <w:sz w:val="20"/>
        </w:rPr>
        <w:t>providing</w:t>
      </w:r>
      <w:r>
        <w:rPr>
          <w:spacing w:val="-5"/>
          <w:sz w:val="20"/>
        </w:rPr>
        <w:t> </w:t>
      </w:r>
      <w:r>
        <w:rPr>
          <w:spacing w:val="-3"/>
          <w:sz w:val="20"/>
        </w:rPr>
        <w:t>interpretation</w:t>
      </w:r>
      <w:r>
        <w:rPr>
          <w:spacing w:val="-5"/>
          <w:sz w:val="20"/>
        </w:rPr>
        <w:t> </w:t>
      </w:r>
      <w:r>
        <w:rPr>
          <w:sz w:val="20"/>
        </w:rPr>
        <w:t>in</w:t>
      </w:r>
      <w:r>
        <w:rPr>
          <w:spacing w:val="-6"/>
          <w:sz w:val="20"/>
        </w:rPr>
        <w:t> </w:t>
      </w:r>
      <w:r>
        <w:rPr>
          <w:sz w:val="20"/>
        </w:rPr>
        <w:t>a</w:t>
      </w:r>
      <w:r>
        <w:rPr>
          <w:spacing w:val="-5"/>
          <w:sz w:val="20"/>
        </w:rPr>
        <w:t> </w:t>
      </w:r>
      <w:r>
        <w:rPr>
          <w:sz w:val="20"/>
        </w:rPr>
        <w:t>court</w:t>
      </w:r>
      <w:r>
        <w:rPr>
          <w:spacing w:val="-5"/>
          <w:sz w:val="20"/>
        </w:rPr>
        <w:t> </w:t>
      </w:r>
      <w:r>
        <w:rPr>
          <w:sz w:val="20"/>
        </w:rPr>
        <w:t>setting.</w:t>
      </w:r>
      <w:r>
        <w:rPr>
          <w:spacing w:val="-6"/>
          <w:sz w:val="20"/>
        </w:rPr>
        <w:t> </w:t>
      </w:r>
      <w:r>
        <w:rPr>
          <w:sz w:val="20"/>
        </w:rPr>
        <w:t>They</w:t>
      </w:r>
      <w:r>
        <w:rPr>
          <w:spacing w:val="-5"/>
          <w:sz w:val="20"/>
        </w:rPr>
        <w:t> </w:t>
      </w:r>
      <w:r>
        <w:rPr>
          <w:spacing w:val="-4"/>
          <w:sz w:val="20"/>
        </w:rPr>
        <w:t>cover</w:t>
      </w:r>
      <w:r>
        <w:rPr>
          <w:spacing w:val="-5"/>
          <w:sz w:val="20"/>
        </w:rPr>
        <w:t> </w:t>
      </w:r>
      <w:r>
        <w:rPr>
          <w:sz w:val="20"/>
        </w:rPr>
        <w:t>practical</w:t>
      </w:r>
      <w:r>
        <w:rPr>
          <w:spacing w:val="-6"/>
          <w:sz w:val="20"/>
        </w:rPr>
        <w:t> </w:t>
      </w:r>
      <w:r>
        <w:rPr>
          <w:sz w:val="20"/>
        </w:rPr>
        <w:t>things</w:t>
      </w:r>
      <w:r>
        <w:rPr>
          <w:spacing w:val="-5"/>
          <w:sz w:val="20"/>
        </w:rPr>
        <w:t> </w:t>
      </w:r>
      <w:r>
        <w:rPr>
          <w:spacing w:val="-3"/>
          <w:sz w:val="20"/>
        </w:rPr>
        <w:t>like:</w:t>
      </w:r>
    </w:p>
    <w:p>
      <w:pPr>
        <w:pStyle w:val="ListParagraph"/>
        <w:numPr>
          <w:ilvl w:val="2"/>
          <w:numId w:val="12"/>
        </w:numPr>
        <w:tabs>
          <w:tab w:pos="2157" w:val="left" w:leader="none"/>
          <w:tab w:pos="2158" w:val="left" w:leader="none"/>
        </w:tabs>
        <w:spacing w:line="240" w:lineRule="auto" w:before="93" w:after="0"/>
        <w:ind w:left="2157" w:right="0" w:hanging="396"/>
        <w:jc w:val="left"/>
        <w:rPr>
          <w:sz w:val="20"/>
        </w:rPr>
      </w:pPr>
      <w:r>
        <w:rPr>
          <w:sz w:val="20"/>
        </w:rPr>
        <w:t>the</w:t>
      </w:r>
      <w:r>
        <w:rPr>
          <w:spacing w:val="-6"/>
          <w:sz w:val="20"/>
        </w:rPr>
        <w:t> </w:t>
      </w:r>
      <w:r>
        <w:rPr>
          <w:spacing w:val="-3"/>
          <w:sz w:val="20"/>
        </w:rPr>
        <w:t>provision</w:t>
      </w:r>
      <w:r>
        <w:rPr>
          <w:spacing w:val="-5"/>
          <w:sz w:val="20"/>
        </w:rPr>
        <w:t> </w:t>
      </w:r>
      <w:r>
        <w:rPr>
          <w:sz w:val="20"/>
        </w:rPr>
        <w:t>of</w:t>
      </w:r>
      <w:r>
        <w:rPr>
          <w:spacing w:val="-5"/>
          <w:sz w:val="20"/>
        </w:rPr>
        <w:t> </w:t>
      </w:r>
      <w:r>
        <w:rPr>
          <w:sz w:val="20"/>
        </w:rPr>
        <w:t>information</w:t>
      </w:r>
      <w:r>
        <w:rPr>
          <w:spacing w:val="-5"/>
          <w:sz w:val="20"/>
        </w:rPr>
        <w:t> </w:t>
      </w:r>
      <w:r>
        <w:rPr>
          <w:sz w:val="20"/>
        </w:rPr>
        <w:t>to</w:t>
      </w:r>
      <w:r>
        <w:rPr>
          <w:spacing w:val="-6"/>
          <w:sz w:val="20"/>
        </w:rPr>
        <w:t> </w:t>
      </w:r>
      <w:r>
        <w:rPr>
          <w:sz w:val="20"/>
        </w:rPr>
        <w:t>the</w:t>
      </w:r>
      <w:r>
        <w:rPr>
          <w:spacing w:val="-5"/>
          <w:sz w:val="20"/>
        </w:rPr>
        <w:t> </w:t>
      </w:r>
      <w:r>
        <w:rPr>
          <w:sz w:val="20"/>
        </w:rPr>
        <w:t>public</w:t>
      </w:r>
      <w:r>
        <w:rPr>
          <w:spacing w:val="-5"/>
          <w:sz w:val="20"/>
        </w:rPr>
        <w:t> </w:t>
      </w:r>
      <w:r>
        <w:rPr>
          <w:sz w:val="20"/>
        </w:rPr>
        <w:t>about</w:t>
      </w:r>
      <w:r>
        <w:rPr>
          <w:spacing w:val="-5"/>
          <w:sz w:val="20"/>
        </w:rPr>
        <w:t> </w:t>
      </w:r>
      <w:r>
        <w:rPr>
          <w:sz w:val="20"/>
        </w:rPr>
        <w:t>the</w:t>
      </w:r>
      <w:r>
        <w:rPr>
          <w:spacing w:val="-6"/>
          <w:sz w:val="20"/>
        </w:rPr>
        <w:t> </w:t>
      </w:r>
      <w:r>
        <w:rPr>
          <w:sz w:val="20"/>
        </w:rPr>
        <w:t>availability</w:t>
      </w:r>
      <w:r>
        <w:rPr>
          <w:spacing w:val="-5"/>
          <w:sz w:val="20"/>
        </w:rPr>
        <w:t> </w:t>
      </w:r>
      <w:r>
        <w:rPr>
          <w:sz w:val="20"/>
        </w:rPr>
        <w:t>of</w:t>
      </w:r>
      <w:r>
        <w:rPr>
          <w:spacing w:val="-5"/>
          <w:sz w:val="20"/>
        </w:rPr>
        <w:t> </w:t>
      </w:r>
      <w:r>
        <w:rPr>
          <w:spacing w:val="-3"/>
          <w:sz w:val="20"/>
        </w:rPr>
        <w:t>interpreters</w:t>
      </w:r>
    </w:p>
    <w:p>
      <w:pPr>
        <w:pStyle w:val="ListParagraph"/>
        <w:numPr>
          <w:ilvl w:val="2"/>
          <w:numId w:val="12"/>
        </w:numPr>
        <w:tabs>
          <w:tab w:pos="2157" w:val="left" w:leader="none"/>
          <w:tab w:pos="2158" w:val="left" w:leader="none"/>
        </w:tabs>
        <w:spacing w:line="259" w:lineRule="exact" w:before="47" w:after="0"/>
        <w:ind w:left="2157" w:right="0" w:hanging="396"/>
        <w:jc w:val="left"/>
        <w:rPr>
          <w:sz w:val="20"/>
        </w:rPr>
      </w:pPr>
      <w:r>
        <w:rPr>
          <w:sz w:val="20"/>
        </w:rPr>
        <w:t>training</w:t>
      </w:r>
      <w:r>
        <w:rPr>
          <w:spacing w:val="-7"/>
          <w:sz w:val="20"/>
        </w:rPr>
        <w:t> </w:t>
      </w:r>
      <w:r>
        <w:rPr>
          <w:sz w:val="20"/>
        </w:rPr>
        <w:t>for</w:t>
      </w:r>
      <w:r>
        <w:rPr>
          <w:spacing w:val="-7"/>
          <w:sz w:val="20"/>
        </w:rPr>
        <w:t> </w:t>
      </w:r>
      <w:r>
        <w:rPr>
          <w:sz w:val="20"/>
        </w:rPr>
        <w:t>judicial</w:t>
      </w:r>
      <w:r>
        <w:rPr>
          <w:spacing w:val="-7"/>
          <w:sz w:val="20"/>
        </w:rPr>
        <w:t> </w:t>
      </w:r>
      <w:r>
        <w:rPr>
          <w:sz w:val="20"/>
        </w:rPr>
        <w:t>officers</w:t>
      </w:r>
      <w:r>
        <w:rPr>
          <w:spacing w:val="-7"/>
          <w:sz w:val="20"/>
        </w:rPr>
        <w:t> </w:t>
      </w:r>
      <w:r>
        <w:rPr>
          <w:sz w:val="20"/>
        </w:rPr>
        <w:t>and</w:t>
      </w:r>
      <w:r>
        <w:rPr>
          <w:spacing w:val="-6"/>
          <w:sz w:val="20"/>
        </w:rPr>
        <w:t> </w:t>
      </w:r>
      <w:r>
        <w:rPr>
          <w:sz w:val="20"/>
        </w:rPr>
        <w:t>court</w:t>
      </w:r>
      <w:r>
        <w:rPr>
          <w:spacing w:val="-7"/>
          <w:sz w:val="20"/>
        </w:rPr>
        <w:t> </w:t>
      </w:r>
      <w:r>
        <w:rPr>
          <w:sz w:val="20"/>
        </w:rPr>
        <w:t>staff</w:t>
      </w:r>
      <w:r>
        <w:rPr>
          <w:spacing w:val="-7"/>
          <w:sz w:val="20"/>
        </w:rPr>
        <w:t> </w:t>
      </w:r>
      <w:r>
        <w:rPr>
          <w:sz w:val="20"/>
        </w:rPr>
        <w:t>about</w:t>
      </w:r>
      <w:r>
        <w:rPr>
          <w:spacing w:val="-7"/>
          <w:sz w:val="20"/>
        </w:rPr>
        <w:t> </w:t>
      </w:r>
      <w:r>
        <w:rPr>
          <w:sz w:val="20"/>
        </w:rPr>
        <w:t>the</w:t>
      </w:r>
      <w:r>
        <w:rPr>
          <w:spacing w:val="-7"/>
          <w:sz w:val="20"/>
        </w:rPr>
        <w:t> </w:t>
      </w:r>
      <w:r>
        <w:rPr>
          <w:spacing w:val="-3"/>
          <w:sz w:val="20"/>
        </w:rPr>
        <w:t>role</w:t>
      </w:r>
      <w:r>
        <w:rPr>
          <w:spacing w:val="-6"/>
          <w:sz w:val="20"/>
        </w:rPr>
        <w:t> </w:t>
      </w:r>
      <w:r>
        <w:rPr>
          <w:sz w:val="20"/>
        </w:rPr>
        <w:t>of</w:t>
      </w:r>
      <w:r>
        <w:rPr>
          <w:spacing w:val="-7"/>
          <w:sz w:val="20"/>
        </w:rPr>
        <w:t> </w:t>
      </w:r>
      <w:r>
        <w:rPr>
          <w:sz w:val="20"/>
        </w:rPr>
        <w:t>an</w:t>
      </w:r>
      <w:r>
        <w:rPr>
          <w:spacing w:val="-7"/>
          <w:sz w:val="20"/>
        </w:rPr>
        <w:t> </w:t>
      </w:r>
      <w:r>
        <w:rPr>
          <w:spacing w:val="-4"/>
          <w:sz w:val="20"/>
        </w:rPr>
        <w:t>interpreter,</w:t>
      </w:r>
      <w:r>
        <w:rPr>
          <w:spacing w:val="-7"/>
          <w:sz w:val="20"/>
        </w:rPr>
        <w:t> </w:t>
      </w:r>
      <w:r>
        <w:rPr>
          <w:sz w:val="20"/>
        </w:rPr>
        <w:t>assessing</w:t>
      </w:r>
    </w:p>
    <w:p>
      <w:pPr>
        <w:pStyle w:val="BodyText"/>
        <w:spacing w:line="259" w:lineRule="exact"/>
        <w:ind w:left="2157"/>
      </w:pPr>
      <w:r>
        <w:rPr/>
        <w:t>the need for an interpreter and how to work with an interpreter</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the need for adequate funding of </w:t>
      </w:r>
      <w:r>
        <w:rPr>
          <w:spacing w:val="-3"/>
          <w:sz w:val="20"/>
        </w:rPr>
        <w:t>interpreting</w:t>
      </w:r>
      <w:r>
        <w:rPr>
          <w:spacing w:val="-31"/>
          <w:sz w:val="20"/>
        </w:rPr>
        <w:t> </w:t>
      </w:r>
      <w:r>
        <w:rPr>
          <w:sz w:val="20"/>
        </w:rPr>
        <w:t>services</w:t>
      </w:r>
    </w:p>
    <w:p>
      <w:pPr>
        <w:pStyle w:val="ListParagraph"/>
        <w:numPr>
          <w:ilvl w:val="2"/>
          <w:numId w:val="12"/>
        </w:numPr>
        <w:tabs>
          <w:tab w:pos="2157" w:val="left" w:leader="none"/>
          <w:tab w:pos="2158" w:val="left" w:leader="none"/>
        </w:tabs>
        <w:spacing w:line="206" w:lineRule="auto" w:before="80" w:after="0"/>
        <w:ind w:left="2157" w:right="1750" w:hanging="396"/>
        <w:jc w:val="left"/>
        <w:rPr>
          <w:sz w:val="20"/>
        </w:rPr>
      </w:pPr>
      <w:r>
        <w:rPr>
          <w:sz w:val="20"/>
        </w:rPr>
        <w:t>coordinating</w:t>
      </w:r>
      <w:r>
        <w:rPr>
          <w:spacing w:val="-12"/>
          <w:sz w:val="20"/>
        </w:rPr>
        <w:t> </w:t>
      </w:r>
      <w:r>
        <w:rPr>
          <w:sz w:val="20"/>
        </w:rPr>
        <w:t>the</w:t>
      </w:r>
      <w:r>
        <w:rPr>
          <w:spacing w:val="-12"/>
          <w:sz w:val="20"/>
        </w:rPr>
        <w:t> </w:t>
      </w:r>
      <w:r>
        <w:rPr>
          <w:sz w:val="20"/>
        </w:rPr>
        <w:t>engagement</w:t>
      </w:r>
      <w:r>
        <w:rPr>
          <w:spacing w:val="-12"/>
          <w:sz w:val="20"/>
        </w:rPr>
        <w:t> </w:t>
      </w:r>
      <w:r>
        <w:rPr>
          <w:sz w:val="20"/>
        </w:rPr>
        <w:t>of</w:t>
      </w:r>
      <w:r>
        <w:rPr>
          <w:spacing w:val="-11"/>
          <w:sz w:val="20"/>
        </w:rPr>
        <w:t> </w:t>
      </w:r>
      <w:r>
        <w:rPr>
          <w:spacing w:val="-3"/>
          <w:sz w:val="20"/>
        </w:rPr>
        <w:t>interpreters,</w:t>
      </w:r>
      <w:r>
        <w:rPr>
          <w:spacing w:val="-12"/>
          <w:sz w:val="20"/>
        </w:rPr>
        <w:t> </w:t>
      </w:r>
      <w:r>
        <w:rPr>
          <w:sz w:val="20"/>
        </w:rPr>
        <w:t>booking</w:t>
      </w:r>
      <w:r>
        <w:rPr>
          <w:spacing w:val="-12"/>
          <w:sz w:val="20"/>
        </w:rPr>
        <w:t> </w:t>
      </w:r>
      <w:r>
        <w:rPr>
          <w:sz w:val="20"/>
        </w:rPr>
        <w:t>systems</w:t>
      </w:r>
      <w:r>
        <w:rPr>
          <w:spacing w:val="-12"/>
          <w:sz w:val="20"/>
        </w:rPr>
        <w:t> </w:t>
      </w:r>
      <w:r>
        <w:rPr>
          <w:sz w:val="20"/>
        </w:rPr>
        <w:t>and</w:t>
      </w:r>
      <w:r>
        <w:rPr>
          <w:spacing w:val="-11"/>
          <w:sz w:val="20"/>
        </w:rPr>
        <w:t> </w:t>
      </w:r>
      <w:r>
        <w:rPr>
          <w:sz w:val="20"/>
        </w:rPr>
        <w:t>notice</w:t>
      </w:r>
      <w:r>
        <w:rPr>
          <w:spacing w:val="-12"/>
          <w:sz w:val="20"/>
        </w:rPr>
        <w:t> </w:t>
      </w:r>
      <w:r>
        <w:rPr>
          <w:sz w:val="20"/>
        </w:rPr>
        <w:t>for bookings</w:t>
      </w:r>
    </w:p>
    <w:p>
      <w:pPr>
        <w:pStyle w:val="ListParagraph"/>
        <w:numPr>
          <w:ilvl w:val="2"/>
          <w:numId w:val="12"/>
        </w:numPr>
        <w:tabs>
          <w:tab w:pos="2157" w:val="left" w:leader="none"/>
          <w:tab w:pos="2158" w:val="left" w:leader="none"/>
        </w:tabs>
        <w:spacing w:line="259" w:lineRule="exact" w:before="55" w:after="0"/>
        <w:ind w:left="2157" w:right="0" w:hanging="396"/>
        <w:jc w:val="left"/>
        <w:rPr>
          <w:sz w:val="20"/>
        </w:rPr>
      </w:pPr>
      <w:r>
        <w:rPr>
          <w:sz w:val="20"/>
        </w:rPr>
        <w:t>support for </w:t>
      </w:r>
      <w:r>
        <w:rPr>
          <w:spacing w:val="-3"/>
          <w:sz w:val="20"/>
        </w:rPr>
        <w:t>interpreters—working </w:t>
      </w:r>
      <w:r>
        <w:rPr>
          <w:sz w:val="20"/>
        </w:rPr>
        <w:t>conditions, remuneration, </w:t>
      </w:r>
      <w:r>
        <w:rPr>
          <w:spacing w:val="-3"/>
          <w:sz w:val="20"/>
        </w:rPr>
        <w:t>work </w:t>
      </w:r>
      <w:r>
        <w:rPr>
          <w:spacing w:val="-2"/>
          <w:sz w:val="20"/>
        </w:rPr>
        <w:t>space, </w:t>
      </w:r>
      <w:r>
        <w:rPr>
          <w:sz w:val="20"/>
        </w:rPr>
        <w:t>line</w:t>
      </w:r>
      <w:r>
        <w:rPr>
          <w:spacing w:val="-34"/>
          <w:sz w:val="20"/>
        </w:rPr>
        <w:t> </w:t>
      </w:r>
      <w:r>
        <w:rPr>
          <w:sz w:val="20"/>
        </w:rPr>
        <w:t>of</w:t>
      </w:r>
    </w:p>
    <w:p>
      <w:pPr>
        <w:pStyle w:val="BodyText"/>
        <w:spacing w:line="259" w:lineRule="exact"/>
        <w:ind w:left="2157"/>
      </w:pPr>
      <w:r>
        <w:rPr/>
        <w:t>sight, breaks, debriefing and counselling, creating opportunities for feedback</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engaging qualified</w:t>
      </w:r>
      <w:r>
        <w:rPr>
          <w:spacing w:val="-9"/>
          <w:sz w:val="20"/>
        </w:rPr>
        <w:t> </w:t>
      </w:r>
      <w:r>
        <w:rPr>
          <w:spacing w:val="-3"/>
          <w:sz w:val="20"/>
        </w:rPr>
        <w:t>interpreters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the </w:t>
      </w:r>
      <w:r>
        <w:rPr>
          <w:spacing w:val="-3"/>
          <w:sz w:val="20"/>
        </w:rPr>
        <w:t>provision </w:t>
      </w:r>
      <w:r>
        <w:rPr>
          <w:sz w:val="20"/>
        </w:rPr>
        <w:t>of induction and training for</w:t>
      </w:r>
      <w:r>
        <w:rPr>
          <w:spacing w:val="-30"/>
          <w:sz w:val="20"/>
        </w:rPr>
        <w:t> </w:t>
      </w:r>
      <w:r>
        <w:rPr>
          <w:sz w:val="20"/>
        </w:rPr>
        <w:t>interpreters.</w:t>
      </w:r>
      <w:r>
        <w:rPr>
          <w:position w:val="7"/>
          <w:sz w:val="11"/>
        </w:rPr>
        <w:t>10</w:t>
      </w:r>
    </w:p>
    <w:p>
      <w:pPr>
        <w:pStyle w:val="ListParagraph"/>
        <w:numPr>
          <w:ilvl w:val="1"/>
          <w:numId w:val="12"/>
        </w:numPr>
        <w:tabs>
          <w:tab w:pos="1761" w:val="left" w:leader="none"/>
          <w:tab w:pos="1762" w:val="left" w:leader="none"/>
        </w:tabs>
        <w:spacing w:line="206" w:lineRule="auto" w:before="80" w:after="0"/>
        <w:ind w:left="1761" w:right="1328" w:hanging="794"/>
        <w:jc w:val="left"/>
        <w:rPr>
          <w:sz w:val="20"/>
        </w:rPr>
      </w:pPr>
      <w:r>
        <w:rPr>
          <w:sz w:val="20"/>
        </w:rPr>
        <w:t>The RNS </w:t>
      </w:r>
      <w:r>
        <w:rPr>
          <w:spacing w:val="-4"/>
          <w:sz w:val="20"/>
        </w:rPr>
        <w:t>have </w:t>
      </w:r>
      <w:r>
        <w:rPr>
          <w:sz w:val="20"/>
        </w:rPr>
        <w:t>informed the Commission’s recommendations for Auslan </w:t>
      </w:r>
      <w:r>
        <w:rPr>
          <w:spacing w:val="-3"/>
          <w:sz w:val="20"/>
        </w:rPr>
        <w:t>interpreters. </w:t>
      </w:r>
      <w:r>
        <w:rPr>
          <w:sz w:val="20"/>
        </w:rPr>
        <w:t>The</w:t>
      </w:r>
      <w:r>
        <w:rPr>
          <w:spacing w:val="-10"/>
          <w:sz w:val="20"/>
        </w:rPr>
        <w:t> </w:t>
      </w:r>
      <w:r>
        <w:rPr>
          <w:sz w:val="20"/>
        </w:rPr>
        <w:t>standards</w:t>
      </w:r>
      <w:r>
        <w:rPr>
          <w:spacing w:val="-10"/>
          <w:sz w:val="20"/>
        </w:rPr>
        <w:t> </w:t>
      </w:r>
      <w:r>
        <w:rPr>
          <w:sz w:val="20"/>
        </w:rPr>
        <w:t>should</w:t>
      </w:r>
      <w:r>
        <w:rPr>
          <w:spacing w:val="-10"/>
          <w:sz w:val="20"/>
        </w:rPr>
        <w:t> </w:t>
      </w:r>
      <w:r>
        <w:rPr>
          <w:sz w:val="20"/>
        </w:rPr>
        <w:t>be</w:t>
      </w:r>
      <w:r>
        <w:rPr>
          <w:spacing w:val="-10"/>
          <w:sz w:val="20"/>
        </w:rPr>
        <w:t> </w:t>
      </w:r>
      <w:r>
        <w:rPr>
          <w:sz w:val="20"/>
        </w:rPr>
        <w:t>consulted</w:t>
      </w:r>
      <w:r>
        <w:rPr>
          <w:spacing w:val="-10"/>
          <w:sz w:val="20"/>
        </w:rPr>
        <w:t> </w:t>
      </w:r>
      <w:r>
        <w:rPr>
          <w:spacing w:val="-3"/>
          <w:sz w:val="20"/>
        </w:rPr>
        <w:t>by</w:t>
      </w:r>
      <w:r>
        <w:rPr>
          <w:spacing w:val="-10"/>
          <w:sz w:val="20"/>
        </w:rPr>
        <w:t> </w:t>
      </w:r>
      <w:r>
        <w:rPr>
          <w:sz w:val="20"/>
        </w:rPr>
        <w:t>the</w:t>
      </w:r>
      <w:r>
        <w:rPr>
          <w:spacing w:val="-10"/>
          <w:sz w:val="20"/>
        </w:rPr>
        <w:t> </w:t>
      </w:r>
      <w:r>
        <w:rPr>
          <w:sz w:val="20"/>
        </w:rPr>
        <w:t>courts</w:t>
      </w:r>
      <w:r>
        <w:rPr>
          <w:spacing w:val="-10"/>
          <w:sz w:val="20"/>
        </w:rPr>
        <w:t> </w:t>
      </w:r>
      <w:r>
        <w:rPr>
          <w:sz w:val="20"/>
        </w:rPr>
        <w:t>and</w:t>
      </w:r>
      <w:r>
        <w:rPr>
          <w:spacing w:val="-10"/>
          <w:sz w:val="20"/>
        </w:rPr>
        <w:t> </w:t>
      </w:r>
      <w:r>
        <w:rPr>
          <w:sz w:val="20"/>
        </w:rPr>
        <w:t>Juries</w:t>
      </w:r>
      <w:r>
        <w:rPr>
          <w:spacing w:val="-10"/>
          <w:sz w:val="20"/>
        </w:rPr>
        <w:t> </w:t>
      </w:r>
      <w:r>
        <w:rPr>
          <w:sz w:val="20"/>
        </w:rPr>
        <w:t>Victoria</w:t>
      </w:r>
      <w:r>
        <w:rPr>
          <w:spacing w:val="-10"/>
          <w:sz w:val="20"/>
        </w:rPr>
        <w:t> </w:t>
      </w:r>
      <w:r>
        <w:rPr>
          <w:sz w:val="20"/>
        </w:rPr>
        <w:t>when</w:t>
      </w:r>
      <w:r>
        <w:rPr>
          <w:spacing w:val="-10"/>
          <w:sz w:val="20"/>
        </w:rPr>
        <w:t> </w:t>
      </w:r>
      <w:r>
        <w:rPr>
          <w:spacing w:val="-3"/>
          <w:sz w:val="20"/>
        </w:rPr>
        <w:t>developing </w:t>
      </w:r>
      <w:r>
        <w:rPr>
          <w:sz w:val="20"/>
        </w:rPr>
        <w:t>practice</w:t>
      </w:r>
      <w:r>
        <w:rPr>
          <w:spacing w:val="-10"/>
          <w:sz w:val="20"/>
        </w:rPr>
        <w:t> </w:t>
      </w:r>
      <w:r>
        <w:rPr>
          <w:sz w:val="20"/>
        </w:rPr>
        <w:t>standards</w:t>
      </w:r>
      <w:r>
        <w:rPr>
          <w:spacing w:val="-9"/>
          <w:sz w:val="20"/>
        </w:rPr>
        <w:t> </w:t>
      </w:r>
      <w:r>
        <w:rPr>
          <w:sz w:val="20"/>
        </w:rPr>
        <w:t>and</w:t>
      </w:r>
      <w:r>
        <w:rPr>
          <w:spacing w:val="-10"/>
          <w:sz w:val="20"/>
        </w:rPr>
        <w:t> </w:t>
      </w:r>
      <w:r>
        <w:rPr>
          <w:sz w:val="20"/>
        </w:rPr>
        <w:t>training</w:t>
      </w:r>
      <w:r>
        <w:rPr>
          <w:spacing w:val="-9"/>
          <w:sz w:val="20"/>
        </w:rPr>
        <w:t> </w:t>
      </w:r>
      <w:r>
        <w:rPr>
          <w:sz w:val="20"/>
        </w:rPr>
        <w:t>material</w:t>
      </w:r>
      <w:r>
        <w:rPr>
          <w:spacing w:val="-10"/>
          <w:sz w:val="20"/>
        </w:rPr>
        <w:t> </w:t>
      </w:r>
      <w:r>
        <w:rPr>
          <w:sz w:val="20"/>
        </w:rPr>
        <w:t>for</w:t>
      </w:r>
      <w:r>
        <w:rPr>
          <w:spacing w:val="-9"/>
          <w:sz w:val="20"/>
        </w:rPr>
        <w:t> </w:t>
      </w:r>
      <w:r>
        <w:rPr>
          <w:sz w:val="20"/>
        </w:rPr>
        <w:t>Auslan</w:t>
      </w:r>
      <w:r>
        <w:rPr>
          <w:spacing w:val="-9"/>
          <w:sz w:val="20"/>
        </w:rPr>
        <w:t> </w:t>
      </w:r>
      <w:r>
        <w:rPr>
          <w:spacing w:val="-3"/>
          <w:sz w:val="20"/>
        </w:rPr>
        <w:t>interpreters</w:t>
      </w:r>
      <w:r>
        <w:rPr>
          <w:spacing w:val="-10"/>
          <w:sz w:val="20"/>
        </w:rPr>
        <w:t> </w:t>
      </w:r>
      <w:r>
        <w:rPr>
          <w:sz w:val="20"/>
        </w:rPr>
        <w:t>working</w:t>
      </w:r>
      <w:r>
        <w:rPr>
          <w:spacing w:val="-9"/>
          <w:sz w:val="20"/>
        </w:rPr>
        <w:t> </w:t>
      </w:r>
      <w:r>
        <w:rPr>
          <w:sz w:val="20"/>
        </w:rPr>
        <w:t>with</w:t>
      </w:r>
      <w:r>
        <w:rPr>
          <w:spacing w:val="-10"/>
          <w:sz w:val="20"/>
        </w:rPr>
        <w:t> </w:t>
      </w:r>
      <w:r>
        <w:rPr>
          <w:sz w:val="20"/>
        </w:rPr>
        <w:t>jurors.</w:t>
      </w:r>
    </w:p>
    <w:p>
      <w:pPr>
        <w:pStyle w:val="ListParagraph"/>
        <w:numPr>
          <w:ilvl w:val="1"/>
          <w:numId w:val="12"/>
        </w:numPr>
        <w:tabs>
          <w:tab w:pos="1761" w:val="left" w:leader="none"/>
          <w:tab w:pos="1762" w:val="left" w:leader="none"/>
        </w:tabs>
        <w:spacing w:line="206" w:lineRule="auto" w:before="124" w:after="0"/>
        <w:ind w:left="1761" w:right="1775" w:hanging="794"/>
        <w:jc w:val="left"/>
        <w:rPr>
          <w:sz w:val="11"/>
        </w:rPr>
      </w:pPr>
      <w:r>
        <w:rPr>
          <w:sz w:val="20"/>
        </w:rPr>
        <w:t>Professional</w:t>
      </w:r>
      <w:r>
        <w:rPr>
          <w:spacing w:val="-10"/>
          <w:sz w:val="20"/>
        </w:rPr>
        <w:t> </w:t>
      </w:r>
      <w:r>
        <w:rPr>
          <w:spacing w:val="-3"/>
          <w:sz w:val="20"/>
        </w:rPr>
        <w:t>development</w:t>
      </w:r>
      <w:r>
        <w:rPr>
          <w:spacing w:val="-9"/>
          <w:sz w:val="20"/>
        </w:rPr>
        <w:t> </w:t>
      </w:r>
      <w:r>
        <w:rPr>
          <w:sz w:val="20"/>
        </w:rPr>
        <w:t>training</w:t>
      </w:r>
      <w:r>
        <w:rPr>
          <w:spacing w:val="-9"/>
          <w:sz w:val="20"/>
        </w:rPr>
        <w:t> </w:t>
      </w:r>
      <w:r>
        <w:rPr>
          <w:sz w:val="20"/>
        </w:rPr>
        <w:t>on</w:t>
      </w:r>
      <w:r>
        <w:rPr>
          <w:spacing w:val="-9"/>
          <w:sz w:val="20"/>
        </w:rPr>
        <w:t> </w:t>
      </w:r>
      <w:r>
        <w:rPr>
          <w:sz w:val="20"/>
        </w:rPr>
        <w:t>the</w:t>
      </w:r>
      <w:r>
        <w:rPr>
          <w:spacing w:val="-10"/>
          <w:sz w:val="20"/>
        </w:rPr>
        <w:t> </w:t>
      </w:r>
      <w:r>
        <w:rPr>
          <w:sz w:val="20"/>
        </w:rPr>
        <w:t>RNS</w:t>
      </w:r>
      <w:r>
        <w:rPr>
          <w:spacing w:val="-9"/>
          <w:sz w:val="20"/>
        </w:rPr>
        <w:t> </w:t>
      </w:r>
      <w:r>
        <w:rPr>
          <w:sz w:val="20"/>
        </w:rPr>
        <w:t>should</w:t>
      </w:r>
      <w:r>
        <w:rPr>
          <w:spacing w:val="-9"/>
          <w:sz w:val="20"/>
        </w:rPr>
        <w:t> </w:t>
      </w:r>
      <w:r>
        <w:rPr>
          <w:sz w:val="20"/>
        </w:rPr>
        <w:t>be</w:t>
      </w:r>
      <w:r>
        <w:rPr>
          <w:spacing w:val="-9"/>
          <w:sz w:val="20"/>
        </w:rPr>
        <w:t> </w:t>
      </w:r>
      <w:r>
        <w:rPr>
          <w:spacing w:val="-3"/>
          <w:sz w:val="20"/>
        </w:rPr>
        <w:t>provided</w:t>
      </w:r>
      <w:r>
        <w:rPr>
          <w:spacing w:val="-10"/>
          <w:sz w:val="20"/>
        </w:rPr>
        <w:t> </w:t>
      </w:r>
      <w:r>
        <w:rPr>
          <w:spacing w:val="-3"/>
          <w:sz w:val="20"/>
        </w:rPr>
        <w:t>by</w:t>
      </w:r>
      <w:r>
        <w:rPr>
          <w:spacing w:val="-9"/>
          <w:sz w:val="20"/>
        </w:rPr>
        <w:t> </w:t>
      </w:r>
      <w:r>
        <w:rPr>
          <w:sz w:val="20"/>
        </w:rPr>
        <w:t>the</w:t>
      </w:r>
      <w:r>
        <w:rPr>
          <w:spacing w:val="-9"/>
          <w:sz w:val="20"/>
        </w:rPr>
        <w:t> </w:t>
      </w:r>
      <w:r>
        <w:rPr>
          <w:sz w:val="20"/>
        </w:rPr>
        <w:t>Judicial College</w:t>
      </w:r>
      <w:r>
        <w:rPr>
          <w:spacing w:val="-10"/>
          <w:sz w:val="20"/>
        </w:rPr>
        <w:t> </w:t>
      </w:r>
      <w:r>
        <w:rPr>
          <w:sz w:val="20"/>
        </w:rPr>
        <w:t>of</w:t>
      </w:r>
      <w:r>
        <w:rPr>
          <w:spacing w:val="-9"/>
          <w:sz w:val="20"/>
        </w:rPr>
        <w:t> </w:t>
      </w:r>
      <w:r>
        <w:rPr>
          <w:sz w:val="20"/>
        </w:rPr>
        <w:t>Victoria</w:t>
      </w:r>
      <w:r>
        <w:rPr>
          <w:spacing w:val="-9"/>
          <w:sz w:val="20"/>
        </w:rPr>
        <w:t> </w:t>
      </w:r>
      <w:r>
        <w:rPr>
          <w:sz w:val="20"/>
        </w:rPr>
        <w:t>to</w:t>
      </w:r>
      <w:r>
        <w:rPr>
          <w:spacing w:val="-10"/>
          <w:sz w:val="20"/>
        </w:rPr>
        <w:t> </w:t>
      </w:r>
      <w:r>
        <w:rPr>
          <w:sz w:val="20"/>
        </w:rPr>
        <w:t>encourage</w:t>
      </w:r>
      <w:r>
        <w:rPr>
          <w:spacing w:val="-9"/>
          <w:sz w:val="20"/>
        </w:rPr>
        <w:t> </w:t>
      </w:r>
      <w:r>
        <w:rPr>
          <w:sz w:val="20"/>
        </w:rPr>
        <w:t>judges</w:t>
      </w:r>
      <w:r>
        <w:rPr>
          <w:spacing w:val="-9"/>
          <w:sz w:val="20"/>
        </w:rPr>
        <w:t> </w:t>
      </w:r>
      <w:r>
        <w:rPr>
          <w:sz w:val="20"/>
        </w:rPr>
        <w:t>to</w:t>
      </w:r>
      <w:r>
        <w:rPr>
          <w:spacing w:val="-9"/>
          <w:sz w:val="20"/>
        </w:rPr>
        <w:t> </w:t>
      </w:r>
      <w:r>
        <w:rPr>
          <w:sz w:val="20"/>
        </w:rPr>
        <w:t>be</w:t>
      </w:r>
      <w:r>
        <w:rPr>
          <w:spacing w:val="-10"/>
          <w:sz w:val="20"/>
        </w:rPr>
        <w:t> </w:t>
      </w:r>
      <w:r>
        <w:rPr>
          <w:sz w:val="20"/>
        </w:rPr>
        <w:t>familiar</w:t>
      </w:r>
      <w:r>
        <w:rPr>
          <w:spacing w:val="-9"/>
          <w:sz w:val="20"/>
        </w:rPr>
        <w:t> </w:t>
      </w:r>
      <w:r>
        <w:rPr>
          <w:sz w:val="20"/>
        </w:rPr>
        <w:t>with</w:t>
      </w:r>
      <w:r>
        <w:rPr>
          <w:spacing w:val="-9"/>
          <w:sz w:val="20"/>
        </w:rPr>
        <w:t> </w:t>
      </w:r>
      <w:r>
        <w:rPr>
          <w:sz w:val="20"/>
        </w:rPr>
        <w:t>them</w:t>
      </w:r>
      <w:r>
        <w:rPr>
          <w:spacing w:val="-10"/>
          <w:sz w:val="20"/>
        </w:rPr>
        <w:t> </w:t>
      </w:r>
      <w:r>
        <w:rPr>
          <w:sz w:val="20"/>
        </w:rPr>
        <w:t>and</w:t>
      </w:r>
      <w:r>
        <w:rPr>
          <w:spacing w:val="-9"/>
          <w:sz w:val="20"/>
        </w:rPr>
        <w:t> </w:t>
      </w:r>
      <w:r>
        <w:rPr>
          <w:sz w:val="20"/>
        </w:rPr>
        <w:t>use</w:t>
      </w:r>
      <w:r>
        <w:rPr>
          <w:spacing w:val="-9"/>
          <w:sz w:val="20"/>
        </w:rPr>
        <w:t> </w:t>
      </w:r>
      <w:r>
        <w:rPr>
          <w:sz w:val="20"/>
        </w:rPr>
        <w:t>them.</w:t>
      </w:r>
      <w:r>
        <w:rPr>
          <w:position w:val="7"/>
          <w:sz w:val="11"/>
        </w:rPr>
        <w:t>11</w:t>
      </w:r>
    </w:p>
    <w:p>
      <w:pPr>
        <w:spacing w:before="161"/>
        <w:ind w:left="967" w:right="0" w:firstLine="0"/>
        <w:jc w:val="left"/>
        <w:rPr>
          <w:b/>
          <w:sz w:val="24"/>
        </w:rPr>
      </w:pPr>
      <w:r>
        <w:rPr>
          <w:b/>
          <w:sz w:val="24"/>
        </w:rPr>
        <w:t>Auslan interpreters should work in tandem for jury work</w:t>
      </w:r>
    </w:p>
    <w:p>
      <w:pPr>
        <w:pStyle w:val="ListParagraph"/>
        <w:numPr>
          <w:ilvl w:val="1"/>
          <w:numId w:val="12"/>
        </w:numPr>
        <w:tabs>
          <w:tab w:pos="1761" w:val="left" w:leader="none"/>
          <w:tab w:pos="1762" w:val="left" w:leader="none"/>
        </w:tabs>
        <w:spacing w:line="206" w:lineRule="auto" w:before="127" w:after="0"/>
        <w:ind w:left="1761" w:right="1254" w:hanging="794"/>
        <w:jc w:val="left"/>
        <w:rPr>
          <w:sz w:val="11"/>
        </w:rPr>
      </w:pPr>
      <w:r>
        <w:rPr>
          <w:spacing w:val="-5"/>
          <w:sz w:val="20"/>
        </w:rPr>
        <w:t>Tandem </w:t>
      </w:r>
      <w:r>
        <w:rPr>
          <w:spacing w:val="-3"/>
          <w:sz w:val="20"/>
        </w:rPr>
        <w:t>interpreting </w:t>
      </w:r>
      <w:r>
        <w:rPr>
          <w:spacing w:val="-4"/>
          <w:sz w:val="20"/>
        </w:rPr>
        <w:t>involves </w:t>
      </w:r>
      <w:r>
        <w:rPr>
          <w:spacing w:val="-3"/>
          <w:sz w:val="20"/>
        </w:rPr>
        <w:t>‘interpreters </w:t>
      </w:r>
      <w:r>
        <w:rPr>
          <w:sz w:val="20"/>
        </w:rPr>
        <w:t>working in rotation at agreed intervals in order to </w:t>
      </w:r>
      <w:r>
        <w:rPr>
          <w:spacing w:val="-3"/>
          <w:sz w:val="20"/>
        </w:rPr>
        <w:t>avoid </w:t>
      </w:r>
      <w:r>
        <w:rPr>
          <w:sz w:val="20"/>
        </w:rPr>
        <w:t>fatigue </w:t>
      </w:r>
      <w:r>
        <w:rPr>
          <w:spacing w:val="-4"/>
          <w:sz w:val="20"/>
        </w:rPr>
        <w:t>over </w:t>
      </w:r>
      <w:r>
        <w:rPr>
          <w:sz w:val="20"/>
        </w:rPr>
        <w:t>extended periods of </w:t>
      </w:r>
      <w:r>
        <w:rPr>
          <w:spacing w:val="-3"/>
          <w:sz w:val="20"/>
        </w:rPr>
        <w:t>time’.</w:t>
      </w:r>
      <w:r>
        <w:rPr>
          <w:spacing w:val="-3"/>
          <w:position w:val="7"/>
          <w:sz w:val="11"/>
        </w:rPr>
        <w:t>12 </w:t>
      </w:r>
      <w:r>
        <w:rPr>
          <w:sz w:val="20"/>
        </w:rPr>
        <w:t>Auslan </w:t>
      </w:r>
      <w:r>
        <w:rPr>
          <w:spacing w:val="-3"/>
          <w:sz w:val="20"/>
        </w:rPr>
        <w:t>interpreting </w:t>
      </w:r>
      <w:r>
        <w:rPr>
          <w:sz w:val="20"/>
        </w:rPr>
        <w:t>happens almost</w:t>
      </w:r>
      <w:r>
        <w:rPr>
          <w:spacing w:val="-10"/>
          <w:sz w:val="20"/>
        </w:rPr>
        <w:t> </w:t>
      </w:r>
      <w:r>
        <w:rPr>
          <w:sz w:val="20"/>
        </w:rPr>
        <w:t>simultaneously</w:t>
      </w:r>
      <w:r>
        <w:rPr>
          <w:spacing w:val="-9"/>
          <w:sz w:val="20"/>
        </w:rPr>
        <w:t> </w:t>
      </w:r>
      <w:r>
        <w:rPr>
          <w:sz w:val="20"/>
        </w:rPr>
        <w:t>with</w:t>
      </w:r>
      <w:r>
        <w:rPr>
          <w:spacing w:val="-9"/>
          <w:sz w:val="20"/>
        </w:rPr>
        <w:t> </w:t>
      </w:r>
      <w:r>
        <w:rPr>
          <w:sz w:val="20"/>
        </w:rPr>
        <w:t>that</w:t>
      </w:r>
      <w:r>
        <w:rPr>
          <w:spacing w:val="-9"/>
          <w:sz w:val="20"/>
        </w:rPr>
        <w:t> </w:t>
      </w:r>
      <w:r>
        <w:rPr>
          <w:sz w:val="20"/>
        </w:rPr>
        <w:t>which</w:t>
      </w:r>
      <w:r>
        <w:rPr>
          <w:spacing w:val="-10"/>
          <w:sz w:val="20"/>
        </w:rPr>
        <w:t> </w:t>
      </w:r>
      <w:r>
        <w:rPr>
          <w:sz w:val="20"/>
        </w:rPr>
        <w:t>is</w:t>
      </w:r>
      <w:r>
        <w:rPr>
          <w:spacing w:val="-9"/>
          <w:sz w:val="20"/>
        </w:rPr>
        <w:t> </w:t>
      </w:r>
      <w:r>
        <w:rPr>
          <w:sz w:val="20"/>
        </w:rPr>
        <w:t>spoken.</w:t>
      </w:r>
      <w:r>
        <w:rPr>
          <w:spacing w:val="-9"/>
          <w:sz w:val="20"/>
        </w:rPr>
        <w:t> </w:t>
      </w:r>
      <w:r>
        <w:rPr>
          <w:spacing w:val="-5"/>
          <w:sz w:val="20"/>
        </w:rPr>
        <w:t>Tandem</w:t>
      </w:r>
      <w:r>
        <w:rPr>
          <w:spacing w:val="-9"/>
          <w:sz w:val="20"/>
        </w:rPr>
        <w:t> </w:t>
      </w:r>
      <w:r>
        <w:rPr>
          <w:spacing w:val="-3"/>
          <w:sz w:val="20"/>
        </w:rPr>
        <w:t>interpreting</w:t>
      </w:r>
      <w:r>
        <w:rPr>
          <w:spacing w:val="-9"/>
          <w:sz w:val="20"/>
        </w:rPr>
        <w:t> </w:t>
      </w:r>
      <w:r>
        <w:rPr>
          <w:spacing w:val="-3"/>
          <w:sz w:val="20"/>
        </w:rPr>
        <w:t>avoids</w:t>
      </w:r>
      <w:r>
        <w:rPr>
          <w:spacing w:val="-10"/>
          <w:sz w:val="20"/>
        </w:rPr>
        <w:t> </w:t>
      </w:r>
      <w:r>
        <w:rPr>
          <w:sz w:val="20"/>
        </w:rPr>
        <w:t>the</w:t>
      </w:r>
      <w:r>
        <w:rPr>
          <w:spacing w:val="-9"/>
          <w:sz w:val="20"/>
        </w:rPr>
        <w:t> </w:t>
      </w:r>
      <w:r>
        <w:rPr>
          <w:sz w:val="20"/>
        </w:rPr>
        <w:t>risk</w:t>
      </w:r>
      <w:r>
        <w:rPr>
          <w:spacing w:val="-9"/>
          <w:sz w:val="20"/>
        </w:rPr>
        <w:t> </w:t>
      </w:r>
      <w:r>
        <w:rPr>
          <w:sz w:val="20"/>
        </w:rPr>
        <w:t>of occupational</w:t>
      </w:r>
      <w:r>
        <w:rPr>
          <w:spacing w:val="-13"/>
          <w:sz w:val="20"/>
        </w:rPr>
        <w:t> </w:t>
      </w:r>
      <w:r>
        <w:rPr>
          <w:sz w:val="20"/>
        </w:rPr>
        <w:t>injury.</w:t>
      </w:r>
      <w:r>
        <w:rPr>
          <w:position w:val="7"/>
          <w:sz w:val="11"/>
        </w:rPr>
        <w:t>13</w:t>
      </w:r>
      <w:r>
        <w:rPr>
          <w:spacing w:val="11"/>
          <w:position w:val="7"/>
          <w:sz w:val="11"/>
        </w:rPr>
        <w:t> </w:t>
      </w:r>
      <w:r>
        <w:rPr>
          <w:sz w:val="20"/>
        </w:rPr>
        <w:t>This</w:t>
      </w:r>
      <w:r>
        <w:rPr>
          <w:spacing w:val="-13"/>
          <w:sz w:val="20"/>
        </w:rPr>
        <w:t> </w:t>
      </w:r>
      <w:r>
        <w:rPr>
          <w:sz w:val="20"/>
        </w:rPr>
        <w:t>approach</w:t>
      </w:r>
      <w:r>
        <w:rPr>
          <w:spacing w:val="-13"/>
          <w:sz w:val="20"/>
        </w:rPr>
        <w:t> </w:t>
      </w:r>
      <w:r>
        <w:rPr>
          <w:sz w:val="20"/>
        </w:rPr>
        <w:t>is</w:t>
      </w:r>
      <w:r>
        <w:rPr>
          <w:spacing w:val="-12"/>
          <w:sz w:val="20"/>
        </w:rPr>
        <w:t> </w:t>
      </w:r>
      <w:r>
        <w:rPr>
          <w:sz w:val="20"/>
        </w:rPr>
        <w:t>standard</w:t>
      </w:r>
      <w:r>
        <w:rPr>
          <w:spacing w:val="-13"/>
          <w:sz w:val="20"/>
        </w:rPr>
        <w:t> </w:t>
      </w:r>
      <w:r>
        <w:rPr>
          <w:sz w:val="20"/>
        </w:rPr>
        <w:t>practice</w:t>
      </w:r>
      <w:r>
        <w:rPr>
          <w:spacing w:val="-13"/>
          <w:sz w:val="20"/>
        </w:rPr>
        <w:t> </w:t>
      </w:r>
      <w:r>
        <w:rPr>
          <w:sz w:val="20"/>
        </w:rPr>
        <w:t>in</w:t>
      </w:r>
      <w:r>
        <w:rPr>
          <w:spacing w:val="-13"/>
          <w:sz w:val="20"/>
        </w:rPr>
        <w:t> </w:t>
      </w:r>
      <w:r>
        <w:rPr>
          <w:sz w:val="20"/>
        </w:rPr>
        <w:t>international</w:t>
      </w:r>
      <w:r>
        <w:rPr>
          <w:spacing w:val="-13"/>
          <w:sz w:val="20"/>
        </w:rPr>
        <w:t> </w:t>
      </w:r>
      <w:r>
        <w:rPr>
          <w:sz w:val="20"/>
        </w:rPr>
        <w:t>courts,</w:t>
      </w:r>
      <w:r>
        <w:rPr>
          <w:spacing w:val="-13"/>
          <w:sz w:val="20"/>
        </w:rPr>
        <w:t> </w:t>
      </w:r>
      <w:r>
        <w:rPr>
          <w:sz w:val="20"/>
        </w:rPr>
        <w:t>as</w:t>
      </w:r>
      <w:r>
        <w:rPr>
          <w:spacing w:val="-13"/>
          <w:sz w:val="20"/>
        </w:rPr>
        <w:t> </w:t>
      </w:r>
      <w:r>
        <w:rPr>
          <w:sz w:val="20"/>
        </w:rPr>
        <w:t>it</w:t>
      </w:r>
      <w:r>
        <w:rPr>
          <w:spacing w:val="-13"/>
          <w:sz w:val="20"/>
        </w:rPr>
        <w:t> </w:t>
      </w:r>
      <w:r>
        <w:rPr>
          <w:sz w:val="20"/>
        </w:rPr>
        <w:t>has been for Auslan </w:t>
      </w:r>
      <w:r>
        <w:rPr>
          <w:spacing w:val="-3"/>
          <w:sz w:val="20"/>
        </w:rPr>
        <w:t>interpreters </w:t>
      </w:r>
      <w:r>
        <w:rPr>
          <w:sz w:val="20"/>
        </w:rPr>
        <w:t>in Australia for </w:t>
      </w:r>
      <w:r>
        <w:rPr>
          <w:spacing w:val="-3"/>
          <w:sz w:val="20"/>
        </w:rPr>
        <w:t>many</w:t>
      </w:r>
      <w:r>
        <w:rPr>
          <w:spacing w:val="-31"/>
          <w:sz w:val="20"/>
        </w:rPr>
        <w:t> </w:t>
      </w:r>
      <w:r>
        <w:rPr>
          <w:sz w:val="20"/>
        </w:rPr>
        <w:t>years.</w:t>
      </w:r>
      <w:r>
        <w:rPr>
          <w:position w:val="7"/>
          <w:sz w:val="11"/>
        </w:rPr>
        <w:t>14</w:t>
      </w:r>
    </w:p>
    <w:p>
      <w:pPr>
        <w:pStyle w:val="ListParagraph"/>
        <w:numPr>
          <w:ilvl w:val="1"/>
          <w:numId w:val="12"/>
        </w:numPr>
        <w:tabs>
          <w:tab w:pos="1761" w:val="left" w:leader="none"/>
          <w:tab w:pos="1762" w:val="left" w:leader="none"/>
        </w:tabs>
        <w:spacing w:line="240" w:lineRule="auto" w:before="94" w:after="0"/>
        <w:ind w:left="1761" w:right="0" w:hanging="794"/>
        <w:jc w:val="left"/>
        <w:rPr>
          <w:sz w:val="20"/>
        </w:rPr>
      </w:pPr>
      <w:r>
        <w:rPr>
          <w:sz w:val="20"/>
        </w:rPr>
        <w:t>The</w:t>
      </w:r>
      <w:r>
        <w:rPr>
          <w:spacing w:val="-6"/>
          <w:sz w:val="20"/>
        </w:rPr>
        <w:t> </w:t>
      </w:r>
      <w:r>
        <w:rPr>
          <w:sz w:val="20"/>
        </w:rPr>
        <w:t>RNS</w:t>
      </w:r>
      <w:r>
        <w:rPr>
          <w:spacing w:val="-5"/>
          <w:sz w:val="20"/>
        </w:rPr>
        <w:t> </w:t>
      </w:r>
      <w:r>
        <w:rPr>
          <w:sz w:val="20"/>
        </w:rPr>
        <w:t>explain</w:t>
      </w:r>
      <w:r>
        <w:rPr>
          <w:spacing w:val="-5"/>
          <w:sz w:val="20"/>
        </w:rPr>
        <w:t> </w:t>
      </w:r>
      <w:r>
        <w:rPr>
          <w:sz w:val="20"/>
        </w:rPr>
        <w:t>the</w:t>
      </w:r>
      <w:r>
        <w:rPr>
          <w:spacing w:val="-5"/>
          <w:sz w:val="20"/>
        </w:rPr>
        <w:t> </w:t>
      </w:r>
      <w:r>
        <w:rPr>
          <w:sz w:val="20"/>
        </w:rPr>
        <w:t>benefits</w:t>
      </w:r>
      <w:r>
        <w:rPr>
          <w:spacing w:val="-5"/>
          <w:sz w:val="20"/>
        </w:rPr>
        <w:t> </w:t>
      </w:r>
      <w:r>
        <w:rPr>
          <w:sz w:val="20"/>
        </w:rPr>
        <w:t>of</w:t>
      </w:r>
      <w:r>
        <w:rPr>
          <w:spacing w:val="-5"/>
          <w:sz w:val="20"/>
        </w:rPr>
        <w:t> </w:t>
      </w:r>
      <w:r>
        <w:rPr>
          <w:sz w:val="20"/>
        </w:rPr>
        <w:t>working</w:t>
      </w:r>
      <w:r>
        <w:rPr>
          <w:spacing w:val="-5"/>
          <w:sz w:val="20"/>
        </w:rPr>
        <w:t> </w:t>
      </w:r>
      <w:r>
        <w:rPr>
          <w:sz w:val="20"/>
        </w:rPr>
        <w:t>in</w:t>
      </w:r>
      <w:r>
        <w:rPr>
          <w:spacing w:val="-5"/>
          <w:sz w:val="20"/>
        </w:rPr>
        <w:t> </w:t>
      </w:r>
      <w:r>
        <w:rPr>
          <w:sz w:val="20"/>
        </w:rPr>
        <w:t>tandem</w:t>
      </w:r>
      <w:r>
        <w:rPr>
          <w:spacing w:val="-5"/>
          <w:sz w:val="20"/>
        </w:rPr>
        <w:t> </w:t>
      </w:r>
      <w:r>
        <w:rPr>
          <w:sz w:val="20"/>
        </w:rPr>
        <w:t>in</w:t>
      </w:r>
      <w:r>
        <w:rPr>
          <w:spacing w:val="-5"/>
          <w:sz w:val="20"/>
        </w:rPr>
        <w:t> </w:t>
      </w:r>
      <w:r>
        <w:rPr>
          <w:sz w:val="20"/>
        </w:rPr>
        <w:t>a</w:t>
      </w:r>
      <w:r>
        <w:rPr>
          <w:spacing w:val="-5"/>
          <w:sz w:val="20"/>
        </w:rPr>
        <w:t> </w:t>
      </w:r>
      <w:r>
        <w:rPr>
          <w:sz w:val="20"/>
        </w:rPr>
        <w:t>court</w:t>
      </w:r>
      <w:r>
        <w:rPr>
          <w:spacing w:val="-5"/>
          <w:sz w:val="20"/>
        </w:rPr>
        <w:t> </w:t>
      </w:r>
      <w:r>
        <w:rPr>
          <w:sz w:val="20"/>
        </w:rPr>
        <w:t>setting:</w:t>
      </w:r>
    </w:p>
    <w:p>
      <w:pPr>
        <w:pStyle w:val="ListParagraph"/>
        <w:numPr>
          <w:ilvl w:val="0"/>
          <w:numId w:val="100"/>
        </w:numPr>
        <w:tabs>
          <w:tab w:pos="2157" w:val="left" w:leader="none"/>
          <w:tab w:pos="2158" w:val="left" w:leader="none"/>
        </w:tabs>
        <w:spacing w:line="206" w:lineRule="auto" w:before="114" w:after="0"/>
        <w:ind w:left="2157" w:right="1461" w:hanging="396"/>
        <w:jc w:val="left"/>
        <w:rPr>
          <w:sz w:val="20"/>
        </w:rPr>
      </w:pPr>
      <w:r>
        <w:rPr>
          <w:sz w:val="20"/>
        </w:rPr>
        <w:t>Courts</w:t>
      </w:r>
      <w:r>
        <w:rPr>
          <w:spacing w:val="-5"/>
          <w:sz w:val="20"/>
        </w:rPr>
        <w:t> </w:t>
      </w:r>
      <w:r>
        <w:rPr>
          <w:sz w:val="20"/>
        </w:rPr>
        <w:t>can</w:t>
      </w:r>
      <w:r>
        <w:rPr>
          <w:spacing w:val="-4"/>
          <w:sz w:val="20"/>
        </w:rPr>
        <w:t> </w:t>
      </w:r>
      <w:r>
        <w:rPr>
          <w:sz w:val="20"/>
        </w:rPr>
        <w:t>expect</w:t>
      </w:r>
      <w:r>
        <w:rPr>
          <w:spacing w:val="-5"/>
          <w:sz w:val="20"/>
        </w:rPr>
        <w:t> </w:t>
      </w:r>
      <w:r>
        <w:rPr>
          <w:sz w:val="20"/>
        </w:rPr>
        <w:t>to</w:t>
      </w:r>
      <w:r>
        <w:rPr>
          <w:spacing w:val="-4"/>
          <w:sz w:val="20"/>
        </w:rPr>
        <w:t> </w:t>
      </w:r>
      <w:r>
        <w:rPr>
          <w:sz w:val="20"/>
        </w:rPr>
        <w:t>at</w:t>
      </w:r>
      <w:r>
        <w:rPr>
          <w:spacing w:val="-5"/>
          <w:sz w:val="20"/>
        </w:rPr>
        <w:t> </w:t>
      </w:r>
      <w:r>
        <w:rPr>
          <w:sz w:val="20"/>
        </w:rPr>
        <w:t>least</w:t>
      </w:r>
      <w:r>
        <w:rPr>
          <w:spacing w:val="-4"/>
          <w:sz w:val="20"/>
        </w:rPr>
        <w:t> </w:t>
      </w:r>
      <w:r>
        <w:rPr>
          <w:sz w:val="20"/>
        </w:rPr>
        <w:t>double</w:t>
      </w:r>
      <w:r>
        <w:rPr>
          <w:spacing w:val="-5"/>
          <w:sz w:val="20"/>
        </w:rPr>
        <w:t> </w:t>
      </w:r>
      <w:r>
        <w:rPr>
          <w:sz w:val="20"/>
        </w:rPr>
        <w:t>the</w:t>
      </w:r>
      <w:r>
        <w:rPr>
          <w:spacing w:val="-4"/>
          <w:sz w:val="20"/>
        </w:rPr>
        <w:t> </w:t>
      </w:r>
      <w:r>
        <w:rPr>
          <w:sz w:val="20"/>
        </w:rPr>
        <w:t>speed</w:t>
      </w:r>
      <w:r>
        <w:rPr>
          <w:spacing w:val="-4"/>
          <w:sz w:val="20"/>
        </w:rPr>
        <w:t> </w:t>
      </w:r>
      <w:r>
        <w:rPr>
          <w:sz w:val="20"/>
        </w:rPr>
        <w:t>of</w:t>
      </w:r>
      <w:r>
        <w:rPr>
          <w:spacing w:val="-5"/>
          <w:sz w:val="20"/>
        </w:rPr>
        <w:t> </w:t>
      </w:r>
      <w:r>
        <w:rPr>
          <w:sz w:val="20"/>
        </w:rPr>
        <w:t>proceedings</w:t>
      </w:r>
      <w:r>
        <w:rPr>
          <w:spacing w:val="-4"/>
          <w:sz w:val="20"/>
        </w:rPr>
        <w:t> </w:t>
      </w:r>
      <w:r>
        <w:rPr>
          <w:sz w:val="20"/>
        </w:rPr>
        <w:t>if</w:t>
      </w:r>
      <w:r>
        <w:rPr>
          <w:spacing w:val="-5"/>
          <w:sz w:val="20"/>
        </w:rPr>
        <w:t> </w:t>
      </w:r>
      <w:r>
        <w:rPr>
          <w:sz w:val="20"/>
        </w:rPr>
        <w:t>they</w:t>
      </w:r>
      <w:r>
        <w:rPr>
          <w:spacing w:val="-4"/>
          <w:sz w:val="20"/>
        </w:rPr>
        <w:t> </w:t>
      </w:r>
      <w:r>
        <w:rPr>
          <w:sz w:val="20"/>
        </w:rPr>
        <w:t>employ</w:t>
      </w:r>
      <w:r>
        <w:rPr>
          <w:spacing w:val="-5"/>
          <w:sz w:val="20"/>
        </w:rPr>
        <w:t> </w:t>
      </w:r>
      <w:r>
        <w:rPr>
          <w:sz w:val="20"/>
        </w:rPr>
        <w:t>a team working in</w:t>
      </w:r>
      <w:r>
        <w:rPr>
          <w:spacing w:val="-7"/>
          <w:sz w:val="20"/>
        </w:rPr>
        <w:t> </w:t>
      </w:r>
      <w:r>
        <w:rPr>
          <w:sz w:val="20"/>
        </w:rPr>
        <w:t>tandem.</w:t>
      </w:r>
    </w:p>
    <w:p>
      <w:pPr>
        <w:pStyle w:val="ListParagraph"/>
        <w:numPr>
          <w:ilvl w:val="0"/>
          <w:numId w:val="100"/>
        </w:numPr>
        <w:tabs>
          <w:tab w:pos="2157" w:val="left" w:leader="none"/>
          <w:tab w:pos="2158" w:val="left" w:leader="none"/>
        </w:tabs>
        <w:spacing w:line="259" w:lineRule="exact" w:before="56" w:after="0"/>
        <w:ind w:left="2157" w:right="0" w:hanging="396"/>
        <w:jc w:val="left"/>
        <w:rPr>
          <w:sz w:val="20"/>
        </w:rPr>
      </w:pPr>
      <w:r>
        <w:rPr>
          <w:sz w:val="20"/>
        </w:rPr>
        <w:t>Having two interpreters helping each other and checking on each</w:t>
      </w:r>
      <w:r>
        <w:rPr>
          <w:spacing w:val="-32"/>
          <w:sz w:val="20"/>
        </w:rPr>
        <w:t> </w:t>
      </w:r>
      <w:r>
        <w:rPr>
          <w:sz w:val="20"/>
        </w:rPr>
        <w:t>other’s</w:t>
      </w:r>
    </w:p>
    <w:p>
      <w:pPr>
        <w:pStyle w:val="BodyText"/>
        <w:spacing w:line="259" w:lineRule="exact"/>
        <w:ind w:left="2157"/>
        <w:rPr>
          <w:sz w:val="11"/>
        </w:rPr>
      </w:pPr>
      <w:r>
        <w:rPr/>
        <w:t>performance is also an effective quality assurance mechanism.</w:t>
      </w:r>
      <w:r>
        <w:rPr>
          <w:position w:val="7"/>
          <w:sz w:val="11"/>
        </w:rPr>
        <w:t>15</w:t>
      </w:r>
    </w:p>
    <w:p>
      <w:pPr>
        <w:pStyle w:val="ListParagraph"/>
        <w:numPr>
          <w:ilvl w:val="1"/>
          <w:numId w:val="12"/>
        </w:numPr>
        <w:tabs>
          <w:tab w:pos="1761" w:val="left" w:leader="none"/>
          <w:tab w:pos="1762" w:val="left" w:leader="none"/>
        </w:tabs>
        <w:spacing w:line="206" w:lineRule="auto" w:before="79" w:after="0"/>
        <w:ind w:left="1761" w:right="1338" w:hanging="794"/>
        <w:jc w:val="left"/>
        <w:rPr>
          <w:sz w:val="11"/>
        </w:rPr>
      </w:pPr>
      <w:r>
        <w:rPr>
          <w:sz w:val="20"/>
        </w:rPr>
        <w:t>Juries</w:t>
      </w:r>
      <w:r>
        <w:rPr>
          <w:spacing w:val="-11"/>
          <w:sz w:val="20"/>
        </w:rPr>
        <w:t> </w:t>
      </w:r>
      <w:r>
        <w:rPr>
          <w:sz w:val="20"/>
        </w:rPr>
        <w:t>Victoria</w:t>
      </w:r>
      <w:r>
        <w:rPr>
          <w:spacing w:val="-10"/>
          <w:sz w:val="20"/>
        </w:rPr>
        <w:t> </w:t>
      </w:r>
      <w:r>
        <w:rPr>
          <w:sz w:val="20"/>
        </w:rPr>
        <w:t>should</w:t>
      </w:r>
      <w:r>
        <w:rPr>
          <w:spacing w:val="-11"/>
          <w:sz w:val="20"/>
        </w:rPr>
        <w:t> </w:t>
      </w:r>
      <w:r>
        <w:rPr>
          <w:sz w:val="20"/>
        </w:rPr>
        <w:t>consider</w:t>
      </w:r>
      <w:r>
        <w:rPr>
          <w:spacing w:val="-10"/>
          <w:sz w:val="20"/>
        </w:rPr>
        <w:t> </w:t>
      </w:r>
      <w:r>
        <w:rPr>
          <w:sz w:val="20"/>
        </w:rPr>
        <w:t>whether</w:t>
      </w:r>
      <w:r>
        <w:rPr>
          <w:spacing w:val="-11"/>
          <w:sz w:val="20"/>
        </w:rPr>
        <w:t> </w:t>
      </w:r>
      <w:r>
        <w:rPr>
          <w:sz w:val="20"/>
        </w:rPr>
        <w:t>a</w:t>
      </w:r>
      <w:r>
        <w:rPr>
          <w:spacing w:val="-10"/>
          <w:sz w:val="20"/>
        </w:rPr>
        <w:t> </w:t>
      </w:r>
      <w:r>
        <w:rPr>
          <w:sz w:val="20"/>
        </w:rPr>
        <w:t>third</w:t>
      </w:r>
      <w:r>
        <w:rPr>
          <w:spacing w:val="-11"/>
          <w:sz w:val="20"/>
        </w:rPr>
        <w:t> </w:t>
      </w:r>
      <w:r>
        <w:rPr>
          <w:sz w:val="20"/>
        </w:rPr>
        <w:t>Auslan</w:t>
      </w:r>
      <w:r>
        <w:rPr>
          <w:spacing w:val="-10"/>
          <w:sz w:val="20"/>
        </w:rPr>
        <w:t> </w:t>
      </w:r>
      <w:r>
        <w:rPr>
          <w:spacing w:val="-3"/>
          <w:sz w:val="20"/>
        </w:rPr>
        <w:t>interpreter</w:t>
      </w:r>
      <w:r>
        <w:rPr>
          <w:spacing w:val="-10"/>
          <w:sz w:val="20"/>
        </w:rPr>
        <w:t> </w:t>
      </w:r>
      <w:r>
        <w:rPr>
          <w:sz w:val="20"/>
        </w:rPr>
        <w:t>might</w:t>
      </w:r>
      <w:r>
        <w:rPr>
          <w:spacing w:val="-11"/>
          <w:sz w:val="20"/>
        </w:rPr>
        <w:t> </w:t>
      </w:r>
      <w:r>
        <w:rPr>
          <w:sz w:val="20"/>
        </w:rPr>
        <w:t>be</w:t>
      </w:r>
      <w:r>
        <w:rPr>
          <w:spacing w:val="-10"/>
          <w:sz w:val="20"/>
        </w:rPr>
        <w:t> </w:t>
      </w:r>
      <w:r>
        <w:rPr>
          <w:sz w:val="20"/>
        </w:rPr>
        <w:t>needed</w:t>
      </w:r>
      <w:r>
        <w:rPr>
          <w:spacing w:val="-11"/>
          <w:sz w:val="20"/>
        </w:rPr>
        <w:t> </w:t>
      </w:r>
      <w:r>
        <w:rPr>
          <w:sz w:val="20"/>
        </w:rPr>
        <w:t>for a</w:t>
      </w:r>
      <w:r>
        <w:rPr>
          <w:spacing w:val="-8"/>
          <w:sz w:val="20"/>
        </w:rPr>
        <w:t> </w:t>
      </w:r>
      <w:r>
        <w:rPr>
          <w:sz w:val="20"/>
        </w:rPr>
        <w:t>longer</w:t>
      </w:r>
      <w:r>
        <w:rPr>
          <w:spacing w:val="-7"/>
          <w:sz w:val="20"/>
        </w:rPr>
        <w:t> </w:t>
      </w:r>
      <w:r>
        <w:rPr>
          <w:sz w:val="20"/>
        </w:rPr>
        <w:t>trial</w:t>
      </w:r>
      <w:r>
        <w:rPr>
          <w:spacing w:val="-8"/>
          <w:sz w:val="20"/>
        </w:rPr>
        <w:t> </w:t>
      </w:r>
      <w:r>
        <w:rPr>
          <w:sz w:val="20"/>
        </w:rPr>
        <w:t>to</w:t>
      </w:r>
      <w:r>
        <w:rPr>
          <w:spacing w:val="-7"/>
          <w:sz w:val="20"/>
        </w:rPr>
        <w:t> </w:t>
      </w:r>
      <w:r>
        <w:rPr>
          <w:spacing w:val="-3"/>
          <w:sz w:val="20"/>
        </w:rPr>
        <w:t>avoid</w:t>
      </w:r>
      <w:r>
        <w:rPr>
          <w:spacing w:val="-7"/>
          <w:sz w:val="20"/>
        </w:rPr>
        <w:t> </w:t>
      </w:r>
      <w:r>
        <w:rPr>
          <w:sz w:val="20"/>
        </w:rPr>
        <w:t>fatigue</w:t>
      </w:r>
      <w:r>
        <w:rPr>
          <w:spacing w:val="-8"/>
          <w:sz w:val="20"/>
        </w:rPr>
        <w:t> </w:t>
      </w:r>
      <w:r>
        <w:rPr>
          <w:sz w:val="20"/>
        </w:rPr>
        <w:t>or</w:t>
      </w:r>
      <w:r>
        <w:rPr>
          <w:spacing w:val="-7"/>
          <w:sz w:val="20"/>
        </w:rPr>
        <w:t> </w:t>
      </w:r>
      <w:r>
        <w:rPr>
          <w:sz w:val="20"/>
        </w:rPr>
        <w:t>to</w:t>
      </w:r>
      <w:r>
        <w:rPr>
          <w:spacing w:val="-7"/>
          <w:sz w:val="20"/>
        </w:rPr>
        <w:t> </w:t>
      </w:r>
      <w:r>
        <w:rPr>
          <w:sz w:val="20"/>
        </w:rPr>
        <w:t>assist</w:t>
      </w:r>
      <w:r>
        <w:rPr>
          <w:spacing w:val="-8"/>
          <w:sz w:val="20"/>
        </w:rPr>
        <w:t> </w:t>
      </w:r>
      <w:r>
        <w:rPr>
          <w:sz w:val="20"/>
        </w:rPr>
        <w:t>a</w:t>
      </w:r>
      <w:r>
        <w:rPr>
          <w:spacing w:val="-7"/>
          <w:sz w:val="20"/>
        </w:rPr>
        <w:t> </w:t>
      </w:r>
      <w:r>
        <w:rPr>
          <w:sz w:val="20"/>
        </w:rPr>
        <w:t>juror</w:t>
      </w:r>
      <w:r>
        <w:rPr>
          <w:spacing w:val="-7"/>
          <w:sz w:val="20"/>
        </w:rPr>
        <w:t> </w:t>
      </w:r>
      <w:r>
        <w:rPr>
          <w:sz w:val="20"/>
        </w:rPr>
        <w:t>during</w:t>
      </w:r>
      <w:r>
        <w:rPr>
          <w:spacing w:val="-8"/>
          <w:sz w:val="20"/>
        </w:rPr>
        <w:t> </w:t>
      </w:r>
      <w:r>
        <w:rPr>
          <w:sz w:val="20"/>
        </w:rPr>
        <w:t>breaks</w:t>
      </w:r>
      <w:r>
        <w:rPr>
          <w:spacing w:val="-7"/>
          <w:sz w:val="20"/>
        </w:rPr>
        <w:t> </w:t>
      </w:r>
      <w:r>
        <w:rPr>
          <w:sz w:val="20"/>
        </w:rPr>
        <w:t>(discussed</w:t>
      </w:r>
      <w:r>
        <w:rPr>
          <w:spacing w:val="-8"/>
          <w:sz w:val="20"/>
        </w:rPr>
        <w:t> </w:t>
      </w:r>
      <w:r>
        <w:rPr>
          <w:spacing w:val="-3"/>
          <w:sz w:val="20"/>
        </w:rPr>
        <w:t>below).</w:t>
      </w:r>
      <w:r>
        <w:rPr>
          <w:spacing w:val="-3"/>
          <w:position w:val="7"/>
          <w:sz w:val="11"/>
        </w:rPr>
        <w:t>16</w:t>
      </w: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1"/>
        </w:rPr>
      </w:pPr>
      <w:r>
        <w:rPr/>
        <w:pict>
          <v:line style="position:absolute;mso-position-horizontal-relative:page;mso-position-vertical-relative:paragraph;z-index:8360;mso-wrap-distance-left:0;mso-wrap-distance-right:0" from="79.370102pt,17.285419pt" to="515.905102pt,17.285419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18"/>
        </w:rPr>
      </w:pPr>
    </w:p>
    <w:p>
      <w:pPr>
        <w:spacing w:before="0"/>
        <w:ind w:left="100" w:right="0" w:firstLine="0"/>
        <w:jc w:val="left"/>
        <w:rPr>
          <w:b/>
          <w:sz w:val="24"/>
        </w:rPr>
      </w:pPr>
      <w:r>
        <w:rPr>
          <w:b/>
          <w:color w:val="37617A"/>
          <w:sz w:val="24"/>
        </w:rPr>
        <w:t>156</w:t>
      </w:r>
    </w:p>
    <w:p>
      <w:pPr>
        <w:pStyle w:val="ListParagraph"/>
        <w:numPr>
          <w:ilvl w:val="0"/>
          <w:numId w:val="99"/>
        </w:numPr>
        <w:tabs>
          <w:tab w:pos="893" w:val="left" w:leader="none"/>
          <w:tab w:pos="894" w:val="left" w:leader="none"/>
        </w:tabs>
        <w:spacing w:line="170" w:lineRule="exact" w:before="21" w:after="0"/>
        <w:ind w:left="893" w:right="0" w:hanging="793"/>
        <w:jc w:val="left"/>
        <w:rPr>
          <w:i/>
          <w:sz w:val="13"/>
        </w:rPr>
      </w:pPr>
      <w:r>
        <w:rPr>
          <w:spacing w:val="3"/>
          <w:w w:val="101"/>
          <w:sz w:val="13"/>
        </w:rPr>
        <w:br w:type="column"/>
      </w:r>
      <w:r>
        <w:rPr>
          <w:sz w:val="13"/>
        </w:rPr>
        <w:t>Judicial Council on Cultural Diversity, </w:t>
      </w:r>
      <w:r>
        <w:rPr>
          <w:i/>
          <w:spacing w:val="2"/>
          <w:sz w:val="13"/>
        </w:rPr>
        <w:t>Recommended </w:t>
      </w:r>
      <w:r>
        <w:rPr>
          <w:i/>
          <w:sz w:val="13"/>
        </w:rPr>
        <w:t>National Standards for Working with Interpreters in </w:t>
      </w:r>
      <w:r>
        <w:rPr>
          <w:i/>
          <w:spacing w:val="2"/>
          <w:sz w:val="13"/>
        </w:rPr>
        <w:t>Courts </w:t>
      </w:r>
      <w:r>
        <w:rPr>
          <w:i/>
          <w:sz w:val="13"/>
        </w:rPr>
        <w:t>and</w:t>
      </w:r>
      <w:r>
        <w:rPr>
          <w:i/>
          <w:spacing w:val="19"/>
          <w:sz w:val="13"/>
        </w:rPr>
        <w:t> </w:t>
      </w:r>
      <w:r>
        <w:rPr>
          <w:i/>
          <w:sz w:val="13"/>
        </w:rPr>
        <w:t>Tribunals</w:t>
      </w:r>
    </w:p>
    <w:p>
      <w:pPr>
        <w:spacing w:line="160" w:lineRule="exact" w:before="0"/>
        <w:ind w:left="893" w:right="0" w:firstLine="0"/>
        <w:jc w:val="left"/>
        <w:rPr>
          <w:sz w:val="13"/>
        </w:rPr>
      </w:pPr>
      <w:r>
        <w:rPr>
          <w:sz w:val="13"/>
        </w:rPr>
        <w:t>(Report, Second Edition, March 2022).</w:t>
      </w:r>
    </w:p>
    <w:p>
      <w:pPr>
        <w:pStyle w:val="ListParagraph"/>
        <w:numPr>
          <w:ilvl w:val="0"/>
          <w:numId w:val="99"/>
        </w:numPr>
        <w:tabs>
          <w:tab w:pos="893" w:val="left" w:leader="none"/>
          <w:tab w:pos="894" w:val="left" w:leader="none"/>
        </w:tabs>
        <w:spacing w:line="213" w:lineRule="auto" w:before="7" w:after="0"/>
        <w:ind w:left="893" w:right="1315" w:hanging="793"/>
        <w:jc w:val="left"/>
        <w:rPr>
          <w:sz w:val="13"/>
        </w:rPr>
      </w:pPr>
      <w:r>
        <w:rPr>
          <w:sz w:val="13"/>
        </w:rPr>
        <w:t>The Judicial College of Victoria has information about the RNS on </w:t>
      </w:r>
      <w:r>
        <w:rPr>
          <w:spacing w:val="2"/>
          <w:sz w:val="13"/>
        </w:rPr>
        <w:t>its </w:t>
      </w:r>
      <w:r>
        <w:rPr>
          <w:sz w:val="13"/>
        </w:rPr>
        <w:t>website: </w:t>
      </w:r>
      <w:r>
        <w:rPr>
          <w:spacing w:val="2"/>
          <w:sz w:val="13"/>
        </w:rPr>
        <w:t>‘Recommended </w:t>
      </w:r>
      <w:r>
        <w:rPr>
          <w:sz w:val="13"/>
        </w:rPr>
        <w:t>National Standards for Working with Interpreters in </w:t>
      </w:r>
      <w:r>
        <w:rPr>
          <w:spacing w:val="2"/>
          <w:sz w:val="13"/>
        </w:rPr>
        <w:t>Courts </w:t>
      </w:r>
      <w:r>
        <w:rPr>
          <w:sz w:val="13"/>
        </w:rPr>
        <w:t>and Tribunals’, </w:t>
      </w:r>
      <w:r>
        <w:rPr>
          <w:i/>
          <w:sz w:val="13"/>
        </w:rPr>
        <w:t>Judicial College of Victoria </w:t>
      </w:r>
      <w:r>
        <w:rPr>
          <w:sz w:val="13"/>
        </w:rPr>
        <w:t>(Web Page, 28 April 2022) &lt;</w:t>
      </w:r>
      <w:hyperlink r:id="rId218">
        <w:r>
          <w:rPr>
            <w:sz w:val="13"/>
          </w:rPr>
          <w:t>https://www.judicialcollege.vic.</w:t>
        </w:r>
      </w:hyperlink>
      <w:hyperlink r:id="rId218">
        <w:r>
          <w:rPr>
            <w:sz w:val="13"/>
          </w:rPr>
          <w:t> edu.au/news/recommended-national-standards-working-interpreters-courts-and-tribunals</w:t>
        </w:r>
      </w:hyperlink>
      <w:r>
        <w:rPr>
          <w:sz w:val="13"/>
        </w:rPr>
        <w:t>&gt;.</w:t>
      </w:r>
    </w:p>
    <w:p>
      <w:pPr>
        <w:pStyle w:val="ListParagraph"/>
        <w:numPr>
          <w:ilvl w:val="0"/>
          <w:numId w:val="99"/>
        </w:numPr>
        <w:tabs>
          <w:tab w:pos="893" w:val="left" w:leader="none"/>
          <w:tab w:pos="894" w:val="left" w:leader="none"/>
        </w:tabs>
        <w:spacing w:line="152" w:lineRule="exact" w:before="0" w:after="0"/>
        <w:ind w:left="893" w:right="0" w:hanging="793"/>
        <w:jc w:val="left"/>
        <w:rPr>
          <w:i/>
          <w:sz w:val="13"/>
        </w:rPr>
      </w:pPr>
      <w:r>
        <w:rPr>
          <w:sz w:val="13"/>
        </w:rPr>
        <w:t>Judicial Council on Cultural Diversity, </w:t>
      </w:r>
      <w:r>
        <w:rPr>
          <w:i/>
          <w:spacing w:val="2"/>
          <w:sz w:val="13"/>
        </w:rPr>
        <w:t>Recommended </w:t>
      </w:r>
      <w:r>
        <w:rPr>
          <w:i/>
          <w:sz w:val="13"/>
        </w:rPr>
        <w:t>National Standards for Working with Interpreters in </w:t>
      </w:r>
      <w:r>
        <w:rPr>
          <w:i/>
          <w:spacing w:val="2"/>
          <w:sz w:val="13"/>
        </w:rPr>
        <w:t>Courts </w:t>
      </w:r>
      <w:r>
        <w:rPr>
          <w:i/>
          <w:sz w:val="13"/>
        </w:rPr>
        <w:t>and</w:t>
      </w:r>
      <w:r>
        <w:rPr>
          <w:i/>
          <w:spacing w:val="19"/>
          <w:sz w:val="13"/>
        </w:rPr>
        <w:t> </w:t>
      </w:r>
      <w:r>
        <w:rPr>
          <w:i/>
          <w:sz w:val="13"/>
        </w:rPr>
        <w:t>Tribunals</w:t>
      </w:r>
    </w:p>
    <w:p>
      <w:pPr>
        <w:spacing w:line="160" w:lineRule="exact" w:before="0"/>
        <w:ind w:left="893" w:right="0" w:firstLine="0"/>
        <w:jc w:val="left"/>
        <w:rPr>
          <w:sz w:val="13"/>
        </w:rPr>
      </w:pPr>
      <w:r>
        <w:rPr>
          <w:sz w:val="13"/>
        </w:rPr>
        <w:t>(Report, Second Edition, March 2022) 88.</w:t>
      </w:r>
    </w:p>
    <w:p>
      <w:pPr>
        <w:pStyle w:val="ListParagraph"/>
        <w:numPr>
          <w:ilvl w:val="0"/>
          <w:numId w:val="99"/>
        </w:numPr>
        <w:tabs>
          <w:tab w:pos="893" w:val="left" w:leader="none"/>
          <w:tab w:pos="894" w:val="left" w:leader="none"/>
        </w:tabs>
        <w:spacing w:line="160" w:lineRule="exact" w:before="0" w:after="0"/>
        <w:ind w:left="893" w:right="0" w:hanging="793"/>
        <w:jc w:val="left"/>
        <w:rPr>
          <w:sz w:val="13"/>
        </w:rPr>
      </w:pPr>
      <w:r>
        <w:rPr>
          <w:sz w:val="13"/>
        </w:rPr>
        <w:t>Ibid 16, Standard 8 </w:t>
      </w:r>
      <w:r>
        <w:rPr>
          <w:spacing w:val="2"/>
          <w:sz w:val="13"/>
        </w:rPr>
        <w:t>[8.5].</w:t>
      </w:r>
    </w:p>
    <w:p>
      <w:pPr>
        <w:pStyle w:val="ListParagraph"/>
        <w:numPr>
          <w:ilvl w:val="0"/>
          <w:numId w:val="99"/>
        </w:numPr>
        <w:tabs>
          <w:tab w:pos="893" w:val="left" w:leader="none"/>
          <w:tab w:pos="894" w:val="left" w:leader="none"/>
        </w:tabs>
        <w:spacing w:line="160" w:lineRule="exact" w:before="0" w:after="0"/>
        <w:ind w:left="893" w:right="0" w:hanging="793"/>
        <w:jc w:val="left"/>
        <w:rPr>
          <w:sz w:val="13"/>
        </w:rPr>
      </w:pPr>
      <w:r>
        <w:rPr>
          <w:sz w:val="13"/>
        </w:rPr>
        <w:t>Ibid </w:t>
      </w:r>
      <w:r>
        <w:rPr>
          <w:spacing w:val="3"/>
          <w:sz w:val="13"/>
        </w:rPr>
        <w:t>45.</w:t>
      </w:r>
    </w:p>
    <w:p>
      <w:pPr>
        <w:pStyle w:val="ListParagraph"/>
        <w:numPr>
          <w:ilvl w:val="0"/>
          <w:numId w:val="99"/>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99"/>
        </w:numPr>
        <w:tabs>
          <w:tab w:pos="893" w:val="left" w:leader="none"/>
          <w:tab w:pos="894" w:val="left" w:leader="none"/>
        </w:tabs>
        <w:spacing w:line="213" w:lineRule="auto" w:before="6" w:after="0"/>
        <w:ind w:left="893" w:right="1247" w:hanging="793"/>
        <w:jc w:val="left"/>
        <w:rPr>
          <w:sz w:val="13"/>
        </w:rPr>
      </w:pPr>
      <w:r>
        <w:rPr>
          <w:sz w:val="13"/>
        </w:rPr>
        <w:t>Consultation 5 (Expression Australia). Also Consultations 6 (Deaf Victoria and community participants),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w:t>
      </w:r>
      <w:r>
        <w:rPr>
          <w:spacing w:val="1"/>
          <w:sz w:val="13"/>
        </w:rPr>
        <w:t> </w:t>
      </w:r>
      <w:r>
        <w:rPr>
          <w:sz w:val="13"/>
        </w:rPr>
        <w:t>Wales)).</w:t>
      </w:r>
    </w:p>
    <w:p>
      <w:pPr>
        <w:spacing w:after="0" w:line="213" w:lineRule="auto"/>
        <w:jc w:val="left"/>
        <w:rPr>
          <w:sz w:val="13"/>
        </w:rPr>
        <w:sectPr>
          <w:type w:val="continuous"/>
          <w:pgSz w:w="11910" w:h="16840"/>
          <w:pgMar w:top="620" w:bottom="280" w:left="620" w:right="380"/>
          <w:cols w:num="2" w:equalWidth="0">
            <w:col w:w="536" w:space="332"/>
            <w:col w:w="10042"/>
          </w:cols>
        </w:sectPr>
      </w:pPr>
    </w:p>
    <w:p>
      <w:pPr>
        <w:pStyle w:val="BodyText"/>
      </w:pPr>
    </w:p>
    <w:p>
      <w:pPr>
        <w:pStyle w:val="BodyText"/>
      </w:pPr>
    </w:p>
    <w:p>
      <w:pPr>
        <w:pStyle w:val="BodyText"/>
      </w:pPr>
    </w:p>
    <w:p>
      <w:pPr>
        <w:pStyle w:val="BodyText"/>
        <w:spacing w:before="6"/>
        <w:rPr>
          <w:sz w:val="14"/>
        </w:rPr>
      </w:pPr>
    </w:p>
    <w:p>
      <w:pPr>
        <w:spacing w:before="49"/>
        <w:ind w:left="967" w:right="0" w:firstLine="0"/>
        <w:jc w:val="left"/>
        <w:rPr>
          <w:b/>
          <w:sz w:val="24"/>
        </w:rPr>
      </w:pPr>
      <w:bookmarkStart w:name="_bookmark112" w:id="269"/>
      <w:bookmarkEnd w:id="269"/>
      <w:r>
        <w:rPr/>
      </w:r>
      <w:r>
        <w:rPr>
          <w:b/>
          <w:sz w:val="24"/>
        </w:rPr>
        <w:t>Auslan interpreters should be independent</w:t>
      </w:r>
    </w:p>
    <w:p>
      <w:pPr>
        <w:pStyle w:val="ListParagraph"/>
        <w:numPr>
          <w:ilvl w:val="1"/>
          <w:numId w:val="12"/>
        </w:numPr>
        <w:tabs>
          <w:tab w:pos="1761" w:val="left" w:leader="none"/>
          <w:tab w:pos="1762" w:val="left" w:leader="none"/>
        </w:tabs>
        <w:spacing w:line="206" w:lineRule="auto" w:before="127" w:after="0"/>
        <w:ind w:left="1761" w:right="1364" w:hanging="794"/>
        <w:jc w:val="left"/>
        <w:rPr>
          <w:sz w:val="20"/>
        </w:rPr>
      </w:pPr>
      <w:r>
        <w:rPr>
          <w:sz w:val="20"/>
        </w:rPr>
        <w:t>It</w:t>
      </w:r>
      <w:r>
        <w:rPr>
          <w:spacing w:val="-9"/>
          <w:sz w:val="20"/>
        </w:rPr>
        <w:t> </w:t>
      </w:r>
      <w:r>
        <w:rPr>
          <w:sz w:val="20"/>
        </w:rPr>
        <w:t>is</w:t>
      </w:r>
      <w:r>
        <w:rPr>
          <w:spacing w:val="-8"/>
          <w:sz w:val="20"/>
        </w:rPr>
        <w:t> </w:t>
      </w:r>
      <w:r>
        <w:rPr>
          <w:sz w:val="20"/>
        </w:rPr>
        <w:t>important</w:t>
      </w:r>
      <w:r>
        <w:rPr>
          <w:spacing w:val="-8"/>
          <w:sz w:val="20"/>
        </w:rPr>
        <w:t> </w:t>
      </w:r>
      <w:r>
        <w:rPr>
          <w:sz w:val="20"/>
        </w:rPr>
        <w:t>that</w:t>
      </w:r>
      <w:r>
        <w:rPr>
          <w:spacing w:val="-9"/>
          <w:sz w:val="20"/>
        </w:rPr>
        <w:t> </w:t>
      </w:r>
      <w:r>
        <w:rPr>
          <w:sz w:val="20"/>
        </w:rPr>
        <w:t>Auslan</w:t>
      </w:r>
      <w:r>
        <w:rPr>
          <w:spacing w:val="-8"/>
          <w:sz w:val="20"/>
        </w:rPr>
        <w:t> </w:t>
      </w:r>
      <w:r>
        <w:rPr>
          <w:spacing w:val="-3"/>
          <w:sz w:val="20"/>
        </w:rPr>
        <w:t>interpreters</w:t>
      </w:r>
      <w:r>
        <w:rPr>
          <w:spacing w:val="-8"/>
          <w:sz w:val="20"/>
        </w:rPr>
        <w:t> </w:t>
      </w:r>
      <w:r>
        <w:rPr>
          <w:spacing w:val="-3"/>
          <w:sz w:val="20"/>
        </w:rPr>
        <w:t>are</w:t>
      </w:r>
      <w:r>
        <w:rPr>
          <w:spacing w:val="-8"/>
          <w:sz w:val="20"/>
        </w:rPr>
        <w:t> </w:t>
      </w:r>
      <w:r>
        <w:rPr>
          <w:sz w:val="20"/>
        </w:rPr>
        <w:t>independent</w:t>
      </w:r>
      <w:r>
        <w:rPr>
          <w:spacing w:val="-9"/>
          <w:sz w:val="20"/>
        </w:rPr>
        <w:t> </w:t>
      </w:r>
      <w:r>
        <w:rPr>
          <w:sz w:val="20"/>
        </w:rPr>
        <w:t>of</w:t>
      </w:r>
      <w:r>
        <w:rPr>
          <w:spacing w:val="-8"/>
          <w:sz w:val="20"/>
        </w:rPr>
        <w:t> </w:t>
      </w:r>
      <w:r>
        <w:rPr>
          <w:sz w:val="20"/>
        </w:rPr>
        <w:t>the</w:t>
      </w:r>
      <w:r>
        <w:rPr>
          <w:spacing w:val="-8"/>
          <w:sz w:val="20"/>
        </w:rPr>
        <w:t> </w:t>
      </w:r>
      <w:r>
        <w:rPr>
          <w:sz w:val="20"/>
        </w:rPr>
        <w:t>person</w:t>
      </w:r>
      <w:r>
        <w:rPr>
          <w:spacing w:val="-8"/>
          <w:sz w:val="20"/>
        </w:rPr>
        <w:t> </w:t>
      </w:r>
      <w:r>
        <w:rPr>
          <w:spacing w:val="-3"/>
          <w:sz w:val="20"/>
        </w:rPr>
        <w:t>from</w:t>
      </w:r>
      <w:r>
        <w:rPr>
          <w:spacing w:val="-9"/>
          <w:sz w:val="20"/>
        </w:rPr>
        <w:t> </w:t>
      </w:r>
      <w:r>
        <w:rPr>
          <w:sz w:val="20"/>
        </w:rPr>
        <w:t>the</w:t>
      </w:r>
      <w:r>
        <w:rPr>
          <w:spacing w:val="-8"/>
          <w:sz w:val="20"/>
        </w:rPr>
        <w:t> </w:t>
      </w:r>
      <w:r>
        <w:rPr>
          <w:sz w:val="20"/>
        </w:rPr>
        <w:t>subject groups. Independence is recommended in the</w:t>
      </w:r>
      <w:r>
        <w:rPr>
          <w:spacing w:val="-29"/>
          <w:sz w:val="20"/>
        </w:rPr>
        <w:t> </w:t>
      </w:r>
      <w:r>
        <w:rPr>
          <w:sz w:val="20"/>
        </w:rPr>
        <w:t>RNS:</w:t>
      </w:r>
    </w:p>
    <w:p>
      <w:pPr>
        <w:spacing w:line="208" w:lineRule="auto" w:before="120"/>
        <w:ind w:left="2157" w:right="1202" w:firstLine="0"/>
        <w:jc w:val="left"/>
        <w:rPr>
          <w:sz w:val="19"/>
        </w:rPr>
      </w:pPr>
      <w:r>
        <w:rPr>
          <w:sz w:val="19"/>
        </w:rPr>
        <w:t>Lack of impartiality may lead to unfaithful renditions, as the interpreter may filter information to protect the witness, or may improperly use information for personal gain. This may work to the disadvantage of either party, depending on whether or not the court recognises what has occurred. Similarly, while interpreters may be asked</w:t>
      </w:r>
    </w:p>
    <w:p>
      <w:pPr>
        <w:spacing w:line="208" w:lineRule="auto" w:before="3"/>
        <w:ind w:left="2157" w:right="1519" w:firstLine="0"/>
        <w:jc w:val="both"/>
        <w:rPr>
          <w:sz w:val="11"/>
        </w:rPr>
      </w:pPr>
      <w:r>
        <w:rPr>
          <w:sz w:val="19"/>
        </w:rPr>
        <w:t>to explain their interpreting choices, interpreters cannot be asked to give their own evidence</w:t>
      </w:r>
      <w:r>
        <w:rPr>
          <w:spacing w:val="-5"/>
          <w:sz w:val="19"/>
        </w:rPr>
        <w:t> </w:t>
      </w:r>
      <w:r>
        <w:rPr>
          <w:sz w:val="19"/>
        </w:rPr>
        <w:t>as</w:t>
      </w:r>
      <w:r>
        <w:rPr>
          <w:spacing w:val="-4"/>
          <w:sz w:val="19"/>
        </w:rPr>
        <w:t> </w:t>
      </w:r>
      <w:r>
        <w:rPr>
          <w:sz w:val="19"/>
        </w:rPr>
        <w:t>witnesses</w:t>
      </w:r>
      <w:r>
        <w:rPr>
          <w:spacing w:val="-4"/>
          <w:sz w:val="19"/>
        </w:rPr>
        <w:t> </w:t>
      </w:r>
      <w:r>
        <w:rPr>
          <w:sz w:val="19"/>
        </w:rPr>
        <w:t>relating</w:t>
      </w:r>
      <w:r>
        <w:rPr>
          <w:spacing w:val="-4"/>
          <w:sz w:val="19"/>
        </w:rPr>
        <w:t> </w:t>
      </w:r>
      <w:r>
        <w:rPr>
          <w:sz w:val="19"/>
        </w:rPr>
        <w:t>to</w:t>
      </w:r>
      <w:r>
        <w:rPr>
          <w:spacing w:val="-5"/>
          <w:sz w:val="19"/>
        </w:rPr>
        <w:t> </w:t>
      </w:r>
      <w:r>
        <w:rPr>
          <w:sz w:val="19"/>
        </w:rPr>
        <w:t>the</w:t>
      </w:r>
      <w:r>
        <w:rPr>
          <w:spacing w:val="-4"/>
          <w:sz w:val="19"/>
        </w:rPr>
        <w:t> </w:t>
      </w:r>
      <w:r>
        <w:rPr>
          <w:sz w:val="19"/>
        </w:rPr>
        <w:t>interpreting</w:t>
      </w:r>
      <w:r>
        <w:rPr>
          <w:spacing w:val="-4"/>
          <w:sz w:val="19"/>
        </w:rPr>
        <w:t> </w:t>
      </w:r>
      <w:r>
        <w:rPr>
          <w:sz w:val="19"/>
        </w:rPr>
        <w:t>task</w:t>
      </w:r>
      <w:r>
        <w:rPr>
          <w:spacing w:val="-4"/>
          <w:sz w:val="19"/>
        </w:rPr>
        <w:t> </w:t>
      </w:r>
      <w:r>
        <w:rPr>
          <w:sz w:val="19"/>
        </w:rPr>
        <w:t>which</w:t>
      </w:r>
      <w:r>
        <w:rPr>
          <w:spacing w:val="-4"/>
          <w:sz w:val="19"/>
        </w:rPr>
        <w:t> </w:t>
      </w:r>
      <w:r>
        <w:rPr>
          <w:sz w:val="19"/>
        </w:rPr>
        <w:t>has</w:t>
      </w:r>
      <w:r>
        <w:rPr>
          <w:spacing w:val="-5"/>
          <w:sz w:val="19"/>
        </w:rPr>
        <w:t> </w:t>
      </w:r>
      <w:r>
        <w:rPr>
          <w:sz w:val="19"/>
        </w:rPr>
        <w:t>been</w:t>
      </w:r>
      <w:r>
        <w:rPr>
          <w:spacing w:val="-4"/>
          <w:sz w:val="19"/>
        </w:rPr>
        <w:t> </w:t>
      </w:r>
      <w:r>
        <w:rPr>
          <w:sz w:val="19"/>
        </w:rPr>
        <w:t>undertaken: they must remain impartial.</w:t>
      </w:r>
      <w:r>
        <w:rPr>
          <w:spacing w:val="-9"/>
          <w:sz w:val="19"/>
        </w:rPr>
        <w:t> </w:t>
      </w:r>
      <w:r>
        <w:rPr>
          <w:position w:val="6"/>
          <w:sz w:val="11"/>
        </w:rPr>
        <w:t>17</w:t>
      </w:r>
    </w:p>
    <w:p>
      <w:pPr>
        <w:pStyle w:val="ListParagraph"/>
        <w:numPr>
          <w:ilvl w:val="1"/>
          <w:numId w:val="12"/>
        </w:numPr>
        <w:tabs>
          <w:tab w:pos="1761" w:val="left" w:leader="none"/>
          <w:tab w:pos="1762" w:val="left" w:leader="none"/>
        </w:tabs>
        <w:spacing w:line="206" w:lineRule="auto" w:before="124" w:after="0"/>
        <w:ind w:left="1761" w:right="1321" w:hanging="794"/>
        <w:jc w:val="left"/>
        <w:rPr>
          <w:sz w:val="11"/>
        </w:rPr>
      </w:pPr>
      <w:r>
        <w:rPr>
          <w:spacing w:val="-6"/>
          <w:sz w:val="20"/>
        </w:rPr>
        <w:t>We </w:t>
      </w:r>
      <w:r>
        <w:rPr>
          <w:sz w:val="20"/>
        </w:rPr>
        <w:t>understand that independence will be a </w:t>
      </w:r>
      <w:r>
        <w:rPr>
          <w:spacing w:val="-3"/>
          <w:sz w:val="20"/>
        </w:rPr>
        <w:t>requirement </w:t>
      </w:r>
      <w:r>
        <w:rPr>
          <w:sz w:val="20"/>
        </w:rPr>
        <w:t>for British Sign Language (BSL) </w:t>
      </w:r>
      <w:r>
        <w:rPr>
          <w:spacing w:val="-3"/>
          <w:sz w:val="20"/>
        </w:rPr>
        <w:t>interpreters </w:t>
      </w:r>
      <w:r>
        <w:rPr>
          <w:sz w:val="20"/>
        </w:rPr>
        <w:t>in England and </w:t>
      </w:r>
      <w:r>
        <w:rPr>
          <w:spacing w:val="-4"/>
          <w:sz w:val="20"/>
        </w:rPr>
        <w:t>Wales </w:t>
      </w:r>
      <w:r>
        <w:rPr>
          <w:spacing w:val="-3"/>
          <w:sz w:val="20"/>
        </w:rPr>
        <w:t>now </w:t>
      </w:r>
      <w:r>
        <w:rPr>
          <w:sz w:val="20"/>
        </w:rPr>
        <w:t>that new legislation has been passed to </w:t>
      </w:r>
      <w:r>
        <w:rPr>
          <w:spacing w:val="-3"/>
          <w:sz w:val="20"/>
        </w:rPr>
        <w:t>allow </w:t>
      </w:r>
      <w:r>
        <w:rPr>
          <w:sz w:val="20"/>
        </w:rPr>
        <w:t>them in the jury room. </w:t>
      </w:r>
      <w:r>
        <w:rPr>
          <w:spacing w:val="-6"/>
          <w:sz w:val="20"/>
        </w:rPr>
        <w:t>We </w:t>
      </w:r>
      <w:r>
        <w:rPr>
          <w:spacing w:val="-4"/>
          <w:sz w:val="20"/>
        </w:rPr>
        <w:t>have </w:t>
      </w:r>
      <w:r>
        <w:rPr>
          <w:sz w:val="20"/>
        </w:rPr>
        <w:t>been </w:t>
      </w:r>
      <w:r>
        <w:rPr>
          <w:spacing w:val="-3"/>
          <w:sz w:val="20"/>
        </w:rPr>
        <w:t>told by </w:t>
      </w:r>
      <w:r>
        <w:rPr>
          <w:sz w:val="20"/>
        </w:rPr>
        <w:t>Her Majesty’s Courts and </w:t>
      </w:r>
      <w:r>
        <w:rPr>
          <w:spacing w:val="-4"/>
          <w:sz w:val="20"/>
        </w:rPr>
        <w:t>Tribunal </w:t>
      </w:r>
      <w:r>
        <w:rPr>
          <w:sz w:val="20"/>
        </w:rPr>
        <w:t>Service </w:t>
      </w:r>
      <w:r>
        <w:rPr>
          <w:spacing w:val="-3"/>
          <w:sz w:val="20"/>
        </w:rPr>
        <w:t>(HMCTS) </w:t>
      </w:r>
      <w:r>
        <w:rPr>
          <w:sz w:val="20"/>
        </w:rPr>
        <w:t>that all </w:t>
      </w:r>
      <w:r>
        <w:rPr>
          <w:spacing w:val="-3"/>
          <w:sz w:val="20"/>
        </w:rPr>
        <w:t>interpreters </w:t>
      </w:r>
      <w:r>
        <w:rPr>
          <w:sz w:val="20"/>
        </w:rPr>
        <w:t>will be supplied </w:t>
      </w:r>
      <w:r>
        <w:rPr>
          <w:spacing w:val="-3"/>
          <w:sz w:val="20"/>
        </w:rPr>
        <w:t>by </w:t>
      </w:r>
      <w:r>
        <w:rPr>
          <w:sz w:val="20"/>
        </w:rPr>
        <w:t>the Ministry of </w:t>
      </w:r>
      <w:r>
        <w:rPr>
          <w:spacing w:val="-3"/>
          <w:sz w:val="20"/>
        </w:rPr>
        <w:t>Justice’s </w:t>
      </w:r>
      <w:r>
        <w:rPr>
          <w:sz w:val="20"/>
        </w:rPr>
        <w:t>contracted language service </w:t>
      </w:r>
      <w:r>
        <w:rPr>
          <w:spacing w:val="-4"/>
          <w:sz w:val="20"/>
        </w:rPr>
        <w:t>provider, </w:t>
      </w:r>
      <w:r>
        <w:rPr>
          <w:sz w:val="20"/>
        </w:rPr>
        <w:t>and registered with the National Register of Communication</w:t>
      </w:r>
      <w:r>
        <w:rPr>
          <w:spacing w:val="-12"/>
          <w:sz w:val="20"/>
        </w:rPr>
        <w:t> </w:t>
      </w:r>
      <w:r>
        <w:rPr>
          <w:sz w:val="20"/>
        </w:rPr>
        <w:t>Professionals</w:t>
      </w:r>
      <w:r>
        <w:rPr>
          <w:spacing w:val="-11"/>
          <w:sz w:val="20"/>
        </w:rPr>
        <w:t> </w:t>
      </w:r>
      <w:r>
        <w:rPr>
          <w:spacing w:val="-3"/>
          <w:sz w:val="20"/>
        </w:rPr>
        <w:t>Working</w:t>
      </w:r>
      <w:r>
        <w:rPr>
          <w:spacing w:val="-12"/>
          <w:sz w:val="20"/>
        </w:rPr>
        <w:t> </w:t>
      </w:r>
      <w:r>
        <w:rPr>
          <w:sz w:val="20"/>
        </w:rPr>
        <w:t>with</w:t>
      </w:r>
      <w:r>
        <w:rPr>
          <w:spacing w:val="-11"/>
          <w:sz w:val="20"/>
        </w:rPr>
        <w:t> </w:t>
      </w:r>
      <w:r>
        <w:rPr>
          <w:sz w:val="20"/>
        </w:rPr>
        <w:t>Deaf</w:t>
      </w:r>
      <w:r>
        <w:rPr>
          <w:spacing w:val="-12"/>
          <w:sz w:val="20"/>
        </w:rPr>
        <w:t> </w:t>
      </w:r>
      <w:r>
        <w:rPr>
          <w:sz w:val="20"/>
        </w:rPr>
        <w:t>and</w:t>
      </w:r>
      <w:r>
        <w:rPr>
          <w:spacing w:val="-11"/>
          <w:sz w:val="20"/>
        </w:rPr>
        <w:t> </w:t>
      </w:r>
      <w:r>
        <w:rPr>
          <w:sz w:val="20"/>
        </w:rPr>
        <w:t>Disabled</w:t>
      </w:r>
      <w:r>
        <w:rPr>
          <w:spacing w:val="-12"/>
          <w:sz w:val="20"/>
        </w:rPr>
        <w:t> </w:t>
      </w:r>
      <w:r>
        <w:rPr>
          <w:sz w:val="20"/>
        </w:rPr>
        <w:t>People,</w:t>
      </w:r>
      <w:r>
        <w:rPr>
          <w:spacing w:val="-11"/>
          <w:sz w:val="20"/>
        </w:rPr>
        <w:t> </w:t>
      </w:r>
      <w:r>
        <w:rPr>
          <w:sz w:val="20"/>
        </w:rPr>
        <w:t>or</w:t>
      </w:r>
      <w:r>
        <w:rPr>
          <w:spacing w:val="-12"/>
          <w:sz w:val="20"/>
        </w:rPr>
        <w:t> </w:t>
      </w:r>
      <w:r>
        <w:rPr>
          <w:sz w:val="20"/>
        </w:rPr>
        <w:t>bodies</w:t>
      </w:r>
      <w:r>
        <w:rPr>
          <w:spacing w:val="-11"/>
          <w:sz w:val="20"/>
        </w:rPr>
        <w:t> </w:t>
      </w:r>
      <w:r>
        <w:rPr>
          <w:sz w:val="20"/>
        </w:rPr>
        <w:t>with equivalent suitable experience.</w:t>
      </w:r>
      <w:r>
        <w:rPr>
          <w:position w:val="7"/>
          <w:sz w:val="11"/>
        </w:rPr>
        <w:t>18 </w:t>
      </w:r>
      <w:r>
        <w:rPr>
          <w:sz w:val="20"/>
        </w:rPr>
        <w:t>All BSL </w:t>
      </w:r>
      <w:r>
        <w:rPr>
          <w:spacing w:val="-3"/>
          <w:sz w:val="20"/>
        </w:rPr>
        <w:t>interpreters </w:t>
      </w:r>
      <w:r>
        <w:rPr>
          <w:sz w:val="20"/>
        </w:rPr>
        <w:t>will </w:t>
      </w:r>
      <w:r>
        <w:rPr>
          <w:spacing w:val="-4"/>
          <w:sz w:val="20"/>
        </w:rPr>
        <w:t>have </w:t>
      </w:r>
      <w:r>
        <w:rPr>
          <w:sz w:val="20"/>
        </w:rPr>
        <w:t>to meet Ministry of Justice</w:t>
      </w:r>
      <w:r>
        <w:rPr>
          <w:spacing w:val="-15"/>
          <w:sz w:val="20"/>
        </w:rPr>
        <w:t> </w:t>
      </w:r>
      <w:r>
        <w:rPr>
          <w:sz w:val="20"/>
        </w:rPr>
        <w:t>contractual</w:t>
      </w:r>
      <w:r>
        <w:rPr>
          <w:spacing w:val="-14"/>
          <w:sz w:val="20"/>
        </w:rPr>
        <w:t> </w:t>
      </w:r>
      <w:r>
        <w:rPr>
          <w:sz w:val="20"/>
        </w:rPr>
        <w:t>requirements,</w:t>
      </w:r>
      <w:r>
        <w:rPr>
          <w:spacing w:val="-14"/>
          <w:sz w:val="20"/>
        </w:rPr>
        <w:t> </w:t>
      </w:r>
      <w:r>
        <w:rPr>
          <w:sz w:val="20"/>
        </w:rPr>
        <w:t>which</w:t>
      </w:r>
      <w:r>
        <w:rPr>
          <w:spacing w:val="-14"/>
          <w:sz w:val="20"/>
        </w:rPr>
        <w:t> </w:t>
      </w:r>
      <w:r>
        <w:rPr>
          <w:sz w:val="20"/>
        </w:rPr>
        <w:t>include</w:t>
      </w:r>
      <w:r>
        <w:rPr>
          <w:spacing w:val="-14"/>
          <w:sz w:val="20"/>
        </w:rPr>
        <w:t> </w:t>
      </w:r>
      <w:r>
        <w:rPr>
          <w:sz w:val="20"/>
        </w:rPr>
        <w:t>a</w:t>
      </w:r>
      <w:r>
        <w:rPr>
          <w:spacing w:val="-15"/>
          <w:sz w:val="20"/>
        </w:rPr>
        <w:t> </w:t>
      </w:r>
      <w:r>
        <w:rPr>
          <w:spacing w:val="-3"/>
          <w:sz w:val="20"/>
        </w:rPr>
        <w:t>clearly</w:t>
      </w:r>
      <w:r>
        <w:rPr>
          <w:spacing w:val="-14"/>
          <w:sz w:val="20"/>
        </w:rPr>
        <w:t> </w:t>
      </w:r>
      <w:r>
        <w:rPr>
          <w:sz w:val="20"/>
        </w:rPr>
        <w:t>defined</w:t>
      </w:r>
      <w:r>
        <w:rPr>
          <w:spacing w:val="-14"/>
          <w:sz w:val="20"/>
        </w:rPr>
        <w:t> </w:t>
      </w:r>
      <w:r>
        <w:rPr>
          <w:sz w:val="20"/>
        </w:rPr>
        <w:t>list</w:t>
      </w:r>
      <w:r>
        <w:rPr>
          <w:spacing w:val="-14"/>
          <w:sz w:val="20"/>
        </w:rPr>
        <w:t> </w:t>
      </w:r>
      <w:r>
        <w:rPr>
          <w:sz w:val="20"/>
        </w:rPr>
        <w:t>of</w:t>
      </w:r>
      <w:r>
        <w:rPr>
          <w:spacing w:val="-14"/>
          <w:sz w:val="20"/>
        </w:rPr>
        <w:t> </w:t>
      </w:r>
      <w:r>
        <w:rPr>
          <w:sz w:val="20"/>
        </w:rPr>
        <w:t>qualifications, skills,</w:t>
      </w:r>
      <w:r>
        <w:rPr>
          <w:spacing w:val="-12"/>
          <w:sz w:val="20"/>
        </w:rPr>
        <w:t> </w:t>
      </w:r>
      <w:r>
        <w:rPr>
          <w:sz w:val="20"/>
        </w:rPr>
        <w:t>experience</w:t>
      </w:r>
      <w:r>
        <w:rPr>
          <w:spacing w:val="-11"/>
          <w:sz w:val="20"/>
        </w:rPr>
        <w:t> </w:t>
      </w:r>
      <w:r>
        <w:rPr>
          <w:sz w:val="20"/>
        </w:rPr>
        <w:t>and</w:t>
      </w:r>
      <w:r>
        <w:rPr>
          <w:spacing w:val="-11"/>
          <w:sz w:val="20"/>
        </w:rPr>
        <w:t> </w:t>
      </w:r>
      <w:r>
        <w:rPr>
          <w:sz w:val="20"/>
        </w:rPr>
        <w:t>vetting</w:t>
      </w:r>
      <w:r>
        <w:rPr>
          <w:spacing w:val="-11"/>
          <w:sz w:val="20"/>
        </w:rPr>
        <w:t> </w:t>
      </w:r>
      <w:r>
        <w:rPr>
          <w:sz w:val="20"/>
        </w:rPr>
        <w:t>requirements.</w:t>
      </w:r>
      <w:r>
        <w:rPr>
          <w:spacing w:val="-11"/>
          <w:sz w:val="20"/>
        </w:rPr>
        <w:t> </w:t>
      </w:r>
      <w:r>
        <w:rPr>
          <w:sz w:val="20"/>
        </w:rPr>
        <w:t>In</w:t>
      </w:r>
      <w:r>
        <w:rPr>
          <w:spacing w:val="-11"/>
          <w:sz w:val="20"/>
        </w:rPr>
        <w:t> </w:t>
      </w:r>
      <w:r>
        <w:rPr>
          <w:sz w:val="20"/>
        </w:rPr>
        <w:t>addition,</w:t>
      </w:r>
      <w:r>
        <w:rPr>
          <w:spacing w:val="-11"/>
          <w:sz w:val="20"/>
        </w:rPr>
        <w:t> </w:t>
      </w:r>
      <w:r>
        <w:rPr>
          <w:sz w:val="20"/>
        </w:rPr>
        <w:t>as</w:t>
      </w:r>
      <w:r>
        <w:rPr>
          <w:spacing w:val="-11"/>
          <w:sz w:val="20"/>
        </w:rPr>
        <w:t> </w:t>
      </w:r>
      <w:r>
        <w:rPr>
          <w:sz w:val="20"/>
        </w:rPr>
        <w:t>is</w:t>
      </w:r>
      <w:r>
        <w:rPr>
          <w:spacing w:val="-11"/>
          <w:sz w:val="20"/>
        </w:rPr>
        <w:t> </w:t>
      </w:r>
      <w:r>
        <w:rPr>
          <w:sz w:val="20"/>
        </w:rPr>
        <w:t>the</w:t>
      </w:r>
      <w:r>
        <w:rPr>
          <w:spacing w:val="-12"/>
          <w:sz w:val="20"/>
        </w:rPr>
        <w:t> </w:t>
      </w:r>
      <w:r>
        <w:rPr>
          <w:spacing w:val="-3"/>
          <w:sz w:val="20"/>
        </w:rPr>
        <w:t>current</w:t>
      </w:r>
      <w:r>
        <w:rPr>
          <w:spacing w:val="-11"/>
          <w:sz w:val="20"/>
        </w:rPr>
        <w:t> </w:t>
      </w:r>
      <w:r>
        <w:rPr>
          <w:sz w:val="20"/>
        </w:rPr>
        <w:t>practice,</w:t>
      </w:r>
      <w:r>
        <w:rPr>
          <w:spacing w:val="-11"/>
          <w:sz w:val="20"/>
        </w:rPr>
        <w:t> </w:t>
      </w:r>
      <w:r>
        <w:rPr>
          <w:sz w:val="20"/>
        </w:rPr>
        <w:t>BSL </w:t>
      </w:r>
      <w:r>
        <w:rPr>
          <w:spacing w:val="-3"/>
          <w:sz w:val="20"/>
        </w:rPr>
        <w:t>interpreters </w:t>
      </w:r>
      <w:r>
        <w:rPr>
          <w:sz w:val="20"/>
        </w:rPr>
        <w:t>will be regularly assessed </w:t>
      </w:r>
      <w:r>
        <w:rPr>
          <w:spacing w:val="-3"/>
          <w:sz w:val="20"/>
        </w:rPr>
        <w:t>by </w:t>
      </w:r>
      <w:r>
        <w:rPr>
          <w:sz w:val="20"/>
        </w:rPr>
        <w:t>the quality assurance </w:t>
      </w:r>
      <w:r>
        <w:rPr>
          <w:spacing w:val="-4"/>
          <w:sz w:val="20"/>
        </w:rPr>
        <w:t>provider.</w:t>
      </w:r>
      <w:r>
        <w:rPr>
          <w:spacing w:val="-4"/>
          <w:position w:val="7"/>
          <w:sz w:val="11"/>
        </w:rPr>
        <w:t>19 </w:t>
      </w:r>
      <w:r>
        <w:rPr>
          <w:sz w:val="20"/>
        </w:rPr>
        <w:t>HMCTS has suggested ‘if for </w:t>
      </w:r>
      <w:r>
        <w:rPr>
          <w:spacing w:val="-3"/>
          <w:sz w:val="20"/>
        </w:rPr>
        <w:t>any </w:t>
      </w:r>
      <w:r>
        <w:rPr>
          <w:sz w:val="20"/>
        </w:rPr>
        <w:t>reason, an </w:t>
      </w:r>
      <w:r>
        <w:rPr>
          <w:spacing w:val="-3"/>
          <w:sz w:val="20"/>
        </w:rPr>
        <w:t>interpreter </w:t>
      </w:r>
      <w:r>
        <w:rPr>
          <w:sz w:val="20"/>
        </w:rPr>
        <w:t>fails to </w:t>
      </w:r>
      <w:r>
        <w:rPr>
          <w:spacing w:val="-3"/>
          <w:sz w:val="20"/>
        </w:rPr>
        <w:t>reach </w:t>
      </w:r>
      <w:r>
        <w:rPr>
          <w:sz w:val="20"/>
        </w:rPr>
        <w:t>the </w:t>
      </w:r>
      <w:r>
        <w:rPr>
          <w:spacing w:val="-3"/>
          <w:sz w:val="20"/>
        </w:rPr>
        <w:t>required </w:t>
      </w:r>
      <w:r>
        <w:rPr>
          <w:sz w:val="20"/>
        </w:rPr>
        <w:t>standard, they will</w:t>
      </w:r>
      <w:r>
        <w:rPr>
          <w:spacing w:val="-10"/>
          <w:sz w:val="20"/>
        </w:rPr>
        <w:t> </w:t>
      </w:r>
      <w:r>
        <w:rPr>
          <w:sz w:val="20"/>
        </w:rPr>
        <w:t>be</w:t>
      </w:r>
      <w:r>
        <w:rPr>
          <w:spacing w:val="-10"/>
          <w:sz w:val="20"/>
        </w:rPr>
        <w:t> </w:t>
      </w:r>
      <w:r>
        <w:rPr>
          <w:spacing w:val="-3"/>
          <w:sz w:val="20"/>
        </w:rPr>
        <w:t>removed</w:t>
      </w:r>
      <w:r>
        <w:rPr>
          <w:spacing w:val="-9"/>
          <w:sz w:val="20"/>
        </w:rPr>
        <w:t> </w:t>
      </w:r>
      <w:r>
        <w:rPr>
          <w:spacing w:val="-3"/>
          <w:sz w:val="20"/>
        </w:rPr>
        <w:t>from</w:t>
      </w:r>
      <w:r>
        <w:rPr>
          <w:spacing w:val="-10"/>
          <w:sz w:val="20"/>
        </w:rPr>
        <w:t> </w:t>
      </w:r>
      <w:r>
        <w:rPr>
          <w:sz w:val="20"/>
        </w:rPr>
        <w:t>the</w:t>
      </w:r>
      <w:r>
        <w:rPr>
          <w:spacing w:val="-9"/>
          <w:sz w:val="20"/>
        </w:rPr>
        <w:t> </w:t>
      </w:r>
      <w:r>
        <w:rPr>
          <w:sz w:val="20"/>
        </w:rPr>
        <w:t>register</w:t>
      </w:r>
      <w:r>
        <w:rPr>
          <w:spacing w:val="-10"/>
          <w:sz w:val="20"/>
        </w:rPr>
        <w:t> </w:t>
      </w:r>
      <w:r>
        <w:rPr>
          <w:sz w:val="20"/>
        </w:rPr>
        <w:t>and</w:t>
      </w:r>
      <w:r>
        <w:rPr>
          <w:spacing w:val="-9"/>
          <w:sz w:val="20"/>
        </w:rPr>
        <w:t> </w:t>
      </w:r>
      <w:r>
        <w:rPr>
          <w:sz w:val="20"/>
        </w:rPr>
        <w:t>cannot</w:t>
      </w:r>
      <w:r>
        <w:rPr>
          <w:spacing w:val="-10"/>
          <w:sz w:val="20"/>
        </w:rPr>
        <w:t> </w:t>
      </w:r>
      <w:r>
        <w:rPr>
          <w:sz w:val="20"/>
        </w:rPr>
        <w:t>be</w:t>
      </w:r>
      <w:r>
        <w:rPr>
          <w:spacing w:val="-10"/>
          <w:sz w:val="20"/>
        </w:rPr>
        <w:t> </w:t>
      </w:r>
      <w:r>
        <w:rPr>
          <w:sz w:val="20"/>
        </w:rPr>
        <w:t>re-engaged</w:t>
      </w:r>
      <w:r>
        <w:rPr>
          <w:spacing w:val="-9"/>
          <w:sz w:val="20"/>
        </w:rPr>
        <w:t> </w:t>
      </w:r>
      <w:r>
        <w:rPr>
          <w:sz w:val="20"/>
        </w:rPr>
        <w:t>in</w:t>
      </w:r>
      <w:r>
        <w:rPr>
          <w:spacing w:val="-10"/>
          <w:sz w:val="20"/>
        </w:rPr>
        <w:t> </w:t>
      </w:r>
      <w:r>
        <w:rPr>
          <w:sz w:val="20"/>
        </w:rPr>
        <w:t>this</w:t>
      </w:r>
      <w:r>
        <w:rPr>
          <w:spacing w:val="-9"/>
          <w:sz w:val="20"/>
        </w:rPr>
        <w:t> </w:t>
      </w:r>
      <w:r>
        <w:rPr>
          <w:sz w:val="20"/>
        </w:rPr>
        <w:t>capacity</w:t>
      </w:r>
      <w:r>
        <w:rPr>
          <w:spacing w:val="-10"/>
          <w:sz w:val="20"/>
        </w:rPr>
        <w:t> </w:t>
      </w:r>
      <w:r>
        <w:rPr>
          <w:sz w:val="20"/>
        </w:rPr>
        <w:t>until</w:t>
      </w:r>
      <w:r>
        <w:rPr>
          <w:spacing w:val="-9"/>
          <w:sz w:val="20"/>
        </w:rPr>
        <w:t> </w:t>
      </w:r>
      <w:r>
        <w:rPr>
          <w:sz w:val="20"/>
        </w:rPr>
        <w:t>they </w:t>
      </w:r>
      <w:r>
        <w:rPr>
          <w:spacing w:val="-4"/>
          <w:sz w:val="20"/>
        </w:rPr>
        <w:t>have </w:t>
      </w:r>
      <w:r>
        <w:rPr>
          <w:spacing w:val="-3"/>
          <w:sz w:val="20"/>
        </w:rPr>
        <w:t>satisfactorily </w:t>
      </w:r>
      <w:r>
        <w:rPr>
          <w:spacing w:val="-2"/>
          <w:sz w:val="20"/>
        </w:rPr>
        <w:t>completed </w:t>
      </w:r>
      <w:r>
        <w:rPr>
          <w:sz w:val="20"/>
        </w:rPr>
        <w:t>another</w:t>
      </w:r>
      <w:r>
        <w:rPr>
          <w:spacing w:val="-8"/>
          <w:sz w:val="20"/>
        </w:rPr>
        <w:t> </w:t>
      </w:r>
      <w:r>
        <w:rPr>
          <w:sz w:val="20"/>
        </w:rPr>
        <w:t>assessment’.</w:t>
      </w:r>
      <w:r>
        <w:rPr>
          <w:position w:val="7"/>
          <w:sz w:val="11"/>
        </w:rPr>
        <w:t>20</w:t>
      </w:r>
    </w:p>
    <w:p>
      <w:pPr>
        <w:pStyle w:val="ListParagraph"/>
        <w:numPr>
          <w:ilvl w:val="1"/>
          <w:numId w:val="12"/>
        </w:numPr>
        <w:tabs>
          <w:tab w:pos="1761" w:val="left" w:leader="none"/>
          <w:tab w:pos="1762" w:val="left" w:leader="none"/>
        </w:tabs>
        <w:spacing w:line="206" w:lineRule="auto" w:before="136" w:after="0"/>
        <w:ind w:left="1761" w:right="1280" w:hanging="794"/>
        <w:jc w:val="left"/>
        <w:rPr>
          <w:sz w:val="20"/>
        </w:rPr>
      </w:pPr>
      <w:r>
        <w:rPr>
          <w:sz w:val="20"/>
        </w:rPr>
        <w:t>It</w:t>
      </w:r>
      <w:r>
        <w:rPr>
          <w:spacing w:val="-10"/>
          <w:sz w:val="20"/>
        </w:rPr>
        <w:t> </w:t>
      </w:r>
      <w:r>
        <w:rPr>
          <w:sz w:val="20"/>
        </w:rPr>
        <w:t>is</w:t>
      </w:r>
      <w:r>
        <w:rPr>
          <w:spacing w:val="-10"/>
          <w:sz w:val="20"/>
        </w:rPr>
        <w:t> </w:t>
      </w:r>
      <w:r>
        <w:rPr>
          <w:sz w:val="20"/>
        </w:rPr>
        <w:t>important</w:t>
      </w:r>
      <w:r>
        <w:rPr>
          <w:spacing w:val="-10"/>
          <w:sz w:val="20"/>
        </w:rPr>
        <w:t> </w:t>
      </w:r>
      <w:r>
        <w:rPr>
          <w:sz w:val="20"/>
        </w:rPr>
        <w:t>that</w:t>
      </w:r>
      <w:r>
        <w:rPr>
          <w:spacing w:val="-10"/>
          <w:sz w:val="20"/>
        </w:rPr>
        <w:t> </w:t>
      </w:r>
      <w:r>
        <w:rPr>
          <w:sz w:val="20"/>
        </w:rPr>
        <w:t>all</w:t>
      </w:r>
      <w:r>
        <w:rPr>
          <w:spacing w:val="-10"/>
          <w:sz w:val="20"/>
        </w:rPr>
        <w:t> </w:t>
      </w:r>
      <w:r>
        <w:rPr>
          <w:sz w:val="20"/>
        </w:rPr>
        <w:t>parties</w:t>
      </w:r>
      <w:r>
        <w:rPr>
          <w:spacing w:val="-10"/>
          <w:sz w:val="20"/>
        </w:rPr>
        <w:t> </w:t>
      </w:r>
      <w:r>
        <w:rPr>
          <w:sz w:val="20"/>
        </w:rPr>
        <w:t>understand</w:t>
      </w:r>
      <w:r>
        <w:rPr>
          <w:spacing w:val="-10"/>
          <w:sz w:val="20"/>
        </w:rPr>
        <w:t> </w:t>
      </w:r>
      <w:r>
        <w:rPr>
          <w:sz w:val="20"/>
        </w:rPr>
        <w:t>that</w:t>
      </w:r>
      <w:r>
        <w:rPr>
          <w:spacing w:val="-10"/>
          <w:sz w:val="20"/>
        </w:rPr>
        <w:t> </w:t>
      </w:r>
      <w:r>
        <w:rPr>
          <w:spacing w:val="-3"/>
          <w:sz w:val="20"/>
        </w:rPr>
        <w:t>interpreting</w:t>
      </w:r>
      <w:r>
        <w:rPr>
          <w:spacing w:val="-10"/>
          <w:sz w:val="20"/>
        </w:rPr>
        <w:t> </w:t>
      </w:r>
      <w:r>
        <w:rPr>
          <w:sz w:val="20"/>
        </w:rPr>
        <w:t>is</w:t>
      </w:r>
      <w:r>
        <w:rPr>
          <w:spacing w:val="-10"/>
          <w:sz w:val="20"/>
        </w:rPr>
        <w:t> </w:t>
      </w:r>
      <w:r>
        <w:rPr>
          <w:sz w:val="20"/>
        </w:rPr>
        <w:t>independent</w:t>
      </w:r>
      <w:r>
        <w:rPr>
          <w:spacing w:val="-10"/>
          <w:sz w:val="20"/>
        </w:rPr>
        <w:t> </w:t>
      </w:r>
      <w:r>
        <w:rPr>
          <w:sz w:val="20"/>
        </w:rPr>
        <w:t>and</w:t>
      </w:r>
      <w:r>
        <w:rPr>
          <w:spacing w:val="-10"/>
          <w:sz w:val="20"/>
        </w:rPr>
        <w:t> </w:t>
      </w:r>
      <w:r>
        <w:rPr>
          <w:sz w:val="20"/>
        </w:rPr>
        <w:t>impartial. The RNS suggests some strategies to assure </w:t>
      </w:r>
      <w:r>
        <w:rPr>
          <w:spacing w:val="-2"/>
          <w:sz w:val="20"/>
        </w:rPr>
        <w:t>everyone </w:t>
      </w:r>
      <w:r>
        <w:rPr>
          <w:spacing w:val="-3"/>
          <w:sz w:val="20"/>
        </w:rPr>
        <w:t>present </w:t>
      </w:r>
      <w:r>
        <w:rPr>
          <w:sz w:val="20"/>
        </w:rPr>
        <w:t>that </w:t>
      </w:r>
      <w:r>
        <w:rPr>
          <w:spacing w:val="-3"/>
          <w:sz w:val="20"/>
        </w:rPr>
        <w:t>interpreting </w:t>
      </w:r>
      <w:r>
        <w:rPr>
          <w:sz w:val="20"/>
        </w:rPr>
        <w:t>will occur </w:t>
      </w:r>
      <w:r>
        <w:rPr>
          <w:spacing w:val="-3"/>
          <w:sz w:val="20"/>
        </w:rPr>
        <w:t>impartially, </w:t>
      </w:r>
      <w:r>
        <w:rPr>
          <w:sz w:val="20"/>
        </w:rPr>
        <w:t>for</w:t>
      </w:r>
      <w:r>
        <w:rPr>
          <w:spacing w:val="-10"/>
          <w:sz w:val="20"/>
        </w:rPr>
        <w:t> </w:t>
      </w:r>
      <w:r>
        <w:rPr>
          <w:spacing w:val="-3"/>
          <w:sz w:val="20"/>
        </w:rPr>
        <w:t>example:</w:t>
      </w:r>
    </w:p>
    <w:p>
      <w:pPr>
        <w:pStyle w:val="ListParagraph"/>
        <w:numPr>
          <w:ilvl w:val="2"/>
          <w:numId w:val="12"/>
        </w:numPr>
        <w:tabs>
          <w:tab w:pos="2157" w:val="left" w:leader="none"/>
          <w:tab w:pos="2158" w:val="left" w:leader="none"/>
        </w:tabs>
        <w:spacing w:line="206" w:lineRule="auto" w:before="124" w:after="0"/>
        <w:ind w:left="2157" w:right="1427" w:hanging="396"/>
        <w:jc w:val="left"/>
        <w:rPr>
          <w:sz w:val="20"/>
        </w:rPr>
      </w:pPr>
      <w:r>
        <w:rPr>
          <w:sz w:val="20"/>
        </w:rPr>
        <w:t>establishing</w:t>
      </w:r>
      <w:r>
        <w:rPr>
          <w:spacing w:val="-11"/>
          <w:sz w:val="20"/>
        </w:rPr>
        <w:t> </w:t>
      </w:r>
      <w:r>
        <w:rPr>
          <w:sz w:val="20"/>
        </w:rPr>
        <w:t>an</w:t>
      </w:r>
      <w:r>
        <w:rPr>
          <w:spacing w:val="-10"/>
          <w:sz w:val="20"/>
        </w:rPr>
        <w:t> </w:t>
      </w:r>
      <w:r>
        <w:rPr>
          <w:spacing w:val="-3"/>
          <w:sz w:val="20"/>
        </w:rPr>
        <w:t>interpreting</w:t>
      </w:r>
      <w:r>
        <w:rPr>
          <w:spacing w:val="-11"/>
          <w:sz w:val="20"/>
        </w:rPr>
        <w:t> </w:t>
      </w:r>
      <w:r>
        <w:rPr>
          <w:sz w:val="20"/>
        </w:rPr>
        <w:t>team</w:t>
      </w:r>
      <w:r>
        <w:rPr>
          <w:spacing w:val="-10"/>
          <w:sz w:val="20"/>
        </w:rPr>
        <w:t> </w:t>
      </w:r>
      <w:r>
        <w:rPr>
          <w:sz w:val="20"/>
        </w:rPr>
        <w:t>to</w:t>
      </w:r>
      <w:r>
        <w:rPr>
          <w:spacing w:val="-10"/>
          <w:sz w:val="20"/>
        </w:rPr>
        <w:t> </w:t>
      </w:r>
      <w:r>
        <w:rPr>
          <w:spacing w:val="-3"/>
          <w:sz w:val="20"/>
        </w:rPr>
        <w:t>reduce</w:t>
      </w:r>
      <w:r>
        <w:rPr>
          <w:spacing w:val="-11"/>
          <w:sz w:val="20"/>
        </w:rPr>
        <w:t> </w:t>
      </w:r>
      <w:r>
        <w:rPr>
          <w:sz w:val="20"/>
        </w:rPr>
        <w:t>fatigue</w:t>
      </w:r>
      <w:r>
        <w:rPr>
          <w:spacing w:val="-10"/>
          <w:sz w:val="20"/>
        </w:rPr>
        <w:t> </w:t>
      </w:r>
      <w:r>
        <w:rPr>
          <w:sz w:val="20"/>
        </w:rPr>
        <w:t>and</w:t>
      </w:r>
      <w:r>
        <w:rPr>
          <w:spacing w:val="-11"/>
          <w:sz w:val="20"/>
        </w:rPr>
        <w:t> </w:t>
      </w:r>
      <w:r>
        <w:rPr>
          <w:sz w:val="20"/>
        </w:rPr>
        <w:t>cross-check</w:t>
      </w:r>
      <w:r>
        <w:rPr>
          <w:spacing w:val="-10"/>
          <w:sz w:val="20"/>
        </w:rPr>
        <w:t> </w:t>
      </w:r>
      <w:r>
        <w:rPr>
          <w:sz w:val="20"/>
        </w:rPr>
        <w:t>each</w:t>
      </w:r>
      <w:r>
        <w:rPr>
          <w:spacing w:val="-10"/>
          <w:sz w:val="20"/>
        </w:rPr>
        <w:t> </w:t>
      </w:r>
      <w:r>
        <w:rPr>
          <w:sz w:val="20"/>
        </w:rPr>
        <w:t>other’s renditions</w:t>
      </w:r>
    </w:p>
    <w:p>
      <w:pPr>
        <w:pStyle w:val="ListParagraph"/>
        <w:numPr>
          <w:ilvl w:val="2"/>
          <w:numId w:val="12"/>
        </w:numPr>
        <w:tabs>
          <w:tab w:pos="2157" w:val="left" w:leader="none"/>
          <w:tab w:pos="2158" w:val="left" w:leader="none"/>
        </w:tabs>
        <w:spacing w:line="240" w:lineRule="auto" w:before="55" w:after="0"/>
        <w:ind w:left="2157" w:right="0" w:hanging="396"/>
        <w:jc w:val="left"/>
        <w:rPr>
          <w:sz w:val="20"/>
        </w:rPr>
      </w:pPr>
      <w:r>
        <w:rPr>
          <w:spacing w:val="-3"/>
          <w:sz w:val="20"/>
        </w:rPr>
        <w:t>employing </w:t>
      </w:r>
      <w:r>
        <w:rPr>
          <w:sz w:val="20"/>
        </w:rPr>
        <w:t>an </w:t>
      </w:r>
      <w:r>
        <w:rPr>
          <w:spacing w:val="-3"/>
          <w:sz w:val="20"/>
        </w:rPr>
        <w:t>interpreter from interstate </w:t>
      </w:r>
      <w:r>
        <w:rPr>
          <w:sz w:val="20"/>
        </w:rPr>
        <w:t>or</w:t>
      </w:r>
      <w:r>
        <w:rPr>
          <w:spacing w:val="-12"/>
          <w:sz w:val="20"/>
        </w:rPr>
        <w:t> </w:t>
      </w:r>
      <w:r>
        <w:rPr>
          <w:sz w:val="20"/>
        </w:rPr>
        <w:t>overseas.</w:t>
      </w:r>
      <w:r>
        <w:rPr>
          <w:position w:val="7"/>
          <w:sz w:val="11"/>
        </w:rPr>
        <w:t>21</w:t>
      </w:r>
    </w:p>
    <w:p>
      <w:pPr>
        <w:pStyle w:val="ListParagraph"/>
        <w:numPr>
          <w:ilvl w:val="1"/>
          <w:numId w:val="12"/>
        </w:numPr>
        <w:tabs>
          <w:tab w:pos="1761" w:val="left" w:leader="none"/>
          <w:tab w:pos="1762" w:val="left" w:leader="none"/>
        </w:tabs>
        <w:spacing w:line="259" w:lineRule="exact" w:before="48" w:after="0"/>
        <w:ind w:left="1761" w:right="0" w:hanging="794"/>
        <w:jc w:val="left"/>
        <w:rPr>
          <w:sz w:val="20"/>
        </w:rPr>
      </w:pPr>
      <w:r>
        <w:rPr>
          <w:sz w:val="20"/>
        </w:rPr>
        <w:t>The</w:t>
      </w:r>
      <w:r>
        <w:rPr>
          <w:spacing w:val="-8"/>
          <w:sz w:val="20"/>
        </w:rPr>
        <w:t> </w:t>
      </w:r>
      <w:r>
        <w:rPr>
          <w:sz w:val="20"/>
        </w:rPr>
        <w:t>RNS</w:t>
      </w:r>
      <w:r>
        <w:rPr>
          <w:spacing w:val="-7"/>
          <w:sz w:val="20"/>
        </w:rPr>
        <w:t> </w:t>
      </w:r>
      <w:r>
        <w:rPr>
          <w:sz w:val="20"/>
        </w:rPr>
        <w:t>acknowledge</w:t>
      </w:r>
      <w:r>
        <w:rPr>
          <w:spacing w:val="-7"/>
          <w:sz w:val="20"/>
        </w:rPr>
        <w:t> </w:t>
      </w:r>
      <w:r>
        <w:rPr>
          <w:sz w:val="20"/>
        </w:rPr>
        <w:t>that</w:t>
      </w:r>
      <w:r>
        <w:rPr>
          <w:spacing w:val="-7"/>
          <w:sz w:val="20"/>
        </w:rPr>
        <w:t> </w:t>
      </w:r>
      <w:r>
        <w:rPr>
          <w:sz w:val="20"/>
        </w:rPr>
        <w:t>it</w:t>
      </w:r>
      <w:r>
        <w:rPr>
          <w:spacing w:val="-7"/>
          <w:sz w:val="20"/>
        </w:rPr>
        <w:t> </w:t>
      </w:r>
      <w:r>
        <w:rPr>
          <w:sz w:val="20"/>
        </w:rPr>
        <w:t>can</w:t>
      </w:r>
      <w:r>
        <w:rPr>
          <w:spacing w:val="-7"/>
          <w:sz w:val="20"/>
        </w:rPr>
        <w:t> </w:t>
      </w:r>
      <w:r>
        <w:rPr>
          <w:sz w:val="20"/>
        </w:rPr>
        <w:t>be</w:t>
      </w:r>
      <w:r>
        <w:rPr>
          <w:spacing w:val="-8"/>
          <w:sz w:val="20"/>
        </w:rPr>
        <w:t> </w:t>
      </w:r>
      <w:r>
        <w:rPr>
          <w:sz w:val="20"/>
        </w:rPr>
        <w:t>difficult</w:t>
      </w:r>
      <w:r>
        <w:rPr>
          <w:spacing w:val="-7"/>
          <w:sz w:val="20"/>
        </w:rPr>
        <w:t> </w:t>
      </w:r>
      <w:r>
        <w:rPr>
          <w:sz w:val="20"/>
        </w:rPr>
        <w:t>to</w:t>
      </w:r>
      <w:r>
        <w:rPr>
          <w:spacing w:val="-7"/>
          <w:sz w:val="20"/>
        </w:rPr>
        <w:t> </w:t>
      </w:r>
      <w:r>
        <w:rPr>
          <w:sz w:val="20"/>
        </w:rPr>
        <w:t>obtain</w:t>
      </w:r>
      <w:r>
        <w:rPr>
          <w:spacing w:val="-7"/>
          <w:sz w:val="20"/>
        </w:rPr>
        <w:t> </w:t>
      </w:r>
      <w:r>
        <w:rPr>
          <w:spacing w:val="-3"/>
          <w:sz w:val="20"/>
        </w:rPr>
        <w:t>complete</w:t>
      </w:r>
      <w:r>
        <w:rPr>
          <w:spacing w:val="-8"/>
          <w:sz w:val="20"/>
        </w:rPr>
        <w:t> </w:t>
      </w:r>
      <w:r>
        <w:rPr>
          <w:sz w:val="20"/>
        </w:rPr>
        <w:t>independence</w:t>
      </w:r>
      <w:r>
        <w:rPr>
          <w:spacing w:val="-7"/>
          <w:sz w:val="20"/>
        </w:rPr>
        <w:t> </w:t>
      </w:r>
      <w:r>
        <w:rPr>
          <w:sz w:val="20"/>
        </w:rPr>
        <w:t>in</w:t>
      </w:r>
      <w:r>
        <w:rPr>
          <w:spacing w:val="-7"/>
          <w:sz w:val="20"/>
        </w:rPr>
        <w:t> </w:t>
      </w:r>
      <w:r>
        <w:rPr>
          <w:sz w:val="20"/>
        </w:rPr>
        <w:t>some</w:t>
      </w:r>
    </w:p>
    <w:p>
      <w:pPr>
        <w:pStyle w:val="BodyText"/>
        <w:spacing w:line="259" w:lineRule="exact"/>
        <w:ind w:left="1761"/>
      </w:pPr>
      <w:r>
        <w:rPr/>
        <w:t>circumstances, such as:</w:t>
      </w:r>
    </w:p>
    <w:p>
      <w:pPr>
        <w:spacing w:line="208" w:lineRule="auto" w:before="112"/>
        <w:ind w:left="2157" w:right="1150" w:firstLine="0"/>
        <w:jc w:val="left"/>
        <w:rPr>
          <w:sz w:val="11"/>
        </w:rPr>
      </w:pPr>
      <w:r>
        <w:rPr>
          <w:sz w:val="19"/>
        </w:rPr>
        <w:t>there are limited numbers of qualified interpreters in a particular language or dialect … In such cases, the court should take extra steps to satisfy itself that the arrangement is acceptable to the court and to the parties, and should closely monitor the situation.</w:t>
      </w:r>
      <w:r>
        <w:rPr>
          <w:position w:val="6"/>
          <w:sz w:val="11"/>
        </w:rPr>
        <w:t>22</w:t>
      </w:r>
    </w:p>
    <w:p>
      <w:pPr>
        <w:pStyle w:val="ListParagraph"/>
        <w:numPr>
          <w:ilvl w:val="1"/>
          <w:numId w:val="12"/>
        </w:numPr>
        <w:tabs>
          <w:tab w:pos="1761" w:val="left" w:leader="none"/>
          <w:tab w:pos="1762" w:val="left" w:leader="none"/>
        </w:tabs>
        <w:spacing w:line="206" w:lineRule="auto" w:before="124" w:after="0"/>
        <w:ind w:left="1761" w:right="1871" w:hanging="794"/>
        <w:jc w:val="left"/>
        <w:rPr>
          <w:sz w:val="20"/>
        </w:rPr>
      </w:pPr>
      <w:r>
        <w:rPr>
          <w:sz w:val="20"/>
        </w:rPr>
        <w:t>It</w:t>
      </w:r>
      <w:r>
        <w:rPr>
          <w:spacing w:val="-9"/>
          <w:sz w:val="20"/>
        </w:rPr>
        <w:t> </w:t>
      </w:r>
      <w:r>
        <w:rPr>
          <w:sz w:val="20"/>
        </w:rPr>
        <w:t>is</w:t>
      </w:r>
      <w:r>
        <w:rPr>
          <w:spacing w:val="-9"/>
          <w:sz w:val="20"/>
        </w:rPr>
        <w:t> </w:t>
      </w:r>
      <w:r>
        <w:rPr>
          <w:sz w:val="20"/>
        </w:rPr>
        <w:t>important</w:t>
      </w:r>
      <w:r>
        <w:rPr>
          <w:spacing w:val="-9"/>
          <w:sz w:val="20"/>
        </w:rPr>
        <w:t> </w:t>
      </w:r>
      <w:r>
        <w:rPr>
          <w:sz w:val="20"/>
        </w:rPr>
        <w:t>that</w:t>
      </w:r>
      <w:r>
        <w:rPr>
          <w:spacing w:val="-9"/>
          <w:sz w:val="20"/>
        </w:rPr>
        <w:t> </w:t>
      </w:r>
      <w:r>
        <w:rPr>
          <w:spacing w:val="-3"/>
          <w:sz w:val="20"/>
        </w:rPr>
        <w:t>interpreters</w:t>
      </w:r>
      <w:r>
        <w:rPr>
          <w:spacing w:val="-9"/>
          <w:sz w:val="20"/>
        </w:rPr>
        <w:t> </w:t>
      </w:r>
      <w:r>
        <w:rPr>
          <w:spacing w:val="-4"/>
          <w:sz w:val="20"/>
        </w:rPr>
        <w:t>have</w:t>
      </w:r>
      <w:r>
        <w:rPr>
          <w:spacing w:val="-9"/>
          <w:sz w:val="20"/>
        </w:rPr>
        <w:t> </w:t>
      </w:r>
      <w:r>
        <w:rPr>
          <w:sz w:val="20"/>
        </w:rPr>
        <w:t>the</w:t>
      </w:r>
      <w:r>
        <w:rPr>
          <w:spacing w:val="-9"/>
          <w:sz w:val="20"/>
        </w:rPr>
        <w:t> </w:t>
      </w:r>
      <w:r>
        <w:rPr>
          <w:spacing w:val="-3"/>
          <w:sz w:val="20"/>
        </w:rPr>
        <w:t>appropriate</w:t>
      </w:r>
      <w:r>
        <w:rPr>
          <w:spacing w:val="-9"/>
          <w:sz w:val="20"/>
        </w:rPr>
        <w:t> </w:t>
      </w:r>
      <w:r>
        <w:rPr>
          <w:sz w:val="20"/>
        </w:rPr>
        <w:t>training</w:t>
      </w:r>
      <w:r>
        <w:rPr>
          <w:spacing w:val="-9"/>
          <w:sz w:val="20"/>
        </w:rPr>
        <w:t> </w:t>
      </w:r>
      <w:r>
        <w:rPr>
          <w:sz w:val="20"/>
        </w:rPr>
        <w:t>and</w:t>
      </w:r>
      <w:r>
        <w:rPr>
          <w:spacing w:val="-9"/>
          <w:sz w:val="20"/>
        </w:rPr>
        <w:t> </w:t>
      </w:r>
      <w:r>
        <w:rPr>
          <w:sz w:val="20"/>
        </w:rPr>
        <w:t>qualifications</w:t>
      </w:r>
      <w:r>
        <w:rPr>
          <w:spacing w:val="-9"/>
          <w:sz w:val="20"/>
        </w:rPr>
        <w:t> </w:t>
      </w:r>
      <w:r>
        <w:rPr>
          <w:sz w:val="20"/>
        </w:rPr>
        <w:t>to effectively </w:t>
      </w:r>
      <w:r>
        <w:rPr>
          <w:spacing w:val="-3"/>
          <w:sz w:val="20"/>
        </w:rPr>
        <w:t>interpret </w:t>
      </w:r>
      <w:r>
        <w:rPr>
          <w:sz w:val="20"/>
        </w:rPr>
        <w:t>for the </w:t>
      </w:r>
      <w:r>
        <w:rPr>
          <w:spacing w:val="-4"/>
          <w:sz w:val="20"/>
        </w:rPr>
        <w:t>juror. </w:t>
      </w:r>
      <w:r>
        <w:rPr>
          <w:sz w:val="20"/>
        </w:rPr>
        <w:t>As noted </w:t>
      </w:r>
      <w:r>
        <w:rPr>
          <w:spacing w:val="-3"/>
          <w:sz w:val="20"/>
        </w:rPr>
        <w:t>by </w:t>
      </w:r>
      <w:r>
        <w:rPr>
          <w:sz w:val="20"/>
        </w:rPr>
        <w:t>Alastair</w:t>
      </w:r>
      <w:r>
        <w:rPr>
          <w:spacing w:val="-36"/>
          <w:sz w:val="20"/>
        </w:rPr>
        <w:t> </w:t>
      </w:r>
      <w:r>
        <w:rPr>
          <w:spacing w:val="-3"/>
          <w:sz w:val="20"/>
        </w:rPr>
        <w:t>McEwin:</w:t>
      </w:r>
    </w:p>
    <w:p>
      <w:pPr>
        <w:spacing w:line="208" w:lineRule="auto" w:before="120"/>
        <w:ind w:left="2157" w:right="1493" w:firstLine="0"/>
        <w:jc w:val="left"/>
        <w:rPr>
          <w:sz w:val="11"/>
        </w:rPr>
      </w:pPr>
      <w:r>
        <w:rPr>
          <w:sz w:val="19"/>
        </w:rPr>
        <w:t>a deaf person may want their own interpreter or captioner. However, it is important to ensure that everyone gets the same level of information and quality of access. An interpreter might be known to a deaf person, but they might not be qualified to interpret in court, so they might not be the best person for that job.</w:t>
      </w:r>
      <w:r>
        <w:rPr>
          <w:position w:val="6"/>
          <w:sz w:val="11"/>
        </w:rPr>
        <w:t>23</w:t>
      </w:r>
    </w:p>
    <w:p>
      <w:pPr>
        <w:pStyle w:val="ListParagraph"/>
        <w:numPr>
          <w:ilvl w:val="1"/>
          <w:numId w:val="12"/>
        </w:numPr>
        <w:tabs>
          <w:tab w:pos="1761" w:val="left" w:leader="none"/>
          <w:tab w:pos="1762" w:val="left" w:leader="none"/>
        </w:tabs>
        <w:spacing w:line="206" w:lineRule="auto" w:before="125" w:after="0"/>
        <w:ind w:left="1761" w:right="1269" w:hanging="794"/>
        <w:jc w:val="left"/>
        <w:rPr>
          <w:sz w:val="20"/>
        </w:rPr>
      </w:pPr>
      <w:r>
        <w:rPr/>
        <w:pict>
          <v:line style="position:absolute;mso-position-horizontal-relative:page;mso-position-vertical-relative:paragraph;z-index:8384;mso-wrap-distance-left:0;mso-wrap-distance-right:0" from="79.370102pt,96.633003pt" to="515.905102pt,96.633003pt" stroked="true" strokeweight="1pt" strokecolor="#b6bdc8">
            <v:stroke dashstyle="solid"/>
            <w10:wrap type="topAndBottom"/>
          </v:line>
        </w:pict>
      </w:r>
      <w:r>
        <w:rPr>
          <w:sz w:val="20"/>
        </w:rPr>
        <w:t>Service </w:t>
      </w:r>
      <w:r>
        <w:rPr>
          <w:spacing w:val="-3"/>
          <w:sz w:val="20"/>
        </w:rPr>
        <w:t>providers </w:t>
      </w:r>
      <w:r>
        <w:rPr>
          <w:sz w:val="20"/>
        </w:rPr>
        <w:t>often </w:t>
      </w:r>
      <w:r>
        <w:rPr>
          <w:spacing w:val="-3"/>
          <w:sz w:val="20"/>
        </w:rPr>
        <w:t>allow </w:t>
      </w:r>
      <w:r>
        <w:rPr>
          <w:sz w:val="20"/>
        </w:rPr>
        <w:t>deaf people to nominate </w:t>
      </w:r>
      <w:r>
        <w:rPr>
          <w:spacing w:val="-3"/>
          <w:sz w:val="20"/>
        </w:rPr>
        <w:t>preferred </w:t>
      </w:r>
      <w:r>
        <w:rPr>
          <w:sz w:val="20"/>
        </w:rPr>
        <w:t>Auslan </w:t>
      </w:r>
      <w:r>
        <w:rPr>
          <w:spacing w:val="-3"/>
          <w:sz w:val="20"/>
        </w:rPr>
        <w:t>interpreters </w:t>
      </w:r>
      <w:r>
        <w:rPr>
          <w:sz w:val="20"/>
        </w:rPr>
        <w:t>and to specify </w:t>
      </w:r>
      <w:r>
        <w:rPr>
          <w:spacing w:val="-3"/>
          <w:sz w:val="20"/>
        </w:rPr>
        <w:t>interpreters </w:t>
      </w:r>
      <w:r>
        <w:rPr>
          <w:sz w:val="20"/>
        </w:rPr>
        <w:t>they do not want to </w:t>
      </w:r>
      <w:r>
        <w:rPr>
          <w:spacing w:val="-3"/>
          <w:sz w:val="20"/>
        </w:rPr>
        <w:t>work </w:t>
      </w:r>
      <w:r>
        <w:rPr>
          <w:sz w:val="20"/>
        </w:rPr>
        <w:t>with. If possible, this should continue. </w:t>
      </w:r>
      <w:r>
        <w:rPr>
          <w:spacing w:val="-4"/>
          <w:sz w:val="20"/>
        </w:rPr>
        <w:t>Ultimately, </w:t>
      </w:r>
      <w:r>
        <w:rPr>
          <w:spacing w:val="-5"/>
          <w:sz w:val="20"/>
        </w:rPr>
        <w:t>however, </w:t>
      </w:r>
      <w:r>
        <w:rPr>
          <w:sz w:val="20"/>
        </w:rPr>
        <w:t>the scheduling needs of the Court and Juries Victoria should</w:t>
      </w:r>
      <w:r>
        <w:rPr>
          <w:spacing w:val="-11"/>
          <w:sz w:val="20"/>
        </w:rPr>
        <w:t> </w:t>
      </w:r>
      <w:r>
        <w:rPr>
          <w:spacing w:val="-3"/>
          <w:sz w:val="20"/>
        </w:rPr>
        <w:t>overrule</w:t>
      </w:r>
      <w:r>
        <w:rPr>
          <w:spacing w:val="-11"/>
          <w:sz w:val="20"/>
        </w:rPr>
        <w:t> </w:t>
      </w:r>
      <w:r>
        <w:rPr>
          <w:spacing w:val="-3"/>
          <w:sz w:val="20"/>
        </w:rPr>
        <w:t>any</w:t>
      </w:r>
      <w:r>
        <w:rPr>
          <w:spacing w:val="-10"/>
          <w:sz w:val="20"/>
        </w:rPr>
        <w:t> </w:t>
      </w:r>
      <w:r>
        <w:rPr>
          <w:sz w:val="20"/>
        </w:rPr>
        <w:t>personal</w:t>
      </w:r>
      <w:r>
        <w:rPr>
          <w:spacing w:val="-11"/>
          <w:sz w:val="20"/>
        </w:rPr>
        <w:t> </w:t>
      </w:r>
      <w:r>
        <w:rPr>
          <w:sz w:val="20"/>
        </w:rPr>
        <w:t>preferences.</w:t>
      </w:r>
      <w:r>
        <w:rPr>
          <w:spacing w:val="-10"/>
          <w:sz w:val="20"/>
        </w:rPr>
        <w:t> </w:t>
      </w:r>
      <w:r>
        <w:rPr>
          <w:sz w:val="20"/>
        </w:rPr>
        <w:t>If</w:t>
      </w:r>
      <w:r>
        <w:rPr>
          <w:spacing w:val="-11"/>
          <w:sz w:val="20"/>
        </w:rPr>
        <w:t> </w:t>
      </w:r>
      <w:r>
        <w:rPr>
          <w:sz w:val="20"/>
        </w:rPr>
        <w:t>this</w:t>
      </w:r>
      <w:r>
        <w:rPr>
          <w:spacing w:val="-10"/>
          <w:sz w:val="20"/>
        </w:rPr>
        <w:t> </w:t>
      </w:r>
      <w:r>
        <w:rPr>
          <w:sz w:val="20"/>
        </w:rPr>
        <w:t>means</w:t>
      </w:r>
      <w:r>
        <w:rPr>
          <w:spacing w:val="-11"/>
          <w:sz w:val="20"/>
        </w:rPr>
        <w:t> </w:t>
      </w:r>
      <w:r>
        <w:rPr>
          <w:sz w:val="20"/>
        </w:rPr>
        <w:t>that</w:t>
      </w:r>
      <w:r>
        <w:rPr>
          <w:spacing w:val="-10"/>
          <w:sz w:val="20"/>
        </w:rPr>
        <w:t> </w:t>
      </w:r>
      <w:r>
        <w:rPr>
          <w:sz w:val="20"/>
        </w:rPr>
        <w:t>a</w:t>
      </w:r>
      <w:r>
        <w:rPr>
          <w:spacing w:val="-11"/>
          <w:sz w:val="20"/>
        </w:rPr>
        <w:t> </w:t>
      </w:r>
      <w:r>
        <w:rPr>
          <w:sz w:val="20"/>
        </w:rPr>
        <w:t>person</w:t>
      </w:r>
      <w:r>
        <w:rPr>
          <w:spacing w:val="-10"/>
          <w:sz w:val="20"/>
        </w:rPr>
        <w:t> </w:t>
      </w:r>
      <w:r>
        <w:rPr>
          <w:sz w:val="20"/>
        </w:rPr>
        <w:t>is</w:t>
      </w:r>
      <w:r>
        <w:rPr>
          <w:spacing w:val="-11"/>
          <w:sz w:val="20"/>
        </w:rPr>
        <w:t> </w:t>
      </w:r>
      <w:r>
        <w:rPr>
          <w:sz w:val="20"/>
        </w:rPr>
        <w:t>uncomfortable serving, then that person could </w:t>
      </w:r>
      <w:r>
        <w:rPr>
          <w:spacing w:val="-3"/>
          <w:sz w:val="20"/>
        </w:rPr>
        <w:t>apply </w:t>
      </w:r>
      <w:r>
        <w:rPr>
          <w:sz w:val="20"/>
        </w:rPr>
        <w:t>to </w:t>
      </w:r>
      <w:r>
        <w:rPr>
          <w:spacing w:val="-4"/>
          <w:sz w:val="20"/>
        </w:rPr>
        <w:t>have </w:t>
      </w:r>
      <w:r>
        <w:rPr>
          <w:sz w:val="20"/>
        </w:rPr>
        <w:t>their service deferred. If deferred, the </w:t>
      </w:r>
      <w:r>
        <w:rPr>
          <w:spacing w:val="-3"/>
          <w:sz w:val="20"/>
        </w:rPr>
        <w:t>preferred </w:t>
      </w:r>
      <w:r>
        <w:rPr>
          <w:sz w:val="20"/>
        </w:rPr>
        <w:t>Auslan </w:t>
      </w:r>
      <w:r>
        <w:rPr>
          <w:spacing w:val="-3"/>
          <w:sz w:val="20"/>
        </w:rPr>
        <w:t>interpreter </w:t>
      </w:r>
      <w:r>
        <w:rPr>
          <w:sz w:val="20"/>
        </w:rPr>
        <w:t>might be </w:t>
      </w:r>
      <w:r>
        <w:rPr>
          <w:spacing w:val="-3"/>
          <w:sz w:val="20"/>
        </w:rPr>
        <w:t>available </w:t>
      </w:r>
      <w:r>
        <w:rPr>
          <w:sz w:val="20"/>
        </w:rPr>
        <w:t>at a later </w:t>
      </w:r>
      <w:r>
        <w:rPr>
          <w:spacing w:val="-3"/>
          <w:sz w:val="20"/>
        </w:rPr>
        <w:t>date. </w:t>
      </w:r>
      <w:r>
        <w:rPr>
          <w:spacing w:val="-5"/>
          <w:sz w:val="20"/>
        </w:rPr>
        <w:t>However, </w:t>
      </w:r>
      <w:r>
        <w:rPr>
          <w:sz w:val="20"/>
        </w:rPr>
        <w:t>in </w:t>
      </w:r>
      <w:r>
        <w:rPr>
          <w:spacing w:val="-2"/>
          <w:sz w:val="20"/>
        </w:rPr>
        <w:t>Chapter </w:t>
      </w:r>
      <w:r>
        <w:rPr>
          <w:sz w:val="20"/>
        </w:rPr>
        <w:t>11 </w:t>
      </w:r>
      <w:r>
        <w:rPr>
          <w:spacing w:val="-3"/>
          <w:sz w:val="20"/>
        </w:rPr>
        <w:t>we</w:t>
      </w:r>
      <w:r>
        <w:rPr>
          <w:spacing w:val="-9"/>
          <w:sz w:val="20"/>
        </w:rPr>
        <w:t> </w:t>
      </w:r>
      <w:r>
        <w:rPr>
          <w:sz w:val="20"/>
        </w:rPr>
        <w:t>recommend</w:t>
      </w:r>
      <w:r>
        <w:rPr>
          <w:spacing w:val="-8"/>
          <w:sz w:val="20"/>
        </w:rPr>
        <w:t> </w:t>
      </w:r>
      <w:r>
        <w:rPr>
          <w:sz w:val="20"/>
        </w:rPr>
        <w:t>that</w:t>
      </w:r>
      <w:r>
        <w:rPr>
          <w:spacing w:val="-9"/>
          <w:sz w:val="20"/>
        </w:rPr>
        <w:t> </w:t>
      </w:r>
      <w:r>
        <w:rPr>
          <w:sz w:val="20"/>
        </w:rPr>
        <w:t>the</w:t>
      </w:r>
      <w:r>
        <w:rPr>
          <w:spacing w:val="-8"/>
          <w:sz w:val="20"/>
        </w:rPr>
        <w:t> </w:t>
      </w:r>
      <w:r>
        <w:rPr>
          <w:sz w:val="20"/>
        </w:rPr>
        <w:t>new</w:t>
      </w:r>
      <w:r>
        <w:rPr>
          <w:spacing w:val="-9"/>
          <w:sz w:val="20"/>
        </w:rPr>
        <w:t> </w:t>
      </w:r>
      <w:r>
        <w:rPr>
          <w:spacing w:val="-3"/>
          <w:sz w:val="20"/>
        </w:rPr>
        <w:t>own</w:t>
      </w:r>
      <w:r>
        <w:rPr>
          <w:spacing w:val="-8"/>
          <w:sz w:val="20"/>
        </w:rPr>
        <w:t> </w:t>
      </w:r>
      <w:r>
        <w:rPr>
          <w:sz w:val="20"/>
        </w:rPr>
        <w:t>motion</w:t>
      </w:r>
      <w:r>
        <w:rPr>
          <w:spacing w:val="-9"/>
          <w:sz w:val="20"/>
        </w:rPr>
        <w:t> </w:t>
      </w:r>
      <w:r>
        <w:rPr>
          <w:spacing w:val="-3"/>
          <w:sz w:val="20"/>
        </w:rPr>
        <w:t>power</w:t>
      </w:r>
      <w:r>
        <w:rPr>
          <w:spacing w:val="-8"/>
          <w:sz w:val="20"/>
        </w:rPr>
        <w:t> </w:t>
      </w:r>
      <w:r>
        <w:rPr>
          <w:sz w:val="20"/>
        </w:rPr>
        <w:t>for</w:t>
      </w:r>
      <w:r>
        <w:rPr>
          <w:spacing w:val="-9"/>
          <w:sz w:val="20"/>
        </w:rPr>
        <w:t> </w:t>
      </w:r>
      <w:r>
        <w:rPr>
          <w:sz w:val="20"/>
        </w:rPr>
        <w:t>the</w:t>
      </w:r>
      <w:r>
        <w:rPr>
          <w:spacing w:val="-8"/>
          <w:sz w:val="20"/>
        </w:rPr>
        <w:t> </w:t>
      </w:r>
      <w:r>
        <w:rPr>
          <w:sz w:val="20"/>
        </w:rPr>
        <w:t>Juries</w:t>
      </w:r>
      <w:r>
        <w:rPr>
          <w:spacing w:val="-9"/>
          <w:sz w:val="20"/>
        </w:rPr>
        <w:t> </w:t>
      </w:r>
      <w:r>
        <w:rPr>
          <w:sz w:val="20"/>
        </w:rPr>
        <w:t>Commissioner</w:t>
      </w:r>
      <w:r>
        <w:rPr>
          <w:spacing w:val="-8"/>
          <w:sz w:val="20"/>
        </w:rPr>
        <w:t> </w:t>
      </w:r>
      <w:r>
        <w:rPr>
          <w:sz w:val="20"/>
        </w:rPr>
        <w:t>to</w:t>
      </w:r>
      <w:r>
        <w:rPr>
          <w:spacing w:val="-9"/>
          <w:sz w:val="20"/>
        </w:rPr>
        <w:t> </w:t>
      </w:r>
      <w:r>
        <w:rPr>
          <w:sz w:val="20"/>
        </w:rPr>
        <w:t>defer</w: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99"/>
        </w:numPr>
        <w:tabs>
          <w:tab w:pos="1760" w:val="left" w:leader="none"/>
          <w:tab w:pos="1762" w:val="left" w:leader="none"/>
        </w:tabs>
        <w:spacing w:line="170" w:lineRule="exact" w:before="21" w:after="0"/>
        <w:ind w:left="1761" w:right="0" w:hanging="794"/>
        <w:jc w:val="left"/>
        <w:rPr>
          <w:i/>
          <w:sz w:val="13"/>
        </w:rPr>
      </w:pPr>
      <w:r>
        <w:rPr>
          <w:sz w:val="13"/>
        </w:rPr>
        <w:t>Judicial</w:t>
      </w:r>
      <w:r>
        <w:rPr>
          <w:spacing w:val="4"/>
          <w:sz w:val="13"/>
        </w:rPr>
        <w:t> </w:t>
      </w:r>
      <w:r>
        <w:rPr>
          <w:sz w:val="13"/>
        </w:rPr>
        <w:t>Council</w:t>
      </w:r>
      <w:r>
        <w:rPr>
          <w:spacing w:val="5"/>
          <w:sz w:val="13"/>
        </w:rPr>
        <w:t> </w:t>
      </w:r>
      <w:r>
        <w:rPr>
          <w:sz w:val="13"/>
        </w:rPr>
        <w:t>on</w:t>
      </w:r>
      <w:r>
        <w:rPr>
          <w:spacing w:val="4"/>
          <w:sz w:val="13"/>
        </w:rPr>
        <w:t> </w:t>
      </w:r>
      <w:r>
        <w:rPr>
          <w:sz w:val="13"/>
        </w:rPr>
        <w:t>Cultural</w:t>
      </w:r>
      <w:r>
        <w:rPr>
          <w:spacing w:val="5"/>
          <w:sz w:val="13"/>
        </w:rPr>
        <w:t> </w:t>
      </w:r>
      <w:r>
        <w:rPr>
          <w:sz w:val="13"/>
        </w:rPr>
        <w:t>Diversity,</w:t>
      </w:r>
      <w:r>
        <w:rPr>
          <w:spacing w:val="5"/>
          <w:sz w:val="13"/>
        </w:rPr>
        <w:t> </w:t>
      </w:r>
      <w:r>
        <w:rPr>
          <w:i/>
          <w:spacing w:val="2"/>
          <w:sz w:val="13"/>
        </w:rPr>
        <w:t>Recommended</w:t>
      </w:r>
      <w:r>
        <w:rPr>
          <w:i/>
          <w:spacing w:val="4"/>
          <w:sz w:val="13"/>
        </w:rPr>
        <w:t> </w:t>
      </w:r>
      <w:r>
        <w:rPr>
          <w:i/>
          <w:sz w:val="13"/>
        </w:rPr>
        <w:t>National</w:t>
      </w:r>
      <w:r>
        <w:rPr>
          <w:i/>
          <w:spacing w:val="5"/>
          <w:sz w:val="13"/>
        </w:rPr>
        <w:t> </w:t>
      </w:r>
      <w:r>
        <w:rPr>
          <w:i/>
          <w:sz w:val="13"/>
        </w:rPr>
        <w:t>Standards</w:t>
      </w:r>
      <w:r>
        <w:rPr>
          <w:i/>
          <w:spacing w:val="4"/>
          <w:sz w:val="13"/>
        </w:rPr>
        <w:t> </w:t>
      </w:r>
      <w:r>
        <w:rPr>
          <w:i/>
          <w:sz w:val="13"/>
        </w:rPr>
        <w:t>for</w:t>
      </w:r>
      <w:r>
        <w:rPr>
          <w:i/>
          <w:spacing w:val="4"/>
          <w:sz w:val="13"/>
        </w:rPr>
        <w:t> </w:t>
      </w:r>
      <w:r>
        <w:rPr>
          <w:i/>
          <w:sz w:val="13"/>
        </w:rPr>
        <w:t>Working</w:t>
      </w:r>
      <w:r>
        <w:rPr>
          <w:i/>
          <w:spacing w:val="4"/>
          <w:sz w:val="13"/>
        </w:rPr>
        <w:t> </w:t>
      </w:r>
      <w:r>
        <w:rPr>
          <w:i/>
          <w:sz w:val="13"/>
        </w:rPr>
        <w:t>with</w:t>
      </w:r>
      <w:r>
        <w:rPr>
          <w:i/>
          <w:spacing w:val="5"/>
          <w:sz w:val="13"/>
        </w:rPr>
        <w:t> </w:t>
      </w:r>
      <w:r>
        <w:rPr>
          <w:i/>
          <w:sz w:val="13"/>
        </w:rPr>
        <w:t>Interpreters</w:t>
      </w:r>
      <w:r>
        <w:rPr>
          <w:i/>
          <w:spacing w:val="5"/>
          <w:sz w:val="13"/>
        </w:rPr>
        <w:t> </w:t>
      </w:r>
      <w:r>
        <w:rPr>
          <w:i/>
          <w:sz w:val="13"/>
        </w:rPr>
        <w:t>in</w:t>
      </w:r>
      <w:r>
        <w:rPr>
          <w:i/>
          <w:spacing w:val="3"/>
          <w:sz w:val="13"/>
        </w:rPr>
        <w:t> </w:t>
      </w:r>
      <w:r>
        <w:rPr>
          <w:i/>
          <w:spacing w:val="2"/>
          <w:sz w:val="13"/>
        </w:rPr>
        <w:t>Courts</w:t>
      </w:r>
      <w:r>
        <w:rPr>
          <w:i/>
          <w:spacing w:val="4"/>
          <w:sz w:val="13"/>
        </w:rPr>
        <w:t> </w:t>
      </w:r>
      <w:r>
        <w:rPr>
          <w:i/>
          <w:sz w:val="13"/>
        </w:rPr>
        <w:t>and</w:t>
      </w:r>
      <w:r>
        <w:rPr>
          <w:i/>
          <w:spacing w:val="5"/>
          <w:sz w:val="13"/>
        </w:rPr>
        <w:t> </w:t>
      </w:r>
      <w:r>
        <w:rPr>
          <w:i/>
          <w:sz w:val="13"/>
        </w:rPr>
        <w:t>Tribunals</w:t>
      </w:r>
    </w:p>
    <w:p>
      <w:pPr>
        <w:spacing w:line="160" w:lineRule="exact" w:before="0"/>
        <w:ind w:left="1761" w:right="0" w:firstLine="0"/>
        <w:jc w:val="left"/>
        <w:rPr>
          <w:sz w:val="13"/>
        </w:rPr>
      </w:pPr>
      <w:r>
        <w:rPr>
          <w:sz w:val="13"/>
        </w:rPr>
        <w:t>(Report, Second Edition, March 2022) 59.</w:t>
      </w:r>
    </w:p>
    <w:p>
      <w:pPr>
        <w:pStyle w:val="ListParagraph"/>
        <w:numPr>
          <w:ilvl w:val="0"/>
          <w:numId w:val="99"/>
        </w:numPr>
        <w:tabs>
          <w:tab w:pos="1761" w:val="left" w:leader="none"/>
          <w:tab w:pos="1762" w:val="left" w:leader="none"/>
        </w:tabs>
        <w:spacing w:line="160" w:lineRule="exact" w:before="0" w:after="0"/>
        <w:ind w:left="1761" w:right="0" w:hanging="794"/>
        <w:jc w:val="left"/>
        <w:rPr>
          <w:sz w:val="13"/>
        </w:rPr>
      </w:pPr>
      <w:r>
        <w:rPr>
          <w:sz w:val="13"/>
        </w:rPr>
        <w:t>Information</w:t>
      </w:r>
      <w:r>
        <w:rPr>
          <w:spacing w:val="6"/>
          <w:sz w:val="13"/>
        </w:rPr>
        <w:t> </w:t>
      </w:r>
      <w:r>
        <w:rPr>
          <w:sz w:val="13"/>
        </w:rPr>
        <w:t>provided</w:t>
      </w:r>
      <w:r>
        <w:rPr>
          <w:spacing w:val="6"/>
          <w:sz w:val="13"/>
        </w:rPr>
        <w:t> </w:t>
      </w:r>
      <w:r>
        <w:rPr>
          <w:sz w:val="13"/>
        </w:rPr>
        <w:t>by</w:t>
      </w:r>
      <w:r>
        <w:rPr>
          <w:spacing w:val="6"/>
          <w:sz w:val="13"/>
        </w:rPr>
        <w:t> </w:t>
      </w:r>
      <w:r>
        <w:rPr>
          <w:sz w:val="13"/>
        </w:rPr>
        <w:t>Her</w:t>
      </w:r>
      <w:r>
        <w:rPr>
          <w:spacing w:val="6"/>
          <w:sz w:val="13"/>
        </w:rPr>
        <w:t> </w:t>
      </w:r>
      <w:r>
        <w:rPr>
          <w:sz w:val="13"/>
        </w:rPr>
        <w:t>Majesty’s</w:t>
      </w:r>
      <w:r>
        <w:rPr>
          <w:spacing w:val="7"/>
          <w:sz w:val="13"/>
        </w:rPr>
        <w:t> </w:t>
      </w:r>
      <w:r>
        <w:rPr>
          <w:spacing w:val="2"/>
          <w:sz w:val="13"/>
        </w:rPr>
        <w:t>Courts</w:t>
      </w:r>
      <w:r>
        <w:rPr>
          <w:spacing w:val="6"/>
          <w:sz w:val="13"/>
        </w:rPr>
        <w:t> </w:t>
      </w:r>
      <w:r>
        <w:rPr>
          <w:sz w:val="13"/>
        </w:rPr>
        <w:t>and</w:t>
      </w:r>
      <w:r>
        <w:rPr>
          <w:spacing w:val="6"/>
          <w:sz w:val="13"/>
        </w:rPr>
        <w:t> </w:t>
      </w:r>
      <w:r>
        <w:rPr>
          <w:sz w:val="13"/>
        </w:rPr>
        <w:t>Tribunals</w:t>
      </w:r>
      <w:r>
        <w:rPr>
          <w:spacing w:val="6"/>
          <w:sz w:val="13"/>
        </w:rPr>
        <w:t> </w:t>
      </w:r>
      <w:r>
        <w:rPr>
          <w:spacing w:val="2"/>
          <w:sz w:val="13"/>
        </w:rPr>
        <w:t>Service</w:t>
      </w:r>
      <w:r>
        <w:rPr>
          <w:spacing w:val="6"/>
          <w:sz w:val="13"/>
        </w:rPr>
        <w:t> </w:t>
      </w:r>
      <w:r>
        <w:rPr>
          <w:sz w:val="13"/>
        </w:rPr>
        <w:t>to</w:t>
      </w:r>
      <w:r>
        <w:rPr>
          <w:spacing w:val="6"/>
          <w:sz w:val="13"/>
        </w:rPr>
        <w:t> </w:t>
      </w:r>
      <w:r>
        <w:rPr>
          <w:sz w:val="13"/>
        </w:rPr>
        <w:t>Victorian</w:t>
      </w:r>
      <w:r>
        <w:rPr>
          <w:spacing w:val="7"/>
          <w:sz w:val="13"/>
        </w:rPr>
        <w:t> </w:t>
      </w:r>
      <w:r>
        <w:rPr>
          <w:sz w:val="13"/>
        </w:rPr>
        <w:t>Law</w:t>
      </w:r>
      <w:r>
        <w:rPr>
          <w:spacing w:val="6"/>
          <w:sz w:val="13"/>
        </w:rPr>
        <w:t> </w:t>
      </w:r>
      <w:r>
        <w:rPr>
          <w:sz w:val="13"/>
        </w:rPr>
        <w:t>Reform</w:t>
      </w:r>
      <w:r>
        <w:rPr>
          <w:spacing w:val="6"/>
          <w:sz w:val="13"/>
        </w:rPr>
        <w:t> </w:t>
      </w:r>
      <w:r>
        <w:rPr>
          <w:spacing w:val="2"/>
          <w:sz w:val="13"/>
        </w:rPr>
        <w:t>Commission,</w:t>
      </w:r>
      <w:r>
        <w:rPr>
          <w:spacing w:val="6"/>
          <w:sz w:val="13"/>
        </w:rPr>
        <w:t> </w:t>
      </w:r>
      <w:r>
        <w:rPr>
          <w:sz w:val="13"/>
        </w:rPr>
        <w:t>2</w:t>
      </w:r>
      <w:r>
        <w:rPr>
          <w:spacing w:val="6"/>
          <w:sz w:val="13"/>
        </w:rPr>
        <w:t> </w:t>
      </w:r>
      <w:r>
        <w:rPr>
          <w:sz w:val="13"/>
        </w:rPr>
        <w:t>September</w:t>
      </w:r>
      <w:r>
        <w:rPr>
          <w:spacing w:val="7"/>
          <w:sz w:val="13"/>
        </w:rPr>
        <w:t> </w:t>
      </w:r>
      <w:r>
        <w:rPr>
          <w:sz w:val="13"/>
        </w:rPr>
        <w:t>2021.</w:t>
      </w:r>
    </w:p>
    <w:p>
      <w:pPr>
        <w:pStyle w:val="ListParagraph"/>
        <w:numPr>
          <w:ilvl w:val="0"/>
          <w:numId w:val="99"/>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99"/>
        </w:numPr>
        <w:tabs>
          <w:tab w:pos="1760"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99"/>
        </w:numPr>
        <w:tabs>
          <w:tab w:pos="1760" w:val="left" w:leader="none"/>
          <w:tab w:pos="1762" w:val="left" w:leader="none"/>
        </w:tabs>
        <w:spacing w:line="160" w:lineRule="exact" w:before="0" w:after="0"/>
        <w:ind w:left="1761" w:right="0" w:hanging="794"/>
        <w:jc w:val="left"/>
        <w:rPr>
          <w:i/>
          <w:sz w:val="13"/>
        </w:rPr>
      </w:pPr>
      <w:r>
        <w:rPr>
          <w:sz w:val="13"/>
        </w:rPr>
        <w:t>Judicial</w:t>
      </w:r>
      <w:r>
        <w:rPr>
          <w:spacing w:val="4"/>
          <w:sz w:val="13"/>
        </w:rPr>
        <w:t> </w:t>
      </w:r>
      <w:r>
        <w:rPr>
          <w:sz w:val="13"/>
        </w:rPr>
        <w:t>Council</w:t>
      </w:r>
      <w:r>
        <w:rPr>
          <w:spacing w:val="5"/>
          <w:sz w:val="13"/>
        </w:rPr>
        <w:t> </w:t>
      </w:r>
      <w:r>
        <w:rPr>
          <w:sz w:val="13"/>
        </w:rPr>
        <w:t>on</w:t>
      </w:r>
      <w:r>
        <w:rPr>
          <w:spacing w:val="4"/>
          <w:sz w:val="13"/>
        </w:rPr>
        <w:t> </w:t>
      </w:r>
      <w:r>
        <w:rPr>
          <w:sz w:val="13"/>
        </w:rPr>
        <w:t>Cultural</w:t>
      </w:r>
      <w:r>
        <w:rPr>
          <w:spacing w:val="5"/>
          <w:sz w:val="13"/>
        </w:rPr>
        <w:t> </w:t>
      </w:r>
      <w:r>
        <w:rPr>
          <w:sz w:val="13"/>
        </w:rPr>
        <w:t>Diversity,</w:t>
      </w:r>
      <w:r>
        <w:rPr>
          <w:spacing w:val="5"/>
          <w:sz w:val="13"/>
        </w:rPr>
        <w:t> </w:t>
      </w:r>
      <w:r>
        <w:rPr>
          <w:i/>
          <w:spacing w:val="2"/>
          <w:sz w:val="13"/>
        </w:rPr>
        <w:t>Recommended</w:t>
      </w:r>
      <w:r>
        <w:rPr>
          <w:i/>
          <w:spacing w:val="4"/>
          <w:sz w:val="13"/>
        </w:rPr>
        <w:t> </w:t>
      </w:r>
      <w:r>
        <w:rPr>
          <w:i/>
          <w:sz w:val="13"/>
        </w:rPr>
        <w:t>National</w:t>
      </w:r>
      <w:r>
        <w:rPr>
          <w:i/>
          <w:spacing w:val="5"/>
          <w:sz w:val="13"/>
        </w:rPr>
        <w:t> </w:t>
      </w:r>
      <w:r>
        <w:rPr>
          <w:i/>
          <w:sz w:val="13"/>
        </w:rPr>
        <w:t>Standards</w:t>
      </w:r>
      <w:r>
        <w:rPr>
          <w:i/>
          <w:spacing w:val="4"/>
          <w:sz w:val="13"/>
        </w:rPr>
        <w:t> </w:t>
      </w:r>
      <w:r>
        <w:rPr>
          <w:i/>
          <w:sz w:val="13"/>
        </w:rPr>
        <w:t>for</w:t>
      </w:r>
      <w:r>
        <w:rPr>
          <w:i/>
          <w:spacing w:val="4"/>
          <w:sz w:val="13"/>
        </w:rPr>
        <w:t> </w:t>
      </w:r>
      <w:r>
        <w:rPr>
          <w:i/>
          <w:sz w:val="13"/>
        </w:rPr>
        <w:t>Working</w:t>
      </w:r>
      <w:r>
        <w:rPr>
          <w:i/>
          <w:spacing w:val="4"/>
          <w:sz w:val="13"/>
        </w:rPr>
        <w:t> </w:t>
      </w:r>
      <w:r>
        <w:rPr>
          <w:i/>
          <w:sz w:val="13"/>
        </w:rPr>
        <w:t>with</w:t>
      </w:r>
      <w:r>
        <w:rPr>
          <w:i/>
          <w:spacing w:val="5"/>
          <w:sz w:val="13"/>
        </w:rPr>
        <w:t> </w:t>
      </w:r>
      <w:r>
        <w:rPr>
          <w:i/>
          <w:sz w:val="13"/>
        </w:rPr>
        <w:t>Interpreters</w:t>
      </w:r>
      <w:r>
        <w:rPr>
          <w:i/>
          <w:spacing w:val="5"/>
          <w:sz w:val="13"/>
        </w:rPr>
        <w:t> </w:t>
      </w:r>
      <w:r>
        <w:rPr>
          <w:i/>
          <w:sz w:val="13"/>
        </w:rPr>
        <w:t>in</w:t>
      </w:r>
      <w:r>
        <w:rPr>
          <w:i/>
          <w:spacing w:val="3"/>
          <w:sz w:val="13"/>
        </w:rPr>
        <w:t> </w:t>
      </w:r>
      <w:r>
        <w:rPr>
          <w:i/>
          <w:spacing w:val="2"/>
          <w:sz w:val="13"/>
        </w:rPr>
        <w:t>Courts</w:t>
      </w:r>
      <w:r>
        <w:rPr>
          <w:i/>
          <w:spacing w:val="4"/>
          <w:sz w:val="13"/>
        </w:rPr>
        <w:t> </w:t>
      </w:r>
      <w:r>
        <w:rPr>
          <w:i/>
          <w:sz w:val="13"/>
        </w:rPr>
        <w:t>and</w:t>
      </w:r>
      <w:r>
        <w:rPr>
          <w:i/>
          <w:spacing w:val="5"/>
          <w:sz w:val="13"/>
        </w:rPr>
        <w:t> </w:t>
      </w:r>
      <w:r>
        <w:rPr>
          <w:i/>
          <w:sz w:val="13"/>
        </w:rPr>
        <w:t>Tribunals</w:t>
      </w:r>
    </w:p>
    <w:p>
      <w:pPr>
        <w:spacing w:line="160" w:lineRule="exact" w:before="0"/>
        <w:ind w:left="1761" w:right="0" w:firstLine="0"/>
        <w:jc w:val="left"/>
        <w:rPr>
          <w:sz w:val="13"/>
        </w:rPr>
      </w:pPr>
      <w:r>
        <w:rPr>
          <w:sz w:val="13"/>
        </w:rPr>
        <w:t>(Report, Second Edition, March 2022) 60 &lt;</w:t>
      </w:r>
      <w:hyperlink r:id="rId219">
        <w:r>
          <w:rPr>
            <w:sz w:val="13"/>
          </w:rPr>
          <w:t>https://jccd.org.au/publications/</w:t>
        </w:r>
      </w:hyperlink>
      <w:r>
        <w:rPr>
          <w:sz w:val="13"/>
        </w:rPr>
        <w:t>&gt;.</w:t>
      </w:r>
    </w:p>
    <w:p>
      <w:pPr>
        <w:pStyle w:val="ListParagraph"/>
        <w:numPr>
          <w:ilvl w:val="0"/>
          <w:numId w:val="99"/>
        </w:numPr>
        <w:tabs>
          <w:tab w:pos="1760" w:val="left" w:leader="none"/>
          <w:tab w:pos="1762" w:val="left" w:leader="none"/>
        </w:tabs>
        <w:spacing w:line="160" w:lineRule="exact" w:before="0" w:after="0"/>
        <w:ind w:left="1761" w:right="0" w:hanging="794"/>
        <w:jc w:val="left"/>
        <w:rPr>
          <w:sz w:val="13"/>
        </w:rPr>
      </w:pPr>
      <w:r>
        <w:rPr>
          <w:sz w:val="13"/>
        </w:rPr>
        <w:t>Ibid 59.</w:t>
      </w:r>
    </w:p>
    <w:p>
      <w:pPr>
        <w:pStyle w:val="ListParagraph"/>
        <w:numPr>
          <w:ilvl w:val="0"/>
          <w:numId w:val="99"/>
        </w:numPr>
        <w:tabs>
          <w:tab w:pos="1761" w:val="left" w:leader="none"/>
          <w:tab w:pos="1762" w:val="left" w:leader="none"/>
        </w:tabs>
        <w:spacing w:line="213" w:lineRule="auto" w:before="7" w:after="0"/>
        <w:ind w:left="1761" w:right="0" w:hanging="794"/>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BodyText"/>
        <w:rPr>
          <w:sz w:val="28"/>
        </w:rPr>
      </w:pPr>
      <w:r>
        <w:rPr/>
        <w:br w:type="column"/>
      </w:r>
      <w:r>
        <w:rPr>
          <w:sz w:val="28"/>
        </w:rPr>
      </w:r>
    </w:p>
    <w:p>
      <w:pPr>
        <w:pStyle w:val="BodyText"/>
        <w:rPr>
          <w:sz w:val="28"/>
        </w:rPr>
      </w:pPr>
    </w:p>
    <w:p>
      <w:pPr>
        <w:pStyle w:val="BodyText"/>
        <w:spacing w:before="2"/>
        <w:rPr>
          <w:sz w:val="40"/>
        </w:rPr>
      </w:pPr>
    </w:p>
    <w:p>
      <w:pPr>
        <w:spacing w:before="0"/>
        <w:ind w:left="663" w:right="0" w:firstLine="0"/>
        <w:jc w:val="left"/>
        <w:rPr>
          <w:b/>
          <w:sz w:val="24"/>
        </w:rPr>
      </w:pPr>
      <w:r>
        <w:rPr>
          <w:b/>
          <w:color w:val="37617A"/>
          <w:sz w:val="24"/>
        </w:rPr>
        <w:t>157</w:t>
      </w:r>
    </w:p>
    <w:p>
      <w:pPr>
        <w:spacing w:after="0"/>
        <w:jc w:val="left"/>
        <w:rPr>
          <w:sz w:val="24"/>
        </w:rPr>
        <w:sectPr>
          <w:type w:val="continuous"/>
          <w:pgSz w:w="11910" w:h="16840"/>
          <w:pgMar w:top="620" w:bottom="280" w:left="620" w:right="380"/>
          <w:cols w:num="2" w:equalWidth="0">
            <w:col w:w="9599" w:space="40"/>
            <w:col w:w="1271"/>
          </w:cols>
        </w:sectPr>
      </w:pPr>
    </w:p>
    <w:p>
      <w:pPr>
        <w:pStyle w:val="BodyText"/>
        <w:rPr>
          <w:b/>
        </w:rPr>
      </w:pPr>
    </w:p>
    <w:p>
      <w:pPr>
        <w:pStyle w:val="BodyText"/>
        <w:rPr>
          <w:b/>
        </w:rPr>
      </w:pPr>
    </w:p>
    <w:p>
      <w:pPr>
        <w:pStyle w:val="BodyText"/>
        <w:rPr>
          <w:b/>
        </w:rPr>
      </w:pPr>
    </w:p>
    <w:p>
      <w:pPr>
        <w:pStyle w:val="BodyText"/>
        <w:spacing w:before="11"/>
        <w:rPr>
          <w:b/>
          <w:sz w:val="18"/>
        </w:rPr>
      </w:pPr>
    </w:p>
    <w:p>
      <w:pPr>
        <w:pStyle w:val="BodyText"/>
        <w:spacing w:line="206" w:lineRule="auto"/>
        <w:ind w:left="1761" w:right="1335"/>
      </w:pPr>
      <w:bookmarkStart w:name="Training and certification requirements " w:id="270"/>
      <w:bookmarkEnd w:id="270"/>
      <w:r>
        <w:rPr/>
      </w:r>
      <w:bookmarkStart w:name="_bookmark113" w:id="271"/>
      <w:bookmarkEnd w:id="271"/>
      <w:r>
        <w:rPr/>
      </w:r>
      <w:r>
        <w:rPr/>
        <w:t>service for people in the subject groups should be used </w:t>
      </w:r>
      <w:r>
        <w:rPr>
          <w:spacing w:val="-4"/>
        </w:rPr>
        <w:t>sparingly, </w:t>
      </w:r>
      <w:r>
        <w:rPr/>
        <w:t>so there </w:t>
      </w:r>
      <w:r>
        <w:rPr>
          <w:spacing w:val="-3"/>
        </w:rPr>
        <w:t>are </w:t>
      </w:r>
      <w:r>
        <w:rPr/>
        <w:t>no guarantees that a particular </w:t>
      </w:r>
      <w:r>
        <w:rPr>
          <w:spacing w:val="-3"/>
        </w:rPr>
        <w:t>interpreter would </w:t>
      </w:r>
      <w:r>
        <w:rPr/>
        <w:t>be </w:t>
      </w:r>
      <w:r>
        <w:rPr>
          <w:spacing w:val="-3"/>
        </w:rPr>
        <w:t>available. </w:t>
      </w:r>
      <w:r>
        <w:rPr/>
        <w:t>It </w:t>
      </w:r>
      <w:r>
        <w:rPr>
          <w:spacing w:val="-3"/>
        </w:rPr>
        <w:t>would </w:t>
      </w:r>
      <w:r>
        <w:rPr/>
        <w:t>be for the Juries Commissioner to determine if a person could be </w:t>
      </w:r>
      <w:r>
        <w:rPr>
          <w:spacing w:val="-3"/>
        </w:rPr>
        <w:t>excused from </w:t>
      </w:r>
      <w:r>
        <w:rPr/>
        <w:t>jury service in this situation.</w:t>
      </w:r>
    </w:p>
    <w:p>
      <w:pPr>
        <w:spacing w:before="164"/>
        <w:ind w:left="967" w:right="0" w:firstLine="0"/>
        <w:jc w:val="left"/>
        <w:rPr>
          <w:b/>
          <w:sz w:val="24"/>
        </w:rPr>
      </w:pPr>
      <w:r>
        <w:rPr>
          <w:b/>
          <w:sz w:val="24"/>
        </w:rPr>
        <w:t>Interpretation should happen over lunch breaks</w:t>
      </w:r>
    </w:p>
    <w:p>
      <w:pPr>
        <w:pStyle w:val="ListParagraph"/>
        <w:numPr>
          <w:ilvl w:val="1"/>
          <w:numId w:val="12"/>
        </w:numPr>
        <w:tabs>
          <w:tab w:pos="1761" w:val="left" w:leader="none"/>
          <w:tab w:pos="1762" w:val="left" w:leader="none"/>
        </w:tabs>
        <w:spacing w:line="206" w:lineRule="auto" w:before="127" w:after="0"/>
        <w:ind w:left="1761" w:right="1262" w:hanging="794"/>
        <w:jc w:val="left"/>
        <w:rPr>
          <w:sz w:val="11"/>
        </w:rPr>
      </w:pPr>
      <w:r>
        <w:rPr>
          <w:sz w:val="20"/>
        </w:rPr>
        <w:t>Recent academic </w:t>
      </w:r>
      <w:r>
        <w:rPr>
          <w:spacing w:val="-3"/>
          <w:sz w:val="20"/>
        </w:rPr>
        <w:t>research </w:t>
      </w:r>
      <w:r>
        <w:rPr>
          <w:sz w:val="20"/>
        </w:rPr>
        <w:t>identified that isolation is a concern for deaf jurors in the United States. </w:t>
      </w:r>
      <w:r>
        <w:rPr>
          <w:spacing w:val="-3"/>
          <w:sz w:val="20"/>
        </w:rPr>
        <w:t>Professor </w:t>
      </w:r>
      <w:r>
        <w:rPr>
          <w:sz w:val="20"/>
        </w:rPr>
        <w:t>Napier and colleagues observed in a case study that ‘the </w:t>
      </w:r>
      <w:r>
        <w:rPr>
          <w:spacing w:val="-3"/>
          <w:sz w:val="20"/>
        </w:rPr>
        <w:t>interpreter</w:t>
      </w:r>
      <w:r>
        <w:rPr>
          <w:spacing w:val="-9"/>
          <w:sz w:val="20"/>
        </w:rPr>
        <w:t> </w:t>
      </w:r>
      <w:r>
        <w:rPr>
          <w:sz w:val="20"/>
        </w:rPr>
        <w:t>asserted</w:t>
      </w:r>
      <w:r>
        <w:rPr>
          <w:spacing w:val="-8"/>
          <w:sz w:val="20"/>
        </w:rPr>
        <w:t> </w:t>
      </w:r>
      <w:r>
        <w:rPr>
          <w:sz w:val="20"/>
        </w:rPr>
        <w:t>that</w:t>
      </w:r>
      <w:r>
        <w:rPr>
          <w:spacing w:val="-9"/>
          <w:sz w:val="20"/>
        </w:rPr>
        <w:t> </w:t>
      </w:r>
      <w:r>
        <w:rPr>
          <w:sz w:val="20"/>
        </w:rPr>
        <w:t>she</w:t>
      </w:r>
      <w:r>
        <w:rPr>
          <w:spacing w:val="-8"/>
          <w:sz w:val="20"/>
        </w:rPr>
        <w:t> </w:t>
      </w:r>
      <w:r>
        <w:rPr>
          <w:sz w:val="20"/>
        </w:rPr>
        <w:t>needed</w:t>
      </w:r>
      <w:r>
        <w:rPr>
          <w:spacing w:val="-9"/>
          <w:sz w:val="20"/>
        </w:rPr>
        <w:t> </w:t>
      </w:r>
      <w:r>
        <w:rPr>
          <w:sz w:val="20"/>
        </w:rPr>
        <w:t>the</w:t>
      </w:r>
      <w:r>
        <w:rPr>
          <w:spacing w:val="-8"/>
          <w:sz w:val="20"/>
        </w:rPr>
        <w:t> </w:t>
      </w:r>
      <w:r>
        <w:rPr>
          <w:sz w:val="20"/>
        </w:rPr>
        <w:t>time</w:t>
      </w:r>
      <w:r>
        <w:rPr>
          <w:spacing w:val="-9"/>
          <w:sz w:val="20"/>
        </w:rPr>
        <w:t> </w:t>
      </w:r>
      <w:r>
        <w:rPr>
          <w:sz w:val="20"/>
        </w:rPr>
        <w:t>to</w:t>
      </w:r>
      <w:r>
        <w:rPr>
          <w:spacing w:val="-8"/>
          <w:sz w:val="20"/>
        </w:rPr>
        <w:t> </w:t>
      </w:r>
      <w:r>
        <w:rPr>
          <w:spacing w:val="-3"/>
          <w:sz w:val="20"/>
        </w:rPr>
        <w:t>rest</w:t>
      </w:r>
      <w:r>
        <w:rPr>
          <w:spacing w:val="-9"/>
          <w:sz w:val="20"/>
        </w:rPr>
        <w:t> </w:t>
      </w:r>
      <w:r>
        <w:rPr>
          <w:sz w:val="20"/>
        </w:rPr>
        <w:t>during</w:t>
      </w:r>
      <w:r>
        <w:rPr>
          <w:spacing w:val="-8"/>
          <w:sz w:val="20"/>
        </w:rPr>
        <w:t> </w:t>
      </w:r>
      <w:r>
        <w:rPr>
          <w:sz w:val="20"/>
        </w:rPr>
        <w:t>breaks</w:t>
      </w:r>
      <w:r>
        <w:rPr>
          <w:spacing w:val="-9"/>
          <w:sz w:val="20"/>
        </w:rPr>
        <w:t> </w:t>
      </w:r>
      <w:r>
        <w:rPr>
          <w:sz w:val="20"/>
        </w:rPr>
        <w:t>as</w:t>
      </w:r>
      <w:r>
        <w:rPr>
          <w:spacing w:val="-8"/>
          <w:sz w:val="20"/>
        </w:rPr>
        <w:t> </w:t>
      </w:r>
      <w:r>
        <w:rPr>
          <w:sz w:val="20"/>
        </w:rPr>
        <w:t>she</w:t>
      </w:r>
      <w:r>
        <w:rPr>
          <w:spacing w:val="-9"/>
          <w:sz w:val="20"/>
        </w:rPr>
        <w:t> </w:t>
      </w:r>
      <w:r>
        <w:rPr>
          <w:sz w:val="20"/>
        </w:rPr>
        <w:t>was</w:t>
      </w:r>
      <w:r>
        <w:rPr>
          <w:spacing w:val="-8"/>
          <w:sz w:val="20"/>
        </w:rPr>
        <w:t> </w:t>
      </w:r>
      <w:r>
        <w:rPr>
          <w:sz w:val="20"/>
        </w:rPr>
        <w:t>working all</w:t>
      </w:r>
      <w:r>
        <w:rPr>
          <w:spacing w:val="-11"/>
          <w:sz w:val="20"/>
        </w:rPr>
        <w:t> </w:t>
      </w:r>
      <w:r>
        <w:rPr>
          <w:spacing w:val="-3"/>
          <w:sz w:val="20"/>
        </w:rPr>
        <w:t>day</w:t>
      </w:r>
      <w:r>
        <w:rPr>
          <w:spacing w:val="-10"/>
          <w:sz w:val="20"/>
        </w:rPr>
        <w:t> </w:t>
      </w:r>
      <w:r>
        <w:rPr>
          <w:sz w:val="20"/>
        </w:rPr>
        <w:t>on</w:t>
      </w:r>
      <w:r>
        <w:rPr>
          <w:spacing w:val="-10"/>
          <w:sz w:val="20"/>
        </w:rPr>
        <w:t> </w:t>
      </w:r>
      <w:r>
        <w:rPr>
          <w:sz w:val="20"/>
        </w:rPr>
        <w:t>her</w:t>
      </w:r>
      <w:r>
        <w:rPr>
          <w:spacing w:val="-11"/>
          <w:sz w:val="20"/>
        </w:rPr>
        <w:t> </w:t>
      </w:r>
      <w:r>
        <w:rPr>
          <w:sz w:val="20"/>
        </w:rPr>
        <w:t>own.</w:t>
      </w:r>
      <w:r>
        <w:rPr>
          <w:spacing w:val="-10"/>
          <w:sz w:val="20"/>
        </w:rPr>
        <w:t> </w:t>
      </w:r>
      <w:r>
        <w:rPr>
          <w:sz w:val="20"/>
        </w:rPr>
        <w:t>This</w:t>
      </w:r>
      <w:r>
        <w:rPr>
          <w:spacing w:val="-10"/>
          <w:sz w:val="20"/>
        </w:rPr>
        <w:t> </w:t>
      </w:r>
      <w:r>
        <w:rPr>
          <w:sz w:val="20"/>
        </w:rPr>
        <w:t>meant</w:t>
      </w:r>
      <w:r>
        <w:rPr>
          <w:spacing w:val="-10"/>
          <w:sz w:val="20"/>
        </w:rPr>
        <w:t> </w:t>
      </w:r>
      <w:r>
        <w:rPr>
          <w:sz w:val="20"/>
        </w:rPr>
        <w:t>that</w:t>
      </w:r>
      <w:r>
        <w:rPr>
          <w:spacing w:val="-11"/>
          <w:sz w:val="20"/>
        </w:rPr>
        <w:t> </w:t>
      </w:r>
      <w:r>
        <w:rPr>
          <w:sz w:val="20"/>
        </w:rPr>
        <w:t>the</w:t>
      </w:r>
      <w:r>
        <w:rPr>
          <w:spacing w:val="-10"/>
          <w:sz w:val="20"/>
        </w:rPr>
        <w:t> </w:t>
      </w:r>
      <w:r>
        <w:rPr>
          <w:sz w:val="20"/>
        </w:rPr>
        <w:t>deaf</w:t>
      </w:r>
      <w:r>
        <w:rPr>
          <w:spacing w:val="-10"/>
          <w:sz w:val="20"/>
        </w:rPr>
        <w:t> </w:t>
      </w:r>
      <w:r>
        <w:rPr>
          <w:sz w:val="20"/>
        </w:rPr>
        <w:t>juror</w:t>
      </w:r>
      <w:r>
        <w:rPr>
          <w:spacing w:val="-10"/>
          <w:sz w:val="20"/>
        </w:rPr>
        <w:t> </w:t>
      </w:r>
      <w:r>
        <w:rPr>
          <w:sz w:val="20"/>
        </w:rPr>
        <w:t>does</w:t>
      </w:r>
      <w:r>
        <w:rPr>
          <w:spacing w:val="-11"/>
          <w:sz w:val="20"/>
        </w:rPr>
        <w:t> </w:t>
      </w:r>
      <w:r>
        <w:rPr>
          <w:sz w:val="20"/>
        </w:rPr>
        <w:t>not</w:t>
      </w:r>
      <w:r>
        <w:rPr>
          <w:spacing w:val="-10"/>
          <w:sz w:val="20"/>
        </w:rPr>
        <w:t> </w:t>
      </w:r>
      <w:r>
        <w:rPr>
          <w:sz w:val="20"/>
        </w:rPr>
        <w:t>interact</w:t>
      </w:r>
      <w:r>
        <w:rPr>
          <w:spacing w:val="-10"/>
          <w:sz w:val="20"/>
        </w:rPr>
        <w:t> </w:t>
      </w:r>
      <w:r>
        <w:rPr>
          <w:sz w:val="20"/>
        </w:rPr>
        <w:t>with</w:t>
      </w:r>
      <w:r>
        <w:rPr>
          <w:spacing w:val="-11"/>
          <w:sz w:val="20"/>
        </w:rPr>
        <w:t> </w:t>
      </w:r>
      <w:r>
        <w:rPr>
          <w:sz w:val="20"/>
        </w:rPr>
        <w:t>the</w:t>
      </w:r>
      <w:r>
        <w:rPr>
          <w:spacing w:val="-10"/>
          <w:sz w:val="20"/>
        </w:rPr>
        <w:t> </w:t>
      </w:r>
      <w:r>
        <w:rPr>
          <w:sz w:val="20"/>
        </w:rPr>
        <w:t>other</w:t>
      </w:r>
      <w:r>
        <w:rPr>
          <w:spacing w:val="-10"/>
          <w:sz w:val="20"/>
        </w:rPr>
        <w:t> </w:t>
      </w:r>
      <w:r>
        <w:rPr>
          <w:sz w:val="20"/>
        </w:rPr>
        <w:t>jurors at</w:t>
      </w:r>
      <w:r>
        <w:rPr>
          <w:spacing w:val="-4"/>
          <w:sz w:val="20"/>
        </w:rPr>
        <w:t> </w:t>
      </w:r>
      <w:r>
        <w:rPr>
          <w:sz w:val="20"/>
        </w:rPr>
        <w:t>all’.</w:t>
      </w:r>
      <w:r>
        <w:rPr>
          <w:position w:val="7"/>
          <w:sz w:val="11"/>
        </w:rPr>
        <w:t>24</w:t>
      </w:r>
    </w:p>
    <w:p>
      <w:pPr>
        <w:pStyle w:val="BodyText"/>
        <w:spacing w:line="252" w:lineRule="exact"/>
        <w:ind w:left="1761"/>
      </w:pPr>
      <w:r>
        <w:rPr/>
        <w:t>A deaf juror commented:</w:t>
      </w:r>
    </w:p>
    <w:p>
      <w:pPr>
        <w:spacing w:line="208" w:lineRule="auto" w:before="112"/>
        <w:ind w:left="2157" w:right="1216" w:firstLine="0"/>
        <w:jc w:val="left"/>
        <w:rPr>
          <w:sz w:val="11"/>
        </w:rPr>
      </w:pPr>
      <w:r>
        <w:rPr>
          <w:sz w:val="19"/>
        </w:rPr>
        <w:t>As a deaf juror it was a huge positive to</w:t>
      </w:r>
      <w:r>
        <w:rPr>
          <w:spacing w:val="-3"/>
          <w:sz w:val="19"/>
        </w:rPr>
        <w:t> have </w:t>
      </w:r>
      <w:r>
        <w:rPr>
          <w:sz w:val="19"/>
        </w:rPr>
        <w:t>an </w:t>
      </w:r>
      <w:r>
        <w:rPr>
          <w:spacing w:val="-3"/>
          <w:sz w:val="19"/>
        </w:rPr>
        <w:t>interpreter, </w:t>
      </w:r>
      <w:r>
        <w:rPr>
          <w:sz w:val="19"/>
        </w:rPr>
        <w:t>but the huge negative was the behaviour of interpreters (eg refusing to go into the deliberation room on breaks so [the] deaf juror couldn’t get to know the other jurors). The interpreter established their role boundaries that were too extreme.</w:t>
      </w:r>
      <w:r>
        <w:rPr>
          <w:position w:val="6"/>
          <w:sz w:val="11"/>
        </w:rPr>
        <w:t>25</w:t>
      </w:r>
    </w:p>
    <w:p>
      <w:pPr>
        <w:pStyle w:val="ListParagraph"/>
        <w:numPr>
          <w:ilvl w:val="1"/>
          <w:numId w:val="12"/>
        </w:numPr>
        <w:tabs>
          <w:tab w:pos="1761" w:val="left" w:leader="none"/>
          <w:tab w:pos="1762" w:val="left" w:leader="none"/>
        </w:tabs>
        <w:spacing w:line="206" w:lineRule="auto" w:before="125" w:after="0"/>
        <w:ind w:left="1761" w:right="1211" w:hanging="794"/>
        <w:jc w:val="left"/>
        <w:rPr>
          <w:sz w:val="20"/>
        </w:rPr>
      </w:pPr>
      <w:r>
        <w:rPr>
          <w:spacing w:val="-3"/>
          <w:sz w:val="20"/>
        </w:rPr>
        <w:t>Similarly,</w:t>
      </w:r>
      <w:r>
        <w:rPr>
          <w:spacing w:val="-10"/>
          <w:sz w:val="20"/>
        </w:rPr>
        <w:t> </w:t>
      </w:r>
      <w:r>
        <w:rPr>
          <w:sz w:val="20"/>
        </w:rPr>
        <w:t>in</w:t>
      </w:r>
      <w:r>
        <w:rPr>
          <w:spacing w:val="-9"/>
          <w:sz w:val="20"/>
        </w:rPr>
        <w:t> </w:t>
      </w:r>
      <w:r>
        <w:rPr>
          <w:sz w:val="20"/>
        </w:rPr>
        <w:t>relation</w:t>
      </w:r>
      <w:r>
        <w:rPr>
          <w:spacing w:val="-9"/>
          <w:sz w:val="20"/>
        </w:rPr>
        <w:t> </w:t>
      </w:r>
      <w:r>
        <w:rPr>
          <w:sz w:val="20"/>
        </w:rPr>
        <w:t>to</w:t>
      </w:r>
      <w:r>
        <w:rPr>
          <w:spacing w:val="-9"/>
          <w:sz w:val="20"/>
        </w:rPr>
        <w:t> </w:t>
      </w:r>
      <w:r>
        <w:rPr>
          <w:sz w:val="20"/>
        </w:rPr>
        <w:t>the</w:t>
      </w:r>
      <w:r>
        <w:rPr>
          <w:spacing w:val="-9"/>
          <w:sz w:val="20"/>
        </w:rPr>
        <w:t> </w:t>
      </w:r>
      <w:r>
        <w:rPr>
          <w:sz w:val="20"/>
        </w:rPr>
        <w:t>mock</w:t>
      </w:r>
      <w:r>
        <w:rPr>
          <w:spacing w:val="-9"/>
          <w:sz w:val="20"/>
        </w:rPr>
        <w:t> </w:t>
      </w:r>
      <w:r>
        <w:rPr>
          <w:sz w:val="20"/>
        </w:rPr>
        <w:t>trial</w:t>
      </w:r>
      <w:r>
        <w:rPr>
          <w:spacing w:val="-9"/>
          <w:sz w:val="20"/>
        </w:rPr>
        <w:t> </w:t>
      </w:r>
      <w:r>
        <w:rPr>
          <w:sz w:val="20"/>
        </w:rPr>
        <w:t>in</w:t>
      </w:r>
      <w:r>
        <w:rPr>
          <w:spacing w:val="-9"/>
          <w:sz w:val="20"/>
        </w:rPr>
        <w:t> </w:t>
      </w:r>
      <w:r>
        <w:rPr>
          <w:sz w:val="20"/>
        </w:rPr>
        <w:t>New</w:t>
      </w:r>
      <w:r>
        <w:rPr>
          <w:spacing w:val="-9"/>
          <w:sz w:val="20"/>
        </w:rPr>
        <w:t> </w:t>
      </w:r>
      <w:r>
        <w:rPr>
          <w:sz w:val="20"/>
        </w:rPr>
        <w:t>South</w:t>
      </w:r>
      <w:r>
        <w:rPr>
          <w:spacing w:val="-10"/>
          <w:sz w:val="20"/>
        </w:rPr>
        <w:t> </w:t>
      </w:r>
      <w:r>
        <w:rPr>
          <w:spacing w:val="-4"/>
          <w:sz w:val="20"/>
        </w:rPr>
        <w:t>Wales</w:t>
      </w:r>
      <w:r>
        <w:rPr>
          <w:spacing w:val="-9"/>
          <w:sz w:val="20"/>
        </w:rPr>
        <w:t> </w:t>
      </w:r>
      <w:r>
        <w:rPr>
          <w:sz w:val="20"/>
        </w:rPr>
        <w:t>(discussed</w:t>
      </w:r>
      <w:r>
        <w:rPr>
          <w:spacing w:val="-9"/>
          <w:sz w:val="20"/>
        </w:rPr>
        <w:t> </w:t>
      </w:r>
      <w:r>
        <w:rPr>
          <w:sz w:val="20"/>
        </w:rPr>
        <w:t>in</w:t>
      </w:r>
      <w:r>
        <w:rPr>
          <w:spacing w:val="-9"/>
          <w:sz w:val="20"/>
        </w:rPr>
        <w:t> </w:t>
      </w:r>
      <w:r>
        <w:rPr>
          <w:spacing w:val="-2"/>
          <w:sz w:val="20"/>
        </w:rPr>
        <w:t>Chapter</w:t>
      </w:r>
      <w:r>
        <w:rPr>
          <w:spacing w:val="-9"/>
          <w:sz w:val="20"/>
        </w:rPr>
        <w:t> </w:t>
      </w:r>
      <w:r>
        <w:rPr>
          <w:sz w:val="20"/>
        </w:rPr>
        <w:t>9)</w:t>
      </w:r>
      <w:r>
        <w:rPr>
          <w:spacing w:val="-9"/>
          <w:sz w:val="20"/>
        </w:rPr>
        <w:t> </w:t>
      </w:r>
      <w:r>
        <w:rPr>
          <w:sz w:val="20"/>
        </w:rPr>
        <w:t>it</w:t>
      </w:r>
      <w:r>
        <w:rPr>
          <w:spacing w:val="-9"/>
          <w:sz w:val="20"/>
        </w:rPr>
        <w:t> </w:t>
      </w:r>
      <w:r>
        <w:rPr>
          <w:sz w:val="20"/>
        </w:rPr>
        <w:t>was observed</w:t>
      </w:r>
      <w:r>
        <w:rPr>
          <w:spacing w:val="-5"/>
          <w:sz w:val="20"/>
        </w:rPr>
        <w:t> </w:t>
      </w:r>
      <w:r>
        <w:rPr>
          <w:sz w:val="20"/>
        </w:rPr>
        <w:t>that:</w:t>
      </w:r>
    </w:p>
    <w:p>
      <w:pPr>
        <w:spacing w:line="208" w:lineRule="auto" w:before="120"/>
        <w:ind w:left="2157" w:right="1156" w:firstLine="0"/>
        <w:jc w:val="left"/>
        <w:rPr>
          <w:sz w:val="11"/>
        </w:rPr>
      </w:pPr>
      <w:r>
        <w:rPr>
          <w:sz w:val="19"/>
        </w:rPr>
        <w:t>The deaf juror who was selected to go into the deliberation room reported that they enjoyed the experience of sitting on a jury, however they expressed concern about being left alone at lunchtime. (This also happens in the US). Without an interpreter at break times the deaf juror felt isolated and excluded from forming a bond with the other jurors, which is essential to support jury deliberations. They would have liked to have been more involved in the conversations that occurred over break times. Instead, the juror relied on asking people to write questions down on paper. This is something the Commission should consider.</w:t>
      </w:r>
      <w:r>
        <w:rPr>
          <w:position w:val="6"/>
          <w:sz w:val="11"/>
        </w:rPr>
        <w:t>26</w:t>
      </w:r>
    </w:p>
    <w:p>
      <w:pPr>
        <w:pStyle w:val="ListParagraph"/>
        <w:numPr>
          <w:ilvl w:val="1"/>
          <w:numId w:val="12"/>
        </w:numPr>
        <w:tabs>
          <w:tab w:pos="1761" w:val="left" w:leader="none"/>
          <w:tab w:pos="1762" w:val="left" w:leader="none"/>
        </w:tabs>
        <w:spacing w:line="206" w:lineRule="auto" w:before="127" w:after="0"/>
        <w:ind w:left="1761" w:right="1464" w:hanging="794"/>
        <w:jc w:val="left"/>
        <w:rPr>
          <w:sz w:val="20"/>
        </w:rPr>
      </w:pPr>
      <w:r>
        <w:rPr>
          <w:sz w:val="20"/>
        </w:rPr>
        <w:t>Given</w:t>
      </w:r>
      <w:r>
        <w:rPr>
          <w:spacing w:val="-9"/>
          <w:sz w:val="20"/>
        </w:rPr>
        <w:t> </w:t>
      </w:r>
      <w:r>
        <w:rPr>
          <w:sz w:val="20"/>
        </w:rPr>
        <w:t>these</w:t>
      </w:r>
      <w:r>
        <w:rPr>
          <w:spacing w:val="-8"/>
          <w:sz w:val="20"/>
        </w:rPr>
        <w:t> </w:t>
      </w:r>
      <w:r>
        <w:rPr>
          <w:sz w:val="20"/>
        </w:rPr>
        <w:t>concerns,</w:t>
      </w:r>
      <w:r>
        <w:rPr>
          <w:spacing w:val="-9"/>
          <w:sz w:val="20"/>
        </w:rPr>
        <w:t> </w:t>
      </w:r>
      <w:r>
        <w:rPr>
          <w:spacing w:val="-3"/>
          <w:sz w:val="20"/>
        </w:rPr>
        <w:t>interpreters</w:t>
      </w:r>
      <w:r>
        <w:rPr>
          <w:spacing w:val="-8"/>
          <w:sz w:val="20"/>
        </w:rPr>
        <w:t> </w:t>
      </w:r>
      <w:r>
        <w:rPr>
          <w:sz w:val="20"/>
        </w:rPr>
        <w:t>should</w:t>
      </w:r>
      <w:r>
        <w:rPr>
          <w:spacing w:val="-8"/>
          <w:sz w:val="20"/>
        </w:rPr>
        <w:t> </w:t>
      </w:r>
      <w:r>
        <w:rPr>
          <w:sz w:val="20"/>
        </w:rPr>
        <w:t>be</w:t>
      </w:r>
      <w:r>
        <w:rPr>
          <w:spacing w:val="-9"/>
          <w:sz w:val="20"/>
        </w:rPr>
        <w:t> </w:t>
      </w:r>
      <w:r>
        <w:rPr>
          <w:spacing w:val="-3"/>
          <w:sz w:val="20"/>
        </w:rPr>
        <w:t>available</w:t>
      </w:r>
      <w:r>
        <w:rPr>
          <w:spacing w:val="-8"/>
          <w:sz w:val="20"/>
        </w:rPr>
        <w:t> </w:t>
      </w:r>
      <w:r>
        <w:rPr>
          <w:sz w:val="20"/>
        </w:rPr>
        <w:t>to</w:t>
      </w:r>
      <w:r>
        <w:rPr>
          <w:spacing w:val="-8"/>
          <w:sz w:val="20"/>
        </w:rPr>
        <w:t> </w:t>
      </w:r>
      <w:r>
        <w:rPr>
          <w:spacing w:val="-3"/>
          <w:sz w:val="20"/>
        </w:rPr>
        <w:t>interpret</w:t>
      </w:r>
      <w:r>
        <w:rPr>
          <w:spacing w:val="-9"/>
          <w:sz w:val="20"/>
        </w:rPr>
        <w:t> </w:t>
      </w:r>
      <w:r>
        <w:rPr>
          <w:spacing w:val="-4"/>
          <w:sz w:val="20"/>
        </w:rPr>
        <w:t>over</w:t>
      </w:r>
      <w:r>
        <w:rPr>
          <w:spacing w:val="-8"/>
          <w:sz w:val="20"/>
        </w:rPr>
        <w:t> </w:t>
      </w:r>
      <w:r>
        <w:rPr>
          <w:sz w:val="20"/>
        </w:rPr>
        <w:t>lunch</w:t>
      </w:r>
      <w:r>
        <w:rPr>
          <w:spacing w:val="-9"/>
          <w:sz w:val="20"/>
        </w:rPr>
        <w:t> </w:t>
      </w:r>
      <w:r>
        <w:rPr>
          <w:sz w:val="20"/>
        </w:rPr>
        <w:t>breaks. This </w:t>
      </w:r>
      <w:r>
        <w:rPr>
          <w:spacing w:val="-3"/>
          <w:sz w:val="20"/>
        </w:rPr>
        <w:t>would </w:t>
      </w:r>
      <w:r>
        <w:rPr>
          <w:sz w:val="20"/>
        </w:rPr>
        <w:t>also ensure that people using Auslan </w:t>
      </w:r>
      <w:r>
        <w:rPr>
          <w:spacing w:val="-3"/>
          <w:sz w:val="20"/>
        </w:rPr>
        <w:t>interpreters </w:t>
      </w:r>
      <w:r>
        <w:rPr>
          <w:sz w:val="20"/>
        </w:rPr>
        <w:t>can participate in jury duty on an equal basis with others.</w:t>
      </w:r>
      <w:r>
        <w:rPr>
          <w:position w:val="7"/>
          <w:sz w:val="11"/>
        </w:rPr>
        <w:t>27 </w:t>
      </w:r>
      <w:r>
        <w:rPr>
          <w:sz w:val="20"/>
        </w:rPr>
        <w:t>This </w:t>
      </w:r>
      <w:r>
        <w:rPr>
          <w:spacing w:val="-3"/>
          <w:sz w:val="20"/>
        </w:rPr>
        <w:t>may </w:t>
      </w:r>
      <w:r>
        <w:rPr>
          <w:sz w:val="20"/>
        </w:rPr>
        <w:t>mean that an additional </w:t>
      </w:r>
      <w:r>
        <w:rPr>
          <w:spacing w:val="-3"/>
          <w:sz w:val="20"/>
        </w:rPr>
        <w:t>interpreter </w:t>
      </w:r>
      <w:r>
        <w:rPr>
          <w:sz w:val="20"/>
        </w:rPr>
        <w:t>needs to be hired for that</w:t>
      </w:r>
      <w:r>
        <w:rPr>
          <w:spacing w:val="-27"/>
          <w:sz w:val="20"/>
        </w:rPr>
        <w:t> </w:t>
      </w:r>
      <w:r>
        <w:rPr>
          <w:sz w:val="20"/>
        </w:rPr>
        <w:t>purpose.</w:t>
      </w:r>
    </w:p>
    <w:p>
      <w:pPr>
        <w:pStyle w:val="BodyText"/>
        <w:spacing w:before="8"/>
        <w:rPr>
          <w:sz w:val="16"/>
        </w:rPr>
      </w:pPr>
    </w:p>
    <w:p>
      <w:pPr>
        <w:spacing w:before="0"/>
        <w:ind w:left="967" w:right="0" w:firstLine="0"/>
        <w:jc w:val="left"/>
        <w:rPr>
          <w:rFonts w:ascii="Raleway ExtraBold"/>
          <w:b/>
          <w:sz w:val="28"/>
        </w:rPr>
      </w:pPr>
      <w:r>
        <w:rPr>
          <w:rFonts w:ascii="Raleway ExtraBold"/>
          <w:b/>
          <w:color w:val="37617A"/>
          <w:sz w:val="28"/>
        </w:rPr>
        <w:t>Training and certification requirements for Auslan interpreters</w:t>
      </w:r>
    </w:p>
    <w:p>
      <w:pPr>
        <w:pStyle w:val="ListParagraph"/>
        <w:numPr>
          <w:ilvl w:val="1"/>
          <w:numId w:val="12"/>
        </w:numPr>
        <w:tabs>
          <w:tab w:pos="1761" w:val="left" w:leader="none"/>
          <w:tab w:pos="1762" w:val="left" w:leader="none"/>
        </w:tabs>
        <w:spacing w:line="206" w:lineRule="auto" w:before="146" w:after="0"/>
        <w:ind w:left="1761" w:right="1314" w:hanging="794"/>
        <w:jc w:val="left"/>
        <w:rPr>
          <w:sz w:val="11"/>
        </w:rPr>
      </w:pPr>
      <w:r>
        <w:rPr>
          <w:sz w:val="20"/>
        </w:rPr>
        <w:t>Auslan </w:t>
      </w:r>
      <w:r>
        <w:rPr>
          <w:spacing w:val="-3"/>
          <w:sz w:val="20"/>
        </w:rPr>
        <w:t>interpreters are </w:t>
      </w:r>
      <w:r>
        <w:rPr>
          <w:sz w:val="20"/>
        </w:rPr>
        <w:t>highly trained professionals and the industry is </w:t>
      </w:r>
      <w:r>
        <w:rPr>
          <w:spacing w:val="-3"/>
          <w:sz w:val="20"/>
        </w:rPr>
        <w:t>extensively </w:t>
      </w:r>
      <w:r>
        <w:rPr>
          <w:sz w:val="20"/>
        </w:rPr>
        <w:t>regulated.</w:t>
      </w:r>
      <w:r>
        <w:rPr>
          <w:spacing w:val="-12"/>
          <w:sz w:val="20"/>
        </w:rPr>
        <w:t> </w:t>
      </w:r>
      <w:r>
        <w:rPr>
          <w:spacing w:val="-10"/>
          <w:sz w:val="20"/>
        </w:rPr>
        <w:t>To</w:t>
      </w:r>
      <w:r>
        <w:rPr>
          <w:spacing w:val="-11"/>
          <w:sz w:val="20"/>
        </w:rPr>
        <w:t> </w:t>
      </w:r>
      <w:r>
        <w:rPr>
          <w:sz w:val="20"/>
        </w:rPr>
        <w:t>become</w:t>
      </w:r>
      <w:r>
        <w:rPr>
          <w:spacing w:val="-12"/>
          <w:sz w:val="20"/>
        </w:rPr>
        <w:t> </w:t>
      </w:r>
      <w:r>
        <w:rPr>
          <w:sz w:val="20"/>
        </w:rPr>
        <w:t>a</w:t>
      </w:r>
      <w:r>
        <w:rPr>
          <w:spacing w:val="-11"/>
          <w:sz w:val="20"/>
        </w:rPr>
        <w:t> </w:t>
      </w:r>
      <w:r>
        <w:rPr>
          <w:sz w:val="20"/>
        </w:rPr>
        <w:t>professional</w:t>
      </w:r>
      <w:r>
        <w:rPr>
          <w:spacing w:val="-12"/>
          <w:sz w:val="20"/>
        </w:rPr>
        <w:t> </w:t>
      </w:r>
      <w:r>
        <w:rPr>
          <w:sz w:val="20"/>
        </w:rPr>
        <w:t>Auslan</w:t>
      </w:r>
      <w:r>
        <w:rPr>
          <w:spacing w:val="-11"/>
          <w:sz w:val="20"/>
        </w:rPr>
        <w:t> </w:t>
      </w:r>
      <w:r>
        <w:rPr>
          <w:spacing w:val="-4"/>
          <w:sz w:val="20"/>
        </w:rPr>
        <w:t>interpreter,</w:t>
      </w:r>
      <w:r>
        <w:rPr>
          <w:spacing w:val="-12"/>
          <w:sz w:val="20"/>
        </w:rPr>
        <w:t> </w:t>
      </w:r>
      <w:r>
        <w:rPr>
          <w:sz w:val="20"/>
        </w:rPr>
        <w:t>an</w:t>
      </w:r>
      <w:r>
        <w:rPr>
          <w:spacing w:val="-11"/>
          <w:sz w:val="20"/>
        </w:rPr>
        <w:t> </w:t>
      </w:r>
      <w:r>
        <w:rPr>
          <w:sz w:val="20"/>
        </w:rPr>
        <w:t>individual</w:t>
      </w:r>
      <w:r>
        <w:rPr>
          <w:spacing w:val="-12"/>
          <w:sz w:val="20"/>
        </w:rPr>
        <w:t> </w:t>
      </w:r>
      <w:r>
        <w:rPr>
          <w:sz w:val="20"/>
        </w:rPr>
        <w:t>must</w:t>
      </w:r>
      <w:r>
        <w:rPr>
          <w:spacing w:val="-11"/>
          <w:sz w:val="20"/>
        </w:rPr>
        <w:t> </w:t>
      </w:r>
      <w:r>
        <w:rPr>
          <w:sz w:val="20"/>
        </w:rPr>
        <w:t>be</w:t>
      </w:r>
      <w:r>
        <w:rPr>
          <w:spacing w:val="-12"/>
          <w:sz w:val="20"/>
        </w:rPr>
        <w:t> </w:t>
      </w:r>
      <w:r>
        <w:rPr>
          <w:sz w:val="20"/>
        </w:rPr>
        <w:t>certified </w:t>
      </w:r>
      <w:r>
        <w:rPr>
          <w:spacing w:val="-3"/>
          <w:sz w:val="20"/>
        </w:rPr>
        <w:t>by </w:t>
      </w:r>
      <w:r>
        <w:rPr>
          <w:sz w:val="20"/>
        </w:rPr>
        <w:t>the National Accreditation Authority for </w:t>
      </w:r>
      <w:r>
        <w:rPr>
          <w:spacing w:val="-4"/>
          <w:sz w:val="20"/>
        </w:rPr>
        <w:t>Translators </w:t>
      </w:r>
      <w:r>
        <w:rPr>
          <w:sz w:val="20"/>
        </w:rPr>
        <w:t>and </w:t>
      </w:r>
      <w:r>
        <w:rPr>
          <w:spacing w:val="-3"/>
          <w:sz w:val="20"/>
        </w:rPr>
        <w:t>Interpreters (NAATI).</w:t>
      </w:r>
      <w:r>
        <w:rPr>
          <w:spacing w:val="-3"/>
          <w:position w:val="7"/>
          <w:sz w:val="11"/>
        </w:rPr>
        <w:t>28</w:t>
      </w:r>
      <w:r>
        <w:rPr>
          <w:spacing w:val="-3"/>
          <w:sz w:val="11"/>
        </w:rPr>
        <w:t> </w:t>
      </w:r>
      <w:r>
        <w:rPr>
          <w:spacing w:val="-3"/>
          <w:sz w:val="20"/>
        </w:rPr>
        <w:t>Further,</w:t>
      </w:r>
      <w:r>
        <w:rPr>
          <w:spacing w:val="-12"/>
          <w:sz w:val="20"/>
        </w:rPr>
        <w:t> </w:t>
      </w:r>
      <w:r>
        <w:rPr>
          <w:sz w:val="20"/>
        </w:rPr>
        <w:t>Auslan</w:t>
      </w:r>
      <w:r>
        <w:rPr>
          <w:spacing w:val="-12"/>
          <w:sz w:val="20"/>
        </w:rPr>
        <w:t> </w:t>
      </w:r>
      <w:r>
        <w:rPr>
          <w:spacing w:val="-3"/>
          <w:sz w:val="20"/>
        </w:rPr>
        <w:t>interpreters</w:t>
      </w:r>
      <w:r>
        <w:rPr>
          <w:spacing w:val="-11"/>
          <w:sz w:val="20"/>
        </w:rPr>
        <w:t> </w:t>
      </w:r>
      <w:r>
        <w:rPr>
          <w:sz w:val="20"/>
        </w:rPr>
        <w:t>must</w:t>
      </w:r>
      <w:r>
        <w:rPr>
          <w:spacing w:val="-12"/>
          <w:sz w:val="20"/>
        </w:rPr>
        <w:t> </w:t>
      </w:r>
      <w:r>
        <w:rPr>
          <w:sz w:val="20"/>
        </w:rPr>
        <w:t>undertake</w:t>
      </w:r>
      <w:r>
        <w:rPr>
          <w:spacing w:val="-11"/>
          <w:sz w:val="20"/>
        </w:rPr>
        <w:t> </w:t>
      </w:r>
      <w:r>
        <w:rPr>
          <w:sz w:val="20"/>
        </w:rPr>
        <w:t>regular</w:t>
      </w:r>
      <w:r>
        <w:rPr>
          <w:spacing w:val="-12"/>
          <w:sz w:val="20"/>
        </w:rPr>
        <w:t> </w:t>
      </w:r>
      <w:r>
        <w:rPr>
          <w:sz w:val="20"/>
        </w:rPr>
        <w:t>professional</w:t>
      </w:r>
      <w:r>
        <w:rPr>
          <w:spacing w:val="-11"/>
          <w:sz w:val="20"/>
        </w:rPr>
        <w:t> </w:t>
      </w:r>
      <w:r>
        <w:rPr>
          <w:spacing w:val="-3"/>
          <w:sz w:val="20"/>
        </w:rPr>
        <w:t>development</w:t>
      </w:r>
      <w:r>
        <w:rPr>
          <w:spacing w:val="-12"/>
          <w:sz w:val="20"/>
        </w:rPr>
        <w:t> </w:t>
      </w:r>
      <w:r>
        <w:rPr>
          <w:sz w:val="20"/>
        </w:rPr>
        <w:t>training to maintain their</w:t>
      </w:r>
      <w:r>
        <w:rPr>
          <w:spacing w:val="-13"/>
          <w:sz w:val="20"/>
        </w:rPr>
        <w:t> </w:t>
      </w:r>
      <w:r>
        <w:rPr>
          <w:sz w:val="20"/>
        </w:rPr>
        <w:t>certification.</w:t>
      </w:r>
      <w:r>
        <w:rPr>
          <w:position w:val="7"/>
          <w:sz w:val="11"/>
        </w:rPr>
        <w:t>29</w:t>
      </w:r>
    </w:p>
    <w:p>
      <w:pPr>
        <w:pStyle w:val="ListParagraph"/>
        <w:numPr>
          <w:ilvl w:val="1"/>
          <w:numId w:val="12"/>
        </w:numPr>
        <w:tabs>
          <w:tab w:pos="1761" w:val="left" w:leader="none"/>
          <w:tab w:pos="1762" w:val="left" w:leader="none"/>
        </w:tabs>
        <w:spacing w:line="206" w:lineRule="auto" w:before="126" w:after="0"/>
        <w:ind w:left="1761" w:right="1791" w:hanging="794"/>
        <w:jc w:val="left"/>
        <w:rPr>
          <w:sz w:val="20"/>
        </w:rPr>
      </w:pPr>
      <w:r>
        <w:rPr>
          <w:spacing w:val="-4"/>
          <w:sz w:val="20"/>
        </w:rPr>
        <w:t>NAATI</w:t>
      </w:r>
      <w:r>
        <w:rPr>
          <w:spacing w:val="-12"/>
          <w:sz w:val="20"/>
        </w:rPr>
        <w:t> </w:t>
      </w:r>
      <w:r>
        <w:rPr>
          <w:sz w:val="20"/>
        </w:rPr>
        <w:t>advised</w:t>
      </w:r>
      <w:r>
        <w:rPr>
          <w:spacing w:val="-12"/>
          <w:sz w:val="20"/>
        </w:rPr>
        <w:t> </w:t>
      </w:r>
      <w:r>
        <w:rPr>
          <w:sz w:val="20"/>
        </w:rPr>
        <w:t>the</w:t>
      </w:r>
      <w:r>
        <w:rPr>
          <w:spacing w:val="-12"/>
          <w:sz w:val="20"/>
        </w:rPr>
        <w:t> </w:t>
      </w:r>
      <w:r>
        <w:rPr>
          <w:sz w:val="20"/>
        </w:rPr>
        <w:t>Commission</w:t>
      </w:r>
      <w:r>
        <w:rPr>
          <w:spacing w:val="-12"/>
          <w:sz w:val="20"/>
        </w:rPr>
        <w:t> </w:t>
      </w:r>
      <w:r>
        <w:rPr>
          <w:sz w:val="20"/>
        </w:rPr>
        <w:t>that</w:t>
      </w:r>
      <w:r>
        <w:rPr>
          <w:spacing w:val="-12"/>
          <w:sz w:val="20"/>
        </w:rPr>
        <w:t> </w:t>
      </w:r>
      <w:r>
        <w:rPr>
          <w:sz w:val="20"/>
        </w:rPr>
        <w:t>the</w:t>
      </w:r>
      <w:r>
        <w:rPr>
          <w:spacing w:val="-12"/>
          <w:sz w:val="20"/>
        </w:rPr>
        <w:t> </w:t>
      </w:r>
      <w:r>
        <w:rPr>
          <w:sz w:val="20"/>
        </w:rPr>
        <w:t>certification</w:t>
      </w:r>
      <w:r>
        <w:rPr>
          <w:spacing w:val="-12"/>
          <w:sz w:val="20"/>
        </w:rPr>
        <w:t> </w:t>
      </w:r>
      <w:r>
        <w:rPr>
          <w:sz w:val="20"/>
        </w:rPr>
        <w:t>eligibility</w:t>
      </w:r>
      <w:r>
        <w:rPr>
          <w:spacing w:val="-11"/>
          <w:sz w:val="20"/>
        </w:rPr>
        <w:t> </w:t>
      </w:r>
      <w:r>
        <w:rPr>
          <w:sz w:val="20"/>
        </w:rPr>
        <w:t>criteria</w:t>
      </w:r>
      <w:r>
        <w:rPr>
          <w:spacing w:val="-12"/>
          <w:sz w:val="20"/>
        </w:rPr>
        <w:t> </w:t>
      </w:r>
      <w:r>
        <w:rPr>
          <w:spacing w:val="-3"/>
          <w:sz w:val="20"/>
        </w:rPr>
        <w:t>(required</w:t>
      </w:r>
      <w:r>
        <w:rPr>
          <w:spacing w:val="-12"/>
          <w:sz w:val="20"/>
        </w:rPr>
        <w:t> </w:t>
      </w:r>
      <w:r>
        <w:rPr>
          <w:sz w:val="20"/>
        </w:rPr>
        <w:t>to become</w:t>
      </w:r>
      <w:r>
        <w:rPr>
          <w:spacing w:val="-5"/>
          <w:sz w:val="20"/>
        </w:rPr>
        <w:t> </w:t>
      </w:r>
      <w:r>
        <w:rPr>
          <w:sz w:val="20"/>
        </w:rPr>
        <w:t>eligible</w:t>
      </w:r>
      <w:r>
        <w:rPr>
          <w:spacing w:val="-5"/>
          <w:sz w:val="20"/>
        </w:rPr>
        <w:t> </w:t>
      </w:r>
      <w:r>
        <w:rPr>
          <w:sz w:val="20"/>
        </w:rPr>
        <w:t>to</w:t>
      </w:r>
      <w:r>
        <w:rPr>
          <w:spacing w:val="-5"/>
          <w:sz w:val="20"/>
        </w:rPr>
        <w:t> </w:t>
      </w:r>
      <w:r>
        <w:rPr>
          <w:sz w:val="20"/>
        </w:rPr>
        <w:t>sit</w:t>
      </w:r>
      <w:r>
        <w:rPr>
          <w:spacing w:val="-5"/>
          <w:sz w:val="20"/>
        </w:rPr>
        <w:t> </w:t>
      </w:r>
      <w:r>
        <w:rPr>
          <w:sz w:val="20"/>
        </w:rPr>
        <w:t>a</w:t>
      </w:r>
      <w:r>
        <w:rPr>
          <w:spacing w:val="-5"/>
          <w:sz w:val="20"/>
        </w:rPr>
        <w:t> </w:t>
      </w:r>
      <w:r>
        <w:rPr>
          <w:sz w:val="20"/>
        </w:rPr>
        <w:t>certification</w:t>
      </w:r>
      <w:r>
        <w:rPr>
          <w:spacing w:val="-5"/>
          <w:sz w:val="20"/>
        </w:rPr>
        <w:t> </w:t>
      </w:r>
      <w:r>
        <w:rPr>
          <w:sz w:val="20"/>
        </w:rPr>
        <w:t>test)</w:t>
      </w:r>
      <w:r>
        <w:rPr>
          <w:spacing w:val="-5"/>
          <w:sz w:val="20"/>
        </w:rPr>
        <w:t> </w:t>
      </w:r>
      <w:r>
        <w:rPr>
          <w:spacing w:val="-3"/>
          <w:sz w:val="20"/>
        </w:rPr>
        <w:t>are</w:t>
      </w:r>
      <w:r>
        <w:rPr>
          <w:spacing w:val="-5"/>
          <w:sz w:val="20"/>
        </w:rPr>
        <w:t> </w:t>
      </w:r>
      <w:r>
        <w:rPr>
          <w:sz w:val="20"/>
        </w:rPr>
        <w:t>as</w:t>
      </w:r>
      <w:r>
        <w:rPr>
          <w:spacing w:val="-5"/>
          <w:sz w:val="20"/>
        </w:rPr>
        <w:t> </w:t>
      </w:r>
      <w:r>
        <w:rPr>
          <w:spacing w:val="-3"/>
          <w:sz w:val="20"/>
        </w:rPr>
        <w:t>follows:</w:t>
      </w:r>
    </w:p>
    <w:p>
      <w:pPr>
        <w:pStyle w:val="ListParagraph"/>
        <w:numPr>
          <w:ilvl w:val="2"/>
          <w:numId w:val="12"/>
        </w:numPr>
        <w:tabs>
          <w:tab w:pos="2157" w:val="left" w:leader="none"/>
          <w:tab w:pos="2158" w:val="left" w:leader="none"/>
        </w:tabs>
        <w:spacing w:line="206" w:lineRule="auto" w:before="123" w:after="0"/>
        <w:ind w:left="2157" w:right="1363" w:hanging="396"/>
        <w:jc w:val="left"/>
        <w:rPr>
          <w:sz w:val="20"/>
        </w:rPr>
      </w:pPr>
      <w:r>
        <w:rPr>
          <w:sz w:val="20"/>
        </w:rPr>
        <w:t>minimum</w:t>
      </w:r>
      <w:r>
        <w:rPr>
          <w:spacing w:val="-12"/>
          <w:sz w:val="20"/>
        </w:rPr>
        <w:t> </w:t>
      </w:r>
      <w:r>
        <w:rPr>
          <w:spacing w:val="-3"/>
          <w:sz w:val="20"/>
        </w:rPr>
        <w:t>training/qualification:</w:t>
      </w:r>
      <w:r>
        <w:rPr>
          <w:spacing w:val="-12"/>
          <w:sz w:val="20"/>
        </w:rPr>
        <w:t> </w:t>
      </w:r>
      <w:r>
        <w:rPr>
          <w:sz w:val="20"/>
        </w:rPr>
        <w:t>Diploma</w:t>
      </w:r>
      <w:r>
        <w:rPr>
          <w:spacing w:val="-12"/>
          <w:sz w:val="20"/>
        </w:rPr>
        <w:t> </w:t>
      </w:r>
      <w:r>
        <w:rPr>
          <w:sz w:val="20"/>
        </w:rPr>
        <w:t>of</w:t>
      </w:r>
      <w:r>
        <w:rPr>
          <w:spacing w:val="-12"/>
          <w:sz w:val="20"/>
        </w:rPr>
        <w:t> </w:t>
      </w:r>
      <w:r>
        <w:rPr>
          <w:sz w:val="20"/>
        </w:rPr>
        <w:t>Interpreting</w:t>
      </w:r>
      <w:r>
        <w:rPr>
          <w:position w:val="7"/>
          <w:sz w:val="11"/>
        </w:rPr>
        <w:t>30</w:t>
      </w:r>
      <w:r>
        <w:rPr>
          <w:spacing w:val="12"/>
          <w:position w:val="7"/>
          <w:sz w:val="11"/>
        </w:rPr>
        <w:t> </w:t>
      </w:r>
      <w:r>
        <w:rPr>
          <w:sz w:val="20"/>
        </w:rPr>
        <w:t>or</w:t>
      </w:r>
      <w:r>
        <w:rPr>
          <w:spacing w:val="-12"/>
          <w:sz w:val="20"/>
        </w:rPr>
        <w:t> </w:t>
      </w:r>
      <w:r>
        <w:rPr>
          <w:sz w:val="20"/>
        </w:rPr>
        <w:t>Advanced</w:t>
      </w:r>
      <w:r>
        <w:rPr>
          <w:spacing w:val="-12"/>
          <w:sz w:val="20"/>
        </w:rPr>
        <w:t> </w:t>
      </w:r>
      <w:r>
        <w:rPr>
          <w:sz w:val="20"/>
        </w:rPr>
        <w:t>Diploma</w:t>
      </w:r>
      <w:r>
        <w:rPr>
          <w:spacing w:val="-12"/>
          <w:sz w:val="20"/>
        </w:rPr>
        <w:t> </w:t>
      </w:r>
      <w:r>
        <w:rPr>
          <w:sz w:val="20"/>
        </w:rPr>
        <w:t>of Interpreting</w:t>
      </w:r>
      <w:r>
        <w:rPr>
          <w:position w:val="7"/>
          <w:sz w:val="11"/>
        </w:rPr>
        <w:t>31 </w:t>
      </w:r>
      <w:r>
        <w:rPr>
          <w:spacing w:val="-3"/>
          <w:sz w:val="20"/>
        </w:rPr>
        <w:t>from</w:t>
      </w:r>
      <w:r>
        <w:rPr>
          <w:spacing w:val="-12"/>
          <w:sz w:val="20"/>
        </w:rPr>
        <w:t> </w:t>
      </w:r>
      <w:r>
        <w:rPr>
          <w:spacing w:val="-4"/>
          <w:sz w:val="20"/>
        </w:rPr>
        <w:t>RMIT</w:t>
      </w:r>
      <w:r>
        <w:rPr>
          <w:spacing w:val="-4"/>
          <w:position w:val="7"/>
          <w:sz w:val="11"/>
        </w:rPr>
        <w:t>32</w:t>
      </w:r>
    </w:p>
    <w:p>
      <w:pPr>
        <w:pStyle w:val="BodyText"/>
        <w:spacing w:before="10"/>
        <w:rPr>
          <w:sz w:val="16"/>
        </w:rPr>
      </w:pPr>
      <w:r>
        <w:rPr/>
        <w:pict>
          <v:line style="position:absolute;mso-position-horizontal-relative:page;mso-position-vertical-relative:paragraph;z-index:8408;mso-wrap-distance-left:0;mso-wrap-distance-right:0" from="79.370003pt,14.06306pt" to="515.905003pt,14.06306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2"/>
        <w:rPr>
          <w:sz w:val="31"/>
        </w:rPr>
      </w:pPr>
    </w:p>
    <w:p>
      <w:pPr>
        <w:spacing w:before="0"/>
        <w:ind w:left="100" w:right="0" w:firstLine="0"/>
        <w:jc w:val="left"/>
        <w:rPr>
          <w:b/>
          <w:sz w:val="24"/>
        </w:rPr>
      </w:pPr>
      <w:r>
        <w:rPr>
          <w:b/>
          <w:color w:val="37617A"/>
          <w:sz w:val="24"/>
        </w:rPr>
        <w:t>158</w:t>
      </w:r>
    </w:p>
    <w:p>
      <w:pPr>
        <w:pStyle w:val="ListParagraph"/>
        <w:numPr>
          <w:ilvl w:val="0"/>
          <w:numId w:val="99"/>
        </w:numPr>
        <w:tabs>
          <w:tab w:pos="893" w:val="left" w:leader="none"/>
          <w:tab w:pos="894" w:val="left" w:leader="none"/>
        </w:tabs>
        <w:spacing w:line="213" w:lineRule="auto" w:before="38" w:after="0"/>
        <w:ind w:left="893" w:right="1274" w:hanging="793"/>
        <w:jc w:val="left"/>
        <w:rPr>
          <w:sz w:val="13"/>
        </w:rPr>
      </w:pPr>
      <w:r>
        <w:rPr>
          <w:spacing w:val="2"/>
          <w:w w:val="101"/>
          <w:sz w:val="13"/>
        </w:rPr>
        <w:br w:type="column"/>
      </w:r>
      <w:r>
        <w:rPr>
          <w:sz w:val="13"/>
        </w:rPr>
        <w:t>Jemina </w:t>
      </w:r>
      <w:r>
        <w:rPr>
          <w:spacing w:val="2"/>
          <w:sz w:val="13"/>
        </w:rPr>
        <w:t>Napier </w:t>
      </w:r>
      <w:r>
        <w:rPr>
          <w:sz w:val="13"/>
        </w:rPr>
        <w:t>et </w:t>
      </w:r>
      <w:r>
        <w:rPr>
          <w:spacing w:val="2"/>
          <w:sz w:val="13"/>
        </w:rPr>
        <w:t>al, </w:t>
      </w:r>
      <w:r>
        <w:rPr>
          <w:sz w:val="13"/>
        </w:rPr>
        <w:t>‘Training Legal Interpreters to Work with Deaf Jurors’ in Jeremy L Brunson (ed), </w:t>
      </w:r>
      <w:r>
        <w:rPr>
          <w:i/>
          <w:sz w:val="13"/>
        </w:rPr>
        <w:t>Legal Interpreting—Teaching, </w:t>
      </w:r>
      <w:r>
        <w:rPr>
          <w:i/>
          <w:sz w:val="13"/>
        </w:rPr>
        <w:t>Research and Practice </w:t>
      </w:r>
      <w:r>
        <w:rPr>
          <w:sz w:val="13"/>
        </w:rPr>
        <w:t>(Gallaudet University Press, 2022)</w:t>
      </w:r>
      <w:r>
        <w:rPr>
          <w:spacing w:val="4"/>
          <w:sz w:val="13"/>
        </w:rPr>
        <w:t> </w:t>
      </w:r>
      <w:r>
        <w:rPr>
          <w:sz w:val="13"/>
        </w:rPr>
        <w:t>267.</w:t>
      </w:r>
    </w:p>
    <w:p>
      <w:pPr>
        <w:pStyle w:val="ListParagraph"/>
        <w:numPr>
          <w:ilvl w:val="0"/>
          <w:numId w:val="99"/>
        </w:numPr>
        <w:tabs>
          <w:tab w:pos="893" w:val="left" w:leader="none"/>
          <w:tab w:pos="894" w:val="left" w:leader="none"/>
        </w:tabs>
        <w:spacing w:line="153" w:lineRule="exact" w:before="0" w:after="0"/>
        <w:ind w:left="893" w:right="0" w:hanging="793"/>
        <w:jc w:val="left"/>
        <w:rPr>
          <w:sz w:val="13"/>
        </w:rPr>
      </w:pPr>
      <w:r>
        <w:rPr>
          <w:spacing w:val="2"/>
          <w:sz w:val="13"/>
        </w:rPr>
        <w:t>Ibid.</w:t>
      </w:r>
    </w:p>
    <w:p>
      <w:pPr>
        <w:pStyle w:val="ListParagraph"/>
        <w:numPr>
          <w:ilvl w:val="0"/>
          <w:numId w:val="99"/>
        </w:numPr>
        <w:tabs>
          <w:tab w:pos="893" w:val="left" w:leader="none"/>
          <w:tab w:pos="894" w:val="left" w:leader="none"/>
        </w:tabs>
        <w:spacing w:line="213" w:lineRule="auto" w:before="6" w:after="0"/>
        <w:ind w:left="893" w:right="1423" w:hanging="793"/>
        <w:jc w:val="left"/>
        <w:rPr>
          <w:sz w:val="13"/>
        </w:rPr>
      </w:pPr>
      <w:r>
        <w:rPr>
          <w:sz w:val="13"/>
        </w:rPr>
        <w:t>Consultation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 Wales)). Also Consultation 19 </w:t>
      </w:r>
      <w:r>
        <w:rPr>
          <w:spacing w:val="2"/>
          <w:sz w:val="13"/>
        </w:rPr>
        <w:t>(Australian </w:t>
      </w:r>
      <w:r>
        <w:rPr>
          <w:sz w:val="13"/>
        </w:rPr>
        <w:t>Institute of Interpreters and Translators (AUSIT)).</w:t>
      </w:r>
    </w:p>
    <w:p>
      <w:pPr>
        <w:pStyle w:val="ListParagraph"/>
        <w:numPr>
          <w:ilvl w:val="0"/>
          <w:numId w:val="99"/>
        </w:numPr>
        <w:tabs>
          <w:tab w:pos="893" w:val="left" w:leader="none"/>
          <w:tab w:pos="894" w:val="left" w:leader="none"/>
        </w:tabs>
        <w:spacing w:line="213" w:lineRule="auto" w:before="0" w:after="0"/>
        <w:ind w:left="893" w:right="1337" w:hanging="793"/>
        <w:jc w:val="left"/>
        <w:rPr>
          <w:sz w:val="13"/>
        </w:rPr>
      </w:pPr>
      <w:r>
        <w:rPr>
          <w:sz w:val="13"/>
        </w:rPr>
        <w:t>This is in line with the spirit of the </w:t>
      </w: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 </w:t>
      </w:r>
      <w:r>
        <w:rPr>
          <w:spacing w:val="2"/>
          <w:sz w:val="13"/>
        </w:rPr>
        <w:t>art </w:t>
      </w:r>
      <w:r>
        <w:rPr>
          <w:spacing w:val="3"/>
          <w:sz w:val="13"/>
        </w:rPr>
        <w:t>1.</w:t>
      </w:r>
    </w:p>
    <w:p>
      <w:pPr>
        <w:pStyle w:val="ListParagraph"/>
        <w:numPr>
          <w:ilvl w:val="0"/>
          <w:numId w:val="99"/>
        </w:numPr>
        <w:tabs>
          <w:tab w:pos="893" w:val="left" w:leader="none"/>
          <w:tab w:pos="894" w:val="left" w:leader="none"/>
        </w:tabs>
        <w:spacing w:line="213" w:lineRule="auto" w:before="0" w:after="0"/>
        <w:ind w:left="893" w:right="1509" w:hanging="793"/>
        <w:jc w:val="left"/>
        <w:rPr>
          <w:sz w:val="13"/>
        </w:rPr>
      </w:pPr>
      <w:r>
        <w:rPr>
          <w:sz w:val="13"/>
        </w:rPr>
        <w:t>National Accreditation Authority for Translators and Interpreters, ‘How Do I Become a Translator or Interpreter?’, </w:t>
      </w:r>
      <w:r>
        <w:rPr>
          <w:i/>
          <w:sz w:val="13"/>
        </w:rPr>
        <w:t>NAATI </w:t>
      </w:r>
      <w:r>
        <w:rPr>
          <w:sz w:val="13"/>
        </w:rPr>
        <w:t>(Web Page, 2021) &lt;</w:t>
      </w:r>
      <w:hyperlink r:id="rId220">
        <w:r>
          <w:rPr>
            <w:sz w:val="13"/>
          </w:rPr>
          <w:t>https://www.naati.com.au/become-certified/how-do-i-become-certified/</w:t>
        </w:r>
      </w:hyperlink>
      <w:r>
        <w:rPr>
          <w:sz w:val="13"/>
        </w:rPr>
        <w:t>&gt;. See </w:t>
      </w:r>
      <w:r>
        <w:rPr>
          <w:spacing w:val="2"/>
          <w:sz w:val="13"/>
        </w:rPr>
        <w:t>also </w:t>
      </w:r>
      <w:r>
        <w:rPr>
          <w:sz w:val="13"/>
        </w:rPr>
        <w:t>National Accreditation Authority for Translators and Interpreters, </w:t>
      </w:r>
      <w:r>
        <w:rPr>
          <w:i/>
          <w:sz w:val="13"/>
        </w:rPr>
        <w:t>NAATI </w:t>
      </w:r>
      <w:r>
        <w:rPr>
          <w:sz w:val="13"/>
        </w:rPr>
        <w:t>(Web Page)</w:t>
      </w:r>
      <w:r>
        <w:rPr>
          <w:spacing w:val="8"/>
          <w:sz w:val="13"/>
        </w:rPr>
        <w:t> </w:t>
      </w:r>
      <w:r>
        <w:rPr>
          <w:sz w:val="13"/>
        </w:rPr>
        <w:t>&lt;</w:t>
      </w:r>
      <w:hyperlink r:id="rId221">
        <w:r>
          <w:rPr>
            <w:sz w:val="13"/>
          </w:rPr>
          <w:t>https://www.naati.com.au/</w:t>
        </w:r>
      </w:hyperlink>
      <w:r>
        <w:rPr>
          <w:sz w:val="13"/>
        </w:rPr>
        <w:t>&gt;.</w:t>
      </w:r>
    </w:p>
    <w:p>
      <w:pPr>
        <w:pStyle w:val="ListParagraph"/>
        <w:numPr>
          <w:ilvl w:val="0"/>
          <w:numId w:val="99"/>
        </w:numPr>
        <w:tabs>
          <w:tab w:pos="893" w:val="left" w:leader="none"/>
          <w:tab w:pos="894" w:val="left" w:leader="none"/>
        </w:tabs>
        <w:spacing w:line="213" w:lineRule="auto" w:before="0" w:after="0"/>
        <w:ind w:left="893" w:right="1740" w:hanging="793"/>
        <w:jc w:val="left"/>
        <w:rPr>
          <w:sz w:val="13"/>
        </w:rPr>
      </w:pPr>
      <w:r>
        <w:rPr>
          <w:sz w:val="13"/>
        </w:rPr>
        <w:t>Consultations 13 (National Accreditation Authority for Translators and Interpreters (NAATI)), 18 </w:t>
      </w:r>
      <w:r>
        <w:rPr>
          <w:spacing w:val="2"/>
          <w:sz w:val="13"/>
        </w:rPr>
        <w:t>(Australian </w:t>
      </w:r>
      <w:r>
        <w:rPr>
          <w:sz w:val="13"/>
        </w:rPr>
        <w:t>Sign </w:t>
      </w:r>
      <w:r>
        <w:rPr>
          <w:spacing w:val="2"/>
          <w:sz w:val="13"/>
        </w:rPr>
        <w:t>Language </w:t>
      </w:r>
      <w:r>
        <w:rPr>
          <w:sz w:val="13"/>
        </w:rPr>
        <w:t>Interpreters’ </w:t>
      </w:r>
      <w:r>
        <w:rPr>
          <w:spacing w:val="2"/>
          <w:sz w:val="13"/>
        </w:rPr>
        <w:t>Association, </w:t>
      </w:r>
      <w:r>
        <w:rPr>
          <w:sz w:val="13"/>
        </w:rPr>
        <w:t>Victoria and Tasmania</w:t>
      </w:r>
      <w:r>
        <w:rPr>
          <w:spacing w:val="-1"/>
          <w:sz w:val="13"/>
        </w:rPr>
        <w:t> </w:t>
      </w:r>
      <w:r>
        <w:rPr>
          <w:spacing w:val="2"/>
          <w:sz w:val="13"/>
        </w:rPr>
        <w:t>(ASLIA)).</w:t>
      </w:r>
    </w:p>
    <w:p>
      <w:pPr>
        <w:pStyle w:val="ListParagraph"/>
        <w:numPr>
          <w:ilvl w:val="0"/>
          <w:numId w:val="99"/>
        </w:numPr>
        <w:tabs>
          <w:tab w:pos="893" w:val="left" w:leader="none"/>
          <w:tab w:pos="894" w:val="left" w:leader="none"/>
        </w:tabs>
        <w:spacing w:line="213" w:lineRule="auto" w:before="0" w:after="0"/>
        <w:ind w:left="893" w:right="1297" w:hanging="793"/>
        <w:jc w:val="left"/>
        <w:rPr>
          <w:sz w:val="13"/>
        </w:rPr>
      </w:pPr>
      <w:r>
        <w:rPr>
          <w:sz w:val="13"/>
        </w:rPr>
        <w:t>‘Diploma of Interpreting (LOTE-English) PSP50916’, </w:t>
      </w:r>
      <w:r>
        <w:rPr>
          <w:i/>
          <w:sz w:val="13"/>
        </w:rPr>
        <w:t>RMIT University </w:t>
      </w:r>
      <w:r>
        <w:rPr>
          <w:sz w:val="13"/>
        </w:rPr>
        <w:t>(Web Page, 2020) &lt;</w:t>
      </w:r>
      <w:hyperlink r:id="rId222">
        <w:r>
          <w:rPr>
            <w:sz w:val="13"/>
          </w:rPr>
          <w:t>https://www.rmit.edu.au/study-with-us/</w:t>
        </w:r>
      </w:hyperlink>
      <w:hyperlink r:id="rId222">
        <w:r>
          <w:rPr>
            <w:sz w:val="13"/>
          </w:rPr>
          <w:t> levels-of-study/vocational-study/diplomas/diploma-of-interpreting-loteenglish-c5364</w:t>
        </w:r>
      </w:hyperlink>
      <w:r>
        <w:rPr>
          <w:sz w:val="13"/>
        </w:rPr>
        <w:t>&gt;.</w:t>
      </w:r>
    </w:p>
    <w:p>
      <w:pPr>
        <w:pStyle w:val="ListParagraph"/>
        <w:numPr>
          <w:ilvl w:val="0"/>
          <w:numId w:val="99"/>
        </w:numPr>
        <w:tabs>
          <w:tab w:pos="893" w:val="left" w:leader="none"/>
          <w:tab w:pos="894" w:val="left" w:leader="none"/>
        </w:tabs>
        <w:spacing w:line="213" w:lineRule="auto" w:before="0" w:after="0"/>
        <w:ind w:left="893" w:right="1241" w:hanging="793"/>
        <w:jc w:val="left"/>
        <w:rPr>
          <w:sz w:val="13"/>
        </w:rPr>
      </w:pPr>
      <w:r>
        <w:rPr>
          <w:sz w:val="13"/>
        </w:rPr>
        <w:t>‘Advanced Diploma of Interpreting (LOTE-English)’, </w:t>
      </w:r>
      <w:r>
        <w:rPr>
          <w:i/>
          <w:sz w:val="13"/>
        </w:rPr>
        <w:t>RMIT University </w:t>
      </w:r>
      <w:r>
        <w:rPr>
          <w:sz w:val="13"/>
        </w:rPr>
        <w:t>(Web Page) &lt;</w:t>
      </w:r>
      <w:hyperlink r:id="rId223">
        <w:r>
          <w:rPr>
            <w:sz w:val="13"/>
          </w:rPr>
          <w:t>https://www.rmit.edu.au/study-with-us/levels-</w:t>
        </w:r>
      </w:hyperlink>
      <w:hyperlink r:id="rId223">
        <w:r>
          <w:rPr>
            <w:sz w:val="13"/>
          </w:rPr>
          <w:t> of-study/vocational-study/advanced-diplomas/advanced-diploma-of-interpreting-loteenglish-c6154.html</w:t>
        </w:r>
      </w:hyperlink>
      <w:r>
        <w:rPr>
          <w:sz w:val="13"/>
        </w:rPr>
        <w:t>&gt;.</w:t>
      </w:r>
    </w:p>
    <w:p>
      <w:pPr>
        <w:pStyle w:val="ListParagraph"/>
        <w:numPr>
          <w:ilvl w:val="0"/>
          <w:numId w:val="99"/>
        </w:numPr>
        <w:tabs>
          <w:tab w:pos="893" w:val="left" w:leader="none"/>
          <w:tab w:pos="894" w:val="left" w:leader="none"/>
        </w:tabs>
        <w:spacing w:line="213" w:lineRule="auto" w:before="0" w:after="0"/>
        <w:ind w:left="893" w:right="1298" w:hanging="793"/>
        <w:jc w:val="left"/>
        <w:rPr>
          <w:sz w:val="13"/>
        </w:rPr>
      </w:pPr>
      <w:r>
        <w:rPr>
          <w:sz w:val="13"/>
        </w:rPr>
        <w:t>RMIT has the only university course in Victoria currently </w:t>
      </w:r>
      <w:r>
        <w:rPr>
          <w:spacing w:val="2"/>
          <w:sz w:val="13"/>
        </w:rPr>
        <w:t>endorsed </w:t>
      </w:r>
      <w:r>
        <w:rPr>
          <w:sz w:val="13"/>
        </w:rPr>
        <w:t>by NAATI (for Auslan): Consultation 13 (National Accreditation Authority for Translators and Interpreters</w:t>
      </w:r>
      <w:r>
        <w:rPr>
          <w:spacing w:val="1"/>
          <w:sz w:val="13"/>
        </w:rPr>
        <w:t> </w:t>
      </w:r>
      <w:r>
        <w:rPr>
          <w:sz w:val="13"/>
        </w:rPr>
        <w:t>(NAATI)).</w:t>
      </w:r>
    </w:p>
    <w:p>
      <w:pPr>
        <w:spacing w:after="0" w:line="213" w:lineRule="auto"/>
        <w:jc w:val="left"/>
        <w:rPr>
          <w:sz w:val="13"/>
        </w:rPr>
        <w:sectPr>
          <w:type w:val="continuous"/>
          <w:pgSz w:w="11910" w:h="16840"/>
          <w:pgMar w:top="620" w:bottom="280" w:left="620" w:right="380"/>
          <w:cols w:num="2" w:equalWidth="0">
            <w:col w:w="535" w:space="332"/>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99"/>
        </w:numPr>
        <w:tabs>
          <w:tab w:pos="2497" w:val="left" w:leader="none"/>
          <w:tab w:pos="2499" w:val="left" w:leader="none"/>
        </w:tabs>
        <w:spacing w:line="259" w:lineRule="exact" w:before="58" w:after="0"/>
        <w:ind w:left="2498" w:right="0" w:hanging="397"/>
        <w:jc w:val="left"/>
        <w:rPr>
          <w:sz w:val="20"/>
        </w:rPr>
      </w:pPr>
      <w:bookmarkStart w:name="_bookmark114" w:id="272"/>
      <w:bookmarkEnd w:id="272"/>
      <w:r>
        <w:rPr/>
      </w:r>
      <w:bookmarkStart w:name="_bookmark114" w:id="273"/>
      <w:bookmarkEnd w:id="273"/>
      <w:r>
        <w:rPr>
          <w:sz w:val="20"/>
        </w:rPr>
        <w:t>The</w:t>
      </w:r>
      <w:r>
        <w:rPr>
          <w:sz w:val="20"/>
        </w:rPr>
        <w:t> Diploma is equivalent to six months of full-time study</w:t>
      </w:r>
      <w:r>
        <w:rPr>
          <w:spacing w:val="-17"/>
          <w:sz w:val="20"/>
        </w:rPr>
        <w:t> </w:t>
      </w:r>
      <w:r>
        <w:rPr>
          <w:sz w:val="20"/>
        </w:rPr>
        <w:t>(eligibility</w:t>
      </w:r>
    </w:p>
    <w:p>
      <w:pPr>
        <w:pStyle w:val="BodyText"/>
        <w:spacing w:line="259" w:lineRule="exact"/>
        <w:ind w:left="206" w:right="311"/>
        <w:jc w:val="center"/>
      </w:pPr>
      <w:r>
        <w:rPr/>
        <w:t>requirement to sit the Certified Provisional Interpreter (CPI) test)</w:t>
      </w:r>
    </w:p>
    <w:p>
      <w:pPr>
        <w:pStyle w:val="ListParagraph"/>
        <w:numPr>
          <w:ilvl w:val="1"/>
          <w:numId w:val="99"/>
        </w:numPr>
        <w:tabs>
          <w:tab w:pos="2497" w:val="left" w:leader="none"/>
          <w:tab w:pos="2499" w:val="left" w:leader="none"/>
        </w:tabs>
        <w:spacing w:line="259" w:lineRule="exact" w:before="47" w:after="0"/>
        <w:ind w:left="2498" w:right="0" w:hanging="397"/>
        <w:jc w:val="left"/>
        <w:rPr>
          <w:sz w:val="20"/>
        </w:rPr>
      </w:pPr>
      <w:r>
        <w:rPr>
          <w:sz w:val="20"/>
        </w:rPr>
        <w:t>The</w:t>
      </w:r>
      <w:r>
        <w:rPr>
          <w:spacing w:val="-7"/>
          <w:sz w:val="20"/>
        </w:rPr>
        <w:t> </w:t>
      </w:r>
      <w:r>
        <w:rPr>
          <w:sz w:val="20"/>
        </w:rPr>
        <w:t>Advanced</w:t>
      </w:r>
      <w:r>
        <w:rPr>
          <w:spacing w:val="-1"/>
          <w:sz w:val="20"/>
        </w:rPr>
        <w:t> </w:t>
      </w:r>
      <w:r>
        <w:rPr>
          <w:sz w:val="20"/>
        </w:rPr>
        <w:t>Diploma</w:t>
      </w:r>
      <w:r>
        <w:rPr>
          <w:spacing w:val="-2"/>
          <w:sz w:val="20"/>
        </w:rPr>
        <w:t> </w:t>
      </w:r>
      <w:r>
        <w:rPr>
          <w:sz w:val="20"/>
        </w:rPr>
        <w:t>is</w:t>
      </w:r>
      <w:r>
        <w:rPr>
          <w:spacing w:val="-1"/>
          <w:sz w:val="20"/>
        </w:rPr>
        <w:t> </w:t>
      </w:r>
      <w:r>
        <w:rPr>
          <w:sz w:val="20"/>
        </w:rPr>
        <w:t>equivalent</w:t>
      </w:r>
      <w:r>
        <w:rPr>
          <w:spacing w:val="-1"/>
          <w:sz w:val="20"/>
        </w:rPr>
        <w:t> </w:t>
      </w:r>
      <w:r>
        <w:rPr>
          <w:sz w:val="20"/>
        </w:rPr>
        <w:t>to</w:t>
      </w:r>
      <w:r>
        <w:rPr>
          <w:spacing w:val="-1"/>
          <w:sz w:val="20"/>
        </w:rPr>
        <w:t> </w:t>
      </w:r>
      <w:r>
        <w:rPr>
          <w:sz w:val="20"/>
        </w:rPr>
        <w:t>one</w:t>
      </w:r>
      <w:r>
        <w:rPr>
          <w:spacing w:val="-7"/>
          <w:sz w:val="20"/>
        </w:rPr>
        <w:t> </w:t>
      </w:r>
      <w:r>
        <w:rPr>
          <w:sz w:val="20"/>
        </w:rPr>
        <w:t>year</w:t>
      </w:r>
      <w:r>
        <w:rPr>
          <w:spacing w:val="-6"/>
          <w:sz w:val="20"/>
        </w:rPr>
        <w:t> </w:t>
      </w:r>
      <w:r>
        <w:rPr>
          <w:sz w:val="20"/>
        </w:rPr>
        <w:t>of</w:t>
      </w:r>
      <w:r>
        <w:rPr>
          <w:spacing w:val="-5"/>
          <w:sz w:val="20"/>
        </w:rPr>
        <w:t> </w:t>
      </w:r>
      <w:r>
        <w:rPr>
          <w:sz w:val="20"/>
        </w:rPr>
        <w:t>full-time</w:t>
      </w:r>
      <w:r>
        <w:rPr>
          <w:spacing w:val="-1"/>
          <w:sz w:val="20"/>
        </w:rPr>
        <w:t> </w:t>
      </w:r>
      <w:r>
        <w:rPr>
          <w:sz w:val="20"/>
        </w:rPr>
        <w:t>study</w:t>
      </w:r>
      <w:r>
        <w:rPr>
          <w:spacing w:val="-6"/>
          <w:sz w:val="20"/>
        </w:rPr>
        <w:t> </w:t>
      </w:r>
      <w:r>
        <w:rPr>
          <w:sz w:val="20"/>
        </w:rPr>
        <w:t>(eligibility</w:t>
      </w:r>
    </w:p>
    <w:p>
      <w:pPr>
        <w:pStyle w:val="BodyText"/>
        <w:spacing w:line="259" w:lineRule="exact"/>
        <w:ind w:left="2498"/>
      </w:pPr>
      <w:r>
        <w:rPr/>
        <w:t>requirement to sit the Certified Interpreter (CI) test, which is at a higher level)</w:t>
      </w:r>
    </w:p>
    <w:p>
      <w:pPr>
        <w:pStyle w:val="ListParagraph"/>
        <w:numPr>
          <w:ilvl w:val="0"/>
          <w:numId w:val="101"/>
        </w:numPr>
        <w:tabs>
          <w:tab w:pos="2157" w:val="left" w:leader="none"/>
          <w:tab w:pos="2158" w:val="left" w:leader="none"/>
        </w:tabs>
        <w:spacing w:line="206" w:lineRule="auto" w:before="80" w:after="0"/>
        <w:ind w:left="2157" w:right="1346" w:hanging="396"/>
        <w:jc w:val="left"/>
        <w:rPr>
          <w:sz w:val="20"/>
        </w:rPr>
      </w:pPr>
      <w:r>
        <w:rPr>
          <w:sz w:val="20"/>
        </w:rPr>
        <w:t>ethical</w:t>
      </w:r>
      <w:r>
        <w:rPr>
          <w:spacing w:val="-15"/>
          <w:sz w:val="20"/>
        </w:rPr>
        <w:t> </w:t>
      </w:r>
      <w:r>
        <w:rPr>
          <w:sz w:val="20"/>
        </w:rPr>
        <w:t>competency</w:t>
      </w:r>
      <w:r>
        <w:rPr>
          <w:spacing w:val="-15"/>
          <w:sz w:val="20"/>
        </w:rPr>
        <w:t> </w:t>
      </w:r>
      <w:r>
        <w:rPr>
          <w:sz w:val="20"/>
        </w:rPr>
        <w:t>test:</w:t>
      </w:r>
      <w:r>
        <w:rPr>
          <w:spacing w:val="-14"/>
          <w:sz w:val="20"/>
        </w:rPr>
        <w:t> </w:t>
      </w:r>
      <w:r>
        <w:rPr>
          <w:sz w:val="20"/>
        </w:rPr>
        <w:t>testing</w:t>
      </w:r>
      <w:r>
        <w:rPr>
          <w:spacing w:val="-15"/>
          <w:sz w:val="20"/>
        </w:rPr>
        <w:t> </w:t>
      </w:r>
      <w:r>
        <w:rPr>
          <w:sz w:val="20"/>
        </w:rPr>
        <w:t>the</w:t>
      </w:r>
      <w:r>
        <w:rPr>
          <w:spacing w:val="-15"/>
          <w:sz w:val="20"/>
        </w:rPr>
        <w:t> </w:t>
      </w:r>
      <w:r>
        <w:rPr>
          <w:sz w:val="20"/>
        </w:rPr>
        <w:t>person’s</w:t>
      </w:r>
      <w:r>
        <w:rPr>
          <w:spacing w:val="-14"/>
          <w:sz w:val="20"/>
        </w:rPr>
        <w:t> </w:t>
      </w:r>
      <w:r>
        <w:rPr>
          <w:sz w:val="20"/>
        </w:rPr>
        <w:t>knowledge</w:t>
      </w:r>
      <w:r>
        <w:rPr>
          <w:spacing w:val="-15"/>
          <w:sz w:val="20"/>
        </w:rPr>
        <w:t> </w:t>
      </w:r>
      <w:r>
        <w:rPr>
          <w:sz w:val="20"/>
        </w:rPr>
        <w:t>of</w:t>
      </w:r>
      <w:r>
        <w:rPr>
          <w:spacing w:val="-15"/>
          <w:sz w:val="20"/>
        </w:rPr>
        <w:t> </w:t>
      </w:r>
      <w:r>
        <w:rPr>
          <w:sz w:val="20"/>
        </w:rPr>
        <w:t>the</w:t>
      </w:r>
      <w:r>
        <w:rPr>
          <w:spacing w:val="-14"/>
          <w:sz w:val="20"/>
        </w:rPr>
        <w:t> </w:t>
      </w:r>
      <w:r>
        <w:rPr>
          <w:sz w:val="20"/>
        </w:rPr>
        <w:t>professional</w:t>
      </w:r>
      <w:r>
        <w:rPr>
          <w:spacing w:val="-15"/>
          <w:sz w:val="20"/>
        </w:rPr>
        <w:t> </w:t>
      </w:r>
      <w:r>
        <w:rPr>
          <w:sz w:val="20"/>
        </w:rPr>
        <w:t>code of conduct and</w:t>
      </w:r>
      <w:r>
        <w:rPr>
          <w:spacing w:val="-13"/>
          <w:sz w:val="20"/>
        </w:rPr>
        <w:t> </w:t>
      </w:r>
      <w:r>
        <w:rPr>
          <w:sz w:val="20"/>
        </w:rPr>
        <w:t>standards</w:t>
      </w:r>
    </w:p>
    <w:p>
      <w:pPr>
        <w:pStyle w:val="ListParagraph"/>
        <w:numPr>
          <w:ilvl w:val="0"/>
          <w:numId w:val="101"/>
        </w:numPr>
        <w:tabs>
          <w:tab w:pos="2157" w:val="left" w:leader="none"/>
          <w:tab w:pos="2158" w:val="left" w:leader="none"/>
        </w:tabs>
        <w:spacing w:line="206" w:lineRule="auto" w:before="87" w:after="0"/>
        <w:ind w:left="2157" w:right="1871" w:hanging="396"/>
        <w:jc w:val="left"/>
        <w:rPr>
          <w:sz w:val="20"/>
        </w:rPr>
      </w:pPr>
      <w:r>
        <w:rPr>
          <w:spacing w:val="-3"/>
          <w:sz w:val="20"/>
        </w:rPr>
        <w:t>cultural</w:t>
      </w:r>
      <w:r>
        <w:rPr>
          <w:spacing w:val="-10"/>
          <w:sz w:val="20"/>
        </w:rPr>
        <w:t> </w:t>
      </w:r>
      <w:r>
        <w:rPr>
          <w:sz w:val="20"/>
        </w:rPr>
        <w:t>competency</w:t>
      </w:r>
      <w:r>
        <w:rPr>
          <w:spacing w:val="-9"/>
          <w:sz w:val="20"/>
        </w:rPr>
        <w:t> </w:t>
      </w:r>
      <w:r>
        <w:rPr>
          <w:sz w:val="20"/>
        </w:rPr>
        <w:t>test:</w:t>
      </w:r>
      <w:r>
        <w:rPr>
          <w:spacing w:val="-10"/>
          <w:sz w:val="20"/>
        </w:rPr>
        <w:t> </w:t>
      </w:r>
      <w:r>
        <w:rPr>
          <w:sz w:val="20"/>
        </w:rPr>
        <w:t>testing</w:t>
      </w:r>
      <w:r>
        <w:rPr>
          <w:spacing w:val="-10"/>
          <w:sz w:val="20"/>
        </w:rPr>
        <w:t> </w:t>
      </w:r>
      <w:r>
        <w:rPr>
          <w:sz w:val="20"/>
        </w:rPr>
        <w:t>the</w:t>
      </w:r>
      <w:r>
        <w:rPr>
          <w:spacing w:val="-9"/>
          <w:sz w:val="20"/>
        </w:rPr>
        <w:t> </w:t>
      </w:r>
      <w:r>
        <w:rPr>
          <w:sz w:val="20"/>
        </w:rPr>
        <w:t>person’s</w:t>
      </w:r>
      <w:r>
        <w:rPr>
          <w:spacing w:val="-10"/>
          <w:sz w:val="20"/>
        </w:rPr>
        <w:t> </w:t>
      </w:r>
      <w:r>
        <w:rPr>
          <w:sz w:val="20"/>
        </w:rPr>
        <w:t>social</w:t>
      </w:r>
      <w:r>
        <w:rPr>
          <w:spacing w:val="-9"/>
          <w:sz w:val="20"/>
        </w:rPr>
        <w:t> </w:t>
      </w:r>
      <w:r>
        <w:rPr>
          <w:spacing w:val="-3"/>
          <w:sz w:val="20"/>
        </w:rPr>
        <w:t>awareness</w:t>
      </w:r>
      <w:r>
        <w:rPr>
          <w:spacing w:val="-10"/>
          <w:sz w:val="20"/>
        </w:rPr>
        <w:t> </w:t>
      </w:r>
      <w:r>
        <w:rPr>
          <w:sz w:val="20"/>
        </w:rPr>
        <w:t>and</w:t>
      </w:r>
      <w:r>
        <w:rPr>
          <w:spacing w:val="-9"/>
          <w:sz w:val="20"/>
        </w:rPr>
        <w:t> </w:t>
      </w:r>
      <w:r>
        <w:rPr>
          <w:spacing w:val="-3"/>
          <w:sz w:val="20"/>
        </w:rPr>
        <w:t>cultural awareness (of </w:t>
      </w:r>
      <w:r>
        <w:rPr>
          <w:sz w:val="20"/>
        </w:rPr>
        <w:t>deaf</w:t>
      </w:r>
      <w:r>
        <w:rPr>
          <w:spacing w:val="-7"/>
          <w:sz w:val="20"/>
        </w:rPr>
        <w:t> </w:t>
      </w:r>
      <w:r>
        <w:rPr>
          <w:sz w:val="20"/>
        </w:rPr>
        <w:t>people)</w:t>
      </w:r>
    </w:p>
    <w:p>
      <w:pPr>
        <w:pStyle w:val="ListParagraph"/>
        <w:numPr>
          <w:ilvl w:val="0"/>
          <w:numId w:val="101"/>
        </w:numPr>
        <w:tabs>
          <w:tab w:pos="2157" w:val="left" w:leader="none"/>
          <w:tab w:pos="2158" w:val="left" w:leader="none"/>
        </w:tabs>
        <w:spacing w:line="240" w:lineRule="auto" w:before="56" w:after="0"/>
        <w:ind w:left="2157" w:right="0" w:hanging="396"/>
        <w:jc w:val="left"/>
        <w:rPr>
          <w:sz w:val="11"/>
        </w:rPr>
      </w:pPr>
      <w:r>
        <w:rPr>
          <w:sz w:val="20"/>
        </w:rPr>
        <w:t>demonstrated proficiency in</w:t>
      </w:r>
      <w:r>
        <w:rPr>
          <w:spacing w:val="-14"/>
          <w:sz w:val="20"/>
        </w:rPr>
        <w:t> </w:t>
      </w:r>
      <w:r>
        <w:rPr>
          <w:sz w:val="20"/>
        </w:rPr>
        <w:t>English.</w:t>
      </w:r>
      <w:r>
        <w:rPr>
          <w:position w:val="7"/>
          <w:sz w:val="11"/>
        </w:rPr>
        <w:t>33</w:t>
      </w:r>
    </w:p>
    <w:p>
      <w:pPr>
        <w:pStyle w:val="ListParagraph"/>
        <w:numPr>
          <w:ilvl w:val="1"/>
          <w:numId w:val="12"/>
        </w:numPr>
        <w:tabs>
          <w:tab w:pos="1761" w:val="left" w:leader="none"/>
          <w:tab w:pos="1762" w:val="left" w:leader="none"/>
        </w:tabs>
        <w:spacing w:line="206" w:lineRule="auto" w:before="79" w:after="0"/>
        <w:ind w:left="1761" w:right="1378" w:hanging="794"/>
        <w:jc w:val="left"/>
        <w:rPr>
          <w:sz w:val="11"/>
        </w:rPr>
      </w:pPr>
      <w:r>
        <w:rPr>
          <w:sz w:val="20"/>
        </w:rPr>
        <w:t>The last three elements </w:t>
      </w:r>
      <w:r>
        <w:rPr>
          <w:spacing w:val="-3"/>
          <w:sz w:val="20"/>
        </w:rPr>
        <w:t>are </w:t>
      </w:r>
      <w:r>
        <w:rPr>
          <w:sz w:val="20"/>
        </w:rPr>
        <w:t>built </w:t>
      </w:r>
      <w:r>
        <w:rPr>
          <w:spacing w:val="-3"/>
          <w:sz w:val="20"/>
        </w:rPr>
        <w:t>into </w:t>
      </w:r>
      <w:r>
        <w:rPr>
          <w:sz w:val="20"/>
        </w:rPr>
        <w:t>the RMIT course, so if a person has </w:t>
      </w:r>
      <w:r>
        <w:rPr>
          <w:spacing w:val="-2"/>
          <w:sz w:val="20"/>
        </w:rPr>
        <w:t>completed </w:t>
      </w:r>
      <w:r>
        <w:rPr>
          <w:sz w:val="20"/>
        </w:rPr>
        <w:t>that</w:t>
      </w:r>
      <w:r>
        <w:rPr>
          <w:spacing w:val="-10"/>
          <w:sz w:val="20"/>
        </w:rPr>
        <w:t> </w:t>
      </w:r>
      <w:r>
        <w:rPr>
          <w:sz w:val="20"/>
        </w:rPr>
        <w:t>course,</w:t>
      </w:r>
      <w:r>
        <w:rPr>
          <w:spacing w:val="-10"/>
          <w:sz w:val="20"/>
        </w:rPr>
        <w:t> </w:t>
      </w:r>
      <w:r>
        <w:rPr>
          <w:sz w:val="20"/>
        </w:rPr>
        <w:t>they</w:t>
      </w:r>
      <w:r>
        <w:rPr>
          <w:spacing w:val="-9"/>
          <w:sz w:val="20"/>
        </w:rPr>
        <w:t> </w:t>
      </w:r>
      <w:r>
        <w:rPr>
          <w:sz w:val="20"/>
        </w:rPr>
        <w:t>do</w:t>
      </w:r>
      <w:r>
        <w:rPr>
          <w:spacing w:val="-10"/>
          <w:sz w:val="20"/>
        </w:rPr>
        <w:t> </w:t>
      </w:r>
      <w:r>
        <w:rPr>
          <w:sz w:val="20"/>
        </w:rPr>
        <w:t>not</w:t>
      </w:r>
      <w:r>
        <w:rPr>
          <w:spacing w:val="-9"/>
          <w:sz w:val="20"/>
        </w:rPr>
        <w:t> </w:t>
      </w:r>
      <w:r>
        <w:rPr>
          <w:sz w:val="20"/>
        </w:rPr>
        <w:t>need</w:t>
      </w:r>
      <w:r>
        <w:rPr>
          <w:spacing w:val="-10"/>
          <w:sz w:val="20"/>
        </w:rPr>
        <w:t> </w:t>
      </w:r>
      <w:r>
        <w:rPr>
          <w:sz w:val="20"/>
        </w:rPr>
        <w:t>to</w:t>
      </w:r>
      <w:r>
        <w:rPr>
          <w:spacing w:val="-9"/>
          <w:sz w:val="20"/>
        </w:rPr>
        <w:t> </w:t>
      </w:r>
      <w:r>
        <w:rPr>
          <w:spacing w:val="-3"/>
          <w:sz w:val="20"/>
        </w:rPr>
        <w:t>complete</w:t>
      </w:r>
      <w:r>
        <w:rPr>
          <w:spacing w:val="-10"/>
          <w:sz w:val="20"/>
        </w:rPr>
        <w:t> </w:t>
      </w:r>
      <w:r>
        <w:rPr>
          <w:sz w:val="20"/>
        </w:rPr>
        <w:t>the</w:t>
      </w:r>
      <w:r>
        <w:rPr>
          <w:spacing w:val="-9"/>
          <w:sz w:val="20"/>
        </w:rPr>
        <w:t> </w:t>
      </w:r>
      <w:r>
        <w:rPr>
          <w:sz w:val="20"/>
        </w:rPr>
        <w:t>ethical</w:t>
      </w:r>
      <w:r>
        <w:rPr>
          <w:spacing w:val="-10"/>
          <w:sz w:val="20"/>
        </w:rPr>
        <w:t> </w:t>
      </w:r>
      <w:r>
        <w:rPr>
          <w:sz w:val="20"/>
        </w:rPr>
        <w:t>or</w:t>
      </w:r>
      <w:r>
        <w:rPr>
          <w:spacing w:val="-9"/>
          <w:sz w:val="20"/>
        </w:rPr>
        <w:t> </w:t>
      </w:r>
      <w:r>
        <w:rPr>
          <w:spacing w:val="-3"/>
          <w:sz w:val="20"/>
        </w:rPr>
        <w:t>cultural</w:t>
      </w:r>
      <w:r>
        <w:rPr>
          <w:spacing w:val="-10"/>
          <w:sz w:val="20"/>
        </w:rPr>
        <w:t> </w:t>
      </w:r>
      <w:r>
        <w:rPr>
          <w:sz w:val="20"/>
        </w:rPr>
        <w:t>competency</w:t>
      </w:r>
      <w:r>
        <w:rPr>
          <w:spacing w:val="-9"/>
          <w:sz w:val="20"/>
        </w:rPr>
        <w:t> </w:t>
      </w:r>
      <w:r>
        <w:rPr>
          <w:sz w:val="20"/>
        </w:rPr>
        <w:t>tests,</w:t>
      </w:r>
      <w:r>
        <w:rPr>
          <w:spacing w:val="-10"/>
          <w:sz w:val="20"/>
        </w:rPr>
        <w:t> </w:t>
      </w:r>
      <w:r>
        <w:rPr>
          <w:sz w:val="20"/>
        </w:rPr>
        <w:t>or the proficiency in English test</w:t>
      </w:r>
      <w:r>
        <w:rPr>
          <w:spacing w:val="-23"/>
          <w:sz w:val="20"/>
        </w:rPr>
        <w:t> </w:t>
      </w:r>
      <w:r>
        <w:rPr>
          <w:spacing w:val="-3"/>
          <w:sz w:val="20"/>
        </w:rPr>
        <w:t>separately.</w:t>
      </w:r>
      <w:r>
        <w:rPr>
          <w:spacing w:val="-3"/>
          <w:position w:val="7"/>
          <w:sz w:val="11"/>
        </w:rPr>
        <w:t>34</w:t>
      </w:r>
    </w:p>
    <w:p>
      <w:pPr>
        <w:pStyle w:val="ListParagraph"/>
        <w:numPr>
          <w:ilvl w:val="1"/>
          <w:numId w:val="12"/>
        </w:numPr>
        <w:tabs>
          <w:tab w:pos="1761" w:val="left" w:leader="none"/>
          <w:tab w:pos="1762" w:val="left" w:leader="none"/>
        </w:tabs>
        <w:spacing w:line="206" w:lineRule="auto" w:before="124" w:after="0"/>
        <w:ind w:left="1761" w:right="1204" w:hanging="794"/>
        <w:jc w:val="left"/>
        <w:rPr>
          <w:sz w:val="11"/>
        </w:rPr>
      </w:pPr>
      <w:r>
        <w:rPr>
          <w:sz w:val="20"/>
        </w:rPr>
        <w:t>Once</w:t>
      </w:r>
      <w:r>
        <w:rPr>
          <w:spacing w:val="-14"/>
          <w:sz w:val="20"/>
        </w:rPr>
        <w:t> </w:t>
      </w:r>
      <w:r>
        <w:rPr>
          <w:sz w:val="20"/>
        </w:rPr>
        <w:t>the</w:t>
      </w:r>
      <w:r>
        <w:rPr>
          <w:spacing w:val="-13"/>
          <w:sz w:val="20"/>
        </w:rPr>
        <w:t> </w:t>
      </w:r>
      <w:r>
        <w:rPr>
          <w:sz w:val="20"/>
        </w:rPr>
        <w:t>applicant</w:t>
      </w:r>
      <w:r>
        <w:rPr>
          <w:spacing w:val="-13"/>
          <w:sz w:val="20"/>
        </w:rPr>
        <w:t> </w:t>
      </w:r>
      <w:r>
        <w:rPr>
          <w:sz w:val="20"/>
        </w:rPr>
        <w:t>has</w:t>
      </w:r>
      <w:r>
        <w:rPr>
          <w:spacing w:val="-14"/>
          <w:sz w:val="20"/>
        </w:rPr>
        <w:t> </w:t>
      </w:r>
      <w:r>
        <w:rPr>
          <w:sz w:val="20"/>
        </w:rPr>
        <w:t>demonstrated</w:t>
      </w:r>
      <w:r>
        <w:rPr>
          <w:spacing w:val="-13"/>
          <w:sz w:val="20"/>
        </w:rPr>
        <w:t> </w:t>
      </w:r>
      <w:r>
        <w:rPr>
          <w:sz w:val="20"/>
        </w:rPr>
        <w:t>that</w:t>
      </w:r>
      <w:r>
        <w:rPr>
          <w:spacing w:val="-13"/>
          <w:sz w:val="20"/>
        </w:rPr>
        <w:t> </w:t>
      </w:r>
      <w:r>
        <w:rPr>
          <w:sz w:val="20"/>
        </w:rPr>
        <w:t>they</w:t>
      </w:r>
      <w:r>
        <w:rPr>
          <w:spacing w:val="-14"/>
          <w:sz w:val="20"/>
        </w:rPr>
        <w:t> </w:t>
      </w:r>
      <w:r>
        <w:rPr>
          <w:sz w:val="20"/>
        </w:rPr>
        <w:t>fulfil</w:t>
      </w:r>
      <w:r>
        <w:rPr>
          <w:spacing w:val="-13"/>
          <w:sz w:val="20"/>
        </w:rPr>
        <w:t> </w:t>
      </w:r>
      <w:r>
        <w:rPr>
          <w:sz w:val="20"/>
        </w:rPr>
        <w:t>the</w:t>
      </w:r>
      <w:r>
        <w:rPr>
          <w:spacing w:val="-13"/>
          <w:sz w:val="20"/>
        </w:rPr>
        <w:t> </w:t>
      </w:r>
      <w:r>
        <w:rPr>
          <w:sz w:val="20"/>
        </w:rPr>
        <w:t>eligibility</w:t>
      </w:r>
      <w:r>
        <w:rPr>
          <w:spacing w:val="-14"/>
          <w:sz w:val="20"/>
        </w:rPr>
        <w:t> </w:t>
      </w:r>
      <w:r>
        <w:rPr>
          <w:sz w:val="20"/>
        </w:rPr>
        <w:t>criteria,</w:t>
      </w:r>
      <w:r>
        <w:rPr>
          <w:spacing w:val="-13"/>
          <w:sz w:val="20"/>
        </w:rPr>
        <w:t> </w:t>
      </w:r>
      <w:r>
        <w:rPr>
          <w:sz w:val="20"/>
        </w:rPr>
        <w:t>they</w:t>
      </w:r>
      <w:r>
        <w:rPr>
          <w:spacing w:val="-13"/>
          <w:sz w:val="20"/>
        </w:rPr>
        <w:t> </w:t>
      </w:r>
      <w:r>
        <w:rPr>
          <w:sz w:val="20"/>
        </w:rPr>
        <w:t>can</w:t>
      </w:r>
      <w:r>
        <w:rPr>
          <w:spacing w:val="-13"/>
          <w:sz w:val="20"/>
        </w:rPr>
        <w:t> </w:t>
      </w:r>
      <w:r>
        <w:rPr>
          <w:sz w:val="20"/>
        </w:rPr>
        <w:t>then undertake a </w:t>
      </w:r>
      <w:r>
        <w:rPr>
          <w:spacing w:val="-4"/>
          <w:sz w:val="20"/>
        </w:rPr>
        <w:t>NAATI </w:t>
      </w:r>
      <w:r>
        <w:rPr>
          <w:sz w:val="20"/>
        </w:rPr>
        <w:t>certification test. They will sit for either the CPI </w:t>
      </w:r>
      <w:r>
        <w:rPr>
          <w:spacing w:val="-4"/>
          <w:sz w:val="20"/>
        </w:rPr>
        <w:t>level </w:t>
      </w:r>
      <w:r>
        <w:rPr>
          <w:sz w:val="20"/>
        </w:rPr>
        <w:t>or CI </w:t>
      </w:r>
      <w:r>
        <w:rPr>
          <w:spacing w:val="-4"/>
          <w:sz w:val="20"/>
        </w:rPr>
        <w:t>level </w:t>
      </w:r>
      <w:r>
        <w:rPr>
          <w:sz w:val="20"/>
        </w:rPr>
        <w:t>test, depending on their training and experience. These </w:t>
      </w:r>
      <w:r>
        <w:rPr>
          <w:spacing w:val="-3"/>
          <w:sz w:val="20"/>
        </w:rPr>
        <w:t>are </w:t>
      </w:r>
      <w:r>
        <w:rPr>
          <w:sz w:val="20"/>
        </w:rPr>
        <w:t>skills-based tests consisting of </w:t>
      </w:r>
      <w:r>
        <w:rPr>
          <w:spacing w:val="-3"/>
          <w:sz w:val="20"/>
        </w:rPr>
        <w:t>several interpreting </w:t>
      </w:r>
      <w:r>
        <w:rPr>
          <w:sz w:val="20"/>
        </w:rPr>
        <w:t>tasks including live scenarios with </w:t>
      </w:r>
      <w:r>
        <w:rPr>
          <w:spacing w:val="-3"/>
          <w:sz w:val="20"/>
        </w:rPr>
        <w:t>role </w:t>
      </w:r>
      <w:r>
        <w:rPr>
          <w:spacing w:val="-4"/>
          <w:sz w:val="20"/>
        </w:rPr>
        <w:t>play. </w:t>
      </w:r>
      <w:r>
        <w:rPr>
          <w:sz w:val="20"/>
        </w:rPr>
        <w:t>The test is undertaken in</w:t>
      </w:r>
      <w:r>
        <w:rPr>
          <w:spacing w:val="-11"/>
          <w:sz w:val="20"/>
        </w:rPr>
        <w:t> </w:t>
      </w:r>
      <w:r>
        <w:rPr>
          <w:sz w:val="20"/>
        </w:rPr>
        <w:t>Melbourne</w:t>
      </w:r>
      <w:r>
        <w:rPr>
          <w:spacing w:val="-10"/>
          <w:sz w:val="20"/>
        </w:rPr>
        <w:t> </w:t>
      </w:r>
      <w:r>
        <w:rPr>
          <w:spacing w:val="-3"/>
          <w:sz w:val="20"/>
        </w:rPr>
        <w:t>(for</w:t>
      </w:r>
      <w:r>
        <w:rPr>
          <w:spacing w:val="-10"/>
          <w:sz w:val="20"/>
        </w:rPr>
        <w:t> </w:t>
      </w:r>
      <w:r>
        <w:rPr>
          <w:sz w:val="20"/>
        </w:rPr>
        <w:t>Victorian</w:t>
      </w:r>
      <w:r>
        <w:rPr>
          <w:spacing w:val="-11"/>
          <w:sz w:val="20"/>
        </w:rPr>
        <w:t> </w:t>
      </w:r>
      <w:r>
        <w:rPr>
          <w:sz w:val="20"/>
        </w:rPr>
        <w:t>candidates)</w:t>
      </w:r>
      <w:r>
        <w:rPr>
          <w:spacing w:val="-10"/>
          <w:sz w:val="20"/>
        </w:rPr>
        <w:t> </w:t>
      </w:r>
      <w:r>
        <w:rPr>
          <w:sz w:val="20"/>
        </w:rPr>
        <w:t>and</w:t>
      </w:r>
      <w:r>
        <w:rPr>
          <w:spacing w:val="-10"/>
          <w:sz w:val="20"/>
        </w:rPr>
        <w:t> </w:t>
      </w:r>
      <w:r>
        <w:rPr>
          <w:sz w:val="20"/>
        </w:rPr>
        <w:t>is</w:t>
      </w:r>
      <w:r>
        <w:rPr>
          <w:spacing w:val="-11"/>
          <w:sz w:val="20"/>
        </w:rPr>
        <w:t> </w:t>
      </w:r>
      <w:r>
        <w:rPr>
          <w:spacing w:val="-3"/>
          <w:sz w:val="20"/>
        </w:rPr>
        <w:t>recorded</w:t>
      </w:r>
      <w:r>
        <w:rPr>
          <w:spacing w:val="-10"/>
          <w:sz w:val="20"/>
        </w:rPr>
        <w:t> </w:t>
      </w:r>
      <w:r>
        <w:rPr>
          <w:sz w:val="20"/>
        </w:rPr>
        <w:t>on</w:t>
      </w:r>
      <w:r>
        <w:rPr>
          <w:spacing w:val="-10"/>
          <w:sz w:val="20"/>
        </w:rPr>
        <w:t> </w:t>
      </w:r>
      <w:r>
        <w:rPr>
          <w:sz w:val="20"/>
        </w:rPr>
        <w:t>video.</w:t>
      </w:r>
      <w:r>
        <w:rPr>
          <w:spacing w:val="-10"/>
          <w:sz w:val="20"/>
        </w:rPr>
        <w:t> </w:t>
      </w:r>
      <w:r>
        <w:rPr>
          <w:sz w:val="20"/>
        </w:rPr>
        <w:t>If</w:t>
      </w:r>
      <w:r>
        <w:rPr>
          <w:spacing w:val="-11"/>
          <w:sz w:val="20"/>
        </w:rPr>
        <w:t> </w:t>
      </w:r>
      <w:r>
        <w:rPr>
          <w:sz w:val="20"/>
        </w:rPr>
        <w:t>the</w:t>
      </w:r>
      <w:r>
        <w:rPr>
          <w:spacing w:val="-10"/>
          <w:sz w:val="20"/>
        </w:rPr>
        <w:t> </w:t>
      </w:r>
      <w:r>
        <w:rPr>
          <w:sz w:val="20"/>
        </w:rPr>
        <w:t>applicant</w:t>
      </w:r>
      <w:r>
        <w:rPr>
          <w:spacing w:val="-10"/>
          <w:sz w:val="20"/>
        </w:rPr>
        <w:t> </w:t>
      </w:r>
      <w:r>
        <w:rPr>
          <w:sz w:val="20"/>
        </w:rPr>
        <w:t>passes the</w:t>
      </w:r>
      <w:r>
        <w:rPr>
          <w:spacing w:val="-5"/>
          <w:sz w:val="20"/>
        </w:rPr>
        <w:t> </w:t>
      </w:r>
      <w:r>
        <w:rPr>
          <w:spacing w:val="-3"/>
          <w:sz w:val="20"/>
        </w:rPr>
        <w:t>relevant</w:t>
      </w:r>
      <w:r>
        <w:rPr>
          <w:spacing w:val="-5"/>
          <w:sz w:val="20"/>
        </w:rPr>
        <w:t> </w:t>
      </w:r>
      <w:r>
        <w:rPr>
          <w:sz w:val="20"/>
        </w:rPr>
        <w:t>test,</w:t>
      </w:r>
      <w:r>
        <w:rPr>
          <w:spacing w:val="-4"/>
          <w:sz w:val="20"/>
        </w:rPr>
        <w:t> </w:t>
      </w:r>
      <w:r>
        <w:rPr>
          <w:sz w:val="20"/>
        </w:rPr>
        <w:t>they</w:t>
      </w:r>
      <w:r>
        <w:rPr>
          <w:spacing w:val="-5"/>
          <w:sz w:val="20"/>
        </w:rPr>
        <w:t> </w:t>
      </w:r>
      <w:r>
        <w:rPr>
          <w:sz w:val="20"/>
        </w:rPr>
        <w:t>will</w:t>
      </w:r>
      <w:r>
        <w:rPr>
          <w:spacing w:val="-4"/>
          <w:sz w:val="20"/>
        </w:rPr>
        <w:t> </w:t>
      </w:r>
      <w:r>
        <w:rPr>
          <w:sz w:val="20"/>
        </w:rPr>
        <w:t>qualify</w:t>
      </w:r>
      <w:r>
        <w:rPr>
          <w:spacing w:val="-5"/>
          <w:sz w:val="20"/>
        </w:rPr>
        <w:t> </w:t>
      </w:r>
      <w:r>
        <w:rPr>
          <w:sz w:val="20"/>
        </w:rPr>
        <w:t>as</w:t>
      </w:r>
      <w:r>
        <w:rPr>
          <w:spacing w:val="-5"/>
          <w:sz w:val="20"/>
        </w:rPr>
        <w:t> </w:t>
      </w:r>
      <w:r>
        <w:rPr>
          <w:sz w:val="20"/>
        </w:rPr>
        <w:t>either</w:t>
      </w:r>
      <w:r>
        <w:rPr>
          <w:spacing w:val="-4"/>
          <w:sz w:val="20"/>
        </w:rPr>
        <w:t> </w:t>
      </w:r>
      <w:r>
        <w:rPr>
          <w:sz w:val="20"/>
        </w:rPr>
        <w:t>a</w:t>
      </w:r>
      <w:r>
        <w:rPr>
          <w:spacing w:val="-5"/>
          <w:sz w:val="20"/>
        </w:rPr>
        <w:t> </w:t>
      </w:r>
      <w:r>
        <w:rPr>
          <w:sz w:val="20"/>
        </w:rPr>
        <w:t>CPI</w:t>
      </w:r>
      <w:r>
        <w:rPr>
          <w:spacing w:val="-4"/>
          <w:sz w:val="20"/>
        </w:rPr>
        <w:t> </w:t>
      </w:r>
      <w:r>
        <w:rPr>
          <w:sz w:val="20"/>
        </w:rPr>
        <w:t>or</w:t>
      </w:r>
      <w:r>
        <w:rPr>
          <w:spacing w:val="-5"/>
          <w:sz w:val="20"/>
        </w:rPr>
        <w:t> </w:t>
      </w:r>
      <w:r>
        <w:rPr>
          <w:sz w:val="20"/>
        </w:rPr>
        <w:t>a</w:t>
      </w:r>
      <w:r>
        <w:rPr>
          <w:spacing w:val="-4"/>
          <w:sz w:val="20"/>
        </w:rPr>
        <w:t> </w:t>
      </w:r>
      <w:r>
        <w:rPr>
          <w:sz w:val="20"/>
        </w:rPr>
        <w:t>CI.</w:t>
      </w:r>
      <w:r>
        <w:rPr>
          <w:position w:val="7"/>
          <w:sz w:val="11"/>
        </w:rPr>
        <w:t>35</w:t>
      </w:r>
    </w:p>
    <w:p>
      <w:pPr>
        <w:pStyle w:val="ListParagraph"/>
        <w:numPr>
          <w:ilvl w:val="1"/>
          <w:numId w:val="12"/>
        </w:numPr>
        <w:tabs>
          <w:tab w:pos="1761" w:val="left" w:leader="none"/>
          <w:tab w:pos="1762" w:val="left" w:leader="none"/>
        </w:tabs>
        <w:spacing w:line="206" w:lineRule="auto" w:before="128" w:after="0"/>
        <w:ind w:left="1761" w:right="1328" w:hanging="794"/>
        <w:jc w:val="left"/>
        <w:rPr>
          <w:sz w:val="20"/>
        </w:rPr>
      </w:pPr>
      <w:r>
        <w:rPr>
          <w:sz w:val="20"/>
        </w:rPr>
        <w:t>Auslan </w:t>
      </w:r>
      <w:r>
        <w:rPr>
          <w:spacing w:val="-3"/>
          <w:sz w:val="20"/>
        </w:rPr>
        <w:t>interpreters </w:t>
      </w:r>
      <w:r>
        <w:rPr>
          <w:sz w:val="20"/>
        </w:rPr>
        <w:t>need to recertify every three years. </w:t>
      </w:r>
      <w:r>
        <w:rPr>
          <w:spacing w:val="-10"/>
          <w:sz w:val="20"/>
        </w:rPr>
        <w:t>To </w:t>
      </w:r>
      <w:r>
        <w:rPr>
          <w:spacing w:val="-3"/>
          <w:sz w:val="20"/>
        </w:rPr>
        <w:t>recertify, </w:t>
      </w:r>
      <w:r>
        <w:rPr>
          <w:sz w:val="20"/>
        </w:rPr>
        <w:t>a person must demonstrate</w:t>
      </w:r>
      <w:r>
        <w:rPr>
          <w:spacing w:val="-10"/>
          <w:sz w:val="20"/>
        </w:rPr>
        <w:t> </w:t>
      </w:r>
      <w:r>
        <w:rPr>
          <w:sz w:val="20"/>
        </w:rPr>
        <w:t>they</w:t>
      </w:r>
      <w:r>
        <w:rPr>
          <w:spacing w:val="-9"/>
          <w:sz w:val="20"/>
        </w:rPr>
        <w:t> </w:t>
      </w:r>
      <w:r>
        <w:rPr>
          <w:spacing w:val="-4"/>
          <w:sz w:val="20"/>
        </w:rPr>
        <w:t>have</w:t>
      </w:r>
      <w:r>
        <w:rPr>
          <w:spacing w:val="-9"/>
          <w:sz w:val="20"/>
        </w:rPr>
        <w:t> </w:t>
      </w:r>
      <w:r>
        <w:rPr>
          <w:spacing w:val="-2"/>
          <w:sz w:val="20"/>
        </w:rPr>
        <w:t>completed</w:t>
      </w:r>
      <w:r>
        <w:rPr>
          <w:spacing w:val="-9"/>
          <w:sz w:val="20"/>
        </w:rPr>
        <w:t> </w:t>
      </w:r>
      <w:r>
        <w:rPr>
          <w:sz w:val="20"/>
        </w:rPr>
        <w:t>120</w:t>
      </w:r>
      <w:r>
        <w:rPr>
          <w:spacing w:val="-9"/>
          <w:sz w:val="20"/>
        </w:rPr>
        <w:t> </w:t>
      </w:r>
      <w:r>
        <w:rPr>
          <w:sz w:val="20"/>
        </w:rPr>
        <w:t>points</w:t>
      </w:r>
      <w:r>
        <w:rPr>
          <w:spacing w:val="-9"/>
          <w:sz w:val="20"/>
        </w:rPr>
        <w:t> </w:t>
      </w:r>
      <w:r>
        <w:rPr>
          <w:sz w:val="20"/>
        </w:rPr>
        <w:t>of</w:t>
      </w:r>
      <w:r>
        <w:rPr>
          <w:spacing w:val="-9"/>
          <w:sz w:val="20"/>
        </w:rPr>
        <w:t> </w:t>
      </w:r>
      <w:r>
        <w:rPr>
          <w:sz w:val="20"/>
        </w:rPr>
        <w:t>professional</w:t>
      </w:r>
      <w:r>
        <w:rPr>
          <w:spacing w:val="-9"/>
          <w:sz w:val="20"/>
        </w:rPr>
        <w:t> </w:t>
      </w:r>
      <w:r>
        <w:rPr>
          <w:spacing w:val="-3"/>
          <w:sz w:val="20"/>
        </w:rPr>
        <w:t>development</w:t>
      </w:r>
      <w:r>
        <w:rPr>
          <w:spacing w:val="-9"/>
          <w:sz w:val="20"/>
        </w:rPr>
        <w:t> </w:t>
      </w:r>
      <w:r>
        <w:rPr>
          <w:spacing w:val="-3"/>
          <w:sz w:val="20"/>
        </w:rPr>
        <w:t>(PD)</w:t>
      </w:r>
      <w:r>
        <w:rPr>
          <w:spacing w:val="-10"/>
          <w:sz w:val="20"/>
        </w:rPr>
        <w:t> </w:t>
      </w:r>
      <w:r>
        <w:rPr>
          <w:sz w:val="20"/>
        </w:rPr>
        <w:t>points in four</w:t>
      </w:r>
      <w:r>
        <w:rPr>
          <w:spacing w:val="-9"/>
          <w:sz w:val="20"/>
        </w:rPr>
        <w:t> </w:t>
      </w:r>
      <w:r>
        <w:rPr>
          <w:sz w:val="20"/>
        </w:rPr>
        <w:t>categories:</w:t>
      </w:r>
    </w:p>
    <w:p>
      <w:pPr>
        <w:pStyle w:val="ListParagraph"/>
        <w:numPr>
          <w:ilvl w:val="0"/>
          <w:numId w:val="102"/>
        </w:numPr>
        <w:tabs>
          <w:tab w:pos="2157" w:val="left" w:leader="none"/>
          <w:tab w:pos="2158" w:val="left" w:leader="none"/>
        </w:tabs>
        <w:spacing w:line="240" w:lineRule="auto" w:before="91" w:after="0"/>
        <w:ind w:left="2157" w:right="0" w:hanging="396"/>
        <w:jc w:val="left"/>
        <w:rPr>
          <w:sz w:val="20"/>
        </w:rPr>
      </w:pPr>
      <w:r>
        <w:rPr>
          <w:sz w:val="20"/>
        </w:rPr>
        <w:t>skill development and</w:t>
      </w:r>
      <w:r>
        <w:rPr>
          <w:spacing w:val="-7"/>
          <w:sz w:val="20"/>
        </w:rPr>
        <w:t> </w:t>
      </w:r>
      <w:r>
        <w:rPr>
          <w:sz w:val="20"/>
        </w:rPr>
        <w:t>knowledge</w:t>
      </w:r>
    </w:p>
    <w:p>
      <w:pPr>
        <w:pStyle w:val="ListParagraph"/>
        <w:numPr>
          <w:ilvl w:val="0"/>
          <w:numId w:val="102"/>
        </w:numPr>
        <w:tabs>
          <w:tab w:pos="2157" w:val="left" w:leader="none"/>
          <w:tab w:pos="2158" w:val="left" w:leader="none"/>
        </w:tabs>
        <w:spacing w:line="240" w:lineRule="auto" w:before="48" w:after="0"/>
        <w:ind w:left="2157" w:right="0" w:hanging="396"/>
        <w:jc w:val="left"/>
        <w:rPr>
          <w:sz w:val="20"/>
        </w:rPr>
      </w:pPr>
      <w:r>
        <w:rPr>
          <w:sz w:val="20"/>
        </w:rPr>
        <w:t>industry</w:t>
      </w:r>
      <w:r>
        <w:rPr>
          <w:spacing w:val="-3"/>
          <w:sz w:val="20"/>
        </w:rPr>
        <w:t> </w:t>
      </w:r>
      <w:r>
        <w:rPr>
          <w:sz w:val="20"/>
        </w:rPr>
        <w:t>engagement</w:t>
      </w:r>
    </w:p>
    <w:p>
      <w:pPr>
        <w:pStyle w:val="ListParagraph"/>
        <w:numPr>
          <w:ilvl w:val="0"/>
          <w:numId w:val="102"/>
        </w:numPr>
        <w:tabs>
          <w:tab w:pos="2157" w:val="left" w:leader="none"/>
          <w:tab w:pos="2158" w:val="left" w:leader="none"/>
        </w:tabs>
        <w:spacing w:line="240" w:lineRule="auto" w:before="47" w:after="0"/>
        <w:ind w:left="2157" w:right="0" w:hanging="396"/>
        <w:jc w:val="left"/>
        <w:rPr>
          <w:sz w:val="20"/>
        </w:rPr>
      </w:pPr>
      <w:r>
        <w:rPr>
          <w:sz w:val="20"/>
        </w:rPr>
        <w:t>ethics</w:t>
      </w:r>
    </w:p>
    <w:p>
      <w:pPr>
        <w:pStyle w:val="ListParagraph"/>
        <w:numPr>
          <w:ilvl w:val="0"/>
          <w:numId w:val="102"/>
        </w:numPr>
        <w:tabs>
          <w:tab w:pos="2157" w:val="left" w:leader="none"/>
          <w:tab w:pos="2158" w:val="left" w:leader="none"/>
        </w:tabs>
        <w:spacing w:line="240" w:lineRule="auto" w:before="48" w:after="0"/>
        <w:ind w:left="2157" w:right="0" w:hanging="396"/>
        <w:jc w:val="left"/>
        <w:rPr>
          <w:sz w:val="11"/>
        </w:rPr>
      </w:pPr>
      <w:r>
        <w:rPr>
          <w:sz w:val="20"/>
        </w:rPr>
        <w:t>maintenance of</w:t>
      </w:r>
      <w:r>
        <w:rPr>
          <w:spacing w:val="-5"/>
          <w:sz w:val="20"/>
        </w:rPr>
        <w:t> </w:t>
      </w:r>
      <w:r>
        <w:rPr>
          <w:sz w:val="20"/>
        </w:rPr>
        <w:t>language.</w:t>
      </w:r>
      <w:r>
        <w:rPr>
          <w:position w:val="7"/>
          <w:sz w:val="11"/>
        </w:rPr>
        <w:t>36</w:t>
      </w:r>
    </w:p>
    <w:p>
      <w:pPr>
        <w:spacing w:before="118"/>
        <w:ind w:left="967" w:right="0" w:firstLine="0"/>
        <w:jc w:val="left"/>
        <w:rPr>
          <w:b/>
          <w:sz w:val="24"/>
        </w:rPr>
      </w:pPr>
      <w:r>
        <w:rPr>
          <w:b/>
          <w:sz w:val="24"/>
        </w:rPr>
        <w:t>What qualifications do Auslan interpreters need to work in a court setting?</w:t>
      </w:r>
    </w:p>
    <w:p>
      <w:pPr>
        <w:pStyle w:val="ListParagraph"/>
        <w:numPr>
          <w:ilvl w:val="1"/>
          <w:numId w:val="12"/>
        </w:numPr>
        <w:tabs>
          <w:tab w:pos="1761" w:val="left" w:leader="none"/>
          <w:tab w:pos="1762" w:val="left" w:leader="none"/>
        </w:tabs>
        <w:spacing w:line="206" w:lineRule="auto" w:before="127" w:after="0"/>
        <w:ind w:left="1761" w:right="1239" w:hanging="794"/>
        <w:jc w:val="left"/>
        <w:rPr>
          <w:sz w:val="11"/>
        </w:rPr>
      </w:pPr>
      <w:r>
        <w:rPr>
          <w:sz w:val="20"/>
        </w:rPr>
        <w:t>The Australian Sign Language </w:t>
      </w:r>
      <w:r>
        <w:rPr>
          <w:spacing w:val="-3"/>
          <w:sz w:val="20"/>
        </w:rPr>
        <w:t>Interpreters </w:t>
      </w:r>
      <w:r>
        <w:rPr>
          <w:sz w:val="20"/>
        </w:rPr>
        <w:t>Association (ASLIA) and other Auslan </w:t>
      </w:r>
      <w:r>
        <w:rPr>
          <w:spacing w:val="-3"/>
          <w:sz w:val="20"/>
        </w:rPr>
        <w:t>interpreter</w:t>
      </w:r>
      <w:r>
        <w:rPr>
          <w:spacing w:val="-9"/>
          <w:sz w:val="20"/>
        </w:rPr>
        <w:t> </w:t>
      </w:r>
      <w:r>
        <w:rPr>
          <w:sz w:val="20"/>
        </w:rPr>
        <w:t>associations</w:t>
      </w:r>
      <w:r>
        <w:rPr>
          <w:spacing w:val="-9"/>
          <w:sz w:val="20"/>
        </w:rPr>
        <w:t> </w:t>
      </w:r>
      <w:r>
        <w:rPr>
          <w:sz w:val="20"/>
        </w:rPr>
        <w:t>advised</w:t>
      </w:r>
      <w:r>
        <w:rPr>
          <w:spacing w:val="-9"/>
          <w:sz w:val="20"/>
        </w:rPr>
        <w:t> </w:t>
      </w:r>
      <w:r>
        <w:rPr>
          <w:sz w:val="20"/>
        </w:rPr>
        <w:t>the</w:t>
      </w:r>
      <w:r>
        <w:rPr>
          <w:spacing w:val="-8"/>
          <w:sz w:val="20"/>
        </w:rPr>
        <w:t> </w:t>
      </w:r>
      <w:r>
        <w:rPr>
          <w:sz w:val="20"/>
        </w:rPr>
        <w:t>Commission</w:t>
      </w:r>
      <w:r>
        <w:rPr>
          <w:spacing w:val="-9"/>
          <w:sz w:val="20"/>
        </w:rPr>
        <w:t> </w:t>
      </w:r>
      <w:r>
        <w:rPr>
          <w:sz w:val="20"/>
        </w:rPr>
        <w:t>that</w:t>
      </w:r>
      <w:r>
        <w:rPr>
          <w:spacing w:val="-9"/>
          <w:sz w:val="20"/>
        </w:rPr>
        <w:t> </w:t>
      </w:r>
      <w:r>
        <w:rPr>
          <w:sz w:val="20"/>
        </w:rPr>
        <w:t>Auslan</w:t>
      </w:r>
      <w:r>
        <w:rPr>
          <w:spacing w:val="-9"/>
          <w:sz w:val="20"/>
        </w:rPr>
        <w:t> </w:t>
      </w:r>
      <w:r>
        <w:rPr>
          <w:spacing w:val="-3"/>
          <w:sz w:val="20"/>
        </w:rPr>
        <w:t>interpreters</w:t>
      </w:r>
      <w:r>
        <w:rPr>
          <w:spacing w:val="-8"/>
          <w:sz w:val="20"/>
        </w:rPr>
        <w:t> </w:t>
      </w:r>
      <w:r>
        <w:rPr>
          <w:sz w:val="20"/>
        </w:rPr>
        <w:t>who</w:t>
      </w:r>
      <w:r>
        <w:rPr>
          <w:spacing w:val="-9"/>
          <w:sz w:val="20"/>
        </w:rPr>
        <w:t> </w:t>
      </w:r>
      <w:r>
        <w:rPr>
          <w:spacing w:val="-3"/>
          <w:sz w:val="20"/>
        </w:rPr>
        <w:t>currently </w:t>
      </w:r>
      <w:r>
        <w:rPr>
          <w:sz w:val="20"/>
        </w:rPr>
        <w:t>undertake</w:t>
      </w:r>
      <w:r>
        <w:rPr>
          <w:spacing w:val="-8"/>
          <w:sz w:val="20"/>
        </w:rPr>
        <w:t> </w:t>
      </w:r>
      <w:r>
        <w:rPr>
          <w:spacing w:val="-3"/>
          <w:sz w:val="20"/>
        </w:rPr>
        <w:t>work</w:t>
      </w:r>
      <w:r>
        <w:rPr>
          <w:spacing w:val="-7"/>
          <w:sz w:val="20"/>
        </w:rPr>
        <w:t> </w:t>
      </w:r>
      <w:r>
        <w:rPr>
          <w:sz w:val="20"/>
        </w:rPr>
        <w:t>in</w:t>
      </w:r>
      <w:r>
        <w:rPr>
          <w:spacing w:val="-7"/>
          <w:sz w:val="20"/>
        </w:rPr>
        <w:t> </w:t>
      </w:r>
      <w:r>
        <w:rPr>
          <w:sz w:val="20"/>
        </w:rPr>
        <w:t>the</w:t>
      </w:r>
      <w:r>
        <w:rPr>
          <w:spacing w:val="-7"/>
          <w:sz w:val="20"/>
        </w:rPr>
        <w:t> </w:t>
      </w:r>
      <w:r>
        <w:rPr>
          <w:sz w:val="20"/>
        </w:rPr>
        <w:t>courts</w:t>
      </w:r>
      <w:r>
        <w:rPr>
          <w:spacing w:val="-7"/>
          <w:sz w:val="20"/>
        </w:rPr>
        <w:t> </w:t>
      </w:r>
      <w:r>
        <w:rPr>
          <w:spacing w:val="-3"/>
          <w:sz w:val="20"/>
        </w:rPr>
        <w:t>(for</w:t>
      </w:r>
      <w:r>
        <w:rPr>
          <w:spacing w:val="-7"/>
          <w:sz w:val="20"/>
        </w:rPr>
        <w:t> </w:t>
      </w:r>
      <w:r>
        <w:rPr>
          <w:spacing w:val="-3"/>
          <w:sz w:val="20"/>
        </w:rPr>
        <w:t>example</w:t>
      </w:r>
      <w:r>
        <w:rPr>
          <w:spacing w:val="-7"/>
          <w:sz w:val="20"/>
        </w:rPr>
        <w:t> </w:t>
      </w:r>
      <w:r>
        <w:rPr>
          <w:sz w:val="20"/>
        </w:rPr>
        <w:t>to</w:t>
      </w:r>
      <w:r>
        <w:rPr>
          <w:spacing w:val="-7"/>
          <w:sz w:val="20"/>
        </w:rPr>
        <w:t> </w:t>
      </w:r>
      <w:r>
        <w:rPr>
          <w:spacing w:val="-3"/>
          <w:sz w:val="20"/>
        </w:rPr>
        <w:t>interpret</w:t>
      </w:r>
      <w:r>
        <w:rPr>
          <w:spacing w:val="-7"/>
          <w:sz w:val="20"/>
        </w:rPr>
        <w:t> </w:t>
      </w:r>
      <w:r>
        <w:rPr>
          <w:sz w:val="20"/>
        </w:rPr>
        <w:t>for</w:t>
      </w:r>
      <w:r>
        <w:rPr>
          <w:spacing w:val="-7"/>
          <w:sz w:val="20"/>
        </w:rPr>
        <w:t> </w:t>
      </w:r>
      <w:r>
        <w:rPr>
          <w:sz w:val="20"/>
        </w:rPr>
        <w:t>the</w:t>
      </w:r>
      <w:r>
        <w:rPr>
          <w:spacing w:val="-7"/>
          <w:sz w:val="20"/>
        </w:rPr>
        <w:t> </w:t>
      </w:r>
      <w:r>
        <w:rPr>
          <w:sz w:val="20"/>
        </w:rPr>
        <w:t>accused</w:t>
      </w:r>
      <w:r>
        <w:rPr>
          <w:spacing w:val="-8"/>
          <w:sz w:val="20"/>
        </w:rPr>
        <w:t> </w:t>
      </w:r>
      <w:r>
        <w:rPr>
          <w:sz w:val="20"/>
        </w:rPr>
        <w:t>or</w:t>
      </w:r>
      <w:r>
        <w:rPr>
          <w:spacing w:val="-7"/>
          <w:sz w:val="20"/>
        </w:rPr>
        <w:t> </w:t>
      </w:r>
      <w:r>
        <w:rPr>
          <w:sz w:val="20"/>
        </w:rPr>
        <w:t>witnesses)</w:t>
      </w:r>
      <w:r>
        <w:rPr>
          <w:spacing w:val="-7"/>
          <w:sz w:val="20"/>
        </w:rPr>
        <w:t> </w:t>
      </w:r>
      <w:r>
        <w:rPr>
          <w:spacing w:val="-3"/>
          <w:sz w:val="20"/>
        </w:rPr>
        <w:t>are </w:t>
      </w:r>
      <w:r>
        <w:rPr>
          <w:sz w:val="20"/>
        </w:rPr>
        <w:t>generally at the certified </w:t>
      </w:r>
      <w:r>
        <w:rPr>
          <w:spacing w:val="-4"/>
          <w:sz w:val="20"/>
        </w:rPr>
        <w:t>level (CI). </w:t>
      </w:r>
      <w:r>
        <w:rPr>
          <w:sz w:val="20"/>
        </w:rPr>
        <w:t>Sometimes a </w:t>
      </w:r>
      <w:r>
        <w:rPr>
          <w:spacing w:val="-4"/>
          <w:sz w:val="20"/>
        </w:rPr>
        <w:t>lower </w:t>
      </w:r>
      <w:r>
        <w:rPr>
          <w:sz w:val="20"/>
        </w:rPr>
        <w:t>accreditation </w:t>
      </w:r>
      <w:r>
        <w:rPr>
          <w:spacing w:val="-3"/>
          <w:sz w:val="20"/>
        </w:rPr>
        <w:t>(CPI) may </w:t>
      </w:r>
      <w:r>
        <w:rPr>
          <w:sz w:val="20"/>
        </w:rPr>
        <w:t>be used in </w:t>
      </w:r>
      <w:r>
        <w:rPr>
          <w:spacing w:val="-3"/>
          <w:sz w:val="20"/>
        </w:rPr>
        <w:t>remote </w:t>
      </w:r>
      <w:r>
        <w:rPr>
          <w:sz w:val="20"/>
        </w:rPr>
        <w:t>areas or in the </w:t>
      </w:r>
      <w:r>
        <w:rPr>
          <w:spacing w:val="-3"/>
          <w:sz w:val="20"/>
        </w:rPr>
        <w:t>Magistrates’ </w:t>
      </w:r>
      <w:r>
        <w:rPr>
          <w:sz w:val="20"/>
        </w:rPr>
        <w:t>Court if a CI </w:t>
      </w:r>
      <w:r>
        <w:rPr>
          <w:spacing w:val="-4"/>
          <w:sz w:val="20"/>
        </w:rPr>
        <w:t>level </w:t>
      </w:r>
      <w:r>
        <w:rPr>
          <w:spacing w:val="-3"/>
          <w:sz w:val="20"/>
        </w:rPr>
        <w:t>interpreter </w:t>
      </w:r>
      <w:r>
        <w:rPr>
          <w:sz w:val="20"/>
        </w:rPr>
        <w:t>is not </w:t>
      </w:r>
      <w:r>
        <w:rPr>
          <w:spacing w:val="-3"/>
          <w:sz w:val="20"/>
        </w:rPr>
        <w:t>available </w:t>
      </w:r>
      <w:r>
        <w:rPr>
          <w:sz w:val="20"/>
        </w:rPr>
        <w:t>(see discussion of availability issues</w:t>
      </w:r>
      <w:r>
        <w:rPr>
          <w:spacing w:val="-18"/>
          <w:sz w:val="20"/>
        </w:rPr>
        <w:t> </w:t>
      </w:r>
      <w:r>
        <w:rPr>
          <w:spacing w:val="-4"/>
          <w:sz w:val="20"/>
        </w:rPr>
        <w:t>below).</w:t>
      </w:r>
      <w:r>
        <w:rPr>
          <w:spacing w:val="-4"/>
          <w:position w:val="7"/>
          <w:sz w:val="11"/>
        </w:rPr>
        <w:t>37</w:t>
      </w:r>
    </w:p>
    <w:p>
      <w:pPr>
        <w:pStyle w:val="ListParagraph"/>
        <w:numPr>
          <w:ilvl w:val="1"/>
          <w:numId w:val="12"/>
        </w:numPr>
        <w:tabs>
          <w:tab w:pos="1761" w:val="left" w:leader="none"/>
          <w:tab w:pos="1762" w:val="left" w:leader="none"/>
        </w:tabs>
        <w:spacing w:line="259" w:lineRule="exact" w:before="95" w:after="0"/>
        <w:ind w:left="1761" w:right="0" w:hanging="794"/>
        <w:jc w:val="left"/>
        <w:rPr>
          <w:sz w:val="20"/>
        </w:rPr>
      </w:pPr>
      <w:r>
        <w:rPr>
          <w:spacing w:val="-4"/>
          <w:sz w:val="20"/>
        </w:rPr>
        <w:t>NAATI</w:t>
      </w:r>
      <w:r>
        <w:rPr>
          <w:spacing w:val="-7"/>
          <w:sz w:val="20"/>
        </w:rPr>
        <w:t> </w:t>
      </w:r>
      <w:r>
        <w:rPr>
          <w:sz w:val="20"/>
        </w:rPr>
        <w:t>has</w:t>
      </w:r>
      <w:r>
        <w:rPr>
          <w:spacing w:val="-6"/>
          <w:sz w:val="20"/>
        </w:rPr>
        <w:t> </w:t>
      </w:r>
      <w:r>
        <w:rPr>
          <w:spacing w:val="-3"/>
          <w:sz w:val="20"/>
        </w:rPr>
        <w:t>now</w:t>
      </w:r>
      <w:r>
        <w:rPr>
          <w:spacing w:val="-6"/>
          <w:sz w:val="20"/>
        </w:rPr>
        <w:t> </w:t>
      </w:r>
      <w:r>
        <w:rPr>
          <w:sz w:val="20"/>
        </w:rPr>
        <w:t>introduced</w:t>
      </w:r>
      <w:r>
        <w:rPr>
          <w:spacing w:val="-7"/>
          <w:sz w:val="20"/>
        </w:rPr>
        <w:t> </w:t>
      </w:r>
      <w:r>
        <w:rPr>
          <w:sz w:val="20"/>
        </w:rPr>
        <w:t>a</w:t>
      </w:r>
      <w:r>
        <w:rPr>
          <w:spacing w:val="-6"/>
          <w:sz w:val="20"/>
        </w:rPr>
        <w:t> </w:t>
      </w:r>
      <w:r>
        <w:rPr>
          <w:sz w:val="20"/>
        </w:rPr>
        <w:t>new</w:t>
      </w:r>
      <w:r>
        <w:rPr>
          <w:spacing w:val="-6"/>
          <w:sz w:val="20"/>
        </w:rPr>
        <w:t> </w:t>
      </w:r>
      <w:r>
        <w:rPr>
          <w:sz w:val="20"/>
        </w:rPr>
        <w:t>specialist</w:t>
      </w:r>
      <w:r>
        <w:rPr>
          <w:spacing w:val="-6"/>
          <w:sz w:val="20"/>
        </w:rPr>
        <w:t> </w:t>
      </w:r>
      <w:r>
        <w:rPr>
          <w:sz w:val="20"/>
        </w:rPr>
        <w:t>certification</w:t>
      </w:r>
      <w:r>
        <w:rPr>
          <w:spacing w:val="-7"/>
          <w:sz w:val="20"/>
        </w:rPr>
        <w:t> </w:t>
      </w:r>
      <w:r>
        <w:rPr>
          <w:spacing w:val="-3"/>
          <w:sz w:val="20"/>
        </w:rPr>
        <w:t>level:</w:t>
      </w:r>
      <w:r>
        <w:rPr>
          <w:spacing w:val="-6"/>
          <w:sz w:val="20"/>
        </w:rPr>
        <w:t> </w:t>
      </w:r>
      <w:r>
        <w:rPr>
          <w:sz w:val="20"/>
        </w:rPr>
        <w:t>Certified</w:t>
      </w:r>
      <w:r>
        <w:rPr>
          <w:spacing w:val="-6"/>
          <w:sz w:val="20"/>
        </w:rPr>
        <w:t> </w:t>
      </w:r>
      <w:r>
        <w:rPr>
          <w:sz w:val="20"/>
        </w:rPr>
        <w:t>Specialist</w:t>
      </w:r>
      <w:r>
        <w:rPr>
          <w:spacing w:val="-7"/>
          <w:sz w:val="20"/>
        </w:rPr>
        <w:t> </w:t>
      </w:r>
      <w:r>
        <w:rPr>
          <w:sz w:val="20"/>
        </w:rPr>
        <w:t>Legal</w:t>
      </w:r>
    </w:p>
    <w:p>
      <w:pPr>
        <w:pStyle w:val="BodyText"/>
        <w:spacing w:line="259" w:lineRule="exact"/>
        <w:ind w:left="1761"/>
      </w:pPr>
      <w:r>
        <w:rPr/>
        <w:t>Interpreter (CSLI).</w:t>
      </w:r>
      <w:r>
        <w:rPr>
          <w:position w:val="7"/>
          <w:sz w:val="11"/>
        </w:rPr>
        <w:t>38 </w:t>
      </w:r>
      <w:r>
        <w:rPr/>
        <w:t>These are:</w:t>
      </w:r>
    </w:p>
    <w:p>
      <w:pPr>
        <w:spacing w:line="208" w:lineRule="auto" w:before="112"/>
        <w:ind w:left="2157" w:right="1335" w:firstLine="0"/>
        <w:jc w:val="left"/>
        <w:rPr>
          <w:sz w:val="11"/>
        </w:rPr>
      </w:pPr>
      <w:r>
        <w:rPr>
          <w:sz w:val="19"/>
        </w:rPr>
        <w:t>experienced and accomplished interpreters who are experts in interpreting in the legal domain. They have completed training and undertake continuous professional development in specialist legal interpreting.</w:t>
      </w:r>
      <w:r>
        <w:rPr>
          <w:position w:val="6"/>
          <w:sz w:val="11"/>
        </w:rPr>
        <w:t>39</w:t>
      </w: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6"/>
        </w:rPr>
      </w:pPr>
      <w:r>
        <w:rPr/>
        <w:pict>
          <v:line style="position:absolute;mso-position-horizontal-relative:page;mso-position-vertical-relative:paragraph;z-index:8432;mso-wrap-distance-left:0;mso-wrap-distance-right:0" from="79.370102pt,14.11484pt" to="515.905102pt,14.11484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99"/>
        </w:numPr>
        <w:tabs>
          <w:tab w:pos="1760" w:val="left" w:leader="none"/>
          <w:tab w:pos="1762" w:val="left" w:leader="none"/>
        </w:tabs>
        <w:spacing w:line="170" w:lineRule="exact" w:before="21" w:after="0"/>
        <w:ind w:left="1761" w:right="0" w:hanging="794"/>
        <w:jc w:val="left"/>
        <w:rPr>
          <w:sz w:val="13"/>
        </w:rPr>
      </w:pPr>
      <w:r>
        <w:rPr>
          <w:spacing w:val="2"/>
          <w:sz w:val="13"/>
        </w:rPr>
        <w:t>Ibid.</w:t>
      </w:r>
    </w:p>
    <w:p>
      <w:pPr>
        <w:pStyle w:val="ListParagraph"/>
        <w:numPr>
          <w:ilvl w:val="0"/>
          <w:numId w:val="99"/>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99"/>
        </w:numPr>
        <w:tabs>
          <w:tab w:pos="1760"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99"/>
        </w:numPr>
        <w:tabs>
          <w:tab w:pos="1761" w:val="left" w:leader="none"/>
          <w:tab w:pos="1762" w:val="left" w:leader="none"/>
        </w:tabs>
        <w:spacing w:line="213" w:lineRule="auto" w:before="7" w:after="0"/>
        <w:ind w:left="1761" w:right="272" w:hanging="794"/>
        <w:jc w:val="left"/>
        <w:rPr>
          <w:sz w:val="13"/>
        </w:rPr>
      </w:pPr>
      <w:r>
        <w:rPr>
          <w:sz w:val="13"/>
        </w:rPr>
        <w:t>Consultation 18 </w:t>
      </w:r>
      <w:r>
        <w:rPr>
          <w:spacing w:val="2"/>
          <w:sz w:val="13"/>
        </w:rPr>
        <w:t>(Australian </w:t>
      </w:r>
      <w:r>
        <w:rPr>
          <w:sz w:val="13"/>
        </w:rPr>
        <w:t>Sign </w:t>
      </w:r>
      <w:r>
        <w:rPr>
          <w:spacing w:val="2"/>
          <w:sz w:val="13"/>
        </w:rPr>
        <w:t>Language </w:t>
      </w:r>
      <w:r>
        <w:rPr>
          <w:sz w:val="13"/>
        </w:rPr>
        <w:t>Interpreters’ </w:t>
      </w:r>
      <w:r>
        <w:rPr>
          <w:spacing w:val="2"/>
          <w:sz w:val="13"/>
        </w:rPr>
        <w:t>Association, </w:t>
      </w:r>
      <w:r>
        <w:rPr>
          <w:sz w:val="13"/>
        </w:rPr>
        <w:t>Victoria and Tasmania </w:t>
      </w:r>
      <w:r>
        <w:rPr>
          <w:spacing w:val="2"/>
          <w:sz w:val="13"/>
        </w:rPr>
        <w:t>(ASLIA)); </w:t>
      </w:r>
      <w:r>
        <w:rPr>
          <w:sz w:val="13"/>
        </w:rPr>
        <w:t>National Accreditation Authority</w:t>
      </w:r>
      <w:r>
        <w:rPr>
          <w:spacing w:val="4"/>
          <w:sz w:val="13"/>
        </w:rPr>
        <w:t> </w:t>
      </w:r>
      <w:r>
        <w:rPr>
          <w:sz w:val="13"/>
        </w:rPr>
        <w:t>for</w:t>
      </w:r>
      <w:r>
        <w:rPr>
          <w:spacing w:val="4"/>
          <w:sz w:val="13"/>
        </w:rPr>
        <w:t> </w:t>
      </w:r>
      <w:r>
        <w:rPr>
          <w:sz w:val="13"/>
        </w:rPr>
        <w:t>Translators</w:t>
      </w:r>
      <w:r>
        <w:rPr>
          <w:spacing w:val="5"/>
          <w:sz w:val="13"/>
        </w:rPr>
        <w:t> </w:t>
      </w:r>
      <w:r>
        <w:rPr>
          <w:sz w:val="13"/>
        </w:rPr>
        <w:t>and</w:t>
      </w:r>
      <w:r>
        <w:rPr>
          <w:spacing w:val="4"/>
          <w:sz w:val="13"/>
        </w:rPr>
        <w:t> </w:t>
      </w:r>
      <w:r>
        <w:rPr>
          <w:sz w:val="13"/>
        </w:rPr>
        <w:t>Interpreters,</w:t>
      </w:r>
      <w:r>
        <w:rPr>
          <w:spacing w:val="4"/>
          <w:sz w:val="13"/>
        </w:rPr>
        <w:t> </w:t>
      </w:r>
      <w:r>
        <w:rPr>
          <w:i/>
          <w:sz w:val="13"/>
        </w:rPr>
        <w:t>NAATI</w:t>
      </w:r>
      <w:r>
        <w:rPr>
          <w:i/>
          <w:spacing w:val="5"/>
          <w:sz w:val="13"/>
        </w:rPr>
        <w:t> </w:t>
      </w:r>
      <w:r>
        <w:rPr>
          <w:i/>
          <w:sz w:val="13"/>
        </w:rPr>
        <w:t>Recertification</w:t>
      </w:r>
      <w:r>
        <w:rPr>
          <w:i/>
          <w:spacing w:val="4"/>
          <w:sz w:val="13"/>
        </w:rPr>
        <w:t> </w:t>
      </w:r>
      <w:r>
        <w:rPr>
          <w:i/>
          <w:sz w:val="13"/>
        </w:rPr>
        <w:t>Professional</w:t>
      </w:r>
      <w:r>
        <w:rPr>
          <w:i/>
          <w:spacing w:val="4"/>
          <w:sz w:val="13"/>
        </w:rPr>
        <w:t> </w:t>
      </w:r>
      <w:r>
        <w:rPr>
          <w:i/>
          <w:sz w:val="13"/>
        </w:rPr>
        <w:t>Development</w:t>
      </w:r>
      <w:r>
        <w:rPr>
          <w:i/>
          <w:spacing w:val="4"/>
          <w:sz w:val="13"/>
        </w:rPr>
        <w:t> </w:t>
      </w:r>
      <w:r>
        <w:rPr>
          <w:i/>
          <w:sz w:val="13"/>
        </w:rPr>
        <w:t>Catalogue</w:t>
      </w:r>
      <w:r>
        <w:rPr>
          <w:i/>
          <w:spacing w:val="5"/>
          <w:sz w:val="13"/>
        </w:rPr>
        <w:t> </w:t>
      </w:r>
      <w:r>
        <w:rPr>
          <w:sz w:val="13"/>
        </w:rPr>
        <w:t>(Guide,</w:t>
      </w:r>
      <w:r>
        <w:rPr>
          <w:spacing w:val="4"/>
          <w:sz w:val="13"/>
        </w:rPr>
        <w:t> </w:t>
      </w:r>
      <w:r>
        <w:rPr>
          <w:sz w:val="13"/>
        </w:rPr>
        <w:t>2018).</w:t>
      </w:r>
    </w:p>
    <w:p>
      <w:pPr>
        <w:pStyle w:val="ListParagraph"/>
        <w:numPr>
          <w:ilvl w:val="0"/>
          <w:numId w:val="99"/>
        </w:numPr>
        <w:tabs>
          <w:tab w:pos="1760" w:val="left" w:leader="none"/>
          <w:tab w:pos="1762" w:val="left" w:leader="none"/>
        </w:tabs>
        <w:spacing w:line="213" w:lineRule="auto" w:before="0" w:after="0"/>
        <w:ind w:left="1761" w:right="71" w:hanging="794"/>
        <w:jc w:val="left"/>
        <w:rPr>
          <w:sz w:val="13"/>
        </w:rPr>
      </w:pPr>
      <w:r>
        <w:rPr>
          <w:sz w:val="13"/>
        </w:rPr>
        <w:t>Consultations 18 </w:t>
      </w:r>
      <w:r>
        <w:rPr>
          <w:spacing w:val="2"/>
          <w:sz w:val="13"/>
        </w:rPr>
        <w:t>(Australian </w:t>
      </w:r>
      <w:r>
        <w:rPr>
          <w:sz w:val="13"/>
        </w:rPr>
        <w:t>Sign </w:t>
      </w:r>
      <w:r>
        <w:rPr>
          <w:spacing w:val="2"/>
          <w:sz w:val="13"/>
        </w:rPr>
        <w:t>Language </w:t>
      </w:r>
      <w:r>
        <w:rPr>
          <w:sz w:val="13"/>
        </w:rPr>
        <w:t>Interpreters’ </w:t>
      </w:r>
      <w:r>
        <w:rPr>
          <w:spacing w:val="2"/>
          <w:sz w:val="13"/>
        </w:rPr>
        <w:t>Association, </w:t>
      </w:r>
      <w:r>
        <w:rPr>
          <w:sz w:val="13"/>
        </w:rPr>
        <w:t>Victoria and Tasmania </w:t>
      </w:r>
      <w:r>
        <w:rPr>
          <w:spacing w:val="2"/>
          <w:sz w:val="13"/>
        </w:rPr>
        <w:t>(ASLIA)), </w:t>
      </w:r>
      <w:r>
        <w:rPr>
          <w:sz w:val="13"/>
        </w:rPr>
        <w:t>19 </w:t>
      </w:r>
      <w:r>
        <w:rPr>
          <w:spacing w:val="2"/>
          <w:sz w:val="13"/>
        </w:rPr>
        <w:t>(Australian </w:t>
      </w:r>
      <w:r>
        <w:rPr>
          <w:sz w:val="13"/>
        </w:rPr>
        <w:t>Institute of Interpreters and Translators (AUSIT)).</w:t>
      </w:r>
    </w:p>
    <w:p>
      <w:pPr>
        <w:pStyle w:val="ListParagraph"/>
        <w:numPr>
          <w:ilvl w:val="0"/>
          <w:numId w:val="99"/>
        </w:numPr>
        <w:tabs>
          <w:tab w:pos="1761" w:val="left" w:leader="none"/>
          <w:tab w:pos="1762" w:val="left" w:leader="none"/>
        </w:tabs>
        <w:spacing w:line="153" w:lineRule="exact" w:before="0" w:after="0"/>
        <w:ind w:left="1761" w:right="0" w:hanging="794"/>
        <w:jc w:val="left"/>
        <w:rPr>
          <w:sz w:val="13"/>
        </w:rPr>
      </w:pPr>
      <w:r>
        <w:rPr>
          <w:sz w:val="13"/>
        </w:rPr>
        <w:t>National</w:t>
      </w:r>
      <w:r>
        <w:rPr>
          <w:spacing w:val="7"/>
          <w:sz w:val="13"/>
        </w:rPr>
        <w:t> </w:t>
      </w:r>
      <w:r>
        <w:rPr>
          <w:sz w:val="13"/>
        </w:rPr>
        <w:t>Accreditation</w:t>
      </w:r>
      <w:r>
        <w:rPr>
          <w:spacing w:val="8"/>
          <w:sz w:val="13"/>
        </w:rPr>
        <w:t> </w:t>
      </w:r>
      <w:r>
        <w:rPr>
          <w:sz w:val="13"/>
        </w:rPr>
        <w:t>Authority</w:t>
      </w:r>
      <w:r>
        <w:rPr>
          <w:spacing w:val="8"/>
          <w:sz w:val="13"/>
        </w:rPr>
        <w:t> </w:t>
      </w:r>
      <w:r>
        <w:rPr>
          <w:sz w:val="13"/>
        </w:rPr>
        <w:t>for</w:t>
      </w:r>
      <w:r>
        <w:rPr>
          <w:spacing w:val="7"/>
          <w:sz w:val="13"/>
        </w:rPr>
        <w:t> </w:t>
      </w:r>
      <w:r>
        <w:rPr>
          <w:sz w:val="13"/>
        </w:rPr>
        <w:t>Translators</w:t>
      </w:r>
      <w:r>
        <w:rPr>
          <w:spacing w:val="8"/>
          <w:sz w:val="13"/>
        </w:rPr>
        <w:t> </w:t>
      </w:r>
      <w:r>
        <w:rPr>
          <w:sz w:val="13"/>
        </w:rPr>
        <w:t>and</w:t>
      </w:r>
      <w:r>
        <w:rPr>
          <w:spacing w:val="8"/>
          <w:sz w:val="13"/>
        </w:rPr>
        <w:t> </w:t>
      </w:r>
      <w:r>
        <w:rPr>
          <w:sz w:val="13"/>
        </w:rPr>
        <w:t>Interpreters,</w:t>
      </w:r>
      <w:r>
        <w:rPr>
          <w:spacing w:val="7"/>
          <w:sz w:val="13"/>
        </w:rPr>
        <w:t> </w:t>
      </w:r>
      <w:r>
        <w:rPr>
          <w:spacing w:val="2"/>
          <w:sz w:val="13"/>
        </w:rPr>
        <w:t>‘Certified</w:t>
      </w:r>
      <w:r>
        <w:rPr>
          <w:spacing w:val="8"/>
          <w:sz w:val="13"/>
        </w:rPr>
        <w:t> </w:t>
      </w:r>
      <w:r>
        <w:rPr>
          <w:spacing w:val="2"/>
          <w:sz w:val="13"/>
        </w:rPr>
        <w:t>Specialist</w:t>
      </w:r>
      <w:r>
        <w:rPr>
          <w:spacing w:val="8"/>
          <w:sz w:val="13"/>
        </w:rPr>
        <w:t> </w:t>
      </w:r>
      <w:r>
        <w:rPr>
          <w:sz w:val="13"/>
        </w:rPr>
        <w:t>Legal</w:t>
      </w:r>
      <w:r>
        <w:rPr>
          <w:spacing w:val="7"/>
          <w:sz w:val="13"/>
        </w:rPr>
        <w:t> </w:t>
      </w:r>
      <w:r>
        <w:rPr>
          <w:sz w:val="13"/>
        </w:rPr>
        <w:t>Interpreter’,</w:t>
      </w:r>
      <w:r>
        <w:rPr>
          <w:spacing w:val="8"/>
          <w:sz w:val="13"/>
        </w:rPr>
        <w:t> </w:t>
      </w:r>
      <w:r>
        <w:rPr>
          <w:i/>
          <w:sz w:val="13"/>
        </w:rPr>
        <w:t>NAATI</w:t>
      </w:r>
      <w:r>
        <w:rPr>
          <w:i/>
          <w:spacing w:val="7"/>
          <w:sz w:val="13"/>
        </w:rPr>
        <w:t> </w:t>
      </w:r>
      <w:r>
        <w:rPr>
          <w:sz w:val="13"/>
        </w:rPr>
        <w:t>(Web</w:t>
      </w:r>
      <w:r>
        <w:rPr>
          <w:spacing w:val="8"/>
          <w:sz w:val="13"/>
        </w:rPr>
        <w:t> </w:t>
      </w:r>
      <w:r>
        <w:rPr>
          <w:sz w:val="13"/>
        </w:rPr>
        <w:t>Page,</w:t>
      </w:r>
      <w:r>
        <w:rPr>
          <w:spacing w:val="8"/>
          <w:sz w:val="13"/>
        </w:rPr>
        <w:t> </w:t>
      </w:r>
      <w:r>
        <w:rPr>
          <w:sz w:val="13"/>
        </w:rPr>
        <w:t>2021)</w:t>
      </w:r>
    </w:p>
    <w:p>
      <w:pPr>
        <w:spacing w:line="160" w:lineRule="exact" w:before="0"/>
        <w:ind w:left="1761" w:right="0" w:firstLine="0"/>
        <w:jc w:val="left"/>
        <w:rPr>
          <w:sz w:val="13"/>
        </w:rPr>
      </w:pPr>
      <w:r>
        <w:rPr>
          <w:sz w:val="13"/>
        </w:rPr>
        <w:t>&lt;</w:t>
      </w:r>
      <w:hyperlink r:id="rId224">
        <w:r>
          <w:rPr>
            <w:sz w:val="13"/>
          </w:rPr>
          <w:t>https://www.naati.com.au/become-certified/certification/certified-specialist-legal-interpreter/</w:t>
        </w:r>
      </w:hyperlink>
      <w:r>
        <w:rPr>
          <w:sz w:val="13"/>
        </w:rPr>
        <w:t>&gt;.</w:t>
      </w:r>
    </w:p>
    <w:p>
      <w:pPr>
        <w:pStyle w:val="ListParagraph"/>
        <w:numPr>
          <w:ilvl w:val="0"/>
          <w:numId w:val="99"/>
        </w:numPr>
        <w:tabs>
          <w:tab w:pos="1761" w:val="left" w:leader="none"/>
          <w:tab w:pos="1762" w:val="left" w:leader="none"/>
        </w:tabs>
        <w:spacing w:line="160" w:lineRule="exact" w:before="0" w:after="0"/>
        <w:ind w:left="1761" w:right="0" w:hanging="794"/>
        <w:jc w:val="left"/>
        <w:rPr>
          <w:sz w:val="13"/>
        </w:rPr>
      </w:pPr>
      <w:r>
        <w:rPr>
          <w:sz w:val="13"/>
        </w:rPr>
        <w:t>‘Auslan</w:t>
      </w:r>
      <w:r>
        <w:rPr>
          <w:spacing w:val="5"/>
          <w:sz w:val="13"/>
        </w:rPr>
        <w:t> </w:t>
      </w:r>
      <w:r>
        <w:rPr>
          <w:spacing w:val="2"/>
          <w:sz w:val="13"/>
        </w:rPr>
        <w:t>Certified</w:t>
      </w:r>
      <w:r>
        <w:rPr>
          <w:spacing w:val="6"/>
          <w:sz w:val="13"/>
        </w:rPr>
        <w:t> </w:t>
      </w:r>
      <w:r>
        <w:rPr>
          <w:spacing w:val="2"/>
          <w:sz w:val="13"/>
        </w:rPr>
        <w:t>Specialist</w:t>
      </w:r>
      <w:r>
        <w:rPr>
          <w:spacing w:val="5"/>
          <w:sz w:val="13"/>
        </w:rPr>
        <w:t> </w:t>
      </w:r>
      <w:r>
        <w:rPr>
          <w:sz w:val="13"/>
        </w:rPr>
        <w:t>Legal</w:t>
      </w:r>
      <w:r>
        <w:rPr>
          <w:spacing w:val="6"/>
          <w:sz w:val="13"/>
        </w:rPr>
        <w:t> </w:t>
      </w:r>
      <w:r>
        <w:rPr>
          <w:sz w:val="13"/>
        </w:rPr>
        <w:t>Interpreter’,</w:t>
      </w:r>
      <w:r>
        <w:rPr>
          <w:spacing w:val="5"/>
          <w:sz w:val="13"/>
        </w:rPr>
        <w:t> </w:t>
      </w:r>
      <w:r>
        <w:rPr>
          <w:i/>
          <w:sz w:val="13"/>
        </w:rPr>
        <w:t>NAATI</w:t>
      </w:r>
      <w:r>
        <w:rPr>
          <w:i/>
          <w:spacing w:val="6"/>
          <w:sz w:val="13"/>
        </w:rPr>
        <w:t> </w:t>
      </w:r>
      <w:r>
        <w:rPr>
          <w:i/>
          <w:sz w:val="13"/>
        </w:rPr>
        <w:t>National</w:t>
      </w:r>
      <w:r>
        <w:rPr>
          <w:i/>
          <w:spacing w:val="5"/>
          <w:sz w:val="13"/>
        </w:rPr>
        <w:t> </w:t>
      </w:r>
      <w:r>
        <w:rPr>
          <w:i/>
          <w:sz w:val="13"/>
        </w:rPr>
        <w:t>Accreditation</w:t>
      </w:r>
      <w:r>
        <w:rPr>
          <w:i/>
          <w:spacing w:val="5"/>
          <w:sz w:val="13"/>
        </w:rPr>
        <w:t> </w:t>
      </w:r>
      <w:r>
        <w:rPr>
          <w:i/>
          <w:sz w:val="13"/>
        </w:rPr>
        <w:t>Authority</w:t>
      </w:r>
      <w:r>
        <w:rPr>
          <w:i/>
          <w:spacing w:val="6"/>
          <w:sz w:val="13"/>
        </w:rPr>
        <w:t> </w:t>
      </w:r>
      <w:r>
        <w:rPr>
          <w:i/>
          <w:sz w:val="13"/>
        </w:rPr>
        <w:t>for</w:t>
      </w:r>
      <w:r>
        <w:rPr>
          <w:i/>
          <w:spacing w:val="4"/>
          <w:sz w:val="13"/>
        </w:rPr>
        <w:t> </w:t>
      </w:r>
      <w:r>
        <w:rPr>
          <w:i/>
          <w:sz w:val="13"/>
        </w:rPr>
        <w:t>Translators</w:t>
      </w:r>
      <w:r>
        <w:rPr>
          <w:i/>
          <w:spacing w:val="6"/>
          <w:sz w:val="13"/>
        </w:rPr>
        <w:t> </w:t>
      </w:r>
      <w:r>
        <w:rPr>
          <w:i/>
          <w:sz w:val="13"/>
        </w:rPr>
        <w:t>and</w:t>
      </w:r>
      <w:r>
        <w:rPr>
          <w:i/>
          <w:spacing w:val="4"/>
          <w:sz w:val="13"/>
        </w:rPr>
        <w:t> </w:t>
      </w:r>
      <w:r>
        <w:rPr>
          <w:i/>
          <w:sz w:val="13"/>
        </w:rPr>
        <w:t>Interpreters</w:t>
      </w:r>
      <w:r>
        <w:rPr>
          <w:i/>
          <w:spacing w:val="5"/>
          <w:sz w:val="13"/>
        </w:rPr>
        <w:t> </w:t>
      </w:r>
      <w:r>
        <w:rPr>
          <w:sz w:val="13"/>
        </w:rPr>
        <w:t>(Web</w:t>
      </w:r>
      <w:r>
        <w:rPr>
          <w:spacing w:val="6"/>
          <w:sz w:val="13"/>
        </w:rPr>
        <w:t> </w:t>
      </w:r>
      <w:r>
        <w:rPr>
          <w:sz w:val="13"/>
        </w:rPr>
        <w:t>Page)</w:t>
      </w:r>
    </w:p>
    <w:p>
      <w:pPr>
        <w:spacing w:line="170" w:lineRule="exact" w:before="0"/>
        <w:ind w:left="1761" w:right="0" w:firstLine="0"/>
        <w:jc w:val="left"/>
        <w:rPr>
          <w:sz w:val="13"/>
        </w:rPr>
      </w:pPr>
      <w:r>
        <w:rPr>
          <w:sz w:val="13"/>
        </w:rPr>
        <w:t>&lt;</w:t>
      </w:r>
      <w:hyperlink r:id="rId225">
        <w:r>
          <w:rPr>
            <w:sz w:val="13"/>
          </w:rPr>
          <w:t>https://www.naati.com.au/become-certified/certification/auslan-certified-specialist-legal-interpreter/</w:t>
        </w:r>
      </w:hyperlink>
      <w:r>
        <w:rPr>
          <w:sz w:val="13"/>
        </w:rPr>
        <w:t>&gt;.</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9"/>
        <w:rPr>
          <w:sz w:val="23"/>
        </w:rPr>
      </w:pPr>
    </w:p>
    <w:p>
      <w:pPr>
        <w:spacing w:before="0"/>
        <w:ind w:left="686" w:right="0" w:firstLine="0"/>
        <w:jc w:val="left"/>
        <w:rPr>
          <w:b/>
          <w:sz w:val="24"/>
        </w:rPr>
      </w:pPr>
      <w:r>
        <w:rPr>
          <w:b/>
          <w:color w:val="37617A"/>
          <w:sz w:val="24"/>
        </w:rPr>
        <w:t>159</w:t>
      </w:r>
    </w:p>
    <w:p>
      <w:pPr>
        <w:spacing w:after="0"/>
        <w:jc w:val="left"/>
        <w:rPr>
          <w:sz w:val="24"/>
        </w:rPr>
        <w:sectPr>
          <w:type w:val="continuous"/>
          <w:pgSz w:w="11910" w:h="16840"/>
          <w:pgMar w:top="620" w:bottom="280" w:left="620" w:right="380"/>
          <w:cols w:num="2" w:equalWidth="0">
            <w:col w:w="9571" w:space="40"/>
            <w:col w:w="1299"/>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1" w:val="left" w:leader="none"/>
          <w:tab w:pos="1762" w:val="left" w:leader="none"/>
        </w:tabs>
        <w:spacing w:line="206" w:lineRule="auto" w:before="0" w:after="0"/>
        <w:ind w:left="1761" w:right="1834" w:hanging="794"/>
        <w:jc w:val="left"/>
        <w:rPr>
          <w:sz w:val="20"/>
        </w:rPr>
      </w:pPr>
      <w:bookmarkStart w:name="_bookmark115" w:id="274"/>
      <w:bookmarkEnd w:id="274"/>
      <w:r>
        <w:rPr/>
      </w:r>
      <w:bookmarkStart w:name="_bookmark115" w:id="275"/>
      <w:bookmarkEnd w:id="275"/>
      <w:r>
        <w:rPr>
          <w:spacing w:val="-10"/>
          <w:sz w:val="20"/>
        </w:rPr>
        <w:t>T</w:t>
      </w:r>
      <w:r>
        <w:rPr>
          <w:spacing w:val="-10"/>
          <w:sz w:val="20"/>
        </w:rPr>
        <w:t>o</w:t>
      </w:r>
      <w:r>
        <w:rPr>
          <w:spacing w:val="-9"/>
          <w:sz w:val="20"/>
        </w:rPr>
        <w:t> </w:t>
      </w:r>
      <w:r>
        <w:rPr>
          <w:spacing w:val="-3"/>
          <w:sz w:val="20"/>
        </w:rPr>
        <w:t>qualify,</w:t>
      </w:r>
      <w:r>
        <w:rPr>
          <w:spacing w:val="-9"/>
          <w:sz w:val="20"/>
        </w:rPr>
        <w:t> </w:t>
      </w:r>
      <w:r>
        <w:rPr>
          <w:sz w:val="20"/>
        </w:rPr>
        <w:t>the</w:t>
      </w:r>
      <w:r>
        <w:rPr>
          <w:spacing w:val="-8"/>
          <w:sz w:val="20"/>
        </w:rPr>
        <w:t> </w:t>
      </w:r>
      <w:r>
        <w:rPr>
          <w:sz w:val="20"/>
        </w:rPr>
        <w:t>candidate</w:t>
      </w:r>
      <w:r>
        <w:rPr>
          <w:spacing w:val="-9"/>
          <w:sz w:val="20"/>
        </w:rPr>
        <w:t> </w:t>
      </w:r>
      <w:r>
        <w:rPr>
          <w:sz w:val="20"/>
        </w:rPr>
        <w:t>must</w:t>
      </w:r>
      <w:r>
        <w:rPr>
          <w:spacing w:val="-9"/>
          <w:sz w:val="20"/>
        </w:rPr>
        <w:t> </w:t>
      </w:r>
      <w:r>
        <w:rPr>
          <w:sz w:val="20"/>
        </w:rPr>
        <w:t>pass</w:t>
      </w:r>
      <w:r>
        <w:rPr>
          <w:spacing w:val="-8"/>
          <w:sz w:val="20"/>
        </w:rPr>
        <w:t> </w:t>
      </w:r>
      <w:r>
        <w:rPr>
          <w:sz w:val="20"/>
        </w:rPr>
        <w:t>a</w:t>
      </w:r>
      <w:r>
        <w:rPr>
          <w:spacing w:val="-9"/>
          <w:sz w:val="20"/>
        </w:rPr>
        <w:t> </w:t>
      </w:r>
      <w:r>
        <w:rPr>
          <w:sz w:val="20"/>
        </w:rPr>
        <w:t>practical</w:t>
      </w:r>
      <w:r>
        <w:rPr>
          <w:spacing w:val="-8"/>
          <w:sz w:val="20"/>
        </w:rPr>
        <w:t> </w:t>
      </w:r>
      <w:r>
        <w:rPr>
          <w:spacing w:val="-3"/>
          <w:sz w:val="20"/>
        </w:rPr>
        <w:t>interpreting</w:t>
      </w:r>
      <w:r>
        <w:rPr>
          <w:spacing w:val="-9"/>
          <w:sz w:val="20"/>
        </w:rPr>
        <w:t> </w:t>
      </w:r>
      <w:r>
        <w:rPr>
          <w:sz w:val="20"/>
        </w:rPr>
        <w:t>test</w:t>
      </w:r>
      <w:r>
        <w:rPr>
          <w:spacing w:val="-9"/>
          <w:sz w:val="20"/>
        </w:rPr>
        <w:t> </w:t>
      </w:r>
      <w:r>
        <w:rPr>
          <w:sz w:val="20"/>
        </w:rPr>
        <w:t>and</w:t>
      </w:r>
      <w:r>
        <w:rPr>
          <w:spacing w:val="-8"/>
          <w:sz w:val="20"/>
        </w:rPr>
        <w:t> </w:t>
      </w:r>
      <w:r>
        <w:rPr>
          <w:sz w:val="20"/>
        </w:rPr>
        <w:t>a</w:t>
      </w:r>
      <w:r>
        <w:rPr>
          <w:spacing w:val="-9"/>
          <w:sz w:val="20"/>
        </w:rPr>
        <w:t> </w:t>
      </w:r>
      <w:r>
        <w:rPr>
          <w:sz w:val="20"/>
        </w:rPr>
        <w:t>knowledge </w:t>
      </w:r>
      <w:r>
        <w:rPr>
          <w:spacing w:val="-3"/>
          <w:sz w:val="20"/>
        </w:rPr>
        <w:t>interpreting </w:t>
      </w:r>
      <w:r>
        <w:rPr>
          <w:sz w:val="20"/>
        </w:rPr>
        <w:t>test with </w:t>
      </w:r>
      <w:r>
        <w:rPr>
          <w:spacing w:val="-3"/>
          <w:sz w:val="20"/>
        </w:rPr>
        <w:t>seven </w:t>
      </w:r>
      <w:r>
        <w:rPr>
          <w:spacing w:val="-4"/>
          <w:sz w:val="20"/>
        </w:rPr>
        <w:t>key</w:t>
      </w:r>
      <w:r>
        <w:rPr>
          <w:spacing w:val="-16"/>
          <w:sz w:val="20"/>
        </w:rPr>
        <w:t> </w:t>
      </w:r>
      <w:r>
        <w:rPr>
          <w:sz w:val="20"/>
        </w:rPr>
        <w:t>sections:</w:t>
      </w:r>
    </w:p>
    <w:p>
      <w:pPr>
        <w:pStyle w:val="ListParagraph"/>
        <w:numPr>
          <w:ilvl w:val="2"/>
          <w:numId w:val="12"/>
        </w:numPr>
        <w:tabs>
          <w:tab w:pos="2157" w:val="left" w:leader="none"/>
          <w:tab w:pos="2158" w:val="left" w:leader="none"/>
        </w:tabs>
        <w:spacing w:line="240" w:lineRule="auto" w:before="90" w:after="0"/>
        <w:ind w:left="2157" w:right="0" w:hanging="396"/>
        <w:jc w:val="left"/>
        <w:rPr>
          <w:sz w:val="20"/>
        </w:rPr>
      </w:pPr>
      <w:r>
        <w:rPr>
          <w:sz w:val="20"/>
        </w:rPr>
        <w:t>legal terminology and general legal</w:t>
      </w:r>
      <w:r>
        <w:rPr>
          <w:spacing w:val="-24"/>
          <w:sz w:val="20"/>
        </w:rPr>
        <w:t> </w:t>
      </w:r>
      <w:r>
        <w:rPr>
          <w:sz w:val="20"/>
        </w:rPr>
        <w:t>knowledge</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legal systems and</w:t>
      </w:r>
      <w:r>
        <w:rPr>
          <w:spacing w:val="-13"/>
          <w:sz w:val="20"/>
        </w:rPr>
        <w:t> </w:t>
      </w:r>
      <w:r>
        <w:rPr>
          <w:sz w:val="20"/>
        </w:rPr>
        <w:t>processes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ethics and the</w:t>
      </w:r>
      <w:r>
        <w:rPr>
          <w:spacing w:val="-13"/>
          <w:sz w:val="20"/>
        </w:rPr>
        <w:t> </w:t>
      </w:r>
      <w:r>
        <w:rPr>
          <w:sz w:val="20"/>
        </w:rPr>
        <w:t>law</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pacing w:val="-3"/>
          <w:sz w:val="20"/>
        </w:rPr>
        <w:t>culture </w:t>
      </w:r>
      <w:r>
        <w:rPr>
          <w:sz w:val="20"/>
        </w:rPr>
        <w:t>and the</w:t>
      </w:r>
      <w:r>
        <w:rPr>
          <w:spacing w:val="-10"/>
          <w:sz w:val="20"/>
        </w:rPr>
        <w:t> </w:t>
      </w:r>
      <w:r>
        <w:rPr>
          <w:sz w:val="20"/>
        </w:rPr>
        <w:t>law</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the </w:t>
      </w:r>
      <w:r>
        <w:rPr>
          <w:spacing w:val="-3"/>
          <w:sz w:val="20"/>
        </w:rPr>
        <w:t>role </w:t>
      </w:r>
      <w:r>
        <w:rPr>
          <w:sz w:val="20"/>
        </w:rPr>
        <w:t>of an </w:t>
      </w:r>
      <w:r>
        <w:rPr>
          <w:spacing w:val="-3"/>
          <w:sz w:val="20"/>
        </w:rPr>
        <w:t>interpreter </w:t>
      </w:r>
      <w:r>
        <w:rPr>
          <w:sz w:val="20"/>
        </w:rPr>
        <w:t>in legal</w:t>
      </w:r>
      <w:r>
        <w:rPr>
          <w:spacing w:val="-24"/>
          <w:sz w:val="20"/>
        </w:rPr>
        <w:t> </w:t>
      </w:r>
      <w:r>
        <w:rPr>
          <w:sz w:val="20"/>
        </w:rPr>
        <w:t>contexts</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advanced interactional</w:t>
      </w:r>
      <w:r>
        <w:rPr>
          <w:spacing w:val="-9"/>
          <w:sz w:val="20"/>
        </w:rPr>
        <w:t> </w:t>
      </w:r>
      <w:r>
        <w:rPr>
          <w:sz w:val="20"/>
        </w:rPr>
        <w:t>management</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pacing w:val="-3"/>
          <w:sz w:val="20"/>
        </w:rPr>
        <w:t>research </w:t>
      </w:r>
      <w:r>
        <w:rPr>
          <w:sz w:val="20"/>
        </w:rPr>
        <w:t>and</w:t>
      </w:r>
      <w:r>
        <w:rPr>
          <w:spacing w:val="-6"/>
          <w:sz w:val="20"/>
        </w:rPr>
        <w:t> </w:t>
      </w:r>
      <w:r>
        <w:rPr>
          <w:sz w:val="20"/>
        </w:rPr>
        <w:t>preparation.</w:t>
      </w:r>
      <w:r>
        <w:rPr>
          <w:position w:val="7"/>
          <w:sz w:val="11"/>
        </w:rPr>
        <w:t>40</w:t>
      </w:r>
    </w:p>
    <w:p>
      <w:pPr>
        <w:pStyle w:val="ListParagraph"/>
        <w:numPr>
          <w:ilvl w:val="1"/>
          <w:numId w:val="12"/>
        </w:numPr>
        <w:tabs>
          <w:tab w:pos="1761" w:val="left" w:leader="none"/>
          <w:tab w:pos="1762" w:val="left" w:leader="none"/>
        </w:tabs>
        <w:spacing w:line="259" w:lineRule="exact" w:before="48" w:after="0"/>
        <w:ind w:left="1761" w:right="0" w:hanging="794"/>
        <w:jc w:val="left"/>
        <w:rPr>
          <w:sz w:val="20"/>
        </w:rPr>
      </w:pPr>
      <w:r>
        <w:rPr>
          <w:sz w:val="20"/>
        </w:rPr>
        <w:t>The</w:t>
      </w:r>
      <w:r>
        <w:rPr>
          <w:spacing w:val="-7"/>
          <w:sz w:val="20"/>
        </w:rPr>
        <w:t> </w:t>
      </w:r>
      <w:r>
        <w:rPr>
          <w:sz w:val="20"/>
        </w:rPr>
        <w:t>CSLI</w:t>
      </w:r>
      <w:r>
        <w:rPr>
          <w:spacing w:val="-6"/>
          <w:sz w:val="20"/>
        </w:rPr>
        <w:t> </w:t>
      </w:r>
      <w:r>
        <w:rPr>
          <w:spacing w:val="-3"/>
          <w:sz w:val="20"/>
        </w:rPr>
        <w:t>would</w:t>
      </w:r>
      <w:r>
        <w:rPr>
          <w:spacing w:val="-6"/>
          <w:sz w:val="20"/>
        </w:rPr>
        <w:t> </w:t>
      </w:r>
      <w:r>
        <w:rPr>
          <w:sz w:val="20"/>
        </w:rPr>
        <w:t>already</w:t>
      </w:r>
      <w:r>
        <w:rPr>
          <w:spacing w:val="-7"/>
          <w:sz w:val="20"/>
        </w:rPr>
        <w:t> </w:t>
      </w:r>
      <w:r>
        <w:rPr>
          <w:sz w:val="20"/>
        </w:rPr>
        <w:t>hold</w:t>
      </w:r>
      <w:r>
        <w:rPr>
          <w:spacing w:val="-6"/>
          <w:sz w:val="20"/>
        </w:rPr>
        <w:t> </w:t>
      </w:r>
      <w:r>
        <w:rPr>
          <w:sz w:val="20"/>
        </w:rPr>
        <w:t>a</w:t>
      </w:r>
      <w:r>
        <w:rPr>
          <w:spacing w:val="-6"/>
          <w:sz w:val="20"/>
        </w:rPr>
        <w:t> </w:t>
      </w:r>
      <w:r>
        <w:rPr>
          <w:sz w:val="20"/>
        </w:rPr>
        <w:t>CI</w:t>
      </w:r>
      <w:r>
        <w:rPr>
          <w:spacing w:val="-6"/>
          <w:sz w:val="20"/>
        </w:rPr>
        <w:t> </w:t>
      </w:r>
      <w:r>
        <w:rPr>
          <w:sz w:val="20"/>
        </w:rPr>
        <w:t>certification.</w:t>
      </w:r>
      <w:r>
        <w:rPr>
          <w:spacing w:val="-7"/>
          <w:sz w:val="20"/>
        </w:rPr>
        <w:t> </w:t>
      </w:r>
      <w:r>
        <w:rPr>
          <w:sz w:val="20"/>
        </w:rPr>
        <w:t>This</w:t>
      </w:r>
      <w:r>
        <w:rPr>
          <w:spacing w:val="-6"/>
          <w:sz w:val="20"/>
        </w:rPr>
        <w:t> </w:t>
      </w:r>
      <w:r>
        <w:rPr>
          <w:sz w:val="20"/>
        </w:rPr>
        <w:t>specialisation</w:t>
      </w:r>
      <w:r>
        <w:rPr>
          <w:spacing w:val="-6"/>
          <w:sz w:val="20"/>
        </w:rPr>
        <w:t> </w:t>
      </w:r>
      <w:r>
        <w:rPr>
          <w:sz w:val="20"/>
        </w:rPr>
        <w:t>builds</w:t>
      </w:r>
      <w:r>
        <w:rPr>
          <w:spacing w:val="-7"/>
          <w:sz w:val="20"/>
        </w:rPr>
        <w:t> </w:t>
      </w:r>
      <w:r>
        <w:rPr>
          <w:sz w:val="20"/>
        </w:rPr>
        <w:t>on</w:t>
      </w:r>
      <w:r>
        <w:rPr>
          <w:spacing w:val="-6"/>
          <w:sz w:val="20"/>
        </w:rPr>
        <w:t> </w:t>
      </w:r>
      <w:r>
        <w:rPr>
          <w:sz w:val="20"/>
        </w:rPr>
        <w:t>those</w:t>
      </w:r>
      <w:r>
        <w:rPr>
          <w:spacing w:val="-6"/>
          <w:sz w:val="20"/>
        </w:rPr>
        <w:t> </w:t>
      </w:r>
      <w:r>
        <w:rPr>
          <w:sz w:val="20"/>
        </w:rPr>
        <w:t>skills</w:t>
      </w:r>
    </w:p>
    <w:p>
      <w:pPr>
        <w:pStyle w:val="BodyText"/>
        <w:spacing w:line="259" w:lineRule="exact"/>
        <w:ind w:left="1761"/>
        <w:rPr>
          <w:sz w:val="11"/>
        </w:rPr>
      </w:pPr>
      <w:r>
        <w:rPr/>
        <w:t>through additional training.</w:t>
      </w:r>
      <w:r>
        <w:rPr>
          <w:position w:val="7"/>
          <w:sz w:val="11"/>
        </w:rPr>
        <w:t>41</w:t>
      </w:r>
    </w:p>
    <w:p>
      <w:pPr>
        <w:spacing w:before="152"/>
        <w:ind w:left="967" w:right="0" w:firstLine="0"/>
        <w:jc w:val="left"/>
        <w:rPr>
          <w:b/>
          <w:sz w:val="24"/>
        </w:rPr>
      </w:pPr>
      <w:r>
        <w:rPr>
          <w:b/>
          <w:sz w:val="24"/>
        </w:rPr>
        <w:t>Additional training for Auslan interpreters working with jurors</w:t>
      </w:r>
    </w:p>
    <w:p>
      <w:pPr>
        <w:pStyle w:val="Heading6"/>
        <w:spacing w:before="132"/>
        <w:rPr>
          <w:b/>
        </w:rPr>
      </w:pPr>
      <w:r>
        <w:rPr>
          <w:b/>
        </w:rPr>
        <w:t>Qualification requirements</w:t>
      </w:r>
    </w:p>
    <w:p>
      <w:pPr>
        <w:pStyle w:val="ListParagraph"/>
        <w:numPr>
          <w:ilvl w:val="1"/>
          <w:numId w:val="12"/>
        </w:numPr>
        <w:tabs>
          <w:tab w:pos="1761" w:val="left" w:leader="none"/>
          <w:tab w:pos="1762" w:val="left" w:leader="none"/>
        </w:tabs>
        <w:spacing w:line="206" w:lineRule="auto" w:before="132" w:after="0"/>
        <w:ind w:left="1761" w:right="1245" w:hanging="794"/>
        <w:jc w:val="left"/>
        <w:rPr>
          <w:sz w:val="20"/>
        </w:rPr>
      </w:pPr>
      <w:r>
        <w:rPr>
          <w:spacing w:val="-3"/>
          <w:sz w:val="20"/>
        </w:rPr>
        <w:t>Interpreters </w:t>
      </w:r>
      <w:r>
        <w:rPr>
          <w:sz w:val="20"/>
        </w:rPr>
        <w:t>for jurors should, at minimum, be at the CI </w:t>
      </w:r>
      <w:r>
        <w:rPr>
          <w:spacing w:val="-3"/>
          <w:sz w:val="20"/>
        </w:rPr>
        <w:t>level. </w:t>
      </w:r>
      <w:r>
        <w:rPr>
          <w:spacing w:val="-5"/>
          <w:sz w:val="20"/>
        </w:rPr>
        <w:t>However, </w:t>
      </w:r>
      <w:r>
        <w:rPr>
          <w:sz w:val="20"/>
        </w:rPr>
        <w:t>when sufficient time</w:t>
      </w:r>
      <w:r>
        <w:rPr>
          <w:spacing w:val="-10"/>
          <w:sz w:val="20"/>
        </w:rPr>
        <w:t> </w:t>
      </w:r>
      <w:r>
        <w:rPr>
          <w:sz w:val="20"/>
        </w:rPr>
        <w:t>has</w:t>
      </w:r>
      <w:r>
        <w:rPr>
          <w:spacing w:val="-10"/>
          <w:sz w:val="20"/>
        </w:rPr>
        <w:t> </w:t>
      </w:r>
      <w:r>
        <w:rPr>
          <w:sz w:val="20"/>
        </w:rPr>
        <w:t>passed</w:t>
      </w:r>
      <w:r>
        <w:rPr>
          <w:spacing w:val="-9"/>
          <w:sz w:val="20"/>
        </w:rPr>
        <w:t> </w:t>
      </w:r>
      <w:r>
        <w:rPr>
          <w:sz w:val="20"/>
        </w:rPr>
        <w:t>for</w:t>
      </w:r>
      <w:r>
        <w:rPr>
          <w:spacing w:val="-10"/>
          <w:sz w:val="20"/>
        </w:rPr>
        <w:t> </w:t>
      </w:r>
      <w:r>
        <w:rPr>
          <w:sz w:val="20"/>
        </w:rPr>
        <w:t>Auslan</w:t>
      </w:r>
      <w:r>
        <w:rPr>
          <w:spacing w:val="-9"/>
          <w:sz w:val="20"/>
        </w:rPr>
        <w:t> </w:t>
      </w:r>
      <w:r>
        <w:rPr>
          <w:spacing w:val="-3"/>
          <w:sz w:val="20"/>
        </w:rPr>
        <w:t>interpreters</w:t>
      </w:r>
      <w:r>
        <w:rPr>
          <w:spacing w:val="-10"/>
          <w:sz w:val="20"/>
        </w:rPr>
        <w:t> </w:t>
      </w:r>
      <w:r>
        <w:rPr>
          <w:sz w:val="20"/>
        </w:rPr>
        <w:t>to</w:t>
      </w:r>
      <w:r>
        <w:rPr>
          <w:spacing w:val="-10"/>
          <w:sz w:val="20"/>
        </w:rPr>
        <w:t> </w:t>
      </w:r>
      <w:r>
        <w:rPr>
          <w:sz w:val="20"/>
        </w:rPr>
        <w:t>attain</w:t>
      </w:r>
      <w:r>
        <w:rPr>
          <w:spacing w:val="-9"/>
          <w:sz w:val="20"/>
        </w:rPr>
        <w:t> </w:t>
      </w:r>
      <w:r>
        <w:rPr>
          <w:sz w:val="20"/>
        </w:rPr>
        <w:t>CSLI</w:t>
      </w:r>
      <w:r>
        <w:rPr>
          <w:spacing w:val="-10"/>
          <w:sz w:val="20"/>
        </w:rPr>
        <w:t> </w:t>
      </w:r>
      <w:r>
        <w:rPr>
          <w:spacing w:val="-3"/>
          <w:sz w:val="20"/>
        </w:rPr>
        <w:t>level,</w:t>
      </w:r>
      <w:r>
        <w:rPr>
          <w:spacing w:val="-9"/>
          <w:sz w:val="20"/>
        </w:rPr>
        <w:t> </w:t>
      </w:r>
      <w:r>
        <w:rPr>
          <w:sz w:val="20"/>
        </w:rPr>
        <w:t>this</w:t>
      </w:r>
      <w:r>
        <w:rPr>
          <w:spacing w:val="-10"/>
          <w:sz w:val="20"/>
        </w:rPr>
        <w:t> </w:t>
      </w:r>
      <w:r>
        <w:rPr>
          <w:sz w:val="20"/>
        </w:rPr>
        <w:t>specialised</w:t>
      </w:r>
      <w:r>
        <w:rPr>
          <w:spacing w:val="-10"/>
          <w:sz w:val="20"/>
        </w:rPr>
        <w:t> </w:t>
      </w:r>
      <w:r>
        <w:rPr>
          <w:sz w:val="20"/>
        </w:rPr>
        <w:t>certification should be</w:t>
      </w:r>
      <w:r>
        <w:rPr>
          <w:spacing w:val="-9"/>
          <w:sz w:val="20"/>
        </w:rPr>
        <w:t> </w:t>
      </w:r>
      <w:r>
        <w:rPr>
          <w:sz w:val="20"/>
        </w:rPr>
        <w:t>required.</w:t>
      </w:r>
    </w:p>
    <w:p>
      <w:pPr>
        <w:pStyle w:val="ListParagraph"/>
        <w:numPr>
          <w:ilvl w:val="1"/>
          <w:numId w:val="12"/>
        </w:numPr>
        <w:tabs>
          <w:tab w:pos="1761" w:val="left" w:leader="none"/>
          <w:tab w:pos="1762" w:val="left" w:leader="none"/>
        </w:tabs>
        <w:spacing w:line="206" w:lineRule="auto" w:before="124" w:after="0"/>
        <w:ind w:left="1761" w:right="1499" w:hanging="794"/>
        <w:jc w:val="left"/>
        <w:rPr>
          <w:sz w:val="20"/>
        </w:rPr>
      </w:pPr>
      <w:r>
        <w:rPr>
          <w:sz w:val="20"/>
        </w:rPr>
        <w:t>Della Goswell </w:t>
      </w:r>
      <w:r>
        <w:rPr>
          <w:spacing w:val="-3"/>
          <w:sz w:val="20"/>
        </w:rPr>
        <w:t>told </w:t>
      </w:r>
      <w:r>
        <w:rPr>
          <w:sz w:val="20"/>
        </w:rPr>
        <w:t>us that quality is just as important as the number of </w:t>
      </w:r>
      <w:r>
        <w:rPr>
          <w:spacing w:val="-3"/>
          <w:sz w:val="20"/>
        </w:rPr>
        <w:t>years </w:t>
      </w:r>
      <w:r>
        <w:rPr>
          <w:sz w:val="20"/>
        </w:rPr>
        <w:t>of experience.</w:t>
      </w:r>
      <w:r>
        <w:rPr>
          <w:position w:val="7"/>
          <w:sz w:val="11"/>
        </w:rPr>
        <w:t>42 </w:t>
      </w:r>
      <w:r>
        <w:rPr>
          <w:spacing w:val="-3"/>
          <w:sz w:val="20"/>
        </w:rPr>
        <w:t>Anyone </w:t>
      </w:r>
      <w:r>
        <w:rPr>
          <w:sz w:val="20"/>
        </w:rPr>
        <w:t>undertaking the new </w:t>
      </w:r>
      <w:r>
        <w:rPr>
          <w:spacing w:val="-4"/>
          <w:sz w:val="20"/>
        </w:rPr>
        <w:t>NAATI </w:t>
      </w:r>
      <w:r>
        <w:rPr>
          <w:sz w:val="20"/>
        </w:rPr>
        <w:t>training </w:t>
      </w:r>
      <w:r>
        <w:rPr>
          <w:spacing w:val="-4"/>
          <w:sz w:val="20"/>
        </w:rPr>
        <w:t>pathway </w:t>
      </w:r>
      <w:r>
        <w:rPr>
          <w:sz w:val="20"/>
        </w:rPr>
        <w:t>will be capable of</w:t>
      </w:r>
      <w:r>
        <w:rPr>
          <w:spacing w:val="-12"/>
          <w:sz w:val="20"/>
        </w:rPr>
        <w:t> </w:t>
      </w:r>
      <w:r>
        <w:rPr>
          <w:sz w:val="20"/>
        </w:rPr>
        <w:t>undertaking</w:t>
      </w:r>
      <w:r>
        <w:rPr>
          <w:spacing w:val="-11"/>
          <w:sz w:val="20"/>
        </w:rPr>
        <w:t> </w:t>
      </w:r>
      <w:r>
        <w:rPr>
          <w:sz w:val="20"/>
        </w:rPr>
        <w:t>this</w:t>
      </w:r>
      <w:r>
        <w:rPr>
          <w:spacing w:val="-12"/>
          <w:sz w:val="20"/>
        </w:rPr>
        <w:t> </w:t>
      </w:r>
      <w:r>
        <w:rPr>
          <w:spacing w:val="-3"/>
          <w:sz w:val="20"/>
        </w:rPr>
        <w:t>work</w:t>
      </w:r>
      <w:r>
        <w:rPr>
          <w:spacing w:val="-11"/>
          <w:sz w:val="20"/>
        </w:rPr>
        <w:t> </w:t>
      </w:r>
      <w:r>
        <w:rPr>
          <w:sz w:val="20"/>
        </w:rPr>
        <w:t>without</w:t>
      </w:r>
      <w:r>
        <w:rPr>
          <w:spacing w:val="-12"/>
          <w:sz w:val="20"/>
        </w:rPr>
        <w:t> </w:t>
      </w:r>
      <w:r>
        <w:rPr>
          <w:sz w:val="20"/>
        </w:rPr>
        <w:t>extensive</w:t>
      </w:r>
      <w:r>
        <w:rPr>
          <w:spacing w:val="-11"/>
          <w:sz w:val="20"/>
        </w:rPr>
        <w:t> </w:t>
      </w:r>
      <w:r>
        <w:rPr>
          <w:sz w:val="20"/>
        </w:rPr>
        <w:t>practical</w:t>
      </w:r>
      <w:r>
        <w:rPr>
          <w:spacing w:val="-12"/>
          <w:sz w:val="20"/>
        </w:rPr>
        <w:t> </w:t>
      </w:r>
      <w:r>
        <w:rPr>
          <w:sz w:val="20"/>
        </w:rPr>
        <w:t>experience.</w:t>
      </w:r>
      <w:r>
        <w:rPr>
          <w:spacing w:val="-11"/>
          <w:sz w:val="20"/>
        </w:rPr>
        <w:t> </w:t>
      </w:r>
      <w:r>
        <w:rPr>
          <w:spacing w:val="-3"/>
          <w:sz w:val="20"/>
        </w:rPr>
        <w:t>For</w:t>
      </w:r>
      <w:r>
        <w:rPr>
          <w:spacing w:val="-12"/>
          <w:sz w:val="20"/>
        </w:rPr>
        <w:t> </w:t>
      </w:r>
      <w:r>
        <w:rPr>
          <w:sz w:val="20"/>
        </w:rPr>
        <w:t>that</w:t>
      </w:r>
      <w:r>
        <w:rPr>
          <w:spacing w:val="-11"/>
          <w:sz w:val="20"/>
        </w:rPr>
        <w:t> </w:t>
      </w:r>
      <w:r>
        <w:rPr>
          <w:sz w:val="20"/>
        </w:rPr>
        <w:t>reason,</w:t>
      </w:r>
      <w:r>
        <w:rPr>
          <w:spacing w:val="-12"/>
          <w:sz w:val="20"/>
        </w:rPr>
        <w:t> </w:t>
      </w:r>
      <w:r>
        <w:rPr>
          <w:spacing w:val="-3"/>
          <w:sz w:val="20"/>
        </w:rPr>
        <w:t>we </w:t>
      </w:r>
      <w:r>
        <w:rPr>
          <w:sz w:val="20"/>
        </w:rPr>
        <w:t>do</w:t>
      </w:r>
      <w:r>
        <w:rPr>
          <w:spacing w:val="-11"/>
          <w:sz w:val="20"/>
        </w:rPr>
        <w:t> </w:t>
      </w:r>
      <w:r>
        <w:rPr>
          <w:sz w:val="20"/>
        </w:rPr>
        <w:t>not</w:t>
      </w:r>
      <w:r>
        <w:rPr>
          <w:spacing w:val="-10"/>
          <w:sz w:val="20"/>
        </w:rPr>
        <w:t> </w:t>
      </w:r>
      <w:r>
        <w:rPr>
          <w:sz w:val="20"/>
        </w:rPr>
        <w:t>recommend</w:t>
      </w:r>
      <w:r>
        <w:rPr>
          <w:spacing w:val="-10"/>
          <w:sz w:val="20"/>
        </w:rPr>
        <w:t> </w:t>
      </w:r>
      <w:r>
        <w:rPr>
          <w:sz w:val="20"/>
        </w:rPr>
        <w:t>a</w:t>
      </w:r>
      <w:r>
        <w:rPr>
          <w:spacing w:val="-10"/>
          <w:sz w:val="20"/>
        </w:rPr>
        <w:t> </w:t>
      </w:r>
      <w:r>
        <w:rPr>
          <w:sz w:val="20"/>
        </w:rPr>
        <w:t>mandated</w:t>
      </w:r>
      <w:r>
        <w:rPr>
          <w:spacing w:val="-10"/>
          <w:sz w:val="20"/>
        </w:rPr>
        <w:t> </w:t>
      </w:r>
      <w:r>
        <w:rPr>
          <w:sz w:val="20"/>
        </w:rPr>
        <w:t>minimum</w:t>
      </w:r>
      <w:r>
        <w:rPr>
          <w:spacing w:val="-10"/>
          <w:sz w:val="20"/>
        </w:rPr>
        <w:t> </w:t>
      </w:r>
      <w:r>
        <w:rPr>
          <w:sz w:val="20"/>
        </w:rPr>
        <w:t>number</w:t>
      </w:r>
      <w:r>
        <w:rPr>
          <w:spacing w:val="-10"/>
          <w:sz w:val="20"/>
        </w:rPr>
        <w:t> </w:t>
      </w:r>
      <w:r>
        <w:rPr>
          <w:sz w:val="20"/>
        </w:rPr>
        <w:t>of</w:t>
      </w:r>
      <w:r>
        <w:rPr>
          <w:spacing w:val="-10"/>
          <w:sz w:val="20"/>
        </w:rPr>
        <w:t> </w:t>
      </w:r>
      <w:r>
        <w:rPr>
          <w:spacing w:val="-3"/>
          <w:sz w:val="20"/>
        </w:rPr>
        <w:t>years</w:t>
      </w:r>
      <w:r>
        <w:rPr>
          <w:spacing w:val="-10"/>
          <w:sz w:val="20"/>
        </w:rPr>
        <w:t> </w:t>
      </w:r>
      <w:r>
        <w:rPr>
          <w:sz w:val="20"/>
        </w:rPr>
        <w:t>of</w:t>
      </w:r>
      <w:r>
        <w:rPr>
          <w:spacing w:val="-10"/>
          <w:sz w:val="20"/>
        </w:rPr>
        <w:t> </w:t>
      </w:r>
      <w:r>
        <w:rPr>
          <w:sz w:val="20"/>
        </w:rPr>
        <w:t>experience</w:t>
      </w:r>
      <w:r>
        <w:rPr>
          <w:spacing w:val="-10"/>
          <w:sz w:val="20"/>
        </w:rPr>
        <w:t> </w:t>
      </w:r>
      <w:r>
        <w:rPr>
          <w:sz w:val="20"/>
        </w:rPr>
        <w:t>for</w:t>
      </w:r>
      <w:r>
        <w:rPr>
          <w:spacing w:val="-10"/>
          <w:sz w:val="20"/>
        </w:rPr>
        <w:t> </w:t>
      </w:r>
      <w:r>
        <w:rPr>
          <w:sz w:val="20"/>
        </w:rPr>
        <w:t>Auslan </w:t>
      </w:r>
      <w:r>
        <w:rPr>
          <w:spacing w:val="-3"/>
          <w:sz w:val="20"/>
        </w:rPr>
        <w:t>interpreters </w:t>
      </w:r>
      <w:r>
        <w:rPr>
          <w:sz w:val="20"/>
        </w:rPr>
        <w:t>for</w:t>
      </w:r>
      <w:r>
        <w:rPr>
          <w:spacing w:val="-6"/>
          <w:sz w:val="20"/>
        </w:rPr>
        <w:t> </w:t>
      </w:r>
      <w:r>
        <w:rPr>
          <w:sz w:val="20"/>
        </w:rPr>
        <w:t>jurors.</w:t>
      </w:r>
    </w:p>
    <w:p>
      <w:pPr>
        <w:pStyle w:val="ListParagraph"/>
        <w:numPr>
          <w:ilvl w:val="1"/>
          <w:numId w:val="12"/>
        </w:numPr>
        <w:tabs>
          <w:tab w:pos="1761" w:val="left" w:leader="none"/>
          <w:tab w:pos="1762" w:val="left" w:leader="none"/>
        </w:tabs>
        <w:spacing w:line="206" w:lineRule="auto" w:before="126" w:after="0"/>
        <w:ind w:left="1761" w:right="1600" w:hanging="794"/>
        <w:jc w:val="left"/>
        <w:rPr>
          <w:sz w:val="20"/>
        </w:rPr>
      </w:pPr>
      <w:r>
        <w:rPr>
          <w:sz w:val="20"/>
        </w:rPr>
        <w:t>When court </w:t>
      </w:r>
      <w:r>
        <w:rPr>
          <w:spacing w:val="-3"/>
          <w:sz w:val="20"/>
        </w:rPr>
        <w:t>interpreters are </w:t>
      </w:r>
      <w:r>
        <w:rPr>
          <w:sz w:val="20"/>
        </w:rPr>
        <w:t>booked through a service </w:t>
      </w:r>
      <w:r>
        <w:rPr>
          <w:spacing w:val="-4"/>
          <w:sz w:val="20"/>
        </w:rPr>
        <w:t>provider, </w:t>
      </w:r>
      <w:r>
        <w:rPr>
          <w:sz w:val="20"/>
        </w:rPr>
        <w:t>sometimes an </w:t>
      </w:r>
      <w:r>
        <w:rPr>
          <w:spacing w:val="-3"/>
          <w:sz w:val="20"/>
        </w:rPr>
        <w:t>interpreter</w:t>
      </w:r>
      <w:r>
        <w:rPr>
          <w:spacing w:val="-10"/>
          <w:sz w:val="20"/>
        </w:rPr>
        <w:t> </w:t>
      </w:r>
      <w:r>
        <w:rPr>
          <w:sz w:val="20"/>
        </w:rPr>
        <w:t>with</w:t>
      </w:r>
      <w:r>
        <w:rPr>
          <w:spacing w:val="-9"/>
          <w:sz w:val="20"/>
        </w:rPr>
        <w:t> </w:t>
      </w:r>
      <w:r>
        <w:rPr>
          <w:sz w:val="20"/>
        </w:rPr>
        <w:t>more</w:t>
      </w:r>
      <w:r>
        <w:rPr>
          <w:spacing w:val="-9"/>
          <w:sz w:val="20"/>
        </w:rPr>
        <w:t> </w:t>
      </w:r>
      <w:r>
        <w:rPr>
          <w:sz w:val="20"/>
        </w:rPr>
        <w:t>experience</w:t>
      </w:r>
      <w:r>
        <w:rPr>
          <w:spacing w:val="-9"/>
          <w:sz w:val="20"/>
        </w:rPr>
        <w:t> </w:t>
      </w:r>
      <w:r>
        <w:rPr>
          <w:sz w:val="20"/>
        </w:rPr>
        <w:t>is</w:t>
      </w:r>
      <w:r>
        <w:rPr>
          <w:spacing w:val="-10"/>
          <w:sz w:val="20"/>
        </w:rPr>
        <w:t> </w:t>
      </w:r>
      <w:r>
        <w:rPr>
          <w:sz w:val="20"/>
        </w:rPr>
        <w:t>paired</w:t>
      </w:r>
      <w:r>
        <w:rPr>
          <w:spacing w:val="-9"/>
          <w:sz w:val="20"/>
        </w:rPr>
        <w:t> </w:t>
      </w:r>
      <w:r>
        <w:rPr>
          <w:sz w:val="20"/>
        </w:rPr>
        <w:t>to</w:t>
      </w:r>
      <w:r>
        <w:rPr>
          <w:spacing w:val="-9"/>
          <w:sz w:val="20"/>
        </w:rPr>
        <w:t> </w:t>
      </w:r>
      <w:r>
        <w:rPr>
          <w:sz w:val="20"/>
        </w:rPr>
        <w:t>mentor</w:t>
      </w:r>
      <w:r>
        <w:rPr>
          <w:spacing w:val="-9"/>
          <w:sz w:val="20"/>
        </w:rPr>
        <w:t> </w:t>
      </w:r>
      <w:r>
        <w:rPr>
          <w:sz w:val="20"/>
        </w:rPr>
        <w:t>a</w:t>
      </w:r>
      <w:r>
        <w:rPr>
          <w:spacing w:val="-10"/>
          <w:sz w:val="20"/>
        </w:rPr>
        <w:t> </w:t>
      </w:r>
      <w:r>
        <w:rPr>
          <w:sz w:val="20"/>
        </w:rPr>
        <w:t>more</w:t>
      </w:r>
      <w:r>
        <w:rPr>
          <w:spacing w:val="-9"/>
          <w:sz w:val="20"/>
        </w:rPr>
        <w:t> </w:t>
      </w:r>
      <w:r>
        <w:rPr>
          <w:sz w:val="20"/>
        </w:rPr>
        <w:t>junior</w:t>
      </w:r>
      <w:r>
        <w:rPr>
          <w:spacing w:val="-9"/>
          <w:sz w:val="20"/>
        </w:rPr>
        <w:t> </w:t>
      </w:r>
      <w:r>
        <w:rPr>
          <w:spacing w:val="-3"/>
          <w:sz w:val="20"/>
        </w:rPr>
        <w:t>interpreter.</w:t>
      </w:r>
      <w:r>
        <w:rPr>
          <w:spacing w:val="-3"/>
          <w:position w:val="7"/>
          <w:sz w:val="11"/>
        </w:rPr>
        <w:t>43</w:t>
      </w:r>
      <w:r>
        <w:rPr>
          <w:spacing w:val="15"/>
          <w:position w:val="7"/>
          <w:sz w:val="11"/>
        </w:rPr>
        <w:t> </w:t>
      </w:r>
      <w:r>
        <w:rPr>
          <w:sz w:val="20"/>
        </w:rPr>
        <w:t>The Commission thinks this is sensible and should</w:t>
      </w:r>
      <w:r>
        <w:rPr>
          <w:spacing w:val="-37"/>
          <w:sz w:val="20"/>
        </w:rPr>
        <w:t> </w:t>
      </w:r>
      <w:r>
        <w:rPr>
          <w:sz w:val="20"/>
        </w:rPr>
        <w:t>continue.</w:t>
      </w:r>
    </w:p>
    <w:p>
      <w:pPr>
        <w:pStyle w:val="Heading6"/>
        <w:spacing w:before="128"/>
        <w:rPr>
          <w:b/>
        </w:rPr>
      </w:pPr>
      <w:r>
        <w:rPr>
          <w:b/>
        </w:rPr>
        <w:t>Training for the specific role of working with jurors</w:t>
      </w:r>
    </w:p>
    <w:p>
      <w:pPr>
        <w:pStyle w:val="ListParagraph"/>
        <w:numPr>
          <w:ilvl w:val="1"/>
          <w:numId w:val="12"/>
        </w:numPr>
        <w:tabs>
          <w:tab w:pos="1761" w:val="left" w:leader="none"/>
          <w:tab w:pos="1762" w:val="left" w:leader="none"/>
        </w:tabs>
        <w:spacing w:line="206" w:lineRule="auto" w:before="132" w:after="0"/>
        <w:ind w:left="1761" w:right="1395" w:hanging="794"/>
        <w:jc w:val="left"/>
        <w:rPr>
          <w:sz w:val="20"/>
        </w:rPr>
      </w:pPr>
      <w:r>
        <w:rPr>
          <w:sz w:val="20"/>
        </w:rPr>
        <w:t>Auslan</w:t>
      </w:r>
      <w:r>
        <w:rPr>
          <w:spacing w:val="-12"/>
          <w:sz w:val="20"/>
        </w:rPr>
        <w:t> </w:t>
      </w:r>
      <w:r>
        <w:rPr>
          <w:spacing w:val="-3"/>
          <w:sz w:val="20"/>
        </w:rPr>
        <w:t>interpreters</w:t>
      </w:r>
      <w:r>
        <w:rPr>
          <w:spacing w:val="-11"/>
          <w:sz w:val="20"/>
        </w:rPr>
        <w:t> </w:t>
      </w:r>
      <w:r>
        <w:rPr>
          <w:sz w:val="20"/>
        </w:rPr>
        <w:t>assisting</w:t>
      </w:r>
      <w:r>
        <w:rPr>
          <w:spacing w:val="-11"/>
          <w:sz w:val="20"/>
        </w:rPr>
        <w:t> </w:t>
      </w:r>
      <w:r>
        <w:rPr>
          <w:sz w:val="20"/>
        </w:rPr>
        <w:t>jurors</w:t>
      </w:r>
      <w:r>
        <w:rPr>
          <w:spacing w:val="-11"/>
          <w:sz w:val="20"/>
        </w:rPr>
        <w:t> </w:t>
      </w:r>
      <w:r>
        <w:rPr>
          <w:sz w:val="20"/>
        </w:rPr>
        <w:t>should</w:t>
      </w:r>
      <w:r>
        <w:rPr>
          <w:spacing w:val="-11"/>
          <w:sz w:val="20"/>
        </w:rPr>
        <w:t> </w:t>
      </w:r>
      <w:r>
        <w:rPr>
          <w:sz w:val="20"/>
        </w:rPr>
        <w:t>undertake</w:t>
      </w:r>
      <w:r>
        <w:rPr>
          <w:spacing w:val="-12"/>
          <w:sz w:val="20"/>
        </w:rPr>
        <w:t> </w:t>
      </w:r>
      <w:r>
        <w:rPr>
          <w:sz w:val="20"/>
        </w:rPr>
        <w:t>a</w:t>
      </w:r>
      <w:r>
        <w:rPr>
          <w:spacing w:val="-11"/>
          <w:sz w:val="20"/>
        </w:rPr>
        <w:t> </w:t>
      </w:r>
      <w:r>
        <w:rPr>
          <w:sz w:val="20"/>
        </w:rPr>
        <w:t>professional</w:t>
      </w:r>
      <w:r>
        <w:rPr>
          <w:spacing w:val="-11"/>
          <w:sz w:val="20"/>
        </w:rPr>
        <w:t> </w:t>
      </w:r>
      <w:r>
        <w:rPr>
          <w:spacing w:val="-3"/>
          <w:sz w:val="20"/>
        </w:rPr>
        <w:t>development</w:t>
      </w:r>
      <w:r>
        <w:rPr>
          <w:spacing w:val="-11"/>
          <w:sz w:val="20"/>
        </w:rPr>
        <w:t> </w:t>
      </w:r>
      <w:r>
        <w:rPr>
          <w:sz w:val="20"/>
        </w:rPr>
        <w:t>unit to </w:t>
      </w:r>
      <w:r>
        <w:rPr>
          <w:spacing w:val="-3"/>
          <w:sz w:val="20"/>
        </w:rPr>
        <w:t>prepare </w:t>
      </w:r>
      <w:r>
        <w:rPr>
          <w:sz w:val="20"/>
        </w:rPr>
        <w:t>them for jury</w:t>
      </w:r>
      <w:r>
        <w:rPr>
          <w:spacing w:val="-18"/>
          <w:sz w:val="20"/>
        </w:rPr>
        <w:t> </w:t>
      </w:r>
      <w:r>
        <w:rPr>
          <w:sz w:val="20"/>
        </w:rPr>
        <w:t>work.</w:t>
      </w:r>
    </w:p>
    <w:p>
      <w:pPr>
        <w:pStyle w:val="ListParagraph"/>
        <w:numPr>
          <w:ilvl w:val="1"/>
          <w:numId w:val="12"/>
        </w:numPr>
        <w:tabs>
          <w:tab w:pos="1761" w:val="left" w:leader="none"/>
          <w:tab w:pos="1762" w:val="left" w:leader="none"/>
        </w:tabs>
        <w:spacing w:line="206" w:lineRule="auto" w:before="123" w:after="0"/>
        <w:ind w:left="1761" w:right="1625" w:hanging="794"/>
        <w:jc w:val="left"/>
        <w:rPr>
          <w:sz w:val="20"/>
        </w:rPr>
      </w:pPr>
      <w:r>
        <w:rPr>
          <w:sz w:val="20"/>
        </w:rPr>
        <w:t>The need for additional jury-specific training was supported </w:t>
      </w:r>
      <w:r>
        <w:rPr>
          <w:spacing w:val="-3"/>
          <w:sz w:val="20"/>
        </w:rPr>
        <w:t>by </w:t>
      </w:r>
      <w:r>
        <w:rPr>
          <w:sz w:val="20"/>
        </w:rPr>
        <w:t>most consultation participants.</w:t>
      </w:r>
      <w:r>
        <w:rPr>
          <w:position w:val="7"/>
          <w:sz w:val="11"/>
        </w:rPr>
        <w:t>44</w:t>
      </w:r>
      <w:r>
        <w:rPr>
          <w:spacing w:val="17"/>
          <w:position w:val="7"/>
          <w:sz w:val="11"/>
        </w:rPr>
        <w:t> </w:t>
      </w:r>
      <w:r>
        <w:rPr>
          <w:sz w:val="20"/>
        </w:rPr>
        <w:t>This</w:t>
      </w:r>
      <w:r>
        <w:rPr>
          <w:spacing w:val="-7"/>
          <w:sz w:val="20"/>
        </w:rPr>
        <w:t> </w:t>
      </w:r>
      <w:r>
        <w:rPr>
          <w:sz w:val="20"/>
        </w:rPr>
        <w:t>type</w:t>
      </w:r>
      <w:r>
        <w:rPr>
          <w:spacing w:val="-8"/>
          <w:sz w:val="20"/>
        </w:rPr>
        <w:t> </w:t>
      </w:r>
      <w:r>
        <w:rPr>
          <w:sz w:val="20"/>
        </w:rPr>
        <w:t>of</w:t>
      </w:r>
      <w:r>
        <w:rPr>
          <w:spacing w:val="-7"/>
          <w:sz w:val="20"/>
        </w:rPr>
        <w:t> </w:t>
      </w:r>
      <w:r>
        <w:rPr>
          <w:spacing w:val="-3"/>
          <w:sz w:val="20"/>
        </w:rPr>
        <w:t>work</w:t>
      </w:r>
      <w:r>
        <w:rPr>
          <w:spacing w:val="-7"/>
          <w:sz w:val="20"/>
        </w:rPr>
        <w:t> </w:t>
      </w:r>
      <w:r>
        <w:rPr>
          <w:sz w:val="20"/>
        </w:rPr>
        <w:t>is</w:t>
      </w:r>
      <w:r>
        <w:rPr>
          <w:spacing w:val="-8"/>
          <w:sz w:val="20"/>
        </w:rPr>
        <w:t> </w:t>
      </w:r>
      <w:r>
        <w:rPr>
          <w:sz w:val="20"/>
        </w:rPr>
        <w:t>unique.</w:t>
      </w:r>
      <w:r>
        <w:rPr>
          <w:spacing w:val="-7"/>
          <w:sz w:val="20"/>
        </w:rPr>
        <w:t> </w:t>
      </w:r>
      <w:r>
        <w:rPr>
          <w:sz w:val="20"/>
        </w:rPr>
        <w:t>It</w:t>
      </w:r>
      <w:r>
        <w:rPr>
          <w:spacing w:val="-8"/>
          <w:sz w:val="20"/>
        </w:rPr>
        <w:t> </w:t>
      </w:r>
      <w:r>
        <w:rPr>
          <w:sz w:val="20"/>
        </w:rPr>
        <w:t>occurs</w:t>
      </w:r>
      <w:r>
        <w:rPr>
          <w:spacing w:val="-7"/>
          <w:sz w:val="20"/>
        </w:rPr>
        <w:t> </w:t>
      </w:r>
      <w:r>
        <w:rPr>
          <w:sz w:val="20"/>
        </w:rPr>
        <w:t>behind</w:t>
      </w:r>
      <w:r>
        <w:rPr>
          <w:spacing w:val="-7"/>
          <w:sz w:val="20"/>
        </w:rPr>
        <w:t> </w:t>
      </w:r>
      <w:r>
        <w:rPr>
          <w:sz w:val="20"/>
        </w:rPr>
        <w:t>closed</w:t>
      </w:r>
      <w:r>
        <w:rPr>
          <w:spacing w:val="-8"/>
          <w:sz w:val="20"/>
        </w:rPr>
        <w:t> </w:t>
      </w:r>
      <w:r>
        <w:rPr>
          <w:sz w:val="20"/>
        </w:rPr>
        <w:t>doors</w:t>
      </w:r>
      <w:r>
        <w:rPr>
          <w:spacing w:val="-7"/>
          <w:sz w:val="20"/>
        </w:rPr>
        <w:t> </w:t>
      </w:r>
      <w:r>
        <w:rPr>
          <w:sz w:val="20"/>
        </w:rPr>
        <w:t>with</w:t>
      </w:r>
      <w:r>
        <w:rPr>
          <w:spacing w:val="-7"/>
          <w:sz w:val="20"/>
        </w:rPr>
        <w:t> </w:t>
      </w:r>
      <w:r>
        <w:rPr>
          <w:spacing w:val="-3"/>
          <w:sz w:val="20"/>
        </w:rPr>
        <w:t>fewer </w:t>
      </w:r>
      <w:r>
        <w:rPr>
          <w:sz w:val="20"/>
        </w:rPr>
        <w:t>opportunities</w:t>
      </w:r>
      <w:r>
        <w:rPr>
          <w:spacing w:val="-7"/>
          <w:sz w:val="20"/>
        </w:rPr>
        <w:t> </w:t>
      </w:r>
      <w:r>
        <w:rPr>
          <w:sz w:val="20"/>
        </w:rPr>
        <w:t>to</w:t>
      </w:r>
      <w:r>
        <w:rPr>
          <w:spacing w:val="-7"/>
          <w:sz w:val="20"/>
        </w:rPr>
        <w:t> </w:t>
      </w:r>
      <w:r>
        <w:rPr>
          <w:sz w:val="20"/>
        </w:rPr>
        <w:t>ask</w:t>
      </w:r>
      <w:r>
        <w:rPr>
          <w:spacing w:val="-7"/>
          <w:sz w:val="20"/>
        </w:rPr>
        <w:t> </w:t>
      </w:r>
      <w:r>
        <w:rPr>
          <w:sz w:val="20"/>
        </w:rPr>
        <w:t>questions</w:t>
      </w:r>
      <w:r>
        <w:rPr>
          <w:spacing w:val="-7"/>
          <w:sz w:val="20"/>
        </w:rPr>
        <w:t> </w:t>
      </w:r>
      <w:r>
        <w:rPr>
          <w:spacing w:val="-3"/>
          <w:sz w:val="20"/>
        </w:rPr>
        <w:t>(unlike</w:t>
      </w:r>
      <w:r>
        <w:rPr>
          <w:spacing w:val="-7"/>
          <w:sz w:val="20"/>
        </w:rPr>
        <w:t> </w:t>
      </w:r>
      <w:r>
        <w:rPr>
          <w:spacing w:val="-3"/>
          <w:sz w:val="20"/>
        </w:rPr>
        <w:t>interpreting</w:t>
      </w:r>
      <w:r>
        <w:rPr>
          <w:spacing w:val="-7"/>
          <w:sz w:val="20"/>
        </w:rPr>
        <w:t> </w:t>
      </w:r>
      <w:r>
        <w:rPr>
          <w:sz w:val="20"/>
        </w:rPr>
        <w:t>for</w:t>
      </w:r>
      <w:r>
        <w:rPr>
          <w:spacing w:val="-6"/>
          <w:sz w:val="20"/>
        </w:rPr>
        <w:t> </w:t>
      </w:r>
      <w:r>
        <w:rPr>
          <w:sz w:val="20"/>
        </w:rPr>
        <w:t>a</w:t>
      </w:r>
      <w:r>
        <w:rPr>
          <w:spacing w:val="-7"/>
          <w:sz w:val="20"/>
        </w:rPr>
        <w:t> </w:t>
      </w:r>
      <w:r>
        <w:rPr>
          <w:sz w:val="20"/>
        </w:rPr>
        <w:t>medical</w:t>
      </w:r>
      <w:r>
        <w:rPr>
          <w:spacing w:val="-7"/>
          <w:sz w:val="20"/>
        </w:rPr>
        <w:t> </w:t>
      </w:r>
      <w:r>
        <w:rPr>
          <w:sz w:val="20"/>
        </w:rPr>
        <w:t>appointment,</w:t>
      </w:r>
    </w:p>
    <w:p>
      <w:pPr>
        <w:pStyle w:val="BodyText"/>
        <w:spacing w:line="206" w:lineRule="auto" w:before="4"/>
        <w:ind w:left="1761" w:right="1335"/>
      </w:pPr>
      <w:r>
        <w:rPr/>
        <w:t>for </w:t>
      </w:r>
      <w:r>
        <w:rPr>
          <w:spacing w:val="-3"/>
        </w:rPr>
        <w:t>example, </w:t>
      </w:r>
      <w:r>
        <w:rPr/>
        <w:t>where the </w:t>
      </w:r>
      <w:r>
        <w:rPr>
          <w:spacing w:val="-3"/>
        </w:rPr>
        <w:t>interpreter </w:t>
      </w:r>
      <w:r>
        <w:rPr/>
        <w:t>can request clarifications if needed).</w:t>
      </w:r>
      <w:r>
        <w:rPr>
          <w:position w:val="7"/>
          <w:sz w:val="11"/>
        </w:rPr>
        <w:t>45 </w:t>
      </w:r>
      <w:r>
        <w:rPr/>
        <w:t>ASLIA commented:</w:t>
      </w:r>
    </w:p>
    <w:p>
      <w:pPr>
        <w:spacing w:line="208" w:lineRule="auto" w:before="120"/>
        <w:ind w:left="2157" w:right="1201" w:firstLine="0"/>
        <w:jc w:val="left"/>
        <w:rPr>
          <w:sz w:val="11"/>
        </w:rPr>
      </w:pPr>
      <w:r>
        <w:rPr>
          <w:sz w:val="19"/>
        </w:rPr>
        <w:t>Interpreters need to have in-depth linguistic and cultural knowledge, as well as solid legal knowledge. It usually takes years of experience to develop sufficient knowledge of the legal system, in addition to further study in the area.</w:t>
      </w:r>
      <w:r>
        <w:rPr>
          <w:position w:val="6"/>
          <w:sz w:val="11"/>
        </w:rPr>
        <w:t>46</w:t>
      </w:r>
    </w:p>
    <w:p>
      <w:pPr>
        <w:pStyle w:val="ListParagraph"/>
        <w:numPr>
          <w:ilvl w:val="1"/>
          <w:numId w:val="12"/>
        </w:numPr>
        <w:tabs>
          <w:tab w:pos="1761" w:val="left" w:leader="none"/>
          <w:tab w:pos="1762" w:val="left" w:leader="none"/>
        </w:tabs>
        <w:spacing w:line="206" w:lineRule="auto" w:before="124" w:after="0"/>
        <w:ind w:left="1761" w:right="1318" w:hanging="794"/>
        <w:jc w:val="left"/>
        <w:rPr>
          <w:sz w:val="20"/>
        </w:rPr>
      </w:pPr>
      <w:r>
        <w:rPr>
          <w:sz w:val="20"/>
        </w:rPr>
        <w:t>In</w:t>
      </w:r>
      <w:r>
        <w:rPr>
          <w:spacing w:val="-8"/>
          <w:sz w:val="20"/>
        </w:rPr>
        <w:t> </w:t>
      </w:r>
      <w:r>
        <w:rPr>
          <w:sz w:val="20"/>
        </w:rPr>
        <w:t>their</w:t>
      </w:r>
      <w:r>
        <w:rPr>
          <w:spacing w:val="-7"/>
          <w:sz w:val="20"/>
        </w:rPr>
        <w:t> </w:t>
      </w:r>
      <w:r>
        <w:rPr>
          <w:spacing w:val="-3"/>
          <w:sz w:val="20"/>
        </w:rPr>
        <w:t>recent</w:t>
      </w:r>
      <w:r>
        <w:rPr>
          <w:spacing w:val="-7"/>
          <w:sz w:val="20"/>
        </w:rPr>
        <w:t> </w:t>
      </w:r>
      <w:r>
        <w:rPr>
          <w:sz w:val="20"/>
        </w:rPr>
        <w:t>study</w:t>
      </w:r>
      <w:r>
        <w:rPr>
          <w:spacing w:val="-8"/>
          <w:sz w:val="20"/>
        </w:rPr>
        <w:t> </w:t>
      </w:r>
      <w:r>
        <w:rPr>
          <w:sz w:val="20"/>
        </w:rPr>
        <w:t>of</w:t>
      </w:r>
      <w:r>
        <w:rPr>
          <w:spacing w:val="-7"/>
          <w:sz w:val="20"/>
        </w:rPr>
        <w:t> </w:t>
      </w:r>
      <w:r>
        <w:rPr>
          <w:sz w:val="20"/>
        </w:rPr>
        <w:t>deaf</w:t>
      </w:r>
      <w:r>
        <w:rPr>
          <w:spacing w:val="-7"/>
          <w:sz w:val="20"/>
        </w:rPr>
        <w:t> </w:t>
      </w:r>
      <w:r>
        <w:rPr>
          <w:sz w:val="20"/>
        </w:rPr>
        <w:t>jurors</w:t>
      </w:r>
      <w:r>
        <w:rPr>
          <w:spacing w:val="-8"/>
          <w:sz w:val="20"/>
        </w:rPr>
        <w:t> </w:t>
      </w:r>
      <w:r>
        <w:rPr>
          <w:sz w:val="20"/>
        </w:rPr>
        <w:t>in</w:t>
      </w:r>
      <w:r>
        <w:rPr>
          <w:spacing w:val="-7"/>
          <w:sz w:val="20"/>
        </w:rPr>
        <w:t> </w:t>
      </w:r>
      <w:r>
        <w:rPr>
          <w:sz w:val="20"/>
        </w:rPr>
        <w:t>Monroe</w:t>
      </w:r>
      <w:r>
        <w:rPr>
          <w:spacing w:val="-7"/>
          <w:sz w:val="20"/>
        </w:rPr>
        <w:t> </w:t>
      </w:r>
      <w:r>
        <w:rPr>
          <w:spacing w:val="-3"/>
          <w:sz w:val="20"/>
        </w:rPr>
        <w:t>County,</w:t>
      </w:r>
      <w:r>
        <w:rPr>
          <w:spacing w:val="-8"/>
          <w:sz w:val="20"/>
        </w:rPr>
        <w:t> </w:t>
      </w:r>
      <w:r>
        <w:rPr>
          <w:sz w:val="20"/>
        </w:rPr>
        <w:t>New</w:t>
      </w:r>
      <w:r>
        <w:rPr>
          <w:spacing w:val="-7"/>
          <w:sz w:val="20"/>
        </w:rPr>
        <w:t> </w:t>
      </w:r>
      <w:r>
        <w:rPr>
          <w:spacing w:val="-5"/>
          <w:sz w:val="20"/>
        </w:rPr>
        <w:t>York</w:t>
      </w:r>
      <w:r>
        <w:rPr>
          <w:spacing w:val="-7"/>
          <w:sz w:val="20"/>
        </w:rPr>
        <w:t> </w:t>
      </w:r>
      <w:r>
        <w:rPr>
          <w:spacing w:val="-3"/>
          <w:sz w:val="20"/>
        </w:rPr>
        <w:t>State,</w:t>
      </w:r>
      <w:r>
        <w:rPr>
          <w:spacing w:val="-8"/>
          <w:sz w:val="20"/>
        </w:rPr>
        <w:t> </w:t>
      </w:r>
      <w:r>
        <w:rPr>
          <w:spacing w:val="-3"/>
          <w:sz w:val="20"/>
        </w:rPr>
        <w:t>Professor</w:t>
      </w:r>
      <w:r>
        <w:rPr>
          <w:spacing w:val="-7"/>
          <w:sz w:val="20"/>
        </w:rPr>
        <w:t> </w:t>
      </w:r>
      <w:r>
        <w:rPr>
          <w:sz w:val="20"/>
        </w:rPr>
        <w:t>Napier and</w:t>
      </w:r>
      <w:r>
        <w:rPr>
          <w:spacing w:val="-8"/>
          <w:sz w:val="20"/>
        </w:rPr>
        <w:t> </w:t>
      </w:r>
      <w:r>
        <w:rPr>
          <w:sz w:val="20"/>
        </w:rPr>
        <w:t>colleagues</w:t>
      </w:r>
      <w:r>
        <w:rPr>
          <w:spacing w:val="-8"/>
          <w:sz w:val="20"/>
        </w:rPr>
        <w:t> </w:t>
      </w:r>
      <w:r>
        <w:rPr>
          <w:sz w:val="20"/>
        </w:rPr>
        <w:t>emphasised</w:t>
      </w:r>
      <w:r>
        <w:rPr>
          <w:spacing w:val="-7"/>
          <w:sz w:val="20"/>
        </w:rPr>
        <w:t> </w:t>
      </w:r>
      <w:r>
        <w:rPr>
          <w:sz w:val="20"/>
        </w:rPr>
        <w:t>the</w:t>
      </w:r>
      <w:r>
        <w:rPr>
          <w:spacing w:val="-8"/>
          <w:sz w:val="20"/>
        </w:rPr>
        <w:t> </w:t>
      </w:r>
      <w:r>
        <w:rPr>
          <w:sz w:val="20"/>
        </w:rPr>
        <w:t>importance</w:t>
      </w:r>
      <w:r>
        <w:rPr>
          <w:spacing w:val="-7"/>
          <w:sz w:val="20"/>
        </w:rPr>
        <w:t> </w:t>
      </w:r>
      <w:r>
        <w:rPr>
          <w:sz w:val="20"/>
        </w:rPr>
        <w:t>of</w:t>
      </w:r>
      <w:r>
        <w:rPr>
          <w:spacing w:val="-8"/>
          <w:sz w:val="20"/>
        </w:rPr>
        <w:t> </w:t>
      </w:r>
      <w:r>
        <w:rPr>
          <w:sz w:val="20"/>
        </w:rPr>
        <w:t>specialised</w:t>
      </w:r>
      <w:r>
        <w:rPr>
          <w:spacing w:val="-8"/>
          <w:sz w:val="20"/>
        </w:rPr>
        <w:t> </w:t>
      </w:r>
      <w:r>
        <w:rPr>
          <w:sz w:val="20"/>
        </w:rPr>
        <w:t>training</w:t>
      </w:r>
      <w:r>
        <w:rPr>
          <w:spacing w:val="-7"/>
          <w:sz w:val="20"/>
        </w:rPr>
        <w:t> </w:t>
      </w:r>
      <w:r>
        <w:rPr>
          <w:sz w:val="20"/>
        </w:rPr>
        <w:t>for</w:t>
      </w:r>
      <w:r>
        <w:rPr>
          <w:spacing w:val="-8"/>
          <w:sz w:val="20"/>
        </w:rPr>
        <w:t> </w:t>
      </w:r>
      <w:r>
        <w:rPr>
          <w:sz w:val="20"/>
        </w:rPr>
        <w:t>jury</w:t>
      </w:r>
      <w:r>
        <w:rPr>
          <w:spacing w:val="-7"/>
          <w:sz w:val="20"/>
        </w:rPr>
        <w:t> </w:t>
      </w:r>
      <w:r>
        <w:rPr>
          <w:sz w:val="20"/>
        </w:rPr>
        <w:t>work.</w:t>
      </w:r>
    </w:p>
    <w:p>
      <w:pPr>
        <w:pStyle w:val="BodyText"/>
        <w:spacing w:line="229" w:lineRule="exact"/>
        <w:ind w:left="1761"/>
      </w:pPr>
      <w:r>
        <w:rPr/>
        <w:t>The researchers identified that this was a theme that ‘spanned judges, lawyers, court</w:t>
      </w:r>
    </w:p>
    <w:p>
      <w:pPr>
        <w:pStyle w:val="BodyText"/>
        <w:spacing w:line="259" w:lineRule="exact"/>
        <w:ind w:left="1761"/>
        <w:rPr>
          <w:sz w:val="11"/>
        </w:rPr>
      </w:pPr>
      <w:r>
        <w:rPr/>
        <w:t>administrators and deaf consumers’.</w:t>
      </w:r>
      <w:r>
        <w:rPr>
          <w:position w:val="7"/>
          <w:sz w:val="11"/>
        </w:rPr>
        <w:t>47</w:t>
      </w:r>
    </w:p>
    <w:p>
      <w:pPr>
        <w:pStyle w:val="BodyText"/>
      </w:pPr>
    </w:p>
    <w:p>
      <w:pPr>
        <w:pStyle w:val="BodyText"/>
      </w:pPr>
    </w:p>
    <w:p>
      <w:pPr>
        <w:pStyle w:val="BodyText"/>
        <w:spacing w:before="10"/>
        <w:rPr>
          <w:sz w:val="18"/>
        </w:rPr>
      </w:pPr>
      <w:r>
        <w:rPr/>
        <w:pict>
          <v:line style="position:absolute;mso-position-horizontal-relative:page;mso-position-vertical-relative:paragraph;z-index:8456;mso-wrap-distance-left:0;mso-wrap-distance-right:0" from="79.370102pt,15.47284pt" to="515.905102pt,15.47284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spacing w:before="9"/>
        <w:rPr>
          <w:sz w:val="23"/>
        </w:rPr>
      </w:pPr>
    </w:p>
    <w:p>
      <w:pPr>
        <w:spacing w:before="0"/>
        <w:ind w:left="100" w:right="0" w:firstLine="0"/>
        <w:jc w:val="left"/>
        <w:rPr>
          <w:b/>
          <w:sz w:val="24"/>
        </w:rPr>
      </w:pPr>
      <w:r>
        <w:rPr>
          <w:b/>
          <w:color w:val="37617A"/>
          <w:sz w:val="24"/>
        </w:rPr>
        <w:t>160</w:t>
      </w:r>
    </w:p>
    <w:p>
      <w:pPr>
        <w:pStyle w:val="ListParagraph"/>
        <w:numPr>
          <w:ilvl w:val="0"/>
          <w:numId w:val="99"/>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z w:val="13"/>
        </w:rPr>
        <w:t>Consultation 13 (National Accreditation Authority for Translators and Interpreters</w:t>
      </w:r>
      <w:r>
        <w:rPr>
          <w:spacing w:val="8"/>
          <w:sz w:val="13"/>
        </w:rPr>
        <w:t> </w:t>
      </w:r>
      <w:r>
        <w:rPr>
          <w:sz w:val="13"/>
        </w:rPr>
        <w:t>(NAATI)).</w:t>
      </w:r>
    </w:p>
    <w:p>
      <w:pPr>
        <w:pStyle w:val="ListParagraph"/>
        <w:numPr>
          <w:ilvl w:val="0"/>
          <w:numId w:val="99"/>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99"/>
        </w:numPr>
        <w:tabs>
          <w:tab w:pos="893" w:val="left" w:leader="none"/>
          <w:tab w:pos="894" w:val="left" w:leader="none"/>
        </w:tabs>
        <w:spacing w:line="160" w:lineRule="exact" w:before="0" w:after="0"/>
        <w:ind w:left="893" w:right="0" w:hanging="793"/>
        <w:jc w:val="left"/>
        <w:rPr>
          <w:sz w:val="13"/>
        </w:rPr>
      </w:pPr>
      <w:r>
        <w:rPr>
          <w:sz w:val="13"/>
        </w:rPr>
        <w:t>Consultation 21 </w:t>
      </w:r>
      <w:r>
        <w:rPr>
          <w:spacing w:val="2"/>
          <w:sz w:val="13"/>
        </w:rPr>
        <w:t>(Della </w:t>
      </w:r>
      <w:r>
        <w:rPr>
          <w:sz w:val="13"/>
        </w:rPr>
        <w:t>Goswell, Lecturer, Convenor </w:t>
      </w:r>
      <w:r>
        <w:rPr>
          <w:spacing w:val="2"/>
          <w:sz w:val="13"/>
        </w:rPr>
        <w:t>Auslan-English </w:t>
      </w:r>
      <w:r>
        <w:rPr>
          <w:sz w:val="13"/>
        </w:rPr>
        <w:t>Interpreting Program, Macquarie University,</w:t>
      </w:r>
      <w:r>
        <w:rPr>
          <w:spacing w:val="13"/>
          <w:sz w:val="13"/>
        </w:rPr>
        <w:t> </w:t>
      </w:r>
      <w:r>
        <w:rPr>
          <w:sz w:val="13"/>
        </w:rPr>
        <w:t>NSW).</w:t>
      </w:r>
    </w:p>
    <w:p>
      <w:pPr>
        <w:pStyle w:val="ListParagraph"/>
        <w:numPr>
          <w:ilvl w:val="0"/>
          <w:numId w:val="99"/>
        </w:numPr>
        <w:tabs>
          <w:tab w:pos="893" w:val="left" w:leader="none"/>
          <w:tab w:pos="894" w:val="left" w:leader="none"/>
        </w:tabs>
        <w:spacing w:line="213" w:lineRule="auto" w:before="7" w:after="0"/>
        <w:ind w:left="893" w:right="1451" w:hanging="793"/>
        <w:jc w:val="left"/>
        <w:rPr>
          <w:sz w:val="13"/>
        </w:rPr>
      </w:pPr>
      <w:r>
        <w:rPr>
          <w:sz w:val="13"/>
        </w:rPr>
        <w:t>Consultations 5 (Expression Australia), 21 </w:t>
      </w:r>
      <w:r>
        <w:rPr>
          <w:spacing w:val="2"/>
          <w:sz w:val="13"/>
        </w:rPr>
        <w:t>(Della </w:t>
      </w:r>
      <w:r>
        <w:rPr>
          <w:sz w:val="13"/>
        </w:rPr>
        <w:t>Goswell, Lecturer, Convenor </w:t>
      </w:r>
      <w:r>
        <w:rPr>
          <w:spacing w:val="2"/>
          <w:sz w:val="13"/>
        </w:rPr>
        <w:t>Auslan-English </w:t>
      </w:r>
      <w:r>
        <w:rPr>
          <w:sz w:val="13"/>
        </w:rPr>
        <w:t>Interpreting Program, Macquarie University, NSW).</w:t>
      </w:r>
    </w:p>
    <w:p>
      <w:pPr>
        <w:pStyle w:val="ListParagraph"/>
        <w:numPr>
          <w:ilvl w:val="0"/>
          <w:numId w:val="99"/>
        </w:numPr>
        <w:tabs>
          <w:tab w:pos="893" w:val="left" w:leader="none"/>
          <w:tab w:pos="894" w:val="left" w:leader="none"/>
        </w:tabs>
        <w:spacing w:line="153" w:lineRule="exact" w:before="0" w:after="0"/>
        <w:ind w:left="893" w:right="0" w:hanging="793"/>
        <w:jc w:val="left"/>
        <w:rPr>
          <w:sz w:val="13"/>
        </w:rPr>
      </w:pPr>
      <w:r>
        <w:rPr>
          <w:sz w:val="13"/>
        </w:rPr>
        <w:t>Consultations 2 (Law Institute of Victoria), 16 (Office of </w:t>
      </w:r>
      <w:r>
        <w:rPr>
          <w:spacing w:val="2"/>
          <w:sz w:val="13"/>
        </w:rPr>
        <w:t>Public </w:t>
      </w:r>
      <w:r>
        <w:rPr>
          <w:sz w:val="13"/>
        </w:rPr>
        <w:t>Prosecutions Victoria), 21 </w:t>
      </w:r>
      <w:r>
        <w:rPr>
          <w:spacing w:val="2"/>
          <w:sz w:val="13"/>
        </w:rPr>
        <w:t>(Della </w:t>
      </w:r>
      <w:r>
        <w:rPr>
          <w:sz w:val="13"/>
        </w:rPr>
        <w:t>Goswell, Lecturer,</w:t>
      </w:r>
      <w:r>
        <w:rPr>
          <w:spacing w:val="21"/>
          <w:sz w:val="13"/>
        </w:rPr>
        <w:t> </w:t>
      </w:r>
      <w:r>
        <w:rPr>
          <w:sz w:val="13"/>
        </w:rPr>
        <w:t>Convenor</w:t>
      </w:r>
    </w:p>
    <w:p>
      <w:pPr>
        <w:spacing w:line="160" w:lineRule="exact" w:before="0"/>
        <w:ind w:left="893" w:right="0" w:firstLine="0"/>
        <w:jc w:val="left"/>
        <w:rPr>
          <w:sz w:val="13"/>
        </w:rPr>
      </w:pPr>
      <w:r>
        <w:rPr>
          <w:sz w:val="13"/>
        </w:rPr>
        <w:t>Auslan-English Interpreting Program, Macquarie University, NSW).</w:t>
      </w:r>
    </w:p>
    <w:p>
      <w:pPr>
        <w:pStyle w:val="ListParagraph"/>
        <w:numPr>
          <w:ilvl w:val="0"/>
          <w:numId w:val="99"/>
        </w:numPr>
        <w:tabs>
          <w:tab w:pos="893" w:val="left" w:leader="none"/>
          <w:tab w:pos="894" w:val="left" w:leader="none"/>
        </w:tabs>
        <w:spacing w:line="160" w:lineRule="exact" w:before="0" w:after="0"/>
        <w:ind w:left="893" w:right="0" w:hanging="793"/>
        <w:jc w:val="left"/>
        <w:rPr>
          <w:sz w:val="13"/>
        </w:rPr>
      </w:pPr>
      <w:r>
        <w:rPr>
          <w:sz w:val="13"/>
        </w:rPr>
        <w:t>Consultation 18 </w:t>
      </w:r>
      <w:r>
        <w:rPr>
          <w:spacing w:val="2"/>
          <w:sz w:val="13"/>
        </w:rPr>
        <w:t>(Australian </w:t>
      </w:r>
      <w:r>
        <w:rPr>
          <w:sz w:val="13"/>
        </w:rPr>
        <w:t>Sign </w:t>
      </w:r>
      <w:r>
        <w:rPr>
          <w:spacing w:val="2"/>
          <w:sz w:val="13"/>
        </w:rPr>
        <w:t>Language </w:t>
      </w:r>
      <w:r>
        <w:rPr>
          <w:sz w:val="13"/>
        </w:rPr>
        <w:t>Interpreters’ </w:t>
      </w:r>
      <w:r>
        <w:rPr>
          <w:spacing w:val="2"/>
          <w:sz w:val="13"/>
        </w:rPr>
        <w:t>Association, </w:t>
      </w:r>
      <w:r>
        <w:rPr>
          <w:sz w:val="13"/>
        </w:rPr>
        <w:t>Victoria and Tasmania</w:t>
      </w:r>
      <w:r>
        <w:rPr>
          <w:spacing w:val="1"/>
          <w:sz w:val="13"/>
        </w:rPr>
        <w:t> </w:t>
      </w:r>
      <w:r>
        <w:rPr>
          <w:spacing w:val="2"/>
          <w:sz w:val="13"/>
        </w:rPr>
        <w:t>(ASLIA)).</w:t>
      </w:r>
    </w:p>
    <w:p>
      <w:pPr>
        <w:pStyle w:val="ListParagraph"/>
        <w:numPr>
          <w:ilvl w:val="0"/>
          <w:numId w:val="99"/>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99"/>
        </w:numPr>
        <w:tabs>
          <w:tab w:pos="893" w:val="left" w:leader="none"/>
          <w:tab w:pos="894" w:val="left" w:leader="none"/>
        </w:tabs>
        <w:spacing w:line="213" w:lineRule="auto" w:before="6" w:after="0"/>
        <w:ind w:left="893" w:right="1274" w:hanging="793"/>
        <w:jc w:val="left"/>
        <w:rPr>
          <w:sz w:val="13"/>
        </w:rPr>
      </w:pPr>
      <w:r>
        <w:rPr>
          <w:sz w:val="13"/>
        </w:rPr>
        <w:t>Jemina </w:t>
      </w:r>
      <w:r>
        <w:rPr>
          <w:spacing w:val="2"/>
          <w:sz w:val="13"/>
        </w:rPr>
        <w:t>Napier </w:t>
      </w:r>
      <w:r>
        <w:rPr>
          <w:sz w:val="13"/>
        </w:rPr>
        <w:t>et </w:t>
      </w:r>
      <w:r>
        <w:rPr>
          <w:spacing w:val="2"/>
          <w:sz w:val="13"/>
        </w:rPr>
        <w:t>al, </w:t>
      </w:r>
      <w:r>
        <w:rPr>
          <w:sz w:val="13"/>
        </w:rPr>
        <w:t>‘Training Legal Interpreters to Work with Deaf Jurors’ in Jeremy L Brunson (ed), </w:t>
      </w:r>
      <w:r>
        <w:rPr>
          <w:i/>
          <w:sz w:val="13"/>
        </w:rPr>
        <w:t>Legal Interpreting—Teaching, </w:t>
      </w:r>
      <w:r>
        <w:rPr>
          <w:i/>
          <w:sz w:val="13"/>
        </w:rPr>
        <w:t>Research and Practice </w:t>
      </w:r>
      <w:r>
        <w:rPr>
          <w:sz w:val="13"/>
        </w:rPr>
        <w:t>(Gallaudet University Press, 2022)</w:t>
      </w:r>
      <w:r>
        <w:rPr>
          <w:spacing w:val="4"/>
          <w:sz w:val="13"/>
        </w:rPr>
        <w:t> </w:t>
      </w:r>
      <w:r>
        <w:rPr>
          <w:sz w:val="13"/>
        </w:rPr>
        <w:t>267.</w:t>
      </w:r>
    </w:p>
    <w:p>
      <w:pPr>
        <w:spacing w:after="0" w:line="213" w:lineRule="auto"/>
        <w:jc w:val="left"/>
        <w:rPr>
          <w:sz w:val="13"/>
        </w:rPr>
        <w:sectPr>
          <w:type w:val="continuous"/>
          <w:pgSz w:w="11910" w:h="16840"/>
          <w:pgMar w:top="620" w:bottom="280" w:left="620" w:right="380"/>
          <w:cols w:num="2" w:equalWidth="0">
            <w:col w:w="549" w:space="319"/>
            <w:col w:w="10042"/>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328" w:hanging="794"/>
        <w:jc w:val="left"/>
        <w:rPr>
          <w:sz w:val="11"/>
        </w:rPr>
      </w:pPr>
      <w:bookmarkStart w:name="Standards for Auslan interpreters workin" w:id="276"/>
      <w:bookmarkEnd w:id="276"/>
      <w:r>
        <w:rPr/>
      </w:r>
      <w:bookmarkStart w:name="_bookmark116" w:id="277"/>
      <w:bookmarkEnd w:id="277"/>
      <w:r>
        <w:rPr/>
      </w:r>
      <w:bookmarkStart w:name="_bookmark116" w:id="278"/>
      <w:bookmarkEnd w:id="278"/>
      <w:r>
        <w:rPr>
          <w:sz w:val="20"/>
        </w:rPr>
        <w:t>T</w:t>
      </w:r>
      <w:r>
        <w:rPr>
          <w:sz w:val="20"/>
        </w:rPr>
        <w:t>he Commission acknowledges that the court setting poses challenges for Auslan </w:t>
      </w:r>
      <w:r>
        <w:rPr>
          <w:spacing w:val="-3"/>
          <w:sz w:val="20"/>
        </w:rPr>
        <w:t>interpreters </w:t>
      </w:r>
      <w:r>
        <w:rPr>
          <w:sz w:val="20"/>
        </w:rPr>
        <w:t>as it does for other </w:t>
      </w:r>
      <w:r>
        <w:rPr>
          <w:spacing w:val="-3"/>
          <w:sz w:val="20"/>
        </w:rPr>
        <w:t>interpreters. </w:t>
      </w:r>
      <w:r>
        <w:rPr>
          <w:sz w:val="20"/>
        </w:rPr>
        <w:t>Della Goswell </w:t>
      </w:r>
      <w:r>
        <w:rPr>
          <w:spacing w:val="-3"/>
          <w:sz w:val="20"/>
        </w:rPr>
        <w:t>referred </w:t>
      </w:r>
      <w:r>
        <w:rPr>
          <w:sz w:val="20"/>
        </w:rPr>
        <w:t>to some of the </w:t>
      </w:r>
      <w:r>
        <w:rPr>
          <w:spacing w:val="-2"/>
          <w:sz w:val="20"/>
        </w:rPr>
        <w:t>complexities</w:t>
      </w:r>
      <w:r>
        <w:rPr>
          <w:spacing w:val="-11"/>
          <w:sz w:val="20"/>
        </w:rPr>
        <w:t> </w:t>
      </w:r>
      <w:r>
        <w:rPr>
          <w:sz w:val="20"/>
        </w:rPr>
        <w:t>that</w:t>
      </w:r>
      <w:r>
        <w:rPr>
          <w:spacing w:val="-10"/>
          <w:sz w:val="20"/>
        </w:rPr>
        <w:t> </w:t>
      </w:r>
      <w:r>
        <w:rPr>
          <w:sz w:val="20"/>
        </w:rPr>
        <w:t>can</w:t>
      </w:r>
      <w:r>
        <w:rPr>
          <w:spacing w:val="-10"/>
          <w:sz w:val="20"/>
        </w:rPr>
        <w:t> </w:t>
      </w:r>
      <w:r>
        <w:rPr>
          <w:sz w:val="20"/>
        </w:rPr>
        <w:t>arise</w:t>
      </w:r>
      <w:r>
        <w:rPr>
          <w:spacing w:val="-10"/>
          <w:sz w:val="20"/>
        </w:rPr>
        <w:t> </w:t>
      </w:r>
      <w:r>
        <w:rPr>
          <w:sz w:val="20"/>
        </w:rPr>
        <w:t>in</w:t>
      </w:r>
      <w:r>
        <w:rPr>
          <w:spacing w:val="-11"/>
          <w:sz w:val="20"/>
        </w:rPr>
        <w:t> </w:t>
      </w:r>
      <w:r>
        <w:rPr>
          <w:sz w:val="20"/>
        </w:rPr>
        <w:t>a</w:t>
      </w:r>
      <w:r>
        <w:rPr>
          <w:spacing w:val="-10"/>
          <w:sz w:val="20"/>
        </w:rPr>
        <w:t> </w:t>
      </w:r>
      <w:r>
        <w:rPr>
          <w:sz w:val="20"/>
        </w:rPr>
        <w:t>general</w:t>
      </w:r>
      <w:r>
        <w:rPr>
          <w:spacing w:val="-10"/>
          <w:sz w:val="20"/>
        </w:rPr>
        <w:t> </w:t>
      </w:r>
      <w:r>
        <w:rPr>
          <w:sz w:val="20"/>
        </w:rPr>
        <w:t>court</w:t>
      </w:r>
      <w:r>
        <w:rPr>
          <w:spacing w:val="-10"/>
          <w:sz w:val="20"/>
        </w:rPr>
        <w:t> </w:t>
      </w:r>
      <w:r>
        <w:rPr>
          <w:sz w:val="20"/>
        </w:rPr>
        <w:t>context</w:t>
      </w:r>
      <w:r>
        <w:rPr>
          <w:spacing w:val="-11"/>
          <w:sz w:val="20"/>
        </w:rPr>
        <w:t> </w:t>
      </w:r>
      <w:r>
        <w:rPr>
          <w:sz w:val="20"/>
        </w:rPr>
        <w:t>where</w:t>
      </w:r>
      <w:r>
        <w:rPr>
          <w:spacing w:val="-10"/>
          <w:sz w:val="20"/>
        </w:rPr>
        <w:t> </w:t>
      </w:r>
      <w:r>
        <w:rPr>
          <w:sz w:val="20"/>
        </w:rPr>
        <w:t>witnesses</w:t>
      </w:r>
      <w:r>
        <w:rPr>
          <w:spacing w:val="-10"/>
          <w:sz w:val="20"/>
        </w:rPr>
        <w:t> </w:t>
      </w:r>
      <w:r>
        <w:rPr>
          <w:sz w:val="20"/>
        </w:rPr>
        <w:t>and</w:t>
      </w:r>
      <w:r>
        <w:rPr>
          <w:spacing w:val="-10"/>
          <w:sz w:val="20"/>
        </w:rPr>
        <w:t> </w:t>
      </w:r>
      <w:r>
        <w:rPr>
          <w:sz w:val="20"/>
        </w:rPr>
        <w:t>parties</w:t>
      </w:r>
      <w:r>
        <w:rPr>
          <w:spacing w:val="-11"/>
          <w:sz w:val="20"/>
        </w:rPr>
        <w:t> </w:t>
      </w:r>
      <w:r>
        <w:rPr>
          <w:sz w:val="20"/>
        </w:rPr>
        <w:t>use Auslan </w:t>
      </w:r>
      <w:r>
        <w:rPr>
          <w:spacing w:val="-3"/>
          <w:sz w:val="20"/>
        </w:rPr>
        <w:t>interpreters. </w:t>
      </w:r>
      <w:r>
        <w:rPr>
          <w:sz w:val="20"/>
        </w:rPr>
        <w:t>Some </w:t>
      </w:r>
      <w:r>
        <w:rPr>
          <w:spacing w:val="-3"/>
          <w:sz w:val="20"/>
        </w:rPr>
        <w:t>examples </w:t>
      </w:r>
      <w:r>
        <w:rPr>
          <w:sz w:val="20"/>
        </w:rPr>
        <w:t>she </w:t>
      </w:r>
      <w:r>
        <w:rPr>
          <w:spacing w:val="-3"/>
          <w:sz w:val="20"/>
        </w:rPr>
        <w:t>referred </w:t>
      </w:r>
      <w:r>
        <w:rPr>
          <w:sz w:val="20"/>
        </w:rPr>
        <w:t>to</w:t>
      </w:r>
      <w:r>
        <w:rPr>
          <w:spacing w:val="-20"/>
          <w:sz w:val="20"/>
        </w:rPr>
        <w:t> </w:t>
      </w:r>
      <w:r>
        <w:rPr>
          <w:sz w:val="20"/>
        </w:rPr>
        <w:t>included:</w:t>
      </w:r>
      <w:r>
        <w:rPr>
          <w:position w:val="7"/>
          <w:sz w:val="11"/>
        </w:rPr>
        <w:t>48</w:t>
      </w:r>
    </w:p>
    <w:p>
      <w:pPr>
        <w:pStyle w:val="ListParagraph"/>
        <w:numPr>
          <w:ilvl w:val="2"/>
          <w:numId w:val="12"/>
        </w:numPr>
        <w:tabs>
          <w:tab w:pos="2157" w:val="left" w:leader="none"/>
          <w:tab w:pos="2158" w:val="left" w:leader="none"/>
        </w:tabs>
        <w:spacing w:line="206" w:lineRule="auto" w:before="125" w:after="0"/>
        <w:ind w:left="2157" w:right="1509" w:hanging="396"/>
        <w:jc w:val="left"/>
        <w:rPr>
          <w:sz w:val="20"/>
        </w:rPr>
      </w:pPr>
      <w:r>
        <w:rPr>
          <w:sz w:val="20"/>
        </w:rPr>
        <w:t>Barristers sometimes use double negatives in questioning. Because Auslan presents</w:t>
      </w:r>
      <w:r>
        <w:rPr>
          <w:spacing w:val="-12"/>
          <w:sz w:val="20"/>
        </w:rPr>
        <w:t> </w:t>
      </w:r>
      <w:r>
        <w:rPr>
          <w:sz w:val="20"/>
        </w:rPr>
        <w:t>visual</w:t>
      </w:r>
      <w:r>
        <w:rPr>
          <w:spacing w:val="-12"/>
          <w:sz w:val="20"/>
        </w:rPr>
        <w:t> </w:t>
      </w:r>
      <w:r>
        <w:rPr>
          <w:sz w:val="20"/>
        </w:rPr>
        <w:t>actions,</w:t>
      </w:r>
      <w:r>
        <w:rPr>
          <w:spacing w:val="-12"/>
          <w:sz w:val="20"/>
        </w:rPr>
        <w:t> </w:t>
      </w:r>
      <w:r>
        <w:rPr>
          <w:spacing w:val="-3"/>
          <w:sz w:val="20"/>
        </w:rPr>
        <w:t>interpreters</w:t>
      </w:r>
      <w:r>
        <w:rPr>
          <w:spacing w:val="-11"/>
          <w:sz w:val="20"/>
        </w:rPr>
        <w:t> </w:t>
      </w:r>
      <w:r>
        <w:rPr>
          <w:spacing w:val="-4"/>
          <w:sz w:val="20"/>
        </w:rPr>
        <w:t>have</w:t>
      </w:r>
      <w:r>
        <w:rPr>
          <w:spacing w:val="-12"/>
          <w:sz w:val="20"/>
        </w:rPr>
        <w:t> </w:t>
      </w:r>
      <w:r>
        <w:rPr>
          <w:sz w:val="20"/>
        </w:rPr>
        <w:t>to</w:t>
      </w:r>
      <w:r>
        <w:rPr>
          <w:spacing w:val="-12"/>
          <w:sz w:val="20"/>
        </w:rPr>
        <w:t> </w:t>
      </w:r>
      <w:r>
        <w:rPr>
          <w:sz w:val="20"/>
        </w:rPr>
        <w:t>translate</w:t>
      </w:r>
      <w:r>
        <w:rPr>
          <w:spacing w:val="-11"/>
          <w:sz w:val="20"/>
        </w:rPr>
        <w:t> </w:t>
      </w:r>
      <w:r>
        <w:rPr>
          <w:sz w:val="20"/>
        </w:rPr>
        <w:t>these</w:t>
      </w:r>
      <w:r>
        <w:rPr>
          <w:spacing w:val="-12"/>
          <w:sz w:val="20"/>
        </w:rPr>
        <w:t> </w:t>
      </w:r>
      <w:r>
        <w:rPr>
          <w:sz w:val="20"/>
        </w:rPr>
        <w:t>negative</w:t>
      </w:r>
      <w:r>
        <w:rPr>
          <w:spacing w:val="-12"/>
          <w:sz w:val="20"/>
        </w:rPr>
        <w:t> </w:t>
      </w:r>
      <w:r>
        <w:rPr>
          <w:sz w:val="20"/>
        </w:rPr>
        <w:t>actions</w:t>
      </w:r>
      <w:r>
        <w:rPr>
          <w:spacing w:val="-11"/>
          <w:sz w:val="20"/>
        </w:rPr>
        <w:t> </w:t>
      </w:r>
      <w:r>
        <w:rPr>
          <w:spacing w:val="-3"/>
          <w:sz w:val="20"/>
        </w:rPr>
        <w:t>into </w:t>
      </w:r>
      <w:r>
        <w:rPr>
          <w:sz w:val="20"/>
        </w:rPr>
        <w:t>positive</w:t>
      </w:r>
      <w:r>
        <w:rPr>
          <w:spacing w:val="-5"/>
          <w:sz w:val="20"/>
        </w:rPr>
        <w:t> </w:t>
      </w:r>
      <w:r>
        <w:rPr>
          <w:sz w:val="20"/>
        </w:rPr>
        <w:t>actions.</w:t>
      </w:r>
    </w:p>
    <w:p>
      <w:pPr>
        <w:pStyle w:val="ListParagraph"/>
        <w:numPr>
          <w:ilvl w:val="2"/>
          <w:numId w:val="12"/>
        </w:numPr>
        <w:tabs>
          <w:tab w:pos="2158" w:val="left" w:leader="none"/>
        </w:tabs>
        <w:spacing w:line="206" w:lineRule="auto" w:before="89" w:after="0"/>
        <w:ind w:left="2157" w:right="1517" w:hanging="396"/>
        <w:jc w:val="both"/>
        <w:rPr>
          <w:sz w:val="20"/>
        </w:rPr>
      </w:pPr>
      <w:r>
        <w:rPr>
          <w:sz w:val="20"/>
        </w:rPr>
        <w:t>Barristers</w:t>
      </w:r>
      <w:r>
        <w:rPr>
          <w:spacing w:val="-8"/>
          <w:sz w:val="20"/>
        </w:rPr>
        <w:t> </w:t>
      </w:r>
      <w:r>
        <w:rPr>
          <w:sz w:val="20"/>
        </w:rPr>
        <w:t>sometimes</w:t>
      </w:r>
      <w:r>
        <w:rPr>
          <w:spacing w:val="-8"/>
          <w:sz w:val="20"/>
        </w:rPr>
        <w:t> </w:t>
      </w:r>
      <w:r>
        <w:rPr>
          <w:sz w:val="20"/>
        </w:rPr>
        <w:t>ask</w:t>
      </w:r>
      <w:r>
        <w:rPr>
          <w:spacing w:val="-8"/>
          <w:sz w:val="20"/>
        </w:rPr>
        <w:t> </w:t>
      </w:r>
      <w:r>
        <w:rPr>
          <w:sz w:val="20"/>
        </w:rPr>
        <w:t>questions</w:t>
      </w:r>
      <w:r>
        <w:rPr>
          <w:spacing w:val="-8"/>
          <w:sz w:val="20"/>
        </w:rPr>
        <w:t> </w:t>
      </w:r>
      <w:r>
        <w:rPr>
          <w:sz w:val="20"/>
        </w:rPr>
        <w:t>that</w:t>
      </w:r>
      <w:r>
        <w:rPr>
          <w:spacing w:val="-7"/>
          <w:sz w:val="20"/>
        </w:rPr>
        <w:t> </w:t>
      </w:r>
      <w:r>
        <w:rPr>
          <w:spacing w:val="-4"/>
          <w:sz w:val="20"/>
        </w:rPr>
        <w:t>have</w:t>
      </w:r>
      <w:r>
        <w:rPr>
          <w:spacing w:val="-8"/>
          <w:sz w:val="20"/>
        </w:rPr>
        <w:t> </w:t>
      </w:r>
      <w:r>
        <w:rPr>
          <w:spacing w:val="-3"/>
          <w:sz w:val="20"/>
        </w:rPr>
        <w:t>several</w:t>
      </w:r>
      <w:r>
        <w:rPr>
          <w:spacing w:val="-8"/>
          <w:sz w:val="20"/>
        </w:rPr>
        <w:t> </w:t>
      </w:r>
      <w:r>
        <w:rPr>
          <w:sz w:val="20"/>
        </w:rPr>
        <w:t>parts.</w:t>
      </w:r>
      <w:r>
        <w:rPr>
          <w:spacing w:val="-8"/>
          <w:sz w:val="20"/>
        </w:rPr>
        <w:t> </w:t>
      </w:r>
      <w:r>
        <w:rPr>
          <w:spacing w:val="-3"/>
          <w:sz w:val="20"/>
        </w:rPr>
        <w:t>Interpreters</w:t>
      </w:r>
      <w:r>
        <w:rPr>
          <w:spacing w:val="-8"/>
          <w:sz w:val="20"/>
        </w:rPr>
        <w:t> </w:t>
      </w:r>
      <w:r>
        <w:rPr>
          <w:sz w:val="20"/>
        </w:rPr>
        <w:t>need</w:t>
      </w:r>
      <w:r>
        <w:rPr>
          <w:spacing w:val="-7"/>
          <w:sz w:val="20"/>
        </w:rPr>
        <w:t> </w:t>
      </w:r>
      <w:r>
        <w:rPr>
          <w:sz w:val="20"/>
        </w:rPr>
        <w:t>to ask</w:t>
      </w:r>
      <w:r>
        <w:rPr>
          <w:spacing w:val="-8"/>
          <w:sz w:val="20"/>
        </w:rPr>
        <w:t> </w:t>
      </w:r>
      <w:r>
        <w:rPr>
          <w:sz w:val="20"/>
        </w:rPr>
        <w:t>for</w:t>
      </w:r>
      <w:r>
        <w:rPr>
          <w:spacing w:val="-8"/>
          <w:sz w:val="20"/>
        </w:rPr>
        <w:t> </w:t>
      </w:r>
      <w:r>
        <w:rPr>
          <w:sz w:val="20"/>
        </w:rPr>
        <w:t>questions</w:t>
      </w:r>
      <w:r>
        <w:rPr>
          <w:spacing w:val="-7"/>
          <w:sz w:val="20"/>
        </w:rPr>
        <w:t> </w:t>
      </w:r>
      <w:r>
        <w:rPr>
          <w:sz w:val="20"/>
        </w:rPr>
        <w:t>to</w:t>
      </w:r>
      <w:r>
        <w:rPr>
          <w:spacing w:val="-8"/>
          <w:sz w:val="20"/>
        </w:rPr>
        <w:t> </w:t>
      </w:r>
      <w:r>
        <w:rPr>
          <w:sz w:val="20"/>
        </w:rPr>
        <w:t>be</w:t>
      </w:r>
      <w:r>
        <w:rPr>
          <w:spacing w:val="-7"/>
          <w:sz w:val="20"/>
        </w:rPr>
        <w:t> </w:t>
      </w:r>
      <w:r>
        <w:rPr>
          <w:spacing w:val="-3"/>
          <w:sz w:val="20"/>
        </w:rPr>
        <w:t>presented</w:t>
      </w:r>
      <w:r>
        <w:rPr>
          <w:spacing w:val="-8"/>
          <w:sz w:val="20"/>
        </w:rPr>
        <w:t> </w:t>
      </w:r>
      <w:r>
        <w:rPr>
          <w:sz w:val="20"/>
        </w:rPr>
        <w:t>one</w:t>
      </w:r>
      <w:r>
        <w:rPr>
          <w:spacing w:val="-7"/>
          <w:sz w:val="20"/>
        </w:rPr>
        <w:t> </w:t>
      </w:r>
      <w:r>
        <w:rPr>
          <w:sz w:val="20"/>
        </w:rPr>
        <w:t>at</w:t>
      </w:r>
      <w:r>
        <w:rPr>
          <w:spacing w:val="-8"/>
          <w:sz w:val="20"/>
        </w:rPr>
        <w:t> </w:t>
      </w:r>
      <w:r>
        <w:rPr>
          <w:sz w:val="20"/>
        </w:rPr>
        <w:t>a</w:t>
      </w:r>
      <w:r>
        <w:rPr>
          <w:spacing w:val="-7"/>
          <w:sz w:val="20"/>
        </w:rPr>
        <w:t> </w:t>
      </w:r>
      <w:r>
        <w:rPr>
          <w:sz w:val="20"/>
        </w:rPr>
        <w:t>time,</w:t>
      </w:r>
      <w:r>
        <w:rPr>
          <w:spacing w:val="-8"/>
          <w:sz w:val="20"/>
        </w:rPr>
        <w:t> </w:t>
      </w:r>
      <w:r>
        <w:rPr>
          <w:sz w:val="20"/>
        </w:rPr>
        <w:t>or</w:t>
      </w:r>
      <w:r>
        <w:rPr>
          <w:spacing w:val="-7"/>
          <w:sz w:val="20"/>
        </w:rPr>
        <w:t> </w:t>
      </w:r>
      <w:r>
        <w:rPr>
          <w:sz w:val="20"/>
        </w:rPr>
        <w:t>to</w:t>
      </w:r>
      <w:r>
        <w:rPr>
          <w:spacing w:val="-8"/>
          <w:sz w:val="20"/>
        </w:rPr>
        <w:t> </w:t>
      </w:r>
      <w:r>
        <w:rPr>
          <w:spacing w:val="-3"/>
          <w:sz w:val="20"/>
        </w:rPr>
        <w:t>clearly</w:t>
      </w:r>
      <w:r>
        <w:rPr>
          <w:spacing w:val="-8"/>
          <w:sz w:val="20"/>
        </w:rPr>
        <w:t> </w:t>
      </w:r>
      <w:r>
        <w:rPr>
          <w:sz w:val="20"/>
        </w:rPr>
        <w:t>signal</w:t>
      </w:r>
      <w:r>
        <w:rPr>
          <w:spacing w:val="-7"/>
          <w:sz w:val="20"/>
        </w:rPr>
        <w:t> </w:t>
      </w:r>
      <w:r>
        <w:rPr>
          <w:sz w:val="20"/>
        </w:rPr>
        <w:t>that</w:t>
      </w:r>
      <w:r>
        <w:rPr>
          <w:spacing w:val="-8"/>
          <w:sz w:val="20"/>
        </w:rPr>
        <w:t> </w:t>
      </w:r>
      <w:r>
        <w:rPr>
          <w:sz w:val="20"/>
        </w:rPr>
        <w:t>the</w:t>
      </w:r>
      <w:r>
        <w:rPr>
          <w:spacing w:val="-7"/>
          <w:sz w:val="20"/>
        </w:rPr>
        <w:t> </w:t>
      </w:r>
      <w:r>
        <w:rPr>
          <w:sz w:val="20"/>
        </w:rPr>
        <w:t>deaf person’s</w:t>
      </w:r>
      <w:r>
        <w:rPr>
          <w:spacing w:val="-5"/>
          <w:sz w:val="20"/>
        </w:rPr>
        <w:t> </w:t>
      </w:r>
      <w:r>
        <w:rPr>
          <w:sz w:val="20"/>
        </w:rPr>
        <w:t>response</w:t>
      </w:r>
      <w:r>
        <w:rPr>
          <w:spacing w:val="-5"/>
          <w:sz w:val="20"/>
        </w:rPr>
        <w:t> </w:t>
      </w:r>
      <w:r>
        <w:rPr>
          <w:sz w:val="20"/>
        </w:rPr>
        <w:t>is</w:t>
      </w:r>
      <w:r>
        <w:rPr>
          <w:spacing w:val="-5"/>
          <w:sz w:val="20"/>
        </w:rPr>
        <w:t> </w:t>
      </w:r>
      <w:r>
        <w:rPr>
          <w:sz w:val="20"/>
        </w:rPr>
        <w:t>to</w:t>
      </w:r>
      <w:r>
        <w:rPr>
          <w:spacing w:val="-4"/>
          <w:sz w:val="20"/>
        </w:rPr>
        <w:t> </w:t>
      </w:r>
      <w:r>
        <w:rPr>
          <w:sz w:val="20"/>
        </w:rPr>
        <w:t>one</w:t>
      </w:r>
      <w:r>
        <w:rPr>
          <w:spacing w:val="-5"/>
          <w:sz w:val="20"/>
        </w:rPr>
        <w:t> </w:t>
      </w:r>
      <w:r>
        <w:rPr>
          <w:sz w:val="20"/>
        </w:rPr>
        <w:t>part</w:t>
      </w:r>
      <w:r>
        <w:rPr>
          <w:spacing w:val="-5"/>
          <w:sz w:val="20"/>
        </w:rPr>
        <w:t> </w:t>
      </w:r>
      <w:r>
        <w:rPr>
          <w:sz w:val="20"/>
        </w:rPr>
        <w:t>of</w:t>
      </w:r>
      <w:r>
        <w:rPr>
          <w:spacing w:val="-4"/>
          <w:sz w:val="20"/>
        </w:rPr>
        <w:t> </w:t>
      </w:r>
      <w:r>
        <w:rPr>
          <w:sz w:val="20"/>
        </w:rPr>
        <w:t>a</w:t>
      </w:r>
      <w:r>
        <w:rPr>
          <w:spacing w:val="-5"/>
          <w:sz w:val="20"/>
        </w:rPr>
        <w:t> </w:t>
      </w:r>
      <w:r>
        <w:rPr>
          <w:sz w:val="20"/>
        </w:rPr>
        <w:t>question</w:t>
      </w:r>
      <w:r>
        <w:rPr>
          <w:spacing w:val="-5"/>
          <w:sz w:val="20"/>
        </w:rPr>
        <w:t> only.</w:t>
      </w:r>
    </w:p>
    <w:p>
      <w:pPr>
        <w:pStyle w:val="ListParagraph"/>
        <w:numPr>
          <w:ilvl w:val="2"/>
          <w:numId w:val="12"/>
        </w:numPr>
        <w:tabs>
          <w:tab w:pos="2157" w:val="left" w:leader="none"/>
          <w:tab w:pos="2158" w:val="left" w:leader="none"/>
        </w:tabs>
        <w:spacing w:line="240" w:lineRule="auto" w:before="56" w:after="0"/>
        <w:ind w:left="2157" w:right="0" w:hanging="396"/>
        <w:jc w:val="left"/>
        <w:rPr>
          <w:sz w:val="20"/>
        </w:rPr>
      </w:pPr>
      <w:r>
        <w:rPr>
          <w:sz w:val="20"/>
        </w:rPr>
        <w:t>It</w:t>
      </w:r>
      <w:r>
        <w:rPr>
          <w:spacing w:val="-6"/>
          <w:sz w:val="20"/>
        </w:rPr>
        <w:t> </w:t>
      </w:r>
      <w:r>
        <w:rPr>
          <w:sz w:val="20"/>
        </w:rPr>
        <w:t>can</w:t>
      </w:r>
      <w:r>
        <w:rPr>
          <w:spacing w:val="-6"/>
          <w:sz w:val="20"/>
        </w:rPr>
        <w:t> </w:t>
      </w:r>
      <w:r>
        <w:rPr>
          <w:sz w:val="20"/>
        </w:rPr>
        <w:t>be</w:t>
      </w:r>
      <w:r>
        <w:rPr>
          <w:spacing w:val="-6"/>
          <w:sz w:val="20"/>
        </w:rPr>
        <w:t> </w:t>
      </w:r>
      <w:r>
        <w:rPr>
          <w:sz w:val="20"/>
        </w:rPr>
        <w:t>difficult</w:t>
      </w:r>
      <w:r>
        <w:rPr>
          <w:spacing w:val="-6"/>
          <w:sz w:val="20"/>
        </w:rPr>
        <w:t> </w:t>
      </w:r>
      <w:r>
        <w:rPr>
          <w:sz w:val="20"/>
        </w:rPr>
        <w:t>to</w:t>
      </w:r>
      <w:r>
        <w:rPr>
          <w:spacing w:val="-5"/>
          <w:sz w:val="20"/>
        </w:rPr>
        <w:t> </w:t>
      </w:r>
      <w:r>
        <w:rPr>
          <w:sz w:val="20"/>
        </w:rPr>
        <w:t>translate</w:t>
      </w:r>
      <w:r>
        <w:rPr>
          <w:spacing w:val="-6"/>
          <w:sz w:val="20"/>
        </w:rPr>
        <w:t> </w:t>
      </w:r>
      <w:r>
        <w:rPr>
          <w:sz w:val="20"/>
        </w:rPr>
        <w:t>an</w:t>
      </w:r>
      <w:r>
        <w:rPr>
          <w:spacing w:val="-6"/>
          <w:sz w:val="20"/>
        </w:rPr>
        <w:t> </w:t>
      </w:r>
      <w:r>
        <w:rPr>
          <w:sz w:val="20"/>
        </w:rPr>
        <w:t>action</w:t>
      </w:r>
      <w:r>
        <w:rPr>
          <w:spacing w:val="-6"/>
          <w:sz w:val="20"/>
        </w:rPr>
        <w:t> </w:t>
      </w:r>
      <w:r>
        <w:rPr>
          <w:sz w:val="20"/>
        </w:rPr>
        <w:t>or</w:t>
      </w:r>
      <w:r>
        <w:rPr>
          <w:spacing w:val="-6"/>
          <w:sz w:val="20"/>
        </w:rPr>
        <w:t> </w:t>
      </w:r>
      <w:r>
        <w:rPr>
          <w:sz w:val="20"/>
        </w:rPr>
        <w:t>spatial</w:t>
      </w:r>
      <w:r>
        <w:rPr>
          <w:spacing w:val="-6"/>
          <w:sz w:val="20"/>
        </w:rPr>
        <w:t> </w:t>
      </w:r>
      <w:r>
        <w:rPr>
          <w:sz w:val="20"/>
        </w:rPr>
        <w:t>relationship</w:t>
      </w:r>
      <w:r>
        <w:rPr>
          <w:spacing w:val="-5"/>
          <w:sz w:val="20"/>
        </w:rPr>
        <w:t> </w:t>
      </w:r>
      <w:r>
        <w:rPr>
          <w:spacing w:val="-3"/>
          <w:sz w:val="20"/>
        </w:rPr>
        <w:t>into</w:t>
      </w:r>
      <w:r>
        <w:rPr>
          <w:spacing w:val="-6"/>
          <w:sz w:val="20"/>
        </w:rPr>
        <w:t> </w:t>
      </w:r>
      <w:r>
        <w:rPr>
          <w:sz w:val="20"/>
        </w:rPr>
        <w:t>Auslan.</w:t>
      </w:r>
      <w:r>
        <w:rPr>
          <w:position w:val="7"/>
          <w:sz w:val="11"/>
        </w:rPr>
        <w:t>49</w:t>
      </w:r>
    </w:p>
    <w:p>
      <w:pPr>
        <w:pStyle w:val="ListParagraph"/>
        <w:numPr>
          <w:ilvl w:val="1"/>
          <w:numId w:val="12"/>
        </w:numPr>
        <w:tabs>
          <w:tab w:pos="1761" w:val="left" w:leader="none"/>
          <w:tab w:pos="1762" w:val="left" w:leader="none"/>
        </w:tabs>
        <w:spacing w:line="206" w:lineRule="auto" w:before="80" w:after="0"/>
        <w:ind w:left="1761" w:right="1457" w:hanging="794"/>
        <w:jc w:val="left"/>
        <w:rPr>
          <w:sz w:val="11"/>
        </w:rPr>
      </w:pPr>
      <w:r>
        <w:rPr>
          <w:sz w:val="20"/>
        </w:rPr>
        <w:t>Goswell also noted that continuity of communication choices among Auslan </w:t>
      </w:r>
      <w:r>
        <w:rPr>
          <w:spacing w:val="-3"/>
          <w:sz w:val="20"/>
        </w:rPr>
        <w:t>interpreters</w:t>
      </w:r>
      <w:r>
        <w:rPr>
          <w:spacing w:val="-11"/>
          <w:sz w:val="20"/>
        </w:rPr>
        <w:t> </w:t>
      </w:r>
      <w:r>
        <w:rPr>
          <w:sz w:val="20"/>
        </w:rPr>
        <w:t>is</w:t>
      </w:r>
      <w:r>
        <w:rPr>
          <w:spacing w:val="-10"/>
          <w:sz w:val="20"/>
        </w:rPr>
        <w:t> </w:t>
      </w:r>
      <w:r>
        <w:rPr>
          <w:sz w:val="20"/>
        </w:rPr>
        <w:t>important.</w:t>
      </w:r>
      <w:r>
        <w:rPr>
          <w:spacing w:val="-10"/>
          <w:sz w:val="20"/>
        </w:rPr>
        <w:t> </w:t>
      </w:r>
      <w:r>
        <w:rPr>
          <w:sz w:val="20"/>
        </w:rPr>
        <w:t>Sometimes</w:t>
      </w:r>
      <w:r>
        <w:rPr>
          <w:spacing w:val="-11"/>
          <w:sz w:val="20"/>
        </w:rPr>
        <w:t> </w:t>
      </w:r>
      <w:r>
        <w:rPr>
          <w:sz w:val="20"/>
        </w:rPr>
        <w:t>a</w:t>
      </w:r>
      <w:r>
        <w:rPr>
          <w:spacing w:val="-10"/>
          <w:sz w:val="20"/>
        </w:rPr>
        <w:t> </w:t>
      </w:r>
      <w:r>
        <w:rPr>
          <w:sz w:val="20"/>
        </w:rPr>
        <w:t>new</w:t>
      </w:r>
      <w:r>
        <w:rPr>
          <w:spacing w:val="-10"/>
          <w:sz w:val="20"/>
        </w:rPr>
        <w:t> </w:t>
      </w:r>
      <w:r>
        <w:rPr>
          <w:spacing w:val="-3"/>
          <w:sz w:val="20"/>
        </w:rPr>
        <w:t>interpreter</w:t>
      </w:r>
      <w:r>
        <w:rPr>
          <w:spacing w:val="-10"/>
          <w:sz w:val="20"/>
        </w:rPr>
        <w:t> </w:t>
      </w:r>
      <w:r>
        <w:rPr>
          <w:sz w:val="20"/>
        </w:rPr>
        <w:t>will</w:t>
      </w:r>
      <w:r>
        <w:rPr>
          <w:spacing w:val="-11"/>
          <w:sz w:val="20"/>
        </w:rPr>
        <w:t> </w:t>
      </w:r>
      <w:r>
        <w:rPr>
          <w:sz w:val="20"/>
        </w:rPr>
        <w:t>use</w:t>
      </w:r>
      <w:r>
        <w:rPr>
          <w:spacing w:val="-10"/>
          <w:sz w:val="20"/>
        </w:rPr>
        <w:t> </w:t>
      </w:r>
      <w:r>
        <w:rPr>
          <w:sz w:val="20"/>
        </w:rPr>
        <w:t>a</w:t>
      </w:r>
      <w:r>
        <w:rPr>
          <w:spacing w:val="-10"/>
          <w:sz w:val="20"/>
        </w:rPr>
        <w:t> </w:t>
      </w:r>
      <w:r>
        <w:rPr>
          <w:sz w:val="20"/>
        </w:rPr>
        <w:t>different</w:t>
      </w:r>
      <w:r>
        <w:rPr>
          <w:spacing w:val="-11"/>
          <w:sz w:val="20"/>
        </w:rPr>
        <w:t> </w:t>
      </w:r>
      <w:r>
        <w:rPr>
          <w:sz w:val="20"/>
        </w:rPr>
        <w:t>sign</w:t>
      </w:r>
      <w:r>
        <w:rPr>
          <w:spacing w:val="-10"/>
          <w:sz w:val="20"/>
        </w:rPr>
        <w:t> </w:t>
      </w:r>
      <w:r>
        <w:rPr>
          <w:sz w:val="20"/>
        </w:rPr>
        <w:t>variant or </w:t>
      </w:r>
      <w:r>
        <w:rPr>
          <w:spacing w:val="-3"/>
          <w:sz w:val="20"/>
        </w:rPr>
        <w:t>representation </w:t>
      </w:r>
      <w:r>
        <w:rPr>
          <w:sz w:val="20"/>
        </w:rPr>
        <w:t>of something that has been discussed and established </w:t>
      </w:r>
      <w:r>
        <w:rPr>
          <w:spacing w:val="-4"/>
          <w:sz w:val="20"/>
        </w:rPr>
        <w:t>previously, </w:t>
      </w:r>
      <w:r>
        <w:rPr>
          <w:sz w:val="20"/>
        </w:rPr>
        <w:t>causing</w:t>
      </w:r>
      <w:r>
        <w:rPr>
          <w:spacing w:val="-5"/>
          <w:sz w:val="20"/>
        </w:rPr>
        <w:t> </w:t>
      </w:r>
      <w:r>
        <w:rPr>
          <w:sz w:val="20"/>
        </w:rPr>
        <w:t>confusion.</w:t>
      </w:r>
      <w:r>
        <w:rPr>
          <w:position w:val="7"/>
          <w:sz w:val="11"/>
        </w:rPr>
        <w:t>50</w:t>
      </w:r>
    </w:p>
    <w:p>
      <w:pPr>
        <w:pStyle w:val="ListParagraph"/>
        <w:numPr>
          <w:ilvl w:val="1"/>
          <w:numId w:val="12"/>
        </w:numPr>
        <w:tabs>
          <w:tab w:pos="1761" w:val="left" w:leader="none"/>
          <w:tab w:pos="1762" w:val="left" w:leader="none"/>
        </w:tabs>
        <w:spacing w:line="206" w:lineRule="auto" w:before="125" w:after="0"/>
        <w:ind w:left="1761" w:right="1450" w:hanging="794"/>
        <w:jc w:val="left"/>
        <w:rPr>
          <w:sz w:val="20"/>
        </w:rPr>
      </w:pPr>
      <w:r>
        <w:rPr>
          <w:sz w:val="20"/>
        </w:rPr>
        <w:t>Because of the extensive training and certification requirements that already exist for Auslan </w:t>
      </w:r>
      <w:r>
        <w:rPr>
          <w:spacing w:val="-3"/>
          <w:sz w:val="20"/>
        </w:rPr>
        <w:t>interpreters, </w:t>
      </w:r>
      <w:r>
        <w:rPr>
          <w:sz w:val="20"/>
        </w:rPr>
        <w:t>the Commission does not believe that additional training for this</w:t>
      </w:r>
      <w:r>
        <w:rPr>
          <w:spacing w:val="-10"/>
          <w:sz w:val="20"/>
        </w:rPr>
        <w:t> </w:t>
      </w:r>
      <w:r>
        <w:rPr>
          <w:spacing w:val="-3"/>
          <w:sz w:val="20"/>
        </w:rPr>
        <w:t>role</w:t>
      </w:r>
      <w:r>
        <w:rPr>
          <w:spacing w:val="-9"/>
          <w:sz w:val="20"/>
        </w:rPr>
        <w:t> </w:t>
      </w:r>
      <w:r>
        <w:rPr>
          <w:sz w:val="20"/>
        </w:rPr>
        <w:t>should</w:t>
      </w:r>
      <w:r>
        <w:rPr>
          <w:spacing w:val="-9"/>
          <w:sz w:val="20"/>
        </w:rPr>
        <w:t> </w:t>
      </w:r>
      <w:r>
        <w:rPr>
          <w:sz w:val="20"/>
        </w:rPr>
        <w:t>be</w:t>
      </w:r>
      <w:r>
        <w:rPr>
          <w:spacing w:val="-10"/>
          <w:sz w:val="20"/>
        </w:rPr>
        <w:t> </w:t>
      </w:r>
      <w:r>
        <w:rPr>
          <w:sz w:val="20"/>
        </w:rPr>
        <w:t>onerous.</w:t>
      </w:r>
      <w:r>
        <w:rPr>
          <w:spacing w:val="-9"/>
          <w:sz w:val="20"/>
        </w:rPr>
        <w:t> </w:t>
      </w:r>
      <w:r>
        <w:rPr>
          <w:sz w:val="20"/>
        </w:rPr>
        <w:t>Auslan</w:t>
      </w:r>
      <w:r>
        <w:rPr>
          <w:spacing w:val="-9"/>
          <w:sz w:val="20"/>
        </w:rPr>
        <w:t> </w:t>
      </w:r>
      <w:r>
        <w:rPr>
          <w:spacing w:val="-3"/>
          <w:sz w:val="20"/>
        </w:rPr>
        <w:t>interpreters</w:t>
      </w:r>
      <w:r>
        <w:rPr>
          <w:spacing w:val="-10"/>
          <w:sz w:val="20"/>
        </w:rPr>
        <w:t> </w:t>
      </w:r>
      <w:r>
        <w:rPr>
          <w:sz w:val="20"/>
        </w:rPr>
        <w:t>for</w:t>
      </w:r>
      <w:r>
        <w:rPr>
          <w:spacing w:val="-9"/>
          <w:sz w:val="20"/>
        </w:rPr>
        <w:t> </w:t>
      </w:r>
      <w:r>
        <w:rPr>
          <w:sz w:val="20"/>
        </w:rPr>
        <w:t>jurors</w:t>
      </w:r>
      <w:r>
        <w:rPr>
          <w:spacing w:val="-9"/>
          <w:sz w:val="20"/>
        </w:rPr>
        <w:t> </w:t>
      </w:r>
      <w:r>
        <w:rPr>
          <w:sz w:val="20"/>
        </w:rPr>
        <w:t>will</w:t>
      </w:r>
      <w:r>
        <w:rPr>
          <w:spacing w:val="-10"/>
          <w:sz w:val="20"/>
        </w:rPr>
        <w:t> </w:t>
      </w:r>
      <w:r>
        <w:rPr>
          <w:sz w:val="20"/>
        </w:rPr>
        <w:t>need</w:t>
      </w:r>
      <w:r>
        <w:rPr>
          <w:spacing w:val="-9"/>
          <w:sz w:val="20"/>
        </w:rPr>
        <w:t> </w:t>
      </w:r>
      <w:r>
        <w:rPr>
          <w:sz w:val="20"/>
        </w:rPr>
        <w:t>to</w:t>
      </w:r>
      <w:r>
        <w:rPr>
          <w:spacing w:val="-9"/>
          <w:sz w:val="20"/>
        </w:rPr>
        <w:t> </w:t>
      </w:r>
      <w:r>
        <w:rPr>
          <w:sz w:val="20"/>
        </w:rPr>
        <w:t>understand</w:t>
      </w:r>
      <w:r>
        <w:rPr>
          <w:spacing w:val="-10"/>
          <w:sz w:val="20"/>
        </w:rPr>
        <w:t> </w:t>
      </w:r>
      <w:r>
        <w:rPr>
          <w:sz w:val="20"/>
        </w:rPr>
        <w:t>the unique characteristics of the </w:t>
      </w:r>
      <w:r>
        <w:rPr>
          <w:spacing w:val="-3"/>
          <w:sz w:val="20"/>
        </w:rPr>
        <w:t>role,</w:t>
      </w:r>
      <w:r>
        <w:rPr>
          <w:spacing w:val="-24"/>
          <w:sz w:val="20"/>
        </w:rPr>
        <w:t> </w:t>
      </w:r>
      <w:r>
        <w:rPr>
          <w:sz w:val="20"/>
        </w:rPr>
        <w:t>including:</w:t>
      </w:r>
    </w:p>
    <w:p>
      <w:pPr>
        <w:pStyle w:val="ListParagraph"/>
        <w:numPr>
          <w:ilvl w:val="2"/>
          <w:numId w:val="12"/>
        </w:numPr>
        <w:tabs>
          <w:tab w:pos="2157" w:val="left" w:leader="none"/>
          <w:tab w:pos="2158" w:val="left" w:leader="none"/>
        </w:tabs>
        <w:spacing w:line="240" w:lineRule="auto" w:before="93" w:after="0"/>
        <w:ind w:left="2157" w:right="0" w:hanging="396"/>
        <w:jc w:val="left"/>
        <w:rPr>
          <w:sz w:val="20"/>
        </w:rPr>
      </w:pPr>
      <w:r>
        <w:rPr>
          <w:sz w:val="20"/>
        </w:rPr>
        <w:t>knowledge</w:t>
      </w:r>
      <w:r>
        <w:rPr>
          <w:spacing w:val="-17"/>
          <w:sz w:val="20"/>
        </w:rPr>
        <w:t> </w:t>
      </w:r>
      <w:r>
        <w:rPr>
          <w:sz w:val="20"/>
        </w:rPr>
        <w:t>of</w:t>
      </w:r>
      <w:r>
        <w:rPr>
          <w:spacing w:val="-17"/>
          <w:sz w:val="20"/>
        </w:rPr>
        <w:t> </w:t>
      </w:r>
      <w:r>
        <w:rPr>
          <w:sz w:val="20"/>
        </w:rPr>
        <w:t>court</w:t>
      </w:r>
      <w:r>
        <w:rPr>
          <w:spacing w:val="-17"/>
          <w:sz w:val="20"/>
        </w:rPr>
        <w:t> </w:t>
      </w:r>
      <w:r>
        <w:rPr>
          <w:sz w:val="20"/>
        </w:rPr>
        <w:t>processes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understanding</w:t>
      </w:r>
      <w:r>
        <w:rPr>
          <w:spacing w:val="-24"/>
          <w:sz w:val="20"/>
        </w:rPr>
        <w:t> </w:t>
      </w:r>
      <w:r>
        <w:rPr>
          <w:sz w:val="20"/>
        </w:rPr>
        <w:t>legal</w:t>
      </w:r>
      <w:r>
        <w:rPr>
          <w:spacing w:val="-23"/>
          <w:sz w:val="20"/>
        </w:rPr>
        <w:t> </w:t>
      </w:r>
      <w:r>
        <w:rPr>
          <w:sz w:val="20"/>
        </w:rPr>
        <w:t>language</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understanding their duties to the</w:t>
      </w:r>
      <w:r>
        <w:rPr>
          <w:spacing w:val="-22"/>
          <w:sz w:val="20"/>
        </w:rPr>
        <w:t> </w:t>
      </w:r>
      <w:r>
        <w:rPr>
          <w:sz w:val="20"/>
        </w:rPr>
        <w:t>court</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pacing w:val="-3"/>
          <w:sz w:val="20"/>
        </w:rPr>
        <w:t>only </w:t>
      </w:r>
      <w:r>
        <w:rPr>
          <w:sz w:val="20"/>
        </w:rPr>
        <w:t>answering questions asked of the</w:t>
      </w:r>
      <w:r>
        <w:rPr>
          <w:spacing w:val="-24"/>
          <w:sz w:val="20"/>
        </w:rPr>
        <w:t> </w:t>
      </w:r>
      <w:r>
        <w:rPr>
          <w:sz w:val="20"/>
        </w:rPr>
        <w:t>juror</w:t>
      </w:r>
    </w:p>
    <w:p>
      <w:pPr>
        <w:pStyle w:val="ListParagraph"/>
        <w:numPr>
          <w:ilvl w:val="2"/>
          <w:numId w:val="12"/>
        </w:numPr>
        <w:tabs>
          <w:tab w:pos="2157" w:val="left" w:leader="none"/>
          <w:tab w:pos="2158" w:val="left" w:leader="none"/>
        </w:tabs>
        <w:spacing w:line="206" w:lineRule="auto" w:before="80" w:after="0"/>
        <w:ind w:left="2157" w:right="1248" w:hanging="396"/>
        <w:jc w:val="left"/>
        <w:rPr>
          <w:sz w:val="20"/>
        </w:rPr>
      </w:pPr>
      <w:r>
        <w:rPr>
          <w:sz w:val="20"/>
        </w:rPr>
        <w:t>anticipating</w:t>
      </w:r>
      <w:r>
        <w:rPr>
          <w:spacing w:val="-13"/>
          <w:sz w:val="20"/>
        </w:rPr>
        <w:t> </w:t>
      </w:r>
      <w:r>
        <w:rPr>
          <w:sz w:val="20"/>
        </w:rPr>
        <w:t>what</w:t>
      </w:r>
      <w:r>
        <w:rPr>
          <w:spacing w:val="-13"/>
          <w:sz w:val="20"/>
        </w:rPr>
        <w:t> </w:t>
      </w:r>
      <w:r>
        <w:rPr>
          <w:sz w:val="20"/>
        </w:rPr>
        <w:t>might</w:t>
      </w:r>
      <w:r>
        <w:rPr>
          <w:spacing w:val="-12"/>
          <w:sz w:val="20"/>
        </w:rPr>
        <w:t> </w:t>
      </w:r>
      <w:r>
        <w:rPr>
          <w:sz w:val="20"/>
        </w:rPr>
        <w:t>happen</w:t>
      </w:r>
      <w:r>
        <w:rPr>
          <w:spacing w:val="-13"/>
          <w:sz w:val="20"/>
        </w:rPr>
        <w:t> </w:t>
      </w:r>
      <w:r>
        <w:rPr>
          <w:sz w:val="20"/>
        </w:rPr>
        <w:t>in</w:t>
      </w:r>
      <w:r>
        <w:rPr>
          <w:spacing w:val="-12"/>
          <w:sz w:val="20"/>
        </w:rPr>
        <w:t> </w:t>
      </w:r>
      <w:r>
        <w:rPr>
          <w:sz w:val="20"/>
        </w:rPr>
        <w:t>a</w:t>
      </w:r>
      <w:r>
        <w:rPr>
          <w:spacing w:val="-13"/>
          <w:sz w:val="20"/>
        </w:rPr>
        <w:t> </w:t>
      </w:r>
      <w:r>
        <w:rPr>
          <w:sz w:val="20"/>
        </w:rPr>
        <w:t>deliberation</w:t>
      </w:r>
      <w:r>
        <w:rPr>
          <w:spacing w:val="-12"/>
          <w:sz w:val="20"/>
        </w:rPr>
        <w:t> </w:t>
      </w:r>
      <w:r>
        <w:rPr>
          <w:sz w:val="20"/>
        </w:rPr>
        <w:t>process</w:t>
      </w:r>
      <w:r>
        <w:rPr>
          <w:spacing w:val="-13"/>
          <w:sz w:val="20"/>
        </w:rPr>
        <w:t> </w:t>
      </w:r>
      <w:r>
        <w:rPr>
          <w:sz w:val="20"/>
        </w:rPr>
        <w:t>(such</w:t>
      </w:r>
      <w:r>
        <w:rPr>
          <w:spacing w:val="-13"/>
          <w:sz w:val="20"/>
        </w:rPr>
        <w:t> </w:t>
      </w:r>
      <w:r>
        <w:rPr>
          <w:sz w:val="20"/>
        </w:rPr>
        <w:t>as</w:t>
      </w:r>
      <w:r>
        <w:rPr>
          <w:spacing w:val="-12"/>
          <w:sz w:val="20"/>
        </w:rPr>
        <w:t> </w:t>
      </w:r>
      <w:r>
        <w:rPr>
          <w:sz w:val="20"/>
        </w:rPr>
        <w:t>what</w:t>
      </w:r>
      <w:r>
        <w:rPr>
          <w:spacing w:val="-13"/>
          <w:sz w:val="20"/>
        </w:rPr>
        <w:t> </w:t>
      </w:r>
      <w:r>
        <w:rPr>
          <w:sz w:val="20"/>
        </w:rPr>
        <w:t>happens</w:t>
      </w:r>
      <w:r>
        <w:rPr>
          <w:spacing w:val="-12"/>
          <w:sz w:val="20"/>
        </w:rPr>
        <w:t> </w:t>
      </w:r>
      <w:r>
        <w:rPr>
          <w:sz w:val="20"/>
        </w:rPr>
        <w:t>at lunch)</w:t>
      </w:r>
    </w:p>
    <w:p>
      <w:pPr>
        <w:pStyle w:val="ListParagraph"/>
        <w:numPr>
          <w:ilvl w:val="2"/>
          <w:numId w:val="12"/>
        </w:numPr>
        <w:tabs>
          <w:tab w:pos="2157" w:val="left" w:leader="none"/>
          <w:tab w:pos="2158" w:val="left" w:leader="none"/>
        </w:tabs>
        <w:spacing w:line="206" w:lineRule="auto" w:before="88" w:after="0"/>
        <w:ind w:left="2157" w:right="2174" w:hanging="396"/>
        <w:jc w:val="left"/>
        <w:rPr>
          <w:sz w:val="20"/>
        </w:rPr>
      </w:pPr>
      <w:r>
        <w:rPr>
          <w:sz w:val="20"/>
        </w:rPr>
        <w:t>what</w:t>
      </w:r>
      <w:r>
        <w:rPr>
          <w:spacing w:val="-9"/>
          <w:sz w:val="20"/>
        </w:rPr>
        <w:t> </w:t>
      </w:r>
      <w:r>
        <w:rPr>
          <w:sz w:val="20"/>
        </w:rPr>
        <w:t>to</w:t>
      </w:r>
      <w:r>
        <w:rPr>
          <w:spacing w:val="-8"/>
          <w:sz w:val="20"/>
        </w:rPr>
        <w:t> </w:t>
      </w:r>
      <w:r>
        <w:rPr>
          <w:sz w:val="20"/>
        </w:rPr>
        <w:t>do</w:t>
      </w:r>
      <w:r>
        <w:rPr>
          <w:spacing w:val="-8"/>
          <w:sz w:val="20"/>
        </w:rPr>
        <w:t> </w:t>
      </w:r>
      <w:r>
        <w:rPr>
          <w:sz w:val="20"/>
        </w:rPr>
        <w:t>if</w:t>
      </w:r>
      <w:r>
        <w:rPr>
          <w:spacing w:val="-9"/>
          <w:sz w:val="20"/>
        </w:rPr>
        <w:t> </w:t>
      </w:r>
      <w:r>
        <w:rPr>
          <w:sz w:val="20"/>
        </w:rPr>
        <w:t>the</w:t>
      </w:r>
      <w:r>
        <w:rPr>
          <w:spacing w:val="-8"/>
          <w:sz w:val="20"/>
        </w:rPr>
        <w:t> </w:t>
      </w:r>
      <w:r>
        <w:rPr>
          <w:sz w:val="20"/>
        </w:rPr>
        <w:t>Auslan</w:t>
      </w:r>
      <w:r>
        <w:rPr>
          <w:spacing w:val="-8"/>
          <w:sz w:val="20"/>
        </w:rPr>
        <w:t> </w:t>
      </w:r>
      <w:r>
        <w:rPr>
          <w:spacing w:val="-3"/>
          <w:sz w:val="20"/>
        </w:rPr>
        <w:t>interpreter</w:t>
      </w:r>
      <w:r>
        <w:rPr>
          <w:spacing w:val="-9"/>
          <w:sz w:val="20"/>
        </w:rPr>
        <w:t> </w:t>
      </w:r>
      <w:r>
        <w:rPr>
          <w:sz w:val="20"/>
        </w:rPr>
        <w:t>has</w:t>
      </w:r>
      <w:r>
        <w:rPr>
          <w:spacing w:val="-8"/>
          <w:sz w:val="20"/>
        </w:rPr>
        <w:t> </w:t>
      </w:r>
      <w:r>
        <w:rPr>
          <w:sz w:val="20"/>
        </w:rPr>
        <w:t>questions</w:t>
      </w:r>
      <w:r>
        <w:rPr>
          <w:spacing w:val="-8"/>
          <w:sz w:val="20"/>
        </w:rPr>
        <w:t> </w:t>
      </w:r>
      <w:r>
        <w:rPr>
          <w:sz w:val="20"/>
        </w:rPr>
        <w:t>about</w:t>
      </w:r>
      <w:r>
        <w:rPr>
          <w:spacing w:val="-9"/>
          <w:sz w:val="20"/>
        </w:rPr>
        <w:t> </w:t>
      </w:r>
      <w:r>
        <w:rPr>
          <w:sz w:val="20"/>
        </w:rPr>
        <w:t>the</w:t>
      </w:r>
      <w:r>
        <w:rPr>
          <w:spacing w:val="-8"/>
          <w:sz w:val="20"/>
        </w:rPr>
        <w:t> </w:t>
      </w:r>
      <w:r>
        <w:rPr>
          <w:sz w:val="20"/>
        </w:rPr>
        <w:t>process</w:t>
      </w:r>
      <w:r>
        <w:rPr>
          <w:spacing w:val="-8"/>
          <w:sz w:val="20"/>
        </w:rPr>
        <w:t> </w:t>
      </w:r>
      <w:r>
        <w:rPr>
          <w:sz w:val="20"/>
        </w:rPr>
        <w:t>or</w:t>
      </w:r>
      <w:r>
        <w:rPr>
          <w:spacing w:val="-9"/>
          <w:sz w:val="20"/>
        </w:rPr>
        <w:t> </w:t>
      </w:r>
      <w:r>
        <w:rPr>
          <w:sz w:val="20"/>
        </w:rPr>
        <w:t>is concerned that the juror is not</w:t>
      </w:r>
      <w:r>
        <w:rPr>
          <w:spacing w:val="-31"/>
          <w:sz w:val="20"/>
        </w:rPr>
        <w:t> </w:t>
      </w:r>
      <w:r>
        <w:rPr>
          <w:sz w:val="20"/>
        </w:rPr>
        <w:t>understanding</w:t>
      </w:r>
    </w:p>
    <w:p>
      <w:pPr>
        <w:pStyle w:val="ListParagraph"/>
        <w:numPr>
          <w:ilvl w:val="2"/>
          <w:numId w:val="12"/>
        </w:numPr>
        <w:tabs>
          <w:tab w:pos="2157" w:val="left" w:leader="none"/>
          <w:tab w:pos="2158" w:val="left" w:leader="none"/>
        </w:tabs>
        <w:spacing w:line="206" w:lineRule="auto" w:before="87" w:after="0"/>
        <w:ind w:left="2157" w:right="1361" w:hanging="396"/>
        <w:jc w:val="left"/>
        <w:rPr>
          <w:sz w:val="20"/>
        </w:rPr>
      </w:pPr>
      <w:r>
        <w:rPr>
          <w:sz w:val="20"/>
        </w:rPr>
        <w:t>what</w:t>
      </w:r>
      <w:r>
        <w:rPr>
          <w:spacing w:val="-9"/>
          <w:sz w:val="20"/>
        </w:rPr>
        <w:t> </w:t>
      </w:r>
      <w:r>
        <w:rPr>
          <w:sz w:val="20"/>
        </w:rPr>
        <w:t>to</w:t>
      </w:r>
      <w:r>
        <w:rPr>
          <w:spacing w:val="-9"/>
          <w:sz w:val="20"/>
        </w:rPr>
        <w:t> </w:t>
      </w:r>
      <w:r>
        <w:rPr>
          <w:sz w:val="20"/>
        </w:rPr>
        <w:t>do</w:t>
      </w:r>
      <w:r>
        <w:rPr>
          <w:spacing w:val="-9"/>
          <w:sz w:val="20"/>
        </w:rPr>
        <w:t> </w:t>
      </w:r>
      <w:r>
        <w:rPr>
          <w:sz w:val="20"/>
        </w:rPr>
        <w:t>if</w:t>
      </w:r>
      <w:r>
        <w:rPr>
          <w:spacing w:val="-9"/>
          <w:sz w:val="20"/>
        </w:rPr>
        <w:t> </w:t>
      </w:r>
      <w:r>
        <w:rPr>
          <w:sz w:val="20"/>
        </w:rPr>
        <w:t>the</w:t>
      </w:r>
      <w:r>
        <w:rPr>
          <w:spacing w:val="-8"/>
          <w:sz w:val="20"/>
        </w:rPr>
        <w:t> </w:t>
      </w:r>
      <w:r>
        <w:rPr>
          <w:sz w:val="20"/>
        </w:rPr>
        <w:t>juror</w:t>
      </w:r>
      <w:r>
        <w:rPr>
          <w:spacing w:val="-9"/>
          <w:sz w:val="20"/>
        </w:rPr>
        <w:t> </w:t>
      </w:r>
      <w:r>
        <w:rPr>
          <w:spacing w:val="-3"/>
          <w:sz w:val="20"/>
        </w:rPr>
        <w:t>(or</w:t>
      </w:r>
      <w:r>
        <w:rPr>
          <w:spacing w:val="-9"/>
          <w:sz w:val="20"/>
        </w:rPr>
        <w:t> </w:t>
      </w:r>
      <w:r>
        <w:rPr>
          <w:sz w:val="20"/>
        </w:rPr>
        <w:t>another</w:t>
      </w:r>
      <w:r>
        <w:rPr>
          <w:spacing w:val="-9"/>
          <w:sz w:val="20"/>
        </w:rPr>
        <w:t> </w:t>
      </w:r>
      <w:r>
        <w:rPr>
          <w:spacing w:val="-3"/>
          <w:sz w:val="20"/>
        </w:rPr>
        <w:t>juror)</w:t>
      </w:r>
      <w:r>
        <w:rPr>
          <w:spacing w:val="-9"/>
          <w:sz w:val="20"/>
        </w:rPr>
        <w:t> </w:t>
      </w:r>
      <w:r>
        <w:rPr>
          <w:sz w:val="20"/>
        </w:rPr>
        <w:t>asks</w:t>
      </w:r>
      <w:r>
        <w:rPr>
          <w:spacing w:val="-8"/>
          <w:sz w:val="20"/>
        </w:rPr>
        <w:t> </w:t>
      </w:r>
      <w:r>
        <w:rPr>
          <w:sz w:val="20"/>
        </w:rPr>
        <w:t>them</w:t>
      </w:r>
      <w:r>
        <w:rPr>
          <w:spacing w:val="-9"/>
          <w:sz w:val="20"/>
        </w:rPr>
        <w:t> </w:t>
      </w:r>
      <w:r>
        <w:rPr>
          <w:sz w:val="20"/>
        </w:rPr>
        <w:t>questions</w:t>
      </w:r>
      <w:r>
        <w:rPr>
          <w:spacing w:val="-9"/>
          <w:sz w:val="20"/>
        </w:rPr>
        <w:t> </w:t>
      </w:r>
      <w:r>
        <w:rPr>
          <w:sz w:val="20"/>
        </w:rPr>
        <w:t>about</w:t>
      </w:r>
      <w:r>
        <w:rPr>
          <w:spacing w:val="-9"/>
          <w:sz w:val="20"/>
        </w:rPr>
        <w:t> </w:t>
      </w:r>
      <w:r>
        <w:rPr>
          <w:sz w:val="20"/>
        </w:rPr>
        <w:t>the</w:t>
      </w:r>
      <w:r>
        <w:rPr>
          <w:spacing w:val="-9"/>
          <w:sz w:val="20"/>
        </w:rPr>
        <w:t> </w:t>
      </w:r>
      <w:r>
        <w:rPr>
          <w:sz w:val="20"/>
        </w:rPr>
        <w:t>trial</w:t>
      </w:r>
      <w:r>
        <w:rPr>
          <w:spacing w:val="-8"/>
          <w:sz w:val="20"/>
        </w:rPr>
        <w:t> </w:t>
      </w:r>
      <w:r>
        <w:rPr>
          <w:sz w:val="20"/>
        </w:rPr>
        <w:t>or</w:t>
      </w:r>
      <w:r>
        <w:rPr>
          <w:spacing w:val="-9"/>
          <w:sz w:val="20"/>
        </w:rPr>
        <w:t> </w:t>
      </w:r>
      <w:r>
        <w:rPr>
          <w:sz w:val="20"/>
        </w:rPr>
        <w:t>tries to discuss the </w:t>
      </w:r>
      <w:r>
        <w:rPr>
          <w:spacing w:val="-3"/>
          <w:sz w:val="20"/>
        </w:rPr>
        <w:t>verdict </w:t>
      </w:r>
      <w:r>
        <w:rPr>
          <w:sz w:val="20"/>
        </w:rPr>
        <w:t>with the</w:t>
      </w:r>
      <w:r>
        <w:rPr>
          <w:spacing w:val="-23"/>
          <w:sz w:val="20"/>
        </w:rPr>
        <w:t> </w:t>
      </w:r>
      <w:r>
        <w:rPr>
          <w:spacing w:val="-4"/>
          <w:sz w:val="20"/>
        </w:rPr>
        <w:t>interpreter.</w:t>
      </w:r>
    </w:p>
    <w:p>
      <w:pPr>
        <w:pStyle w:val="ListParagraph"/>
        <w:numPr>
          <w:ilvl w:val="1"/>
          <w:numId w:val="12"/>
        </w:numPr>
        <w:tabs>
          <w:tab w:pos="1761" w:val="left" w:leader="none"/>
          <w:tab w:pos="1762" w:val="left" w:leader="none"/>
        </w:tabs>
        <w:spacing w:line="206" w:lineRule="auto" w:before="88" w:after="0"/>
        <w:ind w:left="1761" w:right="1231" w:hanging="794"/>
        <w:jc w:val="left"/>
        <w:rPr>
          <w:sz w:val="11"/>
        </w:rPr>
      </w:pPr>
      <w:r>
        <w:rPr>
          <w:spacing w:val="-4"/>
          <w:sz w:val="20"/>
        </w:rPr>
        <w:t>Training</w:t>
      </w:r>
      <w:r>
        <w:rPr>
          <w:spacing w:val="-8"/>
          <w:sz w:val="20"/>
        </w:rPr>
        <w:t> </w:t>
      </w:r>
      <w:r>
        <w:rPr>
          <w:sz w:val="20"/>
        </w:rPr>
        <w:t>should</w:t>
      </w:r>
      <w:r>
        <w:rPr>
          <w:spacing w:val="-7"/>
          <w:sz w:val="20"/>
        </w:rPr>
        <w:t> </w:t>
      </w:r>
      <w:r>
        <w:rPr>
          <w:sz w:val="20"/>
        </w:rPr>
        <w:t>also</w:t>
      </w:r>
      <w:r>
        <w:rPr>
          <w:spacing w:val="-7"/>
          <w:sz w:val="20"/>
        </w:rPr>
        <w:t> </w:t>
      </w:r>
      <w:r>
        <w:rPr>
          <w:spacing w:val="-4"/>
          <w:sz w:val="20"/>
        </w:rPr>
        <w:t>cover</w:t>
      </w:r>
      <w:r>
        <w:rPr>
          <w:spacing w:val="-8"/>
          <w:sz w:val="20"/>
        </w:rPr>
        <w:t> </w:t>
      </w:r>
      <w:r>
        <w:rPr>
          <w:sz w:val="20"/>
        </w:rPr>
        <w:t>the</w:t>
      </w:r>
      <w:r>
        <w:rPr>
          <w:spacing w:val="-7"/>
          <w:sz w:val="20"/>
        </w:rPr>
        <w:t> </w:t>
      </w:r>
      <w:r>
        <w:rPr>
          <w:spacing w:val="-3"/>
          <w:sz w:val="20"/>
        </w:rPr>
        <w:t>role</w:t>
      </w:r>
      <w:r>
        <w:rPr>
          <w:spacing w:val="-7"/>
          <w:sz w:val="20"/>
        </w:rPr>
        <w:t> </w:t>
      </w:r>
      <w:r>
        <w:rPr>
          <w:sz w:val="20"/>
        </w:rPr>
        <w:t>of</w:t>
      </w:r>
      <w:r>
        <w:rPr>
          <w:spacing w:val="-7"/>
          <w:sz w:val="20"/>
        </w:rPr>
        <w:t> </w:t>
      </w:r>
      <w:r>
        <w:rPr>
          <w:sz w:val="20"/>
        </w:rPr>
        <w:t>a</w:t>
      </w:r>
      <w:r>
        <w:rPr>
          <w:spacing w:val="-8"/>
          <w:sz w:val="20"/>
        </w:rPr>
        <w:t> </w:t>
      </w:r>
      <w:r>
        <w:rPr>
          <w:sz w:val="20"/>
        </w:rPr>
        <w:t>foreperson</w:t>
      </w:r>
      <w:r>
        <w:rPr>
          <w:spacing w:val="-7"/>
          <w:sz w:val="20"/>
        </w:rPr>
        <w:t> </w:t>
      </w:r>
      <w:r>
        <w:rPr>
          <w:sz w:val="20"/>
        </w:rPr>
        <w:t>as</w:t>
      </w:r>
      <w:r>
        <w:rPr>
          <w:spacing w:val="-7"/>
          <w:sz w:val="20"/>
        </w:rPr>
        <w:t> </w:t>
      </w:r>
      <w:r>
        <w:rPr>
          <w:sz w:val="20"/>
        </w:rPr>
        <w:t>a</w:t>
      </w:r>
      <w:r>
        <w:rPr>
          <w:spacing w:val="-8"/>
          <w:sz w:val="20"/>
        </w:rPr>
        <w:t> </w:t>
      </w:r>
      <w:r>
        <w:rPr>
          <w:sz w:val="20"/>
        </w:rPr>
        <w:t>conduit</w:t>
      </w:r>
      <w:r>
        <w:rPr>
          <w:spacing w:val="-7"/>
          <w:sz w:val="20"/>
        </w:rPr>
        <w:t> </w:t>
      </w:r>
      <w:r>
        <w:rPr>
          <w:sz w:val="20"/>
        </w:rPr>
        <w:t>between</w:t>
      </w:r>
      <w:r>
        <w:rPr>
          <w:spacing w:val="-7"/>
          <w:sz w:val="20"/>
        </w:rPr>
        <w:t> </w:t>
      </w:r>
      <w:r>
        <w:rPr>
          <w:sz w:val="20"/>
        </w:rPr>
        <w:t>the</w:t>
      </w:r>
      <w:r>
        <w:rPr>
          <w:spacing w:val="-7"/>
          <w:sz w:val="20"/>
        </w:rPr>
        <w:t> </w:t>
      </w:r>
      <w:r>
        <w:rPr>
          <w:spacing w:val="-3"/>
          <w:sz w:val="20"/>
        </w:rPr>
        <w:t>interpreter </w:t>
      </w:r>
      <w:r>
        <w:rPr>
          <w:sz w:val="20"/>
        </w:rPr>
        <w:t>and</w:t>
      </w:r>
      <w:r>
        <w:rPr>
          <w:spacing w:val="-9"/>
          <w:sz w:val="20"/>
        </w:rPr>
        <w:t> </w:t>
      </w:r>
      <w:r>
        <w:rPr>
          <w:sz w:val="20"/>
        </w:rPr>
        <w:t>judge,</w:t>
      </w:r>
      <w:r>
        <w:rPr>
          <w:spacing w:val="-9"/>
          <w:sz w:val="20"/>
        </w:rPr>
        <w:t> </w:t>
      </w:r>
      <w:r>
        <w:rPr>
          <w:sz w:val="20"/>
        </w:rPr>
        <w:t>for</w:t>
      </w:r>
      <w:r>
        <w:rPr>
          <w:spacing w:val="-9"/>
          <w:sz w:val="20"/>
        </w:rPr>
        <w:t> </w:t>
      </w:r>
      <w:r>
        <w:rPr>
          <w:sz w:val="20"/>
        </w:rPr>
        <w:t>issues</w:t>
      </w:r>
      <w:r>
        <w:rPr>
          <w:spacing w:val="-9"/>
          <w:sz w:val="20"/>
        </w:rPr>
        <w:t> </w:t>
      </w:r>
      <w:r>
        <w:rPr>
          <w:sz w:val="20"/>
        </w:rPr>
        <w:t>arising</w:t>
      </w:r>
      <w:r>
        <w:rPr>
          <w:spacing w:val="-9"/>
          <w:sz w:val="20"/>
        </w:rPr>
        <w:t> </w:t>
      </w:r>
      <w:r>
        <w:rPr>
          <w:sz w:val="20"/>
        </w:rPr>
        <w:t>other</w:t>
      </w:r>
      <w:r>
        <w:rPr>
          <w:spacing w:val="-9"/>
          <w:sz w:val="20"/>
        </w:rPr>
        <w:t> </w:t>
      </w:r>
      <w:r>
        <w:rPr>
          <w:sz w:val="20"/>
        </w:rPr>
        <w:t>than</w:t>
      </w:r>
      <w:r>
        <w:rPr>
          <w:spacing w:val="-9"/>
          <w:sz w:val="20"/>
        </w:rPr>
        <w:t> </w:t>
      </w:r>
      <w:r>
        <w:rPr>
          <w:sz w:val="20"/>
        </w:rPr>
        <w:t>in</w:t>
      </w:r>
      <w:r>
        <w:rPr>
          <w:spacing w:val="-9"/>
          <w:sz w:val="20"/>
        </w:rPr>
        <w:t> </w:t>
      </w:r>
      <w:r>
        <w:rPr>
          <w:sz w:val="20"/>
        </w:rPr>
        <w:t>court.</w:t>
      </w:r>
      <w:r>
        <w:rPr>
          <w:spacing w:val="-9"/>
          <w:sz w:val="20"/>
        </w:rPr>
        <w:t> </w:t>
      </w:r>
      <w:r>
        <w:rPr>
          <w:sz w:val="20"/>
        </w:rPr>
        <w:t>The</w:t>
      </w:r>
      <w:r>
        <w:rPr>
          <w:spacing w:val="-9"/>
          <w:sz w:val="20"/>
        </w:rPr>
        <w:t> </w:t>
      </w:r>
      <w:r>
        <w:rPr>
          <w:spacing w:val="-3"/>
          <w:sz w:val="20"/>
        </w:rPr>
        <w:t>interpreter</w:t>
      </w:r>
      <w:r>
        <w:rPr>
          <w:spacing w:val="-9"/>
          <w:sz w:val="20"/>
        </w:rPr>
        <w:t> </w:t>
      </w:r>
      <w:r>
        <w:rPr>
          <w:sz w:val="20"/>
        </w:rPr>
        <w:t>and</w:t>
      </w:r>
      <w:r>
        <w:rPr>
          <w:spacing w:val="-9"/>
          <w:sz w:val="20"/>
        </w:rPr>
        <w:t> </w:t>
      </w:r>
      <w:r>
        <w:rPr>
          <w:sz w:val="20"/>
        </w:rPr>
        <w:t>the</w:t>
      </w:r>
      <w:r>
        <w:rPr>
          <w:spacing w:val="-9"/>
          <w:sz w:val="20"/>
        </w:rPr>
        <w:t> </w:t>
      </w:r>
      <w:r>
        <w:rPr>
          <w:sz w:val="20"/>
        </w:rPr>
        <w:t>juror</w:t>
      </w:r>
      <w:r>
        <w:rPr>
          <w:spacing w:val="-9"/>
          <w:sz w:val="20"/>
        </w:rPr>
        <w:t> </w:t>
      </w:r>
      <w:r>
        <w:rPr>
          <w:sz w:val="20"/>
        </w:rPr>
        <w:t>should</w:t>
      </w:r>
      <w:r>
        <w:rPr>
          <w:spacing w:val="-9"/>
          <w:sz w:val="20"/>
        </w:rPr>
        <w:t> </w:t>
      </w:r>
      <w:r>
        <w:rPr>
          <w:sz w:val="20"/>
        </w:rPr>
        <w:t>be </w:t>
      </w:r>
      <w:r>
        <w:rPr>
          <w:spacing w:val="-4"/>
          <w:sz w:val="20"/>
        </w:rPr>
        <w:t>aware</w:t>
      </w:r>
      <w:r>
        <w:rPr>
          <w:spacing w:val="-6"/>
          <w:sz w:val="20"/>
        </w:rPr>
        <w:t> </w:t>
      </w:r>
      <w:r>
        <w:rPr>
          <w:sz w:val="20"/>
        </w:rPr>
        <w:t>of</w:t>
      </w:r>
      <w:r>
        <w:rPr>
          <w:spacing w:val="-6"/>
          <w:sz w:val="20"/>
        </w:rPr>
        <w:t> </w:t>
      </w:r>
      <w:r>
        <w:rPr>
          <w:sz w:val="20"/>
        </w:rPr>
        <w:t>the</w:t>
      </w:r>
      <w:r>
        <w:rPr>
          <w:spacing w:val="-6"/>
          <w:sz w:val="20"/>
        </w:rPr>
        <w:t> </w:t>
      </w:r>
      <w:r>
        <w:rPr>
          <w:spacing w:val="-3"/>
          <w:sz w:val="20"/>
        </w:rPr>
        <w:t>role</w:t>
      </w:r>
      <w:r>
        <w:rPr>
          <w:spacing w:val="-5"/>
          <w:sz w:val="20"/>
        </w:rPr>
        <w:t> </w:t>
      </w:r>
      <w:r>
        <w:rPr>
          <w:sz w:val="20"/>
        </w:rPr>
        <w:t>of</w:t>
      </w:r>
      <w:r>
        <w:rPr>
          <w:spacing w:val="-6"/>
          <w:sz w:val="20"/>
        </w:rPr>
        <w:t> </w:t>
      </w:r>
      <w:r>
        <w:rPr>
          <w:sz w:val="20"/>
        </w:rPr>
        <w:t>the</w:t>
      </w:r>
      <w:r>
        <w:rPr>
          <w:spacing w:val="-6"/>
          <w:sz w:val="20"/>
        </w:rPr>
        <w:t> </w:t>
      </w:r>
      <w:r>
        <w:rPr>
          <w:sz w:val="20"/>
        </w:rPr>
        <w:t>foreperson</w:t>
      </w:r>
      <w:r>
        <w:rPr>
          <w:spacing w:val="-6"/>
          <w:sz w:val="20"/>
        </w:rPr>
        <w:t> </w:t>
      </w:r>
      <w:r>
        <w:rPr>
          <w:sz w:val="20"/>
        </w:rPr>
        <w:t>if</w:t>
      </w:r>
      <w:r>
        <w:rPr>
          <w:spacing w:val="-5"/>
          <w:sz w:val="20"/>
        </w:rPr>
        <w:t> </w:t>
      </w:r>
      <w:r>
        <w:rPr>
          <w:sz w:val="20"/>
        </w:rPr>
        <w:t>either</w:t>
      </w:r>
      <w:r>
        <w:rPr>
          <w:spacing w:val="-6"/>
          <w:sz w:val="20"/>
        </w:rPr>
        <w:t> </w:t>
      </w:r>
      <w:r>
        <w:rPr>
          <w:sz w:val="20"/>
        </w:rPr>
        <w:t>of</w:t>
      </w:r>
      <w:r>
        <w:rPr>
          <w:spacing w:val="-6"/>
          <w:sz w:val="20"/>
        </w:rPr>
        <w:t> </w:t>
      </w:r>
      <w:r>
        <w:rPr>
          <w:sz w:val="20"/>
        </w:rPr>
        <w:t>them</w:t>
      </w:r>
      <w:r>
        <w:rPr>
          <w:spacing w:val="-6"/>
          <w:sz w:val="20"/>
        </w:rPr>
        <w:t> </w:t>
      </w:r>
      <w:r>
        <w:rPr>
          <w:spacing w:val="-4"/>
          <w:sz w:val="20"/>
        </w:rPr>
        <w:t>have</w:t>
      </w:r>
      <w:r>
        <w:rPr>
          <w:spacing w:val="-5"/>
          <w:sz w:val="20"/>
        </w:rPr>
        <w:t> </w:t>
      </w:r>
      <w:r>
        <w:rPr>
          <w:sz w:val="20"/>
        </w:rPr>
        <w:t>questions</w:t>
      </w:r>
      <w:r>
        <w:rPr>
          <w:spacing w:val="-6"/>
          <w:sz w:val="20"/>
        </w:rPr>
        <w:t> </w:t>
      </w:r>
      <w:r>
        <w:rPr>
          <w:sz w:val="20"/>
        </w:rPr>
        <w:t>for</w:t>
      </w:r>
      <w:r>
        <w:rPr>
          <w:spacing w:val="-6"/>
          <w:sz w:val="20"/>
        </w:rPr>
        <w:t> </w:t>
      </w:r>
      <w:r>
        <w:rPr>
          <w:sz w:val="20"/>
        </w:rPr>
        <w:t>the</w:t>
      </w:r>
      <w:r>
        <w:rPr>
          <w:spacing w:val="-6"/>
          <w:sz w:val="20"/>
        </w:rPr>
        <w:t> </w:t>
      </w:r>
      <w:r>
        <w:rPr>
          <w:sz w:val="20"/>
        </w:rPr>
        <w:t>judge.</w:t>
      </w:r>
      <w:r>
        <w:rPr>
          <w:position w:val="7"/>
          <w:sz w:val="11"/>
        </w:rPr>
        <w:t>51</w:t>
      </w:r>
    </w:p>
    <w:p>
      <w:pPr>
        <w:pStyle w:val="ListParagraph"/>
        <w:numPr>
          <w:ilvl w:val="1"/>
          <w:numId w:val="12"/>
        </w:numPr>
        <w:tabs>
          <w:tab w:pos="1761" w:val="left" w:leader="none"/>
          <w:tab w:pos="1762" w:val="left" w:leader="none"/>
        </w:tabs>
        <w:spacing w:line="206" w:lineRule="auto" w:before="123" w:after="0"/>
        <w:ind w:left="1761" w:right="1257" w:hanging="794"/>
        <w:jc w:val="left"/>
        <w:rPr>
          <w:sz w:val="11"/>
        </w:rPr>
      </w:pPr>
      <w:r>
        <w:rPr>
          <w:sz w:val="20"/>
        </w:rPr>
        <w:t>The specific </w:t>
      </w:r>
      <w:r>
        <w:rPr>
          <w:spacing w:val="-3"/>
          <w:sz w:val="20"/>
        </w:rPr>
        <w:t>content </w:t>
      </w:r>
      <w:r>
        <w:rPr>
          <w:sz w:val="20"/>
        </w:rPr>
        <w:t>of additional training should be </w:t>
      </w:r>
      <w:r>
        <w:rPr>
          <w:spacing w:val="-3"/>
          <w:sz w:val="20"/>
        </w:rPr>
        <w:t>developed by </w:t>
      </w:r>
      <w:r>
        <w:rPr>
          <w:sz w:val="20"/>
        </w:rPr>
        <w:t>Juries Victoria and the courts in consultation with ASLIA and academics who </w:t>
      </w:r>
      <w:r>
        <w:rPr>
          <w:spacing w:val="-4"/>
          <w:sz w:val="20"/>
        </w:rPr>
        <w:t>have </w:t>
      </w:r>
      <w:r>
        <w:rPr>
          <w:sz w:val="20"/>
        </w:rPr>
        <w:t>existing experience in this</w:t>
      </w:r>
      <w:r>
        <w:rPr>
          <w:spacing w:val="-8"/>
          <w:sz w:val="20"/>
        </w:rPr>
        <w:t> </w:t>
      </w:r>
      <w:r>
        <w:rPr>
          <w:sz w:val="20"/>
        </w:rPr>
        <w:t>area.</w:t>
      </w:r>
      <w:r>
        <w:rPr>
          <w:position w:val="7"/>
          <w:sz w:val="11"/>
        </w:rPr>
        <w:t>52</w:t>
      </w:r>
      <w:r>
        <w:rPr>
          <w:spacing w:val="17"/>
          <w:position w:val="7"/>
          <w:sz w:val="11"/>
        </w:rPr>
        <w:t> </w:t>
      </w:r>
      <w:r>
        <w:rPr>
          <w:sz w:val="20"/>
        </w:rPr>
        <w:t>It</w:t>
      </w:r>
      <w:r>
        <w:rPr>
          <w:spacing w:val="-8"/>
          <w:sz w:val="20"/>
        </w:rPr>
        <w:t> </w:t>
      </w:r>
      <w:r>
        <w:rPr>
          <w:spacing w:val="-3"/>
          <w:sz w:val="20"/>
        </w:rPr>
        <w:t>would</w:t>
      </w:r>
      <w:r>
        <w:rPr>
          <w:spacing w:val="-7"/>
          <w:sz w:val="20"/>
        </w:rPr>
        <w:t> </w:t>
      </w:r>
      <w:r>
        <w:rPr>
          <w:sz w:val="20"/>
        </w:rPr>
        <w:t>be</w:t>
      </w:r>
      <w:r>
        <w:rPr>
          <w:spacing w:val="-8"/>
          <w:sz w:val="20"/>
        </w:rPr>
        <w:t> </w:t>
      </w:r>
      <w:r>
        <w:rPr>
          <w:sz w:val="20"/>
        </w:rPr>
        <w:t>helpful</w:t>
      </w:r>
      <w:r>
        <w:rPr>
          <w:spacing w:val="-8"/>
          <w:sz w:val="20"/>
        </w:rPr>
        <w:t> </w:t>
      </w:r>
      <w:r>
        <w:rPr>
          <w:sz w:val="20"/>
        </w:rPr>
        <w:t>for</w:t>
      </w:r>
      <w:r>
        <w:rPr>
          <w:spacing w:val="-7"/>
          <w:sz w:val="20"/>
        </w:rPr>
        <w:t> </w:t>
      </w:r>
      <w:r>
        <w:rPr>
          <w:spacing w:val="-4"/>
          <w:sz w:val="20"/>
        </w:rPr>
        <w:t>NAATI</w:t>
      </w:r>
      <w:r>
        <w:rPr>
          <w:spacing w:val="-8"/>
          <w:sz w:val="20"/>
        </w:rPr>
        <w:t> </w:t>
      </w:r>
      <w:r>
        <w:rPr>
          <w:sz w:val="20"/>
        </w:rPr>
        <w:t>to</w:t>
      </w:r>
      <w:r>
        <w:rPr>
          <w:spacing w:val="-8"/>
          <w:sz w:val="20"/>
        </w:rPr>
        <w:t> </w:t>
      </w:r>
      <w:r>
        <w:rPr>
          <w:sz w:val="20"/>
        </w:rPr>
        <w:t>add</w:t>
      </w:r>
      <w:r>
        <w:rPr>
          <w:spacing w:val="-7"/>
          <w:sz w:val="20"/>
        </w:rPr>
        <w:t> </w:t>
      </w:r>
      <w:r>
        <w:rPr>
          <w:sz w:val="20"/>
        </w:rPr>
        <w:t>a</w:t>
      </w:r>
      <w:r>
        <w:rPr>
          <w:spacing w:val="-8"/>
          <w:sz w:val="20"/>
        </w:rPr>
        <w:t> </w:t>
      </w:r>
      <w:r>
        <w:rPr>
          <w:sz w:val="20"/>
        </w:rPr>
        <w:t>training</w:t>
      </w:r>
      <w:r>
        <w:rPr>
          <w:spacing w:val="-8"/>
          <w:sz w:val="20"/>
        </w:rPr>
        <w:t> </w:t>
      </w:r>
      <w:r>
        <w:rPr>
          <w:sz w:val="20"/>
        </w:rPr>
        <w:t>module</w:t>
      </w:r>
      <w:r>
        <w:rPr>
          <w:spacing w:val="-7"/>
          <w:sz w:val="20"/>
        </w:rPr>
        <w:t> </w:t>
      </w:r>
      <w:r>
        <w:rPr>
          <w:sz w:val="20"/>
        </w:rPr>
        <w:t>about</w:t>
      </w:r>
      <w:r>
        <w:rPr>
          <w:spacing w:val="-8"/>
          <w:sz w:val="20"/>
        </w:rPr>
        <w:t> </w:t>
      </w:r>
      <w:r>
        <w:rPr>
          <w:sz w:val="20"/>
        </w:rPr>
        <w:t>the</w:t>
      </w:r>
      <w:r>
        <w:rPr>
          <w:spacing w:val="-8"/>
          <w:sz w:val="20"/>
        </w:rPr>
        <w:t> </w:t>
      </w:r>
      <w:r>
        <w:rPr>
          <w:sz w:val="20"/>
        </w:rPr>
        <w:t>new</w:t>
      </w:r>
      <w:r>
        <w:rPr>
          <w:spacing w:val="-7"/>
          <w:sz w:val="20"/>
        </w:rPr>
        <w:t> </w:t>
      </w:r>
      <w:r>
        <w:rPr>
          <w:spacing w:val="-3"/>
          <w:sz w:val="20"/>
        </w:rPr>
        <w:t>role</w:t>
      </w:r>
      <w:r>
        <w:rPr>
          <w:spacing w:val="-8"/>
          <w:sz w:val="20"/>
        </w:rPr>
        <w:t> </w:t>
      </w:r>
      <w:r>
        <w:rPr>
          <w:sz w:val="20"/>
        </w:rPr>
        <w:t>to its</w:t>
      </w:r>
      <w:r>
        <w:rPr>
          <w:spacing w:val="-7"/>
          <w:sz w:val="20"/>
        </w:rPr>
        <w:t> </w:t>
      </w:r>
      <w:r>
        <w:rPr>
          <w:sz w:val="20"/>
        </w:rPr>
        <w:t>new</w:t>
      </w:r>
      <w:r>
        <w:rPr>
          <w:spacing w:val="-7"/>
          <w:sz w:val="20"/>
        </w:rPr>
        <w:t> </w:t>
      </w:r>
      <w:r>
        <w:rPr>
          <w:sz w:val="20"/>
        </w:rPr>
        <w:t>legal</w:t>
      </w:r>
      <w:r>
        <w:rPr>
          <w:spacing w:val="-7"/>
          <w:sz w:val="20"/>
        </w:rPr>
        <w:t> </w:t>
      </w:r>
      <w:r>
        <w:rPr>
          <w:sz w:val="20"/>
        </w:rPr>
        <w:t>specialisation</w:t>
      </w:r>
      <w:r>
        <w:rPr>
          <w:spacing w:val="-7"/>
          <w:sz w:val="20"/>
        </w:rPr>
        <w:t> </w:t>
      </w:r>
      <w:r>
        <w:rPr>
          <w:sz w:val="20"/>
        </w:rPr>
        <w:t>course.</w:t>
      </w:r>
      <w:r>
        <w:rPr>
          <w:spacing w:val="-6"/>
          <w:sz w:val="20"/>
        </w:rPr>
        <w:t> </w:t>
      </w:r>
      <w:r>
        <w:rPr>
          <w:spacing w:val="-4"/>
          <w:sz w:val="20"/>
        </w:rPr>
        <w:t>NAATI</w:t>
      </w:r>
      <w:r>
        <w:rPr>
          <w:spacing w:val="-7"/>
          <w:sz w:val="20"/>
        </w:rPr>
        <w:t> </w:t>
      </w:r>
      <w:r>
        <w:rPr>
          <w:sz w:val="20"/>
        </w:rPr>
        <w:t>suggested</w:t>
      </w:r>
      <w:r>
        <w:rPr>
          <w:spacing w:val="-7"/>
          <w:sz w:val="20"/>
        </w:rPr>
        <w:t> </w:t>
      </w:r>
      <w:r>
        <w:rPr>
          <w:sz w:val="20"/>
        </w:rPr>
        <w:t>that</w:t>
      </w:r>
      <w:r>
        <w:rPr>
          <w:spacing w:val="-7"/>
          <w:sz w:val="20"/>
        </w:rPr>
        <w:t> </w:t>
      </w:r>
      <w:r>
        <w:rPr>
          <w:sz w:val="20"/>
        </w:rPr>
        <w:t>it</w:t>
      </w:r>
      <w:r>
        <w:rPr>
          <w:spacing w:val="-6"/>
          <w:sz w:val="20"/>
        </w:rPr>
        <w:t> </w:t>
      </w:r>
      <w:r>
        <w:rPr>
          <w:spacing w:val="-3"/>
          <w:sz w:val="20"/>
        </w:rPr>
        <w:t>would</w:t>
      </w:r>
      <w:r>
        <w:rPr>
          <w:spacing w:val="-7"/>
          <w:sz w:val="20"/>
        </w:rPr>
        <w:t> </w:t>
      </w:r>
      <w:r>
        <w:rPr>
          <w:sz w:val="20"/>
        </w:rPr>
        <w:t>consider</w:t>
      </w:r>
      <w:r>
        <w:rPr>
          <w:spacing w:val="-7"/>
          <w:sz w:val="20"/>
        </w:rPr>
        <w:t> </w:t>
      </w:r>
      <w:r>
        <w:rPr>
          <w:sz w:val="20"/>
        </w:rPr>
        <w:t>this.</w:t>
      </w:r>
      <w:r>
        <w:rPr>
          <w:position w:val="7"/>
          <w:sz w:val="11"/>
        </w:rPr>
        <w:t>53</w:t>
      </w:r>
    </w:p>
    <w:p>
      <w:pPr>
        <w:pStyle w:val="BodyText"/>
        <w:spacing w:before="9"/>
        <w:rPr>
          <w:sz w:val="16"/>
        </w:rPr>
      </w:pPr>
    </w:p>
    <w:p>
      <w:pPr>
        <w:spacing w:before="0"/>
        <w:ind w:left="967" w:right="0" w:firstLine="0"/>
        <w:jc w:val="left"/>
        <w:rPr>
          <w:rFonts w:ascii="Raleway ExtraBold"/>
          <w:b/>
          <w:sz w:val="28"/>
        </w:rPr>
      </w:pPr>
      <w:r>
        <w:rPr>
          <w:rFonts w:ascii="Raleway ExtraBold"/>
          <w:b/>
          <w:color w:val="37617A"/>
          <w:sz w:val="28"/>
        </w:rPr>
        <w:t>Standards for Auslan interpreters working with jurors</w:t>
      </w:r>
    </w:p>
    <w:p>
      <w:pPr>
        <w:pStyle w:val="ListParagraph"/>
        <w:numPr>
          <w:ilvl w:val="1"/>
          <w:numId w:val="12"/>
        </w:numPr>
        <w:tabs>
          <w:tab w:pos="1762" w:val="left" w:leader="none"/>
        </w:tabs>
        <w:spacing w:line="206" w:lineRule="auto" w:before="146" w:after="0"/>
        <w:ind w:left="1761" w:right="1300" w:hanging="794"/>
        <w:jc w:val="both"/>
        <w:rPr>
          <w:sz w:val="11"/>
        </w:rPr>
      </w:pPr>
      <w:r>
        <w:rPr>
          <w:sz w:val="20"/>
        </w:rPr>
        <w:t>The</w:t>
      </w:r>
      <w:r>
        <w:rPr>
          <w:spacing w:val="-8"/>
          <w:sz w:val="20"/>
        </w:rPr>
        <w:t> </w:t>
      </w:r>
      <w:r>
        <w:rPr>
          <w:sz w:val="20"/>
        </w:rPr>
        <w:t>RNS</w:t>
      </w:r>
      <w:r>
        <w:rPr>
          <w:spacing w:val="-8"/>
          <w:sz w:val="20"/>
        </w:rPr>
        <w:t> </w:t>
      </w:r>
      <w:r>
        <w:rPr>
          <w:sz w:val="20"/>
        </w:rPr>
        <w:t>specify</w:t>
      </w:r>
      <w:r>
        <w:rPr>
          <w:spacing w:val="-7"/>
          <w:sz w:val="20"/>
        </w:rPr>
        <w:t> </w:t>
      </w:r>
      <w:r>
        <w:rPr>
          <w:sz w:val="20"/>
        </w:rPr>
        <w:t>that</w:t>
      </w:r>
      <w:r>
        <w:rPr>
          <w:spacing w:val="-8"/>
          <w:sz w:val="20"/>
        </w:rPr>
        <w:t> </w:t>
      </w:r>
      <w:r>
        <w:rPr>
          <w:spacing w:val="-3"/>
          <w:sz w:val="20"/>
        </w:rPr>
        <w:t>interpreters</w:t>
      </w:r>
      <w:r>
        <w:rPr>
          <w:spacing w:val="-8"/>
          <w:sz w:val="20"/>
        </w:rPr>
        <w:t> </w:t>
      </w:r>
      <w:r>
        <w:rPr>
          <w:spacing w:val="-3"/>
          <w:sz w:val="20"/>
        </w:rPr>
        <w:t>are</w:t>
      </w:r>
      <w:r>
        <w:rPr>
          <w:spacing w:val="-7"/>
          <w:sz w:val="20"/>
        </w:rPr>
        <w:t> </w:t>
      </w:r>
      <w:r>
        <w:rPr>
          <w:sz w:val="20"/>
        </w:rPr>
        <w:t>‘officers</w:t>
      </w:r>
      <w:r>
        <w:rPr>
          <w:spacing w:val="-8"/>
          <w:sz w:val="20"/>
        </w:rPr>
        <w:t> </w:t>
      </w:r>
      <w:r>
        <w:rPr>
          <w:sz w:val="20"/>
        </w:rPr>
        <w:t>of</w:t>
      </w:r>
      <w:r>
        <w:rPr>
          <w:spacing w:val="-8"/>
          <w:sz w:val="20"/>
        </w:rPr>
        <w:t> </w:t>
      </w:r>
      <w:r>
        <w:rPr>
          <w:sz w:val="20"/>
        </w:rPr>
        <w:t>the</w:t>
      </w:r>
      <w:r>
        <w:rPr>
          <w:spacing w:val="-7"/>
          <w:sz w:val="20"/>
        </w:rPr>
        <w:t> </w:t>
      </w:r>
      <w:r>
        <w:rPr>
          <w:spacing w:val="-3"/>
          <w:sz w:val="20"/>
        </w:rPr>
        <w:t>court’.</w:t>
      </w:r>
      <w:r>
        <w:rPr>
          <w:spacing w:val="-8"/>
          <w:sz w:val="20"/>
        </w:rPr>
        <w:t> </w:t>
      </w:r>
      <w:r>
        <w:rPr>
          <w:sz w:val="20"/>
        </w:rPr>
        <w:t>They</w:t>
      </w:r>
      <w:r>
        <w:rPr>
          <w:spacing w:val="-7"/>
          <w:sz w:val="20"/>
        </w:rPr>
        <w:t> </w:t>
      </w:r>
      <w:r>
        <w:rPr>
          <w:sz w:val="20"/>
        </w:rPr>
        <w:t>must</w:t>
      </w:r>
      <w:r>
        <w:rPr>
          <w:spacing w:val="-8"/>
          <w:sz w:val="20"/>
        </w:rPr>
        <w:t> </w:t>
      </w:r>
      <w:r>
        <w:rPr>
          <w:sz w:val="20"/>
        </w:rPr>
        <w:t>be</w:t>
      </w:r>
      <w:r>
        <w:rPr>
          <w:spacing w:val="-8"/>
          <w:sz w:val="20"/>
        </w:rPr>
        <w:t> </w:t>
      </w:r>
      <w:r>
        <w:rPr>
          <w:spacing w:val="-3"/>
          <w:sz w:val="20"/>
        </w:rPr>
        <w:t>accurate</w:t>
      </w:r>
      <w:r>
        <w:rPr>
          <w:spacing w:val="-7"/>
          <w:sz w:val="20"/>
        </w:rPr>
        <w:t> </w:t>
      </w:r>
      <w:r>
        <w:rPr>
          <w:sz w:val="20"/>
        </w:rPr>
        <w:t>and impartial</w:t>
      </w:r>
      <w:r>
        <w:rPr>
          <w:spacing w:val="-9"/>
          <w:sz w:val="20"/>
        </w:rPr>
        <w:t> </w:t>
      </w:r>
      <w:r>
        <w:rPr>
          <w:sz w:val="20"/>
        </w:rPr>
        <w:t>and</w:t>
      </w:r>
      <w:r>
        <w:rPr>
          <w:spacing w:val="-8"/>
          <w:sz w:val="20"/>
        </w:rPr>
        <w:t> </w:t>
      </w:r>
      <w:r>
        <w:rPr>
          <w:sz w:val="20"/>
        </w:rPr>
        <w:t>these</w:t>
      </w:r>
      <w:r>
        <w:rPr>
          <w:spacing w:val="-8"/>
          <w:sz w:val="20"/>
        </w:rPr>
        <w:t> </w:t>
      </w:r>
      <w:r>
        <w:rPr>
          <w:sz w:val="20"/>
        </w:rPr>
        <w:t>obligations</w:t>
      </w:r>
      <w:r>
        <w:rPr>
          <w:spacing w:val="-8"/>
          <w:sz w:val="20"/>
        </w:rPr>
        <w:t> </w:t>
      </w:r>
      <w:r>
        <w:rPr>
          <w:spacing w:val="-3"/>
          <w:sz w:val="20"/>
        </w:rPr>
        <w:t>‘override</w:t>
      </w:r>
      <w:r>
        <w:rPr>
          <w:spacing w:val="-8"/>
          <w:sz w:val="20"/>
        </w:rPr>
        <w:t> </w:t>
      </w:r>
      <w:r>
        <w:rPr>
          <w:spacing w:val="-3"/>
          <w:sz w:val="20"/>
        </w:rPr>
        <w:t>any</w:t>
      </w:r>
      <w:r>
        <w:rPr>
          <w:spacing w:val="-8"/>
          <w:sz w:val="20"/>
        </w:rPr>
        <w:t> </w:t>
      </w:r>
      <w:r>
        <w:rPr>
          <w:sz w:val="20"/>
        </w:rPr>
        <w:t>duty</w:t>
      </w:r>
      <w:r>
        <w:rPr>
          <w:spacing w:val="-9"/>
          <w:sz w:val="20"/>
        </w:rPr>
        <w:t> </w:t>
      </w:r>
      <w:r>
        <w:rPr>
          <w:sz w:val="20"/>
        </w:rPr>
        <w:t>that</w:t>
      </w:r>
      <w:r>
        <w:rPr>
          <w:spacing w:val="-8"/>
          <w:sz w:val="20"/>
        </w:rPr>
        <w:t> </w:t>
      </w:r>
      <w:r>
        <w:rPr>
          <w:sz w:val="20"/>
        </w:rPr>
        <w:t>person</w:t>
      </w:r>
      <w:r>
        <w:rPr>
          <w:spacing w:val="-8"/>
          <w:sz w:val="20"/>
        </w:rPr>
        <w:t> </w:t>
      </w:r>
      <w:r>
        <w:rPr>
          <w:spacing w:val="-3"/>
          <w:sz w:val="20"/>
        </w:rPr>
        <w:t>may</w:t>
      </w:r>
      <w:r>
        <w:rPr>
          <w:spacing w:val="-8"/>
          <w:sz w:val="20"/>
        </w:rPr>
        <w:t> </w:t>
      </w:r>
      <w:r>
        <w:rPr>
          <w:spacing w:val="-4"/>
          <w:sz w:val="20"/>
        </w:rPr>
        <w:t>have</w:t>
      </w:r>
      <w:r>
        <w:rPr>
          <w:spacing w:val="-8"/>
          <w:sz w:val="20"/>
        </w:rPr>
        <w:t> </w:t>
      </w:r>
      <w:r>
        <w:rPr>
          <w:sz w:val="20"/>
        </w:rPr>
        <w:t>to</w:t>
      </w:r>
      <w:r>
        <w:rPr>
          <w:spacing w:val="-8"/>
          <w:sz w:val="20"/>
        </w:rPr>
        <w:t> </w:t>
      </w:r>
      <w:r>
        <w:rPr>
          <w:spacing w:val="-3"/>
          <w:sz w:val="20"/>
        </w:rPr>
        <w:t>any</w:t>
      </w:r>
      <w:r>
        <w:rPr>
          <w:spacing w:val="-9"/>
          <w:sz w:val="20"/>
        </w:rPr>
        <w:t> </w:t>
      </w:r>
      <w:r>
        <w:rPr>
          <w:sz w:val="20"/>
        </w:rPr>
        <w:t>party</w:t>
      </w:r>
      <w:r>
        <w:rPr>
          <w:spacing w:val="-8"/>
          <w:sz w:val="20"/>
        </w:rPr>
        <w:t> </w:t>
      </w:r>
      <w:r>
        <w:rPr>
          <w:sz w:val="20"/>
        </w:rPr>
        <w:t>to the</w:t>
      </w:r>
      <w:r>
        <w:rPr>
          <w:spacing w:val="-5"/>
          <w:sz w:val="20"/>
        </w:rPr>
        <w:t> </w:t>
      </w:r>
      <w:r>
        <w:rPr>
          <w:sz w:val="20"/>
        </w:rPr>
        <w:t>proceedings’.</w:t>
      </w:r>
      <w:r>
        <w:rPr>
          <w:position w:val="7"/>
          <w:sz w:val="11"/>
        </w:rPr>
        <w:t>54</w:t>
      </w:r>
    </w:p>
    <w:p>
      <w:pPr>
        <w:pStyle w:val="BodyText"/>
      </w:pPr>
    </w:p>
    <w:p>
      <w:pPr>
        <w:pStyle w:val="BodyText"/>
      </w:pPr>
    </w:p>
    <w:p>
      <w:pPr>
        <w:pStyle w:val="BodyText"/>
        <w:spacing w:before="12"/>
        <w:rPr>
          <w:sz w:val="14"/>
        </w:rPr>
      </w:pPr>
      <w:r>
        <w:rPr/>
        <w:pict>
          <v:line style="position:absolute;mso-position-horizontal-relative:page;mso-position-vertical-relative:paragraph;z-index:8480;mso-wrap-distance-left:0;mso-wrap-distance-right:0" from="79.370102pt,12.76870pt" to="515.905102pt,12.76870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99"/>
        </w:numPr>
        <w:tabs>
          <w:tab w:pos="1761" w:val="left" w:leader="none"/>
          <w:tab w:pos="1762" w:val="left" w:leader="none"/>
        </w:tabs>
        <w:spacing w:line="170" w:lineRule="exact" w:before="21" w:after="0"/>
        <w:ind w:left="1761" w:right="0" w:hanging="794"/>
        <w:jc w:val="left"/>
        <w:rPr>
          <w:sz w:val="13"/>
        </w:rPr>
      </w:pPr>
      <w:r>
        <w:rPr>
          <w:sz w:val="13"/>
        </w:rPr>
        <w:t>Consultation 21 </w:t>
      </w:r>
      <w:r>
        <w:rPr>
          <w:spacing w:val="2"/>
          <w:sz w:val="13"/>
        </w:rPr>
        <w:t>(Della </w:t>
      </w:r>
      <w:r>
        <w:rPr>
          <w:sz w:val="13"/>
        </w:rPr>
        <w:t>Goswell, Lecturer, Convenor </w:t>
      </w:r>
      <w:r>
        <w:rPr>
          <w:spacing w:val="2"/>
          <w:sz w:val="13"/>
        </w:rPr>
        <w:t>Auslan-English </w:t>
      </w:r>
      <w:r>
        <w:rPr>
          <w:sz w:val="13"/>
        </w:rPr>
        <w:t>Interpreting Program, Macquarie University,</w:t>
      </w:r>
      <w:r>
        <w:rPr>
          <w:spacing w:val="32"/>
          <w:sz w:val="13"/>
        </w:rPr>
        <w:t> </w:t>
      </w:r>
      <w:r>
        <w:rPr>
          <w:sz w:val="13"/>
        </w:rPr>
        <w:t>NSW).</w:t>
      </w:r>
    </w:p>
    <w:p>
      <w:pPr>
        <w:pStyle w:val="ListParagraph"/>
        <w:numPr>
          <w:ilvl w:val="0"/>
          <w:numId w:val="99"/>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99"/>
        </w:numPr>
        <w:tabs>
          <w:tab w:pos="1760"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99"/>
        </w:numPr>
        <w:tabs>
          <w:tab w:pos="1760" w:val="left" w:leader="none"/>
          <w:tab w:pos="1762" w:val="left" w:leader="none"/>
        </w:tabs>
        <w:spacing w:line="213" w:lineRule="auto" w:before="7" w:after="0"/>
        <w:ind w:left="1761" w:right="0" w:hanging="794"/>
        <w:jc w:val="left"/>
        <w:rPr>
          <w:sz w:val="13"/>
        </w:rPr>
      </w:pPr>
      <w:r>
        <w:rPr>
          <w:sz w:val="13"/>
        </w:rPr>
        <w:t>We acknowledge that there may be situations where the person from the subject  groups  is  themselves  nominated  as foreperson. In Chapter 10 we discuss two examples of deaf jurors who were nominated as forepersons in the </w:t>
      </w:r>
      <w:r>
        <w:rPr>
          <w:spacing w:val="2"/>
          <w:sz w:val="13"/>
        </w:rPr>
        <w:t>trials </w:t>
      </w:r>
      <w:r>
        <w:rPr>
          <w:sz w:val="13"/>
        </w:rPr>
        <w:t>on which they served; one in </w:t>
      </w:r>
      <w:r>
        <w:rPr>
          <w:spacing w:val="2"/>
          <w:sz w:val="13"/>
        </w:rPr>
        <w:t>England </w:t>
      </w:r>
      <w:r>
        <w:rPr>
          <w:sz w:val="13"/>
        </w:rPr>
        <w:t>and one in New</w:t>
      </w:r>
      <w:r>
        <w:rPr>
          <w:spacing w:val="-1"/>
          <w:sz w:val="13"/>
        </w:rPr>
        <w:t> </w:t>
      </w:r>
      <w:r>
        <w:rPr>
          <w:spacing w:val="2"/>
          <w:sz w:val="13"/>
        </w:rPr>
        <w:t>Zealand.</w:t>
      </w:r>
    </w:p>
    <w:p>
      <w:pPr>
        <w:pStyle w:val="ListParagraph"/>
        <w:numPr>
          <w:ilvl w:val="0"/>
          <w:numId w:val="99"/>
        </w:numPr>
        <w:tabs>
          <w:tab w:pos="1760" w:val="left" w:leader="none"/>
          <w:tab w:pos="1762" w:val="left" w:leader="none"/>
        </w:tabs>
        <w:spacing w:line="213" w:lineRule="auto" w:before="0" w:after="0"/>
        <w:ind w:left="1761" w:right="277" w:hanging="794"/>
        <w:jc w:val="left"/>
        <w:rPr>
          <w:sz w:val="13"/>
        </w:rPr>
      </w:pPr>
      <w:r>
        <w:rPr>
          <w:sz w:val="13"/>
        </w:rPr>
        <w:t>See for example recent research that provides recommendations about professional development training for interpreters working with deaf jurors in </w:t>
      </w:r>
      <w:r>
        <w:rPr>
          <w:spacing w:val="2"/>
          <w:sz w:val="13"/>
        </w:rPr>
        <w:t>Napier </w:t>
      </w:r>
      <w:r>
        <w:rPr>
          <w:sz w:val="13"/>
        </w:rPr>
        <w:t>et </w:t>
      </w:r>
      <w:r>
        <w:rPr>
          <w:spacing w:val="2"/>
          <w:sz w:val="13"/>
        </w:rPr>
        <w:t>al, </w:t>
      </w:r>
      <w:r>
        <w:rPr>
          <w:sz w:val="13"/>
        </w:rPr>
        <w:t>‘Training Legal Interpreters to Work with Deaf Jurors’ in Jeremy L Brunson (ed), </w:t>
      </w:r>
      <w:r>
        <w:rPr>
          <w:i/>
          <w:sz w:val="13"/>
        </w:rPr>
        <w:t>Legal </w:t>
      </w:r>
      <w:r>
        <w:rPr>
          <w:i/>
          <w:sz w:val="13"/>
        </w:rPr>
        <w:t>Interpreting—Teaching, Research and Practice </w:t>
      </w:r>
      <w:r>
        <w:rPr>
          <w:sz w:val="13"/>
        </w:rPr>
        <w:t>(Gallaudet University Press, 2022)</w:t>
      </w:r>
      <w:r>
        <w:rPr>
          <w:spacing w:val="9"/>
          <w:sz w:val="13"/>
        </w:rPr>
        <w:t> </w:t>
      </w:r>
      <w:r>
        <w:rPr>
          <w:spacing w:val="2"/>
          <w:sz w:val="13"/>
        </w:rPr>
        <w:t>246.</w:t>
      </w:r>
    </w:p>
    <w:p>
      <w:pPr>
        <w:pStyle w:val="ListParagraph"/>
        <w:numPr>
          <w:ilvl w:val="0"/>
          <w:numId w:val="99"/>
        </w:numPr>
        <w:tabs>
          <w:tab w:pos="1760" w:val="left" w:leader="none"/>
          <w:tab w:pos="1762" w:val="left" w:leader="none"/>
        </w:tabs>
        <w:spacing w:line="152" w:lineRule="exact" w:before="0" w:after="0"/>
        <w:ind w:left="1761" w:right="0" w:hanging="794"/>
        <w:jc w:val="left"/>
        <w:rPr>
          <w:sz w:val="13"/>
        </w:rPr>
      </w:pPr>
      <w:r>
        <w:rPr>
          <w:sz w:val="13"/>
        </w:rPr>
        <w:t>Consultation 13 (National Accreditation Authority for Translators and Interpreters</w:t>
      </w:r>
      <w:r>
        <w:rPr>
          <w:spacing w:val="12"/>
          <w:sz w:val="13"/>
        </w:rPr>
        <w:t> </w:t>
      </w:r>
      <w:r>
        <w:rPr>
          <w:sz w:val="13"/>
        </w:rPr>
        <w:t>(NAATI)).</w:t>
      </w:r>
    </w:p>
    <w:p>
      <w:pPr>
        <w:pStyle w:val="ListParagraph"/>
        <w:numPr>
          <w:ilvl w:val="0"/>
          <w:numId w:val="99"/>
        </w:numPr>
        <w:tabs>
          <w:tab w:pos="1761" w:val="left" w:leader="none"/>
          <w:tab w:pos="1762" w:val="left" w:leader="none"/>
        </w:tabs>
        <w:spacing w:line="160" w:lineRule="exact" w:before="0" w:after="0"/>
        <w:ind w:left="1761" w:right="0" w:hanging="794"/>
        <w:jc w:val="left"/>
        <w:rPr>
          <w:i/>
          <w:sz w:val="13"/>
        </w:rPr>
      </w:pPr>
      <w:r>
        <w:rPr>
          <w:sz w:val="13"/>
        </w:rPr>
        <w:t>Judicial</w:t>
      </w:r>
      <w:r>
        <w:rPr>
          <w:spacing w:val="4"/>
          <w:sz w:val="13"/>
        </w:rPr>
        <w:t> </w:t>
      </w:r>
      <w:r>
        <w:rPr>
          <w:sz w:val="13"/>
        </w:rPr>
        <w:t>Council</w:t>
      </w:r>
      <w:r>
        <w:rPr>
          <w:spacing w:val="4"/>
          <w:sz w:val="13"/>
        </w:rPr>
        <w:t> </w:t>
      </w:r>
      <w:r>
        <w:rPr>
          <w:sz w:val="13"/>
        </w:rPr>
        <w:t>on</w:t>
      </w:r>
      <w:r>
        <w:rPr>
          <w:spacing w:val="4"/>
          <w:sz w:val="13"/>
        </w:rPr>
        <w:t> </w:t>
      </w:r>
      <w:r>
        <w:rPr>
          <w:sz w:val="13"/>
        </w:rPr>
        <w:t>Cultural</w:t>
      </w:r>
      <w:r>
        <w:rPr>
          <w:spacing w:val="5"/>
          <w:sz w:val="13"/>
        </w:rPr>
        <w:t> </w:t>
      </w:r>
      <w:r>
        <w:rPr>
          <w:sz w:val="13"/>
        </w:rPr>
        <w:t>Diversity,</w:t>
      </w:r>
      <w:r>
        <w:rPr>
          <w:spacing w:val="4"/>
          <w:sz w:val="13"/>
        </w:rPr>
        <w:t> </w:t>
      </w:r>
      <w:r>
        <w:rPr>
          <w:i/>
          <w:spacing w:val="2"/>
          <w:sz w:val="13"/>
        </w:rPr>
        <w:t>Recommended</w:t>
      </w:r>
      <w:r>
        <w:rPr>
          <w:i/>
          <w:spacing w:val="4"/>
          <w:sz w:val="13"/>
        </w:rPr>
        <w:t> </w:t>
      </w:r>
      <w:r>
        <w:rPr>
          <w:i/>
          <w:sz w:val="13"/>
        </w:rPr>
        <w:t>National</w:t>
      </w:r>
      <w:r>
        <w:rPr>
          <w:i/>
          <w:spacing w:val="4"/>
          <w:sz w:val="13"/>
        </w:rPr>
        <w:t> </w:t>
      </w:r>
      <w:r>
        <w:rPr>
          <w:i/>
          <w:sz w:val="13"/>
        </w:rPr>
        <w:t>Standards</w:t>
      </w:r>
      <w:r>
        <w:rPr>
          <w:i/>
          <w:spacing w:val="5"/>
          <w:sz w:val="13"/>
        </w:rPr>
        <w:t> </w:t>
      </w:r>
      <w:r>
        <w:rPr>
          <w:i/>
          <w:sz w:val="13"/>
        </w:rPr>
        <w:t>for</w:t>
      </w:r>
      <w:r>
        <w:rPr>
          <w:i/>
          <w:spacing w:val="4"/>
          <w:sz w:val="13"/>
        </w:rPr>
        <w:t> </w:t>
      </w:r>
      <w:r>
        <w:rPr>
          <w:i/>
          <w:sz w:val="13"/>
        </w:rPr>
        <w:t>Working</w:t>
      </w:r>
      <w:r>
        <w:rPr>
          <w:i/>
          <w:spacing w:val="4"/>
          <w:sz w:val="13"/>
        </w:rPr>
        <w:t> </w:t>
      </w:r>
      <w:r>
        <w:rPr>
          <w:i/>
          <w:sz w:val="13"/>
        </w:rPr>
        <w:t>with</w:t>
      </w:r>
      <w:r>
        <w:rPr>
          <w:i/>
          <w:spacing w:val="4"/>
          <w:sz w:val="13"/>
        </w:rPr>
        <w:t> </w:t>
      </w:r>
      <w:r>
        <w:rPr>
          <w:i/>
          <w:sz w:val="13"/>
        </w:rPr>
        <w:t>Interpreters</w:t>
      </w:r>
      <w:r>
        <w:rPr>
          <w:i/>
          <w:spacing w:val="4"/>
          <w:sz w:val="13"/>
        </w:rPr>
        <w:t> </w:t>
      </w:r>
      <w:r>
        <w:rPr>
          <w:i/>
          <w:sz w:val="13"/>
        </w:rPr>
        <w:t>in</w:t>
      </w:r>
      <w:r>
        <w:rPr>
          <w:i/>
          <w:spacing w:val="5"/>
          <w:sz w:val="13"/>
        </w:rPr>
        <w:t> </w:t>
      </w:r>
      <w:r>
        <w:rPr>
          <w:i/>
          <w:spacing w:val="2"/>
          <w:sz w:val="13"/>
        </w:rPr>
        <w:t>Courts</w:t>
      </w:r>
      <w:r>
        <w:rPr>
          <w:i/>
          <w:spacing w:val="4"/>
          <w:sz w:val="13"/>
        </w:rPr>
        <w:t> </w:t>
      </w:r>
      <w:r>
        <w:rPr>
          <w:i/>
          <w:sz w:val="13"/>
        </w:rPr>
        <w:t>and</w:t>
      </w:r>
      <w:r>
        <w:rPr>
          <w:i/>
          <w:spacing w:val="4"/>
          <w:sz w:val="13"/>
        </w:rPr>
        <w:t> </w:t>
      </w:r>
      <w:r>
        <w:rPr>
          <w:i/>
          <w:sz w:val="13"/>
        </w:rPr>
        <w:t>Tribunals</w:t>
      </w:r>
    </w:p>
    <w:p>
      <w:pPr>
        <w:spacing w:line="170" w:lineRule="exact" w:before="0"/>
        <w:ind w:left="1761" w:right="0" w:firstLine="0"/>
        <w:jc w:val="left"/>
        <w:rPr>
          <w:sz w:val="13"/>
        </w:rPr>
      </w:pPr>
      <w:r>
        <w:rPr>
          <w:sz w:val="13"/>
        </w:rPr>
        <w:t>(Report, Second Edition, March 2022) 63, Standard 18 &lt;</w:t>
      </w:r>
      <w:hyperlink r:id="rId219">
        <w:r>
          <w:rPr>
            <w:sz w:val="13"/>
          </w:rPr>
          <w:t>https://jccd.org.au/publications/</w:t>
        </w:r>
      </w:hyperlink>
      <w:r>
        <w:rPr>
          <w:sz w:val="13"/>
        </w:rPr>
        <w:t>&gt;.</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2"/>
        <w:rPr>
          <w:sz w:val="35"/>
        </w:rPr>
      </w:pPr>
    </w:p>
    <w:p>
      <w:pPr>
        <w:spacing w:before="1"/>
        <w:ind w:left="597" w:right="0" w:firstLine="0"/>
        <w:jc w:val="left"/>
        <w:rPr>
          <w:b/>
          <w:sz w:val="24"/>
        </w:rPr>
      </w:pPr>
      <w:r>
        <w:rPr>
          <w:b/>
          <w:color w:val="37617A"/>
          <w:sz w:val="24"/>
        </w:rPr>
        <w:t>161</w:t>
      </w:r>
    </w:p>
    <w:p>
      <w:pPr>
        <w:spacing w:after="0"/>
        <w:jc w:val="left"/>
        <w:rPr>
          <w:sz w:val="24"/>
        </w:rPr>
        <w:sectPr>
          <w:type w:val="continuous"/>
          <w:pgSz w:w="11910" w:h="16840"/>
          <w:pgMar w:top="620" w:bottom="280" w:left="620" w:right="380"/>
          <w:cols w:num="2" w:equalWidth="0">
            <w:col w:w="9665" w:space="40"/>
            <w:col w:w="1205"/>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1" w:val="left" w:leader="none"/>
          <w:tab w:pos="1762" w:val="left" w:leader="none"/>
        </w:tabs>
        <w:spacing w:line="206" w:lineRule="auto" w:before="0" w:after="0"/>
        <w:ind w:left="1761" w:right="1398" w:hanging="794"/>
        <w:jc w:val="left"/>
        <w:rPr>
          <w:sz w:val="11"/>
        </w:rPr>
      </w:pPr>
      <w:r>
        <w:rPr>
          <w:sz w:val="20"/>
        </w:rPr>
        <w:t>The</w:t>
      </w:r>
      <w:r>
        <w:rPr>
          <w:spacing w:val="-9"/>
          <w:sz w:val="20"/>
        </w:rPr>
        <w:t> </w:t>
      </w:r>
      <w:r>
        <w:rPr>
          <w:spacing w:val="-4"/>
          <w:sz w:val="20"/>
        </w:rPr>
        <w:t>ACT</w:t>
      </w:r>
      <w:r>
        <w:rPr>
          <w:spacing w:val="-8"/>
          <w:sz w:val="20"/>
        </w:rPr>
        <w:t> </w:t>
      </w:r>
      <w:r>
        <w:rPr>
          <w:sz w:val="20"/>
        </w:rPr>
        <w:t>Sheriff</w:t>
      </w:r>
      <w:r>
        <w:rPr>
          <w:spacing w:val="-9"/>
          <w:sz w:val="20"/>
        </w:rPr>
        <w:t> </w:t>
      </w:r>
      <w:r>
        <w:rPr>
          <w:sz w:val="20"/>
        </w:rPr>
        <w:t>advised</w:t>
      </w:r>
      <w:r>
        <w:rPr>
          <w:spacing w:val="-8"/>
          <w:sz w:val="20"/>
        </w:rPr>
        <w:t> </w:t>
      </w:r>
      <w:r>
        <w:rPr>
          <w:sz w:val="20"/>
        </w:rPr>
        <w:t>the</w:t>
      </w:r>
      <w:r>
        <w:rPr>
          <w:spacing w:val="-9"/>
          <w:sz w:val="20"/>
        </w:rPr>
        <w:t> </w:t>
      </w:r>
      <w:r>
        <w:rPr>
          <w:sz w:val="20"/>
        </w:rPr>
        <w:t>Commission</w:t>
      </w:r>
      <w:r>
        <w:rPr>
          <w:spacing w:val="-8"/>
          <w:sz w:val="20"/>
        </w:rPr>
        <w:t> </w:t>
      </w:r>
      <w:r>
        <w:rPr>
          <w:sz w:val="20"/>
        </w:rPr>
        <w:t>that</w:t>
      </w:r>
      <w:r>
        <w:rPr>
          <w:spacing w:val="-9"/>
          <w:sz w:val="20"/>
        </w:rPr>
        <w:t> </w:t>
      </w:r>
      <w:r>
        <w:rPr>
          <w:sz w:val="20"/>
        </w:rPr>
        <w:t>the</w:t>
      </w:r>
      <w:r>
        <w:rPr>
          <w:spacing w:val="-8"/>
          <w:sz w:val="20"/>
        </w:rPr>
        <w:t> </w:t>
      </w:r>
      <w:r>
        <w:rPr>
          <w:spacing w:val="-4"/>
          <w:sz w:val="20"/>
        </w:rPr>
        <w:t>ACT</w:t>
      </w:r>
      <w:r>
        <w:rPr>
          <w:spacing w:val="-9"/>
          <w:sz w:val="20"/>
        </w:rPr>
        <w:t> </w:t>
      </w:r>
      <w:r>
        <w:rPr>
          <w:sz w:val="20"/>
        </w:rPr>
        <w:t>Supreme</w:t>
      </w:r>
      <w:r>
        <w:rPr>
          <w:spacing w:val="-8"/>
          <w:sz w:val="20"/>
        </w:rPr>
        <w:t> </w:t>
      </w:r>
      <w:r>
        <w:rPr>
          <w:sz w:val="20"/>
        </w:rPr>
        <w:t>Court</w:t>
      </w:r>
      <w:r>
        <w:rPr>
          <w:spacing w:val="-8"/>
          <w:sz w:val="20"/>
        </w:rPr>
        <w:t> </w:t>
      </w:r>
      <w:r>
        <w:rPr>
          <w:sz w:val="20"/>
        </w:rPr>
        <w:t>has</w:t>
      </w:r>
      <w:r>
        <w:rPr>
          <w:spacing w:val="-9"/>
          <w:sz w:val="20"/>
        </w:rPr>
        <w:t> </w:t>
      </w:r>
      <w:r>
        <w:rPr>
          <w:spacing w:val="-3"/>
          <w:sz w:val="20"/>
        </w:rPr>
        <w:t>developed </w:t>
      </w:r>
      <w:r>
        <w:rPr>
          <w:sz w:val="20"/>
        </w:rPr>
        <w:t>a number of documents to be used to familiarise Auslan </w:t>
      </w:r>
      <w:r>
        <w:rPr>
          <w:spacing w:val="-3"/>
          <w:sz w:val="20"/>
        </w:rPr>
        <w:t>interpreters </w:t>
      </w:r>
      <w:r>
        <w:rPr>
          <w:sz w:val="20"/>
        </w:rPr>
        <w:t>and support persons with their roles. Those documents include a one-page list of ‘standards </w:t>
      </w:r>
      <w:r>
        <w:rPr>
          <w:spacing w:val="-3"/>
          <w:sz w:val="20"/>
        </w:rPr>
        <w:t>required by </w:t>
      </w:r>
      <w:r>
        <w:rPr>
          <w:spacing w:val="-4"/>
          <w:sz w:val="20"/>
        </w:rPr>
        <w:t>interpreters’, </w:t>
      </w:r>
      <w:r>
        <w:rPr>
          <w:sz w:val="20"/>
        </w:rPr>
        <w:t>induction information and a court </w:t>
      </w:r>
      <w:r>
        <w:rPr>
          <w:spacing w:val="-3"/>
          <w:sz w:val="20"/>
        </w:rPr>
        <w:t>interpreters’ </w:t>
      </w:r>
      <w:r>
        <w:rPr>
          <w:sz w:val="20"/>
        </w:rPr>
        <w:t>code of conduct.</w:t>
      </w:r>
      <w:r>
        <w:rPr>
          <w:position w:val="7"/>
          <w:sz w:val="11"/>
        </w:rPr>
        <w:t>55</w:t>
      </w:r>
    </w:p>
    <w:p>
      <w:pPr>
        <w:pStyle w:val="ListParagraph"/>
        <w:numPr>
          <w:ilvl w:val="1"/>
          <w:numId w:val="12"/>
        </w:numPr>
        <w:tabs>
          <w:tab w:pos="1761" w:val="left" w:leader="none"/>
          <w:tab w:pos="1762" w:val="left" w:leader="none"/>
        </w:tabs>
        <w:spacing w:line="206" w:lineRule="auto" w:before="127" w:after="0"/>
        <w:ind w:left="1761" w:right="1265" w:hanging="794"/>
        <w:jc w:val="left"/>
        <w:rPr>
          <w:sz w:val="11"/>
        </w:rPr>
      </w:pPr>
      <w:r>
        <w:rPr>
          <w:sz w:val="20"/>
        </w:rPr>
        <w:t>The </w:t>
      </w:r>
      <w:r>
        <w:rPr>
          <w:spacing w:val="-4"/>
          <w:sz w:val="20"/>
        </w:rPr>
        <w:t>ACT </w:t>
      </w:r>
      <w:r>
        <w:rPr>
          <w:sz w:val="20"/>
        </w:rPr>
        <w:t>Sheriff plans to send a </w:t>
      </w:r>
      <w:r>
        <w:rPr>
          <w:spacing w:val="-3"/>
          <w:sz w:val="20"/>
        </w:rPr>
        <w:t>copy </w:t>
      </w:r>
      <w:r>
        <w:rPr>
          <w:sz w:val="20"/>
        </w:rPr>
        <w:t>of the standards and code of conduct to the Auslan</w:t>
      </w:r>
      <w:r>
        <w:rPr>
          <w:spacing w:val="-7"/>
          <w:sz w:val="20"/>
        </w:rPr>
        <w:t> </w:t>
      </w:r>
      <w:r>
        <w:rPr>
          <w:spacing w:val="-3"/>
          <w:sz w:val="20"/>
        </w:rPr>
        <w:t>interpreter</w:t>
      </w:r>
      <w:r>
        <w:rPr>
          <w:spacing w:val="-7"/>
          <w:sz w:val="20"/>
        </w:rPr>
        <w:t> </w:t>
      </w:r>
      <w:r>
        <w:rPr>
          <w:spacing w:val="-3"/>
          <w:sz w:val="20"/>
        </w:rPr>
        <w:t>before</w:t>
      </w:r>
      <w:r>
        <w:rPr>
          <w:spacing w:val="-7"/>
          <w:sz w:val="20"/>
        </w:rPr>
        <w:t> </w:t>
      </w:r>
      <w:r>
        <w:rPr>
          <w:sz w:val="20"/>
        </w:rPr>
        <w:t>they</w:t>
      </w:r>
      <w:r>
        <w:rPr>
          <w:spacing w:val="-6"/>
          <w:sz w:val="20"/>
        </w:rPr>
        <w:t> </w:t>
      </w:r>
      <w:r>
        <w:rPr>
          <w:spacing w:val="-3"/>
          <w:sz w:val="20"/>
        </w:rPr>
        <w:t>are</w:t>
      </w:r>
      <w:r>
        <w:rPr>
          <w:spacing w:val="-7"/>
          <w:sz w:val="20"/>
        </w:rPr>
        <w:t> </w:t>
      </w:r>
      <w:r>
        <w:rPr>
          <w:sz w:val="20"/>
        </w:rPr>
        <w:t>to</w:t>
      </w:r>
      <w:r>
        <w:rPr>
          <w:spacing w:val="-7"/>
          <w:sz w:val="20"/>
        </w:rPr>
        <w:t> </w:t>
      </w:r>
      <w:r>
        <w:rPr>
          <w:sz w:val="20"/>
        </w:rPr>
        <w:t>attend</w:t>
      </w:r>
      <w:r>
        <w:rPr>
          <w:spacing w:val="-7"/>
          <w:sz w:val="20"/>
        </w:rPr>
        <w:t> </w:t>
      </w:r>
      <w:r>
        <w:rPr>
          <w:sz w:val="20"/>
        </w:rPr>
        <w:t>court,</w:t>
      </w:r>
      <w:r>
        <w:rPr>
          <w:spacing w:val="-6"/>
          <w:sz w:val="20"/>
        </w:rPr>
        <w:t> </w:t>
      </w:r>
      <w:r>
        <w:rPr>
          <w:sz w:val="20"/>
        </w:rPr>
        <w:t>and</w:t>
      </w:r>
      <w:r>
        <w:rPr>
          <w:spacing w:val="-7"/>
          <w:sz w:val="20"/>
        </w:rPr>
        <w:t> </w:t>
      </w:r>
      <w:r>
        <w:rPr>
          <w:spacing w:val="-3"/>
          <w:sz w:val="20"/>
        </w:rPr>
        <w:t>require</w:t>
      </w:r>
      <w:r>
        <w:rPr>
          <w:spacing w:val="-7"/>
          <w:sz w:val="20"/>
        </w:rPr>
        <w:t> </w:t>
      </w:r>
      <w:r>
        <w:rPr>
          <w:sz w:val="20"/>
        </w:rPr>
        <w:t>the</w:t>
      </w:r>
      <w:r>
        <w:rPr>
          <w:spacing w:val="-7"/>
          <w:sz w:val="20"/>
        </w:rPr>
        <w:t> </w:t>
      </w:r>
      <w:r>
        <w:rPr>
          <w:sz w:val="20"/>
        </w:rPr>
        <w:t>Auslan</w:t>
      </w:r>
      <w:r>
        <w:rPr>
          <w:spacing w:val="-6"/>
          <w:sz w:val="20"/>
        </w:rPr>
        <w:t> </w:t>
      </w:r>
      <w:r>
        <w:rPr>
          <w:spacing w:val="-3"/>
          <w:sz w:val="20"/>
        </w:rPr>
        <w:t>interpreter</w:t>
      </w:r>
      <w:r>
        <w:rPr>
          <w:spacing w:val="-7"/>
          <w:sz w:val="20"/>
        </w:rPr>
        <w:t> </w:t>
      </w:r>
      <w:r>
        <w:rPr>
          <w:sz w:val="20"/>
        </w:rPr>
        <w:t>to sign</w:t>
      </w:r>
      <w:r>
        <w:rPr>
          <w:spacing w:val="-9"/>
          <w:sz w:val="20"/>
        </w:rPr>
        <w:t> </w:t>
      </w:r>
      <w:r>
        <w:rPr>
          <w:sz w:val="20"/>
        </w:rPr>
        <w:t>and</w:t>
      </w:r>
      <w:r>
        <w:rPr>
          <w:spacing w:val="-9"/>
          <w:sz w:val="20"/>
        </w:rPr>
        <w:t> </w:t>
      </w:r>
      <w:r>
        <w:rPr>
          <w:spacing w:val="-3"/>
          <w:sz w:val="20"/>
        </w:rPr>
        <w:t>return</w:t>
      </w:r>
      <w:r>
        <w:rPr>
          <w:spacing w:val="-8"/>
          <w:sz w:val="20"/>
        </w:rPr>
        <w:t> </w:t>
      </w:r>
      <w:r>
        <w:rPr>
          <w:sz w:val="20"/>
        </w:rPr>
        <w:t>the</w:t>
      </w:r>
      <w:r>
        <w:rPr>
          <w:spacing w:val="-9"/>
          <w:sz w:val="20"/>
        </w:rPr>
        <w:t> </w:t>
      </w:r>
      <w:r>
        <w:rPr>
          <w:sz w:val="20"/>
        </w:rPr>
        <w:t>documents</w:t>
      </w:r>
      <w:r>
        <w:rPr>
          <w:spacing w:val="-9"/>
          <w:sz w:val="20"/>
        </w:rPr>
        <w:t> </w:t>
      </w:r>
      <w:r>
        <w:rPr>
          <w:spacing w:val="-3"/>
          <w:sz w:val="20"/>
        </w:rPr>
        <w:t>before</w:t>
      </w:r>
      <w:r>
        <w:rPr>
          <w:spacing w:val="-8"/>
          <w:sz w:val="20"/>
        </w:rPr>
        <w:t> </w:t>
      </w:r>
      <w:r>
        <w:rPr>
          <w:sz w:val="20"/>
        </w:rPr>
        <w:t>their</w:t>
      </w:r>
      <w:r>
        <w:rPr>
          <w:spacing w:val="-9"/>
          <w:sz w:val="20"/>
        </w:rPr>
        <w:t> </w:t>
      </w:r>
      <w:r>
        <w:rPr>
          <w:sz w:val="20"/>
        </w:rPr>
        <w:t>induction.</w:t>
      </w:r>
      <w:r>
        <w:rPr>
          <w:spacing w:val="-9"/>
          <w:sz w:val="20"/>
        </w:rPr>
        <w:t> </w:t>
      </w:r>
      <w:r>
        <w:rPr>
          <w:sz w:val="20"/>
        </w:rPr>
        <w:t>Induction</w:t>
      </w:r>
      <w:r>
        <w:rPr>
          <w:spacing w:val="-8"/>
          <w:sz w:val="20"/>
        </w:rPr>
        <w:t> </w:t>
      </w:r>
      <w:r>
        <w:rPr>
          <w:sz w:val="20"/>
        </w:rPr>
        <w:t>is</w:t>
      </w:r>
      <w:r>
        <w:rPr>
          <w:spacing w:val="-9"/>
          <w:sz w:val="20"/>
        </w:rPr>
        <w:t> </w:t>
      </w:r>
      <w:r>
        <w:rPr>
          <w:spacing w:val="-3"/>
          <w:sz w:val="20"/>
        </w:rPr>
        <w:t>likely</w:t>
      </w:r>
      <w:r>
        <w:rPr>
          <w:spacing w:val="-9"/>
          <w:sz w:val="20"/>
        </w:rPr>
        <w:t> </w:t>
      </w:r>
      <w:r>
        <w:rPr>
          <w:sz w:val="20"/>
        </w:rPr>
        <w:t>to</w:t>
      </w:r>
      <w:r>
        <w:rPr>
          <w:spacing w:val="-8"/>
          <w:sz w:val="20"/>
        </w:rPr>
        <w:t> </w:t>
      </w:r>
      <w:r>
        <w:rPr>
          <w:sz w:val="20"/>
        </w:rPr>
        <w:t>occur</w:t>
      </w:r>
      <w:r>
        <w:rPr>
          <w:spacing w:val="-9"/>
          <w:sz w:val="20"/>
        </w:rPr>
        <w:t> </w:t>
      </w:r>
      <w:r>
        <w:rPr>
          <w:sz w:val="20"/>
        </w:rPr>
        <w:t>on</w:t>
      </w:r>
      <w:r>
        <w:rPr>
          <w:spacing w:val="-9"/>
          <w:sz w:val="20"/>
        </w:rPr>
        <w:t> </w:t>
      </w:r>
      <w:r>
        <w:rPr>
          <w:sz w:val="20"/>
        </w:rPr>
        <w:t>the first</w:t>
      </w:r>
      <w:r>
        <w:rPr>
          <w:spacing w:val="-9"/>
          <w:sz w:val="20"/>
        </w:rPr>
        <w:t> </w:t>
      </w:r>
      <w:r>
        <w:rPr>
          <w:spacing w:val="-3"/>
          <w:sz w:val="20"/>
        </w:rPr>
        <w:t>day</w:t>
      </w:r>
      <w:r>
        <w:rPr>
          <w:spacing w:val="-8"/>
          <w:sz w:val="20"/>
        </w:rPr>
        <w:t> </w:t>
      </w:r>
      <w:r>
        <w:rPr>
          <w:sz w:val="20"/>
        </w:rPr>
        <w:t>of</w:t>
      </w:r>
      <w:r>
        <w:rPr>
          <w:spacing w:val="-8"/>
          <w:sz w:val="20"/>
        </w:rPr>
        <w:t> </w:t>
      </w:r>
      <w:r>
        <w:rPr>
          <w:sz w:val="20"/>
        </w:rPr>
        <w:t>attendance</w:t>
      </w:r>
      <w:r>
        <w:rPr>
          <w:spacing w:val="-9"/>
          <w:sz w:val="20"/>
        </w:rPr>
        <w:t> </w:t>
      </w:r>
      <w:r>
        <w:rPr>
          <w:sz w:val="20"/>
        </w:rPr>
        <w:t>at</w:t>
      </w:r>
      <w:r>
        <w:rPr>
          <w:spacing w:val="-8"/>
          <w:sz w:val="20"/>
        </w:rPr>
        <w:t> </w:t>
      </w:r>
      <w:r>
        <w:rPr>
          <w:sz w:val="20"/>
        </w:rPr>
        <w:t>court,</w:t>
      </w:r>
      <w:r>
        <w:rPr>
          <w:spacing w:val="-8"/>
          <w:sz w:val="20"/>
        </w:rPr>
        <w:t> </w:t>
      </w:r>
      <w:r>
        <w:rPr>
          <w:sz w:val="20"/>
        </w:rPr>
        <w:t>but</w:t>
      </w:r>
      <w:r>
        <w:rPr>
          <w:spacing w:val="-8"/>
          <w:sz w:val="20"/>
        </w:rPr>
        <w:t> </w:t>
      </w:r>
      <w:r>
        <w:rPr>
          <w:spacing w:val="-3"/>
          <w:sz w:val="20"/>
        </w:rPr>
        <w:t>we</w:t>
      </w:r>
      <w:r>
        <w:rPr>
          <w:spacing w:val="-9"/>
          <w:sz w:val="20"/>
        </w:rPr>
        <w:t> </w:t>
      </w:r>
      <w:r>
        <w:rPr>
          <w:spacing w:val="-4"/>
          <w:sz w:val="20"/>
        </w:rPr>
        <w:t>were</w:t>
      </w:r>
      <w:r>
        <w:rPr>
          <w:spacing w:val="-8"/>
          <w:sz w:val="20"/>
        </w:rPr>
        <w:t> </w:t>
      </w:r>
      <w:r>
        <w:rPr>
          <w:spacing w:val="-3"/>
          <w:sz w:val="20"/>
        </w:rPr>
        <w:t>told</w:t>
      </w:r>
      <w:r>
        <w:rPr>
          <w:spacing w:val="-8"/>
          <w:sz w:val="20"/>
        </w:rPr>
        <w:t> </w:t>
      </w:r>
      <w:r>
        <w:rPr>
          <w:sz w:val="20"/>
        </w:rPr>
        <w:t>that</w:t>
      </w:r>
      <w:r>
        <w:rPr>
          <w:spacing w:val="-8"/>
          <w:sz w:val="20"/>
        </w:rPr>
        <w:t> </w:t>
      </w:r>
      <w:r>
        <w:rPr>
          <w:sz w:val="20"/>
        </w:rPr>
        <w:t>the</w:t>
      </w:r>
      <w:r>
        <w:rPr>
          <w:spacing w:val="-9"/>
          <w:sz w:val="20"/>
        </w:rPr>
        <w:t> </w:t>
      </w:r>
      <w:r>
        <w:rPr>
          <w:sz w:val="20"/>
        </w:rPr>
        <w:t>timing</w:t>
      </w:r>
      <w:r>
        <w:rPr>
          <w:spacing w:val="-8"/>
          <w:sz w:val="20"/>
        </w:rPr>
        <w:t> </w:t>
      </w:r>
      <w:r>
        <w:rPr>
          <w:sz w:val="20"/>
        </w:rPr>
        <w:t>of</w:t>
      </w:r>
      <w:r>
        <w:rPr>
          <w:spacing w:val="-8"/>
          <w:sz w:val="20"/>
        </w:rPr>
        <w:t> </w:t>
      </w:r>
      <w:r>
        <w:rPr>
          <w:sz w:val="20"/>
        </w:rPr>
        <w:t>this</w:t>
      </w:r>
      <w:r>
        <w:rPr>
          <w:spacing w:val="-8"/>
          <w:sz w:val="20"/>
        </w:rPr>
        <w:t> </w:t>
      </w:r>
      <w:r>
        <w:rPr>
          <w:sz w:val="20"/>
        </w:rPr>
        <w:t>will</w:t>
      </w:r>
      <w:r>
        <w:rPr>
          <w:spacing w:val="-9"/>
          <w:sz w:val="20"/>
        </w:rPr>
        <w:t> </w:t>
      </w:r>
      <w:r>
        <w:rPr>
          <w:sz w:val="20"/>
        </w:rPr>
        <w:t>depend</w:t>
      </w:r>
      <w:r>
        <w:rPr>
          <w:spacing w:val="-8"/>
          <w:sz w:val="20"/>
        </w:rPr>
        <w:t> </w:t>
      </w:r>
      <w:r>
        <w:rPr>
          <w:sz w:val="20"/>
        </w:rPr>
        <w:t>on the supports that </w:t>
      </w:r>
      <w:r>
        <w:rPr>
          <w:spacing w:val="-3"/>
          <w:sz w:val="20"/>
        </w:rPr>
        <w:t>are</w:t>
      </w:r>
      <w:r>
        <w:rPr>
          <w:spacing w:val="-17"/>
          <w:sz w:val="20"/>
        </w:rPr>
        <w:t> </w:t>
      </w:r>
      <w:r>
        <w:rPr>
          <w:sz w:val="20"/>
        </w:rPr>
        <w:t>required.</w:t>
      </w:r>
      <w:r>
        <w:rPr>
          <w:position w:val="7"/>
          <w:sz w:val="11"/>
        </w:rPr>
        <w:t>56</w:t>
      </w:r>
    </w:p>
    <w:p>
      <w:pPr>
        <w:pStyle w:val="ListParagraph"/>
        <w:numPr>
          <w:ilvl w:val="1"/>
          <w:numId w:val="12"/>
        </w:numPr>
        <w:tabs>
          <w:tab w:pos="1762" w:val="left" w:leader="none"/>
        </w:tabs>
        <w:spacing w:line="206" w:lineRule="auto" w:before="126" w:after="0"/>
        <w:ind w:left="1761" w:right="1395" w:hanging="794"/>
        <w:jc w:val="both"/>
        <w:rPr>
          <w:sz w:val="20"/>
        </w:rPr>
      </w:pPr>
      <w:r>
        <w:rPr>
          <w:sz w:val="20"/>
        </w:rPr>
        <w:t>The</w:t>
      </w:r>
      <w:r>
        <w:rPr>
          <w:spacing w:val="-11"/>
          <w:sz w:val="20"/>
        </w:rPr>
        <w:t> </w:t>
      </w:r>
      <w:r>
        <w:rPr>
          <w:spacing w:val="-4"/>
          <w:sz w:val="20"/>
        </w:rPr>
        <w:t>ACT</w:t>
      </w:r>
      <w:r>
        <w:rPr>
          <w:spacing w:val="-10"/>
          <w:sz w:val="20"/>
        </w:rPr>
        <w:t> </w:t>
      </w:r>
      <w:r>
        <w:rPr>
          <w:sz w:val="20"/>
        </w:rPr>
        <w:t>standards</w:t>
      </w:r>
      <w:r>
        <w:rPr>
          <w:spacing w:val="-10"/>
          <w:sz w:val="20"/>
        </w:rPr>
        <w:t> </w:t>
      </w:r>
      <w:r>
        <w:rPr>
          <w:sz w:val="20"/>
        </w:rPr>
        <w:t>document</w:t>
      </w:r>
      <w:r>
        <w:rPr>
          <w:spacing w:val="-11"/>
          <w:sz w:val="20"/>
        </w:rPr>
        <w:t> </w:t>
      </w:r>
      <w:r>
        <w:rPr>
          <w:sz w:val="20"/>
        </w:rPr>
        <w:t>for</w:t>
      </w:r>
      <w:r>
        <w:rPr>
          <w:spacing w:val="-10"/>
          <w:sz w:val="20"/>
        </w:rPr>
        <w:t> </w:t>
      </w:r>
      <w:r>
        <w:rPr>
          <w:spacing w:val="-3"/>
          <w:sz w:val="20"/>
        </w:rPr>
        <w:t>interpreters</w:t>
      </w:r>
      <w:r>
        <w:rPr>
          <w:spacing w:val="-10"/>
          <w:sz w:val="20"/>
        </w:rPr>
        <w:t> </w:t>
      </w:r>
      <w:r>
        <w:rPr>
          <w:sz w:val="20"/>
        </w:rPr>
        <w:t>includes</w:t>
      </w:r>
      <w:r>
        <w:rPr>
          <w:spacing w:val="-10"/>
          <w:sz w:val="20"/>
        </w:rPr>
        <w:t> </w:t>
      </w:r>
      <w:r>
        <w:rPr>
          <w:sz w:val="20"/>
        </w:rPr>
        <w:t>information</w:t>
      </w:r>
      <w:r>
        <w:rPr>
          <w:spacing w:val="-11"/>
          <w:sz w:val="20"/>
        </w:rPr>
        <w:t> </w:t>
      </w:r>
      <w:r>
        <w:rPr>
          <w:sz w:val="20"/>
        </w:rPr>
        <w:t>about</w:t>
      </w:r>
      <w:r>
        <w:rPr>
          <w:spacing w:val="-10"/>
          <w:sz w:val="20"/>
        </w:rPr>
        <w:t> </w:t>
      </w:r>
      <w:r>
        <w:rPr>
          <w:spacing w:val="-3"/>
          <w:sz w:val="20"/>
        </w:rPr>
        <w:t>punctuality, </w:t>
      </w:r>
      <w:r>
        <w:rPr>
          <w:sz w:val="20"/>
        </w:rPr>
        <w:t>dress,</w:t>
      </w:r>
      <w:r>
        <w:rPr>
          <w:spacing w:val="-14"/>
          <w:sz w:val="20"/>
        </w:rPr>
        <w:t> </w:t>
      </w:r>
      <w:r>
        <w:rPr>
          <w:sz w:val="20"/>
        </w:rPr>
        <w:t>remuneration,</w:t>
      </w:r>
      <w:r>
        <w:rPr>
          <w:spacing w:val="-13"/>
          <w:sz w:val="20"/>
        </w:rPr>
        <w:t> </w:t>
      </w:r>
      <w:r>
        <w:rPr>
          <w:sz w:val="20"/>
        </w:rPr>
        <w:t>breaks,</w:t>
      </w:r>
      <w:r>
        <w:rPr>
          <w:spacing w:val="-13"/>
          <w:sz w:val="20"/>
        </w:rPr>
        <w:t> </w:t>
      </w:r>
      <w:r>
        <w:rPr>
          <w:spacing w:val="-3"/>
          <w:sz w:val="20"/>
        </w:rPr>
        <w:t>providing</w:t>
      </w:r>
      <w:r>
        <w:rPr>
          <w:spacing w:val="-14"/>
          <w:sz w:val="20"/>
        </w:rPr>
        <w:t> </w:t>
      </w:r>
      <w:r>
        <w:rPr>
          <w:sz w:val="20"/>
        </w:rPr>
        <w:t>feedback,</w:t>
      </w:r>
      <w:r>
        <w:rPr>
          <w:spacing w:val="-13"/>
          <w:sz w:val="20"/>
        </w:rPr>
        <w:t> </w:t>
      </w:r>
      <w:r>
        <w:rPr>
          <w:sz w:val="20"/>
        </w:rPr>
        <w:t>working</w:t>
      </w:r>
      <w:r>
        <w:rPr>
          <w:spacing w:val="-13"/>
          <w:sz w:val="20"/>
        </w:rPr>
        <w:t> </w:t>
      </w:r>
      <w:r>
        <w:rPr>
          <w:sz w:val="20"/>
        </w:rPr>
        <w:t>in</w:t>
      </w:r>
      <w:r>
        <w:rPr>
          <w:spacing w:val="-14"/>
          <w:sz w:val="20"/>
        </w:rPr>
        <w:t> </w:t>
      </w:r>
      <w:r>
        <w:rPr>
          <w:sz w:val="20"/>
        </w:rPr>
        <w:t>tandem,</w:t>
      </w:r>
      <w:r>
        <w:rPr>
          <w:spacing w:val="-13"/>
          <w:sz w:val="20"/>
        </w:rPr>
        <w:t> </w:t>
      </w:r>
      <w:r>
        <w:rPr>
          <w:sz w:val="20"/>
        </w:rPr>
        <w:t>as</w:t>
      </w:r>
      <w:r>
        <w:rPr>
          <w:spacing w:val="-13"/>
          <w:sz w:val="20"/>
        </w:rPr>
        <w:t> </w:t>
      </w:r>
      <w:r>
        <w:rPr>
          <w:sz w:val="20"/>
        </w:rPr>
        <w:t>well</w:t>
      </w:r>
      <w:r>
        <w:rPr>
          <w:spacing w:val="-14"/>
          <w:sz w:val="20"/>
        </w:rPr>
        <w:t> </w:t>
      </w:r>
      <w:r>
        <w:rPr>
          <w:sz w:val="20"/>
        </w:rPr>
        <w:t>as</w:t>
      </w:r>
      <w:r>
        <w:rPr>
          <w:spacing w:val="-13"/>
          <w:sz w:val="20"/>
        </w:rPr>
        <w:t> </w:t>
      </w:r>
      <w:r>
        <w:rPr>
          <w:sz w:val="20"/>
        </w:rPr>
        <w:t>duties and obligations</w:t>
      </w:r>
      <w:r>
        <w:rPr>
          <w:spacing w:val="-9"/>
          <w:sz w:val="20"/>
        </w:rPr>
        <w:t> </w:t>
      </w:r>
      <w:r>
        <w:rPr>
          <w:spacing w:val="-3"/>
          <w:sz w:val="20"/>
        </w:rPr>
        <w:t>to:</w:t>
      </w:r>
    </w:p>
    <w:p>
      <w:pPr>
        <w:pStyle w:val="ListParagraph"/>
        <w:numPr>
          <w:ilvl w:val="2"/>
          <w:numId w:val="12"/>
        </w:numPr>
        <w:tabs>
          <w:tab w:pos="2517" w:val="left" w:leader="none"/>
          <w:tab w:pos="2518" w:val="left" w:leader="none"/>
        </w:tabs>
        <w:spacing w:line="208" w:lineRule="auto" w:before="121" w:after="0"/>
        <w:ind w:left="2517" w:right="1701" w:hanging="360"/>
        <w:jc w:val="left"/>
        <w:rPr>
          <w:sz w:val="19"/>
        </w:rPr>
      </w:pPr>
      <w:r>
        <w:rPr>
          <w:sz w:val="19"/>
        </w:rPr>
        <w:t>Diligently</w:t>
      </w:r>
      <w:r>
        <w:rPr>
          <w:spacing w:val="-7"/>
          <w:sz w:val="19"/>
        </w:rPr>
        <w:t> </w:t>
      </w:r>
      <w:r>
        <w:rPr>
          <w:sz w:val="19"/>
        </w:rPr>
        <w:t>and</w:t>
      </w:r>
      <w:r>
        <w:rPr>
          <w:spacing w:val="-6"/>
          <w:sz w:val="19"/>
        </w:rPr>
        <w:t> </w:t>
      </w:r>
      <w:r>
        <w:rPr>
          <w:sz w:val="19"/>
        </w:rPr>
        <w:t>impartially</w:t>
      </w:r>
      <w:r>
        <w:rPr>
          <w:spacing w:val="-6"/>
          <w:sz w:val="19"/>
        </w:rPr>
        <w:t> </w:t>
      </w:r>
      <w:r>
        <w:rPr>
          <w:sz w:val="19"/>
        </w:rPr>
        <w:t>interpret</w:t>
      </w:r>
      <w:r>
        <w:rPr>
          <w:spacing w:val="-6"/>
          <w:sz w:val="19"/>
        </w:rPr>
        <w:t> </w:t>
      </w:r>
      <w:r>
        <w:rPr>
          <w:sz w:val="19"/>
        </w:rPr>
        <w:t>communication</w:t>
      </w:r>
      <w:r>
        <w:rPr>
          <w:spacing w:val="-6"/>
          <w:sz w:val="19"/>
        </w:rPr>
        <w:t> </w:t>
      </w:r>
      <w:r>
        <w:rPr>
          <w:sz w:val="19"/>
        </w:rPr>
        <w:t>in</w:t>
      </w:r>
      <w:r>
        <w:rPr>
          <w:spacing w:val="-6"/>
          <w:sz w:val="19"/>
        </w:rPr>
        <w:t> </w:t>
      </w:r>
      <w:r>
        <w:rPr>
          <w:sz w:val="19"/>
        </w:rPr>
        <w:t>connection</w:t>
      </w:r>
      <w:r>
        <w:rPr>
          <w:spacing w:val="-6"/>
          <w:sz w:val="19"/>
        </w:rPr>
        <w:t> </w:t>
      </w:r>
      <w:r>
        <w:rPr>
          <w:sz w:val="19"/>
        </w:rPr>
        <w:t>with</w:t>
      </w:r>
      <w:r>
        <w:rPr>
          <w:spacing w:val="-6"/>
          <w:sz w:val="19"/>
        </w:rPr>
        <w:t> </w:t>
      </w:r>
      <w:r>
        <w:rPr>
          <w:sz w:val="19"/>
        </w:rPr>
        <w:t>a</w:t>
      </w:r>
      <w:r>
        <w:rPr>
          <w:spacing w:val="-6"/>
          <w:sz w:val="19"/>
        </w:rPr>
        <w:t> </w:t>
      </w:r>
      <w:r>
        <w:rPr>
          <w:sz w:val="19"/>
        </w:rPr>
        <w:t>court proceeding as accurately and completely as</w:t>
      </w:r>
      <w:r>
        <w:rPr>
          <w:spacing w:val="-17"/>
          <w:sz w:val="19"/>
        </w:rPr>
        <w:t> </w:t>
      </w:r>
      <w:r>
        <w:rPr>
          <w:sz w:val="19"/>
        </w:rPr>
        <w:t>possible</w:t>
      </w:r>
    </w:p>
    <w:p>
      <w:pPr>
        <w:pStyle w:val="ListParagraph"/>
        <w:numPr>
          <w:ilvl w:val="2"/>
          <w:numId w:val="12"/>
        </w:numPr>
        <w:tabs>
          <w:tab w:pos="2517" w:val="left" w:leader="none"/>
          <w:tab w:pos="2518" w:val="left" w:leader="none"/>
        </w:tabs>
        <w:spacing w:line="208" w:lineRule="auto" w:before="122" w:after="0"/>
        <w:ind w:left="2517" w:right="1366" w:hanging="360"/>
        <w:jc w:val="left"/>
        <w:rPr>
          <w:sz w:val="19"/>
        </w:rPr>
      </w:pPr>
      <w:r>
        <w:rPr>
          <w:sz w:val="19"/>
        </w:rPr>
        <w:t>Diligently</w:t>
      </w:r>
      <w:r>
        <w:rPr>
          <w:spacing w:val="-10"/>
          <w:sz w:val="19"/>
        </w:rPr>
        <w:t> </w:t>
      </w:r>
      <w:r>
        <w:rPr>
          <w:sz w:val="19"/>
        </w:rPr>
        <w:t>interpret</w:t>
      </w:r>
      <w:r>
        <w:rPr>
          <w:spacing w:val="-10"/>
          <w:sz w:val="19"/>
        </w:rPr>
        <w:t> </w:t>
      </w:r>
      <w:r>
        <w:rPr>
          <w:sz w:val="19"/>
        </w:rPr>
        <w:t>communication</w:t>
      </w:r>
      <w:r>
        <w:rPr>
          <w:spacing w:val="-9"/>
          <w:sz w:val="19"/>
        </w:rPr>
        <w:t> </w:t>
      </w:r>
      <w:r>
        <w:rPr>
          <w:sz w:val="19"/>
        </w:rPr>
        <w:t>between</w:t>
      </w:r>
      <w:r>
        <w:rPr>
          <w:spacing w:val="-10"/>
          <w:sz w:val="19"/>
        </w:rPr>
        <w:t> </w:t>
      </w:r>
      <w:r>
        <w:rPr>
          <w:sz w:val="19"/>
        </w:rPr>
        <w:t>jurors</w:t>
      </w:r>
      <w:r>
        <w:rPr>
          <w:spacing w:val="-10"/>
          <w:sz w:val="19"/>
        </w:rPr>
        <w:t> </w:t>
      </w:r>
      <w:r>
        <w:rPr>
          <w:sz w:val="19"/>
        </w:rPr>
        <w:t>as</w:t>
      </w:r>
      <w:r>
        <w:rPr>
          <w:spacing w:val="-9"/>
          <w:sz w:val="19"/>
        </w:rPr>
        <w:t> </w:t>
      </w:r>
      <w:r>
        <w:rPr>
          <w:sz w:val="19"/>
        </w:rPr>
        <w:t>accurately</w:t>
      </w:r>
      <w:r>
        <w:rPr>
          <w:spacing w:val="-10"/>
          <w:sz w:val="19"/>
        </w:rPr>
        <w:t> </w:t>
      </w:r>
      <w:r>
        <w:rPr>
          <w:sz w:val="19"/>
        </w:rPr>
        <w:t>and</w:t>
      </w:r>
      <w:r>
        <w:rPr>
          <w:spacing w:val="-10"/>
          <w:sz w:val="19"/>
        </w:rPr>
        <w:t> </w:t>
      </w:r>
      <w:r>
        <w:rPr>
          <w:sz w:val="19"/>
        </w:rPr>
        <w:t>completely as possible and not add or include your opinion or</w:t>
      </w:r>
      <w:r>
        <w:rPr>
          <w:spacing w:val="-22"/>
          <w:sz w:val="19"/>
        </w:rPr>
        <w:t> </w:t>
      </w:r>
      <w:r>
        <w:rPr>
          <w:sz w:val="19"/>
        </w:rPr>
        <w:t>beliefs</w:t>
      </w:r>
    </w:p>
    <w:p>
      <w:pPr>
        <w:pStyle w:val="ListParagraph"/>
        <w:numPr>
          <w:ilvl w:val="2"/>
          <w:numId w:val="12"/>
        </w:numPr>
        <w:tabs>
          <w:tab w:pos="2517" w:val="left" w:leader="none"/>
          <w:tab w:pos="2518" w:val="left" w:leader="none"/>
        </w:tabs>
        <w:spacing w:line="240" w:lineRule="auto" w:before="92" w:after="0"/>
        <w:ind w:left="2517" w:right="0" w:hanging="360"/>
        <w:jc w:val="left"/>
        <w:rPr>
          <w:sz w:val="19"/>
        </w:rPr>
      </w:pPr>
      <w:r>
        <w:rPr>
          <w:sz w:val="19"/>
        </w:rPr>
        <w:t>Comply with all directions of the</w:t>
      </w:r>
      <w:r>
        <w:rPr>
          <w:spacing w:val="-13"/>
          <w:sz w:val="19"/>
        </w:rPr>
        <w:t> </w:t>
      </w:r>
      <w:r>
        <w:rPr>
          <w:sz w:val="19"/>
        </w:rPr>
        <w:t>Court</w:t>
      </w:r>
    </w:p>
    <w:p>
      <w:pPr>
        <w:pStyle w:val="ListParagraph"/>
        <w:numPr>
          <w:ilvl w:val="2"/>
          <w:numId w:val="12"/>
        </w:numPr>
        <w:tabs>
          <w:tab w:pos="2517" w:val="left" w:leader="none"/>
          <w:tab w:pos="2518" w:val="left" w:leader="none"/>
        </w:tabs>
        <w:spacing w:line="240" w:lineRule="auto" w:before="86" w:after="0"/>
        <w:ind w:left="2517" w:right="0" w:hanging="360"/>
        <w:jc w:val="left"/>
        <w:rPr>
          <w:sz w:val="19"/>
        </w:rPr>
      </w:pPr>
      <w:r>
        <w:rPr>
          <w:sz w:val="19"/>
        </w:rPr>
        <w:t>Alert the Judge if you become </w:t>
      </w:r>
      <w:r>
        <w:rPr>
          <w:spacing w:val="-3"/>
          <w:sz w:val="19"/>
        </w:rPr>
        <w:t>aware </w:t>
      </w:r>
      <w:r>
        <w:rPr>
          <w:sz w:val="19"/>
        </w:rPr>
        <w:t>of a conflict of</w:t>
      </w:r>
      <w:r>
        <w:rPr>
          <w:spacing w:val="-21"/>
          <w:sz w:val="19"/>
        </w:rPr>
        <w:t> </w:t>
      </w:r>
      <w:r>
        <w:rPr>
          <w:sz w:val="19"/>
        </w:rPr>
        <w:t>interest</w:t>
      </w:r>
    </w:p>
    <w:p>
      <w:pPr>
        <w:pStyle w:val="ListParagraph"/>
        <w:numPr>
          <w:ilvl w:val="2"/>
          <w:numId w:val="12"/>
        </w:numPr>
        <w:tabs>
          <w:tab w:pos="2517" w:val="left" w:leader="none"/>
          <w:tab w:pos="2518" w:val="left" w:leader="none"/>
        </w:tabs>
        <w:spacing w:line="247" w:lineRule="exact" w:before="87" w:after="0"/>
        <w:ind w:left="2517" w:right="0" w:hanging="360"/>
        <w:jc w:val="left"/>
        <w:rPr>
          <w:sz w:val="19"/>
        </w:rPr>
      </w:pPr>
      <w:r>
        <w:rPr>
          <w:sz w:val="19"/>
        </w:rPr>
        <w:t>Requests for repetition, clarification and explanation should be addressed to</w:t>
      </w:r>
      <w:r>
        <w:rPr>
          <w:spacing w:val="-27"/>
          <w:sz w:val="19"/>
        </w:rPr>
        <w:t> </w:t>
      </w:r>
      <w:r>
        <w:rPr>
          <w:sz w:val="19"/>
        </w:rPr>
        <w:t>the</w:t>
      </w:r>
    </w:p>
    <w:p>
      <w:pPr>
        <w:spacing w:line="247" w:lineRule="exact" w:before="0"/>
        <w:ind w:left="2517" w:right="0" w:firstLine="0"/>
        <w:jc w:val="left"/>
        <w:rPr>
          <w:sz w:val="19"/>
        </w:rPr>
      </w:pPr>
      <w:r>
        <w:rPr>
          <w:sz w:val="19"/>
        </w:rPr>
        <w:t>Judge only</w:t>
      </w:r>
    </w:p>
    <w:p>
      <w:pPr>
        <w:pStyle w:val="ListParagraph"/>
        <w:numPr>
          <w:ilvl w:val="2"/>
          <w:numId w:val="12"/>
        </w:numPr>
        <w:tabs>
          <w:tab w:pos="2517" w:val="left" w:leader="none"/>
          <w:tab w:pos="2518" w:val="left" w:leader="none"/>
        </w:tabs>
        <w:spacing w:line="240" w:lineRule="auto" w:before="86" w:after="0"/>
        <w:ind w:left="2517" w:right="0" w:hanging="360"/>
        <w:jc w:val="left"/>
        <w:rPr>
          <w:sz w:val="19"/>
        </w:rPr>
      </w:pPr>
      <w:r>
        <w:rPr>
          <w:sz w:val="19"/>
        </w:rPr>
        <w:t>If you need to correct a mistake, address the Judge</w:t>
      </w:r>
      <w:r>
        <w:rPr>
          <w:spacing w:val="-24"/>
          <w:sz w:val="19"/>
        </w:rPr>
        <w:t> </w:t>
      </w:r>
      <w:r>
        <w:rPr>
          <w:sz w:val="19"/>
        </w:rPr>
        <w:t>only</w:t>
      </w:r>
    </w:p>
    <w:p>
      <w:pPr>
        <w:pStyle w:val="ListParagraph"/>
        <w:numPr>
          <w:ilvl w:val="2"/>
          <w:numId w:val="12"/>
        </w:numPr>
        <w:tabs>
          <w:tab w:pos="2518" w:val="left" w:leader="none"/>
        </w:tabs>
        <w:spacing w:line="208" w:lineRule="auto" w:before="115" w:after="0"/>
        <w:ind w:left="2517" w:right="1365" w:hanging="360"/>
        <w:jc w:val="both"/>
        <w:rPr>
          <w:sz w:val="19"/>
        </w:rPr>
      </w:pPr>
      <w:r>
        <w:rPr>
          <w:sz w:val="19"/>
        </w:rPr>
        <w:t>If you recognise a potential cross–cultural misunderstanding, or comprehension or</w:t>
      </w:r>
      <w:r>
        <w:rPr>
          <w:spacing w:val="-7"/>
          <w:sz w:val="19"/>
        </w:rPr>
        <w:t> </w:t>
      </w:r>
      <w:r>
        <w:rPr>
          <w:sz w:val="19"/>
        </w:rPr>
        <w:t>cognitive</w:t>
      </w:r>
      <w:r>
        <w:rPr>
          <w:spacing w:val="-6"/>
          <w:sz w:val="19"/>
        </w:rPr>
        <w:t> </w:t>
      </w:r>
      <w:r>
        <w:rPr>
          <w:sz w:val="19"/>
        </w:rPr>
        <w:t>difficulties</w:t>
      </w:r>
      <w:r>
        <w:rPr>
          <w:spacing w:val="-7"/>
          <w:sz w:val="19"/>
        </w:rPr>
        <w:t> </w:t>
      </w:r>
      <w:r>
        <w:rPr>
          <w:sz w:val="19"/>
        </w:rPr>
        <w:t>on</w:t>
      </w:r>
      <w:r>
        <w:rPr>
          <w:spacing w:val="-6"/>
          <w:sz w:val="19"/>
        </w:rPr>
        <w:t> </w:t>
      </w:r>
      <w:r>
        <w:rPr>
          <w:sz w:val="19"/>
        </w:rPr>
        <w:t>the</w:t>
      </w:r>
      <w:r>
        <w:rPr>
          <w:spacing w:val="-7"/>
          <w:sz w:val="19"/>
        </w:rPr>
        <w:t> </w:t>
      </w:r>
      <w:r>
        <w:rPr>
          <w:sz w:val="19"/>
        </w:rPr>
        <w:t>part</w:t>
      </w:r>
      <w:r>
        <w:rPr>
          <w:spacing w:val="-6"/>
          <w:sz w:val="19"/>
        </w:rPr>
        <w:t> </w:t>
      </w:r>
      <w:r>
        <w:rPr>
          <w:sz w:val="19"/>
        </w:rPr>
        <w:t>of</w:t>
      </w:r>
      <w:r>
        <w:rPr>
          <w:spacing w:val="-7"/>
          <w:sz w:val="19"/>
        </w:rPr>
        <w:t> </w:t>
      </w:r>
      <w:r>
        <w:rPr>
          <w:sz w:val="19"/>
        </w:rPr>
        <w:t>the</w:t>
      </w:r>
      <w:r>
        <w:rPr>
          <w:spacing w:val="-7"/>
          <w:sz w:val="19"/>
        </w:rPr>
        <w:t> </w:t>
      </w:r>
      <w:r>
        <w:rPr>
          <w:sz w:val="19"/>
        </w:rPr>
        <w:t>person</w:t>
      </w:r>
      <w:r>
        <w:rPr>
          <w:spacing w:val="-6"/>
          <w:sz w:val="19"/>
        </w:rPr>
        <w:t> </w:t>
      </w:r>
      <w:r>
        <w:rPr>
          <w:sz w:val="19"/>
        </w:rPr>
        <w:t>who</w:t>
      </w:r>
      <w:r>
        <w:rPr>
          <w:spacing w:val="-7"/>
          <w:sz w:val="19"/>
        </w:rPr>
        <w:t> </w:t>
      </w:r>
      <w:r>
        <w:rPr>
          <w:sz w:val="19"/>
        </w:rPr>
        <w:t>you</w:t>
      </w:r>
      <w:r>
        <w:rPr>
          <w:spacing w:val="-6"/>
          <w:sz w:val="19"/>
        </w:rPr>
        <w:t> </w:t>
      </w:r>
      <w:r>
        <w:rPr>
          <w:sz w:val="19"/>
        </w:rPr>
        <w:t>are</w:t>
      </w:r>
      <w:r>
        <w:rPr>
          <w:spacing w:val="-7"/>
          <w:sz w:val="19"/>
        </w:rPr>
        <w:t> </w:t>
      </w:r>
      <w:r>
        <w:rPr>
          <w:sz w:val="19"/>
        </w:rPr>
        <w:t>interpreting</w:t>
      </w:r>
      <w:r>
        <w:rPr>
          <w:spacing w:val="-6"/>
          <w:sz w:val="19"/>
        </w:rPr>
        <w:t> </w:t>
      </w:r>
      <w:r>
        <w:rPr>
          <w:sz w:val="19"/>
        </w:rPr>
        <w:t>for</w:t>
      </w:r>
      <w:r>
        <w:rPr>
          <w:spacing w:val="-7"/>
          <w:sz w:val="19"/>
        </w:rPr>
        <w:t> </w:t>
      </w:r>
      <w:r>
        <w:rPr>
          <w:sz w:val="19"/>
        </w:rPr>
        <w:t>you should seek </w:t>
      </w:r>
      <w:r>
        <w:rPr>
          <w:spacing w:val="-3"/>
          <w:sz w:val="19"/>
        </w:rPr>
        <w:t>leave </w:t>
      </w:r>
      <w:r>
        <w:rPr>
          <w:sz w:val="19"/>
        </w:rPr>
        <w:t>from the Judge to raise the</w:t>
      </w:r>
      <w:r>
        <w:rPr>
          <w:spacing w:val="-17"/>
          <w:sz w:val="19"/>
        </w:rPr>
        <w:t> </w:t>
      </w:r>
      <w:r>
        <w:rPr>
          <w:sz w:val="19"/>
        </w:rPr>
        <w:t>issue</w:t>
      </w:r>
    </w:p>
    <w:p>
      <w:pPr>
        <w:pStyle w:val="ListParagraph"/>
        <w:numPr>
          <w:ilvl w:val="2"/>
          <w:numId w:val="12"/>
        </w:numPr>
        <w:tabs>
          <w:tab w:pos="2517" w:val="left" w:leader="none"/>
          <w:tab w:pos="2518" w:val="left" w:leader="none"/>
        </w:tabs>
        <w:spacing w:line="247" w:lineRule="exact" w:before="93" w:after="0"/>
        <w:ind w:left="2517" w:right="0" w:hanging="360"/>
        <w:jc w:val="left"/>
        <w:rPr>
          <w:sz w:val="19"/>
        </w:rPr>
      </w:pPr>
      <w:r>
        <w:rPr>
          <w:spacing w:val="-5"/>
          <w:sz w:val="19"/>
        </w:rPr>
        <w:t>You </w:t>
      </w:r>
      <w:r>
        <w:rPr>
          <w:sz w:val="19"/>
        </w:rPr>
        <w:t>must keep confidential all information acquired, in any form</w:t>
      </w:r>
      <w:r>
        <w:rPr>
          <w:spacing w:val="-30"/>
          <w:sz w:val="19"/>
        </w:rPr>
        <w:t> </w:t>
      </w:r>
      <w:r>
        <w:rPr>
          <w:sz w:val="19"/>
        </w:rPr>
        <w:t>whatsoever,</w:t>
      </w:r>
    </w:p>
    <w:p>
      <w:pPr>
        <w:spacing w:line="208" w:lineRule="auto" w:before="12"/>
        <w:ind w:left="2517" w:right="1335" w:firstLine="0"/>
        <w:jc w:val="left"/>
        <w:rPr>
          <w:sz w:val="19"/>
        </w:rPr>
      </w:pPr>
      <w:r>
        <w:rPr>
          <w:sz w:val="19"/>
        </w:rPr>
        <w:t>in the course of your engagement or appointment unless that information is or comes into the public domain. This is particularly in relation to jury deliberations. Under no circumstances can jury deliberations be revealed.</w:t>
      </w:r>
    </w:p>
    <w:p>
      <w:pPr>
        <w:pStyle w:val="ListParagraph"/>
        <w:numPr>
          <w:ilvl w:val="2"/>
          <w:numId w:val="12"/>
        </w:numPr>
        <w:tabs>
          <w:tab w:pos="2517" w:val="left" w:leader="none"/>
          <w:tab w:pos="2518" w:val="left" w:leader="none"/>
        </w:tabs>
        <w:spacing w:line="240" w:lineRule="auto" w:before="93" w:after="0"/>
        <w:ind w:left="2517" w:right="0" w:hanging="360"/>
        <w:jc w:val="left"/>
        <w:rPr>
          <w:sz w:val="19"/>
        </w:rPr>
      </w:pPr>
      <w:r>
        <w:rPr>
          <w:spacing w:val="-5"/>
          <w:sz w:val="19"/>
        </w:rPr>
        <w:t>You </w:t>
      </w:r>
      <w:r>
        <w:rPr>
          <w:sz w:val="19"/>
        </w:rPr>
        <w:t>are not to take part in discussions between jurors (except to</w:t>
      </w:r>
      <w:r>
        <w:rPr>
          <w:spacing w:val="-31"/>
          <w:sz w:val="19"/>
        </w:rPr>
        <w:t> </w:t>
      </w:r>
      <w:r>
        <w:rPr>
          <w:sz w:val="19"/>
        </w:rPr>
        <w:t>interpret).</w:t>
      </w:r>
    </w:p>
    <w:p>
      <w:pPr>
        <w:pStyle w:val="ListParagraph"/>
        <w:numPr>
          <w:ilvl w:val="2"/>
          <w:numId w:val="12"/>
        </w:numPr>
        <w:tabs>
          <w:tab w:pos="2517" w:val="left" w:leader="none"/>
          <w:tab w:pos="2518" w:val="left" w:leader="none"/>
        </w:tabs>
        <w:spacing w:line="208" w:lineRule="auto" w:before="114" w:after="0"/>
        <w:ind w:left="2517" w:right="1721" w:hanging="360"/>
        <w:jc w:val="left"/>
        <w:rPr>
          <w:sz w:val="19"/>
        </w:rPr>
      </w:pPr>
      <w:r>
        <w:rPr>
          <w:spacing w:val="-5"/>
          <w:sz w:val="19"/>
        </w:rPr>
        <w:t>You</w:t>
      </w:r>
      <w:r>
        <w:rPr>
          <w:spacing w:val="-4"/>
          <w:sz w:val="19"/>
        </w:rPr>
        <w:t> </w:t>
      </w:r>
      <w:r>
        <w:rPr>
          <w:sz w:val="19"/>
        </w:rPr>
        <w:t>are</w:t>
      </w:r>
      <w:r>
        <w:rPr>
          <w:spacing w:val="-3"/>
          <w:sz w:val="19"/>
        </w:rPr>
        <w:t> </w:t>
      </w:r>
      <w:r>
        <w:rPr>
          <w:sz w:val="19"/>
        </w:rPr>
        <w:t>not</w:t>
      </w:r>
      <w:r>
        <w:rPr>
          <w:spacing w:val="-4"/>
          <w:sz w:val="19"/>
        </w:rPr>
        <w:t> </w:t>
      </w:r>
      <w:r>
        <w:rPr>
          <w:sz w:val="19"/>
        </w:rPr>
        <w:t>to</w:t>
      </w:r>
      <w:r>
        <w:rPr>
          <w:spacing w:val="-3"/>
          <w:sz w:val="19"/>
        </w:rPr>
        <w:t> convey</w:t>
      </w:r>
      <w:r>
        <w:rPr>
          <w:spacing w:val="-4"/>
          <w:sz w:val="19"/>
        </w:rPr>
        <w:t> </w:t>
      </w:r>
      <w:r>
        <w:rPr>
          <w:sz w:val="19"/>
        </w:rPr>
        <w:t>your</w:t>
      </w:r>
      <w:r>
        <w:rPr>
          <w:spacing w:val="-3"/>
          <w:sz w:val="19"/>
        </w:rPr>
        <w:t> </w:t>
      </w:r>
      <w:r>
        <w:rPr>
          <w:sz w:val="19"/>
        </w:rPr>
        <w:t>belief,</w:t>
      </w:r>
      <w:r>
        <w:rPr>
          <w:spacing w:val="-4"/>
          <w:sz w:val="19"/>
        </w:rPr>
        <w:t> </w:t>
      </w:r>
      <w:r>
        <w:rPr>
          <w:sz w:val="19"/>
        </w:rPr>
        <w:t>opinion</w:t>
      </w:r>
      <w:r>
        <w:rPr>
          <w:spacing w:val="-3"/>
          <w:sz w:val="19"/>
        </w:rPr>
        <w:t> </w:t>
      </w:r>
      <w:r>
        <w:rPr>
          <w:sz w:val="19"/>
        </w:rPr>
        <w:t>or</w:t>
      </w:r>
      <w:r>
        <w:rPr>
          <w:spacing w:val="-4"/>
          <w:sz w:val="19"/>
        </w:rPr>
        <w:t> </w:t>
      </w:r>
      <w:r>
        <w:rPr>
          <w:spacing w:val="-3"/>
          <w:sz w:val="19"/>
        </w:rPr>
        <w:t>have </w:t>
      </w:r>
      <w:r>
        <w:rPr>
          <w:sz w:val="19"/>
        </w:rPr>
        <w:t>a</w:t>
      </w:r>
      <w:r>
        <w:rPr>
          <w:spacing w:val="-4"/>
          <w:sz w:val="19"/>
        </w:rPr>
        <w:t> </w:t>
      </w:r>
      <w:r>
        <w:rPr>
          <w:sz w:val="19"/>
        </w:rPr>
        <w:t>say</w:t>
      </w:r>
      <w:r>
        <w:rPr>
          <w:spacing w:val="-3"/>
          <w:sz w:val="19"/>
        </w:rPr>
        <w:t> </w:t>
      </w:r>
      <w:r>
        <w:rPr>
          <w:sz w:val="19"/>
        </w:rPr>
        <w:t>in</w:t>
      </w:r>
      <w:r>
        <w:rPr>
          <w:spacing w:val="-4"/>
          <w:sz w:val="19"/>
        </w:rPr>
        <w:t> </w:t>
      </w:r>
      <w:r>
        <w:rPr>
          <w:sz w:val="19"/>
        </w:rPr>
        <w:t>the</w:t>
      </w:r>
      <w:r>
        <w:rPr>
          <w:spacing w:val="-3"/>
          <w:sz w:val="19"/>
        </w:rPr>
        <w:t> </w:t>
      </w:r>
      <w:r>
        <w:rPr>
          <w:sz w:val="19"/>
        </w:rPr>
        <w:t>decision</w:t>
      </w:r>
      <w:r>
        <w:rPr>
          <w:spacing w:val="-4"/>
          <w:sz w:val="19"/>
        </w:rPr>
        <w:t> </w:t>
      </w:r>
      <w:r>
        <w:rPr>
          <w:sz w:val="19"/>
        </w:rPr>
        <w:t>of</w:t>
      </w:r>
      <w:r>
        <w:rPr>
          <w:spacing w:val="-3"/>
          <w:sz w:val="19"/>
        </w:rPr>
        <w:t> </w:t>
      </w:r>
      <w:r>
        <w:rPr>
          <w:sz w:val="19"/>
        </w:rPr>
        <w:t>the jury.</w:t>
      </w:r>
      <w:r>
        <w:rPr>
          <w:position w:val="6"/>
          <w:sz w:val="11"/>
        </w:rPr>
        <w:t>57</w:t>
      </w:r>
    </w:p>
    <w:p>
      <w:pPr>
        <w:pStyle w:val="ListParagraph"/>
        <w:numPr>
          <w:ilvl w:val="1"/>
          <w:numId w:val="12"/>
        </w:numPr>
        <w:tabs>
          <w:tab w:pos="1761" w:val="left" w:leader="none"/>
          <w:tab w:pos="1762" w:val="left" w:leader="none"/>
        </w:tabs>
        <w:spacing w:line="206" w:lineRule="auto" w:before="124" w:after="0"/>
        <w:ind w:left="1761" w:right="1480" w:hanging="794"/>
        <w:jc w:val="left"/>
        <w:rPr>
          <w:sz w:val="20"/>
        </w:rPr>
      </w:pPr>
      <w:r>
        <w:rPr>
          <w:sz w:val="20"/>
        </w:rPr>
        <w:t>Similar</w:t>
      </w:r>
      <w:r>
        <w:rPr>
          <w:spacing w:val="-9"/>
          <w:sz w:val="20"/>
        </w:rPr>
        <w:t> </w:t>
      </w:r>
      <w:r>
        <w:rPr>
          <w:sz w:val="20"/>
        </w:rPr>
        <w:t>standards</w:t>
      </w:r>
      <w:r>
        <w:rPr>
          <w:spacing w:val="-9"/>
          <w:sz w:val="20"/>
        </w:rPr>
        <w:t> </w:t>
      </w:r>
      <w:r>
        <w:rPr>
          <w:sz w:val="20"/>
        </w:rPr>
        <w:t>should</w:t>
      </w:r>
      <w:r>
        <w:rPr>
          <w:spacing w:val="-9"/>
          <w:sz w:val="20"/>
        </w:rPr>
        <w:t> </w:t>
      </w:r>
      <w:r>
        <w:rPr>
          <w:sz w:val="20"/>
        </w:rPr>
        <w:t>be</w:t>
      </w:r>
      <w:r>
        <w:rPr>
          <w:spacing w:val="-9"/>
          <w:sz w:val="20"/>
        </w:rPr>
        <w:t> </w:t>
      </w:r>
      <w:r>
        <w:rPr>
          <w:spacing w:val="-3"/>
          <w:sz w:val="20"/>
        </w:rPr>
        <w:t>developed</w:t>
      </w:r>
      <w:r>
        <w:rPr>
          <w:spacing w:val="-9"/>
          <w:sz w:val="20"/>
        </w:rPr>
        <w:t> </w:t>
      </w:r>
      <w:r>
        <w:rPr>
          <w:sz w:val="20"/>
        </w:rPr>
        <w:t>and</w:t>
      </w:r>
      <w:r>
        <w:rPr>
          <w:spacing w:val="-8"/>
          <w:sz w:val="20"/>
        </w:rPr>
        <w:t> </w:t>
      </w:r>
      <w:r>
        <w:rPr>
          <w:spacing w:val="-3"/>
          <w:sz w:val="20"/>
        </w:rPr>
        <w:t>provided</w:t>
      </w:r>
      <w:r>
        <w:rPr>
          <w:spacing w:val="-9"/>
          <w:sz w:val="20"/>
        </w:rPr>
        <w:t> </w:t>
      </w:r>
      <w:r>
        <w:rPr>
          <w:spacing w:val="-3"/>
          <w:sz w:val="20"/>
        </w:rPr>
        <w:t>by</w:t>
      </w:r>
      <w:r>
        <w:rPr>
          <w:spacing w:val="-9"/>
          <w:sz w:val="20"/>
        </w:rPr>
        <w:t> </w:t>
      </w:r>
      <w:r>
        <w:rPr>
          <w:sz w:val="20"/>
        </w:rPr>
        <w:t>Juries</w:t>
      </w:r>
      <w:r>
        <w:rPr>
          <w:spacing w:val="-9"/>
          <w:sz w:val="20"/>
        </w:rPr>
        <w:t> </w:t>
      </w:r>
      <w:r>
        <w:rPr>
          <w:sz w:val="20"/>
        </w:rPr>
        <w:t>Victoria</w:t>
      </w:r>
      <w:r>
        <w:rPr>
          <w:spacing w:val="-9"/>
          <w:sz w:val="20"/>
        </w:rPr>
        <w:t> </w:t>
      </w:r>
      <w:r>
        <w:rPr>
          <w:sz w:val="20"/>
        </w:rPr>
        <w:t>to</w:t>
      </w:r>
      <w:r>
        <w:rPr>
          <w:spacing w:val="-9"/>
          <w:sz w:val="20"/>
        </w:rPr>
        <w:t> </w:t>
      </w:r>
      <w:r>
        <w:rPr>
          <w:sz w:val="20"/>
        </w:rPr>
        <w:t>the</w:t>
      </w:r>
      <w:r>
        <w:rPr>
          <w:spacing w:val="-8"/>
          <w:sz w:val="20"/>
        </w:rPr>
        <w:t> </w:t>
      </w:r>
      <w:r>
        <w:rPr>
          <w:sz w:val="20"/>
        </w:rPr>
        <w:t>Auslan </w:t>
      </w:r>
      <w:r>
        <w:rPr>
          <w:spacing w:val="-3"/>
          <w:sz w:val="20"/>
        </w:rPr>
        <w:t>interpreter </w:t>
      </w:r>
      <w:r>
        <w:rPr>
          <w:sz w:val="20"/>
        </w:rPr>
        <w:t>when a booking is made for their services. Juries Victoria should also contemplate</w:t>
      </w:r>
      <w:r>
        <w:rPr>
          <w:spacing w:val="-7"/>
          <w:sz w:val="20"/>
        </w:rPr>
        <w:t> </w:t>
      </w:r>
      <w:r>
        <w:rPr>
          <w:sz w:val="20"/>
        </w:rPr>
        <w:t>preparing</w:t>
      </w:r>
      <w:r>
        <w:rPr>
          <w:spacing w:val="-6"/>
          <w:sz w:val="20"/>
        </w:rPr>
        <w:t> </w:t>
      </w:r>
      <w:r>
        <w:rPr>
          <w:sz w:val="20"/>
        </w:rPr>
        <w:t>short</w:t>
      </w:r>
      <w:r>
        <w:rPr>
          <w:spacing w:val="-6"/>
          <w:sz w:val="20"/>
        </w:rPr>
        <w:t> </w:t>
      </w:r>
      <w:r>
        <w:rPr>
          <w:sz w:val="20"/>
        </w:rPr>
        <w:t>induction</w:t>
      </w:r>
      <w:r>
        <w:rPr>
          <w:spacing w:val="-6"/>
          <w:sz w:val="20"/>
        </w:rPr>
        <w:t> </w:t>
      </w:r>
      <w:r>
        <w:rPr>
          <w:sz w:val="20"/>
        </w:rPr>
        <w:t>material</w:t>
      </w:r>
      <w:r>
        <w:rPr>
          <w:spacing w:val="-7"/>
          <w:sz w:val="20"/>
        </w:rPr>
        <w:t> </w:t>
      </w:r>
      <w:r>
        <w:rPr>
          <w:sz w:val="20"/>
        </w:rPr>
        <w:t>for</w:t>
      </w:r>
      <w:r>
        <w:rPr>
          <w:spacing w:val="-6"/>
          <w:sz w:val="20"/>
        </w:rPr>
        <w:t> </w:t>
      </w:r>
      <w:r>
        <w:rPr>
          <w:sz w:val="20"/>
        </w:rPr>
        <w:t>Auslan</w:t>
      </w:r>
      <w:r>
        <w:rPr>
          <w:spacing w:val="-6"/>
          <w:sz w:val="20"/>
        </w:rPr>
        <w:t> </w:t>
      </w:r>
      <w:r>
        <w:rPr>
          <w:spacing w:val="-3"/>
          <w:sz w:val="20"/>
        </w:rPr>
        <w:t>interpreters.</w:t>
      </w:r>
    </w:p>
    <w:p>
      <w:pPr>
        <w:pStyle w:val="ListParagraph"/>
        <w:numPr>
          <w:ilvl w:val="1"/>
          <w:numId w:val="12"/>
        </w:numPr>
        <w:tabs>
          <w:tab w:pos="1761" w:val="left" w:leader="none"/>
          <w:tab w:pos="1762" w:val="left" w:leader="none"/>
        </w:tabs>
        <w:spacing w:line="206" w:lineRule="auto" w:before="124" w:after="0"/>
        <w:ind w:left="1761" w:right="1326" w:hanging="794"/>
        <w:jc w:val="left"/>
        <w:rPr>
          <w:sz w:val="20"/>
        </w:rPr>
      </w:pPr>
      <w:r>
        <w:rPr>
          <w:sz w:val="20"/>
        </w:rPr>
        <w:t>HMCTS advises that it will </w:t>
      </w:r>
      <w:r>
        <w:rPr>
          <w:spacing w:val="-3"/>
          <w:sz w:val="20"/>
        </w:rPr>
        <w:t>provide </w:t>
      </w:r>
      <w:r>
        <w:rPr>
          <w:sz w:val="20"/>
        </w:rPr>
        <w:t>information to the </w:t>
      </w:r>
      <w:r>
        <w:rPr>
          <w:spacing w:val="-3"/>
          <w:sz w:val="20"/>
        </w:rPr>
        <w:t>interpreter </w:t>
      </w:r>
      <w:r>
        <w:rPr>
          <w:sz w:val="20"/>
        </w:rPr>
        <w:t>about their </w:t>
      </w:r>
      <w:r>
        <w:rPr>
          <w:spacing w:val="-3"/>
          <w:sz w:val="20"/>
        </w:rPr>
        <w:t>role </w:t>
      </w:r>
      <w:r>
        <w:rPr>
          <w:sz w:val="20"/>
        </w:rPr>
        <w:t>and responsibilities in the contract, code of conduct and confidentiality agreements they enter </w:t>
      </w:r>
      <w:r>
        <w:rPr>
          <w:spacing w:val="-3"/>
          <w:sz w:val="20"/>
        </w:rPr>
        <w:t>into </w:t>
      </w:r>
      <w:r>
        <w:rPr>
          <w:sz w:val="20"/>
        </w:rPr>
        <w:t>with the contracted suppliers.</w:t>
      </w:r>
      <w:r>
        <w:rPr>
          <w:position w:val="7"/>
          <w:sz w:val="11"/>
        </w:rPr>
        <w:t>58 </w:t>
      </w:r>
      <w:r>
        <w:rPr>
          <w:sz w:val="20"/>
        </w:rPr>
        <w:t>Juries Victoria could perhaps </w:t>
      </w:r>
      <w:r>
        <w:rPr>
          <w:spacing w:val="-3"/>
          <w:sz w:val="20"/>
        </w:rPr>
        <w:t>provide </w:t>
      </w:r>
      <w:r>
        <w:rPr>
          <w:sz w:val="20"/>
        </w:rPr>
        <w:t>an induction</w:t>
      </w:r>
      <w:r>
        <w:rPr>
          <w:spacing w:val="-8"/>
          <w:sz w:val="20"/>
        </w:rPr>
        <w:t> </w:t>
      </w:r>
      <w:r>
        <w:rPr>
          <w:sz w:val="20"/>
        </w:rPr>
        <w:t>briefing</w:t>
      </w:r>
      <w:r>
        <w:rPr>
          <w:spacing w:val="-8"/>
          <w:sz w:val="20"/>
        </w:rPr>
        <w:t> </w:t>
      </w:r>
      <w:r>
        <w:rPr>
          <w:sz w:val="20"/>
        </w:rPr>
        <w:t>to</w:t>
      </w:r>
      <w:r>
        <w:rPr>
          <w:spacing w:val="-8"/>
          <w:sz w:val="20"/>
        </w:rPr>
        <w:t> </w:t>
      </w:r>
      <w:r>
        <w:rPr>
          <w:sz w:val="20"/>
        </w:rPr>
        <w:t>a</w:t>
      </w:r>
      <w:r>
        <w:rPr>
          <w:spacing w:val="-8"/>
          <w:sz w:val="20"/>
        </w:rPr>
        <w:t> </w:t>
      </w:r>
      <w:r>
        <w:rPr>
          <w:sz w:val="20"/>
        </w:rPr>
        <w:t>group</w:t>
      </w:r>
      <w:r>
        <w:rPr>
          <w:spacing w:val="-8"/>
          <w:sz w:val="20"/>
        </w:rPr>
        <w:t> </w:t>
      </w:r>
      <w:r>
        <w:rPr>
          <w:sz w:val="20"/>
        </w:rPr>
        <w:t>of</w:t>
      </w:r>
      <w:r>
        <w:rPr>
          <w:spacing w:val="-8"/>
          <w:sz w:val="20"/>
        </w:rPr>
        <w:t> </w:t>
      </w:r>
      <w:r>
        <w:rPr>
          <w:sz w:val="20"/>
        </w:rPr>
        <w:t>Auslan</w:t>
      </w:r>
      <w:r>
        <w:rPr>
          <w:spacing w:val="-7"/>
          <w:sz w:val="20"/>
        </w:rPr>
        <w:t> </w:t>
      </w:r>
      <w:r>
        <w:rPr>
          <w:spacing w:val="-3"/>
          <w:sz w:val="20"/>
        </w:rPr>
        <w:t>interpreters</w:t>
      </w:r>
      <w:r>
        <w:rPr>
          <w:spacing w:val="-8"/>
          <w:sz w:val="20"/>
        </w:rPr>
        <w:t> </w:t>
      </w:r>
      <w:r>
        <w:rPr>
          <w:sz w:val="20"/>
        </w:rPr>
        <w:t>who</w:t>
      </w:r>
      <w:r>
        <w:rPr>
          <w:spacing w:val="-8"/>
          <w:sz w:val="20"/>
        </w:rPr>
        <w:t> </w:t>
      </w:r>
      <w:r>
        <w:rPr>
          <w:spacing w:val="-3"/>
          <w:sz w:val="20"/>
        </w:rPr>
        <w:t>are</w:t>
      </w:r>
      <w:r>
        <w:rPr>
          <w:spacing w:val="-8"/>
          <w:sz w:val="20"/>
        </w:rPr>
        <w:t> </w:t>
      </w:r>
      <w:r>
        <w:rPr>
          <w:spacing w:val="-3"/>
          <w:sz w:val="20"/>
        </w:rPr>
        <w:t>likely</w:t>
      </w:r>
      <w:r>
        <w:rPr>
          <w:spacing w:val="-8"/>
          <w:sz w:val="20"/>
        </w:rPr>
        <w:t> </w:t>
      </w:r>
      <w:r>
        <w:rPr>
          <w:sz w:val="20"/>
        </w:rPr>
        <w:t>to</w:t>
      </w:r>
      <w:r>
        <w:rPr>
          <w:spacing w:val="-8"/>
          <w:sz w:val="20"/>
        </w:rPr>
        <w:t> </w:t>
      </w:r>
      <w:r>
        <w:rPr>
          <w:sz w:val="20"/>
        </w:rPr>
        <w:t>do</w:t>
      </w:r>
      <w:r>
        <w:rPr>
          <w:spacing w:val="-8"/>
          <w:sz w:val="20"/>
        </w:rPr>
        <w:t> </w:t>
      </w:r>
      <w:r>
        <w:rPr>
          <w:sz w:val="20"/>
        </w:rPr>
        <w:t>jury</w:t>
      </w:r>
      <w:r>
        <w:rPr>
          <w:spacing w:val="-7"/>
          <w:sz w:val="20"/>
        </w:rPr>
        <w:t> </w:t>
      </w:r>
      <w:r>
        <w:rPr>
          <w:spacing w:val="-3"/>
          <w:sz w:val="20"/>
        </w:rPr>
        <w:t>work</w:t>
      </w:r>
      <w:r>
        <w:rPr>
          <w:spacing w:val="-8"/>
          <w:sz w:val="20"/>
        </w:rPr>
        <w:t> </w:t>
      </w:r>
      <w:r>
        <w:rPr>
          <w:sz w:val="20"/>
        </w:rPr>
        <w:t>in</w:t>
      </w:r>
      <w:r>
        <w:rPr>
          <w:spacing w:val="-8"/>
          <w:sz w:val="20"/>
        </w:rPr>
        <w:t> </w:t>
      </w:r>
      <w:r>
        <w:rPr>
          <w:sz w:val="20"/>
        </w:rPr>
        <w:t>the </w:t>
      </w:r>
      <w:r>
        <w:rPr>
          <w:spacing w:val="-3"/>
          <w:sz w:val="20"/>
        </w:rPr>
        <w:t>future.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3"/>
        </w:rPr>
      </w:pPr>
      <w:r>
        <w:rPr/>
        <w:pict>
          <v:line style="position:absolute;mso-position-horizontal-relative:page;mso-position-vertical-relative:paragraph;z-index:8504;mso-wrap-distance-left:0;mso-wrap-distance-right:0" from="79.370003pt,11.626585pt" to="515.905003pt,11.626585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spacing w:before="13"/>
        <w:rPr>
          <w:sz w:val="26"/>
        </w:rPr>
      </w:pPr>
    </w:p>
    <w:p>
      <w:pPr>
        <w:spacing w:before="0"/>
        <w:ind w:left="100" w:right="0" w:firstLine="0"/>
        <w:jc w:val="left"/>
        <w:rPr>
          <w:b/>
          <w:sz w:val="24"/>
        </w:rPr>
      </w:pPr>
      <w:r>
        <w:rPr>
          <w:b/>
          <w:color w:val="37617A"/>
          <w:sz w:val="24"/>
        </w:rPr>
        <w:t>162</w:t>
      </w:r>
    </w:p>
    <w:p>
      <w:pPr>
        <w:pStyle w:val="ListParagraph"/>
        <w:numPr>
          <w:ilvl w:val="0"/>
          <w:numId w:val="99"/>
        </w:numPr>
        <w:tabs>
          <w:tab w:pos="893" w:val="left" w:leader="none"/>
          <w:tab w:pos="894" w:val="left" w:leader="none"/>
        </w:tabs>
        <w:spacing w:line="170" w:lineRule="exact" w:before="21" w:after="0"/>
        <w:ind w:left="893" w:right="0" w:hanging="793"/>
        <w:jc w:val="left"/>
        <w:rPr>
          <w:sz w:val="13"/>
        </w:rPr>
      </w:pPr>
      <w:r>
        <w:rPr>
          <w:spacing w:val="2"/>
          <w:w w:val="100"/>
          <w:sz w:val="13"/>
        </w:rPr>
        <w:br w:type="column"/>
      </w:r>
      <w:r>
        <w:rPr>
          <w:sz w:val="13"/>
        </w:rPr>
        <w:t>Information provided by ACT Sheriff to Victorian Law Reform </w:t>
      </w:r>
      <w:r>
        <w:rPr>
          <w:spacing w:val="2"/>
          <w:sz w:val="13"/>
        </w:rPr>
        <w:t>Commission, </w:t>
      </w:r>
      <w:r>
        <w:rPr>
          <w:sz w:val="13"/>
        </w:rPr>
        <w:t>18 September</w:t>
      </w:r>
      <w:r>
        <w:rPr>
          <w:spacing w:val="7"/>
          <w:sz w:val="13"/>
        </w:rPr>
        <w:t> </w:t>
      </w:r>
      <w:r>
        <w:rPr>
          <w:sz w:val="13"/>
        </w:rPr>
        <w:t>2020.</w:t>
      </w:r>
    </w:p>
    <w:p>
      <w:pPr>
        <w:pStyle w:val="ListParagraph"/>
        <w:numPr>
          <w:ilvl w:val="0"/>
          <w:numId w:val="99"/>
        </w:numPr>
        <w:tabs>
          <w:tab w:pos="893" w:val="left" w:leader="none"/>
          <w:tab w:pos="894" w:val="left" w:leader="none"/>
        </w:tabs>
        <w:spacing w:line="160" w:lineRule="exact" w:before="0" w:after="0"/>
        <w:ind w:left="893" w:right="0" w:hanging="793"/>
        <w:jc w:val="left"/>
        <w:rPr>
          <w:sz w:val="13"/>
        </w:rPr>
      </w:pPr>
      <w:r>
        <w:rPr>
          <w:sz w:val="13"/>
        </w:rPr>
        <w:t>Information provided by ACT Sheriff to Victorian Law Reform </w:t>
      </w:r>
      <w:r>
        <w:rPr>
          <w:spacing w:val="2"/>
          <w:sz w:val="13"/>
        </w:rPr>
        <w:t>Commission, </w:t>
      </w:r>
      <w:r>
        <w:rPr>
          <w:sz w:val="13"/>
        </w:rPr>
        <w:t>30 May</w:t>
      </w:r>
      <w:r>
        <w:rPr>
          <w:spacing w:val="5"/>
          <w:sz w:val="13"/>
        </w:rPr>
        <w:t> </w:t>
      </w:r>
      <w:r>
        <w:rPr>
          <w:sz w:val="13"/>
        </w:rPr>
        <w:t>2022.</w:t>
      </w:r>
    </w:p>
    <w:p>
      <w:pPr>
        <w:pStyle w:val="ListParagraph"/>
        <w:numPr>
          <w:ilvl w:val="0"/>
          <w:numId w:val="99"/>
        </w:numPr>
        <w:tabs>
          <w:tab w:pos="893" w:val="left" w:leader="none"/>
          <w:tab w:pos="894" w:val="left" w:leader="none"/>
        </w:tabs>
        <w:spacing w:line="160" w:lineRule="exact" w:before="0" w:after="0"/>
        <w:ind w:left="893" w:right="0" w:hanging="793"/>
        <w:jc w:val="left"/>
        <w:rPr>
          <w:sz w:val="13"/>
        </w:rPr>
      </w:pPr>
      <w:r>
        <w:rPr>
          <w:sz w:val="13"/>
        </w:rPr>
        <w:t>Information provided by ACT Sheriff to Victorian Law Reform </w:t>
      </w:r>
      <w:r>
        <w:rPr>
          <w:spacing w:val="2"/>
          <w:sz w:val="13"/>
        </w:rPr>
        <w:t>Commission, </w:t>
      </w:r>
      <w:r>
        <w:rPr>
          <w:sz w:val="13"/>
        </w:rPr>
        <w:t>18 September</w:t>
      </w:r>
      <w:r>
        <w:rPr>
          <w:spacing w:val="7"/>
          <w:sz w:val="13"/>
        </w:rPr>
        <w:t> </w:t>
      </w:r>
      <w:r>
        <w:rPr>
          <w:sz w:val="13"/>
        </w:rPr>
        <w:t>2020.</w:t>
      </w:r>
    </w:p>
    <w:p>
      <w:pPr>
        <w:pStyle w:val="ListParagraph"/>
        <w:numPr>
          <w:ilvl w:val="0"/>
          <w:numId w:val="99"/>
        </w:numPr>
        <w:tabs>
          <w:tab w:pos="893" w:val="left" w:leader="none"/>
          <w:tab w:pos="894" w:val="left" w:leader="none"/>
        </w:tabs>
        <w:spacing w:line="170" w:lineRule="exact" w:before="0" w:after="0"/>
        <w:ind w:left="893" w:right="0" w:hanging="793"/>
        <w:jc w:val="left"/>
        <w:rPr>
          <w:sz w:val="13"/>
        </w:rPr>
      </w:pPr>
      <w:r>
        <w:rPr>
          <w:sz w:val="13"/>
        </w:rPr>
        <w:t>Information provided by Her Majesty’s </w:t>
      </w:r>
      <w:r>
        <w:rPr>
          <w:spacing w:val="2"/>
          <w:sz w:val="13"/>
        </w:rPr>
        <w:t>Courts </w:t>
      </w:r>
      <w:r>
        <w:rPr>
          <w:sz w:val="13"/>
        </w:rPr>
        <w:t>and Tribunals </w:t>
      </w:r>
      <w:r>
        <w:rPr>
          <w:spacing w:val="2"/>
          <w:sz w:val="13"/>
        </w:rPr>
        <w:t>Service </w:t>
      </w:r>
      <w:r>
        <w:rPr>
          <w:sz w:val="13"/>
        </w:rPr>
        <w:t>to Victorian Law Reform </w:t>
      </w:r>
      <w:r>
        <w:rPr>
          <w:spacing w:val="2"/>
          <w:sz w:val="13"/>
        </w:rPr>
        <w:t>Commission, </w:t>
      </w:r>
      <w:r>
        <w:rPr>
          <w:sz w:val="13"/>
        </w:rPr>
        <w:t>2 September</w:t>
      </w:r>
      <w:r>
        <w:rPr>
          <w:spacing w:val="29"/>
          <w:sz w:val="13"/>
        </w:rPr>
        <w:t> </w:t>
      </w:r>
      <w:r>
        <w:rPr>
          <w:sz w:val="13"/>
        </w:rPr>
        <w:t>2021.</w:t>
      </w:r>
    </w:p>
    <w:p>
      <w:pPr>
        <w:spacing w:after="0" w:line="170" w:lineRule="exact"/>
        <w:jc w:val="left"/>
        <w:rPr>
          <w:sz w:val="13"/>
        </w:rPr>
        <w:sectPr>
          <w:type w:val="continuous"/>
          <w:pgSz w:w="11910" w:h="16840"/>
          <w:pgMar w:top="620" w:bottom="280" w:left="620" w:right="380"/>
          <w:cols w:num="2" w:equalWidth="0">
            <w:col w:w="531" w:space="336"/>
            <w:col w:w="10043"/>
          </w:cols>
        </w:sectPr>
      </w:pPr>
    </w:p>
    <w:p>
      <w:pPr>
        <w:pStyle w:val="BodyText"/>
      </w:pPr>
    </w:p>
    <w:p>
      <w:pPr>
        <w:pStyle w:val="BodyText"/>
      </w:pPr>
    </w:p>
    <w:p>
      <w:pPr>
        <w:pStyle w:val="BodyText"/>
      </w:pPr>
    </w:p>
    <w:p>
      <w:pPr>
        <w:pStyle w:val="BodyText"/>
        <w:spacing w:before="6"/>
        <w:rPr>
          <w:sz w:val="14"/>
        </w:rPr>
      </w:pPr>
    </w:p>
    <w:p>
      <w:pPr>
        <w:spacing w:before="41"/>
        <w:ind w:left="967" w:right="0" w:firstLine="0"/>
        <w:jc w:val="left"/>
        <w:rPr>
          <w:rFonts w:ascii="Raleway ExtraBold"/>
          <w:b/>
          <w:sz w:val="28"/>
        </w:rPr>
      </w:pPr>
      <w:bookmarkStart w:name="A new code of conduct for Auslan interpr" w:id="279"/>
      <w:bookmarkEnd w:id="279"/>
      <w:r>
        <w:rPr/>
      </w:r>
      <w:bookmarkStart w:name="_bookmark117" w:id="280"/>
      <w:bookmarkEnd w:id="280"/>
      <w:r>
        <w:rPr/>
      </w:r>
      <w:r>
        <w:rPr>
          <w:rFonts w:ascii="Raleway ExtraBold"/>
          <w:b/>
          <w:color w:val="37617A"/>
          <w:sz w:val="28"/>
        </w:rPr>
        <w:t>A new code of conduct for Auslan interpreters</w:t>
      </w:r>
    </w:p>
    <w:p>
      <w:pPr>
        <w:spacing w:before="184"/>
        <w:ind w:left="967" w:right="0" w:firstLine="0"/>
        <w:jc w:val="left"/>
        <w:rPr>
          <w:b/>
          <w:sz w:val="24"/>
        </w:rPr>
      </w:pPr>
      <w:r>
        <w:rPr>
          <w:b/>
          <w:sz w:val="24"/>
        </w:rPr>
        <w:t>Auslan interpreters are already subject to a code of ethics</w:t>
      </w:r>
    </w:p>
    <w:p>
      <w:pPr>
        <w:pStyle w:val="ListParagraph"/>
        <w:numPr>
          <w:ilvl w:val="1"/>
          <w:numId w:val="12"/>
        </w:numPr>
        <w:tabs>
          <w:tab w:pos="1761" w:val="left" w:leader="none"/>
          <w:tab w:pos="1762" w:val="left" w:leader="none"/>
        </w:tabs>
        <w:spacing w:line="206" w:lineRule="auto" w:before="127" w:after="0"/>
        <w:ind w:left="1761" w:right="1216" w:hanging="794"/>
        <w:jc w:val="left"/>
        <w:rPr>
          <w:sz w:val="11"/>
        </w:rPr>
      </w:pPr>
      <w:r>
        <w:rPr>
          <w:spacing w:val="-10"/>
          <w:sz w:val="20"/>
        </w:rPr>
        <w:t>To </w:t>
      </w:r>
      <w:r>
        <w:rPr>
          <w:sz w:val="20"/>
        </w:rPr>
        <w:t>hold a </w:t>
      </w:r>
      <w:r>
        <w:rPr>
          <w:spacing w:val="-4"/>
          <w:sz w:val="20"/>
        </w:rPr>
        <w:t>NAATI </w:t>
      </w:r>
      <w:r>
        <w:rPr>
          <w:sz w:val="20"/>
        </w:rPr>
        <w:t>certification </w:t>
      </w:r>
      <w:r>
        <w:rPr>
          <w:spacing w:val="-3"/>
          <w:sz w:val="20"/>
        </w:rPr>
        <w:t>(usually </w:t>
      </w:r>
      <w:r>
        <w:rPr>
          <w:sz w:val="20"/>
        </w:rPr>
        <w:t>necessary to be </w:t>
      </w:r>
      <w:r>
        <w:rPr>
          <w:spacing w:val="-3"/>
          <w:sz w:val="20"/>
        </w:rPr>
        <w:t>employed </w:t>
      </w:r>
      <w:r>
        <w:rPr>
          <w:sz w:val="20"/>
        </w:rPr>
        <w:t>as an </w:t>
      </w:r>
      <w:r>
        <w:rPr>
          <w:spacing w:val="-4"/>
          <w:sz w:val="20"/>
        </w:rPr>
        <w:t>interpreter), </w:t>
      </w:r>
      <w:r>
        <w:rPr>
          <w:sz w:val="20"/>
        </w:rPr>
        <w:t>Auslan</w:t>
      </w:r>
      <w:r>
        <w:rPr>
          <w:spacing w:val="-8"/>
          <w:sz w:val="20"/>
        </w:rPr>
        <w:t> </w:t>
      </w:r>
      <w:r>
        <w:rPr>
          <w:spacing w:val="-3"/>
          <w:sz w:val="20"/>
        </w:rPr>
        <w:t>interpreters</w:t>
      </w:r>
      <w:r>
        <w:rPr>
          <w:spacing w:val="-7"/>
          <w:sz w:val="20"/>
        </w:rPr>
        <w:t> </w:t>
      </w:r>
      <w:r>
        <w:rPr>
          <w:sz w:val="20"/>
        </w:rPr>
        <w:t>must</w:t>
      </w:r>
      <w:r>
        <w:rPr>
          <w:spacing w:val="-7"/>
          <w:sz w:val="20"/>
        </w:rPr>
        <w:t> </w:t>
      </w:r>
      <w:r>
        <w:rPr>
          <w:sz w:val="20"/>
        </w:rPr>
        <w:t>abide</w:t>
      </w:r>
      <w:r>
        <w:rPr>
          <w:spacing w:val="-7"/>
          <w:sz w:val="20"/>
        </w:rPr>
        <w:t> </w:t>
      </w:r>
      <w:r>
        <w:rPr>
          <w:spacing w:val="-3"/>
          <w:sz w:val="20"/>
        </w:rPr>
        <w:t>by</w:t>
      </w:r>
      <w:r>
        <w:rPr>
          <w:spacing w:val="-8"/>
          <w:sz w:val="20"/>
        </w:rPr>
        <w:t> </w:t>
      </w:r>
      <w:r>
        <w:rPr>
          <w:sz w:val="20"/>
        </w:rPr>
        <w:t>the</w:t>
      </w:r>
      <w:r>
        <w:rPr>
          <w:spacing w:val="-7"/>
          <w:sz w:val="20"/>
        </w:rPr>
        <w:t> </w:t>
      </w:r>
      <w:r>
        <w:rPr>
          <w:sz w:val="20"/>
        </w:rPr>
        <w:t>Australian</w:t>
      </w:r>
      <w:r>
        <w:rPr>
          <w:spacing w:val="-7"/>
          <w:sz w:val="20"/>
        </w:rPr>
        <w:t> </w:t>
      </w:r>
      <w:r>
        <w:rPr>
          <w:sz w:val="20"/>
        </w:rPr>
        <w:t>Institute</w:t>
      </w:r>
      <w:r>
        <w:rPr>
          <w:spacing w:val="-7"/>
          <w:sz w:val="20"/>
        </w:rPr>
        <w:t> </w:t>
      </w:r>
      <w:r>
        <w:rPr>
          <w:sz w:val="20"/>
        </w:rPr>
        <w:t>of</w:t>
      </w:r>
      <w:r>
        <w:rPr>
          <w:spacing w:val="-8"/>
          <w:sz w:val="20"/>
        </w:rPr>
        <w:t> </w:t>
      </w:r>
      <w:r>
        <w:rPr>
          <w:spacing w:val="-3"/>
          <w:sz w:val="20"/>
        </w:rPr>
        <w:t>Interpreters</w:t>
      </w:r>
      <w:r>
        <w:rPr>
          <w:spacing w:val="-7"/>
          <w:sz w:val="20"/>
        </w:rPr>
        <w:t> </w:t>
      </w:r>
      <w:r>
        <w:rPr>
          <w:sz w:val="20"/>
        </w:rPr>
        <w:t>and</w:t>
      </w:r>
      <w:r>
        <w:rPr>
          <w:spacing w:val="-7"/>
          <w:sz w:val="20"/>
        </w:rPr>
        <w:t> </w:t>
      </w:r>
      <w:r>
        <w:rPr>
          <w:spacing w:val="-4"/>
          <w:sz w:val="20"/>
        </w:rPr>
        <w:t>Translators </w:t>
      </w:r>
      <w:r>
        <w:rPr>
          <w:sz w:val="20"/>
        </w:rPr>
        <w:t>(AUSIT) Code of Ethics and Guidelines for Professional Conduct (Code of </w:t>
      </w:r>
      <w:r>
        <w:rPr>
          <w:spacing w:val="-3"/>
          <w:sz w:val="20"/>
        </w:rPr>
        <w:t>Ethics) </w:t>
      </w:r>
      <w:r>
        <w:rPr>
          <w:sz w:val="20"/>
        </w:rPr>
        <w:t>and the</w:t>
      </w:r>
      <w:r>
        <w:rPr>
          <w:spacing w:val="-6"/>
          <w:sz w:val="20"/>
        </w:rPr>
        <w:t> </w:t>
      </w:r>
      <w:r>
        <w:rPr>
          <w:sz w:val="20"/>
        </w:rPr>
        <w:t>Australian</w:t>
      </w:r>
      <w:r>
        <w:rPr>
          <w:spacing w:val="-5"/>
          <w:sz w:val="20"/>
        </w:rPr>
        <w:t> </w:t>
      </w:r>
      <w:r>
        <w:rPr>
          <w:sz w:val="20"/>
        </w:rPr>
        <w:t>Sign</w:t>
      </w:r>
      <w:r>
        <w:rPr>
          <w:spacing w:val="-5"/>
          <w:sz w:val="20"/>
        </w:rPr>
        <w:t> </w:t>
      </w:r>
      <w:r>
        <w:rPr>
          <w:sz w:val="20"/>
        </w:rPr>
        <w:t>Language</w:t>
      </w:r>
      <w:r>
        <w:rPr>
          <w:spacing w:val="-5"/>
          <w:sz w:val="20"/>
        </w:rPr>
        <w:t> </w:t>
      </w:r>
      <w:r>
        <w:rPr>
          <w:spacing w:val="-3"/>
          <w:sz w:val="20"/>
        </w:rPr>
        <w:t>Interpreters</w:t>
      </w:r>
      <w:r>
        <w:rPr>
          <w:spacing w:val="-6"/>
          <w:sz w:val="20"/>
        </w:rPr>
        <w:t> </w:t>
      </w:r>
      <w:r>
        <w:rPr>
          <w:sz w:val="20"/>
        </w:rPr>
        <w:t>Association</w:t>
      </w:r>
      <w:r>
        <w:rPr>
          <w:spacing w:val="-5"/>
          <w:sz w:val="20"/>
        </w:rPr>
        <w:t> </w:t>
      </w:r>
      <w:r>
        <w:rPr>
          <w:sz w:val="20"/>
        </w:rPr>
        <w:t>(ASLIA)</w:t>
      </w:r>
      <w:r>
        <w:rPr>
          <w:spacing w:val="-5"/>
          <w:sz w:val="20"/>
        </w:rPr>
        <w:t> </w:t>
      </w:r>
      <w:r>
        <w:rPr>
          <w:sz w:val="20"/>
        </w:rPr>
        <w:t>Code</w:t>
      </w:r>
      <w:r>
        <w:rPr>
          <w:spacing w:val="-5"/>
          <w:sz w:val="20"/>
        </w:rPr>
        <w:t> </w:t>
      </w:r>
      <w:r>
        <w:rPr>
          <w:sz w:val="20"/>
        </w:rPr>
        <w:t>of</w:t>
      </w:r>
      <w:r>
        <w:rPr>
          <w:spacing w:val="-6"/>
          <w:sz w:val="20"/>
        </w:rPr>
        <w:t> </w:t>
      </w:r>
      <w:r>
        <w:rPr>
          <w:sz w:val="20"/>
        </w:rPr>
        <w:t>Ethics.</w:t>
      </w:r>
      <w:r>
        <w:rPr>
          <w:position w:val="7"/>
          <w:sz w:val="11"/>
        </w:rPr>
        <w:t>59</w:t>
      </w:r>
    </w:p>
    <w:p>
      <w:pPr>
        <w:pStyle w:val="ListParagraph"/>
        <w:numPr>
          <w:ilvl w:val="1"/>
          <w:numId w:val="12"/>
        </w:numPr>
        <w:tabs>
          <w:tab w:pos="1761" w:val="left" w:leader="none"/>
          <w:tab w:pos="1762" w:val="left" w:leader="none"/>
        </w:tabs>
        <w:spacing w:line="206" w:lineRule="auto" w:before="125" w:after="0"/>
        <w:ind w:left="1761" w:right="1217" w:hanging="794"/>
        <w:jc w:val="left"/>
        <w:rPr>
          <w:sz w:val="11"/>
        </w:rPr>
      </w:pPr>
      <w:r>
        <w:rPr>
          <w:sz w:val="20"/>
        </w:rPr>
        <w:t>The RNS also </w:t>
      </w:r>
      <w:r>
        <w:rPr>
          <w:spacing w:val="-3"/>
          <w:sz w:val="20"/>
        </w:rPr>
        <w:t>require interpreters </w:t>
      </w:r>
      <w:r>
        <w:rPr>
          <w:sz w:val="20"/>
        </w:rPr>
        <w:t>working in a court setting to ‘familiarise </w:t>
      </w:r>
      <w:r>
        <w:rPr>
          <w:spacing w:val="-3"/>
          <w:sz w:val="20"/>
        </w:rPr>
        <w:t>themselves </w:t>
      </w:r>
      <w:r>
        <w:rPr>
          <w:sz w:val="20"/>
        </w:rPr>
        <w:t>with</w:t>
      </w:r>
      <w:r>
        <w:rPr>
          <w:spacing w:val="-11"/>
          <w:sz w:val="20"/>
        </w:rPr>
        <w:t> </w:t>
      </w:r>
      <w:r>
        <w:rPr>
          <w:sz w:val="20"/>
        </w:rPr>
        <w:t>their</w:t>
      </w:r>
      <w:r>
        <w:rPr>
          <w:spacing w:val="-10"/>
          <w:sz w:val="20"/>
        </w:rPr>
        <w:t> </w:t>
      </w:r>
      <w:r>
        <w:rPr>
          <w:sz w:val="20"/>
        </w:rPr>
        <w:t>responsibilities</w:t>
      </w:r>
      <w:r>
        <w:rPr>
          <w:spacing w:val="-10"/>
          <w:sz w:val="20"/>
        </w:rPr>
        <w:t> </w:t>
      </w:r>
      <w:r>
        <w:rPr>
          <w:sz w:val="20"/>
        </w:rPr>
        <w:t>under</w:t>
      </w:r>
      <w:r>
        <w:rPr>
          <w:spacing w:val="-10"/>
          <w:sz w:val="20"/>
        </w:rPr>
        <w:t> </w:t>
      </w:r>
      <w:r>
        <w:rPr>
          <w:sz w:val="20"/>
        </w:rPr>
        <w:t>the</w:t>
      </w:r>
      <w:r>
        <w:rPr>
          <w:spacing w:val="-10"/>
          <w:sz w:val="20"/>
        </w:rPr>
        <w:t> </w:t>
      </w:r>
      <w:r>
        <w:rPr>
          <w:sz w:val="20"/>
        </w:rPr>
        <w:t>Court</w:t>
      </w:r>
      <w:r>
        <w:rPr>
          <w:spacing w:val="-11"/>
          <w:sz w:val="20"/>
        </w:rPr>
        <w:t> </w:t>
      </w:r>
      <w:r>
        <w:rPr>
          <w:spacing w:val="-3"/>
          <w:sz w:val="20"/>
        </w:rPr>
        <w:t>Interpreters’</w:t>
      </w:r>
      <w:r>
        <w:rPr>
          <w:spacing w:val="-10"/>
          <w:sz w:val="20"/>
        </w:rPr>
        <w:t> </w:t>
      </w:r>
      <w:r>
        <w:rPr>
          <w:sz w:val="20"/>
        </w:rPr>
        <w:t>Code</w:t>
      </w:r>
      <w:r>
        <w:rPr>
          <w:spacing w:val="-10"/>
          <w:sz w:val="20"/>
        </w:rPr>
        <w:t> </w:t>
      </w:r>
      <w:r>
        <w:rPr>
          <w:sz w:val="20"/>
        </w:rPr>
        <w:t>of</w:t>
      </w:r>
      <w:r>
        <w:rPr>
          <w:spacing w:val="-10"/>
          <w:sz w:val="20"/>
        </w:rPr>
        <w:t> </w:t>
      </w:r>
      <w:r>
        <w:rPr>
          <w:sz w:val="20"/>
        </w:rPr>
        <w:t>Conduct</w:t>
      </w:r>
      <w:r>
        <w:rPr>
          <w:spacing w:val="-10"/>
          <w:sz w:val="20"/>
        </w:rPr>
        <w:t> </w:t>
      </w:r>
      <w:r>
        <w:rPr>
          <w:sz w:val="20"/>
        </w:rPr>
        <w:t>[which</w:t>
      </w:r>
      <w:r>
        <w:rPr>
          <w:spacing w:val="-10"/>
          <w:sz w:val="20"/>
        </w:rPr>
        <w:t> </w:t>
      </w:r>
      <w:r>
        <w:rPr>
          <w:sz w:val="20"/>
        </w:rPr>
        <w:t>is</w:t>
      </w:r>
      <w:r>
        <w:rPr>
          <w:spacing w:val="-11"/>
          <w:sz w:val="20"/>
        </w:rPr>
        <w:t> </w:t>
      </w:r>
      <w:r>
        <w:rPr>
          <w:sz w:val="20"/>
        </w:rPr>
        <w:t>based on the </w:t>
      </w:r>
      <w:r>
        <w:rPr>
          <w:spacing w:val="-3"/>
          <w:sz w:val="20"/>
        </w:rPr>
        <w:t>AUSIT </w:t>
      </w:r>
      <w:r>
        <w:rPr>
          <w:sz w:val="20"/>
        </w:rPr>
        <w:t>code] and be </w:t>
      </w:r>
      <w:r>
        <w:rPr>
          <w:spacing w:val="-3"/>
          <w:sz w:val="20"/>
        </w:rPr>
        <w:t>prepared </w:t>
      </w:r>
      <w:r>
        <w:rPr>
          <w:sz w:val="20"/>
        </w:rPr>
        <w:t>to </w:t>
      </w:r>
      <w:r>
        <w:rPr>
          <w:spacing w:val="-3"/>
          <w:sz w:val="20"/>
        </w:rPr>
        <w:t>swear </w:t>
      </w:r>
      <w:r>
        <w:rPr>
          <w:sz w:val="20"/>
        </w:rPr>
        <w:t>or affirm that they will adhere to that Code’.</w:t>
      </w:r>
      <w:r>
        <w:rPr>
          <w:position w:val="7"/>
          <w:sz w:val="11"/>
        </w:rPr>
        <w:t>60</w:t>
      </w:r>
    </w:p>
    <w:p>
      <w:pPr>
        <w:spacing w:before="163"/>
        <w:ind w:left="967" w:right="0" w:firstLine="0"/>
        <w:jc w:val="left"/>
        <w:rPr>
          <w:b/>
          <w:sz w:val="24"/>
        </w:rPr>
      </w:pPr>
      <w:r>
        <w:rPr>
          <w:b/>
          <w:sz w:val="24"/>
        </w:rPr>
        <w:t>A separate code of conduct for jury work</w:t>
      </w:r>
    </w:p>
    <w:p>
      <w:pPr>
        <w:pStyle w:val="ListParagraph"/>
        <w:numPr>
          <w:ilvl w:val="1"/>
          <w:numId w:val="12"/>
        </w:numPr>
        <w:tabs>
          <w:tab w:pos="1761" w:val="left" w:leader="none"/>
          <w:tab w:pos="1762" w:val="left" w:leader="none"/>
        </w:tabs>
        <w:spacing w:line="206" w:lineRule="auto" w:before="127" w:after="0"/>
        <w:ind w:left="1761" w:right="1280" w:hanging="794"/>
        <w:jc w:val="left"/>
        <w:rPr>
          <w:sz w:val="20"/>
        </w:rPr>
      </w:pPr>
      <w:r>
        <w:rPr>
          <w:sz w:val="20"/>
        </w:rPr>
        <w:t>In</w:t>
      </w:r>
      <w:r>
        <w:rPr>
          <w:spacing w:val="-11"/>
          <w:sz w:val="20"/>
        </w:rPr>
        <w:t> </w:t>
      </w:r>
      <w:r>
        <w:rPr>
          <w:sz w:val="20"/>
        </w:rPr>
        <w:t>the</w:t>
      </w:r>
      <w:r>
        <w:rPr>
          <w:spacing w:val="-11"/>
          <w:sz w:val="20"/>
        </w:rPr>
        <w:t> </w:t>
      </w:r>
      <w:r>
        <w:rPr>
          <w:sz w:val="20"/>
        </w:rPr>
        <w:t>Australian</w:t>
      </w:r>
      <w:r>
        <w:rPr>
          <w:spacing w:val="-11"/>
          <w:sz w:val="20"/>
        </w:rPr>
        <w:t> </w:t>
      </w:r>
      <w:r>
        <w:rPr>
          <w:sz w:val="20"/>
        </w:rPr>
        <w:t>Capital</w:t>
      </w:r>
      <w:r>
        <w:rPr>
          <w:spacing w:val="-11"/>
          <w:sz w:val="20"/>
        </w:rPr>
        <w:t> </w:t>
      </w:r>
      <w:r>
        <w:rPr>
          <w:spacing w:val="-3"/>
          <w:sz w:val="20"/>
        </w:rPr>
        <w:t>Territory</w:t>
      </w:r>
      <w:r>
        <w:rPr>
          <w:spacing w:val="-11"/>
          <w:sz w:val="20"/>
        </w:rPr>
        <w:t> </w:t>
      </w:r>
      <w:r>
        <w:rPr>
          <w:sz w:val="20"/>
        </w:rPr>
        <w:t>(ACT),</w:t>
      </w:r>
      <w:r>
        <w:rPr>
          <w:spacing w:val="-11"/>
          <w:sz w:val="20"/>
        </w:rPr>
        <w:t> </w:t>
      </w:r>
      <w:r>
        <w:rPr>
          <w:sz w:val="20"/>
        </w:rPr>
        <w:t>Auslan</w:t>
      </w:r>
      <w:r>
        <w:rPr>
          <w:spacing w:val="-11"/>
          <w:sz w:val="20"/>
        </w:rPr>
        <w:t> </w:t>
      </w:r>
      <w:r>
        <w:rPr>
          <w:spacing w:val="-3"/>
          <w:sz w:val="20"/>
        </w:rPr>
        <w:t>interpreters</w:t>
      </w:r>
      <w:r>
        <w:rPr>
          <w:spacing w:val="-11"/>
          <w:sz w:val="20"/>
        </w:rPr>
        <w:t> </w:t>
      </w:r>
      <w:r>
        <w:rPr>
          <w:sz w:val="20"/>
        </w:rPr>
        <w:t>working</w:t>
      </w:r>
      <w:r>
        <w:rPr>
          <w:spacing w:val="-11"/>
          <w:sz w:val="20"/>
        </w:rPr>
        <w:t> </w:t>
      </w:r>
      <w:r>
        <w:rPr>
          <w:sz w:val="20"/>
        </w:rPr>
        <w:t>with</w:t>
      </w:r>
      <w:r>
        <w:rPr>
          <w:spacing w:val="-11"/>
          <w:sz w:val="20"/>
        </w:rPr>
        <w:t> </w:t>
      </w:r>
      <w:r>
        <w:rPr>
          <w:sz w:val="20"/>
        </w:rPr>
        <w:t>jurors</w:t>
      </w:r>
      <w:r>
        <w:rPr>
          <w:spacing w:val="-11"/>
          <w:sz w:val="20"/>
        </w:rPr>
        <w:t> </w:t>
      </w:r>
      <w:r>
        <w:rPr>
          <w:sz w:val="20"/>
        </w:rPr>
        <w:t>will</w:t>
      </w:r>
      <w:r>
        <w:rPr>
          <w:spacing w:val="-11"/>
          <w:sz w:val="20"/>
        </w:rPr>
        <w:t> </w:t>
      </w:r>
      <w:r>
        <w:rPr>
          <w:sz w:val="20"/>
        </w:rPr>
        <w:t>also be </w:t>
      </w:r>
      <w:r>
        <w:rPr>
          <w:spacing w:val="-3"/>
          <w:sz w:val="20"/>
        </w:rPr>
        <w:t>required </w:t>
      </w:r>
      <w:r>
        <w:rPr>
          <w:sz w:val="20"/>
        </w:rPr>
        <w:t>to agree to </w:t>
      </w:r>
      <w:r>
        <w:rPr>
          <w:spacing w:val="-3"/>
          <w:sz w:val="20"/>
        </w:rPr>
        <w:t>comply </w:t>
      </w:r>
      <w:r>
        <w:rPr>
          <w:sz w:val="20"/>
        </w:rPr>
        <w:t>with a code of conduct. The </w:t>
      </w:r>
      <w:r>
        <w:rPr>
          <w:spacing w:val="-4"/>
          <w:sz w:val="20"/>
        </w:rPr>
        <w:t>ACT </w:t>
      </w:r>
      <w:r>
        <w:rPr>
          <w:sz w:val="20"/>
        </w:rPr>
        <w:t>court </w:t>
      </w:r>
      <w:r>
        <w:rPr>
          <w:spacing w:val="-3"/>
          <w:sz w:val="20"/>
        </w:rPr>
        <w:t>interpreters’ </w:t>
      </w:r>
      <w:r>
        <w:rPr>
          <w:sz w:val="20"/>
        </w:rPr>
        <w:t>code of conduct is short </w:t>
      </w:r>
      <w:r>
        <w:rPr>
          <w:spacing w:val="-3"/>
          <w:sz w:val="20"/>
        </w:rPr>
        <w:t>(two </w:t>
      </w:r>
      <w:r>
        <w:rPr>
          <w:sz w:val="20"/>
        </w:rPr>
        <w:t>pages) and</w:t>
      </w:r>
      <w:r>
        <w:rPr>
          <w:spacing w:val="-33"/>
          <w:sz w:val="20"/>
        </w:rPr>
        <w:t> </w:t>
      </w:r>
      <w:r>
        <w:rPr>
          <w:spacing w:val="-3"/>
          <w:sz w:val="20"/>
        </w:rPr>
        <w:t>covers:</w:t>
      </w:r>
    </w:p>
    <w:p>
      <w:pPr>
        <w:pStyle w:val="ListParagraph"/>
        <w:numPr>
          <w:ilvl w:val="2"/>
          <w:numId w:val="12"/>
        </w:numPr>
        <w:tabs>
          <w:tab w:pos="2157" w:val="left" w:leader="none"/>
          <w:tab w:pos="2158" w:val="left" w:leader="none"/>
        </w:tabs>
        <w:spacing w:line="240" w:lineRule="auto" w:before="92" w:after="0"/>
        <w:ind w:left="2157" w:right="0" w:hanging="396"/>
        <w:jc w:val="left"/>
        <w:rPr>
          <w:sz w:val="20"/>
        </w:rPr>
      </w:pPr>
      <w:r>
        <w:rPr>
          <w:sz w:val="20"/>
        </w:rPr>
        <w:t>the general duty to the</w:t>
      </w:r>
      <w:r>
        <w:rPr>
          <w:spacing w:val="-22"/>
          <w:sz w:val="20"/>
        </w:rPr>
        <w:t> </w:t>
      </w:r>
      <w:r>
        <w:rPr>
          <w:sz w:val="20"/>
        </w:rPr>
        <w:t>court</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duty to </w:t>
      </w:r>
      <w:r>
        <w:rPr>
          <w:spacing w:val="-3"/>
          <w:sz w:val="20"/>
        </w:rPr>
        <w:t>comply </w:t>
      </w:r>
      <w:r>
        <w:rPr>
          <w:sz w:val="20"/>
        </w:rPr>
        <w:t>with</w:t>
      </w:r>
      <w:r>
        <w:rPr>
          <w:spacing w:val="-14"/>
          <w:sz w:val="20"/>
        </w:rPr>
        <w:t> </w:t>
      </w:r>
      <w:r>
        <w:rPr>
          <w:sz w:val="20"/>
        </w:rPr>
        <w:t>directions</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duty of</w:t>
      </w:r>
      <w:r>
        <w:rPr>
          <w:spacing w:val="-9"/>
          <w:sz w:val="20"/>
        </w:rPr>
        <w:t> </w:t>
      </w:r>
      <w:r>
        <w:rPr>
          <w:sz w:val="20"/>
        </w:rPr>
        <w:t>accuracy</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duty of</w:t>
      </w:r>
      <w:r>
        <w:rPr>
          <w:spacing w:val="-9"/>
          <w:sz w:val="20"/>
        </w:rPr>
        <w:t> </w:t>
      </w:r>
      <w:r>
        <w:rPr>
          <w:sz w:val="20"/>
        </w:rPr>
        <w:t>impartiality</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duty of</w:t>
      </w:r>
      <w:r>
        <w:rPr>
          <w:spacing w:val="-9"/>
          <w:sz w:val="20"/>
        </w:rPr>
        <w:t> </w:t>
      </w:r>
      <w:r>
        <w:rPr>
          <w:spacing w:val="-2"/>
          <w:sz w:val="20"/>
        </w:rPr>
        <w:t>competence</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confidentiality.</w:t>
      </w:r>
      <w:r>
        <w:rPr>
          <w:position w:val="7"/>
          <w:sz w:val="11"/>
        </w:rPr>
        <w:t>61</w:t>
      </w:r>
    </w:p>
    <w:p>
      <w:pPr>
        <w:pStyle w:val="ListParagraph"/>
        <w:numPr>
          <w:ilvl w:val="1"/>
          <w:numId w:val="12"/>
        </w:numPr>
        <w:tabs>
          <w:tab w:pos="1761" w:val="left" w:leader="none"/>
          <w:tab w:pos="1762" w:val="left" w:leader="none"/>
        </w:tabs>
        <w:spacing w:line="206" w:lineRule="auto" w:before="80" w:after="0"/>
        <w:ind w:left="1761" w:right="1366" w:hanging="794"/>
        <w:jc w:val="left"/>
        <w:rPr>
          <w:sz w:val="20"/>
        </w:rPr>
      </w:pPr>
      <w:r>
        <w:rPr>
          <w:sz w:val="20"/>
        </w:rPr>
        <w:t>Despite existing requirements, the Commission thinks it is important to </w:t>
      </w:r>
      <w:r>
        <w:rPr>
          <w:spacing w:val="-3"/>
          <w:sz w:val="20"/>
        </w:rPr>
        <w:t>require </w:t>
      </w:r>
      <w:r>
        <w:rPr>
          <w:sz w:val="20"/>
        </w:rPr>
        <w:t>an Auslan </w:t>
      </w:r>
      <w:r>
        <w:rPr>
          <w:spacing w:val="-3"/>
          <w:sz w:val="20"/>
        </w:rPr>
        <w:t>interpreter </w:t>
      </w:r>
      <w:r>
        <w:rPr>
          <w:sz w:val="20"/>
        </w:rPr>
        <w:t>to sign up to a separate code of conduct in relation to jury </w:t>
      </w:r>
      <w:r>
        <w:rPr>
          <w:spacing w:val="-3"/>
          <w:sz w:val="20"/>
        </w:rPr>
        <w:t>work </w:t>
      </w:r>
      <w:r>
        <w:rPr>
          <w:sz w:val="20"/>
        </w:rPr>
        <w:t>that</w:t>
      </w:r>
      <w:r>
        <w:rPr>
          <w:spacing w:val="-12"/>
          <w:sz w:val="20"/>
        </w:rPr>
        <w:t> </w:t>
      </w:r>
      <w:r>
        <w:rPr>
          <w:sz w:val="20"/>
        </w:rPr>
        <w:t>outlines</w:t>
      </w:r>
      <w:r>
        <w:rPr>
          <w:spacing w:val="-11"/>
          <w:sz w:val="20"/>
        </w:rPr>
        <w:t> </w:t>
      </w:r>
      <w:r>
        <w:rPr>
          <w:sz w:val="20"/>
        </w:rPr>
        <w:t>their</w:t>
      </w:r>
      <w:r>
        <w:rPr>
          <w:spacing w:val="-11"/>
          <w:sz w:val="20"/>
        </w:rPr>
        <w:t> </w:t>
      </w:r>
      <w:r>
        <w:rPr>
          <w:spacing w:val="-3"/>
          <w:sz w:val="20"/>
        </w:rPr>
        <w:t>role</w:t>
      </w:r>
      <w:r>
        <w:rPr>
          <w:spacing w:val="-11"/>
          <w:sz w:val="20"/>
        </w:rPr>
        <w:t> </w:t>
      </w:r>
      <w:r>
        <w:rPr>
          <w:sz w:val="20"/>
        </w:rPr>
        <w:t>and</w:t>
      </w:r>
      <w:r>
        <w:rPr>
          <w:spacing w:val="-11"/>
          <w:sz w:val="20"/>
        </w:rPr>
        <w:t> </w:t>
      </w:r>
      <w:r>
        <w:rPr>
          <w:sz w:val="20"/>
        </w:rPr>
        <w:t>responsibilities.</w:t>
      </w:r>
      <w:r>
        <w:rPr>
          <w:spacing w:val="-11"/>
          <w:sz w:val="20"/>
        </w:rPr>
        <w:t> </w:t>
      </w:r>
      <w:r>
        <w:rPr>
          <w:sz w:val="20"/>
        </w:rPr>
        <w:t>The</w:t>
      </w:r>
      <w:r>
        <w:rPr>
          <w:spacing w:val="-11"/>
          <w:sz w:val="20"/>
        </w:rPr>
        <w:t> </w:t>
      </w:r>
      <w:r>
        <w:rPr>
          <w:sz w:val="20"/>
        </w:rPr>
        <w:t>courts</w:t>
      </w:r>
      <w:r>
        <w:rPr>
          <w:spacing w:val="-12"/>
          <w:sz w:val="20"/>
        </w:rPr>
        <w:t> </w:t>
      </w:r>
      <w:r>
        <w:rPr>
          <w:sz w:val="20"/>
        </w:rPr>
        <w:t>should</w:t>
      </w:r>
      <w:r>
        <w:rPr>
          <w:spacing w:val="-11"/>
          <w:sz w:val="20"/>
        </w:rPr>
        <w:t> </w:t>
      </w:r>
      <w:r>
        <w:rPr>
          <w:spacing w:val="-3"/>
          <w:sz w:val="20"/>
        </w:rPr>
        <w:t>develop</w:t>
      </w:r>
      <w:r>
        <w:rPr>
          <w:spacing w:val="-11"/>
          <w:sz w:val="20"/>
        </w:rPr>
        <w:t> </w:t>
      </w:r>
      <w:r>
        <w:rPr>
          <w:sz w:val="20"/>
        </w:rPr>
        <w:t>this</w:t>
      </w:r>
      <w:r>
        <w:rPr>
          <w:spacing w:val="-11"/>
          <w:sz w:val="20"/>
        </w:rPr>
        <w:t> </w:t>
      </w:r>
      <w:r>
        <w:rPr>
          <w:sz w:val="20"/>
        </w:rPr>
        <w:t>code</w:t>
      </w:r>
      <w:r>
        <w:rPr>
          <w:spacing w:val="-11"/>
          <w:sz w:val="20"/>
        </w:rPr>
        <w:t> </w:t>
      </w:r>
      <w:r>
        <w:rPr>
          <w:sz w:val="20"/>
        </w:rPr>
        <w:t>which could be guided </w:t>
      </w:r>
      <w:r>
        <w:rPr>
          <w:spacing w:val="-3"/>
          <w:sz w:val="20"/>
        </w:rPr>
        <w:t>by </w:t>
      </w:r>
      <w:r>
        <w:rPr>
          <w:sz w:val="20"/>
        </w:rPr>
        <w:t>the </w:t>
      </w:r>
      <w:r>
        <w:rPr>
          <w:spacing w:val="-4"/>
          <w:sz w:val="20"/>
        </w:rPr>
        <w:t>ACT </w:t>
      </w:r>
      <w:r>
        <w:rPr>
          <w:sz w:val="20"/>
        </w:rPr>
        <w:t>code and the court </w:t>
      </w:r>
      <w:r>
        <w:rPr>
          <w:spacing w:val="-3"/>
          <w:sz w:val="20"/>
        </w:rPr>
        <w:t>interpreters’ </w:t>
      </w:r>
      <w:r>
        <w:rPr>
          <w:sz w:val="20"/>
        </w:rPr>
        <w:t>code of conduct set out in</w:t>
      </w:r>
      <w:r>
        <w:rPr>
          <w:spacing w:val="-10"/>
          <w:sz w:val="20"/>
        </w:rPr>
        <w:t> </w:t>
      </w:r>
      <w:r>
        <w:rPr>
          <w:sz w:val="20"/>
        </w:rPr>
        <w:t>the</w:t>
      </w:r>
      <w:r>
        <w:rPr>
          <w:spacing w:val="-9"/>
          <w:sz w:val="20"/>
        </w:rPr>
        <w:t> </w:t>
      </w:r>
      <w:r>
        <w:rPr>
          <w:sz w:val="20"/>
        </w:rPr>
        <w:t>RNS.</w:t>
      </w:r>
      <w:r>
        <w:rPr>
          <w:spacing w:val="-10"/>
          <w:sz w:val="20"/>
        </w:rPr>
        <w:t> </w:t>
      </w:r>
      <w:r>
        <w:rPr>
          <w:sz w:val="20"/>
        </w:rPr>
        <w:t>Amendments</w:t>
      </w:r>
      <w:r>
        <w:rPr>
          <w:spacing w:val="-9"/>
          <w:sz w:val="20"/>
        </w:rPr>
        <w:t> </w:t>
      </w:r>
      <w:r>
        <w:rPr>
          <w:sz w:val="20"/>
        </w:rPr>
        <w:t>to</w:t>
      </w:r>
      <w:r>
        <w:rPr>
          <w:spacing w:val="-10"/>
          <w:sz w:val="20"/>
        </w:rPr>
        <w:t> </w:t>
      </w:r>
      <w:r>
        <w:rPr>
          <w:sz w:val="20"/>
        </w:rPr>
        <w:t>the</w:t>
      </w:r>
      <w:r>
        <w:rPr>
          <w:spacing w:val="-9"/>
          <w:sz w:val="20"/>
        </w:rPr>
        <w:t> </w:t>
      </w:r>
      <w:r>
        <w:rPr>
          <w:sz w:val="20"/>
        </w:rPr>
        <w:t>Juries</w:t>
      </w:r>
      <w:r>
        <w:rPr>
          <w:spacing w:val="-10"/>
          <w:sz w:val="20"/>
        </w:rPr>
        <w:t> </w:t>
      </w:r>
      <w:r>
        <w:rPr>
          <w:spacing w:val="-2"/>
          <w:sz w:val="20"/>
        </w:rPr>
        <w:t>Act</w:t>
      </w:r>
      <w:r>
        <w:rPr>
          <w:spacing w:val="-9"/>
          <w:sz w:val="20"/>
        </w:rPr>
        <w:t> </w:t>
      </w:r>
      <w:r>
        <w:rPr>
          <w:sz w:val="20"/>
        </w:rPr>
        <w:t>should</w:t>
      </w:r>
      <w:r>
        <w:rPr>
          <w:spacing w:val="-10"/>
          <w:sz w:val="20"/>
        </w:rPr>
        <w:t> </w:t>
      </w:r>
      <w:r>
        <w:rPr>
          <w:sz w:val="20"/>
        </w:rPr>
        <w:t>be</w:t>
      </w:r>
      <w:r>
        <w:rPr>
          <w:spacing w:val="-9"/>
          <w:sz w:val="20"/>
        </w:rPr>
        <w:t> </w:t>
      </w:r>
      <w:r>
        <w:rPr>
          <w:sz w:val="20"/>
        </w:rPr>
        <w:t>accompanied</w:t>
      </w:r>
      <w:r>
        <w:rPr>
          <w:spacing w:val="-9"/>
          <w:sz w:val="20"/>
        </w:rPr>
        <w:t> </w:t>
      </w:r>
      <w:r>
        <w:rPr>
          <w:spacing w:val="-3"/>
          <w:sz w:val="20"/>
        </w:rPr>
        <w:t>by</w:t>
      </w:r>
      <w:r>
        <w:rPr>
          <w:spacing w:val="-10"/>
          <w:sz w:val="20"/>
        </w:rPr>
        <w:t> </w:t>
      </w:r>
      <w:r>
        <w:rPr>
          <w:sz w:val="20"/>
        </w:rPr>
        <w:t>regulation</w:t>
      </w:r>
      <w:r>
        <w:rPr>
          <w:spacing w:val="-9"/>
          <w:sz w:val="20"/>
        </w:rPr>
        <w:t> </w:t>
      </w:r>
      <w:r>
        <w:rPr>
          <w:sz w:val="20"/>
        </w:rPr>
        <w:t>that includes accreditation requirements, standards, and a code of conduct for Auslan </w:t>
      </w:r>
      <w:r>
        <w:rPr>
          <w:spacing w:val="-3"/>
          <w:sz w:val="20"/>
        </w:rPr>
        <w:t>interpreters.</w:t>
      </w:r>
    </w:p>
    <w:p>
      <w:pPr>
        <w:pStyle w:val="ListParagraph"/>
        <w:numPr>
          <w:ilvl w:val="1"/>
          <w:numId w:val="12"/>
        </w:numPr>
        <w:tabs>
          <w:tab w:pos="1761" w:val="left" w:leader="none"/>
          <w:tab w:pos="1762" w:val="left" w:leader="none"/>
        </w:tabs>
        <w:spacing w:line="259" w:lineRule="exact" w:before="96" w:after="0"/>
        <w:ind w:left="1761" w:right="0" w:hanging="794"/>
        <w:jc w:val="left"/>
        <w:rPr>
          <w:sz w:val="20"/>
        </w:rPr>
      </w:pPr>
      <w:r>
        <w:rPr>
          <w:sz w:val="20"/>
        </w:rPr>
        <w:t>A</w:t>
      </w:r>
      <w:r>
        <w:rPr>
          <w:spacing w:val="-7"/>
          <w:sz w:val="20"/>
        </w:rPr>
        <w:t> </w:t>
      </w:r>
      <w:r>
        <w:rPr>
          <w:sz w:val="20"/>
        </w:rPr>
        <w:t>code</w:t>
      </w:r>
      <w:r>
        <w:rPr>
          <w:spacing w:val="-6"/>
          <w:sz w:val="20"/>
        </w:rPr>
        <w:t> </w:t>
      </w:r>
      <w:r>
        <w:rPr>
          <w:sz w:val="20"/>
        </w:rPr>
        <w:t>of</w:t>
      </w:r>
      <w:r>
        <w:rPr>
          <w:spacing w:val="-6"/>
          <w:sz w:val="20"/>
        </w:rPr>
        <w:t> </w:t>
      </w:r>
      <w:r>
        <w:rPr>
          <w:sz w:val="20"/>
        </w:rPr>
        <w:t>conduct,</w:t>
      </w:r>
      <w:r>
        <w:rPr>
          <w:spacing w:val="-7"/>
          <w:sz w:val="20"/>
        </w:rPr>
        <w:t> </w:t>
      </w:r>
      <w:r>
        <w:rPr>
          <w:sz w:val="20"/>
        </w:rPr>
        <w:t>new</w:t>
      </w:r>
      <w:r>
        <w:rPr>
          <w:spacing w:val="-6"/>
          <w:sz w:val="20"/>
        </w:rPr>
        <w:t> </w:t>
      </w:r>
      <w:r>
        <w:rPr>
          <w:sz w:val="20"/>
        </w:rPr>
        <w:t>standards</w:t>
      </w:r>
      <w:r>
        <w:rPr>
          <w:spacing w:val="-6"/>
          <w:sz w:val="20"/>
        </w:rPr>
        <w:t> </w:t>
      </w:r>
      <w:r>
        <w:rPr>
          <w:sz w:val="20"/>
        </w:rPr>
        <w:t>and</w:t>
      </w:r>
      <w:r>
        <w:rPr>
          <w:spacing w:val="-7"/>
          <w:sz w:val="20"/>
        </w:rPr>
        <w:t> </w:t>
      </w:r>
      <w:r>
        <w:rPr>
          <w:sz w:val="20"/>
        </w:rPr>
        <w:t>an</w:t>
      </w:r>
      <w:r>
        <w:rPr>
          <w:spacing w:val="-6"/>
          <w:sz w:val="20"/>
        </w:rPr>
        <w:t> </w:t>
      </w:r>
      <w:r>
        <w:rPr>
          <w:sz w:val="20"/>
        </w:rPr>
        <w:t>oath</w:t>
      </w:r>
      <w:r>
        <w:rPr>
          <w:spacing w:val="-6"/>
          <w:sz w:val="20"/>
        </w:rPr>
        <w:t> </w:t>
      </w:r>
      <w:r>
        <w:rPr>
          <w:sz w:val="20"/>
        </w:rPr>
        <w:t>to</w:t>
      </w:r>
      <w:r>
        <w:rPr>
          <w:spacing w:val="-6"/>
          <w:sz w:val="20"/>
        </w:rPr>
        <w:t> </w:t>
      </w:r>
      <w:r>
        <w:rPr>
          <w:sz w:val="20"/>
        </w:rPr>
        <w:t>the</w:t>
      </w:r>
      <w:r>
        <w:rPr>
          <w:spacing w:val="-7"/>
          <w:sz w:val="20"/>
        </w:rPr>
        <w:t> </w:t>
      </w:r>
      <w:r>
        <w:rPr>
          <w:sz w:val="20"/>
        </w:rPr>
        <w:t>court</w:t>
      </w:r>
      <w:r>
        <w:rPr>
          <w:spacing w:val="-6"/>
          <w:sz w:val="20"/>
        </w:rPr>
        <w:t> </w:t>
      </w:r>
      <w:r>
        <w:rPr>
          <w:sz w:val="20"/>
        </w:rPr>
        <w:t>should</w:t>
      </w:r>
      <w:r>
        <w:rPr>
          <w:spacing w:val="-6"/>
          <w:sz w:val="20"/>
        </w:rPr>
        <w:t> </w:t>
      </w:r>
      <w:r>
        <w:rPr>
          <w:sz w:val="20"/>
        </w:rPr>
        <w:t>be</w:t>
      </w:r>
      <w:r>
        <w:rPr>
          <w:spacing w:val="-7"/>
          <w:sz w:val="20"/>
        </w:rPr>
        <w:t> </w:t>
      </w:r>
      <w:r>
        <w:rPr>
          <w:sz w:val="20"/>
        </w:rPr>
        <w:t>sufficient</w:t>
      </w:r>
      <w:r>
        <w:rPr>
          <w:spacing w:val="-6"/>
          <w:sz w:val="20"/>
        </w:rPr>
        <w:t> </w:t>
      </w:r>
      <w:r>
        <w:rPr>
          <w:sz w:val="20"/>
        </w:rPr>
        <w:t>to</w:t>
      </w:r>
    </w:p>
    <w:p>
      <w:pPr>
        <w:pStyle w:val="BodyText"/>
        <w:spacing w:line="259" w:lineRule="exact"/>
        <w:ind w:left="1761"/>
      </w:pPr>
      <w:r>
        <w:rPr/>
        <w:t>respond to concerns raised by the LIV:</w:t>
      </w:r>
    </w:p>
    <w:p>
      <w:pPr>
        <w:spacing w:line="208" w:lineRule="auto" w:before="113"/>
        <w:ind w:left="2157" w:right="1277" w:firstLine="0"/>
        <w:jc w:val="left"/>
        <w:rPr>
          <w:sz w:val="19"/>
        </w:rPr>
      </w:pPr>
      <w:r>
        <w:rPr>
          <w:sz w:val="19"/>
        </w:rPr>
        <w:t>In many instances, LIV members have reported their experiences with interpreters in a range of professional settings are that they can stray beyond the confines of their role; venture into providing legal advice, not accurately convey what is being said</w:t>
      </w:r>
    </w:p>
    <w:p>
      <w:pPr>
        <w:spacing w:line="208" w:lineRule="auto" w:before="2"/>
        <w:ind w:left="2157" w:right="1277" w:firstLine="0"/>
        <w:jc w:val="left"/>
        <w:rPr>
          <w:sz w:val="11"/>
        </w:rPr>
      </w:pPr>
      <w:r>
        <w:rPr>
          <w:sz w:val="19"/>
        </w:rPr>
        <w:t>or needlessly elaborate on statements. Whilst specific training may not be the best </w:t>
      </w:r>
      <w:r>
        <w:rPr>
          <w:spacing w:val="-3"/>
          <w:sz w:val="19"/>
        </w:rPr>
        <w:t>way </w:t>
      </w:r>
      <w:r>
        <w:rPr>
          <w:sz w:val="19"/>
        </w:rPr>
        <w:t>to address this, the LIV recommends part of the affirmation require a pledge to honestly,</w:t>
      </w:r>
      <w:r>
        <w:rPr>
          <w:spacing w:val="-10"/>
          <w:sz w:val="19"/>
        </w:rPr>
        <w:t> </w:t>
      </w:r>
      <w:r>
        <w:rPr>
          <w:sz w:val="19"/>
        </w:rPr>
        <w:t>objectively</w:t>
      </w:r>
      <w:r>
        <w:rPr>
          <w:spacing w:val="-10"/>
          <w:sz w:val="19"/>
        </w:rPr>
        <w:t> </w:t>
      </w:r>
      <w:r>
        <w:rPr>
          <w:sz w:val="19"/>
        </w:rPr>
        <w:t>and</w:t>
      </w:r>
      <w:r>
        <w:rPr>
          <w:spacing w:val="-10"/>
          <w:sz w:val="19"/>
        </w:rPr>
        <w:t> </w:t>
      </w:r>
      <w:r>
        <w:rPr>
          <w:sz w:val="19"/>
        </w:rPr>
        <w:t>accurately</w:t>
      </w:r>
      <w:r>
        <w:rPr>
          <w:spacing w:val="-10"/>
          <w:sz w:val="19"/>
        </w:rPr>
        <w:t> </w:t>
      </w:r>
      <w:r>
        <w:rPr>
          <w:sz w:val="19"/>
        </w:rPr>
        <w:t>interpret</w:t>
      </w:r>
      <w:r>
        <w:rPr>
          <w:spacing w:val="-9"/>
          <w:sz w:val="19"/>
        </w:rPr>
        <w:t> </w:t>
      </w:r>
      <w:r>
        <w:rPr>
          <w:sz w:val="19"/>
        </w:rPr>
        <w:t>to</w:t>
      </w:r>
      <w:r>
        <w:rPr>
          <w:spacing w:val="-10"/>
          <w:sz w:val="19"/>
        </w:rPr>
        <w:t> </w:t>
      </w:r>
      <w:r>
        <w:rPr>
          <w:sz w:val="19"/>
        </w:rPr>
        <w:t>the</w:t>
      </w:r>
      <w:r>
        <w:rPr>
          <w:spacing w:val="-10"/>
          <w:sz w:val="19"/>
        </w:rPr>
        <w:t> </w:t>
      </w:r>
      <w:r>
        <w:rPr>
          <w:sz w:val="19"/>
        </w:rPr>
        <w:t>best</w:t>
      </w:r>
      <w:r>
        <w:rPr>
          <w:spacing w:val="-10"/>
          <w:sz w:val="19"/>
        </w:rPr>
        <w:t> </w:t>
      </w:r>
      <w:r>
        <w:rPr>
          <w:sz w:val="19"/>
        </w:rPr>
        <w:t>of</w:t>
      </w:r>
      <w:r>
        <w:rPr>
          <w:spacing w:val="-9"/>
          <w:sz w:val="19"/>
        </w:rPr>
        <w:t> </w:t>
      </w:r>
      <w:r>
        <w:rPr>
          <w:sz w:val="19"/>
        </w:rPr>
        <w:t>their</w:t>
      </w:r>
      <w:r>
        <w:rPr>
          <w:spacing w:val="-10"/>
          <w:sz w:val="19"/>
        </w:rPr>
        <w:t> </w:t>
      </w:r>
      <w:r>
        <w:rPr>
          <w:sz w:val="19"/>
        </w:rPr>
        <w:t>abilities.</w:t>
      </w:r>
      <w:r>
        <w:rPr>
          <w:spacing w:val="-10"/>
          <w:sz w:val="19"/>
        </w:rPr>
        <w:t> </w:t>
      </w:r>
      <w:r>
        <w:rPr>
          <w:sz w:val="19"/>
        </w:rPr>
        <w:t>Additionally, a fact sheet should be provided to interpreters/supporters and the Judge should reinforce the importance of their role and adhering to their affirmation and the guidance of the fact</w:t>
      </w:r>
      <w:r>
        <w:rPr>
          <w:spacing w:val="-8"/>
          <w:sz w:val="19"/>
        </w:rPr>
        <w:t> </w:t>
      </w:r>
      <w:r>
        <w:rPr>
          <w:sz w:val="19"/>
        </w:rPr>
        <w:t>sheet.</w:t>
      </w:r>
      <w:r>
        <w:rPr>
          <w:position w:val="6"/>
          <w:sz w:val="11"/>
        </w:rPr>
        <w:t>62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3"/>
        </w:rPr>
      </w:pPr>
      <w:r>
        <w:rPr/>
        <w:pict>
          <v:line style="position:absolute;mso-position-horizontal-relative:page;mso-position-vertical-relative:paragraph;z-index:8528;mso-wrap-distance-left:0;mso-wrap-distance-right:0" from="79.370102pt,18.843420pt" to="515.905102pt,18.843420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99"/>
        </w:numPr>
        <w:tabs>
          <w:tab w:pos="1761" w:val="left" w:leader="none"/>
          <w:tab w:pos="1762" w:val="left" w:leader="none"/>
        </w:tabs>
        <w:spacing w:line="170" w:lineRule="exact" w:before="21" w:after="0"/>
        <w:ind w:left="1761" w:right="0" w:hanging="794"/>
        <w:jc w:val="left"/>
        <w:rPr>
          <w:sz w:val="13"/>
        </w:rPr>
      </w:pPr>
      <w:r>
        <w:rPr>
          <w:sz w:val="13"/>
        </w:rPr>
        <w:t>National</w:t>
      </w:r>
      <w:r>
        <w:rPr>
          <w:spacing w:val="4"/>
          <w:sz w:val="13"/>
        </w:rPr>
        <w:t> </w:t>
      </w:r>
      <w:r>
        <w:rPr>
          <w:sz w:val="13"/>
        </w:rPr>
        <w:t>Accreditation</w:t>
      </w:r>
      <w:r>
        <w:rPr>
          <w:spacing w:val="4"/>
          <w:sz w:val="13"/>
        </w:rPr>
        <w:t> </w:t>
      </w:r>
      <w:r>
        <w:rPr>
          <w:sz w:val="13"/>
        </w:rPr>
        <w:t>Authority</w:t>
      </w:r>
      <w:r>
        <w:rPr>
          <w:spacing w:val="4"/>
          <w:sz w:val="13"/>
        </w:rPr>
        <w:t> </w:t>
      </w:r>
      <w:r>
        <w:rPr>
          <w:sz w:val="13"/>
        </w:rPr>
        <w:t>for</w:t>
      </w:r>
      <w:r>
        <w:rPr>
          <w:spacing w:val="4"/>
          <w:sz w:val="13"/>
        </w:rPr>
        <w:t> </w:t>
      </w:r>
      <w:r>
        <w:rPr>
          <w:sz w:val="13"/>
        </w:rPr>
        <w:t>Translators</w:t>
      </w:r>
      <w:r>
        <w:rPr>
          <w:spacing w:val="4"/>
          <w:sz w:val="13"/>
        </w:rPr>
        <w:t> </w:t>
      </w:r>
      <w:r>
        <w:rPr>
          <w:sz w:val="13"/>
        </w:rPr>
        <w:t>and</w:t>
      </w:r>
      <w:r>
        <w:rPr>
          <w:spacing w:val="4"/>
          <w:sz w:val="13"/>
        </w:rPr>
        <w:t> </w:t>
      </w:r>
      <w:r>
        <w:rPr>
          <w:sz w:val="13"/>
        </w:rPr>
        <w:t>Interpreters,</w:t>
      </w:r>
      <w:r>
        <w:rPr>
          <w:spacing w:val="4"/>
          <w:sz w:val="13"/>
        </w:rPr>
        <w:t> </w:t>
      </w:r>
      <w:r>
        <w:rPr>
          <w:sz w:val="13"/>
        </w:rPr>
        <w:t>‘Step</w:t>
      </w:r>
      <w:r>
        <w:rPr>
          <w:spacing w:val="4"/>
          <w:sz w:val="13"/>
        </w:rPr>
        <w:t> </w:t>
      </w:r>
      <w:r>
        <w:rPr>
          <w:sz w:val="13"/>
        </w:rPr>
        <w:t>3</w:t>
      </w:r>
      <w:r>
        <w:rPr>
          <w:spacing w:val="5"/>
          <w:sz w:val="13"/>
        </w:rPr>
        <w:t> </w:t>
      </w:r>
      <w:r>
        <w:rPr>
          <w:sz w:val="13"/>
        </w:rPr>
        <w:t>A:</w:t>
      </w:r>
      <w:r>
        <w:rPr>
          <w:spacing w:val="4"/>
          <w:sz w:val="13"/>
        </w:rPr>
        <w:t> </w:t>
      </w:r>
      <w:r>
        <w:rPr>
          <w:sz w:val="13"/>
        </w:rPr>
        <w:t>Ethical</w:t>
      </w:r>
      <w:r>
        <w:rPr>
          <w:spacing w:val="4"/>
          <w:sz w:val="13"/>
        </w:rPr>
        <w:t> </w:t>
      </w:r>
      <w:r>
        <w:rPr>
          <w:sz w:val="13"/>
        </w:rPr>
        <w:t>Competency’,</w:t>
      </w:r>
      <w:r>
        <w:rPr>
          <w:spacing w:val="4"/>
          <w:sz w:val="13"/>
        </w:rPr>
        <w:t> </w:t>
      </w:r>
      <w:r>
        <w:rPr>
          <w:i/>
          <w:sz w:val="13"/>
        </w:rPr>
        <w:t>NAATI</w:t>
      </w:r>
      <w:r>
        <w:rPr>
          <w:i/>
          <w:spacing w:val="4"/>
          <w:sz w:val="13"/>
        </w:rPr>
        <w:t> </w:t>
      </w:r>
      <w:r>
        <w:rPr>
          <w:sz w:val="13"/>
        </w:rPr>
        <w:t>(Web</w:t>
      </w:r>
      <w:r>
        <w:rPr>
          <w:spacing w:val="4"/>
          <w:sz w:val="13"/>
        </w:rPr>
        <w:t> </w:t>
      </w:r>
      <w:r>
        <w:rPr>
          <w:sz w:val="13"/>
        </w:rPr>
        <w:t>Page)</w:t>
      </w:r>
    </w:p>
    <w:p>
      <w:pPr>
        <w:spacing w:line="160" w:lineRule="exact" w:before="0"/>
        <w:ind w:left="1761" w:right="0" w:firstLine="0"/>
        <w:jc w:val="left"/>
        <w:rPr>
          <w:sz w:val="13"/>
        </w:rPr>
      </w:pPr>
      <w:r>
        <w:rPr>
          <w:sz w:val="13"/>
        </w:rPr>
        <w:t>&lt;</w:t>
      </w:r>
      <w:hyperlink r:id="rId226">
        <w:r>
          <w:rPr>
            <w:sz w:val="13"/>
          </w:rPr>
          <w:t>https://www.naati.com.au/become-certified/how-do-i-become-certified/ethical-competency/</w:t>
        </w:r>
      </w:hyperlink>
      <w:r>
        <w:rPr>
          <w:sz w:val="13"/>
        </w:rPr>
        <w:t>&gt;.</w:t>
      </w:r>
    </w:p>
    <w:p>
      <w:pPr>
        <w:pStyle w:val="ListParagraph"/>
        <w:numPr>
          <w:ilvl w:val="0"/>
          <w:numId w:val="99"/>
        </w:numPr>
        <w:tabs>
          <w:tab w:pos="1760" w:val="left" w:leader="none"/>
          <w:tab w:pos="1762" w:val="left" w:leader="none"/>
        </w:tabs>
        <w:spacing w:line="160" w:lineRule="exact" w:before="0" w:after="0"/>
        <w:ind w:left="1761" w:right="0" w:hanging="794"/>
        <w:jc w:val="left"/>
        <w:rPr>
          <w:i/>
          <w:sz w:val="13"/>
        </w:rPr>
      </w:pPr>
      <w:r>
        <w:rPr>
          <w:sz w:val="13"/>
        </w:rPr>
        <w:t>Judicial</w:t>
      </w:r>
      <w:r>
        <w:rPr>
          <w:spacing w:val="6"/>
          <w:sz w:val="13"/>
        </w:rPr>
        <w:t> </w:t>
      </w:r>
      <w:r>
        <w:rPr>
          <w:sz w:val="13"/>
        </w:rPr>
        <w:t>Council</w:t>
      </w:r>
      <w:r>
        <w:rPr>
          <w:spacing w:val="7"/>
          <w:sz w:val="13"/>
        </w:rPr>
        <w:t> </w:t>
      </w:r>
      <w:r>
        <w:rPr>
          <w:sz w:val="13"/>
        </w:rPr>
        <w:t>on</w:t>
      </w:r>
      <w:r>
        <w:rPr>
          <w:spacing w:val="7"/>
          <w:sz w:val="13"/>
        </w:rPr>
        <w:t> </w:t>
      </w:r>
      <w:r>
        <w:rPr>
          <w:sz w:val="13"/>
        </w:rPr>
        <w:t>Cultural</w:t>
      </w:r>
      <w:r>
        <w:rPr>
          <w:spacing w:val="7"/>
          <w:sz w:val="13"/>
        </w:rPr>
        <w:t> </w:t>
      </w:r>
      <w:r>
        <w:rPr>
          <w:sz w:val="13"/>
        </w:rPr>
        <w:t>Diversity,</w:t>
      </w:r>
      <w:r>
        <w:rPr>
          <w:spacing w:val="7"/>
          <w:sz w:val="13"/>
        </w:rPr>
        <w:t> </w:t>
      </w:r>
      <w:r>
        <w:rPr>
          <w:i/>
          <w:spacing w:val="2"/>
          <w:sz w:val="13"/>
        </w:rPr>
        <w:t>Recommended</w:t>
      </w:r>
      <w:r>
        <w:rPr>
          <w:i/>
          <w:spacing w:val="6"/>
          <w:sz w:val="13"/>
        </w:rPr>
        <w:t> </w:t>
      </w:r>
      <w:r>
        <w:rPr>
          <w:i/>
          <w:sz w:val="13"/>
        </w:rPr>
        <w:t>National</w:t>
      </w:r>
      <w:r>
        <w:rPr>
          <w:i/>
          <w:spacing w:val="7"/>
          <w:sz w:val="13"/>
        </w:rPr>
        <w:t> </w:t>
      </w:r>
      <w:r>
        <w:rPr>
          <w:i/>
          <w:sz w:val="13"/>
        </w:rPr>
        <w:t>Standards</w:t>
      </w:r>
      <w:r>
        <w:rPr>
          <w:i/>
          <w:spacing w:val="6"/>
          <w:sz w:val="13"/>
        </w:rPr>
        <w:t> </w:t>
      </w:r>
      <w:r>
        <w:rPr>
          <w:i/>
          <w:sz w:val="13"/>
        </w:rPr>
        <w:t>for</w:t>
      </w:r>
      <w:r>
        <w:rPr>
          <w:i/>
          <w:spacing w:val="6"/>
          <w:sz w:val="13"/>
        </w:rPr>
        <w:t> </w:t>
      </w:r>
      <w:r>
        <w:rPr>
          <w:i/>
          <w:sz w:val="13"/>
        </w:rPr>
        <w:t>Working</w:t>
      </w:r>
      <w:r>
        <w:rPr>
          <w:i/>
          <w:spacing w:val="7"/>
          <w:sz w:val="13"/>
        </w:rPr>
        <w:t> </w:t>
      </w:r>
      <w:r>
        <w:rPr>
          <w:i/>
          <w:sz w:val="13"/>
        </w:rPr>
        <w:t>with</w:t>
      </w:r>
      <w:r>
        <w:rPr>
          <w:i/>
          <w:spacing w:val="6"/>
          <w:sz w:val="13"/>
        </w:rPr>
        <w:t> </w:t>
      </w:r>
      <w:r>
        <w:rPr>
          <w:i/>
          <w:sz w:val="13"/>
        </w:rPr>
        <w:t>Interpreters</w:t>
      </w:r>
      <w:r>
        <w:rPr>
          <w:i/>
          <w:spacing w:val="7"/>
          <w:sz w:val="13"/>
        </w:rPr>
        <w:t> </w:t>
      </w:r>
      <w:r>
        <w:rPr>
          <w:i/>
          <w:sz w:val="13"/>
        </w:rPr>
        <w:t>in</w:t>
      </w:r>
      <w:r>
        <w:rPr>
          <w:i/>
          <w:spacing w:val="5"/>
          <w:sz w:val="13"/>
        </w:rPr>
        <w:t> </w:t>
      </w:r>
      <w:r>
        <w:rPr>
          <w:i/>
          <w:spacing w:val="2"/>
          <w:sz w:val="13"/>
        </w:rPr>
        <w:t>Courts</w:t>
      </w:r>
      <w:r>
        <w:rPr>
          <w:i/>
          <w:spacing w:val="7"/>
          <w:sz w:val="13"/>
        </w:rPr>
        <w:t> </w:t>
      </w:r>
      <w:r>
        <w:rPr>
          <w:i/>
          <w:sz w:val="13"/>
        </w:rPr>
        <w:t>and</w:t>
      </w:r>
      <w:r>
        <w:rPr>
          <w:i/>
          <w:spacing w:val="7"/>
          <w:sz w:val="13"/>
        </w:rPr>
        <w:t> </w:t>
      </w:r>
      <w:r>
        <w:rPr>
          <w:i/>
          <w:sz w:val="13"/>
        </w:rPr>
        <w:t>Tribunals</w:t>
      </w:r>
    </w:p>
    <w:p>
      <w:pPr>
        <w:spacing w:line="160" w:lineRule="exact" w:before="0"/>
        <w:ind w:left="1761" w:right="0" w:firstLine="0"/>
        <w:jc w:val="left"/>
        <w:rPr>
          <w:sz w:val="13"/>
        </w:rPr>
      </w:pPr>
      <w:r>
        <w:rPr>
          <w:sz w:val="13"/>
        </w:rPr>
        <w:t>(Report, Second Edition, March 2022) 63, Standard 19 &lt;</w:t>
      </w:r>
      <w:hyperlink r:id="rId219">
        <w:r>
          <w:rPr>
            <w:sz w:val="13"/>
          </w:rPr>
          <w:t>https://jccd.org.au/publications/</w:t>
        </w:r>
      </w:hyperlink>
      <w:r>
        <w:rPr>
          <w:sz w:val="13"/>
        </w:rPr>
        <w:t>&gt;.</w:t>
      </w:r>
    </w:p>
    <w:p>
      <w:pPr>
        <w:pStyle w:val="ListParagraph"/>
        <w:numPr>
          <w:ilvl w:val="0"/>
          <w:numId w:val="99"/>
        </w:numPr>
        <w:tabs>
          <w:tab w:pos="1761" w:val="left" w:leader="none"/>
          <w:tab w:pos="1762" w:val="left" w:leader="none"/>
        </w:tabs>
        <w:spacing w:line="160" w:lineRule="exact" w:before="0" w:after="0"/>
        <w:ind w:left="1761" w:right="0" w:hanging="794"/>
        <w:jc w:val="left"/>
        <w:rPr>
          <w:sz w:val="13"/>
        </w:rPr>
      </w:pPr>
      <w:r>
        <w:rPr>
          <w:sz w:val="13"/>
        </w:rPr>
        <w:t>Information provided by ACT Sheriff to Victorian Law Reform </w:t>
      </w:r>
      <w:r>
        <w:rPr>
          <w:spacing w:val="2"/>
          <w:sz w:val="13"/>
        </w:rPr>
        <w:t>Commission, </w:t>
      </w:r>
      <w:r>
        <w:rPr>
          <w:sz w:val="13"/>
        </w:rPr>
        <w:t>18 September</w:t>
      </w:r>
      <w:r>
        <w:rPr>
          <w:spacing w:val="14"/>
          <w:sz w:val="13"/>
        </w:rPr>
        <w:t> </w:t>
      </w:r>
      <w:r>
        <w:rPr>
          <w:sz w:val="13"/>
        </w:rPr>
        <w:t>2020.</w:t>
      </w:r>
    </w:p>
    <w:p>
      <w:pPr>
        <w:pStyle w:val="ListParagraph"/>
        <w:numPr>
          <w:ilvl w:val="0"/>
          <w:numId w:val="99"/>
        </w:numPr>
        <w:tabs>
          <w:tab w:pos="1761" w:val="left" w:leader="none"/>
          <w:tab w:pos="1762" w:val="left" w:leader="none"/>
        </w:tabs>
        <w:spacing w:line="170" w:lineRule="exact" w:before="0" w:after="0"/>
        <w:ind w:left="1761" w:right="0" w:hanging="794"/>
        <w:jc w:val="left"/>
        <w:rPr>
          <w:sz w:val="13"/>
        </w:rPr>
      </w:pPr>
      <w:r>
        <w:rPr>
          <w:spacing w:val="2"/>
          <w:sz w:val="13"/>
        </w:rPr>
        <w:t>Submission </w:t>
      </w:r>
      <w:r>
        <w:rPr>
          <w:sz w:val="13"/>
        </w:rPr>
        <w:t>7 (Law Institute of</w:t>
      </w:r>
      <w:r>
        <w:rPr>
          <w:spacing w:val="-1"/>
          <w:sz w:val="13"/>
        </w:rPr>
        <w:t> </w:t>
      </w:r>
      <w:r>
        <w:rPr>
          <w:sz w:val="13"/>
        </w:rPr>
        <w:t>Victoria).</w:t>
      </w:r>
    </w:p>
    <w:p>
      <w:pPr>
        <w:pStyle w:val="BodyText"/>
        <w:rPr>
          <w:sz w:val="28"/>
        </w:rPr>
      </w:pPr>
      <w:r>
        <w:rPr/>
        <w:br w:type="column"/>
      </w:r>
      <w:r>
        <w:rPr>
          <w:sz w:val="28"/>
        </w:rPr>
      </w:r>
    </w:p>
    <w:p>
      <w:pPr>
        <w:pStyle w:val="BodyText"/>
        <w:rPr>
          <w:sz w:val="22"/>
        </w:rPr>
      </w:pPr>
    </w:p>
    <w:p>
      <w:pPr>
        <w:spacing w:before="0"/>
        <w:ind w:left="909" w:right="0" w:firstLine="0"/>
        <w:jc w:val="left"/>
        <w:rPr>
          <w:b/>
          <w:sz w:val="24"/>
        </w:rPr>
      </w:pPr>
      <w:r>
        <w:rPr>
          <w:b/>
          <w:color w:val="37617A"/>
          <w:sz w:val="24"/>
        </w:rPr>
        <w:t>163</w:t>
      </w:r>
    </w:p>
    <w:p>
      <w:pPr>
        <w:spacing w:after="0"/>
        <w:jc w:val="left"/>
        <w:rPr>
          <w:sz w:val="24"/>
        </w:rPr>
        <w:sectPr>
          <w:type w:val="continuous"/>
          <w:pgSz w:w="11910" w:h="16840"/>
          <w:pgMar w:top="620" w:bottom="280" w:left="620" w:right="380"/>
          <w:cols w:num="2" w:equalWidth="0">
            <w:col w:w="9350" w:space="40"/>
            <w:col w:w="1520"/>
          </w:cols>
        </w:sectPr>
      </w:pPr>
    </w:p>
    <w:p>
      <w:pPr>
        <w:pStyle w:val="BodyText"/>
        <w:rPr>
          <w:b/>
        </w:rPr>
      </w:pPr>
    </w:p>
    <w:p>
      <w:pPr>
        <w:pStyle w:val="BodyText"/>
        <w:rPr>
          <w:b/>
        </w:rPr>
      </w:pPr>
    </w:p>
    <w:p>
      <w:pPr>
        <w:pStyle w:val="BodyText"/>
        <w:rPr>
          <w:b/>
        </w:rPr>
      </w:pPr>
    </w:p>
    <w:p>
      <w:pPr>
        <w:spacing w:line="184" w:lineRule="auto" w:before="286"/>
        <w:ind w:left="967" w:right="1838" w:firstLine="0"/>
        <w:jc w:val="left"/>
        <w:rPr>
          <w:rFonts w:ascii="Raleway ExtraBold"/>
          <w:b/>
          <w:sz w:val="28"/>
        </w:rPr>
      </w:pPr>
      <w:bookmarkStart w:name="Auslan interpreters should provide an oa" w:id="281"/>
      <w:bookmarkEnd w:id="281"/>
      <w:r>
        <w:rPr/>
      </w:r>
      <w:bookmarkStart w:name="_bookmark118" w:id="282"/>
      <w:bookmarkEnd w:id="282"/>
      <w:r>
        <w:rPr/>
      </w:r>
      <w:r>
        <w:rPr>
          <w:rFonts w:ascii="Raleway ExtraBold"/>
          <w:b/>
          <w:color w:val="37617A"/>
          <w:sz w:val="28"/>
        </w:rPr>
        <w:t>Auslan </w:t>
      </w:r>
      <w:r>
        <w:rPr>
          <w:rFonts w:ascii="Raleway ExtraBold"/>
          <w:b/>
          <w:color w:val="37617A"/>
          <w:spacing w:val="-2"/>
          <w:sz w:val="28"/>
        </w:rPr>
        <w:t>interpreters </w:t>
      </w:r>
      <w:r>
        <w:rPr>
          <w:rFonts w:ascii="Raleway ExtraBold"/>
          <w:b/>
          <w:color w:val="37617A"/>
          <w:sz w:val="28"/>
        </w:rPr>
        <w:t>should provide an oath or affirmation to the court</w:t>
      </w:r>
    </w:p>
    <w:p>
      <w:pPr>
        <w:pStyle w:val="ListParagraph"/>
        <w:numPr>
          <w:ilvl w:val="1"/>
          <w:numId w:val="12"/>
        </w:numPr>
        <w:tabs>
          <w:tab w:pos="1761" w:val="left" w:leader="none"/>
          <w:tab w:pos="1762" w:val="left" w:leader="none"/>
        </w:tabs>
        <w:spacing w:line="206" w:lineRule="auto" w:before="162" w:after="0"/>
        <w:ind w:left="1761" w:right="1460" w:hanging="794"/>
        <w:jc w:val="left"/>
        <w:rPr>
          <w:sz w:val="11"/>
        </w:rPr>
      </w:pPr>
      <w:r>
        <w:rPr>
          <w:sz w:val="20"/>
        </w:rPr>
        <w:t>Auslan </w:t>
      </w:r>
      <w:r>
        <w:rPr>
          <w:spacing w:val="-3"/>
          <w:sz w:val="20"/>
        </w:rPr>
        <w:t>interpreters </w:t>
      </w:r>
      <w:r>
        <w:rPr>
          <w:sz w:val="20"/>
        </w:rPr>
        <w:t>should </w:t>
      </w:r>
      <w:r>
        <w:rPr>
          <w:spacing w:val="-3"/>
          <w:sz w:val="20"/>
        </w:rPr>
        <w:t>provide </w:t>
      </w:r>
      <w:r>
        <w:rPr>
          <w:sz w:val="20"/>
        </w:rPr>
        <w:t>an oath to the court to perform their duties </w:t>
      </w:r>
      <w:r>
        <w:rPr>
          <w:spacing w:val="-3"/>
          <w:sz w:val="20"/>
        </w:rPr>
        <w:t>responsibly</w:t>
      </w:r>
      <w:r>
        <w:rPr>
          <w:spacing w:val="-11"/>
          <w:sz w:val="20"/>
        </w:rPr>
        <w:t> </w:t>
      </w:r>
      <w:r>
        <w:rPr>
          <w:sz w:val="20"/>
        </w:rPr>
        <w:t>and</w:t>
      </w:r>
      <w:r>
        <w:rPr>
          <w:spacing w:val="-11"/>
          <w:sz w:val="20"/>
        </w:rPr>
        <w:t> </w:t>
      </w:r>
      <w:r>
        <w:rPr>
          <w:sz w:val="20"/>
        </w:rPr>
        <w:t>to</w:t>
      </w:r>
      <w:r>
        <w:rPr>
          <w:spacing w:val="-11"/>
          <w:sz w:val="20"/>
        </w:rPr>
        <w:t> </w:t>
      </w:r>
      <w:r>
        <w:rPr>
          <w:sz w:val="20"/>
        </w:rPr>
        <w:t>maintain</w:t>
      </w:r>
      <w:r>
        <w:rPr>
          <w:spacing w:val="-11"/>
          <w:sz w:val="20"/>
        </w:rPr>
        <w:t> </w:t>
      </w:r>
      <w:r>
        <w:rPr>
          <w:sz w:val="20"/>
        </w:rPr>
        <w:t>confidentiality.</w:t>
      </w:r>
      <w:r>
        <w:rPr>
          <w:spacing w:val="-11"/>
          <w:sz w:val="20"/>
        </w:rPr>
        <w:t> </w:t>
      </w:r>
      <w:r>
        <w:rPr>
          <w:sz w:val="20"/>
        </w:rPr>
        <w:t>This</w:t>
      </w:r>
      <w:r>
        <w:rPr>
          <w:spacing w:val="-11"/>
          <w:sz w:val="20"/>
        </w:rPr>
        <w:t> </w:t>
      </w:r>
      <w:r>
        <w:rPr>
          <w:sz w:val="20"/>
        </w:rPr>
        <w:t>is</w:t>
      </w:r>
      <w:r>
        <w:rPr>
          <w:spacing w:val="-10"/>
          <w:sz w:val="20"/>
        </w:rPr>
        <w:t> </w:t>
      </w:r>
      <w:r>
        <w:rPr>
          <w:sz w:val="20"/>
        </w:rPr>
        <w:t>a</w:t>
      </w:r>
      <w:r>
        <w:rPr>
          <w:spacing w:val="-11"/>
          <w:sz w:val="20"/>
        </w:rPr>
        <w:t> </w:t>
      </w:r>
      <w:r>
        <w:rPr>
          <w:sz w:val="20"/>
        </w:rPr>
        <w:t>straightforward</w:t>
      </w:r>
      <w:r>
        <w:rPr>
          <w:spacing w:val="-11"/>
          <w:sz w:val="20"/>
        </w:rPr>
        <w:t> </w:t>
      </w:r>
      <w:r>
        <w:rPr>
          <w:spacing w:val="-3"/>
          <w:sz w:val="20"/>
        </w:rPr>
        <w:t>exercise.</w:t>
      </w:r>
      <w:r>
        <w:rPr>
          <w:spacing w:val="-11"/>
          <w:sz w:val="20"/>
        </w:rPr>
        <w:t> </w:t>
      </w:r>
      <w:r>
        <w:rPr>
          <w:sz w:val="20"/>
        </w:rPr>
        <w:t>It</w:t>
      </w:r>
      <w:r>
        <w:rPr>
          <w:spacing w:val="-11"/>
          <w:sz w:val="20"/>
        </w:rPr>
        <w:t> </w:t>
      </w:r>
      <w:r>
        <w:rPr>
          <w:spacing w:val="-3"/>
          <w:sz w:val="20"/>
        </w:rPr>
        <w:t>would directly </w:t>
      </w:r>
      <w:r>
        <w:rPr>
          <w:sz w:val="20"/>
        </w:rPr>
        <w:t>respond to the High Court decision in </w:t>
      </w:r>
      <w:r>
        <w:rPr>
          <w:i/>
          <w:spacing w:val="-4"/>
          <w:sz w:val="20"/>
        </w:rPr>
        <w:t>Lyons, </w:t>
      </w:r>
      <w:r>
        <w:rPr>
          <w:sz w:val="20"/>
        </w:rPr>
        <w:t>which upheld the 13th person rule and identified that its conclusion was </w:t>
      </w:r>
      <w:r>
        <w:rPr>
          <w:i/>
          <w:sz w:val="20"/>
        </w:rPr>
        <w:t>‘</w:t>
      </w:r>
      <w:r>
        <w:rPr>
          <w:sz w:val="20"/>
        </w:rPr>
        <w:t>reinforced </w:t>
      </w:r>
      <w:r>
        <w:rPr>
          <w:spacing w:val="-3"/>
          <w:sz w:val="20"/>
        </w:rPr>
        <w:t>by </w:t>
      </w:r>
      <w:r>
        <w:rPr>
          <w:sz w:val="20"/>
        </w:rPr>
        <w:t>the absence of </w:t>
      </w:r>
      <w:r>
        <w:rPr>
          <w:spacing w:val="-3"/>
          <w:sz w:val="20"/>
        </w:rPr>
        <w:t>provision </w:t>
      </w:r>
      <w:r>
        <w:rPr>
          <w:sz w:val="20"/>
        </w:rPr>
        <w:t>to administer an oath to an </w:t>
      </w:r>
      <w:r>
        <w:rPr>
          <w:spacing w:val="-3"/>
          <w:sz w:val="20"/>
        </w:rPr>
        <w:t>interpreter </w:t>
      </w:r>
      <w:r>
        <w:rPr>
          <w:sz w:val="20"/>
        </w:rPr>
        <w:t>assisting a</w:t>
      </w:r>
      <w:r>
        <w:rPr>
          <w:spacing w:val="-32"/>
          <w:sz w:val="20"/>
        </w:rPr>
        <w:t> </w:t>
      </w:r>
      <w:r>
        <w:rPr>
          <w:spacing w:val="-4"/>
          <w:sz w:val="20"/>
        </w:rPr>
        <w:t>juror’.</w:t>
      </w:r>
      <w:r>
        <w:rPr>
          <w:spacing w:val="-4"/>
          <w:position w:val="7"/>
          <w:sz w:val="11"/>
        </w:rPr>
        <w:t>63</w:t>
      </w:r>
    </w:p>
    <w:p>
      <w:pPr>
        <w:pStyle w:val="ListParagraph"/>
        <w:numPr>
          <w:ilvl w:val="1"/>
          <w:numId w:val="12"/>
        </w:numPr>
        <w:tabs>
          <w:tab w:pos="1761" w:val="left" w:leader="none"/>
          <w:tab w:pos="1762" w:val="left" w:leader="none"/>
        </w:tabs>
        <w:spacing w:line="206" w:lineRule="auto" w:before="126" w:after="0"/>
        <w:ind w:left="1761" w:right="1437" w:hanging="794"/>
        <w:jc w:val="left"/>
        <w:rPr>
          <w:sz w:val="11"/>
        </w:rPr>
      </w:pPr>
      <w:r>
        <w:rPr>
          <w:sz w:val="20"/>
        </w:rPr>
        <w:t>The New South </w:t>
      </w:r>
      <w:r>
        <w:rPr>
          <w:spacing w:val="-4"/>
          <w:sz w:val="20"/>
        </w:rPr>
        <w:t>Wales </w:t>
      </w:r>
      <w:r>
        <w:rPr>
          <w:sz w:val="20"/>
        </w:rPr>
        <w:t>Law Reform Commission and the Australian Law Reform Commission</w:t>
      </w:r>
      <w:r>
        <w:rPr>
          <w:spacing w:val="-12"/>
          <w:sz w:val="20"/>
        </w:rPr>
        <w:t> </w:t>
      </w:r>
      <w:r>
        <w:rPr>
          <w:spacing w:val="-4"/>
          <w:sz w:val="20"/>
        </w:rPr>
        <w:t>have</w:t>
      </w:r>
      <w:r>
        <w:rPr>
          <w:spacing w:val="-12"/>
          <w:sz w:val="20"/>
        </w:rPr>
        <w:t> </w:t>
      </w:r>
      <w:r>
        <w:rPr>
          <w:sz w:val="20"/>
        </w:rPr>
        <w:t>suggested</w:t>
      </w:r>
      <w:r>
        <w:rPr>
          <w:spacing w:val="-12"/>
          <w:sz w:val="20"/>
        </w:rPr>
        <w:t> </w:t>
      </w:r>
      <w:r>
        <w:rPr>
          <w:sz w:val="20"/>
        </w:rPr>
        <w:t>oaths</w:t>
      </w:r>
      <w:r>
        <w:rPr>
          <w:spacing w:val="-11"/>
          <w:sz w:val="20"/>
        </w:rPr>
        <w:t> </w:t>
      </w:r>
      <w:r>
        <w:rPr>
          <w:sz w:val="20"/>
        </w:rPr>
        <w:t>be</w:t>
      </w:r>
      <w:r>
        <w:rPr>
          <w:spacing w:val="-12"/>
          <w:sz w:val="20"/>
        </w:rPr>
        <w:t> </w:t>
      </w:r>
      <w:r>
        <w:rPr>
          <w:sz w:val="20"/>
        </w:rPr>
        <w:t>taken</w:t>
      </w:r>
      <w:r>
        <w:rPr>
          <w:spacing w:val="-12"/>
          <w:sz w:val="20"/>
        </w:rPr>
        <w:t> </w:t>
      </w:r>
      <w:r>
        <w:rPr>
          <w:spacing w:val="-3"/>
          <w:sz w:val="20"/>
        </w:rPr>
        <w:t>by</w:t>
      </w:r>
      <w:r>
        <w:rPr>
          <w:spacing w:val="-12"/>
          <w:sz w:val="20"/>
        </w:rPr>
        <w:t> </w:t>
      </w:r>
      <w:r>
        <w:rPr>
          <w:sz w:val="20"/>
        </w:rPr>
        <w:t>‘communication</w:t>
      </w:r>
      <w:r>
        <w:rPr>
          <w:spacing w:val="-11"/>
          <w:sz w:val="20"/>
        </w:rPr>
        <w:t> </w:t>
      </w:r>
      <w:r>
        <w:rPr>
          <w:spacing w:val="-3"/>
          <w:sz w:val="20"/>
        </w:rPr>
        <w:t>assistants’,</w:t>
      </w:r>
      <w:r>
        <w:rPr>
          <w:spacing w:val="-12"/>
          <w:sz w:val="20"/>
        </w:rPr>
        <w:t> </w:t>
      </w:r>
      <w:r>
        <w:rPr>
          <w:sz w:val="20"/>
        </w:rPr>
        <w:t>including Auslan </w:t>
      </w:r>
      <w:r>
        <w:rPr>
          <w:spacing w:val="-3"/>
          <w:sz w:val="20"/>
        </w:rPr>
        <w:t>interpreters, </w:t>
      </w:r>
      <w:r>
        <w:rPr>
          <w:sz w:val="20"/>
        </w:rPr>
        <w:t>and stenographers, to ensure</w:t>
      </w:r>
      <w:r>
        <w:rPr>
          <w:spacing w:val="-32"/>
          <w:sz w:val="20"/>
        </w:rPr>
        <w:t> </w:t>
      </w:r>
      <w:r>
        <w:rPr>
          <w:sz w:val="20"/>
        </w:rPr>
        <w:t>confidentiality.</w:t>
      </w:r>
      <w:r>
        <w:rPr>
          <w:position w:val="7"/>
          <w:sz w:val="11"/>
        </w:rPr>
        <w:t>64</w:t>
      </w:r>
    </w:p>
    <w:p>
      <w:pPr>
        <w:pStyle w:val="ListParagraph"/>
        <w:numPr>
          <w:ilvl w:val="1"/>
          <w:numId w:val="12"/>
        </w:numPr>
        <w:tabs>
          <w:tab w:pos="1761" w:val="left" w:leader="none"/>
          <w:tab w:pos="1762" w:val="left" w:leader="none"/>
        </w:tabs>
        <w:spacing w:line="206" w:lineRule="auto" w:before="124" w:after="0"/>
        <w:ind w:left="1761" w:right="1340" w:hanging="794"/>
        <w:jc w:val="left"/>
        <w:rPr>
          <w:sz w:val="11"/>
        </w:rPr>
      </w:pPr>
      <w:r>
        <w:rPr>
          <w:spacing w:val="-3"/>
          <w:sz w:val="20"/>
        </w:rPr>
        <w:t>Interpreters</w:t>
      </w:r>
      <w:r>
        <w:rPr>
          <w:spacing w:val="-9"/>
          <w:sz w:val="20"/>
        </w:rPr>
        <w:t> </w:t>
      </w:r>
      <w:r>
        <w:rPr>
          <w:sz w:val="20"/>
        </w:rPr>
        <w:t>working</w:t>
      </w:r>
      <w:r>
        <w:rPr>
          <w:spacing w:val="-9"/>
          <w:sz w:val="20"/>
        </w:rPr>
        <w:t> </w:t>
      </w:r>
      <w:r>
        <w:rPr>
          <w:sz w:val="20"/>
        </w:rPr>
        <w:t>in</w:t>
      </w:r>
      <w:r>
        <w:rPr>
          <w:spacing w:val="-8"/>
          <w:sz w:val="20"/>
        </w:rPr>
        <w:t> </w:t>
      </w:r>
      <w:r>
        <w:rPr>
          <w:sz w:val="20"/>
        </w:rPr>
        <w:t>a</w:t>
      </w:r>
      <w:r>
        <w:rPr>
          <w:spacing w:val="-9"/>
          <w:sz w:val="20"/>
        </w:rPr>
        <w:t> </w:t>
      </w:r>
      <w:r>
        <w:rPr>
          <w:sz w:val="20"/>
        </w:rPr>
        <w:t>court</w:t>
      </w:r>
      <w:r>
        <w:rPr>
          <w:spacing w:val="-8"/>
          <w:sz w:val="20"/>
        </w:rPr>
        <w:t> </w:t>
      </w:r>
      <w:r>
        <w:rPr>
          <w:sz w:val="20"/>
        </w:rPr>
        <w:t>setting</w:t>
      </w:r>
      <w:r>
        <w:rPr>
          <w:spacing w:val="-9"/>
          <w:sz w:val="20"/>
        </w:rPr>
        <w:t> </w:t>
      </w:r>
      <w:r>
        <w:rPr>
          <w:spacing w:val="-3"/>
          <w:sz w:val="20"/>
        </w:rPr>
        <w:t>would</w:t>
      </w:r>
      <w:r>
        <w:rPr>
          <w:spacing w:val="-8"/>
          <w:sz w:val="20"/>
        </w:rPr>
        <w:t> </w:t>
      </w:r>
      <w:r>
        <w:rPr>
          <w:sz w:val="20"/>
        </w:rPr>
        <w:t>already</w:t>
      </w:r>
      <w:r>
        <w:rPr>
          <w:spacing w:val="-9"/>
          <w:sz w:val="20"/>
        </w:rPr>
        <w:t> </w:t>
      </w:r>
      <w:r>
        <w:rPr>
          <w:sz w:val="20"/>
        </w:rPr>
        <w:t>be</w:t>
      </w:r>
      <w:r>
        <w:rPr>
          <w:spacing w:val="-8"/>
          <w:sz w:val="20"/>
        </w:rPr>
        <w:t> </w:t>
      </w:r>
      <w:r>
        <w:rPr>
          <w:sz w:val="20"/>
        </w:rPr>
        <w:t>familiar</w:t>
      </w:r>
      <w:r>
        <w:rPr>
          <w:spacing w:val="-9"/>
          <w:sz w:val="20"/>
        </w:rPr>
        <w:t> </w:t>
      </w:r>
      <w:r>
        <w:rPr>
          <w:sz w:val="20"/>
        </w:rPr>
        <w:t>with</w:t>
      </w:r>
      <w:r>
        <w:rPr>
          <w:spacing w:val="-9"/>
          <w:sz w:val="20"/>
        </w:rPr>
        <w:t> </w:t>
      </w:r>
      <w:r>
        <w:rPr>
          <w:spacing w:val="-3"/>
          <w:sz w:val="20"/>
        </w:rPr>
        <w:t>providing</w:t>
      </w:r>
      <w:r>
        <w:rPr>
          <w:spacing w:val="-8"/>
          <w:sz w:val="20"/>
        </w:rPr>
        <w:t> </w:t>
      </w:r>
      <w:r>
        <w:rPr>
          <w:sz w:val="20"/>
        </w:rPr>
        <w:t>an</w:t>
      </w:r>
      <w:r>
        <w:rPr>
          <w:spacing w:val="-9"/>
          <w:sz w:val="20"/>
        </w:rPr>
        <w:t> </w:t>
      </w:r>
      <w:r>
        <w:rPr>
          <w:sz w:val="20"/>
        </w:rPr>
        <w:t>oath to the court, which is </w:t>
      </w:r>
      <w:r>
        <w:rPr>
          <w:spacing w:val="-3"/>
          <w:sz w:val="20"/>
        </w:rPr>
        <w:t>required </w:t>
      </w:r>
      <w:r>
        <w:rPr>
          <w:sz w:val="20"/>
        </w:rPr>
        <w:t>in hearings or in </w:t>
      </w:r>
      <w:r>
        <w:rPr>
          <w:spacing w:val="-3"/>
          <w:sz w:val="20"/>
        </w:rPr>
        <w:t>any </w:t>
      </w:r>
      <w:r>
        <w:rPr>
          <w:sz w:val="20"/>
        </w:rPr>
        <w:t>proceedings where evidence is being</w:t>
      </w:r>
      <w:r>
        <w:rPr>
          <w:spacing w:val="-5"/>
          <w:sz w:val="20"/>
        </w:rPr>
        <w:t> </w:t>
      </w:r>
      <w:r>
        <w:rPr>
          <w:sz w:val="20"/>
        </w:rPr>
        <w:t>interpreted.</w:t>
      </w:r>
      <w:r>
        <w:rPr>
          <w:position w:val="7"/>
          <w:sz w:val="11"/>
        </w:rPr>
        <w:t>65</w:t>
      </w:r>
    </w:p>
    <w:p>
      <w:pPr>
        <w:spacing w:before="162"/>
        <w:ind w:left="967" w:right="0" w:firstLine="0"/>
        <w:jc w:val="left"/>
        <w:rPr>
          <w:b/>
          <w:sz w:val="24"/>
        </w:rPr>
      </w:pPr>
      <w:r>
        <w:rPr>
          <w:b/>
          <w:sz w:val="24"/>
        </w:rPr>
        <w:t>The community supports the provision of an oath</w:t>
      </w:r>
    </w:p>
    <w:p>
      <w:pPr>
        <w:pStyle w:val="ListParagraph"/>
        <w:numPr>
          <w:ilvl w:val="1"/>
          <w:numId w:val="12"/>
        </w:numPr>
        <w:tabs>
          <w:tab w:pos="1761" w:val="left" w:leader="none"/>
          <w:tab w:pos="1762" w:val="left" w:leader="none"/>
        </w:tabs>
        <w:spacing w:line="206" w:lineRule="auto" w:before="127" w:after="0"/>
        <w:ind w:left="1761" w:right="1301" w:hanging="794"/>
        <w:jc w:val="left"/>
        <w:rPr>
          <w:sz w:val="11"/>
        </w:rPr>
      </w:pPr>
      <w:r>
        <w:rPr>
          <w:sz w:val="20"/>
        </w:rPr>
        <w:t>The Supreme Court and the County Court both supported an </w:t>
      </w:r>
      <w:r>
        <w:rPr>
          <w:spacing w:val="-3"/>
          <w:sz w:val="20"/>
        </w:rPr>
        <w:t>oath/affirmation </w:t>
      </w:r>
      <w:r>
        <w:rPr>
          <w:sz w:val="20"/>
        </w:rPr>
        <w:t>being made </w:t>
      </w:r>
      <w:r>
        <w:rPr>
          <w:spacing w:val="-3"/>
          <w:sz w:val="20"/>
        </w:rPr>
        <w:t>by </w:t>
      </w:r>
      <w:r>
        <w:rPr>
          <w:sz w:val="20"/>
        </w:rPr>
        <w:t>an Auslan </w:t>
      </w:r>
      <w:r>
        <w:rPr>
          <w:spacing w:val="-3"/>
          <w:sz w:val="20"/>
        </w:rPr>
        <w:t>interpreter </w:t>
      </w:r>
      <w:r>
        <w:rPr>
          <w:sz w:val="20"/>
        </w:rPr>
        <w:t>assisting a deaf </w:t>
      </w:r>
      <w:r>
        <w:rPr>
          <w:spacing w:val="-3"/>
          <w:sz w:val="20"/>
        </w:rPr>
        <w:t>juror.</w:t>
      </w:r>
      <w:r>
        <w:rPr>
          <w:spacing w:val="-3"/>
          <w:position w:val="7"/>
          <w:sz w:val="11"/>
        </w:rPr>
        <w:t>66 </w:t>
      </w:r>
      <w:r>
        <w:rPr>
          <w:sz w:val="20"/>
        </w:rPr>
        <w:t>Juries Victoria, the Office of Public</w:t>
      </w:r>
      <w:r>
        <w:rPr>
          <w:spacing w:val="-16"/>
          <w:sz w:val="20"/>
        </w:rPr>
        <w:t> </w:t>
      </w:r>
      <w:r>
        <w:rPr>
          <w:sz w:val="20"/>
        </w:rPr>
        <w:t>Prosecutions,</w:t>
      </w:r>
      <w:r>
        <w:rPr>
          <w:spacing w:val="-15"/>
          <w:sz w:val="20"/>
        </w:rPr>
        <w:t> </w:t>
      </w:r>
      <w:r>
        <w:rPr>
          <w:sz w:val="20"/>
        </w:rPr>
        <w:t>the</w:t>
      </w:r>
      <w:r>
        <w:rPr>
          <w:spacing w:val="-15"/>
          <w:sz w:val="20"/>
        </w:rPr>
        <w:t> </w:t>
      </w:r>
      <w:r>
        <w:rPr>
          <w:sz w:val="20"/>
        </w:rPr>
        <w:t>Victorian</w:t>
      </w:r>
      <w:r>
        <w:rPr>
          <w:spacing w:val="-15"/>
          <w:sz w:val="20"/>
        </w:rPr>
        <w:t> </w:t>
      </w:r>
      <w:r>
        <w:rPr>
          <w:sz w:val="20"/>
        </w:rPr>
        <w:t>Criminal</w:t>
      </w:r>
      <w:r>
        <w:rPr>
          <w:spacing w:val="-15"/>
          <w:sz w:val="20"/>
        </w:rPr>
        <w:t> </w:t>
      </w:r>
      <w:r>
        <w:rPr>
          <w:sz w:val="20"/>
        </w:rPr>
        <w:t>Bar</w:t>
      </w:r>
      <w:r>
        <w:rPr>
          <w:spacing w:val="-15"/>
          <w:sz w:val="20"/>
        </w:rPr>
        <w:t> </w:t>
      </w:r>
      <w:r>
        <w:rPr>
          <w:sz w:val="20"/>
        </w:rPr>
        <w:t>Association,</w:t>
      </w:r>
      <w:r>
        <w:rPr>
          <w:spacing w:val="-16"/>
          <w:sz w:val="20"/>
        </w:rPr>
        <w:t> </w:t>
      </w:r>
      <w:r>
        <w:rPr>
          <w:sz w:val="20"/>
        </w:rPr>
        <w:t>the</w:t>
      </w:r>
      <w:r>
        <w:rPr>
          <w:spacing w:val="-15"/>
          <w:sz w:val="20"/>
        </w:rPr>
        <w:t> </w:t>
      </w:r>
      <w:r>
        <w:rPr>
          <w:sz w:val="20"/>
        </w:rPr>
        <w:t>Law</w:t>
      </w:r>
      <w:r>
        <w:rPr>
          <w:spacing w:val="-15"/>
          <w:sz w:val="20"/>
        </w:rPr>
        <w:t> </w:t>
      </w:r>
      <w:r>
        <w:rPr>
          <w:sz w:val="20"/>
        </w:rPr>
        <w:t>Institute</w:t>
      </w:r>
      <w:r>
        <w:rPr>
          <w:spacing w:val="-15"/>
          <w:sz w:val="20"/>
        </w:rPr>
        <w:t> </w:t>
      </w:r>
      <w:r>
        <w:rPr>
          <w:sz w:val="20"/>
        </w:rPr>
        <w:t>of</w:t>
      </w:r>
      <w:r>
        <w:rPr>
          <w:spacing w:val="-15"/>
          <w:sz w:val="20"/>
        </w:rPr>
        <w:t> </w:t>
      </w:r>
      <w:r>
        <w:rPr>
          <w:sz w:val="20"/>
        </w:rPr>
        <w:t>Victoria and</w:t>
      </w:r>
      <w:r>
        <w:rPr>
          <w:spacing w:val="-9"/>
          <w:sz w:val="20"/>
        </w:rPr>
        <w:t> </w:t>
      </w:r>
      <w:r>
        <w:rPr>
          <w:sz w:val="20"/>
        </w:rPr>
        <w:t>Victoria</w:t>
      </w:r>
      <w:r>
        <w:rPr>
          <w:spacing w:val="-9"/>
          <w:sz w:val="20"/>
        </w:rPr>
        <w:t> </w:t>
      </w:r>
      <w:r>
        <w:rPr>
          <w:sz w:val="20"/>
        </w:rPr>
        <w:t>Legal</w:t>
      </w:r>
      <w:r>
        <w:rPr>
          <w:spacing w:val="-8"/>
          <w:sz w:val="20"/>
        </w:rPr>
        <w:t> </w:t>
      </w:r>
      <w:r>
        <w:rPr>
          <w:sz w:val="20"/>
        </w:rPr>
        <w:t>Aid</w:t>
      </w:r>
      <w:r>
        <w:rPr>
          <w:spacing w:val="-9"/>
          <w:sz w:val="20"/>
        </w:rPr>
        <w:t> </w:t>
      </w:r>
      <w:r>
        <w:rPr>
          <w:sz w:val="20"/>
        </w:rPr>
        <w:t>also</w:t>
      </w:r>
      <w:r>
        <w:rPr>
          <w:spacing w:val="-9"/>
          <w:sz w:val="20"/>
        </w:rPr>
        <w:t> </w:t>
      </w:r>
      <w:r>
        <w:rPr>
          <w:sz w:val="20"/>
        </w:rPr>
        <w:t>supported</w:t>
      </w:r>
      <w:r>
        <w:rPr>
          <w:spacing w:val="-8"/>
          <w:sz w:val="20"/>
        </w:rPr>
        <w:t> </w:t>
      </w:r>
      <w:r>
        <w:rPr>
          <w:spacing w:val="-3"/>
          <w:sz w:val="20"/>
        </w:rPr>
        <w:t>interpreters</w:t>
      </w:r>
      <w:r>
        <w:rPr>
          <w:spacing w:val="-9"/>
          <w:sz w:val="20"/>
        </w:rPr>
        <w:t> </w:t>
      </w:r>
      <w:r>
        <w:rPr>
          <w:sz w:val="20"/>
        </w:rPr>
        <w:t>taking</w:t>
      </w:r>
      <w:r>
        <w:rPr>
          <w:spacing w:val="-8"/>
          <w:sz w:val="20"/>
        </w:rPr>
        <w:t> </w:t>
      </w:r>
      <w:r>
        <w:rPr>
          <w:sz w:val="20"/>
        </w:rPr>
        <w:t>an</w:t>
      </w:r>
      <w:r>
        <w:rPr>
          <w:spacing w:val="-9"/>
          <w:sz w:val="20"/>
        </w:rPr>
        <w:t> </w:t>
      </w:r>
      <w:r>
        <w:rPr>
          <w:sz w:val="20"/>
        </w:rPr>
        <w:t>oath</w:t>
      </w:r>
      <w:r>
        <w:rPr>
          <w:spacing w:val="-9"/>
          <w:sz w:val="20"/>
        </w:rPr>
        <w:t> </w:t>
      </w:r>
      <w:r>
        <w:rPr>
          <w:sz w:val="20"/>
        </w:rPr>
        <w:t>and</w:t>
      </w:r>
      <w:r>
        <w:rPr>
          <w:spacing w:val="-8"/>
          <w:sz w:val="20"/>
        </w:rPr>
        <w:t> </w:t>
      </w:r>
      <w:r>
        <w:rPr>
          <w:sz w:val="20"/>
        </w:rPr>
        <w:t>being</w:t>
      </w:r>
      <w:r>
        <w:rPr>
          <w:spacing w:val="-9"/>
          <w:sz w:val="20"/>
        </w:rPr>
        <w:t> </w:t>
      </w:r>
      <w:r>
        <w:rPr>
          <w:sz w:val="20"/>
        </w:rPr>
        <w:t>subject</w:t>
      </w:r>
      <w:r>
        <w:rPr>
          <w:spacing w:val="-8"/>
          <w:sz w:val="20"/>
        </w:rPr>
        <w:t> </w:t>
      </w:r>
      <w:r>
        <w:rPr>
          <w:sz w:val="20"/>
        </w:rPr>
        <w:t>to </w:t>
      </w:r>
      <w:r>
        <w:rPr>
          <w:spacing w:val="-3"/>
          <w:sz w:val="20"/>
        </w:rPr>
        <w:t>relevant </w:t>
      </w:r>
      <w:r>
        <w:rPr>
          <w:sz w:val="20"/>
        </w:rPr>
        <w:t>offences for breaches of the</w:t>
      </w:r>
      <w:r>
        <w:rPr>
          <w:spacing w:val="-24"/>
          <w:sz w:val="20"/>
        </w:rPr>
        <w:t> </w:t>
      </w:r>
      <w:r>
        <w:rPr>
          <w:sz w:val="20"/>
        </w:rPr>
        <w:t>oath.</w:t>
      </w:r>
      <w:r>
        <w:rPr>
          <w:position w:val="7"/>
          <w:sz w:val="11"/>
        </w:rPr>
        <w:t>67</w:t>
      </w:r>
    </w:p>
    <w:p>
      <w:pPr>
        <w:pStyle w:val="ListParagraph"/>
        <w:numPr>
          <w:ilvl w:val="1"/>
          <w:numId w:val="12"/>
        </w:numPr>
        <w:tabs>
          <w:tab w:pos="1762" w:val="left" w:leader="none"/>
        </w:tabs>
        <w:spacing w:line="206" w:lineRule="auto" w:before="126" w:after="0"/>
        <w:ind w:left="1761" w:right="1427" w:hanging="794"/>
        <w:jc w:val="both"/>
        <w:rPr>
          <w:sz w:val="20"/>
        </w:rPr>
      </w:pPr>
      <w:r>
        <w:rPr>
          <w:sz w:val="20"/>
        </w:rPr>
        <w:t>The</w:t>
      </w:r>
      <w:r>
        <w:rPr>
          <w:spacing w:val="-9"/>
          <w:sz w:val="20"/>
        </w:rPr>
        <w:t> </w:t>
      </w:r>
      <w:r>
        <w:rPr>
          <w:sz w:val="20"/>
        </w:rPr>
        <w:t>Commission</w:t>
      </w:r>
      <w:r>
        <w:rPr>
          <w:spacing w:val="-9"/>
          <w:sz w:val="20"/>
        </w:rPr>
        <w:t> </w:t>
      </w:r>
      <w:r>
        <w:rPr>
          <w:sz w:val="20"/>
        </w:rPr>
        <w:t>heard</w:t>
      </w:r>
      <w:r>
        <w:rPr>
          <w:spacing w:val="-9"/>
          <w:sz w:val="20"/>
        </w:rPr>
        <w:t> </w:t>
      </w:r>
      <w:r>
        <w:rPr>
          <w:spacing w:val="-3"/>
          <w:sz w:val="20"/>
        </w:rPr>
        <w:t>from</w:t>
      </w:r>
      <w:r>
        <w:rPr>
          <w:spacing w:val="-9"/>
          <w:sz w:val="20"/>
        </w:rPr>
        <w:t> </w:t>
      </w:r>
      <w:r>
        <w:rPr>
          <w:sz w:val="20"/>
        </w:rPr>
        <w:t>expert</w:t>
      </w:r>
      <w:r>
        <w:rPr>
          <w:spacing w:val="-8"/>
          <w:sz w:val="20"/>
        </w:rPr>
        <w:t> </w:t>
      </w:r>
      <w:r>
        <w:rPr>
          <w:sz w:val="20"/>
        </w:rPr>
        <w:t>Auslan</w:t>
      </w:r>
      <w:r>
        <w:rPr>
          <w:spacing w:val="-9"/>
          <w:sz w:val="20"/>
        </w:rPr>
        <w:t> </w:t>
      </w:r>
      <w:r>
        <w:rPr>
          <w:spacing w:val="-3"/>
          <w:sz w:val="20"/>
        </w:rPr>
        <w:t>interpreting</w:t>
      </w:r>
      <w:r>
        <w:rPr>
          <w:spacing w:val="-9"/>
          <w:sz w:val="20"/>
        </w:rPr>
        <w:t> </w:t>
      </w:r>
      <w:r>
        <w:rPr>
          <w:sz w:val="20"/>
        </w:rPr>
        <w:t>organisations</w:t>
      </w:r>
      <w:r>
        <w:rPr>
          <w:spacing w:val="-9"/>
          <w:sz w:val="20"/>
        </w:rPr>
        <w:t> </w:t>
      </w:r>
      <w:r>
        <w:rPr>
          <w:sz w:val="20"/>
        </w:rPr>
        <w:t>that</w:t>
      </w:r>
      <w:r>
        <w:rPr>
          <w:spacing w:val="-9"/>
          <w:sz w:val="20"/>
        </w:rPr>
        <w:t> </w:t>
      </w:r>
      <w:r>
        <w:rPr>
          <w:spacing w:val="-3"/>
          <w:sz w:val="20"/>
        </w:rPr>
        <w:t>referred</w:t>
      </w:r>
      <w:r>
        <w:rPr>
          <w:spacing w:val="-8"/>
          <w:sz w:val="20"/>
        </w:rPr>
        <w:t> </w:t>
      </w:r>
      <w:r>
        <w:rPr>
          <w:sz w:val="20"/>
        </w:rPr>
        <w:t>to the</w:t>
      </w:r>
      <w:r>
        <w:rPr>
          <w:spacing w:val="-13"/>
          <w:sz w:val="20"/>
        </w:rPr>
        <w:t> </w:t>
      </w:r>
      <w:r>
        <w:rPr>
          <w:sz w:val="20"/>
        </w:rPr>
        <w:t>existing</w:t>
      </w:r>
      <w:r>
        <w:rPr>
          <w:spacing w:val="-13"/>
          <w:sz w:val="20"/>
        </w:rPr>
        <w:t> </w:t>
      </w:r>
      <w:r>
        <w:rPr>
          <w:sz w:val="20"/>
        </w:rPr>
        <w:t>codes</w:t>
      </w:r>
      <w:r>
        <w:rPr>
          <w:spacing w:val="-12"/>
          <w:sz w:val="20"/>
        </w:rPr>
        <w:t> </w:t>
      </w:r>
      <w:r>
        <w:rPr>
          <w:sz w:val="20"/>
        </w:rPr>
        <w:t>of</w:t>
      </w:r>
      <w:r>
        <w:rPr>
          <w:spacing w:val="-13"/>
          <w:sz w:val="20"/>
        </w:rPr>
        <w:t> </w:t>
      </w:r>
      <w:r>
        <w:rPr>
          <w:sz w:val="20"/>
        </w:rPr>
        <w:t>ethics,</w:t>
      </w:r>
      <w:r>
        <w:rPr>
          <w:spacing w:val="-12"/>
          <w:sz w:val="20"/>
        </w:rPr>
        <w:t> </w:t>
      </w:r>
      <w:r>
        <w:rPr>
          <w:sz w:val="20"/>
        </w:rPr>
        <w:t>which</w:t>
      </w:r>
      <w:r>
        <w:rPr>
          <w:spacing w:val="-13"/>
          <w:sz w:val="20"/>
        </w:rPr>
        <w:t> </w:t>
      </w:r>
      <w:r>
        <w:rPr>
          <w:sz w:val="20"/>
        </w:rPr>
        <w:t>include</w:t>
      </w:r>
      <w:r>
        <w:rPr>
          <w:spacing w:val="-13"/>
          <w:sz w:val="20"/>
        </w:rPr>
        <w:t> </w:t>
      </w:r>
      <w:r>
        <w:rPr>
          <w:sz w:val="20"/>
        </w:rPr>
        <w:t>a</w:t>
      </w:r>
      <w:r>
        <w:rPr>
          <w:spacing w:val="-12"/>
          <w:sz w:val="20"/>
        </w:rPr>
        <w:t> </w:t>
      </w:r>
      <w:r>
        <w:rPr>
          <w:spacing w:val="-3"/>
          <w:sz w:val="20"/>
        </w:rPr>
        <w:t>requirement</w:t>
      </w:r>
      <w:r>
        <w:rPr>
          <w:spacing w:val="-13"/>
          <w:sz w:val="20"/>
        </w:rPr>
        <w:t> </w:t>
      </w:r>
      <w:r>
        <w:rPr>
          <w:sz w:val="20"/>
        </w:rPr>
        <w:t>to</w:t>
      </w:r>
      <w:r>
        <w:rPr>
          <w:spacing w:val="-12"/>
          <w:sz w:val="20"/>
        </w:rPr>
        <w:t> </w:t>
      </w:r>
      <w:r>
        <w:rPr>
          <w:sz w:val="20"/>
        </w:rPr>
        <w:t>maintain</w:t>
      </w:r>
      <w:r>
        <w:rPr>
          <w:spacing w:val="-13"/>
          <w:sz w:val="20"/>
        </w:rPr>
        <w:t> </w:t>
      </w:r>
      <w:r>
        <w:rPr>
          <w:sz w:val="20"/>
        </w:rPr>
        <w:t>confidentiality.</w:t>
      </w:r>
      <w:r>
        <w:rPr>
          <w:position w:val="7"/>
          <w:sz w:val="11"/>
        </w:rPr>
        <w:t>68</w:t>
      </w:r>
      <w:r>
        <w:rPr>
          <w:sz w:val="11"/>
        </w:rPr>
        <w:t> </w:t>
      </w:r>
      <w:r>
        <w:rPr>
          <w:spacing w:val="-3"/>
          <w:sz w:val="20"/>
        </w:rPr>
        <w:t>For example, </w:t>
      </w:r>
      <w:r>
        <w:rPr>
          <w:spacing w:val="-4"/>
          <w:sz w:val="20"/>
        </w:rPr>
        <w:t>NAATI</w:t>
      </w:r>
      <w:r>
        <w:rPr>
          <w:spacing w:val="-7"/>
          <w:sz w:val="20"/>
        </w:rPr>
        <w:t> </w:t>
      </w:r>
      <w:r>
        <w:rPr>
          <w:sz w:val="20"/>
        </w:rPr>
        <w:t>noted:</w:t>
      </w:r>
    </w:p>
    <w:p>
      <w:pPr>
        <w:spacing w:line="208" w:lineRule="auto" w:before="122"/>
        <w:ind w:left="2157" w:right="1335" w:firstLine="0"/>
        <w:jc w:val="left"/>
        <w:rPr>
          <w:sz w:val="19"/>
        </w:rPr>
      </w:pPr>
      <w:r>
        <w:rPr>
          <w:sz w:val="19"/>
        </w:rPr>
        <w:t>Confidentiality and impartiality are two of the key pillars of both AUSIT and ASLIA’s codes of ethics, and, accordingly, of NAATI certification. It is part of prerequisite training/test to learn the details of this code. There is also a minimum amount</w:t>
      </w:r>
    </w:p>
    <w:p>
      <w:pPr>
        <w:spacing w:line="208" w:lineRule="auto" w:before="2"/>
        <w:ind w:left="2157" w:right="1335" w:firstLine="0"/>
        <w:jc w:val="left"/>
        <w:rPr>
          <w:sz w:val="11"/>
        </w:rPr>
      </w:pPr>
      <w:r>
        <w:rPr>
          <w:sz w:val="19"/>
        </w:rPr>
        <w:t>of professional development that needs to be undertaken regarding ethics for interpreters.</w:t>
      </w:r>
      <w:r>
        <w:rPr>
          <w:position w:val="6"/>
          <w:sz w:val="11"/>
        </w:rPr>
        <w:t>69</w:t>
      </w:r>
    </w:p>
    <w:p>
      <w:pPr>
        <w:pStyle w:val="ListParagraph"/>
        <w:numPr>
          <w:ilvl w:val="1"/>
          <w:numId w:val="12"/>
        </w:numPr>
        <w:tabs>
          <w:tab w:pos="1761" w:val="left" w:leader="none"/>
          <w:tab w:pos="1762" w:val="left" w:leader="none"/>
        </w:tabs>
        <w:spacing w:line="206" w:lineRule="auto" w:before="123" w:after="0"/>
        <w:ind w:left="1761" w:right="1245" w:hanging="794"/>
        <w:jc w:val="left"/>
        <w:rPr>
          <w:sz w:val="11"/>
        </w:rPr>
      </w:pPr>
      <w:r>
        <w:rPr>
          <w:sz w:val="20"/>
        </w:rPr>
        <w:t>In light of these existing codes of ethics, the expert bodies indicated that an oath was </w:t>
      </w:r>
      <w:r>
        <w:rPr>
          <w:spacing w:val="-3"/>
          <w:sz w:val="20"/>
        </w:rPr>
        <w:t>probably</w:t>
      </w:r>
      <w:r>
        <w:rPr>
          <w:spacing w:val="-8"/>
          <w:sz w:val="20"/>
        </w:rPr>
        <w:t> </w:t>
      </w:r>
      <w:r>
        <w:rPr>
          <w:sz w:val="20"/>
        </w:rPr>
        <w:t>unnecessary.</w:t>
      </w:r>
      <w:r>
        <w:rPr>
          <w:spacing w:val="-8"/>
          <w:sz w:val="20"/>
        </w:rPr>
        <w:t> </w:t>
      </w:r>
      <w:r>
        <w:rPr>
          <w:spacing w:val="-5"/>
          <w:sz w:val="20"/>
        </w:rPr>
        <w:t>However,</w:t>
      </w:r>
      <w:r>
        <w:rPr>
          <w:spacing w:val="-8"/>
          <w:sz w:val="20"/>
        </w:rPr>
        <w:t> </w:t>
      </w:r>
      <w:r>
        <w:rPr>
          <w:sz w:val="20"/>
        </w:rPr>
        <w:t>they</w:t>
      </w:r>
      <w:r>
        <w:rPr>
          <w:spacing w:val="-8"/>
          <w:sz w:val="20"/>
        </w:rPr>
        <w:t> </w:t>
      </w:r>
      <w:r>
        <w:rPr>
          <w:sz w:val="20"/>
        </w:rPr>
        <w:t>did</w:t>
      </w:r>
      <w:r>
        <w:rPr>
          <w:spacing w:val="-7"/>
          <w:sz w:val="20"/>
        </w:rPr>
        <w:t> </w:t>
      </w:r>
      <w:r>
        <w:rPr>
          <w:sz w:val="20"/>
        </w:rPr>
        <w:t>not</w:t>
      </w:r>
      <w:r>
        <w:rPr>
          <w:spacing w:val="-8"/>
          <w:sz w:val="20"/>
        </w:rPr>
        <w:t> </w:t>
      </w:r>
      <w:r>
        <w:rPr>
          <w:sz w:val="20"/>
        </w:rPr>
        <w:t>object</w:t>
      </w:r>
      <w:r>
        <w:rPr>
          <w:spacing w:val="-8"/>
          <w:sz w:val="20"/>
        </w:rPr>
        <w:t> </w:t>
      </w:r>
      <w:r>
        <w:rPr>
          <w:sz w:val="20"/>
        </w:rPr>
        <w:t>to</w:t>
      </w:r>
      <w:r>
        <w:rPr>
          <w:spacing w:val="-8"/>
          <w:sz w:val="20"/>
        </w:rPr>
        <w:t> </w:t>
      </w:r>
      <w:r>
        <w:rPr>
          <w:spacing w:val="-3"/>
          <w:sz w:val="20"/>
        </w:rPr>
        <w:t>interpreters</w:t>
      </w:r>
      <w:r>
        <w:rPr>
          <w:spacing w:val="-8"/>
          <w:sz w:val="20"/>
        </w:rPr>
        <w:t> </w:t>
      </w:r>
      <w:r>
        <w:rPr>
          <w:spacing w:val="-3"/>
          <w:sz w:val="20"/>
        </w:rPr>
        <w:t>providing</w:t>
      </w:r>
      <w:r>
        <w:rPr>
          <w:spacing w:val="-7"/>
          <w:sz w:val="20"/>
        </w:rPr>
        <w:t> </w:t>
      </w:r>
      <w:r>
        <w:rPr>
          <w:sz w:val="20"/>
        </w:rPr>
        <w:t>an</w:t>
      </w:r>
      <w:r>
        <w:rPr>
          <w:spacing w:val="-8"/>
          <w:sz w:val="20"/>
        </w:rPr>
        <w:t> </w:t>
      </w:r>
      <w:r>
        <w:rPr>
          <w:sz w:val="20"/>
        </w:rPr>
        <w:t>oath</w:t>
      </w:r>
      <w:r>
        <w:rPr>
          <w:spacing w:val="-8"/>
          <w:sz w:val="20"/>
        </w:rPr>
        <w:t> </w:t>
      </w:r>
      <w:r>
        <w:rPr>
          <w:sz w:val="20"/>
        </w:rPr>
        <w:t>or affirmation</w:t>
      </w:r>
      <w:r>
        <w:rPr>
          <w:spacing w:val="-6"/>
          <w:sz w:val="20"/>
        </w:rPr>
        <w:t> </w:t>
      </w:r>
      <w:r>
        <w:rPr>
          <w:sz w:val="20"/>
        </w:rPr>
        <w:t>if</w:t>
      </w:r>
      <w:r>
        <w:rPr>
          <w:spacing w:val="-5"/>
          <w:sz w:val="20"/>
        </w:rPr>
        <w:t> </w:t>
      </w:r>
      <w:r>
        <w:rPr>
          <w:sz w:val="20"/>
        </w:rPr>
        <w:t>that</w:t>
      </w:r>
      <w:r>
        <w:rPr>
          <w:spacing w:val="-6"/>
          <w:sz w:val="20"/>
        </w:rPr>
        <w:t> </w:t>
      </w:r>
      <w:r>
        <w:rPr>
          <w:sz w:val="20"/>
        </w:rPr>
        <w:t>ensured</w:t>
      </w:r>
      <w:r>
        <w:rPr>
          <w:spacing w:val="-5"/>
          <w:sz w:val="20"/>
        </w:rPr>
        <w:t> </w:t>
      </w:r>
      <w:r>
        <w:rPr>
          <w:sz w:val="20"/>
        </w:rPr>
        <w:t>confidence</w:t>
      </w:r>
      <w:r>
        <w:rPr>
          <w:spacing w:val="-6"/>
          <w:sz w:val="20"/>
        </w:rPr>
        <w:t> </w:t>
      </w:r>
      <w:r>
        <w:rPr>
          <w:sz w:val="20"/>
        </w:rPr>
        <w:t>in</w:t>
      </w:r>
      <w:r>
        <w:rPr>
          <w:spacing w:val="-5"/>
          <w:sz w:val="20"/>
        </w:rPr>
        <w:t> </w:t>
      </w:r>
      <w:r>
        <w:rPr>
          <w:sz w:val="20"/>
        </w:rPr>
        <w:t>the</w:t>
      </w:r>
      <w:r>
        <w:rPr>
          <w:spacing w:val="-6"/>
          <w:sz w:val="20"/>
        </w:rPr>
        <w:t> </w:t>
      </w:r>
      <w:r>
        <w:rPr>
          <w:sz w:val="20"/>
        </w:rPr>
        <w:t>justice</w:t>
      </w:r>
      <w:r>
        <w:rPr>
          <w:spacing w:val="-5"/>
          <w:sz w:val="20"/>
        </w:rPr>
        <w:t> </w:t>
      </w:r>
      <w:r>
        <w:rPr>
          <w:spacing w:val="-3"/>
          <w:sz w:val="20"/>
        </w:rPr>
        <w:t>system.</w:t>
      </w:r>
      <w:r>
        <w:rPr>
          <w:spacing w:val="-3"/>
          <w:position w:val="7"/>
          <w:sz w:val="11"/>
        </w:rPr>
        <w:t>70</w:t>
      </w:r>
    </w:p>
    <w:p>
      <w:pPr>
        <w:pStyle w:val="ListParagraph"/>
        <w:numPr>
          <w:ilvl w:val="1"/>
          <w:numId w:val="12"/>
        </w:numPr>
        <w:tabs>
          <w:tab w:pos="1761" w:val="left" w:leader="none"/>
          <w:tab w:pos="1762" w:val="left" w:leader="none"/>
        </w:tabs>
        <w:spacing w:line="206" w:lineRule="auto" w:before="124" w:after="0"/>
        <w:ind w:left="1761" w:right="1700" w:hanging="794"/>
        <w:jc w:val="left"/>
        <w:rPr>
          <w:sz w:val="20"/>
        </w:rPr>
      </w:pPr>
      <w:r>
        <w:rPr>
          <w:spacing w:val="-3"/>
          <w:sz w:val="20"/>
        </w:rPr>
        <w:t>Similarly, Professor </w:t>
      </w:r>
      <w:r>
        <w:rPr>
          <w:sz w:val="20"/>
        </w:rPr>
        <w:t>Jemina </w:t>
      </w:r>
      <w:r>
        <w:rPr>
          <w:spacing w:val="-3"/>
          <w:sz w:val="20"/>
        </w:rPr>
        <w:t>Napier, Professor </w:t>
      </w:r>
      <w:r>
        <w:rPr>
          <w:sz w:val="20"/>
        </w:rPr>
        <w:t>Sandra Hale and Associate </w:t>
      </w:r>
      <w:r>
        <w:rPr>
          <w:spacing w:val="-3"/>
          <w:sz w:val="20"/>
        </w:rPr>
        <w:t>Professor </w:t>
      </w:r>
      <w:r>
        <w:rPr>
          <w:sz w:val="20"/>
        </w:rPr>
        <w:t>Mehera San Roque </w:t>
      </w:r>
      <w:r>
        <w:rPr>
          <w:spacing w:val="-3"/>
          <w:sz w:val="20"/>
        </w:rPr>
        <w:t>told </w:t>
      </w:r>
      <w:r>
        <w:rPr>
          <w:sz w:val="20"/>
        </w:rPr>
        <w:t>the Commission</w:t>
      </w:r>
      <w:r>
        <w:rPr>
          <w:spacing w:val="-24"/>
          <w:sz w:val="20"/>
        </w:rPr>
        <w:t> </w:t>
      </w:r>
      <w:r>
        <w:rPr>
          <w:sz w:val="20"/>
        </w:rPr>
        <w:t>that:</w:t>
      </w:r>
    </w:p>
    <w:p>
      <w:pPr>
        <w:spacing w:line="208" w:lineRule="auto" w:before="120"/>
        <w:ind w:left="2157" w:right="1209" w:firstLine="0"/>
        <w:jc w:val="left"/>
        <w:rPr>
          <w:sz w:val="11"/>
        </w:rPr>
      </w:pPr>
      <w:r>
        <w:rPr>
          <w:sz w:val="19"/>
        </w:rPr>
        <w:t>On the one hand, a properly trained interpreter would already be professionally required (incorporated into NAATI certification and national standards) to maintain confidentiality and remain impartial. However, there is some benefit for the interpreter and the Court in providing an oath to interpret for jurors because it sets a scene which builds confidence in the interpreter’s abilities and role. It would also allay the fears of the public/legal profession about the interpreter.</w:t>
      </w:r>
      <w:r>
        <w:rPr>
          <w:position w:val="6"/>
          <w:sz w:val="11"/>
        </w:rPr>
        <w:t>71</w:t>
      </w:r>
    </w:p>
    <w:p>
      <w:pPr>
        <w:pStyle w:val="BodyText"/>
      </w:pPr>
    </w:p>
    <w:p>
      <w:pPr>
        <w:pStyle w:val="BodyText"/>
      </w:pPr>
    </w:p>
    <w:p>
      <w:pPr>
        <w:pStyle w:val="BodyText"/>
        <w:spacing w:before="12"/>
        <w:rPr>
          <w:sz w:val="11"/>
        </w:rPr>
      </w:pPr>
      <w:r>
        <w:rPr/>
        <w:pict>
          <v:line style="position:absolute;mso-position-horizontal-relative:page;mso-position-vertical-relative:paragraph;z-index:8552;mso-wrap-distance-left:0;mso-wrap-distance-right:0" from="79.370102pt,10.708pt" to="515.905102pt,10.708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pPr>
    </w:p>
    <w:p>
      <w:pPr>
        <w:spacing w:before="0"/>
        <w:ind w:left="100" w:right="0" w:firstLine="0"/>
        <w:jc w:val="left"/>
        <w:rPr>
          <w:b/>
          <w:sz w:val="24"/>
        </w:rPr>
      </w:pPr>
      <w:r>
        <w:rPr>
          <w:b/>
          <w:color w:val="37617A"/>
          <w:sz w:val="24"/>
        </w:rPr>
        <w:t>164</w:t>
      </w:r>
    </w:p>
    <w:p>
      <w:pPr>
        <w:pStyle w:val="ListParagraph"/>
        <w:numPr>
          <w:ilvl w:val="0"/>
          <w:numId w:val="99"/>
        </w:numPr>
        <w:tabs>
          <w:tab w:pos="893" w:val="left" w:leader="none"/>
          <w:tab w:pos="894" w:val="left" w:leader="none"/>
        </w:tabs>
        <w:spacing w:line="170" w:lineRule="exact" w:before="21" w:after="0"/>
        <w:ind w:left="893" w:right="0" w:hanging="793"/>
        <w:jc w:val="left"/>
        <w:rPr>
          <w:sz w:val="13"/>
        </w:rPr>
      </w:pPr>
      <w:r>
        <w:rPr>
          <w:i/>
          <w:spacing w:val="-5"/>
          <w:sz w:val="13"/>
        </w:rPr>
        <w:br w:type="column"/>
      </w:r>
      <w:r>
        <w:rPr>
          <w:i/>
          <w:sz w:val="13"/>
        </w:rPr>
        <w:t>Lyons v State of Queensland </w:t>
      </w:r>
      <w:r>
        <w:rPr>
          <w:sz w:val="13"/>
        </w:rPr>
        <w:t>[2016] HCA 38, (2016) 259 CLR 518,</w:t>
      </w:r>
      <w:r>
        <w:rPr>
          <w:spacing w:val="4"/>
          <w:sz w:val="13"/>
        </w:rPr>
        <w:t> </w:t>
      </w:r>
      <w:r>
        <w:rPr>
          <w:spacing w:val="2"/>
          <w:sz w:val="13"/>
        </w:rPr>
        <w:t>[35].</w:t>
      </w:r>
    </w:p>
    <w:p>
      <w:pPr>
        <w:pStyle w:val="ListParagraph"/>
        <w:numPr>
          <w:ilvl w:val="0"/>
          <w:numId w:val="99"/>
        </w:numPr>
        <w:tabs>
          <w:tab w:pos="893" w:val="left" w:leader="none"/>
          <w:tab w:pos="894" w:val="left" w:leader="none"/>
        </w:tabs>
        <w:spacing w:line="213" w:lineRule="auto" w:before="7" w:after="0"/>
        <w:ind w:left="893" w:right="1205" w:hanging="793"/>
        <w:jc w:val="left"/>
        <w:rPr>
          <w:sz w:val="13"/>
        </w:rPr>
      </w:pPr>
      <w:r>
        <w:rPr>
          <w:sz w:val="13"/>
        </w:rPr>
        <w:t>Australian Law Reform </w:t>
      </w:r>
      <w:r>
        <w:rPr>
          <w:spacing w:val="2"/>
          <w:sz w:val="13"/>
        </w:rPr>
        <w:t>Commission, </w:t>
      </w:r>
      <w:r>
        <w:rPr>
          <w:i/>
          <w:sz w:val="13"/>
        </w:rPr>
        <w:t>Equality, Capacity and Disability in Commonwealth Laws </w:t>
      </w:r>
      <w:r>
        <w:rPr>
          <w:sz w:val="13"/>
        </w:rPr>
        <w:t>(Discussion Paper No 81, 22 May     </w:t>
      </w:r>
      <w:r>
        <w:rPr>
          <w:spacing w:val="2"/>
          <w:sz w:val="13"/>
        </w:rPr>
        <w:t>2014) </w:t>
      </w:r>
      <w:r>
        <w:rPr>
          <w:sz w:val="13"/>
        </w:rPr>
        <w:t>Proposal 7–15 (b), 18, 192; 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 Recommendation 1(d).</w:t>
      </w:r>
    </w:p>
    <w:p>
      <w:pPr>
        <w:pStyle w:val="ListParagraph"/>
        <w:numPr>
          <w:ilvl w:val="0"/>
          <w:numId w:val="99"/>
        </w:numPr>
        <w:tabs>
          <w:tab w:pos="893" w:val="left" w:leader="none"/>
          <w:tab w:pos="894" w:val="left" w:leader="none"/>
        </w:tabs>
        <w:spacing w:line="152" w:lineRule="exact" w:before="0" w:after="0"/>
        <w:ind w:left="893" w:right="0" w:hanging="793"/>
        <w:jc w:val="left"/>
        <w:rPr>
          <w:sz w:val="13"/>
        </w:rPr>
      </w:pPr>
      <w:r>
        <w:rPr>
          <w:i/>
          <w:sz w:val="13"/>
        </w:rPr>
        <w:t>Evidence Act 2008 </w:t>
      </w:r>
      <w:r>
        <w:rPr>
          <w:spacing w:val="2"/>
          <w:sz w:val="13"/>
        </w:rPr>
        <w:t>(Vic) </w:t>
      </w:r>
      <w:r>
        <w:rPr>
          <w:sz w:val="13"/>
        </w:rPr>
        <w:t>s 22, sch</w:t>
      </w:r>
      <w:r>
        <w:rPr>
          <w:spacing w:val="-2"/>
          <w:sz w:val="13"/>
        </w:rPr>
        <w:t> </w:t>
      </w:r>
      <w:r>
        <w:rPr>
          <w:spacing w:val="3"/>
          <w:sz w:val="13"/>
        </w:rPr>
        <w:t>1.</w:t>
      </w:r>
    </w:p>
    <w:p>
      <w:pPr>
        <w:pStyle w:val="ListParagraph"/>
        <w:numPr>
          <w:ilvl w:val="0"/>
          <w:numId w:val="99"/>
        </w:numPr>
        <w:tabs>
          <w:tab w:pos="893" w:val="left" w:leader="none"/>
          <w:tab w:pos="894" w:val="left" w:leader="none"/>
        </w:tabs>
        <w:spacing w:line="160" w:lineRule="exact" w:before="0" w:after="0"/>
        <w:ind w:left="893" w:right="0" w:hanging="793"/>
        <w:jc w:val="left"/>
        <w:rPr>
          <w:sz w:val="13"/>
        </w:rPr>
      </w:pPr>
      <w:r>
        <w:rPr>
          <w:spacing w:val="2"/>
          <w:sz w:val="13"/>
        </w:rPr>
        <w:t>Submissions </w:t>
      </w:r>
      <w:r>
        <w:rPr>
          <w:sz w:val="13"/>
        </w:rPr>
        <w:t>8 </w:t>
      </w:r>
      <w:r>
        <w:rPr>
          <w:spacing w:val="2"/>
          <w:sz w:val="13"/>
        </w:rPr>
        <w:t>(Victoria </w:t>
      </w:r>
      <w:r>
        <w:rPr>
          <w:sz w:val="13"/>
        </w:rPr>
        <w:t>Legal Aid), 11 (Supreme </w:t>
      </w:r>
      <w:r>
        <w:rPr>
          <w:spacing w:val="2"/>
          <w:sz w:val="13"/>
        </w:rPr>
        <w:t>Court </w:t>
      </w:r>
      <w:r>
        <w:rPr>
          <w:sz w:val="13"/>
        </w:rPr>
        <w:t>of Victoria), </w:t>
      </w:r>
      <w:r>
        <w:rPr>
          <w:spacing w:val="3"/>
          <w:sz w:val="13"/>
        </w:rPr>
        <w:t>14 </w:t>
      </w:r>
      <w:r>
        <w:rPr>
          <w:sz w:val="13"/>
        </w:rPr>
        <w:t>(County </w:t>
      </w:r>
      <w:r>
        <w:rPr>
          <w:spacing w:val="2"/>
          <w:sz w:val="13"/>
        </w:rPr>
        <w:t>Court </w:t>
      </w:r>
      <w:r>
        <w:rPr>
          <w:sz w:val="13"/>
        </w:rPr>
        <w:t>of</w:t>
      </w:r>
      <w:r>
        <w:rPr>
          <w:spacing w:val="-2"/>
          <w:sz w:val="13"/>
        </w:rPr>
        <w:t> </w:t>
      </w:r>
      <w:r>
        <w:rPr>
          <w:sz w:val="13"/>
        </w:rPr>
        <w:t>Victoria).</w:t>
      </w:r>
    </w:p>
    <w:p>
      <w:pPr>
        <w:pStyle w:val="ListParagraph"/>
        <w:numPr>
          <w:ilvl w:val="0"/>
          <w:numId w:val="99"/>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13 </w:t>
      </w:r>
      <w:r>
        <w:rPr>
          <w:spacing w:val="2"/>
          <w:sz w:val="13"/>
        </w:rPr>
        <w:t>(Juries </w:t>
      </w:r>
      <w:r>
        <w:rPr>
          <w:sz w:val="13"/>
        </w:rPr>
        <w:t>Victoria); Consultations 2 (Law Institute of Victoria), 4 </w:t>
      </w:r>
      <w:r>
        <w:rPr>
          <w:spacing w:val="2"/>
          <w:sz w:val="13"/>
        </w:rPr>
        <w:t>(Victorian </w:t>
      </w:r>
      <w:r>
        <w:rPr>
          <w:sz w:val="13"/>
        </w:rPr>
        <w:t>Criminal Bar Association), 16 (Office</w:t>
      </w:r>
      <w:r>
        <w:rPr>
          <w:spacing w:val="23"/>
          <w:sz w:val="13"/>
        </w:rPr>
        <w:t> </w:t>
      </w:r>
      <w:r>
        <w:rPr>
          <w:sz w:val="13"/>
        </w:rPr>
        <w:t>of</w:t>
      </w:r>
    </w:p>
    <w:p>
      <w:pPr>
        <w:spacing w:line="160" w:lineRule="exact" w:before="0"/>
        <w:ind w:left="893" w:right="0" w:firstLine="0"/>
        <w:jc w:val="left"/>
        <w:rPr>
          <w:sz w:val="13"/>
        </w:rPr>
      </w:pPr>
      <w:r>
        <w:rPr>
          <w:spacing w:val="2"/>
          <w:sz w:val="13"/>
        </w:rPr>
        <w:t>Public  </w:t>
      </w:r>
      <w:r>
        <w:rPr>
          <w:sz w:val="13"/>
        </w:rPr>
        <w:t>Prosecutions</w:t>
      </w:r>
      <w:r>
        <w:rPr>
          <w:spacing w:val="-5"/>
          <w:sz w:val="13"/>
        </w:rPr>
        <w:t> </w:t>
      </w:r>
      <w:r>
        <w:rPr>
          <w:sz w:val="13"/>
        </w:rPr>
        <w:t>Victoria).</w:t>
      </w:r>
    </w:p>
    <w:p>
      <w:pPr>
        <w:pStyle w:val="ListParagraph"/>
        <w:numPr>
          <w:ilvl w:val="0"/>
          <w:numId w:val="99"/>
        </w:numPr>
        <w:tabs>
          <w:tab w:pos="893" w:val="left" w:leader="none"/>
          <w:tab w:pos="894" w:val="left" w:leader="none"/>
        </w:tabs>
        <w:spacing w:line="213" w:lineRule="auto" w:before="6" w:after="0"/>
        <w:ind w:left="893" w:right="1511" w:hanging="793"/>
        <w:jc w:val="left"/>
        <w:rPr>
          <w:sz w:val="13"/>
        </w:rPr>
      </w:pPr>
      <w:r>
        <w:rPr>
          <w:sz w:val="13"/>
        </w:rPr>
        <w:t>Australian Sign </w:t>
      </w:r>
      <w:r>
        <w:rPr>
          <w:spacing w:val="2"/>
          <w:sz w:val="13"/>
        </w:rPr>
        <w:t>Language </w:t>
      </w:r>
      <w:r>
        <w:rPr>
          <w:sz w:val="13"/>
        </w:rPr>
        <w:t>Interpreters’ </w:t>
      </w:r>
      <w:r>
        <w:rPr>
          <w:spacing w:val="2"/>
          <w:sz w:val="13"/>
        </w:rPr>
        <w:t>Association (ASLIA), </w:t>
      </w:r>
      <w:r>
        <w:rPr>
          <w:i/>
          <w:sz w:val="13"/>
        </w:rPr>
        <w:t>Code of Ethics and </w:t>
      </w:r>
      <w:r>
        <w:rPr>
          <w:i/>
          <w:spacing w:val="2"/>
          <w:sz w:val="13"/>
        </w:rPr>
        <w:t>Guidelines </w:t>
      </w:r>
      <w:r>
        <w:rPr>
          <w:i/>
          <w:sz w:val="13"/>
        </w:rPr>
        <w:t>for Professional Conduct </w:t>
      </w:r>
      <w:r>
        <w:rPr>
          <w:sz w:val="13"/>
        </w:rPr>
        <w:t>(2007); Australian Institute of Interpreters and Translators (AUSIT), </w:t>
      </w:r>
      <w:r>
        <w:rPr>
          <w:i/>
          <w:sz w:val="13"/>
        </w:rPr>
        <w:t>Code of Ethics </w:t>
      </w:r>
      <w:r>
        <w:rPr>
          <w:sz w:val="13"/>
        </w:rPr>
        <w:t>(November 2012); Consultations 18 </w:t>
      </w:r>
      <w:r>
        <w:rPr>
          <w:spacing w:val="2"/>
          <w:sz w:val="13"/>
        </w:rPr>
        <w:t>(Australian </w:t>
      </w:r>
      <w:r>
        <w:rPr>
          <w:sz w:val="13"/>
        </w:rPr>
        <w:t>Sign </w:t>
      </w:r>
      <w:r>
        <w:rPr>
          <w:spacing w:val="2"/>
          <w:sz w:val="13"/>
        </w:rPr>
        <w:t>Language </w:t>
      </w:r>
      <w:r>
        <w:rPr>
          <w:sz w:val="13"/>
        </w:rPr>
        <w:t>Interpreters’ </w:t>
      </w:r>
      <w:r>
        <w:rPr>
          <w:spacing w:val="2"/>
          <w:sz w:val="13"/>
        </w:rPr>
        <w:t>Association, </w:t>
      </w:r>
      <w:r>
        <w:rPr>
          <w:sz w:val="13"/>
        </w:rPr>
        <w:t>Victoria and Tasmania </w:t>
      </w:r>
      <w:r>
        <w:rPr>
          <w:spacing w:val="2"/>
          <w:sz w:val="13"/>
        </w:rPr>
        <w:t>(ASLIA)), </w:t>
      </w:r>
      <w:r>
        <w:rPr>
          <w:sz w:val="13"/>
        </w:rPr>
        <w:t>19 </w:t>
      </w:r>
      <w:r>
        <w:rPr>
          <w:spacing w:val="2"/>
          <w:sz w:val="13"/>
        </w:rPr>
        <w:t>(Australian </w:t>
      </w:r>
      <w:r>
        <w:rPr>
          <w:sz w:val="13"/>
        </w:rPr>
        <w:t>Institute of Interpreters and Translators (AUSIT)), 21 </w:t>
      </w:r>
      <w:r>
        <w:rPr>
          <w:spacing w:val="2"/>
          <w:sz w:val="13"/>
        </w:rPr>
        <w:t>(Della </w:t>
      </w:r>
      <w:r>
        <w:rPr>
          <w:sz w:val="13"/>
        </w:rPr>
        <w:t>Goswell, Lecturer, Convenor </w:t>
      </w:r>
      <w:r>
        <w:rPr>
          <w:spacing w:val="2"/>
          <w:sz w:val="13"/>
        </w:rPr>
        <w:t>Auslan-English </w:t>
      </w:r>
      <w:r>
        <w:rPr>
          <w:sz w:val="13"/>
        </w:rPr>
        <w:t>Interpreting Program, Macquarie University,</w:t>
      </w:r>
      <w:r>
        <w:rPr>
          <w:spacing w:val="30"/>
          <w:sz w:val="13"/>
        </w:rPr>
        <w:t> </w:t>
      </w:r>
      <w:r>
        <w:rPr>
          <w:sz w:val="13"/>
        </w:rPr>
        <w:t>NSW).</w:t>
      </w:r>
    </w:p>
    <w:p>
      <w:pPr>
        <w:pStyle w:val="ListParagraph"/>
        <w:numPr>
          <w:ilvl w:val="0"/>
          <w:numId w:val="99"/>
        </w:numPr>
        <w:tabs>
          <w:tab w:pos="893" w:val="left" w:leader="none"/>
          <w:tab w:pos="894" w:val="left" w:leader="none"/>
        </w:tabs>
        <w:spacing w:line="151" w:lineRule="exact" w:before="0" w:after="0"/>
        <w:ind w:left="893" w:right="0" w:hanging="793"/>
        <w:jc w:val="left"/>
        <w:rPr>
          <w:sz w:val="13"/>
        </w:rPr>
      </w:pPr>
      <w:r>
        <w:rPr>
          <w:sz w:val="13"/>
        </w:rPr>
        <w:t>Consultation 13 (National Accreditation Authority for Translators and Interpreters</w:t>
      </w:r>
      <w:r>
        <w:rPr>
          <w:spacing w:val="8"/>
          <w:sz w:val="13"/>
        </w:rPr>
        <w:t> </w:t>
      </w:r>
      <w:r>
        <w:rPr>
          <w:sz w:val="13"/>
        </w:rPr>
        <w:t>(NAATI)).</w:t>
      </w:r>
    </w:p>
    <w:p>
      <w:pPr>
        <w:pStyle w:val="ListParagraph"/>
        <w:numPr>
          <w:ilvl w:val="0"/>
          <w:numId w:val="99"/>
        </w:numPr>
        <w:tabs>
          <w:tab w:pos="893" w:val="left" w:leader="none"/>
          <w:tab w:pos="894" w:val="left" w:leader="none"/>
        </w:tabs>
        <w:spacing w:line="213" w:lineRule="auto" w:before="6" w:after="0"/>
        <w:ind w:left="893" w:right="1212" w:hanging="793"/>
        <w:jc w:val="left"/>
        <w:rPr>
          <w:sz w:val="13"/>
        </w:rPr>
      </w:pPr>
      <w:r>
        <w:rPr>
          <w:sz w:val="13"/>
        </w:rPr>
        <w:t>Consultations 5 (Expression Australia), 13 (National Accreditation Authority for Translators and Interpreters (NAATI)), 18 </w:t>
      </w:r>
      <w:r>
        <w:rPr>
          <w:spacing w:val="2"/>
          <w:sz w:val="13"/>
        </w:rPr>
        <w:t>(Australian </w:t>
      </w:r>
      <w:r>
        <w:rPr>
          <w:sz w:val="13"/>
        </w:rPr>
        <w:t>Sign </w:t>
      </w:r>
      <w:r>
        <w:rPr>
          <w:spacing w:val="2"/>
          <w:sz w:val="13"/>
        </w:rPr>
        <w:t>Language </w:t>
      </w:r>
      <w:r>
        <w:rPr>
          <w:sz w:val="13"/>
        </w:rPr>
        <w:t>Interpreters’ </w:t>
      </w:r>
      <w:r>
        <w:rPr>
          <w:spacing w:val="2"/>
          <w:sz w:val="13"/>
        </w:rPr>
        <w:t>Association, </w:t>
      </w:r>
      <w:r>
        <w:rPr>
          <w:sz w:val="13"/>
        </w:rPr>
        <w:t>Victoria and Tasmania </w:t>
      </w:r>
      <w:r>
        <w:rPr>
          <w:spacing w:val="2"/>
          <w:sz w:val="13"/>
        </w:rPr>
        <w:t>(ASLIA)), </w:t>
      </w:r>
      <w:r>
        <w:rPr>
          <w:sz w:val="13"/>
        </w:rPr>
        <w:t>19 </w:t>
      </w:r>
      <w:r>
        <w:rPr>
          <w:spacing w:val="2"/>
          <w:sz w:val="13"/>
        </w:rPr>
        <w:t>(Australian </w:t>
      </w:r>
      <w:r>
        <w:rPr>
          <w:sz w:val="13"/>
        </w:rPr>
        <w:t>Institute of Interpreters and Translators (AUSIT)).</w:t>
      </w:r>
    </w:p>
    <w:p>
      <w:pPr>
        <w:pStyle w:val="ListParagraph"/>
        <w:numPr>
          <w:ilvl w:val="0"/>
          <w:numId w:val="99"/>
        </w:numPr>
        <w:tabs>
          <w:tab w:pos="893" w:val="left" w:leader="none"/>
          <w:tab w:pos="894" w:val="left" w:leader="none"/>
        </w:tabs>
        <w:spacing w:line="213" w:lineRule="auto" w:before="0" w:after="0"/>
        <w:ind w:left="893" w:right="1423" w:hanging="793"/>
        <w:jc w:val="left"/>
        <w:rPr>
          <w:sz w:val="13"/>
        </w:rPr>
      </w:pPr>
      <w:r>
        <w:rPr>
          <w:sz w:val="13"/>
        </w:rPr>
        <w:t>Consultation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w:t>
      </w:r>
      <w:r>
        <w:rPr>
          <w:spacing w:val="4"/>
          <w:sz w:val="13"/>
        </w:rPr>
        <w:t> </w:t>
      </w:r>
      <w:r>
        <w:rPr>
          <w:sz w:val="13"/>
        </w:rPr>
        <w:t>Wales)).</w:t>
      </w:r>
    </w:p>
    <w:p>
      <w:pPr>
        <w:spacing w:after="0" w:line="213" w:lineRule="auto"/>
        <w:jc w:val="left"/>
        <w:rPr>
          <w:sz w:val="13"/>
        </w:rPr>
        <w:sectPr>
          <w:type w:val="continuous"/>
          <w:pgSz w:w="11910" w:h="16840"/>
          <w:pgMar w:top="620" w:bottom="280" w:left="620" w:right="380"/>
          <w:cols w:num="2" w:equalWidth="0">
            <w:col w:w="538" w:space="329"/>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40" w:lineRule="auto" w:before="58" w:after="0"/>
        <w:ind w:left="1761" w:right="0" w:hanging="794"/>
        <w:jc w:val="left"/>
        <w:rPr>
          <w:sz w:val="20"/>
        </w:rPr>
      </w:pPr>
      <w:bookmarkStart w:name="_bookmark119" w:id="283"/>
      <w:bookmarkEnd w:id="283"/>
      <w:r>
        <w:rPr/>
      </w:r>
      <w:bookmarkStart w:name="_bookmark119" w:id="284"/>
      <w:bookmarkEnd w:id="284"/>
      <w:r>
        <w:rPr>
          <w:sz w:val="20"/>
        </w:rPr>
        <w:t>A</w:t>
      </w:r>
      <w:r>
        <w:rPr>
          <w:sz w:val="20"/>
        </w:rPr>
        <w:t> Deaf Victoria consultation participant </w:t>
      </w:r>
      <w:r>
        <w:rPr>
          <w:spacing w:val="-3"/>
          <w:sz w:val="20"/>
        </w:rPr>
        <w:t>told </w:t>
      </w:r>
      <w:r>
        <w:rPr>
          <w:sz w:val="20"/>
        </w:rPr>
        <w:t>us</w:t>
      </w:r>
      <w:r>
        <w:rPr>
          <w:spacing w:val="-29"/>
          <w:sz w:val="20"/>
        </w:rPr>
        <w:t> </w:t>
      </w:r>
      <w:r>
        <w:rPr>
          <w:sz w:val="20"/>
        </w:rPr>
        <w:t>that:</w:t>
      </w:r>
    </w:p>
    <w:p>
      <w:pPr>
        <w:spacing w:line="208" w:lineRule="auto" w:before="112"/>
        <w:ind w:left="2157" w:right="1235" w:firstLine="0"/>
        <w:jc w:val="left"/>
        <w:rPr>
          <w:sz w:val="11"/>
        </w:rPr>
      </w:pPr>
      <w:r>
        <w:rPr>
          <w:sz w:val="19"/>
        </w:rPr>
        <w:t>An Auslan interpreter isn’t really a person in the jury room, instead they should be viewed as an access tool. To ensure confidence in the participation of the interpreter an oath should be provided by an interpreter before jury deliberations. Taking an oath is important to ensure that the jury’s decision won’t be challenged on the basis of confidentiality or impartiality.</w:t>
      </w:r>
      <w:r>
        <w:rPr>
          <w:position w:val="6"/>
          <w:sz w:val="11"/>
        </w:rPr>
        <w:t>72</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z w:val="20"/>
        </w:rPr>
        <w:t>The County Court </w:t>
      </w:r>
      <w:r>
        <w:rPr>
          <w:spacing w:val="-3"/>
          <w:sz w:val="20"/>
        </w:rPr>
        <w:t>told</w:t>
      </w:r>
      <w:r>
        <w:rPr>
          <w:spacing w:val="-17"/>
          <w:sz w:val="20"/>
        </w:rPr>
        <w:t> </w:t>
      </w:r>
      <w:r>
        <w:rPr>
          <w:sz w:val="20"/>
        </w:rPr>
        <w:t>us:</w:t>
      </w:r>
    </w:p>
    <w:p>
      <w:pPr>
        <w:spacing w:line="208" w:lineRule="auto" w:before="112"/>
        <w:ind w:left="2157" w:right="1327" w:firstLine="0"/>
        <w:jc w:val="left"/>
        <w:rPr>
          <w:sz w:val="11"/>
        </w:rPr>
      </w:pPr>
      <w:r>
        <w:rPr>
          <w:sz w:val="19"/>
        </w:rPr>
        <w:t>jurors may begin discussing the matter from a very early stage. Therefore, the oath or affirmation ought to be administered at the outset by the judge. That is, when the jury are ready to be empanelled (whether that be when the jury is brought into the courtroom or by audio visual link). A further oath may be required before the jurors retire to consider their verdict. Oaths and affirmations would be required for any new support persons who are brought into the trial to assist.</w:t>
      </w:r>
      <w:r>
        <w:rPr>
          <w:position w:val="6"/>
          <w:sz w:val="11"/>
        </w:rPr>
        <w:t>73</w:t>
      </w:r>
    </w:p>
    <w:p>
      <w:pPr>
        <w:pStyle w:val="ListParagraph"/>
        <w:numPr>
          <w:ilvl w:val="1"/>
          <w:numId w:val="12"/>
        </w:numPr>
        <w:tabs>
          <w:tab w:pos="1761" w:val="left" w:leader="none"/>
          <w:tab w:pos="1762" w:val="left" w:leader="none"/>
        </w:tabs>
        <w:spacing w:line="206" w:lineRule="auto" w:before="126" w:after="0"/>
        <w:ind w:left="1761" w:right="1391" w:hanging="794"/>
        <w:jc w:val="left"/>
        <w:rPr>
          <w:sz w:val="11"/>
        </w:rPr>
      </w:pPr>
      <w:r>
        <w:rPr>
          <w:spacing w:val="-3"/>
          <w:sz w:val="20"/>
        </w:rPr>
        <w:t>Peter </w:t>
      </w:r>
      <w:r>
        <w:rPr>
          <w:spacing w:val="-5"/>
          <w:sz w:val="20"/>
        </w:rPr>
        <w:t>Ward </w:t>
      </w:r>
      <w:r>
        <w:rPr>
          <w:sz w:val="20"/>
        </w:rPr>
        <w:t>noted that his concerns about limiting the 13th person rule could be allayed</w:t>
      </w:r>
      <w:r>
        <w:rPr>
          <w:spacing w:val="-9"/>
          <w:sz w:val="20"/>
        </w:rPr>
        <w:t> </w:t>
      </w:r>
      <w:r>
        <w:rPr>
          <w:sz w:val="20"/>
        </w:rPr>
        <w:t>if</w:t>
      </w:r>
      <w:r>
        <w:rPr>
          <w:spacing w:val="-8"/>
          <w:sz w:val="20"/>
        </w:rPr>
        <w:t> </w:t>
      </w:r>
      <w:r>
        <w:rPr>
          <w:sz w:val="20"/>
        </w:rPr>
        <w:t>an</w:t>
      </w:r>
      <w:r>
        <w:rPr>
          <w:spacing w:val="-8"/>
          <w:sz w:val="20"/>
        </w:rPr>
        <w:t> </w:t>
      </w:r>
      <w:r>
        <w:rPr>
          <w:sz w:val="20"/>
        </w:rPr>
        <w:t>Auslan</w:t>
      </w:r>
      <w:r>
        <w:rPr>
          <w:spacing w:val="-8"/>
          <w:sz w:val="20"/>
        </w:rPr>
        <w:t> </w:t>
      </w:r>
      <w:r>
        <w:rPr>
          <w:spacing w:val="-3"/>
          <w:sz w:val="20"/>
        </w:rPr>
        <w:t>interpreter</w:t>
      </w:r>
      <w:r>
        <w:rPr>
          <w:spacing w:val="-8"/>
          <w:sz w:val="20"/>
        </w:rPr>
        <w:t> </w:t>
      </w:r>
      <w:r>
        <w:rPr>
          <w:spacing w:val="-4"/>
          <w:sz w:val="20"/>
        </w:rPr>
        <w:t>were</w:t>
      </w:r>
      <w:r>
        <w:rPr>
          <w:spacing w:val="-8"/>
          <w:sz w:val="20"/>
        </w:rPr>
        <w:t> </w:t>
      </w:r>
      <w:r>
        <w:rPr>
          <w:spacing w:val="-3"/>
          <w:sz w:val="20"/>
        </w:rPr>
        <w:t>required</w:t>
      </w:r>
      <w:r>
        <w:rPr>
          <w:spacing w:val="-8"/>
          <w:sz w:val="20"/>
        </w:rPr>
        <w:t> </w:t>
      </w:r>
      <w:r>
        <w:rPr>
          <w:sz w:val="20"/>
        </w:rPr>
        <w:t>to</w:t>
      </w:r>
      <w:r>
        <w:rPr>
          <w:spacing w:val="-8"/>
          <w:sz w:val="20"/>
        </w:rPr>
        <w:t> </w:t>
      </w:r>
      <w:r>
        <w:rPr>
          <w:spacing w:val="-3"/>
          <w:sz w:val="20"/>
        </w:rPr>
        <w:t>swear</w:t>
      </w:r>
      <w:r>
        <w:rPr>
          <w:spacing w:val="-9"/>
          <w:sz w:val="20"/>
        </w:rPr>
        <w:t> </w:t>
      </w:r>
      <w:r>
        <w:rPr>
          <w:sz w:val="20"/>
        </w:rPr>
        <w:t>an</w:t>
      </w:r>
      <w:r>
        <w:rPr>
          <w:spacing w:val="-8"/>
          <w:sz w:val="20"/>
        </w:rPr>
        <w:t> </w:t>
      </w:r>
      <w:r>
        <w:rPr>
          <w:spacing w:val="-3"/>
          <w:sz w:val="20"/>
        </w:rPr>
        <w:t>oath/affirmation</w:t>
      </w:r>
      <w:r>
        <w:rPr>
          <w:spacing w:val="-8"/>
          <w:sz w:val="20"/>
        </w:rPr>
        <w:t> </w:t>
      </w:r>
      <w:r>
        <w:rPr>
          <w:sz w:val="20"/>
        </w:rPr>
        <w:t>to</w:t>
      </w:r>
      <w:r>
        <w:rPr>
          <w:spacing w:val="-8"/>
          <w:sz w:val="20"/>
        </w:rPr>
        <w:t> </w:t>
      </w:r>
      <w:r>
        <w:rPr>
          <w:sz w:val="20"/>
        </w:rPr>
        <w:t>maintain confidentiality and not get </w:t>
      </w:r>
      <w:r>
        <w:rPr>
          <w:spacing w:val="-4"/>
          <w:sz w:val="20"/>
        </w:rPr>
        <w:t>involved </w:t>
      </w:r>
      <w:r>
        <w:rPr>
          <w:sz w:val="20"/>
        </w:rPr>
        <w:t>in</w:t>
      </w:r>
      <w:r>
        <w:rPr>
          <w:spacing w:val="-23"/>
          <w:sz w:val="20"/>
        </w:rPr>
        <w:t> </w:t>
      </w:r>
      <w:r>
        <w:rPr>
          <w:spacing w:val="-3"/>
          <w:sz w:val="20"/>
        </w:rPr>
        <w:t>deliberations.</w:t>
      </w:r>
      <w:r>
        <w:rPr>
          <w:spacing w:val="-3"/>
          <w:position w:val="7"/>
          <w:sz w:val="11"/>
        </w:rPr>
        <w:t>74</w:t>
      </w:r>
    </w:p>
    <w:p>
      <w:pPr>
        <w:spacing w:before="162"/>
        <w:ind w:left="967" w:right="0" w:firstLine="0"/>
        <w:jc w:val="left"/>
        <w:rPr>
          <w:b/>
          <w:sz w:val="24"/>
        </w:rPr>
      </w:pPr>
      <w:r>
        <w:rPr>
          <w:b/>
          <w:sz w:val="24"/>
        </w:rPr>
        <w:t>Oaths in other jurisdictions</w:t>
      </w:r>
    </w:p>
    <w:p>
      <w:pPr>
        <w:pStyle w:val="ListParagraph"/>
        <w:numPr>
          <w:ilvl w:val="1"/>
          <w:numId w:val="12"/>
        </w:numPr>
        <w:tabs>
          <w:tab w:pos="1761" w:val="left" w:leader="none"/>
          <w:tab w:pos="1762" w:val="left" w:leader="none"/>
        </w:tabs>
        <w:spacing w:line="206" w:lineRule="auto" w:before="127" w:after="0"/>
        <w:ind w:left="1761" w:right="1284" w:hanging="794"/>
        <w:jc w:val="left"/>
        <w:rPr>
          <w:sz w:val="20"/>
        </w:rPr>
      </w:pPr>
      <w:r>
        <w:rPr>
          <w:sz w:val="20"/>
        </w:rPr>
        <w:t>An</w:t>
      </w:r>
      <w:r>
        <w:rPr>
          <w:spacing w:val="-10"/>
          <w:sz w:val="20"/>
        </w:rPr>
        <w:t> </w:t>
      </w:r>
      <w:r>
        <w:rPr>
          <w:sz w:val="20"/>
        </w:rPr>
        <w:t>oath</w:t>
      </w:r>
      <w:r>
        <w:rPr>
          <w:spacing w:val="-10"/>
          <w:sz w:val="20"/>
        </w:rPr>
        <w:t> </w:t>
      </w:r>
      <w:r>
        <w:rPr>
          <w:sz w:val="20"/>
        </w:rPr>
        <w:t>or</w:t>
      </w:r>
      <w:r>
        <w:rPr>
          <w:spacing w:val="-10"/>
          <w:sz w:val="20"/>
        </w:rPr>
        <w:t> </w:t>
      </w:r>
      <w:r>
        <w:rPr>
          <w:sz w:val="20"/>
        </w:rPr>
        <w:t>affirmation</w:t>
      </w:r>
      <w:r>
        <w:rPr>
          <w:spacing w:val="-9"/>
          <w:sz w:val="20"/>
        </w:rPr>
        <w:t> </w:t>
      </w:r>
      <w:r>
        <w:rPr>
          <w:sz w:val="20"/>
        </w:rPr>
        <w:t>is</w:t>
      </w:r>
      <w:r>
        <w:rPr>
          <w:spacing w:val="-10"/>
          <w:sz w:val="20"/>
        </w:rPr>
        <w:t> </w:t>
      </w:r>
      <w:r>
        <w:rPr>
          <w:sz w:val="20"/>
        </w:rPr>
        <w:t>already</w:t>
      </w:r>
      <w:r>
        <w:rPr>
          <w:spacing w:val="-10"/>
          <w:sz w:val="20"/>
        </w:rPr>
        <w:t> </w:t>
      </w:r>
      <w:r>
        <w:rPr>
          <w:spacing w:val="-3"/>
          <w:sz w:val="20"/>
        </w:rPr>
        <w:t>required</w:t>
      </w:r>
      <w:r>
        <w:rPr>
          <w:spacing w:val="-10"/>
          <w:sz w:val="20"/>
        </w:rPr>
        <w:t> </w:t>
      </w:r>
      <w:r>
        <w:rPr>
          <w:sz w:val="20"/>
        </w:rPr>
        <w:t>of</w:t>
      </w:r>
      <w:r>
        <w:rPr>
          <w:spacing w:val="-9"/>
          <w:sz w:val="20"/>
        </w:rPr>
        <w:t> </w:t>
      </w:r>
      <w:r>
        <w:rPr>
          <w:spacing w:val="-3"/>
          <w:sz w:val="20"/>
        </w:rPr>
        <w:t>interpreters</w:t>
      </w:r>
      <w:r>
        <w:rPr>
          <w:spacing w:val="-10"/>
          <w:sz w:val="20"/>
        </w:rPr>
        <w:t> </w:t>
      </w:r>
      <w:r>
        <w:rPr>
          <w:sz w:val="20"/>
        </w:rPr>
        <w:t>and</w:t>
      </w:r>
      <w:r>
        <w:rPr>
          <w:spacing w:val="-10"/>
          <w:sz w:val="20"/>
        </w:rPr>
        <w:t> </w:t>
      </w:r>
      <w:r>
        <w:rPr>
          <w:sz w:val="20"/>
        </w:rPr>
        <w:t>support</w:t>
      </w:r>
      <w:r>
        <w:rPr>
          <w:spacing w:val="-10"/>
          <w:sz w:val="20"/>
        </w:rPr>
        <w:t> </w:t>
      </w:r>
      <w:r>
        <w:rPr>
          <w:sz w:val="20"/>
        </w:rPr>
        <w:t>people</w:t>
      </w:r>
      <w:r>
        <w:rPr>
          <w:spacing w:val="-9"/>
          <w:sz w:val="20"/>
        </w:rPr>
        <w:t> </w:t>
      </w:r>
      <w:r>
        <w:rPr>
          <w:sz w:val="20"/>
        </w:rPr>
        <w:t>who</w:t>
      </w:r>
      <w:r>
        <w:rPr>
          <w:spacing w:val="-10"/>
          <w:sz w:val="20"/>
        </w:rPr>
        <w:t> </w:t>
      </w:r>
      <w:r>
        <w:rPr>
          <w:sz w:val="20"/>
        </w:rPr>
        <w:t>assist jurors in the United </w:t>
      </w:r>
      <w:r>
        <w:rPr>
          <w:spacing w:val="-3"/>
          <w:sz w:val="20"/>
        </w:rPr>
        <w:t>States </w:t>
      </w:r>
      <w:r>
        <w:rPr>
          <w:sz w:val="20"/>
        </w:rPr>
        <w:t>and New Zealand.</w:t>
      </w:r>
      <w:r>
        <w:rPr>
          <w:position w:val="7"/>
          <w:sz w:val="11"/>
        </w:rPr>
        <w:t>75 </w:t>
      </w:r>
      <w:r>
        <w:rPr>
          <w:sz w:val="20"/>
        </w:rPr>
        <w:t>In Monroe </w:t>
      </w:r>
      <w:r>
        <w:rPr>
          <w:spacing w:val="-3"/>
          <w:sz w:val="20"/>
        </w:rPr>
        <w:t>County, </w:t>
      </w:r>
      <w:r>
        <w:rPr>
          <w:sz w:val="20"/>
        </w:rPr>
        <w:t>New </w:t>
      </w:r>
      <w:r>
        <w:rPr>
          <w:spacing w:val="-5"/>
          <w:sz w:val="20"/>
        </w:rPr>
        <w:t>York </w:t>
      </w:r>
      <w:r>
        <w:rPr>
          <w:spacing w:val="-3"/>
          <w:sz w:val="20"/>
        </w:rPr>
        <w:t>State, </w:t>
      </w:r>
      <w:r>
        <w:rPr>
          <w:sz w:val="20"/>
        </w:rPr>
        <w:t>the oath</w:t>
      </w:r>
      <w:r>
        <w:rPr>
          <w:spacing w:val="-6"/>
          <w:sz w:val="20"/>
        </w:rPr>
        <w:t> </w:t>
      </w:r>
      <w:r>
        <w:rPr>
          <w:spacing w:val="-3"/>
          <w:sz w:val="20"/>
        </w:rPr>
        <w:t>provided</w:t>
      </w:r>
      <w:r>
        <w:rPr>
          <w:spacing w:val="-5"/>
          <w:sz w:val="20"/>
        </w:rPr>
        <w:t> </w:t>
      </w:r>
      <w:r>
        <w:rPr>
          <w:spacing w:val="-3"/>
          <w:sz w:val="20"/>
        </w:rPr>
        <w:t>by</w:t>
      </w:r>
      <w:r>
        <w:rPr>
          <w:spacing w:val="-5"/>
          <w:sz w:val="20"/>
        </w:rPr>
        <w:t> </w:t>
      </w:r>
      <w:r>
        <w:rPr>
          <w:sz w:val="20"/>
        </w:rPr>
        <w:t>an</w:t>
      </w:r>
      <w:r>
        <w:rPr>
          <w:spacing w:val="-5"/>
          <w:sz w:val="20"/>
        </w:rPr>
        <w:t> </w:t>
      </w:r>
      <w:r>
        <w:rPr>
          <w:spacing w:val="-3"/>
          <w:sz w:val="20"/>
        </w:rPr>
        <w:t>interpreter</w:t>
      </w:r>
      <w:r>
        <w:rPr>
          <w:spacing w:val="-5"/>
          <w:sz w:val="20"/>
        </w:rPr>
        <w:t> </w:t>
      </w:r>
      <w:r>
        <w:rPr>
          <w:sz w:val="20"/>
        </w:rPr>
        <w:t>working</w:t>
      </w:r>
      <w:r>
        <w:rPr>
          <w:spacing w:val="-5"/>
          <w:sz w:val="20"/>
        </w:rPr>
        <w:t> </w:t>
      </w:r>
      <w:r>
        <w:rPr>
          <w:sz w:val="20"/>
        </w:rPr>
        <w:t>with</w:t>
      </w:r>
      <w:r>
        <w:rPr>
          <w:spacing w:val="-6"/>
          <w:sz w:val="20"/>
        </w:rPr>
        <w:t> </w:t>
      </w:r>
      <w:r>
        <w:rPr>
          <w:sz w:val="20"/>
        </w:rPr>
        <w:t>a</w:t>
      </w:r>
      <w:r>
        <w:rPr>
          <w:spacing w:val="-5"/>
          <w:sz w:val="20"/>
        </w:rPr>
        <w:t> </w:t>
      </w:r>
      <w:r>
        <w:rPr>
          <w:sz w:val="20"/>
        </w:rPr>
        <w:t>deliberating</w:t>
      </w:r>
      <w:r>
        <w:rPr>
          <w:spacing w:val="-5"/>
          <w:sz w:val="20"/>
        </w:rPr>
        <w:t> </w:t>
      </w:r>
      <w:r>
        <w:rPr>
          <w:sz w:val="20"/>
        </w:rPr>
        <w:t>juror</w:t>
      </w:r>
      <w:r>
        <w:rPr>
          <w:spacing w:val="-5"/>
          <w:sz w:val="20"/>
        </w:rPr>
        <w:t> </w:t>
      </w:r>
      <w:r>
        <w:rPr>
          <w:sz w:val="20"/>
        </w:rPr>
        <w:t>is:</w:t>
      </w:r>
    </w:p>
    <w:p>
      <w:pPr>
        <w:spacing w:line="208" w:lineRule="auto" w:before="122"/>
        <w:ind w:left="2157" w:right="1557" w:firstLine="0"/>
        <w:jc w:val="left"/>
        <w:rPr>
          <w:sz w:val="11"/>
        </w:rPr>
      </w:pPr>
      <w:r>
        <w:rPr>
          <w:sz w:val="19"/>
        </w:rPr>
        <w:t>Do you swear that you shall interpret well and truly between members of the jury, to the best of your ability during these deliberations, you shall not offer your own opinions or comments, nor speak to them in any manner, unless to convey the contents of the jurors’ deliberations, So help you God.</w:t>
      </w:r>
      <w:r>
        <w:rPr>
          <w:position w:val="6"/>
          <w:sz w:val="11"/>
        </w:rPr>
        <w:t>76</w:t>
      </w:r>
    </w:p>
    <w:p>
      <w:pPr>
        <w:pStyle w:val="ListParagraph"/>
        <w:numPr>
          <w:ilvl w:val="1"/>
          <w:numId w:val="12"/>
        </w:numPr>
        <w:tabs>
          <w:tab w:pos="1761" w:val="left" w:leader="none"/>
          <w:tab w:pos="1762" w:val="left" w:leader="none"/>
        </w:tabs>
        <w:spacing w:line="206" w:lineRule="auto" w:before="124" w:after="0"/>
        <w:ind w:left="1761" w:right="1688" w:hanging="794"/>
        <w:jc w:val="left"/>
        <w:rPr>
          <w:sz w:val="11"/>
        </w:rPr>
      </w:pPr>
      <w:r>
        <w:rPr>
          <w:sz w:val="20"/>
        </w:rPr>
        <w:t>In England and </w:t>
      </w:r>
      <w:r>
        <w:rPr>
          <w:spacing w:val="-3"/>
          <w:sz w:val="20"/>
        </w:rPr>
        <w:t>Wales, </w:t>
      </w:r>
      <w:r>
        <w:rPr>
          <w:sz w:val="20"/>
        </w:rPr>
        <w:t>BSL </w:t>
      </w:r>
      <w:r>
        <w:rPr>
          <w:spacing w:val="-3"/>
          <w:sz w:val="20"/>
        </w:rPr>
        <w:t>interpreters </w:t>
      </w:r>
      <w:r>
        <w:rPr>
          <w:sz w:val="20"/>
        </w:rPr>
        <w:t>who </w:t>
      </w:r>
      <w:r>
        <w:rPr>
          <w:spacing w:val="-3"/>
          <w:sz w:val="20"/>
        </w:rPr>
        <w:t>work </w:t>
      </w:r>
      <w:r>
        <w:rPr>
          <w:sz w:val="20"/>
        </w:rPr>
        <w:t>with jurors will be </w:t>
      </w:r>
      <w:r>
        <w:rPr>
          <w:spacing w:val="-3"/>
          <w:sz w:val="20"/>
        </w:rPr>
        <w:t>contractually </w:t>
      </w:r>
      <w:r>
        <w:rPr>
          <w:sz w:val="20"/>
        </w:rPr>
        <w:t>bound</w:t>
      </w:r>
      <w:r>
        <w:rPr>
          <w:spacing w:val="-14"/>
          <w:sz w:val="20"/>
        </w:rPr>
        <w:t> </w:t>
      </w:r>
      <w:r>
        <w:rPr>
          <w:sz w:val="20"/>
        </w:rPr>
        <w:t>to</w:t>
      </w:r>
      <w:r>
        <w:rPr>
          <w:spacing w:val="-14"/>
          <w:sz w:val="20"/>
        </w:rPr>
        <w:t> </w:t>
      </w:r>
      <w:r>
        <w:rPr>
          <w:sz w:val="20"/>
        </w:rPr>
        <w:t>a</w:t>
      </w:r>
      <w:r>
        <w:rPr>
          <w:spacing w:val="-14"/>
          <w:sz w:val="20"/>
        </w:rPr>
        <w:t> </w:t>
      </w:r>
      <w:r>
        <w:rPr>
          <w:sz w:val="20"/>
        </w:rPr>
        <w:t>confidentiality</w:t>
      </w:r>
      <w:r>
        <w:rPr>
          <w:spacing w:val="-14"/>
          <w:sz w:val="20"/>
        </w:rPr>
        <w:t> </w:t>
      </w:r>
      <w:r>
        <w:rPr>
          <w:sz w:val="20"/>
        </w:rPr>
        <w:t>agreement</w:t>
      </w:r>
      <w:r>
        <w:rPr>
          <w:spacing w:val="-14"/>
          <w:sz w:val="20"/>
        </w:rPr>
        <w:t> </w:t>
      </w:r>
      <w:r>
        <w:rPr>
          <w:sz w:val="20"/>
        </w:rPr>
        <w:t>which</w:t>
      </w:r>
      <w:r>
        <w:rPr>
          <w:spacing w:val="-14"/>
          <w:sz w:val="20"/>
        </w:rPr>
        <w:t> </w:t>
      </w:r>
      <w:r>
        <w:rPr>
          <w:sz w:val="20"/>
        </w:rPr>
        <w:t>will</w:t>
      </w:r>
      <w:r>
        <w:rPr>
          <w:spacing w:val="-14"/>
          <w:sz w:val="20"/>
        </w:rPr>
        <w:t> </w:t>
      </w:r>
      <w:r>
        <w:rPr>
          <w:sz w:val="20"/>
        </w:rPr>
        <w:t>stipulate</w:t>
      </w:r>
      <w:r>
        <w:rPr>
          <w:spacing w:val="-13"/>
          <w:sz w:val="20"/>
        </w:rPr>
        <w:t> </w:t>
      </w:r>
      <w:r>
        <w:rPr>
          <w:sz w:val="20"/>
        </w:rPr>
        <w:t>their</w:t>
      </w:r>
      <w:r>
        <w:rPr>
          <w:spacing w:val="-14"/>
          <w:sz w:val="20"/>
        </w:rPr>
        <w:t> </w:t>
      </w:r>
      <w:r>
        <w:rPr>
          <w:sz w:val="20"/>
        </w:rPr>
        <w:t>obligation</w:t>
      </w:r>
      <w:r>
        <w:rPr>
          <w:spacing w:val="-14"/>
          <w:sz w:val="20"/>
        </w:rPr>
        <w:t> </w:t>
      </w:r>
      <w:r>
        <w:rPr>
          <w:sz w:val="20"/>
        </w:rPr>
        <w:t>to</w:t>
      </w:r>
      <w:r>
        <w:rPr>
          <w:spacing w:val="-14"/>
          <w:sz w:val="20"/>
        </w:rPr>
        <w:t> </w:t>
      </w:r>
      <w:r>
        <w:rPr>
          <w:spacing w:val="-4"/>
          <w:sz w:val="20"/>
        </w:rPr>
        <w:t>always </w:t>
      </w:r>
      <w:r>
        <w:rPr>
          <w:sz w:val="20"/>
        </w:rPr>
        <w:t>remain</w:t>
      </w:r>
      <w:r>
        <w:rPr>
          <w:spacing w:val="-7"/>
          <w:sz w:val="20"/>
        </w:rPr>
        <w:t> </w:t>
      </w:r>
      <w:r>
        <w:rPr>
          <w:sz w:val="20"/>
        </w:rPr>
        <w:t>impartial</w:t>
      </w:r>
      <w:r>
        <w:rPr>
          <w:spacing w:val="-6"/>
          <w:sz w:val="20"/>
        </w:rPr>
        <w:t> </w:t>
      </w:r>
      <w:r>
        <w:rPr>
          <w:sz w:val="20"/>
        </w:rPr>
        <w:t>and</w:t>
      </w:r>
      <w:r>
        <w:rPr>
          <w:spacing w:val="-7"/>
          <w:sz w:val="20"/>
        </w:rPr>
        <w:t> </w:t>
      </w:r>
      <w:r>
        <w:rPr>
          <w:sz w:val="20"/>
        </w:rPr>
        <w:t>they</w:t>
      </w:r>
      <w:r>
        <w:rPr>
          <w:spacing w:val="-6"/>
          <w:sz w:val="20"/>
        </w:rPr>
        <w:t> </w:t>
      </w:r>
      <w:r>
        <w:rPr>
          <w:sz w:val="20"/>
        </w:rPr>
        <w:t>will</w:t>
      </w:r>
      <w:r>
        <w:rPr>
          <w:spacing w:val="-7"/>
          <w:sz w:val="20"/>
        </w:rPr>
        <w:t> </w:t>
      </w:r>
      <w:r>
        <w:rPr>
          <w:sz w:val="20"/>
        </w:rPr>
        <w:t>be</w:t>
      </w:r>
      <w:r>
        <w:rPr>
          <w:spacing w:val="-6"/>
          <w:sz w:val="20"/>
        </w:rPr>
        <w:t> </w:t>
      </w:r>
      <w:r>
        <w:rPr>
          <w:spacing w:val="-3"/>
          <w:sz w:val="20"/>
        </w:rPr>
        <w:t>required</w:t>
      </w:r>
      <w:r>
        <w:rPr>
          <w:spacing w:val="-6"/>
          <w:sz w:val="20"/>
        </w:rPr>
        <w:t> </w:t>
      </w:r>
      <w:r>
        <w:rPr>
          <w:sz w:val="20"/>
        </w:rPr>
        <w:t>to</w:t>
      </w:r>
      <w:r>
        <w:rPr>
          <w:spacing w:val="-7"/>
          <w:sz w:val="20"/>
        </w:rPr>
        <w:t> </w:t>
      </w:r>
      <w:r>
        <w:rPr>
          <w:spacing w:val="-3"/>
          <w:sz w:val="20"/>
        </w:rPr>
        <w:t>swear</w:t>
      </w:r>
      <w:r>
        <w:rPr>
          <w:spacing w:val="-6"/>
          <w:sz w:val="20"/>
        </w:rPr>
        <w:t> </w:t>
      </w:r>
      <w:r>
        <w:rPr>
          <w:sz w:val="20"/>
        </w:rPr>
        <w:t>an</w:t>
      </w:r>
      <w:r>
        <w:rPr>
          <w:spacing w:val="-7"/>
          <w:sz w:val="20"/>
        </w:rPr>
        <w:t> </w:t>
      </w:r>
      <w:r>
        <w:rPr>
          <w:sz w:val="20"/>
        </w:rPr>
        <w:t>oath</w:t>
      </w:r>
      <w:r>
        <w:rPr>
          <w:spacing w:val="-6"/>
          <w:sz w:val="20"/>
        </w:rPr>
        <w:t> </w:t>
      </w:r>
      <w:r>
        <w:rPr>
          <w:sz w:val="20"/>
        </w:rPr>
        <w:t>to</w:t>
      </w:r>
      <w:r>
        <w:rPr>
          <w:spacing w:val="-7"/>
          <w:sz w:val="20"/>
        </w:rPr>
        <w:t> </w:t>
      </w:r>
      <w:r>
        <w:rPr>
          <w:sz w:val="20"/>
        </w:rPr>
        <w:t>that</w:t>
      </w:r>
      <w:r>
        <w:rPr>
          <w:spacing w:val="-6"/>
          <w:sz w:val="20"/>
        </w:rPr>
        <w:t> </w:t>
      </w:r>
      <w:r>
        <w:rPr>
          <w:sz w:val="20"/>
        </w:rPr>
        <w:t>effect.</w:t>
      </w:r>
      <w:r>
        <w:rPr>
          <w:position w:val="7"/>
          <w:sz w:val="11"/>
        </w:rPr>
        <w:t>77</w:t>
      </w:r>
    </w:p>
    <w:p>
      <w:pPr>
        <w:pStyle w:val="ListParagraph"/>
        <w:numPr>
          <w:ilvl w:val="1"/>
          <w:numId w:val="12"/>
        </w:numPr>
        <w:tabs>
          <w:tab w:pos="1761" w:val="left" w:leader="none"/>
          <w:tab w:pos="1762" w:val="left" w:leader="none"/>
        </w:tabs>
        <w:spacing w:line="206" w:lineRule="auto" w:before="124" w:after="0"/>
        <w:ind w:left="1761" w:right="1212" w:hanging="794"/>
        <w:jc w:val="left"/>
        <w:rPr>
          <w:sz w:val="20"/>
        </w:rPr>
      </w:pPr>
      <w:r>
        <w:rPr>
          <w:sz w:val="20"/>
        </w:rPr>
        <w:t>The </w:t>
      </w:r>
      <w:r>
        <w:rPr>
          <w:spacing w:val="-3"/>
          <w:sz w:val="20"/>
        </w:rPr>
        <w:t>wording </w:t>
      </w:r>
      <w:r>
        <w:rPr>
          <w:sz w:val="20"/>
        </w:rPr>
        <w:t>of the legislation in either the </w:t>
      </w:r>
      <w:r>
        <w:rPr>
          <w:spacing w:val="-4"/>
          <w:sz w:val="20"/>
        </w:rPr>
        <w:t>ACT </w:t>
      </w:r>
      <w:r>
        <w:rPr>
          <w:sz w:val="20"/>
        </w:rPr>
        <w:t>or the United States, or a combination of</w:t>
      </w:r>
      <w:r>
        <w:rPr>
          <w:spacing w:val="-8"/>
          <w:sz w:val="20"/>
        </w:rPr>
        <w:t> </w:t>
      </w:r>
      <w:r>
        <w:rPr>
          <w:sz w:val="20"/>
        </w:rPr>
        <w:t>both,</w:t>
      </w:r>
      <w:r>
        <w:rPr>
          <w:spacing w:val="-7"/>
          <w:sz w:val="20"/>
        </w:rPr>
        <w:t> </w:t>
      </w:r>
      <w:r>
        <w:rPr>
          <w:spacing w:val="-3"/>
          <w:sz w:val="20"/>
        </w:rPr>
        <w:t>would</w:t>
      </w:r>
      <w:r>
        <w:rPr>
          <w:spacing w:val="-8"/>
          <w:sz w:val="20"/>
        </w:rPr>
        <w:t> </w:t>
      </w:r>
      <w:r>
        <w:rPr>
          <w:sz w:val="20"/>
        </w:rPr>
        <w:t>be</w:t>
      </w:r>
      <w:r>
        <w:rPr>
          <w:spacing w:val="-7"/>
          <w:sz w:val="20"/>
        </w:rPr>
        <w:t> </w:t>
      </w:r>
      <w:r>
        <w:rPr>
          <w:spacing w:val="-3"/>
          <w:sz w:val="20"/>
        </w:rPr>
        <w:t>appropriate</w:t>
      </w:r>
      <w:r>
        <w:rPr>
          <w:spacing w:val="-7"/>
          <w:sz w:val="20"/>
        </w:rPr>
        <w:t> </w:t>
      </w:r>
      <w:r>
        <w:rPr>
          <w:sz w:val="20"/>
        </w:rPr>
        <w:t>for</w:t>
      </w:r>
      <w:r>
        <w:rPr>
          <w:spacing w:val="-8"/>
          <w:sz w:val="20"/>
        </w:rPr>
        <w:t> </w:t>
      </w:r>
      <w:r>
        <w:rPr>
          <w:sz w:val="20"/>
        </w:rPr>
        <w:t>Victoria.</w:t>
      </w:r>
      <w:r>
        <w:rPr>
          <w:spacing w:val="-7"/>
          <w:sz w:val="20"/>
        </w:rPr>
        <w:t> </w:t>
      </w:r>
      <w:r>
        <w:rPr>
          <w:sz w:val="20"/>
        </w:rPr>
        <w:t>In</w:t>
      </w:r>
      <w:r>
        <w:rPr>
          <w:spacing w:val="-7"/>
          <w:sz w:val="20"/>
        </w:rPr>
        <w:t> </w:t>
      </w:r>
      <w:r>
        <w:rPr>
          <w:sz w:val="20"/>
        </w:rPr>
        <w:t>the</w:t>
      </w:r>
      <w:r>
        <w:rPr>
          <w:spacing w:val="-8"/>
          <w:sz w:val="20"/>
        </w:rPr>
        <w:t> ACT,</w:t>
      </w:r>
      <w:r>
        <w:rPr>
          <w:spacing w:val="-7"/>
          <w:sz w:val="20"/>
        </w:rPr>
        <w:t> </w:t>
      </w:r>
      <w:r>
        <w:rPr>
          <w:sz w:val="20"/>
        </w:rPr>
        <w:t>the</w:t>
      </w:r>
      <w:r>
        <w:rPr>
          <w:spacing w:val="-7"/>
          <w:sz w:val="20"/>
        </w:rPr>
        <w:t> </w:t>
      </w:r>
      <w:r>
        <w:rPr>
          <w:spacing w:val="-3"/>
          <w:sz w:val="20"/>
        </w:rPr>
        <w:t>oaths/affirmations</w:t>
      </w:r>
      <w:r>
        <w:rPr>
          <w:spacing w:val="-8"/>
          <w:sz w:val="20"/>
        </w:rPr>
        <w:t> </w:t>
      </w:r>
      <w:r>
        <w:rPr>
          <w:spacing w:val="-3"/>
          <w:sz w:val="20"/>
        </w:rPr>
        <w:t>require</w:t>
      </w:r>
      <w:r>
        <w:rPr>
          <w:spacing w:val="-7"/>
          <w:sz w:val="20"/>
        </w:rPr>
        <w:t> </w:t>
      </w:r>
      <w:r>
        <w:rPr>
          <w:sz w:val="20"/>
        </w:rPr>
        <w:t>that an undertaking be given to the court</w:t>
      </w:r>
      <w:r>
        <w:rPr>
          <w:spacing w:val="-31"/>
          <w:sz w:val="20"/>
        </w:rPr>
        <w:t> </w:t>
      </w:r>
      <w:r>
        <w:rPr>
          <w:spacing w:val="-3"/>
          <w:sz w:val="20"/>
        </w:rPr>
        <w:t>to:</w:t>
      </w:r>
    </w:p>
    <w:p>
      <w:pPr>
        <w:spacing w:line="208" w:lineRule="auto" w:before="121"/>
        <w:ind w:left="2157" w:right="1413" w:firstLine="0"/>
        <w:jc w:val="left"/>
        <w:rPr>
          <w:sz w:val="11"/>
        </w:rPr>
      </w:pPr>
      <w:r>
        <w:rPr>
          <w:sz w:val="19"/>
        </w:rPr>
        <w:t>well and truly interpret the proceedings and the jury’s deliberations and that I will not otherwise participate in the jury’s deliberations or disclose anything about those deliberations, except as allowed or required by law.</w:t>
      </w:r>
      <w:r>
        <w:rPr>
          <w:position w:val="6"/>
          <w:sz w:val="11"/>
        </w:rPr>
        <w:t>78</w:t>
      </w:r>
    </w:p>
    <w:p>
      <w:pPr>
        <w:pStyle w:val="ListParagraph"/>
        <w:numPr>
          <w:ilvl w:val="1"/>
          <w:numId w:val="12"/>
        </w:numPr>
        <w:tabs>
          <w:tab w:pos="1761" w:val="left" w:leader="none"/>
          <w:tab w:pos="1762" w:val="left" w:leader="none"/>
        </w:tabs>
        <w:spacing w:line="206" w:lineRule="auto" w:before="124" w:after="0"/>
        <w:ind w:left="1761" w:right="1283" w:hanging="794"/>
        <w:jc w:val="left"/>
        <w:rPr>
          <w:sz w:val="20"/>
        </w:rPr>
      </w:pPr>
      <w:r>
        <w:rPr>
          <w:sz w:val="20"/>
        </w:rPr>
        <w:t>The oath in the </w:t>
      </w:r>
      <w:r>
        <w:rPr>
          <w:spacing w:val="-4"/>
          <w:sz w:val="20"/>
        </w:rPr>
        <w:t>ACT </w:t>
      </w:r>
      <w:r>
        <w:rPr>
          <w:sz w:val="20"/>
        </w:rPr>
        <w:t>encompasses </w:t>
      </w:r>
      <w:r>
        <w:rPr>
          <w:spacing w:val="-3"/>
          <w:sz w:val="20"/>
        </w:rPr>
        <w:t>‘proceedings’ </w:t>
      </w:r>
      <w:r>
        <w:rPr>
          <w:sz w:val="20"/>
        </w:rPr>
        <w:t>and </w:t>
      </w:r>
      <w:r>
        <w:rPr>
          <w:spacing w:val="-2"/>
          <w:sz w:val="20"/>
        </w:rPr>
        <w:t>‘deliberations’. </w:t>
      </w:r>
      <w:r>
        <w:rPr>
          <w:sz w:val="20"/>
        </w:rPr>
        <w:t>The Commission recommends that one oath is made </w:t>
      </w:r>
      <w:r>
        <w:rPr>
          <w:spacing w:val="-3"/>
          <w:sz w:val="20"/>
        </w:rPr>
        <w:t>early </w:t>
      </w:r>
      <w:r>
        <w:rPr>
          <w:sz w:val="20"/>
        </w:rPr>
        <w:t>on in the jury selection process and is the subject</w:t>
      </w:r>
      <w:r>
        <w:rPr>
          <w:spacing w:val="-10"/>
          <w:sz w:val="20"/>
        </w:rPr>
        <w:t> </w:t>
      </w:r>
      <w:r>
        <w:rPr>
          <w:sz w:val="20"/>
        </w:rPr>
        <w:t>of</w:t>
      </w:r>
      <w:r>
        <w:rPr>
          <w:spacing w:val="-10"/>
          <w:sz w:val="20"/>
        </w:rPr>
        <w:t> </w:t>
      </w:r>
      <w:r>
        <w:rPr>
          <w:sz w:val="20"/>
        </w:rPr>
        <w:t>reminders</w:t>
      </w:r>
      <w:r>
        <w:rPr>
          <w:spacing w:val="-10"/>
          <w:sz w:val="20"/>
        </w:rPr>
        <w:t> </w:t>
      </w:r>
      <w:r>
        <w:rPr>
          <w:sz w:val="20"/>
        </w:rPr>
        <w:t>at</w:t>
      </w:r>
      <w:r>
        <w:rPr>
          <w:spacing w:val="-10"/>
          <w:sz w:val="20"/>
        </w:rPr>
        <w:t> </w:t>
      </w:r>
      <w:r>
        <w:rPr>
          <w:sz w:val="20"/>
        </w:rPr>
        <w:t>various</w:t>
      </w:r>
      <w:r>
        <w:rPr>
          <w:spacing w:val="-10"/>
          <w:sz w:val="20"/>
        </w:rPr>
        <w:t> </w:t>
      </w:r>
      <w:r>
        <w:rPr>
          <w:sz w:val="20"/>
        </w:rPr>
        <w:t>later</w:t>
      </w:r>
      <w:r>
        <w:rPr>
          <w:spacing w:val="-9"/>
          <w:sz w:val="20"/>
        </w:rPr>
        <w:t> </w:t>
      </w:r>
      <w:r>
        <w:rPr>
          <w:sz w:val="20"/>
        </w:rPr>
        <w:t>stages</w:t>
      </w:r>
      <w:r>
        <w:rPr>
          <w:spacing w:val="-10"/>
          <w:sz w:val="20"/>
        </w:rPr>
        <w:t> </w:t>
      </w:r>
      <w:r>
        <w:rPr>
          <w:sz w:val="20"/>
        </w:rPr>
        <w:t>in</w:t>
      </w:r>
      <w:r>
        <w:rPr>
          <w:spacing w:val="-10"/>
          <w:sz w:val="20"/>
        </w:rPr>
        <w:t> </w:t>
      </w:r>
      <w:r>
        <w:rPr>
          <w:sz w:val="20"/>
        </w:rPr>
        <w:t>the</w:t>
      </w:r>
      <w:r>
        <w:rPr>
          <w:spacing w:val="-10"/>
          <w:sz w:val="20"/>
        </w:rPr>
        <w:t> </w:t>
      </w:r>
      <w:r>
        <w:rPr>
          <w:sz w:val="20"/>
        </w:rPr>
        <w:t>process.</w:t>
      </w:r>
      <w:r>
        <w:rPr>
          <w:spacing w:val="-10"/>
          <w:sz w:val="20"/>
        </w:rPr>
        <w:t> </w:t>
      </w:r>
      <w:r>
        <w:rPr>
          <w:sz w:val="20"/>
        </w:rPr>
        <w:t>If</w:t>
      </w:r>
      <w:r>
        <w:rPr>
          <w:spacing w:val="-10"/>
          <w:sz w:val="20"/>
        </w:rPr>
        <w:t> </w:t>
      </w:r>
      <w:r>
        <w:rPr>
          <w:spacing w:val="-3"/>
          <w:sz w:val="20"/>
        </w:rPr>
        <w:t>any</w:t>
      </w:r>
      <w:r>
        <w:rPr>
          <w:spacing w:val="-9"/>
          <w:sz w:val="20"/>
        </w:rPr>
        <w:t> </w:t>
      </w:r>
      <w:r>
        <w:rPr>
          <w:sz w:val="20"/>
        </w:rPr>
        <w:t>additional</w:t>
      </w:r>
      <w:r>
        <w:rPr>
          <w:spacing w:val="-10"/>
          <w:sz w:val="20"/>
        </w:rPr>
        <w:t> </w:t>
      </w:r>
      <w:r>
        <w:rPr>
          <w:spacing w:val="-3"/>
          <w:sz w:val="20"/>
        </w:rPr>
        <w:t>interpreters are</w:t>
      </w:r>
      <w:r>
        <w:rPr>
          <w:spacing w:val="-6"/>
          <w:sz w:val="20"/>
        </w:rPr>
        <w:t> </w:t>
      </w:r>
      <w:r>
        <w:rPr>
          <w:spacing w:val="-4"/>
          <w:sz w:val="20"/>
        </w:rPr>
        <w:t>involved</w:t>
      </w:r>
      <w:r>
        <w:rPr>
          <w:spacing w:val="-6"/>
          <w:sz w:val="20"/>
        </w:rPr>
        <w:t> </w:t>
      </w:r>
      <w:r>
        <w:rPr>
          <w:sz w:val="20"/>
        </w:rPr>
        <w:t>in</w:t>
      </w:r>
      <w:r>
        <w:rPr>
          <w:spacing w:val="-5"/>
          <w:sz w:val="20"/>
        </w:rPr>
        <w:t> </w:t>
      </w:r>
      <w:r>
        <w:rPr>
          <w:sz w:val="20"/>
        </w:rPr>
        <w:t>proceedings</w:t>
      </w:r>
      <w:r>
        <w:rPr>
          <w:spacing w:val="-6"/>
          <w:sz w:val="20"/>
        </w:rPr>
        <w:t> </w:t>
      </w:r>
      <w:r>
        <w:rPr>
          <w:sz w:val="20"/>
        </w:rPr>
        <w:t>later</w:t>
      </w:r>
      <w:r>
        <w:rPr>
          <w:spacing w:val="-5"/>
          <w:sz w:val="20"/>
        </w:rPr>
        <w:t> </w:t>
      </w:r>
      <w:r>
        <w:rPr>
          <w:sz w:val="20"/>
        </w:rPr>
        <w:t>on,</w:t>
      </w:r>
      <w:r>
        <w:rPr>
          <w:spacing w:val="-6"/>
          <w:sz w:val="20"/>
        </w:rPr>
        <w:t> </w:t>
      </w:r>
      <w:r>
        <w:rPr>
          <w:sz w:val="20"/>
        </w:rPr>
        <w:t>they</w:t>
      </w:r>
      <w:r>
        <w:rPr>
          <w:spacing w:val="-5"/>
          <w:sz w:val="20"/>
        </w:rPr>
        <w:t> </w:t>
      </w:r>
      <w:r>
        <w:rPr>
          <w:sz w:val="20"/>
        </w:rPr>
        <w:t>can</w:t>
      </w:r>
      <w:r>
        <w:rPr>
          <w:spacing w:val="-6"/>
          <w:sz w:val="20"/>
        </w:rPr>
        <w:t> </w:t>
      </w:r>
      <w:r>
        <w:rPr>
          <w:sz w:val="20"/>
        </w:rPr>
        <w:t>be</w:t>
      </w:r>
      <w:r>
        <w:rPr>
          <w:spacing w:val="-5"/>
          <w:sz w:val="20"/>
        </w:rPr>
        <w:t> </w:t>
      </w:r>
      <w:r>
        <w:rPr>
          <w:spacing w:val="-3"/>
          <w:sz w:val="20"/>
        </w:rPr>
        <w:t>sworn</w:t>
      </w:r>
      <w:r>
        <w:rPr>
          <w:spacing w:val="-6"/>
          <w:sz w:val="20"/>
        </w:rPr>
        <w:t> </w:t>
      </w:r>
      <w:r>
        <w:rPr>
          <w:sz w:val="20"/>
        </w:rPr>
        <w:t>in</w:t>
      </w:r>
      <w:r>
        <w:rPr>
          <w:spacing w:val="-5"/>
          <w:sz w:val="20"/>
        </w:rPr>
        <w:t> </w:t>
      </w:r>
      <w:r>
        <w:rPr>
          <w:sz w:val="20"/>
        </w:rPr>
        <w:t>when</w:t>
      </w:r>
      <w:r>
        <w:rPr>
          <w:spacing w:val="-6"/>
          <w:sz w:val="20"/>
        </w:rPr>
        <w:t> </w:t>
      </w:r>
      <w:r>
        <w:rPr>
          <w:sz w:val="20"/>
        </w:rPr>
        <w:t>they</w:t>
      </w:r>
      <w:r>
        <w:rPr>
          <w:spacing w:val="-5"/>
          <w:sz w:val="20"/>
        </w:rPr>
        <w:t> </w:t>
      </w:r>
      <w:r>
        <w:rPr>
          <w:sz w:val="20"/>
        </w:rPr>
        <w:t>start.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1"/>
        </w:rPr>
      </w:pPr>
      <w:r>
        <w:rPr/>
        <w:pict>
          <v:line style="position:absolute;mso-position-horizontal-relative:page;mso-position-vertical-relative:paragraph;z-index:8576;mso-wrap-distance-left:0;mso-wrap-distance-right:0" from="79.370102pt,10.17834pt" to="515.905102pt,10.17834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99"/>
        </w:numPr>
        <w:tabs>
          <w:tab w:pos="1761" w:val="left" w:leader="none"/>
          <w:tab w:pos="1762" w:val="left" w:leader="none"/>
        </w:tabs>
        <w:spacing w:line="170" w:lineRule="exact" w:before="21" w:after="0"/>
        <w:ind w:left="1761" w:right="0" w:hanging="794"/>
        <w:jc w:val="left"/>
        <w:rPr>
          <w:sz w:val="13"/>
        </w:rPr>
      </w:pPr>
      <w:r>
        <w:rPr>
          <w:sz w:val="13"/>
        </w:rPr>
        <w:t>Consultation 6 (Deaf Victoria and community</w:t>
      </w:r>
      <w:r>
        <w:rPr>
          <w:spacing w:val="3"/>
          <w:sz w:val="13"/>
        </w:rPr>
        <w:t> </w:t>
      </w:r>
      <w:r>
        <w:rPr>
          <w:sz w:val="13"/>
        </w:rPr>
        <w:t>participants).</w:t>
      </w:r>
    </w:p>
    <w:p>
      <w:pPr>
        <w:pStyle w:val="ListParagraph"/>
        <w:numPr>
          <w:ilvl w:val="0"/>
          <w:numId w:val="99"/>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pStyle w:val="ListParagraph"/>
        <w:numPr>
          <w:ilvl w:val="0"/>
          <w:numId w:val="99"/>
        </w:numPr>
        <w:tabs>
          <w:tab w:pos="1760" w:val="left" w:leader="none"/>
          <w:tab w:pos="1762" w:val="left" w:leader="none"/>
        </w:tabs>
        <w:spacing w:line="160" w:lineRule="exact" w:before="0" w:after="0"/>
        <w:ind w:left="1761" w:right="0" w:hanging="794"/>
        <w:jc w:val="left"/>
        <w:rPr>
          <w:sz w:val="13"/>
        </w:rPr>
      </w:pPr>
      <w:r>
        <w:rPr>
          <w:sz w:val="13"/>
        </w:rPr>
        <w:t>Consultation 25 (Peter Ward, Partner, Galbally and </w:t>
      </w:r>
      <w:r>
        <w:rPr>
          <w:spacing w:val="2"/>
          <w:sz w:val="13"/>
        </w:rPr>
        <w:t>O’Bryan</w:t>
      </w:r>
      <w:r>
        <w:rPr>
          <w:spacing w:val="4"/>
          <w:sz w:val="13"/>
        </w:rPr>
        <w:t> </w:t>
      </w:r>
      <w:r>
        <w:rPr>
          <w:sz w:val="13"/>
        </w:rPr>
        <w:t>Lawyers).</w:t>
      </w:r>
    </w:p>
    <w:p>
      <w:pPr>
        <w:pStyle w:val="ListParagraph"/>
        <w:numPr>
          <w:ilvl w:val="0"/>
          <w:numId w:val="99"/>
        </w:numPr>
        <w:tabs>
          <w:tab w:pos="1760" w:val="left" w:leader="none"/>
          <w:tab w:pos="1762" w:val="left" w:leader="none"/>
        </w:tabs>
        <w:spacing w:line="213" w:lineRule="auto" w:before="7" w:after="0"/>
        <w:ind w:left="1761" w:right="0" w:hanging="794"/>
        <w:jc w:val="left"/>
        <w:rPr>
          <w:sz w:val="13"/>
        </w:rPr>
      </w:pPr>
      <w:r>
        <w:rPr>
          <w:sz w:val="13"/>
        </w:rPr>
        <w:t>Consultations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 States), 15 (Representatives of High </w:t>
      </w:r>
      <w:r>
        <w:rPr>
          <w:spacing w:val="2"/>
          <w:sz w:val="13"/>
        </w:rPr>
        <w:t>Court </w:t>
      </w:r>
      <w:r>
        <w:rPr>
          <w:sz w:val="13"/>
        </w:rPr>
        <w:t>and </w:t>
      </w:r>
      <w:r>
        <w:rPr>
          <w:spacing w:val="2"/>
          <w:sz w:val="13"/>
        </w:rPr>
        <w:t>District Courts </w:t>
      </w:r>
      <w:r>
        <w:rPr>
          <w:sz w:val="13"/>
        </w:rPr>
        <w:t>of New</w:t>
      </w:r>
      <w:r>
        <w:rPr>
          <w:spacing w:val="-5"/>
          <w:sz w:val="13"/>
        </w:rPr>
        <w:t> </w:t>
      </w:r>
      <w:r>
        <w:rPr>
          <w:sz w:val="13"/>
        </w:rPr>
        <w:t>Zealand).</w:t>
      </w:r>
    </w:p>
    <w:p>
      <w:pPr>
        <w:pStyle w:val="ListParagraph"/>
        <w:numPr>
          <w:ilvl w:val="0"/>
          <w:numId w:val="99"/>
        </w:numPr>
        <w:tabs>
          <w:tab w:pos="1761" w:val="left" w:leader="none"/>
          <w:tab w:pos="1762" w:val="left" w:leader="none"/>
        </w:tabs>
        <w:spacing w:line="213" w:lineRule="auto" w:before="0" w:after="0"/>
        <w:ind w:left="1761" w:right="9" w:hanging="794"/>
        <w:jc w:val="left"/>
        <w:rPr>
          <w:sz w:val="13"/>
        </w:rPr>
      </w:pP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 States). In Chapter 10 we noted that an </w:t>
      </w:r>
      <w:r>
        <w:rPr>
          <w:spacing w:val="2"/>
          <w:sz w:val="13"/>
        </w:rPr>
        <w:t>American </w:t>
      </w:r>
      <w:r>
        <w:rPr>
          <w:sz w:val="13"/>
        </w:rPr>
        <w:t>Sign </w:t>
      </w:r>
      <w:r>
        <w:rPr>
          <w:spacing w:val="2"/>
          <w:sz w:val="13"/>
        </w:rPr>
        <w:t>Language </w:t>
      </w:r>
      <w:r>
        <w:rPr>
          <w:sz w:val="13"/>
        </w:rPr>
        <w:t>interpreter provides an oath or affirmation when they </w:t>
      </w:r>
      <w:r>
        <w:rPr>
          <w:spacing w:val="2"/>
          <w:sz w:val="13"/>
        </w:rPr>
        <w:t>start </w:t>
      </w:r>
      <w:r>
        <w:rPr>
          <w:sz w:val="13"/>
        </w:rPr>
        <w:t>interpreting in the courtroom. The   staff interpreter does not have to be sworn every time they</w:t>
      </w:r>
      <w:r>
        <w:rPr>
          <w:spacing w:val="5"/>
          <w:sz w:val="13"/>
        </w:rPr>
        <w:t> </w:t>
      </w:r>
      <w:r>
        <w:rPr>
          <w:sz w:val="13"/>
        </w:rPr>
        <w:t>interpret.</w:t>
      </w:r>
    </w:p>
    <w:p>
      <w:pPr>
        <w:pStyle w:val="ListParagraph"/>
        <w:numPr>
          <w:ilvl w:val="0"/>
          <w:numId w:val="99"/>
        </w:numPr>
        <w:tabs>
          <w:tab w:pos="1760" w:val="left" w:leader="none"/>
          <w:tab w:pos="1762" w:val="left" w:leader="none"/>
        </w:tabs>
        <w:spacing w:line="152" w:lineRule="exact" w:before="0" w:after="0"/>
        <w:ind w:left="1761" w:right="0" w:hanging="794"/>
        <w:jc w:val="left"/>
        <w:rPr>
          <w:sz w:val="13"/>
        </w:rPr>
      </w:pPr>
      <w:r>
        <w:rPr>
          <w:sz w:val="13"/>
        </w:rPr>
        <w:t>Information</w:t>
      </w:r>
      <w:r>
        <w:rPr>
          <w:spacing w:val="5"/>
          <w:sz w:val="13"/>
        </w:rPr>
        <w:t> </w:t>
      </w:r>
      <w:r>
        <w:rPr>
          <w:sz w:val="13"/>
        </w:rPr>
        <w:t>provided</w:t>
      </w:r>
      <w:r>
        <w:rPr>
          <w:spacing w:val="6"/>
          <w:sz w:val="13"/>
        </w:rPr>
        <w:t> </w:t>
      </w:r>
      <w:r>
        <w:rPr>
          <w:sz w:val="13"/>
        </w:rPr>
        <w:t>by</w:t>
      </w:r>
      <w:r>
        <w:rPr>
          <w:spacing w:val="6"/>
          <w:sz w:val="13"/>
        </w:rPr>
        <w:t> </w:t>
      </w:r>
      <w:r>
        <w:rPr>
          <w:sz w:val="13"/>
        </w:rPr>
        <w:t>Her</w:t>
      </w:r>
      <w:r>
        <w:rPr>
          <w:spacing w:val="5"/>
          <w:sz w:val="13"/>
        </w:rPr>
        <w:t> </w:t>
      </w:r>
      <w:r>
        <w:rPr>
          <w:sz w:val="13"/>
        </w:rPr>
        <w:t>Majesty’s</w:t>
      </w:r>
      <w:r>
        <w:rPr>
          <w:spacing w:val="6"/>
          <w:sz w:val="13"/>
        </w:rPr>
        <w:t> </w:t>
      </w:r>
      <w:r>
        <w:rPr>
          <w:spacing w:val="2"/>
          <w:sz w:val="13"/>
        </w:rPr>
        <w:t>Courts</w:t>
      </w:r>
      <w:r>
        <w:rPr>
          <w:spacing w:val="6"/>
          <w:sz w:val="13"/>
        </w:rPr>
        <w:t> </w:t>
      </w:r>
      <w:r>
        <w:rPr>
          <w:sz w:val="13"/>
        </w:rPr>
        <w:t>and</w:t>
      </w:r>
      <w:r>
        <w:rPr>
          <w:spacing w:val="5"/>
          <w:sz w:val="13"/>
        </w:rPr>
        <w:t> </w:t>
      </w:r>
      <w:r>
        <w:rPr>
          <w:sz w:val="13"/>
        </w:rPr>
        <w:t>Tribunals</w:t>
      </w:r>
      <w:r>
        <w:rPr>
          <w:spacing w:val="6"/>
          <w:sz w:val="13"/>
        </w:rPr>
        <w:t> </w:t>
      </w:r>
      <w:r>
        <w:rPr>
          <w:spacing w:val="2"/>
          <w:sz w:val="13"/>
        </w:rPr>
        <w:t>Service</w:t>
      </w:r>
      <w:r>
        <w:rPr>
          <w:spacing w:val="6"/>
          <w:sz w:val="13"/>
        </w:rPr>
        <w:t> </w:t>
      </w:r>
      <w:r>
        <w:rPr>
          <w:sz w:val="13"/>
        </w:rPr>
        <w:t>to</w:t>
      </w:r>
      <w:r>
        <w:rPr>
          <w:spacing w:val="6"/>
          <w:sz w:val="13"/>
        </w:rPr>
        <w:t> </w:t>
      </w:r>
      <w:r>
        <w:rPr>
          <w:sz w:val="13"/>
        </w:rPr>
        <w:t>Victorian</w:t>
      </w:r>
      <w:r>
        <w:rPr>
          <w:spacing w:val="5"/>
          <w:sz w:val="13"/>
        </w:rPr>
        <w:t> </w:t>
      </w:r>
      <w:r>
        <w:rPr>
          <w:sz w:val="13"/>
        </w:rPr>
        <w:t>Law</w:t>
      </w:r>
      <w:r>
        <w:rPr>
          <w:spacing w:val="6"/>
          <w:sz w:val="13"/>
        </w:rPr>
        <w:t> </w:t>
      </w:r>
      <w:r>
        <w:rPr>
          <w:sz w:val="13"/>
        </w:rPr>
        <w:t>Reform</w:t>
      </w:r>
      <w:r>
        <w:rPr>
          <w:spacing w:val="6"/>
          <w:sz w:val="13"/>
        </w:rPr>
        <w:t> </w:t>
      </w:r>
      <w:r>
        <w:rPr>
          <w:spacing w:val="2"/>
          <w:sz w:val="13"/>
        </w:rPr>
        <w:t>Commission,</w:t>
      </w:r>
      <w:r>
        <w:rPr>
          <w:spacing w:val="5"/>
          <w:sz w:val="13"/>
        </w:rPr>
        <w:t> </w:t>
      </w:r>
      <w:r>
        <w:rPr>
          <w:sz w:val="13"/>
        </w:rPr>
        <w:t>2</w:t>
      </w:r>
      <w:r>
        <w:rPr>
          <w:spacing w:val="6"/>
          <w:sz w:val="13"/>
        </w:rPr>
        <w:t> </w:t>
      </w:r>
      <w:r>
        <w:rPr>
          <w:sz w:val="13"/>
        </w:rPr>
        <w:t>September</w:t>
      </w:r>
      <w:r>
        <w:rPr>
          <w:spacing w:val="6"/>
          <w:sz w:val="13"/>
        </w:rPr>
        <w:t> </w:t>
      </w:r>
      <w:r>
        <w:rPr>
          <w:sz w:val="13"/>
        </w:rPr>
        <w:t>2021.</w:t>
      </w:r>
    </w:p>
    <w:p>
      <w:pPr>
        <w:pStyle w:val="ListParagraph"/>
        <w:numPr>
          <w:ilvl w:val="0"/>
          <w:numId w:val="99"/>
        </w:numPr>
        <w:tabs>
          <w:tab w:pos="1761" w:val="left" w:leader="none"/>
          <w:tab w:pos="1762" w:val="left" w:leader="none"/>
        </w:tabs>
        <w:spacing w:line="170" w:lineRule="exact" w:before="0" w:after="0"/>
        <w:ind w:left="1761" w:right="0" w:hanging="794"/>
        <w:jc w:val="left"/>
        <w:rPr>
          <w:sz w:val="13"/>
        </w:rPr>
      </w:pPr>
      <w:r>
        <w:rPr>
          <w:i/>
          <w:sz w:val="13"/>
        </w:rPr>
        <w:t>Juries Act 1967 </w:t>
      </w:r>
      <w:r>
        <w:rPr>
          <w:sz w:val="13"/>
        </w:rPr>
        <w:t>(ACT) sch 1 pt</w:t>
      </w:r>
      <w:r>
        <w:rPr>
          <w:spacing w:val="1"/>
          <w:sz w:val="13"/>
        </w:rPr>
        <w:t> </w:t>
      </w:r>
      <w:r>
        <w:rPr>
          <w:spacing w:val="4"/>
          <w:sz w:val="13"/>
        </w:rPr>
        <w:t>1.1A.</w:t>
      </w:r>
    </w:p>
    <w:p>
      <w:pPr>
        <w:pStyle w:val="BodyText"/>
        <w:rPr>
          <w:sz w:val="28"/>
        </w:rPr>
      </w:pPr>
      <w:r>
        <w:rPr/>
        <w:br w:type="column"/>
      </w:r>
      <w:r>
        <w:rPr>
          <w:sz w:val="28"/>
        </w:rPr>
      </w:r>
    </w:p>
    <w:p>
      <w:pPr>
        <w:pStyle w:val="BodyText"/>
        <w:rPr>
          <w:sz w:val="28"/>
        </w:rPr>
      </w:pPr>
    </w:p>
    <w:p>
      <w:pPr>
        <w:pStyle w:val="BodyText"/>
        <w:spacing w:before="2"/>
        <w:rPr>
          <w:sz w:val="40"/>
        </w:rPr>
      </w:pPr>
    </w:p>
    <w:p>
      <w:pPr>
        <w:spacing w:before="0"/>
        <w:ind w:left="593" w:right="0" w:firstLine="0"/>
        <w:jc w:val="left"/>
        <w:rPr>
          <w:b/>
          <w:sz w:val="24"/>
        </w:rPr>
      </w:pPr>
      <w:r>
        <w:rPr>
          <w:b/>
          <w:color w:val="37617A"/>
          <w:sz w:val="24"/>
        </w:rPr>
        <w:t>165</w:t>
      </w:r>
    </w:p>
    <w:p>
      <w:pPr>
        <w:spacing w:after="0"/>
        <w:jc w:val="left"/>
        <w:rPr>
          <w:sz w:val="24"/>
        </w:rPr>
        <w:sectPr>
          <w:type w:val="continuous"/>
          <w:pgSz w:w="11910" w:h="16840"/>
          <w:pgMar w:top="620" w:bottom="280" w:left="620" w:right="380"/>
          <w:cols w:num="2" w:equalWidth="0">
            <w:col w:w="9662" w:space="40"/>
            <w:col w:w="1208"/>
          </w:cols>
        </w:sectPr>
      </w:pPr>
    </w:p>
    <w:p>
      <w:pPr>
        <w:pStyle w:val="BodyText"/>
        <w:rPr>
          <w:b/>
        </w:rPr>
      </w:pPr>
    </w:p>
    <w:p>
      <w:pPr>
        <w:pStyle w:val="BodyText"/>
        <w:rPr>
          <w:b/>
        </w:rPr>
      </w:pPr>
    </w:p>
    <w:p>
      <w:pPr>
        <w:pStyle w:val="BodyText"/>
        <w:rPr>
          <w:b/>
        </w:rPr>
      </w:pPr>
    </w:p>
    <w:p>
      <w:pPr>
        <w:pStyle w:val="BodyText"/>
        <w:spacing w:before="8"/>
        <w:rPr>
          <w:b/>
          <w:sz w:val="19"/>
        </w:rPr>
      </w:pPr>
    </w:p>
    <w:p>
      <w:pPr>
        <w:pStyle w:val="BodyText"/>
        <w:ind w:left="602"/>
      </w:pPr>
      <w:r>
        <w:rPr/>
        <w:pict>
          <v:group style="width:479.1pt;height:273.7pt;mso-position-horizontal-relative:char;mso-position-vertical-relative:line" coordorigin="0,0" coordsize="9582,5474">
            <v:rect style="position:absolute;left:340;top:0;width:8731;height:5474" filled="true" fillcolor="#dddfe4" stroked="false">
              <v:fill type="solid"/>
            </v:rect>
            <v:line style="position:absolute" from="0,808" to="9581,808" stroked="true" strokeweight="2.5pt" strokecolor="#ffffff">
              <v:stroke dashstyle="solid"/>
            </v:line>
            <v:shape style="position:absolute;left:1133;top:1033;width:7731;height:4260" type="#_x0000_t202" filled="false" stroked="false">
              <v:textbox inset="0,0,0,0">
                <w:txbxContent>
                  <w:p>
                    <w:pPr>
                      <w:spacing w:line="247" w:lineRule="auto" w:before="0"/>
                      <w:ind w:left="0" w:right="0" w:firstLine="0"/>
                      <w:jc w:val="left"/>
                      <w:rPr>
                        <w:rFonts w:ascii="Trebuchet MS"/>
                        <w:sz w:val="20"/>
                      </w:rPr>
                    </w:pPr>
                    <w:bookmarkStart w:name="Addressing the shortage of Auslan interp" w:id="285"/>
                    <w:bookmarkEnd w:id="285"/>
                    <w:r>
                      <w:rPr/>
                    </w:r>
                    <w:bookmarkStart w:name="_bookmark120" w:id="286"/>
                    <w:bookmarkEnd w:id="286"/>
                    <w:r>
                      <w:rPr/>
                    </w:r>
                    <w:r>
                      <w:rPr>
                        <w:rFonts w:ascii="Trebuchet MS"/>
                        <w:w w:val="105"/>
                        <w:sz w:val="20"/>
                      </w:rPr>
                      <w:t>The</w:t>
                    </w:r>
                    <w:r>
                      <w:rPr>
                        <w:rFonts w:ascii="Trebuchet MS"/>
                        <w:spacing w:val="-24"/>
                        <w:w w:val="105"/>
                        <w:sz w:val="20"/>
                      </w:rPr>
                      <w:t> </w:t>
                    </w:r>
                    <w:r>
                      <w:rPr>
                        <w:rFonts w:ascii="Trebuchet MS"/>
                        <w:w w:val="105"/>
                        <w:sz w:val="20"/>
                      </w:rPr>
                      <w:t>Judicial</w:t>
                    </w:r>
                    <w:r>
                      <w:rPr>
                        <w:rFonts w:ascii="Trebuchet MS"/>
                        <w:spacing w:val="-24"/>
                        <w:w w:val="105"/>
                        <w:sz w:val="20"/>
                      </w:rPr>
                      <w:t> </w:t>
                    </w:r>
                    <w:r>
                      <w:rPr>
                        <w:rFonts w:ascii="Trebuchet MS"/>
                        <w:w w:val="105"/>
                        <w:sz w:val="20"/>
                      </w:rPr>
                      <w:t>College</w:t>
                    </w:r>
                    <w:r>
                      <w:rPr>
                        <w:rFonts w:ascii="Trebuchet MS"/>
                        <w:spacing w:val="-24"/>
                        <w:w w:val="105"/>
                        <w:sz w:val="20"/>
                      </w:rPr>
                      <w:t> </w:t>
                    </w:r>
                    <w:r>
                      <w:rPr>
                        <w:rFonts w:ascii="Trebuchet MS"/>
                        <w:w w:val="105"/>
                        <w:sz w:val="20"/>
                      </w:rPr>
                      <w:t>of</w:t>
                    </w:r>
                    <w:r>
                      <w:rPr>
                        <w:rFonts w:ascii="Trebuchet MS"/>
                        <w:spacing w:val="-24"/>
                        <w:w w:val="105"/>
                        <w:sz w:val="20"/>
                      </w:rPr>
                      <w:t> </w:t>
                    </w:r>
                    <w:r>
                      <w:rPr>
                        <w:rFonts w:ascii="Trebuchet MS"/>
                        <w:w w:val="105"/>
                        <w:sz w:val="20"/>
                      </w:rPr>
                      <w:t>Victoria</w:t>
                    </w:r>
                    <w:r>
                      <w:rPr>
                        <w:rFonts w:ascii="Trebuchet MS"/>
                        <w:spacing w:val="-24"/>
                        <w:w w:val="105"/>
                        <w:sz w:val="20"/>
                      </w:rPr>
                      <w:t> </w:t>
                    </w:r>
                    <w:r>
                      <w:rPr>
                        <w:rFonts w:ascii="Trebuchet MS"/>
                        <w:w w:val="105"/>
                        <w:sz w:val="20"/>
                      </w:rPr>
                      <w:t>should</w:t>
                    </w:r>
                    <w:r>
                      <w:rPr>
                        <w:rFonts w:ascii="Trebuchet MS"/>
                        <w:spacing w:val="-24"/>
                        <w:w w:val="105"/>
                        <w:sz w:val="20"/>
                      </w:rPr>
                      <w:t> </w:t>
                    </w:r>
                    <w:r>
                      <w:rPr>
                        <w:rFonts w:ascii="Trebuchet MS"/>
                        <w:spacing w:val="-3"/>
                        <w:w w:val="105"/>
                        <w:sz w:val="20"/>
                      </w:rPr>
                      <w:t>develop</w:t>
                    </w:r>
                    <w:r>
                      <w:rPr>
                        <w:rFonts w:ascii="Trebuchet MS"/>
                        <w:spacing w:val="-24"/>
                        <w:w w:val="105"/>
                        <w:sz w:val="20"/>
                      </w:rPr>
                      <w:t> </w:t>
                    </w:r>
                    <w:r>
                      <w:rPr>
                        <w:rFonts w:ascii="Trebuchet MS"/>
                        <w:w w:val="105"/>
                        <w:sz w:val="20"/>
                      </w:rPr>
                      <w:t>and</w:t>
                    </w:r>
                    <w:r>
                      <w:rPr>
                        <w:rFonts w:ascii="Trebuchet MS"/>
                        <w:spacing w:val="-24"/>
                        <w:w w:val="105"/>
                        <w:sz w:val="20"/>
                      </w:rPr>
                      <w:t> </w:t>
                    </w:r>
                    <w:r>
                      <w:rPr>
                        <w:rFonts w:ascii="Trebuchet MS"/>
                        <w:w w:val="105"/>
                        <w:sz w:val="20"/>
                      </w:rPr>
                      <w:t>deliver</w:t>
                    </w:r>
                    <w:r>
                      <w:rPr>
                        <w:rFonts w:ascii="Trebuchet MS"/>
                        <w:spacing w:val="-24"/>
                        <w:w w:val="105"/>
                        <w:sz w:val="20"/>
                      </w:rPr>
                      <w:t> </w:t>
                    </w:r>
                    <w:r>
                      <w:rPr>
                        <w:rFonts w:ascii="Trebuchet MS"/>
                        <w:w w:val="105"/>
                        <w:sz w:val="20"/>
                      </w:rPr>
                      <w:t>training</w:t>
                    </w:r>
                    <w:r>
                      <w:rPr>
                        <w:rFonts w:ascii="Trebuchet MS"/>
                        <w:spacing w:val="-24"/>
                        <w:w w:val="105"/>
                        <w:sz w:val="20"/>
                      </w:rPr>
                      <w:t> </w:t>
                    </w:r>
                    <w:r>
                      <w:rPr>
                        <w:rFonts w:ascii="Trebuchet MS"/>
                        <w:w w:val="105"/>
                        <w:sz w:val="20"/>
                      </w:rPr>
                      <w:t>to</w:t>
                    </w:r>
                    <w:r>
                      <w:rPr>
                        <w:rFonts w:ascii="Trebuchet MS"/>
                        <w:spacing w:val="-24"/>
                        <w:w w:val="105"/>
                        <w:sz w:val="20"/>
                      </w:rPr>
                      <w:t> </w:t>
                    </w:r>
                    <w:r>
                      <w:rPr>
                        <w:rFonts w:ascii="Trebuchet MS"/>
                        <w:w w:val="105"/>
                        <w:sz w:val="20"/>
                      </w:rPr>
                      <w:t>the</w:t>
                    </w:r>
                    <w:r>
                      <w:rPr>
                        <w:rFonts w:ascii="Trebuchet MS"/>
                        <w:spacing w:val="-24"/>
                        <w:w w:val="105"/>
                        <w:sz w:val="20"/>
                      </w:rPr>
                      <w:t> </w:t>
                    </w:r>
                    <w:r>
                      <w:rPr>
                        <w:rFonts w:ascii="Trebuchet MS"/>
                        <w:w w:val="105"/>
                        <w:sz w:val="20"/>
                      </w:rPr>
                      <w:t>judiciary on the Recommended National Standards for </w:t>
                    </w:r>
                    <w:r>
                      <w:rPr>
                        <w:rFonts w:ascii="Trebuchet MS"/>
                        <w:spacing w:val="-3"/>
                        <w:w w:val="105"/>
                        <w:sz w:val="20"/>
                      </w:rPr>
                      <w:t>Working </w:t>
                    </w:r>
                    <w:r>
                      <w:rPr>
                        <w:rFonts w:ascii="Trebuchet MS"/>
                        <w:w w:val="105"/>
                        <w:sz w:val="20"/>
                      </w:rPr>
                      <w:t>with </w:t>
                    </w:r>
                    <w:r>
                      <w:rPr>
                        <w:rFonts w:ascii="Trebuchet MS"/>
                        <w:spacing w:val="-3"/>
                        <w:w w:val="105"/>
                        <w:sz w:val="20"/>
                      </w:rPr>
                      <w:t>Interpreters </w:t>
                    </w:r>
                    <w:r>
                      <w:rPr>
                        <w:rFonts w:ascii="Trebuchet MS"/>
                        <w:w w:val="105"/>
                        <w:sz w:val="20"/>
                      </w:rPr>
                      <w:t>in Courts and </w:t>
                    </w:r>
                    <w:r>
                      <w:rPr>
                        <w:rFonts w:ascii="Trebuchet MS"/>
                        <w:spacing w:val="-3"/>
                        <w:w w:val="105"/>
                        <w:sz w:val="20"/>
                      </w:rPr>
                      <w:t>Tribunals </w:t>
                    </w:r>
                    <w:r>
                      <w:rPr>
                        <w:rFonts w:ascii="Trebuchet MS"/>
                        <w:w w:val="105"/>
                        <w:sz w:val="20"/>
                      </w:rPr>
                      <w:t>and about the training and certification requirements for Auslan </w:t>
                    </w:r>
                    <w:r>
                      <w:rPr>
                        <w:rFonts w:ascii="Trebuchet MS"/>
                        <w:spacing w:val="-2"/>
                        <w:w w:val="80"/>
                        <w:sz w:val="20"/>
                      </w:rPr>
                      <w:t>i</w:t>
                    </w:r>
                    <w:r>
                      <w:rPr>
                        <w:rFonts w:ascii="Trebuchet MS"/>
                        <w:spacing w:val="-4"/>
                        <w:w w:val="107"/>
                        <w:sz w:val="20"/>
                      </w:rPr>
                      <w:t>n</w:t>
                    </w:r>
                    <w:r>
                      <w:rPr>
                        <w:rFonts w:ascii="Trebuchet MS"/>
                        <w:spacing w:val="-4"/>
                        <w:w w:val="100"/>
                        <w:sz w:val="20"/>
                      </w:rPr>
                      <w:t>t</w:t>
                    </w:r>
                    <w:r>
                      <w:rPr>
                        <w:rFonts w:ascii="Trebuchet MS"/>
                        <w:spacing w:val="-1"/>
                        <w:w w:val="100"/>
                        <w:sz w:val="20"/>
                      </w:rPr>
                      <w:t>e</w:t>
                    </w:r>
                    <w:r>
                      <w:rPr>
                        <w:rFonts w:ascii="Trebuchet MS"/>
                        <w:spacing w:val="-2"/>
                        <w:w w:val="93"/>
                        <w:sz w:val="20"/>
                      </w:rPr>
                      <w:t>r</w:t>
                    </w:r>
                    <w:r>
                      <w:rPr>
                        <w:rFonts w:ascii="Trebuchet MS"/>
                        <w:spacing w:val="-1"/>
                        <w:w w:val="111"/>
                        <w:sz w:val="20"/>
                      </w:rPr>
                      <w:t>p</w:t>
                    </w:r>
                    <w:r>
                      <w:rPr>
                        <w:rFonts w:ascii="Trebuchet MS"/>
                        <w:spacing w:val="-4"/>
                        <w:w w:val="102"/>
                        <w:sz w:val="20"/>
                      </w:rPr>
                      <w:t>r</w:t>
                    </w:r>
                    <w:r>
                      <w:rPr>
                        <w:rFonts w:ascii="Trebuchet MS"/>
                        <w:spacing w:val="-3"/>
                        <w:w w:val="102"/>
                        <w:sz w:val="20"/>
                      </w:rPr>
                      <w:t>e</w:t>
                    </w:r>
                    <w:r>
                      <w:rPr>
                        <w:rFonts w:ascii="Trebuchet MS"/>
                        <w:spacing w:val="-4"/>
                        <w:w w:val="100"/>
                        <w:sz w:val="20"/>
                      </w:rPr>
                      <w:t>t</w:t>
                    </w:r>
                    <w:r>
                      <w:rPr>
                        <w:rFonts w:ascii="Trebuchet MS"/>
                        <w:spacing w:val="-1"/>
                        <w:w w:val="100"/>
                        <w:sz w:val="20"/>
                      </w:rPr>
                      <w:t>e</w:t>
                    </w:r>
                    <w:r>
                      <w:rPr>
                        <w:rFonts w:ascii="Trebuchet MS"/>
                        <w:spacing w:val="-1"/>
                        <w:w w:val="93"/>
                        <w:sz w:val="20"/>
                      </w:rPr>
                      <w:t>r</w:t>
                    </w:r>
                    <w:r>
                      <w:rPr>
                        <w:rFonts w:ascii="Trebuchet MS"/>
                        <w:spacing w:val="1"/>
                        <w:w w:val="122"/>
                        <w:sz w:val="20"/>
                      </w:rPr>
                      <w:t>s</w:t>
                    </w:r>
                    <w:r>
                      <w:rPr>
                        <w:rFonts w:ascii="Trebuchet MS"/>
                        <w:w w:val="55"/>
                        <w:sz w:val="20"/>
                      </w:rPr>
                      <w:t>.</w:t>
                    </w:r>
                  </w:p>
                  <w:p>
                    <w:pPr>
                      <w:spacing w:before="88"/>
                      <w:ind w:left="0" w:right="0" w:firstLine="0"/>
                      <w:jc w:val="left"/>
                      <w:rPr>
                        <w:rFonts w:ascii="Trebuchet MS"/>
                        <w:sz w:val="20"/>
                      </w:rPr>
                    </w:pPr>
                    <w:r>
                      <w:rPr>
                        <w:rFonts w:ascii="Trebuchet MS"/>
                        <w:spacing w:val="-4"/>
                        <w:w w:val="114"/>
                        <w:sz w:val="20"/>
                      </w:rPr>
                      <w:t>A</w:t>
                    </w:r>
                    <w:r>
                      <w:rPr>
                        <w:rFonts w:ascii="Trebuchet MS"/>
                        <w:spacing w:val="-1"/>
                        <w:w w:val="109"/>
                        <w:sz w:val="20"/>
                      </w:rPr>
                      <w:t>u</w:t>
                    </w:r>
                    <w:r>
                      <w:rPr>
                        <w:rFonts w:ascii="Trebuchet MS"/>
                        <w:spacing w:val="-2"/>
                        <w:w w:val="122"/>
                        <w:sz w:val="20"/>
                      </w:rPr>
                      <w:t>s</w:t>
                    </w:r>
                    <w:r>
                      <w:rPr>
                        <w:rFonts w:ascii="Trebuchet MS"/>
                        <w:spacing w:val="1"/>
                        <w:w w:val="96"/>
                        <w:sz w:val="20"/>
                      </w:rPr>
                      <w:t>l</w:t>
                    </w:r>
                    <w:r>
                      <w:rPr>
                        <w:rFonts w:ascii="Trebuchet MS"/>
                        <w:spacing w:val="-2"/>
                        <w:w w:val="105"/>
                        <w:sz w:val="20"/>
                      </w:rPr>
                      <w:t>a</w:t>
                    </w:r>
                    <w:r>
                      <w:rPr>
                        <w:rFonts w:ascii="Trebuchet MS"/>
                        <w:w w:val="107"/>
                        <w:sz w:val="20"/>
                      </w:rPr>
                      <w:t>n</w:t>
                    </w:r>
                    <w:r>
                      <w:rPr>
                        <w:rFonts w:ascii="Trebuchet MS"/>
                        <w:spacing w:val="-14"/>
                        <w:sz w:val="20"/>
                      </w:rPr>
                      <w:t> </w:t>
                    </w:r>
                    <w:r>
                      <w:rPr>
                        <w:rFonts w:ascii="Trebuchet MS"/>
                        <w:spacing w:val="-2"/>
                        <w:w w:val="80"/>
                        <w:sz w:val="20"/>
                      </w:rPr>
                      <w:t>i</w:t>
                    </w:r>
                    <w:r>
                      <w:rPr>
                        <w:rFonts w:ascii="Trebuchet MS"/>
                        <w:spacing w:val="-4"/>
                        <w:w w:val="107"/>
                        <w:sz w:val="20"/>
                      </w:rPr>
                      <w:t>n</w:t>
                    </w:r>
                    <w:r>
                      <w:rPr>
                        <w:rFonts w:ascii="Trebuchet MS"/>
                        <w:spacing w:val="-4"/>
                        <w:w w:val="88"/>
                        <w:sz w:val="20"/>
                      </w:rPr>
                      <w:t>t</w:t>
                    </w:r>
                    <w:r>
                      <w:rPr>
                        <w:rFonts w:ascii="Trebuchet MS"/>
                        <w:spacing w:val="-1"/>
                        <w:w w:val="108"/>
                        <w:sz w:val="20"/>
                      </w:rPr>
                      <w:t>e</w:t>
                    </w:r>
                    <w:r>
                      <w:rPr>
                        <w:rFonts w:ascii="Trebuchet MS"/>
                        <w:spacing w:val="-2"/>
                        <w:w w:val="93"/>
                        <w:sz w:val="20"/>
                      </w:rPr>
                      <w:t>r</w:t>
                    </w:r>
                    <w:r>
                      <w:rPr>
                        <w:rFonts w:ascii="Trebuchet MS"/>
                        <w:spacing w:val="-1"/>
                        <w:w w:val="111"/>
                        <w:sz w:val="20"/>
                      </w:rPr>
                      <w:t>p</w:t>
                    </w:r>
                    <w:r>
                      <w:rPr>
                        <w:rFonts w:ascii="Trebuchet MS"/>
                        <w:spacing w:val="-4"/>
                        <w:w w:val="93"/>
                        <w:sz w:val="20"/>
                      </w:rPr>
                      <w:t>r</w:t>
                    </w:r>
                    <w:r>
                      <w:rPr>
                        <w:rFonts w:ascii="Trebuchet MS"/>
                        <w:spacing w:val="-3"/>
                        <w:w w:val="108"/>
                        <w:sz w:val="20"/>
                      </w:rPr>
                      <w:t>e</w:t>
                    </w:r>
                    <w:r>
                      <w:rPr>
                        <w:rFonts w:ascii="Trebuchet MS"/>
                        <w:spacing w:val="-4"/>
                        <w:w w:val="88"/>
                        <w:sz w:val="20"/>
                      </w:rPr>
                      <w:t>t</w:t>
                    </w:r>
                    <w:r>
                      <w:rPr>
                        <w:rFonts w:ascii="Trebuchet MS"/>
                        <w:spacing w:val="-1"/>
                        <w:w w:val="108"/>
                        <w:sz w:val="20"/>
                      </w:rPr>
                      <w:t>e</w:t>
                    </w:r>
                    <w:r>
                      <w:rPr>
                        <w:rFonts w:ascii="Trebuchet MS"/>
                        <w:spacing w:val="-1"/>
                        <w:w w:val="93"/>
                        <w:sz w:val="20"/>
                      </w:rPr>
                      <w:t>r</w:t>
                    </w:r>
                    <w:r>
                      <w:rPr>
                        <w:rFonts w:ascii="Trebuchet MS"/>
                        <w:w w:val="122"/>
                        <w:sz w:val="20"/>
                      </w:rPr>
                      <w:t>s</w:t>
                    </w:r>
                    <w:r>
                      <w:rPr>
                        <w:rFonts w:ascii="Trebuchet MS"/>
                        <w:spacing w:val="-14"/>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6"/>
                        <w:w w:val="110"/>
                        <w:sz w:val="20"/>
                      </w:rPr>
                      <w:t>w</w:t>
                    </w:r>
                    <w:r>
                      <w:rPr>
                        <w:rFonts w:ascii="Trebuchet MS"/>
                        <w:spacing w:val="-1"/>
                        <w:w w:val="111"/>
                        <w:sz w:val="20"/>
                      </w:rPr>
                      <w:t>o</w:t>
                    </w:r>
                    <w:r>
                      <w:rPr>
                        <w:rFonts w:ascii="Trebuchet MS"/>
                        <w:spacing w:val="-2"/>
                        <w:w w:val="93"/>
                        <w:sz w:val="20"/>
                      </w:rPr>
                      <w:t>r</w:t>
                    </w:r>
                    <w:r>
                      <w:rPr>
                        <w:rFonts w:ascii="Trebuchet MS"/>
                        <w:w w:val="106"/>
                        <w:sz w:val="20"/>
                      </w:rPr>
                      <w:t>k</w:t>
                    </w:r>
                    <w:r>
                      <w:rPr>
                        <w:rFonts w:ascii="Trebuchet MS"/>
                        <w:spacing w:val="-14"/>
                        <w:sz w:val="20"/>
                      </w:rPr>
                      <w:t> </w:t>
                    </w:r>
                    <w:r>
                      <w:rPr>
                        <w:rFonts w:ascii="Trebuchet MS"/>
                        <w:spacing w:val="-2"/>
                        <w:w w:val="80"/>
                        <w:sz w:val="20"/>
                      </w:rPr>
                      <w:t>i</w:t>
                    </w:r>
                    <w:r>
                      <w:rPr>
                        <w:rFonts w:ascii="Trebuchet MS"/>
                        <w:w w:val="107"/>
                        <w:sz w:val="20"/>
                      </w:rPr>
                      <w:t>n</w:t>
                    </w:r>
                    <w:r>
                      <w:rPr>
                        <w:rFonts w:ascii="Trebuchet MS"/>
                        <w:spacing w:val="-14"/>
                        <w:sz w:val="20"/>
                      </w:rPr>
                      <w:t> </w:t>
                    </w:r>
                    <w:r>
                      <w:rPr>
                        <w:rFonts w:ascii="Trebuchet MS"/>
                        <w:spacing w:val="-1"/>
                        <w:w w:val="111"/>
                        <w:sz w:val="20"/>
                      </w:rPr>
                      <w:t>p</w:t>
                    </w:r>
                    <w:r>
                      <w:rPr>
                        <w:rFonts w:ascii="Trebuchet MS"/>
                        <w:spacing w:val="-2"/>
                        <w:w w:val="105"/>
                        <w:sz w:val="20"/>
                      </w:rPr>
                      <w:t>a</w:t>
                    </w:r>
                    <w:r>
                      <w:rPr>
                        <w:rFonts w:ascii="Trebuchet MS"/>
                        <w:spacing w:val="-2"/>
                        <w:w w:val="80"/>
                        <w:sz w:val="20"/>
                      </w:rPr>
                      <w:t>i</w:t>
                    </w:r>
                    <w:r>
                      <w:rPr>
                        <w:rFonts w:ascii="Trebuchet MS"/>
                        <w:spacing w:val="-1"/>
                        <w:w w:val="93"/>
                        <w:sz w:val="20"/>
                      </w:rPr>
                      <w:t>r</w:t>
                    </w:r>
                    <w:r>
                      <w:rPr>
                        <w:rFonts w:ascii="Trebuchet MS"/>
                        <w:w w:val="122"/>
                        <w:sz w:val="20"/>
                      </w:rPr>
                      <w:t>s</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2"/>
                        <w:w w:val="111"/>
                        <w:sz w:val="20"/>
                      </w:rPr>
                      <w:t>m</w:t>
                    </w:r>
                    <w:r>
                      <w:rPr>
                        <w:rFonts w:ascii="Trebuchet MS"/>
                        <w:spacing w:val="-1"/>
                        <w:w w:val="109"/>
                        <w:sz w:val="20"/>
                      </w:rPr>
                      <w:t>u</w:t>
                    </w:r>
                    <w:r>
                      <w:rPr>
                        <w:rFonts w:ascii="Trebuchet MS"/>
                        <w:spacing w:val="-1"/>
                        <w:w w:val="122"/>
                        <w:sz w:val="20"/>
                      </w:rPr>
                      <w:t>s</w:t>
                    </w:r>
                    <w:r>
                      <w:rPr>
                        <w:rFonts w:ascii="Trebuchet MS"/>
                        <w:w w:val="88"/>
                        <w:sz w:val="20"/>
                      </w:rPr>
                      <w:t>t</w:t>
                    </w:r>
                    <w:r>
                      <w:rPr>
                        <w:rFonts w:ascii="Trebuchet MS"/>
                        <w:spacing w:val="-14"/>
                        <w:sz w:val="20"/>
                      </w:rPr>
                      <w:t> </w:t>
                    </w:r>
                    <w:r>
                      <w:rPr>
                        <w:rFonts w:ascii="Trebuchet MS"/>
                        <w:spacing w:val="-1"/>
                        <w:w w:val="111"/>
                        <w:sz w:val="20"/>
                      </w:rPr>
                      <w:t>b</w:t>
                    </w:r>
                    <w:r>
                      <w:rPr>
                        <w:rFonts w:ascii="Trebuchet MS"/>
                        <w:w w:val="108"/>
                        <w:sz w:val="20"/>
                      </w:rPr>
                      <w:t>e</w:t>
                    </w:r>
                    <w:r>
                      <w:rPr>
                        <w:rFonts w:ascii="Trebuchet MS"/>
                        <w:spacing w:val="-14"/>
                        <w:sz w:val="20"/>
                      </w:rPr>
                      <w:t> </w:t>
                    </w:r>
                    <w:r>
                      <w:rPr>
                        <w:rFonts w:ascii="Trebuchet MS"/>
                        <w:spacing w:val="-2"/>
                        <w:w w:val="80"/>
                        <w:sz w:val="20"/>
                      </w:rPr>
                      <w:t>i</w:t>
                    </w:r>
                    <w:r>
                      <w:rPr>
                        <w:rFonts w:ascii="Trebuchet MS"/>
                        <w:spacing w:val="-1"/>
                        <w:w w:val="107"/>
                        <w:sz w:val="20"/>
                      </w:rPr>
                      <w:t>n</w:t>
                    </w:r>
                    <w:r>
                      <w:rPr>
                        <w:rFonts w:ascii="Trebuchet MS"/>
                        <w:spacing w:val="-2"/>
                        <w:w w:val="112"/>
                        <w:sz w:val="20"/>
                      </w:rPr>
                      <w:t>d</w:t>
                    </w:r>
                    <w:r>
                      <w:rPr>
                        <w:rFonts w:ascii="Trebuchet MS"/>
                        <w:spacing w:val="-1"/>
                        <w:w w:val="108"/>
                        <w:sz w:val="20"/>
                      </w:rPr>
                      <w:t>e</w:t>
                    </w:r>
                    <w:r>
                      <w:rPr>
                        <w:rFonts w:ascii="Trebuchet MS"/>
                        <w:spacing w:val="-1"/>
                        <w:w w:val="111"/>
                        <w:sz w:val="20"/>
                      </w:rPr>
                      <w:t>p</w:t>
                    </w:r>
                    <w:r>
                      <w:rPr>
                        <w:rFonts w:ascii="Trebuchet MS"/>
                        <w:spacing w:val="-1"/>
                        <w:w w:val="108"/>
                        <w:sz w:val="20"/>
                      </w:rPr>
                      <w:t>e</w:t>
                    </w:r>
                    <w:r>
                      <w:rPr>
                        <w:rFonts w:ascii="Trebuchet MS"/>
                        <w:spacing w:val="-1"/>
                        <w:w w:val="107"/>
                        <w:sz w:val="20"/>
                      </w:rPr>
                      <w:t>n</w:t>
                    </w:r>
                    <w:r>
                      <w:rPr>
                        <w:rFonts w:ascii="Trebuchet MS"/>
                        <w:spacing w:val="-2"/>
                        <w:w w:val="112"/>
                        <w:sz w:val="20"/>
                      </w:rPr>
                      <w:t>d</w:t>
                    </w:r>
                    <w:r>
                      <w:rPr>
                        <w:rFonts w:ascii="Trebuchet MS"/>
                        <w:spacing w:val="-1"/>
                        <w:w w:val="108"/>
                        <w:sz w:val="20"/>
                      </w:rPr>
                      <w:t>e</w:t>
                    </w:r>
                    <w:r>
                      <w:rPr>
                        <w:rFonts w:ascii="Trebuchet MS"/>
                        <w:spacing w:val="-4"/>
                        <w:w w:val="107"/>
                        <w:sz w:val="20"/>
                      </w:rPr>
                      <w:t>n</w:t>
                    </w:r>
                    <w:r>
                      <w:rPr>
                        <w:rFonts w:ascii="Trebuchet MS"/>
                        <w:w w:val="88"/>
                        <w:sz w:val="20"/>
                      </w:rPr>
                      <w:t>t</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64"/>
                        <w:sz w:val="20"/>
                      </w:rPr>
                      <w:t>j</w:t>
                    </w:r>
                    <w:r>
                      <w:rPr>
                        <w:rFonts w:ascii="Trebuchet MS"/>
                        <w:spacing w:val="-1"/>
                        <w:w w:val="109"/>
                        <w:sz w:val="20"/>
                      </w:rPr>
                      <w:t>u</w:t>
                    </w:r>
                    <w:r>
                      <w:rPr>
                        <w:rFonts w:ascii="Trebuchet MS"/>
                        <w:spacing w:val="-4"/>
                        <w:w w:val="93"/>
                        <w:sz w:val="20"/>
                      </w:rPr>
                      <w:t>r</w:t>
                    </w:r>
                    <w:r>
                      <w:rPr>
                        <w:rFonts w:ascii="Trebuchet MS"/>
                        <w:spacing w:val="-1"/>
                        <w:w w:val="111"/>
                        <w:sz w:val="20"/>
                      </w:rPr>
                      <w:t>o</w:t>
                    </w:r>
                    <w:r>
                      <w:rPr>
                        <w:rFonts w:ascii="Trebuchet MS"/>
                        <w:spacing w:val="-14"/>
                        <w:w w:val="93"/>
                        <w:sz w:val="20"/>
                      </w:rPr>
                      <w:t>r</w:t>
                    </w:r>
                    <w:r>
                      <w:rPr>
                        <w:rFonts w:ascii="Trebuchet MS"/>
                        <w:w w:val="55"/>
                        <w:sz w:val="20"/>
                      </w:rPr>
                      <w:t>.</w:t>
                    </w:r>
                  </w:p>
                  <w:p>
                    <w:pPr>
                      <w:spacing w:line="247" w:lineRule="auto" w:before="93"/>
                      <w:ind w:left="0" w:right="8" w:firstLine="0"/>
                      <w:jc w:val="left"/>
                      <w:rPr>
                        <w:rFonts w:ascii="Trebuchet MS"/>
                        <w:sz w:val="20"/>
                      </w:rPr>
                    </w:pPr>
                    <w:r>
                      <w:rPr>
                        <w:rFonts w:ascii="Trebuchet MS"/>
                        <w:sz w:val="20"/>
                      </w:rPr>
                      <w:t>Auslan </w:t>
                    </w:r>
                    <w:r>
                      <w:rPr>
                        <w:rFonts w:ascii="Trebuchet MS"/>
                        <w:spacing w:val="-3"/>
                        <w:sz w:val="20"/>
                      </w:rPr>
                      <w:t>interpreters </w:t>
                    </w:r>
                    <w:r>
                      <w:rPr>
                        <w:rFonts w:ascii="Trebuchet MS"/>
                        <w:sz w:val="20"/>
                      </w:rPr>
                      <w:t>who </w:t>
                    </w:r>
                    <w:r>
                      <w:rPr>
                        <w:rFonts w:ascii="Trebuchet MS"/>
                        <w:spacing w:val="-3"/>
                        <w:sz w:val="20"/>
                      </w:rPr>
                      <w:t>interpret </w:t>
                    </w:r>
                    <w:r>
                      <w:rPr>
                        <w:rFonts w:ascii="Trebuchet MS"/>
                        <w:sz w:val="20"/>
                      </w:rPr>
                      <w:t>for jurors should be qualified at a Certified Specialist Legal </w:t>
                    </w:r>
                    <w:r>
                      <w:rPr>
                        <w:rFonts w:ascii="Trebuchet MS"/>
                        <w:spacing w:val="-3"/>
                        <w:sz w:val="20"/>
                      </w:rPr>
                      <w:t>Interpreter level, </w:t>
                    </w:r>
                    <w:r>
                      <w:rPr>
                        <w:rFonts w:ascii="Trebuchet MS"/>
                        <w:sz w:val="20"/>
                      </w:rPr>
                      <w:t>or if not </w:t>
                    </w:r>
                    <w:r>
                      <w:rPr>
                        <w:rFonts w:ascii="Trebuchet MS"/>
                        <w:spacing w:val="-3"/>
                        <w:sz w:val="20"/>
                      </w:rPr>
                      <w:t>available, </w:t>
                    </w:r>
                    <w:r>
                      <w:rPr>
                        <w:rFonts w:ascii="Trebuchet MS"/>
                        <w:sz w:val="20"/>
                      </w:rPr>
                      <w:t>at a Certified </w:t>
                    </w:r>
                    <w:r>
                      <w:rPr>
                        <w:rFonts w:ascii="Trebuchet MS"/>
                        <w:spacing w:val="-3"/>
                        <w:sz w:val="20"/>
                      </w:rPr>
                      <w:t>Interpreter level.</w:t>
                    </w:r>
                  </w:p>
                  <w:p>
                    <w:pPr>
                      <w:spacing w:line="247" w:lineRule="auto" w:before="87"/>
                      <w:ind w:left="0" w:right="0" w:firstLine="0"/>
                      <w:jc w:val="left"/>
                      <w:rPr>
                        <w:rFonts w:ascii="Trebuchet MS"/>
                        <w:sz w:val="20"/>
                      </w:rPr>
                    </w:pPr>
                    <w:r>
                      <w:rPr>
                        <w:rFonts w:ascii="Trebuchet MS"/>
                        <w:spacing w:val="-2"/>
                        <w:w w:val="105"/>
                        <w:sz w:val="20"/>
                      </w:rPr>
                      <w:t>All</w:t>
                    </w:r>
                    <w:r>
                      <w:rPr>
                        <w:rFonts w:ascii="Trebuchet MS"/>
                        <w:spacing w:val="-16"/>
                        <w:w w:val="105"/>
                        <w:sz w:val="20"/>
                      </w:rPr>
                      <w:t> </w:t>
                    </w:r>
                    <w:r>
                      <w:rPr>
                        <w:rFonts w:ascii="Trebuchet MS"/>
                        <w:w w:val="105"/>
                        <w:sz w:val="20"/>
                      </w:rPr>
                      <w:t>Auslan</w:t>
                    </w:r>
                    <w:r>
                      <w:rPr>
                        <w:rFonts w:ascii="Trebuchet MS"/>
                        <w:spacing w:val="-15"/>
                        <w:w w:val="105"/>
                        <w:sz w:val="20"/>
                      </w:rPr>
                      <w:t> </w:t>
                    </w:r>
                    <w:r>
                      <w:rPr>
                        <w:rFonts w:ascii="Trebuchet MS"/>
                        <w:spacing w:val="-3"/>
                        <w:w w:val="105"/>
                        <w:sz w:val="20"/>
                      </w:rPr>
                      <w:t>interpreters</w:t>
                    </w:r>
                    <w:r>
                      <w:rPr>
                        <w:rFonts w:ascii="Trebuchet MS"/>
                        <w:spacing w:val="-15"/>
                        <w:w w:val="105"/>
                        <w:sz w:val="20"/>
                      </w:rPr>
                      <w:t> </w:t>
                    </w:r>
                    <w:r>
                      <w:rPr>
                        <w:rFonts w:ascii="Trebuchet MS"/>
                        <w:w w:val="105"/>
                        <w:sz w:val="20"/>
                      </w:rPr>
                      <w:t>who</w:t>
                    </w:r>
                    <w:r>
                      <w:rPr>
                        <w:rFonts w:ascii="Trebuchet MS"/>
                        <w:spacing w:val="-15"/>
                        <w:w w:val="105"/>
                        <w:sz w:val="20"/>
                      </w:rPr>
                      <w:t> </w:t>
                    </w:r>
                    <w:r>
                      <w:rPr>
                        <w:rFonts w:ascii="Trebuchet MS"/>
                        <w:spacing w:val="-3"/>
                        <w:w w:val="105"/>
                        <w:sz w:val="20"/>
                      </w:rPr>
                      <w:t>interpret</w:t>
                    </w:r>
                    <w:r>
                      <w:rPr>
                        <w:rFonts w:ascii="Trebuchet MS"/>
                        <w:spacing w:val="-15"/>
                        <w:w w:val="105"/>
                        <w:sz w:val="20"/>
                      </w:rPr>
                      <w:t> </w:t>
                    </w:r>
                    <w:r>
                      <w:rPr>
                        <w:rFonts w:ascii="Trebuchet MS"/>
                        <w:w w:val="105"/>
                        <w:sz w:val="20"/>
                      </w:rPr>
                      <w:t>for</w:t>
                    </w:r>
                    <w:r>
                      <w:rPr>
                        <w:rFonts w:ascii="Trebuchet MS"/>
                        <w:spacing w:val="-15"/>
                        <w:w w:val="105"/>
                        <w:sz w:val="20"/>
                      </w:rPr>
                      <w:t> </w:t>
                    </w:r>
                    <w:r>
                      <w:rPr>
                        <w:rFonts w:ascii="Trebuchet MS"/>
                        <w:w w:val="105"/>
                        <w:sz w:val="20"/>
                      </w:rPr>
                      <w:t>jurors</w:t>
                    </w:r>
                    <w:r>
                      <w:rPr>
                        <w:rFonts w:ascii="Trebuchet MS"/>
                        <w:spacing w:val="-15"/>
                        <w:w w:val="105"/>
                        <w:sz w:val="20"/>
                      </w:rPr>
                      <w:t> </w:t>
                    </w:r>
                    <w:r>
                      <w:rPr>
                        <w:rFonts w:ascii="Trebuchet MS"/>
                        <w:w w:val="105"/>
                        <w:sz w:val="20"/>
                      </w:rPr>
                      <w:t>should</w:t>
                    </w:r>
                    <w:r>
                      <w:rPr>
                        <w:rFonts w:ascii="Trebuchet MS"/>
                        <w:spacing w:val="-15"/>
                        <w:w w:val="105"/>
                        <w:sz w:val="20"/>
                      </w:rPr>
                      <w:t> </w:t>
                    </w:r>
                    <w:r>
                      <w:rPr>
                        <w:rFonts w:ascii="Trebuchet MS"/>
                        <w:spacing w:val="-3"/>
                        <w:w w:val="105"/>
                        <w:sz w:val="20"/>
                      </w:rPr>
                      <w:t>complete</w:t>
                    </w:r>
                    <w:r>
                      <w:rPr>
                        <w:rFonts w:ascii="Trebuchet MS"/>
                        <w:spacing w:val="-15"/>
                        <w:w w:val="105"/>
                        <w:sz w:val="20"/>
                      </w:rPr>
                      <w:t> </w:t>
                    </w:r>
                    <w:r>
                      <w:rPr>
                        <w:rFonts w:ascii="Trebuchet MS"/>
                        <w:w w:val="105"/>
                        <w:sz w:val="20"/>
                      </w:rPr>
                      <w:t>a</w:t>
                    </w:r>
                    <w:r>
                      <w:rPr>
                        <w:rFonts w:ascii="Trebuchet MS"/>
                        <w:spacing w:val="-15"/>
                        <w:w w:val="105"/>
                        <w:sz w:val="20"/>
                      </w:rPr>
                      <w:t> </w:t>
                    </w:r>
                    <w:r>
                      <w:rPr>
                        <w:rFonts w:ascii="Trebuchet MS"/>
                        <w:spacing w:val="-3"/>
                        <w:w w:val="105"/>
                        <w:sz w:val="20"/>
                      </w:rPr>
                      <w:t>professional </w:t>
                    </w:r>
                    <w:r>
                      <w:rPr>
                        <w:rFonts w:ascii="Trebuchet MS"/>
                        <w:spacing w:val="-2"/>
                        <w:w w:val="112"/>
                        <w:sz w:val="20"/>
                      </w:rPr>
                      <w:t>d</w:t>
                    </w:r>
                    <w:r>
                      <w:rPr>
                        <w:rFonts w:ascii="Trebuchet MS"/>
                        <w:spacing w:val="-5"/>
                        <w:w w:val="108"/>
                        <w:sz w:val="20"/>
                      </w:rPr>
                      <w:t>e</w:t>
                    </w:r>
                    <w:r>
                      <w:rPr>
                        <w:rFonts w:ascii="Trebuchet MS"/>
                        <w:spacing w:val="-6"/>
                        <w:w w:val="109"/>
                        <w:sz w:val="20"/>
                      </w:rPr>
                      <w:t>v</w:t>
                    </w:r>
                    <w:r>
                      <w:rPr>
                        <w:rFonts w:ascii="Trebuchet MS"/>
                        <w:spacing w:val="-1"/>
                        <w:w w:val="108"/>
                        <w:sz w:val="20"/>
                      </w:rPr>
                      <w:t>e</w:t>
                    </w:r>
                    <w:r>
                      <w:rPr>
                        <w:rFonts w:ascii="Trebuchet MS"/>
                        <w:spacing w:val="-3"/>
                        <w:w w:val="96"/>
                        <w:sz w:val="20"/>
                      </w:rPr>
                      <w:t>l</w:t>
                    </w:r>
                    <w:r>
                      <w:rPr>
                        <w:rFonts w:ascii="Trebuchet MS"/>
                        <w:spacing w:val="-1"/>
                        <w:w w:val="111"/>
                        <w:sz w:val="20"/>
                      </w:rPr>
                      <w:t>o</w:t>
                    </w:r>
                    <w:r>
                      <w:rPr>
                        <w:rFonts w:ascii="Trebuchet MS"/>
                        <w:spacing w:val="-1"/>
                        <w:w w:val="110"/>
                        <w:sz w:val="20"/>
                      </w:rPr>
                      <w:t>pme</w:t>
                    </w:r>
                    <w:r>
                      <w:rPr>
                        <w:rFonts w:ascii="Trebuchet MS"/>
                        <w:spacing w:val="-4"/>
                        <w:w w:val="107"/>
                        <w:sz w:val="20"/>
                      </w:rPr>
                      <w:t>n</w:t>
                    </w:r>
                    <w:r>
                      <w:rPr>
                        <w:rFonts w:ascii="Trebuchet MS"/>
                        <w:w w:val="88"/>
                        <w:sz w:val="20"/>
                      </w:rPr>
                      <w:t>t</w:t>
                    </w:r>
                    <w:r>
                      <w:rPr>
                        <w:rFonts w:ascii="Trebuchet MS"/>
                        <w:spacing w:val="-14"/>
                        <w:sz w:val="20"/>
                      </w:rPr>
                      <w:t> </w:t>
                    </w:r>
                    <w:r>
                      <w:rPr>
                        <w:rFonts w:ascii="Trebuchet MS"/>
                        <w:spacing w:val="-1"/>
                        <w:w w:val="108"/>
                        <w:sz w:val="20"/>
                      </w:rPr>
                      <w:t>u</w:t>
                    </w:r>
                    <w:r>
                      <w:rPr>
                        <w:rFonts w:ascii="Trebuchet MS"/>
                        <w:spacing w:val="-2"/>
                        <w:w w:val="108"/>
                        <w:sz w:val="20"/>
                      </w:rPr>
                      <w:t>n</w:t>
                    </w:r>
                    <w:r>
                      <w:rPr>
                        <w:rFonts w:ascii="Trebuchet MS"/>
                        <w:spacing w:val="-3"/>
                        <w:w w:val="80"/>
                        <w:sz w:val="20"/>
                      </w:rPr>
                      <w:t>i</w:t>
                    </w:r>
                    <w:r>
                      <w:rPr>
                        <w:rFonts w:ascii="Trebuchet MS"/>
                        <w:w w:val="88"/>
                        <w:sz w:val="20"/>
                      </w:rPr>
                      <w:t>t</w:t>
                    </w:r>
                    <w:r>
                      <w:rPr>
                        <w:rFonts w:ascii="Trebuchet MS"/>
                        <w:spacing w:val="-14"/>
                        <w:sz w:val="20"/>
                      </w:rPr>
                      <w:t> </w:t>
                    </w:r>
                    <w:r>
                      <w:rPr>
                        <w:rFonts w:ascii="Trebuchet MS"/>
                        <w:spacing w:val="-2"/>
                        <w:w w:val="105"/>
                        <w:sz w:val="20"/>
                      </w:rPr>
                      <w:t>a</w:t>
                    </w:r>
                    <w:r>
                      <w:rPr>
                        <w:rFonts w:ascii="Trebuchet MS"/>
                        <w:spacing w:val="-1"/>
                        <w:w w:val="111"/>
                        <w:sz w:val="20"/>
                      </w:rPr>
                      <w:t>b</w:t>
                    </w:r>
                    <w:r>
                      <w:rPr>
                        <w:rFonts w:ascii="Trebuchet MS"/>
                        <w:spacing w:val="-1"/>
                        <w:w w:val="110"/>
                        <w:sz w:val="20"/>
                      </w:rPr>
                      <w:t>o</w:t>
                    </w:r>
                    <w:r>
                      <w:rPr>
                        <w:rFonts w:ascii="Trebuchet MS"/>
                        <w:spacing w:val="-3"/>
                        <w:w w:val="110"/>
                        <w:sz w:val="20"/>
                      </w:rPr>
                      <w:t>u</w:t>
                    </w:r>
                    <w:r>
                      <w:rPr>
                        <w:rFonts w:ascii="Trebuchet MS"/>
                        <w:w w:val="88"/>
                        <w:sz w:val="20"/>
                      </w:rPr>
                      <w:t>t</w:t>
                    </w:r>
                    <w:r>
                      <w:rPr>
                        <w:rFonts w:ascii="Trebuchet MS"/>
                        <w:spacing w:val="-14"/>
                        <w:sz w:val="20"/>
                      </w:rPr>
                      <w:t> </w:t>
                    </w:r>
                    <w:r>
                      <w:rPr>
                        <w:rFonts w:ascii="Trebuchet MS"/>
                        <w:spacing w:val="-2"/>
                        <w:w w:val="88"/>
                        <w:sz w:val="20"/>
                      </w:rPr>
                      <w:t>t</w:t>
                    </w:r>
                    <w:r>
                      <w:rPr>
                        <w:rFonts w:ascii="Trebuchet MS"/>
                        <w:spacing w:val="-1"/>
                        <w:w w:val="108"/>
                        <w:sz w:val="20"/>
                      </w:rPr>
                      <w:t>h</w:t>
                    </w:r>
                    <w:r>
                      <w:rPr>
                        <w:rFonts w:ascii="Trebuchet MS"/>
                        <w:w w:val="108"/>
                        <w:sz w:val="20"/>
                      </w:rPr>
                      <w:t>e</w:t>
                    </w:r>
                    <w:r>
                      <w:rPr>
                        <w:rFonts w:ascii="Trebuchet MS"/>
                        <w:spacing w:val="-14"/>
                        <w:sz w:val="20"/>
                      </w:rPr>
                      <w:t> </w:t>
                    </w:r>
                    <w:r>
                      <w:rPr>
                        <w:rFonts w:ascii="Trebuchet MS"/>
                        <w:spacing w:val="-4"/>
                        <w:w w:val="93"/>
                        <w:sz w:val="20"/>
                      </w:rPr>
                      <w:t>r</w:t>
                    </w:r>
                    <w:r>
                      <w:rPr>
                        <w:rFonts w:ascii="Trebuchet MS"/>
                        <w:spacing w:val="-2"/>
                        <w:w w:val="111"/>
                        <w:sz w:val="20"/>
                      </w:rPr>
                      <w:t>o</w:t>
                    </w:r>
                    <w:r>
                      <w:rPr>
                        <w:rFonts w:ascii="Trebuchet MS"/>
                        <w:spacing w:val="-3"/>
                        <w:w w:val="96"/>
                        <w:sz w:val="20"/>
                      </w:rPr>
                      <w:t>l</w:t>
                    </w:r>
                    <w:r>
                      <w:rPr>
                        <w:rFonts w:ascii="Trebuchet MS"/>
                        <w:spacing w:val="-3"/>
                        <w:w w:val="108"/>
                        <w:sz w:val="20"/>
                      </w:rPr>
                      <w:t>e</w:t>
                    </w:r>
                    <w:r>
                      <w:rPr>
                        <w:rFonts w:ascii="Trebuchet MS"/>
                        <w:w w:val="55"/>
                        <w:sz w:val="20"/>
                      </w:rPr>
                      <w:t>.</w:t>
                    </w:r>
                  </w:p>
                  <w:p>
                    <w:pPr>
                      <w:spacing w:line="247" w:lineRule="auto" w:before="86"/>
                      <w:ind w:left="0" w:right="0" w:firstLine="0"/>
                      <w:jc w:val="left"/>
                      <w:rPr>
                        <w:rFonts w:ascii="Trebuchet MS"/>
                        <w:sz w:val="20"/>
                      </w:rPr>
                    </w:pPr>
                    <w:r>
                      <w:rPr>
                        <w:rFonts w:ascii="Trebuchet MS"/>
                        <w:spacing w:val="-2"/>
                        <w:w w:val="105"/>
                        <w:sz w:val="20"/>
                      </w:rPr>
                      <w:t>T</w:t>
                    </w:r>
                    <w:r>
                      <w:rPr>
                        <w:rFonts w:ascii="Trebuchet MS"/>
                        <w:spacing w:val="-1"/>
                        <w:w w:val="107"/>
                        <w:sz w:val="20"/>
                      </w:rPr>
                      <w:t>h</w:t>
                    </w:r>
                    <w:r>
                      <w:rPr>
                        <w:rFonts w:ascii="Trebuchet MS"/>
                        <w:w w:val="108"/>
                        <w:sz w:val="20"/>
                      </w:rPr>
                      <w:t>e</w:t>
                    </w:r>
                    <w:r>
                      <w:rPr>
                        <w:rFonts w:ascii="Trebuchet MS"/>
                        <w:spacing w:val="-15"/>
                        <w:sz w:val="20"/>
                      </w:rPr>
                      <w:t> </w:t>
                    </w:r>
                    <w:r>
                      <w:rPr>
                        <w:rFonts w:ascii="Trebuchet MS"/>
                        <w:spacing w:val="-3"/>
                        <w:w w:val="111"/>
                        <w:sz w:val="20"/>
                      </w:rPr>
                      <w:t>c</w:t>
                    </w:r>
                    <w:r>
                      <w:rPr>
                        <w:rFonts w:ascii="Trebuchet MS"/>
                        <w:spacing w:val="-1"/>
                        <w:w w:val="111"/>
                        <w:sz w:val="20"/>
                      </w:rPr>
                      <w:t>o</w:t>
                    </w:r>
                    <w:r>
                      <w:rPr>
                        <w:rFonts w:ascii="Trebuchet MS"/>
                        <w:spacing w:val="-1"/>
                        <w:w w:val="109"/>
                        <w:sz w:val="20"/>
                      </w:rPr>
                      <w:t>u</w:t>
                    </w:r>
                    <w:r>
                      <w:rPr>
                        <w:rFonts w:ascii="Trebuchet MS"/>
                        <w:spacing w:val="2"/>
                        <w:w w:val="93"/>
                        <w:sz w:val="20"/>
                      </w:rPr>
                      <w:t>r</w:t>
                    </w:r>
                    <w:r>
                      <w:rPr>
                        <w:rFonts w:ascii="Trebuchet MS"/>
                        <w:spacing w:val="2"/>
                        <w:w w:val="88"/>
                        <w:sz w:val="20"/>
                      </w:rPr>
                      <w:t>t</w:t>
                    </w:r>
                    <w:r>
                      <w:rPr>
                        <w:rFonts w:ascii="Trebuchet MS"/>
                        <w:w w:val="122"/>
                        <w:sz w:val="20"/>
                      </w:rPr>
                      <w:t>s</w:t>
                    </w:r>
                    <w:r>
                      <w:rPr>
                        <w:rFonts w:ascii="Trebuchet MS"/>
                        <w:spacing w:val="-15"/>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5"/>
                        <w:sz w:val="20"/>
                      </w:rPr>
                      <w:t> </w:t>
                    </w:r>
                    <w:r>
                      <w:rPr>
                        <w:rFonts w:ascii="Trebuchet MS"/>
                        <w:spacing w:val="-2"/>
                        <w:w w:val="112"/>
                        <w:sz w:val="20"/>
                      </w:rPr>
                      <w:t>d</w:t>
                    </w:r>
                    <w:r>
                      <w:rPr>
                        <w:rFonts w:ascii="Trebuchet MS"/>
                        <w:spacing w:val="-5"/>
                        <w:w w:val="108"/>
                        <w:sz w:val="20"/>
                      </w:rPr>
                      <w:t>e</w:t>
                    </w:r>
                    <w:r>
                      <w:rPr>
                        <w:rFonts w:ascii="Trebuchet MS"/>
                        <w:spacing w:val="-6"/>
                        <w:w w:val="109"/>
                        <w:sz w:val="20"/>
                      </w:rPr>
                      <w:t>v</w:t>
                    </w:r>
                    <w:r>
                      <w:rPr>
                        <w:rFonts w:ascii="Trebuchet MS"/>
                        <w:spacing w:val="-2"/>
                        <w:w w:val="108"/>
                        <w:sz w:val="20"/>
                      </w:rPr>
                      <w:t>e</w:t>
                    </w:r>
                    <w:r>
                      <w:rPr>
                        <w:rFonts w:ascii="Trebuchet MS"/>
                        <w:spacing w:val="-3"/>
                        <w:w w:val="96"/>
                        <w:sz w:val="20"/>
                      </w:rPr>
                      <w:t>l</w:t>
                    </w:r>
                    <w:r>
                      <w:rPr>
                        <w:rFonts w:ascii="Trebuchet MS"/>
                        <w:spacing w:val="-1"/>
                        <w:w w:val="111"/>
                        <w:sz w:val="20"/>
                      </w:rPr>
                      <w:t>o</w:t>
                    </w:r>
                    <w:r>
                      <w:rPr>
                        <w:rFonts w:ascii="Trebuchet MS"/>
                        <w:w w:val="111"/>
                        <w:sz w:val="20"/>
                      </w:rPr>
                      <w:t>p</w:t>
                    </w:r>
                    <w:r>
                      <w:rPr>
                        <w:rFonts w:ascii="Trebuchet MS"/>
                        <w:spacing w:val="-15"/>
                        <w:sz w:val="20"/>
                      </w:rPr>
                      <w:t> </w:t>
                    </w:r>
                    <w:r>
                      <w:rPr>
                        <w:rFonts w:ascii="Trebuchet MS"/>
                        <w:spacing w:val="-1"/>
                        <w:w w:val="122"/>
                        <w:sz w:val="20"/>
                      </w:rPr>
                      <w:t>s</w:t>
                    </w:r>
                    <w:r>
                      <w:rPr>
                        <w:rFonts w:ascii="Trebuchet MS"/>
                        <w:w w:val="88"/>
                        <w:sz w:val="20"/>
                      </w:rPr>
                      <w:t>t</w:t>
                    </w:r>
                    <w:r>
                      <w:rPr>
                        <w:rFonts w:ascii="Trebuchet MS"/>
                        <w:spacing w:val="-2"/>
                        <w:w w:val="105"/>
                        <w:sz w:val="20"/>
                      </w:rPr>
                      <w:t>a</w:t>
                    </w:r>
                    <w:r>
                      <w:rPr>
                        <w:rFonts w:ascii="Trebuchet MS"/>
                        <w:spacing w:val="-1"/>
                        <w:w w:val="107"/>
                        <w:sz w:val="20"/>
                      </w:rPr>
                      <w:t>n</w:t>
                    </w:r>
                    <w:r>
                      <w:rPr>
                        <w:rFonts w:ascii="Trebuchet MS"/>
                        <w:spacing w:val="-2"/>
                        <w:w w:val="112"/>
                        <w:sz w:val="20"/>
                      </w:rPr>
                      <w:t>d</w:t>
                    </w:r>
                    <w:r>
                      <w:rPr>
                        <w:rFonts w:ascii="Trebuchet MS"/>
                        <w:spacing w:val="-2"/>
                        <w:w w:val="105"/>
                        <w:sz w:val="20"/>
                      </w:rPr>
                      <w:t>a</w:t>
                    </w:r>
                    <w:r>
                      <w:rPr>
                        <w:rFonts w:ascii="Trebuchet MS"/>
                        <w:spacing w:val="-4"/>
                        <w:w w:val="93"/>
                        <w:sz w:val="20"/>
                      </w:rPr>
                      <w:t>r</w:t>
                    </w:r>
                    <w:r>
                      <w:rPr>
                        <w:rFonts w:ascii="Trebuchet MS"/>
                        <w:spacing w:val="-1"/>
                        <w:w w:val="112"/>
                        <w:sz w:val="20"/>
                      </w:rPr>
                      <w:t>d</w:t>
                    </w:r>
                    <w:r>
                      <w:rPr>
                        <w:rFonts w:ascii="Trebuchet MS"/>
                        <w:w w:val="122"/>
                        <w:sz w:val="20"/>
                      </w:rPr>
                      <w:t>s</w:t>
                    </w:r>
                    <w:r>
                      <w:rPr>
                        <w:rFonts w:ascii="Trebuchet MS"/>
                        <w:spacing w:val="-15"/>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5"/>
                        <w:sz w:val="20"/>
                      </w:rPr>
                      <w:t> </w:t>
                    </w:r>
                    <w:r>
                      <w:rPr>
                        <w:rFonts w:ascii="Trebuchet MS"/>
                        <w:w w:val="105"/>
                        <w:sz w:val="20"/>
                      </w:rPr>
                      <w:t>a</w:t>
                    </w:r>
                    <w:r>
                      <w:rPr>
                        <w:rFonts w:ascii="Trebuchet MS"/>
                        <w:spacing w:val="-15"/>
                        <w:sz w:val="20"/>
                      </w:rPr>
                      <w:t> </w:t>
                    </w:r>
                    <w:r>
                      <w:rPr>
                        <w:rFonts w:ascii="Trebuchet MS"/>
                        <w:spacing w:val="-3"/>
                        <w:w w:val="111"/>
                        <w:sz w:val="20"/>
                      </w:rPr>
                      <w:t>c</w:t>
                    </w:r>
                    <w:r>
                      <w:rPr>
                        <w:rFonts w:ascii="Trebuchet MS"/>
                        <w:spacing w:val="-1"/>
                        <w:w w:val="111"/>
                        <w:sz w:val="20"/>
                      </w:rPr>
                      <w:t>o</w:t>
                    </w:r>
                    <w:r>
                      <w:rPr>
                        <w:rFonts w:ascii="Trebuchet MS"/>
                        <w:spacing w:val="-2"/>
                        <w:w w:val="112"/>
                        <w:sz w:val="20"/>
                      </w:rPr>
                      <w:t>d</w:t>
                    </w:r>
                    <w:r>
                      <w:rPr>
                        <w:rFonts w:ascii="Trebuchet MS"/>
                        <w:w w:val="108"/>
                        <w:sz w:val="20"/>
                      </w:rPr>
                      <w:t>e</w:t>
                    </w:r>
                    <w:r>
                      <w:rPr>
                        <w:rFonts w:ascii="Trebuchet MS"/>
                        <w:spacing w:val="-15"/>
                        <w:sz w:val="20"/>
                      </w:rPr>
                      <w:t> </w:t>
                    </w:r>
                    <w:r>
                      <w:rPr>
                        <w:rFonts w:ascii="Trebuchet MS"/>
                        <w:spacing w:val="-4"/>
                        <w:w w:val="111"/>
                        <w:sz w:val="20"/>
                      </w:rPr>
                      <w:t>o</w:t>
                    </w:r>
                    <w:r>
                      <w:rPr>
                        <w:rFonts w:ascii="Trebuchet MS"/>
                        <w:w w:val="92"/>
                        <w:sz w:val="20"/>
                      </w:rPr>
                      <w:t>f</w:t>
                    </w:r>
                    <w:r>
                      <w:rPr>
                        <w:rFonts w:ascii="Trebuchet MS"/>
                        <w:spacing w:val="-15"/>
                        <w:sz w:val="20"/>
                      </w:rPr>
                      <w:t> </w:t>
                    </w:r>
                    <w:r>
                      <w:rPr>
                        <w:rFonts w:ascii="Trebuchet MS"/>
                        <w:spacing w:val="-3"/>
                        <w:w w:val="111"/>
                        <w:sz w:val="20"/>
                      </w:rPr>
                      <w:t>c</w:t>
                    </w:r>
                    <w:r>
                      <w:rPr>
                        <w:rFonts w:ascii="Trebuchet MS"/>
                        <w:spacing w:val="-1"/>
                        <w:w w:val="111"/>
                        <w:sz w:val="20"/>
                      </w:rPr>
                      <w:t>o</w:t>
                    </w:r>
                    <w:r>
                      <w:rPr>
                        <w:rFonts w:ascii="Trebuchet MS"/>
                        <w:spacing w:val="-1"/>
                        <w:w w:val="107"/>
                        <w:sz w:val="20"/>
                      </w:rPr>
                      <w:t>n</w:t>
                    </w:r>
                    <w:r>
                      <w:rPr>
                        <w:rFonts w:ascii="Trebuchet MS"/>
                        <w:spacing w:val="-2"/>
                        <w:w w:val="112"/>
                        <w:sz w:val="20"/>
                      </w:rPr>
                      <w:t>d</w:t>
                    </w:r>
                    <w:r>
                      <w:rPr>
                        <w:rFonts w:ascii="Trebuchet MS"/>
                        <w:spacing w:val="-2"/>
                        <w:w w:val="109"/>
                        <w:sz w:val="20"/>
                      </w:rPr>
                      <w:t>u</w:t>
                    </w:r>
                    <w:r>
                      <w:rPr>
                        <w:rFonts w:ascii="Trebuchet MS"/>
                        <w:spacing w:val="-2"/>
                        <w:w w:val="111"/>
                        <w:sz w:val="20"/>
                      </w:rPr>
                      <w:t>c</w:t>
                    </w:r>
                    <w:r>
                      <w:rPr>
                        <w:rFonts w:ascii="Trebuchet MS"/>
                        <w:w w:val="88"/>
                        <w:sz w:val="20"/>
                      </w:rPr>
                      <w:t>t</w:t>
                    </w:r>
                    <w:r>
                      <w:rPr>
                        <w:rFonts w:ascii="Trebuchet MS"/>
                        <w:spacing w:val="-15"/>
                        <w:sz w:val="20"/>
                      </w:rPr>
                      <w:t> </w:t>
                    </w:r>
                    <w:r>
                      <w:rPr>
                        <w:rFonts w:ascii="Trebuchet MS"/>
                        <w:spacing w:val="-5"/>
                        <w:w w:val="92"/>
                        <w:sz w:val="20"/>
                      </w:rPr>
                      <w:t>f</w:t>
                    </w:r>
                    <w:r>
                      <w:rPr>
                        <w:rFonts w:ascii="Trebuchet MS"/>
                        <w:spacing w:val="-1"/>
                        <w:w w:val="111"/>
                        <w:sz w:val="20"/>
                      </w:rPr>
                      <w:t>o</w:t>
                    </w:r>
                    <w:r>
                      <w:rPr>
                        <w:rFonts w:ascii="Trebuchet MS"/>
                        <w:w w:val="93"/>
                        <w:sz w:val="20"/>
                      </w:rPr>
                      <w:t>r</w:t>
                    </w:r>
                    <w:r>
                      <w:rPr>
                        <w:rFonts w:ascii="Trebuchet MS"/>
                        <w:spacing w:val="-15"/>
                        <w:sz w:val="20"/>
                      </w:rPr>
                      <w:t> </w:t>
                    </w:r>
                    <w:r>
                      <w:rPr>
                        <w:rFonts w:ascii="Trebuchet MS"/>
                        <w:spacing w:val="-4"/>
                        <w:w w:val="114"/>
                        <w:sz w:val="20"/>
                      </w:rPr>
                      <w:t>A</w:t>
                    </w:r>
                    <w:r>
                      <w:rPr>
                        <w:rFonts w:ascii="Trebuchet MS"/>
                        <w:spacing w:val="-1"/>
                        <w:w w:val="109"/>
                        <w:sz w:val="20"/>
                      </w:rPr>
                      <w:t>u</w:t>
                    </w:r>
                    <w:r>
                      <w:rPr>
                        <w:rFonts w:ascii="Trebuchet MS"/>
                        <w:spacing w:val="-2"/>
                        <w:w w:val="122"/>
                        <w:sz w:val="20"/>
                      </w:rPr>
                      <w:t>s</w:t>
                    </w:r>
                    <w:r>
                      <w:rPr>
                        <w:rFonts w:ascii="Trebuchet MS"/>
                        <w:spacing w:val="1"/>
                        <w:w w:val="96"/>
                        <w:sz w:val="20"/>
                      </w:rPr>
                      <w:t>l</w:t>
                    </w:r>
                    <w:r>
                      <w:rPr>
                        <w:rFonts w:ascii="Trebuchet MS"/>
                        <w:spacing w:val="-2"/>
                        <w:w w:val="105"/>
                        <w:sz w:val="20"/>
                      </w:rPr>
                      <w:t>a</w:t>
                    </w:r>
                    <w:r>
                      <w:rPr>
                        <w:rFonts w:ascii="Trebuchet MS"/>
                        <w:w w:val="107"/>
                        <w:sz w:val="20"/>
                      </w:rPr>
                      <w:t>n</w:t>
                    </w:r>
                    <w:r>
                      <w:rPr>
                        <w:rFonts w:ascii="Trebuchet MS"/>
                        <w:spacing w:val="-15"/>
                        <w:sz w:val="20"/>
                      </w:rPr>
                      <w:t> </w:t>
                    </w:r>
                    <w:r>
                      <w:rPr>
                        <w:rFonts w:ascii="Trebuchet MS"/>
                        <w:spacing w:val="-2"/>
                        <w:w w:val="80"/>
                        <w:sz w:val="20"/>
                      </w:rPr>
                      <w:t>i</w:t>
                    </w:r>
                    <w:r>
                      <w:rPr>
                        <w:rFonts w:ascii="Trebuchet MS"/>
                        <w:spacing w:val="-4"/>
                        <w:w w:val="107"/>
                        <w:sz w:val="20"/>
                      </w:rPr>
                      <w:t>n</w:t>
                    </w:r>
                    <w:r>
                      <w:rPr>
                        <w:rFonts w:ascii="Trebuchet MS"/>
                        <w:spacing w:val="-4"/>
                        <w:w w:val="88"/>
                        <w:sz w:val="20"/>
                      </w:rPr>
                      <w:t>t</w:t>
                    </w:r>
                    <w:r>
                      <w:rPr>
                        <w:rFonts w:ascii="Trebuchet MS"/>
                        <w:spacing w:val="-1"/>
                        <w:w w:val="108"/>
                        <w:sz w:val="20"/>
                      </w:rPr>
                      <w:t>e</w:t>
                    </w:r>
                    <w:r>
                      <w:rPr>
                        <w:rFonts w:ascii="Trebuchet MS"/>
                        <w:spacing w:val="-2"/>
                        <w:w w:val="93"/>
                        <w:sz w:val="20"/>
                      </w:rPr>
                      <w:t>r</w:t>
                    </w:r>
                    <w:r>
                      <w:rPr>
                        <w:rFonts w:ascii="Trebuchet MS"/>
                        <w:spacing w:val="-1"/>
                        <w:w w:val="111"/>
                        <w:sz w:val="20"/>
                      </w:rPr>
                      <w:t>p</w:t>
                    </w:r>
                    <w:r>
                      <w:rPr>
                        <w:rFonts w:ascii="Trebuchet MS"/>
                        <w:spacing w:val="-4"/>
                        <w:w w:val="93"/>
                        <w:sz w:val="20"/>
                      </w:rPr>
                      <w:t>r</w:t>
                    </w:r>
                    <w:r>
                      <w:rPr>
                        <w:rFonts w:ascii="Trebuchet MS"/>
                        <w:spacing w:val="-3"/>
                        <w:w w:val="108"/>
                        <w:sz w:val="20"/>
                      </w:rPr>
                      <w:t>e</w:t>
                    </w:r>
                    <w:r>
                      <w:rPr>
                        <w:rFonts w:ascii="Trebuchet MS"/>
                        <w:spacing w:val="-4"/>
                        <w:w w:val="88"/>
                        <w:sz w:val="20"/>
                      </w:rPr>
                      <w:t>t</w:t>
                    </w:r>
                    <w:r>
                      <w:rPr>
                        <w:rFonts w:ascii="Trebuchet MS"/>
                        <w:spacing w:val="-1"/>
                        <w:w w:val="108"/>
                        <w:sz w:val="20"/>
                      </w:rPr>
                      <w:t>e</w:t>
                    </w:r>
                    <w:r>
                      <w:rPr>
                        <w:rFonts w:ascii="Trebuchet MS"/>
                        <w:spacing w:val="-1"/>
                        <w:w w:val="93"/>
                        <w:sz w:val="20"/>
                      </w:rPr>
                      <w:t>r</w:t>
                    </w:r>
                    <w:r>
                      <w:rPr>
                        <w:rFonts w:ascii="Trebuchet MS"/>
                        <w:spacing w:val="1"/>
                        <w:w w:val="122"/>
                        <w:sz w:val="20"/>
                      </w:rPr>
                      <w:t>s</w:t>
                    </w:r>
                    <w:r>
                      <w:rPr>
                        <w:rFonts w:ascii="Trebuchet MS"/>
                        <w:w w:val="57"/>
                        <w:sz w:val="20"/>
                      </w:rPr>
                      <w:t>, </w:t>
                    </w:r>
                    <w:r>
                      <w:rPr>
                        <w:rFonts w:ascii="Trebuchet MS"/>
                        <w:spacing w:val="-2"/>
                        <w:w w:val="110"/>
                        <w:sz w:val="20"/>
                      </w:rPr>
                      <w:t>w</w:t>
                    </w:r>
                    <w:r>
                      <w:rPr>
                        <w:rFonts w:ascii="Trebuchet MS"/>
                        <w:spacing w:val="-2"/>
                        <w:w w:val="107"/>
                        <w:sz w:val="20"/>
                      </w:rPr>
                      <w:t>h</w:t>
                    </w:r>
                    <w:r>
                      <w:rPr>
                        <w:rFonts w:ascii="Trebuchet MS"/>
                        <w:spacing w:val="-1"/>
                        <w:w w:val="80"/>
                        <w:sz w:val="20"/>
                      </w:rPr>
                      <w:t>i</w:t>
                    </w:r>
                    <w:r>
                      <w:rPr>
                        <w:rFonts w:ascii="Trebuchet MS"/>
                        <w:spacing w:val="-2"/>
                        <w:w w:val="111"/>
                        <w:sz w:val="20"/>
                      </w:rPr>
                      <w:t>c</w:t>
                    </w:r>
                    <w:r>
                      <w:rPr>
                        <w:rFonts w:ascii="Trebuchet MS"/>
                        <w:w w:val="107"/>
                        <w:sz w:val="20"/>
                      </w:rPr>
                      <w:t>h</w:t>
                    </w:r>
                    <w:r>
                      <w:rPr>
                        <w:rFonts w:ascii="Trebuchet MS"/>
                        <w:spacing w:val="-14"/>
                        <w:sz w:val="20"/>
                      </w:rPr>
                      <w:t> </w:t>
                    </w:r>
                    <w:r>
                      <w:rPr>
                        <w:rFonts w:ascii="Trebuchet MS"/>
                        <w:spacing w:val="-1"/>
                        <w:w w:val="110"/>
                        <w:sz w:val="20"/>
                      </w:rPr>
                      <w:t>o</w:t>
                    </w:r>
                    <w:r>
                      <w:rPr>
                        <w:rFonts w:ascii="Trebuchet MS"/>
                        <w:spacing w:val="-3"/>
                        <w:w w:val="110"/>
                        <w:sz w:val="20"/>
                      </w:rPr>
                      <w:t>u</w:t>
                    </w:r>
                    <w:r>
                      <w:rPr>
                        <w:rFonts w:ascii="Trebuchet MS"/>
                        <w:spacing w:val="-3"/>
                        <w:w w:val="88"/>
                        <w:sz w:val="20"/>
                      </w:rPr>
                      <w:t>t</w:t>
                    </w:r>
                    <w:r>
                      <w:rPr>
                        <w:rFonts w:ascii="Trebuchet MS"/>
                        <w:w w:val="96"/>
                        <w:sz w:val="20"/>
                      </w:rPr>
                      <w:t>l</w:t>
                    </w:r>
                    <w:r>
                      <w:rPr>
                        <w:rFonts w:ascii="Trebuchet MS"/>
                        <w:spacing w:val="-2"/>
                        <w:w w:val="80"/>
                        <w:sz w:val="20"/>
                      </w:rPr>
                      <w:t>i</w:t>
                    </w:r>
                    <w:r>
                      <w:rPr>
                        <w:rFonts w:ascii="Trebuchet MS"/>
                        <w:spacing w:val="-1"/>
                        <w:w w:val="108"/>
                        <w:sz w:val="20"/>
                      </w:rPr>
                      <w:t>n</w:t>
                    </w:r>
                    <w:r>
                      <w:rPr>
                        <w:rFonts w:ascii="Trebuchet MS"/>
                        <w:spacing w:val="-2"/>
                        <w:w w:val="108"/>
                        <w:sz w:val="20"/>
                      </w:rPr>
                      <w:t>e</w:t>
                    </w:r>
                    <w:r>
                      <w:rPr>
                        <w:rFonts w:ascii="Trebuchet MS"/>
                        <w:w w:val="122"/>
                        <w:sz w:val="20"/>
                      </w:rPr>
                      <w:t>s</w:t>
                    </w:r>
                    <w:r>
                      <w:rPr>
                        <w:rFonts w:ascii="Trebuchet MS"/>
                        <w:spacing w:val="-14"/>
                        <w:sz w:val="20"/>
                      </w:rPr>
                      <w:t> </w:t>
                    </w:r>
                    <w:r>
                      <w:rPr>
                        <w:rFonts w:ascii="Trebuchet MS"/>
                        <w:spacing w:val="-2"/>
                        <w:w w:val="88"/>
                        <w:sz w:val="20"/>
                      </w:rPr>
                      <w:t>t</w:t>
                    </w:r>
                    <w:r>
                      <w:rPr>
                        <w:rFonts w:ascii="Trebuchet MS"/>
                        <w:spacing w:val="-1"/>
                        <w:w w:val="108"/>
                        <w:sz w:val="20"/>
                      </w:rPr>
                      <w:t>he</w:t>
                    </w:r>
                    <w:r>
                      <w:rPr>
                        <w:rFonts w:ascii="Trebuchet MS"/>
                        <w:spacing w:val="-2"/>
                        <w:w w:val="80"/>
                        <w:sz w:val="20"/>
                      </w:rPr>
                      <w:t>i</w:t>
                    </w:r>
                    <w:r>
                      <w:rPr>
                        <w:rFonts w:ascii="Trebuchet MS"/>
                        <w:w w:val="93"/>
                        <w:sz w:val="20"/>
                      </w:rPr>
                      <w:t>r</w:t>
                    </w:r>
                    <w:r>
                      <w:rPr>
                        <w:rFonts w:ascii="Trebuchet MS"/>
                        <w:spacing w:val="-14"/>
                        <w:sz w:val="20"/>
                      </w:rPr>
                      <w:t> </w:t>
                    </w:r>
                    <w:r>
                      <w:rPr>
                        <w:rFonts w:ascii="Trebuchet MS"/>
                        <w:spacing w:val="-4"/>
                        <w:w w:val="93"/>
                        <w:sz w:val="20"/>
                      </w:rPr>
                      <w:t>r</w:t>
                    </w:r>
                    <w:r>
                      <w:rPr>
                        <w:rFonts w:ascii="Trebuchet MS"/>
                        <w:spacing w:val="-2"/>
                        <w:w w:val="111"/>
                        <w:sz w:val="20"/>
                      </w:rPr>
                      <w:t>o</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2"/>
                        <w:w w:val="105"/>
                        <w:sz w:val="20"/>
                      </w:rPr>
                      <w:t>a</w:t>
                    </w:r>
                    <w:r>
                      <w:rPr>
                        <w:rFonts w:ascii="Trebuchet MS"/>
                        <w:spacing w:val="-1"/>
                        <w:w w:val="110"/>
                        <w:sz w:val="20"/>
                      </w:rPr>
                      <w:t>n</w:t>
                    </w:r>
                    <w:r>
                      <w:rPr>
                        <w:rFonts w:ascii="Trebuchet MS"/>
                        <w:w w:val="110"/>
                        <w:sz w:val="20"/>
                      </w:rPr>
                      <w:t>d</w:t>
                    </w:r>
                    <w:r>
                      <w:rPr>
                        <w:rFonts w:ascii="Trebuchet MS"/>
                        <w:spacing w:val="-14"/>
                        <w:sz w:val="20"/>
                      </w:rPr>
                      <w:t> </w:t>
                    </w:r>
                    <w:r>
                      <w:rPr>
                        <w:rFonts w:ascii="Trebuchet MS"/>
                        <w:spacing w:val="-4"/>
                        <w:w w:val="93"/>
                        <w:sz w:val="20"/>
                      </w:rPr>
                      <w:t>r</w:t>
                    </w:r>
                    <w:r>
                      <w:rPr>
                        <w:rFonts w:ascii="Trebuchet MS"/>
                        <w:spacing w:val="-2"/>
                        <w:w w:val="108"/>
                        <w:sz w:val="20"/>
                      </w:rPr>
                      <w:t>e</w:t>
                    </w:r>
                    <w:r>
                      <w:rPr>
                        <w:rFonts w:ascii="Trebuchet MS"/>
                        <w:spacing w:val="-2"/>
                        <w:w w:val="122"/>
                        <w:sz w:val="20"/>
                      </w:rPr>
                      <w:t>s</w:t>
                    </w:r>
                    <w:r>
                      <w:rPr>
                        <w:rFonts w:ascii="Trebuchet MS"/>
                        <w:spacing w:val="-1"/>
                        <w:w w:val="111"/>
                        <w:sz w:val="20"/>
                      </w:rPr>
                      <w:t>p</w:t>
                    </w:r>
                    <w:r>
                      <w:rPr>
                        <w:rFonts w:ascii="Trebuchet MS"/>
                        <w:spacing w:val="-1"/>
                        <w:w w:val="111"/>
                        <w:sz w:val="20"/>
                      </w:rPr>
                      <w:t>o</w:t>
                    </w:r>
                    <w:r>
                      <w:rPr>
                        <w:rFonts w:ascii="Trebuchet MS"/>
                        <w:spacing w:val="-2"/>
                        <w:w w:val="107"/>
                        <w:sz w:val="20"/>
                      </w:rPr>
                      <w:t>n</w:t>
                    </w:r>
                    <w:r>
                      <w:rPr>
                        <w:rFonts w:ascii="Trebuchet MS"/>
                        <w:spacing w:val="-2"/>
                        <w:w w:val="122"/>
                        <w:sz w:val="20"/>
                      </w:rPr>
                      <w:t>s</w:t>
                    </w:r>
                    <w:r>
                      <w:rPr>
                        <w:rFonts w:ascii="Trebuchet MS"/>
                        <w:spacing w:val="-2"/>
                        <w:w w:val="80"/>
                        <w:sz w:val="20"/>
                      </w:rPr>
                      <w:t>i</w:t>
                    </w:r>
                    <w:r>
                      <w:rPr>
                        <w:rFonts w:ascii="Trebuchet MS"/>
                        <w:spacing w:val="-1"/>
                        <w:w w:val="101"/>
                        <w:sz w:val="20"/>
                      </w:rPr>
                      <w:t>b</w:t>
                    </w:r>
                    <w:r>
                      <w:rPr>
                        <w:rFonts w:ascii="Trebuchet MS"/>
                        <w:spacing w:val="-2"/>
                        <w:w w:val="101"/>
                        <w:sz w:val="20"/>
                      </w:rPr>
                      <w:t>i</w:t>
                    </w:r>
                    <w:r>
                      <w:rPr>
                        <w:rFonts w:ascii="Trebuchet MS"/>
                        <w:w w:val="96"/>
                        <w:sz w:val="20"/>
                      </w:rPr>
                      <w:t>l</w:t>
                    </w:r>
                    <w:r>
                      <w:rPr>
                        <w:rFonts w:ascii="Trebuchet MS"/>
                        <w:spacing w:val="-3"/>
                        <w:w w:val="80"/>
                        <w:sz w:val="20"/>
                      </w:rPr>
                      <w:t>i</w:t>
                    </w:r>
                    <w:r>
                      <w:rPr>
                        <w:rFonts w:ascii="Trebuchet MS"/>
                        <w:spacing w:val="-2"/>
                        <w:w w:val="88"/>
                        <w:sz w:val="20"/>
                      </w:rPr>
                      <w:t>t</w:t>
                    </w:r>
                    <w:r>
                      <w:rPr>
                        <w:rFonts w:ascii="Trebuchet MS"/>
                        <w:spacing w:val="-1"/>
                        <w:w w:val="80"/>
                        <w:sz w:val="20"/>
                      </w:rPr>
                      <w:t>i</w:t>
                    </w:r>
                    <w:r>
                      <w:rPr>
                        <w:rFonts w:ascii="Trebuchet MS"/>
                        <w:spacing w:val="-2"/>
                        <w:w w:val="108"/>
                        <w:sz w:val="20"/>
                      </w:rPr>
                      <w:t>e</w:t>
                    </w:r>
                    <w:r>
                      <w:rPr>
                        <w:rFonts w:ascii="Trebuchet MS"/>
                        <w:spacing w:val="1"/>
                        <w:w w:val="122"/>
                        <w:sz w:val="20"/>
                      </w:rPr>
                      <w:t>s</w:t>
                    </w:r>
                    <w:r>
                      <w:rPr>
                        <w:rFonts w:ascii="Trebuchet MS"/>
                        <w:w w:val="55"/>
                        <w:sz w:val="20"/>
                      </w:rPr>
                      <w:t>.</w:t>
                    </w:r>
                    <w:r>
                      <w:rPr>
                        <w:rFonts w:ascii="Trebuchet MS"/>
                        <w:spacing w:val="-14"/>
                        <w:sz w:val="20"/>
                      </w:rPr>
                      <w:t> </w:t>
                    </w:r>
                    <w:r>
                      <w:rPr>
                        <w:rFonts w:ascii="Trebuchet MS"/>
                        <w:spacing w:val="-1"/>
                        <w:w w:val="111"/>
                        <w:sz w:val="20"/>
                      </w:rPr>
                      <w:t>Ame</w:t>
                    </w:r>
                    <w:r>
                      <w:rPr>
                        <w:rFonts w:ascii="Trebuchet MS"/>
                        <w:spacing w:val="-1"/>
                        <w:w w:val="110"/>
                        <w:sz w:val="20"/>
                      </w:rPr>
                      <w:t>nd</w:t>
                    </w:r>
                    <w:r>
                      <w:rPr>
                        <w:rFonts w:ascii="Trebuchet MS"/>
                        <w:spacing w:val="-1"/>
                        <w:w w:val="110"/>
                        <w:sz w:val="20"/>
                      </w:rPr>
                      <w:t>me</w:t>
                    </w:r>
                    <w:r>
                      <w:rPr>
                        <w:rFonts w:ascii="Trebuchet MS"/>
                        <w:spacing w:val="-4"/>
                        <w:w w:val="107"/>
                        <w:sz w:val="20"/>
                      </w:rPr>
                      <w:t>n</w:t>
                    </w:r>
                    <w:r>
                      <w:rPr>
                        <w:rFonts w:ascii="Trebuchet MS"/>
                        <w:spacing w:val="2"/>
                        <w:w w:val="88"/>
                        <w:sz w:val="20"/>
                      </w:rPr>
                      <w:t>t</w:t>
                    </w:r>
                    <w:r>
                      <w:rPr>
                        <w:rFonts w:ascii="Trebuchet MS"/>
                        <w:w w:val="122"/>
                        <w:sz w:val="20"/>
                      </w:rPr>
                      <w:t>s</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2"/>
                        <w:w w:val="88"/>
                        <w:sz w:val="20"/>
                      </w:rPr>
                      <w:t>t</w:t>
                    </w:r>
                    <w:r>
                      <w:rPr>
                        <w:rFonts w:ascii="Trebuchet MS"/>
                        <w:spacing w:val="-1"/>
                        <w:w w:val="108"/>
                        <w:sz w:val="20"/>
                      </w:rPr>
                      <w:t>h</w:t>
                    </w:r>
                    <w:r>
                      <w:rPr>
                        <w:rFonts w:ascii="Trebuchet MS"/>
                        <w:w w:val="108"/>
                        <w:sz w:val="20"/>
                      </w:rPr>
                      <w:t>e</w:t>
                    </w:r>
                    <w:r>
                      <w:rPr>
                        <w:rFonts w:ascii="Trebuchet MS"/>
                        <w:spacing w:val="-14"/>
                        <w:sz w:val="20"/>
                      </w:rPr>
                      <w:t> </w:t>
                    </w:r>
                    <w:r>
                      <w:rPr>
                        <w:rFonts w:ascii="Trebuchet MS"/>
                        <w:spacing w:val="-1"/>
                        <w:w w:val="101"/>
                        <w:sz w:val="20"/>
                      </w:rPr>
                      <w:t>J</w:t>
                    </w:r>
                    <w:r>
                      <w:rPr>
                        <w:rFonts w:ascii="Trebuchet MS"/>
                        <w:spacing w:val="-1"/>
                        <w:w w:val="103"/>
                        <w:sz w:val="20"/>
                      </w:rPr>
                      <w:t>u</w:t>
                    </w:r>
                    <w:r>
                      <w:rPr>
                        <w:rFonts w:ascii="Trebuchet MS"/>
                        <w:spacing w:val="-2"/>
                        <w:w w:val="103"/>
                        <w:sz w:val="20"/>
                      </w:rPr>
                      <w:t>r</w:t>
                    </w:r>
                    <w:r>
                      <w:rPr>
                        <w:rFonts w:ascii="Trebuchet MS"/>
                        <w:spacing w:val="-1"/>
                        <w:w w:val="80"/>
                        <w:sz w:val="20"/>
                      </w:rPr>
                      <w:t>i</w:t>
                    </w:r>
                    <w:r>
                      <w:rPr>
                        <w:rFonts w:ascii="Trebuchet MS"/>
                        <w:spacing w:val="-2"/>
                        <w:w w:val="108"/>
                        <w:sz w:val="20"/>
                      </w:rPr>
                      <w:t>e</w:t>
                    </w:r>
                    <w:r>
                      <w:rPr>
                        <w:rFonts w:ascii="Trebuchet MS"/>
                        <w:w w:val="122"/>
                        <w:sz w:val="20"/>
                      </w:rPr>
                      <w:t>s</w:t>
                    </w:r>
                    <w:r>
                      <w:rPr>
                        <w:rFonts w:ascii="Trebuchet MS"/>
                        <w:spacing w:val="-14"/>
                        <w:sz w:val="20"/>
                      </w:rPr>
                      <w:t> </w:t>
                    </w:r>
                    <w:r>
                      <w:rPr>
                        <w:rFonts w:ascii="Trebuchet MS"/>
                        <w:spacing w:val="-4"/>
                        <w:w w:val="114"/>
                        <w:sz w:val="20"/>
                      </w:rPr>
                      <w:t>A</w:t>
                    </w:r>
                    <w:r>
                      <w:rPr>
                        <w:rFonts w:ascii="Trebuchet MS"/>
                        <w:spacing w:val="-2"/>
                        <w:w w:val="111"/>
                        <w:sz w:val="20"/>
                      </w:rPr>
                      <w:t>c</w:t>
                    </w:r>
                    <w:r>
                      <w:rPr>
                        <w:rFonts w:ascii="Trebuchet MS"/>
                        <w:w w:val="88"/>
                        <w:sz w:val="20"/>
                      </w:rPr>
                      <w:t>t</w:t>
                    </w:r>
                    <w:r>
                      <w:rPr>
                        <w:rFonts w:ascii="Trebuchet MS"/>
                        <w:spacing w:val="-14"/>
                        <w:sz w:val="20"/>
                      </w:rPr>
                      <w:t> </w:t>
                    </w:r>
                    <w:r>
                      <w:rPr>
                        <w:rFonts w:ascii="Trebuchet MS"/>
                        <w:spacing w:val="-2"/>
                        <w:w w:val="122"/>
                        <w:sz w:val="20"/>
                      </w:rPr>
                      <w:t>s</w:t>
                    </w:r>
                    <w:r>
                      <w:rPr>
                        <w:rFonts w:ascii="Trebuchet MS"/>
                        <w:spacing w:val="-1"/>
                        <w:w w:val="109"/>
                        <w:sz w:val="20"/>
                      </w:rPr>
                      <w:t>ho</w:t>
                    </w:r>
                    <w:r>
                      <w:rPr>
                        <w:rFonts w:ascii="Trebuchet MS"/>
                        <w:spacing w:val="-2"/>
                        <w:w w:val="109"/>
                        <w:sz w:val="20"/>
                      </w:rPr>
                      <w:t>u</w:t>
                    </w:r>
                    <w:r>
                      <w:rPr>
                        <w:rFonts w:ascii="Trebuchet MS"/>
                        <w:spacing w:val="-3"/>
                        <w:w w:val="96"/>
                        <w:sz w:val="20"/>
                      </w:rPr>
                      <w:t>l</w:t>
                    </w:r>
                    <w:r>
                      <w:rPr>
                        <w:rFonts w:ascii="Trebuchet MS"/>
                        <w:w w:val="112"/>
                        <w:sz w:val="20"/>
                      </w:rPr>
                      <w:t>d </w:t>
                    </w:r>
                    <w:r>
                      <w:rPr>
                        <w:rFonts w:ascii="Trebuchet MS"/>
                        <w:spacing w:val="-1"/>
                        <w:w w:val="111"/>
                        <w:sz w:val="20"/>
                      </w:rPr>
                      <w:t>b</w:t>
                    </w:r>
                    <w:r>
                      <w:rPr>
                        <w:rFonts w:ascii="Trebuchet MS"/>
                        <w:w w:val="108"/>
                        <w:sz w:val="20"/>
                      </w:rPr>
                      <w:t>e</w:t>
                    </w:r>
                    <w:r>
                      <w:rPr>
                        <w:rFonts w:ascii="Trebuchet MS"/>
                        <w:spacing w:val="-14"/>
                        <w:sz w:val="20"/>
                      </w:rPr>
                      <w:t> </w:t>
                    </w:r>
                    <w:r>
                      <w:rPr>
                        <w:rFonts w:ascii="Trebuchet MS"/>
                        <w:spacing w:val="-2"/>
                        <w:w w:val="108"/>
                        <w:sz w:val="20"/>
                      </w:rPr>
                      <w:t>a</w:t>
                    </w:r>
                    <w:r>
                      <w:rPr>
                        <w:rFonts w:ascii="Trebuchet MS"/>
                        <w:spacing w:val="-3"/>
                        <w:w w:val="108"/>
                        <w:sz w:val="20"/>
                      </w:rPr>
                      <w:t>c</w:t>
                    </w:r>
                    <w:r>
                      <w:rPr>
                        <w:rFonts w:ascii="Trebuchet MS"/>
                        <w:spacing w:val="-3"/>
                        <w:w w:val="111"/>
                        <w:sz w:val="20"/>
                      </w:rPr>
                      <w:t>c</w:t>
                    </w:r>
                    <w:r>
                      <w:rPr>
                        <w:rFonts w:ascii="Trebuchet MS"/>
                        <w:spacing w:val="-1"/>
                        <w:w w:val="111"/>
                        <w:sz w:val="20"/>
                      </w:rPr>
                      <w:t>o</w:t>
                    </w:r>
                    <w:r>
                      <w:rPr>
                        <w:rFonts w:ascii="Trebuchet MS"/>
                        <w:spacing w:val="-2"/>
                        <w:w w:val="111"/>
                        <w:sz w:val="20"/>
                      </w:rPr>
                      <w:t>m</w:t>
                    </w:r>
                    <w:r>
                      <w:rPr>
                        <w:rFonts w:ascii="Trebuchet MS"/>
                        <w:spacing w:val="-1"/>
                        <w:w w:val="111"/>
                        <w:sz w:val="20"/>
                      </w:rPr>
                      <w:t>p</w:t>
                    </w:r>
                    <w:r>
                      <w:rPr>
                        <w:rFonts w:ascii="Trebuchet MS"/>
                        <w:spacing w:val="-2"/>
                        <w:w w:val="105"/>
                        <w:sz w:val="20"/>
                      </w:rPr>
                      <w:t>a</w:t>
                    </w:r>
                    <w:r>
                      <w:rPr>
                        <w:rFonts w:ascii="Trebuchet MS"/>
                        <w:spacing w:val="-2"/>
                        <w:w w:val="107"/>
                        <w:sz w:val="20"/>
                      </w:rPr>
                      <w:t>n</w:t>
                    </w:r>
                    <w:r>
                      <w:rPr>
                        <w:rFonts w:ascii="Trebuchet MS"/>
                        <w:spacing w:val="-1"/>
                        <w:w w:val="80"/>
                        <w:sz w:val="20"/>
                      </w:rPr>
                      <w:t>i</w:t>
                    </w:r>
                    <w:r>
                      <w:rPr>
                        <w:rFonts w:ascii="Trebuchet MS"/>
                        <w:w w:val="108"/>
                        <w:sz w:val="20"/>
                      </w:rPr>
                      <w:t>e</w:t>
                    </w:r>
                    <w:r>
                      <w:rPr>
                        <w:rFonts w:ascii="Trebuchet MS"/>
                        <w:w w:val="112"/>
                        <w:sz w:val="20"/>
                      </w:rPr>
                      <w:t>d</w:t>
                    </w:r>
                    <w:r>
                      <w:rPr>
                        <w:rFonts w:ascii="Trebuchet MS"/>
                        <w:spacing w:val="-14"/>
                        <w:sz w:val="20"/>
                      </w:rPr>
                      <w:t> </w:t>
                    </w:r>
                    <w:r>
                      <w:rPr>
                        <w:rFonts w:ascii="Trebuchet MS"/>
                        <w:spacing w:val="-6"/>
                        <w:w w:val="111"/>
                        <w:sz w:val="20"/>
                      </w:rPr>
                      <w:t>b</w:t>
                    </w:r>
                    <w:r>
                      <w:rPr>
                        <w:rFonts w:ascii="Trebuchet MS"/>
                        <w:w w:val="110"/>
                        <w:sz w:val="20"/>
                      </w:rPr>
                      <w:t>y</w:t>
                    </w:r>
                    <w:r>
                      <w:rPr>
                        <w:rFonts w:ascii="Trebuchet MS"/>
                        <w:spacing w:val="-14"/>
                        <w:sz w:val="20"/>
                      </w:rPr>
                      <w:t> </w:t>
                    </w:r>
                    <w:r>
                      <w:rPr>
                        <w:rFonts w:ascii="Trebuchet MS"/>
                        <w:spacing w:val="-4"/>
                        <w:w w:val="93"/>
                        <w:sz w:val="20"/>
                      </w:rPr>
                      <w:t>r</w:t>
                    </w:r>
                    <w:r>
                      <w:rPr>
                        <w:rFonts w:ascii="Trebuchet MS"/>
                        <w:w w:val="108"/>
                        <w:sz w:val="20"/>
                      </w:rPr>
                      <w:t>e</w:t>
                    </w:r>
                    <w:r>
                      <w:rPr>
                        <w:rFonts w:ascii="Trebuchet MS"/>
                        <w:spacing w:val="-2"/>
                        <w:w w:val="124"/>
                        <w:sz w:val="20"/>
                      </w:rPr>
                      <w:t>g</w:t>
                    </w:r>
                    <w:r>
                      <w:rPr>
                        <w:rFonts w:ascii="Trebuchet MS"/>
                        <w:spacing w:val="-2"/>
                        <w:w w:val="109"/>
                        <w:sz w:val="20"/>
                      </w:rPr>
                      <w:t>u</w:t>
                    </w:r>
                    <w:r>
                      <w:rPr>
                        <w:rFonts w:ascii="Trebuchet MS"/>
                        <w:spacing w:val="1"/>
                        <w:w w:val="96"/>
                        <w:sz w:val="20"/>
                      </w:rPr>
                      <w:t>l</w:t>
                    </w:r>
                    <w:r>
                      <w:rPr>
                        <w:rFonts w:ascii="Trebuchet MS"/>
                        <w:spacing w:val="-4"/>
                        <w:w w:val="105"/>
                        <w:sz w:val="20"/>
                      </w:rPr>
                      <w:t>a</w:t>
                    </w:r>
                    <w:r>
                      <w:rPr>
                        <w:rFonts w:ascii="Trebuchet MS"/>
                        <w:spacing w:val="-2"/>
                        <w:w w:val="88"/>
                        <w:sz w:val="20"/>
                      </w:rPr>
                      <w:t>t</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spacing w:val="-4"/>
                        <w:w w:val="105"/>
                        <w:sz w:val="20"/>
                      </w:rPr>
                      <w:t>a</w:t>
                    </w:r>
                    <w:r>
                      <w:rPr>
                        <w:rFonts w:ascii="Trebuchet MS"/>
                        <w:w w:val="88"/>
                        <w:sz w:val="20"/>
                      </w:rPr>
                      <w:t>t</w:t>
                    </w:r>
                    <w:r>
                      <w:rPr>
                        <w:rFonts w:ascii="Trebuchet MS"/>
                        <w:spacing w:val="-14"/>
                        <w:sz w:val="20"/>
                      </w:rPr>
                      <w:t> </w:t>
                    </w:r>
                    <w:r>
                      <w:rPr>
                        <w:rFonts w:ascii="Trebuchet MS"/>
                        <w:spacing w:val="-2"/>
                        <w:w w:val="80"/>
                        <w:sz w:val="20"/>
                      </w:rPr>
                      <w:t>i</w:t>
                    </w:r>
                    <w:r>
                      <w:rPr>
                        <w:rFonts w:ascii="Trebuchet MS"/>
                        <w:spacing w:val="-1"/>
                        <w:w w:val="107"/>
                        <w:sz w:val="20"/>
                      </w:rPr>
                      <w:t>n</w:t>
                    </w:r>
                    <w:r>
                      <w:rPr>
                        <w:rFonts w:ascii="Trebuchet MS"/>
                        <w:spacing w:val="-3"/>
                        <w:w w:val="111"/>
                        <w:sz w:val="20"/>
                      </w:rPr>
                      <w:t>c</w:t>
                    </w:r>
                    <w:r>
                      <w:rPr>
                        <w:rFonts w:ascii="Trebuchet MS"/>
                        <w:spacing w:val="-3"/>
                        <w:w w:val="96"/>
                        <w:sz w:val="20"/>
                      </w:rPr>
                      <w:t>l</w:t>
                    </w:r>
                    <w:r>
                      <w:rPr>
                        <w:rFonts w:ascii="Trebuchet MS"/>
                        <w:spacing w:val="-2"/>
                        <w:w w:val="109"/>
                        <w:sz w:val="20"/>
                      </w:rPr>
                      <w:t>u</w:t>
                    </w:r>
                    <w:r>
                      <w:rPr>
                        <w:rFonts w:ascii="Trebuchet MS"/>
                        <w:spacing w:val="-2"/>
                        <w:w w:val="112"/>
                        <w:sz w:val="20"/>
                      </w:rPr>
                      <w:t>d</w:t>
                    </w:r>
                    <w:r>
                      <w:rPr>
                        <w:rFonts w:ascii="Trebuchet MS"/>
                        <w:spacing w:val="-2"/>
                        <w:w w:val="108"/>
                        <w:sz w:val="20"/>
                      </w:rPr>
                      <w:t>e</w:t>
                    </w:r>
                    <w:r>
                      <w:rPr>
                        <w:rFonts w:ascii="Trebuchet MS"/>
                        <w:w w:val="122"/>
                        <w:sz w:val="20"/>
                      </w:rPr>
                      <w:t>s</w:t>
                    </w:r>
                    <w:r>
                      <w:rPr>
                        <w:rFonts w:ascii="Trebuchet MS"/>
                        <w:spacing w:val="-14"/>
                        <w:sz w:val="20"/>
                      </w:rPr>
                      <w:t> </w:t>
                    </w:r>
                    <w:r>
                      <w:rPr>
                        <w:rFonts w:ascii="Trebuchet MS"/>
                        <w:spacing w:val="-2"/>
                        <w:w w:val="108"/>
                        <w:sz w:val="20"/>
                      </w:rPr>
                      <w:t>a</w:t>
                    </w:r>
                    <w:r>
                      <w:rPr>
                        <w:rFonts w:ascii="Trebuchet MS"/>
                        <w:spacing w:val="-3"/>
                        <w:w w:val="108"/>
                        <w:sz w:val="20"/>
                      </w:rPr>
                      <w:t>c</w:t>
                    </w:r>
                    <w:r>
                      <w:rPr>
                        <w:rFonts w:ascii="Trebuchet MS"/>
                        <w:spacing w:val="-2"/>
                        <w:w w:val="111"/>
                        <w:sz w:val="20"/>
                      </w:rPr>
                      <w:t>c</w:t>
                    </w:r>
                    <w:r>
                      <w:rPr>
                        <w:rFonts w:ascii="Trebuchet MS"/>
                        <w:spacing w:val="-4"/>
                        <w:w w:val="93"/>
                        <w:sz w:val="20"/>
                      </w:rPr>
                      <w:t>r</w:t>
                    </w:r>
                    <w:r>
                      <w:rPr>
                        <w:rFonts w:ascii="Trebuchet MS"/>
                        <w:w w:val="108"/>
                        <w:sz w:val="20"/>
                      </w:rPr>
                      <w:t>e</w:t>
                    </w:r>
                    <w:r>
                      <w:rPr>
                        <w:rFonts w:ascii="Trebuchet MS"/>
                        <w:spacing w:val="-1"/>
                        <w:w w:val="112"/>
                        <w:sz w:val="20"/>
                      </w:rPr>
                      <w:t>d</w:t>
                    </w:r>
                    <w:r>
                      <w:rPr>
                        <w:rFonts w:ascii="Trebuchet MS"/>
                        <w:spacing w:val="-3"/>
                        <w:w w:val="80"/>
                        <w:sz w:val="20"/>
                      </w:rPr>
                      <w:t>i</w:t>
                    </w:r>
                    <w:r>
                      <w:rPr>
                        <w:rFonts w:ascii="Trebuchet MS"/>
                        <w:w w:val="88"/>
                        <w:sz w:val="20"/>
                      </w:rPr>
                      <w:t>t</w:t>
                    </w:r>
                    <w:r>
                      <w:rPr>
                        <w:rFonts w:ascii="Trebuchet MS"/>
                        <w:spacing w:val="-4"/>
                        <w:w w:val="105"/>
                        <w:sz w:val="20"/>
                      </w:rPr>
                      <w:t>a</w:t>
                    </w:r>
                    <w:r>
                      <w:rPr>
                        <w:rFonts w:ascii="Trebuchet MS"/>
                        <w:spacing w:val="-2"/>
                        <w:w w:val="88"/>
                        <w:sz w:val="20"/>
                      </w:rPr>
                      <w:t>t</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4"/>
                        <w:w w:val="93"/>
                        <w:sz w:val="20"/>
                      </w:rPr>
                      <w:t>r</w:t>
                    </w:r>
                    <w:r>
                      <w:rPr>
                        <w:rFonts w:ascii="Trebuchet MS"/>
                        <w:w w:val="108"/>
                        <w:sz w:val="20"/>
                      </w:rPr>
                      <w:t>e</w:t>
                    </w:r>
                    <w:r>
                      <w:rPr>
                        <w:rFonts w:ascii="Trebuchet MS"/>
                        <w:spacing w:val="-2"/>
                        <w:w w:val="111"/>
                        <w:sz w:val="20"/>
                      </w:rPr>
                      <w:t>q</w:t>
                    </w:r>
                    <w:r>
                      <w:rPr>
                        <w:rFonts w:ascii="Trebuchet MS"/>
                        <w:spacing w:val="-1"/>
                        <w:w w:val="109"/>
                        <w:sz w:val="20"/>
                      </w:rPr>
                      <w:t>u</w:t>
                    </w:r>
                    <w:r>
                      <w:rPr>
                        <w:rFonts w:ascii="Trebuchet MS"/>
                        <w:spacing w:val="-2"/>
                        <w:w w:val="80"/>
                        <w:sz w:val="20"/>
                      </w:rPr>
                      <w:t>i</w:t>
                    </w:r>
                    <w:r>
                      <w:rPr>
                        <w:rFonts w:ascii="Trebuchet MS"/>
                        <w:spacing w:val="-4"/>
                        <w:w w:val="93"/>
                        <w:sz w:val="20"/>
                      </w:rPr>
                      <w:t>r</w:t>
                    </w:r>
                    <w:r>
                      <w:rPr>
                        <w:rFonts w:ascii="Trebuchet MS"/>
                        <w:spacing w:val="-1"/>
                        <w:w w:val="108"/>
                        <w:sz w:val="20"/>
                      </w:rPr>
                      <w:t>e</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spacing w:val="2"/>
                        <w:w w:val="88"/>
                        <w:sz w:val="20"/>
                      </w:rPr>
                      <w:t>t</w:t>
                    </w:r>
                    <w:r>
                      <w:rPr>
                        <w:rFonts w:ascii="Trebuchet MS"/>
                        <w:spacing w:val="1"/>
                        <w:w w:val="122"/>
                        <w:sz w:val="20"/>
                      </w:rPr>
                      <w:t>s</w:t>
                    </w:r>
                    <w:r>
                      <w:rPr>
                        <w:rFonts w:ascii="Trebuchet MS"/>
                        <w:w w:val="57"/>
                        <w:sz w:val="20"/>
                      </w:rPr>
                      <w:t>,</w:t>
                    </w:r>
                    <w:r>
                      <w:rPr>
                        <w:rFonts w:ascii="Trebuchet MS"/>
                        <w:spacing w:val="-14"/>
                        <w:sz w:val="20"/>
                      </w:rPr>
                      <w:t> </w:t>
                    </w:r>
                    <w:r>
                      <w:rPr>
                        <w:rFonts w:ascii="Trebuchet MS"/>
                        <w:spacing w:val="-1"/>
                        <w:w w:val="122"/>
                        <w:sz w:val="20"/>
                      </w:rPr>
                      <w:t>s</w:t>
                    </w:r>
                    <w:r>
                      <w:rPr>
                        <w:rFonts w:ascii="Trebuchet MS"/>
                        <w:w w:val="88"/>
                        <w:sz w:val="20"/>
                      </w:rPr>
                      <w:t>t</w:t>
                    </w:r>
                    <w:r>
                      <w:rPr>
                        <w:rFonts w:ascii="Trebuchet MS"/>
                        <w:spacing w:val="-2"/>
                        <w:w w:val="105"/>
                        <w:sz w:val="20"/>
                      </w:rPr>
                      <w:t>a</w:t>
                    </w:r>
                    <w:r>
                      <w:rPr>
                        <w:rFonts w:ascii="Trebuchet MS"/>
                        <w:spacing w:val="-1"/>
                        <w:w w:val="107"/>
                        <w:sz w:val="20"/>
                      </w:rPr>
                      <w:t>n</w:t>
                    </w:r>
                    <w:r>
                      <w:rPr>
                        <w:rFonts w:ascii="Trebuchet MS"/>
                        <w:spacing w:val="-2"/>
                        <w:w w:val="112"/>
                        <w:sz w:val="20"/>
                      </w:rPr>
                      <w:t>d</w:t>
                    </w:r>
                    <w:r>
                      <w:rPr>
                        <w:rFonts w:ascii="Trebuchet MS"/>
                        <w:spacing w:val="-2"/>
                        <w:w w:val="105"/>
                        <w:sz w:val="20"/>
                      </w:rPr>
                      <w:t>a</w:t>
                    </w:r>
                    <w:r>
                      <w:rPr>
                        <w:rFonts w:ascii="Trebuchet MS"/>
                        <w:spacing w:val="-4"/>
                        <w:w w:val="93"/>
                        <w:sz w:val="20"/>
                      </w:rPr>
                      <w:t>r</w:t>
                    </w:r>
                    <w:r>
                      <w:rPr>
                        <w:rFonts w:ascii="Trebuchet MS"/>
                        <w:spacing w:val="-1"/>
                        <w:w w:val="112"/>
                        <w:sz w:val="20"/>
                      </w:rPr>
                      <w:t>d</w:t>
                    </w:r>
                    <w:r>
                      <w:rPr>
                        <w:rFonts w:ascii="Trebuchet MS"/>
                        <w:spacing w:val="1"/>
                        <w:w w:val="122"/>
                        <w:sz w:val="20"/>
                      </w:rPr>
                      <w:t>s</w:t>
                    </w:r>
                    <w:r>
                      <w:rPr>
                        <w:rFonts w:ascii="Trebuchet MS"/>
                        <w:w w:val="57"/>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w w:val="105"/>
                        <w:sz w:val="20"/>
                      </w:rPr>
                      <w:t>a</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2"/>
                        <w:w w:val="112"/>
                        <w:sz w:val="20"/>
                      </w:rPr>
                      <w:t>d</w:t>
                    </w:r>
                    <w:r>
                      <w:rPr>
                        <w:rFonts w:ascii="Trebuchet MS"/>
                        <w:w w:val="108"/>
                        <w:sz w:val="20"/>
                      </w:rPr>
                      <w:t>e</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1"/>
                        <w:w w:val="107"/>
                        <w:sz w:val="20"/>
                      </w:rPr>
                      <w:t>n</w:t>
                    </w:r>
                    <w:r>
                      <w:rPr>
                        <w:rFonts w:ascii="Trebuchet MS"/>
                        <w:spacing w:val="-2"/>
                        <w:w w:val="112"/>
                        <w:sz w:val="20"/>
                      </w:rPr>
                      <w:t>d</w:t>
                    </w:r>
                    <w:r>
                      <w:rPr>
                        <w:rFonts w:ascii="Trebuchet MS"/>
                        <w:spacing w:val="-2"/>
                        <w:w w:val="109"/>
                        <w:sz w:val="20"/>
                      </w:rPr>
                      <w:t>u</w:t>
                    </w:r>
                    <w:r>
                      <w:rPr>
                        <w:rFonts w:ascii="Trebuchet MS"/>
                        <w:spacing w:val="-2"/>
                        <w:w w:val="111"/>
                        <w:sz w:val="20"/>
                      </w:rPr>
                      <w:t>c</w:t>
                    </w:r>
                    <w:r>
                      <w:rPr>
                        <w:rFonts w:ascii="Trebuchet MS"/>
                        <w:w w:val="88"/>
                        <w:sz w:val="20"/>
                      </w:rPr>
                      <w:t>t</w:t>
                    </w:r>
                    <w:r>
                      <w:rPr>
                        <w:rFonts w:ascii="Trebuchet MS"/>
                        <w:spacing w:val="-14"/>
                        <w:sz w:val="20"/>
                      </w:rPr>
                      <w:t> </w:t>
                    </w:r>
                    <w:r>
                      <w:rPr>
                        <w:rFonts w:ascii="Trebuchet MS"/>
                        <w:spacing w:val="-5"/>
                        <w:w w:val="92"/>
                        <w:sz w:val="20"/>
                      </w:rPr>
                      <w:t>f</w:t>
                    </w:r>
                    <w:r>
                      <w:rPr>
                        <w:rFonts w:ascii="Trebuchet MS"/>
                        <w:spacing w:val="-1"/>
                        <w:w w:val="111"/>
                        <w:sz w:val="20"/>
                      </w:rPr>
                      <w:t>o</w:t>
                    </w:r>
                    <w:r>
                      <w:rPr>
                        <w:rFonts w:ascii="Trebuchet MS"/>
                        <w:w w:val="93"/>
                        <w:sz w:val="20"/>
                      </w:rPr>
                      <w:t>r</w:t>
                    </w:r>
                    <w:r>
                      <w:rPr>
                        <w:rFonts w:ascii="Trebuchet MS"/>
                        <w:spacing w:val="-14"/>
                        <w:sz w:val="20"/>
                      </w:rPr>
                      <w:t> </w:t>
                    </w:r>
                    <w:r>
                      <w:rPr>
                        <w:rFonts w:ascii="Trebuchet MS"/>
                        <w:spacing w:val="-4"/>
                        <w:w w:val="114"/>
                        <w:sz w:val="20"/>
                      </w:rPr>
                      <w:t>A</w:t>
                    </w:r>
                    <w:r>
                      <w:rPr>
                        <w:rFonts w:ascii="Trebuchet MS"/>
                        <w:spacing w:val="-1"/>
                        <w:w w:val="109"/>
                        <w:sz w:val="20"/>
                      </w:rPr>
                      <w:t>u</w:t>
                    </w:r>
                    <w:r>
                      <w:rPr>
                        <w:rFonts w:ascii="Trebuchet MS"/>
                        <w:spacing w:val="-2"/>
                        <w:w w:val="122"/>
                        <w:sz w:val="20"/>
                      </w:rPr>
                      <w:t>s</w:t>
                    </w:r>
                    <w:r>
                      <w:rPr>
                        <w:rFonts w:ascii="Trebuchet MS"/>
                        <w:spacing w:val="1"/>
                        <w:w w:val="96"/>
                        <w:sz w:val="20"/>
                      </w:rPr>
                      <w:t>l</w:t>
                    </w:r>
                    <w:r>
                      <w:rPr>
                        <w:rFonts w:ascii="Trebuchet MS"/>
                        <w:spacing w:val="-2"/>
                        <w:w w:val="105"/>
                        <w:sz w:val="20"/>
                      </w:rPr>
                      <w:t>a</w:t>
                    </w:r>
                    <w:r>
                      <w:rPr>
                        <w:rFonts w:ascii="Trebuchet MS"/>
                        <w:w w:val="107"/>
                        <w:sz w:val="20"/>
                      </w:rPr>
                      <w:t>n</w:t>
                    </w:r>
                    <w:r>
                      <w:rPr>
                        <w:rFonts w:ascii="Trebuchet MS"/>
                        <w:spacing w:val="-14"/>
                        <w:sz w:val="20"/>
                      </w:rPr>
                      <w:t> </w:t>
                    </w:r>
                    <w:r>
                      <w:rPr>
                        <w:rFonts w:ascii="Trebuchet MS"/>
                        <w:spacing w:val="-2"/>
                        <w:w w:val="80"/>
                        <w:sz w:val="20"/>
                      </w:rPr>
                      <w:t>i</w:t>
                    </w:r>
                    <w:r>
                      <w:rPr>
                        <w:rFonts w:ascii="Trebuchet MS"/>
                        <w:spacing w:val="-4"/>
                        <w:w w:val="107"/>
                        <w:sz w:val="20"/>
                      </w:rPr>
                      <w:t>n</w:t>
                    </w:r>
                    <w:r>
                      <w:rPr>
                        <w:rFonts w:ascii="Trebuchet MS"/>
                        <w:spacing w:val="-4"/>
                        <w:w w:val="88"/>
                        <w:sz w:val="20"/>
                      </w:rPr>
                      <w:t>t</w:t>
                    </w:r>
                    <w:r>
                      <w:rPr>
                        <w:rFonts w:ascii="Trebuchet MS"/>
                        <w:spacing w:val="-1"/>
                        <w:w w:val="108"/>
                        <w:sz w:val="20"/>
                      </w:rPr>
                      <w:t>e</w:t>
                    </w:r>
                    <w:r>
                      <w:rPr>
                        <w:rFonts w:ascii="Trebuchet MS"/>
                        <w:spacing w:val="-2"/>
                        <w:w w:val="93"/>
                        <w:sz w:val="20"/>
                      </w:rPr>
                      <w:t>r</w:t>
                    </w:r>
                    <w:r>
                      <w:rPr>
                        <w:rFonts w:ascii="Trebuchet MS"/>
                        <w:spacing w:val="-1"/>
                        <w:w w:val="111"/>
                        <w:sz w:val="20"/>
                      </w:rPr>
                      <w:t>p</w:t>
                    </w:r>
                    <w:r>
                      <w:rPr>
                        <w:rFonts w:ascii="Trebuchet MS"/>
                        <w:spacing w:val="-4"/>
                        <w:w w:val="93"/>
                        <w:sz w:val="20"/>
                      </w:rPr>
                      <w:t>r</w:t>
                    </w:r>
                    <w:r>
                      <w:rPr>
                        <w:rFonts w:ascii="Trebuchet MS"/>
                        <w:spacing w:val="-3"/>
                        <w:w w:val="108"/>
                        <w:sz w:val="20"/>
                      </w:rPr>
                      <w:t>e</w:t>
                    </w:r>
                    <w:r>
                      <w:rPr>
                        <w:rFonts w:ascii="Trebuchet MS"/>
                        <w:spacing w:val="-4"/>
                        <w:w w:val="88"/>
                        <w:sz w:val="20"/>
                      </w:rPr>
                      <w:t>t</w:t>
                    </w:r>
                    <w:r>
                      <w:rPr>
                        <w:rFonts w:ascii="Trebuchet MS"/>
                        <w:spacing w:val="-1"/>
                        <w:w w:val="108"/>
                        <w:sz w:val="20"/>
                      </w:rPr>
                      <w:t>e</w:t>
                    </w:r>
                    <w:r>
                      <w:rPr>
                        <w:rFonts w:ascii="Trebuchet MS"/>
                        <w:spacing w:val="-1"/>
                        <w:w w:val="93"/>
                        <w:sz w:val="20"/>
                      </w:rPr>
                      <w:t>r</w:t>
                    </w:r>
                    <w:r>
                      <w:rPr>
                        <w:rFonts w:ascii="Trebuchet MS"/>
                        <w:spacing w:val="1"/>
                        <w:w w:val="122"/>
                        <w:sz w:val="20"/>
                      </w:rPr>
                      <w:t>s</w:t>
                    </w:r>
                    <w:r>
                      <w:rPr>
                        <w:rFonts w:ascii="Trebuchet MS"/>
                        <w:w w:val="55"/>
                        <w:sz w:val="20"/>
                      </w:rPr>
                      <w:t>.</w:t>
                    </w:r>
                  </w:p>
                  <w:p>
                    <w:pPr>
                      <w:spacing w:line="247" w:lineRule="auto" w:before="89"/>
                      <w:ind w:left="0" w:right="425" w:firstLine="0"/>
                      <w:jc w:val="left"/>
                      <w:rPr>
                        <w:rFonts w:ascii="Trebuchet MS"/>
                        <w:sz w:val="20"/>
                      </w:rPr>
                    </w:pPr>
                    <w:r>
                      <w:rPr>
                        <w:rFonts w:ascii="Trebuchet MS"/>
                        <w:sz w:val="20"/>
                      </w:rPr>
                      <w:t>An oath or affirmation for Auslan </w:t>
                    </w:r>
                    <w:r>
                      <w:rPr>
                        <w:rFonts w:ascii="Trebuchet MS"/>
                        <w:spacing w:val="-3"/>
                        <w:sz w:val="20"/>
                      </w:rPr>
                      <w:t>interpreters </w:t>
                    </w:r>
                    <w:r>
                      <w:rPr>
                        <w:rFonts w:ascii="Trebuchet MS"/>
                        <w:sz w:val="20"/>
                      </w:rPr>
                      <w:t>should be included in the Juries </w:t>
                    </w:r>
                    <w:r>
                      <w:rPr>
                        <w:rFonts w:ascii="Trebuchet MS"/>
                        <w:spacing w:val="-2"/>
                        <w:sz w:val="20"/>
                      </w:rPr>
                      <w:t>Act </w:t>
                    </w:r>
                    <w:r>
                      <w:rPr>
                        <w:rFonts w:ascii="Trebuchet MS"/>
                        <w:sz w:val="20"/>
                      </w:rPr>
                      <w:t>regarding their duty to maintain </w:t>
                    </w:r>
                    <w:r>
                      <w:rPr>
                        <w:rFonts w:ascii="Trebuchet MS"/>
                        <w:spacing w:val="-3"/>
                        <w:sz w:val="20"/>
                      </w:rPr>
                      <w:t>confidentiality, </w:t>
                    </w:r>
                    <w:r>
                      <w:rPr>
                        <w:rFonts w:ascii="Trebuchet MS"/>
                        <w:sz w:val="20"/>
                      </w:rPr>
                      <w:t>not participate in or disclose </w:t>
                    </w:r>
                    <w:r>
                      <w:rPr>
                        <w:rFonts w:ascii="Trebuchet MS"/>
                        <w:spacing w:val="-2"/>
                        <w:w w:val="112"/>
                        <w:sz w:val="20"/>
                      </w:rPr>
                      <w:t>d</w:t>
                    </w:r>
                    <w:r>
                      <w:rPr>
                        <w:rFonts w:ascii="Trebuchet MS"/>
                        <w:spacing w:val="-1"/>
                        <w:w w:val="108"/>
                        <w:sz w:val="20"/>
                      </w:rPr>
                      <w:t>e</w:t>
                    </w:r>
                    <w:r>
                      <w:rPr>
                        <w:rFonts w:ascii="Trebuchet MS"/>
                        <w:w w:val="96"/>
                        <w:sz w:val="20"/>
                      </w:rPr>
                      <w:t>l</w:t>
                    </w:r>
                    <w:r>
                      <w:rPr>
                        <w:rFonts w:ascii="Trebuchet MS"/>
                        <w:spacing w:val="-2"/>
                        <w:w w:val="80"/>
                        <w:sz w:val="20"/>
                      </w:rPr>
                      <w:t>i</w:t>
                    </w:r>
                    <w:r>
                      <w:rPr>
                        <w:rFonts w:ascii="Trebuchet MS"/>
                        <w:spacing w:val="-1"/>
                        <w:w w:val="111"/>
                        <w:sz w:val="20"/>
                      </w:rPr>
                      <w:t>b</w:t>
                    </w:r>
                    <w:r>
                      <w:rPr>
                        <w:rFonts w:ascii="Trebuchet MS"/>
                        <w:spacing w:val="-1"/>
                        <w:w w:val="108"/>
                        <w:sz w:val="20"/>
                      </w:rPr>
                      <w:t>e</w:t>
                    </w:r>
                    <w:r>
                      <w:rPr>
                        <w:rFonts w:ascii="Trebuchet MS"/>
                        <w:spacing w:val="-2"/>
                        <w:w w:val="93"/>
                        <w:sz w:val="20"/>
                      </w:rPr>
                      <w:t>r</w:t>
                    </w:r>
                    <w:r>
                      <w:rPr>
                        <w:rFonts w:ascii="Trebuchet MS"/>
                        <w:spacing w:val="-4"/>
                        <w:w w:val="105"/>
                        <w:sz w:val="20"/>
                      </w:rPr>
                      <w:t>a</w:t>
                    </w:r>
                    <w:r>
                      <w:rPr>
                        <w:rFonts w:ascii="Trebuchet MS"/>
                        <w:spacing w:val="-2"/>
                        <w:w w:val="85"/>
                        <w:sz w:val="20"/>
                      </w:rPr>
                      <w:t>t</w:t>
                    </w:r>
                    <w:r>
                      <w:rPr>
                        <w:rFonts w:ascii="Trebuchet MS"/>
                        <w:spacing w:val="-1"/>
                        <w:w w:val="85"/>
                        <w:sz w:val="20"/>
                      </w:rPr>
                      <w:t>i</w:t>
                    </w:r>
                    <w:r>
                      <w:rPr>
                        <w:rFonts w:ascii="Trebuchet MS"/>
                        <w:spacing w:val="-1"/>
                        <w:w w:val="111"/>
                        <w:sz w:val="20"/>
                      </w:rPr>
                      <w:t>o</w:t>
                    </w:r>
                    <w:r>
                      <w:rPr>
                        <w:rFonts w:ascii="Trebuchet MS"/>
                        <w:spacing w:val="-2"/>
                        <w:w w:val="113"/>
                        <w:sz w:val="20"/>
                      </w:rPr>
                      <w:t>n</w:t>
                    </w:r>
                    <w:r>
                      <w:rPr>
                        <w:rFonts w:ascii="Trebuchet MS"/>
                        <w:w w:val="113"/>
                        <w:sz w:val="20"/>
                      </w:rPr>
                      <w:t>s</w:t>
                    </w:r>
                    <w:r>
                      <w:rPr>
                        <w:rFonts w:ascii="Trebuchet MS"/>
                        <w:spacing w:val="-14"/>
                        <w:sz w:val="20"/>
                      </w:rPr>
                      <w:t> </w:t>
                    </w:r>
                    <w:r>
                      <w:rPr>
                        <w:rFonts w:ascii="Trebuchet MS"/>
                        <w:spacing w:val="-2"/>
                        <w:w w:val="106"/>
                        <w:sz w:val="20"/>
                      </w:rPr>
                      <w:t>a</w:t>
                    </w:r>
                    <w:r>
                      <w:rPr>
                        <w:rFonts w:ascii="Trebuchet MS"/>
                        <w:spacing w:val="-1"/>
                        <w:w w:val="106"/>
                        <w:sz w:val="20"/>
                      </w:rPr>
                      <w:t>n</w:t>
                    </w:r>
                    <w:r>
                      <w:rPr>
                        <w:rFonts w:ascii="Trebuchet MS"/>
                        <w:w w:val="112"/>
                        <w:sz w:val="20"/>
                      </w:rPr>
                      <w:t>d</w:t>
                    </w:r>
                    <w:r>
                      <w:rPr>
                        <w:rFonts w:ascii="Trebuchet MS"/>
                        <w:spacing w:val="-14"/>
                        <w:sz w:val="20"/>
                      </w:rPr>
                      <w:t> </w:t>
                    </w:r>
                    <w:r>
                      <w:rPr>
                        <w:rFonts w:ascii="Trebuchet MS"/>
                        <w:spacing w:val="-2"/>
                        <w:w w:val="80"/>
                        <w:sz w:val="20"/>
                      </w:rPr>
                      <w:t>i</w:t>
                    </w:r>
                    <w:r>
                      <w:rPr>
                        <w:rFonts w:ascii="Trebuchet MS"/>
                        <w:spacing w:val="-4"/>
                        <w:w w:val="107"/>
                        <w:sz w:val="20"/>
                      </w:rPr>
                      <w:t>n</w:t>
                    </w:r>
                    <w:r>
                      <w:rPr>
                        <w:rFonts w:ascii="Trebuchet MS"/>
                        <w:spacing w:val="-4"/>
                        <w:w w:val="88"/>
                        <w:sz w:val="20"/>
                      </w:rPr>
                      <w:t>t</w:t>
                    </w:r>
                    <w:r>
                      <w:rPr>
                        <w:rFonts w:ascii="Trebuchet MS"/>
                        <w:spacing w:val="-1"/>
                        <w:w w:val="108"/>
                        <w:sz w:val="20"/>
                      </w:rPr>
                      <w:t>e</w:t>
                    </w:r>
                    <w:r>
                      <w:rPr>
                        <w:rFonts w:ascii="Trebuchet MS"/>
                        <w:spacing w:val="-2"/>
                        <w:w w:val="93"/>
                        <w:sz w:val="20"/>
                      </w:rPr>
                      <w:t>r</w:t>
                    </w:r>
                    <w:r>
                      <w:rPr>
                        <w:rFonts w:ascii="Trebuchet MS"/>
                        <w:spacing w:val="-1"/>
                        <w:w w:val="111"/>
                        <w:sz w:val="20"/>
                      </w:rPr>
                      <w:t>p</w:t>
                    </w:r>
                    <w:r>
                      <w:rPr>
                        <w:rFonts w:ascii="Trebuchet MS"/>
                        <w:spacing w:val="-4"/>
                        <w:w w:val="93"/>
                        <w:sz w:val="20"/>
                      </w:rPr>
                      <w:t>r</w:t>
                    </w:r>
                    <w:r>
                      <w:rPr>
                        <w:rFonts w:ascii="Trebuchet MS"/>
                        <w:spacing w:val="-3"/>
                        <w:w w:val="108"/>
                        <w:sz w:val="20"/>
                      </w:rPr>
                      <w:t>e</w:t>
                    </w:r>
                    <w:r>
                      <w:rPr>
                        <w:rFonts w:ascii="Trebuchet MS"/>
                        <w:w w:val="88"/>
                        <w:sz w:val="20"/>
                      </w:rPr>
                      <w:t>t</w:t>
                    </w:r>
                    <w:r>
                      <w:rPr>
                        <w:rFonts w:ascii="Trebuchet MS"/>
                        <w:spacing w:val="-14"/>
                        <w:sz w:val="20"/>
                      </w:rPr>
                      <w:t> </w:t>
                    </w:r>
                    <w:r>
                      <w:rPr>
                        <w:rFonts w:ascii="Trebuchet MS"/>
                        <w:spacing w:val="-2"/>
                        <w:w w:val="91"/>
                        <w:sz w:val="20"/>
                      </w:rPr>
                      <w:t>tr</w:t>
                    </w:r>
                    <w:r>
                      <w:rPr>
                        <w:rFonts w:ascii="Trebuchet MS"/>
                        <w:spacing w:val="-3"/>
                        <w:w w:val="109"/>
                        <w:sz w:val="20"/>
                      </w:rPr>
                      <w:t>u</w:t>
                    </w:r>
                    <w:r>
                      <w:rPr>
                        <w:rFonts w:ascii="Trebuchet MS"/>
                        <w:spacing w:val="-2"/>
                        <w:w w:val="99"/>
                        <w:sz w:val="20"/>
                      </w:rPr>
                      <w:t>t</w:t>
                    </w:r>
                    <w:r>
                      <w:rPr>
                        <w:rFonts w:ascii="Trebuchet MS"/>
                        <w:spacing w:val="-4"/>
                        <w:w w:val="99"/>
                        <w:sz w:val="20"/>
                      </w:rPr>
                      <w:t>h</w:t>
                    </w:r>
                    <w:r>
                      <w:rPr>
                        <w:rFonts w:ascii="Trebuchet MS"/>
                        <w:spacing w:val="-2"/>
                        <w:w w:val="92"/>
                        <w:sz w:val="20"/>
                      </w:rPr>
                      <w:t>f</w:t>
                    </w:r>
                    <w:r>
                      <w:rPr>
                        <w:rFonts w:ascii="Trebuchet MS"/>
                        <w:spacing w:val="-2"/>
                        <w:w w:val="109"/>
                        <w:sz w:val="20"/>
                      </w:rPr>
                      <w:t>u</w:t>
                    </w:r>
                    <w:r>
                      <w:rPr>
                        <w:rFonts w:ascii="Trebuchet MS"/>
                        <w:spacing w:val="-2"/>
                        <w:w w:val="96"/>
                        <w:sz w:val="20"/>
                      </w:rPr>
                      <w:t>l</w:t>
                    </w:r>
                    <w:r>
                      <w:rPr>
                        <w:rFonts w:ascii="Trebuchet MS"/>
                        <w:spacing w:val="-7"/>
                        <w:w w:val="96"/>
                        <w:sz w:val="20"/>
                      </w:rPr>
                      <w:t>l</w:t>
                    </w:r>
                    <w:r>
                      <w:rPr>
                        <w:rFonts w:ascii="Trebuchet MS"/>
                        <w:spacing w:val="-11"/>
                        <w:w w:val="110"/>
                        <w:sz w:val="20"/>
                      </w:rPr>
                      <w:t>y</w:t>
                    </w:r>
                    <w:r>
                      <w:rPr>
                        <w:rFonts w:ascii="Trebuchet MS"/>
                        <w:w w:val="55"/>
                        <w:sz w:val="20"/>
                      </w:rPr>
                      <w:t>.</w:t>
                    </w:r>
                  </w:p>
                </w:txbxContent>
              </v:textbox>
              <w10:wrap type="none"/>
            </v:shape>
            <v:shape style="position:absolute;left:566;top:1033;width:287;height:3780" type="#_x0000_t202" filled="false" stroked="false">
              <v:textbox inset="0,0,0,0">
                <w:txbxContent>
                  <w:p>
                    <w:pPr>
                      <w:spacing w:before="0"/>
                      <w:ind w:left="0" w:right="0" w:firstLine="0"/>
                      <w:jc w:val="left"/>
                      <w:rPr>
                        <w:rFonts w:ascii="Trebuchet MS"/>
                        <w:sz w:val="20"/>
                      </w:rPr>
                    </w:pPr>
                    <w:r>
                      <w:rPr>
                        <w:rFonts w:ascii="Trebuchet MS"/>
                        <w:w w:val="95"/>
                        <w:sz w:val="20"/>
                      </w:rPr>
                      <w:t>21.</w:t>
                    </w:r>
                  </w:p>
                  <w:p>
                    <w:pPr>
                      <w:spacing w:line="240" w:lineRule="auto" w:before="0"/>
                      <w:rPr>
                        <w:b/>
                        <w:sz w:val="22"/>
                      </w:rPr>
                    </w:pPr>
                  </w:p>
                  <w:p>
                    <w:pPr>
                      <w:spacing w:line="240" w:lineRule="auto" w:before="0"/>
                      <w:rPr>
                        <w:b/>
                        <w:sz w:val="22"/>
                      </w:rPr>
                    </w:pPr>
                  </w:p>
                  <w:p>
                    <w:pPr>
                      <w:spacing w:line="240" w:lineRule="auto" w:before="7"/>
                      <w:rPr>
                        <w:b/>
                        <w:sz w:val="14"/>
                      </w:rPr>
                    </w:pPr>
                  </w:p>
                  <w:p>
                    <w:pPr>
                      <w:spacing w:before="1"/>
                      <w:ind w:left="0" w:right="0" w:firstLine="0"/>
                      <w:jc w:val="left"/>
                      <w:rPr>
                        <w:rFonts w:ascii="Trebuchet MS"/>
                        <w:sz w:val="20"/>
                      </w:rPr>
                    </w:pPr>
                    <w:r>
                      <w:rPr>
                        <w:rFonts w:ascii="Trebuchet MS"/>
                        <w:w w:val="95"/>
                        <w:sz w:val="20"/>
                      </w:rPr>
                      <w:t>22.</w:t>
                    </w:r>
                  </w:p>
                  <w:p>
                    <w:pPr>
                      <w:spacing w:before="92"/>
                      <w:ind w:left="0" w:right="0" w:firstLine="0"/>
                      <w:jc w:val="left"/>
                      <w:rPr>
                        <w:rFonts w:ascii="Trebuchet MS"/>
                        <w:sz w:val="20"/>
                      </w:rPr>
                    </w:pPr>
                    <w:r>
                      <w:rPr>
                        <w:rFonts w:ascii="Trebuchet MS"/>
                        <w:w w:val="95"/>
                        <w:sz w:val="20"/>
                      </w:rPr>
                      <w:t>23.</w:t>
                    </w:r>
                  </w:p>
                  <w:p>
                    <w:pPr>
                      <w:spacing w:line="240" w:lineRule="auto" w:before="0"/>
                      <w:rPr>
                        <w:b/>
                        <w:sz w:val="24"/>
                      </w:rPr>
                    </w:pPr>
                  </w:p>
                  <w:p>
                    <w:pPr>
                      <w:spacing w:before="0"/>
                      <w:ind w:left="0" w:right="0" w:firstLine="0"/>
                      <w:jc w:val="left"/>
                      <w:rPr>
                        <w:rFonts w:ascii="Trebuchet MS"/>
                        <w:sz w:val="20"/>
                      </w:rPr>
                    </w:pPr>
                    <w:r>
                      <w:rPr>
                        <w:rFonts w:ascii="Trebuchet MS"/>
                        <w:w w:val="95"/>
                        <w:sz w:val="20"/>
                      </w:rPr>
                      <w:t>24.</w:t>
                    </w:r>
                  </w:p>
                  <w:p>
                    <w:pPr>
                      <w:spacing w:line="240" w:lineRule="auto" w:before="0"/>
                      <w:rPr>
                        <w:b/>
                        <w:sz w:val="24"/>
                      </w:rPr>
                    </w:pPr>
                  </w:p>
                  <w:p>
                    <w:pPr>
                      <w:spacing w:before="0"/>
                      <w:ind w:left="0" w:right="0" w:firstLine="0"/>
                      <w:jc w:val="left"/>
                      <w:rPr>
                        <w:rFonts w:ascii="Trebuchet MS"/>
                        <w:sz w:val="20"/>
                      </w:rPr>
                    </w:pPr>
                    <w:r>
                      <w:rPr>
                        <w:rFonts w:ascii="Trebuchet MS"/>
                        <w:w w:val="95"/>
                        <w:sz w:val="20"/>
                      </w:rPr>
                      <w:t>25.</w:t>
                    </w:r>
                  </w:p>
                  <w:p>
                    <w:pPr>
                      <w:spacing w:line="240" w:lineRule="auto" w:before="0"/>
                      <w:rPr>
                        <w:b/>
                        <w:sz w:val="22"/>
                      </w:rPr>
                    </w:pPr>
                  </w:p>
                  <w:p>
                    <w:pPr>
                      <w:spacing w:line="240" w:lineRule="auto" w:before="0"/>
                      <w:rPr>
                        <w:b/>
                        <w:sz w:val="22"/>
                      </w:rPr>
                    </w:pPr>
                  </w:p>
                  <w:p>
                    <w:pPr>
                      <w:spacing w:line="240" w:lineRule="auto" w:before="7"/>
                      <w:rPr>
                        <w:b/>
                        <w:sz w:val="14"/>
                      </w:rPr>
                    </w:pPr>
                  </w:p>
                  <w:p>
                    <w:pPr>
                      <w:spacing w:before="1"/>
                      <w:ind w:left="0" w:right="0" w:firstLine="0"/>
                      <w:jc w:val="left"/>
                      <w:rPr>
                        <w:rFonts w:ascii="Trebuchet MS"/>
                        <w:sz w:val="20"/>
                      </w:rPr>
                    </w:pPr>
                    <w:r>
                      <w:rPr>
                        <w:rFonts w:ascii="Trebuchet MS"/>
                        <w:spacing w:val="-2"/>
                        <w:w w:val="102"/>
                        <w:sz w:val="20"/>
                      </w:rPr>
                      <w:t>2</w:t>
                    </w:r>
                    <w:r>
                      <w:rPr>
                        <w:rFonts w:ascii="Trebuchet MS"/>
                        <w:spacing w:val="-1"/>
                        <w:w w:val="115"/>
                        <w:sz w:val="20"/>
                      </w:rPr>
                      <w:t>6</w:t>
                    </w:r>
                    <w:r>
                      <w:rPr>
                        <w:rFonts w:ascii="Trebuchet MS"/>
                        <w:w w:val="55"/>
                        <w:sz w:val="20"/>
                      </w:rPr>
                      <w:t>.</w:t>
                    </w:r>
                  </w:p>
                </w:txbxContent>
              </v:textbox>
              <w10:wrap type="none"/>
            </v:shape>
            <v:shape style="position:absolute;left:340;top:0;width:8731;height:783" type="#_x0000_t202" filled="true" fillcolor="#dddfe4" stroked="false">
              <v:textbox inset="0,0,0,0">
                <w:txbxContent>
                  <w:p>
                    <w:pPr>
                      <w:spacing w:before="158"/>
                      <w:ind w:left="226" w:right="0" w:firstLine="0"/>
                      <w:jc w:val="left"/>
                      <w:rPr>
                        <w:rFonts w:ascii="Raleway ExtraBold"/>
                        <w:b/>
                        <w:sz w:val="32"/>
                      </w:rPr>
                    </w:pPr>
                    <w:r>
                      <w:rPr>
                        <w:rFonts w:ascii="Raleway ExtraBold"/>
                        <w:b/>
                        <w:color w:val="37617A"/>
                        <w:sz w:val="32"/>
                      </w:rPr>
                      <w:t>Recommendations</w:t>
                    </w:r>
                  </w:p>
                </w:txbxContent>
              </v:textbox>
              <v:fill type="solid"/>
              <w10:wrap type="none"/>
            </v:shape>
          </v:group>
        </w:pict>
      </w:r>
      <w:r>
        <w:rPr/>
      </w:r>
    </w:p>
    <w:p>
      <w:pPr>
        <w:pStyle w:val="BodyText"/>
        <w:rPr>
          <w:b/>
        </w:rPr>
      </w:pPr>
    </w:p>
    <w:p>
      <w:pPr>
        <w:spacing w:before="199"/>
        <w:ind w:left="967" w:right="0" w:firstLine="0"/>
        <w:jc w:val="left"/>
        <w:rPr>
          <w:rFonts w:ascii="Raleway ExtraBold"/>
          <w:b/>
          <w:sz w:val="28"/>
        </w:rPr>
      </w:pPr>
      <w:r>
        <w:rPr>
          <w:rFonts w:ascii="Raleway ExtraBold"/>
          <w:b/>
          <w:color w:val="37617A"/>
          <w:sz w:val="28"/>
        </w:rPr>
        <w:t>Addressing the shortage of Auslan interpreters in the courts</w:t>
      </w:r>
    </w:p>
    <w:p>
      <w:pPr>
        <w:pStyle w:val="ListParagraph"/>
        <w:numPr>
          <w:ilvl w:val="1"/>
          <w:numId w:val="12"/>
        </w:numPr>
        <w:tabs>
          <w:tab w:pos="1761" w:val="left" w:leader="none"/>
          <w:tab w:pos="1762" w:val="left" w:leader="none"/>
        </w:tabs>
        <w:spacing w:line="259" w:lineRule="exact" w:before="114" w:after="0"/>
        <w:ind w:left="1761" w:right="0" w:hanging="794"/>
        <w:jc w:val="left"/>
        <w:rPr>
          <w:sz w:val="20"/>
        </w:rPr>
      </w:pPr>
      <w:r>
        <w:rPr>
          <w:spacing w:val="-3"/>
          <w:sz w:val="20"/>
        </w:rPr>
        <w:t>Several</w:t>
      </w:r>
      <w:r>
        <w:rPr>
          <w:spacing w:val="-6"/>
          <w:sz w:val="20"/>
        </w:rPr>
        <w:t> </w:t>
      </w:r>
      <w:r>
        <w:rPr>
          <w:sz w:val="20"/>
        </w:rPr>
        <w:t>factors</w:t>
      </w:r>
      <w:r>
        <w:rPr>
          <w:spacing w:val="-5"/>
          <w:sz w:val="20"/>
        </w:rPr>
        <w:t> </w:t>
      </w:r>
      <w:r>
        <w:rPr>
          <w:spacing w:val="-3"/>
          <w:sz w:val="20"/>
        </w:rPr>
        <w:t>make</w:t>
      </w:r>
      <w:r>
        <w:rPr>
          <w:spacing w:val="-5"/>
          <w:sz w:val="20"/>
        </w:rPr>
        <w:t> </w:t>
      </w:r>
      <w:r>
        <w:rPr>
          <w:sz w:val="20"/>
        </w:rPr>
        <w:t>it</w:t>
      </w:r>
      <w:r>
        <w:rPr>
          <w:spacing w:val="-6"/>
          <w:sz w:val="20"/>
        </w:rPr>
        <w:t> </w:t>
      </w:r>
      <w:r>
        <w:rPr>
          <w:sz w:val="20"/>
        </w:rPr>
        <w:t>difficult</w:t>
      </w:r>
      <w:r>
        <w:rPr>
          <w:spacing w:val="-5"/>
          <w:sz w:val="20"/>
        </w:rPr>
        <w:t> </w:t>
      </w:r>
      <w:r>
        <w:rPr>
          <w:sz w:val="20"/>
        </w:rPr>
        <w:t>to</w:t>
      </w:r>
      <w:r>
        <w:rPr>
          <w:spacing w:val="-5"/>
          <w:sz w:val="20"/>
        </w:rPr>
        <w:t> </w:t>
      </w:r>
      <w:r>
        <w:rPr>
          <w:sz w:val="20"/>
        </w:rPr>
        <w:t>plan</w:t>
      </w:r>
      <w:r>
        <w:rPr>
          <w:spacing w:val="-6"/>
          <w:sz w:val="20"/>
        </w:rPr>
        <w:t> </w:t>
      </w:r>
      <w:r>
        <w:rPr>
          <w:sz w:val="20"/>
        </w:rPr>
        <w:t>for</w:t>
      </w:r>
      <w:r>
        <w:rPr>
          <w:spacing w:val="-5"/>
          <w:sz w:val="20"/>
        </w:rPr>
        <w:t> </w:t>
      </w:r>
      <w:r>
        <w:rPr>
          <w:sz w:val="20"/>
        </w:rPr>
        <w:t>the</w:t>
      </w:r>
      <w:r>
        <w:rPr>
          <w:spacing w:val="-5"/>
          <w:sz w:val="20"/>
        </w:rPr>
        <w:t> </w:t>
      </w:r>
      <w:r>
        <w:rPr>
          <w:spacing w:val="-3"/>
          <w:sz w:val="20"/>
        </w:rPr>
        <w:t>provision</w:t>
      </w:r>
      <w:r>
        <w:rPr>
          <w:spacing w:val="-6"/>
          <w:sz w:val="20"/>
        </w:rPr>
        <w:t> </w:t>
      </w:r>
      <w:r>
        <w:rPr>
          <w:sz w:val="20"/>
        </w:rPr>
        <w:t>of</w:t>
      </w:r>
      <w:r>
        <w:rPr>
          <w:spacing w:val="-5"/>
          <w:sz w:val="20"/>
        </w:rPr>
        <w:t> </w:t>
      </w:r>
      <w:r>
        <w:rPr>
          <w:sz w:val="20"/>
        </w:rPr>
        <w:t>Auslan</w:t>
      </w:r>
      <w:r>
        <w:rPr>
          <w:spacing w:val="-5"/>
          <w:sz w:val="20"/>
        </w:rPr>
        <w:t> </w:t>
      </w:r>
      <w:r>
        <w:rPr>
          <w:spacing w:val="-3"/>
          <w:sz w:val="20"/>
        </w:rPr>
        <w:t>interpreters</w:t>
      </w:r>
      <w:r>
        <w:rPr>
          <w:spacing w:val="-6"/>
          <w:sz w:val="20"/>
        </w:rPr>
        <w:t> </w:t>
      </w:r>
      <w:r>
        <w:rPr>
          <w:sz w:val="20"/>
        </w:rPr>
        <w:t>for</w:t>
      </w:r>
      <w:r>
        <w:rPr>
          <w:spacing w:val="-5"/>
          <w:sz w:val="20"/>
        </w:rPr>
        <w:t> </w:t>
      </w:r>
      <w:r>
        <w:rPr>
          <w:sz w:val="20"/>
        </w:rPr>
        <w:t>jury</w:t>
      </w:r>
    </w:p>
    <w:p>
      <w:pPr>
        <w:pStyle w:val="BodyText"/>
        <w:spacing w:line="259" w:lineRule="exact"/>
        <w:ind w:left="1761"/>
      </w:pPr>
      <w:r>
        <w:rPr/>
        <w:t>service:</w:t>
      </w:r>
    </w:p>
    <w:p>
      <w:pPr>
        <w:pStyle w:val="ListParagraph"/>
        <w:numPr>
          <w:ilvl w:val="2"/>
          <w:numId w:val="12"/>
        </w:numPr>
        <w:tabs>
          <w:tab w:pos="2157" w:val="left" w:leader="none"/>
          <w:tab w:pos="2158" w:val="left" w:leader="none"/>
        </w:tabs>
        <w:spacing w:line="240" w:lineRule="auto" w:before="82" w:after="0"/>
        <w:ind w:left="2157" w:right="0" w:hanging="396"/>
        <w:jc w:val="left"/>
        <w:rPr>
          <w:sz w:val="20"/>
        </w:rPr>
      </w:pPr>
      <w:r>
        <w:rPr>
          <w:sz w:val="20"/>
        </w:rPr>
        <w:t>There</w:t>
      </w:r>
      <w:r>
        <w:rPr>
          <w:spacing w:val="-6"/>
          <w:sz w:val="20"/>
        </w:rPr>
        <w:t> </w:t>
      </w:r>
      <w:r>
        <w:rPr>
          <w:sz w:val="20"/>
        </w:rPr>
        <w:t>is</w:t>
      </w:r>
      <w:r>
        <w:rPr>
          <w:spacing w:val="-5"/>
          <w:sz w:val="20"/>
        </w:rPr>
        <w:t> </w:t>
      </w:r>
      <w:r>
        <w:rPr>
          <w:sz w:val="20"/>
        </w:rPr>
        <w:t>a</w:t>
      </w:r>
      <w:r>
        <w:rPr>
          <w:spacing w:val="-5"/>
          <w:sz w:val="20"/>
        </w:rPr>
        <w:t> </w:t>
      </w:r>
      <w:r>
        <w:rPr>
          <w:sz w:val="20"/>
        </w:rPr>
        <w:t>shortage</w:t>
      </w:r>
      <w:r>
        <w:rPr>
          <w:spacing w:val="-5"/>
          <w:sz w:val="20"/>
        </w:rPr>
        <w:t> </w:t>
      </w:r>
      <w:r>
        <w:rPr>
          <w:sz w:val="20"/>
        </w:rPr>
        <w:t>of</w:t>
      </w:r>
      <w:r>
        <w:rPr>
          <w:spacing w:val="-5"/>
          <w:sz w:val="20"/>
        </w:rPr>
        <w:t> </w:t>
      </w:r>
      <w:r>
        <w:rPr>
          <w:sz w:val="20"/>
        </w:rPr>
        <w:t>Auslan</w:t>
      </w:r>
      <w:r>
        <w:rPr>
          <w:spacing w:val="-5"/>
          <w:sz w:val="20"/>
        </w:rPr>
        <w:t> </w:t>
      </w:r>
      <w:r>
        <w:rPr>
          <w:spacing w:val="-3"/>
          <w:sz w:val="20"/>
        </w:rPr>
        <w:t>interpreters</w:t>
      </w:r>
      <w:r>
        <w:rPr>
          <w:spacing w:val="-6"/>
          <w:sz w:val="20"/>
        </w:rPr>
        <w:t> </w:t>
      </w:r>
      <w:r>
        <w:rPr>
          <w:sz w:val="20"/>
        </w:rPr>
        <w:t>qualified</w:t>
      </w:r>
      <w:r>
        <w:rPr>
          <w:spacing w:val="-5"/>
          <w:sz w:val="20"/>
        </w:rPr>
        <w:t> </w:t>
      </w:r>
      <w:r>
        <w:rPr>
          <w:sz w:val="20"/>
        </w:rPr>
        <w:t>to</w:t>
      </w:r>
      <w:r>
        <w:rPr>
          <w:spacing w:val="-5"/>
          <w:sz w:val="20"/>
        </w:rPr>
        <w:t> </w:t>
      </w:r>
      <w:r>
        <w:rPr>
          <w:spacing w:val="-3"/>
          <w:sz w:val="20"/>
        </w:rPr>
        <w:t>work</w:t>
      </w:r>
      <w:r>
        <w:rPr>
          <w:spacing w:val="-5"/>
          <w:sz w:val="20"/>
        </w:rPr>
        <w:t> </w:t>
      </w:r>
      <w:r>
        <w:rPr>
          <w:sz w:val="20"/>
        </w:rPr>
        <w:t>in</w:t>
      </w:r>
      <w:r>
        <w:rPr>
          <w:spacing w:val="-5"/>
          <w:sz w:val="20"/>
        </w:rPr>
        <w:t> </w:t>
      </w:r>
      <w:r>
        <w:rPr>
          <w:sz w:val="20"/>
        </w:rPr>
        <w:t>a</w:t>
      </w:r>
      <w:r>
        <w:rPr>
          <w:spacing w:val="-5"/>
          <w:sz w:val="20"/>
        </w:rPr>
        <w:t> </w:t>
      </w:r>
      <w:r>
        <w:rPr>
          <w:sz w:val="20"/>
        </w:rPr>
        <w:t>court</w:t>
      </w:r>
      <w:r>
        <w:rPr>
          <w:spacing w:val="-5"/>
          <w:sz w:val="20"/>
        </w:rPr>
        <w:t> </w:t>
      </w:r>
      <w:r>
        <w:rPr>
          <w:sz w:val="20"/>
        </w:rPr>
        <w:t>context.</w:t>
      </w:r>
    </w:p>
    <w:p>
      <w:pPr>
        <w:pStyle w:val="ListParagraph"/>
        <w:numPr>
          <w:ilvl w:val="2"/>
          <w:numId w:val="12"/>
        </w:numPr>
        <w:tabs>
          <w:tab w:pos="2157" w:val="left" w:leader="none"/>
          <w:tab w:pos="2158" w:val="left" w:leader="none"/>
        </w:tabs>
        <w:spacing w:line="259" w:lineRule="exact" w:before="48" w:after="0"/>
        <w:ind w:left="2157" w:right="0" w:hanging="396"/>
        <w:jc w:val="left"/>
        <w:rPr>
          <w:sz w:val="20"/>
        </w:rPr>
      </w:pPr>
      <w:r>
        <w:rPr>
          <w:sz w:val="20"/>
        </w:rPr>
        <w:t>It</w:t>
      </w:r>
      <w:r>
        <w:rPr>
          <w:spacing w:val="-7"/>
          <w:sz w:val="20"/>
        </w:rPr>
        <w:t> </w:t>
      </w:r>
      <w:r>
        <w:rPr>
          <w:sz w:val="20"/>
        </w:rPr>
        <w:t>is</w:t>
      </w:r>
      <w:r>
        <w:rPr>
          <w:spacing w:val="-7"/>
          <w:sz w:val="20"/>
        </w:rPr>
        <w:t> </w:t>
      </w:r>
      <w:r>
        <w:rPr>
          <w:sz w:val="20"/>
        </w:rPr>
        <w:t>very</w:t>
      </w:r>
      <w:r>
        <w:rPr>
          <w:spacing w:val="-6"/>
          <w:sz w:val="20"/>
        </w:rPr>
        <w:t> </w:t>
      </w:r>
      <w:r>
        <w:rPr>
          <w:sz w:val="20"/>
        </w:rPr>
        <w:t>difficult</w:t>
      </w:r>
      <w:r>
        <w:rPr>
          <w:spacing w:val="-7"/>
          <w:sz w:val="20"/>
        </w:rPr>
        <w:t> </w:t>
      </w:r>
      <w:r>
        <w:rPr>
          <w:sz w:val="20"/>
        </w:rPr>
        <w:t>to</w:t>
      </w:r>
      <w:r>
        <w:rPr>
          <w:spacing w:val="-6"/>
          <w:sz w:val="20"/>
        </w:rPr>
        <w:t> </w:t>
      </w:r>
      <w:r>
        <w:rPr>
          <w:sz w:val="20"/>
        </w:rPr>
        <w:t>predict</w:t>
      </w:r>
      <w:r>
        <w:rPr>
          <w:spacing w:val="-7"/>
          <w:sz w:val="20"/>
        </w:rPr>
        <w:t> </w:t>
      </w:r>
      <w:r>
        <w:rPr>
          <w:sz w:val="20"/>
        </w:rPr>
        <w:t>the</w:t>
      </w:r>
      <w:r>
        <w:rPr>
          <w:spacing w:val="-7"/>
          <w:sz w:val="20"/>
        </w:rPr>
        <w:t> </w:t>
      </w:r>
      <w:r>
        <w:rPr>
          <w:sz w:val="20"/>
        </w:rPr>
        <w:t>duration</w:t>
      </w:r>
      <w:r>
        <w:rPr>
          <w:spacing w:val="-6"/>
          <w:sz w:val="20"/>
        </w:rPr>
        <w:t> </w:t>
      </w:r>
      <w:r>
        <w:rPr>
          <w:sz w:val="20"/>
        </w:rPr>
        <w:t>of</w:t>
      </w:r>
      <w:r>
        <w:rPr>
          <w:spacing w:val="-7"/>
          <w:sz w:val="20"/>
        </w:rPr>
        <w:t> </w:t>
      </w:r>
      <w:r>
        <w:rPr>
          <w:sz w:val="20"/>
        </w:rPr>
        <w:t>the</w:t>
      </w:r>
      <w:r>
        <w:rPr>
          <w:spacing w:val="-6"/>
          <w:sz w:val="20"/>
        </w:rPr>
        <w:t> </w:t>
      </w:r>
      <w:r>
        <w:rPr>
          <w:sz w:val="20"/>
        </w:rPr>
        <w:t>Auslan</w:t>
      </w:r>
      <w:r>
        <w:rPr>
          <w:spacing w:val="-7"/>
          <w:sz w:val="20"/>
        </w:rPr>
        <w:t> </w:t>
      </w:r>
      <w:r>
        <w:rPr>
          <w:sz w:val="20"/>
        </w:rPr>
        <w:t>booking</w:t>
      </w:r>
      <w:r>
        <w:rPr>
          <w:spacing w:val="-7"/>
          <w:sz w:val="20"/>
        </w:rPr>
        <w:t> </w:t>
      </w:r>
      <w:r>
        <w:rPr>
          <w:sz w:val="20"/>
        </w:rPr>
        <w:t>because</w:t>
      </w:r>
      <w:r>
        <w:rPr>
          <w:spacing w:val="-6"/>
          <w:sz w:val="20"/>
        </w:rPr>
        <w:t> </w:t>
      </w:r>
      <w:r>
        <w:rPr>
          <w:sz w:val="20"/>
        </w:rPr>
        <w:t>cases</w:t>
      </w:r>
      <w:r>
        <w:rPr>
          <w:spacing w:val="-7"/>
          <w:sz w:val="20"/>
        </w:rPr>
        <w:t> </w:t>
      </w:r>
      <w:r>
        <w:rPr>
          <w:spacing w:val="-3"/>
          <w:sz w:val="20"/>
        </w:rPr>
        <w:t>may</w:t>
      </w:r>
    </w:p>
    <w:p>
      <w:pPr>
        <w:pStyle w:val="BodyText"/>
        <w:spacing w:line="259" w:lineRule="exact"/>
        <w:ind w:left="2157"/>
        <w:jc w:val="both"/>
      </w:pPr>
      <w:r>
        <w:rPr/>
        <w:t>settle, or other unforeseen delays may occur.</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It</w:t>
      </w:r>
      <w:r>
        <w:rPr>
          <w:spacing w:val="-5"/>
          <w:sz w:val="20"/>
        </w:rPr>
        <w:t> </w:t>
      </w:r>
      <w:r>
        <w:rPr>
          <w:sz w:val="20"/>
        </w:rPr>
        <w:t>is</w:t>
      </w:r>
      <w:r>
        <w:rPr>
          <w:spacing w:val="-5"/>
          <w:sz w:val="20"/>
        </w:rPr>
        <w:t> </w:t>
      </w:r>
      <w:r>
        <w:rPr>
          <w:sz w:val="20"/>
        </w:rPr>
        <w:t>impossible</w:t>
      </w:r>
      <w:r>
        <w:rPr>
          <w:spacing w:val="-5"/>
          <w:sz w:val="20"/>
        </w:rPr>
        <w:t> </w:t>
      </w:r>
      <w:r>
        <w:rPr>
          <w:sz w:val="20"/>
        </w:rPr>
        <w:t>to</w:t>
      </w:r>
      <w:r>
        <w:rPr>
          <w:spacing w:val="-5"/>
          <w:sz w:val="20"/>
        </w:rPr>
        <w:t> </w:t>
      </w:r>
      <w:r>
        <w:rPr>
          <w:sz w:val="20"/>
        </w:rPr>
        <w:t>know</w:t>
      </w:r>
      <w:r>
        <w:rPr>
          <w:spacing w:val="-5"/>
          <w:sz w:val="20"/>
        </w:rPr>
        <w:t> </w:t>
      </w:r>
      <w:r>
        <w:rPr>
          <w:sz w:val="20"/>
        </w:rPr>
        <w:t>if</w:t>
      </w:r>
      <w:r>
        <w:rPr>
          <w:spacing w:val="-4"/>
          <w:sz w:val="20"/>
        </w:rPr>
        <w:t> </w:t>
      </w:r>
      <w:r>
        <w:rPr>
          <w:spacing w:val="-3"/>
          <w:sz w:val="20"/>
        </w:rPr>
        <w:t>interpreters</w:t>
      </w:r>
      <w:r>
        <w:rPr>
          <w:spacing w:val="-5"/>
          <w:sz w:val="20"/>
        </w:rPr>
        <w:t> </w:t>
      </w:r>
      <w:r>
        <w:rPr>
          <w:sz w:val="20"/>
        </w:rPr>
        <w:t>will</w:t>
      </w:r>
      <w:r>
        <w:rPr>
          <w:spacing w:val="-5"/>
          <w:sz w:val="20"/>
        </w:rPr>
        <w:t> </w:t>
      </w:r>
      <w:r>
        <w:rPr>
          <w:spacing w:val="-3"/>
          <w:sz w:val="20"/>
        </w:rPr>
        <w:t>ultimately</w:t>
      </w:r>
      <w:r>
        <w:rPr>
          <w:spacing w:val="-5"/>
          <w:sz w:val="20"/>
        </w:rPr>
        <w:t> </w:t>
      </w:r>
      <w:r>
        <w:rPr>
          <w:sz w:val="20"/>
        </w:rPr>
        <w:t>be</w:t>
      </w:r>
      <w:r>
        <w:rPr>
          <w:spacing w:val="-5"/>
          <w:sz w:val="20"/>
        </w:rPr>
        <w:t> </w:t>
      </w:r>
      <w:r>
        <w:rPr>
          <w:sz w:val="20"/>
        </w:rPr>
        <w:t>needed</w:t>
      </w:r>
      <w:r>
        <w:rPr>
          <w:spacing w:val="-5"/>
          <w:sz w:val="20"/>
        </w:rPr>
        <w:t> </w:t>
      </w:r>
      <w:r>
        <w:rPr>
          <w:sz w:val="20"/>
        </w:rPr>
        <w:t>for</w:t>
      </w:r>
      <w:r>
        <w:rPr>
          <w:spacing w:val="-4"/>
          <w:sz w:val="20"/>
        </w:rPr>
        <w:t> </w:t>
      </w:r>
      <w:r>
        <w:rPr>
          <w:sz w:val="20"/>
        </w:rPr>
        <w:t>a</w:t>
      </w:r>
      <w:r>
        <w:rPr>
          <w:spacing w:val="-5"/>
          <w:sz w:val="20"/>
        </w:rPr>
        <w:t> </w:t>
      </w:r>
      <w:r>
        <w:rPr>
          <w:sz w:val="20"/>
        </w:rPr>
        <w:t>trial.</w:t>
      </w:r>
    </w:p>
    <w:p>
      <w:pPr>
        <w:pStyle w:val="ListParagraph"/>
        <w:numPr>
          <w:ilvl w:val="1"/>
          <w:numId w:val="12"/>
        </w:numPr>
        <w:tabs>
          <w:tab w:pos="1761" w:val="left" w:leader="none"/>
          <w:tab w:pos="1762" w:val="left" w:leader="none"/>
        </w:tabs>
        <w:spacing w:line="206" w:lineRule="auto" w:before="80" w:after="0"/>
        <w:ind w:left="1761" w:right="1780" w:hanging="794"/>
        <w:jc w:val="left"/>
        <w:rPr>
          <w:sz w:val="20"/>
        </w:rPr>
      </w:pPr>
      <w:r>
        <w:rPr>
          <w:sz w:val="20"/>
        </w:rPr>
        <w:t>Issues</w:t>
      </w:r>
      <w:r>
        <w:rPr>
          <w:spacing w:val="-9"/>
          <w:sz w:val="20"/>
        </w:rPr>
        <w:t> </w:t>
      </w:r>
      <w:r>
        <w:rPr>
          <w:spacing w:val="-3"/>
          <w:sz w:val="20"/>
        </w:rPr>
        <w:t>are</w:t>
      </w:r>
      <w:r>
        <w:rPr>
          <w:spacing w:val="-8"/>
          <w:sz w:val="20"/>
        </w:rPr>
        <w:t> </w:t>
      </w:r>
      <w:r>
        <w:rPr>
          <w:sz w:val="20"/>
        </w:rPr>
        <w:t>compounded</w:t>
      </w:r>
      <w:r>
        <w:rPr>
          <w:spacing w:val="-8"/>
          <w:sz w:val="20"/>
        </w:rPr>
        <w:t> </w:t>
      </w:r>
      <w:r>
        <w:rPr>
          <w:sz w:val="20"/>
        </w:rPr>
        <w:t>in</w:t>
      </w:r>
      <w:r>
        <w:rPr>
          <w:spacing w:val="-8"/>
          <w:sz w:val="20"/>
        </w:rPr>
        <w:t> </w:t>
      </w:r>
      <w:r>
        <w:rPr>
          <w:sz w:val="20"/>
        </w:rPr>
        <w:t>regional</w:t>
      </w:r>
      <w:r>
        <w:rPr>
          <w:spacing w:val="-8"/>
          <w:sz w:val="20"/>
        </w:rPr>
        <w:t> </w:t>
      </w:r>
      <w:r>
        <w:rPr>
          <w:sz w:val="20"/>
        </w:rPr>
        <w:t>areas</w:t>
      </w:r>
      <w:r>
        <w:rPr>
          <w:spacing w:val="-8"/>
          <w:sz w:val="20"/>
        </w:rPr>
        <w:t> </w:t>
      </w:r>
      <w:r>
        <w:rPr>
          <w:sz w:val="20"/>
        </w:rPr>
        <w:t>because</w:t>
      </w:r>
      <w:r>
        <w:rPr>
          <w:spacing w:val="-8"/>
          <w:sz w:val="20"/>
        </w:rPr>
        <w:t> </w:t>
      </w:r>
      <w:r>
        <w:rPr>
          <w:spacing w:val="-3"/>
          <w:sz w:val="20"/>
        </w:rPr>
        <w:t>interpreters</w:t>
      </w:r>
      <w:r>
        <w:rPr>
          <w:spacing w:val="-8"/>
          <w:sz w:val="20"/>
        </w:rPr>
        <w:t> </w:t>
      </w:r>
      <w:r>
        <w:rPr>
          <w:spacing w:val="-2"/>
          <w:sz w:val="20"/>
        </w:rPr>
        <w:t>mainly</w:t>
      </w:r>
      <w:r>
        <w:rPr>
          <w:spacing w:val="-8"/>
          <w:sz w:val="20"/>
        </w:rPr>
        <w:t> </w:t>
      </w:r>
      <w:r>
        <w:rPr>
          <w:spacing w:val="-3"/>
          <w:sz w:val="20"/>
        </w:rPr>
        <w:t>travel</w:t>
      </w:r>
      <w:r>
        <w:rPr>
          <w:spacing w:val="-8"/>
          <w:sz w:val="20"/>
        </w:rPr>
        <w:t> </w:t>
      </w:r>
      <w:r>
        <w:rPr>
          <w:spacing w:val="-3"/>
          <w:sz w:val="20"/>
        </w:rPr>
        <w:t>from </w:t>
      </w:r>
      <w:r>
        <w:rPr>
          <w:sz w:val="20"/>
        </w:rPr>
        <w:t>metropolitan</w:t>
      </w:r>
      <w:r>
        <w:rPr>
          <w:spacing w:val="-5"/>
          <w:sz w:val="20"/>
        </w:rPr>
        <w:t> </w:t>
      </w:r>
      <w:r>
        <w:rPr>
          <w:sz w:val="20"/>
        </w:rPr>
        <w:t>Melbourne.</w:t>
      </w:r>
    </w:p>
    <w:p>
      <w:pPr>
        <w:spacing w:before="160"/>
        <w:ind w:left="967" w:right="0" w:firstLine="0"/>
        <w:jc w:val="left"/>
        <w:rPr>
          <w:b/>
          <w:sz w:val="24"/>
        </w:rPr>
      </w:pPr>
      <w:r>
        <w:rPr>
          <w:b/>
          <w:sz w:val="24"/>
        </w:rPr>
        <w:t>Not many Auslan interpreters do court work</w:t>
      </w:r>
    </w:p>
    <w:p>
      <w:pPr>
        <w:pStyle w:val="ListParagraph"/>
        <w:numPr>
          <w:ilvl w:val="1"/>
          <w:numId w:val="12"/>
        </w:numPr>
        <w:tabs>
          <w:tab w:pos="1761" w:val="left" w:leader="none"/>
          <w:tab w:pos="1762" w:val="left" w:leader="none"/>
        </w:tabs>
        <w:spacing w:line="259" w:lineRule="exact" w:before="95" w:after="0"/>
        <w:ind w:left="1761" w:right="0" w:hanging="794"/>
        <w:jc w:val="left"/>
        <w:rPr>
          <w:sz w:val="20"/>
        </w:rPr>
      </w:pPr>
      <w:r>
        <w:rPr>
          <w:sz w:val="20"/>
        </w:rPr>
        <w:t>Not </w:t>
      </w:r>
      <w:r>
        <w:rPr>
          <w:spacing w:val="-3"/>
          <w:sz w:val="20"/>
        </w:rPr>
        <w:t>many </w:t>
      </w:r>
      <w:r>
        <w:rPr>
          <w:sz w:val="20"/>
        </w:rPr>
        <w:t>Auslan </w:t>
      </w:r>
      <w:r>
        <w:rPr>
          <w:spacing w:val="-3"/>
          <w:sz w:val="20"/>
        </w:rPr>
        <w:t>interpreters work </w:t>
      </w:r>
      <w:r>
        <w:rPr>
          <w:sz w:val="20"/>
        </w:rPr>
        <w:t>in the courts.</w:t>
      </w:r>
      <w:r>
        <w:rPr>
          <w:position w:val="7"/>
          <w:sz w:val="11"/>
        </w:rPr>
        <w:t>79 </w:t>
      </w:r>
      <w:r>
        <w:rPr>
          <w:sz w:val="20"/>
        </w:rPr>
        <w:t>Those who </w:t>
      </w:r>
      <w:r>
        <w:rPr>
          <w:spacing w:val="-2"/>
          <w:sz w:val="20"/>
        </w:rPr>
        <w:t>do, </w:t>
      </w:r>
      <w:r>
        <w:rPr>
          <w:sz w:val="20"/>
        </w:rPr>
        <w:t>often </w:t>
      </w:r>
      <w:r>
        <w:rPr>
          <w:spacing w:val="-4"/>
          <w:sz w:val="20"/>
        </w:rPr>
        <w:t>have </w:t>
      </w:r>
      <w:r>
        <w:rPr>
          <w:spacing w:val="-3"/>
          <w:sz w:val="20"/>
        </w:rPr>
        <w:t>five </w:t>
      </w:r>
      <w:r>
        <w:rPr>
          <w:sz w:val="20"/>
        </w:rPr>
        <w:t>to</w:t>
      </w:r>
      <w:r>
        <w:rPr>
          <w:spacing w:val="-32"/>
          <w:sz w:val="20"/>
        </w:rPr>
        <w:t> </w:t>
      </w:r>
      <w:r>
        <w:rPr>
          <w:sz w:val="20"/>
        </w:rPr>
        <w:t>ten</w:t>
      </w:r>
    </w:p>
    <w:p>
      <w:pPr>
        <w:pStyle w:val="BodyText"/>
        <w:spacing w:line="259" w:lineRule="exact"/>
        <w:ind w:left="1761"/>
      </w:pPr>
      <w:r>
        <w:rPr/>
        <w:t>years of experience.</w:t>
      </w:r>
      <w:r>
        <w:rPr>
          <w:position w:val="7"/>
          <w:sz w:val="11"/>
        </w:rPr>
        <w:t>80 </w:t>
      </w:r>
      <w:r>
        <w:rPr/>
        <w:t>AUSIT told us that:</w:t>
      </w:r>
    </w:p>
    <w:p>
      <w:pPr>
        <w:spacing w:line="208" w:lineRule="auto" w:before="113"/>
        <w:ind w:left="2157" w:right="1335" w:firstLine="0"/>
        <w:jc w:val="left"/>
        <w:rPr>
          <w:sz w:val="19"/>
        </w:rPr>
      </w:pPr>
      <w:r>
        <w:rPr>
          <w:sz w:val="19"/>
        </w:rPr>
        <w:t>Less people work in the higher courts. There are probably less than 20 Auslan interpreters available to work on more complex legal matters.</w:t>
      </w:r>
    </w:p>
    <w:p>
      <w:pPr>
        <w:spacing w:line="208" w:lineRule="auto" w:before="121"/>
        <w:ind w:left="2157" w:right="1264" w:firstLine="0"/>
        <w:jc w:val="both"/>
        <w:rPr>
          <w:sz w:val="11"/>
        </w:rPr>
      </w:pPr>
      <w:r>
        <w:rPr>
          <w:sz w:val="19"/>
        </w:rPr>
        <w:t>Sometimes Auslan interpreters are flown in from interstate for complex legal matters. This</w:t>
      </w:r>
      <w:r>
        <w:rPr>
          <w:spacing w:val="-5"/>
          <w:sz w:val="19"/>
        </w:rPr>
        <w:t> </w:t>
      </w:r>
      <w:r>
        <w:rPr>
          <w:sz w:val="19"/>
        </w:rPr>
        <w:t>might</w:t>
      </w:r>
      <w:r>
        <w:rPr>
          <w:spacing w:val="-4"/>
          <w:sz w:val="19"/>
        </w:rPr>
        <w:t> </w:t>
      </w:r>
      <w:r>
        <w:rPr>
          <w:sz w:val="19"/>
        </w:rPr>
        <w:t>occur</w:t>
      </w:r>
      <w:r>
        <w:rPr>
          <w:spacing w:val="-4"/>
          <w:sz w:val="19"/>
        </w:rPr>
        <w:t> </w:t>
      </w:r>
      <w:r>
        <w:rPr>
          <w:sz w:val="19"/>
        </w:rPr>
        <w:t>if</w:t>
      </w:r>
      <w:r>
        <w:rPr>
          <w:spacing w:val="-4"/>
          <w:sz w:val="19"/>
        </w:rPr>
        <w:t> </w:t>
      </w:r>
      <w:r>
        <w:rPr>
          <w:sz w:val="19"/>
        </w:rPr>
        <w:t>one</w:t>
      </w:r>
      <w:r>
        <w:rPr>
          <w:spacing w:val="-4"/>
          <w:sz w:val="19"/>
        </w:rPr>
        <w:t> </w:t>
      </w:r>
      <w:r>
        <w:rPr>
          <w:sz w:val="19"/>
        </w:rPr>
        <w:t>Auslan</w:t>
      </w:r>
      <w:r>
        <w:rPr>
          <w:spacing w:val="-4"/>
          <w:sz w:val="19"/>
        </w:rPr>
        <w:t> </w:t>
      </w:r>
      <w:r>
        <w:rPr>
          <w:sz w:val="19"/>
        </w:rPr>
        <w:t>interpreter</w:t>
      </w:r>
      <w:r>
        <w:rPr>
          <w:spacing w:val="-4"/>
          <w:sz w:val="19"/>
        </w:rPr>
        <w:t> </w:t>
      </w:r>
      <w:r>
        <w:rPr>
          <w:sz w:val="19"/>
        </w:rPr>
        <w:t>has</w:t>
      </w:r>
      <w:r>
        <w:rPr>
          <w:spacing w:val="-4"/>
          <w:sz w:val="19"/>
        </w:rPr>
        <w:t> </w:t>
      </w:r>
      <w:r>
        <w:rPr>
          <w:sz w:val="19"/>
        </w:rPr>
        <w:t>done</w:t>
      </w:r>
      <w:r>
        <w:rPr>
          <w:spacing w:val="-5"/>
          <w:sz w:val="19"/>
        </w:rPr>
        <w:t> </w:t>
      </w:r>
      <w:r>
        <w:rPr>
          <w:sz w:val="19"/>
        </w:rPr>
        <w:t>lots</w:t>
      </w:r>
      <w:r>
        <w:rPr>
          <w:spacing w:val="-4"/>
          <w:sz w:val="19"/>
        </w:rPr>
        <w:t> </w:t>
      </w:r>
      <w:r>
        <w:rPr>
          <w:sz w:val="19"/>
        </w:rPr>
        <w:t>of</w:t>
      </w:r>
      <w:r>
        <w:rPr>
          <w:spacing w:val="-4"/>
          <w:sz w:val="19"/>
        </w:rPr>
        <w:t> </w:t>
      </w:r>
      <w:r>
        <w:rPr>
          <w:sz w:val="19"/>
        </w:rPr>
        <w:t>work</w:t>
      </w:r>
      <w:r>
        <w:rPr>
          <w:spacing w:val="-4"/>
          <w:sz w:val="19"/>
        </w:rPr>
        <w:t> </w:t>
      </w:r>
      <w:r>
        <w:rPr>
          <w:sz w:val="19"/>
        </w:rPr>
        <w:t>in</w:t>
      </w:r>
      <w:r>
        <w:rPr>
          <w:spacing w:val="-4"/>
          <w:sz w:val="19"/>
        </w:rPr>
        <w:t> </w:t>
      </w:r>
      <w:r>
        <w:rPr>
          <w:sz w:val="19"/>
        </w:rPr>
        <w:t>the</w:t>
      </w:r>
      <w:r>
        <w:rPr>
          <w:spacing w:val="-4"/>
          <w:sz w:val="19"/>
        </w:rPr>
        <w:t> </w:t>
      </w:r>
      <w:r>
        <w:rPr>
          <w:sz w:val="19"/>
        </w:rPr>
        <w:t>lower</w:t>
      </w:r>
      <w:r>
        <w:rPr>
          <w:spacing w:val="-4"/>
          <w:sz w:val="19"/>
        </w:rPr>
        <w:t> </w:t>
      </w:r>
      <w:r>
        <w:rPr>
          <w:sz w:val="19"/>
        </w:rPr>
        <w:t>courts</w:t>
      </w:r>
      <w:r>
        <w:rPr>
          <w:spacing w:val="-4"/>
          <w:sz w:val="19"/>
        </w:rPr>
        <w:t> </w:t>
      </w:r>
      <w:r>
        <w:rPr>
          <w:sz w:val="19"/>
        </w:rPr>
        <w:t>on a matter and new interpreters are preferred for the higher court</w:t>
      </w:r>
      <w:r>
        <w:rPr>
          <w:spacing w:val="-31"/>
          <w:sz w:val="19"/>
        </w:rPr>
        <w:t> </w:t>
      </w:r>
      <w:r>
        <w:rPr>
          <w:sz w:val="19"/>
        </w:rPr>
        <w:t>work.</w:t>
      </w:r>
      <w:r>
        <w:rPr>
          <w:position w:val="6"/>
          <w:sz w:val="11"/>
        </w:rPr>
        <w:t>81</w:t>
      </w:r>
    </w:p>
    <w:p>
      <w:pPr>
        <w:pStyle w:val="ListParagraph"/>
        <w:numPr>
          <w:ilvl w:val="1"/>
          <w:numId w:val="12"/>
        </w:numPr>
        <w:tabs>
          <w:tab w:pos="1761" w:val="left" w:leader="none"/>
          <w:tab w:pos="1762" w:val="left" w:leader="none"/>
        </w:tabs>
        <w:spacing w:line="206" w:lineRule="auto" w:before="124" w:after="0"/>
        <w:ind w:left="1761" w:right="1253" w:hanging="794"/>
        <w:jc w:val="left"/>
        <w:rPr>
          <w:sz w:val="20"/>
        </w:rPr>
      </w:pPr>
      <w:r>
        <w:rPr>
          <w:spacing w:val="-6"/>
          <w:sz w:val="20"/>
        </w:rPr>
        <w:t>We</w:t>
      </w:r>
      <w:r>
        <w:rPr>
          <w:spacing w:val="-10"/>
          <w:sz w:val="20"/>
        </w:rPr>
        <w:t> </w:t>
      </w:r>
      <w:r>
        <w:rPr>
          <w:sz w:val="20"/>
        </w:rPr>
        <w:t>note</w:t>
      </w:r>
      <w:r>
        <w:rPr>
          <w:spacing w:val="-10"/>
          <w:sz w:val="20"/>
        </w:rPr>
        <w:t> </w:t>
      </w:r>
      <w:r>
        <w:rPr>
          <w:sz w:val="20"/>
        </w:rPr>
        <w:t>that</w:t>
      </w:r>
      <w:r>
        <w:rPr>
          <w:spacing w:val="-9"/>
          <w:sz w:val="20"/>
        </w:rPr>
        <w:t> </w:t>
      </w:r>
      <w:r>
        <w:rPr>
          <w:sz w:val="20"/>
        </w:rPr>
        <w:t>the</w:t>
      </w:r>
      <w:r>
        <w:rPr>
          <w:spacing w:val="-10"/>
          <w:sz w:val="20"/>
        </w:rPr>
        <w:t> </w:t>
      </w:r>
      <w:r>
        <w:rPr>
          <w:sz w:val="20"/>
        </w:rPr>
        <w:t>Victorian</w:t>
      </w:r>
      <w:r>
        <w:rPr>
          <w:spacing w:val="-9"/>
          <w:sz w:val="20"/>
        </w:rPr>
        <w:t> </w:t>
      </w:r>
      <w:r>
        <w:rPr>
          <w:spacing w:val="-2"/>
          <w:sz w:val="20"/>
        </w:rPr>
        <w:t>Government</w:t>
      </w:r>
      <w:r>
        <w:rPr>
          <w:spacing w:val="-10"/>
          <w:sz w:val="20"/>
        </w:rPr>
        <w:t> </w:t>
      </w:r>
      <w:r>
        <w:rPr>
          <w:sz w:val="20"/>
        </w:rPr>
        <w:t>has</w:t>
      </w:r>
      <w:r>
        <w:rPr>
          <w:spacing w:val="-9"/>
          <w:sz w:val="20"/>
        </w:rPr>
        <w:t> </w:t>
      </w:r>
      <w:r>
        <w:rPr>
          <w:spacing w:val="-3"/>
          <w:sz w:val="20"/>
        </w:rPr>
        <w:t>recently</w:t>
      </w:r>
      <w:r>
        <w:rPr>
          <w:spacing w:val="-10"/>
          <w:sz w:val="20"/>
        </w:rPr>
        <w:t> </w:t>
      </w:r>
      <w:r>
        <w:rPr>
          <w:sz w:val="20"/>
        </w:rPr>
        <w:t>announced</w:t>
      </w:r>
      <w:r>
        <w:rPr>
          <w:spacing w:val="-9"/>
          <w:sz w:val="20"/>
        </w:rPr>
        <w:t> </w:t>
      </w:r>
      <w:r>
        <w:rPr>
          <w:sz w:val="20"/>
        </w:rPr>
        <w:t>fee-free</w:t>
      </w:r>
      <w:r>
        <w:rPr>
          <w:spacing w:val="-10"/>
          <w:sz w:val="20"/>
        </w:rPr>
        <w:t> </w:t>
      </w:r>
      <w:r>
        <w:rPr>
          <w:spacing w:val="-7"/>
          <w:sz w:val="20"/>
        </w:rPr>
        <w:t>TAFE</w:t>
      </w:r>
      <w:r>
        <w:rPr>
          <w:spacing w:val="-9"/>
          <w:sz w:val="20"/>
        </w:rPr>
        <w:t> </w:t>
      </w:r>
      <w:r>
        <w:rPr>
          <w:sz w:val="20"/>
        </w:rPr>
        <w:t>courses for</w:t>
      </w:r>
      <w:r>
        <w:rPr>
          <w:spacing w:val="-8"/>
          <w:sz w:val="20"/>
        </w:rPr>
        <w:t> </w:t>
      </w:r>
      <w:r>
        <w:rPr>
          <w:sz w:val="20"/>
        </w:rPr>
        <w:t>Auslan</w:t>
      </w:r>
      <w:r>
        <w:rPr>
          <w:spacing w:val="-8"/>
          <w:sz w:val="20"/>
        </w:rPr>
        <w:t> </w:t>
      </w:r>
      <w:r>
        <w:rPr>
          <w:sz w:val="20"/>
        </w:rPr>
        <w:t>interpreting.</w:t>
      </w:r>
      <w:r>
        <w:rPr>
          <w:position w:val="7"/>
          <w:sz w:val="11"/>
        </w:rPr>
        <w:t>82</w:t>
      </w:r>
      <w:r>
        <w:rPr>
          <w:spacing w:val="17"/>
          <w:position w:val="7"/>
          <w:sz w:val="11"/>
        </w:rPr>
        <w:t> </w:t>
      </w:r>
      <w:r>
        <w:rPr>
          <w:sz w:val="20"/>
        </w:rPr>
        <w:t>While</w:t>
      </w:r>
      <w:r>
        <w:rPr>
          <w:spacing w:val="-8"/>
          <w:sz w:val="20"/>
        </w:rPr>
        <w:t> </w:t>
      </w:r>
      <w:r>
        <w:rPr>
          <w:sz w:val="20"/>
        </w:rPr>
        <w:t>it</w:t>
      </w:r>
      <w:r>
        <w:rPr>
          <w:spacing w:val="-7"/>
          <w:sz w:val="20"/>
        </w:rPr>
        <w:t> </w:t>
      </w:r>
      <w:r>
        <w:rPr>
          <w:sz w:val="20"/>
        </w:rPr>
        <w:t>will</w:t>
      </w:r>
      <w:r>
        <w:rPr>
          <w:spacing w:val="-8"/>
          <w:sz w:val="20"/>
        </w:rPr>
        <w:t> </w:t>
      </w:r>
      <w:r>
        <w:rPr>
          <w:sz w:val="20"/>
        </w:rPr>
        <w:t>take</w:t>
      </w:r>
      <w:r>
        <w:rPr>
          <w:spacing w:val="-8"/>
          <w:sz w:val="20"/>
        </w:rPr>
        <w:t> </w:t>
      </w:r>
      <w:r>
        <w:rPr>
          <w:sz w:val="20"/>
        </w:rPr>
        <w:t>some</w:t>
      </w:r>
      <w:r>
        <w:rPr>
          <w:spacing w:val="-7"/>
          <w:sz w:val="20"/>
        </w:rPr>
        <w:t> </w:t>
      </w:r>
      <w:r>
        <w:rPr>
          <w:sz w:val="20"/>
        </w:rPr>
        <w:t>time</w:t>
      </w:r>
      <w:r>
        <w:rPr>
          <w:spacing w:val="-8"/>
          <w:sz w:val="20"/>
        </w:rPr>
        <w:t> </w:t>
      </w:r>
      <w:r>
        <w:rPr>
          <w:sz w:val="20"/>
        </w:rPr>
        <w:t>for</w:t>
      </w:r>
      <w:r>
        <w:rPr>
          <w:spacing w:val="-8"/>
          <w:sz w:val="20"/>
        </w:rPr>
        <w:t> </w:t>
      </w:r>
      <w:r>
        <w:rPr>
          <w:sz w:val="20"/>
        </w:rPr>
        <w:t>Auslan</w:t>
      </w:r>
      <w:r>
        <w:rPr>
          <w:spacing w:val="-8"/>
          <w:sz w:val="20"/>
        </w:rPr>
        <w:t> </w:t>
      </w:r>
      <w:r>
        <w:rPr>
          <w:spacing w:val="-3"/>
          <w:sz w:val="20"/>
        </w:rPr>
        <w:t>interpreters</w:t>
      </w:r>
      <w:r>
        <w:rPr>
          <w:spacing w:val="-7"/>
          <w:sz w:val="20"/>
        </w:rPr>
        <w:t> </w:t>
      </w:r>
      <w:r>
        <w:rPr>
          <w:sz w:val="20"/>
        </w:rPr>
        <w:t>to</w:t>
      </w:r>
      <w:r>
        <w:rPr>
          <w:spacing w:val="-8"/>
          <w:sz w:val="20"/>
        </w:rPr>
        <w:t> </w:t>
      </w:r>
      <w:r>
        <w:rPr>
          <w:sz w:val="20"/>
        </w:rPr>
        <w:t>gain</w:t>
      </w:r>
    </w:p>
    <w:p>
      <w:pPr>
        <w:pStyle w:val="BodyText"/>
        <w:spacing w:line="206" w:lineRule="auto" w:before="2"/>
        <w:ind w:left="1761" w:right="1335"/>
      </w:pPr>
      <w:r>
        <w:rPr/>
        <w:t>the</w:t>
      </w:r>
      <w:r>
        <w:rPr>
          <w:spacing w:val="-10"/>
        </w:rPr>
        <w:t> </w:t>
      </w:r>
      <w:r>
        <w:rPr>
          <w:spacing w:val="-3"/>
        </w:rPr>
        <w:t>required</w:t>
      </w:r>
      <w:r>
        <w:rPr>
          <w:spacing w:val="-9"/>
        </w:rPr>
        <w:t> </w:t>
      </w:r>
      <w:r>
        <w:rPr>
          <w:spacing w:val="-4"/>
        </w:rPr>
        <w:t>level</w:t>
      </w:r>
      <w:r>
        <w:rPr>
          <w:spacing w:val="-9"/>
        </w:rPr>
        <w:t> </w:t>
      </w:r>
      <w:r>
        <w:rPr/>
        <w:t>of</w:t>
      </w:r>
      <w:r>
        <w:rPr>
          <w:spacing w:val="-9"/>
        </w:rPr>
        <w:t> </w:t>
      </w:r>
      <w:r>
        <w:rPr/>
        <w:t>experience</w:t>
      </w:r>
      <w:r>
        <w:rPr>
          <w:spacing w:val="-9"/>
        </w:rPr>
        <w:t> </w:t>
      </w:r>
      <w:r>
        <w:rPr/>
        <w:t>for</w:t>
      </w:r>
      <w:r>
        <w:rPr>
          <w:spacing w:val="-9"/>
        </w:rPr>
        <w:t> </w:t>
      </w:r>
      <w:r>
        <w:rPr/>
        <w:t>court</w:t>
      </w:r>
      <w:r>
        <w:rPr>
          <w:spacing w:val="-9"/>
        </w:rPr>
        <w:t> </w:t>
      </w:r>
      <w:r>
        <w:rPr/>
        <w:t>work,</w:t>
      </w:r>
      <w:r>
        <w:rPr>
          <w:spacing w:val="-9"/>
        </w:rPr>
        <w:t> </w:t>
      </w:r>
      <w:r>
        <w:rPr/>
        <w:t>this</w:t>
      </w:r>
      <w:r>
        <w:rPr>
          <w:spacing w:val="-9"/>
        </w:rPr>
        <w:t> </w:t>
      </w:r>
      <w:r>
        <w:rPr/>
        <w:t>is</w:t>
      </w:r>
      <w:r>
        <w:rPr>
          <w:spacing w:val="-9"/>
        </w:rPr>
        <w:t> </w:t>
      </w:r>
      <w:r>
        <w:rPr/>
        <w:t>a</w:t>
      </w:r>
      <w:r>
        <w:rPr>
          <w:spacing w:val="-9"/>
        </w:rPr>
        <w:t> </w:t>
      </w:r>
      <w:r>
        <w:rPr/>
        <w:t>positive</w:t>
      </w:r>
      <w:r>
        <w:rPr>
          <w:spacing w:val="-10"/>
        </w:rPr>
        <w:t> </w:t>
      </w:r>
      <w:r>
        <w:rPr/>
        <w:t>step</w:t>
      </w:r>
      <w:r>
        <w:rPr>
          <w:spacing w:val="-9"/>
        </w:rPr>
        <w:t> </w:t>
      </w:r>
      <w:r>
        <w:rPr/>
        <w:t>to</w:t>
      </w:r>
      <w:r>
        <w:rPr>
          <w:spacing w:val="-9"/>
        </w:rPr>
        <w:t> </w:t>
      </w:r>
      <w:r>
        <w:rPr/>
        <w:t>address</w:t>
      </w:r>
      <w:r>
        <w:rPr>
          <w:spacing w:val="-9"/>
        </w:rPr>
        <w:t> </w:t>
      </w:r>
      <w:r>
        <w:rPr/>
        <w:t>the shortage of Auslan</w:t>
      </w:r>
      <w:r>
        <w:rPr>
          <w:spacing w:val="-13"/>
        </w:rPr>
        <w:t> </w:t>
      </w:r>
      <w:r>
        <w:rPr>
          <w:spacing w:val="-3"/>
        </w:rPr>
        <w:t>interpreters.</w:t>
      </w:r>
    </w:p>
    <w:p>
      <w:pPr>
        <w:pStyle w:val="BodyText"/>
      </w:pPr>
    </w:p>
    <w:p>
      <w:pPr>
        <w:pStyle w:val="BodyText"/>
        <w:spacing w:before="11"/>
        <w:rPr>
          <w:sz w:val="25"/>
        </w:rPr>
      </w:pPr>
      <w:r>
        <w:rPr/>
        <w:pict>
          <v:line style="position:absolute;mso-position-horizontal-relative:page;mso-position-vertical-relative:paragraph;z-index:8696;mso-wrap-distance-left:0;mso-wrap-distance-right:0" from="79.370102pt,20.351299pt" to="515.905102pt,20.351299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spacing w:before="7"/>
        <w:rPr>
          <w:sz w:val="33"/>
        </w:rPr>
      </w:pPr>
    </w:p>
    <w:p>
      <w:pPr>
        <w:spacing w:before="1"/>
        <w:ind w:left="100" w:right="0" w:firstLine="0"/>
        <w:jc w:val="left"/>
        <w:rPr>
          <w:b/>
          <w:sz w:val="24"/>
        </w:rPr>
      </w:pPr>
      <w:r>
        <w:rPr>
          <w:b/>
          <w:color w:val="37617A"/>
          <w:sz w:val="24"/>
        </w:rPr>
        <w:t>166</w:t>
      </w:r>
    </w:p>
    <w:p>
      <w:pPr>
        <w:pStyle w:val="ListParagraph"/>
        <w:numPr>
          <w:ilvl w:val="0"/>
          <w:numId w:val="99"/>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z w:val="13"/>
        </w:rPr>
        <w:t>Consultation 19 </w:t>
      </w:r>
      <w:r>
        <w:rPr>
          <w:spacing w:val="2"/>
          <w:sz w:val="13"/>
        </w:rPr>
        <w:t>(Australian </w:t>
      </w:r>
      <w:r>
        <w:rPr>
          <w:sz w:val="13"/>
        </w:rPr>
        <w:t>Institute of Interpreters and Translators</w:t>
      </w:r>
      <w:r>
        <w:rPr>
          <w:spacing w:val="2"/>
          <w:sz w:val="13"/>
        </w:rPr>
        <w:t> </w:t>
      </w:r>
      <w:r>
        <w:rPr>
          <w:sz w:val="13"/>
        </w:rPr>
        <w:t>(AUSIT)).</w:t>
      </w:r>
    </w:p>
    <w:p>
      <w:pPr>
        <w:pStyle w:val="ListParagraph"/>
        <w:numPr>
          <w:ilvl w:val="0"/>
          <w:numId w:val="99"/>
        </w:numPr>
        <w:tabs>
          <w:tab w:pos="893" w:val="left" w:leader="none"/>
          <w:tab w:pos="894" w:val="left" w:leader="none"/>
        </w:tabs>
        <w:spacing w:line="160" w:lineRule="exact" w:before="0" w:after="0"/>
        <w:ind w:left="893" w:right="0" w:hanging="793"/>
        <w:jc w:val="left"/>
        <w:rPr>
          <w:sz w:val="13"/>
        </w:rPr>
      </w:pPr>
      <w:r>
        <w:rPr>
          <w:sz w:val="13"/>
        </w:rPr>
        <w:t>Consultations 5 (Expression Australia), 18 </w:t>
      </w:r>
      <w:r>
        <w:rPr>
          <w:spacing w:val="2"/>
          <w:sz w:val="13"/>
        </w:rPr>
        <w:t>(Australian </w:t>
      </w:r>
      <w:r>
        <w:rPr>
          <w:sz w:val="13"/>
        </w:rPr>
        <w:t>Sign </w:t>
      </w:r>
      <w:r>
        <w:rPr>
          <w:spacing w:val="2"/>
          <w:sz w:val="13"/>
        </w:rPr>
        <w:t>Language </w:t>
      </w:r>
      <w:r>
        <w:rPr>
          <w:sz w:val="13"/>
        </w:rPr>
        <w:t>Interpreters’ </w:t>
      </w:r>
      <w:r>
        <w:rPr>
          <w:spacing w:val="2"/>
          <w:sz w:val="13"/>
        </w:rPr>
        <w:t>Association, </w:t>
      </w:r>
      <w:r>
        <w:rPr>
          <w:sz w:val="13"/>
        </w:rPr>
        <w:t>Victoria and Tasmania</w:t>
      </w:r>
      <w:r>
        <w:rPr>
          <w:spacing w:val="19"/>
          <w:sz w:val="13"/>
        </w:rPr>
        <w:t> </w:t>
      </w:r>
      <w:r>
        <w:rPr>
          <w:spacing w:val="2"/>
          <w:sz w:val="13"/>
        </w:rPr>
        <w:t>(ASLIA)).</w:t>
      </w:r>
    </w:p>
    <w:p>
      <w:pPr>
        <w:pStyle w:val="ListParagraph"/>
        <w:numPr>
          <w:ilvl w:val="0"/>
          <w:numId w:val="99"/>
        </w:numPr>
        <w:tabs>
          <w:tab w:pos="893" w:val="left" w:leader="none"/>
          <w:tab w:pos="894" w:val="left" w:leader="none"/>
        </w:tabs>
        <w:spacing w:line="160" w:lineRule="exact" w:before="0" w:after="0"/>
        <w:ind w:left="893" w:right="0" w:hanging="793"/>
        <w:jc w:val="left"/>
        <w:rPr>
          <w:sz w:val="13"/>
        </w:rPr>
      </w:pPr>
      <w:r>
        <w:rPr>
          <w:sz w:val="13"/>
        </w:rPr>
        <w:t>Consultation 19 </w:t>
      </w:r>
      <w:r>
        <w:rPr>
          <w:spacing w:val="2"/>
          <w:sz w:val="13"/>
        </w:rPr>
        <w:t>(Australian </w:t>
      </w:r>
      <w:r>
        <w:rPr>
          <w:sz w:val="13"/>
        </w:rPr>
        <w:t>Institute of Interpreters and Translators</w:t>
      </w:r>
      <w:r>
        <w:rPr>
          <w:spacing w:val="2"/>
          <w:sz w:val="13"/>
        </w:rPr>
        <w:t> </w:t>
      </w:r>
      <w:r>
        <w:rPr>
          <w:sz w:val="13"/>
        </w:rPr>
        <w:t>(AUSIT)).</w:t>
      </w:r>
    </w:p>
    <w:p>
      <w:pPr>
        <w:pStyle w:val="ListParagraph"/>
        <w:numPr>
          <w:ilvl w:val="0"/>
          <w:numId w:val="99"/>
        </w:numPr>
        <w:tabs>
          <w:tab w:pos="893" w:val="left" w:leader="none"/>
          <w:tab w:pos="894" w:val="left" w:leader="none"/>
        </w:tabs>
        <w:spacing w:line="213" w:lineRule="auto" w:before="7" w:after="0"/>
        <w:ind w:left="893" w:right="1296" w:hanging="793"/>
        <w:jc w:val="left"/>
        <w:rPr>
          <w:sz w:val="13"/>
        </w:rPr>
      </w:pPr>
      <w:r>
        <w:rPr>
          <w:sz w:val="13"/>
        </w:rPr>
        <w:t>The Victorian Government announced in May 2022 an investment of more than $4 million through the Victorian Budget 2022/23   to make the Diploma of Auslan and the Advanced Diploma of Interpreting </w:t>
      </w:r>
      <w:r>
        <w:rPr>
          <w:spacing w:val="2"/>
          <w:sz w:val="13"/>
        </w:rPr>
        <w:t>(Auslan </w:t>
      </w:r>
      <w:r>
        <w:rPr>
          <w:sz w:val="13"/>
        </w:rPr>
        <w:t>stream) available fee-free at TAFE from 2023. This is likely to increase the </w:t>
      </w:r>
      <w:r>
        <w:rPr>
          <w:spacing w:val="2"/>
          <w:sz w:val="13"/>
        </w:rPr>
        <w:t>number </w:t>
      </w:r>
      <w:r>
        <w:rPr>
          <w:sz w:val="13"/>
        </w:rPr>
        <w:t>of Auslan interpreters in the future: The Hon. Gayle Tierney, Minister for Training and </w:t>
      </w:r>
      <w:r>
        <w:rPr>
          <w:spacing w:val="2"/>
          <w:sz w:val="13"/>
        </w:rPr>
        <w:t>Skills</w:t>
      </w:r>
      <w:r>
        <w:rPr>
          <w:spacing w:val="37"/>
          <w:sz w:val="13"/>
        </w:rPr>
        <w:t> </w:t>
      </w:r>
      <w:r>
        <w:rPr>
          <w:sz w:val="13"/>
        </w:rPr>
        <w:t>and </w:t>
      </w:r>
      <w:r>
        <w:rPr>
          <w:spacing w:val="2"/>
          <w:sz w:val="13"/>
        </w:rPr>
        <w:t>Higher </w:t>
      </w:r>
      <w:r>
        <w:rPr>
          <w:sz w:val="13"/>
        </w:rPr>
        <w:t>Education (Vic), ‘Increasing the Auslan Teaching Workforce In Victoria’ (Media Release, 17 May</w:t>
      </w:r>
      <w:r>
        <w:rPr>
          <w:spacing w:val="3"/>
          <w:sz w:val="13"/>
        </w:rPr>
        <w:t> </w:t>
      </w:r>
      <w:r>
        <w:rPr>
          <w:sz w:val="13"/>
        </w:rPr>
        <w:t>2022).</w:t>
      </w:r>
    </w:p>
    <w:p>
      <w:pPr>
        <w:spacing w:after="0" w:line="213" w:lineRule="auto"/>
        <w:jc w:val="left"/>
        <w:rPr>
          <w:sz w:val="13"/>
        </w:rPr>
        <w:sectPr>
          <w:type w:val="continuous"/>
          <w:pgSz w:w="11910" w:h="16840"/>
          <w:pgMar w:top="620" w:bottom="280" w:left="620" w:right="380"/>
          <w:cols w:num="2" w:equalWidth="0">
            <w:col w:w="547" w:space="320"/>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75" w:hanging="794"/>
        <w:jc w:val="left"/>
        <w:rPr>
          <w:sz w:val="11"/>
        </w:rPr>
      </w:pPr>
      <w:bookmarkStart w:name="_bookmark121" w:id="287"/>
      <w:bookmarkEnd w:id="287"/>
      <w:r>
        <w:rPr/>
      </w:r>
      <w:bookmarkStart w:name="_bookmark121" w:id="288"/>
      <w:bookmarkEnd w:id="288"/>
      <w:r>
        <w:rPr>
          <w:spacing w:val="-6"/>
          <w:sz w:val="20"/>
        </w:rPr>
        <w:t>W</w:t>
      </w:r>
      <w:r>
        <w:rPr>
          <w:spacing w:val="-6"/>
          <w:sz w:val="20"/>
        </w:rPr>
        <w:t>e </w:t>
      </w:r>
      <w:r>
        <w:rPr>
          <w:sz w:val="20"/>
        </w:rPr>
        <w:t>understand that one of the factors contributing to the </w:t>
      </w:r>
      <w:r>
        <w:rPr>
          <w:spacing w:val="-3"/>
          <w:sz w:val="20"/>
        </w:rPr>
        <w:t>current </w:t>
      </w:r>
      <w:r>
        <w:rPr>
          <w:sz w:val="20"/>
        </w:rPr>
        <w:t>shortage is that Auslan</w:t>
      </w:r>
      <w:r>
        <w:rPr>
          <w:spacing w:val="-7"/>
          <w:sz w:val="20"/>
        </w:rPr>
        <w:t> </w:t>
      </w:r>
      <w:r>
        <w:rPr>
          <w:spacing w:val="-3"/>
          <w:sz w:val="20"/>
        </w:rPr>
        <w:t>interpreters</w:t>
      </w:r>
      <w:r>
        <w:rPr>
          <w:spacing w:val="-6"/>
          <w:sz w:val="20"/>
        </w:rPr>
        <w:t> </w:t>
      </w:r>
      <w:r>
        <w:rPr>
          <w:spacing w:val="-3"/>
          <w:sz w:val="20"/>
        </w:rPr>
        <w:t>are</w:t>
      </w:r>
      <w:r>
        <w:rPr>
          <w:spacing w:val="-7"/>
          <w:sz w:val="20"/>
        </w:rPr>
        <w:t> </w:t>
      </w:r>
      <w:r>
        <w:rPr>
          <w:sz w:val="20"/>
        </w:rPr>
        <w:t>paid</w:t>
      </w:r>
      <w:r>
        <w:rPr>
          <w:spacing w:val="-6"/>
          <w:sz w:val="20"/>
        </w:rPr>
        <w:t> </w:t>
      </w:r>
      <w:r>
        <w:rPr>
          <w:sz w:val="20"/>
        </w:rPr>
        <w:t>the</w:t>
      </w:r>
      <w:r>
        <w:rPr>
          <w:spacing w:val="-7"/>
          <w:sz w:val="20"/>
        </w:rPr>
        <w:t> </w:t>
      </w:r>
      <w:r>
        <w:rPr>
          <w:sz w:val="20"/>
        </w:rPr>
        <w:t>same</w:t>
      </w:r>
      <w:r>
        <w:rPr>
          <w:spacing w:val="-6"/>
          <w:sz w:val="20"/>
        </w:rPr>
        <w:t> </w:t>
      </w:r>
      <w:r>
        <w:rPr>
          <w:sz w:val="20"/>
        </w:rPr>
        <w:t>amount</w:t>
      </w:r>
      <w:r>
        <w:rPr>
          <w:spacing w:val="-6"/>
          <w:sz w:val="20"/>
        </w:rPr>
        <w:t> </w:t>
      </w:r>
      <w:r>
        <w:rPr>
          <w:sz w:val="20"/>
        </w:rPr>
        <w:t>for</w:t>
      </w:r>
      <w:r>
        <w:rPr>
          <w:spacing w:val="-7"/>
          <w:sz w:val="20"/>
        </w:rPr>
        <w:t> </w:t>
      </w:r>
      <w:r>
        <w:rPr>
          <w:spacing w:val="-3"/>
          <w:sz w:val="20"/>
        </w:rPr>
        <w:t>complex</w:t>
      </w:r>
      <w:r>
        <w:rPr>
          <w:spacing w:val="-6"/>
          <w:sz w:val="20"/>
        </w:rPr>
        <w:t> </w:t>
      </w:r>
      <w:r>
        <w:rPr>
          <w:sz w:val="20"/>
        </w:rPr>
        <w:t>legal</w:t>
      </w:r>
      <w:r>
        <w:rPr>
          <w:spacing w:val="-7"/>
          <w:sz w:val="20"/>
        </w:rPr>
        <w:t> </w:t>
      </w:r>
      <w:r>
        <w:rPr>
          <w:sz w:val="20"/>
        </w:rPr>
        <w:t>court</w:t>
      </w:r>
      <w:r>
        <w:rPr>
          <w:spacing w:val="-6"/>
          <w:sz w:val="20"/>
        </w:rPr>
        <w:t> </w:t>
      </w:r>
      <w:r>
        <w:rPr>
          <w:spacing w:val="-3"/>
          <w:sz w:val="20"/>
        </w:rPr>
        <w:t>work</w:t>
      </w:r>
      <w:r>
        <w:rPr>
          <w:spacing w:val="-7"/>
          <w:sz w:val="20"/>
        </w:rPr>
        <w:t> </w:t>
      </w:r>
      <w:r>
        <w:rPr>
          <w:sz w:val="20"/>
        </w:rPr>
        <w:t>as</w:t>
      </w:r>
      <w:r>
        <w:rPr>
          <w:spacing w:val="-6"/>
          <w:sz w:val="20"/>
        </w:rPr>
        <w:t> </w:t>
      </w:r>
      <w:r>
        <w:rPr>
          <w:sz w:val="20"/>
        </w:rPr>
        <w:t>they</w:t>
      </w:r>
      <w:r>
        <w:rPr>
          <w:spacing w:val="-6"/>
          <w:sz w:val="20"/>
        </w:rPr>
        <w:t> </w:t>
      </w:r>
      <w:r>
        <w:rPr>
          <w:spacing w:val="-3"/>
          <w:sz w:val="20"/>
        </w:rPr>
        <w:t>are </w:t>
      </w:r>
      <w:r>
        <w:rPr>
          <w:sz w:val="20"/>
        </w:rPr>
        <w:t>for simpler work. </w:t>
      </w:r>
      <w:r>
        <w:rPr>
          <w:spacing w:val="-3"/>
          <w:sz w:val="20"/>
        </w:rPr>
        <w:t>Therefore, </w:t>
      </w:r>
      <w:r>
        <w:rPr>
          <w:sz w:val="20"/>
        </w:rPr>
        <w:t>there is a lack of </w:t>
      </w:r>
      <w:r>
        <w:rPr>
          <w:spacing w:val="-3"/>
          <w:sz w:val="20"/>
        </w:rPr>
        <w:t>incentive </w:t>
      </w:r>
      <w:r>
        <w:rPr>
          <w:sz w:val="20"/>
        </w:rPr>
        <w:t>for </w:t>
      </w:r>
      <w:r>
        <w:rPr>
          <w:spacing w:val="-3"/>
          <w:sz w:val="20"/>
        </w:rPr>
        <w:t>interpreters </w:t>
      </w:r>
      <w:r>
        <w:rPr>
          <w:sz w:val="20"/>
        </w:rPr>
        <w:t>to specialise in court</w:t>
      </w:r>
      <w:r>
        <w:rPr>
          <w:spacing w:val="-8"/>
          <w:sz w:val="20"/>
        </w:rPr>
        <w:t> </w:t>
      </w:r>
      <w:r>
        <w:rPr>
          <w:sz w:val="20"/>
        </w:rPr>
        <w:t>work.</w:t>
      </w:r>
      <w:r>
        <w:rPr>
          <w:spacing w:val="-8"/>
          <w:sz w:val="20"/>
        </w:rPr>
        <w:t> </w:t>
      </w:r>
      <w:r>
        <w:rPr>
          <w:spacing w:val="-6"/>
          <w:sz w:val="20"/>
        </w:rPr>
        <w:t>We</w:t>
      </w:r>
      <w:r>
        <w:rPr>
          <w:spacing w:val="-8"/>
          <w:sz w:val="20"/>
        </w:rPr>
        <w:t> </w:t>
      </w:r>
      <w:r>
        <w:rPr>
          <w:spacing w:val="-4"/>
          <w:sz w:val="20"/>
        </w:rPr>
        <w:t>have</w:t>
      </w:r>
      <w:r>
        <w:rPr>
          <w:spacing w:val="-7"/>
          <w:sz w:val="20"/>
        </w:rPr>
        <w:t> </w:t>
      </w:r>
      <w:r>
        <w:rPr>
          <w:sz w:val="20"/>
        </w:rPr>
        <w:t>heard</w:t>
      </w:r>
      <w:r>
        <w:rPr>
          <w:spacing w:val="-8"/>
          <w:sz w:val="20"/>
        </w:rPr>
        <w:t> </w:t>
      </w:r>
      <w:r>
        <w:rPr>
          <w:sz w:val="20"/>
        </w:rPr>
        <w:t>that</w:t>
      </w:r>
      <w:r>
        <w:rPr>
          <w:spacing w:val="-8"/>
          <w:sz w:val="20"/>
        </w:rPr>
        <w:t> </w:t>
      </w:r>
      <w:r>
        <w:rPr>
          <w:sz w:val="20"/>
        </w:rPr>
        <w:t>often</w:t>
      </w:r>
      <w:r>
        <w:rPr>
          <w:spacing w:val="-7"/>
          <w:sz w:val="20"/>
        </w:rPr>
        <w:t> </w:t>
      </w:r>
      <w:r>
        <w:rPr>
          <w:sz w:val="20"/>
        </w:rPr>
        <w:t>people</w:t>
      </w:r>
      <w:r>
        <w:rPr>
          <w:spacing w:val="-8"/>
          <w:sz w:val="20"/>
        </w:rPr>
        <w:t> </w:t>
      </w:r>
      <w:r>
        <w:rPr>
          <w:sz w:val="20"/>
        </w:rPr>
        <w:t>who</w:t>
      </w:r>
      <w:r>
        <w:rPr>
          <w:spacing w:val="-8"/>
          <w:sz w:val="20"/>
        </w:rPr>
        <w:t> </w:t>
      </w:r>
      <w:r>
        <w:rPr>
          <w:sz w:val="20"/>
        </w:rPr>
        <w:t>do</w:t>
      </w:r>
      <w:r>
        <w:rPr>
          <w:spacing w:val="-7"/>
          <w:sz w:val="20"/>
        </w:rPr>
        <w:t> </w:t>
      </w:r>
      <w:r>
        <w:rPr>
          <w:sz w:val="20"/>
        </w:rPr>
        <w:t>this</w:t>
      </w:r>
      <w:r>
        <w:rPr>
          <w:spacing w:val="-8"/>
          <w:sz w:val="20"/>
        </w:rPr>
        <w:t> </w:t>
      </w:r>
      <w:r>
        <w:rPr>
          <w:spacing w:val="-3"/>
          <w:sz w:val="20"/>
        </w:rPr>
        <w:t>work</w:t>
      </w:r>
      <w:r>
        <w:rPr>
          <w:spacing w:val="-8"/>
          <w:sz w:val="20"/>
        </w:rPr>
        <w:t> </w:t>
      </w:r>
      <w:r>
        <w:rPr>
          <w:sz w:val="20"/>
        </w:rPr>
        <w:t>do</w:t>
      </w:r>
      <w:r>
        <w:rPr>
          <w:spacing w:val="-8"/>
          <w:sz w:val="20"/>
        </w:rPr>
        <w:t> </w:t>
      </w:r>
      <w:r>
        <w:rPr>
          <w:sz w:val="20"/>
        </w:rPr>
        <w:t>so</w:t>
      </w:r>
      <w:r>
        <w:rPr>
          <w:spacing w:val="-7"/>
          <w:sz w:val="20"/>
        </w:rPr>
        <w:t> </w:t>
      </w:r>
      <w:r>
        <w:rPr>
          <w:sz w:val="20"/>
        </w:rPr>
        <w:t>because</w:t>
      </w:r>
      <w:r>
        <w:rPr>
          <w:spacing w:val="-8"/>
          <w:sz w:val="20"/>
        </w:rPr>
        <w:t> </w:t>
      </w:r>
      <w:r>
        <w:rPr>
          <w:sz w:val="20"/>
        </w:rPr>
        <w:t>they</w:t>
      </w:r>
      <w:r>
        <w:rPr>
          <w:spacing w:val="-8"/>
          <w:sz w:val="20"/>
        </w:rPr>
        <w:t> </w:t>
      </w:r>
      <w:r>
        <w:rPr>
          <w:spacing w:val="-3"/>
          <w:sz w:val="20"/>
        </w:rPr>
        <w:t>are </w:t>
      </w:r>
      <w:r>
        <w:rPr>
          <w:sz w:val="20"/>
        </w:rPr>
        <w:t>motivated </w:t>
      </w:r>
      <w:r>
        <w:rPr>
          <w:spacing w:val="-3"/>
          <w:sz w:val="20"/>
        </w:rPr>
        <w:t>by </w:t>
      </w:r>
      <w:r>
        <w:rPr>
          <w:sz w:val="20"/>
        </w:rPr>
        <w:t>social justice</w:t>
      </w:r>
      <w:r>
        <w:rPr>
          <w:spacing w:val="-16"/>
          <w:sz w:val="20"/>
        </w:rPr>
        <w:t> </w:t>
      </w:r>
      <w:r>
        <w:rPr>
          <w:sz w:val="20"/>
        </w:rPr>
        <w:t>principles.</w:t>
      </w:r>
      <w:r>
        <w:rPr>
          <w:position w:val="7"/>
          <w:sz w:val="11"/>
        </w:rPr>
        <w:t>83</w:t>
      </w:r>
    </w:p>
    <w:p>
      <w:pPr>
        <w:pStyle w:val="ListParagraph"/>
        <w:numPr>
          <w:ilvl w:val="1"/>
          <w:numId w:val="12"/>
        </w:numPr>
        <w:tabs>
          <w:tab w:pos="1761" w:val="left" w:leader="none"/>
          <w:tab w:pos="1762" w:val="left" w:leader="none"/>
        </w:tabs>
        <w:spacing w:line="206" w:lineRule="auto" w:before="126" w:after="0"/>
        <w:ind w:left="1761" w:right="1339" w:hanging="794"/>
        <w:jc w:val="left"/>
        <w:rPr>
          <w:sz w:val="20"/>
        </w:rPr>
      </w:pPr>
      <w:r>
        <w:rPr>
          <w:spacing w:val="-10"/>
          <w:sz w:val="20"/>
        </w:rPr>
        <w:t>To </w:t>
      </w:r>
      <w:r>
        <w:rPr>
          <w:sz w:val="20"/>
        </w:rPr>
        <w:t>address</w:t>
      </w:r>
      <w:r>
        <w:rPr>
          <w:spacing w:val="-9"/>
          <w:sz w:val="20"/>
        </w:rPr>
        <w:t> </w:t>
      </w:r>
      <w:r>
        <w:rPr>
          <w:sz w:val="20"/>
        </w:rPr>
        <w:t>the</w:t>
      </w:r>
      <w:r>
        <w:rPr>
          <w:spacing w:val="-10"/>
          <w:sz w:val="20"/>
        </w:rPr>
        <w:t> </w:t>
      </w:r>
      <w:r>
        <w:rPr>
          <w:sz w:val="20"/>
        </w:rPr>
        <w:t>shortage</w:t>
      </w:r>
      <w:r>
        <w:rPr>
          <w:spacing w:val="-9"/>
          <w:sz w:val="20"/>
        </w:rPr>
        <w:t> </w:t>
      </w:r>
      <w:r>
        <w:rPr>
          <w:sz w:val="20"/>
        </w:rPr>
        <w:t>of</w:t>
      </w:r>
      <w:r>
        <w:rPr>
          <w:spacing w:val="-9"/>
          <w:sz w:val="20"/>
        </w:rPr>
        <w:t> </w:t>
      </w:r>
      <w:r>
        <w:rPr>
          <w:sz w:val="20"/>
        </w:rPr>
        <w:t>Auslan</w:t>
      </w:r>
      <w:r>
        <w:rPr>
          <w:spacing w:val="-10"/>
          <w:sz w:val="20"/>
        </w:rPr>
        <w:t> </w:t>
      </w:r>
      <w:r>
        <w:rPr>
          <w:spacing w:val="-3"/>
          <w:sz w:val="20"/>
        </w:rPr>
        <w:t>interpreters,</w:t>
      </w:r>
      <w:r>
        <w:rPr>
          <w:spacing w:val="-9"/>
          <w:sz w:val="20"/>
        </w:rPr>
        <w:t> </w:t>
      </w:r>
      <w:r>
        <w:rPr>
          <w:sz w:val="20"/>
        </w:rPr>
        <w:t>the</w:t>
      </w:r>
      <w:r>
        <w:rPr>
          <w:spacing w:val="-10"/>
          <w:sz w:val="20"/>
        </w:rPr>
        <w:t> </w:t>
      </w:r>
      <w:r>
        <w:rPr>
          <w:sz w:val="20"/>
        </w:rPr>
        <w:t>Commission</w:t>
      </w:r>
      <w:r>
        <w:rPr>
          <w:spacing w:val="-9"/>
          <w:sz w:val="20"/>
        </w:rPr>
        <w:t> </w:t>
      </w:r>
      <w:r>
        <w:rPr>
          <w:sz w:val="20"/>
        </w:rPr>
        <w:t>recommends</w:t>
      </w:r>
      <w:r>
        <w:rPr>
          <w:spacing w:val="-9"/>
          <w:sz w:val="20"/>
        </w:rPr>
        <w:t> </w:t>
      </w:r>
      <w:r>
        <w:rPr>
          <w:sz w:val="20"/>
        </w:rPr>
        <w:t>that</w:t>
      </w:r>
      <w:r>
        <w:rPr>
          <w:spacing w:val="-10"/>
          <w:sz w:val="20"/>
        </w:rPr>
        <w:t> </w:t>
      </w:r>
      <w:r>
        <w:rPr>
          <w:sz w:val="20"/>
        </w:rPr>
        <w:t>the courts and Juries Victoria </w:t>
      </w:r>
      <w:r>
        <w:rPr>
          <w:spacing w:val="-3"/>
          <w:sz w:val="20"/>
        </w:rPr>
        <w:t>remunerate </w:t>
      </w:r>
      <w:r>
        <w:rPr>
          <w:sz w:val="20"/>
        </w:rPr>
        <w:t>Auslan </w:t>
      </w:r>
      <w:r>
        <w:rPr>
          <w:spacing w:val="-3"/>
          <w:sz w:val="20"/>
        </w:rPr>
        <w:t>interpreters </w:t>
      </w:r>
      <w:r>
        <w:rPr>
          <w:sz w:val="20"/>
        </w:rPr>
        <w:t>who do jury </w:t>
      </w:r>
      <w:r>
        <w:rPr>
          <w:spacing w:val="-3"/>
          <w:sz w:val="20"/>
        </w:rPr>
        <w:t>work </w:t>
      </w:r>
      <w:r>
        <w:rPr>
          <w:sz w:val="20"/>
        </w:rPr>
        <w:t>at a </w:t>
      </w:r>
      <w:r>
        <w:rPr>
          <w:spacing w:val="-3"/>
          <w:sz w:val="20"/>
        </w:rPr>
        <w:t>rate </w:t>
      </w:r>
      <w:r>
        <w:rPr>
          <w:sz w:val="20"/>
        </w:rPr>
        <w:t>that</w:t>
      </w:r>
      <w:r>
        <w:rPr>
          <w:spacing w:val="-7"/>
          <w:sz w:val="20"/>
        </w:rPr>
        <w:t> </w:t>
      </w:r>
      <w:r>
        <w:rPr>
          <w:sz w:val="20"/>
        </w:rPr>
        <w:t>recognises</w:t>
      </w:r>
      <w:r>
        <w:rPr>
          <w:spacing w:val="-7"/>
          <w:sz w:val="20"/>
        </w:rPr>
        <w:t> </w:t>
      </w:r>
      <w:r>
        <w:rPr>
          <w:sz w:val="20"/>
        </w:rPr>
        <w:t>the</w:t>
      </w:r>
      <w:r>
        <w:rPr>
          <w:spacing w:val="-6"/>
          <w:sz w:val="20"/>
        </w:rPr>
        <w:t> </w:t>
      </w:r>
      <w:r>
        <w:rPr>
          <w:sz w:val="20"/>
        </w:rPr>
        <w:t>extra</w:t>
      </w:r>
      <w:r>
        <w:rPr>
          <w:spacing w:val="-7"/>
          <w:sz w:val="20"/>
        </w:rPr>
        <w:t> </w:t>
      </w:r>
      <w:r>
        <w:rPr>
          <w:sz w:val="20"/>
        </w:rPr>
        <w:t>skills</w:t>
      </w:r>
      <w:r>
        <w:rPr>
          <w:spacing w:val="-6"/>
          <w:sz w:val="20"/>
        </w:rPr>
        <w:t> </w:t>
      </w:r>
      <w:r>
        <w:rPr>
          <w:sz w:val="20"/>
        </w:rPr>
        <w:t>and</w:t>
      </w:r>
      <w:r>
        <w:rPr>
          <w:spacing w:val="-7"/>
          <w:sz w:val="20"/>
        </w:rPr>
        <w:t> </w:t>
      </w:r>
      <w:r>
        <w:rPr>
          <w:sz w:val="20"/>
        </w:rPr>
        <w:t>training</w:t>
      </w:r>
      <w:r>
        <w:rPr>
          <w:spacing w:val="-6"/>
          <w:sz w:val="20"/>
        </w:rPr>
        <w:t> </w:t>
      </w:r>
      <w:r>
        <w:rPr>
          <w:spacing w:val="-3"/>
          <w:sz w:val="20"/>
        </w:rPr>
        <w:t>required</w:t>
      </w:r>
      <w:r>
        <w:rPr>
          <w:spacing w:val="-7"/>
          <w:sz w:val="20"/>
        </w:rPr>
        <w:t> </w:t>
      </w:r>
      <w:r>
        <w:rPr>
          <w:sz w:val="20"/>
        </w:rPr>
        <w:t>for</w:t>
      </w:r>
      <w:r>
        <w:rPr>
          <w:spacing w:val="-6"/>
          <w:sz w:val="20"/>
        </w:rPr>
        <w:t> </w:t>
      </w:r>
      <w:r>
        <w:rPr>
          <w:sz w:val="20"/>
        </w:rPr>
        <w:t>this</w:t>
      </w:r>
      <w:r>
        <w:rPr>
          <w:spacing w:val="-7"/>
          <w:sz w:val="20"/>
        </w:rPr>
        <w:t> </w:t>
      </w:r>
      <w:r>
        <w:rPr>
          <w:sz w:val="20"/>
        </w:rPr>
        <w:t>specialised</w:t>
      </w:r>
      <w:r>
        <w:rPr>
          <w:spacing w:val="-6"/>
          <w:sz w:val="20"/>
        </w:rPr>
        <w:t> </w:t>
      </w:r>
      <w:r>
        <w:rPr>
          <w:sz w:val="20"/>
        </w:rPr>
        <w:t>work.</w:t>
      </w:r>
    </w:p>
    <w:p>
      <w:pPr>
        <w:spacing w:before="162"/>
        <w:ind w:left="967" w:right="0" w:firstLine="0"/>
        <w:jc w:val="left"/>
        <w:rPr>
          <w:b/>
          <w:sz w:val="24"/>
        </w:rPr>
      </w:pPr>
      <w:r>
        <w:rPr>
          <w:b/>
          <w:sz w:val="24"/>
        </w:rPr>
        <w:t>Unpredictability of court timing and the need for consistency of interpreters</w:t>
      </w:r>
    </w:p>
    <w:p>
      <w:pPr>
        <w:pStyle w:val="ListParagraph"/>
        <w:numPr>
          <w:ilvl w:val="1"/>
          <w:numId w:val="12"/>
        </w:numPr>
        <w:tabs>
          <w:tab w:pos="1761" w:val="left" w:leader="none"/>
          <w:tab w:pos="1762" w:val="left" w:leader="none"/>
        </w:tabs>
        <w:spacing w:line="206" w:lineRule="auto" w:before="127" w:after="0"/>
        <w:ind w:left="1761" w:right="1213" w:hanging="794"/>
        <w:jc w:val="left"/>
        <w:rPr>
          <w:sz w:val="11"/>
        </w:rPr>
      </w:pPr>
      <w:r>
        <w:rPr>
          <w:sz w:val="20"/>
        </w:rPr>
        <w:t>It is difficult to know </w:t>
      </w:r>
      <w:r>
        <w:rPr>
          <w:spacing w:val="-3"/>
          <w:sz w:val="20"/>
        </w:rPr>
        <w:t>how </w:t>
      </w:r>
      <w:r>
        <w:rPr>
          <w:sz w:val="20"/>
        </w:rPr>
        <w:t>long an Auslan </w:t>
      </w:r>
      <w:r>
        <w:rPr>
          <w:spacing w:val="-3"/>
          <w:sz w:val="20"/>
        </w:rPr>
        <w:t>interpreter </w:t>
      </w:r>
      <w:r>
        <w:rPr>
          <w:sz w:val="20"/>
        </w:rPr>
        <w:t>will be needed </w:t>
      </w:r>
      <w:r>
        <w:rPr>
          <w:spacing w:val="-5"/>
          <w:sz w:val="20"/>
        </w:rPr>
        <w:t>for. </w:t>
      </w:r>
      <w:r>
        <w:rPr>
          <w:sz w:val="20"/>
        </w:rPr>
        <w:t>Juries Victoria and</w:t>
      </w:r>
      <w:r>
        <w:rPr>
          <w:spacing w:val="-10"/>
          <w:sz w:val="20"/>
        </w:rPr>
        <w:t> </w:t>
      </w:r>
      <w:r>
        <w:rPr>
          <w:sz w:val="20"/>
        </w:rPr>
        <w:t>Brent</w:t>
      </w:r>
      <w:r>
        <w:rPr>
          <w:spacing w:val="-10"/>
          <w:sz w:val="20"/>
        </w:rPr>
        <w:t> </w:t>
      </w:r>
      <w:r>
        <w:rPr>
          <w:sz w:val="20"/>
        </w:rPr>
        <w:t>Philips</w:t>
      </w:r>
      <w:r>
        <w:rPr>
          <w:spacing w:val="-9"/>
          <w:sz w:val="20"/>
        </w:rPr>
        <w:t> </w:t>
      </w:r>
      <w:r>
        <w:rPr>
          <w:sz w:val="20"/>
        </w:rPr>
        <w:t>noted</w:t>
      </w:r>
      <w:r>
        <w:rPr>
          <w:spacing w:val="-10"/>
          <w:sz w:val="20"/>
        </w:rPr>
        <w:t> </w:t>
      </w:r>
      <w:r>
        <w:rPr>
          <w:sz w:val="20"/>
        </w:rPr>
        <w:t>that</w:t>
      </w:r>
      <w:r>
        <w:rPr>
          <w:spacing w:val="-9"/>
          <w:sz w:val="20"/>
        </w:rPr>
        <w:t> </w:t>
      </w:r>
      <w:r>
        <w:rPr>
          <w:sz w:val="20"/>
        </w:rPr>
        <w:t>this</w:t>
      </w:r>
      <w:r>
        <w:rPr>
          <w:spacing w:val="-10"/>
          <w:sz w:val="20"/>
        </w:rPr>
        <w:t> </w:t>
      </w:r>
      <w:r>
        <w:rPr>
          <w:spacing w:val="-3"/>
          <w:sz w:val="20"/>
        </w:rPr>
        <w:t>creates</w:t>
      </w:r>
      <w:r>
        <w:rPr>
          <w:spacing w:val="-10"/>
          <w:sz w:val="20"/>
        </w:rPr>
        <w:t> </w:t>
      </w:r>
      <w:r>
        <w:rPr>
          <w:sz w:val="20"/>
        </w:rPr>
        <w:t>challenges</w:t>
      </w:r>
      <w:r>
        <w:rPr>
          <w:spacing w:val="-9"/>
          <w:sz w:val="20"/>
        </w:rPr>
        <w:t> </w:t>
      </w:r>
      <w:r>
        <w:rPr>
          <w:sz w:val="20"/>
        </w:rPr>
        <w:t>for</w:t>
      </w:r>
      <w:r>
        <w:rPr>
          <w:spacing w:val="-10"/>
          <w:sz w:val="20"/>
        </w:rPr>
        <w:t> </w:t>
      </w:r>
      <w:r>
        <w:rPr>
          <w:sz w:val="20"/>
        </w:rPr>
        <w:t>Auslan</w:t>
      </w:r>
      <w:r>
        <w:rPr>
          <w:spacing w:val="-9"/>
          <w:sz w:val="20"/>
        </w:rPr>
        <w:t> </w:t>
      </w:r>
      <w:r>
        <w:rPr>
          <w:sz w:val="20"/>
        </w:rPr>
        <w:t>service</w:t>
      </w:r>
      <w:r>
        <w:rPr>
          <w:spacing w:val="-10"/>
          <w:sz w:val="20"/>
        </w:rPr>
        <w:t> </w:t>
      </w:r>
      <w:r>
        <w:rPr>
          <w:spacing w:val="-3"/>
          <w:sz w:val="20"/>
        </w:rPr>
        <w:t>providers</w:t>
      </w:r>
      <w:r>
        <w:rPr>
          <w:spacing w:val="-9"/>
          <w:sz w:val="20"/>
        </w:rPr>
        <w:t> </w:t>
      </w:r>
      <w:r>
        <w:rPr>
          <w:sz w:val="20"/>
        </w:rPr>
        <w:t>and</w:t>
      </w:r>
      <w:r>
        <w:rPr>
          <w:spacing w:val="-10"/>
          <w:sz w:val="20"/>
        </w:rPr>
        <w:t> </w:t>
      </w:r>
      <w:r>
        <w:rPr>
          <w:sz w:val="20"/>
        </w:rPr>
        <w:t>for </w:t>
      </w:r>
      <w:r>
        <w:rPr>
          <w:spacing w:val="-3"/>
          <w:sz w:val="20"/>
        </w:rPr>
        <w:t>interpreters </w:t>
      </w:r>
      <w:r>
        <w:rPr>
          <w:sz w:val="20"/>
        </w:rPr>
        <w:t>in planning their </w:t>
      </w:r>
      <w:r>
        <w:rPr>
          <w:spacing w:val="-3"/>
          <w:sz w:val="20"/>
        </w:rPr>
        <w:t>work</w:t>
      </w:r>
      <w:r>
        <w:rPr>
          <w:spacing w:val="-18"/>
          <w:sz w:val="20"/>
        </w:rPr>
        <w:t> </w:t>
      </w:r>
      <w:r>
        <w:rPr>
          <w:sz w:val="20"/>
        </w:rPr>
        <w:t>schedules.</w:t>
      </w:r>
      <w:r>
        <w:rPr>
          <w:position w:val="7"/>
          <w:sz w:val="11"/>
        </w:rPr>
        <w:t>84</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Brent Phillips commented</w:t>
      </w:r>
      <w:r>
        <w:rPr>
          <w:spacing w:val="-14"/>
          <w:sz w:val="20"/>
        </w:rPr>
        <w:t> </w:t>
      </w:r>
      <w:r>
        <w:rPr>
          <w:sz w:val="20"/>
        </w:rPr>
        <w:t>that:</w:t>
      </w:r>
    </w:p>
    <w:p>
      <w:pPr>
        <w:spacing w:line="208" w:lineRule="auto" w:before="112"/>
        <w:ind w:left="2157" w:right="1319" w:firstLine="0"/>
        <w:jc w:val="both"/>
        <w:rPr>
          <w:sz w:val="19"/>
        </w:rPr>
      </w:pPr>
      <w:r>
        <w:rPr>
          <w:sz w:val="19"/>
        </w:rPr>
        <w:t>Another</w:t>
      </w:r>
      <w:r>
        <w:rPr>
          <w:spacing w:val="-8"/>
          <w:sz w:val="19"/>
        </w:rPr>
        <w:t> </w:t>
      </w:r>
      <w:r>
        <w:rPr>
          <w:sz w:val="19"/>
        </w:rPr>
        <w:t>logistical</w:t>
      </w:r>
      <w:r>
        <w:rPr>
          <w:spacing w:val="-7"/>
          <w:sz w:val="19"/>
        </w:rPr>
        <w:t> </w:t>
      </w:r>
      <w:r>
        <w:rPr>
          <w:sz w:val="19"/>
        </w:rPr>
        <w:t>issue</w:t>
      </w:r>
      <w:r>
        <w:rPr>
          <w:spacing w:val="-8"/>
          <w:sz w:val="19"/>
        </w:rPr>
        <w:t> </w:t>
      </w:r>
      <w:r>
        <w:rPr>
          <w:sz w:val="19"/>
        </w:rPr>
        <w:t>is</w:t>
      </w:r>
      <w:r>
        <w:rPr>
          <w:spacing w:val="-7"/>
          <w:sz w:val="19"/>
        </w:rPr>
        <w:t> </w:t>
      </w:r>
      <w:r>
        <w:rPr>
          <w:sz w:val="19"/>
        </w:rPr>
        <w:t>that</w:t>
      </w:r>
      <w:r>
        <w:rPr>
          <w:spacing w:val="-8"/>
          <w:sz w:val="19"/>
        </w:rPr>
        <w:t> </w:t>
      </w:r>
      <w:r>
        <w:rPr>
          <w:sz w:val="19"/>
        </w:rPr>
        <w:t>it</w:t>
      </w:r>
      <w:r>
        <w:rPr>
          <w:spacing w:val="-7"/>
          <w:sz w:val="19"/>
        </w:rPr>
        <w:t> </w:t>
      </w:r>
      <w:r>
        <w:rPr>
          <w:sz w:val="19"/>
        </w:rPr>
        <w:t>is</w:t>
      </w:r>
      <w:r>
        <w:rPr>
          <w:spacing w:val="-7"/>
          <w:sz w:val="19"/>
        </w:rPr>
        <w:t> </w:t>
      </w:r>
      <w:r>
        <w:rPr>
          <w:sz w:val="19"/>
        </w:rPr>
        <w:t>difficult</w:t>
      </w:r>
      <w:r>
        <w:rPr>
          <w:spacing w:val="-8"/>
          <w:sz w:val="19"/>
        </w:rPr>
        <w:t> </w:t>
      </w:r>
      <w:r>
        <w:rPr>
          <w:sz w:val="19"/>
        </w:rPr>
        <w:t>to</w:t>
      </w:r>
      <w:r>
        <w:rPr>
          <w:spacing w:val="-7"/>
          <w:sz w:val="19"/>
        </w:rPr>
        <w:t> </w:t>
      </w:r>
      <w:r>
        <w:rPr>
          <w:sz w:val="19"/>
        </w:rPr>
        <w:t>anticipate</w:t>
      </w:r>
      <w:r>
        <w:rPr>
          <w:spacing w:val="-8"/>
          <w:sz w:val="19"/>
        </w:rPr>
        <w:t> </w:t>
      </w:r>
      <w:r>
        <w:rPr>
          <w:sz w:val="19"/>
        </w:rPr>
        <w:t>how</w:t>
      </w:r>
      <w:r>
        <w:rPr>
          <w:spacing w:val="-7"/>
          <w:sz w:val="19"/>
        </w:rPr>
        <w:t> </w:t>
      </w:r>
      <w:r>
        <w:rPr>
          <w:sz w:val="19"/>
        </w:rPr>
        <w:t>long</w:t>
      </w:r>
      <w:r>
        <w:rPr>
          <w:spacing w:val="-7"/>
          <w:sz w:val="19"/>
        </w:rPr>
        <w:t> </w:t>
      </w:r>
      <w:r>
        <w:rPr>
          <w:sz w:val="19"/>
        </w:rPr>
        <w:t>an</w:t>
      </w:r>
      <w:r>
        <w:rPr>
          <w:spacing w:val="-8"/>
          <w:sz w:val="19"/>
        </w:rPr>
        <w:t> </w:t>
      </w:r>
      <w:r>
        <w:rPr>
          <w:sz w:val="19"/>
        </w:rPr>
        <w:t>interpreter</w:t>
      </w:r>
      <w:r>
        <w:rPr>
          <w:spacing w:val="-7"/>
          <w:sz w:val="19"/>
        </w:rPr>
        <w:t> </w:t>
      </w:r>
      <w:r>
        <w:rPr>
          <w:sz w:val="19"/>
        </w:rPr>
        <w:t>might be</w:t>
      </w:r>
      <w:r>
        <w:rPr>
          <w:spacing w:val="-3"/>
          <w:sz w:val="19"/>
        </w:rPr>
        <w:t> </w:t>
      </w:r>
      <w:r>
        <w:rPr>
          <w:sz w:val="19"/>
        </w:rPr>
        <w:t>needed</w:t>
      </w:r>
      <w:r>
        <w:rPr>
          <w:spacing w:val="-3"/>
          <w:sz w:val="19"/>
        </w:rPr>
        <w:t> </w:t>
      </w:r>
      <w:r>
        <w:rPr>
          <w:sz w:val="19"/>
        </w:rPr>
        <w:t>for</w:t>
      </w:r>
      <w:r>
        <w:rPr>
          <w:spacing w:val="-3"/>
          <w:sz w:val="19"/>
        </w:rPr>
        <w:t> </w:t>
      </w:r>
      <w:r>
        <w:rPr>
          <w:sz w:val="19"/>
        </w:rPr>
        <w:t>jury</w:t>
      </w:r>
      <w:r>
        <w:rPr>
          <w:spacing w:val="-3"/>
          <w:sz w:val="19"/>
        </w:rPr>
        <w:t> </w:t>
      </w:r>
      <w:r>
        <w:rPr>
          <w:sz w:val="19"/>
        </w:rPr>
        <w:t>work.</w:t>
      </w:r>
      <w:r>
        <w:rPr>
          <w:spacing w:val="-3"/>
          <w:sz w:val="19"/>
        </w:rPr>
        <w:t> </w:t>
      </w:r>
      <w:r>
        <w:rPr>
          <w:sz w:val="19"/>
        </w:rPr>
        <w:t>It</w:t>
      </w:r>
      <w:r>
        <w:rPr>
          <w:spacing w:val="-3"/>
          <w:sz w:val="19"/>
        </w:rPr>
        <w:t> </w:t>
      </w:r>
      <w:r>
        <w:rPr>
          <w:sz w:val="19"/>
        </w:rPr>
        <w:t>might</w:t>
      </w:r>
      <w:r>
        <w:rPr>
          <w:spacing w:val="-3"/>
          <w:sz w:val="19"/>
        </w:rPr>
        <w:t> </w:t>
      </w:r>
      <w:r>
        <w:rPr>
          <w:sz w:val="19"/>
        </w:rPr>
        <w:t>be</w:t>
      </w:r>
      <w:r>
        <w:rPr>
          <w:spacing w:val="-2"/>
          <w:sz w:val="19"/>
        </w:rPr>
        <w:t> </w:t>
      </w:r>
      <w:r>
        <w:rPr>
          <w:sz w:val="19"/>
        </w:rPr>
        <w:t>useful</w:t>
      </w:r>
      <w:r>
        <w:rPr>
          <w:spacing w:val="-3"/>
          <w:sz w:val="19"/>
        </w:rPr>
        <w:t> </w:t>
      </w:r>
      <w:r>
        <w:rPr>
          <w:sz w:val="19"/>
        </w:rPr>
        <w:t>for</w:t>
      </w:r>
      <w:r>
        <w:rPr>
          <w:spacing w:val="-3"/>
          <w:sz w:val="19"/>
        </w:rPr>
        <w:t> </w:t>
      </w:r>
      <w:r>
        <w:rPr>
          <w:sz w:val="19"/>
        </w:rPr>
        <w:t>the</w:t>
      </w:r>
      <w:r>
        <w:rPr>
          <w:spacing w:val="-3"/>
          <w:sz w:val="19"/>
        </w:rPr>
        <w:t> </w:t>
      </w:r>
      <w:r>
        <w:rPr>
          <w:sz w:val="19"/>
        </w:rPr>
        <w:t>court</w:t>
      </w:r>
      <w:r>
        <w:rPr>
          <w:spacing w:val="-3"/>
          <w:sz w:val="19"/>
        </w:rPr>
        <w:t> </w:t>
      </w:r>
      <w:r>
        <w:rPr>
          <w:sz w:val="19"/>
        </w:rPr>
        <w:t>to</w:t>
      </w:r>
      <w:r>
        <w:rPr>
          <w:spacing w:val="-3"/>
          <w:sz w:val="19"/>
        </w:rPr>
        <w:t> have </w:t>
      </w:r>
      <w:r>
        <w:rPr>
          <w:sz w:val="19"/>
        </w:rPr>
        <w:t>a</w:t>
      </w:r>
      <w:r>
        <w:rPr>
          <w:spacing w:val="-2"/>
          <w:sz w:val="19"/>
        </w:rPr>
        <w:t> </w:t>
      </w:r>
      <w:r>
        <w:rPr>
          <w:sz w:val="19"/>
        </w:rPr>
        <w:t>pool</w:t>
      </w:r>
      <w:r>
        <w:rPr>
          <w:spacing w:val="-3"/>
          <w:sz w:val="19"/>
        </w:rPr>
        <w:t> </w:t>
      </w:r>
      <w:r>
        <w:rPr>
          <w:sz w:val="19"/>
        </w:rPr>
        <w:t>of</w:t>
      </w:r>
      <w:r>
        <w:rPr>
          <w:spacing w:val="-3"/>
          <w:sz w:val="19"/>
        </w:rPr>
        <w:t> </w:t>
      </w:r>
      <w:r>
        <w:rPr>
          <w:sz w:val="19"/>
        </w:rPr>
        <w:t>interpreters on hand to call</w:t>
      </w:r>
      <w:r>
        <w:rPr>
          <w:spacing w:val="-9"/>
          <w:sz w:val="19"/>
        </w:rPr>
        <w:t> </w:t>
      </w:r>
      <w:r>
        <w:rPr>
          <w:sz w:val="19"/>
        </w:rPr>
        <w:t>upon.</w:t>
      </w:r>
    </w:p>
    <w:p>
      <w:pPr>
        <w:spacing w:line="208" w:lineRule="auto" w:before="122"/>
        <w:ind w:left="2157" w:right="1297" w:firstLine="0"/>
        <w:jc w:val="left"/>
        <w:rPr>
          <w:sz w:val="11"/>
        </w:rPr>
      </w:pPr>
      <w:r>
        <w:rPr>
          <w:sz w:val="19"/>
        </w:rPr>
        <w:t>It would be worth obtaining data from Court Services Victoria about how many Auslan interpreters are booked for court work and how often to see if there is scope for the courts to have interpreters employed full time? If you added up all the Auslan requirements, would it amount to a full-time position (or a few positions)?</w:t>
      </w:r>
      <w:r>
        <w:rPr>
          <w:position w:val="6"/>
          <w:sz w:val="11"/>
        </w:rPr>
        <w:t>85</w:t>
      </w:r>
    </w:p>
    <w:p>
      <w:pPr>
        <w:pStyle w:val="ListParagraph"/>
        <w:numPr>
          <w:ilvl w:val="1"/>
          <w:numId w:val="12"/>
        </w:numPr>
        <w:tabs>
          <w:tab w:pos="1761" w:val="left" w:leader="none"/>
          <w:tab w:pos="1762" w:val="left" w:leader="none"/>
        </w:tabs>
        <w:spacing w:line="206" w:lineRule="auto" w:before="125" w:after="0"/>
        <w:ind w:left="1761" w:right="1378" w:hanging="794"/>
        <w:jc w:val="left"/>
        <w:rPr>
          <w:sz w:val="20"/>
        </w:rPr>
      </w:pPr>
      <w:r>
        <w:rPr>
          <w:sz w:val="20"/>
        </w:rPr>
        <w:t>Another complicating </w:t>
      </w:r>
      <w:r>
        <w:rPr>
          <w:spacing w:val="-2"/>
          <w:sz w:val="20"/>
        </w:rPr>
        <w:t>factor </w:t>
      </w:r>
      <w:r>
        <w:rPr>
          <w:sz w:val="20"/>
        </w:rPr>
        <w:t>is the need for consistency in Auslan </w:t>
      </w:r>
      <w:r>
        <w:rPr>
          <w:spacing w:val="-3"/>
          <w:sz w:val="20"/>
        </w:rPr>
        <w:t>interpreters. </w:t>
      </w:r>
      <w:r>
        <w:rPr>
          <w:sz w:val="20"/>
        </w:rPr>
        <w:t>It has been</w:t>
      </w:r>
      <w:r>
        <w:rPr>
          <w:spacing w:val="-8"/>
          <w:sz w:val="20"/>
        </w:rPr>
        <w:t> </w:t>
      </w:r>
      <w:r>
        <w:rPr>
          <w:sz w:val="20"/>
        </w:rPr>
        <w:t>suggested</w:t>
      </w:r>
      <w:r>
        <w:rPr>
          <w:spacing w:val="-8"/>
          <w:sz w:val="20"/>
        </w:rPr>
        <w:t> </w:t>
      </w:r>
      <w:r>
        <w:rPr>
          <w:sz w:val="20"/>
        </w:rPr>
        <w:t>that</w:t>
      </w:r>
      <w:r>
        <w:rPr>
          <w:spacing w:val="-7"/>
          <w:sz w:val="20"/>
        </w:rPr>
        <w:t> </w:t>
      </w:r>
      <w:r>
        <w:rPr>
          <w:sz w:val="20"/>
        </w:rPr>
        <w:t>it</w:t>
      </w:r>
      <w:r>
        <w:rPr>
          <w:spacing w:val="-8"/>
          <w:sz w:val="20"/>
        </w:rPr>
        <w:t> </w:t>
      </w:r>
      <w:r>
        <w:rPr>
          <w:sz w:val="20"/>
        </w:rPr>
        <w:t>is</w:t>
      </w:r>
      <w:r>
        <w:rPr>
          <w:spacing w:val="-7"/>
          <w:sz w:val="20"/>
        </w:rPr>
        <w:t> </w:t>
      </w:r>
      <w:r>
        <w:rPr>
          <w:sz w:val="20"/>
        </w:rPr>
        <w:t>better</w:t>
      </w:r>
      <w:r>
        <w:rPr>
          <w:spacing w:val="-8"/>
          <w:sz w:val="20"/>
        </w:rPr>
        <w:t> </w:t>
      </w:r>
      <w:r>
        <w:rPr>
          <w:sz w:val="20"/>
        </w:rPr>
        <w:t>if</w:t>
      </w:r>
      <w:r>
        <w:rPr>
          <w:spacing w:val="-8"/>
          <w:sz w:val="20"/>
        </w:rPr>
        <w:t> </w:t>
      </w:r>
      <w:r>
        <w:rPr>
          <w:sz w:val="20"/>
        </w:rPr>
        <w:t>the</w:t>
      </w:r>
      <w:r>
        <w:rPr>
          <w:spacing w:val="-7"/>
          <w:sz w:val="20"/>
        </w:rPr>
        <w:t> </w:t>
      </w:r>
      <w:r>
        <w:rPr>
          <w:sz w:val="20"/>
        </w:rPr>
        <w:t>same</w:t>
      </w:r>
      <w:r>
        <w:rPr>
          <w:spacing w:val="-8"/>
          <w:sz w:val="20"/>
        </w:rPr>
        <w:t> </w:t>
      </w:r>
      <w:r>
        <w:rPr>
          <w:spacing w:val="-3"/>
          <w:sz w:val="20"/>
        </w:rPr>
        <w:t>interpreters</w:t>
      </w:r>
      <w:r>
        <w:rPr>
          <w:spacing w:val="-7"/>
          <w:sz w:val="20"/>
        </w:rPr>
        <w:t> </w:t>
      </w:r>
      <w:r>
        <w:rPr>
          <w:spacing w:val="-3"/>
          <w:sz w:val="20"/>
        </w:rPr>
        <w:t>are</w:t>
      </w:r>
      <w:r>
        <w:rPr>
          <w:spacing w:val="-8"/>
          <w:sz w:val="20"/>
        </w:rPr>
        <w:t> </w:t>
      </w:r>
      <w:r>
        <w:rPr>
          <w:spacing w:val="-3"/>
          <w:sz w:val="20"/>
        </w:rPr>
        <w:t>employed</w:t>
      </w:r>
      <w:r>
        <w:rPr>
          <w:spacing w:val="-8"/>
          <w:sz w:val="20"/>
        </w:rPr>
        <w:t> </w:t>
      </w:r>
      <w:r>
        <w:rPr>
          <w:sz w:val="20"/>
        </w:rPr>
        <w:t>for</w:t>
      </w:r>
      <w:r>
        <w:rPr>
          <w:spacing w:val="-7"/>
          <w:sz w:val="20"/>
        </w:rPr>
        <w:t> </w:t>
      </w:r>
      <w:r>
        <w:rPr>
          <w:sz w:val="20"/>
        </w:rPr>
        <w:t>the</w:t>
      </w:r>
      <w:r>
        <w:rPr>
          <w:spacing w:val="-8"/>
          <w:sz w:val="20"/>
        </w:rPr>
        <w:t> </w:t>
      </w:r>
      <w:r>
        <w:rPr>
          <w:sz w:val="20"/>
        </w:rPr>
        <w:t>duration of a trial. Della Goswell advised</w:t>
      </w:r>
      <w:r>
        <w:rPr>
          <w:spacing w:val="-27"/>
          <w:sz w:val="20"/>
        </w:rPr>
        <w:t> </w:t>
      </w:r>
      <w:r>
        <w:rPr>
          <w:sz w:val="20"/>
        </w:rPr>
        <w:t>that:</w:t>
      </w:r>
    </w:p>
    <w:p>
      <w:pPr>
        <w:spacing w:line="208" w:lineRule="auto" w:before="121"/>
        <w:ind w:left="2157" w:right="1335" w:firstLine="0"/>
        <w:jc w:val="left"/>
        <w:rPr>
          <w:sz w:val="11"/>
        </w:rPr>
      </w:pPr>
      <w:r>
        <w:rPr>
          <w:sz w:val="19"/>
        </w:rPr>
        <w:t>Consistency is important in a trial and in deliberation. There is a co-creation of knowledge and style that is developed and that is important to maintain for comprehension.</w:t>
      </w:r>
      <w:r>
        <w:rPr>
          <w:spacing w:val="-5"/>
          <w:sz w:val="19"/>
        </w:rPr>
        <w:t> We</w:t>
      </w:r>
      <w:r>
        <w:rPr>
          <w:spacing w:val="-4"/>
          <w:sz w:val="19"/>
        </w:rPr>
        <w:t> </w:t>
      </w:r>
      <w:r>
        <w:rPr>
          <w:sz w:val="19"/>
        </w:rPr>
        <w:t>were</w:t>
      </w:r>
      <w:r>
        <w:rPr>
          <w:spacing w:val="-4"/>
          <w:sz w:val="19"/>
        </w:rPr>
        <w:t> </w:t>
      </w:r>
      <w:r>
        <w:rPr>
          <w:sz w:val="19"/>
        </w:rPr>
        <w:t>told</w:t>
      </w:r>
      <w:r>
        <w:rPr>
          <w:spacing w:val="-4"/>
          <w:sz w:val="19"/>
        </w:rPr>
        <w:t> </w:t>
      </w:r>
      <w:r>
        <w:rPr>
          <w:sz w:val="19"/>
        </w:rPr>
        <w:t>that</w:t>
      </w:r>
      <w:r>
        <w:rPr>
          <w:spacing w:val="-4"/>
          <w:sz w:val="19"/>
        </w:rPr>
        <w:t> </w:t>
      </w:r>
      <w:r>
        <w:rPr>
          <w:sz w:val="19"/>
        </w:rPr>
        <w:t>when</w:t>
      </w:r>
      <w:r>
        <w:rPr>
          <w:spacing w:val="-4"/>
          <w:sz w:val="19"/>
        </w:rPr>
        <w:t> </w:t>
      </w:r>
      <w:r>
        <w:rPr>
          <w:sz w:val="19"/>
        </w:rPr>
        <w:t>you</w:t>
      </w:r>
      <w:r>
        <w:rPr>
          <w:spacing w:val="-5"/>
          <w:sz w:val="19"/>
        </w:rPr>
        <w:t> </w:t>
      </w:r>
      <w:r>
        <w:rPr>
          <w:sz w:val="19"/>
        </w:rPr>
        <w:t>swap</w:t>
      </w:r>
      <w:r>
        <w:rPr>
          <w:spacing w:val="-4"/>
          <w:sz w:val="19"/>
        </w:rPr>
        <w:t> </w:t>
      </w:r>
      <w:r>
        <w:rPr>
          <w:sz w:val="19"/>
        </w:rPr>
        <w:t>someone</w:t>
      </w:r>
      <w:r>
        <w:rPr>
          <w:spacing w:val="-4"/>
          <w:sz w:val="19"/>
        </w:rPr>
        <w:t> over, </w:t>
      </w:r>
      <w:r>
        <w:rPr>
          <w:sz w:val="19"/>
        </w:rPr>
        <w:t>there</w:t>
      </w:r>
      <w:r>
        <w:rPr>
          <w:spacing w:val="-4"/>
          <w:sz w:val="19"/>
        </w:rPr>
        <w:t> </w:t>
      </w:r>
      <w:r>
        <w:rPr>
          <w:sz w:val="19"/>
        </w:rPr>
        <w:t>is</w:t>
      </w:r>
      <w:r>
        <w:rPr>
          <w:spacing w:val="-4"/>
          <w:sz w:val="19"/>
        </w:rPr>
        <w:t> </w:t>
      </w:r>
      <w:r>
        <w:rPr>
          <w:sz w:val="19"/>
        </w:rPr>
        <w:t>a</w:t>
      </w:r>
      <w:r>
        <w:rPr>
          <w:spacing w:val="-4"/>
          <w:sz w:val="19"/>
        </w:rPr>
        <w:t> </w:t>
      </w:r>
      <w:r>
        <w:rPr>
          <w:sz w:val="19"/>
        </w:rPr>
        <w:t>loss</w:t>
      </w:r>
      <w:r>
        <w:rPr>
          <w:spacing w:val="-5"/>
          <w:sz w:val="19"/>
        </w:rPr>
        <w:t> </w:t>
      </w:r>
      <w:r>
        <w:rPr>
          <w:sz w:val="19"/>
        </w:rPr>
        <w:t>of style and background information which jeopardises</w:t>
      </w:r>
      <w:r>
        <w:rPr>
          <w:spacing w:val="-16"/>
          <w:sz w:val="19"/>
        </w:rPr>
        <w:t> </w:t>
      </w:r>
      <w:r>
        <w:rPr>
          <w:sz w:val="19"/>
        </w:rPr>
        <w:t>clarity.</w:t>
      </w:r>
      <w:r>
        <w:rPr>
          <w:position w:val="6"/>
          <w:sz w:val="11"/>
        </w:rPr>
        <w:t>86</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Brent Phillips </w:t>
      </w:r>
      <w:r>
        <w:rPr>
          <w:spacing w:val="-3"/>
          <w:sz w:val="20"/>
        </w:rPr>
        <w:t>told</w:t>
      </w:r>
      <w:r>
        <w:rPr>
          <w:spacing w:val="-13"/>
          <w:sz w:val="20"/>
        </w:rPr>
        <w:t> </w:t>
      </w:r>
      <w:r>
        <w:rPr>
          <w:sz w:val="20"/>
        </w:rPr>
        <w:t>us:</w:t>
      </w:r>
    </w:p>
    <w:p>
      <w:pPr>
        <w:spacing w:line="208" w:lineRule="auto" w:before="113"/>
        <w:ind w:left="2157" w:right="1243" w:firstLine="0"/>
        <w:jc w:val="left"/>
        <w:rPr>
          <w:sz w:val="11"/>
        </w:rPr>
      </w:pPr>
      <w:r>
        <w:rPr>
          <w:sz w:val="19"/>
        </w:rPr>
        <w:t>It might be useful to have consistency in Auslan interpreters in a trial because interpreters will come to know the names of the parties involved in the case, issues, terminology etc. This might be difficult if there are shortages of interpreters available and you have to be careful about burn out. Because the deaf community is small and there are not many interpreters working in the courts, there may be an issue where the parties or prospective juror knows the Auslan interpreter (eg they are cousins or friends etc.) and does not want them to translate.</w:t>
      </w:r>
      <w:r>
        <w:rPr>
          <w:position w:val="6"/>
          <w:sz w:val="11"/>
        </w:rPr>
        <w:t>87</w:t>
      </w:r>
    </w:p>
    <w:p>
      <w:pPr>
        <w:spacing w:before="164"/>
        <w:ind w:left="967" w:right="0" w:firstLine="0"/>
        <w:jc w:val="left"/>
        <w:rPr>
          <w:b/>
          <w:sz w:val="24"/>
        </w:rPr>
      </w:pPr>
      <w:r>
        <w:rPr>
          <w:b/>
          <w:sz w:val="24"/>
        </w:rPr>
        <w:t>The need to book early</w:t>
      </w:r>
    </w:p>
    <w:p>
      <w:pPr>
        <w:pStyle w:val="ListParagraph"/>
        <w:numPr>
          <w:ilvl w:val="1"/>
          <w:numId w:val="12"/>
        </w:numPr>
        <w:tabs>
          <w:tab w:pos="1761" w:val="left" w:leader="none"/>
          <w:tab w:pos="1762" w:val="left" w:leader="none"/>
        </w:tabs>
        <w:spacing w:line="206" w:lineRule="auto" w:before="127" w:after="0"/>
        <w:ind w:left="1761" w:right="1304" w:hanging="794"/>
        <w:jc w:val="left"/>
        <w:rPr>
          <w:sz w:val="11"/>
        </w:rPr>
      </w:pPr>
      <w:r>
        <w:rPr>
          <w:sz w:val="20"/>
        </w:rPr>
        <w:t>Expression Australia made some observations about </w:t>
      </w:r>
      <w:r>
        <w:rPr>
          <w:spacing w:val="-3"/>
          <w:sz w:val="20"/>
        </w:rPr>
        <w:t>how </w:t>
      </w:r>
      <w:r>
        <w:rPr>
          <w:sz w:val="20"/>
        </w:rPr>
        <w:t>Auslan </w:t>
      </w:r>
      <w:r>
        <w:rPr>
          <w:spacing w:val="-3"/>
          <w:sz w:val="20"/>
        </w:rPr>
        <w:t>interpreters are </w:t>
      </w:r>
      <w:r>
        <w:rPr>
          <w:sz w:val="20"/>
        </w:rPr>
        <w:t>booked for court work. It noted that there seems to be a lack of </w:t>
      </w:r>
      <w:r>
        <w:rPr>
          <w:spacing w:val="-3"/>
          <w:sz w:val="20"/>
        </w:rPr>
        <w:t>awareness </w:t>
      </w:r>
      <w:r>
        <w:rPr>
          <w:sz w:val="20"/>
        </w:rPr>
        <w:t>about shortages</w:t>
      </w:r>
      <w:r>
        <w:rPr>
          <w:spacing w:val="-9"/>
          <w:sz w:val="20"/>
        </w:rPr>
        <w:t> </w:t>
      </w:r>
      <w:r>
        <w:rPr>
          <w:sz w:val="20"/>
        </w:rPr>
        <w:t>in</w:t>
      </w:r>
      <w:r>
        <w:rPr>
          <w:spacing w:val="-8"/>
          <w:sz w:val="20"/>
        </w:rPr>
        <w:t> </w:t>
      </w:r>
      <w:r>
        <w:rPr>
          <w:spacing w:val="-2"/>
          <w:sz w:val="20"/>
        </w:rPr>
        <w:t>supply</w:t>
      </w:r>
      <w:r>
        <w:rPr>
          <w:spacing w:val="-8"/>
          <w:sz w:val="20"/>
        </w:rPr>
        <w:t> </w:t>
      </w:r>
      <w:r>
        <w:rPr>
          <w:sz w:val="20"/>
        </w:rPr>
        <w:t>and</w:t>
      </w:r>
      <w:r>
        <w:rPr>
          <w:spacing w:val="-8"/>
          <w:sz w:val="20"/>
        </w:rPr>
        <w:t> </w:t>
      </w:r>
      <w:r>
        <w:rPr>
          <w:sz w:val="20"/>
        </w:rPr>
        <w:t>bookings</w:t>
      </w:r>
      <w:r>
        <w:rPr>
          <w:spacing w:val="-8"/>
          <w:sz w:val="20"/>
        </w:rPr>
        <w:t> </w:t>
      </w:r>
      <w:r>
        <w:rPr>
          <w:spacing w:val="-3"/>
          <w:sz w:val="20"/>
        </w:rPr>
        <w:t>are</w:t>
      </w:r>
      <w:r>
        <w:rPr>
          <w:spacing w:val="-8"/>
          <w:sz w:val="20"/>
        </w:rPr>
        <w:t> </w:t>
      </w:r>
      <w:r>
        <w:rPr>
          <w:sz w:val="20"/>
        </w:rPr>
        <w:t>often</w:t>
      </w:r>
      <w:r>
        <w:rPr>
          <w:spacing w:val="-8"/>
          <w:sz w:val="20"/>
        </w:rPr>
        <w:t> </w:t>
      </w:r>
      <w:r>
        <w:rPr>
          <w:sz w:val="20"/>
        </w:rPr>
        <w:t>made</w:t>
      </w:r>
      <w:r>
        <w:rPr>
          <w:spacing w:val="-8"/>
          <w:sz w:val="20"/>
        </w:rPr>
        <w:t> </w:t>
      </w:r>
      <w:r>
        <w:rPr>
          <w:sz w:val="20"/>
        </w:rPr>
        <w:t>at</w:t>
      </w:r>
      <w:r>
        <w:rPr>
          <w:spacing w:val="-9"/>
          <w:sz w:val="20"/>
        </w:rPr>
        <w:t> </w:t>
      </w:r>
      <w:r>
        <w:rPr>
          <w:sz w:val="20"/>
        </w:rPr>
        <w:t>the</w:t>
      </w:r>
      <w:r>
        <w:rPr>
          <w:spacing w:val="-8"/>
          <w:sz w:val="20"/>
        </w:rPr>
        <w:t> </w:t>
      </w:r>
      <w:r>
        <w:rPr>
          <w:sz w:val="20"/>
        </w:rPr>
        <w:t>last</w:t>
      </w:r>
      <w:r>
        <w:rPr>
          <w:spacing w:val="-8"/>
          <w:sz w:val="20"/>
        </w:rPr>
        <w:t> </w:t>
      </w:r>
      <w:r>
        <w:rPr>
          <w:spacing w:val="-3"/>
          <w:sz w:val="20"/>
        </w:rPr>
        <w:t>minute,</w:t>
      </w:r>
      <w:r>
        <w:rPr>
          <w:spacing w:val="-8"/>
          <w:sz w:val="20"/>
        </w:rPr>
        <w:t> </w:t>
      </w:r>
      <w:r>
        <w:rPr>
          <w:sz w:val="20"/>
        </w:rPr>
        <w:t>when</w:t>
      </w:r>
      <w:r>
        <w:rPr>
          <w:spacing w:val="-8"/>
          <w:sz w:val="20"/>
        </w:rPr>
        <w:t> </w:t>
      </w:r>
      <w:r>
        <w:rPr>
          <w:sz w:val="20"/>
        </w:rPr>
        <w:t>it</w:t>
      </w:r>
      <w:r>
        <w:rPr>
          <w:spacing w:val="-8"/>
          <w:sz w:val="20"/>
        </w:rPr>
        <w:t> </w:t>
      </w:r>
      <w:r>
        <w:rPr>
          <w:sz w:val="20"/>
        </w:rPr>
        <w:t>is</w:t>
      </w:r>
      <w:r>
        <w:rPr>
          <w:spacing w:val="-8"/>
          <w:sz w:val="20"/>
        </w:rPr>
        <w:t> </w:t>
      </w:r>
      <w:r>
        <w:rPr>
          <w:sz w:val="20"/>
        </w:rPr>
        <w:t>too</w:t>
      </w:r>
      <w:r>
        <w:rPr>
          <w:spacing w:val="-8"/>
          <w:sz w:val="20"/>
        </w:rPr>
        <w:t> </w:t>
      </w:r>
      <w:r>
        <w:rPr>
          <w:sz w:val="20"/>
        </w:rPr>
        <w:t>late. This impacts access for deaf</w:t>
      </w:r>
      <w:r>
        <w:rPr>
          <w:spacing w:val="-21"/>
          <w:sz w:val="20"/>
        </w:rPr>
        <w:t> </w:t>
      </w:r>
      <w:r>
        <w:rPr>
          <w:sz w:val="20"/>
        </w:rPr>
        <w:t>people.</w:t>
      </w:r>
      <w:r>
        <w:rPr>
          <w:position w:val="7"/>
          <w:sz w:val="11"/>
        </w:rPr>
        <w:t>88</w:t>
      </w:r>
    </w:p>
    <w:p>
      <w:pPr>
        <w:pStyle w:val="ListParagraph"/>
        <w:numPr>
          <w:ilvl w:val="1"/>
          <w:numId w:val="12"/>
        </w:numPr>
        <w:tabs>
          <w:tab w:pos="1761" w:val="left" w:leader="none"/>
          <w:tab w:pos="1762" w:val="left" w:leader="none"/>
        </w:tabs>
        <w:spacing w:line="206" w:lineRule="auto" w:before="125" w:after="0"/>
        <w:ind w:left="1761" w:right="1460" w:hanging="794"/>
        <w:jc w:val="left"/>
        <w:rPr>
          <w:sz w:val="20"/>
        </w:rPr>
      </w:pPr>
      <w:r>
        <w:rPr>
          <w:sz w:val="20"/>
        </w:rPr>
        <w:t>While</w:t>
      </w:r>
      <w:r>
        <w:rPr>
          <w:spacing w:val="-10"/>
          <w:sz w:val="20"/>
        </w:rPr>
        <w:t> </w:t>
      </w:r>
      <w:r>
        <w:rPr>
          <w:sz w:val="20"/>
        </w:rPr>
        <w:t>nothing</w:t>
      </w:r>
      <w:r>
        <w:rPr>
          <w:spacing w:val="-10"/>
          <w:sz w:val="20"/>
        </w:rPr>
        <w:t> </w:t>
      </w:r>
      <w:r>
        <w:rPr>
          <w:sz w:val="20"/>
        </w:rPr>
        <w:t>can</w:t>
      </w:r>
      <w:r>
        <w:rPr>
          <w:spacing w:val="-10"/>
          <w:sz w:val="20"/>
        </w:rPr>
        <w:t> </w:t>
      </w:r>
      <w:r>
        <w:rPr>
          <w:sz w:val="20"/>
        </w:rPr>
        <w:t>be</w:t>
      </w:r>
      <w:r>
        <w:rPr>
          <w:spacing w:val="-10"/>
          <w:sz w:val="20"/>
        </w:rPr>
        <w:t> </w:t>
      </w:r>
      <w:r>
        <w:rPr>
          <w:sz w:val="20"/>
        </w:rPr>
        <w:t>done</w:t>
      </w:r>
      <w:r>
        <w:rPr>
          <w:spacing w:val="-10"/>
          <w:sz w:val="20"/>
        </w:rPr>
        <w:t> </w:t>
      </w:r>
      <w:r>
        <w:rPr>
          <w:sz w:val="20"/>
        </w:rPr>
        <w:t>to</w:t>
      </w:r>
      <w:r>
        <w:rPr>
          <w:spacing w:val="-10"/>
          <w:sz w:val="20"/>
        </w:rPr>
        <w:t> </w:t>
      </w:r>
      <w:r>
        <w:rPr>
          <w:spacing w:val="-3"/>
          <w:sz w:val="20"/>
        </w:rPr>
        <w:t>provide</w:t>
      </w:r>
      <w:r>
        <w:rPr>
          <w:spacing w:val="-9"/>
          <w:sz w:val="20"/>
        </w:rPr>
        <w:t> </w:t>
      </w:r>
      <w:r>
        <w:rPr>
          <w:sz w:val="20"/>
        </w:rPr>
        <w:t>more</w:t>
      </w:r>
      <w:r>
        <w:rPr>
          <w:spacing w:val="-10"/>
          <w:sz w:val="20"/>
        </w:rPr>
        <w:t> </w:t>
      </w:r>
      <w:r>
        <w:rPr>
          <w:sz w:val="20"/>
        </w:rPr>
        <w:t>certainty</w:t>
      </w:r>
      <w:r>
        <w:rPr>
          <w:spacing w:val="-10"/>
          <w:sz w:val="20"/>
        </w:rPr>
        <w:t> </w:t>
      </w:r>
      <w:r>
        <w:rPr>
          <w:sz w:val="20"/>
        </w:rPr>
        <w:t>about</w:t>
      </w:r>
      <w:r>
        <w:rPr>
          <w:spacing w:val="-10"/>
          <w:sz w:val="20"/>
        </w:rPr>
        <w:t> </w:t>
      </w:r>
      <w:r>
        <w:rPr>
          <w:sz w:val="20"/>
        </w:rPr>
        <w:t>whether</w:t>
      </w:r>
      <w:r>
        <w:rPr>
          <w:spacing w:val="-10"/>
          <w:sz w:val="20"/>
        </w:rPr>
        <w:t> </w:t>
      </w:r>
      <w:r>
        <w:rPr>
          <w:sz w:val="20"/>
        </w:rPr>
        <w:t>a</w:t>
      </w:r>
      <w:r>
        <w:rPr>
          <w:spacing w:val="-10"/>
          <w:sz w:val="20"/>
        </w:rPr>
        <w:t> </w:t>
      </w:r>
      <w:r>
        <w:rPr>
          <w:sz w:val="20"/>
        </w:rPr>
        <w:t>person</w:t>
      </w:r>
      <w:r>
        <w:rPr>
          <w:spacing w:val="-10"/>
          <w:sz w:val="20"/>
        </w:rPr>
        <w:t> </w:t>
      </w:r>
      <w:r>
        <w:rPr>
          <w:sz w:val="20"/>
        </w:rPr>
        <w:t>will</w:t>
      </w:r>
      <w:r>
        <w:rPr>
          <w:spacing w:val="-9"/>
          <w:sz w:val="20"/>
        </w:rPr>
        <w:t> </w:t>
      </w:r>
      <w:r>
        <w:rPr>
          <w:sz w:val="20"/>
        </w:rPr>
        <w:t>be selected</w:t>
      </w:r>
      <w:r>
        <w:rPr>
          <w:spacing w:val="-10"/>
          <w:sz w:val="20"/>
        </w:rPr>
        <w:t> </w:t>
      </w:r>
      <w:r>
        <w:rPr>
          <w:sz w:val="20"/>
        </w:rPr>
        <w:t>for</w:t>
      </w:r>
      <w:r>
        <w:rPr>
          <w:spacing w:val="-9"/>
          <w:sz w:val="20"/>
        </w:rPr>
        <w:t> </w:t>
      </w:r>
      <w:r>
        <w:rPr>
          <w:sz w:val="20"/>
        </w:rPr>
        <w:t>jury</w:t>
      </w:r>
      <w:r>
        <w:rPr>
          <w:spacing w:val="-9"/>
          <w:sz w:val="20"/>
        </w:rPr>
        <w:t> </w:t>
      </w:r>
      <w:r>
        <w:rPr>
          <w:sz w:val="20"/>
        </w:rPr>
        <w:t>duty</w:t>
      </w:r>
      <w:r>
        <w:rPr>
          <w:spacing w:val="-9"/>
          <w:sz w:val="20"/>
        </w:rPr>
        <w:t> </w:t>
      </w:r>
      <w:r>
        <w:rPr>
          <w:sz w:val="20"/>
        </w:rPr>
        <w:t>or</w:t>
      </w:r>
      <w:r>
        <w:rPr>
          <w:spacing w:val="-9"/>
          <w:sz w:val="20"/>
        </w:rPr>
        <w:t> </w:t>
      </w:r>
      <w:r>
        <w:rPr>
          <w:spacing w:val="-3"/>
          <w:sz w:val="20"/>
        </w:rPr>
        <w:t>how</w:t>
      </w:r>
      <w:r>
        <w:rPr>
          <w:spacing w:val="-9"/>
          <w:sz w:val="20"/>
        </w:rPr>
        <w:t> </w:t>
      </w:r>
      <w:r>
        <w:rPr>
          <w:sz w:val="20"/>
        </w:rPr>
        <w:t>long</w:t>
      </w:r>
      <w:r>
        <w:rPr>
          <w:spacing w:val="-9"/>
          <w:sz w:val="20"/>
        </w:rPr>
        <w:t> </w:t>
      </w:r>
      <w:r>
        <w:rPr>
          <w:sz w:val="20"/>
        </w:rPr>
        <w:t>the</w:t>
      </w:r>
      <w:r>
        <w:rPr>
          <w:spacing w:val="-9"/>
          <w:sz w:val="20"/>
        </w:rPr>
        <w:t> </w:t>
      </w:r>
      <w:r>
        <w:rPr>
          <w:sz w:val="20"/>
        </w:rPr>
        <w:t>trial</w:t>
      </w:r>
      <w:r>
        <w:rPr>
          <w:spacing w:val="-9"/>
          <w:sz w:val="20"/>
        </w:rPr>
        <w:t> </w:t>
      </w:r>
      <w:r>
        <w:rPr>
          <w:sz w:val="20"/>
        </w:rPr>
        <w:t>will</w:t>
      </w:r>
      <w:r>
        <w:rPr>
          <w:spacing w:val="-9"/>
          <w:sz w:val="20"/>
        </w:rPr>
        <w:t> </w:t>
      </w:r>
      <w:r>
        <w:rPr>
          <w:sz w:val="20"/>
        </w:rPr>
        <w:t>last,</w:t>
      </w:r>
      <w:r>
        <w:rPr>
          <w:spacing w:val="-9"/>
          <w:sz w:val="20"/>
        </w:rPr>
        <w:t> </w:t>
      </w:r>
      <w:r>
        <w:rPr>
          <w:sz w:val="20"/>
        </w:rPr>
        <w:t>it</w:t>
      </w:r>
      <w:r>
        <w:rPr>
          <w:spacing w:val="-9"/>
          <w:sz w:val="20"/>
        </w:rPr>
        <w:t> </w:t>
      </w:r>
      <w:r>
        <w:rPr>
          <w:sz w:val="20"/>
        </w:rPr>
        <w:t>is</w:t>
      </w:r>
      <w:r>
        <w:rPr>
          <w:spacing w:val="-9"/>
          <w:sz w:val="20"/>
        </w:rPr>
        <w:t> </w:t>
      </w:r>
      <w:r>
        <w:rPr>
          <w:sz w:val="20"/>
        </w:rPr>
        <w:t>important</w:t>
      </w:r>
      <w:r>
        <w:rPr>
          <w:spacing w:val="-9"/>
          <w:sz w:val="20"/>
        </w:rPr>
        <w:t> </w:t>
      </w:r>
      <w:r>
        <w:rPr>
          <w:sz w:val="20"/>
        </w:rPr>
        <w:t>that</w:t>
      </w:r>
      <w:r>
        <w:rPr>
          <w:spacing w:val="-9"/>
          <w:sz w:val="20"/>
        </w:rPr>
        <w:t> </w:t>
      </w:r>
      <w:r>
        <w:rPr>
          <w:sz w:val="20"/>
        </w:rPr>
        <w:t>Juries</w:t>
      </w:r>
      <w:r>
        <w:rPr>
          <w:spacing w:val="-9"/>
          <w:sz w:val="20"/>
        </w:rPr>
        <w:t> </w:t>
      </w:r>
      <w:r>
        <w:rPr>
          <w:sz w:val="20"/>
        </w:rPr>
        <w:t>Victoria books Auslan </w:t>
      </w:r>
      <w:r>
        <w:rPr>
          <w:spacing w:val="-3"/>
          <w:sz w:val="20"/>
        </w:rPr>
        <w:t>interpreters </w:t>
      </w:r>
      <w:r>
        <w:rPr>
          <w:sz w:val="20"/>
        </w:rPr>
        <w:t>for jury </w:t>
      </w:r>
      <w:r>
        <w:rPr>
          <w:spacing w:val="-3"/>
          <w:sz w:val="20"/>
        </w:rPr>
        <w:t>work </w:t>
      </w:r>
      <w:r>
        <w:rPr>
          <w:sz w:val="20"/>
        </w:rPr>
        <w:t>under the proposed new </w:t>
      </w:r>
      <w:r>
        <w:rPr>
          <w:spacing w:val="-3"/>
          <w:sz w:val="20"/>
        </w:rPr>
        <w:t>laws </w:t>
      </w:r>
      <w:r>
        <w:rPr>
          <w:sz w:val="20"/>
        </w:rPr>
        <w:t>as </w:t>
      </w:r>
      <w:r>
        <w:rPr>
          <w:spacing w:val="-3"/>
          <w:sz w:val="20"/>
        </w:rPr>
        <w:t>early </w:t>
      </w:r>
      <w:r>
        <w:rPr>
          <w:sz w:val="20"/>
        </w:rPr>
        <w:t>as possible.</w:t>
      </w:r>
    </w:p>
    <w:p>
      <w:pPr>
        <w:pStyle w:val="BodyText"/>
      </w:pPr>
    </w:p>
    <w:p>
      <w:pPr>
        <w:pStyle w:val="BodyText"/>
      </w:pPr>
    </w:p>
    <w:p>
      <w:pPr>
        <w:pStyle w:val="BodyText"/>
        <w:spacing w:before="13"/>
        <w:rPr>
          <w:sz w:val="28"/>
        </w:rPr>
      </w:pPr>
      <w:r>
        <w:rPr/>
        <w:pict>
          <v:line style="position:absolute;mso-position-horizontal-relative:page;mso-position-vertical-relative:paragraph;z-index:8720;mso-wrap-distance-left:0;mso-wrap-distance-right:0" from="79.370102pt,22.531639pt" to="515.905102pt,22.531639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99"/>
        </w:numPr>
        <w:tabs>
          <w:tab w:pos="1761" w:val="left" w:leader="none"/>
          <w:tab w:pos="1762" w:val="left" w:leader="none"/>
        </w:tabs>
        <w:spacing w:line="170" w:lineRule="exact" w:before="21" w:after="0"/>
        <w:ind w:left="1761" w:right="0" w:hanging="794"/>
        <w:jc w:val="left"/>
        <w:rPr>
          <w:sz w:val="13"/>
        </w:rPr>
      </w:pPr>
      <w:r>
        <w:rPr>
          <w:sz w:val="13"/>
        </w:rPr>
        <w:t>Consultation</w:t>
      </w:r>
      <w:r>
        <w:rPr>
          <w:spacing w:val="8"/>
          <w:sz w:val="13"/>
        </w:rPr>
        <w:t> </w:t>
      </w:r>
      <w:r>
        <w:rPr>
          <w:sz w:val="13"/>
        </w:rPr>
        <w:t>21</w:t>
      </w:r>
      <w:r>
        <w:rPr>
          <w:spacing w:val="8"/>
          <w:sz w:val="13"/>
        </w:rPr>
        <w:t> </w:t>
      </w:r>
      <w:r>
        <w:rPr>
          <w:spacing w:val="2"/>
          <w:sz w:val="13"/>
        </w:rPr>
        <w:t>(Della</w:t>
      </w:r>
      <w:r>
        <w:rPr>
          <w:spacing w:val="8"/>
          <w:sz w:val="13"/>
        </w:rPr>
        <w:t> </w:t>
      </w:r>
      <w:r>
        <w:rPr>
          <w:sz w:val="13"/>
        </w:rPr>
        <w:t>Goswell,</w:t>
      </w:r>
      <w:r>
        <w:rPr>
          <w:spacing w:val="8"/>
          <w:sz w:val="13"/>
        </w:rPr>
        <w:t> </w:t>
      </w:r>
      <w:r>
        <w:rPr>
          <w:sz w:val="13"/>
        </w:rPr>
        <w:t>Lecturer,</w:t>
      </w:r>
      <w:r>
        <w:rPr>
          <w:spacing w:val="8"/>
          <w:sz w:val="13"/>
        </w:rPr>
        <w:t> </w:t>
      </w:r>
      <w:r>
        <w:rPr>
          <w:sz w:val="13"/>
        </w:rPr>
        <w:t>Convenor</w:t>
      </w:r>
      <w:r>
        <w:rPr>
          <w:spacing w:val="8"/>
          <w:sz w:val="13"/>
        </w:rPr>
        <w:t> </w:t>
      </w:r>
      <w:r>
        <w:rPr>
          <w:spacing w:val="2"/>
          <w:sz w:val="13"/>
        </w:rPr>
        <w:t>Auslan-English</w:t>
      </w:r>
      <w:r>
        <w:rPr>
          <w:spacing w:val="8"/>
          <w:sz w:val="13"/>
        </w:rPr>
        <w:t> </w:t>
      </w:r>
      <w:r>
        <w:rPr>
          <w:sz w:val="13"/>
        </w:rPr>
        <w:t>Interpreting</w:t>
      </w:r>
      <w:r>
        <w:rPr>
          <w:spacing w:val="8"/>
          <w:sz w:val="13"/>
        </w:rPr>
        <w:t> </w:t>
      </w:r>
      <w:r>
        <w:rPr>
          <w:sz w:val="13"/>
        </w:rPr>
        <w:t>Program,</w:t>
      </w:r>
      <w:r>
        <w:rPr>
          <w:spacing w:val="8"/>
          <w:sz w:val="13"/>
        </w:rPr>
        <w:t> </w:t>
      </w:r>
      <w:r>
        <w:rPr>
          <w:sz w:val="13"/>
        </w:rPr>
        <w:t>Macquarie</w:t>
      </w:r>
      <w:r>
        <w:rPr>
          <w:spacing w:val="8"/>
          <w:sz w:val="13"/>
        </w:rPr>
        <w:t> </w:t>
      </w:r>
      <w:r>
        <w:rPr>
          <w:sz w:val="13"/>
        </w:rPr>
        <w:t>University,</w:t>
      </w:r>
      <w:r>
        <w:rPr>
          <w:spacing w:val="8"/>
          <w:sz w:val="13"/>
        </w:rPr>
        <w:t> </w:t>
      </w:r>
      <w:r>
        <w:rPr>
          <w:sz w:val="13"/>
        </w:rPr>
        <w:t>NSW).</w:t>
      </w:r>
    </w:p>
    <w:p>
      <w:pPr>
        <w:pStyle w:val="ListParagraph"/>
        <w:numPr>
          <w:ilvl w:val="0"/>
          <w:numId w:val="99"/>
        </w:numPr>
        <w:tabs>
          <w:tab w:pos="1761" w:val="left" w:leader="none"/>
          <w:tab w:pos="1762" w:val="left" w:leader="none"/>
        </w:tabs>
        <w:spacing w:line="160" w:lineRule="exact" w:before="0" w:after="0"/>
        <w:ind w:left="1761" w:right="0" w:hanging="794"/>
        <w:jc w:val="left"/>
        <w:rPr>
          <w:sz w:val="13"/>
        </w:rPr>
      </w:pPr>
      <w:r>
        <w:rPr>
          <w:sz w:val="13"/>
        </w:rPr>
        <w:t>Consultations 8 (Brent Phillips), 10 </w:t>
      </w:r>
      <w:r>
        <w:rPr>
          <w:spacing w:val="2"/>
          <w:sz w:val="13"/>
        </w:rPr>
        <w:t>(Juries </w:t>
      </w:r>
      <w:r>
        <w:rPr>
          <w:sz w:val="13"/>
        </w:rPr>
        <w:t>Victoria).</w:t>
      </w:r>
    </w:p>
    <w:p>
      <w:pPr>
        <w:pStyle w:val="ListParagraph"/>
        <w:numPr>
          <w:ilvl w:val="0"/>
          <w:numId w:val="99"/>
        </w:numPr>
        <w:tabs>
          <w:tab w:pos="1760" w:val="left" w:leader="none"/>
          <w:tab w:pos="1762" w:val="left" w:leader="none"/>
        </w:tabs>
        <w:spacing w:line="160" w:lineRule="exact" w:before="0" w:after="0"/>
        <w:ind w:left="1761" w:right="0" w:hanging="794"/>
        <w:jc w:val="left"/>
        <w:rPr>
          <w:sz w:val="13"/>
        </w:rPr>
      </w:pPr>
      <w:r>
        <w:rPr>
          <w:sz w:val="13"/>
        </w:rPr>
        <w:t>Consultation 8 (Brent Phillips).</w:t>
      </w:r>
    </w:p>
    <w:p>
      <w:pPr>
        <w:pStyle w:val="ListParagraph"/>
        <w:numPr>
          <w:ilvl w:val="0"/>
          <w:numId w:val="99"/>
        </w:numPr>
        <w:tabs>
          <w:tab w:pos="1760" w:val="left" w:leader="none"/>
          <w:tab w:pos="1762" w:val="left" w:leader="none"/>
        </w:tabs>
        <w:spacing w:line="160" w:lineRule="exact" w:before="0" w:after="0"/>
        <w:ind w:left="1761" w:right="0" w:hanging="794"/>
        <w:jc w:val="left"/>
        <w:rPr>
          <w:sz w:val="13"/>
        </w:rPr>
      </w:pPr>
      <w:r>
        <w:rPr>
          <w:sz w:val="13"/>
        </w:rPr>
        <w:t>Consultation</w:t>
      </w:r>
      <w:r>
        <w:rPr>
          <w:spacing w:val="7"/>
          <w:sz w:val="13"/>
        </w:rPr>
        <w:t> </w:t>
      </w:r>
      <w:r>
        <w:rPr>
          <w:sz w:val="13"/>
        </w:rPr>
        <w:t>21</w:t>
      </w:r>
      <w:r>
        <w:rPr>
          <w:spacing w:val="8"/>
          <w:sz w:val="13"/>
        </w:rPr>
        <w:t> </w:t>
      </w:r>
      <w:r>
        <w:rPr>
          <w:spacing w:val="2"/>
          <w:sz w:val="13"/>
        </w:rPr>
        <w:t>(Della</w:t>
      </w:r>
      <w:r>
        <w:rPr>
          <w:spacing w:val="8"/>
          <w:sz w:val="13"/>
        </w:rPr>
        <w:t> </w:t>
      </w:r>
      <w:r>
        <w:rPr>
          <w:sz w:val="13"/>
        </w:rPr>
        <w:t>Goswell,</w:t>
      </w:r>
      <w:r>
        <w:rPr>
          <w:spacing w:val="8"/>
          <w:sz w:val="13"/>
        </w:rPr>
        <w:t> </w:t>
      </w:r>
      <w:r>
        <w:rPr>
          <w:sz w:val="13"/>
        </w:rPr>
        <w:t>Lecturer,</w:t>
      </w:r>
      <w:r>
        <w:rPr>
          <w:spacing w:val="8"/>
          <w:sz w:val="13"/>
        </w:rPr>
        <w:t> </w:t>
      </w:r>
      <w:r>
        <w:rPr>
          <w:sz w:val="13"/>
        </w:rPr>
        <w:t>Convenor</w:t>
      </w:r>
      <w:r>
        <w:rPr>
          <w:spacing w:val="8"/>
          <w:sz w:val="13"/>
        </w:rPr>
        <w:t> </w:t>
      </w:r>
      <w:r>
        <w:rPr>
          <w:spacing w:val="2"/>
          <w:sz w:val="13"/>
        </w:rPr>
        <w:t>Auslan-English</w:t>
      </w:r>
      <w:r>
        <w:rPr>
          <w:spacing w:val="8"/>
          <w:sz w:val="13"/>
        </w:rPr>
        <w:t> </w:t>
      </w:r>
      <w:r>
        <w:rPr>
          <w:sz w:val="13"/>
        </w:rPr>
        <w:t>Interpreting</w:t>
      </w:r>
      <w:r>
        <w:rPr>
          <w:spacing w:val="8"/>
          <w:sz w:val="13"/>
        </w:rPr>
        <w:t> </w:t>
      </w:r>
      <w:r>
        <w:rPr>
          <w:sz w:val="13"/>
        </w:rPr>
        <w:t>Program,</w:t>
      </w:r>
      <w:r>
        <w:rPr>
          <w:spacing w:val="8"/>
          <w:sz w:val="13"/>
        </w:rPr>
        <w:t> </w:t>
      </w:r>
      <w:r>
        <w:rPr>
          <w:sz w:val="13"/>
        </w:rPr>
        <w:t>Macquarie</w:t>
      </w:r>
      <w:r>
        <w:rPr>
          <w:spacing w:val="8"/>
          <w:sz w:val="13"/>
        </w:rPr>
        <w:t> </w:t>
      </w:r>
      <w:r>
        <w:rPr>
          <w:sz w:val="13"/>
        </w:rPr>
        <w:t>University,</w:t>
      </w:r>
      <w:r>
        <w:rPr>
          <w:spacing w:val="8"/>
          <w:sz w:val="13"/>
        </w:rPr>
        <w:t> </w:t>
      </w:r>
      <w:r>
        <w:rPr>
          <w:sz w:val="13"/>
        </w:rPr>
        <w:t>NSW).</w:t>
      </w:r>
    </w:p>
    <w:p>
      <w:pPr>
        <w:pStyle w:val="ListParagraph"/>
        <w:numPr>
          <w:ilvl w:val="0"/>
          <w:numId w:val="99"/>
        </w:numPr>
        <w:tabs>
          <w:tab w:pos="1760" w:val="left" w:leader="none"/>
          <w:tab w:pos="1762" w:val="left" w:leader="none"/>
        </w:tabs>
        <w:spacing w:line="160" w:lineRule="exact" w:before="0" w:after="0"/>
        <w:ind w:left="1761" w:right="0" w:hanging="794"/>
        <w:jc w:val="left"/>
        <w:rPr>
          <w:sz w:val="13"/>
        </w:rPr>
      </w:pPr>
      <w:r>
        <w:rPr>
          <w:sz w:val="13"/>
        </w:rPr>
        <w:t>Consultation 8 (Brent Phillips).</w:t>
      </w:r>
    </w:p>
    <w:p>
      <w:pPr>
        <w:pStyle w:val="ListParagraph"/>
        <w:numPr>
          <w:ilvl w:val="0"/>
          <w:numId w:val="99"/>
        </w:numPr>
        <w:tabs>
          <w:tab w:pos="1761" w:val="left" w:leader="none"/>
          <w:tab w:pos="1762" w:val="left" w:leader="none"/>
        </w:tabs>
        <w:spacing w:line="170" w:lineRule="exact" w:before="0" w:after="0"/>
        <w:ind w:left="1761" w:right="0" w:hanging="794"/>
        <w:jc w:val="left"/>
        <w:rPr>
          <w:sz w:val="13"/>
        </w:rPr>
      </w:pPr>
      <w:r>
        <w:rPr>
          <w:sz w:val="13"/>
        </w:rPr>
        <w:t>Consultation 5 (Expression</w:t>
      </w:r>
      <w:r>
        <w:rPr>
          <w:spacing w:val="1"/>
          <w:sz w:val="13"/>
        </w:rPr>
        <w:t> </w:t>
      </w:r>
      <w:r>
        <w:rPr>
          <w:sz w:val="13"/>
        </w:rPr>
        <w:t>Australia).</w:t>
      </w:r>
    </w:p>
    <w:p>
      <w:pPr>
        <w:pStyle w:val="BodyText"/>
        <w:rPr>
          <w:sz w:val="28"/>
        </w:rPr>
      </w:pPr>
      <w:r>
        <w:rPr/>
        <w:br w:type="column"/>
      </w:r>
      <w:r>
        <w:rPr>
          <w:sz w:val="28"/>
        </w:rPr>
      </w:r>
    </w:p>
    <w:p>
      <w:pPr>
        <w:pStyle w:val="BodyText"/>
        <w:rPr>
          <w:sz w:val="22"/>
        </w:rPr>
      </w:pPr>
    </w:p>
    <w:p>
      <w:pPr>
        <w:spacing w:before="0"/>
        <w:ind w:left="967" w:right="0" w:firstLine="0"/>
        <w:jc w:val="left"/>
        <w:rPr>
          <w:b/>
          <w:sz w:val="24"/>
        </w:rPr>
      </w:pPr>
      <w:r>
        <w:rPr>
          <w:b/>
          <w:color w:val="37617A"/>
          <w:sz w:val="24"/>
        </w:rPr>
        <w:t>167</w:t>
      </w:r>
    </w:p>
    <w:p>
      <w:pPr>
        <w:spacing w:after="0"/>
        <w:jc w:val="left"/>
        <w:rPr>
          <w:sz w:val="24"/>
        </w:rPr>
        <w:sectPr>
          <w:type w:val="continuous"/>
          <w:pgSz w:w="11910" w:h="16840"/>
          <w:pgMar w:top="620" w:bottom="280" w:left="620" w:right="380"/>
          <w:cols w:num="2" w:equalWidth="0">
            <w:col w:w="9026" w:space="303"/>
            <w:col w:w="1581"/>
          </w:cols>
        </w:sectPr>
      </w:pPr>
    </w:p>
    <w:p>
      <w:pPr>
        <w:pStyle w:val="BodyText"/>
        <w:rPr>
          <w:b/>
        </w:rPr>
      </w:pPr>
    </w:p>
    <w:p>
      <w:pPr>
        <w:pStyle w:val="BodyText"/>
        <w:rPr>
          <w:b/>
        </w:rPr>
      </w:pPr>
    </w:p>
    <w:p>
      <w:pPr>
        <w:pStyle w:val="BodyText"/>
        <w:rPr>
          <w:b/>
        </w:rPr>
      </w:pPr>
    </w:p>
    <w:p>
      <w:pPr>
        <w:spacing w:before="220"/>
        <w:ind w:left="967" w:right="0" w:firstLine="0"/>
        <w:jc w:val="left"/>
        <w:rPr>
          <w:b/>
          <w:sz w:val="24"/>
        </w:rPr>
      </w:pPr>
      <w:bookmarkStart w:name="_bookmark122" w:id="289"/>
      <w:bookmarkEnd w:id="289"/>
      <w:r>
        <w:rPr/>
      </w:r>
      <w:r>
        <w:rPr>
          <w:b/>
          <w:sz w:val="24"/>
        </w:rPr>
        <w:t>Keeping records of Auslan bookings</w:t>
      </w:r>
    </w:p>
    <w:p>
      <w:pPr>
        <w:pStyle w:val="ListParagraph"/>
        <w:numPr>
          <w:ilvl w:val="1"/>
          <w:numId w:val="12"/>
        </w:numPr>
        <w:tabs>
          <w:tab w:pos="1761" w:val="left" w:leader="none"/>
          <w:tab w:pos="1762" w:val="left" w:leader="none"/>
        </w:tabs>
        <w:spacing w:line="206" w:lineRule="auto" w:before="127" w:after="0"/>
        <w:ind w:left="1761" w:right="1501" w:hanging="794"/>
        <w:jc w:val="left"/>
        <w:rPr>
          <w:sz w:val="20"/>
        </w:rPr>
      </w:pPr>
      <w:r>
        <w:rPr>
          <w:sz w:val="20"/>
        </w:rPr>
        <w:t>Records</w:t>
      </w:r>
      <w:r>
        <w:rPr>
          <w:spacing w:val="-9"/>
          <w:sz w:val="20"/>
        </w:rPr>
        <w:t> </w:t>
      </w:r>
      <w:r>
        <w:rPr>
          <w:sz w:val="20"/>
        </w:rPr>
        <w:t>should</w:t>
      </w:r>
      <w:r>
        <w:rPr>
          <w:spacing w:val="-8"/>
          <w:sz w:val="20"/>
        </w:rPr>
        <w:t> </w:t>
      </w:r>
      <w:r>
        <w:rPr>
          <w:sz w:val="20"/>
        </w:rPr>
        <w:t>be</w:t>
      </w:r>
      <w:r>
        <w:rPr>
          <w:spacing w:val="-8"/>
          <w:sz w:val="20"/>
        </w:rPr>
        <w:t> </w:t>
      </w:r>
      <w:r>
        <w:rPr>
          <w:spacing w:val="-3"/>
          <w:sz w:val="20"/>
        </w:rPr>
        <w:t>kept</w:t>
      </w:r>
      <w:r>
        <w:rPr>
          <w:spacing w:val="-8"/>
          <w:sz w:val="20"/>
        </w:rPr>
        <w:t> </w:t>
      </w:r>
      <w:r>
        <w:rPr>
          <w:sz w:val="20"/>
        </w:rPr>
        <w:t>about</w:t>
      </w:r>
      <w:r>
        <w:rPr>
          <w:spacing w:val="-8"/>
          <w:sz w:val="20"/>
        </w:rPr>
        <w:t> </w:t>
      </w:r>
      <w:r>
        <w:rPr>
          <w:sz w:val="20"/>
        </w:rPr>
        <w:t>the</w:t>
      </w:r>
      <w:r>
        <w:rPr>
          <w:spacing w:val="-8"/>
          <w:sz w:val="20"/>
        </w:rPr>
        <w:t> </w:t>
      </w:r>
      <w:r>
        <w:rPr>
          <w:sz w:val="20"/>
        </w:rPr>
        <w:t>number</w:t>
      </w:r>
      <w:r>
        <w:rPr>
          <w:spacing w:val="-8"/>
          <w:sz w:val="20"/>
        </w:rPr>
        <w:t> </w:t>
      </w:r>
      <w:r>
        <w:rPr>
          <w:sz w:val="20"/>
        </w:rPr>
        <w:t>of</w:t>
      </w:r>
      <w:r>
        <w:rPr>
          <w:spacing w:val="-8"/>
          <w:sz w:val="20"/>
        </w:rPr>
        <w:t> </w:t>
      </w:r>
      <w:r>
        <w:rPr>
          <w:sz w:val="20"/>
        </w:rPr>
        <w:t>bookings</w:t>
      </w:r>
      <w:r>
        <w:rPr>
          <w:spacing w:val="-8"/>
          <w:sz w:val="20"/>
        </w:rPr>
        <w:t> </w:t>
      </w:r>
      <w:r>
        <w:rPr>
          <w:sz w:val="20"/>
        </w:rPr>
        <w:t>made</w:t>
      </w:r>
      <w:r>
        <w:rPr>
          <w:spacing w:val="-8"/>
          <w:sz w:val="20"/>
        </w:rPr>
        <w:t> </w:t>
      </w:r>
      <w:r>
        <w:rPr>
          <w:sz w:val="20"/>
        </w:rPr>
        <w:t>each</w:t>
      </w:r>
      <w:r>
        <w:rPr>
          <w:spacing w:val="-8"/>
          <w:sz w:val="20"/>
        </w:rPr>
        <w:t> </w:t>
      </w:r>
      <w:r>
        <w:rPr>
          <w:spacing w:val="-3"/>
          <w:sz w:val="20"/>
        </w:rPr>
        <w:t>year</w:t>
      </w:r>
      <w:r>
        <w:rPr>
          <w:spacing w:val="-8"/>
          <w:sz w:val="20"/>
        </w:rPr>
        <w:t> </w:t>
      </w:r>
      <w:r>
        <w:rPr>
          <w:sz w:val="20"/>
        </w:rPr>
        <w:t>and</w:t>
      </w:r>
      <w:r>
        <w:rPr>
          <w:spacing w:val="-8"/>
          <w:sz w:val="20"/>
        </w:rPr>
        <w:t> </w:t>
      </w:r>
      <w:r>
        <w:rPr>
          <w:sz w:val="20"/>
        </w:rPr>
        <w:t>for</w:t>
      </w:r>
      <w:r>
        <w:rPr>
          <w:spacing w:val="-8"/>
          <w:sz w:val="20"/>
        </w:rPr>
        <w:t> </w:t>
      </w:r>
      <w:r>
        <w:rPr>
          <w:spacing w:val="-3"/>
          <w:sz w:val="20"/>
        </w:rPr>
        <w:t>how </w:t>
      </w:r>
      <w:r>
        <w:rPr>
          <w:sz w:val="20"/>
        </w:rPr>
        <w:t>long. This will assist the court to determine if it </w:t>
      </w:r>
      <w:r>
        <w:rPr>
          <w:spacing w:val="-3"/>
          <w:sz w:val="20"/>
        </w:rPr>
        <w:t>would </w:t>
      </w:r>
      <w:r>
        <w:rPr>
          <w:sz w:val="20"/>
        </w:rPr>
        <w:t>be more efficient to consider </w:t>
      </w:r>
      <w:r>
        <w:rPr>
          <w:spacing w:val="-3"/>
          <w:sz w:val="20"/>
        </w:rPr>
        <w:t>employing </w:t>
      </w:r>
      <w:r>
        <w:rPr>
          <w:sz w:val="20"/>
        </w:rPr>
        <w:t>an in-house Auslan </w:t>
      </w:r>
      <w:r>
        <w:rPr>
          <w:spacing w:val="-5"/>
          <w:sz w:val="20"/>
        </w:rPr>
        <w:t>interpreter/s </w:t>
      </w:r>
      <w:r>
        <w:rPr>
          <w:sz w:val="20"/>
        </w:rPr>
        <w:t>for this</w:t>
      </w:r>
      <w:r>
        <w:rPr>
          <w:spacing w:val="-24"/>
          <w:sz w:val="20"/>
        </w:rPr>
        <w:t> </w:t>
      </w:r>
      <w:r>
        <w:rPr>
          <w:sz w:val="20"/>
        </w:rPr>
        <w:t>work.</w:t>
      </w:r>
    </w:p>
    <w:p>
      <w:pPr>
        <w:pStyle w:val="ListParagraph"/>
        <w:numPr>
          <w:ilvl w:val="1"/>
          <w:numId w:val="12"/>
        </w:numPr>
        <w:tabs>
          <w:tab w:pos="1761" w:val="left" w:leader="none"/>
          <w:tab w:pos="1762" w:val="left" w:leader="none"/>
        </w:tabs>
        <w:spacing w:line="206" w:lineRule="auto" w:before="124" w:after="0"/>
        <w:ind w:left="1761" w:right="1507" w:hanging="794"/>
        <w:jc w:val="left"/>
        <w:rPr>
          <w:sz w:val="11"/>
        </w:rPr>
      </w:pPr>
      <w:r>
        <w:rPr>
          <w:spacing w:val="-6"/>
          <w:sz w:val="20"/>
        </w:rPr>
        <w:t>We</w:t>
      </w:r>
      <w:r>
        <w:rPr>
          <w:spacing w:val="-8"/>
          <w:sz w:val="20"/>
        </w:rPr>
        <w:t> </w:t>
      </w:r>
      <w:r>
        <w:rPr>
          <w:sz w:val="20"/>
        </w:rPr>
        <w:t>note</w:t>
      </w:r>
      <w:r>
        <w:rPr>
          <w:spacing w:val="-8"/>
          <w:sz w:val="20"/>
        </w:rPr>
        <w:t> </w:t>
      </w:r>
      <w:r>
        <w:rPr>
          <w:sz w:val="20"/>
        </w:rPr>
        <w:t>that</w:t>
      </w:r>
      <w:r>
        <w:rPr>
          <w:spacing w:val="-8"/>
          <w:sz w:val="20"/>
        </w:rPr>
        <w:t> </w:t>
      </w:r>
      <w:r>
        <w:rPr>
          <w:sz w:val="20"/>
        </w:rPr>
        <w:t>in</w:t>
      </w:r>
      <w:r>
        <w:rPr>
          <w:spacing w:val="-8"/>
          <w:sz w:val="20"/>
        </w:rPr>
        <w:t> </w:t>
      </w:r>
      <w:r>
        <w:rPr>
          <w:sz w:val="20"/>
        </w:rPr>
        <w:t>Monroe</w:t>
      </w:r>
      <w:r>
        <w:rPr>
          <w:spacing w:val="-8"/>
          <w:sz w:val="20"/>
        </w:rPr>
        <w:t> </w:t>
      </w:r>
      <w:r>
        <w:rPr>
          <w:spacing w:val="-3"/>
          <w:sz w:val="20"/>
        </w:rPr>
        <w:t>County,</w:t>
      </w:r>
      <w:r>
        <w:rPr>
          <w:spacing w:val="-8"/>
          <w:sz w:val="20"/>
        </w:rPr>
        <w:t> </w:t>
      </w:r>
      <w:r>
        <w:rPr>
          <w:sz w:val="20"/>
        </w:rPr>
        <w:t>New</w:t>
      </w:r>
      <w:r>
        <w:rPr>
          <w:spacing w:val="-7"/>
          <w:sz w:val="20"/>
        </w:rPr>
        <w:t> </w:t>
      </w:r>
      <w:r>
        <w:rPr>
          <w:spacing w:val="-5"/>
          <w:sz w:val="20"/>
        </w:rPr>
        <w:t>York</w:t>
      </w:r>
      <w:r>
        <w:rPr>
          <w:spacing w:val="-8"/>
          <w:sz w:val="20"/>
        </w:rPr>
        <w:t> </w:t>
      </w:r>
      <w:r>
        <w:rPr>
          <w:spacing w:val="-3"/>
          <w:sz w:val="20"/>
        </w:rPr>
        <w:t>State,</w:t>
      </w:r>
      <w:r>
        <w:rPr>
          <w:spacing w:val="-8"/>
          <w:sz w:val="20"/>
        </w:rPr>
        <w:t> </w:t>
      </w:r>
      <w:r>
        <w:rPr>
          <w:sz w:val="20"/>
        </w:rPr>
        <w:t>sign</w:t>
      </w:r>
      <w:r>
        <w:rPr>
          <w:spacing w:val="-8"/>
          <w:sz w:val="20"/>
        </w:rPr>
        <w:t> </w:t>
      </w:r>
      <w:r>
        <w:rPr>
          <w:sz w:val="20"/>
        </w:rPr>
        <w:t>language</w:t>
      </w:r>
      <w:r>
        <w:rPr>
          <w:spacing w:val="-8"/>
          <w:sz w:val="20"/>
        </w:rPr>
        <w:t> </w:t>
      </w:r>
      <w:r>
        <w:rPr>
          <w:spacing w:val="-3"/>
          <w:sz w:val="20"/>
        </w:rPr>
        <w:t>interpreters</w:t>
      </w:r>
      <w:r>
        <w:rPr>
          <w:spacing w:val="-8"/>
          <w:sz w:val="20"/>
        </w:rPr>
        <w:t> </w:t>
      </w:r>
      <w:r>
        <w:rPr>
          <w:spacing w:val="-3"/>
          <w:sz w:val="20"/>
        </w:rPr>
        <w:t>are</w:t>
      </w:r>
      <w:r>
        <w:rPr>
          <w:spacing w:val="-8"/>
          <w:sz w:val="20"/>
        </w:rPr>
        <w:t> </w:t>
      </w:r>
      <w:r>
        <w:rPr>
          <w:sz w:val="20"/>
        </w:rPr>
        <w:t>used almost</w:t>
      </w:r>
      <w:r>
        <w:rPr>
          <w:spacing w:val="-8"/>
          <w:sz w:val="20"/>
        </w:rPr>
        <w:t> </w:t>
      </w:r>
      <w:r>
        <w:rPr>
          <w:spacing w:val="-3"/>
          <w:sz w:val="20"/>
        </w:rPr>
        <w:t>weekly</w:t>
      </w:r>
      <w:r>
        <w:rPr>
          <w:spacing w:val="-8"/>
          <w:sz w:val="20"/>
        </w:rPr>
        <w:t> </w:t>
      </w:r>
      <w:r>
        <w:rPr>
          <w:sz w:val="20"/>
        </w:rPr>
        <w:t>for</w:t>
      </w:r>
      <w:r>
        <w:rPr>
          <w:spacing w:val="-8"/>
          <w:sz w:val="20"/>
        </w:rPr>
        <w:t> </w:t>
      </w:r>
      <w:r>
        <w:rPr>
          <w:sz w:val="20"/>
        </w:rPr>
        <w:t>jury</w:t>
      </w:r>
      <w:r>
        <w:rPr>
          <w:spacing w:val="-8"/>
          <w:sz w:val="20"/>
        </w:rPr>
        <w:t> </w:t>
      </w:r>
      <w:r>
        <w:rPr>
          <w:sz w:val="20"/>
        </w:rPr>
        <w:t>duty</w:t>
      </w:r>
      <w:r>
        <w:rPr>
          <w:spacing w:val="-8"/>
          <w:sz w:val="20"/>
        </w:rPr>
        <w:t> </w:t>
      </w:r>
      <w:r>
        <w:rPr>
          <w:sz w:val="20"/>
        </w:rPr>
        <w:t>and</w:t>
      </w:r>
      <w:r>
        <w:rPr>
          <w:spacing w:val="-8"/>
          <w:sz w:val="20"/>
        </w:rPr>
        <w:t> </w:t>
      </w:r>
      <w:r>
        <w:rPr>
          <w:spacing w:val="-3"/>
          <w:sz w:val="20"/>
        </w:rPr>
        <w:t>are</w:t>
      </w:r>
      <w:r>
        <w:rPr>
          <w:spacing w:val="-8"/>
          <w:sz w:val="20"/>
        </w:rPr>
        <w:t> </w:t>
      </w:r>
      <w:r>
        <w:rPr>
          <w:spacing w:val="-3"/>
          <w:sz w:val="20"/>
        </w:rPr>
        <w:t>usually</w:t>
      </w:r>
      <w:r>
        <w:rPr>
          <w:spacing w:val="-8"/>
          <w:sz w:val="20"/>
        </w:rPr>
        <w:t> </w:t>
      </w:r>
      <w:r>
        <w:rPr>
          <w:sz w:val="20"/>
        </w:rPr>
        <w:t>hired</w:t>
      </w:r>
      <w:r>
        <w:rPr>
          <w:spacing w:val="-8"/>
          <w:sz w:val="20"/>
        </w:rPr>
        <w:t> </w:t>
      </w:r>
      <w:r>
        <w:rPr>
          <w:sz w:val="20"/>
        </w:rPr>
        <w:t>through</w:t>
      </w:r>
      <w:r>
        <w:rPr>
          <w:spacing w:val="-8"/>
          <w:sz w:val="20"/>
        </w:rPr>
        <w:t> </w:t>
      </w:r>
      <w:r>
        <w:rPr>
          <w:sz w:val="20"/>
        </w:rPr>
        <w:t>external</w:t>
      </w:r>
      <w:r>
        <w:rPr>
          <w:spacing w:val="-8"/>
          <w:sz w:val="20"/>
        </w:rPr>
        <w:t> </w:t>
      </w:r>
      <w:r>
        <w:rPr>
          <w:sz w:val="20"/>
        </w:rPr>
        <w:t>service</w:t>
      </w:r>
      <w:r>
        <w:rPr>
          <w:spacing w:val="-7"/>
          <w:sz w:val="20"/>
        </w:rPr>
        <w:t> </w:t>
      </w:r>
      <w:r>
        <w:rPr>
          <w:spacing w:val="-3"/>
          <w:sz w:val="20"/>
        </w:rPr>
        <w:t>providers, </w:t>
      </w:r>
      <w:r>
        <w:rPr>
          <w:sz w:val="20"/>
        </w:rPr>
        <w:t>as needed. The Jury Commissioner has one </w:t>
      </w:r>
      <w:r>
        <w:rPr>
          <w:spacing w:val="-3"/>
          <w:sz w:val="20"/>
        </w:rPr>
        <w:t>part-time </w:t>
      </w:r>
      <w:r>
        <w:rPr>
          <w:sz w:val="20"/>
        </w:rPr>
        <w:t>in-house sign language </w:t>
      </w:r>
      <w:r>
        <w:rPr>
          <w:spacing w:val="-3"/>
          <w:sz w:val="20"/>
        </w:rPr>
        <w:t>interpreter.</w:t>
      </w:r>
      <w:r>
        <w:rPr>
          <w:spacing w:val="-3"/>
          <w:position w:val="7"/>
          <w:sz w:val="11"/>
        </w:rPr>
        <w:t>89</w:t>
      </w:r>
    </w:p>
    <w:p>
      <w:pPr>
        <w:spacing w:before="163"/>
        <w:ind w:left="967" w:right="0" w:firstLine="0"/>
        <w:jc w:val="left"/>
        <w:rPr>
          <w:b/>
          <w:sz w:val="24"/>
        </w:rPr>
      </w:pPr>
      <w:r>
        <w:rPr>
          <w:b/>
          <w:sz w:val="24"/>
        </w:rPr>
        <w:t>Surveying staff</w:t>
      </w:r>
    </w:p>
    <w:p>
      <w:pPr>
        <w:pStyle w:val="ListParagraph"/>
        <w:numPr>
          <w:ilvl w:val="1"/>
          <w:numId w:val="12"/>
        </w:numPr>
        <w:tabs>
          <w:tab w:pos="1761" w:val="left" w:leader="none"/>
          <w:tab w:pos="1762" w:val="left" w:leader="none"/>
        </w:tabs>
        <w:spacing w:line="206" w:lineRule="auto" w:before="127" w:after="0"/>
        <w:ind w:left="1761" w:right="1399" w:hanging="794"/>
        <w:jc w:val="left"/>
        <w:rPr>
          <w:sz w:val="20"/>
        </w:rPr>
      </w:pPr>
      <w:r>
        <w:rPr>
          <w:sz w:val="20"/>
        </w:rPr>
        <w:t>It </w:t>
      </w:r>
      <w:r>
        <w:rPr>
          <w:spacing w:val="-3"/>
          <w:sz w:val="20"/>
        </w:rPr>
        <w:t>may </w:t>
      </w:r>
      <w:r>
        <w:rPr>
          <w:sz w:val="20"/>
        </w:rPr>
        <w:t>assist if the Department of Justice and Community </w:t>
      </w:r>
      <w:r>
        <w:rPr>
          <w:spacing w:val="-3"/>
          <w:sz w:val="20"/>
        </w:rPr>
        <w:t>Safety, </w:t>
      </w:r>
      <w:r>
        <w:rPr>
          <w:sz w:val="20"/>
        </w:rPr>
        <w:t>the courts and Juries</w:t>
      </w:r>
      <w:r>
        <w:rPr>
          <w:spacing w:val="-11"/>
          <w:sz w:val="20"/>
        </w:rPr>
        <w:t> </w:t>
      </w:r>
      <w:r>
        <w:rPr>
          <w:sz w:val="20"/>
        </w:rPr>
        <w:t>Victoria</w:t>
      </w:r>
      <w:r>
        <w:rPr>
          <w:spacing w:val="-11"/>
          <w:sz w:val="20"/>
        </w:rPr>
        <w:t> </w:t>
      </w:r>
      <w:r>
        <w:rPr>
          <w:sz w:val="20"/>
        </w:rPr>
        <w:t>survey</w:t>
      </w:r>
      <w:r>
        <w:rPr>
          <w:spacing w:val="-11"/>
          <w:sz w:val="20"/>
        </w:rPr>
        <w:t> </w:t>
      </w:r>
      <w:r>
        <w:rPr>
          <w:sz w:val="20"/>
        </w:rPr>
        <w:t>staff</w:t>
      </w:r>
      <w:r>
        <w:rPr>
          <w:spacing w:val="-11"/>
          <w:sz w:val="20"/>
        </w:rPr>
        <w:t> </w:t>
      </w:r>
      <w:r>
        <w:rPr>
          <w:sz w:val="20"/>
        </w:rPr>
        <w:t>to</w:t>
      </w:r>
      <w:r>
        <w:rPr>
          <w:spacing w:val="-11"/>
          <w:sz w:val="20"/>
        </w:rPr>
        <w:t> </w:t>
      </w:r>
      <w:r>
        <w:rPr>
          <w:sz w:val="20"/>
        </w:rPr>
        <w:t>ascertain</w:t>
      </w:r>
      <w:r>
        <w:rPr>
          <w:spacing w:val="-11"/>
          <w:sz w:val="20"/>
        </w:rPr>
        <w:t> </w:t>
      </w:r>
      <w:r>
        <w:rPr>
          <w:sz w:val="20"/>
        </w:rPr>
        <w:t>if</w:t>
      </w:r>
      <w:r>
        <w:rPr>
          <w:spacing w:val="-11"/>
          <w:sz w:val="20"/>
        </w:rPr>
        <w:t> </w:t>
      </w:r>
      <w:r>
        <w:rPr>
          <w:spacing w:val="-3"/>
          <w:sz w:val="20"/>
        </w:rPr>
        <w:t>any</w:t>
      </w:r>
      <w:r>
        <w:rPr>
          <w:spacing w:val="-10"/>
          <w:sz w:val="20"/>
        </w:rPr>
        <w:t> </w:t>
      </w:r>
      <w:r>
        <w:rPr>
          <w:sz w:val="20"/>
        </w:rPr>
        <w:t>of</w:t>
      </w:r>
      <w:r>
        <w:rPr>
          <w:spacing w:val="-11"/>
          <w:sz w:val="20"/>
        </w:rPr>
        <w:t> </w:t>
      </w:r>
      <w:r>
        <w:rPr>
          <w:sz w:val="20"/>
        </w:rPr>
        <w:t>them</w:t>
      </w:r>
      <w:r>
        <w:rPr>
          <w:spacing w:val="-11"/>
          <w:sz w:val="20"/>
        </w:rPr>
        <w:t> </w:t>
      </w:r>
      <w:r>
        <w:rPr>
          <w:spacing w:val="-4"/>
          <w:sz w:val="20"/>
        </w:rPr>
        <w:t>have</w:t>
      </w:r>
      <w:r>
        <w:rPr>
          <w:spacing w:val="-11"/>
          <w:sz w:val="20"/>
        </w:rPr>
        <w:t> </w:t>
      </w:r>
      <w:r>
        <w:rPr>
          <w:sz w:val="20"/>
        </w:rPr>
        <w:t>Auslan</w:t>
      </w:r>
      <w:r>
        <w:rPr>
          <w:spacing w:val="-11"/>
          <w:sz w:val="20"/>
        </w:rPr>
        <w:t> </w:t>
      </w:r>
      <w:r>
        <w:rPr>
          <w:sz w:val="20"/>
        </w:rPr>
        <w:t>qualifications</w:t>
      </w:r>
      <w:r>
        <w:rPr>
          <w:spacing w:val="-11"/>
          <w:sz w:val="20"/>
        </w:rPr>
        <w:t> </w:t>
      </w:r>
      <w:r>
        <w:rPr>
          <w:sz w:val="20"/>
        </w:rPr>
        <w:t>at</w:t>
      </w:r>
      <w:r>
        <w:rPr>
          <w:spacing w:val="-11"/>
          <w:sz w:val="20"/>
        </w:rPr>
        <w:t> </w:t>
      </w:r>
      <w:r>
        <w:rPr>
          <w:sz w:val="20"/>
        </w:rPr>
        <w:t>the court </w:t>
      </w:r>
      <w:r>
        <w:rPr>
          <w:spacing w:val="-3"/>
          <w:sz w:val="20"/>
        </w:rPr>
        <w:t>interpreting level. </w:t>
      </w:r>
      <w:r>
        <w:rPr>
          <w:sz w:val="20"/>
        </w:rPr>
        <w:t>If </w:t>
      </w:r>
      <w:r>
        <w:rPr>
          <w:spacing w:val="-2"/>
          <w:sz w:val="20"/>
        </w:rPr>
        <w:t>so, </w:t>
      </w:r>
      <w:r>
        <w:rPr>
          <w:sz w:val="20"/>
        </w:rPr>
        <w:t>they could be seconded to assist with training or pre- empanelment court visits or the occasional</w:t>
      </w:r>
      <w:r>
        <w:rPr>
          <w:spacing w:val="-28"/>
          <w:sz w:val="20"/>
        </w:rPr>
        <w:t> </w:t>
      </w:r>
      <w:r>
        <w:rPr>
          <w:sz w:val="20"/>
        </w:rPr>
        <w:t>trial.</w:t>
      </w:r>
    </w:p>
    <w:p>
      <w:pPr>
        <w:pStyle w:val="BodyText"/>
        <w:spacing w:before="8"/>
        <w:rPr>
          <w:sz w:val="19"/>
        </w:rPr>
      </w:pPr>
      <w:r>
        <w:rPr/>
        <w:pict>
          <v:group style="position:absolute;margin-left:62.362202pt;margin-top:15.553pt;width:479.1pt;height:164.9pt;mso-position-horizontal-relative:page;mso-position-vertical-relative:paragraph;z-index:8816;mso-wrap-distance-left:0;mso-wrap-distance-right:0" coordorigin="1247,311" coordsize="9582,3298">
            <v:rect style="position:absolute;left:1587;top:311;width:8731;height:3298" filled="true" fillcolor="#dddfe4" stroked="false">
              <v:fill type="solid"/>
            </v:rect>
            <v:line style="position:absolute" from="1247,1119" to="10828,1119" stroked="true" strokeweight="2.5pt" strokecolor="#ffffff">
              <v:stroke dashstyle="solid"/>
            </v:line>
            <v:shape style="position:absolute;left:2381;top:1344;width:7682;height:2085" type="#_x0000_t202" filled="false" stroked="false">
              <v:textbox inset="0,0,0,0">
                <w:txbxContent>
                  <w:p>
                    <w:pPr>
                      <w:spacing w:line="247" w:lineRule="auto" w:before="0"/>
                      <w:ind w:left="0" w:right="-3" w:firstLine="0"/>
                      <w:jc w:val="left"/>
                      <w:rPr>
                        <w:rFonts w:ascii="Trebuchet MS"/>
                        <w:sz w:val="20"/>
                      </w:rPr>
                    </w:pPr>
                    <w:r>
                      <w:rPr>
                        <w:rFonts w:ascii="Trebuchet MS"/>
                        <w:sz w:val="20"/>
                      </w:rPr>
                      <w:t>When booking Auslan interpreters, Juries Victoria should ensure that wherever possible the same interpreters are available for the duration of the trial to maintain </w:t>
                    </w:r>
                    <w:r>
                      <w:rPr>
                        <w:rFonts w:ascii="Trebuchet MS"/>
                        <w:w w:val="111"/>
                        <w:sz w:val="20"/>
                      </w:rPr>
                      <w:t>c</w:t>
                    </w:r>
                    <w:r>
                      <w:rPr>
                        <w:rFonts w:ascii="Trebuchet MS"/>
                        <w:w w:val="109"/>
                        <w:sz w:val="20"/>
                      </w:rPr>
                      <w:t>on</w:t>
                    </w:r>
                    <w:r>
                      <w:rPr>
                        <w:rFonts w:ascii="Trebuchet MS"/>
                        <w:w w:val="111"/>
                        <w:sz w:val="20"/>
                      </w:rPr>
                      <w:t>sis</w:t>
                    </w:r>
                    <w:r>
                      <w:rPr>
                        <w:rFonts w:ascii="Trebuchet MS"/>
                        <w:w w:val="88"/>
                        <w:sz w:val="20"/>
                      </w:rPr>
                      <w:t>t</w:t>
                    </w:r>
                    <w:r>
                      <w:rPr>
                        <w:rFonts w:ascii="Trebuchet MS"/>
                        <w:w w:val="108"/>
                        <w:sz w:val="20"/>
                      </w:rPr>
                      <w:t>e</w:t>
                    </w:r>
                    <w:r>
                      <w:rPr>
                        <w:rFonts w:ascii="Trebuchet MS"/>
                        <w:w w:val="107"/>
                        <w:sz w:val="20"/>
                      </w:rPr>
                      <w:t>n</w:t>
                    </w:r>
                    <w:r>
                      <w:rPr>
                        <w:rFonts w:ascii="Trebuchet MS"/>
                        <w:w w:val="111"/>
                        <w:sz w:val="20"/>
                      </w:rPr>
                      <w:t>c</w:t>
                    </w:r>
                    <w:r>
                      <w:rPr>
                        <w:rFonts w:ascii="Trebuchet MS"/>
                        <w:w w:val="110"/>
                        <w:sz w:val="20"/>
                      </w:rPr>
                      <w:t>y</w:t>
                    </w:r>
                    <w:r>
                      <w:rPr>
                        <w:rFonts w:ascii="Trebuchet MS"/>
                        <w:sz w:val="20"/>
                      </w:rPr>
                      <w:t> </w:t>
                    </w:r>
                    <w:r>
                      <w:rPr>
                        <w:rFonts w:ascii="Trebuchet MS"/>
                        <w:w w:val="80"/>
                        <w:sz w:val="20"/>
                      </w:rPr>
                      <w:t>i</w:t>
                    </w:r>
                    <w:r>
                      <w:rPr>
                        <w:rFonts w:ascii="Trebuchet MS"/>
                        <w:w w:val="107"/>
                        <w:sz w:val="20"/>
                      </w:rPr>
                      <w:t>n</w:t>
                    </w:r>
                    <w:r>
                      <w:rPr>
                        <w:rFonts w:ascii="Trebuchet MS"/>
                        <w:sz w:val="20"/>
                      </w:rPr>
                      <w:t> </w:t>
                    </w:r>
                    <w:r>
                      <w:rPr>
                        <w:rFonts w:ascii="Trebuchet MS"/>
                        <w:w w:val="80"/>
                        <w:sz w:val="20"/>
                      </w:rPr>
                      <w:t>i</w:t>
                    </w:r>
                    <w:r>
                      <w:rPr>
                        <w:rFonts w:ascii="Trebuchet MS"/>
                        <w:w w:val="107"/>
                        <w:sz w:val="20"/>
                      </w:rPr>
                      <w:t>n</w:t>
                    </w:r>
                    <w:r>
                      <w:rPr>
                        <w:rFonts w:ascii="Trebuchet MS"/>
                        <w:w w:val="88"/>
                        <w:sz w:val="20"/>
                      </w:rPr>
                      <w:t>t</w:t>
                    </w:r>
                    <w:r>
                      <w:rPr>
                        <w:rFonts w:ascii="Trebuchet MS"/>
                        <w:w w:val="108"/>
                        <w:sz w:val="20"/>
                      </w:rPr>
                      <w:t>e</w:t>
                    </w:r>
                    <w:r>
                      <w:rPr>
                        <w:rFonts w:ascii="Trebuchet MS"/>
                        <w:w w:val="93"/>
                        <w:sz w:val="20"/>
                      </w:rPr>
                      <w:t>r</w:t>
                    </w:r>
                    <w:r>
                      <w:rPr>
                        <w:rFonts w:ascii="Trebuchet MS"/>
                        <w:w w:val="111"/>
                        <w:sz w:val="20"/>
                      </w:rPr>
                      <w:t>p</w:t>
                    </w:r>
                    <w:r>
                      <w:rPr>
                        <w:rFonts w:ascii="Trebuchet MS"/>
                        <w:w w:val="93"/>
                        <w:sz w:val="20"/>
                      </w:rPr>
                      <w:t>r</w:t>
                    </w:r>
                    <w:r>
                      <w:rPr>
                        <w:rFonts w:ascii="Trebuchet MS"/>
                        <w:w w:val="108"/>
                        <w:sz w:val="20"/>
                      </w:rPr>
                      <w:t>e</w:t>
                    </w:r>
                    <w:r>
                      <w:rPr>
                        <w:rFonts w:ascii="Trebuchet MS"/>
                        <w:w w:val="88"/>
                        <w:sz w:val="20"/>
                      </w:rPr>
                      <w:t>t</w:t>
                    </w:r>
                    <w:r>
                      <w:rPr>
                        <w:rFonts w:ascii="Trebuchet MS"/>
                        <w:w w:val="80"/>
                        <w:sz w:val="20"/>
                      </w:rPr>
                      <w:t>i</w:t>
                    </w:r>
                    <w:r>
                      <w:rPr>
                        <w:rFonts w:ascii="Trebuchet MS"/>
                        <w:w w:val="115"/>
                        <w:sz w:val="20"/>
                      </w:rPr>
                      <w:t>ng</w:t>
                    </w:r>
                    <w:r>
                      <w:rPr>
                        <w:rFonts w:ascii="Trebuchet MS"/>
                        <w:w w:val="55"/>
                        <w:sz w:val="20"/>
                      </w:rPr>
                      <w:t>.</w:t>
                    </w:r>
                  </w:p>
                  <w:p>
                    <w:pPr>
                      <w:spacing w:line="247" w:lineRule="auto" w:before="87"/>
                      <w:ind w:left="0" w:right="-3" w:firstLine="0"/>
                      <w:jc w:val="left"/>
                      <w:rPr>
                        <w:rFonts w:ascii="Trebuchet MS"/>
                        <w:sz w:val="20"/>
                      </w:rPr>
                    </w:pPr>
                    <w:r>
                      <w:rPr>
                        <w:rFonts w:ascii="Trebuchet MS"/>
                        <w:sz w:val="20"/>
                      </w:rPr>
                      <w:t>Juries Victoria should retain data about the number of bookings it makes for Auslan </w:t>
                    </w:r>
                    <w:r>
                      <w:rPr>
                        <w:rFonts w:ascii="Trebuchet MS"/>
                        <w:w w:val="80"/>
                        <w:sz w:val="20"/>
                      </w:rPr>
                      <w:t>i</w:t>
                    </w:r>
                    <w:r>
                      <w:rPr>
                        <w:rFonts w:ascii="Trebuchet MS"/>
                        <w:w w:val="107"/>
                        <w:sz w:val="20"/>
                      </w:rPr>
                      <w:t>n</w:t>
                    </w:r>
                    <w:r>
                      <w:rPr>
                        <w:rFonts w:ascii="Trebuchet MS"/>
                        <w:w w:val="88"/>
                        <w:sz w:val="20"/>
                      </w:rPr>
                      <w:t>t</w:t>
                    </w:r>
                    <w:r>
                      <w:rPr>
                        <w:rFonts w:ascii="Trebuchet MS"/>
                        <w:w w:val="108"/>
                        <w:sz w:val="20"/>
                      </w:rPr>
                      <w:t>e</w:t>
                    </w:r>
                    <w:r>
                      <w:rPr>
                        <w:rFonts w:ascii="Trebuchet MS"/>
                        <w:w w:val="93"/>
                        <w:sz w:val="20"/>
                      </w:rPr>
                      <w:t>r</w:t>
                    </w:r>
                    <w:r>
                      <w:rPr>
                        <w:rFonts w:ascii="Trebuchet MS"/>
                        <w:w w:val="104"/>
                        <w:sz w:val="20"/>
                      </w:rPr>
                      <w:t>pr</w:t>
                    </w:r>
                    <w:r>
                      <w:rPr>
                        <w:rFonts w:ascii="Trebuchet MS"/>
                        <w:w w:val="108"/>
                        <w:sz w:val="20"/>
                      </w:rPr>
                      <w:t>e</w:t>
                    </w:r>
                    <w:r>
                      <w:rPr>
                        <w:rFonts w:ascii="Trebuchet MS"/>
                        <w:w w:val="88"/>
                        <w:sz w:val="20"/>
                      </w:rPr>
                      <w:t>t</w:t>
                    </w:r>
                    <w:r>
                      <w:rPr>
                        <w:rFonts w:ascii="Trebuchet MS"/>
                        <w:w w:val="108"/>
                        <w:sz w:val="20"/>
                      </w:rPr>
                      <w:t>e</w:t>
                    </w:r>
                    <w:r>
                      <w:rPr>
                        <w:rFonts w:ascii="Trebuchet MS"/>
                        <w:w w:val="108"/>
                        <w:sz w:val="20"/>
                      </w:rPr>
                      <w:t>rs</w:t>
                    </w:r>
                    <w:r>
                      <w:rPr>
                        <w:rFonts w:ascii="Trebuchet MS"/>
                        <w:w w:val="57"/>
                        <w:sz w:val="20"/>
                      </w:rPr>
                      <w:t>,</w:t>
                    </w:r>
                    <w:r>
                      <w:rPr>
                        <w:rFonts w:ascii="Trebuchet MS"/>
                        <w:sz w:val="20"/>
                      </w:rPr>
                      <w:t> </w:t>
                    </w:r>
                    <w:r>
                      <w:rPr>
                        <w:rFonts w:ascii="Trebuchet MS"/>
                        <w:w w:val="80"/>
                        <w:sz w:val="20"/>
                      </w:rPr>
                      <w:t>i</w:t>
                    </w:r>
                    <w:r>
                      <w:rPr>
                        <w:rFonts w:ascii="Trebuchet MS"/>
                        <w:w w:val="109"/>
                        <w:sz w:val="20"/>
                      </w:rPr>
                      <w:t>nc</w:t>
                    </w:r>
                    <w:r>
                      <w:rPr>
                        <w:rFonts w:ascii="Trebuchet MS"/>
                        <w:w w:val="96"/>
                        <w:sz w:val="20"/>
                      </w:rPr>
                      <w:t>l</w:t>
                    </w:r>
                    <w:r>
                      <w:rPr>
                        <w:rFonts w:ascii="Trebuchet MS"/>
                        <w:w w:val="109"/>
                        <w:sz w:val="20"/>
                      </w:rPr>
                      <w:t>u</w:t>
                    </w:r>
                    <w:r>
                      <w:rPr>
                        <w:rFonts w:ascii="Trebuchet MS"/>
                        <w:w w:val="101"/>
                        <w:sz w:val="20"/>
                      </w:rPr>
                      <w:t>di</w:t>
                    </w:r>
                    <w:r>
                      <w:rPr>
                        <w:rFonts w:ascii="Trebuchet MS"/>
                        <w:w w:val="107"/>
                        <w:sz w:val="20"/>
                      </w:rPr>
                      <w:t>n</w:t>
                    </w:r>
                    <w:r>
                      <w:rPr>
                        <w:rFonts w:ascii="Trebuchet MS"/>
                        <w:w w:val="124"/>
                        <w:sz w:val="20"/>
                      </w:rPr>
                      <w:t>g</w:t>
                    </w:r>
                    <w:r>
                      <w:rPr>
                        <w:rFonts w:ascii="Trebuchet MS"/>
                        <w:sz w:val="20"/>
                      </w:rPr>
                      <w:t> </w:t>
                    </w:r>
                    <w:r>
                      <w:rPr>
                        <w:rFonts w:ascii="Trebuchet MS"/>
                        <w:w w:val="88"/>
                        <w:sz w:val="20"/>
                      </w:rPr>
                      <w:t>t</w:t>
                    </w:r>
                    <w:r>
                      <w:rPr>
                        <w:rFonts w:ascii="Trebuchet MS"/>
                        <w:w w:val="108"/>
                        <w:sz w:val="20"/>
                      </w:rPr>
                      <w:t>he</w:t>
                    </w:r>
                    <w:r>
                      <w:rPr>
                        <w:rFonts w:ascii="Trebuchet MS"/>
                        <w:sz w:val="20"/>
                      </w:rPr>
                      <w:t> </w:t>
                    </w:r>
                    <w:r>
                      <w:rPr>
                        <w:rFonts w:ascii="Trebuchet MS"/>
                        <w:w w:val="107"/>
                        <w:sz w:val="20"/>
                      </w:rPr>
                      <w:t>n</w:t>
                    </w:r>
                    <w:r>
                      <w:rPr>
                        <w:rFonts w:ascii="Trebuchet MS"/>
                        <w:w w:val="110"/>
                        <w:sz w:val="20"/>
                      </w:rPr>
                      <w:t>um</w:t>
                    </w:r>
                    <w:r>
                      <w:rPr>
                        <w:rFonts w:ascii="Trebuchet MS"/>
                        <w:w w:val="111"/>
                        <w:sz w:val="20"/>
                      </w:rPr>
                      <w:t>b</w:t>
                    </w:r>
                    <w:r>
                      <w:rPr>
                        <w:rFonts w:ascii="Trebuchet MS"/>
                        <w:w w:val="108"/>
                        <w:sz w:val="20"/>
                      </w:rPr>
                      <w:t>e</w:t>
                    </w:r>
                    <w:r>
                      <w:rPr>
                        <w:rFonts w:ascii="Trebuchet MS"/>
                        <w:w w:val="93"/>
                        <w:sz w:val="20"/>
                      </w:rPr>
                      <w:t>r</w:t>
                    </w:r>
                    <w:r>
                      <w:rPr>
                        <w:rFonts w:ascii="Trebuchet MS"/>
                        <w:sz w:val="20"/>
                      </w:rPr>
                      <w:t> </w:t>
                    </w:r>
                    <w:r>
                      <w:rPr>
                        <w:rFonts w:ascii="Trebuchet MS"/>
                        <w:w w:val="111"/>
                        <w:sz w:val="20"/>
                      </w:rPr>
                      <w:t>o</w:t>
                    </w:r>
                    <w:r>
                      <w:rPr>
                        <w:rFonts w:ascii="Trebuchet MS"/>
                        <w:w w:val="92"/>
                        <w:sz w:val="20"/>
                      </w:rPr>
                      <w:t>f</w:t>
                    </w:r>
                    <w:r>
                      <w:rPr>
                        <w:rFonts w:ascii="Trebuchet MS"/>
                        <w:sz w:val="20"/>
                      </w:rPr>
                      <w:t> </w:t>
                    </w:r>
                    <w:r>
                      <w:rPr>
                        <w:rFonts w:ascii="Trebuchet MS"/>
                        <w:w w:val="80"/>
                        <w:sz w:val="20"/>
                      </w:rPr>
                      <w:t>i</w:t>
                    </w:r>
                    <w:r>
                      <w:rPr>
                        <w:rFonts w:ascii="Trebuchet MS"/>
                        <w:w w:val="107"/>
                        <w:sz w:val="20"/>
                      </w:rPr>
                      <w:t>n</w:t>
                    </w:r>
                    <w:r>
                      <w:rPr>
                        <w:rFonts w:ascii="Trebuchet MS"/>
                        <w:w w:val="88"/>
                        <w:sz w:val="20"/>
                      </w:rPr>
                      <w:t>t</w:t>
                    </w:r>
                    <w:r>
                      <w:rPr>
                        <w:rFonts w:ascii="Trebuchet MS"/>
                        <w:w w:val="108"/>
                        <w:sz w:val="20"/>
                      </w:rPr>
                      <w:t>e</w:t>
                    </w:r>
                    <w:r>
                      <w:rPr>
                        <w:rFonts w:ascii="Trebuchet MS"/>
                        <w:w w:val="93"/>
                        <w:sz w:val="20"/>
                      </w:rPr>
                      <w:t>r</w:t>
                    </w:r>
                    <w:r>
                      <w:rPr>
                        <w:rFonts w:ascii="Trebuchet MS"/>
                        <w:w w:val="104"/>
                        <w:sz w:val="20"/>
                      </w:rPr>
                      <w:t>pr</w:t>
                    </w:r>
                    <w:r>
                      <w:rPr>
                        <w:rFonts w:ascii="Trebuchet MS"/>
                        <w:w w:val="108"/>
                        <w:sz w:val="20"/>
                      </w:rPr>
                      <w:t>e</w:t>
                    </w:r>
                    <w:r>
                      <w:rPr>
                        <w:rFonts w:ascii="Trebuchet MS"/>
                        <w:w w:val="88"/>
                        <w:sz w:val="20"/>
                      </w:rPr>
                      <w:t>t</w:t>
                    </w:r>
                    <w:r>
                      <w:rPr>
                        <w:rFonts w:ascii="Trebuchet MS"/>
                        <w:w w:val="108"/>
                        <w:sz w:val="20"/>
                      </w:rPr>
                      <w:t>e</w:t>
                    </w:r>
                    <w:r>
                      <w:rPr>
                        <w:rFonts w:ascii="Trebuchet MS"/>
                        <w:w w:val="108"/>
                        <w:sz w:val="20"/>
                      </w:rPr>
                      <w:t>rs</w:t>
                    </w:r>
                    <w:r>
                      <w:rPr>
                        <w:rFonts w:ascii="Trebuchet MS"/>
                        <w:sz w:val="20"/>
                      </w:rPr>
                      <w:t> </w:t>
                    </w:r>
                    <w:r>
                      <w:rPr>
                        <w:rFonts w:ascii="Trebuchet MS"/>
                        <w:w w:val="105"/>
                        <w:sz w:val="20"/>
                      </w:rPr>
                      <w:t>a</w:t>
                    </w:r>
                    <w:r>
                      <w:rPr>
                        <w:rFonts w:ascii="Trebuchet MS"/>
                        <w:w w:val="110"/>
                        <w:sz w:val="20"/>
                      </w:rPr>
                      <w:t>nd</w:t>
                    </w:r>
                    <w:r>
                      <w:rPr>
                        <w:rFonts w:ascii="Trebuchet MS"/>
                        <w:sz w:val="20"/>
                      </w:rPr>
                      <w:t> </w:t>
                    </w:r>
                    <w:r>
                      <w:rPr>
                        <w:rFonts w:ascii="Trebuchet MS"/>
                        <w:w w:val="109"/>
                        <w:sz w:val="20"/>
                      </w:rPr>
                      <w:t>ho</w:t>
                    </w:r>
                    <w:r>
                      <w:rPr>
                        <w:rFonts w:ascii="Trebuchet MS"/>
                        <w:w w:val="110"/>
                        <w:sz w:val="20"/>
                      </w:rPr>
                      <w:t>w</w:t>
                    </w:r>
                    <w:r>
                      <w:rPr>
                        <w:rFonts w:ascii="Trebuchet MS"/>
                        <w:sz w:val="20"/>
                      </w:rPr>
                      <w:t> </w:t>
                    </w:r>
                    <w:r>
                      <w:rPr>
                        <w:rFonts w:ascii="Trebuchet MS"/>
                        <w:w w:val="96"/>
                        <w:sz w:val="20"/>
                      </w:rPr>
                      <w:t>l</w:t>
                    </w:r>
                    <w:r>
                      <w:rPr>
                        <w:rFonts w:ascii="Trebuchet MS"/>
                        <w:w w:val="111"/>
                        <w:sz w:val="20"/>
                      </w:rPr>
                      <w:t>o</w:t>
                    </w:r>
                    <w:r>
                      <w:rPr>
                        <w:rFonts w:ascii="Trebuchet MS"/>
                        <w:w w:val="107"/>
                        <w:sz w:val="20"/>
                      </w:rPr>
                      <w:t>n</w:t>
                    </w:r>
                    <w:r>
                      <w:rPr>
                        <w:rFonts w:ascii="Trebuchet MS"/>
                        <w:w w:val="124"/>
                        <w:sz w:val="20"/>
                      </w:rPr>
                      <w:t>g</w:t>
                    </w:r>
                    <w:r>
                      <w:rPr>
                        <w:rFonts w:ascii="Trebuchet MS"/>
                        <w:sz w:val="20"/>
                      </w:rPr>
                      <w:t> </w:t>
                    </w:r>
                    <w:r>
                      <w:rPr>
                        <w:rFonts w:ascii="Trebuchet MS"/>
                        <w:w w:val="88"/>
                        <w:sz w:val="20"/>
                      </w:rPr>
                      <w:t>t</w:t>
                    </w:r>
                    <w:r>
                      <w:rPr>
                        <w:rFonts w:ascii="Trebuchet MS"/>
                        <w:w w:val="108"/>
                        <w:sz w:val="20"/>
                      </w:rPr>
                      <w:t>he</w:t>
                    </w:r>
                    <w:r>
                      <w:rPr>
                        <w:rFonts w:ascii="Trebuchet MS"/>
                        <w:w w:val="110"/>
                        <w:sz w:val="20"/>
                      </w:rPr>
                      <w:t>y</w:t>
                    </w:r>
                    <w:r>
                      <w:rPr>
                        <w:rFonts w:ascii="Trebuchet MS"/>
                        <w:sz w:val="20"/>
                      </w:rPr>
                      <w:t> </w:t>
                    </w:r>
                    <w:r>
                      <w:rPr>
                        <w:rFonts w:ascii="Trebuchet MS"/>
                        <w:w w:val="105"/>
                        <w:sz w:val="20"/>
                      </w:rPr>
                      <w:t>a</w:t>
                    </w:r>
                    <w:r>
                      <w:rPr>
                        <w:rFonts w:ascii="Trebuchet MS"/>
                        <w:w w:val="93"/>
                        <w:sz w:val="20"/>
                      </w:rPr>
                      <w:t>r</w:t>
                    </w:r>
                    <w:r>
                      <w:rPr>
                        <w:rFonts w:ascii="Trebuchet MS"/>
                        <w:w w:val="108"/>
                        <w:sz w:val="20"/>
                      </w:rPr>
                      <w:t>e</w:t>
                    </w:r>
                    <w:r>
                      <w:rPr>
                        <w:rFonts w:ascii="Trebuchet MS"/>
                        <w:sz w:val="20"/>
                      </w:rPr>
                      <w:t> </w:t>
                    </w:r>
                    <w:r>
                      <w:rPr>
                        <w:rFonts w:ascii="Trebuchet MS"/>
                        <w:w w:val="108"/>
                        <w:sz w:val="20"/>
                      </w:rPr>
                      <w:t>ne</w:t>
                    </w:r>
                    <w:r>
                      <w:rPr>
                        <w:rFonts w:ascii="Trebuchet MS"/>
                        <w:w w:val="108"/>
                        <w:sz w:val="20"/>
                      </w:rPr>
                      <w:t>e</w:t>
                    </w:r>
                    <w:r>
                      <w:rPr>
                        <w:rFonts w:ascii="Trebuchet MS"/>
                        <w:w w:val="112"/>
                        <w:sz w:val="20"/>
                      </w:rPr>
                      <w:t>d</w:t>
                    </w:r>
                    <w:r>
                      <w:rPr>
                        <w:rFonts w:ascii="Trebuchet MS"/>
                        <w:w w:val="108"/>
                        <w:sz w:val="20"/>
                      </w:rPr>
                      <w:t>e</w:t>
                    </w:r>
                    <w:r>
                      <w:rPr>
                        <w:rFonts w:ascii="Trebuchet MS"/>
                        <w:w w:val="112"/>
                        <w:sz w:val="20"/>
                      </w:rPr>
                      <w:t>d</w:t>
                    </w:r>
                    <w:r>
                      <w:rPr>
                        <w:rFonts w:ascii="Trebuchet MS"/>
                        <w:w w:val="55"/>
                        <w:sz w:val="20"/>
                      </w:rPr>
                      <w:t>.</w:t>
                    </w:r>
                  </w:p>
                  <w:p>
                    <w:pPr>
                      <w:spacing w:line="247" w:lineRule="auto" w:before="87"/>
                      <w:ind w:left="0" w:right="200" w:firstLine="0"/>
                      <w:jc w:val="both"/>
                      <w:rPr>
                        <w:rFonts w:ascii="Trebuchet MS"/>
                        <w:sz w:val="20"/>
                      </w:rPr>
                    </w:pPr>
                    <w:r>
                      <w:rPr>
                        <w:rFonts w:ascii="Trebuchet MS"/>
                        <w:w w:val="105"/>
                        <w:sz w:val="20"/>
                      </w:rPr>
                      <w:t>The</w:t>
                    </w:r>
                    <w:r>
                      <w:rPr>
                        <w:rFonts w:ascii="Trebuchet MS"/>
                        <w:spacing w:val="-17"/>
                        <w:w w:val="105"/>
                        <w:sz w:val="20"/>
                      </w:rPr>
                      <w:t> </w:t>
                    </w:r>
                    <w:r>
                      <w:rPr>
                        <w:rFonts w:ascii="Trebuchet MS"/>
                        <w:w w:val="105"/>
                        <w:sz w:val="20"/>
                      </w:rPr>
                      <w:t>Courts</w:t>
                    </w:r>
                    <w:r>
                      <w:rPr>
                        <w:rFonts w:ascii="Trebuchet MS"/>
                        <w:spacing w:val="-16"/>
                        <w:w w:val="105"/>
                        <w:sz w:val="20"/>
                      </w:rPr>
                      <w:t> </w:t>
                    </w:r>
                    <w:r>
                      <w:rPr>
                        <w:rFonts w:ascii="Trebuchet MS"/>
                        <w:w w:val="105"/>
                        <w:sz w:val="20"/>
                      </w:rPr>
                      <w:t>and</w:t>
                    </w:r>
                    <w:r>
                      <w:rPr>
                        <w:rFonts w:ascii="Trebuchet MS"/>
                        <w:spacing w:val="-17"/>
                        <w:w w:val="105"/>
                        <w:sz w:val="20"/>
                      </w:rPr>
                      <w:t> </w:t>
                    </w:r>
                    <w:r>
                      <w:rPr>
                        <w:rFonts w:ascii="Trebuchet MS"/>
                        <w:w w:val="105"/>
                        <w:sz w:val="20"/>
                      </w:rPr>
                      <w:t>Juries</w:t>
                    </w:r>
                    <w:r>
                      <w:rPr>
                        <w:rFonts w:ascii="Trebuchet MS"/>
                        <w:spacing w:val="-16"/>
                        <w:w w:val="105"/>
                        <w:sz w:val="20"/>
                      </w:rPr>
                      <w:t> </w:t>
                    </w:r>
                    <w:r>
                      <w:rPr>
                        <w:rFonts w:ascii="Trebuchet MS"/>
                        <w:w w:val="105"/>
                        <w:sz w:val="20"/>
                      </w:rPr>
                      <w:t>Victoria</w:t>
                    </w:r>
                    <w:r>
                      <w:rPr>
                        <w:rFonts w:ascii="Trebuchet MS"/>
                        <w:spacing w:val="-17"/>
                        <w:w w:val="105"/>
                        <w:sz w:val="20"/>
                      </w:rPr>
                      <w:t> </w:t>
                    </w:r>
                    <w:r>
                      <w:rPr>
                        <w:rFonts w:ascii="Trebuchet MS"/>
                        <w:w w:val="105"/>
                        <w:sz w:val="20"/>
                      </w:rPr>
                      <w:t>should</w:t>
                    </w:r>
                    <w:r>
                      <w:rPr>
                        <w:rFonts w:ascii="Trebuchet MS"/>
                        <w:spacing w:val="-16"/>
                        <w:w w:val="105"/>
                        <w:sz w:val="20"/>
                      </w:rPr>
                      <w:t> </w:t>
                    </w:r>
                    <w:r>
                      <w:rPr>
                        <w:rFonts w:ascii="Trebuchet MS"/>
                        <w:spacing w:val="-3"/>
                        <w:w w:val="105"/>
                        <w:sz w:val="20"/>
                      </w:rPr>
                      <w:t>pay</w:t>
                    </w:r>
                    <w:r>
                      <w:rPr>
                        <w:rFonts w:ascii="Trebuchet MS"/>
                        <w:spacing w:val="-16"/>
                        <w:w w:val="105"/>
                        <w:sz w:val="20"/>
                      </w:rPr>
                      <w:t> </w:t>
                    </w:r>
                    <w:r>
                      <w:rPr>
                        <w:rFonts w:ascii="Trebuchet MS"/>
                        <w:w w:val="105"/>
                        <w:sz w:val="20"/>
                      </w:rPr>
                      <w:t>Auslan</w:t>
                    </w:r>
                    <w:r>
                      <w:rPr>
                        <w:rFonts w:ascii="Trebuchet MS"/>
                        <w:spacing w:val="-17"/>
                        <w:w w:val="105"/>
                        <w:sz w:val="20"/>
                      </w:rPr>
                      <w:t> </w:t>
                    </w:r>
                    <w:r>
                      <w:rPr>
                        <w:rFonts w:ascii="Trebuchet MS"/>
                        <w:spacing w:val="-3"/>
                        <w:w w:val="105"/>
                        <w:sz w:val="20"/>
                      </w:rPr>
                      <w:t>interpreters</w:t>
                    </w:r>
                    <w:r>
                      <w:rPr>
                        <w:rFonts w:ascii="Trebuchet MS"/>
                        <w:spacing w:val="-16"/>
                        <w:w w:val="105"/>
                        <w:sz w:val="20"/>
                      </w:rPr>
                      <w:t> </w:t>
                    </w:r>
                    <w:r>
                      <w:rPr>
                        <w:rFonts w:ascii="Trebuchet MS"/>
                        <w:w w:val="105"/>
                        <w:sz w:val="20"/>
                      </w:rPr>
                      <w:t>who</w:t>
                    </w:r>
                    <w:r>
                      <w:rPr>
                        <w:rFonts w:ascii="Trebuchet MS"/>
                        <w:spacing w:val="-17"/>
                        <w:w w:val="105"/>
                        <w:sz w:val="20"/>
                      </w:rPr>
                      <w:t> </w:t>
                    </w:r>
                    <w:r>
                      <w:rPr>
                        <w:rFonts w:ascii="Trebuchet MS"/>
                        <w:w w:val="105"/>
                        <w:sz w:val="20"/>
                      </w:rPr>
                      <w:t>undertake</w:t>
                    </w:r>
                    <w:r>
                      <w:rPr>
                        <w:rFonts w:ascii="Trebuchet MS"/>
                        <w:spacing w:val="-16"/>
                        <w:w w:val="105"/>
                        <w:sz w:val="20"/>
                      </w:rPr>
                      <w:t> </w:t>
                    </w:r>
                    <w:r>
                      <w:rPr>
                        <w:rFonts w:ascii="Trebuchet MS"/>
                        <w:w w:val="105"/>
                        <w:sz w:val="20"/>
                      </w:rPr>
                      <w:t>jury </w:t>
                    </w:r>
                    <w:r>
                      <w:rPr>
                        <w:rFonts w:ascii="Trebuchet MS"/>
                        <w:spacing w:val="-3"/>
                        <w:w w:val="105"/>
                        <w:sz w:val="20"/>
                      </w:rPr>
                      <w:t>work</w:t>
                    </w:r>
                    <w:r>
                      <w:rPr>
                        <w:rFonts w:ascii="Trebuchet MS"/>
                        <w:spacing w:val="-23"/>
                        <w:w w:val="105"/>
                        <w:sz w:val="20"/>
                      </w:rPr>
                      <w:t> </w:t>
                    </w:r>
                    <w:r>
                      <w:rPr>
                        <w:rFonts w:ascii="Trebuchet MS"/>
                        <w:w w:val="105"/>
                        <w:sz w:val="20"/>
                      </w:rPr>
                      <w:t>a</w:t>
                    </w:r>
                    <w:r>
                      <w:rPr>
                        <w:rFonts w:ascii="Trebuchet MS"/>
                        <w:spacing w:val="-22"/>
                        <w:w w:val="105"/>
                        <w:sz w:val="20"/>
                      </w:rPr>
                      <w:t> </w:t>
                    </w:r>
                    <w:r>
                      <w:rPr>
                        <w:rFonts w:ascii="Trebuchet MS"/>
                        <w:spacing w:val="-3"/>
                        <w:w w:val="105"/>
                        <w:sz w:val="20"/>
                      </w:rPr>
                      <w:t>rate</w:t>
                    </w:r>
                    <w:r>
                      <w:rPr>
                        <w:rFonts w:ascii="Trebuchet MS"/>
                        <w:spacing w:val="-23"/>
                        <w:w w:val="105"/>
                        <w:sz w:val="20"/>
                      </w:rPr>
                      <w:t> </w:t>
                    </w:r>
                    <w:r>
                      <w:rPr>
                        <w:rFonts w:ascii="Trebuchet MS"/>
                        <w:w w:val="105"/>
                        <w:sz w:val="20"/>
                      </w:rPr>
                      <w:t>that</w:t>
                    </w:r>
                    <w:r>
                      <w:rPr>
                        <w:rFonts w:ascii="Trebuchet MS"/>
                        <w:spacing w:val="-22"/>
                        <w:w w:val="105"/>
                        <w:sz w:val="20"/>
                      </w:rPr>
                      <w:t> </w:t>
                    </w:r>
                    <w:r>
                      <w:rPr>
                        <w:rFonts w:ascii="Trebuchet MS"/>
                        <w:w w:val="105"/>
                        <w:sz w:val="20"/>
                      </w:rPr>
                      <w:t>is</w:t>
                    </w:r>
                    <w:r>
                      <w:rPr>
                        <w:rFonts w:ascii="Trebuchet MS"/>
                        <w:spacing w:val="-23"/>
                        <w:w w:val="105"/>
                        <w:sz w:val="20"/>
                      </w:rPr>
                      <w:t> </w:t>
                    </w:r>
                    <w:r>
                      <w:rPr>
                        <w:rFonts w:ascii="Trebuchet MS"/>
                        <w:w w:val="105"/>
                        <w:sz w:val="20"/>
                      </w:rPr>
                      <w:t>commensurate</w:t>
                    </w:r>
                    <w:r>
                      <w:rPr>
                        <w:rFonts w:ascii="Trebuchet MS"/>
                        <w:spacing w:val="-22"/>
                        <w:w w:val="105"/>
                        <w:sz w:val="20"/>
                      </w:rPr>
                      <w:t> </w:t>
                    </w:r>
                    <w:r>
                      <w:rPr>
                        <w:rFonts w:ascii="Trebuchet MS"/>
                        <w:w w:val="105"/>
                        <w:sz w:val="20"/>
                      </w:rPr>
                      <w:t>of</w:t>
                    </w:r>
                    <w:r>
                      <w:rPr>
                        <w:rFonts w:ascii="Trebuchet MS"/>
                        <w:spacing w:val="-23"/>
                        <w:w w:val="105"/>
                        <w:sz w:val="20"/>
                      </w:rPr>
                      <w:t> </w:t>
                    </w:r>
                    <w:r>
                      <w:rPr>
                        <w:rFonts w:ascii="Trebuchet MS"/>
                        <w:w w:val="105"/>
                        <w:sz w:val="20"/>
                      </w:rPr>
                      <w:t>the</w:t>
                    </w:r>
                    <w:r>
                      <w:rPr>
                        <w:rFonts w:ascii="Trebuchet MS"/>
                        <w:spacing w:val="-22"/>
                        <w:w w:val="105"/>
                        <w:sz w:val="20"/>
                      </w:rPr>
                      <w:t> </w:t>
                    </w:r>
                    <w:r>
                      <w:rPr>
                        <w:rFonts w:ascii="Trebuchet MS"/>
                        <w:w w:val="105"/>
                        <w:sz w:val="20"/>
                      </w:rPr>
                      <w:t>skill</w:t>
                    </w:r>
                    <w:r>
                      <w:rPr>
                        <w:rFonts w:ascii="Trebuchet MS"/>
                        <w:spacing w:val="-23"/>
                        <w:w w:val="105"/>
                        <w:sz w:val="20"/>
                      </w:rPr>
                      <w:t> </w:t>
                    </w:r>
                    <w:r>
                      <w:rPr>
                        <w:rFonts w:ascii="Trebuchet MS"/>
                        <w:w w:val="105"/>
                        <w:sz w:val="20"/>
                      </w:rPr>
                      <w:t>required</w:t>
                    </w:r>
                    <w:r>
                      <w:rPr>
                        <w:rFonts w:ascii="Trebuchet MS"/>
                        <w:spacing w:val="-22"/>
                        <w:w w:val="105"/>
                        <w:sz w:val="20"/>
                      </w:rPr>
                      <w:t> </w:t>
                    </w:r>
                    <w:r>
                      <w:rPr>
                        <w:rFonts w:ascii="Trebuchet MS"/>
                        <w:w w:val="105"/>
                        <w:sz w:val="20"/>
                      </w:rPr>
                      <w:t>to</w:t>
                    </w:r>
                    <w:r>
                      <w:rPr>
                        <w:rFonts w:ascii="Trebuchet MS"/>
                        <w:spacing w:val="-23"/>
                        <w:w w:val="105"/>
                        <w:sz w:val="20"/>
                      </w:rPr>
                      <w:t> </w:t>
                    </w:r>
                    <w:r>
                      <w:rPr>
                        <w:rFonts w:ascii="Trebuchet MS"/>
                        <w:w w:val="105"/>
                        <w:sz w:val="20"/>
                      </w:rPr>
                      <w:t>perform</w:t>
                    </w:r>
                    <w:r>
                      <w:rPr>
                        <w:rFonts w:ascii="Trebuchet MS"/>
                        <w:spacing w:val="-22"/>
                        <w:w w:val="105"/>
                        <w:sz w:val="20"/>
                      </w:rPr>
                      <w:t> </w:t>
                    </w:r>
                    <w:r>
                      <w:rPr>
                        <w:rFonts w:ascii="Trebuchet MS"/>
                        <w:w w:val="105"/>
                        <w:sz w:val="20"/>
                      </w:rPr>
                      <w:t>the</w:t>
                    </w:r>
                    <w:r>
                      <w:rPr>
                        <w:rFonts w:ascii="Trebuchet MS"/>
                        <w:spacing w:val="-23"/>
                        <w:w w:val="105"/>
                        <w:sz w:val="20"/>
                      </w:rPr>
                      <w:t> </w:t>
                    </w:r>
                    <w:r>
                      <w:rPr>
                        <w:rFonts w:ascii="Trebuchet MS"/>
                        <w:spacing w:val="-3"/>
                        <w:w w:val="105"/>
                        <w:sz w:val="20"/>
                      </w:rPr>
                      <w:t>role</w:t>
                    </w:r>
                    <w:r>
                      <w:rPr>
                        <w:rFonts w:ascii="Trebuchet MS"/>
                        <w:spacing w:val="-22"/>
                        <w:w w:val="105"/>
                        <w:sz w:val="20"/>
                      </w:rPr>
                      <w:t> </w:t>
                    </w:r>
                    <w:r>
                      <w:rPr>
                        <w:rFonts w:ascii="Trebuchet MS"/>
                        <w:w w:val="105"/>
                        <w:sz w:val="20"/>
                      </w:rPr>
                      <w:t>and</w:t>
                    </w:r>
                    <w:r>
                      <w:rPr>
                        <w:rFonts w:ascii="Trebuchet MS"/>
                        <w:spacing w:val="-23"/>
                        <w:w w:val="105"/>
                        <w:sz w:val="20"/>
                      </w:rPr>
                      <w:t> </w:t>
                    </w:r>
                    <w:r>
                      <w:rPr>
                        <w:rFonts w:ascii="Trebuchet MS"/>
                        <w:w w:val="105"/>
                        <w:sz w:val="20"/>
                      </w:rPr>
                      <w:t>at</w:t>
                    </w:r>
                    <w:r>
                      <w:rPr>
                        <w:rFonts w:ascii="Trebuchet MS"/>
                        <w:spacing w:val="-22"/>
                        <w:w w:val="105"/>
                        <w:sz w:val="20"/>
                      </w:rPr>
                      <w:t> </w:t>
                    </w:r>
                    <w:r>
                      <w:rPr>
                        <w:rFonts w:ascii="Trebuchet MS"/>
                        <w:w w:val="105"/>
                        <w:sz w:val="20"/>
                      </w:rPr>
                      <w:t>a </w:t>
                    </w:r>
                    <w:r>
                      <w:rPr>
                        <w:rFonts w:ascii="Trebuchet MS"/>
                        <w:spacing w:val="-3"/>
                        <w:w w:val="96"/>
                        <w:sz w:val="20"/>
                      </w:rPr>
                      <w:t>l</w:t>
                    </w:r>
                    <w:r>
                      <w:rPr>
                        <w:rFonts w:ascii="Trebuchet MS"/>
                        <w:spacing w:val="-5"/>
                        <w:w w:val="108"/>
                        <w:sz w:val="20"/>
                      </w:rPr>
                      <w:t>e</w:t>
                    </w:r>
                    <w:r>
                      <w:rPr>
                        <w:rFonts w:ascii="Trebuchet MS"/>
                        <w:spacing w:val="-6"/>
                        <w:w w:val="109"/>
                        <w:sz w:val="20"/>
                      </w:rPr>
                      <w:t>v</w:t>
                    </w:r>
                    <w:r>
                      <w:rPr>
                        <w:rFonts w:ascii="Trebuchet MS"/>
                        <w:spacing w:val="-1"/>
                        <w:w w:val="108"/>
                        <w:sz w:val="20"/>
                      </w:rPr>
                      <w:t>e</w:t>
                    </w:r>
                    <w:r>
                      <w:rPr>
                        <w:rFonts w:ascii="Trebuchet MS"/>
                        <w:w w:val="96"/>
                        <w:sz w:val="20"/>
                      </w:rPr>
                      <w:t>l</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spacing w:val="-4"/>
                        <w:w w:val="105"/>
                        <w:sz w:val="20"/>
                      </w:rPr>
                      <w:t>a</w:t>
                    </w:r>
                    <w:r>
                      <w:rPr>
                        <w:rFonts w:ascii="Trebuchet MS"/>
                        <w:w w:val="88"/>
                        <w:sz w:val="20"/>
                      </w:rPr>
                      <w:t>t</w:t>
                    </w:r>
                    <w:r>
                      <w:rPr>
                        <w:rFonts w:ascii="Trebuchet MS"/>
                        <w:spacing w:val="-14"/>
                        <w:sz w:val="20"/>
                      </w:rPr>
                      <w:t> </w:t>
                    </w:r>
                    <w:r>
                      <w:rPr>
                        <w:rFonts w:ascii="Trebuchet MS"/>
                        <w:spacing w:val="-2"/>
                        <w:w w:val="110"/>
                        <w:sz w:val="20"/>
                      </w:rPr>
                      <w:t>w</w:t>
                    </w:r>
                    <w:r>
                      <w:rPr>
                        <w:rFonts w:ascii="Trebuchet MS"/>
                        <w:spacing w:val="-2"/>
                        <w:w w:val="80"/>
                        <w:sz w:val="20"/>
                      </w:rPr>
                      <w:t>i</w:t>
                    </w:r>
                    <w:r>
                      <w:rPr>
                        <w:rFonts w:ascii="Trebuchet MS"/>
                        <w:spacing w:val="-2"/>
                        <w:w w:val="96"/>
                        <w:sz w:val="20"/>
                      </w:rPr>
                      <w:t>l</w:t>
                    </w:r>
                    <w:r>
                      <w:rPr>
                        <w:rFonts w:ascii="Trebuchet MS"/>
                        <w:w w:val="96"/>
                        <w:sz w:val="20"/>
                      </w:rPr>
                      <w:t>l</w:t>
                    </w:r>
                    <w:r>
                      <w:rPr>
                        <w:rFonts w:ascii="Trebuchet MS"/>
                        <w:spacing w:val="-14"/>
                        <w:sz w:val="20"/>
                      </w:rPr>
                      <w:t> </w:t>
                    </w:r>
                    <w:r>
                      <w:rPr>
                        <w:rFonts w:ascii="Trebuchet MS"/>
                        <w:spacing w:val="-4"/>
                        <w:w w:val="93"/>
                        <w:sz w:val="20"/>
                      </w:rPr>
                      <w:t>r</w:t>
                    </w:r>
                    <w:r>
                      <w:rPr>
                        <w:rFonts w:ascii="Trebuchet MS"/>
                        <w:spacing w:val="-3"/>
                        <w:w w:val="108"/>
                        <w:sz w:val="20"/>
                      </w:rPr>
                      <w:t>e</w:t>
                    </w:r>
                    <w:r>
                      <w:rPr>
                        <w:rFonts w:ascii="Trebuchet MS"/>
                        <w:w w:val="88"/>
                        <w:sz w:val="20"/>
                      </w:rPr>
                      <w:t>t</w:t>
                    </w:r>
                    <w:r>
                      <w:rPr>
                        <w:rFonts w:ascii="Trebuchet MS"/>
                        <w:spacing w:val="-2"/>
                        <w:w w:val="105"/>
                        <w:sz w:val="20"/>
                      </w:rPr>
                      <w:t>a</w:t>
                    </w:r>
                    <w:r>
                      <w:rPr>
                        <w:rFonts w:ascii="Trebuchet MS"/>
                        <w:spacing w:val="-2"/>
                        <w:w w:val="80"/>
                        <w:sz w:val="20"/>
                      </w:rPr>
                      <w:t>i</w:t>
                    </w:r>
                    <w:r>
                      <w:rPr>
                        <w:rFonts w:ascii="Trebuchet MS"/>
                        <w:w w:val="107"/>
                        <w:sz w:val="20"/>
                      </w:rPr>
                      <w:t>n</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4"/>
                        <w:w w:val="105"/>
                        <w:sz w:val="20"/>
                      </w:rPr>
                      <w:t>a</w:t>
                    </w:r>
                    <w:r>
                      <w:rPr>
                        <w:rFonts w:ascii="Trebuchet MS"/>
                        <w:spacing w:val="-1"/>
                        <w:w w:val="88"/>
                        <w:sz w:val="20"/>
                      </w:rPr>
                      <w:t>t</w:t>
                    </w:r>
                    <w:r>
                      <w:rPr>
                        <w:rFonts w:ascii="Trebuchet MS"/>
                        <w:spacing w:val="-2"/>
                        <w:w w:val="88"/>
                        <w:sz w:val="20"/>
                      </w:rPr>
                      <w:t>t</w:t>
                    </w:r>
                    <w:r>
                      <w:rPr>
                        <w:rFonts w:ascii="Trebuchet MS"/>
                        <w:spacing w:val="-2"/>
                        <w:w w:val="93"/>
                        <w:sz w:val="20"/>
                      </w:rPr>
                      <w:t>r</w:t>
                    </w:r>
                    <w:r>
                      <w:rPr>
                        <w:rFonts w:ascii="Trebuchet MS"/>
                        <w:spacing w:val="-2"/>
                        <w:w w:val="108"/>
                        <w:sz w:val="20"/>
                      </w:rPr>
                      <w:t>ac</w:t>
                    </w:r>
                    <w:r>
                      <w:rPr>
                        <w:rFonts w:ascii="Trebuchet MS"/>
                        <w:w w:val="88"/>
                        <w:sz w:val="20"/>
                      </w:rPr>
                      <w:t>t</w:t>
                    </w:r>
                    <w:r>
                      <w:rPr>
                        <w:rFonts w:ascii="Trebuchet MS"/>
                        <w:spacing w:val="-14"/>
                        <w:sz w:val="20"/>
                      </w:rPr>
                      <w:t> </w:t>
                    </w:r>
                    <w:r>
                      <w:rPr>
                        <w:rFonts w:ascii="Trebuchet MS"/>
                        <w:spacing w:val="-4"/>
                        <w:w w:val="114"/>
                        <w:sz w:val="20"/>
                      </w:rPr>
                      <w:t>A</w:t>
                    </w:r>
                    <w:r>
                      <w:rPr>
                        <w:rFonts w:ascii="Trebuchet MS"/>
                        <w:spacing w:val="-1"/>
                        <w:w w:val="109"/>
                        <w:sz w:val="20"/>
                      </w:rPr>
                      <w:t>u</w:t>
                    </w:r>
                    <w:r>
                      <w:rPr>
                        <w:rFonts w:ascii="Trebuchet MS"/>
                        <w:spacing w:val="-2"/>
                        <w:w w:val="122"/>
                        <w:sz w:val="20"/>
                      </w:rPr>
                      <w:t>s</w:t>
                    </w:r>
                    <w:r>
                      <w:rPr>
                        <w:rFonts w:ascii="Trebuchet MS"/>
                        <w:spacing w:val="1"/>
                        <w:w w:val="96"/>
                        <w:sz w:val="20"/>
                      </w:rPr>
                      <w:t>l</w:t>
                    </w:r>
                    <w:r>
                      <w:rPr>
                        <w:rFonts w:ascii="Trebuchet MS"/>
                        <w:spacing w:val="-2"/>
                        <w:w w:val="105"/>
                        <w:sz w:val="20"/>
                      </w:rPr>
                      <w:t>a</w:t>
                    </w:r>
                    <w:r>
                      <w:rPr>
                        <w:rFonts w:ascii="Trebuchet MS"/>
                        <w:w w:val="107"/>
                        <w:sz w:val="20"/>
                      </w:rPr>
                      <w:t>n</w:t>
                    </w:r>
                    <w:r>
                      <w:rPr>
                        <w:rFonts w:ascii="Trebuchet MS"/>
                        <w:spacing w:val="-14"/>
                        <w:sz w:val="20"/>
                      </w:rPr>
                      <w:t> </w:t>
                    </w:r>
                    <w:r>
                      <w:rPr>
                        <w:rFonts w:ascii="Trebuchet MS"/>
                        <w:spacing w:val="-2"/>
                        <w:w w:val="80"/>
                        <w:sz w:val="20"/>
                      </w:rPr>
                      <w:t>i</w:t>
                    </w:r>
                    <w:r>
                      <w:rPr>
                        <w:rFonts w:ascii="Trebuchet MS"/>
                        <w:spacing w:val="-4"/>
                        <w:w w:val="107"/>
                        <w:sz w:val="20"/>
                      </w:rPr>
                      <w:t>n</w:t>
                    </w:r>
                    <w:r>
                      <w:rPr>
                        <w:rFonts w:ascii="Trebuchet MS"/>
                        <w:spacing w:val="-4"/>
                        <w:w w:val="88"/>
                        <w:sz w:val="20"/>
                      </w:rPr>
                      <w:t>t</w:t>
                    </w:r>
                    <w:r>
                      <w:rPr>
                        <w:rFonts w:ascii="Trebuchet MS"/>
                        <w:spacing w:val="-1"/>
                        <w:w w:val="108"/>
                        <w:sz w:val="20"/>
                      </w:rPr>
                      <w:t>e</w:t>
                    </w:r>
                    <w:r>
                      <w:rPr>
                        <w:rFonts w:ascii="Trebuchet MS"/>
                        <w:spacing w:val="-2"/>
                        <w:w w:val="93"/>
                        <w:sz w:val="20"/>
                      </w:rPr>
                      <w:t>r</w:t>
                    </w:r>
                    <w:r>
                      <w:rPr>
                        <w:rFonts w:ascii="Trebuchet MS"/>
                        <w:spacing w:val="-1"/>
                        <w:w w:val="111"/>
                        <w:sz w:val="20"/>
                      </w:rPr>
                      <w:t>p</w:t>
                    </w:r>
                    <w:r>
                      <w:rPr>
                        <w:rFonts w:ascii="Trebuchet MS"/>
                        <w:spacing w:val="-4"/>
                        <w:w w:val="93"/>
                        <w:sz w:val="20"/>
                      </w:rPr>
                      <w:t>r</w:t>
                    </w:r>
                    <w:r>
                      <w:rPr>
                        <w:rFonts w:ascii="Trebuchet MS"/>
                        <w:spacing w:val="-3"/>
                        <w:w w:val="108"/>
                        <w:sz w:val="20"/>
                      </w:rPr>
                      <w:t>e</w:t>
                    </w:r>
                    <w:r>
                      <w:rPr>
                        <w:rFonts w:ascii="Trebuchet MS"/>
                        <w:spacing w:val="-4"/>
                        <w:w w:val="88"/>
                        <w:sz w:val="20"/>
                      </w:rPr>
                      <w:t>t</w:t>
                    </w:r>
                    <w:r>
                      <w:rPr>
                        <w:rFonts w:ascii="Trebuchet MS"/>
                        <w:spacing w:val="-1"/>
                        <w:w w:val="108"/>
                        <w:sz w:val="20"/>
                      </w:rPr>
                      <w:t>e</w:t>
                    </w:r>
                    <w:r>
                      <w:rPr>
                        <w:rFonts w:ascii="Trebuchet MS"/>
                        <w:spacing w:val="-1"/>
                        <w:w w:val="93"/>
                        <w:sz w:val="20"/>
                      </w:rPr>
                      <w:t>r</w:t>
                    </w:r>
                    <w:r>
                      <w:rPr>
                        <w:rFonts w:ascii="Trebuchet MS"/>
                        <w:w w:val="122"/>
                        <w:sz w:val="20"/>
                      </w:rPr>
                      <w:t>s</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2"/>
                        <w:w w:val="112"/>
                        <w:sz w:val="20"/>
                      </w:rPr>
                      <w:t>d</w:t>
                    </w:r>
                    <w:r>
                      <w:rPr>
                        <w:rFonts w:ascii="Trebuchet MS"/>
                        <w:w w:val="111"/>
                        <w:sz w:val="20"/>
                      </w:rPr>
                      <w:t>o</w:t>
                    </w:r>
                    <w:r>
                      <w:rPr>
                        <w:rFonts w:ascii="Trebuchet MS"/>
                        <w:spacing w:val="-14"/>
                        <w:sz w:val="20"/>
                      </w:rPr>
                      <w:t> </w:t>
                    </w:r>
                    <w:r>
                      <w:rPr>
                        <w:rFonts w:ascii="Trebuchet MS"/>
                        <w:spacing w:val="-2"/>
                        <w:w w:val="88"/>
                        <w:sz w:val="20"/>
                      </w:rPr>
                      <w:t>t</w:t>
                    </w:r>
                    <w:r>
                      <w:rPr>
                        <w:rFonts w:ascii="Trebuchet MS"/>
                        <w:spacing w:val="-2"/>
                        <w:w w:val="107"/>
                        <w:sz w:val="20"/>
                      </w:rPr>
                      <w:t>h</w:t>
                    </w:r>
                    <w:r>
                      <w:rPr>
                        <w:rFonts w:ascii="Trebuchet MS"/>
                        <w:spacing w:val="-1"/>
                        <w:w w:val="80"/>
                        <w:sz w:val="20"/>
                      </w:rPr>
                      <w:t>i</w:t>
                    </w:r>
                    <w:r>
                      <w:rPr>
                        <w:rFonts w:ascii="Trebuchet MS"/>
                        <w:w w:val="122"/>
                        <w:sz w:val="20"/>
                      </w:rPr>
                      <w:t>s</w:t>
                    </w:r>
                    <w:r>
                      <w:rPr>
                        <w:rFonts w:ascii="Trebuchet MS"/>
                        <w:spacing w:val="-14"/>
                        <w:sz w:val="20"/>
                      </w:rPr>
                      <w:t> </w:t>
                    </w:r>
                    <w:r>
                      <w:rPr>
                        <w:rFonts w:ascii="Trebuchet MS"/>
                        <w:w w:val="88"/>
                        <w:sz w:val="20"/>
                      </w:rPr>
                      <w:t>t</w:t>
                    </w:r>
                    <w:r>
                      <w:rPr>
                        <w:rFonts w:ascii="Trebuchet MS"/>
                        <w:spacing w:val="-2"/>
                        <w:w w:val="111"/>
                        <w:sz w:val="20"/>
                      </w:rPr>
                      <w:t>y</w:t>
                    </w:r>
                    <w:r>
                      <w:rPr>
                        <w:rFonts w:ascii="Trebuchet MS"/>
                        <w:spacing w:val="-1"/>
                        <w:w w:val="111"/>
                        <w:sz w:val="20"/>
                      </w:rPr>
                      <w:t>p</w:t>
                    </w:r>
                    <w:r>
                      <w:rPr>
                        <w:rFonts w:ascii="Trebuchet MS"/>
                        <w:w w:val="108"/>
                        <w:sz w:val="20"/>
                      </w:rPr>
                      <w:t>e</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6"/>
                        <w:w w:val="110"/>
                        <w:sz w:val="20"/>
                      </w:rPr>
                      <w:t>w</w:t>
                    </w:r>
                    <w:r>
                      <w:rPr>
                        <w:rFonts w:ascii="Trebuchet MS"/>
                        <w:spacing w:val="-1"/>
                        <w:w w:val="111"/>
                        <w:sz w:val="20"/>
                      </w:rPr>
                      <w:t>o</w:t>
                    </w:r>
                    <w:r>
                      <w:rPr>
                        <w:rFonts w:ascii="Trebuchet MS"/>
                        <w:spacing w:val="-2"/>
                        <w:w w:val="93"/>
                        <w:sz w:val="20"/>
                      </w:rPr>
                      <w:t>r</w:t>
                    </w:r>
                    <w:r>
                      <w:rPr>
                        <w:rFonts w:ascii="Trebuchet MS"/>
                        <w:spacing w:val="1"/>
                        <w:w w:val="106"/>
                        <w:sz w:val="20"/>
                      </w:rPr>
                      <w:t>k</w:t>
                    </w:r>
                    <w:r>
                      <w:rPr>
                        <w:rFonts w:ascii="Trebuchet MS"/>
                        <w:w w:val="55"/>
                        <w:sz w:val="20"/>
                      </w:rPr>
                      <w:t>.</w:t>
                    </w:r>
                  </w:p>
                </w:txbxContent>
              </v:textbox>
              <w10:wrap type="none"/>
            </v:shape>
            <v:shape style="position:absolute;left:1814;top:1344;width:287;height:1605" type="#_x0000_t202" filled="false" stroked="false">
              <v:textbox inset="0,0,0,0">
                <w:txbxContent>
                  <w:p>
                    <w:pPr>
                      <w:spacing w:before="0"/>
                      <w:ind w:left="0" w:right="0" w:firstLine="0"/>
                      <w:jc w:val="left"/>
                      <w:rPr>
                        <w:rFonts w:ascii="Trebuchet MS"/>
                        <w:sz w:val="20"/>
                      </w:rPr>
                    </w:pPr>
                    <w:r>
                      <w:rPr>
                        <w:rFonts w:ascii="Trebuchet MS"/>
                        <w:sz w:val="20"/>
                      </w:rPr>
                      <w:t>27.</w:t>
                    </w:r>
                  </w:p>
                  <w:p>
                    <w:pPr>
                      <w:spacing w:line="240" w:lineRule="auto" w:before="0"/>
                      <w:rPr>
                        <w:sz w:val="22"/>
                      </w:rPr>
                    </w:pPr>
                  </w:p>
                  <w:p>
                    <w:pPr>
                      <w:spacing w:line="240" w:lineRule="auto" w:before="3"/>
                      <w:rPr>
                        <w:sz w:val="19"/>
                      </w:rPr>
                    </w:pPr>
                  </w:p>
                  <w:p>
                    <w:pPr>
                      <w:spacing w:before="1"/>
                      <w:ind w:left="0" w:right="0" w:firstLine="0"/>
                      <w:jc w:val="left"/>
                      <w:rPr>
                        <w:rFonts w:ascii="Trebuchet MS"/>
                        <w:sz w:val="20"/>
                      </w:rPr>
                    </w:pPr>
                    <w:r>
                      <w:rPr>
                        <w:rFonts w:ascii="Trebuchet MS"/>
                        <w:w w:val="95"/>
                        <w:sz w:val="20"/>
                      </w:rPr>
                      <w:t>28.</w:t>
                    </w:r>
                  </w:p>
                  <w:p>
                    <w:pPr>
                      <w:spacing w:line="240" w:lineRule="auto" w:before="13"/>
                      <w:rPr>
                        <w:sz w:val="23"/>
                      </w:rPr>
                    </w:pPr>
                  </w:p>
                  <w:p>
                    <w:pPr>
                      <w:spacing w:before="0"/>
                      <w:ind w:left="0" w:right="0" w:firstLine="0"/>
                      <w:jc w:val="left"/>
                      <w:rPr>
                        <w:rFonts w:ascii="Trebuchet MS"/>
                        <w:sz w:val="20"/>
                      </w:rPr>
                    </w:pPr>
                    <w:r>
                      <w:rPr>
                        <w:rFonts w:ascii="Trebuchet MS"/>
                        <w:w w:val="95"/>
                        <w:sz w:val="20"/>
                      </w:rPr>
                      <w:t>29.</w:t>
                    </w:r>
                  </w:p>
                </w:txbxContent>
              </v:textbox>
              <w10:wrap type="none"/>
            </v:shape>
            <v:shape style="position:absolute;left:1587;top:311;width:8731;height:783" type="#_x0000_t202" filled="true" fillcolor="#dddfe4" stroked="false">
              <v:textbox inset="0,0,0,0">
                <w:txbxContent>
                  <w:p>
                    <w:pPr>
                      <w:spacing w:before="158"/>
                      <w:ind w:left="226" w:right="0" w:firstLine="0"/>
                      <w:jc w:val="left"/>
                      <w:rPr>
                        <w:rFonts w:ascii="Raleway ExtraBold"/>
                        <w:b/>
                        <w:sz w:val="32"/>
                      </w:rPr>
                    </w:pPr>
                    <w:r>
                      <w:rPr>
                        <w:rFonts w:ascii="Raleway ExtraBold"/>
                        <w:b/>
                        <w:color w:val="37617A"/>
                        <w:sz w:val="32"/>
                      </w:rPr>
                      <w:t>Recommendations</w:t>
                    </w:r>
                  </w:p>
                </w:txbxContent>
              </v:textbox>
              <v:fill type="solid"/>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1"/>
        </w:rPr>
      </w:pPr>
      <w:r>
        <w:rPr/>
        <w:pict>
          <v:line style="position:absolute;mso-position-horizontal-relative:page;mso-position-vertical-relative:paragraph;z-index:8840;mso-wrap-distance-left:0;mso-wrap-distance-right:0" from="79.370102pt,10.115500pt" to="515.905102pt,10.115500pt" stroked="true" strokeweight="1pt" strokecolor="#b6bdc8">
            <v:stroke dashstyle="solid"/>
            <w10:wrap type="topAndBottom"/>
          </v:line>
        </w:pict>
      </w:r>
    </w:p>
    <w:p>
      <w:pPr>
        <w:tabs>
          <w:tab w:pos="967" w:val="left" w:leader="none"/>
          <w:tab w:pos="1760" w:val="left" w:leader="none"/>
        </w:tabs>
        <w:spacing w:line="297" w:lineRule="exact" w:before="0"/>
        <w:ind w:left="100" w:right="0" w:firstLine="0"/>
        <w:jc w:val="left"/>
        <w:rPr>
          <w:sz w:val="13"/>
        </w:rPr>
      </w:pPr>
      <w:r>
        <w:rPr>
          <w:b/>
          <w:color w:val="37617A"/>
          <w:sz w:val="24"/>
        </w:rPr>
        <w:t>168</w:t>
        <w:tab/>
      </w:r>
      <w:r>
        <w:rPr>
          <w:sz w:val="13"/>
        </w:rPr>
        <w:t>89</w:t>
        <w:tab/>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w:t>
      </w:r>
      <w:r>
        <w:rPr>
          <w:spacing w:val="4"/>
          <w:sz w:val="13"/>
        </w:rPr>
        <w:t> </w:t>
      </w:r>
      <w:r>
        <w:rPr>
          <w:sz w:val="13"/>
        </w:rPr>
        <w:t>States).</w:t>
      </w:r>
    </w:p>
    <w:p>
      <w:pPr>
        <w:spacing w:after="0" w:line="297" w:lineRule="exact"/>
        <w:jc w:val="left"/>
        <w:rPr>
          <w:sz w:val="13"/>
        </w:rPr>
        <w:sectPr>
          <w:pgSz w:w="11910" w:h="16840"/>
          <w:pgMar w:header="567" w:footer="0" w:top="860" w:bottom="280" w:left="620" w:right="380"/>
        </w:sectPr>
      </w:pPr>
    </w:p>
    <w:p>
      <w:pPr>
        <w:pStyle w:val="BodyText"/>
        <w:rPr>
          <w:sz w:val="11"/>
        </w:rPr>
      </w:pPr>
      <w:r>
        <w:rPr/>
        <w:pict>
          <v:rect style="position:absolute;margin-left:0pt;margin-top:0pt;width:595.276001pt;height:841.890015pt;mso-position-horizontal-relative:page;mso-position-vertical-relative:page;z-index:-349384" filled="true" fillcolor="#37617a" stroked="false">
            <v:fill type="solid"/>
            <w10:wrap type="none"/>
          </v:rect>
        </w:pict>
      </w:r>
    </w:p>
    <w:p>
      <w:pPr>
        <w:spacing w:line="688" w:lineRule="exact" w:before="0"/>
        <w:ind w:left="0" w:right="745" w:firstLine="0"/>
        <w:jc w:val="right"/>
        <w:rPr>
          <w:rFonts w:ascii="Raleway SemiBold"/>
          <w:b/>
          <w:sz w:val="50"/>
        </w:rPr>
      </w:pPr>
      <w:r>
        <w:rPr/>
        <w:pict>
          <v:shape style="position:absolute;margin-left:418.54071pt;margin-top:-3.3143pt;width:120.9pt;height:152.65pt;mso-position-horizontal-relative:page;mso-position-vertical-relative:paragraph;z-index:-349360" type="#_x0000_t202" filled="false" stroked="false">
            <v:textbox inset="0,0,0,0">
              <w:txbxContent>
                <w:p>
                  <w:pPr>
                    <w:spacing w:line="3052" w:lineRule="exact" w:before="0"/>
                    <w:ind w:left="0" w:right="0" w:firstLine="0"/>
                    <w:jc w:val="left"/>
                    <w:rPr>
                      <w:b/>
                      <w:sz w:val="260"/>
                    </w:rPr>
                  </w:pPr>
                  <w:r>
                    <w:rPr>
                      <w:b/>
                      <w:color w:val="FFFFFF"/>
                      <w:spacing w:val="-154"/>
                      <w:sz w:val="260"/>
                    </w:rPr>
                    <w:t>15</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5"/>
        <w:rPr>
          <w:rFonts w:ascii="Raleway SemiBold"/>
          <w:b/>
          <w:sz w:val="17"/>
        </w:rPr>
      </w:pPr>
    </w:p>
    <w:p>
      <w:pPr>
        <w:spacing w:line="180" w:lineRule="auto" w:before="166"/>
        <w:ind w:left="967" w:right="1476" w:firstLine="0"/>
        <w:jc w:val="left"/>
        <w:rPr>
          <w:rFonts w:ascii="Raleway ExtraBold"/>
          <w:b/>
          <w:sz w:val="88"/>
        </w:rPr>
      </w:pPr>
      <w:r>
        <w:rPr>
          <w:rFonts w:ascii="Raleway ExtraBold"/>
          <w:b/>
          <w:color w:val="FFFFFF"/>
          <w:spacing w:val="-23"/>
          <w:sz w:val="88"/>
        </w:rPr>
        <w:t>Accessibility </w:t>
      </w:r>
      <w:r>
        <w:rPr>
          <w:rFonts w:ascii="Raleway ExtraBold"/>
          <w:b/>
          <w:color w:val="FFFFFF"/>
          <w:spacing w:val="-15"/>
          <w:sz w:val="88"/>
        </w:rPr>
        <w:t>officers </w:t>
      </w:r>
      <w:r>
        <w:rPr>
          <w:rFonts w:ascii="Raleway ExtraBold"/>
          <w:b/>
          <w:color w:val="FFFFFF"/>
          <w:spacing w:val="-14"/>
          <w:sz w:val="88"/>
        </w:rPr>
        <w:t>and </w:t>
      </w:r>
      <w:r>
        <w:rPr>
          <w:rFonts w:ascii="Raleway ExtraBold"/>
          <w:b/>
          <w:color w:val="FFFFFF"/>
          <w:spacing w:val="-18"/>
          <w:sz w:val="88"/>
        </w:rPr>
        <w:t>support </w:t>
      </w:r>
      <w:r>
        <w:rPr>
          <w:rFonts w:ascii="Raleway ExtraBold"/>
          <w:b/>
          <w:color w:val="FFFFFF"/>
          <w:spacing w:val="-22"/>
          <w:sz w:val="88"/>
        </w:rPr>
        <w:t>persons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7"/>
        <w:rPr>
          <w:rFonts w:ascii="Raleway ExtraBold"/>
          <w:b/>
          <w:sz w:val="14"/>
        </w:rPr>
      </w:pPr>
    </w:p>
    <w:tbl>
      <w:tblPr>
        <w:tblW w:w="0" w:type="auto"/>
        <w:jc w:val="left"/>
        <w:tblInd w:w="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5"/>
        <w:gridCol w:w="8544"/>
      </w:tblGrid>
      <w:tr>
        <w:trPr>
          <w:trHeight w:val="336" w:hRule="atLeast"/>
        </w:trPr>
        <w:tc>
          <w:tcPr>
            <w:tcW w:w="475" w:type="dxa"/>
            <w:tcBorders>
              <w:bottom w:val="single" w:sz="18" w:space="0" w:color="8F9DAD"/>
            </w:tcBorders>
            <w:shd w:val="clear" w:color="auto" w:fill="37617A"/>
          </w:tcPr>
          <w:p>
            <w:pPr>
              <w:pStyle w:val="TableParagraph"/>
              <w:spacing w:line="282" w:lineRule="exact" w:before="0"/>
              <w:ind w:left="0"/>
              <w:rPr>
                <w:b/>
                <w:sz w:val="24"/>
              </w:rPr>
            </w:pPr>
            <w:hyperlink w:history="true" w:anchor="_bookmark123">
              <w:r>
                <w:rPr>
                  <w:b/>
                  <w:color w:val="FFFFFF"/>
                  <w:sz w:val="24"/>
                </w:rPr>
                <w:t>170</w:t>
              </w:r>
            </w:hyperlink>
          </w:p>
        </w:tc>
        <w:tc>
          <w:tcPr>
            <w:tcW w:w="8544" w:type="dxa"/>
            <w:shd w:val="clear" w:color="auto" w:fill="37617A"/>
          </w:tcPr>
          <w:p>
            <w:pPr>
              <w:pStyle w:val="TableParagraph"/>
              <w:spacing w:line="282" w:lineRule="exact" w:before="0"/>
              <w:ind w:left="91"/>
              <w:rPr>
                <w:b/>
                <w:sz w:val="24"/>
              </w:rPr>
            </w:pPr>
            <w:hyperlink w:history="true" w:anchor="_bookmark123">
              <w:r>
                <w:rPr>
                  <w:b/>
                  <w:color w:val="FFFFFF"/>
                  <w:sz w:val="24"/>
                </w:rPr>
                <w:t>Overview</w:t>
              </w:r>
            </w:hyperlink>
          </w:p>
        </w:tc>
      </w:tr>
      <w:tr>
        <w:trPr>
          <w:trHeight w:val="428" w:hRule="atLeast"/>
        </w:trPr>
        <w:tc>
          <w:tcPr>
            <w:tcW w:w="475"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23">
              <w:r>
                <w:rPr>
                  <w:b/>
                  <w:color w:val="FFFFFF"/>
                  <w:sz w:val="24"/>
                </w:rPr>
                <w:t>170</w:t>
              </w:r>
            </w:hyperlink>
          </w:p>
        </w:tc>
        <w:tc>
          <w:tcPr>
            <w:tcW w:w="8544" w:type="dxa"/>
            <w:shd w:val="clear" w:color="auto" w:fill="37617A"/>
          </w:tcPr>
          <w:p>
            <w:pPr>
              <w:pStyle w:val="TableParagraph"/>
              <w:ind w:left="91"/>
              <w:rPr>
                <w:b/>
                <w:sz w:val="24"/>
              </w:rPr>
            </w:pPr>
            <w:hyperlink w:history="true" w:anchor="_bookmark123">
              <w:r>
                <w:rPr>
                  <w:b/>
                  <w:color w:val="FFFFFF"/>
                  <w:sz w:val="24"/>
                </w:rPr>
                <w:t>A new accessibility officer role</w:t>
              </w:r>
            </w:hyperlink>
          </w:p>
        </w:tc>
      </w:tr>
      <w:tr>
        <w:trPr>
          <w:trHeight w:val="428" w:hRule="atLeast"/>
        </w:trPr>
        <w:tc>
          <w:tcPr>
            <w:tcW w:w="475"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25">
              <w:r>
                <w:rPr>
                  <w:b/>
                  <w:color w:val="FFFFFF"/>
                  <w:sz w:val="24"/>
                </w:rPr>
                <w:t>172</w:t>
              </w:r>
            </w:hyperlink>
          </w:p>
        </w:tc>
        <w:tc>
          <w:tcPr>
            <w:tcW w:w="8544" w:type="dxa"/>
            <w:shd w:val="clear" w:color="auto" w:fill="37617A"/>
          </w:tcPr>
          <w:p>
            <w:pPr>
              <w:pStyle w:val="TableParagraph"/>
              <w:ind w:left="91"/>
              <w:rPr>
                <w:b/>
                <w:sz w:val="24"/>
              </w:rPr>
            </w:pPr>
            <w:hyperlink w:history="true" w:anchor="_bookmark125">
              <w:r>
                <w:rPr>
                  <w:b/>
                  <w:color w:val="FFFFFF"/>
                  <w:sz w:val="24"/>
                </w:rPr>
                <w:t>Support persons</w:t>
              </w:r>
            </w:hyperlink>
          </w:p>
        </w:tc>
      </w:tr>
      <w:tr>
        <w:trPr>
          <w:trHeight w:val="428" w:hRule="atLeast"/>
        </w:trPr>
        <w:tc>
          <w:tcPr>
            <w:tcW w:w="475"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27">
              <w:r>
                <w:rPr>
                  <w:b/>
                  <w:color w:val="FFFFFF"/>
                  <w:sz w:val="24"/>
                </w:rPr>
                <w:t>175</w:t>
              </w:r>
            </w:hyperlink>
          </w:p>
        </w:tc>
        <w:tc>
          <w:tcPr>
            <w:tcW w:w="8544" w:type="dxa"/>
            <w:shd w:val="clear" w:color="auto" w:fill="37617A"/>
          </w:tcPr>
          <w:p>
            <w:pPr>
              <w:pStyle w:val="TableParagraph"/>
              <w:ind w:left="91"/>
              <w:rPr>
                <w:b/>
                <w:sz w:val="24"/>
              </w:rPr>
            </w:pPr>
            <w:hyperlink w:history="true" w:anchor="_bookmark127">
              <w:r>
                <w:rPr>
                  <w:b/>
                  <w:color w:val="FFFFFF"/>
                  <w:sz w:val="24"/>
                </w:rPr>
                <w:t>The Act should allow for the appointment of a support person</w:t>
              </w:r>
            </w:hyperlink>
          </w:p>
        </w:tc>
      </w:tr>
      <w:tr>
        <w:trPr>
          <w:trHeight w:val="788" w:hRule="atLeast"/>
        </w:trPr>
        <w:tc>
          <w:tcPr>
            <w:tcW w:w="475"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29">
              <w:r>
                <w:rPr>
                  <w:b/>
                  <w:color w:val="FFFFFF"/>
                  <w:sz w:val="24"/>
                </w:rPr>
                <w:t>177</w:t>
              </w:r>
            </w:hyperlink>
          </w:p>
        </w:tc>
        <w:tc>
          <w:tcPr>
            <w:tcW w:w="8544" w:type="dxa"/>
            <w:shd w:val="clear" w:color="auto" w:fill="37617A"/>
          </w:tcPr>
          <w:p>
            <w:pPr>
              <w:pStyle w:val="TableParagraph"/>
              <w:ind w:left="91"/>
              <w:rPr>
                <w:b/>
                <w:sz w:val="24"/>
              </w:rPr>
            </w:pPr>
            <w:hyperlink w:history="true" w:anchor="_bookmark129">
              <w:r>
                <w:rPr>
                  <w:b/>
                  <w:color w:val="FFFFFF"/>
                  <w:sz w:val="24"/>
                </w:rPr>
                <w:t>New</w:t>
              </w:r>
              <w:r>
                <w:rPr>
                  <w:b/>
                  <w:color w:val="FFFFFF"/>
                  <w:spacing w:val="-8"/>
                  <w:sz w:val="24"/>
                </w:rPr>
                <w:t> </w:t>
              </w:r>
              <w:r>
                <w:rPr>
                  <w:b/>
                  <w:color w:val="FFFFFF"/>
                  <w:sz w:val="24"/>
                </w:rPr>
                <w:t>offences</w:t>
              </w:r>
              <w:r>
                <w:rPr>
                  <w:b/>
                  <w:color w:val="FFFFFF"/>
                  <w:spacing w:val="-7"/>
                  <w:sz w:val="24"/>
                </w:rPr>
                <w:t> </w:t>
              </w:r>
              <w:r>
                <w:rPr>
                  <w:b/>
                  <w:color w:val="FFFFFF"/>
                  <w:sz w:val="24"/>
                </w:rPr>
                <w:t>should</w:t>
              </w:r>
              <w:r>
                <w:rPr>
                  <w:b/>
                  <w:color w:val="FFFFFF"/>
                  <w:spacing w:val="-7"/>
                  <w:sz w:val="24"/>
                </w:rPr>
                <w:t> </w:t>
              </w:r>
              <w:r>
                <w:rPr>
                  <w:b/>
                  <w:color w:val="FFFFFF"/>
                  <w:sz w:val="24"/>
                </w:rPr>
                <w:t>exist</w:t>
              </w:r>
              <w:r>
                <w:rPr>
                  <w:b/>
                  <w:color w:val="FFFFFF"/>
                  <w:spacing w:val="-7"/>
                  <w:sz w:val="24"/>
                </w:rPr>
                <w:t> </w:t>
              </w:r>
              <w:r>
                <w:rPr>
                  <w:b/>
                  <w:color w:val="FFFFFF"/>
                  <w:sz w:val="24"/>
                </w:rPr>
                <w:t>for</w:t>
              </w:r>
              <w:r>
                <w:rPr>
                  <w:b/>
                  <w:color w:val="FFFFFF"/>
                  <w:spacing w:val="-8"/>
                  <w:sz w:val="24"/>
                </w:rPr>
                <w:t> </w:t>
              </w:r>
              <w:r>
                <w:rPr>
                  <w:b/>
                  <w:color w:val="FFFFFF"/>
                  <w:sz w:val="24"/>
                </w:rPr>
                <w:t>Auslan</w:t>
              </w:r>
              <w:r>
                <w:rPr>
                  <w:b/>
                  <w:color w:val="FFFFFF"/>
                  <w:spacing w:val="-7"/>
                  <w:sz w:val="24"/>
                </w:rPr>
                <w:t> </w:t>
              </w:r>
              <w:r>
                <w:rPr>
                  <w:b/>
                  <w:color w:val="FFFFFF"/>
                  <w:sz w:val="24"/>
                </w:rPr>
                <w:t>interpreters</w:t>
              </w:r>
              <w:r>
                <w:rPr>
                  <w:b/>
                  <w:color w:val="FFFFFF"/>
                  <w:spacing w:val="-7"/>
                  <w:sz w:val="24"/>
                </w:rPr>
                <w:t> </w:t>
              </w:r>
              <w:r>
                <w:rPr>
                  <w:b/>
                  <w:color w:val="FFFFFF"/>
                  <w:sz w:val="24"/>
                </w:rPr>
                <w:t>or</w:t>
              </w:r>
              <w:r>
                <w:rPr>
                  <w:b/>
                  <w:color w:val="FFFFFF"/>
                  <w:spacing w:val="-7"/>
                  <w:sz w:val="24"/>
                </w:rPr>
                <w:t> </w:t>
              </w:r>
              <w:r>
                <w:rPr>
                  <w:b/>
                  <w:color w:val="FFFFFF"/>
                  <w:sz w:val="24"/>
                </w:rPr>
                <w:t>support</w:t>
              </w:r>
              <w:r>
                <w:rPr>
                  <w:b/>
                  <w:color w:val="FFFFFF"/>
                  <w:spacing w:val="-7"/>
                  <w:sz w:val="24"/>
                </w:rPr>
                <w:t> </w:t>
              </w:r>
              <w:r>
                <w:rPr>
                  <w:b/>
                  <w:color w:val="FFFFFF"/>
                  <w:sz w:val="24"/>
                </w:rPr>
                <w:t>persons</w:t>
              </w:r>
              <w:r>
                <w:rPr>
                  <w:b/>
                  <w:color w:val="FFFFFF"/>
                  <w:spacing w:val="-8"/>
                  <w:sz w:val="24"/>
                </w:rPr>
                <w:t> </w:t>
              </w:r>
              <w:r>
                <w:rPr>
                  <w:b/>
                  <w:color w:val="FFFFFF"/>
                  <w:sz w:val="24"/>
                </w:rPr>
                <w:t>who</w:t>
              </w:r>
            </w:hyperlink>
          </w:p>
          <w:p>
            <w:pPr>
              <w:pStyle w:val="TableParagraph"/>
              <w:spacing w:before="27"/>
              <w:ind w:left="91"/>
              <w:rPr>
                <w:b/>
                <w:sz w:val="24"/>
              </w:rPr>
            </w:pPr>
            <w:hyperlink w:history="true" w:anchor="_bookmark129">
              <w:r>
                <w:rPr>
                  <w:b/>
                  <w:color w:val="FFFFFF"/>
                  <w:sz w:val="24"/>
                </w:rPr>
                <w:t>breach their duties to the court</w:t>
              </w:r>
            </w:hyperlink>
          </w:p>
        </w:tc>
      </w:tr>
    </w:tbl>
    <w:p>
      <w:pPr>
        <w:spacing w:after="0"/>
        <w:rPr>
          <w:sz w:val="24"/>
        </w:rPr>
        <w:sectPr>
          <w:headerReference w:type="default" r:id="rId227"/>
          <w:headerReference w:type="even" r:id="rId228"/>
          <w:pgSz w:w="11910" w:h="16840"/>
          <w:pgMar w:header="0" w:footer="0" w:top="480" w:bottom="280" w:left="620" w:right="380"/>
        </w:sectPr>
      </w:pPr>
    </w:p>
    <w:p>
      <w:pPr>
        <w:pStyle w:val="BodyText"/>
        <w:rPr>
          <w:rFonts w:ascii="Raleway ExtraBold"/>
          <w:b/>
        </w:rPr>
      </w:pPr>
    </w:p>
    <w:p>
      <w:pPr>
        <w:pStyle w:val="BodyText"/>
        <w:rPr>
          <w:rFonts w:ascii="Raleway ExtraBold"/>
          <w:b/>
        </w:rPr>
      </w:pPr>
    </w:p>
    <w:p>
      <w:pPr>
        <w:pStyle w:val="BodyText"/>
        <w:spacing w:before="2"/>
        <w:rPr>
          <w:rFonts w:ascii="Raleway ExtraBold"/>
          <w:b/>
          <w:sz w:val="25"/>
        </w:rPr>
      </w:pPr>
    </w:p>
    <w:p>
      <w:pPr>
        <w:pStyle w:val="ListParagraph"/>
        <w:numPr>
          <w:ilvl w:val="0"/>
          <w:numId w:val="12"/>
        </w:numPr>
        <w:tabs>
          <w:tab w:pos="1105" w:val="left" w:leader="none"/>
        </w:tabs>
        <w:spacing w:line="184" w:lineRule="auto" w:before="129" w:after="0"/>
        <w:ind w:left="230" w:right="3144" w:firstLine="0"/>
        <w:jc w:val="left"/>
        <w:rPr>
          <w:rFonts w:ascii="Raleway ExtraBold"/>
          <w:b/>
          <w:sz w:val="56"/>
        </w:rPr>
      </w:pPr>
      <w:bookmarkStart w:name="15. Accessibility officers and support p" w:id="290"/>
      <w:bookmarkEnd w:id="290"/>
      <w:r>
        <w:rPr/>
      </w:r>
      <w:bookmarkStart w:name="Overview" w:id="291"/>
      <w:bookmarkEnd w:id="291"/>
      <w:r>
        <w:rPr/>
      </w:r>
      <w:bookmarkStart w:name="A new accessibility officer role" w:id="292"/>
      <w:bookmarkEnd w:id="292"/>
      <w:r>
        <w:rPr/>
      </w:r>
      <w:bookmarkStart w:name="_bookmark123" w:id="293"/>
      <w:bookmarkEnd w:id="293"/>
      <w:r>
        <w:rPr/>
      </w:r>
      <w:bookmarkStart w:name="_bookmark123" w:id="294"/>
      <w:bookmarkEnd w:id="294"/>
      <w:r>
        <w:rPr>
          <w:rFonts w:ascii="Raleway ExtraBold"/>
          <w:b/>
          <w:color w:val="37617A"/>
          <w:spacing w:val="-5"/>
          <w:sz w:val="56"/>
        </w:rPr>
        <w:t>A</w:t>
      </w:r>
      <w:r>
        <w:rPr>
          <w:rFonts w:ascii="Raleway ExtraBold"/>
          <w:b/>
          <w:color w:val="37617A"/>
          <w:spacing w:val="-5"/>
          <w:sz w:val="56"/>
        </w:rPr>
        <w:t>ccessibility </w:t>
      </w:r>
      <w:r>
        <w:rPr>
          <w:rFonts w:ascii="Raleway ExtraBold"/>
          <w:b/>
          <w:color w:val="37617A"/>
          <w:spacing w:val="-3"/>
          <w:sz w:val="56"/>
        </w:rPr>
        <w:t>officers</w:t>
      </w:r>
      <w:r>
        <w:rPr>
          <w:rFonts w:ascii="Raleway ExtraBold"/>
          <w:b/>
          <w:color w:val="37617A"/>
          <w:spacing w:val="-80"/>
          <w:sz w:val="56"/>
        </w:rPr>
        <w:t> </w:t>
      </w:r>
      <w:r>
        <w:rPr>
          <w:rFonts w:ascii="Raleway ExtraBold"/>
          <w:b/>
          <w:color w:val="37617A"/>
          <w:sz w:val="56"/>
        </w:rPr>
        <w:t>and </w:t>
      </w:r>
      <w:r>
        <w:rPr>
          <w:rFonts w:ascii="Raleway ExtraBold"/>
          <w:b/>
          <w:color w:val="37617A"/>
          <w:spacing w:val="-3"/>
          <w:sz w:val="56"/>
        </w:rPr>
        <w:t>support</w:t>
      </w:r>
      <w:r>
        <w:rPr>
          <w:rFonts w:ascii="Raleway ExtraBold"/>
          <w:b/>
          <w:color w:val="37617A"/>
          <w:sz w:val="56"/>
        </w:rPr>
        <w:t> </w:t>
      </w:r>
      <w:r>
        <w:rPr>
          <w:rFonts w:ascii="Raleway ExtraBold"/>
          <w:b/>
          <w:color w:val="37617A"/>
          <w:spacing w:val="-3"/>
          <w:sz w:val="56"/>
        </w:rPr>
        <w:t>persons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3"/>
        <w:rPr>
          <w:rFonts w:ascii="Raleway ExtraBold"/>
          <w:b/>
          <w:sz w:val="14"/>
        </w:rPr>
      </w:pPr>
      <w:r>
        <w:rPr/>
        <w:pict>
          <v:line style="position:absolute;mso-position-horizontal-relative:page;mso-position-vertical-relative:paragraph;z-index:8912;mso-wrap-distance-left:0;mso-wrap-distance-right:0" from="79.370102pt,12.58884pt" to="515.905102pt,12.58884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1806" w:right="2044" w:firstLine="0"/>
        <w:jc w:val="center"/>
        <w:rPr>
          <w:rFonts w:ascii="Trebuchet MS" w:hAnsi="Trebuchet MS"/>
          <w:sz w:val="19"/>
        </w:rPr>
      </w:pPr>
      <w:r>
        <w:rPr>
          <w:rFonts w:ascii="Trebuchet MS" w:hAnsi="Trebuchet MS"/>
          <w:i/>
          <w:color w:val="37617A"/>
          <w:sz w:val="20"/>
        </w:rPr>
        <w:t>The court needs to be able to provide a support person to assist people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4"/>
          <w:w w:val="84"/>
          <w:sz w:val="20"/>
        </w:rPr>
        <w:t>r</w:t>
      </w:r>
      <w:r>
        <w:rPr>
          <w:rFonts w:ascii="Trebuchet MS" w:hAnsi="Trebuchet MS"/>
          <w:i/>
          <w:color w:val="37617A"/>
          <w:w w:val="107"/>
          <w:sz w:val="20"/>
        </w:rPr>
        <w:t>o</w:t>
      </w:r>
      <w:r>
        <w:rPr>
          <w:rFonts w:ascii="Trebuchet MS" w:hAnsi="Trebuchet MS"/>
          <w:i/>
          <w:color w:val="37617A"/>
          <w:spacing w:val="-1"/>
          <w:w w:val="103"/>
          <w:sz w:val="20"/>
        </w:rPr>
        <w:t>u</w:t>
      </w:r>
      <w:r>
        <w:rPr>
          <w:rFonts w:ascii="Trebuchet MS" w:hAnsi="Trebuchet MS"/>
          <w:i/>
          <w:color w:val="37617A"/>
          <w:w w:val="119"/>
          <w:sz w:val="20"/>
        </w:rPr>
        <w:t>g</w:t>
      </w:r>
      <w:r>
        <w:rPr>
          <w:rFonts w:ascii="Trebuchet MS" w:hAnsi="Trebuchet MS"/>
          <w:i/>
          <w:color w:val="37617A"/>
          <w:spacing w:val="-1"/>
          <w:w w:val="101"/>
          <w:sz w:val="20"/>
        </w:rPr>
        <w:t>h</w:t>
      </w:r>
      <w:r>
        <w:rPr>
          <w:rFonts w:ascii="Trebuchet MS" w:hAnsi="Trebuchet MS"/>
          <w:i/>
          <w:color w:val="37617A"/>
          <w:w w:val="107"/>
          <w:sz w:val="20"/>
        </w:rPr>
        <w:t>o</w:t>
      </w:r>
      <w:r>
        <w:rPr>
          <w:rFonts w:ascii="Trebuchet MS" w:hAnsi="Trebuchet MS"/>
          <w:i/>
          <w:color w:val="37617A"/>
          <w:spacing w:val="-1"/>
          <w:w w:val="93"/>
          <w:sz w:val="20"/>
        </w:rPr>
        <w:t>u</w:t>
      </w:r>
      <w:r>
        <w:rPr>
          <w:rFonts w:ascii="Trebuchet MS" w:hAnsi="Trebuchet MS"/>
          <w:i/>
          <w:color w:val="37617A"/>
          <w:w w:val="93"/>
          <w:sz w:val="20"/>
        </w:rPr>
        <w:t>t</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spacing w:val="-4"/>
          <w:w w:val="84"/>
          <w:sz w:val="20"/>
        </w:rPr>
        <w:t>r</w:t>
      </w:r>
      <w:r>
        <w:rPr>
          <w:rFonts w:ascii="Trebuchet MS" w:hAnsi="Trebuchet MS"/>
          <w:i/>
          <w:color w:val="37617A"/>
          <w:w w:val="107"/>
          <w:sz w:val="20"/>
        </w:rPr>
        <w:t>o</w:t>
      </w:r>
      <w:r>
        <w:rPr>
          <w:rFonts w:ascii="Trebuchet MS" w:hAnsi="Trebuchet MS"/>
          <w:i/>
          <w:color w:val="37617A"/>
          <w:spacing w:val="-1"/>
          <w:w w:val="115"/>
          <w:sz w:val="20"/>
        </w:rPr>
        <w:t>c</w:t>
      </w:r>
      <w:r>
        <w:rPr>
          <w:rFonts w:ascii="Trebuchet MS" w:hAnsi="Trebuchet MS"/>
          <w:i/>
          <w:color w:val="37617A"/>
          <w:w w:val="100"/>
          <w:sz w:val="20"/>
        </w:rPr>
        <w:t>e</w:t>
      </w:r>
      <w:r>
        <w:rPr>
          <w:rFonts w:ascii="Trebuchet MS" w:hAnsi="Trebuchet MS"/>
          <w:i/>
          <w:color w:val="37617A"/>
          <w:w w:val="117"/>
          <w:sz w:val="20"/>
        </w:rPr>
        <w:t>ss</w:t>
      </w:r>
      <w:r>
        <w:rPr>
          <w:rFonts w:ascii="Trebuchet MS" w:hAnsi="Trebuchet MS"/>
          <w:i/>
          <w:color w:val="37617A"/>
          <w:spacing w:val="-13"/>
          <w:sz w:val="20"/>
        </w:rPr>
        <w:t> </w:t>
      </w:r>
      <w:r>
        <w:rPr>
          <w:rFonts w:ascii="Trebuchet MS" w:hAnsi="Trebuchet MS"/>
          <w:i/>
          <w:color w:val="37617A"/>
          <w:w w:val="152"/>
          <w:sz w:val="20"/>
        </w:rPr>
        <w:t>–</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spacing w:val="-1"/>
          <w:w w:val="101"/>
          <w:sz w:val="20"/>
        </w:rPr>
        <w:t>h</w:t>
      </w:r>
      <w:r>
        <w:rPr>
          <w:rFonts w:ascii="Trebuchet MS" w:hAnsi="Trebuchet MS"/>
          <w:i/>
          <w:color w:val="37617A"/>
          <w:spacing w:val="-4"/>
          <w:w w:val="107"/>
          <w:sz w:val="20"/>
        </w:rPr>
        <w:t>o</w:t>
      </w:r>
      <w:r>
        <w:rPr>
          <w:rFonts w:ascii="Trebuchet MS" w:hAnsi="Trebuchet MS"/>
          <w:i/>
          <w:color w:val="37617A"/>
          <w:w w:val="103"/>
          <w:sz w:val="20"/>
        </w:rPr>
        <w:t>w</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w w:val="106"/>
          <w:sz w:val="20"/>
        </w:rPr>
        <w:t>m</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
          <w:w w:val="117"/>
          <w:sz w:val="20"/>
        </w:rPr>
        <w:t>s</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4"/>
          <w:w w:val="84"/>
          <w:sz w:val="20"/>
        </w:rPr>
        <w:t>r</w:t>
      </w:r>
      <w:r>
        <w:rPr>
          <w:rFonts w:ascii="Trebuchet MS" w:hAnsi="Trebuchet MS"/>
          <w:i/>
          <w:color w:val="37617A"/>
          <w:w w:val="107"/>
          <w:sz w:val="20"/>
        </w:rPr>
        <w:t>oo</w:t>
      </w:r>
      <w:r>
        <w:rPr>
          <w:rFonts w:ascii="Trebuchet MS" w:hAnsi="Trebuchet MS"/>
          <w:i/>
          <w:color w:val="37617A"/>
          <w:w w:val="106"/>
          <w:sz w:val="20"/>
        </w:rPr>
        <w:t>m</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3"/>
          <w:w w:val="84"/>
          <w:sz w:val="20"/>
        </w:rPr>
        <w:t>r</w:t>
      </w:r>
      <w:r>
        <w:rPr>
          <w:rFonts w:ascii="Trebuchet MS" w:hAnsi="Trebuchet MS"/>
          <w:i/>
          <w:color w:val="37617A"/>
          <w:spacing w:val="2"/>
          <w:w w:val="100"/>
          <w:sz w:val="20"/>
        </w:rPr>
        <w:t>e</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
          <w:w w:val="87"/>
          <w:sz w:val="20"/>
        </w:rPr>
        <w:t>l</w:t>
      </w:r>
      <w:r>
        <w:rPr>
          <w:rFonts w:ascii="Trebuchet MS" w:hAnsi="Trebuchet MS"/>
          <w:i/>
          <w:color w:val="37617A"/>
          <w:w w:val="107"/>
          <w:sz w:val="20"/>
        </w:rPr>
        <w:t>p</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w w:val="106"/>
          <w:sz w:val="20"/>
        </w:rPr>
        <w:t>m </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1"/>
          <w:w w:val="106"/>
          <w:sz w:val="20"/>
        </w:rPr>
        <w:t>m</w:t>
      </w:r>
      <w:r>
        <w:rPr>
          <w:rFonts w:ascii="Trebuchet MS" w:hAnsi="Trebuchet MS"/>
          <w:i/>
          <w:color w:val="37617A"/>
          <w:w w:val="100"/>
          <w:sz w:val="20"/>
        </w:rPr>
        <w:t>e</w:t>
      </w:r>
      <w:r>
        <w:rPr>
          <w:rFonts w:ascii="Trebuchet MS" w:hAnsi="Trebuchet MS"/>
          <w:i/>
          <w:color w:val="37617A"/>
          <w:w w:val="115"/>
          <w:sz w:val="20"/>
        </w:rPr>
        <w:t>a</w:t>
      </w:r>
      <w:r>
        <w:rPr>
          <w:rFonts w:ascii="Trebuchet MS" w:hAnsi="Trebuchet MS"/>
          <w:i/>
          <w:color w:val="37617A"/>
          <w:spacing w:val="-4"/>
          <w:w w:val="87"/>
          <w:sz w:val="20"/>
        </w:rPr>
        <w:t>l</w:t>
      </w:r>
      <w:r>
        <w:rPr>
          <w:rFonts w:ascii="Trebuchet MS" w:hAnsi="Trebuchet MS"/>
          <w:i/>
          <w:color w:val="37617A"/>
          <w:spacing w:val="-1"/>
          <w:w w:val="80"/>
          <w:sz w:val="20"/>
        </w:rPr>
        <w:t>t</w:t>
      </w:r>
      <w:r>
        <w:rPr>
          <w:rFonts w:ascii="Trebuchet MS" w:hAnsi="Trebuchet MS"/>
          <w:i/>
          <w:color w:val="37617A"/>
          <w:w w:val="73"/>
          <w:sz w:val="20"/>
        </w:rPr>
        <w:t>i</w:t>
      </w:r>
      <w:r>
        <w:rPr>
          <w:rFonts w:ascii="Trebuchet MS" w:hAnsi="Trebuchet MS"/>
          <w:i/>
          <w:color w:val="37617A"/>
          <w:spacing w:val="-1"/>
          <w:w w:val="106"/>
          <w:sz w:val="20"/>
        </w:rPr>
        <w:t>m</w:t>
      </w:r>
      <w:r>
        <w:rPr>
          <w:rFonts w:ascii="Trebuchet MS" w:hAnsi="Trebuchet MS"/>
          <w:i/>
          <w:color w:val="37617A"/>
          <w:w w:val="100"/>
          <w:sz w:val="20"/>
        </w:rPr>
        <w:t>e</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100"/>
          <w:sz w:val="20"/>
        </w:rPr>
        <w:t>e</w:t>
      </w:r>
      <w:r>
        <w:rPr>
          <w:rFonts w:ascii="Trebuchet MS" w:hAnsi="Trebuchet MS"/>
          <w:i/>
          <w:color w:val="37617A"/>
          <w:spacing w:val="-4"/>
          <w:w w:val="80"/>
          <w:sz w:val="20"/>
        </w:rPr>
        <w:t>t</w:t>
      </w:r>
      <w:r>
        <w:rPr>
          <w:rFonts w:ascii="Trebuchet MS" w:hAnsi="Trebuchet MS"/>
          <w:i/>
          <w:color w:val="37617A"/>
          <w:spacing w:val="2"/>
          <w:w w:val="115"/>
          <w:sz w:val="20"/>
        </w:rPr>
        <w:t>c</w:t>
      </w:r>
      <w:r>
        <w:rPr>
          <w:rFonts w:ascii="Trebuchet MS" w:hAnsi="Trebuchet MS"/>
          <w:i/>
          <w:color w:val="37617A"/>
          <w:w w:val="54"/>
          <w:sz w:val="20"/>
        </w:rPr>
        <w:t>.</w:t>
      </w:r>
      <w:r>
        <w:rPr>
          <w:rFonts w:ascii="Trebuchet MS" w:hAnsi="Trebuchet MS"/>
          <w:i/>
          <w:color w:val="37617A"/>
          <w:spacing w:val="4"/>
          <w:w w:val="87"/>
          <w:position w:val="7"/>
          <w:sz w:val="11"/>
        </w:rPr>
        <w:t>1</w:t>
      </w:r>
      <w:r>
        <w:rPr>
          <w:rFonts w:ascii="Trebuchet MS" w:hAnsi="Trebuchet MS"/>
          <w:color w:val="37617A"/>
          <w:spacing w:val="1"/>
          <w:w w:val="124"/>
          <w:sz w:val="19"/>
        </w:rPr>
        <w:t>—</w:t>
      </w:r>
      <w:r>
        <w:rPr>
          <w:rFonts w:ascii="Trebuchet MS" w:hAnsi="Trebuchet MS"/>
          <w:color w:val="37617A"/>
          <w:spacing w:val="-1"/>
          <w:w w:val="111"/>
          <w:sz w:val="19"/>
        </w:rPr>
        <w:t>P</w:t>
      </w:r>
      <w:r>
        <w:rPr>
          <w:rFonts w:ascii="Trebuchet MS" w:hAnsi="Trebuchet MS"/>
          <w:color w:val="37617A"/>
          <w:w w:val="100"/>
          <w:sz w:val="19"/>
        </w:rPr>
        <w:t>a</w:t>
      </w:r>
      <w:r>
        <w:rPr>
          <w:rFonts w:ascii="Trebuchet MS" w:hAnsi="Trebuchet MS"/>
          <w:color w:val="37617A"/>
          <w:spacing w:val="3"/>
          <w:w w:val="100"/>
          <w:sz w:val="19"/>
        </w:rPr>
        <w:t>r</w:t>
      </w:r>
      <w:r>
        <w:rPr>
          <w:rFonts w:ascii="Trebuchet MS" w:hAnsi="Trebuchet MS"/>
          <w:color w:val="37617A"/>
          <w:w w:val="85"/>
          <w:sz w:val="19"/>
        </w:rPr>
        <w:t>ti</w:t>
      </w:r>
      <w:r>
        <w:rPr>
          <w:rFonts w:ascii="Trebuchet MS" w:hAnsi="Trebuchet MS"/>
          <w:color w:val="37617A"/>
          <w:spacing w:val="-1"/>
          <w:w w:val="111"/>
          <w:sz w:val="19"/>
        </w:rPr>
        <w:t>c</w:t>
      </w:r>
      <w:r>
        <w:rPr>
          <w:rFonts w:ascii="Trebuchet MS" w:hAnsi="Trebuchet MS"/>
          <w:color w:val="37617A"/>
          <w:spacing w:val="-1"/>
          <w:w w:val="80"/>
          <w:sz w:val="19"/>
        </w:rPr>
        <w:t>i</w:t>
      </w:r>
      <w:r>
        <w:rPr>
          <w:rFonts w:ascii="Trebuchet MS" w:hAnsi="Trebuchet MS"/>
          <w:color w:val="37617A"/>
          <w:w w:val="111"/>
          <w:sz w:val="19"/>
        </w:rPr>
        <w:t>p</w:t>
      </w:r>
      <w:r>
        <w:rPr>
          <w:rFonts w:ascii="Trebuchet MS" w:hAnsi="Trebuchet MS"/>
          <w:color w:val="37617A"/>
          <w:w w:val="106"/>
          <w:sz w:val="19"/>
        </w:rPr>
        <w:t>a</w:t>
      </w:r>
      <w:r>
        <w:rPr>
          <w:rFonts w:ascii="Trebuchet MS" w:hAnsi="Trebuchet MS"/>
          <w:color w:val="37617A"/>
          <w:spacing w:val="-2"/>
          <w:w w:val="106"/>
          <w:sz w:val="19"/>
        </w:rPr>
        <w:t>n</w:t>
      </w:r>
      <w:r>
        <w:rPr>
          <w:rFonts w:ascii="Trebuchet MS" w:hAnsi="Trebuchet MS"/>
          <w:color w:val="37617A"/>
          <w:w w:val="88"/>
          <w:sz w:val="19"/>
        </w:rPr>
        <w:t>t</w:t>
      </w:r>
      <w:r>
        <w:rPr>
          <w:rFonts w:ascii="Trebuchet MS" w:hAnsi="Trebuchet MS"/>
          <w:color w:val="37617A"/>
          <w:spacing w:val="-12"/>
          <w:sz w:val="19"/>
        </w:rPr>
        <w:t> </w:t>
      </w:r>
      <w:r>
        <w:rPr>
          <w:rFonts w:ascii="Trebuchet MS" w:hAnsi="Trebuchet MS"/>
          <w:color w:val="37617A"/>
          <w:spacing w:val="-1"/>
          <w:w w:val="80"/>
          <w:sz w:val="19"/>
        </w:rPr>
        <w:t>i</w:t>
      </w:r>
      <w:r>
        <w:rPr>
          <w:rFonts w:ascii="Trebuchet MS" w:hAnsi="Trebuchet MS"/>
          <w:color w:val="37617A"/>
          <w:w w:val="107"/>
          <w:sz w:val="19"/>
        </w:rPr>
        <w:t>n</w:t>
      </w:r>
      <w:r>
        <w:rPr>
          <w:rFonts w:ascii="Trebuchet MS" w:hAnsi="Trebuchet MS"/>
          <w:color w:val="37617A"/>
          <w:spacing w:val="-12"/>
          <w:sz w:val="19"/>
        </w:rPr>
        <w:t> </w:t>
      </w:r>
      <w:r>
        <w:rPr>
          <w:rFonts w:ascii="Trebuchet MS" w:hAnsi="Trebuchet MS"/>
          <w:color w:val="37617A"/>
          <w:w w:val="99"/>
          <w:sz w:val="19"/>
        </w:rPr>
        <w:t>th</w:t>
      </w:r>
      <w:r>
        <w:rPr>
          <w:rFonts w:ascii="Trebuchet MS" w:hAnsi="Trebuchet MS"/>
          <w:color w:val="37617A"/>
          <w:w w:val="108"/>
          <w:sz w:val="19"/>
        </w:rPr>
        <w:t>e</w:t>
      </w:r>
      <w:r>
        <w:rPr>
          <w:rFonts w:ascii="Trebuchet MS" w:hAnsi="Trebuchet MS"/>
          <w:color w:val="37617A"/>
          <w:spacing w:val="-12"/>
          <w:sz w:val="19"/>
        </w:rPr>
        <w:t> </w:t>
      </w:r>
      <w:r>
        <w:rPr>
          <w:rFonts w:ascii="Trebuchet MS" w:hAnsi="Trebuchet MS"/>
          <w:color w:val="37617A"/>
          <w:spacing w:val="1"/>
          <w:w w:val="118"/>
          <w:sz w:val="19"/>
        </w:rPr>
        <w:t>B</w:t>
      </w:r>
      <w:r>
        <w:rPr>
          <w:rFonts w:ascii="Trebuchet MS" w:hAnsi="Trebuchet MS"/>
          <w:color w:val="37617A"/>
          <w:spacing w:val="1"/>
          <w:w w:val="96"/>
          <w:sz w:val="19"/>
        </w:rPr>
        <w:t>l</w:t>
      </w:r>
      <w:r>
        <w:rPr>
          <w:rFonts w:ascii="Trebuchet MS" w:hAnsi="Trebuchet MS"/>
          <w:color w:val="37617A"/>
          <w:spacing w:val="-1"/>
          <w:w w:val="80"/>
          <w:sz w:val="19"/>
        </w:rPr>
        <w:t>i</w:t>
      </w:r>
      <w:r>
        <w:rPr>
          <w:rFonts w:ascii="Trebuchet MS" w:hAnsi="Trebuchet MS"/>
          <w:color w:val="37617A"/>
          <w:w w:val="107"/>
          <w:sz w:val="19"/>
        </w:rPr>
        <w:t>n</w:t>
      </w:r>
      <w:r>
        <w:rPr>
          <w:rFonts w:ascii="Trebuchet MS" w:hAnsi="Trebuchet MS"/>
          <w:color w:val="37617A"/>
          <w:w w:val="112"/>
          <w:sz w:val="19"/>
        </w:rPr>
        <w:t>d</w:t>
      </w:r>
      <w:r>
        <w:rPr>
          <w:rFonts w:ascii="Trebuchet MS" w:hAnsi="Trebuchet MS"/>
          <w:color w:val="37617A"/>
          <w:spacing w:val="-12"/>
          <w:sz w:val="19"/>
        </w:rPr>
        <w:t> </w:t>
      </w:r>
      <w:r>
        <w:rPr>
          <w:rFonts w:ascii="Trebuchet MS" w:hAnsi="Trebuchet MS"/>
          <w:color w:val="37617A"/>
          <w:spacing w:val="-1"/>
          <w:w w:val="114"/>
          <w:sz w:val="19"/>
        </w:rPr>
        <w:t>C</w:t>
      </w:r>
      <w:r>
        <w:rPr>
          <w:rFonts w:ascii="Trebuchet MS" w:hAnsi="Trebuchet MS"/>
          <w:color w:val="37617A"/>
          <w:spacing w:val="-1"/>
          <w:w w:val="80"/>
          <w:sz w:val="19"/>
        </w:rPr>
        <w:t>i</w:t>
      </w:r>
      <w:r>
        <w:rPr>
          <w:rFonts w:ascii="Trebuchet MS" w:hAnsi="Trebuchet MS"/>
          <w:color w:val="37617A"/>
          <w:w w:val="85"/>
          <w:sz w:val="19"/>
        </w:rPr>
        <w:t>t</w:t>
      </w:r>
      <w:r>
        <w:rPr>
          <w:rFonts w:ascii="Trebuchet MS" w:hAnsi="Trebuchet MS"/>
          <w:color w:val="37617A"/>
          <w:spacing w:val="-2"/>
          <w:w w:val="85"/>
          <w:sz w:val="19"/>
        </w:rPr>
        <w:t>i</w:t>
      </w:r>
      <w:r>
        <w:rPr>
          <w:rFonts w:ascii="Trebuchet MS" w:hAnsi="Trebuchet MS"/>
          <w:color w:val="37617A"/>
          <w:spacing w:val="-5"/>
          <w:w w:val="103"/>
          <w:sz w:val="19"/>
        </w:rPr>
        <w:t>z</w:t>
      </w:r>
      <w:r>
        <w:rPr>
          <w:rFonts w:ascii="Trebuchet MS" w:hAnsi="Trebuchet MS"/>
          <w:color w:val="37617A"/>
          <w:w w:val="108"/>
          <w:sz w:val="19"/>
        </w:rPr>
        <w:t>e</w:t>
      </w:r>
      <w:r>
        <w:rPr>
          <w:rFonts w:ascii="Trebuchet MS" w:hAnsi="Trebuchet MS"/>
          <w:color w:val="37617A"/>
          <w:w w:val="113"/>
          <w:sz w:val="19"/>
        </w:rPr>
        <w:t>ns</w:t>
      </w:r>
      <w:r>
        <w:rPr>
          <w:rFonts w:ascii="Trebuchet MS" w:hAnsi="Trebuchet MS"/>
          <w:color w:val="37617A"/>
          <w:spacing w:val="-12"/>
          <w:sz w:val="19"/>
        </w:rPr>
        <w:t> </w:t>
      </w:r>
      <w:r>
        <w:rPr>
          <w:rFonts w:ascii="Trebuchet MS" w:hAnsi="Trebuchet MS"/>
          <w:color w:val="37617A"/>
          <w:spacing w:val="-2"/>
          <w:w w:val="114"/>
          <w:sz w:val="19"/>
        </w:rPr>
        <w:t>A</w:t>
      </w:r>
      <w:r>
        <w:rPr>
          <w:rFonts w:ascii="Trebuchet MS" w:hAnsi="Trebuchet MS"/>
          <w:color w:val="37617A"/>
          <w:w w:val="109"/>
          <w:sz w:val="19"/>
        </w:rPr>
        <w:t>u</w:t>
      </w:r>
      <w:r>
        <w:rPr>
          <w:rFonts w:ascii="Trebuchet MS" w:hAnsi="Trebuchet MS"/>
          <w:color w:val="37617A"/>
          <w:w w:val="122"/>
          <w:sz w:val="19"/>
        </w:rPr>
        <w:t>s</w:t>
      </w:r>
      <w:r>
        <w:rPr>
          <w:rFonts w:ascii="Trebuchet MS" w:hAnsi="Trebuchet MS"/>
          <w:color w:val="37617A"/>
          <w:w w:val="91"/>
          <w:sz w:val="19"/>
        </w:rPr>
        <w:t>tr</w:t>
      </w:r>
      <w:r>
        <w:rPr>
          <w:rFonts w:ascii="Trebuchet MS" w:hAnsi="Trebuchet MS"/>
          <w:color w:val="37617A"/>
          <w:spacing w:val="-1"/>
          <w:w w:val="105"/>
          <w:sz w:val="19"/>
        </w:rPr>
        <w:t>a</w:t>
      </w:r>
      <w:r>
        <w:rPr>
          <w:rFonts w:ascii="Trebuchet MS" w:hAnsi="Trebuchet MS"/>
          <w:color w:val="37617A"/>
          <w:spacing w:val="1"/>
          <w:w w:val="96"/>
          <w:sz w:val="19"/>
        </w:rPr>
        <w:t>l</w:t>
      </w:r>
      <w:r>
        <w:rPr>
          <w:rFonts w:ascii="Trebuchet MS" w:hAnsi="Trebuchet MS"/>
          <w:color w:val="37617A"/>
          <w:w w:val="80"/>
          <w:sz w:val="19"/>
        </w:rPr>
        <w:t>i</w:t>
      </w:r>
      <w:r>
        <w:rPr>
          <w:rFonts w:ascii="Trebuchet MS" w:hAnsi="Trebuchet MS"/>
          <w:color w:val="37617A"/>
          <w:w w:val="105"/>
          <w:sz w:val="19"/>
        </w:rPr>
        <w:t>a</w:t>
      </w:r>
      <w:r>
        <w:rPr>
          <w:rFonts w:ascii="Trebuchet MS" w:hAnsi="Trebuchet MS"/>
          <w:color w:val="37617A"/>
          <w:spacing w:val="-12"/>
          <w:sz w:val="19"/>
        </w:rPr>
        <w:t> </w:t>
      </w:r>
      <w:r>
        <w:rPr>
          <w:rFonts w:ascii="Trebuchet MS" w:hAnsi="Trebuchet MS"/>
          <w:color w:val="37617A"/>
          <w:spacing w:val="-1"/>
          <w:w w:val="111"/>
          <w:sz w:val="19"/>
        </w:rPr>
        <w:t>c</w:t>
      </w:r>
      <w:r>
        <w:rPr>
          <w:rFonts w:ascii="Trebuchet MS" w:hAnsi="Trebuchet MS"/>
          <w:color w:val="37617A"/>
          <w:w w:val="111"/>
          <w:sz w:val="19"/>
        </w:rPr>
        <w:t>o</w:t>
      </w:r>
      <w:r>
        <w:rPr>
          <w:rFonts w:ascii="Trebuchet MS" w:hAnsi="Trebuchet MS"/>
          <w:color w:val="37617A"/>
          <w:w w:val="113"/>
          <w:sz w:val="19"/>
        </w:rPr>
        <w:t>n</w:t>
      </w:r>
      <w:r>
        <w:rPr>
          <w:rFonts w:ascii="Trebuchet MS" w:hAnsi="Trebuchet MS"/>
          <w:color w:val="37617A"/>
          <w:spacing w:val="-1"/>
          <w:w w:val="113"/>
          <w:sz w:val="19"/>
        </w:rPr>
        <w:t>s</w:t>
      </w:r>
      <w:r>
        <w:rPr>
          <w:rFonts w:ascii="Trebuchet MS" w:hAnsi="Trebuchet MS"/>
          <w:color w:val="37617A"/>
          <w:spacing w:val="-1"/>
          <w:w w:val="109"/>
          <w:sz w:val="19"/>
        </w:rPr>
        <w:t>u</w:t>
      </w:r>
      <w:r>
        <w:rPr>
          <w:rFonts w:ascii="Trebuchet MS" w:hAnsi="Trebuchet MS"/>
          <w:color w:val="37617A"/>
          <w:spacing w:val="-2"/>
          <w:w w:val="96"/>
          <w:sz w:val="19"/>
        </w:rPr>
        <w:t>l</w:t>
      </w:r>
      <w:r>
        <w:rPr>
          <w:rFonts w:ascii="Trebuchet MS" w:hAnsi="Trebuchet MS"/>
          <w:color w:val="37617A"/>
          <w:spacing w:val="1"/>
          <w:w w:val="88"/>
          <w:sz w:val="19"/>
        </w:rPr>
        <w:t>t</w:t>
      </w:r>
      <w:r>
        <w:rPr>
          <w:rFonts w:ascii="Trebuchet MS" w:hAnsi="Trebuchet MS"/>
          <w:color w:val="37617A"/>
          <w:spacing w:val="-3"/>
          <w:w w:val="105"/>
          <w:sz w:val="19"/>
        </w:rPr>
        <w:t>a</w:t>
      </w:r>
      <w:r>
        <w:rPr>
          <w:rFonts w:ascii="Trebuchet MS" w:hAnsi="Trebuchet MS"/>
          <w:color w:val="37617A"/>
          <w:w w:val="85"/>
          <w:sz w:val="19"/>
        </w:rPr>
        <w:t>ti</w:t>
      </w:r>
      <w:r>
        <w:rPr>
          <w:rFonts w:ascii="Trebuchet MS" w:hAnsi="Trebuchet MS"/>
          <w:color w:val="37617A"/>
          <w:w w:val="111"/>
          <w:sz w:val="19"/>
        </w:rPr>
        <w:t>o</w:t>
      </w:r>
      <w:r>
        <w:rPr>
          <w:rFonts w:ascii="Trebuchet MS" w:hAnsi="Trebuchet MS"/>
          <w:color w:val="37617A"/>
          <w:w w:val="107"/>
          <w:sz w:val="19"/>
        </w:rPr>
        <w:t>n</w:t>
      </w:r>
    </w:p>
    <w:p>
      <w:pPr>
        <w:pStyle w:val="BodyText"/>
        <w:spacing w:before="6"/>
        <w:rPr>
          <w:rFonts w:ascii="Trebuchet MS"/>
          <w:sz w:val="9"/>
        </w:rPr>
      </w:pPr>
      <w:r>
        <w:rPr/>
        <w:pict>
          <v:line style="position:absolute;mso-position-horizontal-relative:page;mso-position-vertical-relative:paragraph;z-index:8936;mso-wrap-distance-left:0;mso-wrap-distance-right:0" from="79.370102pt,7.768996pt" to="515.905102pt,7.768996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103"/>
        </w:numPr>
        <w:tabs>
          <w:tab w:pos="2157" w:val="left" w:leader="none"/>
          <w:tab w:pos="2158" w:val="left" w:leader="none"/>
        </w:tabs>
        <w:spacing w:line="206" w:lineRule="auto" w:before="146" w:after="0"/>
        <w:ind w:left="2157" w:right="1237" w:hanging="396"/>
        <w:jc w:val="left"/>
        <w:rPr>
          <w:sz w:val="20"/>
        </w:rPr>
      </w:pPr>
      <w:r>
        <w:rPr>
          <w:spacing w:val="-6"/>
          <w:sz w:val="20"/>
        </w:rPr>
        <w:t>We </w:t>
      </w:r>
      <w:r>
        <w:rPr>
          <w:sz w:val="20"/>
        </w:rPr>
        <w:t>propose a new </w:t>
      </w:r>
      <w:r>
        <w:rPr>
          <w:spacing w:val="-3"/>
          <w:sz w:val="20"/>
        </w:rPr>
        <w:t>role </w:t>
      </w:r>
      <w:r>
        <w:rPr>
          <w:sz w:val="20"/>
        </w:rPr>
        <w:t>for an accessibility officer to </w:t>
      </w:r>
      <w:r>
        <w:rPr>
          <w:spacing w:val="-3"/>
          <w:sz w:val="20"/>
        </w:rPr>
        <w:t>provide </w:t>
      </w:r>
      <w:r>
        <w:rPr>
          <w:sz w:val="20"/>
        </w:rPr>
        <w:t>logistical support for jurors</w:t>
      </w:r>
      <w:r>
        <w:rPr>
          <w:spacing w:val="-13"/>
          <w:sz w:val="20"/>
        </w:rPr>
        <w:t> </w:t>
      </w:r>
      <w:r>
        <w:rPr>
          <w:spacing w:val="-3"/>
          <w:sz w:val="20"/>
        </w:rPr>
        <w:t>from</w:t>
      </w:r>
      <w:r>
        <w:rPr>
          <w:spacing w:val="-13"/>
          <w:sz w:val="20"/>
        </w:rPr>
        <w:t> </w:t>
      </w:r>
      <w:r>
        <w:rPr>
          <w:sz w:val="20"/>
        </w:rPr>
        <w:t>the</w:t>
      </w:r>
      <w:r>
        <w:rPr>
          <w:spacing w:val="-13"/>
          <w:sz w:val="20"/>
        </w:rPr>
        <w:t> </w:t>
      </w:r>
      <w:r>
        <w:rPr>
          <w:sz w:val="20"/>
        </w:rPr>
        <w:t>subject</w:t>
      </w:r>
      <w:r>
        <w:rPr>
          <w:spacing w:val="-13"/>
          <w:sz w:val="20"/>
        </w:rPr>
        <w:t> </w:t>
      </w:r>
      <w:r>
        <w:rPr>
          <w:sz w:val="20"/>
        </w:rPr>
        <w:t>groups,</w:t>
      </w:r>
      <w:r>
        <w:rPr>
          <w:spacing w:val="-13"/>
          <w:sz w:val="20"/>
        </w:rPr>
        <w:t> </w:t>
      </w:r>
      <w:r>
        <w:rPr>
          <w:sz w:val="20"/>
        </w:rPr>
        <w:t>including</w:t>
      </w:r>
      <w:r>
        <w:rPr>
          <w:spacing w:val="-13"/>
          <w:sz w:val="20"/>
        </w:rPr>
        <w:t> </w:t>
      </w:r>
      <w:r>
        <w:rPr>
          <w:sz w:val="20"/>
        </w:rPr>
        <w:t>navigation</w:t>
      </w:r>
      <w:r>
        <w:rPr>
          <w:spacing w:val="-12"/>
          <w:sz w:val="20"/>
        </w:rPr>
        <w:t> </w:t>
      </w:r>
      <w:r>
        <w:rPr>
          <w:sz w:val="20"/>
        </w:rPr>
        <w:t>of</w:t>
      </w:r>
      <w:r>
        <w:rPr>
          <w:spacing w:val="-13"/>
          <w:sz w:val="20"/>
        </w:rPr>
        <w:t> </w:t>
      </w:r>
      <w:r>
        <w:rPr>
          <w:sz w:val="20"/>
        </w:rPr>
        <w:t>the</w:t>
      </w:r>
      <w:r>
        <w:rPr>
          <w:spacing w:val="-13"/>
          <w:sz w:val="20"/>
        </w:rPr>
        <w:t> </w:t>
      </w:r>
      <w:r>
        <w:rPr>
          <w:sz w:val="20"/>
        </w:rPr>
        <w:t>court</w:t>
      </w:r>
      <w:r>
        <w:rPr>
          <w:spacing w:val="-13"/>
          <w:sz w:val="20"/>
        </w:rPr>
        <w:t> </w:t>
      </w:r>
      <w:r>
        <w:rPr>
          <w:sz w:val="20"/>
        </w:rPr>
        <w:t>building,</w:t>
      </w:r>
      <w:r>
        <w:rPr>
          <w:spacing w:val="-13"/>
          <w:sz w:val="20"/>
        </w:rPr>
        <w:t> </w:t>
      </w:r>
      <w:r>
        <w:rPr>
          <w:sz w:val="20"/>
        </w:rPr>
        <w:t>but</w:t>
      </w:r>
      <w:r>
        <w:rPr>
          <w:spacing w:val="-13"/>
          <w:sz w:val="20"/>
        </w:rPr>
        <w:t> </w:t>
      </w:r>
      <w:r>
        <w:rPr>
          <w:sz w:val="20"/>
        </w:rPr>
        <w:t>not</w:t>
      </w:r>
      <w:r>
        <w:rPr>
          <w:spacing w:val="-12"/>
          <w:sz w:val="20"/>
        </w:rPr>
        <w:t> </w:t>
      </w:r>
      <w:r>
        <w:rPr>
          <w:sz w:val="20"/>
        </w:rPr>
        <w:t>to assist in jury</w:t>
      </w:r>
      <w:r>
        <w:rPr>
          <w:spacing w:val="-13"/>
          <w:sz w:val="20"/>
        </w:rPr>
        <w:t> </w:t>
      </w:r>
      <w:r>
        <w:rPr>
          <w:sz w:val="20"/>
        </w:rPr>
        <w:t>deliberations.</w:t>
      </w:r>
    </w:p>
    <w:p>
      <w:pPr>
        <w:pStyle w:val="ListParagraph"/>
        <w:numPr>
          <w:ilvl w:val="0"/>
          <w:numId w:val="103"/>
        </w:numPr>
        <w:tabs>
          <w:tab w:pos="2157" w:val="left" w:leader="none"/>
          <w:tab w:pos="2158" w:val="left" w:leader="none"/>
        </w:tabs>
        <w:spacing w:line="206" w:lineRule="auto" w:before="89" w:after="0"/>
        <w:ind w:left="2157" w:right="1287" w:hanging="396"/>
        <w:jc w:val="left"/>
        <w:rPr>
          <w:sz w:val="20"/>
        </w:rPr>
      </w:pPr>
      <w:r>
        <w:rPr>
          <w:spacing w:val="-6"/>
          <w:sz w:val="20"/>
        </w:rPr>
        <w:t>We </w:t>
      </w:r>
      <w:r>
        <w:rPr>
          <w:sz w:val="20"/>
        </w:rPr>
        <w:t>recommend that the </w:t>
      </w:r>
      <w:r>
        <w:rPr>
          <w:i/>
          <w:sz w:val="20"/>
        </w:rPr>
        <w:t>Juries Act 2000 </w:t>
      </w:r>
      <w:r>
        <w:rPr>
          <w:sz w:val="20"/>
        </w:rPr>
        <w:t>(Vic) </w:t>
      </w:r>
      <w:r>
        <w:rPr>
          <w:spacing w:val="-3"/>
          <w:sz w:val="20"/>
        </w:rPr>
        <w:t>provide </w:t>
      </w:r>
      <w:r>
        <w:rPr>
          <w:sz w:val="20"/>
        </w:rPr>
        <w:t>for a support person as an adjustment for people in the subject groups. The </w:t>
      </w:r>
      <w:r>
        <w:rPr>
          <w:spacing w:val="-3"/>
          <w:sz w:val="20"/>
        </w:rPr>
        <w:t>role </w:t>
      </w:r>
      <w:r>
        <w:rPr>
          <w:sz w:val="20"/>
        </w:rPr>
        <w:t>can be further </w:t>
      </w:r>
      <w:r>
        <w:rPr>
          <w:spacing w:val="-3"/>
          <w:sz w:val="20"/>
        </w:rPr>
        <w:t>developed </w:t>
      </w:r>
      <w:r>
        <w:rPr>
          <w:spacing w:val="-4"/>
          <w:sz w:val="20"/>
        </w:rPr>
        <w:t>over</w:t>
      </w:r>
      <w:r>
        <w:rPr>
          <w:spacing w:val="-8"/>
          <w:sz w:val="20"/>
        </w:rPr>
        <w:t> </w:t>
      </w:r>
      <w:r>
        <w:rPr>
          <w:sz w:val="20"/>
        </w:rPr>
        <w:t>time</w:t>
      </w:r>
      <w:r>
        <w:rPr>
          <w:spacing w:val="-7"/>
          <w:sz w:val="20"/>
        </w:rPr>
        <w:t> </w:t>
      </w:r>
      <w:r>
        <w:rPr>
          <w:sz w:val="20"/>
        </w:rPr>
        <w:t>as</w:t>
      </w:r>
      <w:r>
        <w:rPr>
          <w:spacing w:val="-8"/>
          <w:sz w:val="20"/>
        </w:rPr>
        <w:t> </w:t>
      </w:r>
      <w:r>
        <w:rPr>
          <w:sz w:val="20"/>
        </w:rPr>
        <w:t>the</w:t>
      </w:r>
      <w:r>
        <w:rPr>
          <w:spacing w:val="-7"/>
          <w:sz w:val="20"/>
        </w:rPr>
        <w:t> </w:t>
      </w:r>
      <w:r>
        <w:rPr>
          <w:sz w:val="20"/>
        </w:rPr>
        <w:t>need</w:t>
      </w:r>
      <w:r>
        <w:rPr>
          <w:spacing w:val="-8"/>
          <w:sz w:val="20"/>
        </w:rPr>
        <w:t> </w:t>
      </w:r>
      <w:r>
        <w:rPr>
          <w:sz w:val="20"/>
        </w:rPr>
        <w:t>arises.</w:t>
      </w:r>
      <w:r>
        <w:rPr>
          <w:spacing w:val="-7"/>
          <w:sz w:val="20"/>
        </w:rPr>
        <w:t> </w:t>
      </w:r>
      <w:r>
        <w:rPr>
          <w:sz w:val="20"/>
        </w:rPr>
        <w:t>It</w:t>
      </w:r>
      <w:r>
        <w:rPr>
          <w:spacing w:val="-7"/>
          <w:sz w:val="20"/>
        </w:rPr>
        <w:t> </w:t>
      </w:r>
      <w:r>
        <w:rPr>
          <w:sz w:val="20"/>
        </w:rPr>
        <w:t>is</w:t>
      </w:r>
      <w:r>
        <w:rPr>
          <w:spacing w:val="-8"/>
          <w:sz w:val="20"/>
        </w:rPr>
        <w:t> </w:t>
      </w:r>
      <w:r>
        <w:rPr>
          <w:sz w:val="20"/>
        </w:rPr>
        <w:t>most</w:t>
      </w:r>
      <w:r>
        <w:rPr>
          <w:spacing w:val="-7"/>
          <w:sz w:val="20"/>
        </w:rPr>
        <w:t> </w:t>
      </w:r>
      <w:r>
        <w:rPr>
          <w:spacing w:val="-3"/>
          <w:sz w:val="20"/>
        </w:rPr>
        <w:t>likely</w:t>
      </w:r>
      <w:r>
        <w:rPr>
          <w:spacing w:val="-8"/>
          <w:sz w:val="20"/>
        </w:rPr>
        <w:t> </w:t>
      </w:r>
      <w:r>
        <w:rPr>
          <w:sz w:val="20"/>
        </w:rPr>
        <w:t>to</w:t>
      </w:r>
      <w:r>
        <w:rPr>
          <w:spacing w:val="-7"/>
          <w:sz w:val="20"/>
        </w:rPr>
        <w:t> </w:t>
      </w:r>
      <w:r>
        <w:rPr>
          <w:sz w:val="20"/>
        </w:rPr>
        <w:t>be</w:t>
      </w:r>
      <w:r>
        <w:rPr>
          <w:spacing w:val="-7"/>
          <w:sz w:val="20"/>
        </w:rPr>
        <w:t> </w:t>
      </w:r>
      <w:r>
        <w:rPr>
          <w:sz w:val="20"/>
        </w:rPr>
        <w:t>helpful</w:t>
      </w:r>
      <w:r>
        <w:rPr>
          <w:spacing w:val="-8"/>
          <w:sz w:val="20"/>
        </w:rPr>
        <w:t> </w:t>
      </w:r>
      <w:r>
        <w:rPr>
          <w:sz w:val="20"/>
        </w:rPr>
        <w:t>for</w:t>
      </w:r>
      <w:r>
        <w:rPr>
          <w:spacing w:val="-7"/>
          <w:sz w:val="20"/>
        </w:rPr>
        <w:t> </w:t>
      </w:r>
      <w:r>
        <w:rPr>
          <w:sz w:val="20"/>
        </w:rPr>
        <w:t>people</w:t>
      </w:r>
      <w:r>
        <w:rPr>
          <w:spacing w:val="-8"/>
          <w:sz w:val="20"/>
        </w:rPr>
        <w:t> </w:t>
      </w:r>
      <w:r>
        <w:rPr>
          <w:sz w:val="20"/>
        </w:rPr>
        <w:t>who</w:t>
      </w:r>
      <w:r>
        <w:rPr>
          <w:spacing w:val="-7"/>
          <w:sz w:val="20"/>
        </w:rPr>
        <w:t> </w:t>
      </w:r>
      <w:r>
        <w:rPr>
          <w:spacing w:val="-3"/>
          <w:sz w:val="20"/>
        </w:rPr>
        <w:t>are</w:t>
      </w:r>
      <w:r>
        <w:rPr>
          <w:spacing w:val="-7"/>
          <w:sz w:val="20"/>
        </w:rPr>
        <w:t> </w:t>
      </w:r>
      <w:r>
        <w:rPr>
          <w:sz w:val="20"/>
        </w:rPr>
        <w:t>blind or</w:t>
      </w:r>
      <w:r>
        <w:rPr>
          <w:spacing w:val="-5"/>
          <w:sz w:val="20"/>
        </w:rPr>
        <w:t> </w:t>
      </w:r>
      <w:r>
        <w:rPr>
          <w:spacing w:val="-4"/>
          <w:sz w:val="20"/>
        </w:rPr>
        <w:t>have</w:t>
      </w:r>
      <w:r>
        <w:rPr>
          <w:spacing w:val="-5"/>
          <w:sz w:val="20"/>
        </w:rPr>
        <w:t> </w:t>
      </w:r>
      <w:r>
        <w:rPr>
          <w:spacing w:val="-4"/>
          <w:sz w:val="20"/>
        </w:rPr>
        <w:t>low</w:t>
      </w:r>
      <w:r>
        <w:rPr>
          <w:spacing w:val="-5"/>
          <w:sz w:val="20"/>
        </w:rPr>
        <w:t> </w:t>
      </w:r>
      <w:r>
        <w:rPr>
          <w:sz w:val="20"/>
        </w:rPr>
        <w:t>vision</w:t>
      </w:r>
      <w:r>
        <w:rPr>
          <w:spacing w:val="-4"/>
          <w:sz w:val="20"/>
        </w:rPr>
        <w:t> </w:t>
      </w:r>
      <w:r>
        <w:rPr>
          <w:sz w:val="20"/>
        </w:rPr>
        <w:t>to</w:t>
      </w:r>
      <w:r>
        <w:rPr>
          <w:spacing w:val="-5"/>
          <w:sz w:val="20"/>
        </w:rPr>
        <w:t> </w:t>
      </w:r>
      <w:r>
        <w:rPr>
          <w:sz w:val="20"/>
        </w:rPr>
        <w:t>assist</w:t>
      </w:r>
      <w:r>
        <w:rPr>
          <w:spacing w:val="-5"/>
          <w:sz w:val="20"/>
        </w:rPr>
        <w:t> </w:t>
      </w:r>
      <w:r>
        <w:rPr>
          <w:sz w:val="20"/>
        </w:rPr>
        <w:t>them</w:t>
      </w:r>
      <w:r>
        <w:rPr>
          <w:spacing w:val="-4"/>
          <w:sz w:val="20"/>
        </w:rPr>
        <w:t> </w:t>
      </w:r>
      <w:r>
        <w:rPr>
          <w:sz w:val="20"/>
        </w:rPr>
        <w:t>to</w:t>
      </w:r>
      <w:r>
        <w:rPr>
          <w:spacing w:val="-5"/>
          <w:sz w:val="20"/>
        </w:rPr>
        <w:t> </w:t>
      </w:r>
      <w:r>
        <w:rPr>
          <w:sz w:val="20"/>
        </w:rPr>
        <w:t>access</w:t>
      </w:r>
      <w:r>
        <w:rPr>
          <w:spacing w:val="-5"/>
          <w:sz w:val="20"/>
        </w:rPr>
        <w:t> </w:t>
      </w:r>
      <w:r>
        <w:rPr>
          <w:sz w:val="20"/>
        </w:rPr>
        <w:t>visual</w:t>
      </w:r>
      <w:r>
        <w:rPr>
          <w:spacing w:val="-4"/>
          <w:sz w:val="20"/>
        </w:rPr>
        <w:t> </w:t>
      </w:r>
      <w:r>
        <w:rPr>
          <w:spacing w:val="-3"/>
          <w:sz w:val="20"/>
        </w:rPr>
        <w:t>evidence.</w:t>
      </w:r>
    </w:p>
    <w:p>
      <w:pPr>
        <w:pStyle w:val="ListParagraph"/>
        <w:numPr>
          <w:ilvl w:val="0"/>
          <w:numId w:val="103"/>
        </w:numPr>
        <w:tabs>
          <w:tab w:pos="2157" w:val="left" w:leader="none"/>
          <w:tab w:pos="2158" w:val="left" w:leader="none"/>
        </w:tabs>
        <w:spacing w:line="206" w:lineRule="auto" w:before="90" w:after="0"/>
        <w:ind w:left="2157" w:right="1425" w:hanging="396"/>
        <w:jc w:val="left"/>
        <w:rPr>
          <w:sz w:val="20"/>
        </w:rPr>
      </w:pPr>
      <w:r>
        <w:rPr>
          <w:spacing w:val="-4"/>
          <w:sz w:val="20"/>
        </w:rPr>
        <w:t>Training</w:t>
      </w:r>
      <w:r>
        <w:rPr>
          <w:spacing w:val="-11"/>
          <w:sz w:val="20"/>
        </w:rPr>
        <w:t> </w:t>
      </w:r>
      <w:r>
        <w:rPr>
          <w:sz w:val="20"/>
        </w:rPr>
        <w:t>and</w:t>
      </w:r>
      <w:r>
        <w:rPr>
          <w:spacing w:val="-10"/>
          <w:sz w:val="20"/>
        </w:rPr>
        <w:t> </w:t>
      </w:r>
      <w:r>
        <w:rPr>
          <w:sz w:val="20"/>
        </w:rPr>
        <w:t>qualification</w:t>
      </w:r>
      <w:r>
        <w:rPr>
          <w:spacing w:val="-10"/>
          <w:sz w:val="20"/>
        </w:rPr>
        <w:t> </w:t>
      </w:r>
      <w:r>
        <w:rPr>
          <w:sz w:val="20"/>
        </w:rPr>
        <w:t>requirements</w:t>
      </w:r>
      <w:r>
        <w:rPr>
          <w:spacing w:val="-10"/>
          <w:sz w:val="20"/>
        </w:rPr>
        <w:t> </w:t>
      </w:r>
      <w:r>
        <w:rPr>
          <w:spacing w:val="-3"/>
          <w:sz w:val="20"/>
        </w:rPr>
        <w:t>may</w:t>
      </w:r>
      <w:r>
        <w:rPr>
          <w:spacing w:val="-10"/>
          <w:sz w:val="20"/>
        </w:rPr>
        <w:t> </w:t>
      </w:r>
      <w:r>
        <w:rPr>
          <w:sz w:val="20"/>
        </w:rPr>
        <w:t>need</w:t>
      </w:r>
      <w:r>
        <w:rPr>
          <w:spacing w:val="-10"/>
          <w:sz w:val="20"/>
        </w:rPr>
        <w:t> </w:t>
      </w:r>
      <w:r>
        <w:rPr>
          <w:sz w:val="20"/>
        </w:rPr>
        <w:t>to</w:t>
      </w:r>
      <w:r>
        <w:rPr>
          <w:spacing w:val="-10"/>
          <w:sz w:val="20"/>
        </w:rPr>
        <w:t> </w:t>
      </w:r>
      <w:r>
        <w:rPr>
          <w:spacing w:val="-3"/>
          <w:sz w:val="20"/>
        </w:rPr>
        <w:t>apply</w:t>
      </w:r>
      <w:r>
        <w:rPr>
          <w:spacing w:val="-10"/>
          <w:sz w:val="20"/>
        </w:rPr>
        <w:t> </w:t>
      </w:r>
      <w:r>
        <w:rPr>
          <w:sz w:val="20"/>
        </w:rPr>
        <w:t>to</w:t>
      </w:r>
      <w:r>
        <w:rPr>
          <w:spacing w:val="-10"/>
          <w:sz w:val="20"/>
        </w:rPr>
        <w:t> </w:t>
      </w:r>
      <w:r>
        <w:rPr>
          <w:sz w:val="20"/>
        </w:rPr>
        <w:t>the</w:t>
      </w:r>
      <w:r>
        <w:rPr>
          <w:spacing w:val="-10"/>
          <w:sz w:val="20"/>
        </w:rPr>
        <w:t> </w:t>
      </w:r>
      <w:r>
        <w:rPr>
          <w:sz w:val="20"/>
        </w:rPr>
        <w:t>support</w:t>
      </w:r>
      <w:r>
        <w:rPr>
          <w:spacing w:val="-10"/>
          <w:sz w:val="20"/>
        </w:rPr>
        <w:t> </w:t>
      </w:r>
      <w:r>
        <w:rPr>
          <w:sz w:val="20"/>
        </w:rPr>
        <w:t>person </w:t>
      </w:r>
      <w:r>
        <w:rPr>
          <w:spacing w:val="-3"/>
          <w:sz w:val="20"/>
        </w:rPr>
        <w:t>role, </w:t>
      </w:r>
      <w:r>
        <w:rPr>
          <w:sz w:val="20"/>
        </w:rPr>
        <w:t>and the support person should be subject to standards and a code of conduct.</w:t>
      </w:r>
      <w:r>
        <w:rPr>
          <w:spacing w:val="-11"/>
          <w:sz w:val="20"/>
        </w:rPr>
        <w:t> </w:t>
      </w:r>
      <w:r>
        <w:rPr>
          <w:sz w:val="20"/>
        </w:rPr>
        <w:t>A</w:t>
      </w:r>
      <w:r>
        <w:rPr>
          <w:spacing w:val="-11"/>
          <w:sz w:val="20"/>
        </w:rPr>
        <w:t> </w:t>
      </w:r>
      <w:r>
        <w:rPr>
          <w:sz w:val="20"/>
        </w:rPr>
        <w:t>support</w:t>
      </w:r>
      <w:r>
        <w:rPr>
          <w:spacing w:val="-11"/>
          <w:sz w:val="20"/>
        </w:rPr>
        <w:t> </w:t>
      </w:r>
      <w:r>
        <w:rPr>
          <w:sz w:val="20"/>
        </w:rPr>
        <w:t>person</w:t>
      </w:r>
      <w:r>
        <w:rPr>
          <w:spacing w:val="-11"/>
          <w:sz w:val="20"/>
        </w:rPr>
        <w:t> </w:t>
      </w:r>
      <w:r>
        <w:rPr>
          <w:sz w:val="20"/>
        </w:rPr>
        <w:t>should</w:t>
      </w:r>
      <w:r>
        <w:rPr>
          <w:spacing w:val="-11"/>
          <w:sz w:val="20"/>
        </w:rPr>
        <w:t> </w:t>
      </w:r>
      <w:r>
        <w:rPr>
          <w:spacing w:val="-3"/>
          <w:sz w:val="20"/>
        </w:rPr>
        <w:t>provide</w:t>
      </w:r>
      <w:r>
        <w:rPr>
          <w:spacing w:val="-11"/>
          <w:sz w:val="20"/>
        </w:rPr>
        <w:t> </w:t>
      </w:r>
      <w:r>
        <w:rPr>
          <w:sz w:val="20"/>
        </w:rPr>
        <w:t>an</w:t>
      </w:r>
      <w:r>
        <w:rPr>
          <w:spacing w:val="-11"/>
          <w:sz w:val="20"/>
        </w:rPr>
        <w:t> </w:t>
      </w:r>
      <w:r>
        <w:rPr>
          <w:sz w:val="20"/>
        </w:rPr>
        <w:t>oath</w:t>
      </w:r>
      <w:r>
        <w:rPr>
          <w:spacing w:val="-11"/>
          <w:sz w:val="20"/>
        </w:rPr>
        <w:t> </w:t>
      </w:r>
      <w:r>
        <w:rPr>
          <w:sz w:val="20"/>
        </w:rPr>
        <w:t>or</w:t>
      </w:r>
      <w:r>
        <w:rPr>
          <w:spacing w:val="-10"/>
          <w:sz w:val="20"/>
        </w:rPr>
        <w:t> </w:t>
      </w:r>
      <w:r>
        <w:rPr>
          <w:sz w:val="20"/>
        </w:rPr>
        <w:t>affirmation</w:t>
      </w:r>
      <w:r>
        <w:rPr>
          <w:spacing w:val="-11"/>
          <w:sz w:val="20"/>
        </w:rPr>
        <w:t> </w:t>
      </w:r>
      <w:r>
        <w:rPr>
          <w:sz w:val="20"/>
        </w:rPr>
        <w:t>to</w:t>
      </w:r>
      <w:r>
        <w:rPr>
          <w:spacing w:val="-11"/>
          <w:sz w:val="20"/>
        </w:rPr>
        <w:t> </w:t>
      </w:r>
      <w:r>
        <w:rPr>
          <w:sz w:val="20"/>
        </w:rPr>
        <w:t>the</w:t>
      </w:r>
      <w:r>
        <w:rPr>
          <w:spacing w:val="-11"/>
          <w:sz w:val="20"/>
        </w:rPr>
        <w:t> </w:t>
      </w:r>
      <w:r>
        <w:rPr>
          <w:sz w:val="20"/>
        </w:rPr>
        <w:t>court</w:t>
      </w:r>
      <w:r>
        <w:rPr>
          <w:spacing w:val="-11"/>
          <w:sz w:val="20"/>
        </w:rPr>
        <w:t> </w:t>
      </w:r>
      <w:r>
        <w:rPr>
          <w:sz w:val="20"/>
        </w:rPr>
        <w:t>and be</w:t>
      </w:r>
      <w:r>
        <w:rPr>
          <w:spacing w:val="-11"/>
          <w:sz w:val="20"/>
        </w:rPr>
        <w:t> </w:t>
      </w:r>
      <w:r>
        <w:rPr>
          <w:sz w:val="20"/>
        </w:rPr>
        <w:t>subject</w:t>
      </w:r>
      <w:r>
        <w:rPr>
          <w:spacing w:val="-10"/>
          <w:sz w:val="20"/>
        </w:rPr>
        <w:t> </w:t>
      </w:r>
      <w:r>
        <w:rPr>
          <w:sz w:val="20"/>
        </w:rPr>
        <w:t>to</w:t>
      </w:r>
      <w:r>
        <w:rPr>
          <w:spacing w:val="-10"/>
          <w:sz w:val="20"/>
        </w:rPr>
        <w:t> </w:t>
      </w:r>
      <w:r>
        <w:rPr>
          <w:sz w:val="20"/>
        </w:rPr>
        <w:t>penalties</w:t>
      </w:r>
      <w:r>
        <w:rPr>
          <w:spacing w:val="-10"/>
          <w:sz w:val="20"/>
        </w:rPr>
        <w:t> </w:t>
      </w:r>
      <w:r>
        <w:rPr>
          <w:sz w:val="20"/>
        </w:rPr>
        <w:t>for</w:t>
      </w:r>
      <w:r>
        <w:rPr>
          <w:spacing w:val="-10"/>
          <w:sz w:val="20"/>
        </w:rPr>
        <w:t> </w:t>
      </w:r>
      <w:r>
        <w:rPr>
          <w:sz w:val="20"/>
        </w:rPr>
        <w:t>breach</w:t>
      </w:r>
      <w:r>
        <w:rPr>
          <w:spacing w:val="-11"/>
          <w:sz w:val="20"/>
        </w:rPr>
        <w:t> </w:t>
      </w:r>
      <w:r>
        <w:rPr>
          <w:sz w:val="20"/>
        </w:rPr>
        <w:t>of</w:t>
      </w:r>
      <w:r>
        <w:rPr>
          <w:spacing w:val="-10"/>
          <w:sz w:val="20"/>
        </w:rPr>
        <w:t> </w:t>
      </w:r>
      <w:r>
        <w:rPr>
          <w:sz w:val="20"/>
        </w:rPr>
        <w:t>duties.</w:t>
      </w:r>
      <w:r>
        <w:rPr>
          <w:spacing w:val="-10"/>
          <w:sz w:val="20"/>
        </w:rPr>
        <w:t> </w:t>
      </w:r>
      <w:r>
        <w:rPr>
          <w:spacing w:val="-6"/>
          <w:sz w:val="20"/>
        </w:rPr>
        <w:t>We</w:t>
      </w:r>
      <w:r>
        <w:rPr>
          <w:spacing w:val="-10"/>
          <w:sz w:val="20"/>
        </w:rPr>
        <w:t> </w:t>
      </w:r>
      <w:r>
        <w:rPr>
          <w:sz w:val="20"/>
        </w:rPr>
        <w:t>also</w:t>
      </w:r>
      <w:r>
        <w:rPr>
          <w:spacing w:val="-10"/>
          <w:sz w:val="20"/>
        </w:rPr>
        <w:t> </w:t>
      </w:r>
      <w:r>
        <w:rPr>
          <w:sz w:val="20"/>
        </w:rPr>
        <w:t>discuss</w:t>
      </w:r>
      <w:r>
        <w:rPr>
          <w:spacing w:val="-10"/>
          <w:sz w:val="20"/>
        </w:rPr>
        <w:t> </w:t>
      </w:r>
      <w:r>
        <w:rPr>
          <w:sz w:val="20"/>
        </w:rPr>
        <w:t>penalties</w:t>
      </w:r>
      <w:r>
        <w:rPr>
          <w:spacing w:val="-11"/>
          <w:sz w:val="20"/>
        </w:rPr>
        <w:t> </w:t>
      </w:r>
      <w:r>
        <w:rPr>
          <w:sz w:val="20"/>
        </w:rPr>
        <w:t>for</w:t>
      </w:r>
      <w:r>
        <w:rPr>
          <w:spacing w:val="-10"/>
          <w:sz w:val="20"/>
        </w:rPr>
        <w:t> </w:t>
      </w:r>
      <w:r>
        <w:rPr>
          <w:sz w:val="20"/>
        </w:rPr>
        <w:t>breach of duties for Auslan </w:t>
      </w:r>
      <w:r>
        <w:rPr>
          <w:spacing w:val="-3"/>
          <w:sz w:val="20"/>
        </w:rPr>
        <w:t>interpreters </w:t>
      </w:r>
      <w:r>
        <w:rPr>
          <w:sz w:val="20"/>
        </w:rPr>
        <w:t>in this</w:t>
      </w:r>
      <w:r>
        <w:rPr>
          <w:spacing w:val="-27"/>
          <w:sz w:val="20"/>
        </w:rPr>
        <w:t> </w:t>
      </w:r>
      <w:r>
        <w:rPr>
          <w:spacing w:val="-4"/>
          <w:sz w:val="20"/>
        </w:rPr>
        <w:t>chapter.</w:t>
      </w:r>
    </w:p>
    <w:p>
      <w:pPr>
        <w:spacing w:before="197"/>
        <w:ind w:left="967" w:right="0" w:firstLine="0"/>
        <w:jc w:val="left"/>
        <w:rPr>
          <w:rFonts w:ascii="Raleway ExtraBold"/>
          <w:b/>
          <w:sz w:val="28"/>
        </w:rPr>
      </w:pPr>
      <w:r>
        <w:rPr>
          <w:rFonts w:ascii="Raleway ExtraBold"/>
          <w:b/>
          <w:color w:val="37617A"/>
          <w:sz w:val="28"/>
        </w:rPr>
        <w:t>A new accessibility officer role</w:t>
      </w:r>
    </w:p>
    <w:p>
      <w:pPr>
        <w:pStyle w:val="ListParagraph"/>
        <w:numPr>
          <w:ilvl w:val="1"/>
          <w:numId w:val="12"/>
        </w:numPr>
        <w:tabs>
          <w:tab w:pos="1761" w:val="left" w:leader="none"/>
          <w:tab w:pos="1762" w:val="left" w:leader="none"/>
        </w:tabs>
        <w:spacing w:line="206" w:lineRule="auto" w:before="146" w:after="0"/>
        <w:ind w:left="1761" w:right="1468" w:hanging="794"/>
        <w:jc w:val="left"/>
        <w:rPr>
          <w:sz w:val="20"/>
        </w:rPr>
      </w:pPr>
      <w:r>
        <w:rPr>
          <w:sz w:val="20"/>
        </w:rPr>
        <w:t>People</w:t>
      </w:r>
      <w:r>
        <w:rPr>
          <w:spacing w:val="-10"/>
          <w:sz w:val="20"/>
        </w:rPr>
        <w:t> </w:t>
      </w:r>
      <w:r>
        <w:rPr>
          <w:sz w:val="20"/>
        </w:rPr>
        <w:t>in</w:t>
      </w:r>
      <w:r>
        <w:rPr>
          <w:spacing w:val="-10"/>
          <w:sz w:val="20"/>
        </w:rPr>
        <w:t> </w:t>
      </w:r>
      <w:r>
        <w:rPr>
          <w:sz w:val="20"/>
        </w:rPr>
        <w:t>the</w:t>
      </w:r>
      <w:r>
        <w:rPr>
          <w:spacing w:val="-9"/>
          <w:sz w:val="20"/>
        </w:rPr>
        <w:t> </w:t>
      </w:r>
      <w:r>
        <w:rPr>
          <w:sz w:val="20"/>
        </w:rPr>
        <w:t>subject</w:t>
      </w:r>
      <w:r>
        <w:rPr>
          <w:spacing w:val="-10"/>
          <w:sz w:val="20"/>
        </w:rPr>
        <w:t> </w:t>
      </w:r>
      <w:r>
        <w:rPr>
          <w:sz w:val="20"/>
        </w:rPr>
        <w:t>groups</w:t>
      </w:r>
      <w:r>
        <w:rPr>
          <w:spacing w:val="-10"/>
          <w:sz w:val="20"/>
        </w:rPr>
        <w:t> </w:t>
      </w:r>
      <w:r>
        <w:rPr>
          <w:spacing w:val="-3"/>
          <w:sz w:val="20"/>
        </w:rPr>
        <w:t>told</w:t>
      </w:r>
      <w:r>
        <w:rPr>
          <w:spacing w:val="-9"/>
          <w:sz w:val="20"/>
        </w:rPr>
        <w:t> </w:t>
      </w:r>
      <w:r>
        <w:rPr>
          <w:sz w:val="20"/>
        </w:rPr>
        <w:t>us</w:t>
      </w:r>
      <w:r>
        <w:rPr>
          <w:spacing w:val="-10"/>
          <w:sz w:val="20"/>
        </w:rPr>
        <w:t> </w:t>
      </w:r>
      <w:r>
        <w:rPr>
          <w:sz w:val="20"/>
        </w:rPr>
        <w:t>that</w:t>
      </w:r>
      <w:r>
        <w:rPr>
          <w:spacing w:val="-10"/>
          <w:sz w:val="20"/>
        </w:rPr>
        <w:t> </w:t>
      </w:r>
      <w:r>
        <w:rPr>
          <w:sz w:val="20"/>
        </w:rPr>
        <w:t>it</w:t>
      </w:r>
      <w:r>
        <w:rPr>
          <w:spacing w:val="-9"/>
          <w:sz w:val="20"/>
        </w:rPr>
        <w:t> </w:t>
      </w:r>
      <w:r>
        <w:rPr>
          <w:spacing w:val="-3"/>
          <w:sz w:val="20"/>
        </w:rPr>
        <w:t>would</w:t>
      </w:r>
      <w:r>
        <w:rPr>
          <w:spacing w:val="-10"/>
          <w:sz w:val="20"/>
        </w:rPr>
        <w:t> </w:t>
      </w:r>
      <w:r>
        <w:rPr>
          <w:sz w:val="20"/>
        </w:rPr>
        <w:t>be</w:t>
      </w:r>
      <w:r>
        <w:rPr>
          <w:spacing w:val="-9"/>
          <w:sz w:val="20"/>
        </w:rPr>
        <w:t> </w:t>
      </w:r>
      <w:r>
        <w:rPr>
          <w:sz w:val="20"/>
        </w:rPr>
        <w:t>helpful</w:t>
      </w:r>
      <w:r>
        <w:rPr>
          <w:spacing w:val="-10"/>
          <w:sz w:val="20"/>
        </w:rPr>
        <w:t> </w:t>
      </w:r>
      <w:r>
        <w:rPr>
          <w:sz w:val="20"/>
        </w:rPr>
        <w:t>if</w:t>
      </w:r>
      <w:r>
        <w:rPr>
          <w:spacing w:val="-10"/>
          <w:sz w:val="20"/>
        </w:rPr>
        <w:t> </w:t>
      </w:r>
      <w:r>
        <w:rPr>
          <w:sz w:val="20"/>
        </w:rPr>
        <w:t>a</w:t>
      </w:r>
      <w:r>
        <w:rPr>
          <w:spacing w:val="-9"/>
          <w:sz w:val="20"/>
        </w:rPr>
        <w:t> </w:t>
      </w:r>
      <w:r>
        <w:rPr>
          <w:sz w:val="20"/>
        </w:rPr>
        <w:t>potential</w:t>
      </w:r>
      <w:r>
        <w:rPr>
          <w:spacing w:val="-10"/>
          <w:sz w:val="20"/>
        </w:rPr>
        <w:t> </w:t>
      </w:r>
      <w:r>
        <w:rPr>
          <w:sz w:val="20"/>
        </w:rPr>
        <w:t>juror</w:t>
      </w:r>
      <w:r>
        <w:rPr>
          <w:spacing w:val="-10"/>
          <w:sz w:val="20"/>
        </w:rPr>
        <w:t> </w:t>
      </w:r>
      <w:r>
        <w:rPr>
          <w:sz w:val="20"/>
        </w:rPr>
        <w:t>could be assigned a person to assist them to </w:t>
      </w:r>
      <w:r>
        <w:rPr>
          <w:spacing w:val="-3"/>
          <w:sz w:val="20"/>
        </w:rPr>
        <w:t>navigate </w:t>
      </w:r>
      <w:r>
        <w:rPr>
          <w:sz w:val="20"/>
        </w:rPr>
        <w:t>the court building during the jury selection process and the trial. </w:t>
      </w:r>
      <w:r>
        <w:rPr>
          <w:spacing w:val="-6"/>
          <w:sz w:val="20"/>
        </w:rPr>
        <w:t>We </w:t>
      </w:r>
      <w:r>
        <w:rPr>
          <w:spacing w:val="-4"/>
          <w:sz w:val="20"/>
        </w:rPr>
        <w:t>have </w:t>
      </w:r>
      <w:r>
        <w:rPr>
          <w:spacing w:val="-3"/>
          <w:sz w:val="20"/>
        </w:rPr>
        <w:t>referred </w:t>
      </w:r>
      <w:r>
        <w:rPr>
          <w:sz w:val="20"/>
        </w:rPr>
        <w:t>to this person as an accessibility officer</w:t>
      </w:r>
      <w:r>
        <w:rPr>
          <w:spacing w:val="-15"/>
          <w:sz w:val="20"/>
        </w:rPr>
        <w:t> </w:t>
      </w:r>
      <w:r>
        <w:rPr>
          <w:sz w:val="20"/>
        </w:rPr>
        <w:t>(although</w:t>
      </w:r>
      <w:r>
        <w:rPr>
          <w:spacing w:val="-15"/>
          <w:sz w:val="20"/>
        </w:rPr>
        <w:t> </w:t>
      </w:r>
      <w:r>
        <w:rPr>
          <w:sz w:val="20"/>
        </w:rPr>
        <w:t>some</w:t>
      </w:r>
      <w:r>
        <w:rPr>
          <w:spacing w:val="-15"/>
          <w:sz w:val="20"/>
        </w:rPr>
        <w:t> </w:t>
      </w:r>
      <w:r>
        <w:rPr>
          <w:sz w:val="20"/>
        </w:rPr>
        <w:t>of</w:t>
      </w:r>
      <w:r>
        <w:rPr>
          <w:spacing w:val="-15"/>
          <w:sz w:val="20"/>
        </w:rPr>
        <w:t> </w:t>
      </w:r>
      <w:r>
        <w:rPr>
          <w:sz w:val="20"/>
        </w:rPr>
        <w:t>the</w:t>
      </w:r>
      <w:r>
        <w:rPr>
          <w:spacing w:val="-15"/>
          <w:sz w:val="20"/>
        </w:rPr>
        <w:t> </w:t>
      </w:r>
      <w:r>
        <w:rPr>
          <w:sz w:val="20"/>
        </w:rPr>
        <w:t>consultees</w:t>
      </w:r>
      <w:r>
        <w:rPr>
          <w:spacing w:val="-14"/>
          <w:sz w:val="20"/>
        </w:rPr>
        <w:t> </w:t>
      </w:r>
      <w:r>
        <w:rPr>
          <w:sz w:val="20"/>
        </w:rPr>
        <w:t>use</w:t>
      </w:r>
      <w:r>
        <w:rPr>
          <w:spacing w:val="-15"/>
          <w:sz w:val="20"/>
        </w:rPr>
        <w:t> </w:t>
      </w:r>
      <w:r>
        <w:rPr>
          <w:sz w:val="20"/>
        </w:rPr>
        <w:t>the</w:t>
      </w:r>
      <w:r>
        <w:rPr>
          <w:spacing w:val="-15"/>
          <w:sz w:val="20"/>
        </w:rPr>
        <w:t> </w:t>
      </w:r>
      <w:r>
        <w:rPr>
          <w:sz w:val="20"/>
        </w:rPr>
        <w:t>terminology</w:t>
      </w:r>
      <w:r>
        <w:rPr>
          <w:spacing w:val="-15"/>
          <w:sz w:val="20"/>
        </w:rPr>
        <w:t> </w:t>
      </w:r>
      <w:r>
        <w:rPr>
          <w:sz w:val="20"/>
        </w:rPr>
        <w:t>‘support</w:t>
      </w:r>
      <w:r>
        <w:rPr>
          <w:spacing w:val="-15"/>
          <w:sz w:val="20"/>
        </w:rPr>
        <w:t> </w:t>
      </w:r>
      <w:r>
        <w:rPr>
          <w:spacing w:val="-3"/>
          <w:sz w:val="20"/>
        </w:rPr>
        <w:t>person’,</w:t>
      </w:r>
      <w:r>
        <w:rPr>
          <w:spacing w:val="-15"/>
          <w:sz w:val="20"/>
        </w:rPr>
        <w:t> </w:t>
      </w:r>
      <w:r>
        <w:rPr>
          <w:sz w:val="20"/>
        </w:rPr>
        <w:t>which </w:t>
      </w:r>
      <w:r>
        <w:rPr>
          <w:spacing w:val="-3"/>
          <w:sz w:val="20"/>
        </w:rPr>
        <w:t>we</w:t>
      </w:r>
      <w:r>
        <w:rPr>
          <w:spacing w:val="-10"/>
          <w:sz w:val="20"/>
        </w:rPr>
        <w:t> </w:t>
      </w:r>
      <w:r>
        <w:rPr>
          <w:spacing w:val="-4"/>
          <w:sz w:val="20"/>
        </w:rPr>
        <w:t>have</w:t>
      </w:r>
      <w:r>
        <w:rPr>
          <w:spacing w:val="-10"/>
          <w:sz w:val="20"/>
        </w:rPr>
        <w:t> </w:t>
      </w:r>
      <w:r>
        <w:rPr>
          <w:sz w:val="20"/>
        </w:rPr>
        <w:t>used</w:t>
      </w:r>
      <w:r>
        <w:rPr>
          <w:spacing w:val="-10"/>
          <w:sz w:val="20"/>
        </w:rPr>
        <w:t> </w:t>
      </w:r>
      <w:r>
        <w:rPr>
          <w:sz w:val="20"/>
        </w:rPr>
        <w:t>for</w:t>
      </w:r>
      <w:r>
        <w:rPr>
          <w:spacing w:val="-10"/>
          <w:sz w:val="20"/>
        </w:rPr>
        <w:t> </w:t>
      </w:r>
      <w:r>
        <w:rPr>
          <w:sz w:val="20"/>
        </w:rPr>
        <w:t>a</w:t>
      </w:r>
      <w:r>
        <w:rPr>
          <w:spacing w:val="-10"/>
          <w:sz w:val="20"/>
        </w:rPr>
        <w:t> </w:t>
      </w:r>
      <w:r>
        <w:rPr>
          <w:sz w:val="20"/>
        </w:rPr>
        <w:t>separate</w:t>
      </w:r>
      <w:r>
        <w:rPr>
          <w:spacing w:val="-10"/>
          <w:sz w:val="20"/>
        </w:rPr>
        <w:t> </w:t>
      </w:r>
      <w:r>
        <w:rPr>
          <w:sz w:val="20"/>
        </w:rPr>
        <w:t>type</w:t>
      </w:r>
      <w:r>
        <w:rPr>
          <w:spacing w:val="-10"/>
          <w:sz w:val="20"/>
        </w:rPr>
        <w:t> </w:t>
      </w:r>
      <w:r>
        <w:rPr>
          <w:sz w:val="20"/>
        </w:rPr>
        <w:t>of</w:t>
      </w:r>
      <w:r>
        <w:rPr>
          <w:spacing w:val="-10"/>
          <w:sz w:val="20"/>
        </w:rPr>
        <w:t> </w:t>
      </w:r>
      <w:r>
        <w:rPr>
          <w:sz w:val="20"/>
        </w:rPr>
        <w:t>adjustment).</w:t>
      </w:r>
      <w:r>
        <w:rPr>
          <w:spacing w:val="-10"/>
          <w:sz w:val="20"/>
        </w:rPr>
        <w:t> </w:t>
      </w:r>
      <w:r>
        <w:rPr>
          <w:sz w:val="20"/>
        </w:rPr>
        <w:t>It</w:t>
      </w:r>
      <w:r>
        <w:rPr>
          <w:spacing w:val="-10"/>
          <w:sz w:val="20"/>
        </w:rPr>
        <w:t> </w:t>
      </w:r>
      <w:r>
        <w:rPr>
          <w:sz w:val="20"/>
        </w:rPr>
        <w:t>is</w:t>
      </w:r>
      <w:r>
        <w:rPr>
          <w:spacing w:val="-9"/>
          <w:sz w:val="20"/>
        </w:rPr>
        <w:t> </w:t>
      </w:r>
      <w:r>
        <w:rPr>
          <w:sz w:val="20"/>
        </w:rPr>
        <w:t>envisaged</w:t>
      </w:r>
      <w:r>
        <w:rPr>
          <w:spacing w:val="-10"/>
          <w:sz w:val="20"/>
        </w:rPr>
        <w:t> </w:t>
      </w:r>
      <w:r>
        <w:rPr>
          <w:sz w:val="20"/>
        </w:rPr>
        <w:t>that</w:t>
      </w:r>
      <w:r>
        <w:rPr>
          <w:spacing w:val="-10"/>
          <w:sz w:val="20"/>
        </w:rPr>
        <w:t> </w:t>
      </w:r>
      <w:r>
        <w:rPr>
          <w:sz w:val="20"/>
        </w:rPr>
        <w:t>the</w:t>
      </w:r>
      <w:r>
        <w:rPr>
          <w:spacing w:val="-10"/>
          <w:sz w:val="20"/>
        </w:rPr>
        <w:t> </w:t>
      </w:r>
      <w:r>
        <w:rPr>
          <w:sz w:val="20"/>
        </w:rPr>
        <w:t>accessibility officer</w:t>
      </w:r>
      <w:r>
        <w:rPr>
          <w:spacing w:val="-6"/>
          <w:sz w:val="20"/>
        </w:rPr>
        <w:t> </w:t>
      </w:r>
      <w:r>
        <w:rPr>
          <w:spacing w:val="-3"/>
          <w:sz w:val="20"/>
        </w:rPr>
        <w:t>would</w:t>
      </w:r>
      <w:r>
        <w:rPr>
          <w:spacing w:val="-5"/>
          <w:sz w:val="20"/>
        </w:rPr>
        <w:t> </w:t>
      </w:r>
      <w:r>
        <w:rPr>
          <w:sz w:val="20"/>
        </w:rPr>
        <w:t>be</w:t>
      </w:r>
      <w:r>
        <w:rPr>
          <w:spacing w:val="-5"/>
          <w:sz w:val="20"/>
        </w:rPr>
        <w:t> </w:t>
      </w:r>
      <w:r>
        <w:rPr>
          <w:sz w:val="20"/>
        </w:rPr>
        <w:t>arranged</w:t>
      </w:r>
      <w:r>
        <w:rPr>
          <w:spacing w:val="-5"/>
          <w:sz w:val="20"/>
        </w:rPr>
        <w:t> </w:t>
      </w:r>
      <w:r>
        <w:rPr>
          <w:spacing w:val="-3"/>
          <w:sz w:val="20"/>
        </w:rPr>
        <w:t>by</w:t>
      </w:r>
      <w:r>
        <w:rPr>
          <w:spacing w:val="-5"/>
          <w:sz w:val="20"/>
        </w:rPr>
        <w:t> </w:t>
      </w:r>
      <w:r>
        <w:rPr>
          <w:sz w:val="20"/>
        </w:rPr>
        <w:t>the</w:t>
      </w:r>
      <w:r>
        <w:rPr>
          <w:spacing w:val="-5"/>
          <w:sz w:val="20"/>
        </w:rPr>
        <w:t> </w:t>
      </w:r>
      <w:r>
        <w:rPr>
          <w:sz w:val="20"/>
        </w:rPr>
        <w:t>court</w:t>
      </w:r>
      <w:r>
        <w:rPr>
          <w:spacing w:val="-5"/>
          <w:sz w:val="20"/>
        </w:rPr>
        <w:t> </w:t>
      </w:r>
      <w:r>
        <w:rPr>
          <w:sz w:val="20"/>
        </w:rPr>
        <w:t>or</w:t>
      </w:r>
      <w:r>
        <w:rPr>
          <w:spacing w:val="-5"/>
          <w:sz w:val="20"/>
        </w:rPr>
        <w:t> </w:t>
      </w:r>
      <w:r>
        <w:rPr>
          <w:sz w:val="20"/>
        </w:rPr>
        <w:t>Juries</w:t>
      </w:r>
      <w:r>
        <w:rPr>
          <w:spacing w:val="-6"/>
          <w:sz w:val="20"/>
        </w:rPr>
        <w:t> </w:t>
      </w:r>
      <w:r>
        <w:rPr>
          <w:sz w:val="20"/>
        </w:rPr>
        <w:t>Victoria.</w:t>
      </w:r>
    </w:p>
    <w:p>
      <w:pPr>
        <w:pStyle w:val="ListParagraph"/>
        <w:numPr>
          <w:ilvl w:val="1"/>
          <w:numId w:val="12"/>
        </w:numPr>
        <w:tabs>
          <w:tab w:pos="1761" w:val="left" w:leader="none"/>
          <w:tab w:pos="1762" w:val="left" w:leader="none"/>
        </w:tabs>
        <w:spacing w:line="206" w:lineRule="auto" w:before="128" w:after="0"/>
        <w:ind w:left="1761" w:right="1346" w:hanging="794"/>
        <w:jc w:val="left"/>
        <w:rPr>
          <w:sz w:val="11"/>
        </w:rPr>
      </w:pPr>
      <w:r>
        <w:rPr>
          <w:sz w:val="20"/>
        </w:rPr>
        <w:t>Vision</w:t>
      </w:r>
      <w:r>
        <w:rPr>
          <w:spacing w:val="-12"/>
          <w:sz w:val="20"/>
        </w:rPr>
        <w:t> </w:t>
      </w:r>
      <w:r>
        <w:rPr>
          <w:sz w:val="20"/>
        </w:rPr>
        <w:t>Australia</w:t>
      </w:r>
      <w:r>
        <w:rPr>
          <w:spacing w:val="-12"/>
          <w:sz w:val="20"/>
        </w:rPr>
        <w:t> </w:t>
      </w:r>
      <w:r>
        <w:rPr>
          <w:sz w:val="20"/>
        </w:rPr>
        <w:t>suggested</w:t>
      </w:r>
      <w:r>
        <w:rPr>
          <w:spacing w:val="-12"/>
          <w:sz w:val="20"/>
        </w:rPr>
        <w:t> </w:t>
      </w:r>
      <w:r>
        <w:rPr>
          <w:sz w:val="20"/>
        </w:rPr>
        <w:t>that</w:t>
      </w:r>
      <w:r>
        <w:rPr>
          <w:spacing w:val="-11"/>
          <w:sz w:val="20"/>
        </w:rPr>
        <w:t> </w:t>
      </w:r>
      <w:r>
        <w:rPr>
          <w:sz w:val="20"/>
        </w:rPr>
        <w:t>a</w:t>
      </w:r>
      <w:r>
        <w:rPr>
          <w:spacing w:val="-12"/>
          <w:sz w:val="20"/>
        </w:rPr>
        <w:t> </w:t>
      </w:r>
      <w:r>
        <w:rPr>
          <w:sz w:val="20"/>
        </w:rPr>
        <w:t>‘court</w:t>
      </w:r>
      <w:r>
        <w:rPr>
          <w:spacing w:val="-12"/>
          <w:sz w:val="20"/>
        </w:rPr>
        <w:t> </w:t>
      </w:r>
      <w:r>
        <w:rPr>
          <w:sz w:val="20"/>
        </w:rPr>
        <w:t>appointed</w:t>
      </w:r>
      <w:r>
        <w:rPr>
          <w:spacing w:val="-12"/>
          <w:sz w:val="20"/>
        </w:rPr>
        <w:t> </w:t>
      </w:r>
      <w:r>
        <w:rPr>
          <w:sz w:val="20"/>
        </w:rPr>
        <w:t>support</w:t>
      </w:r>
      <w:r>
        <w:rPr>
          <w:spacing w:val="-11"/>
          <w:sz w:val="20"/>
        </w:rPr>
        <w:t> </w:t>
      </w:r>
      <w:r>
        <w:rPr>
          <w:sz w:val="20"/>
        </w:rPr>
        <w:t>person</w:t>
      </w:r>
      <w:r>
        <w:rPr>
          <w:spacing w:val="-12"/>
          <w:sz w:val="20"/>
        </w:rPr>
        <w:t> </w:t>
      </w:r>
      <w:r>
        <w:rPr>
          <w:sz w:val="20"/>
        </w:rPr>
        <w:t>should</w:t>
      </w:r>
      <w:r>
        <w:rPr>
          <w:spacing w:val="-12"/>
          <w:sz w:val="20"/>
        </w:rPr>
        <w:t> </w:t>
      </w:r>
      <w:r>
        <w:rPr>
          <w:sz w:val="20"/>
        </w:rPr>
        <w:t>be</w:t>
      </w:r>
      <w:r>
        <w:rPr>
          <w:spacing w:val="-12"/>
          <w:sz w:val="20"/>
        </w:rPr>
        <w:t> </w:t>
      </w:r>
      <w:r>
        <w:rPr>
          <w:sz w:val="20"/>
        </w:rPr>
        <w:t>assigned at the outset [of the jury selection</w:t>
      </w:r>
      <w:r>
        <w:rPr>
          <w:spacing w:val="-31"/>
          <w:sz w:val="20"/>
        </w:rPr>
        <w:t> </w:t>
      </w:r>
      <w:r>
        <w:rPr>
          <w:spacing w:val="-3"/>
          <w:sz w:val="20"/>
        </w:rPr>
        <w:t>process]’:</w:t>
      </w:r>
      <w:r>
        <w:rPr>
          <w:spacing w:val="-3"/>
          <w:position w:val="7"/>
          <w:sz w:val="11"/>
        </w:rPr>
        <w:t>2</w:t>
      </w:r>
    </w:p>
    <w:p>
      <w:pPr>
        <w:spacing w:line="208" w:lineRule="auto" w:before="120"/>
        <w:ind w:left="2157" w:right="1280" w:firstLine="0"/>
        <w:jc w:val="left"/>
        <w:rPr>
          <w:sz w:val="19"/>
        </w:rPr>
      </w:pPr>
      <w:r>
        <w:rPr>
          <w:spacing w:val="-5"/>
          <w:sz w:val="19"/>
        </w:rPr>
        <w:t>We </w:t>
      </w:r>
      <w:r>
        <w:rPr>
          <w:sz w:val="19"/>
        </w:rPr>
        <w:t>envisage that a court-appointed support person would assist a (prospective) blind or </w:t>
      </w:r>
      <w:r>
        <w:rPr>
          <w:spacing w:val="-3"/>
          <w:sz w:val="19"/>
        </w:rPr>
        <w:t>low </w:t>
      </w:r>
      <w:r>
        <w:rPr>
          <w:sz w:val="19"/>
        </w:rPr>
        <w:t>vision juror from the time they arrive at the court precinct (for example, by taxi or public transport) until they </w:t>
      </w:r>
      <w:r>
        <w:rPr>
          <w:spacing w:val="-3"/>
          <w:sz w:val="19"/>
        </w:rPr>
        <w:t>leave </w:t>
      </w:r>
      <w:r>
        <w:rPr>
          <w:sz w:val="19"/>
        </w:rPr>
        <w:t>after the trial or after they </w:t>
      </w:r>
      <w:r>
        <w:rPr>
          <w:spacing w:val="-3"/>
          <w:sz w:val="19"/>
        </w:rPr>
        <w:t>have </w:t>
      </w:r>
      <w:r>
        <w:rPr>
          <w:sz w:val="19"/>
        </w:rPr>
        <w:t>been stood aside. The support person would assist the blind or </w:t>
      </w:r>
      <w:r>
        <w:rPr>
          <w:spacing w:val="-3"/>
          <w:sz w:val="19"/>
        </w:rPr>
        <w:t>low </w:t>
      </w:r>
      <w:r>
        <w:rPr>
          <w:sz w:val="19"/>
        </w:rPr>
        <w:t>vision juror with a variety of tasks and activities, including: navigating around the court environment (for example, getting from one part of the building to another, finding the bathroom, locating meals and</w:t>
      </w:r>
      <w:r>
        <w:rPr>
          <w:spacing w:val="-4"/>
          <w:sz w:val="19"/>
        </w:rPr>
        <w:t> </w:t>
      </w:r>
      <w:r>
        <w:rPr>
          <w:sz w:val="19"/>
        </w:rPr>
        <w:t>refreshments);</w:t>
      </w:r>
      <w:r>
        <w:rPr>
          <w:spacing w:val="-3"/>
          <w:sz w:val="19"/>
        </w:rPr>
        <w:t> </w:t>
      </w:r>
      <w:r>
        <w:rPr>
          <w:sz w:val="19"/>
        </w:rPr>
        <w:t>identifying</w:t>
      </w:r>
      <w:r>
        <w:rPr>
          <w:spacing w:val="-4"/>
          <w:sz w:val="19"/>
        </w:rPr>
        <w:t> </w:t>
      </w:r>
      <w:r>
        <w:rPr>
          <w:spacing w:val="-3"/>
          <w:sz w:val="19"/>
        </w:rPr>
        <w:t>key </w:t>
      </w:r>
      <w:r>
        <w:rPr>
          <w:sz w:val="19"/>
        </w:rPr>
        <w:t>people</w:t>
      </w:r>
      <w:r>
        <w:rPr>
          <w:spacing w:val="-3"/>
          <w:sz w:val="19"/>
        </w:rPr>
        <w:t> </w:t>
      </w:r>
      <w:r>
        <w:rPr>
          <w:sz w:val="19"/>
        </w:rPr>
        <w:t>such</w:t>
      </w:r>
      <w:r>
        <w:rPr>
          <w:spacing w:val="-4"/>
          <w:sz w:val="19"/>
        </w:rPr>
        <w:t> </w:t>
      </w:r>
      <w:r>
        <w:rPr>
          <w:sz w:val="19"/>
        </w:rPr>
        <w:t>as</w:t>
      </w:r>
      <w:r>
        <w:rPr>
          <w:spacing w:val="-3"/>
          <w:sz w:val="19"/>
        </w:rPr>
        <w:t> </w:t>
      </w:r>
      <w:r>
        <w:rPr>
          <w:sz w:val="19"/>
        </w:rPr>
        <w:t>the</w:t>
      </w:r>
      <w:r>
        <w:rPr>
          <w:spacing w:val="-4"/>
          <w:sz w:val="19"/>
        </w:rPr>
        <w:t> </w:t>
      </w:r>
      <w:r>
        <w:rPr>
          <w:sz w:val="19"/>
        </w:rPr>
        <w:t>trial</w:t>
      </w:r>
      <w:r>
        <w:rPr>
          <w:spacing w:val="-3"/>
          <w:sz w:val="19"/>
        </w:rPr>
        <w:t> </w:t>
      </w:r>
      <w:r>
        <w:rPr>
          <w:sz w:val="19"/>
        </w:rPr>
        <w:t>judge</w:t>
      </w:r>
      <w:r>
        <w:rPr>
          <w:spacing w:val="-3"/>
          <w:sz w:val="19"/>
        </w:rPr>
        <w:t> </w:t>
      </w:r>
      <w:r>
        <w:rPr>
          <w:sz w:val="19"/>
        </w:rPr>
        <w:t>and</w:t>
      </w:r>
      <w:r>
        <w:rPr>
          <w:spacing w:val="-4"/>
          <w:sz w:val="19"/>
        </w:rPr>
        <w:t> </w:t>
      </w:r>
      <w:r>
        <w:rPr>
          <w:sz w:val="19"/>
        </w:rPr>
        <w:t>the</w:t>
      </w:r>
      <w:r>
        <w:rPr>
          <w:spacing w:val="-3"/>
          <w:sz w:val="19"/>
        </w:rPr>
        <w:t> </w:t>
      </w:r>
      <w:r>
        <w:rPr>
          <w:sz w:val="19"/>
        </w:rPr>
        <w:t>foreman</w:t>
      </w:r>
      <w:r>
        <w:rPr>
          <w:spacing w:val="-3"/>
          <w:sz w:val="19"/>
        </w:rPr>
        <w:t> </w:t>
      </w:r>
      <w:r>
        <w:rPr>
          <w:sz w:val="19"/>
        </w:rPr>
        <w:t>of</w:t>
      </w:r>
    </w:p>
    <w:p>
      <w:pPr>
        <w:pStyle w:val="BodyText"/>
      </w:pPr>
    </w:p>
    <w:p>
      <w:pPr>
        <w:pStyle w:val="BodyText"/>
        <w:spacing w:before="1"/>
        <w:rPr>
          <w:sz w:val="15"/>
        </w:rPr>
      </w:pPr>
      <w:r>
        <w:rPr/>
        <w:pict>
          <v:line style="position:absolute;mso-position-horizontal-relative:page;mso-position-vertical-relative:paragraph;z-index:8960;mso-wrap-distance-left:0;mso-wrap-distance-right:0" from="79.370003pt,12.918404pt" to="515.905003pt,12.918404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spacing w:before="54"/>
        <w:ind w:left="100" w:right="0" w:firstLine="0"/>
        <w:jc w:val="left"/>
        <w:rPr>
          <w:b/>
          <w:sz w:val="24"/>
        </w:rPr>
      </w:pPr>
      <w:r>
        <w:rPr/>
        <w:pict>
          <v:rect style="position:absolute;margin-left:0pt;margin-top:99.213013pt;width:14.173pt;height:85.748pt;mso-position-horizontal-relative:page;mso-position-vertical-relative:page;z-index:11032" filled="true" fillcolor="#37617a" stroked="false">
            <v:fill type="solid"/>
            <w10:wrap type="none"/>
          </v:rect>
        </w:pict>
      </w:r>
      <w:r>
        <w:rPr>
          <w:b/>
          <w:color w:val="37617A"/>
          <w:sz w:val="24"/>
        </w:rPr>
        <w:t>170</w:t>
      </w:r>
    </w:p>
    <w:p>
      <w:pPr>
        <w:pStyle w:val="ListParagraph"/>
        <w:numPr>
          <w:ilvl w:val="0"/>
          <w:numId w:val="104"/>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z w:val="13"/>
        </w:rPr>
        <w:t>Consultation 1 </w:t>
      </w:r>
      <w:r>
        <w:rPr>
          <w:spacing w:val="2"/>
          <w:sz w:val="13"/>
        </w:rPr>
        <w:t>(Blind </w:t>
      </w:r>
      <w:r>
        <w:rPr>
          <w:sz w:val="13"/>
        </w:rPr>
        <w:t>Citizens</w:t>
      </w:r>
      <w:r>
        <w:rPr>
          <w:spacing w:val="-2"/>
          <w:sz w:val="13"/>
        </w:rPr>
        <w:t> </w:t>
      </w:r>
      <w:r>
        <w:rPr>
          <w:sz w:val="13"/>
        </w:rPr>
        <w:t>Australia).</w:t>
      </w:r>
    </w:p>
    <w:p>
      <w:pPr>
        <w:pStyle w:val="ListParagraph"/>
        <w:numPr>
          <w:ilvl w:val="0"/>
          <w:numId w:val="104"/>
        </w:numPr>
        <w:tabs>
          <w:tab w:pos="893" w:val="left" w:leader="none"/>
          <w:tab w:pos="894" w:val="left" w:leader="none"/>
        </w:tabs>
        <w:spacing w:line="170" w:lineRule="exact" w:before="0" w:after="0"/>
        <w:ind w:left="893" w:right="0" w:hanging="793"/>
        <w:jc w:val="left"/>
        <w:rPr>
          <w:sz w:val="13"/>
        </w:rPr>
      </w:pPr>
      <w:r>
        <w:rPr>
          <w:sz w:val="13"/>
        </w:rPr>
        <w:t>Consultation 7 </w:t>
      </w:r>
      <w:r>
        <w:rPr>
          <w:spacing w:val="2"/>
          <w:sz w:val="13"/>
        </w:rPr>
        <w:t>(Vision</w:t>
      </w:r>
      <w:r>
        <w:rPr>
          <w:sz w:val="13"/>
        </w:rPr>
        <w:t> Australia).</w:t>
      </w:r>
    </w:p>
    <w:p>
      <w:pPr>
        <w:spacing w:after="0" w:line="170" w:lineRule="exact"/>
        <w:jc w:val="left"/>
        <w:rPr>
          <w:sz w:val="13"/>
        </w:rPr>
        <w:sectPr>
          <w:type w:val="continuous"/>
          <w:pgSz w:w="11910" w:h="16840"/>
          <w:pgMar w:top="620" w:bottom="280" w:left="620" w:right="380"/>
          <w:cols w:num="2" w:equalWidth="0">
            <w:col w:w="524" w:space="344"/>
            <w:col w:w="10042"/>
          </w:cols>
        </w:sectPr>
      </w:pPr>
    </w:p>
    <w:p>
      <w:pPr>
        <w:pStyle w:val="BodyText"/>
      </w:pPr>
    </w:p>
    <w:p>
      <w:pPr>
        <w:pStyle w:val="BodyText"/>
      </w:pPr>
    </w:p>
    <w:p>
      <w:pPr>
        <w:pStyle w:val="BodyText"/>
      </w:pPr>
    </w:p>
    <w:p>
      <w:pPr>
        <w:pStyle w:val="BodyText"/>
        <w:spacing w:before="6"/>
        <w:rPr>
          <w:sz w:val="14"/>
        </w:rPr>
      </w:pPr>
    </w:p>
    <w:p>
      <w:pPr>
        <w:spacing w:line="208" w:lineRule="auto" w:before="88"/>
        <w:ind w:left="2157" w:right="1277" w:firstLine="0"/>
        <w:jc w:val="left"/>
        <w:rPr>
          <w:sz w:val="11"/>
        </w:rPr>
      </w:pPr>
      <w:bookmarkStart w:name="_bookmark124" w:id="295"/>
      <w:bookmarkEnd w:id="295"/>
      <w:r>
        <w:rPr/>
      </w:r>
      <w:r>
        <w:rPr>
          <w:sz w:val="19"/>
        </w:rPr>
        <w:t>the jury; accessing documents and other material during the trial; describing (but not interpreting) information presented visually, such as charts and graphs.</w:t>
      </w:r>
      <w:r>
        <w:rPr>
          <w:position w:val="6"/>
          <w:sz w:val="11"/>
        </w:rPr>
        <w:t>3</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Blind</w:t>
      </w:r>
      <w:r>
        <w:rPr>
          <w:spacing w:val="-6"/>
          <w:sz w:val="20"/>
        </w:rPr>
        <w:t> </w:t>
      </w:r>
      <w:r>
        <w:rPr>
          <w:spacing w:val="-3"/>
          <w:sz w:val="20"/>
        </w:rPr>
        <w:t>Citizens</w:t>
      </w:r>
      <w:r>
        <w:rPr>
          <w:spacing w:val="-5"/>
          <w:sz w:val="20"/>
        </w:rPr>
        <w:t> </w:t>
      </w:r>
      <w:r>
        <w:rPr>
          <w:sz w:val="20"/>
        </w:rPr>
        <w:t>Australia</w:t>
      </w:r>
      <w:r>
        <w:rPr>
          <w:spacing w:val="-5"/>
          <w:sz w:val="20"/>
        </w:rPr>
        <w:t> </w:t>
      </w:r>
      <w:r>
        <w:rPr>
          <w:sz w:val="20"/>
        </w:rPr>
        <w:t>also</w:t>
      </w:r>
      <w:r>
        <w:rPr>
          <w:spacing w:val="-5"/>
          <w:sz w:val="20"/>
        </w:rPr>
        <w:t> </w:t>
      </w:r>
      <w:r>
        <w:rPr>
          <w:sz w:val="20"/>
        </w:rPr>
        <w:t>supported</w:t>
      </w:r>
      <w:r>
        <w:rPr>
          <w:spacing w:val="-5"/>
          <w:sz w:val="20"/>
        </w:rPr>
        <w:t> </w:t>
      </w:r>
      <w:r>
        <w:rPr>
          <w:sz w:val="20"/>
        </w:rPr>
        <w:t>the</w:t>
      </w:r>
      <w:r>
        <w:rPr>
          <w:spacing w:val="-5"/>
          <w:sz w:val="20"/>
        </w:rPr>
        <w:t> </w:t>
      </w:r>
      <w:r>
        <w:rPr>
          <w:spacing w:val="-3"/>
          <w:sz w:val="20"/>
        </w:rPr>
        <w:t>provision</w:t>
      </w:r>
      <w:r>
        <w:rPr>
          <w:spacing w:val="-5"/>
          <w:sz w:val="20"/>
        </w:rPr>
        <w:t> </w:t>
      </w:r>
      <w:r>
        <w:rPr>
          <w:sz w:val="20"/>
        </w:rPr>
        <w:t>of</w:t>
      </w:r>
      <w:r>
        <w:rPr>
          <w:spacing w:val="-5"/>
          <w:sz w:val="20"/>
        </w:rPr>
        <w:t> </w:t>
      </w:r>
      <w:r>
        <w:rPr>
          <w:sz w:val="20"/>
        </w:rPr>
        <w:t>a</w:t>
      </w:r>
      <w:r>
        <w:rPr>
          <w:spacing w:val="-6"/>
          <w:sz w:val="20"/>
        </w:rPr>
        <w:t> </w:t>
      </w:r>
      <w:r>
        <w:rPr>
          <w:sz w:val="20"/>
        </w:rPr>
        <w:t>‘support</w:t>
      </w:r>
      <w:r>
        <w:rPr>
          <w:spacing w:val="-5"/>
          <w:sz w:val="20"/>
        </w:rPr>
        <w:t> </w:t>
      </w:r>
      <w:r>
        <w:rPr>
          <w:sz w:val="20"/>
        </w:rPr>
        <w:t>person’</w:t>
      </w:r>
      <w:r>
        <w:rPr>
          <w:spacing w:val="-5"/>
          <w:sz w:val="20"/>
        </w:rPr>
        <w:t> </w:t>
      </w:r>
      <w:r>
        <w:rPr>
          <w:sz w:val="20"/>
        </w:rPr>
        <w:t>and</w:t>
      </w:r>
      <w:r>
        <w:rPr>
          <w:spacing w:val="-5"/>
          <w:sz w:val="20"/>
        </w:rPr>
        <w:t> </w:t>
      </w:r>
      <w:r>
        <w:rPr>
          <w:sz w:val="20"/>
        </w:rPr>
        <w:t>noted:</w:t>
      </w:r>
    </w:p>
    <w:p>
      <w:pPr>
        <w:spacing w:line="208" w:lineRule="auto" w:before="113"/>
        <w:ind w:left="2157" w:right="1277" w:firstLine="0"/>
        <w:jc w:val="left"/>
        <w:rPr>
          <w:sz w:val="11"/>
        </w:rPr>
      </w:pPr>
      <w:r>
        <w:rPr>
          <w:sz w:val="19"/>
        </w:rPr>
        <w:t>The Commission can’t assume that everyone who is blind or with low vision will turn up at Court with a supporter. Some people might turn up on their own. Therefore, the court needs to be able to provide a support person to assist people throughout the process—to show them where the rest rooms are, to help them in mealtimes etc.</w:t>
      </w:r>
      <w:r>
        <w:rPr>
          <w:position w:val="6"/>
          <w:sz w:val="11"/>
        </w:rPr>
        <w:t>4</w:t>
      </w:r>
    </w:p>
    <w:p>
      <w:pPr>
        <w:pStyle w:val="ListParagraph"/>
        <w:numPr>
          <w:ilvl w:val="1"/>
          <w:numId w:val="12"/>
        </w:numPr>
        <w:tabs>
          <w:tab w:pos="1761" w:val="left" w:leader="none"/>
          <w:tab w:pos="1762" w:val="left" w:leader="none"/>
        </w:tabs>
        <w:spacing w:line="206" w:lineRule="auto" w:before="124" w:after="0"/>
        <w:ind w:left="1761" w:right="1733" w:hanging="794"/>
        <w:jc w:val="left"/>
        <w:rPr>
          <w:sz w:val="11"/>
        </w:rPr>
      </w:pPr>
      <w:r>
        <w:rPr>
          <w:sz w:val="20"/>
        </w:rPr>
        <w:t>Her</w:t>
      </w:r>
      <w:r>
        <w:rPr>
          <w:spacing w:val="-7"/>
          <w:sz w:val="20"/>
        </w:rPr>
        <w:t> </w:t>
      </w:r>
      <w:r>
        <w:rPr>
          <w:sz w:val="20"/>
        </w:rPr>
        <w:t>Majesty’s</w:t>
      </w:r>
      <w:r>
        <w:rPr>
          <w:spacing w:val="-7"/>
          <w:sz w:val="20"/>
        </w:rPr>
        <w:t> </w:t>
      </w:r>
      <w:r>
        <w:rPr>
          <w:sz w:val="20"/>
        </w:rPr>
        <w:t>Courts</w:t>
      </w:r>
      <w:r>
        <w:rPr>
          <w:spacing w:val="-7"/>
          <w:sz w:val="20"/>
        </w:rPr>
        <w:t> </w:t>
      </w:r>
      <w:r>
        <w:rPr>
          <w:sz w:val="20"/>
        </w:rPr>
        <w:t>and</w:t>
      </w:r>
      <w:r>
        <w:rPr>
          <w:spacing w:val="-6"/>
          <w:sz w:val="20"/>
        </w:rPr>
        <w:t> </w:t>
      </w:r>
      <w:r>
        <w:rPr>
          <w:spacing w:val="-4"/>
          <w:sz w:val="20"/>
        </w:rPr>
        <w:t>Tribunal</w:t>
      </w:r>
      <w:r>
        <w:rPr>
          <w:spacing w:val="-7"/>
          <w:sz w:val="20"/>
        </w:rPr>
        <w:t> </w:t>
      </w:r>
      <w:r>
        <w:rPr>
          <w:sz w:val="20"/>
        </w:rPr>
        <w:t>Services</w:t>
      </w:r>
      <w:r>
        <w:rPr>
          <w:spacing w:val="-7"/>
          <w:sz w:val="20"/>
        </w:rPr>
        <w:t> </w:t>
      </w:r>
      <w:r>
        <w:rPr>
          <w:spacing w:val="-3"/>
          <w:sz w:val="20"/>
        </w:rPr>
        <w:t>(HMCTS)</w:t>
      </w:r>
      <w:r>
        <w:rPr>
          <w:spacing w:val="-6"/>
          <w:sz w:val="20"/>
        </w:rPr>
        <w:t> </w:t>
      </w:r>
      <w:r>
        <w:rPr>
          <w:spacing w:val="-4"/>
          <w:sz w:val="20"/>
        </w:rPr>
        <w:t>have</w:t>
      </w:r>
      <w:r>
        <w:rPr>
          <w:spacing w:val="-7"/>
          <w:sz w:val="20"/>
        </w:rPr>
        <w:t> </w:t>
      </w:r>
      <w:r>
        <w:rPr>
          <w:sz w:val="20"/>
        </w:rPr>
        <w:t>advised</w:t>
      </w:r>
      <w:r>
        <w:rPr>
          <w:spacing w:val="-7"/>
          <w:sz w:val="20"/>
        </w:rPr>
        <w:t> </w:t>
      </w:r>
      <w:r>
        <w:rPr>
          <w:sz w:val="20"/>
        </w:rPr>
        <w:t>that</w:t>
      </w:r>
      <w:r>
        <w:rPr>
          <w:spacing w:val="-6"/>
          <w:sz w:val="20"/>
        </w:rPr>
        <w:t> </w:t>
      </w:r>
      <w:r>
        <w:rPr>
          <w:sz w:val="20"/>
        </w:rPr>
        <w:t>an</w:t>
      </w:r>
      <w:r>
        <w:rPr>
          <w:spacing w:val="-7"/>
          <w:sz w:val="20"/>
        </w:rPr>
        <w:t> </w:t>
      </w:r>
      <w:r>
        <w:rPr>
          <w:sz w:val="20"/>
        </w:rPr>
        <w:t>usher</w:t>
      </w:r>
      <w:r>
        <w:rPr>
          <w:spacing w:val="-7"/>
          <w:sz w:val="20"/>
        </w:rPr>
        <w:t> </w:t>
      </w:r>
      <w:r>
        <w:rPr>
          <w:sz w:val="20"/>
        </w:rPr>
        <w:t>is assigned in England and </w:t>
      </w:r>
      <w:r>
        <w:rPr>
          <w:spacing w:val="-4"/>
          <w:sz w:val="20"/>
        </w:rPr>
        <w:t>Wales </w:t>
      </w:r>
      <w:r>
        <w:rPr>
          <w:sz w:val="20"/>
        </w:rPr>
        <w:t>to support a juror with disability throughout their service to </w:t>
      </w:r>
      <w:r>
        <w:rPr>
          <w:spacing w:val="-3"/>
          <w:sz w:val="20"/>
        </w:rPr>
        <w:t>‘make </w:t>
      </w:r>
      <w:r>
        <w:rPr>
          <w:sz w:val="20"/>
        </w:rPr>
        <w:t>the juror feel more at</w:t>
      </w:r>
      <w:r>
        <w:rPr>
          <w:spacing w:val="-33"/>
          <w:sz w:val="20"/>
        </w:rPr>
        <w:t> </w:t>
      </w:r>
      <w:r>
        <w:rPr>
          <w:spacing w:val="-3"/>
          <w:sz w:val="20"/>
        </w:rPr>
        <w:t>ease’.</w:t>
      </w:r>
      <w:r>
        <w:rPr>
          <w:spacing w:val="-3"/>
          <w:position w:val="7"/>
          <w:sz w:val="11"/>
        </w:rPr>
        <w:t>5</w:t>
      </w:r>
    </w:p>
    <w:p>
      <w:pPr>
        <w:pStyle w:val="ListParagraph"/>
        <w:numPr>
          <w:ilvl w:val="1"/>
          <w:numId w:val="12"/>
        </w:numPr>
        <w:tabs>
          <w:tab w:pos="1761" w:val="left" w:leader="none"/>
          <w:tab w:pos="1762" w:val="left" w:leader="none"/>
        </w:tabs>
        <w:spacing w:line="206" w:lineRule="auto" w:before="124" w:after="0"/>
        <w:ind w:left="1761" w:right="1503" w:hanging="794"/>
        <w:jc w:val="left"/>
        <w:rPr>
          <w:sz w:val="20"/>
        </w:rPr>
      </w:pPr>
      <w:r>
        <w:rPr>
          <w:spacing w:val="-6"/>
          <w:sz w:val="20"/>
        </w:rPr>
        <w:t>We</w:t>
      </w:r>
      <w:r>
        <w:rPr>
          <w:spacing w:val="-12"/>
          <w:sz w:val="20"/>
        </w:rPr>
        <w:t> </w:t>
      </w:r>
      <w:r>
        <w:rPr>
          <w:sz w:val="20"/>
        </w:rPr>
        <w:t>agree</w:t>
      </w:r>
      <w:r>
        <w:rPr>
          <w:spacing w:val="-12"/>
          <w:sz w:val="20"/>
        </w:rPr>
        <w:t> </w:t>
      </w:r>
      <w:r>
        <w:rPr>
          <w:sz w:val="20"/>
        </w:rPr>
        <w:t>that</w:t>
      </w:r>
      <w:r>
        <w:rPr>
          <w:spacing w:val="-12"/>
          <w:sz w:val="20"/>
        </w:rPr>
        <w:t> </w:t>
      </w:r>
      <w:r>
        <w:rPr>
          <w:sz w:val="20"/>
        </w:rPr>
        <w:t>an</w:t>
      </w:r>
      <w:r>
        <w:rPr>
          <w:spacing w:val="-12"/>
          <w:sz w:val="20"/>
        </w:rPr>
        <w:t> </w:t>
      </w:r>
      <w:r>
        <w:rPr>
          <w:sz w:val="20"/>
        </w:rPr>
        <w:t>accessibility</w:t>
      </w:r>
      <w:r>
        <w:rPr>
          <w:spacing w:val="-12"/>
          <w:sz w:val="20"/>
        </w:rPr>
        <w:t> </w:t>
      </w:r>
      <w:r>
        <w:rPr>
          <w:sz w:val="20"/>
        </w:rPr>
        <w:t>officer</w:t>
      </w:r>
      <w:r>
        <w:rPr>
          <w:spacing w:val="-12"/>
          <w:sz w:val="20"/>
        </w:rPr>
        <w:t> </w:t>
      </w:r>
      <w:r>
        <w:rPr>
          <w:spacing w:val="-3"/>
          <w:sz w:val="20"/>
        </w:rPr>
        <w:t>role</w:t>
      </w:r>
      <w:r>
        <w:rPr>
          <w:spacing w:val="-11"/>
          <w:sz w:val="20"/>
        </w:rPr>
        <w:t> </w:t>
      </w:r>
      <w:r>
        <w:rPr>
          <w:sz w:val="20"/>
        </w:rPr>
        <w:t>should</w:t>
      </w:r>
      <w:r>
        <w:rPr>
          <w:spacing w:val="-12"/>
          <w:sz w:val="20"/>
        </w:rPr>
        <w:t> </w:t>
      </w:r>
      <w:r>
        <w:rPr>
          <w:sz w:val="20"/>
        </w:rPr>
        <w:t>be</w:t>
      </w:r>
      <w:r>
        <w:rPr>
          <w:spacing w:val="-12"/>
          <w:sz w:val="20"/>
        </w:rPr>
        <w:t> </w:t>
      </w:r>
      <w:r>
        <w:rPr>
          <w:spacing w:val="-3"/>
          <w:sz w:val="20"/>
        </w:rPr>
        <w:t>created</w:t>
      </w:r>
      <w:r>
        <w:rPr>
          <w:spacing w:val="-12"/>
          <w:sz w:val="20"/>
        </w:rPr>
        <w:t> </w:t>
      </w:r>
      <w:r>
        <w:rPr>
          <w:sz w:val="20"/>
        </w:rPr>
        <w:t>to</w:t>
      </w:r>
      <w:r>
        <w:rPr>
          <w:spacing w:val="-12"/>
          <w:sz w:val="20"/>
        </w:rPr>
        <w:t> </w:t>
      </w:r>
      <w:r>
        <w:rPr>
          <w:sz w:val="20"/>
        </w:rPr>
        <w:t>complement</w:t>
      </w:r>
      <w:r>
        <w:rPr>
          <w:spacing w:val="-12"/>
          <w:sz w:val="20"/>
        </w:rPr>
        <w:t> </w:t>
      </w:r>
      <w:r>
        <w:rPr>
          <w:spacing w:val="-3"/>
          <w:sz w:val="20"/>
        </w:rPr>
        <w:t>reforms </w:t>
      </w:r>
      <w:r>
        <w:rPr>
          <w:sz w:val="20"/>
        </w:rPr>
        <w:t>in Victoria. The officer should be </w:t>
      </w:r>
      <w:r>
        <w:rPr>
          <w:spacing w:val="-3"/>
          <w:sz w:val="20"/>
        </w:rPr>
        <w:t>available </w:t>
      </w:r>
      <w:r>
        <w:rPr>
          <w:sz w:val="20"/>
        </w:rPr>
        <w:t>to jurors </w:t>
      </w:r>
      <w:r>
        <w:rPr>
          <w:spacing w:val="-3"/>
          <w:sz w:val="20"/>
        </w:rPr>
        <w:t>from </w:t>
      </w:r>
      <w:r>
        <w:rPr>
          <w:sz w:val="20"/>
        </w:rPr>
        <w:t>the subject groups where needed.</w:t>
      </w:r>
    </w:p>
    <w:p>
      <w:pPr>
        <w:spacing w:before="162"/>
        <w:ind w:left="967" w:right="0" w:firstLine="0"/>
        <w:jc w:val="left"/>
        <w:rPr>
          <w:b/>
          <w:sz w:val="24"/>
        </w:rPr>
      </w:pPr>
      <w:r>
        <w:rPr>
          <w:b/>
          <w:sz w:val="24"/>
        </w:rPr>
        <w:t>What would an accessibility officer do?</w:t>
      </w:r>
    </w:p>
    <w:p>
      <w:pPr>
        <w:pStyle w:val="ListParagraph"/>
        <w:numPr>
          <w:ilvl w:val="1"/>
          <w:numId w:val="12"/>
        </w:numPr>
        <w:tabs>
          <w:tab w:pos="1761" w:val="left" w:leader="none"/>
          <w:tab w:pos="1762" w:val="left" w:leader="none"/>
        </w:tabs>
        <w:spacing w:line="206" w:lineRule="auto" w:before="127" w:after="0"/>
        <w:ind w:left="1761" w:right="1229" w:hanging="794"/>
        <w:jc w:val="left"/>
        <w:rPr>
          <w:sz w:val="11"/>
        </w:rPr>
      </w:pPr>
      <w:r>
        <w:rPr>
          <w:sz w:val="20"/>
        </w:rPr>
        <w:t>An accessibility officer </w:t>
      </w:r>
      <w:r>
        <w:rPr>
          <w:spacing w:val="-3"/>
          <w:sz w:val="20"/>
        </w:rPr>
        <w:t>would provide </w:t>
      </w:r>
      <w:r>
        <w:rPr>
          <w:sz w:val="20"/>
        </w:rPr>
        <w:t>assistance with navigation through the jury selection</w:t>
      </w:r>
      <w:r>
        <w:rPr>
          <w:spacing w:val="-11"/>
          <w:sz w:val="20"/>
        </w:rPr>
        <w:t> </w:t>
      </w:r>
      <w:r>
        <w:rPr>
          <w:sz w:val="20"/>
        </w:rPr>
        <w:t>process</w:t>
      </w:r>
      <w:r>
        <w:rPr>
          <w:spacing w:val="-11"/>
          <w:sz w:val="20"/>
        </w:rPr>
        <w:t> </w:t>
      </w:r>
      <w:r>
        <w:rPr>
          <w:sz w:val="20"/>
        </w:rPr>
        <w:t>and</w:t>
      </w:r>
      <w:r>
        <w:rPr>
          <w:spacing w:val="-11"/>
          <w:sz w:val="20"/>
        </w:rPr>
        <w:t> </w:t>
      </w:r>
      <w:r>
        <w:rPr>
          <w:sz w:val="20"/>
        </w:rPr>
        <w:t>during</w:t>
      </w:r>
      <w:r>
        <w:rPr>
          <w:spacing w:val="-11"/>
          <w:sz w:val="20"/>
        </w:rPr>
        <w:t> </w:t>
      </w:r>
      <w:r>
        <w:rPr>
          <w:sz w:val="20"/>
        </w:rPr>
        <w:t>trial.</w:t>
      </w:r>
      <w:r>
        <w:rPr>
          <w:spacing w:val="-11"/>
          <w:sz w:val="20"/>
        </w:rPr>
        <w:t> </w:t>
      </w:r>
      <w:r>
        <w:rPr>
          <w:sz w:val="20"/>
        </w:rPr>
        <w:t>The</w:t>
      </w:r>
      <w:r>
        <w:rPr>
          <w:spacing w:val="-11"/>
          <w:sz w:val="20"/>
        </w:rPr>
        <w:t> </w:t>
      </w:r>
      <w:r>
        <w:rPr>
          <w:spacing w:val="-3"/>
          <w:sz w:val="20"/>
        </w:rPr>
        <w:t>role</w:t>
      </w:r>
      <w:r>
        <w:rPr>
          <w:spacing w:val="-11"/>
          <w:sz w:val="20"/>
        </w:rPr>
        <w:t> </w:t>
      </w:r>
      <w:r>
        <w:rPr>
          <w:sz w:val="20"/>
        </w:rPr>
        <w:t>should</w:t>
      </w:r>
      <w:r>
        <w:rPr>
          <w:spacing w:val="-11"/>
          <w:sz w:val="20"/>
        </w:rPr>
        <w:t> </w:t>
      </w:r>
      <w:r>
        <w:rPr>
          <w:sz w:val="20"/>
        </w:rPr>
        <w:t>be</w:t>
      </w:r>
      <w:r>
        <w:rPr>
          <w:spacing w:val="-11"/>
          <w:sz w:val="20"/>
        </w:rPr>
        <w:t> </w:t>
      </w:r>
      <w:r>
        <w:rPr>
          <w:sz w:val="20"/>
        </w:rPr>
        <w:t>limited</w:t>
      </w:r>
      <w:r>
        <w:rPr>
          <w:spacing w:val="-11"/>
          <w:sz w:val="20"/>
        </w:rPr>
        <w:t> </w:t>
      </w:r>
      <w:r>
        <w:rPr>
          <w:sz w:val="20"/>
        </w:rPr>
        <w:t>to</w:t>
      </w:r>
      <w:r>
        <w:rPr>
          <w:spacing w:val="-11"/>
          <w:sz w:val="20"/>
        </w:rPr>
        <w:t> </w:t>
      </w:r>
      <w:r>
        <w:rPr>
          <w:sz w:val="20"/>
        </w:rPr>
        <w:t>practical</w:t>
      </w:r>
      <w:r>
        <w:rPr>
          <w:spacing w:val="-11"/>
          <w:sz w:val="20"/>
        </w:rPr>
        <w:t> </w:t>
      </w:r>
      <w:r>
        <w:rPr>
          <w:sz w:val="20"/>
        </w:rPr>
        <w:t>support</w:t>
      </w:r>
      <w:r>
        <w:rPr>
          <w:spacing w:val="-11"/>
          <w:sz w:val="20"/>
        </w:rPr>
        <w:t> </w:t>
      </w:r>
      <w:r>
        <w:rPr>
          <w:sz w:val="20"/>
        </w:rPr>
        <w:t>in</w:t>
      </w:r>
      <w:r>
        <w:rPr>
          <w:spacing w:val="-11"/>
          <w:sz w:val="20"/>
        </w:rPr>
        <w:t> </w:t>
      </w:r>
      <w:r>
        <w:rPr>
          <w:sz w:val="20"/>
        </w:rPr>
        <w:t>and around the courtroom. The accessibility officer </w:t>
      </w:r>
      <w:r>
        <w:rPr>
          <w:spacing w:val="-3"/>
          <w:sz w:val="20"/>
        </w:rPr>
        <w:t>would </w:t>
      </w:r>
      <w:r>
        <w:rPr>
          <w:sz w:val="20"/>
        </w:rPr>
        <w:t>not enter the jury deliberation room.</w:t>
      </w:r>
      <w:r>
        <w:rPr>
          <w:spacing w:val="-9"/>
          <w:sz w:val="20"/>
        </w:rPr>
        <w:t> </w:t>
      </w:r>
      <w:r>
        <w:rPr>
          <w:sz w:val="20"/>
        </w:rPr>
        <w:t>If</w:t>
      </w:r>
      <w:r>
        <w:rPr>
          <w:spacing w:val="-9"/>
          <w:sz w:val="20"/>
        </w:rPr>
        <w:t> </w:t>
      </w:r>
      <w:r>
        <w:rPr>
          <w:sz w:val="20"/>
        </w:rPr>
        <w:t>a</w:t>
      </w:r>
      <w:r>
        <w:rPr>
          <w:spacing w:val="-8"/>
          <w:sz w:val="20"/>
        </w:rPr>
        <w:t> </w:t>
      </w:r>
      <w:r>
        <w:rPr>
          <w:sz w:val="20"/>
        </w:rPr>
        <w:t>person</w:t>
      </w:r>
      <w:r>
        <w:rPr>
          <w:spacing w:val="-9"/>
          <w:sz w:val="20"/>
        </w:rPr>
        <w:t> </w:t>
      </w:r>
      <w:r>
        <w:rPr>
          <w:sz w:val="20"/>
        </w:rPr>
        <w:t>needed</w:t>
      </w:r>
      <w:r>
        <w:rPr>
          <w:spacing w:val="-8"/>
          <w:sz w:val="20"/>
        </w:rPr>
        <w:t> </w:t>
      </w:r>
      <w:r>
        <w:rPr>
          <w:sz w:val="20"/>
        </w:rPr>
        <w:t>similar</w:t>
      </w:r>
      <w:r>
        <w:rPr>
          <w:spacing w:val="-9"/>
          <w:sz w:val="20"/>
        </w:rPr>
        <w:t> </w:t>
      </w:r>
      <w:r>
        <w:rPr>
          <w:sz w:val="20"/>
        </w:rPr>
        <w:t>assistance</w:t>
      </w:r>
      <w:r>
        <w:rPr>
          <w:spacing w:val="-8"/>
          <w:sz w:val="20"/>
        </w:rPr>
        <w:t> </w:t>
      </w:r>
      <w:r>
        <w:rPr>
          <w:sz w:val="20"/>
        </w:rPr>
        <w:t>in</w:t>
      </w:r>
      <w:r>
        <w:rPr>
          <w:spacing w:val="-9"/>
          <w:sz w:val="20"/>
        </w:rPr>
        <w:t> </w:t>
      </w:r>
      <w:r>
        <w:rPr>
          <w:sz w:val="20"/>
        </w:rPr>
        <w:t>the</w:t>
      </w:r>
      <w:r>
        <w:rPr>
          <w:spacing w:val="-8"/>
          <w:sz w:val="20"/>
        </w:rPr>
        <w:t> </w:t>
      </w:r>
      <w:r>
        <w:rPr>
          <w:sz w:val="20"/>
        </w:rPr>
        <w:t>jury</w:t>
      </w:r>
      <w:r>
        <w:rPr>
          <w:spacing w:val="-9"/>
          <w:sz w:val="20"/>
        </w:rPr>
        <w:t> </w:t>
      </w:r>
      <w:r>
        <w:rPr>
          <w:sz w:val="20"/>
        </w:rPr>
        <w:t>room,</w:t>
      </w:r>
      <w:r>
        <w:rPr>
          <w:spacing w:val="-8"/>
          <w:sz w:val="20"/>
        </w:rPr>
        <w:t> </w:t>
      </w:r>
      <w:r>
        <w:rPr>
          <w:sz w:val="20"/>
        </w:rPr>
        <w:t>they</w:t>
      </w:r>
      <w:r>
        <w:rPr>
          <w:spacing w:val="-9"/>
          <w:sz w:val="20"/>
        </w:rPr>
        <w:t> </w:t>
      </w:r>
      <w:r>
        <w:rPr>
          <w:sz w:val="20"/>
        </w:rPr>
        <w:t>could</w:t>
      </w:r>
      <w:r>
        <w:rPr>
          <w:spacing w:val="-8"/>
          <w:sz w:val="20"/>
        </w:rPr>
        <w:t> </w:t>
      </w:r>
      <w:r>
        <w:rPr>
          <w:sz w:val="20"/>
        </w:rPr>
        <w:t>be</w:t>
      </w:r>
      <w:r>
        <w:rPr>
          <w:spacing w:val="-9"/>
          <w:sz w:val="20"/>
        </w:rPr>
        <w:t> </w:t>
      </w:r>
      <w:r>
        <w:rPr>
          <w:sz w:val="20"/>
        </w:rPr>
        <w:t>paired</w:t>
      </w:r>
      <w:r>
        <w:rPr>
          <w:spacing w:val="-8"/>
          <w:sz w:val="20"/>
        </w:rPr>
        <w:t> </w:t>
      </w:r>
      <w:r>
        <w:rPr>
          <w:sz w:val="20"/>
        </w:rPr>
        <w:t>with a</w:t>
      </w:r>
      <w:r>
        <w:rPr>
          <w:spacing w:val="-9"/>
          <w:sz w:val="20"/>
        </w:rPr>
        <w:t> </w:t>
      </w:r>
      <w:r>
        <w:rPr>
          <w:sz w:val="20"/>
        </w:rPr>
        <w:t>‘buddy</w:t>
      </w:r>
      <w:r>
        <w:rPr>
          <w:spacing w:val="-9"/>
          <w:sz w:val="20"/>
        </w:rPr>
        <w:t> </w:t>
      </w:r>
      <w:r>
        <w:rPr>
          <w:sz w:val="20"/>
        </w:rPr>
        <w:t>juror’</w:t>
      </w:r>
      <w:r>
        <w:rPr>
          <w:spacing w:val="-8"/>
          <w:sz w:val="20"/>
        </w:rPr>
        <w:t> </w:t>
      </w:r>
      <w:r>
        <w:rPr>
          <w:sz w:val="20"/>
        </w:rPr>
        <w:t>at</w:t>
      </w:r>
      <w:r>
        <w:rPr>
          <w:spacing w:val="-9"/>
          <w:sz w:val="20"/>
        </w:rPr>
        <w:t> </w:t>
      </w:r>
      <w:r>
        <w:rPr>
          <w:sz w:val="20"/>
        </w:rPr>
        <w:t>the</w:t>
      </w:r>
      <w:r>
        <w:rPr>
          <w:spacing w:val="-8"/>
          <w:sz w:val="20"/>
        </w:rPr>
        <w:t> </w:t>
      </w:r>
      <w:r>
        <w:rPr>
          <w:sz w:val="20"/>
        </w:rPr>
        <w:t>start</w:t>
      </w:r>
      <w:r>
        <w:rPr>
          <w:spacing w:val="-9"/>
          <w:sz w:val="20"/>
        </w:rPr>
        <w:t> </w:t>
      </w:r>
      <w:r>
        <w:rPr>
          <w:sz w:val="20"/>
        </w:rPr>
        <w:t>of</w:t>
      </w:r>
      <w:r>
        <w:rPr>
          <w:spacing w:val="-8"/>
          <w:sz w:val="20"/>
        </w:rPr>
        <w:t> </w:t>
      </w:r>
      <w:r>
        <w:rPr>
          <w:sz w:val="20"/>
        </w:rPr>
        <w:t>deliberations.</w:t>
      </w:r>
      <w:r>
        <w:rPr>
          <w:spacing w:val="-9"/>
          <w:sz w:val="20"/>
        </w:rPr>
        <w:t> </w:t>
      </w:r>
      <w:r>
        <w:rPr>
          <w:sz w:val="20"/>
        </w:rPr>
        <w:t>This</w:t>
      </w:r>
      <w:r>
        <w:rPr>
          <w:spacing w:val="-8"/>
          <w:sz w:val="20"/>
        </w:rPr>
        <w:t> </w:t>
      </w:r>
      <w:r>
        <w:rPr>
          <w:sz w:val="20"/>
        </w:rPr>
        <w:t>is</w:t>
      </w:r>
      <w:r>
        <w:rPr>
          <w:spacing w:val="-9"/>
          <w:sz w:val="20"/>
        </w:rPr>
        <w:t> </w:t>
      </w:r>
      <w:r>
        <w:rPr>
          <w:sz w:val="20"/>
        </w:rPr>
        <w:t>what</w:t>
      </w:r>
      <w:r>
        <w:rPr>
          <w:spacing w:val="-8"/>
          <w:sz w:val="20"/>
        </w:rPr>
        <w:t> </w:t>
      </w:r>
      <w:r>
        <w:rPr>
          <w:sz w:val="20"/>
        </w:rPr>
        <w:t>happens</w:t>
      </w:r>
      <w:r>
        <w:rPr>
          <w:spacing w:val="-9"/>
          <w:sz w:val="20"/>
        </w:rPr>
        <w:t> </w:t>
      </w:r>
      <w:r>
        <w:rPr>
          <w:sz w:val="20"/>
        </w:rPr>
        <w:t>in</w:t>
      </w:r>
      <w:r>
        <w:rPr>
          <w:spacing w:val="-8"/>
          <w:sz w:val="20"/>
        </w:rPr>
        <w:t> </w:t>
      </w:r>
      <w:r>
        <w:rPr>
          <w:sz w:val="20"/>
        </w:rPr>
        <w:t>England</w:t>
      </w:r>
      <w:r>
        <w:rPr>
          <w:spacing w:val="-9"/>
          <w:sz w:val="20"/>
        </w:rPr>
        <w:t> </w:t>
      </w:r>
      <w:r>
        <w:rPr>
          <w:sz w:val="20"/>
        </w:rPr>
        <w:t>and</w:t>
      </w:r>
      <w:r>
        <w:rPr>
          <w:spacing w:val="-8"/>
          <w:sz w:val="20"/>
        </w:rPr>
        <w:t> </w:t>
      </w:r>
      <w:r>
        <w:rPr>
          <w:spacing w:val="-3"/>
          <w:sz w:val="20"/>
        </w:rPr>
        <w:t>Wales.</w:t>
      </w:r>
      <w:r>
        <w:rPr>
          <w:spacing w:val="-3"/>
          <w:position w:val="7"/>
          <w:sz w:val="11"/>
        </w:rPr>
        <w:t>6</w:t>
      </w:r>
    </w:p>
    <w:p>
      <w:pPr>
        <w:pStyle w:val="ListParagraph"/>
        <w:numPr>
          <w:ilvl w:val="1"/>
          <w:numId w:val="12"/>
        </w:numPr>
        <w:tabs>
          <w:tab w:pos="1761" w:val="left" w:leader="none"/>
          <w:tab w:pos="1762" w:val="left" w:leader="none"/>
        </w:tabs>
        <w:spacing w:line="259" w:lineRule="exact" w:before="94" w:after="0"/>
        <w:ind w:left="1761" w:right="0" w:hanging="794"/>
        <w:jc w:val="left"/>
        <w:rPr>
          <w:sz w:val="20"/>
        </w:rPr>
      </w:pPr>
      <w:r>
        <w:rPr>
          <w:sz w:val="20"/>
        </w:rPr>
        <w:t>The</w:t>
      </w:r>
      <w:r>
        <w:rPr>
          <w:spacing w:val="-5"/>
          <w:sz w:val="20"/>
        </w:rPr>
        <w:t> </w:t>
      </w:r>
      <w:r>
        <w:rPr>
          <w:spacing w:val="-3"/>
          <w:sz w:val="20"/>
        </w:rPr>
        <w:t>work</w:t>
      </w:r>
      <w:r>
        <w:rPr>
          <w:spacing w:val="-5"/>
          <w:sz w:val="20"/>
        </w:rPr>
        <w:t> </w:t>
      </w:r>
      <w:r>
        <w:rPr>
          <w:spacing w:val="-3"/>
          <w:sz w:val="20"/>
        </w:rPr>
        <w:t>required</w:t>
      </w:r>
      <w:r>
        <w:rPr>
          <w:spacing w:val="-5"/>
          <w:sz w:val="20"/>
        </w:rPr>
        <w:t> </w:t>
      </w:r>
      <w:r>
        <w:rPr>
          <w:spacing w:val="-3"/>
          <w:sz w:val="20"/>
        </w:rPr>
        <w:t>would</w:t>
      </w:r>
      <w:r>
        <w:rPr>
          <w:spacing w:val="-5"/>
          <w:sz w:val="20"/>
        </w:rPr>
        <w:t> </w:t>
      </w:r>
      <w:r>
        <w:rPr>
          <w:sz w:val="20"/>
        </w:rPr>
        <w:t>depend</w:t>
      </w:r>
      <w:r>
        <w:rPr>
          <w:spacing w:val="-5"/>
          <w:sz w:val="20"/>
        </w:rPr>
        <w:t> </w:t>
      </w:r>
      <w:r>
        <w:rPr>
          <w:sz w:val="20"/>
        </w:rPr>
        <w:t>on</w:t>
      </w:r>
      <w:r>
        <w:rPr>
          <w:spacing w:val="-5"/>
          <w:sz w:val="20"/>
        </w:rPr>
        <w:t> </w:t>
      </w:r>
      <w:r>
        <w:rPr>
          <w:sz w:val="20"/>
        </w:rPr>
        <w:t>the</w:t>
      </w:r>
      <w:r>
        <w:rPr>
          <w:spacing w:val="-5"/>
          <w:sz w:val="20"/>
        </w:rPr>
        <w:t> </w:t>
      </w:r>
      <w:r>
        <w:rPr>
          <w:sz w:val="20"/>
        </w:rPr>
        <w:t>potential</w:t>
      </w:r>
      <w:r>
        <w:rPr>
          <w:spacing w:val="-5"/>
          <w:sz w:val="20"/>
        </w:rPr>
        <w:t> </w:t>
      </w:r>
      <w:r>
        <w:rPr>
          <w:spacing w:val="-3"/>
          <w:sz w:val="20"/>
        </w:rPr>
        <w:t>juror’s</w:t>
      </w:r>
      <w:r>
        <w:rPr>
          <w:spacing w:val="-5"/>
          <w:sz w:val="20"/>
        </w:rPr>
        <w:t> </w:t>
      </w:r>
      <w:r>
        <w:rPr>
          <w:sz w:val="20"/>
        </w:rPr>
        <w:t>individual</w:t>
      </w:r>
      <w:r>
        <w:rPr>
          <w:spacing w:val="-5"/>
          <w:sz w:val="20"/>
        </w:rPr>
        <w:t> </w:t>
      </w:r>
      <w:r>
        <w:rPr>
          <w:sz w:val="20"/>
        </w:rPr>
        <w:t>needs.</w:t>
      </w:r>
      <w:r>
        <w:rPr>
          <w:spacing w:val="-5"/>
          <w:sz w:val="20"/>
        </w:rPr>
        <w:t> </w:t>
      </w:r>
      <w:r>
        <w:rPr>
          <w:spacing w:val="-3"/>
          <w:sz w:val="20"/>
        </w:rPr>
        <w:t>Generally,</w:t>
      </w:r>
    </w:p>
    <w:p>
      <w:pPr>
        <w:pStyle w:val="BodyText"/>
        <w:spacing w:line="259" w:lineRule="exact"/>
        <w:ind w:left="1761"/>
      </w:pPr>
      <w:r>
        <w:rPr/>
        <w:t>however, the accessibility officer might:</w:t>
      </w:r>
    </w:p>
    <w:p>
      <w:pPr>
        <w:pStyle w:val="ListParagraph"/>
        <w:numPr>
          <w:ilvl w:val="2"/>
          <w:numId w:val="12"/>
        </w:numPr>
        <w:tabs>
          <w:tab w:pos="2157" w:val="left" w:leader="none"/>
          <w:tab w:pos="2158" w:val="left" w:leader="none"/>
        </w:tabs>
        <w:spacing w:line="240" w:lineRule="auto" w:before="83" w:after="0"/>
        <w:ind w:left="2157" w:right="0" w:hanging="396"/>
        <w:jc w:val="left"/>
        <w:rPr>
          <w:sz w:val="20"/>
        </w:rPr>
      </w:pPr>
      <w:r>
        <w:rPr>
          <w:sz w:val="20"/>
        </w:rPr>
        <w:t>greet the potential juror at the court</w:t>
      </w:r>
      <w:r>
        <w:rPr>
          <w:spacing w:val="-33"/>
          <w:sz w:val="20"/>
        </w:rPr>
        <w:t> </w:t>
      </w:r>
      <w:r>
        <w:rPr>
          <w:sz w:val="20"/>
        </w:rPr>
        <w:t>building</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assist the potential juror through court</w:t>
      </w:r>
      <w:r>
        <w:rPr>
          <w:spacing w:val="-28"/>
          <w:sz w:val="20"/>
        </w:rPr>
        <w:t> </w:t>
      </w:r>
      <w:r>
        <w:rPr>
          <w:sz w:val="20"/>
        </w:rPr>
        <w:t>security</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direct them to the jury pool</w:t>
      </w:r>
      <w:r>
        <w:rPr>
          <w:spacing w:val="-26"/>
          <w:sz w:val="20"/>
        </w:rPr>
        <w:t> </w:t>
      </w:r>
      <w:r>
        <w:rPr>
          <w:sz w:val="20"/>
        </w:rPr>
        <w:t>room</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direct</w:t>
      </w:r>
      <w:r>
        <w:rPr>
          <w:spacing w:val="-5"/>
          <w:sz w:val="20"/>
        </w:rPr>
        <w:t> </w:t>
      </w:r>
      <w:r>
        <w:rPr>
          <w:sz w:val="20"/>
        </w:rPr>
        <w:t>them</w:t>
      </w:r>
      <w:r>
        <w:rPr>
          <w:spacing w:val="-5"/>
          <w:sz w:val="20"/>
        </w:rPr>
        <w:t> </w:t>
      </w:r>
      <w:r>
        <w:rPr>
          <w:spacing w:val="-3"/>
          <w:sz w:val="20"/>
        </w:rPr>
        <w:t>from</w:t>
      </w:r>
      <w:r>
        <w:rPr>
          <w:spacing w:val="-5"/>
          <w:sz w:val="20"/>
        </w:rPr>
        <w:t> </w:t>
      </w:r>
      <w:r>
        <w:rPr>
          <w:sz w:val="20"/>
        </w:rPr>
        <w:t>the</w:t>
      </w:r>
      <w:r>
        <w:rPr>
          <w:spacing w:val="-4"/>
          <w:sz w:val="20"/>
        </w:rPr>
        <w:t> </w:t>
      </w:r>
      <w:r>
        <w:rPr>
          <w:sz w:val="20"/>
        </w:rPr>
        <w:t>jury</w:t>
      </w:r>
      <w:r>
        <w:rPr>
          <w:spacing w:val="-5"/>
          <w:sz w:val="20"/>
        </w:rPr>
        <w:t> </w:t>
      </w:r>
      <w:r>
        <w:rPr>
          <w:sz w:val="20"/>
        </w:rPr>
        <w:t>pool</w:t>
      </w:r>
      <w:r>
        <w:rPr>
          <w:spacing w:val="-5"/>
          <w:sz w:val="20"/>
        </w:rPr>
        <w:t> </w:t>
      </w:r>
      <w:r>
        <w:rPr>
          <w:sz w:val="20"/>
        </w:rPr>
        <w:t>room</w:t>
      </w:r>
      <w:r>
        <w:rPr>
          <w:spacing w:val="-5"/>
          <w:sz w:val="20"/>
        </w:rPr>
        <w:t> </w:t>
      </w:r>
      <w:r>
        <w:rPr>
          <w:sz w:val="20"/>
        </w:rPr>
        <w:t>to</w:t>
      </w:r>
      <w:r>
        <w:rPr>
          <w:spacing w:val="-4"/>
          <w:sz w:val="20"/>
        </w:rPr>
        <w:t> </w:t>
      </w:r>
      <w:r>
        <w:rPr>
          <w:sz w:val="20"/>
        </w:rPr>
        <w:t>the</w:t>
      </w:r>
      <w:r>
        <w:rPr>
          <w:spacing w:val="-5"/>
          <w:sz w:val="20"/>
        </w:rPr>
        <w:t> </w:t>
      </w:r>
      <w:r>
        <w:rPr>
          <w:sz w:val="20"/>
        </w:rPr>
        <w:t>courtroom</w:t>
      </w:r>
      <w:r>
        <w:rPr>
          <w:spacing w:val="-5"/>
          <w:sz w:val="20"/>
        </w:rPr>
        <w:t> </w:t>
      </w:r>
      <w:r>
        <w:rPr>
          <w:sz w:val="20"/>
        </w:rPr>
        <w:t>if</w:t>
      </w:r>
      <w:r>
        <w:rPr>
          <w:spacing w:val="-4"/>
          <w:sz w:val="20"/>
        </w:rPr>
        <w:t> </w:t>
      </w:r>
      <w:r>
        <w:rPr>
          <w:sz w:val="20"/>
        </w:rPr>
        <w:t>needed</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help</w:t>
      </w:r>
      <w:r>
        <w:rPr>
          <w:spacing w:val="-11"/>
          <w:sz w:val="20"/>
        </w:rPr>
        <w:t> </w:t>
      </w:r>
      <w:r>
        <w:rPr>
          <w:sz w:val="20"/>
        </w:rPr>
        <w:t>them</w:t>
      </w:r>
      <w:r>
        <w:rPr>
          <w:spacing w:val="-10"/>
          <w:sz w:val="20"/>
        </w:rPr>
        <w:t> </w:t>
      </w:r>
      <w:r>
        <w:rPr>
          <w:sz w:val="20"/>
        </w:rPr>
        <w:t>find</w:t>
      </w:r>
      <w:r>
        <w:rPr>
          <w:spacing w:val="-10"/>
          <w:sz w:val="20"/>
        </w:rPr>
        <w:t> </w:t>
      </w:r>
      <w:r>
        <w:rPr>
          <w:sz w:val="20"/>
        </w:rPr>
        <w:t>the</w:t>
      </w:r>
      <w:r>
        <w:rPr>
          <w:spacing w:val="-10"/>
          <w:sz w:val="20"/>
        </w:rPr>
        <w:t> </w:t>
      </w:r>
      <w:r>
        <w:rPr>
          <w:spacing w:val="-3"/>
          <w:sz w:val="20"/>
        </w:rPr>
        <w:t>rest</w:t>
      </w:r>
      <w:r>
        <w:rPr>
          <w:spacing w:val="-10"/>
          <w:sz w:val="20"/>
        </w:rPr>
        <w:t> </w:t>
      </w:r>
      <w:r>
        <w:rPr>
          <w:sz w:val="20"/>
        </w:rPr>
        <w:t>rooms</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direct</w:t>
      </w:r>
      <w:r>
        <w:rPr>
          <w:spacing w:val="-15"/>
          <w:sz w:val="20"/>
        </w:rPr>
        <w:t> </w:t>
      </w:r>
      <w:r>
        <w:rPr>
          <w:sz w:val="20"/>
        </w:rPr>
        <w:t>them</w:t>
      </w:r>
      <w:r>
        <w:rPr>
          <w:spacing w:val="-15"/>
          <w:sz w:val="20"/>
        </w:rPr>
        <w:t> </w:t>
      </w:r>
      <w:r>
        <w:rPr>
          <w:sz w:val="20"/>
        </w:rPr>
        <w:t>to</w:t>
      </w:r>
      <w:r>
        <w:rPr>
          <w:spacing w:val="-14"/>
          <w:sz w:val="20"/>
        </w:rPr>
        <w:t> </w:t>
      </w:r>
      <w:r>
        <w:rPr>
          <w:sz w:val="20"/>
        </w:rPr>
        <w:t>meal</w:t>
      </w:r>
      <w:r>
        <w:rPr>
          <w:spacing w:val="-15"/>
          <w:sz w:val="20"/>
        </w:rPr>
        <w:t> </w:t>
      </w:r>
      <w:r>
        <w:rPr>
          <w:sz w:val="20"/>
        </w:rPr>
        <w:t>locations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organise</w:t>
      </w:r>
      <w:r>
        <w:rPr>
          <w:spacing w:val="-6"/>
          <w:sz w:val="20"/>
        </w:rPr>
        <w:t> </w:t>
      </w:r>
      <w:r>
        <w:rPr>
          <w:sz w:val="20"/>
        </w:rPr>
        <w:t>basic</w:t>
      </w:r>
      <w:r>
        <w:rPr>
          <w:spacing w:val="-5"/>
          <w:sz w:val="20"/>
        </w:rPr>
        <w:t> </w:t>
      </w:r>
      <w:r>
        <w:rPr>
          <w:sz w:val="20"/>
        </w:rPr>
        <w:t>technical</w:t>
      </w:r>
      <w:r>
        <w:rPr>
          <w:spacing w:val="-5"/>
          <w:sz w:val="20"/>
        </w:rPr>
        <w:t> </w:t>
      </w:r>
      <w:r>
        <w:rPr>
          <w:sz w:val="20"/>
        </w:rPr>
        <w:t>support</w:t>
      </w:r>
      <w:r>
        <w:rPr>
          <w:spacing w:val="-5"/>
          <w:sz w:val="20"/>
        </w:rPr>
        <w:t> </w:t>
      </w:r>
      <w:r>
        <w:rPr>
          <w:sz w:val="20"/>
        </w:rPr>
        <w:t>such</w:t>
      </w:r>
      <w:r>
        <w:rPr>
          <w:spacing w:val="-5"/>
          <w:sz w:val="20"/>
        </w:rPr>
        <w:t> </w:t>
      </w:r>
      <w:r>
        <w:rPr>
          <w:sz w:val="20"/>
        </w:rPr>
        <w:t>as</w:t>
      </w:r>
      <w:r>
        <w:rPr>
          <w:spacing w:val="-5"/>
          <w:sz w:val="20"/>
        </w:rPr>
        <w:t> </w:t>
      </w:r>
      <w:r>
        <w:rPr>
          <w:sz w:val="20"/>
        </w:rPr>
        <w:t>headphones</w:t>
      </w:r>
      <w:r>
        <w:rPr>
          <w:spacing w:val="-5"/>
          <w:sz w:val="20"/>
        </w:rPr>
        <w:t> </w:t>
      </w:r>
      <w:r>
        <w:rPr>
          <w:sz w:val="20"/>
        </w:rPr>
        <w:t>or</w:t>
      </w:r>
      <w:r>
        <w:rPr>
          <w:spacing w:val="-5"/>
          <w:sz w:val="20"/>
        </w:rPr>
        <w:t> </w:t>
      </w:r>
      <w:r>
        <w:rPr>
          <w:sz w:val="20"/>
        </w:rPr>
        <w:t>other</w:t>
      </w:r>
      <w:r>
        <w:rPr>
          <w:spacing w:val="-5"/>
          <w:sz w:val="20"/>
        </w:rPr>
        <w:t> </w:t>
      </w:r>
      <w:r>
        <w:rPr>
          <w:spacing w:val="-3"/>
          <w:sz w:val="20"/>
        </w:rPr>
        <w:t>hardware</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help</w:t>
      </w:r>
      <w:r>
        <w:rPr>
          <w:spacing w:val="-9"/>
          <w:sz w:val="20"/>
        </w:rPr>
        <w:t> </w:t>
      </w:r>
      <w:r>
        <w:rPr>
          <w:sz w:val="20"/>
        </w:rPr>
        <w:t>take</w:t>
      </w:r>
      <w:r>
        <w:rPr>
          <w:spacing w:val="-9"/>
          <w:sz w:val="20"/>
        </w:rPr>
        <w:t> </w:t>
      </w:r>
      <w:r>
        <w:rPr>
          <w:sz w:val="20"/>
        </w:rPr>
        <w:t>a</w:t>
      </w:r>
      <w:r>
        <w:rPr>
          <w:spacing w:val="-8"/>
          <w:sz w:val="20"/>
        </w:rPr>
        <w:t> </w:t>
      </w:r>
      <w:r>
        <w:rPr>
          <w:sz w:val="20"/>
        </w:rPr>
        <w:t>support</w:t>
      </w:r>
      <w:r>
        <w:rPr>
          <w:spacing w:val="-9"/>
          <w:sz w:val="20"/>
        </w:rPr>
        <w:t> </w:t>
      </w:r>
      <w:r>
        <w:rPr>
          <w:sz w:val="20"/>
        </w:rPr>
        <w:t>animal</w:t>
      </w:r>
      <w:r>
        <w:rPr>
          <w:spacing w:val="-8"/>
          <w:sz w:val="20"/>
        </w:rPr>
        <w:t> </w:t>
      </w:r>
      <w:r>
        <w:rPr>
          <w:sz w:val="20"/>
        </w:rPr>
        <w:t>for</w:t>
      </w:r>
      <w:r>
        <w:rPr>
          <w:spacing w:val="-9"/>
          <w:sz w:val="20"/>
        </w:rPr>
        <w:t> </w:t>
      </w:r>
      <w:r>
        <w:rPr>
          <w:sz w:val="20"/>
        </w:rPr>
        <w:t>relief</w:t>
      </w:r>
      <w:r>
        <w:rPr>
          <w:spacing w:val="-8"/>
          <w:sz w:val="20"/>
        </w:rPr>
        <w:t> </w:t>
      </w:r>
      <w:r>
        <w:rPr>
          <w:sz w:val="20"/>
        </w:rPr>
        <w:t>breaks</w:t>
      </w:r>
      <w:r>
        <w:rPr>
          <w:spacing w:val="-9"/>
          <w:sz w:val="20"/>
        </w:rPr>
        <w:t> </w:t>
      </w:r>
      <w:r>
        <w:rPr>
          <w:sz w:val="20"/>
        </w:rPr>
        <w:t>if</w:t>
      </w:r>
      <w:r>
        <w:rPr>
          <w:spacing w:val="-8"/>
          <w:sz w:val="20"/>
        </w:rPr>
        <w:t> </w:t>
      </w:r>
      <w:r>
        <w:rPr>
          <w:spacing w:val="-3"/>
          <w:sz w:val="20"/>
        </w:rPr>
        <w:t>required</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help</w:t>
      </w:r>
      <w:r>
        <w:rPr>
          <w:spacing w:val="-12"/>
          <w:sz w:val="20"/>
        </w:rPr>
        <w:t> </w:t>
      </w:r>
      <w:r>
        <w:rPr>
          <w:sz w:val="20"/>
        </w:rPr>
        <w:t>them</w:t>
      </w:r>
      <w:r>
        <w:rPr>
          <w:spacing w:val="-11"/>
          <w:sz w:val="20"/>
        </w:rPr>
        <w:t> </w:t>
      </w:r>
      <w:r>
        <w:rPr>
          <w:sz w:val="20"/>
        </w:rPr>
        <w:t>with</w:t>
      </w:r>
      <w:r>
        <w:rPr>
          <w:spacing w:val="-11"/>
          <w:sz w:val="20"/>
        </w:rPr>
        <w:t> </w:t>
      </w:r>
      <w:r>
        <w:rPr>
          <w:sz w:val="20"/>
        </w:rPr>
        <w:t>navigation</w:t>
      </w:r>
      <w:r>
        <w:rPr>
          <w:spacing w:val="-11"/>
          <w:sz w:val="20"/>
        </w:rPr>
        <w:t> </w:t>
      </w:r>
      <w:r>
        <w:rPr>
          <w:sz w:val="20"/>
        </w:rPr>
        <w:t>at</w:t>
      </w:r>
      <w:r>
        <w:rPr>
          <w:spacing w:val="-11"/>
          <w:sz w:val="20"/>
        </w:rPr>
        <w:t> </w:t>
      </w:r>
      <w:r>
        <w:rPr>
          <w:sz w:val="20"/>
        </w:rPr>
        <w:t>a</w:t>
      </w:r>
      <w:r>
        <w:rPr>
          <w:spacing w:val="-11"/>
          <w:sz w:val="20"/>
        </w:rPr>
        <w:t> </w:t>
      </w:r>
      <w:r>
        <w:rPr>
          <w:sz w:val="20"/>
        </w:rPr>
        <w:t>‘view’</w:t>
      </w:r>
      <w:r>
        <w:rPr>
          <w:spacing w:val="-11"/>
          <w:sz w:val="20"/>
        </w:rPr>
        <w:t> </w:t>
      </w:r>
      <w:r>
        <w:rPr>
          <w:sz w:val="20"/>
        </w:rPr>
        <w:t>of</w:t>
      </w:r>
      <w:r>
        <w:rPr>
          <w:spacing w:val="-11"/>
          <w:sz w:val="20"/>
        </w:rPr>
        <w:t> </w:t>
      </w:r>
      <w:r>
        <w:rPr>
          <w:sz w:val="20"/>
        </w:rPr>
        <w:t>a</w:t>
      </w:r>
      <w:r>
        <w:rPr>
          <w:spacing w:val="-11"/>
          <w:sz w:val="20"/>
        </w:rPr>
        <w:t> </w:t>
      </w:r>
      <w:r>
        <w:rPr>
          <w:sz w:val="20"/>
        </w:rPr>
        <w:t>crime</w:t>
      </w:r>
      <w:r>
        <w:rPr>
          <w:spacing w:val="-11"/>
          <w:sz w:val="20"/>
        </w:rPr>
        <w:t> </w:t>
      </w:r>
      <w:r>
        <w:rPr>
          <w:sz w:val="20"/>
        </w:rPr>
        <w:t>scene.</w:t>
      </w:r>
    </w:p>
    <w:p>
      <w:pPr>
        <w:spacing w:before="118"/>
        <w:ind w:left="967" w:right="0" w:firstLine="0"/>
        <w:jc w:val="left"/>
        <w:rPr>
          <w:b/>
          <w:sz w:val="24"/>
        </w:rPr>
      </w:pPr>
      <w:r>
        <w:rPr>
          <w:b/>
          <w:sz w:val="24"/>
        </w:rPr>
        <w:t>Who should be an accessibility officer?</w:t>
      </w:r>
    </w:p>
    <w:p>
      <w:pPr>
        <w:pStyle w:val="ListParagraph"/>
        <w:numPr>
          <w:ilvl w:val="1"/>
          <w:numId w:val="12"/>
        </w:numPr>
        <w:tabs>
          <w:tab w:pos="1761" w:val="left" w:leader="none"/>
          <w:tab w:pos="1762" w:val="left" w:leader="none"/>
        </w:tabs>
        <w:spacing w:line="206" w:lineRule="auto" w:before="127" w:after="0"/>
        <w:ind w:left="1761" w:right="1430" w:hanging="794"/>
        <w:jc w:val="left"/>
        <w:rPr>
          <w:sz w:val="20"/>
        </w:rPr>
      </w:pPr>
      <w:r>
        <w:rPr>
          <w:sz w:val="20"/>
        </w:rPr>
        <w:t>This </w:t>
      </w:r>
      <w:r>
        <w:rPr>
          <w:spacing w:val="-3"/>
          <w:sz w:val="20"/>
        </w:rPr>
        <w:t>role </w:t>
      </w:r>
      <w:r>
        <w:rPr>
          <w:sz w:val="20"/>
        </w:rPr>
        <w:t>should be performed </w:t>
      </w:r>
      <w:r>
        <w:rPr>
          <w:spacing w:val="-3"/>
          <w:sz w:val="20"/>
        </w:rPr>
        <w:t>by </w:t>
      </w:r>
      <w:r>
        <w:rPr>
          <w:sz w:val="20"/>
        </w:rPr>
        <w:t>a person who is independent of the person </w:t>
      </w:r>
      <w:r>
        <w:rPr>
          <w:spacing w:val="-3"/>
          <w:sz w:val="20"/>
        </w:rPr>
        <w:t>from </w:t>
      </w:r>
      <w:r>
        <w:rPr>
          <w:sz w:val="20"/>
        </w:rPr>
        <w:t>the</w:t>
      </w:r>
      <w:r>
        <w:rPr>
          <w:spacing w:val="-10"/>
          <w:sz w:val="20"/>
        </w:rPr>
        <w:t> </w:t>
      </w:r>
      <w:r>
        <w:rPr>
          <w:sz w:val="20"/>
        </w:rPr>
        <w:t>subject</w:t>
      </w:r>
      <w:r>
        <w:rPr>
          <w:spacing w:val="-10"/>
          <w:sz w:val="20"/>
        </w:rPr>
        <w:t> </w:t>
      </w:r>
      <w:r>
        <w:rPr>
          <w:sz w:val="20"/>
        </w:rPr>
        <w:t>groups.</w:t>
      </w:r>
      <w:r>
        <w:rPr>
          <w:spacing w:val="-10"/>
          <w:sz w:val="20"/>
        </w:rPr>
        <w:t> </w:t>
      </w:r>
      <w:r>
        <w:rPr>
          <w:sz w:val="20"/>
        </w:rPr>
        <w:t>It</w:t>
      </w:r>
      <w:r>
        <w:rPr>
          <w:spacing w:val="-10"/>
          <w:sz w:val="20"/>
        </w:rPr>
        <w:t> </w:t>
      </w:r>
      <w:r>
        <w:rPr>
          <w:sz w:val="20"/>
        </w:rPr>
        <w:t>should</w:t>
      </w:r>
      <w:r>
        <w:rPr>
          <w:spacing w:val="-10"/>
          <w:sz w:val="20"/>
        </w:rPr>
        <w:t> </w:t>
      </w:r>
      <w:r>
        <w:rPr>
          <w:sz w:val="20"/>
        </w:rPr>
        <w:t>not</w:t>
      </w:r>
      <w:r>
        <w:rPr>
          <w:spacing w:val="-10"/>
          <w:sz w:val="20"/>
        </w:rPr>
        <w:t> </w:t>
      </w:r>
      <w:r>
        <w:rPr>
          <w:sz w:val="20"/>
        </w:rPr>
        <w:t>be</w:t>
      </w:r>
      <w:r>
        <w:rPr>
          <w:spacing w:val="-9"/>
          <w:sz w:val="20"/>
        </w:rPr>
        <w:t> </w:t>
      </w:r>
      <w:r>
        <w:rPr>
          <w:sz w:val="20"/>
        </w:rPr>
        <w:t>a</w:t>
      </w:r>
      <w:r>
        <w:rPr>
          <w:spacing w:val="-10"/>
          <w:sz w:val="20"/>
        </w:rPr>
        <w:t> </w:t>
      </w:r>
      <w:r>
        <w:rPr>
          <w:sz w:val="20"/>
        </w:rPr>
        <w:t>person’s</w:t>
      </w:r>
      <w:r>
        <w:rPr>
          <w:spacing w:val="-10"/>
          <w:sz w:val="20"/>
        </w:rPr>
        <w:t> </w:t>
      </w:r>
      <w:r>
        <w:rPr>
          <w:sz w:val="20"/>
        </w:rPr>
        <w:t>carer</w:t>
      </w:r>
      <w:r>
        <w:rPr>
          <w:spacing w:val="-10"/>
          <w:sz w:val="20"/>
        </w:rPr>
        <w:t> </w:t>
      </w:r>
      <w:r>
        <w:rPr>
          <w:sz w:val="20"/>
        </w:rPr>
        <w:t>or</w:t>
      </w:r>
      <w:r>
        <w:rPr>
          <w:spacing w:val="-10"/>
          <w:sz w:val="20"/>
        </w:rPr>
        <w:t> </w:t>
      </w:r>
      <w:r>
        <w:rPr>
          <w:spacing w:val="-3"/>
          <w:sz w:val="20"/>
        </w:rPr>
        <w:t>family</w:t>
      </w:r>
      <w:r>
        <w:rPr>
          <w:spacing w:val="-10"/>
          <w:sz w:val="20"/>
        </w:rPr>
        <w:t> </w:t>
      </w:r>
      <w:r>
        <w:rPr>
          <w:spacing w:val="-3"/>
          <w:sz w:val="20"/>
        </w:rPr>
        <w:t>member,</w:t>
      </w:r>
      <w:r>
        <w:rPr>
          <w:spacing w:val="-10"/>
          <w:sz w:val="20"/>
        </w:rPr>
        <w:t> </w:t>
      </w:r>
      <w:r>
        <w:rPr>
          <w:sz w:val="20"/>
        </w:rPr>
        <w:t>although</w:t>
      </w:r>
      <w:r>
        <w:rPr>
          <w:spacing w:val="-9"/>
          <w:sz w:val="20"/>
        </w:rPr>
        <w:t> </w:t>
      </w:r>
      <w:r>
        <w:rPr>
          <w:sz w:val="20"/>
        </w:rPr>
        <w:t>they </w:t>
      </w:r>
      <w:r>
        <w:rPr>
          <w:spacing w:val="-3"/>
          <w:sz w:val="20"/>
        </w:rPr>
        <w:t>would </w:t>
      </w:r>
      <w:r>
        <w:rPr>
          <w:sz w:val="20"/>
        </w:rPr>
        <w:t>be </w:t>
      </w:r>
      <w:r>
        <w:rPr>
          <w:spacing w:val="-3"/>
          <w:sz w:val="20"/>
        </w:rPr>
        <w:t>welcome </w:t>
      </w:r>
      <w:r>
        <w:rPr>
          <w:sz w:val="20"/>
        </w:rPr>
        <w:t>to </w:t>
      </w:r>
      <w:r>
        <w:rPr>
          <w:spacing w:val="-3"/>
          <w:sz w:val="20"/>
        </w:rPr>
        <w:t>accompany </w:t>
      </w:r>
      <w:r>
        <w:rPr>
          <w:sz w:val="20"/>
        </w:rPr>
        <w:t>the person to the courtroom</w:t>
      </w:r>
      <w:r>
        <w:rPr>
          <w:spacing w:val="-37"/>
          <w:sz w:val="20"/>
        </w:rPr>
        <w:t> </w:t>
      </w:r>
      <w:r>
        <w:rPr>
          <w:spacing w:val="-4"/>
          <w:sz w:val="20"/>
        </w:rPr>
        <w:t>door.</w:t>
      </w:r>
    </w:p>
    <w:p>
      <w:pPr>
        <w:pStyle w:val="ListParagraph"/>
        <w:numPr>
          <w:ilvl w:val="1"/>
          <w:numId w:val="12"/>
        </w:numPr>
        <w:tabs>
          <w:tab w:pos="1761" w:val="left" w:leader="none"/>
          <w:tab w:pos="1762" w:val="left" w:leader="none"/>
        </w:tabs>
        <w:spacing w:line="206" w:lineRule="auto" w:before="124" w:after="0"/>
        <w:ind w:left="1761" w:right="1408" w:hanging="794"/>
        <w:jc w:val="left"/>
        <w:rPr>
          <w:sz w:val="20"/>
        </w:rPr>
      </w:pPr>
      <w:r>
        <w:rPr>
          <w:sz w:val="20"/>
        </w:rPr>
        <w:t>The</w:t>
      </w:r>
      <w:r>
        <w:rPr>
          <w:spacing w:val="-10"/>
          <w:sz w:val="20"/>
        </w:rPr>
        <w:t> </w:t>
      </w:r>
      <w:r>
        <w:rPr>
          <w:sz w:val="20"/>
        </w:rPr>
        <w:t>need</w:t>
      </w:r>
      <w:r>
        <w:rPr>
          <w:spacing w:val="-9"/>
          <w:sz w:val="20"/>
        </w:rPr>
        <w:t> </w:t>
      </w:r>
      <w:r>
        <w:rPr>
          <w:sz w:val="20"/>
        </w:rPr>
        <w:t>for</w:t>
      </w:r>
      <w:r>
        <w:rPr>
          <w:spacing w:val="-9"/>
          <w:sz w:val="20"/>
        </w:rPr>
        <w:t> </w:t>
      </w:r>
      <w:r>
        <w:rPr>
          <w:sz w:val="20"/>
        </w:rPr>
        <w:t>independence</w:t>
      </w:r>
      <w:r>
        <w:rPr>
          <w:spacing w:val="-9"/>
          <w:sz w:val="20"/>
        </w:rPr>
        <w:t> </w:t>
      </w:r>
      <w:r>
        <w:rPr>
          <w:sz w:val="20"/>
        </w:rPr>
        <w:t>was</w:t>
      </w:r>
      <w:r>
        <w:rPr>
          <w:spacing w:val="-10"/>
          <w:sz w:val="20"/>
        </w:rPr>
        <w:t> </w:t>
      </w:r>
      <w:r>
        <w:rPr>
          <w:sz w:val="20"/>
        </w:rPr>
        <w:t>supported</w:t>
      </w:r>
      <w:r>
        <w:rPr>
          <w:spacing w:val="-9"/>
          <w:sz w:val="20"/>
        </w:rPr>
        <w:t> </w:t>
      </w:r>
      <w:r>
        <w:rPr>
          <w:spacing w:val="-3"/>
          <w:sz w:val="20"/>
        </w:rPr>
        <w:t>by</w:t>
      </w:r>
      <w:r>
        <w:rPr>
          <w:spacing w:val="-9"/>
          <w:sz w:val="20"/>
        </w:rPr>
        <w:t> </w:t>
      </w:r>
      <w:r>
        <w:rPr>
          <w:sz w:val="20"/>
        </w:rPr>
        <w:t>people</w:t>
      </w:r>
      <w:r>
        <w:rPr>
          <w:spacing w:val="-9"/>
          <w:sz w:val="20"/>
        </w:rPr>
        <w:t> </w:t>
      </w:r>
      <w:r>
        <w:rPr>
          <w:spacing w:val="-3"/>
          <w:sz w:val="20"/>
        </w:rPr>
        <w:t>from</w:t>
      </w:r>
      <w:r>
        <w:rPr>
          <w:spacing w:val="-9"/>
          <w:sz w:val="20"/>
        </w:rPr>
        <w:t> </w:t>
      </w:r>
      <w:r>
        <w:rPr>
          <w:sz w:val="20"/>
        </w:rPr>
        <w:t>the</w:t>
      </w:r>
      <w:r>
        <w:rPr>
          <w:spacing w:val="-10"/>
          <w:sz w:val="20"/>
        </w:rPr>
        <w:t> </w:t>
      </w:r>
      <w:r>
        <w:rPr>
          <w:sz w:val="20"/>
        </w:rPr>
        <w:t>subject</w:t>
      </w:r>
      <w:r>
        <w:rPr>
          <w:spacing w:val="-9"/>
          <w:sz w:val="20"/>
        </w:rPr>
        <w:t> </w:t>
      </w:r>
      <w:r>
        <w:rPr>
          <w:sz w:val="20"/>
        </w:rPr>
        <w:t>groups.</w:t>
      </w:r>
      <w:r>
        <w:rPr>
          <w:spacing w:val="-9"/>
          <w:sz w:val="20"/>
        </w:rPr>
        <w:t> </w:t>
      </w:r>
      <w:r>
        <w:rPr>
          <w:sz w:val="20"/>
        </w:rPr>
        <w:t>Blind </w:t>
      </w:r>
      <w:r>
        <w:rPr>
          <w:spacing w:val="-3"/>
          <w:sz w:val="20"/>
        </w:rPr>
        <w:t>Citizens </w:t>
      </w:r>
      <w:r>
        <w:rPr>
          <w:sz w:val="20"/>
        </w:rPr>
        <w:t>Australia noted in consultations</w:t>
      </w:r>
      <w:r>
        <w:rPr>
          <w:spacing w:val="-21"/>
          <w:sz w:val="20"/>
        </w:rPr>
        <w:t> </w:t>
      </w:r>
      <w:r>
        <w:rPr>
          <w:sz w:val="20"/>
        </w:rPr>
        <w:t>that:</w:t>
      </w:r>
    </w:p>
    <w:p>
      <w:pPr>
        <w:spacing w:line="208" w:lineRule="auto" w:before="120"/>
        <w:ind w:left="2157" w:right="1202" w:firstLine="0"/>
        <w:jc w:val="left"/>
        <w:rPr>
          <w:sz w:val="11"/>
        </w:rPr>
      </w:pPr>
      <w:r>
        <w:rPr>
          <w:sz w:val="19"/>
        </w:rPr>
        <w:t>for the formal role of communicating between the Court and the juror it would be better if the supporter was independent and hired by the Court, not a family member. The person should have specialised legal knowledge/knowledge of the court process. An NDIS worker would not always have the required skills for this role and they do not know about technology and the law.</w:t>
      </w:r>
      <w:r>
        <w:rPr>
          <w:position w:val="6"/>
          <w:sz w:val="11"/>
        </w:rPr>
        <w:t>7</w:t>
      </w:r>
    </w:p>
    <w:p>
      <w:pPr>
        <w:pStyle w:val="BodyText"/>
      </w:pPr>
    </w:p>
    <w:p>
      <w:pPr>
        <w:pStyle w:val="BodyText"/>
      </w:pPr>
    </w:p>
    <w:p>
      <w:pPr>
        <w:pStyle w:val="BodyText"/>
      </w:pPr>
    </w:p>
    <w:p>
      <w:pPr>
        <w:pStyle w:val="BodyText"/>
        <w:spacing w:before="5"/>
        <w:rPr>
          <w:sz w:val="29"/>
        </w:rPr>
      </w:pPr>
      <w:r>
        <w:rPr/>
        <w:pict>
          <v:line style="position:absolute;mso-position-horizontal-relative:page;mso-position-vertical-relative:paragraph;z-index:9008;mso-wrap-distance-left:0;mso-wrap-distance-right:0" from="79.370102pt,22.855379pt" to="515.905102pt,22.855379pt" stroked="true" strokeweight="1pt" strokecolor="#b6bdc8">
            <v:stroke dashstyle="solid"/>
            <w10:wrap type="topAndBottom"/>
          </v:line>
        </w:pict>
      </w:r>
    </w:p>
    <w:p>
      <w:pPr>
        <w:pStyle w:val="BodyText"/>
        <w:rPr>
          <w:sz w:val="5"/>
        </w:rPr>
      </w:pPr>
    </w:p>
    <w:p>
      <w:pPr>
        <w:spacing w:after="0"/>
        <w:rPr>
          <w:sz w:val="5"/>
        </w:rPr>
        <w:sectPr>
          <w:headerReference w:type="default" r:id="rId229"/>
          <w:headerReference w:type="even" r:id="rId230"/>
          <w:pgSz w:w="11910" w:h="16840"/>
          <w:pgMar w:header="0" w:footer="0" w:top="840" w:bottom="280" w:left="620" w:right="380"/>
        </w:sectPr>
      </w:pPr>
    </w:p>
    <w:p>
      <w:pPr>
        <w:pStyle w:val="ListParagraph"/>
        <w:numPr>
          <w:ilvl w:val="0"/>
          <w:numId w:val="104"/>
        </w:numPr>
        <w:tabs>
          <w:tab w:pos="1760" w:val="left" w:leader="none"/>
          <w:tab w:pos="1762" w:val="left" w:leader="none"/>
        </w:tabs>
        <w:spacing w:line="170" w:lineRule="exact" w:before="21" w:after="0"/>
        <w:ind w:left="1761" w:right="0" w:hanging="794"/>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104"/>
        </w:numPr>
        <w:tabs>
          <w:tab w:pos="1760" w:val="left" w:leader="none"/>
          <w:tab w:pos="1762" w:val="left" w:leader="none"/>
        </w:tabs>
        <w:spacing w:line="160" w:lineRule="exact" w:before="0" w:after="0"/>
        <w:ind w:left="1761" w:right="0" w:hanging="794"/>
        <w:jc w:val="left"/>
        <w:rPr>
          <w:sz w:val="13"/>
        </w:rPr>
      </w:pPr>
      <w:r>
        <w:rPr>
          <w:sz w:val="13"/>
        </w:rPr>
        <w:t>Consultation 1 </w:t>
      </w:r>
      <w:r>
        <w:rPr>
          <w:spacing w:val="2"/>
          <w:sz w:val="13"/>
        </w:rPr>
        <w:t>(Blind </w:t>
      </w:r>
      <w:r>
        <w:rPr>
          <w:sz w:val="13"/>
        </w:rPr>
        <w:t>Citizens</w:t>
      </w:r>
      <w:r>
        <w:rPr>
          <w:spacing w:val="-1"/>
          <w:sz w:val="13"/>
        </w:rPr>
        <w:t> </w:t>
      </w:r>
      <w:r>
        <w:rPr>
          <w:sz w:val="13"/>
        </w:rPr>
        <w:t>Australia).</w:t>
      </w:r>
    </w:p>
    <w:p>
      <w:pPr>
        <w:pStyle w:val="ListParagraph"/>
        <w:numPr>
          <w:ilvl w:val="0"/>
          <w:numId w:val="104"/>
        </w:numPr>
        <w:tabs>
          <w:tab w:pos="1760" w:val="left" w:leader="none"/>
          <w:tab w:pos="1762" w:val="left" w:leader="none"/>
        </w:tabs>
        <w:spacing w:line="160" w:lineRule="exact" w:before="0" w:after="0"/>
        <w:ind w:left="1761" w:right="0" w:hanging="794"/>
        <w:jc w:val="left"/>
        <w:rPr>
          <w:sz w:val="13"/>
        </w:rPr>
      </w:pPr>
      <w:r>
        <w:rPr>
          <w:sz w:val="13"/>
        </w:rPr>
        <w:t>Information</w:t>
      </w:r>
      <w:r>
        <w:rPr>
          <w:spacing w:val="7"/>
          <w:sz w:val="13"/>
        </w:rPr>
        <w:t> </w:t>
      </w:r>
      <w:r>
        <w:rPr>
          <w:sz w:val="13"/>
        </w:rPr>
        <w:t>provided</w:t>
      </w:r>
      <w:r>
        <w:rPr>
          <w:spacing w:val="8"/>
          <w:sz w:val="13"/>
        </w:rPr>
        <w:t> </w:t>
      </w:r>
      <w:r>
        <w:rPr>
          <w:sz w:val="13"/>
        </w:rPr>
        <w:t>by</w:t>
      </w:r>
      <w:r>
        <w:rPr>
          <w:spacing w:val="8"/>
          <w:sz w:val="13"/>
        </w:rPr>
        <w:t> </w:t>
      </w:r>
      <w:r>
        <w:rPr>
          <w:sz w:val="13"/>
        </w:rPr>
        <w:t>Her</w:t>
      </w:r>
      <w:r>
        <w:rPr>
          <w:spacing w:val="8"/>
          <w:sz w:val="13"/>
        </w:rPr>
        <w:t> </w:t>
      </w:r>
      <w:r>
        <w:rPr>
          <w:sz w:val="13"/>
        </w:rPr>
        <w:t>Majesty’s</w:t>
      </w:r>
      <w:r>
        <w:rPr>
          <w:spacing w:val="8"/>
          <w:sz w:val="13"/>
        </w:rPr>
        <w:t> </w:t>
      </w:r>
      <w:r>
        <w:rPr>
          <w:spacing w:val="2"/>
          <w:sz w:val="13"/>
        </w:rPr>
        <w:t>Courts</w:t>
      </w:r>
      <w:r>
        <w:rPr>
          <w:spacing w:val="8"/>
          <w:sz w:val="13"/>
        </w:rPr>
        <w:t> </w:t>
      </w:r>
      <w:r>
        <w:rPr>
          <w:sz w:val="13"/>
        </w:rPr>
        <w:t>and</w:t>
      </w:r>
      <w:r>
        <w:rPr>
          <w:spacing w:val="8"/>
          <w:sz w:val="13"/>
        </w:rPr>
        <w:t> </w:t>
      </w:r>
      <w:r>
        <w:rPr>
          <w:sz w:val="13"/>
        </w:rPr>
        <w:t>Tribunals</w:t>
      </w:r>
      <w:r>
        <w:rPr>
          <w:spacing w:val="8"/>
          <w:sz w:val="13"/>
        </w:rPr>
        <w:t> </w:t>
      </w:r>
      <w:r>
        <w:rPr>
          <w:spacing w:val="2"/>
          <w:sz w:val="13"/>
        </w:rPr>
        <w:t>Service</w:t>
      </w:r>
      <w:r>
        <w:rPr>
          <w:spacing w:val="8"/>
          <w:sz w:val="13"/>
        </w:rPr>
        <w:t> </w:t>
      </w:r>
      <w:r>
        <w:rPr>
          <w:sz w:val="13"/>
        </w:rPr>
        <w:t>to</w:t>
      </w:r>
      <w:r>
        <w:rPr>
          <w:spacing w:val="8"/>
          <w:sz w:val="13"/>
        </w:rPr>
        <w:t> </w:t>
      </w:r>
      <w:r>
        <w:rPr>
          <w:sz w:val="13"/>
        </w:rPr>
        <w:t>Victorian</w:t>
      </w:r>
      <w:r>
        <w:rPr>
          <w:spacing w:val="8"/>
          <w:sz w:val="13"/>
        </w:rPr>
        <w:t> </w:t>
      </w:r>
      <w:r>
        <w:rPr>
          <w:sz w:val="13"/>
        </w:rPr>
        <w:t>Law</w:t>
      </w:r>
      <w:r>
        <w:rPr>
          <w:spacing w:val="8"/>
          <w:sz w:val="13"/>
        </w:rPr>
        <w:t> </w:t>
      </w:r>
      <w:r>
        <w:rPr>
          <w:sz w:val="13"/>
        </w:rPr>
        <w:t>Reform</w:t>
      </w:r>
      <w:r>
        <w:rPr>
          <w:spacing w:val="8"/>
          <w:sz w:val="13"/>
        </w:rPr>
        <w:t> </w:t>
      </w:r>
      <w:r>
        <w:rPr>
          <w:spacing w:val="2"/>
          <w:sz w:val="13"/>
        </w:rPr>
        <w:t>Commission,</w:t>
      </w:r>
      <w:r>
        <w:rPr>
          <w:spacing w:val="8"/>
          <w:sz w:val="13"/>
        </w:rPr>
        <w:t> </w:t>
      </w:r>
      <w:r>
        <w:rPr>
          <w:sz w:val="13"/>
        </w:rPr>
        <w:t>15</w:t>
      </w:r>
      <w:r>
        <w:rPr>
          <w:spacing w:val="8"/>
          <w:sz w:val="13"/>
        </w:rPr>
        <w:t> </w:t>
      </w:r>
      <w:r>
        <w:rPr>
          <w:sz w:val="13"/>
        </w:rPr>
        <w:t>September</w:t>
      </w:r>
      <w:r>
        <w:rPr>
          <w:spacing w:val="8"/>
          <w:sz w:val="13"/>
        </w:rPr>
        <w:t> </w:t>
      </w:r>
      <w:r>
        <w:rPr>
          <w:sz w:val="13"/>
        </w:rPr>
        <w:t>2021.</w:t>
      </w:r>
    </w:p>
    <w:p>
      <w:pPr>
        <w:pStyle w:val="ListParagraph"/>
        <w:numPr>
          <w:ilvl w:val="0"/>
          <w:numId w:val="104"/>
        </w:numPr>
        <w:tabs>
          <w:tab w:pos="1760"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104"/>
        </w:numPr>
        <w:tabs>
          <w:tab w:pos="1760" w:val="left" w:leader="none"/>
          <w:tab w:pos="1762" w:val="left" w:leader="none"/>
        </w:tabs>
        <w:spacing w:line="170" w:lineRule="exact" w:before="0" w:after="0"/>
        <w:ind w:left="1761" w:right="0" w:hanging="794"/>
        <w:jc w:val="left"/>
        <w:rPr>
          <w:sz w:val="13"/>
        </w:rPr>
      </w:pPr>
      <w:r>
        <w:rPr>
          <w:sz w:val="13"/>
        </w:rPr>
        <w:t>Consultation 1 </w:t>
      </w:r>
      <w:r>
        <w:rPr>
          <w:spacing w:val="2"/>
          <w:sz w:val="13"/>
        </w:rPr>
        <w:t>(Blind </w:t>
      </w:r>
      <w:r>
        <w:rPr>
          <w:sz w:val="13"/>
        </w:rPr>
        <w:t>Citizens</w:t>
      </w:r>
      <w:r>
        <w:rPr>
          <w:spacing w:val="-1"/>
          <w:sz w:val="13"/>
        </w:rPr>
        <w:t> </w:t>
      </w:r>
      <w:r>
        <w:rPr>
          <w:sz w:val="13"/>
        </w:rPr>
        <w:t>Australia).</w:t>
      </w:r>
    </w:p>
    <w:p>
      <w:pPr>
        <w:pStyle w:val="BodyText"/>
        <w:spacing w:before="7"/>
        <w:rPr>
          <w:sz w:val="38"/>
        </w:rPr>
      </w:pPr>
      <w:r>
        <w:rPr/>
        <w:br w:type="column"/>
      </w:r>
      <w:r>
        <w:rPr>
          <w:sz w:val="38"/>
        </w:rPr>
      </w:r>
    </w:p>
    <w:p>
      <w:pPr>
        <w:spacing w:before="0"/>
        <w:ind w:left="759" w:right="0" w:firstLine="0"/>
        <w:jc w:val="left"/>
        <w:rPr>
          <w:b/>
          <w:sz w:val="24"/>
        </w:rPr>
      </w:pPr>
      <w:r>
        <w:rPr>
          <w:b/>
          <w:color w:val="37617A"/>
          <w:sz w:val="24"/>
        </w:rPr>
        <w:t>171</w:t>
      </w:r>
    </w:p>
    <w:p>
      <w:pPr>
        <w:spacing w:after="0"/>
        <w:jc w:val="left"/>
        <w:rPr>
          <w:sz w:val="24"/>
        </w:rPr>
        <w:sectPr>
          <w:type w:val="continuous"/>
          <w:pgSz w:w="11910" w:h="16840"/>
          <w:pgMar w:top="620" w:bottom="280" w:left="620" w:right="380"/>
          <w:cols w:num="2" w:equalWidth="0">
            <w:col w:w="9513" w:space="40"/>
            <w:col w:w="1357"/>
          </w:cols>
        </w:sectPr>
      </w:pPr>
    </w:p>
    <w:p>
      <w:pPr>
        <w:pStyle w:val="BodyText"/>
        <w:rPr>
          <w:b/>
        </w:rPr>
      </w:pPr>
    </w:p>
    <w:p>
      <w:pPr>
        <w:pStyle w:val="BodyText"/>
        <w:rPr>
          <w:b/>
        </w:rPr>
      </w:pPr>
    </w:p>
    <w:p>
      <w:pPr>
        <w:pStyle w:val="BodyText"/>
        <w:rPr>
          <w:b/>
        </w:rPr>
      </w:pPr>
    </w:p>
    <w:p>
      <w:pPr>
        <w:pStyle w:val="BodyText"/>
        <w:spacing w:before="7"/>
        <w:rPr>
          <w:b/>
          <w:sz w:val="16"/>
        </w:rPr>
      </w:pPr>
    </w:p>
    <w:p>
      <w:pPr>
        <w:pStyle w:val="ListParagraph"/>
        <w:numPr>
          <w:ilvl w:val="1"/>
          <w:numId w:val="12"/>
        </w:numPr>
        <w:tabs>
          <w:tab w:pos="1761" w:val="left" w:leader="none"/>
          <w:tab w:pos="1762" w:val="left" w:leader="none"/>
        </w:tabs>
        <w:spacing w:line="240" w:lineRule="auto" w:before="0" w:after="0"/>
        <w:ind w:left="1761" w:right="0" w:hanging="794"/>
        <w:jc w:val="left"/>
        <w:rPr>
          <w:sz w:val="20"/>
        </w:rPr>
      </w:pPr>
      <w:bookmarkStart w:name="Support persons" w:id="296"/>
      <w:bookmarkEnd w:id="296"/>
      <w:r>
        <w:rPr/>
      </w:r>
      <w:bookmarkStart w:name="_bookmark125" w:id="297"/>
      <w:bookmarkEnd w:id="297"/>
      <w:r>
        <w:rPr/>
      </w:r>
      <w:bookmarkStart w:name="_bookmark125" w:id="298"/>
      <w:bookmarkEnd w:id="298"/>
      <w:r>
        <w:rPr>
          <w:sz w:val="20"/>
        </w:rPr>
        <w:t>D</w:t>
      </w:r>
      <w:r>
        <w:rPr>
          <w:sz w:val="20"/>
        </w:rPr>
        <w:t>aniel Stubbs</w:t>
      </w:r>
      <w:r>
        <w:rPr>
          <w:spacing w:val="-9"/>
          <w:sz w:val="20"/>
        </w:rPr>
        <w:t> </w:t>
      </w:r>
      <w:r>
        <w:rPr>
          <w:sz w:val="20"/>
        </w:rPr>
        <w:t>commented:</w:t>
      </w:r>
    </w:p>
    <w:p>
      <w:pPr>
        <w:spacing w:line="208" w:lineRule="auto" w:before="112"/>
        <w:ind w:left="2157" w:right="1110" w:firstLine="0"/>
        <w:jc w:val="left"/>
        <w:rPr>
          <w:sz w:val="11"/>
        </w:rPr>
      </w:pPr>
      <w:r>
        <w:rPr>
          <w:sz w:val="19"/>
        </w:rPr>
        <w:t>It will be important that the support person is professional and independent—the blind juror can’t just bring their mum.</w:t>
      </w:r>
      <w:r>
        <w:rPr>
          <w:position w:val="6"/>
          <w:sz w:val="11"/>
        </w:rPr>
        <w:t>8</w:t>
      </w:r>
    </w:p>
    <w:p>
      <w:pPr>
        <w:pStyle w:val="ListParagraph"/>
        <w:numPr>
          <w:ilvl w:val="1"/>
          <w:numId w:val="12"/>
        </w:numPr>
        <w:tabs>
          <w:tab w:pos="1761" w:val="left" w:leader="none"/>
          <w:tab w:pos="1762" w:val="left" w:leader="none"/>
        </w:tabs>
        <w:spacing w:line="206" w:lineRule="auto" w:before="124" w:after="0"/>
        <w:ind w:left="1761" w:right="1540" w:hanging="794"/>
        <w:jc w:val="left"/>
        <w:rPr>
          <w:sz w:val="11"/>
        </w:rPr>
      </w:pPr>
      <w:r>
        <w:rPr>
          <w:sz w:val="20"/>
        </w:rPr>
        <w:t>County</w:t>
      </w:r>
      <w:r>
        <w:rPr>
          <w:spacing w:val="-10"/>
          <w:sz w:val="20"/>
        </w:rPr>
        <w:t> </w:t>
      </w:r>
      <w:r>
        <w:rPr>
          <w:sz w:val="20"/>
        </w:rPr>
        <w:t>Court</w:t>
      </w:r>
      <w:r>
        <w:rPr>
          <w:spacing w:val="-10"/>
          <w:sz w:val="20"/>
        </w:rPr>
        <w:t> </w:t>
      </w:r>
      <w:r>
        <w:rPr>
          <w:sz w:val="20"/>
        </w:rPr>
        <w:t>consultees</w:t>
      </w:r>
      <w:r>
        <w:rPr>
          <w:spacing w:val="-10"/>
          <w:sz w:val="20"/>
        </w:rPr>
        <w:t> </w:t>
      </w:r>
      <w:r>
        <w:rPr>
          <w:sz w:val="20"/>
        </w:rPr>
        <w:t>agreed</w:t>
      </w:r>
      <w:r>
        <w:rPr>
          <w:spacing w:val="-9"/>
          <w:sz w:val="20"/>
        </w:rPr>
        <w:t> </w:t>
      </w:r>
      <w:r>
        <w:rPr>
          <w:sz w:val="20"/>
        </w:rPr>
        <w:t>that</w:t>
      </w:r>
      <w:r>
        <w:rPr>
          <w:spacing w:val="-10"/>
          <w:sz w:val="20"/>
        </w:rPr>
        <w:t> </w:t>
      </w:r>
      <w:r>
        <w:rPr>
          <w:sz w:val="20"/>
        </w:rPr>
        <w:t>a</w:t>
      </w:r>
      <w:r>
        <w:rPr>
          <w:spacing w:val="-10"/>
          <w:sz w:val="20"/>
        </w:rPr>
        <w:t> </w:t>
      </w:r>
      <w:r>
        <w:rPr>
          <w:sz w:val="20"/>
        </w:rPr>
        <w:t>‘support</w:t>
      </w:r>
      <w:r>
        <w:rPr>
          <w:spacing w:val="-10"/>
          <w:sz w:val="20"/>
        </w:rPr>
        <w:t> </w:t>
      </w:r>
      <w:r>
        <w:rPr>
          <w:sz w:val="20"/>
        </w:rPr>
        <w:t>person</w:t>
      </w:r>
      <w:r>
        <w:rPr>
          <w:spacing w:val="-9"/>
          <w:sz w:val="20"/>
        </w:rPr>
        <w:t> </w:t>
      </w:r>
      <w:r>
        <w:rPr>
          <w:sz w:val="20"/>
        </w:rPr>
        <w:t>for</w:t>
      </w:r>
      <w:r>
        <w:rPr>
          <w:spacing w:val="-10"/>
          <w:sz w:val="20"/>
        </w:rPr>
        <w:t> </w:t>
      </w:r>
      <w:r>
        <w:rPr>
          <w:sz w:val="20"/>
        </w:rPr>
        <w:t>a</w:t>
      </w:r>
      <w:r>
        <w:rPr>
          <w:spacing w:val="-10"/>
          <w:sz w:val="20"/>
        </w:rPr>
        <w:t> </w:t>
      </w:r>
      <w:r>
        <w:rPr>
          <w:sz w:val="20"/>
        </w:rPr>
        <w:t>person</w:t>
      </w:r>
      <w:r>
        <w:rPr>
          <w:spacing w:val="-9"/>
          <w:sz w:val="20"/>
        </w:rPr>
        <w:t> </w:t>
      </w:r>
      <w:r>
        <w:rPr>
          <w:sz w:val="20"/>
        </w:rPr>
        <w:t>with</w:t>
      </w:r>
      <w:r>
        <w:rPr>
          <w:spacing w:val="-10"/>
          <w:sz w:val="20"/>
        </w:rPr>
        <w:t> </w:t>
      </w:r>
      <w:r>
        <w:rPr>
          <w:sz w:val="20"/>
        </w:rPr>
        <w:t>a</w:t>
      </w:r>
      <w:r>
        <w:rPr>
          <w:spacing w:val="-10"/>
          <w:sz w:val="20"/>
        </w:rPr>
        <w:t> </w:t>
      </w:r>
      <w:r>
        <w:rPr>
          <w:sz w:val="20"/>
        </w:rPr>
        <w:t>disability should also be independent’, similarly to the </w:t>
      </w:r>
      <w:r>
        <w:rPr>
          <w:spacing w:val="-4"/>
          <w:sz w:val="20"/>
        </w:rPr>
        <w:t>way </w:t>
      </w:r>
      <w:r>
        <w:rPr>
          <w:sz w:val="20"/>
        </w:rPr>
        <w:t>in which intermediaries</w:t>
      </w:r>
      <w:r>
        <w:rPr>
          <w:position w:val="7"/>
          <w:sz w:val="11"/>
        </w:rPr>
        <w:t>9 </w:t>
      </w:r>
      <w:r>
        <w:rPr>
          <w:spacing w:val="-4"/>
          <w:sz w:val="20"/>
        </w:rPr>
        <w:t>‘are </w:t>
      </w:r>
      <w:r>
        <w:rPr>
          <w:sz w:val="20"/>
        </w:rPr>
        <w:t>not </w:t>
      </w:r>
      <w:r>
        <w:rPr>
          <w:spacing w:val="-3"/>
          <w:sz w:val="20"/>
        </w:rPr>
        <w:t>allowed</w:t>
      </w:r>
      <w:r>
        <w:rPr>
          <w:spacing w:val="-6"/>
          <w:sz w:val="20"/>
        </w:rPr>
        <w:t> </w:t>
      </w:r>
      <w:r>
        <w:rPr>
          <w:sz w:val="20"/>
        </w:rPr>
        <w:t>to</w:t>
      </w:r>
      <w:r>
        <w:rPr>
          <w:spacing w:val="-6"/>
          <w:sz w:val="20"/>
        </w:rPr>
        <w:t> </w:t>
      </w:r>
      <w:r>
        <w:rPr>
          <w:spacing w:val="-4"/>
          <w:sz w:val="20"/>
        </w:rPr>
        <w:t>have</w:t>
      </w:r>
      <w:r>
        <w:rPr>
          <w:spacing w:val="-6"/>
          <w:sz w:val="20"/>
        </w:rPr>
        <w:t> </w:t>
      </w:r>
      <w:r>
        <w:rPr>
          <w:sz w:val="20"/>
        </w:rPr>
        <w:t>a</w:t>
      </w:r>
      <w:r>
        <w:rPr>
          <w:spacing w:val="-5"/>
          <w:sz w:val="20"/>
        </w:rPr>
        <w:t> </w:t>
      </w:r>
      <w:r>
        <w:rPr>
          <w:sz w:val="20"/>
        </w:rPr>
        <w:t>“treating</w:t>
      </w:r>
      <w:r>
        <w:rPr>
          <w:spacing w:val="-6"/>
          <w:sz w:val="20"/>
        </w:rPr>
        <w:t> </w:t>
      </w:r>
      <w:r>
        <w:rPr>
          <w:sz w:val="20"/>
        </w:rPr>
        <w:t>relationship”</w:t>
      </w:r>
      <w:r>
        <w:rPr>
          <w:spacing w:val="-6"/>
          <w:sz w:val="20"/>
        </w:rPr>
        <w:t> </w:t>
      </w:r>
      <w:r>
        <w:rPr>
          <w:sz w:val="20"/>
        </w:rPr>
        <w:t>with</w:t>
      </w:r>
      <w:r>
        <w:rPr>
          <w:spacing w:val="-6"/>
          <w:sz w:val="20"/>
        </w:rPr>
        <w:t> </w:t>
      </w:r>
      <w:r>
        <w:rPr>
          <w:sz w:val="20"/>
        </w:rPr>
        <w:t>the</w:t>
      </w:r>
      <w:r>
        <w:rPr>
          <w:spacing w:val="-5"/>
          <w:sz w:val="20"/>
        </w:rPr>
        <w:t> </w:t>
      </w:r>
      <w:r>
        <w:rPr>
          <w:sz w:val="20"/>
        </w:rPr>
        <w:t>person</w:t>
      </w:r>
      <w:r>
        <w:rPr>
          <w:spacing w:val="-6"/>
          <w:sz w:val="20"/>
        </w:rPr>
        <w:t> </w:t>
      </w:r>
      <w:r>
        <w:rPr>
          <w:sz w:val="20"/>
        </w:rPr>
        <w:t>they</w:t>
      </w:r>
      <w:r>
        <w:rPr>
          <w:spacing w:val="-6"/>
          <w:sz w:val="20"/>
        </w:rPr>
        <w:t> </w:t>
      </w:r>
      <w:r>
        <w:rPr>
          <w:spacing w:val="-3"/>
          <w:sz w:val="20"/>
        </w:rPr>
        <w:t>are</w:t>
      </w:r>
      <w:r>
        <w:rPr>
          <w:spacing w:val="-6"/>
          <w:sz w:val="20"/>
        </w:rPr>
        <w:t> </w:t>
      </w:r>
      <w:r>
        <w:rPr>
          <w:spacing w:val="-3"/>
          <w:sz w:val="20"/>
        </w:rPr>
        <w:t>assisting’.</w:t>
      </w:r>
      <w:r>
        <w:rPr>
          <w:spacing w:val="-3"/>
          <w:position w:val="7"/>
          <w:sz w:val="11"/>
        </w:rPr>
        <w:t>10</w:t>
      </w:r>
    </w:p>
    <w:p>
      <w:pPr>
        <w:pStyle w:val="ListParagraph"/>
        <w:numPr>
          <w:ilvl w:val="1"/>
          <w:numId w:val="12"/>
        </w:numPr>
        <w:tabs>
          <w:tab w:pos="1761" w:val="left" w:leader="none"/>
          <w:tab w:pos="1762" w:val="left" w:leader="none"/>
        </w:tabs>
        <w:spacing w:line="206" w:lineRule="auto" w:before="123" w:after="0"/>
        <w:ind w:left="1761" w:right="1234" w:hanging="794"/>
        <w:jc w:val="left"/>
        <w:rPr>
          <w:sz w:val="20"/>
        </w:rPr>
      </w:pPr>
      <w:r>
        <w:rPr>
          <w:sz w:val="20"/>
        </w:rPr>
        <w:t>Both</w:t>
      </w:r>
      <w:r>
        <w:rPr>
          <w:spacing w:val="-11"/>
          <w:sz w:val="20"/>
        </w:rPr>
        <w:t> </w:t>
      </w:r>
      <w:r>
        <w:rPr>
          <w:sz w:val="20"/>
        </w:rPr>
        <w:t>the</w:t>
      </w:r>
      <w:r>
        <w:rPr>
          <w:spacing w:val="-10"/>
          <w:sz w:val="20"/>
        </w:rPr>
        <w:t> </w:t>
      </w:r>
      <w:r>
        <w:rPr>
          <w:sz w:val="20"/>
        </w:rPr>
        <w:t>County</w:t>
      </w:r>
      <w:r>
        <w:rPr>
          <w:spacing w:val="-10"/>
          <w:sz w:val="20"/>
        </w:rPr>
        <w:t> </w:t>
      </w:r>
      <w:r>
        <w:rPr>
          <w:sz w:val="20"/>
        </w:rPr>
        <w:t>Court</w:t>
      </w:r>
      <w:r>
        <w:rPr>
          <w:spacing w:val="-10"/>
          <w:sz w:val="20"/>
        </w:rPr>
        <w:t> </w:t>
      </w:r>
      <w:r>
        <w:rPr>
          <w:sz w:val="20"/>
        </w:rPr>
        <w:t>and</w:t>
      </w:r>
      <w:r>
        <w:rPr>
          <w:spacing w:val="-10"/>
          <w:sz w:val="20"/>
        </w:rPr>
        <w:t> </w:t>
      </w:r>
      <w:r>
        <w:rPr>
          <w:sz w:val="20"/>
        </w:rPr>
        <w:t>Supreme</w:t>
      </w:r>
      <w:r>
        <w:rPr>
          <w:spacing w:val="-10"/>
          <w:sz w:val="20"/>
        </w:rPr>
        <w:t> </w:t>
      </w:r>
      <w:r>
        <w:rPr>
          <w:sz w:val="20"/>
        </w:rPr>
        <w:t>Court</w:t>
      </w:r>
      <w:r>
        <w:rPr>
          <w:spacing w:val="-10"/>
          <w:sz w:val="20"/>
        </w:rPr>
        <w:t> </w:t>
      </w:r>
      <w:r>
        <w:rPr>
          <w:sz w:val="20"/>
        </w:rPr>
        <w:t>consultees</w:t>
      </w:r>
      <w:r>
        <w:rPr>
          <w:spacing w:val="-10"/>
          <w:sz w:val="20"/>
        </w:rPr>
        <w:t> </w:t>
      </w:r>
      <w:r>
        <w:rPr>
          <w:spacing w:val="-4"/>
          <w:sz w:val="20"/>
        </w:rPr>
        <w:t>were</w:t>
      </w:r>
      <w:r>
        <w:rPr>
          <w:spacing w:val="-11"/>
          <w:sz w:val="20"/>
        </w:rPr>
        <w:t> </w:t>
      </w:r>
      <w:r>
        <w:rPr>
          <w:sz w:val="20"/>
        </w:rPr>
        <w:t>of</w:t>
      </w:r>
      <w:r>
        <w:rPr>
          <w:spacing w:val="-10"/>
          <w:sz w:val="20"/>
        </w:rPr>
        <w:t> </w:t>
      </w:r>
      <w:r>
        <w:rPr>
          <w:sz w:val="20"/>
        </w:rPr>
        <w:t>the</w:t>
      </w:r>
      <w:r>
        <w:rPr>
          <w:spacing w:val="-10"/>
          <w:sz w:val="20"/>
        </w:rPr>
        <w:t> </w:t>
      </w:r>
      <w:r>
        <w:rPr>
          <w:sz w:val="20"/>
        </w:rPr>
        <w:t>view</w:t>
      </w:r>
      <w:r>
        <w:rPr>
          <w:spacing w:val="-10"/>
          <w:sz w:val="20"/>
        </w:rPr>
        <w:t> </w:t>
      </w:r>
      <w:r>
        <w:rPr>
          <w:sz w:val="20"/>
        </w:rPr>
        <w:t>that</w:t>
      </w:r>
      <w:r>
        <w:rPr>
          <w:spacing w:val="-10"/>
          <w:sz w:val="20"/>
        </w:rPr>
        <w:t> </w:t>
      </w:r>
      <w:r>
        <w:rPr>
          <w:sz w:val="20"/>
        </w:rPr>
        <w:t>the</w:t>
      </w:r>
      <w:r>
        <w:rPr>
          <w:spacing w:val="-10"/>
          <w:sz w:val="20"/>
        </w:rPr>
        <w:t> </w:t>
      </w:r>
      <w:r>
        <w:rPr>
          <w:sz w:val="20"/>
        </w:rPr>
        <w:t>tipstaff should</w:t>
      </w:r>
      <w:r>
        <w:rPr>
          <w:spacing w:val="-10"/>
          <w:sz w:val="20"/>
        </w:rPr>
        <w:t> </w:t>
      </w:r>
      <w:r>
        <w:rPr>
          <w:sz w:val="20"/>
        </w:rPr>
        <w:t>not</w:t>
      </w:r>
      <w:r>
        <w:rPr>
          <w:spacing w:val="-10"/>
          <w:sz w:val="20"/>
        </w:rPr>
        <w:t> </w:t>
      </w:r>
      <w:r>
        <w:rPr>
          <w:sz w:val="20"/>
        </w:rPr>
        <w:t>perform</w:t>
      </w:r>
      <w:r>
        <w:rPr>
          <w:spacing w:val="-10"/>
          <w:sz w:val="20"/>
        </w:rPr>
        <w:t> </w:t>
      </w:r>
      <w:r>
        <w:rPr>
          <w:sz w:val="20"/>
        </w:rPr>
        <w:t>this</w:t>
      </w:r>
      <w:r>
        <w:rPr>
          <w:spacing w:val="-9"/>
          <w:sz w:val="20"/>
        </w:rPr>
        <w:t> </w:t>
      </w:r>
      <w:r>
        <w:rPr>
          <w:spacing w:val="-3"/>
          <w:sz w:val="20"/>
        </w:rPr>
        <w:t>role.</w:t>
      </w:r>
      <w:r>
        <w:rPr>
          <w:spacing w:val="-10"/>
          <w:sz w:val="20"/>
        </w:rPr>
        <w:t> </w:t>
      </w:r>
      <w:r>
        <w:rPr>
          <w:sz w:val="20"/>
        </w:rPr>
        <w:t>The</w:t>
      </w:r>
      <w:r>
        <w:rPr>
          <w:spacing w:val="-10"/>
          <w:sz w:val="20"/>
        </w:rPr>
        <w:t> </w:t>
      </w:r>
      <w:r>
        <w:rPr>
          <w:sz w:val="20"/>
        </w:rPr>
        <w:t>County</w:t>
      </w:r>
      <w:r>
        <w:rPr>
          <w:spacing w:val="-9"/>
          <w:sz w:val="20"/>
        </w:rPr>
        <w:t> </w:t>
      </w:r>
      <w:r>
        <w:rPr>
          <w:sz w:val="20"/>
        </w:rPr>
        <w:t>Court</w:t>
      </w:r>
      <w:r>
        <w:rPr>
          <w:spacing w:val="-10"/>
          <w:sz w:val="20"/>
        </w:rPr>
        <w:t> </w:t>
      </w:r>
      <w:r>
        <w:rPr>
          <w:sz w:val="20"/>
        </w:rPr>
        <w:t>consultees</w:t>
      </w:r>
      <w:r>
        <w:rPr>
          <w:spacing w:val="-10"/>
          <w:sz w:val="20"/>
        </w:rPr>
        <w:t> </w:t>
      </w:r>
      <w:r>
        <w:rPr>
          <w:sz w:val="20"/>
        </w:rPr>
        <w:t>commented</w:t>
      </w:r>
      <w:r>
        <w:rPr>
          <w:spacing w:val="-10"/>
          <w:sz w:val="20"/>
        </w:rPr>
        <w:t> </w:t>
      </w:r>
      <w:r>
        <w:rPr>
          <w:sz w:val="20"/>
        </w:rPr>
        <w:t>that</w:t>
      </w:r>
      <w:r>
        <w:rPr>
          <w:spacing w:val="-9"/>
          <w:sz w:val="20"/>
        </w:rPr>
        <w:t> </w:t>
      </w:r>
      <w:r>
        <w:rPr>
          <w:spacing w:val="-4"/>
          <w:sz w:val="20"/>
        </w:rPr>
        <w:t>‘a</w:t>
      </w:r>
      <w:r>
        <w:rPr>
          <w:spacing w:val="-10"/>
          <w:sz w:val="20"/>
        </w:rPr>
        <w:t> </w:t>
      </w:r>
      <w:r>
        <w:rPr>
          <w:sz w:val="20"/>
        </w:rPr>
        <w:t>tipstaff</w:t>
      </w:r>
    </w:p>
    <w:p>
      <w:pPr>
        <w:pStyle w:val="BodyText"/>
        <w:spacing w:line="229" w:lineRule="exact"/>
        <w:ind w:left="1761"/>
      </w:pPr>
      <w:r>
        <w:rPr/>
        <w:t>is not specifically trained to be an aid for a person with a disability’,</w:t>
      </w:r>
      <w:r>
        <w:rPr>
          <w:position w:val="7"/>
          <w:sz w:val="11"/>
        </w:rPr>
        <w:t>11 </w:t>
      </w:r>
      <w:r>
        <w:rPr/>
        <w:t>while the Supreme</w:t>
      </w:r>
    </w:p>
    <w:p>
      <w:pPr>
        <w:pStyle w:val="BodyText"/>
        <w:spacing w:line="259" w:lineRule="exact"/>
        <w:ind w:left="1761"/>
        <w:rPr>
          <w:sz w:val="11"/>
        </w:rPr>
      </w:pPr>
      <w:r>
        <w:rPr/>
        <w:t>Court consultees noted that ‘Tipstaff has too many other things to manage’.</w:t>
      </w:r>
      <w:r>
        <w:rPr>
          <w:position w:val="7"/>
          <w:sz w:val="11"/>
        </w:rPr>
        <w:t>12</w:t>
      </w:r>
    </w:p>
    <w:p>
      <w:pPr>
        <w:pStyle w:val="ListParagraph"/>
        <w:numPr>
          <w:ilvl w:val="1"/>
          <w:numId w:val="12"/>
        </w:numPr>
        <w:tabs>
          <w:tab w:pos="1761" w:val="left" w:leader="none"/>
          <w:tab w:pos="1762" w:val="left" w:leader="none"/>
        </w:tabs>
        <w:spacing w:line="206" w:lineRule="auto" w:before="115" w:after="0"/>
        <w:ind w:left="1761" w:right="1453" w:hanging="794"/>
        <w:jc w:val="left"/>
        <w:rPr>
          <w:sz w:val="11"/>
        </w:rPr>
      </w:pPr>
      <w:r>
        <w:rPr>
          <w:sz w:val="20"/>
        </w:rPr>
        <w:t>As an </w:t>
      </w:r>
      <w:r>
        <w:rPr>
          <w:spacing w:val="-3"/>
          <w:sz w:val="20"/>
        </w:rPr>
        <w:t>alternative </w:t>
      </w:r>
      <w:r>
        <w:rPr>
          <w:sz w:val="20"/>
        </w:rPr>
        <w:t>to funding a new position for these duties, the </w:t>
      </w:r>
      <w:r>
        <w:rPr>
          <w:spacing w:val="-3"/>
          <w:sz w:val="20"/>
        </w:rPr>
        <w:t>role </w:t>
      </w:r>
      <w:r>
        <w:rPr>
          <w:sz w:val="20"/>
        </w:rPr>
        <w:t>might be performed</w:t>
      </w:r>
      <w:r>
        <w:rPr>
          <w:spacing w:val="-9"/>
          <w:sz w:val="20"/>
        </w:rPr>
        <w:t> </w:t>
      </w:r>
      <w:r>
        <w:rPr>
          <w:spacing w:val="-3"/>
          <w:sz w:val="20"/>
        </w:rPr>
        <w:t>by</w:t>
      </w:r>
      <w:r>
        <w:rPr>
          <w:spacing w:val="-9"/>
          <w:sz w:val="20"/>
        </w:rPr>
        <w:t> </w:t>
      </w:r>
      <w:r>
        <w:rPr>
          <w:sz w:val="20"/>
        </w:rPr>
        <w:t>Court</w:t>
      </w:r>
      <w:r>
        <w:rPr>
          <w:spacing w:val="-8"/>
          <w:sz w:val="20"/>
        </w:rPr>
        <w:t> </w:t>
      </w:r>
      <w:r>
        <w:rPr>
          <w:sz w:val="20"/>
        </w:rPr>
        <w:t>Network</w:t>
      </w:r>
      <w:r>
        <w:rPr>
          <w:spacing w:val="-9"/>
          <w:sz w:val="20"/>
        </w:rPr>
        <w:t> </w:t>
      </w:r>
      <w:r>
        <w:rPr>
          <w:spacing w:val="-3"/>
          <w:sz w:val="20"/>
        </w:rPr>
        <w:t>volunteers</w:t>
      </w:r>
      <w:r>
        <w:rPr>
          <w:spacing w:val="-8"/>
          <w:sz w:val="20"/>
        </w:rPr>
        <w:t> </w:t>
      </w:r>
      <w:r>
        <w:rPr>
          <w:sz w:val="20"/>
        </w:rPr>
        <w:t>with</w:t>
      </w:r>
      <w:r>
        <w:rPr>
          <w:spacing w:val="-9"/>
          <w:sz w:val="20"/>
        </w:rPr>
        <w:t> </w:t>
      </w:r>
      <w:r>
        <w:rPr>
          <w:spacing w:val="-3"/>
          <w:sz w:val="20"/>
        </w:rPr>
        <w:t>appropriate</w:t>
      </w:r>
      <w:r>
        <w:rPr>
          <w:spacing w:val="-8"/>
          <w:sz w:val="20"/>
        </w:rPr>
        <w:t> </w:t>
      </w:r>
      <w:r>
        <w:rPr>
          <w:sz w:val="20"/>
        </w:rPr>
        <w:t>training.</w:t>
      </w:r>
      <w:r>
        <w:rPr>
          <w:spacing w:val="-9"/>
          <w:sz w:val="20"/>
        </w:rPr>
        <w:t> </w:t>
      </w:r>
      <w:r>
        <w:rPr>
          <w:sz w:val="20"/>
        </w:rPr>
        <w:t>This</w:t>
      </w:r>
      <w:r>
        <w:rPr>
          <w:spacing w:val="-9"/>
          <w:sz w:val="20"/>
        </w:rPr>
        <w:t> </w:t>
      </w:r>
      <w:r>
        <w:rPr>
          <w:sz w:val="20"/>
        </w:rPr>
        <w:t>option</w:t>
      </w:r>
      <w:r>
        <w:rPr>
          <w:spacing w:val="-8"/>
          <w:sz w:val="20"/>
        </w:rPr>
        <w:t> </w:t>
      </w:r>
      <w:r>
        <w:rPr>
          <w:sz w:val="20"/>
        </w:rPr>
        <w:t>should be </w:t>
      </w:r>
      <w:r>
        <w:rPr>
          <w:spacing w:val="-3"/>
          <w:sz w:val="20"/>
        </w:rPr>
        <w:t>explored </w:t>
      </w:r>
      <w:r>
        <w:rPr>
          <w:sz w:val="20"/>
        </w:rPr>
        <w:t>further </w:t>
      </w:r>
      <w:r>
        <w:rPr>
          <w:spacing w:val="-3"/>
          <w:sz w:val="20"/>
        </w:rPr>
        <w:t>by </w:t>
      </w:r>
      <w:r>
        <w:rPr>
          <w:sz w:val="20"/>
        </w:rPr>
        <w:t>the courts and Juries Victoria.</w:t>
      </w:r>
      <w:r>
        <w:rPr>
          <w:spacing w:val="-33"/>
          <w:sz w:val="20"/>
        </w:rPr>
        <w:t> </w:t>
      </w:r>
      <w:r>
        <w:rPr>
          <w:spacing w:val="3"/>
          <w:position w:val="7"/>
          <w:sz w:val="11"/>
        </w:rPr>
        <w:t>13</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pacing w:val="-4"/>
          <w:sz w:val="20"/>
        </w:rPr>
        <w:t>Training</w:t>
      </w:r>
      <w:r>
        <w:rPr>
          <w:spacing w:val="-6"/>
          <w:sz w:val="20"/>
        </w:rPr>
        <w:t> </w:t>
      </w:r>
      <w:r>
        <w:rPr>
          <w:sz w:val="20"/>
        </w:rPr>
        <w:t>should</w:t>
      </w:r>
      <w:r>
        <w:rPr>
          <w:spacing w:val="-5"/>
          <w:sz w:val="20"/>
        </w:rPr>
        <w:t> </w:t>
      </w:r>
      <w:r>
        <w:rPr>
          <w:sz w:val="20"/>
        </w:rPr>
        <w:t>be</w:t>
      </w:r>
      <w:r>
        <w:rPr>
          <w:spacing w:val="-5"/>
          <w:sz w:val="20"/>
        </w:rPr>
        <w:t> </w:t>
      </w:r>
      <w:r>
        <w:rPr>
          <w:spacing w:val="-3"/>
          <w:sz w:val="20"/>
        </w:rPr>
        <w:t>required</w:t>
      </w:r>
      <w:r>
        <w:rPr>
          <w:spacing w:val="-6"/>
          <w:sz w:val="20"/>
        </w:rPr>
        <w:t> </w:t>
      </w:r>
      <w:r>
        <w:rPr>
          <w:sz w:val="20"/>
        </w:rPr>
        <w:t>for</w:t>
      </w:r>
      <w:r>
        <w:rPr>
          <w:spacing w:val="-5"/>
          <w:sz w:val="20"/>
        </w:rPr>
        <w:t> </w:t>
      </w:r>
      <w:r>
        <w:rPr>
          <w:sz w:val="20"/>
        </w:rPr>
        <w:t>accessibility</w:t>
      </w:r>
      <w:r>
        <w:rPr>
          <w:spacing w:val="-5"/>
          <w:sz w:val="20"/>
        </w:rPr>
        <w:t> </w:t>
      </w:r>
      <w:r>
        <w:rPr>
          <w:sz w:val="20"/>
        </w:rPr>
        <w:t>officers.</w:t>
      </w:r>
      <w:r>
        <w:rPr>
          <w:spacing w:val="-6"/>
          <w:sz w:val="20"/>
        </w:rPr>
        <w:t> </w:t>
      </w:r>
      <w:r>
        <w:rPr>
          <w:sz w:val="20"/>
        </w:rPr>
        <w:t>It</w:t>
      </w:r>
      <w:r>
        <w:rPr>
          <w:spacing w:val="-5"/>
          <w:sz w:val="20"/>
        </w:rPr>
        <w:t> </w:t>
      </w:r>
      <w:r>
        <w:rPr>
          <w:sz w:val="20"/>
        </w:rPr>
        <w:t>should</w:t>
      </w:r>
      <w:r>
        <w:rPr>
          <w:spacing w:val="-5"/>
          <w:sz w:val="20"/>
        </w:rPr>
        <w:t> </w:t>
      </w:r>
      <w:r>
        <w:rPr>
          <w:sz w:val="20"/>
        </w:rPr>
        <w:t>include:</w:t>
      </w:r>
    </w:p>
    <w:p>
      <w:pPr>
        <w:pStyle w:val="ListParagraph"/>
        <w:numPr>
          <w:ilvl w:val="2"/>
          <w:numId w:val="12"/>
        </w:numPr>
        <w:tabs>
          <w:tab w:pos="2157" w:val="left" w:leader="none"/>
          <w:tab w:pos="2158" w:val="left" w:leader="none"/>
        </w:tabs>
        <w:spacing w:line="240" w:lineRule="auto" w:before="82" w:after="0"/>
        <w:ind w:left="2157" w:right="0" w:hanging="396"/>
        <w:jc w:val="left"/>
        <w:rPr>
          <w:sz w:val="20"/>
        </w:rPr>
      </w:pPr>
      <w:r>
        <w:rPr>
          <w:sz w:val="20"/>
        </w:rPr>
        <w:t>information about their </w:t>
      </w:r>
      <w:r>
        <w:rPr>
          <w:spacing w:val="-3"/>
          <w:sz w:val="20"/>
        </w:rPr>
        <w:t>role </w:t>
      </w:r>
      <w:r>
        <w:rPr>
          <w:sz w:val="20"/>
        </w:rPr>
        <w:t>and</w:t>
      </w:r>
      <w:r>
        <w:rPr>
          <w:spacing w:val="-21"/>
          <w:sz w:val="20"/>
        </w:rPr>
        <w:t> </w:t>
      </w:r>
      <w:r>
        <w:rPr>
          <w:sz w:val="20"/>
        </w:rPr>
        <w:t>responsibilities</w:t>
      </w:r>
    </w:p>
    <w:p>
      <w:pPr>
        <w:pStyle w:val="ListParagraph"/>
        <w:numPr>
          <w:ilvl w:val="2"/>
          <w:numId w:val="12"/>
        </w:numPr>
        <w:tabs>
          <w:tab w:pos="2157" w:val="left" w:leader="none"/>
          <w:tab w:pos="2158" w:val="left" w:leader="none"/>
        </w:tabs>
        <w:spacing w:line="206" w:lineRule="auto" w:before="80" w:after="0"/>
        <w:ind w:left="2157" w:right="1327" w:hanging="396"/>
        <w:jc w:val="left"/>
        <w:rPr>
          <w:sz w:val="20"/>
        </w:rPr>
      </w:pPr>
      <w:r>
        <w:rPr>
          <w:sz w:val="20"/>
        </w:rPr>
        <w:t>information</w:t>
      </w:r>
      <w:r>
        <w:rPr>
          <w:spacing w:val="-12"/>
          <w:sz w:val="20"/>
        </w:rPr>
        <w:t> </w:t>
      </w:r>
      <w:r>
        <w:rPr>
          <w:sz w:val="20"/>
        </w:rPr>
        <w:t>about</w:t>
      </w:r>
      <w:r>
        <w:rPr>
          <w:spacing w:val="-11"/>
          <w:sz w:val="20"/>
        </w:rPr>
        <w:t> </w:t>
      </w:r>
      <w:r>
        <w:rPr>
          <w:sz w:val="20"/>
        </w:rPr>
        <w:t>the</w:t>
      </w:r>
      <w:r>
        <w:rPr>
          <w:spacing w:val="-12"/>
          <w:sz w:val="20"/>
        </w:rPr>
        <w:t> </w:t>
      </w:r>
      <w:r>
        <w:rPr>
          <w:sz w:val="20"/>
        </w:rPr>
        <w:t>responsibilities</w:t>
      </w:r>
      <w:r>
        <w:rPr>
          <w:spacing w:val="-11"/>
          <w:sz w:val="20"/>
        </w:rPr>
        <w:t> </w:t>
      </w:r>
      <w:r>
        <w:rPr>
          <w:sz w:val="20"/>
        </w:rPr>
        <w:t>of</w:t>
      </w:r>
      <w:r>
        <w:rPr>
          <w:spacing w:val="-12"/>
          <w:sz w:val="20"/>
        </w:rPr>
        <w:t> </w:t>
      </w:r>
      <w:r>
        <w:rPr>
          <w:sz w:val="20"/>
        </w:rPr>
        <w:t>a</w:t>
      </w:r>
      <w:r>
        <w:rPr>
          <w:spacing w:val="-11"/>
          <w:sz w:val="20"/>
        </w:rPr>
        <w:t> </w:t>
      </w:r>
      <w:r>
        <w:rPr>
          <w:sz w:val="20"/>
        </w:rPr>
        <w:t>juror</w:t>
      </w:r>
      <w:r>
        <w:rPr>
          <w:spacing w:val="-12"/>
          <w:sz w:val="20"/>
        </w:rPr>
        <w:t> </w:t>
      </w:r>
      <w:r>
        <w:rPr>
          <w:sz w:val="20"/>
        </w:rPr>
        <w:t>and</w:t>
      </w:r>
      <w:r>
        <w:rPr>
          <w:spacing w:val="-11"/>
          <w:sz w:val="20"/>
        </w:rPr>
        <w:t> </w:t>
      </w:r>
      <w:r>
        <w:rPr>
          <w:sz w:val="20"/>
        </w:rPr>
        <w:t>what</w:t>
      </w:r>
      <w:r>
        <w:rPr>
          <w:spacing w:val="-12"/>
          <w:sz w:val="20"/>
        </w:rPr>
        <w:t> </w:t>
      </w:r>
      <w:r>
        <w:rPr>
          <w:sz w:val="20"/>
        </w:rPr>
        <w:t>happens</w:t>
      </w:r>
      <w:r>
        <w:rPr>
          <w:spacing w:val="-11"/>
          <w:sz w:val="20"/>
        </w:rPr>
        <w:t> </w:t>
      </w:r>
      <w:r>
        <w:rPr>
          <w:spacing w:val="-4"/>
          <w:sz w:val="20"/>
        </w:rPr>
        <w:t>over</w:t>
      </w:r>
      <w:r>
        <w:rPr>
          <w:spacing w:val="-12"/>
          <w:sz w:val="20"/>
        </w:rPr>
        <w:t> </w:t>
      </w:r>
      <w:r>
        <w:rPr>
          <w:sz w:val="20"/>
        </w:rPr>
        <w:t>the</w:t>
      </w:r>
      <w:r>
        <w:rPr>
          <w:spacing w:val="-11"/>
          <w:sz w:val="20"/>
        </w:rPr>
        <w:t> </w:t>
      </w:r>
      <w:r>
        <w:rPr>
          <w:sz w:val="20"/>
        </w:rPr>
        <w:t>course of an ordinary</w:t>
      </w:r>
      <w:r>
        <w:rPr>
          <w:spacing w:val="-13"/>
          <w:sz w:val="20"/>
        </w:rPr>
        <w:t> </w:t>
      </w:r>
      <w:r>
        <w:rPr>
          <w:spacing w:val="-3"/>
          <w:sz w:val="20"/>
        </w:rPr>
        <w:t>day</w:t>
      </w:r>
    </w:p>
    <w:p>
      <w:pPr>
        <w:pStyle w:val="ListParagraph"/>
        <w:numPr>
          <w:ilvl w:val="2"/>
          <w:numId w:val="12"/>
        </w:numPr>
        <w:tabs>
          <w:tab w:pos="2157" w:val="left" w:leader="none"/>
          <w:tab w:pos="2158" w:val="left" w:leader="none"/>
        </w:tabs>
        <w:spacing w:line="206" w:lineRule="auto" w:before="87" w:after="0"/>
        <w:ind w:left="2157" w:right="1627" w:hanging="396"/>
        <w:jc w:val="left"/>
        <w:rPr>
          <w:sz w:val="20"/>
        </w:rPr>
      </w:pPr>
      <w:r>
        <w:rPr>
          <w:sz w:val="20"/>
        </w:rPr>
        <w:t>disability</w:t>
      </w:r>
      <w:r>
        <w:rPr>
          <w:spacing w:val="-14"/>
          <w:sz w:val="20"/>
        </w:rPr>
        <w:t> </w:t>
      </w:r>
      <w:r>
        <w:rPr>
          <w:spacing w:val="-3"/>
          <w:sz w:val="20"/>
        </w:rPr>
        <w:t>awareness</w:t>
      </w:r>
      <w:r>
        <w:rPr>
          <w:spacing w:val="-14"/>
          <w:sz w:val="20"/>
        </w:rPr>
        <w:t> </w:t>
      </w:r>
      <w:r>
        <w:rPr>
          <w:sz w:val="20"/>
        </w:rPr>
        <w:t>training,</w:t>
      </w:r>
      <w:r>
        <w:rPr>
          <w:spacing w:val="-13"/>
          <w:sz w:val="20"/>
        </w:rPr>
        <w:t> </w:t>
      </w:r>
      <w:r>
        <w:rPr>
          <w:sz w:val="20"/>
        </w:rPr>
        <w:t>including</w:t>
      </w:r>
      <w:r>
        <w:rPr>
          <w:spacing w:val="-14"/>
          <w:sz w:val="20"/>
        </w:rPr>
        <w:t> </w:t>
      </w:r>
      <w:r>
        <w:rPr>
          <w:sz w:val="20"/>
        </w:rPr>
        <w:t>training</w:t>
      </w:r>
      <w:r>
        <w:rPr>
          <w:spacing w:val="-13"/>
          <w:sz w:val="20"/>
        </w:rPr>
        <w:t> </w:t>
      </w:r>
      <w:r>
        <w:rPr>
          <w:sz w:val="20"/>
        </w:rPr>
        <w:t>about</w:t>
      </w:r>
      <w:r>
        <w:rPr>
          <w:spacing w:val="-14"/>
          <w:sz w:val="20"/>
        </w:rPr>
        <w:t> </w:t>
      </w:r>
      <w:r>
        <w:rPr>
          <w:spacing w:val="-3"/>
          <w:sz w:val="20"/>
        </w:rPr>
        <w:t>how</w:t>
      </w:r>
      <w:r>
        <w:rPr>
          <w:spacing w:val="-14"/>
          <w:sz w:val="20"/>
        </w:rPr>
        <w:t> </w:t>
      </w:r>
      <w:r>
        <w:rPr>
          <w:sz w:val="20"/>
        </w:rPr>
        <w:t>various</w:t>
      </w:r>
      <w:r>
        <w:rPr>
          <w:spacing w:val="-13"/>
          <w:sz w:val="20"/>
        </w:rPr>
        <w:t> </w:t>
      </w:r>
      <w:r>
        <w:rPr>
          <w:sz w:val="20"/>
        </w:rPr>
        <w:t>adjustments </w:t>
      </w:r>
      <w:r>
        <w:rPr>
          <w:spacing w:val="-3"/>
          <w:sz w:val="20"/>
        </w:rPr>
        <w:t>work </w:t>
      </w:r>
      <w:r>
        <w:rPr>
          <w:sz w:val="20"/>
        </w:rPr>
        <w:t>in practice (see </w:t>
      </w:r>
      <w:r>
        <w:rPr>
          <w:spacing w:val="-2"/>
          <w:sz w:val="20"/>
        </w:rPr>
        <w:t>Chapter</w:t>
      </w:r>
      <w:r>
        <w:rPr>
          <w:spacing w:val="-18"/>
          <w:sz w:val="20"/>
        </w:rPr>
        <w:t> </w:t>
      </w:r>
      <w:r>
        <w:rPr>
          <w:spacing w:val="-3"/>
          <w:sz w:val="20"/>
        </w:rPr>
        <w:t>18)</w:t>
      </w:r>
    </w:p>
    <w:p>
      <w:pPr>
        <w:pStyle w:val="ListParagraph"/>
        <w:numPr>
          <w:ilvl w:val="2"/>
          <w:numId w:val="12"/>
        </w:numPr>
        <w:tabs>
          <w:tab w:pos="2158" w:val="left" w:leader="none"/>
        </w:tabs>
        <w:spacing w:line="206" w:lineRule="auto" w:before="88" w:after="0"/>
        <w:ind w:left="2157" w:right="1595" w:hanging="396"/>
        <w:jc w:val="both"/>
        <w:rPr>
          <w:sz w:val="20"/>
        </w:rPr>
      </w:pPr>
      <w:r>
        <w:rPr>
          <w:sz w:val="20"/>
        </w:rPr>
        <w:t>their responsibility to the court, including protocols that </w:t>
      </w:r>
      <w:r>
        <w:rPr>
          <w:spacing w:val="-3"/>
          <w:sz w:val="20"/>
        </w:rPr>
        <w:t>would </w:t>
      </w:r>
      <w:r>
        <w:rPr>
          <w:sz w:val="20"/>
        </w:rPr>
        <w:t>normally </w:t>
      </w:r>
      <w:r>
        <w:rPr>
          <w:spacing w:val="-3"/>
          <w:sz w:val="20"/>
        </w:rPr>
        <w:t>apply </w:t>
      </w:r>
      <w:r>
        <w:rPr>
          <w:sz w:val="20"/>
        </w:rPr>
        <w:t>to jurykeepers, such as not discussing the trial with the juror or other jurors or attempting</w:t>
      </w:r>
      <w:r>
        <w:rPr>
          <w:spacing w:val="-16"/>
          <w:sz w:val="20"/>
        </w:rPr>
        <w:t> </w:t>
      </w:r>
      <w:r>
        <w:rPr>
          <w:sz w:val="20"/>
        </w:rPr>
        <w:t>to</w:t>
      </w:r>
      <w:r>
        <w:rPr>
          <w:spacing w:val="-15"/>
          <w:sz w:val="20"/>
        </w:rPr>
        <w:t> </w:t>
      </w:r>
      <w:r>
        <w:rPr>
          <w:sz w:val="20"/>
        </w:rPr>
        <w:t>influence</w:t>
      </w:r>
      <w:r>
        <w:rPr>
          <w:spacing w:val="-15"/>
          <w:sz w:val="20"/>
        </w:rPr>
        <w:t> </w:t>
      </w:r>
      <w:r>
        <w:rPr>
          <w:sz w:val="20"/>
        </w:rPr>
        <w:t>the</w:t>
      </w:r>
      <w:r>
        <w:rPr>
          <w:spacing w:val="-15"/>
          <w:sz w:val="20"/>
        </w:rPr>
        <w:t> </w:t>
      </w:r>
      <w:r>
        <w:rPr>
          <w:sz w:val="20"/>
        </w:rPr>
        <w:t>jurors.</w:t>
      </w:r>
      <w:r>
        <w:rPr>
          <w:spacing w:val="-15"/>
          <w:sz w:val="20"/>
        </w:rPr>
        <w:t> </w:t>
      </w:r>
      <w:r>
        <w:rPr>
          <w:sz w:val="20"/>
        </w:rPr>
        <w:t>If</w:t>
      </w:r>
      <w:r>
        <w:rPr>
          <w:spacing w:val="-15"/>
          <w:sz w:val="20"/>
        </w:rPr>
        <w:t> </w:t>
      </w:r>
      <w:r>
        <w:rPr>
          <w:sz w:val="20"/>
        </w:rPr>
        <w:t>necessary,</w:t>
      </w:r>
      <w:r>
        <w:rPr>
          <w:spacing w:val="-15"/>
          <w:sz w:val="20"/>
        </w:rPr>
        <w:t> </w:t>
      </w:r>
      <w:r>
        <w:rPr>
          <w:sz w:val="20"/>
        </w:rPr>
        <w:t>the</w:t>
      </w:r>
      <w:r>
        <w:rPr>
          <w:spacing w:val="-15"/>
          <w:sz w:val="20"/>
        </w:rPr>
        <w:t> </w:t>
      </w:r>
      <w:r>
        <w:rPr>
          <w:sz w:val="20"/>
        </w:rPr>
        <w:t>accessibility</w:t>
      </w:r>
      <w:r>
        <w:rPr>
          <w:spacing w:val="-15"/>
          <w:sz w:val="20"/>
        </w:rPr>
        <w:t> </w:t>
      </w:r>
      <w:r>
        <w:rPr>
          <w:sz w:val="20"/>
        </w:rPr>
        <w:t>officer</w:t>
      </w:r>
      <w:r>
        <w:rPr>
          <w:spacing w:val="-15"/>
          <w:sz w:val="20"/>
        </w:rPr>
        <w:t> </w:t>
      </w:r>
      <w:r>
        <w:rPr>
          <w:sz w:val="20"/>
        </w:rPr>
        <w:t>should politely</w:t>
      </w:r>
      <w:r>
        <w:rPr>
          <w:spacing w:val="-11"/>
          <w:sz w:val="20"/>
        </w:rPr>
        <w:t> </w:t>
      </w:r>
      <w:r>
        <w:rPr>
          <w:sz w:val="20"/>
        </w:rPr>
        <w:t>inform</w:t>
      </w:r>
      <w:r>
        <w:rPr>
          <w:spacing w:val="-11"/>
          <w:sz w:val="20"/>
        </w:rPr>
        <w:t> </w:t>
      </w:r>
      <w:r>
        <w:rPr>
          <w:sz w:val="20"/>
        </w:rPr>
        <w:t>a</w:t>
      </w:r>
      <w:r>
        <w:rPr>
          <w:spacing w:val="-11"/>
          <w:sz w:val="20"/>
        </w:rPr>
        <w:t> </w:t>
      </w:r>
      <w:r>
        <w:rPr>
          <w:sz w:val="20"/>
        </w:rPr>
        <w:t>juror</w:t>
      </w:r>
      <w:r>
        <w:rPr>
          <w:spacing w:val="-11"/>
          <w:sz w:val="20"/>
        </w:rPr>
        <w:t> </w:t>
      </w:r>
      <w:r>
        <w:rPr>
          <w:sz w:val="20"/>
        </w:rPr>
        <w:t>that</w:t>
      </w:r>
      <w:r>
        <w:rPr>
          <w:spacing w:val="-11"/>
          <w:sz w:val="20"/>
        </w:rPr>
        <w:t> </w:t>
      </w:r>
      <w:r>
        <w:rPr>
          <w:sz w:val="20"/>
        </w:rPr>
        <w:t>all</w:t>
      </w:r>
      <w:r>
        <w:rPr>
          <w:spacing w:val="-11"/>
          <w:sz w:val="20"/>
        </w:rPr>
        <w:t> </w:t>
      </w:r>
      <w:r>
        <w:rPr>
          <w:sz w:val="20"/>
        </w:rPr>
        <w:t>matters</w:t>
      </w:r>
      <w:r>
        <w:rPr>
          <w:spacing w:val="-11"/>
          <w:sz w:val="20"/>
        </w:rPr>
        <w:t> </w:t>
      </w:r>
      <w:r>
        <w:rPr>
          <w:sz w:val="20"/>
        </w:rPr>
        <w:t>about</w:t>
      </w:r>
      <w:r>
        <w:rPr>
          <w:spacing w:val="-11"/>
          <w:sz w:val="20"/>
        </w:rPr>
        <w:t> </w:t>
      </w:r>
      <w:r>
        <w:rPr>
          <w:sz w:val="20"/>
        </w:rPr>
        <w:t>the</w:t>
      </w:r>
      <w:r>
        <w:rPr>
          <w:spacing w:val="-11"/>
          <w:sz w:val="20"/>
        </w:rPr>
        <w:t> </w:t>
      </w:r>
      <w:r>
        <w:rPr>
          <w:sz w:val="20"/>
        </w:rPr>
        <w:t>case</w:t>
      </w:r>
      <w:r>
        <w:rPr>
          <w:spacing w:val="-11"/>
          <w:sz w:val="20"/>
        </w:rPr>
        <w:t> </w:t>
      </w:r>
      <w:r>
        <w:rPr>
          <w:sz w:val="20"/>
        </w:rPr>
        <w:t>must</w:t>
      </w:r>
      <w:r>
        <w:rPr>
          <w:spacing w:val="-11"/>
          <w:sz w:val="20"/>
        </w:rPr>
        <w:t> </w:t>
      </w:r>
      <w:r>
        <w:rPr>
          <w:sz w:val="20"/>
        </w:rPr>
        <w:t>be</w:t>
      </w:r>
      <w:r>
        <w:rPr>
          <w:spacing w:val="-11"/>
          <w:sz w:val="20"/>
        </w:rPr>
        <w:t> </w:t>
      </w:r>
      <w:r>
        <w:rPr>
          <w:sz w:val="20"/>
        </w:rPr>
        <w:t>raised</w:t>
      </w:r>
      <w:r>
        <w:rPr>
          <w:spacing w:val="-11"/>
          <w:sz w:val="20"/>
        </w:rPr>
        <w:t> </w:t>
      </w:r>
      <w:r>
        <w:rPr>
          <w:sz w:val="20"/>
        </w:rPr>
        <w:t>either</w:t>
      </w:r>
      <w:r>
        <w:rPr>
          <w:spacing w:val="-11"/>
          <w:sz w:val="20"/>
        </w:rPr>
        <w:t> </w:t>
      </w:r>
      <w:r>
        <w:rPr>
          <w:sz w:val="20"/>
        </w:rPr>
        <w:t>with</w:t>
      </w:r>
    </w:p>
    <w:p>
      <w:pPr>
        <w:pStyle w:val="BodyText"/>
        <w:spacing w:line="206" w:lineRule="auto" w:before="5"/>
        <w:ind w:left="2157" w:right="1202"/>
        <w:rPr>
          <w:sz w:val="11"/>
        </w:rPr>
      </w:pPr>
      <w:r>
        <w:rPr>
          <w:spacing w:val="-3"/>
        </w:rPr>
        <w:t>fellow</w:t>
      </w:r>
      <w:r>
        <w:rPr>
          <w:spacing w:val="-11"/>
        </w:rPr>
        <w:t> </w:t>
      </w:r>
      <w:r>
        <w:rPr/>
        <w:t>jurors</w:t>
      </w:r>
      <w:r>
        <w:rPr>
          <w:spacing w:val="-10"/>
        </w:rPr>
        <w:t> </w:t>
      </w:r>
      <w:r>
        <w:rPr/>
        <w:t>(if</w:t>
      </w:r>
      <w:r>
        <w:rPr>
          <w:spacing w:val="-10"/>
        </w:rPr>
        <w:t> </w:t>
      </w:r>
      <w:r>
        <w:rPr/>
        <w:t>the</w:t>
      </w:r>
      <w:r>
        <w:rPr>
          <w:spacing w:val="-10"/>
        </w:rPr>
        <w:t> </w:t>
      </w:r>
      <w:r>
        <w:rPr/>
        <w:t>matter</w:t>
      </w:r>
      <w:r>
        <w:rPr>
          <w:spacing w:val="-11"/>
        </w:rPr>
        <w:t> </w:t>
      </w:r>
      <w:r>
        <w:rPr>
          <w:spacing w:val="-3"/>
        </w:rPr>
        <w:t>relates</w:t>
      </w:r>
      <w:r>
        <w:rPr>
          <w:spacing w:val="-10"/>
        </w:rPr>
        <w:t> </w:t>
      </w:r>
      <w:r>
        <w:rPr/>
        <w:t>to</w:t>
      </w:r>
      <w:r>
        <w:rPr>
          <w:spacing w:val="-10"/>
        </w:rPr>
        <w:t> </w:t>
      </w:r>
      <w:r>
        <w:rPr/>
        <w:t>the</w:t>
      </w:r>
      <w:r>
        <w:rPr>
          <w:spacing w:val="-10"/>
        </w:rPr>
        <w:t> </w:t>
      </w:r>
      <w:r>
        <w:rPr/>
        <w:t>jury’s</w:t>
      </w:r>
      <w:r>
        <w:rPr>
          <w:spacing w:val="-10"/>
        </w:rPr>
        <w:t> </w:t>
      </w:r>
      <w:r>
        <w:rPr/>
        <w:t>decision-making)</w:t>
      </w:r>
      <w:r>
        <w:rPr>
          <w:spacing w:val="-11"/>
        </w:rPr>
        <w:t> </w:t>
      </w:r>
      <w:r>
        <w:rPr/>
        <w:t>or</w:t>
      </w:r>
      <w:r>
        <w:rPr>
          <w:spacing w:val="-10"/>
        </w:rPr>
        <w:t> </w:t>
      </w:r>
      <w:r>
        <w:rPr/>
        <w:t>to</w:t>
      </w:r>
      <w:r>
        <w:rPr>
          <w:spacing w:val="-10"/>
        </w:rPr>
        <w:t> </w:t>
      </w:r>
      <w:r>
        <w:rPr/>
        <w:t>the</w:t>
      </w:r>
      <w:r>
        <w:rPr>
          <w:spacing w:val="-10"/>
        </w:rPr>
        <w:t> </w:t>
      </w:r>
      <w:r>
        <w:rPr/>
        <w:t>trial</w:t>
      </w:r>
      <w:r>
        <w:rPr>
          <w:spacing w:val="-11"/>
        </w:rPr>
        <w:t> </w:t>
      </w:r>
      <w:r>
        <w:rPr/>
        <w:t>judge, via</w:t>
      </w:r>
      <w:r>
        <w:rPr>
          <w:spacing w:val="-8"/>
        </w:rPr>
        <w:t> </w:t>
      </w:r>
      <w:r>
        <w:rPr/>
        <w:t>the</w:t>
      </w:r>
      <w:r>
        <w:rPr>
          <w:spacing w:val="-8"/>
        </w:rPr>
        <w:t> </w:t>
      </w:r>
      <w:r>
        <w:rPr/>
        <w:t>foreperson</w:t>
      </w:r>
      <w:r>
        <w:rPr>
          <w:spacing w:val="-8"/>
        </w:rPr>
        <w:t> </w:t>
      </w:r>
      <w:r>
        <w:rPr/>
        <w:t>(if</w:t>
      </w:r>
      <w:r>
        <w:rPr>
          <w:spacing w:val="-8"/>
        </w:rPr>
        <w:t> </w:t>
      </w:r>
      <w:r>
        <w:rPr/>
        <w:t>the</w:t>
      </w:r>
      <w:r>
        <w:rPr>
          <w:spacing w:val="-8"/>
        </w:rPr>
        <w:t> </w:t>
      </w:r>
      <w:r>
        <w:rPr/>
        <w:t>matter</w:t>
      </w:r>
      <w:r>
        <w:rPr>
          <w:spacing w:val="-7"/>
        </w:rPr>
        <w:t> </w:t>
      </w:r>
      <w:r>
        <w:rPr>
          <w:spacing w:val="-3"/>
        </w:rPr>
        <w:t>relates</w:t>
      </w:r>
      <w:r>
        <w:rPr>
          <w:spacing w:val="-8"/>
        </w:rPr>
        <w:t> </w:t>
      </w:r>
      <w:r>
        <w:rPr/>
        <w:t>to</w:t>
      </w:r>
      <w:r>
        <w:rPr>
          <w:spacing w:val="-8"/>
        </w:rPr>
        <w:t> </w:t>
      </w:r>
      <w:r>
        <w:rPr/>
        <w:t>further</w:t>
      </w:r>
      <w:r>
        <w:rPr>
          <w:spacing w:val="-8"/>
        </w:rPr>
        <w:t> </w:t>
      </w:r>
      <w:r>
        <w:rPr/>
        <w:t>directions</w:t>
      </w:r>
      <w:r>
        <w:rPr>
          <w:spacing w:val="-8"/>
        </w:rPr>
        <w:t> </w:t>
      </w:r>
      <w:r>
        <w:rPr/>
        <w:t>or</w:t>
      </w:r>
      <w:r>
        <w:rPr>
          <w:spacing w:val="-8"/>
        </w:rPr>
        <w:t> </w:t>
      </w:r>
      <w:r>
        <w:rPr/>
        <w:t>an</w:t>
      </w:r>
      <w:r>
        <w:rPr>
          <w:spacing w:val="-7"/>
        </w:rPr>
        <w:t> </w:t>
      </w:r>
      <w:r>
        <w:rPr/>
        <w:t>irregularity).</w:t>
      </w:r>
      <w:r>
        <w:rPr>
          <w:position w:val="7"/>
          <w:sz w:val="11"/>
        </w:rPr>
        <w:t>14</w:t>
      </w:r>
    </w:p>
    <w:p>
      <w:pPr>
        <w:pStyle w:val="BodyText"/>
        <w:spacing w:before="11"/>
        <w:rPr>
          <w:sz w:val="16"/>
        </w:rPr>
      </w:pPr>
      <w:r>
        <w:rPr/>
        <w:pict>
          <v:group style="position:absolute;margin-left:62.362202pt;margin-top:13.64896pt;width:479.1pt;height:108.4pt;mso-position-horizontal-relative:page;mso-position-vertical-relative:paragraph;z-index:9104;mso-wrap-distance-left:0;mso-wrap-distance-right:0" coordorigin="1247,273" coordsize="9582,2168">
            <v:rect style="position:absolute;left:1587;top:272;width:8731;height:2168" filled="true" fillcolor="#dddfe4" stroked="false">
              <v:fill type="solid"/>
            </v:rect>
            <v:line style="position:absolute" from="1247,1081" to="10828,1081" stroked="true" strokeweight="2.5pt" strokecolor="#ffffff">
              <v:stroke dashstyle="solid"/>
            </v:line>
            <v:shape style="position:absolute;left:2381;top:1306;width:7667;height:955" type="#_x0000_t202" filled="false" stroked="false">
              <v:textbox inset="0,0,0,0">
                <w:txbxContent>
                  <w:p>
                    <w:pPr>
                      <w:spacing w:line="247" w:lineRule="auto" w:before="0"/>
                      <w:ind w:left="0" w:right="0" w:firstLine="0"/>
                      <w:jc w:val="left"/>
                      <w:rPr>
                        <w:rFonts w:ascii="Trebuchet MS"/>
                        <w:sz w:val="20"/>
                      </w:rPr>
                    </w:pPr>
                    <w:r>
                      <w:rPr>
                        <w:rFonts w:ascii="Trebuchet MS"/>
                        <w:w w:val="105"/>
                        <w:sz w:val="20"/>
                      </w:rPr>
                      <w:t>The</w:t>
                    </w:r>
                    <w:r>
                      <w:rPr>
                        <w:rFonts w:ascii="Trebuchet MS"/>
                        <w:spacing w:val="-25"/>
                        <w:w w:val="105"/>
                        <w:sz w:val="20"/>
                      </w:rPr>
                      <w:t> </w:t>
                    </w:r>
                    <w:r>
                      <w:rPr>
                        <w:rFonts w:ascii="Trebuchet MS"/>
                        <w:w w:val="105"/>
                        <w:sz w:val="20"/>
                      </w:rPr>
                      <w:t>courts</w:t>
                    </w:r>
                    <w:r>
                      <w:rPr>
                        <w:rFonts w:ascii="Trebuchet MS"/>
                        <w:spacing w:val="-24"/>
                        <w:w w:val="105"/>
                        <w:sz w:val="20"/>
                      </w:rPr>
                      <w:t> </w:t>
                    </w:r>
                    <w:r>
                      <w:rPr>
                        <w:rFonts w:ascii="Trebuchet MS"/>
                        <w:w w:val="105"/>
                        <w:sz w:val="20"/>
                      </w:rPr>
                      <w:t>and</w:t>
                    </w:r>
                    <w:r>
                      <w:rPr>
                        <w:rFonts w:ascii="Trebuchet MS"/>
                        <w:spacing w:val="-25"/>
                        <w:w w:val="105"/>
                        <w:sz w:val="20"/>
                      </w:rPr>
                      <w:t> </w:t>
                    </w:r>
                    <w:r>
                      <w:rPr>
                        <w:rFonts w:ascii="Trebuchet MS"/>
                        <w:w w:val="105"/>
                        <w:sz w:val="20"/>
                      </w:rPr>
                      <w:t>Juries</w:t>
                    </w:r>
                    <w:r>
                      <w:rPr>
                        <w:rFonts w:ascii="Trebuchet MS"/>
                        <w:spacing w:val="-24"/>
                        <w:w w:val="105"/>
                        <w:sz w:val="20"/>
                      </w:rPr>
                      <w:t> </w:t>
                    </w:r>
                    <w:r>
                      <w:rPr>
                        <w:rFonts w:ascii="Trebuchet MS"/>
                        <w:w w:val="105"/>
                        <w:sz w:val="20"/>
                      </w:rPr>
                      <w:t>Victoria</w:t>
                    </w:r>
                    <w:r>
                      <w:rPr>
                        <w:rFonts w:ascii="Trebuchet MS"/>
                        <w:spacing w:val="-25"/>
                        <w:w w:val="105"/>
                        <w:sz w:val="20"/>
                      </w:rPr>
                      <w:t> </w:t>
                    </w:r>
                    <w:r>
                      <w:rPr>
                        <w:rFonts w:ascii="Trebuchet MS"/>
                        <w:w w:val="105"/>
                        <w:sz w:val="20"/>
                      </w:rPr>
                      <w:t>should</w:t>
                    </w:r>
                    <w:r>
                      <w:rPr>
                        <w:rFonts w:ascii="Trebuchet MS"/>
                        <w:spacing w:val="-24"/>
                        <w:w w:val="105"/>
                        <w:sz w:val="20"/>
                      </w:rPr>
                      <w:t> </w:t>
                    </w:r>
                    <w:r>
                      <w:rPr>
                        <w:rFonts w:ascii="Trebuchet MS"/>
                        <w:w w:val="105"/>
                        <w:sz w:val="20"/>
                      </w:rPr>
                      <w:t>ensure</w:t>
                    </w:r>
                    <w:r>
                      <w:rPr>
                        <w:rFonts w:ascii="Trebuchet MS"/>
                        <w:spacing w:val="-25"/>
                        <w:w w:val="105"/>
                        <w:sz w:val="20"/>
                      </w:rPr>
                      <w:t> </w:t>
                    </w:r>
                    <w:r>
                      <w:rPr>
                        <w:rFonts w:ascii="Trebuchet MS"/>
                        <w:w w:val="105"/>
                        <w:sz w:val="20"/>
                      </w:rPr>
                      <w:t>that</w:t>
                    </w:r>
                    <w:r>
                      <w:rPr>
                        <w:rFonts w:ascii="Trebuchet MS"/>
                        <w:spacing w:val="-24"/>
                        <w:w w:val="105"/>
                        <w:sz w:val="20"/>
                      </w:rPr>
                      <w:t> </w:t>
                    </w:r>
                    <w:r>
                      <w:rPr>
                        <w:rFonts w:ascii="Trebuchet MS"/>
                        <w:w w:val="105"/>
                        <w:sz w:val="20"/>
                      </w:rPr>
                      <w:t>an</w:t>
                    </w:r>
                    <w:r>
                      <w:rPr>
                        <w:rFonts w:ascii="Trebuchet MS"/>
                        <w:spacing w:val="-24"/>
                        <w:w w:val="105"/>
                        <w:sz w:val="20"/>
                      </w:rPr>
                      <w:t> </w:t>
                    </w:r>
                    <w:r>
                      <w:rPr>
                        <w:rFonts w:ascii="Trebuchet MS"/>
                        <w:w w:val="105"/>
                        <w:sz w:val="20"/>
                      </w:rPr>
                      <w:t>accessibility</w:t>
                    </w:r>
                    <w:r>
                      <w:rPr>
                        <w:rFonts w:ascii="Trebuchet MS"/>
                        <w:spacing w:val="-25"/>
                        <w:w w:val="105"/>
                        <w:sz w:val="20"/>
                      </w:rPr>
                      <w:t> </w:t>
                    </w:r>
                    <w:r>
                      <w:rPr>
                        <w:rFonts w:ascii="Trebuchet MS"/>
                        <w:w w:val="105"/>
                        <w:sz w:val="20"/>
                      </w:rPr>
                      <w:t>officer</w:t>
                    </w:r>
                    <w:r>
                      <w:rPr>
                        <w:rFonts w:ascii="Trebuchet MS"/>
                        <w:spacing w:val="-24"/>
                        <w:w w:val="105"/>
                        <w:sz w:val="20"/>
                      </w:rPr>
                      <w:t> </w:t>
                    </w:r>
                    <w:r>
                      <w:rPr>
                        <w:rFonts w:ascii="Trebuchet MS"/>
                        <w:w w:val="105"/>
                        <w:sz w:val="20"/>
                      </w:rPr>
                      <w:t>is</w:t>
                    </w:r>
                    <w:r>
                      <w:rPr>
                        <w:rFonts w:ascii="Trebuchet MS"/>
                        <w:spacing w:val="-25"/>
                        <w:w w:val="105"/>
                        <w:sz w:val="20"/>
                      </w:rPr>
                      <w:t> </w:t>
                    </w:r>
                    <w:r>
                      <w:rPr>
                        <w:rFonts w:ascii="Trebuchet MS"/>
                        <w:spacing w:val="-3"/>
                        <w:w w:val="105"/>
                        <w:sz w:val="20"/>
                      </w:rPr>
                      <w:t>available </w:t>
                    </w:r>
                    <w:r>
                      <w:rPr>
                        <w:rFonts w:ascii="Trebuchet MS"/>
                        <w:spacing w:val="-4"/>
                        <w:w w:val="88"/>
                        <w:sz w:val="20"/>
                      </w:rPr>
                      <w:t>t</w:t>
                    </w:r>
                    <w:r>
                      <w:rPr>
                        <w:rFonts w:ascii="Trebuchet MS"/>
                        <w:w w:val="111"/>
                        <w:sz w:val="20"/>
                      </w:rPr>
                      <w:t>o</w:t>
                    </w:r>
                    <w:r>
                      <w:rPr>
                        <w:rFonts w:ascii="Trebuchet MS"/>
                        <w:spacing w:val="-14"/>
                        <w:sz w:val="20"/>
                      </w:rPr>
                      <w:t> </w:t>
                    </w:r>
                    <w:r>
                      <w:rPr>
                        <w:rFonts w:ascii="Trebuchet MS"/>
                        <w:w w:val="105"/>
                        <w:sz w:val="20"/>
                      </w:rPr>
                      <w:t>a</w:t>
                    </w:r>
                    <w:r>
                      <w:rPr>
                        <w:rFonts w:ascii="Trebuchet MS"/>
                        <w:spacing w:val="-1"/>
                        <w:w w:val="122"/>
                        <w:sz w:val="20"/>
                      </w:rPr>
                      <w:t>s</w:t>
                    </w:r>
                    <w:r>
                      <w:rPr>
                        <w:rFonts w:ascii="Trebuchet MS"/>
                        <w:spacing w:val="-2"/>
                        <w:w w:val="122"/>
                        <w:sz w:val="20"/>
                      </w:rPr>
                      <w:t>s</w:t>
                    </w:r>
                    <w:r>
                      <w:rPr>
                        <w:rFonts w:ascii="Trebuchet MS"/>
                        <w:spacing w:val="-1"/>
                        <w:w w:val="80"/>
                        <w:sz w:val="20"/>
                      </w:rPr>
                      <w:t>i</w:t>
                    </w:r>
                    <w:r>
                      <w:rPr>
                        <w:rFonts w:ascii="Trebuchet MS"/>
                        <w:spacing w:val="-1"/>
                        <w:w w:val="122"/>
                        <w:sz w:val="20"/>
                      </w:rPr>
                      <w:t>s</w:t>
                    </w:r>
                    <w:r>
                      <w:rPr>
                        <w:rFonts w:ascii="Trebuchet MS"/>
                        <w:w w:val="88"/>
                        <w:sz w:val="20"/>
                      </w:rPr>
                      <w:t>t</w:t>
                    </w:r>
                    <w:r>
                      <w:rPr>
                        <w:rFonts w:ascii="Trebuchet MS"/>
                        <w:spacing w:val="-14"/>
                        <w:sz w:val="20"/>
                      </w:rPr>
                      <w:t> </w:t>
                    </w:r>
                    <w:r>
                      <w:rPr>
                        <w:rFonts w:ascii="Trebuchet MS"/>
                        <w:w w:val="105"/>
                        <w:sz w:val="20"/>
                      </w:rPr>
                      <w:t>a</w:t>
                    </w:r>
                    <w:r>
                      <w:rPr>
                        <w:rFonts w:ascii="Trebuchet MS"/>
                        <w:spacing w:val="-14"/>
                        <w:sz w:val="20"/>
                      </w:rPr>
                      <w:t> </w:t>
                    </w:r>
                    <w:r>
                      <w:rPr>
                        <w:rFonts w:ascii="Trebuchet MS"/>
                        <w:spacing w:val="-1"/>
                        <w:w w:val="111"/>
                        <w:sz w:val="20"/>
                      </w:rPr>
                      <w:t>p</w:t>
                    </w:r>
                    <w:r>
                      <w:rPr>
                        <w:rFonts w:ascii="Trebuchet MS"/>
                        <w:spacing w:val="-1"/>
                        <w:w w:val="108"/>
                        <w:sz w:val="20"/>
                      </w:rPr>
                      <w:t>e</w:t>
                    </w:r>
                    <w:r>
                      <w:rPr>
                        <w:rFonts w:ascii="Trebuchet MS"/>
                        <w:spacing w:val="-1"/>
                        <w:w w:val="93"/>
                        <w:sz w:val="20"/>
                      </w:rPr>
                      <w:t>r</w:t>
                    </w:r>
                    <w:r>
                      <w:rPr>
                        <w:rFonts w:ascii="Trebuchet MS"/>
                        <w:spacing w:val="-1"/>
                        <w:w w:val="122"/>
                        <w:sz w:val="20"/>
                      </w:rPr>
                      <w:t>s</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2"/>
                        <w:w w:val="93"/>
                        <w:sz w:val="20"/>
                      </w:rPr>
                      <w:t>f</w:t>
                    </w:r>
                    <w:r>
                      <w:rPr>
                        <w:rFonts w:ascii="Trebuchet MS"/>
                        <w:spacing w:val="-4"/>
                        <w:w w:val="93"/>
                        <w:sz w:val="20"/>
                      </w:rPr>
                      <w:t>r</w:t>
                    </w:r>
                    <w:r>
                      <w:rPr>
                        <w:rFonts w:ascii="Trebuchet MS"/>
                        <w:spacing w:val="-1"/>
                        <w:w w:val="111"/>
                        <w:sz w:val="20"/>
                      </w:rPr>
                      <w:t>o</w:t>
                    </w:r>
                    <w:r>
                      <w:rPr>
                        <w:rFonts w:ascii="Trebuchet MS"/>
                        <w:w w:val="111"/>
                        <w:sz w:val="20"/>
                      </w:rPr>
                      <w:t>m</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122"/>
                        <w:sz w:val="20"/>
                      </w:rPr>
                      <w:t>s</w:t>
                    </w:r>
                    <w:r>
                      <w:rPr>
                        <w:rFonts w:ascii="Trebuchet MS"/>
                        <w:spacing w:val="-1"/>
                        <w:w w:val="109"/>
                        <w:sz w:val="20"/>
                      </w:rPr>
                      <w:t>u</w:t>
                    </w:r>
                    <w:r>
                      <w:rPr>
                        <w:rFonts w:ascii="Trebuchet MS"/>
                        <w:spacing w:val="-3"/>
                        <w:w w:val="111"/>
                        <w:sz w:val="20"/>
                      </w:rPr>
                      <w:t>b</w:t>
                    </w:r>
                    <w:r>
                      <w:rPr>
                        <w:rFonts w:ascii="Trebuchet MS"/>
                        <w:spacing w:val="-1"/>
                        <w:w w:val="64"/>
                        <w:sz w:val="20"/>
                      </w:rPr>
                      <w:t>j</w:t>
                    </w:r>
                    <w:r>
                      <w:rPr>
                        <w:rFonts w:ascii="Trebuchet MS"/>
                        <w:w w:val="108"/>
                        <w:sz w:val="20"/>
                      </w:rPr>
                      <w:t>e</w:t>
                    </w:r>
                    <w:r>
                      <w:rPr>
                        <w:rFonts w:ascii="Trebuchet MS"/>
                        <w:spacing w:val="-2"/>
                        <w:w w:val="111"/>
                        <w:sz w:val="20"/>
                      </w:rPr>
                      <w:t>c</w:t>
                    </w:r>
                    <w:r>
                      <w:rPr>
                        <w:rFonts w:ascii="Trebuchet MS"/>
                        <w:w w:val="88"/>
                        <w:sz w:val="20"/>
                      </w:rPr>
                      <w:t>t</w:t>
                    </w:r>
                    <w:r>
                      <w:rPr>
                        <w:rFonts w:ascii="Trebuchet MS"/>
                        <w:spacing w:val="-14"/>
                        <w:sz w:val="20"/>
                      </w:rPr>
                      <w:t> </w:t>
                    </w:r>
                    <w:r>
                      <w:rPr>
                        <w:rFonts w:ascii="Trebuchet MS"/>
                        <w:spacing w:val="-2"/>
                        <w:w w:val="124"/>
                        <w:sz w:val="20"/>
                      </w:rPr>
                      <w:t>g</w:t>
                    </w:r>
                    <w:r>
                      <w:rPr>
                        <w:rFonts w:ascii="Trebuchet MS"/>
                        <w:spacing w:val="-4"/>
                        <w:w w:val="93"/>
                        <w:sz w:val="20"/>
                      </w:rPr>
                      <w:t>r</w:t>
                    </w:r>
                    <w:r>
                      <w:rPr>
                        <w:rFonts w:ascii="Trebuchet MS"/>
                        <w:spacing w:val="-1"/>
                        <w:w w:val="111"/>
                        <w:sz w:val="20"/>
                      </w:rPr>
                      <w:t>o</w:t>
                    </w:r>
                    <w:r>
                      <w:rPr>
                        <w:rFonts w:ascii="Trebuchet MS"/>
                        <w:spacing w:val="-1"/>
                        <w:w w:val="109"/>
                        <w:sz w:val="20"/>
                      </w:rPr>
                      <w:t>u</w:t>
                    </w:r>
                    <w:r>
                      <w:rPr>
                        <w:rFonts w:ascii="Trebuchet MS"/>
                        <w:spacing w:val="-2"/>
                        <w:w w:val="116"/>
                        <w:sz w:val="20"/>
                      </w:rPr>
                      <w:t>p</w:t>
                    </w:r>
                    <w:r>
                      <w:rPr>
                        <w:rFonts w:ascii="Trebuchet MS"/>
                        <w:spacing w:val="1"/>
                        <w:w w:val="116"/>
                        <w:sz w:val="20"/>
                      </w:rPr>
                      <w:t>s</w:t>
                    </w:r>
                    <w:r>
                      <w:rPr>
                        <w:rFonts w:ascii="Trebuchet MS"/>
                        <w:w w:val="57"/>
                        <w:sz w:val="20"/>
                      </w:rPr>
                      <w:t>,</w:t>
                    </w:r>
                    <w:r>
                      <w:rPr>
                        <w:rFonts w:ascii="Trebuchet MS"/>
                        <w:spacing w:val="-14"/>
                        <w:sz w:val="20"/>
                      </w:rPr>
                      <w:t> </w:t>
                    </w:r>
                    <w:r>
                      <w:rPr>
                        <w:rFonts w:ascii="Trebuchet MS"/>
                        <w:spacing w:val="-2"/>
                        <w:w w:val="110"/>
                        <w:sz w:val="20"/>
                      </w:rPr>
                      <w:t>w</w:t>
                    </w:r>
                    <w:r>
                      <w:rPr>
                        <w:rFonts w:ascii="Trebuchet MS"/>
                        <w:spacing w:val="-1"/>
                        <w:w w:val="107"/>
                        <w:sz w:val="20"/>
                      </w:rPr>
                      <w:t>h</w:t>
                    </w:r>
                    <w:r>
                      <w:rPr>
                        <w:rFonts w:ascii="Trebuchet MS"/>
                        <w:spacing w:val="-1"/>
                        <w:w w:val="108"/>
                        <w:sz w:val="20"/>
                      </w:rPr>
                      <w:t>e</w:t>
                    </w:r>
                    <w:r>
                      <w:rPr>
                        <w:rFonts w:ascii="Trebuchet MS"/>
                        <w:spacing w:val="-4"/>
                        <w:w w:val="93"/>
                        <w:sz w:val="20"/>
                      </w:rPr>
                      <w:t>r</w:t>
                    </w:r>
                    <w:r>
                      <w:rPr>
                        <w:rFonts w:ascii="Trebuchet MS"/>
                        <w:w w:val="108"/>
                        <w:sz w:val="20"/>
                      </w:rPr>
                      <w:t>e</w:t>
                    </w:r>
                    <w:r>
                      <w:rPr>
                        <w:rFonts w:ascii="Trebuchet MS"/>
                        <w:spacing w:val="-14"/>
                        <w:sz w:val="20"/>
                      </w:rPr>
                      <w:t> </w:t>
                    </w:r>
                    <w:r>
                      <w:rPr>
                        <w:rFonts w:ascii="Trebuchet MS"/>
                        <w:spacing w:val="-1"/>
                        <w:w w:val="107"/>
                        <w:sz w:val="20"/>
                      </w:rPr>
                      <w:t>n</w:t>
                    </w:r>
                    <w:r>
                      <w:rPr>
                        <w:rFonts w:ascii="Trebuchet MS"/>
                        <w:w w:val="108"/>
                        <w:sz w:val="20"/>
                      </w:rPr>
                      <w:t>ee</w:t>
                    </w:r>
                    <w:r>
                      <w:rPr>
                        <w:rFonts w:ascii="Trebuchet MS"/>
                        <w:spacing w:val="-2"/>
                        <w:w w:val="112"/>
                        <w:sz w:val="20"/>
                      </w:rPr>
                      <w:t>d</w:t>
                    </w:r>
                    <w:r>
                      <w:rPr>
                        <w:rFonts w:ascii="Trebuchet MS"/>
                        <w:w w:val="108"/>
                        <w:sz w:val="20"/>
                      </w:rPr>
                      <w:t>e</w:t>
                    </w:r>
                    <w:r>
                      <w:rPr>
                        <w:rFonts w:ascii="Trebuchet MS"/>
                        <w:w w:val="112"/>
                        <w:sz w:val="20"/>
                      </w:rPr>
                      <w:t>d</w:t>
                    </w:r>
                    <w:r>
                      <w:rPr>
                        <w:rFonts w:ascii="Trebuchet MS"/>
                        <w:w w:val="57"/>
                        <w:sz w:val="20"/>
                      </w:rPr>
                      <w:t>,</w:t>
                    </w:r>
                    <w:r>
                      <w:rPr>
                        <w:rFonts w:ascii="Trebuchet MS"/>
                        <w:spacing w:val="-14"/>
                        <w:sz w:val="20"/>
                      </w:rPr>
                      <w:t> </w:t>
                    </w:r>
                    <w:r>
                      <w:rPr>
                        <w:rFonts w:ascii="Trebuchet MS"/>
                        <w:spacing w:val="-2"/>
                        <w:w w:val="110"/>
                        <w:sz w:val="20"/>
                      </w:rPr>
                      <w:t>w</w:t>
                    </w:r>
                    <w:r>
                      <w:rPr>
                        <w:rFonts w:ascii="Trebuchet MS"/>
                        <w:spacing w:val="-3"/>
                        <w:w w:val="80"/>
                        <w:sz w:val="20"/>
                      </w:rPr>
                      <w:t>i</w:t>
                    </w:r>
                    <w:r>
                      <w:rPr>
                        <w:rFonts w:ascii="Trebuchet MS"/>
                        <w:spacing w:val="-2"/>
                        <w:w w:val="88"/>
                        <w:sz w:val="20"/>
                      </w:rPr>
                      <w:t>t</w:t>
                    </w:r>
                    <w:r>
                      <w:rPr>
                        <w:rFonts w:ascii="Trebuchet MS"/>
                        <w:w w:val="107"/>
                        <w:sz w:val="20"/>
                      </w:rPr>
                      <w:t>h</w:t>
                    </w:r>
                    <w:r>
                      <w:rPr>
                        <w:rFonts w:ascii="Trebuchet MS"/>
                        <w:spacing w:val="-14"/>
                        <w:sz w:val="20"/>
                      </w:rPr>
                      <w:t> </w:t>
                    </w:r>
                    <w:r>
                      <w:rPr>
                        <w:rFonts w:ascii="Trebuchet MS"/>
                        <w:spacing w:val="-1"/>
                        <w:w w:val="111"/>
                        <w:sz w:val="20"/>
                      </w:rPr>
                      <w:t>p</w:t>
                    </w:r>
                    <w:r>
                      <w:rPr>
                        <w:rFonts w:ascii="Trebuchet MS"/>
                        <w:spacing w:val="-2"/>
                        <w:w w:val="93"/>
                        <w:sz w:val="20"/>
                      </w:rPr>
                      <w:t>r</w:t>
                    </w:r>
                    <w:r>
                      <w:rPr>
                        <w:rFonts w:ascii="Trebuchet MS"/>
                        <w:spacing w:val="-2"/>
                        <w:w w:val="108"/>
                        <w:sz w:val="20"/>
                      </w:rPr>
                      <w:t>ac</w:t>
                    </w:r>
                    <w:r>
                      <w:rPr>
                        <w:rFonts w:ascii="Trebuchet MS"/>
                        <w:spacing w:val="-2"/>
                        <w:w w:val="88"/>
                        <w:sz w:val="20"/>
                      </w:rPr>
                      <w:t>t</w:t>
                    </w:r>
                    <w:r>
                      <w:rPr>
                        <w:rFonts w:ascii="Trebuchet MS"/>
                        <w:spacing w:val="-1"/>
                        <w:w w:val="80"/>
                        <w:sz w:val="20"/>
                      </w:rPr>
                      <w:t>i</w:t>
                    </w:r>
                    <w:r>
                      <w:rPr>
                        <w:rFonts w:ascii="Trebuchet MS"/>
                        <w:w w:val="111"/>
                        <w:sz w:val="20"/>
                      </w:rPr>
                      <w:t>c</w:t>
                    </w:r>
                    <w:r>
                      <w:rPr>
                        <w:rFonts w:ascii="Trebuchet MS"/>
                        <w:spacing w:val="-3"/>
                        <w:w w:val="105"/>
                        <w:sz w:val="20"/>
                      </w:rPr>
                      <w:t>a</w:t>
                    </w:r>
                    <w:r>
                      <w:rPr>
                        <w:rFonts w:ascii="Trebuchet MS"/>
                        <w:w w:val="96"/>
                        <w:sz w:val="20"/>
                      </w:rPr>
                      <w:t>l</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 </w:t>
                    </w:r>
                    <w:r>
                      <w:rPr>
                        <w:rFonts w:ascii="Trebuchet MS"/>
                        <w:w w:val="105"/>
                        <w:sz w:val="20"/>
                      </w:rPr>
                      <w:t>logistical issues throughout the jury selection process and the trial. This person </w:t>
                    </w:r>
                    <w:r>
                      <w:rPr>
                        <w:rFonts w:ascii="Trebuchet MS"/>
                        <w:spacing w:val="-6"/>
                        <w:w w:val="110"/>
                        <w:sz w:val="20"/>
                      </w:rPr>
                      <w:t>w</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1"/>
                        <w:w w:val="107"/>
                        <w:sz w:val="20"/>
                      </w:rPr>
                      <w:t>n</w:t>
                    </w:r>
                    <w:r>
                      <w:rPr>
                        <w:rFonts w:ascii="Trebuchet MS"/>
                        <w:spacing w:val="-4"/>
                        <w:w w:val="111"/>
                        <w:sz w:val="20"/>
                      </w:rPr>
                      <w:t>o</w:t>
                    </w:r>
                    <w:r>
                      <w:rPr>
                        <w:rFonts w:ascii="Trebuchet MS"/>
                        <w:w w:val="88"/>
                        <w:sz w:val="20"/>
                      </w:rPr>
                      <w:t>t</w:t>
                    </w:r>
                    <w:r>
                      <w:rPr>
                        <w:rFonts w:ascii="Trebuchet MS"/>
                        <w:spacing w:val="-14"/>
                        <w:sz w:val="20"/>
                      </w:rPr>
                      <w:t> </w:t>
                    </w:r>
                    <w:r>
                      <w:rPr>
                        <w:rFonts w:ascii="Trebuchet MS"/>
                        <w:spacing w:val="-1"/>
                        <w:w w:val="111"/>
                        <w:sz w:val="20"/>
                      </w:rPr>
                      <w:t>b</w:t>
                    </w:r>
                    <w:r>
                      <w:rPr>
                        <w:rFonts w:ascii="Trebuchet MS"/>
                        <w:w w:val="108"/>
                        <w:sz w:val="20"/>
                      </w:rPr>
                      <w:t>e</w:t>
                    </w:r>
                    <w:r>
                      <w:rPr>
                        <w:rFonts w:ascii="Trebuchet MS"/>
                        <w:spacing w:val="-14"/>
                        <w:sz w:val="20"/>
                      </w:rPr>
                      <w:t> </w:t>
                    </w:r>
                    <w:r>
                      <w:rPr>
                        <w:rFonts w:ascii="Trebuchet MS"/>
                        <w:spacing w:val="-1"/>
                        <w:w w:val="111"/>
                        <w:sz w:val="20"/>
                      </w:rPr>
                      <w:t>p</w:t>
                    </w:r>
                    <w:r>
                      <w:rPr>
                        <w:rFonts w:ascii="Trebuchet MS"/>
                        <w:spacing w:val="-1"/>
                        <w:w w:val="108"/>
                        <w:sz w:val="20"/>
                      </w:rPr>
                      <w:t>e</w:t>
                    </w:r>
                    <w:r>
                      <w:rPr>
                        <w:rFonts w:ascii="Trebuchet MS"/>
                        <w:spacing w:val="-2"/>
                        <w:w w:val="93"/>
                        <w:sz w:val="20"/>
                      </w:rPr>
                      <w:t>r</w:t>
                    </w:r>
                    <w:r>
                      <w:rPr>
                        <w:rFonts w:ascii="Trebuchet MS"/>
                        <w:spacing w:val="-2"/>
                        <w:w w:val="111"/>
                        <w:sz w:val="20"/>
                      </w:rPr>
                      <w:t>m</w:t>
                    </w:r>
                    <w:r>
                      <w:rPr>
                        <w:rFonts w:ascii="Trebuchet MS"/>
                        <w:spacing w:val="-3"/>
                        <w:w w:val="80"/>
                        <w:sz w:val="20"/>
                      </w:rPr>
                      <w:t>i</w:t>
                    </w:r>
                    <w:r>
                      <w:rPr>
                        <w:rFonts w:ascii="Trebuchet MS"/>
                        <w:spacing w:val="-1"/>
                        <w:w w:val="88"/>
                        <w:sz w:val="20"/>
                      </w:rPr>
                      <w:t>t</w:t>
                    </w:r>
                    <w:r>
                      <w:rPr>
                        <w:rFonts w:ascii="Trebuchet MS"/>
                        <w:spacing w:val="-4"/>
                        <w:w w:val="88"/>
                        <w:sz w:val="20"/>
                      </w:rPr>
                      <w:t>t</w:t>
                    </w:r>
                    <w:r>
                      <w:rPr>
                        <w:rFonts w:ascii="Trebuchet MS"/>
                        <w:w w:val="108"/>
                        <w:sz w:val="20"/>
                      </w:rPr>
                      <w:t>e</w:t>
                    </w:r>
                    <w:r>
                      <w:rPr>
                        <w:rFonts w:ascii="Trebuchet MS"/>
                        <w:w w:val="112"/>
                        <w:sz w:val="20"/>
                      </w:rPr>
                      <w:t>d</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1"/>
                        <w:w w:val="108"/>
                        <w:sz w:val="20"/>
                      </w:rPr>
                      <w:t>e</w:t>
                    </w:r>
                    <w:r>
                      <w:rPr>
                        <w:rFonts w:ascii="Trebuchet MS"/>
                        <w:spacing w:val="-4"/>
                        <w:w w:val="107"/>
                        <w:sz w:val="20"/>
                      </w:rPr>
                      <w:t>n</w:t>
                    </w:r>
                    <w:r>
                      <w:rPr>
                        <w:rFonts w:ascii="Trebuchet MS"/>
                        <w:spacing w:val="-4"/>
                        <w:w w:val="88"/>
                        <w:sz w:val="20"/>
                      </w:rPr>
                      <w:t>t</w:t>
                    </w:r>
                    <w:r>
                      <w:rPr>
                        <w:rFonts w:ascii="Trebuchet MS"/>
                        <w:spacing w:val="-1"/>
                        <w:w w:val="108"/>
                        <w:sz w:val="20"/>
                      </w:rPr>
                      <w:t>e</w:t>
                    </w:r>
                    <w:r>
                      <w:rPr>
                        <w:rFonts w:ascii="Trebuchet MS"/>
                        <w:w w:val="93"/>
                        <w:sz w:val="20"/>
                      </w:rPr>
                      <w:t>r</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64"/>
                        <w:sz w:val="20"/>
                      </w:rPr>
                      <w:t>j</w:t>
                    </w:r>
                    <w:r>
                      <w:rPr>
                        <w:rFonts w:ascii="Trebuchet MS"/>
                        <w:spacing w:val="-1"/>
                        <w:w w:val="109"/>
                        <w:sz w:val="20"/>
                      </w:rPr>
                      <w:t>u</w:t>
                    </w:r>
                    <w:r>
                      <w:rPr>
                        <w:rFonts w:ascii="Trebuchet MS"/>
                        <w:spacing w:val="3"/>
                        <w:w w:val="93"/>
                        <w:sz w:val="20"/>
                      </w:rPr>
                      <w:t>r</w:t>
                    </w:r>
                    <w:r>
                      <w:rPr>
                        <w:rFonts w:ascii="Trebuchet MS"/>
                        <w:w w:val="110"/>
                        <w:sz w:val="20"/>
                      </w:rPr>
                      <w:t>y</w:t>
                    </w:r>
                    <w:r>
                      <w:rPr>
                        <w:rFonts w:ascii="Trebuchet MS"/>
                        <w:spacing w:val="-14"/>
                        <w:sz w:val="20"/>
                      </w:rPr>
                      <w:t> </w:t>
                    </w:r>
                    <w:r>
                      <w:rPr>
                        <w:rFonts w:ascii="Trebuchet MS"/>
                        <w:spacing w:val="-2"/>
                        <w:w w:val="112"/>
                        <w:sz w:val="20"/>
                      </w:rPr>
                      <w:t>d</w:t>
                    </w:r>
                    <w:r>
                      <w:rPr>
                        <w:rFonts w:ascii="Trebuchet MS"/>
                        <w:spacing w:val="-1"/>
                        <w:w w:val="108"/>
                        <w:sz w:val="20"/>
                      </w:rPr>
                      <w:t>e</w:t>
                    </w:r>
                    <w:r>
                      <w:rPr>
                        <w:rFonts w:ascii="Trebuchet MS"/>
                        <w:w w:val="96"/>
                        <w:sz w:val="20"/>
                      </w:rPr>
                      <w:t>l</w:t>
                    </w:r>
                    <w:r>
                      <w:rPr>
                        <w:rFonts w:ascii="Trebuchet MS"/>
                        <w:spacing w:val="-2"/>
                        <w:w w:val="80"/>
                        <w:sz w:val="20"/>
                      </w:rPr>
                      <w:t>i</w:t>
                    </w:r>
                    <w:r>
                      <w:rPr>
                        <w:rFonts w:ascii="Trebuchet MS"/>
                        <w:spacing w:val="-1"/>
                        <w:w w:val="111"/>
                        <w:sz w:val="20"/>
                      </w:rPr>
                      <w:t>b</w:t>
                    </w:r>
                    <w:r>
                      <w:rPr>
                        <w:rFonts w:ascii="Trebuchet MS"/>
                        <w:spacing w:val="-1"/>
                        <w:w w:val="108"/>
                        <w:sz w:val="20"/>
                      </w:rPr>
                      <w:t>e</w:t>
                    </w:r>
                    <w:r>
                      <w:rPr>
                        <w:rFonts w:ascii="Trebuchet MS"/>
                        <w:spacing w:val="-2"/>
                        <w:w w:val="93"/>
                        <w:sz w:val="20"/>
                      </w:rPr>
                      <w:t>r</w:t>
                    </w:r>
                    <w:r>
                      <w:rPr>
                        <w:rFonts w:ascii="Trebuchet MS"/>
                        <w:spacing w:val="-4"/>
                        <w:w w:val="105"/>
                        <w:sz w:val="20"/>
                      </w:rPr>
                      <w:t>a</w:t>
                    </w:r>
                    <w:r>
                      <w:rPr>
                        <w:rFonts w:ascii="Trebuchet MS"/>
                        <w:spacing w:val="-2"/>
                        <w:w w:val="88"/>
                        <w:sz w:val="20"/>
                      </w:rPr>
                      <w:t>t</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4"/>
                        <w:w w:val="93"/>
                        <w:sz w:val="20"/>
                      </w:rPr>
                      <w:t>r</w:t>
                    </w:r>
                    <w:r>
                      <w:rPr>
                        <w:rFonts w:ascii="Trebuchet MS"/>
                        <w:spacing w:val="-1"/>
                        <w:w w:val="111"/>
                        <w:sz w:val="20"/>
                      </w:rPr>
                      <w:t>oo</w:t>
                    </w:r>
                    <w:r>
                      <w:rPr>
                        <w:rFonts w:ascii="Trebuchet MS"/>
                        <w:spacing w:val="-1"/>
                        <w:w w:val="111"/>
                        <w:sz w:val="20"/>
                      </w:rPr>
                      <w:t>m</w:t>
                    </w:r>
                    <w:r>
                      <w:rPr>
                        <w:rFonts w:ascii="Trebuchet MS"/>
                        <w:w w:val="55"/>
                        <w:sz w:val="20"/>
                      </w:rPr>
                      <w:t>.</w:t>
                    </w:r>
                  </w:p>
                </w:txbxContent>
              </v:textbox>
              <w10:wrap type="none"/>
            </v:shape>
            <v:shape style="position:absolute;left:1814;top:1306;width:287;height:235" type="#_x0000_t202" filled="false" stroked="false">
              <v:textbox inset="0,0,0,0">
                <w:txbxContent>
                  <w:p>
                    <w:pPr>
                      <w:spacing w:before="0"/>
                      <w:ind w:left="0" w:right="0" w:firstLine="0"/>
                      <w:jc w:val="left"/>
                      <w:rPr>
                        <w:rFonts w:ascii="Trebuchet MS"/>
                        <w:sz w:val="20"/>
                      </w:rPr>
                    </w:pPr>
                    <w:r>
                      <w:rPr>
                        <w:rFonts w:ascii="Trebuchet MS"/>
                        <w:w w:val="95"/>
                        <w:sz w:val="20"/>
                      </w:rPr>
                      <w:t>30.</w:t>
                    </w:r>
                  </w:p>
                </w:txbxContent>
              </v:textbox>
              <w10:wrap type="none"/>
            </v:shape>
            <v:shape style="position:absolute;left:1587;top:272;width:8731;height:783" type="#_x0000_t202" filled="true" fillcolor="#dddfe4" stroked="false">
              <v:textbox inset="0,0,0,0">
                <w:txbxContent>
                  <w:p>
                    <w:pPr>
                      <w:spacing w:before="158"/>
                      <w:ind w:left="226" w:right="0" w:firstLine="0"/>
                      <w:jc w:val="left"/>
                      <w:rPr>
                        <w:rFonts w:ascii="Raleway ExtraBold"/>
                        <w:b/>
                        <w:sz w:val="32"/>
                      </w:rPr>
                    </w:pPr>
                    <w:r>
                      <w:rPr>
                        <w:rFonts w:ascii="Raleway ExtraBold"/>
                        <w:b/>
                        <w:color w:val="37617A"/>
                        <w:sz w:val="32"/>
                      </w:rPr>
                      <w:t>Recommendation</w:t>
                    </w:r>
                  </w:p>
                </w:txbxContent>
              </v:textbox>
              <v:fill type="solid"/>
              <w10:wrap type="none"/>
            </v:shape>
            <w10:wrap type="topAndBottom"/>
          </v:group>
        </w:pict>
      </w:r>
    </w:p>
    <w:p>
      <w:pPr>
        <w:pStyle w:val="BodyText"/>
        <w:spacing w:before="6"/>
        <w:rPr>
          <w:sz w:val="24"/>
        </w:rPr>
      </w:pPr>
    </w:p>
    <w:p>
      <w:pPr>
        <w:spacing w:before="40"/>
        <w:ind w:left="967" w:right="0" w:firstLine="0"/>
        <w:jc w:val="left"/>
        <w:rPr>
          <w:rFonts w:ascii="Raleway ExtraBold"/>
          <w:b/>
          <w:sz w:val="28"/>
        </w:rPr>
      </w:pPr>
      <w:r>
        <w:rPr>
          <w:rFonts w:ascii="Raleway ExtraBold"/>
          <w:b/>
          <w:color w:val="37617A"/>
          <w:sz w:val="28"/>
        </w:rPr>
        <w:t>Support persons</w:t>
      </w:r>
    </w:p>
    <w:p>
      <w:pPr>
        <w:pStyle w:val="ListParagraph"/>
        <w:numPr>
          <w:ilvl w:val="1"/>
          <w:numId w:val="12"/>
        </w:numPr>
        <w:tabs>
          <w:tab w:pos="1761" w:val="left" w:leader="none"/>
          <w:tab w:pos="1762" w:val="left" w:leader="none"/>
        </w:tabs>
        <w:spacing w:line="206" w:lineRule="auto" w:before="146" w:after="0"/>
        <w:ind w:left="1761" w:right="1223" w:hanging="794"/>
        <w:jc w:val="left"/>
        <w:rPr>
          <w:sz w:val="20"/>
        </w:rPr>
      </w:pPr>
      <w:r>
        <w:rPr>
          <w:sz w:val="20"/>
        </w:rPr>
        <w:t>A</w:t>
      </w:r>
      <w:r>
        <w:rPr>
          <w:spacing w:val="-9"/>
          <w:sz w:val="20"/>
        </w:rPr>
        <w:t> </w:t>
      </w:r>
      <w:r>
        <w:rPr>
          <w:sz w:val="20"/>
        </w:rPr>
        <w:t>potential</w:t>
      </w:r>
      <w:r>
        <w:rPr>
          <w:spacing w:val="-8"/>
          <w:sz w:val="20"/>
        </w:rPr>
        <w:t> </w:t>
      </w:r>
      <w:r>
        <w:rPr>
          <w:sz w:val="20"/>
        </w:rPr>
        <w:t>juror</w:t>
      </w:r>
      <w:r>
        <w:rPr>
          <w:spacing w:val="-8"/>
          <w:sz w:val="20"/>
        </w:rPr>
        <w:t> </w:t>
      </w:r>
      <w:r>
        <w:rPr>
          <w:sz w:val="20"/>
        </w:rPr>
        <w:t>who</w:t>
      </w:r>
      <w:r>
        <w:rPr>
          <w:spacing w:val="-8"/>
          <w:sz w:val="20"/>
        </w:rPr>
        <w:t> </w:t>
      </w:r>
      <w:r>
        <w:rPr>
          <w:sz w:val="20"/>
        </w:rPr>
        <w:t>is</w:t>
      </w:r>
      <w:r>
        <w:rPr>
          <w:spacing w:val="-8"/>
          <w:sz w:val="20"/>
        </w:rPr>
        <w:t> </w:t>
      </w:r>
      <w:r>
        <w:rPr>
          <w:sz w:val="20"/>
        </w:rPr>
        <w:t>blind</w:t>
      </w:r>
      <w:r>
        <w:rPr>
          <w:spacing w:val="-8"/>
          <w:sz w:val="20"/>
        </w:rPr>
        <w:t> </w:t>
      </w:r>
      <w:r>
        <w:rPr>
          <w:sz w:val="20"/>
        </w:rPr>
        <w:t>or</w:t>
      </w:r>
      <w:r>
        <w:rPr>
          <w:spacing w:val="-8"/>
          <w:sz w:val="20"/>
        </w:rPr>
        <w:t> </w:t>
      </w:r>
      <w:r>
        <w:rPr>
          <w:sz w:val="20"/>
        </w:rPr>
        <w:t>has</w:t>
      </w:r>
      <w:r>
        <w:rPr>
          <w:spacing w:val="-9"/>
          <w:sz w:val="20"/>
        </w:rPr>
        <w:t> </w:t>
      </w:r>
      <w:r>
        <w:rPr>
          <w:spacing w:val="-4"/>
          <w:sz w:val="20"/>
        </w:rPr>
        <w:t>low</w:t>
      </w:r>
      <w:r>
        <w:rPr>
          <w:spacing w:val="-8"/>
          <w:sz w:val="20"/>
        </w:rPr>
        <w:t> </w:t>
      </w:r>
      <w:r>
        <w:rPr>
          <w:sz w:val="20"/>
        </w:rPr>
        <w:t>vision</w:t>
      </w:r>
      <w:r>
        <w:rPr>
          <w:spacing w:val="-8"/>
          <w:sz w:val="20"/>
        </w:rPr>
        <w:t> </w:t>
      </w:r>
      <w:r>
        <w:rPr>
          <w:spacing w:val="-3"/>
          <w:sz w:val="20"/>
        </w:rPr>
        <w:t>may</w:t>
      </w:r>
      <w:r>
        <w:rPr>
          <w:spacing w:val="-8"/>
          <w:sz w:val="20"/>
        </w:rPr>
        <w:t> </w:t>
      </w:r>
      <w:r>
        <w:rPr>
          <w:sz w:val="20"/>
        </w:rPr>
        <w:t>also</w:t>
      </w:r>
      <w:r>
        <w:rPr>
          <w:spacing w:val="-8"/>
          <w:sz w:val="20"/>
        </w:rPr>
        <w:t> </w:t>
      </w:r>
      <w:r>
        <w:rPr>
          <w:spacing w:val="-3"/>
          <w:sz w:val="20"/>
        </w:rPr>
        <w:t>require</w:t>
      </w:r>
      <w:r>
        <w:rPr>
          <w:spacing w:val="-8"/>
          <w:sz w:val="20"/>
        </w:rPr>
        <w:t> </w:t>
      </w:r>
      <w:r>
        <w:rPr>
          <w:sz w:val="20"/>
        </w:rPr>
        <w:t>some</w:t>
      </w:r>
      <w:r>
        <w:rPr>
          <w:spacing w:val="-8"/>
          <w:sz w:val="20"/>
        </w:rPr>
        <w:t> </w:t>
      </w:r>
      <w:r>
        <w:rPr>
          <w:sz w:val="20"/>
        </w:rPr>
        <w:t>support</w:t>
      </w:r>
      <w:r>
        <w:rPr>
          <w:spacing w:val="-8"/>
          <w:sz w:val="20"/>
        </w:rPr>
        <w:t> </w:t>
      </w:r>
      <w:r>
        <w:rPr>
          <w:sz w:val="20"/>
        </w:rPr>
        <w:t>to</w:t>
      </w:r>
      <w:r>
        <w:rPr>
          <w:spacing w:val="-9"/>
          <w:sz w:val="20"/>
        </w:rPr>
        <w:t> </w:t>
      </w:r>
      <w:r>
        <w:rPr>
          <w:sz w:val="20"/>
        </w:rPr>
        <w:t>access documentary visual material (such as graphs or photographs).</w:t>
      </w:r>
      <w:r>
        <w:rPr>
          <w:position w:val="7"/>
          <w:sz w:val="11"/>
        </w:rPr>
        <w:t>15 </w:t>
      </w:r>
      <w:r>
        <w:rPr>
          <w:sz w:val="20"/>
        </w:rPr>
        <w:t>They </w:t>
      </w:r>
      <w:r>
        <w:rPr>
          <w:spacing w:val="-3"/>
          <w:sz w:val="20"/>
        </w:rPr>
        <w:t>may </w:t>
      </w:r>
      <w:r>
        <w:rPr>
          <w:sz w:val="20"/>
        </w:rPr>
        <w:t>also need assistance</w:t>
      </w:r>
      <w:r>
        <w:rPr>
          <w:spacing w:val="-5"/>
          <w:sz w:val="20"/>
        </w:rPr>
        <w:t> </w:t>
      </w:r>
      <w:r>
        <w:rPr>
          <w:sz w:val="20"/>
        </w:rPr>
        <w:t>on</w:t>
      </w:r>
      <w:r>
        <w:rPr>
          <w:spacing w:val="-5"/>
          <w:sz w:val="20"/>
        </w:rPr>
        <w:t> </w:t>
      </w:r>
      <w:r>
        <w:rPr>
          <w:sz w:val="20"/>
        </w:rPr>
        <w:t>a</w:t>
      </w:r>
      <w:r>
        <w:rPr>
          <w:spacing w:val="-5"/>
          <w:sz w:val="20"/>
        </w:rPr>
        <w:t> </w:t>
      </w:r>
      <w:r>
        <w:rPr>
          <w:sz w:val="20"/>
        </w:rPr>
        <w:t>‘view’</w:t>
      </w:r>
      <w:r>
        <w:rPr>
          <w:spacing w:val="-5"/>
          <w:sz w:val="20"/>
        </w:rPr>
        <w:t> </w:t>
      </w:r>
      <w:r>
        <w:rPr>
          <w:sz w:val="20"/>
        </w:rPr>
        <w:t>of</w:t>
      </w:r>
      <w:r>
        <w:rPr>
          <w:spacing w:val="-5"/>
          <w:sz w:val="20"/>
        </w:rPr>
        <w:t> </w:t>
      </w:r>
      <w:r>
        <w:rPr>
          <w:sz w:val="20"/>
        </w:rPr>
        <w:t>a</w:t>
      </w:r>
      <w:r>
        <w:rPr>
          <w:spacing w:val="-4"/>
          <w:sz w:val="20"/>
        </w:rPr>
        <w:t> </w:t>
      </w:r>
      <w:r>
        <w:rPr>
          <w:sz w:val="20"/>
        </w:rPr>
        <w:t>crime</w:t>
      </w:r>
      <w:r>
        <w:rPr>
          <w:spacing w:val="-5"/>
          <w:sz w:val="20"/>
        </w:rPr>
        <w:t> </w:t>
      </w:r>
      <w:r>
        <w:rPr>
          <w:sz w:val="20"/>
        </w:rPr>
        <w:t>scene</w:t>
      </w:r>
      <w:r>
        <w:rPr>
          <w:spacing w:val="-5"/>
          <w:sz w:val="20"/>
        </w:rPr>
        <w:t> </w:t>
      </w:r>
      <w:r>
        <w:rPr>
          <w:sz w:val="20"/>
        </w:rPr>
        <w:t>in</w:t>
      </w:r>
      <w:r>
        <w:rPr>
          <w:spacing w:val="-5"/>
          <w:sz w:val="20"/>
        </w:rPr>
        <w:t> </w:t>
      </w:r>
      <w:r>
        <w:rPr>
          <w:sz w:val="20"/>
        </w:rPr>
        <w:t>a</w:t>
      </w:r>
      <w:r>
        <w:rPr>
          <w:spacing w:val="-5"/>
          <w:sz w:val="20"/>
        </w:rPr>
        <w:t> </w:t>
      </w:r>
      <w:r>
        <w:rPr>
          <w:sz w:val="20"/>
        </w:rPr>
        <w:t>criminal</w:t>
      </w:r>
      <w:r>
        <w:rPr>
          <w:spacing w:val="-5"/>
          <w:sz w:val="20"/>
        </w:rPr>
        <w:t> </w:t>
      </w:r>
      <w:r>
        <w:rPr>
          <w:sz w:val="20"/>
        </w:rPr>
        <w:t>trial.</w:t>
      </w:r>
    </w:p>
    <w:p>
      <w:pPr>
        <w:pStyle w:val="BodyText"/>
        <w:spacing w:before="1"/>
        <w:rPr>
          <w:sz w:val="14"/>
        </w:rPr>
      </w:pPr>
      <w:r>
        <w:rPr/>
        <w:pict>
          <v:line style="position:absolute;mso-position-horizontal-relative:page;mso-position-vertical-relative:paragraph;z-index:9128;mso-wrap-distance-left:0;mso-wrap-distance-right:0" from="79.370102pt,12.24050pt" to="515.905102pt,12.24050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pPr>
    </w:p>
    <w:p>
      <w:pPr>
        <w:spacing w:before="0"/>
        <w:ind w:left="100" w:right="0" w:firstLine="0"/>
        <w:jc w:val="left"/>
        <w:rPr>
          <w:b/>
          <w:sz w:val="24"/>
        </w:rPr>
      </w:pPr>
      <w:r>
        <w:rPr>
          <w:b/>
          <w:color w:val="37617A"/>
          <w:sz w:val="24"/>
        </w:rPr>
        <w:t>172</w:t>
      </w:r>
    </w:p>
    <w:p>
      <w:pPr>
        <w:pStyle w:val="ListParagraph"/>
        <w:numPr>
          <w:ilvl w:val="0"/>
          <w:numId w:val="104"/>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z w:val="13"/>
        </w:rPr>
        <w:t>Consultation 22 (Daniel Stubbs, Victorian </w:t>
      </w:r>
      <w:r>
        <w:rPr>
          <w:spacing w:val="2"/>
          <w:sz w:val="13"/>
        </w:rPr>
        <w:t>Disability </w:t>
      </w:r>
      <w:r>
        <w:rPr>
          <w:sz w:val="13"/>
        </w:rPr>
        <w:t>Worker Commissioner, in his personal</w:t>
      </w:r>
      <w:r>
        <w:rPr>
          <w:spacing w:val="10"/>
          <w:sz w:val="13"/>
        </w:rPr>
        <w:t> </w:t>
      </w:r>
      <w:r>
        <w:rPr>
          <w:sz w:val="13"/>
        </w:rPr>
        <w:t>capacity).</w:t>
      </w:r>
    </w:p>
    <w:p>
      <w:pPr>
        <w:pStyle w:val="ListParagraph"/>
        <w:numPr>
          <w:ilvl w:val="0"/>
          <w:numId w:val="104"/>
        </w:numPr>
        <w:tabs>
          <w:tab w:pos="893" w:val="left" w:leader="none"/>
          <w:tab w:pos="894" w:val="left" w:leader="none"/>
        </w:tabs>
        <w:spacing w:line="213" w:lineRule="auto" w:before="7" w:after="0"/>
        <w:ind w:left="893" w:right="1252" w:hanging="793"/>
        <w:jc w:val="left"/>
        <w:rPr>
          <w:sz w:val="13"/>
        </w:rPr>
      </w:pPr>
      <w:r>
        <w:rPr>
          <w:sz w:val="13"/>
        </w:rPr>
        <w:t>Intermediaries are skilled communication </w:t>
      </w:r>
      <w:r>
        <w:rPr>
          <w:spacing w:val="2"/>
          <w:sz w:val="13"/>
        </w:rPr>
        <w:t>specialists </w:t>
      </w:r>
      <w:r>
        <w:rPr>
          <w:sz w:val="13"/>
        </w:rPr>
        <w:t>who assist vulnerable witnesses to give their best evidence. Their role is to help communication with the witness and to assist the witness to give evidence to </w:t>
      </w:r>
      <w:r>
        <w:rPr>
          <w:spacing w:val="2"/>
          <w:sz w:val="13"/>
        </w:rPr>
        <w:t>police </w:t>
      </w:r>
      <w:r>
        <w:rPr>
          <w:sz w:val="13"/>
        </w:rPr>
        <w:t>and in </w:t>
      </w:r>
      <w:r>
        <w:rPr>
          <w:spacing w:val="2"/>
          <w:sz w:val="13"/>
        </w:rPr>
        <w:t>court. </w:t>
      </w:r>
      <w:r>
        <w:rPr>
          <w:sz w:val="13"/>
        </w:rPr>
        <w:t>Intermediaries are neutral and are officers of the </w:t>
      </w:r>
      <w:r>
        <w:rPr>
          <w:spacing w:val="2"/>
          <w:sz w:val="13"/>
        </w:rPr>
        <w:t>court: </w:t>
      </w:r>
      <w:r>
        <w:rPr>
          <w:sz w:val="13"/>
        </w:rPr>
        <w:t>see </w:t>
      </w:r>
      <w:r>
        <w:rPr>
          <w:spacing w:val="2"/>
          <w:sz w:val="13"/>
        </w:rPr>
        <w:t>Department </w:t>
      </w:r>
      <w:r>
        <w:rPr>
          <w:sz w:val="13"/>
        </w:rPr>
        <w:t>of Justice and </w:t>
      </w:r>
      <w:r>
        <w:rPr>
          <w:spacing w:val="2"/>
          <w:sz w:val="13"/>
        </w:rPr>
        <w:t>Community </w:t>
      </w:r>
      <w:r>
        <w:rPr>
          <w:sz w:val="13"/>
        </w:rPr>
        <w:t>Safety (Vic), </w:t>
      </w:r>
      <w:r>
        <w:rPr>
          <w:spacing w:val="2"/>
          <w:sz w:val="13"/>
        </w:rPr>
        <w:t>‘Victorian </w:t>
      </w:r>
      <w:r>
        <w:rPr>
          <w:sz w:val="13"/>
        </w:rPr>
        <w:t>Intermediaries Pilot Program’, </w:t>
      </w:r>
      <w:r>
        <w:rPr>
          <w:i/>
          <w:sz w:val="13"/>
        </w:rPr>
        <w:t>Victoria State Government </w:t>
      </w:r>
      <w:r>
        <w:rPr>
          <w:sz w:val="13"/>
        </w:rPr>
        <w:t>(Web Page, June 2020) &lt;</w:t>
      </w:r>
      <w:hyperlink r:id="rId231">
        <w:r>
          <w:rPr>
            <w:sz w:val="13"/>
          </w:rPr>
          <w:t>http://www.justice.vic.gov.au/justice-system/courts-and-tribunals/</w:t>
        </w:r>
      </w:hyperlink>
      <w:hyperlink r:id="rId231">
        <w:r>
          <w:rPr>
            <w:sz w:val="13"/>
          </w:rPr>
          <w:t> victorian-intermediaries-pilot-program</w:t>
        </w:r>
      </w:hyperlink>
      <w:r>
        <w:rPr>
          <w:sz w:val="13"/>
        </w:rPr>
        <w:t>&gt;.</w:t>
      </w:r>
    </w:p>
    <w:p>
      <w:pPr>
        <w:pStyle w:val="ListParagraph"/>
        <w:numPr>
          <w:ilvl w:val="0"/>
          <w:numId w:val="104"/>
        </w:numPr>
        <w:tabs>
          <w:tab w:pos="893" w:val="left" w:leader="none"/>
          <w:tab w:pos="894" w:val="left" w:leader="none"/>
        </w:tabs>
        <w:spacing w:line="151" w:lineRule="exact" w:before="0" w:after="0"/>
        <w:ind w:left="893" w:right="0" w:hanging="793"/>
        <w:jc w:val="left"/>
        <w:rPr>
          <w:sz w:val="13"/>
        </w:rPr>
      </w:pPr>
      <w:r>
        <w:rPr>
          <w:sz w:val="13"/>
        </w:rPr>
        <w:t>Consultation 9 (Consultation with two Victorian County </w:t>
      </w:r>
      <w:r>
        <w:rPr>
          <w:spacing w:val="2"/>
          <w:sz w:val="13"/>
        </w:rPr>
        <w:t>Court Judges, Court policy </w:t>
      </w:r>
      <w:r>
        <w:rPr>
          <w:sz w:val="13"/>
        </w:rPr>
        <w:t>staff and two</w:t>
      </w:r>
      <w:r>
        <w:rPr>
          <w:spacing w:val="8"/>
          <w:sz w:val="13"/>
        </w:rPr>
        <w:t> </w:t>
      </w:r>
      <w:r>
        <w:rPr>
          <w:sz w:val="13"/>
        </w:rPr>
        <w:t>Associates).</w:t>
      </w:r>
    </w:p>
    <w:p>
      <w:pPr>
        <w:pStyle w:val="ListParagraph"/>
        <w:numPr>
          <w:ilvl w:val="0"/>
          <w:numId w:val="104"/>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104"/>
        </w:numPr>
        <w:tabs>
          <w:tab w:pos="893" w:val="left" w:leader="none"/>
          <w:tab w:pos="894" w:val="left" w:leader="none"/>
        </w:tabs>
        <w:spacing w:line="160" w:lineRule="exact" w:before="0" w:after="0"/>
        <w:ind w:left="893" w:right="0" w:hanging="793"/>
        <w:jc w:val="left"/>
        <w:rPr>
          <w:sz w:val="13"/>
        </w:rPr>
      </w:pPr>
      <w:r>
        <w:rPr>
          <w:sz w:val="13"/>
        </w:rPr>
        <w:t>Consultation 11 (Consultation with a Judge, a Tipstaff and </w:t>
      </w:r>
      <w:r>
        <w:rPr>
          <w:spacing w:val="2"/>
          <w:sz w:val="13"/>
        </w:rPr>
        <w:t>Court policy </w:t>
      </w:r>
      <w:r>
        <w:rPr>
          <w:sz w:val="13"/>
        </w:rPr>
        <w:t>staff, Victorian Supreme</w:t>
      </w:r>
      <w:r>
        <w:rPr>
          <w:spacing w:val="9"/>
          <w:sz w:val="13"/>
        </w:rPr>
        <w:t> </w:t>
      </w:r>
      <w:r>
        <w:rPr>
          <w:spacing w:val="2"/>
          <w:sz w:val="13"/>
        </w:rPr>
        <w:t>Court).</w:t>
      </w:r>
    </w:p>
    <w:p>
      <w:pPr>
        <w:pStyle w:val="ListParagraph"/>
        <w:numPr>
          <w:ilvl w:val="0"/>
          <w:numId w:val="104"/>
        </w:numPr>
        <w:tabs>
          <w:tab w:pos="893" w:val="left" w:leader="none"/>
          <w:tab w:pos="894" w:val="left" w:leader="none"/>
        </w:tabs>
        <w:spacing w:line="213" w:lineRule="auto" w:before="6" w:after="0"/>
        <w:ind w:left="893" w:right="1271" w:hanging="793"/>
        <w:jc w:val="left"/>
        <w:rPr>
          <w:sz w:val="13"/>
        </w:rPr>
      </w:pPr>
      <w:r>
        <w:rPr>
          <w:spacing w:val="2"/>
          <w:sz w:val="13"/>
        </w:rPr>
        <w:t>Court </w:t>
      </w:r>
      <w:r>
        <w:rPr>
          <w:sz w:val="13"/>
        </w:rPr>
        <w:t>Network is a front-line community organisation of more than five hundred volunteers, which ‘enables court users to better </w:t>
      </w:r>
      <w:r>
        <w:rPr>
          <w:spacing w:val="2"/>
          <w:sz w:val="13"/>
        </w:rPr>
        <w:t>understand </w:t>
      </w:r>
      <w:r>
        <w:rPr>
          <w:sz w:val="13"/>
        </w:rPr>
        <w:t>and navigate the court system’: see </w:t>
      </w:r>
      <w:r>
        <w:rPr>
          <w:spacing w:val="2"/>
          <w:sz w:val="13"/>
        </w:rPr>
        <w:t>Court </w:t>
      </w:r>
      <w:r>
        <w:rPr>
          <w:sz w:val="13"/>
        </w:rPr>
        <w:t>Network, </w:t>
      </w:r>
      <w:r>
        <w:rPr>
          <w:i/>
          <w:sz w:val="13"/>
        </w:rPr>
        <w:t>Court Network Annual </w:t>
      </w:r>
      <w:r>
        <w:rPr>
          <w:i/>
          <w:spacing w:val="2"/>
          <w:sz w:val="13"/>
        </w:rPr>
        <w:t>Report </w:t>
      </w:r>
      <w:r>
        <w:rPr>
          <w:i/>
          <w:sz w:val="13"/>
        </w:rPr>
        <w:t>2019/20: Celebrating 40 Years </w:t>
      </w:r>
      <w:r>
        <w:rPr>
          <w:spacing w:val="2"/>
          <w:sz w:val="13"/>
        </w:rPr>
        <w:t>(Report, </w:t>
      </w:r>
      <w:r>
        <w:rPr>
          <w:sz w:val="13"/>
        </w:rPr>
        <w:t>2020)</w:t>
      </w:r>
      <w:r>
        <w:rPr>
          <w:spacing w:val="-2"/>
          <w:sz w:val="13"/>
        </w:rPr>
        <w:t> </w:t>
      </w:r>
      <w:r>
        <w:rPr>
          <w:spacing w:val="-3"/>
          <w:sz w:val="13"/>
        </w:rPr>
        <w:t>7.</w:t>
      </w:r>
    </w:p>
    <w:p>
      <w:pPr>
        <w:pStyle w:val="ListParagraph"/>
        <w:numPr>
          <w:ilvl w:val="0"/>
          <w:numId w:val="104"/>
        </w:numPr>
        <w:tabs>
          <w:tab w:pos="893" w:val="left" w:leader="none"/>
          <w:tab w:pos="894" w:val="left" w:leader="none"/>
        </w:tabs>
        <w:spacing w:line="213" w:lineRule="auto" w:before="0" w:after="0"/>
        <w:ind w:left="893" w:right="1346" w:hanging="793"/>
        <w:jc w:val="left"/>
        <w:rPr>
          <w:sz w:val="13"/>
        </w:rPr>
      </w:pPr>
      <w:r>
        <w:rPr>
          <w:sz w:val="13"/>
        </w:rPr>
        <w:t>These are the protocols usually </w:t>
      </w:r>
      <w:r>
        <w:rPr>
          <w:spacing w:val="2"/>
          <w:sz w:val="13"/>
        </w:rPr>
        <w:t>applied </w:t>
      </w:r>
      <w:r>
        <w:rPr>
          <w:sz w:val="13"/>
        </w:rPr>
        <w:t>to </w:t>
      </w:r>
      <w:r>
        <w:rPr>
          <w:spacing w:val="2"/>
          <w:sz w:val="13"/>
        </w:rPr>
        <w:t>jury keepers. </w:t>
      </w:r>
      <w:r>
        <w:rPr>
          <w:sz w:val="13"/>
        </w:rPr>
        <w:t>We do not envision that the accessibility officer will take the place of   the </w:t>
      </w:r>
      <w:r>
        <w:rPr>
          <w:spacing w:val="2"/>
          <w:sz w:val="13"/>
        </w:rPr>
        <w:t>jury </w:t>
      </w:r>
      <w:r>
        <w:rPr>
          <w:sz w:val="13"/>
        </w:rPr>
        <w:t>keeper but will be an additional </w:t>
      </w:r>
      <w:r>
        <w:rPr>
          <w:spacing w:val="2"/>
          <w:sz w:val="13"/>
        </w:rPr>
        <w:t>support </w:t>
      </w:r>
      <w:r>
        <w:rPr>
          <w:sz w:val="13"/>
        </w:rPr>
        <w:t>specifically provided to the juror from the subject groups: see Judicial College   of</w:t>
      </w:r>
      <w:r>
        <w:rPr>
          <w:spacing w:val="6"/>
          <w:sz w:val="13"/>
        </w:rPr>
        <w:t> </w:t>
      </w:r>
      <w:r>
        <w:rPr>
          <w:sz w:val="13"/>
        </w:rPr>
        <w:t>Victoria,</w:t>
      </w:r>
      <w:r>
        <w:rPr>
          <w:spacing w:val="7"/>
          <w:sz w:val="13"/>
        </w:rPr>
        <w:t> </w:t>
      </w:r>
      <w:r>
        <w:rPr>
          <w:sz w:val="13"/>
        </w:rPr>
        <w:t>‘11.7</w:t>
      </w:r>
      <w:r>
        <w:rPr>
          <w:spacing w:val="7"/>
          <w:sz w:val="13"/>
        </w:rPr>
        <w:t> </w:t>
      </w:r>
      <w:r>
        <w:rPr>
          <w:spacing w:val="2"/>
          <w:sz w:val="13"/>
        </w:rPr>
        <w:t>Jury</w:t>
      </w:r>
      <w:r>
        <w:rPr>
          <w:spacing w:val="7"/>
          <w:sz w:val="13"/>
        </w:rPr>
        <w:t> </w:t>
      </w:r>
      <w:r>
        <w:rPr>
          <w:spacing w:val="2"/>
          <w:sz w:val="13"/>
        </w:rPr>
        <w:t>Sequestration</w:t>
      </w:r>
      <w:r>
        <w:rPr>
          <w:spacing w:val="7"/>
          <w:sz w:val="13"/>
        </w:rPr>
        <w:t> </w:t>
      </w:r>
      <w:r>
        <w:rPr>
          <w:sz w:val="13"/>
        </w:rPr>
        <w:t>and</w:t>
      </w:r>
      <w:r>
        <w:rPr>
          <w:spacing w:val="7"/>
          <w:sz w:val="13"/>
        </w:rPr>
        <w:t> </w:t>
      </w:r>
      <w:r>
        <w:rPr>
          <w:sz w:val="13"/>
        </w:rPr>
        <w:t>Separation’,</w:t>
      </w:r>
      <w:r>
        <w:rPr>
          <w:spacing w:val="7"/>
          <w:sz w:val="13"/>
        </w:rPr>
        <w:t> </w:t>
      </w:r>
      <w:r>
        <w:rPr>
          <w:i/>
          <w:sz w:val="13"/>
        </w:rPr>
        <w:t>Victorian</w:t>
      </w:r>
      <w:r>
        <w:rPr>
          <w:i/>
          <w:spacing w:val="7"/>
          <w:sz w:val="13"/>
        </w:rPr>
        <w:t> </w:t>
      </w:r>
      <w:r>
        <w:rPr>
          <w:i/>
          <w:sz w:val="13"/>
        </w:rPr>
        <w:t>Criminal</w:t>
      </w:r>
      <w:r>
        <w:rPr>
          <w:i/>
          <w:spacing w:val="7"/>
          <w:sz w:val="13"/>
        </w:rPr>
        <w:t> </w:t>
      </w:r>
      <w:r>
        <w:rPr>
          <w:i/>
          <w:sz w:val="13"/>
        </w:rPr>
        <w:t>Proceedings</w:t>
      </w:r>
      <w:r>
        <w:rPr>
          <w:i/>
          <w:spacing w:val="7"/>
          <w:sz w:val="13"/>
        </w:rPr>
        <w:t> </w:t>
      </w:r>
      <w:r>
        <w:rPr>
          <w:i/>
          <w:sz w:val="13"/>
        </w:rPr>
        <w:t>Manual</w:t>
      </w:r>
      <w:r>
        <w:rPr>
          <w:i/>
          <w:spacing w:val="6"/>
          <w:sz w:val="13"/>
        </w:rPr>
        <w:t> </w:t>
      </w:r>
      <w:r>
        <w:rPr>
          <w:sz w:val="13"/>
        </w:rPr>
        <w:t>(Online</w:t>
      </w:r>
      <w:r>
        <w:rPr>
          <w:spacing w:val="7"/>
          <w:sz w:val="13"/>
        </w:rPr>
        <w:t> </w:t>
      </w:r>
      <w:r>
        <w:rPr>
          <w:sz w:val="13"/>
        </w:rPr>
        <w:t>Manual,</w:t>
      </w:r>
      <w:r>
        <w:rPr>
          <w:spacing w:val="7"/>
          <w:sz w:val="13"/>
        </w:rPr>
        <w:t> </w:t>
      </w:r>
      <w:r>
        <w:rPr>
          <w:sz w:val="13"/>
        </w:rPr>
        <w:t>25</w:t>
      </w:r>
      <w:r>
        <w:rPr>
          <w:spacing w:val="7"/>
          <w:sz w:val="13"/>
        </w:rPr>
        <w:t> </w:t>
      </w:r>
      <w:r>
        <w:rPr>
          <w:sz w:val="13"/>
        </w:rPr>
        <w:t>February</w:t>
      </w:r>
      <w:r>
        <w:rPr>
          <w:spacing w:val="7"/>
          <w:sz w:val="13"/>
        </w:rPr>
        <w:t> </w:t>
      </w:r>
      <w:r>
        <w:rPr>
          <w:spacing w:val="2"/>
          <w:sz w:val="13"/>
        </w:rPr>
        <w:t>2014)</w:t>
      </w:r>
    </w:p>
    <w:p>
      <w:pPr>
        <w:spacing w:line="152" w:lineRule="exact" w:before="0"/>
        <w:ind w:left="893" w:right="0" w:firstLine="0"/>
        <w:jc w:val="left"/>
        <w:rPr>
          <w:sz w:val="13"/>
        </w:rPr>
      </w:pPr>
      <w:r>
        <w:rPr>
          <w:sz w:val="13"/>
        </w:rPr>
        <w:t>&lt;</w:t>
      </w:r>
      <w:hyperlink r:id="rId49">
        <w:r>
          <w:rPr>
            <w:sz w:val="13"/>
          </w:rPr>
          <w:t>https://www.judicialcollege.vic.edu.au/eManuals/VCPM/index.htm#27318.htm</w:t>
        </w:r>
      </w:hyperlink>
      <w:r>
        <w:rPr>
          <w:sz w:val="13"/>
        </w:rPr>
        <w:t>&gt;.</w:t>
      </w:r>
    </w:p>
    <w:p>
      <w:pPr>
        <w:pStyle w:val="ListParagraph"/>
        <w:numPr>
          <w:ilvl w:val="0"/>
          <w:numId w:val="104"/>
        </w:numPr>
        <w:tabs>
          <w:tab w:pos="893" w:val="left" w:leader="none"/>
          <w:tab w:pos="894" w:val="left" w:leader="none"/>
        </w:tabs>
        <w:spacing w:line="213" w:lineRule="auto" w:before="4" w:after="0"/>
        <w:ind w:left="893" w:right="1421" w:hanging="793"/>
        <w:jc w:val="left"/>
        <w:rPr>
          <w:sz w:val="13"/>
        </w:rPr>
      </w:pPr>
      <w:r>
        <w:rPr>
          <w:spacing w:val="2"/>
          <w:sz w:val="13"/>
        </w:rPr>
        <w:t>Online </w:t>
      </w:r>
      <w:r>
        <w:rPr>
          <w:sz w:val="13"/>
        </w:rPr>
        <w:t>Survey (Response 19): ‘I would </w:t>
      </w:r>
      <w:r>
        <w:rPr>
          <w:spacing w:val="2"/>
          <w:sz w:val="13"/>
        </w:rPr>
        <w:t>need </w:t>
      </w:r>
      <w:r>
        <w:rPr>
          <w:sz w:val="13"/>
        </w:rPr>
        <w:t>a </w:t>
      </w:r>
      <w:r>
        <w:rPr>
          <w:spacing w:val="2"/>
          <w:sz w:val="13"/>
        </w:rPr>
        <w:t>support </w:t>
      </w:r>
      <w:r>
        <w:rPr>
          <w:sz w:val="13"/>
        </w:rPr>
        <w:t>person present and </w:t>
      </w:r>
      <w:r>
        <w:rPr>
          <w:spacing w:val="2"/>
          <w:sz w:val="13"/>
        </w:rPr>
        <w:t>also </w:t>
      </w:r>
      <w:r>
        <w:rPr>
          <w:sz w:val="13"/>
        </w:rPr>
        <w:t>be able to bring my guide dog with me. I would </w:t>
      </w:r>
      <w:r>
        <w:rPr>
          <w:spacing w:val="2"/>
          <w:sz w:val="13"/>
        </w:rPr>
        <w:t>need </w:t>
      </w:r>
      <w:r>
        <w:rPr>
          <w:sz w:val="13"/>
        </w:rPr>
        <w:t>audio description of any visual evidence such as </w:t>
      </w:r>
      <w:r>
        <w:rPr>
          <w:spacing w:val="2"/>
          <w:sz w:val="13"/>
        </w:rPr>
        <w:t>photographic charts tabular </w:t>
      </w:r>
      <w:r>
        <w:rPr>
          <w:sz w:val="13"/>
        </w:rPr>
        <w:t>data</w:t>
      </w:r>
      <w:r>
        <w:rPr>
          <w:spacing w:val="4"/>
          <w:sz w:val="13"/>
        </w:rPr>
        <w:t> </w:t>
      </w:r>
      <w:r>
        <w:rPr>
          <w:sz w:val="13"/>
        </w:rPr>
        <w:t>etc’.</w:t>
      </w:r>
    </w:p>
    <w:p>
      <w:pPr>
        <w:spacing w:after="0" w:line="213" w:lineRule="auto"/>
        <w:jc w:val="left"/>
        <w:rPr>
          <w:sz w:val="13"/>
        </w:rPr>
        <w:sectPr>
          <w:type w:val="continuous"/>
          <w:pgSz w:w="11910" w:h="16840"/>
          <w:pgMar w:top="620" w:bottom="280" w:left="620" w:right="380"/>
          <w:cols w:num="2" w:equalWidth="0">
            <w:col w:w="517" w:space="351"/>
            <w:col w:w="10042"/>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86" w:hanging="794"/>
        <w:jc w:val="left"/>
        <w:rPr>
          <w:sz w:val="20"/>
        </w:rPr>
      </w:pPr>
      <w:bookmarkStart w:name="_bookmark126" w:id="299"/>
      <w:bookmarkEnd w:id="299"/>
      <w:r>
        <w:rPr/>
      </w:r>
      <w:bookmarkStart w:name="_bookmark126" w:id="300"/>
      <w:bookmarkEnd w:id="300"/>
      <w:r>
        <w:rPr>
          <w:sz w:val="20"/>
        </w:rPr>
        <w:t>T</w:t>
      </w:r>
      <w:r>
        <w:rPr>
          <w:sz w:val="20"/>
        </w:rPr>
        <w:t>he list of possible supports that can be </w:t>
      </w:r>
      <w:r>
        <w:rPr>
          <w:spacing w:val="-3"/>
          <w:sz w:val="20"/>
        </w:rPr>
        <w:t>provided </w:t>
      </w:r>
      <w:r>
        <w:rPr>
          <w:sz w:val="20"/>
        </w:rPr>
        <w:t>under section 16(2) of the </w:t>
      </w:r>
      <w:r>
        <w:rPr>
          <w:i/>
          <w:sz w:val="20"/>
        </w:rPr>
        <w:t>Juries Act </w:t>
      </w:r>
      <w:r>
        <w:rPr>
          <w:i/>
          <w:sz w:val="20"/>
        </w:rPr>
        <w:t>1967 </w:t>
      </w:r>
      <w:r>
        <w:rPr>
          <w:sz w:val="20"/>
        </w:rPr>
        <w:t>(ACT) includes a ‘support </w:t>
      </w:r>
      <w:r>
        <w:rPr>
          <w:spacing w:val="-3"/>
          <w:sz w:val="20"/>
        </w:rPr>
        <w:t>person’. At </w:t>
      </w:r>
      <w:r>
        <w:rPr>
          <w:sz w:val="20"/>
        </w:rPr>
        <w:t>the time of writing, no one has served on a jury</w:t>
      </w:r>
      <w:r>
        <w:rPr>
          <w:spacing w:val="-9"/>
          <w:sz w:val="20"/>
        </w:rPr>
        <w:t> </w:t>
      </w:r>
      <w:r>
        <w:rPr>
          <w:sz w:val="20"/>
        </w:rPr>
        <w:t>in</w:t>
      </w:r>
      <w:r>
        <w:rPr>
          <w:spacing w:val="-9"/>
          <w:sz w:val="20"/>
        </w:rPr>
        <w:t> </w:t>
      </w:r>
      <w:r>
        <w:rPr>
          <w:sz w:val="20"/>
        </w:rPr>
        <w:t>the</w:t>
      </w:r>
      <w:r>
        <w:rPr>
          <w:spacing w:val="-9"/>
          <w:sz w:val="20"/>
        </w:rPr>
        <w:t> </w:t>
      </w:r>
      <w:r>
        <w:rPr>
          <w:spacing w:val="-4"/>
          <w:sz w:val="20"/>
        </w:rPr>
        <w:t>ACT</w:t>
      </w:r>
      <w:r>
        <w:rPr>
          <w:spacing w:val="-9"/>
          <w:sz w:val="20"/>
        </w:rPr>
        <w:t> </w:t>
      </w:r>
      <w:r>
        <w:rPr>
          <w:sz w:val="20"/>
        </w:rPr>
        <w:t>under</w:t>
      </w:r>
      <w:r>
        <w:rPr>
          <w:spacing w:val="-9"/>
          <w:sz w:val="20"/>
        </w:rPr>
        <w:t> </w:t>
      </w:r>
      <w:r>
        <w:rPr>
          <w:sz w:val="20"/>
        </w:rPr>
        <w:t>these</w:t>
      </w:r>
      <w:r>
        <w:rPr>
          <w:spacing w:val="-9"/>
          <w:sz w:val="20"/>
        </w:rPr>
        <w:t> </w:t>
      </w:r>
      <w:r>
        <w:rPr>
          <w:sz w:val="20"/>
        </w:rPr>
        <w:t>new</w:t>
      </w:r>
      <w:r>
        <w:rPr>
          <w:spacing w:val="-9"/>
          <w:sz w:val="20"/>
        </w:rPr>
        <w:t> </w:t>
      </w:r>
      <w:r>
        <w:rPr>
          <w:sz w:val="20"/>
        </w:rPr>
        <w:t>laws.</w:t>
      </w:r>
      <w:r>
        <w:rPr>
          <w:spacing w:val="-9"/>
          <w:sz w:val="20"/>
        </w:rPr>
        <w:t> </w:t>
      </w:r>
      <w:r>
        <w:rPr>
          <w:sz w:val="20"/>
        </w:rPr>
        <w:t>It</w:t>
      </w:r>
      <w:r>
        <w:rPr>
          <w:spacing w:val="-9"/>
          <w:sz w:val="20"/>
        </w:rPr>
        <w:t> </w:t>
      </w:r>
      <w:r>
        <w:rPr>
          <w:sz w:val="20"/>
        </w:rPr>
        <w:t>is</w:t>
      </w:r>
      <w:r>
        <w:rPr>
          <w:spacing w:val="-9"/>
          <w:sz w:val="20"/>
        </w:rPr>
        <w:t> </w:t>
      </w:r>
      <w:r>
        <w:rPr>
          <w:sz w:val="20"/>
        </w:rPr>
        <w:t>not</w:t>
      </w:r>
      <w:r>
        <w:rPr>
          <w:spacing w:val="-9"/>
          <w:sz w:val="20"/>
        </w:rPr>
        <w:t> </w:t>
      </w:r>
      <w:r>
        <w:rPr>
          <w:sz w:val="20"/>
        </w:rPr>
        <w:t>clear</w:t>
      </w:r>
      <w:r>
        <w:rPr>
          <w:spacing w:val="-9"/>
          <w:sz w:val="20"/>
        </w:rPr>
        <w:t> </w:t>
      </w:r>
      <w:r>
        <w:rPr>
          <w:sz w:val="20"/>
        </w:rPr>
        <w:t>to</w:t>
      </w:r>
      <w:r>
        <w:rPr>
          <w:spacing w:val="-9"/>
          <w:sz w:val="20"/>
        </w:rPr>
        <w:t> </w:t>
      </w:r>
      <w:r>
        <w:rPr>
          <w:sz w:val="20"/>
        </w:rPr>
        <w:t>the</w:t>
      </w:r>
      <w:r>
        <w:rPr>
          <w:spacing w:val="-8"/>
          <w:sz w:val="20"/>
        </w:rPr>
        <w:t> </w:t>
      </w:r>
      <w:r>
        <w:rPr>
          <w:sz w:val="20"/>
        </w:rPr>
        <w:t>Commission</w:t>
      </w:r>
      <w:r>
        <w:rPr>
          <w:spacing w:val="-9"/>
          <w:sz w:val="20"/>
        </w:rPr>
        <w:t> </w:t>
      </w:r>
      <w:r>
        <w:rPr>
          <w:sz w:val="20"/>
        </w:rPr>
        <w:t>who</w:t>
      </w:r>
      <w:r>
        <w:rPr>
          <w:spacing w:val="-9"/>
          <w:sz w:val="20"/>
        </w:rPr>
        <w:t> </w:t>
      </w:r>
      <w:r>
        <w:rPr>
          <w:spacing w:val="-3"/>
          <w:sz w:val="20"/>
        </w:rPr>
        <w:t>would</w:t>
      </w:r>
      <w:r>
        <w:rPr>
          <w:spacing w:val="-9"/>
          <w:sz w:val="20"/>
        </w:rPr>
        <w:t> </w:t>
      </w:r>
      <w:r>
        <w:rPr>
          <w:sz w:val="20"/>
        </w:rPr>
        <w:t>fulfil the</w:t>
      </w:r>
      <w:r>
        <w:rPr>
          <w:spacing w:val="-6"/>
          <w:sz w:val="20"/>
        </w:rPr>
        <w:t> </w:t>
      </w:r>
      <w:r>
        <w:rPr>
          <w:spacing w:val="-3"/>
          <w:sz w:val="20"/>
        </w:rPr>
        <w:t>role</w:t>
      </w:r>
      <w:r>
        <w:rPr>
          <w:spacing w:val="-5"/>
          <w:sz w:val="20"/>
        </w:rPr>
        <w:t> </w:t>
      </w:r>
      <w:r>
        <w:rPr>
          <w:sz w:val="20"/>
        </w:rPr>
        <w:t>of</w:t>
      </w:r>
      <w:r>
        <w:rPr>
          <w:spacing w:val="-5"/>
          <w:sz w:val="20"/>
        </w:rPr>
        <w:t> </w:t>
      </w:r>
      <w:r>
        <w:rPr>
          <w:sz w:val="20"/>
        </w:rPr>
        <w:t>support</w:t>
      </w:r>
      <w:r>
        <w:rPr>
          <w:spacing w:val="-5"/>
          <w:sz w:val="20"/>
        </w:rPr>
        <w:t> </w:t>
      </w:r>
      <w:r>
        <w:rPr>
          <w:sz w:val="20"/>
        </w:rPr>
        <w:t>person</w:t>
      </w:r>
      <w:r>
        <w:rPr>
          <w:spacing w:val="-5"/>
          <w:sz w:val="20"/>
        </w:rPr>
        <w:t> </w:t>
      </w:r>
      <w:r>
        <w:rPr>
          <w:sz w:val="20"/>
        </w:rPr>
        <w:t>and</w:t>
      </w:r>
      <w:r>
        <w:rPr>
          <w:spacing w:val="-5"/>
          <w:sz w:val="20"/>
        </w:rPr>
        <w:t> </w:t>
      </w:r>
      <w:r>
        <w:rPr>
          <w:sz w:val="20"/>
        </w:rPr>
        <w:t>what</w:t>
      </w:r>
      <w:r>
        <w:rPr>
          <w:spacing w:val="-5"/>
          <w:sz w:val="20"/>
        </w:rPr>
        <w:t> </w:t>
      </w:r>
      <w:r>
        <w:rPr>
          <w:sz w:val="20"/>
        </w:rPr>
        <w:t>duties</w:t>
      </w:r>
      <w:r>
        <w:rPr>
          <w:spacing w:val="-6"/>
          <w:sz w:val="20"/>
        </w:rPr>
        <w:t> </w:t>
      </w:r>
      <w:r>
        <w:rPr>
          <w:sz w:val="20"/>
        </w:rPr>
        <w:t>they</w:t>
      </w:r>
      <w:r>
        <w:rPr>
          <w:spacing w:val="-5"/>
          <w:sz w:val="20"/>
        </w:rPr>
        <w:t> </w:t>
      </w:r>
      <w:r>
        <w:rPr>
          <w:spacing w:val="-3"/>
          <w:sz w:val="20"/>
        </w:rPr>
        <w:t>would</w:t>
      </w:r>
      <w:r>
        <w:rPr>
          <w:spacing w:val="-5"/>
          <w:sz w:val="20"/>
        </w:rPr>
        <w:t> </w:t>
      </w:r>
      <w:r>
        <w:rPr>
          <w:sz w:val="20"/>
        </w:rPr>
        <w:t>undertake.</w:t>
      </w:r>
    </w:p>
    <w:p>
      <w:pPr>
        <w:pStyle w:val="ListParagraph"/>
        <w:numPr>
          <w:ilvl w:val="1"/>
          <w:numId w:val="12"/>
        </w:numPr>
        <w:tabs>
          <w:tab w:pos="1761" w:val="left" w:leader="none"/>
          <w:tab w:pos="1762" w:val="left" w:leader="none"/>
        </w:tabs>
        <w:spacing w:line="206" w:lineRule="auto" w:before="125" w:after="0"/>
        <w:ind w:left="1761" w:right="1381" w:hanging="794"/>
        <w:jc w:val="left"/>
        <w:rPr>
          <w:sz w:val="11"/>
        </w:rPr>
      </w:pPr>
      <w:r>
        <w:rPr>
          <w:sz w:val="20"/>
        </w:rPr>
        <w:t>In consultation with the </w:t>
      </w:r>
      <w:r>
        <w:rPr>
          <w:spacing w:val="-4"/>
          <w:sz w:val="20"/>
        </w:rPr>
        <w:t>ACT </w:t>
      </w:r>
      <w:r>
        <w:rPr>
          <w:sz w:val="20"/>
        </w:rPr>
        <w:t>Sheriff’s Office, it was suggested that perhaps the </w:t>
      </w:r>
      <w:r>
        <w:rPr>
          <w:spacing w:val="-3"/>
          <w:sz w:val="20"/>
        </w:rPr>
        <w:t>role </w:t>
      </w:r>
      <w:r>
        <w:rPr>
          <w:sz w:val="20"/>
        </w:rPr>
        <w:t>could be fulfilled </w:t>
      </w:r>
      <w:r>
        <w:rPr>
          <w:spacing w:val="-3"/>
          <w:sz w:val="20"/>
        </w:rPr>
        <w:t>by </w:t>
      </w:r>
      <w:r>
        <w:rPr>
          <w:sz w:val="20"/>
        </w:rPr>
        <w:t>a </w:t>
      </w:r>
      <w:r>
        <w:rPr>
          <w:spacing w:val="-3"/>
          <w:sz w:val="20"/>
        </w:rPr>
        <w:t>family member, </w:t>
      </w:r>
      <w:r>
        <w:rPr>
          <w:sz w:val="20"/>
        </w:rPr>
        <w:t>a support </w:t>
      </w:r>
      <w:r>
        <w:rPr>
          <w:spacing w:val="-3"/>
          <w:sz w:val="20"/>
        </w:rPr>
        <w:t>worker </w:t>
      </w:r>
      <w:r>
        <w:rPr>
          <w:sz w:val="20"/>
        </w:rPr>
        <w:t>or a person </w:t>
      </w:r>
      <w:r>
        <w:rPr>
          <w:spacing w:val="-3"/>
          <w:sz w:val="20"/>
        </w:rPr>
        <w:t>approved </w:t>
      </w:r>
      <w:r>
        <w:rPr>
          <w:sz w:val="20"/>
        </w:rPr>
        <w:t>or supported</w:t>
      </w:r>
      <w:r>
        <w:rPr>
          <w:spacing w:val="-9"/>
          <w:sz w:val="20"/>
        </w:rPr>
        <w:t> </w:t>
      </w:r>
      <w:r>
        <w:rPr>
          <w:spacing w:val="-3"/>
          <w:sz w:val="20"/>
        </w:rPr>
        <w:t>by</w:t>
      </w:r>
      <w:r>
        <w:rPr>
          <w:spacing w:val="-9"/>
          <w:sz w:val="20"/>
        </w:rPr>
        <w:t> </w:t>
      </w:r>
      <w:r>
        <w:rPr>
          <w:sz w:val="20"/>
        </w:rPr>
        <w:t>Vision</w:t>
      </w:r>
      <w:r>
        <w:rPr>
          <w:spacing w:val="-9"/>
          <w:sz w:val="20"/>
        </w:rPr>
        <w:t> </w:t>
      </w:r>
      <w:r>
        <w:rPr>
          <w:sz w:val="20"/>
        </w:rPr>
        <w:t>Australia.</w:t>
      </w:r>
      <w:r>
        <w:rPr>
          <w:spacing w:val="-9"/>
          <w:sz w:val="20"/>
        </w:rPr>
        <w:t> </w:t>
      </w:r>
      <w:r>
        <w:rPr>
          <w:sz w:val="20"/>
        </w:rPr>
        <w:t>The</w:t>
      </w:r>
      <w:r>
        <w:rPr>
          <w:spacing w:val="-9"/>
          <w:sz w:val="20"/>
        </w:rPr>
        <w:t> </w:t>
      </w:r>
      <w:r>
        <w:rPr>
          <w:spacing w:val="-4"/>
          <w:sz w:val="20"/>
        </w:rPr>
        <w:t>ACT</w:t>
      </w:r>
      <w:r>
        <w:rPr>
          <w:spacing w:val="-9"/>
          <w:sz w:val="20"/>
        </w:rPr>
        <w:t> </w:t>
      </w:r>
      <w:r>
        <w:rPr>
          <w:sz w:val="20"/>
        </w:rPr>
        <w:t>Sheriff</w:t>
      </w:r>
      <w:r>
        <w:rPr>
          <w:spacing w:val="-9"/>
          <w:sz w:val="20"/>
        </w:rPr>
        <w:t> </w:t>
      </w:r>
      <w:r>
        <w:rPr>
          <w:sz w:val="20"/>
        </w:rPr>
        <w:t>has</w:t>
      </w:r>
      <w:r>
        <w:rPr>
          <w:spacing w:val="-9"/>
          <w:sz w:val="20"/>
        </w:rPr>
        <w:t> </w:t>
      </w:r>
      <w:r>
        <w:rPr>
          <w:sz w:val="20"/>
        </w:rPr>
        <w:t>advised</w:t>
      </w:r>
      <w:r>
        <w:rPr>
          <w:spacing w:val="-9"/>
          <w:sz w:val="20"/>
        </w:rPr>
        <w:t> </w:t>
      </w:r>
      <w:r>
        <w:rPr>
          <w:sz w:val="20"/>
        </w:rPr>
        <w:t>that</w:t>
      </w:r>
      <w:r>
        <w:rPr>
          <w:spacing w:val="-9"/>
          <w:sz w:val="20"/>
        </w:rPr>
        <w:t> </w:t>
      </w:r>
      <w:r>
        <w:rPr>
          <w:sz w:val="20"/>
        </w:rPr>
        <w:t>a</w:t>
      </w:r>
      <w:r>
        <w:rPr>
          <w:spacing w:val="-9"/>
          <w:sz w:val="20"/>
        </w:rPr>
        <w:t> </w:t>
      </w:r>
      <w:r>
        <w:rPr>
          <w:sz w:val="20"/>
        </w:rPr>
        <w:t>judge</w:t>
      </w:r>
      <w:r>
        <w:rPr>
          <w:spacing w:val="-8"/>
          <w:sz w:val="20"/>
        </w:rPr>
        <w:t> </w:t>
      </w:r>
      <w:r>
        <w:rPr>
          <w:spacing w:val="-3"/>
          <w:sz w:val="20"/>
        </w:rPr>
        <w:t>would</w:t>
      </w:r>
      <w:r>
        <w:rPr>
          <w:spacing w:val="-9"/>
          <w:sz w:val="20"/>
        </w:rPr>
        <w:t> </w:t>
      </w:r>
      <w:r>
        <w:rPr>
          <w:spacing w:val="-4"/>
          <w:sz w:val="20"/>
        </w:rPr>
        <w:t>have</w:t>
      </w:r>
      <w:r>
        <w:rPr>
          <w:spacing w:val="-9"/>
          <w:sz w:val="20"/>
        </w:rPr>
        <w:t> </w:t>
      </w:r>
      <w:r>
        <w:rPr>
          <w:sz w:val="20"/>
        </w:rPr>
        <w:t>to </w:t>
      </w:r>
      <w:r>
        <w:rPr>
          <w:spacing w:val="-3"/>
          <w:sz w:val="20"/>
        </w:rPr>
        <w:t>make</w:t>
      </w:r>
      <w:r>
        <w:rPr>
          <w:spacing w:val="-10"/>
          <w:sz w:val="20"/>
        </w:rPr>
        <w:t> </w:t>
      </w:r>
      <w:r>
        <w:rPr>
          <w:sz w:val="20"/>
        </w:rPr>
        <w:t>the</w:t>
      </w:r>
      <w:r>
        <w:rPr>
          <w:spacing w:val="-9"/>
          <w:sz w:val="20"/>
        </w:rPr>
        <w:t> </w:t>
      </w:r>
      <w:r>
        <w:rPr>
          <w:sz w:val="20"/>
        </w:rPr>
        <w:t>final</w:t>
      </w:r>
      <w:r>
        <w:rPr>
          <w:spacing w:val="-10"/>
          <w:sz w:val="20"/>
        </w:rPr>
        <w:t> </w:t>
      </w:r>
      <w:r>
        <w:rPr>
          <w:sz w:val="20"/>
        </w:rPr>
        <w:t>determination</w:t>
      </w:r>
      <w:r>
        <w:rPr>
          <w:spacing w:val="-9"/>
          <w:sz w:val="20"/>
        </w:rPr>
        <w:t> </w:t>
      </w:r>
      <w:r>
        <w:rPr>
          <w:sz w:val="20"/>
        </w:rPr>
        <w:t>about</w:t>
      </w:r>
      <w:r>
        <w:rPr>
          <w:spacing w:val="-9"/>
          <w:sz w:val="20"/>
        </w:rPr>
        <w:t> </w:t>
      </w:r>
      <w:r>
        <w:rPr>
          <w:sz w:val="20"/>
        </w:rPr>
        <w:t>who</w:t>
      </w:r>
      <w:r>
        <w:rPr>
          <w:spacing w:val="-10"/>
          <w:sz w:val="20"/>
        </w:rPr>
        <w:t> </w:t>
      </w:r>
      <w:r>
        <w:rPr>
          <w:sz w:val="20"/>
        </w:rPr>
        <w:t>could</w:t>
      </w:r>
      <w:r>
        <w:rPr>
          <w:spacing w:val="-9"/>
          <w:sz w:val="20"/>
        </w:rPr>
        <w:t> </w:t>
      </w:r>
      <w:r>
        <w:rPr>
          <w:sz w:val="20"/>
        </w:rPr>
        <w:t>assist</w:t>
      </w:r>
      <w:r>
        <w:rPr>
          <w:spacing w:val="-9"/>
          <w:sz w:val="20"/>
        </w:rPr>
        <w:t> </w:t>
      </w:r>
      <w:r>
        <w:rPr>
          <w:sz w:val="20"/>
        </w:rPr>
        <w:t>and</w:t>
      </w:r>
      <w:r>
        <w:rPr>
          <w:spacing w:val="-10"/>
          <w:sz w:val="20"/>
        </w:rPr>
        <w:t> </w:t>
      </w:r>
      <w:r>
        <w:rPr>
          <w:sz w:val="20"/>
        </w:rPr>
        <w:t>in</w:t>
      </w:r>
      <w:r>
        <w:rPr>
          <w:spacing w:val="-9"/>
          <w:sz w:val="20"/>
        </w:rPr>
        <w:t> </w:t>
      </w:r>
      <w:r>
        <w:rPr>
          <w:sz w:val="20"/>
        </w:rPr>
        <w:t>what</w:t>
      </w:r>
      <w:r>
        <w:rPr>
          <w:spacing w:val="-10"/>
          <w:sz w:val="20"/>
        </w:rPr>
        <w:t> </w:t>
      </w:r>
      <w:r>
        <w:rPr>
          <w:spacing w:val="-3"/>
          <w:sz w:val="20"/>
        </w:rPr>
        <w:t>capacity.</w:t>
      </w:r>
      <w:r>
        <w:rPr>
          <w:spacing w:val="-9"/>
          <w:sz w:val="20"/>
        </w:rPr>
        <w:t> </w:t>
      </w:r>
      <w:r>
        <w:rPr>
          <w:sz w:val="20"/>
        </w:rPr>
        <w:t>This</w:t>
      </w:r>
      <w:r>
        <w:rPr>
          <w:spacing w:val="-9"/>
          <w:sz w:val="20"/>
        </w:rPr>
        <w:t> </w:t>
      </w:r>
      <w:r>
        <w:rPr>
          <w:spacing w:val="-3"/>
          <w:sz w:val="20"/>
        </w:rPr>
        <w:t>would </w:t>
      </w:r>
      <w:r>
        <w:rPr>
          <w:sz w:val="20"/>
        </w:rPr>
        <w:t>need to be assessed on an individual</w:t>
      </w:r>
      <w:r>
        <w:rPr>
          <w:spacing w:val="-31"/>
          <w:sz w:val="20"/>
        </w:rPr>
        <w:t> </w:t>
      </w:r>
      <w:r>
        <w:rPr>
          <w:sz w:val="20"/>
        </w:rPr>
        <w:t>basis.</w:t>
      </w:r>
      <w:r>
        <w:rPr>
          <w:position w:val="7"/>
          <w:sz w:val="11"/>
        </w:rPr>
        <w:t>16</w:t>
      </w:r>
    </w:p>
    <w:p>
      <w:pPr>
        <w:spacing w:before="165"/>
        <w:ind w:left="967" w:right="0" w:firstLine="0"/>
        <w:jc w:val="left"/>
        <w:rPr>
          <w:b/>
          <w:sz w:val="24"/>
        </w:rPr>
      </w:pPr>
      <w:r>
        <w:rPr>
          <w:b/>
          <w:sz w:val="24"/>
        </w:rPr>
        <w:t>Community ideas about the support person role</w:t>
      </w:r>
    </w:p>
    <w:p>
      <w:pPr>
        <w:pStyle w:val="ListParagraph"/>
        <w:numPr>
          <w:ilvl w:val="1"/>
          <w:numId w:val="12"/>
        </w:numPr>
        <w:tabs>
          <w:tab w:pos="1761" w:val="left" w:leader="none"/>
          <w:tab w:pos="1762" w:val="left" w:leader="none"/>
        </w:tabs>
        <w:spacing w:line="206" w:lineRule="auto" w:before="127" w:after="0"/>
        <w:ind w:left="1761" w:right="1456" w:hanging="794"/>
        <w:jc w:val="left"/>
        <w:rPr>
          <w:sz w:val="20"/>
        </w:rPr>
      </w:pPr>
      <w:r>
        <w:rPr>
          <w:spacing w:val="-6"/>
          <w:sz w:val="20"/>
        </w:rPr>
        <w:t>We</w:t>
      </w:r>
      <w:r>
        <w:rPr>
          <w:spacing w:val="-9"/>
          <w:sz w:val="20"/>
        </w:rPr>
        <w:t> </w:t>
      </w:r>
      <w:r>
        <w:rPr>
          <w:spacing w:val="-3"/>
          <w:sz w:val="20"/>
        </w:rPr>
        <w:t>received</w:t>
      </w:r>
      <w:r>
        <w:rPr>
          <w:spacing w:val="-8"/>
          <w:sz w:val="20"/>
        </w:rPr>
        <w:t> </w:t>
      </w:r>
      <w:r>
        <w:rPr>
          <w:sz w:val="20"/>
        </w:rPr>
        <w:t>some</w:t>
      </w:r>
      <w:r>
        <w:rPr>
          <w:spacing w:val="-9"/>
          <w:sz w:val="20"/>
        </w:rPr>
        <w:t> </w:t>
      </w:r>
      <w:r>
        <w:rPr>
          <w:sz w:val="20"/>
        </w:rPr>
        <w:t>limited</w:t>
      </w:r>
      <w:r>
        <w:rPr>
          <w:spacing w:val="-8"/>
          <w:sz w:val="20"/>
        </w:rPr>
        <w:t> </w:t>
      </w:r>
      <w:r>
        <w:rPr>
          <w:sz w:val="20"/>
        </w:rPr>
        <w:t>suggestions</w:t>
      </w:r>
      <w:r>
        <w:rPr>
          <w:spacing w:val="-9"/>
          <w:sz w:val="20"/>
        </w:rPr>
        <w:t> </w:t>
      </w:r>
      <w:r>
        <w:rPr>
          <w:sz w:val="20"/>
        </w:rPr>
        <w:t>of</w:t>
      </w:r>
      <w:r>
        <w:rPr>
          <w:spacing w:val="-8"/>
          <w:sz w:val="20"/>
        </w:rPr>
        <w:t> </w:t>
      </w:r>
      <w:r>
        <w:rPr>
          <w:sz w:val="20"/>
        </w:rPr>
        <w:t>what</w:t>
      </w:r>
      <w:r>
        <w:rPr>
          <w:spacing w:val="-8"/>
          <w:sz w:val="20"/>
        </w:rPr>
        <w:t> </w:t>
      </w:r>
      <w:r>
        <w:rPr>
          <w:spacing w:val="-3"/>
          <w:sz w:val="20"/>
        </w:rPr>
        <w:t>role</w:t>
      </w:r>
      <w:r>
        <w:rPr>
          <w:spacing w:val="-9"/>
          <w:sz w:val="20"/>
        </w:rPr>
        <w:t> </w:t>
      </w:r>
      <w:r>
        <w:rPr>
          <w:sz w:val="20"/>
        </w:rPr>
        <w:t>a</w:t>
      </w:r>
      <w:r>
        <w:rPr>
          <w:spacing w:val="-8"/>
          <w:sz w:val="20"/>
        </w:rPr>
        <w:t> </w:t>
      </w:r>
      <w:r>
        <w:rPr>
          <w:sz w:val="20"/>
        </w:rPr>
        <w:t>support</w:t>
      </w:r>
      <w:r>
        <w:rPr>
          <w:spacing w:val="-9"/>
          <w:sz w:val="20"/>
        </w:rPr>
        <w:t> </w:t>
      </w:r>
      <w:r>
        <w:rPr>
          <w:sz w:val="20"/>
        </w:rPr>
        <w:t>person</w:t>
      </w:r>
      <w:r>
        <w:rPr>
          <w:spacing w:val="-8"/>
          <w:sz w:val="20"/>
        </w:rPr>
        <w:t> </w:t>
      </w:r>
      <w:r>
        <w:rPr>
          <w:sz w:val="20"/>
        </w:rPr>
        <w:t>might</w:t>
      </w:r>
      <w:r>
        <w:rPr>
          <w:spacing w:val="-8"/>
          <w:sz w:val="20"/>
        </w:rPr>
        <w:t> </w:t>
      </w:r>
      <w:r>
        <w:rPr>
          <w:sz w:val="20"/>
        </w:rPr>
        <w:t>perform. </w:t>
      </w:r>
      <w:r>
        <w:rPr>
          <w:spacing w:val="-3"/>
          <w:sz w:val="20"/>
        </w:rPr>
        <w:t>For example, </w:t>
      </w:r>
      <w:r>
        <w:rPr>
          <w:sz w:val="20"/>
        </w:rPr>
        <w:t>Vision Australia commented</w:t>
      </w:r>
      <w:r>
        <w:rPr>
          <w:spacing w:val="-17"/>
          <w:sz w:val="20"/>
        </w:rPr>
        <w:t> </w:t>
      </w:r>
      <w:r>
        <w:rPr>
          <w:sz w:val="20"/>
        </w:rPr>
        <w:t>that:</w:t>
      </w:r>
    </w:p>
    <w:p>
      <w:pPr>
        <w:spacing w:line="208" w:lineRule="auto" w:before="120"/>
        <w:ind w:left="2157" w:right="1142" w:firstLine="0"/>
        <w:jc w:val="left"/>
        <w:rPr>
          <w:sz w:val="19"/>
        </w:rPr>
      </w:pPr>
      <w:r>
        <w:rPr>
          <w:sz w:val="19"/>
        </w:rPr>
        <w:t>There may be (probably rare) situations where a juror who is blind or has low vision will require support from someone who has had professional training in the techniques</w:t>
      </w:r>
    </w:p>
    <w:p>
      <w:pPr>
        <w:spacing w:line="208" w:lineRule="auto" w:before="1"/>
        <w:ind w:left="2157" w:right="1277" w:firstLine="0"/>
        <w:jc w:val="left"/>
        <w:rPr>
          <w:sz w:val="11"/>
        </w:rPr>
      </w:pPr>
      <w:r>
        <w:rPr>
          <w:sz w:val="19"/>
        </w:rPr>
        <w:t>of audio description, in order to gain access to visual details that are ancillary to, but not an inherent part of, the trial (for example, dress styles, physical attributes). It is important to bear in mind that professional audio-describers are trained in how to provide access to visual information by eliminating subjective interpretation in favour of objective elements about which there would be quasi-universal agreement. We therefore feel that the need for a professional audio-describer as part of the support team would not, in itself, affect the accuracy of the trial record. A support person could be in the deliberations room on a very limited basis, namely, to describe documents etc. In other words, they hold a translation-type role, analogous to an Auslan interpreter.</w:t>
      </w:r>
      <w:r>
        <w:rPr>
          <w:position w:val="6"/>
          <w:sz w:val="11"/>
        </w:rPr>
        <w:t>17</w:t>
      </w:r>
    </w:p>
    <w:p>
      <w:pPr>
        <w:pStyle w:val="ListParagraph"/>
        <w:numPr>
          <w:ilvl w:val="1"/>
          <w:numId w:val="12"/>
        </w:numPr>
        <w:tabs>
          <w:tab w:pos="1762" w:val="left" w:leader="none"/>
        </w:tabs>
        <w:spacing w:line="206" w:lineRule="auto" w:before="128" w:after="0"/>
        <w:ind w:left="1761" w:right="1264" w:hanging="794"/>
        <w:jc w:val="both"/>
        <w:rPr>
          <w:sz w:val="11"/>
        </w:rPr>
      </w:pPr>
      <w:r>
        <w:rPr>
          <w:sz w:val="20"/>
        </w:rPr>
        <w:t>Vision</w:t>
      </w:r>
      <w:r>
        <w:rPr>
          <w:spacing w:val="-10"/>
          <w:sz w:val="20"/>
        </w:rPr>
        <w:t> </w:t>
      </w:r>
      <w:r>
        <w:rPr>
          <w:sz w:val="20"/>
        </w:rPr>
        <w:t>Australia</w:t>
      </w:r>
      <w:r>
        <w:rPr>
          <w:spacing w:val="-9"/>
          <w:sz w:val="20"/>
        </w:rPr>
        <w:t> </w:t>
      </w:r>
      <w:r>
        <w:rPr>
          <w:sz w:val="20"/>
        </w:rPr>
        <w:t>recognised</w:t>
      </w:r>
      <w:r>
        <w:rPr>
          <w:spacing w:val="-9"/>
          <w:sz w:val="20"/>
        </w:rPr>
        <w:t> </w:t>
      </w:r>
      <w:r>
        <w:rPr>
          <w:sz w:val="20"/>
        </w:rPr>
        <w:t>that</w:t>
      </w:r>
      <w:r>
        <w:rPr>
          <w:spacing w:val="-10"/>
          <w:sz w:val="20"/>
        </w:rPr>
        <w:t> </w:t>
      </w:r>
      <w:r>
        <w:rPr>
          <w:sz w:val="20"/>
        </w:rPr>
        <w:t>‘these</w:t>
      </w:r>
      <w:r>
        <w:rPr>
          <w:spacing w:val="-9"/>
          <w:sz w:val="20"/>
        </w:rPr>
        <w:t> </w:t>
      </w:r>
      <w:r>
        <w:rPr>
          <w:spacing w:val="-3"/>
          <w:sz w:val="20"/>
        </w:rPr>
        <w:t>alternatives</w:t>
      </w:r>
      <w:r>
        <w:rPr>
          <w:spacing w:val="-9"/>
          <w:sz w:val="20"/>
        </w:rPr>
        <w:t> </w:t>
      </w:r>
      <w:r>
        <w:rPr>
          <w:spacing w:val="-3"/>
          <w:sz w:val="20"/>
        </w:rPr>
        <w:t>may</w:t>
      </w:r>
      <w:r>
        <w:rPr>
          <w:spacing w:val="-10"/>
          <w:sz w:val="20"/>
        </w:rPr>
        <w:t> </w:t>
      </w:r>
      <w:r>
        <w:rPr>
          <w:sz w:val="20"/>
        </w:rPr>
        <w:t>not</w:t>
      </w:r>
      <w:r>
        <w:rPr>
          <w:spacing w:val="-9"/>
          <w:sz w:val="20"/>
        </w:rPr>
        <w:t> </w:t>
      </w:r>
      <w:r>
        <w:rPr>
          <w:sz w:val="20"/>
        </w:rPr>
        <w:t>be</w:t>
      </w:r>
      <w:r>
        <w:rPr>
          <w:spacing w:val="-9"/>
          <w:sz w:val="20"/>
        </w:rPr>
        <w:t> </w:t>
      </w:r>
      <w:r>
        <w:rPr>
          <w:sz w:val="20"/>
        </w:rPr>
        <w:t>satisfactory</w:t>
      </w:r>
      <w:r>
        <w:rPr>
          <w:spacing w:val="-9"/>
          <w:sz w:val="20"/>
        </w:rPr>
        <w:t> </w:t>
      </w:r>
      <w:r>
        <w:rPr>
          <w:sz w:val="20"/>
        </w:rPr>
        <w:t>in</w:t>
      </w:r>
      <w:r>
        <w:rPr>
          <w:spacing w:val="-10"/>
          <w:sz w:val="20"/>
        </w:rPr>
        <w:t> </w:t>
      </w:r>
      <w:r>
        <w:rPr>
          <w:sz w:val="20"/>
        </w:rPr>
        <w:t>all</w:t>
      </w:r>
      <w:r>
        <w:rPr>
          <w:spacing w:val="-9"/>
          <w:sz w:val="20"/>
        </w:rPr>
        <w:t> </w:t>
      </w:r>
      <w:r>
        <w:rPr>
          <w:sz w:val="20"/>
        </w:rPr>
        <w:t>cases, especially</w:t>
      </w:r>
      <w:r>
        <w:rPr>
          <w:spacing w:val="-7"/>
          <w:sz w:val="20"/>
        </w:rPr>
        <w:t> </w:t>
      </w:r>
      <w:r>
        <w:rPr>
          <w:sz w:val="20"/>
        </w:rPr>
        <w:t>if</w:t>
      </w:r>
      <w:r>
        <w:rPr>
          <w:spacing w:val="-7"/>
          <w:sz w:val="20"/>
        </w:rPr>
        <w:t> </w:t>
      </w:r>
      <w:r>
        <w:rPr>
          <w:sz w:val="20"/>
        </w:rPr>
        <w:t>the</w:t>
      </w:r>
      <w:r>
        <w:rPr>
          <w:spacing w:val="-7"/>
          <w:sz w:val="20"/>
        </w:rPr>
        <w:t> </w:t>
      </w:r>
      <w:r>
        <w:rPr>
          <w:sz w:val="20"/>
        </w:rPr>
        <w:t>documents</w:t>
      </w:r>
      <w:r>
        <w:rPr>
          <w:spacing w:val="-6"/>
          <w:sz w:val="20"/>
        </w:rPr>
        <w:t> </w:t>
      </w:r>
      <w:r>
        <w:rPr>
          <w:spacing w:val="-4"/>
          <w:sz w:val="20"/>
        </w:rPr>
        <w:t>were</w:t>
      </w:r>
      <w:r>
        <w:rPr>
          <w:spacing w:val="-7"/>
          <w:sz w:val="20"/>
        </w:rPr>
        <w:t> </w:t>
      </w:r>
      <w:r>
        <w:rPr>
          <w:spacing w:val="-3"/>
          <w:sz w:val="20"/>
        </w:rPr>
        <w:t>complex</w:t>
      </w:r>
      <w:r>
        <w:rPr>
          <w:spacing w:val="-7"/>
          <w:sz w:val="20"/>
        </w:rPr>
        <w:t> </w:t>
      </w:r>
      <w:r>
        <w:rPr>
          <w:sz w:val="20"/>
        </w:rPr>
        <w:t>and</w:t>
      </w:r>
      <w:r>
        <w:rPr>
          <w:spacing w:val="-6"/>
          <w:sz w:val="20"/>
        </w:rPr>
        <w:t> </w:t>
      </w:r>
      <w:r>
        <w:rPr>
          <w:sz w:val="20"/>
        </w:rPr>
        <w:t>if</w:t>
      </w:r>
      <w:r>
        <w:rPr>
          <w:spacing w:val="-7"/>
          <w:sz w:val="20"/>
        </w:rPr>
        <w:t> </w:t>
      </w:r>
      <w:r>
        <w:rPr>
          <w:sz w:val="20"/>
        </w:rPr>
        <w:t>the</w:t>
      </w:r>
      <w:r>
        <w:rPr>
          <w:spacing w:val="-7"/>
          <w:sz w:val="20"/>
        </w:rPr>
        <w:t> </w:t>
      </w:r>
      <w:r>
        <w:rPr>
          <w:sz w:val="20"/>
        </w:rPr>
        <w:t>juror</w:t>
      </w:r>
      <w:r>
        <w:rPr>
          <w:spacing w:val="-6"/>
          <w:sz w:val="20"/>
        </w:rPr>
        <w:t> </w:t>
      </w:r>
      <w:r>
        <w:rPr>
          <w:spacing w:val="-3"/>
          <w:sz w:val="20"/>
        </w:rPr>
        <w:t>would</w:t>
      </w:r>
      <w:r>
        <w:rPr>
          <w:spacing w:val="-7"/>
          <w:sz w:val="20"/>
        </w:rPr>
        <w:t> </w:t>
      </w:r>
      <w:r>
        <w:rPr>
          <w:sz w:val="20"/>
        </w:rPr>
        <w:t>be</w:t>
      </w:r>
      <w:r>
        <w:rPr>
          <w:spacing w:val="-7"/>
          <w:sz w:val="20"/>
        </w:rPr>
        <w:t> </w:t>
      </w:r>
      <w:r>
        <w:rPr>
          <w:spacing w:val="-3"/>
          <w:sz w:val="20"/>
        </w:rPr>
        <w:t>required</w:t>
      </w:r>
      <w:r>
        <w:rPr>
          <w:spacing w:val="-6"/>
          <w:sz w:val="20"/>
        </w:rPr>
        <w:t> </w:t>
      </w:r>
      <w:r>
        <w:rPr>
          <w:sz w:val="20"/>
        </w:rPr>
        <w:t>to</w:t>
      </w:r>
      <w:r>
        <w:rPr>
          <w:spacing w:val="-7"/>
          <w:sz w:val="20"/>
        </w:rPr>
        <w:t> </w:t>
      </w:r>
      <w:r>
        <w:rPr>
          <w:spacing w:val="-3"/>
          <w:sz w:val="20"/>
        </w:rPr>
        <w:t>refer</w:t>
      </w:r>
      <w:r>
        <w:rPr>
          <w:spacing w:val="-7"/>
          <w:sz w:val="20"/>
        </w:rPr>
        <w:t> </w:t>
      </w:r>
      <w:r>
        <w:rPr>
          <w:sz w:val="20"/>
        </w:rPr>
        <w:t>to them</w:t>
      </w:r>
      <w:r>
        <w:rPr>
          <w:spacing w:val="-4"/>
          <w:sz w:val="20"/>
        </w:rPr>
        <w:t> </w:t>
      </w:r>
      <w:r>
        <w:rPr>
          <w:spacing w:val="-3"/>
          <w:sz w:val="20"/>
        </w:rPr>
        <w:t>frequently’.</w:t>
      </w:r>
      <w:r>
        <w:rPr>
          <w:spacing w:val="-3"/>
          <w:position w:val="7"/>
          <w:sz w:val="11"/>
        </w:rPr>
        <w:t>18</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Blind </w:t>
      </w:r>
      <w:r>
        <w:rPr>
          <w:spacing w:val="-3"/>
          <w:sz w:val="20"/>
        </w:rPr>
        <w:t>Citizens </w:t>
      </w:r>
      <w:r>
        <w:rPr>
          <w:sz w:val="20"/>
        </w:rPr>
        <w:t>Australia commented</w:t>
      </w:r>
      <w:r>
        <w:rPr>
          <w:spacing w:val="-15"/>
          <w:sz w:val="20"/>
        </w:rPr>
        <w:t> </w:t>
      </w:r>
      <w:r>
        <w:rPr>
          <w:sz w:val="20"/>
        </w:rPr>
        <w:t>that:</w:t>
      </w:r>
    </w:p>
    <w:p>
      <w:pPr>
        <w:spacing w:line="208" w:lineRule="auto" w:before="113"/>
        <w:ind w:left="2157" w:right="1335" w:firstLine="0"/>
        <w:jc w:val="left"/>
        <w:rPr>
          <w:sz w:val="11"/>
        </w:rPr>
      </w:pPr>
      <w:r>
        <w:rPr>
          <w:sz w:val="19"/>
        </w:rPr>
        <w:t>facial expressions should be audio described. There might be times where a sighted person could see the facial expressions of the person giving evidence and make judgements about those details. These should also be described by the audio describer to the blind/visually impaired juror.</w:t>
      </w:r>
      <w:r>
        <w:rPr>
          <w:position w:val="6"/>
          <w:sz w:val="11"/>
        </w:rPr>
        <w:t>19</w:t>
      </w:r>
    </w:p>
    <w:p>
      <w:pPr>
        <w:spacing w:before="163"/>
        <w:ind w:left="967" w:right="0" w:firstLine="0"/>
        <w:jc w:val="left"/>
        <w:rPr>
          <w:b/>
          <w:sz w:val="24"/>
        </w:rPr>
      </w:pPr>
      <w:r>
        <w:rPr>
          <w:b/>
          <w:sz w:val="24"/>
        </w:rPr>
        <w:t>Readers and audio describers</w:t>
      </w:r>
    </w:p>
    <w:p>
      <w:pPr>
        <w:pStyle w:val="ListParagraph"/>
        <w:numPr>
          <w:ilvl w:val="1"/>
          <w:numId w:val="12"/>
        </w:numPr>
        <w:tabs>
          <w:tab w:pos="1761" w:val="left" w:leader="none"/>
          <w:tab w:pos="1762" w:val="left" w:leader="none"/>
        </w:tabs>
        <w:spacing w:line="206" w:lineRule="auto" w:before="127" w:after="0"/>
        <w:ind w:left="1761" w:right="1393" w:hanging="794"/>
        <w:jc w:val="left"/>
        <w:rPr>
          <w:sz w:val="20"/>
        </w:rPr>
      </w:pPr>
      <w:r>
        <w:rPr>
          <w:sz w:val="20"/>
        </w:rPr>
        <w:t>In</w:t>
      </w:r>
      <w:r>
        <w:rPr>
          <w:spacing w:val="-12"/>
          <w:sz w:val="20"/>
        </w:rPr>
        <w:t> </w:t>
      </w:r>
      <w:r>
        <w:rPr>
          <w:sz w:val="20"/>
        </w:rPr>
        <w:t>the</w:t>
      </w:r>
      <w:r>
        <w:rPr>
          <w:spacing w:val="-12"/>
          <w:sz w:val="20"/>
        </w:rPr>
        <w:t> </w:t>
      </w:r>
      <w:r>
        <w:rPr>
          <w:sz w:val="20"/>
        </w:rPr>
        <w:t>United</w:t>
      </w:r>
      <w:r>
        <w:rPr>
          <w:spacing w:val="-11"/>
          <w:sz w:val="20"/>
        </w:rPr>
        <w:t> </w:t>
      </w:r>
      <w:r>
        <w:rPr>
          <w:sz w:val="20"/>
        </w:rPr>
        <w:t>States,</w:t>
      </w:r>
      <w:r>
        <w:rPr>
          <w:spacing w:val="-12"/>
          <w:sz w:val="20"/>
        </w:rPr>
        <w:t> </w:t>
      </w:r>
      <w:r>
        <w:rPr>
          <w:sz w:val="20"/>
        </w:rPr>
        <w:t>a</w:t>
      </w:r>
      <w:r>
        <w:rPr>
          <w:spacing w:val="-11"/>
          <w:sz w:val="20"/>
        </w:rPr>
        <w:t> </w:t>
      </w:r>
      <w:r>
        <w:rPr>
          <w:sz w:val="20"/>
        </w:rPr>
        <w:t>‘qualified</w:t>
      </w:r>
      <w:r>
        <w:rPr>
          <w:spacing w:val="-12"/>
          <w:sz w:val="20"/>
        </w:rPr>
        <w:t> </w:t>
      </w:r>
      <w:r>
        <w:rPr>
          <w:sz w:val="20"/>
        </w:rPr>
        <w:t>reader’</w:t>
      </w:r>
      <w:r>
        <w:rPr>
          <w:spacing w:val="-11"/>
          <w:sz w:val="20"/>
        </w:rPr>
        <w:t> </w:t>
      </w:r>
      <w:r>
        <w:rPr>
          <w:sz w:val="20"/>
        </w:rPr>
        <w:t>is</w:t>
      </w:r>
      <w:r>
        <w:rPr>
          <w:spacing w:val="-12"/>
          <w:sz w:val="20"/>
        </w:rPr>
        <w:t> </w:t>
      </w:r>
      <w:r>
        <w:rPr>
          <w:sz w:val="20"/>
        </w:rPr>
        <w:t>a</w:t>
      </w:r>
      <w:r>
        <w:rPr>
          <w:spacing w:val="-11"/>
          <w:sz w:val="20"/>
        </w:rPr>
        <w:t> </w:t>
      </w:r>
      <w:r>
        <w:rPr>
          <w:sz w:val="20"/>
        </w:rPr>
        <w:t>support</w:t>
      </w:r>
      <w:r>
        <w:rPr>
          <w:spacing w:val="-12"/>
          <w:sz w:val="20"/>
        </w:rPr>
        <w:t> </w:t>
      </w:r>
      <w:r>
        <w:rPr>
          <w:sz w:val="20"/>
        </w:rPr>
        <w:t>person</w:t>
      </w:r>
      <w:r>
        <w:rPr>
          <w:spacing w:val="-11"/>
          <w:sz w:val="20"/>
        </w:rPr>
        <w:t> </w:t>
      </w:r>
      <w:r>
        <w:rPr>
          <w:sz w:val="20"/>
        </w:rPr>
        <w:t>specified</w:t>
      </w:r>
      <w:r>
        <w:rPr>
          <w:spacing w:val="-12"/>
          <w:sz w:val="20"/>
        </w:rPr>
        <w:t> </w:t>
      </w:r>
      <w:r>
        <w:rPr>
          <w:sz w:val="20"/>
        </w:rPr>
        <w:t>in</w:t>
      </w:r>
      <w:r>
        <w:rPr>
          <w:spacing w:val="-11"/>
          <w:sz w:val="20"/>
        </w:rPr>
        <w:t> </w:t>
      </w:r>
      <w:r>
        <w:rPr>
          <w:sz w:val="20"/>
        </w:rPr>
        <w:t>the</w:t>
      </w:r>
      <w:r>
        <w:rPr>
          <w:spacing w:val="-12"/>
          <w:sz w:val="20"/>
        </w:rPr>
        <w:t> </w:t>
      </w:r>
      <w:r>
        <w:rPr>
          <w:i/>
          <w:sz w:val="20"/>
        </w:rPr>
        <w:t>Americans </w:t>
      </w:r>
      <w:r>
        <w:rPr>
          <w:i/>
          <w:spacing w:val="-3"/>
          <w:sz w:val="20"/>
        </w:rPr>
        <w:t>with </w:t>
      </w:r>
      <w:r>
        <w:rPr>
          <w:i/>
          <w:sz w:val="20"/>
        </w:rPr>
        <w:t>Disabilities Act</w:t>
      </w:r>
      <w:r>
        <w:rPr>
          <w:sz w:val="20"/>
        </w:rPr>
        <w:t>.</w:t>
      </w:r>
      <w:r>
        <w:rPr>
          <w:position w:val="7"/>
          <w:sz w:val="11"/>
        </w:rPr>
        <w:t>20 </w:t>
      </w:r>
      <w:r>
        <w:rPr>
          <w:sz w:val="20"/>
        </w:rPr>
        <w:t>It is defined as ‘someone who is able to </w:t>
      </w:r>
      <w:r>
        <w:rPr>
          <w:spacing w:val="-3"/>
          <w:sz w:val="20"/>
        </w:rPr>
        <w:t>read effectively, </w:t>
      </w:r>
      <w:r>
        <w:rPr>
          <w:spacing w:val="-4"/>
          <w:sz w:val="20"/>
        </w:rPr>
        <w:t>accurately, </w:t>
      </w:r>
      <w:r>
        <w:rPr>
          <w:sz w:val="20"/>
        </w:rPr>
        <w:t>and </w:t>
      </w:r>
      <w:r>
        <w:rPr>
          <w:spacing w:val="-3"/>
          <w:sz w:val="20"/>
        </w:rPr>
        <w:t>impartially, </w:t>
      </w:r>
      <w:r>
        <w:rPr>
          <w:sz w:val="20"/>
        </w:rPr>
        <w:t>using </w:t>
      </w:r>
      <w:r>
        <w:rPr>
          <w:spacing w:val="-3"/>
          <w:sz w:val="20"/>
        </w:rPr>
        <w:t>any </w:t>
      </w:r>
      <w:r>
        <w:rPr>
          <w:sz w:val="20"/>
        </w:rPr>
        <w:t>necessary specialized vocabulary’.</w:t>
      </w:r>
      <w:r>
        <w:rPr>
          <w:position w:val="7"/>
          <w:sz w:val="11"/>
        </w:rPr>
        <w:t>21 </w:t>
      </w:r>
      <w:r>
        <w:rPr>
          <w:sz w:val="20"/>
        </w:rPr>
        <w:t>The qualifications</w:t>
      </w:r>
      <w:r>
        <w:rPr>
          <w:spacing w:val="-6"/>
          <w:sz w:val="20"/>
        </w:rPr>
        <w:t> </w:t>
      </w:r>
      <w:r>
        <w:rPr>
          <w:sz w:val="20"/>
        </w:rPr>
        <w:t>for</w:t>
      </w:r>
      <w:r>
        <w:rPr>
          <w:spacing w:val="-5"/>
          <w:sz w:val="20"/>
        </w:rPr>
        <w:t> </w:t>
      </w:r>
      <w:r>
        <w:rPr>
          <w:sz w:val="20"/>
        </w:rPr>
        <w:t>a</w:t>
      </w:r>
      <w:r>
        <w:rPr>
          <w:spacing w:val="-5"/>
          <w:sz w:val="20"/>
        </w:rPr>
        <w:t> </w:t>
      </w:r>
      <w:r>
        <w:rPr>
          <w:sz w:val="20"/>
        </w:rPr>
        <w:t>‘qualified</w:t>
      </w:r>
      <w:r>
        <w:rPr>
          <w:spacing w:val="-6"/>
          <w:sz w:val="20"/>
        </w:rPr>
        <w:t> </w:t>
      </w:r>
      <w:r>
        <w:rPr>
          <w:sz w:val="20"/>
        </w:rPr>
        <w:t>reader’</w:t>
      </w:r>
      <w:r>
        <w:rPr>
          <w:spacing w:val="-5"/>
          <w:sz w:val="20"/>
        </w:rPr>
        <w:t> </w:t>
      </w:r>
      <w:r>
        <w:rPr>
          <w:spacing w:val="-3"/>
          <w:sz w:val="20"/>
        </w:rPr>
        <w:t>are</w:t>
      </w:r>
      <w:r>
        <w:rPr>
          <w:spacing w:val="-5"/>
          <w:sz w:val="20"/>
        </w:rPr>
        <w:t> </w:t>
      </w:r>
      <w:r>
        <w:rPr>
          <w:sz w:val="20"/>
        </w:rPr>
        <w:t>outlined</w:t>
      </w:r>
      <w:r>
        <w:rPr>
          <w:spacing w:val="-6"/>
          <w:sz w:val="20"/>
        </w:rPr>
        <w:t> </w:t>
      </w:r>
      <w:r>
        <w:rPr>
          <w:sz w:val="20"/>
        </w:rPr>
        <w:t>in</w:t>
      </w:r>
      <w:r>
        <w:rPr>
          <w:spacing w:val="-5"/>
          <w:sz w:val="20"/>
        </w:rPr>
        <w:t> </w:t>
      </w:r>
      <w:r>
        <w:rPr>
          <w:sz w:val="20"/>
        </w:rPr>
        <w:t>case</w:t>
      </w:r>
      <w:r>
        <w:rPr>
          <w:spacing w:val="-5"/>
          <w:sz w:val="20"/>
        </w:rPr>
        <w:t> law.</w:t>
      </w:r>
    </w:p>
    <w:p>
      <w:pPr>
        <w:pStyle w:val="ListParagraph"/>
        <w:numPr>
          <w:ilvl w:val="1"/>
          <w:numId w:val="12"/>
        </w:numPr>
        <w:tabs>
          <w:tab w:pos="1761" w:val="left" w:leader="none"/>
          <w:tab w:pos="1762" w:val="left" w:leader="none"/>
        </w:tabs>
        <w:spacing w:line="206" w:lineRule="auto" w:before="125" w:after="0"/>
        <w:ind w:left="1761" w:right="1411" w:hanging="794"/>
        <w:jc w:val="left"/>
        <w:rPr>
          <w:sz w:val="20"/>
        </w:rPr>
      </w:pPr>
      <w:r>
        <w:rPr>
          <w:sz w:val="20"/>
        </w:rPr>
        <w:t>An audio describer is another </w:t>
      </w:r>
      <w:r>
        <w:rPr>
          <w:spacing w:val="-3"/>
          <w:sz w:val="20"/>
        </w:rPr>
        <w:t>role </w:t>
      </w:r>
      <w:r>
        <w:rPr>
          <w:sz w:val="20"/>
        </w:rPr>
        <w:t>that </w:t>
      </w:r>
      <w:r>
        <w:rPr>
          <w:spacing w:val="-3"/>
          <w:sz w:val="20"/>
        </w:rPr>
        <w:t>may </w:t>
      </w:r>
      <w:r>
        <w:rPr>
          <w:sz w:val="20"/>
        </w:rPr>
        <w:t>assist a person who is blind or has </w:t>
      </w:r>
      <w:r>
        <w:rPr>
          <w:spacing w:val="-4"/>
          <w:sz w:val="20"/>
        </w:rPr>
        <w:t>low </w:t>
      </w:r>
      <w:r>
        <w:rPr>
          <w:sz w:val="20"/>
        </w:rPr>
        <w:t>vision. An audio describer is a professional who can communicate the contents of visual</w:t>
      </w:r>
      <w:r>
        <w:rPr>
          <w:spacing w:val="-10"/>
          <w:sz w:val="20"/>
        </w:rPr>
        <w:t> </w:t>
      </w:r>
      <w:r>
        <w:rPr>
          <w:sz w:val="20"/>
        </w:rPr>
        <w:t>evidence</w:t>
      </w:r>
      <w:r>
        <w:rPr>
          <w:spacing w:val="-10"/>
          <w:sz w:val="20"/>
        </w:rPr>
        <w:t> </w:t>
      </w:r>
      <w:r>
        <w:rPr>
          <w:sz w:val="20"/>
        </w:rPr>
        <w:t>to</w:t>
      </w:r>
      <w:r>
        <w:rPr>
          <w:spacing w:val="-10"/>
          <w:sz w:val="20"/>
        </w:rPr>
        <w:t> </w:t>
      </w:r>
      <w:r>
        <w:rPr>
          <w:sz w:val="20"/>
        </w:rPr>
        <w:t>a</w:t>
      </w:r>
      <w:r>
        <w:rPr>
          <w:spacing w:val="-10"/>
          <w:sz w:val="20"/>
        </w:rPr>
        <w:t> </w:t>
      </w:r>
      <w:r>
        <w:rPr>
          <w:sz w:val="20"/>
        </w:rPr>
        <w:t>person</w:t>
      </w:r>
      <w:r>
        <w:rPr>
          <w:spacing w:val="-10"/>
          <w:sz w:val="20"/>
        </w:rPr>
        <w:t> </w:t>
      </w:r>
      <w:r>
        <w:rPr>
          <w:sz w:val="20"/>
        </w:rPr>
        <w:t>who</w:t>
      </w:r>
      <w:r>
        <w:rPr>
          <w:spacing w:val="-9"/>
          <w:sz w:val="20"/>
        </w:rPr>
        <w:t> </w:t>
      </w:r>
      <w:r>
        <w:rPr>
          <w:sz w:val="20"/>
        </w:rPr>
        <w:t>is</w:t>
      </w:r>
      <w:r>
        <w:rPr>
          <w:spacing w:val="-10"/>
          <w:sz w:val="20"/>
        </w:rPr>
        <w:t> </w:t>
      </w:r>
      <w:r>
        <w:rPr>
          <w:sz w:val="20"/>
        </w:rPr>
        <w:t>blind</w:t>
      </w:r>
      <w:r>
        <w:rPr>
          <w:spacing w:val="-10"/>
          <w:sz w:val="20"/>
        </w:rPr>
        <w:t> </w:t>
      </w:r>
      <w:r>
        <w:rPr>
          <w:sz w:val="20"/>
        </w:rPr>
        <w:t>or</w:t>
      </w:r>
      <w:r>
        <w:rPr>
          <w:spacing w:val="-10"/>
          <w:sz w:val="20"/>
        </w:rPr>
        <w:t> </w:t>
      </w:r>
      <w:r>
        <w:rPr>
          <w:sz w:val="20"/>
        </w:rPr>
        <w:t>has</w:t>
      </w:r>
      <w:r>
        <w:rPr>
          <w:spacing w:val="-10"/>
          <w:sz w:val="20"/>
        </w:rPr>
        <w:t> </w:t>
      </w:r>
      <w:r>
        <w:rPr>
          <w:spacing w:val="-4"/>
          <w:sz w:val="20"/>
        </w:rPr>
        <w:t>low</w:t>
      </w:r>
      <w:r>
        <w:rPr>
          <w:spacing w:val="-10"/>
          <w:sz w:val="20"/>
        </w:rPr>
        <w:t> </w:t>
      </w:r>
      <w:r>
        <w:rPr>
          <w:sz w:val="20"/>
        </w:rPr>
        <w:t>vision.</w:t>
      </w:r>
      <w:r>
        <w:rPr>
          <w:spacing w:val="-9"/>
          <w:sz w:val="20"/>
        </w:rPr>
        <w:t> </w:t>
      </w:r>
      <w:r>
        <w:rPr>
          <w:sz w:val="20"/>
        </w:rPr>
        <w:t>Audio</w:t>
      </w:r>
      <w:r>
        <w:rPr>
          <w:spacing w:val="-10"/>
          <w:sz w:val="20"/>
        </w:rPr>
        <w:t> </w:t>
      </w:r>
      <w:r>
        <w:rPr>
          <w:sz w:val="20"/>
        </w:rPr>
        <w:t>description</w:t>
      </w:r>
      <w:r>
        <w:rPr>
          <w:spacing w:val="-10"/>
          <w:sz w:val="20"/>
        </w:rPr>
        <w:t> </w:t>
      </w:r>
      <w:r>
        <w:rPr>
          <w:sz w:val="20"/>
        </w:rPr>
        <w:t>has</w:t>
      </w:r>
      <w:r>
        <w:rPr>
          <w:spacing w:val="-10"/>
          <w:sz w:val="20"/>
        </w:rPr>
        <w:t> </w:t>
      </w:r>
      <w:r>
        <w:rPr>
          <w:sz w:val="20"/>
        </w:rPr>
        <w:t>been defined in the United </w:t>
      </w:r>
      <w:r>
        <w:rPr>
          <w:spacing w:val="-3"/>
          <w:sz w:val="20"/>
        </w:rPr>
        <w:t>States </w:t>
      </w:r>
      <w:r>
        <w:rPr>
          <w:sz w:val="20"/>
        </w:rPr>
        <w:t>context</w:t>
      </w:r>
      <w:r>
        <w:rPr>
          <w:spacing w:val="-24"/>
          <w:sz w:val="20"/>
        </w:rPr>
        <w:t> </w:t>
      </w:r>
      <w:r>
        <w:rPr>
          <w:sz w:val="20"/>
        </w:rPr>
        <w:t>as:</w:t>
      </w:r>
    </w:p>
    <w:p>
      <w:pPr>
        <w:spacing w:line="208" w:lineRule="auto" w:before="123"/>
        <w:ind w:left="2157" w:right="1202" w:firstLine="0"/>
        <w:jc w:val="left"/>
        <w:rPr>
          <w:sz w:val="11"/>
        </w:rPr>
      </w:pPr>
      <w:r>
        <w:rPr>
          <w:sz w:val="19"/>
        </w:rPr>
        <w:t>a service that provides a succinct and precise account of visual information to people who are blind or have low vision.</w:t>
      </w:r>
      <w:r>
        <w:rPr>
          <w:position w:val="6"/>
          <w:sz w:val="11"/>
        </w:rPr>
        <w:t>22</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In the arts, audio</w:t>
      </w:r>
      <w:r>
        <w:rPr>
          <w:spacing w:val="-17"/>
          <w:sz w:val="20"/>
        </w:rPr>
        <w:t> </w:t>
      </w:r>
      <w:r>
        <w:rPr>
          <w:sz w:val="20"/>
        </w:rPr>
        <w:t>description:</w:t>
      </w:r>
    </w:p>
    <w:p>
      <w:pPr>
        <w:spacing w:before="84"/>
        <w:ind w:left="2157" w:right="0" w:firstLine="0"/>
        <w:jc w:val="left"/>
        <w:rPr>
          <w:sz w:val="19"/>
        </w:rPr>
      </w:pPr>
      <w:r>
        <w:rPr>
          <w:sz w:val="19"/>
        </w:rPr>
        <w:t>informs the listener about facial expressions, body language, physical comedy, dance</w:t>
      </w:r>
    </w:p>
    <w:p>
      <w:pPr>
        <w:pStyle w:val="BodyText"/>
        <w:spacing w:before="2"/>
        <w:rPr>
          <w:sz w:val="17"/>
        </w:rPr>
      </w:pPr>
      <w:r>
        <w:rPr/>
        <w:pict>
          <v:line style="position:absolute;mso-position-horizontal-relative:page;mso-position-vertical-relative:paragraph;z-index:9152;mso-wrap-distance-left:0;mso-wrap-distance-right:0" from="79.370102pt,14.35554pt" to="515.905102pt,14.35554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04"/>
        </w:numPr>
        <w:tabs>
          <w:tab w:pos="1761" w:val="left" w:leader="none"/>
          <w:tab w:pos="1762" w:val="left" w:leader="none"/>
        </w:tabs>
        <w:spacing w:line="170" w:lineRule="exact" w:before="21" w:after="0"/>
        <w:ind w:left="1761" w:right="0" w:hanging="794"/>
        <w:jc w:val="left"/>
        <w:rPr>
          <w:sz w:val="13"/>
        </w:rPr>
      </w:pPr>
      <w:r>
        <w:rPr>
          <w:sz w:val="13"/>
        </w:rPr>
        <w:t>Information</w:t>
      </w:r>
      <w:r>
        <w:rPr>
          <w:spacing w:val="5"/>
          <w:sz w:val="13"/>
        </w:rPr>
        <w:t> </w:t>
      </w:r>
      <w:r>
        <w:rPr>
          <w:sz w:val="13"/>
        </w:rPr>
        <w:t>provided</w:t>
      </w:r>
      <w:r>
        <w:rPr>
          <w:spacing w:val="6"/>
          <w:sz w:val="13"/>
        </w:rPr>
        <w:t> </w:t>
      </w:r>
      <w:r>
        <w:rPr>
          <w:sz w:val="13"/>
        </w:rPr>
        <w:t>by</w:t>
      </w:r>
      <w:r>
        <w:rPr>
          <w:spacing w:val="6"/>
          <w:sz w:val="13"/>
        </w:rPr>
        <w:t> </w:t>
      </w:r>
      <w:r>
        <w:rPr>
          <w:sz w:val="13"/>
        </w:rPr>
        <w:t>ACT</w:t>
      </w:r>
      <w:r>
        <w:rPr>
          <w:spacing w:val="6"/>
          <w:sz w:val="13"/>
        </w:rPr>
        <w:t> </w:t>
      </w:r>
      <w:r>
        <w:rPr>
          <w:sz w:val="13"/>
        </w:rPr>
        <w:t>Sheriff</w:t>
      </w:r>
      <w:r>
        <w:rPr>
          <w:spacing w:val="5"/>
          <w:sz w:val="13"/>
        </w:rPr>
        <w:t> </w:t>
      </w:r>
      <w:r>
        <w:rPr>
          <w:sz w:val="13"/>
        </w:rPr>
        <w:t>to</w:t>
      </w:r>
      <w:r>
        <w:rPr>
          <w:spacing w:val="6"/>
          <w:sz w:val="13"/>
        </w:rPr>
        <w:t> </w:t>
      </w:r>
      <w:r>
        <w:rPr>
          <w:sz w:val="13"/>
        </w:rPr>
        <w:t>Victorian</w:t>
      </w:r>
      <w:r>
        <w:rPr>
          <w:spacing w:val="6"/>
          <w:sz w:val="13"/>
        </w:rPr>
        <w:t> </w:t>
      </w:r>
      <w:r>
        <w:rPr>
          <w:sz w:val="13"/>
        </w:rPr>
        <w:t>Law</w:t>
      </w:r>
      <w:r>
        <w:rPr>
          <w:spacing w:val="6"/>
          <w:sz w:val="13"/>
        </w:rPr>
        <w:t> </w:t>
      </w:r>
      <w:r>
        <w:rPr>
          <w:sz w:val="13"/>
        </w:rPr>
        <w:t>Reform</w:t>
      </w:r>
      <w:r>
        <w:rPr>
          <w:spacing w:val="5"/>
          <w:sz w:val="13"/>
        </w:rPr>
        <w:t> </w:t>
      </w:r>
      <w:r>
        <w:rPr>
          <w:spacing w:val="2"/>
          <w:sz w:val="13"/>
        </w:rPr>
        <w:t>Commission,</w:t>
      </w:r>
      <w:r>
        <w:rPr>
          <w:spacing w:val="6"/>
          <w:sz w:val="13"/>
        </w:rPr>
        <w:t> </w:t>
      </w:r>
      <w:r>
        <w:rPr>
          <w:sz w:val="13"/>
        </w:rPr>
        <w:t>4</w:t>
      </w:r>
      <w:r>
        <w:rPr>
          <w:spacing w:val="6"/>
          <w:sz w:val="13"/>
        </w:rPr>
        <w:t> </w:t>
      </w:r>
      <w:r>
        <w:rPr>
          <w:sz w:val="13"/>
        </w:rPr>
        <w:t>August</w:t>
      </w:r>
      <w:r>
        <w:rPr>
          <w:spacing w:val="6"/>
          <w:sz w:val="13"/>
        </w:rPr>
        <w:t> </w:t>
      </w:r>
      <w:r>
        <w:rPr>
          <w:sz w:val="13"/>
        </w:rPr>
        <w:t>2021;</w:t>
      </w:r>
      <w:r>
        <w:rPr>
          <w:spacing w:val="6"/>
          <w:sz w:val="13"/>
        </w:rPr>
        <w:t> </w:t>
      </w:r>
      <w:r>
        <w:rPr>
          <w:sz w:val="13"/>
        </w:rPr>
        <w:t>Information</w:t>
      </w:r>
      <w:r>
        <w:rPr>
          <w:spacing w:val="5"/>
          <w:sz w:val="13"/>
        </w:rPr>
        <w:t> </w:t>
      </w:r>
      <w:r>
        <w:rPr>
          <w:sz w:val="13"/>
        </w:rPr>
        <w:t>provided</w:t>
      </w:r>
      <w:r>
        <w:rPr>
          <w:spacing w:val="6"/>
          <w:sz w:val="13"/>
        </w:rPr>
        <w:t> </w:t>
      </w:r>
      <w:r>
        <w:rPr>
          <w:sz w:val="13"/>
        </w:rPr>
        <w:t>by</w:t>
      </w:r>
      <w:r>
        <w:rPr>
          <w:spacing w:val="6"/>
          <w:sz w:val="13"/>
        </w:rPr>
        <w:t> </w:t>
      </w:r>
      <w:r>
        <w:rPr>
          <w:sz w:val="13"/>
        </w:rPr>
        <w:t>ACT</w:t>
      </w:r>
      <w:r>
        <w:rPr>
          <w:spacing w:val="6"/>
          <w:sz w:val="13"/>
        </w:rPr>
        <w:t> </w:t>
      </w:r>
      <w:r>
        <w:rPr>
          <w:sz w:val="13"/>
        </w:rPr>
        <w:t>Sheriff</w:t>
      </w:r>
      <w:r>
        <w:rPr>
          <w:spacing w:val="5"/>
          <w:sz w:val="13"/>
        </w:rPr>
        <w:t> </w:t>
      </w:r>
      <w:r>
        <w:rPr>
          <w:sz w:val="13"/>
        </w:rPr>
        <w:t>to</w:t>
      </w:r>
    </w:p>
    <w:p>
      <w:pPr>
        <w:spacing w:line="160" w:lineRule="exact" w:before="0"/>
        <w:ind w:left="1761" w:right="0" w:firstLine="0"/>
        <w:jc w:val="left"/>
        <w:rPr>
          <w:sz w:val="13"/>
        </w:rPr>
      </w:pPr>
      <w:r>
        <w:rPr>
          <w:sz w:val="13"/>
        </w:rPr>
        <w:t>Victorian Law Reform Commission, 16 September 2020.</w:t>
      </w:r>
    </w:p>
    <w:p>
      <w:pPr>
        <w:pStyle w:val="ListParagraph"/>
        <w:numPr>
          <w:ilvl w:val="0"/>
          <w:numId w:val="104"/>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104"/>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104"/>
        </w:numPr>
        <w:tabs>
          <w:tab w:pos="1760" w:val="left" w:leader="none"/>
          <w:tab w:pos="1762" w:val="left" w:leader="none"/>
        </w:tabs>
        <w:spacing w:line="160" w:lineRule="exact" w:before="0" w:after="0"/>
        <w:ind w:left="1761" w:right="0" w:hanging="794"/>
        <w:jc w:val="left"/>
        <w:rPr>
          <w:sz w:val="13"/>
        </w:rPr>
      </w:pPr>
      <w:r>
        <w:rPr>
          <w:sz w:val="13"/>
        </w:rPr>
        <w:t>Consultation 1 </w:t>
      </w:r>
      <w:r>
        <w:rPr>
          <w:spacing w:val="2"/>
          <w:sz w:val="13"/>
        </w:rPr>
        <w:t>(Blind </w:t>
      </w:r>
      <w:r>
        <w:rPr>
          <w:sz w:val="13"/>
        </w:rPr>
        <w:t>Citizens</w:t>
      </w:r>
      <w:r>
        <w:rPr>
          <w:spacing w:val="-1"/>
          <w:sz w:val="13"/>
        </w:rPr>
        <w:t> </w:t>
      </w:r>
      <w:r>
        <w:rPr>
          <w:sz w:val="13"/>
        </w:rPr>
        <w:t>Australia).</w:t>
      </w:r>
    </w:p>
    <w:p>
      <w:pPr>
        <w:pStyle w:val="ListParagraph"/>
        <w:numPr>
          <w:ilvl w:val="0"/>
          <w:numId w:val="104"/>
        </w:numPr>
        <w:tabs>
          <w:tab w:pos="1760" w:val="left" w:leader="none"/>
          <w:tab w:pos="1762" w:val="left" w:leader="none"/>
        </w:tabs>
        <w:spacing w:line="160" w:lineRule="exact" w:before="0" w:after="0"/>
        <w:ind w:left="1761" w:right="0" w:hanging="794"/>
        <w:jc w:val="left"/>
        <w:rPr>
          <w:i/>
          <w:sz w:val="13"/>
        </w:rPr>
      </w:pPr>
      <w:r>
        <w:rPr>
          <w:spacing w:val="2"/>
          <w:sz w:val="13"/>
        </w:rPr>
        <w:t>Disability</w:t>
      </w:r>
      <w:r>
        <w:rPr>
          <w:spacing w:val="6"/>
          <w:sz w:val="13"/>
        </w:rPr>
        <w:t> </w:t>
      </w:r>
      <w:r>
        <w:rPr>
          <w:sz w:val="13"/>
        </w:rPr>
        <w:t>Rights</w:t>
      </w:r>
      <w:r>
        <w:rPr>
          <w:spacing w:val="7"/>
          <w:sz w:val="13"/>
        </w:rPr>
        <w:t> </w:t>
      </w:r>
      <w:r>
        <w:rPr>
          <w:spacing w:val="2"/>
          <w:sz w:val="13"/>
        </w:rPr>
        <w:t>Section,</w:t>
      </w:r>
      <w:r>
        <w:rPr>
          <w:spacing w:val="7"/>
          <w:sz w:val="13"/>
        </w:rPr>
        <w:t> </w:t>
      </w:r>
      <w:r>
        <w:rPr>
          <w:sz w:val="13"/>
        </w:rPr>
        <w:t>Civil</w:t>
      </w:r>
      <w:r>
        <w:rPr>
          <w:spacing w:val="7"/>
          <w:sz w:val="13"/>
        </w:rPr>
        <w:t> </w:t>
      </w:r>
      <w:r>
        <w:rPr>
          <w:sz w:val="13"/>
        </w:rPr>
        <w:t>Rights</w:t>
      </w:r>
      <w:r>
        <w:rPr>
          <w:spacing w:val="7"/>
          <w:sz w:val="13"/>
        </w:rPr>
        <w:t> </w:t>
      </w:r>
      <w:r>
        <w:rPr>
          <w:spacing w:val="2"/>
          <w:sz w:val="13"/>
        </w:rPr>
        <w:t>Division,</w:t>
      </w:r>
      <w:r>
        <w:rPr>
          <w:spacing w:val="6"/>
          <w:sz w:val="13"/>
        </w:rPr>
        <w:t> </w:t>
      </w:r>
      <w:r>
        <w:rPr>
          <w:sz w:val="13"/>
        </w:rPr>
        <w:t>United</w:t>
      </w:r>
      <w:r>
        <w:rPr>
          <w:spacing w:val="7"/>
          <w:sz w:val="13"/>
        </w:rPr>
        <w:t> </w:t>
      </w:r>
      <w:r>
        <w:rPr>
          <w:sz w:val="13"/>
        </w:rPr>
        <w:t>States</w:t>
      </w:r>
      <w:r>
        <w:rPr>
          <w:spacing w:val="7"/>
          <w:sz w:val="13"/>
        </w:rPr>
        <w:t> </w:t>
      </w:r>
      <w:r>
        <w:rPr>
          <w:spacing w:val="2"/>
          <w:sz w:val="13"/>
        </w:rPr>
        <w:t>Department</w:t>
      </w:r>
      <w:r>
        <w:rPr>
          <w:spacing w:val="7"/>
          <w:sz w:val="13"/>
        </w:rPr>
        <w:t> </w:t>
      </w:r>
      <w:r>
        <w:rPr>
          <w:sz w:val="13"/>
        </w:rPr>
        <w:t>of</w:t>
      </w:r>
      <w:r>
        <w:rPr>
          <w:spacing w:val="7"/>
          <w:sz w:val="13"/>
        </w:rPr>
        <w:t> </w:t>
      </w:r>
      <w:r>
        <w:rPr>
          <w:sz w:val="13"/>
        </w:rPr>
        <w:t>Justice,</w:t>
      </w:r>
      <w:r>
        <w:rPr>
          <w:spacing w:val="7"/>
          <w:sz w:val="13"/>
        </w:rPr>
        <w:t> </w:t>
      </w:r>
      <w:r>
        <w:rPr>
          <w:sz w:val="13"/>
        </w:rPr>
        <w:t>‘Effective</w:t>
      </w:r>
      <w:r>
        <w:rPr>
          <w:spacing w:val="6"/>
          <w:sz w:val="13"/>
        </w:rPr>
        <w:t> </w:t>
      </w:r>
      <w:r>
        <w:rPr>
          <w:sz w:val="13"/>
        </w:rPr>
        <w:t>Communication’,</w:t>
      </w:r>
      <w:r>
        <w:rPr>
          <w:spacing w:val="7"/>
          <w:sz w:val="13"/>
        </w:rPr>
        <w:t> </w:t>
      </w:r>
      <w:r>
        <w:rPr>
          <w:i/>
          <w:sz w:val="13"/>
        </w:rPr>
        <w:t>ADA</w:t>
      </w:r>
      <w:r>
        <w:rPr>
          <w:i/>
          <w:spacing w:val="6"/>
          <w:sz w:val="13"/>
        </w:rPr>
        <w:t> </w:t>
      </w:r>
      <w:r>
        <w:rPr>
          <w:i/>
          <w:sz w:val="13"/>
        </w:rPr>
        <w:t>Requirements</w:t>
      </w:r>
    </w:p>
    <w:p>
      <w:pPr>
        <w:spacing w:line="160" w:lineRule="exact" w:before="0"/>
        <w:ind w:left="1761" w:right="0" w:firstLine="0"/>
        <w:jc w:val="left"/>
        <w:rPr>
          <w:sz w:val="13"/>
        </w:rPr>
      </w:pPr>
      <w:r>
        <w:rPr>
          <w:sz w:val="13"/>
        </w:rPr>
        <w:t>(Web Page) &lt;</w:t>
      </w:r>
      <w:hyperlink r:id="rId232">
        <w:r>
          <w:rPr>
            <w:sz w:val="13"/>
          </w:rPr>
          <w:t>https://www.ada.gov/effective-comm.htm</w:t>
        </w:r>
      </w:hyperlink>
      <w:r>
        <w:rPr>
          <w:sz w:val="13"/>
        </w:rPr>
        <w:t>&gt;.</w:t>
      </w:r>
    </w:p>
    <w:p>
      <w:pPr>
        <w:pStyle w:val="ListParagraph"/>
        <w:numPr>
          <w:ilvl w:val="0"/>
          <w:numId w:val="104"/>
        </w:numPr>
        <w:tabs>
          <w:tab w:pos="1760"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104"/>
        </w:numPr>
        <w:tabs>
          <w:tab w:pos="1760" w:val="left" w:leader="none"/>
          <w:tab w:pos="1762" w:val="left" w:leader="none"/>
        </w:tabs>
        <w:spacing w:line="170" w:lineRule="exact" w:before="0" w:after="0"/>
        <w:ind w:left="1761" w:right="0" w:hanging="794"/>
        <w:jc w:val="left"/>
        <w:rPr>
          <w:sz w:val="13"/>
        </w:rPr>
      </w:pPr>
      <w:r>
        <w:rPr>
          <w:spacing w:val="2"/>
          <w:sz w:val="13"/>
        </w:rPr>
        <w:t>‘What</w:t>
      </w:r>
      <w:r>
        <w:rPr>
          <w:spacing w:val="10"/>
          <w:sz w:val="13"/>
        </w:rPr>
        <w:t> </w:t>
      </w:r>
      <w:r>
        <w:rPr>
          <w:sz w:val="13"/>
        </w:rPr>
        <w:t>Is</w:t>
      </w:r>
      <w:r>
        <w:rPr>
          <w:spacing w:val="10"/>
          <w:sz w:val="13"/>
        </w:rPr>
        <w:t> </w:t>
      </w:r>
      <w:r>
        <w:rPr>
          <w:sz w:val="13"/>
        </w:rPr>
        <w:t>Audio</w:t>
      </w:r>
      <w:r>
        <w:rPr>
          <w:spacing w:val="10"/>
          <w:sz w:val="13"/>
        </w:rPr>
        <w:t> </w:t>
      </w:r>
      <w:r>
        <w:rPr>
          <w:sz w:val="13"/>
        </w:rPr>
        <w:t>Description?’,</w:t>
      </w:r>
      <w:r>
        <w:rPr>
          <w:spacing w:val="11"/>
          <w:sz w:val="13"/>
        </w:rPr>
        <w:t> </w:t>
      </w:r>
      <w:r>
        <w:rPr>
          <w:i/>
          <w:sz w:val="13"/>
        </w:rPr>
        <w:t>Audio</w:t>
      </w:r>
      <w:r>
        <w:rPr>
          <w:i/>
          <w:spacing w:val="9"/>
          <w:sz w:val="13"/>
        </w:rPr>
        <w:t> </w:t>
      </w:r>
      <w:r>
        <w:rPr>
          <w:i/>
          <w:sz w:val="13"/>
        </w:rPr>
        <w:t>Description</w:t>
      </w:r>
      <w:r>
        <w:rPr>
          <w:i/>
          <w:spacing w:val="10"/>
          <w:sz w:val="13"/>
        </w:rPr>
        <w:t> </w:t>
      </w:r>
      <w:r>
        <w:rPr>
          <w:i/>
          <w:sz w:val="13"/>
        </w:rPr>
        <w:t>Training</w:t>
      </w:r>
      <w:r>
        <w:rPr>
          <w:i/>
          <w:spacing w:val="10"/>
          <w:sz w:val="13"/>
        </w:rPr>
        <w:t> </w:t>
      </w:r>
      <w:r>
        <w:rPr>
          <w:i/>
          <w:sz w:val="13"/>
        </w:rPr>
        <w:t>Retreats</w:t>
      </w:r>
      <w:r>
        <w:rPr>
          <w:i/>
          <w:spacing w:val="10"/>
          <w:sz w:val="13"/>
        </w:rPr>
        <w:t> </w:t>
      </w:r>
      <w:r>
        <w:rPr>
          <w:sz w:val="13"/>
        </w:rPr>
        <w:t>(Web</w:t>
      </w:r>
      <w:r>
        <w:rPr>
          <w:spacing w:val="10"/>
          <w:sz w:val="13"/>
        </w:rPr>
        <w:t> </w:t>
      </w:r>
      <w:r>
        <w:rPr>
          <w:sz w:val="13"/>
        </w:rPr>
        <w:t>Page)</w:t>
      </w:r>
      <w:r>
        <w:rPr>
          <w:spacing w:val="11"/>
          <w:sz w:val="13"/>
        </w:rPr>
        <w:t> </w:t>
      </w:r>
      <w:r>
        <w:rPr>
          <w:sz w:val="13"/>
        </w:rPr>
        <w:t>&lt;</w:t>
      </w:r>
      <w:hyperlink r:id="rId233">
        <w:r>
          <w:rPr>
            <w:sz w:val="13"/>
          </w:rPr>
          <w:t>http://www.adtrainingretreats.com/aboutad.php</w:t>
        </w:r>
      </w:hyperlink>
      <w:r>
        <w:rPr>
          <w:sz w:val="13"/>
        </w:rPr>
        <w:t>&gt;.</w:t>
      </w:r>
    </w:p>
    <w:p>
      <w:pPr>
        <w:pStyle w:val="BodyText"/>
        <w:rPr>
          <w:sz w:val="28"/>
        </w:rPr>
      </w:pPr>
      <w:r>
        <w:rPr/>
        <w:br w:type="column"/>
      </w:r>
      <w:r>
        <w:rPr>
          <w:sz w:val="28"/>
        </w:rPr>
      </w:r>
    </w:p>
    <w:p>
      <w:pPr>
        <w:pStyle w:val="BodyText"/>
        <w:rPr>
          <w:sz w:val="28"/>
        </w:rPr>
      </w:pPr>
    </w:p>
    <w:p>
      <w:pPr>
        <w:pStyle w:val="BodyText"/>
        <w:spacing w:before="8"/>
        <w:rPr>
          <w:sz w:val="28"/>
        </w:rPr>
      </w:pPr>
    </w:p>
    <w:p>
      <w:pPr>
        <w:spacing w:before="0"/>
        <w:ind w:left="587" w:right="0" w:firstLine="0"/>
        <w:jc w:val="left"/>
        <w:rPr>
          <w:b/>
          <w:sz w:val="24"/>
        </w:rPr>
      </w:pPr>
      <w:r>
        <w:rPr>
          <w:b/>
          <w:color w:val="37617A"/>
          <w:sz w:val="24"/>
        </w:rPr>
        <w:t>173</w:t>
      </w:r>
    </w:p>
    <w:p>
      <w:pPr>
        <w:spacing w:after="0"/>
        <w:jc w:val="left"/>
        <w:rPr>
          <w:sz w:val="24"/>
        </w:rPr>
        <w:sectPr>
          <w:type w:val="continuous"/>
          <w:pgSz w:w="11910" w:h="16840"/>
          <w:pgMar w:top="620" w:bottom="280" w:left="620" w:right="380"/>
          <w:cols w:num="2" w:equalWidth="0">
            <w:col w:w="9677" w:space="40"/>
            <w:col w:w="1193"/>
          </w:cols>
        </w:sectPr>
      </w:pPr>
    </w:p>
    <w:p>
      <w:pPr>
        <w:pStyle w:val="BodyText"/>
        <w:rPr>
          <w:b/>
        </w:rPr>
      </w:pPr>
    </w:p>
    <w:p>
      <w:pPr>
        <w:pStyle w:val="BodyText"/>
        <w:rPr>
          <w:b/>
        </w:rPr>
      </w:pPr>
    </w:p>
    <w:p>
      <w:pPr>
        <w:pStyle w:val="BodyText"/>
        <w:rPr>
          <w:b/>
        </w:rPr>
      </w:pPr>
    </w:p>
    <w:p>
      <w:pPr>
        <w:pStyle w:val="BodyText"/>
        <w:spacing w:before="9"/>
        <w:rPr>
          <w:b/>
          <w:sz w:val="18"/>
        </w:rPr>
      </w:pPr>
    </w:p>
    <w:p>
      <w:pPr>
        <w:spacing w:line="208" w:lineRule="auto" w:before="1"/>
        <w:ind w:left="2157" w:right="1202" w:firstLine="0"/>
        <w:jc w:val="left"/>
        <w:rPr>
          <w:sz w:val="11"/>
        </w:rPr>
      </w:pPr>
      <w:r>
        <w:rPr>
          <w:sz w:val="19"/>
        </w:rPr>
        <w:t>movements, costumes, changes of scene, and other visual information crucial to fully understanding and experiencing the performance. AD provides the blind or [listener with low vision] a more complete and satisfying access to cultural experiences.</w:t>
      </w:r>
      <w:r>
        <w:rPr>
          <w:position w:val="6"/>
          <w:sz w:val="11"/>
        </w:rPr>
        <w:t>23</w:t>
      </w:r>
    </w:p>
    <w:p>
      <w:pPr>
        <w:pStyle w:val="Heading6"/>
        <w:spacing w:line="235" w:lineRule="auto" w:before="133"/>
        <w:ind w:right="1374"/>
        <w:rPr>
          <w:b/>
        </w:rPr>
      </w:pPr>
      <w:r>
        <w:rPr>
          <w:b/>
        </w:rPr>
        <w:t>Increasing professionalisation of audio description in the United States and United Kingdom</w:t>
      </w:r>
    </w:p>
    <w:p>
      <w:pPr>
        <w:pStyle w:val="ListParagraph"/>
        <w:numPr>
          <w:ilvl w:val="1"/>
          <w:numId w:val="12"/>
        </w:numPr>
        <w:tabs>
          <w:tab w:pos="1761" w:val="left" w:leader="none"/>
          <w:tab w:pos="1762" w:val="left" w:leader="none"/>
        </w:tabs>
        <w:spacing w:line="206" w:lineRule="auto" w:before="134" w:after="0"/>
        <w:ind w:left="1761" w:right="1395" w:hanging="794"/>
        <w:jc w:val="left"/>
        <w:rPr>
          <w:sz w:val="20"/>
        </w:rPr>
      </w:pPr>
      <w:r>
        <w:rPr>
          <w:sz w:val="20"/>
        </w:rPr>
        <w:t>Audio description is becoming professionalised in the United Kingdom and the United</w:t>
      </w:r>
      <w:r>
        <w:rPr>
          <w:spacing w:val="-9"/>
          <w:sz w:val="20"/>
        </w:rPr>
        <w:t> </w:t>
      </w:r>
      <w:r>
        <w:rPr>
          <w:sz w:val="20"/>
        </w:rPr>
        <w:t>States.</w:t>
      </w:r>
      <w:r>
        <w:rPr>
          <w:spacing w:val="-8"/>
          <w:sz w:val="20"/>
        </w:rPr>
        <w:t> </w:t>
      </w:r>
      <w:r>
        <w:rPr>
          <w:spacing w:val="-6"/>
          <w:sz w:val="20"/>
        </w:rPr>
        <w:t>We</w:t>
      </w:r>
      <w:r>
        <w:rPr>
          <w:spacing w:val="-9"/>
          <w:sz w:val="20"/>
        </w:rPr>
        <w:t> </w:t>
      </w:r>
      <w:r>
        <w:rPr>
          <w:spacing w:val="-4"/>
          <w:sz w:val="20"/>
        </w:rPr>
        <w:t>were</w:t>
      </w:r>
      <w:r>
        <w:rPr>
          <w:spacing w:val="-8"/>
          <w:sz w:val="20"/>
        </w:rPr>
        <w:t> </w:t>
      </w:r>
      <w:r>
        <w:rPr>
          <w:spacing w:val="-3"/>
          <w:sz w:val="20"/>
        </w:rPr>
        <w:t>told</w:t>
      </w:r>
      <w:r>
        <w:rPr>
          <w:spacing w:val="-9"/>
          <w:sz w:val="20"/>
        </w:rPr>
        <w:t> </w:t>
      </w:r>
      <w:r>
        <w:rPr>
          <w:sz w:val="20"/>
        </w:rPr>
        <w:t>that</w:t>
      </w:r>
      <w:r>
        <w:rPr>
          <w:spacing w:val="-8"/>
          <w:sz w:val="20"/>
        </w:rPr>
        <w:t> </w:t>
      </w:r>
      <w:r>
        <w:rPr>
          <w:sz w:val="20"/>
        </w:rPr>
        <w:t>this</w:t>
      </w:r>
      <w:r>
        <w:rPr>
          <w:spacing w:val="-9"/>
          <w:sz w:val="20"/>
        </w:rPr>
        <w:t> </w:t>
      </w:r>
      <w:r>
        <w:rPr>
          <w:sz w:val="20"/>
        </w:rPr>
        <w:t>is</w:t>
      </w:r>
      <w:r>
        <w:rPr>
          <w:spacing w:val="-8"/>
          <w:sz w:val="20"/>
        </w:rPr>
        <w:t> </w:t>
      </w:r>
      <w:r>
        <w:rPr>
          <w:sz w:val="20"/>
        </w:rPr>
        <w:t>because</w:t>
      </w:r>
      <w:r>
        <w:rPr>
          <w:spacing w:val="-9"/>
          <w:sz w:val="20"/>
        </w:rPr>
        <w:t> </w:t>
      </w:r>
      <w:r>
        <w:rPr>
          <w:sz w:val="20"/>
        </w:rPr>
        <w:t>new</w:t>
      </w:r>
      <w:r>
        <w:rPr>
          <w:spacing w:val="-8"/>
          <w:sz w:val="20"/>
        </w:rPr>
        <w:t> </w:t>
      </w:r>
      <w:r>
        <w:rPr>
          <w:spacing w:val="-3"/>
          <w:sz w:val="20"/>
        </w:rPr>
        <w:t>laws</w:t>
      </w:r>
      <w:r>
        <w:rPr>
          <w:spacing w:val="-9"/>
          <w:sz w:val="20"/>
        </w:rPr>
        <w:t> </w:t>
      </w:r>
      <w:r>
        <w:rPr>
          <w:spacing w:val="-3"/>
          <w:sz w:val="20"/>
        </w:rPr>
        <w:t>require</w:t>
      </w:r>
      <w:r>
        <w:rPr>
          <w:spacing w:val="-8"/>
          <w:sz w:val="20"/>
        </w:rPr>
        <w:t> </w:t>
      </w:r>
      <w:r>
        <w:rPr>
          <w:sz w:val="20"/>
        </w:rPr>
        <w:t>audio</w:t>
      </w:r>
      <w:r>
        <w:rPr>
          <w:spacing w:val="-9"/>
          <w:sz w:val="20"/>
        </w:rPr>
        <w:t> </w:t>
      </w:r>
      <w:r>
        <w:rPr>
          <w:sz w:val="20"/>
        </w:rPr>
        <w:t>description</w:t>
      </w:r>
      <w:r>
        <w:rPr>
          <w:spacing w:val="-8"/>
          <w:sz w:val="20"/>
        </w:rPr>
        <w:t> </w:t>
      </w:r>
      <w:r>
        <w:rPr>
          <w:sz w:val="20"/>
        </w:rPr>
        <w:t>in</w:t>
      </w:r>
    </w:p>
    <w:p>
      <w:pPr>
        <w:pStyle w:val="BodyText"/>
        <w:spacing w:line="206" w:lineRule="auto" w:before="2"/>
        <w:ind w:left="1761" w:right="1219"/>
      </w:pPr>
      <w:r>
        <w:rPr/>
        <w:t>television programming.</w:t>
      </w:r>
      <w:r>
        <w:rPr>
          <w:position w:val="7"/>
          <w:sz w:val="11"/>
        </w:rPr>
        <w:t>24 </w:t>
      </w:r>
      <w:r>
        <w:rPr>
          <w:spacing w:val="-5"/>
        </w:rPr>
        <w:t>However, </w:t>
      </w:r>
      <w:r>
        <w:rPr>
          <w:spacing w:val="-3"/>
        </w:rPr>
        <w:t>we </w:t>
      </w:r>
      <w:r>
        <w:rPr/>
        <w:t>understand that audio describers do not play a </w:t>
      </w:r>
      <w:r>
        <w:rPr>
          <w:spacing w:val="-3"/>
        </w:rPr>
        <w:t>role </w:t>
      </w:r>
      <w:r>
        <w:rPr/>
        <w:t>in court proceedings in these countries.</w:t>
      </w:r>
    </w:p>
    <w:p>
      <w:pPr>
        <w:pStyle w:val="ListParagraph"/>
        <w:numPr>
          <w:ilvl w:val="1"/>
          <w:numId w:val="12"/>
        </w:numPr>
        <w:tabs>
          <w:tab w:pos="1761" w:val="left" w:leader="none"/>
          <w:tab w:pos="1762" w:val="left" w:leader="none"/>
        </w:tabs>
        <w:spacing w:line="206" w:lineRule="auto" w:before="123" w:after="0"/>
        <w:ind w:left="1761" w:right="1287" w:hanging="794"/>
        <w:jc w:val="left"/>
        <w:rPr>
          <w:sz w:val="11"/>
        </w:rPr>
      </w:pPr>
      <w:r>
        <w:rPr>
          <w:sz w:val="20"/>
        </w:rPr>
        <w:t>In the United Kingdom, there </w:t>
      </w:r>
      <w:r>
        <w:rPr>
          <w:spacing w:val="-3"/>
          <w:sz w:val="20"/>
        </w:rPr>
        <w:t>are </w:t>
      </w:r>
      <w:r>
        <w:rPr>
          <w:sz w:val="20"/>
        </w:rPr>
        <w:t>some online training programs for audio describers. </w:t>
      </w:r>
      <w:r>
        <w:rPr>
          <w:spacing w:val="-3"/>
          <w:sz w:val="20"/>
        </w:rPr>
        <w:t>For</w:t>
      </w:r>
      <w:r>
        <w:rPr>
          <w:spacing w:val="-10"/>
          <w:sz w:val="20"/>
        </w:rPr>
        <w:t> </w:t>
      </w:r>
      <w:r>
        <w:rPr>
          <w:spacing w:val="-3"/>
          <w:sz w:val="20"/>
        </w:rPr>
        <w:t>example,</w:t>
      </w:r>
      <w:r>
        <w:rPr>
          <w:spacing w:val="-10"/>
          <w:sz w:val="20"/>
        </w:rPr>
        <w:t> </w:t>
      </w:r>
      <w:r>
        <w:rPr>
          <w:spacing w:val="-3"/>
          <w:sz w:val="20"/>
        </w:rPr>
        <w:t>Royal</w:t>
      </w:r>
      <w:r>
        <w:rPr>
          <w:spacing w:val="-9"/>
          <w:sz w:val="20"/>
        </w:rPr>
        <w:t> </w:t>
      </w:r>
      <w:r>
        <w:rPr>
          <w:spacing w:val="-5"/>
          <w:sz w:val="20"/>
        </w:rPr>
        <w:t>Holloway,</w:t>
      </w:r>
      <w:r>
        <w:rPr>
          <w:spacing w:val="-10"/>
          <w:sz w:val="20"/>
        </w:rPr>
        <w:t> </w:t>
      </w:r>
      <w:r>
        <w:rPr>
          <w:sz w:val="20"/>
        </w:rPr>
        <w:t>University</w:t>
      </w:r>
      <w:r>
        <w:rPr>
          <w:spacing w:val="-9"/>
          <w:sz w:val="20"/>
        </w:rPr>
        <w:t> </w:t>
      </w:r>
      <w:r>
        <w:rPr>
          <w:sz w:val="20"/>
        </w:rPr>
        <w:t>of</w:t>
      </w:r>
      <w:r>
        <w:rPr>
          <w:spacing w:val="-10"/>
          <w:sz w:val="20"/>
        </w:rPr>
        <w:t> </w:t>
      </w:r>
      <w:r>
        <w:rPr>
          <w:sz w:val="20"/>
        </w:rPr>
        <w:t>London</w:t>
      </w:r>
      <w:r>
        <w:rPr>
          <w:spacing w:val="-9"/>
          <w:sz w:val="20"/>
        </w:rPr>
        <w:t> </w:t>
      </w:r>
      <w:r>
        <w:rPr>
          <w:sz w:val="20"/>
        </w:rPr>
        <w:t>offers</w:t>
      </w:r>
      <w:r>
        <w:rPr>
          <w:spacing w:val="-10"/>
          <w:sz w:val="20"/>
        </w:rPr>
        <w:t> </w:t>
      </w:r>
      <w:r>
        <w:rPr>
          <w:sz w:val="20"/>
        </w:rPr>
        <w:t>a</w:t>
      </w:r>
      <w:r>
        <w:rPr>
          <w:spacing w:val="-9"/>
          <w:sz w:val="20"/>
        </w:rPr>
        <w:t> </w:t>
      </w:r>
      <w:r>
        <w:rPr>
          <w:spacing w:val="-3"/>
          <w:sz w:val="20"/>
        </w:rPr>
        <w:t>free</w:t>
      </w:r>
      <w:r>
        <w:rPr>
          <w:spacing w:val="-10"/>
          <w:sz w:val="20"/>
        </w:rPr>
        <w:t> </w:t>
      </w:r>
      <w:r>
        <w:rPr>
          <w:sz w:val="20"/>
        </w:rPr>
        <w:t>online</w:t>
      </w:r>
      <w:r>
        <w:rPr>
          <w:spacing w:val="-9"/>
          <w:sz w:val="20"/>
        </w:rPr>
        <w:t> </w:t>
      </w:r>
      <w:r>
        <w:rPr>
          <w:sz w:val="20"/>
        </w:rPr>
        <w:t>Audio</w:t>
      </w:r>
      <w:r>
        <w:rPr>
          <w:spacing w:val="-10"/>
          <w:sz w:val="20"/>
        </w:rPr>
        <w:t> </w:t>
      </w:r>
      <w:r>
        <w:rPr>
          <w:sz w:val="20"/>
        </w:rPr>
        <w:t>Describer course</w:t>
      </w:r>
      <w:r>
        <w:rPr>
          <w:spacing w:val="-6"/>
          <w:sz w:val="20"/>
        </w:rPr>
        <w:t> </w:t>
      </w:r>
      <w:r>
        <w:rPr>
          <w:sz w:val="20"/>
        </w:rPr>
        <w:t>that</w:t>
      </w:r>
      <w:r>
        <w:rPr>
          <w:spacing w:val="-5"/>
          <w:sz w:val="20"/>
        </w:rPr>
        <w:t> </w:t>
      </w:r>
      <w:r>
        <w:rPr>
          <w:sz w:val="20"/>
        </w:rPr>
        <w:t>is</w:t>
      </w:r>
      <w:r>
        <w:rPr>
          <w:spacing w:val="-5"/>
          <w:sz w:val="20"/>
        </w:rPr>
        <w:t> </w:t>
      </w:r>
      <w:r>
        <w:rPr>
          <w:sz w:val="20"/>
        </w:rPr>
        <w:t>four</w:t>
      </w:r>
      <w:r>
        <w:rPr>
          <w:spacing w:val="-6"/>
          <w:sz w:val="20"/>
        </w:rPr>
        <w:t> </w:t>
      </w:r>
      <w:r>
        <w:rPr>
          <w:sz w:val="20"/>
        </w:rPr>
        <w:t>weeks</w:t>
      </w:r>
      <w:r>
        <w:rPr>
          <w:spacing w:val="-5"/>
          <w:sz w:val="20"/>
        </w:rPr>
        <w:t> </w:t>
      </w:r>
      <w:r>
        <w:rPr>
          <w:sz w:val="20"/>
        </w:rPr>
        <w:t>long</w:t>
      </w:r>
      <w:r>
        <w:rPr>
          <w:spacing w:val="-5"/>
          <w:sz w:val="20"/>
        </w:rPr>
        <w:t> </w:t>
      </w:r>
      <w:r>
        <w:rPr>
          <w:sz w:val="20"/>
        </w:rPr>
        <w:t>and</w:t>
      </w:r>
      <w:r>
        <w:rPr>
          <w:spacing w:val="-6"/>
          <w:sz w:val="20"/>
        </w:rPr>
        <w:t> </w:t>
      </w:r>
      <w:r>
        <w:rPr>
          <w:spacing w:val="-3"/>
          <w:sz w:val="20"/>
        </w:rPr>
        <w:t>requires</w:t>
      </w:r>
      <w:r>
        <w:rPr>
          <w:spacing w:val="-5"/>
          <w:sz w:val="20"/>
        </w:rPr>
        <w:t> </w:t>
      </w:r>
      <w:r>
        <w:rPr>
          <w:sz w:val="20"/>
        </w:rPr>
        <w:t>three</w:t>
      </w:r>
      <w:r>
        <w:rPr>
          <w:spacing w:val="-5"/>
          <w:sz w:val="20"/>
        </w:rPr>
        <w:t> </w:t>
      </w:r>
      <w:r>
        <w:rPr>
          <w:sz w:val="20"/>
        </w:rPr>
        <w:t>hours</w:t>
      </w:r>
      <w:r>
        <w:rPr>
          <w:spacing w:val="-6"/>
          <w:sz w:val="20"/>
        </w:rPr>
        <w:t> </w:t>
      </w:r>
      <w:r>
        <w:rPr>
          <w:sz w:val="20"/>
        </w:rPr>
        <w:t>of</w:t>
      </w:r>
      <w:r>
        <w:rPr>
          <w:spacing w:val="-5"/>
          <w:sz w:val="20"/>
        </w:rPr>
        <w:t> </w:t>
      </w:r>
      <w:r>
        <w:rPr>
          <w:sz w:val="20"/>
        </w:rPr>
        <w:t>study</w:t>
      </w:r>
      <w:r>
        <w:rPr>
          <w:spacing w:val="-5"/>
          <w:sz w:val="20"/>
        </w:rPr>
        <w:t> </w:t>
      </w:r>
      <w:r>
        <w:rPr>
          <w:sz w:val="20"/>
        </w:rPr>
        <w:t>per</w:t>
      </w:r>
      <w:r>
        <w:rPr>
          <w:spacing w:val="-6"/>
          <w:sz w:val="20"/>
        </w:rPr>
        <w:t> </w:t>
      </w:r>
      <w:r>
        <w:rPr>
          <w:sz w:val="20"/>
        </w:rPr>
        <w:t>week.</w:t>
      </w:r>
      <w:r>
        <w:rPr>
          <w:position w:val="7"/>
          <w:sz w:val="11"/>
        </w:rPr>
        <w:t>25</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In the United</w:t>
      </w:r>
      <w:r>
        <w:rPr>
          <w:spacing w:val="-13"/>
          <w:sz w:val="20"/>
        </w:rPr>
        <w:t> </w:t>
      </w:r>
      <w:r>
        <w:rPr>
          <w:spacing w:val="-3"/>
          <w:sz w:val="20"/>
        </w:rPr>
        <w:t>States:</w:t>
      </w:r>
    </w:p>
    <w:p>
      <w:pPr>
        <w:pStyle w:val="ListParagraph"/>
        <w:numPr>
          <w:ilvl w:val="2"/>
          <w:numId w:val="12"/>
        </w:numPr>
        <w:tabs>
          <w:tab w:pos="2157" w:val="left" w:leader="none"/>
          <w:tab w:pos="2158" w:val="left" w:leader="none"/>
        </w:tabs>
        <w:spacing w:line="240" w:lineRule="auto" w:before="83" w:after="0"/>
        <w:ind w:left="2157" w:right="0" w:hanging="396"/>
        <w:jc w:val="left"/>
        <w:rPr>
          <w:sz w:val="20"/>
        </w:rPr>
      </w:pPr>
      <w:r>
        <w:rPr>
          <w:sz w:val="20"/>
        </w:rPr>
        <w:t>The</w:t>
      </w:r>
      <w:r>
        <w:rPr>
          <w:spacing w:val="-6"/>
          <w:sz w:val="20"/>
        </w:rPr>
        <w:t> </w:t>
      </w:r>
      <w:r>
        <w:rPr>
          <w:sz w:val="20"/>
        </w:rPr>
        <w:t>American</w:t>
      </w:r>
      <w:r>
        <w:rPr>
          <w:spacing w:val="-6"/>
          <w:sz w:val="20"/>
        </w:rPr>
        <w:t> </w:t>
      </w:r>
      <w:r>
        <w:rPr>
          <w:sz w:val="20"/>
        </w:rPr>
        <w:t>Council</w:t>
      </w:r>
      <w:r>
        <w:rPr>
          <w:spacing w:val="-6"/>
          <w:sz w:val="20"/>
        </w:rPr>
        <w:t> </w:t>
      </w:r>
      <w:r>
        <w:rPr>
          <w:sz w:val="20"/>
        </w:rPr>
        <w:t>of</w:t>
      </w:r>
      <w:r>
        <w:rPr>
          <w:spacing w:val="-6"/>
          <w:sz w:val="20"/>
        </w:rPr>
        <w:t> </w:t>
      </w:r>
      <w:r>
        <w:rPr>
          <w:sz w:val="20"/>
        </w:rPr>
        <w:t>the</w:t>
      </w:r>
      <w:r>
        <w:rPr>
          <w:spacing w:val="-6"/>
          <w:sz w:val="20"/>
        </w:rPr>
        <w:t> </w:t>
      </w:r>
      <w:r>
        <w:rPr>
          <w:sz w:val="20"/>
        </w:rPr>
        <w:t>Blind</w:t>
      </w:r>
      <w:r>
        <w:rPr>
          <w:spacing w:val="-6"/>
          <w:sz w:val="20"/>
        </w:rPr>
        <w:t> </w:t>
      </w:r>
      <w:r>
        <w:rPr>
          <w:sz w:val="20"/>
        </w:rPr>
        <w:t>offers</w:t>
      </w:r>
      <w:r>
        <w:rPr>
          <w:spacing w:val="-6"/>
          <w:sz w:val="20"/>
        </w:rPr>
        <w:t> </w:t>
      </w:r>
      <w:r>
        <w:rPr>
          <w:sz w:val="20"/>
        </w:rPr>
        <w:t>training</w:t>
      </w:r>
      <w:r>
        <w:rPr>
          <w:spacing w:val="-5"/>
          <w:sz w:val="20"/>
        </w:rPr>
        <w:t> </w:t>
      </w:r>
      <w:r>
        <w:rPr>
          <w:sz w:val="20"/>
        </w:rPr>
        <w:t>and</w:t>
      </w:r>
      <w:r>
        <w:rPr>
          <w:spacing w:val="-6"/>
          <w:sz w:val="20"/>
        </w:rPr>
        <w:t> </w:t>
      </w:r>
      <w:r>
        <w:rPr>
          <w:sz w:val="20"/>
        </w:rPr>
        <w:t>educational</w:t>
      </w:r>
      <w:r>
        <w:rPr>
          <w:spacing w:val="-6"/>
          <w:sz w:val="20"/>
        </w:rPr>
        <w:t> </w:t>
      </w:r>
      <w:r>
        <w:rPr>
          <w:sz w:val="20"/>
        </w:rPr>
        <w:t>resources.</w:t>
      </w:r>
      <w:r>
        <w:rPr>
          <w:position w:val="7"/>
          <w:sz w:val="11"/>
        </w:rPr>
        <w:t>26</w:t>
      </w:r>
    </w:p>
    <w:p>
      <w:pPr>
        <w:pStyle w:val="ListParagraph"/>
        <w:numPr>
          <w:ilvl w:val="2"/>
          <w:numId w:val="12"/>
        </w:numPr>
        <w:tabs>
          <w:tab w:pos="2157" w:val="left" w:leader="none"/>
          <w:tab w:pos="2158" w:val="left" w:leader="none"/>
        </w:tabs>
        <w:spacing w:line="206" w:lineRule="auto" w:before="79" w:after="0"/>
        <w:ind w:left="2157" w:right="1285" w:hanging="396"/>
        <w:jc w:val="left"/>
        <w:rPr>
          <w:sz w:val="20"/>
        </w:rPr>
      </w:pPr>
      <w:r>
        <w:rPr>
          <w:sz w:val="20"/>
        </w:rPr>
        <w:t>The</w:t>
      </w:r>
      <w:r>
        <w:rPr>
          <w:spacing w:val="-14"/>
          <w:sz w:val="20"/>
        </w:rPr>
        <w:t> </w:t>
      </w:r>
      <w:r>
        <w:rPr>
          <w:sz w:val="20"/>
        </w:rPr>
        <w:t>Audio</w:t>
      </w:r>
      <w:r>
        <w:rPr>
          <w:spacing w:val="-14"/>
          <w:sz w:val="20"/>
        </w:rPr>
        <w:t> </w:t>
      </w:r>
      <w:r>
        <w:rPr>
          <w:sz w:val="20"/>
        </w:rPr>
        <w:t>Description</w:t>
      </w:r>
      <w:r>
        <w:rPr>
          <w:spacing w:val="-14"/>
          <w:sz w:val="20"/>
        </w:rPr>
        <w:t> </w:t>
      </w:r>
      <w:r>
        <w:rPr>
          <w:sz w:val="20"/>
        </w:rPr>
        <w:t>Institute</w:t>
      </w:r>
      <w:r>
        <w:rPr>
          <w:spacing w:val="-13"/>
          <w:sz w:val="20"/>
        </w:rPr>
        <w:t> </w:t>
      </w:r>
      <w:r>
        <w:rPr>
          <w:sz w:val="20"/>
        </w:rPr>
        <w:t>offers</w:t>
      </w:r>
      <w:r>
        <w:rPr>
          <w:spacing w:val="-14"/>
          <w:sz w:val="20"/>
        </w:rPr>
        <w:t> </w:t>
      </w:r>
      <w:r>
        <w:rPr>
          <w:spacing w:val="-3"/>
          <w:sz w:val="20"/>
        </w:rPr>
        <w:t>‘audio</w:t>
      </w:r>
      <w:r>
        <w:rPr>
          <w:spacing w:val="-14"/>
          <w:sz w:val="20"/>
        </w:rPr>
        <w:t> </w:t>
      </w:r>
      <w:r>
        <w:rPr>
          <w:sz w:val="20"/>
        </w:rPr>
        <w:t>description</w:t>
      </w:r>
      <w:r>
        <w:rPr>
          <w:spacing w:val="-13"/>
          <w:sz w:val="20"/>
        </w:rPr>
        <w:t> </w:t>
      </w:r>
      <w:r>
        <w:rPr>
          <w:sz w:val="20"/>
        </w:rPr>
        <w:t>training</w:t>
      </w:r>
      <w:r>
        <w:rPr>
          <w:spacing w:val="-14"/>
          <w:sz w:val="20"/>
        </w:rPr>
        <w:t> </w:t>
      </w:r>
      <w:r>
        <w:rPr>
          <w:spacing w:val="-3"/>
          <w:sz w:val="20"/>
        </w:rPr>
        <w:t>retreats’</w:t>
      </w:r>
      <w:r>
        <w:rPr>
          <w:spacing w:val="-14"/>
          <w:sz w:val="20"/>
        </w:rPr>
        <w:t> </w:t>
      </w:r>
      <w:r>
        <w:rPr>
          <w:sz w:val="20"/>
        </w:rPr>
        <w:t>which</w:t>
      </w:r>
      <w:r>
        <w:rPr>
          <w:spacing w:val="-13"/>
          <w:sz w:val="20"/>
        </w:rPr>
        <w:t> </w:t>
      </w:r>
      <w:r>
        <w:rPr>
          <w:sz w:val="20"/>
        </w:rPr>
        <w:t>run for</w:t>
      </w:r>
      <w:r>
        <w:rPr>
          <w:spacing w:val="-9"/>
          <w:sz w:val="20"/>
        </w:rPr>
        <w:t> </w:t>
      </w:r>
      <w:r>
        <w:rPr>
          <w:sz w:val="20"/>
        </w:rPr>
        <w:t>four</w:t>
      </w:r>
      <w:r>
        <w:rPr>
          <w:spacing w:val="-8"/>
          <w:sz w:val="20"/>
        </w:rPr>
        <w:t> </w:t>
      </w:r>
      <w:r>
        <w:rPr>
          <w:spacing w:val="-4"/>
          <w:sz w:val="20"/>
        </w:rPr>
        <w:t>days</w:t>
      </w:r>
      <w:r>
        <w:rPr>
          <w:spacing w:val="-9"/>
          <w:sz w:val="20"/>
        </w:rPr>
        <w:t> </w:t>
      </w:r>
      <w:r>
        <w:rPr>
          <w:sz w:val="20"/>
        </w:rPr>
        <w:t>(in</w:t>
      </w:r>
      <w:r>
        <w:rPr>
          <w:spacing w:val="-8"/>
          <w:sz w:val="20"/>
        </w:rPr>
        <w:t> </w:t>
      </w:r>
      <w:r>
        <w:rPr>
          <w:sz w:val="20"/>
        </w:rPr>
        <w:t>person</w:t>
      </w:r>
      <w:r>
        <w:rPr>
          <w:spacing w:val="-9"/>
          <w:sz w:val="20"/>
        </w:rPr>
        <w:t> </w:t>
      </w:r>
      <w:r>
        <w:rPr>
          <w:sz w:val="20"/>
        </w:rPr>
        <w:t>and</w:t>
      </w:r>
      <w:r>
        <w:rPr>
          <w:spacing w:val="-8"/>
          <w:sz w:val="20"/>
        </w:rPr>
        <w:t> </w:t>
      </w:r>
      <w:r>
        <w:rPr>
          <w:sz w:val="20"/>
        </w:rPr>
        <w:t>online)</w:t>
      </w:r>
      <w:r>
        <w:rPr>
          <w:spacing w:val="-9"/>
          <w:sz w:val="20"/>
        </w:rPr>
        <w:t> </w:t>
      </w:r>
      <w:r>
        <w:rPr>
          <w:sz w:val="20"/>
        </w:rPr>
        <w:t>and</w:t>
      </w:r>
      <w:r>
        <w:rPr>
          <w:spacing w:val="-8"/>
          <w:sz w:val="20"/>
        </w:rPr>
        <w:t> </w:t>
      </w:r>
      <w:r>
        <w:rPr>
          <w:sz w:val="20"/>
        </w:rPr>
        <w:t>offers</w:t>
      </w:r>
      <w:r>
        <w:rPr>
          <w:spacing w:val="-8"/>
          <w:sz w:val="20"/>
        </w:rPr>
        <w:t> </w:t>
      </w:r>
      <w:r>
        <w:rPr>
          <w:spacing w:val="-4"/>
          <w:sz w:val="20"/>
        </w:rPr>
        <w:t>over</w:t>
      </w:r>
      <w:r>
        <w:rPr>
          <w:spacing w:val="-9"/>
          <w:sz w:val="20"/>
        </w:rPr>
        <w:t> </w:t>
      </w:r>
      <w:r>
        <w:rPr>
          <w:sz w:val="20"/>
        </w:rPr>
        <w:t>20</w:t>
      </w:r>
      <w:r>
        <w:rPr>
          <w:spacing w:val="-8"/>
          <w:sz w:val="20"/>
        </w:rPr>
        <w:t> </w:t>
      </w:r>
      <w:r>
        <w:rPr>
          <w:sz w:val="20"/>
        </w:rPr>
        <w:t>hours</w:t>
      </w:r>
      <w:r>
        <w:rPr>
          <w:spacing w:val="-9"/>
          <w:sz w:val="20"/>
        </w:rPr>
        <w:t> </w:t>
      </w:r>
      <w:r>
        <w:rPr>
          <w:sz w:val="20"/>
        </w:rPr>
        <w:t>of</w:t>
      </w:r>
      <w:r>
        <w:rPr>
          <w:spacing w:val="-8"/>
          <w:sz w:val="20"/>
        </w:rPr>
        <w:t> </w:t>
      </w:r>
      <w:r>
        <w:rPr>
          <w:sz w:val="20"/>
        </w:rPr>
        <w:t>formal</w:t>
      </w:r>
      <w:r>
        <w:rPr>
          <w:spacing w:val="-9"/>
          <w:sz w:val="20"/>
        </w:rPr>
        <w:t> </w:t>
      </w:r>
      <w:r>
        <w:rPr>
          <w:sz w:val="20"/>
        </w:rPr>
        <w:t>instruction.</w:t>
      </w:r>
      <w:r>
        <w:rPr>
          <w:position w:val="7"/>
          <w:sz w:val="11"/>
        </w:rPr>
        <w:t>27</w:t>
      </w:r>
    </w:p>
    <w:p>
      <w:pPr>
        <w:pStyle w:val="ListParagraph"/>
        <w:numPr>
          <w:ilvl w:val="1"/>
          <w:numId w:val="12"/>
        </w:numPr>
        <w:tabs>
          <w:tab w:pos="1761" w:val="left" w:leader="none"/>
          <w:tab w:pos="1762" w:val="left" w:leader="none"/>
        </w:tabs>
        <w:spacing w:line="206" w:lineRule="auto" w:before="88" w:after="0"/>
        <w:ind w:left="1761" w:right="1543" w:hanging="794"/>
        <w:jc w:val="left"/>
        <w:rPr>
          <w:sz w:val="20"/>
        </w:rPr>
      </w:pPr>
      <w:r>
        <w:rPr>
          <w:sz w:val="20"/>
        </w:rPr>
        <w:t>The</w:t>
      </w:r>
      <w:r>
        <w:rPr>
          <w:spacing w:val="-12"/>
          <w:sz w:val="20"/>
        </w:rPr>
        <w:t> </w:t>
      </w:r>
      <w:r>
        <w:rPr>
          <w:sz w:val="20"/>
        </w:rPr>
        <w:t>United</w:t>
      </w:r>
      <w:r>
        <w:rPr>
          <w:spacing w:val="-11"/>
          <w:sz w:val="20"/>
        </w:rPr>
        <w:t> </w:t>
      </w:r>
      <w:r>
        <w:rPr>
          <w:sz w:val="20"/>
        </w:rPr>
        <w:t>Kingdom</w:t>
      </w:r>
      <w:r>
        <w:rPr>
          <w:spacing w:val="-11"/>
          <w:sz w:val="20"/>
        </w:rPr>
        <w:t> </w:t>
      </w:r>
      <w:r>
        <w:rPr>
          <w:sz w:val="20"/>
        </w:rPr>
        <w:t>has</w:t>
      </w:r>
      <w:r>
        <w:rPr>
          <w:spacing w:val="-11"/>
          <w:sz w:val="20"/>
        </w:rPr>
        <w:t> </w:t>
      </w:r>
      <w:r>
        <w:rPr>
          <w:spacing w:val="-3"/>
          <w:sz w:val="20"/>
        </w:rPr>
        <w:t>developed</w:t>
      </w:r>
      <w:r>
        <w:rPr>
          <w:spacing w:val="-11"/>
          <w:sz w:val="20"/>
        </w:rPr>
        <w:t> </w:t>
      </w:r>
      <w:r>
        <w:rPr>
          <w:sz w:val="20"/>
        </w:rPr>
        <w:t>guidelines</w:t>
      </w:r>
      <w:r>
        <w:rPr>
          <w:spacing w:val="-11"/>
          <w:sz w:val="20"/>
        </w:rPr>
        <w:t> </w:t>
      </w:r>
      <w:r>
        <w:rPr>
          <w:sz w:val="20"/>
        </w:rPr>
        <w:t>on</w:t>
      </w:r>
      <w:r>
        <w:rPr>
          <w:spacing w:val="-11"/>
          <w:sz w:val="20"/>
        </w:rPr>
        <w:t> </w:t>
      </w:r>
      <w:r>
        <w:rPr>
          <w:sz w:val="20"/>
        </w:rPr>
        <w:t>the</w:t>
      </w:r>
      <w:r>
        <w:rPr>
          <w:spacing w:val="-11"/>
          <w:sz w:val="20"/>
        </w:rPr>
        <w:t> </w:t>
      </w:r>
      <w:r>
        <w:rPr>
          <w:sz w:val="20"/>
        </w:rPr>
        <w:t>practice</w:t>
      </w:r>
      <w:r>
        <w:rPr>
          <w:spacing w:val="-11"/>
          <w:sz w:val="20"/>
        </w:rPr>
        <w:t> </w:t>
      </w:r>
      <w:r>
        <w:rPr>
          <w:sz w:val="20"/>
        </w:rPr>
        <w:t>of</w:t>
      </w:r>
      <w:r>
        <w:rPr>
          <w:spacing w:val="-12"/>
          <w:sz w:val="20"/>
        </w:rPr>
        <w:t> </w:t>
      </w:r>
      <w:r>
        <w:rPr>
          <w:sz w:val="20"/>
        </w:rPr>
        <w:t>audio</w:t>
      </w:r>
      <w:r>
        <w:rPr>
          <w:spacing w:val="-11"/>
          <w:sz w:val="20"/>
        </w:rPr>
        <w:t> </w:t>
      </w:r>
      <w:r>
        <w:rPr>
          <w:sz w:val="20"/>
        </w:rPr>
        <w:t>description, as has the United States. The Commission recommends that similar guidelines be </w:t>
      </w:r>
      <w:r>
        <w:rPr>
          <w:spacing w:val="-3"/>
          <w:sz w:val="20"/>
        </w:rPr>
        <w:t>developed</w:t>
      </w:r>
      <w:r>
        <w:rPr>
          <w:spacing w:val="-8"/>
          <w:sz w:val="20"/>
        </w:rPr>
        <w:t> </w:t>
      </w:r>
      <w:r>
        <w:rPr>
          <w:sz w:val="20"/>
        </w:rPr>
        <w:t>in</w:t>
      </w:r>
      <w:r>
        <w:rPr>
          <w:spacing w:val="-7"/>
          <w:sz w:val="20"/>
        </w:rPr>
        <w:t> </w:t>
      </w:r>
      <w:r>
        <w:rPr>
          <w:sz w:val="20"/>
        </w:rPr>
        <w:t>Victoria</w:t>
      </w:r>
      <w:r>
        <w:rPr>
          <w:spacing w:val="-7"/>
          <w:sz w:val="20"/>
        </w:rPr>
        <w:t> </w:t>
      </w:r>
      <w:r>
        <w:rPr>
          <w:sz w:val="20"/>
        </w:rPr>
        <w:t>as</w:t>
      </w:r>
      <w:r>
        <w:rPr>
          <w:spacing w:val="-7"/>
          <w:sz w:val="20"/>
        </w:rPr>
        <w:t> </w:t>
      </w:r>
      <w:r>
        <w:rPr>
          <w:sz w:val="20"/>
        </w:rPr>
        <w:t>audio</w:t>
      </w:r>
      <w:r>
        <w:rPr>
          <w:spacing w:val="-7"/>
          <w:sz w:val="20"/>
        </w:rPr>
        <w:t> </w:t>
      </w:r>
      <w:r>
        <w:rPr>
          <w:sz w:val="20"/>
        </w:rPr>
        <w:t>description</w:t>
      </w:r>
      <w:r>
        <w:rPr>
          <w:spacing w:val="-7"/>
          <w:sz w:val="20"/>
        </w:rPr>
        <w:t> </w:t>
      </w:r>
      <w:r>
        <w:rPr>
          <w:sz w:val="20"/>
        </w:rPr>
        <w:t>becomes</w:t>
      </w:r>
      <w:r>
        <w:rPr>
          <w:spacing w:val="-7"/>
          <w:sz w:val="20"/>
        </w:rPr>
        <w:t> </w:t>
      </w:r>
      <w:r>
        <w:rPr>
          <w:sz w:val="20"/>
        </w:rPr>
        <w:t>more</w:t>
      </w:r>
      <w:r>
        <w:rPr>
          <w:spacing w:val="-7"/>
          <w:sz w:val="20"/>
        </w:rPr>
        <w:t> </w:t>
      </w:r>
      <w:r>
        <w:rPr>
          <w:sz w:val="20"/>
        </w:rPr>
        <w:t>professionalised.</w:t>
      </w:r>
    </w:p>
    <w:p>
      <w:pPr>
        <w:pStyle w:val="Heading6"/>
        <w:spacing w:before="128"/>
        <w:rPr>
          <w:b/>
        </w:rPr>
      </w:pPr>
      <w:r>
        <w:rPr>
          <w:b/>
        </w:rPr>
        <w:t>Audio description in Australia</w:t>
      </w:r>
    </w:p>
    <w:p>
      <w:pPr>
        <w:pStyle w:val="ListParagraph"/>
        <w:numPr>
          <w:ilvl w:val="1"/>
          <w:numId w:val="12"/>
        </w:numPr>
        <w:tabs>
          <w:tab w:pos="1761" w:val="left" w:leader="none"/>
          <w:tab w:pos="1762" w:val="left" w:leader="none"/>
        </w:tabs>
        <w:spacing w:line="206" w:lineRule="auto" w:before="132" w:after="0"/>
        <w:ind w:left="1761" w:right="1224" w:hanging="794"/>
        <w:jc w:val="left"/>
        <w:rPr>
          <w:sz w:val="11"/>
        </w:rPr>
      </w:pPr>
      <w:r>
        <w:rPr>
          <w:spacing w:val="-3"/>
          <w:sz w:val="20"/>
        </w:rPr>
        <w:t>Advocacy </w:t>
      </w:r>
      <w:r>
        <w:rPr>
          <w:sz w:val="20"/>
        </w:rPr>
        <w:t>groups for the blind </w:t>
      </w:r>
      <w:r>
        <w:rPr>
          <w:spacing w:val="-4"/>
          <w:sz w:val="20"/>
        </w:rPr>
        <w:t>have </w:t>
      </w:r>
      <w:r>
        <w:rPr>
          <w:spacing w:val="-3"/>
          <w:sz w:val="20"/>
        </w:rPr>
        <w:t>told </w:t>
      </w:r>
      <w:r>
        <w:rPr>
          <w:sz w:val="20"/>
        </w:rPr>
        <w:t>us that audio description is becoming more common</w:t>
      </w:r>
      <w:r>
        <w:rPr>
          <w:spacing w:val="-10"/>
          <w:sz w:val="20"/>
        </w:rPr>
        <w:t> </w:t>
      </w:r>
      <w:r>
        <w:rPr>
          <w:sz w:val="20"/>
        </w:rPr>
        <w:t>in</w:t>
      </w:r>
      <w:r>
        <w:rPr>
          <w:spacing w:val="-9"/>
          <w:sz w:val="20"/>
        </w:rPr>
        <w:t> </w:t>
      </w:r>
      <w:r>
        <w:rPr>
          <w:sz w:val="20"/>
        </w:rPr>
        <w:t>Australia</w:t>
      </w:r>
      <w:r>
        <w:rPr>
          <w:spacing w:val="-9"/>
          <w:sz w:val="20"/>
        </w:rPr>
        <w:t> </w:t>
      </w:r>
      <w:r>
        <w:rPr>
          <w:sz w:val="20"/>
        </w:rPr>
        <w:t>and</w:t>
      </w:r>
      <w:r>
        <w:rPr>
          <w:spacing w:val="-9"/>
          <w:sz w:val="20"/>
        </w:rPr>
        <w:t> </w:t>
      </w:r>
      <w:r>
        <w:rPr>
          <w:sz w:val="20"/>
        </w:rPr>
        <w:t>that</w:t>
      </w:r>
      <w:r>
        <w:rPr>
          <w:spacing w:val="-9"/>
          <w:sz w:val="20"/>
        </w:rPr>
        <w:t> </w:t>
      </w:r>
      <w:r>
        <w:rPr>
          <w:spacing w:val="-2"/>
          <w:sz w:val="20"/>
        </w:rPr>
        <w:t>reforming</w:t>
      </w:r>
      <w:r>
        <w:rPr>
          <w:spacing w:val="-9"/>
          <w:sz w:val="20"/>
        </w:rPr>
        <w:t> </w:t>
      </w:r>
      <w:r>
        <w:rPr>
          <w:sz w:val="20"/>
        </w:rPr>
        <w:t>the</w:t>
      </w:r>
      <w:r>
        <w:rPr>
          <w:spacing w:val="-9"/>
          <w:sz w:val="20"/>
        </w:rPr>
        <w:t> </w:t>
      </w:r>
      <w:r>
        <w:rPr>
          <w:sz w:val="20"/>
        </w:rPr>
        <w:t>jury</w:t>
      </w:r>
      <w:r>
        <w:rPr>
          <w:spacing w:val="-10"/>
          <w:sz w:val="20"/>
        </w:rPr>
        <w:t> </w:t>
      </w:r>
      <w:r>
        <w:rPr>
          <w:sz w:val="20"/>
        </w:rPr>
        <w:t>system</w:t>
      </w:r>
      <w:r>
        <w:rPr>
          <w:spacing w:val="-9"/>
          <w:sz w:val="20"/>
        </w:rPr>
        <w:t> </w:t>
      </w:r>
      <w:r>
        <w:rPr>
          <w:sz w:val="20"/>
        </w:rPr>
        <w:t>to</w:t>
      </w:r>
      <w:r>
        <w:rPr>
          <w:spacing w:val="-9"/>
          <w:sz w:val="20"/>
        </w:rPr>
        <w:t> </w:t>
      </w:r>
      <w:r>
        <w:rPr>
          <w:spacing w:val="-3"/>
          <w:sz w:val="20"/>
        </w:rPr>
        <w:t>allow</w:t>
      </w:r>
      <w:r>
        <w:rPr>
          <w:spacing w:val="-9"/>
          <w:sz w:val="20"/>
        </w:rPr>
        <w:t> </w:t>
      </w:r>
      <w:r>
        <w:rPr>
          <w:sz w:val="20"/>
        </w:rPr>
        <w:t>such</w:t>
      </w:r>
      <w:r>
        <w:rPr>
          <w:spacing w:val="-9"/>
          <w:sz w:val="20"/>
        </w:rPr>
        <w:t> </w:t>
      </w:r>
      <w:r>
        <w:rPr>
          <w:sz w:val="20"/>
        </w:rPr>
        <w:t>support</w:t>
      </w:r>
      <w:r>
        <w:rPr>
          <w:spacing w:val="-9"/>
          <w:sz w:val="20"/>
        </w:rPr>
        <w:t> </w:t>
      </w:r>
      <w:r>
        <w:rPr>
          <w:sz w:val="20"/>
        </w:rPr>
        <w:t>could</w:t>
      </w:r>
      <w:r>
        <w:rPr>
          <w:spacing w:val="-9"/>
          <w:sz w:val="20"/>
        </w:rPr>
        <w:t> </w:t>
      </w:r>
      <w:r>
        <w:rPr>
          <w:sz w:val="20"/>
        </w:rPr>
        <w:t>be an opportunity to </w:t>
      </w:r>
      <w:r>
        <w:rPr>
          <w:spacing w:val="-3"/>
          <w:sz w:val="20"/>
        </w:rPr>
        <w:t>promote </w:t>
      </w:r>
      <w:r>
        <w:rPr>
          <w:sz w:val="20"/>
        </w:rPr>
        <w:t>wider </w:t>
      </w:r>
      <w:r>
        <w:rPr>
          <w:spacing w:val="-2"/>
          <w:sz w:val="20"/>
        </w:rPr>
        <w:t>uptake </w:t>
      </w:r>
      <w:r>
        <w:rPr>
          <w:sz w:val="20"/>
        </w:rPr>
        <w:t>and change.</w:t>
      </w:r>
      <w:r>
        <w:rPr>
          <w:spacing w:val="-30"/>
          <w:sz w:val="20"/>
        </w:rPr>
        <w:t> </w:t>
      </w:r>
      <w:r>
        <w:rPr>
          <w:position w:val="7"/>
          <w:sz w:val="11"/>
        </w:rPr>
        <w:t>28</w:t>
      </w:r>
    </w:p>
    <w:p>
      <w:pPr>
        <w:pStyle w:val="ListParagraph"/>
        <w:numPr>
          <w:ilvl w:val="1"/>
          <w:numId w:val="12"/>
        </w:numPr>
        <w:tabs>
          <w:tab w:pos="1761" w:val="left" w:leader="none"/>
          <w:tab w:pos="1762" w:val="left" w:leader="none"/>
        </w:tabs>
        <w:spacing w:line="206" w:lineRule="auto" w:before="124" w:after="0"/>
        <w:ind w:left="1761" w:right="1623" w:hanging="794"/>
        <w:jc w:val="left"/>
        <w:rPr>
          <w:sz w:val="20"/>
        </w:rPr>
      </w:pPr>
      <w:r>
        <w:rPr>
          <w:sz w:val="20"/>
        </w:rPr>
        <w:t>Being an audio describer is a skilled disability support </w:t>
      </w:r>
      <w:r>
        <w:rPr>
          <w:spacing w:val="-3"/>
          <w:sz w:val="20"/>
        </w:rPr>
        <w:t>role. </w:t>
      </w:r>
      <w:r>
        <w:rPr>
          <w:sz w:val="20"/>
        </w:rPr>
        <w:t>While they do </w:t>
      </w:r>
      <w:r>
        <w:rPr>
          <w:spacing w:val="-3"/>
          <w:sz w:val="20"/>
        </w:rPr>
        <w:t>receive </w:t>
      </w:r>
      <w:r>
        <w:rPr>
          <w:sz w:val="20"/>
        </w:rPr>
        <w:t>training, audio describers in Australia </w:t>
      </w:r>
      <w:r>
        <w:rPr>
          <w:spacing w:val="-3"/>
          <w:sz w:val="20"/>
        </w:rPr>
        <w:t>are </w:t>
      </w:r>
      <w:r>
        <w:rPr>
          <w:sz w:val="20"/>
        </w:rPr>
        <w:t>not </w:t>
      </w:r>
      <w:r>
        <w:rPr>
          <w:spacing w:val="-3"/>
          <w:sz w:val="20"/>
        </w:rPr>
        <w:t>yet </w:t>
      </w:r>
      <w:r>
        <w:rPr>
          <w:sz w:val="20"/>
        </w:rPr>
        <w:t>as professionalised as Auslan </w:t>
      </w:r>
      <w:r>
        <w:rPr>
          <w:spacing w:val="-3"/>
          <w:sz w:val="20"/>
        </w:rPr>
        <w:t>interpreters.</w:t>
      </w:r>
      <w:r>
        <w:rPr>
          <w:spacing w:val="-7"/>
          <w:sz w:val="20"/>
        </w:rPr>
        <w:t> </w:t>
      </w:r>
      <w:r>
        <w:rPr>
          <w:spacing w:val="-3"/>
          <w:sz w:val="20"/>
        </w:rPr>
        <w:t>At</w:t>
      </w:r>
      <w:r>
        <w:rPr>
          <w:spacing w:val="-6"/>
          <w:sz w:val="20"/>
        </w:rPr>
        <w:t> </w:t>
      </w:r>
      <w:r>
        <w:rPr>
          <w:sz w:val="20"/>
        </w:rPr>
        <w:t>present,</w:t>
      </w:r>
      <w:r>
        <w:rPr>
          <w:spacing w:val="-7"/>
          <w:sz w:val="20"/>
        </w:rPr>
        <w:t> </w:t>
      </w:r>
      <w:r>
        <w:rPr>
          <w:sz w:val="20"/>
        </w:rPr>
        <w:t>audio</w:t>
      </w:r>
      <w:r>
        <w:rPr>
          <w:spacing w:val="-6"/>
          <w:sz w:val="20"/>
        </w:rPr>
        <w:t> </w:t>
      </w:r>
      <w:r>
        <w:rPr>
          <w:sz w:val="20"/>
        </w:rPr>
        <w:t>describers</w:t>
      </w:r>
      <w:r>
        <w:rPr>
          <w:spacing w:val="-6"/>
          <w:sz w:val="20"/>
        </w:rPr>
        <w:t> </w:t>
      </w:r>
      <w:r>
        <w:rPr>
          <w:spacing w:val="-2"/>
          <w:sz w:val="20"/>
        </w:rPr>
        <w:t>mostly</w:t>
      </w:r>
      <w:r>
        <w:rPr>
          <w:spacing w:val="-7"/>
          <w:sz w:val="20"/>
        </w:rPr>
        <w:t> </w:t>
      </w:r>
      <w:r>
        <w:rPr>
          <w:spacing w:val="-3"/>
          <w:sz w:val="20"/>
        </w:rPr>
        <w:t>work</w:t>
      </w:r>
      <w:r>
        <w:rPr>
          <w:spacing w:val="-6"/>
          <w:sz w:val="20"/>
        </w:rPr>
        <w:t> </w:t>
      </w:r>
      <w:r>
        <w:rPr>
          <w:sz w:val="20"/>
        </w:rPr>
        <w:t>in</w:t>
      </w:r>
      <w:r>
        <w:rPr>
          <w:spacing w:val="-7"/>
          <w:sz w:val="20"/>
        </w:rPr>
        <w:t> </w:t>
      </w:r>
      <w:r>
        <w:rPr>
          <w:sz w:val="20"/>
        </w:rPr>
        <w:t>the</w:t>
      </w:r>
      <w:r>
        <w:rPr>
          <w:spacing w:val="-6"/>
          <w:sz w:val="20"/>
        </w:rPr>
        <w:t> </w:t>
      </w:r>
      <w:r>
        <w:rPr>
          <w:sz w:val="20"/>
        </w:rPr>
        <w:t>arts</w:t>
      </w:r>
      <w:r>
        <w:rPr>
          <w:spacing w:val="-6"/>
          <w:sz w:val="20"/>
        </w:rPr>
        <w:t> </w:t>
      </w:r>
      <w:r>
        <w:rPr>
          <w:sz w:val="20"/>
        </w:rPr>
        <w:t>in</w:t>
      </w:r>
      <w:r>
        <w:rPr>
          <w:spacing w:val="-7"/>
          <w:sz w:val="20"/>
        </w:rPr>
        <w:t> </w:t>
      </w:r>
      <w:r>
        <w:rPr>
          <w:sz w:val="20"/>
        </w:rPr>
        <w:t>Australia.</w:t>
      </w:r>
      <w:r>
        <w:rPr>
          <w:position w:val="7"/>
          <w:sz w:val="11"/>
        </w:rPr>
        <w:t>29</w:t>
      </w:r>
      <w:r>
        <w:rPr>
          <w:spacing w:val="19"/>
          <w:position w:val="7"/>
          <w:sz w:val="11"/>
        </w:rPr>
        <w:t> </w:t>
      </w:r>
      <w:r>
        <w:rPr>
          <w:spacing w:val="-4"/>
          <w:sz w:val="20"/>
        </w:rPr>
        <w:t>They have </w:t>
      </w:r>
      <w:r>
        <w:rPr>
          <w:sz w:val="20"/>
        </w:rPr>
        <w:t>not been used in a court</w:t>
      </w:r>
      <w:r>
        <w:rPr>
          <w:spacing w:val="-27"/>
          <w:sz w:val="20"/>
        </w:rPr>
        <w:t> </w:t>
      </w:r>
      <w:r>
        <w:rPr>
          <w:sz w:val="20"/>
        </w:rPr>
        <w:t>context.</w:t>
      </w:r>
    </w:p>
    <w:p>
      <w:pPr>
        <w:pStyle w:val="ListParagraph"/>
        <w:numPr>
          <w:ilvl w:val="1"/>
          <w:numId w:val="12"/>
        </w:numPr>
        <w:tabs>
          <w:tab w:pos="1761" w:val="left" w:leader="none"/>
          <w:tab w:pos="1762" w:val="left" w:leader="none"/>
        </w:tabs>
        <w:spacing w:line="206" w:lineRule="auto" w:before="125" w:after="0"/>
        <w:ind w:left="1761" w:right="1234" w:hanging="794"/>
        <w:jc w:val="left"/>
        <w:rPr>
          <w:sz w:val="11"/>
        </w:rPr>
      </w:pPr>
      <w:r>
        <w:rPr>
          <w:spacing w:val="-3"/>
          <w:sz w:val="20"/>
        </w:rPr>
        <w:t>Further,</w:t>
      </w:r>
      <w:r>
        <w:rPr>
          <w:spacing w:val="-10"/>
          <w:sz w:val="20"/>
        </w:rPr>
        <w:t> </w:t>
      </w:r>
      <w:r>
        <w:rPr>
          <w:sz w:val="20"/>
        </w:rPr>
        <w:t>unlike</w:t>
      </w:r>
      <w:r>
        <w:rPr>
          <w:spacing w:val="-9"/>
          <w:sz w:val="20"/>
        </w:rPr>
        <w:t> </w:t>
      </w:r>
      <w:r>
        <w:rPr>
          <w:sz w:val="20"/>
        </w:rPr>
        <w:t>Auslan</w:t>
      </w:r>
      <w:r>
        <w:rPr>
          <w:spacing w:val="-9"/>
          <w:sz w:val="20"/>
        </w:rPr>
        <w:t> </w:t>
      </w:r>
      <w:r>
        <w:rPr>
          <w:spacing w:val="-3"/>
          <w:sz w:val="20"/>
        </w:rPr>
        <w:t>interpreters,</w:t>
      </w:r>
      <w:r>
        <w:rPr>
          <w:spacing w:val="-9"/>
          <w:sz w:val="20"/>
        </w:rPr>
        <w:t> </w:t>
      </w:r>
      <w:r>
        <w:rPr>
          <w:sz w:val="20"/>
        </w:rPr>
        <w:t>audio</w:t>
      </w:r>
      <w:r>
        <w:rPr>
          <w:spacing w:val="-9"/>
          <w:sz w:val="20"/>
        </w:rPr>
        <w:t> </w:t>
      </w:r>
      <w:r>
        <w:rPr>
          <w:sz w:val="20"/>
        </w:rPr>
        <w:t>describers</w:t>
      </w:r>
      <w:r>
        <w:rPr>
          <w:spacing w:val="-10"/>
          <w:sz w:val="20"/>
        </w:rPr>
        <w:t> </w:t>
      </w:r>
      <w:r>
        <w:rPr>
          <w:spacing w:val="-3"/>
          <w:sz w:val="20"/>
        </w:rPr>
        <w:t>are</w:t>
      </w:r>
      <w:r>
        <w:rPr>
          <w:spacing w:val="-9"/>
          <w:sz w:val="20"/>
        </w:rPr>
        <w:t> </w:t>
      </w:r>
      <w:r>
        <w:rPr>
          <w:sz w:val="20"/>
        </w:rPr>
        <w:t>not</w:t>
      </w:r>
      <w:r>
        <w:rPr>
          <w:spacing w:val="-9"/>
          <w:sz w:val="20"/>
        </w:rPr>
        <w:t> </w:t>
      </w:r>
      <w:r>
        <w:rPr>
          <w:sz w:val="20"/>
        </w:rPr>
        <w:t>subject</w:t>
      </w:r>
      <w:r>
        <w:rPr>
          <w:spacing w:val="-9"/>
          <w:sz w:val="20"/>
        </w:rPr>
        <w:t> </w:t>
      </w:r>
      <w:r>
        <w:rPr>
          <w:sz w:val="20"/>
        </w:rPr>
        <w:t>to</w:t>
      </w:r>
      <w:r>
        <w:rPr>
          <w:spacing w:val="-9"/>
          <w:sz w:val="20"/>
        </w:rPr>
        <w:t> </w:t>
      </w:r>
      <w:r>
        <w:rPr>
          <w:sz w:val="20"/>
        </w:rPr>
        <w:t>a</w:t>
      </w:r>
      <w:r>
        <w:rPr>
          <w:spacing w:val="-10"/>
          <w:sz w:val="20"/>
        </w:rPr>
        <w:t> </w:t>
      </w:r>
      <w:r>
        <w:rPr>
          <w:sz w:val="20"/>
        </w:rPr>
        <w:t>code</w:t>
      </w:r>
      <w:r>
        <w:rPr>
          <w:spacing w:val="-9"/>
          <w:sz w:val="20"/>
        </w:rPr>
        <w:t> </w:t>
      </w:r>
      <w:r>
        <w:rPr>
          <w:sz w:val="20"/>
        </w:rPr>
        <w:t>of</w:t>
      </w:r>
      <w:r>
        <w:rPr>
          <w:spacing w:val="-9"/>
          <w:sz w:val="20"/>
        </w:rPr>
        <w:t> </w:t>
      </w:r>
      <w:r>
        <w:rPr>
          <w:sz w:val="20"/>
        </w:rPr>
        <w:t>ethics, nor</w:t>
      </w:r>
      <w:r>
        <w:rPr>
          <w:spacing w:val="-14"/>
          <w:sz w:val="20"/>
        </w:rPr>
        <w:t> </w:t>
      </w:r>
      <w:r>
        <w:rPr>
          <w:sz w:val="20"/>
        </w:rPr>
        <w:t>do</w:t>
      </w:r>
      <w:r>
        <w:rPr>
          <w:spacing w:val="-13"/>
          <w:sz w:val="20"/>
        </w:rPr>
        <w:t> </w:t>
      </w:r>
      <w:r>
        <w:rPr>
          <w:sz w:val="20"/>
        </w:rPr>
        <w:t>they</w:t>
      </w:r>
      <w:r>
        <w:rPr>
          <w:spacing w:val="-14"/>
          <w:sz w:val="20"/>
        </w:rPr>
        <w:t> </w:t>
      </w:r>
      <w:r>
        <w:rPr>
          <w:sz w:val="20"/>
        </w:rPr>
        <w:t>need</w:t>
      </w:r>
      <w:r>
        <w:rPr>
          <w:spacing w:val="-13"/>
          <w:sz w:val="20"/>
        </w:rPr>
        <w:t> </w:t>
      </w:r>
      <w:r>
        <w:rPr>
          <w:sz w:val="20"/>
        </w:rPr>
        <w:t>to</w:t>
      </w:r>
      <w:r>
        <w:rPr>
          <w:spacing w:val="-14"/>
          <w:sz w:val="20"/>
        </w:rPr>
        <w:t> </w:t>
      </w:r>
      <w:r>
        <w:rPr>
          <w:sz w:val="20"/>
        </w:rPr>
        <w:t>meet</w:t>
      </w:r>
      <w:r>
        <w:rPr>
          <w:spacing w:val="-13"/>
          <w:sz w:val="20"/>
        </w:rPr>
        <w:t> </w:t>
      </w:r>
      <w:r>
        <w:rPr>
          <w:sz w:val="20"/>
        </w:rPr>
        <w:t>rigorous</w:t>
      </w:r>
      <w:r>
        <w:rPr>
          <w:spacing w:val="-14"/>
          <w:sz w:val="20"/>
        </w:rPr>
        <w:t> </w:t>
      </w:r>
      <w:r>
        <w:rPr>
          <w:sz w:val="20"/>
        </w:rPr>
        <w:t>certification</w:t>
      </w:r>
      <w:r>
        <w:rPr>
          <w:spacing w:val="-13"/>
          <w:sz w:val="20"/>
        </w:rPr>
        <w:t> </w:t>
      </w:r>
      <w:r>
        <w:rPr>
          <w:sz w:val="20"/>
        </w:rPr>
        <w:t>requirements.</w:t>
      </w:r>
      <w:r>
        <w:rPr>
          <w:spacing w:val="-14"/>
          <w:sz w:val="20"/>
        </w:rPr>
        <w:t> </w:t>
      </w:r>
      <w:r>
        <w:rPr>
          <w:sz w:val="20"/>
        </w:rPr>
        <w:t>Some</w:t>
      </w:r>
      <w:r>
        <w:rPr>
          <w:spacing w:val="-13"/>
          <w:sz w:val="20"/>
        </w:rPr>
        <w:t> </w:t>
      </w:r>
      <w:r>
        <w:rPr>
          <w:sz w:val="20"/>
        </w:rPr>
        <w:t>training</w:t>
      </w:r>
      <w:r>
        <w:rPr>
          <w:spacing w:val="-14"/>
          <w:sz w:val="20"/>
        </w:rPr>
        <w:t> </w:t>
      </w:r>
      <w:r>
        <w:rPr>
          <w:sz w:val="20"/>
        </w:rPr>
        <w:t>is</w:t>
      </w:r>
      <w:r>
        <w:rPr>
          <w:spacing w:val="-13"/>
          <w:sz w:val="20"/>
        </w:rPr>
        <w:t> </w:t>
      </w:r>
      <w:r>
        <w:rPr>
          <w:sz w:val="20"/>
        </w:rPr>
        <w:t>required, but this is not</w:t>
      </w:r>
      <w:r>
        <w:rPr>
          <w:spacing w:val="-17"/>
          <w:sz w:val="20"/>
        </w:rPr>
        <w:t> </w:t>
      </w:r>
      <w:r>
        <w:rPr>
          <w:sz w:val="20"/>
        </w:rPr>
        <w:t>regulated.</w:t>
      </w:r>
      <w:r>
        <w:rPr>
          <w:position w:val="7"/>
          <w:sz w:val="11"/>
        </w:rPr>
        <w:t>30</w:t>
      </w:r>
    </w:p>
    <w:p>
      <w:pPr>
        <w:pStyle w:val="ListParagraph"/>
        <w:numPr>
          <w:ilvl w:val="1"/>
          <w:numId w:val="12"/>
        </w:numPr>
        <w:tabs>
          <w:tab w:pos="1761" w:val="left" w:leader="none"/>
          <w:tab w:pos="1762" w:val="left" w:leader="none"/>
        </w:tabs>
        <w:spacing w:line="206" w:lineRule="auto" w:before="124" w:after="0"/>
        <w:ind w:left="1761" w:right="1394" w:hanging="794"/>
        <w:jc w:val="left"/>
        <w:rPr>
          <w:sz w:val="20"/>
        </w:rPr>
      </w:pPr>
      <w:r>
        <w:rPr>
          <w:sz w:val="20"/>
        </w:rPr>
        <w:t>If a blind person needs assistance accessing ‘documents, graphs, charts or other written</w:t>
      </w:r>
      <w:r>
        <w:rPr>
          <w:spacing w:val="-10"/>
          <w:sz w:val="20"/>
        </w:rPr>
        <w:t> </w:t>
      </w:r>
      <w:r>
        <w:rPr>
          <w:sz w:val="20"/>
        </w:rPr>
        <w:t>material’,</w:t>
      </w:r>
      <w:r>
        <w:rPr>
          <w:spacing w:val="-9"/>
          <w:sz w:val="20"/>
        </w:rPr>
        <w:t> </w:t>
      </w:r>
      <w:r>
        <w:rPr>
          <w:sz w:val="20"/>
        </w:rPr>
        <w:t>the</w:t>
      </w:r>
      <w:r>
        <w:rPr>
          <w:spacing w:val="-9"/>
          <w:sz w:val="20"/>
        </w:rPr>
        <w:t> </w:t>
      </w:r>
      <w:r>
        <w:rPr>
          <w:spacing w:val="-3"/>
          <w:sz w:val="20"/>
        </w:rPr>
        <w:t>preferred</w:t>
      </w:r>
      <w:r>
        <w:rPr>
          <w:spacing w:val="-9"/>
          <w:sz w:val="20"/>
        </w:rPr>
        <w:t> </w:t>
      </w:r>
      <w:r>
        <w:rPr>
          <w:sz w:val="20"/>
        </w:rPr>
        <w:t>first</w:t>
      </w:r>
      <w:r>
        <w:rPr>
          <w:spacing w:val="-9"/>
          <w:sz w:val="20"/>
        </w:rPr>
        <w:t> </w:t>
      </w:r>
      <w:r>
        <w:rPr>
          <w:sz w:val="20"/>
        </w:rPr>
        <w:t>step</w:t>
      </w:r>
      <w:r>
        <w:rPr>
          <w:spacing w:val="-9"/>
          <w:sz w:val="20"/>
        </w:rPr>
        <w:t> </w:t>
      </w:r>
      <w:r>
        <w:rPr>
          <w:spacing w:val="-3"/>
          <w:sz w:val="20"/>
        </w:rPr>
        <w:t>would</w:t>
      </w:r>
      <w:r>
        <w:rPr>
          <w:spacing w:val="-9"/>
          <w:sz w:val="20"/>
        </w:rPr>
        <w:t> </w:t>
      </w:r>
      <w:r>
        <w:rPr>
          <w:sz w:val="20"/>
        </w:rPr>
        <w:t>be</w:t>
      </w:r>
      <w:r>
        <w:rPr>
          <w:spacing w:val="-9"/>
          <w:sz w:val="20"/>
        </w:rPr>
        <w:t> </w:t>
      </w:r>
      <w:r>
        <w:rPr>
          <w:sz w:val="20"/>
        </w:rPr>
        <w:t>for</w:t>
      </w:r>
      <w:r>
        <w:rPr>
          <w:spacing w:val="-9"/>
          <w:sz w:val="20"/>
        </w:rPr>
        <w:t> </w:t>
      </w:r>
      <w:r>
        <w:rPr>
          <w:sz w:val="20"/>
        </w:rPr>
        <w:t>the</w:t>
      </w:r>
      <w:r>
        <w:rPr>
          <w:spacing w:val="-9"/>
          <w:sz w:val="20"/>
        </w:rPr>
        <w:t> </w:t>
      </w:r>
      <w:r>
        <w:rPr>
          <w:sz w:val="20"/>
        </w:rPr>
        <w:t>judge</w:t>
      </w:r>
      <w:r>
        <w:rPr>
          <w:spacing w:val="-9"/>
          <w:sz w:val="20"/>
        </w:rPr>
        <w:t> </w:t>
      </w:r>
      <w:r>
        <w:rPr>
          <w:sz w:val="20"/>
        </w:rPr>
        <w:t>to</w:t>
      </w:r>
      <w:r>
        <w:rPr>
          <w:spacing w:val="-9"/>
          <w:sz w:val="20"/>
        </w:rPr>
        <w:t> </w:t>
      </w:r>
      <w:r>
        <w:rPr>
          <w:sz w:val="20"/>
        </w:rPr>
        <w:t>ask</w:t>
      </w:r>
      <w:r>
        <w:rPr>
          <w:spacing w:val="-9"/>
          <w:sz w:val="20"/>
        </w:rPr>
        <w:t> </w:t>
      </w:r>
      <w:r>
        <w:rPr>
          <w:sz w:val="20"/>
        </w:rPr>
        <w:t>counsel</w:t>
      </w:r>
      <w:r>
        <w:rPr>
          <w:spacing w:val="-9"/>
          <w:sz w:val="20"/>
        </w:rPr>
        <w:t> </w:t>
      </w:r>
      <w:r>
        <w:rPr>
          <w:sz w:val="20"/>
        </w:rPr>
        <w:t>to</w:t>
      </w:r>
      <w:r>
        <w:rPr>
          <w:spacing w:val="-9"/>
          <w:sz w:val="20"/>
        </w:rPr>
        <w:t> </w:t>
      </w:r>
      <w:r>
        <w:rPr>
          <w:spacing w:val="-3"/>
          <w:sz w:val="20"/>
        </w:rPr>
        <w:t>read </w:t>
      </w:r>
      <w:r>
        <w:rPr>
          <w:sz w:val="20"/>
        </w:rPr>
        <w:t>out </w:t>
      </w:r>
      <w:r>
        <w:rPr>
          <w:spacing w:val="-3"/>
          <w:sz w:val="20"/>
        </w:rPr>
        <w:t>any </w:t>
      </w:r>
      <w:r>
        <w:rPr>
          <w:sz w:val="20"/>
        </w:rPr>
        <w:t>visual exhibits in court.</w:t>
      </w:r>
      <w:r>
        <w:rPr>
          <w:position w:val="7"/>
          <w:sz w:val="11"/>
        </w:rPr>
        <w:t>31 </w:t>
      </w:r>
      <w:r>
        <w:rPr>
          <w:sz w:val="20"/>
        </w:rPr>
        <w:t>It </w:t>
      </w:r>
      <w:r>
        <w:rPr>
          <w:spacing w:val="-3"/>
          <w:sz w:val="20"/>
        </w:rPr>
        <w:t>may </w:t>
      </w:r>
      <w:r>
        <w:rPr>
          <w:sz w:val="20"/>
        </w:rPr>
        <w:t>also be that some simple material could be described</w:t>
      </w:r>
      <w:r>
        <w:rPr>
          <w:spacing w:val="-6"/>
          <w:sz w:val="20"/>
        </w:rPr>
        <w:t> </w:t>
      </w:r>
      <w:r>
        <w:rPr>
          <w:spacing w:val="-3"/>
          <w:sz w:val="20"/>
        </w:rPr>
        <w:t>by</w:t>
      </w:r>
      <w:r>
        <w:rPr>
          <w:spacing w:val="-5"/>
          <w:sz w:val="20"/>
        </w:rPr>
        <w:t> </w:t>
      </w:r>
      <w:r>
        <w:rPr>
          <w:sz w:val="20"/>
        </w:rPr>
        <w:t>counsel</w:t>
      </w:r>
      <w:r>
        <w:rPr>
          <w:spacing w:val="-6"/>
          <w:sz w:val="20"/>
        </w:rPr>
        <w:t> </w:t>
      </w:r>
      <w:r>
        <w:rPr>
          <w:sz w:val="20"/>
        </w:rPr>
        <w:t>in</w:t>
      </w:r>
      <w:r>
        <w:rPr>
          <w:spacing w:val="-5"/>
          <w:sz w:val="20"/>
        </w:rPr>
        <w:t> </w:t>
      </w:r>
      <w:r>
        <w:rPr>
          <w:sz w:val="20"/>
        </w:rPr>
        <w:t>open</w:t>
      </w:r>
      <w:r>
        <w:rPr>
          <w:spacing w:val="-5"/>
          <w:sz w:val="20"/>
        </w:rPr>
        <w:t> </w:t>
      </w:r>
      <w:r>
        <w:rPr>
          <w:sz w:val="20"/>
        </w:rPr>
        <w:t>court</w:t>
      </w:r>
      <w:r>
        <w:rPr>
          <w:spacing w:val="-6"/>
          <w:sz w:val="20"/>
        </w:rPr>
        <w:t> </w:t>
      </w:r>
      <w:r>
        <w:rPr>
          <w:sz w:val="20"/>
        </w:rPr>
        <w:t>or</w:t>
      </w:r>
      <w:r>
        <w:rPr>
          <w:spacing w:val="-5"/>
          <w:sz w:val="20"/>
        </w:rPr>
        <w:t> </w:t>
      </w:r>
      <w:r>
        <w:rPr>
          <w:sz w:val="20"/>
        </w:rPr>
        <w:t>a</w:t>
      </w:r>
      <w:r>
        <w:rPr>
          <w:spacing w:val="-6"/>
          <w:sz w:val="20"/>
        </w:rPr>
        <w:t> </w:t>
      </w:r>
      <w:r>
        <w:rPr>
          <w:spacing w:val="-3"/>
          <w:sz w:val="20"/>
        </w:rPr>
        <w:t>fellow</w:t>
      </w:r>
      <w:r>
        <w:rPr>
          <w:spacing w:val="-5"/>
          <w:sz w:val="20"/>
        </w:rPr>
        <w:t> </w:t>
      </w:r>
      <w:r>
        <w:rPr>
          <w:sz w:val="20"/>
        </w:rPr>
        <w:t>juror</w:t>
      </w:r>
      <w:r>
        <w:rPr>
          <w:spacing w:val="-5"/>
          <w:sz w:val="20"/>
        </w:rPr>
        <w:t> </w:t>
      </w:r>
      <w:r>
        <w:rPr>
          <w:sz w:val="20"/>
        </w:rPr>
        <w:t>in</w:t>
      </w:r>
      <w:r>
        <w:rPr>
          <w:spacing w:val="-6"/>
          <w:sz w:val="20"/>
        </w:rPr>
        <w:t> </w:t>
      </w:r>
      <w:r>
        <w:rPr>
          <w:sz w:val="20"/>
        </w:rPr>
        <w:t>deliberations.</w:t>
      </w:r>
    </w:p>
    <w:p>
      <w:pPr>
        <w:pStyle w:val="ListParagraph"/>
        <w:numPr>
          <w:ilvl w:val="1"/>
          <w:numId w:val="12"/>
        </w:numPr>
        <w:tabs>
          <w:tab w:pos="1761" w:val="left" w:leader="none"/>
          <w:tab w:pos="1762" w:val="left" w:leader="none"/>
        </w:tabs>
        <w:spacing w:line="206" w:lineRule="auto" w:before="125" w:after="0"/>
        <w:ind w:left="1761" w:right="1372" w:hanging="794"/>
        <w:jc w:val="left"/>
        <w:rPr>
          <w:sz w:val="20"/>
        </w:rPr>
      </w:pPr>
      <w:r>
        <w:rPr>
          <w:sz w:val="20"/>
        </w:rPr>
        <w:t>When audio description becomes more professionalised and regulated in Australia, audio</w:t>
      </w:r>
      <w:r>
        <w:rPr>
          <w:spacing w:val="-9"/>
          <w:sz w:val="20"/>
        </w:rPr>
        <w:t> </w:t>
      </w:r>
      <w:r>
        <w:rPr>
          <w:sz w:val="20"/>
        </w:rPr>
        <w:t>describers</w:t>
      </w:r>
      <w:r>
        <w:rPr>
          <w:spacing w:val="-9"/>
          <w:sz w:val="20"/>
        </w:rPr>
        <w:t> </w:t>
      </w:r>
      <w:r>
        <w:rPr>
          <w:spacing w:val="-3"/>
          <w:sz w:val="20"/>
        </w:rPr>
        <w:t>may</w:t>
      </w:r>
      <w:r>
        <w:rPr>
          <w:spacing w:val="-9"/>
          <w:sz w:val="20"/>
        </w:rPr>
        <w:t> </w:t>
      </w:r>
      <w:r>
        <w:rPr>
          <w:sz w:val="20"/>
        </w:rPr>
        <w:t>take</w:t>
      </w:r>
      <w:r>
        <w:rPr>
          <w:spacing w:val="-9"/>
          <w:sz w:val="20"/>
        </w:rPr>
        <w:t> </w:t>
      </w:r>
      <w:r>
        <w:rPr>
          <w:sz w:val="20"/>
        </w:rPr>
        <w:t>on</w:t>
      </w:r>
      <w:r>
        <w:rPr>
          <w:spacing w:val="-9"/>
          <w:sz w:val="20"/>
        </w:rPr>
        <w:t> </w:t>
      </w:r>
      <w:r>
        <w:rPr>
          <w:sz w:val="20"/>
        </w:rPr>
        <w:t>the</w:t>
      </w:r>
      <w:r>
        <w:rPr>
          <w:spacing w:val="-9"/>
          <w:sz w:val="20"/>
        </w:rPr>
        <w:t> </w:t>
      </w:r>
      <w:r>
        <w:rPr>
          <w:sz w:val="20"/>
        </w:rPr>
        <w:t>support</w:t>
      </w:r>
      <w:r>
        <w:rPr>
          <w:spacing w:val="-9"/>
          <w:sz w:val="20"/>
        </w:rPr>
        <w:t> </w:t>
      </w:r>
      <w:r>
        <w:rPr>
          <w:sz w:val="20"/>
        </w:rPr>
        <w:t>person</w:t>
      </w:r>
      <w:r>
        <w:rPr>
          <w:spacing w:val="-9"/>
          <w:sz w:val="20"/>
        </w:rPr>
        <w:t> </w:t>
      </w:r>
      <w:r>
        <w:rPr>
          <w:spacing w:val="-3"/>
          <w:sz w:val="20"/>
        </w:rPr>
        <w:t>role</w:t>
      </w:r>
      <w:r>
        <w:rPr>
          <w:spacing w:val="-9"/>
          <w:sz w:val="20"/>
        </w:rPr>
        <w:t> </w:t>
      </w:r>
      <w:r>
        <w:rPr>
          <w:sz w:val="20"/>
        </w:rPr>
        <w:t>with</w:t>
      </w:r>
      <w:r>
        <w:rPr>
          <w:spacing w:val="-9"/>
          <w:sz w:val="20"/>
        </w:rPr>
        <w:t> </w:t>
      </w:r>
      <w:r>
        <w:rPr>
          <w:spacing w:val="-3"/>
          <w:sz w:val="20"/>
        </w:rPr>
        <w:t>appropriate</w:t>
      </w:r>
      <w:r>
        <w:rPr>
          <w:spacing w:val="-9"/>
          <w:sz w:val="20"/>
        </w:rPr>
        <w:t> </w:t>
      </w:r>
      <w:r>
        <w:rPr>
          <w:sz w:val="20"/>
        </w:rPr>
        <w:t>training.</w:t>
      </w:r>
      <w:r>
        <w:rPr>
          <w:spacing w:val="-9"/>
          <w:sz w:val="20"/>
        </w:rPr>
        <w:t> </w:t>
      </w:r>
      <w:r>
        <w:rPr>
          <w:sz w:val="20"/>
        </w:rPr>
        <w:t>Vision Australia</w:t>
      </w:r>
      <w:r>
        <w:rPr>
          <w:spacing w:val="-6"/>
          <w:sz w:val="20"/>
        </w:rPr>
        <w:t> </w:t>
      </w:r>
      <w:r>
        <w:rPr>
          <w:spacing w:val="-3"/>
          <w:sz w:val="20"/>
        </w:rPr>
        <w:t>referred</w:t>
      </w:r>
      <w:r>
        <w:rPr>
          <w:spacing w:val="-5"/>
          <w:sz w:val="20"/>
        </w:rPr>
        <w:t> </w:t>
      </w:r>
      <w:r>
        <w:rPr>
          <w:sz w:val="20"/>
        </w:rPr>
        <w:t>to</w:t>
      </w:r>
      <w:r>
        <w:rPr>
          <w:spacing w:val="-6"/>
          <w:sz w:val="20"/>
        </w:rPr>
        <w:t> </w:t>
      </w:r>
      <w:r>
        <w:rPr>
          <w:sz w:val="20"/>
        </w:rPr>
        <w:t>the</w:t>
      </w:r>
      <w:r>
        <w:rPr>
          <w:spacing w:val="-5"/>
          <w:sz w:val="20"/>
        </w:rPr>
        <w:t> </w:t>
      </w:r>
      <w:r>
        <w:rPr>
          <w:sz w:val="20"/>
        </w:rPr>
        <w:t>importance</w:t>
      </w:r>
      <w:r>
        <w:rPr>
          <w:spacing w:val="-6"/>
          <w:sz w:val="20"/>
        </w:rPr>
        <w:t> </w:t>
      </w:r>
      <w:r>
        <w:rPr>
          <w:sz w:val="20"/>
        </w:rPr>
        <w:t>of</w:t>
      </w:r>
      <w:r>
        <w:rPr>
          <w:spacing w:val="-5"/>
          <w:sz w:val="20"/>
        </w:rPr>
        <w:t> </w:t>
      </w:r>
      <w:r>
        <w:rPr>
          <w:sz w:val="20"/>
        </w:rPr>
        <w:t>training</w:t>
      </w:r>
      <w:r>
        <w:rPr>
          <w:spacing w:val="-5"/>
          <w:sz w:val="20"/>
        </w:rPr>
        <w:t> </w:t>
      </w:r>
      <w:r>
        <w:rPr>
          <w:sz w:val="20"/>
        </w:rPr>
        <w:t>for</w:t>
      </w:r>
      <w:r>
        <w:rPr>
          <w:spacing w:val="-6"/>
          <w:sz w:val="20"/>
        </w:rPr>
        <w:t> </w:t>
      </w:r>
      <w:r>
        <w:rPr>
          <w:sz w:val="20"/>
        </w:rPr>
        <w:t>an</w:t>
      </w:r>
      <w:r>
        <w:rPr>
          <w:spacing w:val="-5"/>
          <w:sz w:val="20"/>
        </w:rPr>
        <w:t> </w:t>
      </w:r>
      <w:r>
        <w:rPr>
          <w:sz w:val="20"/>
        </w:rPr>
        <w:t>audio</w:t>
      </w:r>
      <w:r>
        <w:rPr>
          <w:spacing w:val="-6"/>
          <w:sz w:val="20"/>
        </w:rPr>
        <w:t> </w:t>
      </w:r>
      <w:r>
        <w:rPr>
          <w:sz w:val="20"/>
        </w:rPr>
        <w:t>describer:</w:t>
      </w:r>
    </w:p>
    <w:p>
      <w:pPr>
        <w:spacing w:line="208" w:lineRule="auto" w:before="121"/>
        <w:ind w:left="2157" w:right="1277" w:firstLine="0"/>
        <w:jc w:val="left"/>
        <w:rPr>
          <w:sz w:val="19"/>
        </w:rPr>
      </w:pPr>
      <w:r>
        <w:rPr>
          <w:sz w:val="19"/>
        </w:rPr>
        <w:t>It is important that the support person is trained in the art of audio description. Their role is to describe the facts on the page, not to provide interpretation. There are skills involved in that process, and they are skills that can be taught and can be learned.</w:t>
      </w:r>
    </w:p>
    <w:p>
      <w:pPr>
        <w:spacing w:line="237" w:lineRule="exact" w:before="0"/>
        <w:ind w:left="2157" w:right="0" w:firstLine="0"/>
        <w:jc w:val="left"/>
        <w:rPr>
          <w:sz w:val="11"/>
        </w:rPr>
      </w:pPr>
      <w:r>
        <w:rPr>
          <w:sz w:val="19"/>
        </w:rPr>
        <w:t>This is important to alleviate concerns about the supporter being a 13th juror.</w:t>
      </w:r>
      <w:r>
        <w:rPr>
          <w:position w:val="6"/>
          <w:sz w:val="11"/>
        </w:rPr>
        <w:t>32</w:t>
      </w:r>
    </w:p>
    <w:p>
      <w:pPr>
        <w:pStyle w:val="BodyText"/>
      </w:pPr>
    </w:p>
    <w:p>
      <w:pPr>
        <w:pStyle w:val="BodyText"/>
        <w:spacing w:before="11"/>
        <w:rPr>
          <w:sz w:val="11"/>
        </w:rPr>
      </w:pPr>
      <w:r>
        <w:rPr/>
        <w:pict>
          <v:line style="position:absolute;mso-position-horizontal-relative:page;mso-position-vertical-relative:paragraph;z-index:9176;mso-wrap-distance-left:0;mso-wrap-distance-right:0" from="79.370102pt,10.640146pt" to="515.905102pt,10.640146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18"/>
        </w:rPr>
      </w:pPr>
    </w:p>
    <w:p>
      <w:pPr>
        <w:spacing w:before="0"/>
        <w:ind w:left="100" w:right="0" w:firstLine="0"/>
        <w:jc w:val="left"/>
        <w:rPr>
          <w:b/>
          <w:sz w:val="24"/>
        </w:rPr>
      </w:pPr>
      <w:r>
        <w:rPr>
          <w:b/>
          <w:color w:val="37617A"/>
          <w:sz w:val="24"/>
        </w:rPr>
        <w:t>174</w:t>
      </w:r>
    </w:p>
    <w:p>
      <w:pPr>
        <w:pStyle w:val="ListParagraph"/>
        <w:numPr>
          <w:ilvl w:val="0"/>
          <w:numId w:val="104"/>
        </w:numPr>
        <w:tabs>
          <w:tab w:pos="893" w:val="left" w:leader="none"/>
          <w:tab w:pos="894" w:val="left" w:leader="none"/>
        </w:tabs>
        <w:spacing w:line="170" w:lineRule="exact" w:before="21" w:after="0"/>
        <w:ind w:left="893" w:right="0" w:hanging="793"/>
        <w:jc w:val="left"/>
        <w:rPr>
          <w:sz w:val="13"/>
        </w:rPr>
      </w:pPr>
      <w:r>
        <w:rPr>
          <w:spacing w:val="6"/>
          <w:w w:val="101"/>
          <w:sz w:val="13"/>
        </w:rPr>
        <w:br w:type="column"/>
      </w:r>
      <w:r>
        <w:rPr>
          <w:spacing w:val="2"/>
          <w:sz w:val="13"/>
        </w:rPr>
        <w:t>‘What </w:t>
      </w:r>
      <w:r>
        <w:rPr>
          <w:sz w:val="13"/>
        </w:rPr>
        <w:t>Is Audio Description?’, </w:t>
      </w:r>
      <w:r>
        <w:rPr>
          <w:i/>
          <w:sz w:val="13"/>
        </w:rPr>
        <w:t>Audio Description Training Retreats </w:t>
      </w:r>
      <w:r>
        <w:rPr>
          <w:sz w:val="13"/>
        </w:rPr>
        <w:t>(Web Page)</w:t>
      </w:r>
      <w:r>
        <w:rPr>
          <w:spacing w:val="23"/>
          <w:sz w:val="13"/>
        </w:rPr>
        <w:t> </w:t>
      </w:r>
      <w:r>
        <w:rPr>
          <w:sz w:val="13"/>
        </w:rPr>
        <w:t>&lt;</w:t>
      </w:r>
      <w:hyperlink r:id="rId233">
        <w:r>
          <w:rPr>
            <w:sz w:val="13"/>
          </w:rPr>
          <w:t>http://www.adtrainingretreats.com/aboutad.php</w:t>
        </w:r>
      </w:hyperlink>
      <w:r>
        <w:rPr>
          <w:sz w:val="13"/>
        </w:rPr>
        <w:t>&gt;.</w:t>
      </w:r>
    </w:p>
    <w:p>
      <w:pPr>
        <w:pStyle w:val="ListParagraph"/>
        <w:numPr>
          <w:ilvl w:val="0"/>
          <w:numId w:val="104"/>
        </w:numPr>
        <w:tabs>
          <w:tab w:pos="893" w:val="left" w:leader="none"/>
          <w:tab w:pos="894" w:val="left" w:leader="none"/>
        </w:tabs>
        <w:spacing w:line="160" w:lineRule="exact" w:before="0" w:after="0"/>
        <w:ind w:left="893" w:right="0" w:hanging="793"/>
        <w:jc w:val="left"/>
        <w:rPr>
          <w:sz w:val="13"/>
        </w:rPr>
      </w:pPr>
      <w:r>
        <w:rPr>
          <w:sz w:val="13"/>
        </w:rPr>
        <w:t>Consultation 29 </w:t>
      </w:r>
      <w:r>
        <w:rPr>
          <w:spacing w:val="2"/>
          <w:sz w:val="13"/>
        </w:rPr>
        <w:t>(Service </w:t>
      </w:r>
      <w:r>
        <w:rPr>
          <w:sz w:val="13"/>
        </w:rPr>
        <w:t>Coordinator, Description Victoria).</w:t>
      </w:r>
    </w:p>
    <w:p>
      <w:pPr>
        <w:pStyle w:val="ListParagraph"/>
        <w:numPr>
          <w:ilvl w:val="0"/>
          <w:numId w:val="104"/>
        </w:numPr>
        <w:tabs>
          <w:tab w:pos="893" w:val="left" w:leader="none"/>
          <w:tab w:pos="894" w:val="left" w:leader="none"/>
        </w:tabs>
        <w:spacing w:line="160" w:lineRule="exact" w:before="0" w:after="0"/>
        <w:ind w:left="893" w:right="0" w:hanging="793"/>
        <w:jc w:val="left"/>
        <w:rPr>
          <w:sz w:val="13"/>
        </w:rPr>
      </w:pPr>
      <w:r>
        <w:rPr>
          <w:sz w:val="13"/>
        </w:rPr>
        <w:t>Royal Holloway, University of London, ‘Creating Audio Description: Equality, Diversity, and Inclusion’, </w:t>
      </w:r>
      <w:r>
        <w:rPr>
          <w:i/>
          <w:sz w:val="13"/>
        </w:rPr>
        <w:t>FutureLearn </w:t>
      </w:r>
      <w:r>
        <w:rPr>
          <w:sz w:val="13"/>
        </w:rPr>
        <w:t>(Web</w:t>
      </w:r>
      <w:r>
        <w:rPr>
          <w:spacing w:val="25"/>
          <w:sz w:val="13"/>
        </w:rPr>
        <w:t> </w:t>
      </w:r>
      <w:r>
        <w:rPr>
          <w:sz w:val="13"/>
        </w:rPr>
        <w:t>Page)</w:t>
      </w:r>
    </w:p>
    <w:p>
      <w:pPr>
        <w:spacing w:line="160" w:lineRule="exact" w:before="0"/>
        <w:ind w:left="893" w:right="0" w:firstLine="0"/>
        <w:jc w:val="left"/>
        <w:rPr>
          <w:sz w:val="13"/>
        </w:rPr>
      </w:pPr>
      <w:r>
        <w:rPr>
          <w:sz w:val="13"/>
        </w:rPr>
        <w:t>&lt;</w:t>
      </w:r>
      <w:hyperlink r:id="rId234">
        <w:r>
          <w:rPr>
            <w:sz w:val="13"/>
          </w:rPr>
          <w:t>https://www.futurelearn.com/courses/creating-audio-description-for-equality-diversity-and-inclusion/1</w:t>
        </w:r>
      </w:hyperlink>
      <w:r>
        <w:rPr>
          <w:sz w:val="13"/>
        </w:rPr>
        <w:t>&gt;.</w:t>
      </w:r>
    </w:p>
    <w:p>
      <w:pPr>
        <w:pStyle w:val="ListParagraph"/>
        <w:numPr>
          <w:ilvl w:val="0"/>
          <w:numId w:val="104"/>
        </w:numPr>
        <w:tabs>
          <w:tab w:pos="893" w:val="left" w:leader="none"/>
          <w:tab w:pos="894" w:val="left" w:leader="none"/>
        </w:tabs>
        <w:spacing w:line="160" w:lineRule="exact" w:before="0" w:after="0"/>
        <w:ind w:left="893" w:right="0" w:hanging="793"/>
        <w:jc w:val="left"/>
        <w:rPr>
          <w:sz w:val="13"/>
        </w:rPr>
      </w:pPr>
      <w:r>
        <w:rPr>
          <w:sz w:val="13"/>
        </w:rPr>
        <w:t>‘The</w:t>
      </w:r>
      <w:r>
        <w:rPr>
          <w:spacing w:val="2"/>
          <w:sz w:val="13"/>
        </w:rPr>
        <w:t> </w:t>
      </w:r>
      <w:r>
        <w:rPr>
          <w:sz w:val="13"/>
        </w:rPr>
        <w:t>Audio</w:t>
      </w:r>
      <w:r>
        <w:rPr>
          <w:spacing w:val="3"/>
          <w:sz w:val="13"/>
        </w:rPr>
        <w:t> </w:t>
      </w:r>
      <w:r>
        <w:rPr>
          <w:sz w:val="13"/>
        </w:rPr>
        <w:t>Description</w:t>
      </w:r>
      <w:r>
        <w:rPr>
          <w:spacing w:val="3"/>
          <w:sz w:val="13"/>
        </w:rPr>
        <w:t> </w:t>
      </w:r>
      <w:r>
        <w:rPr>
          <w:sz w:val="13"/>
        </w:rPr>
        <w:t>Project:</w:t>
      </w:r>
      <w:r>
        <w:rPr>
          <w:spacing w:val="2"/>
          <w:sz w:val="13"/>
        </w:rPr>
        <w:t> </w:t>
      </w:r>
      <w:r>
        <w:rPr>
          <w:sz w:val="13"/>
        </w:rPr>
        <w:t>Audio</w:t>
      </w:r>
      <w:r>
        <w:rPr>
          <w:spacing w:val="3"/>
          <w:sz w:val="13"/>
        </w:rPr>
        <w:t> </w:t>
      </w:r>
      <w:r>
        <w:rPr>
          <w:sz w:val="13"/>
        </w:rPr>
        <w:t>Description</w:t>
      </w:r>
      <w:r>
        <w:rPr>
          <w:spacing w:val="3"/>
          <w:sz w:val="13"/>
        </w:rPr>
        <w:t> </w:t>
      </w:r>
      <w:r>
        <w:rPr>
          <w:sz w:val="13"/>
        </w:rPr>
        <w:t>Training</w:t>
      </w:r>
      <w:r>
        <w:rPr>
          <w:spacing w:val="3"/>
          <w:sz w:val="13"/>
        </w:rPr>
        <w:t> </w:t>
      </w:r>
      <w:r>
        <w:rPr>
          <w:sz w:val="13"/>
        </w:rPr>
        <w:t>and</w:t>
      </w:r>
      <w:r>
        <w:rPr>
          <w:spacing w:val="2"/>
          <w:sz w:val="13"/>
        </w:rPr>
        <w:t> </w:t>
      </w:r>
      <w:r>
        <w:rPr>
          <w:sz w:val="13"/>
        </w:rPr>
        <w:t>Education</w:t>
      </w:r>
      <w:r>
        <w:rPr>
          <w:spacing w:val="3"/>
          <w:sz w:val="13"/>
        </w:rPr>
        <w:t> </w:t>
      </w:r>
      <w:r>
        <w:rPr>
          <w:sz w:val="13"/>
        </w:rPr>
        <w:t>Resources’,</w:t>
      </w:r>
      <w:r>
        <w:rPr>
          <w:spacing w:val="3"/>
          <w:sz w:val="13"/>
        </w:rPr>
        <w:t> </w:t>
      </w:r>
      <w:r>
        <w:rPr>
          <w:i/>
          <w:sz w:val="13"/>
        </w:rPr>
        <w:t>American</w:t>
      </w:r>
      <w:r>
        <w:rPr>
          <w:i/>
          <w:spacing w:val="2"/>
          <w:sz w:val="13"/>
        </w:rPr>
        <w:t> </w:t>
      </w:r>
      <w:r>
        <w:rPr>
          <w:i/>
          <w:sz w:val="13"/>
        </w:rPr>
        <w:t>Council</w:t>
      </w:r>
      <w:r>
        <w:rPr>
          <w:i/>
          <w:spacing w:val="3"/>
          <w:sz w:val="13"/>
        </w:rPr>
        <w:t> </w:t>
      </w:r>
      <w:r>
        <w:rPr>
          <w:i/>
          <w:sz w:val="13"/>
        </w:rPr>
        <w:t>for</w:t>
      </w:r>
      <w:r>
        <w:rPr>
          <w:i/>
          <w:spacing w:val="3"/>
          <w:sz w:val="13"/>
        </w:rPr>
        <w:t> </w:t>
      </w:r>
      <w:r>
        <w:rPr>
          <w:i/>
          <w:sz w:val="13"/>
        </w:rPr>
        <w:t>the</w:t>
      </w:r>
      <w:r>
        <w:rPr>
          <w:i/>
          <w:spacing w:val="2"/>
          <w:sz w:val="13"/>
        </w:rPr>
        <w:t> </w:t>
      </w:r>
      <w:r>
        <w:rPr>
          <w:i/>
          <w:sz w:val="13"/>
        </w:rPr>
        <w:t>Blind</w:t>
      </w:r>
      <w:r>
        <w:rPr>
          <w:i/>
          <w:spacing w:val="3"/>
          <w:sz w:val="13"/>
        </w:rPr>
        <w:t> </w:t>
      </w:r>
      <w:r>
        <w:rPr>
          <w:sz w:val="13"/>
        </w:rPr>
        <w:t>(Web</w:t>
      </w:r>
      <w:r>
        <w:rPr>
          <w:spacing w:val="3"/>
          <w:sz w:val="13"/>
        </w:rPr>
        <w:t> </w:t>
      </w:r>
      <w:r>
        <w:rPr>
          <w:sz w:val="13"/>
        </w:rPr>
        <w:t>Page)</w:t>
      </w:r>
    </w:p>
    <w:p>
      <w:pPr>
        <w:spacing w:line="160" w:lineRule="exact" w:before="0"/>
        <w:ind w:left="893" w:right="0" w:firstLine="0"/>
        <w:jc w:val="left"/>
        <w:rPr>
          <w:sz w:val="13"/>
        </w:rPr>
      </w:pPr>
      <w:r>
        <w:rPr>
          <w:sz w:val="13"/>
        </w:rPr>
        <w:t>&lt;</w:t>
      </w:r>
      <w:hyperlink r:id="rId235">
        <w:r>
          <w:rPr>
            <w:sz w:val="13"/>
          </w:rPr>
          <w:t>https://adp.acb.org/education.html</w:t>
        </w:r>
      </w:hyperlink>
      <w:r>
        <w:rPr>
          <w:sz w:val="13"/>
        </w:rPr>
        <w:t>&gt;.</w:t>
      </w:r>
    </w:p>
    <w:p>
      <w:pPr>
        <w:pStyle w:val="ListParagraph"/>
        <w:numPr>
          <w:ilvl w:val="0"/>
          <w:numId w:val="104"/>
        </w:numPr>
        <w:tabs>
          <w:tab w:pos="893" w:val="left" w:leader="none"/>
          <w:tab w:pos="894" w:val="left" w:leader="none"/>
        </w:tabs>
        <w:spacing w:line="160" w:lineRule="exact" w:before="0" w:after="0"/>
        <w:ind w:left="893" w:right="0" w:hanging="793"/>
        <w:jc w:val="left"/>
        <w:rPr>
          <w:sz w:val="13"/>
        </w:rPr>
      </w:pPr>
      <w:r>
        <w:rPr>
          <w:spacing w:val="2"/>
          <w:sz w:val="13"/>
        </w:rPr>
        <w:t>‘Upcoming </w:t>
      </w:r>
      <w:r>
        <w:rPr>
          <w:sz w:val="13"/>
        </w:rPr>
        <w:t>Retreats’, </w:t>
      </w:r>
      <w:r>
        <w:rPr>
          <w:i/>
          <w:sz w:val="13"/>
        </w:rPr>
        <w:t>Audio Description Training Retreats </w:t>
      </w:r>
      <w:r>
        <w:rPr>
          <w:sz w:val="13"/>
        </w:rPr>
        <w:t>(Web Page)</w:t>
      </w:r>
      <w:r>
        <w:rPr>
          <w:spacing w:val="11"/>
          <w:sz w:val="13"/>
        </w:rPr>
        <w:t> </w:t>
      </w:r>
      <w:r>
        <w:rPr>
          <w:sz w:val="13"/>
        </w:rPr>
        <w:t>&lt;</w:t>
      </w:r>
      <w:hyperlink r:id="rId236">
        <w:r>
          <w:rPr>
            <w:sz w:val="13"/>
          </w:rPr>
          <w:t>http://www.adtrainingretreats.com/upcoming.php</w:t>
        </w:r>
      </w:hyperlink>
      <w:r>
        <w:rPr>
          <w:sz w:val="13"/>
        </w:rPr>
        <w:t>&gt;.</w:t>
      </w:r>
    </w:p>
    <w:p>
      <w:pPr>
        <w:pStyle w:val="ListParagraph"/>
        <w:numPr>
          <w:ilvl w:val="0"/>
          <w:numId w:val="104"/>
        </w:numPr>
        <w:tabs>
          <w:tab w:pos="893" w:val="left" w:leader="none"/>
          <w:tab w:pos="894" w:val="left" w:leader="none"/>
        </w:tabs>
        <w:spacing w:line="213" w:lineRule="auto" w:before="7" w:after="0"/>
        <w:ind w:left="893" w:right="1506" w:hanging="793"/>
        <w:jc w:val="left"/>
        <w:rPr>
          <w:sz w:val="13"/>
        </w:rPr>
      </w:pPr>
      <w:r>
        <w:rPr>
          <w:sz w:val="13"/>
        </w:rPr>
        <w:t>Consultation 1 </w:t>
      </w:r>
      <w:r>
        <w:rPr>
          <w:spacing w:val="2"/>
          <w:sz w:val="13"/>
        </w:rPr>
        <w:t>(Blind </w:t>
      </w:r>
      <w:r>
        <w:rPr>
          <w:sz w:val="13"/>
        </w:rPr>
        <w:t>Citizens Australia). Also Consultation 22 (Daniel Stubbs, Victorian </w:t>
      </w:r>
      <w:r>
        <w:rPr>
          <w:spacing w:val="2"/>
          <w:sz w:val="13"/>
        </w:rPr>
        <w:t>Disability </w:t>
      </w:r>
      <w:r>
        <w:rPr>
          <w:sz w:val="13"/>
        </w:rPr>
        <w:t>Worker Commissioner, in his personal capacity).</w:t>
      </w:r>
    </w:p>
    <w:p>
      <w:pPr>
        <w:pStyle w:val="ListParagraph"/>
        <w:numPr>
          <w:ilvl w:val="0"/>
          <w:numId w:val="104"/>
        </w:numPr>
        <w:tabs>
          <w:tab w:pos="893" w:val="left" w:leader="none"/>
          <w:tab w:pos="894" w:val="left" w:leader="none"/>
        </w:tabs>
        <w:spacing w:line="153" w:lineRule="exact" w:before="0" w:after="0"/>
        <w:ind w:left="893" w:right="0" w:hanging="793"/>
        <w:jc w:val="left"/>
        <w:rPr>
          <w:sz w:val="13"/>
        </w:rPr>
      </w:pPr>
      <w:r>
        <w:rPr>
          <w:sz w:val="13"/>
        </w:rPr>
        <w:t>Consultations 28 (National Coordinator of Audio Description, Vision Australia), 29 </w:t>
      </w:r>
      <w:r>
        <w:rPr>
          <w:spacing w:val="2"/>
          <w:sz w:val="13"/>
        </w:rPr>
        <w:t>(Service </w:t>
      </w:r>
      <w:r>
        <w:rPr>
          <w:sz w:val="13"/>
        </w:rPr>
        <w:t>Coordinator, Description</w:t>
      </w:r>
      <w:r>
        <w:rPr>
          <w:spacing w:val="32"/>
          <w:sz w:val="13"/>
        </w:rPr>
        <w:t> </w:t>
      </w:r>
      <w:r>
        <w:rPr>
          <w:sz w:val="13"/>
        </w:rPr>
        <w:t>Victoria).</w:t>
      </w:r>
    </w:p>
    <w:p>
      <w:pPr>
        <w:pStyle w:val="ListParagraph"/>
        <w:numPr>
          <w:ilvl w:val="0"/>
          <w:numId w:val="104"/>
        </w:numPr>
        <w:tabs>
          <w:tab w:pos="893" w:val="left" w:leader="none"/>
          <w:tab w:pos="894" w:val="left" w:leader="none"/>
        </w:tabs>
        <w:spacing w:line="160" w:lineRule="exact" w:before="0" w:after="0"/>
        <w:ind w:left="893" w:right="0" w:hanging="793"/>
        <w:jc w:val="left"/>
        <w:rPr>
          <w:sz w:val="13"/>
        </w:rPr>
      </w:pPr>
      <w:r>
        <w:rPr>
          <w:sz w:val="13"/>
        </w:rPr>
        <w:t>Ibid; Description Victoria, </w:t>
      </w:r>
      <w:r>
        <w:rPr>
          <w:i/>
          <w:sz w:val="13"/>
        </w:rPr>
        <w:t>Annual </w:t>
      </w:r>
      <w:r>
        <w:rPr>
          <w:i/>
          <w:spacing w:val="2"/>
          <w:sz w:val="13"/>
        </w:rPr>
        <w:t>Report </w:t>
      </w:r>
      <w:r>
        <w:rPr>
          <w:i/>
          <w:sz w:val="13"/>
        </w:rPr>
        <w:t>2020 </w:t>
      </w:r>
      <w:r>
        <w:rPr>
          <w:spacing w:val="2"/>
          <w:sz w:val="13"/>
        </w:rPr>
        <w:t>(Report,</w:t>
      </w:r>
      <w:r>
        <w:rPr>
          <w:sz w:val="13"/>
        </w:rPr>
        <w:t> 2020).</w:t>
      </w:r>
    </w:p>
    <w:p>
      <w:pPr>
        <w:pStyle w:val="ListParagraph"/>
        <w:numPr>
          <w:ilvl w:val="0"/>
          <w:numId w:val="104"/>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10 </w:t>
      </w:r>
      <w:r>
        <w:rPr>
          <w:spacing w:val="2"/>
          <w:sz w:val="13"/>
        </w:rPr>
        <w:t>(Vision</w:t>
      </w:r>
      <w:r>
        <w:rPr>
          <w:spacing w:val="20"/>
          <w:sz w:val="13"/>
        </w:rPr>
        <w:t> </w:t>
      </w:r>
      <w:r>
        <w:rPr>
          <w:sz w:val="13"/>
        </w:rPr>
        <w:t>Australia).</w:t>
      </w:r>
    </w:p>
    <w:p>
      <w:pPr>
        <w:pStyle w:val="ListParagraph"/>
        <w:numPr>
          <w:ilvl w:val="0"/>
          <w:numId w:val="104"/>
        </w:numPr>
        <w:tabs>
          <w:tab w:pos="893" w:val="left" w:leader="none"/>
          <w:tab w:pos="894" w:val="left" w:leader="none"/>
        </w:tabs>
        <w:spacing w:line="170" w:lineRule="exact" w:before="0" w:after="0"/>
        <w:ind w:left="893" w:right="0" w:hanging="793"/>
        <w:jc w:val="left"/>
        <w:rPr>
          <w:sz w:val="13"/>
        </w:rPr>
      </w:pPr>
      <w:r>
        <w:rPr>
          <w:sz w:val="13"/>
        </w:rPr>
        <w:t>Consultation 7 </w:t>
      </w:r>
      <w:r>
        <w:rPr>
          <w:spacing w:val="2"/>
          <w:sz w:val="13"/>
        </w:rPr>
        <w:t>(Vision </w:t>
      </w:r>
      <w:r>
        <w:rPr>
          <w:spacing w:val="9"/>
          <w:sz w:val="13"/>
        </w:rPr>
        <w:t> </w:t>
      </w:r>
      <w:r>
        <w:rPr>
          <w:sz w:val="13"/>
        </w:rPr>
        <w:t>Australia).</w:t>
      </w:r>
    </w:p>
    <w:p>
      <w:pPr>
        <w:spacing w:after="0" w:line="170" w:lineRule="exact"/>
        <w:jc w:val="left"/>
        <w:rPr>
          <w:sz w:val="13"/>
        </w:rPr>
        <w:sectPr>
          <w:type w:val="continuous"/>
          <w:pgSz w:w="11910" w:h="16840"/>
          <w:pgMar w:top="620" w:bottom="280" w:left="620" w:right="380"/>
          <w:cols w:num="2" w:equalWidth="0">
            <w:col w:w="491" w:space="377"/>
            <w:col w:w="10042"/>
          </w:cols>
        </w:sectPr>
      </w:pPr>
    </w:p>
    <w:p>
      <w:pPr>
        <w:pStyle w:val="BodyText"/>
      </w:pPr>
    </w:p>
    <w:p>
      <w:pPr>
        <w:pStyle w:val="BodyText"/>
      </w:pPr>
    </w:p>
    <w:p>
      <w:pPr>
        <w:pStyle w:val="BodyText"/>
      </w:pPr>
    </w:p>
    <w:p>
      <w:pPr>
        <w:pStyle w:val="BodyText"/>
        <w:spacing w:before="6"/>
        <w:rPr>
          <w:sz w:val="14"/>
        </w:rPr>
      </w:pPr>
    </w:p>
    <w:p>
      <w:pPr>
        <w:spacing w:before="41"/>
        <w:ind w:left="967" w:right="0" w:firstLine="0"/>
        <w:jc w:val="left"/>
        <w:rPr>
          <w:rFonts w:ascii="Raleway ExtraBold"/>
          <w:b/>
          <w:sz w:val="28"/>
        </w:rPr>
      </w:pPr>
      <w:bookmarkStart w:name="The Act should allow for the appointment" w:id="301"/>
      <w:bookmarkEnd w:id="301"/>
      <w:r>
        <w:rPr/>
      </w:r>
      <w:bookmarkStart w:name="_bookmark127" w:id="302"/>
      <w:bookmarkEnd w:id="302"/>
      <w:r>
        <w:rPr/>
      </w:r>
      <w:r>
        <w:rPr>
          <w:rFonts w:ascii="Raleway ExtraBold"/>
          <w:b/>
          <w:color w:val="37617A"/>
          <w:sz w:val="28"/>
        </w:rPr>
        <w:t>The Act should allow for the appointment of a support person</w:t>
      </w:r>
    </w:p>
    <w:p>
      <w:pPr>
        <w:pStyle w:val="ListParagraph"/>
        <w:numPr>
          <w:ilvl w:val="1"/>
          <w:numId w:val="12"/>
        </w:numPr>
        <w:tabs>
          <w:tab w:pos="1761" w:val="left" w:leader="none"/>
          <w:tab w:pos="1762" w:val="left" w:leader="none"/>
        </w:tabs>
        <w:spacing w:line="206" w:lineRule="auto" w:before="146" w:after="0"/>
        <w:ind w:left="1761" w:right="1388" w:hanging="794"/>
        <w:jc w:val="left"/>
        <w:rPr>
          <w:sz w:val="20"/>
        </w:rPr>
      </w:pPr>
      <w:r>
        <w:rPr>
          <w:sz w:val="20"/>
        </w:rPr>
        <w:t>In </w:t>
      </w:r>
      <w:r>
        <w:rPr>
          <w:spacing w:val="-2"/>
          <w:sz w:val="20"/>
        </w:rPr>
        <w:t>Chapter </w:t>
      </w:r>
      <w:r>
        <w:rPr>
          <w:sz w:val="20"/>
        </w:rPr>
        <w:t>11 </w:t>
      </w:r>
      <w:r>
        <w:rPr>
          <w:spacing w:val="-3"/>
          <w:sz w:val="20"/>
        </w:rPr>
        <w:t>we </w:t>
      </w:r>
      <w:r>
        <w:rPr>
          <w:sz w:val="20"/>
        </w:rPr>
        <w:t>recommended that the Juries </w:t>
      </w:r>
      <w:r>
        <w:rPr>
          <w:spacing w:val="-2"/>
          <w:sz w:val="20"/>
        </w:rPr>
        <w:t>Act </w:t>
      </w:r>
      <w:r>
        <w:rPr>
          <w:spacing w:val="-3"/>
          <w:sz w:val="20"/>
        </w:rPr>
        <w:t>provide </w:t>
      </w:r>
      <w:r>
        <w:rPr>
          <w:sz w:val="20"/>
        </w:rPr>
        <w:t>the option for a judge to appoint</w:t>
      </w:r>
      <w:r>
        <w:rPr>
          <w:spacing w:val="-10"/>
          <w:sz w:val="20"/>
        </w:rPr>
        <w:t> </w:t>
      </w:r>
      <w:r>
        <w:rPr>
          <w:sz w:val="20"/>
        </w:rPr>
        <w:t>a</w:t>
      </w:r>
      <w:r>
        <w:rPr>
          <w:spacing w:val="-9"/>
          <w:sz w:val="20"/>
        </w:rPr>
        <w:t> </w:t>
      </w:r>
      <w:r>
        <w:rPr>
          <w:sz w:val="20"/>
        </w:rPr>
        <w:t>support</w:t>
      </w:r>
      <w:r>
        <w:rPr>
          <w:spacing w:val="-9"/>
          <w:sz w:val="20"/>
        </w:rPr>
        <w:t> </w:t>
      </w:r>
      <w:r>
        <w:rPr>
          <w:sz w:val="20"/>
        </w:rPr>
        <w:t>person</w:t>
      </w:r>
      <w:r>
        <w:rPr>
          <w:spacing w:val="-9"/>
          <w:sz w:val="20"/>
        </w:rPr>
        <w:t> </w:t>
      </w:r>
      <w:r>
        <w:rPr>
          <w:sz w:val="20"/>
        </w:rPr>
        <w:t>to</w:t>
      </w:r>
      <w:r>
        <w:rPr>
          <w:spacing w:val="-9"/>
          <w:sz w:val="20"/>
        </w:rPr>
        <w:t> </w:t>
      </w:r>
      <w:r>
        <w:rPr>
          <w:sz w:val="20"/>
        </w:rPr>
        <w:t>enable</w:t>
      </w:r>
      <w:r>
        <w:rPr>
          <w:spacing w:val="-10"/>
          <w:sz w:val="20"/>
        </w:rPr>
        <w:t> </w:t>
      </w:r>
      <w:r>
        <w:rPr>
          <w:sz w:val="20"/>
        </w:rPr>
        <w:t>someone</w:t>
      </w:r>
      <w:r>
        <w:rPr>
          <w:spacing w:val="-9"/>
          <w:sz w:val="20"/>
        </w:rPr>
        <w:t> </w:t>
      </w:r>
      <w:r>
        <w:rPr>
          <w:sz w:val="20"/>
        </w:rPr>
        <w:t>in</w:t>
      </w:r>
      <w:r>
        <w:rPr>
          <w:spacing w:val="-9"/>
          <w:sz w:val="20"/>
        </w:rPr>
        <w:t> </w:t>
      </w:r>
      <w:r>
        <w:rPr>
          <w:sz w:val="20"/>
        </w:rPr>
        <w:t>the</w:t>
      </w:r>
      <w:r>
        <w:rPr>
          <w:spacing w:val="-9"/>
          <w:sz w:val="20"/>
        </w:rPr>
        <w:t> </w:t>
      </w:r>
      <w:r>
        <w:rPr>
          <w:sz w:val="20"/>
        </w:rPr>
        <w:t>subject</w:t>
      </w:r>
      <w:r>
        <w:rPr>
          <w:spacing w:val="-9"/>
          <w:sz w:val="20"/>
        </w:rPr>
        <w:t> </w:t>
      </w:r>
      <w:r>
        <w:rPr>
          <w:sz w:val="20"/>
        </w:rPr>
        <w:t>groups</w:t>
      </w:r>
      <w:r>
        <w:rPr>
          <w:spacing w:val="-10"/>
          <w:sz w:val="20"/>
        </w:rPr>
        <w:t> </w:t>
      </w:r>
      <w:r>
        <w:rPr>
          <w:sz w:val="20"/>
        </w:rPr>
        <w:t>to</w:t>
      </w:r>
      <w:r>
        <w:rPr>
          <w:spacing w:val="-9"/>
          <w:sz w:val="20"/>
        </w:rPr>
        <w:t> </w:t>
      </w:r>
      <w:r>
        <w:rPr>
          <w:sz w:val="20"/>
        </w:rPr>
        <w:t>serve</w:t>
      </w:r>
      <w:r>
        <w:rPr>
          <w:spacing w:val="-9"/>
          <w:sz w:val="20"/>
        </w:rPr>
        <w:t> </w:t>
      </w:r>
      <w:r>
        <w:rPr>
          <w:sz w:val="20"/>
        </w:rPr>
        <w:t>as</w:t>
      </w:r>
      <w:r>
        <w:rPr>
          <w:spacing w:val="-9"/>
          <w:sz w:val="20"/>
        </w:rPr>
        <w:t> </w:t>
      </w:r>
      <w:r>
        <w:rPr>
          <w:sz w:val="20"/>
        </w:rPr>
        <w:t>a</w:t>
      </w:r>
      <w:r>
        <w:rPr>
          <w:spacing w:val="-9"/>
          <w:sz w:val="20"/>
        </w:rPr>
        <w:t> </w:t>
      </w:r>
      <w:r>
        <w:rPr>
          <w:spacing w:val="-4"/>
          <w:sz w:val="20"/>
        </w:rPr>
        <w:t>juror.</w:t>
      </w:r>
    </w:p>
    <w:p>
      <w:pPr>
        <w:pStyle w:val="ListParagraph"/>
        <w:numPr>
          <w:ilvl w:val="1"/>
          <w:numId w:val="12"/>
        </w:numPr>
        <w:tabs>
          <w:tab w:pos="1761" w:val="left" w:leader="none"/>
          <w:tab w:pos="1762" w:val="left" w:leader="none"/>
        </w:tabs>
        <w:spacing w:line="206" w:lineRule="auto" w:before="122" w:after="0"/>
        <w:ind w:left="1761" w:right="1469" w:hanging="794"/>
        <w:jc w:val="left"/>
        <w:rPr>
          <w:sz w:val="11"/>
        </w:rPr>
      </w:pPr>
      <w:r>
        <w:rPr>
          <w:spacing w:val="-6"/>
          <w:sz w:val="20"/>
        </w:rPr>
        <w:t>We </w:t>
      </w:r>
      <w:r>
        <w:rPr>
          <w:sz w:val="20"/>
        </w:rPr>
        <w:t>note that the new </w:t>
      </w:r>
      <w:r>
        <w:rPr>
          <w:spacing w:val="-3"/>
          <w:sz w:val="20"/>
        </w:rPr>
        <w:t>laws </w:t>
      </w:r>
      <w:r>
        <w:rPr>
          <w:sz w:val="20"/>
        </w:rPr>
        <w:t>in England and </w:t>
      </w:r>
      <w:r>
        <w:rPr>
          <w:spacing w:val="-4"/>
          <w:sz w:val="20"/>
        </w:rPr>
        <w:t>Wales </w:t>
      </w:r>
      <w:r>
        <w:rPr>
          <w:sz w:val="20"/>
        </w:rPr>
        <w:t>to limit the operation of the 13th person</w:t>
      </w:r>
      <w:r>
        <w:rPr>
          <w:spacing w:val="-8"/>
          <w:sz w:val="20"/>
        </w:rPr>
        <w:t> </w:t>
      </w:r>
      <w:r>
        <w:rPr>
          <w:sz w:val="20"/>
        </w:rPr>
        <w:t>rule</w:t>
      </w:r>
      <w:r>
        <w:rPr>
          <w:spacing w:val="-7"/>
          <w:sz w:val="20"/>
        </w:rPr>
        <w:t> </w:t>
      </w:r>
      <w:r>
        <w:rPr>
          <w:spacing w:val="-3"/>
          <w:sz w:val="20"/>
        </w:rPr>
        <w:t>only</w:t>
      </w:r>
      <w:r>
        <w:rPr>
          <w:spacing w:val="-7"/>
          <w:sz w:val="20"/>
        </w:rPr>
        <w:t> </w:t>
      </w:r>
      <w:r>
        <w:rPr>
          <w:spacing w:val="-3"/>
          <w:sz w:val="20"/>
        </w:rPr>
        <w:t>apply</w:t>
      </w:r>
      <w:r>
        <w:rPr>
          <w:spacing w:val="-7"/>
          <w:sz w:val="20"/>
        </w:rPr>
        <w:t> </w:t>
      </w:r>
      <w:r>
        <w:rPr>
          <w:sz w:val="20"/>
        </w:rPr>
        <w:t>to</w:t>
      </w:r>
      <w:r>
        <w:rPr>
          <w:spacing w:val="-7"/>
          <w:sz w:val="20"/>
        </w:rPr>
        <w:t> </w:t>
      </w:r>
      <w:r>
        <w:rPr>
          <w:sz w:val="20"/>
        </w:rPr>
        <w:t>British</w:t>
      </w:r>
      <w:r>
        <w:rPr>
          <w:spacing w:val="-7"/>
          <w:sz w:val="20"/>
        </w:rPr>
        <w:t> </w:t>
      </w:r>
      <w:r>
        <w:rPr>
          <w:sz w:val="20"/>
        </w:rPr>
        <w:t>Sign</w:t>
      </w:r>
      <w:r>
        <w:rPr>
          <w:spacing w:val="-7"/>
          <w:sz w:val="20"/>
        </w:rPr>
        <w:t> </w:t>
      </w:r>
      <w:r>
        <w:rPr>
          <w:sz w:val="20"/>
        </w:rPr>
        <w:t>Language</w:t>
      </w:r>
      <w:r>
        <w:rPr>
          <w:spacing w:val="-7"/>
          <w:sz w:val="20"/>
        </w:rPr>
        <w:t> </w:t>
      </w:r>
      <w:r>
        <w:rPr>
          <w:sz w:val="20"/>
        </w:rPr>
        <w:t>(BSL)</w:t>
      </w:r>
      <w:r>
        <w:rPr>
          <w:spacing w:val="-7"/>
          <w:sz w:val="20"/>
        </w:rPr>
        <w:t> </w:t>
      </w:r>
      <w:r>
        <w:rPr>
          <w:spacing w:val="-3"/>
          <w:sz w:val="20"/>
        </w:rPr>
        <w:t>interpreters.</w:t>
      </w:r>
      <w:r>
        <w:rPr>
          <w:spacing w:val="-7"/>
          <w:sz w:val="20"/>
        </w:rPr>
        <w:t> </w:t>
      </w:r>
      <w:r>
        <w:rPr>
          <w:sz w:val="20"/>
        </w:rPr>
        <w:t>They</w:t>
      </w:r>
      <w:r>
        <w:rPr>
          <w:spacing w:val="-7"/>
          <w:sz w:val="20"/>
        </w:rPr>
        <w:t> </w:t>
      </w:r>
      <w:r>
        <w:rPr>
          <w:sz w:val="20"/>
        </w:rPr>
        <w:t>do</w:t>
      </w:r>
      <w:r>
        <w:rPr>
          <w:spacing w:val="-7"/>
          <w:sz w:val="20"/>
        </w:rPr>
        <w:t> </w:t>
      </w:r>
      <w:r>
        <w:rPr>
          <w:sz w:val="20"/>
        </w:rPr>
        <w:t>not</w:t>
      </w:r>
      <w:r>
        <w:rPr>
          <w:spacing w:val="-7"/>
          <w:sz w:val="20"/>
        </w:rPr>
        <w:t> </w:t>
      </w:r>
      <w:r>
        <w:rPr>
          <w:spacing w:val="-3"/>
          <w:sz w:val="20"/>
        </w:rPr>
        <w:t>allow </w:t>
      </w:r>
      <w:r>
        <w:rPr>
          <w:sz w:val="20"/>
        </w:rPr>
        <w:t>support</w:t>
      </w:r>
      <w:r>
        <w:rPr>
          <w:spacing w:val="-11"/>
          <w:sz w:val="20"/>
        </w:rPr>
        <w:t> </w:t>
      </w:r>
      <w:r>
        <w:rPr>
          <w:sz w:val="20"/>
        </w:rPr>
        <w:t>persons</w:t>
      </w:r>
      <w:r>
        <w:rPr>
          <w:spacing w:val="-11"/>
          <w:sz w:val="20"/>
        </w:rPr>
        <w:t> </w:t>
      </w:r>
      <w:r>
        <w:rPr>
          <w:sz w:val="20"/>
        </w:rPr>
        <w:t>more</w:t>
      </w:r>
      <w:r>
        <w:rPr>
          <w:spacing w:val="-11"/>
          <w:sz w:val="20"/>
        </w:rPr>
        <w:t> </w:t>
      </w:r>
      <w:r>
        <w:rPr>
          <w:sz w:val="20"/>
        </w:rPr>
        <w:t>generally</w:t>
      </w:r>
      <w:r>
        <w:rPr>
          <w:spacing w:val="-11"/>
          <w:sz w:val="20"/>
        </w:rPr>
        <w:t> </w:t>
      </w:r>
      <w:r>
        <w:rPr>
          <w:sz w:val="20"/>
        </w:rPr>
        <w:t>to</w:t>
      </w:r>
      <w:r>
        <w:rPr>
          <w:spacing w:val="-11"/>
          <w:sz w:val="20"/>
        </w:rPr>
        <w:t> </w:t>
      </w:r>
      <w:r>
        <w:rPr>
          <w:sz w:val="20"/>
        </w:rPr>
        <w:t>enter</w:t>
      </w:r>
      <w:r>
        <w:rPr>
          <w:spacing w:val="-10"/>
          <w:sz w:val="20"/>
        </w:rPr>
        <w:t> </w:t>
      </w:r>
      <w:r>
        <w:rPr>
          <w:sz w:val="20"/>
        </w:rPr>
        <w:t>the</w:t>
      </w:r>
      <w:r>
        <w:rPr>
          <w:spacing w:val="-11"/>
          <w:sz w:val="20"/>
        </w:rPr>
        <w:t> </w:t>
      </w:r>
      <w:r>
        <w:rPr>
          <w:sz w:val="20"/>
        </w:rPr>
        <w:t>jury</w:t>
      </w:r>
      <w:r>
        <w:rPr>
          <w:spacing w:val="-11"/>
          <w:sz w:val="20"/>
        </w:rPr>
        <w:t> </w:t>
      </w:r>
      <w:r>
        <w:rPr>
          <w:sz w:val="20"/>
        </w:rPr>
        <w:t>room.</w:t>
      </w:r>
      <w:r>
        <w:rPr>
          <w:position w:val="7"/>
          <w:sz w:val="11"/>
        </w:rPr>
        <w:t>33</w:t>
      </w:r>
      <w:r>
        <w:rPr>
          <w:spacing w:val="14"/>
          <w:position w:val="7"/>
          <w:sz w:val="11"/>
        </w:rPr>
        <w:t> </w:t>
      </w:r>
      <w:r>
        <w:rPr>
          <w:sz w:val="20"/>
        </w:rPr>
        <w:t>Whether</w:t>
      </w:r>
      <w:r>
        <w:rPr>
          <w:spacing w:val="-11"/>
          <w:sz w:val="20"/>
        </w:rPr>
        <w:t> </w:t>
      </w:r>
      <w:r>
        <w:rPr>
          <w:sz w:val="20"/>
        </w:rPr>
        <w:t>to</w:t>
      </w:r>
      <w:r>
        <w:rPr>
          <w:spacing w:val="-11"/>
          <w:sz w:val="20"/>
        </w:rPr>
        <w:t> </w:t>
      </w:r>
      <w:r>
        <w:rPr>
          <w:sz w:val="20"/>
        </w:rPr>
        <w:t>extend</w:t>
      </w:r>
      <w:r>
        <w:rPr>
          <w:spacing w:val="-11"/>
          <w:sz w:val="20"/>
        </w:rPr>
        <w:t> </w:t>
      </w:r>
      <w:r>
        <w:rPr>
          <w:sz w:val="20"/>
        </w:rPr>
        <w:t>the</w:t>
      </w:r>
      <w:r>
        <w:rPr>
          <w:spacing w:val="-10"/>
          <w:sz w:val="20"/>
        </w:rPr>
        <w:t> </w:t>
      </w:r>
      <w:r>
        <w:rPr>
          <w:sz w:val="20"/>
        </w:rPr>
        <w:t>new legislation to other support persons was debated in Parliament but was </w:t>
      </w:r>
      <w:r>
        <w:rPr>
          <w:spacing w:val="-3"/>
          <w:sz w:val="20"/>
        </w:rPr>
        <w:t>ultimately </w:t>
      </w:r>
      <w:r>
        <w:rPr>
          <w:sz w:val="20"/>
        </w:rPr>
        <w:t>decided</w:t>
      </w:r>
      <w:r>
        <w:rPr>
          <w:spacing w:val="-5"/>
          <w:sz w:val="20"/>
        </w:rPr>
        <w:t> </w:t>
      </w:r>
      <w:r>
        <w:rPr>
          <w:sz w:val="20"/>
        </w:rPr>
        <w:t>against.</w:t>
      </w:r>
      <w:r>
        <w:rPr>
          <w:position w:val="7"/>
          <w:sz w:val="11"/>
        </w:rPr>
        <w:t>34</w:t>
      </w:r>
    </w:p>
    <w:p>
      <w:pPr>
        <w:pStyle w:val="ListParagraph"/>
        <w:numPr>
          <w:ilvl w:val="1"/>
          <w:numId w:val="12"/>
        </w:numPr>
        <w:tabs>
          <w:tab w:pos="1761" w:val="left" w:leader="none"/>
          <w:tab w:pos="1762" w:val="left" w:leader="none"/>
        </w:tabs>
        <w:spacing w:line="206" w:lineRule="auto" w:before="126" w:after="0"/>
        <w:ind w:left="1761" w:right="1493" w:hanging="794"/>
        <w:jc w:val="left"/>
        <w:rPr>
          <w:sz w:val="20"/>
        </w:rPr>
      </w:pPr>
      <w:r>
        <w:rPr>
          <w:sz w:val="20"/>
        </w:rPr>
        <w:t>In contrast, Victorian legislation should be </w:t>
      </w:r>
      <w:r>
        <w:rPr>
          <w:spacing w:val="-3"/>
          <w:sz w:val="20"/>
        </w:rPr>
        <w:t>kept </w:t>
      </w:r>
      <w:r>
        <w:rPr>
          <w:sz w:val="20"/>
        </w:rPr>
        <w:t>broad to enable the possibility of a support person being appointed. It will be a matter for a judge to decide whether a support person is needed, what their </w:t>
      </w:r>
      <w:r>
        <w:rPr>
          <w:spacing w:val="-3"/>
          <w:sz w:val="20"/>
        </w:rPr>
        <w:t>role </w:t>
      </w:r>
      <w:r>
        <w:rPr>
          <w:sz w:val="20"/>
        </w:rPr>
        <w:t>should be and who should perform the </w:t>
      </w:r>
      <w:r>
        <w:rPr>
          <w:spacing w:val="-3"/>
          <w:sz w:val="20"/>
        </w:rPr>
        <w:t>role.</w:t>
      </w:r>
      <w:r>
        <w:rPr>
          <w:spacing w:val="-9"/>
          <w:sz w:val="20"/>
        </w:rPr>
        <w:t> </w:t>
      </w:r>
      <w:r>
        <w:rPr>
          <w:sz w:val="20"/>
        </w:rPr>
        <w:t>This</w:t>
      </w:r>
      <w:r>
        <w:rPr>
          <w:spacing w:val="-9"/>
          <w:sz w:val="20"/>
        </w:rPr>
        <w:t> </w:t>
      </w:r>
      <w:r>
        <w:rPr>
          <w:sz w:val="20"/>
        </w:rPr>
        <w:t>will</w:t>
      </w:r>
      <w:r>
        <w:rPr>
          <w:spacing w:val="-9"/>
          <w:sz w:val="20"/>
        </w:rPr>
        <w:t> </w:t>
      </w:r>
      <w:r>
        <w:rPr>
          <w:sz w:val="20"/>
        </w:rPr>
        <w:t>be</w:t>
      </w:r>
      <w:r>
        <w:rPr>
          <w:spacing w:val="-9"/>
          <w:sz w:val="20"/>
        </w:rPr>
        <w:t> </w:t>
      </w:r>
      <w:r>
        <w:rPr>
          <w:sz w:val="20"/>
        </w:rPr>
        <w:t>influenced</w:t>
      </w:r>
      <w:r>
        <w:rPr>
          <w:spacing w:val="-9"/>
          <w:sz w:val="20"/>
        </w:rPr>
        <w:t> </w:t>
      </w:r>
      <w:r>
        <w:rPr>
          <w:spacing w:val="-3"/>
          <w:sz w:val="20"/>
        </w:rPr>
        <w:t>by</w:t>
      </w:r>
      <w:r>
        <w:rPr>
          <w:spacing w:val="-9"/>
          <w:sz w:val="20"/>
        </w:rPr>
        <w:t> </w:t>
      </w:r>
      <w:r>
        <w:rPr>
          <w:sz w:val="20"/>
        </w:rPr>
        <w:t>the</w:t>
      </w:r>
      <w:r>
        <w:rPr>
          <w:spacing w:val="-9"/>
          <w:sz w:val="20"/>
        </w:rPr>
        <w:t> </w:t>
      </w:r>
      <w:r>
        <w:rPr>
          <w:sz w:val="20"/>
        </w:rPr>
        <w:t>needs</w:t>
      </w:r>
      <w:r>
        <w:rPr>
          <w:spacing w:val="-9"/>
          <w:sz w:val="20"/>
        </w:rPr>
        <w:t> </w:t>
      </w:r>
      <w:r>
        <w:rPr>
          <w:sz w:val="20"/>
        </w:rPr>
        <w:t>of</w:t>
      </w:r>
      <w:r>
        <w:rPr>
          <w:spacing w:val="-9"/>
          <w:sz w:val="20"/>
        </w:rPr>
        <w:t> </w:t>
      </w:r>
      <w:r>
        <w:rPr>
          <w:sz w:val="20"/>
        </w:rPr>
        <w:t>the</w:t>
      </w:r>
      <w:r>
        <w:rPr>
          <w:spacing w:val="-8"/>
          <w:sz w:val="20"/>
        </w:rPr>
        <w:t> </w:t>
      </w:r>
      <w:r>
        <w:rPr>
          <w:sz w:val="20"/>
        </w:rPr>
        <w:t>potential</w:t>
      </w:r>
      <w:r>
        <w:rPr>
          <w:spacing w:val="-9"/>
          <w:sz w:val="20"/>
        </w:rPr>
        <w:t> </w:t>
      </w:r>
      <w:r>
        <w:rPr>
          <w:sz w:val="20"/>
        </w:rPr>
        <w:t>juror</w:t>
      </w:r>
      <w:r>
        <w:rPr>
          <w:spacing w:val="-9"/>
          <w:sz w:val="20"/>
        </w:rPr>
        <w:t> </w:t>
      </w:r>
      <w:r>
        <w:rPr>
          <w:sz w:val="20"/>
        </w:rPr>
        <w:t>and</w:t>
      </w:r>
      <w:r>
        <w:rPr>
          <w:spacing w:val="-9"/>
          <w:sz w:val="20"/>
        </w:rPr>
        <w:t> </w:t>
      </w:r>
      <w:r>
        <w:rPr>
          <w:spacing w:val="-3"/>
          <w:sz w:val="20"/>
        </w:rPr>
        <w:t>nature</w:t>
      </w:r>
      <w:r>
        <w:rPr>
          <w:spacing w:val="-9"/>
          <w:sz w:val="20"/>
        </w:rPr>
        <w:t> </w:t>
      </w:r>
      <w:r>
        <w:rPr>
          <w:sz w:val="20"/>
        </w:rPr>
        <w:t>of</w:t>
      </w:r>
      <w:r>
        <w:rPr>
          <w:spacing w:val="-9"/>
          <w:sz w:val="20"/>
        </w:rPr>
        <w:t> </w:t>
      </w:r>
      <w:r>
        <w:rPr>
          <w:sz w:val="20"/>
        </w:rPr>
        <w:t>the</w:t>
      </w:r>
      <w:r>
        <w:rPr>
          <w:spacing w:val="-9"/>
          <w:sz w:val="20"/>
        </w:rPr>
        <w:t> </w:t>
      </w:r>
      <w:r>
        <w:rPr>
          <w:sz w:val="20"/>
        </w:rPr>
        <w:t>trial. The judge will talk to the potential support person about their experience and skills to</w:t>
      </w:r>
      <w:r>
        <w:rPr>
          <w:spacing w:val="-9"/>
          <w:sz w:val="20"/>
        </w:rPr>
        <w:t> </w:t>
      </w:r>
      <w:r>
        <w:rPr>
          <w:sz w:val="20"/>
        </w:rPr>
        <w:t>undertake</w:t>
      </w:r>
      <w:r>
        <w:rPr>
          <w:spacing w:val="-9"/>
          <w:sz w:val="20"/>
        </w:rPr>
        <w:t> </w:t>
      </w:r>
      <w:r>
        <w:rPr>
          <w:sz w:val="20"/>
        </w:rPr>
        <w:t>a</w:t>
      </w:r>
      <w:r>
        <w:rPr>
          <w:spacing w:val="-8"/>
          <w:sz w:val="20"/>
        </w:rPr>
        <w:t> </w:t>
      </w:r>
      <w:r>
        <w:rPr>
          <w:sz w:val="20"/>
        </w:rPr>
        <w:t>support</w:t>
      </w:r>
      <w:r>
        <w:rPr>
          <w:spacing w:val="-9"/>
          <w:sz w:val="20"/>
        </w:rPr>
        <w:t> </w:t>
      </w:r>
      <w:r>
        <w:rPr>
          <w:spacing w:val="-3"/>
          <w:sz w:val="20"/>
        </w:rPr>
        <w:t>role</w:t>
      </w:r>
      <w:r>
        <w:rPr>
          <w:spacing w:val="-9"/>
          <w:sz w:val="20"/>
        </w:rPr>
        <w:t> </w:t>
      </w:r>
      <w:r>
        <w:rPr>
          <w:sz w:val="20"/>
        </w:rPr>
        <w:t>and</w:t>
      </w:r>
      <w:r>
        <w:rPr>
          <w:spacing w:val="-8"/>
          <w:sz w:val="20"/>
        </w:rPr>
        <w:t> </w:t>
      </w:r>
      <w:r>
        <w:rPr>
          <w:spacing w:val="-3"/>
          <w:sz w:val="20"/>
        </w:rPr>
        <w:t>reach</w:t>
      </w:r>
      <w:r>
        <w:rPr>
          <w:spacing w:val="-9"/>
          <w:sz w:val="20"/>
        </w:rPr>
        <w:t> </w:t>
      </w:r>
      <w:r>
        <w:rPr>
          <w:sz w:val="20"/>
        </w:rPr>
        <w:t>a</w:t>
      </w:r>
      <w:r>
        <w:rPr>
          <w:spacing w:val="-8"/>
          <w:sz w:val="20"/>
        </w:rPr>
        <w:t> </w:t>
      </w:r>
      <w:r>
        <w:rPr>
          <w:sz w:val="20"/>
        </w:rPr>
        <w:t>decision</w:t>
      </w:r>
      <w:r>
        <w:rPr>
          <w:spacing w:val="-9"/>
          <w:sz w:val="20"/>
        </w:rPr>
        <w:t> </w:t>
      </w:r>
      <w:r>
        <w:rPr>
          <w:sz w:val="20"/>
        </w:rPr>
        <w:t>about</w:t>
      </w:r>
      <w:r>
        <w:rPr>
          <w:spacing w:val="-9"/>
          <w:sz w:val="20"/>
        </w:rPr>
        <w:t> </w:t>
      </w:r>
      <w:r>
        <w:rPr>
          <w:sz w:val="20"/>
        </w:rPr>
        <w:t>whether</w:t>
      </w:r>
      <w:r>
        <w:rPr>
          <w:spacing w:val="-8"/>
          <w:sz w:val="20"/>
        </w:rPr>
        <w:t> </w:t>
      </w:r>
      <w:r>
        <w:rPr>
          <w:sz w:val="20"/>
        </w:rPr>
        <w:t>that</w:t>
      </w:r>
      <w:r>
        <w:rPr>
          <w:spacing w:val="-9"/>
          <w:sz w:val="20"/>
        </w:rPr>
        <w:t> </w:t>
      </w:r>
      <w:r>
        <w:rPr>
          <w:sz w:val="20"/>
        </w:rPr>
        <w:t>support</w:t>
      </w:r>
      <w:r>
        <w:rPr>
          <w:spacing w:val="-8"/>
          <w:sz w:val="20"/>
        </w:rPr>
        <w:t> </w:t>
      </w:r>
      <w:r>
        <w:rPr>
          <w:sz w:val="20"/>
        </w:rPr>
        <w:t>person could</w:t>
      </w:r>
      <w:r>
        <w:rPr>
          <w:spacing w:val="-6"/>
          <w:sz w:val="20"/>
        </w:rPr>
        <w:t> </w:t>
      </w:r>
      <w:r>
        <w:rPr>
          <w:sz w:val="20"/>
        </w:rPr>
        <w:t>facilitate</w:t>
      </w:r>
      <w:r>
        <w:rPr>
          <w:spacing w:val="-5"/>
          <w:sz w:val="20"/>
        </w:rPr>
        <w:t> </w:t>
      </w:r>
      <w:r>
        <w:rPr>
          <w:sz w:val="20"/>
        </w:rPr>
        <w:t>jury</w:t>
      </w:r>
      <w:r>
        <w:rPr>
          <w:spacing w:val="-6"/>
          <w:sz w:val="20"/>
        </w:rPr>
        <w:t> </w:t>
      </w:r>
      <w:r>
        <w:rPr>
          <w:sz w:val="20"/>
        </w:rPr>
        <w:t>service</w:t>
      </w:r>
      <w:r>
        <w:rPr>
          <w:spacing w:val="-5"/>
          <w:sz w:val="20"/>
        </w:rPr>
        <w:t> </w:t>
      </w:r>
      <w:r>
        <w:rPr>
          <w:sz w:val="20"/>
        </w:rPr>
        <w:t>for</w:t>
      </w:r>
      <w:r>
        <w:rPr>
          <w:spacing w:val="-6"/>
          <w:sz w:val="20"/>
        </w:rPr>
        <w:t> </w:t>
      </w:r>
      <w:r>
        <w:rPr>
          <w:sz w:val="20"/>
        </w:rPr>
        <w:t>the</w:t>
      </w:r>
      <w:r>
        <w:rPr>
          <w:spacing w:val="-5"/>
          <w:sz w:val="20"/>
        </w:rPr>
        <w:t> </w:t>
      </w:r>
      <w:r>
        <w:rPr>
          <w:sz w:val="20"/>
        </w:rPr>
        <w:t>person</w:t>
      </w:r>
      <w:r>
        <w:rPr>
          <w:spacing w:val="-6"/>
          <w:sz w:val="20"/>
        </w:rPr>
        <w:t> </w:t>
      </w:r>
      <w:r>
        <w:rPr>
          <w:spacing w:val="-3"/>
          <w:sz w:val="20"/>
        </w:rPr>
        <w:t>from</w:t>
      </w:r>
      <w:r>
        <w:rPr>
          <w:spacing w:val="-5"/>
          <w:sz w:val="20"/>
        </w:rPr>
        <w:t> </w:t>
      </w:r>
      <w:r>
        <w:rPr>
          <w:sz w:val="20"/>
        </w:rPr>
        <w:t>the</w:t>
      </w:r>
      <w:r>
        <w:rPr>
          <w:spacing w:val="-6"/>
          <w:sz w:val="20"/>
        </w:rPr>
        <w:t> </w:t>
      </w:r>
      <w:r>
        <w:rPr>
          <w:sz w:val="20"/>
        </w:rPr>
        <w:t>subject</w:t>
      </w:r>
      <w:r>
        <w:rPr>
          <w:spacing w:val="-5"/>
          <w:sz w:val="20"/>
        </w:rPr>
        <w:t> </w:t>
      </w:r>
      <w:r>
        <w:rPr>
          <w:sz w:val="20"/>
        </w:rPr>
        <w:t>groups.</w:t>
      </w:r>
    </w:p>
    <w:p>
      <w:pPr>
        <w:pStyle w:val="ListParagraph"/>
        <w:numPr>
          <w:ilvl w:val="1"/>
          <w:numId w:val="12"/>
        </w:numPr>
        <w:tabs>
          <w:tab w:pos="1761" w:val="left" w:leader="none"/>
          <w:tab w:pos="1762" w:val="left" w:leader="none"/>
        </w:tabs>
        <w:spacing w:line="206" w:lineRule="auto" w:before="129" w:after="0"/>
        <w:ind w:left="1761" w:right="1568" w:hanging="794"/>
        <w:jc w:val="left"/>
        <w:rPr>
          <w:sz w:val="20"/>
        </w:rPr>
      </w:pPr>
      <w:r>
        <w:rPr>
          <w:sz w:val="20"/>
        </w:rPr>
        <w:t>Judicial</w:t>
      </w:r>
      <w:r>
        <w:rPr>
          <w:spacing w:val="-12"/>
          <w:sz w:val="20"/>
        </w:rPr>
        <w:t> </w:t>
      </w:r>
      <w:r>
        <w:rPr>
          <w:sz w:val="20"/>
        </w:rPr>
        <w:t>practice</w:t>
      </w:r>
      <w:r>
        <w:rPr>
          <w:spacing w:val="-12"/>
          <w:sz w:val="20"/>
        </w:rPr>
        <w:t> </w:t>
      </w:r>
      <w:r>
        <w:rPr>
          <w:sz w:val="20"/>
        </w:rPr>
        <w:t>regarding</w:t>
      </w:r>
      <w:r>
        <w:rPr>
          <w:spacing w:val="-12"/>
          <w:sz w:val="20"/>
        </w:rPr>
        <w:t> </w:t>
      </w:r>
      <w:r>
        <w:rPr>
          <w:sz w:val="20"/>
        </w:rPr>
        <w:t>the</w:t>
      </w:r>
      <w:r>
        <w:rPr>
          <w:spacing w:val="-12"/>
          <w:sz w:val="20"/>
        </w:rPr>
        <w:t> </w:t>
      </w:r>
      <w:r>
        <w:rPr>
          <w:spacing w:val="-3"/>
          <w:sz w:val="20"/>
        </w:rPr>
        <w:t>exercise</w:t>
      </w:r>
      <w:r>
        <w:rPr>
          <w:spacing w:val="-11"/>
          <w:sz w:val="20"/>
        </w:rPr>
        <w:t> </w:t>
      </w:r>
      <w:r>
        <w:rPr>
          <w:sz w:val="20"/>
        </w:rPr>
        <w:t>of</w:t>
      </w:r>
      <w:r>
        <w:rPr>
          <w:spacing w:val="-12"/>
          <w:sz w:val="20"/>
        </w:rPr>
        <w:t> </w:t>
      </w:r>
      <w:r>
        <w:rPr>
          <w:sz w:val="20"/>
        </w:rPr>
        <w:t>this</w:t>
      </w:r>
      <w:r>
        <w:rPr>
          <w:spacing w:val="-12"/>
          <w:sz w:val="20"/>
        </w:rPr>
        <w:t> </w:t>
      </w:r>
      <w:r>
        <w:rPr>
          <w:sz w:val="20"/>
        </w:rPr>
        <w:t>judicial</w:t>
      </w:r>
      <w:r>
        <w:rPr>
          <w:spacing w:val="-12"/>
          <w:sz w:val="20"/>
        </w:rPr>
        <w:t> </w:t>
      </w:r>
      <w:r>
        <w:rPr>
          <w:sz w:val="20"/>
        </w:rPr>
        <w:t>discretion</w:t>
      </w:r>
      <w:r>
        <w:rPr>
          <w:spacing w:val="-12"/>
          <w:sz w:val="20"/>
        </w:rPr>
        <w:t> </w:t>
      </w:r>
      <w:r>
        <w:rPr>
          <w:sz w:val="20"/>
        </w:rPr>
        <w:t>should</w:t>
      </w:r>
      <w:r>
        <w:rPr>
          <w:spacing w:val="-11"/>
          <w:sz w:val="20"/>
        </w:rPr>
        <w:t> </w:t>
      </w:r>
      <w:r>
        <w:rPr>
          <w:sz w:val="20"/>
        </w:rPr>
        <w:t>be</w:t>
      </w:r>
      <w:r>
        <w:rPr>
          <w:spacing w:val="-12"/>
          <w:sz w:val="20"/>
        </w:rPr>
        <w:t> </w:t>
      </w:r>
      <w:r>
        <w:rPr>
          <w:spacing w:val="-3"/>
          <w:sz w:val="20"/>
        </w:rPr>
        <w:t>carefully </w:t>
      </w:r>
      <w:r>
        <w:rPr>
          <w:sz w:val="20"/>
        </w:rPr>
        <w:t>monitored </w:t>
      </w:r>
      <w:r>
        <w:rPr>
          <w:spacing w:val="-3"/>
          <w:sz w:val="20"/>
        </w:rPr>
        <w:t>by </w:t>
      </w:r>
      <w:r>
        <w:rPr>
          <w:sz w:val="20"/>
        </w:rPr>
        <w:t>Juries Victoria to inform </w:t>
      </w:r>
      <w:r>
        <w:rPr>
          <w:spacing w:val="-3"/>
          <w:sz w:val="20"/>
        </w:rPr>
        <w:t>future</w:t>
      </w:r>
      <w:r>
        <w:rPr>
          <w:spacing w:val="-32"/>
          <w:sz w:val="20"/>
        </w:rPr>
        <w:t> </w:t>
      </w:r>
      <w:r>
        <w:rPr>
          <w:sz w:val="20"/>
        </w:rPr>
        <w:t>reform.</w:t>
      </w:r>
    </w:p>
    <w:p>
      <w:pPr>
        <w:spacing w:before="161"/>
        <w:ind w:left="967" w:right="0" w:firstLine="0"/>
        <w:jc w:val="left"/>
        <w:rPr>
          <w:b/>
          <w:sz w:val="24"/>
        </w:rPr>
      </w:pPr>
      <w:r>
        <w:rPr>
          <w:b/>
          <w:sz w:val="24"/>
        </w:rPr>
        <w:t>Training for the specific role of working with jurors</w:t>
      </w:r>
    </w:p>
    <w:p>
      <w:pPr>
        <w:pStyle w:val="ListParagraph"/>
        <w:numPr>
          <w:ilvl w:val="1"/>
          <w:numId w:val="12"/>
        </w:numPr>
        <w:tabs>
          <w:tab w:pos="1761" w:val="left" w:leader="none"/>
          <w:tab w:pos="1762" w:val="left" w:leader="none"/>
        </w:tabs>
        <w:spacing w:line="206" w:lineRule="auto" w:before="127" w:after="0"/>
        <w:ind w:left="1761" w:right="1348" w:hanging="794"/>
        <w:jc w:val="left"/>
        <w:rPr>
          <w:sz w:val="20"/>
        </w:rPr>
      </w:pPr>
      <w:r>
        <w:rPr>
          <w:sz w:val="20"/>
        </w:rPr>
        <w:t>While the approach in the </w:t>
      </w:r>
      <w:r>
        <w:rPr>
          <w:spacing w:val="-4"/>
          <w:sz w:val="20"/>
        </w:rPr>
        <w:t>ACT </w:t>
      </w:r>
      <w:r>
        <w:rPr>
          <w:sz w:val="20"/>
        </w:rPr>
        <w:t>contemplates a possible </w:t>
      </w:r>
      <w:r>
        <w:rPr>
          <w:spacing w:val="-3"/>
          <w:sz w:val="20"/>
        </w:rPr>
        <w:t>role </w:t>
      </w:r>
      <w:r>
        <w:rPr>
          <w:sz w:val="20"/>
        </w:rPr>
        <w:t>for a </w:t>
      </w:r>
      <w:r>
        <w:rPr>
          <w:spacing w:val="-3"/>
          <w:sz w:val="20"/>
        </w:rPr>
        <w:t>family </w:t>
      </w:r>
      <w:r>
        <w:rPr>
          <w:sz w:val="20"/>
        </w:rPr>
        <w:t>member or </w:t>
      </w:r>
      <w:r>
        <w:rPr>
          <w:spacing w:val="-4"/>
          <w:sz w:val="20"/>
        </w:rPr>
        <w:t>carer,</w:t>
      </w:r>
      <w:r>
        <w:rPr>
          <w:spacing w:val="-11"/>
          <w:sz w:val="20"/>
        </w:rPr>
        <w:t> </w:t>
      </w:r>
      <w:r>
        <w:rPr>
          <w:sz w:val="20"/>
        </w:rPr>
        <w:t>the</w:t>
      </w:r>
      <w:r>
        <w:rPr>
          <w:spacing w:val="-10"/>
          <w:sz w:val="20"/>
        </w:rPr>
        <w:t> </w:t>
      </w:r>
      <w:r>
        <w:rPr>
          <w:sz w:val="20"/>
        </w:rPr>
        <w:t>Commission’s</w:t>
      </w:r>
      <w:r>
        <w:rPr>
          <w:spacing w:val="-10"/>
          <w:sz w:val="20"/>
        </w:rPr>
        <w:t> </w:t>
      </w:r>
      <w:r>
        <w:rPr>
          <w:sz w:val="20"/>
        </w:rPr>
        <w:t>view</w:t>
      </w:r>
      <w:r>
        <w:rPr>
          <w:spacing w:val="-11"/>
          <w:sz w:val="20"/>
        </w:rPr>
        <w:t> </w:t>
      </w:r>
      <w:r>
        <w:rPr>
          <w:sz w:val="20"/>
        </w:rPr>
        <w:t>is</w:t>
      </w:r>
      <w:r>
        <w:rPr>
          <w:spacing w:val="-10"/>
          <w:sz w:val="20"/>
        </w:rPr>
        <w:t> </w:t>
      </w:r>
      <w:r>
        <w:rPr>
          <w:sz w:val="20"/>
        </w:rPr>
        <w:t>that</w:t>
      </w:r>
      <w:r>
        <w:rPr>
          <w:spacing w:val="-10"/>
          <w:sz w:val="20"/>
        </w:rPr>
        <w:t> </w:t>
      </w:r>
      <w:r>
        <w:rPr>
          <w:sz w:val="20"/>
        </w:rPr>
        <w:t>a</w:t>
      </w:r>
      <w:r>
        <w:rPr>
          <w:spacing w:val="-10"/>
          <w:sz w:val="20"/>
        </w:rPr>
        <w:t> </w:t>
      </w:r>
      <w:r>
        <w:rPr>
          <w:sz w:val="20"/>
        </w:rPr>
        <w:t>support</w:t>
      </w:r>
      <w:r>
        <w:rPr>
          <w:spacing w:val="-11"/>
          <w:sz w:val="20"/>
        </w:rPr>
        <w:t> </w:t>
      </w:r>
      <w:r>
        <w:rPr>
          <w:sz w:val="20"/>
        </w:rPr>
        <w:t>person</w:t>
      </w:r>
      <w:r>
        <w:rPr>
          <w:spacing w:val="-10"/>
          <w:sz w:val="20"/>
        </w:rPr>
        <w:t> </w:t>
      </w:r>
      <w:r>
        <w:rPr>
          <w:sz w:val="20"/>
        </w:rPr>
        <w:t>should</w:t>
      </w:r>
      <w:r>
        <w:rPr>
          <w:spacing w:val="-10"/>
          <w:sz w:val="20"/>
        </w:rPr>
        <w:t> </w:t>
      </w:r>
      <w:r>
        <w:rPr>
          <w:sz w:val="20"/>
        </w:rPr>
        <w:t>be</w:t>
      </w:r>
      <w:r>
        <w:rPr>
          <w:spacing w:val="-10"/>
          <w:sz w:val="20"/>
        </w:rPr>
        <w:t> </w:t>
      </w:r>
      <w:r>
        <w:rPr>
          <w:sz w:val="20"/>
        </w:rPr>
        <w:t>an</w:t>
      </w:r>
      <w:r>
        <w:rPr>
          <w:spacing w:val="-11"/>
          <w:sz w:val="20"/>
        </w:rPr>
        <w:t> </w:t>
      </w:r>
      <w:r>
        <w:rPr>
          <w:sz w:val="20"/>
        </w:rPr>
        <w:t>independent</w:t>
      </w:r>
      <w:r>
        <w:rPr>
          <w:spacing w:val="-10"/>
          <w:sz w:val="20"/>
        </w:rPr>
        <w:t> </w:t>
      </w:r>
      <w:r>
        <w:rPr>
          <w:sz w:val="20"/>
        </w:rPr>
        <w:t>court appointment. This was supported </w:t>
      </w:r>
      <w:r>
        <w:rPr>
          <w:spacing w:val="-3"/>
          <w:sz w:val="20"/>
        </w:rPr>
        <w:t>by </w:t>
      </w:r>
      <w:r>
        <w:rPr>
          <w:sz w:val="20"/>
        </w:rPr>
        <w:t>Vision Australia, which commented that the support </w:t>
      </w:r>
      <w:r>
        <w:rPr>
          <w:spacing w:val="-3"/>
          <w:sz w:val="20"/>
        </w:rPr>
        <w:t>person/audio </w:t>
      </w:r>
      <w:r>
        <w:rPr>
          <w:sz w:val="20"/>
        </w:rPr>
        <w:t>describer</w:t>
      </w:r>
      <w:r>
        <w:rPr>
          <w:spacing w:val="-10"/>
          <w:sz w:val="20"/>
        </w:rPr>
        <w:t> </w:t>
      </w:r>
      <w:r>
        <w:rPr>
          <w:spacing w:val="-3"/>
          <w:sz w:val="20"/>
        </w:rPr>
        <w:t>role:</w:t>
      </w:r>
    </w:p>
    <w:p>
      <w:pPr>
        <w:spacing w:line="208" w:lineRule="auto" w:before="123"/>
        <w:ind w:left="2157" w:right="1202" w:firstLine="0"/>
        <w:jc w:val="left"/>
        <w:rPr>
          <w:sz w:val="19"/>
        </w:rPr>
      </w:pPr>
      <w:r>
        <w:rPr>
          <w:sz w:val="19"/>
        </w:rPr>
        <w:t>is a specialised role and should be filled by an independent support person (rather than someone bringing their own support person). The supporter would be trained to describe documents, orient the person etc.</w:t>
      </w:r>
    </w:p>
    <w:p>
      <w:pPr>
        <w:pStyle w:val="ListParagraph"/>
        <w:numPr>
          <w:ilvl w:val="1"/>
          <w:numId w:val="12"/>
        </w:numPr>
        <w:tabs>
          <w:tab w:pos="1761" w:val="left" w:leader="none"/>
          <w:tab w:pos="1762" w:val="left" w:leader="none"/>
        </w:tabs>
        <w:spacing w:line="206" w:lineRule="auto" w:before="124" w:after="0"/>
        <w:ind w:left="1761" w:right="1424" w:hanging="794"/>
        <w:jc w:val="left"/>
        <w:rPr>
          <w:sz w:val="20"/>
        </w:rPr>
      </w:pPr>
      <w:r>
        <w:rPr>
          <w:sz w:val="20"/>
        </w:rPr>
        <w:t>Organisations</w:t>
      </w:r>
      <w:r>
        <w:rPr>
          <w:spacing w:val="-13"/>
          <w:sz w:val="20"/>
        </w:rPr>
        <w:t> </w:t>
      </w:r>
      <w:r>
        <w:rPr>
          <w:sz w:val="20"/>
        </w:rPr>
        <w:t>such</w:t>
      </w:r>
      <w:r>
        <w:rPr>
          <w:spacing w:val="-13"/>
          <w:sz w:val="20"/>
        </w:rPr>
        <w:t> </w:t>
      </w:r>
      <w:r>
        <w:rPr>
          <w:sz w:val="20"/>
        </w:rPr>
        <w:t>as</w:t>
      </w:r>
      <w:r>
        <w:rPr>
          <w:spacing w:val="-12"/>
          <w:sz w:val="20"/>
        </w:rPr>
        <w:t> </w:t>
      </w:r>
      <w:r>
        <w:rPr>
          <w:sz w:val="20"/>
        </w:rPr>
        <w:t>Description</w:t>
      </w:r>
      <w:r>
        <w:rPr>
          <w:spacing w:val="-13"/>
          <w:sz w:val="20"/>
        </w:rPr>
        <w:t> </w:t>
      </w:r>
      <w:r>
        <w:rPr>
          <w:sz w:val="20"/>
        </w:rPr>
        <w:t>Victoria</w:t>
      </w:r>
      <w:r>
        <w:rPr>
          <w:spacing w:val="-12"/>
          <w:sz w:val="20"/>
        </w:rPr>
        <w:t> </w:t>
      </w:r>
      <w:r>
        <w:rPr>
          <w:sz w:val="20"/>
        </w:rPr>
        <w:t>and</w:t>
      </w:r>
      <w:r>
        <w:rPr>
          <w:spacing w:val="-13"/>
          <w:sz w:val="20"/>
        </w:rPr>
        <w:t> </w:t>
      </w:r>
      <w:r>
        <w:rPr>
          <w:sz w:val="20"/>
        </w:rPr>
        <w:t>Vision</w:t>
      </w:r>
      <w:r>
        <w:rPr>
          <w:spacing w:val="-12"/>
          <w:sz w:val="20"/>
        </w:rPr>
        <w:t> </w:t>
      </w:r>
      <w:r>
        <w:rPr>
          <w:sz w:val="20"/>
        </w:rPr>
        <w:t>Australia</w:t>
      </w:r>
      <w:r>
        <w:rPr>
          <w:spacing w:val="-13"/>
          <w:sz w:val="20"/>
        </w:rPr>
        <w:t> </w:t>
      </w:r>
      <w:r>
        <w:rPr>
          <w:sz w:val="20"/>
        </w:rPr>
        <w:t>could</w:t>
      </w:r>
      <w:r>
        <w:rPr>
          <w:spacing w:val="-12"/>
          <w:sz w:val="20"/>
        </w:rPr>
        <w:t> </w:t>
      </w:r>
      <w:r>
        <w:rPr>
          <w:spacing w:val="-3"/>
          <w:sz w:val="20"/>
        </w:rPr>
        <w:t>work</w:t>
      </w:r>
      <w:r>
        <w:rPr>
          <w:spacing w:val="-13"/>
          <w:sz w:val="20"/>
        </w:rPr>
        <w:t> </w:t>
      </w:r>
      <w:r>
        <w:rPr>
          <w:sz w:val="20"/>
        </w:rPr>
        <w:t>with</w:t>
      </w:r>
      <w:r>
        <w:rPr>
          <w:spacing w:val="-13"/>
          <w:sz w:val="20"/>
        </w:rPr>
        <w:t> </w:t>
      </w:r>
      <w:r>
        <w:rPr>
          <w:sz w:val="20"/>
        </w:rPr>
        <w:t>Juries Victoria and the courts to </w:t>
      </w:r>
      <w:r>
        <w:rPr>
          <w:spacing w:val="-3"/>
          <w:sz w:val="20"/>
        </w:rPr>
        <w:t>develop appropriate </w:t>
      </w:r>
      <w:r>
        <w:rPr>
          <w:sz w:val="20"/>
        </w:rPr>
        <w:t>training</w:t>
      </w:r>
      <w:r>
        <w:rPr>
          <w:spacing w:val="-37"/>
          <w:sz w:val="20"/>
        </w:rPr>
        <w:t> </w:t>
      </w:r>
      <w:r>
        <w:rPr>
          <w:sz w:val="20"/>
        </w:rPr>
        <w:t>requirements.</w:t>
      </w:r>
    </w:p>
    <w:p>
      <w:pPr>
        <w:pStyle w:val="ListParagraph"/>
        <w:numPr>
          <w:ilvl w:val="1"/>
          <w:numId w:val="12"/>
        </w:numPr>
        <w:tabs>
          <w:tab w:pos="1761" w:val="left" w:leader="none"/>
          <w:tab w:pos="1762" w:val="left" w:leader="none"/>
        </w:tabs>
        <w:spacing w:line="206" w:lineRule="auto" w:before="122" w:after="0"/>
        <w:ind w:left="1761" w:right="1298" w:hanging="794"/>
        <w:jc w:val="left"/>
        <w:rPr>
          <w:sz w:val="20"/>
        </w:rPr>
      </w:pPr>
      <w:r>
        <w:rPr>
          <w:sz w:val="20"/>
        </w:rPr>
        <w:t>When</w:t>
      </w:r>
      <w:r>
        <w:rPr>
          <w:spacing w:val="-13"/>
          <w:sz w:val="20"/>
        </w:rPr>
        <w:t> </w:t>
      </w:r>
      <w:r>
        <w:rPr>
          <w:sz w:val="20"/>
        </w:rPr>
        <w:t>audio</w:t>
      </w:r>
      <w:r>
        <w:rPr>
          <w:spacing w:val="-13"/>
          <w:sz w:val="20"/>
        </w:rPr>
        <w:t> </w:t>
      </w:r>
      <w:r>
        <w:rPr>
          <w:sz w:val="20"/>
        </w:rPr>
        <w:t>description</w:t>
      </w:r>
      <w:r>
        <w:rPr>
          <w:spacing w:val="-13"/>
          <w:sz w:val="20"/>
        </w:rPr>
        <w:t> </w:t>
      </w:r>
      <w:r>
        <w:rPr>
          <w:sz w:val="20"/>
        </w:rPr>
        <w:t>becomes</w:t>
      </w:r>
      <w:r>
        <w:rPr>
          <w:spacing w:val="-12"/>
          <w:sz w:val="20"/>
        </w:rPr>
        <w:t> </w:t>
      </w:r>
      <w:r>
        <w:rPr>
          <w:sz w:val="20"/>
        </w:rPr>
        <w:t>more</w:t>
      </w:r>
      <w:r>
        <w:rPr>
          <w:spacing w:val="-13"/>
          <w:sz w:val="20"/>
        </w:rPr>
        <w:t> </w:t>
      </w:r>
      <w:r>
        <w:rPr>
          <w:sz w:val="20"/>
        </w:rPr>
        <w:t>professionalised</w:t>
      </w:r>
      <w:r>
        <w:rPr>
          <w:spacing w:val="-13"/>
          <w:sz w:val="20"/>
        </w:rPr>
        <w:t> </w:t>
      </w:r>
      <w:r>
        <w:rPr>
          <w:sz w:val="20"/>
        </w:rPr>
        <w:t>in</w:t>
      </w:r>
      <w:r>
        <w:rPr>
          <w:spacing w:val="-13"/>
          <w:sz w:val="20"/>
        </w:rPr>
        <w:t> </w:t>
      </w:r>
      <w:r>
        <w:rPr>
          <w:sz w:val="20"/>
        </w:rPr>
        <w:t>the</w:t>
      </w:r>
      <w:r>
        <w:rPr>
          <w:spacing w:val="-12"/>
          <w:sz w:val="20"/>
        </w:rPr>
        <w:t> </w:t>
      </w:r>
      <w:r>
        <w:rPr>
          <w:spacing w:val="-3"/>
          <w:sz w:val="20"/>
        </w:rPr>
        <w:t>future,</w:t>
      </w:r>
      <w:r>
        <w:rPr>
          <w:spacing w:val="-13"/>
          <w:sz w:val="20"/>
        </w:rPr>
        <w:t> </w:t>
      </w:r>
      <w:r>
        <w:rPr>
          <w:spacing w:val="-3"/>
          <w:sz w:val="20"/>
        </w:rPr>
        <w:t>we</w:t>
      </w:r>
      <w:r>
        <w:rPr>
          <w:spacing w:val="-13"/>
          <w:sz w:val="20"/>
        </w:rPr>
        <w:t> </w:t>
      </w:r>
      <w:r>
        <w:rPr>
          <w:sz w:val="20"/>
        </w:rPr>
        <w:t>recommend that the </w:t>
      </w:r>
      <w:r>
        <w:rPr>
          <w:spacing w:val="-3"/>
          <w:sz w:val="20"/>
        </w:rPr>
        <w:t>training/accreditation </w:t>
      </w:r>
      <w:r>
        <w:rPr>
          <w:sz w:val="20"/>
        </w:rPr>
        <w:t>for that </w:t>
      </w:r>
      <w:r>
        <w:rPr>
          <w:spacing w:val="-3"/>
          <w:sz w:val="20"/>
        </w:rPr>
        <w:t>role </w:t>
      </w:r>
      <w:r>
        <w:rPr>
          <w:sz w:val="20"/>
        </w:rPr>
        <w:t>should be incorporated in regulation in the same </w:t>
      </w:r>
      <w:r>
        <w:rPr>
          <w:spacing w:val="-4"/>
          <w:sz w:val="20"/>
        </w:rPr>
        <w:t>way </w:t>
      </w:r>
      <w:r>
        <w:rPr>
          <w:sz w:val="20"/>
        </w:rPr>
        <w:t>recommended in </w:t>
      </w:r>
      <w:r>
        <w:rPr>
          <w:spacing w:val="-2"/>
          <w:sz w:val="20"/>
        </w:rPr>
        <w:t>Chapter </w:t>
      </w:r>
      <w:r>
        <w:rPr>
          <w:sz w:val="20"/>
        </w:rPr>
        <w:t>14 for Auslan</w:t>
      </w:r>
      <w:r>
        <w:rPr>
          <w:spacing w:val="-29"/>
          <w:sz w:val="20"/>
        </w:rPr>
        <w:t> </w:t>
      </w:r>
      <w:r>
        <w:rPr>
          <w:spacing w:val="-3"/>
          <w:sz w:val="20"/>
        </w:rPr>
        <w:t>interpreters.</w:t>
      </w:r>
    </w:p>
    <w:p>
      <w:pPr>
        <w:spacing w:before="162"/>
        <w:ind w:left="967" w:right="0" w:firstLine="0"/>
        <w:jc w:val="left"/>
        <w:rPr>
          <w:b/>
          <w:sz w:val="24"/>
        </w:rPr>
      </w:pPr>
      <w:r>
        <w:rPr>
          <w:b/>
          <w:sz w:val="24"/>
        </w:rPr>
        <w:t>Standards and a code of conduct for support persons</w:t>
      </w:r>
    </w:p>
    <w:p>
      <w:pPr>
        <w:pStyle w:val="ListParagraph"/>
        <w:numPr>
          <w:ilvl w:val="1"/>
          <w:numId w:val="12"/>
        </w:numPr>
        <w:tabs>
          <w:tab w:pos="1761" w:val="left" w:leader="none"/>
          <w:tab w:pos="1762" w:val="left" w:leader="none"/>
        </w:tabs>
        <w:spacing w:line="206" w:lineRule="auto" w:before="127" w:after="0"/>
        <w:ind w:left="1761" w:right="1697" w:hanging="794"/>
        <w:jc w:val="left"/>
        <w:rPr>
          <w:sz w:val="20"/>
        </w:rPr>
      </w:pPr>
      <w:r>
        <w:rPr>
          <w:spacing w:val="-3"/>
          <w:sz w:val="20"/>
        </w:rPr>
        <w:t>Anyone </w:t>
      </w:r>
      <w:r>
        <w:rPr>
          <w:sz w:val="20"/>
        </w:rPr>
        <w:t>who undertakes the </w:t>
      </w:r>
      <w:r>
        <w:rPr>
          <w:spacing w:val="-3"/>
          <w:sz w:val="20"/>
        </w:rPr>
        <w:t>role </w:t>
      </w:r>
      <w:r>
        <w:rPr>
          <w:sz w:val="20"/>
        </w:rPr>
        <w:t>of a supporter should, like Auslan </w:t>
      </w:r>
      <w:r>
        <w:rPr>
          <w:spacing w:val="-3"/>
          <w:sz w:val="20"/>
        </w:rPr>
        <w:t>interpreters, </w:t>
      </w:r>
      <w:r>
        <w:rPr>
          <w:sz w:val="20"/>
        </w:rPr>
        <w:t>be</w:t>
      </w:r>
      <w:r>
        <w:rPr>
          <w:spacing w:val="-11"/>
          <w:sz w:val="20"/>
        </w:rPr>
        <w:t> </w:t>
      </w:r>
      <w:r>
        <w:rPr>
          <w:sz w:val="20"/>
        </w:rPr>
        <w:t>subject</w:t>
      </w:r>
      <w:r>
        <w:rPr>
          <w:spacing w:val="-10"/>
          <w:sz w:val="20"/>
        </w:rPr>
        <w:t> </w:t>
      </w:r>
      <w:r>
        <w:rPr>
          <w:sz w:val="20"/>
        </w:rPr>
        <w:t>to</w:t>
      </w:r>
      <w:r>
        <w:rPr>
          <w:spacing w:val="-11"/>
          <w:sz w:val="20"/>
        </w:rPr>
        <w:t> </w:t>
      </w:r>
      <w:r>
        <w:rPr>
          <w:sz w:val="20"/>
        </w:rPr>
        <w:t>standards</w:t>
      </w:r>
      <w:r>
        <w:rPr>
          <w:spacing w:val="-10"/>
          <w:sz w:val="20"/>
        </w:rPr>
        <w:t> </w:t>
      </w:r>
      <w:r>
        <w:rPr>
          <w:sz w:val="20"/>
        </w:rPr>
        <w:t>and</w:t>
      </w:r>
      <w:r>
        <w:rPr>
          <w:spacing w:val="-10"/>
          <w:sz w:val="20"/>
        </w:rPr>
        <w:t> </w:t>
      </w:r>
      <w:r>
        <w:rPr>
          <w:sz w:val="20"/>
        </w:rPr>
        <w:t>a</w:t>
      </w:r>
      <w:r>
        <w:rPr>
          <w:spacing w:val="-11"/>
          <w:sz w:val="20"/>
        </w:rPr>
        <w:t> </w:t>
      </w:r>
      <w:r>
        <w:rPr>
          <w:sz w:val="20"/>
        </w:rPr>
        <w:t>code</w:t>
      </w:r>
      <w:r>
        <w:rPr>
          <w:spacing w:val="-10"/>
          <w:sz w:val="20"/>
        </w:rPr>
        <w:t> </w:t>
      </w:r>
      <w:r>
        <w:rPr>
          <w:sz w:val="20"/>
        </w:rPr>
        <w:t>of</w:t>
      </w:r>
      <w:r>
        <w:rPr>
          <w:spacing w:val="-10"/>
          <w:sz w:val="20"/>
        </w:rPr>
        <w:t> </w:t>
      </w:r>
      <w:r>
        <w:rPr>
          <w:sz w:val="20"/>
        </w:rPr>
        <w:t>conduct</w:t>
      </w:r>
      <w:r>
        <w:rPr>
          <w:spacing w:val="-11"/>
          <w:sz w:val="20"/>
        </w:rPr>
        <w:t> </w:t>
      </w:r>
      <w:r>
        <w:rPr>
          <w:sz w:val="20"/>
        </w:rPr>
        <w:t>to</w:t>
      </w:r>
      <w:r>
        <w:rPr>
          <w:spacing w:val="-10"/>
          <w:sz w:val="20"/>
        </w:rPr>
        <w:t> </w:t>
      </w:r>
      <w:r>
        <w:rPr>
          <w:sz w:val="20"/>
        </w:rPr>
        <w:t>ensure</w:t>
      </w:r>
      <w:r>
        <w:rPr>
          <w:spacing w:val="-11"/>
          <w:sz w:val="20"/>
        </w:rPr>
        <w:t> </w:t>
      </w:r>
      <w:r>
        <w:rPr>
          <w:sz w:val="20"/>
        </w:rPr>
        <w:t>that</w:t>
      </w:r>
      <w:r>
        <w:rPr>
          <w:spacing w:val="-10"/>
          <w:sz w:val="20"/>
        </w:rPr>
        <w:t> </w:t>
      </w:r>
      <w:r>
        <w:rPr>
          <w:sz w:val="20"/>
        </w:rPr>
        <w:t>they</w:t>
      </w:r>
      <w:r>
        <w:rPr>
          <w:spacing w:val="-10"/>
          <w:sz w:val="20"/>
        </w:rPr>
        <w:t> </w:t>
      </w:r>
      <w:r>
        <w:rPr>
          <w:sz w:val="20"/>
        </w:rPr>
        <w:t>understand</w:t>
      </w:r>
      <w:r>
        <w:rPr>
          <w:spacing w:val="-11"/>
          <w:sz w:val="20"/>
        </w:rPr>
        <w:t> </w:t>
      </w:r>
      <w:r>
        <w:rPr>
          <w:sz w:val="20"/>
        </w:rPr>
        <w:t>the limitations</w:t>
      </w:r>
      <w:r>
        <w:rPr>
          <w:spacing w:val="-9"/>
          <w:sz w:val="20"/>
        </w:rPr>
        <w:t> </w:t>
      </w:r>
      <w:r>
        <w:rPr>
          <w:sz w:val="20"/>
        </w:rPr>
        <w:t>of</w:t>
      </w:r>
      <w:r>
        <w:rPr>
          <w:spacing w:val="-8"/>
          <w:sz w:val="20"/>
        </w:rPr>
        <w:t> </w:t>
      </w:r>
      <w:r>
        <w:rPr>
          <w:sz w:val="20"/>
        </w:rPr>
        <w:t>their</w:t>
      </w:r>
      <w:r>
        <w:rPr>
          <w:spacing w:val="-9"/>
          <w:sz w:val="20"/>
        </w:rPr>
        <w:t> </w:t>
      </w:r>
      <w:r>
        <w:rPr>
          <w:spacing w:val="-3"/>
          <w:sz w:val="20"/>
        </w:rPr>
        <w:t>role</w:t>
      </w:r>
      <w:r>
        <w:rPr>
          <w:spacing w:val="-8"/>
          <w:sz w:val="20"/>
        </w:rPr>
        <w:t> </w:t>
      </w:r>
      <w:r>
        <w:rPr>
          <w:sz w:val="20"/>
        </w:rPr>
        <w:t>and</w:t>
      </w:r>
      <w:r>
        <w:rPr>
          <w:spacing w:val="-9"/>
          <w:sz w:val="20"/>
        </w:rPr>
        <w:t> </w:t>
      </w:r>
      <w:r>
        <w:rPr>
          <w:sz w:val="20"/>
        </w:rPr>
        <w:t>can</w:t>
      </w:r>
      <w:r>
        <w:rPr>
          <w:spacing w:val="-8"/>
          <w:sz w:val="20"/>
        </w:rPr>
        <w:t> </w:t>
      </w:r>
      <w:r>
        <w:rPr>
          <w:sz w:val="20"/>
        </w:rPr>
        <w:t>undertake</w:t>
      </w:r>
      <w:r>
        <w:rPr>
          <w:spacing w:val="-9"/>
          <w:sz w:val="20"/>
        </w:rPr>
        <w:t> </w:t>
      </w:r>
      <w:r>
        <w:rPr>
          <w:sz w:val="20"/>
        </w:rPr>
        <w:t>it</w:t>
      </w:r>
      <w:r>
        <w:rPr>
          <w:spacing w:val="-8"/>
          <w:sz w:val="20"/>
        </w:rPr>
        <w:t> </w:t>
      </w:r>
      <w:r>
        <w:rPr>
          <w:sz w:val="20"/>
        </w:rPr>
        <w:t>to</w:t>
      </w:r>
      <w:r>
        <w:rPr>
          <w:spacing w:val="-9"/>
          <w:sz w:val="20"/>
        </w:rPr>
        <w:t> </w:t>
      </w:r>
      <w:r>
        <w:rPr>
          <w:sz w:val="20"/>
        </w:rPr>
        <w:t>a</w:t>
      </w:r>
      <w:r>
        <w:rPr>
          <w:spacing w:val="-8"/>
          <w:sz w:val="20"/>
        </w:rPr>
        <w:t> </w:t>
      </w:r>
      <w:r>
        <w:rPr>
          <w:sz w:val="20"/>
        </w:rPr>
        <w:t>professional</w:t>
      </w:r>
      <w:r>
        <w:rPr>
          <w:spacing w:val="-9"/>
          <w:sz w:val="20"/>
        </w:rPr>
        <w:t> </w:t>
      </w:r>
      <w:r>
        <w:rPr>
          <w:spacing w:val="-3"/>
          <w:sz w:val="20"/>
        </w:rPr>
        <w:t>level.</w:t>
      </w:r>
      <w:r>
        <w:rPr>
          <w:spacing w:val="-8"/>
          <w:sz w:val="20"/>
        </w:rPr>
        <w:t> </w:t>
      </w:r>
      <w:r>
        <w:rPr>
          <w:sz w:val="20"/>
        </w:rPr>
        <w:t>In</w:t>
      </w:r>
      <w:r>
        <w:rPr>
          <w:spacing w:val="-9"/>
          <w:sz w:val="20"/>
        </w:rPr>
        <w:t> </w:t>
      </w:r>
      <w:r>
        <w:rPr>
          <w:sz w:val="20"/>
        </w:rPr>
        <w:t>the</w:t>
      </w:r>
      <w:r>
        <w:rPr>
          <w:spacing w:val="-8"/>
          <w:sz w:val="20"/>
        </w:rPr>
        <w:t> ACT,</w:t>
      </w:r>
      <w:r>
        <w:rPr>
          <w:spacing w:val="-9"/>
          <w:sz w:val="20"/>
        </w:rPr>
        <w:t> </w:t>
      </w:r>
      <w:r>
        <w:rPr>
          <w:sz w:val="20"/>
        </w:rPr>
        <w:t>the</w:t>
      </w:r>
    </w:p>
    <w:p>
      <w:pPr>
        <w:pStyle w:val="BodyText"/>
        <w:spacing w:line="206" w:lineRule="auto" w:before="4"/>
        <w:ind w:left="1761" w:right="1297"/>
        <w:rPr>
          <w:sz w:val="11"/>
        </w:rPr>
      </w:pPr>
      <w:r>
        <w:rPr/>
        <w:t>support person will be </w:t>
      </w:r>
      <w:r>
        <w:rPr>
          <w:spacing w:val="-3"/>
        </w:rPr>
        <w:t>required </w:t>
      </w:r>
      <w:r>
        <w:rPr/>
        <w:t>to sign and </w:t>
      </w:r>
      <w:r>
        <w:rPr>
          <w:spacing w:val="-3"/>
        </w:rPr>
        <w:t>return </w:t>
      </w:r>
      <w:r>
        <w:rPr/>
        <w:t>the code of conduct and standards prior to attending court to </w:t>
      </w:r>
      <w:r>
        <w:rPr>
          <w:spacing w:val="-3"/>
        </w:rPr>
        <w:t>work </w:t>
      </w:r>
      <w:r>
        <w:rPr/>
        <w:t>alongside the potential </w:t>
      </w:r>
      <w:r>
        <w:rPr>
          <w:spacing w:val="-3"/>
        </w:rPr>
        <w:t>juror.</w:t>
      </w:r>
      <w:r>
        <w:rPr>
          <w:spacing w:val="-3"/>
          <w:position w:val="7"/>
          <w:sz w:val="11"/>
        </w:rPr>
        <w:t>35</w:t>
      </w:r>
    </w:p>
    <w:p>
      <w:pPr>
        <w:pStyle w:val="ListParagraph"/>
        <w:numPr>
          <w:ilvl w:val="1"/>
          <w:numId w:val="12"/>
        </w:numPr>
        <w:tabs>
          <w:tab w:pos="1761" w:val="left" w:leader="none"/>
          <w:tab w:pos="1762" w:val="left" w:leader="none"/>
        </w:tabs>
        <w:spacing w:line="259" w:lineRule="exact" w:before="90" w:after="0"/>
        <w:ind w:left="1761" w:right="0" w:hanging="794"/>
        <w:jc w:val="left"/>
        <w:rPr>
          <w:sz w:val="20"/>
        </w:rPr>
      </w:pPr>
      <w:r>
        <w:rPr>
          <w:sz w:val="20"/>
        </w:rPr>
        <w:t>The</w:t>
      </w:r>
      <w:r>
        <w:rPr>
          <w:spacing w:val="-6"/>
          <w:sz w:val="20"/>
        </w:rPr>
        <w:t> </w:t>
      </w:r>
      <w:r>
        <w:rPr>
          <w:spacing w:val="-4"/>
          <w:sz w:val="20"/>
        </w:rPr>
        <w:t>ACT</w:t>
      </w:r>
      <w:r>
        <w:rPr>
          <w:spacing w:val="-5"/>
          <w:sz w:val="20"/>
        </w:rPr>
        <w:t> </w:t>
      </w:r>
      <w:r>
        <w:rPr>
          <w:sz w:val="20"/>
        </w:rPr>
        <w:t>standards</w:t>
      </w:r>
      <w:r>
        <w:rPr>
          <w:spacing w:val="-5"/>
          <w:sz w:val="20"/>
        </w:rPr>
        <w:t> </w:t>
      </w:r>
      <w:r>
        <w:rPr>
          <w:sz w:val="20"/>
        </w:rPr>
        <w:t>document</w:t>
      </w:r>
      <w:r>
        <w:rPr>
          <w:spacing w:val="-5"/>
          <w:sz w:val="20"/>
        </w:rPr>
        <w:t> </w:t>
      </w:r>
      <w:r>
        <w:rPr>
          <w:sz w:val="20"/>
        </w:rPr>
        <w:t>for</w:t>
      </w:r>
      <w:r>
        <w:rPr>
          <w:spacing w:val="-5"/>
          <w:sz w:val="20"/>
        </w:rPr>
        <w:t> </w:t>
      </w:r>
      <w:r>
        <w:rPr>
          <w:sz w:val="20"/>
        </w:rPr>
        <w:t>support</w:t>
      </w:r>
      <w:r>
        <w:rPr>
          <w:spacing w:val="-5"/>
          <w:sz w:val="20"/>
        </w:rPr>
        <w:t> </w:t>
      </w:r>
      <w:r>
        <w:rPr>
          <w:sz w:val="20"/>
        </w:rPr>
        <w:t>persons</w:t>
      </w:r>
      <w:r>
        <w:rPr>
          <w:spacing w:val="-5"/>
          <w:sz w:val="20"/>
        </w:rPr>
        <w:t> </w:t>
      </w:r>
      <w:r>
        <w:rPr>
          <w:sz w:val="20"/>
        </w:rPr>
        <w:t>is</w:t>
      </w:r>
      <w:r>
        <w:rPr>
          <w:spacing w:val="-6"/>
          <w:sz w:val="20"/>
        </w:rPr>
        <w:t> </w:t>
      </w:r>
      <w:r>
        <w:rPr>
          <w:sz w:val="20"/>
        </w:rPr>
        <w:t>a</w:t>
      </w:r>
      <w:r>
        <w:rPr>
          <w:spacing w:val="-5"/>
          <w:sz w:val="20"/>
        </w:rPr>
        <w:t> </w:t>
      </w:r>
      <w:r>
        <w:rPr>
          <w:sz w:val="20"/>
        </w:rPr>
        <w:t>good</w:t>
      </w:r>
      <w:r>
        <w:rPr>
          <w:spacing w:val="-5"/>
          <w:sz w:val="20"/>
        </w:rPr>
        <w:t> </w:t>
      </w:r>
      <w:r>
        <w:rPr>
          <w:sz w:val="20"/>
        </w:rPr>
        <w:t>model</w:t>
      </w:r>
      <w:r>
        <w:rPr>
          <w:spacing w:val="-5"/>
          <w:sz w:val="20"/>
        </w:rPr>
        <w:t> </w:t>
      </w:r>
      <w:r>
        <w:rPr>
          <w:sz w:val="20"/>
        </w:rPr>
        <w:t>for</w:t>
      </w:r>
      <w:r>
        <w:rPr>
          <w:spacing w:val="-5"/>
          <w:sz w:val="20"/>
        </w:rPr>
        <w:t> </w:t>
      </w:r>
      <w:r>
        <w:rPr>
          <w:sz w:val="20"/>
        </w:rPr>
        <w:t>Victoria.</w:t>
      </w:r>
    </w:p>
    <w:p>
      <w:pPr>
        <w:pStyle w:val="BodyText"/>
        <w:spacing w:line="206" w:lineRule="auto" w:before="14"/>
        <w:ind w:left="1761" w:right="1258"/>
      </w:pPr>
      <w:r>
        <w:rPr>
          <w:spacing w:val="-3"/>
        </w:rPr>
        <w:t>Like </w:t>
      </w:r>
      <w:r>
        <w:rPr/>
        <w:t>the standards </w:t>
      </w:r>
      <w:r>
        <w:rPr>
          <w:spacing w:val="-3"/>
        </w:rPr>
        <w:t>developed </w:t>
      </w:r>
      <w:r>
        <w:rPr/>
        <w:t>for court </w:t>
      </w:r>
      <w:r>
        <w:rPr>
          <w:spacing w:val="-3"/>
        </w:rPr>
        <w:t>interpreters, </w:t>
      </w:r>
      <w:r>
        <w:rPr/>
        <w:t>it includes information about </w:t>
      </w:r>
      <w:r>
        <w:rPr>
          <w:spacing w:val="-3"/>
        </w:rPr>
        <w:t>punctuality, </w:t>
      </w:r>
      <w:r>
        <w:rPr/>
        <w:t>dress, equipment, breaks and options to obtain feedback about the </w:t>
      </w:r>
      <w:r>
        <w:rPr>
          <w:spacing w:val="-3"/>
        </w:rPr>
        <w:t>role. </w:t>
      </w:r>
      <w:r>
        <w:rPr/>
        <w:t>The</w:t>
      </w:r>
      <w:r>
        <w:rPr>
          <w:spacing w:val="-12"/>
        </w:rPr>
        <w:t> </w:t>
      </w:r>
      <w:r>
        <w:rPr/>
        <w:t>document</w:t>
      </w:r>
      <w:r>
        <w:rPr>
          <w:spacing w:val="-12"/>
        </w:rPr>
        <w:t> </w:t>
      </w:r>
      <w:r>
        <w:rPr/>
        <w:t>suggests</w:t>
      </w:r>
      <w:r>
        <w:rPr>
          <w:spacing w:val="-12"/>
        </w:rPr>
        <w:t> </w:t>
      </w:r>
      <w:r>
        <w:rPr/>
        <w:t>that</w:t>
      </w:r>
      <w:r>
        <w:rPr>
          <w:spacing w:val="-11"/>
        </w:rPr>
        <w:t> </w:t>
      </w:r>
      <w:r>
        <w:rPr/>
        <w:t>the</w:t>
      </w:r>
      <w:r>
        <w:rPr>
          <w:spacing w:val="-12"/>
        </w:rPr>
        <w:t> </w:t>
      </w:r>
      <w:r>
        <w:rPr/>
        <w:t>supporter</w:t>
      </w:r>
      <w:r>
        <w:rPr>
          <w:spacing w:val="-12"/>
        </w:rPr>
        <w:t> </w:t>
      </w:r>
      <w:r>
        <w:rPr/>
        <w:t>will</w:t>
      </w:r>
      <w:r>
        <w:rPr>
          <w:spacing w:val="-11"/>
        </w:rPr>
        <w:t> </w:t>
      </w:r>
      <w:r>
        <w:rPr>
          <w:spacing w:val="-3"/>
        </w:rPr>
        <w:t>receive</w:t>
      </w:r>
      <w:r>
        <w:rPr>
          <w:spacing w:val="-12"/>
        </w:rPr>
        <w:t> </w:t>
      </w:r>
      <w:r>
        <w:rPr/>
        <w:t>‘remuneration</w:t>
      </w:r>
      <w:r>
        <w:rPr>
          <w:spacing w:val="-12"/>
        </w:rPr>
        <w:t> </w:t>
      </w:r>
      <w:r>
        <w:rPr/>
        <w:t>for</w:t>
      </w:r>
      <w:r>
        <w:rPr>
          <w:spacing w:val="-11"/>
        </w:rPr>
        <w:t> </w:t>
      </w:r>
      <w:r>
        <w:rPr/>
        <w:t>their</w:t>
      </w:r>
      <w:r>
        <w:rPr>
          <w:spacing w:val="-12"/>
        </w:rPr>
        <w:t> </w:t>
      </w:r>
      <w:r>
        <w:rPr/>
        <w:t>services including preparation time, </w:t>
      </w:r>
      <w:r>
        <w:rPr>
          <w:spacing w:val="-3"/>
        </w:rPr>
        <w:t>travel </w:t>
      </w:r>
      <w:r>
        <w:rPr/>
        <w:t>time and accommodation costs </w:t>
      </w:r>
      <w:r>
        <w:rPr>
          <w:spacing w:val="-3"/>
        </w:rPr>
        <w:t>(where </w:t>
      </w:r>
      <w:r>
        <w:rPr>
          <w:spacing w:val="-4"/>
        </w:rPr>
        <w:t>appropriate)’. </w:t>
      </w:r>
      <w:r>
        <w:rPr/>
        <w:t>The duties </w:t>
      </w:r>
      <w:r>
        <w:rPr>
          <w:spacing w:val="-3"/>
        </w:rPr>
        <w:t>required </w:t>
      </w:r>
      <w:r>
        <w:rPr/>
        <w:t>of a supporter</w:t>
      </w:r>
      <w:r>
        <w:rPr>
          <w:spacing w:val="-22"/>
        </w:rPr>
        <w:t> </w:t>
      </w:r>
      <w:r>
        <w:rPr>
          <w:spacing w:val="-3"/>
        </w:rPr>
        <w:t>are:</w:t>
      </w:r>
    </w:p>
    <w:p>
      <w:pPr>
        <w:pStyle w:val="ListParagraph"/>
        <w:numPr>
          <w:ilvl w:val="2"/>
          <w:numId w:val="12"/>
        </w:numPr>
        <w:tabs>
          <w:tab w:pos="2517" w:val="left" w:leader="none"/>
          <w:tab w:pos="2518" w:val="left" w:leader="none"/>
        </w:tabs>
        <w:spacing w:line="240" w:lineRule="auto" w:before="96" w:after="0"/>
        <w:ind w:left="2517" w:right="0" w:hanging="360"/>
        <w:jc w:val="left"/>
        <w:rPr>
          <w:sz w:val="19"/>
        </w:rPr>
      </w:pPr>
      <w:r>
        <w:rPr>
          <w:sz w:val="19"/>
        </w:rPr>
        <w:t>Diligently and impartially provide support to the</w:t>
      </w:r>
      <w:r>
        <w:rPr>
          <w:spacing w:val="-17"/>
          <w:sz w:val="19"/>
        </w:rPr>
        <w:t> </w:t>
      </w:r>
      <w:r>
        <w:rPr>
          <w:sz w:val="19"/>
        </w:rPr>
        <w:t>juror</w:t>
      </w:r>
    </w:p>
    <w:p>
      <w:pPr>
        <w:pStyle w:val="ListParagraph"/>
        <w:numPr>
          <w:ilvl w:val="2"/>
          <w:numId w:val="12"/>
        </w:numPr>
        <w:tabs>
          <w:tab w:pos="2517" w:val="left" w:leader="none"/>
          <w:tab w:pos="2518" w:val="left" w:leader="none"/>
        </w:tabs>
        <w:spacing w:line="208" w:lineRule="auto" w:before="114" w:after="0"/>
        <w:ind w:left="2517" w:right="1232" w:hanging="360"/>
        <w:jc w:val="left"/>
        <w:rPr>
          <w:sz w:val="19"/>
        </w:rPr>
      </w:pPr>
      <w:r>
        <w:rPr>
          <w:sz w:val="19"/>
        </w:rPr>
        <w:t>Diligently</w:t>
      </w:r>
      <w:r>
        <w:rPr>
          <w:spacing w:val="-7"/>
          <w:sz w:val="19"/>
        </w:rPr>
        <w:t> </w:t>
      </w:r>
      <w:r>
        <w:rPr>
          <w:spacing w:val="-3"/>
          <w:sz w:val="19"/>
        </w:rPr>
        <w:t>convey</w:t>
      </w:r>
      <w:r>
        <w:rPr>
          <w:spacing w:val="-7"/>
          <w:sz w:val="19"/>
        </w:rPr>
        <w:t> </w:t>
      </w:r>
      <w:r>
        <w:rPr>
          <w:sz w:val="19"/>
        </w:rPr>
        <w:t>communication</w:t>
      </w:r>
      <w:r>
        <w:rPr>
          <w:spacing w:val="-7"/>
          <w:sz w:val="19"/>
        </w:rPr>
        <w:t> </w:t>
      </w:r>
      <w:r>
        <w:rPr>
          <w:sz w:val="19"/>
        </w:rPr>
        <w:t>between</w:t>
      </w:r>
      <w:r>
        <w:rPr>
          <w:spacing w:val="-7"/>
          <w:sz w:val="19"/>
        </w:rPr>
        <w:t> </w:t>
      </w:r>
      <w:r>
        <w:rPr>
          <w:sz w:val="19"/>
        </w:rPr>
        <w:t>jurors</w:t>
      </w:r>
      <w:r>
        <w:rPr>
          <w:spacing w:val="-7"/>
          <w:sz w:val="19"/>
        </w:rPr>
        <w:t> </w:t>
      </w:r>
      <w:r>
        <w:rPr>
          <w:sz w:val="19"/>
        </w:rPr>
        <w:t>as</w:t>
      </w:r>
      <w:r>
        <w:rPr>
          <w:spacing w:val="-7"/>
          <w:sz w:val="19"/>
        </w:rPr>
        <w:t> </w:t>
      </w:r>
      <w:r>
        <w:rPr>
          <w:sz w:val="19"/>
        </w:rPr>
        <w:t>accurately</w:t>
      </w:r>
      <w:r>
        <w:rPr>
          <w:spacing w:val="-7"/>
          <w:sz w:val="19"/>
        </w:rPr>
        <w:t> </w:t>
      </w:r>
      <w:r>
        <w:rPr>
          <w:sz w:val="19"/>
        </w:rPr>
        <w:t>and</w:t>
      </w:r>
      <w:r>
        <w:rPr>
          <w:spacing w:val="-7"/>
          <w:sz w:val="19"/>
        </w:rPr>
        <w:t> </w:t>
      </w:r>
      <w:r>
        <w:rPr>
          <w:sz w:val="19"/>
        </w:rPr>
        <w:t>completely</w:t>
      </w:r>
      <w:r>
        <w:rPr>
          <w:spacing w:val="-7"/>
          <w:sz w:val="19"/>
        </w:rPr>
        <w:t> </w:t>
      </w:r>
      <w:r>
        <w:rPr>
          <w:sz w:val="19"/>
        </w:rPr>
        <w:t>as possible and not add or include your opinion or</w:t>
      </w:r>
      <w:r>
        <w:rPr>
          <w:spacing w:val="-20"/>
          <w:sz w:val="19"/>
        </w:rPr>
        <w:t> </w:t>
      </w:r>
      <w:r>
        <w:rPr>
          <w:sz w:val="19"/>
        </w:rPr>
        <w:t>beliefs</w:t>
      </w:r>
    </w:p>
    <w:p>
      <w:pPr>
        <w:pStyle w:val="ListParagraph"/>
        <w:numPr>
          <w:ilvl w:val="2"/>
          <w:numId w:val="12"/>
        </w:numPr>
        <w:tabs>
          <w:tab w:pos="2517" w:val="left" w:leader="none"/>
          <w:tab w:pos="2518" w:val="left" w:leader="none"/>
        </w:tabs>
        <w:spacing w:line="240" w:lineRule="auto" w:before="93" w:after="0"/>
        <w:ind w:left="2517" w:right="0" w:hanging="360"/>
        <w:jc w:val="left"/>
        <w:rPr>
          <w:sz w:val="19"/>
        </w:rPr>
      </w:pPr>
      <w:r>
        <w:rPr>
          <w:sz w:val="19"/>
        </w:rPr>
        <w:t>Comply with all directions of the</w:t>
      </w:r>
      <w:r>
        <w:rPr>
          <w:spacing w:val="-13"/>
          <w:sz w:val="19"/>
        </w:rPr>
        <w:t> </w:t>
      </w:r>
      <w:r>
        <w:rPr>
          <w:sz w:val="19"/>
        </w:rPr>
        <w:t>Court</w:t>
      </w:r>
    </w:p>
    <w:p>
      <w:pPr>
        <w:pStyle w:val="BodyText"/>
      </w:pPr>
    </w:p>
    <w:p>
      <w:pPr>
        <w:pStyle w:val="BodyText"/>
        <w:spacing w:before="1"/>
        <w:rPr>
          <w:sz w:val="14"/>
        </w:rPr>
      </w:pPr>
      <w:r>
        <w:rPr/>
        <w:pict>
          <v:line style="position:absolute;mso-position-horizontal-relative:page;mso-position-vertical-relative:paragraph;z-index:9200;mso-wrap-distance-left:0;mso-wrap-distance-right:0" from="79.370102pt,12.2332pt" to="515.905102pt,12.2332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04"/>
        </w:numPr>
        <w:tabs>
          <w:tab w:pos="1761" w:val="left" w:leader="none"/>
          <w:tab w:pos="1762" w:val="left" w:leader="none"/>
        </w:tabs>
        <w:spacing w:line="170" w:lineRule="exact" w:before="21" w:after="0"/>
        <w:ind w:left="1761" w:right="0" w:hanging="794"/>
        <w:jc w:val="left"/>
        <w:rPr>
          <w:sz w:val="13"/>
        </w:rPr>
      </w:pPr>
      <w:r>
        <w:rPr>
          <w:i/>
          <w:sz w:val="13"/>
        </w:rPr>
        <w:t>Police, Crime, Sentencing and </w:t>
      </w:r>
      <w:r>
        <w:rPr>
          <w:i/>
          <w:spacing w:val="2"/>
          <w:sz w:val="13"/>
        </w:rPr>
        <w:t>Courts </w:t>
      </w:r>
      <w:r>
        <w:rPr>
          <w:i/>
          <w:sz w:val="13"/>
        </w:rPr>
        <w:t>Act 2022 </w:t>
      </w:r>
      <w:r>
        <w:rPr>
          <w:spacing w:val="2"/>
          <w:sz w:val="13"/>
        </w:rPr>
        <w:t>(UK) </w:t>
      </w:r>
      <w:r>
        <w:rPr>
          <w:sz w:val="13"/>
        </w:rPr>
        <w:t>s </w:t>
      </w:r>
      <w:r>
        <w:rPr>
          <w:spacing w:val="2"/>
          <w:sz w:val="13"/>
        </w:rPr>
        <w:t>196. </w:t>
      </w:r>
      <w:r>
        <w:rPr>
          <w:sz w:val="13"/>
        </w:rPr>
        <w:t>This Act only </w:t>
      </w:r>
      <w:r>
        <w:rPr>
          <w:spacing w:val="2"/>
          <w:sz w:val="13"/>
        </w:rPr>
        <w:t>applies </w:t>
      </w:r>
      <w:r>
        <w:rPr>
          <w:sz w:val="13"/>
        </w:rPr>
        <w:t>to </w:t>
      </w:r>
      <w:r>
        <w:rPr>
          <w:spacing w:val="2"/>
          <w:sz w:val="13"/>
        </w:rPr>
        <w:t>England </w:t>
      </w:r>
      <w:r>
        <w:rPr>
          <w:sz w:val="13"/>
        </w:rPr>
        <w:t>and</w:t>
      </w:r>
      <w:r>
        <w:rPr>
          <w:spacing w:val="17"/>
          <w:sz w:val="13"/>
        </w:rPr>
        <w:t> </w:t>
      </w:r>
      <w:r>
        <w:rPr>
          <w:sz w:val="13"/>
        </w:rPr>
        <w:t>Wales.</w:t>
      </w:r>
    </w:p>
    <w:p>
      <w:pPr>
        <w:pStyle w:val="ListParagraph"/>
        <w:numPr>
          <w:ilvl w:val="0"/>
          <w:numId w:val="104"/>
        </w:numPr>
        <w:tabs>
          <w:tab w:pos="1761" w:val="left" w:leader="none"/>
          <w:tab w:pos="1762" w:val="left" w:leader="none"/>
        </w:tabs>
        <w:spacing w:line="160" w:lineRule="exact" w:before="0" w:after="0"/>
        <w:ind w:left="1761" w:right="0" w:hanging="794"/>
        <w:jc w:val="left"/>
        <w:rPr>
          <w:sz w:val="13"/>
        </w:rPr>
      </w:pPr>
      <w:r>
        <w:rPr>
          <w:sz w:val="13"/>
        </w:rPr>
        <w:t>United</w:t>
      </w:r>
      <w:r>
        <w:rPr>
          <w:spacing w:val="5"/>
          <w:sz w:val="13"/>
        </w:rPr>
        <w:t> </w:t>
      </w:r>
      <w:r>
        <w:rPr>
          <w:sz w:val="13"/>
        </w:rPr>
        <w:t>Kingdom,</w:t>
      </w:r>
      <w:r>
        <w:rPr>
          <w:spacing w:val="4"/>
          <w:sz w:val="13"/>
        </w:rPr>
        <w:t> </w:t>
      </w:r>
      <w:r>
        <w:rPr>
          <w:i/>
          <w:sz w:val="13"/>
        </w:rPr>
        <w:t>Parliamentary</w:t>
      </w:r>
      <w:r>
        <w:rPr>
          <w:i/>
          <w:spacing w:val="5"/>
          <w:sz w:val="13"/>
        </w:rPr>
        <w:t> </w:t>
      </w:r>
      <w:r>
        <w:rPr>
          <w:i/>
          <w:sz w:val="13"/>
        </w:rPr>
        <w:t>Debates</w:t>
      </w:r>
      <w:r>
        <w:rPr>
          <w:sz w:val="13"/>
        </w:rPr>
        <w:t>,</w:t>
      </w:r>
      <w:r>
        <w:rPr>
          <w:spacing w:val="5"/>
          <w:sz w:val="13"/>
        </w:rPr>
        <w:t> </w:t>
      </w:r>
      <w:r>
        <w:rPr>
          <w:sz w:val="13"/>
        </w:rPr>
        <w:t>House</w:t>
      </w:r>
      <w:r>
        <w:rPr>
          <w:spacing w:val="5"/>
          <w:sz w:val="13"/>
        </w:rPr>
        <w:t> </w:t>
      </w:r>
      <w:r>
        <w:rPr>
          <w:sz w:val="13"/>
        </w:rPr>
        <w:t>of</w:t>
      </w:r>
      <w:r>
        <w:rPr>
          <w:spacing w:val="5"/>
          <w:sz w:val="13"/>
        </w:rPr>
        <w:t> </w:t>
      </w:r>
      <w:r>
        <w:rPr>
          <w:spacing w:val="2"/>
          <w:sz w:val="13"/>
        </w:rPr>
        <w:t>Commons,</w:t>
      </w:r>
      <w:r>
        <w:rPr>
          <w:spacing w:val="5"/>
          <w:sz w:val="13"/>
        </w:rPr>
        <w:t> </w:t>
      </w:r>
      <w:r>
        <w:rPr>
          <w:sz w:val="13"/>
        </w:rPr>
        <w:t>17</w:t>
      </w:r>
      <w:r>
        <w:rPr>
          <w:spacing w:val="5"/>
          <w:sz w:val="13"/>
        </w:rPr>
        <w:t> </w:t>
      </w:r>
      <w:r>
        <w:rPr>
          <w:sz w:val="13"/>
        </w:rPr>
        <w:t>June</w:t>
      </w:r>
      <w:r>
        <w:rPr>
          <w:spacing w:val="5"/>
          <w:sz w:val="13"/>
        </w:rPr>
        <w:t> </w:t>
      </w:r>
      <w:r>
        <w:rPr>
          <w:sz w:val="13"/>
        </w:rPr>
        <w:t>2021,</w:t>
      </w:r>
      <w:r>
        <w:rPr>
          <w:spacing w:val="5"/>
          <w:sz w:val="13"/>
        </w:rPr>
        <w:t> </w:t>
      </w:r>
      <w:r>
        <w:rPr>
          <w:sz w:val="13"/>
        </w:rPr>
        <w:t>vol</w:t>
      </w:r>
      <w:r>
        <w:rPr>
          <w:spacing w:val="5"/>
          <w:sz w:val="13"/>
        </w:rPr>
        <w:t> </w:t>
      </w:r>
      <w:r>
        <w:rPr>
          <w:sz w:val="13"/>
        </w:rPr>
        <w:t>697</w:t>
      </w:r>
      <w:r>
        <w:rPr>
          <w:spacing w:val="5"/>
          <w:sz w:val="13"/>
        </w:rPr>
        <w:t> </w:t>
      </w:r>
      <w:r>
        <w:rPr>
          <w:sz w:val="13"/>
        </w:rPr>
        <w:t>col</w:t>
      </w:r>
      <w:r>
        <w:rPr>
          <w:spacing w:val="5"/>
          <w:sz w:val="13"/>
        </w:rPr>
        <w:t> </w:t>
      </w:r>
      <w:r>
        <w:rPr>
          <w:sz w:val="13"/>
        </w:rPr>
        <w:t>622</w:t>
      </w:r>
      <w:r>
        <w:rPr>
          <w:spacing w:val="5"/>
          <w:sz w:val="13"/>
        </w:rPr>
        <w:t> </w:t>
      </w:r>
      <w:r>
        <w:rPr>
          <w:sz w:val="13"/>
        </w:rPr>
        <w:t>(Steve</w:t>
      </w:r>
      <w:r>
        <w:rPr>
          <w:spacing w:val="5"/>
          <w:sz w:val="13"/>
        </w:rPr>
        <w:t> </w:t>
      </w:r>
      <w:r>
        <w:rPr>
          <w:spacing w:val="2"/>
          <w:sz w:val="13"/>
        </w:rPr>
        <w:t>McCabe,</w:t>
      </w:r>
      <w:r>
        <w:rPr>
          <w:spacing w:val="5"/>
          <w:sz w:val="13"/>
        </w:rPr>
        <w:t> </w:t>
      </w:r>
      <w:r>
        <w:rPr>
          <w:sz w:val="13"/>
        </w:rPr>
        <w:t>Chair).</w:t>
      </w:r>
    </w:p>
    <w:p>
      <w:pPr>
        <w:pStyle w:val="ListParagraph"/>
        <w:numPr>
          <w:ilvl w:val="0"/>
          <w:numId w:val="104"/>
        </w:numPr>
        <w:tabs>
          <w:tab w:pos="1760" w:val="left" w:leader="none"/>
          <w:tab w:pos="1762" w:val="left" w:leader="none"/>
        </w:tabs>
        <w:spacing w:line="170" w:lineRule="exact" w:before="0" w:after="0"/>
        <w:ind w:left="1761" w:right="0" w:hanging="794"/>
        <w:jc w:val="left"/>
        <w:rPr>
          <w:sz w:val="13"/>
        </w:rPr>
      </w:pPr>
      <w:r>
        <w:rPr>
          <w:sz w:val="13"/>
        </w:rPr>
        <w:t>Information provided by ACT Sheriff to Victorian Law Reform </w:t>
      </w:r>
      <w:r>
        <w:rPr>
          <w:spacing w:val="2"/>
          <w:sz w:val="13"/>
        </w:rPr>
        <w:t>Commission, </w:t>
      </w:r>
      <w:r>
        <w:rPr>
          <w:sz w:val="13"/>
        </w:rPr>
        <w:t>30 May</w:t>
      </w:r>
      <w:r>
        <w:rPr>
          <w:spacing w:val="13"/>
          <w:sz w:val="13"/>
        </w:rPr>
        <w:t> </w:t>
      </w:r>
      <w:r>
        <w:rPr>
          <w:sz w:val="13"/>
        </w:rPr>
        <w:t>2022.</w:t>
      </w:r>
    </w:p>
    <w:p>
      <w:pPr>
        <w:spacing w:before="214"/>
        <w:ind w:left="967" w:right="0" w:firstLine="0"/>
        <w:jc w:val="left"/>
        <w:rPr>
          <w:b/>
          <w:sz w:val="24"/>
        </w:rPr>
      </w:pPr>
      <w:r>
        <w:rPr/>
        <w:br w:type="column"/>
      </w:r>
      <w:r>
        <w:rPr>
          <w:b/>
          <w:color w:val="37617A"/>
          <w:sz w:val="24"/>
        </w:rPr>
        <w:t>175</w:t>
      </w:r>
    </w:p>
    <w:p>
      <w:pPr>
        <w:spacing w:after="0"/>
        <w:jc w:val="left"/>
        <w:rPr>
          <w:sz w:val="24"/>
        </w:rPr>
        <w:sectPr>
          <w:type w:val="continuous"/>
          <w:pgSz w:w="11910" w:h="16840"/>
          <w:pgMar w:top="620" w:bottom="280" w:left="620" w:right="380"/>
          <w:cols w:num="2" w:equalWidth="0">
            <w:col w:w="8780" w:space="560"/>
            <w:col w:w="1570"/>
          </w:cols>
        </w:sectPr>
      </w:pPr>
    </w:p>
    <w:p>
      <w:pPr>
        <w:pStyle w:val="BodyText"/>
        <w:rPr>
          <w:b/>
        </w:rPr>
      </w:pPr>
    </w:p>
    <w:p>
      <w:pPr>
        <w:pStyle w:val="BodyText"/>
        <w:rPr>
          <w:b/>
        </w:rPr>
      </w:pPr>
    </w:p>
    <w:p>
      <w:pPr>
        <w:pStyle w:val="BodyText"/>
        <w:rPr>
          <w:b/>
        </w:rPr>
      </w:pPr>
    </w:p>
    <w:p>
      <w:pPr>
        <w:pStyle w:val="BodyText"/>
        <w:spacing w:before="9"/>
        <w:rPr>
          <w:b/>
          <w:sz w:val="16"/>
        </w:rPr>
      </w:pPr>
    </w:p>
    <w:p>
      <w:pPr>
        <w:pStyle w:val="ListParagraph"/>
        <w:numPr>
          <w:ilvl w:val="1"/>
          <w:numId w:val="104"/>
        </w:numPr>
        <w:tabs>
          <w:tab w:pos="2517" w:val="left" w:leader="none"/>
          <w:tab w:pos="2518" w:val="left" w:leader="none"/>
        </w:tabs>
        <w:spacing w:line="240" w:lineRule="auto" w:before="0" w:after="0"/>
        <w:ind w:left="2517" w:right="0" w:hanging="360"/>
        <w:jc w:val="left"/>
        <w:rPr>
          <w:sz w:val="19"/>
        </w:rPr>
      </w:pPr>
      <w:bookmarkStart w:name="_bookmark128" w:id="303"/>
      <w:bookmarkEnd w:id="303"/>
      <w:r>
        <w:rPr/>
      </w:r>
      <w:bookmarkStart w:name="_bookmark128" w:id="304"/>
      <w:bookmarkEnd w:id="304"/>
      <w:r>
        <w:rPr>
          <w:sz w:val="19"/>
        </w:rPr>
        <w:t>A</w:t>
      </w:r>
      <w:r>
        <w:rPr>
          <w:sz w:val="19"/>
        </w:rPr>
        <w:t>lert the Judge if you become </w:t>
      </w:r>
      <w:r>
        <w:rPr>
          <w:spacing w:val="-3"/>
          <w:sz w:val="19"/>
        </w:rPr>
        <w:t>aware </w:t>
      </w:r>
      <w:r>
        <w:rPr>
          <w:sz w:val="19"/>
        </w:rPr>
        <w:t>of a conflict of</w:t>
      </w:r>
      <w:r>
        <w:rPr>
          <w:spacing w:val="-21"/>
          <w:sz w:val="19"/>
        </w:rPr>
        <w:t> </w:t>
      </w:r>
      <w:r>
        <w:rPr>
          <w:sz w:val="19"/>
        </w:rPr>
        <w:t>interest</w:t>
      </w:r>
    </w:p>
    <w:p>
      <w:pPr>
        <w:pStyle w:val="ListParagraph"/>
        <w:numPr>
          <w:ilvl w:val="1"/>
          <w:numId w:val="104"/>
        </w:numPr>
        <w:tabs>
          <w:tab w:pos="2517" w:val="left" w:leader="none"/>
          <w:tab w:pos="2518" w:val="left" w:leader="none"/>
        </w:tabs>
        <w:spacing w:line="247" w:lineRule="exact" w:before="86" w:after="0"/>
        <w:ind w:left="2517" w:right="0" w:hanging="360"/>
        <w:jc w:val="left"/>
        <w:rPr>
          <w:sz w:val="19"/>
        </w:rPr>
      </w:pPr>
      <w:r>
        <w:rPr>
          <w:spacing w:val="-5"/>
          <w:sz w:val="19"/>
        </w:rPr>
        <w:t>You </w:t>
      </w:r>
      <w:r>
        <w:rPr>
          <w:sz w:val="19"/>
        </w:rPr>
        <w:t>must keep confidential all information acquired, in any form</w:t>
      </w:r>
      <w:r>
        <w:rPr>
          <w:spacing w:val="-30"/>
          <w:sz w:val="19"/>
        </w:rPr>
        <w:t> </w:t>
      </w:r>
      <w:r>
        <w:rPr>
          <w:sz w:val="19"/>
        </w:rPr>
        <w:t>whatsoever,</w:t>
      </w:r>
    </w:p>
    <w:p>
      <w:pPr>
        <w:spacing w:line="208" w:lineRule="auto" w:before="12"/>
        <w:ind w:left="2517" w:right="1335" w:firstLine="0"/>
        <w:jc w:val="left"/>
        <w:rPr>
          <w:sz w:val="19"/>
        </w:rPr>
      </w:pPr>
      <w:r>
        <w:rPr>
          <w:sz w:val="19"/>
        </w:rPr>
        <w:t>in the course of your engagement or appointment unless that information is or comes into the public domain. This is particularly in relation to jury deliberations. Under no circumstances can jury deliberations or the identity of jurors be revealed.</w:t>
      </w:r>
    </w:p>
    <w:p>
      <w:pPr>
        <w:pStyle w:val="ListParagraph"/>
        <w:numPr>
          <w:ilvl w:val="1"/>
          <w:numId w:val="104"/>
        </w:numPr>
        <w:tabs>
          <w:tab w:pos="2517" w:val="left" w:leader="none"/>
          <w:tab w:pos="2518" w:val="left" w:leader="none"/>
        </w:tabs>
        <w:spacing w:line="208" w:lineRule="auto" w:before="122" w:after="0"/>
        <w:ind w:left="2517" w:right="1908" w:hanging="360"/>
        <w:jc w:val="left"/>
        <w:rPr>
          <w:sz w:val="19"/>
        </w:rPr>
      </w:pPr>
      <w:r>
        <w:rPr>
          <w:spacing w:val="-5"/>
          <w:sz w:val="19"/>
        </w:rPr>
        <w:t>You</w:t>
      </w:r>
      <w:r>
        <w:rPr>
          <w:spacing w:val="-6"/>
          <w:sz w:val="19"/>
        </w:rPr>
        <w:t> </w:t>
      </w:r>
      <w:r>
        <w:rPr>
          <w:sz w:val="19"/>
        </w:rPr>
        <w:t>are</w:t>
      </w:r>
      <w:r>
        <w:rPr>
          <w:spacing w:val="-5"/>
          <w:sz w:val="19"/>
        </w:rPr>
        <w:t> </w:t>
      </w:r>
      <w:r>
        <w:rPr>
          <w:sz w:val="19"/>
        </w:rPr>
        <w:t>not</w:t>
      </w:r>
      <w:r>
        <w:rPr>
          <w:spacing w:val="-5"/>
          <w:sz w:val="19"/>
        </w:rPr>
        <w:t> </w:t>
      </w:r>
      <w:r>
        <w:rPr>
          <w:sz w:val="19"/>
        </w:rPr>
        <w:t>to</w:t>
      </w:r>
      <w:r>
        <w:rPr>
          <w:spacing w:val="-6"/>
          <w:sz w:val="19"/>
        </w:rPr>
        <w:t> </w:t>
      </w:r>
      <w:r>
        <w:rPr>
          <w:sz w:val="19"/>
        </w:rPr>
        <w:t>take</w:t>
      </w:r>
      <w:r>
        <w:rPr>
          <w:spacing w:val="-5"/>
          <w:sz w:val="19"/>
        </w:rPr>
        <w:t> </w:t>
      </w:r>
      <w:r>
        <w:rPr>
          <w:sz w:val="19"/>
        </w:rPr>
        <w:t>part</w:t>
      </w:r>
      <w:r>
        <w:rPr>
          <w:spacing w:val="-5"/>
          <w:sz w:val="19"/>
        </w:rPr>
        <w:t> </w:t>
      </w:r>
      <w:r>
        <w:rPr>
          <w:sz w:val="19"/>
        </w:rPr>
        <w:t>in</w:t>
      </w:r>
      <w:r>
        <w:rPr>
          <w:spacing w:val="-6"/>
          <w:sz w:val="19"/>
        </w:rPr>
        <w:t> </w:t>
      </w:r>
      <w:r>
        <w:rPr>
          <w:sz w:val="19"/>
        </w:rPr>
        <w:t>discussions</w:t>
      </w:r>
      <w:r>
        <w:rPr>
          <w:spacing w:val="-5"/>
          <w:sz w:val="19"/>
        </w:rPr>
        <w:t> </w:t>
      </w:r>
      <w:r>
        <w:rPr>
          <w:sz w:val="19"/>
        </w:rPr>
        <w:t>between</w:t>
      </w:r>
      <w:r>
        <w:rPr>
          <w:spacing w:val="-5"/>
          <w:sz w:val="19"/>
        </w:rPr>
        <w:t> </w:t>
      </w:r>
      <w:r>
        <w:rPr>
          <w:sz w:val="19"/>
        </w:rPr>
        <w:t>jurors</w:t>
      </w:r>
      <w:r>
        <w:rPr>
          <w:spacing w:val="-5"/>
          <w:sz w:val="19"/>
        </w:rPr>
        <w:t> </w:t>
      </w:r>
      <w:r>
        <w:rPr>
          <w:sz w:val="19"/>
        </w:rPr>
        <w:t>(except</w:t>
      </w:r>
      <w:r>
        <w:rPr>
          <w:spacing w:val="-6"/>
          <w:sz w:val="19"/>
        </w:rPr>
        <w:t> </w:t>
      </w:r>
      <w:r>
        <w:rPr>
          <w:sz w:val="19"/>
        </w:rPr>
        <w:t>in</w:t>
      </w:r>
      <w:r>
        <w:rPr>
          <w:spacing w:val="-5"/>
          <w:sz w:val="19"/>
        </w:rPr>
        <w:t> </w:t>
      </w:r>
      <w:r>
        <w:rPr>
          <w:sz w:val="19"/>
        </w:rPr>
        <w:t>relation</w:t>
      </w:r>
      <w:r>
        <w:rPr>
          <w:spacing w:val="-5"/>
          <w:sz w:val="19"/>
        </w:rPr>
        <w:t> </w:t>
      </w:r>
      <w:r>
        <w:rPr>
          <w:sz w:val="19"/>
        </w:rPr>
        <w:t>to support</w:t>
      </w:r>
      <w:r>
        <w:rPr>
          <w:spacing w:val="-2"/>
          <w:sz w:val="19"/>
        </w:rPr>
        <w:t> </w:t>
      </w:r>
      <w:r>
        <w:rPr>
          <w:sz w:val="19"/>
        </w:rPr>
        <w:t>services)</w:t>
      </w:r>
    </w:p>
    <w:p>
      <w:pPr>
        <w:pStyle w:val="ListParagraph"/>
        <w:numPr>
          <w:ilvl w:val="1"/>
          <w:numId w:val="104"/>
        </w:numPr>
        <w:tabs>
          <w:tab w:pos="2517" w:val="left" w:leader="none"/>
          <w:tab w:pos="2518" w:val="left" w:leader="none"/>
        </w:tabs>
        <w:spacing w:line="208" w:lineRule="auto" w:before="121" w:after="0"/>
        <w:ind w:left="2517" w:right="1301" w:hanging="360"/>
        <w:jc w:val="left"/>
        <w:rPr>
          <w:sz w:val="11"/>
        </w:rPr>
      </w:pPr>
      <w:r>
        <w:rPr>
          <w:spacing w:val="-5"/>
          <w:sz w:val="19"/>
        </w:rPr>
        <w:t>You</w:t>
      </w:r>
      <w:r>
        <w:rPr>
          <w:spacing w:val="-4"/>
          <w:sz w:val="19"/>
        </w:rPr>
        <w:t> </w:t>
      </w:r>
      <w:r>
        <w:rPr>
          <w:sz w:val="19"/>
        </w:rPr>
        <w:t>are</w:t>
      </w:r>
      <w:r>
        <w:rPr>
          <w:spacing w:val="-4"/>
          <w:sz w:val="19"/>
        </w:rPr>
        <w:t> </w:t>
      </w:r>
      <w:r>
        <w:rPr>
          <w:sz w:val="19"/>
        </w:rPr>
        <w:t>not</w:t>
      </w:r>
      <w:r>
        <w:rPr>
          <w:spacing w:val="-4"/>
          <w:sz w:val="19"/>
        </w:rPr>
        <w:t> </w:t>
      </w:r>
      <w:r>
        <w:rPr>
          <w:sz w:val="19"/>
        </w:rPr>
        <w:t>to</w:t>
      </w:r>
      <w:r>
        <w:rPr>
          <w:spacing w:val="-4"/>
          <w:sz w:val="19"/>
        </w:rPr>
        <w:t> </w:t>
      </w:r>
      <w:r>
        <w:rPr>
          <w:spacing w:val="-3"/>
          <w:sz w:val="19"/>
        </w:rPr>
        <w:t>convey </w:t>
      </w:r>
      <w:r>
        <w:rPr>
          <w:sz w:val="19"/>
        </w:rPr>
        <w:t>your</w:t>
      </w:r>
      <w:r>
        <w:rPr>
          <w:spacing w:val="-4"/>
          <w:sz w:val="19"/>
        </w:rPr>
        <w:t> </w:t>
      </w:r>
      <w:r>
        <w:rPr>
          <w:sz w:val="19"/>
        </w:rPr>
        <w:t>own</w:t>
      </w:r>
      <w:r>
        <w:rPr>
          <w:spacing w:val="-4"/>
          <w:sz w:val="19"/>
        </w:rPr>
        <w:t> </w:t>
      </w:r>
      <w:r>
        <w:rPr>
          <w:sz w:val="19"/>
        </w:rPr>
        <w:t>belief,</w:t>
      </w:r>
      <w:r>
        <w:rPr>
          <w:spacing w:val="-4"/>
          <w:sz w:val="19"/>
        </w:rPr>
        <w:t> </w:t>
      </w:r>
      <w:r>
        <w:rPr>
          <w:sz w:val="19"/>
        </w:rPr>
        <w:t>opinion</w:t>
      </w:r>
      <w:r>
        <w:rPr>
          <w:spacing w:val="-3"/>
          <w:sz w:val="19"/>
        </w:rPr>
        <w:t> </w:t>
      </w:r>
      <w:r>
        <w:rPr>
          <w:sz w:val="19"/>
        </w:rPr>
        <w:t>or</w:t>
      </w:r>
      <w:r>
        <w:rPr>
          <w:spacing w:val="-4"/>
          <w:sz w:val="19"/>
        </w:rPr>
        <w:t> </w:t>
      </w:r>
      <w:r>
        <w:rPr>
          <w:spacing w:val="-3"/>
          <w:sz w:val="19"/>
        </w:rPr>
        <w:t>have</w:t>
      </w:r>
      <w:r>
        <w:rPr>
          <w:spacing w:val="-4"/>
          <w:sz w:val="19"/>
        </w:rPr>
        <w:t> </w:t>
      </w:r>
      <w:r>
        <w:rPr>
          <w:sz w:val="19"/>
        </w:rPr>
        <w:t>a</w:t>
      </w:r>
      <w:r>
        <w:rPr>
          <w:spacing w:val="-4"/>
          <w:sz w:val="19"/>
        </w:rPr>
        <w:t> </w:t>
      </w:r>
      <w:r>
        <w:rPr>
          <w:sz w:val="19"/>
        </w:rPr>
        <w:t>say</w:t>
      </w:r>
      <w:r>
        <w:rPr>
          <w:spacing w:val="-3"/>
          <w:sz w:val="19"/>
        </w:rPr>
        <w:t> </w:t>
      </w:r>
      <w:r>
        <w:rPr>
          <w:sz w:val="19"/>
        </w:rPr>
        <w:t>in</w:t>
      </w:r>
      <w:r>
        <w:rPr>
          <w:spacing w:val="-4"/>
          <w:sz w:val="19"/>
        </w:rPr>
        <w:t> </w:t>
      </w:r>
      <w:r>
        <w:rPr>
          <w:sz w:val="19"/>
        </w:rPr>
        <w:t>the</w:t>
      </w:r>
      <w:r>
        <w:rPr>
          <w:spacing w:val="-4"/>
          <w:sz w:val="19"/>
        </w:rPr>
        <w:t> </w:t>
      </w:r>
      <w:r>
        <w:rPr>
          <w:sz w:val="19"/>
        </w:rPr>
        <w:t>decision</w:t>
      </w:r>
      <w:r>
        <w:rPr>
          <w:spacing w:val="-4"/>
          <w:sz w:val="19"/>
        </w:rPr>
        <w:t> </w:t>
      </w:r>
      <w:r>
        <w:rPr>
          <w:sz w:val="19"/>
        </w:rPr>
        <w:t>of</w:t>
      </w:r>
      <w:r>
        <w:rPr>
          <w:spacing w:val="-3"/>
          <w:sz w:val="19"/>
        </w:rPr>
        <w:t> </w:t>
      </w:r>
      <w:r>
        <w:rPr>
          <w:sz w:val="19"/>
        </w:rPr>
        <w:t>the jury.</w:t>
      </w:r>
      <w:r>
        <w:rPr>
          <w:position w:val="6"/>
          <w:sz w:val="11"/>
        </w:rPr>
        <w:t>36</w:t>
      </w:r>
    </w:p>
    <w:p>
      <w:pPr>
        <w:pStyle w:val="ListParagraph"/>
        <w:numPr>
          <w:ilvl w:val="1"/>
          <w:numId w:val="12"/>
        </w:numPr>
        <w:tabs>
          <w:tab w:pos="1761" w:val="left" w:leader="none"/>
          <w:tab w:pos="1762" w:val="left" w:leader="none"/>
        </w:tabs>
        <w:spacing w:line="206" w:lineRule="auto" w:before="123" w:after="0"/>
        <w:ind w:left="1761" w:right="1491" w:hanging="794"/>
        <w:jc w:val="left"/>
        <w:rPr>
          <w:sz w:val="20"/>
        </w:rPr>
      </w:pPr>
      <w:r>
        <w:rPr>
          <w:sz w:val="20"/>
        </w:rPr>
        <w:t>Support persons should also be </w:t>
      </w:r>
      <w:r>
        <w:rPr>
          <w:spacing w:val="-3"/>
          <w:sz w:val="20"/>
        </w:rPr>
        <w:t>required </w:t>
      </w:r>
      <w:r>
        <w:rPr>
          <w:sz w:val="20"/>
        </w:rPr>
        <w:t>to commit to a code of conduct. </w:t>
      </w:r>
      <w:r>
        <w:rPr>
          <w:spacing w:val="-2"/>
          <w:sz w:val="20"/>
        </w:rPr>
        <w:t>Unlike </w:t>
      </w:r>
      <w:r>
        <w:rPr>
          <w:sz w:val="20"/>
        </w:rPr>
        <w:t>Auslan </w:t>
      </w:r>
      <w:r>
        <w:rPr>
          <w:spacing w:val="-3"/>
          <w:sz w:val="20"/>
        </w:rPr>
        <w:t>interpreters, </w:t>
      </w:r>
      <w:r>
        <w:rPr>
          <w:sz w:val="20"/>
        </w:rPr>
        <w:t>they </w:t>
      </w:r>
      <w:r>
        <w:rPr>
          <w:spacing w:val="-3"/>
          <w:sz w:val="20"/>
        </w:rPr>
        <w:t>are </w:t>
      </w:r>
      <w:r>
        <w:rPr>
          <w:sz w:val="20"/>
        </w:rPr>
        <w:t>not subject to a professional code of ethics. The </w:t>
      </w:r>
      <w:r>
        <w:rPr>
          <w:spacing w:val="-4"/>
          <w:sz w:val="20"/>
        </w:rPr>
        <w:t>ACT </w:t>
      </w:r>
      <w:r>
        <w:rPr>
          <w:sz w:val="20"/>
        </w:rPr>
        <w:t>Sheriff</w:t>
      </w:r>
      <w:r>
        <w:rPr>
          <w:spacing w:val="-9"/>
          <w:sz w:val="20"/>
        </w:rPr>
        <w:t> </w:t>
      </w:r>
      <w:r>
        <w:rPr>
          <w:sz w:val="20"/>
        </w:rPr>
        <w:t>has</w:t>
      </w:r>
      <w:r>
        <w:rPr>
          <w:spacing w:val="-8"/>
          <w:sz w:val="20"/>
        </w:rPr>
        <w:t> </w:t>
      </w:r>
      <w:r>
        <w:rPr>
          <w:spacing w:val="-3"/>
          <w:sz w:val="20"/>
        </w:rPr>
        <w:t>developed</w:t>
      </w:r>
      <w:r>
        <w:rPr>
          <w:spacing w:val="-8"/>
          <w:sz w:val="20"/>
        </w:rPr>
        <w:t> </w:t>
      </w:r>
      <w:r>
        <w:rPr>
          <w:sz w:val="20"/>
        </w:rPr>
        <w:t>a</w:t>
      </w:r>
      <w:r>
        <w:rPr>
          <w:spacing w:val="-8"/>
          <w:sz w:val="20"/>
        </w:rPr>
        <w:t> </w:t>
      </w:r>
      <w:r>
        <w:rPr>
          <w:sz w:val="20"/>
        </w:rPr>
        <w:t>code</w:t>
      </w:r>
      <w:r>
        <w:rPr>
          <w:spacing w:val="-8"/>
          <w:sz w:val="20"/>
        </w:rPr>
        <w:t> </w:t>
      </w:r>
      <w:r>
        <w:rPr>
          <w:sz w:val="20"/>
        </w:rPr>
        <w:t>of</w:t>
      </w:r>
      <w:r>
        <w:rPr>
          <w:spacing w:val="-8"/>
          <w:sz w:val="20"/>
        </w:rPr>
        <w:t> </w:t>
      </w:r>
      <w:r>
        <w:rPr>
          <w:sz w:val="20"/>
        </w:rPr>
        <w:t>conduct</w:t>
      </w:r>
      <w:r>
        <w:rPr>
          <w:spacing w:val="-8"/>
          <w:sz w:val="20"/>
        </w:rPr>
        <w:t> </w:t>
      </w:r>
      <w:r>
        <w:rPr>
          <w:sz w:val="20"/>
        </w:rPr>
        <w:t>for</w:t>
      </w:r>
      <w:r>
        <w:rPr>
          <w:spacing w:val="-8"/>
          <w:sz w:val="20"/>
        </w:rPr>
        <w:t> </w:t>
      </w:r>
      <w:r>
        <w:rPr>
          <w:sz w:val="20"/>
        </w:rPr>
        <w:t>support</w:t>
      </w:r>
      <w:r>
        <w:rPr>
          <w:spacing w:val="-8"/>
          <w:sz w:val="20"/>
        </w:rPr>
        <w:t> </w:t>
      </w:r>
      <w:r>
        <w:rPr>
          <w:sz w:val="20"/>
        </w:rPr>
        <w:t>persons</w:t>
      </w:r>
      <w:r>
        <w:rPr>
          <w:spacing w:val="-8"/>
          <w:sz w:val="20"/>
        </w:rPr>
        <w:t> </w:t>
      </w:r>
      <w:r>
        <w:rPr>
          <w:sz w:val="20"/>
        </w:rPr>
        <w:t>which</w:t>
      </w:r>
      <w:r>
        <w:rPr>
          <w:spacing w:val="-8"/>
          <w:sz w:val="20"/>
        </w:rPr>
        <w:t> </w:t>
      </w:r>
      <w:r>
        <w:rPr>
          <w:sz w:val="20"/>
        </w:rPr>
        <w:t>is</w:t>
      </w:r>
      <w:r>
        <w:rPr>
          <w:spacing w:val="-8"/>
          <w:sz w:val="20"/>
        </w:rPr>
        <w:t> </w:t>
      </w:r>
      <w:r>
        <w:rPr>
          <w:sz w:val="20"/>
        </w:rPr>
        <w:t>a</w:t>
      </w:r>
      <w:r>
        <w:rPr>
          <w:spacing w:val="-8"/>
          <w:sz w:val="20"/>
        </w:rPr>
        <w:t> </w:t>
      </w:r>
      <w:r>
        <w:rPr>
          <w:sz w:val="20"/>
        </w:rPr>
        <w:t>good</w:t>
      </w:r>
      <w:r>
        <w:rPr>
          <w:spacing w:val="-9"/>
          <w:sz w:val="20"/>
        </w:rPr>
        <w:t> </w:t>
      </w:r>
      <w:r>
        <w:rPr>
          <w:sz w:val="20"/>
        </w:rPr>
        <w:t>model for Victoria. It </w:t>
      </w:r>
      <w:r>
        <w:rPr>
          <w:spacing w:val="-3"/>
          <w:sz w:val="20"/>
        </w:rPr>
        <w:t>covers </w:t>
      </w:r>
      <w:r>
        <w:rPr>
          <w:sz w:val="20"/>
        </w:rPr>
        <w:t>the </w:t>
      </w:r>
      <w:r>
        <w:rPr>
          <w:spacing w:val="-3"/>
          <w:sz w:val="20"/>
        </w:rPr>
        <w:t>following</w:t>
      </w:r>
      <w:r>
        <w:rPr>
          <w:spacing w:val="-23"/>
          <w:sz w:val="20"/>
        </w:rPr>
        <w:t> </w:t>
      </w:r>
      <w:r>
        <w:rPr>
          <w:sz w:val="20"/>
        </w:rPr>
        <w:t>topics:</w:t>
      </w:r>
    </w:p>
    <w:p>
      <w:pPr>
        <w:pStyle w:val="ListParagraph"/>
        <w:numPr>
          <w:ilvl w:val="2"/>
          <w:numId w:val="12"/>
        </w:numPr>
        <w:tabs>
          <w:tab w:pos="2157" w:val="left" w:leader="none"/>
          <w:tab w:pos="2158" w:val="left" w:leader="none"/>
        </w:tabs>
        <w:spacing w:line="240" w:lineRule="auto" w:before="93" w:after="0"/>
        <w:ind w:left="2157" w:right="0" w:hanging="396"/>
        <w:jc w:val="left"/>
        <w:rPr>
          <w:sz w:val="20"/>
        </w:rPr>
      </w:pPr>
      <w:r>
        <w:rPr>
          <w:sz w:val="20"/>
        </w:rPr>
        <w:t>general duty to the</w:t>
      </w:r>
      <w:r>
        <w:rPr>
          <w:spacing w:val="-17"/>
          <w:sz w:val="20"/>
        </w:rPr>
        <w:t> </w:t>
      </w:r>
      <w:r>
        <w:rPr>
          <w:sz w:val="20"/>
        </w:rPr>
        <w:t>court.</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duty to </w:t>
      </w:r>
      <w:r>
        <w:rPr>
          <w:spacing w:val="-3"/>
          <w:sz w:val="20"/>
        </w:rPr>
        <w:t>comply </w:t>
      </w:r>
      <w:r>
        <w:rPr>
          <w:sz w:val="20"/>
        </w:rPr>
        <w:t>with directions of the</w:t>
      </w:r>
      <w:r>
        <w:rPr>
          <w:spacing w:val="-28"/>
          <w:sz w:val="20"/>
        </w:rPr>
        <w:t> </w:t>
      </w:r>
      <w:r>
        <w:rPr>
          <w:sz w:val="20"/>
        </w:rPr>
        <w:t>court</w:t>
      </w:r>
    </w:p>
    <w:p>
      <w:pPr>
        <w:pStyle w:val="ListParagraph"/>
        <w:numPr>
          <w:ilvl w:val="2"/>
          <w:numId w:val="12"/>
        </w:numPr>
        <w:tabs>
          <w:tab w:pos="2157" w:val="left" w:leader="none"/>
          <w:tab w:pos="2158" w:val="left" w:leader="none"/>
        </w:tabs>
        <w:spacing w:line="259" w:lineRule="exact" w:before="47" w:after="0"/>
        <w:ind w:left="2157" w:right="0" w:hanging="396"/>
        <w:jc w:val="left"/>
        <w:rPr>
          <w:sz w:val="20"/>
        </w:rPr>
      </w:pPr>
      <w:r>
        <w:rPr>
          <w:sz w:val="20"/>
        </w:rPr>
        <w:t>duty</w:t>
      </w:r>
      <w:r>
        <w:rPr>
          <w:spacing w:val="-6"/>
          <w:sz w:val="20"/>
        </w:rPr>
        <w:t> </w:t>
      </w:r>
      <w:r>
        <w:rPr>
          <w:sz w:val="20"/>
        </w:rPr>
        <w:t>of</w:t>
      </w:r>
      <w:r>
        <w:rPr>
          <w:spacing w:val="-6"/>
          <w:sz w:val="20"/>
        </w:rPr>
        <w:t> </w:t>
      </w:r>
      <w:r>
        <w:rPr>
          <w:sz w:val="20"/>
        </w:rPr>
        <w:t>impartiality</w:t>
      </w:r>
      <w:r>
        <w:rPr>
          <w:spacing w:val="-6"/>
          <w:sz w:val="20"/>
        </w:rPr>
        <w:t> </w:t>
      </w:r>
      <w:r>
        <w:rPr>
          <w:sz w:val="20"/>
        </w:rPr>
        <w:t>including</w:t>
      </w:r>
      <w:r>
        <w:rPr>
          <w:spacing w:val="-6"/>
          <w:sz w:val="20"/>
        </w:rPr>
        <w:t> </w:t>
      </w:r>
      <w:r>
        <w:rPr>
          <w:sz w:val="20"/>
        </w:rPr>
        <w:t>duty</w:t>
      </w:r>
      <w:r>
        <w:rPr>
          <w:spacing w:val="-6"/>
          <w:sz w:val="20"/>
        </w:rPr>
        <w:t> </w:t>
      </w:r>
      <w:r>
        <w:rPr>
          <w:sz w:val="20"/>
        </w:rPr>
        <w:t>to</w:t>
      </w:r>
      <w:r>
        <w:rPr>
          <w:spacing w:val="-6"/>
          <w:sz w:val="20"/>
        </w:rPr>
        <w:t> </w:t>
      </w:r>
      <w:r>
        <w:rPr>
          <w:spacing w:val="-3"/>
          <w:sz w:val="20"/>
        </w:rPr>
        <w:t>avoid</w:t>
      </w:r>
      <w:r>
        <w:rPr>
          <w:spacing w:val="-6"/>
          <w:sz w:val="20"/>
        </w:rPr>
        <w:t> </w:t>
      </w:r>
      <w:r>
        <w:rPr>
          <w:sz w:val="20"/>
        </w:rPr>
        <w:t>a</w:t>
      </w:r>
      <w:r>
        <w:rPr>
          <w:spacing w:val="-6"/>
          <w:sz w:val="20"/>
        </w:rPr>
        <w:t> </w:t>
      </w:r>
      <w:r>
        <w:rPr>
          <w:sz w:val="20"/>
        </w:rPr>
        <w:t>conflict</w:t>
      </w:r>
      <w:r>
        <w:rPr>
          <w:spacing w:val="-6"/>
          <w:sz w:val="20"/>
        </w:rPr>
        <w:t> </w:t>
      </w:r>
      <w:r>
        <w:rPr>
          <w:sz w:val="20"/>
        </w:rPr>
        <w:t>of</w:t>
      </w:r>
      <w:r>
        <w:rPr>
          <w:spacing w:val="-6"/>
          <w:sz w:val="20"/>
        </w:rPr>
        <w:t> </w:t>
      </w:r>
      <w:r>
        <w:rPr>
          <w:spacing w:val="-3"/>
          <w:sz w:val="20"/>
        </w:rPr>
        <w:t>interest</w:t>
      </w:r>
      <w:r>
        <w:rPr>
          <w:spacing w:val="-6"/>
          <w:sz w:val="20"/>
        </w:rPr>
        <w:t> </w:t>
      </w:r>
      <w:r>
        <w:rPr>
          <w:sz w:val="20"/>
        </w:rPr>
        <w:t>with</w:t>
      </w:r>
      <w:r>
        <w:rPr>
          <w:spacing w:val="-6"/>
          <w:sz w:val="20"/>
        </w:rPr>
        <w:t> </w:t>
      </w:r>
      <w:r>
        <w:rPr>
          <w:sz w:val="20"/>
        </w:rPr>
        <w:t>other</w:t>
      </w:r>
      <w:r>
        <w:rPr>
          <w:spacing w:val="-6"/>
          <w:sz w:val="20"/>
        </w:rPr>
        <w:t> </w:t>
      </w:r>
      <w:r>
        <w:rPr>
          <w:sz w:val="20"/>
        </w:rPr>
        <w:t>parties</w:t>
      </w:r>
      <w:r>
        <w:rPr>
          <w:spacing w:val="-6"/>
          <w:sz w:val="20"/>
        </w:rPr>
        <w:t> </w:t>
      </w:r>
      <w:r>
        <w:rPr>
          <w:sz w:val="20"/>
        </w:rPr>
        <w:t>in</w:t>
      </w:r>
    </w:p>
    <w:p>
      <w:pPr>
        <w:pStyle w:val="BodyText"/>
        <w:spacing w:line="259" w:lineRule="exact"/>
        <w:ind w:left="2157"/>
      </w:pPr>
      <w:r>
        <w:rPr/>
        <w:t>the trial</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duty of</w:t>
      </w:r>
      <w:r>
        <w:rPr>
          <w:spacing w:val="-9"/>
          <w:sz w:val="20"/>
        </w:rPr>
        <w:t> </w:t>
      </w:r>
      <w:r>
        <w:rPr>
          <w:spacing w:val="-2"/>
          <w:sz w:val="20"/>
        </w:rPr>
        <w:t>competence</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duty of</w:t>
      </w:r>
      <w:r>
        <w:rPr>
          <w:spacing w:val="-9"/>
          <w:sz w:val="20"/>
        </w:rPr>
        <w:t> </w:t>
      </w:r>
      <w:r>
        <w:rPr>
          <w:sz w:val="20"/>
        </w:rPr>
        <w:t>confidentiality</w:t>
      </w:r>
    </w:p>
    <w:p>
      <w:pPr>
        <w:pStyle w:val="ListParagraph"/>
        <w:numPr>
          <w:ilvl w:val="1"/>
          <w:numId w:val="12"/>
        </w:numPr>
        <w:tabs>
          <w:tab w:pos="1761" w:val="left" w:leader="none"/>
          <w:tab w:pos="1762" w:val="left" w:leader="none"/>
        </w:tabs>
        <w:spacing w:line="240" w:lineRule="auto" w:before="47" w:after="0"/>
        <w:ind w:left="1761" w:right="0" w:hanging="794"/>
        <w:jc w:val="left"/>
        <w:rPr>
          <w:sz w:val="20"/>
        </w:rPr>
      </w:pPr>
      <w:r>
        <w:rPr>
          <w:sz w:val="20"/>
        </w:rPr>
        <w:t>The code of conduct notes</w:t>
      </w:r>
      <w:r>
        <w:rPr>
          <w:spacing w:val="-22"/>
          <w:sz w:val="20"/>
        </w:rPr>
        <w:t> </w:t>
      </w:r>
      <w:r>
        <w:rPr>
          <w:sz w:val="20"/>
        </w:rPr>
        <w:t>that:</w:t>
      </w:r>
    </w:p>
    <w:p>
      <w:pPr>
        <w:pStyle w:val="ListParagraph"/>
        <w:numPr>
          <w:ilvl w:val="2"/>
          <w:numId w:val="12"/>
        </w:numPr>
        <w:tabs>
          <w:tab w:pos="2157" w:val="left" w:leader="none"/>
          <w:tab w:pos="2158" w:val="left" w:leader="none"/>
        </w:tabs>
        <w:spacing w:line="259" w:lineRule="exact" w:before="83" w:after="0"/>
        <w:ind w:left="2157" w:right="0" w:hanging="396"/>
        <w:jc w:val="left"/>
        <w:rPr>
          <w:sz w:val="20"/>
        </w:rPr>
      </w:pPr>
      <w:r>
        <w:rPr>
          <w:sz w:val="20"/>
        </w:rPr>
        <w:t>A</w:t>
      </w:r>
      <w:r>
        <w:rPr>
          <w:spacing w:val="-6"/>
          <w:sz w:val="20"/>
        </w:rPr>
        <w:t> </w:t>
      </w:r>
      <w:r>
        <w:rPr>
          <w:sz w:val="20"/>
        </w:rPr>
        <w:t>support</w:t>
      </w:r>
      <w:r>
        <w:rPr>
          <w:spacing w:val="-5"/>
          <w:sz w:val="20"/>
        </w:rPr>
        <w:t> </w:t>
      </w:r>
      <w:r>
        <w:rPr>
          <w:sz w:val="20"/>
        </w:rPr>
        <w:t>person</w:t>
      </w:r>
      <w:r>
        <w:rPr>
          <w:spacing w:val="-5"/>
          <w:sz w:val="20"/>
        </w:rPr>
        <w:t> </w:t>
      </w:r>
      <w:r>
        <w:rPr>
          <w:sz w:val="20"/>
        </w:rPr>
        <w:t>has</w:t>
      </w:r>
      <w:r>
        <w:rPr>
          <w:spacing w:val="-6"/>
          <w:sz w:val="20"/>
        </w:rPr>
        <w:t> </w:t>
      </w:r>
      <w:r>
        <w:rPr>
          <w:sz w:val="20"/>
        </w:rPr>
        <w:t>an</w:t>
      </w:r>
      <w:r>
        <w:rPr>
          <w:spacing w:val="-5"/>
          <w:sz w:val="20"/>
        </w:rPr>
        <w:t> </w:t>
      </w:r>
      <w:r>
        <w:rPr>
          <w:spacing w:val="-3"/>
          <w:sz w:val="20"/>
        </w:rPr>
        <w:t>overriding</w:t>
      </w:r>
      <w:r>
        <w:rPr>
          <w:spacing w:val="-5"/>
          <w:sz w:val="20"/>
        </w:rPr>
        <w:t> </w:t>
      </w:r>
      <w:r>
        <w:rPr>
          <w:sz w:val="20"/>
        </w:rPr>
        <w:t>duty</w:t>
      </w:r>
      <w:r>
        <w:rPr>
          <w:spacing w:val="-5"/>
          <w:sz w:val="20"/>
        </w:rPr>
        <w:t> </w:t>
      </w:r>
      <w:r>
        <w:rPr>
          <w:sz w:val="20"/>
        </w:rPr>
        <w:t>as</w:t>
      </w:r>
      <w:r>
        <w:rPr>
          <w:spacing w:val="-6"/>
          <w:sz w:val="20"/>
        </w:rPr>
        <w:t> </w:t>
      </w:r>
      <w:r>
        <w:rPr>
          <w:sz w:val="20"/>
        </w:rPr>
        <w:t>an</w:t>
      </w:r>
      <w:r>
        <w:rPr>
          <w:spacing w:val="-5"/>
          <w:sz w:val="20"/>
        </w:rPr>
        <w:t> </w:t>
      </w:r>
      <w:r>
        <w:rPr>
          <w:sz w:val="20"/>
        </w:rPr>
        <w:t>officer</w:t>
      </w:r>
      <w:r>
        <w:rPr>
          <w:spacing w:val="-5"/>
          <w:sz w:val="20"/>
        </w:rPr>
        <w:t> </w:t>
      </w:r>
      <w:r>
        <w:rPr>
          <w:sz w:val="20"/>
        </w:rPr>
        <w:t>of</w:t>
      </w:r>
      <w:r>
        <w:rPr>
          <w:spacing w:val="-6"/>
          <w:sz w:val="20"/>
        </w:rPr>
        <w:t> </w:t>
      </w:r>
      <w:r>
        <w:rPr>
          <w:sz w:val="20"/>
        </w:rPr>
        <w:t>the</w:t>
      </w:r>
      <w:r>
        <w:rPr>
          <w:spacing w:val="-5"/>
          <w:sz w:val="20"/>
        </w:rPr>
        <w:t> </w:t>
      </w:r>
      <w:r>
        <w:rPr>
          <w:sz w:val="20"/>
        </w:rPr>
        <w:t>Court</w:t>
      </w:r>
      <w:r>
        <w:rPr>
          <w:spacing w:val="-5"/>
          <w:sz w:val="20"/>
        </w:rPr>
        <w:t> </w:t>
      </w:r>
      <w:r>
        <w:rPr>
          <w:sz w:val="20"/>
        </w:rPr>
        <w:t>to</w:t>
      </w:r>
      <w:r>
        <w:rPr>
          <w:spacing w:val="-5"/>
          <w:sz w:val="20"/>
        </w:rPr>
        <w:t> </w:t>
      </w:r>
      <w:r>
        <w:rPr>
          <w:sz w:val="20"/>
        </w:rPr>
        <w:t>assist</w:t>
      </w:r>
      <w:r>
        <w:rPr>
          <w:spacing w:val="-6"/>
          <w:sz w:val="20"/>
        </w:rPr>
        <w:t> </w:t>
      </w:r>
      <w:r>
        <w:rPr>
          <w:sz w:val="20"/>
        </w:rPr>
        <w:t>the</w:t>
      </w:r>
    </w:p>
    <w:p>
      <w:pPr>
        <w:pStyle w:val="BodyText"/>
        <w:spacing w:line="259" w:lineRule="exact"/>
        <w:ind w:left="2157"/>
      </w:pPr>
      <w:r>
        <w:rPr/>
        <w:t>Court impartially.</w:t>
      </w:r>
    </w:p>
    <w:p>
      <w:pPr>
        <w:pStyle w:val="ListParagraph"/>
        <w:numPr>
          <w:ilvl w:val="2"/>
          <w:numId w:val="12"/>
        </w:numPr>
        <w:tabs>
          <w:tab w:pos="2157" w:val="left" w:leader="none"/>
          <w:tab w:pos="2158" w:val="left" w:leader="none"/>
        </w:tabs>
        <w:spacing w:line="206" w:lineRule="auto" w:before="80" w:after="0"/>
        <w:ind w:left="2157" w:right="1465" w:hanging="396"/>
        <w:jc w:val="left"/>
        <w:rPr>
          <w:sz w:val="20"/>
        </w:rPr>
      </w:pPr>
      <w:r>
        <w:rPr>
          <w:sz w:val="20"/>
        </w:rPr>
        <w:t>A support person’s paramount duty is to the Court and not to </w:t>
      </w:r>
      <w:r>
        <w:rPr>
          <w:spacing w:val="-3"/>
          <w:sz w:val="20"/>
        </w:rPr>
        <w:t>any </w:t>
      </w:r>
      <w:r>
        <w:rPr>
          <w:sz w:val="20"/>
        </w:rPr>
        <w:t>party to or witness</w:t>
      </w:r>
      <w:r>
        <w:rPr>
          <w:spacing w:val="-12"/>
          <w:sz w:val="20"/>
        </w:rPr>
        <w:t> </w:t>
      </w:r>
      <w:r>
        <w:rPr>
          <w:sz w:val="20"/>
        </w:rPr>
        <w:t>in</w:t>
      </w:r>
      <w:r>
        <w:rPr>
          <w:spacing w:val="-12"/>
          <w:sz w:val="20"/>
        </w:rPr>
        <w:t> </w:t>
      </w:r>
      <w:r>
        <w:rPr>
          <w:sz w:val="20"/>
        </w:rPr>
        <w:t>the</w:t>
      </w:r>
      <w:r>
        <w:rPr>
          <w:spacing w:val="-11"/>
          <w:sz w:val="20"/>
        </w:rPr>
        <w:t> </w:t>
      </w:r>
      <w:r>
        <w:rPr>
          <w:sz w:val="20"/>
        </w:rPr>
        <w:t>proceedings</w:t>
      </w:r>
      <w:r>
        <w:rPr>
          <w:spacing w:val="-12"/>
          <w:sz w:val="20"/>
        </w:rPr>
        <w:t> </w:t>
      </w:r>
      <w:r>
        <w:rPr>
          <w:sz w:val="20"/>
        </w:rPr>
        <w:t>(including</w:t>
      </w:r>
      <w:r>
        <w:rPr>
          <w:spacing w:val="-11"/>
          <w:sz w:val="20"/>
        </w:rPr>
        <w:t> </w:t>
      </w:r>
      <w:r>
        <w:rPr>
          <w:sz w:val="20"/>
        </w:rPr>
        <w:t>the</w:t>
      </w:r>
      <w:r>
        <w:rPr>
          <w:spacing w:val="-12"/>
          <w:sz w:val="20"/>
        </w:rPr>
        <w:t> </w:t>
      </w:r>
      <w:r>
        <w:rPr>
          <w:sz w:val="20"/>
        </w:rPr>
        <w:t>person</w:t>
      </w:r>
      <w:r>
        <w:rPr>
          <w:spacing w:val="-11"/>
          <w:sz w:val="20"/>
        </w:rPr>
        <w:t> </w:t>
      </w:r>
      <w:r>
        <w:rPr>
          <w:sz w:val="20"/>
        </w:rPr>
        <w:t>retaining</w:t>
      </w:r>
      <w:r>
        <w:rPr>
          <w:spacing w:val="-12"/>
          <w:sz w:val="20"/>
        </w:rPr>
        <w:t> </w:t>
      </w:r>
      <w:r>
        <w:rPr>
          <w:sz w:val="20"/>
        </w:rPr>
        <w:t>or</w:t>
      </w:r>
      <w:r>
        <w:rPr>
          <w:spacing w:val="-11"/>
          <w:sz w:val="20"/>
        </w:rPr>
        <w:t> </w:t>
      </w:r>
      <w:r>
        <w:rPr>
          <w:spacing w:val="-3"/>
          <w:sz w:val="20"/>
        </w:rPr>
        <w:t>paying</w:t>
      </w:r>
      <w:r>
        <w:rPr>
          <w:spacing w:val="-12"/>
          <w:sz w:val="20"/>
        </w:rPr>
        <w:t> </w:t>
      </w:r>
      <w:r>
        <w:rPr>
          <w:sz w:val="20"/>
        </w:rPr>
        <w:t>the</w:t>
      </w:r>
      <w:r>
        <w:rPr>
          <w:spacing w:val="-12"/>
          <w:sz w:val="20"/>
        </w:rPr>
        <w:t> </w:t>
      </w:r>
      <w:r>
        <w:rPr>
          <w:sz w:val="20"/>
        </w:rPr>
        <w:t>Support </w:t>
      </w:r>
      <w:r>
        <w:rPr>
          <w:spacing w:val="-3"/>
          <w:sz w:val="20"/>
        </w:rPr>
        <w:t>Person).</w:t>
      </w:r>
    </w:p>
    <w:p>
      <w:pPr>
        <w:pStyle w:val="ListParagraph"/>
        <w:numPr>
          <w:ilvl w:val="2"/>
          <w:numId w:val="12"/>
        </w:numPr>
        <w:tabs>
          <w:tab w:pos="2157" w:val="left" w:leader="none"/>
          <w:tab w:pos="2158" w:val="left" w:leader="none"/>
        </w:tabs>
        <w:spacing w:line="240" w:lineRule="auto" w:before="56" w:after="0"/>
        <w:ind w:left="2157" w:right="0" w:hanging="396"/>
        <w:jc w:val="left"/>
        <w:rPr>
          <w:sz w:val="20"/>
        </w:rPr>
      </w:pPr>
      <w:r>
        <w:rPr>
          <w:sz w:val="20"/>
        </w:rPr>
        <w:t>A</w:t>
      </w:r>
      <w:r>
        <w:rPr>
          <w:spacing w:val="-5"/>
          <w:sz w:val="20"/>
        </w:rPr>
        <w:t> </w:t>
      </w:r>
      <w:r>
        <w:rPr>
          <w:sz w:val="20"/>
        </w:rPr>
        <w:t>support</w:t>
      </w:r>
      <w:r>
        <w:rPr>
          <w:spacing w:val="-4"/>
          <w:sz w:val="20"/>
        </w:rPr>
        <w:t> </w:t>
      </w:r>
      <w:r>
        <w:rPr>
          <w:sz w:val="20"/>
        </w:rPr>
        <w:t>person</w:t>
      </w:r>
      <w:r>
        <w:rPr>
          <w:spacing w:val="-5"/>
          <w:sz w:val="20"/>
        </w:rPr>
        <w:t> </w:t>
      </w:r>
      <w:r>
        <w:rPr>
          <w:sz w:val="20"/>
        </w:rPr>
        <w:t>is</w:t>
      </w:r>
      <w:r>
        <w:rPr>
          <w:spacing w:val="-4"/>
          <w:sz w:val="20"/>
        </w:rPr>
        <w:t> </w:t>
      </w:r>
      <w:r>
        <w:rPr>
          <w:sz w:val="20"/>
        </w:rPr>
        <w:t>not</w:t>
      </w:r>
      <w:r>
        <w:rPr>
          <w:spacing w:val="-5"/>
          <w:sz w:val="20"/>
        </w:rPr>
        <w:t> </w:t>
      </w:r>
      <w:r>
        <w:rPr>
          <w:sz w:val="20"/>
        </w:rPr>
        <w:t>an</w:t>
      </w:r>
      <w:r>
        <w:rPr>
          <w:spacing w:val="-4"/>
          <w:sz w:val="20"/>
        </w:rPr>
        <w:t> </w:t>
      </w:r>
      <w:r>
        <w:rPr>
          <w:spacing w:val="-3"/>
          <w:sz w:val="20"/>
        </w:rPr>
        <w:t>advocate,</w:t>
      </w:r>
      <w:r>
        <w:rPr>
          <w:spacing w:val="-5"/>
          <w:sz w:val="20"/>
        </w:rPr>
        <w:t> </w:t>
      </w:r>
      <w:r>
        <w:rPr>
          <w:sz w:val="20"/>
        </w:rPr>
        <w:t>agent</w:t>
      </w:r>
      <w:r>
        <w:rPr>
          <w:spacing w:val="-4"/>
          <w:sz w:val="20"/>
        </w:rPr>
        <w:t> </w:t>
      </w:r>
      <w:r>
        <w:rPr>
          <w:sz w:val="20"/>
        </w:rPr>
        <w:t>or</w:t>
      </w:r>
      <w:r>
        <w:rPr>
          <w:spacing w:val="-5"/>
          <w:sz w:val="20"/>
        </w:rPr>
        <w:t> </w:t>
      </w:r>
      <w:r>
        <w:rPr>
          <w:sz w:val="20"/>
        </w:rPr>
        <w:t>assistant</w:t>
      </w:r>
      <w:r>
        <w:rPr>
          <w:spacing w:val="-4"/>
          <w:sz w:val="20"/>
        </w:rPr>
        <w:t> </w:t>
      </w:r>
      <w:r>
        <w:rPr>
          <w:sz w:val="20"/>
        </w:rPr>
        <w:t>for</w:t>
      </w:r>
      <w:r>
        <w:rPr>
          <w:spacing w:val="-4"/>
          <w:sz w:val="20"/>
        </w:rPr>
        <w:t> </w:t>
      </w:r>
      <w:r>
        <w:rPr>
          <w:sz w:val="20"/>
        </w:rPr>
        <w:t>the</w:t>
      </w:r>
      <w:r>
        <w:rPr>
          <w:spacing w:val="-5"/>
          <w:sz w:val="20"/>
        </w:rPr>
        <w:t> </w:t>
      </w:r>
      <w:r>
        <w:rPr>
          <w:spacing w:val="-4"/>
          <w:sz w:val="20"/>
        </w:rPr>
        <w:t>juror.</w:t>
      </w:r>
      <w:r>
        <w:rPr>
          <w:spacing w:val="-4"/>
          <w:position w:val="7"/>
          <w:sz w:val="11"/>
        </w:rPr>
        <w:t>37</w:t>
      </w:r>
    </w:p>
    <w:p>
      <w:pPr>
        <w:spacing w:before="118"/>
        <w:ind w:left="967" w:right="0" w:firstLine="0"/>
        <w:jc w:val="left"/>
        <w:rPr>
          <w:b/>
          <w:sz w:val="24"/>
        </w:rPr>
      </w:pPr>
      <w:r>
        <w:rPr>
          <w:b/>
          <w:sz w:val="24"/>
        </w:rPr>
        <w:t>Support persons should provide an oath to the court</w:t>
      </w:r>
    </w:p>
    <w:p>
      <w:pPr>
        <w:pStyle w:val="ListParagraph"/>
        <w:numPr>
          <w:ilvl w:val="1"/>
          <w:numId w:val="12"/>
        </w:numPr>
        <w:tabs>
          <w:tab w:pos="1761" w:val="left" w:leader="none"/>
          <w:tab w:pos="1762" w:val="left" w:leader="none"/>
        </w:tabs>
        <w:spacing w:line="206" w:lineRule="auto" w:before="127" w:after="0"/>
        <w:ind w:left="1761" w:right="1248" w:hanging="794"/>
        <w:jc w:val="left"/>
        <w:rPr>
          <w:sz w:val="20"/>
        </w:rPr>
      </w:pPr>
      <w:r>
        <w:rPr>
          <w:spacing w:val="-10"/>
          <w:sz w:val="20"/>
        </w:rPr>
        <w:t>To </w:t>
      </w:r>
      <w:r>
        <w:rPr>
          <w:spacing w:val="-3"/>
          <w:sz w:val="20"/>
        </w:rPr>
        <w:t>protect </w:t>
      </w:r>
      <w:r>
        <w:rPr>
          <w:sz w:val="20"/>
        </w:rPr>
        <w:t>the secrecy of jury deliberations, and ensure that support persons do not </w:t>
      </w:r>
      <w:r>
        <w:rPr>
          <w:spacing w:val="-2"/>
          <w:sz w:val="20"/>
        </w:rPr>
        <w:t>unduly</w:t>
      </w:r>
      <w:r>
        <w:rPr>
          <w:spacing w:val="-14"/>
          <w:sz w:val="20"/>
        </w:rPr>
        <w:t> </w:t>
      </w:r>
      <w:r>
        <w:rPr>
          <w:sz w:val="20"/>
        </w:rPr>
        <w:t>influence</w:t>
      </w:r>
      <w:r>
        <w:rPr>
          <w:spacing w:val="-14"/>
          <w:sz w:val="20"/>
        </w:rPr>
        <w:t> </w:t>
      </w:r>
      <w:r>
        <w:rPr>
          <w:sz w:val="20"/>
        </w:rPr>
        <w:t>the</w:t>
      </w:r>
      <w:r>
        <w:rPr>
          <w:spacing w:val="-14"/>
          <w:sz w:val="20"/>
        </w:rPr>
        <w:t> </w:t>
      </w:r>
      <w:r>
        <w:rPr>
          <w:sz w:val="20"/>
        </w:rPr>
        <w:t>deliberations,</w:t>
      </w:r>
      <w:r>
        <w:rPr>
          <w:spacing w:val="-14"/>
          <w:sz w:val="20"/>
        </w:rPr>
        <w:t> </w:t>
      </w:r>
      <w:r>
        <w:rPr>
          <w:sz w:val="20"/>
        </w:rPr>
        <w:t>the</w:t>
      </w:r>
      <w:r>
        <w:rPr>
          <w:spacing w:val="-14"/>
          <w:sz w:val="20"/>
        </w:rPr>
        <w:t> </w:t>
      </w:r>
      <w:r>
        <w:rPr>
          <w:sz w:val="20"/>
        </w:rPr>
        <w:t>Commission</w:t>
      </w:r>
      <w:r>
        <w:rPr>
          <w:spacing w:val="-14"/>
          <w:sz w:val="20"/>
        </w:rPr>
        <w:t> </w:t>
      </w:r>
      <w:r>
        <w:rPr>
          <w:sz w:val="20"/>
        </w:rPr>
        <w:t>recommends</w:t>
      </w:r>
      <w:r>
        <w:rPr>
          <w:spacing w:val="-14"/>
          <w:sz w:val="20"/>
        </w:rPr>
        <w:t> </w:t>
      </w:r>
      <w:r>
        <w:rPr>
          <w:sz w:val="20"/>
        </w:rPr>
        <w:t>that</w:t>
      </w:r>
      <w:r>
        <w:rPr>
          <w:spacing w:val="-14"/>
          <w:sz w:val="20"/>
        </w:rPr>
        <w:t> </w:t>
      </w:r>
      <w:r>
        <w:rPr>
          <w:sz w:val="20"/>
        </w:rPr>
        <w:t>support</w:t>
      </w:r>
      <w:r>
        <w:rPr>
          <w:spacing w:val="-14"/>
          <w:sz w:val="20"/>
        </w:rPr>
        <w:t> </w:t>
      </w:r>
      <w:r>
        <w:rPr>
          <w:sz w:val="20"/>
        </w:rPr>
        <w:t>persons should </w:t>
      </w:r>
      <w:r>
        <w:rPr>
          <w:spacing w:val="-3"/>
          <w:sz w:val="20"/>
        </w:rPr>
        <w:t>provide </w:t>
      </w:r>
      <w:r>
        <w:rPr>
          <w:sz w:val="20"/>
        </w:rPr>
        <w:t>an oath or affirmation to the</w:t>
      </w:r>
      <w:r>
        <w:rPr>
          <w:spacing w:val="-37"/>
          <w:sz w:val="20"/>
        </w:rPr>
        <w:t> </w:t>
      </w:r>
      <w:r>
        <w:rPr>
          <w:sz w:val="20"/>
        </w:rPr>
        <w:t>court.</w:t>
      </w:r>
    </w:p>
    <w:p>
      <w:pPr>
        <w:pStyle w:val="ListParagraph"/>
        <w:numPr>
          <w:ilvl w:val="1"/>
          <w:numId w:val="12"/>
        </w:numPr>
        <w:tabs>
          <w:tab w:pos="1761" w:val="left" w:leader="none"/>
          <w:tab w:pos="1762" w:val="left" w:leader="none"/>
        </w:tabs>
        <w:spacing w:line="206" w:lineRule="auto" w:before="124" w:after="0"/>
        <w:ind w:left="1761" w:right="1352" w:hanging="794"/>
        <w:jc w:val="left"/>
        <w:rPr>
          <w:sz w:val="11"/>
        </w:rPr>
      </w:pPr>
      <w:r>
        <w:rPr>
          <w:sz w:val="20"/>
        </w:rPr>
        <w:t>The</w:t>
      </w:r>
      <w:r>
        <w:rPr>
          <w:spacing w:val="-8"/>
          <w:sz w:val="20"/>
        </w:rPr>
        <w:t> </w:t>
      </w:r>
      <w:r>
        <w:rPr>
          <w:spacing w:val="-4"/>
          <w:sz w:val="20"/>
        </w:rPr>
        <w:t>ACT</w:t>
      </w:r>
      <w:r>
        <w:rPr>
          <w:spacing w:val="-7"/>
          <w:sz w:val="20"/>
        </w:rPr>
        <w:t> </w:t>
      </w:r>
      <w:r>
        <w:rPr>
          <w:sz w:val="20"/>
        </w:rPr>
        <w:t>model</w:t>
      </w:r>
      <w:r>
        <w:rPr>
          <w:spacing w:val="-8"/>
          <w:sz w:val="20"/>
        </w:rPr>
        <w:t> </w:t>
      </w:r>
      <w:r>
        <w:rPr>
          <w:sz w:val="20"/>
        </w:rPr>
        <w:t>is</w:t>
      </w:r>
      <w:r>
        <w:rPr>
          <w:spacing w:val="-7"/>
          <w:sz w:val="20"/>
        </w:rPr>
        <w:t> </w:t>
      </w:r>
      <w:r>
        <w:rPr>
          <w:sz w:val="20"/>
        </w:rPr>
        <w:t>a</w:t>
      </w:r>
      <w:r>
        <w:rPr>
          <w:spacing w:val="-7"/>
          <w:sz w:val="20"/>
        </w:rPr>
        <w:t> </w:t>
      </w:r>
      <w:r>
        <w:rPr>
          <w:sz w:val="20"/>
        </w:rPr>
        <w:t>good</w:t>
      </w:r>
      <w:r>
        <w:rPr>
          <w:spacing w:val="-8"/>
          <w:sz w:val="20"/>
        </w:rPr>
        <w:t> </w:t>
      </w:r>
      <w:r>
        <w:rPr>
          <w:sz w:val="20"/>
        </w:rPr>
        <w:t>guide</w:t>
      </w:r>
      <w:r>
        <w:rPr>
          <w:spacing w:val="-7"/>
          <w:sz w:val="20"/>
        </w:rPr>
        <w:t> </w:t>
      </w:r>
      <w:r>
        <w:rPr>
          <w:sz w:val="20"/>
        </w:rPr>
        <w:t>for</w:t>
      </w:r>
      <w:r>
        <w:rPr>
          <w:spacing w:val="-8"/>
          <w:sz w:val="20"/>
        </w:rPr>
        <w:t> </w:t>
      </w:r>
      <w:r>
        <w:rPr>
          <w:sz w:val="20"/>
        </w:rPr>
        <w:t>Victoria.</w:t>
      </w:r>
      <w:r>
        <w:rPr>
          <w:spacing w:val="-7"/>
          <w:sz w:val="20"/>
        </w:rPr>
        <w:t> </w:t>
      </w:r>
      <w:r>
        <w:rPr>
          <w:sz w:val="20"/>
        </w:rPr>
        <w:t>A</w:t>
      </w:r>
      <w:r>
        <w:rPr>
          <w:spacing w:val="-7"/>
          <w:sz w:val="20"/>
        </w:rPr>
        <w:t> </w:t>
      </w:r>
      <w:r>
        <w:rPr>
          <w:sz w:val="20"/>
        </w:rPr>
        <w:t>support</w:t>
      </w:r>
      <w:r>
        <w:rPr>
          <w:spacing w:val="-8"/>
          <w:sz w:val="20"/>
        </w:rPr>
        <w:t> </w:t>
      </w:r>
      <w:r>
        <w:rPr>
          <w:sz w:val="20"/>
        </w:rPr>
        <w:t>person</w:t>
      </w:r>
      <w:r>
        <w:rPr>
          <w:spacing w:val="-7"/>
          <w:sz w:val="20"/>
        </w:rPr>
        <w:t> </w:t>
      </w:r>
      <w:r>
        <w:rPr>
          <w:sz w:val="20"/>
        </w:rPr>
        <w:t>in</w:t>
      </w:r>
      <w:r>
        <w:rPr>
          <w:spacing w:val="-7"/>
          <w:sz w:val="20"/>
        </w:rPr>
        <w:t> </w:t>
      </w:r>
      <w:r>
        <w:rPr>
          <w:sz w:val="20"/>
        </w:rPr>
        <w:t>the</w:t>
      </w:r>
      <w:r>
        <w:rPr>
          <w:spacing w:val="-8"/>
          <w:sz w:val="20"/>
        </w:rPr>
        <w:t> </w:t>
      </w:r>
      <w:r>
        <w:rPr>
          <w:spacing w:val="-4"/>
          <w:sz w:val="20"/>
        </w:rPr>
        <w:t>ACT</w:t>
      </w:r>
      <w:r>
        <w:rPr>
          <w:spacing w:val="-7"/>
          <w:sz w:val="20"/>
        </w:rPr>
        <w:t> </w:t>
      </w:r>
      <w:r>
        <w:rPr>
          <w:sz w:val="20"/>
        </w:rPr>
        <w:t>must</w:t>
      </w:r>
      <w:r>
        <w:rPr>
          <w:spacing w:val="-8"/>
          <w:sz w:val="20"/>
        </w:rPr>
        <w:t> </w:t>
      </w:r>
      <w:r>
        <w:rPr>
          <w:sz w:val="20"/>
        </w:rPr>
        <w:t>take</w:t>
      </w:r>
      <w:r>
        <w:rPr>
          <w:spacing w:val="-7"/>
          <w:sz w:val="20"/>
        </w:rPr>
        <w:t> </w:t>
      </w:r>
      <w:r>
        <w:rPr>
          <w:sz w:val="20"/>
        </w:rPr>
        <w:t>an oath or affirmation to </w:t>
      </w:r>
      <w:r>
        <w:rPr>
          <w:spacing w:val="-5"/>
          <w:sz w:val="20"/>
        </w:rPr>
        <w:t>‘… </w:t>
      </w:r>
      <w:r>
        <w:rPr>
          <w:sz w:val="20"/>
        </w:rPr>
        <w:t>well and </w:t>
      </w:r>
      <w:r>
        <w:rPr>
          <w:spacing w:val="-3"/>
          <w:sz w:val="20"/>
        </w:rPr>
        <w:t>truly </w:t>
      </w:r>
      <w:r>
        <w:rPr>
          <w:sz w:val="20"/>
        </w:rPr>
        <w:t>support the juror to discharge the </w:t>
      </w:r>
      <w:r>
        <w:rPr>
          <w:spacing w:val="-3"/>
          <w:sz w:val="20"/>
        </w:rPr>
        <w:t>juror’s </w:t>
      </w:r>
      <w:r>
        <w:rPr>
          <w:sz w:val="20"/>
        </w:rPr>
        <w:t>duties, [and not] otherwise participate in the jury’s deliberations or disclose anything about those deliberations, </w:t>
      </w:r>
      <w:r>
        <w:rPr>
          <w:spacing w:val="-3"/>
          <w:sz w:val="20"/>
        </w:rPr>
        <w:t>except </w:t>
      </w:r>
      <w:r>
        <w:rPr>
          <w:sz w:val="20"/>
        </w:rPr>
        <w:t>as </w:t>
      </w:r>
      <w:r>
        <w:rPr>
          <w:spacing w:val="-3"/>
          <w:sz w:val="20"/>
        </w:rPr>
        <w:t>allowed </w:t>
      </w:r>
      <w:r>
        <w:rPr>
          <w:sz w:val="20"/>
        </w:rPr>
        <w:t>or </w:t>
      </w:r>
      <w:r>
        <w:rPr>
          <w:spacing w:val="-3"/>
          <w:sz w:val="20"/>
        </w:rPr>
        <w:t>required by</w:t>
      </w:r>
      <w:r>
        <w:rPr>
          <w:spacing w:val="-25"/>
          <w:sz w:val="20"/>
        </w:rPr>
        <w:t> </w:t>
      </w:r>
      <w:r>
        <w:rPr>
          <w:spacing w:val="-3"/>
          <w:sz w:val="20"/>
        </w:rPr>
        <w:t>law’.</w:t>
      </w:r>
      <w:r>
        <w:rPr>
          <w:spacing w:val="-3"/>
          <w:position w:val="7"/>
          <w:sz w:val="11"/>
        </w:rPr>
        <w:t>38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rPr>
          <w:sz w:val="25"/>
        </w:rPr>
      </w:pPr>
      <w:r>
        <w:rPr/>
        <w:pict>
          <v:line style="position:absolute;mso-position-horizontal-relative:page;mso-position-vertical-relative:paragraph;z-index:9224;mso-wrap-distance-left:0;mso-wrap-distance-right:0" from="79.370102pt,20.472082pt" to="515.905102pt,20.472082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spacing w:before="13"/>
        <w:rPr>
          <w:sz w:val="26"/>
        </w:rPr>
      </w:pPr>
    </w:p>
    <w:p>
      <w:pPr>
        <w:spacing w:before="0"/>
        <w:ind w:left="100" w:right="0" w:firstLine="0"/>
        <w:jc w:val="left"/>
        <w:rPr>
          <w:b/>
          <w:sz w:val="24"/>
        </w:rPr>
      </w:pPr>
      <w:r>
        <w:rPr>
          <w:b/>
          <w:color w:val="37617A"/>
          <w:sz w:val="24"/>
        </w:rPr>
        <w:t>176</w:t>
      </w:r>
    </w:p>
    <w:p>
      <w:pPr>
        <w:pStyle w:val="ListParagraph"/>
        <w:numPr>
          <w:ilvl w:val="0"/>
          <w:numId w:val="104"/>
        </w:numPr>
        <w:tabs>
          <w:tab w:pos="893" w:val="left" w:leader="none"/>
          <w:tab w:pos="894" w:val="left" w:leader="none"/>
        </w:tabs>
        <w:spacing w:line="213" w:lineRule="auto" w:before="38" w:after="0"/>
        <w:ind w:left="893" w:right="1517" w:hanging="793"/>
        <w:jc w:val="left"/>
        <w:rPr>
          <w:sz w:val="13"/>
        </w:rPr>
      </w:pPr>
      <w:r>
        <w:rPr>
          <w:spacing w:val="2"/>
          <w:w w:val="100"/>
          <w:sz w:val="13"/>
        </w:rPr>
        <w:br w:type="column"/>
      </w:r>
      <w:r>
        <w:rPr>
          <w:sz w:val="13"/>
        </w:rPr>
        <w:t>Information provided by ACT Sheriff to Victorian Law Reform </w:t>
      </w:r>
      <w:r>
        <w:rPr>
          <w:spacing w:val="2"/>
          <w:sz w:val="13"/>
        </w:rPr>
        <w:t>Commission, </w:t>
      </w:r>
      <w:r>
        <w:rPr>
          <w:sz w:val="13"/>
        </w:rPr>
        <w:t>18 September 2020; Information provided by ACT Sheriff to Victorian Law Reform </w:t>
      </w:r>
      <w:r>
        <w:rPr>
          <w:spacing w:val="2"/>
          <w:sz w:val="13"/>
        </w:rPr>
        <w:t>Commission, </w:t>
      </w:r>
      <w:r>
        <w:rPr>
          <w:sz w:val="13"/>
        </w:rPr>
        <w:t>16 September</w:t>
      </w:r>
      <w:r>
        <w:rPr>
          <w:spacing w:val="2"/>
          <w:sz w:val="13"/>
        </w:rPr>
        <w:t> </w:t>
      </w:r>
      <w:r>
        <w:rPr>
          <w:sz w:val="13"/>
        </w:rPr>
        <w:t>2020.</w:t>
      </w:r>
    </w:p>
    <w:p>
      <w:pPr>
        <w:pStyle w:val="ListParagraph"/>
        <w:numPr>
          <w:ilvl w:val="0"/>
          <w:numId w:val="104"/>
        </w:numPr>
        <w:tabs>
          <w:tab w:pos="893" w:val="left" w:leader="none"/>
          <w:tab w:pos="894" w:val="left" w:leader="none"/>
        </w:tabs>
        <w:spacing w:line="153" w:lineRule="exact" w:before="0" w:after="0"/>
        <w:ind w:left="893" w:right="0" w:hanging="793"/>
        <w:jc w:val="left"/>
        <w:rPr>
          <w:sz w:val="13"/>
        </w:rPr>
      </w:pPr>
      <w:r>
        <w:rPr>
          <w:spacing w:val="2"/>
          <w:sz w:val="13"/>
        </w:rPr>
        <w:t>Ibid.</w:t>
      </w:r>
    </w:p>
    <w:p>
      <w:pPr>
        <w:pStyle w:val="ListParagraph"/>
        <w:numPr>
          <w:ilvl w:val="0"/>
          <w:numId w:val="104"/>
        </w:numPr>
        <w:tabs>
          <w:tab w:pos="893" w:val="left" w:leader="none"/>
          <w:tab w:pos="894" w:val="left" w:leader="none"/>
        </w:tabs>
        <w:spacing w:line="170" w:lineRule="exact" w:before="0" w:after="0"/>
        <w:ind w:left="893" w:right="0" w:hanging="793"/>
        <w:jc w:val="left"/>
        <w:rPr>
          <w:sz w:val="13"/>
        </w:rPr>
      </w:pPr>
      <w:r>
        <w:rPr>
          <w:i/>
          <w:sz w:val="13"/>
        </w:rPr>
        <w:t>Juries Act 1967 </w:t>
      </w:r>
      <w:r>
        <w:rPr>
          <w:sz w:val="13"/>
        </w:rPr>
        <w:t>(ACT) sch 1 pt</w:t>
      </w:r>
      <w:r>
        <w:rPr>
          <w:spacing w:val="1"/>
          <w:sz w:val="13"/>
        </w:rPr>
        <w:t> </w:t>
      </w:r>
      <w:r>
        <w:rPr>
          <w:spacing w:val="3"/>
          <w:sz w:val="13"/>
        </w:rPr>
        <w:t>1.1B.</w:t>
      </w:r>
    </w:p>
    <w:p>
      <w:pPr>
        <w:spacing w:after="0" w:line="170" w:lineRule="exact"/>
        <w:jc w:val="left"/>
        <w:rPr>
          <w:sz w:val="13"/>
        </w:rPr>
        <w:sectPr>
          <w:type w:val="continuous"/>
          <w:pgSz w:w="11910" w:h="16840"/>
          <w:pgMar w:top="620" w:bottom="280" w:left="620" w:right="380"/>
          <w:cols w:num="2" w:equalWidth="0">
            <w:col w:w="526" w:space="341"/>
            <w:col w:w="10043"/>
          </w:cols>
        </w:sectPr>
      </w:pPr>
    </w:p>
    <w:p>
      <w:pPr>
        <w:pStyle w:val="BodyText"/>
      </w:pPr>
    </w:p>
    <w:p>
      <w:pPr>
        <w:pStyle w:val="BodyText"/>
      </w:pPr>
    </w:p>
    <w:p>
      <w:pPr>
        <w:pStyle w:val="BodyText"/>
      </w:pPr>
    </w:p>
    <w:p>
      <w:pPr>
        <w:pStyle w:val="BodyText"/>
        <w:spacing w:before="9"/>
        <w:rPr>
          <w:sz w:val="21"/>
        </w:rPr>
      </w:pPr>
    </w:p>
    <w:p>
      <w:pPr>
        <w:pStyle w:val="BodyText"/>
        <w:ind w:left="602"/>
      </w:pPr>
      <w:r>
        <w:rPr/>
        <w:pict>
          <v:group style="width:479.1pt;height:217.15pt;mso-position-horizontal-relative:char;mso-position-vertical-relative:line" coordorigin="0,0" coordsize="9582,4343">
            <v:rect style="position:absolute;left:340;top:0;width:8731;height:4343" filled="true" fillcolor="#dddfe4" stroked="false">
              <v:fill type="solid"/>
            </v:rect>
            <v:line style="position:absolute" from="0,808" to="9581,808" stroked="true" strokeweight="2.5pt" strokecolor="#ffffff">
              <v:stroke dashstyle="solid"/>
            </v:line>
            <v:shape style="position:absolute;left:1133;top:1033;width:7675;height:3130" type="#_x0000_t202" filled="false" stroked="false">
              <v:textbox inset="0,0,0,0">
                <w:txbxContent>
                  <w:p>
                    <w:pPr>
                      <w:spacing w:line="247" w:lineRule="auto" w:before="0"/>
                      <w:ind w:left="0" w:right="0" w:firstLine="0"/>
                      <w:jc w:val="left"/>
                      <w:rPr>
                        <w:rFonts w:ascii="Trebuchet MS"/>
                        <w:sz w:val="20"/>
                      </w:rPr>
                    </w:pPr>
                    <w:bookmarkStart w:name="New offences should exist for Auslan int" w:id="305"/>
                    <w:bookmarkEnd w:id="305"/>
                    <w:r>
                      <w:rPr/>
                    </w:r>
                    <w:bookmarkStart w:name="_bookmark129" w:id="306"/>
                    <w:bookmarkEnd w:id="306"/>
                    <w:r>
                      <w:rPr/>
                    </w:r>
                    <w:r>
                      <w:rPr>
                        <w:rFonts w:ascii="Trebuchet MS"/>
                        <w:w w:val="105"/>
                        <w:sz w:val="20"/>
                      </w:rPr>
                      <w:t>The Juries </w:t>
                    </w:r>
                    <w:r>
                      <w:rPr>
                        <w:rFonts w:ascii="Trebuchet MS"/>
                        <w:spacing w:val="-2"/>
                        <w:w w:val="105"/>
                        <w:sz w:val="20"/>
                      </w:rPr>
                      <w:t>Act </w:t>
                    </w:r>
                    <w:r>
                      <w:rPr>
                        <w:rFonts w:ascii="Trebuchet MS"/>
                        <w:w w:val="105"/>
                        <w:sz w:val="20"/>
                      </w:rPr>
                      <w:t>should be amended to </w:t>
                    </w:r>
                    <w:r>
                      <w:rPr>
                        <w:rFonts w:ascii="Trebuchet MS"/>
                        <w:spacing w:val="-3"/>
                        <w:w w:val="105"/>
                        <w:sz w:val="20"/>
                      </w:rPr>
                      <w:t>provide </w:t>
                    </w:r>
                    <w:r>
                      <w:rPr>
                        <w:rFonts w:ascii="Trebuchet MS"/>
                        <w:w w:val="105"/>
                        <w:sz w:val="20"/>
                      </w:rPr>
                      <w:t>for the appointment of an </w:t>
                    </w:r>
                    <w:r>
                      <w:rPr>
                        <w:rFonts w:ascii="Trebuchet MS"/>
                        <w:spacing w:val="-2"/>
                        <w:w w:val="80"/>
                        <w:sz w:val="20"/>
                      </w:rPr>
                      <w:t>i</w:t>
                    </w:r>
                    <w:r>
                      <w:rPr>
                        <w:rFonts w:ascii="Trebuchet MS"/>
                        <w:spacing w:val="-1"/>
                        <w:w w:val="107"/>
                        <w:sz w:val="20"/>
                      </w:rPr>
                      <w:t>n</w:t>
                    </w:r>
                    <w:r>
                      <w:rPr>
                        <w:rFonts w:ascii="Trebuchet MS"/>
                        <w:spacing w:val="-2"/>
                        <w:w w:val="112"/>
                        <w:sz w:val="20"/>
                      </w:rPr>
                      <w:t>d</w:t>
                    </w:r>
                    <w:r>
                      <w:rPr>
                        <w:rFonts w:ascii="Trebuchet MS"/>
                        <w:spacing w:val="-1"/>
                        <w:w w:val="108"/>
                        <w:sz w:val="20"/>
                      </w:rPr>
                      <w:t>e</w:t>
                    </w:r>
                    <w:r>
                      <w:rPr>
                        <w:rFonts w:ascii="Trebuchet MS"/>
                        <w:spacing w:val="-1"/>
                        <w:w w:val="111"/>
                        <w:sz w:val="20"/>
                      </w:rPr>
                      <w:t>p</w:t>
                    </w:r>
                    <w:r>
                      <w:rPr>
                        <w:rFonts w:ascii="Trebuchet MS"/>
                        <w:spacing w:val="-1"/>
                        <w:w w:val="108"/>
                        <w:sz w:val="20"/>
                      </w:rPr>
                      <w:t>e</w:t>
                    </w:r>
                    <w:r>
                      <w:rPr>
                        <w:rFonts w:ascii="Trebuchet MS"/>
                        <w:spacing w:val="-1"/>
                        <w:w w:val="107"/>
                        <w:sz w:val="20"/>
                      </w:rPr>
                      <w:t>n</w:t>
                    </w:r>
                    <w:r>
                      <w:rPr>
                        <w:rFonts w:ascii="Trebuchet MS"/>
                        <w:spacing w:val="-2"/>
                        <w:w w:val="112"/>
                        <w:sz w:val="20"/>
                      </w:rPr>
                      <w:t>d</w:t>
                    </w:r>
                    <w:r>
                      <w:rPr>
                        <w:rFonts w:ascii="Trebuchet MS"/>
                        <w:spacing w:val="-1"/>
                        <w:w w:val="108"/>
                        <w:sz w:val="20"/>
                      </w:rPr>
                      <w:t>e</w:t>
                    </w:r>
                    <w:r>
                      <w:rPr>
                        <w:rFonts w:ascii="Trebuchet MS"/>
                        <w:spacing w:val="-4"/>
                        <w:w w:val="107"/>
                        <w:sz w:val="20"/>
                      </w:rPr>
                      <w:t>n</w:t>
                    </w:r>
                    <w:r>
                      <w:rPr>
                        <w:rFonts w:ascii="Trebuchet MS"/>
                        <w:w w:val="88"/>
                        <w:sz w:val="20"/>
                      </w:rPr>
                      <w:t>t</w:t>
                    </w:r>
                    <w:r>
                      <w:rPr>
                        <w:rFonts w:ascii="Trebuchet MS"/>
                        <w:spacing w:val="-14"/>
                        <w:sz w:val="20"/>
                      </w:rPr>
                      <w:t> </w:t>
                    </w:r>
                    <w:r>
                      <w:rPr>
                        <w:rFonts w:ascii="Trebuchet MS"/>
                        <w:spacing w:val="-2"/>
                        <w:w w:val="122"/>
                        <w:sz w:val="20"/>
                      </w:rPr>
                      <w:t>s</w:t>
                    </w:r>
                    <w:r>
                      <w:rPr>
                        <w:rFonts w:ascii="Trebuchet MS"/>
                        <w:spacing w:val="-1"/>
                        <w:w w:val="109"/>
                        <w:sz w:val="20"/>
                      </w:rPr>
                      <w:t>u</w:t>
                    </w:r>
                    <w:r>
                      <w:rPr>
                        <w:rFonts w:ascii="Trebuchet MS"/>
                        <w:spacing w:val="-1"/>
                        <w:w w:val="111"/>
                        <w:sz w:val="20"/>
                      </w:rPr>
                      <w:t>pp</w:t>
                    </w:r>
                    <w:r>
                      <w:rPr>
                        <w:rFonts w:ascii="Trebuchet MS"/>
                        <w:spacing w:val="-1"/>
                        <w:w w:val="111"/>
                        <w:sz w:val="20"/>
                      </w:rPr>
                      <w:t>o</w:t>
                    </w:r>
                    <w:r>
                      <w:rPr>
                        <w:rFonts w:ascii="Trebuchet MS"/>
                        <w:spacing w:val="2"/>
                        <w:w w:val="93"/>
                        <w:sz w:val="20"/>
                      </w:rPr>
                      <w:t>r</w:t>
                    </w:r>
                    <w:r>
                      <w:rPr>
                        <w:rFonts w:ascii="Trebuchet MS"/>
                        <w:w w:val="88"/>
                        <w:sz w:val="20"/>
                      </w:rPr>
                      <w:t>t</w:t>
                    </w:r>
                    <w:r>
                      <w:rPr>
                        <w:rFonts w:ascii="Trebuchet MS"/>
                        <w:spacing w:val="-14"/>
                        <w:sz w:val="20"/>
                      </w:rPr>
                      <w:t> </w:t>
                    </w:r>
                    <w:r>
                      <w:rPr>
                        <w:rFonts w:ascii="Trebuchet MS"/>
                        <w:spacing w:val="-1"/>
                        <w:w w:val="111"/>
                        <w:sz w:val="20"/>
                      </w:rPr>
                      <w:t>p</w:t>
                    </w:r>
                    <w:r>
                      <w:rPr>
                        <w:rFonts w:ascii="Trebuchet MS"/>
                        <w:spacing w:val="-1"/>
                        <w:w w:val="108"/>
                        <w:sz w:val="20"/>
                      </w:rPr>
                      <w:t>e</w:t>
                    </w:r>
                    <w:r>
                      <w:rPr>
                        <w:rFonts w:ascii="Trebuchet MS"/>
                        <w:spacing w:val="-1"/>
                        <w:w w:val="93"/>
                        <w:sz w:val="20"/>
                      </w:rPr>
                      <w:t>r</w:t>
                    </w:r>
                    <w:r>
                      <w:rPr>
                        <w:rFonts w:ascii="Trebuchet MS"/>
                        <w:spacing w:val="-1"/>
                        <w:w w:val="122"/>
                        <w:sz w:val="20"/>
                      </w:rPr>
                      <w:t>s</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1"/>
                        <w:w w:val="108"/>
                        <w:sz w:val="20"/>
                      </w:rPr>
                      <w:t>e</w:t>
                    </w:r>
                    <w:r>
                      <w:rPr>
                        <w:rFonts w:ascii="Trebuchet MS"/>
                        <w:spacing w:val="-1"/>
                        <w:w w:val="107"/>
                        <w:sz w:val="20"/>
                      </w:rPr>
                      <w:t>n</w:t>
                    </w:r>
                    <w:r>
                      <w:rPr>
                        <w:rFonts w:ascii="Trebuchet MS"/>
                        <w:spacing w:val="-2"/>
                        <w:w w:val="105"/>
                        <w:sz w:val="20"/>
                      </w:rPr>
                      <w:t>a</w:t>
                    </w:r>
                    <w:r>
                      <w:rPr>
                        <w:rFonts w:ascii="Trebuchet MS"/>
                        <w:spacing w:val="-2"/>
                        <w:w w:val="111"/>
                        <w:sz w:val="20"/>
                      </w:rPr>
                      <w:t>b</w:t>
                    </w:r>
                    <w:r>
                      <w:rPr>
                        <w:rFonts w:ascii="Trebuchet MS"/>
                        <w:spacing w:val="-3"/>
                        <w:w w:val="96"/>
                        <w:sz w:val="20"/>
                      </w:rPr>
                      <w:t>l</w:t>
                    </w:r>
                    <w:r>
                      <w:rPr>
                        <w:rFonts w:ascii="Trebuchet MS"/>
                        <w:w w:val="108"/>
                        <w:sz w:val="20"/>
                      </w:rPr>
                      <w:t>e</w:t>
                    </w:r>
                    <w:r>
                      <w:rPr>
                        <w:rFonts w:ascii="Trebuchet MS"/>
                        <w:spacing w:val="-14"/>
                        <w:sz w:val="20"/>
                      </w:rPr>
                      <w:t> </w:t>
                    </w:r>
                    <w:r>
                      <w:rPr>
                        <w:rFonts w:ascii="Trebuchet MS"/>
                        <w:w w:val="105"/>
                        <w:sz w:val="20"/>
                      </w:rPr>
                      <w:t>a</w:t>
                    </w:r>
                    <w:r>
                      <w:rPr>
                        <w:rFonts w:ascii="Trebuchet MS"/>
                        <w:spacing w:val="-14"/>
                        <w:sz w:val="20"/>
                      </w:rPr>
                      <w:t> </w:t>
                    </w:r>
                    <w:r>
                      <w:rPr>
                        <w:rFonts w:ascii="Trebuchet MS"/>
                        <w:spacing w:val="-1"/>
                        <w:w w:val="111"/>
                        <w:sz w:val="20"/>
                      </w:rPr>
                      <w:t>p</w:t>
                    </w:r>
                    <w:r>
                      <w:rPr>
                        <w:rFonts w:ascii="Trebuchet MS"/>
                        <w:spacing w:val="-1"/>
                        <w:w w:val="108"/>
                        <w:sz w:val="20"/>
                      </w:rPr>
                      <w:t>e</w:t>
                    </w:r>
                    <w:r>
                      <w:rPr>
                        <w:rFonts w:ascii="Trebuchet MS"/>
                        <w:spacing w:val="-1"/>
                        <w:w w:val="93"/>
                        <w:sz w:val="20"/>
                      </w:rPr>
                      <w:t>r</w:t>
                    </w:r>
                    <w:r>
                      <w:rPr>
                        <w:rFonts w:ascii="Trebuchet MS"/>
                        <w:spacing w:val="-1"/>
                        <w:w w:val="122"/>
                        <w:sz w:val="20"/>
                      </w:rPr>
                      <w:t>s</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2"/>
                        <w:w w:val="110"/>
                        <w:sz w:val="20"/>
                      </w:rPr>
                      <w:t>w</w:t>
                    </w:r>
                    <w:r>
                      <w:rPr>
                        <w:rFonts w:ascii="Trebuchet MS"/>
                        <w:spacing w:val="-1"/>
                        <w:w w:val="107"/>
                        <w:sz w:val="20"/>
                      </w:rPr>
                      <w:t>h</w:t>
                    </w:r>
                    <w:r>
                      <w:rPr>
                        <w:rFonts w:ascii="Trebuchet MS"/>
                        <w:w w:val="111"/>
                        <w:sz w:val="20"/>
                      </w:rPr>
                      <w:t>o</w:t>
                    </w:r>
                    <w:r>
                      <w:rPr>
                        <w:rFonts w:ascii="Trebuchet MS"/>
                        <w:spacing w:val="-14"/>
                        <w:sz w:val="20"/>
                      </w:rPr>
                      <w:t> </w:t>
                    </w:r>
                    <w:r>
                      <w:rPr>
                        <w:rFonts w:ascii="Trebuchet MS"/>
                        <w:spacing w:val="-1"/>
                        <w:w w:val="80"/>
                        <w:sz w:val="20"/>
                      </w:rPr>
                      <w:t>i</w:t>
                    </w:r>
                    <w:r>
                      <w:rPr>
                        <w:rFonts w:ascii="Trebuchet MS"/>
                        <w:w w:val="122"/>
                        <w:sz w:val="20"/>
                      </w:rPr>
                      <w:t>s</w:t>
                    </w:r>
                    <w:r>
                      <w:rPr>
                        <w:rFonts w:ascii="Trebuchet MS"/>
                        <w:spacing w:val="-14"/>
                        <w:sz w:val="20"/>
                      </w:rPr>
                      <w:t> </w:t>
                    </w:r>
                    <w:r>
                      <w:rPr>
                        <w:rFonts w:ascii="Trebuchet MS"/>
                        <w:spacing w:val="-2"/>
                        <w:w w:val="112"/>
                        <w:sz w:val="20"/>
                      </w:rPr>
                      <w:t>d</w:t>
                    </w:r>
                    <w:r>
                      <w:rPr>
                        <w:rFonts w:ascii="Trebuchet MS"/>
                        <w:spacing w:val="-1"/>
                        <w:w w:val="108"/>
                        <w:sz w:val="20"/>
                      </w:rPr>
                      <w:t>e</w:t>
                    </w:r>
                    <w:r>
                      <w:rPr>
                        <w:rFonts w:ascii="Trebuchet MS"/>
                        <w:spacing w:val="-4"/>
                        <w:w w:val="105"/>
                        <w:sz w:val="20"/>
                      </w:rPr>
                      <w:t>a</w:t>
                    </w:r>
                    <w:r>
                      <w:rPr>
                        <w:rFonts w:ascii="Trebuchet MS"/>
                        <w:spacing w:val="-9"/>
                        <w:w w:val="92"/>
                        <w:sz w:val="20"/>
                      </w:rPr>
                      <w:t>f</w:t>
                    </w:r>
                    <w:r>
                      <w:rPr>
                        <w:rFonts w:ascii="Trebuchet MS"/>
                        <w:w w:val="57"/>
                        <w:sz w:val="20"/>
                      </w:rPr>
                      <w:t>,</w:t>
                    </w:r>
                    <w:r>
                      <w:rPr>
                        <w:rFonts w:ascii="Trebuchet MS"/>
                        <w:spacing w:val="-14"/>
                        <w:sz w:val="20"/>
                      </w:rPr>
                      <w:t> </w:t>
                    </w:r>
                    <w:r>
                      <w:rPr>
                        <w:rFonts w:ascii="Trebuchet MS"/>
                        <w:spacing w:val="-1"/>
                        <w:w w:val="107"/>
                        <w:sz w:val="20"/>
                      </w:rPr>
                      <w:t>h</w:t>
                    </w:r>
                    <w:r>
                      <w:rPr>
                        <w:rFonts w:ascii="Trebuchet MS"/>
                        <w:spacing w:val="-2"/>
                        <w:w w:val="105"/>
                        <w:sz w:val="20"/>
                      </w:rPr>
                      <w:t>a</w:t>
                    </w:r>
                    <w:r>
                      <w:rPr>
                        <w:rFonts w:ascii="Trebuchet MS"/>
                        <w:spacing w:val="-4"/>
                        <w:w w:val="93"/>
                        <w:sz w:val="20"/>
                      </w:rPr>
                      <w:t>r</w:t>
                    </w:r>
                    <w:r>
                      <w:rPr>
                        <w:rFonts w:ascii="Trebuchet MS"/>
                        <w:w w:val="112"/>
                        <w:sz w:val="20"/>
                      </w:rPr>
                      <w:t>d</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1"/>
                        <w:w w:val="107"/>
                        <w:sz w:val="20"/>
                      </w:rPr>
                      <w:t>h</w:t>
                    </w:r>
                    <w:r>
                      <w:rPr>
                        <w:rFonts w:ascii="Trebuchet MS"/>
                        <w:spacing w:val="-1"/>
                        <w:w w:val="108"/>
                        <w:sz w:val="20"/>
                      </w:rPr>
                      <w:t>e</w:t>
                    </w:r>
                    <w:r>
                      <w:rPr>
                        <w:rFonts w:ascii="Trebuchet MS"/>
                        <w:spacing w:val="-2"/>
                        <w:w w:val="105"/>
                        <w:sz w:val="20"/>
                      </w:rPr>
                      <w:t>a</w:t>
                    </w:r>
                    <w:r>
                      <w:rPr>
                        <w:rFonts w:ascii="Trebuchet MS"/>
                        <w:spacing w:val="-2"/>
                        <w:w w:val="93"/>
                        <w:sz w:val="20"/>
                      </w:rPr>
                      <w:t>r</w:t>
                    </w:r>
                    <w:r>
                      <w:rPr>
                        <w:rFonts w:ascii="Trebuchet MS"/>
                        <w:spacing w:val="-2"/>
                        <w:w w:val="80"/>
                        <w:sz w:val="20"/>
                      </w:rPr>
                      <w:t>i</w:t>
                    </w:r>
                    <w:r>
                      <w:rPr>
                        <w:rFonts w:ascii="Trebuchet MS"/>
                        <w:spacing w:val="-1"/>
                        <w:w w:val="107"/>
                        <w:sz w:val="20"/>
                      </w:rPr>
                      <w:t>n</w:t>
                    </w:r>
                    <w:r>
                      <w:rPr>
                        <w:rFonts w:ascii="Trebuchet MS"/>
                        <w:spacing w:val="-1"/>
                        <w:w w:val="124"/>
                        <w:sz w:val="20"/>
                      </w:rPr>
                      <w:t>g</w:t>
                    </w:r>
                    <w:r>
                      <w:rPr>
                        <w:rFonts w:ascii="Trebuchet MS"/>
                        <w:w w:val="57"/>
                        <w:sz w:val="20"/>
                      </w:rPr>
                      <w:t>,</w:t>
                    </w:r>
                    <w:r>
                      <w:rPr>
                        <w:rFonts w:ascii="Trebuchet MS"/>
                        <w:spacing w:val="-14"/>
                        <w:sz w:val="20"/>
                      </w:rPr>
                      <w:t> </w:t>
                    </w:r>
                    <w:r>
                      <w:rPr>
                        <w:rFonts w:ascii="Trebuchet MS"/>
                        <w:spacing w:val="-2"/>
                        <w:w w:val="111"/>
                        <w:sz w:val="20"/>
                      </w:rPr>
                      <w:t>b</w:t>
                    </w:r>
                    <w:r>
                      <w:rPr>
                        <w:rFonts w:ascii="Trebuchet MS"/>
                        <w:w w:val="96"/>
                        <w:sz w:val="20"/>
                      </w:rPr>
                      <w:t>l</w:t>
                    </w:r>
                    <w:r>
                      <w:rPr>
                        <w:rFonts w:ascii="Trebuchet MS"/>
                        <w:spacing w:val="-2"/>
                        <w:w w:val="80"/>
                        <w:sz w:val="20"/>
                      </w:rPr>
                      <w:t>i</w:t>
                    </w:r>
                    <w:r>
                      <w:rPr>
                        <w:rFonts w:ascii="Trebuchet MS"/>
                        <w:spacing w:val="-1"/>
                        <w:w w:val="107"/>
                        <w:sz w:val="20"/>
                      </w:rPr>
                      <w:t>n</w:t>
                    </w:r>
                    <w:r>
                      <w:rPr>
                        <w:rFonts w:ascii="Trebuchet MS"/>
                        <w:w w:val="112"/>
                        <w:sz w:val="20"/>
                      </w:rPr>
                      <w:t>d </w:t>
                    </w:r>
                    <w:r>
                      <w:rPr>
                        <w:rFonts w:ascii="Trebuchet MS"/>
                        <w:spacing w:val="-1"/>
                        <w:w w:val="111"/>
                        <w:sz w:val="20"/>
                      </w:rPr>
                      <w:t>o</w:t>
                    </w:r>
                    <w:r>
                      <w:rPr>
                        <w:rFonts w:ascii="Trebuchet MS"/>
                        <w:w w:val="93"/>
                        <w:sz w:val="20"/>
                      </w:rPr>
                      <w:t>r</w:t>
                    </w:r>
                    <w:r>
                      <w:rPr>
                        <w:rFonts w:ascii="Trebuchet MS"/>
                        <w:spacing w:val="-14"/>
                        <w:sz w:val="20"/>
                      </w:rPr>
                      <w:t> </w:t>
                    </w:r>
                    <w:r>
                      <w:rPr>
                        <w:rFonts w:ascii="Trebuchet MS"/>
                        <w:spacing w:val="-1"/>
                        <w:w w:val="107"/>
                        <w:sz w:val="20"/>
                      </w:rPr>
                      <w:t>h</w:t>
                    </w:r>
                    <w:r>
                      <w:rPr>
                        <w:rFonts w:ascii="Trebuchet MS"/>
                        <w:w w:val="105"/>
                        <w:sz w:val="20"/>
                      </w:rPr>
                      <w:t>a</w:t>
                    </w:r>
                    <w:r>
                      <w:rPr>
                        <w:rFonts w:ascii="Trebuchet MS"/>
                        <w:w w:val="122"/>
                        <w:sz w:val="20"/>
                      </w:rPr>
                      <w:t>s</w:t>
                    </w:r>
                    <w:r>
                      <w:rPr>
                        <w:rFonts w:ascii="Trebuchet MS"/>
                        <w:spacing w:val="-14"/>
                        <w:sz w:val="20"/>
                      </w:rPr>
                      <w:t> </w:t>
                    </w:r>
                    <w:r>
                      <w:rPr>
                        <w:rFonts w:ascii="Trebuchet MS"/>
                        <w:spacing w:val="-3"/>
                        <w:w w:val="96"/>
                        <w:sz w:val="20"/>
                      </w:rPr>
                      <w:t>l</w:t>
                    </w:r>
                    <w:r>
                      <w:rPr>
                        <w:rFonts w:ascii="Trebuchet MS"/>
                        <w:spacing w:val="-6"/>
                        <w:w w:val="111"/>
                        <w:sz w:val="20"/>
                      </w:rPr>
                      <w:t>o</w:t>
                    </w:r>
                    <w:r>
                      <w:rPr>
                        <w:rFonts w:ascii="Trebuchet MS"/>
                        <w:w w:val="110"/>
                        <w:sz w:val="20"/>
                      </w:rPr>
                      <w:t>w</w:t>
                    </w:r>
                    <w:r>
                      <w:rPr>
                        <w:rFonts w:ascii="Trebuchet MS"/>
                        <w:spacing w:val="-14"/>
                        <w:sz w:val="20"/>
                      </w:rPr>
                      <w:t> </w:t>
                    </w:r>
                    <w:r>
                      <w:rPr>
                        <w:rFonts w:ascii="Trebuchet MS"/>
                        <w:spacing w:val="-2"/>
                        <w:w w:val="109"/>
                        <w:sz w:val="20"/>
                      </w:rPr>
                      <w:t>v</w:t>
                    </w:r>
                    <w:r>
                      <w:rPr>
                        <w:rFonts w:ascii="Trebuchet MS"/>
                        <w:spacing w:val="-1"/>
                        <w:w w:val="80"/>
                        <w:sz w:val="20"/>
                      </w:rPr>
                      <w:t>i</w:t>
                    </w:r>
                    <w:r>
                      <w:rPr>
                        <w:rFonts w:ascii="Trebuchet MS"/>
                        <w:spacing w:val="-2"/>
                        <w:w w:val="122"/>
                        <w:sz w:val="20"/>
                      </w:rPr>
                      <w:t>s</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1"/>
                        <w:w w:val="111"/>
                        <w:sz w:val="20"/>
                      </w:rPr>
                      <w:t>p</w:t>
                    </w:r>
                    <w:r>
                      <w:rPr>
                        <w:rFonts w:ascii="Trebuchet MS"/>
                        <w:spacing w:val="-1"/>
                        <w:w w:val="108"/>
                        <w:sz w:val="20"/>
                      </w:rPr>
                      <w:t>e</w:t>
                    </w:r>
                    <w:r>
                      <w:rPr>
                        <w:rFonts w:ascii="Trebuchet MS"/>
                        <w:spacing w:val="2"/>
                        <w:w w:val="93"/>
                        <w:sz w:val="20"/>
                      </w:rPr>
                      <w:t>r</w:t>
                    </w:r>
                    <w:r>
                      <w:rPr>
                        <w:rFonts w:ascii="Trebuchet MS"/>
                        <w:spacing w:val="-5"/>
                        <w:w w:val="92"/>
                        <w:sz w:val="20"/>
                      </w:rPr>
                      <w:t>f</w:t>
                    </w:r>
                    <w:r>
                      <w:rPr>
                        <w:rFonts w:ascii="Trebuchet MS"/>
                        <w:spacing w:val="-1"/>
                        <w:w w:val="111"/>
                        <w:sz w:val="20"/>
                      </w:rPr>
                      <w:t>o</w:t>
                    </w:r>
                    <w:r>
                      <w:rPr>
                        <w:rFonts w:ascii="Trebuchet MS"/>
                        <w:spacing w:val="-2"/>
                        <w:w w:val="93"/>
                        <w:sz w:val="20"/>
                      </w:rPr>
                      <w:t>r</w:t>
                    </w:r>
                    <w:r>
                      <w:rPr>
                        <w:rFonts w:ascii="Trebuchet MS"/>
                        <w:w w:val="111"/>
                        <w:sz w:val="20"/>
                      </w:rPr>
                      <w:t>m</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4"/>
                        <w:w w:val="93"/>
                        <w:sz w:val="20"/>
                      </w:rPr>
                      <w:t>r</w:t>
                    </w:r>
                    <w:r>
                      <w:rPr>
                        <w:rFonts w:ascii="Trebuchet MS"/>
                        <w:spacing w:val="-2"/>
                        <w:w w:val="111"/>
                        <w:sz w:val="20"/>
                      </w:rPr>
                      <w:t>o</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2"/>
                        <w:w w:val="64"/>
                        <w:sz w:val="20"/>
                      </w:rPr>
                      <w:t>j</w:t>
                    </w:r>
                    <w:r>
                      <w:rPr>
                        <w:rFonts w:ascii="Trebuchet MS"/>
                        <w:spacing w:val="-1"/>
                        <w:w w:val="109"/>
                        <w:sz w:val="20"/>
                      </w:rPr>
                      <w:t>u</w:t>
                    </w:r>
                    <w:r>
                      <w:rPr>
                        <w:rFonts w:ascii="Trebuchet MS"/>
                        <w:spacing w:val="-4"/>
                        <w:w w:val="93"/>
                        <w:sz w:val="20"/>
                      </w:rPr>
                      <w:t>r</w:t>
                    </w:r>
                    <w:r>
                      <w:rPr>
                        <w:rFonts w:ascii="Trebuchet MS"/>
                        <w:spacing w:val="-1"/>
                        <w:w w:val="111"/>
                        <w:sz w:val="20"/>
                      </w:rPr>
                      <w:t>o</w:t>
                    </w:r>
                    <w:r>
                      <w:rPr>
                        <w:rFonts w:ascii="Trebuchet MS"/>
                        <w:spacing w:val="-14"/>
                        <w:w w:val="93"/>
                        <w:sz w:val="20"/>
                      </w:rPr>
                      <w:t>r</w:t>
                    </w:r>
                    <w:r>
                      <w:rPr>
                        <w:rFonts w:ascii="Trebuchet MS"/>
                        <w:w w:val="55"/>
                        <w:sz w:val="20"/>
                      </w:rPr>
                      <w:t>.</w:t>
                    </w:r>
                  </w:p>
                  <w:p>
                    <w:pPr>
                      <w:spacing w:line="247" w:lineRule="auto" w:before="87"/>
                      <w:ind w:left="0" w:right="0" w:firstLine="0"/>
                      <w:jc w:val="left"/>
                      <w:rPr>
                        <w:rFonts w:ascii="Trebuchet MS" w:hAnsi="Trebuchet MS"/>
                        <w:sz w:val="20"/>
                      </w:rPr>
                    </w:pPr>
                    <w:r>
                      <w:rPr>
                        <w:rFonts w:ascii="Trebuchet MS" w:hAnsi="Trebuchet MS"/>
                        <w:spacing w:val="-2"/>
                        <w:w w:val="105"/>
                        <w:sz w:val="20"/>
                      </w:rPr>
                      <w:t>T</w:t>
                    </w:r>
                    <w:r>
                      <w:rPr>
                        <w:rFonts w:ascii="Trebuchet MS" w:hAnsi="Trebuchet MS"/>
                        <w:spacing w:val="-1"/>
                        <w:w w:val="107"/>
                        <w:sz w:val="20"/>
                      </w:rPr>
                      <w:t>h</w:t>
                    </w:r>
                    <w:r>
                      <w:rPr>
                        <w:rFonts w:ascii="Trebuchet MS" w:hAnsi="Trebuchet MS"/>
                        <w:w w:val="108"/>
                        <w:sz w:val="20"/>
                      </w:rPr>
                      <w:t>e</w:t>
                    </w:r>
                    <w:r>
                      <w:rPr>
                        <w:rFonts w:ascii="Trebuchet MS" w:hAnsi="Trebuchet MS"/>
                        <w:spacing w:val="-14"/>
                        <w:sz w:val="20"/>
                      </w:rPr>
                      <w:t> </w:t>
                    </w:r>
                    <w:r>
                      <w:rPr>
                        <w:rFonts w:ascii="Trebuchet MS" w:hAnsi="Trebuchet MS"/>
                        <w:spacing w:val="-1"/>
                        <w:w w:val="107"/>
                        <w:sz w:val="20"/>
                      </w:rPr>
                      <w:t>n</w:t>
                    </w:r>
                    <w:r>
                      <w:rPr>
                        <w:rFonts w:ascii="Trebuchet MS" w:hAnsi="Trebuchet MS"/>
                        <w:spacing w:val="-4"/>
                        <w:w w:val="105"/>
                        <w:sz w:val="20"/>
                      </w:rPr>
                      <w:t>a</w:t>
                    </w:r>
                    <w:r>
                      <w:rPr>
                        <w:rFonts w:ascii="Trebuchet MS" w:hAnsi="Trebuchet MS"/>
                        <w:spacing w:val="-4"/>
                        <w:w w:val="88"/>
                        <w:sz w:val="20"/>
                      </w:rPr>
                      <w:t>t</w:t>
                    </w:r>
                    <w:r>
                      <w:rPr>
                        <w:rFonts w:ascii="Trebuchet MS" w:hAnsi="Trebuchet MS"/>
                        <w:spacing w:val="-1"/>
                        <w:w w:val="109"/>
                        <w:sz w:val="20"/>
                      </w:rPr>
                      <w:t>u</w:t>
                    </w:r>
                    <w:r>
                      <w:rPr>
                        <w:rFonts w:ascii="Trebuchet MS" w:hAnsi="Trebuchet MS"/>
                        <w:spacing w:val="-4"/>
                        <w:w w:val="93"/>
                        <w:sz w:val="20"/>
                      </w:rPr>
                      <w:t>r</w:t>
                    </w:r>
                    <w:r>
                      <w:rPr>
                        <w:rFonts w:ascii="Trebuchet MS" w:hAnsi="Trebuchet MS"/>
                        <w:w w:val="108"/>
                        <w:sz w:val="20"/>
                      </w:rPr>
                      <w:t>e</w:t>
                    </w:r>
                    <w:r>
                      <w:rPr>
                        <w:rFonts w:ascii="Trebuchet MS" w:hAnsi="Trebuchet MS"/>
                        <w:spacing w:val="-14"/>
                        <w:sz w:val="20"/>
                      </w:rPr>
                      <w:t> </w:t>
                    </w:r>
                    <w:r>
                      <w:rPr>
                        <w:rFonts w:ascii="Trebuchet MS" w:hAnsi="Trebuchet MS"/>
                        <w:spacing w:val="-4"/>
                        <w:w w:val="111"/>
                        <w:sz w:val="20"/>
                      </w:rPr>
                      <w:t>o</w:t>
                    </w:r>
                    <w:r>
                      <w:rPr>
                        <w:rFonts w:ascii="Trebuchet MS" w:hAnsi="Trebuchet MS"/>
                        <w:w w:val="92"/>
                        <w:sz w:val="20"/>
                      </w:rPr>
                      <w:t>f</w:t>
                    </w:r>
                    <w:r>
                      <w:rPr>
                        <w:rFonts w:ascii="Trebuchet MS" w:hAnsi="Trebuchet MS"/>
                        <w:spacing w:val="-14"/>
                        <w:sz w:val="20"/>
                      </w:rPr>
                      <w:t> </w:t>
                    </w:r>
                    <w:r>
                      <w:rPr>
                        <w:rFonts w:ascii="Trebuchet MS" w:hAnsi="Trebuchet MS"/>
                        <w:spacing w:val="-2"/>
                        <w:w w:val="88"/>
                        <w:sz w:val="20"/>
                      </w:rPr>
                      <w:t>t</w:t>
                    </w:r>
                    <w:r>
                      <w:rPr>
                        <w:rFonts w:ascii="Trebuchet MS" w:hAnsi="Trebuchet MS"/>
                        <w:spacing w:val="-1"/>
                        <w:w w:val="107"/>
                        <w:sz w:val="20"/>
                      </w:rPr>
                      <w:t>h</w:t>
                    </w:r>
                    <w:r>
                      <w:rPr>
                        <w:rFonts w:ascii="Trebuchet MS" w:hAnsi="Trebuchet MS"/>
                        <w:w w:val="108"/>
                        <w:sz w:val="20"/>
                      </w:rPr>
                      <w:t>e</w:t>
                    </w:r>
                    <w:r>
                      <w:rPr>
                        <w:rFonts w:ascii="Trebuchet MS" w:hAnsi="Trebuchet MS"/>
                        <w:spacing w:val="-14"/>
                        <w:sz w:val="20"/>
                      </w:rPr>
                      <w:t> </w:t>
                    </w:r>
                    <w:r>
                      <w:rPr>
                        <w:rFonts w:ascii="Trebuchet MS" w:hAnsi="Trebuchet MS"/>
                        <w:spacing w:val="-2"/>
                        <w:w w:val="122"/>
                        <w:sz w:val="20"/>
                      </w:rPr>
                      <w:t>s</w:t>
                    </w:r>
                    <w:r>
                      <w:rPr>
                        <w:rFonts w:ascii="Trebuchet MS" w:hAnsi="Trebuchet MS"/>
                        <w:spacing w:val="-1"/>
                        <w:w w:val="109"/>
                        <w:sz w:val="20"/>
                      </w:rPr>
                      <w:t>u</w:t>
                    </w:r>
                    <w:r>
                      <w:rPr>
                        <w:rFonts w:ascii="Trebuchet MS" w:hAnsi="Trebuchet MS"/>
                        <w:spacing w:val="-1"/>
                        <w:w w:val="111"/>
                        <w:sz w:val="20"/>
                      </w:rPr>
                      <w:t>pp</w:t>
                    </w:r>
                    <w:r>
                      <w:rPr>
                        <w:rFonts w:ascii="Trebuchet MS" w:hAnsi="Trebuchet MS"/>
                        <w:spacing w:val="-1"/>
                        <w:w w:val="111"/>
                        <w:sz w:val="20"/>
                      </w:rPr>
                      <w:t>o</w:t>
                    </w:r>
                    <w:r>
                      <w:rPr>
                        <w:rFonts w:ascii="Trebuchet MS" w:hAnsi="Trebuchet MS"/>
                        <w:spacing w:val="2"/>
                        <w:w w:val="93"/>
                        <w:sz w:val="20"/>
                      </w:rPr>
                      <w:t>r</w:t>
                    </w:r>
                    <w:r>
                      <w:rPr>
                        <w:rFonts w:ascii="Trebuchet MS" w:hAnsi="Trebuchet MS"/>
                        <w:w w:val="88"/>
                        <w:sz w:val="20"/>
                      </w:rPr>
                      <w:t>t</w:t>
                    </w:r>
                    <w:r>
                      <w:rPr>
                        <w:rFonts w:ascii="Trebuchet MS" w:hAnsi="Trebuchet MS"/>
                        <w:spacing w:val="-14"/>
                        <w:sz w:val="20"/>
                      </w:rPr>
                      <w:t> </w:t>
                    </w:r>
                    <w:r>
                      <w:rPr>
                        <w:rFonts w:ascii="Trebuchet MS" w:hAnsi="Trebuchet MS"/>
                        <w:spacing w:val="-1"/>
                        <w:w w:val="111"/>
                        <w:sz w:val="20"/>
                      </w:rPr>
                      <w:t>p</w:t>
                    </w:r>
                    <w:r>
                      <w:rPr>
                        <w:rFonts w:ascii="Trebuchet MS" w:hAnsi="Trebuchet MS"/>
                        <w:spacing w:val="-1"/>
                        <w:w w:val="108"/>
                        <w:sz w:val="20"/>
                      </w:rPr>
                      <w:t>e</w:t>
                    </w:r>
                    <w:r>
                      <w:rPr>
                        <w:rFonts w:ascii="Trebuchet MS" w:hAnsi="Trebuchet MS"/>
                        <w:spacing w:val="-1"/>
                        <w:w w:val="93"/>
                        <w:sz w:val="20"/>
                      </w:rPr>
                      <w:t>r</w:t>
                    </w:r>
                    <w:r>
                      <w:rPr>
                        <w:rFonts w:ascii="Trebuchet MS" w:hAnsi="Trebuchet MS"/>
                        <w:spacing w:val="-1"/>
                        <w:w w:val="122"/>
                        <w:sz w:val="20"/>
                      </w:rPr>
                      <w:t>s</w:t>
                    </w:r>
                    <w:r>
                      <w:rPr>
                        <w:rFonts w:ascii="Trebuchet MS" w:hAnsi="Trebuchet MS"/>
                        <w:spacing w:val="-1"/>
                        <w:w w:val="111"/>
                        <w:sz w:val="20"/>
                      </w:rPr>
                      <w:t>o</w:t>
                    </w:r>
                    <w:r>
                      <w:rPr>
                        <w:rFonts w:ascii="Trebuchet MS" w:hAnsi="Trebuchet MS"/>
                        <w:spacing w:val="-6"/>
                        <w:w w:val="107"/>
                        <w:sz w:val="20"/>
                      </w:rPr>
                      <w:t>n</w:t>
                    </w:r>
                    <w:r>
                      <w:rPr>
                        <w:rFonts w:ascii="Trebuchet MS" w:hAnsi="Trebuchet MS"/>
                        <w:spacing w:val="-6"/>
                        <w:w w:val="54"/>
                        <w:sz w:val="20"/>
                      </w:rPr>
                      <w:t>’</w:t>
                    </w:r>
                    <w:r>
                      <w:rPr>
                        <w:rFonts w:ascii="Trebuchet MS" w:hAnsi="Trebuchet MS"/>
                        <w:w w:val="122"/>
                        <w:sz w:val="20"/>
                      </w:rPr>
                      <w:t>s</w:t>
                    </w:r>
                    <w:r>
                      <w:rPr>
                        <w:rFonts w:ascii="Trebuchet MS" w:hAnsi="Trebuchet MS"/>
                        <w:spacing w:val="-14"/>
                        <w:sz w:val="20"/>
                      </w:rPr>
                      <w:t> </w:t>
                    </w:r>
                    <w:r>
                      <w:rPr>
                        <w:rFonts w:ascii="Trebuchet MS" w:hAnsi="Trebuchet MS"/>
                        <w:spacing w:val="-4"/>
                        <w:w w:val="93"/>
                        <w:sz w:val="20"/>
                      </w:rPr>
                      <w:t>r</w:t>
                    </w:r>
                    <w:r>
                      <w:rPr>
                        <w:rFonts w:ascii="Trebuchet MS" w:hAnsi="Trebuchet MS"/>
                        <w:spacing w:val="-2"/>
                        <w:w w:val="111"/>
                        <w:sz w:val="20"/>
                      </w:rPr>
                      <w:t>o</w:t>
                    </w:r>
                    <w:r>
                      <w:rPr>
                        <w:rFonts w:ascii="Trebuchet MS" w:hAnsi="Trebuchet MS"/>
                        <w:spacing w:val="-3"/>
                        <w:w w:val="96"/>
                        <w:sz w:val="20"/>
                      </w:rPr>
                      <w:t>l</w:t>
                    </w:r>
                    <w:r>
                      <w:rPr>
                        <w:rFonts w:ascii="Trebuchet MS" w:hAnsi="Trebuchet MS"/>
                        <w:w w:val="108"/>
                        <w:sz w:val="20"/>
                      </w:rPr>
                      <w:t>e</w:t>
                    </w:r>
                    <w:r>
                      <w:rPr>
                        <w:rFonts w:ascii="Trebuchet MS" w:hAnsi="Trebuchet MS"/>
                        <w:spacing w:val="-14"/>
                        <w:sz w:val="20"/>
                      </w:rPr>
                      <w:t> </w:t>
                    </w:r>
                    <w:r>
                      <w:rPr>
                        <w:rFonts w:ascii="Trebuchet MS" w:hAnsi="Trebuchet MS"/>
                        <w:spacing w:val="-2"/>
                        <w:w w:val="105"/>
                        <w:sz w:val="20"/>
                      </w:rPr>
                      <w:t>a</w:t>
                    </w:r>
                    <w:r>
                      <w:rPr>
                        <w:rFonts w:ascii="Trebuchet MS" w:hAnsi="Trebuchet MS"/>
                        <w:spacing w:val="-1"/>
                        <w:w w:val="107"/>
                        <w:sz w:val="20"/>
                      </w:rPr>
                      <w:t>n</w:t>
                    </w:r>
                    <w:r>
                      <w:rPr>
                        <w:rFonts w:ascii="Trebuchet MS" w:hAnsi="Trebuchet MS"/>
                        <w:w w:val="112"/>
                        <w:sz w:val="20"/>
                      </w:rPr>
                      <w:t>d</w:t>
                    </w:r>
                    <w:r>
                      <w:rPr>
                        <w:rFonts w:ascii="Trebuchet MS" w:hAnsi="Trebuchet MS"/>
                        <w:spacing w:val="-14"/>
                        <w:sz w:val="20"/>
                      </w:rPr>
                      <w:t> </w:t>
                    </w:r>
                    <w:r>
                      <w:rPr>
                        <w:rFonts w:ascii="Trebuchet MS" w:hAnsi="Trebuchet MS"/>
                        <w:spacing w:val="-2"/>
                        <w:w w:val="110"/>
                        <w:sz w:val="20"/>
                      </w:rPr>
                      <w:t>w</w:t>
                    </w:r>
                    <w:r>
                      <w:rPr>
                        <w:rFonts w:ascii="Trebuchet MS" w:hAnsi="Trebuchet MS"/>
                        <w:spacing w:val="-1"/>
                        <w:w w:val="107"/>
                        <w:sz w:val="20"/>
                      </w:rPr>
                      <w:t>h</w:t>
                    </w:r>
                    <w:r>
                      <w:rPr>
                        <w:rFonts w:ascii="Trebuchet MS" w:hAnsi="Trebuchet MS"/>
                        <w:w w:val="111"/>
                        <w:sz w:val="20"/>
                      </w:rPr>
                      <w:t>o</w:t>
                    </w:r>
                    <w:r>
                      <w:rPr>
                        <w:rFonts w:ascii="Trebuchet MS" w:hAnsi="Trebuchet MS"/>
                        <w:spacing w:val="-14"/>
                        <w:sz w:val="20"/>
                      </w:rPr>
                      <w:t> </w:t>
                    </w:r>
                    <w:r>
                      <w:rPr>
                        <w:rFonts w:ascii="Trebuchet MS" w:hAnsi="Trebuchet MS"/>
                        <w:spacing w:val="-2"/>
                        <w:w w:val="122"/>
                        <w:sz w:val="20"/>
                      </w:rPr>
                      <w:t>s</w:t>
                    </w:r>
                    <w:r>
                      <w:rPr>
                        <w:rFonts w:ascii="Trebuchet MS" w:hAnsi="Trebuchet MS"/>
                        <w:spacing w:val="-1"/>
                        <w:w w:val="107"/>
                        <w:sz w:val="20"/>
                      </w:rPr>
                      <w:t>h</w:t>
                    </w:r>
                    <w:r>
                      <w:rPr>
                        <w:rFonts w:ascii="Trebuchet MS" w:hAnsi="Trebuchet MS"/>
                        <w:spacing w:val="-1"/>
                        <w:w w:val="111"/>
                        <w:sz w:val="20"/>
                      </w:rPr>
                      <w:t>o</w:t>
                    </w:r>
                    <w:r>
                      <w:rPr>
                        <w:rFonts w:ascii="Trebuchet MS" w:hAnsi="Trebuchet MS"/>
                        <w:spacing w:val="-2"/>
                        <w:w w:val="109"/>
                        <w:sz w:val="20"/>
                      </w:rPr>
                      <w:t>u</w:t>
                    </w:r>
                    <w:r>
                      <w:rPr>
                        <w:rFonts w:ascii="Trebuchet MS" w:hAnsi="Trebuchet MS"/>
                        <w:spacing w:val="-3"/>
                        <w:w w:val="96"/>
                        <w:sz w:val="20"/>
                      </w:rPr>
                      <w:t>l</w:t>
                    </w:r>
                    <w:r>
                      <w:rPr>
                        <w:rFonts w:ascii="Trebuchet MS" w:hAnsi="Trebuchet MS"/>
                        <w:w w:val="112"/>
                        <w:sz w:val="20"/>
                      </w:rPr>
                      <w:t>d</w:t>
                    </w:r>
                    <w:r>
                      <w:rPr>
                        <w:rFonts w:ascii="Trebuchet MS" w:hAnsi="Trebuchet MS"/>
                        <w:spacing w:val="-14"/>
                        <w:sz w:val="20"/>
                      </w:rPr>
                      <w:t> </w:t>
                    </w:r>
                    <w:r>
                      <w:rPr>
                        <w:rFonts w:ascii="Trebuchet MS" w:hAnsi="Trebuchet MS"/>
                        <w:spacing w:val="-1"/>
                        <w:w w:val="111"/>
                        <w:sz w:val="20"/>
                      </w:rPr>
                      <w:t>p</w:t>
                    </w:r>
                    <w:r>
                      <w:rPr>
                        <w:rFonts w:ascii="Trebuchet MS" w:hAnsi="Trebuchet MS"/>
                        <w:spacing w:val="-1"/>
                        <w:w w:val="108"/>
                        <w:sz w:val="20"/>
                      </w:rPr>
                      <w:t>e</w:t>
                    </w:r>
                    <w:r>
                      <w:rPr>
                        <w:rFonts w:ascii="Trebuchet MS" w:hAnsi="Trebuchet MS"/>
                        <w:spacing w:val="2"/>
                        <w:w w:val="93"/>
                        <w:sz w:val="20"/>
                      </w:rPr>
                      <w:t>r</w:t>
                    </w:r>
                    <w:r>
                      <w:rPr>
                        <w:rFonts w:ascii="Trebuchet MS" w:hAnsi="Trebuchet MS"/>
                        <w:spacing w:val="-5"/>
                        <w:w w:val="92"/>
                        <w:sz w:val="20"/>
                      </w:rPr>
                      <w:t>f</w:t>
                    </w:r>
                    <w:r>
                      <w:rPr>
                        <w:rFonts w:ascii="Trebuchet MS" w:hAnsi="Trebuchet MS"/>
                        <w:spacing w:val="-1"/>
                        <w:w w:val="111"/>
                        <w:sz w:val="20"/>
                      </w:rPr>
                      <w:t>o</w:t>
                    </w:r>
                    <w:r>
                      <w:rPr>
                        <w:rFonts w:ascii="Trebuchet MS" w:hAnsi="Trebuchet MS"/>
                        <w:spacing w:val="-2"/>
                        <w:w w:val="93"/>
                        <w:sz w:val="20"/>
                      </w:rPr>
                      <w:t>r</w:t>
                    </w:r>
                    <w:r>
                      <w:rPr>
                        <w:rFonts w:ascii="Trebuchet MS" w:hAnsi="Trebuchet MS"/>
                        <w:w w:val="111"/>
                        <w:sz w:val="20"/>
                      </w:rPr>
                      <w:t>m</w:t>
                    </w:r>
                    <w:r>
                      <w:rPr>
                        <w:rFonts w:ascii="Trebuchet MS" w:hAnsi="Trebuchet MS"/>
                        <w:spacing w:val="-14"/>
                        <w:sz w:val="20"/>
                      </w:rPr>
                      <w:t> </w:t>
                    </w:r>
                    <w:r>
                      <w:rPr>
                        <w:rFonts w:ascii="Trebuchet MS" w:hAnsi="Trebuchet MS"/>
                        <w:spacing w:val="-2"/>
                        <w:w w:val="88"/>
                        <w:sz w:val="20"/>
                      </w:rPr>
                      <w:t>t</w:t>
                    </w:r>
                    <w:r>
                      <w:rPr>
                        <w:rFonts w:ascii="Trebuchet MS" w:hAnsi="Trebuchet MS"/>
                        <w:spacing w:val="-1"/>
                        <w:w w:val="107"/>
                        <w:sz w:val="20"/>
                      </w:rPr>
                      <w:t>h</w:t>
                    </w:r>
                    <w:r>
                      <w:rPr>
                        <w:rFonts w:ascii="Trebuchet MS" w:hAnsi="Trebuchet MS"/>
                        <w:w w:val="108"/>
                        <w:sz w:val="20"/>
                      </w:rPr>
                      <w:t>e</w:t>
                    </w:r>
                    <w:r>
                      <w:rPr>
                        <w:rFonts w:ascii="Trebuchet MS" w:hAnsi="Trebuchet MS"/>
                        <w:spacing w:val="-14"/>
                        <w:sz w:val="20"/>
                      </w:rPr>
                      <w:t> </w:t>
                    </w:r>
                    <w:r>
                      <w:rPr>
                        <w:rFonts w:ascii="Trebuchet MS" w:hAnsi="Trebuchet MS"/>
                        <w:spacing w:val="-4"/>
                        <w:w w:val="93"/>
                        <w:sz w:val="20"/>
                      </w:rPr>
                      <w:t>r</w:t>
                    </w:r>
                    <w:r>
                      <w:rPr>
                        <w:rFonts w:ascii="Trebuchet MS" w:hAnsi="Trebuchet MS"/>
                        <w:spacing w:val="-2"/>
                        <w:w w:val="111"/>
                        <w:sz w:val="20"/>
                      </w:rPr>
                      <w:t>o</w:t>
                    </w:r>
                    <w:r>
                      <w:rPr>
                        <w:rFonts w:ascii="Trebuchet MS" w:hAnsi="Trebuchet MS"/>
                        <w:spacing w:val="-3"/>
                        <w:w w:val="96"/>
                        <w:sz w:val="20"/>
                      </w:rPr>
                      <w:t>l</w:t>
                    </w:r>
                    <w:r>
                      <w:rPr>
                        <w:rFonts w:ascii="Trebuchet MS" w:hAnsi="Trebuchet MS"/>
                        <w:w w:val="108"/>
                        <w:sz w:val="20"/>
                      </w:rPr>
                      <w:t>e</w:t>
                    </w:r>
                    <w:r>
                      <w:rPr>
                        <w:rFonts w:ascii="Trebuchet MS" w:hAnsi="Trebuchet MS"/>
                        <w:spacing w:val="-14"/>
                        <w:sz w:val="20"/>
                      </w:rPr>
                      <w:t> </w:t>
                    </w:r>
                    <w:r>
                      <w:rPr>
                        <w:rFonts w:ascii="Trebuchet MS" w:hAnsi="Trebuchet MS"/>
                        <w:spacing w:val="-2"/>
                        <w:w w:val="122"/>
                        <w:sz w:val="20"/>
                      </w:rPr>
                      <w:t>s</w:t>
                    </w:r>
                    <w:r>
                      <w:rPr>
                        <w:rFonts w:ascii="Trebuchet MS" w:hAnsi="Trebuchet MS"/>
                        <w:spacing w:val="-1"/>
                        <w:w w:val="107"/>
                        <w:sz w:val="20"/>
                      </w:rPr>
                      <w:t>h</w:t>
                    </w:r>
                    <w:r>
                      <w:rPr>
                        <w:rFonts w:ascii="Trebuchet MS" w:hAnsi="Trebuchet MS"/>
                        <w:spacing w:val="-1"/>
                        <w:w w:val="111"/>
                        <w:sz w:val="20"/>
                      </w:rPr>
                      <w:t>o</w:t>
                    </w:r>
                    <w:r>
                      <w:rPr>
                        <w:rFonts w:ascii="Trebuchet MS" w:hAnsi="Trebuchet MS"/>
                        <w:spacing w:val="-2"/>
                        <w:w w:val="109"/>
                        <w:sz w:val="20"/>
                      </w:rPr>
                      <w:t>u</w:t>
                    </w:r>
                    <w:r>
                      <w:rPr>
                        <w:rFonts w:ascii="Trebuchet MS" w:hAnsi="Trebuchet MS"/>
                        <w:spacing w:val="-3"/>
                        <w:w w:val="96"/>
                        <w:sz w:val="20"/>
                      </w:rPr>
                      <w:t>l</w:t>
                    </w:r>
                    <w:r>
                      <w:rPr>
                        <w:rFonts w:ascii="Trebuchet MS" w:hAnsi="Trebuchet MS"/>
                        <w:w w:val="112"/>
                        <w:sz w:val="20"/>
                      </w:rPr>
                      <w:t>d</w:t>
                    </w:r>
                    <w:r>
                      <w:rPr>
                        <w:rFonts w:ascii="Trebuchet MS" w:hAnsi="Trebuchet MS"/>
                        <w:spacing w:val="-14"/>
                        <w:sz w:val="20"/>
                      </w:rPr>
                      <w:t> </w:t>
                    </w:r>
                    <w:r>
                      <w:rPr>
                        <w:rFonts w:ascii="Trebuchet MS" w:hAnsi="Trebuchet MS"/>
                        <w:spacing w:val="-1"/>
                        <w:w w:val="111"/>
                        <w:sz w:val="20"/>
                      </w:rPr>
                      <w:t>b</w:t>
                    </w:r>
                    <w:r>
                      <w:rPr>
                        <w:rFonts w:ascii="Trebuchet MS" w:hAnsi="Trebuchet MS"/>
                        <w:w w:val="108"/>
                        <w:sz w:val="20"/>
                      </w:rPr>
                      <w:t>e </w:t>
                    </w:r>
                    <w:r>
                      <w:rPr>
                        <w:rFonts w:ascii="Trebuchet MS" w:hAnsi="Trebuchet MS"/>
                        <w:spacing w:val="-2"/>
                        <w:w w:val="112"/>
                        <w:sz w:val="20"/>
                      </w:rPr>
                      <w:t>d</w:t>
                    </w:r>
                    <w:r>
                      <w:rPr>
                        <w:rFonts w:ascii="Trebuchet MS" w:hAnsi="Trebuchet MS"/>
                        <w:spacing w:val="-3"/>
                        <w:w w:val="108"/>
                        <w:sz w:val="20"/>
                      </w:rPr>
                      <w:t>e</w:t>
                    </w:r>
                    <w:r>
                      <w:rPr>
                        <w:rFonts w:ascii="Trebuchet MS" w:hAnsi="Trebuchet MS"/>
                        <w:spacing w:val="-4"/>
                        <w:w w:val="88"/>
                        <w:sz w:val="20"/>
                      </w:rPr>
                      <w:t>t</w:t>
                    </w:r>
                    <w:r>
                      <w:rPr>
                        <w:rFonts w:ascii="Trebuchet MS" w:hAnsi="Trebuchet MS"/>
                        <w:spacing w:val="-1"/>
                        <w:w w:val="108"/>
                        <w:sz w:val="20"/>
                      </w:rPr>
                      <w:t>e</w:t>
                    </w:r>
                    <w:r>
                      <w:rPr>
                        <w:rFonts w:ascii="Trebuchet MS" w:hAnsi="Trebuchet MS"/>
                        <w:spacing w:val="-2"/>
                        <w:w w:val="93"/>
                        <w:sz w:val="20"/>
                      </w:rPr>
                      <w:t>r</w:t>
                    </w:r>
                    <w:r>
                      <w:rPr>
                        <w:rFonts w:ascii="Trebuchet MS" w:hAnsi="Trebuchet MS"/>
                        <w:spacing w:val="-2"/>
                        <w:w w:val="111"/>
                        <w:sz w:val="20"/>
                      </w:rPr>
                      <w:t>m</w:t>
                    </w:r>
                    <w:r>
                      <w:rPr>
                        <w:rFonts w:ascii="Trebuchet MS" w:hAnsi="Trebuchet MS"/>
                        <w:spacing w:val="-2"/>
                        <w:w w:val="80"/>
                        <w:sz w:val="20"/>
                      </w:rPr>
                      <w:t>i</w:t>
                    </w:r>
                    <w:r>
                      <w:rPr>
                        <w:rFonts w:ascii="Trebuchet MS" w:hAnsi="Trebuchet MS"/>
                        <w:spacing w:val="-1"/>
                        <w:w w:val="107"/>
                        <w:sz w:val="20"/>
                      </w:rPr>
                      <w:t>n</w:t>
                    </w:r>
                    <w:r>
                      <w:rPr>
                        <w:rFonts w:ascii="Trebuchet MS" w:hAnsi="Trebuchet MS"/>
                        <w:w w:val="108"/>
                        <w:sz w:val="20"/>
                      </w:rPr>
                      <w:t>e</w:t>
                    </w:r>
                    <w:r>
                      <w:rPr>
                        <w:rFonts w:ascii="Trebuchet MS" w:hAnsi="Trebuchet MS"/>
                        <w:w w:val="112"/>
                        <w:sz w:val="20"/>
                      </w:rPr>
                      <w:t>d</w:t>
                    </w:r>
                    <w:r>
                      <w:rPr>
                        <w:rFonts w:ascii="Trebuchet MS" w:hAnsi="Trebuchet MS"/>
                        <w:spacing w:val="-14"/>
                        <w:sz w:val="20"/>
                      </w:rPr>
                      <w:t> </w:t>
                    </w:r>
                    <w:r>
                      <w:rPr>
                        <w:rFonts w:ascii="Trebuchet MS" w:hAnsi="Trebuchet MS"/>
                        <w:spacing w:val="-6"/>
                        <w:w w:val="111"/>
                        <w:sz w:val="20"/>
                      </w:rPr>
                      <w:t>b</w:t>
                    </w:r>
                    <w:r>
                      <w:rPr>
                        <w:rFonts w:ascii="Trebuchet MS" w:hAnsi="Trebuchet MS"/>
                        <w:w w:val="110"/>
                        <w:sz w:val="20"/>
                      </w:rPr>
                      <w:t>y</w:t>
                    </w:r>
                    <w:r>
                      <w:rPr>
                        <w:rFonts w:ascii="Trebuchet MS" w:hAnsi="Trebuchet MS"/>
                        <w:spacing w:val="-14"/>
                        <w:sz w:val="20"/>
                      </w:rPr>
                      <w:t> </w:t>
                    </w:r>
                    <w:r>
                      <w:rPr>
                        <w:rFonts w:ascii="Trebuchet MS" w:hAnsi="Trebuchet MS"/>
                        <w:spacing w:val="-2"/>
                        <w:w w:val="88"/>
                        <w:sz w:val="20"/>
                      </w:rPr>
                      <w:t>t</w:t>
                    </w:r>
                    <w:r>
                      <w:rPr>
                        <w:rFonts w:ascii="Trebuchet MS" w:hAnsi="Trebuchet MS"/>
                        <w:spacing w:val="-1"/>
                        <w:w w:val="107"/>
                        <w:sz w:val="20"/>
                      </w:rPr>
                      <w:t>h</w:t>
                    </w:r>
                    <w:r>
                      <w:rPr>
                        <w:rFonts w:ascii="Trebuchet MS" w:hAnsi="Trebuchet MS"/>
                        <w:w w:val="108"/>
                        <w:sz w:val="20"/>
                      </w:rPr>
                      <w:t>e</w:t>
                    </w:r>
                    <w:r>
                      <w:rPr>
                        <w:rFonts w:ascii="Trebuchet MS" w:hAnsi="Trebuchet MS"/>
                        <w:spacing w:val="-14"/>
                        <w:sz w:val="20"/>
                      </w:rPr>
                      <w:t> </w:t>
                    </w:r>
                    <w:r>
                      <w:rPr>
                        <w:rFonts w:ascii="Trebuchet MS" w:hAnsi="Trebuchet MS"/>
                        <w:spacing w:val="-2"/>
                        <w:w w:val="64"/>
                        <w:sz w:val="20"/>
                      </w:rPr>
                      <w:t>j</w:t>
                    </w:r>
                    <w:r>
                      <w:rPr>
                        <w:rFonts w:ascii="Trebuchet MS" w:hAnsi="Trebuchet MS"/>
                        <w:spacing w:val="-2"/>
                        <w:w w:val="109"/>
                        <w:sz w:val="20"/>
                      </w:rPr>
                      <w:t>u</w:t>
                    </w:r>
                    <w:r>
                      <w:rPr>
                        <w:rFonts w:ascii="Trebuchet MS" w:hAnsi="Trebuchet MS"/>
                        <w:spacing w:val="-2"/>
                        <w:w w:val="112"/>
                        <w:sz w:val="20"/>
                      </w:rPr>
                      <w:t>d</w:t>
                    </w:r>
                    <w:r>
                      <w:rPr>
                        <w:rFonts w:ascii="Trebuchet MS" w:hAnsi="Trebuchet MS"/>
                        <w:spacing w:val="-1"/>
                        <w:w w:val="124"/>
                        <w:sz w:val="20"/>
                      </w:rPr>
                      <w:t>g</w:t>
                    </w:r>
                    <w:r>
                      <w:rPr>
                        <w:rFonts w:ascii="Trebuchet MS" w:hAnsi="Trebuchet MS"/>
                        <w:spacing w:val="-3"/>
                        <w:w w:val="108"/>
                        <w:sz w:val="20"/>
                      </w:rPr>
                      <w:t>e</w:t>
                    </w:r>
                    <w:r>
                      <w:rPr>
                        <w:rFonts w:ascii="Trebuchet MS" w:hAnsi="Trebuchet MS"/>
                        <w:w w:val="55"/>
                        <w:sz w:val="20"/>
                      </w:rPr>
                      <w:t>.</w:t>
                    </w:r>
                  </w:p>
                  <w:p>
                    <w:pPr>
                      <w:spacing w:line="247" w:lineRule="auto" w:before="87"/>
                      <w:ind w:left="0" w:right="158" w:firstLine="0"/>
                      <w:jc w:val="both"/>
                      <w:rPr>
                        <w:rFonts w:ascii="Trebuchet MS"/>
                        <w:sz w:val="20"/>
                      </w:rPr>
                    </w:pPr>
                    <w:r>
                      <w:rPr>
                        <w:rFonts w:ascii="Trebuchet MS"/>
                        <w:spacing w:val="-2"/>
                        <w:w w:val="105"/>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1"/>
                        <w:w w:val="109"/>
                        <w:sz w:val="20"/>
                      </w:rPr>
                      <w:t>u</w:t>
                    </w:r>
                    <w:r>
                      <w:rPr>
                        <w:rFonts w:ascii="Trebuchet MS"/>
                        <w:spacing w:val="2"/>
                        <w:w w:val="93"/>
                        <w:sz w:val="20"/>
                      </w:rPr>
                      <w:t>r</w:t>
                    </w:r>
                    <w:r>
                      <w:rPr>
                        <w:rFonts w:ascii="Trebuchet MS"/>
                        <w:spacing w:val="2"/>
                        <w:w w:val="88"/>
                        <w:sz w:val="20"/>
                      </w:rPr>
                      <w:t>t</w:t>
                    </w:r>
                    <w:r>
                      <w:rPr>
                        <w:rFonts w:ascii="Trebuchet MS"/>
                        <w:w w:val="122"/>
                        <w:sz w:val="20"/>
                      </w:rPr>
                      <w:t>s</w:t>
                    </w:r>
                    <w:r>
                      <w:rPr>
                        <w:rFonts w:ascii="Trebuchet MS"/>
                        <w:spacing w:val="-14"/>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2"/>
                        <w:w w:val="112"/>
                        <w:sz w:val="20"/>
                      </w:rPr>
                      <w:t>d</w:t>
                    </w:r>
                    <w:r>
                      <w:rPr>
                        <w:rFonts w:ascii="Trebuchet MS"/>
                        <w:spacing w:val="-5"/>
                        <w:w w:val="108"/>
                        <w:sz w:val="20"/>
                      </w:rPr>
                      <w:t>e</w:t>
                    </w:r>
                    <w:r>
                      <w:rPr>
                        <w:rFonts w:ascii="Trebuchet MS"/>
                        <w:spacing w:val="-6"/>
                        <w:w w:val="109"/>
                        <w:sz w:val="20"/>
                      </w:rPr>
                      <w:t>v</w:t>
                    </w:r>
                    <w:r>
                      <w:rPr>
                        <w:rFonts w:ascii="Trebuchet MS"/>
                        <w:spacing w:val="-1"/>
                        <w:w w:val="108"/>
                        <w:sz w:val="20"/>
                      </w:rPr>
                      <w:t>e</w:t>
                    </w:r>
                    <w:r>
                      <w:rPr>
                        <w:rFonts w:ascii="Trebuchet MS"/>
                        <w:spacing w:val="-3"/>
                        <w:w w:val="96"/>
                        <w:sz w:val="20"/>
                      </w:rPr>
                      <w:t>l</w:t>
                    </w:r>
                    <w:r>
                      <w:rPr>
                        <w:rFonts w:ascii="Trebuchet MS"/>
                        <w:spacing w:val="-1"/>
                        <w:w w:val="111"/>
                        <w:sz w:val="20"/>
                      </w:rPr>
                      <w:t>o</w:t>
                    </w:r>
                    <w:r>
                      <w:rPr>
                        <w:rFonts w:ascii="Trebuchet MS"/>
                        <w:w w:val="111"/>
                        <w:sz w:val="20"/>
                      </w:rPr>
                      <w:t>p</w:t>
                    </w:r>
                    <w:r>
                      <w:rPr>
                        <w:rFonts w:ascii="Trebuchet MS"/>
                        <w:spacing w:val="-14"/>
                        <w:sz w:val="20"/>
                      </w:rPr>
                      <w:t> </w:t>
                    </w:r>
                    <w:r>
                      <w:rPr>
                        <w:rFonts w:ascii="Trebuchet MS"/>
                        <w:spacing w:val="-1"/>
                        <w:w w:val="122"/>
                        <w:sz w:val="20"/>
                      </w:rPr>
                      <w:t>s</w:t>
                    </w:r>
                    <w:r>
                      <w:rPr>
                        <w:rFonts w:ascii="Trebuchet MS"/>
                        <w:w w:val="88"/>
                        <w:sz w:val="20"/>
                      </w:rPr>
                      <w:t>t</w:t>
                    </w:r>
                    <w:r>
                      <w:rPr>
                        <w:rFonts w:ascii="Trebuchet MS"/>
                        <w:spacing w:val="-2"/>
                        <w:w w:val="105"/>
                        <w:sz w:val="20"/>
                      </w:rPr>
                      <w:t>a</w:t>
                    </w:r>
                    <w:r>
                      <w:rPr>
                        <w:rFonts w:ascii="Trebuchet MS"/>
                        <w:spacing w:val="-1"/>
                        <w:w w:val="107"/>
                        <w:sz w:val="20"/>
                      </w:rPr>
                      <w:t>n</w:t>
                    </w:r>
                    <w:r>
                      <w:rPr>
                        <w:rFonts w:ascii="Trebuchet MS"/>
                        <w:spacing w:val="-2"/>
                        <w:w w:val="112"/>
                        <w:sz w:val="20"/>
                      </w:rPr>
                      <w:t>d</w:t>
                    </w:r>
                    <w:r>
                      <w:rPr>
                        <w:rFonts w:ascii="Trebuchet MS"/>
                        <w:spacing w:val="-2"/>
                        <w:w w:val="105"/>
                        <w:sz w:val="20"/>
                      </w:rPr>
                      <w:t>a</w:t>
                    </w:r>
                    <w:r>
                      <w:rPr>
                        <w:rFonts w:ascii="Trebuchet MS"/>
                        <w:spacing w:val="-4"/>
                        <w:w w:val="93"/>
                        <w:sz w:val="20"/>
                      </w:rPr>
                      <w:t>r</w:t>
                    </w:r>
                    <w:r>
                      <w:rPr>
                        <w:rFonts w:ascii="Trebuchet MS"/>
                        <w:spacing w:val="-1"/>
                        <w:w w:val="112"/>
                        <w:sz w:val="20"/>
                      </w:rPr>
                      <w:t>d</w:t>
                    </w:r>
                    <w:r>
                      <w:rPr>
                        <w:rFonts w:ascii="Trebuchet MS"/>
                        <w:w w:val="122"/>
                        <w:sz w:val="20"/>
                      </w:rPr>
                      <w:t>s</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w w:val="105"/>
                        <w:sz w:val="20"/>
                      </w:rPr>
                      <w:t>a</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2"/>
                        <w:w w:val="112"/>
                        <w:sz w:val="20"/>
                      </w:rPr>
                      <w:t>d</w:t>
                    </w:r>
                    <w:r>
                      <w:rPr>
                        <w:rFonts w:ascii="Trebuchet MS"/>
                        <w:w w:val="108"/>
                        <w:sz w:val="20"/>
                      </w:rPr>
                      <w:t>e</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1"/>
                        <w:w w:val="107"/>
                        <w:sz w:val="20"/>
                      </w:rPr>
                      <w:t>n</w:t>
                    </w:r>
                    <w:r>
                      <w:rPr>
                        <w:rFonts w:ascii="Trebuchet MS"/>
                        <w:spacing w:val="-2"/>
                        <w:w w:val="112"/>
                        <w:sz w:val="20"/>
                      </w:rPr>
                      <w:t>d</w:t>
                    </w:r>
                    <w:r>
                      <w:rPr>
                        <w:rFonts w:ascii="Trebuchet MS"/>
                        <w:spacing w:val="-2"/>
                        <w:w w:val="109"/>
                        <w:sz w:val="20"/>
                      </w:rPr>
                      <w:t>u</w:t>
                    </w:r>
                    <w:r>
                      <w:rPr>
                        <w:rFonts w:ascii="Trebuchet MS"/>
                        <w:spacing w:val="-2"/>
                        <w:w w:val="111"/>
                        <w:sz w:val="20"/>
                      </w:rPr>
                      <w:t>c</w:t>
                    </w:r>
                    <w:r>
                      <w:rPr>
                        <w:rFonts w:ascii="Trebuchet MS"/>
                        <w:w w:val="88"/>
                        <w:sz w:val="20"/>
                      </w:rPr>
                      <w:t>t</w:t>
                    </w:r>
                    <w:r>
                      <w:rPr>
                        <w:rFonts w:ascii="Trebuchet MS"/>
                        <w:spacing w:val="-14"/>
                        <w:sz w:val="20"/>
                      </w:rPr>
                      <w:t> </w:t>
                    </w:r>
                    <w:r>
                      <w:rPr>
                        <w:rFonts w:ascii="Trebuchet MS"/>
                        <w:spacing w:val="-5"/>
                        <w:w w:val="92"/>
                        <w:sz w:val="20"/>
                      </w:rPr>
                      <w:t>f</w:t>
                    </w:r>
                    <w:r>
                      <w:rPr>
                        <w:rFonts w:ascii="Trebuchet MS"/>
                        <w:spacing w:val="-1"/>
                        <w:w w:val="111"/>
                        <w:sz w:val="20"/>
                      </w:rPr>
                      <w:t>o</w:t>
                    </w:r>
                    <w:r>
                      <w:rPr>
                        <w:rFonts w:ascii="Trebuchet MS"/>
                        <w:w w:val="93"/>
                        <w:sz w:val="20"/>
                      </w:rPr>
                      <w:t>r</w:t>
                    </w:r>
                    <w:r>
                      <w:rPr>
                        <w:rFonts w:ascii="Trebuchet MS"/>
                        <w:spacing w:val="-14"/>
                        <w:sz w:val="20"/>
                      </w:rPr>
                      <w:t> </w:t>
                    </w:r>
                    <w:r>
                      <w:rPr>
                        <w:rFonts w:ascii="Trebuchet MS"/>
                        <w:spacing w:val="-2"/>
                        <w:w w:val="122"/>
                        <w:sz w:val="20"/>
                      </w:rPr>
                      <w:t>s</w:t>
                    </w:r>
                    <w:r>
                      <w:rPr>
                        <w:rFonts w:ascii="Trebuchet MS"/>
                        <w:spacing w:val="-1"/>
                        <w:w w:val="109"/>
                        <w:sz w:val="20"/>
                      </w:rPr>
                      <w:t>u</w:t>
                    </w:r>
                    <w:r>
                      <w:rPr>
                        <w:rFonts w:ascii="Trebuchet MS"/>
                        <w:spacing w:val="-1"/>
                        <w:w w:val="111"/>
                        <w:sz w:val="20"/>
                      </w:rPr>
                      <w:t>pp</w:t>
                    </w:r>
                    <w:r>
                      <w:rPr>
                        <w:rFonts w:ascii="Trebuchet MS"/>
                        <w:spacing w:val="-1"/>
                        <w:w w:val="111"/>
                        <w:sz w:val="20"/>
                      </w:rPr>
                      <w:t>o</w:t>
                    </w:r>
                    <w:r>
                      <w:rPr>
                        <w:rFonts w:ascii="Trebuchet MS"/>
                        <w:spacing w:val="2"/>
                        <w:w w:val="93"/>
                        <w:sz w:val="20"/>
                      </w:rPr>
                      <w:t>r</w:t>
                    </w:r>
                    <w:r>
                      <w:rPr>
                        <w:rFonts w:ascii="Trebuchet MS"/>
                        <w:w w:val="88"/>
                        <w:sz w:val="20"/>
                      </w:rPr>
                      <w:t>t</w:t>
                    </w:r>
                    <w:r>
                      <w:rPr>
                        <w:rFonts w:ascii="Trebuchet MS"/>
                        <w:spacing w:val="-14"/>
                        <w:sz w:val="20"/>
                      </w:rPr>
                      <w:t> </w:t>
                    </w:r>
                    <w:r>
                      <w:rPr>
                        <w:rFonts w:ascii="Trebuchet MS"/>
                        <w:spacing w:val="-1"/>
                        <w:w w:val="111"/>
                        <w:sz w:val="20"/>
                      </w:rPr>
                      <w:t>p</w:t>
                    </w:r>
                    <w:r>
                      <w:rPr>
                        <w:rFonts w:ascii="Trebuchet MS"/>
                        <w:spacing w:val="-1"/>
                        <w:w w:val="108"/>
                        <w:sz w:val="20"/>
                      </w:rPr>
                      <w:t>e</w:t>
                    </w:r>
                    <w:r>
                      <w:rPr>
                        <w:rFonts w:ascii="Trebuchet MS"/>
                        <w:spacing w:val="-1"/>
                        <w:w w:val="93"/>
                        <w:sz w:val="20"/>
                      </w:rPr>
                      <w:t>r</w:t>
                    </w:r>
                    <w:r>
                      <w:rPr>
                        <w:rFonts w:ascii="Trebuchet MS"/>
                        <w:spacing w:val="-1"/>
                        <w:w w:val="122"/>
                        <w:sz w:val="20"/>
                      </w:rPr>
                      <w:t>s</w:t>
                    </w:r>
                    <w:r>
                      <w:rPr>
                        <w:rFonts w:ascii="Trebuchet MS"/>
                        <w:spacing w:val="-1"/>
                        <w:w w:val="111"/>
                        <w:sz w:val="20"/>
                      </w:rPr>
                      <w:t>o</w:t>
                    </w:r>
                    <w:r>
                      <w:rPr>
                        <w:rFonts w:ascii="Trebuchet MS"/>
                        <w:spacing w:val="-2"/>
                        <w:w w:val="107"/>
                        <w:sz w:val="20"/>
                      </w:rPr>
                      <w:t>n</w:t>
                    </w:r>
                    <w:r>
                      <w:rPr>
                        <w:rFonts w:ascii="Trebuchet MS"/>
                        <w:spacing w:val="1"/>
                        <w:w w:val="122"/>
                        <w:sz w:val="20"/>
                      </w:rPr>
                      <w:t>s</w:t>
                    </w:r>
                    <w:r>
                      <w:rPr>
                        <w:rFonts w:ascii="Trebuchet MS"/>
                        <w:w w:val="57"/>
                        <w:sz w:val="20"/>
                      </w:rPr>
                      <w:t>, </w:t>
                    </w:r>
                    <w:r>
                      <w:rPr>
                        <w:rFonts w:ascii="Trebuchet MS"/>
                        <w:spacing w:val="-2"/>
                        <w:w w:val="110"/>
                        <w:sz w:val="20"/>
                      </w:rPr>
                      <w:t>w</w:t>
                    </w:r>
                    <w:r>
                      <w:rPr>
                        <w:rFonts w:ascii="Trebuchet MS"/>
                        <w:spacing w:val="-2"/>
                        <w:w w:val="107"/>
                        <w:sz w:val="20"/>
                      </w:rPr>
                      <w:t>h</w:t>
                    </w:r>
                    <w:r>
                      <w:rPr>
                        <w:rFonts w:ascii="Trebuchet MS"/>
                        <w:spacing w:val="-1"/>
                        <w:w w:val="80"/>
                        <w:sz w:val="20"/>
                      </w:rPr>
                      <w:t>i</w:t>
                    </w:r>
                    <w:r>
                      <w:rPr>
                        <w:rFonts w:ascii="Trebuchet MS"/>
                        <w:spacing w:val="-2"/>
                        <w:w w:val="111"/>
                        <w:sz w:val="20"/>
                      </w:rPr>
                      <w:t>c</w:t>
                    </w:r>
                    <w:r>
                      <w:rPr>
                        <w:rFonts w:ascii="Trebuchet MS"/>
                        <w:w w:val="107"/>
                        <w:sz w:val="20"/>
                      </w:rPr>
                      <w:t>h</w:t>
                    </w:r>
                    <w:r>
                      <w:rPr>
                        <w:rFonts w:ascii="Trebuchet MS"/>
                        <w:spacing w:val="-14"/>
                        <w:sz w:val="20"/>
                      </w:rPr>
                      <w:t> </w:t>
                    </w:r>
                    <w:r>
                      <w:rPr>
                        <w:rFonts w:ascii="Trebuchet MS"/>
                        <w:spacing w:val="-1"/>
                        <w:w w:val="110"/>
                        <w:sz w:val="20"/>
                      </w:rPr>
                      <w:t>o</w:t>
                    </w:r>
                    <w:r>
                      <w:rPr>
                        <w:rFonts w:ascii="Trebuchet MS"/>
                        <w:spacing w:val="-3"/>
                        <w:w w:val="110"/>
                        <w:sz w:val="20"/>
                      </w:rPr>
                      <w:t>u</w:t>
                    </w:r>
                    <w:r>
                      <w:rPr>
                        <w:rFonts w:ascii="Trebuchet MS"/>
                        <w:spacing w:val="-3"/>
                        <w:w w:val="88"/>
                        <w:sz w:val="20"/>
                      </w:rPr>
                      <w:t>t</w:t>
                    </w:r>
                    <w:r>
                      <w:rPr>
                        <w:rFonts w:ascii="Trebuchet MS"/>
                        <w:w w:val="96"/>
                        <w:sz w:val="20"/>
                      </w:rPr>
                      <w:t>l</w:t>
                    </w:r>
                    <w:r>
                      <w:rPr>
                        <w:rFonts w:ascii="Trebuchet MS"/>
                        <w:spacing w:val="-2"/>
                        <w:w w:val="80"/>
                        <w:sz w:val="20"/>
                      </w:rPr>
                      <w:t>i</w:t>
                    </w:r>
                    <w:r>
                      <w:rPr>
                        <w:rFonts w:ascii="Trebuchet MS"/>
                        <w:spacing w:val="-1"/>
                        <w:w w:val="108"/>
                        <w:sz w:val="20"/>
                      </w:rPr>
                      <w:t>n</w:t>
                    </w:r>
                    <w:r>
                      <w:rPr>
                        <w:rFonts w:ascii="Trebuchet MS"/>
                        <w:w w:val="108"/>
                        <w:sz w:val="20"/>
                      </w:rPr>
                      <w:t>e</w:t>
                    </w:r>
                    <w:r>
                      <w:rPr>
                        <w:rFonts w:ascii="Trebuchet MS"/>
                        <w:spacing w:val="-14"/>
                        <w:sz w:val="20"/>
                      </w:rPr>
                      <w:t> </w:t>
                    </w:r>
                    <w:r>
                      <w:rPr>
                        <w:rFonts w:ascii="Trebuchet MS"/>
                        <w:spacing w:val="-2"/>
                        <w:w w:val="88"/>
                        <w:sz w:val="20"/>
                      </w:rPr>
                      <w:t>t</w:t>
                    </w:r>
                    <w:r>
                      <w:rPr>
                        <w:rFonts w:ascii="Trebuchet MS"/>
                        <w:spacing w:val="-1"/>
                        <w:w w:val="108"/>
                        <w:sz w:val="20"/>
                      </w:rPr>
                      <w:t>he</w:t>
                    </w:r>
                    <w:r>
                      <w:rPr>
                        <w:rFonts w:ascii="Trebuchet MS"/>
                        <w:spacing w:val="-2"/>
                        <w:w w:val="80"/>
                        <w:sz w:val="20"/>
                      </w:rPr>
                      <w:t>i</w:t>
                    </w:r>
                    <w:r>
                      <w:rPr>
                        <w:rFonts w:ascii="Trebuchet MS"/>
                        <w:w w:val="93"/>
                        <w:sz w:val="20"/>
                      </w:rPr>
                      <w:t>r</w:t>
                    </w:r>
                    <w:r>
                      <w:rPr>
                        <w:rFonts w:ascii="Trebuchet MS"/>
                        <w:spacing w:val="-14"/>
                        <w:sz w:val="20"/>
                      </w:rPr>
                      <w:t> </w:t>
                    </w:r>
                    <w:r>
                      <w:rPr>
                        <w:rFonts w:ascii="Trebuchet MS"/>
                        <w:spacing w:val="-4"/>
                        <w:w w:val="93"/>
                        <w:sz w:val="20"/>
                      </w:rPr>
                      <w:t>r</w:t>
                    </w:r>
                    <w:r>
                      <w:rPr>
                        <w:rFonts w:ascii="Trebuchet MS"/>
                        <w:spacing w:val="-2"/>
                        <w:w w:val="111"/>
                        <w:sz w:val="20"/>
                      </w:rPr>
                      <w:t>o</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2"/>
                        <w:w w:val="105"/>
                        <w:sz w:val="20"/>
                      </w:rPr>
                      <w:t>a</w:t>
                    </w:r>
                    <w:r>
                      <w:rPr>
                        <w:rFonts w:ascii="Trebuchet MS"/>
                        <w:spacing w:val="-1"/>
                        <w:w w:val="110"/>
                        <w:sz w:val="20"/>
                      </w:rPr>
                      <w:t>n</w:t>
                    </w:r>
                    <w:r>
                      <w:rPr>
                        <w:rFonts w:ascii="Trebuchet MS"/>
                        <w:w w:val="110"/>
                        <w:sz w:val="20"/>
                      </w:rPr>
                      <w:t>d</w:t>
                    </w:r>
                    <w:r>
                      <w:rPr>
                        <w:rFonts w:ascii="Trebuchet MS"/>
                        <w:spacing w:val="-14"/>
                        <w:sz w:val="20"/>
                      </w:rPr>
                      <w:t> </w:t>
                    </w:r>
                    <w:r>
                      <w:rPr>
                        <w:rFonts w:ascii="Trebuchet MS"/>
                        <w:spacing w:val="-4"/>
                        <w:w w:val="93"/>
                        <w:sz w:val="20"/>
                      </w:rPr>
                      <w:t>r</w:t>
                    </w:r>
                    <w:r>
                      <w:rPr>
                        <w:rFonts w:ascii="Trebuchet MS"/>
                        <w:spacing w:val="-2"/>
                        <w:w w:val="108"/>
                        <w:sz w:val="20"/>
                      </w:rPr>
                      <w:t>e</w:t>
                    </w:r>
                    <w:r>
                      <w:rPr>
                        <w:rFonts w:ascii="Trebuchet MS"/>
                        <w:spacing w:val="-2"/>
                        <w:w w:val="122"/>
                        <w:sz w:val="20"/>
                      </w:rPr>
                      <w:t>s</w:t>
                    </w:r>
                    <w:r>
                      <w:rPr>
                        <w:rFonts w:ascii="Trebuchet MS"/>
                        <w:spacing w:val="-1"/>
                        <w:w w:val="111"/>
                        <w:sz w:val="20"/>
                      </w:rPr>
                      <w:t>p</w:t>
                    </w:r>
                    <w:r>
                      <w:rPr>
                        <w:rFonts w:ascii="Trebuchet MS"/>
                        <w:spacing w:val="-1"/>
                        <w:w w:val="111"/>
                        <w:sz w:val="20"/>
                      </w:rPr>
                      <w:t>o</w:t>
                    </w:r>
                    <w:r>
                      <w:rPr>
                        <w:rFonts w:ascii="Trebuchet MS"/>
                        <w:spacing w:val="-2"/>
                        <w:w w:val="107"/>
                        <w:sz w:val="20"/>
                      </w:rPr>
                      <w:t>n</w:t>
                    </w:r>
                    <w:r>
                      <w:rPr>
                        <w:rFonts w:ascii="Trebuchet MS"/>
                        <w:spacing w:val="-2"/>
                        <w:w w:val="122"/>
                        <w:sz w:val="20"/>
                      </w:rPr>
                      <w:t>s</w:t>
                    </w:r>
                    <w:r>
                      <w:rPr>
                        <w:rFonts w:ascii="Trebuchet MS"/>
                        <w:spacing w:val="-2"/>
                        <w:w w:val="80"/>
                        <w:sz w:val="20"/>
                      </w:rPr>
                      <w:t>i</w:t>
                    </w:r>
                    <w:r>
                      <w:rPr>
                        <w:rFonts w:ascii="Trebuchet MS"/>
                        <w:spacing w:val="-1"/>
                        <w:w w:val="101"/>
                        <w:sz w:val="20"/>
                      </w:rPr>
                      <w:t>b</w:t>
                    </w:r>
                    <w:r>
                      <w:rPr>
                        <w:rFonts w:ascii="Trebuchet MS"/>
                        <w:spacing w:val="-2"/>
                        <w:w w:val="101"/>
                        <w:sz w:val="20"/>
                      </w:rPr>
                      <w:t>i</w:t>
                    </w:r>
                    <w:r>
                      <w:rPr>
                        <w:rFonts w:ascii="Trebuchet MS"/>
                        <w:w w:val="96"/>
                        <w:sz w:val="20"/>
                      </w:rPr>
                      <w:t>l</w:t>
                    </w:r>
                    <w:r>
                      <w:rPr>
                        <w:rFonts w:ascii="Trebuchet MS"/>
                        <w:spacing w:val="-3"/>
                        <w:w w:val="80"/>
                        <w:sz w:val="20"/>
                      </w:rPr>
                      <w:t>i</w:t>
                    </w:r>
                    <w:r>
                      <w:rPr>
                        <w:rFonts w:ascii="Trebuchet MS"/>
                        <w:spacing w:val="-2"/>
                        <w:w w:val="88"/>
                        <w:sz w:val="20"/>
                      </w:rPr>
                      <w:t>t</w:t>
                    </w:r>
                    <w:r>
                      <w:rPr>
                        <w:rFonts w:ascii="Trebuchet MS"/>
                        <w:spacing w:val="-1"/>
                        <w:w w:val="80"/>
                        <w:sz w:val="20"/>
                      </w:rPr>
                      <w:t>i</w:t>
                    </w:r>
                    <w:r>
                      <w:rPr>
                        <w:rFonts w:ascii="Trebuchet MS"/>
                        <w:spacing w:val="-2"/>
                        <w:w w:val="108"/>
                        <w:sz w:val="20"/>
                      </w:rPr>
                      <w:t>e</w:t>
                    </w:r>
                    <w:r>
                      <w:rPr>
                        <w:rFonts w:ascii="Trebuchet MS"/>
                        <w:spacing w:val="1"/>
                        <w:w w:val="122"/>
                        <w:sz w:val="20"/>
                      </w:rPr>
                      <w:t>s</w:t>
                    </w:r>
                    <w:r>
                      <w:rPr>
                        <w:rFonts w:ascii="Trebuchet MS"/>
                        <w:w w:val="55"/>
                        <w:sz w:val="20"/>
                      </w:rPr>
                      <w:t>.</w:t>
                    </w:r>
                    <w:r>
                      <w:rPr>
                        <w:rFonts w:ascii="Trebuchet MS"/>
                        <w:spacing w:val="-14"/>
                        <w:sz w:val="20"/>
                      </w:rPr>
                      <w:t> </w:t>
                    </w:r>
                    <w:r>
                      <w:rPr>
                        <w:rFonts w:ascii="Trebuchet MS"/>
                        <w:spacing w:val="-1"/>
                        <w:w w:val="111"/>
                        <w:sz w:val="20"/>
                      </w:rPr>
                      <w:t>Ame</w:t>
                    </w:r>
                    <w:r>
                      <w:rPr>
                        <w:rFonts w:ascii="Trebuchet MS"/>
                        <w:spacing w:val="-1"/>
                        <w:w w:val="110"/>
                        <w:sz w:val="20"/>
                      </w:rPr>
                      <w:t>nd</w:t>
                    </w:r>
                    <w:r>
                      <w:rPr>
                        <w:rFonts w:ascii="Trebuchet MS"/>
                        <w:spacing w:val="-1"/>
                        <w:w w:val="110"/>
                        <w:sz w:val="20"/>
                      </w:rPr>
                      <w:t>me</w:t>
                    </w:r>
                    <w:r>
                      <w:rPr>
                        <w:rFonts w:ascii="Trebuchet MS"/>
                        <w:spacing w:val="-4"/>
                        <w:w w:val="107"/>
                        <w:sz w:val="20"/>
                      </w:rPr>
                      <w:t>n</w:t>
                    </w:r>
                    <w:r>
                      <w:rPr>
                        <w:rFonts w:ascii="Trebuchet MS"/>
                        <w:spacing w:val="2"/>
                        <w:w w:val="88"/>
                        <w:sz w:val="20"/>
                      </w:rPr>
                      <w:t>t</w:t>
                    </w:r>
                    <w:r>
                      <w:rPr>
                        <w:rFonts w:ascii="Trebuchet MS"/>
                        <w:w w:val="122"/>
                        <w:sz w:val="20"/>
                      </w:rPr>
                      <w:t>s</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2"/>
                        <w:w w:val="88"/>
                        <w:sz w:val="20"/>
                      </w:rPr>
                      <w:t>t</w:t>
                    </w:r>
                    <w:r>
                      <w:rPr>
                        <w:rFonts w:ascii="Trebuchet MS"/>
                        <w:spacing w:val="-1"/>
                        <w:w w:val="108"/>
                        <w:sz w:val="20"/>
                      </w:rPr>
                      <w:t>h</w:t>
                    </w:r>
                    <w:r>
                      <w:rPr>
                        <w:rFonts w:ascii="Trebuchet MS"/>
                        <w:w w:val="108"/>
                        <w:sz w:val="20"/>
                      </w:rPr>
                      <w:t>e</w:t>
                    </w:r>
                    <w:r>
                      <w:rPr>
                        <w:rFonts w:ascii="Trebuchet MS"/>
                        <w:spacing w:val="-14"/>
                        <w:sz w:val="20"/>
                      </w:rPr>
                      <w:t> </w:t>
                    </w:r>
                    <w:r>
                      <w:rPr>
                        <w:rFonts w:ascii="Trebuchet MS"/>
                        <w:spacing w:val="-1"/>
                        <w:w w:val="101"/>
                        <w:sz w:val="20"/>
                      </w:rPr>
                      <w:t>J</w:t>
                    </w:r>
                    <w:r>
                      <w:rPr>
                        <w:rFonts w:ascii="Trebuchet MS"/>
                        <w:spacing w:val="-1"/>
                        <w:w w:val="103"/>
                        <w:sz w:val="20"/>
                      </w:rPr>
                      <w:t>u</w:t>
                    </w:r>
                    <w:r>
                      <w:rPr>
                        <w:rFonts w:ascii="Trebuchet MS"/>
                        <w:spacing w:val="-2"/>
                        <w:w w:val="103"/>
                        <w:sz w:val="20"/>
                      </w:rPr>
                      <w:t>r</w:t>
                    </w:r>
                    <w:r>
                      <w:rPr>
                        <w:rFonts w:ascii="Trebuchet MS"/>
                        <w:spacing w:val="-1"/>
                        <w:w w:val="80"/>
                        <w:sz w:val="20"/>
                      </w:rPr>
                      <w:t>i</w:t>
                    </w:r>
                    <w:r>
                      <w:rPr>
                        <w:rFonts w:ascii="Trebuchet MS"/>
                        <w:spacing w:val="-2"/>
                        <w:w w:val="108"/>
                        <w:sz w:val="20"/>
                      </w:rPr>
                      <w:t>e</w:t>
                    </w:r>
                    <w:r>
                      <w:rPr>
                        <w:rFonts w:ascii="Trebuchet MS"/>
                        <w:w w:val="122"/>
                        <w:sz w:val="20"/>
                      </w:rPr>
                      <w:t>s</w:t>
                    </w:r>
                    <w:r>
                      <w:rPr>
                        <w:rFonts w:ascii="Trebuchet MS"/>
                        <w:spacing w:val="-14"/>
                        <w:sz w:val="20"/>
                      </w:rPr>
                      <w:t> </w:t>
                    </w:r>
                    <w:r>
                      <w:rPr>
                        <w:rFonts w:ascii="Trebuchet MS"/>
                        <w:spacing w:val="-4"/>
                        <w:w w:val="114"/>
                        <w:sz w:val="20"/>
                      </w:rPr>
                      <w:t>A</w:t>
                    </w:r>
                    <w:r>
                      <w:rPr>
                        <w:rFonts w:ascii="Trebuchet MS"/>
                        <w:spacing w:val="-2"/>
                        <w:w w:val="111"/>
                        <w:sz w:val="20"/>
                      </w:rPr>
                      <w:t>c</w:t>
                    </w:r>
                    <w:r>
                      <w:rPr>
                        <w:rFonts w:ascii="Trebuchet MS"/>
                        <w:w w:val="88"/>
                        <w:sz w:val="20"/>
                      </w:rPr>
                      <w:t>t</w:t>
                    </w:r>
                    <w:r>
                      <w:rPr>
                        <w:rFonts w:ascii="Trebuchet MS"/>
                        <w:spacing w:val="-14"/>
                        <w:sz w:val="20"/>
                      </w:rPr>
                      <w:t> </w:t>
                    </w:r>
                    <w:r>
                      <w:rPr>
                        <w:rFonts w:ascii="Trebuchet MS"/>
                        <w:spacing w:val="-2"/>
                        <w:w w:val="122"/>
                        <w:sz w:val="20"/>
                      </w:rPr>
                      <w:t>s</w:t>
                    </w:r>
                    <w:r>
                      <w:rPr>
                        <w:rFonts w:ascii="Trebuchet MS"/>
                        <w:spacing w:val="-1"/>
                        <w:w w:val="109"/>
                        <w:sz w:val="20"/>
                      </w:rPr>
                      <w:t>ho</w:t>
                    </w:r>
                    <w:r>
                      <w:rPr>
                        <w:rFonts w:ascii="Trebuchet MS"/>
                        <w:spacing w:val="-2"/>
                        <w:w w:val="109"/>
                        <w:sz w:val="20"/>
                      </w:rPr>
                      <w:t>u</w:t>
                    </w:r>
                    <w:r>
                      <w:rPr>
                        <w:rFonts w:ascii="Trebuchet MS"/>
                        <w:spacing w:val="-3"/>
                        <w:w w:val="96"/>
                        <w:sz w:val="20"/>
                      </w:rPr>
                      <w:t>l</w:t>
                    </w:r>
                    <w:r>
                      <w:rPr>
                        <w:rFonts w:ascii="Trebuchet MS"/>
                        <w:w w:val="112"/>
                        <w:sz w:val="20"/>
                      </w:rPr>
                      <w:t>d </w:t>
                    </w:r>
                    <w:r>
                      <w:rPr>
                        <w:rFonts w:ascii="Trebuchet MS"/>
                        <w:sz w:val="20"/>
                      </w:rPr>
                      <w:t>be accompanied </w:t>
                    </w:r>
                    <w:r>
                      <w:rPr>
                        <w:rFonts w:ascii="Trebuchet MS"/>
                        <w:spacing w:val="-3"/>
                        <w:sz w:val="20"/>
                      </w:rPr>
                      <w:t>by </w:t>
                    </w:r>
                    <w:r>
                      <w:rPr>
                        <w:rFonts w:ascii="Trebuchet MS"/>
                        <w:sz w:val="20"/>
                      </w:rPr>
                      <w:t>regulation that includes standards and a code of conduct for </w:t>
                    </w:r>
                    <w:r>
                      <w:rPr>
                        <w:rFonts w:ascii="Trebuchet MS"/>
                        <w:spacing w:val="-2"/>
                        <w:w w:val="122"/>
                        <w:sz w:val="20"/>
                      </w:rPr>
                      <w:t>s</w:t>
                    </w:r>
                    <w:r>
                      <w:rPr>
                        <w:rFonts w:ascii="Trebuchet MS"/>
                        <w:spacing w:val="-1"/>
                        <w:w w:val="109"/>
                        <w:sz w:val="20"/>
                      </w:rPr>
                      <w:t>u</w:t>
                    </w:r>
                    <w:r>
                      <w:rPr>
                        <w:rFonts w:ascii="Trebuchet MS"/>
                        <w:spacing w:val="-1"/>
                        <w:w w:val="111"/>
                        <w:sz w:val="20"/>
                      </w:rPr>
                      <w:t>pp</w:t>
                    </w:r>
                    <w:r>
                      <w:rPr>
                        <w:rFonts w:ascii="Trebuchet MS"/>
                        <w:spacing w:val="-1"/>
                        <w:w w:val="111"/>
                        <w:sz w:val="20"/>
                      </w:rPr>
                      <w:t>o</w:t>
                    </w:r>
                    <w:r>
                      <w:rPr>
                        <w:rFonts w:ascii="Trebuchet MS"/>
                        <w:spacing w:val="2"/>
                        <w:w w:val="93"/>
                        <w:sz w:val="20"/>
                      </w:rPr>
                      <w:t>r</w:t>
                    </w:r>
                    <w:r>
                      <w:rPr>
                        <w:rFonts w:ascii="Trebuchet MS"/>
                        <w:w w:val="88"/>
                        <w:sz w:val="20"/>
                      </w:rPr>
                      <w:t>t</w:t>
                    </w:r>
                    <w:r>
                      <w:rPr>
                        <w:rFonts w:ascii="Trebuchet MS"/>
                        <w:spacing w:val="-14"/>
                        <w:sz w:val="20"/>
                      </w:rPr>
                      <w:t> </w:t>
                    </w:r>
                    <w:r>
                      <w:rPr>
                        <w:rFonts w:ascii="Trebuchet MS"/>
                        <w:spacing w:val="-1"/>
                        <w:w w:val="111"/>
                        <w:sz w:val="20"/>
                      </w:rPr>
                      <w:t>p</w:t>
                    </w:r>
                    <w:r>
                      <w:rPr>
                        <w:rFonts w:ascii="Trebuchet MS"/>
                        <w:spacing w:val="-1"/>
                        <w:w w:val="108"/>
                        <w:sz w:val="20"/>
                      </w:rPr>
                      <w:t>e</w:t>
                    </w:r>
                    <w:r>
                      <w:rPr>
                        <w:rFonts w:ascii="Trebuchet MS"/>
                        <w:spacing w:val="-1"/>
                        <w:w w:val="93"/>
                        <w:sz w:val="20"/>
                      </w:rPr>
                      <w:t>r</w:t>
                    </w:r>
                    <w:r>
                      <w:rPr>
                        <w:rFonts w:ascii="Trebuchet MS"/>
                        <w:spacing w:val="-1"/>
                        <w:w w:val="122"/>
                        <w:sz w:val="20"/>
                      </w:rPr>
                      <w:t>s</w:t>
                    </w:r>
                    <w:r>
                      <w:rPr>
                        <w:rFonts w:ascii="Trebuchet MS"/>
                        <w:spacing w:val="-1"/>
                        <w:w w:val="111"/>
                        <w:sz w:val="20"/>
                      </w:rPr>
                      <w:t>o</w:t>
                    </w:r>
                    <w:r>
                      <w:rPr>
                        <w:rFonts w:ascii="Trebuchet MS"/>
                        <w:spacing w:val="-2"/>
                        <w:w w:val="107"/>
                        <w:sz w:val="20"/>
                      </w:rPr>
                      <w:t>n</w:t>
                    </w:r>
                    <w:r>
                      <w:rPr>
                        <w:rFonts w:ascii="Trebuchet MS"/>
                        <w:spacing w:val="1"/>
                        <w:w w:val="122"/>
                        <w:sz w:val="20"/>
                      </w:rPr>
                      <w:t>s</w:t>
                    </w:r>
                    <w:r>
                      <w:rPr>
                        <w:rFonts w:ascii="Trebuchet MS"/>
                        <w:w w:val="57"/>
                        <w:sz w:val="20"/>
                      </w:rPr>
                      <w:t>,</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1"/>
                        <w:w w:val="111"/>
                        <w:sz w:val="20"/>
                      </w:rPr>
                      <w:t>m</w:t>
                    </w:r>
                    <w:r>
                      <w:rPr>
                        <w:rFonts w:ascii="Trebuchet MS"/>
                        <w:spacing w:val="-7"/>
                        <w:w w:val="105"/>
                        <w:sz w:val="20"/>
                      </w:rPr>
                      <w:t>a</w:t>
                    </w:r>
                    <w:r>
                      <w:rPr>
                        <w:rFonts w:ascii="Trebuchet MS"/>
                        <w:w w:val="110"/>
                        <w:sz w:val="20"/>
                      </w:rPr>
                      <w:t>y</w:t>
                    </w:r>
                    <w:r>
                      <w:rPr>
                        <w:rFonts w:ascii="Trebuchet MS"/>
                        <w:spacing w:val="-14"/>
                        <w:sz w:val="20"/>
                      </w:rPr>
                      <w:t> </w:t>
                    </w:r>
                    <w:r>
                      <w:rPr>
                        <w:rFonts w:ascii="Trebuchet MS"/>
                        <w:spacing w:val="-2"/>
                        <w:w w:val="80"/>
                        <w:sz w:val="20"/>
                      </w:rPr>
                      <w:t>i</w:t>
                    </w:r>
                    <w:r>
                      <w:rPr>
                        <w:rFonts w:ascii="Trebuchet MS"/>
                        <w:spacing w:val="-1"/>
                        <w:w w:val="107"/>
                        <w:sz w:val="20"/>
                      </w:rPr>
                      <w:t>n</w:t>
                    </w:r>
                    <w:r>
                      <w:rPr>
                        <w:rFonts w:ascii="Trebuchet MS"/>
                        <w:spacing w:val="-3"/>
                        <w:w w:val="111"/>
                        <w:sz w:val="20"/>
                      </w:rPr>
                      <w:t>c</w:t>
                    </w:r>
                    <w:r>
                      <w:rPr>
                        <w:rFonts w:ascii="Trebuchet MS"/>
                        <w:spacing w:val="-3"/>
                        <w:w w:val="96"/>
                        <w:sz w:val="20"/>
                      </w:rPr>
                      <w:t>l</w:t>
                    </w:r>
                    <w:r>
                      <w:rPr>
                        <w:rFonts w:ascii="Trebuchet MS"/>
                        <w:spacing w:val="-2"/>
                        <w:w w:val="109"/>
                        <w:sz w:val="20"/>
                      </w:rPr>
                      <w:t>u</w:t>
                    </w:r>
                    <w:r>
                      <w:rPr>
                        <w:rFonts w:ascii="Trebuchet MS"/>
                        <w:spacing w:val="-2"/>
                        <w:w w:val="112"/>
                        <w:sz w:val="20"/>
                      </w:rPr>
                      <w:t>d</w:t>
                    </w:r>
                    <w:r>
                      <w:rPr>
                        <w:rFonts w:ascii="Trebuchet MS"/>
                        <w:w w:val="108"/>
                        <w:sz w:val="20"/>
                      </w:rPr>
                      <w:t>e</w:t>
                    </w:r>
                    <w:r>
                      <w:rPr>
                        <w:rFonts w:ascii="Trebuchet MS"/>
                        <w:spacing w:val="-14"/>
                        <w:sz w:val="20"/>
                      </w:rPr>
                      <w:t> </w:t>
                    </w:r>
                    <w:r>
                      <w:rPr>
                        <w:rFonts w:ascii="Trebuchet MS"/>
                        <w:spacing w:val="-2"/>
                        <w:w w:val="108"/>
                        <w:sz w:val="20"/>
                      </w:rPr>
                      <w:t>a</w:t>
                    </w:r>
                    <w:r>
                      <w:rPr>
                        <w:rFonts w:ascii="Trebuchet MS"/>
                        <w:spacing w:val="-3"/>
                        <w:w w:val="108"/>
                        <w:sz w:val="20"/>
                      </w:rPr>
                      <w:t>c</w:t>
                    </w:r>
                    <w:r>
                      <w:rPr>
                        <w:rFonts w:ascii="Trebuchet MS"/>
                        <w:spacing w:val="-2"/>
                        <w:w w:val="111"/>
                        <w:sz w:val="20"/>
                      </w:rPr>
                      <w:t>c</w:t>
                    </w:r>
                    <w:r>
                      <w:rPr>
                        <w:rFonts w:ascii="Trebuchet MS"/>
                        <w:spacing w:val="-4"/>
                        <w:w w:val="93"/>
                        <w:sz w:val="20"/>
                      </w:rPr>
                      <w:t>r</w:t>
                    </w:r>
                    <w:r>
                      <w:rPr>
                        <w:rFonts w:ascii="Trebuchet MS"/>
                        <w:w w:val="108"/>
                        <w:sz w:val="20"/>
                      </w:rPr>
                      <w:t>e</w:t>
                    </w:r>
                    <w:r>
                      <w:rPr>
                        <w:rFonts w:ascii="Trebuchet MS"/>
                        <w:spacing w:val="-1"/>
                        <w:w w:val="112"/>
                        <w:sz w:val="20"/>
                      </w:rPr>
                      <w:t>d</w:t>
                    </w:r>
                    <w:r>
                      <w:rPr>
                        <w:rFonts w:ascii="Trebuchet MS"/>
                        <w:spacing w:val="-3"/>
                        <w:w w:val="80"/>
                        <w:sz w:val="20"/>
                      </w:rPr>
                      <w:t>i</w:t>
                    </w:r>
                    <w:r>
                      <w:rPr>
                        <w:rFonts w:ascii="Trebuchet MS"/>
                        <w:w w:val="88"/>
                        <w:sz w:val="20"/>
                      </w:rPr>
                      <w:t>t</w:t>
                    </w:r>
                    <w:r>
                      <w:rPr>
                        <w:rFonts w:ascii="Trebuchet MS"/>
                        <w:spacing w:val="-4"/>
                        <w:w w:val="105"/>
                        <w:sz w:val="20"/>
                      </w:rPr>
                      <w:t>a</w:t>
                    </w:r>
                    <w:r>
                      <w:rPr>
                        <w:rFonts w:ascii="Trebuchet MS"/>
                        <w:spacing w:val="-2"/>
                        <w:w w:val="88"/>
                        <w:sz w:val="20"/>
                      </w:rPr>
                      <w:t>t</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4"/>
                        <w:w w:val="93"/>
                        <w:sz w:val="20"/>
                      </w:rPr>
                      <w:t>r</w:t>
                    </w:r>
                    <w:r>
                      <w:rPr>
                        <w:rFonts w:ascii="Trebuchet MS"/>
                        <w:w w:val="108"/>
                        <w:sz w:val="20"/>
                      </w:rPr>
                      <w:t>e</w:t>
                    </w:r>
                    <w:r>
                      <w:rPr>
                        <w:rFonts w:ascii="Trebuchet MS"/>
                        <w:spacing w:val="-2"/>
                        <w:w w:val="111"/>
                        <w:sz w:val="20"/>
                      </w:rPr>
                      <w:t>q</w:t>
                    </w:r>
                    <w:r>
                      <w:rPr>
                        <w:rFonts w:ascii="Trebuchet MS"/>
                        <w:spacing w:val="-1"/>
                        <w:w w:val="109"/>
                        <w:sz w:val="20"/>
                      </w:rPr>
                      <w:t>u</w:t>
                    </w:r>
                    <w:r>
                      <w:rPr>
                        <w:rFonts w:ascii="Trebuchet MS"/>
                        <w:spacing w:val="-2"/>
                        <w:w w:val="80"/>
                        <w:sz w:val="20"/>
                      </w:rPr>
                      <w:t>i</w:t>
                    </w:r>
                    <w:r>
                      <w:rPr>
                        <w:rFonts w:ascii="Trebuchet MS"/>
                        <w:spacing w:val="-4"/>
                        <w:w w:val="93"/>
                        <w:sz w:val="20"/>
                      </w:rPr>
                      <w:t>r</w:t>
                    </w:r>
                    <w:r>
                      <w:rPr>
                        <w:rFonts w:ascii="Trebuchet MS"/>
                        <w:spacing w:val="-1"/>
                        <w:w w:val="108"/>
                        <w:sz w:val="20"/>
                      </w:rPr>
                      <w:t>e</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spacing w:val="2"/>
                        <w:w w:val="88"/>
                        <w:sz w:val="20"/>
                      </w:rPr>
                      <w:t>t</w:t>
                    </w:r>
                    <w:r>
                      <w:rPr>
                        <w:rFonts w:ascii="Trebuchet MS"/>
                        <w:w w:val="122"/>
                        <w:sz w:val="20"/>
                      </w:rPr>
                      <w:t>s</w:t>
                    </w:r>
                    <w:r>
                      <w:rPr>
                        <w:rFonts w:ascii="Trebuchet MS"/>
                        <w:spacing w:val="-14"/>
                        <w:sz w:val="20"/>
                      </w:rPr>
                      <w:t> </w:t>
                    </w:r>
                    <w:r>
                      <w:rPr>
                        <w:rFonts w:ascii="Trebuchet MS"/>
                        <w:spacing w:val="-2"/>
                        <w:w w:val="80"/>
                        <w:sz w:val="20"/>
                      </w:rPr>
                      <w:t>i</w:t>
                    </w:r>
                    <w:r>
                      <w:rPr>
                        <w:rFonts w:ascii="Trebuchet MS"/>
                        <w:w w:val="107"/>
                        <w:sz w:val="20"/>
                      </w:rPr>
                      <w:t>n</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92"/>
                        <w:sz w:val="20"/>
                      </w:rPr>
                      <w:t>f</w:t>
                    </w:r>
                    <w:r>
                      <w:rPr>
                        <w:rFonts w:ascii="Trebuchet MS"/>
                        <w:spacing w:val="-3"/>
                        <w:w w:val="109"/>
                        <w:sz w:val="20"/>
                      </w:rPr>
                      <w:t>u</w:t>
                    </w:r>
                    <w:r>
                      <w:rPr>
                        <w:rFonts w:ascii="Trebuchet MS"/>
                        <w:spacing w:val="-4"/>
                        <w:w w:val="88"/>
                        <w:sz w:val="20"/>
                      </w:rPr>
                      <w:t>t</w:t>
                    </w:r>
                    <w:r>
                      <w:rPr>
                        <w:rFonts w:ascii="Trebuchet MS"/>
                        <w:spacing w:val="-1"/>
                        <w:w w:val="109"/>
                        <w:sz w:val="20"/>
                      </w:rPr>
                      <w:t>u</w:t>
                    </w:r>
                    <w:r>
                      <w:rPr>
                        <w:rFonts w:ascii="Trebuchet MS"/>
                        <w:spacing w:val="-4"/>
                        <w:w w:val="93"/>
                        <w:sz w:val="20"/>
                      </w:rPr>
                      <w:t>r</w:t>
                    </w:r>
                    <w:r>
                      <w:rPr>
                        <w:rFonts w:ascii="Trebuchet MS"/>
                        <w:spacing w:val="-3"/>
                        <w:w w:val="108"/>
                        <w:sz w:val="20"/>
                      </w:rPr>
                      <w:t>e</w:t>
                    </w:r>
                    <w:r>
                      <w:rPr>
                        <w:rFonts w:ascii="Trebuchet MS"/>
                        <w:w w:val="55"/>
                        <w:sz w:val="20"/>
                      </w:rPr>
                      <w:t>.</w:t>
                    </w:r>
                  </w:p>
                  <w:p>
                    <w:pPr>
                      <w:spacing w:line="247" w:lineRule="auto" w:before="88"/>
                      <w:ind w:left="0" w:right="0" w:firstLine="0"/>
                      <w:jc w:val="left"/>
                      <w:rPr>
                        <w:rFonts w:ascii="Trebuchet MS" w:hAnsi="Trebuchet MS"/>
                        <w:sz w:val="20"/>
                      </w:rPr>
                    </w:pPr>
                    <w:r>
                      <w:rPr>
                        <w:rFonts w:ascii="Trebuchet MS" w:hAnsi="Trebuchet MS"/>
                        <w:sz w:val="20"/>
                      </w:rPr>
                      <w:t>An oath or affirmation should be included in the Juries </w:t>
                    </w:r>
                    <w:r>
                      <w:rPr>
                        <w:rFonts w:ascii="Trebuchet MS" w:hAnsi="Trebuchet MS"/>
                        <w:spacing w:val="-2"/>
                        <w:sz w:val="20"/>
                      </w:rPr>
                      <w:t>Act </w:t>
                    </w:r>
                    <w:r>
                      <w:rPr>
                        <w:rFonts w:ascii="Trebuchet MS" w:hAnsi="Trebuchet MS"/>
                        <w:sz w:val="20"/>
                      </w:rPr>
                      <w:t>regarding the support </w:t>
                    </w:r>
                    <w:r>
                      <w:rPr>
                        <w:rFonts w:ascii="Trebuchet MS" w:hAnsi="Trebuchet MS"/>
                        <w:spacing w:val="-1"/>
                        <w:w w:val="111"/>
                        <w:sz w:val="20"/>
                      </w:rPr>
                      <w:t>p</w:t>
                    </w:r>
                    <w:r>
                      <w:rPr>
                        <w:rFonts w:ascii="Trebuchet MS" w:hAnsi="Trebuchet MS"/>
                        <w:spacing w:val="-1"/>
                        <w:w w:val="108"/>
                        <w:sz w:val="20"/>
                      </w:rPr>
                      <w:t>e</w:t>
                    </w:r>
                    <w:r>
                      <w:rPr>
                        <w:rFonts w:ascii="Trebuchet MS" w:hAnsi="Trebuchet MS"/>
                        <w:spacing w:val="-1"/>
                        <w:w w:val="93"/>
                        <w:sz w:val="20"/>
                      </w:rPr>
                      <w:t>r</w:t>
                    </w:r>
                    <w:r>
                      <w:rPr>
                        <w:rFonts w:ascii="Trebuchet MS" w:hAnsi="Trebuchet MS"/>
                        <w:spacing w:val="-1"/>
                        <w:w w:val="122"/>
                        <w:sz w:val="20"/>
                      </w:rPr>
                      <w:t>s</w:t>
                    </w:r>
                    <w:r>
                      <w:rPr>
                        <w:rFonts w:ascii="Trebuchet MS" w:hAnsi="Trebuchet MS"/>
                        <w:spacing w:val="-1"/>
                        <w:w w:val="111"/>
                        <w:sz w:val="20"/>
                      </w:rPr>
                      <w:t>o</w:t>
                    </w:r>
                    <w:r>
                      <w:rPr>
                        <w:rFonts w:ascii="Trebuchet MS" w:hAnsi="Trebuchet MS"/>
                        <w:spacing w:val="-6"/>
                        <w:w w:val="107"/>
                        <w:sz w:val="20"/>
                      </w:rPr>
                      <w:t>n</w:t>
                    </w:r>
                    <w:r>
                      <w:rPr>
                        <w:rFonts w:ascii="Trebuchet MS" w:hAnsi="Trebuchet MS"/>
                        <w:spacing w:val="-6"/>
                        <w:w w:val="54"/>
                        <w:sz w:val="20"/>
                      </w:rPr>
                      <w:t>’</w:t>
                    </w:r>
                    <w:r>
                      <w:rPr>
                        <w:rFonts w:ascii="Trebuchet MS" w:hAnsi="Trebuchet MS"/>
                        <w:w w:val="122"/>
                        <w:sz w:val="20"/>
                      </w:rPr>
                      <w:t>s</w:t>
                    </w:r>
                    <w:r>
                      <w:rPr>
                        <w:rFonts w:ascii="Trebuchet MS" w:hAnsi="Trebuchet MS"/>
                        <w:spacing w:val="-14"/>
                        <w:sz w:val="20"/>
                      </w:rPr>
                      <w:t> </w:t>
                    </w:r>
                    <w:r>
                      <w:rPr>
                        <w:rFonts w:ascii="Trebuchet MS" w:hAnsi="Trebuchet MS"/>
                        <w:spacing w:val="-2"/>
                        <w:w w:val="112"/>
                        <w:sz w:val="20"/>
                      </w:rPr>
                      <w:t>d</w:t>
                    </w:r>
                    <w:r>
                      <w:rPr>
                        <w:rFonts w:ascii="Trebuchet MS" w:hAnsi="Trebuchet MS"/>
                        <w:spacing w:val="-3"/>
                        <w:w w:val="109"/>
                        <w:sz w:val="20"/>
                      </w:rPr>
                      <w:t>u</w:t>
                    </w:r>
                    <w:r>
                      <w:rPr>
                        <w:rFonts w:ascii="Trebuchet MS" w:hAnsi="Trebuchet MS"/>
                        <w:w w:val="88"/>
                        <w:sz w:val="20"/>
                      </w:rPr>
                      <w:t>t</w:t>
                    </w:r>
                    <w:r>
                      <w:rPr>
                        <w:rFonts w:ascii="Trebuchet MS" w:hAnsi="Trebuchet MS"/>
                        <w:w w:val="110"/>
                        <w:sz w:val="20"/>
                      </w:rPr>
                      <w:t>y</w:t>
                    </w:r>
                    <w:r>
                      <w:rPr>
                        <w:rFonts w:ascii="Trebuchet MS" w:hAnsi="Trebuchet MS"/>
                        <w:spacing w:val="-14"/>
                        <w:sz w:val="20"/>
                      </w:rPr>
                      <w:t> </w:t>
                    </w:r>
                    <w:r>
                      <w:rPr>
                        <w:rFonts w:ascii="Trebuchet MS" w:hAnsi="Trebuchet MS"/>
                        <w:spacing w:val="-4"/>
                        <w:w w:val="88"/>
                        <w:sz w:val="20"/>
                      </w:rPr>
                      <w:t>t</w:t>
                    </w:r>
                    <w:r>
                      <w:rPr>
                        <w:rFonts w:ascii="Trebuchet MS" w:hAnsi="Trebuchet MS"/>
                        <w:w w:val="111"/>
                        <w:sz w:val="20"/>
                      </w:rPr>
                      <w:t>o</w:t>
                    </w:r>
                    <w:r>
                      <w:rPr>
                        <w:rFonts w:ascii="Trebuchet MS" w:hAnsi="Trebuchet MS"/>
                        <w:spacing w:val="-14"/>
                        <w:sz w:val="20"/>
                      </w:rPr>
                      <w:t> </w:t>
                    </w:r>
                    <w:r>
                      <w:rPr>
                        <w:rFonts w:ascii="Trebuchet MS" w:hAnsi="Trebuchet MS"/>
                        <w:spacing w:val="-1"/>
                        <w:w w:val="111"/>
                        <w:sz w:val="20"/>
                      </w:rPr>
                      <w:t>m</w:t>
                    </w:r>
                    <w:r>
                      <w:rPr>
                        <w:rFonts w:ascii="Trebuchet MS" w:hAnsi="Trebuchet MS"/>
                        <w:spacing w:val="-2"/>
                        <w:w w:val="105"/>
                        <w:sz w:val="20"/>
                      </w:rPr>
                      <w:t>a</w:t>
                    </w:r>
                    <w:r>
                      <w:rPr>
                        <w:rFonts w:ascii="Trebuchet MS" w:hAnsi="Trebuchet MS"/>
                        <w:spacing w:val="-2"/>
                        <w:w w:val="80"/>
                        <w:sz w:val="20"/>
                      </w:rPr>
                      <w:t>i</w:t>
                    </w:r>
                    <w:r>
                      <w:rPr>
                        <w:rFonts w:ascii="Trebuchet MS" w:hAnsi="Trebuchet MS"/>
                        <w:spacing w:val="-4"/>
                        <w:w w:val="107"/>
                        <w:sz w:val="20"/>
                      </w:rPr>
                      <w:t>n</w:t>
                    </w:r>
                    <w:r>
                      <w:rPr>
                        <w:rFonts w:ascii="Trebuchet MS" w:hAnsi="Trebuchet MS"/>
                        <w:w w:val="88"/>
                        <w:sz w:val="20"/>
                      </w:rPr>
                      <w:t>t</w:t>
                    </w:r>
                    <w:r>
                      <w:rPr>
                        <w:rFonts w:ascii="Trebuchet MS" w:hAnsi="Trebuchet MS"/>
                        <w:spacing w:val="-2"/>
                        <w:w w:val="105"/>
                        <w:sz w:val="20"/>
                      </w:rPr>
                      <w:t>a</w:t>
                    </w:r>
                    <w:r>
                      <w:rPr>
                        <w:rFonts w:ascii="Trebuchet MS" w:hAnsi="Trebuchet MS"/>
                        <w:spacing w:val="-2"/>
                        <w:w w:val="80"/>
                        <w:sz w:val="20"/>
                      </w:rPr>
                      <w:t>i</w:t>
                    </w:r>
                    <w:r>
                      <w:rPr>
                        <w:rFonts w:ascii="Trebuchet MS" w:hAnsi="Trebuchet MS"/>
                        <w:w w:val="107"/>
                        <w:sz w:val="20"/>
                      </w:rPr>
                      <w:t>n</w:t>
                    </w:r>
                    <w:r>
                      <w:rPr>
                        <w:rFonts w:ascii="Trebuchet MS" w:hAnsi="Trebuchet MS"/>
                        <w:spacing w:val="-14"/>
                        <w:sz w:val="20"/>
                      </w:rPr>
                      <w:t> </w:t>
                    </w:r>
                    <w:r>
                      <w:rPr>
                        <w:rFonts w:ascii="Trebuchet MS" w:hAnsi="Trebuchet MS"/>
                        <w:spacing w:val="-3"/>
                        <w:w w:val="111"/>
                        <w:sz w:val="20"/>
                      </w:rPr>
                      <w:t>c</w:t>
                    </w:r>
                    <w:r>
                      <w:rPr>
                        <w:rFonts w:ascii="Trebuchet MS" w:hAnsi="Trebuchet MS"/>
                        <w:spacing w:val="-1"/>
                        <w:w w:val="111"/>
                        <w:sz w:val="20"/>
                      </w:rPr>
                      <w:t>o</w:t>
                    </w:r>
                    <w:r>
                      <w:rPr>
                        <w:rFonts w:ascii="Trebuchet MS" w:hAnsi="Trebuchet MS"/>
                        <w:spacing w:val="-3"/>
                        <w:w w:val="107"/>
                        <w:sz w:val="20"/>
                      </w:rPr>
                      <w:t>n</w:t>
                    </w:r>
                    <w:r>
                      <w:rPr>
                        <w:rFonts w:ascii="Trebuchet MS" w:hAnsi="Trebuchet MS"/>
                        <w:w w:val="80"/>
                        <w:sz w:val="20"/>
                      </w:rPr>
                      <w:t>f</w:t>
                    </w:r>
                    <w:r>
                      <w:rPr>
                        <w:rFonts w:ascii="Trebuchet MS" w:hAnsi="Trebuchet MS"/>
                        <w:spacing w:val="-1"/>
                        <w:w w:val="80"/>
                        <w:sz w:val="20"/>
                      </w:rPr>
                      <w:t>i</w:t>
                    </w:r>
                    <w:r>
                      <w:rPr>
                        <w:rFonts w:ascii="Trebuchet MS" w:hAnsi="Trebuchet MS"/>
                        <w:spacing w:val="-2"/>
                        <w:w w:val="112"/>
                        <w:sz w:val="20"/>
                      </w:rPr>
                      <w:t>d</w:t>
                    </w:r>
                    <w:r>
                      <w:rPr>
                        <w:rFonts w:ascii="Trebuchet MS" w:hAnsi="Trebuchet MS"/>
                        <w:spacing w:val="-1"/>
                        <w:w w:val="108"/>
                        <w:sz w:val="20"/>
                      </w:rPr>
                      <w:t>e</w:t>
                    </w:r>
                    <w:r>
                      <w:rPr>
                        <w:rFonts w:ascii="Trebuchet MS" w:hAnsi="Trebuchet MS"/>
                        <w:spacing w:val="-4"/>
                        <w:w w:val="107"/>
                        <w:sz w:val="20"/>
                      </w:rPr>
                      <w:t>n</w:t>
                    </w:r>
                    <w:r>
                      <w:rPr>
                        <w:rFonts w:ascii="Trebuchet MS" w:hAnsi="Trebuchet MS"/>
                        <w:spacing w:val="-2"/>
                        <w:w w:val="88"/>
                        <w:sz w:val="20"/>
                      </w:rPr>
                      <w:t>t</w:t>
                    </w:r>
                    <w:r>
                      <w:rPr>
                        <w:rFonts w:ascii="Trebuchet MS" w:hAnsi="Trebuchet MS"/>
                        <w:spacing w:val="-1"/>
                        <w:w w:val="80"/>
                        <w:sz w:val="20"/>
                      </w:rPr>
                      <w:t>i</w:t>
                    </w:r>
                    <w:r>
                      <w:rPr>
                        <w:rFonts w:ascii="Trebuchet MS" w:hAnsi="Trebuchet MS"/>
                        <w:spacing w:val="-3"/>
                        <w:w w:val="105"/>
                        <w:sz w:val="20"/>
                      </w:rPr>
                      <w:t>a</w:t>
                    </w:r>
                    <w:r>
                      <w:rPr>
                        <w:rFonts w:ascii="Trebuchet MS" w:hAnsi="Trebuchet MS"/>
                        <w:w w:val="96"/>
                        <w:sz w:val="20"/>
                      </w:rPr>
                      <w:t>l</w:t>
                    </w:r>
                    <w:r>
                      <w:rPr>
                        <w:rFonts w:ascii="Trebuchet MS" w:hAnsi="Trebuchet MS"/>
                        <w:spacing w:val="-3"/>
                        <w:w w:val="80"/>
                        <w:sz w:val="20"/>
                      </w:rPr>
                      <w:t>i</w:t>
                    </w:r>
                    <w:r>
                      <w:rPr>
                        <w:rFonts w:ascii="Trebuchet MS" w:hAnsi="Trebuchet MS"/>
                        <w:w w:val="88"/>
                        <w:sz w:val="20"/>
                      </w:rPr>
                      <w:t>t</w:t>
                    </w:r>
                    <w:r>
                      <w:rPr>
                        <w:rFonts w:ascii="Trebuchet MS" w:hAnsi="Trebuchet MS"/>
                        <w:spacing w:val="-13"/>
                        <w:w w:val="110"/>
                        <w:sz w:val="20"/>
                      </w:rPr>
                      <w:t>y</w:t>
                    </w:r>
                    <w:r>
                      <w:rPr>
                        <w:rFonts w:ascii="Trebuchet MS" w:hAnsi="Trebuchet MS"/>
                        <w:w w:val="57"/>
                        <w:sz w:val="20"/>
                      </w:rPr>
                      <w:t>,</w:t>
                    </w:r>
                    <w:r>
                      <w:rPr>
                        <w:rFonts w:ascii="Trebuchet MS" w:hAnsi="Trebuchet MS"/>
                        <w:spacing w:val="-14"/>
                        <w:sz w:val="20"/>
                      </w:rPr>
                      <w:t> </w:t>
                    </w:r>
                    <w:r>
                      <w:rPr>
                        <w:rFonts w:ascii="Trebuchet MS" w:hAnsi="Trebuchet MS"/>
                        <w:spacing w:val="-1"/>
                        <w:w w:val="107"/>
                        <w:sz w:val="20"/>
                      </w:rPr>
                      <w:t>n</w:t>
                    </w:r>
                    <w:r>
                      <w:rPr>
                        <w:rFonts w:ascii="Trebuchet MS" w:hAnsi="Trebuchet MS"/>
                        <w:spacing w:val="-4"/>
                        <w:w w:val="111"/>
                        <w:sz w:val="20"/>
                      </w:rPr>
                      <w:t>o</w:t>
                    </w:r>
                    <w:r>
                      <w:rPr>
                        <w:rFonts w:ascii="Trebuchet MS" w:hAnsi="Trebuchet MS"/>
                        <w:w w:val="88"/>
                        <w:sz w:val="20"/>
                      </w:rPr>
                      <w:t>t</w:t>
                    </w:r>
                    <w:r>
                      <w:rPr>
                        <w:rFonts w:ascii="Trebuchet MS" w:hAnsi="Trebuchet MS"/>
                        <w:spacing w:val="-14"/>
                        <w:sz w:val="20"/>
                      </w:rPr>
                      <w:t> </w:t>
                    </w:r>
                    <w:r>
                      <w:rPr>
                        <w:rFonts w:ascii="Trebuchet MS" w:hAnsi="Trebuchet MS"/>
                        <w:spacing w:val="-1"/>
                        <w:w w:val="111"/>
                        <w:sz w:val="20"/>
                      </w:rPr>
                      <w:t>p</w:t>
                    </w:r>
                    <w:r>
                      <w:rPr>
                        <w:rFonts w:ascii="Trebuchet MS" w:hAnsi="Trebuchet MS"/>
                        <w:spacing w:val="-2"/>
                        <w:w w:val="105"/>
                        <w:sz w:val="20"/>
                      </w:rPr>
                      <w:t>a</w:t>
                    </w:r>
                    <w:r>
                      <w:rPr>
                        <w:rFonts w:ascii="Trebuchet MS" w:hAnsi="Trebuchet MS"/>
                        <w:spacing w:val="2"/>
                        <w:w w:val="93"/>
                        <w:sz w:val="20"/>
                      </w:rPr>
                      <w:t>r</w:t>
                    </w:r>
                    <w:r>
                      <w:rPr>
                        <w:rFonts w:ascii="Trebuchet MS" w:hAnsi="Trebuchet MS"/>
                        <w:spacing w:val="-2"/>
                        <w:w w:val="88"/>
                        <w:sz w:val="20"/>
                      </w:rPr>
                      <w:t>t</w:t>
                    </w:r>
                    <w:r>
                      <w:rPr>
                        <w:rFonts w:ascii="Trebuchet MS" w:hAnsi="Trebuchet MS"/>
                        <w:spacing w:val="-1"/>
                        <w:w w:val="80"/>
                        <w:sz w:val="20"/>
                      </w:rPr>
                      <w:t>i</w:t>
                    </w:r>
                    <w:r>
                      <w:rPr>
                        <w:rFonts w:ascii="Trebuchet MS" w:hAnsi="Trebuchet MS"/>
                        <w:spacing w:val="-2"/>
                        <w:w w:val="111"/>
                        <w:sz w:val="20"/>
                      </w:rPr>
                      <w:t>c</w:t>
                    </w:r>
                    <w:r>
                      <w:rPr>
                        <w:rFonts w:ascii="Trebuchet MS" w:hAnsi="Trebuchet MS"/>
                        <w:spacing w:val="-2"/>
                        <w:w w:val="80"/>
                        <w:sz w:val="20"/>
                      </w:rPr>
                      <w:t>i</w:t>
                    </w:r>
                    <w:r>
                      <w:rPr>
                        <w:rFonts w:ascii="Trebuchet MS" w:hAnsi="Trebuchet MS"/>
                        <w:spacing w:val="-1"/>
                        <w:w w:val="111"/>
                        <w:sz w:val="20"/>
                      </w:rPr>
                      <w:t>p</w:t>
                    </w:r>
                    <w:r>
                      <w:rPr>
                        <w:rFonts w:ascii="Trebuchet MS" w:hAnsi="Trebuchet MS"/>
                        <w:spacing w:val="-4"/>
                        <w:w w:val="105"/>
                        <w:sz w:val="20"/>
                      </w:rPr>
                      <w:t>a</w:t>
                    </w:r>
                    <w:r>
                      <w:rPr>
                        <w:rFonts w:ascii="Trebuchet MS" w:hAnsi="Trebuchet MS"/>
                        <w:spacing w:val="-4"/>
                        <w:w w:val="88"/>
                        <w:sz w:val="20"/>
                      </w:rPr>
                      <w:t>t</w:t>
                    </w:r>
                    <w:r>
                      <w:rPr>
                        <w:rFonts w:ascii="Trebuchet MS" w:hAnsi="Trebuchet MS"/>
                        <w:w w:val="108"/>
                        <w:sz w:val="20"/>
                      </w:rPr>
                      <w:t>e</w:t>
                    </w:r>
                    <w:r>
                      <w:rPr>
                        <w:rFonts w:ascii="Trebuchet MS" w:hAnsi="Trebuchet MS"/>
                        <w:spacing w:val="-14"/>
                        <w:sz w:val="20"/>
                      </w:rPr>
                      <w:t> </w:t>
                    </w:r>
                    <w:r>
                      <w:rPr>
                        <w:rFonts w:ascii="Trebuchet MS" w:hAnsi="Trebuchet MS"/>
                        <w:spacing w:val="-2"/>
                        <w:w w:val="80"/>
                        <w:sz w:val="20"/>
                      </w:rPr>
                      <w:t>i</w:t>
                    </w:r>
                    <w:r>
                      <w:rPr>
                        <w:rFonts w:ascii="Trebuchet MS" w:hAnsi="Trebuchet MS"/>
                        <w:w w:val="107"/>
                        <w:sz w:val="20"/>
                      </w:rPr>
                      <w:t>n</w:t>
                    </w:r>
                    <w:r>
                      <w:rPr>
                        <w:rFonts w:ascii="Trebuchet MS" w:hAnsi="Trebuchet MS"/>
                        <w:spacing w:val="-14"/>
                        <w:sz w:val="20"/>
                      </w:rPr>
                      <w:t> </w:t>
                    </w:r>
                    <w:r>
                      <w:rPr>
                        <w:rFonts w:ascii="Trebuchet MS" w:hAnsi="Trebuchet MS"/>
                        <w:spacing w:val="-1"/>
                        <w:w w:val="111"/>
                        <w:sz w:val="20"/>
                      </w:rPr>
                      <w:t>o</w:t>
                    </w:r>
                    <w:r>
                      <w:rPr>
                        <w:rFonts w:ascii="Trebuchet MS" w:hAnsi="Trebuchet MS"/>
                        <w:w w:val="93"/>
                        <w:sz w:val="20"/>
                      </w:rPr>
                      <w:t>r</w:t>
                    </w:r>
                    <w:r>
                      <w:rPr>
                        <w:rFonts w:ascii="Trebuchet MS" w:hAnsi="Trebuchet MS"/>
                        <w:spacing w:val="-14"/>
                        <w:sz w:val="20"/>
                      </w:rPr>
                      <w:t> </w:t>
                    </w:r>
                    <w:r>
                      <w:rPr>
                        <w:rFonts w:ascii="Trebuchet MS" w:hAnsi="Trebuchet MS"/>
                        <w:spacing w:val="-1"/>
                        <w:w w:val="112"/>
                        <w:sz w:val="20"/>
                      </w:rPr>
                      <w:t>d</w:t>
                    </w:r>
                    <w:r>
                      <w:rPr>
                        <w:rFonts w:ascii="Trebuchet MS" w:hAnsi="Trebuchet MS"/>
                        <w:spacing w:val="-1"/>
                        <w:w w:val="80"/>
                        <w:sz w:val="20"/>
                      </w:rPr>
                      <w:t>i</w:t>
                    </w:r>
                    <w:r>
                      <w:rPr>
                        <w:rFonts w:ascii="Trebuchet MS" w:hAnsi="Trebuchet MS"/>
                        <w:spacing w:val="-1"/>
                        <w:w w:val="122"/>
                        <w:sz w:val="20"/>
                      </w:rPr>
                      <w:t>s</w:t>
                    </w:r>
                    <w:r>
                      <w:rPr>
                        <w:rFonts w:ascii="Trebuchet MS" w:hAnsi="Trebuchet MS"/>
                        <w:spacing w:val="-3"/>
                        <w:w w:val="111"/>
                        <w:sz w:val="20"/>
                      </w:rPr>
                      <w:t>c</w:t>
                    </w:r>
                    <w:r>
                      <w:rPr>
                        <w:rFonts w:ascii="Trebuchet MS" w:hAnsi="Trebuchet MS"/>
                        <w:spacing w:val="-3"/>
                        <w:w w:val="96"/>
                        <w:sz w:val="20"/>
                      </w:rPr>
                      <w:t>l</w:t>
                    </w:r>
                    <w:r>
                      <w:rPr>
                        <w:rFonts w:ascii="Trebuchet MS" w:hAnsi="Trebuchet MS"/>
                        <w:spacing w:val="-2"/>
                        <w:w w:val="116"/>
                        <w:sz w:val="20"/>
                      </w:rPr>
                      <w:t>o</w:t>
                    </w:r>
                    <w:r>
                      <w:rPr>
                        <w:rFonts w:ascii="Trebuchet MS" w:hAnsi="Trebuchet MS"/>
                        <w:spacing w:val="-1"/>
                        <w:w w:val="116"/>
                        <w:sz w:val="20"/>
                      </w:rPr>
                      <w:t>s</w:t>
                    </w:r>
                    <w:r>
                      <w:rPr>
                        <w:rFonts w:ascii="Trebuchet MS" w:hAnsi="Trebuchet MS"/>
                        <w:w w:val="108"/>
                        <w:sz w:val="20"/>
                      </w:rPr>
                      <w:t>e</w:t>
                    </w:r>
                    <w:r>
                      <w:rPr>
                        <w:rFonts w:ascii="Trebuchet MS" w:hAnsi="Trebuchet MS"/>
                        <w:spacing w:val="-14"/>
                        <w:sz w:val="20"/>
                      </w:rPr>
                      <w:t> </w:t>
                    </w:r>
                    <w:r>
                      <w:rPr>
                        <w:rFonts w:ascii="Trebuchet MS" w:hAnsi="Trebuchet MS"/>
                        <w:spacing w:val="-2"/>
                        <w:w w:val="112"/>
                        <w:sz w:val="20"/>
                      </w:rPr>
                      <w:t>d</w:t>
                    </w:r>
                    <w:r>
                      <w:rPr>
                        <w:rFonts w:ascii="Trebuchet MS" w:hAnsi="Trebuchet MS"/>
                        <w:spacing w:val="-1"/>
                        <w:w w:val="108"/>
                        <w:sz w:val="20"/>
                      </w:rPr>
                      <w:t>e</w:t>
                    </w:r>
                    <w:r>
                      <w:rPr>
                        <w:rFonts w:ascii="Trebuchet MS" w:hAnsi="Trebuchet MS"/>
                        <w:w w:val="96"/>
                        <w:sz w:val="20"/>
                      </w:rPr>
                      <w:t>l</w:t>
                    </w:r>
                    <w:r>
                      <w:rPr>
                        <w:rFonts w:ascii="Trebuchet MS" w:hAnsi="Trebuchet MS"/>
                        <w:spacing w:val="-2"/>
                        <w:w w:val="80"/>
                        <w:sz w:val="20"/>
                      </w:rPr>
                      <w:t>i</w:t>
                    </w:r>
                    <w:r>
                      <w:rPr>
                        <w:rFonts w:ascii="Trebuchet MS" w:hAnsi="Trebuchet MS"/>
                        <w:spacing w:val="-1"/>
                        <w:w w:val="111"/>
                        <w:sz w:val="20"/>
                      </w:rPr>
                      <w:t>b</w:t>
                    </w:r>
                    <w:r>
                      <w:rPr>
                        <w:rFonts w:ascii="Trebuchet MS" w:hAnsi="Trebuchet MS"/>
                        <w:spacing w:val="-1"/>
                        <w:w w:val="108"/>
                        <w:sz w:val="20"/>
                      </w:rPr>
                      <w:t>e</w:t>
                    </w:r>
                    <w:r>
                      <w:rPr>
                        <w:rFonts w:ascii="Trebuchet MS" w:hAnsi="Trebuchet MS"/>
                        <w:spacing w:val="-2"/>
                        <w:w w:val="93"/>
                        <w:sz w:val="20"/>
                      </w:rPr>
                      <w:t>r</w:t>
                    </w:r>
                    <w:r>
                      <w:rPr>
                        <w:rFonts w:ascii="Trebuchet MS" w:hAnsi="Trebuchet MS"/>
                        <w:spacing w:val="-4"/>
                        <w:w w:val="105"/>
                        <w:sz w:val="20"/>
                      </w:rPr>
                      <w:t>a</w:t>
                    </w:r>
                    <w:r>
                      <w:rPr>
                        <w:rFonts w:ascii="Trebuchet MS" w:hAnsi="Trebuchet MS"/>
                        <w:spacing w:val="-2"/>
                        <w:w w:val="88"/>
                        <w:sz w:val="20"/>
                      </w:rPr>
                      <w:t>t</w:t>
                    </w:r>
                    <w:r>
                      <w:rPr>
                        <w:rFonts w:ascii="Trebuchet MS" w:hAnsi="Trebuchet MS"/>
                        <w:spacing w:val="-1"/>
                        <w:w w:val="80"/>
                        <w:sz w:val="20"/>
                      </w:rPr>
                      <w:t>i</w:t>
                    </w:r>
                    <w:r>
                      <w:rPr>
                        <w:rFonts w:ascii="Trebuchet MS" w:hAnsi="Trebuchet MS"/>
                        <w:spacing w:val="-1"/>
                        <w:w w:val="111"/>
                        <w:sz w:val="20"/>
                      </w:rPr>
                      <w:t>o</w:t>
                    </w:r>
                    <w:r>
                      <w:rPr>
                        <w:rFonts w:ascii="Trebuchet MS" w:hAnsi="Trebuchet MS"/>
                        <w:spacing w:val="-2"/>
                        <w:w w:val="107"/>
                        <w:sz w:val="20"/>
                      </w:rPr>
                      <w:t>n</w:t>
                    </w:r>
                    <w:r>
                      <w:rPr>
                        <w:rFonts w:ascii="Trebuchet MS" w:hAnsi="Trebuchet MS"/>
                        <w:spacing w:val="1"/>
                        <w:w w:val="122"/>
                        <w:sz w:val="20"/>
                      </w:rPr>
                      <w:t>s</w:t>
                    </w:r>
                    <w:r>
                      <w:rPr>
                        <w:rFonts w:ascii="Trebuchet MS" w:hAnsi="Trebuchet MS"/>
                        <w:w w:val="57"/>
                        <w:sz w:val="20"/>
                      </w:rPr>
                      <w:t>, </w:t>
                    </w:r>
                    <w:r>
                      <w:rPr>
                        <w:rFonts w:ascii="Trebuchet MS" w:hAnsi="Trebuchet MS"/>
                        <w:spacing w:val="-2"/>
                        <w:w w:val="105"/>
                        <w:sz w:val="20"/>
                      </w:rPr>
                      <w:t>a</w:t>
                    </w:r>
                    <w:r>
                      <w:rPr>
                        <w:rFonts w:ascii="Trebuchet MS" w:hAnsi="Trebuchet MS"/>
                        <w:spacing w:val="-1"/>
                        <w:w w:val="107"/>
                        <w:sz w:val="20"/>
                      </w:rPr>
                      <w:t>n</w:t>
                    </w:r>
                    <w:r>
                      <w:rPr>
                        <w:rFonts w:ascii="Trebuchet MS" w:hAnsi="Trebuchet MS"/>
                        <w:w w:val="112"/>
                        <w:sz w:val="20"/>
                      </w:rPr>
                      <w:t>d</w:t>
                    </w:r>
                    <w:r>
                      <w:rPr>
                        <w:rFonts w:ascii="Trebuchet MS" w:hAnsi="Trebuchet MS"/>
                        <w:spacing w:val="-14"/>
                        <w:sz w:val="20"/>
                      </w:rPr>
                      <w:t> </w:t>
                    </w:r>
                    <w:r>
                      <w:rPr>
                        <w:rFonts w:ascii="Trebuchet MS" w:hAnsi="Trebuchet MS"/>
                        <w:spacing w:val="-4"/>
                        <w:w w:val="88"/>
                        <w:sz w:val="20"/>
                      </w:rPr>
                      <w:t>t</w:t>
                    </w:r>
                    <w:r>
                      <w:rPr>
                        <w:rFonts w:ascii="Trebuchet MS" w:hAnsi="Trebuchet MS"/>
                        <w:w w:val="111"/>
                        <w:sz w:val="20"/>
                      </w:rPr>
                      <w:t>o</w:t>
                    </w:r>
                    <w:r>
                      <w:rPr>
                        <w:rFonts w:ascii="Trebuchet MS" w:hAnsi="Trebuchet MS"/>
                        <w:spacing w:val="-14"/>
                        <w:sz w:val="20"/>
                      </w:rPr>
                      <w:t> </w:t>
                    </w:r>
                    <w:r>
                      <w:rPr>
                        <w:rFonts w:ascii="Trebuchet MS" w:hAnsi="Trebuchet MS"/>
                        <w:spacing w:val="-6"/>
                        <w:w w:val="110"/>
                        <w:sz w:val="20"/>
                      </w:rPr>
                      <w:t>w</w:t>
                    </w:r>
                    <w:r>
                      <w:rPr>
                        <w:rFonts w:ascii="Trebuchet MS" w:hAnsi="Trebuchet MS"/>
                        <w:spacing w:val="-1"/>
                        <w:w w:val="108"/>
                        <w:sz w:val="20"/>
                      </w:rPr>
                      <w:t>e</w:t>
                    </w:r>
                    <w:r>
                      <w:rPr>
                        <w:rFonts w:ascii="Trebuchet MS" w:hAnsi="Trebuchet MS"/>
                        <w:spacing w:val="-2"/>
                        <w:w w:val="96"/>
                        <w:sz w:val="20"/>
                      </w:rPr>
                      <w:t>l</w:t>
                    </w:r>
                    <w:r>
                      <w:rPr>
                        <w:rFonts w:ascii="Trebuchet MS" w:hAnsi="Trebuchet MS"/>
                        <w:w w:val="96"/>
                        <w:sz w:val="20"/>
                      </w:rPr>
                      <w:t>l</w:t>
                    </w:r>
                    <w:r>
                      <w:rPr>
                        <w:rFonts w:ascii="Trebuchet MS" w:hAnsi="Trebuchet MS"/>
                        <w:spacing w:val="-14"/>
                        <w:sz w:val="20"/>
                      </w:rPr>
                      <w:t> </w:t>
                    </w:r>
                    <w:r>
                      <w:rPr>
                        <w:rFonts w:ascii="Trebuchet MS" w:hAnsi="Trebuchet MS"/>
                        <w:spacing w:val="-2"/>
                        <w:w w:val="105"/>
                        <w:sz w:val="20"/>
                      </w:rPr>
                      <w:t>a</w:t>
                    </w:r>
                    <w:r>
                      <w:rPr>
                        <w:rFonts w:ascii="Trebuchet MS" w:hAnsi="Trebuchet MS"/>
                        <w:spacing w:val="-1"/>
                        <w:w w:val="107"/>
                        <w:sz w:val="20"/>
                      </w:rPr>
                      <w:t>n</w:t>
                    </w:r>
                    <w:r>
                      <w:rPr>
                        <w:rFonts w:ascii="Trebuchet MS" w:hAnsi="Trebuchet MS"/>
                        <w:w w:val="112"/>
                        <w:sz w:val="20"/>
                      </w:rPr>
                      <w:t>d</w:t>
                    </w:r>
                    <w:r>
                      <w:rPr>
                        <w:rFonts w:ascii="Trebuchet MS" w:hAnsi="Trebuchet MS"/>
                        <w:spacing w:val="-14"/>
                        <w:sz w:val="20"/>
                      </w:rPr>
                      <w:t> </w:t>
                    </w:r>
                    <w:r>
                      <w:rPr>
                        <w:rFonts w:ascii="Trebuchet MS" w:hAnsi="Trebuchet MS"/>
                        <w:spacing w:val="-2"/>
                        <w:w w:val="88"/>
                        <w:sz w:val="20"/>
                      </w:rPr>
                      <w:t>t</w:t>
                    </w:r>
                    <w:r>
                      <w:rPr>
                        <w:rFonts w:ascii="Trebuchet MS" w:hAnsi="Trebuchet MS"/>
                        <w:spacing w:val="-2"/>
                        <w:w w:val="93"/>
                        <w:sz w:val="20"/>
                      </w:rPr>
                      <w:t>r</w:t>
                    </w:r>
                    <w:r>
                      <w:rPr>
                        <w:rFonts w:ascii="Trebuchet MS" w:hAnsi="Trebuchet MS"/>
                        <w:spacing w:val="-2"/>
                        <w:w w:val="109"/>
                        <w:sz w:val="20"/>
                      </w:rPr>
                      <w:t>u</w:t>
                    </w:r>
                    <w:r>
                      <w:rPr>
                        <w:rFonts w:ascii="Trebuchet MS" w:hAnsi="Trebuchet MS"/>
                        <w:spacing w:val="-7"/>
                        <w:w w:val="96"/>
                        <w:sz w:val="20"/>
                      </w:rPr>
                      <w:t>l</w:t>
                    </w:r>
                    <w:r>
                      <w:rPr>
                        <w:rFonts w:ascii="Trebuchet MS" w:hAnsi="Trebuchet MS"/>
                        <w:w w:val="110"/>
                        <w:sz w:val="20"/>
                      </w:rPr>
                      <w:t>y</w:t>
                    </w:r>
                    <w:r>
                      <w:rPr>
                        <w:rFonts w:ascii="Trebuchet MS" w:hAnsi="Trebuchet MS"/>
                        <w:spacing w:val="-14"/>
                        <w:sz w:val="20"/>
                      </w:rPr>
                      <w:t> </w:t>
                    </w:r>
                    <w:r>
                      <w:rPr>
                        <w:rFonts w:ascii="Trebuchet MS" w:hAnsi="Trebuchet MS"/>
                        <w:spacing w:val="-2"/>
                        <w:w w:val="122"/>
                        <w:sz w:val="20"/>
                      </w:rPr>
                      <w:t>s</w:t>
                    </w:r>
                    <w:r>
                      <w:rPr>
                        <w:rFonts w:ascii="Trebuchet MS" w:hAnsi="Trebuchet MS"/>
                        <w:spacing w:val="-1"/>
                        <w:w w:val="109"/>
                        <w:sz w:val="20"/>
                      </w:rPr>
                      <w:t>u</w:t>
                    </w:r>
                    <w:r>
                      <w:rPr>
                        <w:rFonts w:ascii="Trebuchet MS" w:hAnsi="Trebuchet MS"/>
                        <w:spacing w:val="-1"/>
                        <w:w w:val="111"/>
                        <w:sz w:val="20"/>
                      </w:rPr>
                      <w:t>pp</w:t>
                    </w:r>
                    <w:r>
                      <w:rPr>
                        <w:rFonts w:ascii="Trebuchet MS" w:hAnsi="Trebuchet MS"/>
                        <w:spacing w:val="-1"/>
                        <w:w w:val="111"/>
                        <w:sz w:val="20"/>
                      </w:rPr>
                      <w:t>o</w:t>
                    </w:r>
                    <w:r>
                      <w:rPr>
                        <w:rFonts w:ascii="Trebuchet MS" w:hAnsi="Trebuchet MS"/>
                        <w:spacing w:val="2"/>
                        <w:w w:val="93"/>
                        <w:sz w:val="20"/>
                      </w:rPr>
                      <w:t>r</w:t>
                    </w:r>
                    <w:r>
                      <w:rPr>
                        <w:rFonts w:ascii="Trebuchet MS" w:hAnsi="Trebuchet MS"/>
                        <w:w w:val="88"/>
                        <w:sz w:val="20"/>
                      </w:rPr>
                      <w:t>t</w:t>
                    </w:r>
                    <w:r>
                      <w:rPr>
                        <w:rFonts w:ascii="Trebuchet MS" w:hAnsi="Trebuchet MS"/>
                        <w:spacing w:val="-14"/>
                        <w:sz w:val="20"/>
                      </w:rPr>
                      <w:t> </w:t>
                    </w:r>
                    <w:r>
                      <w:rPr>
                        <w:rFonts w:ascii="Trebuchet MS" w:hAnsi="Trebuchet MS"/>
                        <w:spacing w:val="-2"/>
                        <w:w w:val="88"/>
                        <w:sz w:val="20"/>
                      </w:rPr>
                      <w:t>t</w:t>
                    </w:r>
                    <w:r>
                      <w:rPr>
                        <w:rFonts w:ascii="Trebuchet MS" w:hAnsi="Trebuchet MS"/>
                        <w:spacing w:val="-1"/>
                        <w:w w:val="107"/>
                        <w:sz w:val="20"/>
                      </w:rPr>
                      <w:t>h</w:t>
                    </w:r>
                    <w:r>
                      <w:rPr>
                        <w:rFonts w:ascii="Trebuchet MS" w:hAnsi="Trebuchet MS"/>
                        <w:w w:val="108"/>
                        <w:sz w:val="20"/>
                      </w:rPr>
                      <w:t>e</w:t>
                    </w:r>
                    <w:r>
                      <w:rPr>
                        <w:rFonts w:ascii="Trebuchet MS" w:hAnsi="Trebuchet MS"/>
                        <w:spacing w:val="-14"/>
                        <w:sz w:val="20"/>
                      </w:rPr>
                      <w:t> </w:t>
                    </w:r>
                    <w:r>
                      <w:rPr>
                        <w:rFonts w:ascii="Trebuchet MS" w:hAnsi="Trebuchet MS"/>
                        <w:spacing w:val="-2"/>
                        <w:w w:val="64"/>
                        <w:sz w:val="20"/>
                      </w:rPr>
                      <w:t>j</w:t>
                    </w:r>
                    <w:r>
                      <w:rPr>
                        <w:rFonts w:ascii="Trebuchet MS" w:hAnsi="Trebuchet MS"/>
                        <w:spacing w:val="-1"/>
                        <w:w w:val="109"/>
                        <w:sz w:val="20"/>
                      </w:rPr>
                      <w:t>u</w:t>
                    </w:r>
                    <w:r>
                      <w:rPr>
                        <w:rFonts w:ascii="Trebuchet MS" w:hAnsi="Trebuchet MS"/>
                        <w:spacing w:val="-4"/>
                        <w:w w:val="93"/>
                        <w:sz w:val="20"/>
                      </w:rPr>
                      <w:t>r</w:t>
                    </w:r>
                    <w:r>
                      <w:rPr>
                        <w:rFonts w:ascii="Trebuchet MS" w:hAnsi="Trebuchet MS"/>
                        <w:spacing w:val="-1"/>
                        <w:w w:val="111"/>
                        <w:sz w:val="20"/>
                      </w:rPr>
                      <w:t>o</w:t>
                    </w:r>
                    <w:r>
                      <w:rPr>
                        <w:rFonts w:ascii="Trebuchet MS" w:hAnsi="Trebuchet MS"/>
                        <w:spacing w:val="-14"/>
                        <w:w w:val="93"/>
                        <w:sz w:val="20"/>
                      </w:rPr>
                      <w:t>r</w:t>
                    </w:r>
                    <w:r>
                      <w:rPr>
                        <w:rFonts w:ascii="Trebuchet MS" w:hAnsi="Trebuchet MS"/>
                        <w:w w:val="55"/>
                        <w:sz w:val="20"/>
                      </w:rPr>
                      <w:t>.</w:t>
                    </w:r>
                  </w:p>
                </w:txbxContent>
              </v:textbox>
              <w10:wrap type="none"/>
            </v:shape>
            <v:shape style="position:absolute;left:566;top:1033;width:286;height:2650" type="#_x0000_t202" filled="false" stroked="false">
              <v:textbox inset="0,0,0,0">
                <w:txbxContent>
                  <w:p>
                    <w:pPr>
                      <w:spacing w:before="0"/>
                      <w:ind w:left="0" w:right="0" w:firstLine="0"/>
                      <w:jc w:val="left"/>
                      <w:rPr>
                        <w:rFonts w:ascii="Trebuchet MS"/>
                        <w:sz w:val="20"/>
                      </w:rPr>
                    </w:pPr>
                    <w:r>
                      <w:rPr>
                        <w:rFonts w:ascii="Trebuchet MS"/>
                        <w:w w:val="95"/>
                        <w:sz w:val="20"/>
                      </w:rPr>
                      <w:t>31.</w:t>
                    </w:r>
                  </w:p>
                  <w:p>
                    <w:pPr>
                      <w:spacing w:line="240" w:lineRule="auto" w:before="0"/>
                      <w:rPr>
                        <w:sz w:val="22"/>
                      </w:rPr>
                    </w:pPr>
                  </w:p>
                  <w:p>
                    <w:pPr>
                      <w:spacing w:line="240" w:lineRule="auto" w:before="3"/>
                      <w:rPr>
                        <w:sz w:val="19"/>
                      </w:rPr>
                    </w:pPr>
                  </w:p>
                  <w:p>
                    <w:pPr>
                      <w:spacing w:before="1"/>
                      <w:ind w:left="0" w:right="0" w:firstLine="0"/>
                      <w:jc w:val="left"/>
                      <w:rPr>
                        <w:rFonts w:ascii="Trebuchet MS"/>
                        <w:sz w:val="20"/>
                      </w:rPr>
                    </w:pPr>
                    <w:r>
                      <w:rPr>
                        <w:rFonts w:ascii="Trebuchet MS"/>
                        <w:w w:val="95"/>
                        <w:sz w:val="20"/>
                      </w:rPr>
                      <w:t>32.</w:t>
                    </w:r>
                  </w:p>
                  <w:p>
                    <w:pPr>
                      <w:spacing w:line="240" w:lineRule="auto" w:before="13"/>
                      <w:rPr>
                        <w:sz w:val="23"/>
                      </w:rPr>
                    </w:pPr>
                  </w:p>
                  <w:p>
                    <w:pPr>
                      <w:spacing w:before="0"/>
                      <w:ind w:left="0" w:right="0" w:firstLine="0"/>
                      <w:jc w:val="left"/>
                      <w:rPr>
                        <w:rFonts w:ascii="Trebuchet MS"/>
                        <w:sz w:val="20"/>
                      </w:rPr>
                    </w:pPr>
                    <w:r>
                      <w:rPr>
                        <w:rFonts w:ascii="Trebuchet MS"/>
                        <w:w w:val="95"/>
                        <w:sz w:val="20"/>
                      </w:rPr>
                      <w:t>33.</w:t>
                    </w:r>
                  </w:p>
                  <w:p>
                    <w:pPr>
                      <w:spacing w:line="240" w:lineRule="auto" w:before="0"/>
                      <w:rPr>
                        <w:sz w:val="22"/>
                      </w:rPr>
                    </w:pPr>
                  </w:p>
                  <w:p>
                    <w:pPr>
                      <w:spacing w:line="240" w:lineRule="auto" w:before="0"/>
                      <w:rPr>
                        <w:sz w:val="22"/>
                      </w:rPr>
                    </w:pPr>
                  </w:p>
                  <w:p>
                    <w:pPr>
                      <w:spacing w:line="240" w:lineRule="auto" w:before="8"/>
                      <w:rPr>
                        <w:sz w:val="14"/>
                      </w:rPr>
                    </w:pPr>
                  </w:p>
                  <w:p>
                    <w:pPr>
                      <w:spacing w:before="0"/>
                      <w:ind w:left="0" w:right="0" w:firstLine="0"/>
                      <w:jc w:val="left"/>
                      <w:rPr>
                        <w:rFonts w:ascii="Trebuchet MS"/>
                        <w:sz w:val="20"/>
                      </w:rPr>
                    </w:pPr>
                    <w:r>
                      <w:rPr>
                        <w:rFonts w:ascii="Trebuchet MS"/>
                        <w:w w:val="95"/>
                        <w:sz w:val="20"/>
                      </w:rPr>
                      <w:t>34.</w:t>
                    </w:r>
                  </w:p>
                </w:txbxContent>
              </v:textbox>
              <w10:wrap type="none"/>
            </v:shape>
            <v:shape style="position:absolute;left:340;top:0;width:8731;height:783" type="#_x0000_t202" filled="true" fillcolor="#dddfe4" stroked="false">
              <v:textbox inset="0,0,0,0">
                <w:txbxContent>
                  <w:p>
                    <w:pPr>
                      <w:spacing w:before="158"/>
                      <w:ind w:left="226" w:right="0" w:firstLine="0"/>
                      <w:jc w:val="left"/>
                      <w:rPr>
                        <w:rFonts w:ascii="Raleway ExtraBold"/>
                        <w:b/>
                        <w:sz w:val="32"/>
                      </w:rPr>
                    </w:pPr>
                    <w:r>
                      <w:rPr>
                        <w:rFonts w:ascii="Raleway ExtraBold"/>
                        <w:b/>
                        <w:color w:val="37617A"/>
                        <w:sz w:val="32"/>
                      </w:rPr>
                      <w:t>Recommendations</w:t>
                    </w:r>
                  </w:p>
                </w:txbxContent>
              </v:textbox>
              <v:fill type="solid"/>
              <w10:wrap type="none"/>
            </v:shape>
          </v:group>
        </w:pict>
      </w:r>
      <w:r>
        <w:rPr/>
      </w:r>
    </w:p>
    <w:p>
      <w:pPr>
        <w:pStyle w:val="BodyText"/>
      </w:pPr>
    </w:p>
    <w:p>
      <w:pPr>
        <w:spacing w:line="184" w:lineRule="auto" w:before="268"/>
        <w:ind w:left="967" w:right="1697" w:firstLine="0"/>
        <w:jc w:val="left"/>
        <w:rPr>
          <w:rFonts w:ascii="Raleway ExtraBold"/>
          <w:b/>
          <w:sz w:val="28"/>
        </w:rPr>
      </w:pPr>
      <w:r>
        <w:rPr>
          <w:rFonts w:ascii="Raleway ExtraBold"/>
          <w:b/>
          <w:color w:val="37617A"/>
          <w:sz w:val="28"/>
        </w:rPr>
        <w:t>New offences should exist for Auslan interpreters or support persons who breach their duties to the court</w:t>
      </w:r>
    </w:p>
    <w:p>
      <w:pPr>
        <w:pStyle w:val="ListParagraph"/>
        <w:numPr>
          <w:ilvl w:val="1"/>
          <w:numId w:val="12"/>
        </w:numPr>
        <w:tabs>
          <w:tab w:pos="1761" w:val="left" w:leader="none"/>
          <w:tab w:pos="1762" w:val="left" w:leader="none"/>
        </w:tabs>
        <w:spacing w:line="206" w:lineRule="auto" w:before="162" w:after="0"/>
        <w:ind w:left="1761" w:right="1775" w:hanging="794"/>
        <w:jc w:val="left"/>
        <w:rPr>
          <w:sz w:val="11"/>
        </w:rPr>
      </w:pPr>
      <w:r>
        <w:rPr>
          <w:sz w:val="20"/>
        </w:rPr>
        <w:t>In</w:t>
      </w:r>
      <w:r>
        <w:rPr>
          <w:spacing w:val="-8"/>
          <w:sz w:val="20"/>
        </w:rPr>
        <w:t> </w:t>
      </w:r>
      <w:r>
        <w:rPr>
          <w:sz w:val="20"/>
        </w:rPr>
        <w:t>upholding</w:t>
      </w:r>
      <w:r>
        <w:rPr>
          <w:spacing w:val="-8"/>
          <w:sz w:val="20"/>
        </w:rPr>
        <w:t> </w:t>
      </w:r>
      <w:r>
        <w:rPr>
          <w:sz w:val="20"/>
        </w:rPr>
        <w:t>the</w:t>
      </w:r>
      <w:r>
        <w:rPr>
          <w:spacing w:val="-8"/>
          <w:sz w:val="20"/>
        </w:rPr>
        <w:t> </w:t>
      </w:r>
      <w:r>
        <w:rPr>
          <w:sz w:val="20"/>
        </w:rPr>
        <w:t>13th</w:t>
      </w:r>
      <w:r>
        <w:rPr>
          <w:spacing w:val="-8"/>
          <w:sz w:val="20"/>
        </w:rPr>
        <w:t> </w:t>
      </w:r>
      <w:r>
        <w:rPr>
          <w:sz w:val="20"/>
        </w:rPr>
        <w:t>person</w:t>
      </w:r>
      <w:r>
        <w:rPr>
          <w:spacing w:val="-8"/>
          <w:sz w:val="20"/>
        </w:rPr>
        <w:t> </w:t>
      </w:r>
      <w:r>
        <w:rPr>
          <w:spacing w:val="-3"/>
          <w:sz w:val="20"/>
        </w:rPr>
        <w:t>rule,</w:t>
      </w:r>
      <w:r>
        <w:rPr>
          <w:spacing w:val="-8"/>
          <w:sz w:val="20"/>
        </w:rPr>
        <w:t> </w:t>
      </w:r>
      <w:r>
        <w:rPr>
          <w:sz w:val="20"/>
        </w:rPr>
        <w:t>the</w:t>
      </w:r>
      <w:r>
        <w:rPr>
          <w:spacing w:val="-7"/>
          <w:sz w:val="20"/>
        </w:rPr>
        <w:t> </w:t>
      </w:r>
      <w:r>
        <w:rPr>
          <w:sz w:val="20"/>
        </w:rPr>
        <w:t>High</w:t>
      </w:r>
      <w:r>
        <w:rPr>
          <w:spacing w:val="-8"/>
          <w:sz w:val="20"/>
        </w:rPr>
        <w:t> </w:t>
      </w:r>
      <w:r>
        <w:rPr>
          <w:sz w:val="20"/>
        </w:rPr>
        <w:t>Court</w:t>
      </w:r>
      <w:r>
        <w:rPr>
          <w:spacing w:val="-8"/>
          <w:sz w:val="20"/>
        </w:rPr>
        <w:t> </w:t>
      </w:r>
      <w:r>
        <w:rPr>
          <w:sz w:val="20"/>
        </w:rPr>
        <w:t>in</w:t>
      </w:r>
      <w:r>
        <w:rPr>
          <w:spacing w:val="-8"/>
          <w:sz w:val="20"/>
        </w:rPr>
        <w:t> </w:t>
      </w:r>
      <w:r>
        <w:rPr>
          <w:i/>
          <w:spacing w:val="-4"/>
          <w:sz w:val="20"/>
        </w:rPr>
        <w:t>Lyons</w:t>
      </w:r>
      <w:r>
        <w:rPr>
          <w:i/>
          <w:spacing w:val="-7"/>
          <w:sz w:val="20"/>
        </w:rPr>
        <w:t> </w:t>
      </w:r>
      <w:r>
        <w:rPr>
          <w:spacing w:val="-3"/>
          <w:sz w:val="20"/>
        </w:rPr>
        <w:t>referred</w:t>
      </w:r>
      <w:r>
        <w:rPr>
          <w:spacing w:val="-8"/>
          <w:sz w:val="20"/>
        </w:rPr>
        <w:t> </w:t>
      </w:r>
      <w:r>
        <w:rPr>
          <w:sz w:val="20"/>
        </w:rPr>
        <w:t>to</w:t>
      </w:r>
      <w:r>
        <w:rPr>
          <w:spacing w:val="-8"/>
          <w:sz w:val="20"/>
        </w:rPr>
        <w:t> </w:t>
      </w:r>
      <w:r>
        <w:rPr>
          <w:sz w:val="20"/>
        </w:rPr>
        <w:t>the</w:t>
      </w:r>
      <w:r>
        <w:rPr>
          <w:spacing w:val="-7"/>
          <w:sz w:val="20"/>
        </w:rPr>
        <w:t> </w:t>
      </w:r>
      <w:r>
        <w:rPr>
          <w:sz w:val="20"/>
        </w:rPr>
        <w:t>absence of provisions to </w:t>
      </w:r>
      <w:r>
        <w:rPr>
          <w:spacing w:val="-4"/>
          <w:sz w:val="20"/>
        </w:rPr>
        <w:t>prevent </w:t>
      </w:r>
      <w:r>
        <w:rPr>
          <w:sz w:val="20"/>
        </w:rPr>
        <w:t>an Auslan </w:t>
      </w:r>
      <w:r>
        <w:rPr>
          <w:spacing w:val="-3"/>
          <w:sz w:val="20"/>
        </w:rPr>
        <w:t>interpreter from </w:t>
      </w:r>
      <w:r>
        <w:rPr>
          <w:sz w:val="20"/>
        </w:rPr>
        <w:t>publishing information about statements</w:t>
      </w:r>
      <w:r>
        <w:rPr>
          <w:spacing w:val="-13"/>
          <w:sz w:val="20"/>
        </w:rPr>
        <w:t> </w:t>
      </w:r>
      <w:r>
        <w:rPr>
          <w:sz w:val="20"/>
        </w:rPr>
        <w:t>made,</w:t>
      </w:r>
      <w:r>
        <w:rPr>
          <w:spacing w:val="-12"/>
          <w:sz w:val="20"/>
        </w:rPr>
        <w:t> </w:t>
      </w:r>
      <w:r>
        <w:rPr>
          <w:sz w:val="20"/>
        </w:rPr>
        <w:t>opinions</w:t>
      </w:r>
      <w:r>
        <w:rPr>
          <w:spacing w:val="-12"/>
          <w:sz w:val="20"/>
        </w:rPr>
        <w:t> </w:t>
      </w:r>
      <w:r>
        <w:rPr>
          <w:sz w:val="20"/>
        </w:rPr>
        <w:t>expressed,</w:t>
      </w:r>
      <w:r>
        <w:rPr>
          <w:spacing w:val="-12"/>
          <w:sz w:val="20"/>
        </w:rPr>
        <w:t> </w:t>
      </w:r>
      <w:r>
        <w:rPr>
          <w:sz w:val="20"/>
        </w:rPr>
        <w:t>arguments</w:t>
      </w:r>
      <w:r>
        <w:rPr>
          <w:spacing w:val="-12"/>
          <w:sz w:val="20"/>
        </w:rPr>
        <w:t> </w:t>
      </w:r>
      <w:r>
        <w:rPr>
          <w:sz w:val="20"/>
        </w:rPr>
        <w:t>advanced</w:t>
      </w:r>
      <w:r>
        <w:rPr>
          <w:spacing w:val="-13"/>
          <w:sz w:val="20"/>
        </w:rPr>
        <w:t> </w:t>
      </w:r>
      <w:r>
        <w:rPr>
          <w:sz w:val="20"/>
        </w:rPr>
        <w:t>or</w:t>
      </w:r>
      <w:r>
        <w:rPr>
          <w:spacing w:val="-12"/>
          <w:sz w:val="20"/>
        </w:rPr>
        <w:t> </w:t>
      </w:r>
      <w:r>
        <w:rPr>
          <w:spacing w:val="-3"/>
          <w:sz w:val="20"/>
        </w:rPr>
        <w:t>votes</w:t>
      </w:r>
      <w:r>
        <w:rPr>
          <w:spacing w:val="-12"/>
          <w:sz w:val="20"/>
        </w:rPr>
        <w:t> </w:t>
      </w:r>
      <w:r>
        <w:rPr>
          <w:sz w:val="20"/>
        </w:rPr>
        <w:t>cast,</w:t>
      </w:r>
      <w:r>
        <w:rPr>
          <w:spacing w:val="-12"/>
          <w:sz w:val="20"/>
        </w:rPr>
        <w:t> </w:t>
      </w:r>
      <w:r>
        <w:rPr>
          <w:sz w:val="20"/>
        </w:rPr>
        <w:t>in</w:t>
      </w:r>
      <w:r>
        <w:rPr>
          <w:spacing w:val="-12"/>
          <w:sz w:val="20"/>
        </w:rPr>
        <w:t> </w:t>
      </w:r>
      <w:r>
        <w:rPr>
          <w:sz w:val="20"/>
        </w:rPr>
        <w:t>the course of a jury’s</w:t>
      </w:r>
      <w:r>
        <w:rPr>
          <w:spacing w:val="-17"/>
          <w:sz w:val="20"/>
        </w:rPr>
        <w:t> </w:t>
      </w:r>
      <w:r>
        <w:rPr>
          <w:sz w:val="20"/>
        </w:rPr>
        <w:t>deliberations.</w:t>
      </w:r>
      <w:r>
        <w:rPr>
          <w:position w:val="7"/>
          <w:sz w:val="11"/>
        </w:rPr>
        <w:t>39</w:t>
      </w:r>
    </w:p>
    <w:p>
      <w:pPr>
        <w:pStyle w:val="ListParagraph"/>
        <w:numPr>
          <w:ilvl w:val="1"/>
          <w:numId w:val="12"/>
        </w:numPr>
        <w:tabs>
          <w:tab w:pos="1761" w:val="left" w:leader="none"/>
          <w:tab w:pos="1762" w:val="left" w:leader="none"/>
        </w:tabs>
        <w:spacing w:line="206" w:lineRule="auto" w:before="125" w:after="0"/>
        <w:ind w:left="1761" w:right="1360" w:hanging="794"/>
        <w:jc w:val="left"/>
        <w:rPr>
          <w:sz w:val="20"/>
        </w:rPr>
      </w:pPr>
      <w:r>
        <w:rPr>
          <w:sz w:val="20"/>
        </w:rPr>
        <w:t>In</w:t>
      </w:r>
      <w:r>
        <w:rPr>
          <w:spacing w:val="-9"/>
          <w:sz w:val="20"/>
        </w:rPr>
        <w:t> </w:t>
      </w:r>
      <w:r>
        <w:rPr>
          <w:sz w:val="20"/>
        </w:rPr>
        <w:t>England</w:t>
      </w:r>
      <w:r>
        <w:rPr>
          <w:spacing w:val="-8"/>
          <w:sz w:val="20"/>
        </w:rPr>
        <w:t> </w:t>
      </w:r>
      <w:r>
        <w:rPr>
          <w:sz w:val="20"/>
        </w:rPr>
        <w:t>and</w:t>
      </w:r>
      <w:r>
        <w:rPr>
          <w:spacing w:val="-8"/>
          <w:sz w:val="20"/>
        </w:rPr>
        <w:t> </w:t>
      </w:r>
      <w:r>
        <w:rPr>
          <w:spacing w:val="-3"/>
          <w:sz w:val="20"/>
        </w:rPr>
        <w:t>Wales,</w:t>
      </w:r>
      <w:r>
        <w:rPr>
          <w:spacing w:val="-8"/>
          <w:sz w:val="20"/>
        </w:rPr>
        <w:t> </w:t>
      </w:r>
      <w:r>
        <w:rPr>
          <w:sz w:val="20"/>
        </w:rPr>
        <w:t>the</w:t>
      </w:r>
      <w:r>
        <w:rPr>
          <w:spacing w:val="-8"/>
          <w:sz w:val="20"/>
        </w:rPr>
        <w:t> </w:t>
      </w:r>
      <w:r>
        <w:rPr>
          <w:sz w:val="20"/>
        </w:rPr>
        <w:t>new</w:t>
      </w:r>
      <w:r>
        <w:rPr>
          <w:spacing w:val="-8"/>
          <w:sz w:val="20"/>
        </w:rPr>
        <w:t> </w:t>
      </w:r>
      <w:r>
        <w:rPr>
          <w:sz w:val="20"/>
        </w:rPr>
        <w:t>Act,</w:t>
      </w:r>
      <w:r>
        <w:rPr>
          <w:spacing w:val="-8"/>
          <w:sz w:val="20"/>
        </w:rPr>
        <w:t> </w:t>
      </w:r>
      <w:r>
        <w:rPr>
          <w:sz w:val="20"/>
        </w:rPr>
        <w:t>which</w:t>
      </w:r>
      <w:r>
        <w:rPr>
          <w:spacing w:val="-8"/>
          <w:sz w:val="20"/>
        </w:rPr>
        <w:t> </w:t>
      </w:r>
      <w:r>
        <w:rPr>
          <w:sz w:val="20"/>
        </w:rPr>
        <w:t>permits</w:t>
      </w:r>
      <w:r>
        <w:rPr>
          <w:spacing w:val="-8"/>
          <w:sz w:val="20"/>
        </w:rPr>
        <w:t> </w:t>
      </w:r>
      <w:r>
        <w:rPr>
          <w:sz w:val="20"/>
        </w:rPr>
        <w:t>BSL</w:t>
      </w:r>
      <w:r>
        <w:rPr>
          <w:spacing w:val="-8"/>
          <w:sz w:val="20"/>
        </w:rPr>
        <w:t> </w:t>
      </w:r>
      <w:r>
        <w:rPr>
          <w:spacing w:val="-3"/>
          <w:sz w:val="20"/>
        </w:rPr>
        <w:t>interpreters</w:t>
      </w:r>
      <w:r>
        <w:rPr>
          <w:spacing w:val="-8"/>
          <w:sz w:val="20"/>
        </w:rPr>
        <w:t> </w:t>
      </w:r>
      <w:r>
        <w:rPr>
          <w:spacing w:val="-3"/>
          <w:sz w:val="20"/>
        </w:rPr>
        <w:t>into</w:t>
      </w:r>
      <w:r>
        <w:rPr>
          <w:spacing w:val="-8"/>
          <w:sz w:val="20"/>
        </w:rPr>
        <w:t> </w:t>
      </w:r>
      <w:r>
        <w:rPr>
          <w:sz w:val="20"/>
        </w:rPr>
        <w:t>the</w:t>
      </w:r>
      <w:r>
        <w:rPr>
          <w:spacing w:val="-9"/>
          <w:sz w:val="20"/>
        </w:rPr>
        <w:t> </w:t>
      </w:r>
      <w:r>
        <w:rPr>
          <w:sz w:val="20"/>
        </w:rPr>
        <w:t>jury</w:t>
      </w:r>
      <w:r>
        <w:rPr>
          <w:spacing w:val="-8"/>
          <w:sz w:val="20"/>
        </w:rPr>
        <w:t> </w:t>
      </w:r>
      <w:r>
        <w:rPr>
          <w:sz w:val="20"/>
        </w:rPr>
        <w:t>room, extends the offences that </w:t>
      </w:r>
      <w:r>
        <w:rPr>
          <w:spacing w:val="-3"/>
          <w:sz w:val="20"/>
        </w:rPr>
        <w:t>apply </w:t>
      </w:r>
      <w:r>
        <w:rPr>
          <w:sz w:val="20"/>
        </w:rPr>
        <w:t>to jurors to BSL interpreters.</w:t>
      </w:r>
      <w:r>
        <w:rPr>
          <w:position w:val="7"/>
          <w:sz w:val="11"/>
        </w:rPr>
        <w:t>40 </w:t>
      </w:r>
      <w:r>
        <w:rPr>
          <w:sz w:val="20"/>
        </w:rPr>
        <w:t>The </w:t>
      </w:r>
      <w:r>
        <w:rPr>
          <w:spacing w:val="-2"/>
          <w:sz w:val="20"/>
        </w:rPr>
        <w:t>Act </w:t>
      </w:r>
      <w:r>
        <w:rPr>
          <w:sz w:val="20"/>
        </w:rPr>
        <w:t>also </w:t>
      </w:r>
      <w:r>
        <w:rPr>
          <w:spacing w:val="-3"/>
          <w:sz w:val="20"/>
        </w:rPr>
        <w:t>creates </w:t>
      </w:r>
      <w:r>
        <w:rPr>
          <w:sz w:val="20"/>
        </w:rPr>
        <w:t>a specific</w:t>
      </w:r>
      <w:r>
        <w:rPr>
          <w:spacing w:val="-13"/>
          <w:sz w:val="20"/>
        </w:rPr>
        <w:t> </w:t>
      </w:r>
      <w:r>
        <w:rPr>
          <w:sz w:val="20"/>
        </w:rPr>
        <w:t>offence</w:t>
      </w:r>
      <w:r>
        <w:rPr>
          <w:spacing w:val="-13"/>
          <w:sz w:val="20"/>
        </w:rPr>
        <w:t> </w:t>
      </w:r>
      <w:r>
        <w:rPr>
          <w:sz w:val="20"/>
        </w:rPr>
        <w:t>for</w:t>
      </w:r>
      <w:r>
        <w:rPr>
          <w:spacing w:val="-13"/>
          <w:sz w:val="20"/>
        </w:rPr>
        <w:t> </w:t>
      </w:r>
      <w:r>
        <w:rPr>
          <w:spacing w:val="-3"/>
          <w:sz w:val="20"/>
        </w:rPr>
        <w:t>‘interpreters</w:t>
      </w:r>
      <w:r>
        <w:rPr>
          <w:spacing w:val="-13"/>
          <w:sz w:val="20"/>
        </w:rPr>
        <w:t> </w:t>
      </w:r>
      <w:r>
        <w:rPr>
          <w:sz w:val="20"/>
        </w:rPr>
        <w:t>interfering</w:t>
      </w:r>
      <w:r>
        <w:rPr>
          <w:spacing w:val="-13"/>
          <w:sz w:val="20"/>
        </w:rPr>
        <w:t> </w:t>
      </w:r>
      <w:r>
        <w:rPr>
          <w:sz w:val="20"/>
        </w:rPr>
        <w:t>in</w:t>
      </w:r>
      <w:r>
        <w:rPr>
          <w:spacing w:val="-12"/>
          <w:sz w:val="20"/>
        </w:rPr>
        <w:t> </w:t>
      </w:r>
      <w:r>
        <w:rPr>
          <w:sz w:val="20"/>
        </w:rPr>
        <w:t>or</w:t>
      </w:r>
      <w:r>
        <w:rPr>
          <w:spacing w:val="-13"/>
          <w:sz w:val="20"/>
        </w:rPr>
        <w:t> </w:t>
      </w:r>
      <w:r>
        <w:rPr>
          <w:sz w:val="20"/>
        </w:rPr>
        <w:t>influencing</w:t>
      </w:r>
      <w:r>
        <w:rPr>
          <w:spacing w:val="-13"/>
          <w:sz w:val="20"/>
        </w:rPr>
        <w:t> </w:t>
      </w:r>
      <w:r>
        <w:rPr>
          <w:sz w:val="20"/>
        </w:rPr>
        <w:t>jury</w:t>
      </w:r>
      <w:r>
        <w:rPr>
          <w:spacing w:val="-13"/>
          <w:sz w:val="20"/>
        </w:rPr>
        <w:t> </w:t>
      </w:r>
      <w:r>
        <w:rPr>
          <w:sz w:val="20"/>
        </w:rPr>
        <w:t>deliberations’.</w:t>
      </w:r>
      <w:r>
        <w:rPr>
          <w:position w:val="7"/>
          <w:sz w:val="11"/>
        </w:rPr>
        <w:t>41</w:t>
      </w:r>
      <w:r>
        <w:rPr>
          <w:spacing w:val="12"/>
          <w:position w:val="7"/>
          <w:sz w:val="11"/>
        </w:rPr>
        <w:t> </w:t>
      </w:r>
      <w:r>
        <w:rPr>
          <w:sz w:val="20"/>
        </w:rPr>
        <w:t>This</w:t>
      </w:r>
      <w:r>
        <w:rPr>
          <w:spacing w:val="-13"/>
          <w:sz w:val="20"/>
        </w:rPr>
        <w:t> </w:t>
      </w:r>
      <w:r>
        <w:rPr>
          <w:sz w:val="20"/>
        </w:rPr>
        <w:t>is an</w:t>
      </w:r>
      <w:r>
        <w:rPr>
          <w:spacing w:val="-11"/>
          <w:sz w:val="20"/>
        </w:rPr>
        <w:t> </w:t>
      </w:r>
      <w:r>
        <w:rPr>
          <w:sz w:val="20"/>
        </w:rPr>
        <w:t>indictable</w:t>
      </w:r>
      <w:r>
        <w:rPr>
          <w:spacing w:val="-10"/>
          <w:sz w:val="20"/>
        </w:rPr>
        <w:t> </w:t>
      </w:r>
      <w:r>
        <w:rPr>
          <w:sz w:val="20"/>
        </w:rPr>
        <w:t>offence,</w:t>
      </w:r>
      <w:r>
        <w:rPr>
          <w:spacing w:val="-11"/>
          <w:sz w:val="20"/>
        </w:rPr>
        <w:t> </w:t>
      </w:r>
      <w:r>
        <w:rPr>
          <w:sz w:val="20"/>
        </w:rPr>
        <w:t>for</w:t>
      </w:r>
      <w:r>
        <w:rPr>
          <w:spacing w:val="-10"/>
          <w:sz w:val="20"/>
        </w:rPr>
        <w:t> </w:t>
      </w:r>
      <w:r>
        <w:rPr>
          <w:sz w:val="20"/>
        </w:rPr>
        <w:t>which</w:t>
      </w:r>
      <w:r>
        <w:rPr>
          <w:spacing w:val="-11"/>
          <w:sz w:val="20"/>
        </w:rPr>
        <w:t> </w:t>
      </w:r>
      <w:r>
        <w:rPr>
          <w:sz w:val="20"/>
        </w:rPr>
        <w:t>an</w:t>
      </w:r>
      <w:r>
        <w:rPr>
          <w:spacing w:val="-10"/>
          <w:sz w:val="20"/>
        </w:rPr>
        <w:t> </w:t>
      </w:r>
      <w:r>
        <w:rPr>
          <w:spacing w:val="-3"/>
          <w:sz w:val="20"/>
        </w:rPr>
        <w:t>interpreter</w:t>
      </w:r>
      <w:r>
        <w:rPr>
          <w:spacing w:val="-11"/>
          <w:sz w:val="20"/>
        </w:rPr>
        <w:t> </w:t>
      </w:r>
      <w:r>
        <w:rPr>
          <w:sz w:val="20"/>
        </w:rPr>
        <w:t>is</w:t>
      </w:r>
      <w:r>
        <w:rPr>
          <w:spacing w:val="-10"/>
          <w:sz w:val="20"/>
        </w:rPr>
        <w:t> </w:t>
      </w:r>
      <w:r>
        <w:rPr>
          <w:sz w:val="20"/>
        </w:rPr>
        <w:t>liable</w:t>
      </w:r>
      <w:r>
        <w:rPr>
          <w:spacing w:val="-11"/>
          <w:sz w:val="20"/>
        </w:rPr>
        <w:t> </w:t>
      </w:r>
      <w:r>
        <w:rPr>
          <w:sz w:val="20"/>
        </w:rPr>
        <w:t>to</w:t>
      </w:r>
      <w:r>
        <w:rPr>
          <w:spacing w:val="-10"/>
          <w:sz w:val="20"/>
        </w:rPr>
        <w:t> </w:t>
      </w:r>
      <w:r>
        <w:rPr>
          <w:sz w:val="20"/>
        </w:rPr>
        <w:t>imprisonment</w:t>
      </w:r>
      <w:r>
        <w:rPr>
          <w:spacing w:val="-11"/>
          <w:sz w:val="20"/>
        </w:rPr>
        <w:t> </w:t>
      </w:r>
      <w:r>
        <w:rPr>
          <w:sz w:val="20"/>
        </w:rPr>
        <w:t>for</w:t>
      </w:r>
      <w:r>
        <w:rPr>
          <w:spacing w:val="-10"/>
          <w:sz w:val="20"/>
        </w:rPr>
        <w:t> </w:t>
      </w:r>
      <w:r>
        <w:rPr>
          <w:sz w:val="20"/>
        </w:rPr>
        <w:t>a</w:t>
      </w:r>
      <w:r>
        <w:rPr>
          <w:spacing w:val="-11"/>
          <w:sz w:val="20"/>
        </w:rPr>
        <w:t> </w:t>
      </w:r>
      <w:r>
        <w:rPr>
          <w:sz w:val="20"/>
        </w:rPr>
        <w:t>term</w:t>
      </w:r>
      <w:r>
        <w:rPr>
          <w:spacing w:val="-10"/>
          <w:sz w:val="20"/>
        </w:rPr>
        <w:t> </w:t>
      </w:r>
      <w:r>
        <w:rPr>
          <w:sz w:val="20"/>
        </w:rPr>
        <w:t>not </w:t>
      </w:r>
      <w:r>
        <w:rPr>
          <w:spacing w:val="-2"/>
          <w:sz w:val="20"/>
        </w:rPr>
        <w:t>exceeding </w:t>
      </w:r>
      <w:r>
        <w:rPr>
          <w:sz w:val="20"/>
        </w:rPr>
        <w:t>two years, or a fine </w:t>
      </w:r>
      <w:r>
        <w:rPr>
          <w:spacing w:val="-3"/>
          <w:sz w:val="20"/>
        </w:rPr>
        <w:t>(or</w:t>
      </w:r>
      <w:r>
        <w:rPr>
          <w:spacing w:val="-29"/>
          <w:sz w:val="20"/>
        </w:rPr>
        <w:t> </w:t>
      </w:r>
      <w:r>
        <w:rPr>
          <w:spacing w:val="-3"/>
          <w:sz w:val="20"/>
        </w:rPr>
        <w:t>both).</w:t>
      </w:r>
    </w:p>
    <w:p>
      <w:pPr>
        <w:pStyle w:val="ListParagraph"/>
        <w:numPr>
          <w:ilvl w:val="1"/>
          <w:numId w:val="12"/>
        </w:numPr>
        <w:tabs>
          <w:tab w:pos="1761" w:val="left" w:leader="none"/>
          <w:tab w:pos="1762" w:val="left" w:leader="none"/>
        </w:tabs>
        <w:spacing w:line="206" w:lineRule="auto" w:before="126" w:after="0"/>
        <w:ind w:left="1761" w:right="1551" w:hanging="794"/>
        <w:jc w:val="left"/>
        <w:rPr>
          <w:sz w:val="11"/>
        </w:rPr>
      </w:pPr>
      <w:r>
        <w:rPr>
          <w:sz w:val="20"/>
        </w:rPr>
        <w:t>The</w:t>
      </w:r>
      <w:r>
        <w:rPr>
          <w:spacing w:val="-8"/>
          <w:sz w:val="20"/>
        </w:rPr>
        <w:t> </w:t>
      </w:r>
      <w:r>
        <w:rPr>
          <w:spacing w:val="-3"/>
          <w:sz w:val="20"/>
        </w:rPr>
        <w:t>ACT’s</w:t>
      </w:r>
      <w:r>
        <w:rPr>
          <w:spacing w:val="-8"/>
          <w:sz w:val="20"/>
        </w:rPr>
        <w:t> </w:t>
      </w:r>
      <w:r>
        <w:rPr>
          <w:sz w:val="20"/>
        </w:rPr>
        <w:t>reformed</w:t>
      </w:r>
      <w:r>
        <w:rPr>
          <w:spacing w:val="-8"/>
          <w:sz w:val="20"/>
        </w:rPr>
        <w:t> </w:t>
      </w:r>
      <w:r>
        <w:rPr>
          <w:sz w:val="20"/>
        </w:rPr>
        <w:t>Juries</w:t>
      </w:r>
      <w:r>
        <w:rPr>
          <w:spacing w:val="-8"/>
          <w:sz w:val="20"/>
        </w:rPr>
        <w:t> </w:t>
      </w:r>
      <w:r>
        <w:rPr>
          <w:spacing w:val="-2"/>
          <w:sz w:val="20"/>
        </w:rPr>
        <w:t>Act</w:t>
      </w:r>
      <w:r>
        <w:rPr>
          <w:spacing w:val="-7"/>
          <w:sz w:val="20"/>
        </w:rPr>
        <w:t> </w:t>
      </w:r>
      <w:r>
        <w:rPr>
          <w:sz w:val="20"/>
        </w:rPr>
        <w:t>does</w:t>
      </w:r>
      <w:r>
        <w:rPr>
          <w:spacing w:val="-8"/>
          <w:sz w:val="20"/>
        </w:rPr>
        <w:t> </w:t>
      </w:r>
      <w:r>
        <w:rPr>
          <w:sz w:val="20"/>
        </w:rPr>
        <w:t>not</w:t>
      </w:r>
      <w:r>
        <w:rPr>
          <w:spacing w:val="-8"/>
          <w:sz w:val="20"/>
        </w:rPr>
        <w:t> </w:t>
      </w:r>
      <w:r>
        <w:rPr>
          <w:spacing w:val="-3"/>
          <w:sz w:val="20"/>
        </w:rPr>
        <w:t>explicitly</w:t>
      </w:r>
      <w:r>
        <w:rPr>
          <w:spacing w:val="-8"/>
          <w:sz w:val="20"/>
        </w:rPr>
        <w:t> </w:t>
      </w:r>
      <w:r>
        <w:rPr>
          <w:sz w:val="20"/>
        </w:rPr>
        <w:t>extend</w:t>
      </w:r>
      <w:r>
        <w:rPr>
          <w:spacing w:val="-8"/>
          <w:sz w:val="20"/>
        </w:rPr>
        <w:t> </w:t>
      </w:r>
      <w:r>
        <w:rPr>
          <w:sz w:val="20"/>
        </w:rPr>
        <w:t>penalties</w:t>
      </w:r>
      <w:r>
        <w:rPr>
          <w:spacing w:val="-7"/>
          <w:sz w:val="20"/>
        </w:rPr>
        <w:t> </w:t>
      </w:r>
      <w:r>
        <w:rPr>
          <w:sz w:val="20"/>
        </w:rPr>
        <w:t>to</w:t>
      </w:r>
      <w:r>
        <w:rPr>
          <w:spacing w:val="-8"/>
          <w:sz w:val="20"/>
        </w:rPr>
        <w:t> </w:t>
      </w:r>
      <w:r>
        <w:rPr>
          <w:spacing w:val="-3"/>
          <w:sz w:val="20"/>
        </w:rPr>
        <w:t>interpreters</w:t>
      </w:r>
      <w:r>
        <w:rPr>
          <w:spacing w:val="-8"/>
          <w:sz w:val="20"/>
        </w:rPr>
        <w:t> </w:t>
      </w:r>
      <w:r>
        <w:rPr>
          <w:sz w:val="20"/>
        </w:rPr>
        <w:t>or support</w:t>
      </w:r>
      <w:r>
        <w:rPr>
          <w:spacing w:val="-4"/>
          <w:sz w:val="20"/>
        </w:rPr>
        <w:t> </w:t>
      </w:r>
      <w:r>
        <w:rPr>
          <w:sz w:val="20"/>
        </w:rPr>
        <w:t>persons.</w:t>
      </w:r>
      <w:r>
        <w:rPr>
          <w:position w:val="7"/>
          <w:sz w:val="11"/>
        </w:rPr>
        <w:t>42</w:t>
      </w:r>
    </w:p>
    <w:p>
      <w:pPr>
        <w:pStyle w:val="ListParagraph"/>
        <w:numPr>
          <w:ilvl w:val="1"/>
          <w:numId w:val="12"/>
        </w:numPr>
        <w:tabs>
          <w:tab w:pos="1761" w:val="left" w:leader="none"/>
          <w:tab w:pos="1762" w:val="left" w:leader="none"/>
        </w:tabs>
        <w:spacing w:line="259" w:lineRule="exact" w:before="91" w:after="0"/>
        <w:ind w:left="1761" w:right="0" w:hanging="794"/>
        <w:jc w:val="left"/>
        <w:rPr>
          <w:sz w:val="20"/>
        </w:rPr>
      </w:pPr>
      <w:r>
        <w:rPr>
          <w:sz w:val="20"/>
        </w:rPr>
        <w:t>Introducing</w:t>
      </w:r>
      <w:r>
        <w:rPr>
          <w:spacing w:val="-7"/>
          <w:sz w:val="20"/>
        </w:rPr>
        <w:t> </w:t>
      </w:r>
      <w:r>
        <w:rPr>
          <w:sz w:val="20"/>
        </w:rPr>
        <w:t>new</w:t>
      </w:r>
      <w:r>
        <w:rPr>
          <w:spacing w:val="-7"/>
          <w:sz w:val="20"/>
        </w:rPr>
        <w:t> </w:t>
      </w:r>
      <w:r>
        <w:rPr>
          <w:sz w:val="20"/>
        </w:rPr>
        <w:t>penalties</w:t>
      </w:r>
      <w:r>
        <w:rPr>
          <w:spacing w:val="-7"/>
          <w:sz w:val="20"/>
        </w:rPr>
        <w:t> </w:t>
      </w:r>
      <w:r>
        <w:rPr>
          <w:sz w:val="20"/>
        </w:rPr>
        <w:t>in</w:t>
      </w:r>
      <w:r>
        <w:rPr>
          <w:spacing w:val="-6"/>
          <w:sz w:val="20"/>
        </w:rPr>
        <w:t> </w:t>
      </w:r>
      <w:r>
        <w:rPr>
          <w:sz w:val="20"/>
        </w:rPr>
        <w:t>Victoria</w:t>
      </w:r>
      <w:r>
        <w:rPr>
          <w:spacing w:val="-7"/>
          <w:sz w:val="20"/>
        </w:rPr>
        <w:t> </w:t>
      </w:r>
      <w:r>
        <w:rPr>
          <w:sz w:val="20"/>
        </w:rPr>
        <w:t>for</w:t>
      </w:r>
      <w:r>
        <w:rPr>
          <w:spacing w:val="-7"/>
          <w:sz w:val="20"/>
        </w:rPr>
        <w:t> </w:t>
      </w:r>
      <w:r>
        <w:rPr>
          <w:sz w:val="20"/>
        </w:rPr>
        <w:t>breach</w:t>
      </w:r>
      <w:r>
        <w:rPr>
          <w:spacing w:val="-6"/>
          <w:sz w:val="20"/>
        </w:rPr>
        <w:t> </w:t>
      </w:r>
      <w:r>
        <w:rPr>
          <w:sz w:val="20"/>
        </w:rPr>
        <w:t>of</w:t>
      </w:r>
      <w:r>
        <w:rPr>
          <w:spacing w:val="-7"/>
          <w:sz w:val="20"/>
        </w:rPr>
        <w:t> </w:t>
      </w:r>
      <w:r>
        <w:rPr>
          <w:sz w:val="20"/>
        </w:rPr>
        <w:t>duties</w:t>
      </w:r>
      <w:r>
        <w:rPr>
          <w:spacing w:val="-7"/>
          <w:sz w:val="20"/>
        </w:rPr>
        <w:t> </w:t>
      </w:r>
      <w:r>
        <w:rPr>
          <w:sz w:val="20"/>
        </w:rPr>
        <w:t>was</w:t>
      </w:r>
      <w:r>
        <w:rPr>
          <w:spacing w:val="-6"/>
          <w:sz w:val="20"/>
        </w:rPr>
        <w:t> </w:t>
      </w:r>
      <w:r>
        <w:rPr>
          <w:sz w:val="20"/>
        </w:rPr>
        <w:t>supported</w:t>
      </w:r>
      <w:r>
        <w:rPr>
          <w:spacing w:val="-7"/>
          <w:sz w:val="20"/>
        </w:rPr>
        <w:t> </w:t>
      </w:r>
      <w:r>
        <w:rPr>
          <w:sz w:val="20"/>
        </w:rPr>
        <w:t>in</w:t>
      </w:r>
      <w:r>
        <w:rPr>
          <w:spacing w:val="-7"/>
          <w:sz w:val="20"/>
        </w:rPr>
        <w:t> </w:t>
      </w:r>
      <w:r>
        <w:rPr>
          <w:sz w:val="20"/>
        </w:rPr>
        <w:t>community</w:t>
      </w:r>
    </w:p>
    <w:p>
      <w:pPr>
        <w:pStyle w:val="BodyText"/>
        <w:spacing w:line="206" w:lineRule="auto" w:before="13"/>
        <w:ind w:left="1761" w:right="1771"/>
      </w:pPr>
      <w:r>
        <w:rPr/>
        <w:t>responses. The Law Institute of Victoria suggested that a new criminal offence for</w:t>
      </w:r>
      <w:r>
        <w:rPr>
          <w:spacing w:val="-14"/>
        </w:rPr>
        <w:t> </w:t>
      </w:r>
      <w:r>
        <w:rPr/>
        <w:t>violating</w:t>
      </w:r>
      <w:r>
        <w:rPr>
          <w:spacing w:val="-14"/>
        </w:rPr>
        <w:t> </w:t>
      </w:r>
      <w:r>
        <w:rPr/>
        <w:t>the</w:t>
      </w:r>
      <w:r>
        <w:rPr>
          <w:spacing w:val="-13"/>
        </w:rPr>
        <w:t> </w:t>
      </w:r>
      <w:r>
        <w:rPr/>
        <w:t>oath</w:t>
      </w:r>
      <w:r>
        <w:rPr>
          <w:spacing w:val="-14"/>
        </w:rPr>
        <w:t> </w:t>
      </w:r>
      <w:r>
        <w:rPr/>
        <w:t>or</w:t>
      </w:r>
      <w:r>
        <w:rPr>
          <w:spacing w:val="-13"/>
        </w:rPr>
        <w:t> </w:t>
      </w:r>
      <w:r>
        <w:rPr/>
        <w:t>affirmation</w:t>
      </w:r>
      <w:r>
        <w:rPr>
          <w:spacing w:val="-14"/>
        </w:rPr>
        <w:t> </w:t>
      </w:r>
      <w:r>
        <w:rPr/>
        <w:t>could</w:t>
      </w:r>
      <w:r>
        <w:rPr>
          <w:spacing w:val="-13"/>
        </w:rPr>
        <w:t> </w:t>
      </w:r>
      <w:r>
        <w:rPr/>
        <w:t>be</w:t>
      </w:r>
      <w:r>
        <w:rPr>
          <w:spacing w:val="-14"/>
        </w:rPr>
        <w:t> </w:t>
      </w:r>
      <w:r>
        <w:rPr>
          <w:spacing w:val="-3"/>
        </w:rPr>
        <w:t>created</w:t>
      </w:r>
      <w:r>
        <w:rPr>
          <w:spacing w:val="-13"/>
        </w:rPr>
        <w:t> </w:t>
      </w:r>
      <w:r>
        <w:rPr/>
        <w:t>(similar</w:t>
      </w:r>
      <w:r>
        <w:rPr>
          <w:spacing w:val="-14"/>
        </w:rPr>
        <w:t> </w:t>
      </w:r>
      <w:r>
        <w:rPr/>
        <w:t>to</w:t>
      </w:r>
      <w:r>
        <w:rPr>
          <w:spacing w:val="-13"/>
        </w:rPr>
        <w:t> </w:t>
      </w:r>
      <w:r>
        <w:rPr/>
        <w:t>perjury),</w:t>
      </w:r>
      <w:r>
        <w:rPr>
          <w:spacing w:val="-14"/>
        </w:rPr>
        <w:t> </w:t>
      </w:r>
      <w:r>
        <w:rPr/>
        <w:t>to</w:t>
      </w:r>
      <w:r>
        <w:rPr>
          <w:spacing w:val="-13"/>
        </w:rPr>
        <w:t> </w:t>
      </w:r>
      <w:r>
        <w:rPr/>
        <w:t>ensure compliance.</w:t>
      </w:r>
      <w:r>
        <w:rPr>
          <w:position w:val="7"/>
          <w:sz w:val="11"/>
        </w:rPr>
        <w:t>43 </w:t>
      </w:r>
      <w:r>
        <w:rPr/>
        <w:t>This was </w:t>
      </w:r>
      <w:r>
        <w:rPr>
          <w:spacing w:val="-3"/>
        </w:rPr>
        <w:t>reiterated </w:t>
      </w:r>
      <w:r>
        <w:rPr/>
        <w:t>in its</w:t>
      </w:r>
      <w:r>
        <w:rPr>
          <w:spacing w:val="-27"/>
        </w:rPr>
        <w:t> </w:t>
      </w:r>
      <w:r>
        <w:rPr/>
        <w:t>submission:</w:t>
      </w:r>
    </w:p>
    <w:p>
      <w:pPr>
        <w:spacing w:line="208" w:lineRule="auto" w:before="122"/>
        <w:ind w:left="2157" w:right="1526" w:firstLine="0"/>
        <w:jc w:val="both"/>
        <w:rPr>
          <w:sz w:val="19"/>
        </w:rPr>
      </w:pPr>
      <w:r>
        <w:rPr>
          <w:sz w:val="19"/>
        </w:rPr>
        <w:t>The LIV supports the common law prohibition on supporters/interpreters assisting in the jury room to be modified by legislation. The supporter/interpreter should be required to take an affirmation that they will accurately and objectively interpret/</w:t>
      </w:r>
    </w:p>
    <w:p>
      <w:pPr>
        <w:spacing w:line="208" w:lineRule="auto" w:before="2"/>
        <w:ind w:left="2157" w:right="1110" w:firstLine="0"/>
        <w:jc w:val="left"/>
        <w:rPr>
          <w:sz w:val="11"/>
        </w:rPr>
      </w:pPr>
      <w:r>
        <w:rPr>
          <w:sz w:val="19"/>
        </w:rPr>
        <w:t>support proceedings, maintain the confidentiality and secrecy of deliberations and not disclose any information learnt in the jury room. The LIV considers that new offences should be introduced to deter supporters/interpreters from violating their affirmation, which should be of a similar nature to the court conduct based criminal offences of contempt of court or perjury.</w:t>
      </w:r>
      <w:r>
        <w:rPr>
          <w:position w:val="6"/>
          <w:sz w:val="11"/>
        </w:rPr>
        <w:t>44</w:t>
      </w:r>
    </w:p>
    <w:p>
      <w:pPr>
        <w:pStyle w:val="BodyText"/>
      </w:pPr>
    </w:p>
    <w:p>
      <w:pPr>
        <w:pStyle w:val="BodyText"/>
      </w:pPr>
    </w:p>
    <w:p>
      <w:pPr>
        <w:pStyle w:val="BodyText"/>
      </w:pPr>
    </w:p>
    <w:p>
      <w:pPr>
        <w:pStyle w:val="BodyText"/>
      </w:pPr>
    </w:p>
    <w:p>
      <w:pPr>
        <w:pStyle w:val="BodyText"/>
        <w:spacing w:before="9"/>
        <w:rPr>
          <w:sz w:val="21"/>
        </w:rPr>
      </w:pPr>
      <w:r>
        <w:rPr/>
        <w:pict>
          <v:line style="position:absolute;mso-position-horizontal-relative:page;mso-position-vertical-relative:paragraph;z-index:9344;mso-wrap-distance-left:0;mso-wrap-distance-right:0" from="79.370102pt,17.473961pt" to="515.905102pt,17.473961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tabs>
          <w:tab w:pos="1761" w:val="left" w:leader="none"/>
        </w:tabs>
        <w:spacing w:line="170" w:lineRule="exact" w:before="21"/>
        <w:ind w:left="967" w:right="0" w:firstLine="0"/>
        <w:jc w:val="left"/>
        <w:rPr>
          <w:sz w:val="13"/>
        </w:rPr>
      </w:pPr>
      <w:r>
        <w:rPr>
          <w:sz w:val="13"/>
        </w:rPr>
        <w:t>39</w:t>
        <w:tab/>
      </w:r>
      <w:r>
        <w:rPr>
          <w:i/>
          <w:sz w:val="13"/>
        </w:rPr>
        <w:t>Lyons v State of Queensland </w:t>
      </w:r>
      <w:r>
        <w:rPr>
          <w:sz w:val="13"/>
        </w:rPr>
        <w:t>[2016] HCA 38; (2016) 259 CLR 518,</w:t>
      </w:r>
      <w:r>
        <w:rPr>
          <w:spacing w:val="8"/>
          <w:sz w:val="13"/>
        </w:rPr>
        <w:t> </w:t>
      </w:r>
      <w:r>
        <w:rPr>
          <w:sz w:val="13"/>
        </w:rPr>
        <w:t>[36]–[37].</w:t>
      </w:r>
    </w:p>
    <w:p>
      <w:pPr>
        <w:pStyle w:val="ListParagraph"/>
        <w:numPr>
          <w:ilvl w:val="0"/>
          <w:numId w:val="105"/>
        </w:numPr>
        <w:tabs>
          <w:tab w:pos="1761" w:val="left" w:leader="none"/>
          <w:tab w:pos="1762" w:val="left" w:leader="none"/>
        </w:tabs>
        <w:spacing w:line="160" w:lineRule="exact" w:before="0" w:after="0"/>
        <w:ind w:left="1761" w:right="0" w:hanging="794"/>
        <w:jc w:val="left"/>
        <w:rPr>
          <w:sz w:val="13"/>
        </w:rPr>
      </w:pPr>
      <w:r>
        <w:rPr>
          <w:i/>
          <w:sz w:val="13"/>
        </w:rPr>
        <w:t>Police, Crime, Sentencing and </w:t>
      </w:r>
      <w:r>
        <w:rPr>
          <w:i/>
          <w:spacing w:val="2"/>
          <w:sz w:val="13"/>
        </w:rPr>
        <w:t>Courts </w:t>
      </w:r>
      <w:r>
        <w:rPr>
          <w:i/>
          <w:sz w:val="13"/>
        </w:rPr>
        <w:t>Act 2022 </w:t>
      </w:r>
      <w:r>
        <w:rPr>
          <w:spacing w:val="2"/>
          <w:sz w:val="13"/>
        </w:rPr>
        <w:t>(UK) </w:t>
      </w:r>
      <w:r>
        <w:rPr>
          <w:sz w:val="13"/>
        </w:rPr>
        <w:t>s</w:t>
      </w:r>
      <w:r>
        <w:rPr>
          <w:spacing w:val="-3"/>
          <w:sz w:val="13"/>
        </w:rPr>
        <w:t> </w:t>
      </w:r>
      <w:r>
        <w:rPr>
          <w:spacing w:val="2"/>
          <w:sz w:val="13"/>
        </w:rPr>
        <w:t>196.</w:t>
      </w:r>
    </w:p>
    <w:p>
      <w:pPr>
        <w:pStyle w:val="ListParagraph"/>
        <w:numPr>
          <w:ilvl w:val="0"/>
          <w:numId w:val="105"/>
        </w:numPr>
        <w:tabs>
          <w:tab w:pos="1760" w:val="left" w:leader="none"/>
          <w:tab w:pos="1762" w:val="left" w:leader="none"/>
        </w:tabs>
        <w:spacing w:line="160" w:lineRule="exact" w:before="0" w:after="0"/>
        <w:ind w:left="1761" w:right="0" w:hanging="794"/>
        <w:jc w:val="left"/>
        <w:rPr>
          <w:sz w:val="13"/>
        </w:rPr>
      </w:pPr>
      <w:r>
        <w:rPr>
          <w:sz w:val="13"/>
        </w:rPr>
        <w:t>Ibid;</w:t>
      </w:r>
      <w:r>
        <w:rPr>
          <w:spacing w:val="4"/>
          <w:sz w:val="13"/>
        </w:rPr>
        <w:t> </w:t>
      </w:r>
      <w:r>
        <w:rPr>
          <w:spacing w:val="2"/>
          <w:sz w:val="13"/>
        </w:rPr>
        <w:t>When</w:t>
      </w:r>
      <w:r>
        <w:rPr>
          <w:spacing w:val="4"/>
          <w:sz w:val="13"/>
        </w:rPr>
        <w:t> </w:t>
      </w:r>
      <w:r>
        <w:rPr>
          <w:sz w:val="13"/>
        </w:rPr>
        <w:t>this</w:t>
      </w:r>
      <w:r>
        <w:rPr>
          <w:spacing w:val="4"/>
          <w:sz w:val="13"/>
        </w:rPr>
        <w:t> </w:t>
      </w:r>
      <w:r>
        <w:rPr>
          <w:sz w:val="13"/>
        </w:rPr>
        <w:t>section</w:t>
      </w:r>
      <w:r>
        <w:rPr>
          <w:spacing w:val="4"/>
          <w:sz w:val="13"/>
        </w:rPr>
        <w:t> </w:t>
      </w:r>
      <w:r>
        <w:rPr>
          <w:sz w:val="13"/>
        </w:rPr>
        <w:t>comes</w:t>
      </w:r>
      <w:r>
        <w:rPr>
          <w:spacing w:val="4"/>
          <w:sz w:val="13"/>
        </w:rPr>
        <w:t> </w:t>
      </w:r>
      <w:r>
        <w:rPr>
          <w:sz w:val="13"/>
        </w:rPr>
        <w:t>into</w:t>
      </w:r>
      <w:r>
        <w:rPr>
          <w:spacing w:val="4"/>
          <w:sz w:val="13"/>
        </w:rPr>
        <w:t> </w:t>
      </w:r>
      <w:r>
        <w:rPr>
          <w:sz w:val="13"/>
        </w:rPr>
        <w:t>force</w:t>
      </w:r>
      <w:r>
        <w:rPr>
          <w:spacing w:val="4"/>
          <w:sz w:val="13"/>
        </w:rPr>
        <w:t> </w:t>
      </w:r>
      <w:r>
        <w:rPr>
          <w:sz w:val="13"/>
        </w:rPr>
        <w:t>on</w:t>
      </w:r>
      <w:r>
        <w:rPr>
          <w:spacing w:val="5"/>
          <w:sz w:val="13"/>
        </w:rPr>
        <w:t> </w:t>
      </w:r>
      <w:r>
        <w:rPr>
          <w:sz w:val="13"/>
        </w:rPr>
        <w:t>28</w:t>
      </w:r>
      <w:r>
        <w:rPr>
          <w:spacing w:val="4"/>
          <w:sz w:val="13"/>
        </w:rPr>
        <w:t> </w:t>
      </w:r>
      <w:r>
        <w:rPr>
          <w:sz w:val="13"/>
        </w:rPr>
        <w:t>June</w:t>
      </w:r>
      <w:r>
        <w:rPr>
          <w:spacing w:val="4"/>
          <w:sz w:val="13"/>
        </w:rPr>
        <w:t> </w:t>
      </w:r>
      <w:r>
        <w:rPr>
          <w:sz w:val="13"/>
        </w:rPr>
        <w:t>2022,</w:t>
      </w:r>
      <w:r>
        <w:rPr>
          <w:spacing w:val="4"/>
          <w:sz w:val="13"/>
        </w:rPr>
        <w:t> </w:t>
      </w:r>
      <w:r>
        <w:rPr>
          <w:sz w:val="13"/>
        </w:rPr>
        <w:t>it</w:t>
      </w:r>
      <w:r>
        <w:rPr>
          <w:spacing w:val="4"/>
          <w:sz w:val="13"/>
        </w:rPr>
        <w:t> </w:t>
      </w:r>
      <w:r>
        <w:rPr>
          <w:sz w:val="13"/>
        </w:rPr>
        <w:t>will</w:t>
      </w:r>
      <w:r>
        <w:rPr>
          <w:spacing w:val="4"/>
          <w:sz w:val="13"/>
        </w:rPr>
        <w:t> </w:t>
      </w:r>
      <w:r>
        <w:rPr>
          <w:spacing w:val="2"/>
          <w:sz w:val="13"/>
        </w:rPr>
        <w:t>insert</w:t>
      </w:r>
      <w:r>
        <w:rPr>
          <w:spacing w:val="4"/>
          <w:sz w:val="13"/>
        </w:rPr>
        <w:t> </w:t>
      </w:r>
      <w:r>
        <w:rPr>
          <w:sz w:val="13"/>
        </w:rPr>
        <w:t>a</w:t>
      </w:r>
      <w:r>
        <w:rPr>
          <w:spacing w:val="4"/>
          <w:sz w:val="13"/>
        </w:rPr>
        <w:t> </w:t>
      </w:r>
      <w:r>
        <w:rPr>
          <w:sz w:val="13"/>
        </w:rPr>
        <w:t>new</w:t>
      </w:r>
      <w:r>
        <w:rPr>
          <w:spacing w:val="5"/>
          <w:sz w:val="13"/>
        </w:rPr>
        <w:t> </w:t>
      </w:r>
      <w:r>
        <w:rPr>
          <w:sz w:val="13"/>
        </w:rPr>
        <w:t>criminal</w:t>
      </w:r>
      <w:r>
        <w:rPr>
          <w:spacing w:val="4"/>
          <w:sz w:val="13"/>
        </w:rPr>
        <w:t> </w:t>
      </w:r>
      <w:r>
        <w:rPr>
          <w:sz w:val="13"/>
        </w:rPr>
        <w:t>offence</w:t>
      </w:r>
      <w:r>
        <w:rPr>
          <w:spacing w:val="4"/>
          <w:sz w:val="13"/>
        </w:rPr>
        <w:t> </w:t>
      </w:r>
      <w:r>
        <w:rPr>
          <w:sz w:val="13"/>
        </w:rPr>
        <w:t>into</w:t>
      </w:r>
      <w:r>
        <w:rPr>
          <w:spacing w:val="4"/>
          <w:sz w:val="13"/>
        </w:rPr>
        <w:t> </w:t>
      </w:r>
      <w:r>
        <w:rPr>
          <w:sz w:val="13"/>
        </w:rPr>
        <w:t>the</w:t>
      </w:r>
      <w:r>
        <w:rPr>
          <w:spacing w:val="4"/>
          <w:sz w:val="13"/>
        </w:rPr>
        <w:t> </w:t>
      </w:r>
      <w:r>
        <w:rPr>
          <w:i/>
          <w:sz w:val="13"/>
        </w:rPr>
        <w:t>Juries</w:t>
      </w:r>
      <w:r>
        <w:rPr>
          <w:i/>
          <w:spacing w:val="4"/>
          <w:sz w:val="13"/>
        </w:rPr>
        <w:t> </w:t>
      </w:r>
      <w:r>
        <w:rPr>
          <w:i/>
          <w:sz w:val="13"/>
        </w:rPr>
        <w:t>Act</w:t>
      </w:r>
      <w:r>
        <w:rPr>
          <w:i/>
          <w:spacing w:val="4"/>
          <w:sz w:val="13"/>
        </w:rPr>
        <w:t> </w:t>
      </w:r>
      <w:r>
        <w:rPr>
          <w:i/>
          <w:sz w:val="13"/>
        </w:rPr>
        <w:t>1974</w:t>
      </w:r>
      <w:r>
        <w:rPr>
          <w:i/>
          <w:spacing w:val="4"/>
          <w:sz w:val="13"/>
        </w:rPr>
        <w:t> </w:t>
      </w:r>
      <w:r>
        <w:rPr>
          <w:spacing w:val="2"/>
          <w:sz w:val="13"/>
        </w:rPr>
        <w:t>(UK):</w:t>
      </w:r>
      <w:r>
        <w:rPr>
          <w:spacing w:val="4"/>
          <w:sz w:val="13"/>
        </w:rPr>
        <w:t> </w:t>
      </w:r>
      <w:r>
        <w:rPr>
          <w:sz w:val="13"/>
        </w:rPr>
        <w:t>‘s</w:t>
      </w:r>
      <w:r>
        <w:rPr>
          <w:spacing w:val="4"/>
          <w:sz w:val="13"/>
        </w:rPr>
        <w:t> </w:t>
      </w:r>
      <w:r>
        <w:rPr>
          <w:sz w:val="13"/>
        </w:rPr>
        <w:t>20I</w:t>
      </w:r>
    </w:p>
    <w:p>
      <w:pPr>
        <w:spacing w:line="160" w:lineRule="exact" w:before="0"/>
        <w:ind w:left="1761" w:right="0" w:firstLine="0"/>
        <w:jc w:val="left"/>
        <w:rPr>
          <w:sz w:val="13"/>
        </w:rPr>
      </w:pPr>
      <w:r>
        <w:rPr>
          <w:sz w:val="13"/>
        </w:rPr>
        <w:t>Offence: interpreters interfering in or influencing jury deliberations’.</w:t>
      </w:r>
    </w:p>
    <w:p>
      <w:pPr>
        <w:pStyle w:val="ListParagraph"/>
        <w:numPr>
          <w:ilvl w:val="0"/>
          <w:numId w:val="105"/>
        </w:numPr>
        <w:tabs>
          <w:tab w:pos="1761" w:val="left" w:leader="none"/>
          <w:tab w:pos="1762" w:val="left" w:leader="none"/>
        </w:tabs>
        <w:spacing w:line="160" w:lineRule="exact" w:before="0" w:after="0"/>
        <w:ind w:left="1761" w:right="0" w:hanging="794"/>
        <w:jc w:val="left"/>
        <w:rPr>
          <w:sz w:val="13"/>
        </w:rPr>
      </w:pPr>
      <w:r>
        <w:rPr>
          <w:i/>
          <w:sz w:val="13"/>
        </w:rPr>
        <w:t>Juries Act 1967 </w:t>
      </w:r>
      <w:r>
        <w:rPr>
          <w:sz w:val="13"/>
        </w:rPr>
        <w:t>(ACT).</w:t>
      </w:r>
    </w:p>
    <w:p>
      <w:pPr>
        <w:pStyle w:val="ListParagraph"/>
        <w:numPr>
          <w:ilvl w:val="0"/>
          <w:numId w:val="105"/>
        </w:numPr>
        <w:tabs>
          <w:tab w:pos="1760" w:val="left" w:leader="none"/>
          <w:tab w:pos="1762" w:val="left" w:leader="none"/>
        </w:tabs>
        <w:spacing w:line="160" w:lineRule="exact" w:before="0" w:after="0"/>
        <w:ind w:left="1761" w:right="0" w:hanging="794"/>
        <w:jc w:val="left"/>
        <w:rPr>
          <w:sz w:val="13"/>
        </w:rPr>
      </w:pPr>
      <w:r>
        <w:rPr>
          <w:sz w:val="13"/>
        </w:rPr>
        <w:t>Consultation 2 (Law Institute of</w:t>
      </w:r>
      <w:r>
        <w:rPr>
          <w:spacing w:val="1"/>
          <w:sz w:val="13"/>
        </w:rPr>
        <w:t> </w:t>
      </w:r>
      <w:r>
        <w:rPr>
          <w:sz w:val="13"/>
        </w:rPr>
        <w:t>Victoria).</w:t>
      </w:r>
    </w:p>
    <w:p>
      <w:pPr>
        <w:pStyle w:val="ListParagraph"/>
        <w:numPr>
          <w:ilvl w:val="0"/>
          <w:numId w:val="105"/>
        </w:numPr>
        <w:tabs>
          <w:tab w:pos="1761" w:val="left" w:leader="none"/>
          <w:tab w:pos="1762" w:val="left" w:leader="none"/>
        </w:tabs>
        <w:spacing w:line="170" w:lineRule="exact" w:before="0" w:after="0"/>
        <w:ind w:left="1761" w:right="0" w:hanging="794"/>
        <w:jc w:val="left"/>
        <w:rPr>
          <w:sz w:val="13"/>
        </w:rPr>
      </w:pPr>
      <w:r>
        <w:rPr>
          <w:spacing w:val="2"/>
          <w:sz w:val="13"/>
        </w:rPr>
        <w:t>Submission </w:t>
      </w:r>
      <w:r>
        <w:rPr>
          <w:sz w:val="13"/>
        </w:rPr>
        <w:t>7 (Law Institute of</w:t>
      </w:r>
      <w:r>
        <w:rPr>
          <w:spacing w:val="-1"/>
          <w:sz w:val="13"/>
        </w:rPr>
        <w:t> </w:t>
      </w:r>
      <w:r>
        <w:rPr>
          <w:sz w:val="13"/>
        </w:rPr>
        <w:t>Victoria).</w:t>
      </w:r>
    </w:p>
    <w:p>
      <w:pPr>
        <w:pStyle w:val="BodyText"/>
        <w:rPr>
          <w:sz w:val="28"/>
        </w:rPr>
      </w:pPr>
      <w:r>
        <w:rPr/>
        <w:br w:type="column"/>
      </w:r>
      <w:r>
        <w:rPr>
          <w:sz w:val="28"/>
        </w:rPr>
      </w:r>
    </w:p>
    <w:p>
      <w:pPr>
        <w:pStyle w:val="BodyText"/>
        <w:spacing w:before="8"/>
        <w:rPr>
          <w:sz w:val="33"/>
        </w:rPr>
      </w:pPr>
    </w:p>
    <w:p>
      <w:pPr>
        <w:spacing w:before="0"/>
        <w:ind w:left="753" w:right="0" w:firstLine="0"/>
        <w:jc w:val="left"/>
        <w:rPr>
          <w:b/>
          <w:sz w:val="24"/>
        </w:rPr>
      </w:pPr>
      <w:r>
        <w:rPr>
          <w:b/>
          <w:color w:val="37617A"/>
          <w:sz w:val="24"/>
        </w:rPr>
        <w:t>177</w:t>
      </w:r>
    </w:p>
    <w:p>
      <w:pPr>
        <w:spacing w:after="0"/>
        <w:jc w:val="left"/>
        <w:rPr>
          <w:sz w:val="24"/>
        </w:rPr>
        <w:sectPr>
          <w:type w:val="continuous"/>
          <w:pgSz w:w="11910" w:h="16840"/>
          <w:pgMar w:top="620" w:bottom="280" w:left="620" w:right="380"/>
          <w:cols w:num="2" w:equalWidth="0">
            <w:col w:w="9508" w:space="40"/>
            <w:col w:w="1362"/>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1" w:val="left" w:leader="none"/>
          <w:tab w:pos="1762" w:val="left" w:leader="none"/>
        </w:tabs>
        <w:spacing w:line="206" w:lineRule="auto" w:before="0" w:after="0"/>
        <w:ind w:left="1761" w:right="1732" w:hanging="794"/>
        <w:jc w:val="left"/>
        <w:rPr>
          <w:sz w:val="20"/>
        </w:rPr>
      </w:pPr>
      <w:r>
        <w:rPr>
          <w:sz w:val="20"/>
        </w:rPr>
        <w:t>Similar</w:t>
      </w:r>
      <w:r>
        <w:rPr>
          <w:spacing w:val="-11"/>
          <w:sz w:val="20"/>
        </w:rPr>
        <w:t> </w:t>
      </w:r>
      <w:r>
        <w:rPr>
          <w:sz w:val="20"/>
        </w:rPr>
        <w:t>points</w:t>
      </w:r>
      <w:r>
        <w:rPr>
          <w:spacing w:val="-11"/>
          <w:sz w:val="20"/>
        </w:rPr>
        <w:t> </w:t>
      </w:r>
      <w:r>
        <w:rPr>
          <w:spacing w:val="-4"/>
          <w:sz w:val="20"/>
        </w:rPr>
        <w:t>were</w:t>
      </w:r>
      <w:r>
        <w:rPr>
          <w:spacing w:val="-10"/>
          <w:sz w:val="20"/>
        </w:rPr>
        <w:t> </w:t>
      </w:r>
      <w:r>
        <w:rPr>
          <w:sz w:val="20"/>
        </w:rPr>
        <w:t>made</w:t>
      </w:r>
      <w:r>
        <w:rPr>
          <w:spacing w:val="-11"/>
          <w:sz w:val="20"/>
        </w:rPr>
        <w:t> </w:t>
      </w:r>
      <w:r>
        <w:rPr>
          <w:sz w:val="20"/>
        </w:rPr>
        <w:t>in</w:t>
      </w:r>
      <w:r>
        <w:rPr>
          <w:spacing w:val="-11"/>
          <w:sz w:val="20"/>
        </w:rPr>
        <w:t> </w:t>
      </w:r>
      <w:r>
        <w:rPr>
          <w:sz w:val="20"/>
        </w:rPr>
        <w:t>submissions</w:t>
      </w:r>
      <w:r>
        <w:rPr>
          <w:spacing w:val="-10"/>
          <w:sz w:val="20"/>
        </w:rPr>
        <w:t> </w:t>
      </w:r>
      <w:r>
        <w:rPr>
          <w:spacing w:val="-3"/>
          <w:sz w:val="20"/>
        </w:rPr>
        <w:t>by</w:t>
      </w:r>
      <w:r>
        <w:rPr>
          <w:spacing w:val="-11"/>
          <w:sz w:val="20"/>
        </w:rPr>
        <w:t> </w:t>
      </w:r>
      <w:r>
        <w:rPr>
          <w:sz w:val="20"/>
        </w:rPr>
        <w:t>Victoria</w:t>
      </w:r>
      <w:r>
        <w:rPr>
          <w:spacing w:val="-11"/>
          <w:sz w:val="20"/>
        </w:rPr>
        <w:t> </w:t>
      </w:r>
      <w:r>
        <w:rPr>
          <w:sz w:val="20"/>
        </w:rPr>
        <w:t>Legal</w:t>
      </w:r>
      <w:r>
        <w:rPr>
          <w:spacing w:val="-10"/>
          <w:sz w:val="20"/>
        </w:rPr>
        <w:t> </w:t>
      </w:r>
      <w:r>
        <w:rPr>
          <w:sz w:val="20"/>
        </w:rPr>
        <w:t>Aid,</w:t>
      </w:r>
      <w:r>
        <w:rPr>
          <w:spacing w:val="-11"/>
          <w:sz w:val="20"/>
        </w:rPr>
        <w:t> </w:t>
      </w:r>
      <w:r>
        <w:rPr>
          <w:sz w:val="20"/>
        </w:rPr>
        <w:t>Juries</w:t>
      </w:r>
      <w:r>
        <w:rPr>
          <w:spacing w:val="-11"/>
          <w:sz w:val="20"/>
        </w:rPr>
        <w:t> </w:t>
      </w:r>
      <w:r>
        <w:rPr>
          <w:sz w:val="20"/>
        </w:rPr>
        <w:t>Victoria,</w:t>
      </w:r>
      <w:r>
        <w:rPr>
          <w:spacing w:val="-10"/>
          <w:sz w:val="20"/>
        </w:rPr>
        <w:t> </w:t>
      </w:r>
      <w:r>
        <w:rPr>
          <w:sz w:val="20"/>
        </w:rPr>
        <w:t>and Vision Australia.</w:t>
      </w:r>
      <w:r>
        <w:rPr>
          <w:position w:val="7"/>
          <w:sz w:val="11"/>
        </w:rPr>
        <w:t>45 </w:t>
      </w:r>
      <w:r>
        <w:rPr>
          <w:sz w:val="20"/>
        </w:rPr>
        <w:t>Vision Australia</w:t>
      </w:r>
      <w:r>
        <w:rPr>
          <w:spacing w:val="-21"/>
          <w:sz w:val="20"/>
        </w:rPr>
        <w:t> </w:t>
      </w:r>
      <w:r>
        <w:rPr>
          <w:sz w:val="20"/>
        </w:rPr>
        <w:t>noted:</w:t>
      </w:r>
    </w:p>
    <w:p>
      <w:pPr>
        <w:spacing w:line="208" w:lineRule="auto" w:before="121"/>
        <w:ind w:left="2157" w:right="1256" w:firstLine="0"/>
        <w:jc w:val="left"/>
        <w:rPr>
          <w:sz w:val="11"/>
        </w:rPr>
      </w:pPr>
      <w:r>
        <w:rPr>
          <w:sz w:val="19"/>
        </w:rPr>
        <w:t>If existing offences do not cover a breach of confidentiality of jury deliberation by a person providing reasonable supports, then we are in favour of new offences being created. Having appropriate deterrents will help build confidence that people who are blind or</w:t>
      </w:r>
      <w:r>
        <w:rPr>
          <w:spacing w:val="-3"/>
          <w:sz w:val="19"/>
        </w:rPr>
        <w:t> have low </w:t>
      </w:r>
      <w:r>
        <w:rPr>
          <w:sz w:val="19"/>
        </w:rPr>
        <w:t>vision can be supported to serve on juries without sacrificing the sanctity of the jury room.</w:t>
      </w:r>
      <w:r>
        <w:rPr>
          <w:position w:val="6"/>
          <w:sz w:val="11"/>
        </w:rPr>
        <w:t>46</w:t>
      </w:r>
    </w:p>
    <w:p>
      <w:pPr>
        <w:pStyle w:val="ListParagraph"/>
        <w:numPr>
          <w:ilvl w:val="1"/>
          <w:numId w:val="12"/>
        </w:numPr>
        <w:tabs>
          <w:tab w:pos="1761" w:val="left" w:leader="none"/>
          <w:tab w:pos="1762" w:val="left" w:leader="none"/>
        </w:tabs>
        <w:spacing w:line="206" w:lineRule="auto" w:before="125" w:after="0"/>
        <w:ind w:left="1761" w:right="1262" w:hanging="794"/>
        <w:jc w:val="left"/>
        <w:rPr>
          <w:sz w:val="11"/>
        </w:rPr>
      </w:pPr>
      <w:r>
        <w:rPr>
          <w:sz w:val="20"/>
        </w:rPr>
        <w:t>Part</w:t>
      </w:r>
      <w:r>
        <w:rPr>
          <w:spacing w:val="-9"/>
          <w:sz w:val="20"/>
        </w:rPr>
        <w:t> </w:t>
      </w:r>
      <w:r>
        <w:rPr>
          <w:spacing w:val="-3"/>
          <w:sz w:val="20"/>
        </w:rPr>
        <w:t>10</w:t>
      </w:r>
      <w:r>
        <w:rPr>
          <w:spacing w:val="-8"/>
          <w:sz w:val="20"/>
        </w:rPr>
        <w:t> </w:t>
      </w:r>
      <w:r>
        <w:rPr>
          <w:sz w:val="20"/>
        </w:rPr>
        <w:t>of</w:t>
      </w:r>
      <w:r>
        <w:rPr>
          <w:spacing w:val="-9"/>
          <w:sz w:val="20"/>
        </w:rPr>
        <w:t> </w:t>
      </w:r>
      <w:r>
        <w:rPr>
          <w:sz w:val="20"/>
        </w:rPr>
        <w:t>the</w:t>
      </w:r>
      <w:r>
        <w:rPr>
          <w:spacing w:val="-8"/>
          <w:sz w:val="20"/>
        </w:rPr>
        <w:t> </w:t>
      </w:r>
      <w:r>
        <w:rPr>
          <w:i/>
          <w:sz w:val="20"/>
        </w:rPr>
        <w:t>Juries</w:t>
      </w:r>
      <w:r>
        <w:rPr>
          <w:i/>
          <w:spacing w:val="-9"/>
          <w:sz w:val="20"/>
        </w:rPr>
        <w:t> </w:t>
      </w:r>
      <w:r>
        <w:rPr>
          <w:i/>
          <w:sz w:val="20"/>
        </w:rPr>
        <w:t>Act</w:t>
      </w:r>
      <w:r>
        <w:rPr>
          <w:i/>
          <w:spacing w:val="-8"/>
          <w:sz w:val="20"/>
        </w:rPr>
        <w:t> </w:t>
      </w:r>
      <w:r>
        <w:rPr>
          <w:i/>
          <w:sz w:val="20"/>
        </w:rPr>
        <w:t>2000</w:t>
      </w:r>
      <w:r>
        <w:rPr>
          <w:i/>
          <w:spacing w:val="-8"/>
          <w:sz w:val="20"/>
        </w:rPr>
        <w:t> </w:t>
      </w:r>
      <w:r>
        <w:rPr>
          <w:sz w:val="20"/>
        </w:rPr>
        <w:t>(Vic)</w:t>
      </w:r>
      <w:r>
        <w:rPr>
          <w:spacing w:val="-9"/>
          <w:sz w:val="20"/>
        </w:rPr>
        <w:t> </w:t>
      </w:r>
      <w:r>
        <w:rPr>
          <w:sz w:val="20"/>
        </w:rPr>
        <w:t>(the</w:t>
      </w:r>
      <w:r>
        <w:rPr>
          <w:spacing w:val="-8"/>
          <w:sz w:val="20"/>
        </w:rPr>
        <w:t> </w:t>
      </w:r>
      <w:r>
        <w:rPr>
          <w:sz w:val="20"/>
        </w:rPr>
        <w:t>Act)</w:t>
      </w:r>
      <w:r>
        <w:rPr>
          <w:spacing w:val="-9"/>
          <w:sz w:val="20"/>
        </w:rPr>
        <w:t> </w:t>
      </w:r>
      <w:r>
        <w:rPr>
          <w:sz w:val="20"/>
        </w:rPr>
        <w:t>contains</w:t>
      </w:r>
      <w:r>
        <w:rPr>
          <w:spacing w:val="-8"/>
          <w:sz w:val="20"/>
        </w:rPr>
        <w:t> </w:t>
      </w:r>
      <w:r>
        <w:rPr>
          <w:sz w:val="20"/>
        </w:rPr>
        <w:t>a</w:t>
      </w:r>
      <w:r>
        <w:rPr>
          <w:spacing w:val="-9"/>
          <w:sz w:val="20"/>
        </w:rPr>
        <w:t> </w:t>
      </w:r>
      <w:r>
        <w:rPr>
          <w:sz w:val="20"/>
        </w:rPr>
        <w:t>list</w:t>
      </w:r>
      <w:r>
        <w:rPr>
          <w:spacing w:val="-8"/>
          <w:sz w:val="20"/>
        </w:rPr>
        <w:t> </w:t>
      </w:r>
      <w:r>
        <w:rPr>
          <w:sz w:val="20"/>
        </w:rPr>
        <w:t>of</w:t>
      </w:r>
      <w:r>
        <w:rPr>
          <w:spacing w:val="-9"/>
          <w:sz w:val="20"/>
        </w:rPr>
        <w:t> </w:t>
      </w:r>
      <w:r>
        <w:rPr>
          <w:sz w:val="20"/>
        </w:rPr>
        <w:t>offences</w:t>
      </w:r>
      <w:r>
        <w:rPr>
          <w:spacing w:val="-8"/>
          <w:sz w:val="20"/>
        </w:rPr>
        <w:t> </w:t>
      </w:r>
      <w:r>
        <w:rPr>
          <w:sz w:val="20"/>
        </w:rPr>
        <w:t>for</w:t>
      </w:r>
      <w:r>
        <w:rPr>
          <w:spacing w:val="-9"/>
          <w:sz w:val="20"/>
        </w:rPr>
        <w:t> </w:t>
      </w:r>
      <w:r>
        <w:rPr>
          <w:sz w:val="20"/>
        </w:rPr>
        <w:t>breach</w:t>
      </w:r>
      <w:r>
        <w:rPr>
          <w:spacing w:val="-8"/>
          <w:sz w:val="20"/>
        </w:rPr>
        <w:t> </w:t>
      </w:r>
      <w:r>
        <w:rPr>
          <w:sz w:val="20"/>
        </w:rPr>
        <w:t>of</w:t>
      </w:r>
      <w:r>
        <w:rPr>
          <w:spacing w:val="-9"/>
          <w:sz w:val="20"/>
        </w:rPr>
        <w:t> </w:t>
      </w:r>
      <w:r>
        <w:rPr>
          <w:sz w:val="20"/>
        </w:rPr>
        <w:t>the obligations</w:t>
      </w:r>
      <w:r>
        <w:rPr>
          <w:spacing w:val="-13"/>
          <w:sz w:val="20"/>
        </w:rPr>
        <w:t> </w:t>
      </w:r>
      <w:r>
        <w:rPr>
          <w:sz w:val="20"/>
        </w:rPr>
        <w:t>and</w:t>
      </w:r>
      <w:r>
        <w:rPr>
          <w:spacing w:val="-12"/>
          <w:sz w:val="20"/>
        </w:rPr>
        <w:t> </w:t>
      </w:r>
      <w:r>
        <w:rPr>
          <w:sz w:val="20"/>
        </w:rPr>
        <w:t>duties</w:t>
      </w:r>
      <w:r>
        <w:rPr>
          <w:spacing w:val="-12"/>
          <w:sz w:val="20"/>
        </w:rPr>
        <w:t> </w:t>
      </w:r>
      <w:r>
        <w:rPr>
          <w:sz w:val="20"/>
        </w:rPr>
        <w:t>that</w:t>
      </w:r>
      <w:r>
        <w:rPr>
          <w:spacing w:val="-12"/>
          <w:sz w:val="20"/>
        </w:rPr>
        <w:t> </w:t>
      </w:r>
      <w:r>
        <w:rPr>
          <w:sz w:val="20"/>
        </w:rPr>
        <w:t>arise</w:t>
      </w:r>
      <w:r>
        <w:rPr>
          <w:spacing w:val="-13"/>
          <w:sz w:val="20"/>
        </w:rPr>
        <w:t> </w:t>
      </w:r>
      <w:r>
        <w:rPr>
          <w:sz w:val="20"/>
        </w:rPr>
        <w:t>in</w:t>
      </w:r>
      <w:r>
        <w:rPr>
          <w:spacing w:val="-12"/>
          <w:sz w:val="20"/>
        </w:rPr>
        <w:t> </w:t>
      </w:r>
      <w:r>
        <w:rPr>
          <w:sz w:val="20"/>
        </w:rPr>
        <w:t>the</w:t>
      </w:r>
      <w:r>
        <w:rPr>
          <w:spacing w:val="-12"/>
          <w:sz w:val="20"/>
        </w:rPr>
        <w:t> </w:t>
      </w:r>
      <w:r>
        <w:rPr>
          <w:sz w:val="20"/>
        </w:rPr>
        <w:t>Act.</w:t>
      </w:r>
      <w:r>
        <w:rPr>
          <w:spacing w:val="-12"/>
          <w:sz w:val="20"/>
        </w:rPr>
        <w:t> </w:t>
      </w:r>
      <w:r>
        <w:rPr>
          <w:sz w:val="20"/>
        </w:rPr>
        <w:t>The</w:t>
      </w:r>
      <w:r>
        <w:rPr>
          <w:spacing w:val="-13"/>
          <w:sz w:val="20"/>
        </w:rPr>
        <w:t> </w:t>
      </w:r>
      <w:r>
        <w:rPr>
          <w:sz w:val="20"/>
        </w:rPr>
        <w:t>Commission</w:t>
      </w:r>
      <w:r>
        <w:rPr>
          <w:spacing w:val="-12"/>
          <w:sz w:val="20"/>
        </w:rPr>
        <w:t> </w:t>
      </w:r>
      <w:r>
        <w:rPr>
          <w:sz w:val="20"/>
        </w:rPr>
        <w:t>recommends</w:t>
      </w:r>
      <w:r>
        <w:rPr>
          <w:spacing w:val="-12"/>
          <w:sz w:val="20"/>
        </w:rPr>
        <w:t> </w:t>
      </w:r>
      <w:r>
        <w:rPr>
          <w:sz w:val="20"/>
        </w:rPr>
        <w:t>extending</w:t>
      </w:r>
      <w:r>
        <w:rPr>
          <w:spacing w:val="-12"/>
          <w:sz w:val="20"/>
        </w:rPr>
        <w:t> </w:t>
      </w:r>
      <w:r>
        <w:rPr>
          <w:sz w:val="20"/>
        </w:rPr>
        <w:t>to Auslan </w:t>
      </w:r>
      <w:r>
        <w:rPr>
          <w:spacing w:val="-3"/>
          <w:sz w:val="20"/>
        </w:rPr>
        <w:t>interpreters </w:t>
      </w:r>
      <w:r>
        <w:rPr>
          <w:sz w:val="20"/>
        </w:rPr>
        <w:t>and supporters the prohibition on jurors against making enquiries about trial matters.</w:t>
      </w:r>
      <w:r>
        <w:rPr>
          <w:position w:val="7"/>
          <w:sz w:val="11"/>
        </w:rPr>
        <w:t>47 </w:t>
      </w:r>
      <w:r>
        <w:rPr>
          <w:sz w:val="20"/>
        </w:rPr>
        <w:t>Other existing offences relating to non-publication of the names of jurors and the confidentiality of jury deliberations should also </w:t>
      </w:r>
      <w:r>
        <w:rPr>
          <w:spacing w:val="-3"/>
          <w:sz w:val="20"/>
        </w:rPr>
        <w:t>apply </w:t>
      </w:r>
      <w:r>
        <w:rPr>
          <w:sz w:val="20"/>
        </w:rPr>
        <w:t>to Auslan </w:t>
      </w:r>
      <w:r>
        <w:rPr>
          <w:spacing w:val="-3"/>
          <w:sz w:val="20"/>
        </w:rPr>
        <w:t>interpreters </w:t>
      </w:r>
      <w:r>
        <w:rPr>
          <w:sz w:val="20"/>
        </w:rPr>
        <w:t>and support</w:t>
      </w:r>
      <w:r>
        <w:rPr>
          <w:spacing w:val="-9"/>
          <w:sz w:val="20"/>
        </w:rPr>
        <w:t> </w:t>
      </w:r>
      <w:r>
        <w:rPr>
          <w:sz w:val="20"/>
        </w:rPr>
        <w:t>people.</w:t>
      </w:r>
      <w:r>
        <w:rPr>
          <w:position w:val="7"/>
          <w:sz w:val="11"/>
        </w:rPr>
        <w:t>48</w:t>
      </w:r>
    </w:p>
    <w:p>
      <w:pPr>
        <w:pStyle w:val="ListParagraph"/>
        <w:numPr>
          <w:ilvl w:val="1"/>
          <w:numId w:val="12"/>
        </w:numPr>
        <w:tabs>
          <w:tab w:pos="1761" w:val="left" w:leader="none"/>
          <w:tab w:pos="1762" w:val="left" w:leader="none"/>
        </w:tabs>
        <w:spacing w:line="206" w:lineRule="auto" w:before="127" w:after="0"/>
        <w:ind w:left="1761" w:right="1461" w:hanging="794"/>
        <w:jc w:val="left"/>
        <w:rPr>
          <w:sz w:val="20"/>
        </w:rPr>
      </w:pPr>
      <w:r>
        <w:rPr>
          <w:sz w:val="20"/>
        </w:rPr>
        <w:t>Section 65 of the </w:t>
      </w:r>
      <w:r>
        <w:rPr>
          <w:spacing w:val="-2"/>
          <w:sz w:val="20"/>
        </w:rPr>
        <w:t>Act </w:t>
      </w:r>
      <w:r>
        <w:rPr>
          <w:sz w:val="20"/>
        </w:rPr>
        <w:t>prohibits a person </w:t>
      </w:r>
      <w:r>
        <w:rPr>
          <w:spacing w:val="-3"/>
          <w:sz w:val="20"/>
        </w:rPr>
        <w:t>from directly </w:t>
      </w:r>
      <w:r>
        <w:rPr>
          <w:sz w:val="20"/>
        </w:rPr>
        <w:t>or </w:t>
      </w:r>
      <w:r>
        <w:rPr>
          <w:spacing w:val="-3"/>
          <w:sz w:val="20"/>
        </w:rPr>
        <w:t>indirectly </w:t>
      </w:r>
      <w:r>
        <w:rPr>
          <w:sz w:val="20"/>
        </w:rPr>
        <w:t>communicating </w:t>
      </w:r>
      <w:r>
        <w:rPr>
          <w:spacing w:val="-3"/>
          <w:sz w:val="20"/>
        </w:rPr>
        <w:t>any</w:t>
      </w:r>
      <w:r>
        <w:rPr>
          <w:spacing w:val="-10"/>
          <w:sz w:val="20"/>
        </w:rPr>
        <w:t> </w:t>
      </w:r>
      <w:r>
        <w:rPr>
          <w:sz w:val="20"/>
        </w:rPr>
        <w:t>information</w:t>
      </w:r>
      <w:r>
        <w:rPr>
          <w:spacing w:val="-10"/>
          <w:sz w:val="20"/>
        </w:rPr>
        <w:t> </w:t>
      </w:r>
      <w:r>
        <w:rPr>
          <w:sz w:val="20"/>
        </w:rPr>
        <w:t>that</w:t>
      </w:r>
      <w:r>
        <w:rPr>
          <w:spacing w:val="-9"/>
          <w:sz w:val="20"/>
        </w:rPr>
        <w:t> </w:t>
      </w:r>
      <w:r>
        <w:rPr>
          <w:spacing w:val="-3"/>
          <w:sz w:val="20"/>
        </w:rPr>
        <w:t>would</w:t>
      </w:r>
      <w:r>
        <w:rPr>
          <w:spacing w:val="-10"/>
          <w:sz w:val="20"/>
        </w:rPr>
        <w:t> </w:t>
      </w:r>
      <w:r>
        <w:rPr>
          <w:sz w:val="20"/>
        </w:rPr>
        <w:t>lead</w:t>
      </w:r>
      <w:r>
        <w:rPr>
          <w:spacing w:val="-9"/>
          <w:sz w:val="20"/>
        </w:rPr>
        <w:t> </w:t>
      </w:r>
      <w:r>
        <w:rPr>
          <w:sz w:val="20"/>
        </w:rPr>
        <w:t>to</w:t>
      </w:r>
      <w:r>
        <w:rPr>
          <w:spacing w:val="-10"/>
          <w:sz w:val="20"/>
        </w:rPr>
        <w:t> </w:t>
      </w:r>
      <w:r>
        <w:rPr>
          <w:sz w:val="20"/>
        </w:rPr>
        <w:t>the</w:t>
      </w:r>
      <w:r>
        <w:rPr>
          <w:spacing w:val="-9"/>
          <w:sz w:val="20"/>
        </w:rPr>
        <w:t> </w:t>
      </w:r>
      <w:r>
        <w:rPr>
          <w:sz w:val="20"/>
        </w:rPr>
        <w:t>identification</w:t>
      </w:r>
      <w:r>
        <w:rPr>
          <w:spacing w:val="-10"/>
          <w:sz w:val="20"/>
        </w:rPr>
        <w:t> </w:t>
      </w:r>
      <w:r>
        <w:rPr>
          <w:sz w:val="20"/>
        </w:rPr>
        <w:t>of</w:t>
      </w:r>
      <w:r>
        <w:rPr>
          <w:spacing w:val="-9"/>
          <w:sz w:val="20"/>
        </w:rPr>
        <w:t> </w:t>
      </w:r>
      <w:r>
        <w:rPr>
          <w:sz w:val="20"/>
        </w:rPr>
        <w:t>a</w:t>
      </w:r>
      <w:r>
        <w:rPr>
          <w:spacing w:val="-10"/>
          <w:sz w:val="20"/>
        </w:rPr>
        <w:t> </w:t>
      </w:r>
      <w:r>
        <w:rPr>
          <w:sz w:val="20"/>
        </w:rPr>
        <w:t>person</w:t>
      </w:r>
      <w:r>
        <w:rPr>
          <w:spacing w:val="-9"/>
          <w:sz w:val="20"/>
        </w:rPr>
        <w:t> </w:t>
      </w:r>
      <w:r>
        <w:rPr>
          <w:spacing w:val="-3"/>
          <w:sz w:val="20"/>
        </w:rPr>
        <w:t>from</w:t>
      </w:r>
      <w:r>
        <w:rPr>
          <w:spacing w:val="-10"/>
          <w:sz w:val="20"/>
        </w:rPr>
        <w:t> </w:t>
      </w:r>
      <w:r>
        <w:rPr>
          <w:sz w:val="20"/>
        </w:rPr>
        <w:t>a</w:t>
      </w:r>
      <w:r>
        <w:rPr>
          <w:spacing w:val="-9"/>
          <w:sz w:val="20"/>
        </w:rPr>
        <w:t> </w:t>
      </w:r>
      <w:r>
        <w:rPr>
          <w:sz w:val="20"/>
        </w:rPr>
        <w:t>jury</w:t>
      </w:r>
      <w:r>
        <w:rPr>
          <w:spacing w:val="-10"/>
          <w:sz w:val="20"/>
        </w:rPr>
        <w:t> </w:t>
      </w:r>
      <w:r>
        <w:rPr>
          <w:sz w:val="20"/>
        </w:rPr>
        <w:t>roll,</w:t>
      </w:r>
      <w:r>
        <w:rPr>
          <w:spacing w:val="-9"/>
          <w:sz w:val="20"/>
        </w:rPr>
        <w:t> </w:t>
      </w:r>
      <w:r>
        <w:rPr>
          <w:sz w:val="20"/>
        </w:rPr>
        <w:t>list</w:t>
      </w:r>
      <w:r>
        <w:rPr>
          <w:spacing w:val="-10"/>
          <w:sz w:val="20"/>
        </w:rPr>
        <w:t> </w:t>
      </w:r>
      <w:r>
        <w:rPr>
          <w:sz w:val="20"/>
        </w:rPr>
        <w:t>or panel</w:t>
      </w:r>
      <w:r>
        <w:rPr>
          <w:spacing w:val="-9"/>
          <w:sz w:val="20"/>
        </w:rPr>
        <w:t> </w:t>
      </w:r>
      <w:r>
        <w:rPr>
          <w:spacing w:val="-3"/>
          <w:sz w:val="20"/>
        </w:rPr>
        <w:t>except</w:t>
      </w:r>
      <w:r>
        <w:rPr>
          <w:spacing w:val="-8"/>
          <w:sz w:val="20"/>
        </w:rPr>
        <w:t> </w:t>
      </w:r>
      <w:r>
        <w:rPr>
          <w:sz w:val="20"/>
        </w:rPr>
        <w:t>in</w:t>
      </w:r>
      <w:r>
        <w:rPr>
          <w:spacing w:val="-8"/>
          <w:sz w:val="20"/>
        </w:rPr>
        <w:t> </w:t>
      </w:r>
      <w:r>
        <w:rPr>
          <w:spacing w:val="-3"/>
          <w:sz w:val="20"/>
        </w:rPr>
        <w:t>accordance</w:t>
      </w:r>
      <w:r>
        <w:rPr>
          <w:spacing w:val="-9"/>
          <w:sz w:val="20"/>
        </w:rPr>
        <w:t> </w:t>
      </w:r>
      <w:r>
        <w:rPr>
          <w:sz w:val="20"/>
        </w:rPr>
        <w:t>with</w:t>
      </w:r>
      <w:r>
        <w:rPr>
          <w:spacing w:val="-8"/>
          <w:sz w:val="20"/>
        </w:rPr>
        <w:t> </w:t>
      </w:r>
      <w:r>
        <w:rPr>
          <w:sz w:val="20"/>
        </w:rPr>
        <w:t>their</w:t>
      </w:r>
      <w:r>
        <w:rPr>
          <w:spacing w:val="-8"/>
          <w:sz w:val="20"/>
        </w:rPr>
        <w:t> </w:t>
      </w:r>
      <w:r>
        <w:rPr>
          <w:sz w:val="20"/>
        </w:rPr>
        <w:t>duties</w:t>
      </w:r>
      <w:r>
        <w:rPr>
          <w:spacing w:val="-8"/>
          <w:sz w:val="20"/>
        </w:rPr>
        <w:t> </w:t>
      </w:r>
      <w:r>
        <w:rPr>
          <w:sz w:val="20"/>
        </w:rPr>
        <w:t>under</w:t>
      </w:r>
      <w:r>
        <w:rPr>
          <w:spacing w:val="-9"/>
          <w:sz w:val="20"/>
        </w:rPr>
        <w:t> </w:t>
      </w:r>
      <w:r>
        <w:rPr>
          <w:sz w:val="20"/>
        </w:rPr>
        <w:t>the</w:t>
      </w:r>
      <w:r>
        <w:rPr>
          <w:spacing w:val="-8"/>
          <w:sz w:val="20"/>
        </w:rPr>
        <w:t> </w:t>
      </w:r>
      <w:r>
        <w:rPr>
          <w:sz w:val="20"/>
        </w:rPr>
        <w:t>Act.</w:t>
      </w:r>
      <w:r>
        <w:rPr>
          <w:spacing w:val="-8"/>
          <w:sz w:val="20"/>
        </w:rPr>
        <w:t> </w:t>
      </w:r>
      <w:r>
        <w:rPr>
          <w:spacing w:val="-6"/>
          <w:sz w:val="20"/>
        </w:rPr>
        <w:t>We</w:t>
      </w:r>
      <w:r>
        <w:rPr>
          <w:spacing w:val="-8"/>
          <w:sz w:val="20"/>
        </w:rPr>
        <w:t> </w:t>
      </w:r>
      <w:r>
        <w:rPr>
          <w:sz w:val="20"/>
        </w:rPr>
        <w:t>note</w:t>
      </w:r>
      <w:r>
        <w:rPr>
          <w:spacing w:val="-9"/>
          <w:sz w:val="20"/>
        </w:rPr>
        <w:t> </w:t>
      </w:r>
      <w:r>
        <w:rPr>
          <w:sz w:val="20"/>
        </w:rPr>
        <w:t>that</w:t>
      </w:r>
      <w:r>
        <w:rPr>
          <w:spacing w:val="-8"/>
          <w:sz w:val="20"/>
        </w:rPr>
        <w:t> </w:t>
      </w:r>
      <w:r>
        <w:rPr>
          <w:sz w:val="20"/>
        </w:rPr>
        <w:t>the</w:t>
      </w:r>
      <w:r>
        <w:rPr>
          <w:spacing w:val="-8"/>
          <w:sz w:val="20"/>
        </w:rPr>
        <w:t> </w:t>
      </w:r>
      <w:r>
        <w:rPr>
          <w:sz w:val="20"/>
        </w:rPr>
        <w:t>section</w:t>
      </w:r>
    </w:p>
    <w:p>
      <w:pPr>
        <w:pStyle w:val="BodyText"/>
        <w:spacing w:line="206" w:lineRule="auto" w:before="4"/>
        <w:ind w:left="1761" w:right="1123"/>
      </w:pPr>
      <w:r>
        <w:rPr/>
        <w:t>65 secrecy </w:t>
      </w:r>
      <w:r>
        <w:rPr>
          <w:spacing w:val="-3"/>
        </w:rPr>
        <w:t>provision </w:t>
      </w:r>
      <w:r>
        <w:rPr/>
        <w:t>applies to </w:t>
      </w:r>
      <w:r>
        <w:rPr>
          <w:spacing w:val="-4"/>
        </w:rPr>
        <w:t>‘any </w:t>
      </w:r>
      <w:r>
        <w:rPr/>
        <w:t>other person performing a function or </w:t>
      </w:r>
      <w:r>
        <w:rPr>
          <w:spacing w:val="-3"/>
        </w:rPr>
        <w:t>exercising </w:t>
      </w:r>
      <w:r>
        <w:rPr/>
        <w:t>a </w:t>
      </w:r>
      <w:r>
        <w:rPr>
          <w:spacing w:val="-3"/>
        </w:rPr>
        <w:t>power’ </w:t>
      </w:r>
      <w:r>
        <w:rPr/>
        <w:t>under the </w:t>
      </w:r>
      <w:r>
        <w:rPr>
          <w:spacing w:val="-2"/>
        </w:rPr>
        <w:t>Act </w:t>
      </w:r>
      <w:r>
        <w:rPr/>
        <w:t>and </w:t>
      </w:r>
      <w:r>
        <w:rPr>
          <w:spacing w:val="-3"/>
        </w:rPr>
        <w:t>would </w:t>
      </w:r>
      <w:r>
        <w:rPr/>
        <w:t>extend to an Auslan </w:t>
      </w:r>
      <w:r>
        <w:rPr>
          <w:spacing w:val="-3"/>
        </w:rPr>
        <w:t>interpreter </w:t>
      </w:r>
      <w:r>
        <w:rPr/>
        <w:t>or supporter appointed under the Act.</w:t>
      </w:r>
    </w:p>
    <w:p>
      <w:pPr>
        <w:pStyle w:val="ListParagraph"/>
        <w:numPr>
          <w:ilvl w:val="1"/>
          <w:numId w:val="12"/>
        </w:numPr>
        <w:tabs>
          <w:tab w:pos="1762" w:val="left" w:leader="none"/>
        </w:tabs>
        <w:spacing w:line="206" w:lineRule="auto" w:before="124" w:after="0"/>
        <w:ind w:left="1761" w:right="1569" w:hanging="794"/>
        <w:jc w:val="both"/>
        <w:rPr>
          <w:sz w:val="11"/>
        </w:rPr>
      </w:pPr>
      <w:r>
        <w:rPr>
          <w:sz w:val="20"/>
        </w:rPr>
        <w:t>Victoria</w:t>
      </w:r>
      <w:r>
        <w:rPr>
          <w:spacing w:val="-10"/>
          <w:sz w:val="20"/>
        </w:rPr>
        <w:t> </w:t>
      </w:r>
      <w:r>
        <w:rPr>
          <w:sz w:val="20"/>
        </w:rPr>
        <w:t>should</w:t>
      </w:r>
      <w:r>
        <w:rPr>
          <w:spacing w:val="-9"/>
          <w:sz w:val="20"/>
        </w:rPr>
        <w:t> </w:t>
      </w:r>
      <w:r>
        <w:rPr>
          <w:sz w:val="20"/>
        </w:rPr>
        <w:t>also</w:t>
      </w:r>
      <w:r>
        <w:rPr>
          <w:spacing w:val="-9"/>
          <w:sz w:val="20"/>
        </w:rPr>
        <w:t> </w:t>
      </w:r>
      <w:r>
        <w:rPr>
          <w:sz w:val="20"/>
        </w:rPr>
        <w:t>adopt</w:t>
      </w:r>
      <w:r>
        <w:rPr>
          <w:spacing w:val="-9"/>
          <w:sz w:val="20"/>
        </w:rPr>
        <w:t> </w:t>
      </w:r>
      <w:r>
        <w:rPr>
          <w:sz w:val="20"/>
        </w:rPr>
        <w:t>the</w:t>
      </w:r>
      <w:r>
        <w:rPr>
          <w:spacing w:val="-9"/>
          <w:sz w:val="20"/>
        </w:rPr>
        <w:t> </w:t>
      </w:r>
      <w:r>
        <w:rPr>
          <w:sz w:val="20"/>
        </w:rPr>
        <w:t>approach</w:t>
      </w:r>
      <w:r>
        <w:rPr>
          <w:spacing w:val="-9"/>
          <w:sz w:val="20"/>
        </w:rPr>
        <w:t> </w:t>
      </w:r>
      <w:r>
        <w:rPr>
          <w:sz w:val="20"/>
        </w:rPr>
        <w:t>in</w:t>
      </w:r>
      <w:r>
        <w:rPr>
          <w:spacing w:val="-9"/>
          <w:sz w:val="20"/>
        </w:rPr>
        <w:t> </w:t>
      </w:r>
      <w:r>
        <w:rPr>
          <w:sz w:val="20"/>
        </w:rPr>
        <w:t>England</w:t>
      </w:r>
      <w:r>
        <w:rPr>
          <w:spacing w:val="-9"/>
          <w:sz w:val="20"/>
        </w:rPr>
        <w:t> </w:t>
      </w:r>
      <w:r>
        <w:rPr>
          <w:sz w:val="20"/>
        </w:rPr>
        <w:t>and</w:t>
      </w:r>
      <w:r>
        <w:rPr>
          <w:spacing w:val="-9"/>
          <w:sz w:val="20"/>
        </w:rPr>
        <w:t> </w:t>
      </w:r>
      <w:r>
        <w:rPr>
          <w:spacing w:val="-4"/>
          <w:sz w:val="20"/>
        </w:rPr>
        <w:t>Wales</w:t>
      </w:r>
      <w:r>
        <w:rPr>
          <w:spacing w:val="-9"/>
          <w:sz w:val="20"/>
        </w:rPr>
        <w:t> </w:t>
      </w:r>
      <w:r>
        <w:rPr>
          <w:sz w:val="20"/>
        </w:rPr>
        <w:t>and</w:t>
      </w:r>
      <w:r>
        <w:rPr>
          <w:spacing w:val="-9"/>
          <w:sz w:val="20"/>
        </w:rPr>
        <w:t> </w:t>
      </w:r>
      <w:r>
        <w:rPr>
          <w:spacing w:val="-3"/>
          <w:sz w:val="20"/>
        </w:rPr>
        <w:t>introduce</w:t>
      </w:r>
      <w:r>
        <w:rPr>
          <w:spacing w:val="-9"/>
          <w:sz w:val="20"/>
        </w:rPr>
        <w:t> </w:t>
      </w:r>
      <w:r>
        <w:rPr>
          <w:sz w:val="20"/>
        </w:rPr>
        <w:t>a</w:t>
      </w:r>
      <w:r>
        <w:rPr>
          <w:spacing w:val="-9"/>
          <w:sz w:val="20"/>
        </w:rPr>
        <w:t> </w:t>
      </w:r>
      <w:r>
        <w:rPr>
          <w:sz w:val="20"/>
        </w:rPr>
        <w:t>new penalty</w:t>
      </w:r>
      <w:r>
        <w:rPr>
          <w:spacing w:val="-12"/>
          <w:sz w:val="20"/>
        </w:rPr>
        <w:t> </w:t>
      </w:r>
      <w:r>
        <w:rPr>
          <w:sz w:val="20"/>
        </w:rPr>
        <w:t>to</w:t>
      </w:r>
      <w:r>
        <w:rPr>
          <w:spacing w:val="-11"/>
          <w:sz w:val="20"/>
        </w:rPr>
        <w:t> </w:t>
      </w:r>
      <w:r>
        <w:rPr>
          <w:sz w:val="20"/>
        </w:rPr>
        <w:t>prohibit</w:t>
      </w:r>
      <w:r>
        <w:rPr>
          <w:spacing w:val="-11"/>
          <w:sz w:val="20"/>
        </w:rPr>
        <w:t> </w:t>
      </w:r>
      <w:r>
        <w:rPr>
          <w:spacing w:val="-3"/>
          <w:sz w:val="20"/>
        </w:rPr>
        <w:t>interpreters</w:t>
      </w:r>
      <w:r>
        <w:rPr>
          <w:spacing w:val="-11"/>
          <w:sz w:val="20"/>
        </w:rPr>
        <w:t> </w:t>
      </w:r>
      <w:r>
        <w:rPr>
          <w:sz w:val="20"/>
        </w:rPr>
        <w:t>and</w:t>
      </w:r>
      <w:r>
        <w:rPr>
          <w:spacing w:val="-12"/>
          <w:sz w:val="20"/>
        </w:rPr>
        <w:t> </w:t>
      </w:r>
      <w:r>
        <w:rPr>
          <w:sz w:val="20"/>
        </w:rPr>
        <w:t>support</w:t>
      </w:r>
      <w:r>
        <w:rPr>
          <w:spacing w:val="-11"/>
          <w:sz w:val="20"/>
        </w:rPr>
        <w:t> </w:t>
      </w:r>
      <w:r>
        <w:rPr>
          <w:sz w:val="20"/>
        </w:rPr>
        <w:t>people</w:t>
      </w:r>
      <w:r>
        <w:rPr>
          <w:spacing w:val="-11"/>
          <w:sz w:val="20"/>
        </w:rPr>
        <w:t> </w:t>
      </w:r>
      <w:r>
        <w:rPr>
          <w:spacing w:val="-3"/>
          <w:sz w:val="20"/>
        </w:rPr>
        <w:t>from</w:t>
      </w:r>
      <w:r>
        <w:rPr>
          <w:spacing w:val="-11"/>
          <w:sz w:val="20"/>
        </w:rPr>
        <w:t> </w:t>
      </w:r>
      <w:r>
        <w:rPr>
          <w:sz w:val="20"/>
        </w:rPr>
        <w:t>interfering</w:t>
      </w:r>
      <w:r>
        <w:rPr>
          <w:spacing w:val="-11"/>
          <w:sz w:val="20"/>
        </w:rPr>
        <w:t> </w:t>
      </w:r>
      <w:r>
        <w:rPr>
          <w:sz w:val="20"/>
        </w:rPr>
        <w:t>in</w:t>
      </w:r>
      <w:r>
        <w:rPr>
          <w:spacing w:val="-12"/>
          <w:sz w:val="20"/>
        </w:rPr>
        <w:t> </w:t>
      </w:r>
      <w:r>
        <w:rPr>
          <w:sz w:val="20"/>
        </w:rPr>
        <w:t>or</w:t>
      </w:r>
      <w:r>
        <w:rPr>
          <w:spacing w:val="-11"/>
          <w:sz w:val="20"/>
        </w:rPr>
        <w:t> </w:t>
      </w:r>
      <w:r>
        <w:rPr>
          <w:sz w:val="20"/>
        </w:rPr>
        <w:t>influencing jury</w:t>
      </w:r>
      <w:r>
        <w:rPr>
          <w:spacing w:val="-4"/>
          <w:sz w:val="20"/>
        </w:rPr>
        <w:t> </w:t>
      </w:r>
      <w:r>
        <w:rPr>
          <w:sz w:val="20"/>
        </w:rPr>
        <w:t>deliberations.</w:t>
      </w:r>
      <w:r>
        <w:rPr>
          <w:position w:val="7"/>
          <w:sz w:val="11"/>
        </w:rPr>
        <w:t>49</w:t>
      </w:r>
    </w:p>
    <w:p>
      <w:pPr>
        <w:pStyle w:val="ListParagraph"/>
        <w:numPr>
          <w:ilvl w:val="1"/>
          <w:numId w:val="12"/>
        </w:numPr>
        <w:tabs>
          <w:tab w:pos="1761" w:val="left" w:leader="none"/>
          <w:tab w:pos="1762" w:val="left" w:leader="none"/>
        </w:tabs>
        <w:spacing w:line="206" w:lineRule="auto" w:before="124" w:after="0"/>
        <w:ind w:left="1761" w:right="1487" w:hanging="794"/>
        <w:jc w:val="left"/>
        <w:rPr>
          <w:sz w:val="20"/>
        </w:rPr>
      </w:pPr>
      <w:r>
        <w:rPr>
          <w:sz w:val="20"/>
        </w:rPr>
        <w:t>The</w:t>
      </w:r>
      <w:r>
        <w:rPr>
          <w:spacing w:val="-11"/>
          <w:sz w:val="20"/>
        </w:rPr>
        <w:t> </w:t>
      </w:r>
      <w:r>
        <w:rPr>
          <w:sz w:val="20"/>
        </w:rPr>
        <w:t>Commission</w:t>
      </w:r>
      <w:r>
        <w:rPr>
          <w:spacing w:val="-10"/>
          <w:sz w:val="20"/>
        </w:rPr>
        <w:t> </w:t>
      </w:r>
      <w:r>
        <w:rPr>
          <w:sz w:val="20"/>
        </w:rPr>
        <w:t>observes</w:t>
      </w:r>
      <w:r>
        <w:rPr>
          <w:spacing w:val="-11"/>
          <w:sz w:val="20"/>
        </w:rPr>
        <w:t> </w:t>
      </w:r>
      <w:r>
        <w:rPr>
          <w:sz w:val="20"/>
        </w:rPr>
        <w:t>that</w:t>
      </w:r>
      <w:r>
        <w:rPr>
          <w:spacing w:val="-10"/>
          <w:sz w:val="20"/>
        </w:rPr>
        <w:t> </w:t>
      </w:r>
      <w:r>
        <w:rPr>
          <w:sz w:val="20"/>
        </w:rPr>
        <w:t>the</w:t>
      </w:r>
      <w:r>
        <w:rPr>
          <w:spacing w:val="-11"/>
          <w:sz w:val="20"/>
        </w:rPr>
        <w:t> </w:t>
      </w:r>
      <w:r>
        <w:rPr>
          <w:sz w:val="20"/>
        </w:rPr>
        <w:t>new</w:t>
      </w:r>
      <w:r>
        <w:rPr>
          <w:spacing w:val="-10"/>
          <w:sz w:val="20"/>
        </w:rPr>
        <w:t> </w:t>
      </w:r>
      <w:r>
        <w:rPr>
          <w:sz w:val="20"/>
        </w:rPr>
        <w:t>offences</w:t>
      </w:r>
      <w:r>
        <w:rPr>
          <w:spacing w:val="-10"/>
          <w:sz w:val="20"/>
        </w:rPr>
        <w:t> </w:t>
      </w:r>
      <w:r>
        <w:rPr>
          <w:spacing w:val="-3"/>
          <w:sz w:val="20"/>
        </w:rPr>
        <w:t>may</w:t>
      </w:r>
      <w:r>
        <w:rPr>
          <w:spacing w:val="-11"/>
          <w:sz w:val="20"/>
        </w:rPr>
        <w:t> </w:t>
      </w:r>
      <w:r>
        <w:rPr>
          <w:spacing w:val="-3"/>
          <w:sz w:val="20"/>
        </w:rPr>
        <w:t>overlap</w:t>
      </w:r>
      <w:r>
        <w:rPr>
          <w:spacing w:val="-10"/>
          <w:sz w:val="20"/>
        </w:rPr>
        <w:t> </w:t>
      </w:r>
      <w:r>
        <w:rPr>
          <w:sz w:val="20"/>
        </w:rPr>
        <w:t>with</w:t>
      </w:r>
      <w:r>
        <w:rPr>
          <w:spacing w:val="-11"/>
          <w:sz w:val="20"/>
        </w:rPr>
        <w:t> </w:t>
      </w:r>
      <w:r>
        <w:rPr>
          <w:sz w:val="20"/>
        </w:rPr>
        <w:t>the</w:t>
      </w:r>
      <w:r>
        <w:rPr>
          <w:spacing w:val="-10"/>
          <w:sz w:val="20"/>
        </w:rPr>
        <w:t> </w:t>
      </w:r>
      <w:r>
        <w:rPr>
          <w:sz w:val="20"/>
        </w:rPr>
        <w:t>common</w:t>
      </w:r>
      <w:r>
        <w:rPr>
          <w:spacing w:val="-11"/>
          <w:sz w:val="20"/>
        </w:rPr>
        <w:t> </w:t>
      </w:r>
      <w:r>
        <w:rPr>
          <w:sz w:val="20"/>
        </w:rPr>
        <w:t>law offence of embracery </w:t>
      </w:r>
      <w:r>
        <w:rPr>
          <w:spacing w:val="-2"/>
          <w:sz w:val="20"/>
        </w:rPr>
        <w:t>(attempting </w:t>
      </w:r>
      <w:r>
        <w:rPr>
          <w:sz w:val="20"/>
        </w:rPr>
        <w:t>to influence the jury).</w:t>
      </w:r>
      <w:r>
        <w:rPr>
          <w:position w:val="7"/>
          <w:sz w:val="11"/>
        </w:rPr>
        <w:t>50 </w:t>
      </w:r>
      <w:r>
        <w:rPr>
          <w:sz w:val="20"/>
        </w:rPr>
        <w:t>A new statutory offence is justified</w:t>
      </w:r>
      <w:r>
        <w:rPr>
          <w:spacing w:val="-8"/>
          <w:sz w:val="20"/>
        </w:rPr>
        <w:t> </w:t>
      </w:r>
      <w:r>
        <w:rPr>
          <w:sz w:val="20"/>
        </w:rPr>
        <w:t>as</w:t>
      </w:r>
      <w:r>
        <w:rPr>
          <w:spacing w:val="-7"/>
          <w:sz w:val="20"/>
        </w:rPr>
        <w:t> </w:t>
      </w:r>
      <w:r>
        <w:rPr>
          <w:sz w:val="20"/>
        </w:rPr>
        <w:t>it</w:t>
      </w:r>
      <w:r>
        <w:rPr>
          <w:spacing w:val="-8"/>
          <w:sz w:val="20"/>
        </w:rPr>
        <w:t> </w:t>
      </w:r>
      <w:r>
        <w:rPr>
          <w:spacing w:val="-3"/>
          <w:sz w:val="20"/>
        </w:rPr>
        <w:t>relates</w:t>
      </w:r>
      <w:r>
        <w:rPr>
          <w:spacing w:val="-7"/>
          <w:sz w:val="20"/>
        </w:rPr>
        <w:t> </w:t>
      </w:r>
      <w:r>
        <w:rPr>
          <w:sz w:val="20"/>
        </w:rPr>
        <w:t>to</w:t>
      </w:r>
      <w:r>
        <w:rPr>
          <w:spacing w:val="-8"/>
          <w:sz w:val="20"/>
        </w:rPr>
        <w:t> </w:t>
      </w:r>
      <w:r>
        <w:rPr>
          <w:sz w:val="20"/>
        </w:rPr>
        <w:t>the</w:t>
      </w:r>
      <w:r>
        <w:rPr>
          <w:spacing w:val="-7"/>
          <w:sz w:val="20"/>
        </w:rPr>
        <w:t> </w:t>
      </w:r>
      <w:r>
        <w:rPr>
          <w:spacing w:val="-3"/>
          <w:sz w:val="20"/>
        </w:rPr>
        <w:t>newly</w:t>
      </w:r>
      <w:r>
        <w:rPr>
          <w:spacing w:val="-7"/>
          <w:sz w:val="20"/>
        </w:rPr>
        <w:t> </w:t>
      </w:r>
      <w:r>
        <w:rPr>
          <w:spacing w:val="-3"/>
          <w:sz w:val="20"/>
        </w:rPr>
        <w:t>created</w:t>
      </w:r>
      <w:r>
        <w:rPr>
          <w:spacing w:val="-8"/>
          <w:sz w:val="20"/>
        </w:rPr>
        <w:t> </w:t>
      </w:r>
      <w:r>
        <w:rPr>
          <w:sz w:val="20"/>
        </w:rPr>
        <w:t>statutory</w:t>
      </w:r>
      <w:r>
        <w:rPr>
          <w:spacing w:val="-7"/>
          <w:sz w:val="20"/>
        </w:rPr>
        <w:t> </w:t>
      </w:r>
      <w:r>
        <w:rPr>
          <w:sz w:val="20"/>
        </w:rPr>
        <w:t>positions</w:t>
      </w:r>
      <w:r>
        <w:rPr>
          <w:spacing w:val="-8"/>
          <w:sz w:val="20"/>
        </w:rPr>
        <w:t> </w:t>
      </w:r>
      <w:r>
        <w:rPr>
          <w:sz w:val="20"/>
        </w:rPr>
        <w:t>of</w:t>
      </w:r>
      <w:r>
        <w:rPr>
          <w:spacing w:val="-7"/>
          <w:sz w:val="20"/>
        </w:rPr>
        <w:t> </w:t>
      </w:r>
      <w:r>
        <w:rPr>
          <w:spacing w:val="-3"/>
          <w:sz w:val="20"/>
        </w:rPr>
        <w:t>interpreter</w:t>
      </w:r>
      <w:r>
        <w:rPr>
          <w:spacing w:val="-8"/>
          <w:sz w:val="20"/>
        </w:rPr>
        <w:t> </w:t>
      </w:r>
      <w:r>
        <w:rPr>
          <w:sz w:val="20"/>
        </w:rPr>
        <w:t>or</w:t>
      </w:r>
      <w:r>
        <w:rPr>
          <w:spacing w:val="-7"/>
          <w:sz w:val="20"/>
        </w:rPr>
        <w:t> </w:t>
      </w:r>
      <w:r>
        <w:rPr>
          <w:sz w:val="20"/>
        </w:rPr>
        <w:t>support person for a juror in the subject</w:t>
      </w:r>
      <w:r>
        <w:rPr>
          <w:spacing w:val="-32"/>
          <w:sz w:val="20"/>
        </w:rPr>
        <w:t> </w:t>
      </w:r>
      <w:r>
        <w:rPr>
          <w:sz w:val="20"/>
        </w:rPr>
        <w:t>groups.</w:t>
      </w:r>
    </w:p>
    <w:p>
      <w:pPr>
        <w:pStyle w:val="BodyText"/>
        <w:spacing w:before="7"/>
        <w:rPr>
          <w:sz w:val="19"/>
        </w:rPr>
      </w:pPr>
      <w:r>
        <w:rPr/>
        <w:pict>
          <v:group style="position:absolute;margin-left:62.362202pt;margin-top:15.5079pt;width:479.1pt;height:124.65pt;mso-position-horizontal-relative:page;mso-position-vertical-relative:paragraph;z-index:9440;mso-wrap-distance-left:0;mso-wrap-distance-right:0" coordorigin="1247,310" coordsize="9582,2493">
            <v:rect style="position:absolute;left:1587;top:310;width:8731;height:2493" filled="true" fillcolor="#dddfe4" stroked="false">
              <v:fill type="solid"/>
            </v:rect>
            <v:line style="position:absolute" from="1247,1118" to="10828,1118" stroked="true" strokeweight="2.5pt" strokecolor="#ffffff">
              <v:stroke dashstyle="solid"/>
            </v:line>
            <v:shape style="position:absolute;left:2381;top:1343;width:7337;height:1280" type="#_x0000_t202" filled="false" stroked="false">
              <v:textbox inset="0,0,0,0">
                <w:txbxContent>
                  <w:p>
                    <w:pPr>
                      <w:spacing w:line="247" w:lineRule="auto" w:before="0"/>
                      <w:ind w:left="0" w:right="0" w:firstLine="0"/>
                      <w:jc w:val="left"/>
                      <w:rPr>
                        <w:rFonts w:ascii="Trebuchet MS"/>
                        <w:sz w:val="20"/>
                      </w:rPr>
                    </w:pPr>
                    <w:r>
                      <w:rPr>
                        <w:rFonts w:ascii="Trebuchet MS"/>
                        <w:w w:val="105"/>
                        <w:sz w:val="20"/>
                      </w:rPr>
                      <w:t>The</w:t>
                    </w:r>
                    <w:r>
                      <w:rPr>
                        <w:rFonts w:ascii="Trebuchet MS"/>
                        <w:spacing w:val="-18"/>
                        <w:w w:val="105"/>
                        <w:sz w:val="20"/>
                      </w:rPr>
                      <w:t> </w:t>
                    </w:r>
                    <w:r>
                      <w:rPr>
                        <w:rFonts w:ascii="Trebuchet MS"/>
                        <w:w w:val="105"/>
                        <w:sz w:val="20"/>
                      </w:rPr>
                      <w:t>offences</w:t>
                    </w:r>
                    <w:r>
                      <w:rPr>
                        <w:rFonts w:ascii="Trebuchet MS"/>
                        <w:spacing w:val="-17"/>
                        <w:w w:val="105"/>
                        <w:sz w:val="20"/>
                      </w:rPr>
                      <w:t> </w:t>
                    </w:r>
                    <w:r>
                      <w:rPr>
                        <w:rFonts w:ascii="Trebuchet MS"/>
                        <w:w w:val="105"/>
                        <w:sz w:val="20"/>
                      </w:rPr>
                      <w:t>in</w:t>
                    </w:r>
                    <w:r>
                      <w:rPr>
                        <w:rFonts w:ascii="Trebuchet MS"/>
                        <w:spacing w:val="-18"/>
                        <w:w w:val="105"/>
                        <w:sz w:val="20"/>
                      </w:rPr>
                      <w:t> </w:t>
                    </w:r>
                    <w:r>
                      <w:rPr>
                        <w:rFonts w:ascii="Trebuchet MS"/>
                        <w:w w:val="105"/>
                        <w:sz w:val="20"/>
                      </w:rPr>
                      <w:t>sections</w:t>
                    </w:r>
                    <w:r>
                      <w:rPr>
                        <w:rFonts w:ascii="Trebuchet MS"/>
                        <w:spacing w:val="-17"/>
                        <w:w w:val="105"/>
                        <w:sz w:val="20"/>
                      </w:rPr>
                      <w:t> </w:t>
                    </w:r>
                    <w:r>
                      <w:rPr>
                        <w:rFonts w:ascii="Trebuchet MS"/>
                        <w:spacing w:val="-5"/>
                        <w:w w:val="105"/>
                        <w:sz w:val="20"/>
                      </w:rPr>
                      <w:t>77,</w:t>
                    </w:r>
                    <w:r>
                      <w:rPr>
                        <w:rFonts w:ascii="Trebuchet MS"/>
                        <w:spacing w:val="-18"/>
                        <w:w w:val="105"/>
                        <w:sz w:val="20"/>
                      </w:rPr>
                      <w:t> </w:t>
                    </w:r>
                    <w:r>
                      <w:rPr>
                        <w:rFonts w:ascii="Trebuchet MS"/>
                        <w:w w:val="105"/>
                        <w:sz w:val="20"/>
                      </w:rPr>
                      <w:t>78</w:t>
                    </w:r>
                    <w:r>
                      <w:rPr>
                        <w:rFonts w:ascii="Trebuchet MS"/>
                        <w:spacing w:val="-17"/>
                        <w:w w:val="105"/>
                        <w:sz w:val="20"/>
                      </w:rPr>
                      <w:t> </w:t>
                    </w:r>
                    <w:r>
                      <w:rPr>
                        <w:rFonts w:ascii="Trebuchet MS"/>
                        <w:w w:val="105"/>
                        <w:sz w:val="20"/>
                      </w:rPr>
                      <w:t>and</w:t>
                    </w:r>
                    <w:r>
                      <w:rPr>
                        <w:rFonts w:ascii="Trebuchet MS"/>
                        <w:spacing w:val="-18"/>
                        <w:w w:val="105"/>
                        <w:sz w:val="20"/>
                      </w:rPr>
                      <w:t> </w:t>
                    </w:r>
                    <w:r>
                      <w:rPr>
                        <w:rFonts w:ascii="Trebuchet MS"/>
                        <w:w w:val="105"/>
                        <w:sz w:val="20"/>
                      </w:rPr>
                      <w:t>78A</w:t>
                    </w:r>
                    <w:r>
                      <w:rPr>
                        <w:rFonts w:ascii="Trebuchet MS"/>
                        <w:spacing w:val="-17"/>
                        <w:w w:val="105"/>
                        <w:sz w:val="20"/>
                      </w:rPr>
                      <w:t> </w:t>
                    </w:r>
                    <w:r>
                      <w:rPr>
                        <w:rFonts w:ascii="Trebuchet MS"/>
                        <w:w w:val="105"/>
                        <w:sz w:val="20"/>
                      </w:rPr>
                      <w:t>of</w:t>
                    </w:r>
                    <w:r>
                      <w:rPr>
                        <w:rFonts w:ascii="Trebuchet MS"/>
                        <w:spacing w:val="-18"/>
                        <w:w w:val="105"/>
                        <w:sz w:val="20"/>
                      </w:rPr>
                      <w:t> </w:t>
                    </w:r>
                    <w:r>
                      <w:rPr>
                        <w:rFonts w:ascii="Trebuchet MS"/>
                        <w:w w:val="105"/>
                        <w:sz w:val="20"/>
                      </w:rPr>
                      <w:t>the</w:t>
                    </w:r>
                    <w:r>
                      <w:rPr>
                        <w:rFonts w:ascii="Trebuchet MS"/>
                        <w:spacing w:val="-17"/>
                        <w:w w:val="105"/>
                        <w:sz w:val="20"/>
                      </w:rPr>
                      <w:t> </w:t>
                    </w:r>
                    <w:r>
                      <w:rPr>
                        <w:rFonts w:ascii="Trebuchet MS"/>
                        <w:w w:val="105"/>
                        <w:sz w:val="20"/>
                      </w:rPr>
                      <w:t>Juries</w:t>
                    </w:r>
                    <w:r>
                      <w:rPr>
                        <w:rFonts w:ascii="Trebuchet MS"/>
                        <w:spacing w:val="-18"/>
                        <w:w w:val="105"/>
                        <w:sz w:val="20"/>
                      </w:rPr>
                      <w:t> </w:t>
                    </w:r>
                    <w:r>
                      <w:rPr>
                        <w:rFonts w:ascii="Trebuchet MS"/>
                        <w:spacing w:val="-2"/>
                        <w:w w:val="105"/>
                        <w:sz w:val="20"/>
                      </w:rPr>
                      <w:t>Act</w:t>
                    </w:r>
                    <w:r>
                      <w:rPr>
                        <w:rFonts w:ascii="Trebuchet MS"/>
                        <w:spacing w:val="-17"/>
                        <w:w w:val="105"/>
                        <w:sz w:val="20"/>
                      </w:rPr>
                      <w:t> </w:t>
                    </w:r>
                    <w:r>
                      <w:rPr>
                        <w:rFonts w:ascii="Trebuchet MS"/>
                        <w:w w:val="105"/>
                        <w:sz w:val="20"/>
                      </w:rPr>
                      <w:t>should</w:t>
                    </w:r>
                    <w:r>
                      <w:rPr>
                        <w:rFonts w:ascii="Trebuchet MS"/>
                        <w:spacing w:val="-18"/>
                        <w:w w:val="105"/>
                        <w:sz w:val="20"/>
                      </w:rPr>
                      <w:t> </w:t>
                    </w:r>
                    <w:r>
                      <w:rPr>
                        <w:rFonts w:ascii="Trebuchet MS"/>
                        <w:w w:val="105"/>
                        <w:sz w:val="20"/>
                      </w:rPr>
                      <w:t>be</w:t>
                    </w:r>
                    <w:r>
                      <w:rPr>
                        <w:rFonts w:ascii="Trebuchet MS"/>
                        <w:spacing w:val="-17"/>
                        <w:w w:val="105"/>
                        <w:sz w:val="20"/>
                      </w:rPr>
                      <w:t> </w:t>
                    </w:r>
                    <w:r>
                      <w:rPr>
                        <w:rFonts w:ascii="Trebuchet MS"/>
                        <w:w w:val="105"/>
                        <w:sz w:val="20"/>
                      </w:rPr>
                      <w:t>extended</w:t>
                    </w:r>
                    <w:r>
                      <w:rPr>
                        <w:rFonts w:ascii="Trebuchet MS"/>
                        <w:spacing w:val="-17"/>
                        <w:w w:val="105"/>
                        <w:sz w:val="20"/>
                      </w:rPr>
                      <w:t> </w:t>
                    </w:r>
                    <w:r>
                      <w:rPr>
                        <w:rFonts w:ascii="Trebuchet MS"/>
                        <w:w w:val="105"/>
                        <w:sz w:val="20"/>
                      </w:rPr>
                      <w:t>to </w:t>
                    </w:r>
                    <w:r>
                      <w:rPr>
                        <w:rFonts w:ascii="Trebuchet MS"/>
                        <w:spacing w:val="-4"/>
                        <w:w w:val="114"/>
                        <w:sz w:val="20"/>
                      </w:rPr>
                      <w:t>A</w:t>
                    </w:r>
                    <w:r>
                      <w:rPr>
                        <w:rFonts w:ascii="Trebuchet MS"/>
                        <w:spacing w:val="-1"/>
                        <w:w w:val="109"/>
                        <w:sz w:val="20"/>
                      </w:rPr>
                      <w:t>u</w:t>
                    </w:r>
                    <w:r>
                      <w:rPr>
                        <w:rFonts w:ascii="Trebuchet MS"/>
                        <w:spacing w:val="-2"/>
                        <w:w w:val="122"/>
                        <w:sz w:val="20"/>
                      </w:rPr>
                      <w:t>s</w:t>
                    </w:r>
                    <w:r>
                      <w:rPr>
                        <w:rFonts w:ascii="Trebuchet MS"/>
                        <w:spacing w:val="1"/>
                        <w:w w:val="96"/>
                        <w:sz w:val="20"/>
                      </w:rPr>
                      <w:t>l</w:t>
                    </w:r>
                    <w:r>
                      <w:rPr>
                        <w:rFonts w:ascii="Trebuchet MS"/>
                        <w:spacing w:val="-2"/>
                        <w:w w:val="105"/>
                        <w:sz w:val="20"/>
                      </w:rPr>
                      <w:t>a</w:t>
                    </w:r>
                    <w:r>
                      <w:rPr>
                        <w:rFonts w:ascii="Trebuchet MS"/>
                        <w:w w:val="107"/>
                        <w:sz w:val="20"/>
                      </w:rPr>
                      <w:t>n</w:t>
                    </w:r>
                    <w:r>
                      <w:rPr>
                        <w:rFonts w:ascii="Trebuchet MS"/>
                        <w:spacing w:val="-14"/>
                        <w:sz w:val="20"/>
                      </w:rPr>
                      <w:t> </w:t>
                    </w:r>
                    <w:r>
                      <w:rPr>
                        <w:rFonts w:ascii="Trebuchet MS"/>
                        <w:spacing w:val="-2"/>
                        <w:w w:val="80"/>
                        <w:sz w:val="20"/>
                      </w:rPr>
                      <w:t>i</w:t>
                    </w:r>
                    <w:r>
                      <w:rPr>
                        <w:rFonts w:ascii="Trebuchet MS"/>
                        <w:spacing w:val="-4"/>
                        <w:w w:val="107"/>
                        <w:sz w:val="20"/>
                      </w:rPr>
                      <w:t>n</w:t>
                    </w:r>
                    <w:r>
                      <w:rPr>
                        <w:rFonts w:ascii="Trebuchet MS"/>
                        <w:spacing w:val="-4"/>
                        <w:w w:val="88"/>
                        <w:sz w:val="20"/>
                      </w:rPr>
                      <w:t>t</w:t>
                    </w:r>
                    <w:r>
                      <w:rPr>
                        <w:rFonts w:ascii="Trebuchet MS"/>
                        <w:spacing w:val="-1"/>
                        <w:w w:val="108"/>
                        <w:sz w:val="20"/>
                      </w:rPr>
                      <w:t>e</w:t>
                    </w:r>
                    <w:r>
                      <w:rPr>
                        <w:rFonts w:ascii="Trebuchet MS"/>
                        <w:spacing w:val="-2"/>
                        <w:w w:val="93"/>
                        <w:sz w:val="20"/>
                      </w:rPr>
                      <w:t>r</w:t>
                    </w:r>
                    <w:r>
                      <w:rPr>
                        <w:rFonts w:ascii="Trebuchet MS"/>
                        <w:spacing w:val="-1"/>
                        <w:w w:val="104"/>
                        <w:sz w:val="20"/>
                      </w:rPr>
                      <w:t>p</w:t>
                    </w:r>
                    <w:r>
                      <w:rPr>
                        <w:rFonts w:ascii="Trebuchet MS"/>
                        <w:spacing w:val="-4"/>
                        <w:w w:val="104"/>
                        <w:sz w:val="20"/>
                      </w:rPr>
                      <w:t>r</w:t>
                    </w:r>
                    <w:r>
                      <w:rPr>
                        <w:rFonts w:ascii="Trebuchet MS"/>
                        <w:spacing w:val="-3"/>
                        <w:w w:val="108"/>
                        <w:sz w:val="20"/>
                      </w:rPr>
                      <w:t>e</w:t>
                    </w:r>
                    <w:r>
                      <w:rPr>
                        <w:rFonts w:ascii="Trebuchet MS"/>
                        <w:spacing w:val="-4"/>
                        <w:w w:val="88"/>
                        <w:sz w:val="20"/>
                      </w:rPr>
                      <w:t>t</w:t>
                    </w:r>
                    <w:r>
                      <w:rPr>
                        <w:rFonts w:ascii="Trebuchet MS"/>
                        <w:spacing w:val="-1"/>
                        <w:w w:val="108"/>
                        <w:sz w:val="20"/>
                      </w:rPr>
                      <w:t>e</w:t>
                    </w:r>
                    <w:r>
                      <w:rPr>
                        <w:rFonts w:ascii="Trebuchet MS"/>
                        <w:spacing w:val="-1"/>
                        <w:w w:val="108"/>
                        <w:sz w:val="20"/>
                      </w:rPr>
                      <w:t>r</w:t>
                    </w:r>
                    <w:r>
                      <w:rPr>
                        <w:rFonts w:ascii="Trebuchet MS"/>
                        <w:w w:val="108"/>
                        <w:sz w:val="20"/>
                      </w:rPr>
                      <w:t>s</w:t>
                    </w:r>
                    <w:r>
                      <w:rPr>
                        <w:rFonts w:ascii="Trebuchet MS"/>
                        <w:spacing w:val="-14"/>
                        <w:sz w:val="20"/>
                      </w:rPr>
                      <w:t> </w:t>
                    </w:r>
                    <w:r>
                      <w:rPr>
                        <w:rFonts w:ascii="Trebuchet MS"/>
                        <w:spacing w:val="-2"/>
                        <w:w w:val="105"/>
                        <w:sz w:val="20"/>
                      </w:rPr>
                      <w:t>a</w:t>
                    </w:r>
                    <w:r>
                      <w:rPr>
                        <w:rFonts w:ascii="Trebuchet MS"/>
                        <w:spacing w:val="-1"/>
                        <w:w w:val="110"/>
                        <w:sz w:val="20"/>
                      </w:rPr>
                      <w:t>n</w:t>
                    </w:r>
                    <w:r>
                      <w:rPr>
                        <w:rFonts w:ascii="Trebuchet MS"/>
                        <w:w w:val="110"/>
                        <w:sz w:val="20"/>
                      </w:rPr>
                      <w:t>d</w:t>
                    </w:r>
                    <w:r>
                      <w:rPr>
                        <w:rFonts w:ascii="Trebuchet MS"/>
                        <w:spacing w:val="-14"/>
                        <w:sz w:val="20"/>
                      </w:rPr>
                      <w:t> </w:t>
                    </w:r>
                    <w:r>
                      <w:rPr>
                        <w:rFonts w:ascii="Trebuchet MS"/>
                        <w:spacing w:val="-2"/>
                        <w:w w:val="122"/>
                        <w:sz w:val="20"/>
                      </w:rPr>
                      <w:t>s</w:t>
                    </w:r>
                    <w:r>
                      <w:rPr>
                        <w:rFonts w:ascii="Trebuchet MS"/>
                        <w:spacing w:val="-1"/>
                        <w:w w:val="111"/>
                        <w:sz w:val="20"/>
                      </w:rPr>
                      <w:t>upp</w:t>
                    </w:r>
                    <w:r>
                      <w:rPr>
                        <w:rFonts w:ascii="Trebuchet MS"/>
                        <w:spacing w:val="-1"/>
                        <w:w w:val="111"/>
                        <w:sz w:val="20"/>
                      </w:rPr>
                      <w:t>o</w:t>
                    </w:r>
                    <w:r>
                      <w:rPr>
                        <w:rFonts w:ascii="Trebuchet MS"/>
                        <w:spacing w:val="2"/>
                        <w:w w:val="93"/>
                        <w:sz w:val="20"/>
                      </w:rPr>
                      <w:t>r</w:t>
                    </w:r>
                    <w:r>
                      <w:rPr>
                        <w:rFonts w:ascii="Trebuchet MS"/>
                        <w:w w:val="88"/>
                        <w:sz w:val="20"/>
                      </w:rPr>
                      <w:t>t</w:t>
                    </w:r>
                    <w:r>
                      <w:rPr>
                        <w:rFonts w:ascii="Trebuchet MS"/>
                        <w:spacing w:val="-14"/>
                        <w:sz w:val="20"/>
                      </w:rPr>
                      <w:t> </w:t>
                    </w:r>
                    <w:r>
                      <w:rPr>
                        <w:rFonts w:ascii="Trebuchet MS"/>
                        <w:spacing w:val="-1"/>
                        <w:w w:val="111"/>
                        <w:sz w:val="20"/>
                      </w:rPr>
                      <w:t>p</w:t>
                    </w:r>
                    <w:r>
                      <w:rPr>
                        <w:rFonts w:ascii="Trebuchet MS"/>
                        <w:spacing w:val="-1"/>
                        <w:w w:val="108"/>
                        <w:sz w:val="20"/>
                      </w:rPr>
                      <w:t>e</w:t>
                    </w:r>
                    <w:r>
                      <w:rPr>
                        <w:rFonts w:ascii="Trebuchet MS"/>
                        <w:spacing w:val="-1"/>
                        <w:w w:val="108"/>
                        <w:sz w:val="20"/>
                      </w:rPr>
                      <w:t>rs</w:t>
                    </w:r>
                    <w:r>
                      <w:rPr>
                        <w:rFonts w:ascii="Trebuchet MS"/>
                        <w:spacing w:val="-1"/>
                        <w:w w:val="111"/>
                        <w:sz w:val="20"/>
                      </w:rPr>
                      <w:t>o</w:t>
                    </w:r>
                    <w:r>
                      <w:rPr>
                        <w:rFonts w:ascii="Trebuchet MS"/>
                        <w:spacing w:val="-2"/>
                        <w:w w:val="107"/>
                        <w:sz w:val="20"/>
                      </w:rPr>
                      <w:t>n</w:t>
                    </w:r>
                    <w:r>
                      <w:rPr>
                        <w:rFonts w:ascii="Trebuchet MS"/>
                        <w:w w:val="122"/>
                        <w:sz w:val="20"/>
                      </w:rPr>
                      <w:t>s</w:t>
                    </w:r>
                    <w:r>
                      <w:rPr>
                        <w:rFonts w:ascii="Trebuchet MS"/>
                        <w:spacing w:val="-14"/>
                        <w:sz w:val="20"/>
                      </w:rPr>
                      <w:t> </w:t>
                    </w:r>
                    <w:r>
                      <w:rPr>
                        <w:rFonts w:ascii="Trebuchet MS"/>
                        <w:spacing w:val="-1"/>
                        <w:w w:val="105"/>
                        <w:sz w:val="20"/>
                      </w:rPr>
                      <w:t>a</w:t>
                    </w:r>
                    <w:r>
                      <w:rPr>
                        <w:rFonts w:ascii="Trebuchet MS"/>
                        <w:spacing w:val="-1"/>
                        <w:w w:val="111"/>
                        <w:sz w:val="20"/>
                      </w:rPr>
                      <w:t>pp</w:t>
                    </w:r>
                    <w:r>
                      <w:rPr>
                        <w:rFonts w:ascii="Trebuchet MS"/>
                        <w:spacing w:val="-1"/>
                        <w:w w:val="100"/>
                        <w:sz w:val="20"/>
                      </w:rPr>
                      <w:t>o</w:t>
                    </w:r>
                    <w:r>
                      <w:rPr>
                        <w:rFonts w:ascii="Trebuchet MS"/>
                        <w:spacing w:val="-2"/>
                        <w:w w:val="100"/>
                        <w:sz w:val="20"/>
                      </w:rPr>
                      <w:t>i</w:t>
                    </w:r>
                    <w:r>
                      <w:rPr>
                        <w:rFonts w:ascii="Trebuchet MS"/>
                        <w:spacing w:val="-4"/>
                        <w:w w:val="107"/>
                        <w:sz w:val="20"/>
                      </w:rPr>
                      <w:t>n</w:t>
                    </w:r>
                    <w:r>
                      <w:rPr>
                        <w:rFonts w:ascii="Trebuchet MS"/>
                        <w:spacing w:val="-4"/>
                        <w:w w:val="88"/>
                        <w:sz w:val="20"/>
                      </w:rPr>
                      <w:t>t</w:t>
                    </w:r>
                    <w:r>
                      <w:rPr>
                        <w:rFonts w:ascii="Trebuchet MS"/>
                        <w:w w:val="108"/>
                        <w:sz w:val="20"/>
                      </w:rPr>
                      <w:t>e</w:t>
                    </w:r>
                    <w:r>
                      <w:rPr>
                        <w:rFonts w:ascii="Trebuchet MS"/>
                        <w:w w:val="112"/>
                        <w:sz w:val="20"/>
                      </w:rPr>
                      <w:t>d</w:t>
                    </w:r>
                    <w:r>
                      <w:rPr>
                        <w:rFonts w:ascii="Trebuchet MS"/>
                        <w:spacing w:val="-14"/>
                        <w:sz w:val="20"/>
                      </w:rPr>
                      <w:t> </w:t>
                    </w:r>
                    <w:r>
                      <w:rPr>
                        <w:rFonts w:ascii="Trebuchet MS"/>
                        <w:spacing w:val="-1"/>
                        <w:w w:val="110"/>
                        <w:sz w:val="20"/>
                      </w:rPr>
                      <w:t>un</w:t>
                    </w:r>
                    <w:r>
                      <w:rPr>
                        <w:rFonts w:ascii="Trebuchet MS"/>
                        <w:spacing w:val="-2"/>
                        <w:w w:val="110"/>
                        <w:sz w:val="20"/>
                      </w:rPr>
                      <w:t>d</w:t>
                    </w:r>
                    <w:r>
                      <w:rPr>
                        <w:rFonts w:ascii="Trebuchet MS"/>
                        <w:spacing w:val="-1"/>
                        <w:w w:val="108"/>
                        <w:sz w:val="20"/>
                      </w:rPr>
                      <w:t>e</w:t>
                    </w:r>
                    <w:r>
                      <w:rPr>
                        <w:rFonts w:ascii="Trebuchet MS"/>
                        <w:w w:val="93"/>
                        <w:sz w:val="20"/>
                      </w:rPr>
                      <w:t>r</w:t>
                    </w:r>
                    <w:r>
                      <w:rPr>
                        <w:rFonts w:ascii="Trebuchet MS"/>
                        <w:spacing w:val="-14"/>
                        <w:sz w:val="20"/>
                      </w:rPr>
                      <w:t> </w:t>
                    </w:r>
                    <w:r>
                      <w:rPr>
                        <w:rFonts w:ascii="Trebuchet MS"/>
                        <w:spacing w:val="-2"/>
                        <w:w w:val="88"/>
                        <w:sz w:val="20"/>
                      </w:rPr>
                      <w:t>t</w:t>
                    </w:r>
                    <w:r>
                      <w:rPr>
                        <w:rFonts w:ascii="Trebuchet MS"/>
                        <w:spacing w:val="-1"/>
                        <w:w w:val="108"/>
                        <w:sz w:val="20"/>
                      </w:rPr>
                      <w:t>h</w:t>
                    </w:r>
                    <w:r>
                      <w:rPr>
                        <w:rFonts w:ascii="Trebuchet MS"/>
                        <w:w w:val="108"/>
                        <w:sz w:val="20"/>
                      </w:rPr>
                      <w:t>e</w:t>
                    </w:r>
                    <w:r>
                      <w:rPr>
                        <w:rFonts w:ascii="Trebuchet MS"/>
                        <w:spacing w:val="-14"/>
                        <w:sz w:val="20"/>
                      </w:rPr>
                      <w:t> </w:t>
                    </w:r>
                    <w:r>
                      <w:rPr>
                        <w:rFonts w:ascii="Trebuchet MS"/>
                        <w:spacing w:val="-4"/>
                        <w:w w:val="114"/>
                        <w:sz w:val="20"/>
                      </w:rPr>
                      <w:t>A</w:t>
                    </w:r>
                    <w:r>
                      <w:rPr>
                        <w:rFonts w:ascii="Trebuchet MS"/>
                        <w:spacing w:val="-2"/>
                        <w:w w:val="111"/>
                        <w:sz w:val="20"/>
                      </w:rPr>
                      <w:t>c</w:t>
                    </w:r>
                    <w:r>
                      <w:rPr>
                        <w:rFonts w:ascii="Trebuchet MS"/>
                        <w:spacing w:val="1"/>
                        <w:w w:val="88"/>
                        <w:sz w:val="20"/>
                      </w:rPr>
                      <w:t>t</w:t>
                    </w:r>
                    <w:r>
                      <w:rPr>
                        <w:rFonts w:ascii="Trebuchet MS"/>
                        <w:w w:val="55"/>
                        <w:sz w:val="20"/>
                      </w:rPr>
                      <w:t>.</w:t>
                    </w:r>
                  </w:p>
                  <w:p>
                    <w:pPr>
                      <w:spacing w:line="247" w:lineRule="auto" w:before="87"/>
                      <w:ind w:left="0" w:right="0" w:firstLine="0"/>
                      <w:jc w:val="left"/>
                      <w:rPr>
                        <w:rFonts w:ascii="Trebuchet MS"/>
                        <w:sz w:val="20"/>
                      </w:rPr>
                    </w:pPr>
                    <w:r>
                      <w:rPr>
                        <w:rFonts w:ascii="Trebuchet MS"/>
                        <w:sz w:val="20"/>
                      </w:rPr>
                      <w:t>A new offence should be introduced to prohibit Auslan interpreters and support </w:t>
                    </w:r>
                    <w:r>
                      <w:rPr>
                        <w:rFonts w:ascii="Trebuchet MS"/>
                        <w:w w:val="111"/>
                        <w:sz w:val="20"/>
                      </w:rPr>
                      <w:t>p</w:t>
                    </w:r>
                    <w:r>
                      <w:rPr>
                        <w:rFonts w:ascii="Trebuchet MS"/>
                        <w:w w:val="108"/>
                        <w:sz w:val="20"/>
                      </w:rPr>
                      <w:t>e</w:t>
                    </w:r>
                    <w:r>
                      <w:rPr>
                        <w:rFonts w:ascii="Trebuchet MS"/>
                        <w:w w:val="93"/>
                        <w:sz w:val="20"/>
                      </w:rPr>
                      <w:t>r</w:t>
                    </w:r>
                    <w:r>
                      <w:rPr>
                        <w:rFonts w:ascii="Trebuchet MS"/>
                        <w:w w:val="122"/>
                        <w:sz w:val="20"/>
                      </w:rPr>
                      <w:t>s</w:t>
                    </w:r>
                    <w:r>
                      <w:rPr>
                        <w:rFonts w:ascii="Trebuchet MS"/>
                        <w:w w:val="111"/>
                        <w:sz w:val="20"/>
                      </w:rPr>
                      <w:t>o</w:t>
                    </w:r>
                    <w:r>
                      <w:rPr>
                        <w:rFonts w:ascii="Trebuchet MS"/>
                        <w:w w:val="107"/>
                        <w:sz w:val="20"/>
                      </w:rPr>
                      <w:t>n</w:t>
                    </w:r>
                    <w:r>
                      <w:rPr>
                        <w:rFonts w:ascii="Trebuchet MS"/>
                        <w:w w:val="122"/>
                        <w:sz w:val="20"/>
                      </w:rPr>
                      <w:t>s</w:t>
                    </w:r>
                    <w:r>
                      <w:rPr>
                        <w:rFonts w:ascii="Trebuchet MS"/>
                        <w:sz w:val="20"/>
                      </w:rPr>
                      <w:t> </w:t>
                    </w:r>
                    <w:r>
                      <w:rPr>
                        <w:rFonts w:ascii="Trebuchet MS"/>
                        <w:w w:val="93"/>
                        <w:sz w:val="20"/>
                      </w:rPr>
                      <w:t>fr</w:t>
                    </w:r>
                    <w:r>
                      <w:rPr>
                        <w:rFonts w:ascii="Trebuchet MS"/>
                        <w:w w:val="111"/>
                        <w:sz w:val="20"/>
                      </w:rPr>
                      <w:t>o</w:t>
                    </w:r>
                    <w:r>
                      <w:rPr>
                        <w:rFonts w:ascii="Trebuchet MS"/>
                        <w:w w:val="111"/>
                        <w:sz w:val="20"/>
                      </w:rPr>
                      <w:t>m</w:t>
                    </w:r>
                    <w:r>
                      <w:rPr>
                        <w:rFonts w:ascii="Trebuchet MS"/>
                        <w:sz w:val="20"/>
                      </w:rPr>
                      <w:t> </w:t>
                    </w:r>
                    <w:r>
                      <w:rPr>
                        <w:rFonts w:ascii="Trebuchet MS"/>
                        <w:w w:val="80"/>
                        <w:sz w:val="20"/>
                      </w:rPr>
                      <w:t>i</w:t>
                    </w:r>
                    <w:r>
                      <w:rPr>
                        <w:rFonts w:ascii="Trebuchet MS"/>
                        <w:w w:val="107"/>
                        <w:sz w:val="20"/>
                      </w:rPr>
                      <w:t>n</w:t>
                    </w:r>
                    <w:r>
                      <w:rPr>
                        <w:rFonts w:ascii="Trebuchet MS"/>
                        <w:w w:val="88"/>
                        <w:sz w:val="20"/>
                      </w:rPr>
                      <w:t>t</w:t>
                    </w:r>
                    <w:r>
                      <w:rPr>
                        <w:rFonts w:ascii="Trebuchet MS"/>
                        <w:w w:val="108"/>
                        <w:sz w:val="20"/>
                      </w:rPr>
                      <w:t>e</w:t>
                    </w:r>
                    <w:r>
                      <w:rPr>
                        <w:rFonts w:ascii="Trebuchet MS"/>
                        <w:w w:val="93"/>
                        <w:sz w:val="20"/>
                      </w:rPr>
                      <w:t>r</w:t>
                    </w:r>
                    <w:r>
                      <w:rPr>
                        <w:rFonts w:ascii="Trebuchet MS"/>
                        <w:w w:val="92"/>
                        <w:sz w:val="20"/>
                      </w:rPr>
                      <w:t>f</w:t>
                    </w:r>
                    <w:r>
                      <w:rPr>
                        <w:rFonts w:ascii="Trebuchet MS"/>
                        <w:w w:val="108"/>
                        <w:sz w:val="20"/>
                      </w:rPr>
                      <w:t>e</w:t>
                    </w:r>
                    <w:r>
                      <w:rPr>
                        <w:rFonts w:ascii="Trebuchet MS"/>
                        <w:w w:val="93"/>
                        <w:sz w:val="20"/>
                      </w:rPr>
                      <w:t>r</w:t>
                    </w:r>
                    <w:r>
                      <w:rPr>
                        <w:rFonts w:ascii="Trebuchet MS"/>
                        <w:w w:val="80"/>
                        <w:sz w:val="20"/>
                      </w:rPr>
                      <w:t>i</w:t>
                    </w:r>
                    <w:r>
                      <w:rPr>
                        <w:rFonts w:ascii="Trebuchet MS"/>
                        <w:w w:val="107"/>
                        <w:sz w:val="20"/>
                      </w:rPr>
                      <w:t>n</w:t>
                    </w:r>
                    <w:r>
                      <w:rPr>
                        <w:rFonts w:ascii="Trebuchet MS"/>
                        <w:w w:val="124"/>
                        <w:sz w:val="20"/>
                      </w:rPr>
                      <w:t>g</w:t>
                    </w:r>
                    <w:r>
                      <w:rPr>
                        <w:rFonts w:ascii="Trebuchet MS"/>
                        <w:sz w:val="20"/>
                      </w:rPr>
                      <w:t> </w:t>
                    </w:r>
                    <w:r>
                      <w:rPr>
                        <w:rFonts w:ascii="Trebuchet MS"/>
                        <w:w w:val="110"/>
                        <w:sz w:val="20"/>
                      </w:rPr>
                      <w:t>w</w:t>
                    </w:r>
                    <w:r>
                      <w:rPr>
                        <w:rFonts w:ascii="Trebuchet MS"/>
                        <w:w w:val="80"/>
                        <w:sz w:val="20"/>
                      </w:rPr>
                      <w:t>i</w:t>
                    </w:r>
                    <w:r>
                      <w:rPr>
                        <w:rFonts w:ascii="Trebuchet MS"/>
                        <w:w w:val="88"/>
                        <w:sz w:val="20"/>
                      </w:rPr>
                      <w:t>t</w:t>
                    </w:r>
                    <w:r>
                      <w:rPr>
                        <w:rFonts w:ascii="Trebuchet MS"/>
                        <w:w w:val="107"/>
                        <w:sz w:val="20"/>
                      </w:rPr>
                      <w:t>h</w:t>
                    </w:r>
                    <w:r>
                      <w:rPr>
                        <w:rFonts w:ascii="Trebuchet MS"/>
                        <w:sz w:val="20"/>
                      </w:rPr>
                      <w:t> </w:t>
                    </w:r>
                    <w:r>
                      <w:rPr>
                        <w:rFonts w:ascii="Trebuchet MS"/>
                        <w:w w:val="111"/>
                        <w:sz w:val="20"/>
                      </w:rPr>
                      <w:t>o</w:t>
                    </w:r>
                    <w:r>
                      <w:rPr>
                        <w:rFonts w:ascii="Trebuchet MS"/>
                        <w:w w:val="93"/>
                        <w:sz w:val="20"/>
                      </w:rPr>
                      <w:t>r</w:t>
                    </w:r>
                    <w:r>
                      <w:rPr>
                        <w:rFonts w:ascii="Trebuchet MS"/>
                        <w:sz w:val="20"/>
                      </w:rPr>
                      <w:t> </w:t>
                    </w:r>
                    <w:r>
                      <w:rPr>
                        <w:rFonts w:ascii="Trebuchet MS"/>
                        <w:w w:val="80"/>
                        <w:sz w:val="20"/>
                      </w:rPr>
                      <w:t>i</w:t>
                    </w:r>
                    <w:r>
                      <w:rPr>
                        <w:rFonts w:ascii="Trebuchet MS"/>
                        <w:w w:val="107"/>
                        <w:sz w:val="20"/>
                      </w:rPr>
                      <w:t>n</w:t>
                    </w:r>
                    <w:r>
                      <w:rPr>
                        <w:rFonts w:ascii="Trebuchet MS"/>
                        <w:w w:val="91"/>
                        <w:sz w:val="20"/>
                      </w:rPr>
                      <w:t>fl</w:t>
                    </w:r>
                    <w:r>
                      <w:rPr>
                        <w:rFonts w:ascii="Trebuchet MS"/>
                        <w:w w:val="109"/>
                        <w:sz w:val="20"/>
                      </w:rPr>
                      <w:t>u</w:t>
                    </w:r>
                    <w:r>
                      <w:rPr>
                        <w:rFonts w:ascii="Trebuchet MS"/>
                        <w:w w:val="108"/>
                        <w:sz w:val="20"/>
                      </w:rPr>
                      <w:t>e</w:t>
                    </w:r>
                    <w:r>
                      <w:rPr>
                        <w:rFonts w:ascii="Trebuchet MS"/>
                        <w:w w:val="107"/>
                        <w:sz w:val="20"/>
                      </w:rPr>
                      <w:t>n</w:t>
                    </w:r>
                    <w:r>
                      <w:rPr>
                        <w:rFonts w:ascii="Trebuchet MS"/>
                        <w:w w:val="111"/>
                        <w:sz w:val="20"/>
                      </w:rPr>
                      <w:t>c</w:t>
                    </w:r>
                    <w:r>
                      <w:rPr>
                        <w:rFonts w:ascii="Trebuchet MS"/>
                        <w:w w:val="80"/>
                        <w:sz w:val="20"/>
                      </w:rPr>
                      <w:t>i</w:t>
                    </w:r>
                    <w:r>
                      <w:rPr>
                        <w:rFonts w:ascii="Trebuchet MS"/>
                        <w:w w:val="107"/>
                        <w:sz w:val="20"/>
                      </w:rPr>
                      <w:t>n</w:t>
                    </w:r>
                    <w:r>
                      <w:rPr>
                        <w:rFonts w:ascii="Trebuchet MS"/>
                        <w:w w:val="124"/>
                        <w:sz w:val="20"/>
                      </w:rPr>
                      <w:t>g</w:t>
                    </w:r>
                    <w:r>
                      <w:rPr>
                        <w:rFonts w:ascii="Trebuchet MS"/>
                        <w:sz w:val="20"/>
                      </w:rPr>
                      <w:t> </w:t>
                    </w:r>
                    <w:r>
                      <w:rPr>
                        <w:rFonts w:ascii="Trebuchet MS"/>
                        <w:w w:val="64"/>
                        <w:sz w:val="20"/>
                      </w:rPr>
                      <w:t>j</w:t>
                    </w:r>
                    <w:r>
                      <w:rPr>
                        <w:rFonts w:ascii="Trebuchet MS"/>
                        <w:w w:val="109"/>
                        <w:sz w:val="20"/>
                      </w:rPr>
                      <w:t>u</w:t>
                    </w:r>
                    <w:r>
                      <w:rPr>
                        <w:rFonts w:ascii="Trebuchet MS"/>
                        <w:w w:val="93"/>
                        <w:sz w:val="20"/>
                      </w:rPr>
                      <w:t>r</w:t>
                    </w:r>
                    <w:r>
                      <w:rPr>
                        <w:rFonts w:ascii="Trebuchet MS"/>
                        <w:w w:val="110"/>
                        <w:sz w:val="20"/>
                      </w:rPr>
                      <w:t>y</w:t>
                    </w:r>
                    <w:r>
                      <w:rPr>
                        <w:rFonts w:ascii="Trebuchet MS"/>
                        <w:sz w:val="20"/>
                      </w:rPr>
                      <w:t> </w:t>
                    </w:r>
                    <w:r>
                      <w:rPr>
                        <w:rFonts w:ascii="Trebuchet MS"/>
                        <w:w w:val="112"/>
                        <w:sz w:val="20"/>
                      </w:rPr>
                      <w:t>d</w:t>
                    </w:r>
                    <w:r>
                      <w:rPr>
                        <w:rFonts w:ascii="Trebuchet MS"/>
                        <w:w w:val="108"/>
                        <w:sz w:val="20"/>
                      </w:rPr>
                      <w:t>e</w:t>
                    </w:r>
                    <w:r>
                      <w:rPr>
                        <w:rFonts w:ascii="Trebuchet MS"/>
                        <w:w w:val="96"/>
                        <w:sz w:val="20"/>
                      </w:rPr>
                      <w:t>l</w:t>
                    </w:r>
                    <w:r>
                      <w:rPr>
                        <w:rFonts w:ascii="Trebuchet MS"/>
                        <w:w w:val="80"/>
                        <w:sz w:val="20"/>
                      </w:rPr>
                      <w:t>i</w:t>
                    </w:r>
                    <w:r>
                      <w:rPr>
                        <w:rFonts w:ascii="Trebuchet MS"/>
                        <w:w w:val="111"/>
                        <w:sz w:val="20"/>
                      </w:rPr>
                      <w:t>b</w:t>
                    </w:r>
                    <w:r>
                      <w:rPr>
                        <w:rFonts w:ascii="Trebuchet MS"/>
                        <w:w w:val="108"/>
                        <w:sz w:val="20"/>
                      </w:rPr>
                      <w:t>e</w:t>
                    </w:r>
                    <w:r>
                      <w:rPr>
                        <w:rFonts w:ascii="Trebuchet MS"/>
                        <w:w w:val="93"/>
                        <w:sz w:val="20"/>
                      </w:rPr>
                      <w:t>r</w:t>
                    </w:r>
                    <w:r>
                      <w:rPr>
                        <w:rFonts w:ascii="Trebuchet MS"/>
                        <w:w w:val="105"/>
                        <w:sz w:val="20"/>
                      </w:rPr>
                      <w:t>a</w:t>
                    </w:r>
                    <w:r>
                      <w:rPr>
                        <w:rFonts w:ascii="Trebuchet MS"/>
                        <w:w w:val="88"/>
                        <w:sz w:val="20"/>
                      </w:rPr>
                      <w:t>t</w:t>
                    </w:r>
                    <w:r>
                      <w:rPr>
                        <w:rFonts w:ascii="Trebuchet MS"/>
                        <w:w w:val="80"/>
                        <w:sz w:val="20"/>
                      </w:rPr>
                      <w:t>i</w:t>
                    </w:r>
                    <w:r>
                      <w:rPr>
                        <w:rFonts w:ascii="Trebuchet MS"/>
                        <w:w w:val="111"/>
                        <w:sz w:val="20"/>
                      </w:rPr>
                      <w:t>o</w:t>
                    </w:r>
                    <w:r>
                      <w:rPr>
                        <w:rFonts w:ascii="Trebuchet MS"/>
                        <w:w w:val="107"/>
                        <w:sz w:val="20"/>
                      </w:rPr>
                      <w:t>n</w:t>
                    </w:r>
                    <w:r>
                      <w:rPr>
                        <w:rFonts w:ascii="Trebuchet MS"/>
                        <w:w w:val="122"/>
                        <w:sz w:val="20"/>
                      </w:rPr>
                      <w:t>s</w:t>
                    </w:r>
                    <w:r>
                      <w:rPr>
                        <w:rFonts w:ascii="Trebuchet MS"/>
                        <w:w w:val="55"/>
                        <w:sz w:val="20"/>
                      </w:rPr>
                      <w:t>.</w:t>
                    </w:r>
                    <w:r>
                      <w:rPr>
                        <w:rFonts w:ascii="Trebuchet MS"/>
                        <w:sz w:val="20"/>
                      </w:rPr>
                      <w:t> </w:t>
                    </w:r>
                    <w:r>
                      <w:rPr>
                        <w:rFonts w:ascii="Trebuchet MS"/>
                        <w:w w:val="105"/>
                        <w:sz w:val="20"/>
                      </w:rPr>
                      <w:t>T</w:t>
                    </w:r>
                    <w:r>
                      <w:rPr>
                        <w:rFonts w:ascii="Trebuchet MS"/>
                        <w:w w:val="107"/>
                        <w:sz w:val="20"/>
                      </w:rPr>
                      <w:t>h</w:t>
                    </w:r>
                    <w:r>
                      <w:rPr>
                        <w:rFonts w:ascii="Trebuchet MS"/>
                        <w:w w:val="80"/>
                        <w:sz w:val="20"/>
                      </w:rPr>
                      <w:t>i</w:t>
                    </w:r>
                    <w:r>
                      <w:rPr>
                        <w:rFonts w:ascii="Trebuchet MS"/>
                        <w:w w:val="122"/>
                        <w:sz w:val="20"/>
                      </w:rPr>
                      <w:t>s</w:t>
                    </w:r>
                    <w:r>
                      <w:rPr>
                        <w:rFonts w:ascii="Trebuchet MS"/>
                        <w:sz w:val="20"/>
                      </w:rPr>
                      <w:t> </w:t>
                    </w:r>
                    <w:r>
                      <w:rPr>
                        <w:rFonts w:ascii="Trebuchet MS"/>
                        <w:w w:val="111"/>
                        <w:sz w:val="20"/>
                      </w:rPr>
                      <w:t>c</w:t>
                    </w:r>
                    <w:r>
                      <w:rPr>
                        <w:rFonts w:ascii="Trebuchet MS"/>
                        <w:w w:val="111"/>
                        <w:sz w:val="20"/>
                      </w:rPr>
                      <w:t>o</w:t>
                    </w:r>
                    <w:r>
                      <w:rPr>
                        <w:rFonts w:ascii="Trebuchet MS"/>
                        <w:w w:val="109"/>
                        <w:sz w:val="20"/>
                      </w:rPr>
                      <w:t>u</w:t>
                    </w:r>
                    <w:r>
                      <w:rPr>
                        <w:rFonts w:ascii="Trebuchet MS"/>
                        <w:w w:val="96"/>
                        <w:sz w:val="20"/>
                      </w:rPr>
                      <w:t>l</w:t>
                    </w:r>
                    <w:r>
                      <w:rPr>
                        <w:rFonts w:ascii="Trebuchet MS"/>
                        <w:w w:val="112"/>
                        <w:sz w:val="20"/>
                      </w:rPr>
                      <w:t>d</w:t>
                    </w:r>
                    <w:r>
                      <w:rPr>
                        <w:rFonts w:ascii="Trebuchet MS"/>
                        <w:sz w:val="20"/>
                      </w:rPr>
                      <w:t> </w:t>
                    </w:r>
                    <w:r>
                      <w:rPr>
                        <w:rFonts w:ascii="Trebuchet MS"/>
                        <w:w w:val="111"/>
                        <w:sz w:val="20"/>
                      </w:rPr>
                      <w:t>b</w:t>
                    </w:r>
                    <w:r>
                      <w:rPr>
                        <w:rFonts w:ascii="Trebuchet MS"/>
                        <w:w w:val="108"/>
                        <w:sz w:val="20"/>
                      </w:rPr>
                      <w:t>e </w:t>
                    </w:r>
                    <w:r>
                      <w:rPr>
                        <w:rFonts w:ascii="Trebuchet MS"/>
                        <w:w w:val="111"/>
                        <w:sz w:val="20"/>
                      </w:rPr>
                      <w:t>m</w:t>
                    </w:r>
                    <w:r>
                      <w:rPr>
                        <w:rFonts w:ascii="Trebuchet MS"/>
                        <w:w w:val="111"/>
                        <w:sz w:val="20"/>
                      </w:rPr>
                      <w:t>o</w:t>
                    </w:r>
                    <w:r>
                      <w:rPr>
                        <w:rFonts w:ascii="Trebuchet MS"/>
                        <w:w w:val="112"/>
                        <w:sz w:val="20"/>
                      </w:rPr>
                      <w:t>d</w:t>
                    </w:r>
                    <w:r>
                      <w:rPr>
                        <w:rFonts w:ascii="Trebuchet MS"/>
                        <w:w w:val="108"/>
                        <w:sz w:val="20"/>
                      </w:rPr>
                      <w:t>e</w:t>
                    </w:r>
                    <w:r>
                      <w:rPr>
                        <w:rFonts w:ascii="Trebuchet MS"/>
                        <w:w w:val="96"/>
                        <w:sz w:val="20"/>
                      </w:rPr>
                      <w:t>ll</w:t>
                    </w:r>
                    <w:r>
                      <w:rPr>
                        <w:rFonts w:ascii="Trebuchet MS"/>
                        <w:w w:val="108"/>
                        <w:sz w:val="20"/>
                      </w:rPr>
                      <w:t>e</w:t>
                    </w:r>
                    <w:r>
                      <w:rPr>
                        <w:rFonts w:ascii="Trebuchet MS"/>
                        <w:w w:val="112"/>
                        <w:sz w:val="20"/>
                      </w:rPr>
                      <w:t>d</w:t>
                    </w:r>
                    <w:r>
                      <w:rPr>
                        <w:rFonts w:ascii="Trebuchet MS"/>
                        <w:sz w:val="20"/>
                      </w:rPr>
                      <w:t> </w:t>
                    </w:r>
                    <w:r>
                      <w:rPr>
                        <w:rFonts w:ascii="Trebuchet MS"/>
                        <w:w w:val="111"/>
                        <w:sz w:val="20"/>
                      </w:rPr>
                      <w:t>o</w:t>
                    </w:r>
                    <w:r>
                      <w:rPr>
                        <w:rFonts w:ascii="Trebuchet MS"/>
                        <w:w w:val="107"/>
                        <w:sz w:val="20"/>
                      </w:rPr>
                      <w:t>n</w:t>
                    </w:r>
                    <w:r>
                      <w:rPr>
                        <w:rFonts w:ascii="Trebuchet MS"/>
                        <w:sz w:val="20"/>
                      </w:rPr>
                      <w:t> </w:t>
                    </w:r>
                    <w:r>
                      <w:rPr>
                        <w:rFonts w:ascii="Trebuchet MS"/>
                        <w:w w:val="88"/>
                        <w:sz w:val="20"/>
                      </w:rPr>
                      <w:t>t</w:t>
                    </w:r>
                    <w:r>
                      <w:rPr>
                        <w:rFonts w:ascii="Trebuchet MS"/>
                        <w:w w:val="107"/>
                        <w:sz w:val="20"/>
                      </w:rPr>
                      <w:t>h</w:t>
                    </w:r>
                    <w:r>
                      <w:rPr>
                        <w:rFonts w:ascii="Trebuchet MS"/>
                        <w:w w:val="108"/>
                        <w:sz w:val="20"/>
                      </w:rPr>
                      <w:t>e</w:t>
                    </w:r>
                    <w:r>
                      <w:rPr>
                        <w:rFonts w:ascii="Trebuchet MS"/>
                        <w:sz w:val="20"/>
                      </w:rPr>
                      <w:t> </w:t>
                    </w:r>
                    <w:r>
                      <w:rPr>
                        <w:rFonts w:ascii="Trebuchet MS"/>
                        <w:w w:val="105"/>
                        <w:sz w:val="20"/>
                      </w:rPr>
                      <w:t>a</w:t>
                    </w:r>
                    <w:r>
                      <w:rPr>
                        <w:rFonts w:ascii="Trebuchet MS"/>
                        <w:w w:val="111"/>
                        <w:sz w:val="20"/>
                      </w:rPr>
                      <w:t>pp</w:t>
                    </w:r>
                    <w:r>
                      <w:rPr>
                        <w:rFonts w:ascii="Trebuchet MS"/>
                        <w:w w:val="93"/>
                        <w:sz w:val="20"/>
                      </w:rPr>
                      <w:t>r</w:t>
                    </w:r>
                    <w:r>
                      <w:rPr>
                        <w:rFonts w:ascii="Trebuchet MS"/>
                        <w:w w:val="111"/>
                        <w:sz w:val="20"/>
                      </w:rPr>
                      <w:t>o</w:t>
                    </w:r>
                    <w:r>
                      <w:rPr>
                        <w:rFonts w:ascii="Trebuchet MS"/>
                        <w:w w:val="108"/>
                        <w:sz w:val="20"/>
                      </w:rPr>
                      <w:t>ac</w:t>
                    </w:r>
                    <w:r>
                      <w:rPr>
                        <w:rFonts w:ascii="Trebuchet MS"/>
                        <w:w w:val="107"/>
                        <w:sz w:val="20"/>
                      </w:rPr>
                      <w:t>h</w:t>
                    </w:r>
                    <w:r>
                      <w:rPr>
                        <w:rFonts w:ascii="Trebuchet MS"/>
                        <w:sz w:val="20"/>
                      </w:rPr>
                      <w:t> </w:t>
                    </w:r>
                    <w:r>
                      <w:rPr>
                        <w:rFonts w:ascii="Trebuchet MS"/>
                        <w:w w:val="80"/>
                        <w:sz w:val="20"/>
                      </w:rPr>
                      <w:t>i</w:t>
                    </w:r>
                    <w:r>
                      <w:rPr>
                        <w:rFonts w:ascii="Trebuchet MS"/>
                        <w:w w:val="107"/>
                        <w:sz w:val="20"/>
                      </w:rPr>
                      <w:t>n</w:t>
                    </w:r>
                    <w:r>
                      <w:rPr>
                        <w:rFonts w:ascii="Trebuchet MS"/>
                        <w:sz w:val="20"/>
                      </w:rPr>
                      <w:t> </w:t>
                    </w:r>
                    <w:r>
                      <w:rPr>
                        <w:rFonts w:ascii="Trebuchet MS"/>
                        <w:w w:val="112"/>
                        <w:sz w:val="20"/>
                      </w:rPr>
                      <w:t>E</w:t>
                    </w:r>
                    <w:r>
                      <w:rPr>
                        <w:rFonts w:ascii="Trebuchet MS"/>
                        <w:w w:val="107"/>
                        <w:sz w:val="20"/>
                      </w:rPr>
                      <w:t>n</w:t>
                    </w:r>
                    <w:r>
                      <w:rPr>
                        <w:rFonts w:ascii="Trebuchet MS"/>
                        <w:w w:val="124"/>
                        <w:sz w:val="20"/>
                      </w:rPr>
                      <w:t>g</w:t>
                    </w:r>
                    <w:r>
                      <w:rPr>
                        <w:rFonts w:ascii="Trebuchet MS"/>
                        <w:w w:val="96"/>
                        <w:sz w:val="20"/>
                      </w:rPr>
                      <w:t>l</w:t>
                    </w:r>
                    <w:r>
                      <w:rPr>
                        <w:rFonts w:ascii="Trebuchet MS"/>
                        <w:w w:val="105"/>
                        <w:sz w:val="20"/>
                      </w:rPr>
                      <w:t>a</w:t>
                    </w:r>
                    <w:r>
                      <w:rPr>
                        <w:rFonts w:ascii="Trebuchet MS"/>
                        <w:w w:val="107"/>
                        <w:sz w:val="20"/>
                      </w:rPr>
                      <w:t>n</w:t>
                    </w:r>
                    <w:r>
                      <w:rPr>
                        <w:rFonts w:ascii="Trebuchet MS"/>
                        <w:w w:val="112"/>
                        <w:sz w:val="20"/>
                      </w:rPr>
                      <w:t>d</w:t>
                    </w:r>
                    <w:r>
                      <w:rPr>
                        <w:rFonts w:ascii="Trebuchet MS"/>
                        <w:sz w:val="20"/>
                      </w:rPr>
                      <w:t> </w:t>
                    </w:r>
                    <w:r>
                      <w:rPr>
                        <w:rFonts w:ascii="Trebuchet MS"/>
                        <w:w w:val="105"/>
                        <w:sz w:val="20"/>
                      </w:rPr>
                      <w:t>a</w:t>
                    </w:r>
                    <w:r>
                      <w:rPr>
                        <w:rFonts w:ascii="Trebuchet MS"/>
                        <w:w w:val="107"/>
                        <w:sz w:val="20"/>
                      </w:rPr>
                      <w:t>n</w:t>
                    </w:r>
                    <w:r>
                      <w:rPr>
                        <w:rFonts w:ascii="Trebuchet MS"/>
                        <w:w w:val="112"/>
                        <w:sz w:val="20"/>
                      </w:rPr>
                      <w:t>d</w:t>
                    </w:r>
                    <w:r>
                      <w:rPr>
                        <w:rFonts w:ascii="Trebuchet MS"/>
                        <w:sz w:val="20"/>
                      </w:rPr>
                      <w:t> </w:t>
                    </w:r>
                    <w:r>
                      <w:rPr>
                        <w:rFonts w:ascii="Trebuchet MS"/>
                        <w:w w:val="123"/>
                        <w:sz w:val="20"/>
                      </w:rPr>
                      <w:t>W</w:t>
                    </w:r>
                    <w:r>
                      <w:rPr>
                        <w:rFonts w:ascii="Trebuchet MS"/>
                        <w:w w:val="105"/>
                        <w:sz w:val="20"/>
                      </w:rPr>
                      <w:t>a</w:t>
                    </w:r>
                    <w:r>
                      <w:rPr>
                        <w:rFonts w:ascii="Trebuchet MS"/>
                        <w:w w:val="96"/>
                        <w:sz w:val="20"/>
                      </w:rPr>
                      <w:t>l</w:t>
                    </w:r>
                    <w:r>
                      <w:rPr>
                        <w:rFonts w:ascii="Trebuchet MS"/>
                        <w:w w:val="108"/>
                        <w:sz w:val="20"/>
                      </w:rPr>
                      <w:t>e</w:t>
                    </w:r>
                    <w:r>
                      <w:rPr>
                        <w:rFonts w:ascii="Trebuchet MS"/>
                        <w:w w:val="122"/>
                        <w:sz w:val="20"/>
                      </w:rPr>
                      <w:t>s</w:t>
                    </w:r>
                    <w:r>
                      <w:rPr>
                        <w:rFonts w:ascii="Trebuchet MS"/>
                        <w:w w:val="55"/>
                        <w:sz w:val="20"/>
                      </w:rPr>
                      <w:t>.</w:t>
                    </w:r>
                  </w:p>
                </w:txbxContent>
              </v:textbox>
              <w10:wrap type="none"/>
            </v:shape>
            <v:shape style="position:absolute;left:1814;top:1343;width:291;height:800" type="#_x0000_t202" filled="false" stroked="false">
              <v:textbox inset="0,0,0,0">
                <w:txbxContent>
                  <w:p>
                    <w:pPr>
                      <w:spacing w:before="0"/>
                      <w:ind w:left="0" w:right="0" w:firstLine="0"/>
                      <w:jc w:val="left"/>
                      <w:rPr>
                        <w:rFonts w:ascii="Trebuchet MS"/>
                        <w:sz w:val="20"/>
                      </w:rPr>
                    </w:pPr>
                    <w:r>
                      <w:rPr>
                        <w:rFonts w:ascii="Trebuchet MS"/>
                        <w:w w:val="95"/>
                        <w:sz w:val="20"/>
                      </w:rPr>
                      <w:t>35.</w:t>
                    </w:r>
                  </w:p>
                  <w:p>
                    <w:pPr>
                      <w:spacing w:line="240" w:lineRule="auto" w:before="13"/>
                      <w:rPr>
                        <w:sz w:val="23"/>
                      </w:rPr>
                    </w:pPr>
                  </w:p>
                  <w:p>
                    <w:pPr>
                      <w:spacing w:before="0"/>
                      <w:ind w:left="0" w:right="0" w:firstLine="0"/>
                      <w:jc w:val="left"/>
                      <w:rPr>
                        <w:rFonts w:ascii="Trebuchet MS"/>
                        <w:sz w:val="20"/>
                      </w:rPr>
                    </w:pPr>
                    <w:r>
                      <w:rPr>
                        <w:rFonts w:ascii="Trebuchet MS"/>
                        <w:spacing w:val="1"/>
                        <w:w w:val="102"/>
                        <w:sz w:val="20"/>
                      </w:rPr>
                      <w:t>3</w:t>
                    </w:r>
                    <w:r>
                      <w:rPr>
                        <w:rFonts w:ascii="Trebuchet MS"/>
                        <w:spacing w:val="-1"/>
                        <w:w w:val="115"/>
                        <w:sz w:val="20"/>
                      </w:rPr>
                      <w:t>6</w:t>
                    </w:r>
                    <w:r>
                      <w:rPr>
                        <w:rFonts w:ascii="Trebuchet MS"/>
                        <w:w w:val="55"/>
                        <w:sz w:val="20"/>
                      </w:rPr>
                      <w:t>.</w:t>
                    </w:r>
                  </w:p>
                </w:txbxContent>
              </v:textbox>
              <w10:wrap type="none"/>
            </v:shape>
            <v:shape style="position:absolute;left:1587;top:310;width:8731;height:783" type="#_x0000_t202" filled="true" fillcolor="#dddfe4" stroked="false">
              <v:textbox inset="0,0,0,0">
                <w:txbxContent>
                  <w:p>
                    <w:pPr>
                      <w:spacing w:before="158"/>
                      <w:ind w:left="226" w:right="0" w:firstLine="0"/>
                      <w:jc w:val="left"/>
                      <w:rPr>
                        <w:rFonts w:ascii="Raleway ExtraBold"/>
                        <w:b/>
                        <w:sz w:val="32"/>
                      </w:rPr>
                    </w:pPr>
                    <w:r>
                      <w:rPr>
                        <w:rFonts w:ascii="Raleway ExtraBold"/>
                        <w:b/>
                        <w:color w:val="37617A"/>
                        <w:sz w:val="32"/>
                      </w:rPr>
                      <w:t>Recommendations</w:t>
                    </w:r>
                  </w:p>
                </w:txbxContent>
              </v:textbox>
              <v:fill type="solid"/>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5"/>
        </w:rPr>
      </w:pPr>
      <w:r>
        <w:rPr/>
        <w:pict>
          <v:line style="position:absolute;mso-position-horizontal-relative:page;mso-position-vertical-relative:paragraph;z-index:9464;mso-wrap-distance-left:0;mso-wrap-distance-right:0" from="79.370102pt,13.435pt" to="515.905102pt,13.435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2"/>
        </w:rPr>
      </w:pPr>
    </w:p>
    <w:p>
      <w:pPr>
        <w:spacing w:before="0"/>
        <w:ind w:left="100" w:right="0" w:firstLine="0"/>
        <w:jc w:val="left"/>
        <w:rPr>
          <w:b/>
          <w:sz w:val="24"/>
        </w:rPr>
      </w:pPr>
      <w:r>
        <w:rPr>
          <w:b/>
          <w:color w:val="37617A"/>
          <w:sz w:val="24"/>
        </w:rPr>
        <w:t>178</w:t>
      </w:r>
    </w:p>
    <w:p>
      <w:pPr>
        <w:pStyle w:val="ListParagraph"/>
        <w:numPr>
          <w:ilvl w:val="0"/>
          <w:numId w:val="105"/>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z w:val="13"/>
        </w:rPr>
        <w:t>See </w:t>
      </w:r>
      <w:r>
        <w:rPr>
          <w:spacing w:val="2"/>
          <w:sz w:val="13"/>
        </w:rPr>
        <w:t>Submissions </w:t>
      </w:r>
      <w:r>
        <w:rPr>
          <w:sz w:val="13"/>
        </w:rPr>
        <w:t>8 </w:t>
      </w:r>
      <w:r>
        <w:rPr>
          <w:spacing w:val="2"/>
          <w:sz w:val="13"/>
        </w:rPr>
        <w:t>(Victoria </w:t>
      </w:r>
      <w:r>
        <w:rPr>
          <w:sz w:val="13"/>
        </w:rPr>
        <w:t>Legal Aid), 10 </w:t>
      </w:r>
      <w:r>
        <w:rPr>
          <w:spacing w:val="2"/>
          <w:sz w:val="13"/>
        </w:rPr>
        <w:t>(Vision </w:t>
      </w:r>
      <w:r>
        <w:rPr>
          <w:sz w:val="13"/>
        </w:rPr>
        <w:t>Australia), 13 </w:t>
      </w:r>
      <w:r>
        <w:rPr>
          <w:spacing w:val="2"/>
          <w:sz w:val="13"/>
        </w:rPr>
        <w:t>(Juries</w:t>
      </w:r>
      <w:r>
        <w:rPr>
          <w:spacing w:val="-2"/>
          <w:sz w:val="13"/>
        </w:rPr>
        <w:t> </w:t>
      </w:r>
      <w:r>
        <w:rPr>
          <w:sz w:val="13"/>
        </w:rPr>
        <w:t>Victoria).</w:t>
      </w:r>
    </w:p>
    <w:p>
      <w:pPr>
        <w:pStyle w:val="ListParagraph"/>
        <w:numPr>
          <w:ilvl w:val="0"/>
          <w:numId w:val="105"/>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105"/>
        </w:numPr>
        <w:tabs>
          <w:tab w:pos="893" w:val="left" w:leader="none"/>
          <w:tab w:pos="894" w:val="left" w:leader="none"/>
        </w:tabs>
        <w:spacing w:line="160" w:lineRule="exact" w:before="0" w:after="0"/>
        <w:ind w:left="893" w:right="0" w:hanging="793"/>
        <w:jc w:val="left"/>
        <w:rPr>
          <w:sz w:val="13"/>
        </w:rPr>
      </w:pPr>
      <w:r>
        <w:rPr>
          <w:i/>
          <w:sz w:val="13"/>
        </w:rPr>
        <w:t>Juries Act 2000 </w:t>
      </w:r>
      <w:r>
        <w:rPr>
          <w:spacing w:val="2"/>
          <w:sz w:val="13"/>
        </w:rPr>
        <w:t>(Vic) </w:t>
      </w:r>
      <w:r>
        <w:rPr>
          <w:sz w:val="13"/>
        </w:rPr>
        <w:t>s</w:t>
      </w:r>
      <w:r>
        <w:rPr>
          <w:spacing w:val="-2"/>
          <w:sz w:val="13"/>
        </w:rPr>
        <w:t> </w:t>
      </w:r>
      <w:r>
        <w:rPr>
          <w:spacing w:val="2"/>
          <w:sz w:val="13"/>
        </w:rPr>
        <w:t>78A.</w:t>
      </w:r>
    </w:p>
    <w:p>
      <w:pPr>
        <w:pStyle w:val="ListParagraph"/>
        <w:numPr>
          <w:ilvl w:val="0"/>
          <w:numId w:val="105"/>
        </w:numPr>
        <w:tabs>
          <w:tab w:pos="893" w:val="left" w:leader="none"/>
          <w:tab w:pos="894" w:val="left" w:leader="none"/>
        </w:tabs>
        <w:spacing w:line="160" w:lineRule="exact" w:before="0" w:after="0"/>
        <w:ind w:left="893" w:right="0" w:hanging="793"/>
        <w:jc w:val="left"/>
        <w:rPr>
          <w:sz w:val="13"/>
        </w:rPr>
      </w:pPr>
      <w:r>
        <w:rPr>
          <w:sz w:val="13"/>
        </w:rPr>
        <w:t>Ibid ss </w:t>
      </w:r>
      <w:r>
        <w:rPr>
          <w:spacing w:val="2"/>
          <w:sz w:val="13"/>
        </w:rPr>
        <w:t>77 </w:t>
      </w:r>
      <w:r>
        <w:rPr>
          <w:sz w:val="13"/>
        </w:rPr>
        <w:t>and 78,</w:t>
      </w:r>
      <w:r>
        <w:rPr>
          <w:spacing w:val="-2"/>
          <w:sz w:val="13"/>
        </w:rPr>
        <w:t> </w:t>
      </w:r>
      <w:r>
        <w:rPr>
          <w:sz w:val="13"/>
        </w:rPr>
        <w:t>respectively.</w:t>
      </w:r>
    </w:p>
    <w:p>
      <w:pPr>
        <w:pStyle w:val="ListParagraph"/>
        <w:numPr>
          <w:ilvl w:val="0"/>
          <w:numId w:val="105"/>
        </w:numPr>
        <w:tabs>
          <w:tab w:pos="893" w:val="left" w:leader="none"/>
          <w:tab w:pos="894" w:val="left" w:leader="none"/>
        </w:tabs>
        <w:spacing w:line="160" w:lineRule="exact" w:before="0" w:after="0"/>
        <w:ind w:left="893" w:right="0" w:hanging="793"/>
        <w:jc w:val="left"/>
        <w:rPr>
          <w:sz w:val="13"/>
        </w:rPr>
      </w:pPr>
      <w:r>
        <w:rPr>
          <w:i/>
          <w:sz w:val="13"/>
        </w:rPr>
        <w:t>Police, Crime, Sentencing and </w:t>
      </w:r>
      <w:r>
        <w:rPr>
          <w:i/>
          <w:spacing w:val="2"/>
          <w:sz w:val="13"/>
        </w:rPr>
        <w:t>Courts </w:t>
      </w:r>
      <w:r>
        <w:rPr>
          <w:i/>
          <w:sz w:val="13"/>
        </w:rPr>
        <w:t>Act 2022 </w:t>
      </w:r>
      <w:r>
        <w:rPr>
          <w:spacing w:val="2"/>
          <w:sz w:val="13"/>
        </w:rPr>
        <w:t>(UK) </w:t>
      </w:r>
      <w:r>
        <w:rPr>
          <w:sz w:val="13"/>
        </w:rPr>
        <w:t>s</w:t>
      </w:r>
      <w:r>
        <w:rPr>
          <w:spacing w:val="-4"/>
          <w:sz w:val="13"/>
        </w:rPr>
        <w:t> </w:t>
      </w:r>
      <w:r>
        <w:rPr>
          <w:spacing w:val="2"/>
          <w:sz w:val="13"/>
        </w:rPr>
        <w:t>196.</w:t>
      </w:r>
    </w:p>
    <w:p>
      <w:pPr>
        <w:pStyle w:val="ListParagraph"/>
        <w:numPr>
          <w:ilvl w:val="0"/>
          <w:numId w:val="105"/>
        </w:numPr>
        <w:tabs>
          <w:tab w:pos="893" w:val="left" w:leader="none"/>
          <w:tab w:pos="894" w:val="left" w:leader="none"/>
        </w:tabs>
        <w:spacing w:line="170" w:lineRule="exact" w:before="0" w:after="0"/>
        <w:ind w:left="893" w:right="0" w:hanging="793"/>
        <w:jc w:val="left"/>
        <w:rPr>
          <w:sz w:val="13"/>
        </w:rPr>
      </w:pPr>
      <w:r>
        <w:rPr>
          <w:i/>
          <w:sz w:val="13"/>
        </w:rPr>
        <w:t>Crimes Act 1958 </w:t>
      </w:r>
      <w:r>
        <w:rPr>
          <w:spacing w:val="2"/>
          <w:sz w:val="13"/>
        </w:rPr>
        <w:t>(Vic) </w:t>
      </w:r>
      <w:r>
        <w:rPr>
          <w:sz w:val="13"/>
        </w:rPr>
        <w:t>s</w:t>
      </w:r>
      <w:r>
        <w:rPr>
          <w:spacing w:val="-2"/>
          <w:sz w:val="13"/>
        </w:rPr>
        <w:t> </w:t>
      </w:r>
      <w:r>
        <w:rPr>
          <w:sz w:val="13"/>
        </w:rPr>
        <w:t>320.</w:t>
      </w:r>
    </w:p>
    <w:p>
      <w:pPr>
        <w:spacing w:after="0" w:line="170" w:lineRule="exact"/>
        <w:jc w:val="left"/>
        <w:rPr>
          <w:sz w:val="13"/>
        </w:rPr>
        <w:sectPr>
          <w:type w:val="continuous"/>
          <w:pgSz w:w="11910" w:h="16840"/>
          <w:pgMar w:top="620" w:bottom="280" w:left="620" w:right="380"/>
          <w:cols w:num="2" w:equalWidth="0">
            <w:col w:w="528" w:space="340"/>
            <w:col w:w="10042"/>
          </w:cols>
        </w:sectPr>
      </w:pPr>
    </w:p>
    <w:p>
      <w:pPr>
        <w:spacing w:line="680" w:lineRule="exact" w:before="0"/>
        <w:ind w:left="0" w:right="745" w:firstLine="0"/>
        <w:jc w:val="right"/>
        <w:rPr>
          <w:rFonts w:ascii="Raleway SemiBold"/>
          <w:b/>
          <w:sz w:val="50"/>
        </w:rPr>
      </w:pPr>
      <w:r>
        <w:rPr/>
        <w:pict>
          <v:rect style="position:absolute;margin-left:0pt;margin-top:0pt;width:595.276001pt;height:841.890015pt;mso-position-horizontal-relative:page;mso-position-vertical-relative:page;z-index:-348760" filled="true" fillcolor="#37617a" stroked="false">
            <v:fill type="solid"/>
            <w10:wrap type="none"/>
          </v:rect>
        </w:pict>
      </w:r>
      <w:r>
        <w:rPr/>
        <w:pict>
          <v:shape style="position:absolute;margin-left:415.290192pt;margin-top:4.3197pt;width:127.05pt;height:152.65pt;mso-position-horizontal-relative:page;mso-position-vertical-relative:paragraph;z-index:-348736" type="#_x0000_t202" filled="false" stroked="false">
            <v:textbox inset="0,0,0,0">
              <w:txbxContent>
                <w:p>
                  <w:pPr>
                    <w:spacing w:line="3052" w:lineRule="exact" w:before="0"/>
                    <w:ind w:left="0" w:right="0" w:firstLine="0"/>
                    <w:jc w:val="left"/>
                    <w:rPr>
                      <w:b/>
                      <w:sz w:val="260"/>
                    </w:rPr>
                  </w:pPr>
                  <w:r>
                    <w:rPr>
                      <w:b/>
                      <w:color w:val="FFFFFF"/>
                      <w:spacing w:val="-162"/>
                      <w:sz w:val="260"/>
                    </w:rPr>
                    <w:t>16</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5"/>
        <w:rPr>
          <w:rFonts w:ascii="Raleway SemiBold"/>
          <w:b/>
          <w:sz w:val="17"/>
        </w:rPr>
      </w:pPr>
    </w:p>
    <w:p>
      <w:pPr>
        <w:spacing w:line="180" w:lineRule="auto" w:before="166"/>
        <w:ind w:left="967" w:right="1335" w:firstLine="0"/>
        <w:jc w:val="left"/>
        <w:rPr>
          <w:rFonts w:ascii="Raleway ExtraBold"/>
          <w:b/>
          <w:sz w:val="88"/>
        </w:rPr>
      </w:pPr>
      <w:r>
        <w:rPr>
          <w:rFonts w:ascii="Raleway ExtraBold"/>
          <w:b/>
          <w:color w:val="FFFFFF"/>
          <w:spacing w:val="-21"/>
          <w:sz w:val="88"/>
        </w:rPr>
        <w:t>Excuse </w:t>
      </w:r>
      <w:r>
        <w:rPr>
          <w:rFonts w:ascii="Raleway ExtraBold"/>
          <w:b/>
          <w:color w:val="FFFFFF"/>
          <w:spacing w:val="-20"/>
          <w:sz w:val="88"/>
        </w:rPr>
        <w:t>from </w:t>
      </w:r>
      <w:r>
        <w:rPr>
          <w:rFonts w:ascii="Raleway ExtraBold"/>
          <w:b/>
          <w:color w:val="FFFFFF"/>
          <w:spacing w:val="-16"/>
          <w:sz w:val="88"/>
        </w:rPr>
        <w:t>jury </w:t>
      </w:r>
      <w:r>
        <w:rPr>
          <w:rFonts w:ascii="Raleway ExtraBold"/>
          <w:b/>
          <w:color w:val="FFFFFF"/>
          <w:spacing w:val="-19"/>
          <w:sz w:val="88"/>
        </w:rPr>
        <w:t>service</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7"/>
        <w:rPr>
          <w:rFonts w:ascii="Raleway ExtraBold"/>
          <w:b/>
          <w:sz w:val="14"/>
        </w:rPr>
      </w:pPr>
    </w:p>
    <w:tbl>
      <w:tblPr>
        <w:tblW w:w="0" w:type="auto"/>
        <w:jc w:val="left"/>
        <w:tblInd w:w="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8083"/>
      </w:tblGrid>
      <w:tr>
        <w:trPr>
          <w:trHeight w:val="336" w:hRule="atLeast"/>
        </w:trPr>
        <w:tc>
          <w:tcPr>
            <w:tcW w:w="510" w:type="dxa"/>
            <w:tcBorders>
              <w:bottom w:val="single" w:sz="18" w:space="0" w:color="8F9DAD"/>
            </w:tcBorders>
            <w:shd w:val="clear" w:color="auto" w:fill="37617A"/>
          </w:tcPr>
          <w:p>
            <w:pPr>
              <w:pStyle w:val="TableParagraph"/>
              <w:spacing w:line="282" w:lineRule="exact" w:before="0"/>
              <w:ind w:left="0"/>
              <w:rPr>
                <w:b/>
                <w:sz w:val="24"/>
              </w:rPr>
            </w:pPr>
            <w:hyperlink w:history="true" w:anchor="_bookmark130">
              <w:r>
                <w:rPr>
                  <w:b/>
                  <w:color w:val="FFFFFF"/>
                  <w:sz w:val="24"/>
                </w:rPr>
                <w:t>180</w:t>
              </w:r>
            </w:hyperlink>
          </w:p>
        </w:tc>
        <w:tc>
          <w:tcPr>
            <w:tcW w:w="8083" w:type="dxa"/>
            <w:shd w:val="clear" w:color="auto" w:fill="37617A"/>
          </w:tcPr>
          <w:p>
            <w:pPr>
              <w:pStyle w:val="TableParagraph"/>
              <w:spacing w:line="282" w:lineRule="exact" w:before="0"/>
              <w:ind w:left="56"/>
              <w:rPr>
                <w:b/>
                <w:sz w:val="24"/>
              </w:rPr>
            </w:pPr>
            <w:hyperlink w:history="true" w:anchor="_bookmark130">
              <w:r>
                <w:rPr>
                  <w:b/>
                  <w:color w:val="FFFFFF"/>
                  <w:sz w:val="24"/>
                </w:rPr>
                <w:t>Overview</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30">
              <w:r>
                <w:rPr>
                  <w:b/>
                  <w:color w:val="FFFFFF"/>
                  <w:sz w:val="24"/>
                </w:rPr>
                <w:t>180</w:t>
              </w:r>
            </w:hyperlink>
          </w:p>
        </w:tc>
        <w:tc>
          <w:tcPr>
            <w:tcW w:w="8083" w:type="dxa"/>
            <w:shd w:val="clear" w:color="auto" w:fill="37617A"/>
          </w:tcPr>
          <w:p>
            <w:pPr>
              <w:pStyle w:val="TableParagraph"/>
              <w:ind w:left="56"/>
              <w:rPr>
                <w:b/>
                <w:sz w:val="24"/>
              </w:rPr>
            </w:pPr>
            <w:hyperlink w:history="true" w:anchor="_bookmark130">
              <w:r>
                <w:rPr>
                  <w:b/>
                  <w:color w:val="FFFFFF"/>
                  <w:sz w:val="24"/>
                </w:rPr>
                <w:t>When should a person be able to be excused?</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31">
              <w:r>
                <w:rPr>
                  <w:b/>
                  <w:color w:val="FFFFFF"/>
                  <w:sz w:val="24"/>
                </w:rPr>
                <w:t>181</w:t>
              </w:r>
            </w:hyperlink>
          </w:p>
        </w:tc>
        <w:tc>
          <w:tcPr>
            <w:tcW w:w="8083" w:type="dxa"/>
            <w:shd w:val="clear" w:color="auto" w:fill="37617A"/>
          </w:tcPr>
          <w:p>
            <w:pPr>
              <w:pStyle w:val="TableParagraph"/>
              <w:ind w:left="56"/>
              <w:rPr>
                <w:b/>
                <w:sz w:val="24"/>
              </w:rPr>
            </w:pPr>
            <w:hyperlink w:history="true" w:anchor="_bookmark131">
              <w:r>
                <w:rPr>
                  <w:b/>
                  <w:color w:val="FFFFFF"/>
                  <w:sz w:val="24"/>
                </w:rPr>
                <w:t>Excuses from jury service in other jurisdictions</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33">
              <w:r>
                <w:rPr>
                  <w:b/>
                  <w:color w:val="FFFFFF"/>
                  <w:sz w:val="24"/>
                </w:rPr>
                <w:t>183</w:t>
              </w:r>
            </w:hyperlink>
          </w:p>
        </w:tc>
        <w:tc>
          <w:tcPr>
            <w:tcW w:w="8083" w:type="dxa"/>
            <w:shd w:val="clear" w:color="auto" w:fill="37617A"/>
          </w:tcPr>
          <w:p>
            <w:pPr>
              <w:pStyle w:val="TableParagraph"/>
              <w:ind w:left="56"/>
              <w:rPr>
                <w:b/>
                <w:sz w:val="24"/>
              </w:rPr>
            </w:pPr>
            <w:hyperlink w:history="true" w:anchor="_bookmark133">
              <w:r>
                <w:rPr>
                  <w:b/>
                  <w:color w:val="FFFFFF"/>
                  <w:sz w:val="24"/>
                </w:rPr>
                <w:t>What did other law reform bodies </w:t>
              </w:r>
              <w:r>
                <w:rPr>
                  <w:b/>
                  <w:color w:val="FFFFFF"/>
                  <w:spacing w:val="-3"/>
                  <w:sz w:val="24"/>
                </w:rPr>
                <w:t>say </w:t>
              </w:r>
              <w:r>
                <w:rPr>
                  <w:b/>
                  <w:color w:val="FFFFFF"/>
                  <w:sz w:val="24"/>
                </w:rPr>
                <w:t>about </w:t>
              </w:r>
              <w:r>
                <w:rPr>
                  <w:b/>
                  <w:color w:val="FFFFFF"/>
                  <w:spacing w:val="-3"/>
                  <w:sz w:val="24"/>
                </w:rPr>
                <w:t>excuse </w:t>
              </w:r>
              <w:r>
                <w:rPr>
                  <w:b/>
                  <w:color w:val="FFFFFF"/>
                  <w:sz w:val="24"/>
                </w:rPr>
                <w:t>from jury service?</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34">
              <w:r>
                <w:rPr>
                  <w:b/>
                  <w:color w:val="FFFFFF"/>
                  <w:sz w:val="24"/>
                </w:rPr>
                <w:t>184</w:t>
              </w:r>
            </w:hyperlink>
          </w:p>
        </w:tc>
        <w:tc>
          <w:tcPr>
            <w:tcW w:w="8083" w:type="dxa"/>
            <w:shd w:val="clear" w:color="auto" w:fill="37617A"/>
          </w:tcPr>
          <w:p>
            <w:pPr>
              <w:pStyle w:val="TableParagraph"/>
              <w:ind w:left="56"/>
              <w:rPr>
                <w:b/>
                <w:sz w:val="24"/>
              </w:rPr>
            </w:pPr>
            <w:hyperlink w:history="true" w:anchor="_bookmark134">
              <w:r>
                <w:rPr>
                  <w:b/>
                  <w:color w:val="FFFFFF"/>
                  <w:sz w:val="24"/>
                </w:rPr>
                <w:t>Community responses: excuse from jury service</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36">
              <w:r>
                <w:rPr>
                  <w:b/>
                  <w:color w:val="FFFFFF"/>
                  <w:sz w:val="24"/>
                </w:rPr>
                <w:t>186</w:t>
              </w:r>
            </w:hyperlink>
          </w:p>
        </w:tc>
        <w:tc>
          <w:tcPr>
            <w:tcW w:w="8083" w:type="dxa"/>
            <w:shd w:val="clear" w:color="auto" w:fill="37617A"/>
          </w:tcPr>
          <w:p>
            <w:pPr>
              <w:pStyle w:val="TableParagraph"/>
              <w:ind w:left="56"/>
              <w:rPr>
                <w:b/>
                <w:sz w:val="24"/>
              </w:rPr>
            </w:pPr>
            <w:hyperlink w:history="true" w:anchor="_bookmark136">
              <w:r>
                <w:rPr>
                  <w:b/>
                  <w:color w:val="FFFFFF"/>
                  <w:sz w:val="24"/>
                </w:rPr>
                <w:t>Reasons why a person with disability might want to be excused</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37">
              <w:r>
                <w:rPr>
                  <w:b/>
                  <w:color w:val="FFFFFF"/>
                  <w:sz w:val="24"/>
                </w:rPr>
                <w:t>187</w:t>
              </w:r>
            </w:hyperlink>
          </w:p>
        </w:tc>
        <w:tc>
          <w:tcPr>
            <w:tcW w:w="8083" w:type="dxa"/>
            <w:shd w:val="clear" w:color="auto" w:fill="37617A"/>
          </w:tcPr>
          <w:p>
            <w:pPr>
              <w:pStyle w:val="TableParagraph"/>
              <w:ind w:left="56"/>
              <w:rPr>
                <w:b/>
                <w:sz w:val="24"/>
              </w:rPr>
            </w:pPr>
            <w:hyperlink w:history="true" w:anchor="_bookmark137">
              <w:r>
                <w:rPr>
                  <w:b/>
                  <w:color w:val="FFFFFF"/>
                  <w:sz w:val="24"/>
                </w:rPr>
                <w:t>Excuses should only be available for the consequences of disability</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38">
              <w:r>
                <w:rPr>
                  <w:b/>
                  <w:color w:val="FFFFFF"/>
                  <w:sz w:val="24"/>
                </w:rPr>
                <w:t>188</w:t>
              </w:r>
            </w:hyperlink>
          </w:p>
        </w:tc>
        <w:tc>
          <w:tcPr>
            <w:tcW w:w="8083" w:type="dxa"/>
            <w:shd w:val="clear" w:color="auto" w:fill="37617A"/>
          </w:tcPr>
          <w:p>
            <w:pPr>
              <w:pStyle w:val="TableParagraph"/>
              <w:ind w:left="56"/>
              <w:rPr>
                <w:b/>
                <w:sz w:val="24"/>
              </w:rPr>
            </w:pPr>
            <w:hyperlink w:history="true" w:anchor="_bookmark138">
              <w:r>
                <w:rPr>
                  <w:b/>
                  <w:color w:val="FFFFFF"/>
                  <w:sz w:val="24"/>
                </w:rPr>
                <w:t>The excuse process should not be difficult</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39">
              <w:r>
                <w:rPr>
                  <w:b/>
                  <w:color w:val="FFFFFF"/>
                  <w:sz w:val="24"/>
                </w:rPr>
                <w:t>189</w:t>
              </w:r>
            </w:hyperlink>
          </w:p>
        </w:tc>
        <w:tc>
          <w:tcPr>
            <w:tcW w:w="8083" w:type="dxa"/>
            <w:shd w:val="clear" w:color="auto" w:fill="37617A"/>
          </w:tcPr>
          <w:p>
            <w:pPr>
              <w:pStyle w:val="TableParagraph"/>
              <w:ind w:left="56"/>
              <w:rPr>
                <w:b/>
                <w:sz w:val="24"/>
              </w:rPr>
            </w:pPr>
            <w:hyperlink w:history="true" w:anchor="_bookmark139">
              <w:r>
                <w:rPr>
                  <w:b/>
                  <w:color w:val="FFFFFF"/>
                  <w:sz w:val="24"/>
                </w:rPr>
                <w:t>Clarifying the courts’ power to excuse in the Juries Act</w:t>
              </w:r>
            </w:hyperlink>
          </w:p>
        </w:tc>
      </w:tr>
    </w:tbl>
    <w:p>
      <w:pPr>
        <w:spacing w:after="0"/>
        <w:rPr>
          <w:sz w:val="24"/>
        </w:rPr>
        <w:sectPr>
          <w:headerReference w:type="default" r:id="rId237"/>
          <w:headerReference w:type="even" r:id="rId238"/>
          <w:pgSz w:w="11910" w:h="16840"/>
          <w:pgMar w:header="0" w:footer="0" w:top="640" w:bottom="280" w:left="620" w:right="380"/>
        </w:sectPr>
      </w:pPr>
    </w:p>
    <w:p>
      <w:pPr>
        <w:pStyle w:val="BodyText"/>
        <w:rPr>
          <w:rFonts w:ascii="Raleway ExtraBold"/>
          <w:b/>
        </w:rPr>
      </w:pPr>
      <w:r>
        <w:rPr/>
        <w:pict>
          <v:rect style="position:absolute;margin-left:0pt;margin-top:99.213013pt;width:14.173pt;height:85.748pt;mso-position-horizontal-relative:page;mso-position-vertical-relative:page;z-index:11656" filled="true" fillcolor="#37617a" stroked="false">
            <v:fill type="solid"/>
            <w10:wrap type="none"/>
          </v:rect>
        </w:pict>
      </w:r>
    </w:p>
    <w:p>
      <w:pPr>
        <w:pStyle w:val="BodyText"/>
        <w:rPr>
          <w:rFonts w:ascii="Raleway ExtraBold"/>
          <w:b/>
        </w:rPr>
      </w:pPr>
    </w:p>
    <w:p>
      <w:pPr>
        <w:pStyle w:val="BodyText"/>
        <w:spacing w:before="2"/>
        <w:rPr>
          <w:rFonts w:ascii="Raleway ExtraBold"/>
          <w:b/>
          <w:sz w:val="25"/>
        </w:rPr>
      </w:pPr>
    </w:p>
    <w:p>
      <w:pPr>
        <w:pStyle w:val="ListParagraph"/>
        <w:numPr>
          <w:ilvl w:val="0"/>
          <w:numId w:val="12"/>
        </w:numPr>
        <w:tabs>
          <w:tab w:pos="1114" w:val="left" w:leader="none"/>
        </w:tabs>
        <w:spacing w:line="758" w:lineRule="exact" w:before="0" w:after="0"/>
        <w:ind w:left="1113" w:right="0" w:hanging="883"/>
        <w:jc w:val="left"/>
        <w:rPr>
          <w:rFonts w:ascii="Raleway ExtraBold"/>
          <w:b/>
          <w:sz w:val="56"/>
        </w:rPr>
      </w:pPr>
      <w:bookmarkStart w:name="16. Excuse from jury service" w:id="307"/>
      <w:bookmarkEnd w:id="307"/>
      <w:r>
        <w:rPr/>
      </w:r>
      <w:bookmarkStart w:name="Overview" w:id="308"/>
      <w:bookmarkEnd w:id="308"/>
      <w:r>
        <w:rPr/>
      </w:r>
      <w:bookmarkStart w:name="When should a person be able to be excus" w:id="309"/>
      <w:bookmarkEnd w:id="309"/>
      <w:r>
        <w:rPr/>
      </w:r>
      <w:bookmarkStart w:name="_bookmark130" w:id="310"/>
      <w:bookmarkEnd w:id="310"/>
      <w:r>
        <w:rPr/>
      </w:r>
      <w:bookmarkStart w:name="_bookmark130" w:id="311"/>
      <w:bookmarkEnd w:id="311"/>
      <w:r>
        <w:rPr>
          <w:rFonts w:ascii="Raleway ExtraBold"/>
          <w:b/>
          <w:color w:val="37617A"/>
          <w:spacing w:val="-5"/>
          <w:sz w:val="56"/>
        </w:rPr>
        <w:t>E</w:t>
      </w:r>
      <w:r>
        <w:rPr>
          <w:rFonts w:ascii="Raleway ExtraBold"/>
          <w:b/>
          <w:color w:val="37617A"/>
          <w:spacing w:val="-5"/>
          <w:sz w:val="56"/>
        </w:rPr>
        <w:t>xcuse from </w:t>
      </w:r>
      <w:r>
        <w:rPr>
          <w:rFonts w:ascii="Raleway ExtraBold"/>
          <w:b/>
          <w:color w:val="37617A"/>
          <w:sz w:val="56"/>
        </w:rPr>
        <w:t>jury</w:t>
      </w:r>
      <w:r>
        <w:rPr>
          <w:rFonts w:ascii="Raleway ExtraBold"/>
          <w:b/>
          <w:color w:val="37617A"/>
          <w:spacing w:val="11"/>
          <w:sz w:val="56"/>
        </w:rPr>
        <w:t> </w:t>
      </w:r>
      <w:r>
        <w:rPr>
          <w:rFonts w:ascii="Raleway ExtraBold"/>
          <w:b/>
          <w:color w:val="37617A"/>
          <w:spacing w:val="-3"/>
          <w:sz w:val="56"/>
        </w:rPr>
        <w:t>service</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2"/>
        <w:rPr>
          <w:rFonts w:ascii="Raleway ExtraBold"/>
          <w:b/>
          <w:sz w:val="15"/>
        </w:rPr>
      </w:pPr>
      <w:r>
        <w:rPr/>
        <w:pict>
          <v:line style="position:absolute;mso-position-horizontal-relative:page;mso-position-vertical-relative:paragraph;z-index:9536;mso-wrap-distance-left:0;mso-wrap-distance-right:0" from="79.370102pt,13.234083pt" to="515.905102pt,13.234083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1832" w:right="2070" w:firstLine="55"/>
        <w:jc w:val="both"/>
        <w:rPr>
          <w:rFonts w:ascii="Trebuchet MS" w:hAnsi="Trebuchet MS"/>
          <w:sz w:val="19"/>
        </w:rPr>
      </w:pPr>
      <w:r>
        <w:rPr>
          <w:rFonts w:ascii="Trebuchet MS" w:hAnsi="Trebuchet MS"/>
          <w:i/>
          <w:color w:val="37617A"/>
          <w:sz w:val="20"/>
        </w:rPr>
        <w:t>Only the range of excuses that apply to the general community should apply </w:t>
      </w:r>
      <w:r>
        <w:rPr>
          <w:rFonts w:ascii="Trebuchet MS" w:hAnsi="Trebuchet MS"/>
          <w:i/>
          <w:color w:val="37617A"/>
          <w:sz w:val="20"/>
        </w:rPr>
        <w:t>if</w:t>
      </w:r>
      <w:r>
        <w:rPr>
          <w:rFonts w:ascii="Trebuchet MS" w:hAnsi="Trebuchet MS"/>
          <w:i/>
          <w:color w:val="37617A"/>
          <w:spacing w:val="-15"/>
          <w:sz w:val="20"/>
        </w:rPr>
        <w:t> </w:t>
      </w:r>
      <w:r>
        <w:rPr>
          <w:rFonts w:ascii="Trebuchet MS" w:hAnsi="Trebuchet MS"/>
          <w:i/>
          <w:color w:val="37617A"/>
          <w:sz w:val="20"/>
        </w:rPr>
        <w:t>the</w:t>
      </w:r>
      <w:r>
        <w:rPr>
          <w:rFonts w:ascii="Trebuchet MS" w:hAnsi="Trebuchet MS"/>
          <w:i/>
          <w:color w:val="37617A"/>
          <w:spacing w:val="-15"/>
          <w:sz w:val="20"/>
        </w:rPr>
        <w:t> </w:t>
      </w:r>
      <w:r>
        <w:rPr>
          <w:rFonts w:ascii="Trebuchet MS" w:hAnsi="Trebuchet MS"/>
          <w:i/>
          <w:color w:val="37617A"/>
          <w:sz w:val="20"/>
        </w:rPr>
        <w:t>law</w:t>
      </w:r>
      <w:r>
        <w:rPr>
          <w:rFonts w:ascii="Trebuchet MS" w:hAnsi="Trebuchet MS"/>
          <w:i/>
          <w:color w:val="37617A"/>
          <w:spacing w:val="-15"/>
          <w:sz w:val="20"/>
        </w:rPr>
        <w:t> </w:t>
      </w:r>
      <w:r>
        <w:rPr>
          <w:rFonts w:ascii="Trebuchet MS" w:hAnsi="Trebuchet MS"/>
          <w:i/>
          <w:color w:val="37617A"/>
          <w:sz w:val="20"/>
        </w:rPr>
        <w:t>is</w:t>
      </w:r>
      <w:r>
        <w:rPr>
          <w:rFonts w:ascii="Trebuchet MS" w:hAnsi="Trebuchet MS"/>
          <w:i/>
          <w:color w:val="37617A"/>
          <w:spacing w:val="-15"/>
          <w:sz w:val="20"/>
        </w:rPr>
        <w:t> </w:t>
      </w:r>
      <w:r>
        <w:rPr>
          <w:rFonts w:ascii="Trebuchet MS" w:hAnsi="Trebuchet MS"/>
          <w:i/>
          <w:color w:val="37617A"/>
          <w:sz w:val="20"/>
        </w:rPr>
        <w:t>changed</w:t>
      </w:r>
      <w:r>
        <w:rPr>
          <w:rFonts w:ascii="Trebuchet MS" w:hAnsi="Trebuchet MS"/>
          <w:i/>
          <w:color w:val="37617A"/>
          <w:spacing w:val="-14"/>
          <w:sz w:val="20"/>
        </w:rPr>
        <w:t> </w:t>
      </w:r>
      <w:r>
        <w:rPr>
          <w:rFonts w:ascii="Trebuchet MS" w:hAnsi="Trebuchet MS"/>
          <w:i/>
          <w:color w:val="37617A"/>
          <w:sz w:val="20"/>
        </w:rPr>
        <w:t>to</w:t>
      </w:r>
      <w:r>
        <w:rPr>
          <w:rFonts w:ascii="Trebuchet MS" w:hAnsi="Trebuchet MS"/>
          <w:i/>
          <w:color w:val="37617A"/>
          <w:spacing w:val="-15"/>
          <w:sz w:val="20"/>
        </w:rPr>
        <w:t> </w:t>
      </w:r>
      <w:r>
        <w:rPr>
          <w:rFonts w:ascii="Trebuchet MS" w:hAnsi="Trebuchet MS"/>
          <w:i/>
          <w:color w:val="37617A"/>
          <w:sz w:val="20"/>
        </w:rPr>
        <w:t>better</w:t>
      </w:r>
      <w:r>
        <w:rPr>
          <w:rFonts w:ascii="Trebuchet MS" w:hAnsi="Trebuchet MS"/>
          <w:i/>
          <w:color w:val="37617A"/>
          <w:spacing w:val="-15"/>
          <w:sz w:val="20"/>
        </w:rPr>
        <w:t> </w:t>
      </w:r>
      <w:r>
        <w:rPr>
          <w:rFonts w:ascii="Trebuchet MS" w:hAnsi="Trebuchet MS"/>
          <w:i/>
          <w:color w:val="37617A"/>
          <w:sz w:val="20"/>
        </w:rPr>
        <w:t>assist</w:t>
      </w:r>
      <w:r>
        <w:rPr>
          <w:rFonts w:ascii="Trebuchet MS" w:hAnsi="Trebuchet MS"/>
          <w:i/>
          <w:color w:val="37617A"/>
          <w:spacing w:val="-15"/>
          <w:sz w:val="20"/>
        </w:rPr>
        <w:t> </w:t>
      </w:r>
      <w:r>
        <w:rPr>
          <w:rFonts w:ascii="Trebuchet MS" w:hAnsi="Trebuchet MS"/>
          <w:i/>
          <w:color w:val="37617A"/>
          <w:sz w:val="20"/>
        </w:rPr>
        <w:t>people</w:t>
      </w:r>
      <w:r>
        <w:rPr>
          <w:rFonts w:ascii="Trebuchet MS" w:hAnsi="Trebuchet MS"/>
          <w:i/>
          <w:color w:val="37617A"/>
          <w:spacing w:val="-14"/>
          <w:sz w:val="20"/>
        </w:rPr>
        <w:t> </w:t>
      </w:r>
      <w:r>
        <w:rPr>
          <w:rFonts w:ascii="Trebuchet MS" w:hAnsi="Trebuchet MS"/>
          <w:i/>
          <w:color w:val="37617A"/>
          <w:sz w:val="20"/>
        </w:rPr>
        <w:t>who</w:t>
      </w:r>
      <w:r>
        <w:rPr>
          <w:rFonts w:ascii="Trebuchet MS" w:hAnsi="Trebuchet MS"/>
          <w:i/>
          <w:color w:val="37617A"/>
          <w:spacing w:val="-15"/>
          <w:sz w:val="20"/>
        </w:rPr>
        <w:t> </w:t>
      </w:r>
      <w:r>
        <w:rPr>
          <w:rFonts w:ascii="Trebuchet MS" w:hAnsi="Trebuchet MS"/>
          <w:i/>
          <w:color w:val="37617A"/>
          <w:sz w:val="20"/>
        </w:rPr>
        <w:t>are</w:t>
      </w:r>
      <w:r>
        <w:rPr>
          <w:rFonts w:ascii="Trebuchet MS" w:hAnsi="Trebuchet MS"/>
          <w:i/>
          <w:color w:val="37617A"/>
          <w:spacing w:val="-15"/>
          <w:sz w:val="20"/>
        </w:rPr>
        <w:t> </w:t>
      </w:r>
      <w:r>
        <w:rPr>
          <w:rFonts w:ascii="Trebuchet MS" w:hAnsi="Trebuchet MS"/>
          <w:i/>
          <w:color w:val="37617A"/>
          <w:sz w:val="20"/>
        </w:rPr>
        <w:t>blind</w:t>
      </w:r>
      <w:r>
        <w:rPr>
          <w:rFonts w:ascii="Trebuchet MS" w:hAnsi="Trebuchet MS"/>
          <w:i/>
          <w:color w:val="37617A"/>
          <w:spacing w:val="-15"/>
          <w:sz w:val="20"/>
        </w:rPr>
        <w:t> </w:t>
      </w:r>
      <w:r>
        <w:rPr>
          <w:rFonts w:ascii="Trebuchet MS" w:hAnsi="Trebuchet MS"/>
          <w:i/>
          <w:color w:val="37617A"/>
          <w:sz w:val="20"/>
        </w:rPr>
        <w:t>or</w:t>
      </w:r>
      <w:r>
        <w:rPr>
          <w:rFonts w:ascii="Trebuchet MS" w:hAnsi="Trebuchet MS"/>
          <w:i/>
          <w:color w:val="37617A"/>
          <w:spacing w:val="-14"/>
          <w:sz w:val="20"/>
        </w:rPr>
        <w:t> </w:t>
      </w:r>
      <w:r>
        <w:rPr>
          <w:rFonts w:ascii="Trebuchet MS" w:hAnsi="Trebuchet MS"/>
          <w:i/>
          <w:color w:val="37617A"/>
          <w:sz w:val="20"/>
        </w:rPr>
        <w:t>with</w:t>
      </w:r>
      <w:r>
        <w:rPr>
          <w:rFonts w:ascii="Trebuchet MS" w:hAnsi="Trebuchet MS"/>
          <w:i/>
          <w:color w:val="37617A"/>
          <w:spacing w:val="-15"/>
          <w:sz w:val="20"/>
        </w:rPr>
        <w:t> </w:t>
      </w:r>
      <w:r>
        <w:rPr>
          <w:rFonts w:ascii="Trebuchet MS" w:hAnsi="Trebuchet MS"/>
          <w:i/>
          <w:color w:val="37617A"/>
          <w:spacing w:val="-3"/>
          <w:sz w:val="20"/>
        </w:rPr>
        <w:t>low</w:t>
      </w:r>
      <w:r>
        <w:rPr>
          <w:rFonts w:ascii="Trebuchet MS" w:hAnsi="Trebuchet MS"/>
          <w:i/>
          <w:color w:val="37617A"/>
          <w:spacing w:val="-15"/>
          <w:sz w:val="20"/>
        </w:rPr>
        <w:t> </w:t>
      </w:r>
      <w:r>
        <w:rPr>
          <w:rFonts w:ascii="Trebuchet MS" w:hAnsi="Trebuchet MS"/>
          <w:i/>
          <w:color w:val="37617A"/>
          <w:sz w:val="20"/>
        </w:rPr>
        <w:t>vision</w:t>
      </w:r>
      <w:r>
        <w:rPr>
          <w:rFonts w:ascii="Trebuchet MS" w:hAnsi="Trebuchet MS"/>
          <w:i/>
          <w:color w:val="37617A"/>
          <w:spacing w:val="-15"/>
          <w:sz w:val="20"/>
        </w:rPr>
        <w:t> </w:t>
      </w:r>
      <w:r>
        <w:rPr>
          <w:rFonts w:ascii="Trebuchet MS" w:hAnsi="Trebuchet MS"/>
          <w:i/>
          <w:color w:val="37617A"/>
          <w:sz w:val="20"/>
        </w:rPr>
        <w:t>to </w:t>
      </w:r>
      <w:r>
        <w:rPr>
          <w:rFonts w:ascii="Trebuchet MS" w:hAnsi="Trebuchet MS"/>
          <w:i/>
          <w:color w:val="37617A"/>
          <w:spacing w:val="-2"/>
          <w:w w:val="117"/>
          <w:sz w:val="20"/>
        </w:rPr>
        <w:t>s</w:t>
      </w:r>
      <w:r>
        <w:rPr>
          <w:rFonts w:ascii="Trebuchet MS" w:hAnsi="Trebuchet MS"/>
          <w:i/>
          <w:color w:val="37617A"/>
          <w:spacing w:val="1"/>
          <w:w w:val="100"/>
          <w:sz w:val="20"/>
        </w:rPr>
        <w:t>e</w:t>
      </w:r>
      <w:r>
        <w:rPr>
          <w:rFonts w:ascii="Trebuchet MS" w:hAnsi="Trebuchet MS"/>
          <w:i/>
          <w:color w:val="37617A"/>
          <w:spacing w:val="3"/>
          <w:w w:val="84"/>
          <w:sz w:val="20"/>
        </w:rPr>
        <w:t>r</w:t>
      </w:r>
      <w:r>
        <w:rPr>
          <w:rFonts w:ascii="Trebuchet MS" w:hAnsi="Trebuchet MS"/>
          <w:i/>
          <w:color w:val="37617A"/>
          <w:spacing w:val="-3"/>
          <w:w w:val="103"/>
          <w:sz w:val="20"/>
        </w:rPr>
        <w:t>v</w:t>
      </w:r>
      <w:r>
        <w:rPr>
          <w:rFonts w:ascii="Trebuchet MS" w:hAnsi="Trebuchet MS"/>
          <w:i/>
          <w:color w:val="37617A"/>
          <w:spacing w:val="1"/>
          <w:w w:val="100"/>
          <w:sz w:val="20"/>
        </w:rPr>
        <w:t>e</w:t>
      </w:r>
      <w:r>
        <w:rPr>
          <w:rFonts w:ascii="Trebuchet MS" w:hAnsi="Trebuchet MS"/>
          <w:i/>
          <w:color w:val="37617A"/>
          <w:w w:val="54"/>
          <w:sz w:val="20"/>
        </w:rPr>
        <w:t>.</w:t>
      </w:r>
      <w:r>
        <w:rPr>
          <w:rFonts w:ascii="Trebuchet MS" w:hAnsi="Trebuchet MS"/>
          <w:i/>
          <w:color w:val="37617A"/>
          <w:spacing w:val="-13"/>
          <w:sz w:val="20"/>
        </w:rPr>
        <w:t> </w:t>
      </w:r>
      <w:r>
        <w:rPr>
          <w:rFonts w:ascii="Trebuchet MS" w:hAnsi="Trebuchet MS"/>
          <w:i/>
          <w:color w:val="37617A"/>
          <w:spacing w:val="-1"/>
          <w:w w:val="92"/>
          <w:sz w:val="20"/>
        </w:rPr>
        <w:t>I</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15"/>
          <w:sz w:val="20"/>
        </w:rPr>
        <w:t>a</w:t>
      </w:r>
      <w:r>
        <w:rPr>
          <w:rFonts w:ascii="Trebuchet MS" w:hAnsi="Trebuchet MS"/>
          <w:i/>
          <w:color w:val="37617A"/>
          <w:spacing w:val="-2"/>
          <w:w w:val="103"/>
          <w:sz w:val="20"/>
        </w:rPr>
        <w:t>n</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07"/>
          <w:sz w:val="20"/>
        </w:rPr>
        <w:t>o</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w w:val="119"/>
          <w:sz w:val="20"/>
        </w:rPr>
        <w:t>g</w:t>
      </w:r>
      <w:r>
        <w:rPr>
          <w:rFonts w:ascii="Trebuchet MS" w:hAnsi="Trebuchet MS"/>
          <w:i/>
          <w:color w:val="37617A"/>
          <w:w w:val="115"/>
          <w:sz w:val="20"/>
        </w:rPr>
        <w:t>a</w:t>
      </w:r>
      <w:r>
        <w:rPr>
          <w:rFonts w:ascii="Trebuchet MS" w:hAnsi="Trebuchet MS"/>
          <w:i/>
          <w:color w:val="37617A"/>
          <w:spacing w:val="-3"/>
          <w:w w:val="84"/>
          <w:sz w:val="20"/>
        </w:rPr>
        <w:t>r</w:t>
      </w:r>
      <w:r>
        <w:rPr>
          <w:rFonts w:ascii="Trebuchet MS" w:hAnsi="Trebuchet MS"/>
          <w:i/>
          <w:color w:val="37617A"/>
          <w:spacing w:val="-1"/>
          <w:w w:val="108"/>
          <w:sz w:val="20"/>
        </w:rPr>
        <w:t>d</w:t>
      </w:r>
      <w:r>
        <w:rPr>
          <w:rFonts w:ascii="Trebuchet MS" w:hAnsi="Trebuchet MS"/>
          <w:i/>
          <w:color w:val="37617A"/>
          <w:w w:val="100"/>
          <w:sz w:val="20"/>
        </w:rPr>
        <w:t>e</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00"/>
          <w:sz w:val="20"/>
        </w:rPr>
        <w:t>e</w:t>
      </w:r>
      <w:r>
        <w:rPr>
          <w:rFonts w:ascii="Trebuchet MS" w:hAnsi="Trebuchet MS"/>
          <w:i/>
          <w:color w:val="37617A"/>
          <w:w w:val="107"/>
          <w:sz w:val="20"/>
        </w:rPr>
        <w:t>q</w:t>
      </w:r>
      <w:r>
        <w:rPr>
          <w:rFonts w:ascii="Trebuchet MS" w:hAnsi="Trebuchet MS"/>
          <w:i/>
          <w:color w:val="37617A"/>
          <w:spacing w:val="-1"/>
          <w:w w:val="103"/>
          <w:sz w:val="20"/>
        </w:rPr>
        <w:t>u</w:t>
      </w:r>
      <w:r>
        <w:rPr>
          <w:rFonts w:ascii="Trebuchet MS" w:hAnsi="Trebuchet MS"/>
          <w:i/>
          <w:color w:val="37617A"/>
          <w:w w:val="115"/>
          <w:sz w:val="20"/>
        </w:rPr>
        <w:t>a</w:t>
      </w:r>
      <w:r>
        <w:rPr>
          <w:rFonts w:ascii="Trebuchet MS" w:hAnsi="Trebuchet MS"/>
          <w:i/>
          <w:color w:val="37617A"/>
          <w:w w:val="87"/>
          <w:sz w:val="20"/>
        </w:rPr>
        <w:t>l</w:t>
      </w:r>
      <w:r>
        <w:rPr>
          <w:rFonts w:ascii="Trebuchet MS" w:hAnsi="Trebuchet MS"/>
          <w:i/>
          <w:color w:val="37617A"/>
          <w:spacing w:val="-13"/>
          <w:sz w:val="20"/>
        </w:rPr>
        <w:t> </w:t>
      </w:r>
      <w:r>
        <w:rPr>
          <w:rFonts w:ascii="Trebuchet MS" w:hAnsi="Trebuchet MS"/>
          <w:i/>
          <w:color w:val="37617A"/>
          <w:w w:val="115"/>
          <w:sz w:val="20"/>
        </w:rPr>
        <w:t>c</w:t>
      </w:r>
      <w:r>
        <w:rPr>
          <w:rFonts w:ascii="Trebuchet MS" w:hAnsi="Trebuchet MS"/>
          <w:i/>
          <w:color w:val="37617A"/>
          <w:spacing w:val="-1"/>
          <w:w w:val="73"/>
          <w:sz w:val="20"/>
        </w:rPr>
        <w:t>i</w:t>
      </w:r>
      <w:r>
        <w:rPr>
          <w:rFonts w:ascii="Trebuchet MS" w:hAnsi="Trebuchet MS"/>
          <w:i/>
          <w:color w:val="37617A"/>
          <w:spacing w:val="-1"/>
          <w:w w:val="80"/>
          <w:sz w:val="20"/>
        </w:rPr>
        <w:t>t</w:t>
      </w:r>
      <w:r>
        <w:rPr>
          <w:rFonts w:ascii="Trebuchet MS" w:hAnsi="Trebuchet MS"/>
          <w:i/>
          <w:color w:val="37617A"/>
          <w:spacing w:val="-3"/>
          <w:w w:val="73"/>
          <w:sz w:val="20"/>
        </w:rPr>
        <w:t>i</w:t>
      </w:r>
      <w:r>
        <w:rPr>
          <w:rFonts w:ascii="Trebuchet MS" w:hAnsi="Trebuchet MS"/>
          <w:i/>
          <w:color w:val="37617A"/>
          <w:spacing w:val="-4"/>
          <w:w w:val="99"/>
          <w:sz w:val="20"/>
        </w:rPr>
        <w:t>z</w:t>
      </w:r>
      <w:r>
        <w:rPr>
          <w:rFonts w:ascii="Trebuchet MS" w:hAnsi="Trebuchet MS"/>
          <w:i/>
          <w:color w:val="37617A"/>
          <w:spacing w:val="1"/>
          <w:w w:val="100"/>
          <w:sz w:val="20"/>
        </w:rPr>
        <w:t>e</w:t>
      </w:r>
      <w:r>
        <w:rPr>
          <w:rFonts w:ascii="Trebuchet MS" w:hAnsi="Trebuchet MS"/>
          <w:i/>
          <w:color w:val="37617A"/>
          <w:w w:val="103"/>
          <w:sz w:val="20"/>
        </w:rPr>
        <w:t>n</w:t>
      </w:r>
      <w:r>
        <w:rPr>
          <w:rFonts w:ascii="Trebuchet MS" w:hAnsi="Trebuchet MS"/>
          <w:i/>
          <w:color w:val="37617A"/>
          <w:spacing w:val="3"/>
          <w:w w:val="117"/>
          <w:sz w:val="20"/>
        </w:rPr>
        <w:t>s</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spacing w:val="-1"/>
          <w:w w:val="101"/>
          <w:sz w:val="20"/>
        </w:rPr>
        <w:t>h</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spacing w:val="-3"/>
          <w:w w:val="87"/>
          <w:sz w:val="20"/>
        </w:rPr>
        <w:t>l</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03"/>
          <w:sz w:val="20"/>
        </w:rPr>
        <w:t>u</w:t>
      </w:r>
      <w:r>
        <w:rPr>
          <w:rFonts w:ascii="Trebuchet MS" w:hAnsi="Trebuchet MS"/>
          <w:i/>
          <w:color w:val="37617A"/>
          <w:w w:val="107"/>
          <w:sz w:val="20"/>
        </w:rPr>
        <w:t>p</w:t>
      </w:r>
      <w:r>
        <w:rPr>
          <w:rFonts w:ascii="Trebuchet MS" w:hAnsi="Trebuchet MS"/>
          <w:i/>
          <w:color w:val="37617A"/>
          <w:spacing w:val="-1"/>
          <w:w w:val="101"/>
          <w:sz w:val="20"/>
        </w:rPr>
        <w:t>h</w:t>
      </w:r>
      <w:r>
        <w:rPr>
          <w:rFonts w:ascii="Trebuchet MS" w:hAnsi="Trebuchet MS"/>
          <w:i/>
          <w:color w:val="37617A"/>
          <w:spacing w:val="-1"/>
          <w:w w:val="107"/>
          <w:sz w:val="20"/>
        </w:rPr>
        <w:t>o</w:t>
      </w:r>
      <w:r>
        <w:rPr>
          <w:rFonts w:ascii="Trebuchet MS" w:hAnsi="Trebuchet MS"/>
          <w:i/>
          <w:color w:val="37617A"/>
          <w:spacing w:val="-3"/>
          <w:w w:val="87"/>
          <w:sz w:val="20"/>
        </w:rPr>
        <w:t>l</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w w:val="84"/>
          <w:sz w:val="20"/>
        </w:rPr>
        <w:t>r </w:t>
      </w:r>
      <w:r>
        <w:rPr>
          <w:rFonts w:ascii="Trebuchet MS" w:hAnsi="Trebuchet MS"/>
          <w:i/>
          <w:color w:val="37617A"/>
          <w:w w:val="115"/>
          <w:sz w:val="20"/>
        </w:rPr>
        <w:t>c</w:t>
      </w:r>
      <w:r>
        <w:rPr>
          <w:rFonts w:ascii="Trebuchet MS" w:hAnsi="Trebuchet MS"/>
          <w:i/>
          <w:color w:val="37617A"/>
          <w:spacing w:val="-2"/>
          <w:w w:val="73"/>
          <w:sz w:val="20"/>
        </w:rPr>
        <w:t>i</w:t>
      </w:r>
      <w:r>
        <w:rPr>
          <w:rFonts w:ascii="Trebuchet MS" w:hAnsi="Trebuchet MS"/>
          <w:i/>
          <w:color w:val="37617A"/>
          <w:spacing w:val="-3"/>
          <w:w w:val="103"/>
          <w:sz w:val="20"/>
        </w:rPr>
        <w:t>v</w:t>
      </w:r>
      <w:r>
        <w:rPr>
          <w:rFonts w:ascii="Trebuchet MS" w:hAnsi="Trebuchet MS"/>
          <w:i/>
          <w:color w:val="37617A"/>
          <w:w w:val="73"/>
          <w:sz w:val="20"/>
        </w:rPr>
        <w:t>i</w:t>
      </w:r>
      <w:r>
        <w:rPr>
          <w:rFonts w:ascii="Trebuchet MS" w:hAnsi="Trebuchet MS"/>
          <w:i/>
          <w:color w:val="37617A"/>
          <w:w w:val="115"/>
          <w:sz w:val="20"/>
        </w:rPr>
        <w:t>c</w:t>
      </w:r>
      <w:r>
        <w:rPr>
          <w:rFonts w:ascii="Trebuchet MS" w:hAnsi="Trebuchet MS"/>
          <w:i/>
          <w:color w:val="37617A"/>
          <w:spacing w:val="-13"/>
          <w:sz w:val="20"/>
        </w:rPr>
        <w:t> </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
          <w:w w:val="117"/>
          <w:sz w:val="20"/>
        </w:rPr>
        <w:t>s</w:t>
      </w:r>
      <w:r>
        <w:rPr>
          <w:rFonts w:ascii="Trebuchet MS" w:hAnsi="Trebuchet MS"/>
          <w:i/>
          <w:color w:val="37617A"/>
          <w:w w:val="107"/>
          <w:sz w:val="20"/>
        </w:rPr>
        <w:t>p</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1"/>
          <w:w w:val="117"/>
          <w:sz w:val="20"/>
        </w:rPr>
        <w:t>s</w:t>
      </w:r>
      <w:r>
        <w:rPr>
          <w:rFonts w:ascii="Trebuchet MS" w:hAnsi="Trebuchet MS"/>
          <w:i/>
          <w:color w:val="37617A"/>
          <w:w w:val="73"/>
          <w:sz w:val="20"/>
        </w:rPr>
        <w:t>i</w:t>
      </w:r>
      <w:r>
        <w:rPr>
          <w:rFonts w:ascii="Trebuchet MS" w:hAnsi="Trebuchet MS"/>
          <w:i/>
          <w:color w:val="37617A"/>
          <w:w w:val="107"/>
          <w:sz w:val="20"/>
        </w:rPr>
        <w:t>b</w:t>
      </w:r>
      <w:r>
        <w:rPr>
          <w:rFonts w:ascii="Trebuchet MS" w:hAnsi="Trebuchet MS"/>
          <w:i/>
          <w:color w:val="37617A"/>
          <w:spacing w:val="-1"/>
          <w:w w:val="73"/>
          <w:sz w:val="20"/>
        </w:rPr>
        <w:t>i</w:t>
      </w:r>
      <w:r>
        <w:rPr>
          <w:rFonts w:ascii="Trebuchet MS" w:hAnsi="Trebuchet MS"/>
          <w:i/>
          <w:color w:val="37617A"/>
          <w:spacing w:val="-1"/>
          <w:w w:val="87"/>
          <w:sz w:val="20"/>
        </w:rPr>
        <w:t>l</w:t>
      </w:r>
      <w:r>
        <w:rPr>
          <w:rFonts w:ascii="Trebuchet MS" w:hAnsi="Trebuchet MS"/>
          <w:i/>
          <w:color w:val="37617A"/>
          <w:spacing w:val="-1"/>
          <w:w w:val="73"/>
          <w:sz w:val="20"/>
        </w:rPr>
        <w:t>i</w:t>
      </w:r>
      <w:r>
        <w:rPr>
          <w:rFonts w:ascii="Trebuchet MS" w:hAnsi="Trebuchet MS"/>
          <w:i/>
          <w:color w:val="37617A"/>
          <w:spacing w:val="-1"/>
          <w:w w:val="80"/>
          <w:sz w:val="20"/>
        </w:rPr>
        <w:t>t</w:t>
      </w:r>
      <w:r>
        <w:rPr>
          <w:rFonts w:ascii="Trebuchet MS" w:hAnsi="Trebuchet MS"/>
          <w:i/>
          <w:color w:val="37617A"/>
          <w:w w:val="73"/>
          <w:sz w:val="20"/>
        </w:rPr>
        <w:t>i</w:t>
      </w:r>
      <w:r>
        <w:rPr>
          <w:rFonts w:ascii="Trebuchet MS" w:hAnsi="Trebuchet MS"/>
          <w:i/>
          <w:color w:val="37617A"/>
          <w:w w:val="100"/>
          <w:sz w:val="20"/>
        </w:rPr>
        <w:t>e</w:t>
      </w:r>
      <w:r>
        <w:rPr>
          <w:rFonts w:ascii="Trebuchet MS" w:hAnsi="Trebuchet MS"/>
          <w:i/>
          <w:color w:val="37617A"/>
          <w:spacing w:val="3"/>
          <w:w w:val="117"/>
          <w:sz w:val="20"/>
        </w:rPr>
        <w:t>s</w:t>
      </w:r>
      <w:r>
        <w:rPr>
          <w:rFonts w:ascii="Trebuchet MS" w:hAnsi="Trebuchet MS"/>
          <w:i/>
          <w:color w:val="37617A"/>
          <w:w w:val="54"/>
          <w:sz w:val="20"/>
        </w:rPr>
        <w:t>.</w:t>
      </w:r>
      <w:r>
        <w:rPr>
          <w:rFonts w:ascii="Trebuchet MS" w:hAnsi="Trebuchet MS"/>
          <w:i/>
          <w:spacing w:val="5"/>
          <w:w w:val="87"/>
          <w:position w:val="7"/>
          <w:sz w:val="11"/>
        </w:rPr>
        <w:t>1</w:t>
      </w:r>
      <w:r>
        <w:rPr>
          <w:rFonts w:ascii="Trebuchet MS" w:hAnsi="Trebuchet MS"/>
          <w:color w:val="37617A"/>
          <w:spacing w:val="1"/>
          <w:w w:val="124"/>
          <w:sz w:val="19"/>
        </w:rPr>
        <w:t>—</w:t>
      </w:r>
      <w:r>
        <w:rPr>
          <w:rFonts w:ascii="Trebuchet MS" w:hAnsi="Trebuchet MS"/>
          <w:color w:val="37617A"/>
          <w:spacing w:val="-1"/>
          <w:w w:val="111"/>
          <w:sz w:val="19"/>
        </w:rPr>
        <w:t>P</w:t>
      </w:r>
      <w:r>
        <w:rPr>
          <w:rFonts w:ascii="Trebuchet MS" w:hAnsi="Trebuchet MS"/>
          <w:color w:val="37617A"/>
          <w:w w:val="100"/>
          <w:sz w:val="19"/>
        </w:rPr>
        <w:t>a</w:t>
      </w:r>
      <w:r>
        <w:rPr>
          <w:rFonts w:ascii="Trebuchet MS" w:hAnsi="Trebuchet MS"/>
          <w:color w:val="37617A"/>
          <w:spacing w:val="3"/>
          <w:w w:val="100"/>
          <w:sz w:val="19"/>
        </w:rPr>
        <w:t>r</w:t>
      </w:r>
      <w:r>
        <w:rPr>
          <w:rFonts w:ascii="Trebuchet MS" w:hAnsi="Trebuchet MS"/>
          <w:color w:val="37617A"/>
          <w:w w:val="85"/>
          <w:sz w:val="19"/>
        </w:rPr>
        <w:t>ti</w:t>
      </w:r>
      <w:r>
        <w:rPr>
          <w:rFonts w:ascii="Trebuchet MS" w:hAnsi="Trebuchet MS"/>
          <w:color w:val="37617A"/>
          <w:spacing w:val="-1"/>
          <w:w w:val="111"/>
          <w:sz w:val="19"/>
        </w:rPr>
        <w:t>c</w:t>
      </w:r>
      <w:r>
        <w:rPr>
          <w:rFonts w:ascii="Trebuchet MS" w:hAnsi="Trebuchet MS"/>
          <w:color w:val="37617A"/>
          <w:spacing w:val="-1"/>
          <w:w w:val="80"/>
          <w:sz w:val="19"/>
        </w:rPr>
        <w:t>i</w:t>
      </w:r>
      <w:r>
        <w:rPr>
          <w:rFonts w:ascii="Trebuchet MS" w:hAnsi="Trebuchet MS"/>
          <w:color w:val="37617A"/>
          <w:w w:val="111"/>
          <w:sz w:val="19"/>
        </w:rPr>
        <w:t>p</w:t>
      </w:r>
      <w:r>
        <w:rPr>
          <w:rFonts w:ascii="Trebuchet MS" w:hAnsi="Trebuchet MS"/>
          <w:color w:val="37617A"/>
          <w:w w:val="106"/>
          <w:sz w:val="19"/>
        </w:rPr>
        <w:t>a</w:t>
      </w:r>
      <w:r>
        <w:rPr>
          <w:rFonts w:ascii="Trebuchet MS" w:hAnsi="Trebuchet MS"/>
          <w:color w:val="37617A"/>
          <w:spacing w:val="-2"/>
          <w:w w:val="106"/>
          <w:sz w:val="19"/>
        </w:rPr>
        <w:t>n</w:t>
      </w:r>
      <w:r>
        <w:rPr>
          <w:rFonts w:ascii="Trebuchet MS" w:hAnsi="Trebuchet MS"/>
          <w:color w:val="37617A"/>
          <w:w w:val="88"/>
          <w:sz w:val="19"/>
        </w:rPr>
        <w:t>t</w:t>
      </w:r>
      <w:r>
        <w:rPr>
          <w:rFonts w:ascii="Trebuchet MS" w:hAnsi="Trebuchet MS"/>
          <w:color w:val="37617A"/>
          <w:spacing w:val="-12"/>
          <w:sz w:val="19"/>
        </w:rPr>
        <w:t> </w:t>
      </w:r>
      <w:r>
        <w:rPr>
          <w:rFonts w:ascii="Trebuchet MS" w:hAnsi="Trebuchet MS"/>
          <w:color w:val="37617A"/>
          <w:spacing w:val="-1"/>
          <w:w w:val="80"/>
          <w:sz w:val="19"/>
        </w:rPr>
        <w:t>i</w:t>
      </w:r>
      <w:r>
        <w:rPr>
          <w:rFonts w:ascii="Trebuchet MS" w:hAnsi="Trebuchet MS"/>
          <w:color w:val="37617A"/>
          <w:w w:val="107"/>
          <w:sz w:val="19"/>
        </w:rPr>
        <w:t>n</w:t>
      </w:r>
      <w:r>
        <w:rPr>
          <w:rFonts w:ascii="Trebuchet MS" w:hAnsi="Trebuchet MS"/>
          <w:color w:val="37617A"/>
          <w:spacing w:val="-12"/>
          <w:sz w:val="19"/>
        </w:rPr>
        <w:t> </w:t>
      </w:r>
      <w:r>
        <w:rPr>
          <w:rFonts w:ascii="Trebuchet MS" w:hAnsi="Trebuchet MS"/>
          <w:color w:val="37617A"/>
          <w:w w:val="99"/>
          <w:sz w:val="19"/>
        </w:rPr>
        <w:t>th</w:t>
      </w:r>
      <w:r>
        <w:rPr>
          <w:rFonts w:ascii="Trebuchet MS" w:hAnsi="Trebuchet MS"/>
          <w:color w:val="37617A"/>
          <w:w w:val="108"/>
          <w:sz w:val="19"/>
        </w:rPr>
        <w:t>e</w:t>
      </w:r>
      <w:r>
        <w:rPr>
          <w:rFonts w:ascii="Trebuchet MS" w:hAnsi="Trebuchet MS"/>
          <w:color w:val="37617A"/>
          <w:spacing w:val="-12"/>
          <w:sz w:val="19"/>
        </w:rPr>
        <w:t> </w:t>
      </w:r>
      <w:r>
        <w:rPr>
          <w:rFonts w:ascii="Trebuchet MS" w:hAnsi="Trebuchet MS"/>
          <w:color w:val="37617A"/>
          <w:spacing w:val="1"/>
          <w:w w:val="118"/>
          <w:sz w:val="19"/>
        </w:rPr>
        <w:t>B</w:t>
      </w:r>
      <w:r>
        <w:rPr>
          <w:rFonts w:ascii="Trebuchet MS" w:hAnsi="Trebuchet MS"/>
          <w:color w:val="37617A"/>
          <w:spacing w:val="1"/>
          <w:w w:val="96"/>
          <w:sz w:val="19"/>
        </w:rPr>
        <w:t>l</w:t>
      </w:r>
      <w:r>
        <w:rPr>
          <w:rFonts w:ascii="Trebuchet MS" w:hAnsi="Trebuchet MS"/>
          <w:color w:val="37617A"/>
          <w:spacing w:val="-1"/>
          <w:w w:val="80"/>
          <w:sz w:val="19"/>
        </w:rPr>
        <w:t>i</w:t>
      </w:r>
      <w:r>
        <w:rPr>
          <w:rFonts w:ascii="Trebuchet MS" w:hAnsi="Trebuchet MS"/>
          <w:color w:val="37617A"/>
          <w:w w:val="107"/>
          <w:sz w:val="19"/>
        </w:rPr>
        <w:t>n</w:t>
      </w:r>
      <w:r>
        <w:rPr>
          <w:rFonts w:ascii="Trebuchet MS" w:hAnsi="Trebuchet MS"/>
          <w:color w:val="37617A"/>
          <w:w w:val="112"/>
          <w:sz w:val="19"/>
        </w:rPr>
        <w:t>d</w:t>
      </w:r>
      <w:r>
        <w:rPr>
          <w:rFonts w:ascii="Trebuchet MS" w:hAnsi="Trebuchet MS"/>
          <w:color w:val="37617A"/>
          <w:spacing w:val="-12"/>
          <w:sz w:val="19"/>
        </w:rPr>
        <w:t> </w:t>
      </w:r>
      <w:r>
        <w:rPr>
          <w:rFonts w:ascii="Trebuchet MS" w:hAnsi="Trebuchet MS"/>
          <w:color w:val="37617A"/>
          <w:spacing w:val="-1"/>
          <w:w w:val="114"/>
          <w:sz w:val="19"/>
        </w:rPr>
        <w:t>C</w:t>
      </w:r>
      <w:r>
        <w:rPr>
          <w:rFonts w:ascii="Trebuchet MS" w:hAnsi="Trebuchet MS"/>
          <w:color w:val="37617A"/>
          <w:spacing w:val="-1"/>
          <w:w w:val="80"/>
          <w:sz w:val="19"/>
        </w:rPr>
        <w:t>i</w:t>
      </w:r>
      <w:r>
        <w:rPr>
          <w:rFonts w:ascii="Trebuchet MS" w:hAnsi="Trebuchet MS"/>
          <w:color w:val="37617A"/>
          <w:w w:val="85"/>
          <w:sz w:val="19"/>
        </w:rPr>
        <w:t>t</w:t>
      </w:r>
      <w:r>
        <w:rPr>
          <w:rFonts w:ascii="Trebuchet MS" w:hAnsi="Trebuchet MS"/>
          <w:color w:val="37617A"/>
          <w:spacing w:val="-2"/>
          <w:w w:val="85"/>
          <w:sz w:val="19"/>
        </w:rPr>
        <w:t>i</w:t>
      </w:r>
      <w:r>
        <w:rPr>
          <w:rFonts w:ascii="Trebuchet MS" w:hAnsi="Trebuchet MS"/>
          <w:color w:val="37617A"/>
          <w:spacing w:val="-5"/>
          <w:w w:val="103"/>
          <w:sz w:val="19"/>
        </w:rPr>
        <w:t>z</w:t>
      </w:r>
      <w:r>
        <w:rPr>
          <w:rFonts w:ascii="Trebuchet MS" w:hAnsi="Trebuchet MS"/>
          <w:color w:val="37617A"/>
          <w:w w:val="108"/>
          <w:sz w:val="19"/>
        </w:rPr>
        <w:t>e</w:t>
      </w:r>
      <w:r>
        <w:rPr>
          <w:rFonts w:ascii="Trebuchet MS" w:hAnsi="Trebuchet MS"/>
          <w:color w:val="37617A"/>
          <w:w w:val="113"/>
          <w:sz w:val="19"/>
        </w:rPr>
        <w:t>ns</w:t>
      </w:r>
      <w:r>
        <w:rPr>
          <w:rFonts w:ascii="Trebuchet MS" w:hAnsi="Trebuchet MS"/>
          <w:color w:val="37617A"/>
          <w:spacing w:val="-12"/>
          <w:sz w:val="19"/>
        </w:rPr>
        <w:t> </w:t>
      </w:r>
      <w:r>
        <w:rPr>
          <w:rFonts w:ascii="Trebuchet MS" w:hAnsi="Trebuchet MS"/>
          <w:color w:val="37617A"/>
          <w:spacing w:val="-2"/>
          <w:w w:val="114"/>
          <w:sz w:val="19"/>
        </w:rPr>
        <w:t>A</w:t>
      </w:r>
      <w:r>
        <w:rPr>
          <w:rFonts w:ascii="Trebuchet MS" w:hAnsi="Trebuchet MS"/>
          <w:color w:val="37617A"/>
          <w:w w:val="109"/>
          <w:sz w:val="19"/>
        </w:rPr>
        <w:t>u</w:t>
      </w:r>
      <w:r>
        <w:rPr>
          <w:rFonts w:ascii="Trebuchet MS" w:hAnsi="Trebuchet MS"/>
          <w:color w:val="37617A"/>
          <w:w w:val="122"/>
          <w:sz w:val="19"/>
        </w:rPr>
        <w:t>s</w:t>
      </w:r>
      <w:r>
        <w:rPr>
          <w:rFonts w:ascii="Trebuchet MS" w:hAnsi="Trebuchet MS"/>
          <w:color w:val="37617A"/>
          <w:w w:val="91"/>
          <w:sz w:val="19"/>
        </w:rPr>
        <w:t>tr</w:t>
      </w:r>
      <w:r>
        <w:rPr>
          <w:rFonts w:ascii="Trebuchet MS" w:hAnsi="Trebuchet MS"/>
          <w:color w:val="37617A"/>
          <w:spacing w:val="-1"/>
          <w:w w:val="105"/>
          <w:sz w:val="19"/>
        </w:rPr>
        <w:t>a</w:t>
      </w:r>
      <w:r>
        <w:rPr>
          <w:rFonts w:ascii="Trebuchet MS" w:hAnsi="Trebuchet MS"/>
          <w:color w:val="37617A"/>
          <w:spacing w:val="1"/>
          <w:w w:val="96"/>
          <w:sz w:val="19"/>
        </w:rPr>
        <w:t>l</w:t>
      </w:r>
      <w:r>
        <w:rPr>
          <w:rFonts w:ascii="Trebuchet MS" w:hAnsi="Trebuchet MS"/>
          <w:color w:val="37617A"/>
          <w:w w:val="80"/>
          <w:sz w:val="19"/>
        </w:rPr>
        <w:t>i</w:t>
      </w:r>
      <w:r>
        <w:rPr>
          <w:rFonts w:ascii="Trebuchet MS" w:hAnsi="Trebuchet MS"/>
          <w:color w:val="37617A"/>
          <w:w w:val="105"/>
          <w:sz w:val="19"/>
        </w:rPr>
        <w:t>a</w:t>
      </w:r>
      <w:r>
        <w:rPr>
          <w:rFonts w:ascii="Trebuchet MS" w:hAnsi="Trebuchet MS"/>
          <w:color w:val="37617A"/>
          <w:spacing w:val="-12"/>
          <w:sz w:val="19"/>
        </w:rPr>
        <w:t> </w:t>
      </w:r>
      <w:r>
        <w:rPr>
          <w:rFonts w:ascii="Trebuchet MS" w:hAnsi="Trebuchet MS"/>
          <w:color w:val="37617A"/>
          <w:spacing w:val="-1"/>
          <w:w w:val="111"/>
          <w:sz w:val="19"/>
        </w:rPr>
        <w:t>c</w:t>
      </w:r>
      <w:r>
        <w:rPr>
          <w:rFonts w:ascii="Trebuchet MS" w:hAnsi="Trebuchet MS"/>
          <w:color w:val="37617A"/>
          <w:w w:val="111"/>
          <w:sz w:val="19"/>
        </w:rPr>
        <w:t>o</w:t>
      </w:r>
      <w:r>
        <w:rPr>
          <w:rFonts w:ascii="Trebuchet MS" w:hAnsi="Trebuchet MS"/>
          <w:color w:val="37617A"/>
          <w:w w:val="113"/>
          <w:sz w:val="19"/>
        </w:rPr>
        <w:t>n</w:t>
      </w:r>
      <w:r>
        <w:rPr>
          <w:rFonts w:ascii="Trebuchet MS" w:hAnsi="Trebuchet MS"/>
          <w:color w:val="37617A"/>
          <w:spacing w:val="-1"/>
          <w:w w:val="113"/>
          <w:sz w:val="19"/>
        </w:rPr>
        <w:t>s</w:t>
      </w:r>
      <w:r>
        <w:rPr>
          <w:rFonts w:ascii="Trebuchet MS" w:hAnsi="Trebuchet MS"/>
          <w:color w:val="37617A"/>
          <w:spacing w:val="-1"/>
          <w:w w:val="109"/>
          <w:sz w:val="19"/>
        </w:rPr>
        <w:t>u</w:t>
      </w:r>
      <w:r>
        <w:rPr>
          <w:rFonts w:ascii="Trebuchet MS" w:hAnsi="Trebuchet MS"/>
          <w:color w:val="37617A"/>
          <w:spacing w:val="-2"/>
          <w:w w:val="96"/>
          <w:sz w:val="19"/>
        </w:rPr>
        <w:t>l</w:t>
      </w:r>
      <w:r>
        <w:rPr>
          <w:rFonts w:ascii="Trebuchet MS" w:hAnsi="Trebuchet MS"/>
          <w:color w:val="37617A"/>
          <w:spacing w:val="1"/>
          <w:w w:val="88"/>
          <w:sz w:val="19"/>
        </w:rPr>
        <w:t>t</w:t>
      </w:r>
      <w:r>
        <w:rPr>
          <w:rFonts w:ascii="Trebuchet MS" w:hAnsi="Trebuchet MS"/>
          <w:color w:val="37617A"/>
          <w:spacing w:val="-3"/>
          <w:w w:val="105"/>
          <w:sz w:val="19"/>
        </w:rPr>
        <w:t>a</w:t>
      </w:r>
      <w:r>
        <w:rPr>
          <w:rFonts w:ascii="Trebuchet MS" w:hAnsi="Trebuchet MS"/>
          <w:color w:val="37617A"/>
          <w:w w:val="85"/>
          <w:sz w:val="19"/>
        </w:rPr>
        <w:t>ti</w:t>
      </w:r>
      <w:r>
        <w:rPr>
          <w:rFonts w:ascii="Trebuchet MS" w:hAnsi="Trebuchet MS"/>
          <w:color w:val="37617A"/>
          <w:w w:val="111"/>
          <w:sz w:val="19"/>
        </w:rPr>
        <w:t>o</w:t>
      </w:r>
      <w:r>
        <w:rPr>
          <w:rFonts w:ascii="Trebuchet MS" w:hAnsi="Trebuchet MS"/>
          <w:color w:val="37617A"/>
          <w:w w:val="107"/>
          <w:sz w:val="19"/>
        </w:rPr>
        <w:t>n</w:t>
      </w:r>
    </w:p>
    <w:p>
      <w:pPr>
        <w:pStyle w:val="BodyText"/>
        <w:spacing w:before="7"/>
        <w:rPr>
          <w:rFonts w:ascii="Trebuchet MS"/>
          <w:sz w:val="9"/>
        </w:rPr>
      </w:pPr>
      <w:r>
        <w:rPr/>
        <w:pict>
          <v:line style="position:absolute;mso-position-horizontal-relative:page;mso-position-vertical-relative:paragraph;z-index:9560;mso-wrap-distance-left:0;mso-wrap-distance-right:0" from="79.370102pt,7.809328pt" to="515.905102pt,7.809328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106"/>
        </w:numPr>
        <w:tabs>
          <w:tab w:pos="2157" w:val="left" w:leader="none"/>
          <w:tab w:pos="2158" w:val="left" w:leader="none"/>
        </w:tabs>
        <w:spacing w:line="206" w:lineRule="auto" w:before="146" w:after="0"/>
        <w:ind w:left="2157" w:right="1445" w:hanging="396"/>
        <w:jc w:val="left"/>
        <w:rPr>
          <w:sz w:val="20"/>
        </w:rPr>
      </w:pPr>
      <w:r>
        <w:rPr>
          <w:sz w:val="20"/>
        </w:rPr>
        <w:t>People in the subject groups should be able to be </w:t>
      </w:r>
      <w:r>
        <w:rPr>
          <w:spacing w:val="-3"/>
          <w:sz w:val="20"/>
        </w:rPr>
        <w:t>excused from </w:t>
      </w:r>
      <w:r>
        <w:rPr>
          <w:sz w:val="20"/>
        </w:rPr>
        <w:t>jury duty for reasons</w:t>
      </w:r>
      <w:r>
        <w:rPr>
          <w:spacing w:val="-11"/>
          <w:sz w:val="20"/>
        </w:rPr>
        <w:t> </w:t>
      </w:r>
      <w:r>
        <w:rPr>
          <w:sz w:val="20"/>
        </w:rPr>
        <w:t>connected</w:t>
      </w:r>
      <w:r>
        <w:rPr>
          <w:spacing w:val="-10"/>
          <w:sz w:val="20"/>
        </w:rPr>
        <w:t> </w:t>
      </w:r>
      <w:r>
        <w:rPr>
          <w:sz w:val="20"/>
        </w:rPr>
        <w:t>to</w:t>
      </w:r>
      <w:r>
        <w:rPr>
          <w:spacing w:val="-10"/>
          <w:sz w:val="20"/>
        </w:rPr>
        <w:t> </w:t>
      </w:r>
      <w:r>
        <w:rPr>
          <w:sz w:val="20"/>
        </w:rPr>
        <w:t>their</w:t>
      </w:r>
      <w:r>
        <w:rPr>
          <w:spacing w:val="-11"/>
          <w:sz w:val="20"/>
        </w:rPr>
        <w:t> </w:t>
      </w:r>
      <w:r>
        <w:rPr>
          <w:sz w:val="20"/>
        </w:rPr>
        <w:t>disability.</w:t>
      </w:r>
      <w:r>
        <w:rPr>
          <w:spacing w:val="-10"/>
          <w:sz w:val="20"/>
        </w:rPr>
        <w:t> </w:t>
      </w:r>
      <w:r>
        <w:rPr>
          <w:sz w:val="20"/>
        </w:rPr>
        <w:t>The</w:t>
      </w:r>
      <w:r>
        <w:rPr>
          <w:spacing w:val="-10"/>
          <w:sz w:val="20"/>
        </w:rPr>
        <w:t> </w:t>
      </w:r>
      <w:r>
        <w:rPr>
          <w:i/>
          <w:sz w:val="20"/>
        </w:rPr>
        <w:t>Juries</w:t>
      </w:r>
      <w:r>
        <w:rPr>
          <w:i/>
          <w:spacing w:val="-10"/>
          <w:sz w:val="20"/>
        </w:rPr>
        <w:t> </w:t>
      </w:r>
      <w:r>
        <w:rPr>
          <w:i/>
          <w:sz w:val="20"/>
        </w:rPr>
        <w:t>Act</w:t>
      </w:r>
      <w:r>
        <w:rPr>
          <w:i/>
          <w:spacing w:val="-10"/>
          <w:sz w:val="20"/>
        </w:rPr>
        <w:t> </w:t>
      </w:r>
      <w:r>
        <w:rPr>
          <w:i/>
          <w:sz w:val="20"/>
        </w:rPr>
        <w:t>2000</w:t>
      </w:r>
      <w:r>
        <w:rPr>
          <w:i/>
          <w:spacing w:val="-9"/>
          <w:sz w:val="20"/>
        </w:rPr>
        <w:t> </w:t>
      </w:r>
      <w:r>
        <w:rPr>
          <w:sz w:val="20"/>
        </w:rPr>
        <w:t>(Vic)</w:t>
      </w:r>
      <w:r>
        <w:rPr>
          <w:spacing w:val="-10"/>
          <w:sz w:val="20"/>
        </w:rPr>
        <w:t> </w:t>
      </w:r>
      <w:r>
        <w:rPr>
          <w:sz w:val="20"/>
        </w:rPr>
        <w:t>(the</w:t>
      </w:r>
      <w:r>
        <w:rPr>
          <w:spacing w:val="-10"/>
          <w:sz w:val="20"/>
        </w:rPr>
        <w:t> </w:t>
      </w:r>
      <w:r>
        <w:rPr>
          <w:sz w:val="20"/>
        </w:rPr>
        <w:t>Act)</w:t>
      </w:r>
      <w:r>
        <w:rPr>
          <w:spacing w:val="-11"/>
          <w:sz w:val="20"/>
        </w:rPr>
        <w:t> </w:t>
      </w:r>
      <w:r>
        <w:rPr>
          <w:spacing w:val="-3"/>
          <w:sz w:val="20"/>
        </w:rPr>
        <w:t>provides </w:t>
      </w:r>
      <w:r>
        <w:rPr>
          <w:sz w:val="20"/>
        </w:rPr>
        <w:t>enough</w:t>
      </w:r>
      <w:r>
        <w:rPr>
          <w:spacing w:val="-11"/>
          <w:sz w:val="20"/>
        </w:rPr>
        <w:t> </w:t>
      </w:r>
      <w:r>
        <w:rPr>
          <w:sz w:val="20"/>
        </w:rPr>
        <w:t>scope</w:t>
      </w:r>
      <w:r>
        <w:rPr>
          <w:spacing w:val="-11"/>
          <w:sz w:val="20"/>
        </w:rPr>
        <w:t> </w:t>
      </w:r>
      <w:r>
        <w:rPr>
          <w:sz w:val="20"/>
        </w:rPr>
        <w:t>for</w:t>
      </w:r>
      <w:r>
        <w:rPr>
          <w:spacing w:val="-10"/>
          <w:sz w:val="20"/>
        </w:rPr>
        <w:t> </w:t>
      </w:r>
      <w:r>
        <w:rPr>
          <w:sz w:val="20"/>
        </w:rPr>
        <w:t>this</w:t>
      </w:r>
      <w:r>
        <w:rPr>
          <w:spacing w:val="-11"/>
          <w:sz w:val="20"/>
        </w:rPr>
        <w:t> </w:t>
      </w:r>
      <w:r>
        <w:rPr>
          <w:sz w:val="20"/>
        </w:rPr>
        <w:t>to</w:t>
      </w:r>
      <w:r>
        <w:rPr>
          <w:spacing w:val="-11"/>
          <w:sz w:val="20"/>
        </w:rPr>
        <w:t> </w:t>
      </w:r>
      <w:r>
        <w:rPr>
          <w:spacing w:val="-4"/>
          <w:sz w:val="20"/>
        </w:rPr>
        <w:t>occur.</w:t>
      </w:r>
      <w:r>
        <w:rPr>
          <w:spacing w:val="-10"/>
          <w:sz w:val="20"/>
        </w:rPr>
        <w:t> </w:t>
      </w:r>
      <w:r>
        <w:rPr>
          <w:sz w:val="20"/>
        </w:rPr>
        <w:t>The</w:t>
      </w:r>
      <w:r>
        <w:rPr>
          <w:spacing w:val="-11"/>
          <w:sz w:val="20"/>
        </w:rPr>
        <w:t> </w:t>
      </w:r>
      <w:r>
        <w:rPr>
          <w:sz w:val="20"/>
        </w:rPr>
        <w:t>Commission</w:t>
      </w:r>
      <w:r>
        <w:rPr>
          <w:spacing w:val="-11"/>
          <w:sz w:val="20"/>
        </w:rPr>
        <w:t> </w:t>
      </w:r>
      <w:r>
        <w:rPr>
          <w:sz w:val="20"/>
        </w:rPr>
        <w:t>does</w:t>
      </w:r>
      <w:r>
        <w:rPr>
          <w:spacing w:val="-10"/>
          <w:sz w:val="20"/>
        </w:rPr>
        <w:t> </w:t>
      </w:r>
      <w:r>
        <w:rPr>
          <w:sz w:val="20"/>
        </w:rPr>
        <w:t>not</w:t>
      </w:r>
      <w:r>
        <w:rPr>
          <w:spacing w:val="-11"/>
          <w:sz w:val="20"/>
        </w:rPr>
        <w:t> </w:t>
      </w:r>
      <w:r>
        <w:rPr>
          <w:sz w:val="20"/>
        </w:rPr>
        <w:t>recommend</w:t>
      </w:r>
      <w:r>
        <w:rPr>
          <w:spacing w:val="-11"/>
          <w:sz w:val="20"/>
        </w:rPr>
        <w:t> </w:t>
      </w:r>
      <w:r>
        <w:rPr>
          <w:sz w:val="20"/>
        </w:rPr>
        <w:t>including disability,</w:t>
      </w:r>
      <w:r>
        <w:rPr>
          <w:spacing w:val="-5"/>
          <w:sz w:val="20"/>
        </w:rPr>
        <w:t> </w:t>
      </w:r>
      <w:r>
        <w:rPr>
          <w:sz w:val="20"/>
        </w:rPr>
        <w:t>in</w:t>
      </w:r>
      <w:r>
        <w:rPr>
          <w:spacing w:val="-5"/>
          <w:sz w:val="20"/>
        </w:rPr>
        <w:t> </w:t>
      </w:r>
      <w:r>
        <w:rPr>
          <w:sz w:val="20"/>
        </w:rPr>
        <w:t>and</w:t>
      </w:r>
      <w:r>
        <w:rPr>
          <w:spacing w:val="-4"/>
          <w:sz w:val="20"/>
        </w:rPr>
        <w:t> </w:t>
      </w:r>
      <w:r>
        <w:rPr>
          <w:sz w:val="20"/>
        </w:rPr>
        <w:t>of</w:t>
      </w:r>
      <w:r>
        <w:rPr>
          <w:spacing w:val="-5"/>
          <w:sz w:val="20"/>
        </w:rPr>
        <w:t> </w:t>
      </w:r>
      <w:r>
        <w:rPr>
          <w:spacing w:val="-3"/>
          <w:sz w:val="20"/>
        </w:rPr>
        <w:t>itself,</w:t>
      </w:r>
      <w:r>
        <w:rPr>
          <w:spacing w:val="-5"/>
          <w:sz w:val="20"/>
        </w:rPr>
        <w:t> </w:t>
      </w:r>
      <w:r>
        <w:rPr>
          <w:sz w:val="20"/>
        </w:rPr>
        <w:t>as</w:t>
      </w:r>
      <w:r>
        <w:rPr>
          <w:spacing w:val="-4"/>
          <w:sz w:val="20"/>
        </w:rPr>
        <w:t> </w:t>
      </w:r>
      <w:r>
        <w:rPr>
          <w:sz w:val="20"/>
        </w:rPr>
        <w:t>a</w:t>
      </w:r>
      <w:r>
        <w:rPr>
          <w:spacing w:val="-5"/>
          <w:sz w:val="20"/>
        </w:rPr>
        <w:t> </w:t>
      </w:r>
      <w:r>
        <w:rPr>
          <w:sz w:val="20"/>
        </w:rPr>
        <w:t>ground</w:t>
      </w:r>
      <w:r>
        <w:rPr>
          <w:spacing w:val="-4"/>
          <w:sz w:val="20"/>
        </w:rPr>
        <w:t> </w:t>
      </w:r>
      <w:r>
        <w:rPr>
          <w:sz w:val="20"/>
        </w:rPr>
        <w:t>for</w:t>
      </w:r>
      <w:r>
        <w:rPr>
          <w:spacing w:val="-5"/>
          <w:sz w:val="20"/>
        </w:rPr>
        <w:t> </w:t>
      </w:r>
      <w:r>
        <w:rPr>
          <w:sz w:val="20"/>
        </w:rPr>
        <w:t>an</w:t>
      </w:r>
      <w:r>
        <w:rPr>
          <w:spacing w:val="-5"/>
          <w:sz w:val="20"/>
        </w:rPr>
        <w:t> </w:t>
      </w:r>
      <w:r>
        <w:rPr>
          <w:spacing w:val="-4"/>
          <w:sz w:val="20"/>
        </w:rPr>
        <w:t>excuse.</w:t>
      </w:r>
    </w:p>
    <w:p>
      <w:pPr>
        <w:pStyle w:val="ListParagraph"/>
        <w:numPr>
          <w:ilvl w:val="0"/>
          <w:numId w:val="106"/>
        </w:numPr>
        <w:tabs>
          <w:tab w:pos="2157" w:val="left" w:leader="none"/>
          <w:tab w:pos="2158" w:val="left" w:leader="none"/>
        </w:tabs>
        <w:spacing w:line="206" w:lineRule="auto" w:before="90" w:after="0"/>
        <w:ind w:left="2157" w:right="1711" w:hanging="396"/>
        <w:jc w:val="left"/>
        <w:rPr>
          <w:sz w:val="20"/>
        </w:rPr>
      </w:pPr>
      <w:r>
        <w:rPr>
          <w:sz w:val="20"/>
        </w:rPr>
        <w:t>In keeping with </w:t>
      </w:r>
      <w:r>
        <w:rPr>
          <w:spacing w:val="-3"/>
          <w:sz w:val="20"/>
        </w:rPr>
        <w:t>current </w:t>
      </w:r>
      <w:r>
        <w:rPr>
          <w:sz w:val="20"/>
        </w:rPr>
        <w:t>practices, the </w:t>
      </w:r>
      <w:r>
        <w:rPr>
          <w:spacing w:val="-3"/>
          <w:sz w:val="20"/>
        </w:rPr>
        <w:t>excuse </w:t>
      </w:r>
      <w:r>
        <w:rPr>
          <w:sz w:val="20"/>
        </w:rPr>
        <w:t>process should not be </w:t>
      </w:r>
      <w:r>
        <w:rPr>
          <w:spacing w:val="-4"/>
          <w:sz w:val="20"/>
        </w:rPr>
        <w:t>overly </w:t>
      </w:r>
      <w:r>
        <w:rPr>
          <w:sz w:val="20"/>
        </w:rPr>
        <w:t>burdensome.</w:t>
      </w:r>
      <w:r>
        <w:rPr>
          <w:spacing w:val="-12"/>
          <w:sz w:val="20"/>
        </w:rPr>
        <w:t> </w:t>
      </w:r>
      <w:r>
        <w:rPr>
          <w:spacing w:val="-10"/>
          <w:sz w:val="20"/>
        </w:rPr>
        <w:t>To</w:t>
      </w:r>
      <w:r>
        <w:rPr>
          <w:spacing w:val="-11"/>
          <w:sz w:val="20"/>
        </w:rPr>
        <w:t> </w:t>
      </w:r>
      <w:r>
        <w:rPr>
          <w:sz w:val="20"/>
        </w:rPr>
        <w:t>allay</w:t>
      </w:r>
      <w:r>
        <w:rPr>
          <w:spacing w:val="-12"/>
          <w:sz w:val="20"/>
        </w:rPr>
        <w:t> </w:t>
      </w:r>
      <w:r>
        <w:rPr>
          <w:sz w:val="20"/>
        </w:rPr>
        <w:t>concerns</w:t>
      </w:r>
      <w:r>
        <w:rPr>
          <w:spacing w:val="-11"/>
          <w:sz w:val="20"/>
        </w:rPr>
        <w:t> </w:t>
      </w:r>
      <w:r>
        <w:rPr>
          <w:sz w:val="20"/>
        </w:rPr>
        <w:t>about</w:t>
      </w:r>
      <w:r>
        <w:rPr>
          <w:spacing w:val="-12"/>
          <w:sz w:val="20"/>
        </w:rPr>
        <w:t> </w:t>
      </w:r>
      <w:r>
        <w:rPr>
          <w:sz w:val="20"/>
        </w:rPr>
        <w:t>serving</w:t>
      </w:r>
      <w:r>
        <w:rPr>
          <w:spacing w:val="-11"/>
          <w:sz w:val="20"/>
        </w:rPr>
        <w:t> </w:t>
      </w:r>
      <w:r>
        <w:rPr>
          <w:sz w:val="20"/>
        </w:rPr>
        <w:t>as</w:t>
      </w:r>
      <w:r>
        <w:rPr>
          <w:spacing w:val="-12"/>
          <w:sz w:val="20"/>
        </w:rPr>
        <w:t> </w:t>
      </w:r>
      <w:r>
        <w:rPr>
          <w:sz w:val="20"/>
        </w:rPr>
        <w:t>a</w:t>
      </w:r>
      <w:r>
        <w:rPr>
          <w:spacing w:val="-11"/>
          <w:sz w:val="20"/>
        </w:rPr>
        <w:t> </w:t>
      </w:r>
      <w:r>
        <w:rPr>
          <w:spacing w:val="-4"/>
          <w:sz w:val="20"/>
        </w:rPr>
        <w:t>juror,</w:t>
      </w:r>
      <w:r>
        <w:rPr>
          <w:spacing w:val="-12"/>
          <w:sz w:val="20"/>
        </w:rPr>
        <w:t> </w:t>
      </w:r>
      <w:r>
        <w:rPr>
          <w:sz w:val="20"/>
        </w:rPr>
        <w:t>Juries</w:t>
      </w:r>
      <w:r>
        <w:rPr>
          <w:spacing w:val="-11"/>
          <w:sz w:val="20"/>
        </w:rPr>
        <w:t> </w:t>
      </w:r>
      <w:r>
        <w:rPr>
          <w:sz w:val="20"/>
        </w:rPr>
        <w:t>Victoria</w:t>
      </w:r>
      <w:r>
        <w:rPr>
          <w:spacing w:val="-12"/>
          <w:sz w:val="20"/>
        </w:rPr>
        <w:t> </w:t>
      </w:r>
      <w:r>
        <w:rPr>
          <w:sz w:val="20"/>
        </w:rPr>
        <w:t>should </w:t>
      </w:r>
      <w:r>
        <w:rPr>
          <w:spacing w:val="-3"/>
          <w:sz w:val="20"/>
        </w:rPr>
        <w:t>provide </w:t>
      </w:r>
      <w:r>
        <w:rPr>
          <w:sz w:val="20"/>
        </w:rPr>
        <w:t>information explaining the </w:t>
      </w:r>
      <w:r>
        <w:rPr>
          <w:spacing w:val="-3"/>
          <w:sz w:val="20"/>
        </w:rPr>
        <w:t>excuse</w:t>
      </w:r>
      <w:r>
        <w:rPr>
          <w:spacing w:val="-22"/>
          <w:sz w:val="20"/>
        </w:rPr>
        <w:t> </w:t>
      </w:r>
      <w:r>
        <w:rPr>
          <w:sz w:val="20"/>
        </w:rPr>
        <w:t>process.</w:t>
      </w:r>
    </w:p>
    <w:p>
      <w:pPr>
        <w:pStyle w:val="ListParagraph"/>
        <w:numPr>
          <w:ilvl w:val="0"/>
          <w:numId w:val="106"/>
        </w:numPr>
        <w:tabs>
          <w:tab w:pos="2157" w:val="left" w:leader="none"/>
          <w:tab w:pos="2158" w:val="left" w:leader="none"/>
        </w:tabs>
        <w:spacing w:line="206" w:lineRule="auto" w:before="89" w:after="0"/>
        <w:ind w:left="2157" w:right="1763" w:hanging="396"/>
        <w:jc w:val="left"/>
        <w:rPr>
          <w:sz w:val="20"/>
        </w:rPr>
      </w:pPr>
      <w:r>
        <w:rPr>
          <w:sz w:val="20"/>
        </w:rPr>
        <w:t>Data</w:t>
      </w:r>
      <w:r>
        <w:rPr>
          <w:spacing w:val="-10"/>
          <w:sz w:val="20"/>
        </w:rPr>
        <w:t> </w:t>
      </w:r>
      <w:r>
        <w:rPr>
          <w:sz w:val="20"/>
        </w:rPr>
        <w:t>should</w:t>
      </w:r>
      <w:r>
        <w:rPr>
          <w:spacing w:val="-10"/>
          <w:sz w:val="20"/>
        </w:rPr>
        <w:t> </w:t>
      </w:r>
      <w:r>
        <w:rPr>
          <w:sz w:val="20"/>
        </w:rPr>
        <w:t>be</w:t>
      </w:r>
      <w:r>
        <w:rPr>
          <w:spacing w:val="-10"/>
          <w:sz w:val="20"/>
        </w:rPr>
        <w:t> </w:t>
      </w:r>
      <w:r>
        <w:rPr>
          <w:sz w:val="20"/>
        </w:rPr>
        <w:t>retained</w:t>
      </w:r>
      <w:r>
        <w:rPr>
          <w:spacing w:val="-9"/>
          <w:sz w:val="20"/>
        </w:rPr>
        <w:t> </w:t>
      </w:r>
      <w:r>
        <w:rPr>
          <w:sz w:val="20"/>
        </w:rPr>
        <w:t>about</w:t>
      </w:r>
      <w:r>
        <w:rPr>
          <w:spacing w:val="-10"/>
          <w:sz w:val="20"/>
        </w:rPr>
        <w:t> </w:t>
      </w:r>
      <w:r>
        <w:rPr>
          <w:spacing w:val="-3"/>
          <w:sz w:val="20"/>
        </w:rPr>
        <w:t>how</w:t>
      </w:r>
      <w:r>
        <w:rPr>
          <w:spacing w:val="-10"/>
          <w:sz w:val="20"/>
        </w:rPr>
        <w:t> </w:t>
      </w:r>
      <w:r>
        <w:rPr>
          <w:sz w:val="20"/>
        </w:rPr>
        <w:t>often,</w:t>
      </w:r>
      <w:r>
        <w:rPr>
          <w:spacing w:val="-10"/>
          <w:sz w:val="20"/>
        </w:rPr>
        <w:t> </w:t>
      </w:r>
      <w:r>
        <w:rPr>
          <w:sz w:val="20"/>
        </w:rPr>
        <w:t>at</w:t>
      </w:r>
      <w:r>
        <w:rPr>
          <w:spacing w:val="-9"/>
          <w:sz w:val="20"/>
        </w:rPr>
        <w:t> </w:t>
      </w:r>
      <w:r>
        <w:rPr>
          <w:sz w:val="20"/>
        </w:rPr>
        <w:t>what</w:t>
      </w:r>
      <w:r>
        <w:rPr>
          <w:spacing w:val="-10"/>
          <w:sz w:val="20"/>
        </w:rPr>
        <w:t> </w:t>
      </w:r>
      <w:r>
        <w:rPr>
          <w:sz w:val="20"/>
        </w:rPr>
        <w:t>stage</w:t>
      </w:r>
      <w:r>
        <w:rPr>
          <w:spacing w:val="-10"/>
          <w:sz w:val="20"/>
        </w:rPr>
        <w:t> </w:t>
      </w:r>
      <w:r>
        <w:rPr>
          <w:sz w:val="20"/>
        </w:rPr>
        <w:t>and</w:t>
      </w:r>
      <w:r>
        <w:rPr>
          <w:spacing w:val="-10"/>
          <w:sz w:val="20"/>
        </w:rPr>
        <w:t> </w:t>
      </w:r>
      <w:r>
        <w:rPr>
          <w:sz w:val="20"/>
        </w:rPr>
        <w:t>the</w:t>
      </w:r>
      <w:r>
        <w:rPr>
          <w:spacing w:val="-9"/>
          <w:sz w:val="20"/>
        </w:rPr>
        <w:t> </w:t>
      </w:r>
      <w:r>
        <w:rPr>
          <w:sz w:val="20"/>
        </w:rPr>
        <w:t>reasons</w:t>
      </w:r>
      <w:r>
        <w:rPr>
          <w:spacing w:val="-10"/>
          <w:sz w:val="20"/>
        </w:rPr>
        <w:t> </w:t>
      </w:r>
      <w:r>
        <w:rPr>
          <w:spacing w:val="-3"/>
          <w:sz w:val="20"/>
        </w:rPr>
        <w:t>why </w:t>
      </w:r>
      <w:r>
        <w:rPr>
          <w:sz w:val="20"/>
        </w:rPr>
        <w:t>a</w:t>
      </w:r>
      <w:r>
        <w:rPr>
          <w:spacing w:val="-9"/>
          <w:sz w:val="20"/>
        </w:rPr>
        <w:t> </w:t>
      </w:r>
      <w:r>
        <w:rPr>
          <w:sz w:val="20"/>
        </w:rPr>
        <w:t>person</w:t>
      </w:r>
      <w:r>
        <w:rPr>
          <w:spacing w:val="-9"/>
          <w:sz w:val="20"/>
        </w:rPr>
        <w:t> </w:t>
      </w:r>
      <w:r>
        <w:rPr>
          <w:spacing w:val="-3"/>
          <w:sz w:val="20"/>
        </w:rPr>
        <w:t>from</w:t>
      </w:r>
      <w:r>
        <w:rPr>
          <w:spacing w:val="-8"/>
          <w:sz w:val="20"/>
        </w:rPr>
        <w:t> </w:t>
      </w:r>
      <w:r>
        <w:rPr>
          <w:sz w:val="20"/>
        </w:rPr>
        <w:t>the</w:t>
      </w:r>
      <w:r>
        <w:rPr>
          <w:spacing w:val="-9"/>
          <w:sz w:val="20"/>
        </w:rPr>
        <w:t> </w:t>
      </w:r>
      <w:r>
        <w:rPr>
          <w:sz w:val="20"/>
        </w:rPr>
        <w:t>subject</w:t>
      </w:r>
      <w:r>
        <w:rPr>
          <w:spacing w:val="-8"/>
          <w:sz w:val="20"/>
        </w:rPr>
        <w:t> </w:t>
      </w:r>
      <w:r>
        <w:rPr>
          <w:sz w:val="20"/>
        </w:rPr>
        <w:t>groups</w:t>
      </w:r>
      <w:r>
        <w:rPr>
          <w:spacing w:val="-9"/>
          <w:sz w:val="20"/>
        </w:rPr>
        <w:t> </w:t>
      </w:r>
      <w:r>
        <w:rPr>
          <w:sz w:val="20"/>
        </w:rPr>
        <w:t>applies</w:t>
      </w:r>
      <w:r>
        <w:rPr>
          <w:spacing w:val="-9"/>
          <w:sz w:val="20"/>
        </w:rPr>
        <w:t> </w:t>
      </w:r>
      <w:r>
        <w:rPr>
          <w:sz w:val="20"/>
        </w:rPr>
        <w:t>to</w:t>
      </w:r>
      <w:r>
        <w:rPr>
          <w:spacing w:val="-8"/>
          <w:sz w:val="20"/>
        </w:rPr>
        <w:t> </w:t>
      </w:r>
      <w:r>
        <w:rPr>
          <w:sz w:val="20"/>
        </w:rPr>
        <w:t>be</w:t>
      </w:r>
      <w:r>
        <w:rPr>
          <w:spacing w:val="-9"/>
          <w:sz w:val="20"/>
        </w:rPr>
        <w:t> </w:t>
      </w:r>
      <w:r>
        <w:rPr>
          <w:spacing w:val="-3"/>
          <w:sz w:val="20"/>
        </w:rPr>
        <w:t>excused.</w:t>
      </w:r>
      <w:r>
        <w:rPr>
          <w:spacing w:val="-8"/>
          <w:sz w:val="20"/>
        </w:rPr>
        <w:t> </w:t>
      </w:r>
      <w:r>
        <w:rPr>
          <w:sz w:val="20"/>
        </w:rPr>
        <w:t>This</w:t>
      </w:r>
      <w:r>
        <w:rPr>
          <w:spacing w:val="-9"/>
          <w:sz w:val="20"/>
        </w:rPr>
        <w:t> </w:t>
      </w:r>
      <w:r>
        <w:rPr>
          <w:sz w:val="20"/>
        </w:rPr>
        <w:t>should</w:t>
      </w:r>
      <w:r>
        <w:rPr>
          <w:spacing w:val="-9"/>
          <w:sz w:val="20"/>
        </w:rPr>
        <w:t> </w:t>
      </w:r>
      <w:r>
        <w:rPr>
          <w:sz w:val="20"/>
        </w:rPr>
        <w:t>include</w:t>
      </w:r>
    </w:p>
    <w:p>
      <w:pPr>
        <w:pStyle w:val="BodyText"/>
        <w:spacing w:line="206" w:lineRule="auto" w:before="3"/>
        <w:ind w:left="2157" w:right="1335"/>
      </w:pPr>
      <w:r>
        <w:rPr/>
        <w:t>information</w:t>
      </w:r>
      <w:r>
        <w:rPr>
          <w:spacing w:val="-12"/>
        </w:rPr>
        <w:t> </w:t>
      </w:r>
      <w:r>
        <w:rPr/>
        <w:t>about</w:t>
      </w:r>
      <w:r>
        <w:rPr>
          <w:spacing w:val="-11"/>
        </w:rPr>
        <w:t> </w:t>
      </w:r>
      <w:r>
        <w:rPr/>
        <w:t>adjustments</w:t>
      </w:r>
      <w:r>
        <w:rPr>
          <w:spacing w:val="-12"/>
        </w:rPr>
        <w:t> </w:t>
      </w:r>
      <w:r>
        <w:rPr/>
        <w:t>that</w:t>
      </w:r>
      <w:r>
        <w:rPr>
          <w:spacing w:val="-11"/>
        </w:rPr>
        <w:t> </w:t>
      </w:r>
      <w:r>
        <w:rPr>
          <w:spacing w:val="-3"/>
        </w:rPr>
        <w:t>are</w:t>
      </w:r>
      <w:r>
        <w:rPr>
          <w:spacing w:val="-11"/>
        </w:rPr>
        <w:t> </w:t>
      </w:r>
      <w:r>
        <w:rPr/>
        <w:t>unsatisfactory</w:t>
      </w:r>
      <w:r>
        <w:rPr>
          <w:spacing w:val="-12"/>
        </w:rPr>
        <w:t> </w:t>
      </w:r>
      <w:r>
        <w:rPr/>
        <w:t>to</w:t>
      </w:r>
      <w:r>
        <w:rPr>
          <w:spacing w:val="-11"/>
        </w:rPr>
        <w:t> </w:t>
      </w:r>
      <w:r>
        <w:rPr/>
        <w:t>a</w:t>
      </w:r>
      <w:r>
        <w:rPr>
          <w:spacing w:val="-11"/>
        </w:rPr>
        <w:t> </w:t>
      </w:r>
      <w:r>
        <w:rPr/>
        <w:t>person</w:t>
      </w:r>
      <w:r>
        <w:rPr>
          <w:spacing w:val="-12"/>
        </w:rPr>
        <w:t> </w:t>
      </w:r>
      <w:r>
        <w:rPr/>
        <w:t>in</w:t>
      </w:r>
      <w:r>
        <w:rPr>
          <w:spacing w:val="-11"/>
        </w:rPr>
        <w:t> </w:t>
      </w:r>
      <w:r>
        <w:rPr/>
        <w:t>the</w:t>
      </w:r>
      <w:r>
        <w:rPr>
          <w:spacing w:val="-12"/>
        </w:rPr>
        <w:t> </w:t>
      </w:r>
      <w:r>
        <w:rPr/>
        <w:t>subject groups.</w:t>
      </w:r>
    </w:p>
    <w:p>
      <w:pPr>
        <w:pStyle w:val="ListParagraph"/>
        <w:numPr>
          <w:ilvl w:val="0"/>
          <w:numId w:val="106"/>
        </w:numPr>
        <w:tabs>
          <w:tab w:pos="2157" w:val="left" w:leader="none"/>
          <w:tab w:pos="2158" w:val="left" w:leader="none"/>
        </w:tabs>
        <w:spacing w:line="206" w:lineRule="auto" w:before="87" w:after="0"/>
        <w:ind w:left="2157" w:right="1424" w:hanging="396"/>
        <w:jc w:val="left"/>
        <w:rPr>
          <w:sz w:val="20"/>
        </w:rPr>
      </w:pPr>
      <w:r>
        <w:rPr>
          <w:spacing w:val="-6"/>
          <w:sz w:val="20"/>
        </w:rPr>
        <w:t>We</w:t>
      </w:r>
      <w:r>
        <w:rPr>
          <w:spacing w:val="-9"/>
          <w:sz w:val="20"/>
        </w:rPr>
        <w:t> </w:t>
      </w:r>
      <w:r>
        <w:rPr>
          <w:sz w:val="20"/>
        </w:rPr>
        <w:t>recommend</w:t>
      </w:r>
      <w:r>
        <w:rPr>
          <w:spacing w:val="-8"/>
          <w:sz w:val="20"/>
        </w:rPr>
        <w:t> </w:t>
      </w:r>
      <w:r>
        <w:rPr>
          <w:sz w:val="20"/>
        </w:rPr>
        <w:t>that</w:t>
      </w:r>
      <w:r>
        <w:rPr>
          <w:spacing w:val="-9"/>
          <w:sz w:val="20"/>
        </w:rPr>
        <w:t> </w:t>
      </w:r>
      <w:r>
        <w:rPr>
          <w:sz w:val="20"/>
        </w:rPr>
        <w:t>section</w:t>
      </w:r>
      <w:r>
        <w:rPr>
          <w:spacing w:val="-8"/>
          <w:sz w:val="20"/>
        </w:rPr>
        <w:t> </w:t>
      </w:r>
      <w:r>
        <w:rPr>
          <w:sz w:val="20"/>
        </w:rPr>
        <w:t>32(3)</w:t>
      </w:r>
      <w:r>
        <w:rPr>
          <w:spacing w:val="-9"/>
          <w:sz w:val="20"/>
        </w:rPr>
        <w:t> </w:t>
      </w:r>
      <w:r>
        <w:rPr>
          <w:sz w:val="20"/>
        </w:rPr>
        <w:t>of</w:t>
      </w:r>
      <w:r>
        <w:rPr>
          <w:spacing w:val="-8"/>
          <w:sz w:val="20"/>
        </w:rPr>
        <w:t> </w:t>
      </w:r>
      <w:r>
        <w:rPr>
          <w:sz w:val="20"/>
        </w:rPr>
        <w:t>the</w:t>
      </w:r>
      <w:r>
        <w:rPr>
          <w:spacing w:val="-9"/>
          <w:sz w:val="20"/>
        </w:rPr>
        <w:t> </w:t>
      </w:r>
      <w:r>
        <w:rPr>
          <w:spacing w:val="-2"/>
          <w:sz w:val="20"/>
        </w:rPr>
        <w:t>Act</w:t>
      </w:r>
      <w:r>
        <w:rPr>
          <w:spacing w:val="-8"/>
          <w:sz w:val="20"/>
        </w:rPr>
        <w:t> </w:t>
      </w:r>
      <w:r>
        <w:rPr>
          <w:sz w:val="20"/>
        </w:rPr>
        <w:t>is</w:t>
      </w:r>
      <w:r>
        <w:rPr>
          <w:spacing w:val="-9"/>
          <w:sz w:val="20"/>
        </w:rPr>
        <w:t> </w:t>
      </w:r>
      <w:r>
        <w:rPr>
          <w:sz w:val="20"/>
        </w:rPr>
        <w:t>amended</w:t>
      </w:r>
      <w:r>
        <w:rPr>
          <w:spacing w:val="-8"/>
          <w:sz w:val="20"/>
        </w:rPr>
        <w:t> </w:t>
      </w:r>
      <w:r>
        <w:rPr>
          <w:sz w:val="20"/>
        </w:rPr>
        <w:t>to</w:t>
      </w:r>
      <w:r>
        <w:rPr>
          <w:spacing w:val="-8"/>
          <w:sz w:val="20"/>
        </w:rPr>
        <w:t> </w:t>
      </w:r>
      <w:r>
        <w:rPr>
          <w:spacing w:val="-3"/>
          <w:sz w:val="20"/>
        </w:rPr>
        <w:t>make</w:t>
      </w:r>
      <w:r>
        <w:rPr>
          <w:spacing w:val="-9"/>
          <w:sz w:val="20"/>
        </w:rPr>
        <w:t> </w:t>
      </w:r>
      <w:r>
        <w:rPr>
          <w:sz w:val="20"/>
        </w:rPr>
        <w:t>it</w:t>
      </w:r>
      <w:r>
        <w:rPr>
          <w:spacing w:val="-8"/>
          <w:sz w:val="20"/>
        </w:rPr>
        <w:t> </w:t>
      </w:r>
      <w:r>
        <w:rPr>
          <w:sz w:val="20"/>
        </w:rPr>
        <w:t>clear</w:t>
      </w:r>
      <w:r>
        <w:rPr>
          <w:spacing w:val="-9"/>
          <w:sz w:val="20"/>
        </w:rPr>
        <w:t> </w:t>
      </w:r>
      <w:r>
        <w:rPr>
          <w:sz w:val="20"/>
        </w:rPr>
        <w:t>that</w:t>
      </w:r>
      <w:r>
        <w:rPr>
          <w:spacing w:val="-8"/>
          <w:sz w:val="20"/>
        </w:rPr>
        <w:t> </w:t>
      </w:r>
      <w:r>
        <w:rPr>
          <w:sz w:val="20"/>
        </w:rPr>
        <w:t>the court</w:t>
      </w:r>
      <w:r>
        <w:rPr>
          <w:spacing w:val="-8"/>
          <w:sz w:val="20"/>
        </w:rPr>
        <w:t> </w:t>
      </w:r>
      <w:r>
        <w:rPr>
          <w:sz w:val="20"/>
        </w:rPr>
        <w:t>can</w:t>
      </w:r>
      <w:r>
        <w:rPr>
          <w:spacing w:val="-7"/>
          <w:sz w:val="20"/>
        </w:rPr>
        <w:t> </w:t>
      </w:r>
      <w:r>
        <w:rPr>
          <w:spacing w:val="-3"/>
          <w:sz w:val="20"/>
        </w:rPr>
        <w:t>excuse</w:t>
      </w:r>
      <w:r>
        <w:rPr>
          <w:spacing w:val="-7"/>
          <w:sz w:val="20"/>
        </w:rPr>
        <w:t> </w:t>
      </w:r>
      <w:r>
        <w:rPr>
          <w:sz w:val="20"/>
        </w:rPr>
        <w:t>a</w:t>
      </w:r>
      <w:r>
        <w:rPr>
          <w:spacing w:val="-7"/>
          <w:sz w:val="20"/>
        </w:rPr>
        <w:t> </w:t>
      </w:r>
      <w:r>
        <w:rPr>
          <w:sz w:val="20"/>
        </w:rPr>
        <w:t>panel</w:t>
      </w:r>
      <w:r>
        <w:rPr>
          <w:spacing w:val="-7"/>
          <w:sz w:val="20"/>
        </w:rPr>
        <w:t> </w:t>
      </w:r>
      <w:r>
        <w:rPr>
          <w:sz w:val="20"/>
        </w:rPr>
        <w:t>member</w:t>
      </w:r>
      <w:r>
        <w:rPr>
          <w:spacing w:val="-7"/>
          <w:sz w:val="20"/>
        </w:rPr>
        <w:t> </w:t>
      </w:r>
      <w:r>
        <w:rPr>
          <w:sz w:val="20"/>
        </w:rPr>
        <w:t>on</w:t>
      </w:r>
      <w:r>
        <w:rPr>
          <w:spacing w:val="-7"/>
          <w:sz w:val="20"/>
        </w:rPr>
        <w:t> </w:t>
      </w:r>
      <w:r>
        <w:rPr>
          <w:sz w:val="20"/>
        </w:rPr>
        <w:t>its</w:t>
      </w:r>
      <w:r>
        <w:rPr>
          <w:spacing w:val="-8"/>
          <w:sz w:val="20"/>
        </w:rPr>
        <w:t> </w:t>
      </w:r>
      <w:r>
        <w:rPr>
          <w:spacing w:val="-3"/>
          <w:sz w:val="20"/>
        </w:rPr>
        <w:t>own</w:t>
      </w:r>
      <w:r>
        <w:rPr>
          <w:spacing w:val="-7"/>
          <w:sz w:val="20"/>
        </w:rPr>
        <w:t> </w:t>
      </w:r>
      <w:r>
        <w:rPr>
          <w:sz w:val="20"/>
        </w:rPr>
        <w:t>motion</w:t>
      </w:r>
      <w:r>
        <w:rPr>
          <w:spacing w:val="-7"/>
          <w:sz w:val="20"/>
        </w:rPr>
        <w:t> </w:t>
      </w:r>
      <w:r>
        <w:rPr>
          <w:sz w:val="20"/>
        </w:rPr>
        <w:t>pursuant</w:t>
      </w:r>
      <w:r>
        <w:rPr>
          <w:spacing w:val="-7"/>
          <w:sz w:val="20"/>
        </w:rPr>
        <w:t> </w:t>
      </w:r>
      <w:r>
        <w:rPr>
          <w:sz w:val="20"/>
        </w:rPr>
        <w:t>to</w:t>
      </w:r>
      <w:r>
        <w:rPr>
          <w:spacing w:val="-7"/>
          <w:sz w:val="20"/>
        </w:rPr>
        <w:t> </w:t>
      </w:r>
      <w:r>
        <w:rPr>
          <w:sz w:val="20"/>
        </w:rPr>
        <w:t>that</w:t>
      </w:r>
      <w:r>
        <w:rPr>
          <w:spacing w:val="-7"/>
          <w:sz w:val="20"/>
        </w:rPr>
        <w:t> </w:t>
      </w:r>
      <w:r>
        <w:rPr>
          <w:sz w:val="20"/>
        </w:rPr>
        <w:t>section.</w:t>
      </w:r>
    </w:p>
    <w:p>
      <w:pPr>
        <w:spacing w:before="193"/>
        <w:ind w:left="967" w:right="0" w:firstLine="0"/>
        <w:jc w:val="left"/>
        <w:rPr>
          <w:rFonts w:ascii="Raleway ExtraBold"/>
          <w:b/>
          <w:sz w:val="28"/>
        </w:rPr>
      </w:pPr>
      <w:r>
        <w:rPr>
          <w:rFonts w:ascii="Raleway ExtraBold"/>
          <w:b/>
          <w:color w:val="37617A"/>
          <w:sz w:val="28"/>
        </w:rPr>
        <w:t>When should a person be able to be excused?</w:t>
      </w:r>
    </w:p>
    <w:p>
      <w:pPr>
        <w:pStyle w:val="ListParagraph"/>
        <w:numPr>
          <w:ilvl w:val="1"/>
          <w:numId w:val="12"/>
        </w:numPr>
        <w:tabs>
          <w:tab w:pos="1761" w:val="left" w:leader="none"/>
          <w:tab w:pos="1762" w:val="left" w:leader="none"/>
        </w:tabs>
        <w:spacing w:line="206" w:lineRule="auto" w:before="146" w:after="0"/>
        <w:ind w:left="1761" w:right="1370" w:hanging="794"/>
        <w:jc w:val="left"/>
        <w:rPr>
          <w:sz w:val="20"/>
        </w:rPr>
      </w:pPr>
      <w:r>
        <w:rPr>
          <w:sz w:val="20"/>
        </w:rPr>
        <w:t>Sometimes a person </w:t>
      </w:r>
      <w:r>
        <w:rPr>
          <w:spacing w:val="-3"/>
          <w:sz w:val="20"/>
        </w:rPr>
        <w:t>from </w:t>
      </w:r>
      <w:r>
        <w:rPr>
          <w:sz w:val="20"/>
        </w:rPr>
        <w:t>the subject groups </w:t>
      </w:r>
      <w:r>
        <w:rPr>
          <w:spacing w:val="-3"/>
          <w:sz w:val="20"/>
        </w:rPr>
        <w:t>may </w:t>
      </w:r>
      <w:r>
        <w:rPr>
          <w:sz w:val="20"/>
        </w:rPr>
        <w:t>not feel comfortable serving on a </w:t>
      </w:r>
      <w:r>
        <w:rPr>
          <w:spacing w:val="-3"/>
          <w:sz w:val="20"/>
        </w:rPr>
        <w:t>jury,</w:t>
      </w:r>
      <w:r>
        <w:rPr>
          <w:spacing w:val="-12"/>
          <w:sz w:val="20"/>
        </w:rPr>
        <w:t> </w:t>
      </w:r>
      <w:r>
        <w:rPr>
          <w:spacing w:val="-3"/>
          <w:sz w:val="20"/>
        </w:rPr>
        <w:t>even</w:t>
      </w:r>
      <w:r>
        <w:rPr>
          <w:spacing w:val="-12"/>
          <w:sz w:val="20"/>
        </w:rPr>
        <w:t> </w:t>
      </w:r>
      <w:r>
        <w:rPr>
          <w:sz w:val="20"/>
        </w:rPr>
        <w:t>with</w:t>
      </w:r>
      <w:r>
        <w:rPr>
          <w:spacing w:val="-11"/>
          <w:sz w:val="20"/>
        </w:rPr>
        <w:t> </w:t>
      </w:r>
      <w:r>
        <w:rPr>
          <w:sz w:val="20"/>
        </w:rPr>
        <w:t>reasonable</w:t>
      </w:r>
      <w:r>
        <w:rPr>
          <w:spacing w:val="-12"/>
          <w:sz w:val="20"/>
        </w:rPr>
        <w:t> </w:t>
      </w:r>
      <w:r>
        <w:rPr>
          <w:sz w:val="20"/>
        </w:rPr>
        <w:t>adjustments.</w:t>
      </w:r>
      <w:r>
        <w:rPr>
          <w:spacing w:val="-11"/>
          <w:sz w:val="20"/>
        </w:rPr>
        <w:t> </w:t>
      </w:r>
      <w:r>
        <w:rPr>
          <w:sz w:val="20"/>
        </w:rPr>
        <w:t>This</w:t>
      </w:r>
      <w:r>
        <w:rPr>
          <w:spacing w:val="-12"/>
          <w:sz w:val="20"/>
        </w:rPr>
        <w:t> </w:t>
      </w:r>
      <w:r>
        <w:rPr>
          <w:sz w:val="20"/>
        </w:rPr>
        <w:t>chapter</w:t>
      </w:r>
      <w:r>
        <w:rPr>
          <w:spacing w:val="-11"/>
          <w:sz w:val="20"/>
        </w:rPr>
        <w:t> </w:t>
      </w:r>
      <w:r>
        <w:rPr>
          <w:sz w:val="20"/>
        </w:rPr>
        <w:t>considers</w:t>
      </w:r>
      <w:r>
        <w:rPr>
          <w:spacing w:val="-12"/>
          <w:sz w:val="20"/>
        </w:rPr>
        <w:t> </w:t>
      </w:r>
      <w:r>
        <w:rPr>
          <w:spacing w:val="-3"/>
          <w:sz w:val="20"/>
        </w:rPr>
        <w:t>how</w:t>
      </w:r>
      <w:r>
        <w:rPr>
          <w:spacing w:val="-12"/>
          <w:sz w:val="20"/>
        </w:rPr>
        <w:t> </w:t>
      </w:r>
      <w:r>
        <w:rPr>
          <w:sz w:val="20"/>
        </w:rPr>
        <w:t>and</w:t>
      </w:r>
      <w:r>
        <w:rPr>
          <w:spacing w:val="-11"/>
          <w:sz w:val="20"/>
        </w:rPr>
        <w:t> </w:t>
      </w:r>
      <w:r>
        <w:rPr>
          <w:sz w:val="20"/>
        </w:rPr>
        <w:t>when</w:t>
      </w:r>
      <w:r>
        <w:rPr>
          <w:spacing w:val="-12"/>
          <w:sz w:val="20"/>
        </w:rPr>
        <w:t> </w:t>
      </w:r>
      <w:r>
        <w:rPr>
          <w:sz w:val="20"/>
        </w:rPr>
        <w:t>people </w:t>
      </w:r>
      <w:r>
        <w:rPr>
          <w:spacing w:val="-3"/>
          <w:sz w:val="20"/>
        </w:rPr>
        <w:t>from</w:t>
      </w:r>
      <w:r>
        <w:rPr>
          <w:spacing w:val="-6"/>
          <w:sz w:val="20"/>
        </w:rPr>
        <w:t> </w:t>
      </w:r>
      <w:r>
        <w:rPr>
          <w:sz w:val="20"/>
        </w:rPr>
        <w:t>the</w:t>
      </w:r>
      <w:r>
        <w:rPr>
          <w:spacing w:val="-6"/>
          <w:sz w:val="20"/>
        </w:rPr>
        <w:t> </w:t>
      </w:r>
      <w:r>
        <w:rPr>
          <w:sz w:val="20"/>
        </w:rPr>
        <w:t>subject</w:t>
      </w:r>
      <w:r>
        <w:rPr>
          <w:spacing w:val="-6"/>
          <w:sz w:val="20"/>
        </w:rPr>
        <w:t> </w:t>
      </w:r>
      <w:r>
        <w:rPr>
          <w:sz w:val="20"/>
        </w:rPr>
        <w:t>groups</w:t>
      </w:r>
      <w:r>
        <w:rPr>
          <w:spacing w:val="-6"/>
          <w:sz w:val="20"/>
        </w:rPr>
        <w:t> </w:t>
      </w:r>
      <w:r>
        <w:rPr>
          <w:sz w:val="20"/>
        </w:rPr>
        <w:t>should</w:t>
      </w:r>
      <w:r>
        <w:rPr>
          <w:spacing w:val="-6"/>
          <w:sz w:val="20"/>
        </w:rPr>
        <w:t> </w:t>
      </w:r>
      <w:r>
        <w:rPr>
          <w:sz w:val="20"/>
        </w:rPr>
        <w:t>be</w:t>
      </w:r>
      <w:r>
        <w:rPr>
          <w:spacing w:val="-6"/>
          <w:sz w:val="20"/>
        </w:rPr>
        <w:t> </w:t>
      </w:r>
      <w:r>
        <w:rPr>
          <w:sz w:val="20"/>
        </w:rPr>
        <w:t>able</w:t>
      </w:r>
      <w:r>
        <w:rPr>
          <w:spacing w:val="-6"/>
          <w:sz w:val="20"/>
        </w:rPr>
        <w:t> </w:t>
      </w:r>
      <w:r>
        <w:rPr>
          <w:sz w:val="20"/>
        </w:rPr>
        <w:t>to</w:t>
      </w:r>
      <w:r>
        <w:rPr>
          <w:spacing w:val="-6"/>
          <w:sz w:val="20"/>
        </w:rPr>
        <w:t> </w:t>
      </w:r>
      <w:r>
        <w:rPr>
          <w:sz w:val="20"/>
        </w:rPr>
        <w:t>be</w:t>
      </w:r>
      <w:r>
        <w:rPr>
          <w:spacing w:val="-6"/>
          <w:sz w:val="20"/>
        </w:rPr>
        <w:t> </w:t>
      </w:r>
      <w:r>
        <w:rPr>
          <w:spacing w:val="-3"/>
          <w:sz w:val="20"/>
        </w:rPr>
        <w:t>excused</w:t>
      </w:r>
      <w:r>
        <w:rPr>
          <w:spacing w:val="-6"/>
          <w:sz w:val="20"/>
        </w:rPr>
        <w:t> </w:t>
      </w:r>
      <w:r>
        <w:rPr>
          <w:spacing w:val="-3"/>
          <w:sz w:val="20"/>
        </w:rPr>
        <w:t>from</w:t>
      </w:r>
      <w:r>
        <w:rPr>
          <w:spacing w:val="-6"/>
          <w:sz w:val="20"/>
        </w:rPr>
        <w:t> </w:t>
      </w:r>
      <w:r>
        <w:rPr>
          <w:sz w:val="20"/>
        </w:rPr>
        <w:t>serving</w:t>
      </w:r>
      <w:r>
        <w:rPr>
          <w:spacing w:val="-6"/>
          <w:sz w:val="20"/>
        </w:rPr>
        <w:t> </w:t>
      </w:r>
      <w:r>
        <w:rPr>
          <w:sz w:val="20"/>
        </w:rPr>
        <w:t>on</w:t>
      </w:r>
      <w:r>
        <w:rPr>
          <w:spacing w:val="-6"/>
          <w:sz w:val="20"/>
        </w:rPr>
        <w:t> </w:t>
      </w:r>
      <w:r>
        <w:rPr>
          <w:sz w:val="20"/>
        </w:rPr>
        <w:t>a</w:t>
      </w:r>
      <w:r>
        <w:rPr>
          <w:spacing w:val="-5"/>
          <w:sz w:val="20"/>
        </w:rPr>
        <w:t> </w:t>
      </w:r>
      <w:r>
        <w:rPr>
          <w:sz w:val="20"/>
        </w:rPr>
        <w:t>jury.</w:t>
      </w:r>
    </w:p>
    <w:p>
      <w:pPr>
        <w:pStyle w:val="ListParagraph"/>
        <w:numPr>
          <w:ilvl w:val="1"/>
          <w:numId w:val="12"/>
        </w:numPr>
        <w:tabs>
          <w:tab w:pos="1761" w:val="left" w:leader="none"/>
          <w:tab w:pos="1762" w:val="left" w:leader="none"/>
        </w:tabs>
        <w:spacing w:line="206" w:lineRule="auto" w:before="124" w:after="0"/>
        <w:ind w:left="1761" w:right="1693" w:hanging="794"/>
        <w:jc w:val="left"/>
        <w:rPr>
          <w:sz w:val="20"/>
        </w:rPr>
      </w:pPr>
      <w:r>
        <w:rPr>
          <w:sz w:val="20"/>
        </w:rPr>
        <w:t>Based</w:t>
      </w:r>
      <w:r>
        <w:rPr>
          <w:spacing w:val="-12"/>
          <w:sz w:val="20"/>
        </w:rPr>
        <w:t> </w:t>
      </w:r>
      <w:r>
        <w:rPr>
          <w:sz w:val="20"/>
        </w:rPr>
        <w:t>on</w:t>
      </w:r>
      <w:r>
        <w:rPr>
          <w:spacing w:val="-11"/>
          <w:sz w:val="20"/>
        </w:rPr>
        <w:t> </w:t>
      </w:r>
      <w:r>
        <w:rPr>
          <w:sz w:val="20"/>
        </w:rPr>
        <w:t>the</w:t>
      </w:r>
      <w:r>
        <w:rPr>
          <w:spacing w:val="-11"/>
          <w:sz w:val="20"/>
        </w:rPr>
        <w:t> </w:t>
      </w:r>
      <w:r>
        <w:rPr>
          <w:sz w:val="20"/>
        </w:rPr>
        <w:t>recommendations</w:t>
      </w:r>
      <w:r>
        <w:rPr>
          <w:spacing w:val="-11"/>
          <w:sz w:val="20"/>
        </w:rPr>
        <w:t> </w:t>
      </w:r>
      <w:r>
        <w:rPr>
          <w:sz w:val="20"/>
        </w:rPr>
        <w:t>in</w:t>
      </w:r>
      <w:r>
        <w:rPr>
          <w:spacing w:val="-11"/>
          <w:sz w:val="20"/>
        </w:rPr>
        <w:t> </w:t>
      </w:r>
      <w:r>
        <w:rPr>
          <w:sz w:val="20"/>
        </w:rPr>
        <w:t>this</w:t>
      </w:r>
      <w:r>
        <w:rPr>
          <w:spacing w:val="-11"/>
          <w:sz w:val="20"/>
        </w:rPr>
        <w:t> </w:t>
      </w:r>
      <w:r>
        <w:rPr>
          <w:sz w:val="20"/>
        </w:rPr>
        <w:t>report,</w:t>
      </w:r>
      <w:r>
        <w:rPr>
          <w:spacing w:val="-11"/>
          <w:sz w:val="20"/>
        </w:rPr>
        <w:t> </w:t>
      </w:r>
      <w:r>
        <w:rPr>
          <w:sz w:val="20"/>
        </w:rPr>
        <w:t>people</w:t>
      </w:r>
      <w:r>
        <w:rPr>
          <w:spacing w:val="-12"/>
          <w:sz w:val="20"/>
        </w:rPr>
        <w:t> </w:t>
      </w:r>
      <w:r>
        <w:rPr>
          <w:sz w:val="20"/>
        </w:rPr>
        <w:t>in</w:t>
      </w:r>
      <w:r>
        <w:rPr>
          <w:spacing w:val="-11"/>
          <w:sz w:val="20"/>
        </w:rPr>
        <w:t> </w:t>
      </w:r>
      <w:r>
        <w:rPr>
          <w:sz w:val="20"/>
        </w:rPr>
        <w:t>the</w:t>
      </w:r>
      <w:r>
        <w:rPr>
          <w:spacing w:val="-11"/>
          <w:sz w:val="20"/>
        </w:rPr>
        <w:t> </w:t>
      </w:r>
      <w:r>
        <w:rPr>
          <w:sz w:val="20"/>
        </w:rPr>
        <w:t>subject</w:t>
      </w:r>
      <w:r>
        <w:rPr>
          <w:spacing w:val="-11"/>
          <w:sz w:val="20"/>
        </w:rPr>
        <w:t> </w:t>
      </w:r>
      <w:r>
        <w:rPr>
          <w:sz w:val="20"/>
        </w:rPr>
        <w:t>groups</w:t>
      </w:r>
      <w:r>
        <w:rPr>
          <w:spacing w:val="-11"/>
          <w:sz w:val="20"/>
        </w:rPr>
        <w:t> </w:t>
      </w:r>
      <w:r>
        <w:rPr>
          <w:sz w:val="20"/>
        </w:rPr>
        <w:t>will</w:t>
      </w:r>
      <w:r>
        <w:rPr>
          <w:spacing w:val="-11"/>
          <w:sz w:val="20"/>
        </w:rPr>
        <w:t> </w:t>
      </w:r>
      <w:r>
        <w:rPr>
          <w:sz w:val="20"/>
        </w:rPr>
        <w:t>be </w:t>
      </w:r>
      <w:r>
        <w:rPr>
          <w:spacing w:val="-3"/>
          <w:sz w:val="20"/>
        </w:rPr>
        <w:t>excluded from </w:t>
      </w:r>
      <w:r>
        <w:rPr>
          <w:sz w:val="20"/>
        </w:rPr>
        <w:t>jury duty </w:t>
      </w:r>
      <w:r>
        <w:rPr>
          <w:spacing w:val="-3"/>
          <w:sz w:val="20"/>
        </w:rPr>
        <w:t>only</w:t>
      </w:r>
      <w:r>
        <w:rPr>
          <w:spacing w:val="-14"/>
          <w:sz w:val="20"/>
        </w:rPr>
        <w:t> </w:t>
      </w:r>
      <w:r>
        <w:rPr>
          <w:spacing w:val="-2"/>
          <w:sz w:val="20"/>
        </w:rPr>
        <w:t>if:</w:t>
      </w:r>
    </w:p>
    <w:p>
      <w:pPr>
        <w:pStyle w:val="ListParagraph"/>
        <w:numPr>
          <w:ilvl w:val="2"/>
          <w:numId w:val="12"/>
        </w:numPr>
        <w:tabs>
          <w:tab w:pos="2157" w:val="left" w:leader="none"/>
          <w:tab w:pos="2158" w:val="left" w:leader="none"/>
        </w:tabs>
        <w:spacing w:line="240" w:lineRule="auto" w:before="90" w:after="0"/>
        <w:ind w:left="2157" w:right="0" w:hanging="396"/>
        <w:jc w:val="left"/>
        <w:rPr>
          <w:sz w:val="20"/>
        </w:rPr>
      </w:pPr>
      <w:r>
        <w:rPr>
          <w:sz w:val="20"/>
        </w:rPr>
        <w:t>a</w:t>
      </w:r>
      <w:r>
        <w:rPr>
          <w:spacing w:val="-6"/>
          <w:sz w:val="20"/>
        </w:rPr>
        <w:t> </w:t>
      </w:r>
      <w:r>
        <w:rPr>
          <w:sz w:val="20"/>
        </w:rPr>
        <w:t>judge</w:t>
      </w:r>
      <w:r>
        <w:rPr>
          <w:spacing w:val="-5"/>
          <w:sz w:val="20"/>
        </w:rPr>
        <w:t> </w:t>
      </w:r>
      <w:r>
        <w:rPr>
          <w:sz w:val="20"/>
        </w:rPr>
        <w:t>decides</w:t>
      </w:r>
      <w:r>
        <w:rPr>
          <w:spacing w:val="-6"/>
          <w:sz w:val="20"/>
        </w:rPr>
        <w:t> </w:t>
      </w:r>
      <w:r>
        <w:rPr>
          <w:sz w:val="20"/>
        </w:rPr>
        <w:t>that</w:t>
      </w:r>
      <w:r>
        <w:rPr>
          <w:spacing w:val="-5"/>
          <w:sz w:val="20"/>
        </w:rPr>
        <w:t> </w:t>
      </w:r>
      <w:r>
        <w:rPr>
          <w:sz w:val="20"/>
        </w:rPr>
        <w:t>reasonable</w:t>
      </w:r>
      <w:r>
        <w:rPr>
          <w:spacing w:val="-6"/>
          <w:sz w:val="20"/>
        </w:rPr>
        <w:t> </w:t>
      </w:r>
      <w:r>
        <w:rPr>
          <w:sz w:val="20"/>
        </w:rPr>
        <w:t>adjustments</w:t>
      </w:r>
      <w:r>
        <w:rPr>
          <w:spacing w:val="-5"/>
          <w:sz w:val="20"/>
        </w:rPr>
        <w:t> </w:t>
      </w:r>
      <w:r>
        <w:rPr>
          <w:sz w:val="20"/>
        </w:rPr>
        <w:t>cannot</w:t>
      </w:r>
      <w:r>
        <w:rPr>
          <w:spacing w:val="-6"/>
          <w:sz w:val="20"/>
        </w:rPr>
        <w:t> </w:t>
      </w:r>
      <w:r>
        <w:rPr>
          <w:sz w:val="20"/>
        </w:rPr>
        <w:t>be</w:t>
      </w:r>
      <w:r>
        <w:rPr>
          <w:spacing w:val="-5"/>
          <w:sz w:val="20"/>
        </w:rPr>
        <w:t> </w:t>
      </w:r>
      <w:r>
        <w:rPr>
          <w:sz w:val="20"/>
        </w:rPr>
        <w:t>provided,</w:t>
      </w:r>
      <w:r>
        <w:rPr>
          <w:spacing w:val="-5"/>
          <w:sz w:val="20"/>
        </w:rPr>
        <w:t> </w:t>
      </w:r>
      <w:r>
        <w:rPr>
          <w:sz w:val="20"/>
        </w:rPr>
        <w:t>or</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where the person is</w:t>
      </w:r>
      <w:r>
        <w:rPr>
          <w:spacing w:val="-37"/>
          <w:sz w:val="20"/>
        </w:rPr>
        <w:t> </w:t>
      </w:r>
      <w:r>
        <w:rPr>
          <w:spacing w:val="-3"/>
          <w:sz w:val="20"/>
        </w:rPr>
        <w:t>excused, </w:t>
      </w:r>
      <w:r>
        <w:rPr>
          <w:sz w:val="20"/>
        </w:rPr>
        <w:t>or</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otherwise </w:t>
      </w:r>
      <w:r>
        <w:rPr>
          <w:spacing w:val="-3"/>
          <w:sz w:val="20"/>
        </w:rPr>
        <w:t>ordered by </w:t>
      </w:r>
      <w:r>
        <w:rPr>
          <w:sz w:val="20"/>
        </w:rPr>
        <w:t>the</w:t>
      </w:r>
      <w:r>
        <w:rPr>
          <w:spacing w:val="-19"/>
          <w:sz w:val="20"/>
        </w:rPr>
        <w:t> </w:t>
      </w:r>
      <w:r>
        <w:rPr>
          <w:sz w:val="20"/>
        </w:rPr>
        <w:t>court.</w:t>
      </w:r>
    </w:p>
    <w:p>
      <w:pPr>
        <w:pStyle w:val="BodyText"/>
      </w:pPr>
    </w:p>
    <w:p>
      <w:pPr>
        <w:pStyle w:val="BodyText"/>
      </w:pPr>
    </w:p>
    <w:p>
      <w:pPr>
        <w:pStyle w:val="BodyText"/>
      </w:pPr>
    </w:p>
    <w:p>
      <w:pPr>
        <w:pStyle w:val="BodyText"/>
      </w:pPr>
    </w:p>
    <w:p>
      <w:pPr>
        <w:pStyle w:val="BodyText"/>
        <w:spacing w:before="11"/>
        <w:rPr>
          <w:sz w:val="28"/>
        </w:rPr>
      </w:pPr>
      <w:r>
        <w:rPr/>
        <w:pict>
          <v:line style="position:absolute;mso-position-horizontal-relative:page;mso-position-vertical-relative:paragraph;z-index:9584;mso-wrap-distance-left:0;mso-wrap-distance-right:0" from="79.370102pt,22.464844pt" to="515.905102pt,22.464844pt" stroked="true" strokeweight="1pt" strokecolor="#b6bdc8">
            <v:stroke dashstyle="solid"/>
            <w10:wrap type="topAndBottom"/>
          </v:line>
        </w:pict>
      </w:r>
    </w:p>
    <w:p>
      <w:pPr>
        <w:tabs>
          <w:tab w:pos="967" w:val="left" w:leader="none"/>
          <w:tab w:pos="1760" w:val="left" w:leader="none"/>
        </w:tabs>
        <w:spacing w:line="297" w:lineRule="exact" w:before="0"/>
        <w:ind w:left="100" w:right="0" w:firstLine="0"/>
        <w:jc w:val="left"/>
        <w:rPr>
          <w:sz w:val="13"/>
        </w:rPr>
      </w:pPr>
      <w:r>
        <w:rPr>
          <w:b/>
          <w:color w:val="37617A"/>
          <w:sz w:val="24"/>
        </w:rPr>
        <w:t>180</w:t>
        <w:tab/>
      </w:r>
      <w:r>
        <w:rPr>
          <w:sz w:val="13"/>
        </w:rPr>
        <w:t>1</w:t>
        <w:tab/>
        <w:t>Consultation 1 </w:t>
      </w:r>
      <w:r>
        <w:rPr>
          <w:spacing w:val="2"/>
          <w:sz w:val="13"/>
        </w:rPr>
        <w:t>(Blind </w:t>
      </w:r>
      <w:r>
        <w:rPr>
          <w:sz w:val="13"/>
        </w:rPr>
        <w:t>Citizens</w:t>
      </w:r>
      <w:r>
        <w:rPr>
          <w:spacing w:val="-2"/>
          <w:sz w:val="13"/>
        </w:rPr>
        <w:t> </w:t>
      </w:r>
      <w:r>
        <w:rPr>
          <w:sz w:val="13"/>
        </w:rPr>
        <w:t>Australia).</w:t>
      </w:r>
    </w:p>
    <w:p>
      <w:pPr>
        <w:spacing w:after="0" w:line="297" w:lineRule="exact"/>
        <w:jc w:val="left"/>
        <w:rPr>
          <w:sz w:val="13"/>
        </w:rPr>
        <w:sectPr>
          <w:pgSz w:w="11910" w:h="16840"/>
          <w:pgMar w:header="567" w:footer="0" w:top="860" w:bottom="280" w:left="620" w:right="380"/>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40" w:lineRule="auto" w:before="58" w:after="0"/>
        <w:ind w:left="1761" w:right="0" w:hanging="794"/>
        <w:jc w:val="left"/>
        <w:rPr>
          <w:sz w:val="20"/>
        </w:rPr>
      </w:pPr>
      <w:bookmarkStart w:name="Excuses from jury service in other juris" w:id="312"/>
      <w:bookmarkEnd w:id="312"/>
      <w:r>
        <w:rPr/>
      </w:r>
      <w:bookmarkStart w:name="_bookmark131" w:id="313"/>
      <w:bookmarkEnd w:id="313"/>
      <w:r>
        <w:rPr/>
      </w:r>
      <w:bookmarkStart w:name="_bookmark131" w:id="314"/>
      <w:bookmarkEnd w:id="314"/>
      <w:r>
        <w:rPr>
          <w:sz w:val="20"/>
        </w:rPr>
        <w:t>W</w:t>
      </w:r>
      <w:r>
        <w:rPr>
          <w:sz w:val="20"/>
        </w:rPr>
        <w:t>ith </w:t>
      </w:r>
      <w:r>
        <w:rPr>
          <w:spacing w:val="-3"/>
          <w:sz w:val="20"/>
        </w:rPr>
        <w:t>regard </w:t>
      </w:r>
      <w:r>
        <w:rPr>
          <w:sz w:val="20"/>
        </w:rPr>
        <w:t>to being </w:t>
      </w:r>
      <w:r>
        <w:rPr>
          <w:spacing w:val="-3"/>
          <w:sz w:val="20"/>
        </w:rPr>
        <w:t>excused, </w:t>
      </w:r>
      <w:r>
        <w:rPr>
          <w:sz w:val="20"/>
        </w:rPr>
        <w:t>two approaches could be</w:t>
      </w:r>
      <w:r>
        <w:rPr>
          <w:spacing w:val="-37"/>
          <w:sz w:val="20"/>
        </w:rPr>
        <w:t> </w:t>
      </w:r>
      <w:r>
        <w:rPr>
          <w:sz w:val="20"/>
        </w:rPr>
        <w:t>taken:</w:t>
      </w:r>
    </w:p>
    <w:p>
      <w:pPr>
        <w:pStyle w:val="ListParagraph"/>
        <w:numPr>
          <w:ilvl w:val="0"/>
          <w:numId w:val="107"/>
        </w:numPr>
        <w:tabs>
          <w:tab w:pos="2157" w:val="left" w:leader="none"/>
          <w:tab w:pos="2158" w:val="left" w:leader="none"/>
        </w:tabs>
        <w:spacing w:line="259" w:lineRule="exact" w:before="82" w:after="0"/>
        <w:ind w:left="2157" w:right="0" w:hanging="396"/>
        <w:jc w:val="left"/>
        <w:rPr>
          <w:sz w:val="20"/>
        </w:rPr>
      </w:pPr>
      <w:r>
        <w:rPr>
          <w:sz w:val="20"/>
        </w:rPr>
        <w:t>provide</w:t>
      </w:r>
      <w:r>
        <w:rPr>
          <w:spacing w:val="-4"/>
          <w:sz w:val="20"/>
        </w:rPr>
        <w:t> </w:t>
      </w:r>
      <w:r>
        <w:rPr>
          <w:sz w:val="20"/>
        </w:rPr>
        <w:t>a</w:t>
      </w:r>
      <w:r>
        <w:rPr>
          <w:spacing w:val="-4"/>
          <w:sz w:val="20"/>
        </w:rPr>
        <w:t> </w:t>
      </w:r>
      <w:r>
        <w:rPr>
          <w:sz w:val="20"/>
        </w:rPr>
        <w:t>specific</w:t>
      </w:r>
      <w:r>
        <w:rPr>
          <w:spacing w:val="-3"/>
          <w:sz w:val="20"/>
        </w:rPr>
        <w:t> </w:t>
      </w:r>
      <w:r>
        <w:rPr>
          <w:sz w:val="20"/>
        </w:rPr>
        <w:t>exemption</w:t>
      </w:r>
      <w:r>
        <w:rPr>
          <w:spacing w:val="-4"/>
          <w:sz w:val="20"/>
        </w:rPr>
        <w:t> </w:t>
      </w:r>
      <w:r>
        <w:rPr>
          <w:sz w:val="20"/>
        </w:rPr>
        <w:t>in</w:t>
      </w:r>
      <w:r>
        <w:rPr>
          <w:spacing w:val="-4"/>
          <w:sz w:val="20"/>
        </w:rPr>
        <w:t> </w:t>
      </w:r>
      <w:r>
        <w:rPr>
          <w:sz w:val="20"/>
        </w:rPr>
        <w:t>the</w:t>
      </w:r>
      <w:r>
        <w:rPr>
          <w:spacing w:val="-3"/>
          <w:sz w:val="20"/>
        </w:rPr>
        <w:t> </w:t>
      </w:r>
      <w:r>
        <w:rPr>
          <w:sz w:val="20"/>
        </w:rPr>
        <w:t>Act</w:t>
      </w:r>
      <w:r>
        <w:rPr>
          <w:spacing w:val="-4"/>
          <w:sz w:val="20"/>
        </w:rPr>
        <w:t> </w:t>
      </w:r>
      <w:r>
        <w:rPr>
          <w:sz w:val="20"/>
        </w:rPr>
        <w:t>‘as</w:t>
      </w:r>
      <w:r>
        <w:rPr>
          <w:spacing w:val="-4"/>
          <w:sz w:val="20"/>
        </w:rPr>
        <w:t> </w:t>
      </w:r>
      <w:r>
        <w:rPr>
          <w:sz w:val="20"/>
        </w:rPr>
        <w:t>of</w:t>
      </w:r>
      <w:r>
        <w:rPr>
          <w:spacing w:val="-3"/>
          <w:sz w:val="20"/>
        </w:rPr>
        <w:t> </w:t>
      </w:r>
      <w:r>
        <w:rPr>
          <w:sz w:val="20"/>
        </w:rPr>
        <w:t>right’,</w:t>
      </w:r>
      <w:r>
        <w:rPr>
          <w:spacing w:val="-4"/>
          <w:sz w:val="20"/>
        </w:rPr>
        <w:t> </w:t>
      </w:r>
      <w:r>
        <w:rPr>
          <w:sz w:val="20"/>
        </w:rPr>
        <w:t>which</w:t>
      </w:r>
      <w:r>
        <w:rPr>
          <w:spacing w:val="-4"/>
          <w:sz w:val="20"/>
        </w:rPr>
        <w:t> </w:t>
      </w:r>
      <w:r>
        <w:rPr>
          <w:sz w:val="20"/>
        </w:rPr>
        <w:t>would</w:t>
      </w:r>
      <w:r>
        <w:rPr>
          <w:spacing w:val="-3"/>
          <w:sz w:val="20"/>
        </w:rPr>
        <w:t> </w:t>
      </w:r>
      <w:r>
        <w:rPr>
          <w:sz w:val="20"/>
        </w:rPr>
        <w:t>mean</w:t>
      </w:r>
      <w:r>
        <w:rPr>
          <w:spacing w:val="-4"/>
          <w:sz w:val="20"/>
        </w:rPr>
        <w:t> </w:t>
      </w:r>
      <w:r>
        <w:rPr>
          <w:sz w:val="20"/>
        </w:rPr>
        <w:t>that</w:t>
      </w:r>
      <w:r>
        <w:rPr>
          <w:spacing w:val="-4"/>
          <w:sz w:val="20"/>
        </w:rPr>
        <w:t> </w:t>
      </w:r>
      <w:r>
        <w:rPr>
          <w:sz w:val="20"/>
        </w:rPr>
        <w:t>a</w:t>
      </w:r>
    </w:p>
    <w:p>
      <w:pPr>
        <w:spacing w:line="259" w:lineRule="exact" w:before="0"/>
        <w:ind w:left="2157" w:right="0" w:firstLine="0"/>
        <w:jc w:val="left"/>
        <w:rPr>
          <w:sz w:val="20"/>
        </w:rPr>
      </w:pPr>
      <w:r>
        <w:rPr>
          <w:sz w:val="20"/>
        </w:rPr>
        <w:t>person could be excused simply </w:t>
      </w:r>
      <w:r>
        <w:rPr>
          <w:i/>
          <w:sz w:val="20"/>
        </w:rPr>
        <w:t>because they have a disability, </w:t>
      </w:r>
      <w:r>
        <w:rPr>
          <w:sz w:val="20"/>
        </w:rPr>
        <w:t>or</w:t>
      </w:r>
    </w:p>
    <w:p>
      <w:pPr>
        <w:pStyle w:val="ListParagraph"/>
        <w:numPr>
          <w:ilvl w:val="0"/>
          <w:numId w:val="107"/>
        </w:numPr>
        <w:tabs>
          <w:tab w:pos="2157" w:val="left" w:leader="none"/>
          <w:tab w:pos="2158" w:val="left" w:leader="none"/>
        </w:tabs>
        <w:spacing w:line="206" w:lineRule="auto" w:before="80" w:after="0"/>
        <w:ind w:left="2157" w:right="1373" w:hanging="396"/>
        <w:jc w:val="left"/>
        <w:rPr>
          <w:sz w:val="11"/>
        </w:rPr>
      </w:pPr>
      <w:r>
        <w:rPr>
          <w:sz w:val="20"/>
        </w:rPr>
        <w:t>allow</w:t>
      </w:r>
      <w:r>
        <w:rPr>
          <w:spacing w:val="-6"/>
          <w:sz w:val="20"/>
        </w:rPr>
        <w:t> </w:t>
      </w:r>
      <w:r>
        <w:rPr>
          <w:sz w:val="20"/>
        </w:rPr>
        <w:t>people</w:t>
      </w:r>
      <w:r>
        <w:rPr>
          <w:spacing w:val="-5"/>
          <w:sz w:val="20"/>
        </w:rPr>
        <w:t> </w:t>
      </w:r>
      <w:r>
        <w:rPr>
          <w:sz w:val="20"/>
        </w:rPr>
        <w:t>from</w:t>
      </w:r>
      <w:r>
        <w:rPr>
          <w:spacing w:val="-5"/>
          <w:sz w:val="20"/>
        </w:rPr>
        <w:t> </w:t>
      </w:r>
      <w:r>
        <w:rPr>
          <w:sz w:val="20"/>
        </w:rPr>
        <w:t>the</w:t>
      </w:r>
      <w:r>
        <w:rPr>
          <w:spacing w:val="-6"/>
          <w:sz w:val="20"/>
        </w:rPr>
        <w:t> </w:t>
      </w:r>
      <w:r>
        <w:rPr>
          <w:sz w:val="20"/>
        </w:rPr>
        <w:t>subject</w:t>
      </w:r>
      <w:r>
        <w:rPr>
          <w:spacing w:val="-5"/>
          <w:sz w:val="20"/>
        </w:rPr>
        <w:t> </w:t>
      </w:r>
      <w:r>
        <w:rPr>
          <w:sz w:val="20"/>
        </w:rPr>
        <w:t>groups</w:t>
      </w:r>
      <w:r>
        <w:rPr>
          <w:spacing w:val="-5"/>
          <w:sz w:val="20"/>
        </w:rPr>
        <w:t> </w:t>
      </w:r>
      <w:r>
        <w:rPr>
          <w:sz w:val="20"/>
        </w:rPr>
        <w:t>to</w:t>
      </w:r>
      <w:r>
        <w:rPr>
          <w:spacing w:val="-5"/>
          <w:sz w:val="20"/>
        </w:rPr>
        <w:t> </w:t>
      </w:r>
      <w:r>
        <w:rPr>
          <w:sz w:val="20"/>
        </w:rPr>
        <w:t>be</w:t>
      </w:r>
      <w:r>
        <w:rPr>
          <w:spacing w:val="-6"/>
          <w:sz w:val="20"/>
        </w:rPr>
        <w:t> </w:t>
      </w:r>
      <w:r>
        <w:rPr>
          <w:sz w:val="20"/>
        </w:rPr>
        <w:t>excused</w:t>
      </w:r>
      <w:r>
        <w:rPr>
          <w:spacing w:val="-5"/>
          <w:sz w:val="20"/>
        </w:rPr>
        <w:t> </w:t>
      </w:r>
      <w:r>
        <w:rPr>
          <w:sz w:val="20"/>
        </w:rPr>
        <w:t>in</w:t>
      </w:r>
      <w:r>
        <w:rPr>
          <w:spacing w:val="-5"/>
          <w:sz w:val="20"/>
        </w:rPr>
        <w:t> </w:t>
      </w:r>
      <w:r>
        <w:rPr>
          <w:sz w:val="20"/>
        </w:rPr>
        <w:t>the</w:t>
      </w:r>
      <w:r>
        <w:rPr>
          <w:spacing w:val="-5"/>
          <w:sz w:val="20"/>
        </w:rPr>
        <w:t> </w:t>
      </w:r>
      <w:r>
        <w:rPr>
          <w:sz w:val="20"/>
        </w:rPr>
        <w:t>same</w:t>
      </w:r>
      <w:r>
        <w:rPr>
          <w:spacing w:val="-6"/>
          <w:sz w:val="20"/>
        </w:rPr>
        <w:t> </w:t>
      </w:r>
      <w:r>
        <w:rPr>
          <w:spacing w:val="-3"/>
          <w:sz w:val="20"/>
        </w:rPr>
        <w:t>way</w:t>
      </w:r>
      <w:r>
        <w:rPr>
          <w:spacing w:val="-5"/>
          <w:sz w:val="20"/>
        </w:rPr>
        <w:t> </w:t>
      </w:r>
      <w:r>
        <w:rPr>
          <w:sz w:val="20"/>
        </w:rPr>
        <w:t>and</w:t>
      </w:r>
      <w:r>
        <w:rPr>
          <w:spacing w:val="-5"/>
          <w:sz w:val="20"/>
        </w:rPr>
        <w:t> </w:t>
      </w:r>
      <w:r>
        <w:rPr>
          <w:sz w:val="20"/>
        </w:rPr>
        <w:t>on</w:t>
      </w:r>
      <w:r>
        <w:rPr>
          <w:spacing w:val="-6"/>
          <w:sz w:val="20"/>
        </w:rPr>
        <w:t> </w:t>
      </w:r>
      <w:r>
        <w:rPr>
          <w:sz w:val="20"/>
        </w:rPr>
        <w:t>the same</w:t>
      </w:r>
      <w:r>
        <w:rPr>
          <w:spacing w:val="-5"/>
          <w:sz w:val="20"/>
        </w:rPr>
        <w:t> </w:t>
      </w:r>
      <w:r>
        <w:rPr>
          <w:sz w:val="20"/>
        </w:rPr>
        <w:t>grounds</w:t>
      </w:r>
      <w:r>
        <w:rPr>
          <w:spacing w:val="-4"/>
          <w:sz w:val="20"/>
        </w:rPr>
        <w:t> </w:t>
      </w:r>
      <w:r>
        <w:rPr>
          <w:sz w:val="20"/>
        </w:rPr>
        <w:t>as</w:t>
      </w:r>
      <w:r>
        <w:rPr>
          <w:spacing w:val="-5"/>
          <w:sz w:val="20"/>
        </w:rPr>
        <w:t> </w:t>
      </w:r>
      <w:r>
        <w:rPr>
          <w:sz w:val="20"/>
        </w:rPr>
        <w:t>every</w:t>
      </w:r>
      <w:r>
        <w:rPr>
          <w:spacing w:val="-4"/>
          <w:sz w:val="20"/>
        </w:rPr>
        <w:t> </w:t>
      </w:r>
      <w:r>
        <w:rPr>
          <w:sz w:val="20"/>
        </w:rPr>
        <w:t>other</w:t>
      </w:r>
      <w:r>
        <w:rPr>
          <w:spacing w:val="-5"/>
          <w:sz w:val="20"/>
        </w:rPr>
        <w:t> </w:t>
      </w:r>
      <w:r>
        <w:rPr>
          <w:spacing w:val="-3"/>
          <w:sz w:val="20"/>
        </w:rPr>
        <w:t>juror,</w:t>
      </w:r>
      <w:r>
        <w:rPr>
          <w:spacing w:val="-4"/>
          <w:sz w:val="20"/>
        </w:rPr>
        <w:t> </w:t>
      </w:r>
      <w:r>
        <w:rPr>
          <w:i/>
          <w:sz w:val="20"/>
        </w:rPr>
        <w:t>on</w:t>
      </w:r>
      <w:r>
        <w:rPr>
          <w:i/>
          <w:spacing w:val="-4"/>
          <w:sz w:val="20"/>
        </w:rPr>
        <w:t> </w:t>
      </w:r>
      <w:r>
        <w:rPr>
          <w:i/>
          <w:sz w:val="20"/>
        </w:rPr>
        <w:t>a</w:t>
      </w:r>
      <w:r>
        <w:rPr>
          <w:i/>
          <w:spacing w:val="-5"/>
          <w:sz w:val="20"/>
        </w:rPr>
        <w:t> </w:t>
      </w:r>
      <w:r>
        <w:rPr>
          <w:i/>
          <w:sz w:val="20"/>
        </w:rPr>
        <w:t>case-by-case</w:t>
      </w:r>
      <w:r>
        <w:rPr>
          <w:i/>
          <w:spacing w:val="-4"/>
          <w:sz w:val="20"/>
        </w:rPr>
        <w:t> </w:t>
      </w:r>
      <w:r>
        <w:rPr>
          <w:i/>
          <w:sz w:val="20"/>
        </w:rPr>
        <w:t>basis</w:t>
      </w:r>
      <w:r>
        <w:rPr>
          <w:i/>
          <w:spacing w:val="-4"/>
          <w:sz w:val="20"/>
        </w:rPr>
        <w:t> </w:t>
      </w:r>
      <w:r>
        <w:rPr>
          <w:i/>
          <w:sz w:val="20"/>
        </w:rPr>
        <w:t>for</w:t>
      </w:r>
      <w:r>
        <w:rPr>
          <w:i/>
          <w:spacing w:val="-5"/>
          <w:sz w:val="20"/>
        </w:rPr>
        <w:t> </w:t>
      </w:r>
      <w:r>
        <w:rPr>
          <w:i/>
          <w:sz w:val="20"/>
        </w:rPr>
        <w:t>‘good</w:t>
      </w:r>
      <w:r>
        <w:rPr>
          <w:i/>
          <w:spacing w:val="-4"/>
          <w:sz w:val="20"/>
        </w:rPr>
        <w:t> </w:t>
      </w:r>
      <w:r>
        <w:rPr>
          <w:i/>
          <w:sz w:val="20"/>
        </w:rPr>
        <w:t>reason’</w:t>
      </w:r>
      <w:r>
        <w:rPr>
          <w:sz w:val="20"/>
        </w:rPr>
        <w:t>.</w:t>
      </w:r>
      <w:r>
        <w:rPr>
          <w:position w:val="7"/>
          <w:sz w:val="11"/>
        </w:rPr>
        <w:t>2</w:t>
      </w:r>
    </w:p>
    <w:p>
      <w:pPr>
        <w:spacing w:before="126"/>
        <w:ind w:left="967" w:right="0" w:firstLine="0"/>
        <w:jc w:val="left"/>
        <w:rPr>
          <w:b/>
          <w:sz w:val="24"/>
        </w:rPr>
      </w:pPr>
      <w:r>
        <w:rPr>
          <w:b/>
          <w:sz w:val="24"/>
        </w:rPr>
        <w:t>When can a person currently seek to be excused?</w:t>
      </w:r>
    </w:p>
    <w:p>
      <w:pPr>
        <w:pStyle w:val="ListParagraph"/>
        <w:numPr>
          <w:ilvl w:val="1"/>
          <w:numId w:val="12"/>
        </w:numPr>
        <w:tabs>
          <w:tab w:pos="1761" w:val="left" w:leader="none"/>
          <w:tab w:pos="1762" w:val="left" w:leader="none"/>
        </w:tabs>
        <w:spacing w:line="206" w:lineRule="auto" w:before="127" w:after="0"/>
        <w:ind w:left="1761" w:right="1472" w:hanging="794"/>
        <w:jc w:val="left"/>
        <w:rPr>
          <w:sz w:val="20"/>
        </w:rPr>
      </w:pPr>
      <w:r>
        <w:rPr>
          <w:sz w:val="20"/>
        </w:rPr>
        <w:t>The </w:t>
      </w:r>
      <w:r>
        <w:rPr>
          <w:spacing w:val="-2"/>
          <w:sz w:val="20"/>
        </w:rPr>
        <w:t>Act </w:t>
      </w:r>
      <w:r>
        <w:rPr>
          <w:spacing w:val="-3"/>
          <w:sz w:val="20"/>
        </w:rPr>
        <w:t>provides </w:t>
      </w:r>
      <w:r>
        <w:rPr>
          <w:sz w:val="20"/>
        </w:rPr>
        <w:t>various reasons for </w:t>
      </w:r>
      <w:r>
        <w:rPr>
          <w:spacing w:val="-3"/>
          <w:sz w:val="20"/>
        </w:rPr>
        <w:t>excuse from </w:t>
      </w:r>
      <w:r>
        <w:rPr>
          <w:sz w:val="20"/>
        </w:rPr>
        <w:t>jury service. Some of these </w:t>
      </w:r>
      <w:r>
        <w:rPr>
          <w:spacing w:val="-3"/>
          <w:sz w:val="20"/>
        </w:rPr>
        <w:t>require</w:t>
      </w:r>
      <w:r>
        <w:rPr>
          <w:spacing w:val="-9"/>
          <w:sz w:val="20"/>
        </w:rPr>
        <w:t> </w:t>
      </w:r>
      <w:r>
        <w:rPr>
          <w:sz w:val="20"/>
        </w:rPr>
        <w:t>the</w:t>
      </w:r>
      <w:r>
        <w:rPr>
          <w:spacing w:val="-8"/>
          <w:sz w:val="20"/>
        </w:rPr>
        <w:t> </w:t>
      </w:r>
      <w:r>
        <w:rPr>
          <w:sz w:val="20"/>
        </w:rPr>
        <w:t>potential</w:t>
      </w:r>
      <w:r>
        <w:rPr>
          <w:spacing w:val="-8"/>
          <w:sz w:val="20"/>
        </w:rPr>
        <w:t> </w:t>
      </w:r>
      <w:r>
        <w:rPr>
          <w:sz w:val="20"/>
        </w:rPr>
        <w:t>juror</w:t>
      </w:r>
      <w:r>
        <w:rPr>
          <w:spacing w:val="-9"/>
          <w:sz w:val="20"/>
        </w:rPr>
        <w:t> </w:t>
      </w:r>
      <w:r>
        <w:rPr>
          <w:spacing w:val="-3"/>
          <w:sz w:val="20"/>
        </w:rPr>
        <w:t>themselves</w:t>
      </w:r>
      <w:r>
        <w:rPr>
          <w:spacing w:val="-8"/>
          <w:sz w:val="20"/>
        </w:rPr>
        <w:t> </w:t>
      </w:r>
      <w:r>
        <w:rPr>
          <w:sz w:val="20"/>
        </w:rPr>
        <w:t>to</w:t>
      </w:r>
      <w:r>
        <w:rPr>
          <w:spacing w:val="-8"/>
          <w:sz w:val="20"/>
        </w:rPr>
        <w:t> </w:t>
      </w:r>
      <w:r>
        <w:rPr>
          <w:sz w:val="20"/>
        </w:rPr>
        <w:t>seek</w:t>
      </w:r>
      <w:r>
        <w:rPr>
          <w:spacing w:val="-9"/>
          <w:sz w:val="20"/>
        </w:rPr>
        <w:t> </w:t>
      </w:r>
      <w:r>
        <w:rPr>
          <w:sz w:val="20"/>
        </w:rPr>
        <w:t>to</w:t>
      </w:r>
      <w:r>
        <w:rPr>
          <w:spacing w:val="-8"/>
          <w:sz w:val="20"/>
        </w:rPr>
        <w:t> </w:t>
      </w:r>
      <w:r>
        <w:rPr>
          <w:sz w:val="20"/>
        </w:rPr>
        <w:t>be</w:t>
      </w:r>
      <w:r>
        <w:rPr>
          <w:spacing w:val="-8"/>
          <w:sz w:val="20"/>
        </w:rPr>
        <w:t> </w:t>
      </w:r>
      <w:r>
        <w:rPr>
          <w:spacing w:val="-3"/>
          <w:sz w:val="20"/>
        </w:rPr>
        <w:t>excused;</w:t>
      </w:r>
      <w:r>
        <w:rPr>
          <w:spacing w:val="-9"/>
          <w:sz w:val="20"/>
        </w:rPr>
        <w:t> </w:t>
      </w:r>
      <w:r>
        <w:rPr>
          <w:sz w:val="20"/>
        </w:rPr>
        <w:t>others</w:t>
      </w:r>
      <w:r>
        <w:rPr>
          <w:spacing w:val="-8"/>
          <w:sz w:val="20"/>
        </w:rPr>
        <w:t> </w:t>
      </w:r>
      <w:r>
        <w:rPr>
          <w:spacing w:val="-3"/>
          <w:sz w:val="20"/>
        </w:rPr>
        <w:t>are</w:t>
      </w:r>
      <w:r>
        <w:rPr>
          <w:spacing w:val="-8"/>
          <w:sz w:val="20"/>
        </w:rPr>
        <w:t> </w:t>
      </w:r>
      <w:r>
        <w:rPr>
          <w:sz w:val="20"/>
        </w:rPr>
        <w:t>instigated</w:t>
      </w:r>
      <w:r>
        <w:rPr>
          <w:spacing w:val="-9"/>
          <w:sz w:val="20"/>
        </w:rPr>
        <w:t> </w:t>
      </w:r>
      <w:r>
        <w:rPr>
          <w:spacing w:val="-3"/>
          <w:sz w:val="20"/>
        </w:rPr>
        <w:t>by </w:t>
      </w:r>
      <w:r>
        <w:rPr>
          <w:sz w:val="20"/>
        </w:rPr>
        <w:t>application </w:t>
      </w:r>
      <w:r>
        <w:rPr>
          <w:spacing w:val="-3"/>
          <w:sz w:val="20"/>
        </w:rPr>
        <w:t>by </w:t>
      </w:r>
      <w:r>
        <w:rPr>
          <w:sz w:val="20"/>
        </w:rPr>
        <w:t>the Juries Commissioner or </w:t>
      </w:r>
      <w:r>
        <w:rPr>
          <w:spacing w:val="-3"/>
          <w:sz w:val="20"/>
        </w:rPr>
        <w:t>ordered by </w:t>
      </w:r>
      <w:r>
        <w:rPr>
          <w:sz w:val="20"/>
        </w:rPr>
        <w:t>the</w:t>
      </w:r>
      <w:r>
        <w:rPr>
          <w:spacing w:val="-35"/>
          <w:sz w:val="20"/>
        </w:rPr>
        <w:t> </w:t>
      </w:r>
      <w:r>
        <w:rPr>
          <w:sz w:val="20"/>
        </w:rPr>
        <w:t>court.</w:t>
      </w:r>
    </w:p>
    <w:p>
      <w:pPr>
        <w:pStyle w:val="ListParagraph"/>
        <w:numPr>
          <w:ilvl w:val="1"/>
          <w:numId w:val="12"/>
        </w:numPr>
        <w:tabs>
          <w:tab w:pos="1761" w:val="left" w:leader="none"/>
          <w:tab w:pos="1762" w:val="left" w:leader="none"/>
        </w:tabs>
        <w:spacing w:line="206" w:lineRule="auto" w:before="123" w:after="0"/>
        <w:ind w:left="1761" w:right="1235" w:hanging="794"/>
        <w:jc w:val="left"/>
        <w:rPr>
          <w:sz w:val="20"/>
        </w:rPr>
      </w:pPr>
      <w:r>
        <w:rPr>
          <w:sz w:val="20"/>
        </w:rPr>
        <w:t>Section 8(1) </w:t>
      </w:r>
      <w:r>
        <w:rPr>
          <w:spacing w:val="-3"/>
          <w:sz w:val="20"/>
        </w:rPr>
        <w:t>allows </w:t>
      </w:r>
      <w:r>
        <w:rPr>
          <w:sz w:val="20"/>
        </w:rPr>
        <w:t>a person to ask the Juries Commissioner to be </w:t>
      </w:r>
      <w:r>
        <w:rPr>
          <w:spacing w:val="-3"/>
          <w:sz w:val="20"/>
        </w:rPr>
        <w:t>excused </w:t>
      </w:r>
      <w:r>
        <w:rPr>
          <w:sz w:val="20"/>
        </w:rPr>
        <w:t>at </w:t>
      </w:r>
      <w:r>
        <w:rPr>
          <w:spacing w:val="-3"/>
          <w:sz w:val="20"/>
        </w:rPr>
        <w:t>any </w:t>
      </w:r>
      <w:r>
        <w:rPr>
          <w:sz w:val="20"/>
        </w:rPr>
        <w:t>time </w:t>
      </w:r>
      <w:r>
        <w:rPr>
          <w:spacing w:val="-3"/>
          <w:sz w:val="20"/>
        </w:rPr>
        <w:t>before</w:t>
      </w:r>
      <w:r>
        <w:rPr>
          <w:spacing w:val="-7"/>
          <w:sz w:val="20"/>
        </w:rPr>
        <w:t> </w:t>
      </w:r>
      <w:r>
        <w:rPr>
          <w:sz w:val="20"/>
        </w:rPr>
        <w:t>becoming</w:t>
      </w:r>
      <w:r>
        <w:rPr>
          <w:spacing w:val="-7"/>
          <w:sz w:val="20"/>
        </w:rPr>
        <w:t> </w:t>
      </w:r>
      <w:r>
        <w:rPr>
          <w:sz w:val="20"/>
        </w:rPr>
        <w:t>a</w:t>
      </w:r>
      <w:r>
        <w:rPr>
          <w:spacing w:val="-7"/>
          <w:sz w:val="20"/>
        </w:rPr>
        <w:t> </w:t>
      </w:r>
      <w:r>
        <w:rPr>
          <w:sz w:val="20"/>
        </w:rPr>
        <w:t>member</w:t>
      </w:r>
      <w:r>
        <w:rPr>
          <w:spacing w:val="-7"/>
          <w:sz w:val="20"/>
        </w:rPr>
        <w:t> </w:t>
      </w:r>
      <w:r>
        <w:rPr>
          <w:sz w:val="20"/>
        </w:rPr>
        <w:t>of</w:t>
      </w:r>
      <w:r>
        <w:rPr>
          <w:spacing w:val="-7"/>
          <w:sz w:val="20"/>
        </w:rPr>
        <w:t> </w:t>
      </w:r>
      <w:r>
        <w:rPr>
          <w:sz w:val="20"/>
        </w:rPr>
        <w:t>a</w:t>
      </w:r>
      <w:r>
        <w:rPr>
          <w:spacing w:val="-7"/>
          <w:sz w:val="20"/>
        </w:rPr>
        <w:t> </w:t>
      </w:r>
      <w:r>
        <w:rPr>
          <w:sz w:val="20"/>
        </w:rPr>
        <w:t>panel.</w:t>
      </w:r>
      <w:r>
        <w:rPr>
          <w:spacing w:val="-7"/>
          <w:sz w:val="20"/>
        </w:rPr>
        <w:t> </w:t>
      </w:r>
      <w:r>
        <w:rPr>
          <w:sz w:val="20"/>
        </w:rPr>
        <w:t>The</w:t>
      </w:r>
      <w:r>
        <w:rPr>
          <w:spacing w:val="-7"/>
          <w:sz w:val="20"/>
        </w:rPr>
        <w:t> </w:t>
      </w:r>
      <w:r>
        <w:rPr>
          <w:sz w:val="20"/>
        </w:rPr>
        <w:t>Juries</w:t>
      </w:r>
      <w:r>
        <w:rPr>
          <w:spacing w:val="-7"/>
          <w:sz w:val="20"/>
        </w:rPr>
        <w:t> </w:t>
      </w:r>
      <w:r>
        <w:rPr>
          <w:sz w:val="20"/>
        </w:rPr>
        <w:t>Commissioner</w:t>
      </w:r>
      <w:r>
        <w:rPr>
          <w:spacing w:val="-7"/>
          <w:sz w:val="20"/>
        </w:rPr>
        <w:t> </w:t>
      </w:r>
      <w:r>
        <w:rPr>
          <w:spacing w:val="-3"/>
          <w:sz w:val="20"/>
        </w:rPr>
        <w:t>may</w:t>
      </w:r>
      <w:r>
        <w:rPr>
          <w:spacing w:val="-6"/>
          <w:sz w:val="20"/>
        </w:rPr>
        <w:t> </w:t>
      </w:r>
      <w:r>
        <w:rPr>
          <w:spacing w:val="-3"/>
          <w:sz w:val="20"/>
        </w:rPr>
        <w:t>excuse</w:t>
      </w:r>
      <w:r>
        <w:rPr>
          <w:spacing w:val="-7"/>
          <w:sz w:val="20"/>
        </w:rPr>
        <w:t> </w:t>
      </w:r>
      <w:r>
        <w:rPr>
          <w:sz w:val="20"/>
        </w:rPr>
        <w:t>a</w:t>
      </w:r>
      <w:r>
        <w:rPr>
          <w:spacing w:val="-7"/>
          <w:sz w:val="20"/>
        </w:rPr>
        <w:t> </w:t>
      </w:r>
      <w:r>
        <w:rPr>
          <w:sz w:val="20"/>
        </w:rPr>
        <w:t>person if ‘satisfied that there is good reason for doing </w:t>
      </w:r>
      <w:r>
        <w:rPr>
          <w:spacing w:val="-5"/>
          <w:sz w:val="20"/>
        </w:rPr>
        <w:t>so’.</w:t>
      </w:r>
      <w:r>
        <w:rPr>
          <w:spacing w:val="-5"/>
          <w:position w:val="7"/>
          <w:sz w:val="11"/>
        </w:rPr>
        <w:t>3 </w:t>
      </w:r>
      <w:r>
        <w:rPr>
          <w:sz w:val="20"/>
        </w:rPr>
        <w:t>Examples of ‘good </w:t>
      </w:r>
      <w:r>
        <w:rPr>
          <w:spacing w:val="-3"/>
          <w:sz w:val="20"/>
        </w:rPr>
        <w:t>reason’ provided </w:t>
      </w:r>
      <w:r>
        <w:rPr>
          <w:sz w:val="20"/>
        </w:rPr>
        <w:t>in the Act,</w:t>
      </w:r>
      <w:r>
        <w:rPr>
          <w:spacing w:val="-13"/>
          <w:sz w:val="20"/>
        </w:rPr>
        <w:t> </w:t>
      </w:r>
      <w:r>
        <w:rPr>
          <w:sz w:val="20"/>
        </w:rPr>
        <w:t>include:</w:t>
      </w:r>
    </w:p>
    <w:p>
      <w:pPr>
        <w:pStyle w:val="ListParagraph"/>
        <w:numPr>
          <w:ilvl w:val="2"/>
          <w:numId w:val="12"/>
        </w:numPr>
        <w:tabs>
          <w:tab w:pos="2157" w:val="left" w:leader="none"/>
          <w:tab w:pos="2158" w:val="left" w:leader="none"/>
        </w:tabs>
        <w:spacing w:line="240" w:lineRule="auto" w:before="93" w:after="0"/>
        <w:ind w:left="2157" w:right="0" w:hanging="396"/>
        <w:jc w:val="left"/>
        <w:rPr>
          <w:sz w:val="20"/>
        </w:rPr>
      </w:pPr>
      <w:r>
        <w:rPr>
          <w:sz w:val="20"/>
        </w:rPr>
        <w:t>illness or poor</w:t>
      </w:r>
      <w:r>
        <w:rPr>
          <w:spacing w:val="-13"/>
          <w:sz w:val="20"/>
        </w:rPr>
        <w:t> </w:t>
      </w:r>
      <w:r>
        <w:rPr>
          <w:sz w:val="20"/>
        </w:rPr>
        <w:t>health</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incapacity</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substantial hardship to the</w:t>
      </w:r>
      <w:r>
        <w:rPr>
          <w:spacing w:val="-18"/>
          <w:sz w:val="20"/>
        </w:rPr>
        <w:t> </w:t>
      </w:r>
      <w:r>
        <w:rPr>
          <w:sz w:val="20"/>
        </w:rPr>
        <w:t>person</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advanced</w:t>
      </w:r>
      <w:r>
        <w:rPr>
          <w:spacing w:val="-5"/>
          <w:sz w:val="20"/>
        </w:rPr>
        <w:t> </w:t>
      </w:r>
      <w:r>
        <w:rPr>
          <w:sz w:val="20"/>
        </w:rPr>
        <w:t>age</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pacing w:val="-3"/>
          <w:sz w:val="20"/>
        </w:rPr>
        <w:t>any </w:t>
      </w:r>
      <w:r>
        <w:rPr>
          <w:sz w:val="20"/>
        </w:rPr>
        <w:t>other matter of special urgency or</w:t>
      </w:r>
      <w:r>
        <w:rPr>
          <w:spacing w:val="-29"/>
          <w:sz w:val="20"/>
        </w:rPr>
        <w:t> </w:t>
      </w:r>
      <w:r>
        <w:rPr>
          <w:sz w:val="20"/>
        </w:rPr>
        <w:t>importance.</w:t>
      </w:r>
      <w:r>
        <w:rPr>
          <w:position w:val="7"/>
          <w:sz w:val="11"/>
        </w:rPr>
        <w:t>4</w:t>
      </w:r>
    </w:p>
    <w:p>
      <w:pPr>
        <w:pStyle w:val="ListParagraph"/>
        <w:numPr>
          <w:ilvl w:val="1"/>
          <w:numId w:val="12"/>
        </w:numPr>
        <w:tabs>
          <w:tab w:pos="1762" w:val="left" w:leader="none"/>
        </w:tabs>
        <w:spacing w:line="206" w:lineRule="auto" w:before="80" w:after="0"/>
        <w:ind w:left="1761" w:right="1224" w:hanging="794"/>
        <w:jc w:val="both"/>
        <w:rPr>
          <w:sz w:val="20"/>
        </w:rPr>
      </w:pPr>
      <w:r>
        <w:rPr>
          <w:sz w:val="20"/>
        </w:rPr>
        <w:t>A</w:t>
      </w:r>
      <w:r>
        <w:rPr>
          <w:spacing w:val="-8"/>
          <w:sz w:val="20"/>
        </w:rPr>
        <w:t> </w:t>
      </w:r>
      <w:r>
        <w:rPr>
          <w:sz w:val="20"/>
        </w:rPr>
        <w:t>person</w:t>
      </w:r>
      <w:r>
        <w:rPr>
          <w:spacing w:val="-7"/>
          <w:sz w:val="20"/>
        </w:rPr>
        <w:t> </w:t>
      </w:r>
      <w:r>
        <w:rPr>
          <w:spacing w:val="-3"/>
          <w:sz w:val="20"/>
        </w:rPr>
        <w:t>(or</w:t>
      </w:r>
      <w:r>
        <w:rPr>
          <w:spacing w:val="-7"/>
          <w:sz w:val="20"/>
        </w:rPr>
        <w:t> </w:t>
      </w:r>
      <w:r>
        <w:rPr>
          <w:sz w:val="20"/>
        </w:rPr>
        <w:t>someone</w:t>
      </w:r>
      <w:r>
        <w:rPr>
          <w:spacing w:val="-7"/>
          <w:sz w:val="20"/>
        </w:rPr>
        <w:t> </w:t>
      </w:r>
      <w:r>
        <w:rPr>
          <w:sz w:val="20"/>
        </w:rPr>
        <w:t>on</w:t>
      </w:r>
      <w:r>
        <w:rPr>
          <w:spacing w:val="-7"/>
          <w:sz w:val="20"/>
        </w:rPr>
        <w:t> </w:t>
      </w:r>
      <w:r>
        <w:rPr>
          <w:sz w:val="20"/>
        </w:rPr>
        <w:t>their</w:t>
      </w:r>
      <w:r>
        <w:rPr>
          <w:spacing w:val="-7"/>
          <w:sz w:val="20"/>
        </w:rPr>
        <w:t> </w:t>
      </w:r>
      <w:r>
        <w:rPr>
          <w:sz w:val="20"/>
        </w:rPr>
        <w:t>behalf)</w:t>
      </w:r>
      <w:r>
        <w:rPr>
          <w:spacing w:val="-7"/>
          <w:sz w:val="20"/>
        </w:rPr>
        <w:t> </w:t>
      </w:r>
      <w:r>
        <w:rPr>
          <w:spacing w:val="-3"/>
          <w:sz w:val="20"/>
        </w:rPr>
        <w:t>may</w:t>
      </w:r>
      <w:r>
        <w:rPr>
          <w:spacing w:val="-7"/>
          <w:sz w:val="20"/>
        </w:rPr>
        <w:t> </w:t>
      </w:r>
      <w:r>
        <w:rPr>
          <w:sz w:val="20"/>
        </w:rPr>
        <w:t>also</w:t>
      </w:r>
      <w:r>
        <w:rPr>
          <w:spacing w:val="-7"/>
          <w:sz w:val="20"/>
        </w:rPr>
        <w:t> </w:t>
      </w:r>
      <w:r>
        <w:rPr>
          <w:spacing w:val="-3"/>
          <w:sz w:val="20"/>
        </w:rPr>
        <w:t>apply</w:t>
      </w:r>
      <w:r>
        <w:rPr>
          <w:spacing w:val="-7"/>
          <w:sz w:val="20"/>
        </w:rPr>
        <w:t> </w:t>
      </w:r>
      <w:r>
        <w:rPr>
          <w:sz w:val="20"/>
        </w:rPr>
        <w:t>to</w:t>
      </w:r>
      <w:r>
        <w:rPr>
          <w:spacing w:val="-7"/>
          <w:sz w:val="20"/>
        </w:rPr>
        <w:t> </w:t>
      </w:r>
      <w:r>
        <w:rPr>
          <w:sz w:val="20"/>
        </w:rPr>
        <w:t>the</w:t>
      </w:r>
      <w:r>
        <w:rPr>
          <w:spacing w:val="-8"/>
          <w:sz w:val="20"/>
        </w:rPr>
        <w:t> </w:t>
      </w:r>
      <w:r>
        <w:rPr>
          <w:sz w:val="20"/>
        </w:rPr>
        <w:t>Juries</w:t>
      </w:r>
      <w:r>
        <w:rPr>
          <w:spacing w:val="-7"/>
          <w:sz w:val="20"/>
        </w:rPr>
        <w:t> </w:t>
      </w:r>
      <w:r>
        <w:rPr>
          <w:sz w:val="20"/>
        </w:rPr>
        <w:t>Commissioner</w:t>
      </w:r>
      <w:r>
        <w:rPr>
          <w:spacing w:val="-7"/>
          <w:sz w:val="20"/>
        </w:rPr>
        <w:t> </w:t>
      </w:r>
      <w:r>
        <w:rPr>
          <w:sz w:val="20"/>
        </w:rPr>
        <w:t>to</w:t>
      </w:r>
      <w:r>
        <w:rPr>
          <w:spacing w:val="-7"/>
          <w:sz w:val="20"/>
        </w:rPr>
        <w:t> </w:t>
      </w:r>
      <w:r>
        <w:rPr>
          <w:sz w:val="20"/>
        </w:rPr>
        <w:t>be </w:t>
      </w:r>
      <w:r>
        <w:rPr>
          <w:i/>
          <w:sz w:val="20"/>
        </w:rPr>
        <w:t>permanently </w:t>
      </w:r>
      <w:r>
        <w:rPr>
          <w:spacing w:val="-3"/>
          <w:sz w:val="20"/>
        </w:rPr>
        <w:t>excused from </w:t>
      </w:r>
      <w:r>
        <w:rPr>
          <w:sz w:val="20"/>
        </w:rPr>
        <w:t>jury service. The Juries Commissioner </w:t>
      </w:r>
      <w:r>
        <w:rPr>
          <w:spacing w:val="-3"/>
          <w:sz w:val="20"/>
        </w:rPr>
        <w:t>may </w:t>
      </w:r>
      <w:r>
        <w:rPr>
          <w:sz w:val="20"/>
        </w:rPr>
        <w:t>do so if satisfied that there is ‘good </w:t>
      </w:r>
      <w:r>
        <w:rPr>
          <w:spacing w:val="-3"/>
          <w:sz w:val="20"/>
        </w:rPr>
        <w:t>reason’ </w:t>
      </w:r>
      <w:r>
        <w:rPr>
          <w:sz w:val="20"/>
        </w:rPr>
        <w:t>which</w:t>
      </w:r>
      <w:r>
        <w:rPr>
          <w:spacing w:val="-24"/>
          <w:sz w:val="20"/>
        </w:rPr>
        <w:t> </w:t>
      </w:r>
      <w:r>
        <w:rPr>
          <w:sz w:val="20"/>
        </w:rPr>
        <w:t>includes:</w:t>
      </w:r>
    </w:p>
    <w:p>
      <w:pPr>
        <w:pStyle w:val="ListParagraph"/>
        <w:numPr>
          <w:ilvl w:val="2"/>
          <w:numId w:val="12"/>
        </w:numPr>
        <w:tabs>
          <w:tab w:pos="2157" w:val="left" w:leader="none"/>
          <w:tab w:pos="2158" w:val="left" w:leader="none"/>
        </w:tabs>
        <w:spacing w:line="240" w:lineRule="auto" w:before="91" w:after="0"/>
        <w:ind w:left="2157" w:right="0" w:hanging="396"/>
        <w:jc w:val="left"/>
        <w:rPr>
          <w:sz w:val="20"/>
        </w:rPr>
      </w:pPr>
      <w:r>
        <w:rPr>
          <w:sz w:val="20"/>
        </w:rPr>
        <w:t>continuing poor</w:t>
      </w:r>
      <w:r>
        <w:rPr>
          <w:spacing w:val="-9"/>
          <w:sz w:val="20"/>
        </w:rPr>
        <w:t> </w:t>
      </w:r>
      <w:r>
        <w:rPr>
          <w:sz w:val="20"/>
        </w:rPr>
        <w:t>health</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disability</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advanced</w:t>
      </w:r>
      <w:r>
        <w:rPr>
          <w:spacing w:val="-5"/>
          <w:sz w:val="20"/>
        </w:rPr>
        <w:t> </w:t>
      </w:r>
      <w:r>
        <w:rPr>
          <w:sz w:val="20"/>
        </w:rPr>
        <w:t>age.</w:t>
      </w:r>
      <w:r>
        <w:rPr>
          <w:position w:val="7"/>
          <w:sz w:val="11"/>
        </w:rPr>
        <w:t>5</w:t>
      </w:r>
    </w:p>
    <w:p>
      <w:pPr>
        <w:pStyle w:val="ListParagraph"/>
        <w:numPr>
          <w:ilvl w:val="1"/>
          <w:numId w:val="12"/>
        </w:numPr>
        <w:tabs>
          <w:tab w:pos="1761" w:val="left" w:leader="none"/>
          <w:tab w:pos="1762" w:val="left" w:leader="none"/>
        </w:tabs>
        <w:spacing w:line="206" w:lineRule="auto" w:before="80" w:after="0"/>
        <w:ind w:left="1761" w:right="1609" w:hanging="794"/>
        <w:jc w:val="left"/>
        <w:rPr>
          <w:sz w:val="11"/>
        </w:rPr>
      </w:pPr>
      <w:r>
        <w:rPr>
          <w:sz w:val="20"/>
        </w:rPr>
        <w:t>The</w:t>
      </w:r>
      <w:r>
        <w:rPr>
          <w:spacing w:val="-8"/>
          <w:sz w:val="20"/>
        </w:rPr>
        <w:t> </w:t>
      </w:r>
      <w:r>
        <w:rPr>
          <w:sz w:val="20"/>
        </w:rPr>
        <w:t>Juries</w:t>
      </w:r>
      <w:r>
        <w:rPr>
          <w:spacing w:val="-7"/>
          <w:sz w:val="20"/>
        </w:rPr>
        <w:t> </w:t>
      </w:r>
      <w:r>
        <w:rPr>
          <w:sz w:val="20"/>
        </w:rPr>
        <w:t>Commissioner</w:t>
      </w:r>
      <w:r>
        <w:rPr>
          <w:spacing w:val="-7"/>
          <w:sz w:val="20"/>
        </w:rPr>
        <w:t> </w:t>
      </w:r>
      <w:r>
        <w:rPr>
          <w:spacing w:val="-3"/>
          <w:sz w:val="20"/>
        </w:rPr>
        <w:t>may</w:t>
      </w:r>
      <w:r>
        <w:rPr>
          <w:spacing w:val="-7"/>
          <w:sz w:val="20"/>
        </w:rPr>
        <w:t> </w:t>
      </w:r>
      <w:r>
        <w:rPr>
          <w:sz w:val="20"/>
        </w:rPr>
        <w:t>also</w:t>
      </w:r>
      <w:r>
        <w:rPr>
          <w:spacing w:val="-7"/>
          <w:sz w:val="20"/>
        </w:rPr>
        <w:t> </w:t>
      </w:r>
      <w:r>
        <w:rPr>
          <w:sz w:val="20"/>
        </w:rPr>
        <w:t>defer</w:t>
      </w:r>
      <w:r>
        <w:rPr>
          <w:spacing w:val="-7"/>
          <w:sz w:val="20"/>
        </w:rPr>
        <w:t> </w:t>
      </w:r>
      <w:r>
        <w:rPr>
          <w:sz w:val="20"/>
        </w:rPr>
        <w:t>service</w:t>
      </w:r>
      <w:r>
        <w:rPr>
          <w:spacing w:val="-7"/>
          <w:sz w:val="20"/>
        </w:rPr>
        <w:t> </w:t>
      </w:r>
      <w:r>
        <w:rPr>
          <w:sz w:val="20"/>
        </w:rPr>
        <w:t>if</w:t>
      </w:r>
      <w:r>
        <w:rPr>
          <w:spacing w:val="-7"/>
          <w:sz w:val="20"/>
        </w:rPr>
        <w:t> </w:t>
      </w:r>
      <w:r>
        <w:rPr>
          <w:sz w:val="20"/>
        </w:rPr>
        <w:t>a</w:t>
      </w:r>
      <w:r>
        <w:rPr>
          <w:spacing w:val="-7"/>
          <w:sz w:val="20"/>
        </w:rPr>
        <w:t> </w:t>
      </w:r>
      <w:r>
        <w:rPr>
          <w:sz w:val="20"/>
        </w:rPr>
        <w:t>person</w:t>
      </w:r>
      <w:r>
        <w:rPr>
          <w:spacing w:val="-7"/>
          <w:sz w:val="20"/>
        </w:rPr>
        <w:t> </w:t>
      </w:r>
      <w:r>
        <w:rPr>
          <w:sz w:val="20"/>
        </w:rPr>
        <w:t>wishes</w:t>
      </w:r>
      <w:r>
        <w:rPr>
          <w:spacing w:val="-7"/>
          <w:sz w:val="20"/>
        </w:rPr>
        <w:t> </w:t>
      </w:r>
      <w:r>
        <w:rPr>
          <w:sz w:val="20"/>
        </w:rPr>
        <w:t>to</w:t>
      </w:r>
      <w:r>
        <w:rPr>
          <w:spacing w:val="-7"/>
          <w:sz w:val="20"/>
        </w:rPr>
        <w:t> </w:t>
      </w:r>
      <w:r>
        <w:rPr>
          <w:sz w:val="20"/>
        </w:rPr>
        <w:t>do</w:t>
      </w:r>
      <w:r>
        <w:rPr>
          <w:spacing w:val="-7"/>
          <w:sz w:val="20"/>
        </w:rPr>
        <w:t> </w:t>
      </w:r>
      <w:r>
        <w:rPr>
          <w:sz w:val="20"/>
        </w:rPr>
        <w:t>so</w:t>
      </w:r>
      <w:r>
        <w:rPr>
          <w:spacing w:val="-7"/>
          <w:sz w:val="20"/>
        </w:rPr>
        <w:t> </w:t>
      </w:r>
      <w:r>
        <w:rPr>
          <w:spacing w:val="-3"/>
          <w:sz w:val="20"/>
        </w:rPr>
        <w:t>before </w:t>
      </w:r>
      <w:r>
        <w:rPr>
          <w:sz w:val="20"/>
        </w:rPr>
        <w:t>they join a</w:t>
      </w:r>
      <w:r>
        <w:rPr>
          <w:spacing w:val="-13"/>
          <w:sz w:val="20"/>
        </w:rPr>
        <w:t> </w:t>
      </w:r>
      <w:r>
        <w:rPr>
          <w:sz w:val="20"/>
        </w:rPr>
        <w:t>panel.</w:t>
      </w:r>
      <w:r>
        <w:rPr>
          <w:position w:val="7"/>
          <w:sz w:val="11"/>
        </w:rPr>
        <w:t>6</w:t>
      </w:r>
    </w:p>
    <w:p>
      <w:pPr>
        <w:pStyle w:val="ListParagraph"/>
        <w:numPr>
          <w:ilvl w:val="1"/>
          <w:numId w:val="12"/>
        </w:numPr>
        <w:tabs>
          <w:tab w:pos="1761" w:val="left" w:leader="none"/>
          <w:tab w:pos="1762" w:val="left" w:leader="none"/>
        </w:tabs>
        <w:spacing w:line="206" w:lineRule="auto" w:before="122" w:after="0"/>
        <w:ind w:left="1761" w:right="1246" w:hanging="794"/>
        <w:jc w:val="left"/>
        <w:rPr>
          <w:sz w:val="11"/>
        </w:rPr>
      </w:pPr>
      <w:r>
        <w:rPr>
          <w:sz w:val="20"/>
        </w:rPr>
        <w:t>The court </w:t>
      </w:r>
      <w:r>
        <w:rPr>
          <w:spacing w:val="-3"/>
          <w:sz w:val="20"/>
        </w:rPr>
        <w:t>may excuse </w:t>
      </w:r>
      <w:r>
        <w:rPr>
          <w:sz w:val="20"/>
        </w:rPr>
        <w:t>a person </w:t>
      </w:r>
      <w:r>
        <w:rPr>
          <w:spacing w:val="-3"/>
          <w:sz w:val="20"/>
        </w:rPr>
        <w:t>from </w:t>
      </w:r>
      <w:r>
        <w:rPr>
          <w:sz w:val="20"/>
        </w:rPr>
        <w:t>jury duty on application </w:t>
      </w:r>
      <w:r>
        <w:rPr>
          <w:spacing w:val="-3"/>
          <w:sz w:val="20"/>
        </w:rPr>
        <w:t>from </w:t>
      </w:r>
      <w:r>
        <w:rPr>
          <w:sz w:val="20"/>
        </w:rPr>
        <w:t>the Juries Commissioner if the court is satisfied that there is a ‘good </w:t>
      </w:r>
      <w:r>
        <w:rPr>
          <w:spacing w:val="-3"/>
          <w:sz w:val="20"/>
        </w:rPr>
        <w:t>reason’ </w:t>
      </w:r>
      <w:r>
        <w:rPr>
          <w:sz w:val="20"/>
        </w:rPr>
        <w:t>for doing so or order that a person not perform jury service if it is ‘ just and reasonable to do </w:t>
      </w:r>
      <w:r>
        <w:rPr>
          <w:spacing w:val="-4"/>
          <w:sz w:val="20"/>
        </w:rPr>
        <w:t>so.’</w:t>
      </w:r>
      <w:r>
        <w:rPr>
          <w:spacing w:val="-4"/>
          <w:position w:val="7"/>
          <w:sz w:val="11"/>
        </w:rPr>
        <w:t>7 </w:t>
      </w:r>
      <w:r>
        <w:rPr>
          <w:sz w:val="20"/>
        </w:rPr>
        <w:t>The judge </w:t>
      </w:r>
      <w:r>
        <w:rPr>
          <w:spacing w:val="-3"/>
          <w:sz w:val="20"/>
        </w:rPr>
        <w:t>may </w:t>
      </w:r>
      <w:r>
        <w:rPr>
          <w:sz w:val="20"/>
        </w:rPr>
        <w:t>also </w:t>
      </w:r>
      <w:r>
        <w:rPr>
          <w:spacing w:val="-3"/>
          <w:sz w:val="20"/>
        </w:rPr>
        <w:t>excuse </w:t>
      </w:r>
      <w:r>
        <w:rPr>
          <w:sz w:val="20"/>
        </w:rPr>
        <w:t>people late in the selection process after informing the panel about the trial (discussed </w:t>
      </w:r>
      <w:r>
        <w:rPr>
          <w:spacing w:val="-3"/>
          <w:sz w:val="20"/>
        </w:rPr>
        <w:t>below).</w:t>
      </w:r>
      <w:r>
        <w:rPr>
          <w:spacing w:val="-3"/>
          <w:position w:val="7"/>
          <w:sz w:val="11"/>
        </w:rPr>
        <w:t>8 </w:t>
      </w:r>
      <w:r>
        <w:rPr>
          <w:sz w:val="20"/>
        </w:rPr>
        <w:t>In this situation, the </w:t>
      </w:r>
      <w:r>
        <w:rPr>
          <w:spacing w:val="-3"/>
          <w:sz w:val="20"/>
        </w:rPr>
        <w:t>excused </w:t>
      </w:r>
      <w:r>
        <w:rPr>
          <w:sz w:val="20"/>
        </w:rPr>
        <w:t>person must </w:t>
      </w:r>
      <w:r>
        <w:rPr>
          <w:spacing w:val="-3"/>
          <w:sz w:val="20"/>
        </w:rPr>
        <w:t>return </w:t>
      </w:r>
      <w:r>
        <w:rPr>
          <w:sz w:val="20"/>
        </w:rPr>
        <w:t>to the jury pool,</w:t>
      </w:r>
      <w:r>
        <w:rPr>
          <w:spacing w:val="-11"/>
          <w:sz w:val="20"/>
        </w:rPr>
        <w:t> </w:t>
      </w:r>
      <w:r>
        <w:rPr>
          <w:sz w:val="20"/>
        </w:rPr>
        <w:t>unless</w:t>
      </w:r>
      <w:r>
        <w:rPr>
          <w:spacing w:val="-11"/>
          <w:sz w:val="20"/>
        </w:rPr>
        <w:t> </w:t>
      </w:r>
      <w:r>
        <w:rPr>
          <w:sz w:val="20"/>
        </w:rPr>
        <w:t>the</w:t>
      </w:r>
      <w:r>
        <w:rPr>
          <w:spacing w:val="-11"/>
          <w:sz w:val="20"/>
        </w:rPr>
        <w:t> </w:t>
      </w:r>
      <w:r>
        <w:rPr>
          <w:sz w:val="20"/>
        </w:rPr>
        <w:t>court</w:t>
      </w:r>
      <w:r>
        <w:rPr>
          <w:spacing w:val="-11"/>
          <w:sz w:val="20"/>
        </w:rPr>
        <w:t> </w:t>
      </w:r>
      <w:r>
        <w:rPr>
          <w:sz w:val="20"/>
        </w:rPr>
        <w:t>otherwise</w:t>
      </w:r>
      <w:r>
        <w:rPr>
          <w:spacing w:val="-11"/>
          <w:sz w:val="20"/>
        </w:rPr>
        <w:t> </w:t>
      </w:r>
      <w:r>
        <w:rPr>
          <w:sz w:val="20"/>
        </w:rPr>
        <w:t>orders,</w:t>
      </w:r>
      <w:r>
        <w:rPr>
          <w:spacing w:val="-10"/>
          <w:sz w:val="20"/>
        </w:rPr>
        <w:t> </w:t>
      </w:r>
      <w:r>
        <w:rPr>
          <w:sz w:val="20"/>
        </w:rPr>
        <w:t>and</w:t>
      </w:r>
      <w:r>
        <w:rPr>
          <w:spacing w:val="-11"/>
          <w:sz w:val="20"/>
        </w:rPr>
        <w:t> </w:t>
      </w:r>
      <w:r>
        <w:rPr>
          <w:spacing w:val="-3"/>
          <w:sz w:val="20"/>
        </w:rPr>
        <w:t>may</w:t>
      </w:r>
      <w:r>
        <w:rPr>
          <w:spacing w:val="-11"/>
          <w:sz w:val="20"/>
        </w:rPr>
        <w:t> </w:t>
      </w:r>
      <w:r>
        <w:rPr>
          <w:sz w:val="20"/>
        </w:rPr>
        <w:t>be</w:t>
      </w:r>
      <w:r>
        <w:rPr>
          <w:spacing w:val="-11"/>
          <w:sz w:val="20"/>
        </w:rPr>
        <w:t> </w:t>
      </w:r>
      <w:r>
        <w:rPr>
          <w:sz w:val="20"/>
        </w:rPr>
        <w:t>selected</w:t>
      </w:r>
      <w:r>
        <w:rPr>
          <w:spacing w:val="-11"/>
          <w:sz w:val="20"/>
        </w:rPr>
        <w:t> </w:t>
      </w:r>
      <w:r>
        <w:rPr>
          <w:sz w:val="20"/>
        </w:rPr>
        <w:t>for</w:t>
      </w:r>
      <w:r>
        <w:rPr>
          <w:spacing w:val="-11"/>
          <w:sz w:val="20"/>
        </w:rPr>
        <w:t> </w:t>
      </w:r>
      <w:r>
        <w:rPr>
          <w:sz w:val="20"/>
        </w:rPr>
        <w:t>a</w:t>
      </w:r>
      <w:r>
        <w:rPr>
          <w:spacing w:val="-10"/>
          <w:sz w:val="20"/>
        </w:rPr>
        <w:t> </w:t>
      </w:r>
      <w:r>
        <w:rPr>
          <w:sz w:val="20"/>
        </w:rPr>
        <w:t>different</w:t>
      </w:r>
      <w:r>
        <w:rPr>
          <w:spacing w:val="-11"/>
          <w:sz w:val="20"/>
        </w:rPr>
        <w:t> </w:t>
      </w:r>
      <w:r>
        <w:rPr>
          <w:sz w:val="20"/>
        </w:rPr>
        <w:t>jury</w:t>
      </w:r>
      <w:r>
        <w:rPr>
          <w:spacing w:val="-11"/>
          <w:sz w:val="20"/>
        </w:rPr>
        <w:t> </w:t>
      </w:r>
      <w:r>
        <w:rPr>
          <w:sz w:val="20"/>
        </w:rPr>
        <w:t>panel.</w:t>
      </w:r>
      <w:r>
        <w:rPr>
          <w:position w:val="7"/>
          <w:sz w:val="11"/>
        </w:rPr>
        <w:t>9</w:t>
      </w:r>
    </w:p>
    <w:p>
      <w:pPr>
        <w:pStyle w:val="BodyText"/>
        <w:spacing w:before="11"/>
        <w:rPr>
          <w:sz w:val="16"/>
        </w:rPr>
      </w:pPr>
    </w:p>
    <w:p>
      <w:pPr>
        <w:spacing w:before="0"/>
        <w:ind w:left="967" w:right="0" w:firstLine="0"/>
        <w:jc w:val="left"/>
        <w:rPr>
          <w:rFonts w:ascii="Raleway ExtraBold"/>
          <w:b/>
          <w:sz w:val="28"/>
        </w:rPr>
      </w:pPr>
      <w:r>
        <w:rPr>
          <w:rFonts w:ascii="Raleway ExtraBold"/>
          <w:b/>
          <w:color w:val="37617A"/>
          <w:sz w:val="28"/>
        </w:rPr>
        <w:t>Excuses from jury service in other jurisdictions</w:t>
      </w:r>
    </w:p>
    <w:p>
      <w:pPr>
        <w:pStyle w:val="ListParagraph"/>
        <w:numPr>
          <w:ilvl w:val="1"/>
          <w:numId w:val="12"/>
        </w:numPr>
        <w:tabs>
          <w:tab w:pos="1761" w:val="left" w:leader="none"/>
          <w:tab w:pos="1762" w:val="left" w:leader="none"/>
        </w:tabs>
        <w:spacing w:line="206" w:lineRule="auto" w:before="146" w:after="0"/>
        <w:ind w:left="1761" w:right="1449" w:hanging="794"/>
        <w:jc w:val="left"/>
        <w:rPr>
          <w:sz w:val="20"/>
        </w:rPr>
      </w:pPr>
      <w:r>
        <w:rPr>
          <w:sz w:val="20"/>
        </w:rPr>
        <w:t>Other</w:t>
      </w:r>
      <w:r>
        <w:rPr>
          <w:spacing w:val="-10"/>
          <w:sz w:val="20"/>
        </w:rPr>
        <w:t> </w:t>
      </w:r>
      <w:r>
        <w:rPr>
          <w:sz w:val="20"/>
        </w:rPr>
        <w:t>jurisdictions</w:t>
      </w:r>
      <w:r>
        <w:rPr>
          <w:spacing w:val="-10"/>
          <w:sz w:val="20"/>
        </w:rPr>
        <w:t> </w:t>
      </w:r>
      <w:r>
        <w:rPr>
          <w:sz w:val="20"/>
        </w:rPr>
        <w:t>address</w:t>
      </w:r>
      <w:r>
        <w:rPr>
          <w:spacing w:val="-10"/>
          <w:sz w:val="20"/>
        </w:rPr>
        <w:t> </w:t>
      </w:r>
      <w:r>
        <w:rPr>
          <w:sz w:val="20"/>
        </w:rPr>
        <w:t>in</w:t>
      </w:r>
      <w:r>
        <w:rPr>
          <w:spacing w:val="-10"/>
          <w:sz w:val="20"/>
        </w:rPr>
        <w:t> </w:t>
      </w:r>
      <w:r>
        <w:rPr>
          <w:sz w:val="20"/>
        </w:rPr>
        <w:t>varied</w:t>
      </w:r>
      <w:r>
        <w:rPr>
          <w:spacing w:val="-10"/>
          <w:sz w:val="20"/>
        </w:rPr>
        <w:t> </w:t>
      </w:r>
      <w:r>
        <w:rPr>
          <w:spacing w:val="-4"/>
          <w:sz w:val="20"/>
        </w:rPr>
        <w:t>ways</w:t>
      </w:r>
      <w:r>
        <w:rPr>
          <w:spacing w:val="-9"/>
          <w:sz w:val="20"/>
        </w:rPr>
        <w:t> </w:t>
      </w:r>
      <w:r>
        <w:rPr>
          <w:sz w:val="20"/>
        </w:rPr>
        <w:t>the</w:t>
      </w:r>
      <w:r>
        <w:rPr>
          <w:spacing w:val="-10"/>
          <w:sz w:val="20"/>
        </w:rPr>
        <w:t> </w:t>
      </w:r>
      <w:r>
        <w:rPr>
          <w:sz w:val="20"/>
        </w:rPr>
        <w:t>question</w:t>
      </w:r>
      <w:r>
        <w:rPr>
          <w:spacing w:val="-10"/>
          <w:sz w:val="20"/>
        </w:rPr>
        <w:t> </w:t>
      </w:r>
      <w:r>
        <w:rPr>
          <w:sz w:val="20"/>
        </w:rPr>
        <w:t>of</w:t>
      </w:r>
      <w:r>
        <w:rPr>
          <w:spacing w:val="-10"/>
          <w:sz w:val="20"/>
        </w:rPr>
        <w:t> </w:t>
      </w:r>
      <w:r>
        <w:rPr>
          <w:sz w:val="20"/>
        </w:rPr>
        <w:t>when</w:t>
      </w:r>
      <w:r>
        <w:rPr>
          <w:spacing w:val="-10"/>
          <w:sz w:val="20"/>
        </w:rPr>
        <w:t> </w:t>
      </w:r>
      <w:r>
        <w:rPr>
          <w:sz w:val="20"/>
        </w:rPr>
        <w:t>and</w:t>
      </w:r>
      <w:r>
        <w:rPr>
          <w:spacing w:val="-9"/>
          <w:sz w:val="20"/>
        </w:rPr>
        <w:t> </w:t>
      </w:r>
      <w:r>
        <w:rPr>
          <w:spacing w:val="-3"/>
          <w:sz w:val="20"/>
        </w:rPr>
        <w:t>how</w:t>
      </w:r>
      <w:r>
        <w:rPr>
          <w:spacing w:val="-10"/>
          <w:sz w:val="20"/>
        </w:rPr>
        <w:t> </w:t>
      </w:r>
      <w:r>
        <w:rPr>
          <w:sz w:val="20"/>
        </w:rPr>
        <w:t>people</w:t>
      </w:r>
      <w:r>
        <w:rPr>
          <w:spacing w:val="-10"/>
          <w:sz w:val="20"/>
        </w:rPr>
        <w:t> </w:t>
      </w:r>
      <w:r>
        <w:rPr>
          <w:sz w:val="20"/>
        </w:rPr>
        <w:t>with disabilities should be able to ask to be</w:t>
      </w:r>
      <w:r>
        <w:rPr>
          <w:spacing w:val="-37"/>
          <w:sz w:val="20"/>
        </w:rPr>
        <w:t> </w:t>
      </w:r>
      <w:r>
        <w:rPr>
          <w:spacing w:val="-3"/>
          <w:sz w:val="20"/>
        </w:rPr>
        <w:t>excused.</w:t>
      </w:r>
    </w:p>
    <w:p>
      <w:pPr>
        <w:pStyle w:val="BodyText"/>
      </w:pPr>
    </w:p>
    <w:p>
      <w:pPr>
        <w:pStyle w:val="BodyText"/>
      </w:pPr>
    </w:p>
    <w:p>
      <w:pPr>
        <w:pStyle w:val="BodyText"/>
      </w:pPr>
    </w:p>
    <w:p>
      <w:pPr>
        <w:pStyle w:val="BodyText"/>
      </w:pPr>
    </w:p>
    <w:p>
      <w:pPr>
        <w:pStyle w:val="BodyText"/>
      </w:pPr>
    </w:p>
    <w:p>
      <w:pPr>
        <w:pStyle w:val="BodyText"/>
      </w:pPr>
    </w:p>
    <w:p>
      <w:pPr>
        <w:pStyle w:val="BodyText"/>
        <w:rPr>
          <w:sz w:val="17"/>
        </w:rPr>
      </w:pPr>
      <w:r>
        <w:rPr/>
        <w:pict>
          <v:line style="position:absolute;mso-position-horizontal-relative:page;mso-position-vertical-relative:paragraph;z-index:9632;mso-wrap-distance-left:0;mso-wrap-distance-right:0" from="79.370102pt,14.2843pt" to="515.905102pt,14.2843pt" stroked="true" strokeweight="1pt" strokecolor="#b6bdc8">
            <v:stroke dashstyle="solid"/>
            <w10:wrap type="topAndBottom"/>
          </v:line>
        </w:pict>
      </w:r>
    </w:p>
    <w:p>
      <w:pPr>
        <w:pStyle w:val="BodyText"/>
        <w:rPr>
          <w:sz w:val="5"/>
        </w:rPr>
      </w:pPr>
    </w:p>
    <w:p>
      <w:pPr>
        <w:spacing w:after="0"/>
        <w:rPr>
          <w:sz w:val="5"/>
        </w:rPr>
        <w:sectPr>
          <w:headerReference w:type="default" r:id="rId239"/>
          <w:headerReference w:type="even" r:id="rId240"/>
          <w:pgSz w:w="11910" w:h="16840"/>
          <w:pgMar w:header="0" w:footer="0" w:top="840" w:bottom="280" w:left="620" w:right="380"/>
        </w:sectPr>
      </w:pPr>
    </w:p>
    <w:p>
      <w:pPr>
        <w:tabs>
          <w:tab w:pos="1760" w:val="left" w:leader="none"/>
        </w:tabs>
        <w:spacing w:line="213" w:lineRule="auto" w:before="38"/>
        <w:ind w:left="967" w:right="4606" w:firstLine="0"/>
        <w:jc w:val="left"/>
        <w:rPr>
          <w:sz w:val="13"/>
        </w:rPr>
      </w:pPr>
      <w:r>
        <w:rPr>
          <w:sz w:val="13"/>
        </w:rPr>
        <w:t>2</w:t>
        <w:tab/>
        <w:t>Currently provided for in the </w:t>
      </w:r>
      <w:r>
        <w:rPr>
          <w:i/>
          <w:sz w:val="13"/>
        </w:rPr>
        <w:t>Juries Act 2000 </w:t>
      </w:r>
      <w:r>
        <w:rPr>
          <w:spacing w:val="2"/>
          <w:sz w:val="13"/>
        </w:rPr>
        <w:t>(Vic) </w:t>
      </w:r>
      <w:r>
        <w:rPr>
          <w:sz w:val="13"/>
        </w:rPr>
        <w:t>s 8. 3</w:t>
        <w:tab/>
        <w:t>Ibid s 8(2).</w:t>
      </w:r>
    </w:p>
    <w:p>
      <w:pPr>
        <w:tabs>
          <w:tab w:pos="1760" w:val="left" w:leader="none"/>
        </w:tabs>
        <w:spacing w:line="153" w:lineRule="exact" w:before="0"/>
        <w:ind w:left="967" w:right="0" w:firstLine="0"/>
        <w:jc w:val="left"/>
        <w:rPr>
          <w:sz w:val="13"/>
        </w:rPr>
      </w:pPr>
      <w:r>
        <w:rPr>
          <w:sz w:val="13"/>
        </w:rPr>
        <w:t>4</w:t>
        <w:tab/>
        <w:t>Ibid s</w:t>
      </w:r>
      <w:r>
        <w:rPr>
          <w:spacing w:val="16"/>
          <w:sz w:val="13"/>
        </w:rPr>
        <w:t> </w:t>
      </w:r>
      <w:r>
        <w:rPr>
          <w:sz w:val="13"/>
        </w:rPr>
        <w:t>8(3).</w:t>
      </w:r>
    </w:p>
    <w:p>
      <w:pPr>
        <w:tabs>
          <w:tab w:pos="1760" w:val="left" w:leader="none"/>
        </w:tabs>
        <w:spacing w:line="160" w:lineRule="exact" w:before="0"/>
        <w:ind w:left="967" w:right="0" w:firstLine="0"/>
        <w:jc w:val="left"/>
        <w:rPr>
          <w:sz w:val="13"/>
        </w:rPr>
      </w:pPr>
      <w:r>
        <w:rPr>
          <w:sz w:val="13"/>
        </w:rPr>
        <w:t>5</w:t>
        <w:tab/>
        <w:t>Ibid s 9 (3), (4).</w:t>
      </w:r>
    </w:p>
    <w:p>
      <w:pPr>
        <w:pStyle w:val="ListParagraph"/>
        <w:numPr>
          <w:ilvl w:val="0"/>
          <w:numId w:val="108"/>
        </w:numPr>
        <w:tabs>
          <w:tab w:pos="1760" w:val="left" w:leader="none"/>
          <w:tab w:pos="1762" w:val="left" w:leader="none"/>
        </w:tabs>
        <w:spacing w:line="160" w:lineRule="exact" w:before="0" w:after="0"/>
        <w:ind w:left="1761" w:right="0" w:hanging="794"/>
        <w:jc w:val="left"/>
        <w:rPr>
          <w:sz w:val="13"/>
        </w:rPr>
      </w:pPr>
      <w:r>
        <w:rPr>
          <w:sz w:val="13"/>
        </w:rPr>
        <w:t>Ibid s </w:t>
      </w:r>
      <w:r>
        <w:rPr>
          <w:spacing w:val="-3"/>
          <w:sz w:val="13"/>
        </w:rPr>
        <w:t>7.</w:t>
      </w:r>
    </w:p>
    <w:p>
      <w:pPr>
        <w:pStyle w:val="ListParagraph"/>
        <w:numPr>
          <w:ilvl w:val="0"/>
          <w:numId w:val="108"/>
        </w:numPr>
        <w:tabs>
          <w:tab w:pos="1760" w:val="left" w:leader="none"/>
          <w:tab w:pos="1762" w:val="left" w:leader="none"/>
        </w:tabs>
        <w:spacing w:line="213" w:lineRule="auto" w:before="6" w:after="0"/>
        <w:ind w:left="1761" w:right="0" w:hanging="794"/>
        <w:jc w:val="both"/>
        <w:rPr>
          <w:sz w:val="13"/>
        </w:rPr>
      </w:pPr>
      <w:r>
        <w:rPr>
          <w:sz w:val="13"/>
        </w:rPr>
        <w:t>Ibid ss 11 and 12, respectively. The order not to </w:t>
      </w:r>
      <w:r>
        <w:rPr>
          <w:spacing w:val="2"/>
          <w:sz w:val="13"/>
        </w:rPr>
        <w:t>perform jury service </w:t>
      </w:r>
      <w:r>
        <w:rPr>
          <w:sz w:val="13"/>
        </w:rPr>
        <w:t>under section 12 can be for whole or </w:t>
      </w:r>
      <w:r>
        <w:rPr>
          <w:spacing w:val="2"/>
          <w:sz w:val="13"/>
        </w:rPr>
        <w:t>part </w:t>
      </w:r>
      <w:r>
        <w:rPr>
          <w:sz w:val="13"/>
        </w:rPr>
        <w:t>of </w:t>
      </w:r>
      <w:r>
        <w:rPr>
          <w:spacing w:val="2"/>
          <w:sz w:val="13"/>
        </w:rPr>
        <w:t>jury service, </w:t>
      </w:r>
      <w:r>
        <w:rPr>
          <w:sz w:val="13"/>
        </w:rPr>
        <w:t>for   a </w:t>
      </w:r>
      <w:r>
        <w:rPr>
          <w:spacing w:val="2"/>
          <w:sz w:val="13"/>
        </w:rPr>
        <w:t>longer period, </w:t>
      </w:r>
      <w:r>
        <w:rPr>
          <w:sz w:val="13"/>
        </w:rPr>
        <w:t>or permanently. The Juries </w:t>
      </w:r>
      <w:r>
        <w:rPr>
          <w:spacing w:val="2"/>
          <w:sz w:val="13"/>
        </w:rPr>
        <w:t>Commissioner </w:t>
      </w:r>
      <w:r>
        <w:rPr>
          <w:sz w:val="13"/>
        </w:rPr>
        <w:t>can </w:t>
      </w:r>
      <w:r>
        <w:rPr>
          <w:spacing w:val="2"/>
          <w:sz w:val="13"/>
        </w:rPr>
        <w:t>also </w:t>
      </w:r>
      <w:r>
        <w:rPr>
          <w:sz w:val="13"/>
        </w:rPr>
        <w:t>make an </w:t>
      </w:r>
      <w:r>
        <w:rPr>
          <w:spacing w:val="2"/>
          <w:sz w:val="13"/>
        </w:rPr>
        <w:t>application </w:t>
      </w:r>
      <w:r>
        <w:rPr>
          <w:sz w:val="13"/>
        </w:rPr>
        <w:t>under section 12 if they consider that ‘a person may not be able to </w:t>
      </w:r>
      <w:r>
        <w:rPr>
          <w:spacing w:val="2"/>
          <w:sz w:val="13"/>
        </w:rPr>
        <w:t>perform </w:t>
      </w:r>
      <w:r>
        <w:rPr>
          <w:sz w:val="13"/>
        </w:rPr>
        <w:t>the duties of a</w:t>
      </w:r>
      <w:r>
        <w:rPr>
          <w:spacing w:val="1"/>
          <w:sz w:val="13"/>
        </w:rPr>
        <w:t> </w:t>
      </w:r>
      <w:r>
        <w:rPr>
          <w:sz w:val="13"/>
        </w:rPr>
        <w:t>juror’.</w:t>
      </w:r>
    </w:p>
    <w:p>
      <w:pPr>
        <w:tabs>
          <w:tab w:pos="1760" w:val="left" w:leader="none"/>
        </w:tabs>
        <w:spacing w:line="152" w:lineRule="exact" w:before="0"/>
        <w:ind w:left="967" w:right="0" w:firstLine="0"/>
        <w:jc w:val="left"/>
        <w:rPr>
          <w:sz w:val="13"/>
        </w:rPr>
      </w:pPr>
      <w:r>
        <w:rPr>
          <w:sz w:val="13"/>
        </w:rPr>
        <w:t>8</w:t>
        <w:tab/>
        <w:t>Ibid s 32(3), (4).</w:t>
      </w:r>
    </w:p>
    <w:p>
      <w:pPr>
        <w:tabs>
          <w:tab w:pos="1760" w:val="left" w:leader="none"/>
        </w:tabs>
        <w:spacing w:line="170" w:lineRule="exact" w:before="0"/>
        <w:ind w:left="967" w:right="0" w:firstLine="0"/>
        <w:jc w:val="left"/>
        <w:rPr>
          <w:sz w:val="13"/>
        </w:rPr>
      </w:pPr>
      <w:r>
        <w:rPr>
          <w:sz w:val="13"/>
        </w:rPr>
        <w:t>9</w:t>
        <w:tab/>
      </w:r>
      <w:r>
        <w:rPr>
          <w:spacing w:val="2"/>
          <w:sz w:val="13"/>
        </w:rPr>
        <w:t>Ibid.</w:t>
      </w:r>
    </w:p>
    <w:p>
      <w:pPr>
        <w:pStyle w:val="BodyText"/>
        <w:rPr>
          <w:sz w:val="28"/>
        </w:rPr>
      </w:pPr>
      <w:r>
        <w:rPr/>
        <w:br w:type="column"/>
      </w:r>
      <w:r>
        <w:rPr>
          <w:sz w:val="28"/>
        </w:rPr>
      </w:r>
    </w:p>
    <w:p>
      <w:pPr>
        <w:pStyle w:val="BodyText"/>
        <w:rPr>
          <w:sz w:val="28"/>
        </w:rPr>
      </w:pPr>
    </w:p>
    <w:p>
      <w:pPr>
        <w:pStyle w:val="BodyText"/>
        <w:spacing w:before="2"/>
        <w:rPr>
          <w:sz w:val="40"/>
        </w:rPr>
      </w:pPr>
    </w:p>
    <w:p>
      <w:pPr>
        <w:spacing w:before="0"/>
        <w:ind w:left="666" w:right="0" w:firstLine="0"/>
        <w:jc w:val="left"/>
        <w:rPr>
          <w:b/>
          <w:sz w:val="24"/>
        </w:rPr>
      </w:pPr>
      <w:r>
        <w:rPr>
          <w:b/>
          <w:color w:val="37617A"/>
          <w:sz w:val="24"/>
        </w:rPr>
        <w:t>181</w:t>
      </w:r>
    </w:p>
    <w:p>
      <w:pPr>
        <w:spacing w:after="0"/>
        <w:jc w:val="left"/>
        <w:rPr>
          <w:sz w:val="24"/>
        </w:rPr>
        <w:sectPr>
          <w:type w:val="continuous"/>
          <w:pgSz w:w="11910" w:h="16840"/>
          <w:pgMar w:top="620" w:bottom="280" w:left="620" w:right="380"/>
          <w:cols w:num="2" w:equalWidth="0">
            <w:col w:w="9596" w:space="39"/>
            <w:col w:w="1275"/>
          </w:cols>
        </w:sectPr>
      </w:pPr>
    </w:p>
    <w:p>
      <w:pPr>
        <w:pStyle w:val="BodyText"/>
        <w:rPr>
          <w:b/>
        </w:rPr>
      </w:pPr>
    </w:p>
    <w:p>
      <w:pPr>
        <w:pStyle w:val="BodyText"/>
        <w:rPr>
          <w:b/>
        </w:rPr>
      </w:pPr>
    </w:p>
    <w:p>
      <w:pPr>
        <w:pStyle w:val="BodyText"/>
        <w:rPr>
          <w:b/>
        </w:rPr>
      </w:pPr>
    </w:p>
    <w:p>
      <w:pPr>
        <w:spacing w:before="220"/>
        <w:ind w:left="967" w:right="0" w:firstLine="0"/>
        <w:jc w:val="left"/>
        <w:rPr>
          <w:b/>
          <w:sz w:val="24"/>
        </w:rPr>
      </w:pPr>
      <w:bookmarkStart w:name="_bookmark132" w:id="315"/>
      <w:bookmarkEnd w:id="315"/>
      <w:r>
        <w:rPr/>
      </w:r>
      <w:r>
        <w:rPr>
          <w:b/>
          <w:sz w:val="24"/>
        </w:rPr>
        <w:t>Australian Capital Territory</w:t>
      </w:r>
    </w:p>
    <w:p>
      <w:pPr>
        <w:pStyle w:val="ListParagraph"/>
        <w:numPr>
          <w:ilvl w:val="1"/>
          <w:numId w:val="12"/>
        </w:numPr>
        <w:tabs>
          <w:tab w:pos="1761" w:val="left" w:leader="none"/>
          <w:tab w:pos="1762" w:val="left" w:leader="none"/>
        </w:tabs>
        <w:spacing w:line="206" w:lineRule="auto" w:before="127" w:after="0"/>
        <w:ind w:left="1760" w:right="1322" w:hanging="793"/>
        <w:jc w:val="left"/>
        <w:rPr>
          <w:sz w:val="11"/>
        </w:rPr>
      </w:pPr>
      <w:r>
        <w:rPr>
          <w:sz w:val="20"/>
        </w:rPr>
        <w:t>In the Australian Capital </w:t>
      </w:r>
      <w:r>
        <w:rPr>
          <w:spacing w:val="-3"/>
          <w:sz w:val="20"/>
        </w:rPr>
        <w:t>Territory </w:t>
      </w:r>
      <w:r>
        <w:rPr>
          <w:sz w:val="20"/>
        </w:rPr>
        <w:t>(ACT) the </w:t>
      </w:r>
      <w:r>
        <w:rPr>
          <w:i/>
          <w:sz w:val="20"/>
        </w:rPr>
        <w:t>Juries Act 1967 </w:t>
      </w:r>
      <w:r>
        <w:rPr>
          <w:sz w:val="20"/>
        </w:rPr>
        <w:t>(ACT) </w:t>
      </w:r>
      <w:r>
        <w:rPr>
          <w:spacing w:val="-3"/>
          <w:sz w:val="20"/>
        </w:rPr>
        <w:t>creates </w:t>
      </w:r>
      <w:r>
        <w:rPr>
          <w:sz w:val="20"/>
        </w:rPr>
        <w:t>a positive obligation on the court to consider the </w:t>
      </w:r>
      <w:r>
        <w:rPr>
          <w:spacing w:val="-3"/>
          <w:sz w:val="20"/>
        </w:rPr>
        <w:t>provision </w:t>
      </w:r>
      <w:r>
        <w:rPr>
          <w:sz w:val="20"/>
        </w:rPr>
        <w:t>and assessment of reasonable supports. There is no specific </w:t>
      </w:r>
      <w:r>
        <w:rPr>
          <w:spacing w:val="-3"/>
          <w:sz w:val="20"/>
        </w:rPr>
        <w:t>exemption </w:t>
      </w:r>
      <w:r>
        <w:rPr>
          <w:sz w:val="20"/>
        </w:rPr>
        <w:t>or </w:t>
      </w:r>
      <w:r>
        <w:rPr>
          <w:spacing w:val="-3"/>
          <w:sz w:val="20"/>
        </w:rPr>
        <w:t>excuse ‘as </w:t>
      </w:r>
      <w:r>
        <w:rPr>
          <w:sz w:val="20"/>
        </w:rPr>
        <w:t>of right’ for people with disabilities. </w:t>
      </w:r>
      <w:r>
        <w:rPr>
          <w:spacing w:val="-5"/>
          <w:sz w:val="20"/>
        </w:rPr>
        <w:t>However, </w:t>
      </w:r>
      <w:r>
        <w:rPr>
          <w:sz w:val="20"/>
        </w:rPr>
        <w:t>a person </w:t>
      </w:r>
      <w:r>
        <w:rPr>
          <w:spacing w:val="-3"/>
          <w:sz w:val="20"/>
        </w:rPr>
        <w:t>‘may </w:t>
      </w:r>
      <w:r>
        <w:rPr>
          <w:sz w:val="20"/>
        </w:rPr>
        <w:t>claim an </w:t>
      </w:r>
      <w:r>
        <w:rPr>
          <w:spacing w:val="-3"/>
          <w:sz w:val="20"/>
        </w:rPr>
        <w:t>exemption from </w:t>
      </w:r>
      <w:r>
        <w:rPr>
          <w:sz w:val="20"/>
        </w:rPr>
        <w:t>serving as a </w:t>
      </w:r>
      <w:r>
        <w:rPr>
          <w:spacing w:val="-3"/>
          <w:sz w:val="20"/>
        </w:rPr>
        <w:t>juror’.</w:t>
      </w:r>
      <w:r>
        <w:rPr>
          <w:spacing w:val="-3"/>
          <w:position w:val="7"/>
          <w:sz w:val="11"/>
        </w:rPr>
        <w:t>10 </w:t>
      </w:r>
      <w:r>
        <w:rPr>
          <w:sz w:val="20"/>
        </w:rPr>
        <w:t>The </w:t>
      </w:r>
      <w:r>
        <w:rPr>
          <w:i/>
          <w:sz w:val="20"/>
        </w:rPr>
        <w:t>Juries</w:t>
      </w:r>
      <w:r>
        <w:rPr>
          <w:i/>
          <w:spacing w:val="-12"/>
          <w:sz w:val="20"/>
        </w:rPr>
        <w:t> </w:t>
      </w:r>
      <w:r>
        <w:rPr>
          <w:i/>
          <w:sz w:val="20"/>
        </w:rPr>
        <w:t>Regulation</w:t>
      </w:r>
      <w:r>
        <w:rPr>
          <w:i/>
          <w:spacing w:val="-11"/>
          <w:sz w:val="20"/>
        </w:rPr>
        <w:t> </w:t>
      </w:r>
      <w:r>
        <w:rPr>
          <w:i/>
          <w:spacing w:val="-3"/>
          <w:sz w:val="20"/>
        </w:rPr>
        <w:t>2018</w:t>
      </w:r>
      <w:r>
        <w:rPr>
          <w:i/>
          <w:spacing w:val="-10"/>
          <w:sz w:val="20"/>
        </w:rPr>
        <w:t> </w:t>
      </w:r>
      <w:r>
        <w:rPr>
          <w:sz w:val="20"/>
        </w:rPr>
        <w:t>prescribes</w:t>
      </w:r>
      <w:r>
        <w:rPr>
          <w:spacing w:val="-11"/>
          <w:sz w:val="20"/>
        </w:rPr>
        <w:t> </w:t>
      </w:r>
      <w:r>
        <w:rPr>
          <w:sz w:val="20"/>
        </w:rPr>
        <w:t>categories</w:t>
      </w:r>
      <w:r>
        <w:rPr>
          <w:spacing w:val="-12"/>
          <w:sz w:val="20"/>
        </w:rPr>
        <w:t> </w:t>
      </w:r>
      <w:r>
        <w:rPr>
          <w:sz w:val="20"/>
        </w:rPr>
        <w:t>of</w:t>
      </w:r>
      <w:r>
        <w:rPr>
          <w:spacing w:val="-11"/>
          <w:sz w:val="20"/>
        </w:rPr>
        <w:t> </w:t>
      </w:r>
      <w:r>
        <w:rPr>
          <w:sz w:val="20"/>
        </w:rPr>
        <w:t>people</w:t>
      </w:r>
      <w:r>
        <w:rPr>
          <w:spacing w:val="-11"/>
          <w:sz w:val="20"/>
        </w:rPr>
        <w:t> </w:t>
      </w:r>
      <w:r>
        <w:rPr>
          <w:sz w:val="20"/>
        </w:rPr>
        <w:t>who</w:t>
      </w:r>
      <w:r>
        <w:rPr>
          <w:spacing w:val="-11"/>
          <w:sz w:val="20"/>
        </w:rPr>
        <w:t> </w:t>
      </w:r>
      <w:r>
        <w:rPr>
          <w:spacing w:val="-3"/>
          <w:sz w:val="20"/>
        </w:rPr>
        <w:t>may</w:t>
      </w:r>
      <w:r>
        <w:rPr>
          <w:spacing w:val="-12"/>
          <w:sz w:val="20"/>
        </w:rPr>
        <w:t> </w:t>
      </w:r>
      <w:r>
        <w:rPr>
          <w:sz w:val="20"/>
        </w:rPr>
        <w:t>qualify</w:t>
      </w:r>
      <w:r>
        <w:rPr>
          <w:spacing w:val="-11"/>
          <w:sz w:val="20"/>
        </w:rPr>
        <w:t> </w:t>
      </w:r>
      <w:r>
        <w:rPr>
          <w:sz w:val="20"/>
        </w:rPr>
        <w:t>for</w:t>
      </w:r>
      <w:r>
        <w:rPr>
          <w:spacing w:val="-11"/>
          <w:sz w:val="20"/>
        </w:rPr>
        <w:t> </w:t>
      </w:r>
      <w:r>
        <w:rPr>
          <w:spacing w:val="-2"/>
          <w:sz w:val="20"/>
        </w:rPr>
        <w:t>exemption, </w:t>
      </w:r>
      <w:r>
        <w:rPr>
          <w:sz w:val="20"/>
        </w:rPr>
        <w:t>such</w:t>
      </w:r>
      <w:r>
        <w:rPr>
          <w:spacing w:val="-10"/>
          <w:sz w:val="20"/>
        </w:rPr>
        <w:t> </w:t>
      </w:r>
      <w:r>
        <w:rPr>
          <w:sz w:val="20"/>
        </w:rPr>
        <w:t>as</w:t>
      </w:r>
      <w:r>
        <w:rPr>
          <w:spacing w:val="-9"/>
          <w:sz w:val="20"/>
        </w:rPr>
        <w:t> </w:t>
      </w:r>
      <w:r>
        <w:rPr>
          <w:spacing w:val="-4"/>
          <w:sz w:val="20"/>
        </w:rPr>
        <w:t>‘a</w:t>
      </w:r>
      <w:r>
        <w:rPr>
          <w:spacing w:val="-10"/>
          <w:sz w:val="20"/>
        </w:rPr>
        <w:t> </w:t>
      </w:r>
      <w:r>
        <w:rPr>
          <w:sz w:val="20"/>
        </w:rPr>
        <w:t>person</w:t>
      </w:r>
      <w:r>
        <w:rPr>
          <w:spacing w:val="-9"/>
          <w:sz w:val="20"/>
        </w:rPr>
        <w:t> </w:t>
      </w:r>
      <w:r>
        <w:rPr>
          <w:sz w:val="20"/>
        </w:rPr>
        <w:t>with</w:t>
      </w:r>
      <w:r>
        <w:rPr>
          <w:spacing w:val="-10"/>
          <w:sz w:val="20"/>
        </w:rPr>
        <w:t> </w:t>
      </w:r>
      <w:r>
        <w:rPr>
          <w:sz w:val="20"/>
        </w:rPr>
        <w:t>disability’,</w:t>
      </w:r>
      <w:r>
        <w:rPr>
          <w:spacing w:val="-9"/>
          <w:sz w:val="20"/>
        </w:rPr>
        <w:t> </w:t>
      </w:r>
      <w:r>
        <w:rPr>
          <w:sz w:val="20"/>
        </w:rPr>
        <w:t>including</w:t>
      </w:r>
      <w:r>
        <w:rPr>
          <w:spacing w:val="-10"/>
          <w:sz w:val="20"/>
        </w:rPr>
        <w:t> </w:t>
      </w:r>
      <w:r>
        <w:rPr>
          <w:spacing w:val="-4"/>
          <w:sz w:val="20"/>
        </w:rPr>
        <w:t>‘a</w:t>
      </w:r>
      <w:r>
        <w:rPr>
          <w:spacing w:val="-9"/>
          <w:sz w:val="20"/>
        </w:rPr>
        <w:t> </w:t>
      </w:r>
      <w:r>
        <w:rPr>
          <w:sz w:val="20"/>
        </w:rPr>
        <w:t>person</w:t>
      </w:r>
      <w:r>
        <w:rPr>
          <w:spacing w:val="-10"/>
          <w:sz w:val="20"/>
        </w:rPr>
        <w:t> </w:t>
      </w:r>
      <w:r>
        <w:rPr>
          <w:sz w:val="20"/>
        </w:rPr>
        <w:t>who</w:t>
      </w:r>
      <w:r>
        <w:rPr>
          <w:spacing w:val="-9"/>
          <w:sz w:val="20"/>
        </w:rPr>
        <w:t> </w:t>
      </w:r>
      <w:r>
        <w:rPr>
          <w:sz w:val="20"/>
        </w:rPr>
        <w:t>is</w:t>
      </w:r>
      <w:r>
        <w:rPr>
          <w:spacing w:val="-10"/>
          <w:sz w:val="20"/>
        </w:rPr>
        <w:t> </w:t>
      </w:r>
      <w:r>
        <w:rPr>
          <w:spacing w:val="-3"/>
          <w:sz w:val="20"/>
        </w:rPr>
        <w:t>totally</w:t>
      </w:r>
      <w:r>
        <w:rPr>
          <w:spacing w:val="-9"/>
          <w:sz w:val="20"/>
        </w:rPr>
        <w:t> </w:t>
      </w:r>
      <w:r>
        <w:rPr>
          <w:sz w:val="20"/>
        </w:rPr>
        <w:t>or</w:t>
      </w:r>
      <w:r>
        <w:rPr>
          <w:spacing w:val="-10"/>
          <w:sz w:val="20"/>
        </w:rPr>
        <w:t> </w:t>
      </w:r>
      <w:r>
        <w:rPr>
          <w:sz w:val="20"/>
        </w:rPr>
        <w:t>partially</w:t>
      </w:r>
      <w:r>
        <w:rPr>
          <w:spacing w:val="-9"/>
          <w:sz w:val="20"/>
        </w:rPr>
        <w:t> </w:t>
      </w:r>
      <w:r>
        <w:rPr>
          <w:sz w:val="20"/>
        </w:rPr>
        <w:t>blind,</w:t>
      </w:r>
      <w:r>
        <w:rPr>
          <w:spacing w:val="-10"/>
          <w:sz w:val="20"/>
        </w:rPr>
        <w:t> </w:t>
      </w:r>
      <w:r>
        <w:rPr>
          <w:sz w:val="20"/>
        </w:rPr>
        <w:t>or </w:t>
      </w:r>
      <w:r>
        <w:rPr>
          <w:spacing w:val="-3"/>
          <w:sz w:val="20"/>
        </w:rPr>
        <w:t>totally </w:t>
      </w:r>
      <w:r>
        <w:rPr>
          <w:sz w:val="20"/>
        </w:rPr>
        <w:t>or partially</w:t>
      </w:r>
      <w:r>
        <w:rPr>
          <w:spacing w:val="-10"/>
          <w:sz w:val="20"/>
        </w:rPr>
        <w:t> </w:t>
      </w:r>
      <w:r>
        <w:rPr>
          <w:sz w:val="20"/>
        </w:rPr>
        <w:t>deaf’.</w:t>
      </w:r>
      <w:r>
        <w:rPr>
          <w:position w:val="7"/>
          <w:sz w:val="11"/>
        </w:rPr>
        <w:t>11</w:t>
      </w:r>
    </w:p>
    <w:p>
      <w:pPr>
        <w:pStyle w:val="ListParagraph"/>
        <w:numPr>
          <w:ilvl w:val="1"/>
          <w:numId w:val="12"/>
        </w:numPr>
        <w:tabs>
          <w:tab w:pos="1761" w:val="left" w:leader="none"/>
          <w:tab w:pos="1762" w:val="left" w:leader="none"/>
        </w:tabs>
        <w:spacing w:line="206" w:lineRule="auto" w:before="129" w:after="0"/>
        <w:ind w:left="1761" w:right="1291" w:hanging="794"/>
        <w:jc w:val="left"/>
        <w:rPr>
          <w:sz w:val="11"/>
        </w:rPr>
      </w:pPr>
      <w:r>
        <w:rPr>
          <w:sz w:val="20"/>
        </w:rPr>
        <w:t>A general </w:t>
      </w:r>
      <w:r>
        <w:rPr>
          <w:spacing w:val="-3"/>
          <w:sz w:val="20"/>
        </w:rPr>
        <w:t>excuse provision </w:t>
      </w:r>
      <w:r>
        <w:rPr>
          <w:sz w:val="20"/>
        </w:rPr>
        <w:t>in the </w:t>
      </w:r>
      <w:r>
        <w:rPr>
          <w:spacing w:val="-4"/>
          <w:sz w:val="20"/>
        </w:rPr>
        <w:t>ACT </w:t>
      </w:r>
      <w:r>
        <w:rPr>
          <w:sz w:val="20"/>
        </w:rPr>
        <w:t>Juries </w:t>
      </w:r>
      <w:r>
        <w:rPr>
          <w:spacing w:val="-2"/>
          <w:sz w:val="20"/>
        </w:rPr>
        <w:t>Act </w:t>
      </w:r>
      <w:r>
        <w:rPr>
          <w:sz w:val="20"/>
        </w:rPr>
        <w:t>states that ‘if a judge or the sheriff is satisfied</w:t>
      </w:r>
      <w:r>
        <w:rPr>
          <w:spacing w:val="-10"/>
          <w:sz w:val="20"/>
        </w:rPr>
        <w:t> </w:t>
      </w:r>
      <w:r>
        <w:rPr>
          <w:sz w:val="20"/>
        </w:rPr>
        <w:t>that</w:t>
      </w:r>
      <w:r>
        <w:rPr>
          <w:spacing w:val="-10"/>
          <w:sz w:val="20"/>
        </w:rPr>
        <w:t> </w:t>
      </w:r>
      <w:r>
        <w:rPr>
          <w:sz w:val="20"/>
        </w:rPr>
        <w:t>a</w:t>
      </w:r>
      <w:r>
        <w:rPr>
          <w:spacing w:val="-9"/>
          <w:sz w:val="20"/>
        </w:rPr>
        <w:t> </w:t>
      </w:r>
      <w:r>
        <w:rPr>
          <w:sz w:val="20"/>
        </w:rPr>
        <w:t>person</w:t>
      </w:r>
      <w:r>
        <w:rPr>
          <w:spacing w:val="-10"/>
          <w:sz w:val="20"/>
        </w:rPr>
        <w:t> </w:t>
      </w:r>
      <w:r>
        <w:rPr>
          <w:sz w:val="20"/>
        </w:rPr>
        <w:t>summoned</w:t>
      </w:r>
      <w:r>
        <w:rPr>
          <w:spacing w:val="-9"/>
          <w:sz w:val="20"/>
        </w:rPr>
        <w:t> </w:t>
      </w:r>
      <w:r>
        <w:rPr>
          <w:sz w:val="20"/>
        </w:rPr>
        <w:t>or</w:t>
      </w:r>
      <w:r>
        <w:rPr>
          <w:spacing w:val="-10"/>
          <w:sz w:val="20"/>
        </w:rPr>
        <w:t> </w:t>
      </w:r>
      <w:r>
        <w:rPr>
          <w:sz w:val="20"/>
        </w:rPr>
        <w:t>appointed</w:t>
      </w:r>
      <w:r>
        <w:rPr>
          <w:spacing w:val="-9"/>
          <w:sz w:val="20"/>
        </w:rPr>
        <w:t> </w:t>
      </w:r>
      <w:r>
        <w:rPr>
          <w:sz w:val="20"/>
        </w:rPr>
        <w:t>to</w:t>
      </w:r>
      <w:r>
        <w:rPr>
          <w:spacing w:val="-10"/>
          <w:sz w:val="20"/>
        </w:rPr>
        <w:t> </w:t>
      </w:r>
      <w:r>
        <w:rPr>
          <w:sz w:val="20"/>
        </w:rPr>
        <w:t>attend</w:t>
      </w:r>
      <w:r>
        <w:rPr>
          <w:spacing w:val="-9"/>
          <w:sz w:val="20"/>
        </w:rPr>
        <w:t> </w:t>
      </w:r>
      <w:r>
        <w:rPr>
          <w:sz w:val="20"/>
        </w:rPr>
        <w:t>to</w:t>
      </w:r>
      <w:r>
        <w:rPr>
          <w:spacing w:val="-10"/>
          <w:sz w:val="20"/>
        </w:rPr>
        <w:t> </w:t>
      </w:r>
      <w:r>
        <w:rPr>
          <w:sz w:val="20"/>
        </w:rPr>
        <w:t>serve</w:t>
      </w:r>
      <w:r>
        <w:rPr>
          <w:spacing w:val="-9"/>
          <w:sz w:val="20"/>
        </w:rPr>
        <w:t> </w:t>
      </w:r>
      <w:r>
        <w:rPr>
          <w:sz w:val="20"/>
        </w:rPr>
        <w:t>as</w:t>
      </w:r>
      <w:r>
        <w:rPr>
          <w:spacing w:val="-10"/>
          <w:sz w:val="20"/>
        </w:rPr>
        <w:t> </w:t>
      </w:r>
      <w:r>
        <w:rPr>
          <w:sz w:val="20"/>
        </w:rPr>
        <w:t>a</w:t>
      </w:r>
      <w:r>
        <w:rPr>
          <w:spacing w:val="-9"/>
          <w:sz w:val="20"/>
        </w:rPr>
        <w:t> </w:t>
      </w:r>
      <w:r>
        <w:rPr>
          <w:sz w:val="20"/>
        </w:rPr>
        <w:t>juror</w:t>
      </w:r>
      <w:r>
        <w:rPr>
          <w:spacing w:val="-10"/>
          <w:sz w:val="20"/>
        </w:rPr>
        <w:t> </w:t>
      </w:r>
      <w:r>
        <w:rPr>
          <w:sz w:val="20"/>
        </w:rPr>
        <w:t>has</w:t>
      </w:r>
      <w:r>
        <w:rPr>
          <w:spacing w:val="-9"/>
          <w:sz w:val="20"/>
        </w:rPr>
        <w:t> </w:t>
      </w:r>
      <w:r>
        <w:rPr>
          <w:spacing w:val="-3"/>
          <w:sz w:val="20"/>
        </w:rPr>
        <w:t>shown </w:t>
      </w:r>
      <w:r>
        <w:rPr>
          <w:sz w:val="20"/>
        </w:rPr>
        <w:t>sufficient reason to be </w:t>
      </w:r>
      <w:r>
        <w:rPr>
          <w:spacing w:val="-3"/>
          <w:sz w:val="20"/>
        </w:rPr>
        <w:t>excused’,</w:t>
      </w:r>
      <w:r>
        <w:rPr>
          <w:spacing w:val="-3"/>
          <w:position w:val="7"/>
          <w:sz w:val="11"/>
        </w:rPr>
        <w:t>12 </w:t>
      </w:r>
      <w:r>
        <w:rPr>
          <w:sz w:val="20"/>
        </w:rPr>
        <w:t>then ‘the judge or the sheriff </w:t>
      </w:r>
      <w:r>
        <w:rPr>
          <w:spacing w:val="-6"/>
          <w:sz w:val="20"/>
        </w:rPr>
        <w:t>may, </w:t>
      </w:r>
      <w:r>
        <w:rPr>
          <w:sz w:val="20"/>
        </w:rPr>
        <w:t>at </w:t>
      </w:r>
      <w:r>
        <w:rPr>
          <w:spacing w:val="-3"/>
          <w:sz w:val="20"/>
        </w:rPr>
        <w:t>any </w:t>
      </w:r>
      <w:r>
        <w:rPr>
          <w:sz w:val="20"/>
        </w:rPr>
        <w:t>time after service of the summons or the appointment, </w:t>
      </w:r>
      <w:r>
        <w:rPr>
          <w:spacing w:val="-3"/>
          <w:sz w:val="20"/>
        </w:rPr>
        <w:t>excuse </w:t>
      </w:r>
      <w:r>
        <w:rPr>
          <w:sz w:val="20"/>
        </w:rPr>
        <w:t>the person </w:t>
      </w:r>
      <w:r>
        <w:rPr>
          <w:spacing w:val="-3"/>
          <w:sz w:val="20"/>
        </w:rPr>
        <w:t>from </w:t>
      </w:r>
      <w:r>
        <w:rPr>
          <w:sz w:val="20"/>
        </w:rPr>
        <w:t>attendance or further </w:t>
      </w:r>
      <w:r>
        <w:rPr>
          <w:spacing w:val="-3"/>
          <w:sz w:val="20"/>
        </w:rPr>
        <w:t>attendance’.</w:t>
      </w:r>
      <w:r>
        <w:rPr>
          <w:spacing w:val="-3"/>
          <w:position w:val="7"/>
          <w:sz w:val="11"/>
        </w:rPr>
        <w:t>13 </w:t>
      </w:r>
      <w:r>
        <w:rPr>
          <w:sz w:val="20"/>
        </w:rPr>
        <w:t>Examples of ‘sufficient </w:t>
      </w:r>
      <w:r>
        <w:rPr>
          <w:spacing w:val="-3"/>
          <w:sz w:val="20"/>
        </w:rPr>
        <w:t>reasons’ </w:t>
      </w:r>
      <w:r>
        <w:rPr>
          <w:sz w:val="20"/>
        </w:rPr>
        <w:t>include </w:t>
      </w:r>
      <w:r>
        <w:rPr>
          <w:spacing w:val="-3"/>
          <w:sz w:val="20"/>
        </w:rPr>
        <w:t>pregnancy, </w:t>
      </w:r>
      <w:r>
        <w:rPr>
          <w:sz w:val="20"/>
        </w:rPr>
        <w:t>illness and where</w:t>
      </w:r>
      <w:r>
        <w:rPr>
          <w:spacing w:val="-5"/>
          <w:sz w:val="20"/>
        </w:rPr>
        <w:t> </w:t>
      </w:r>
      <w:r>
        <w:rPr>
          <w:sz w:val="20"/>
        </w:rPr>
        <w:t>‘the</w:t>
      </w:r>
      <w:r>
        <w:rPr>
          <w:spacing w:val="-5"/>
          <w:sz w:val="20"/>
        </w:rPr>
        <w:t> </w:t>
      </w:r>
      <w:r>
        <w:rPr>
          <w:sz w:val="20"/>
        </w:rPr>
        <w:t>person</w:t>
      </w:r>
      <w:r>
        <w:rPr>
          <w:spacing w:val="-5"/>
          <w:sz w:val="20"/>
        </w:rPr>
        <w:t> </w:t>
      </w:r>
      <w:r>
        <w:rPr>
          <w:sz w:val="20"/>
        </w:rPr>
        <w:t>has</w:t>
      </w:r>
      <w:r>
        <w:rPr>
          <w:spacing w:val="-5"/>
          <w:sz w:val="20"/>
        </w:rPr>
        <w:t> </w:t>
      </w:r>
      <w:r>
        <w:rPr>
          <w:sz w:val="20"/>
        </w:rPr>
        <w:t>care</w:t>
      </w:r>
      <w:r>
        <w:rPr>
          <w:spacing w:val="-5"/>
          <w:sz w:val="20"/>
        </w:rPr>
        <w:t> </w:t>
      </w:r>
      <w:r>
        <w:rPr>
          <w:sz w:val="20"/>
        </w:rPr>
        <w:t>of</w:t>
      </w:r>
      <w:r>
        <w:rPr>
          <w:spacing w:val="-4"/>
          <w:sz w:val="20"/>
        </w:rPr>
        <w:t> </w:t>
      </w:r>
      <w:r>
        <w:rPr>
          <w:spacing w:val="-3"/>
          <w:sz w:val="20"/>
        </w:rPr>
        <w:t>children</w:t>
      </w:r>
      <w:r>
        <w:rPr>
          <w:spacing w:val="-5"/>
          <w:sz w:val="20"/>
        </w:rPr>
        <w:t> </w:t>
      </w:r>
      <w:r>
        <w:rPr>
          <w:sz w:val="20"/>
        </w:rPr>
        <w:t>or</w:t>
      </w:r>
      <w:r>
        <w:rPr>
          <w:spacing w:val="-5"/>
          <w:sz w:val="20"/>
        </w:rPr>
        <w:t> </w:t>
      </w:r>
      <w:r>
        <w:rPr>
          <w:sz w:val="20"/>
        </w:rPr>
        <w:t>of</w:t>
      </w:r>
      <w:r>
        <w:rPr>
          <w:spacing w:val="-5"/>
          <w:sz w:val="20"/>
        </w:rPr>
        <w:t> </w:t>
      </w:r>
      <w:r>
        <w:rPr>
          <w:sz w:val="20"/>
        </w:rPr>
        <w:t>aged</w:t>
      </w:r>
      <w:r>
        <w:rPr>
          <w:spacing w:val="-5"/>
          <w:sz w:val="20"/>
        </w:rPr>
        <w:t> </w:t>
      </w:r>
      <w:r>
        <w:rPr>
          <w:sz w:val="20"/>
        </w:rPr>
        <w:t>or</w:t>
      </w:r>
      <w:r>
        <w:rPr>
          <w:spacing w:val="-4"/>
          <w:sz w:val="20"/>
        </w:rPr>
        <w:t> </w:t>
      </w:r>
      <w:r>
        <w:rPr>
          <w:sz w:val="20"/>
        </w:rPr>
        <w:t>ill</w:t>
      </w:r>
      <w:r>
        <w:rPr>
          <w:spacing w:val="-5"/>
          <w:sz w:val="20"/>
        </w:rPr>
        <w:t> </w:t>
      </w:r>
      <w:r>
        <w:rPr>
          <w:sz w:val="20"/>
        </w:rPr>
        <w:t>people’.</w:t>
      </w:r>
      <w:r>
        <w:rPr>
          <w:position w:val="7"/>
          <w:sz w:val="11"/>
        </w:rPr>
        <w:t>14</w:t>
      </w:r>
    </w:p>
    <w:p>
      <w:pPr>
        <w:spacing w:before="166"/>
        <w:ind w:left="967" w:right="0" w:firstLine="0"/>
        <w:jc w:val="left"/>
        <w:rPr>
          <w:b/>
          <w:sz w:val="24"/>
        </w:rPr>
      </w:pPr>
      <w:r>
        <w:rPr>
          <w:b/>
          <w:sz w:val="24"/>
        </w:rPr>
        <w:t>England and Wales</w:t>
      </w:r>
    </w:p>
    <w:p>
      <w:pPr>
        <w:pStyle w:val="ListParagraph"/>
        <w:numPr>
          <w:ilvl w:val="1"/>
          <w:numId w:val="12"/>
        </w:numPr>
        <w:tabs>
          <w:tab w:pos="1761" w:val="left" w:leader="none"/>
          <w:tab w:pos="1762" w:val="left" w:leader="none"/>
        </w:tabs>
        <w:spacing w:line="206" w:lineRule="auto" w:before="127" w:after="0"/>
        <w:ind w:left="1761" w:right="1739" w:hanging="794"/>
        <w:jc w:val="left"/>
        <w:rPr>
          <w:sz w:val="11"/>
        </w:rPr>
      </w:pPr>
      <w:r>
        <w:rPr>
          <w:sz w:val="20"/>
        </w:rPr>
        <w:t>In</w:t>
      </w:r>
      <w:r>
        <w:rPr>
          <w:spacing w:val="-13"/>
          <w:sz w:val="20"/>
        </w:rPr>
        <w:t> </w:t>
      </w:r>
      <w:r>
        <w:rPr>
          <w:sz w:val="20"/>
        </w:rPr>
        <w:t>England</w:t>
      </w:r>
      <w:r>
        <w:rPr>
          <w:spacing w:val="-13"/>
          <w:sz w:val="20"/>
        </w:rPr>
        <w:t> </w:t>
      </w:r>
      <w:r>
        <w:rPr>
          <w:sz w:val="20"/>
        </w:rPr>
        <w:t>and</w:t>
      </w:r>
      <w:r>
        <w:rPr>
          <w:spacing w:val="-13"/>
          <w:sz w:val="20"/>
        </w:rPr>
        <w:t> </w:t>
      </w:r>
      <w:r>
        <w:rPr>
          <w:spacing w:val="-3"/>
          <w:sz w:val="20"/>
        </w:rPr>
        <w:t>Wales,</w:t>
      </w:r>
      <w:r>
        <w:rPr>
          <w:spacing w:val="-13"/>
          <w:sz w:val="20"/>
        </w:rPr>
        <w:t> </w:t>
      </w:r>
      <w:r>
        <w:rPr>
          <w:sz w:val="20"/>
        </w:rPr>
        <w:t>reasonable</w:t>
      </w:r>
      <w:r>
        <w:rPr>
          <w:spacing w:val="-13"/>
          <w:sz w:val="20"/>
        </w:rPr>
        <w:t> </w:t>
      </w:r>
      <w:r>
        <w:rPr>
          <w:sz w:val="20"/>
        </w:rPr>
        <w:t>accommodations</w:t>
      </w:r>
      <w:r>
        <w:rPr>
          <w:spacing w:val="-13"/>
          <w:sz w:val="20"/>
        </w:rPr>
        <w:t> </w:t>
      </w:r>
      <w:r>
        <w:rPr>
          <w:spacing w:val="-3"/>
          <w:sz w:val="20"/>
        </w:rPr>
        <w:t>are</w:t>
      </w:r>
      <w:r>
        <w:rPr>
          <w:spacing w:val="-13"/>
          <w:sz w:val="20"/>
        </w:rPr>
        <w:t> </w:t>
      </w:r>
      <w:r>
        <w:rPr>
          <w:spacing w:val="-3"/>
          <w:sz w:val="20"/>
        </w:rPr>
        <w:t>provided</w:t>
      </w:r>
      <w:r>
        <w:rPr>
          <w:spacing w:val="-13"/>
          <w:sz w:val="20"/>
        </w:rPr>
        <w:t> </w:t>
      </w:r>
      <w:r>
        <w:rPr>
          <w:sz w:val="20"/>
        </w:rPr>
        <w:t>where</w:t>
      </w:r>
      <w:r>
        <w:rPr>
          <w:spacing w:val="-13"/>
          <w:sz w:val="20"/>
        </w:rPr>
        <w:t> </w:t>
      </w:r>
      <w:r>
        <w:rPr>
          <w:sz w:val="20"/>
        </w:rPr>
        <w:t>possible, subject</w:t>
      </w:r>
      <w:r>
        <w:rPr>
          <w:spacing w:val="-5"/>
          <w:sz w:val="20"/>
        </w:rPr>
        <w:t> </w:t>
      </w:r>
      <w:r>
        <w:rPr>
          <w:sz w:val="20"/>
        </w:rPr>
        <w:t>to</w:t>
      </w:r>
      <w:r>
        <w:rPr>
          <w:spacing w:val="-5"/>
          <w:sz w:val="20"/>
        </w:rPr>
        <w:t> </w:t>
      </w:r>
      <w:r>
        <w:rPr>
          <w:sz w:val="20"/>
        </w:rPr>
        <w:t>the</w:t>
      </w:r>
      <w:r>
        <w:rPr>
          <w:spacing w:val="-5"/>
          <w:sz w:val="20"/>
        </w:rPr>
        <w:t> </w:t>
      </w:r>
      <w:r>
        <w:rPr>
          <w:sz w:val="20"/>
        </w:rPr>
        <w:t>requirements</w:t>
      </w:r>
      <w:r>
        <w:rPr>
          <w:spacing w:val="-5"/>
          <w:sz w:val="20"/>
        </w:rPr>
        <w:t> </w:t>
      </w:r>
      <w:r>
        <w:rPr>
          <w:sz w:val="20"/>
        </w:rPr>
        <w:t>of</w:t>
      </w:r>
      <w:r>
        <w:rPr>
          <w:spacing w:val="-5"/>
          <w:sz w:val="20"/>
        </w:rPr>
        <w:t> </w:t>
      </w:r>
      <w:r>
        <w:rPr>
          <w:sz w:val="20"/>
        </w:rPr>
        <w:t>the</w:t>
      </w:r>
      <w:r>
        <w:rPr>
          <w:spacing w:val="-4"/>
          <w:sz w:val="20"/>
        </w:rPr>
        <w:t> </w:t>
      </w:r>
      <w:r>
        <w:rPr>
          <w:sz w:val="20"/>
        </w:rPr>
        <w:t>13th</w:t>
      </w:r>
      <w:r>
        <w:rPr>
          <w:spacing w:val="-5"/>
          <w:sz w:val="20"/>
        </w:rPr>
        <w:t> </w:t>
      </w:r>
      <w:r>
        <w:rPr>
          <w:sz w:val="20"/>
        </w:rPr>
        <w:t>person</w:t>
      </w:r>
      <w:r>
        <w:rPr>
          <w:spacing w:val="-5"/>
          <w:sz w:val="20"/>
        </w:rPr>
        <w:t> </w:t>
      </w:r>
      <w:r>
        <w:rPr>
          <w:sz w:val="20"/>
        </w:rPr>
        <w:t>rule.</w:t>
      </w:r>
      <w:r>
        <w:rPr>
          <w:position w:val="7"/>
          <w:sz w:val="11"/>
        </w:rPr>
        <w:t>15</w:t>
      </w:r>
    </w:p>
    <w:p>
      <w:pPr>
        <w:pStyle w:val="ListParagraph"/>
        <w:numPr>
          <w:ilvl w:val="1"/>
          <w:numId w:val="12"/>
        </w:numPr>
        <w:tabs>
          <w:tab w:pos="1761" w:val="left" w:leader="none"/>
          <w:tab w:pos="1762" w:val="left" w:leader="none"/>
        </w:tabs>
        <w:spacing w:line="206" w:lineRule="auto" w:before="123" w:after="0"/>
        <w:ind w:left="1761" w:right="1344" w:hanging="794"/>
        <w:jc w:val="left"/>
        <w:rPr>
          <w:sz w:val="20"/>
        </w:rPr>
      </w:pPr>
      <w:r>
        <w:rPr>
          <w:sz w:val="20"/>
        </w:rPr>
        <w:t>The </w:t>
      </w:r>
      <w:r>
        <w:rPr>
          <w:i/>
          <w:sz w:val="20"/>
        </w:rPr>
        <w:t>Juries Act </w:t>
      </w:r>
      <w:r>
        <w:rPr>
          <w:i/>
          <w:spacing w:val="-7"/>
          <w:sz w:val="20"/>
        </w:rPr>
        <w:t>1974 </w:t>
      </w:r>
      <w:r>
        <w:rPr>
          <w:sz w:val="20"/>
        </w:rPr>
        <w:t>(UK), which applies to England and </w:t>
      </w:r>
      <w:r>
        <w:rPr>
          <w:spacing w:val="-3"/>
          <w:sz w:val="20"/>
        </w:rPr>
        <w:t>Wales, </w:t>
      </w:r>
      <w:r>
        <w:rPr>
          <w:sz w:val="20"/>
        </w:rPr>
        <w:t>states that a summons for a person with a disability should </w:t>
      </w:r>
      <w:r>
        <w:rPr>
          <w:spacing w:val="-3"/>
          <w:sz w:val="20"/>
        </w:rPr>
        <w:t>only </w:t>
      </w:r>
      <w:r>
        <w:rPr>
          <w:sz w:val="20"/>
        </w:rPr>
        <w:t>be discharged if the person is incapable of acting</w:t>
      </w:r>
      <w:r>
        <w:rPr>
          <w:spacing w:val="-10"/>
          <w:sz w:val="20"/>
        </w:rPr>
        <w:t> </w:t>
      </w:r>
      <w:r>
        <w:rPr>
          <w:sz w:val="20"/>
        </w:rPr>
        <w:t>effectively</w:t>
      </w:r>
      <w:r>
        <w:rPr>
          <w:spacing w:val="-9"/>
          <w:sz w:val="20"/>
        </w:rPr>
        <w:t> </w:t>
      </w:r>
      <w:r>
        <w:rPr>
          <w:sz w:val="20"/>
        </w:rPr>
        <w:t>as</w:t>
      </w:r>
      <w:r>
        <w:rPr>
          <w:spacing w:val="-9"/>
          <w:sz w:val="20"/>
        </w:rPr>
        <w:t> </w:t>
      </w:r>
      <w:r>
        <w:rPr>
          <w:sz w:val="20"/>
        </w:rPr>
        <w:t>a</w:t>
      </w:r>
      <w:r>
        <w:rPr>
          <w:spacing w:val="-10"/>
          <w:sz w:val="20"/>
        </w:rPr>
        <w:t> </w:t>
      </w:r>
      <w:r>
        <w:rPr>
          <w:spacing w:val="-4"/>
          <w:sz w:val="20"/>
        </w:rPr>
        <w:t>juror.</w:t>
      </w:r>
      <w:r>
        <w:rPr>
          <w:spacing w:val="-4"/>
          <w:position w:val="7"/>
          <w:sz w:val="11"/>
        </w:rPr>
        <w:t>16</w:t>
      </w:r>
      <w:r>
        <w:rPr>
          <w:spacing w:val="16"/>
          <w:position w:val="7"/>
          <w:sz w:val="11"/>
        </w:rPr>
        <w:t> </w:t>
      </w:r>
      <w:r>
        <w:rPr>
          <w:sz w:val="20"/>
        </w:rPr>
        <w:t>There</w:t>
      </w:r>
      <w:r>
        <w:rPr>
          <w:spacing w:val="-10"/>
          <w:sz w:val="20"/>
        </w:rPr>
        <w:t> </w:t>
      </w:r>
      <w:r>
        <w:rPr>
          <w:sz w:val="20"/>
        </w:rPr>
        <w:t>is</w:t>
      </w:r>
      <w:r>
        <w:rPr>
          <w:spacing w:val="-9"/>
          <w:sz w:val="20"/>
        </w:rPr>
        <w:t> </w:t>
      </w:r>
      <w:r>
        <w:rPr>
          <w:sz w:val="20"/>
        </w:rPr>
        <w:t>no</w:t>
      </w:r>
      <w:r>
        <w:rPr>
          <w:spacing w:val="-9"/>
          <w:sz w:val="20"/>
        </w:rPr>
        <w:t> </w:t>
      </w:r>
      <w:r>
        <w:rPr>
          <w:spacing w:val="-3"/>
          <w:sz w:val="20"/>
        </w:rPr>
        <w:t>excuse</w:t>
      </w:r>
      <w:r>
        <w:rPr>
          <w:spacing w:val="-10"/>
          <w:sz w:val="20"/>
        </w:rPr>
        <w:t> </w:t>
      </w:r>
      <w:r>
        <w:rPr>
          <w:spacing w:val="-3"/>
          <w:sz w:val="20"/>
        </w:rPr>
        <w:t>‘as</w:t>
      </w:r>
      <w:r>
        <w:rPr>
          <w:spacing w:val="-9"/>
          <w:sz w:val="20"/>
        </w:rPr>
        <w:t> </w:t>
      </w:r>
      <w:r>
        <w:rPr>
          <w:sz w:val="20"/>
        </w:rPr>
        <w:t>of</w:t>
      </w:r>
      <w:r>
        <w:rPr>
          <w:spacing w:val="-9"/>
          <w:sz w:val="20"/>
        </w:rPr>
        <w:t> </w:t>
      </w:r>
      <w:r>
        <w:rPr>
          <w:sz w:val="20"/>
        </w:rPr>
        <w:t>right’</w:t>
      </w:r>
      <w:r>
        <w:rPr>
          <w:spacing w:val="-10"/>
          <w:sz w:val="20"/>
        </w:rPr>
        <w:t> </w:t>
      </w:r>
      <w:r>
        <w:rPr>
          <w:sz w:val="20"/>
        </w:rPr>
        <w:t>for</w:t>
      </w:r>
      <w:r>
        <w:rPr>
          <w:spacing w:val="-9"/>
          <w:sz w:val="20"/>
        </w:rPr>
        <w:t> </w:t>
      </w:r>
      <w:r>
        <w:rPr>
          <w:sz w:val="20"/>
        </w:rPr>
        <w:t>people</w:t>
      </w:r>
      <w:r>
        <w:rPr>
          <w:spacing w:val="-9"/>
          <w:sz w:val="20"/>
        </w:rPr>
        <w:t> </w:t>
      </w:r>
      <w:r>
        <w:rPr>
          <w:sz w:val="20"/>
        </w:rPr>
        <w:t>with</w:t>
      </w:r>
      <w:r>
        <w:rPr>
          <w:spacing w:val="-10"/>
          <w:sz w:val="20"/>
        </w:rPr>
        <w:t> </w:t>
      </w:r>
      <w:r>
        <w:rPr>
          <w:sz w:val="20"/>
        </w:rPr>
        <w:t>disabilities. </w:t>
      </w:r>
      <w:r>
        <w:rPr>
          <w:spacing w:val="-4"/>
          <w:sz w:val="20"/>
        </w:rPr>
        <w:t>Rather, </w:t>
      </w:r>
      <w:r>
        <w:rPr>
          <w:sz w:val="20"/>
        </w:rPr>
        <w:t>this legislation </w:t>
      </w:r>
      <w:r>
        <w:rPr>
          <w:spacing w:val="-3"/>
          <w:sz w:val="20"/>
        </w:rPr>
        <w:t>provides </w:t>
      </w:r>
      <w:r>
        <w:rPr>
          <w:sz w:val="20"/>
        </w:rPr>
        <w:t>a general discretion to </w:t>
      </w:r>
      <w:r>
        <w:rPr>
          <w:spacing w:val="-3"/>
          <w:sz w:val="20"/>
        </w:rPr>
        <w:t>exclude </w:t>
      </w:r>
      <w:r>
        <w:rPr>
          <w:sz w:val="20"/>
        </w:rPr>
        <w:t>a person for good reasons if a person can</w:t>
      </w:r>
      <w:r>
        <w:rPr>
          <w:spacing w:val="-22"/>
          <w:sz w:val="20"/>
        </w:rPr>
        <w:t> </w:t>
      </w:r>
      <w:r>
        <w:rPr>
          <w:sz w:val="20"/>
        </w:rPr>
        <w:t>demonstrate:</w:t>
      </w:r>
    </w:p>
    <w:p>
      <w:pPr>
        <w:spacing w:line="213" w:lineRule="auto" w:before="119"/>
        <w:ind w:left="2157" w:right="1335" w:firstLine="0"/>
        <w:jc w:val="left"/>
        <w:rPr>
          <w:sz w:val="11"/>
        </w:rPr>
      </w:pPr>
      <w:r>
        <w:rPr>
          <w:sz w:val="19"/>
        </w:rPr>
        <w:t>to the satisfaction of the appropriate officer that there is good reason why [they] should be excused from attending in pursuance of the summons, the appropriate officer may excuse [them] from so attending.</w:t>
      </w:r>
      <w:r>
        <w:rPr>
          <w:position w:val="6"/>
          <w:sz w:val="11"/>
        </w:rPr>
        <w:t>17</w:t>
      </w:r>
    </w:p>
    <w:p>
      <w:pPr>
        <w:spacing w:before="161"/>
        <w:ind w:left="967" w:right="0" w:firstLine="0"/>
        <w:jc w:val="left"/>
        <w:rPr>
          <w:b/>
          <w:sz w:val="24"/>
        </w:rPr>
      </w:pPr>
      <w:r>
        <w:rPr>
          <w:b/>
          <w:sz w:val="24"/>
        </w:rPr>
        <w:t>Monroe County, New York State, United States</w:t>
      </w:r>
    </w:p>
    <w:p>
      <w:pPr>
        <w:pStyle w:val="ListParagraph"/>
        <w:numPr>
          <w:ilvl w:val="1"/>
          <w:numId w:val="12"/>
        </w:numPr>
        <w:tabs>
          <w:tab w:pos="1761" w:val="left" w:leader="none"/>
          <w:tab w:pos="1762" w:val="left" w:leader="none"/>
        </w:tabs>
        <w:spacing w:line="206" w:lineRule="auto" w:before="127" w:after="0"/>
        <w:ind w:left="1761" w:right="1450" w:hanging="794"/>
        <w:jc w:val="left"/>
        <w:rPr>
          <w:sz w:val="20"/>
        </w:rPr>
      </w:pPr>
      <w:r>
        <w:rPr>
          <w:sz w:val="20"/>
        </w:rPr>
        <w:t>The basis for the </w:t>
      </w:r>
      <w:r>
        <w:rPr>
          <w:spacing w:val="-3"/>
          <w:sz w:val="20"/>
        </w:rPr>
        <w:t>excuse </w:t>
      </w:r>
      <w:r>
        <w:rPr>
          <w:sz w:val="20"/>
        </w:rPr>
        <w:t>is on medical grounds in Monroe </w:t>
      </w:r>
      <w:r>
        <w:rPr>
          <w:spacing w:val="-3"/>
          <w:sz w:val="20"/>
        </w:rPr>
        <w:t>County, </w:t>
      </w:r>
      <w:r>
        <w:rPr>
          <w:sz w:val="20"/>
        </w:rPr>
        <w:t>New </w:t>
      </w:r>
      <w:r>
        <w:rPr>
          <w:spacing w:val="-5"/>
          <w:sz w:val="20"/>
        </w:rPr>
        <w:t>York </w:t>
      </w:r>
      <w:r>
        <w:rPr>
          <w:spacing w:val="-3"/>
          <w:sz w:val="20"/>
        </w:rPr>
        <w:t>State. </w:t>
      </w:r>
      <w:r>
        <w:rPr>
          <w:sz w:val="20"/>
        </w:rPr>
        <w:t>There is no legislative </w:t>
      </w:r>
      <w:r>
        <w:rPr>
          <w:spacing w:val="-3"/>
          <w:sz w:val="20"/>
        </w:rPr>
        <w:t>provision </w:t>
      </w:r>
      <w:r>
        <w:rPr>
          <w:sz w:val="20"/>
        </w:rPr>
        <w:t>specifically pertaining to disability because the </w:t>
      </w:r>
      <w:r>
        <w:rPr>
          <w:i/>
          <w:sz w:val="20"/>
        </w:rPr>
        <w:t>Americans</w:t>
      </w:r>
      <w:r>
        <w:rPr>
          <w:i/>
          <w:spacing w:val="-9"/>
          <w:sz w:val="20"/>
        </w:rPr>
        <w:t> </w:t>
      </w:r>
      <w:r>
        <w:rPr>
          <w:i/>
          <w:spacing w:val="-3"/>
          <w:sz w:val="20"/>
        </w:rPr>
        <w:t>with</w:t>
      </w:r>
      <w:r>
        <w:rPr>
          <w:i/>
          <w:spacing w:val="-9"/>
          <w:sz w:val="20"/>
        </w:rPr>
        <w:t> </w:t>
      </w:r>
      <w:r>
        <w:rPr>
          <w:i/>
          <w:sz w:val="20"/>
        </w:rPr>
        <w:t>Disabilities</w:t>
      </w:r>
      <w:r>
        <w:rPr>
          <w:i/>
          <w:spacing w:val="-9"/>
          <w:sz w:val="20"/>
        </w:rPr>
        <w:t> </w:t>
      </w:r>
      <w:r>
        <w:rPr>
          <w:i/>
          <w:sz w:val="20"/>
        </w:rPr>
        <w:t>Act</w:t>
      </w:r>
      <w:r>
        <w:rPr>
          <w:i/>
          <w:spacing w:val="-8"/>
          <w:sz w:val="20"/>
        </w:rPr>
        <w:t> </w:t>
      </w:r>
      <w:r>
        <w:rPr>
          <w:spacing w:val="-3"/>
          <w:sz w:val="20"/>
        </w:rPr>
        <w:t>requires</w:t>
      </w:r>
      <w:r>
        <w:rPr>
          <w:spacing w:val="-9"/>
          <w:sz w:val="20"/>
        </w:rPr>
        <w:t> </w:t>
      </w:r>
      <w:r>
        <w:rPr>
          <w:sz w:val="20"/>
        </w:rPr>
        <w:t>that</w:t>
      </w:r>
      <w:r>
        <w:rPr>
          <w:spacing w:val="-9"/>
          <w:sz w:val="20"/>
        </w:rPr>
        <w:t> </w:t>
      </w:r>
      <w:r>
        <w:rPr>
          <w:sz w:val="20"/>
        </w:rPr>
        <w:t>the</w:t>
      </w:r>
      <w:r>
        <w:rPr>
          <w:spacing w:val="-9"/>
          <w:sz w:val="20"/>
        </w:rPr>
        <w:t> </w:t>
      </w:r>
      <w:r>
        <w:rPr>
          <w:sz w:val="20"/>
        </w:rPr>
        <w:t>court</w:t>
      </w:r>
      <w:r>
        <w:rPr>
          <w:spacing w:val="-9"/>
          <w:sz w:val="20"/>
        </w:rPr>
        <w:t> </w:t>
      </w:r>
      <w:r>
        <w:rPr>
          <w:spacing w:val="-3"/>
          <w:sz w:val="20"/>
        </w:rPr>
        <w:t>provides</w:t>
      </w:r>
      <w:r>
        <w:rPr>
          <w:spacing w:val="-9"/>
          <w:sz w:val="20"/>
        </w:rPr>
        <w:t> </w:t>
      </w:r>
      <w:r>
        <w:rPr>
          <w:sz w:val="20"/>
        </w:rPr>
        <w:t>access</w:t>
      </w:r>
      <w:r>
        <w:rPr>
          <w:spacing w:val="-8"/>
          <w:sz w:val="20"/>
        </w:rPr>
        <w:t> </w:t>
      </w:r>
      <w:r>
        <w:rPr>
          <w:sz w:val="20"/>
        </w:rPr>
        <w:t>for</w:t>
      </w:r>
      <w:r>
        <w:rPr>
          <w:spacing w:val="-9"/>
          <w:sz w:val="20"/>
        </w:rPr>
        <w:t> </w:t>
      </w:r>
      <w:r>
        <w:rPr>
          <w:sz w:val="20"/>
        </w:rPr>
        <w:t>people</w:t>
      </w:r>
      <w:r>
        <w:rPr>
          <w:spacing w:val="-9"/>
          <w:sz w:val="20"/>
        </w:rPr>
        <w:t> </w:t>
      </w:r>
      <w:r>
        <w:rPr>
          <w:sz w:val="20"/>
        </w:rPr>
        <w:t>with disabilities.</w:t>
      </w:r>
    </w:p>
    <w:p>
      <w:pPr>
        <w:pStyle w:val="ListParagraph"/>
        <w:numPr>
          <w:ilvl w:val="1"/>
          <w:numId w:val="12"/>
        </w:numPr>
        <w:tabs>
          <w:tab w:pos="1761" w:val="left" w:leader="none"/>
          <w:tab w:pos="1762" w:val="left" w:leader="none"/>
        </w:tabs>
        <w:spacing w:line="206" w:lineRule="auto" w:before="125" w:after="0"/>
        <w:ind w:left="1761" w:right="1704" w:hanging="794"/>
        <w:jc w:val="left"/>
        <w:rPr>
          <w:sz w:val="20"/>
        </w:rPr>
      </w:pPr>
      <w:r>
        <w:rPr>
          <w:sz w:val="20"/>
        </w:rPr>
        <w:t>The</w:t>
      </w:r>
      <w:r>
        <w:rPr>
          <w:spacing w:val="-10"/>
          <w:sz w:val="20"/>
        </w:rPr>
        <w:t> </w:t>
      </w:r>
      <w:r>
        <w:rPr>
          <w:sz w:val="20"/>
        </w:rPr>
        <w:t>Jury</w:t>
      </w:r>
      <w:r>
        <w:rPr>
          <w:spacing w:val="-9"/>
          <w:sz w:val="20"/>
        </w:rPr>
        <w:t> </w:t>
      </w:r>
      <w:r>
        <w:rPr>
          <w:sz w:val="20"/>
        </w:rPr>
        <w:t>Commissioner’s</w:t>
      </w:r>
      <w:r>
        <w:rPr>
          <w:spacing w:val="-9"/>
          <w:sz w:val="20"/>
        </w:rPr>
        <w:t> </w:t>
      </w:r>
      <w:r>
        <w:rPr>
          <w:sz w:val="20"/>
        </w:rPr>
        <w:t>approach</w:t>
      </w:r>
      <w:r>
        <w:rPr>
          <w:spacing w:val="-9"/>
          <w:sz w:val="20"/>
        </w:rPr>
        <w:t> </w:t>
      </w:r>
      <w:r>
        <w:rPr>
          <w:sz w:val="20"/>
        </w:rPr>
        <w:t>is</w:t>
      </w:r>
      <w:r>
        <w:rPr>
          <w:spacing w:val="-9"/>
          <w:sz w:val="20"/>
        </w:rPr>
        <w:t> </w:t>
      </w:r>
      <w:r>
        <w:rPr>
          <w:sz w:val="20"/>
        </w:rPr>
        <w:t>that</w:t>
      </w:r>
      <w:r>
        <w:rPr>
          <w:spacing w:val="-9"/>
          <w:sz w:val="20"/>
        </w:rPr>
        <w:t> </w:t>
      </w:r>
      <w:r>
        <w:rPr>
          <w:sz w:val="20"/>
        </w:rPr>
        <w:t>if</w:t>
      </w:r>
      <w:r>
        <w:rPr>
          <w:spacing w:val="-9"/>
          <w:sz w:val="20"/>
        </w:rPr>
        <w:t> </w:t>
      </w:r>
      <w:r>
        <w:rPr>
          <w:sz w:val="20"/>
        </w:rPr>
        <w:t>a</w:t>
      </w:r>
      <w:r>
        <w:rPr>
          <w:spacing w:val="-9"/>
          <w:sz w:val="20"/>
        </w:rPr>
        <w:t> </w:t>
      </w:r>
      <w:r>
        <w:rPr>
          <w:sz w:val="20"/>
        </w:rPr>
        <w:t>person</w:t>
      </w:r>
      <w:r>
        <w:rPr>
          <w:spacing w:val="-9"/>
          <w:sz w:val="20"/>
        </w:rPr>
        <w:t> </w:t>
      </w:r>
      <w:r>
        <w:rPr>
          <w:spacing w:val="-3"/>
          <w:sz w:val="20"/>
        </w:rPr>
        <w:t>receives</w:t>
      </w:r>
      <w:r>
        <w:rPr>
          <w:spacing w:val="-9"/>
          <w:sz w:val="20"/>
        </w:rPr>
        <w:t> </w:t>
      </w:r>
      <w:r>
        <w:rPr>
          <w:sz w:val="20"/>
        </w:rPr>
        <w:t>a</w:t>
      </w:r>
      <w:r>
        <w:rPr>
          <w:spacing w:val="-9"/>
          <w:sz w:val="20"/>
        </w:rPr>
        <w:t> </w:t>
      </w:r>
      <w:r>
        <w:rPr>
          <w:sz w:val="20"/>
        </w:rPr>
        <w:t>disability</w:t>
      </w:r>
      <w:r>
        <w:rPr>
          <w:spacing w:val="-9"/>
          <w:sz w:val="20"/>
        </w:rPr>
        <w:t> </w:t>
      </w:r>
      <w:r>
        <w:rPr>
          <w:sz w:val="20"/>
        </w:rPr>
        <w:t>pension, no further </w:t>
      </w:r>
      <w:r>
        <w:rPr>
          <w:spacing w:val="-3"/>
          <w:sz w:val="20"/>
        </w:rPr>
        <w:t>proof </w:t>
      </w:r>
      <w:r>
        <w:rPr>
          <w:sz w:val="20"/>
        </w:rPr>
        <w:t>of disability is </w:t>
      </w:r>
      <w:r>
        <w:rPr>
          <w:spacing w:val="-3"/>
          <w:sz w:val="20"/>
        </w:rPr>
        <w:t>required; </w:t>
      </w:r>
      <w:r>
        <w:rPr>
          <w:sz w:val="20"/>
        </w:rPr>
        <w:t>in those circumstances, a permanent medical</w:t>
      </w:r>
      <w:r>
        <w:rPr>
          <w:spacing w:val="-6"/>
          <w:sz w:val="20"/>
        </w:rPr>
        <w:t> </w:t>
      </w:r>
      <w:r>
        <w:rPr>
          <w:spacing w:val="-3"/>
          <w:sz w:val="20"/>
        </w:rPr>
        <w:t>excuse</w:t>
      </w:r>
      <w:r>
        <w:rPr>
          <w:spacing w:val="-6"/>
          <w:sz w:val="20"/>
        </w:rPr>
        <w:t> </w:t>
      </w:r>
      <w:r>
        <w:rPr>
          <w:spacing w:val="-3"/>
          <w:sz w:val="20"/>
        </w:rPr>
        <w:t>from</w:t>
      </w:r>
      <w:r>
        <w:rPr>
          <w:spacing w:val="-5"/>
          <w:sz w:val="20"/>
        </w:rPr>
        <w:t> </w:t>
      </w:r>
      <w:r>
        <w:rPr>
          <w:sz w:val="20"/>
        </w:rPr>
        <w:t>service</w:t>
      </w:r>
      <w:r>
        <w:rPr>
          <w:spacing w:val="-6"/>
          <w:sz w:val="20"/>
        </w:rPr>
        <w:t> </w:t>
      </w:r>
      <w:r>
        <w:rPr>
          <w:sz w:val="20"/>
        </w:rPr>
        <w:t>is</w:t>
      </w:r>
      <w:r>
        <w:rPr>
          <w:spacing w:val="-6"/>
          <w:sz w:val="20"/>
        </w:rPr>
        <w:t> </w:t>
      </w:r>
      <w:r>
        <w:rPr>
          <w:spacing w:val="-3"/>
          <w:sz w:val="20"/>
        </w:rPr>
        <w:t>available.</w:t>
      </w:r>
      <w:r>
        <w:rPr>
          <w:spacing w:val="-5"/>
          <w:sz w:val="20"/>
        </w:rPr>
        <w:t> </w:t>
      </w:r>
      <w:r>
        <w:rPr>
          <w:spacing w:val="-3"/>
          <w:sz w:val="20"/>
        </w:rPr>
        <w:t>For</w:t>
      </w:r>
      <w:r>
        <w:rPr>
          <w:spacing w:val="-6"/>
          <w:sz w:val="20"/>
        </w:rPr>
        <w:t> </w:t>
      </w:r>
      <w:r>
        <w:rPr>
          <w:spacing w:val="-3"/>
          <w:sz w:val="20"/>
        </w:rPr>
        <w:t>example,</w:t>
      </w:r>
      <w:r>
        <w:rPr>
          <w:spacing w:val="-5"/>
          <w:sz w:val="20"/>
        </w:rPr>
        <w:t> </w:t>
      </w:r>
      <w:r>
        <w:rPr>
          <w:sz w:val="20"/>
        </w:rPr>
        <w:t>if</w:t>
      </w:r>
      <w:r>
        <w:rPr>
          <w:spacing w:val="-6"/>
          <w:sz w:val="20"/>
        </w:rPr>
        <w:t> </w:t>
      </w:r>
      <w:r>
        <w:rPr>
          <w:sz w:val="20"/>
        </w:rPr>
        <w:t>a</w:t>
      </w:r>
      <w:r>
        <w:rPr>
          <w:spacing w:val="-6"/>
          <w:sz w:val="20"/>
        </w:rPr>
        <w:t> </w:t>
      </w:r>
      <w:r>
        <w:rPr>
          <w:sz w:val="20"/>
        </w:rPr>
        <w:t>person</w:t>
      </w:r>
      <w:r>
        <w:rPr>
          <w:spacing w:val="-5"/>
          <w:sz w:val="20"/>
        </w:rPr>
        <w:t> </w:t>
      </w:r>
      <w:r>
        <w:rPr>
          <w:sz w:val="20"/>
        </w:rPr>
        <w:t>notifies</w:t>
      </w:r>
      <w:r>
        <w:rPr>
          <w:spacing w:val="-6"/>
          <w:sz w:val="20"/>
        </w:rPr>
        <w:t> </w:t>
      </w:r>
      <w:r>
        <w:rPr>
          <w:sz w:val="20"/>
        </w:rPr>
        <w:t>the</w:t>
      </w:r>
    </w:p>
    <w:p>
      <w:pPr>
        <w:pStyle w:val="BodyText"/>
        <w:spacing w:line="230" w:lineRule="exact"/>
        <w:ind w:left="1761"/>
      </w:pPr>
      <w:r>
        <w:rPr/>
        <w:t>Jury Commissioner that hearing support would not assist them to serve, the Jury</w:t>
      </w:r>
    </w:p>
    <w:p>
      <w:pPr>
        <w:pStyle w:val="BodyText"/>
        <w:spacing w:line="259" w:lineRule="exact"/>
        <w:ind w:left="1761"/>
        <w:rPr>
          <w:sz w:val="11"/>
        </w:rPr>
      </w:pPr>
      <w:r>
        <w:rPr/>
        <w:t>Commissioner may excuse the person indefinitely.</w:t>
      </w:r>
      <w:r>
        <w:rPr>
          <w:position w:val="7"/>
          <w:sz w:val="11"/>
        </w:rPr>
        <w:t>18</w:t>
      </w:r>
    </w:p>
    <w:p>
      <w:pPr>
        <w:pStyle w:val="ListParagraph"/>
        <w:numPr>
          <w:ilvl w:val="1"/>
          <w:numId w:val="12"/>
        </w:numPr>
        <w:tabs>
          <w:tab w:pos="1761" w:val="left" w:leader="none"/>
          <w:tab w:pos="1762" w:val="left" w:leader="none"/>
        </w:tabs>
        <w:spacing w:line="206" w:lineRule="auto" w:before="115" w:after="0"/>
        <w:ind w:left="1761" w:right="1241" w:hanging="794"/>
        <w:jc w:val="left"/>
        <w:rPr>
          <w:sz w:val="11"/>
        </w:rPr>
      </w:pPr>
      <w:r>
        <w:rPr>
          <w:sz w:val="20"/>
        </w:rPr>
        <w:t>The Jury Commissioner </w:t>
      </w:r>
      <w:r>
        <w:rPr>
          <w:spacing w:val="-3"/>
          <w:sz w:val="20"/>
        </w:rPr>
        <w:t>told </w:t>
      </w:r>
      <w:r>
        <w:rPr>
          <w:sz w:val="20"/>
        </w:rPr>
        <w:t>us that ‘most people who </w:t>
      </w:r>
      <w:r>
        <w:rPr>
          <w:spacing w:val="-3"/>
          <w:sz w:val="20"/>
        </w:rPr>
        <w:t>are </w:t>
      </w:r>
      <w:r>
        <w:rPr>
          <w:sz w:val="20"/>
        </w:rPr>
        <w:t>medically disabled ask to be</w:t>
      </w:r>
      <w:r>
        <w:rPr>
          <w:spacing w:val="-7"/>
          <w:sz w:val="20"/>
        </w:rPr>
        <w:t> </w:t>
      </w:r>
      <w:r>
        <w:rPr>
          <w:spacing w:val="-3"/>
          <w:sz w:val="20"/>
        </w:rPr>
        <w:t>excused</w:t>
      </w:r>
      <w:r>
        <w:rPr>
          <w:spacing w:val="-7"/>
          <w:sz w:val="20"/>
        </w:rPr>
        <w:t> </w:t>
      </w:r>
      <w:r>
        <w:rPr>
          <w:spacing w:val="-3"/>
          <w:sz w:val="20"/>
        </w:rPr>
        <w:t>from</w:t>
      </w:r>
      <w:r>
        <w:rPr>
          <w:spacing w:val="-6"/>
          <w:sz w:val="20"/>
        </w:rPr>
        <w:t> </w:t>
      </w:r>
      <w:r>
        <w:rPr>
          <w:spacing w:val="-3"/>
          <w:sz w:val="20"/>
        </w:rPr>
        <w:t>service’.</w:t>
      </w:r>
      <w:r>
        <w:rPr>
          <w:spacing w:val="-7"/>
          <w:sz w:val="20"/>
        </w:rPr>
        <w:t> </w:t>
      </w:r>
      <w:r>
        <w:rPr>
          <w:sz w:val="20"/>
        </w:rPr>
        <w:t>The</w:t>
      </w:r>
      <w:r>
        <w:rPr>
          <w:spacing w:val="-6"/>
          <w:sz w:val="20"/>
        </w:rPr>
        <w:t> </w:t>
      </w:r>
      <w:r>
        <w:rPr>
          <w:sz w:val="20"/>
        </w:rPr>
        <w:t>Jury</w:t>
      </w:r>
      <w:r>
        <w:rPr>
          <w:spacing w:val="-7"/>
          <w:sz w:val="20"/>
        </w:rPr>
        <w:t> </w:t>
      </w:r>
      <w:r>
        <w:rPr>
          <w:sz w:val="20"/>
        </w:rPr>
        <w:t>Commissioner</w:t>
      </w:r>
      <w:r>
        <w:rPr>
          <w:spacing w:val="-6"/>
          <w:sz w:val="20"/>
        </w:rPr>
        <w:t> </w:t>
      </w:r>
      <w:r>
        <w:rPr>
          <w:sz w:val="20"/>
        </w:rPr>
        <w:t>‘very</w:t>
      </w:r>
      <w:r>
        <w:rPr>
          <w:spacing w:val="-7"/>
          <w:sz w:val="20"/>
        </w:rPr>
        <w:t> </w:t>
      </w:r>
      <w:r>
        <w:rPr>
          <w:spacing w:val="-3"/>
          <w:sz w:val="20"/>
        </w:rPr>
        <w:t>rarely</w:t>
      </w:r>
      <w:r>
        <w:rPr>
          <w:spacing w:val="-6"/>
          <w:sz w:val="20"/>
        </w:rPr>
        <w:t> </w:t>
      </w:r>
      <w:r>
        <w:rPr>
          <w:sz w:val="20"/>
        </w:rPr>
        <w:t>needs</w:t>
      </w:r>
      <w:r>
        <w:rPr>
          <w:spacing w:val="-7"/>
          <w:sz w:val="20"/>
        </w:rPr>
        <w:t> </w:t>
      </w:r>
      <w:r>
        <w:rPr>
          <w:sz w:val="20"/>
        </w:rPr>
        <w:t>to</w:t>
      </w:r>
      <w:r>
        <w:rPr>
          <w:spacing w:val="-6"/>
          <w:sz w:val="20"/>
        </w:rPr>
        <w:t> </w:t>
      </w:r>
      <w:r>
        <w:rPr>
          <w:sz w:val="20"/>
        </w:rPr>
        <w:t>split</w:t>
      </w:r>
      <w:r>
        <w:rPr>
          <w:spacing w:val="-7"/>
          <w:sz w:val="20"/>
        </w:rPr>
        <w:t> </w:t>
      </w:r>
      <w:r>
        <w:rPr>
          <w:sz w:val="20"/>
        </w:rPr>
        <w:t>hairs</w:t>
      </w:r>
      <w:r>
        <w:rPr>
          <w:spacing w:val="-6"/>
          <w:sz w:val="20"/>
        </w:rPr>
        <w:t> </w:t>
      </w:r>
      <w:r>
        <w:rPr>
          <w:sz w:val="20"/>
        </w:rPr>
        <w:t>about whether a person should serve or</w:t>
      </w:r>
      <w:r>
        <w:rPr>
          <w:spacing w:val="-26"/>
          <w:sz w:val="20"/>
        </w:rPr>
        <w:t> </w:t>
      </w:r>
      <w:r>
        <w:rPr>
          <w:spacing w:val="-3"/>
          <w:sz w:val="20"/>
        </w:rPr>
        <w:t>not’.</w:t>
      </w:r>
      <w:r>
        <w:rPr>
          <w:spacing w:val="-3"/>
          <w:position w:val="7"/>
          <w:sz w:val="11"/>
        </w:rPr>
        <w:t>19</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6"/>
        </w:rPr>
      </w:pPr>
      <w:r>
        <w:rPr/>
        <w:pict>
          <v:line style="position:absolute;mso-position-horizontal-relative:page;mso-position-vertical-relative:paragraph;z-index:9656;mso-wrap-distance-left:0;mso-wrap-distance-right:0" from="79.370102pt,13.959764pt" to="515.905102pt,13.959764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spacing w:before="2"/>
        <w:rPr>
          <w:sz w:val="40"/>
        </w:rPr>
      </w:pPr>
    </w:p>
    <w:p>
      <w:pPr>
        <w:spacing w:before="0"/>
        <w:ind w:left="100" w:right="0" w:firstLine="0"/>
        <w:jc w:val="left"/>
        <w:rPr>
          <w:b/>
          <w:sz w:val="24"/>
        </w:rPr>
      </w:pPr>
      <w:r>
        <w:rPr>
          <w:b/>
          <w:color w:val="37617A"/>
          <w:sz w:val="24"/>
        </w:rPr>
        <w:t>182</w:t>
      </w:r>
    </w:p>
    <w:p>
      <w:pPr>
        <w:pStyle w:val="ListParagraph"/>
        <w:numPr>
          <w:ilvl w:val="0"/>
          <w:numId w:val="109"/>
        </w:numPr>
        <w:tabs>
          <w:tab w:pos="893" w:val="left" w:leader="none"/>
          <w:tab w:pos="894" w:val="left" w:leader="none"/>
        </w:tabs>
        <w:spacing w:line="170" w:lineRule="exact" w:before="21" w:after="0"/>
        <w:ind w:left="893" w:right="0" w:hanging="793"/>
        <w:jc w:val="left"/>
        <w:rPr>
          <w:sz w:val="13"/>
        </w:rPr>
      </w:pPr>
      <w:r>
        <w:rPr>
          <w:i/>
          <w:spacing w:val="2"/>
          <w:sz w:val="13"/>
        </w:rPr>
        <w:br w:type="column"/>
      </w:r>
      <w:r>
        <w:rPr>
          <w:i/>
          <w:sz w:val="13"/>
        </w:rPr>
        <w:t>Juries Act 1967 </w:t>
      </w:r>
      <w:r>
        <w:rPr>
          <w:sz w:val="13"/>
        </w:rPr>
        <w:t>(ACT) s </w:t>
      </w:r>
      <w:r>
        <w:rPr>
          <w:spacing w:val="3"/>
          <w:sz w:val="13"/>
        </w:rPr>
        <w:t>11.</w:t>
      </w:r>
    </w:p>
    <w:p>
      <w:pPr>
        <w:pStyle w:val="ListParagraph"/>
        <w:numPr>
          <w:ilvl w:val="0"/>
          <w:numId w:val="109"/>
        </w:numPr>
        <w:tabs>
          <w:tab w:pos="893" w:val="left" w:leader="none"/>
          <w:tab w:pos="894" w:val="left" w:leader="none"/>
        </w:tabs>
        <w:spacing w:line="160" w:lineRule="exact" w:before="0" w:after="0"/>
        <w:ind w:left="893" w:right="0" w:hanging="793"/>
        <w:jc w:val="left"/>
        <w:rPr>
          <w:sz w:val="13"/>
        </w:rPr>
      </w:pPr>
      <w:r>
        <w:rPr>
          <w:i/>
          <w:sz w:val="13"/>
        </w:rPr>
        <w:t>Juries Regulation 2018 </w:t>
      </w:r>
      <w:r>
        <w:rPr>
          <w:sz w:val="13"/>
        </w:rPr>
        <w:t>(ACT) sch 1 table </w:t>
      </w:r>
      <w:r>
        <w:rPr>
          <w:spacing w:val="4"/>
          <w:sz w:val="13"/>
        </w:rPr>
        <w:t>1.4 </w:t>
      </w:r>
      <w:r>
        <w:rPr>
          <w:sz w:val="13"/>
        </w:rPr>
        <w:t>item</w:t>
      </w:r>
      <w:r>
        <w:rPr>
          <w:spacing w:val="-1"/>
          <w:sz w:val="13"/>
        </w:rPr>
        <w:t> </w:t>
      </w:r>
      <w:r>
        <w:rPr>
          <w:sz w:val="13"/>
        </w:rPr>
        <w:t>8.</w:t>
      </w:r>
    </w:p>
    <w:p>
      <w:pPr>
        <w:pStyle w:val="ListParagraph"/>
        <w:numPr>
          <w:ilvl w:val="0"/>
          <w:numId w:val="109"/>
        </w:numPr>
        <w:tabs>
          <w:tab w:pos="893" w:val="left" w:leader="none"/>
          <w:tab w:pos="894" w:val="left" w:leader="none"/>
        </w:tabs>
        <w:spacing w:line="160" w:lineRule="exact" w:before="0" w:after="0"/>
        <w:ind w:left="893" w:right="0" w:hanging="793"/>
        <w:jc w:val="left"/>
        <w:rPr>
          <w:sz w:val="13"/>
        </w:rPr>
      </w:pPr>
      <w:r>
        <w:rPr>
          <w:i/>
          <w:sz w:val="13"/>
        </w:rPr>
        <w:t>Juries Act 1967 </w:t>
      </w:r>
      <w:r>
        <w:rPr>
          <w:sz w:val="13"/>
        </w:rPr>
        <w:t>(ACT) s </w:t>
      </w:r>
      <w:r>
        <w:rPr>
          <w:spacing w:val="2"/>
          <w:sz w:val="13"/>
        </w:rPr>
        <w:t>14(1).</w:t>
      </w:r>
    </w:p>
    <w:p>
      <w:pPr>
        <w:tabs>
          <w:tab w:pos="893" w:val="left" w:leader="none"/>
        </w:tabs>
        <w:spacing w:line="160" w:lineRule="exact" w:before="0"/>
        <w:ind w:left="100" w:right="0" w:firstLine="0"/>
        <w:jc w:val="left"/>
        <w:rPr>
          <w:sz w:val="13"/>
        </w:rPr>
      </w:pPr>
      <w:r>
        <w:rPr>
          <w:sz w:val="13"/>
        </w:rPr>
        <w:t>13</w:t>
        <w:tab/>
        <w:t>Ibid s</w:t>
      </w:r>
      <w:r>
        <w:rPr>
          <w:spacing w:val="10"/>
          <w:sz w:val="13"/>
        </w:rPr>
        <w:t> </w:t>
      </w:r>
      <w:r>
        <w:rPr>
          <w:spacing w:val="2"/>
          <w:sz w:val="13"/>
        </w:rPr>
        <w:t>14(2).</w:t>
      </w:r>
    </w:p>
    <w:p>
      <w:pPr>
        <w:tabs>
          <w:tab w:pos="893" w:val="left" w:leader="none"/>
        </w:tabs>
        <w:spacing w:line="160" w:lineRule="exact" w:before="0"/>
        <w:ind w:left="100" w:right="0" w:firstLine="0"/>
        <w:jc w:val="left"/>
        <w:rPr>
          <w:sz w:val="13"/>
        </w:rPr>
      </w:pPr>
      <w:r>
        <w:rPr>
          <w:spacing w:val="3"/>
          <w:sz w:val="13"/>
        </w:rPr>
        <w:t>14</w:t>
        <w:tab/>
      </w:r>
      <w:r>
        <w:rPr>
          <w:sz w:val="13"/>
        </w:rPr>
        <w:t>Ibid s</w:t>
      </w:r>
      <w:r>
        <w:rPr>
          <w:spacing w:val="9"/>
          <w:sz w:val="13"/>
        </w:rPr>
        <w:t> </w:t>
      </w:r>
      <w:r>
        <w:rPr>
          <w:spacing w:val="2"/>
          <w:sz w:val="13"/>
        </w:rPr>
        <w:t>14(1).</w:t>
      </w:r>
    </w:p>
    <w:p>
      <w:pPr>
        <w:pStyle w:val="ListParagraph"/>
        <w:numPr>
          <w:ilvl w:val="0"/>
          <w:numId w:val="110"/>
        </w:numPr>
        <w:tabs>
          <w:tab w:pos="893" w:val="left" w:leader="none"/>
          <w:tab w:pos="894" w:val="left" w:leader="none"/>
        </w:tabs>
        <w:spacing w:line="160" w:lineRule="exact" w:before="0" w:after="0"/>
        <w:ind w:left="893" w:right="0" w:hanging="793"/>
        <w:jc w:val="left"/>
        <w:rPr>
          <w:sz w:val="13"/>
        </w:rPr>
      </w:pPr>
      <w:r>
        <w:rPr>
          <w:sz w:val="13"/>
        </w:rPr>
        <w:t>We discuss recent changes to the law in the United </w:t>
      </w:r>
      <w:r>
        <w:rPr>
          <w:spacing w:val="2"/>
          <w:sz w:val="13"/>
        </w:rPr>
        <w:t>Kingdom </w:t>
      </w:r>
      <w:r>
        <w:rPr>
          <w:sz w:val="13"/>
        </w:rPr>
        <w:t>regarding British Sign </w:t>
      </w:r>
      <w:r>
        <w:rPr>
          <w:spacing w:val="2"/>
          <w:sz w:val="13"/>
        </w:rPr>
        <w:t>Language </w:t>
      </w:r>
      <w:r>
        <w:rPr>
          <w:sz w:val="13"/>
        </w:rPr>
        <w:t>interpreters in Chapter</w:t>
      </w:r>
      <w:r>
        <w:rPr>
          <w:spacing w:val="23"/>
          <w:sz w:val="13"/>
        </w:rPr>
        <w:t> </w:t>
      </w:r>
      <w:r>
        <w:rPr>
          <w:sz w:val="13"/>
        </w:rPr>
        <w:t>10.</w:t>
      </w:r>
    </w:p>
    <w:p>
      <w:pPr>
        <w:pStyle w:val="ListParagraph"/>
        <w:numPr>
          <w:ilvl w:val="0"/>
          <w:numId w:val="110"/>
        </w:numPr>
        <w:tabs>
          <w:tab w:pos="893" w:val="left" w:leader="none"/>
          <w:tab w:pos="894" w:val="left" w:leader="none"/>
        </w:tabs>
        <w:spacing w:line="160" w:lineRule="exact" w:before="0" w:after="0"/>
        <w:ind w:left="893" w:right="0" w:hanging="793"/>
        <w:jc w:val="left"/>
        <w:rPr>
          <w:sz w:val="13"/>
        </w:rPr>
      </w:pPr>
      <w:r>
        <w:rPr>
          <w:i/>
          <w:sz w:val="13"/>
        </w:rPr>
        <w:t>Juries Act 1974 </w:t>
      </w:r>
      <w:r>
        <w:rPr>
          <w:spacing w:val="3"/>
          <w:sz w:val="13"/>
        </w:rPr>
        <w:t>(UK</w:t>
      </w:r>
      <w:r>
        <w:rPr>
          <w:i/>
          <w:spacing w:val="3"/>
          <w:sz w:val="13"/>
        </w:rPr>
        <w:t>) </w:t>
      </w:r>
      <w:r>
        <w:rPr>
          <w:sz w:val="13"/>
        </w:rPr>
        <w:t>s </w:t>
      </w:r>
      <w:r>
        <w:rPr>
          <w:spacing w:val="3"/>
          <w:sz w:val="13"/>
        </w:rPr>
        <w:t>9B. </w:t>
      </w:r>
      <w:r>
        <w:rPr>
          <w:sz w:val="13"/>
        </w:rPr>
        <w:t>This power is exercised by the judge. This Act only </w:t>
      </w:r>
      <w:r>
        <w:rPr>
          <w:spacing w:val="2"/>
          <w:sz w:val="13"/>
        </w:rPr>
        <w:t>applies </w:t>
      </w:r>
      <w:r>
        <w:rPr>
          <w:sz w:val="13"/>
        </w:rPr>
        <w:t>to </w:t>
      </w:r>
      <w:r>
        <w:rPr>
          <w:spacing w:val="2"/>
          <w:sz w:val="13"/>
        </w:rPr>
        <w:t>England </w:t>
      </w:r>
      <w:r>
        <w:rPr>
          <w:sz w:val="13"/>
        </w:rPr>
        <w:t>and</w:t>
      </w:r>
      <w:r>
        <w:rPr>
          <w:spacing w:val="3"/>
          <w:sz w:val="13"/>
        </w:rPr>
        <w:t> </w:t>
      </w:r>
      <w:r>
        <w:rPr>
          <w:sz w:val="13"/>
        </w:rPr>
        <w:t>Wales.</w:t>
      </w:r>
    </w:p>
    <w:p>
      <w:pPr>
        <w:pStyle w:val="ListParagraph"/>
        <w:numPr>
          <w:ilvl w:val="0"/>
          <w:numId w:val="110"/>
        </w:numPr>
        <w:tabs>
          <w:tab w:pos="893" w:val="left" w:leader="none"/>
          <w:tab w:pos="894" w:val="left" w:leader="none"/>
        </w:tabs>
        <w:spacing w:line="160" w:lineRule="exact" w:before="0" w:after="0"/>
        <w:ind w:left="893" w:right="0" w:hanging="793"/>
        <w:jc w:val="left"/>
        <w:rPr>
          <w:sz w:val="13"/>
        </w:rPr>
      </w:pPr>
      <w:r>
        <w:rPr>
          <w:sz w:val="13"/>
        </w:rPr>
        <w:t>Ibid s 9(2).</w:t>
      </w:r>
    </w:p>
    <w:p>
      <w:pPr>
        <w:pStyle w:val="ListParagraph"/>
        <w:numPr>
          <w:ilvl w:val="0"/>
          <w:numId w:val="110"/>
        </w:numPr>
        <w:tabs>
          <w:tab w:pos="893" w:val="left" w:leader="none"/>
          <w:tab w:pos="894" w:val="left" w:leader="none"/>
        </w:tabs>
        <w:spacing w:line="160" w:lineRule="exact" w:before="0" w:after="0"/>
        <w:ind w:left="893" w:right="0" w:hanging="793"/>
        <w:jc w:val="left"/>
        <w:rPr>
          <w:sz w:val="13"/>
        </w:rPr>
      </w:pP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w:t>
      </w:r>
      <w:r>
        <w:rPr>
          <w:spacing w:val="4"/>
          <w:sz w:val="13"/>
        </w:rPr>
        <w:t> </w:t>
      </w:r>
      <w:r>
        <w:rPr>
          <w:sz w:val="13"/>
        </w:rPr>
        <w:t>States).</w:t>
      </w:r>
    </w:p>
    <w:p>
      <w:pPr>
        <w:pStyle w:val="ListParagraph"/>
        <w:numPr>
          <w:ilvl w:val="0"/>
          <w:numId w:val="110"/>
        </w:numPr>
        <w:tabs>
          <w:tab w:pos="893" w:val="left" w:leader="none"/>
          <w:tab w:pos="894" w:val="left" w:leader="none"/>
        </w:tabs>
        <w:spacing w:line="170" w:lineRule="exact" w:before="0" w:after="0"/>
        <w:ind w:left="893" w:right="0" w:hanging="793"/>
        <w:jc w:val="left"/>
        <w:rPr>
          <w:sz w:val="13"/>
        </w:rPr>
      </w:pPr>
      <w:r>
        <w:rPr>
          <w:spacing w:val="2"/>
          <w:sz w:val="13"/>
        </w:rPr>
        <w:t>Ibid.</w:t>
      </w:r>
    </w:p>
    <w:p>
      <w:pPr>
        <w:spacing w:after="0" w:line="170" w:lineRule="exact"/>
        <w:jc w:val="left"/>
        <w:rPr>
          <w:sz w:val="13"/>
        </w:rPr>
        <w:sectPr>
          <w:type w:val="continuous"/>
          <w:pgSz w:w="11910" w:h="16840"/>
          <w:pgMar w:top="620" w:bottom="280" w:left="620" w:right="380"/>
          <w:cols w:num="2" w:equalWidth="0">
            <w:col w:w="536" w:space="332"/>
            <w:col w:w="10042"/>
          </w:cols>
        </w:sectPr>
      </w:pPr>
    </w:p>
    <w:p>
      <w:pPr>
        <w:pStyle w:val="BodyText"/>
      </w:pPr>
    </w:p>
    <w:p>
      <w:pPr>
        <w:pStyle w:val="BodyText"/>
      </w:pPr>
    </w:p>
    <w:p>
      <w:pPr>
        <w:pStyle w:val="BodyText"/>
      </w:pPr>
    </w:p>
    <w:p>
      <w:pPr>
        <w:pStyle w:val="BodyText"/>
        <w:spacing w:before="6"/>
        <w:rPr>
          <w:sz w:val="14"/>
        </w:rPr>
      </w:pPr>
    </w:p>
    <w:p>
      <w:pPr>
        <w:spacing w:before="49"/>
        <w:ind w:left="967" w:right="0" w:firstLine="0"/>
        <w:jc w:val="left"/>
        <w:rPr>
          <w:b/>
          <w:sz w:val="24"/>
        </w:rPr>
      </w:pPr>
      <w:bookmarkStart w:name="What did other law reform bodies say abo" w:id="316"/>
      <w:bookmarkEnd w:id="316"/>
      <w:r>
        <w:rPr/>
      </w:r>
      <w:bookmarkStart w:name="_bookmark133" w:id="317"/>
      <w:bookmarkEnd w:id="317"/>
      <w:r>
        <w:rPr/>
      </w:r>
      <w:r>
        <w:rPr>
          <w:b/>
          <w:sz w:val="24"/>
        </w:rPr>
        <w:t>New Zealand</w:t>
      </w:r>
    </w:p>
    <w:p>
      <w:pPr>
        <w:pStyle w:val="ListParagraph"/>
        <w:numPr>
          <w:ilvl w:val="1"/>
          <w:numId w:val="12"/>
        </w:numPr>
        <w:tabs>
          <w:tab w:pos="1761" w:val="left" w:leader="none"/>
          <w:tab w:pos="1762" w:val="left" w:leader="none"/>
        </w:tabs>
        <w:spacing w:line="206" w:lineRule="auto" w:before="127" w:after="0"/>
        <w:ind w:left="1761" w:right="1248" w:hanging="794"/>
        <w:jc w:val="left"/>
        <w:rPr>
          <w:sz w:val="20"/>
        </w:rPr>
      </w:pPr>
      <w:r>
        <w:rPr>
          <w:spacing w:val="-6"/>
          <w:sz w:val="20"/>
        </w:rPr>
        <w:t>We </w:t>
      </w:r>
      <w:r>
        <w:rPr>
          <w:spacing w:val="-4"/>
          <w:sz w:val="20"/>
        </w:rPr>
        <w:t>were </w:t>
      </w:r>
      <w:r>
        <w:rPr>
          <w:spacing w:val="-3"/>
          <w:sz w:val="20"/>
        </w:rPr>
        <w:t>told by </w:t>
      </w:r>
      <w:r>
        <w:rPr>
          <w:sz w:val="20"/>
        </w:rPr>
        <w:t>consultees </w:t>
      </w:r>
      <w:r>
        <w:rPr>
          <w:spacing w:val="-3"/>
          <w:sz w:val="20"/>
        </w:rPr>
        <w:t>from </w:t>
      </w:r>
      <w:r>
        <w:rPr>
          <w:sz w:val="20"/>
        </w:rPr>
        <w:t>the High Court and District Court of New Zealand that,</w:t>
      </w:r>
      <w:r>
        <w:rPr>
          <w:spacing w:val="-9"/>
          <w:sz w:val="20"/>
        </w:rPr>
        <w:t> </w:t>
      </w:r>
      <w:r>
        <w:rPr>
          <w:sz w:val="20"/>
        </w:rPr>
        <w:t>of</w:t>
      </w:r>
      <w:r>
        <w:rPr>
          <w:spacing w:val="-9"/>
          <w:sz w:val="20"/>
        </w:rPr>
        <w:t> </w:t>
      </w:r>
      <w:r>
        <w:rPr>
          <w:sz w:val="20"/>
        </w:rPr>
        <w:t>the</w:t>
      </w:r>
      <w:r>
        <w:rPr>
          <w:spacing w:val="-9"/>
          <w:sz w:val="20"/>
        </w:rPr>
        <w:t> </w:t>
      </w:r>
      <w:r>
        <w:rPr>
          <w:sz w:val="20"/>
        </w:rPr>
        <w:t>thousands</w:t>
      </w:r>
      <w:r>
        <w:rPr>
          <w:spacing w:val="-9"/>
          <w:sz w:val="20"/>
        </w:rPr>
        <w:t> </w:t>
      </w:r>
      <w:r>
        <w:rPr>
          <w:sz w:val="20"/>
        </w:rPr>
        <w:t>of</w:t>
      </w:r>
      <w:r>
        <w:rPr>
          <w:spacing w:val="-9"/>
          <w:sz w:val="20"/>
        </w:rPr>
        <w:t> </w:t>
      </w:r>
      <w:r>
        <w:rPr>
          <w:sz w:val="20"/>
        </w:rPr>
        <w:t>summonses</w:t>
      </w:r>
      <w:r>
        <w:rPr>
          <w:spacing w:val="-9"/>
          <w:sz w:val="20"/>
        </w:rPr>
        <w:t> </w:t>
      </w:r>
      <w:r>
        <w:rPr>
          <w:sz w:val="20"/>
        </w:rPr>
        <w:t>sent</w:t>
      </w:r>
      <w:r>
        <w:rPr>
          <w:spacing w:val="-9"/>
          <w:sz w:val="20"/>
        </w:rPr>
        <w:t> </w:t>
      </w:r>
      <w:r>
        <w:rPr>
          <w:sz w:val="20"/>
        </w:rPr>
        <w:t>out</w:t>
      </w:r>
      <w:r>
        <w:rPr>
          <w:spacing w:val="-9"/>
          <w:sz w:val="20"/>
        </w:rPr>
        <w:t> </w:t>
      </w:r>
      <w:r>
        <w:rPr>
          <w:spacing w:val="-4"/>
          <w:sz w:val="20"/>
        </w:rPr>
        <w:t>over</w:t>
      </w:r>
      <w:r>
        <w:rPr>
          <w:spacing w:val="-9"/>
          <w:sz w:val="20"/>
        </w:rPr>
        <w:t> </w:t>
      </w:r>
      <w:r>
        <w:rPr>
          <w:sz w:val="20"/>
        </w:rPr>
        <w:t>the</w:t>
      </w:r>
      <w:r>
        <w:rPr>
          <w:spacing w:val="-9"/>
          <w:sz w:val="20"/>
        </w:rPr>
        <w:t> </w:t>
      </w:r>
      <w:r>
        <w:rPr>
          <w:sz w:val="20"/>
        </w:rPr>
        <w:t>past</w:t>
      </w:r>
      <w:r>
        <w:rPr>
          <w:spacing w:val="-9"/>
          <w:sz w:val="20"/>
        </w:rPr>
        <w:t> </w:t>
      </w:r>
      <w:r>
        <w:rPr>
          <w:sz w:val="20"/>
        </w:rPr>
        <w:t>three</w:t>
      </w:r>
      <w:r>
        <w:rPr>
          <w:spacing w:val="-9"/>
          <w:sz w:val="20"/>
        </w:rPr>
        <w:t> </w:t>
      </w:r>
      <w:r>
        <w:rPr>
          <w:sz w:val="20"/>
        </w:rPr>
        <w:t>years,</w:t>
      </w:r>
      <w:r>
        <w:rPr>
          <w:spacing w:val="-9"/>
          <w:sz w:val="20"/>
        </w:rPr>
        <w:t> </w:t>
      </w:r>
      <w:r>
        <w:rPr>
          <w:spacing w:val="-3"/>
          <w:sz w:val="20"/>
        </w:rPr>
        <w:t>only</w:t>
      </w:r>
      <w:r>
        <w:rPr>
          <w:spacing w:val="-9"/>
          <w:sz w:val="20"/>
        </w:rPr>
        <w:t> </w:t>
      </w:r>
      <w:r>
        <w:rPr>
          <w:sz w:val="20"/>
        </w:rPr>
        <w:t>14</w:t>
      </w:r>
      <w:r>
        <w:rPr>
          <w:spacing w:val="-9"/>
          <w:sz w:val="20"/>
        </w:rPr>
        <w:t> </w:t>
      </w:r>
      <w:r>
        <w:rPr>
          <w:sz w:val="20"/>
        </w:rPr>
        <w:t>people </w:t>
      </w:r>
      <w:r>
        <w:rPr>
          <w:spacing w:val="-4"/>
          <w:sz w:val="20"/>
        </w:rPr>
        <w:t>have </w:t>
      </w:r>
      <w:r>
        <w:rPr>
          <w:sz w:val="20"/>
        </w:rPr>
        <w:t>been </w:t>
      </w:r>
      <w:r>
        <w:rPr>
          <w:spacing w:val="-3"/>
          <w:sz w:val="20"/>
        </w:rPr>
        <w:t>excused </w:t>
      </w:r>
      <w:r>
        <w:rPr>
          <w:sz w:val="20"/>
        </w:rPr>
        <w:t>for reasons of disability </w:t>
      </w:r>
      <w:r>
        <w:rPr>
          <w:spacing w:val="-3"/>
          <w:sz w:val="20"/>
        </w:rPr>
        <w:t>from </w:t>
      </w:r>
      <w:r>
        <w:rPr>
          <w:sz w:val="20"/>
        </w:rPr>
        <w:t>the High Court and </w:t>
      </w:r>
      <w:r>
        <w:rPr>
          <w:spacing w:val="-3"/>
          <w:sz w:val="20"/>
        </w:rPr>
        <w:t>only </w:t>
      </w:r>
      <w:r>
        <w:rPr>
          <w:sz w:val="20"/>
        </w:rPr>
        <w:t>one </w:t>
      </w:r>
      <w:r>
        <w:rPr>
          <w:spacing w:val="-3"/>
          <w:sz w:val="20"/>
        </w:rPr>
        <w:t>from </w:t>
      </w:r>
      <w:r>
        <w:rPr>
          <w:sz w:val="20"/>
        </w:rPr>
        <w:t>the District Court. The consultees further</w:t>
      </w:r>
      <w:r>
        <w:rPr>
          <w:spacing w:val="-23"/>
          <w:sz w:val="20"/>
        </w:rPr>
        <w:t> </w:t>
      </w:r>
      <w:r>
        <w:rPr>
          <w:sz w:val="20"/>
        </w:rPr>
        <w:t>noted:</w:t>
      </w:r>
    </w:p>
    <w:p>
      <w:pPr>
        <w:spacing w:line="208" w:lineRule="auto" w:before="123"/>
        <w:ind w:left="2157" w:right="1335" w:firstLine="0"/>
        <w:jc w:val="left"/>
        <w:rPr>
          <w:sz w:val="11"/>
        </w:rPr>
      </w:pPr>
      <w:r>
        <w:rPr>
          <w:sz w:val="19"/>
        </w:rPr>
        <w:t>There seems to be quite a bit of self-selection when it comes to potential jurors with hearing or vision loss. Some people contact the court after they have received their summons (usually around six weeks prior to the trial) to say, ‘I have disability x, what does the court have to support me to serve?’. However, more commonly, a person with hearing or vision loss will call and state that ‘I have reflected on it, and learned about the system, and don’t feel comfortable to serve’.</w:t>
      </w:r>
      <w:r>
        <w:rPr>
          <w:position w:val="6"/>
          <w:sz w:val="11"/>
        </w:rPr>
        <w:t>20</w:t>
      </w:r>
    </w:p>
    <w:p>
      <w:pPr>
        <w:pStyle w:val="ListParagraph"/>
        <w:numPr>
          <w:ilvl w:val="1"/>
          <w:numId w:val="12"/>
        </w:numPr>
        <w:tabs>
          <w:tab w:pos="1761" w:val="left" w:leader="none"/>
          <w:tab w:pos="1762" w:val="left" w:leader="none"/>
        </w:tabs>
        <w:spacing w:line="206" w:lineRule="auto" w:before="126" w:after="0"/>
        <w:ind w:left="1761" w:right="1283" w:hanging="794"/>
        <w:jc w:val="left"/>
        <w:rPr>
          <w:sz w:val="11"/>
        </w:rPr>
      </w:pPr>
      <w:r>
        <w:rPr>
          <w:sz w:val="20"/>
        </w:rPr>
        <w:t>A</w:t>
      </w:r>
      <w:r>
        <w:rPr>
          <w:spacing w:val="-10"/>
          <w:sz w:val="20"/>
        </w:rPr>
        <w:t> </w:t>
      </w:r>
      <w:r>
        <w:rPr>
          <w:sz w:val="20"/>
        </w:rPr>
        <w:t>New</w:t>
      </w:r>
      <w:r>
        <w:rPr>
          <w:spacing w:val="-10"/>
          <w:sz w:val="20"/>
        </w:rPr>
        <w:t> </w:t>
      </w:r>
      <w:r>
        <w:rPr>
          <w:sz w:val="20"/>
        </w:rPr>
        <w:t>Zealand</w:t>
      </w:r>
      <w:r>
        <w:rPr>
          <w:spacing w:val="-10"/>
          <w:sz w:val="20"/>
        </w:rPr>
        <w:t> </w:t>
      </w:r>
      <w:r>
        <w:rPr>
          <w:sz w:val="20"/>
        </w:rPr>
        <w:t>court</w:t>
      </w:r>
      <w:r>
        <w:rPr>
          <w:spacing w:val="-10"/>
          <w:sz w:val="20"/>
        </w:rPr>
        <w:t> </w:t>
      </w:r>
      <w:r>
        <w:rPr>
          <w:sz w:val="20"/>
        </w:rPr>
        <w:t>consultee</w:t>
      </w:r>
      <w:r>
        <w:rPr>
          <w:spacing w:val="-9"/>
          <w:sz w:val="20"/>
        </w:rPr>
        <w:t> </w:t>
      </w:r>
      <w:r>
        <w:rPr>
          <w:sz w:val="20"/>
        </w:rPr>
        <w:t>noted</w:t>
      </w:r>
      <w:r>
        <w:rPr>
          <w:spacing w:val="-10"/>
          <w:sz w:val="20"/>
        </w:rPr>
        <w:t> </w:t>
      </w:r>
      <w:r>
        <w:rPr>
          <w:sz w:val="20"/>
        </w:rPr>
        <w:t>that</w:t>
      </w:r>
      <w:r>
        <w:rPr>
          <w:spacing w:val="-10"/>
          <w:sz w:val="20"/>
        </w:rPr>
        <w:t> </w:t>
      </w:r>
      <w:r>
        <w:rPr>
          <w:spacing w:val="-3"/>
          <w:sz w:val="20"/>
        </w:rPr>
        <w:t>excuse</w:t>
      </w:r>
      <w:r>
        <w:rPr>
          <w:spacing w:val="-10"/>
          <w:sz w:val="20"/>
        </w:rPr>
        <w:t> </w:t>
      </w:r>
      <w:r>
        <w:rPr>
          <w:sz w:val="20"/>
        </w:rPr>
        <w:t>is</w:t>
      </w:r>
      <w:r>
        <w:rPr>
          <w:spacing w:val="-10"/>
          <w:sz w:val="20"/>
        </w:rPr>
        <w:t> </w:t>
      </w:r>
      <w:r>
        <w:rPr>
          <w:spacing w:val="-3"/>
          <w:sz w:val="20"/>
        </w:rPr>
        <w:t>currently</w:t>
      </w:r>
      <w:r>
        <w:rPr>
          <w:spacing w:val="-9"/>
          <w:sz w:val="20"/>
        </w:rPr>
        <w:t> </w:t>
      </w:r>
      <w:r>
        <w:rPr>
          <w:sz w:val="20"/>
        </w:rPr>
        <w:t>dealt</w:t>
      </w:r>
      <w:r>
        <w:rPr>
          <w:spacing w:val="-10"/>
          <w:sz w:val="20"/>
        </w:rPr>
        <w:t> </w:t>
      </w:r>
      <w:r>
        <w:rPr>
          <w:sz w:val="20"/>
        </w:rPr>
        <w:t>with</w:t>
      </w:r>
      <w:r>
        <w:rPr>
          <w:spacing w:val="-10"/>
          <w:sz w:val="20"/>
        </w:rPr>
        <w:t> </w:t>
      </w:r>
      <w:r>
        <w:rPr>
          <w:sz w:val="20"/>
        </w:rPr>
        <w:t>on</w:t>
      </w:r>
      <w:r>
        <w:rPr>
          <w:spacing w:val="-10"/>
          <w:sz w:val="20"/>
        </w:rPr>
        <w:t> </w:t>
      </w:r>
      <w:r>
        <w:rPr>
          <w:sz w:val="20"/>
        </w:rPr>
        <w:t>a</w:t>
      </w:r>
      <w:r>
        <w:rPr>
          <w:spacing w:val="-10"/>
          <w:sz w:val="20"/>
        </w:rPr>
        <w:t> </w:t>
      </w:r>
      <w:r>
        <w:rPr>
          <w:sz w:val="20"/>
        </w:rPr>
        <w:t>case-by- case basis. If a person with disability is willing to serve, the court works with them to facilitate it. </w:t>
      </w:r>
      <w:r>
        <w:rPr>
          <w:spacing w:val="-5"/>
          <w:sz w:val="20"/>
        </w:rPr>
        <w:t>However, </w:t>
      </w:r>
      <w:r>
        <w:rPr>
          <w:sz w:val="20"/>
        </w:rPr>
        <w:t>it was also noted that </w:t>
      </w:r>
      <w:r>
        <w:rPr>
          <w:spacing w:val="-3"/>
          <w:sz w:val="20"/>
        </w:rPr>
        <w:t>excusal </w:t>
      </w:r>
      <w:r>
        <w:rPr>
          <w:sz w:val="20"/>
        </w:rPr>
        <w:t>should be an option for those with disabilities.</w:t>
      </w:r>
      <w:r>
        <w:rPr>
          <w:position w:val="7"/>
          <w:sz w:val="11"/>
        </w:rPr>
        <w:t>21</w:t>
      </w:r>
    </w:p>
    <w:p>
      <w:pPr>
        <w:pStyle w:val="BodyText"/>
        <w:spacing w:before="13"/>
        <w:rPr>
          <w:sz w:val="21"/>
        </w:rPr>
      </w:pPr>
    </w:p>
    <w:p>
      <w:pPr>
        <w:spacing w:line="184" w:lineRule="auto" w:before="0"/>
        <w:ind w:left="967" w:right="1335" w:firstLine="0"/>
        <w:jc w:val="left"/>
        <w:rPr>
          <w:rFonts w:ascii="Raleway ExtraBold"/>
          <w:b/>
          <w:sz w:val="28"/>
        </w:rPr>
      </w:pPr>
      <w:r>
        <w:rPr>
          <w:rFonts w:ascii="Raleway ExtraBold"/>
          <w:b/>
          <w:color w:val="37617A"/>
          <w:sz w:val="28"/>
        </w:rPr>
        <w:t>What did other law reform bodies say about excuse from jury service?</w:t>
      </w:r>
    </w:p>
    <w:p>
      <w:pPr>
        <w:pStyle w:val="ListParagraph"/>
        <w:numPr>
          <w:ilvl w:val="1"/>
          <w:numId w:val="12"/>
        </w:numPr>
        <w:tabs>
          <w:tab w:pos="1761" w:val="left" w:leader="none"/>
          <w:tab w:pos="1762" w:val="left" w:leader="none"/>
        </w:tabs>
        <w:spacing w:line="206" w:lineRule="auto" w:before="162" w:after="0"/>
        <w:ind w:left="1761" w:right="1469" w:hanging="794"/>
        <w:jc w:val="left"/>
        <w:rPr>
          <w:sz w:val="20"/>
        </w:rPr>
      </w:pPr>
      <w:r>
        <w:rPr>
          <w:spacing w:val="-3"/>
          <w:sz w:val="20"/>
        </w:rPr>
        <w:t>Previous </w:t>
      </w:r>
      <w:r>
        <w:rPr>
          <w:spacing w:val="-4"/>
          <w:sz w:val="20"/>
        </w:rPr>
        <w:t>reviews </w:t>
      </w:r>
      <w:r>
        <w:rPr>
          <w:spacing w:val="-3"/>
          <w:sz w:val="20"/>
        </w:rPr>
        <w:t>by </w:t>
      </w:r>
      <w:r>
        <w:rPr>
          <w:sz w:val="20"/>
        </w:rPr>
        <w:t>law </w:t>
      </w:r>
      <w:r>
        <w:rPr>
          <w:spacing w:val="-3"/>
          <w:sz w:val="20"/>
        </w:rPr>
        <w:t>reform </w:t>
      </w:r>
      <w:r>
        <w:rPr>
          <w:sz w:val="20"/>
        </w:rPr>
        <w:t>bodies </w:t>
      </w:r>
      <w:r>
        <w:rPr>
          <w:spacing w:val="-4"/>
          <w:sz w:val="20"/>
        </w:rPr>
        <w:t>have </w:t>
      </w:r>
      <w:r>
        <w:rPr>
          <w:sz w:val="20"/>
        </w:rPr>
        <w:t>emphasised the importance of making a</w:t>
      </w:r>
      <w:r>
        <w:rPr>
          <w:spacing w:val="-10"/>
          <w:sz w:val="20"/>
        </w:rPr>
        <w:t> </w:t>
      </w:r>
      <w:r>
        <w:rPr>
          <w:sz w:val="20"/>
        </w:rPr>
        <w:t>case-by-case</w:t>
      </w:r>
      <w:r>
        <w:rPr>
          <w:spacing w:val="-10"/>
          <w:sz w:val="20"/>
        </w:rPr>
        <w:t> </w:t>
      </w:r>
      <w:r>
        <w:rPr>
          <w:sz w:val="20"/>
        </w:rPr>
        <w:t>assessment</w:t>
      </w:r>
      <w:r>
        <w:rPr>
          <w:spacing w:val="-9"/>
          <w:sz w:val="20"/>
        </w:rPr>
        <w:t> </w:t>
      </w:r>
      <w:r>
        <w:rPr>
          <w:sz w:val="20"/>
        </w:rPr>
        <w:t>of</w:t>
      </w:r>
      <w:r>
        <w:rPr>
          <w:spacing w:val="-10"/>
          <w:sz w:val="20"/>
        </w:rPr>
        <w:t> </w:t>
      </w:r>
      <w:r>
        <w:rPr>
          <w:sz w:val="20"/>
        </w:rPr>
        <w:t>the</w:t>
      </w:r>
      <w:r>
        <w:rPr>
          <w:spacing w:val="-9"/>
          <w:sz w:val="20"/>
        </w:rPr>
        <w:t> </w:t>
      </w:r>
      <w:r>
        <w:rPr>
          <w:spacing w:val="-3"/>
          <w:sz w:val="20"/>
        </w:rPr>
        <w:t>provision</w:t>
      </w:r>
      <w:r>
        <w:rPr>
          <w:spacing w:val="-10"/>
          <w:sz w:val="20"/>
        </w:rPr>
        <w:t> </w:t>
      </w:r>
      <w:r>
        <w:rPr>
          <w:sz w:val="20"/>
        </w:rPr>
        <w:t>of</w:t>
      </w:r>
      <w:r>
        <w:rPr>
          <w:spacing w:val="-9"/>
          <w:sz w:val="20"/>
        </w:rPr>
        <w:t> </w:t>
      </w:r>
      <w:r>
        <w:rPr>
          <w:sz w:val="20"/>
        </w:rPr>
        <w:t>reasonable</w:t>
      </w:r>
      <w:r>
        <w:rPr>
          <w:spacing w:val="-10"/>
          <w:sz w:val="20"/>
        </w:rPr>
        <w:t> </w:t>
      </w:r>
      <w:r>
        <w:rPr>
          <w:sz w:val="20"/>
        </w:rPr>
        <w:t>adjustments.</w:t>
      </w:r>
      <w:r>
        <w:rPr>
          <w:spacing w:val="-9"/>
          <w:sz w:val="20"/>
        </w:rPr>
        <w:t> </w:t>
      </w:r>
      <w:r>
        <w:rPr>
          <w:sz w:val="20"/>
        </w:rPr>
        <w:t>There</w:t>
      </w:r>
      <w:r>
        <w:rPr>
          <w:spacing w:val="-10"/>
          <w:sz w:val="20"/>
        </w:rPr>
        <w:t> </w:t>
      </w:r>
      <w:r>
        <w:rPr>
          <w:sz w:val="20"/>
        </w:rPr>
        <w:t>was</w:t>
      </w:r>
      <w:r>
        <w:rPr>
          <w:spacing w:val="-10"/>
          <w:sz w:val="20"/>
        </w:rPr>
        <w:t> </w:t>
      </w:r>
      <w:r>
        <w:rPr>
          <w:sz w:val="20"/>
        </w:rPr>
        <w:t>a</w:t>
      </w:r>
    </w:p>
    <w:p>
      <w:pPr>
        <w:pStyle w:val="BodyText"/>
        <w:spacing w:line="206" w:lineRule="auto" w:before="2"/>
        <w:ind w:left="1761" w:right="1350"/>
      </w:pPr>
      <w:r>
        <w:rPr>
          <w:spacing w:val="-3"/>
        </w:rPr>
        <w:t>preference </w:t>
      </w:r>
      <w:r>
        <w:rPr/>
        <w:t>for </w:t>
      </w:r>
      <w:r>
        <w:rPr>
          <w:spacing w:val="-3"/>
        </w:rPr>
        <w:t>excuse </w:t>
      </w:r>
      <w:r>
        <w:rPr/>
        <w:t>‘for good </w:t>
      </w:r>
      <w:r>
        <w:rPr>
          <w:spacing w:val="-2"/>
        </w:rPr>
        <w:t>cause’ </w:t>
      </w:r>
      <w:r>
        <w:rPr/>
        <w:t>rather than </w:t>
      </w:r>
      <w:r>
        <w:rPr>
          <w:spacing w:val="-3"/>
        </w:rPr>
        <w:t>‘as </w:t>
      </w:r>
      <w:r>
        <w:rPr/>
        <w:t>of right’.</w:t>
      </w:r>
      <w:r>
        <w:rPr>
          <w:position w:val="7"/>
          <w:sz w:val="11"/>
        </w:rPr>
        <w:t>22 </w:t>
      </w:r>
      <w:r>
        <w:rPr>
          <w:spacing w:val="-3"/>
        </w:rPr>
        <w:t>For example, </w:t>
      </w:r>
      <w:r>
        <w:rPr/>
        <w:t>the New South </w:t>
      </w:r>
      <w:r>
        <w:rPr>
          <w:spacing w:val="-4"/>
        </w:rPr>
        <w:t>Wales </w:t>
      </w:r>
      <w:r>
        <w:rPr/>
        <w:t>Law Reform Commission </w:t>
      </w:r>
      <w:r>
        <w:rPr>
          <w:spacing w:val="-3"/>
        </w:rPr>
        <w:t>(NSWLRC) </w:t>
      </w:r>
      <w:r>
        <w:rPr/>
        <w:t>recommended that:</w:t>
      </w:r>
    </w:p>
    <w:p>
      <w:pPr>
        <w:spacing w:line="208" w:lineRule="auto" w:before="121"/>
        <w:ind w:left="2157" w:right="1277" w:firstLine="0"/>
        <w:jc w:val="left"/>
        <w:rPr>
          <w:sz w:val="11"/>
        </w:rPr>
      </w:pPr>
      <w:r>
        <w:rPr>
          <w:sz w:val="19"/>
        </w:rPr>
        <w:t>Sickness, infirmity or disability which renders a person unable to discharge the duties of a juror should no longer be a ground of exclusion, but should be considered as a ground of excusal for good cause.</w:t>
      </w:r>
      <w:r>
        <w:rPr>
          <w:position w:val="6"/>
          <w:sz w:val="11"/>
        </w:rPr>
        <w:t>23</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The NSWLRC explained</w:t>
      </w:r>
      <w:r>
        <w:rPr>
          <w:spacing w:val="-13"/>
          <w:sz w:val="20"/>
        </w:rPr>
        <w:t> </w:t>
      </w:r>
      <w:r>
        <w:rPr>
          <w:sz w:val="20"/>
        </w:rPr>
        <w:t>that:</w:t>
      </w:r>
    </w:p>
    <w:p>
      <w:pPr>
        <w:spacing w:line="208" w:lineRule="auto" w:before="113"/>
        <w:ind w:left="2157" w:right="1110" w:firstLine="0"/>
        <w:jc w:val="left"/>
        <w:rPr>
          <w:sz w:val="11"/>
        </w:rPr>
      </w:pPr>
      <w:r>
        <w:rPr>
          <w:sz w:val="19"/>
        </w:rPr>
        <w:t>The preferable course is to treat it, on a case by case basis, as a potential ground for excuse for good cause, reserving to the authority that administers the Act the capacity to grant either a permanent excusal, or an excusal for a particular trial.</w:t>
      </w:r>
      <w:r>
        <w:rPr>
          <w:position w:val="6"/>
          <w:sz w:val="11"/>
        </w:rPr>
        <w:t>24</w:t>
      </w:r>
    </w:p>
    <w:p>
      <w:pPr>
        <w:pStyle w:val="ListParagraph"/>
        <w:numPr>
          <w:ilvl w:val="1"/>
          <w:numId w:val="12"/>
        </w:numPr>
        <w:tabs>
          <w:tab w:pos="1761" w:val="left" w:leader="none"/>
          <w:tab w:pos="1762" w:val="left" w:leader="none"/>
        </w:tabs>
        <w:spacing w:line="206" w:lineRule="auto" w:before="124" w:after="0"/>
        <w:ind w:left="1761" w:right="1383" w:hanging="794"/>
        <w:jc w:val="left"/>
        <w:rPr>
          <w:sz w:val="20"/>
        </w:rPr>
      </w:pPr>
      <w:r>
        <w:rPr>
          <w:sz w:val="20"/>
        </w:rPr>
        <w:t>The</w:t>
      </w:r>
      <w:r>
        <w:rPr>
          <w:spacing w:val="-15"/>
          <w:sz w:val="20"/>
        </w:rPr>
        <w:t> </w:t>
      </w:r>
      <w:r>
        <w:rPr>
          <w:sz w:val="20"/>
        </w:rPr>
        <w:t>Queensland</w:t>
      </w:r>
      <w:r>
        <w:rPr>
          <w:spacing w:val="-14"/>
          <w:sz w:val="20"/>
        </w:rPr>
        <w:t> </w:t>
      </w:r>
      <w:r>
        <w:rPr>
          <w:sz w:val="20"/>
        </w:rPr>
        <w:t>Law</w:t>
      </w:r>
      <w:r>
        <w:rPr>
          <w:spacing w:val="-14"/>
          <w:sz w:val="20"/>
        </w:rPr>
        <w:t> </w:t>
      </w:r>
      <w:r>
        <w:rPr>
          <w:sz w:val="20"/>
        </w:rPr>
        <w:t>Reform</w:t>
      </w:r>
      <w:r>
        <w:rPr>
          <w:spacing w:val="-14"/>
          <w:sz w:val="20"/>
        </w:rPr>
        <w:t> </w:t>
      </w:r>
      <w:r>
        <w:rPr>
          <w:sz w:val="20"/>
        </w:rPr>
        <w:t>Commission</w:t>
      </w:r>
      <w:r>
        <w:rPr>
          <w:spacing w:val="-14"/>
          <w:sz w:val="20"/>
        </w:rPr>
        <w:t> </w:t>
      </w:r>
      <w:r>
        <w:rPr>
          <w:sz w:val="20"/>
        </w:rPr>
        <w:t>recommended</w:t>
      </w:r>
      <w:r>
        <w:rPr>
          <w:spacing w:val="-14"/>
          <w:sz w:val="20"/>
        </w:rPr>
        <w:t> </w:t>
      </w:r>
      <w:r>
        <w:rPr>
          <w:sz w:val="20"/>
        </w:rPr>
        <w:t>that</w:t>
      </w:r>
      <w:r>
        <w:rPr>
          <w:spacing w:val="-14"/>
          <w:sz w:val="20"/>
        </w:rPr>
        <w:t> </w:t>
      </w:r>
      <w:r>
        <w:rPr>
          <w:sz w:val="20"/>
        </w:rPr>
        <w:t>considerations</w:t>
      </w:r>
      <w:r>
        <w:rPr>
          <w:spacing w:val="-14"/>
          <w:sz w:val="20"/>
        </w:rPr>
        <w:t> </w:t>
      </w:r>
      <w:r>
        <w:rPr>
          <w:sz w:val="20"/>
        </w:rPr>
        <w:t>around </w:t>
      </w:r>
      <w:r>
        <w:rPr>
          <w:spacing w:val="-3"/>
          <w:sz w:val="20"/>
        </w:rPr>
        <w:t>excusal</w:t>
      </w:r>
      <w:r>
        <w:rPr>
          <w:spacing w:val="-6"/>
          <w:sz w:val="20"/>
        </w:rPr>
        <w:t> </w:t>
      </w:r>
      <w:r>
        <w:rPr>
          <w:sz w:val="20"/>
        </w:rPr>
        <w:t>for</w:t>
      </w:r>
      <w:r>
        <w:rPr>
          <w:spacing w:val="-6"/>
          <w:sz w:val="20"/>
        </w:rPr>
        <w:t> </w:t>
      </w:r>
      <w:r>
        <w:rPr>
          <w:sz w:val="20"/>
        </w:rPr>
        <w:t>cause</w:t>
      </w:r>
      <w:r>
        <w:rPr>
          <w:spacing w:val="-6"/>
          <w:sz w:val="20"/>
        </w:rPr>
        <w:t> </w:t>
      </w:r>
      <w:r>
        <w:rPr>
          <w:sz w:val="20"/>
        </w:rPr>
        <w:t>should</w:t>
      </w:r>
      <w:r>
        <w:rPr>
          <w:spacing w:val="-6"/>
          <w:sz w:val="20"/>
        </w:rPr>
        <w:t> </w:t>
      </w:r>
      <w:r>
        <w:rPr>
          <w:sz w:val="20"/>
        </w:rPr>
        <w:t>be</w:t>
      </w:r>
      <w:r>
        <w:rPr>
          <w:spacing w:val="-6"/>
          <w:sz w:val="20"/>
        </w:rPr>
        <w:t> </w:t>
      </w:r>
      <w:r>
        <w:rPr>
          <w:sz w:val="20"/>
        </w:rPr>
        <w:t>made</w:t>
      </w:r>
      <w:r>
        <w:rPr>
          <w:spacing w:val="-6"/>
          <w:sz w:val="20"/>
        </w:rPr>
        <w:t> </w:t>
      </w:r>
      <w:r>
        <w:rPr>
          <w:spacing w:val="-3"/>
          <w:sz w:val="20"/>
        </w:rPr>
        <w:t>by</w:t>
      </w:r>
      <w:r>
        <w:rPr>
          <w:spacing w:val="-6"/>
          <w:sz w:val="20"/>
        </w:rPr>
        <w:t> </w:t>
      </w:r>
      <w:r>
        <w:rPr>
          <w:spacing w:val="-3"/>
          <w:sz w:val="20"/>
        </w:rPr>
        <w:t>reference</w:t>
      </w:r>
      <w:r>
        <w:rPr>
          <w:spacing w:val="-6"/>
          <w:sz w:val="20"/>
        </w:rPr>
        <w:t> </w:t>
      </w:r>
      <w:r>
        <w:rPr>
          <w:sz w:val="20"/>
        </w:rPr>
        <w:t>to</w:t>
      </w:r>
      <w:r>
        <w:rPr>
          <w:spacing w:val="-6"/>
          <w:sz w:val="20"/>
        </w:rPr>
        <w:t> </w:t>
      </w:r>
      <w:r>
        <w:rPr>
          <w:sz w:val="20"/>
        </w:rPr>
        <w:t>guidelines,</w:t>
      </w:r>
      <w:r>
        <w:rPr>
          <w:spacing w:val="-6"/>
          <w:sz w:val="20"/>
        </w:rPr>
        <w:t> </w:t>
      </w:r>
      <w:r>
        <w:rPr>
          <w:sz w:val="20"/>
        </w:rPr>
        <w:t>which</w:t>
      </w:r>
      <w:r>
        <w:rPr>
          <w:spacing w:val="-6"/>
          <w:sz w:val="20"/>
        </w:rPr>
        <w:t> </w:t>
      </w:r>
      <w:r>
        <w:rPr>
          <w:sz w:val="20"/>
        </w:rPr>
        <w:t>should:</w:t>
      </w:r>
    </w:p>
    <w:p>
      <w:pPr>
        <w:spacing w:line="208" w:lineRule="auto" w:before="120"/>
        <w:ind w:left="2157" w:right="1303" w:firstLine="0"/>
        <w:jc w:val="left"/>
        <w:rPr>
          <w:sz w:val="11"/>
        </w:rPr>
      </w:pPr>
      <w:r>
        <w:rPr>
          <w:sz w:val="19"/>
        </w:rPr>
        <w:t>include information for prospective jurors with physical disabilities about the facilities that may be available, and the procedures that should be followed, to enable them to serve. There may also be benefit in providing guidance for the Sheriff, and the Court, in assessing whether a person’s physical disability can be accommodated … The Commission does not anticipate, however, that the guidelines would be overly prescriptive; it is necessary to maintain the discretion and flexibility to consider and deal with individual circumstances.</w:t>
      </w:r>
      <w:r>
        <w:rPr>
          <w:position w:val="6"/>
          <w:sz w:val="11"/>
        </w:rPr>
        <w:t>25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1"/>
        </w:rPr>
      </w:pPr>
      <w:r>
        <w:rPr/>
        <w:pict>
          <v:line style="position:absolute;mso-position-horizontal-relative:page;mso-position-vertical-relative:paragraph;z-index:9680;mso-wrap-distance-left:0;mso-wrap-distance-right:0" from="79.370102pt,17.540939pt" to="515.905102pt,17.540939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10"/>
        </w:numPr>
        <w:tabs>
          <w:tab w:pos="1760" w:val="left" w:leader="none"/>
          <w:tab w:pos="1762" w:val="left" w:leader="none"/>
        </w:tabs>
        <w:spacing w:line="170" w:lineRule="exact" w:before="21" w:after="0"/>
        <w:ind w:left="1761" w:right="0" w:hanging="794"/>
        <w:jc w:val="left"/>
        <w:rPr>
          <w:sz w:val="13"/>
        </w:rPr>
      </w:pPr>
      <w:r>
        <w:rPr>
          <w:sz w:val="13"/>
        </w:rPr>
        <w:t>Consultation 15 (Representatives of High </w:t>
      </w:r>
      <w:r>
        <w:rPr>
          <w:spacing w:val="2"/>
          <w:sz w:val="13"/>
        </w:rPr>
        <w:t>Court </w:t>
      </w:r>
      <w:r>
        <w:rPr>
          <w:sz w:val="13"/>
        </w:rPr>
        <w:t>and </w:t>
      </w:r>
      <w:r>
        <w:rPr>
          <w:spacing w:val="2"/>
          <w:sz w:val="13"/>
        </w:rPr>
        <w:t>District Courts </w:t>
      </w:r>
      <w:r>
        <w:rPr>
          <w:sz w:val="13"/>
        </w:rPr>
        <w:t>of New</w:t>
      </w:r>
      <w:r>
        <w:rPr>
          <w:spacing w:val="4"/>
          <w:sz w:val="13"/>
        </w:rPr>
        <w:t> </w:t>
      </w:r>
      <w:r>
        <w:rPr>
          <w:sz w:val="13"/>
        </w:rPr>
        <w:t>Zealand).</w:t>
      </w:r>
    </w:p>
    <w:p>
      <w:pPr>
        <w:pStyle w:val="ListParagraph"/>
        <w:numPr>
          <w:ilvl w:val="0"/>
          <w:numId w:val="110"/>
        </w:numPr>
        <w:tabs>
          <w:tab w:pos="1760"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110"/>
        </w:numPr>
        <w:tabs>
          <w:tab w:pos="1760" w:val="left" w:leader="none"/>
          <w:tab w:pos="1762" w:val="left" w:leader="none"/>
        </w:tabs>
        <w:spacing w:line="213" w:lineRule="auto" w:before="7" w:after="0"/>
        <w:ind w:left="1761" w:right="207" w:hanging="794"/>
        <w:jc w:val="left"/>
        <w:rPr>
          <w:sz w:val="13"/>
        </w:rPr>
      </w:pPr>
      <w:r>
        <w:rPr>
          <w:sz w:val="13"/>
        </w:rPr>
        <w:t>See Law Reform </w:t>
      </w:r>
      <w:r>
        <w:rPr>
          <w:spacing w:val="2"/>
          <w:sz w:val="13"/>
        </w:rPr>
        <w:t>Commission </w:t>
      </w:r>
      <w:r>
        <w:rPr>
          <w:sz w:val="13"/>
        </w:rPr>
        <w:t>of Western Australia, </w:t>
      </w:r>
      <w:r>
        <w:rPr>
          <w:i/>
          <w:sz w:val="13"/>
        </w:rPr>
        <w:t>Selection, Eligibility and Exemption of Jurors </w:t>
      </w:r>
      <w:r>
        <w:rPr>
          <w:sz w:val="13"/>
        </w:rPr>
        <w:t>(Discussion Paper Project No </w:t>
      </w:r>
      <w:r>
        <w:rPr>
          <w:spacing w:val="3"/>
          <w:sz w:val="13"/>
        </w:rPr>
        <w:t>99, </w:t>
      </w:r>
      <w:r>
        <w:rPr>
          <w:sz w:val="13"/>
        </w:rPr>
        <w:t>September 2009) 117; </w:t>
      </w:r>
      <w:r>
        <w:rPr>
          <w:spacing w:val="2"/>
          <w:sz w:val="13"/>
        </w:rPr>
        <w:t>Queensland </w:t>
      </w:r>
      <w:r>
        <w:rPr>
          <w:sz w:val="13"/>
        </w:rPr>
        <w:t>Law Reform </w:t>
      </w:r>
      <w:r>
        <w:rPr>
          <w:spacing w:val="2"/>
          <w:sz w:val="13"/>
        </w:rPr>
        <w:t>Commission, </w:t>
      </w:r>
      <w:r>
        <w:rPr>
          <w:i/>
          <w:sz w:val="13"/>
        </w:rPr>
        <w:t>A Review of </w:t>
      </w:r>
      <w:r>
        <w:rPr>
          <w:i/>
          <w:spacing w:val="2"/>
          <w:sz w:val="13"/>
        </w:rPr>
        <w:t>Jury </w:t>
      </w:r>
      <w:r>
        <w:rPr>
          <w:i/>
          <w:sz w:val="13"/>
        </w:rPr>
        <w:t>Selection </w:t>
      </w:r>
      <w:r>
        <w:rPr>
          <w:spacing w:val="2"/>
          <w:sz w:val="13"/>
        </w:rPr>
        <w:t>(Report </w:t>
      </w:r>
      <w:r>
        <w:rPr>
          <w:sz w:val="13"/>
        </w:rPr>
        <w:t>No 68, 2011) 258 </w:t>
      </w:r>
      <w:r>
        <w:rPr>
          <w:spacing w:val="2"/>
          <w:sz w:val="13"/>
        </w:rPr>
        <w:t>[9.26] </w:t>
      </w:r>
      <w:r>
        <w:rPr>
          <w:sz w:val="13"/>
        </w:rPr>
        <w:t>Recommendation </w:t>
      </w:r>
      <w:r>
        <w:rPr>
          <w:spacing w:val="3"/>
          <w:sz w:val="13"/>
        </w:rPr>
        <w:t>9.1.</w:t>
      </w:r>
    </w:p>
    <w:p>
      <w:pPr>
        <w:pStyle w:val="ListParagraph"/>
        <w:numPr>
          <w:ilvl w:val="0"/>
          <w:numId w:val="110"/>
        </w:numPr>
        <w:tabs>
          <w:tab w:pos="1761" w:val="left" w:leader="none"/>
          <w:tab w:pos="1762" w:val="left" w:leader="none"/>
        </w:tabs>
        <w:spacing w:line="152" w:lineRule="exact" w:before="0" w:after="0"/>
        <w:ind w:left="1761" w:right="0" w:hanging="794"/>
        <w:jc w:val="left"/>
        <w:rPr>
          <w:sz w:val="13"/>
        </w:rPr>
      </w:pPr>
      <w:r>
        <w:rPr>
          <w:sz w:val="13"/>
        </w:rPr>
        <w:t>New</w:t>
      </w:r>
      <w:r>
        <w:rPr>
          <w:spacing w:val="3"/>
          <w:sz w:val="13"/>
        </w:rPr>
        <w:t> </w:t>
      </w:r>
      <w:r>
        <w:rPr>
          <w:sz w:val="13"/>
        </w:rPr>
        <w:t>South</w:t>
      </w:r>
      <w:r>
        <w:rPr>
          <w:spacing w:val="3"/>
          <w:sz w:val="13"/>
        </w:rPr>
        <w:t> </w:t>
      </w:r>
      <w:r>
        <w:rPr>
          <w:sz w:val="13"/>
        </w:rPr>
        <w:t>Wales</w:t>
      </w:r>
      <w:r>
        <w:rPr>
          <w:spacing w:val="3"/>
          <w:sz w:val="13"/>
        </w:rPr>
        <w:t> </w:t>
      </w:r>
      <w:r>
        <w:rPr>
          <w:sz w:val="13"/>
        </w:rPr>
        <w:t>Law</w:t>
      </w:r>
      <w:r>
        <w:rPr>
          <w:spacing w:val="3"/>
          <w:sz w:val="13"/>
        </w:rPr>
        <w:t> </w:t>
      </w:r>
      <w:r>
        <w:rPr>
          <w:sz w:val="13"/>
        </w:rPr>
        <w:t>Reform</w:t>
      </w:r>
      <w:r>
        <w:rPr>
          <w:spacing w:val="3"/>
          <w:sz w:val="13"/>
        </w:rPr>
        <w:t> </w:t>
      </w:r>
      <w:r>
        <w:rPr>
          <w:spacing w:val="2"/>
          <w:sz w:val="13"/>
        </w:rPr>
        <w:t>Commission,</w:t>
      </w:r>
      <w:r>
        <w:rPr>
          <w:spacing w:val="3"/>
          <w:sz w:val="13"/>
        </w:rPr>
        <w:t> </w:t>
      </w:r>
      <w:r>
        <w:rPr>
          <w:i/>
          <w:spacing w:val="2"/>
          <w:sz w:val="13"/>
        </w:rPr>
        <w:t>Jury</w:t>
      </w:r>
      <w:r>
        <w:rPr>
          <w:i/>
          <w:spacing w:val="4"/>
          <w:sz w:val="13"/>
        </w:rPr>
        <w:t> </w:t>
      </w:r>
      <w:r>
        <w:rPr>
          <w:i/>
          <w:sz w:val="13"/>
        </w:rPr>
        <w:t>Selection</w:t>
      </w:r>
      <w:r>
        <w:rPr>
          <w:i/>
          <w:spacing w:val="3"/>
          <w:sz w:val="13"/>
        </w:rPr>
        <w:t> </w:t>
      </w:r>
      <w:r>
        <w:rPr>
          <w:sz w:val="13"/>
        </w:rPr>
        <w:t>(Final</w:t>
      </w:r>
      <w:r>
        <w:rPr>
          <w:spacing w:val="3"/>
          <w:sz w:val="13"/>
        </w:rPr>
        <w:t> </w:t>
      </w:r>
      <w:r>
        <w:rPr>
          <w:spacing w:val="2"/>
          <w:sz w:val="13"/>
        </w:rPr>
        <w:t>Report</w:t>
      </w:r>
      <w:r>
        <w:rPr>
          <w:spacing w:val="3"/>
          <w:sz w:val="13"/>
        </w:rPr>
        <w:t> </w:t>
      </w:r>
      <w:r>
        <w:rPr>
          <w:sz w:val="13"/>
        </w:rPr>
        <w:t>No</w:t>
      </w:r>
      <w:r>
        <w:rPr>
          <w:spacing w:val="3"/>
          <w:sz w:val="13"/>
        </w:rPr>
        <w:t> </w:t>
      </w:r>
      <w:r>
        <w:rPr>
          <w:sz w:val="13"/>
        </w:rPr>
        <w:t>117,</w:t>
      </w:r>
      <w:r>
        <w:rPr>
          <w:spacing w:val="3"/>
          <w:sz w:val="13"/>
        </w:rPr>
        <w:t> </w:t>
      </w:r>
      <w:r>
        <w:rPr>
          <w:sz w:val="13"/>
        </w:rPr>
        <w:t>September</w:t>
      </w:r>
      <w:r>
        <w:rPr>
          <w:spacing w:val="3"/>
          <w:sz w:val="13"/>
        </w:rPr>
        <w:t> </w:t>
      </w:r>
      <w:r>
        <w:rPr>
          <w:sz w:val="13"/>
        </w:rPr>
        <w:t>2007)</w:t>
      </w:r>
      <w:r>
        <w:rPr>
          <w:spacing w:val="4"/>
          <w:sz w:val="13"/>
        </w:rPr>
        <w:t> </w:t>
      </w:r>
      <w:r>
        <w:rPr>
          <w:sz w:val="13"/>
        </w:rPr>
        <w:t>Recommendation</w:t>
      </w:r>
      <w:r>
        <w:rPr>
          <w:spacing w:val="3"/>
          <w:sz w:val="13"/>
        </w:rPr>
        <w:t> 24.</w:t>
      </w:r>
    </w:p>
    <w:p>
      <w:pPr>
        <w:pStyle w:val="ListParagraph"/>
        <w:numPr>
          <w:ilvl w:val="0"/>
          <w:numId w:val="110"/>
        </w:numPr>
        <w:tabs>
          <w:tab w:pos="1761" w:val="left" w:leader="none"/>
          <w:tab w:pos="1762" w:val="left" w:leader="none"/>
        </w:tabs>
        <w:spacing w:line="213" w:lineRule="auto" w:before="6" w:after="0"/>
        <w:ind w:left="1761" w:right="0" w:hanging="794"/>
        <w:jc w:val="both"/>
        <w:rPr>
          <w:sz w:val="13"/>
        </w:rPr>
      </w:pPr>
      <w:r>
        <w:rPr>
          <w:sz w:val="13"/>
        </w:rPr>
        <w:t>Ibid 100 </w:t>
      </w:r>
      <w:r>
        <w:rPr>
          <w:spacing w:val="2"/>
          <w:sz w:val="13"/>
        </w:rPr>
        <w:t>[5.16]. </w:t>
      </w:r>
      <w:r>
        <w:rPr>
          <w:sz w:val="13"/>
        </w:rPr>
        <w:t>We note that in 2006 the New South Wales Law Reform </w:t>
      </w:r>
      <w:r>
        <w:rPr>
          <w:spacing w:val="2"/>
          <w:sz w:val="13"/>
        </w:rPr>
        <w:t>Commission </w:t>
      </w:r>
      <w:r>
        <w:rPr>
          <w:sz w:val="13"/>
        </w:rPr>
        <w:t>recommended that a person who is blind or deaf should be able to participate with </w:t>
      </w:r>
      <w:r>
        <w:rPr>
          <w:spacing w:val="2"/>
          <w:sz w:val="13"/>
        </w:rPr>
        <w:t>supports </w:t>
      </w:r>
      <w:r>
        <w:rPr>
          <w:sz w:val="13"/>
        </w:rPr>
        <w:t>but should </w:t>
      </w:r>
      <w:r>
        <w:rPr>
          <w:spacing w:val="2"/>
          <w:sz w:val="13"/>
        </w:rPr>
        <w:t>also </w:t>
      </w:r>
      <w:r>
        <w:rPr>
          <w:sz w:val="13"/>
        </w:rPr>
        <w:t>‘have an </w:t>
      </w:r>
      <w:r>
        <w:rPr>
          <w:spacing w:val="2"/>
          <w:sz w:val="13"/>
        </w:rPr>
        <w:t>unqualified </w:t>
      </w:r>
      <w:r>
        <w:rPr>
          <w:sz w:val="13"/>
        </w:rPr>
        <w:t>right to be exempt from </w:t>
      </w:r>
      <w:r>
        <w:rPr>
          <w:spacing w:val="2"/>
          <w:sz w:val="13"/>
        </w:rPr>
        <w:t>jury </w:t>
      </w:r>
      <w:r>
        <w:rPr>
          <w:sz w:val="13"/>
        </w:rPr>
        <w:t>service’: 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 58</w:t>
      </w:r>
      <w:r>
        <w:rPr>
          <w:spacing w:val="13"/>
          <w:sz w:val="13"/>
        </w:rPr>
        <w:t> </w:t>
      </w:r>
      <w:r>
        <w:rPr>
          <w:sz w:val="13"/>
        </w:rPr>
        <w:t>[4.7].</w:t>
      </w:r>
    </w:p>
    <w:p>
      <w:pPr>
        <w:pStyle w:val="ListParagraph"/>
        <w:numPr>
          <w:ilvl w:val="0"/>
          <w:numId w:val="110"/>
        </w:numPr>
        <w:tabs>
          <w:tab w:pos="1761" w:val="left" w:leader="none"/>
          <w:tab w:pos="1762" w:val="left" w:leader="none"/>
        </w:tabs>
        <w:spacing w:line="162" w:lineRule="exact" w:before="0" w:after="0"/>
        <w:ind w:left="1761" w:right="0" w:hanging="794"/>
        <w:jc w:val="left"/>
        <w:rPr>
          <w:sz w:val="13"/>
        </w:rPr>
      </w:pPr>
      <w:r>
        <w:rPr>
          <w:spacing w:val="2"/>
          <w:sz w:val="13"/>
        </w:rPr>
        <w:t>Queensland </w:t>
      </w:r>
      <w:r>
        <w:rPr>
          <w:sz w:val="13"/>
        </w:rPr>
        <w:t>Law Reform </w:t>
      </w:r>
      <w:r>
        <w:rPr>
          <w:spacing w:val="2"/>
          <w:sz w:val="13"/>
        </w:rPr>
        <w:t>Commission, </w:t>
      </w:r>
      <w:r>
        <w:rPr>
          <w:i/>
          <w:sz w:val="13"/>
        </w:rPr>
        <w:t>A Review of </w:t>
      </w:r>
      <w:r>
        <w:rPr>
          <w:i/>
          <w:spacing w:val="2"/>
          <w:sz w:val="13"/>
        </w:rPr>
        <w:t>Jury </w:t>
      </w:r>
      <w:r>
        <w:rPr>
          <w:i/>
          <w:sz w:val="13"/>
        </w:rPr>
        <w:t>Selection </w:t>
      </w:r>
      <w:r>
        <w:rPr>
          <w:spacing w:val="2"/>
          <w:sz w:val="13"/>
        </w:rPr>
        <w:t>(Report </w:t>
      </w:r>
      <w:r>
        <w:rPr>
          <w:sz w:val="13"/>
        </w:rPr>
        <w:t>No 68, 2011) 284</w:t>
      </w:r>
      <w:r>
        <w:rPr>
          <w:spacing w:val="4"/>
          <w:sz w:val="13"/>
        </w:rPr>
        <w:t> </w:t>
      </w:r>
      <w:r>
        <w:rPr>
          <w:spacing w:val="2"/>
          <w:sz w:val="13"/>
        </w:rPr>
        <w:t>[9.118].</w:t>
      </w:r>
    </w:p>
    <w:p>
      <w:pPr>
        <w:pStyle w:val="BodyText"/>
        <w:rPr>
          <w:sz w:val="28"/>
        </w:rPr>
      </w:pPr>
      <w:r>
        <w:rPr/>
        <w:br w:type="column"/>
      </w:r>
      <w:r>
        <w:rPr>
          <w:sz w:val="28"/>
        </w:rPr>
      </w:r>
    </w:p>
    <w:p>
      <w:pPr>
        <w:pStyle w:val="BodyText"/>
        <w:rPr>
          <w:sz w:val="28"/>
        </w:rPr>
      </w:pPr>
    </w:p>
    <w:p>
      <w:pPr>
        <w:pStyle w:val="BodyText"/>
        <w:spacing w:before="2"/>
        <w:rPr>
          <w:sz w:val="40"/>
        </w:rPr>
      </w:pPr>
    </w:p>
    <w:p>
      <w:pPr>
        <w:spacing w:before="0"/>
        <w:ind w:left="646" w:right="0" w:firstLine="0"/>
        <w:jc w:val="left"/>
        <w:rPr>
          <w:b/>
          <w:sz w:val="24"/>
        </w:rPr>
      </w:pPr>
      <w:r>
        <w:rPr>
          <w:b/>
          <w:color w:val="37617A"/>
          <w:sz w:val="24"/>
        </w:rPr>
        <w:t>183</w:t>
      </w:r>
    </w:p>
    <w:p>
      <w:pPr>
        <w:spacing w:after="0"/>
        <w:jc w:val="left"/>
        <w:rPr>
          <w:sz w:val="24"/>
        </w:rPr>
        <w:sectPr>
          <w:type w:val="continuous"/>
          <w:pgSz w:w="11910" w:h="16840"/>
          <w:pgMar w:top="620" w:bottom="280" w:left="620" w:right="380"/>
          <w:cols w:num="2" w:equalWidth="0">
            <w:col w:w="9611" w:space="39"/>
            <w:col w:w="1260"/>
          </w:cols>
        </w:sectPr>
      </w:pPr>
    </w:p>
    <w:p>
      <w:pPr>
        <w:pStyle w:val="BodyText"/>
        <w:rPr>
          <w:b/>
        </w:rPr>
      </w:pPr>
    </w:p>
    <w:p>
      <w:pPr>
        <w:pStyle w:val="BodyText"/>
        <w:rPr>
          <w:b/>
        </w:rPr>
      </w:pPr>
    </w:p>
    <w:p>
      <w:pPr>
        <w:pStyle w:val="BodyText"/>
        <w:rPr>
          <w:b/>
        </w:rPr>
      </w:pPr>
    </w:p>
    <w:p>
      <w:pPr>
        <w:spacing w:before="212"/>
        <w:ind w:left="967" w:right="0" w:firstLine="0"/>
        <w:jc w:val="left"/>
        <w:rPr>
          <w:rFonts w:ascii="Raleway ExtraBold"/>
          <w:b/>
          <w:sz w:val="28"/>
        </w:rPr>
      </w:pPr>
      <w:bookmarkStart w:name="Community responses: excuse from jury se" w:id="318"/>
      <w:bookmarkEnd w:id="318"/>
      <w:r>
        <w:rPr/>
      </w:r>
      <w:bookmarkStart w:name="_bookmark134" w:id="319"/>
      <w:bookmarkEnd w:id="319"/>
      <w:r>
        <w:rPr/>
      </w:r>
      <w:r>
        <w:rPr>
          <w:rFonts w:ascii="Raleway ExtraBold"/>
          <w:b/>
          <w:color w:val="37617A"/>
          <w:sz w:val="28"/>
        </w:rPr>
        <w:t>Community responses: excuse from jury service</w:t>
      </w:r>
    </w:p>
    <w:p>
      <w:pPr>
        <w:pStyle w:val="ListParagraph"/>
        <w:numPr>
          <w:ilvl w:val="1"/>
          <w:numId w:val="12"/>
        </w:numPr>
        <w:tabs>
          <w:tab w:pos="1761" w:val="left" w:leader="none"/>
          <w:tab w:pos="1762" w:val="left" w:leader="none"/>
        </w:tabs>
        <w:spacing w:line="206" w:lineRule="auto" w:before="146" w:after="0"/>
        <w:ind w:left="1761" w:right="1482" w:hanging="794"/>
        <w:jc w:val="left"/>
        <w:rPr>
          <w:sz w:val="20"/>
        </w:rPr>
      </w:pPr>
      <w:r>
        <w:rPr>
          <w:sz w:val="20"/>
        </w:rPr>
        <w:t>In</w:t>
      </w:r>
      <w:r>
        <w:rPr>
          <w:spacing w:val="-13"/>
          <w:sz w:val="20"/>
        </w:rPr>
        <w:t> </w:t>
      </w:r>
      <w:r>
        <w:rPr>
          <w:sz w:val="20"/>
        </w:rPr>
        <w:t>response</w:t>
      </w:r>
      <w:r>
        <w:rPr>
          <w:spacing w:val="-13"/>
          <w:sz w:val="20"/>
        </w:rPr>
        <w:t> </w:t>
      </w:r>
      <w:r>
        <w:rPr>
          <w:sz w:val="20"/>
        </w:rPr>
        <w:t>to</w:t>
      </w:r>
      <w:r>
        <w:rPr>
          <w:spacing w:val="-12"/>
          <w:sz w:val="20"/>
        </w:rPr>
        <w:t> </w:t>
      </w:r>
      <w:r>
        <w:rPr>
          <w:sz w:val="20"/>
        </w:rPr>
        <w:t>this</w:t>
      </w:r>
      <w:r>
        <w:rPr>
          <w:spacing w:val="-13"/>
          <w:sz w:val="20"/>
        </w:rPr>
        <w:t> </w:t>
      </w:r>
      <w:r>
        <w:rPr>
          <w:spacing w:val="-3"/>
          <w:sz w:val="20"/>
        </w:rPr>
        <w:t>inquiry,</w:t>
      </w:r>
      <w:r>
        <w:rPr>
          <w:spacing w:val="-12"/>
          <w:sz w:val="20"/>
        </w:rPr>
        <w:t> </w:t>
      </w:r>
      <w:r>
        <w:rPr>
          <w:sz w:val="20"/>
        </w:rPr>
        <w:t>advocacy</w:t>
      </w:r>
      <w:r>
        <w:rPr>
          <w:spacing w:val="-13"/>
          <w:sz w:val="20"/>
        </w:rPr>
        <w:t> </w:t>
      </w:r>
      <w:r>
        <w:rPr>
          <w:sz w:val="20"/>
        </w:rPr>
        <w:t>groups</w:t>
      </w:r>
      <w:r>
        <w:rPr>
          <w:spacing w:val="-13"/>
          <w:sz w:val="20"/>
        </w:rPr>
        <w:t> </w:t>
      </w:r>
      <w:r>
        <w:rPr>
          <w:sz w:val="20"/>
        </w:rPr>
        <w:t>and</w:t>
      </w:r>
      <w:r>
        <w:rPr>
          <w:spacing w:val="-12"/>
          <w:sz w:val="20"/>
        </w:rPr>
        <w:t> </w:t>
      </w:r>
      <w:r>
        <w:rPr>
          <w:sz w:val="20"/>
        </w:rPr>
        <w:t>other</w:t>
      </w:r>
      <w:r>
        <w:rPr>
          <w:spacing w:val="-13"/>
          <w:sz w:val="20"/>
        </w:rPr>
        <w:t> </w:t>
      </w:r>
      <w:r>
        <w:rPr>
          <w:sz w:val="20"/>
        </w:rPr>
        <w:t>consultation</w:t>
      </w:r>
      <w:r>
        <w:rPr>
          <w:spacing w:val="-12"/>
          <w:sz w:val="20"/>
        </w:rPr>
        <w:t> </w:t>
      </w:r>
      <w:r>
        <w:rPr>
          <w:sz w:val="20"/>
        </w:rPr>
        <w:t>participants</w:t>
      </w:r>
      <w:r>
        <w:rPr>
          <w:spacing w:val="-13"/>
          <w:sz w:val="20"/>
        </w:rPr>
        <w:t> </w:t>
      </w:r>
      <w:r>
        <w:rPr>
          <w:sz w:val="20"/>
        </w:rPr>
        <w:t>held a range of views. The difference between </w:t>
      </w:r>
      <w:r>
        <w:rPr>
          <w:spacing w:val="-3"/>
          <w:sz w:val="20"/>
        </w:rPr>
        <w:t>excuse </w:t>
      </w:r>
      <w:r>
        <w:rPr>
          <w:sz w:val="20"/>
        </w:rPr>
        <w:t>as of right and for good cause is nuanced and complex, with some responses </w:t>
      </w:r>
      <w:r>
        <w:rPr>
          <w:spacing w:val="-3"/>
          <w:sz w:val="20"/>
        </w:rPr>
        <w:t>revealing </w:t>
      </w:r>
      <w:r>
        <w:rPr>
          <w:sz w:val="20"/>
        </w:rPr>
        <w:t>that perhaps this distinction was</w:t>
      </w:r>
      <w:r>
        <w:rPr>
          <w:spacing w:val="-12"/>
          <w:sz w:val="20"/>
        </w:rPr>
        <w:t> </w:t>
      </w:r>
      <w:r>
        <w:rPr>
          <w:sz w:val="20"/>
        </w:rPr>
        <w:t>not</w:t>
      </w:r>
      <w:r>
        <w:rPr>
          <w:spacing w:val="-11"/>
          <w:sz w:val="20"/>
        </w:rPr>
        <w:t> </w:t>
      </w:r>
      <w:r>
        <w:rPr>
          <w:sz w:val="20"/>
        </w:rPr>
        <w:t>well</w:t>
      </w:r>
      <w:r>
        <w:rPr>
          <w:spacing w:val="-12"/>
          <w:sz w:val="20"/>
        </w:rPr>
        <w:t> </w:t>
      </w:r>
      <w:r>
        <w:rPr>
          <w:sz w:val="20"/>
        </w:rPr>
        <w:t>understood.</w:t>
      </w:r>
      <w:r>
        <w:rPr>
          <w:spacing w:val="-11"/>
          <w:sz w:val="20"/>
        </w:rPr>
        <w:t> </w:t>
      </w:r>
      <w:r>
        <w:rPr>
          <w:sz w:val="20"/>
        </w:rPr>
        <w:t>Overall,</w:t>
      </w:r>
      <w:r>
        <w:rPr>
          <w:spacing w:val="-12"/>
          <w:sz w:val="20"/>
        </w:rPr>
        <w:t> </w:t>
      </w:r>
      <w:r>
        <w:rPr>
          <w:spacing w:val="-5"/>
          <w:sz w:val="20"/>
        </w:rPr>
        <w:t>however,</w:t>
      </w:r>
      <w:r>
        <w:rPr>
          <w:spacing w:val="-11"/>
          <w:sz w:val="20"/>
        </w:rPr>
        <w:t> </w:t>
      </w:r>
      <w:r>
        <w:rPr>
          <w:sz w:val="20"/>
        </w:rPr>
        <w:t>there</w:t>
      </w:r>
      <w:r>
        <w:rPr>
          <w:spacing w:val="-12"/>
          <w:sz w:val="20"/>
        </w:rPr>
        <w:t> </w:t>
      </w:r>
      <w:r>
        <w:rPr>
          <w:sz w:val="20"/>
        </w:rPr>
        <w:t>was</w:t>
      </w:r>
      <w:r>
        <w:rPr>
          <w:spacing w:val="-11"/>
          <w:sz w:val="20"/>
        </w:rPr>
        <w:t> </w:t>
      </w:r>
      <w:r>
        <w:rPr>
          <w:sz w:val="20"/>
        </w:rPr>
        <w:t>a</w:t>
      </w:r>
      <w:r>
        <w:rPr>
          <w:spacing w:val="-12"/>
          <w:sz w:val="20"/>
        </w:rPr>
        <w:t> </w:t>
      </w:r>
      <w:r>
        <w:rPr>
          <w:sz w:val="20"/>
        </w:rPr>
        <w:t>consensus</w:t>
      </w:r>
      <w:r>
        <w:rPr>
          <w:spacing w:val="-11"/>
          <w:sz w:val="20"/>
        </w:rPr>
        <w:t> </w:t>
      </w:r>
      <w:r>
        <w:rPr>
          <w:sz w:val="20"/>
        </w:rPr>
        <w:t>that</w:t>
      </w:r>
      <w:r>
        <w:rPr>
          <w:spacing w:val="-11"/>
          <w:sz w:val="20"/>
        </w:rPr>
        <w:t> </w:t>
      </w:r>
      <w:r>
        <w:rPr>
          <w:sz w:val="20"/>
        </w:rPr>
        <w:t>people</w:t>
      </w:r>
      <w:r>
        <w:rPr>
          <w:spacing w:val="-12"/>
          <w:sz w:val="20"/>
        </w:rPr>
        <w:t> </w:t>
      </w:r>
      <w:r>
        <w:rPr>
          <w:sz w:val="20"/>
        </w:rPr>
        <w:t>in</w:t>
      </w:r>
      <w:r>
        <w:rPr>
          <w:spacing w:val="-11"/>
          <w:sz w:val="20"/>
        </w:rPr>
        <w:t> </w:t>
      </w:r>
      <w:r>
        <w:rPr>
          <w:sz w:val="20"/>
        </w:rPr>
        <w:t>the subject groups </w:t>
      </w:r>
      <w:r>
        <w:rPr>
          <w:spacing w:val="-3"/>
          <w:sz w:val="20"/>
        </w:rPr>
        <w:t>may </w:t>
      </w:r>
      <w:r>
        <w:rPr>
          <w:sz w:val="20"/>
        </w:rPr>
        <w:t>sometimes need to be </w:t>
      </w:r>
      <w:r>
        <w:rPr>
          <w:spacing w:val="-3"/>
          <w:sz w:val="20"/>
        </w:rPr>
        <w:t>excused </w:t>
      </w:r>
      <w:r>
        <w:rPr>
          <w:sz w:val="20"/>
        </w:rPr>
        <w:t>because of issues relating to disability,</w:t>
      </w:r>
      <w:r>
        <w:rPr>
          <w:spacing w:val="-12"/>
          <w:sz w:val="20"/>
        </w:rPr>
        <w:t> </w:t>
      </w:r>
      <w:r>
        <w:rPr>
          <w:sz w:val="20"/>
        </w:rPr>
        <w:t>despite</w:t>
      </w:r>
      <w:r>
        <w:rPr>
          <w:spacing w:val="-11"/>
          <w:sz w:val="20"/>
        </w:rPr>
        <w:t> </w:t>
      </w:r>
      <w:r>
        <w:rPr>
          <w:sz w:val="20"/>
        </w:rPr>
        <w:t>being</w:t>
      </w:r>
      <w:r>
        <w:rPr>
          <w:spacing w:val="-11"/>
          <w:sz w:val="20"/>
        </w:rPr>
        <w:t> </w:t>
      </w:r>
      <w:r>
        <w:rPr>
          <w:sz w:val="20"/>
        </w:rPr>
        <w:t>otherwise</w:t>
      </w:r>
      <w:r>
        <w:rPr>
          <w:spacing w:val="-11"/>
          <w:sz w:val="20"/>
        </w:rPr>
        <w:t> </w:t>
      </w:r>
      <w:r>
        <w:rPr>
          <w:sz w:val="20"/>
        </w:rPr>
        <w:t>eligible</w:t>
      </w:r>
      <w:r>
        <w:rPr>
          <w:spacing w:val="-11"/>
          <w:sz w:val="20"/>
        </w:rPr>
        <w:t> </w:t>
      </w:r>
      <w:r>
        <w:rPr>
          <w:sz w:val="20"/>
        </w:rPr>
        <w:t>to</w:t>
      </w:r>
      <w:r>
        <w:rPr>
          <w:spacing w:val="-11"/>
          <w:sz w:val="20"/>
        </w:rPr>
        <w:t> </w:t>
      </w:r>
      <w:r>
        <w:rPr>
          <w:sz w:val="20"/>
        </w:rPr>
        <w:t>serve</w:t>
      </w:r>
      <w:r>
        <w:rPr>
          <w:spacing w:val="-11"/>
          <w:sz w:val="20"/>
        </w:rPr>
        <w:t> </w:t>
      </w:r>
      <w:r>
        <w:rPr>
          <w:sz w:val="20"/>
        </w:rPr>
        <w:t>with</w:t>
      </w:r>
      <w:r>
        <w:rPr>
          <w:spacing w:val="-11"/>
          <w:sz w:val="20"/>
        </w:rPr>
        <w:t> </w:t>
      </w:r>
      <w:r>
        <w:rPr>
          <w:sz w:val="20"/>
        </w:rPr>
        <w:t>reasonable</w:t>
      </w:r>
      <w:r>
        <w:rPr>
          <w:spacing w:val="-11"/>
          <w:sz w:val="20"/>
        </w:rPr>
        <w:t> </w:t>
      </w:r>
      <w:r>
        <w:rPr>
          <w:sz w:val="20"/>
        </w:rPr>
        <w:t>adjustments.</w:t>
      </w:r>
    </w:p>
    <w:p>
      <w:pPr>
        <w:spacing w:before="166"/>
        <w:ind w:left="967" w:right="0" w:firstLine="0"/>
        <w:jc w:val="left"/>
        <w:rPr>
          <w:b/>
          <w:sz w:val="24"/>
        </w:rPr>
      </w:pPr>
      <w:r>
        <w:rPr>
          <w:b/>
          <w:sz w:val="24"/>
        </w:rPr>
        <w:t>Advocacy groups</w:t>
      </w:r>
    </w:p>
    <w:p>
      <w:pPr>
        <w:pStyle w:val="ListParagraph"/>
        <w:numPr>
          <w:ilvl w:val="1"/>
          <w:numId w:val="12"/>
        </w:numPr>
        <w:tabs>
          <w:tab w:pos="1761" w:val="left" w:leader="none"/>
          <w:tab w:pos="1762" w:val="left" w:leader="none"/>
        </w:tabs>
        <w:spacing w:line="206" w:lineRule="auto" w:before="127" w:after="0"/>
        <w:ind w:left="1761" w:right="1345" w:hanging="794"/>
        <w:jc w:val="left"/>
        <w:rPr>
          <w:sz w:val="20"/>
        </w:rPr>
      </w:pPr>
      <w:r>
        <w:rPr>
          <w:sz w:val="20"/>
        </w:rPr>
        <w:t>Most advocacy groups supported the idea that disability should not be an </w:t>
      </w:r>
      <w:r>
        <w:rPr>
          <w:spacing w:val="-3"/>
          <w:sz w:val="20"/>
        </w:rPr>
        <w:t>excuse </w:t>
      </w:r>
      <w:r>
        <w:rPr>
          <w:sz w:val="20"/>
        </w:rPr>
        <w:t>in and of </w:t>
      </w:r>
      <w:r>
        <w:rPr>
          <w:spacing w:val="-3"/>
          <w:sz w:val="20"/>
        </w:rPr>
        <w:t>itself. </w:t>
      </w:r>
      <w:r>
        <w:rPr>
          <w:spacing w:val="-5"/>
          <w:sz w:val="20"/>
        </w:rPr>
        <w:t>However, </w:t>
      </w:r>
      <w:r>
        <w:rPr>
          <w:sz w:val="20"/>
        </w:rPr>
        <w:t>they thought that people in the subject groups should still be able</w:t>
      </w:r>
      <w:r>
        <w:rPr>
          <w:spacing w:val="-9"/>
          <w:sz w:val="20"/>
        </w:rPr>
        <w:t> </w:t>
      </w:r>
      <w:r>
        <w:rPr>
          <w:sz w:val="20"/>
        </w:rPr>
        <w:t>to</w:t>
      </w:r>
      <w:r>
        <w:rPr>
          <w:spacing w:val="-9"/>
          <w:sz w:val="20"/>
        </w:rPr>
        <w:t> </w:t>
      </w:r>
      <w:r>
        <w:rPr>
          <w:sz w:val="20"/>
        </w:rPr>
        <w:t>seek</w:t>
      </w:r>
      <w:r>
        <w:rPr>
          <w:spacing w:val="-9"/>
          <w:sz w:val="20"/>
        </w:rPr>
        <w:t> </w:t>
      </w:r>
      <w:r>
        <w:rPr>
          <w:sz w:val="20"/>
        </w:rPr>
        <w:t>to</w:t>
      </w:r>
      <w:r>
        <w:rPr>
          <w:spacing w:val="-8"/>
          <w:sz w:val="20"/>
        </w:rPr>
        <w:t> </w:t>
      </w:r>
      <w:r>
        <w:rPr>
          <w:sz w:val="20"/>
        </w:rPr>
        <w:t>be</w:t>
      </w:r>
      <w:r>
        <w:rPr>
          <w:spacing w:val="-9"/>
          <w:sz w:val="20"/>
        </w:rPr>
        <w:t> </w:t>
      </w:r>
      <w:r>
        <w:rPr>
          <w:spacing w:val="-3"/>
          <w:sz w:val="20"/>
        </w:rPr>
        <w:t>excused</w:t>
      </w:r>
      <w:r>
        <w:rPr>
          <w:spacing w:val="-9"/>
          <w:sz w:val="20"/>
        </w:rPr>
        <w:t> </w:t>
      </w:r>
      <w:r>
        <w:rPr>
          <w:sz w:val="20"/>
        </w:rPr>
        <w:t>if</w:t>
      </w:r>
      <w:r>
        <w:rPr>
          <w:spacing w:val="-8"/>
          <w:sz w:val="20"/>
        </w:rPr>
        <w:t> </w:t>
      </w:r>
      <w:r>
        <w:rPr>
          <w:sz w:val="20"/>
        </w:rPr>
        <w:t>they</w:t>
      </w:r>
      <w:r>
        <w:rPr>
          <w:spacing w:val="-9"/>
          <w:sz w:val="20"/>
        </w:rPr>
        <w:t> </w:t>
      </w:r>
      <w:r>
        <w:rPr>
          <w:sz w:val="20"/>
        </w:rPr>
        <w:t>felt</w:t>
      </w:r>
      <w:r>
        <w:rPr>
          <w:spacing w:val="-9"/>
          <w:sz w:val="20"/>
        </w:rPr>
        <w:t> </w:t>
      </w:r>
      <w:r>
        <w:rPr>
          <w:sz w:val="20"/>
        </w:rPr>
        <w:t>that</w:t>
      </w:r>
      <w:r>
        <w:rPr>
          <w:spacing w:val="-8"/>
          <w:sz w:val="20"/>
        </w:rPr>
        <w:t> </w:t>
      </w:r>
      <w:r>
        <w:rPr>
          <w:sz w:val="20"/>
        </w:rPr>
        <w:t>they</w:t>
      </w:r>
      <w:r>
        <w:rPr>
          <w:spacing w:val="-9"/>
          <w:sz w:val="20"/>
        </w:rPr>
        <w:t> </w:t>
      </w:r>
      <w:r>
        <w:rPr>
          <w:sz w:val="20"/>
        </w:rPr>
        <w:t>could</w:t>
      </w:r>
      <w:r>
        <w:rPr>
          <w:spacing w:val="-9"/>
          <w:sz w:val="20"/>
        </w:rPr>
        <w:t> </w:t>
      </w:r>
      <w:r>
        <w:rPr>
          <w:sz w:val="20"/>
        </w:rPr>
        <w:t>not</w:t>
      </w:r>
      <w:r>
        <w:rPr>
          <w:spacing w:val="-8"/>
          <w:sz w:val="20"/>
        </w:rPr>
        <w:t> </w:t>
      </w:r>
      <w:r>
        <w:rPr>
          <w:sz w:val="20"/>
        </w:rPr>
        <w:t>perform</w:t>
      </w:r>
      <w:r>
        <w:rPr>
          <w:spacing w:val="-9"/>
          <w:sz w:val="20"/>
        </w:rPr>
        <w:t> </w:t>
      </w:r>
      <w:r>
        <w:rPr>
          <w:sz w:val="20"/>
        </w:rPr>
        <w:t>the</w:t>
      </w:r>
      <w:r>
        <w:rPr>
          <w:spacing w:val="-9"/>
          <w:sz w:val="20"/>
        </w:rPr>
        <w:t> </w:t>
      </w:r>
      <w:r>
        <w:rPr>
          <w:spacing w:val="-3"/>
          <w:sz w:val="20"/>
        </w:rPr>
        <w:t>role</w:t>
      </w:r>
      <w:r>
        <w:rPr>
          <w:spacing w:val="-8"/>
          <w:sz w:val="20"/>
        </w:rPr>
        <w:t> </w:t>
      </w:r>
      <w:r>
        <w:rPr>
          <w:sz w:val="20"/>
        </w:rPr>
        <w:t>of</w:t>
      </w:r>
      <w:r>
        <w:rPr>
          <w:spacing w:val="-9"/>
          <w:sz w:val="20"/>
        </w:rPr>
        <w:t> </w:t>
      </w:r>
      <w:r>
        <w:rPr>
          <w:sz w:val="20"/>
        </w:rPr>
        <w:t>juror</w:t>
      </w:r>
      <w:r>
        <w:rPr>
          <w:spacing w:val="-9"/>
          <w:sz w:val="20"/>
        </w:rPr>
        <w:t> </w:t>
      </w:r>
      <w:r>
        <w:rPr>
          <w:sz w:val="20"/>
        </w:rPr>
        <w:t>due to</w:t>
      </w:r>
      <w:r>
        <w:rPr>
          <w:spacing w:val="-11"/>
          <w:sz w:val="20"/>
        </w:rPr>
        <w:t> </w:t>
      </w:r>
      <w:r>
        <w:rPr>
          <w:sz w:val="20"/>
        </w:rPr>
        <w:t>the</w:t>
      </w:r>
      <w:r>
        <w:rPr>
          <w:spacing w:val="-11"/>
          <w:sz w:val="20"/>
        </w:rPr>
        <w:t> </w:t>
      </w:r>
      <w:r>
        <w:rPr>
          <w:sz w:val="20"/>
        </w:rPr>
        <w:t>impact</w:t>
      </w:r>
      <w:r>
        <w:rPr>
          <w:spacing w:val="-11"/>
          <w:sz w:val="20"/>
        </w:rPr>
        <w:t> </w:t>
      </w:r>
      <w:r>
        <w:rPr>
          <w:sz w:val="20"/>
        </w:rPr>
        <w:t>of</w:t>
      </w:r>
      <w:r>
        <w:rPr>
          <w:spacing w:val="-11"/>
          <w:sz w:val="20"/>
        </w:rPr>
        <w:t> </w:t>
      </w:r>
      <w:r>
        <w:rPr>
          <w:sz w:val="20"/>
        </w:rPr>
        <w:t>their</w:t>
      </w:r>
      <w:r>
        <w:rPr>
          <w:spacing w:val="-11"/>
          <w:sz w:val="20"/>
        </w:rPr>
        <w:t> </w:t>
      </w:r>
      <w:r>
        <w:rPr>
          <w:sz w:val="20"/>
        </w:rPr>
        <w:t>disability.</w:t>
      </w:r>
      <w:r>
        <w:rPr>
          <w:spacing w:val="-11"/>
          <w:sz w:val="20"/>
        </w:rPr>
        <w:t> </w:t>
      </w:r>
      <w:r>
        <w:rPr>
          <w:sz w:val="20"/>
        </w:rPr>
        <w:t>The</w:t>
      </w:r>
      <w:r>
        <w:rPr>
          <w:spacing w:val="-11"/>
          <w:sz w:val="20"/>
        </w:rPr>
        <w:t> </w:t>
      </w:r>
      <w:r>
        <w:rPr>
          <w:sz w:val="20"/>
        </w:rPr>
        <w:t>same</w:t>
      </w:r>
      <w:r>
        <w:rPr>
          <w:spacing w:val="-10"/>
          <w:sz w:val="20"/>
        </w:rPr>
        <w:t> </w:t>
      </w:r>
      <w:r>
        <w:rPr>
          <w:sz w:val="20"/>
        </w:rPr>
        <w:t>conclusion</w:t>
      </w:r>
      <w:r>
        <w:rPr>
          <w:spacing w:val="-11"/>
          <w:sz w:val="20"/>
        </w:rPr>
        <w:t> </w:t>
      </w:r>
      <w:r>
        <w:rPr>
          <w:sz w:val="20"/>
        </w:rPr>
        <w:t>was</w:t>
      </w:r>
      <w:r>
        <w:rPr>
          <w:spacing w:val="-11"/>
          <w:sz w:val="20"/>
        </w:rPr>
        <w:t> </w:t>
      </w:r>
      <w:r>
        <w:rPr>
          <w:sz w:val="20"/>
        </w:rPr>
        <w:t>reached</w:t>
      </w:r>
      <w:r>
        <w:rPr>
          <w:spacing w:val="-11"/>
          <w:sz w:val="20"/>
        </w:rPr>
        <w:t> </w:t>
      </w:r>
      <w:r>
        <w:rPr>
          <w:sz w:val="20"/>
        </w:rPr>
        <w:t>in</w:t>
      </w:r>
      <w:r>
        <w:rPr>
          <w:spacing w:val="-11"/>
          <w:sz w:val="20"/>
        </w:rPr>
        <w:t> </w:t>
      </w:r>
      <w:r>
        <w:rPr>
          <w:sz w:val="20"/>
        </w:rPr>
        <w:t>the</w:t>
      </w:r>
      <w:r>
        <w:rPr>
          <w:spacing w:val="-11"/>
          <w:sz w:val="20"/>
        </w:rPr>
        <w:t> </w:t>
      </w:r>
      <w:r>
        <w:rPr>
          <w:sz w:val="20"/>
        </w:rPr>
        <w:t>campaign</w:t>
      </w:r>
      <w:r>
        <w:rPr>
          <w:spacing w:val="-11"/>
          <w:sz w:val="20"/>
        </w:rPr>
        <w:t> </w:t>
      </w:r>
      <w:r>
        <w:rPr>
          <w:sz w:val="20"/>
        </w:rPr>
        <w:t>for equal participation for women on juries in the 1960s and </w:t>
      </w:r>
      <w:r>
        <w:rPr>
          <w:spacing w:val="-3"/>
          <w:sz w:val="20"/>
        </w:rPr>
        <w:t>1970s. </w:t>
      </w:r>
      <w:r>
        <w:rPr>
          <w:spacing w:val="-6"/>
          <w:sz w:val="20"/>
        </w:rPr>
        <w:t>We </w:t>
      </w:r>
      <w:r>
        <w:rPr>
          <w:sz w:val="20"/>
        </w:rPr>
        <w:t>discussed this in </w:t>
      </w:r>
      <w:r>
        <w:rPr>
          <w:spacing w:val="-2"/>
          <w:sz w:val="20"/>
        </w:rPr>
        <w:t>Chapter</w:t>
      </w:r>
      <w:r>
        <w:rPr>
          <w:spacing w:val="-4"/>
          <w:sz w:val="20"/>
        </w:rPr>
        <w:t> </w:t>
      </w:r>
      <w:r>
        <w:rPr>
          <w:spacing w:val="3"/>
          <w:sz w:val="20"/>
        </w:rPr>
        <w:t>5.</w:t>
      </w:r>
    </w:p>
    <w:p>
      <w:pPr>
        <w:pStyle w:val="ListParagraph"/>
        <w:numPr>
          <w:ilvl w:val="1"/>
          <w:numId w:val="12"/>
        </w:numPr>
        <w:tabs>
          <w:tab w:pos="1761" w:val="left" w:leader="none"/>
          <w:tab w:pos="1762" w:val="left" w:leader="none"/>
        </w:tabs>
        <w:spacing w:line="206" w:lineRule="auto" w:before="127" w:after="0"/>
        <w:ind w:left="1761" w:right="1931" w:hanging="794"/>
        <w:jc w:val="left"/>
        <w:rPr>
          <w:sz w:val="20"/>
        </w:rPr>
      </w:pPr>
      <w:r>
        <w:rPr>
          <w:sz w:val="20"/>
        </w:rPr>
        <w:t>The</w:t>
      </w:r>
      <w:r>
        <w:rPr>
          <w:spacing w:val="-12"/>
          <w:sz w:val="20"/>
        </w:rPr>
        <w:t> </w:t>
      </w:r>
      <w:r>
        <w:rPr>
          <w:sz w:val="20"/>
        </w:rPr>
        <w:t>Victorian</w:t>
      </w:r>
      <w:r>
        <w:rPr>
          <w:spacing w:val="-11"/>
          <w:sz w:val="20"/>
        </w:rPr>
        <w:t> </w:t>
      </w:r>
      <w:r>
        <w:rPr>
          <w:spacing w:val="-3"/>
          <w:sz w:val="20"/>
        </w:rPr>
        <w:t>Equal</w:t>
      </w:r>
      <w:r>
        <w:rPr>
          <w:spacing w:val="-11"/>
          <w:sz w:val="20"/>
        </w:rPr>
        <w:t> </w:t>
      </w:r>
      <w:r>
        <w:rPr>
          <w:sz w:val="20"/>
        </w:rPr>
        <w:t>Opportunity</w:t>
      </w:r>
      <w:r>
        <w:rPr>
          <w:spacing w:val="-12"/>
          <w:sz w:val="20"/>
        </w:rPr>
        <w:t> </w:t>
      </w:r>
      <w:r>
        <w:rPr>
          <w:sz w:val="20"/>
        </w:rPr>
        <w:t>and</w:t>
      </w:r>
      <w:r>
        <w:rPr>
          <w:spacing w:val="-11"/>
          <w:sz w:val="20"/>
        </w:rPr>
        <w:t> </w:t>
      </w:r>
      <w:r>
        <w:rPr>
          <w:sz w:val="20"/>
        </w:rPr>
        <w:t>Human</w:t>
      </w:r>
      <w:r>
        <w:rPr>
          <w:spacing w:val="-11"/>
          <w:sz w:val="20"/>
        </w:rPr>
        <w:t> </w:t>
      </w:r>
      <w:r>
        <w:rPr>
          <w:sz w:val="20"/>
        </w:rPr>
        <w:t>Rights</w:t>
      </w:r>
      <w:r>
        <w:rPr>
          <w:spacing w:val="-12"/>
          <w:sz w:val="20"/>
        </w:rPr>
        <w:t> </w:t>
      </w:r>
      <w:r>
        <w:rPr>
          <w:sz w:val="20"/>
        </w:rPr>
        <w:t>Commission</w:t>
      </w:r>
      <w:r>
        <w:rPr>
          <w:spacing w:val="-11"/>
          <w:sz w:val="20"/>
        </w:rPr>
        <w:t> </w:t>
      </w:r>
      <w:r>
        <w:rPr>
          <w:sz w:val="20"/>
        </w:rPr>
        <w:t>commented</w:t>
      </w:r>
      <w:r>
        <w:rPr>
          <w:spacing w:val="-11"/>
          <w:sz w:val="20"/>
        </w:rPr>
        <w:t> </w:t>
      </w:r>
      <w:r>
        <w:rPr>
          <w:sz w:val="20"/>
        </w:rPr>
        <w:t>in consultation</w:t>
      </w:r>
      <w:r>
        <w:rPr>
          <w:spacing w:val="-5"/>
          <w:sz w:val="20"/>
        </w:rPr>
        <w:t> </w:t>
      </w:r>
      <w:r>
        <w:rPr>
          <w:sz w:val="20"/>
        </w:rPr>
        <w:t>that:</w:t>
      </w:r>
    </w:p>
    <w:p>
      <w:pPr>
        <w:spacing w:line="208" w:lineRule="auto" w:before="120"/>
        <w:ind w:left="2157" w:right="1590" w:firstLine="0"/>
        <w:jc w:val="left"/>
        <w:rPr>
          <w:sz w:val="11"/>
        </w:rPr>
      </w:pPr>
      <w:r>
        <w:rPr>
          <w:sz w:val="19"/>
        </w:rPr>
        <w:t>Not creating a system of low expectations is important. The starting point is that all people have civic rights and duties to take part in public life, including the jury system.</w:t>
      </w:r>
      <w:r>
        <w:rPr>
          <w:position w:val="6"/>
          <w:sz w:val="11"/>
        </w:rPr>
        <w:t>26</w:t>
      </w:r>
    </w:p>
    <w:p>
      <w:pPr>
        <w:pStyle w:val="ListParagraph"/>
        <w:numPr>
          <w:ilvl w:val="1"/>
          <w:numId w:val="12"/>
        </w:numPr>
        <w:tabs>
          <w:tab w:pos="1761" w:val="left" w:leader="none"/>
          <w:tab w:pos="1762" w:val="left" w:leader="none"/>
        </w:tabs>
        <w:spacing w:line="259" w:lineRule="exact" w:before="92" w:after="0"/>
        <w:ind w:left="1761" w:right="0" w:hanging="794"/>
        <w:jc w:val="left"/>
        <w:rPr>
          <w:sz w:val="20"/>
        </w:rPr>
      </w:pPr>
      <w:r>
        <w:rPr>
          <w:sz w:val="20"/>
        </w:rPr>
        <w:t>Vision</w:t>
      </w:r>
      <w:r>
        <w:rPr>
          <w:spacing w:val="-7"/>
          <w:sz w:val="20"/>
        </w:rPr>
        <w:t> </w:t>
      </w:r>
      <w:r>
        <w:rPr>
          <w:sz w:val="20"/>
        </w:rPr>
        <w:t>Australia</w:t>
      </w:r>
      <w:r>
        <w:rPr>
          <w:spacing w:val="-6"/>
          <w:sz w:val="20"/>
        </w:rPr>
        <w:t> </w:t>
      </w:r>
      <w:r>
        <w:rPr>
          <w:sz w:val="20"/>
        </w:rPr>
        <w:t>was</w:t>
      </w:r>
      <w:r>
        <w:rPr>
          <w:spacing w:val="-6"/>
          <w:sz w:val="20"/>
        </w:rPr>
        <w:t> </w:t>
      </w:r>
      <w:r>
        <w:rPr>
          <w:sz w:val="20"/>
        </w:rPr>
        <w:t>of</w:t>
      </w:r>
      <w:r>
        <w:rPr>
          <w:spacing w:val="-7"/>
          <w:sz w:val="20"/>
        </w:rPr>
        <w:t> </w:t>
      </w:r>
      <w:r>
        <w:rPr>
          <w:sz w:val="20"/>
        </w:rPr>
        <w:t>the</w:t>
      </w:r>
      <w:r>
        <w:rPr>
          <w:spacing w:val="-6"/>
          <w:sz w:val="20"/>
        </w:rPr>
        <w:t> </w:t>
      </w:r>
      <w:r>
        <w:rPr>
          <w:sz w:val="20"/>
        </w:rPr>
        <w:t>view</w:t>
      </w:r>
      <w:r>
        <w:rPr>
          <w:spacing w:val="-6"/>
          <w:sz w:val="20"/>
        </w:rPr>
        <w:t> </w:t>
      </w:r>
      <w:r>
        <w:rPr>
          <w:sz w:val="20"/>
        </w:rPr>
        <w:t>that</w:t>
      </w:r>
      <w:r>
        <w:rPr>
          <w:spacing w:val="-6"/>
          <w:sz w:val="20"/>
        </w:rPr>
        <w:t> </w:t>
      </w:r>
      <w:r>
        <w:rPr>
          <w:sz w:val="20"/>
        </w:rPr>
        <w:t>blindness</w:t>
      </w:r>
      <w:r>
        <w:rPr>
          <w:spacing w:val="-7"/>
          <w:sz w:val="20"/>
        </w:rPr>
        <w:t> </w:t>
      </w:r>
      <w:r>
        <w:rPr>
          <w:sz w:val="20"/>
        </w:rPr>
        <w:t>or</w:t>
      </w:r>
      <w:r>
        <w:rPr>
          <w:spacing w:val="-6"/>
          <w:sz w:val="20"/>
        </w:rPr>
        <w:t> </w:t>
      </w:r>
      <w:r>
        <w:rPr>
          <w:spacing w:val="-4"/>
          <w:sz w:val="20"/>
        </w:rPr>
        <w:t>low</w:t>
      </w:r>
      <w:r>
        <w:rPr>
          <w:spacing w:val="-6"/>
          <w:sz w:val="20"/>
        </w:rPr>
        <w:t> </w:t>
      </w:r>
      <w:r>
        <w:rPr>
          <w:sz w:val="20"/>
        </w:rPr>
        <w:t>vision</w:t>
      </w:r>
      <w:r>
        <w:rPr>
          <w:spacing w:val="-6"/>
          <w:sz w:val="20"/>
        </w:rPr>
        <w:t> </w:t>
      </w:r>
      <w:r>
        <w:rPr>
          <w:sz w:val="20"/>
        </w:rPr>
        <w:t>should,</w:t>
      </w:r>
      <w:r>
        <w:rPr>
          <w:spacing w:val="-7"/>
          <w:sz w:val="20"/>
        </w:rPr>
        <w:t> </w:t>
      </w:r>
      <w:r>
        <w:rPr>
          <w:sz w:val="20"/>
        </w:rPr>
        <w:t>in</w:t>
      </w:r>
      <w:r>
        <w:rPr>
          <w:spacing w:val="-6"/>
          <w:sz w:val="20"/>
        </w:rPr>
        <w:t> </w:t>
      </w:r>
      <w:r>
        <w:rPr>
          <w:sz w:val="20"/>
        </w:rPr>
        <w:t>general,</w:t>
      </w:r>
      <w:r>
        <w:rPr>
          <w:spacing w:val="-6"/>
          <w:sz w:val="20"/>
        </w:rPr>
        <w:t> </w:t>
      </w:r>
      <w:r>
        <w:rPr>
          <w:sz w:val="20"/>
        </w:rPr>
        <w:t>not</w:t>
      </w:r>
      <w:r>
        <w:rPr>
          <w:spacing w:val="-7"/>
          <w:sz w:val="20"/>
        </w:rPr>
        <w:t> </w:t>
      </w:r>
      <w:r>
        <w:rPr>
          <w:sz w:val="20"/>
        </w:rPr>
        <w:t>be</w:t>
      </w:r>
      <w:r>
        <w:rPr>
          <w:spacing w:val="-6"/>
          <w:sz w:val="20"/>
        </w:rPr>
        <w:t> </w:t>
      </w:r>
      <w:r>
        <w:rPr>
          <w:sz w:val="20"/>
        </w:rPr>
        <w:t>a</w:t>
      </w:r>
    </w:p>
    <w:p>
      <w:pPr>
        <w:pStyle w:val="BodyText"/>
        <w:spacing w:line="259" w:lineRule="exact"/>
        <w:ind w:left="1761"/>
      </w:pPr>
      <w:r>
        <w:rPr/>
        <w:t>sufficient reason for being excused from jury service. It explained:</w:t>
      </w:r>
    </w:p>
    <w:p>
      <w:pPr>
        <w:spacing w:line="208" w:lineRule="auto" w:before="113"/>
        <w:ind w:left="2157" w:right="1110" w:firstLine="0"/>
        <w:jc w:val="left"/>
        <w:rPr>
          <w:sz w:val="19"/>
        </w:rPr>
      </w:pPr>
      <w:r>
        <w:rPr>
          <w:sz w:val="19"/>
        </w:rPr>
        <w:t>However, there may be reasons associated with an individual’s disability that make it difficult or impossible for them to serve, and it should not be unduly onerous for them to seek to be excused in such cases. For example, a person who is blind may not have access to the technology needed to read electronic documents, or they may lack specific skills in reading the complex documents that will form evidence in a particular trial. A person may also have additional disabilities that will make it more difficult for them to participate effectively in the jury process. It is therefore important that the</w:t>
      </w:r>
    </w:p>
    <w:p>
      <w:pPr>
        <w:spacing w:line="208" w:lineRule="auto" w:before="4"/>
        <w:ind w:left="2157" w:right="1335" w:firstLine="0"/>
        <w:jc w:val="left"/>
        <w:rPr>
          <w:sz w:val="11"/>
        </w:rPr>
      </w:pPr>
      <w:r>
        <w:rPr>
          <w:sz w:val="19"/>
        </w:rPr>
        <w:t>Act include clear guidance and enumeration of reasons that would be sufficient for an excuse. It is also important that there is the option for an excuse to be limited to a particular case, rather than automatically triggering a permanent exemption.</w:t>
      </w:r>
      <w:r>
        <w:rPr>
          <w:position w:val="6"/>
          <w:sz w:val="11"/>
        </w:rPr>
        <w:t>27</w:t>
      </w:r>
    </w:p>
    <w:p>
      <w:pPr>
        <w:pStyle w:val="ListParagraph"/>
        <w:numPr>
          <w:ilvl w:val="1"/>
          <w:numId w:val="12"/>
        </w:numPr>
        <w:tabs>
          <w:tab w:pos="1761" w:val="left" w:leader="none"/>
          <w:tab w:pos="1762" w:val="left" w:leader="none"/>
        </w:tabs>
        <w:spacing w:line="206" w:lineRule="auto" w:before="123" w:after="0"/>
        <w:ind w:left="1761" w:right="1335" w:hanging="794"/>
        <w:jc w:val="left"/>
        <w:rPr>
          <w:sz w:val="11"/>
        </w:rPr>
      </w:pPr>
      <w:r>
        <w:rPr>
          <w:sz w:val="20"/>
        </w:rPr>
        <w:t>In</w:t>
      </w:r>
      <w:r>
        <w:rPr>
          <w:spacing w:val="-12"/>
          <w:sz w:val="20"/>
        </w:rPr>
        <w:t> </w:t>
      </w:r>
      <w:r>
        <w:rPr>
          <w:sz w:val="20"/>
        </w:rPr>
        <w:t>consultation,</w:t>
      </w:r>
      <w:r>
        <w:rPr>
          <w:spacing w:val="-11"/>
          <w:sz w:val="20"/>
        </w:rPr>
        <w:t> </w:t>
      </w:r>
      <w:r>
        <w:rPr>
          <w:spacing w:val="-5"/>
          <w:sz w:val="20"/>
        </w:rPr>
        <w:t>Youth</w:t>
      </w:r>
      <w:r>
        <w:rPr>
          <w:spacing w:val="-11"/>
          <w:sz w:val="20"/>
        </w:rPr>
        <w:t> </w:t>
      </w:r>
      <w:r>
        <w:rPr>
          <w:sz w:val="20"/>
        </w:rPr>
        <w:t>Disability</w:t>
      </w:r>
      <w:r>
        <w:rPr>
          <w:spacing w:val="-11"/>
          <w:sz w:val="20"/>
        </w:rPr>
        <w:t> </w:t>
      </w:r>
      <w:r>
        <w:rPr>
          <w:spacing w:val="-3"/>
          <w:sz w:val="20"/>
        </w:rPr>
        <w:t>Advocacy</w:t>
      </w:r>
      <w:r>
        <w:rPr>
          <w:spacing w:val="-12"/>
          <w:sz w:val="20"/>
        </w:rPr>
        <w:t> </w:t>
      </w:r>
      <w:r>
        <w:rPr>
          <w:sz w:val="20"/>
        </w:rPr>
        <w:t>Service</w:t>
      </w:r>
      <w:r>
        <w:rPr>
          <w:spacing w:val="-11"/>
          <w:sz w:val="20"/>
        </w:rPr>
        <w:t> </w:t>
      </w:r>
      <w:r>
        <w:rPr>
          <w:sz w:val="20"/>
        </w:rPr>
        <w:t>(YDAS)</w:t>
      </w:r>
      <w:r>
        <w:rPr>
          <w:spacing w:val="-11"/>
          <w:sz w:val="20"/>
        </w:rPr>
        <w:t> </w:t>
      </w:r>
      <w:r>
        <w:rPr>
          <w:sz w:val="20"/>
        </w:rPr>
        <w:t>explained</w:t>
      </w:r>
      <w:r>
        <w:rPr>
          <w:spacing w:val="-11"/>
          <w:sz w:val="20"/>
        </w:rPr>
        <w:t> </w:t>
      </w:r>
      <w:r>
        <w:rPr>
          <w:sz w:val="20"/>
        </w:rPr>
        <w:t>its</w:t>
      </w:r>
      <w:r>
        <w:rPr>
          <w:spacing w:val="-11"/>
          <w:sz w:val="20"/>
        </w:rPr>
        <w:t> </w:t>
      </w:r>
      <w:r>
        <w:rPr>
          <w:sz w:val="20"/>
        </w:rPr>
        <w:t>view</w:t>
      </w:r>
      <w:r>
        <w:rPr>
          <w:spacing w:val="-12"/>
          <w:sz w:val="20"/>
        </w:rPr>
        <w:t> </w:t>
      </w:r>
      <w:r>
        <w:rPr>
          <w:sz w:val="20"/>
        </w:rPr>
        <w:t>that</w:t>
      </w:r>
      <w:r>
        <w:rPr>
          <w:spacing w:val="-11"/>
          <w:sz w:val="20"/>
        </w:rPr>
        <w:t> </w:t>
      </w:r>
      <w:r>
        <w:rPr>
          <w:sz w:val="20"/>
        </w:rPr>
        <w:t>there should continue to be an option for people to be </w:t>
      </w:r>
      <w:r>
        <w:rPr>
          <w:spacing w:val="-3"/>
          <w:sz w:val="20"/>
        </w:rPr>
        <w:t>excused </w:t>
      </w:r>
      <w:r>
        <w:rPr>
          <w:sz w:val="20"/>
        </w:rPr>
        <w:t>on the basis of disability, but that this should not be framed as the ‘primary reason for </w:t>
      </w:r>
      <w:r>
        <w:rPr>
          <w:spacing w:val="-3"/>
          <w:sz w:val="20"/>
        </w:rPr>
        <w:t>allowing </w:t>
      </w:r>
      <w:r>
        <w:rPr>
          <w:sz w:val="20"/>
        </w:rPr>
        <w:t>people to be excused’ because this might </w:t>
      </w:r>
      <w:r>
        <w:rPr>
          <w:spacing w:val="-3"/>
          <w:sz w:val="20"/>
        </w:rPr>
        <w:t>reinforce </w:t>
      </w:r>
      <w:r>
        <w:rPr>
          <w:sz w:val="20"/>
        </w:rPr>
        <w:t>assumptions about the abilities of people </w:t>
      </w:r>
      <w:r>
        <w:rPr>
          <w:spacing w:val="-3"/>
          <w:sz w:val="20"/>
        </w:rPr>
        <w:t>from </w:t>
      </w:r>
      <w:r>
        <w:rPr>
          <w:sz w:val="20"/>
        </w:rPr>
        <w:t>the subject groups and </w:t>
      </w:r>
      <w:r>
        <w:rPr>
          <w:spacing w:val="-3"/>
          <w:sz w:val="20"/>
        </w:rPr>
        <w:t>provide </w:t>
      </w:r>
      <w:r>
        <w:rPr>
          <w:sz w:val="20"/>
        </w:rPr>
        <w:t>an </w:t>
      </w:r>
      <w:r>
        <w:rPr>
          <w:spacing w:val="-3"/>
          <w:sz w:val="20"/>
        </w:rPr>
        <w:t>excuse </w:t>
      </w:r>
      <w:r>
        <w:rPr>
          <w:sz w:val="20"/>
        </w:rPr>
        <w:t>for the courts not to </w:t>
      </w:r>
      <w:r>
        <w:rPr>
          <w:spacing w:val="-3"/>
          <w:sz w:val="20"/>
        </w:rPr>
        <w:t>provide </w:t>
      </w:r>
      <w:r>
        <w:rPr>
          <w:sz w:val="20"/>
        </w:rPr>
        <w:t>adjustments. Instead, </w:t>
      </w:r>
      <w:r>
        <w:rPr>
          <w:spacing w:val="-3"/>
          <w:sz w:val="20"/>
        </w:rPr>
        <w:t>YDAS </w:t>
      </w:r>
      <w:r>
        <w:rPr>
          <w:sz w:val="20"/>
        </w:rPr>
        <w:t>suggested that ‘Consideration of the person’s disability should be included</w:t>
      </w:r>
      <w:r>
        <w:rPr>
          <w:spacing w:val="-8"/>
          <w:sz w:val="20"/>
        </w:rPr>
        <w:t> </w:t>
      </w:r>
      <w:r>
        <w:rPr>
          <w:sz w:val="20"/>
        </w:rPr>
        <w:t>as</w:t>
      </w:r>
      <w:r>
        <w:rPr>
          <w:spacing w:val="-7"/>
          <w:sz w:val="20"/>
        </w:rPr>
        <w:t> </w:t>
      </w:r>
      <w:r>
        <w:rPr>
          <w:sz w:val="20"/>
        </w:rPr>
        <w:t>a</w:t>
      </w:r>
      <w:r>
        <w:rPr>
          <w:spacing w:val="-7"/>
          <w:sz w:val="20"/>
        </w:rPr>
        <w:t> </w:t>
      </w:r>
      <w:r>
        <w:rPr>
          <w:spacing w:val="-3"/>
          <w:sz w:val="20"/>
        </w:rPr>
        <w:t>background/contributing</w:t>
      </w:r>
      <w:r>
        <w:rPr>
          <w:spacing w:val="-8"/>
          <w:sz w:val="20"/>
        </w:rPr>
        <w:t> </w:t>
      </w:r>
      <w:r>
        <w:rPr>
          <w:spacing w:val="-2"/>
          <w:sz w:val="20"/>
        </w:rPr>
        <w:t>factor</w:t>
      </w:r>
      <w:r>
        <w:rPr>
          <w:spacing w:val="-7"/>
          <w:sz w:val="20"/>
        </w:rPr>
        <w:t> </w:t>
      </w:r>
      <w:r>
        <w:rPr>
          <w:sz w:val="20"/>
        </w:rPr>
        <w:t>for</w:t>
      </w:r>
      <w:r>
        <w:rPr>
          <w:spacing w:val="-7"/>
          <w:sz w:val="20"/>
        </w:rPr>
        <w:t> </w:t>
      </w:r>
      <w:r>
        <w:rPr>
          <w:sz w:val="20"/>
        </w:rPr>
        <w:t>other</w:t>
      </w:r>
      <w:r>
        <w:rPr>
          <w:spacing w:val="-7"/>
          <w:sz w:val="20"/>
        </w:rPr>
        <w:t> </w:t>
      </w:r>
      <w:r>
        <w:rPr>
          <w:sz w:val="20"/>
        </w:rPr>
        <w:t>reasons</w:t>
      </w:r>
      <w:r>
        <w:rPr>
          <w:spacing w:val="-8"/>
          <w:sz w:val="20"/>
        </w:rPr>
        <w:t> </w:t>
      </w:r>
      <w:r>
        <w:rPr>
          <w:spacing w:val="-3"/>
          <w:sz w:val="20"/>
        </w:rPr>
        <w:t>why</w:t>
      </w:r>
      <w:r>
        <w:rPr>
          <w:spacing w:val="-7"/>
          <w:sz w:val="20"/>
        </w:rPr>
        <w:t> </w:t>
      </w:r>
      <w:r>
        <w:rPr>
          <w:sz w:val="20"/>
        </w:rPr>
        <w:t>they</w:t>
      </w:r>
      <w:r>
        <w:rPr>
          <w:spacing w:val="-7"/>
          <w:sz w:val="20"/>
        </w:rPr>
        <w:t> </w:t>
      </w:r>
      <w:r>
        <w:rPr>
          <w:spacing w:val="-3"/>
          <w:sz w:val="20"/>
        </w:rPr>
        <w:t>may</w:t>
      </w:r>
      <w:r>
        <w:rPr>
          <w:spacing w:val="-8"/>
          <w:sz w:val="20"/>
        </w:rPr>
        <w:t> </w:t>
      </w:r>
      <w:r>
        <w:rPr>
          <w:sz w:val="20"/>
        </w:rPr>
        <w:t>need</w:t>
      </w:r>
      <w:r>
        <w:rPr>
          <w:spacing w:val="-7"/>
          <w:sz w:val="20"/>
        </w:rPr>
        <w:t> </w:t>
      </w:r>
      <w:r>
        <w:rPr>
          <w:sz w:val="20"/>
        </w:rPr>
        <w:t>to be</w:t>
      </w:r>
      <w:r>
        <w:rPr>
          <w:spacing w:val="-5"/>
          <w:sz w:val="20"/>
        </w:rPr>
        <w:t> </w:t>
      </w:r>
      <w:r>
        <w:rPr>
          <w:sz w:val="20"/>
        </w:rPr>
        <w:t>excused’.</w:t>
      </w:r>
      <w:r>
        <w:rPr>
          <w:position w:val="7"/>
          <w:sz w:val="11"/>
        </w:rPr>
        <w:t>28</w:t>
      </w:r>
    </w:p>
    <w:p>
      <w:pPr>
        <w:pStyle w:val="ListParagraph"/>
        <w:numPr>
          <w:ilvl w:val="1"/>
          <w:numId w:val="12"/>
        </w:numPr>
        <w:tabs>
          <w:tab w:pos="1761" w:val="left" w:leader="none"/>
          <w:tab w:pos="1762" w:val="left" w:leader="none"/>
        </w:tabs>
        <w:spacing w:line="206" w:lineRule="auto" w:before="131" w:after="0"/>
        <w:ind w:left="1761" w:right="1461" w:hanging="794"/>
        <w:jc w:val="left"/>
        <w:rPr>
          <w:sz w:val="20"/>
        </w:rPr>
      </w:pPr>
      <w:r>
        <w:rPr>
          <w:sz w:val="20"/>
        </w:rPr>
        <w:t>The</w:t>
      </w:r>
      <w:r>
        <w:rPr>
          <w:spacing w:val="-9"/>
          <w:sz w:val="20"/>
        </w:rPr>
        <w:t> </w:t>
      </w:r>
      <w:r>
        <w:rPr>
          <w:spacing w:val="-4"/>
          <w:sz w:val="20"/>
        </w:rPr>
        <w:t>2007</w:t>
      </w:r>
      <w:r>
        <w:rPr>
          <w:spacing w:val="-8"/>
          <w:sz w:val="20"/>
        </w:rPr>
        <w:t> </w:t>
      </w:r>
      <w:r>
        <w:rPr>
          <w:sz w:val="20"/>
        </w:rPr>
        <w:t>Blind</w:t>
      </w:r>
      <w:r>
        <w:rPr>
          <w:spacing w:val="-8"/>
          <w:sz w:val="20"/>
        </w:rPr>
        <w:t> </w:t>
      </w:r>
      <w:r>
        <w:rPr>
          <w:spacing w:val="-3"/>
          <w:sz w:val="20"/>
        </w:rPr>
        <w:t>Citizens</w:t>
      </w:r>
      <w:r>
        <w:rPr>
          <w:spacing w:val="-9"/>
          <w:sz w:val="20"/>
        </w:rPr>
        <w:t> </w:t>
      </w:r>
      <w:r>
        <w:rPr>
          <w:sz w:val="20"/>
        </w:rPr>
        <w:t>Australia</w:t>
      </w:r>
      <w:r>
        <w:rPr>
          <w:spacing w:val="-8"/>
          <w:sz w:val="20"/>
        </w:rPr>
        <w:t> </w:t>
      </w:r>
      <w:r>
        <w:rPr>
          <w:sz w:val="20"/>
        </w:rPr>
        <w:t>Position</w:t>
      </w:r>
      <w:r>
        <w:rPr>
          <w:spacing w:val="-8"/>
          <w:sz w:val="20"/>
        </w:rPr>
        <w:t> </w:t>
      </w:r>
      <w:r>
        <w:rPr>
          <w:sz w:val="20"/>
        </w:rPr>
        <w:t>Statement</w:t>
      </w:r>
      <w:r>
        <w:rPr>
          <w:spacing w:val="-9"/>
          <w:sz w:val="20"/>
        </w:rPr>
        <w:t> </w:t>
      </w:r>
      <w:r>
        <w:rPr>
          <w:sz w:val="20"/>
        </w:rPr>
        <w:t>on</w:t>
      </w:r>
      <w:r>
        <w:rPr>
          <w:spacing w:val="-8"/>
          <w:sz w:val="20"/>
        </w:rPr>
        <w:t> </w:t>
      </w:r>
      <w:r>
        <w:rPr>
          <w:sz w:val="20"/>
        </w:rPr>
        <w:t>Jury</w:t>
      </w:r>
      <w:r>
        <w:rPr>
          <w:spacing w:val="-8"/>
          <w:sz w:val="20"/>
        </w:rPr>
        <w:t> </w:t>
      </w:r>
      <w:r>
        <w:rPr>
          <w:sz w:val="20"/>
        </w:rPr>
        <w:t>Service</w:t>
      </w:r>
      <w:r>
        <w:rPr>
          <w:spacing w:val="-9"/>
          <w:sz w:val="20"/>
        </w:rPr>
        <w:t> </w:t>
      </w:r>
      <w:r>
        <w:rPr>
          <w:sz w:val="20"/>
        </w:rPr>
        <w:t>sets</w:t>
      </w:r>
      <w:r>
        <w:rPr>
          <w:spacing w:val="-8"/>
          <w:sz w:val="20"/>
        </w:rPr>
        <w:t> </w:t>
      </w:r>
      <w:r>
        <w:rPr>
          <w:sz w:val="20"/>
        </w:rPr>
        <w:t>out</w:t>
      </w:r>
      <w:r>
        <w:rPr>
          <w:spacing w:val="-8"/>
          <w:sz w:val="20"/>
        </w:rPr>
        <w:t> </w:t>
      </w:r>
      <w:r>
        <w:rPr>
          <w:sz w:val="20"/>
        </w:rPr>
        <w:t>its</w:t>
      </w:r>
      <w:r>
        <w:rPr>
          <w:spacing w:val="-9"/>
          <w:sz w:val="20"/>
        </w:rPr>
        <w:t> </w:t>
      </w:r>
      <w:r>
        <w:rPr>
          <w:sz w:val="20"/>
        </w:rPr>
        <w:t>view on when </w:t>
      </w:r>
      <w:r>
        <w:rPr>
          <w:spacing w:val="-3"/>
          <w:sz w:val="20"/>
        </w:rPr>
        <w:t>excuse </w:t>
      </w:r>
      <w:r>
        <w:rPr>
          <w:sz w:val="20"/>
        </w:rPr>
        <w:t>should be</w:t>
      </w:r>
      <w:r>
        <w:rPr>
          <w:spacing w:val="-18"/>
          <w:sz w:val="20"/>
        </w:rPr>
        <w:t> </w:t>
      </w:r>
      <w:r>
        <w:rPr>
          <w:spacing w:val="-3"/>
          <w:sz w:val="20"/>
        </w:rPr>
        <w:t>available:</w:t>
      </w:r>
    </w:p>
    <w:p>
      <w:pPr>
        <w:spacing w:line="208" w:lineRule="auto" w:before="120"/>
        <w:ind w:left="2157" w:right="1202" w:firstLine="0"/>
        <w:jc w:val="left"/>
        <w:rPr>
          <w:sz w:val="11"/>
        </w:rPr>
      </w:pPr>
      <w:r>
        <w:rPr>
          <w:sz w:val="19"/>
        </w:rPr>
        <w:t>Legislation should require that only after support services provided to perform jury service are considered, can difficulty with performing jury duties on the basis of blindness or vision impairment be grounds for being excused from jury service on the basis of the blindness or vision impairment.</w:t>
      </w:r>
      <w:r>
        <w:rPr>
          <w:position w:val="6"/>
          <w:sz w:val="11"/>
        </w:rPr>
        <w:t>29</w:t>
      </w:r>
    </w:p>
    <w:p>
      <w:pPr>
        <w:pStyle w:val="BodyText"/>
      </w:pPr>
    </w:p>
    <w:p>
      <w:pPr>
        <w:pStyle w:val="BodyText"/>
      </w:pPr>
    </w:p>
    <w:p>
      <w:pPr>
        <w:pStyle w:val="BodyText"/>
      </w:pPr>
    </w:p>
    <w:p>
      <w:pPr>
        <w:pStyle w:val="BodyText"/>
      </w:pPr>
    </w:p>
    <w:p>
      <w:pPr>
        <w:pStyle w:val="BodyText"/>
        <w:spacing w:before="11"/>
      </w:pPr>
      <w:r>
        <w:rPr/>
        <w:pict>
          <v:line style="position:absolute;mso-position-horizontal-relative:page;mso-position-vertical-relative:paragraph;z-index:9704;mso-wrap-distance-left:0;mso-wrap-distance-right:0" from="79.370003pt,16.880859pt" to="515.905003pt,16.880859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spacing w:before="13"/>
        <w:rPr>
          <w:sz w:val="26"/>
        </w:rPr>
      </w:pPr>
    </w:p>
    <w:p>
      <w:pPr>
        <w:spacing w:before="0"/>
        <w:ind w:left="100" w:right="0" w:firstLine="0"/>
        <w:jc w:val="left"/>
        <w:rPr>
          <w:b/>
          <w:sz w:val="24"/>
        </w:rPr>
      </w:pPr>
      <w:r>
        <w:rPr>
          <w:b/>
          <w:color w:val="37617A"/>
          <w:sz w:val="24"/>
        </w:rPr>
        <w:t>184</w:t>
      </w:r>
    </w:p>
    <w:p>
      <w:pPr>
        <w:pStyle w:val="ListParagraph"/>
        <w:numPr>
          <w:ilvl w:val="0"/>
          <w:numId w:val="110"/>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z w:val="13"/>
        </w:rPr>
        <w:t>Consultation 20 </w:t>
      </w:r>
      <w:r>
        <w:rPr>
          <w:spacing w:val="2"/>
          <w:sz w:val="13"/>
        </w:rPr>
        <w:t>(Victorian </w:t>
      </w:r>
      <w:r>
        <w:rPr>
          <w:sz w:val="13"/>
        </w:rPr>
        <w:t>Equal </w:t>
      </w:r>
      <w:r>
        <w:rPr>
          <w:spacing w:val="2"/>
          <w:sz w:val="13"/>
        </w:rPr>
        <w:t>Opportunities </w:t>
      </w:r>
      <w:r>
        <w:rPr>
          <w:sz w:val="13"/>
        </w:rPr>
        <w:t>and Human Rights Commission).</w:t>
      </w:r>
    </w:p>
    <w:p>
      <w:pPr>
        <w:pStyle w:val="ListParagraph"/>
        <w:numPr>
          <w:ilvl w:val="0"/>
          <w:numId w:val="110"/>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110"/>
        </w:numPr>
        <w:tabs>
          <w:tab w:pos="893" w:val="left" w:leader="none"/>
          <w:tab w:pos="894" w:val="left" w:leader="none"/>
        </w:tabs>
        <w:spacing w:line="160" w:lineRule="exact" w:before="0" w:after="0"/>
        <w:ind w:left="893" w:right="0" w:hanging="793"/>
        <w:jc w:val="left"/>
        <w:rPr>
          <w:sz w:val="13"/>
        </w:rPr>
      </w:pPr>
      <w:r>
        <w:rPr>
          <w:sz w:val="13"/>
        </w:rPr>
        <w:t>Consultation 17 (Youth </w:t>
      </w:r>
      <w:r>
        <w:rPr>
          <w:spacing w:val="2"/>
          <w:sz w:val="13"/>
        </w:rPr>
        <w:t>Disability </w:t>
      </w:r>
      <w:r>
        <w:rPr>
          <w:sz w:val="13"/>
        </w:rPr>
        <w:t>Advocacy </w:t>
      </w:r>
      <w:r>
        <w:rPr>
          <w:spacing w:val="2"/>
          <w:sz w:val="13"/>
        </w:rPr>
        <w:t>Service</w:t>
      </w:r>
      <w:r>
        <w:rPr>
          <w:spacing w:val="-1"/>
          <w:sz w:val="13"/>
        </w:rPr>
        <w:t> </w:t>
      </w:r>
      <w:r>
        <w:rPr>
          <w:sz w:val="13"/>
        </w:rPr>
        <w:t>(YDAS)).</w:t>
      </w:r>
    </w:p>
    <w:p>
      <w:pPr>
        <w:pStyle w:val="ListParagraph"/>
        <w:numPr>
          <w:ilvl w:val="0"/>
          <w:numId w:val="110"/>
        </w:numPr>
        <w:tabs>
          <w:tab w:pos="893" w:val="left" w:leader="none"/>
          <w:tab w:pos="894" w:val="left" w:leader="none"/>
        </w:tabs>
        <w:spacing w:line="170" w:lineRule="exact" w:before="0" w:after="0"/>
        <w:ind w:left="893" w:right="0" w:hanging="793"/>
        <w:jc w:val="left"/>
        <w:rPr>
          <w:sz w:val="13"/>
        </w:rPr>
      </w:pPr>
      <w:r>
        <w:rPr>
          <w:sz w:val="13"/>
        </w:rPr>
        <w:t>Position Statement 1 </w:t>
      </w:r>
      <w:r>
        <w:rPr>
          <w:spacing w:val="2"/>
          <w:sz w:val="13"/>
        </w:rPr>
        <w:t>(Blind </w:t>
      </w:r>
      <w:r>
        <w:rPr>
          <w:sz w:val="13"/>
        </w:rPr>
        <w:t>Citizens</w:t>
      </w:r>
      <w:r>
        <w:rPr>
          <w:spacing w:val="-1"/>
          <w:sz w:val="13"/>
        </w:rPr>
        <w:t> </w:t>
      </w:r>
      <w:r>
        <w:rPr>
          <w:sz w:val="13"/>
        </w:rPr>
        <w:t>Australia).</w:t>
      </w:r>
    </w:p>
    <w:p>
      <w:pPr>
        <w:spacing w:after="0" w:line="170" w:lineRule="exact"/>
        <w:jc w:val="left"/>
        <w:rPr>
          <w:sz w:val="13"/>
        </w:rPr>
        <w:sectPr>
          <w:type w:val="continuous"/>
          <w:pgSz w:w="11910" w:h="16840"/>
          <w:pgMar w:top="620" w:bottom="280" w:left="620" w:right="380"/>
          <w:cols w:num="2" w:equalWidth="0">
            <w:col w:w="538" w:space="329"/>
            <w:col w:w="10043"/>
          </w:cols>
        </w:sectPr>
      </w:pPr>
    </w:p>
    <w:p>
      <w:pPr>
        <w:pStyle w:val="BodyText"/>
      </w:pPr>
    </w:p>
    <w:p>
      <w:pPr>
        <w:pStyle w:val="BodyText"/>
      </w:pPr>
    </w:p>
    <w:p>
      <w:pPr>
        <w:pStyle w:val="BodyText"/>
      </w:pPr>
    </w:p>
    <w:p>
      <w:pPr>
        <w:pStyle w:val="BodyText"/>
        <w:spacing w:before="6"/>
        <w:rPr>
          <w:sz w:val="14"/>
        </w:rPr>
      </w:pPr>
    </w:p>
    <w:p>
      <w:pPr>
        <w:spacing w:before="49"/>
        <w:ind w:left="967" w:right="0" w:firstLine="0"/>
        <w:jc w:val="left"/>
        <w:rPr>
          <w:b/>
          <w:sz w:val="24"/>
        </w:rPr>
      </w:pPr>
      <w:bookmarkStart w:name="_bookmark135" w:id="320"/>
      <w:bookmarkEnd w:id="320"/>
      <w:r>
        <w:rPr/>
      </w:r>
      <w:r>
        <w:rPr>
          <w:b/>
          <w:sz w:val="24"/>
        </w:rPr>
        <w:t>Responses by people from the subject groups</w:t>
      </w:r>
    </w:p>
    <w:p>
      <w:pPr>
        <w:pStyle w:val="ListParagraph"/>
        <w:numPr>
          <w:ilvl w:val="1"/>
          <w:numId w:val="12"/>
        </w:numPr>
        <w:tabs>
          <w:tab w:pos="1761" w:val="left" w:leader="none"/>
          <w:tab w:pos="1762" w:val="left" w:leader="none"/>
        </w:tabs>
        <w:spacing w:line="206" w:lineRule="auto" w:before="127" w:after="0"/>
        <w:ind w:left="1761" w:right="1303" w:hanging="794"/>
        <w:jc w:val="left"/>
        <w:rPr>
          <w:sz w:val="20"/>
        </w:rPr>
      </w:pPr>
      <w:r>
        <w:rPr>
          <w:sz w:val="20"/>
        </w:rPr>
        <w:t>The majority of people </w:t>
      </w:r>
      <w:r>
        <w:rPr>
          <w:spacing w:val="-3"/>
          <w:sz w:val="20"/>
        </w:rPr>
        <w:t>from </w:t>
      </w:r>
      <w:r>
        <w:rPr>
          <w:sz w:val="20"/>
        </w:rPr>
        <w:t>the subject groups who </w:t>
      </w:r>
      <w:r>
        <w:rPr>
          <w:spacing w:val="-4"/>
          <w:sz w:val="20"/>
        </w:rPr>
        <w:t>were involved </w:t>
      </w:r>
      <w:r>
        <w:rPr>
          <w:sz w:val="20"/>
        </w:rPr>
        <w:t>in consultations, </w:t>
      </w:r>
      <w:r>
        <w:rPr>
          <w:spacing w:val="-3"/>
          <w:sz w:val="20"/>
        </w:rPr>
        <w:t>surveys</w:t>
      </w:r>
      <w:r>
        <w:rPr>
          <w:spacing w:val="-10"/>
          <w:sz w:val="20"/>
        </w:rPr>
        <w:t> </w:t>
      </w:r>
      <w:r>
        <w:rPr>
          <w:sz w:val="20"/>
        </w:rPr>
        <w:t>or</w:t>
      </w:r>
      <w:r>
        <w:rPr>
          <w:spacing w:val="-10"/>
          <w:sz w:val="20"/>
        </w:rPr>
        <w:t> </w:t>
      </w:r>
      <w:r>
        <w:rPr>
          <w:sz w:val="20"/>
        </w:rPr>
        <w:t>who</w:t>
      </w:r>
      <w:r>
        <w:rPr>
          <w:spacing w:val="-10"/>
          <w:sz w:val="20"/>
        </w:rPr>
        <w:t> </w:t>
      </w:r>
      <w:r>
        <w:rPr>
          <w:sz w:val="20"/>
        </w:rPr>
        <w:t>contributed</w:t>
      </w:r>
      <w:r>
        <w:rPr>
          <w:spacing w:val="-10"/>
          <w:sz w:val="20"/>
        </w:rPr>
        <w:t> </w:t>
      </w:r>
      <w:r>
        <w:rPr>
          <w:sz w:val="20"/>
        </w:rPr>
        <w:t>submissions</w:t>
      </w:r>
      <w:r>
        <w:rPr>
          <w:spacing w:val="-10"/>
          <w:sz w:val="20"/>
        </w:rPr>
        <w:t> </w:t>
      </w:r>
      <w:r>
        <w:rPr>
          <w:sz w:val="20"/>
        </w:rPr>
        <w:t>believed</w:t>
      </w:r>
      <w:r>
        <w:rPr>
          <w:spacing w:val="-10"/>
          <w:sz w:val="20"/>
        </w:rPr>
        <w:t> </w:t>
      </w:r>
      <w:r>
        <w:rPr>
          <w:sz w:val="20"/>
        </w:rPr>
        <w:t>that</w:t>
      </w:r>
      <w:r>
        <w:rPr>
          <w:spacing w:val="-10"/>
          <w:sz w:val="20"/>
        </w:rPr>
        <w:t> </w:t>
      </w:r>
      <w:r>
        <w:rPr>
          <w:spacing w:val="-3"/>
          <w:sz w:val="20"/>
        </w:rPr>
        <w:t>excuse</w:t>
      </w:r>
      <w:r>
        <w:rPr>
          <w:spacing w:val="-10"/>
          <w:sz w:val="20"/>
        </w:rPr>
        <w:t> </w:t>
      </w:r>
      <w:r>
        <w:rPr>
          <w:spacing w:val="-3"/>
          <w:sz w:val="20"/>
        </w:rPr>
        <w:t>from</w:t>
      </w:r>
      <w:r>
        <w:rPr>
          <w:spacing w:val="-10"/>
          <w:sz w:val="20"/>
        </w:rPr>
        <w:t> </w:t>
      </w:r>
      <w:r>
        <w:rPr>
          <w:sz w:val="20"/>
        </w:rPr>
        <w:t>jury</w:t>
      </w:r>
      <w:r>
        <w:rPr>
          <w:spacing w:val="-10"/>
          <w:sz w:val="20"/>
        </w:rPr>
        <w:t> </w:t>
      </w:r>
      <w:r>
        <w:rPr>
          <w:sz w:val="20"/>
        </w:rPr>
        <w:t>service</w:t>
      </w:r>
      <w:r>
        <w:rPr>
          <w:spacing w:val="-10"/>
          <w:sz w:val="20"/>
        </w:rPr>
        <w:t> </w:t>
      </w:r>
      <w:r>
        <w:rPr>
          <w:sz w:val="20"/>
        </w:rPr>
        <w:t>should </w:t>
      </w:r>
      <w:r>
        <w:rPr>
          <w:spacing w:val="-3"/>
          <w:sz w:val="20"/>
        </w:rPr>
        <w:t>only </w:t>
      </w:r>
      <w:r>
        <w:rPr>
          <w:sz w:val="20"/>
        </w:rPr>
        <w:t>be </w:t>
      </w:r>
      <w:r>
        <w:rPr>
          <w:spacing w:val="-3"/>
          <w:sz w:val="20"/>
        </w:rPr>
        <w:t>available </w:t>
      </w:r>
      <w:r>
        <w:rPr>
          <w:sz w:val="20"/>
        </w:rPr>
        <w:t>as it is for all community members. </w:t>
      </w:r>
      <w:r>
        <w:rPr>
          <w:spacing w:val="-3"/>
          <w:sz w:val="20"/>
        </w:rPr>
        <w:t>For example, </w:t>
      </w:r>
      <w:r>
        <w:rPr>
          <w:sz w:val="20"/>
        </w:rPr>
        <w:t>Alastair </w:t>
      </w:r>
      <w:r>
        <w:rPr>
          <w:spacing w:val="-3"/>
          <w:sz w:val="20"/>
        </w:rPr>
        <w:t>McEwin expressed</w:t>
      </w:r>
      <w:r>
        <w:rPr>
          <w:spacing w:val="-7"/>
          <w:sz w:val="20"/>
        </w:rPr>
        <w:t> </w:t>
      </w:r>
      <w:r>
        <w:rPr>
          <w:sz w:val="20"/>
        </w:rPr>
        <w:t>the</w:t>
      </w:r>
      <w:r>
        <w:rPr>
          <w:spacing w:val="-6"/>
          <w:sz w:val="20"/>
        </w:rPr>
        <w:t> </w:t>
      </w:r>
      <w:r>
        <w:rPr>
          <w:sz w:val="20"/>
        </w:rPr>
        <w:t>view</w:t>
      </w:r>
      <w:r>
        <w:rPr>
          <w:spacing w:val="-6"/>
          <w:sz w:val="20"/>
        </w:rPr>
        <w:t> </w:t>
      </w:r>
      <w:r>
        <w:rPr>
          <w:sz w:val="20"/>
        </w:rPr>
        <w:t>that</w:t>
      </w:r>
      <w:r>
        <w:rPr>
          <w:spacing w:val="-6"/>
          <w:sz w:val="20"/>
        </w:rPr>
        <w:t> </w:t>
      </w:r>
      <w:r>
        <w:rPr>
          <w:spacing w:val="-3"/>
          <w:sz w:val="20"/>
        </w:rPr>
        <w:t>reforms</w:t>
      </w:r>
      <w:r>
        <w:rPr>
          <w:spacing w:val="-6"/>
          <w:sz w:val="20"/>
        </w:rPr>
        <w:t> </w:t>
      </w:r>
      <w:r>
        <w:rPr>
          <w:sz w:val="20"/>
        </w:rPr>
        <w:t>should</w:t>
      </w:r>
      <w:r>
        <w:rPr>
          <w:spacing w:val="-6"/>
          <w:sz w:val="20"/>
        </w:rPr>
        <w:t> </w:t>
      </w:r>
      <w:r>
        <w:rPr>
          <w:sz w:val="20"/>
        </w:rPr>
        <w:t>not</w:t>
      </w:r>
      <w:r>
        <w:rPr>
          <w:spacing w:val="-6"/>
          <w:sz w:val="20"/>
        </w:rPr>
        <w:t> </w:t>
      </w:r>
      <w:r>
        <w:rPr>
          <w:spacing w:val="-3"/>
          <w:sz w:val="20"/>
        </w:rPr>
        <w:t>allow</w:t>
      </w:r>
      <w:r>
        <w:rPr>
          <w:spacing w:val="-6"/>
          <w:sz w:val="20"/>
        </w:rPr>
        <w:t> </w:t>
      </w:r>
      <w:r>
        <w:rPr>
          <w:sz w:val="20"/>
        </w:rPr>
        <w:t>‘special</w:t>
      </w:r>
      <w:r>
        <w:rPr>
          <w:spacing w:val="-6"/>
          <w:sz w:val="20"/>
        </w:rPr>
        <w:t> </w:t>
      </w:r>
      <w:r>
        <w:rPr>
          <w:spacing w:val="-3"/>
          <w:sz w:val="20"/>
        </w:rPr>
        <w:t>exceptions’</w:t>
      </w:r>
      <w:r>
        <w:rPr>
          <w:spacing w:val="-6"/>
          <w:sz w:val="20"/>
        </w:rPr>
        <w:t> </w:t>
      </w:r>
      <w:r>
        <w:rPr>
          <w:sz w:val="20"/>
        </w:rPr>
        <w:t>for</w:t>
      </w:r>
      <w:r>
        <w:rPr>
          <w:spacing w:val="-6"/>
          <w:sz w:val="20"/>
        </w:rPr>
        <w:t> </w:t>
      </w:r>
      <w:r>
        <w:rPr>
          <w:sz w:val="20"/>
        </w:rPr>
        <w:t>people</w:t>
      </w:r>
      <w:r>
        <w:rPr>
          <w:spacing w:val="-6"/>
          <w:sz w:val="20"/>
        </w:rPr>
        <w:t> </w:t>
      </w:r>
      <w:r>
        <w:rPr>
          <w:sz w:val="20"/>
        </w:rPr>
        <w:t>in</w:t>
      </w:r>
    </w:p>
    <w:p>
      <w:pPr>
        <w:pStyle w:val="BodyText"/>
        <w:spacing w:line="206" w:lineRule="auto" w:before="5"/>
        <w:ind w:left="1761" w:right="1202"/>
        <w:rPr>
          <w:sz w:val="11"/>
        </w:rPr>
      </w:pPr>
      <w:r>
        <w:rPr/>
        <w:t>the subject groups but focus on </w:t>
      </w:r>
      <w:r>
        <w:rPr>
          <w:spacing w:val="-4"/>
        </w:rPr>
        <w:t>‘core </w:t>
      </w:r>
      <w:r>
        <w:rPr/>
        <w:t>principles of equality’ and what adjustments </w:t>
      </w:r>
      <w:r>
        <w:rPr>
          <w:spacing w:val="-3"/>
        </w:rPr>
        <w:t>are required</w:t>
      </w:r>
      <w:r>
        <w:rPr>
          <w:spacing w:val="-9"/>
        </w:rPr>
        <w:t> </w:t>
      </w:r>
      <w:r>
        <w:rPr/>
        <w:t>for</w:t>
      </w:r>
      <w:r>
        <w:rPr>
          <w:spacing w:val="-8"/>
        </w:rPr>
        <w:t> </w:t>
      </w:r>
      <w:r>
        <w:rPr/>
        <w:t>a</w:t>
      </w:r>
      <w:r>
        <w:rPr>
          <w:spacing w:val="-8"/>
        </w:rPr>
        <w:t> </w:t>
      </w:r>
      <w:r>
        <w:rPr/>
        <w:t>person</w:t>
      </w:r>
      <w:r>
        <w:rPr>
          <w:spacing w:val="-8"/>
        </w:rPr>
        <w:t> </w:t>
      </w:r>
      <w:r>
        <w:rPr>
          <w:spacing w:val="-3"/>
        </w:rPr>
        <w:t>from</w:t>
      </w:r>
      <w:r>
        <w:rPr>
          <w:spacing w:val="-8"/>
        </w:rPr>
        <w:t> </w:t>
      </w:r>
      <w:r>
        <w:rPr/>
        <w:t>the</w:t>
      </w:r>
      <w:r>
        <w:rPr>
          <w:spacing w:val="-8"/>
        </w:rPr>
        <w:t> </w:t>
      </w:r>
      <w:r>
        <w:rPr/>
        <w:t>subject</w:t>
      </w:r>
      <w:r>
        <w:rPr>
          <w:spacing w:val="-9"/>
        </w:rPr>
        <w:t> </w:t>
      </w:r>
      <w:r>
        <w:rPr/>
        <w:t>group</w:t>
      </w:r>
      <w:r>
        <w:rPr>
          <w:spacing w:val="-8"/>
        </w:rPr>
        <w:t> </w:t>
      </w:r>
      <w:r>
        <w:rPr/>
        <w:t>to</w:t>
      </w:r>
      <w:r>
        <w:rPr>
          <w:spacing w:val="-8"/>
        </w:rPr>
        <w:t> </w:t>
      </w:r>
      <w:r>
        <w:rPr/>
        <w:t>serve:</w:t>
      </w:r>
      <w:r>
        <w:rPr>
          <w:spacing w:val="-8"/>
        </w:rPr>
        <w:t> </w:t>
      </w:r>
      <w:r>
        <w:rPr/>
        <w:t>‘People</w:t>
      </w:r>
      <w:r>
        <w:rPr>
          <w:spacing w:val="-8"/>
        </w:rPr>
        <w:t> </w:t>
      </w:r>
      <w:r>
        <w:rPr/>
        <w:t>should</w:t>
      </w:r>
      <w:r>
        <w:rPr>
          <w:spacing w:val="-8"/>
        </w:rPr>
        <w:t> </w:t>
      </w:r>
      <w:r>
        <w:rPr/>
        <w:t>not</w:t>
      </w:r>
      <w:r>
        <w:rPr>
          <w:spacing w:val="-9"/>
        </w:rPr>
        <w:t> </w:t>
      </w:r>
      <w:r>
        <w:rPr/>
        <w:t>be</w:t>
      </w:r>
      <w:r>
        <w:rPr>
          <w:spacing w:val="-8"/>
        </w:rPr>
        <w:t> </w:t>
      </w:r>
      <w:r>
        <w:rPr>
          <w:spacing w:val="-3"/>
        </w:rPr>
        <w:t>allowed</w:t>
      </w:r>
      <w:r>
        <w:rPr>
          <w:spacing w:val="-8"/>
        </w:rPr>
        <w:t> </w:t>
      </w:r>
      <w:r>
        <w:rPr/>
        <w:t>to be </w:t>
      </w:r>
      <w:r>
        <w:rPr>
          <w:spacing w:val="-3"/>
        </w:rPr>
        <w:t>excused </w:t>
      </w:r>
      <w:r>
        <w:rPr/>
        <w:t>on the basis of deafness</w:t>
      </w:r>
      <w:r>
        <w:rPr>
          <w:spacing w:val="-26"/>
        </w:rPr>
        <w:t> </w:t>
      </w:r>
      <w:r>
        <w:rPr>
          <w:spacing w:val="-3"/>
        </w:rPr>
        <w:t>alone’.</w:t>
      </w:r>
      <w:r>
        <w:rPr>
          <w:spacing w:val="-3"/>
          <w:position w:val="7"/>
          <w:sz w:val="11"/>
        </w:rPr>
        <w:t>30</w:t>
      </w:r>
    </w:p>
    <w:p>
      <w:pPr>
        <w:pStyle w:val="ListParagraph"/>
        <w:numPr>
          <w:ilvl w:val="1"/>
          <w:numId w:val="12"/>
        </w:numPr>
        <w:tabs>
          <w:tab w:pos="1761" w:val="left" w:leader="none"/>
          <w:tab w:pos="1762" w:val="left" w:leader="none"/>
        </w:tabs>
        <w:spacing w:line="206" w:lineRule="auto" w:before="124" w:after="0"/>
        <w:ind w:left="1761" w:right="1364" w:hanging="794"/>
        <w:jc w:val="left"/>
        <w:rPr>
          <w:sz w:val="11"/>
        </w:rPr>
      </w:pPr>
      <w:r>
        <w:rPr>
          <w:sz w:val="20"/>
        </w:rPr>
        <w:t>Brent</w:t>
      </w:r>
      <w:r>
        <w:rPr>
          <w:spacing w:val="-11"/>
          <w:sz w:val="20"/>
        </w:rPr>
        <w:t> </w:t>
      </w:r>
      <w:r>
        <w:rPr>
          <w:sz w:val="20"/>
        </w:rPr>
        <w:t>Phillips</w:t>
      </w:r>
      <w:r>
        <w:rPr>
          <w:spacing w:val="-11"/>
          <w:sz w:val="20"/>
        </w:rPr>
        <w:t> </w:t>
      </w:r>
      <w:r>
        <w:rPr>
          <w:sz w:val="20"/>
        </w:rPr>
        <w:t>shared</w:t>
      </w:r>
      <w:r>
        <w:rPr>
          <w:spacing w:val="-11"/>
          <w:sz w:val="20"/>
        </w:rPr>
        <w:t> </w:t>
      </w:r>
      <w:r>
        <w:rPr>
          <w:sz w:val="20"/>
        </w:rPr>
        <w:t>his</w:t>
      </w:r>
      <w:r>
        <w:rPr>
          <w:spacing w:val="-11"/>
          <w:sz w:val="20"/>
        </w:rPr>
        <w:t> </w:t>
      </w:r>
      <w:r>
        <w:rPr>
          <w:sz w:val="20"/>
        </w:rPr>
        <w:t>strong</w:t>
      </w:r>
      <w:r>
        <w:rPr>
          <w:spacing w:val="-11"/>
          <w:sz w:val="20"/>
        </w:rPr>
        <w:t> </w:t>
      </w:r>
      <w:r>
        <w:rPr>
          <w:sz w:val="20"/>
        </w:rPr>
        <w:t>view</w:t>
      </w:r>
      <w:r>
        <w:rPr>
          <w:spacing w:val="-10"/>
          <w:sz w:val="20"/>
        </w:rPr>
        <w:t> </w:t>
      </w:r>
      <w:r>
        <w:rPr>
          <w:sz w:val="20"/>
        </w:rPr>
        <w:t>that</w:t>
      </w:r>
      <w:r>
        <w:rPr>
          <w:spacing w:val="-11"/>
          <w:sz w:val="20"/>
        </w:rPr>
        <w:t> </w:t>
      </w:r>
      <w:r>
        <w:rPr>
          <w:sz w:val="20"/>
        </w:rPr>
        <w:t>a</w:t>
      </w:r>
      <w:r>
        <w:rPr>
          <w:spacing w:val="-11"/>
          <w:sz w:val="20"/>
        </w:rPr>
        <w:t> </w:t>
      </w:r>
      <w:r>
        <w:rPr>
          <w:sz w:val="20"/>
        </w:rPr>
        <w:t>deaf</w:t>
      </w:r>
      <w:r>
        <w:rPr>
          <w:spacing w:val="-11"/>
          <w:sz w:val="20"/>
        </w:rPr>
        <w:t> </w:t>
      </w:r>
      <w:r>
        <w:rPr>
          <w:sz w:val="20"/>
        </w:rPr>
        <w:t>person</w:t>
      </w:r>
      <w:r>
        <w:rPr>
          <w:spacing w:val="-11"/>
          <w:sz w:val="20"/>
        </w:rPr>
        <w:t> </w:t>
      </w:r>
      <w:r>
        <w:rPr>
          <w:sz w:val="20"/>
        </w:rPr>
        <w:t>should</w:t>
      </w:r>
      <w:r>
        <w:rPr>
          <w:spacing w:val="-10"/>
          <w:sz w:val="20"/>
        </w:rPr>
        <w:t> </w:t>
      </w:r>
      <w:r>
        <w:rPr>
          <w:sz w:val="20"/>
        </w:rPr>
        <w:t>not</w:t>
      </w:r>
      <w:r>
        <w:rPr>
          <w:spacing w:val="-11"/>
          <w:sz w:val="20"/>
        </w:rPr>
        <w:t> </w:t>
      </w:r>
      <w:r>
        <w:rPr>
          <w:sz w:val="20"/>
        </w:rPr>
        <w:t>use</w:t>
      </w:r>
      <w:r>
        <w:rPr>
          <w:spacing w:val="-11"/>
          <w:sz w:val="20"/>
        </w:rPr>
        <w:t> </w:t>
      </w:r>
      <w:r>
        <w:rPr>
          <w:sz w:val="20"/>
        </w:rPr>
        <w:t>their</w:t>
      </w:r>
      <w:r>
        <w:rPr>
          <w:spacing w:val="-11"/>
          <w:sz w:val="20"/>
        </w:rPr>
        <w:t> </w:t>
      </w:r>
      <w:r>
        <w:rPr>
          <w:sz w:val="20"/>
        </w:rPr>
        <w:t>deafness as</w:t>
      </w:r>
      <w:r>
        <w:rPr>
          <w:spacing w:val="-9"/>
          <w:sz w:val="20"/>
        </w:rPr>
        <w:t> </w:t>
      </w:r>
      <w:r>
        <w:rPr>
          <w:sz w:val="20"/>
        </w:rPr>
        <w:t>an</w:t>
      </w:r>
      <w:r>
        <w:rPr>
          <w:spacing w:val="-8"/>
          <w:sz w:val="20"/>
        </w:rPr>
        <w:t> </w:t>
      </w:r>
      <w:r>
        <w:rPr>
          <w:spacing w:val="-3"/>
          <w:sz w:val="20"/>
        </w:rPr>
        <w:t>excuse</w:t>
      </w:r>
      <w:r>
        <w:rPr>
          <w:spacing w:val="-8"/>
          <w:sz w:val="20"/>
        </w:rPr>
        <w:t> </w:t>
      </w:r>
      <w:r>
        <w:rPr>
          <w:sz w:val="20"/>
        </w:rPr>
        <w:t>not</w:t>
      </w:r>
      <w:r>
        <w:rPr>
          <w:spacing w:val="-8"/>
          <w:sz w:val="20"/>
        </w:rPr>
        <w:t> </w:t>
      </w:r>
      <w:r>
        <w:rPr>
          <w:sz w:val="20"/>
        </w:rPr>
        <w:t>to</w:t>
      </w:r>
      <w:r>
        <w:rPr>
          <w:spacing w:val="-8"/>
          <w:sz w:val="20"/>
        </w:rPr>
        <w:t> </w:t>
      </w:r>
      <w:r>
        <w:rPr>
          <w:sz w:val="20"/>
        </w:rPr>
        <w:t>serve.</w:t>
      </w:r>
      <w:r>
        <w:rPr>
          <w:spacing w:val="-9"/>
          <w:sz w:val="20"/>
        </w:rPr>
        <w:t> </w:t>
      </w:r>
      <w:r>
        <w:rPr>
          <w:sz w:val="20"/>
        </w:rPr>
        <w:t>He</w:t>
      </w:r>
      <w:r>
        <w:rPr>
          <w:spacing w:val="-8"/>
          <w:sz w:val="20"/>
        </w:rPr>
        <w:t> </w:t>
      </w:r>
      <w:r>
        <w:rPr>
          <w:sz w:val="20"/>
        </w:rPr>
        <w:t>explained:</w:t>
      </w:r>
      <w:r>
        <w:rPr>
          <w:spacing w:val="-8"/>
          <w:sz w:val="20"/>
        </w:rPr>
        <w:t> </w:t>
      </w:r>
      <w:r>
        <w:rPr>
          <w:sz w:val="20"/>
        </w:rPr>
        <w:t>‘Deaf</w:t>
      </w:r>
      <w:r>
        <w:rPr>
          <w:spacing w:val="-8"/>
          <w:sz w:val="20"/>
        </w:rPr>
        <w:t> </w:t>
      </w:r>
      <w:r>
        <w:rPr>
          <w:sz w:val="20"/>
        </w:rPr>
        <w:t>people</w:t>
      </w:r>
      <w:r>
        <w:rPr>
          <w:spacing w:val="-8"/>
          <w:sz w:val="20"/>
        </w:rPr>
        <w:t> </w:t>
      </w:r>
      <w:r>
        <w:rPr>
          <w:spacing w:val="-4"/>
          <w:sz w:val="20"/>
        </w:rPr>
        <w:t>have</w:t>
      </w:r>
      <w:r>
        <w:rPr>
          <w:spacing w:val="-9"/>
          <w:sz w:val="20"/>
        </w:rPr>
        <w:t> </w:t>
      </w:r>
      <w:r>
        <w:rPr>
          <w:sz w:val="20"/>
        </w:rPr>
        <w:t>to</w:t>
      </w:r>
      <w:r>
        <w:rPr>
          <w:spacing w:val="-8"/>
          <w:sz w:val="20"/>
        </w:rPr>
        <w:t> </w:t>
      </w:r>
      <w:r>
        <w:rPr>
          <w:spacing w:val="-3"/>
          <w:sz w:val="20"/>
        </w:rPr>
        <w:t>work</w:t>
      </w:r>
      <w:r>
        <w:rPr>
          <w:spacing w:val="-8"/>
          <w:sz w:val="20"/>
        </w:rPr>
        <w:t> </w:t>
      </w:r>
      <w:r>
        <w:rPr>
          <w:sz w:val="20"/>
        </w:rPr>
        <w:t>hard</w:t>
      </w:r>
      <w:r>
        <w:rPr>
          <w:spacing w:val="-8"/>
          <w:sz w:val="20"/>
        </w:rPr>
        <w:t> </w:t>
      </w:r>
      <w:r>
        <w:rPr>
          <w:sz w:val="20"/>
        </w:rPr>
        <w:t>to</w:t>
      </w:r>
      <w:r>
        <w:rPr>
          <w:spacing w:val="-8"/>
          <w:sz w:val="20"/>
        </w:rPr>
        <w:t> </w:t>
      </w:r>
      <w:r>
        <w:rPr>
          <w:sz w:val="20"/>
        </w:rPr>
        <w:t>get</w:t>
      </w:r>
      <w:r>
        <w:rPr>
          <w:spacing w:val="-9"/>
          <w:sz w:val="20"/>
        </w:rPr>
        <w:t> </w:t>
      </w:r>
      <w:r>
        <w:rPr>
          <w:sz w:val="20"/>
        </w:rPr>
        <w:t>access and</w:t>
      </w:r>
      <w:r>
        <w:rPr>
          <w:spacing w:val="-5"/>
          <w:sz w:val="20"/>
        </w:rPr>
        <w:t> </w:t>
      </w:r>
      <w:r>
        <w:rPr>
          <w:sz w:val="20"/>
        </w:rPr>
        <w:t>should</w:t>
      </w:r>
      <w:r>
        <w:rPr>
          <w:spacing w:val="-5"/>
          <w:sz w:val="20"/>
        </w:rPr>
        <w:t> </w:t>
      </w:r>
      <w:r>
        <w:rPr>
          <w:spacing w:val="-3"/>
          <w:sz w:val="20"/>
        </w:rPr>
        <w:t>exercise</w:t>
      </w:r>
      <w:r>
        <w:rPr>
          <w:spacing w:val="-5"/>
          <w:sz w:val="20"/>
        </w:rPr>
        <w:t> </w:t>
      </w:r>
      <w:r>
        <w:rPr>
          <w:sz w:val="20"/>
        </w:rPr>
        <w:t>their</w:t>
      </w:r>
      <w:r>
        <w:rPr>
          <w:spacing w:val="-5"/>
          <w:sz w:val="20"/>
        </w:rPr>
        <w:t> </w:t>
      </w:r>
      <w:r>
        <w:rPr>
          <w:sz w:val="20"/>
        </w:rPr>
        <w:t>civic</w:t>
      </w:r>
      <w:r>
        <w:rPr>
          <w:spacing w:val="-5"/>
          <w:sz w:val="20"/>
        </w:rPr>
        <w:t> </w:t>
      </w:r>
      <w:r>
        <w:rPr>
          <w:sz w:val="20"/>
        </w:rPr>
        <w:t>duty</w:t>
      </w:r>
      <w:r>
        <w:rPr>
          <w:spacing w:val="-5"/>
          <w:sz w:val="20"/>
        </w:rPr>
        <w:t> </w:t>
      </w:r>
      <w:r>
        <w:rPr>
          <w:sz w:val="20"/>
        </w:rPr>
        <w:t>once</w:t>
      </w:r>
      <w:r>
        <w:rPr>
          <w:spacing w:val="-5"/>
          <w:sz w:val="20"/>
        </w:rPr>
        <w:t> </w:t>
      </w:r>
      <w:r>
        <w:rPr>
          <w:sz w:val="20"/>
        </w:rPr>
        <w:t>they</w:t>
      </w:r>
      <w:r>
        <w:rPr>
          <w:spacing w:val="-5"/>
          <w:sz w:val="20"/>
        </w:rPr>
        <w:t> </w:t>
      </w:r>
      <w:r>
        <w:rPr>
          <w:spacing w:val="-3"/>
          <w:sz w:val="20"/>
        </w:rPr>
        <w:t>are</w:t>
      </w:r>
      <w:r>
        <w:rPr>
          <w:spacing w:val="-5"/>
          <w:sz w:val="20"/>
        </w:rPr>
        <w:t> </w:t>
      </w:r>
      <w:r>
        <w:rPr>
          <w:sz w:val="20"/>
        </w:rPr>
        <w:t>able</w:t>
      </w:r>
      <w:r>
        <w:rPr>
          <w:spacing w:val="-5"/>
          <w:sz w:val="20"/>
        </w:rPr>
        <w:t> </w:t>
      </w:r>
      <w:r>
        <w:rPr>
          <w:sz w:val="20"/>
        </w:rPr>
        <w:t>to</w:t>
      </w:r>
      <w:r>
        <w:rPr>
          <w:spacing w:val="-5"/>
          <w:sz w:val="20"/>
        </w:rPr>
        <w:t> </w:t>
      </w:r>
      <w:r>
        <w:rPr>
          <w:sz w:val="20"/>
        </w:rPr>
        <w:t>do</w:t>
      </w:r>
      <w:r>
        <w:rPr>
          <w:spacing w:val="-5"/>
          <w:sz w:val="20"/>
        </w:rPr>
        <w:t> </w:t>
      </w:r>
      <w:r>
        <w:rPr>
          <w:spacing w:val="-4"/>
          <w:sz w:val="20"/>
        </w:rPr>
        <w:t>so’.</w:t>
      </w:r>
      <w:r>
        <w:rPr>
          <w:spacing w:val="-4"/>
          <w:position w:val="7"/>
          <w:sz w:val="11"/>
        </w:rPr>
        <w:t>31</w:t>
      </w:r>
    </w:p>
    <w:p>
      <w:pPr>
        <w:pStyle w:val="ListParagraph"/>
        <w:numPr>
          <w:ilvl w:val="1"/>
          <w:numId w:val="12"/>
        </w:numPr>
        <w:tabs>
          <w:tab w:pos="1762" w:val="left" w:leader="none"/>
        </w:tabs>
        <w:spacing w:line="206" w:lineRule="auto" w:before="124" w:after="0"/>
        <w:ind w:left="1761" w:right="1732" w:hanging="794"/>
        <w:jc w:val="both"/>
        <w:rPr>
          <w:sz w:val="20"/>
        </w:rPr>
      </w:pPr>
      <w:r>
        <w:rPr>
          <w:sz w:val="20"/>
        </w:rPr>
        <w:t>A</w:t>
      </w:r>
      <w:r>
        <w:rPr>
          <w:spacing w:val="-11"/>
          <w:sz w:val="20"/>
        </w:rPr>
        <w:t> </w:t>
      </w:r>
      <w:r>
        <w:rPr>
          <w:sz w:val="20"/>
        </w:rPr>
        <w:t>number</w:t>
      </w:r>
      <w:r>
        <w:rPr>
          <w:spacing w:val="-10"/>
          <w:sz w:val="20"/>
        </w:rPr>
        <w:t> </w:t>
      </w:r>
      <w:r>
        <w:rPr>
          <w:sz w:val="20"/>
        </w:rPr>
        <w:t>of</w:t>
      </w:r>
      <w:r>
        <w:rPr>
          <w:spacing w:val="-10"/>
          <w:sz w:val="20"/>
        </w:rPr>
        <w:t> </w:t>
      </w:r>
      <w:r>
        <w:rPr>
          <w:sz w:val="20"/>
        </w:rPr>
        <w:t>survey</w:t>
      </w:r>
      <w:r>
        <w:rPr>
          <w:spacing w:val="-10"/>
          <w:sz w:val="20"/>
        </w:rPr>
        <w:t> </w:t>
      </w:r>
      <w:r>
        <w:rPr>
          <w:sz w:val="20"/>
        </w:rPr>
        <w:t>respondents</w:t>
      </w:r>
      <w:r>
        <w:rPr>
          <w:spacing w:val="-10"/>
          <w:sz w:val="20"/>
        </w:rPr>
        <w:t> </w:t>
      </w:r>
      <w:r>
        <w:rPr>
          <w:sz w:val="20"/>
        </w:rPr>
        <w:t>also</w:t>
      </w:r>
      <w:r>
        <w:rPr>
          <w:spacing w:val="-10"/>
          <w:sz w:val="20"/>
        </w:rPr>
        <w:t> </w:t>
      </w:r>
      <w:r>
        <w:rPr>
          <w:sz w:val="20"/>
        </w:rPr>
        <w:t>suggested</w:t>
      </w:r>
      <w:r>
        <w:rPr>
          <w:spacing w:val="-10"/>
          <w:sz w:val="20"/>
        </w:rPr>
        <w:t> </w:t>
      </w:r>
      <w:r>
        <w:rPr>
          <w:sz w:val="20"/>
        </w:rPr>
        <w:t>that</w:t>
      </w:r>
      <w:r>
        <w:rPr>
          <w:spacing w:val="-10"/>
          <w:sz w:val="20"/>
        </w:rPr>
        <w:t> </w:t>
      </w:r>
      <w:r>
        <w:rPr>
          <w:spacing w:val="-3"/>
          <w:sz w:val="20"/>
        </w:rPr>
        <w:t>excuse</w:t>
      </w:r>
      <w:r>
        <w:rPr>
          <w:spacing w:val="-10"/>
          <w:sz w:val="20"/>
        </w:rPr>
        <w:t> </w:t>
      </w:r>
      <w:r>
        <w:rPr>
          <w:sz w:val="20"/>
        </w:rPr>
        <w:t>should</w:t>
      </w:r>
      <w:r>
        <w:rPr>
          <w:spacing w:val="-10"/>
          <w:sz w:val="20"/>
        </w:rPr>
        <w:t> </w:t>
      </w:r>
      <w:r>
        <w:rPr>
          <w:sz w:val="20"/>
        </w:rPr>
        <w:t>occur</w:t>
      </w:r>
      <w:r>
        <w:rPr>
          <w:spacing w:val="-10"/>
          <w:sz w:val="20"/>
        </w:rPr>
        <w:t> </w:t>
      </w:r>
      <w:r>
        <w:rPr>
          <w:sz w:val="20"/>
        </w:rPr>
        <w:t>on</w:t>
      </w:r>
      <w:r>
        <w:rPr>
          <w:spacing w:val="-11"/>
          <w:sz w:val="20"/>
        </w:rPr>
        <w:t> </w:t>
      </w:r>
      <w:r>
        <w:rPr>
          <w:sz w:val="20"/>
        </w:rPr>
        <w:t>the same</w:t>
      </w:r>
      <w:r>
        <w:rPr>
          <w:spacing w:val="-9"/>
          <w:sz w:val="20"/>
        </w:rPr>
        <w:t> </w:t>
      </w:r>
      <w:r>
        <w:rPr>
          <w:sz w:val="20"/>
        </w:rPr>
        <w:t>basis</w:t>
      </w:r>
      <w:r>
        <w:rPr>
          <w:spacing w:val="-9"/>
          <w:sz w:val="20"/>
        </w:rPr>
        <w:t> </w:t>
      </w:r>
      <w:r>
        <w:rPr>
          <w:sz w:val="20"/>
        </w:rPr>
        <w:t>as</w:t>
      </w:r>
      <w:r>
        <w:rPr>
          <w:spacing w:val="-8"/>
          <w:sz w:val="20"/>
        </w:rPr>
        <w:t> </w:t>
      </w:r>
      <w:r>
        <w:rPr>
          <w:sz w:val="20"/>
        </w:rPr>
        <w:t>the</w:t>
      </w:r>
      <w:r>
        <w:rPr>
          <w:spacing w:val="-9"/>
          <w:sz w:val="20"/>
        </w:rPr>
        <w:t> </w:t>
      </w:r>
      <w:r>
        <w:rPr>
          <w:spacing w:val="-3"/>
          <w:sz w:val="20"/>
        </w:rPr>
        <w:t>rest</w:t>
      </w:r>
      <w:r>
        <w:rPr>
          <w:spacing w:val="-8"/>
          <w:sz w:val="20"/>
        </w:rPr>
        <w:t> </w:t>
      </w:r>
      <w:r>
        <w:rPr>
          <w:sz w:val="20"/>
        </w:rPr>
        <w:t>of</w:t>
      </w:r>
      <w:r>
        <w:rPr>
          <w:spacing w:val="-9"/>
          <w:sz w:val="20"/>
        </w:rPr>
        <w:t> </w:t>
      </w:r>
      <w:r>
        <w:rPr>
          <w:sz w:val="20"/>
        </w:rPr>
        <w:t>the</w:t>
      </w:r>
      <w:r>
        <w:rPr>
          <w:spacing w:val="-8"/>
          <w:sz w:val="20"/>
        </w:rPr>
        <w:t> </w:t>
      </w:r>
      <w:r>
        <w:rPr>
          <w:sz w:val="20"/>
        </w:rPr>
        <w:t>community.</w:t>
      </w:r>
      <w:r>
        <w:rPr>
          <w:position w:val="7"/>
          <w:sz w:val="11"/>
        </w:rPr>
        <w:t>32</w:t>
      </w:r>
      <w:r>
        <w:rPr>
          <w:spacing w:val="16"/>
          <w:position w:val="7"/>
          <w:sz w:val="11"/>
        </w:rPr>
        <w:t> </w:t>
      </w:r>
      <w:r>
        <w:rPr>
          <w:spacing w:val="-3"/>
          <w:sz w:val="20"/>
        </w:rPr>
        <w:t>For</w:t>
      </w:r>
      <w:r>
        <w:rPr>
          <w:spacing w:val="-9"/>
          <w:sz w:val="20"/>
        </w:rPr>
        <w:t> </w:t>
      </w:r>
      <w:r>
        <w:rPr>
          <w:spacing w:val="-3"/>
          <w:sz w:val="20"/>
        </w:rPr>
        <w:t>example,</w:t>
      </w:r>
      <w:r>
        <w:rPr>
          <w:spacing w:val="-8"/>
          <w:sz w:val="20"/>
        </w:rPr>
        <w:t> </w:t>
      </w:r>
      <w:r>
        <w:rPr>
          <w:sz w:val="20"/>
        </w:rPr>
        <w:t>a</w:t>
      </w:r>
      <w:r>
        <w:rPr>
          <w:spacing w:val="-9"/>
          <w:sz w:val="20"/>
        </w:rPr>
        <w:t> </w:t>
      </w:r>
      <w:r>
        <w:rPr>
          <w:sz w:val="20"/>
        </w:rPr>
        <w:t>survey</w:t>
      </w:r>
      <w:r>
        <w:rPr>
          <w:spacing w:val="-8"/>
          <w:sz w:val="20"/>
        </w:rPr>
        <w:t> </w:t>
      </w:r>
      <w:r>
        <w:rPr>
          <w:sz w:val="20"/>
        </w:rPr>
        <w:t>respondent</w:t>
      </w:r>
      <w:r>
        <w:rPr>
          <w:spacing w:val="-9"/>
          <w:sz w:val="20"/>
        </w:rPr>
        <w:t> </w:t>
      </w:r>
      <w:r>
        <w:rPr>
          <w:sz w:val="20"/>
        </w:rPr>
        <w:t>who identified as blind</w:t>
      </w:r>
      <w:r>
        <w:rPr>
          <w:spacing w:val="-13"/>
          <w:sz w:val="20"/>
        </w:rPr>
        <w:t> </w:t>
      </w:r>
      <w:r>
        <w:rPr>
          <w:sz w:val="20"/>
        </w:rPr>
        <w:t>said:</w:t>
      </w:r>
    </w:p>
    <w:p>
      <w:pPr>
        <w:spacing w:line="208" w:lineRule="auto" w:before="121"/>
        <w:ind w:left="2157" w:right="1293" w:firstLine="0"/>
        <w:jc w:val="left"/>
        <w:rPr>
          <w:sz w:val="11"/>
        </w:rPr>
      </w:pPr>
      <w:r>
        <w:rPr>
          <w:sz w:val="19"/>
        </w:rPr>
        <w:t>A blind person should only be excused on the same basis as everyone else. Given the disproportionate outcomes Victorians with a disability experience in our justice system and the systemic discrimination experienced by many disabled lawyers seeking judicial appointment, it is imperative that more disabled Victorians step up to jury service.</w:t>
      </w:r>
      <w:r>
        <w:rPr>
          <w:position w:val="6"/>
          <w:sz w:val="11"/>
        </w:rPr>
        <w:t>33</w:t>
      </w:r>
    </w:p>
    <w:p>
      <w:pPr>
        <w:pStyle w:val="Heading6"/>
        <w:rPr>
          <w:b/>
        </w:rPr>
      </w:pPr>
      <w:r>
        <w:rPr>
          <w:b/>
        </w:rPr>
        <w:t>Wariness about participating as jurors</w:t>
      </w:r>
    </w:p>
    <w:p>
      <w:pPr>
        <w:pStyle w:val="ListParagraph"/>
        <w:numPr>
          <w:ilvl w:val="1"/>
          <w:numId w:val="12"/>
        </w:numPr>
        <w:tabs>
          <w:tab w:pos="1761" w:val="left" w:leader="none"/>
          <w:tab w:pos="1762" w:val="left" w:leader="none"/>
        </w:tabs>
        <w:spacing w:line="206" w:lineRule="auto" w:before="132" w:after="0"/>
        <w:ind w:left="1761" w:right="1816" w:hanging="794"/>
        <w:jc w:val="left"/>
        <w:rPr>
          <w:sz w:val="20"/>
        </w:rPr>
      </w:pPr>
      <w:r>
        <w:rPr>
          <w:sz w:val="20"/>
        </w:rPr>
        <w:t>While</w:t>
      </w:r>
      <w:r>
        <w:rPr>
          <w:spacing w:val="-10"/>
          <w:sz w:val="20"/>
        </w:rPr>
        <w:t> </w:t>
      </w:r>
      <w:r>
        <w:rPr>
          <w:sz w:val="20"/>
        </w:rPr>
        <w:t>not</w:t>
      </w:r>
      <w:r>
        <w:rPr>
          <w:spacing w:val="-10"/>
          <w:sz w:val="20"/>
        </w:rPr>
        <w:t> </w:t>
      </w:r>
      <w:r>
        <w:rPr>
          <w:sz w:val="20"/>
        </w:rPr>
        <w:t>supporting</w:t>
      </w:r>
      <w:r>
        <w:rPr>
          <w:spacing w:val="-9"/>
          <w:sz w:val="20"/>
        </w:rPr>
        <w:t> </w:t>
      </w:r>
      <w:r>
        <w:rPr>
          <w:sz w:val="20"/>
        </w:rPr>
        <w:t>disability</w:t>
      </w:r>
      <w:r>
        <w:rPr>
          <w:spacing w:val="-10"/>
          <w:sz w:val="20"/>
        </w:rPr>
        <w:t> </w:t>
      </w:r>
      <w:r>
        <w:rPr>
          <w:sz w:val="20"/>
        </w:rPr>
        <w:t>as</w:t>
      </w:r>
      <w:r>
        <w:rPr>
          <w:spacing w:val="-10"/>
          <w:sz w:val="20"/>
        </w:rPr>
        <w:t> </w:t>
      </w:r>
      <w:r>
        <w:rPr>
          <w:sz w:val="20"/>
        </w:rPr>
        <w:t>an</w:t>
      </w:r>
      <w:r>
        <w:rPr>
          <w:spacing w:val="-9"/>
          <w:sz w:val="20"/>
        </w:rPr>
        <w:t> </w:t>
      </w:r>
      <w:r>
        <w:rPr>
          <w:spacing w:val="-3"/>
          <w:sz w:val="20"/>
        </w:rPr>
        <w:t>excuse</w:t>
      </w:r>
      <w:r>
        <w:rPr>
          <w:spacing w:val="-10"/>
          <w:sz w:val="20"/>
        </w:rPr>
        <w:t> </w:t>
      </w:r>
      <w:r>
        <w:rPr>
          <w:spacing w:val="-3"/>
          <w:sz w:val="20"/>
        </w:rPr>
        <w:t>by</w:t>
      </w:r>
      <w:r>
        <w:rPr>
          <w:spacing w:val="-10"/>
          <w:sz w:val="20"/>
        </w:rPr>
        <w:t> </w:t>
      </w:r>
      <w:r>
        <w:rPr>
          <w:spacing w:val="-3"/>
          <w:sz w:val="20"/>
        </w:rPr>
        <w:t>itself,</w:t>
      </w:r>
      <w:r>
        <w:rPr>
          <w:spacing w:val="-9"/>
          <w:sz w:val="20"/>
        </w:rPr>
        <w:t> </w:t>
      </w:r>
      <w:r>
        <w:rPr>
          <w:sz w:val="20"/>
        </w:rPr>
        <w:t>some</w:t>
      </w:r>
      <w:r>
        <w:rPr>
          <w:spacing w:val="-10"/>
          <w:sz w:val="20"/>
        </w:rPr>
        <w:t> </w:t>
      </w:r>
      <w:r>
        <w:rPr>
          <w:sz w:val="20"/>
        </w:rPr>
        <w:t>responses</w:t>
      </w:r>
      <w:r>
        <w:rPr>
          <w:spacing w:val="-10"/>
          <w:sz w:val="20"/>
        </w:rPr>
        <w:t> </w:t>
      </w:r>
      <w:r>
        <w:rPr>
          <w:sz w:val="20"/>
        </w:rPr>
        <w:t>noted</w:t>
      </w:r>
      <w:r>
        <w:rPr>
          <w:spacing w:val="-9"/>
          <w:sz w:val="20"/>
        </w:rPr>
        <w:t> </w:t>
      </w:r>
      <w:r>
        <w:rPr>
          <w:sz w:val="20"/>
        </w:rPr>
        <w:t>that people in the subject groups </w:t>
      </w:r>
      <w:r>
        <w:rPr>
          <w:spacing w:val="-3"/>
          <w:sz w:val="20"/>
        </w:rPr>
        <w:t>may </w:t>
      </w:r>
      <w:r>
        <w:rPr>
          <w:sz w:val="20"/>
        </w:rPr>
        <w:t>lack the confidence to participate as jurors. Alastair </w:t>
      </w:r>
      <w:r>
        <w:rPr>
          <w:spacing w:val="-3"/>
          <w:sz w:val="20"/>
        </w:rPr>
        <w:t>McEwin</w:t>
      </w:r>
      <w:r>
        <w:rPr>
          <w:spacing w:val="-9"/>
          <w:sz w:val="20"/>
        </w:rPr>
        <w:t> </w:t>
      </w:r>
      <w:r>
        <w:rPr>
          <w:sz w:val="20"/>
        </w:rPr>
        <w:t>explained:</w:t>
      </w:r>
    </w:p>
    <w:p>
      <w:pPr>
        <w:spacing w:line="208" w:lineRule="auto" w:before="121"/>
        <w:ind w:left="2157" w:right="1175" w:firstLine="0"/>
        <w:jc w:val="left"/>
        <w:rPr>
          <w:sz w:val="11"/>
        </w:rPr>
      </w:pPr>
      <w:r>
        <w:rPr>
          <w:sz w:val="19"/>
        </w:rPr>
        <w:t>However, it must also be remembered that deaf people might not feel confident to do jury duty. Until there is cultural change deaf people will continue to expect less from themselves. … [as far as I know] there are no deaf role models in Australia of anyone who has served on a jury. Therefore, it will be important for deaf people to see other deaf people doing these roles.</w:t>
      </w:r>
      <w:r>
        <w:rPr>
          <w:position w:val="6"/>
          <w:sz w:val="11"/>
        </w:rPr>
        <w:t>34</w:t>
      </w:r>
    </w:p>
    <w:p>
      <w:pPr>
        <w:pStyle w:val="ListParagraph"/>
        <w:numPr>
          <w:ilvl w:val="1"/>
          <w:numId w:val="12"/>
        </w:numPr>
        <w:tabs>
          <w:tab w:pos="1761" w:val="left" w:leader="none"/>
          <w:tab w:pos="1762" w:val="left" w:leader="none"/>
        </w:tabs>
        <w:spacing w:line="206" w:lineRule="auto" w:before="125" w:after="0"/>
        <w:ind w:left="1761" w:right="1344" w:hanging="794"/>
        <w:jc w:val="left"/>
        <w:rPr>
          <w:sz w:val="20"/>
        </w:rPr>
      </w:pPr>
      <w:r>
        <w:rPr>
          <w:sz w:val="20"/>
        </w:rPr>
        <w:t>Deaf</w:t>
      </w:r>
      <w:r>
        <w:rPr>
          <w:spacing w:val="-15"/>
          <w:sz w:val="20"/>
        </w:rPr>
        <w:t> </w:t>
      </w:r>
      <w:r>
        <w:rPr>
          <w:sz w:val="20"/>
        </w:rPr>
        <w:t>Victoria</w:t>
      </w:r>
      <w:r>
        <w:rPr>
          <w:spacing w:val="-15"/>
          <w:sz w:val="20"/>
        </w:rPr>
        <w:t> </w:t>
      </w:r>
      <w:r>
        <w:rPr>
          <w:sz w:val="20"/>
        </w:rPr>
        <w:t>consultation</w:t>
      </w:r>
      <w:r>
        <w:rPr>
          <w:spacing w:val="-14"/>
          <w:sz w:val="20"/>
        </w:rPr>
        <w:t> </w:t>
      </w:r>
      <w:r>
        <w:rPr>
          <w:sz w:val="20"/>
        </w:rPr>
        <w:t>participants</w:t>
      </w:r>
      <w:r>
        <w:rPr>
          <w:spacing w:val="-15"/>
          <w:sz w:val="20"/>
        </w:rPr>
        <w:t> </w:t>
      </w:r>
      <w:r>
        <w:rPr>
          <w:sz w:val="20"/>
        </w:rPr>
        <w:t>commented</w:t>
      </w:r>
      <w:r>
        <w:rPr>
          <w:spacing w:val="-14"/>
          <w:sz w:val="20"/>
        </w:rPr>
        <w:t> </w:t>
      </w:r>
      <w:r>
        <w:rPr>
          <w:sz w:val="20"/>
        </w:rPr>
        <w:t>on</w:t>
      </w:r>
      <w:r>
        <w:rPr>
          <w:spacing w:val="-15"/>
          <w:sz w:val="20"/>
        </w:rPr>
        <w:t> </w:t>
      </w:r>
      <w:r>
        <w:rPr>
          <w:sz w:val="20"/>
        </w:rPr>
        <w:t>the</w:t>
      </w:r>
      <w:r>
        <w:rPr>
          <w:spacing w:val="-15"/>
          <w:sz w:val="20"/>
        </w:rPr>
        <w:t> </w:t>
      </w:r>
      <w:r>
        <w:rPr>
          <w:sz w:val="20"/>
        </w:rPr>
        <w:t>importance</w:t>
      </w:r>
      <w:r>
        <w:rPr>
          <w:spacing w:val="-14"/>
          <w:sz w:val="20"/>
        </w:rPr>
        <w:t> </w:t>
      </w:r>
      <w:r>
        <w:rPr>
          <w:sz w:val="20"/>
        </w:rPr>
        <w:t>of</w:t>
      </w:r>
      <w:r>
        <w:rPr>
          <w:spacing w:val="-15"/>
          <w:sz w:val="20"/>
        </w:rPr>
        <w:t> </w:t>
      </w:r>
      <w:r>
        <w:rPr>
          <w:sz w:val="20"/>
        </w:rPr>
        <w:t>empowering deaf</w:t>
      </w:r>
      <w:r>
        <w:rPr>
          <w:spacing w:val="-4"/>
          <w:sz w:val="20"/>
        </w:rPr>
        <w:t> </w:t>
      </w:r>
      <w:r>
        <w:rPr>
          <w:spacing w:val="-3"/>
          <w:sz w:val="20"/>
        </w:rPr>
        <w:t>people:</w:t>
      </w:r>
    </w:p>
    <w:p>
      <w:pPr>
        <w:spacing w:line="208" w:lineRule="auto" w:before="121"/>
        <w:ind w:left="2157" w:right="1110" w:firstLine="0"/>
        <w:jc w:val="left"/>
        <w:rPr>
          <w:sz w:val="19"/>
        </w:rPr>
      </w:pPr>
      <w:r>
        <w:rPr>
          <w:sz w:val="19"/>
        </w:rPr>
        <w:t>Often deaf people may feel that it’s not important for them to be involved, because they have been systematically undervalued and may feel a sense of lack of ownership of the process. Therefore, creating an environment where they feel responsibility for being involved is important.</w:t>
      </w:r>
    </w:p>
    <w:p>
      <w:pPr>
        <w:spacing w:line="208" w:lineRule="auto" w:before="122"/>
        <w:ind w:left="2157" w:right="1335" w:firstLine="0"/>
        <w:jc w:val="left"/>
        <w:rPr>
          <w:sz w:val="11"/>
        </w:rPr>
      </w:pPr>
      <w:r>
        <w:rPr>
          <w:sz w:val="19"/>
        </w:rPr>
        <w:t>Many deaf people are made to feel that they must rely on others to do things. Empowering deaf people is vital. Being deaf should not be used as an excuse to get out of jury duty.</w:t>
      </w:r>
      <w:r>
        <w:rPr>
          <w:position w:val="6"/>
          <w:sz w:val="11"/>
        </w:rPr>
        <w:t>35</w:t>
      </w:r>
    </w:p>
    <w:p>
      <w:pPr>
        <w:pStyle w:val="ListParagraph"/>
        <w:numPr>
          <w:ilvl w:val="1"/>
          <w:numId w:val="12"/>
        </w:numPr>
        <w:tabs>
          <w:tab w:pos="1761" w:val="left" w:leader="none"/>
          <w:tab w:pos="1762" w:val="left" w:leader="none"/>
        </w:tabs>
        <w:spacing w:line="206" w:lineRule="auto" w:before="124" w:after="0"/>
        <w:ind w:left="1761" w:right="1661" w:hanging="794"/>
        <w:jc w:val="left"/>
        <w:rPr>
          <w:sz w:val="20"/>
        </w:rPr>
      </w:pPr>
      <w:r>
        <w:rPr>
          <w:sz w:val="20"/>
        </w:rPr>
        <w:t>Some</w:t>
      </w:r>
      <w:r>
        <w:rPr>
          <w:spacing w:val="-11"/>
          <w:sz w:val="20"/>
        </w:rPr>
        <w:t> </w:t>
      </w:r>
      <w:r>
        <w:rPr>
          <w:sz w:val="20"/>
        </w:rPr>
        <w:t>responses</w:t>
      </w:r>
      <w:r>
        <w:rPr>
          <w:spacing w:val="-11"/>
          <w:sz w:val="20"/>
        </w:rPr>
        <w:t> </w:t>
      </w:r>
      <w:r>
        <w:rPr>
          <w:sz w:val="20"/>
        </w:rPr>
        <w:t>emphasised</w:t>
      </w:r>
      <w:r>
        <w:rPr>
          <w:spacing w:val="-11"/>
          <w:sz w:val="20"/>
        </w:rPr>
        <w:t> </w:t>
      </w:r>
      <w:r>
        <w:rPr>
          <w:sz w:val="20"/>
        </w:rPr>
        <w:t>the</w:t>
      </w:r>
      <w:r>
        <w:rPr>
          <w:spacing w:val="-11"/>
          <w:sz w:val="20"/>
        </w:rPr>
        <w:t> </w:t>
      </w:r>
      <w:r>
        <w:rPr>
          <w:sz w:val="20"/>
        </w:rPr>
        <w:t>importance</w:t>
      </w:r>
      <w:r>
        <w:rPr>
          <w:spacing w:val="-11"/>
          <w:sz w:val="20"/>
        </w:rPr>
        <w:t> </w:t>
      </w:r>
      <w:r>
        <w:rPr>
          <w:sz w:val="20"/>
        </w:rPr>
        <w:t>of</w:t>
      </w:r>
      <w:r>
        <w:rPr>
          <w:spacing w:val="-11"/>
          <w:sz w:val="20"/>
        </w:rPr>
        <w:t> </w:t>
      </w:r>
      <w:r>
        <w:rPr>
          <w:sz w:val="20"/>
        </w:rPr>
        <w:t>letting</w:t>
      </w:r>
      <w:r>
        <w:rPr>
          <w:spacing w:val="-11"/>
          <w:sz w:val="20"/>
        </w:rPr>
        <w:t> </w:t>
      </w:r>
      <w:r>
        <w:rPr>
          <w:sz w:val="20"/>
        </w:rPr>
        <w:t>the</w:t>
      </w:r>
      <w:r>
        <w:rPr>
          <w:spacing w:val="-11"/>
          <w:sz w:val="20"/>
        </w:rPr>
        <w:t> </w:t>
      </w:r>
      <w:r>
        <w:rPr>
          <w:sz w:val="20"/>
        </w:rPr>
        <w:t>person</w:t>
      </w:r>
      <w:r>
        <w:rPr>
          <w:spacing w:val="-11"/>
          <w:sz w:val="20"/>
        </w:rPr>
        <w:t> </w:t>
      </w:r>
      <w:r>
        <w:rPr>
          <w:sz w:val="20"/>
        </w:rPr>
        <w:t>with</w:t>
      </w:r>
      <w:r>
        <w:rPr>
          <w:spacing w:val="-11"/>
          <w:sz w:val="20"/>
        </w:rPr>
        <w:t> </w:t>
      </w:r>
      <w:r>
        <w:rPr>
          <w:sz w:val="20"/>
        </w:rPr>
        <w:t>a</w:t>
      </w:r>
      <w:r>
        <w:rPr>
          <w:spacing w:val="-11"/>
          <w:sz w:val="20"/>
        </w:rPr>
        <w:t> </w:t>
      </w:r>
      <w:r>
        <w:rPr>
          <w:sz w:val="20"/>
        </w:rPr>
        <w:t>disability identify</w:t>
      </w:r>
      <w:r>
        <w:rPr>
          <w:spacing w:val="-8"/>
          <w:sz w:val="20"/>
        </w:rPr>
        <w:t> </w:t>
      </w:r>
      <w:r>
        <w:rPr>
          <w:sz w:val="20"/>
        </w:rPr>
        <w:t>what</w:t>
      </w:r>
      <w:r>
        <w:rPr>
          <w:spacing w:val="-8"/>
          <w:sz w:val="20"/>
        </w:rPr>
        <w:t> </w:t>
      </w:r>
      <w:r>
        <w:rPr>
          <w:sz w:val="20"/>
        </w:rPr>
        <w:t>they</w:t>
      </w:r>
      <w:r>
        <w:rPr>
          <w:spacing w:val="-8"/>
          <w:sz w:val="20"/>
        </w:rPr>
        <w:t> </w:t>
      </w:r>
      <w:r>
        <w:rPr>
          <w:sz w:val="20"/>
        </w:rPr>
        <w:t>can</w:t>
      </w:r>
      <w:r>
        <w:rPr>
          <w:spacing w:val="-8"/>
          <w:sz w:val="20"/>
        </w:rPr>
        <w:t> </w:t>
      </w:r>
      <w:r>
        <w:rPr>
          <w:sz w:val="20"/>
        </w:rPr>
        <w:t>and</w:t>
      </w:r>
      <w:r>
        <w:rPr>
          <w:spacing w:val="-7"/>
          <w:sz w:val="20"/>
        </w:rPr>
        <w:t> </w:t>
      </w:r>
      <w:r>
        <w:rPr>
          <w:sz w:val="20"/>
        </w:rPr>
        <w:t>cannot</w:t>
      </w:r>
      <w:r>
        <w:rPr>
          <w:spacing w:val="-8"/>
          <w:sz w:val="20"/>
        </w:rPr>
        <w:t> </w:t>
      </w:r>
      <w:r>
        <w:rPr>
          <w:sz w:val="20"/>
        </w:rPr>
        <w:t>do.</w:t>
      </w:r>
      <w:r>
        <w:rPr>
          <w:position w:val="7"/>
          <w:sz w:val="11"/>
        </w:rPr>
        <w:t>36</w:t>
      </w:r>
      <w:r>
        <w:rPr>
          <w:spacing w:val="17"/>
          <w:position w:val="7"/>
          <w:sz w:val="11"/>
        </w:rPr>
        <w:t> </w:t>
      </w:r>
      <w:r>
        <w:rPr>
          <w:sz w:val="20"/>
        </w:rPr>
        <w:t>One</w:t>
      </w:r>
      <w:r>
        <w:rPr>
          <w:spacing w:val="-8"/>
          <w:sz w:val="20"/>
        </w:rPr>
        <w:t> </w:t>
      </w:r>
      <w:r>
        <w:rPr>
          <w:sz w:val="20"/>
        </w:rPr>
        <w:t>survey</w:t>
      </w:r>
      <w:r>
        <w:rPr>
          <w:spacing w:val="-7"/>
          <w:sz w:val="20"/>
        </w:rPr>
        <w:t> </w:t>
      </w:r>
      <w:r>
        <w:rPr>
          <w:sz w:val="20"/>
        </w:rPr>
        <w:t>respondent</w:t>
      </w:r>
      <w:r>
        <w:rPr>
          <w:spacing w:val="-8"/>
          <w:sz w:val="20"/>
        </w:rPr>
        <w:t> </w:t>
      </w:r>
      <w:r>
        <w:rPr>
          <w:sz w:val="20"/>
        </w:rPr>
        <w:t>commented:</w:t>
      </w:r>
    </w:p>
    <w:p>
      <w:pPr>
        <w:spacing w:line="208" w:lineRule="auto" w:before="120"/>
        <w:ind w:left="2157" w:right="1481" w:firstLine="0"/>
        <w:jc w:val="both"/>
        <w:rPr>
          <w:sz w:val="11"/>
        </w:rPr>
      </w:pPr>
      <w:r>
        <w:rPr>
          <w:sz w:val="19"/>
        </w:rPr>
        <w:t>I</w:t>
      </w:r>
      <w:r>
        <w:rPr>
          <w:spacing w:val="-5"/>
          <w:sz w:val="19"/>
        </w:rPr>
        <w:t> </w:t>
      </w:r>
      <w:r>
        <w:rPr>
          <w:sz w:val="19"/>
        </w:rPr>
        <w:t>think</w:t>
      </w:r>
      <w:r>
        <w:rPr>
          <w:spacing w:val="-4"/>
          <w:sz w:val="19"/>
        </w:rPr>
        <w:t> </w:t>
      </w:r>
      <w:r>
        <w:rPr>
          <w:sz w:val="19"/>
        </w:rPr>
        <w:t>that</w:t>
      </w:r>
      <w:r>
        <w:rPr>
          <w:spacing w:val="-5"/>
          <w:sz w:val="19"/>
        </w:rPr>
        <w:t> </w:t>
      </w:r>
      <w:r>
        <w:rPr>
          <w:sz w:val="19"/>
        </w:rPr>
        <w:t>blind</w:t>
      </w:r>
      <w:r>
        <w:rPr>
          <w:spacing w:val="-4"/>
          <w:sz w:val="19"/>
        </w:rPr>
        <w:t> </w:t>
      </w:r>
      <w:r>
        <w:rPr>
          <w:sz w:val="19"/>
        </w:rPr>
        <w:t>people</w:t>
      </w:r>
      <w:r>
        <w:rPr>
          <w:spacing w:val="-4"/>
          <w:sz w:val="19"/>
        </w:rPr>
        <w:t> </w:t>
      </w:r>
      <w:r>
        <w:rPr>
          <w:sz w:val="19"/>
        </w:rPr>
        <w:t>should</w:t>
      </w:r>
      <w:r>
        <w:rPr>
          <w:spacing w:val="-5"/>
          <w:sz w:val="19"/>
        </w:rPr>
        <w:t> </w:t>
      </w:r>
      <w:r>
        <w:rPr>
          <w:sz w:val="19"/>
        </w:rPr>
        <w:t>be</w:t>
      </w:r>
      <w:r>
        <w:rPr>
          <w:spacing w:val="-4"/>
          <w:sz w:val="19"/>
        </w:rPr>
        <w:t> </w:t>
      </w:r>
      <w:r>
        <w:rPr>
          <w:sz w:val="19"/>
        </w:rPr>
        <w:t>able</w:t>
      </w:r>
      <w:r>
        <w:rPr>
          <w:spacing w:val="-4"/>
          <w:sz w:val="19"/>
        </w:rPr>
        <w:t> </w:t>
      </w:r>
      <w:r>
        <w:rPr>
          <w:sz w:val="19"/>
        </w:rPr>
        <w:t>to</w:t>
      </w:r>
      <w:r>
        <w:rPr>
          <w:spacing w:val="-5"/>
          <w:sz w:val="19"/>
        </w:rPr>
        <w:t> </w:t>
      </w:r>
      <w:r>
        <w:rPr>
          <w:sz w:val="19"/>
        </w:rPr>
        <w:t>excuse</w:t>
      </w:r>
      <w:r>
        <w:rPr>
          <w:spacing w:val="-4"/>
          <w:sz w:val="19"/>
        </w:rPr>
        <w:t> </w:t>
      </w:r>
      <w:r>
        <w:rPr>
          <w:sz w:val="19"/>
        </w:rPr>
        <w:t>themselves</w:t>
      </w:r>
      <w:r>
        <w:rPr>
          <w:spacing w:val="-5"/>
          <w:sz w:val="19"/>
        </w:rPr>
        <w:t> </w:t>
      </w:r>
      <w:r>
        <w:rPr>
          <w:sz w:val="19"/>
        </w:rPr>
        <w:t>from</w:t>
      </w:r>
      <w:r>
        <w:rPr>
          <w:spacing w:val="-4"/>
          <w:sz w:val="19"/>
        </w:rPr>
        <w:t> </w:t>
      </w:r>
      <w:r>
        <w:rPr>
          <w:sz w:val="19"/>
        </w:rPr>
        <w:t>particular</w:t>
      </w:r>
      <w:r>
        <w:rPr>
          <w:spacing w:val="-4"/>
          <w:sz w:val="19"/>
        </w:rPr>
        <w:t> </w:t>
      </w:r>
      <w:r>
        <w:rPr>
          <w:sz w:val="19"/>
        </w:rPr>
        <w:t>cases as they will be best placed to know their ability in terms of being able to assess the evidence</w:t>
      </w:r>
      <w:r>
        <w:rPr>
          <w:spacing w:val="-2"/>
          <w:sz w:val="19"/>
        </w:rPr>
        <w:t> </w:t>
      </w:r>
      <w:r>
        <w:rPr>
          <w:spacing w:val="-3"/>
          <w:sz w:val="19"/>
        </w:rPr>
        <w:t>accurately.</w:t>
      </w:r>
      <w:r>
        <w:rPr>
          <w:spacing w:val="-3"/>
          <w:position w:val="6"/>
          <w:sz w:val="11"/>
        </w:rPr>
        <w:t>37</w:t>
      </w:r>
    </w:p>
    <w:p>
      <w:pPr>
        <w:pStyle w:val="BodyText"/>
      </w:pPr>
    </w:p>
    <w:p>
      <w:pPr>
        <w:pStyle w:val="BodyText"/>
      </w:pPr>
    </w:p>
    <w:p>
      <w:pPr>
        <w:pStyle w:val="BodyText"/>
      </w:pPr>
    </w:p>
    <w:p>
      <w:pPr>
        <w:pStyle w:val="BodyText"/>
        <w:spacing w:before="2"/>
        <w:rPr>
          <w:sz w:val="17"/>
        </w:rPr>
      </w:pPr>
      <w:r>
        <w:rPr/>
        <w:pict>
          <v:line style="position:absolute;mso-position-horizontal-relative:page;mso-position-vertical-relative:paragraph;z-index:9728;mso-wrap-distance-left:0;mso-wrap-distance-right:0" from="79.370003pt,14.3795pt" to="515.905003pt,14.3795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10"/>
        </w:numPr>
        <w:tabs>
          <w:tab w:pos="1761" w:val="left" w:leader="none"/>
          <w:tab w:pos="1762" w:val="left" w:leader="none"/>
        </w:tabs>
        <w:spacing w:line="213" w:lineRule="auto" w:before="38" w:after="0"/>
        <w:ind w:left="1761" w:right="0" w:hanging="794"/>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110"/>
        </w:numPr>
        <w:tabs>
          <w:tab w:pos="1760" w:val="left" w:leader="none"/>
          <w:tab w:pos="1762" w:val="left" w:leader="none"/>
        </w:tabs>
        <w:spacing w:line="153" w:lineRule="exact" w:before="0" w:after="0"/>
        <w:ind w:left="1761" w:right="0" w:hanging="794"/>
        <w:jc w:val="left"/>
        <w:rPr>
          <w:sz w:val="13"/>
        </w:rPr>
      </w:pPr>
      <w:r>
        <w:rPr>
          <w:sz w:val="13"/>
        </w:rPr>
        <w:t>Consultation 8 (Brent Phillips).</w:t>
      </w:r>
    </w:p>
    <w:p>
      <w:pPr>
        <w:pStyle w:val="ListParagraph"/>
        <w:numPr>
          <w:ilvl w:val="0"/>
          <w:numId w:val="110"/>
        </w:numPr>
        <w:tabs>
          <w:tab w:pos="1761" w:val="left" w:leader="none"/>
          <w:tab w:pos="1762" w:val="left" w:leader="none"/>
        </w:tabs>
        <w:spacing w:line="160" w:lineRule="exact" w:before="0" w:after="0"/>
        <w:ind w:left="1761" w:right="0" w:hanging="794"/>
        <w:jc w:val="left"/>
        <w:rPr>
          <w:sz w:val="13"/>
        </w:rPr>
      </w:pPr>
      <w:r>
        <w:rPr>
          <w:sz w:val="13"/>
        </w:rPr>
        <w:t>See, eg, </w:t>
      </w:r>
      <w:r>
        <w:rPr>
          <w:spacing w:val="2"/>
          <w:sz w:val="13"/>
        </w:rPr>
        <w:t>Online </w:t>
      </w:r>
      <w:r>
        <w:rPr>
          <w:sz w:val="13"/>
        </w:rPr>
        <w:t>Survey (Response</w:t>
      </w:r>
      <w:r>
        <w:rPr>
          <w:spacing w:val="-1"/>
          <w:sz w:val="13"/>
        </w:rPr>
        <w:t> </w:t>
      </w:r>
      <w:r>
        <w:rPr>
          <w:sz w:val="13"/>
        </w:rPr>
        <w:t>15).</w:t>
      </w:r>
    </w:p>
    <w:p>
      <w:pPr>
        <w:pStyle w:val="ListParagraph"/>
        <w:numPr>
          <w:ilvl w:val="0"/>
          <w:numId w:val="110"/>
        </w:numPr>
        <w:tabs>
          <w:tab w:pos="1760" w:val="left" w:leader="none"/>
          <w:tab w:pos="1762" w:val="left" w:leader="none"/>
        </w:tabs>
        <w:spacing w:line="160" w:lineRule="exact" w:before="0" w:after="0"/>
        <w:ind w:left="1761" w:right="0" w:hanging="794"/>
        <w:jc w:val="left"/>
        <w:rPr>
          <w:sz w:val="13"/>
        </w:rPr>
      </w:pPr>
      <w:r>
        <w:rPr>
          <w:spacing w:val="2"/>
          <w:sz w:val="13"/>
        </w:rPr>
        <w:t>Online </w:t>
      </w:r>
      <w:r>
        <w:rPr>
          <w:sz w:val="13"/>
        </w:rPr>
        <w:t>Survey (Response</w:t>
      </w:r>
      <w:r>
        <w:rPr>
          <w:spacing w:val="-2"/>
          <w:sz w:val="13"/>
        </w:rPr>
        <w:t> </w:t>
      </w:r>
      <w:r>
        <w:rPr>
          <w:sz w:val="13"/>
        </w:rPr>
        <w:t>2).</w:t>
      </w:r>
    </w:p>
    <w:p>
      <w:pPr>
        <w:pStyle w:val="ListParagraph"/>
        <w:numPr>
          <w:ilvl w:val="0"/>
          <w:numId w:val="110"/>
        </w:numPr>
        <w:tabs>
          <w:tab w:pos="1761" w:val="left" w:leader="none"/>
          <w:tab w:pos="1762" w:val="left" w:leader="none"/>
        </w:tabs>
        <w:spacing w:line="213" w:lineRule="auto" w:before="6" w:after="0"/>
        <w:ind w:left="1761" w:right="0" w:hanging="794"/>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110"/>
        </w:numPr>
        <w:tabs>
          <w:tab w:pos="1760" w:val="left" w:leader="none"/>
          <w:tab w:pos="1762" w:val="left" w:leader="none"/>
        </w:tabs>
        <w:spacing w:line="153" w:lineRule="exact" w:before="0" w:after="0"/>
        <w:ind w:left="1761" w:right="0" w:hanging="794"/>
        <w:jc w:val="left"/>
        <w:rPr>
          <w:sz w:val="13"/>
        </w:rPr>
      </w:pPr>
      <w:r>
        <w:rPr>
          <w:sz w:val="13"/>
        </w:rPr>
        <w:t>Consultation 6 (Deaf Victoria and community</w:t>
      </w:r>
      <w:r>
        <w:rPr>
          <w:spacing w:val="4"/>
          <w:sz w:val="13"/>
        </w:rPr>
        <w:t> </w:t>
      </w:r>
      <w:r>
        <w:rPr>
          <w:sz w:val="13"/>
        </w:rPr>
        <w:t>participants).</w:t>
      </w:r>
    </w:p>
    <w:p>
      <w:pPr>
        <w:pStyle w:val="ListParagraph"/>
        <w:numPr>
          <w:ilvl w:val="0"/>
          <w:numId w:val="110"/>
        </w:numPr>
        <w:tabs>
          <w:tab w:pos="1761" w:val="left" w:leader="none"/>
          <w:tab w:pos="1762" w:val="left" w:leader="none"/>
        </w:tabs>
        <w:spacing w:line="160" w:lineRule="exact" w:before="0" w:after="0"/>
        <w:ind w:left="1761" w:right="0" w:hanging="794"/>
        <w:jc w:val="left"/>
        <w:rPr>
          <w:sz w:val="13"/>
        </w:rPr>
      </w:pPr>
      <w:r>
        <w:rPr>
          <w:sz w:val="13"/>
        </w:rPr>
        <w:t>See, eg, Consultation 25 (Peter Ward, Partner, Galbally and </w:t>
      </w:r>
      <w:r>
        <w:rPr>
          <w:spacing w:val="2"/>
          <w:sz w:val="13"/>
        </w:rPr>
        <w:t>O’Bryan </w:t>
      </w:r>
      <w:r>
        <w:rPr>
          <w:sz w:val="13"/>
        </w:rPr>
        <w:t>Lawyers); </w:t>
      </w:r>
      <w:r>
        <w:rPr>
          <w:spacing w:val="2"/>
          <w:sz w:val="13"/>
        </w:rPr>
        <w:t>Online </w:t>
      </w:r>
      <w:r>
        <w:rPr>
          <w:sz w:val="13"/>
        </w:rPr>
        <w:t>Survey (Response</w:t>
      </w:r>
      <w:r>
        <w:rPr>
          <w:spacing w:val="24"/>
          <w:sz w:val="13"/>
        </w:rPr>
        <w:t> </w:t>
      </w:r>
      <w:r>
        <w:rPr>
          <w:sz w:val="13"/>
        </w:rPr>
        <w:t>17).</w:t>
      </w:r>
    </w:p>
    <w:p>
      <w:pPr>
        <w:pStyle w:val="ListParagraph"/>
        <w:numPr>
          <w:ilvl w:val="0"/>
          <w:numId w:val="110"/>
        </w:numPr>
        <w:tabs>
          <w:tab w:pos="1760" w:val="left" w:leader="none"/>
          <w:tab w:pos="1762" w:val="left" w:leader="none"/>
        </w:tabs>
        <w:spacing w:line="170" w:lineRule="exact" w:before="0" w:after="0"/>
        <w:ind w:left="1761" w:right="0" w:hanging="794"/>
        <w:jc w:val="left"/>
        <w:rPr>
          <w:sz w:val="13"/>
        </w:rPr>
      </w:pPr>
      <w:r>
        <w:rPr>
          <w:spacing w:val="2"/>
          <w:sz w:val="13"/>
        </w:rPr>
        <w:t>Online </w:t>
      </w:r>
      <w:r>
        <w:rPr>
          <w:sz w:val="13"/>
        </w:rPr>
        <w:t>Survey (Response</w:t>
      </w:r>
      <w:r>
        <w:rPr>
          <w:spacing w:val="-2"/>
          <w:sz w:val="13"/>
        </w:rPr>
        <w:t> </w:t>
      </w:r>
      <w:r>
        <w:rPr>
          <w:sz w:val="13"/>
        </w:rPr>
        <w:t>19).</w:t>
      </w:r>
    </w:p>
    <w:p>
      <w:pPr>
        <w:pStyle w:val="BodyText"/>
        <w:rPr>
          <w:sz w:val="28"/>
        </w:rPr>
      </w:pPr>
      <w:r>
        <w:rPr/>
        <w:br w:type="column"/>
      </w:r>
      <w:r>
        <w:rPr>
          <w:sz w:val="28"/>
        </w:rPr>
      </w:r>
    </w:p>
    <w:p>
      <w:pPr>
        <w:pStyle w:val="BodyText"/>
        <w:rPr>
          <w:sz w:val="28"/>
        </w:rPr>
      </w:pPr>
    </w:p>
    <w:p>
      <w:pPr>
        <w:pStyle w:val="BodyText"/>
        <w:spacing w:before="2"/>
        <w:rPr>
          <w:sz w:val="40"/>
        </w:rPr>
      </w:pPr>
    </w:p>
    <w:p>
      <w:pPr>
        <w:spacing w:before="0"/>
        <w:ind w:left="656" w:right="0" w:firstLine="0"/>
        <w:jc w:val="left"/>
        <w:rPr>
          <w:b/>
          <w:sz w:val="24"/>
        </w:rPr>
      </w:pPr>
      <w:r>
        <w:rPr>
          <w:b/>
          <w:color w:val="37617A"/>
          <w:sz w:val="24"/>
        </w:rPr>
        <w:t>185</w:t>
      </w:r>
    </w:p>
    <w:p>
      <w:pPr>
        <w:spacing w:after="0"/>
        <w:jc w:val="left"/>
        <w:rPr>
          <w:sz w:val="24"/>
        </w:rPr>
        <w:sectPr>
          <w:type w:val="continuous"/>
          <w:pgSz w:w="11910" w:h="16840"/>
          <w:pgMar w:top="620" w:bottom="280" w:left="620" w:right="380"/>
          <w:cols w:num="2" w:equalWidth="0">
            <w:col w:w="9599" w:space="40"/>
            <w:col w:w="1271"/>
          </w:cols>
        </w:sectPr>
      </w:pPr>
    </w:p>
    <w:p>
      <w:pPr>
        <w:pStyle w:val="BodyText"/>
        <w:rPr>
          <w:b/>
        </w:rPr>
      </w:pPr>
    </w:p>
    <w:p>
      <w:pPr>
        <w:pStyle w:val="BodyText"/>
        <w:rPr>
          <w:b/>
        </w:rPr>
      </w:pPr>
    </w:p>
    <w:p>
      <w:pPr>
        <w:pStyle w:val="BodyText"/>
        <w:rPr>
          <w:b/>
        </w:rPr>
      </w:pPr>
    </w:p>
    <w:p>
      <w:pPr>
        <w:pStyle w:val="BodyText"/>
        <w:spacing w:before="7"/>
        <w:rPr>
          <w:b/>
          <w:sz w:val="16"/>
        </w:rPr>
      </w:pPr>
    </w:p>
    <w:p>
      <w:pPr>
        <w:pStyle w:val="ListParagraph"/>
        <w:numPr>
          <w:ilvl w:val="1"/>
          <w:numId w:val="12"/>
        </w:numPr>
        <w:tabs>
          <w:tab w:pos="1761" w:val="left" w:leader="none"/>
          <w:tab w:pos="1762" w:val="left" w:leader="none"/>
        </w:tabs>
        <w:spacing w:line="259" w:lineRule="exact" w:before="0" w:after="0"/>
        <w:ind w:left="1761" w:right="0" w:hanging="794"/>
        <w:jc w:val="left"/>
        <w:rPr>
          <w:sz w:val="20"/>
        </w:rPr>
      </w:pPr>
      <w:bookmarkStart w:name="Reasons why a person with disability mig" w:id="321"/>
      <w:bookmarkEnd w:id="321"/>
      <w:r>
        <w:rPr/>
      </w:r>
      <w:bookmarkStart w:name="_bookmark136" w:id="322"/>
      <w:bookmarkEnd w:id="322"/>
      <w:r>
        <w:rPr/>
      </w:r>
      <w:bookmarkStart w:name="_bookmark136" w:id="323"/>
      <w:bookmarkEnd w:id="323"/>
      <w:r>
        <w:rPr>
          <w:spacing w:val="-5"/>
          <w:sz w:val="20"/>
        </w:rPr>
        <w:t>H</w:t>
      </w:r>
      <w:r>
        <w:rPr>
          <w:spacing w:val="-5"/>
          <w:sz w:val="20"/>
        </w:rPr>
        <w:t>owever,</w:t>
      </w:r>
      <w:r>
        <w:rPr>
          <w:spacing w:val="-6"/>
          <w:sz w:val="20"/>
        </w:rPr>
        <w:t> </w:t>
      </w:r>
      <w:r>
        <w:rPr>
          <w:sz w:val="20"/>
        </w:rPr>
        <w:t>others</w:t>
      </w:r>
      <w:r>
        <w:rPr>
          <w:spacing w:val="-6"/>
          <w:sz w:val="20"/>
        </w:rPr>
        <w:t> </w:t>
      </w:r>
      <w:r>
        <w:rPr>
          <w:sz w:val="20"/>
        </w:rPr>
        <w:t>maintained</w:t>
      </w:r>
      <w:r>
        <w:rPr>
          <w:spacing w:val="-5"/>
          <w:sz w:val="20"/>
        </w:rPr>
        <w:t> </w:t>
      </w:r>
      <w:r>
        <w:rPr>
          <w:sz w:val="20"/>
        </w:rPr>
        <w:t>that</w:t>
      </w:r>
      <w:r>
        <w:rPr>
          <w:spacing w:val="-6"/>
          <w:sz w:val="20"/>
        </w:rPr>
        <w:t> </w:t>
      </w:r>
      <w:r>
        <w:rPr>
          <w:sz w:val="20"/>
        </w:rPr>
        <w:t>disability</w:t>
      </w:r>
      <w:r>
        <w:rPr>
          <w:spacing w:val="-5"/>
          <w:sz w:val="20"/>
        </w:rPr>
        <w:t> </w:t>
      </w:r>
      <w:r>
        <w:rPr>
          <w:sz w:val="20"/>
        </w:rPr>
        <w:t>should</w:t>
      </w:r>
      <w:r>
        <w:rPr>
          <w:spacing w:val="-6"/>
          <w:sz w:val="20"/>
        </w:rPr>
        <w:t> </w:t>
      </w:r>
      <w:r>
        <w:rPr>
          <w:sz w:val="20"/>
        </w:rPr>
        <w:t>be</w:t>
      </w:r>
      <w:r>
        <w:rPr>
          <w:spacing w:val="-6"/>
          <w:sz w:val="20"/>
        </w:rPr>
        <w:t> </w:t>
      </w:r>
      <w:r>
        <w:rPr>
          <w:sz w:val="20"/>
        </w:rPr>
        <w:t>a</w:t>
      </w:r>
      <w:r>
        <w:rPr>
          <w:spacing w:val="-5"/>
          <w:sz w:val="20"/>
        </w:rPr>
        <w:t> </w:t>
      </w:r>
      <w:r>
        <w:rPr>
          <w:sz w:val="20"/>
        </w:rPr>
        <w:t>ground</w:t>
      </w:r>
      <w:r>
        <w:rPr>
          <w:spacing w:val="-6"/>
          <w:sz w:val="20"/>
        </w:rPr>
        <w:t> </w:t>
      </w:r>
      <w:r>
        <w:rPr>
          <w:sz w:val="20"/>
        </w:rPr>
        <w:t>for</w:t>
      </w:r>
      <w:r>
        <w:rPr>
          <w:spacing w:val="-5"/>
          <w:sz w:val="20"/>
        </w:rPr>
        <w:t> </w:t>
      </w:r>
      <w:r>
        <w:rPr>
          <w:spacing w:val="-3"/>
          <w:sz w:val="20"/>
        </w:rPr>
        <w:t>excuse</w:t>
      </w:r>
      <w:r>
        <w:rPr>
          <w:spacing w:val="-6"/>
          <w:sz w:val="20"/>
        </w:rPr>
        <w:t> </w:t>
      </w:r>
      <w:r>
        <w:rPr>
          <w:sz w:val="20"/>
        </w:rPr>
        <w:t>and</w:t>
      </w:r>
      <w:r>
        <w:rPr>
          <w:spacing w:val="-5"/>
          <w:sz w:val="20"/>
        </w:rPr>
        <w:t> </w:t>
      </w:r>
      <w:r>
        <w:rPr>
          <w:sz w:val="20"/>
        </w:rPr>
        <w:t>that</w:t>
      </w:r>
    </w:p>
    <w:p>
      <w:pPr>
        <w:pStyle w:val="BodyText"/>
        <w:spacing w:line="259" w:lineRule="exact"/>
        <w:ind w:left="1761"/>
      </w:pPr>
      <w:r>
        <w:rPr/>
        <w:t>flexibility is needed. For example, one survey respondent explained:</w:t>
      </w:r>
    </w:p>
    <w:p>
      <w:pPr>
        <w:spacing w:line="208" w:lineRule="auto" w:before="112"/>
        <w:ind w:left="2157" w:right="1243" w:firstLine="0"/>
        <w:jc w:val="left"/>
        <w:rPr>
          <w:sz w:val="11"/>
        </w:rPr>
      </w:pPr>
      <w:r>
        <w:rPr>
          <w:sz w:val="19"/>
        </w:rPr>
        <w:t>I do think that disability is a reasonable ground for jury exemption. Despite the ability of many disabled people to serve on the jury in many different cases, I think it would be unfair to deny them the choice of opting out. Many people with disabilities have additional responsibilities or circumstances which might make jury service laborious, and as such, I think that they should be given the choice on whether they believe jury service is tenable for them.</w:t>
      </w:r>
      <w:r>
        <w:rPr>
          <w:position w:val="6"/>
          <w:sz w:val="11"/>
        </w:rPr>
        <w:t>38</w:t>
      </w:r>
    </w:p>
    <w:p>
      <w:pPr>
        <w:spacing w:before="164"/>
        <w:ind w:left="967" w:right="0" w:firstLine="0"/>
        <w:jc w:val="left"/>
        <w:rPr>
          <w:b/>
          <w:sz w:val="24"/>
        </w:rPr>
      </w:pPr>
      <w:r>
        <w:rPr>
          <w:b/>
          <w:sz w:val="24"/>
        </w:rPr>
        <w:t>Legal representatives</w:t>
      </w:r>
    </w:p>
    <w:p>
      <w:pPr>
        <w:pStyle w:val="ListParagraph"/>
        <w:numPr>
          <w:ilvl w:val="1"/>
          <w:numId w:val="12"/>
        </w:numPr>
        <w:tabs>
          <w:tab w:pos="1761" w:val="left" w:leader="none"/>
          <w:tab w:pos="1762" w:val="left" w:leader="none"/>
        </w:tabs>
        <w:spacing w:line="206" w:lineRule="auto" w:before="127" w:after="0"/>
        <w:ind w:left="1761" w:right="1231" w:hanging="794"/>
        <w:jc w:val="left"/>
        <w:rPr>
          <w:sz w:val="20"/>
        </w:rPr>
      </w:pPr>
      <w:r>
        <w:rPr>
          <w:sz w:val="20"/>
        </w:rPr>
        <w:t>Legal</w:t>
      </w:r>
      <w:r>
        <w:rPr>
          <w:spacing w:val="-14"/>
          <w:sz w:val="20"/>
        </w:rPr>
        <w:t> </w:t>
      </w:r>
      <w:r>
        <w:rPr>
          <w:sz w:val="20"/>
        </w:rPr>
        <w:t>bodies</w:t>
      </w:r>
      <w:r>
        <w:rPr>
          <w:spacing w:val="-14"/>
          <w:sz w:val="20"/>
        </w:rPr>
        <w:t> </w:t>
      </w:r>
      <w:r>
        <w:rPr>
          <w:sz w:val="20"/>
        </w:rPr>
        <w:t>(namely</w:t>
      </w:r>
      <w:r>
        <w:rPr>
          <w:spacing w:val="-14"/>
          <w:sz w:val="20"/>
        </w:rPr>
        <w:t> </w:t>
      </w:r>
      <w:r>
        <w:rPr>
          <w:sz w:val="20"/>
        </w:rPr>
        <w:t>the</w:t>
      </w:r>
      <w:r>
        <w:rPr>
          <w:spacing w:val="-14"/>
          <w:sz w:val="20"/>
        </w:rPr>
        <w:t> </w:t>
      </w:r>
      <w:r>
        <w:rPr>
          <w:sz w:val="20"/>
        </w:rPr>
        <w:t>courts,</w:t>
      </w:r>
      <w:r>
        <w:rPr>
          <w:spacing w:val="-14"/>
          <w:sz w:val="20"/>
        </w:rPr>
        <w:t> </w:t>
      </w:r>
      <w:r>
        <w:rPr>
          <w:sz w:val="20"/>
        </w:rPr>
        <w:t>Juries</w:t>
      </w:r>
      <w:r>
        <w:rPr>
          <w:spacing w:val="-14"/>
          <w:sz w:val="20"/>
        </w:rPr>
        <w:t> </w:t>
      </w:r>
      <w:r>
        <w:rPr>
          <w:sz w:val="20"/>
        </w:rPr>
        <w:t>Victoria,</w:t>
      </w:r>
      <w:r>
        <w:rPr>
          <w:spacing w:val="-14"/>
          <w:sz w:val="20"/>
        </w:rPr>
        <w:t> </w:t>
      </w:r>
      <w:r>
        <w:rPr>
          <w:sz w:val="20"/>
        </w:rPr>
        <w:t>the</w:t>
      </w:r>
      <w:r>
        <w:rPr>
          <w:spacing w:val="-14"/>
          <w:sz w:val="20"/>
        </w:rPr>
        <w:t> </w:t>
      </w:r>
      <w:r>
        <w:rPr>
          <w:sz w:val="20"/>
        </w:rPr>
        <w:t>Office</w:t>
      </w:r>
      <w:r>
        <w:rPr>
          <w:spacing w:val="-14"/>
          <w:sz w:val="20"/>
        </w:rPr>
        <w:t> </w:t>
      </w:r>
      <w:r>
        <w:rPr>
          <w:sz w:val="20"/>
        </w:rPr>
        <w:t>of</w:t>
      </w:r>
      <w:r>
        <w:rPr>
          <w:spacing w:val="-14"/>
          <w:sz w:val="20"/>
        </w:rPr>
        <w:t> </w:t>
      </w:r>
      <w:r>
        <w:rPr>
          <w:sz w:val="20"/>
        </w:rPr>
        <w:t>Public</w:t>
      </w:r>
      <w:r>
        <w:rPr>
          <w:spacing w:val="-14"/>
          <w:sz w:val="20"/>
        </w:rPr>
        <w:t> </w:t>
      </w:r>
      <w:r>
        <w:rPr>
          <w:sz w:val="20"/>
        </w:rPr>
        <w:t>Prosecutions</w:t>
      </w:r>
      <w:r>
        <w:rPr>
          <w:spacing w:val="-14"/>
          <w:sz w:val="20"/>
        </w:rPr>
        <w:t> </w:t>
      </w:r>
      <w:r>
        <w:rPr>
          <w:spacing w:val="-4"/>
          <w:sz w:val="20"/>
        </w:rPr>
        <w:t>(OPP), </w:t>
      </w:r>
      <w:r>
        <w:rPr>
          <w:sz w:val="20"/>
        </w:rPr>
        <w:t>the Law Institute of Victoria (LIV), and Victoria Legal Aid (VLA)) made it clear that they did not think that people should be </w:t>
      </w:r>
      <w:r>
        <w:rPr>
          <w:spacing w:val="-3"/>
          <w:sz w:val="20"/>
        </w:rPr>
        <w:t>required </w:t>
      </w:r>
      <w:r>
        <w:rPr>
          <w:sz w:val="20"/>
        </w:rPr>
        <w:t>to serve if they did not feel comfortable serving.</w:t>
      </w:r>
      <w:r>
        <w:rPr>
          <w:spacing w:val="-11"/>
          <w:sz w:val="20"/>
        </w:rPr>
        <w:t> </w:t>
      </w:r>
      <w:r>
        <w:rPr>
          <w:sz w:val="20"/>
        </w:rPr>
        <w:t>Making</w:t>
      </w:r>
      <w:r>
        <w:rPr>
          <w:spacing w:val="-10"/>
          <w:sz w:val="20"/>
        </w:rPr>
        <w:t> </w:t>
      </w:r>
      <w:r>
        <w:rPr>
          <w:sz w:val="20"/>
        </w:rPr>
        <w:t>it</w:t>
      </w:r>
      <w:r>
        <w:rPr>
          <w:spacing w:val="-10"/>
          <w:sz w:val="20"/>
        </w:rPr>
        <w:t> </w:t>
      </w:r>
      <w:r>
        <w:rPr>
          <w:sz w:val="20"/>
        </w:rPr>
        <w:t>hard</w:t>
      </w:r>
      <w:r>
        <w:rPr>
          <w:spacing w:val="-10"/>
          <w:sz w:val="20"/>
        </w:rPr>
        <w:t> </w:t>
      </w:r>
      <w:r>
        <w:rPr>
          <w:sz w:val="20"/>
        </w:rPr>
        <w:t>for</w:t>
      </w:r>
      <w:r>
        <w:rPr>
          <w:spacing w:val="-11"/>
          <w:sz w:val="20"/>
        </w:rPr>
        <w:t> </w:t>
      </w:r>
      <w:r>
        <w:rPr>
          <w:sz w:val="20"/>
        </w:rPr>
        <w:t>people</w:t>
      </w:r>
      <w:r>
        <w:rPr>
          <w:spacing w:val="-10"/>
          <w:sz w:val="20"/>
        </w:rPr>
        <w:t> </w:t>
      </w:r>
      <w:r>
        <w:rPr>
          <w:sz w:val="20"/>
        </w:rPr>
        <w:t>to</w:t>
      </w:r>
      <w:r>
        <w:rPr>
          <w:spacing w:val="-10"/>
          <w:sz w:val="20"/>
        </w:rPr>
        <w:t> </w:t>
      </w:r>
      <w:r>
        <w:rPr>
          <w:sz w:val="20"/>
        </w:rPr>
        <w:t>be</w:t>
      </w:r>
      <w:r>
        <w:rPr>
          <w:spacing w:val="-10"/>
          <w:sz w:val="20"/>
        </w:rPr>
        <w:t> </w:t>
      </w:r>
      <w:r>
        <w:rPr>
          <w:spacing w:val="-3"/>
          <w:sz w:val="20"/>
        </w:rPr>
        <w:t>excused</w:t>
      </w:r>
      <w:r>
        <w:rPr>
          <w:spacing w:val="-10"/>
          <w:sz w:val="20"/>
        </w:rPr>
        <w:t> </w:t>
      </w:r>
      <w:r>
        <w:rPr>
          <w:spacing w:val="-3"/>
          <w:sz w:val="20"/>
        </w:rPr>
        <w:t>would</w:t>
      </w:r>
      <w:r>
        <w:rPr>
          <w:spacing w:val="-11"/>
          <w:sz w:val="20"/>
        </w:rPr>
        <w:t> </w:t>
      </w:r>
      <w:r>
        <w:rPr>
          <w:spacing w:val="-3"/>
          <w:sz w:val="20"/>
        </w:rPr>
        <w:t>make</w:t>
      </w:r>
      <w:r>
        <w:rPr>
          <w:spacing w:val="-10"/>
          <w:sz w:val="20"/>
        </w:rPr>
        <w:t> </w:t>
      </w:r>
      <w:r>
        <w:rPr>
          <w:sz w:val="20"/>
        </w:rPr>
        <w:t>things</w:t>
      </w:r>
      <w:r>
        <w:rPr>
          <w:spacing w:val="-10"/>
          <w:sz w:val="20"/>
        </w:rPr>
        <w:t> </w:t>
      </w:r>
      <w:r>
        <w:rPr>
          <w:sz w:val="20"/>
        </w:rPr>
        <w:t>difficult</w:t>
      </w:r>
      <w:r>
        <w:rPr>
          <w:spacing w:val="-10"/>
          <w:sz w:val="20"/>
        </w:rPr>
        <w:t> </w:t>
      </w:r>
      <w:r>
        <w:rPr>
          <w:sz w:val="20"/>
        </w:rPr>
        <w:t>for</w:t>
      </w:r>
      <w:r>
        <w:rPr>
          <w:spacing w:val="-10"/>
          <w:sz w:val="20"/>
        </w:rPr>
        <w:t> </w:t>
      </w:r>
      <w:r>
        <w:rPr>
          <w:sz w:val="20"/>
        </w:rPr>
        <w:t>the</w:t>
      </w:r>
      <w:r>
        <w:rPr>
          <w:spacing w:val="-11"/>
          <w:sz w:val="20"/>
        </w:rPr>
        <w:t> </w:t>
      </w:r>
      <w:r>
        <w:rPr>
          <w:sz w:val="20"/>
        </w:rPr>
        <w:t>trial judge and for the running of the</w:t>
      </w:r>
      <w:r>
        <w:rPr>
          <w:spacing w:val="-31"/>
          <w:sz w:val="20"/>
        </w:rPr>
        <w:t> </w:t>
      </w:r>
      <w:r>
        <w:rPr>
          <w:sz w:val="20"/>
        </w:rPr>
        <w:t>trial.</w:t>
      </w:r>
    </w:p>
    <w:p>
      <w:pPr>
        <w:pStyle w:val="ListParagraph"/>
        <w:numPr>
          <w:ilvl w:val="1"/>
          <w:numId w:val="12"/>
        </w:numPr>
        <w:tabs>
          <w:tab w:pos="1761" w:val="left" w:leader="none"/>
          <w:tab w:pos="1762" w:val="left" w:leader="none"/>
        </w:tabs>
        <w:spacing w:line="240" w:lineRule="auto" w:before="94" w:after="0"/>
        <w:ind w:left="1761" w:right="0" w:hanging="794"/>
        <w:jc w:val="left"/>
        <w:rPr>
          <w:sz w:val="20"/>
        </w:rPr>
      </w:pPr>
      <w:r>
        <w:rPr>
          <w:sz w:val="20"/>
        </w:rPr>
        <w:t>Juries</w:t>
      </w:r>
      <w:r>
        <w:rPr>
          <w:spacing w:val="-6"/>
          <w:sz w:val="20"/>
        </w:rPr>
        <w:t> </w:t>
      </w:r>
      <w:r>
        <w:rPr>
          <w:sz w:val="20"/>
        </w:rPr>
        <w:t>Victoria</w:t>
      </w:r>
      <w:r>
        <w:rPr>
          <w:spacing w:val="-6"/>
          <w:sz w:val="20"/>
        </w:rPr>
        <w:t> </w:t>
      </w:r>
      <w:r>
        <w:rPr>
          <w:sz w:val="20"/>
        </w:rPr>
        <w:t>submitted</w:t>
      </w:r>
      <w:r>
        <w:rPr>
          <w:spacing w:val="-6"/>
          <w:sz w:val="20"/>
        </w:rPr>
        <w:t> </w:t>
      </w:r>
      <w:r>
        <w:rPr>
          <w:sz w:val="20"/>
        </w:rPr>
        <w:t>that</w:t>
      </w:r>
      <w:r>
        <w:rPr>
          <w:spacing w:val="-6"/>
          <w:sz w:val="20"/>
        </w:rPr>
        <w:t> </w:t>
      </w:r>
      <w:r>
        <w:rPr>
          <w:sz w:val="20"/>
        </w:rPr>
        <w:t>no</w:t>
      </w:r>
      <w:r>
        <w:rPr>
          <w:spacing w:val="-6"/>
          <w:sz w:val="20"/>
        </w:rPr>
        <w:t> </w:t>
      </w:r>
      <w:r>
        <w:rPr>
          <w:sz w:val="20"/>
        </w:rPr>
        <w:t>change</w:t>
      </w:r>
      <w:r>
        <w:rPr>
          <w:spacing w:val="-5"/>
          <w:sz w:val="20"/>
        </w:rPr>
        <w:t> </w:t>
      </w:r>
      <w:r>
        <w:rPr>
          <w:sz w:val="20"/>
        </w:rPr>
        <w:t>to</w:t>
      </w:r>
      <w:r>
        <w:rPr>
          <w:spacing w:val="-6"/>
          <w:sz w:val="20"/>
        </w:rPr>
        <w:t> </w:t>
      </w:r>
      <w:r>
        <w:rPr>
          <w:sz w:val="20"/>
        </w:rPr>
        <w:t>the</w:t>
      </w:r>
      <w:r>
        <w:rPr>
          <w:spacing w:val="-6"/>
          <w:sz w:val="20"/>
        </w:rPr>
        <w:t> </w:t>
      </w:r>
      <w:r>
        <w:rPr>
          <w:sz w:val="20"/>
        </w:rPr>
        <w:t>existing</w:t>
      </w:r>
      <w:r>
        <w:rPr>
          <w:spacing w:val="-6"/>
          <w:sz w:val="20"/>
        </w:rPr>
        <w:t> </w:t>
      </w:r>
      <w:r>
        <w:rPr>
          <w:sz w:val="20"/>
        </w:rPr>
        <w:t>legislation</w:t>
      </w:r>
      <w:r>
        <w:rPr>
          <w:spacing w:val="-6"/>
          <w:sz w:val="20"/>
        </w:rPr>
        <w:t> </w:t>
      </w:r>
      <w:r>
        <w:rPr>
          <w:sz w:val="20"/>
        </w:rPr>
        <w:t>is</w:t>
      </w:r>
      <w:r>
        <w:rPr>
          <w:spacing w:val="-5"/>
          <w:sz w:val="20"/>
        </w:rPr>
        <w:t> </w:t>
      </w:r>
      <w:r>
        <w:rPr>
          <w:sz w:val="20"/>
        </w:rPr>
        <w:t>necessary:</w:t>
      </w:r>
    </w:p>
    <w:p>
      <w:pPr>
        <w:spacing w:line="208" w:lineRule="auto" w:before="113"/>
        <w:ind w:left="2157" w:right="1243" w:firstLine="0"/>
        <w:jc w:val="left"/>
        <w:rPr>
          <w:sz w:val="11"/>
        </w:rPr>
      </w:pPr>
      <w:r>
        <w:rPr>
          <w:sz w:val="19"/>
        </w:rPr>
        <w:t>JV supports maintaining the option for a person within the subject groups to request to be excused or permanently excused from jury service based on their impairments. This requires no change to current legislation, as these options already exist under section 8 and 9 of the Act, respectively.</w:t>
      </w:r>
      <w:r>
        <w:rPr>
          <w:position w:val="6"/>
          <w:sz w:val="11"/>
        </w:rPr>
        <w:t>39</w:t>
      </w:r>
    </w:p>
    <w:p>
      <w:pPr>
        <w:pStyle w:val="ListParagraph"/>
        <w:numPr>
          <w:ilvl w:val="1"/>
          <w:numId w:val="12"/>
        </w:numPr>
        <w:tabs>
          <w:tab w:pos="1761" w:val="left" w:leader="none"/>
          <w:tab w:pos="1762" w:val="left" w:leader="none"/>
        </w:tabs>
        <w:spacing w:line="206" w:lineRule="auto" w:before="124" w:after="0"/>
        <w:ind w:left="1761" w:right="1335" w:hanging="794"/>
        <w:jc w:val="left"/>
        <w:rPr>
          <w:sz w:val="11"/>
        </w:rPr>
      </w:pPr>
      <w:r>
        <w:rPr>
          <w:sz w:val="20"/>
        </w:rPr>
        <w:t>In submissions and consultations VLA, the LIV and the OPP stressed the importance of maintaining an option of being excused. The OPP highlighted the importance of affording</w:t>
      </w:r>
      <w:r>
        <w:rPr>
          <w:spacing w:val="-12"/>
          <w:sz w:val="20"/>
        </w:rPr>
        <w:t> </w:t>
      </w:r>
      <w:r>
        <w:rPr>
          <w:sz w:val="20"/>
        </w:rPr>
        <w:t>choice</w:t>
      </w:r>
      <w:r>
        <w:rPr>
          <w:spacing w:val="-12"/>
          <w:sz w:val="20"/>
        </w:rPr>
        <w:t> </w:t>
      </w:r>
      <w:r>
        <w:rPr>
          <w:sz w:val="20"/>
        </w:rPr>
        <w:t>to</w:t>
      </w:r>
      <w:r>
        <w:rPr>
          <w:spacing w:val="-12"/>
          <w:sz w:val="20"/>
        </w:rPr>
        <w:t> </w:t>
      </w:r>
      <w:r>
        <w:rPr>
          <w:sz w:val="20"/>
        </w:rPr>
        <w:t>people</w:t>
      </w:r>
      <w:r>
        <w:rPr>
          <w:spacing w:val="-11"/>
          <w:sz w:val="20"/>
        </w:rPr>
        <w:t> </w:t>
      </w:r>
      <w:r>
        <w:rPr>
          <w:spacing w:val="-3"/>
          <w:sz w:val="20"/>
        </w:rPr>
        <w:t>from</w:t>
      </w:r>
      <w:r>
        <w:rPr>
          <w:spacing w:val="-12"/>
          <w:sz w:val="20"/>
        </w:rPr>
        <w:t> </w:t>
      </w:r>
      <w:r>
        <w:rPr>
          <w:sz w:val="20"/>
        </w:rPr>
        <w:t>the</w:t>
      </w:r>
      <w:r>
        <w:rPr>
          <w:spacing w:val="-12"/>
          <w:sz w:val="20"/>
        </w:rPr>
        <w:t> </w:t>
      </w:r>
      <w:r>
        <w:rPr>
          <w:sz w:val="20"/>
        </w:rPr>
        <w:t>subject</w:t>
      </w:r>
      <w:r>
        <w:rPr>
          <w:spacing w:val="-11"/>
          <w:sz w:val="20"/>
        </w:rPr>
        <w:t> </w:t>
      </w:r>
      <w:r>
        <w:rPr>
          <w:sz w:val="20"/>
        </w:rPr>
        <w:t>groups</w:t>
      </w:r>
      <w:r>
        <w:rPr>
          <w:spacing w:val="-12"/>
          <w:sz w:val="20"/>
        </w:rPr>
        <w:t> </w:t>
      </w:r>
      <w:r>
        <w:rPr>
          <w:sz w:val="20"/>
        </w:rPr>
        <w:t>about</w:t>
      </w:r>
      <w:r>
        <w:rPr>
          <w:spacing w:val="-12"/>
          <w:sz w:val="20"/>
        </w:rPr>
        <w:t> </w:t>
      </w:r>
      <w:r>
        <w:rPr>
          <w:sz w:val="20"/>
        </w:rPr>
        <w:t>whether</w:t>
      </w:r>
      <w:r>
        <w:rPr>
          <w:spacing w:val="-11"/>
          <w:sz w:val="20"/>
        </w:rPr>
        <w:t> </w:t>
      </w:r>
      <w:r>
        <w:rPr>
          <w:sz w:val="20"/>
        </w:rPr>
        <w:t>or</w:t>
      </w:r>
      <w:r>
        <w:rPr>
          <w:spacing w:val="-12"/>
          <w:sz w:val="20"/>
        </w:rPr>
        <w:t> </w:t>
      </w:r>
      <w:r>
        <w:rPr>
          <w:sz w:val="20"/>
        </w:rPr>
        <w:t>not</w:t>
      </w:r>
      <w:r>
        <w:rPr>
          <w:spacing w:val="-12"/>
          <w:sz w:val="20"/>
        </w:rPr>
        <w:t> </w:t>
      </w:r>
      <w:r>
        <w:rPr>
          <w:sz w:val="20"/>
        </w:rPr>
        <w:t>to</w:t>
      </w:r>
      <w:r>
        <w:rPr>
          <w:spacing w:val="-11"/>
          <w:sz w:val="20"/>
        </w:rPr>
        <w:t> </w:t>
      </w:r>
      <w:r>
        <w:rPr>
          <w:sz w:val="20"/>
        </w:rPr>
        <w:t>serve</w:t>
      </w:r>
      <w:r>
        <w:rPr>
          <w:spacing w:val="-12"/>
          <w:sz w:val="20"/>
        </w:rPr>
        <w:t> </w:t>
      </w:r>
      <w:r>
        <w:rPr>
          <w:sz w:val="20"/>
        </w:rPr>
        <w:t>with adjustments.</w:t>
      </w:r>
      <w:r>
        <w:rPr>
          <w:position w:val="7"/>
          <w:sz w:val="11"/>
        </w:rPr>
        <w:t>40</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pacing w:val="-3"/>
          <w:sz w:val="20"/>
        </w:rPr>
        <w:t>Similarly, </w:t>
      </w:r>
      <w:r>
        <w:rPr>
          <w:sz w:val="20"/>
        </w:rPr>
        <w:t>the County Court submitted that it</w:t>
      </w:r>
      <w:r>
        <w:rPr>
          <w:spacing w:val="-29"/>
          <w:sz w:val="20"/>
        </w:rPr>
        <w:t> </w:t>
      </w:r>
      <w:r>
        <w:rPr>
          <w:sz w:val="20"/>
        </w:rPr>
        <w:t>considers:</w:t>
      </w:r>
    </w:p>
    <w:p>
      <w:pPr>
        <w:spacing w:line="208" w:lineRule="auto" w:before="112"/>
        <w:ind w:left="2157" w:right="1254" w:firstLine="0"/>
        <w:jc w:val="left"/>
        <w:rPr>
          <w:sz w:val="11"/>
        </w:rPr>
      </w:pPr>
      <w:r>
        <w:rPr>
          <w:sz w:val="19"/>
        </w:rPr>
        <w:t>it is important for prospective jurors in the subject group to be excused due to their hearing or vision loss, if they wish. This would be similar to the situation for jurors over a certain age or with primary carer responsibilities.</w:t>
      </w:r>
      <w:r>
        <w:rPr>
          <w:position w:val="6"/>
          <w:sz w:val="11"/>
        </w:rPr>
        <w:t>41</w:t>
      </w:r>
    </w:p>
    <w:p>
      <w:pPr>
        <w:pStyle w:val="ListParagraph"/>
        <w:numPr>
          <w:ilvl w:val="1"/>
          <w:numId w:val="12"/>
        </w:numPr>
        <w:tabs>
          <w:tab w:pos="1761" w:val="left" w:leader="none"/>
          <w:tab w:pos="1762" w:val="left" w:leader="none"/>
        </w:tabs>
        <w:spacing w:line="259" w:lineRule="exact" w:before="92" w:after="0"/>
        <w:ind w:left="1761" w:right="0" w:hanging="794"/>
        <w:jc w:val="left"/>
        <w:rPr>
          <w:sz w:val="20"/>
        </w:rPr>
      </w:pPr>
      <w:r>
        <w:rPr>
          <w:sz w:val="20"/>
        </w:rPr>
        <w:t>The</w:t>
      </w:r>
      <w:r>
        <w:rPr>
          <w:spacing w:val="-7"/>
          <w:sz w:val="20"/>
        </w:rPr>
        <w:t> </w:t>
      </w:r>
      <w:r>
        <w:rPr>
          <w:sz w:val="20"/>
        </w:rPr>
        <w:t>Supreme</w:t>
      </w:r>
      <w:r>
        <w:rPr>
          <w:spacing w:val="-7"/>
          <w:sz w:val="20"/>
        </w:rPr>
        <w:t> </w:t>
      </w:r>
      <w:r>
        <w:rPr>
          <w:sz w:val="20"/>
        </w:rPr>
        <w:t>Court</w:t>
      </w:r>
      <w:r>
        <w:rPr>
          <w:spacing w:val="-7"/>
          <w:sz w:val="20"/>
        </w:rPr>
        <w:t> </w:t>
      </w:r>
      <w:r>
        <w:rPr>
          <w:sz w:val="20"/>
        </w:rPr>
        <w:t>did</w:t>
      </w:r>
      <w:r>
        <w:rPr>
          <w:spacing w:val="-6"/>
          <w:sz w:val="20"/>
        </w:rPr>
        <w:t> </w:t>
      </w:r>
      <w:r>
        <w:rPr>
          <w:sz w:val="20"/>
        </w:rPr>
        <w:t>not</w:t>
      </w:r>
      <w:r>
        <w:rPr>
          <w:spacing w:val="-7"/>
          <w:sz w:val="20"/>
        </w:rPr>
        <w:t> </w:t>
      </w:r>
      <w:r>
        <w:rPr>
          <w:sz w:val="20"/>
        </w:rPr>
        <w:t>offer</w:t>
      </w:r>
      <w:r>
        <w:rPr>
          <w:spacing w:val="-7"/>
          <w:sz w:val="20"/>
        </w:rPr>
        <w:t> </w:t>
      </w:r>
      <w:r>
        <w:rPr>
          <w:sz w:val="20"/>
        </w:rPr>
        <w:t>a</w:t>
      </w:r>
      <w:r>
        <w:rPr>
          <w:spacing w:val="-7"/>
          <w:sz w:val="20"/>
        </w:rPr>
        <w:t> </w:t>
      </w:r>
      <w:r>
        <w:rPr>
          <w:sz w:val="20"/>
        </w:rPr>
        <w:t>view</w:t>
      </w:r>
      <w:r>
        <w:rPr>
          <w:spacing w:val="-6"/>
          <w:sz w:val="20"/>
        </w:rPr>
        <w:t> </w:t>
      </w:r>
      <w:r>
        <w:rPr>
          <w:sz w:val="20"/>
        </w:rPr>
        <w:t>on</w:t>
      </w:r>
      <w:r>
        <w:rPr>
          <w:spacing w:val="-7"/>
          <w:sz w:val="20"/>
        </w:rPr>
        <w:t> </w:t>
      </w:r>
      <w:r>
        <w:rPr>
          <w:sz w:val="20"/>
        </w:rPr>
        <w:t>this</w:t>
      </w:r>
      <w:r>
        <w:rPr>
          <w:spacing w:val="-7"/>
          <w:sz w:val="20"/>
        </w:rPr>
        <w:t> </w:t>
      </w:r>
      <w:r>
        <w:rPr>
          <w:sz w:val="20"/>
        </w:rPr>
        <w:t>specific</w:t>
      </w:r>
      <w:r>
        <w:rPr>
          <w:spacing w:val="-6"/>
          <w:sz w:val="20"/>
        </w:rPr>
        <w:t> </w:t>
      </w:r>
      <w:r>
        <w:rPr>
          <w:sz w:val="20"/>
        </w:rPr>
        <w:t>policy</w:t>
      </w:r>
      <w:r>
        <w:rPr>
          <w:spacing w:val="-7"/>
          <w:sz w:val="20"/>
        </w:rPr>
        <w:t> </w:t>
      </w:r>
      <w:r>
        <w:rPr>
          <w:sz w:val="20"/>
        </w:rPr>
        <w:t>issue,</w:t>
      </w:r>
      <w:r>
        <w:rPr>
          <w:spacing w:val="-7"/>
          <w:sz w:val="20"/>
        </w:rPr>
        <w:t> </w:t>
      </w:r>
      <w:r>
        <w:rPr>
          <w:sz w:val="20"/>
        </w:rPr>
        <w:t>but</w:t>
      </w:r>
      <w:r>
        <w:rPr>
          <w:spacing w:val="-7"/>
          <w:sz w:val="20"/>
        </w:rPr>
        <w:t> </w:t>
      </w:r>
      <w:r>
        <w:rPr>
          <w:sz w:val="20"/>
        </w:rPr>
        <w:t>observed</w:t>
      </w:r>
      <w:r>
        <w:rPr>
          <w:spacing w:val="-6"/>
          <w:sz w:val="20"/>
        </w:rPr>
        <w:t> </w:t>
      </w:r>
      <w:r>
        <w:rPr>
          <w:sz w:val="20"/>
        </w:rPr>
        <w:t>more</w:t>
      </w:r>
    </w:p>
    <w:p>
      <w:pPr>
        <w:pStyle w:val="BodyText"/>
        <w:spacing w:line="259" w:lineRule="exact"/>
        <w:ind w:left="1761"/>
      </w:pPr>
      <w:r>
        <w:rPr/>
        <w:t>broadly that:</w:t>
      </w:r>
    </w:p>
    <w:p>
      <w:pPr>
        <w:spacing w:line="208" w:lineRule="auto" w:before="112"/>
        <w:ind w:left="2157" w:right="1245" w:firstLine="0"/>
        <w:jc w:val="left"/>
        <w:rPr>
          <w:sz w:val="19"/>
        </w:rPr>
      </w:pPr>
      <w:r>
        <w:rPr>
          <w:sz w:val="19"/>
        </w:rPr>
        <w:t>In hearing excuses the Court considers the importance of a representative jury and the need to ensure a fair trial. Mere inconvenience to an individual is not sufficient reason to excuse. It is however appropriate to consider the extent to which the particular imposition on the individual would impact on their concentration and the discharge of their </w:t>
      </w:r>
      <w:r>
        <w:rPr>
          <w:spacing w:val="-3"/>
          <w:sz w:val="19"/>
        </w:rPr>
        <w:t>duty. </w:t>
      </w:r>
      <w:r>
        <w:rPr>
          <w:sz w:val="19"/>
        </w:rPr>
        <w:t>Some weight must attach to an individual’s own assessment of their capabilities, whether that be in their assessment of their capacity to bring an open mind to the case because of a particular experience, or their capacity to engage in all aspects of the jury process with</w:t>
      </w:r>
      <w:r>
        <w:rPr>
          <w:spacing w:val="-16"/>
          <w:sz w:val="19"/>
        </w:rPr>
        <w:t> </w:t>
      </w:r>
      <w:r>
        <w:rPr>
          <w:sz w:val="19"/>
        </w:rPr>
        <w:t>supports.</w:t>
      </w:r>
    </w:p>
    <w:p>
      <w:pPr>
        <w:spacing w:line="208" w:lineRule="auto" w:before="125"/>
        <w:ind w:left="2157" w:right="1277" w:firstLine="0"/>
        <w:jc w:val="left"/>
        <w:rPr>
          <w:sz w:val="11"/>
        </w:rPr>
      </w:pPr>
      <w:r>
        <w:rPr>
          <w:sz w:val="19"/>
        </w:rPr>
        <w:t>At whatever stage of the process an individual seeks to be excused there are options to maintain a level of privacy. If the person seeks to be excused on account of their disability but does not wish to reveal the reason in open court, they may write their excuse on a piece of paper after having sworn an oath or made an affirmation.</w:t>
      </w:r>
      <w:r>
        <w:rPr>
          <w:position w:val="6"/>
          <w:sz w:val="11"/>
        </w:rPr>
        <w:t>42</w:t>
      </w:r>
    </w:p>
    <w:p>
      <w:pPr>
        <w:pStyle w:val="BodyText"/>
        <w:spacing w:before="8"/>
        <w:rPr>
          <w:sz w:val="16"/>
        </w:rPr>
      </w:pPr>
    </w:p>
    <w:p>
      <w:pPr>
        <w:spacing w:before="0"/>
        <w:ind w:left="967" w:right="0" w:firstLine="0"/>
        <w:jc w:val="left"/>
        <w:rPr>
          <w:rFonts w:ascii="Raleway ExtraBold"/>
          <w:b/>
          <w:sz w:val="28"/>
        </w:rPr>
      </w:pPr>
      <w:r>
        <w:rPr>
          <w:rFonts w:ascii="Raleway ExtraBold"/>
          <w:b/>
          <w:color w:val="37617A"/>
          <w:sz w:val="28"/>
        </w:rPr>
        <w:t>Reasons why a person with disability might want to be excused</w:t>
      </w:r>
    </w:p>
    <w:p>
      <w:pPr>
        <w:pStyle w:val="ListParagraph"/>
        <w:numPr>
          <w:ilvl w:val="1"/>
          <w:numId w:val="12"/>
        </w:numPr>
        <w:tabs>
          <w:tab w:pos="1761" w:val="left" w:leader="none"/>
          <w:tab w:pos="1762" w:val="left" w:leader="none"/>
        </w:tabs>
        <w:spacing w:line="206" w:lineRule="auto" w:before="146" w:after="0"/>
        <w:ind w:left="1761" w:right="1269" w:hanging="794"/>
        <w:jc w:val="left"/>
        <w:rPr>
          <w:sz w:val="20"/>
        </w:rPr>
      </w:pPr>
      <w:r>
        <w:rPr>
          <w:sz w:val="20"/>
        </w:rPr>
        <w:t>The</w:t>
      </w:r>
      <w:r>
        <w:rPr>
          <w:spacing w:val="-8"/>
          <w:sz w:val="20"/>
        </w:rPr>
        <w:t> </w:t>
      </w:r>
      <w:r>
        <w:rPr>
          <w:spacing w:val="-3"/>
          <w:sz w:val="20"/>
        </w:rPr>
        <w:t>following</w:t>
      </w:r>
      <w:r>
        <w:rPr>
          <w:spacing w:val="-8"/>
          <w:sz w:val="20"/>
        </w:rPr>
        <w:t> </w:t>
      </w:r>
      <w:r>
        <w:rPr>
          <w:spacing w:val="-3"/>
          <w:sz w:val="20"/>
        </w:rPr>
        <w:t>examples</w:t>
      </w:r>
      <w:r>
        <w:rPr>
          <w:spacing w:val="-7"/>
          <w:sz w:val="20"/>
        </w:rPr>
        <w:t> </w:t>
      </w:r>
      <w:r>
        <w:rPr>
          <w:spacing w:val="-4"/>
          <w:sz w:val="20"/>
        </w:rPr>
        <w:t>were</w:t>
      </w:r>
      <w:r>
        <w:rPr>
          <w:spacing w:val="-8"/>
          <w:sz w:val="20"/>
        </w:rPr>
        <w:t> </w:t>
      </w:r>
      <w:r>
        <w:rPr>
          <w:sz w:val="20"/>
        </w:rPr>
        <w:t>suggested</w:t>
      </w:r>
      <w:r>
        <w:rPr>
          <w:spacing w:val="-7"/>
          <w:sz w:val="20"/>
        </w:rPr>
        <w:t> </w:t>
      </w:r>
      <w:r>
        <w:rPr>
          <w:sz w:val="20"/>
        </w:rPr>
        <w:t>to</w:t>
      </w:r>
      <w:r>
        <w:rPr>
          <w:spacing w:val="-8"/>
          <w:sz w:val="20"/>
        </w:rPr>
        <w:t> </w:t>
      </w:r>
      <w:r>
        <w:rPr>
          <w:sz w:val="20"/>
        </w:rPr>
        <w:t>the</w:t>
      </w:r>
      <w:r>
        <w:rPr>
          <w:spacing w:val="-8"/>
          <w:sz w:val="20"/>
        </w:rPr>
        <w:t> </w:t>
      </w:r>
      <w:r>
        <w:rPr>
          <w:sz w:val="20"/>
        </w:rPr>
        <w:t>Commission</w:t>
      </w:r>
      <w:r>
        <w:rPr>
          <w:spacing w:val="-7"/>
          <w:sz w:val="20"/>
        </w:rPr>
        <w:t> </w:t>
      </w:r>
      <w:r>
        <w:rPr>
          <w:sz w:val="20"/>
        </w:rPr>
        <w:t>as</w:t>
      </w:r>
      <w:r>
        <w:rPr>
          <w:spacing w:val="-8"/>
          <w:sz w:val="20"/>
        </w:rPr>
        <w:t> </w:t>
      </w:r>
      <w:r>
        <w:rPr>
          <w:sz w:val="20"/>
        </w:rPr>
        <w:t>possible</w:t>
      </w:r>
      <w:r>
        <w:rPr>
          <w:spacing w:val="-7"/>
          <w:sz w:val="20"/>
        </w:rPr>
        <w:t> </w:t>
      </w:r>
      <w:r>
        <w:rPr>
          <w:sz w:val="20"/>
        </w:rPr>
        <w:t>reasons</w:t>
      </w:r>
      <w:r>
        <w:rPr>
          <w:spacing w:val="-8"/>
          <w:sz w:val="20"/>
        </w:rPr>
        <w:t> </w:t>
      </w:r>
      <w:r>
        <w:rPr>
          <w:spacing w:val="-3"/>
          <w:sz w:val="20"/>
        </w:rPr>
        <w:t>why</w:t>
      </w:r>
      <w:r>
        <w:rPr>
          <w:spacing w:val="-7"/>
          <w:sz w:val="20"/>
        </w:rPr>
        <w:t> </w:t>
      </w:r>
      <w:r>
        <w:rPr>
          <w:sz w:val="20"/>
        </w:rPr>
        <w:t>a person </w:t>
      </w:r>
      <w:r>
        <w:rPr>
          <w:spacing w:val="-3"/>
          <w:sz w:val="20"/>
        </w:rPr>
        <w:t>from </w:t>
      </w:r>
      <w:r>
        <w:rPr>
          <w:sz w:val="20"/>
        </w:rPr>
        <w:t>the subject groups </w:t>
      </w:r>
      <w:r>
        <w:rPr>
          <w:spacing w:val="-3"/>
          <w:sz w:val="20"/>
        </w:rPr>
        <w:t>may </w:t>
      </w:r>
      <w:r>
        <w:rPr>
          <w:sz w:val="20"/>
        </w:rPr>
        <w:t>seek to be</w:t>
      </w:r>
      <w:r>
        <w:rPr>
          <w:spacing w:val="-34"/>
          <w:sz w:val="20"/>
        </w:rPr>
        <w:t> </w:t>
      </w:r>
      <w:r>
        <w:rPr>
          <w:spacing w:val="-3"/>
          <w:sz w:val="20"/>
        </w:rPr>
        <w:t>excused:</w:t>
      </w:r>
    </w:p>
    <w:p>
      <w:pPr>
        <w:pStyle w:val="ListParagraph"/>
        <w:numPr>
          <w:ilvl w:val="2"/>
          <w:numId w:val="12"/>
        </w:numPr>
        <w:tabs>
          <w:tab w:pos="2157" w:val="left" w:leader="none"/>
          <w:tab w:pos="2158" w:val="left" w:leader="none"/>
        </w:tabs>
        <w:spacing w:line="240" w:lineRule="auto" w:before="90" w:after="0"/>
        <w:ind w:left="2157" w:right="0" w:hanging="396"/>
        <w:jc w:val="left"/>
        <w:rPr>
          <w:sz w:val="20"/>
        </w:rPr>
      </w:pPr>
      <w:r>
        <w:rPr>
          <w:sz w:val="20"/>
        </w:rPr>
        <w:t>A</w:t>
      </w:r>
      <w:r>
        <w:rPr>
          <w:spacing w:val="-6"/>
          <w:sz w:val="20"/>
        </w:rPr>
        <w:t> </w:t>
      </w:r>
      <w:r>
        <w:rPr>
          <w:sz w:val="20"/>
        </w:rPr>
        <w:t>person</w:t>
      </w:r>
      <w:r>
        <w:rPr>
          <w:spacing w:val="-5"/>
          <w:sz w:val="20"/>
        </w:rPr>
        <w:t> </w:t>
      </w:r>
      <w:r>
        <w:rPr>
          <w:sz w:val="20"/>
        </w:rPr>
        <w:t>has</w:t>
      </w:r>
      <w:r>
        <w:rPr>
          <w:spacing w:val="-5"/>
          <w:sz w:val="20"/>
        </w:rPr>
        <w:t> </w:t>
      </w:r>
      <w:r>
        <w:rPr>
          <w:sz w:val="20"/>
        </w:rPr>
        <w:t>not</w:t>
      </w:r>
      <w:r>
        <w:rPr>
          <w:spacing w:val="-5"/>
          <w:sz w:val="20"/>
        </w:rPr>
        <w:t> </w:t>
      </w:r>
      <w:r>
        <w:rPr>
          <w:spacing w:val="-3"/>
          <w:sz w:val="20"/>
        </w:rPr>
        <w:t>yet</w:t>
      </w:r>
      <w:r>
        <w:rPr>
          <w:spacing w:val="-6"/>
          <w:sz w:val="20"/>
        </w:rPr>
        <w:t> </w:t>
      </w:r>
      <w:r>
        <w:rPr>
          <w:sz w:val="20"/>
        </w:rPr>
        <w:t>come</w:t>
      </w:r>
      <w:r>
        <w:rPr>
          <w:spacing w:val="-5"/>
          <w:sz w:val="20"/>
        </w:rPr>
        <w:t> </w:t>
      </w:r>
      <w:r>
        <w:rPr>
          <w:sz w:val="20"/>
        </w:rPr>
        <w:t>to</w:t>
      </w:r>
      <w:r>
        <w:rPr>
          <w:spacing w:val="-5"/>
          <w:sz w:val="20"/>
        </w:rPr>
        <w:t> </w:t>
      </w:r>
      <w:r>
        <w:rPr>
          <w:sz w:val="20"/>
        </w:rPr>
        <w:t>terms</w:t>
      </w:r>
      <w:r>
        <w:rPr>
          <w:spacing w:val="-5"/>
          <w:sz w:val="20"/>
        </w:rPr>
        <w:t> </w:t>
      </w:r>
      <w:r>
        <w:rPr>
          <w:sz w:val="20"/>
        </w:rPr>
        <w:t>with</w:t>
      </w:r>
      <w:r>
        <w:rPr>
          <w:spacing w:val="-6"/>
          <w:sz w:val="20"/>
        </w:rPr>
        <w:t> </w:t>
      </w:r>
      <w:r>
        <w:rPr>
          <w:spacing w:val="-3"/>
          <w:sz w:val="20"/>
        </w:rPr>
        <w:t>recent</w:t>
      </w:r>
      <w:r>
        <w:rPr>
          <w:spacing w:val="-5"/>
          <w:sz w:val="20"/>
        </w:rPr>
        <w:t> </w:t>
      </w:r>
      <w:r>
        <w:rPr>
          <w:sz w:val="20"/>
        </w:rPr>
        <w:t>onset</w:t>
      </w:r>
      <w:r>
        <w:rPr>
          <w:spacing w:val="-5"/>
          <w:sz w:val="20"/>
        </w:rPr>
        <w:t> </w:t>
      </w:r>
      <w:r>
        <w:rPr>
          <w:sz w:val="20"/>
        </w:rPr>
        <w:t>vision</w:t>
      </w:r>
      <w:r>
        <w:rPr>
          <w:spacing w:val="-5"/>
          <w:sz w:val="20"/>
        </w:rPr>
        <w:t> </w:t>
      </w:r>
      <w:r>
        <w:rPr>
          <w:sz w:val="20"/>
        </w:rPr>
        <w:t>or</w:t>
      </w:r>
      <w:r>
        <w:rPr>
          <w:spacing w:val="-6"/>
          <w:sz w:val="20"/>
        </w:rPr>
        <w:t> </w:t>
      </w:r>
      <w:r>
        <w:rPr>
          <w:sz w:val="20"/>
        </w:rPr>
        <w:t>hearing</w:t>
      </w:r>
      <w:r>
        <w:rPr>
          <w:spacing w:val="-5"/>
          <w:sz w:val="20"/>
        </w:rPr>
        <w:t> </w:t>
      </w:r>
      <w:r>
        <w:rPr>
          <w:sz w:val="20"/>
        </w:rPr>
        <w:t>loss.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A</w:t>
      </w:r>
      <w:r>
        <w:rPr>
          <w:spacing w:val="-6"/>
          <w:sz w:val="20"/>
        </w:rPr>
        <w:t> </w:t>
      </w:r>
      <w:r>
        <w:rPr>
          <w:sz w:val="20"/>
        </w:rPr>
        <w:t>person</w:t>
      </w:r>
      <w:r>
        <w:rPr>
          <w:spacing w:val="-5"/>
          <w:sz w:val="20"/>
        </w:rPr>
        <w:t> </w:t>
      </w:r>
      <w:r>
        <w:rPr>
          <w:sz w:val="20"/>
        </w:rPr>
        <w:t>feels</w:t>
      </w:r>
      <w:r>
        <w:rPr>
          <w:spacing w:val="-6"/>
          <w:sz w:val="20"/>
        </w:rPr>
        <w:t> </w:t>
      </w:r>
      <w:r>
        <w:rPr>
          <w:sz w:val="20"/>
        </w:rPr>
        <w:t>apprehensive</w:t>
      </w:r>
      <w:r>
        <w:rPr>
          <w:spacing w:val="-5"/>
          <w:sz w:val="20"/>
        </w:rPr>
        <w:t> </w:t>
      </w:r>
      <w:r>
        <w:rPr>
          <w:sz w:val="20"/>
        </w:rPr>
        <w:t>about</w:t>
      </w:r>
      <w:r>
        <w:rPr>
          <w:spacing w:val="-6"/>
          <w:sz w:val="20"/>
        </w:rPr>
        <w:t> </w:t>
      </w:r>
      <w:r>
        <w:rPr>
          <w:sz w:val="20"/>
        </w:rPr>
        <w:t>being</w:t>
      </w:r>
      <w:r>
        <w:rPr>
          <w:spacing w:val="-5"/>
          <w:sz w:val="20"/>
        </w:rPr>
        <w:t> </w:t>
      </w:r>
      <w:r>
        <w:rPr>
          <w:spacing w:val="-4"/>
          <w:sz w:val="20"/>
        </w:rPr>
        <w:t>involved</w:t>
      </w:r>
      <w:r>
        <w:rPr>
          <w:spacing w:val="-5"/>
          <w:sz w:val="20"/>
        </w:rPr>
        <w:t> </w:t>
      </w:r>
      <w:r>
        <w:rPr>
          <w:sz w:val="20"/>
        </w:rPr>
        <w:t>in</w:t>
      </w:r>
      <w:r>
        <w:rPr>
          <w:spacing w:val="-6"/>
          <w:sz w:val="20"/>
        </w:rPr>
        <w:t> </w:t>
      </w:r>
      <w:r>
        <w:rPr>
          <w:sz w:val="20"/>
        </w:rPr>
        <w:t>an</w:t>
      </w:r>
      <w:r>
        <w:rPr>
          <w:spacing w:val="-5"/>
          <w:sz w:val="20"/>
        </w:rPr>
        <w:t> </w:t>
      </w:r>
      <w:r>
        <w:rPr>
          <w:sz w:val="20"/>
        </w:rPr>
        <w:t>unfamiliar</w:t>
      </w:r>
      <w:r>
        <w:rPr>
          <w:spacing w:val="-6"/>
          <w:sz w:val="20"/>
        </w:rPr>
        <w:t> </w:t>
      </w:r>
      <w:r>
        <w:rPr>
          <w:sz w:val="20"/>
        </w:rPr>
        <w:t>process.</w:t>
      </w:r>
    </w:p>
    <w:p>
      <w:pPr>
        <w:pStyle w:val="BodyText"/>
        <w:spacing w:before="2"/>
        <w:rPr>
          <w:sz w:val="25"/>
        </w:rPr>
      </w:pPr>
      <w:r>
        <w:rPr/>
        <w:pict>
          <v:line style="position:absolute;mso-position-horizontal-relative:page;mso-position-vertical-relative:paragraph;z-index:9752;mso-wrap-distance-left:0;mso-wrap-distance-right:0" from="79.370102pt,19.946699pt" to="515.905102pt,19.946699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spacing w:before="7"/>
        <w:rPr>
          <w:sz w:val="38"/>
        </w:rPr>
      </w:pPr>
    </w:p>
    <w:p>
      <w:pPr>
        <w:spacing w:before="0"/>
        <w:ind w:left="100" w:right="0" w:firstLine="0"/>
        <w:jc w:val="left"/>
        <w:rPr>
          <w:b/>
          <w:sz w:val="24"/>
        </w:rPr>
      </w:pPr>
      <w:r>
        <w:rPr>
          <w:b/>
          <w:color w:val="37617A"/>
          <w:sz w:val="24"/>
        </w:rPr>
        <w:t>186</w:t>
      </w:r>
    </w:p>
    <w:p>
      <w:pPr>
        <w:pStyle w:val="ListParagraph"/>
        <w:numPr>
          <w:ilvl w:val="0"/>
          <w:numId w:val="110"/>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pacing w:val="2"/>
          <w:sz w:val="13"/>
        </w:rPr>
        <w:t>Online </w:t>
      </w:r>
      <w:r>
        <w:rPr>
          <w:sz w:val="13"/>
        </w:rPr>
        <w:t>Survey (Response</w:t>
      </w:r>
      <w:r>
        <w:rPr>
          <w:spacing w:val="-2"/>
          <w:sz w:val="13"/>
        </w:rPr>
        <w:t> </w:t>
      </w:r>
      <w:r>
        <w:rPr>
          <w:sz w:val="13"/>
        </w:rPr>
        <w:t>13).</w:t>
      </w:r>
    </w:p>
    <w:p>
      <w:pPr>
        <w:pStyle w:val="ListParagraph"/>
        <w:numPr>
          <w:ilvl w:val="0"/>
          <w:numId w:val="110"/>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13 </w:t>
      </w:r>
      <w:r>
        <w:rPr>
          <w:spacing w:val="2"/>
          <w:sz w:val="13"/>
        </w:rPr>
        <w:t>(Juries</w:t>
      </w:r>
      <w:r>
        <w:rPr>
          <w:spacing w:val="-2"/>
          <w:sz w:val="13"/>
        </w:rPr>
        <w:t> </w:t>
      </w:r>
      <w:r>
        <w:rPr>
          <w:sz w:val="13"/>
        </w:rPr>
        <w:t>Victoria).</w:t>
      </w:r>
    </w:p>
    <w:p>
      <w:pPr>
        <w:pStyle w:val="ListParagraph"/>
        <w:numPr>
          <w:ilvl w:val="0"/>
          <w:numId w:val="110"/>
        </w:numPr>
        <w:tabs>
          <w:tab w:pos="893" w:val="left" w:leader="none"/>
          <w:tab w:pos="894" w:val="left" w:leader="none"/>
        </w:tabs>
        <w:spacing w:line="160" w:lineRule="exact" w:before="0" w:after="0"/>
        <w:ind w:left="893" w:right="0" w:hanging="793"/>
        <w:jc w:val="left"/>
        <w:rPr>
          <w:sz w:val="13"/>
        </w:rPr>
      </w:pPr>
      <w:r>
        <w:rPr>
          <w:spacing w:val="2"/>
          <w:sz w:val="13"/>
        </w:rPr>
        <w:t>Submissions </w:t>
      </w:r>
      <w:r>
        <w:rPr>
          <w:sz w:val="13"/>
        </w:rPr>
        <w:t>10 (Law Institute of Victoria), 11 </w:t>
      </w:r>
      <w:r>
        <w:rPr>
          <w:spacing w:val="2"/>
          <w:sz w:val="13"/>
        </w:rPr>
        <w:t>(Victoria </w:t>
      </w:r>
      <w:r>
        <w:rPr>
          <w:sz w:val="13"/>
        </w:rPr>
        <w:t>Legal Aid); Consultation 16 (Office of </w:t>
      </w:r>
      <w:r>
        <w:rPr>
          <w:spacing w:val="2"/>
          <w:sz w:val="13"/>
        </w:rPr>
        <w:t>Public </w:t>
      </w:r>
      <w:r>
        <w:rPr>
          <w:sz w:val="13"/>
        </w:rPr>
        <w:t>Prosecutions</w:t>
      </w:r>
      <w:r>
        <w:rPr>
          <w:spacing w:val="16"/>
          <w:sz w:val="13"/>
        </w:rPr>
        <w:t> </w:t>
      </w:r>
      <w:r>
        <w:rPr>
          <w:sz w:val="13"/>
        </w:rPr>
        <w:t>Victoria).</w:t>
      </w:r>
    </w:p>
    <w:p>
      <w:pPr>
        <w:pStyle w:val="ListParagraph"/>
        <w:numPr>
          <w:ilvl w:val="0"/>
          <w:numId w:val="110"/>
        </w:numPr>
        <w:tabs>
          <w:tab w:pos="893" w:val="left" w:leader="none"/>
          <w:tab w:pos="894" w:val="left" w:leader="none"/>
        </w:tabs>
        <w:spacing w:line="160" w:lineRule="exact" w:before="0" w:after="0"/>
        <w:ind w:left="893" w:right="0" w:hanging="793"/>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pStyle w:val="ListParagraph"/>
        <w:numPr>
          <w:ilvl w:val="0"/>
          <w:numId w:val="110"/>
        </w:numPr>
        <w:tabs>
          <w:tab w:pos="893" w:val="left" w:leader="none"/>
          <w:tab w:pos="894" w:val="left" w:leader="none"/>
        </w:tabs>
        <w:spacing w:line="170" w:lineRule="exact" w:before="0" w:after="0"/>
        <w:ind w:left="893" w:right="0" w:hanging="793"/>
        <w:jc w:val="left"/>
        <w:rPr>
          <w:sz w:val="13"/>
        </w:rPr>
      </w:pPr>
      <w:r>
        <w:rPr>
          <w:spacing w:val="2"/>
          <w:sz w:val="13"/>
        </w:rPr>
        <w:t>Submission </w:t>
      </w:r>
      <w:r>
        <w:rPr>
          <w:sz w:val="13"/>
        </w:rPr>
        <w:t>11 (Supreme </w:t>
      </w:r>
      <w:r>
        <w:rPr>
          <w:spacing w:val="2"/>
          <w:sz w:val="13"/>
        </w:rPr>
        <w:t>Court </w:t>
      </w:r>
      <w:r>
        <w:rPr>
          <w:sz w:val="13"/>
        </w:rPr>
        <w:t>of</w:t>
      </w:r>
      <w:r>
        <w:rPr>
          <w:spacing w:val="-4"/>
          <w:sz w:val="13"/>
        </w:rPr>
        <w:t> </w:t>
      </w:r>
      <w:r>
        <w:rPr>
          <w:sz w:val="13"/>
        </w:rPr>
        <w:t>Victoria).</w:t>
      </w:r>
    </w:p>
    <w:p>
      <w:pPr>
        <w:spacing w:after="0" w:line="170" w:lineRule="exact"/>
        <w:jc w:val="left"/>
        <w:rPr>
          <w:sz w:val="13"/>
        </w:rPr>
        <w:sectPr>
          <w:type w:val="continuous"/>
          <w:pgSz w:w="11910" w:h="16840"/>
          <w:pgMar w:top="620" w:bottom="280" w:left="620" w:right="380"/>
          <w:cols w:num="2" w:equalWidth="0">
            <w:col w:w="547" w:space="321"/>
            <w:col w:w="10042"/>
          </w:cols>
        </w:sectPr>
      </w:pPr>
    </w:p>
    <w:p>
      <w:pPr>
        <w:pStyle w:val="BodyText"/>
      </w:pPr>
    </w:p>
    <w:p>
      <w:pPr>
        <w:pStyle w:val="BodyText"/>
      </w:pPr>
    </w:p>
    <w:p>
      <w:pPr>
        <w:pStyle w:val="BodyText"/>
      </w:pPr>
    </w:p>
    <w:p>
      <w:pPr>
        <w:pStyle w:val="BodyText"/>
        <w:spacing w:before="6"/>
        <w:rPr>
          <w:sz w:val="14"/>
        </w:rPr>
      </w:pPr>
    </w:p>
    <w:p>
      <w:pPr>
        <w:pStyle w:val="ListParagraph"/>
        <w:numPr>
          <w:ilvl w:val="1"/>
          <w:numId w:val="110"/>
        </w:numPr>
        <w:tabs>
          <w:tab w:pos="2158" w:val="left" w:leader="none"/>
        </w:tabs>
        <w:spacing w:line="206" w:lineRule="auto" w:before="90" w:after="0"/>
        <w:ind w:left="2157" w:right="1245" w:hanging="396"/>
        <w:jc w:val="both"/>
        <w:rPr>
          <w:sz w:val="11"/>
        </w:rPr>
      </w:pPr>
      <w:bookmarkStart w:name="Excuses should only be available for the" w:id="324"/>
      <w:bookmarkEnd w:id="324"/>
      <w:r>
        <w:rPr/>
      </w:r>
      <w:bookmarkStart w:name="_bookmark137" w:id="325"/>
      <w:bookmarkEnd w:id="325"/>
      <w:r>
        <w:rPr/>
      </w:r>
      <w:bookmarkStart w:name="_bookmark137" w:id="326"/>
      <w:bookmarkEnd w:id="326"/>
      <w:r>
        <w:rPr>
          <w:sz w:val="20"/>
        </w:rPr>
        <w:t>O</w:t>
      </w:r>
      <w:r>
        <w:rPr>
          <w:sz w:val="20"/>
        </w:rPr>
        <w:t>ne</w:t>
      </w:r>
      <w:r>
        <w:rPr>
          <w:spacing w:val="-11"/>
          <w:sz w:val="20"/>
        </w:rPr>
        <w:t> </w:t>
      </w:r>
      <w:r>
        <w:rPr>
          <w:sz w:val="20"/>
        </w:rPr>
        <w:t>Blind</w:t>
      </w:r>
      <w:r>
        <w:rPr>
          <w:spacing w:val="-10"/>
          <w:sz w:val="20"/>
        </w:rPr>
        <w:t> </w:t>
      </w:r>
      <w:r>
        <w:rPr>
          <w:spacing w:val="-3"/>
          <w:sz w:val="20"/>
        </w:rPr>
        <w:t>Citizens</w:t>
      </w:r>
      <w:r>
        <w:rPr>
          <w:spacing w:val="-10"/>
          <w:sz w:val="20"/>
        </w:rPr>
        <w:t> </w:t>
      </w:r>
      <w:r>
        <w:rPr>
          <w:sz w:val="20"/>
        </w:rPr>
        <w:t>Australia</w:t>
      </w:r>
      <w:r>
        <w:rPr>
          <w:spacing w:val="-10"/>
          <w:sz w:val="20"/>
        </w:rPr>
        <w:t> </w:t>
      </w:r>
      <w:r>
        <w:rPr>
          <w:sz w:val="20"/>
        </w:rPr>
        <w:t>consultee</w:t>
      </w:r>
      <w:r>
        <w:rPr>
          <w:spacing w:val="-10"/>
          <w:sz w:val="20"/>
        </w:rPr>
        <w:t> </w:t>
      </w:r>
      <w:r>
        <w:rPr>
          <w:sz w:val="20"/>
        </w:rPr>
        <w:t>observed</w:t>
      </w:r>
      <w:r>
        <w:rPr>
          <w:spacing w:val="-11"/>
          <w:sz w:val="20"/>
        </w:rPr>
        <w:t> </w:t>
      </w:r>
      <w:r>
        <w:rPr>
          <w:sz w:val="20"/>
        </w:rPr>
        <w:t>that</w:t>
      </w:r>
      <w:r>
        <w:rPr>
          <w:spacing w:val="-10"/>
          <w:sz w:val="20"/>
        </w:rPr>
        <w:t> </w:t>
      </w:r>
      <w:r>
        <w:rPr>
          <w:sz w:val="20"/>
        </w:rPr>
        <w:t>service</w:t>
      </w:r>
      <w:r>
        <w:rPr>
          <w:spacing w:val="-10"/>
          <w:sz w:val="20"/>
        </w:rPr>
        <w:t> </w:t>
      </w:r>
      <w:r>
        <w:rPr>
          <w:sz w:val="20"/>
        </w:rPr>
        <w:t>might</w:t>
      </w:r>
      <w:r>
        <w:rPr>
          <w:spacing w:val="-10"/>
          <w:sz w:val="20"/>
        </w:rPr>
        <w:t> </w:t>
      </w:r>
      <w:r>
        <w:rPr>
          <w:sz w:val="20"/>
        </w:rPr>
        <w:t>be</w:t>
      </w:r>
      <w:r>
        <w:rPr>
          <w:spacing w:val="-10"/>
          <w:sz w:val="20"/>
        </w:rPr>
        <w:t> </w:t>
      </w:r>
      <w:r>
        <w:rPr>
          <w:sz w:val="20"/>
        </w:rPr>
        <w:t>possible</w:t>
      </w:r>
      <w:r>
        <w:rPr>
          <w:spacing w:val="-11"/>
          <w:sz w:val="20"/>
        </w:rPr>
        <w:t> </w:t>
      </w:r>
      <w:r>
        <w:rPr>
          <w:sz w:val="20"/>
        </w:rPr>
        <w:t>for people</w:t>
      </w:r>
      <w:r>
        <w:rPr>
          <w:spacing w:val="-10"/>
          <w:sz w:val="20"/>
        </w:rPr>
        <w:t> </w:t>
      </w:r>
      <w:r>
        <w:rPr>
          <w:sz w:val="20"/>
        </w:rPr>
        <w:t>who</w:t>
      </w:r>
      <w:r>
        <w:rPr>
          <w:spacing w:val="-9"/>
          <w:sz w:val="20"/>
        </w:rPr>
        <w:t> </w:t>
      </w:r>
      <w:r>
        <w:rPr>
          <w:spacing w:val="-4"/>
          <w:sz w:val="20"/>
        </w:rPr>
        <w:t>have</w:t>
      </w:r>
      <w:r>
        <w:rPr>
          <w:spacing w:val="-9"/>
          <w:sz w:val="20"/>
        </w:rPr>
        <w:t> </w:t>
      </w:r>
      <w:r>
        <w:rPr>
          <w:sz w:val="20"/>
        </w:rPr>
        <w:t>gone</w:t>
      </w:r>
      <w:r>
        <w:rPr>
          <w:spacing w:val="-9"/>
          <w:sz w:val="20"/>
        </w:rPr>
        <w:t> </w:t>
      </w:r>
      <w:r>
        <w:rPr>
          <w:sz w:val="20"/>
        </w:rPr>
        <w:t>to</w:t>
      </w:r>
      <w:r>
        <w:rPr>
          <w:spacing w:val="-10"/>
          <w:sz w:val="20"/>
        </w:rPr>
        <w:t> </w:t>
      </w:r>
      <w:r>
        <w:rPr>
          <w:sz w:val="20"/>
        </w:rPr>
        <w:t>sighted</w:t>
      </w:r>
      <w:r>
        <w:rPr>
          <w:spacing w:val="-9"/>
          <w:sz w:val="20"/>
        </w:rPr>
        <w:t> </w:t>
      </w:r>
      <w:r>
        <w:rPr>
          <w:sz w:val="20"/>
        </w:rPr>
        <w:t>school</w:t>
      </w:r>
      <w:r>
        <w:rPr>
          <w:spacing w:val="-9"/>
          <w:sz w:val="20"/>
        </w:rPr>
        <w:t> </w:t>
      </w:r>
      <w:r>
        <w:rPr>
          <w:sz w:val="20"/>
        </w:rPr>
        <w:t>but</w:t>
      </w:r>
      <w:r>
        <w:rPr>
          <w:spacing w:val="-9"/>
          <w:sz w:val="20"/>
        </w:rPr>
        <w:t> </w:t>
      </w:r>
      <w:r>
        <w:rPr>
          <w:sz w:val="20"/>
        </w:rPr>
        <w:t>much</w:t>
      </w:r>
      <w:r>
        <w:rPr>
          <w:spacing w:val="-10"/>
          <w:sz w:val="20"/>
        </w:rPr>
        <w:t> </w:t>
      </w:r>
      <w:r>
        <w:rPr>
          <w:sz w:val="20"/>
        </w:rPr>
        <w:t>harder</w:t>
      </w:r>
      <w:r>
        <w:rPr>
          <w:spacing w:val="-9"/>
          <w:sz w:val="20"/>
        </w:rPr>
        <w:t> </w:t>
      </w:r>
      <w:r>
        <w:rPr>
          <w:sz w:val="20"/>
        </w:rPr>
        <w:t>for</w:t>
      </w:r>
      <w:r>
        <w:rPr>
          <w:spacing w:val="-9"/>
          <w:sz w:val="20"/>
        </w:rPr>
        <w:t> </w:t>
      </w:r>
      <w:r>
        <w:rPr>
          <w:sz w:val="20"/>
        </w:rPr>
        <w:t>those</w:t>
      </w:r>
      <w:r>
        <w:rPr>
          <w:spacing w:val="-9"/>
          <w:sz w:val="20"/>
        </w:rPr>
        <w:t> </w:t>
      </w:r>
      <w:r>
        <w:rPr>
          <w:sz w:val="20"/>
        </w:rPr>
        <w:t>who</w:t>
      </w:r>
      <w:r>
        <w:rPr>
          <w:spacing w:val="-10"/>
          <w:sz w:val="20"/>
        </w:rPr>
        <w:t> </w:t>
      </w:r>
      <w:r>
        <w:rPr>
          <w:sz w:val="20"/>
        </w:rPr>
        <w:t>did</w:t>
      </w:r>
      <w:r>
        <w:rPr>
          <w:spacing w:val="-9"/>
          <w:sz w:val="20"/>
        </w:rPr>
        <w:t> </w:t>
      </w:r>
      <w:r>
        <w:rPr>
          <w:sz w:val="20"/>
        </w:rPr>
        <w:t>not</w:t>
      </w:r>
      <w:r>
        <w:rPr>
          <w:spacing w:val="-9"/>
          <w:sz w:val="20"/>
        </w:rPr>
        <w:t> </w:t>
      </w:r>
      <w:r>
        <w:rPr>
          <w:sz w:val="20"/>
        </w:rPr>
        <w:t>or who do not </w:t>
      </w:r>
      <w:r>
        <w:rPr>
          <w:spacing w:val="-4"/>
          <w:sz w:val="20"/>
        </w:rPr>
        <w:t>have </w:t>
      </w:r>
      <w:r>
        <w:rPr>
          <w:sz w:val="20"/>
        </w:rPr>
        <w:t>a good grasp of</w:t>
      </w:r>
      <w:r>
        <w:rPr>
          <w:spacing w:val="-32"/>
          <w:sz w:val="20"/>
        </w:rPr>
        <w:t> </w:t>
      </w:r>
      <w:r>
        <w:rPr>
          <w:sz w:val="20"/>
        </w:rPr>
        <w:t>technology.</w:t>
      </w:r>
      <w:r>
        <w:rPr>
          <w:position w:val="7"/>
          <w:sz w:val="11"/>
        </w:rPr>
        <w:t>43</w:t>
      </w:r>
    </w:p>
    <w:p>
      <w:pPr>
        <w:pStyle w:val="ListParagraph"/>
        <w:numPr>
          <w:ilvl w:val="1"/>
          <w:numId w:val="110"/>
        </w:numPr>
        <w:tabs>
          <w:tab w:pos="2158" w:val="left" w:leader="none"/>
        </w:tabs>
        <w:spacing w:line="206" w:lineRule="auto" w:before="89" w:after="0"/>
        <w:ind w:left="2157" w:right="1405" w:hanging="396"/>
        <w:jc w:val="both"/>
        <w:rPr>
          <w:sz w:val="20"/>
        </w:rPr>
      </w:pPr>
      <w:r>
        <w:rPr>
          <w:sz w:val="20"/>
        </w:rPr>
        <w:t>A</w:t>
      </w:r>
      <w:r>
        <w:rPr>
          <w:spacing w:val="-12"/>
          <w:sz w:val="20"/>
        </w:rPr>
        <w:t> </w:t>
      </w:r>
      <w:r>
        <w:rPr>
          <w:sz w:val="20"/>
        </w:rPr>
        <w:t>person</w:t>
      </w:r>
      <w:r>
        <w:rPr>
          <w:spacing w:val="-12"/>
          <w:sz w:val="20"/>
        </w:rPr>
        <w:t> </w:t>
      </w:r>
      <w:r>
        <w:rPr>
          <w:sz w:val="20"/>
        </w:rPr>
        <w:t>is</w:t>
      </w:r>
      <w:r>
        <w:rPr>
          <w:spacing w:val="-12"/>
          <w:sz w:val="20"/>
        </w:rPr>
        <w:t> </w:t>
      </w:r>
      <w:r>
        <w:rPr>
          <w:sz w:val="20"/>
        </w:rPr>
        <w:t>concerned</w:t>
      </w:r>
      <w:r>
        <w:rPr>
          <w:spacing w:val="-12"/>
          <w:sz w:val="20"/>
        </w:rPr>
        <w:t> </w:t>
      </w:r>
      <w:r>
        <w:rPr>
          <w:sz w:val="20"/>
        </w:rPr>
        <w:t>about</w:t>
      </w:r>
      <w:r>
        <w:rPr>
          <w:spacing w:val="-12"/>
          <w:sz w:val="20"/>
        </w:rPr>
        <w:t> </w:t>
      </w:r>
      <w:r>
        <w:rPr>
          <w:sz w:val="20"/>
        </w:rPr>
        <w:t>being</w:t>
      </w:r>
      <w:r>
        <w:rPr>
          <w:spacing w:val="-12"/>
          <w:sz w:val="20"/>
        </w:rPr>
        <w:t> </w:t>
      </w:r>
      <w:r>
        <w:rPr>
          <w:sz w:val="20"/>
        </w:rPr>
        <w:t>more</w:t>
      </w:r>
      <w:r>
        <w:rPr>
          <w:spacing w:val="-11"/>
          <w:sz w:val="20"/>
        </w:rPr>
        <w:t> </w:t>
      </w:r>
      <w:r>
        <w:rPr>
          <w:sz w:val="20"/>
        </w:rPr>
        <w:t>easily</w:t>
      </w:r>
      <w:r>
        <w:rPr>
          <w:spacing w:val="-12"/>
          <w:sz w:val="20"/>
        </w:rPr>
        <w:t> </w:t>
      </w:r>
      <w:r>
        <w:rPr>
          <w:sz w:val="20"/>
        </w:rPr>
        <w:t>identifiable</w:t>
      </w:r>
      <w:r>
        <w:rPr>
          <w:spacing w:val="-12"/>
          <w:sz w:val="20"/>
        </w:rPr>
        <w:t> </w:t>
      </w:r>
      <w:r>
        <w:rPr>
          <w:sz w:val="20"/>
        </w:rPr>
        <w:t>in</w:t>
      </w:r>
      <w:r>
        <w:rPr>
          <w:spacing w:val="-12"/>
          <w:sz w:val="20"/>
        </w:rPr>
        <w:t> </w:t>
      </w:r>
      <w:r>
        <w:rPr>
          <w:sz w:val="20"/>
        </w:rPr>
        <w:t>the</w:t>
      </w:r>
      <w:r>
        <w:rPr>
          <w:spacing w:val="-12"/>
          <w:sz w:val="20"/>
        </w:rPr>
        <w:t> </w:t>
      </w:r>
      <w:r>
        <w:rPr>
          <w:sz w:val="20"/>
        </w:rPr>
        <w:t>community</w:t>
      </w:r>
      <w:r>
        <w:rPr>
          <w:spacing w:val="-12"/>
          <w:sz w:val="20"/>
        </w:rPr>
        <w:t> </w:t>
      </w:r>
      <w:r>
        <w:rPr>
          <w:sz w:val="20"/>
        </w:rPr>
        <w:t>in</w:t>
      </w:r>
      <w:r>
        <w:rPr>
          <w:spacing w:val="-11"/>
          <w:sz w:val="20"/>
        </w:rPr>
        <w:t> </w:t>
      </w:r>
      <w:r>
        <w:rPr>
          <w:sz w:val="20"/>
        </w:rPr>
        <w:t>a high-profile</w:t>
      </w:r>
      <w:r>
        <w:rPr>
          <w:spacing w:val="-15"/>
          <w:sz w:val="20"/>
        </w:rPr>
        <w:t> </w:t>
      </w:r>
      <w:r>
        <w:rPr>
          <w:sz w:val="20"/>
        </w:rPr>
        <w:t>trial,</w:t>
      </w:r>
      <w:r>
        <w:rPr>
          <w:spacing w:val="-14"/>
          <w:sz w:val="20"/>
        </w:rPr>
        <w:t> </w:t>
      </w:r>
      <w:r>
        <w:rPr>
          <w:sz w:val="20"/>
        </w:rPr>
        <w:t>particularly</w:t>
      </w:r>
      <w:r>
        <w:rPr>
          <w:spacing w:val="-15"/>
          <w:sz w:val="20"/>
        </w:rPr>
        <w:t> </w:t>
      </w:r>
      <w:r>
        <w:rPr>
          <w:sz w:val="20"/>
        </w:rPr>
        <w:t>in</w:t>
      </w:r>
      <w:r>
        <w:rPr>
          <w:spacing w:val="-14"/>
          <w:sz w:val="20"/>
        </w:rPr>
        <w:t> </w:t>
      </w:r>
      <w:r>
        <w:rPr>
          <w:sz w:val="20"/>
        </w:rPr>
        <w:t>a</w:t>
      </w:r>
      <w:r>
        <w:rPr>
          <w:spacing w:val="-14"/>
          <w:sz w:val="20"/>
        </w:rPr>
        <w:t> </w:t>
      </w:r>
      <w:r>
        <w:rPr>
          <w:sz w:val="20"/>
        </w:rPr>
        <w:t>regional</w:t>
      </w:r>
      <w:r>
        <w:rPr>
          <w:spacing w:val="-15"/>
          <w:sz w:val="20"/>
        </w:rPr>
        <w:t> </w:t>
      </w:r>
      <w:r>
        <w:rPr>
          <w:sz w:val="20"/>
        </w:rPr>
        <w:t>area.</w:t>
      </w:r>
      <w:r>
        <w:rPr>
          <w:spacing w:val="-14"/>
          <w:sz w:val="20"/>
        </w:rPr>
        <w:t> </w:t>
      </w:r>
      <w:r>
        <w:rPr>
          <w:sz w:val="20"/>
        </w:rPr>
        <w:t>One</w:t>
      </w:r>
      <w:r>
        <w:rPr>
          <w:spacing w:val="-14"/>
          <w:sz w:val="20"/>
        </w:rPr>
        <w:t> </w:t>
      </w:r>
      <w:r>
        <w:rPr>
          <w:sz w:val="20"/>
        </w:rPr>
        <w:t>person</w:t>
      </w:r>
      <w:r>
        <w:rPr>
          <w:spacing w:val="-15"/>
          <w:sz w:val="20"/>
        </w:rPr>
        <w:t> </w:t>
      </w:r>
      <w:r>
        <w:rPr>
          <w:sz w:val="20"/>
        </w:rPr>
        <w:t>shared</w:t>
      </w:r>
      <w:r>
        <w:rPr>
          <w:spacing w:val="-14"/>
          <w:sz w:val="20"/>
        </w:rPr>
        <w:t> </w:t>
      </w:r>
      <w:r>
        <w:rPr>
          <w:sz w:val="20"/>
        </w:rPr>
        <w:t>their</w:t>
      </w:r>
      <w:r>
        <w:rPr>
          <w:spacing w:val="-15"/>
          <w:sz w:val="20"/>
        </w:rPr>
        <w:t> </w:t>
      </w:r>
      <w:r>
        <w:rPr>
          <w:sz w:val="20"/>
        </w:rPr>
        <w:t>concerns about</w:t>
      </w:r>
      <w:r>
        <w:rPr>
          <w:spacing w:val="-5"/>
          <w:sz w:val="20"/>
        </w:rPr>
        <w:t> </w:t>
      </w:r>
      <w:r>
        <w:rPr>
          <w:sz w:val="20"/>
        </w:rPr>
        <w:t>this:</w:t>
      </w:r>
    </w:p>
    <w:p>
      <w:pPr>
        <w:spacing w:line="208" w:lineRule="auto" w:before="86"/>
        <w:ind w:left="2157" w:right="1335" w:firstLine="0"/>
        <w:jc w:val="left"/>
        <w:rPr>
          <w:sz w:val="11"/>
        </w:rPr>
      </w:pPr>
      <w:r>
        <w:rPr>
          <w:sz w:val="19"/>
        </w:rPr>
        <w:t>I have a real concern about standing out and not being able to blend in with other jurors. Country people who are blind or vision impaired tend to be noticed. My concern is serving on a jury and having someone approach me whilst I’m out shopping because they have recognized me from a case and want to express their opinion on the case/verdict. Or abuse me because they didn’t agree with the jury’s decision.</w:t>
      </w:r>
      <w:r>
        <w:rPr>
          <w:position w:val="6"/>
          <w:sz w:val="11"/>
        </w:rPr>
        <w:t>44</w:t>
      </w:r>
    </w:p>
    <w:p>
      <w:pPr>
        <w:pStyle w:val="ListParagraph"/>
        <w:numPr>
          <w:ilvl w:val="1"/>
          <w:numId w:val="110"/>
        </w:numPr>
        <w:tabs>
          <w:tab w:pos="2157" w:val="left" w:leader="none"/>
          <w:tab w:pos="2158" w:val="left" w:leader="none"/>
        </w:tabs>
        <w:spacing w:line="206" w:lineRule="auto" w:before="126" w:after="0"/>
        <w:ind w:left="2157" w:right="2147" w:hanging="396"/>
        <w:jc w:val="left"/>
        <w:rPr>
          <w:sz w:val="20"/>
        </w:rPr>
      </w:pPr>
      <w:r>
        <w:rPr>
          <w:sz w:val="20"/>
        </w:rPr>
        <w:t>A</w:t>
      </w:r>
      <w:r>
        <w:rPr>
          <w:spacing w:val="-13"/>
          <w:sz w:val="20"/>
        </w:rPr>
        <w:t> </w:t>
      </w:r>
      <w:r>
        <w:rPr>
          <w:sz w:val="20"/>
        </w:rPr>
        <w:t>person</w:t>
      </w:r>
      <w:r>
        <w:rPr>
          <w:spacing w:val="-12"/>
          <w:sz w:val="20"/>
        </w:rPr>
        <w:t> </w:t>
      </w:r>
      <w:r>
        <w:rPr>
          <w:sz w:val="20"/>
        </w:rPr>
        <w:t>considers</w:t>
      </w:r>
      <w:r>
        <w:rPr>
          <w:spacing w:val="-12"/>
          <w:sz w:val="20"/>
        </w:rPr>
        <w:t> </w:t>
      </w:r>
      <w:r>
        <w:rPr>
          <w:sz w:val="20"/>
        </w:rPr>
        <w:t>that</w:t>
      </w:r>
      <w:r>
        <w:rPr>
          <w:spacing w:val="-13"/>
          <w:sz w:val="20"/>
        </w:rPr>
        <w:t> </w:t>
      </w:r>
      <w:r>
        <w:rPr>
          <w:sz w:val="20"/>
        </w:rPr>
        <w:t>the</w:t>
      </w:r>
      <w:r>
        <w:rPr>
          <w:spacing w:val="-12"/>
          <w:sz w:val="20"/>
        </w:rPr>
        <w:t> </w:t>
      </w:r>
      <w:r>
        <w:rPr>
          <w:sz w:val="20"/>
        </w:rPr>
        <w:t>adjustments</w:t>
      </w:r>
      <w:r>
        <w:rPr>
          <w:spacing w:val="-12"/>
          <w:sz w:val="20"/>
        </w:rPr>
        <w:t> </w:t>
      </w:r>
      <w:r>
        <w:rPr>
          <w:spacing w:val="-3"/>
          <w:sz w:val="20"/>
        </w:rPr>
        <w:t>are</w:t>
      </w:r>
      <w:r>
        <w:rPr>
          <w:spacing w:val="-13"/>
          <w:sz w:val="20"/>
        </w:rPr>
        <w:t> </w:t>
      </w:r>
      <w:r>
        <w:rPr>
          <w:sz w:val="20"/>
        </w:rPr>
        <w:t>unsatisfactory.</w:t>
      </w:r>
      <w:r>
        <w:rPr>
          <w:spacing w:val="-12"/>
          <w:sz w:val="20"/>
        </w:rPr>
        <w:t> </w:t>
      </w:r>
      <w:r>
        <w:rPr>
          <w:sz w:val="20"/>
        </w:rPr>
        <w:t>Deaf</w:t>
      </w:r>
      <w:r>
        <w:rPr>
          <w:spacing w:val="-12"/>
          <w:sz w:val="20"/>
        </w:rPr>
        <w:t> </w:t>
      </w:r>
      <w:r>
        <w:rPr>
          <w:sz w:val="20"/>
        </w:rPr>
        <w:t>Victoria consultation participants</w:t>
      </w:r>
      <w:r>
        <w:rPr>
          <w:spacing w:val="-10"/>
          <w:sz w:val="20"/>
        </w:rPr>
        <w:t> </w:t>
      </w:r>
      <w:r>
        <w:rPr>
          <w:sz w:val="20"/>
        </w:rPr>
        <w:t>explained:</w:t>
      </w:r>
    </w:p>
    <w:p>
      <w:pPr>
        <w:spacing w:line="208" w:lineRule="auto" w:before="85"/>
        <w:ind w:left="2157" w:right="1110" w:firstLine="0"/>
        <w:jc w:val="left"/>
        <w:rPr>
          <w:sz w:val="11"/>
        </w:rPr>
      </w:pPr>
      <w:r>
        <w:rPr>
          <w:sz w:val="19"/>
        </w:rPr>
        <w:t>If supports are not satisfactory for example if they want captions and the screen provided is too small or not in the right place, or if the interpreters booked are not suitable to work with them. In other words, they would not be excused because they are deaf or hard of hearing, but because the appropriate access tools are not available to allow them to serve as a juror.</w:t>
      </w:r>
      <w:r>
        <w:rPr>
          <w:position w:val="6"/>
          <w:sz w:val="11"/>
        </w:rPr>
        <w:t>45</w:t>
      </w:r>
    </w:p>
    <w:p>
      <w:pPr>
        <w:pStyle w:val="ListParagraph"/>
        <w:numPr>
          <w:ilvl w:val="1"/>
          <w:numId w:val="12"/>
        </w:numPr>
        <w:tabs>
          <w:tab w:pos="1761" w:val="left" w:leader="none"/>
          <w:tab w:pos="1762" w:val="left" w:leader="none"/>
        </w:tabs>
        <w:spacing w:line="206" w:lineRule="auto" w:before="125" w:after="0"/>
        <w:ind w:left="1761" w:right="1277" w:hanging="794"/>
        <w:jc w:val="left"/>
        <w:rPr>
          <w:sz w:val="11"/>
        </w:rPr>
      </w:pPr>
      <w:r>
        <w:rPr>
          <w:sz w:val="20"/>
        </w:rPr>
        <w:t>The academics </w:t>
      </w:r>
      <w:r>
        <w:rPr>
          <w:spacing w:val="-3"/>
          <w:sz w:val="20"/>
        </w:rPr>
        <w:t>we </w:t>
      </w:r>
      <w:r>
        <w:rPr>
          <w:sz w:val="20"/>
        </w:rPr>
        <w:t>consulted acknowledged that being a deaf juror </w:t>
      </w:r>
      <w:r>
        <w:rPr>
          <w:spacing w:val="-3"/>
          <w:sz w:val="20"/>
        </w:rPr>
        <w:t>would </w:t>
      </w:r>
      <w:r>
        <w:rPr>
          <w:sz w:val="20"/>
        </w:rPr>
        <w:t>be exhausting and </w:t>
      </w:r>
      <w:r>
        <w:rPr>
          <w:spacing w:val="-3"/>
          <w:sz w:val="20"/>
        </w:rPr>
        <w:t>cognitively </w:t>
      </w:r>
      <w:r>
        <w:rPr>
          <w:sz w:val="20"/>
        </w:rPr>
        <w:t>demanding, so some people </w:t>
      </w:r>
      <w:r>
        <w:rPr>
          <w:spacing w:val="-3"/>
          <w:sz w:val="20"/>
        </w:rPr>
        <w:t>may </w:t>
      </w:r>
      <w:r>
        <w:rPr>
          <w:sz w:val="20"/>
        </w:rPr>
        <w:t>not want to serve. </w:t>
      </w:r>
      <w:r>
        <w:rPr>
          <w:spacing w:val="-5"/>
          <w:sz w:val="20"/>
        </w:rPr>
        <w:t>However,</w:t>
      </w:r>
      <w:r>
        <w:rPr>
          <w:spacing w:val="-8"/>
          <w:sz w:val="20"/>
        </w:rPr>
        <w:t> </w:t>
      </w:r>
      <w:r>
        <w:rPr>
          <w:spacing w:val="-3"/>
          <w:sz w:val="20"/>
        </w:rPr>
        <w:t>Professor</w:t>
      </w:r>
      <w:r>
        <w:rPr>
          <w:spacing w:val="-8"/>
          <w:sz w:val="20"/>
        </w:rPr>
        <w:t> </w:t>
      </w:r>
      <w:r>
        <w:rPr>
          <w:sz w:val="20"/>
        </w:rPr>
        <w:t>Napier</w:t>
      </w:r>
      <w:r>
        <w:rPr>
          <w:spacing w:val="-8"/>
          <w:sz w:val="20"/>
        </w:rPr>
        <w:t> </w:t>
      </w:r>
      <w:r>
        <w:rPr>
          <w:sz w:val="20"/>
        </w:rPr>
        <w:t>noted</w:t>
      </w:r>
      <w:r>
        <w:rPr>
          <w:spacing w:val="-8"/>
          <w:sz w:val="20"/>
        </w:rPr>
        <w:t> </w:t>
      </w:r>
      <w:r>
        <w:rPr>
          <w:sz w:val="20"/>
        </w:rPr>
        <w:t>that</w:t>
      </w:r>
      <w:r>
        <w:rPr>
          <w:spacing w:val="-8"/>
          <w:sz w:val="20"/>
        </w:rPr>
        <w:t> </w:t>
      </w:r>
      <w:r>
        <w:rPr>
          <w:sz w:val="20"/>
        </w:rPr>
        <w:t>the</w:t>
      </w:r>
      <w:r>
        <w:rPr>
          <w:spacing w:val="-8"/>
          <w:sz w:val="20"/>
        </w:rPr>
        <w:t> </w:t>
      </w:r>
      <w:r>
        <w:rPr>
          <w:sz w:val="20"/>
        </w:rPr>
        <w:t>deaf</w:t>
      </w:r>
      <w:r>
        <w:rPr>
          <w:spacing w:val="-8"/>
          <w:sz w:val="20"/>
        </w:rPr>
        <w:t> </w:t>
      </w:r>
      <w:r>
        <w:rPr>
          <w:sz w:val="20"/>
        </w:rPr>
        <w:t>people</w:t>
      </w:r>
      <w:r>
        <w:rPr>
          <w:spacing w:val="-8"/>
          <w:sz w:val="20"/>
        </w:rPr>
        <w:t> </w:t>
      </w:r>
      <w:r>
        <w:rPr>
          <w:sz w:val="20"/>
        </w:rPr>
        <w:t>she</w:t>
      </w:r>
      <w:r>
        <w:rPr>
          <w:spacing w:val="-8"/>
          <w:sz w:val="20"/>
        </w:rPr>
        <w:t> </w:t>
      </w:r>
      <w:r>
        <w:rPr>
          <w:sz w:val="20"/>
        </w:rPr>
        <w:t>had</w:t>
      </w:r>
      <w:r>
        <w:rPr>
          <w:spacing w:val="-7"/>
          <w:sz w:val="20"/>
        </w:rPr>
        <w:t> </w:t>
      </w:r>
      <w:r>
        <w:rPr>
          <w:sz w:val="20"/>
        </w:rPr>
        <w:t>spoken</w:t>
      </w:r>
      <w:r>
        <w:rPr>
          <w:spacing w:val="-8"/>
          <w:sz w:val="20"/>
        </w:rPr>
        <w:t> </w:t>
      </w:r>
      <w:r>
        <w:rPr>
          <w:sz w:val="20"/>
        </w:rPr>
        <w:t>to</w:t>
      </w:r>
      <w:r>
        <w:rPr>
          <w:spacing w:val="-8"/>
          <w:sz w:val="20"/>
        </w:rPr>
        <w:t> </w:t>
      </w:r>
      <w:r>
        <w:rPr>
          <w:sz w:val="20"/>
        </w:rPr>
        <w:t>said</w:t>
      </w:r>
      <w:r>
        <w:rPr>
          <w:spacing w:val="-8"/>
          <w:sz w:val="20"/>
        </w:rPr>
        <w:t> </w:t>
      </w:r>
      <w:r>
        <w:rPr>
          <w:sz w:val="20"/>
        </w:rPr>
        <w:t>that</w:t>
      </w:r>
      <w:r>
        <w:rPr>
          <w:spacing w:val="-8"/>
          <w:sz w:val="20"/>
        </w:rPr>
        <w:t> </w:t>
      </w:r>
      <w:r>
        <w:rPr>
          <w:sz w:val="20"/>
        </w:rPr>
        <w:t>the </w:t>
      </w:r>
      <w:r>
        <w:rPr>
          <w:spacing w:val="-3"/>
          <w:sz w:val="20"/>
        </w:rPr>
        <w:t>excuse</w:t>
      </w:r>
      <w:r>
        <w:rPr>
          <w:spacing w:val="-8"/>
          <w:sz w:val="20"/>
        </w:rPr>
        <w:t> </w:t>
      </w:r>
      <w:r>
        <w:rPr>
          <w:sz w:val="20"/>
        </w:rPr>
        <w:t>categories</w:t>
      </w:r>
      <w:r>
        <w:rPr>
          <w:spacing w:val="-8"/>
          <w:sz w:val="20"/>
        </w:rPr>
        <w:t> </w:t>
      </w:r>
      <w:r>
        <w:rPr>
          <w:sz w:val="20"/>
        </w:rPr>
        <w:t>should</w:t>
      </w:r>
      <w:r>
        <w:rPr>
          <w:spacing w:val="-8"/>
          <w:sz w:val="20"/>
        </w:rPr>
        <w:t> </w:t>
      </w:r>
      <w:r>
        <w:rPr>
          <w:sz w:val="20"/>
        </w:rPr>
        <w:t>be</w:t>
      </w:r>
      <w:r>
        <w:rPr>
          <w:spacing w:val="-8"/>
          <w:sz w:val="20"/>
        </w:rPr>
        <w:t> </w:t>
      </w:r>
      <w:r>
        <w:rPr>
          <w:sz w:val="20"/>
        </w:rPr>
        <w:t>the</w:t>
      </w:r>
      <w:r>
        <w:rPr>
          <w:spacing w:val="-7"/>
          <w:sz w:val="20"/>
        </w:rPr>
        <w:t> </w:t>
      </w:r>
      <w:r>
        <w:rPr>
          <w:sz w:val="20"/>
        </w:rPr>
        <w:t>same</w:t>
      </w:r>
      <w:r>
        <w:rPr>
          <w:spacing w:val="-8"/>
          <w:sz w:val="20"/>
        </w:rPr>
        <w:t> </w:t>
      </w:r>
      <w:r>
        <w:rPr>
          <w:sz w:val="20"/>
        </w:rPr>
        <w:t>as</w:t>
      </w:r>
      <w:r>
        <w:rPr>
          <w:spacing w:val="-8"/>
          <w:sz w:val="20"/>
        </w:rPr>
        <w:t> </w:t>
      </w:r>
      <w:r>
        <w:rPr>
          <w:sz w:val="20"/>
        </w:rPr>
        <w:t>for</w:t>
      </w:r>
      <w:r>
        <w:rPr>
          <w:spacing w:val="-8"/>
          <w:sz w:val="20"/>
        </w:rPr>
        <w:t> </w:t>
      </w:r>
      <w:r>
        <w:rPr>
          <w:sz w:val="20"/>
        </w:rPr>
        <w:t>the</w:t>
      </w:r>
      <w:r>
        <w:rPr>
          <w:spacing w:val="-7"/>
          <w:sz w:val="20"/>
        </w:rPr>
        <w:t> </w:t>
      </w:r>
      <w:r>
        <w:rPr>
          <w:sz w:val="20"/>
        </w:rPr>
        <w:t>general</w:t>
      </w:r>
      <w:r>
        <w:rPr>
          <w:spacing w:val="-8"/>
          <w:sz w:val="20"/>
        </w:rPr>
        <w:t> </w:t>
      </w:r>
      <w:r>
        <w:rPr>
          <w:spacing w:val="-3"/>
          <w:sz w:val="20"/>
        </w:rPr>
        <w:t>community,</w:t>
      </w:r>
      <w:r>
        <w:rPr>
          <w:spacing w:val="-8"/>
          <w:sz w:val="20"/>
        </w:rPr>
        <w:t> </w:t>
      </w:r>
      <w:r>
        <w:rPr>
          <w:sz w:val="20"/>
        </w:rPr>
        <w:t>and</w:t>
      </w:r>
      <w:r>
        <w:rPr>
          <w:spacing w:val="-8"/>
          <w:sz w:val="20"/>
        </w:rPr>
        <w:t> </w:t>
      </w:r>
      <w:r>
        <w:rPr>
          <w:sz w:val="20"/>
        </w:rPr>
        <w:t>that</w:t>
      </w:r>
      <w:r>
        <w:rPr>
          <w:spacing w:val="-7"/>
          <w:sz w:val="20"/>
        </w:rPr>
        <w:t> </w:t>
      </w:r>
      <w:r>
        <w:rPr>
          <w:spacing w:val="-3"/>
          <w:sz w:val="20"/>
        </w:rPr>
        <w:t>many</w:t>
      </w:r>
      <w:r>
        <w:rPr>
          <w:spacing w:val="-8"/>
          <w:sz w:val="20"/>
        </w:rPr>
        <w:t> </w:t>
      </w:r>
      <w:r>
        <w:rPr>
          <w:sz w:val="20"/>
        </w:rPr>
        <w:t>of them</w:t>
      </w:r>
      <w:r>
        <w:rPr>
          <w:spacing w:val="-6"/>
          <w:sz w:val="20"/>
        </w:rPr>
        <w:t> </w:t>
      </w:r>
      <w:r>
        <w:rPr>
          <w:sz w:val="20"/>
        </w:rPr>
        <w:t>felt</w:t>
      </w:r>
      <w:r>
        <w:rPr>
          <w:spacing w:val="-6"/>
          <w:sz w:val="20"/>
        </w:rPr>
        <w:t> </w:t>
      </w:r>
      <w:r>
        <w:rPr>
          <w:sz w:val="20"/>
        </w:rPr>
        <w:t>that</w:t>
      </w:r>
      <w:r>
        <w:rPr>
          <w:spacing w:val="-5"/>
          <w:sz w:val="20"/>
        </w:rPr>
        <w:t> </w:t>
      </w:r>
      <w:r>
        <w:rPr>
          <w:sz w:val="20"/>
        </w:rPr>
        <w:t>they</w:t>
      </w:r>
      <w:r>
        <w:rPr>
          <w:spacing w:val="-6"/>
          <w:sz w:val="20"/>
        </w:rPr>
        <w:t> </w:t>
      </w:r>
      <w:r>
        <w:rPr>
          <w:spacing w:val="-3"/>
          <w:sz w:val="20"/>
        </w:rPr>
        <w:t>would</w:t>
      </w:r>
      <w:r>
        <w:rPr>
          <w:spacing w:val="-5"/>
          <w:sz w:val="20"/>
        </w:rPr>
        <w:t> </w:t>
      </w:r>
      <w:r>
        <w:rPr>
          <w:sz w:val="20"/>
        </w:rPr>
        <w:t>perform</w:t>
      </w:r>
      <w:r>
        <w:rPr>
          <w:spacing w:val="-6"/>
          <w:sz w:val="20"/>
        </w:rPr>
        <w:t> </w:t>
      </w:r>
      <w:r>
        <w:rPr>
          <w:sz w:val="20"/>
        </w:rPr>
        <w:t>their</w:t>
      </w:r>
      <w:r>
        <w:rPr>
          <w:spacing w:val="-6"/>
          <w:sz w:val="20"/>
        </w:rPr>
        <w:t> </w:t>
      </w:r>
      <w:r>
        <w:rPr>
          <w:sz w:val="20"/>
        </w:rPr>
        <w:t>civic</w:t>
      </w:r>
      <w:r>
        <w:rPr>
          <w:spacing w:val="-5"/>
          <w:sz w:val="20"/>
        </w:rPr>
        <w:t> </w:t>
      </w:r>
      <w:r>
        <w:rPr>
          <w:sz w:val="20"/>
        </w:rPr>
        <w:t>duty</w:t>
      </w:r>
      <w:r>
        <w:rPr>
          <w:spacing w:val="-6"/>
          <w:sz w:val="20"/>
        </w:rPr>
        <w:t> </w:t>
      </w:r>
      <w:r>
        <w:rPr>
          <w:sz w:val="20"/>
        </w:rPr>
        <w:t>just</w:t>
      </w:r>
      <w:r>
        <w:rPr>
          <w:spacing w:val="-5"/>
          <w:sz w:val="20"/>
        </w:rPr>
        <w:t> </w:t>
      </w:r>
      <w:r>
        <w:rPr>
          <w:sz w:val="20"/>
        </w:rPr>
        <w:t>as</w:t>
      </w:r>
      <w:r>
        <w:rPr>
          <w:spacing w:val="-6"/>
          <w:sz w:val="20"/>
        </w:rPr>
        <w:t> </w:t>
      </w:r>
      <w:r>
        <w:rPr>
          <w:sz w:val="20"/>
        </w:rPr>
        <w:t>others</w:t>
      </w:r>
      <w:r>
        <w:rPr>
          <w:spacing w:val="-6"/>
          <w:sz w:val="20"/>
        </w:rPr>
        <w:t> </w:t>
      </w:r>
      <w:r>
        <w:rPr>
          <w:spacing w:val="-3"/>
          <w:sz w:val="20"/>
        </w:rPr>
        <w:t>are</w:t>
      </w:r>
      <w:r>
        <w:rPr>
          <w:spacing w:val="-5"/>
          <w:sz w:val="20"/>
        </w:rPr>
        <w:t> </w:t>
      </w:r>
      <w:r>
        <w:rPr>
          <w:spacing w:val="-3"/>
          <w:sz w:val="20"/>
        </w:rPr>
        <w:t>required</w:t>
      </w:r>
      <w:r>
        <w:rPr>
          <w:spacing w:val="-6"/>
          <w:sz w:val="20"/>
        </w:rPr>
        <w:t> </w:t>
      </w:r>
      <w:r>
        <w:rPr>
          <w:sz w:val="20"/>
        </w:rPr>
        <w:t>to.</w:t>
      </w:r>
      <w:r>
        <w:rPr>
          <w:position w:val="7"/>
          <w:sz w:val="11"/>
        </w:rPr>
        <w:t>46</w:t>
      </w:r>
    </w:p>
    <w:p>
      <w:pPr>
        <w:pStyle w:val="BodyText"/>
        <w:spacing w:before="1"/>
        <w:rPr>
          <w:sz w:val="22"/>
        </w:rPr>
      </w:pPr>
    </w:p>
    <w:p>
      <w:pPr>
        <w:spacing w:line="184" w:lineRule="auto" w:before="0"/>
        <w:ind w:left="967" w:right="1335" w:firstLine="0"/>
        <w:jc w:val="left"/>
        <w:rPr>
          <w:rFonts w:ascii="Raleway ExtraBold"/>
          <w:b/>
          <w:sz w:val="28"/>
        </w:rPr>
      </w:pPr>
      <w:r>
        <w:rPr>
          <w:rFonts w:ascii="Raleway ExtraBold"/>
          <w:b/>
          <w:color w:val="37617A"/>
          <w:sz w:val="28"/>
        </w:rPr>
        <w:t>Excuses should only be available for the consequences of disability</w:t>
      </w:r>
    </w:p>
    <w:p>
      <w:pPr>
        <w:pStyle w:val="ListParagraph"/>
        <w:numPr>
          <w:ilvl w:val="1"/>
          <w:numId w:val="12"/>
        </w:numPr>
        <w:tabs>
          <w:tab w:pos="1761" w:val="left" w:leader="none"/>
          <w:tab w:pos="1762" w:val="left" w:leader="none"/>
        </w:tabs>
        <w:spacing w:line="206" w:lineRule="auto" w:before="162" w:after="0"/>
        <w:ind w:left="1761" w:right="1329" w:hanging="794"/>
        <w:jc w:val="left"/>
        <w:rPr>
          <w:sz w:val="20"/>
        </w:rPr>
      </w:pPr>
      <w:r>
        <w:rPr>
          <w:sz w:val="20"/>
        </w:rPr>
        <w:t>The</w:t>
      </w:r>
      <w:r>
        <w:rPr>
          <w:spacing w:val="-10"/>
          <w:sz w:val="20"/>
        </w:rPr>
        <w:t> </w:t>
      </w:r>
      <w:r>
        <w:rPr>
          <w:sz w:val="20"/>
        </w:rPr>
        <w:t>Commission</w:t>
      </w:r>
      <w:r>
        <w:rPr>
          <w:spacing w:val="-10"/>
          <w:sz w:val="20"/>
        </w:rPr>
        <w:t> </w:t>
      </w:r>
      <w:r>
        <w:rPr>
          <w:sz w:val="20"/>
        </w:rPr>
        <w:t>does</w:t>
      </w:r>
      <w:r>
        <w:rPr>
          <w:spacing w:val="-10"/>
          <w:sz w:val="20"/>
        </w:rPr>
        <w:t> </w:t>
      </w:r>
      <w:r>
        <w:rPr>
          <w:sz w:val="20"/>
        </w:rPr>
        <w:t>not</w:t>
      </w:r>
      <w:r>
        <w:rPr>
          <w:spacing w:val="-9"/>
          <w:sz w:val="20"/>
        </w:rPr>
        <w:t> </w:t>
      </w:r>
      <w:r>
        <w:rPr>
          <w:sz w:val="20"/>
        </w:rPr>
        <w:t>think</w:t>
      </w:r>
      <w:r>
        <w:rPr>
          <w:spacing w:val="-10"/>
          <w:sz w:val="20"/>
        </w:rPr>
        <w:t> </w:t>
      </w:r>
      <w:r>
        <w:rPr>
          <w:sz w:val="20"/>
        </w:rPr>
        <w:t>there</w:t>
      </w:r>
      <w:r>
        <w:rPr>
          <w:spacing w:val="-10"/>
          <w:sz w:val="20"/>
        </w:rPr>
        <w:t> </w:t>
      </w:r>
      <w:r>
        <w:rPr>
          <w:sz w:val="20"/>
        </w:rPr>
        <w:t>should</w:t>
      </w:r>
      <w:r>
        <w:rPr>
          <w:spacing w:val="-9"/>
          <w:sz w:val="20"/>
        </w:rPr>
        <w:t> </w:t>
      </w:r>
      <w:r>
        <w:rPr>
          <w:sz w:val="20"/>
        </w:rPr>
        <w:t>be</w:t>
      </w:r>
      <w:r>
        <w:rPr>
          <w:spacing w:val="-10"/>
          <w:sz w:val="20"/>
        </w:rPr>
        <w:t> </w:t>
      </w:r>
      <w:r>
        <w:rPr>
          <w:sz w:val="20"/>
        </w:rPr>
        <w:t>an</w:t>
      </w:r>
      <w:r>
        <w:rPr>
          <w:spacing w:val="-10"/>
          <w:sz w:val="20"/>
        </w:rPr>
        <w:t> </w:t>
      </w:r>
      <w:r>
        <w:rPr>
          <w:spacing w:val="-3"/>
          <w:sz w:val="20"/>
        </w:rPr>
        <w:t>excuse</w:t>
      </w:r>
      <w:r>
        <w:rPr>
          <w:spacing w:val="-9"/>
          <w:sz w:val="20"/>
        </w:rPr>
        <w:t> </w:t>
      </w:r>
      <w:r>
        <w:rPr>
          <w:sz w:val="20"/>
        </w:rPr>
        <w:t>as</w:t>
      </w:r>
      <w:r>
        <w:rPr>
          <w:spacing w:val="-10"/>
          <w:sz w:val="20"/>
        </w:rPr>
        <w:t> </w:t>
      </w:r>
      <w:r>
        <w:rPr>
          <w:sz w:val="20"/>
        </w:rPr>
        <w:t>of</w:t>
      </w:r>
      <w:r>
        <w:rPr>
          <w:spacing w:val="-10"/>
          <w:sz w:val="20"/>
        </w:rPr>
        <w:t> </w:t>
      </w:r>
      <w:r>
        <w:rPr>
          <w:sz w:val="20"/>
        </w:rPr>
        <w:t>right</w:t>
      </w:r>
      <w:r>
        <w:rPr>
          <w:spacing w:val="-9"/>
          <w:sz w:val="20"/>
        </w:rPr>
        <w:t> </w:t>
      </w:r>
      <w:r>
        <w:rPr>
          <w:sz w:val="20"/>
        </w:rPr>
        <w:t>for</w:t>
      </w:r>
      <w:r>
        <w:rPr>
          <w:spacing w:val="-10"/>
          <w:sz w:val="20"/>
        </w:rPr>
        <w:t> </w:t>
      </w:r>
      <w:r>
        <w:rPr>
          <w:sz w:val="20"/>
        </w:rPr>
        <w:t>disability.</w:t>
      </w:r>
      <w:r>
        <w:rPr>
          <w:spacing w:val="-10"/>
          <w:sz w:val="20"/>
        </w:rPr>
        <w:t> </w:t>
      </w:r>
      <w:r>
        <w:rPr>
          <w:spacing w:val="-6"/>
          <w:sz w:val="20"/>
        </w:rPr>
        <w:t>We </w:t>
      </w:r>
      <w:r>
        <w:rPr>
          <w:sz w:val="20"/>
        </w:rPr>
        <w:t>acknowledge</w:t>
      </w:r>
      <w:r>
        <w:rPr>
          <w:spacing w:val="-9"/>
          <w:sz w:val="20"/>
        </w:rPr>
        <w:t> </w:t>
      </w:r>
      <w:r>
        <w:rPr>
          <w:sz w:val="20"/>
        </w:rPr>
        <w:t>that</w:t>
      </w:r>
      <w:r>
        <w:rPr>
          <w:spacing w:val="-8"/>
          <w:sz w:val="20"/>
        </w:rPr>
        <w:t> </w:t>
      </w:r>
      <w:r>
        <w:rPr>
          <w:sz w:val="20"/>
        </w:rPr>
        <w:t>doing</w:t>
      </w:r>
      <w:r>
        <w:rPr>
          <w:spacing w:val="-8"/>
          <w:sz w:val="20"/>
        </w:rPr>
        <w:t> </w:t>
      </w:r>
      <w:r>
        <w:rPr>
          <w:sz w:val="20"/>
        </w:rPr>
        <w:t>so</w:t>
      </w:r>
      <w:r>
        <w:rPr>
          <w:spacing w:val="-9"/>
          <w:sz w:val="20"/>
        </w:rPr>
        <w:t> </w:t>
      </w:r>
      <w:r>
        <w:rPr>
          <w:spacing w:val="-3"/>
          <w:sz w:val="20"/>
        </w:rPr>
        <w:t>would</w:t>
      </w:r>
      <w:r>
        <w:rPr>
          <w:spacing w:val="-8"/>
          <w:sz w:val="20"/>
        </w:rPr>
        <w:t> </w:t>
      </w:r>
      <w:r>
        <w:rPr>
          <w:spacing w:val="-3"/>
          <w:sz w:val="20"/>
        </w:rPr>
        <w:t>make</w:t>
      </w:r>
      <w:r>
        <w:rPr>
          <w:spacing w:val="-8"/>
          <w:sz w:val="20"/>
        </w:rPr>
        <w:t> </w:t>
      </w:r>
      <w:r>
        <w:rPr>
          <w:sz w:val="20"/>
        </w:rPr>
        <w:t>the</w:t>
      </w:r>
      <w:r>
        <w:rPr>
          <w:spacing w:val="-9"/>
          <w:sz w:val="20"/>
        </w:rPr>
        <w:t> </w:t>
      </w:r>
      <w:r>
        <w:rPr>
          <w:spacing w:val="-3"/>
          <w:sz w:val="20"/>
        </w:rPr>
        <w:t>excuse</w:t>
      </w:r>
      <w:r>
        <w:rPr>
          <w:spacing w:val="-8"/>
          <w:sz w:val="20"/>
        </w:rPr>
        <w:t> </w:t>
      </w:r>
      <w:r>
        <w:rPr>
          <w:sz w:val="20"/>
        </w:rPr>
        <w:t>application</w:t>
      </w:r>
      <w:r>
        <w:rPr>
          <w:spacing w:val="-8"/>
          <w:sz w:val="20"/>
        </w:rPr>
        <w:t> </w:t>
      </w:r>
      <w:r>
        <w:rPr>
          <w:sz w:val="20"/>
        </w:rPr>
        <w:t>process</w:t>
      </w:r>
      <w:r>
        <w:rPr>
          <w:spacing w:val="-8"/>
          <w:sz w:val="20"/>
        </w:rPr>
        <w:t> </w:t>
      </w:r>
      <w:r>
        <w:rPr>
          <w:sz w:val="20"/>
        </w:rPr>
        <w:t>simple</w:t>
      </w:r>
      <w:r>
        <w:rPr>
          <w:spacing w:val="-9"/>
          <w:sz w:val="20"/>
        </w:rPr>
        <w:t> </w:t>
      </w:r>
      <w:r>
        <w:rPr>
          <w:sz w:val="20"/>
        </w:rPr>
        <w:t>for</w:t>
      </w:r>
    </w:p>
    <w:p>
      <w:pPr>
        <w:pStyle w:val="BodyText"/>
        <w:spacing w:line="206" w:lineRule="auto" w:before="3"/>
        <w:ind w:left="1761" w:right="1202"/>
      </w:pPr>
      <w:r>
        <w:rPr/>
        <w:t>a person </w:t>
      </w:r>
      <w:r>
        <w:rPr>
          <w:spacing w:val="-3"/>
        </w:rPr>
        <w:t>from </w:t>
      </w:r>
      <w:r>
        <w:rPr/>
        <w:t>the subject groups. </w:t>
      </w:r>
      <w:r>
        <w:rPr>
          <w:spacing w:val="-5"/>
        </w:rPr>
        <w:t>However, </w:t>
      </w:r>
      <w:r>
        <w:rPr/>
        <w:t>this approach </w:t>
      </w:r>
      <w:r>
        <w:rPr>
          <w:spacing w:val="-3"/>
        </w:rPr>
        <w:t>reinforces </w:t>
      </w:r>
      <w:r>
        <w:rPr/>
        <w:t>the notion that people</w:t>
      </w:r>
      <w:r>
        <w:rPr>
          <w:spacing w:val="-11"/>
        </w:rPr>
        <w:t> </w:t>
      </w:r>
      <w:r>
        <w:rPr/>
        <w:t>in</w:t>
      </w:r>
      <w:r>
        <w:rPr>
          <w:spacing w:val="-10"/>
        </w:rPr>
        <w:t> </w:t>
      </w:r>
      <w:r>
        <w:rPr/>
        <w:t>the</w:t>
      </w:r>
      <w:r>
        <w:rPr>
          <w:spacing w:val="-10"/>
        </w:rPr>
        <w:t> </w:t>
      </w:r>
      <w:r>
        <w:rPr/>
        <w:t>subject</w:t>
      </w:r>
      <w:r>
        <w:rPr>
          <w:spacing w:val="-10"/>
        </w:rPr>
        <w:t> </w:t>
      </w:r>
      <w:r>
        <w:rPr/>
        <w:t>groups</w:t>
      </w:r>
      <w:r>
        <w:rPr>
          <w:spacing w:val="-11"/>
        </w:rPr>
        <w:t> </w:t>
      </w:r>
      <w:r>
        <w:rPr/>
        <w:t>do</w:t>
      </w:r>
      <w:r>
        <w:rPr>
          <w:spacing w:val="-10"/>
        </w:rPr>
        <w:t> </w:t>
      </w:r>
      <w:r>
        <w:rPr/>
        <w:t>not</w:t>
      </w:r>
      <w:r>
        <w:rPr>
          <w:spacing w:val="-10"/>
        </w:rPr>
        <w:t> </w:t>
      </w:r>
      <w:r>
        <w:rPr>
          <w:spacing w:val="-4"/>
        </w:rPr>
        <w:t>have</w:t>
      </w:r>
      <w:r>
        <w:rPr>
          <w:spacing w:val="-10"/>
        </w:rPr>
        <w:t> </w:t>
      </w:r>
      <w:r>
        <w:rPr/>
        <w:t>the</w:t>
      </w:r>
      <w:r>
        <w:rPr>
          <w:spacing w:val="-10"/>
        </w:rPr>
        <w:t> </w:t>
      </w:r>
      <w:r>
        <w:rPr/>
        <w:t>same</w:t>
      </w:r>
      <w:r>
        <w:rPr>
          <w:spacing w:val="-11"/>
        </w:rPr>
        <w:t> </w:t>
      </w:r>
      <w:r>
        <w:rPr/>
        <w:t>rights</w:t>
      </w:r>
      <w:r>
        <w:rPr>
          <w:spacing w:val="-10"/>
        </w:rPr>
        <w:t> </w:t>
      </w:r>
      <w:r>
        <w:rPr/>
        <w:t>and</w:t>
      </w:r>
      <w:r>
        <w:rPr>
          <w:spacing w:val="-10"/>
        </w:rPr>
        <w:t> </w:t>
      </w:r>
      <w:r>
        <w:rPr/>
        <w:t>obligations</w:t>
      </w:r>
      <w:r>
        <w:rPr>
          <w:spacing w:val="-10"/>
        </w:rPr>
        <w:t> </w:t>
      </w:r>
      <w:r>
        <w:rPr/>
        <w:t>in</w:t>
      </w:r>
      <w:r>
        <w:rPr>
          <w:spacing w:val="-11"/>
        </w:rPr>
        <w:t> </w:t>
      </w:r>
      <w:r>
        <w:rPr/>
        <w:t>civil</w:t>
      </w:r>
      <w:r>
        <w:rPr>
          <w:spacing w:val="-10"/>
        </w:rPr>
        <w:t> </w:t>
      </w:r>
      <w:r>
        <w:rPr/>
        <w:t>society as others. Excuse for disability as a right </w:t>
      </w:r>
      <w:r>
        <w:rPr>
          <w:spacing w:val="-3"/>
        </w:rPr>
        <w:t>may </w:t>
      </w:r>
      <w:r>
        <w:rPr/>
        <w:t>perpetuate </w:t>
      </w:r>
      <w:r>
        <w:rPr>
          <w:spacing w:val="-3"/>
        </w:rPr>
        <w:t>cultural </w:t>
      </w:r>
      <w:r>
        <w:rPr/>
        <w:t>misconceptions that people with disability cannot contribute to</w:t>
      </w:r>
      <w:r>
        <w:rPr>
          <w:spacing w:val="-29"/>
        </w:rPr>
        <w:t> </w:t>
      </w:r>
      <w:r>
        <w:rPr>
          <w:spacing w:val="-3"/>
        </w:rPr>
        <w:t>society.</w:t>
      </w:r>
    </w:p>
    <w:p>
      <w:pPr>
        <w:pStyle w:val="ListParagraph"/>
        <w:numPr>
          <w:ilvl w:val="1"/>
          <w:numId w:val="12"/>
        </w:numPr>
        <w:tabs>
          <w:tab w:pos="1761" w:val="left" w:leader="none"/>
          <w:tab w:pos="1762" w:val="left" w:leader="none"/>
        </w:tabs>
        <w:spacing w:line="206" w:lineRule="auto" w:before="125" w:after="0"/>
        <w:ind w:left="1761" w:right="1359" w:hanging="794"/>
        <w:jc w:val="left"/>
        <w:rPr>
          <w:sz w:val="20"/>
        </w:rPr>
      </w:pPr>
      <w:r>
        <w:rPr>
          <w:sz w:val="20"/>
        </w:rPr>
        <w:t>The Commission agrees with Juries </w:t>
      </w:r>
      <w:r>
        <w:rPr>
          <w:spacing w:val="-3"/>
          <w:sz w:val="20"/>
        </w:rPr>
        <w:t>Victoria’s </w:t>
      </w:r>
      <w:r>
        <w:rPr>
          <w:sz w:val="20"/>
        </w:rPr>
        <w:t>observation that the existing ‘good </w:t>
      </w:r>
      <w:r>
        <w:rPr>
          <w:spacing w:val="-3"/>
          <w:sz w:val="20"/>
        </w:rPr>
        <w:t>reason’</w:t>
      </w:r>
      <w:r>
        <w:rPr>
          <w:spacing w:val="-7"/>
          <w:sz w:val="20"/>
        </w:rPr>
        <w:t> </w:t>
      </w:r>
      <w:r>
        <w:rPr>
          <w:spacing w:val="-3"/>
          <w:sz w:val="20"/>
        </w:rPr>
        <w:t>provision</w:t>
      </w:r>
      <w:r>
        <w:rPr>
          <w:spacing w:val="-7"/>
          <w:sz w:val="20"/>
        </w:rPr>
        <w:t> </w:t>
      </w:r>
      <w:r>
        <w:rPr>
          <w:sz w:val="20"/>
        </w:rPr>
        <w:t>in</w:t>
      </w:r>
      <w:r>
        <w:rPr>
          <w:spacing w:val="-6"/>
          <w:sz w:val="20"/>
        </w:rPr>
        <w:t> </w:t>
      </w:r>
      <w:r>
        <w:rPr>
          <w:sz w:val="20"/>
        </w:rPr>
        <w:t>section</w:t>
      </w:r>
      <w:r>
        <w:rPr>
          <w:spacing w:val="-7"/>
          <w:sz w:val="20"/>
        </w:rPr>
        <w:t> </w:t>
      </w:r>
      <w:r>
        <w:rPr>
          <w:sz w:val="20"/>
        </w:rPr>
        <w:t>8</w:t>
      </w:r>
      <w:r>
        <w:rPr>
          <w:spacing w:val="-6"/>
          <w:sz w:val="20"/>
        </w:rPr>
        <w:t> </w:t>
      </w:r>
      <w:r>
        <w:rPr>
          <w:sz w:val="20"/>
        </w:rPr>
        <w:t>is</w:t>
      </w:r>
      <w:r>
        <w:rPr>
          <w:spacing w:val="-7"/>
          <w:sz w:val="20"/>
        </w:rPr>
        <w:t> </w:t>
      </w:r>
      <w:r>
        <w:rPr>
          <w:sz w:val="20"/>
        </w:rPr>
        <w:t>broad</w:t>
      </w:r>
      <w:r>
        <w:rPr>
          <w:spacing w:val="-7"/>
          <w:sz w:val="20"/>
        </w:rPr>
        <w:t> </w:t>
      </w:r>
      <w:r>
        <w:rPr>
          <w:sz w:val="20"/>
        </w:rPr>
        <w:t>enough</w:t>
      </w:r>
      <w:r>
        <w:rPr>
          <w:spacing w:val="-6"/>
          <w:sz w:val="20"/>
        </w:rPr>
        <w:t> </w:t>
      </w:r>
      <w:r>
        <w:rPr>
          <w:sz w:val="20"/>
        </w:rPr>
        <w:t>to</w:t>
      </w:r>
      <w:r>
        <w:rPr>
          <w:spacing w:val="-7"/>
          <w:sz w:val="20"/>
        </w:rPr>
        <w:t> </w:t>
      </w:r>
      <w:r>
        <w:rPr>
          <w:spacing w:val="-3"/>
          <w:sz w:val="20"/>
        </w:rPr>
        <w:t>allow</w:t>
      </w:r>
      <w:r>
        <w:rPr>
          <w:spacing w:val="-6"/>
          <w:sz w:val="20"/>
        </w:rPr>
        <w:t> </w:t>
      </w:r>
      <w:r>
        <w:rPr>
          <w:sz w:val="20"/>
        </w:rPr>
        <w:t>people</w:t>
      </w:r>
      <w:r>
        <w:rPr>
          <w:spacing w:val="-7"/>
          <w:sz w:val="20"/>
        </w:rPr>
        <w:t> </w:t>
      </w:r>
      <w:r>
        <w:rPr>
          <w:sz w:val="20"/>
        </w:rPr>
        <w:t>to</w:t>
      </w:r>
      <w:r>
        <w:rPr>
          <w:spacing w:val="-7"/>
          <w:sz w:val="20"/>
        </w:rPr>
        <w:t> </w:t>
      </w:r>
      <w:r>
        <w:rPr>
          <w:sz w:val="20"/>
        </w:rPr>
        <w:t>be</w:t>
      </w:r>
      <w:r>
        <w:rPr>
          <w:spacing w:val="-6"/>
          <w:sz w:val="20"/>
        </w:rPr>
        <w:t> </w:t>
      </w:r>
      <w:r>
        <w:rPr>
          <w:spacing w:val="-3"/>
          <w:sz w:val="20"/>
        </w:rPr>
        <w:t>excused</w:t>
      </w:r>
      <w:r>
        <w:rPr>
          <w:spacing w:val="-7"/>
          <w:sz w:val="20"/>
        </w:rPr>
        <w:t> </w:t>
      </w:r>
      <w:r>
        <w:rPr>
          <w:spacing w:val="-3"/>
          <w:sz w:val="20"/>
        </w:rPr>
        <w:t>by</w:t>
      </w:r>
      <w:r>
        <w:rPr>
          <w:spacing w:val="-6"/>
          <w:sz w:val="20"/>
        </w:rPr>
        <w:t> </w:t>
      </w:r>
      <w:r>
        <w:rPr>
          <w:sz w:val="20"/>
        </w:rPr>
        <w:t>Juries Victoria for reasons relating to the </w:t>
      </w:r>
      <w:r>
        <w:rPr>
          <w:i/>
          <w:sz w:val="20"/>
        </w:rPr>
        <w:t>consequences of their disability </w:t>
      </w:r>
      <w:r>
        <w:rPr>
          <w:sz w:val="20"/>
        </w:rPr>
        <w:t>rather than </w:t>
      </w:r>
      <w:r>
        <w:rPr>
          <w:i/>
          <w:sz w:val="20"/>
        </w:rPr>
        <w:t>the </w:t>
      </w:r>
      <w:r>
        <w:rPr>
          <w:i/>
          <w:sz w:val="20"/>
        </w:rPr>
        <w:t>disability </w:t>
      </w:r>
      <w:r>
        <w:rPr>
          <w:i/>
          <w:spacing w:val="-3"/>
          <w:sz w:val="20"/>
        </w:rPr>
        <w:t>itself</w:t>
      </w:r>
      <w:r>
        <w:rPr>
          <w:spacing w:val="-3"/>
          <w:sz w:val="20"/>
        </w:rPr>
        <w:t>.</w:t>
      </w:r>
      <w:r>
        <w:rPr>
          <w:spacing w:val="-3"/>
          <w:position w:val="7"/>
          <w:sz w:val="11"/>
        </w:rPr>
        <w:t>47 </w:t>
      </w:r>
      <w:r>
        <w:rPr>
          <w:sz w:val="20"/>
        </w:rPr>
        <w:t>‘Good </w:t>
      </w:r>
      <w:r>
        <w:rPr>
          <w:spacing w:val="-3"/>
          <w:sz w:val="20"/>
        </w:rPr>
        <w:t>reasons’</w:t>
      </w:r>
      <w:r>
        <w:rPr>
          <w:spacing w:val="-14"/>
          <w:sz w:val="20"/>
        </w:rPr>
        <w:t> </w:t>
      </w:r>
      <w:r>
        <w:rPr>
          <w:sz w:val="20"/>
        </w:rPr>
        <w:t>include:</w:t>
      </w:r>
    </w:p>
    <w:p>
      <w:pPr>
        <w:pStyle w:val="ListParagraph"/>
        <w:numPr>
          <w:ilvl w:val="2"/>
          <w:numId w:val="12"/>
        </w:numPr>
        <w:tabs>
          <w:tab w:pos="2157" w:val="left" w:leader="none"/>
          <w:tab w:pos="2158" w:val="left" w:leader="none"/>
        </w:tabs>
        <w:spacing w:line="240" w:lineRule="auto" w:before="92" w:after="0"/>
        <w:ind w:left="2157" w:right="0" w:hanging="396"/>
        <w:jc w:val="left"/>
        <w:rPr>
          <w:sz w:val="20"/>
        </w:rPr>
      </w:pPr>
      <w:r>
        <w:rPr>
          <w:sz w:val="20"/>
        </w:rPr>
        <w:t>illness or poor</w:t>
      </w:r>
      <w:r>
        <w:rPr>
          <w:spacing w:val="-13"/>
          <w:sz w:val="20"/>
        </w:rPr>
        <w:t> </w:t>
      </w:r>
      <w:r>
        <w:rPr>
          <w:sz w:val="20"/>
        </w:rPr>
        <w:t>health</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substantial hardship to the</w:t>
      </w:r>
      <w:r>
        <w:rPr>
          <w:spacing w:val="-18"/>
          <w:sz w:val="20"/>
        </w:rPr>
        <w:t> </w:t>
      </w:r>
      <w:r>
        <w:rPr>
          <w:sz w:val="20"/>
        </w:rPr>
        <w:t>person</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pacing w:val="-3"/>
          <w:sz w:val="20"/>
        </w:rPr>
        <w:t>any </w:t>
      </w:r>
      <w:r>
        <w:rPr>
          <w:sz w:val="20"/>
        </w:rPr>
        <w:t>other matter of special urgency or</w:t>
      </w:r>
      <w:r>
        <w:rPr>
          <w:spacing w:val="-28"/>
          <w:sz w:val="20"/>
        </w:rPr>
        <w:t> </w:t>
      </w:r>
      <w:r>
        <w:rPr>
          <w:sz w:val="20"/>
        </w:rPr>
        <w:t>importance.</w:t>
      </w:r>
      <w:r>
        <w:rPr>
          <w:position w:val="7"/>
          <w:sz w:val="11"/>
        </w:rPr>
        <w:t>48</w:t>
      </w:r>
    </w:p>
    <w:p>
      <w:pPr>
        <w:pStyle w:val="ListParagraph"/>
        <w:numPr>
          <w:ilvl w:val="1"/>
          <w:numId w:val="12"/>
        </w:numPr>
        <w:tabs>
          <w:tab w:pos="1761" w:val="left" w:leader="none"/>
          <w:tab w:pos="1762" w:val="left" w:leader="none"/>
        </w:tabs>
        <w:spacing w:line="206" w:lineRule="auto" w:before="80" w:after="0"/>
        <w:ind w:left="1761" w:right="1319" w:hanging="794"/>
        <w:jc w:val="left"/>
        <w:rPr>
          <w:sz w:val="20"/>
        </w:rPr>
      </w:pPr>
      <w:r>
        <w:rPr>
          <w:sz w:val="20"/>
        </w:rPr>
        <w:t>The</w:t>
      </w:r>
      <w:r>
        <w:rPr>
          <w:spacing w:val="-10"/>
          <w:sz w:val="20"/>
        </w:rPr>
        <w:t> </w:t>
      </w:r>
      <w:r>
        <w:rPr>
          <w:spacing w:val="-3"/>
          <w:sz w:val="20"/>
        </w:rPr>
        <w:t>excuse</w:t>
      </w:r>
      <w:r>
        <w:rPr>
          <w:spacing w:val="-10"/>
          <w:sz w:val="20"/>
        </w:rPr>
        <w:t> </w:t>
      </w:r>
      <w:r>
        <w:rPr>
          <w:sz w:val="20"/>
        </w:rPr>
        <w:t>‘for</w:t>
      </w:r>
      <w:r>
        <w:rPr>
          <w:spacing w:val="-10"/>
          <w:sz w:val="20"/>
        </w:rPr>
        <w:t> </w:t>
      </w:r>
      <w:r>
        <w:rPr>
          <w:sz w:val="20"/>
        </w:rPr>
        <w:t>good</w:t>
      </w:r>
      <w:r>
        <w:rPr>
          <w:spacing w:val="-10"/>
          <w:sz w:val="20"/>
        </w:rPr>
        <w:t> </w:t>
      </w:r>
      <w:r>
        <w:rPr>
          <w:spacing w:val="-3"/>
          <w:sz w:val="20"/>
        </w:rPr>
        <w:t>reason’</w:t>
      </w:r>
      <w:r>
        <w:rPr>
          <w:spacing w:val="-10"/>
          <w:sz w:val="20"/>
        </w:rPr>
        <w:t> </w:t>
      </w:r>
      <w:r>
        <w:rPr>
          <w:sz w:val="20"/>
        </w:rPr>
        <w:t>approach</w:t>
      </w:r>
      <w:r>
        <w:rPr>
          <w:spacing w:val="-10"/>
          <w:sz w:val="20"/>
        </w:rPr>
        <w:t> </w:t>
      </w:r>
      <w:r>
        <w:rPr>
          <w:sz w:val="20"/>
        </w:rPr>
        <w:t>reflects</w:t>
      </w:r>
      <w:r>
        <w:rPr>
          <w:spacing w:val="-10"/>
          <w:sz w:val="20"/>
        </w:rPr>
        <w:t> </w:t>
      </w:r>
      <w:r>
        <w:rPr>
          <w:sz w:val="20"/>
        </w:rPr>
        <w:t>the</w:t>
      </w:r>
      <w:r>
        <w:rPr>
          <w:spacing w:val="-10"/>
          <w:sz w:val="20"/>
        </w:rPr>
        <w:t> </w:t>
      </w:r>
      <w:r>
        <w:rPr>
          <w:sz w:val="20"/>
        </w:rPr>
        <w:t>principle</w:t>
      </w:r>
      <w:r>
        <w:rPr>
          <w:spacing w:val="-9"/>
          <w:sz w:val="20"/>
        </w:rPr>
        <w:t> </w:t>
      </w:r>
      <w:r>
        <w:rPr>
          <w:sz w:val="20"/>
        </w:rPr>
        <w:t>that</w:t>
      </w:r>
      <w:r>
        <w:rPr>
          <w:spacing w:val="-10"/>
          <w:sz w:val="20"/>
        </w:rPr>
        <w:t> </w:t>
      </w:r>
      <w:r>
        <w:rPr>
          <w:sz w:val="20"/>
        </w:rPr>
        <w:t>people</w:t>
      </w:r>
      <w:r>
        <w:rPr>
          <w:spacing w:val="-10"/>
          <w:sz w:val="20"/>
        </w:rPr>
        <w:t> </w:t>
      </w:r>
      <w:r>
        <w:rPr>
          <w:sz w:val="20"/>
        </w:rPr>
        <w:t>in</w:t>
      </w:r>
      <w:r>
        <w:rPr>
          <w:spacing w:val="-10"/>
          <w:sz w:val="20"/>
        </w:rPr>
        <w:t> </w:t>
      </w:r>
      <w:r>
        <w:rPr>
          <w:sz w:val="20"/>
        </w:rPr>
        <w:t>the</w:t>
      </w:r>
      <w:r>
        <w:rPr>
          <w:spacing w:val="-10"/>
          <w:sz w:val="20"/>
        </w:rPr>
        <w:t> </w:t>
      </w:r>
      <w:r>
        <w:rPr>
          <w:sz w:val="20"/>
        </w:rPr>
        <w:t>subject groups </w:t>
      </w:r>
      <w:r>
        <w:rPr>
          <w:spacing w:val="-4"/>
          <w:sz w:val="20"/>
        </w:rPr>
        <w:t>have </w:t>
      </w:r>
      <w:r>
        <w:rPr>
          <w:sz w:val="20"/>
        </w:rPr>
        <w:t>the same rights and obligations in civil society as others. It subverts </w:t>
      </w:r>
      <w:r>
        <w:rPr>
          <w:spacing w:val="-3"/>
          <w:sz w:val="20"/>
        </w:rPr>
        <w:t>cultural</w:t>
      </w:r>
      <w:r>
        <w:rPr>
          <w:spacing w:val="-7"/>
          <w:sz w:val="20"/>
        </w:rPr>
        <w:t> </w:t>
      </w:r>
      <w:r>
        <w:rPr>
          <w:sz w:val="20"/>
        </w:rPr>
        <w:t>misconceptions</w:t>
      </w:r>
      <w:r>
        <w:rPr>
          <w:spacing w:val="-6"/>
          <w:sz w:val="20"/>
        </w:rPr>
        <w:t> </w:t>
      </w:r>
      <w:r>
        <w:rPr>
          <w:sz w:val="20"/>
        </w:rPr>
        <w:t>about</w:t>
      </w:r>
      <w:r>
        <w:rPr>
          <w:spacing w:val="-6"/>
          <w:sz w:val="20"/>
        </w:rPr>
        <w:t> </w:t>
      </w:r>
      <w:r>
        <w:rPr>
          <w:sz w:val="20"/>
        </w:rPr>
        <w:t>the</w:t>
      </w:r>
      <w:r>
        <w:rPr>
          <w:spacing w:val="-6"/>
          <w:sz w:val="20"/>
        </w:rPr>
        <w:t> </w:t>
      </w:r>
      <w:r>
        <w:rPr>
          <w:sz w:val="20"/>
        </w:rPr>
        <w:t>capabilities</w:t>
      </w:r>
      <w:r>
        <w:rPr>
          <w:spacing w:val="-7"/>
          <w:sz w:val="20"/>
        </w:rPr>
        <w:t> </w:t>
      </w:r>
      <w:r>
        <w:rPr>
          <w:sz w:val="20"/>
        </w:rPr>
        <w:t>of</w:t>
      </w:r>
      <w:r>
        <w:rPr>
          <w:spacing w:val="-6"/>
          <w:sz w:val="20"/>
        </w:rPr>
        <w:t> </w:t>
      </w:r>
      <w:r>
        <w:rPr>
          <w:sz w:val="20"/>
        </w:rPr>
        <w:t>people</w:t>
      </w:r>
      <w:r>
        <w:rPr>
          <w:spacing w:val="-6"/>
          <w:sz w:val="20"/>
        </w:rPr>
        <w:t> </w:t>
      </w:r>
      <w:r>
        <w:rPr>
          <w:sz w:val="20"/>
        </w:rPr>
        <w:t>with</w:t>
      </w:r>
      <w:r>
        <w:rPr>
          <w:spacing w:val="-6"/>
          <w:sz w:val="20"/>
        </w:rPr>
        <w:t> </w:t>
      </w:r>
      <w:r>
        <w:rPr>
          <w:sz w:val="20"/>
        </w:rPr>
        <w:t>disabilities.</w:t>
      </w:r>
    </w:p>
    <w:p>
      <w:pPr>
        <w:pStyle w:val="ListParagraph"/>
        <w:numPr>
          <w:ilvl w:val="1"/>
          <w:numId w:val="12"/>
        </w:numPr>
        <w:tabs>
          <w:tab w:pos="1761" w:val="left" w:leader="none"/>
          <w:tab w:pos="1762" w:val="left" w:leader="none"/>
        </w:tabs>
        <w:spacing w:line="206" w:lineRule="auto" w:before="124" w:after="0"/>
        <w:ind w:left="1761" w:right="1291" w:hanging="794"/>
        <w:jc w:val="left"/>
        <w:rPr>
          <w:sz w:val="20"/>
        </w:rPr>
      </w:pPr>
      <w:r>
        <w:rPr/>
        <w:pict>
          <v:line style="position:absolute;mso-position-horizontal-relative:page;mso-position-vertical-relative:paragraph;z-index:9776;mso-wrap-distance-left:0;mso-wrap-distance-right:0" from="79.370102pt,60.034pt" to="515.905102pt,60.034pt" stroked="true" strokeweight="1pt" strokecolor="#b6bdc8">
            <v:stroke dashstyle="solid"/>
            <w10:wrap type="topAndBottom"/>
          </v:line>
        </w:pict>
      </w:r>
      <w:r>
        <w:rPr>
          <w:sz w:val="20"/>
        </w:rPr>
        <w:t>This</w:t>
      </w:r>
      <w:r>
        <w:rPr>
          <w:spacing w:val="-9"/>
          <w:sz w:val="20"/>
        </w:rPr>
        <w:t> </w:t>
      </w:r>
      <w:r>
        <w:rPr>
          <w:sz w:val="20"/>
        </w:rPr>
        <w:t>approach</w:t>
      </w:r>
      <w:r>
        <w:rPr>
          <w:spacing w:val="-9"/>
          <w:sz w:val="20"/>
        </w:rPr>
        <w:t> </w:t>
      </w:r>
      <w:r>
        <w:rPr>
          <w:spacing w:val="-3"/>
          <w:sz w:val="20"/>
        </w:rPr>
        <w:t>follows</w:t>
      </w:r>
      <w:r>
        <w:rPr>
          <w:spacing w:val="-9"/>
          <w:sz w:val="20"/>
        </w:rPr>
        <w:t> </w:t>
      </w:r>
      <w:r>
        <w:rPr>
          <w:sz w:val="20"/>
        </w:rPr>
        <w:t>the</w:t>
      </w:r>
      <w:r>
        <w:rPr>
          <w:spacing w:val="-8"/>
          <w:sz w:val="20"/>
        </w:rPr>
        <w:t> </w:t>
      </w:r>
      <w:r>
        <w:rPr>
          <w:spacing w:val="-3"/>
          <w:sz w:val="20"/>
        </w:rPr>
        <w:t>example</w:t>
      </w:r>
      <w:r>
        <w:rPr>
          <w:spacing w:val="-9"/>
          <w:sz w:val="20"/>
        </w:rPr>
        <w:t> </w:t>
      </w:r>
      <w:r>
        <w:rPr>
          <w:sz w:val="20"/>
        </w:rPr>
        <w:t>of</w:t>
      </w:r>
      <w:r>
        <w:rPr>
          <w:spacing w:val="-9"/>
          <w:sz w:val="20"/>
        </w:rPr>
        <w:t> </w:t>
      </w:r>
      <w:r>
        <w:rPr>
          <w:sz w:val="20"/>
        </w:rPr>
        <w:t>the</w:t>
      </w:r>
      <w:r>
        <w:rPr>
          <w:spacing w:val="-9"/>
          <w:sz w:val="20"/>
        </w:rPr>
        <w:t> </w:t>
      </w:r>
      <w:r>
        <w:rPr>
          <w:spacing w:val="-4"/>
          <w:sz w:val="20"/>
        </w:rPr>
        <w:t>ACT</w:t>
      </w:r>
      <w:r>
        <w:rPr>
          <w:spacing w:val="-8"/>
          <w:sz w:val="20"/>
        </w:rPr>
        <w:t> </w:t>
      </w:r>
      <w:r>
        <w:rPr>
          <w:sz w:val="20"/>
        </w:rPr>
        <w:t>and</w:t>
      </w:r>
      <w:r>
        <w:rPr>
          <w:spacing w:val="-9"/>
          <w:sz w:val="20"/>
        </w:rPr>
        <w:t> </w:t>
      </w:r>
      <w:r>
        <w:rPr>
          <w:sz w:val="20"/>
        </w:rPr>
        <w:t>is</w:t>
      </w:r>
      <w:r>
        <w:rPr>
          <w:spacing w:val="-9"/>
          <w:sz w:val="20"/>
        </w:rPr>
        <w:t> </w:t>
      </w:r>
      <w:r>
        <w:rPr>
          <w:sz w:val="20"/>
        </w:rPr>
        <w:t>in</w:t>
      </w:r>
      <w:r>
        <w:rPr>
          <w:spacing w:val="-9"/>
          <w:sz w:val="20"/>
        </w:rPr>
        <w:t> </w:t>
      </w:r>
      <w:r>
        <w:rPr>
          <w:sz w:val="20"/>
        </w:rPr>
        <w:t>line</w:t>
      </w:r>
      <w:r>
        <w:rPr>
          <w:spacing w:val="-8"/>
          <w:sz w:val="20"/>
        </w:rPr>
        <w:t> </w:t>
      </w:r>
      <w:r>
        <w:rPr>
          <w:sz w:val="20"/>
        </w:rPr>
        <w:t>with</w:t>
      </w:r>
      <w:r>
        <w:rPr>
          <w:spacing w:val="-9"/>
          <w:sz w:val="20"/>
        </w:rPr>
        <w:t> </w:t>
      </w:r>
      <w:r>
        <w:rPr>
          <w:sz w:val="20"/>
        </w:rPr>
        <w:t>the</w:t>
      </w:r>
      <w:r>
        <w:rPr>
          <w:spacing w:val="-9"/>
          <w:sz w:val="20"/>
        </w:rPr>
        <w:t> </w:t>
      </w:r>
      <w:r>
        <w:rPr>
          <w:sz w:val="20"/>
        </w:rPr>
        <w:t>recommendations </w:t>
      </w:r>
      <w:r>
        <w:rPr>
          <w:spacing w:val="-3"/>
          <w:sz w:val="20"/>
        </w:rPr>
        <w:t>from </w:t>
      </w:r>
      <w:r>
        <w:rPr>
          <w:sz w:val="20"/>
        </w:rPr>
        <w:t>other Australian law </w:t>
      </w:r>
      <w:r>
        <w:rPr>
          <w:spacing w:val="-3"/>
          <w:sz w:val="20"/>
        </w:rPr>
        <w:t>reform </w:t>
      </w:r>
      <w:r>
        <w:rPr>
          <w:sz w:val="20"/>
        </w:rPr>
        <w:t>bodies in </w:t>
      </w:r>
      <w:r>
        <w:rPr>
          <w:spacing w:val="-4"/>
          <w:sz w:val="20"/>
        </w:rPr>
        <w:t>Western </w:t>
      </w:r>
      <w:r>
        <w:rPr>
          <w:sz w:val="20"/>
        </w:rPr>
        <w:t>Australia, New South </w:t>
      </w:r>
      <w:r>
        <w:rPr>
          <w:spacing w:val="-4"/>
          <w:sz w:val="20"/>
        </w:rPr>
        <w:t>Wales </w:t>
      </w:r>
      <w:r>
        <w:rPr>
          <w:sz w:val="20"/>
        </w:rPr>
        <w:t>and Queensland. It is also in line with comparable international jurisdictions including the United Kingdom and the United</w:t>
      </w:r>
      <w:r>
        <w:rPr>
          <w:spacing w:val="-23"/>
          <w:sz w:val="20"/>
        </w:rPr>
        <w:t> </w:t>
      </w:r>
      <w:r>
        <w:rPr>
          <w:sz w:val="20"/>
        </w:rPr>
        <w:t>States.</w: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10"/>
        </w:numPr>
        <w:tabs>
          <w:tab w:pos="1760" w:val="left" w:leader="none"/>
          <w:tab w:pos="1762" w:val="left" w:leader="none"/>
        </w:tabs>
        <w:spacing w:line="170" w:lineRule="exact" w:before="21" w:after="0"/>
        <w:ind w:left="1761" w:right="0" w:hanging="794"/>
        <w:jc w:val="left"/>
        <w:rPr>
          <w:sz w:val="13"/>
        </w:rPr>
      </w:pPr>
      <w:r>
        <w:rPr>
          <w:sz w:val="13"/>
        </w:rPr>
        <w:t>Consultation 1 </w:t>
      </w:r>
      <w:r>
        <w:rPr>
          <w:spacing w:val="2"/>
          <w:sz w:val="13"/>
        </w:rPr>
        <w:t>(Blind </w:t>
      </w:r>
      <w:r>
        <w:rPr>
          <w:sz w:val="13"/>
        </w:rPr>
        <w:t>Citizens</w:t>
      </w:r>
      <w:r>
        <w:rPr>
          <w:spacing w:val="-1"/>
          <w:sz w:val="13"/>
        </w:rPr>
        <w:t> </w:t>
      </w:r>
      <w:r>
        <w:rPr>
          <w:sz w:val="13"/>
        </w:rPr>
        <w:t>Australia).</w:t>
      </w:r>
    </w:p>
    <w:p>
      <w:pPr>
        <w:pStyle w:val="ListParagraph"/>
        <w:numPr>
          <w:ilvl w:val="0"/>
          <w:numId w:val="110"/>
        </w:numPr>
        <w:tabs>
          <w:tab w:pos="1761" w:val="left" w:leader="none"/>
          <w:tab w:pos="1762" w:val="left" w:leader="none"/>
        </w:tabs>
        <w:spacing w:line="213" w:lineRule="auto" w:before="7" w:after="0"/>
        <w:ind w:left="1761" w:right="0" w:hanging="794"/>
        <w:jc w:val="left"/>
        <w:rPr>
          <w:sz w:val="13"/>
        </w:rPr>
      </w:pPr>
      <w:r>
        <w:rPr>
          <w:spacing w:val="2"/>
          <w:sz w:val="13"/>
        </w:rPr>
        <w:t>Submission </w:t>
      </w:r>
      <w:r>
        <w:rPr>
          <w:sz w:val="13"/>
        </w:rPr>
        <w:t>5 (Name withheld). </w:t>
      </w:r>
      <w:r>
        <w:rPr>
          <w:spacing w:val="2"/>
          <w:sz w:val="13"/>
        </w:rPr>
        <w:t>Similar </w:t>
      </w:r>
      <w:r>
        <w:rPr>
          <w:sz w:val="13"/>
        </w:rPr>
        <w:t>concerns about personal safety as jurors have </w:t>
      </w:r>
      <w:r>
        <w:rPr>
          <w:spacing w:val="2"/>
          <w:sz w:val="13"/>
        </w:rPr>
        <w:t>been </w:t>
      </w:r>
      <w:r>
        <w:rPr>
          <w:sz w:val="13"/>
        </w:rPr>
        <w:t>expressed by jurors outside the   subject groups: see Chris Vedelago and Adam Cooper, ‘“Weird Things Happen”: Inside the </w:t>
      </w:r>
      <w:r>
        <w:rPr>
          <w:spacing w:val="2"/>
          <w:sz w:val="13"/>
        </w:rPr>
        <w:t>Jury </w:t>
      </w:r>
      <w:r>
        <w:rPr>
          <w:sz w:val="13"/>
        </w:rPr>
        <w:t>Room and Why Sometimes Trials Are Aborted’, </w:t>
      </w:r>
      <w:r>
        <w:rPr>
          <w:i/>
          <w:sz w:val="13"/>
        </w:rPr>
        <w:t>The Age </w:t>
      </w:r>
      <w:r>
        <w:rPr>
          <w:sz w:val="13"/>
        </w:rPr>
        <w:t>(online, 13 February</w:t>
      </w:r>
      <w:r>
        <w:rPr>
          <w:spacing w:val="2"/>
          <w:sz w:val="13"/>
        </w:rPr>
        <w:t> </w:t>
      </w:r>
      <w:r>
        <w:rPr>
          <w:sz w:val="13"/>
        </w:rPr>
        <w:t>2022).</w:t>
      </w:r>
    </w:p>
    <w:p>
      <w:pPr>
        <w:pStyle w:val="ListParagraph"/>
        <w:numPr>
          <w:ilvl w:val="0"/>
          <w:numId w:val="110"/>
        </w:numPr>
        <w:tabs>
          <w:tab w:pos="1761" w:val="left" w:leader="none"/>
          <w:tab w:pos="1762" w:val="left" w:leader="none"/>
        </w:tabs>
        <w:spacing w:line="152" w:lineRule="exact" w:before="0" w:after="0"/>
        <w:ind w:left="1761" w:right="0" w:hanging="794"/>
        <w:jc w:val="left"/>
        <w:rPr>
          <w:sz w:val="13"/>
        </w:rPr>
      </w:pPr>
      <w:r>
        <w:rPr>
          <w:sz w:val="13"/>
        </w:rPr>
        <w:t>Consultation 6 (Deaf Victoria and community</w:t>
      </w:r>
      <w:r>
        <w:rPr>
          <w:spacing w:val="3"/>
          <w:sz w:val="13"/>
        </w:rPr>
        <w:t> </w:t>
      </w:r>
      <w:r>
        <w:rPr>
          <w:sz w:val="13"/>
        </w:rPr>
        <w:t>participants).</w:t>
      </w:r>
    </w:p>
    <w:p>
      <w:pPr>
        <w:pStyle w:val="ListParagraph"/>
        <w:numPr>
          <w:ilvl w:val="0"/>
          <w:numId w:val="110"/>
        </w:numPr>
        <w:tabs>
          <w:tab w:pos="1761" w:val="left" w:leader="none"/>
          <w:tab w:pos="1762" w:val="left" w:leader="none"/>
        </w:tabs>
        <w:spacing w:line="213" w:lineRule="auto" w:before="6" w:after="0"/>
        <w:ind w:left="1761" w:right="191" w:hanging="794"/>
        <w:jc w:val="left"/>
        <w:rPr>
          <w:sz w:val="13"/>
        </w:rPr>
      </w:pPr>
      <w:r>
        <w:rPr>
          <w:sz w:val="13"/>
        </w:rPr>
        <w:t>Consultation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w:t>
      </w:r>
      <w:r>
        <w:rPr>
          <w:spacing w:val="4"/>
          <w:sz w:val="13"/>
        </w:rPr>
        <w:t> </w:t>
      </w:r>
      <w:r>
        <w:rPr>
          <w:sz w:val="13"/>
        </w:rPr>
        <w:t>Wales)).</w:t>
      </w:r>
    </w:p>
    <w:p>
      <w:pPr>
        <w:pStyle w:val="ListParagraph"/>
        <w:numPr>
          <w:ilvl w:val="0"/>
          <w:numId w:val="110"/>
        </w:numPr>
        <w:tabs>
          <w:tab w:pos="1760" w:val="left" w:leader="none"/>
          <w:tab w:pos="1762" w:val="left" w:leader="none"/>
        </w:tabs>
        <w:spacing w:line="153" w:lineRule="exact" w:before="0" w:after="0"/>
        <w:ind w:left="1761" w:right="0" w:hanging="794"/>
        <w:jc w:val="left"/>
        <w:rPr>
          <w:sz w:val="13"/>
        </w:rPr>
      </w:pPr>
      <w:r>
        <w:rPr>
          <w:sz w:val="13"/>
        </w:rPr>
        <w:t>Consultation 10 </w:t>
      </w:r>
      <w:r>
        <w:rPr>
          <w:spacing w:val="2"/>
          <w:sz w:val="13"/>
        </w:rPr>
        <w:t>(Juries</w:t>
      </w:r>
      <w:r>
        <w:rPr>
          <w:sz w:val="13"/>
        </w:rPr>
        <w:t> Victoria).</w:t>
      </w:r>
    </w:p>
    <w:p>
      <w:pPr>
        <w:pStyle w:val="ListParagraph"/>
        <w:numPr>
          <w:ilvl w:val="0"/>
          <w:numId w:val="110"/>
        </w:numPr>
        <w:tabs>
          <w:tab w:pos="1761" w:val="left" w:leader="none"/>
          <w:tab w:pos="1762" w:val="left" w:leader="none"/>
        </w:tabs>
        <w:spacing w:line="170" w:lineRule="exact" w:before="0" w:after="0"/>
        <w:ind w:left="1761" w:right="0" w:hanging="794"/>
        <w:jc w:val="left"/>
        <w:rPr>
          <w:sz w:val="13"/>
        </w:rPr>
      </w:pPr>
      <w:r>
        <w:rPr>
          <w:i/>
          <w:sz w:val="13"/>
        </w:rPr>
        <w:t>Juries Act 2000 </w:t>
      </w:r>
      <w:r>
        <w:rPr>
          <w:spacing w:val="2"/>
          <w:sz w:val="13"/>
        </w:rPr>
        <w:t>(Vic) </w:t>
      </w:r>
      <w:r>
        <w:rPr>
          <w:sz w:val="13"/>
        </w:rPr>
        <w:t>s</w:t>
      </w:r>
      <w:r>
        <w:rPr>
          <w:spacing w:val="-2"/>
          <w:sz w:val="13"/>
        </w:rPr>
        <w:t> </w:t>
      </w:r>
      <w:r>
        <w:rPr>
          <w:sz w:val="13"/>
        </w:rPr>
        <w:t>8(3).</w:t>
      </w:r>
    </w:p>
    <w:p>
      <w:pPr>
        <w:pStyle w:val="BodyText"/>
        <w:rPr>
          <w:sz w:val="28"/>
        </w:rPr>
      </w:pPr>
      <w:r>
        <w:rPr/>
        <w:br w:type="column"/>
      </w:r>
      <w:r>
        <w:rPr>
          <w:sz w:val="28"/>
        </w:rPr>
      </w:r>
    </w:p>
    <w:p>
      <w:pPr>
        <w:pStyle w:val="BodyText"/>
        <w:rPr>
          <w:sz w:val="28"/>
        </w:rPr>
      </w:pPr>
    </w:p>
    <w:p>
      <w:pPr>
        <w:pStyle w:val="BodyText"/>
        <w:spacing w:before="8"/>
        <w:rPr>
          <w:sz w:val="28"/>
        </w:rPr>
      </w:pPr>
    </w:p>
    <w:p>
      <w:pPr>
        <w:spacing w:before="0"/>
        <w:ind w:left="582" w:right="0" w:firstLine="0"/>
        <w:jc w:val="left"/>
        <w:rPr>
          <w:b/>
          <w:sz w:val="24"/>
        </w:rPr>
      </w:pPr>
      <w:r>
        <w:rPr>
          <w:b/>
          <w:color w:val="37617A"/>
          <w:sz w:val="24"/>
        </w:rPr>
        <w:t>187</w:t>
      </w:r>
    </w:p>
    <w:p>
      <w:pPr>
        <w:spacing w:after="0"/>
        <w:jc w:val="left"/>
        <w:rPr>
          <w:sz w:val="24"/>
        </w:rPr>
        <w:sectPr>
          <w:type w:val="continuous"/>
          <w:pgSz w:w="11910" w:h="16840"/>
          <w:pgMar w:top="620" w:bottom="280" w:left="620" w:right="380"/>
          <w:cols w:num="2" w:equalWidth="0">
            <w:col w:w="9674" w:space="40"/>
            <w:col w:w="1196"/>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1" w:val="left" w:leader="none"/>
          <w:tab w:pos="1762" w:val="left" w:leader="none"/>
        </w:tabs>
        <w:spacing w:line="206" w:lineRule="auto" w:before="0" w:after="0"/>
        <w:ind w:left="1761" w:right="1322" w:hanging="794"/>
        <w:jc w:val="left"/>
        <w:rPr>
          <w:sz w:val="11"/>
        </w:rPr>
      </w:pPr>
      <w:bookmarkStart w:name="The excuse process should not be difficu" w:id="327"/>
      <w:bookmarkEnd w:id="327"/>
      <w:r>
        <w:rPr/>
      </w:r>
      <w:bookmarkStart w:name="_bookmark138" w:id="328"/>
      <w:bookmarkEnd w:id="328"/>
      <w:r>
        <w:rPr/>
      </w:r>
      <w:bookmarkStart w:name="_bookmark138" w:id="329"/>
      <w:bookmarkEnd w:id="329"/>
      <w:r>
        <w:rPr>
          <w:sz w:val="20"/>
        </w:rPr>
        <w:t>T</w:t>
      </w:r>
      <w:r>
        <w:rPr>
          <w:sz w:val="20"/>
        </w:rPr>
        <w:t>here</w:t>
      </w:r>
      <w:r>
        <w:rPr>
          <w:spacing w:val="-10"/>
          <w:sz w:val="20"/>
        </w:rPr>
        <w:t> </w:t>
      </w:r>
      <w:r>
        <w:rPr>
          <w:spacing w:val="-3"/>
          <w:sz w:val="20"/>
        </w:rPr>
        <w:t>may</w:t>
      </w:r>
      <w:r>
        <w:rPr>
          <w:spacing w:val="-9"/>
          <w:sz w:val="20"/>
        </w:rPr>
        <w:t> </w:t>
      </w:r>
      <w:r>
        <w:rPr>
          <w:sz w:val="20"/>
        </w:rPr>
        <w:t>be</w:t>
      </w:r>
      <w:r>
        <w:rPr>
          <w:spacing w:val="-9"/>
          <w:sz w:val="20"/>
        </w:rPr>
        <w:t> </w:t>
      </w:r>
      <w:r>
        <w:rPr>
          <w:sz w:val="20"/>
        </w:rPr>
        <w:t>situations</w:t>
      </w:r>
      <w:r>
        <w:rPr>
          <w:spacing w:val="-10"/>
          <w:sz w:val="20"/>
        </w:rPr>
        <w:t> </w:t>
      </w:r>
      <w:r>
        <w:rPr>
          <w:sz w:val="20"/>
        </w:rPr>
        <w:t>where</w:t>
      </w:r>
      <w:r>
        <w:rPr>
          <w:spacing w:val="-9"/>
          <w:sz w:val="20"/>
        </w:rPr>
        <w:t> </w:t>
      </w:r>
      <w:r>
        <w:rPr>
          <w:sz w:val="20"/>
        </w:rPr>
        <w:t>a</w:t>
      </w:r>
      <w:r>
        <w:rPr>
          <w:spacing w:val="-9"/>
          <w:sz w:val="20"/>
        </w:rPr>
        <w:t> </w:t>
      </w:r>
      <w:r>
        <w:rPr>
          <w:sz w:val="20"/>
        </w:rPr>
        <w:t>person’s</w:t>
      </w:r>
      <w:r>
        <w:rPr>
          <w:spacing w:val="-9"/>
          <w:sz w:val="20"/>
        </w:rPr>
        <w:t> </w:t>
      </w:r>
      <w:r>
        <w:rPr>
          <w:sz w:val="20"/>
        </w:rPr>
        <w:t>disability</w:t>
      </w:r>
      <w:r>
        <w:rPr>
          <w:spacing w:val="-10"/>
          <w:sz w:val="20"/>
        </w:rPr>
        <w:t> </w:t>
      </w:r>
      <w:r>
        <w:rPr>
          <w:sz w:val="20"/>
        </w:rPr>
        <w:t>is</w:t>
      </w:r>
      <w:r>
        <w:rPr>
          <w:spacing w:val="-9"/>
          <w:sz w:val="20"/>
        </w:rPr>
        <w:t> </w:t>
      </w:r>
      <w:r>
        <w:rPr>
          <w:sz w:val="20"/>
        </w:rPr>
        <w:t>so</w:t>
      </w:r>
      <w:r>
        <w:rPr>
          <w:spacing w:val="-9"/>
          <w:sz w:val="20"/>
        </w:rPr>
        <w:t> </w:t>
      </w:r>
      <w:r>
        <w:rPr>
          <w:spacing w:val="-2"/>
          <w:sz w:val="20"/>
        </w:rPr>
        <w:t>profound</w:t>
      </w:r>
      <w:r>
        <w:rPr>
          <w:spacing w:val="-10"/>
          <w:sz w:val="20"/>
        </w:rPr>
        <w:t> </w:t>
      </w:r>
      <w:r>
        <w:rPr>
          <w:sz w:val="20"/>
        </w:rPr>
        <w:t>that</w:t>
      </w:r>
      <w:r>
        <w:rPr>
          <w:spacing w:val="-9"/>
          <w:sz w:val="20"/>
        </w:rPr>
        <w:t> </w:t>
      </w:r>
      <w:r>
        <w:rPr>
          <w:sz w:val="20"/>
        </w:rPr>
        <w:t>they</w:t>
      </w:r>
      <w:r>
        <w:rPr>
          <w:spacing w:val="-9"/>
          <w:sz w:val="20"/>
        </w:rPr>
        <w:t> </w:t>
      </w:r>
      <w:r>
        <w:rPr>
          <w:spacing w:val="-3"/>
          <w:sz w:val="20"/>
        </w:rPr>
        <w:t>may</w:t>
      </w:r>
      <w:r>
        <w:rPr>
          <w:spacing w:val="-9"/>
          <w:sz w:val="20"/>
        </w:rPr>
        <w:t> </w:t>
      </w:r>
      <w:r>
        <w:rPr>
          <w:spacing w:val="-3"/>
          <w:sz w:val="20"/>
        </w:rPr>
        <w:t>never </w:t>
      </w:r>
      <w:r>
        <w:rPr>
          <w:sz w:val="20"/>
        </w:rPr>
        <w:t>be</w:t>
      </w:r>
      <w:r>
        <w:rPr>
          <w:spacing w:val="-10"/>
          <w:sz w:val="20"/>
        </w:rPr>
        <w:t> </w:t>
      </w:r>
      <w:r>
        <w:rPr>
          <w:sz w:val="20"/>
        </w:rPr>
        <w:t>able</w:t>
      </w:r>
      <w:r>
        <w:rPr>
          <w:spacing w:val="-9"/>
          <w:sz w:val="20"/>
        </w:rPr>
        <w:t> </w:t>
      </w:r>
      <w:r>
        <w:rPr>
          <w:sz w:val="20"/>
        </w:rPr>
        <w:t>to</w:t>
      </w:r>
      <w:r>
        <w:rPr>
          <w:spacing w:val="-9"/>
          <w:sz w:val="20"/>
        </w:rPr>
        <w:t> </w:t>
      </w:r>
      <w:r>
        <w:rPr>
          <w:sz w:val="20"/>
        </w:rPr>
        <w:t>serve</w:t>
      </w:r>
      <w:r>
        <w:rPr>
          <w:spacing w:val="-9"/>
          <w:sz w:val="20"/>
        </w:rPr>
        <w:t> </w:t>
      </w:r>
      <w:r>
        <w:rPr>
          <w:sz w:val="20"/>
        </w:rPr>
        <w:t>or</w:t>
      </w:r>
      <w:r>
        <w:rPr>
          <w:spacing w:val="-9"/>
          <w:sz w:val="20"/>
        </w:rPr>
        <w:t> </w:t>
      </w:r>
      <w:r>
        <w:rPr>
          <w:spacing w:val="-3"/>
          <w:sz w:val="20"/>
        </w:rPr>
        <w:t>ever</w:t>
      </w:r>
      <w:r>
        <w:rPr>
          <w:spacing w:val="-9"/>
          <w:sz w:val="20"/>
        </w:rPr>
        <w:t> </w:t>
      </w:r>
      <w:r>
        <w:rPr>
          <w:sz w:val="20"/>
        </w:rPr>
        <w:t>feel</w:t>
      </w:r>
      <w:r>
        <w:rPr>
          <w:spacing w:val="-9"/>
          <w:sz w:val="20"/>
        </w:rPr>
        <w:t> </w:t>
      </w:r>
      <w:r>
        <w:rPr>
          <w:sz w:val="20"/>
        </w:rPr>
        <w:t>comfortable</w:t>
      </w:r>
      <w:r>
        <w:rPr>
          <w:spacing w:val="-9"/>
          <w:sz w:val="20"/>
        </w:rPr>
        <w:t> </w:t>
      </w:r>
      <w:r>
        <w:rPr>
          <w:sz w:val="20"/>
        </w:rPr>
        <w:t>serving</w:t>
      </w:r>
      <w:r>
        <w:rPr>
          <w:spacing w:val="-9"/>
          <w:sz w:val="20"/>
        </w:rPr>
        <w:t> </w:t>
      </w:r>
      <w:r>
        <w:rPr>
          <w:sz w:val="20"/>
        </w:rPr>
        <w:t>as</w:t>
      </w:r>
      <w:r>
        <w:rPr>
          <w:spacing w:val="-9"/>
          <w:sz w:val="20"/>
        </w:rPr>
        <w:t> </w:t>
      </w:r>
      <w:r>
        <w:rPr>
          <w:sz w:val="20"/>
        </w:rPr>
        <w:t>a</w:t>
      </w:r>
      <w:r>
        <w:rPr>
          <w:spacing w:val="-9"/>
          <w:sz w:val="20"/>
        </w:rPr>
        <w:t> </w:t>
      </w:r>
      <w:r>
        <w:rPr>
          <w:spacing w:val="-4"/>
          <w:sz w:val="20"/>
        </w:rPr>
        <w:t>juror.</w:t>
      </w:r>
      <w:r>
        <w:rPr>
          <w:spacing w:val="-10"/>
          <w:sz w:val="20"/>
        </w:rPr>
        <w:t> </w:t>
      </w:r>
      <w:r>
        <w:rPr>
          <w:sz w:val="20"/>
        </w:rPr>
        <w:t>In</w:t>
      </w:r>
      <w:r>
        <w:rPr>
          <w:spacing w:val="-9"/>
          <w:sz w:val="20"/>
        </w:rPr>
        <w:t> </w:t>
      </w:r>
      <w:r>
        <w:rPr>
          <w:sz w:val="20"/>
        </w:rPr>
        <w:t>this</w:t>
      </w:r>
      <w:r>
        <w:rPr>
          <w:spacing w:val="-9"/>
          <w:sz w:val="20"/>
        </w:rPr>
        <w:t> </w:t>
      </w:r>
      <w:r>
        <w:rPr>
          <w:sz w:val="20"/>
        </w:rPr>
        <w:t>situation,</w:t>
      </w:r>
      <w:r>
        <w:rPr>
          <w:spacing w:val="-9"/>
          <w:sz w:val="20"/>
        </w:rPr>
        <w:t> </w:t>
      </w:r>
      <w:r>
        <w:rPr>
          <w:sz w:val="20"/>
        </w:rPr>
        <w:t>the</w:t>
      </w:r>
      <w:r>
        <w:rPr>
          <w:spacing w:val="-9"/>
          <w:sz w:val="20"/>
        </w:rPr>
        <w:t> </w:t>
      </w:r>
      <w:r>
        <w:rPr>
          <w:sz w:val="20"/>
        </w:rPr>
        <w:t>person should continue to be able to </w:t>
      </w:r>
      <w:r>
        <w:rPr>
          <w:spacing w:val="-3"/>
          <w:sz w:val="20"/>
        </w:rPr>
        <w:t>apply </w:t>
      </w:r>
      <w:r>
        <w:rPr>
          <w:sz w:val="20"/>
        </w:rPr>
        <w:t>to be permanently </w:t>
      </w:r>
      <w:r>
        <w:rPr>
          <w:spacing w:val="-3"/>
          <w:sz w:val="20"/>
        </w:rPr>
        <w:t>excused </w:t>
      </w:r>
      <w:r>
        <w:rPr>
          <w:sz w:val="20"/>
        </w:rPr>
        <w:t>on the grounds of disability.</w:t>
      </w:r>
      <w:r>
        <w:rPr>
          <w:position w:val="7"/>
          <w:sz w:val="11"/>
        </w:rPr>
        <w:t>49</w:t>
      </w:r>
    </w:p>
    <w:p>
      <w:pPr>
        <w:pStyle w:val="ListParagraph"/>
        <w:numPr>
          <w:ilvl w:val="1"/>
          <w:numId w:val="12"/>
        </w:numPr>
        <w:tabs>
          <w:tab w:pos="1761" w:val="left" w:leader="none"/>
          <w:tab w:pos="1762" w:val="left" w:leader="none"/>
        </w:tabs>
        <w:spacing w:line="206" w:lineRule="auto" w:before="125" w:after="0"/>
        <w:ind w:left="1761" w:right="1457" w:hanging="794"/>
        <w:jc w:val="left"/>
        <w:rPr>
          <w:sz w:val="20"/>
        </w:rPr>
      </w:pPr>
      <w:r>
        <w:rPr>
          <w:sz w:val="20"/>
        </w:rPr>
        <w:t>A person who is permanently </w:t>
      </w:r>
      <w:r>
        <w:rPr>
          <w:spacing w:val="-3"/>
          <w:sz w:val="20"/>
        </w:rPr>
        <w:t>excused from </w:t>
      </w:r>
      <w:r>
        <w:rPr>
          <w:sz w:val="20"/>
        </w:rPr>
        <w:t>jury service can </w:t>
      </w:r>
      <w:r>
        <w:rPr>
          <w:spacing w:val="-3"/>
          <w:sz w:val="20"/>
        </w:rPr>
        <w:t>waive </w:t>
      </w:r>
      <w:r>
        <w:rPr>
          <w:sz w:val="20"/>
        </w:rPr>
        <w:t>that </w:t>
      </w:r>
      <w:r>
        <w:rPr>
          <w:spacing w:val="-3"/>
          <w:sz w:val="20"/>
        </w:rPr>
        <w:t>exemption </w:t>
      </w:r>
      <w:r>
        <w:rPr>
          <w:sz w:val="20"/>
        </w:rPr>
        <w:t>later if they wish.</w:t>
      </w:r>
      <w:r>
        <w:rPr>
          <w:position w:val="7"/>
          <w:sz w:val="11"/>
        </w:rPr>
        <w:t>50 </w:t>
      </w:r>
      <w:r>
        <w:rPr>
          <w:sz w:val="20"/>
        </w:rPr>
        <w:t>This </w:t>
      </w:r>
      <w:r>
        <w:rPr>
          <w:spacing w:val="-3"/>
          <w:sz w:val="20"/>
        </w:rPr>
        <w:t>provides </w:t>
      </w:r>
      <w:r>
        <w:rPr>
          <w:sz w:val="20"/>
        </w:rPr>
        <w:t>a safeguard, for </w:t>
      </w:r>
      <w:r>
        <w:rPr>
          <w:spacing w:val="-3"/>
          <w:sz w:val="20"/>
        </w:rPr>
        <w:t>example, </w:t>
      </w:r>
      <w:r>
        <w:rPr>
          <w:sz w:val="20"/>
        </w:rPr>
        <w:t>for circumstances where a</w:t>
      </w:r>
      <w:r>
        <w:rPr>
          <w:spacing w:val="-9"/>
          <w:sz w:val="20"/>
        </w:rPr>
        <w:t> </w:t>
      </w:r>
      <w:r>
        <w:rPr>
          <w:sz w:val="20"/>
        </w:rPr>
        <w:t>person</w:t>
      </w:r>
      <w:r>
        <w:rPr>
          <w:spacing w:val="-9"/>
          <w:sz w:val="20"/>
        </w:rPr>
        <w:t> </w:t>
      </w:r>
      <w:r>
        <w:rPr>
          <w:spacing w:val="-3"/>
          <w:sz w:val="20"/>
        </w:rPr>
        <w:t>develops</w:t>
      </w:r>
      <w:r>
        <w:rPr>
          <w:spacing w:val="-9"/>
          <w:sz w:val="20"/>
        </w:rPr>
        <w:t> </w:t>
      </w:r>
      <w:r>
        <w:rPr>
          <w:sz w:val="20"/>
        </w:rPr>
        <w:t>a</w:t>
      </w:r>
      <w:r>
        <w:rPr>
          <w:spacing w:val="-9"/>
          <w:sz w:val="20"/>
        </w:rPr>
        <w:t> </w:t>
      </w:r>
      <w:r>
        <w:rPr>
          <w:sz w:val="20"/>
        </w:rPr>
        <w:t>disability</w:t>
      </w:r>
      <w:r>
        <w:rPr>
          <w:spacing w:val="-9"/>
          <w:sz w:val="20"/>
        </w:rPr>
        <w:t> </w:t>
      </w:r>
      <w:r>
        <w:rPr>
          <w:sz w:val="20"/>
        </w:rPr>
        <w:t>later</w:t>
      </w:r>
      <w:r>
        <w:rPr>
          <w:spacing w:val="-9"/>
          <w:sz w:val="20"/>
        </w:rPr>
        <w:t> </w:t>
      </w:r>
      <w:r>
        <w:rPr>
          <w:sz w:val="20"/>
        </w:rPr>
        <w:t>in</w:t>
      </w:r>
      <w:r>
        <w:rPr>
          <w:spacing w:val="-8"/>
          <w:sz w:val="20"/>
        </w:rPr>
        <w:t> </w:t>
      </w:r>
      <w:r>
        <w:rPr>
          <w:sz w:val="20"/>
        </w:rPr>
        <w:t>life</w:t>
      </w:r>
      <w:r>
        <w:rPr>
          <w:spacing w:val="-9"/>
          <w:sz w:val="20"/>
        </w:rPr>
        <w:t> </w:t>
      </w:r>
      <w:r>
        <w:rPr>
          <w:sz w:val="20"/>
        </w:rPr>
        <w:t>and</w:t>
      </w:r>
      <w:r>
        <w:rPr>
          <w:spacing w:val="-9"/>
          <w:sz w:val="20"/>
        </w:rPr>
        <w:t> </w:t>
      </w:r>
      <w:r>
        <w:rPr>
          <w:sz w:val="20"/>
        </w:rPr>
        <w:t>does</w:t>
      </w:r>
      <w:r>
        <w:rPr>
          <w:spacing w:val="-9"/>
          <w:sz w:val="20"/>
        </w:rPr>
        <w:t> </w:t>
      </w:r>
      <w:r>
        <w:rPr>
          <w:sz w:val="20"/>
        </w:rPr>
        <w:t>not</w:t>
      </w:r>
      <w:r>
        <w:rPr>
          <w:spacing w:val="-9"/>
          <w:sz w:val="20"/>
        </w:rPr>
        <w:t> </w:t>
      </w:r>
      <w:r>
        <w:rPr>
          <w:sz w:val="20"/>
        </w:rPr>
        <w:t>feel</w:t>
      </w:r>
      <w:r>
        <w:rPr>
          <w:spacing w:val="-9"/>
          <w:sz w:val="20"/>
        </w:rPr>
        <w:t> </w:t>
      </w:r>
      <w:r>
        <w:rPr>
          <w:sz w:val="20"/>
        </w:rPr>
        <w:t>comfortable</w:t>
      </w:r>
      <w:r>
        <w:rPr>
          <w:spacing w:val="-9"/>
          <w:sz w:val="20"/>
        </w:rPr>
        <w:t> </w:t>
      </w:r>
      <w:r>
        <w:rPr>
          <w:sz w:val="20"/>
        </w:rPr>
        <w:t>serving,</w:t>
      </w:r>
      <w:r>
        <w:rPr>
          <w:spacing w:val="-8"/>
          <w:sz w:val="20"/>
        </w:rPr>
        <w:t> </w:t>
      </w:r>
      <w:r>
        <w:rPr>
          <w:sz w:val="20"/>
        </w:rPr>
        <w:t>but </w:t>
      </w:r>
      <w:r>
        <w:rPr>
          <w:spacing w:val="-4"/>
          <w:sz w:val="20"/>
        </w:rPr>
        <w:t>over</w:t>
      </w:r>
      <w:r>
        <w:rPr>
          <w:spacing w:val="-12"/>
          <w:sz w:val="20"/>
        </w:rPr>
        <w:t> </w:t>
      </w:r>
      <w:r>
        <w:rPr>
          <w:sz w:val="20"/>
        </w:rPr>
        <w:t>time</w:t>
      </w:r>
      <w:r>
        <w:rPr>
          <w:spacing w:val="-11"/>
          <w:sz w:val="20"/>
        </w:rPr>
        <w:t> </w:t>
      </w:r>
      <w:r>
        <w:rPr>
          <w:sz w:val="20"/>
        </w:rPr>
        <w:t>becomes</w:t>
      </w:r>
      <w:r>
        <w:rPr>
          <w:spacing w:val="-11"/>
          <w:sz w:val="20"/>
        </w:rPr>
        <w:t> </w:t>
      </w:r>
      <w:r>
        <w:rPr>
          <w:sz w:val="20"/>
        </w:rPr>
        <w:t>accustomed</w:t>
      </w:r>
      <w:r>
        <w:rPr>
          <w:spacing w:val="-11"/>
          <w:sz w:val="20"/>
        </w:rPr>
        <w:t> </w:t>
      </w:r>
      <w:r>
        <w:rPr>
          <w:sz w:val="20"/>
        </w:rPr>
        <w:t>to</w:t>
      </w:r>
      <w:r>
        <w:rPr>
          <w:spacing w:val="-12"/>
          <w:sz w:val="20"/>
        </w:rPr>
        <w:t> </w:t>
      </w:r>
      <w:r>
        <w:rPr>
          <w:sz w:val="20"/>
        </w:rPr>
        <w:t>using</w:t>
      </w:r>
      <w:r>
        <w:rPr>
          <w:spacing w:val="-11"/>
          <w:sz w:val="20"/>
        </w:rPr>
        <w:t> </w:t>
      </w:r>
      <w:r>
        <w:rPr>
          <w:sz w:val="20"/>
        </w:rPr>
        <w:t>adjustments</w:t>
      </w:r>
      <w:r>
        <w:rPr>
          <w:spacing w:val="-11"/>
          <w:sz w:val="20"/>
        </w:rPr>
        <w:t> </w:t>
      </w:r>
      <w:r>
        <w:rPr>
          <w:sz w:val="20"/>
        </w:rPr>
        <w:t>and</w:t>
      </w:r>
      <w:r>
        <w:rPr>
          <w:spacing w:val="-11"/>
          <w:sz w:val="20"/>
        </w:rPr>
        <w:t> </w:t>
      </w:r>
      <w:r>
        <w:rPr>
          <w:sz w:val="20"/>
        </w:rPr>
        <w:t>changes</w:t>
      </w:r>
      <w:r>
        <w:rPr>
          <w:spacing w:val="-11"/>
          <w:sz w:val="20"/>
        </w:rPr>
        <w:t> </w:t>
      </w:r>
      <w:r>
        <w:rPr>
          <w:sz w:val="20"/>
        </w:rPr>
        <w:t>their</w:t>
      </w:r>
      <w:r>
        <w:rPr>
          <w:spacing w:val="-12"/>
          <w:sz w:val="20"/>
        </w:rPr>
        <w:t> </w:t>
      </w:r>
      <w:r>
        <w:rPr>
          <w:sz w:val="20"/>
        </w:rPr>
        <w:t>mind</w:t>
      </w:r>
      <w:r>
        <w:rPr>
          <w:spacing w:val="-11"/>
          <w:sz w:val="20"/>
        </w:rPr>
        <w:t> </w:t>
      </w:r>
      <w:r>
        <w:rPr>
          <w:sz w:val="20"/>
        </w:rPr>
        <w:t>about wishing to</w:t>
      </w:r>
      <w:r>
        <w:rPr>
          <w:spacing w:val="-9"/>
          <w:sz w:val="20"/>
        </w:rPr>
        <w:t> </w:t>
      </w:r>
      <w:r>
        <w:rPr>
          <w:sz w:val="20"/>
        </w:rPr>
        <w:t>serve.</w:t>
      </w:r>
    </w:p>
    <w:p>
      <w:pPr>
        <w:spacing w:before="165"/>
        <w:ind w:left="967" w:right="0" w:firstLine="0"/>
        <w:jc w:val="left"/>
        <w:rPr>
          <w:b/>
          <w:sz w:val="24"/>
        </w:rPr>
      </w:pPr>
      <w:r>
        <w:rPr>
          <w:b/>
          <w:sz w:val="24"/>
        </w:rPr>
        <w:t>Data should be collected about the reasons for excuse</w:t>
      </w:r>
    </w:p>
    <w:p>
      <w:pPr>
        <w:pStyle w:val="ListParagraph"/>
        <w:numPr>
          <w:ilvl w:val="1"/>
          <w:numId w:val="12"/>
        </w:numPr>
        <w:tabs>
          <w:tab w:pos="1761" w:val="left" w:leader="none"/>
          <w:tab w:pos="1762" w:val="left" w:leader="none"/>
        </w:tabs>
        <w:spacing w:line="206" w:lineRule="auto" w:before="127" w:after="0"/>
        <w:ind w:left="1761" w:right="1413" w:hanging="794"/>
        <w:jc w:val="left"/>
        <w:rPr>
          <w:sz w:val="20"/>
        </w:rPr>
      </w:pPr>
      <w:r>
        <w:rPr>
          <w:sz w:val="20"/>
        </w:rPr>
        <w:t>Data should be retained about when a person </w:t>
      </w:r>
      <w:r>
        <w:rPr>
          <w:spacing w:val="-3"/>
          <w:sz w:val="20"/>
        </w:rPr>
        <w:t>from </w:t>
      </w:r>
      <w:r>
        <w:rPr>
          <w:sz w:val="20"/>
        </w:rPr>
        <w:t>the subject groups seeks to be </w:t>
      </w:r>
      <w:r>
        <w:rPr>
          <w:spacing w:val="-3"/>
          <w:sz w:val="20"/>
        </w:rPr>
        <w:t>excused </w:t>
      </w:r>
      <w:r>
        <w:rPr>
          <w:sz w:val="20"/>
        </w:rPr>
        <w:t>and for what reason. This should include data about adjustments that </w:t>
      </w:r>
      <w:r>
        <w:rPr>
          <w:spacing w:val="-3"/>
          <w:sz w:val="20"/>
        </w:rPr>
        <w:t>are </w:t>
      </w:r>
      <w:r>
        <w:rPr>
          <w:sz w:val="20"/>
        </w:rPr>
        <w:t>offered</w:t>
      </w:r>
      <w:r>
        <w:rPr>
          <w:spacing w:val="-11"/>
          <w:sz w:val="20"/>
        </w:rPr>
        <w:t> </w:t>
      </w:r>
      <w:r>
        <w:rPr>
          <w:sz w:val="20"/>
        </w:rPr>
        <w:t>that</w:t>
      </w:r>
      <w:r>
        <w:rPr>
          <w:spacing w:val="-11"/>
          <w:sz w:val="20"/>
        </w:rPr>
        <w:t> </w:t>
      </w:r>
      <w:r>
        <w:rPr>
          <w:spacing w:val="-3"/>
          <w:sz w:val="20"/>
        </w:rPr>
        <w:t>are</w:t>
      </w:r>
      <w:r>
        <w:rPr>
          <w:spacing w:val="-10"/>
          <w:sz w:val="20"/>
        </w:rPr>
        <w:t> </w:t>
      </w:r>
      <w:r>
        <w:rPr>
          <w:sz w:val="20"/>
        </w:rPr>
        <w:t>unsatisfactory</w:t>
      </w:r>
      <w:r>
        <w:rPr>
          <w:spacing w:val="-11"/>
          <w:sz w:val="20"/>
        </w:rPr>
        <w:t> </w:t>
      </w:r>
      <w:r>
        <w:rPr>
          <w:sz w:val="20"/>
        </w:rPr>
        <w:t>to</w:t>
      </w:r>
      <w:r>
        <w:rPr>
          <w:spacing w:val="-11"/>
          <w:sz w:val="20"/>
        </w:rPr>
        <w:t> </w:t>
      </w:r>
      <w:r>
        <w:rPr>
          <w:sz w:val="20"/>
        </w:rPr>
        <w:t>the</w:t>
      </w:r>
      <w:r>
        <w:rPr>
          <w:spacing w:val="-10"/>
          <w:sz w:val="20"/>
        </w:rPr>
        <w:t> </w:t>
      </w:r>
      <w:r>
        <w:rPr>
          <w:sz w:val="20"/>
        </w:rPr>
        <w:t>person</w:t>
      </w:r>
      <w:r>
        <w:rPr>
          <w:spacing w:val="-11"/>
          <w:sz w:val="20"/>
        </w:rPr>
        <w:t> </w:t>
      </w:r>
      <w:r>
        <w:rPr>
          <w:spacing w:val="-3"/>
          <w:sz w:val="20"/>
        </w:rPr>
        <w:t>from</w:t>
      </w:r>
      <w:r>
        <w:rPr>
          <w:spacing w:val="-11"/>
          <w:sz w:val="20"/>
        </w:rPr>
        <w:t> </w:t>
      </w:r>
      <w:r>
        <w:rPr>
          <w:sz w:val="20"/>
        </w:rPr>
        <w:t>the</w:t>
      </w:r>
      <w:r>
        <w:rPr>
          <w:spacing w:val="-10"/>
          <w:sz w:val="20"/>
        </w:rPr>
        <w:t> </w:t>
      </w:r>
      <w:r>
        <w:rPr>
          <w:sz w:val="20"/>
        </w:rPr>
        <w:t>subject</w:t>
      </w:r>
      <w:r>
        <w:rPr>
          <w:spacing w:val="-11"/>
          <w:sz w:val="20"/>
        </w:rPr>
        <w:t> </w:t>
      </w:r>
      <w:r>
        <w:rPr>
          <w:sz w:val="20"/>
        </w:rPr>
        <w:t>groups.</w:t>
      </w:r>
      <w:r>
        <w:rPr>
          <w:spacing w:val="-11"/>
          <w:sz w:val="20"/>
        </w:rPr>
        <w:t> </w:t>
      </w:r>
      <w:r>
        <w:rPr>
          <w:sz w:val="20"/>
        </w:rPr>
        <w:t>This</w:t>
      </w:r>
      <w:r>
        <w:rPr>
          <w:spacing w:val="-10"/>
          <w:sz w:val="20"/>
        </w:rPr>
        <w:t> </w:t>
      </w:r>
      <w:r>
        <w:rPr>
          <w:sz w:val="20"/>
        </w:rPr>
        <w:t>will</w:t>
      </w:r>
      <w:r>
        <w:rPr>
          <w:spacing w:val="-11"/>
          <w:sz w:val="20"/>
        </w:rPr>
        <w:t> </w:t>
      </w:r>
      <w:r>
        <w:rPr>
          <w:sz w:val="20"/>
        </w:rPr>
        <w:t>help</w:t>
      </w:r>
      <w:r>
        <w:rPr>
          <w:spacing w:val="-11"/>
          <w:sz w:val="20"/>
        </w:rPr>
        <w:t> </w:t>
      </w:r>
      <w:r>
        <w:rPr>
          <w:sz w:val="20"/>
        </w:rPr>
        <w:t>to </w:t>
      </w:r>
      <w:r>
        <w:rPr>
          <w:spacing w:val="-3"/>
          <w:sz w:val="20"/>
        </w:rPr>
        <w:t>develop </w:t>
      </w:r>
      <w:r>
        <w:rPr>
          <w:sz w:val="20"/>
        </w:rPr>
        <w:t>Juries </w:t>
      </w:r>
      <w:r>
        <w:rPr>
          <w:spacing w:val="-3"/>
          <w:sz w:val="20"/>
        </w:rPr>
        <w:t>Victoria’s </w:t>
      </w:r>
      <w:r>
        <w:rPr>
          <w:sz w:val="20"/>
        </w:rPr>
        <w:t>understanding of what steps it can take to assist people to serve and </w:t>
      </w:r>
      <w:r>
        <w:rPr>
          <w:spacing w:val="-3"/>
          <w:sz w:val="20"/>
        </w:rPr>
        <w:t>may </w:t>
      </w:r>
      <w:r>
        <w:rPr>
          <w:sz w:val="20"/>
        </w:rPr>
        <w:t>encourage </w:t>
      </w:r>
      <w:r>
        <w:rPr>
          <w:spacing w:val="-3"/>
          <w:sz w:val="20"/>
        </w:rPr>
        <w:t>future investment </w:t>
      </w:r>
      <w:r>
        <w:rPr>
          <w:sz w:val="20"/>
        </w:rPr>
        <w:t>in new</w:t>
      </w:r>
      <w:r>
        <w:rPr>
          <w:spacing w:val="-29"/>
          <w:sz w:val="20"/>
        </w:rPr>
        <w:t> </w:t>
      </w:r>
      <w:r>
        <w:rPr>
          <w:sz w:val="20"/>
        </w:rPr>
        <w:t>adjustments.</w:t>
      </w:r>
    </w:p>
    <w:p>
      <w:pPr>
        <w:pStyle w:val="BodyText"/>
        <w:spacing w:before="9"/>
        <w:rPr>
          <w:sz w:val="16"/>
        </w:rPr>
      </w:pPr>
    </w:p>
    <w:p>
      <w:pPr>
        <w:spacing w:before="1"/>
        <w:ind w:left="967" w:right="0" w:firstLine="0"/>
        <w:jc w:val="left"/>
        <w:rPr>
          <w:rFonts w:ascii="Raleway ExtraBold"/>
          <w:b/>
          <w:sz w:val="28"/>
        </w:rPr>
      </w:pPr>
      <w:r>
        <w:rPr>
          <w:rFonts w:ascii="Raleway ExtraBold"/>
          <w:b/>
          <w:color w:val="37617A"/>
          <w:sz w:val="28"/>
        </w:rPr>
        <w:t>The excuse process should not be difficult</w:t>
      </w:r>
    </w:p>
    <w:p>
      <w:pPr>
        <w:pStyle w:val="ListParagraph"/>
        <w:numPr>
          <w:ilvl w:val="1"/>
          <w:numId w:val="12"/>
        </w:numPr>
        <w:tabs>
          <w:tab w:pos="1761" w:val="left" w:leader="none"/>
          <w:tab w:pos="1762" w:val="left" w:leader="none"/>
        </w:tabs>
        <w:spacing w:line="206" w:lineRule="auto" w:before="146" w:after="0"/>
        <w:ind w:left="1761" w:right="1520" w:hanging="794"/>
        <w:jc w:val="left"/>
        <w:rPr>
          <w:sz w:val="20"/>
        </w:rPr>
      </w:pPr>
      <w:r>
        <w:rPr>
          <w:sz w:val="20"/>
        </w:rPr>
        <w:t>There</w:t>
      </w:r>
      <w:r>
        <w:rPr>
          <w:spacing w:val="-10"/>
          <w:sz w:val="20"/>
        </w:rPr>
        <w:t> </w:t>
      </w:r>
      <w:r>
        <w:rPr>
          <w:sz w:val="20"/>
        </w:rPr>
        <w:t>should</w:t>
      </w:r>
      <w:r>
        <w:rPr>
          <w:spacing w:val="-9"/>
          <w:sz w:val="20"/>
        </w:rPr>
        <w:t> </w:t>
      </w:r>
      <w:r>
        <w:rPr>
          <w:sz w:val="20"/>
        </w:rPr>
        <w:t>not</w:t>
      </w:r>
      <w:r>
        <w:rPr>
          <w:spacing w:val="-9"/>
          <w:sz w:val="20"/>
        </w:rPr>
        <w:t> </w:t>
      </w:r>
      <w:r>
        <w:rPr>
          <w:sz w:val="20"/>
        </w:rPr>
        <w:t>be</w:t>
      </w:r>
      <w:r>
        <w:rPr>
          <w:spacing w:val="-9"/>
          <w:sz w:val="20"/>
        </w:rPr>
        <w:t> </w:t>
      </w:r>
      <w:r>
        <w:rPr>
          <w:sz w:val="20"/>
        </w:rPr>
        <w:t>an</w:t>
      </w:r>
      <w:r>
        <w:rPr>
          <w:spacing w:val="-10"/>
          <w:sz w:val="20"/>
        </w:rPr>
        <w:t> </w:t>
      </w:r>
      <w:r>
        <w:rPr>
          <w:spacing w:val="-4"/>
          <w:sz w:val="20"/>
        </w:rPr>
        <w:t>overly</w:t>
      </w:r>
      <w:r>
        <w:rPr>
          <w:spacing w:val="-9"/>
          <w:sz w:val="20"/>
        </w:rPr>
        <w:t> </w:t>
      </w:r>
      <w:r>
        <w:rPr>
          <w:sz w:val="20"/>
        </w:rPr>
        <w:t>burdensome</w:t>
      </w:r>
      <w:r>
        <w:rPr>
          <w:spacing w:val="-9"/>
          <w:sz w:val="20"/>
        </w:rPr>
        <w:t> </w:t>
      </w:r>
      <w:r>
        <w:rPr>
          <w:sz w:val="20"/>
        </w:rPr>
        <w:t>process</w:t>
      </w:r>
      <w:r>
        <w:rPr>
          <w:spacing w:val="-9"/>
          <w:sz w:val="20"/>
        </w:rPr>
        <w:t> </w:t>
      </w:r>
      <w:r>
        <w:rPr>
          <w:sz w:val="20"/>
        </w:rPr>
        <w:t>to</w:t>
      </w:r>
      <w:r>
        <w:rPr>
          <w:spacing w:val="-9"/>
          <w:sz w:val="20"/>
        </w:rPr>
        <w:t> </w:t>
      </w:r>
      <w:r>
        <w:rPr>
          <w:sz w:val="20"/>
        </w:rPr>
        <w:t>seek</w:t>
      </w:r>
      <w:r>
        <w:rPr>
          <w:spacing w:val="-10"/>
          <w:sz w:val="20"/>
        </w:rPr>
        <w:t> </w:t>
      </w:r>
      <w:r>
        <w:rPr>
          <w:sz w:val="20"/>
        </w:rPr>
        <w:t>to</w:t>
      </w:r>
      <w:r>
        <w:rPr>
          <w:spacing w:val="-9"/>
          <w:sz w:val="20"/>
        </w:rPr>
        <w:t> </w:t>
      </w:r>
      <w:r>
        <w:rPr>
          <w:sz w:val="20"/>
        </w:rPr>
        <w:t>be</w:t>
      </w:r>
      <w:r>
        <w:rPr>
          <w:spacing w:val="-9"/>
          <w:sz w:val="20"/>
        </w:rPr>
        <w:t> </w:t>
      </w:r>
      <w:r>
        <w:rPr>
          <w:spacing w:val="-3"/>
          <w:sz w:val="20"/>
        </w:rPr>
        <w:t>excused</w:t>
      </w:r>
      <w:r>
        <w:rPr>
          <w:spacing w:val="-9"/>
          <w:sz w:val="20"/>
        </w:rPr>
        <w:t> </w:t>
      </w:r>
      <w:r>
        <w:rPr>
          <w:sz w:val="20"/>
        </w:rPr>
        <w:t>for</w:t>
      </w:r>
      <w:r>
        <w:rPr>
          <w:spacing w:val="-9"/>
          <w:sz w:val="20"/>
        </w:rPr>
        <w:t> </w:t>
      </w:r>
      <w:r>
        <w:rPr>
          <w:sz w:val="20"/>
        </w:rPr>
        <w:t>‘good </w:t>
      </w:r>
      <w:r>
        <w:rPr>
          <w:spacing w:val="-4"/>
          <w:sz w:val="20"/>
        </w:rPr>
        <w:t>reason’. </w:t>
      </w:r>
      <w:r>
        <w:rPr>
          <w:sz w:val="20"/>
        </w:rPr>
        <w:t>Vision Australia </w:t>
      </w:r>
      <w:r>
        <w:rPr>
          <w:spacing w:val="-4"/>
          <w:sz w:val="20"/>
        </w:rPr>
        <w:t>gave </w:t>
      </w:r>
      <w:r>
        <w:rPr>
          <w:sz w:val="20"/>
        </w:rPr>
        <w:t>an</w:t>
      </w:r>
      <w:r>
        <w:rPr>
          <w:spacing w:val="-13"/>
          <w:sz w:val="20"/>
        </w:rPr>
        <w:t> </w:t>
      </w:r>
      <w:r>
        <w:rPr>
          <w:spacing w:val="-3"/>
          <w:sz w:val="20"/>
        </w:rPr>
        <w:t>example:</w:t>
      </w:r>
    </w:p>
    <w:p>
      <w:pPr>
        <w:spacing w:line="208" w:lineRule="auto" w:before="120"/>
        <w:ind w:left="2157" w:right="1277" w:firstLine="0"/>
        <w:jc w:val="left"/>
        <w:rPr>
          <w:sz w:val="11"/>
        </w:rPr>
      </w:pPr>
      <w:r>
        <w:rPr>
          <w:sz w:val="19"/>
        </w:rPr>
        <w:t>if it comes out that there are going to be complex documents submitted in evidence, and a person says that they don’t have the skill to read them, they shouldn’t have to prove that inability.</w:t>
      </w:r>
      <w:r>
        <w:rPr>
          <w:position w:val="6"/>
          <w:sz w:val="11"/>
        </w:rPr>
        <w:t>51</w:t>
      </w:r>
    </w:p>
    <w:p>
      <w:pPr>
        <w:pStyle w:val="ListParagraph"/>
        <w:numPr>
          <w:ilvl w:val="1"/>
          <w:numId w:val="12"/>
        </w:numPr>
        <w:tabs>
          <w:tab w:pos="1761" w:val="left" w:leader="none"/>
          <w:tab w:pos="1762" w:val="left" w:leader="none"/>
        </w:tabs>
        <w:spacing w:line="206" w:lineRule="auto" w:before="124" w:after="0"/>
        <w:ind w:left="1761" w:right="1353" w:hanging="794"/>
        <w:jc w:val="left"/>
        <w:rPr>
          <w:sz w:val="20"/>
        </w:rPr>
      </w:pPr>
      <w:r>
        <w:rPr>
          <w:spacing w:val="-3"/>
          <w:sz w:val="20"/>
        </w:rPr>
        <w:t>At </w:t>
      </w:r>
      <w:r>
        <w:rPr>
          <w:sz w:val="20"/>
        </w:rPr>
        <w:t>present, the Juries Victoria approach is geared </w:t>
      </w:r>
      <w:r>
        <w:rPr>
          <w:spacing w:val="-4"/>
          <w:sz w:val="20"/>
        </w:rPr>
        <w:t>towards </w:t>
      </w:r>
      <w:r>
        <w:rPr>
          <w:spacing w:val="-3"/>
          <w:sz w:val="20"/>
        </w:rPr>
        <w:t>excusing </w:t>
      </w:r>
      <w:r>
        <w:rPr>
          <w:sz w:val="20"/>
        </w:rPr>
        <w:t>people in the subject groups. Comments </w:t>
      </w:r>
      <w:r>
        <w:rPr>
          <w:spacing w:val="-3"/>
          <w:sz w:val="20"/>
        </w:rPr>
        <w:t>from </w:t>
      </w:r>
      <w:r>
        <w:rPr>
          <w:sz w:val="20"/>
        </w:rPr>
        <w:t>the Juries Commissioner suggested that Juries Victoria</w:t>
      </w:r>
      <w:r>
        <w:rPr>
          <w:spacing w:val="-10"/>
          <w:sz w:val="20"/>
        </w:rPr>
        <w:t> </w:t>
      </w:r>
      <w:r>
        <w:rPr>
          <w:sz w:val="20"/>
        </w:rPr>
        <w:t>takes</w:t>
      </w:r>
      <w:r>
        <w:rPr>
          <w:spacing w:val="-10"/>
          <w:sz w:val="20"/>
        </w:rPr>
        <w:t> </w:t>
      </w:r>
      <w:r>
        <w:rPr>
          <w:sz w:val="20"/>
        </w:rPr>
        <w:t>a</w:t>
      </w:r>
      <w:r>
        <w:rPr>
          <w:spacing w:val="-10"/>
          <w:sz w:val="20"/>
        </w:rPr>
        <w:t> </w:t>
      </w:r>
      <w:r>
        <w:rPr>
          <w:spacing w:val="-3"/>
          <w:sz w:val="20"/>
        </w:rPr>
        <w:t>flexible</w:t>
      </w:r>
      <w:r>
        <w:rPr>
          <w:spacing w:val="-10"/>
          <w:sz w:val="20"/>
        </w:rPr>
        <w:t> </w:t>
      </w:r>
      <w:r>
        <w:rPr>
          <w:sz w:val="20"/>
        </w:rPr>
        <w:t>approach</w:t>
      </w:r>
      <w:r>
        <w:rPr>
          <w:spacing w:val="-10"/>
          <w:sz w:val="20"/>
        </w:rPr>
        <w:t> </w:t>
      </w:r>
      <w:r>
        <w:rPr>
          <w:sz w:val="20"/>
        </w:rPr>
        <w:t>to</w:t>
      </w:r>
      <w:r>
        <w:rPr>
          <w:spacing w:val="-10"/>
          <w:sz w:val="20"/>
        </w:rPr>
        <w:t> </w:t>
      </w:r>
      <w:r>
        <w:rPr>
          <w:sz w:val="20"/>
        </w:rPr>
        <w:t>this</w:t>
      </w:r>
      <w:r>
        <w:rPr>
          <w:spacing w:val="-9"/>
          <w:sz w:val="20"/>
        </w:rPr>
        <w:t> </w:t>
      </w:r>
      <w:r>
        <w:rPr>
          <w:sz w:val="20"/>
        </w:rPr>
        <w:t>issue</w:t>
      </w:r>
      <w:r>
        <w:rPr>
          <w:spacing w:val="-10"/>
          <w:sz w:val="20"/>
        </w:rPr>
        <w:t> </w:t>
      </w:r>
      <w:r>
        <w:rPr>
          <w:sz w:val="20"/>
        </w:rPr>
        <w:t>and</w:t>
      </w:r>
      <w:r>
        <w:rPr>
          <w:spacing w:val="-10"/>
          <w:sz w:val="20"/>
        </w:rPr>
        <w:t> </w:t>
      </w:r>
      <w:r>
        <w:rPr>
          <w:spacing w:val="-3"/>
          <w:sz w:val="20"/>
        </w:rPr>
        <w:t>routinely</w:t>
      </w:r>
      <w:r>
        <w:rPr>
          <w:spacing w:val="-10"/>
          <w:sz w:val="20"/>
        </w:rPr>
        <w:t> </w:t>
      </w:r>
      <w:r>
        <w:rPr>
          <w:sz w:val="20"/>
        </w:rPr>
        <w:t>talks</w:t>
      </w:r>
      <w:r>
        <w:rPr>
          <w:spacing w:val="-10"/>
          <w:sz w:val="20"/>
        </w:rPr>
        <w:t> </w:t>
      </w:r>
      <w:r>
        <w:rPr>
          <w:sz w:val="20"/>
        </w:rPr>
        <w:t>to</w:t>
      </w:r>
      <w:r>
        <w:rPr>
          <w:spacing w:val="-10"/>
          <w:sz w:val="20"/>
        </w:rPr>
        <w:t> </w:t>
      </w:r>
      <w:r>
        <w:rPr>
          <w:sz w:val="20"/>
        </w:rPr>
        <w:t>people</w:t>
      </w:r>
      <w:r>
        <w:rPr>
          <w:spacing w:val="-9"/>
          <w:sz w:val="20"/>
        </w:rPr>
        <w:t> </w:t>
      </w:r>
      <w:r>
        <w:rPr>
          <w:sz w:val="20"/>
        </w:rPr>
        <w:t>about</w:t>
      </w:r>
      <w:r>
        <w:rPr>
          <w:spacing w:val="-10"/>
          <w:sz w:val="20"/>
        </w:rPr>
        <w:t> </w:t>
      </w:r>
      <w:r>
        <w:rPr>
          <w:sz w:val="20"/>
        </w:rPr>
        <w:t>their </w:t>
      </w:r>
      <w:r>
        <w:rPr>
          <w:spacing w:val="-4"/>
          <w:sz w:val="20"/>
        </w:rPr>
        <w:t>level </w:t>
      </w:r>
      <w:r>
        <w:rPr>
          <w:sz w:val="20"/>
        </w:rPr>
        <w:t>of comfort with the idea of</w:t>
      </w:r>
      <w:r>
        <w:rPr>
          <w:spacing w:val="-27"/>
          <w:sz w:val="20"/>
        </w:rPr>
        <w:t> </w:t>
      </w:r>
      <w:r>
        <w:rPr>
          <w:sz w:val="20"/>
        </w:rPr>
        <w:t>serving:</w:t>
      </w:r>
    </w:p>
    <w:p>
      <w:pPr>
        <w:spacing w:line="208" w:lineRule="auto" w:before="123"/>
        <w:ind w:left="2157" w:right="1110" w:firstLine="0"/>
        <w:jc w:val="left"/>
        <w:rPr>
          <w:sz w:val="11"/>
        </w:rPr>
      </w:pPr>
      <w:r>
        <w:rPr>
          <w:sz w:val="19"/>
        </w:rPr>
        <w:t>If the excuse is based on a medical issue, JV will ask for a medical certificate. For any other reason, JV makes individual assessments based on the conversations it has with people ...</w:t>
      </w:r>
      <w:r>
        <w:rPr>
          <w:position w:val="6"/>
          <w:sz w:val="11"/>
        </w:rPr>
        <w:t>52</w:t>
      </w:r>
    </w:p>
    <w:p>
      <w:pPr>
        <w:spacing w:line="208" w:lineRule="auto" w:before="121"/>
        <w:ind w:left="2158" w:right="1146" w:firstLine="0"/>
        <w:jc w:val="left"/>
        <w:rPr>
          <w:sz w:val="11"/>
        </w:rPr>
      </w:pPr>
      <w:r>
        <w:rPr>
          <w:sz w:val="19"/>
        </w:rPr>
        <w:t>We deal with these on a case by case basis. Sometimes, a person will call (if vision impaired) and with enough detail of that impairment, we’ll excuse them over the phone. Sometimes, a person who is profoundly deaf will use the interpreter service and call, and again, we’ll excuse over the phone. If they give sufficient information over the phone and it is clear (by that information) they are unable to do jury service, we’ll excuse. Often, they will complete the eligibility form (paper or online) and provided sufficient detail is given, we’ll process the application without a medical certificate.</w:t>
      </w:r>
      <w:r>
        <w:rPr>
          <w:position w:val="6"/>
          <w:sz w:val="11"/>
        </w:rPr>
        <w:t>53</w:t>
      </w:r>
    </w:p>
    <w:p>
      <w:pPr>
        <w:pStyle w:val="ListParagraph"/>
        <w:numPr>
          <w:ilvl w:val="1"/>
          <w:numId w:val="12"/>
        </w:numPr>
        <w:tabs>
          <w:tab w:pos="1761" w:val="left" w:leader="none"/>
          <w:tab w:pos="1762" w:val="left" w:leader="none"/>
        </w:tabs>
        <w:spacing w:line="206" w:lineRule="auto" w:before="127" w:after="0"/>
        <w:ind w:left="1761" w:right="1271" w:hanging="794"/>
        <w:jc w:val="left"/>
        <w:rPr>
          <w:sz w:val="11"/>
        </w:rPr>
      </w:pPr>
      <w:r>
        <w:rPr>
          <w:sz w:val="20"/>
        </w:rPr>
        <w:t>Juries</w:t>
      </w:r>
      <w:r>
        <w:rPr>
          <w:spacing w:val="-11"/>
          <w:sz w:val="20"/>
        </w:rPr>
        <w:t> </w:t>
      </w:r>
      <w:r>
        <w:rPr>
          <w:sz w:val="20"/>
        </w:rPr>
        <w:t>Victoria</w:t>
      </w:r>
      <w:r>
        <w:rPr>
          <w:spacing w:val="-10"/>
          <w:sz w:val="20"/>
        </w:rPr>
        <w:t> </w:t>
      </w:r>
      <w:r>
        <w:rPr>
          <w:sz w:val="20"/>
        </w:rPr>
        <w:t>advised</w:t>
      </w:r>
      <w:r>
        <w:rPr>
          <w:spacing w:val="-10"/>
          <w:sz w:val="20"/>
        </w:rPr>
        <w:t> </w:t>
      </w:r>
      <w:r>
        <w:rPr>
          <w:sz w:val="20"/>
        </w:rPr>
        <w:t>that</w:t>
      </w:r>
      <w:r>
        <w:rPr>
          <w:spacing w:val="-11"/>
          <w:sz w:val="20"/>
        </w:rPr>
        <w:t> </w:t>
      </w:r>
      <w:r>
        <w:rPr>
          <w:sz w:val="20"/>
        </w:rPr>
        <w:t>they</w:t>
      </w:r>
      <w:r>
        <w:rPr>
          <w:spacing w:val="-10"/>
          <w:sz w:val="20"/>
        </w:rPr>
        <w:t> </w:t>
      </w:r>
      <w:r>
        <w:rPr>
          <w:sz w:val="20"/>
        </w:rPr>
        <w:t>deal</w:t>
      </w:r>
      <w:r>
        <w:rPr>
          <w:spacing w:val="-10"/>
          <w:sz w:val="20"/>
        </w:rPr>
        <w:t> </w:t>
      </w:r>
      <w:r>
        <w:rPr>
          <w:sz w:val="20"/>
        </w:rPr>
        <w:t>with</w:t>
      </w:r>
      <w:r>
        <w:rPr>
          <w:spacing w:val="-11"/>
          <w:sz w:val="20"/>
        </w:rPr>
        <w:t> </w:t>
      </w:r>
      <w:r>
        <w:rPr>
          <w:sz w:val="20"/>
        </w:rPr>
        <w:t>200,000</w:t>
      </w:r>
      <w:r>
        <w:rPr>
          <w:spacing w:val="-10"/>
          <w:sz w:val="20"/>
        </w:rPr>
        <w:t> </w:t>
      </w:r>
      <w:r>
        <w:rPr>
          <w:sz w:val="20"/>
        </w:rPr>
        <w:t>people</w:t>
      </w:r>
      <w:r>
        <w:rPr>
          <w:spacing w:val="-10"/>
          <w:sz w:val="20"/>
        </w:rPr>
        <w:t> </w:t>
      </w:r>
      <w:r>
        <w:rPr>
          <w:sz w:val="20"/>
        </w:rPr>
        <w:t>a</w:t>
      </w:r>
      <w:r>
        <w:rPr>
          <w:spacing w:val="-11"/>
          <w:sz w:val="20"/>
        </w:rPr>
        <w:t> </w:t>
      </w:r>
      <w:r>
        <w:rPr>
          <w:spacing w:val="-3"/>
          <w:sz w:val="20"/>
        </w:rPr>
        <w:t>year</w:t>
      </w:r>
      <w:r>
        <w:rPr>
          <w:spacing w:val="-10"/>
          <w:sz w:val="20"/>
        </w:rPr>
        <w:t> </w:t>
      </w:r>
      <w:r>
        <w:rPr>
          <w:sz w:val="20"/>
        </w:rPr>
        <w:t>and</w:t>
      </w:r>
      <w:r>
        <w:rPr>
          <w:spacing w:val="-10"/>
          <w:sz w:val="20"/>
        </w:rPr>
        <w:t> </w:t>
      </w:r>
      <w:r>
        <w:rPr>
          <w:sz w:val="20"/>
        </w:rPr>
        <w:t>hold</w:t>
      </w:r>
      <w:r>
        <w:rPr>
          <w:spacing w:val="-11"/>
          <w:sz w:val="20"/>
        </w:rPr>
        <w:t> </w:t>
      </w:r>
      <w:r>
        <w:rPr>
          <w:sz w:val="20"/>
        </w:rPr>
        <w:t>one-on-one discussions</w:t>
      </w:r>
      <w:r>
        <w:rPr>
          <w:spacing w:val="-10"/>
          <w:sz w:val="20"/>
        </w:rPr>
        <w:t> </w:t>
      </w:r>
      <w:r>
        <w:rPr>
          <w:sz w:val="20"/>
        </w:rPr>
        <w:t>with</w:t>
      </w:r>
      <w:r>
        <w:rPr>
          <w:spacing w:val="-9"/>
          <w:sz w:val="20"/>
        </w:rPr>
        <w:t> </w:t>
      </w:r>
      <w:r>
        <w:rPr>
          <w:spacing w:val="-3"/>
          <w:sz w:val="20"/>
        </w:rPr>
        <w:t>many</w:t>
      </w:r>
      <w:r>
        <w:rPr>
          <w:spacing w:val="-9"/>
          <w:sz w:val="20"/>
        </w:rPr>
        <w:t> </w:t>
      </w:r>
      <w:r>
        <w:rPr>
          <w:sz w:val="20"/>
        </w:rPr>
        <w:t>people</w:t>
      </w:r>
      <w:r>
        <w:rPr>
          <w:spacing w:val="-9"/>
          <w:sz w:val="20"/>
        </w:rPr>
        <w:t> </w:t>
      </w:r>
      <w:r>
        <w:rPr>
          <w:sz w:val="20"/>
        </w:rPr>
        <w:t>about</w:t>
      </w:r>
      <w:r>
        <w:rPr>
          <w:spacing w:val="-10"/>
          <w:sz w:val="20"/>
        </w:rPr>
        <w:t> </w:t>
      </w:r>
      <w:r>
        <w:rPr>
          <w:sz w:val="20"/>
        </w:rPr>
        <w:t>special</w:t>
      </w:r>
      <w:r>
        <w:rPr>
          <w:spacing w:val="-9"/>
          <w:sz w:val="20"/>
        </w:rPr>
        <w:t> </w:t>
      </w:r>
      <w:r>
        <w:rPr>
          <w:sz w:val="20"/>
        </w:rPr>
        <w:t>requirements</w:t>
      </w:r>
      <w:r>
        <w:rPr>
          <w:spacing w:val="-9"/>
          <w:sz w:val="20"/>
        </w:rPr>
        <w:t> </w:t>
      </w:r>
      <w:r>
        <w:rPr>
          <w:sz w:val="20"/>
        </w:rPr>
        <w:t>to</w:t>
      </w:r>
      <w:r>
        <w:rPr>
          <w:spacing w:val="-9"/>
          <w:sz w:val="20"/>
        </w:rPr>
        <w:t> </w:t>
      </w:r>
      <w:r>
        <w:rPr>
          <w:sz w:val="20"/>
        </w:rPr>
        <w:t>enable</w:t>
      </w:r>
      <w:r>
        <w:rPr>
          <w:spacing w:val="-10"/>
          <w:sz w:val="20"/>
        </w:rPr>
        <w:t> </w:t>
      </w:r>
      <w:r>
        <w:rPr>
          <w:sz w:val="20"/>
        </w:rPr>
        <w:t>them</w:t>
      </w:r>
      <w:r>
        <w:rPr>
          <w:spacing w:val="-9"/>
          <w:sz w:val="20"/>
        </w:rPr>
        <w:t> </w:t>
      </w:r>
      <w:r>
        <w:rPr>
          <w:sz w:val="20"/>
        </w:rPr>
        <w:t>to</w:t>
      </w:r>
      <w:r>
        <w:rPr>
          <w:spacing w:val="-9"/>
          <w:sz w:val="20"/>
        </w:rPr>
        <w:t> </w:t>
      </w:r>
      <w:r>
        <w:rPr>
          <w:sz w:val="20"/>
        </w:rPr>
        <w:t>serve.</w:t>
      </w:r>
      <w:r>
        <w:rPr>
          <w:position w:val="7"/>
          <w:sz w:val="11"/>
        </w:rPr>
        <w:t>54</w:t>
      </w:r>
    </w:p>
    <w:p>
      <w:pPr>
        <w:spacing w:before="160"/>
        <w:ind w:left="967" w:right="0" w:firstLine="0"/>
        <w:jc w:val="left"/>
        <w:rPr>
          <w:b/>
          <w:sz w:val="24"/>
        </w:rPr>
      </w:pPr>
      <w:r>
        <w:rPr>
          <w:b/>
          <w:sz w:val="24"/>
        </w:rPr>
        <w:t>Juries Victoria should provide information about the excuse process</w:t>
      </w:r>
    </w:p>
    <w:p>
      <w:pPr>
        <w:pStyle w:val="ListParagraph"/>
        <w:numPr>
          <w:ilvl w:val="1"/>
          <w:numId w:val="12"/>
        </w:numPr>
        <w:tabs>
          <w:tab w:pos="1761" w:val="left" w:leader="none"/>
          <w:tab w:pos="1762" w:val="left" w:leader="none"/>
        </w:tabs>
        <w:spacing w:line="206" w:lineRule="auto" w:before="127" w:after="0"/>
        <w:ind w:left="1761" w:right="1271" w:hanging="794"/>
        <w:jc w:val="left"/>
        <w:rPr>
          <w:sz w:val="20"/>
        </w:rPr>
      </w:pPr>
      <w:r>
        <w:rPr>
          <w:sz w:val="20"/>
        </w:rPr>
        <w:t>Juries Victoria should publish material explaining the operation of the </w:t>
      </w:r>
      <w:r>
        <w:rPr>
          <w:spacing w:val="-3"/>
          <w:sz w:val="20"/>
        </w:rPr>
        <w:t>excuse </w:t>
      </w:r>
      <w:r>
        <w:rPr>
          <w:sz w:val="20"/>
        </w:rPr>
        <w:t>process for people in the subject groups. This </w:t>
      </w:r>
      <w:r>
        <w:rPr>
          <w:spacing w:val="-3"/>
          <w:sz w:val="20"/>
        </w:rPr>
        <w:t>would </w:t>
      </w:r>
      <w:r>
        <w:rPr>
          <w:sz w:val="20"/>
        </w:rPr>
        <w:t>help to allay concerns about serving. Information about </w:t>
      </w:r>
      <w:r>
        <w:rPr>
          <w:spacing w:val="-3"/>
          <w:sz w:val="20"/>
        </w:rPr>
        <w:t>excuse </w:t>
      </w:r>
      <w:r>
        <w:rPr>
          <w:sz w:val="20"/>
        </w:rPr>
        <w:t>should be included on the Juries Victoria </w:t>
      </w:r>
      <w:r>
        <w:rPr>
          <w:spacing w:val="-3"/>
          <w:sz w:val="20"/>
        </w:rPr>
        <w:t>website </w:t>
      </w:r>
      <w:r>
        <w:rPr>
          <w:sz w:val="20"/>
        </w:rPr>
        <w:t>with information about seeking adjustments. Juries Victoria should encourage and </w:t>
      </w:r>
      <w:r>
        <w:rPr>
          <w:spacing w:val="-3"/>
          <w:sz w:val="20"/>
        </w:rPr>
        <w:t>make </w:t>
      </w:r>
      <w:r>
        <w:rPr>
          <w:sz w:val="20"/>
        </w:rPr>
        <w:t>it easy</w:t>
      </w:r>
      <w:r>
        <w:rPr>
          <w:spacing w:val="-10"/>
          <w:sz w:val="20"/>
        </w:rPr>
        <w:t> </w:t>
      </w:r>
      <w:r>
        <w:rPr>
          <w:sz w:val="20"/>
        </w:rPr>
        <w:t>for</w:t>
      </w:r>
      <w:r>
        <w:rPr>
          <w:spacing w:val="-9"/>
          <w:sz w:val="20"/>
        </w:rPr>
        <w:t> </w:t>
      </w:r>
      <w:r>
        <w:rPr>
          <w:sz w:val="20"/>
        </w:rPr>
        <w:t>people</w:t>
      </w:r>
      <w:r>
        <w:rPr>
          <w:spacing w:val="-10"/>
          <w:sz w:val="20"/>
        </w:rPr>
        <w:t> </w:t>
      </w:r>
      <w:r>
        <w:rPr>
          <w:spacing w:val="-3"/>
          <w:sz w:val="20"/>
        </w:rPr>
        <w:t>from</w:t>
      </w:r>
      <w:r>
        <w:rPr>
          <w:spacing w:val="-9"/>
          <w:sz w:val="20"/>
        </w:rPr>
        <w:t> </w:t>
      </w:r>
      <w:r>
        <w:rPr>
          <w:sz w:val="20"/>
        </w:rPr>
        <w:t>the</w:t>
      </w:r>
      <w:r>
        <w:rPr>
          <w:spacing w:val="-10"/>
          <w:sz w:val="20"/>
        </w:rPr>
        <w:t> </w:t>
      </w:r>
      <w:r>
        <w:rPr>
          <w:sz w:val="20"/>
        </w:rPr>
        <w:t>subject</w:t>
      </w:r>
      <w:r>
        <w:rPr>
          <w:spacing w:val="-9"/>
          <w:sz w:val="20"/>
        </w:rPr>
        <w:t> </w:t>
      </w:r>
      <w:r>
        <w:rPr>
          <w:sz w:val="20"/>
        </w:rPr>
        <w:t>groups</w:t>
      </w:r>
      <w:r>
        <w:rPr>
          <w:spacing w:val="-9"/>
          <w:sz w:val="20"/>
        </w:rPr>
        <w:t> </w:t>
      </w:r>
      <w:r>
        <w:rPr>
          <w:sz w:val="20"/>
        </w:rPr>
        <w:t>to</w:t>
      </w:r>
      <w:r>
        <w:rPr>
          <w:spacing w:val="-10"/>
          <w:sz w:val="20"/>
        </w:rPr>
        <w:t> </w:t>
      </w:r>
      <w:r>
        <w:rPr>
          <w:sz w:val="20"/>
        </w:rPr>
        <w:t>talk</w:t>
      </w:r>
      <w:r>
        <w:rPr>
          <w:spacing w:val="-9"/>
          <w:sz w:val="20"/>
        </w:rPr>
        <w:t> </w:t>
      </w:r>
      <w:r>
        <w:rPr>
          <w:sz w:val="20"/>
        </w:rPr>
        <w:t>to</w:t>
      </w:r>
      <w:r>
        <w:rPr>
          <w:spacing w:val="-10"/>
          <w:sz w:val="20"/>
        </w:rPr>
        <w:t> </w:t>
      </w:r>
      <w:r>
        <w:rPr>
          <w:sz w:val="20"/>
        </w:rPr>
        <w:t>Juries</w:t>
      </w:r>
      <w:r>
        <w:rPr>
          <w:spacing w:val="-9"/>
          <w:sz w:val="20"/>
        </w:rPr>
        <w:t> </w:t>
      </w:r>
      <w:r>
        <w:rPr>
          <w:sz w:val="20"/>
        </w:rPr>
        <w:t>Victoria</w:t>
      </w:r>
      <w:r>
        <w:rPr>
          <w:spacing w:val="-10"/>
          <w:sz w:val="20"/>
        </w:rPr>
        <w:t> </w:t>
      </w:r>
      <w:r>
        <w:rPr>
          <w:sz w:val="20"/>
        </w:rPr>
        <w:t>about</w:t>
      </w:r>
      <w:r>
        <w:rPr>
          <w:spacing w:val="-9"/>
          <w:sz w:val="20"/>
        </w:rPr>
        <w:t> </w:t>
      </w:r>
      <w:r>
        <w:rPr>
          <w:sz w:val="20"/>
        </w:rPr>
        <w:t>their</w:t>
      </w:r>
      <w:r>
        <w:rPr>
          <w:spacing w:val="-9"/>
          <w:sz w:val="20"/>
        </w:rPr>
        <w:t> </w:t>
      </w:r>
      <w:r>
        <w:rPr>
          <w:sz w:val="20"/>
        </w:rPr>
        <w:t>needs</w:t>
      </w:r>
      <w:r>
        <w:rPr>
          <w:spacing w:val="-10"/>
          <w:sz w:val="20"/>
        </w:rPr>
        <w:t> </w:t>
      </w:r>
      <w:r>
        <w:rPr>
          <w:sz w:val="20"/>
        </w:rPr>
        <w:t>and discuss </w:t>
      </w:r>
      <w:r>
        <w:rPr>
          <w:spacing w:val="-3"/>
          <w:sz w:val="20"/>
        </w:rPr>
        <w:t>excuse</w:t>
      </w:r>
      <w:r>
        <w:rPr>
          <w:spacing w:val="-9"/>
          <w:sz w:val="20"/>
        </w:rPr>
        <w:t> </w:t>
      </w:r>
      <w:r>
        <w:rPr>
          <w:sz w:val="20"/>
        </w:rPr>
        <w:t>options.</w:t>
      </w:r>
    </w:p>
    <w:p>
      <w:pPr>
        <w:pStyle w:val="BodyText"/>
      </w:pPr>
    </w:p>
    <w:p>
      <w:pPr>
        <w:pStyle w:val="BodyText"/>
      </w:pPr>
    </w:p>
    <w:p>
      <w:pPr>
        <w:pStyle w:val="BodyText"/>
        <w:spacing w:before="13"/>
        <w:rPr>
          <w:sz w:val="13"/>
        </w:rPr>
      </w:pPr>
      <w:r>
        <w:rPr/>
        <w:pict>
          <v:line style="position:absolute;mso-position-horizontal-relative:page;mso-position-vertical-relative:paragraph;z-index:9800;mso-wrap-distance-left:0;mso-wrap-distance-right:0" from="79.370102pt,12.15874pt" to="515.905102pt,12.15874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2"/>
        </w:rPr>
      </w:pPr>
    </w:p>
    <w:p>
      <w:pPr>
        <w:spacing w:before="0"/>
        <w:ind w:left="100" w:right="0" w:firstLine="0"/>
        <w:jc w:val="left"/>
        <w:rPr>
          <w:b/>
          <w:sz w:val="24"/>
        </w:rPr>
      </w:pPr>
      <w:r>
        <w:rPr>
          <w:b/>
          <w:color w:val="37617A"/>
          <w:sz w:val="24"/>
        </w:rPr>
        <w:t>188</w:t>
      </w:r>
    </w:p>
    <w:p>
      <w:pPr>
        <w:pStyle w:val="ListParagraph"/>
        <w:numPr>
          <w:ilvl w:val="0"/>
          <w:numId w:val="110"/>
        </w:numPr>
        <w:tabs>
          <w:tab w:pos="893" w:val="left" w:leader="none"/>
          <w:tab w:pos="894" w:val="left" w:leader="none"/>
        </w:tabs>
        <w:spacing w:line="170" w:lineRule="exact" w:before="21" w:after="0"/>
        <w:ind w:left="893" w:right="0" w:hanging="793"/>
        <w:jc w:val="left"/>
        <w:rPr>
          <w:sz w:val="13"/>
        </w:rPr>
      </w:pPr>
      <w:r>
        <w:rPr>
          <w:spacing w:val="2"/>
          <w:w w:val="100"/>
          <w:sz w:val="13"/>
        </w:rPr>
        <w:br w:type="column"/>
      </w:r>
      <w:r>
        <w:rPr>
          <w:sz w:val="13"/>
        </w:rPr>
        <w:t>They may apply for </w:t>
      </w:r>
      <w:r>
        <w:rPr>
          <w:spacing w:val="2"/>
          <w:sz w:val="13"/>
        </w:rPr>
        <w:t>permanent </w:t>
      </w:r>
      <w:r>
        <w:rPr>
          <w:sz w:val="13"/>
        </w:rPr>
        <w:t>excuse under ibid s 9(4)(b).</w:t>
      </w:r>
    </w:p>
    <w:p>
      <w:pPr>
        <w:pStyle w:val="ListParagraph"/>
        <w:numPr>
          <w:ilvl w:val="0"/>
          <w:numId w:val="110"/>
        </w:numPr>
        <w:tabs>
          <w:tab w:pos="893" w:val="left" w:leader="none"/>
          <w:tab w:pos="894" w:val="left" w:leader="none"/>
        </w:tabs>
        <w:spacing w:line="160" w:lineRule="exact" w:before="0" w:after="0"/>
        <w:ind w:left="893" w:right="0" w:hanging="793"/>
        <w:jc w:val="left"/>
        <w:rPr>
          <w:sz w:val="13"/>
        </w:rPr>
      </w:pPr>
      <w:r>
        <w:rPr>
          <w:sz w:val="13"/>
        </w:rPr>
        <w:t>Ibid s </w:t>
      </w:r>
      <w:r>
        <w:rPr>
          <w:spacing w:val="3"/>
          <w:sz w:val="13"/>
        </w:rPr>
        <w:t>15.</w:t>
      </w:r>
    </w:p>
    <w:p>
      <w:pPr>
        <w:pStyle w:val="ListParagraph"/>
        <w:numPr>
          <w:ilvl w:val="0"/>
          <w:numId w:val="110"/>
        </w:numPr>
        <w:tabs>
          <w:tab w:pos="893" w:val="left" w:leader="none"/>
          <w:tab w:pos="894" w:val="left" w:leader="none"/>
        </w:tabs>
        <w:spacing w:line="160" w:lineRule="exact" w:before="0" w:after="0"/>
        <w:ind w:left="893" w:right="0" w:hanging="793"/>
        <w:jc w:val="left"/>
        <w:rPr>
          <w:sz w:val="13"/>
        </w:rPr>
      </w:pPr>
      <w:r>
        <w:rPr>
          <w:sz w:val="13"/>
        </w:rPr>
        <w:t>Consultation 7 </w:t>
      </w:r>
      <w:r>
        <w:rPr>
          <w:spacing w:val="2"/>
          <w:sz w:val="13"/>
        </w:rPr>
        <w:t>(Vision </w:t>
      </w:r>
      <w:r>
        <w:rPr>
          <w:spacing w:val="9"/>
          <w:sz w:val="13"/>
        </w:rPr>
        <w:t> </w:t>
      </w:r>
      <w:r>
        <w:rPr>
          <w:sz w:val="13"/>
        </w:rPr>
        <w:t>Australia).</w:t>
      </w:r>
    </w:p>
    <w:p>
      <w:pPr>
        <w:pStyle w:val="ListParagraph"/>
        <w:numPr>
          <w:ilvl w:val="0"/>
          <w:numId w:val="110"/>
        </w:numPr>
        <w:tabs>
          <w:tab w:pos="893" w:val="left" w:leader="none"/>
          <w:tab w:pos="894" w:val="left" w:leader="none"/>
        </w:tabs>
        <w:spacing w:line="160" w:lineRule="exact" w:before="0" w:after="0"/>
        <w:ind w:left="893" w:right="0" w:hanging="793"/>
        <w:jc w:val="left"/>
        <w:rPr>
          <w:sz w:val="13"/>
        </w:rPr>
      </w:pPr>
      <w:r>
        <w:rPr>
          <w:sz w:val="13"/>
        </w:rPr>
        <w:t>Consultation 10 </w:t>
      </w:r>
      <w:r>
        <w:rPr>
          <w:spacing w:val="2"/>
          <w:sz w:val="13"/>
        </w:rPr>
        <w:t>(Juries </w:t>
      </w:r>
      <w:r>
        <w:rPr>
          <w:spacing w:val="4"/>
          <w:sz w:val="13"/>
        </w:rPr>
        <w:t> </w:t>
      </w:r>
      <w:r>
        <w:rPr>
          <w:sz w:val="13"/>
        </w:rPr>
        <w:t>Victoria).</w:t>
      </w:r>
    </w:p>
    <w:p>
      <w:pPr>
        <w:pStyle w:val="ListParagraph"/>
        <w:numPr>
          <w:ilvl w:val="0"/>
          <w:numId w:val="110"/>
        </w:numPr>
        <w:tabs>
          <w:tab w:pos="893" w:val="left" w:leader="none"/>
          <w:tab w:pos="894" w:val="left" w:leader="none"/>
        </w:tabs>
        <w:spacing w:line="160" w:lineRule="exact" w:before="0" w:after="0"/>
        <w:ind w:left="893" w:right="0" w:hanging="793"/>
        <w:jc w:val="left"/>
        <w:rPr>
          <w:sz w:val="13"/>
        </w:rPr>
      </w:pPr>
      <w:r>
        <w:rPr>
          <w:sz w:val="13"/>
        </w:rPr>
        <w:t>Information provided by Juries Victoria to Victorian Law Reform </w:t>
      </w:r>
      <w:r>
        <w:rPr>
          <w:spacing w:val="2"/>
          <w:sz w:val="13"/>
        </w:rPr>
        <w:t>Commission, </w:t>
      </w:r>
      <w:r>
        <w:rPr>
          <w:sz w:val="13"/>
        </w:rPr>
        <w:t>9 June</w:t>
      </w:r>
      <w:r>
        <w:rPr>
          <w:spacing w:val="8"/>
          <w:sz w:val="13"/>
        </w:rPr>
        <w:t> </w:t>
      </w:r>
      <w:r>
        <w:rPr>
          <w:sz w:val="13"/>
        </w:rPr>
        <w:t>2021.</w:t>
      </w:r>
    </w:p>
    <w:p>
      <w:pPr>
        <w:pStyle w:val="ListParagraph"/>
        <w:numPr>
          <w:ilvl w:val="0"/>
          <w:numId w:val="110"/>
        </w:numPr>
        <w:tabs>
          <w:tab w:pos="893" w:val="left" w:leader="none"/>
          <w:tab w:pos="894" w:val="left" w:leader="none"/>
        </w:tabs>
        <w:spacing w:line="170" w:lineRule="exact" w:before="0" w:after="0"/>
        <w:ind w:left="893" w:right="0" w:hanging="793"/>
        <w:jc w:val="left"/>
        <w:rPr>
          <w:sz w:val="13"/>
        </w:rPr>
      </w:pPr>
      <w:r>
        <w:rPr>
          <w:sz w:val="13"/>
        </w:rPr>
        <w:t>Consultation 10 </w:t>
      </w:r>
      <w:r>
        <w:rPr>
          <w:spacing w:val="2"/>
          <w:sz w:val="13"/>
        </w:rPr>
        <w:t>(Juries</w:t>
      </w:r>
      <w:r>
        <w:rPr>
          <w:sz w:val="13"/>
        </w:rPr>
        <w:t> Victoria).</w:t>
      </w:r>
    </w:p>
    <w:p>
      <w:pPr>
        <w:spacing w:after="0" w:line="170" w:lineRule="exact"/>
        <w:jc w:val="left"/>
        <w:rPr>
          <w:sz w:val="13"/>
        </w:rPr>
        <w:sectPr>
          <w:type w:val="continuous"/>
          <w:pgSz w:w="11910" w:h="16840"/>
          <w:pgMar w:top="620" w:bottom="280" w:left="620" w:right="380"/>
          <w:cols w:num="2" w:equalWidth="0">
            <w:col w:w="546" w:space="321"/>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07" w:hanging="794"/>
        <w:jc w:val="left"/>
        <w:rPr>
          <w:sz w:val="20"/>
        </w:rPr>
      </w:pPr>
      <w:bookmarkStart w:name="Clarifying the courts’ power to excuse i" w:id="330"/>
      <w:bookmarkEnd w:id="330"/>
      <w:r>
        <w:rPr/>
      </w:r>
      <w:bookmarkStart w:name="_bookmark139" w:id="331"/>
      <w:bookmarkEnd w:id="331"/>
      <w:r>
        <w:rPr/>
      </w:r>
      <w:bookmarkStart w:name="_bookmark139" w:id="332"/>
      <w:bookmarkEnd w:id="332"/>
      <w:r>
        <w:rPr>
          <w:spacing w:val="-3"/>
          <w:sz w:val="20"/>
        </w:rPr>
        <w:t>F</w:t>
      </w:r>
      <w:r>
        <w:rPr>
          <w:spacing w:val="-3"/>
          <w:sz w:val="20"/>
        </w:rPr>
        <w:t>or example, </w:t>
      </w:r>
      <w:r>
        <w:rPr>
          <w:sz w:val="20"/>
        </w:rPr>
        <w:t>the Juries Victoria </w:t>
      </w:r>
      <w:r>
        <w:rPr>
          <w:spacing w:val="-3"/>
          <w:sz w:val="20"/>
        </w:rPr>
        <w:t>website </w:t>
      </w:r>
      <w:r>
        <w:rPr>
          <w:sz w:val="20"/>
        </w:rPr>
        <w:t>and the questionnaire could </w:t>
      </w:r>
      <w:r>
        <w:rPr>
          <w:spacing w:val="-3"/>
          <w:sz w:val="20"/>
        </w:rPr>
        <w:t>state: </w:t>
      </w:r>
      <w:r>
        <w:rPr>
          <w:sz w:val="20"/>
        </w:rPr>
        <w:t>‘If </w:t>
      </w:r>
      <w:r>
        <w:rPr>
          <w:spacing w:val="-3"/>
          <w:sz w:val="20"/>
        </w:rPr>
        <w:t>you are </w:t>
      </w:r>
      <w:r>
        <w:rPr>
          <w:spacing w:val="-4"/>
          <w:sz w:val="20"/>
        </w:rPr>
        <w:t>deaf, </w:t>
      </w:r>
      <w:r>
        <w:rPr>
          <w:sz w:val="20"/>
        </w:rPr>
        <w:t>hard of hearing, blind or with </w:t>
      </w:r>
      <w:r>
        <w:rPr>
          <w:spacing w:val="-4"/>
          <w:sz w:val="20"/>
        </w:rPr>
        <w:t>low </w:t>
      </w:r>
      <w:r>
        <w:rPr>
          <w:sz w:val="20"/>
        </w:rPr>
        <w:t>vision, </w:t>
      </w:r>
      <w:r>
        <w:rPr>
          <w:spacing w:val="-3"/>
          <w:sz w:val="20"/>
        </w:rPr>
        <w:t>you </w:t>
      </w:r>
      <w:r>
        <w:rPr>
          <w:sz w:val="20"/>
        </w:rPr>
        <w:t>can still serve on a jury if reasonable supports can be </w:t>
      </w:r>
      <w:r>
        <w:rPr>
          <w:spacing w:val="-3"/>
          <w:sz w:val="20"/>
        </w:rPr>
        <w:t>provided </w:t>
      </w:r>
      <w:r>
        <w:rPr>
          <w:sz w:val="20"/>
        </w:rPr>
        <w:t>to enable </w:t>
      </w:r>
      <w:r>
        <w:rPr>
          <w:spacing w:val="-3"/>
          <w:sz w:val="20"/>
        </w:rPr>
        <w:t>you </w:t>
      </w:r>
      <w:r>
        <w:rPr>
          <w:sz w:val="20"/>
        </w:rPr>
        <w:t>to perform your duties. Contact JV ahead of time to discuss what support </w:t>
      </w:r>
      <w:r>
        <w:rPr>
          <w:spacing w:val="-3"/>
          <w:sz w:val="20"/>
        </w:rPr>
        <w:t>you </w:t>
      </w:r>
      <w:r>
        <w:rPr>
          <w:sz w:val="20"/>
        </w:rPr>
        <w:t>might need to attend. If </w:t>
      </w:r>
      <w:r>
        <w:rPr>
          <w:spacing w:val="-3"/>
          <w:sz w:val="20"/>
        </w:rPr>
        <w:t>you </w:t>
      </w:r>
      <w:r>
        <w:rPr>
          <w:sz w:val="20"/>
        </w:rPr>
        <w:t>do not think </w:t>
      </w:r>
      <w:r>
        <w:rPr>
          <w:spacing w:val="-3"/>
          <w:sz w:val="20"/>
        </w:rPr>
        <w:t>you </w:t>
      </w:r>
      <w:r>
        <w:rPr>
          <w:sz w:val="20"/>
        </w:rPr>
        <w:t>will be able</w:t>
      </w:r>
      <w:r>
        <w:rPr>
          <w:spacing w:val="-10"/>
          <w:sz w:val="20"/>
        </w:rPr>
        <w:t> </w:t>
      </w:r>
      <w:r>
        <w:rPr>
          <w:sz w:val="20"/>
        </w:rPr>
        <w:t>to</w:t>
      </w:r>
      <w:r>
        <w:rPr>
          <w:spacing w:val="-10"/>
          <w:sz w:val="20"/>
        </w:rPr>
        <w:t> </w:t>
      </w:r>
      <w:r>
        <w:rPr>
          <w:sz w:val="20"/>
        </w:rPr>
        <w:t>serve</w:t>
      </w:r>
      <w:r>
        <w:rPr>
          <w:spacing w:val="-10"/>
          <w:sz w:val="20"/>
        </w:rPr>
        <w:t> </w:t>
      </w:r>
      <w:r>
        <w:rPr>
          <w:sz w:val="20"/>
        </w:rPr>
        <w:t>because</w:t>
      </w:r>
      <w:r>
        <w:rPr>
          <w:spacing w:val="-10"/>
          <w:sz w:val="20"/>
        </w:rPr>
        <w:t> </w:t>
      </w:r>
      <w:r>
        <w:rPr>
          <w:sz w:val="20"/>
        </w:rPr>
        <w:t>of</w:t>
      </w:r>
      <w:r>
        <w:rPr>
          <w:spacing w:val="-10"/>
          <w:sz w:val="20"/>
        </w:rPr>
        <w:t> </w:t>
      </w:r>
      <w:r>
        <w:rPr>
          <w:sz w:val="20"/>
        </w:rPr>
        <w:t>a</w:t>
      </w:r>
      <w:r>
        <w:rPr>
          <w:spacing w:val="-10"/>
          <w:sz w:val="20"/>
        </w:rPr>
        <w:t> </w:t>
      </w:r>
      <w:r>
        <w:rPr>
          <w:sz w:val="20"/>
        </w:rPr>
        <w:t>reason</w:t>
      </w:r>
      <w:r>
        <w:rPr>
          <w:spacing w:val="-10"/>
          <w:sz w:val="20"/>
        </w:rPr>
        <w:t> </w:t>
      </w:r>
      <w:r>
        <w:rPr>
          <w:sz w:val="20"/>
        </w:rPr>
        <w:t>associated</w:t>
      </w:r>
      <w:r>
        <w:rPr>
          <w:spacing w:val="-10"/>
          <w:sz w:val="20"/>
        </w:rPr>
        <w:t> </w:t>
      </w:r>
      <w:r>
        <w:rPr>
          <w:sz w:val="20"/>
        </w:rPr>
        <w:t>with</w:t>
      </w:r>
      <w:r>
        <w:rPr>
          <w:spacing w:val="-10"/>
          <w:sz w:val="20"/>
        </w:rPr>
        <w:t> </w:t>
      </w:r>
      <w:r>
        <w:rPr>
          <w:sz w:val="20"/>
        </w:rPr>
        <w:t>your</w:t>
      </w:r>
      <w:r>
        <w:rPr>
          <w:spacing w:val="-10"/>
          <w:sz w:val="20"/>
        </w:rPr>
        <w:t> </w:t>
      </w:r>
      <w:r>
        <w:rPr>
          <w:sz w:val="20"/>
        </w:rPr>
        <w:t>disability,</w:t>
      </w:r>
      <w:r>
        <w:rPr>
          <w:spacing w:val="-10"/>
          <w:sz w:val="20"/>
        </w:rPr>
        <w:t> </w:t>
      </w:r>
      <w:r>
        <w:rPr>
          <w:spacing w:val="-3"/>
          <w:sz w:val="20"/>
        </w:rPr>
        <w:t>you</w:t>
      </w:r>
      <w:r>
        <w:rPr>
          <w:spacing w:val="-10"/>
          <w:sz w:val="20"/>
        </w:rPr>
        <w:t> </w:t>
      </w:r>
      <w:r>
        <w:rPr>
          <w:sz w:val="20"/>
        </w:rPr>
        <w:t>can</w:t>
      </w:r>
      <w:r>
        <w:rPr>
          <w:spacing w:val="-10"/>
          <w:sz w:val="20"/>
        </w:rPr>
        <w:t> </w:t>
      </w:r>
      <w:r>
        <w:rPr>
          <w:spacing w:val="-3"/>
          <w:sz w:val="20"/>
        </w:rPr>
        <w:t>apply</w:t>
      </w:r>
      <w:r>
        <w:rPr>
          <w:spacing w:val="-10"/>
          <w:sz w:val="20"/>
        </w:rPr>
        <w:t> </w:t>
      </w:r>
      <w:r>
        <w:rPr>
          <w:sz w:val="20"/>
        </w:rPr>
        <w:t>to</w:t>
      </w:r>
      <w:r>
        <w:rPr>
          <w:spacing w:val="-10"/>
          <w:sz w:val="20"/>
        </w:rPr>
        <w:t> </w:t>
      </w:r>
      <w:r>
        <w:rPr>
          <w:sz w:val="20"/>
        </w:rPr>
        <w:t>JV</w:t>
      </w:r>
      <w:r>
        <w:rPr>
          <w:spacing w:val="-10"/>
          <w:sz w:val="20"/>
        </w:rPr>
        <w:t> </w:t>
      </w:r>
      <w:r>
        <w:rPr>
          <w:sz w:val="20"/>
        </w:rPr>
        <w:t>to be </w:t>
      </w:r>
      <w:r>
        <w:rPr>
          <w:spacing w:val="-3"/>
          <w:sz w:val="20"/>
        </w:rPr>
        <w:t>excused from </w:t>
      </w:r>
      <w:r>
        <w:rPr>
          <w:sz w:val="20"/>
        </w:rPr>
        <w:t>jury</w:t>
      </w:r>
      <w:r>
        <w:rPr>
          <w:spacing w:val="-10"/>
          <w:sz w:val="20"/>
        </w:rPr>
        <w:t> </w:t>
      </w:r>
      <w:r>
        <w:rPr>
          <w:spacing w:val="-5"/>
          <w:sz w:val="20"/>
        </w:rPr>
        <w:t>duty.’</w:t>
      </w:r>
    </w:p>
    <w:p>
      <w:pPr>
        <w:pStyle w:val="ListParagraph"/>
        <w:numPr>
          <w:ilvl w:val="1"/>
          <w:numId w:val="12"/>
        </w:numPr>
        <w:tabs>
          <w:tab w:pos="1761" w:val="left" w:leader="none"/>
          <w:tab w:pos="1762" w:val="left" w:leader="none"/>
        </w:tabs>
        <w:spacing w:line="206" w:lineRule="auto" w:before="128" w:after="0"/>
        <w:ind w:left="1761" w:right="1410" w:hanging="794"/>
        <w:jc w:val="left"/>
        <w:rPr>
          <w:sz w:val="20"/>
        </w:rPr>
      </w:pPr>
      <w:r>
        <w:rPr>
          <w:sz w:val="20"/>
        </w:rPr>
        <w:t>An</w:t>
      </w:r>
      <w:r>
        <w:rPr>
          <w:spacing w:val="-7"/>
          <w:sz w:val="20"/>
        </w:rPr>
        <w:t> </w:t>
      </w:r>
      <w:r>
        <w:rPr>
          <w:spacing w:val="-3"/>
          <w:sz w:val="20"/>
        </w:rPr>
        <w:t>example</w:t>
      </w:r>
      <w:r>
        <w:rPr>
          <w:spacing w:val="-7"/>
          <w:sz w:val="20"/>
        </w:rPr>
        <w:t> </w:t>
      </w:r>
      <w:r>
        <w:rPr>
          <w:sz w:val="20"/>
        </w:rPr>
        <w:t>of</w:t>
      </w:r>
      <w:r>
        <w:rPr>
          <w:spacing w:val="-7"/>
          <w:sz w:val="20"/>
        </w:rPr>
        <w:t> </w:t>
      </w:r>
      <w:r>
        <w:rPr>
          <w:sz w:val="20"/>
        </w:rPr>
        <w:t>a</w:t>
      </w:r>
      <w:r>
        <w:rPr>
          <w:spacing w:val="-6"/>
          <w:sz w:val="20"/>
        </w:rPr>
        <w:t> </w:t>
      </w:r>
      <w:r>
        <w:rPr>
          <w:sz w:val="20"/>
        </w:rPr>
        <w:t>good</w:t>
      </w:r>
      <w:r>
        <w:rPr>
          <w:spacing w:val="-7"/>
          <w:sz w:val="20"/>
        </w:rPr>
        <w:t> </w:t>
      </w:r>
      <w:r>
        <w:rPr>
          <w:sz w:val="20"/>
        </w:rPr>
        <w:t>reason</w:t>
      </w:r>
      <w:r>
        <w:rPr>
          <w:spacing w:val="-7"/>
          <w:sz w:val="20"/>
        </w:rPr>
        <w:t> </w:t>
      </w:r>
      <w:r>
        <w:rPr>
          <w:sz w:val="20"/>
        </w:rPr>
        <w:t>should</w:t>
      </w:r>
      <w:r>
        <w:rPr>
          <w:spacing w:val="-7"/>
          <w:sz w:val="20"/>
        </w:rPr>
        <w:t> </w:t>
      </w:r>
      <w:r>
        <w:rPr>
          <w:sz w:val="20"/>
        </w:rPr>
        <w:t>be</w:t>
      </w:r>
      <w:r>
        <w:rPr>
          <w:spacing w:val="-6"/>
          <w:sz w:val="20"/>
        </w:rPr>
        <w:t> </w:t>
      </w:r>
      <w:r>
        <w:rPr>
          <w:spacing w:val="-3"/>
          <w:sz w:val="20"/>
        </w:rPr>
        <w:t>provided</w:t>
      </w:r>
      <w:r>
        <w:rPr>
          <w:spacing w:val="-7"/>
          <w:sz w:val="20"/>
        </w:rPr>
        <w:t> </w:t>
      </w:r>
      <w:r>
        <w:rPr>
          <w:sz w:val="20"/>
        </w:rPr>
        <w:t>on</w:t>
      </w:r>
      <w:r>
        <w:rPr>
          <w:spacing w:val="-7"/>
          <w:sz w:val="20"/>
        </w:rPr>
        <w:t> </w:t>
      </w:r>
      <w:r>
        <w:rPr>
          <w:sz w:val="20"/>
        </w:rPr>
        <w:t>the</w:t>
      </w:r>
      <w:r>
        <w:rPr>
          <w:spacing w:val="-7"/>
          <w:sz w:val="20"/>
        </w:rPr>
        <w:t> </w:t>
      </w:r>
      <w:r>
        <w:rPr>
          <w:spacing w:val="-3"/>
          <w:sz w:val="20"/>
        </w:rPr>
        <w:t>website;</w:t>
      </w:r>
      <w:r>
        <w:rPr>
          <w:spacing w:val="-6"/>
          <w:sz w:val="20"/>
        </w:rPr>
        <w:t> </w:t>
      </w:r>
      <w:r>
        <w:rPr>
          <w:spacing w:val="-5"/>
          <w:sz w:val="20"/>
        </w:rPr>
        <w:t>however,</w:t>
      </w:r>
      <w:r>
        <w:rPr>
          <w:spacing w:val="-7"/>
          <w:sz w:val="20"/>
        </w:rPr>
        <w:t> </w:t>
      </w:r>
      <w:r>
        <w:rPr>
          <w:sz w:val="20"/>
        </w:rPr>
        <w:t>a</w:t>
      </w:r>
      <w:r>
        <w:rPr>
          <w:spacing w:val="-7"/>
          <w:sz w:val="20"/>
        </w:rPr>
        <w:t> </w:t>
      </w:r>
      <w:r>
        <w:rPr>
          <w:sz w:val="20"/>
        </w:rPr>
        <w:t>detailed list should be avoided. Examples might</w:t>
      </w:r>
      <w:r>
        <w:rPr>
          <w:spacing w:val="-30"/>
          <w:sz w:val="20"/>
        </w:rPr>
        <w:t> </w:t>
      </w:r>
      <w:r>
        <w:rPr>
          <w:sz w:val="20"/>
        </w:rPr>
        <w:t>include:</w:t>
      </w:r>
    </w:p>
    <w:p>
      <w:pPr>
        <w:pStyle w:val="ListParagraph"/>
        <w:numPr>
          <w:ilvl w:val="2"/>
          <w:numId w:val="12"/>
        </w:numPr>
        <w:tabs>
          <w:tab w:pos="2157" w:val="left" w:leader="none"/>
          <w:tab w:pos="2158" w:val="left" w:leader="none"/>
        </w:tabs>
        <w:spacing w:line="240" w:lineRule="auto" w:before="90" w:after="0"/>
        <w:ind w:left="2157" w:right="0" w:hanging="396"/>
        <w:jc w:val="left"/>
        <w:rPr>
          <w:sz w:val="20"/>
        </w:rPr>
      </w:pPr>
      <w:r>
        <w:rPr>
          <w:sz w:val="20"/>
        </w:rPr>
        <w:t>I </w:t>
      </w:r>
      <w:r>
        <w:rPr>
          <w:spacing w:val="-4"/>
          <w:sz w:val="20"/>
        </w:rPr>
        <w:t>have </w:t>
      </w:r>
      <w:r>
        <w:rPr>
          <w:spacing w:val="-3"/>
          <w:sz w:val="20"/>
        </w:rPr>
        <w:t>recently </w:t>
      </w:r>
      <w:r>
        <w:rPr>
          <w:sz w:val="20"/>
        </w:rPr>
        <w:t>become blind or</w:t>
      </w:r>
      <w:r>
        <w:rPr>
          <w:spacing w:val="-18"/>
          <w:sz w:val="20"/>
        </w:rPr>
        <w:t> </w:t>
      </w:r>
      <w:r>
        <w:rPr>
          <w:spacing w:val="-4"/>
          <w:sz w:val="20"/>
        </w:rPr>
        <w:t>deaf.</w:t>
      </w:r>
    </w:p>
    <w:p>
      <w:pPr>
        <w:pStyle w:val="ListParagraph"/>
        <w:numPr>
          <w:ilvl w:val="2"/>
          <w:numId w:val="12"/>
        </w:numPr>
        <w:tabs>
          <w:tab w:pos="2157" w:val="left" w:leader="none"/>
          <w:tab w:pos="2158" w:val="left" w:leader="none"/>
        </w:tabs>
        <w:spacing w:line="206" w:lineRule="auto" w:before="79" w:after="0"/>
        <w:ind w:left="2157" w:right="1271" w:hanging="396"/>
        <w:jc w:val="left"/>
        <w:rPr>
          <w:sz w:val="20"/>
        </w:rPr>
      </w:pPr>
      <w:r>
        <w:rPr>
          <w:sz w:val="20"/>
        </w:rPr>
        <w:t>I</w:t>
      </w:r>
      <w:r>
        <w:rPr>
          <w:spacing w:val="-6"/>
          <w:sz w:val="20"/>
        </w:rPr>
        <w:t> </w:t>
      </w:r>
      <w:r>
        <w:rPr>
          <w:spacing w:val="-4"/>
          <w:sz w:val="20"/>
        </w:rPr>
        <w:t>have</w:t>
      </w:r>
      <w:r>
        <w:rPr>
          <w:spacing w:val="-6"/>
          <w:sz w:val="20"/>
        </w:rPr>
        <w:t> </w:t>
      </w:r>
      <w:r>
        <w:rPr>
          <w:spacing w:val="-3"/>
          <w:sz w:val="20"/>
        </w:rPr>
        <w:t>recently</w:t>
      </w:r>
      <w:r>
        <w:rPr>
          <w:spacing w:val="-6"/>
          <w:sz w:val="20"/>
        </w:rPr>
        <w:t> </w:t>
      </w:r>
      <w:r>
        <w:rPr>
          <w:spacing w:val="-3"/>
          <w:sz w:val="20"/>
        </w:rPr>
        <w:t>received</w:t>
      </w:r>
      <w:r>
        <w:rPr>
          <w:spacing w:val="-5"/>
          <w:sz w:val="20"/>
        </w:rPr>
        <w:t> </w:t>
      </w:r>
      <w:r>
        <w:rPr>
          <w:sz w:val="20"/>
        </w:rPr>
        <w:t>new</w:t>
      </w:r>
      <w:r>
        <w:rPr>
          <w:spacing w:val="-6"/>
          <w:sz w:val="20"/>
        </w:rPr>
        <w:t> </w:t>
      </w:r>
      <w:r>
        <w:rPr>
          <w:spacing w:val="-4"/>
          <w:sz w:val="20"/>
        </w:rPr>
        <w:t>technology/new</w:t>
      </w:r>
      <w:r>
        <w:rPr>
          <w:spacing w:val="-6"/>
          <w:sz w:val="20"/>
        </w:rPr>
        <w:t> </w:t>
      </w:r>
      <w:r>
        <w:rPr>
          <w:sz w:val="20"/>
        </w:rPr>
        <w:t>guide</w:t>
      </w:r>
      <w:r>
        <w:rPr>
          <w:spacing w:val="-6"/>
          <w:sz w:val="20"/>
        </w:rPr>
        <w:t> </w:t>
      </w:r>
      <w:r>
        <w:rPr>
          <w:sz w:val="20"/>
        </w:rPr>
        <w:t>dog</w:t>
      </w:r>
      <w:r>
        <w:rPr>
          <w:spacing w:val="-6"/>
          <w:sz w:val="20"/>
        </w:rPr>
        <w:t> </w:t>
      </w:r>
      <w:r>
        <w:rPr>
          <w:sz w:val="20"/>
        </w:rPr>
        <w:t>and</w:t>
      </w:r>
      <w:r>
        <w:rPr>
          <w:spacing w:val="-5"/>
          <w:sz w:val="20"/>
        </w:rPr>
        <w:t> </w:t>
      </w:r>
      <w:r>
        <w:rPr>
          <w:sz w:val="20"/>
        </w:rPr>
        <w:t>do</w:t>
      </w:r>
      <w:r>
        <w:rPr>
          <w:spacing w:val="-6"/>
          <w:sz w:val="20"/>
        </w:rPr>
        <w:t> </w:t>
      </w:r>
      <w:r>
        <w:rPr>
          <w:sz w:val="20"/>
        </w:rPr>
        <w:t>not</w:t>
      </w:r>
      <w:r>
        <w:rPr>
          <w:spacing w:val="-6"/>
          <w:sz w:val="20"/>
        </w:rPr>
        <w:t> </w:t>
      </w:r>
      <w:r>
        <w:rPr>
          <w:spacing w:val="-3"/>
          <w:sz w:val="20"/>
        </w:rPr>
        <w:t>presently</w:t>
      </w:r>
      <w:r>
        <w:rPr>
          <w:spacing w:val="-6"/>
          <w:sz w:val="20"/>
        </w:rPr>
        <w:t> </w:t>
      </w:r>
      <w:r>
        <w:rPr>
          <w:sz w:val="20"/>
        </w:rPr>
        <w:t>feel comfortable to</w:t>
      </w:r>
      <w:r>
        <w:rPr>
          <w:spacing w:val="-9"/>
          <w:sz w:val="20"/>
        </w:rPr>
        <w:t> </w:t>
      </w:r>
      <w:r>
        <w:rPr>
          <w:sz w:val="20"/>
        </w:rPr>
        <w:t>serve.</w:t>
      </w:r>
    </w:p>
    <w:p>
      <w:pPr>
        <w:pStyle w:val="ListParagraph"/>
        <w:numPr>
          <w:ilvl w:val="2"/>
          <w:numId w:val="12"/>
        </w:numPr>
        <w:tabs>
          <w:tab w:pos="2157" w:val="left" w:leader="none"/>
          <w:tab w:pos="2158" w:val="left" w:leader="none"/>
        </w:tabs>
        <w:spacing w:line="206" w:lineRule="auto" w:before="88" w:after="0"/>
        <w:ind w:left="2157" w:right="1589" w:hanging="396"/>
        <w:jc w:val="left"/>
        <w:rPr>
          <w:sz w:val="20"/>
        </w:rPr>
      </w:pPr>
      <w:r>
        <w:rPr>
          <w:sz w:val="20"/>
        </w:rPr>
        <w:t>I</w:t>
      </w:r>
      <w:r>
        <w:rPr>
          <w:spacing w:val="-9"/>
          <w:sz w:val="20"/>
        </w:rPr>
        <w:t> </w:t>
      </w:r>
      <w:r>
        <w:rPr>
          <w:sz w:val="20"/>
        </w:rPr>
        <w:t>am</w:t>
      </w:r>
      <w:r>
        <w:rPr>
          <w:spacing w:val="-9"/>
          <w:sz w:val="20"/>
        </w:rPr>
        <w:t> </w:t>
      </w:r>
      <w:r>
        <w:rPr>
          <w:sz w:val="20"/>
        </w:rPr>
        <w:t>worried</w:t>
      </w:r>
      <w:r>
        <w:rPr>
          <w:spacing w:val="-9"/>
          <w:sz w:val="20"/>
        </w:rPr>
        <w:t> </w:t>
      </w:r>
      <w:r>
        <w:rPr>
          <w:sz w:val="20"/>
        </w:rPr>
        <w:t>about</w:t>
      </w:r>
      <w:r>
        <w:rPr>
          <w:spacing w:val="-9"/>
          <w:sz w:val="20"/>
        </w:rPr>
        <w:t> </w:t>
      </w:r>
      <w:r>
        <w:rPr>
          <w:sz w:val="20"/>
        </w:rPr>
        <w:t>the</w:t>
      </w:r>
      <w:r>
        <w:rPr>
          <w:spacing w:val="-9"/>
          <w:sz w:val="20"/>
        </w:rPr>
        <w:t> </w:t>
      </w:r>
      <w:r>
        <w:rPr>
          <w:sz w:val="20"/>
        </w:rPr>
        <w:t>idea</w:t>
      </w:r>
      <w:r>
        <w:rPr>
          <w:spacing w:val="-9"/>
          <w:sz w:val="20"/>
        </w:rPr>
        <w:t> </w:t>
      </w:r>
      <w:r>
        <w:rPr>
          <w:sz w:val="20"/>
        </w:rPr>
        <w:t>of</w:t>
      </w:r>
      <w:r>
        <w:rPr>
          <w:spacing w:val="-9"/>
          <w:sz w:val="20"/>
        </w:rPr>
        <w:t> </w:t>
      </w:r>
      <w:r>
        <w:rPr>
          <w:spacing w:val="-3"/>
          <w:sz w:val="20"/>
        </w:rPr>
        <w:t>having</w:t>
      </w:r>
      <w:r>
        <w:rPr>
          <w:spacing w:val="-8"/>
          <w:sz w:val="20"/>
        </w:rPr>
        <w:t> </w:t>
      </w:r>
      <w:r>
        <w:rPr>
          <w:sz w:val="20"/>
        </w:rPr>
        <w:t>to</w:t>
      </w:r>
      <w:r>
        <w:rPr>
          <w:spacing w:val="-9"/>
          <w:sz w:val="20"/>
        </w:rPr>
        <w:t> </w:t>
      </w:r>
      <w:r>
        <w:rPr>
          <w:sz w:val="20"/>
        </w:rPr>
        <w:t>serve</w:t>
      </w:r>
      <w:r>
        <w:rPr>
          <w:spacing w:val="-9"/>
          <w:sz w:val="20"/>
        </w:rPr>
        <w:t> </w:t>
      </w:r>
      <w:r>
        <w:rPr>
          <w:sz w:val="20"/>
        </w:rPr>
        <w:t>with</w:t>
      </w:r>
      <w:r>
        <w:rPr>
          <w:spacing w:val="-9"/>
          <w:sz w:val="20"/>
        </w:rPr>
        <w:t> </w:t>
      </w:r>
      <w:r>
        <w:rPr>
          <w:sz w:val="20"/>
        </w:rPr>
        <w:t>multiple</w:t>
      </w:r>
      <w:r>
        <w:rPr>
          <w:spacing w:val="-9"/>
          <w:sz w:val="20"/>
        </w:rPr>
        <w:t> </w:t>
      </w:r>
      <w:r>
        <w:rPr>
          <w:sz w:val="20"/>
        </w:rPr>
        <w:t>Auslan</w:t>
      </w:r>
      <w:r>
        <w:rPr>
          <w:spacing w:val="-9"/>
          <w:sz w:val="20"/>
        </w:rPr>
        <w:t> </w:t>
      </w:r>
      <w:r>
        <w:rPr>
          <w:spacing w:val="-3"/>
          <w:sz w:val="20"/>
        </w:rPr>
        <w:t>interpreters </w:t>
      </w:r>
      <w:r>
        <w:rPr>
          <w:sz w:val="20"/>
        </w:rPr>
        <w:t>that I do not</w:t>
      </w:r>
      <w:r>
        <w:rPr>
          <w:spacing w:val="-17"/>
          <w:sz w:val="20"/>
        </w:rPr>
        <w:t> </w:t>
      </w:r>
      <w:r>
        <w:rPr>
          <w:spacing w:val="-5"/>
          <w:sz w:val="20"/>
        </w:rPr>
        <w:t>know.</w:t>
      </w:r>
    </w:p>
    <w:p>
      <w:pPr>
        <w:pStyle w:val="BodyText"/>
        <w:spacing w:before="12"/>
        <w:rPr>
          <w:sz w:val="16"/>
        </w:rPr>
      </w:pPr>
      <w:r>
        <w:rPr/>
        <w:pict>
          <v:group style="position:absolute;margin-left:62.362202pt;margin-top:13.6594pt;width:479.1pt;height:84.4pt;mso-position-horizontal-relative:page;mso-position-vertical-relative:paragraph;z-index:9896;mso-wrap-distance-left:0;mso-wrap-distance-right:0" coordorigin="1247,273" coordsize="9582,1688">
            <v:rect style="position:absolute;left:1587;top:273;width:8731;height:1688" filled="true" fillcolor="#dddfe4" stroked="false">
              <v:fill type="solid"/>
            </v:rect>
            <v:line style="position:absolute" from="1247,1081" to="10828,1081" stroked="true" strokeweight="2.5pt" strokecolor="#ffffff">
              <v:stroke dashstyle="solid"/>
            </v:line>
            <v:shape style="position:absolute;left:2381;top:1306;width:7441;height:475" type="#_x0000_t202" filled="false" stroked="false">
              <v:textbox inset="0,0,0,0">
                <w:txbxContent>
                  <w:p>
                    <w:pPr>
                      <w:spacing w:line="247" w:lineRule="auto" w:before="0"/>
                      <w:ind w:left="0" w:right="0" w:firstLine="0"/>
                      <w:jc w:val="left"/>
                      <w:rPr>
                        <w:rFonts w:ascii="Trebuchet MS"/>
                        <w:sz w:val="20"/>
                      </w:rPr>
                    </w:pPr>
                    <w:r>
                      <w:rPr>
                        <w:rFonts w:ascii="Trebuchet MS"/>
                        <w:sz w:val="20"/>
                      </w:rPr>
                      <w:t>The Juries Victoria website should provide information about the excuse process </w:t>
                    </w:r>
                    <w:r>
                      <w:rPr>
                        <w:rFonts w:ascii="Trebuchet MS"/>
                        <w:w w:val="105"/>
                        <w:sz w:val="20"/>
                      </w:rPr>
                      <w:t>a</w:t>
                    </w:r>
                    <w:r>
                      <w:rPr>
                        <w:rFonts w:ascii="Trebuchet MS"/>
                        <w:w w:val="107"/>
                        <w:sz w:val="20"/>
                      </w:rPr>
                      <w:t>n</w:t>
                    </w:r>
                    <w:r>
                      <w:rPr>
                        <w:rFonts w:ascii="Trebuchet MS"/>
                        <w:w w:val="112"/>
                        <w:sz w:val="20"/>
                      </w:rPr>
                      <w:t>d</w:t>
                    </w:r>
                    <w:r>
                      <w:rPr>
                        <w:rFonts w:ascii="Trebuchet MS"/>
                        <w:sz w:val="20"/>
                      </w:rPr>
                      <w:t> </w:t>
                    </w:r>
                    <w:r>
                      <w:rPr>
                        <w:rFonts w:ascii="Trebuchet MS"/>
                        <w:w w:val="111"/>
                        <w:sz w:val="20"/>
                      </w:rPr>
                      <w:t>p</w:t>
                    </w:r>
                    <w:r>
                      <w:rPr>
                        <w:rFonts w:ascii="Trebuchet MS"/>
                        <w:w w:val="93"/>
                        <w:sz w:val="20"/>
                      </w:rPr>
                      <w:t>r</w:t>
                    </w:r>
                    <w:r>
                      <w:rPr>
                        <w:rFonts w:ascii="Trebuchet MS"/>
                        <w:w w:val="111"/>
                        <w:sz w:val="20"/>
                      </w:rPr>
                      <w:t>o</w:t>
                    </w:r>
                    <w:r>
                      <w:rPr>
                        <w:rFonts w:ascii="Trebuchet MS"/>
                        <w:w w:val="109"/>
                        <w:sz w:val="20"/>
                      </w:rPr>
                      <w:t>v</w:t>
                    </w:r>
                    <w:r>
                      <w:rPr>
                        <w:rFonts w:ascii="Trebuchet MS"/>
                        <w:w w:val="80"/>
                        <w:sz w:val="20"/>
                      </w:rPr>
                      <w:t>i</w:t>
                    </w:r>
                    <w:r>
                      <w:rPr>
                        <w:rFonts w:ascii="Trebuchet MS"/>
                        <w:w w:val="112"/>
                        <w:sz w:val="20"/>
                      </w:rPr>
                      <w:t>d</w:t>
                    </w:r>
                    <w:r>
                      <w:rPr>
                        <w:rFonts w:ascii="Trebuchet MS"/>
                        <w:w w:val="108"/>
                        <w:sz w:val="20"/>
                      </w:rPr>
                      <w:t>e</w:t>
                    </w:r>
                    <w:r>
                      <w:rPr>
                        <w:rFonts w:ascii="Trebuchet MS"/>
                        <w:sz w:val="20"/>
                      </w:rPr>
                      <w:t> </w:t>
                    </w:r>
                    <w:r>
                      <w:rPr>
                        <w:rFonts w:ascii="Trebuchet MS"/>
                        <w:w w:val="108"/>
                        <w:sz w:val="20"/>
                      </w:rPr>
                      <w:t>e</w:t>
                    </w:r>
                    <w:r>
                      <w:rPr>
                        <w:rFonts w:ascii="Trebuchet MS"/>
                        <w:w w:val="102"/>
                        <w:sz w:val="20"/>
                      </w:rPr>
                      <w:t>x</w:t>
                    </w:r>
                    <w:r>
                      <w:rPr>
                        <w:rFonts w:ascii="Trebuchet MS"/>
                        <w:w w:val="105"/>
                        <w:sz w:val="20"/>
                      </w:rPr>
                      <w:t>a</w:t>
                    </w:r>
                    <w:r>
                      <w:rPr>
                        <w:rFonts w:ascii="Trebuchet MS"/>
                        <w:w w:val="111"/>
                        <w:sz w:val="20"/>
                      </w:rPr>
                      <w:t>m</w:t>
                    </w:r>
                    <w:r>
                      <w:rPr>
                        <w:rFonts w:ascii="Trebuchet MS"/>
                        <w:w w:val="111"/>
                        <w:sz w:val="20"/>
                      </w:rPr>
                      <w:t>p</w:t>
                    </w:r>
                    <w:r>
                      <w:rPr>
                        <w:rFonts w:ascii="Trebuchet MS"/>
                        <w:w w:val="96"/>
                        <w:sz w:val="20"/>
                      </w:rPr>
                      <w:t>l</w:t>
                    </w:r>
                    <w:r>
                      <w:rPr>
                        <w:rFonts w:ascii="Trebuchet MS"/>
                        <w:w w:val="108"/>
                        <w:sz w:val="20"/>
                      </w:rPr>
                      <w:t>e</w:t>
                    </w:r>
                    <w:r>
                      <w:rPr>
                        <w:rFonts w:ascii="Trebuchet MS"/>
                        <w:w w:val="122"/>
                        <w:sz w:val="20"/>
                      </w:rPr>
                      <w:t>s</w:t>
                    </w:r>
                    <w:r>
                      <w:rPr>
                        <w:rFonts w:ascii="Trebuchet MS"/>
                        <w:sz w:val="20"/>
                      </w:rPr>
                      <w:t> </w:t>
                    </w:r>
                    <w:r>
                      <w:rPr>
                        <w:rFonts w:ascii="Trebuchet MS"/>
                        <w:w w:val="92"/>
                        <w:sz w:val="20"/>
                      </w:rPr>
                      <w:t>f</w:t>
                    </w:r>
                    <w:r>
                      <w:rPr>
                        <w:rFonts w:ascii="Trebuchet MS"/>
                        <w:w w:val="111"/>
                        <w:sz w:val="20"/>
                      </w:rPr>
                      <w:t>o</w:t>
                    </w:r>
                    <w:r>
                      <w:rPr>
                        <w:rFonts w:ascii="Trebuchet MS"/>
                        <w:w w:val="93"/>
                        <w:sz w:val="20"/>
                      </w:rPr>
                      <w:t>r</w:t>
                    </w:r>
                    <w:r>
                      <w:rPr>
                        <w:rFonts w:ascii="Trebuchet MS"/>
                        <w:sz w:val="20"/>
                      </w:rPr>
                      <w:t> </w:t>
                    </w:r>
                    <w:r>
                      <w:rPr>
                        <w:rFonts w:ascii="Trebuchet MS"/>
                        <w:w w:val="111"/>
                        <w:sz w:val="20"/>
                      </w:rPr>
                      <w:t>p</w:t>
                    </w:r>
                    <w:r>
                      <w:rPr>
                        <w:rFonts w:ascii="Trebuchet MS"/>
                        <w:w w:val="108"/>
                        <w:sz w:val="20"/>
                      </w:rPr>
                      <w:t>e</w:t>
                    </w:r>
                    <w:r>
                      <w:rPr>
                        <w:rFonts w:ascii="Trebuchet MS"/>
                        <w:w w:val="111"/>
                        <w:sz w:val="20"/>
                      </w:rPr>
                      <w:t>o</w:t>
                    </w:r>
                    <w:r>
                      <w:rPr>
                        <w:rFonts w:ascii="Trebuchet MS"/>
                        <w:w w:val="111"/>
                        <w:sz w:val="20"/>
                      </w:rPr>
                      <w:t>p</w:t>
                    </w:r>
                    <w:r>
                      <w:rPr>
                        <w:rFonts w:ascii="Trebuchet MS"/>
                        <w:w w:val="96"/>
                        <w:sz w:val="20"/>
                      </w:rPr>
                      <w:t>l</w:t>
                    </w:r>
                    <w:r>
                      <w:rPr>
                        <w:rFonts w:ascii="Trebuchet MS"/>
                        <w:w w:val="108"/>
                        <w:sz w:val="20"/>
                      </w:rPr>
                      <w:t>e</w:t>
                    </w:r>
                    <w:r>
                      <w:rPr>
                        <w:rFonts w:ascii="Trebuchet MS"/>
                        <w:sz w:val="20"/>
                      </w:rPr>
                      <w:t> </w:t>
                    </w:r>
                    <w:r>
                      <w:rPr>
                        <w:rFonts w:ascii="Trebuchet MS"/>
                        <w:w w:val="93"/>
                        <w:sz w:val="20"/>
                      </w:rPr>
                      <w:t>fr</w:t>
                    </w:r>
                    <w:r>
                      <w:rPr>
                        <w:rFonts w:ascii="Trebuchet MS"/>
                        <w:w w:val="111"/>
                        <w:sz w:val="20"/>
                      </w:rPr>
                      <w:t>o</w:t>
                    </w:r>
                    <w:r>
                      <w:rPr>
                        <w:rFonts w:ascii="Trebuchet MS"/>
                        <w:w w:val="111"/>
                        <w:sz w:val="20"/>
                      </w:rPr>
                      <w:t>m</w:t>
                    </w:r>
                    <w:r>
                      <w:rPr>
                        <w:rFonts w:ascii="Trebuchet MS"/>
                        <w:sz w:val="20"/>
                      </w:rPr>
                      <w:t> </w:t>
                    </w:r>
                    <w:r>
                      <w:rPr>
                        <w:rFonts w:ascii="Trebuchet MS"/>
                        <w:w w:val="88"/>
                        <w:sz w:val="20"/>
                      </w:rPr>
                      <w:t>t</w:t>
                    </w:r>
                    <w:r>
                      <w:rPr>
                        <w:rFonts w:ascii="Trebuchet MS"/>
                        <w:w w:val="107"/>
                        <w:sz w:val="20"/>
                      </w:rPr>
                      <w:t>h</w:t>
                    </w:r>
                    <w:r>
                      <w:rPr>
                        <w:rFonts w:ascii="Trebuchet MS"/>
                        <w:w w:val="108"/>
                        <w:sz w:val="20"/>
                      </w:rPr>
                      <w:t>e</w:t>
                    </w:r>
                    <w:r>
                      <w:rPr>
                        <w:rFonts w:ascii="Trebuchet MS"/>
                        <w:sz w:val="20"/>
                      </w:rPr>
                      <w:t> </w:t>
                    </w:r>
                    <w:r>
                      <w:rPr>
                        <w:rFonts w:ascii="Trebuchet MS"/>
                        <w:w w:val="122"/>
                        <w:sz w:val="20"/>
                      </w:rPr>
                      <w:t>s</w:t>
                    </w:r>
                    <w:r>
                      <w:rPr>
                        <w:rFonts w:ascii="Trebuchet MS"/>
                        <w:w w:val="109"/>
                        <w:sz w:val="20"/>
                      </w:rPr>
                      <w:t>u</w:t>
                    </w:r>
                    <w:r>
                      <w:rPr>
                        <w:rFonts w:ascii="Trebuchet MS"/>
                        <w:w w:val="111"/>
                        <w:sz w:val="20"/>
                      </w:rPr>
                      <w:t>b</w:t>
                    </w:r>
                    <w:r>
                      <w:rPr>
                        <w:rFonts w:ascii="Trebuchet MS"/>
                        <w:w w:val="64"/>
                        <w:sz w:val="20"/>
                      </w:rPr>
                      <w:t>j</w:t>
                    </w:r>
                    <w:r>
                      <w:rPr>
                        <w:rFonts w:ascii="Trebuchet MS"/>
                        <w:w w:val="108"/>
                        <w:sz w:val="20"/>
                      </w:rPr>
                      <w:t>e</w:t>
                    </w:r>
                    <w:r>
                      <w:rPr>
                        <w:rFonts w:ascii="Trebuchet MS"/>
                        <w:w w:val="111"/>
                        <w:sz w:val="20"/>
                      </w:rPr>
                      <w:t>c</w:t>
                    </w:r>
                    <w:r>
                      <w:rPr>
                        <w:rFonts w:ascii="Trebuchet MS"/>
                        <w:w w:val="88"/>
                        <w:sz w:val="20"/>
                      </w:rPr>
                      <w:t>t</w:t>
                    </w:r>
                    <w:r>
                      <w:rPr>
                        <w:rFonts w:ascii="Trebuchet MS"/>
                        <w:sz w:val="20"/>
                      </w:rPr>
                      <w:t> </w:t>
                    </w:r>
                    <w:r>
                      <w:rPr>
                        <w:rFonts w:ascii="Trebuchet MS"/>
                        <w:w w:val="124"/>
                        <w:sz w:val="20"/>
                      </w:rPr>
                      <w:t>g</w:t>
                    </w:r>
                    <w:r>
                      <w:rPr>
                        <w:rFonts w:ascii="Trebuchet MS"/>
                        <w:w w:val="93"/>
                        <w:sz w:val="20"/>
                      </w:rPr>
                      <w:t>r</w:t>
                    </w:r>
                    <w:r>
                      <w:rPr>
                        <w:rFonts w:ascii="Trebuchet MS"/>
                        <w:w w:val="111"/>
                        <w:sz w:val="20"/>
                      </w:rPr>
                      <w:t>o</w:t>
                    </w:r>
                    <w:r>
                      <w:rPr>
                        <w:rFonts w:ascii="Trebuchet MS"/>
                        <w:w w:val="109"/>
                        <w:sz w:val="20"/>
                      </w:rPr>
                      <w:t>u</w:t>
                    </w:r>
                    <w:r>
                      <w:rPr>
                        <w:rFonts w:ascii="Trebuchet MS"/>
                        <w:w w:val="116"/>
                        <w:sz w:val="20"/>
                      </w:rPr>
                      <w:t>ps</w:t>
                    </w:r>
                    <w:r>
                      <w:rPr>
                        <w:rFonts w:ascii="Trebuchet MS"/>
                        <w:w w:val="55"/>
                        <w:sz w:val="20"/>
                      </w:rPr>
                      <w:t>.</w:t>
                    </w:r>
                  </w:p>
                </w:txbxContent>
              </v:textbox>
              <w10:wrap type="none"/>
            </v:shape>
            <v:shape style="position:absolute;left:1814;top:1306;width:244;height:235" type="#_x0000_t202" filled="false" stroked="false">
              <v:textbox inset="0,0,0,0">
                <w:txbxContent>
                  <w:p>
                    <w:pPr>
                      <w:spacing w:before="0"/>
                      <w:ind w:left="0" w:right="0" w:firstLine="0"/>
                      <w:jc w:val="left"/>
                      <w:rPr>
                        <w:rFonts w:ascii="Trebuchet MS"/>
                        <w:sz w:val="20"/>
                      </w:rPr>
                    </w:pPr>
                    <w:r>
                      <w:rPr>
                        <w:rFonts w:ascii="Trebuchet MS"/>
                        <w:spacing w:val="-12"/>
                        <w:w w:val="95"/>
                        <w:sz w:val="20"/>
                      </w:rPr>
                      <w:t>37.</w:t>
                    </w:r>
                  </w:p>
                </w:txbxContent>
              </v:textbox>
              <w10:wrap type="none"/>
            </v:shape>
            <v:shape style="position:absolute;left:1587;top:273;width:8731;height:783" type="#_x0000_t202" filled="true" fillcolor="#dddfe4" stroked="false">
              <v:textbox inset="0,0,0,0">
                <w:txbxContent>
                  <w:p>
                    <w:pPr>
                      <w:spacing w:before="158"/>
                      <w:ind w:left="226" w:right="0" w:firstLine="0"/>
                      <w:jc w:val="left"/>
                      <w:rPr>
                        <w:rFonts w:ascii="Raleway ExtraBold"/>
                        <w:b/>
                        <w:sz w:val="32"/>
                      </w:rPr>
                    </w:pPr>
                    <w:r>
                      <w:rPr>
                        <w:rFonts w:ascii="Raleway ExtraBold"/>
                        <w:b/>
                        <w:color w:val="37617A"/>
                        <w:sz w:val="32"/>
                      </w:rPr>
                      <w:t>Recommendation</w:t>
                    </w:r>
                  </w:p>
                </w:txbxContent>
              </v:textbox>
              <v:fill type="solid"/>
              <w10:wrap type="none"/>
            </v:shape>
            <w10:wrap type="topAndBottom"/>
          </v:group>
        </w:pict>
      </w:r>
    </w:p>
    <w:p>
      <w:pPr>
        <w:pStyle w:val="BodyText"/>
      </w:pPr>
    </w:p>
    <w:p>
      <w:pPr>
        <w:spacing w:before="187"/>
        <w:ind w:left="967" w:right="0" w:firstLine="0"/>
        <w:jc w:val="left"/>
        <w:rPr>
          <w:rFonts w:ascii="Raleway ExtraBold" w:hAnsi="Raleway ExtraBold"/>
          <w:b/>
          <w:sz w:val="28"/>
        </w:rPr>
      </w:pPr>
      <w:r>
        <w:rPr>
          <w:rFonts w:ascii="Raleway ExtraBold" w:hAnsi="Raleway ExtraBold"/>
          <w:b/>
          <w:color w:val="37617A"/>
          <w:sz w:val="28"/>
        </w:rPr>
        <w:t>Clarifying the courts’ power to excuse in the Juries Act</w:t>
      </w:r>
    </w:p>
    <w:p>
      <w:pPr>
        <w:pStyle w:val="ListParagraph"/>
        <w:numPr>
          <w:ilvl w:val="1"/>
          <w:numId w:val="12"/>
        </w:numPr>
        <w:tabs>
          <w:tab w:pos="1761" w:val="left" w:leader="none"/>
          <w:tab w:pos="1762" w:val="left" w:leader="none"/>
        </w:tabs>
        <w:spacing w:line="206" w:lineRule="auto" w:before="146" w:after="0"/>
        <w:ind w:left="1761" w:right="1668" w:hanging="794"/>
        <w:jc w:val="left"/>
        <w:rPr>
          <w:sz w:val="20"/>
        </w:rPr>
      </w:pPr>
      <w:r>
        <w:rPr>
          <w:sz w:val="20"/>
        </w:rPr>
        <w:t>In the context of upholding the right to a fair trial, the Supreme Court raised the question</w:t>
      </w:r>
      <w:r>
        <w:rPr>
          <w:spacing w:val="-9"/>
          <w:sz w:val="20"/>
        </w:rPr>
        <w:t> </w:t>
      </w:r>
      <w:r>
        <w:rPr>
          <w:sz w:val="20"/>
        </w:rPr>
        <w:t>of</w:t>
      </w:r>
      <w:r>
        <w:rPr>
          <w:spacing w:val="-9"/>
          <w:sz w:val="20"/>
        </w:rPr>
        <w:t> </w:t>
      </w:r>
      <w:r>
        <w:rPr>
          <w:sz w:val="20"/>
        </w:rPr>
        <w:t>whether</w:t>
      </w:r>
      <w:r>
        <w:rPr>
          <w:spacing w:val="-9"/>
          <w:sz w:val="20"/>
        </w:rPr>
        <w:t> </w:t>
      </w:r>
      <w:r>
        <w:rPr>
          <w:sz w:val="20"/>
        </w:rPr>
        <w:t>section</w:t>
      </w:r>
      <w:r>
        <w:rPr>
          <w:spacing w:val="-9"/>
          <w:sz w:val="20"/>
        </w:rPr>
        <w:t> </w:t>
      </w:r>
      <w:r>
        <w:rPr>
          <w:sz w:val="20"/>
        </w:rPr>
        <w:t>32(3)(b)</w:t>
      </w:r>
      <w:r>
        <w:rPr>
          <w:spacing w:val="-9"/>
          <w:sz w:val="20"/>
        </w:rPr>
        <w:t> </w:t>
      </w:r>
      <w:r>
        <w:rPr>
          <w:sz w:val="20"/>
        </w:rPr>
        <w:t>of</w:t>
      </w:r>
      <w:r>
        <w:rPr>
          <w:spacing w:val="-9"/>
          <w:sz w:val="20"/>
        </w:rPr>
        <w:t> </w:t>
      </w:r>
      <w:r>
        <w:rPr>
          <w:sz w:val="20"/>
        </w:rPr>
        <w:t>the</w:t>
      </w:r>
      <w:r>
        <w:rPr>
          <w:spacing w:val="-9"/>
          <w:sz w:val="20"/>
        </w:rPr>
        <w:t> </w:t>
      </w:r>
      <w:r>
        <w:rPr>
          <w:spacing w:val="-2"/>
          <w:sz w:val="20"/>
        </w:rPr>
        <w:t>Act</w:t>
      </w:r>
      <w:r>
        <w:rPr>
          <w:spacing w:val="-9"/>
          <w:sz w:val="20"/>
        </w:rPr>
        <w:t> </w:t>
      </w:r>
      <w:r>
        <w:rPr>
          <w:sz w:val="20"/>
        </w:rPr>
        <w:t>could</w:t>
      </w:r>
      <w:r>
        <w:rPr>
          <w:spacing w:val="-9"/>
          <w:sz w:val="20"/>
        </w:rPr>
        <w:t> </w:t>
      </w:r>
      <w:r>
        <w:rPr>
          <w:sz w:val="20"/>
        </w:rPr>
        <w:t>be</w:t>
      </w:r>
      <w:r>
        <w:rPr>
          <w:spacing w:val="-9"/>
          <w:sz w:val="20"/>
        </w:rPr>
        <w:t> </w:t>
      </w:r>
      <w:r>
        <w:rPr>
          <w:spacing w:val="-3"/>
          <w:sz w:val="20"/>
        </w:rPr>
        <w:t>exercised</w:t>
      </w:r>
      <w:r>
        <w:rPr>
          <w:spacing w:val="-9"/>
          <w:sz w:val="20"/>
        </w:rPr>
        <w:t> </w:t>
      </w:r>
      <w:r>
        <w:rPr>
          <w:sz w:val="20"/>
        </w:rPr>
        <w:t>on</w:t>
      </w:r>
      <w:r>
        <w:rPr>
          <w:spacing w:val="-9"/>
          <w:sz w:val="20"/>
        </w:rPr>
        <w:t> </w:t>
      </w:r>
      <w:r>
        <w:rPr>
          <w:sz w:val="20"/>
        </w:rPr>
        <w:t>the</w:t>
      </w:r>
      <w:r>
        <w:rPr>
          <w:spacing w:val="-9"/>
          <w:sz w:val="20"/>
        </w:rPr>
        <w:t> </w:t>
      </w:r>
      <w:r>
        <w:rPr>
          <w:sz w:val="20"/>
        </w:rPr>
        <w:t>Supreme Court’s </w:t>
      </w:r>
      <w:r>
        <w:rPr>
          <w:spacing w:val="-3"/>
          <w:sz w:val="20"/>
        </w:rPr>
        <w:t>own </w:t>
      </w:r>
      <w:r>
        <w:rPr>
          <w:sz w:val="20"/>
        </w:rPr>
        <w:t>motion.</w:t>
      </w:r>
      <w:r>
        <w:rPr>
          <w:position w:val="7"/>
          <w:sz w:val="11"/>
        </w:rPr>
        <w:t>55 </w:t>
      </w:r>
      <w:r>
        <w:rPr>
          <w:sz w:val="20"/>
        </w:rPr>
        <w:t>That section</w:t>
      </w:r>
      <w:r>
        <w:rPr>
          <w:spacing w:val="-22"/>
          <w:sz w:val="20"/>
        </w:rPr>
        <w:t> </w:t>
      </w:r>
      <w:r>
        <w:rPr>
          <w:sz w:val="20"/>
        </w:rPr>
        <w:t>states:</w:t>
      </w:r>
    </w:p>
    <w:p>
      <w:pPr>
        <w:spacing w:line="247" w:lineRule="exact" w:before="93"/>
        <w:ind w:left="2157" w:right="0" w:firstLine="0"/>
        <w:jc w:val="left"/>
        <w:rPr>
          <w:sz w:val="19"/>
        </w:rPr>
      </w:pPr>
      <w:r>
        <w:rPr>
          <w:sz w:val="19"/>
        </w:rPr>
        <w:t>(3) The court may excuse a person from jury service on the trial if the court is</w:t>
      </w:r>
    </w:p>
    <w:p>
      <w:pPr>
        <w:spacing w:line="247" w:lineRule="exact" w:before="0"/>
        <w:ind w:left="2554" w:right="0" w:firstLine="0"/>
        <w:jc w:val="left"/>
        <w:rPr>
          <w:sz w:val="19"/>
        </w:rPr>
      </w:pPr>
      <w:r>
        <w:rPr>
          <w:sz w:val="19"/>
        </w:rPr>
        <w:t>satisfied that the person—</w:t>
      </w:r>
    </w:p>
    <w:p>
      <w:pPr>
        <w:tabs>
          <w:tab w:pos="3127" w:val="left" w:leader="none"/>
        </w:tabs>
        <w:spacing w:before="86"/>
        <w:ind w:left="2554" w:right="0" w:firstLine="0"/>
        <w:jc w:val="left"/>
        <w:rPr>
          <w:sz w:val="19"/>
        </w:rPr>
      </w:pPr>
      <w:r>
        <w:rPr>
          <w:sz w:val="19"/>
        </w:rPr>
        <w:t>(b)</w:t>
        <w:tab/>
        <w:t>is unable to serve for any other</w:t>
      </w:r>
      <w:r>
        <w:rPr>
          <w:spacing w:val="-15"/>
          <w:sz w:val="19"/>
        </w:rPr>
        <w:t> </w:t>
      </w:r>
      <w:r>
        <w:rPr>
          <w:sz w:val="19"/>
        </w:rPr>
        <w:t>reason.</w:t>
      </w:r>
    </w:p>
    <w:p>
      <w:pPr>
        <w:pStyle w:val="ListParagraph"/>
        <w:numPr>
          <w:ilvl w:val="1"/>
          <w:numId w:val="12"/>
        </w:numPr>
        <w:tabs>
          <w:tab w:pos="1761" w:val="left" w:leader="none"/>
          <w:tab w:pos="1762" w:val="left" w:leader="none"/>
        </w:tabs>
        <w:spacing w:line="206" w:lineRule="auto" w:before="117" w:after="0"/>
        <w:ind w:left="1761" w:right="1205" w:hanging="794"/>
        <w:jc w:val="left"/>
        <w:rPr>
          <w:sz w:val="20"/>
        </w:rPr>
      </w:pPr>
      <w:r>
        <w:rPr>
          <w:sz w:val="20"/>
        </w:rPr>
        <w:t>The </w:t>
      </w:r>
      <w:r>
        <w:rPr>
          <w:spacing w:val="-3"/>
          <w:sz w:val="20"/>
        </w:rPr>
        <w:t>provision </w:t>
      </w:r>
      <w:r>
        <w:rPr>
          <w:sz w:val="20"/>
        </w:rPr>
        <w:t>applies when jurors </w:t>
      </w:r>
      <w:r>
        <w:rPr>
          <w:spacing w:val="-4"/>
          <w:sz w:val="20"/>
        </w:rPr>
        <w:t>have </w:t>
      </w:r>
      <w:r>
        <w:rPr>
          <w:sz w:val="20"/>
        </w:rPr>
        <w:t>been balloted to a panel and the judge has </w:t>
      </w:r>
      <w:r>
        <w:rPr>
          <w:spacing w:val="-3"/>
          <w:sz w:val="20"/>
        </w:rPr>
        <w:t>provided </w:t>
      </w:r>
      <w:r>
        <w:rPr>
          <w:sz w:val="20"/>
        </w:rPr>
        <w:t>information about the trial to the prospective jurors. The section outlines that after</w:t>
      </w:r>
      <w:r>
        <w:rPr>
          <w:spacing w:val="-9"/>
          <w:sz w:val="20"/>
        </w:rPr>
        <w:t> </w:t>
      </w:r>
      <w:r>
        <w:rPr>
          <w:sz w:val="20"/>
        </w:rPr>
        <w:t>information</w:t>
      </w:r>
      <w:r>
        <w:rPr>
          <w:spacing w:val="-9"/>
          <w:sz w:val="20"/>
        </w:rPr>
        <w:t> </w:t>
      </w:r>
      <w:r>
        <w:rPr>
          <w:sz w:val="20"/>
        </w:rPr>
        <w:t>is</w:t>
      </w:r>
      <w:r>
        <w:rPr>
          <w:spacing w:val="-8"/>
          <w:sz w:val="20"/>
        </w:rPr>
        <w:t> </w:t>
      </w:r>
      <w:r>
        <w:rPr>
          <w:spacing w:val="-3"/>
          <w:sz w:val="20"/>
        </w:rPr>
        <w:t>provided</w:t>
      </w:r>
      <w:r>
        <w:rPr>
          <w:spacing w:val="-9"/>
          <w:sz w:val="20"/>
        </w:rPr>
        <w:t> </w:t>
      </w:r>
      <w:r>
        <w:rPr>
          <w:sz w:val="20"/>
        </w:rPr>
        <w:t>to</w:t>
      </w:r>
      <w:r>
        <w:rPr>
          <w:spacing w:val="-9"/>
          <w:sz w:val="20"/>
        </w:rPr>
        <w:t> </w:t>
      </w:r>
      <w:r>
        <w:rPr>
          <w:sz w:val="20"/>
        </w:rPr>
        <w:t>the</w:t>
      </w:r>
      <w:r>
        <w:rPr>
          <w:spacing w:val="-8"/>
          <w:sz w:val="20"/>
        </w:rPr>
        <w:t> </w:t>
      </w:r>
      <w:r>
        <w:rPr>
          <w:sz w:val="20"/>
        </w:rPr>
        <w:t>panel</w:t>
      </w:r>
      <w:r>
        <w:rPr>
          <w:spacing w:val="-9"/>
          <w:sz w:val="20"/>
        </w:rPr>
        <w:t> </w:t>
      </w:r>
      <w:r>
        <w:rPr>
          <w:sz w:val="20"/>
        </w:rPr>
        <w:t>the</w:t>
      </w:r>
      <w:r>
        <w:rPr>
          <w:spacing w:val="-9"/>
          <w:sz w:val="20"/>
        </w:rPr>
        <w:t> </w:t>
      </w:r>
      <w:r>
        <w:rPr>
          <w:sz w:val="20"/>
        </w:rPr>
        <w:t>court</w:t>
      </w:r>
      <w:r>
        <w:rPr>
          <w:spacing w:val="-8"/>
          <w:sz w:val="20"/>
        </w:rPr>
        <w:t> </w:t>
      </w:r>
      <w:r>
        <w:rPr>
          <w:sz w:val="20"/>
        </w:rPr>
        <w:t>must</w:t>
      </w:r>
      <w:r>
        <w:rPr>
          <w:spacing w:val="-9"/>
          <w:sz w:val="20"/>
        </w:rPr>
        <w:t> </w:t>
      </w:r>
      <w:r>
        <w:rPr>
          <w:sz w:val="20"/>
        </w:rPr>
        <w:t>call</w:t>
      </w:r>
      <w:r>
        <w:rPr>
          <w:spacing w:val="-8"/>
          <w:sz w:val="20"/>
        </w:rPr>
        <w:t> </w:t>
      </w:r>
      <w:r>
        <w:rPr>
          <w:sz w:val="20"/>
        </w:rPr>
        <w:t>on</w:t>
      </w:r>
      <w:r>
        <w:rPr>
          <w:spacing w:val="-9"/>
          <w:sz w:val="20"/>
        </w:rPr>
        <w:t> </w:t>
      </w:r>
      <w:r>
        <w:rPr>
          <w:sz w:val="20"/>
        </w:rPr>
        <w:t>persons</w:t>
      </w:r>
      <w:r>
        <w:rPr>
          <w:spacing w:val="-9"/>
          <w:sz w:val="20"/>
        </w:rPr>
        <w:t> </w:t>
      </w:r>
      <w:r>
        <w:rPr>
          <w:sz w:val="20"/>
        </w:rPr>
        <w:t>on</w:t>
      </w:r>
      <w:r>
        <w:rPr>
          <w:spacing w:val="-8"/>
          <w:sz w:val="20"/>
        </w:rPr>
        <w:t> </w:t>
      </w:r>
      <w:r>
        <w:rPr>
          <w:sz w:val="20"/>
        </w:rPr>
        <w:t>the</w:t>
      </w:r>
      <w:r>
        <w:rPr>
          <w:spacing w:val="-9"/>
          <w:sz w:val="20"/>
        </w:rPr>
        <w:t> </w:t>
      </w:r>
      <w:r>
        <w:rPr>
          <w:sz w:val="20"/>
        </w:rPr>
        <w:t>panel</w:t>
      </w:r>
      <w:r>
        <w:rPr>
          <w:spacing w:val="-9"/>
          <w:sz w:val="20"/>
        </w:rPr>
        <w:t> </w:t>
      </w:r>
      <w:r>
        <w:rPr>
          <w:sz w:val="20"/>
        </w:rPr>
        <w:t>to identify </w:t>
      </w:r>
      <w:r>
        <w:rPr>
          <w:spacing w:val="-3"/>
          <w:sz w:val="20"/>
        </w:rPr>
        <w:t>themselves </w:t>
      </w:r>
      <w:r>
        <w:rPr>
          <w:sz w:val="20"/>
        </w:rPr>
        <w:t>if they seek to be</w:t>
      </w:r>
      <w:r>
        <w:rPr>
          <w:spacing w:val="-27"/>
          <w:sz w:val="20"/>
        </w:rPr>
        <w:t> </w:t>
      </w:r>
      <w:r>
        <w:rPr>
          <w:spacing w:val="-3"/>
          <w:sz w:val="20"/>
        </w:rPr>
        <w:t>excused.</w:t>
      </w:r>
    </w:p>
    <w:p>
      <w:pPr>
        <w:pStyle w:val="ListParagraph"/>
        <w:numPr>
          <w:ilvl w:val="1"/>
          <w:numId w:val="12"/>
        </w:numPr>
        <w:tabs>
          <w:tab w:pos="1761" w:val="left" w:leader="none"/>
          <w:tab w:pos="1762" w:val="left" w:leader="none"/>
        </w:tabs>
        <w:spacing w:line="206" w:lineRule="auto" w:before="125" w:after="0"/>
        <w:ind w:left="1761" w:right="1218" w:hanging="794"/>
        <w:jc w:val="left"/>
        <w:rPr>
          <w:sz w:val="20"/>
        </w:rPr>
      </w:pPr>
      <w:r>
        <w:rPr>
          <w:sz w:val="20"/>
        </w:rPr>
        <w:t>It</w:t>
      </w:r>
      <w:r>
        <w:rPr>
          <w:spacing w:val="-9"/>
          <w:sz w:val="20"/>
        </w:rPr>
        <w:t> </w:t>
      </w:r>
      <w:r>
        <w:rPr>
          <w:sz w:val="20"/>
        </w:rPr>
        <w:t>is</w:t>
      </w:r>
      <w:r>
        <w:rPr>
          <w:spacing w:val="-8"/>
          <w:sz w:val="20"/>
        </w:rPr>
        <w:t> </w:t>
      </w:r>
      <w:r>
        <w:rPr>
          <w:sz w:val="20"/>
        </w:rPr>
        <w:t>possible</w:t>
      </w:r>
      <w:r>
        <w:rPr>
          <w:spacing w:val="-8"/>
          <w:sz w:val="20"/>
        </w:rPr>
        <w:t> </w:t>
      </w:r>
      <w:r>
        <w:rPr>
          <w:sz w:val="20"/>
        </w:rPr>
        <w:t>that</w:t>
      </w:r>
      <w:r>
        <w:rPr>
          <w:spacing w:val="-8"/>
          <w:sz w:val="20"/>
        </w:rPr>
        <w:t> </w:t>
      </w:r>
      <w:r>
        <w:rPr>
          <w:sz w:val="20"/>
        </w:rPr>
        <w:t>the</w:t>
      </w:r>
      <w:r>
        <w:rPr>
          <w:spacing w:val="-8"/>
          <w:sz w:val="20"/>
        </w:rPr>
        <w:t> </w:t>
      </w:r>
      <w:r>
        <w:rPr>
          <w:spacing w:val="-3"/>
          <w:sz w:val="20"/>
        </w:rPr>
        <w:t>power</w:t>
      </w:r>
      <w:r>
        <w:rPr>
          <w:spacing w:val="-8"/>
          <w:sz w:val="20"/>
        </w:rPr>
        <w:t> </w:t>
      </w:r>
      <w:r>
        <w:rPr>
          <w:sz w:val="20"/>
        </w:rPr>
        <w:t>in</w:t>
      </w:r>
      <w:r>
        <w:rPr>
          <w:spacing w:val="-8"/>
          <w:sz w:val="20"/>
        </w:rPr>
        <w:t> </w:t>
      </w:r>
      <w:r>
        <w:rPr>
          <w:sz w:val="20"/>
        </w:rPr>
        <w:t>section</w:t>
      </w:r>
      <w:r>
        <w:rPr>
          <w:spacing w:val="-8"/>
          <w:sz w:val="20"/>
        </w:rPr>
        <w:t> </w:t>
      </w:r>
      <w:r>
        <w:rPr>
          <w:sz w:val="20"/>
        </w:rPr>
        <w:t>32(3)</w:t>
      </w:r>
      <w:r>
        <w:rPr>
          <w:spacing w:val="-8"/>
          <w:sz w:val="20"/>
        </w:rPr>
        <w:t> </w:t>
      </w:r>
      <w:r>
        <w:rPr>
          <w:sz w:val="20"/>
        </w:rPr>
        <w:t>could</w:t>
      </w:r>
      <w:r>
        <w:rPr>
          <w:spacing w:val="-8"/>
          <w:sz w:val="20"/>
        </w:rPr>
        <w:t> </w:t>
      </w:r>
      <w:r>
        <w:rPr>
          <w:sz w:val="20"/>
        </w:rPr>
        <w:t>be</w:t>
      </w:r>
      <w:r>
        <w:rPr>
          <w:spacing w:val="-8"/>
          <w:sz w:val="20"/>
        </w:rPr>
        <w:t> </w:t>
      </w:r>
      <w:r>
        <w:rPr>
          <w:spacing w:val="-3"/>
          <w:sz w:val="20"/>
        </w:rPr>
        <w:t>read</w:t>
      </w:r>
      <w:r>
        <w:rPr>
          <w:spacing w:val="-8"/>
          <w:sz w:val="20"/>
        </w:rPr>
        <w:t> </w:t>
      </w:r>
      <w:r>
        <w:rPr>
          <w:sz w:val="20"/>
        </w:rPr>
        <w:t>as</w:t>
      </w:r>
      <w:r>
        <w:rPr>
          <w:spacing w:val="-8"/>
          <w:sz w:val="20"/>
        </w:rPr>
        <w:t> </w:t>
      </w:r>
      <w:r>
        <w:rPr>
          <w:spacing w:val="-3"/>
          <w:sz w:val="20"/>
        </w:rPr>
        <w:t>only</w:t>
      </w:r>
      <w:r>
        <w:rPr>
          <w:spacing w:val="-8"/>
          <w:sz w:val="20"/>
        </w:rPr>
        <w:t> </w:t>
      </w:r>
      <w:r>
        <w:rPr>
          <w:sz w:val="20"/>
        </w:rPr>
        <w:t>coming</w:t>
      </w:r>
      <w:r>
        <w:rPr>
          <w:spacing w:val="-8"/>
          <w:sz w:val="20"/>
        </w:rPr>
        <w:t> </w:t>
      </w:r>
      <w:r>
        <w:rPr>
          <w:spacing w:val="-3"/>
          <w:sz w:val="20"/>
        </w:rPr>
        <w:t>into</w:t>
      </w:r>
      <w:r>
        <w:rPr>
          <w:spacing w:val="-8"/>
          <w:sz w:val="20"/>
        </w:rPr>
        <w:t> </w:t>
      </w:r>
      <w:r>
        <w:rPr>
          <w:sz w:val="20"/>
        </w:rPr>
        <w:t>operation if a panel member seeks to be </w:t>
      </w:r>
      <w:r>
        <w:rPr>
          <w:spacing w:val="-3"/>
          <w:sz w:val="20"/>
        </w:rPr>
        <w:t>excused. For </w:t>
      </w:r>
      <w:r>
        <w:rPr>
          <w:sz w:val="20"/>
        </w:rPr>
        <w:t>that reason, </w:t>
      </w:r>
      <w:r>
        <w:rPr>
          <w:spacing w:val="-3"/>
          <w:sz w:val="20"/>
        </w:rPr>
        <w:t>we </w:t>
      </w:r>
      <w:r>
        <w:rPr>
          <w:sz w:val="20"/>
        </w:rPr>
        <w:t>recommend that the legislation is clarified so that it is clear that the court </w:t>
      </w:r>
      <w:r>
        <w:rPr>
          <w:spacing w:val="-3"/>
          <w:sz w:val="20"/>
        </w:rPr>
        <w:t>may </w:t>
      </w:r>
      <w:r>
        <w:rPr>
          <w:sz w:val="20"/>
        </w:rPr>
        <w:t>act on its </w:t>
      </w:r>
      <w:r>
        <w:rPr>
          <w:spacing w:val="-3"/>
          <w:sz w:val="20"/>
        </w:rPr>
        <w:t>own </w:t>
      </w:r>
      <w:r>
        <w:rPr>
          <w:sz w:val="20"/>
        </w:rPr>
        <w:t>motion in the necessary</w:t>
      </w:r>
      <w:r>
        <w:rPr>
          <w:spacing w:val="-5"/>
          <w:sz w:val="20"/>
        </w:rPr>
        <w:t> </w:t>
      </w:r>
      <w:r>
        <w:rPr>
          <w:sz w:val="20"/>
        </w:rPr>
        <w:t>circumstances.</w:t>
      </w:r>
    </w:p>
    <w:p>
      <w:pPr>
        <w:pStyle w:val="BodyText"/>
        <w:spacing w:before="8"/>
        <w:rPr>
          <w:sz w:val="19"/>
        </w:rPr>
      </w:pPr>
      <w:r>
        <w:rPr/>
        <w:pict>
          <v:group style="position:absolute;margin-left:62.362202pt;margin-top:15.5462pt;width:479.1pt;height:96.4pt;mso-position-horizontal-relative:page;mso-position-vertical-relative:paragraph;z-index:9992;mso-wrap-distance-left:0;mso-wrap-distance-right:0" coordorigin="1247,311" coordsize="9582,1928">
            <v:rect style="position:absolute;left:1587;top:310;width:8731;height:1928" filled="true" fillcolor="#dddfe4" stroked="false">
              <v:fill type="solid"/>
            </v:rect>
            <v:line style="position:absolute" from="1247,1119" to="10828,1119" stroked="true" strokeweight="2.5pt" strokecolor="#ffffff">
              <v:stroke dashstyle="solid"/>
            </v:line>
            <v:shape style="position:absolute;left:2381;top:1344;width:7656;height:715" type="#_x0000_t202" filled="false" stroked="false">
              <v:textbox inset="0,0,0,0">
                <w:txbxContent>
                  <w:p>
                    <w:pPr>
                      <w:spacing w:line="247" w:lineRule="auto" w:before="0"/>
                      <w:ind w:left="0" w:right="18" w:firstLine="0"/>
                      <w:jc w:val="both"/>
                      <w:rPr>
                        <w:rFonts w:ascii="Trebuchet MS"/>
                        <w:sz w:val="20"/>
                      </w:rPr>
                    </w:pPr>
                    <w:r>
                      <w:rPr>
                        <w:rFonts w:ascii="Trebuchet MS"/>
                        <w:w w:val="105"/>
                        <w:sz w:val="20"/>
                      </w:rPr>
                      <w:t>The</w:t>
                    </w:r>
                    <w:r>
                      <w:rPr>
                        <w:rFonts w:ascii="Trebuchet MS"/>
                        <w:spacing w:val="-17"/>
                        <w:w w:val="105"/>
                        <w:sz w:val="20"/>
                      </w:rPr>
                      <w:t> </w:t>
                    </w:r>
                    <w:r>
                      <w:rPr>
                        <w:rFonts w:ascii="Trebuchet MS"/>
                        <w:w w:val="105"/>
                        <w:sz w:val="20"/>
                      </w:rPr>
                      <w:t>Juries</w:t>
                    </w:r>
                    <w:r>
                      <w:rPr>
                        <w:rFonts w:ascii="Trebuchet MS"/>
                        <w:spacing w:val="-16"/>
                        <w:w w:val="105"/>
                        <w:sz w:val="20"/>
                      </w:rPr>
                      <w:t> </w:t>
                    </w:r>
                    <w:r>
                      <w:rPr>
                        <w:rFonts w:ascii="Trebuchet MS"/>
                        <w:spacing w:val="-2"/>
                        <w:w w:val="105"/>
                        <w:sz w:val="20"/>
                      </w:rPr>
                      <w:t>Act</w:t>
                    </w:r>
                    <w:r>
                      <w:rPr>
                        <w:rFonts w:ascii="Trebuchet MS"/>
                        <w:spacing w:val="-17"/>
                        <w:w w:val="105"/>
                        <w:sz w:val="20"/>
                      </w:rPr>
                      <w:t> </w:t>
                    </w:r>
                    <w:r>
                      <w:rPr>
                        <w:rFonts w:ascii="Trebuchet MS"/>
                        <w:w w:val="105"/>
                        <w:sz w:val="20"/>
                      </w:rPr>
                      <w:t>should</w:t>
                    </w:r>
                    <w:r>
                      <w:rPr>
                        <w:rFonts w:ascii="Trebuchet MS"/>
                        <w:spacing w:val="-16"/>
                        <w:w w:val="105"/>
                        <w:sz w:val="20"/>
                      </w:rPr>
                      <w:t> </w:t>
                    </w:r>
                    <w:r>
                      <w:rPr>
                        <w:rFonts w:ascii="Trebuchet MS"/>
                        <w:w w:val="105"/>
                        <w:sz w:val="20"/>
                      </w:rPr>
                      <w:t>be</w:t>
                    </w:r>
                    <w:r>
                      <w:rPr>
                        <w:rFonts w:ascii="Trebuchet MS"/>
                        <w:spacing w:val="-16"/>
                        <w:w w:val="105"/>
                        <w:sz w:val="20"/>
                      </w:rPr>
                      <w:t> </w:t>
                    </w:r>
                    <w:r>
                      <w:rPr>
                        <w:rFonts w:ascii="Trebuchet MS"/>
                        <w:w w:val="105"/>
                        <w:sz w:val="20"/>
                      </w:rPr>
                      <w:t>amended</w:t>
                    </w:r>
                    <w:r>
                      <w:rPr>
                        <w:rFonts w:ascii="Trebuchet MS"/>
                        <w:spacing w:val="-17"/>
                        <w:w w:val="105"/>
                        <w:sz w:val="20"/>
                      </w:rPr>
                      <w:t> </w:t>
                    </w:r>
                    <w:r>
                      <w:rPr>
                        <w:rFonts w:ascii="Trebuchet MS"/>
                        <w:w w:val="105"/>
                        <w:sz w:val="20"/>
                      </w:rPr>
                      <w:t>to</w:t>
                    </w:r>
                    <w:r>
                      <w:rPr>
                        <w:rFonts w:ascii="Trebuchet MS"/>
                        <w:spacing w:val="-16"/>
                        <w:w w:val="105"/>
                        <w:sz w:val="20"/>
                      </w:rPr>
                      <w:t> </w:t>
                    </w:r>
                    <w:r>
                      <w:rPr>
                        <w:rFonts w:ascii="Trebuchet MS"/>
                        <w:w w:val="105"/>
                        <w:sz w:val="20"/>
                      </w:rPr>
                      <w:t>clarify</w:t>
                    </w:r>
                    <w:r>
                      <w:rPr>
                        <w:rFonts w:ascii="Trebuchet MS"/>
                        <w:spacing w:val="-16"/>
                        <w:w w:val="105"/>
                        <w:sz w:val="20"/>
                      </w:rPr>
                      <w:t> </w:t>
                    </w:r>
                    <w:r>
                      <w:rPr>
                        <w:rFonts w:ascii="Trebuchet MS"/>
                        <w:w w:val="105"/>
                        <w:sz w:val="20"/>
                      </w:rPr>
                      <w:t>that</w:t>
                    </w:r>
                    <w:r>
                      <w:rPr>
                        <w:rFonts w:ascii="Trebuchet MS"/>
                        <w:spacing w:val="-17"/>
                        <w:w w:val="105"/>
                        <w:sz w:val="20"/>
                      </w:rPr>
                      <w:t> </w:t>
                    </w:r>
                    <w:r>
                      <w:rPr>
                        <w:rFonts w:ascii="Trebuchet MS"/>
                        <w:w w:val="105"/>
                        <w:sz w:val="20"/>
                      </w:rPr>
                      <w:t>section</w:t>
                    </w:r>
                    <w:r>
                      <w:rPr>
                        <w:rFonts w:ascii="Trebuchet MS"/>
                        <w:spacing w:val="-16"/>
                        <w:w w:val="105"/>
                        <w:sz w:val="20"/>
                      </w:rPr>
                      <w:t> </w:t>
                    </w:r>
                    <w:r>
                      <w:rPr>
                        <w:rFonts w:ascii="Trebuchet MS"/>
                        <w:w w:val="105"/>
                        <w:sz w:val="20"/>
                      </w:rPr>
                      <w:t>32(3)</w:t>
                    </w:r>
                    <w:r>
                      <w:rPr>
                        <w:rFonts w:ascii="Trebuchet MS"/>
                        <w:spacing w:val="-16"/>
                        <w:w w:val="105"/>
                        <w:sz w:val="20"/>
                      </w:rPr>
                      <w:t> </w:t>
                    </w:r>
                    <w:r>
                      <w:rPr>
                        <w:rFonts w:ascii="Trebuchet MS"/>
                        <w:spacing w:val="-3"/>
                        <w:w w:val="105"/>
                        <w:sz w:val="20"/>
                      </w:rPr>
                      <w:t>may</w:t>
                    </w:r>
                    <w:r>
                      <w:rPr>
                        <w:rFonts w:ascii="Trebuchet MS"/>
                        <w:spacing w:val="-17"/>
                        <w:w w:val="105"/>
                        <w:sz w:val="20"/>
                      </w:rPr>
                      <w:t> </w:t>
                    </w:r>
                    <w:r>
                      <w:rPr>
                        <w:rFonts w:ascii="Trebuchet MS"/>
                        <w:w w:val="105"/>
                        <w:sz w:val="20"/>
                      </w:rPr>
                      <w:t>be</w:t>
                    </w:r>
                    <w:r>
                      <w:rPr>
                        <w:rFonts w:ascii="Trebuchet MS"/>
                        <w:spacing w:val="-16"/>
                        <w:w w:val="105"/>
                        <w:sz w:val="20"/>
                      </w:rPr>
                      <w:t> </w:t>
                    </w:r>
                    <w:r>
                      <w:rPr>
                        <w:rFonts w:ascii="Trebuchet MS"/>
                        <w:spacing w:val="-3"/>
                        <w:w w:val="105"/>
                        <w:sz w:val="20"/>
                      </w:rPr>
                      <w:t>exercised</w:t>
                    </w:r>
                    <w:r>
                      <w:rPr>
                        <w:rFonts w:ascii="Trebuchet MS"/>
                        <w:spacing w:val="-16"/>
                        <w:w w:val="105"/>
                        <w:sz w:val="20"/>
                      </w:rPr>
                      <w:t> </w:t>
                    </w:r>
                    <w:r>
                      <w:rPr>
                        <w:rFonts w:ascii="Trebuchet MS"/>
                        <w:spacing w:val="-3"/>
                        <w:w w:val="105"/>
                        <w:sz w:val="20"/>
                      </w:rPr>
                      <w:t>by </w:t>
                    </w:r>
                    <w:r>
                      <w:rPr>
                        <w:rFonts w:ascii="Trebuchet MS"/>
                        <w:w w:val="105"/>
                        <w:sz w:val="20"/>
                      </w:rPr>
                      <w:t>the</w:t>
                    </w:r>
                    <w:r>
                      <w:rPr>
                        <w:rFonts w:ascii="Trebuchet MS"/>
                        <w:spacing w:val="-13"/>
                        <w:w w:val="105"/>
                        <w:sz w:val="20"/>
                      </w:rPr>
                      <w:t> </w:t>
                    </w:r>
                    <w:r>
                      <w:rPr>
                        <w:rFonts w:ascii="Trebuchet MS"/>
                        <w:w w:val="105"/>
                        <w:sz w:val="20"/>
                      </w:rPr>
                      <w:t>courts</w:t>
                    </w:r>
                    <w:r>
                      <w:rPr>
                        <w:rFonts w:ascii="Trebuchet MS"/>
                        <w:spacing w:val="-13"/>
                        <w:w w:val="105"/>
                        <w:sz w:val="20"/>
                      </w:rPr>
                      <w:t> </w:t>
                    </w:r>
                    <w:r>
                      <w:rPr>
                        <w:rFonts w:ascii="Trebuchet MS"/>
                        <w:w w:val="105"/>
                        <w:sz w:val="20"/>
                      </w:rPr>
                      <w:t>on</w:t>
                    </w:r>
                    <w:r>
                      <w:rPr>
                        <w:rFonts w:ascii="Trebuchet MS"/>
                        <w:spacing w:val="-12"/>
                        <w:w w:val="105"/>
                        <w:sz w:val="20"/>
                      </w:rPr>
                      <w:t> </w:t>
                    </w:r>
                    <w:r>
                      <w:rPr>
                        <w:rFonts w:ascii="Trebuchet MS"/>
                        <w:w w:val="105"/>
                        <w:sz w:val="20"/>
                      </w:rPr>
                      <w:t>their</w:t>
                    </w:r>
                    <w:r>
                      <w:rPr>
                        <w:rFonts w:ascii="Trebuchet MS"/>
                        <w:spacing w:val="-13"/>
                        <w:w w:val="105"/>
                        <w:sz w:val="20"/>
                      </w:rPr>
                      <w:t> </w:t>
                    </w:r>
                    <w:r>
                      <w:rPr>
                        <w:rFonts w:ascii="Trebuchet MS"/>
                        <w:spacing w:val="-3"/>
                        <w:w w:val="105"/>
                        <w:sz w:val="20"/>
                      </w:rPr>
                      <w:t>own</w:t>
                    </w:r>
                    <w:r>
                      <w:rPr>
                        <w:rFonts w:ascii="Trebuchet MS"/>
                        <w:spacing w:val="-12"/>
                        <w:w w:val="105"/>
                        <w:sz w:val="20"/>
                      </w:rPr>
                      <w:t> </w:t>
                    </w:r>
                    <w:r>
                      <w:rPr>
                        <w:rFonts w:ascii="Trebuchet MS"/>
                        <w:w w:val="105"/>
                        <w:sz w:val="20"/>
                      </w:rPr>
                      <w:t>motion</w:t>
                    </w:r>
                    <w:r>
                      <w:rPr>
                        <w:rFonts w:ascii="Trebuchet MS"/>
                        <w:spacing w:val="-13"/>
                        <w:w w:val="105"/>
                        <w:sz w:val="20"/>
                      </w:rPr>
                      <w:t> </w:t>
                    </w:r>
                    <w:r>
                      <w:rPr>
                        <w:rFonts w:ascii="Trebuchet MS"/>
                        <w:w w:val="105"/>
                        <w:sz w:val="20"/>
                      </w:rPr>
                      <w:t>to</w:t>
                    </w:r>
                    <w:r>
                      <w:rPr>
                        <w:rFonts w:ascii="Trebuchet MS"/>
                        <w:spacing w:val="-12"/>
                        <w:w w:val="105"/>
                        <w:sz w:val="20"/>
                      </w:rPr>
                      <w:t> </w:t>
                    </w:r>
                    <w:r>
                      <w:rPr>
                        <w:rFonts w:ascii="Trebuchet MS"/>
                        <w:spacing w:val="-3"/>
                        <w:w w:val="105"/>
                        <w:sz w:val="20"/>
                      </w:rPr>
                      <w:t>excuse</w:t>
                    </w:r>
                    <w:r>
                      <w:rPr>
                        <w:rFonts w:ascii="Trebuchet MS"/>
                        <w:spacing w:val="-13"/>
                        <w:w w:val="105"/>
                        <w:sz w:val="20"/>
                      </w:rPr>
                      <w:t> </w:t>
                    </w:r>
                    <w:r>
                      <w:rPr>
                        <w:rFonts w:ascii="Trebuchet MS"/>
                        <w:w w:val="105"/>
                        <w:sz w:val="20"/>
                      </w:rPr>
                      <w:t>a</w:t>
                    </w:r>
                    <w:r>
                      <w:rPr>
                        <w:rFonts w:ascii="Trebuchet MS"/>
                        <w:spacing w:val="-13"/>
                        <w:w w:val="105"/>
                        <w:sz w:val="20"/>
                      </w:rPr>
                      <w:t> </w:t>
                    </w:r>
                    <w:r>
                      <w:rPr>
                        <w:rFonts w:ascii="Trebuchet MS"/>
                        <w:w w:val="105"/>
                        <w:sz w:val="20"/>
                      </w:rPr>
                      <w:t>person</w:t>
                    </w:r>
                    <w:r>
                      <w:rPr>
                        <w:rFonts w:ascii="Trebuchet MS"/>
                        <w:spacing w:val="-12"/>
                        <w:w w:val="105"/>
                        <w:sz w:val="20"/>
                      </w:rPr>
                      <w:t> </w:t>
                    </w:r>
                    <w:r>
                      <w:rPr>
                        <w:rFonts w:ascii="Trebuchet MS"/>
                        <w:w w:val="105"/>
                        <w:sz w:val="20"/>
                      </w:rPr>
                      <w:t>from</w:t>
                    </w:r>
                    <w:r>
                      <w:rPr>
                        <w:rFonts w:ascii="Trebuchet MS"/>
                        <w:spacing w:val="-13"/>
                        <w:w w:val="105"/>
                        <w:sz w:val="20"/>
                      </w:rPr>
                      <w:t> </w:t>
                    </w:r>
                    <w:r>
                      <w:rPr>
                        <w:rFonts w:ascii="Trebuchet MS"/>
                        <w:w w:val="105"/>
                        <w:sz w:val="20"/>
                      </w:rPr>
                      <w:t>the</w:t>
                    </w:r>
                    <w:r>
                      <w:rPr>
                        <w:rFonts w:ascii="Trebuchet MS"/>
                        <w:spacing w:val="-12"/>
                        <w:w w:val="105"/>
                        <w:sz w:val="20"/>
                      </w:rPr>
                      <w:t> </w:t>
                    </w:r>
                    <w:r>
                      <w:rPr>
                        <w:rFonts w:ascii="Trebuchet MS"/>
                        <w:w w:val="105"/>
                        <w:sz w:val="20"/>
                      </w:rPr>
                      <w:t>empanelment</w:t>
                    </w:r>
                    <w:r>
                      <w:rPr>
                        <w:rFonts w:ascii="Trebuchet MS"/>
                        <w:spacing w:val="-13"/>
                        <w:w w:val="105"/>
                        <w:sz w:val="20"/>
                      </w:rPr>
                      <w:t> </w:t>
                    </w:r>
                    <w:r>
                      <w:rPr>
                        <w:rFonts w:ascii="Trebuchet MS"/>
                        <w:w w:val="105"/>
                        <w:sz w:val="20"/>
                      </w:rPr>
                      <w:t>process for a</w:t>
                    </w:r>
                    <w:r>
                      <w:rPr>
                        <w:rFonts w:ascii="Trebuchet MS"/>
                        <w:spacing w:val="-36"/>
                        <w:w w:val="105"/>
                        <w:sz w:val="20"/>
                      </w:rPr>
                      <w:t> </w:t>
                    </w:r>
                    <w:r>
                      <w:rPr>
                        <w:rFonts w:ascii="Trebuchet MS"/>
                        <w:w w:val="105"/>
                        <w:sz w:val="20"/>
                      </w:rPr>
                      <w:t>trial.</w:t>
                    </w:r>
                  </w:p>
                </w:txbxContent>
              </v:textbox>
              <w10:wrap type="none"/>
            </v:shape>
            <v:shape style="position:absolute;left:1814;top:1344;width:290;height:235" type="#_x0000_t202" filled="false" stroked="false">
              <v:textbox inset="0,0,0,0">
                <w:txbxContent>
                  <w:p>
                    <w:pPr>
                      <w:spacing w:before="0"/>
                      <w:ind w:left="0" w:right="0" w:firstLine="0"/>
                      <w:jc w:val="left"/>
                      <w:rPr>
                        <w:rFonts w:ascii="Trebuchet MS"/>
                        <w:sz w:val="20"/>
                      </w:rPr>
                    </w:pPr>
                    <w:r>
                      <w:rPr>
                        <w:rFonts w:ascii="Trebuchet MS"/>
                        <w:w w:val="102"/>
                        <w:sz w:val="20"/>
                      </w:rPr>
                      <w:t>3</w:t>
                    </w:r>
                    <w:r>
                      <w:rPr>
                        <w:rFonts w:ascii="Trebuchet MS"/>
                        <w:w w:val="114"/>
                        <w:sz w:val="20"/>
                      </w:rPr>
                      <w:t>8</w:t>
                    </w:r>
                    <w:r>
                      <w:rPr>
                        <w:rFonts w:ascii="Trebuchet MS"/>
                        <w:w w:val="55"/>
                        <w:sz w:val="20"/>
                      </w:rPr>
                      <w:t>.</w:t>
                    </w:r>
                  </w:p>
                </w:txbxContent>
              </v:textbox>
              <w10:wrap type="none"/>
            </v:shape>
            <v:shape style="position:absolute;left:1587;top:310;width:8731;height:783" type="#_x0000_t202" filled="true" fillcolor="#dddfe4" stroked="false">
              <v:textbox inset="0,0,0,0">
                <w:txbxContent>
                  <w:p>
                    <w:pPr>
                      <w:spacing w:before="158"/>
                      <w:ind w:left="226" w:right="0" w:firstLine="0"/>
                      <w:jc w:val="left"/>
                      <w:rPr>
                        <w:rFonts w:ascii="Raleway ExtraBold"/>
                        <w:b/>
                        <w:sz w:val="32"/>
                      </w:rPr>
                    </w:pPr>
                    <w:r>
                      <w:rPr>
                        <w:rFonts w:ascii="Raleway ExtraBold"/>
                        <w:b/>
                        <w:color w:val="37617A"/>
                        <w:sz w:val="32"/>
                      </w:rPr>
                      <w:t>Recommendation</w:t>
                    </w:r>
                  </w:p>
                </w:txbxContent>
              </v:textbox>
              <v:fill type="solid"/>
              <w10:wrap type="none"/>
            </v:shape>
            <w10:wrap type="topAndBottom"/>
          </v:group>
        </w:pict>
      </w:r>
    </w:p>
    <w:p>
      <w:pPr>
        <w:pStyle w:val="BodyText"/>
      </w:pPr>
    </w:p>
    <w:p>
      <w:pPr>
        <w:pStyle w:val="BodyText"/>
      </w:pPr>
    </w:p>
    <w:p>
      <w:pPr>
        <w:pStyle w:val="BodyText"/>
      </w:pPr>
    </w:p>
    <w:p>
      <w:pPr>
        <w:pStyle w:val="BodyText"/>
      </w:pPr>
    </w:p>
    <w:p>
      <w:pPr>
        <w:pStyle w:val="BodyText"/>
        <w:spacing w:before="2"/>
        <w:rPr>
          <w:sz w:val="22"/>
        </w:rPr>
      </w:pPr>
    </w:p>
    <w:p>
      <w:pPr>
        <w:pStyle w:val="BodyText"/>
        <w:spacing w:line="20" w:lineRule="exact"/>
        <w:ind w:left="957"/>
        <w:rPr>
          <w:sz w:val="2"/>
        </w:rPr>
      </w:pPr>
      <w:r>
        <w:rPr>
          <w:sz w:val="2"/>
        </w:rPr>
        <w:pict>
          <v:group style="width:436.55pt;height:1pt;mso-position-horizontal-relative:char;mso-position-vertical-relative:line" coordorigin="0,0" coordsize="8731,20">
            <v:line style="position:absolute" from="0,10" to="8731,10" stroked="true" strokeweight="1pt" strokecolor="#b6bdc8">
              <v:stroke dashstyle="solid"/>
            </v:line>
          </v:group>
        </w:pict>
      </w:r>
      <w:r>
        <w:rPr>
          <w:sz w:val="2"/>
        </w:rPr>
      </w:r>
    </w:p>
    <w:p>
      <w:pPr>
        <w:spacing w:after="0" w:line="20" w:lineRule="exact"/>
        <w:rPr>
          <w:sz w:val="2"/>
        </w:rPr>
        <w:sectPr>
          <w:pgSz w:w="11910" w:h="16840"/>
          <w:pgMar w:header="0" w:footer="0" w:top="840" w:bottom="280" w:left="620" w:right="380"/>
        </w:sectPr>
      </w:pPr>
    </w:p>
    <w:p>
      <w:pPr>
        <w:pStyle w:val="ListParagraph"/>
        <w:numPr>
          <w:ilvl w:val="0"/>
          <w:numId w:val="110"/>
        </w:numPr>
        <w:tabs>
          <w:tab w:pos="1761" w:val="left" w:leader="none"/>
          <w:tab w:pos="1762" w:val="left" w:leader="none"/>
        </w:tabs>
        <w:spacing w:line="240" w:lineRule="auto" w:before="120" w:after="0"/>
        <w:ind w:left="1761" w:right="0" w:hanging="794"/>
        <w:jc w:val="left"/>
        <w:rPr>
          <w:sz w:val="13"/>
        </w:rPr>
      </w:pPr>
      <w:r>
        <w:rPr>
          <w:spacing w:val="2"/>
          <w:sz w:val="13"/>
        </w:rPr>
        <w:t>Submission </w:t>
      </w:r>
      <w:r>
        <w:rPr>
          <w:sz w:val="13"/>
        </w:rPr>
        <w:t>11 (Supreme </w:t>
      </w:r>
      <w:r>
        <w:rPr>
          <w:spacing w:val="2"/>
          <w:sz w:val="13"/>
        </w:rPr>
        <w:t>Court </w:t>
      </w:r>
      <w:r>
        <w:rPr>
          <w:sz w:val="13"/>
        </w:rPr>
        <w:t>of</w:t>
      </w:r>
      <w:r>
        <w:rPr>
          <w:spacing w:val="24"/>
          <w:sz w:val="13"/>
        </w:rPr>
        <w:t> </w:t>
      </w:r>
      <w:r>
        <w:rPr>
          <w:sz w:val="13"/>
        </w:rPr>
        <w:t>Victoria).</w:t>
      </w:r>
    </w:p>
    <w:p>
      <w:pPr>
        <w:spacing w:line="326" w:lineRule="exact" w:before="0"/>
        <w:ind w:left="967" w:right="0" w:firstLine="0"/>
        <w:jc w:val="left"/>
        <w:rPr>
          <w:b/>
          <w:sz w:val="24"/>
        </w:rPr>
      </w:pPr>
      <w:r>
        <w:rPr/>
        <w:br w:type="column"/>
      </w:r>
      <w:r>
        <w:rPr>
          <w:b/>
          <w:color w:val="37617A"/>
          <w:sz w:val="24"/>
        </w:rPr>
        <w:t>189</w:t>
      </w:r>
    </w:p>
    <w:p>
      <w:pPr>
        <w:spacing w:after="0" w:line="326" w:lineRule="exact"/>
        <w:jc w:val="left"/>
        <w:rPr>
          <w:sz w:val="24"/>
        </w:rPr>
        <w:sectPr>
          <w:type w:val="continuous"/>
          <w:pgSz w:w="11910" w:h="16840"/>
          <w:pgMar w:top="620" w:bottom="280" w:left="620" w:right="380"/>
          <w:cols w:num="2" w:equalWidth="0">
            <w:col w:w="4408" w:space="4915"/>
            <w:col w:w="1587"/>
          </w:cols>
        </w:sectPr>
      </w:pPr>
    </w:p>
    <w:p>
      <w:pPr>
        <w:pStyle w:val="BodyText"/>
        <w:rPr>
          <w:b/>
        </w:rPr>
      </w:pPr>
      <w:r>
        <w:rPr/>
        <w:pict>
          <v:rect style="position:absolute;margin-left:79.370003pt;margin-top:0pt;width:515.906000pt;height:841.890015pt;mso-position-horizontal-relative:page;mso-position-vertical-relative:page;z-index:12088" filled="true" fillcolor="#37617a" stroked="false">
            <v:fill type="solid"/>
            <w10:wrap type="none"/>
          </v:rect>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4"/>
        </w:rPr>
      </w:pPr>
    </w:p>
    <w:p>
      <w:pPr>
        <w:spacing w:before="49"/>
        <w:ind w:left="100" w:right="0" w:firstLine="0"/>
        <w:jc w:val="left"/>
        <w:rPr>
          <w:b/>
          <w:sz w:val="24"/>
        </w:rPr>
      </w:pPr>
      <w:r>
        <w:rPr>
          <w:b/>
          <w:color w:val="37617A"/>
          <w:sz w:val="24"/>
        </w:rPr>
        <w:t>190</w:t>
      </w:r>
    </w:p>
    <w:p>
      <w:pPr>
        <w:spacing w:after="0"/>
        <w:jc w:val="left"/>
        <w:rPr>
          <w:sz w:val="24"/>
        </w:rPr>
        <w:sectPr>
          <w:headerReference w:type="even" r:id="rId241"/>
          <w:pgSz w:w="11910" w:h="16840"/>
          <w:pgMar w:header="0" w:footer="0" w:top="1580" w:bottom="280" w:left="620" w:right="380"/>
        </w:sectPr>
      </w:pPr>
    </w:p>
    <w:p>
      <w:pPr>
        <w:pStyle w:val="BodyText"/>
        <w:rPr>
          <w:b/>
          <w:sz w:val="11"/>
        </w:rPr>
      </w:pPr>
      <w:r>
        <w:rPr/>
        <w:pict>
          <v:rect style="position:absolute;margin-left:0pt;margin-top:0pt;width:595.276001pt;height:841.890015pt;mso-position-horizontal-relative:page;mso-position-vertical-relative:page;z-index:-348184" filled="true" fillcolor="#37617a" stroked="false">
            <v:fill type="solid"/>
            <w10:wrap type="none"/>
          </v:rect>
        </w:pict>
      </w:r>
    </w:p>
    <w:p>
      <w:pPr>
        <w:spacing w:line="688" w:lineRule="exact" w:before="0"/>
        <w:ind w:left="0" w:right="745" w:firstLine="0"/>
        <w:jc w:val="right"/>
        <w:rPr>
          <w:rFonts w:ascii="Raleway SemiBold"/>
          <w:b/>
          <w:sz w:val="50"/>
        </w:rPr>
      </w:pPr>
      <w:r>
        <w:rPr/>
        <w:pict>
          <v:shape style="position:absolute;margin-left:420.51001pt;margin-top:-3.3143pt;width:124.65pt;height:152.65pt;mso-position-horizontal-relative:page;mso-position-vertical-relative:paragraph;z-index:-348160" type="#_x0000_t202" filled="false" stroked="false">
            <v:textbox inset="0,0,0,0">
              <w:txbxContent>
                <w:p>
                  <w:pPr>
                    <w:spacing w:line="3052" w:lineRule="exact" w:before="0"/>
                    <w:ind w:left="0" w:right="0" w:firstLine="0"/>
                    <w:jc w:val="left"/>
                    <w:rPr>
                      <w:b/>
                      <w:sz w:val="260"/>
                    </w:rPr>
                  </w:pPr>
                  <w:r>
                    <w:rPr>
                      <w:b/>
                      <w:color w:val="FFFFFF"/>
                      <w:spacing w:val="-126"/>
                      <w:sz w:val="260"/>
                    </w:rPr>
                    <w:t>17</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spacing w:line="180" w:lineRule="auto" w:before="320"/>
        <w:ind w:left="967" w:right="3129" w:firstLine="0"/>
        <w:jc w:val="left"/>
        <w:rPr>
          <w:rFonts w:ascii="Raleway ExtraBold"/>
          <w:b/>
          <w:sz w:val="88"/>
        </w:rPr>
      </w:pPr>
      <w:r>
        <w:rPr>
          <w:rFonts w:ascii="Raleway ExtraBold"/>
          <w:b/>
          <w:color w:val="FFFFFF"/>
          <w:spacing w:val="-22"/>
          <w:sz w:val="88"/>
        </w:rPr>
        <w:t>Peremptory </w:t>
      </w:r>
      <w:r>
        <w:rPr>
          <w:rFonts w:ascii="Raleway ExtraBold"/>
          <w:b/>
          <w:color w:val="FFFFFF"/>
          <w:spacing w:val="-21"/>
          <w:sz w:val="88"/>
        </w:rPr>
        <w:t>challenges </w:t>
      </w:r>
      <w:r>
        <w:rPr>
          <w:rFonts w:ascii="Raleway ExtraBold"/>
          <w:b/>
          <w:color w:val="FFFFFF"/>
          <w:spacing w:val="-19"/>
          <w:sz w:val="88"/>
        </w:rPr>
        <w:t>and stand asides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0" w:after="1"/>
        <w:rPr>
          <w:rFonts w:ascii="Raleway ExtraBold"/>
          <w:b/>
          <w:sz w:val="14"/>
        </w:rPr>
      </w:pPr>
    </w:p>
    <w:tbl>
      <w:tblPr>
        <w:tblW w:w="0" w:type="auto"/>
        <w:jc w:val="left"/>
        <w:tblInd w:w="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3288"/>
      </w:tblGrid>
      <w:tr>
        <w:trPr>
          <w:trHeight w:val="336" w:hRule="atLeast"/>
        </w:trPr>
        <w:tc>
          <w:tcPr>
            <w:tcW w:w="510" w:type="dxa"/>
            <w:tcBorders>
              <w:bottom w:val="single" w:sz="18" w:space="0" w:color="8F9DAD"/>
            </w:tcBorders>
            <w:shd w:val="clear" w:color="auto" w:fill="37617A"/>
          </w:tcPr>
          <w:p>
            <w:pPr>
              <w:pStyle w:val="TableParagraph"/>
              <w:spacing w:line="282" w:lineRule="exact" w:before="0"/>
              <w:ind w:left="0"/>
              <w:rPr>
                <w:b/>
                <w:sz w:val="24"/>
              </w:rPr>
            </w:pPr>
            <w:hyperlink w:history="true" w:anchor="_bookmark140">
              <w:r>
                <w:rPr>
                  <w:b/>
                  <w:color w:val="FFFFFF"/>
                  <w:sz w:val="24"/>
                </w:rPr>
                <w:t>192</w:t>
              </w:r>
            </w:hyperlink>
          </w:p>
        </w:tc>
        <w:tc>
          <w:tcPr>
            <w:tcW w:w="3288" w:type="dxa"/>
            <w:shd w:val="clear" w:color="auto" w:fill="37617A"/>
          </w:tcPr>
          <w:p>
            <w:pPr>
              <w:pStyle w:val="TableParagraph"/>
              <w:spacing w:line="282" w:lineRule="exact" w:before="0"/>
              <w:ind w:left="56"/>
              <w:rPr>
                <w:b/>
                <w:sz w:val="24"/>
              </w:rPr>
            </w:pPr>
            <w:hyperlink w:history="true" w:anchor="_bookmark140">
              <w:r>
                <w:rPr>
                  <w:b/>
                  <w:color w:val="FFFFFF"/>
                  <w:sz w:val="24"/>
                </w:rPr>
                <w:t>Overview</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40">
              <w:r>
                <w:rPr>
                  <w:b/>
                  <w:color w:val="FFFFFF"/>
                  <w:sz w:val="24"/>
                </w:rPr>
                <w:t>192</w:t>
              </w:r>
            </w:hyperlink>
          </w:p>
        </w:tc>
        <w:tc>
          <w:tcPr>
            <w:tcW w:w="3288" w:type="dxa"/>
            <w:shd w:val="clear" w:color="auto" w:fill="37617A"/>
          </w:tcPr>
          <w:p>
            <w:pPr>
              <w:pStyle w:val="TableParagraph"/>
              <w:ind w:left="56"/>
              <w:rPr>
                <w:b/>
                <w:sz w:val="24"/>
              </w:rPr>
            </w:pPr>
            <w:hyperlink w:history="true" w:anchor="_bookmark140">
              <w:r>
                <w:rPr>
                  <w:b/>
                  <w:color w:val="FFFFFF"/>
                  <w:sz w:val="24"/>
                </w:rPr>
                <w:t>Challenging potential jurors</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41">
              <w:r>
                <w:rPr>
                  <w:b/>
                  <w:color w:val="FFFFFF"/>
                  <w:sz w:val="24"/>
                </w:rPr>
                <w:t>193</w:t>
              </w:r>
            </w:hyperlink>
          </w:p>
        </w:tc>
        <w:tc>
          <w:tcPr>
            <w:tcW w:w="3288" w:type="dxa"/>
            <w:shd w:val="clear" w:color="auto" w:fill="37617A"/>
          </w:tcPr>
          <w:p>
            <w:pPr>
              <w:pStyle w:val="TableParagraph"/>
              <w:ind w:left="56"/>
              <w:rPr>
                <w:b/>
                <w:sz w:val="24"/>
              </w:rPr>
            </w:pPr>
            <w:hyperlink w:history="true" w:anchor="_bookmark141">
              <w:r>
                <w:rPr>
                  <w:b/>
                  <w:color w:val="FFFFFF"/>
                  <w:sz w:val="24"/>
                </w:rPr>
                <w:t>Peremptory challenges</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47">
              <w:r>
                <w:rPr>
                  <w:b/>
                  <w:color w:val="FFFFFF"/>
                  <w:sz w:val="24"/>
                </w:rPr>
                <w:t>201</w:t>
              </w:r>
            </w:hyperlink>
          </w:p>
        </w:tc>
        <w:tc>
          <w:tcPr>
            <w:tcW w:w="3288" w:type="dxa"/>
            <w:shd w:val="clear" w:color="auto" w:fill="37617A"/>
          </w:tcPr>
          <w:p>
            <w:pPr>
              <w:pStyle w:val="TableParagraph"/>
              <w:ind w:left="56"/>
              <w:rPr>
                <w:b/>
                <w:sz w:val="24"/>
              </w:rPr>
            </w:pPr>
            <w:hyperlink w:history="true" w:anchor="_bookmark147">
              <w:r>
                <w:rPr>
                  <w:b/>
                  <w:color w:val="FFFFFF"/>
                  <w:sz w:val="24"/>
                </w:rPr>
                <w:t>Stand asides</w:t>
              </w:r>
            </w:hyperlink>
          </w:p>
        </w:tc>
      </w:tr>
    </w:tbl>
    <w:p>
      <w:pPr>
        <w:spacing w:after="0"/>
        <w:rPr>
          <w:sz w:val="24"/>
        </w:rPr>
        <w:sectPr>
          <w:headerReference w:type="default" r:id="rId242"/>
          <w:headerReference w:type="even" r:id="rId243"/>
          <w:pgSz w:w="11910" w:h="16840"/>
          <w:pgMar w:header="0" w:footer="0" w:top="480" w:bottom="280" w:left="620" w:right="380"/>
        </w:sectPr>
      </w:pPr>
    </w:p>
    <w:p>
      <w:pPr>
        <w:pStyle w:val="BodyText"/>
        <w:rPr>
          <w:rFonts w:ascii="Raleway ExtraBold"/>
          <w:b/>
        </w:rPr>
      </w:pPr>
    </w:p>
    <w:p>
      <w:pPr>
        <w:pStyle w:val="BodyText"/>
        <w:rPr>
          <w:rFonts w:ascii="Raleway ExtraBold"/>
          <w:b/>
        </w:rPr>
      </w:pPr>
    </w:p>
    <w:p>
      <w:pPr>
        <w:pStyle w:val="BodyText"/>
        <w:spacing w:before="10"/>
        <w:rPr>
          <w:rFonts w:ascii="Raleway ExtraBold"/>
          <w:b/>
          <w:sz w:val="23"/>
        </w:rPr>
      </w:pPr>
    </w:p>
    <w:p>
      <w:pPr>
        <w:pStyle w:val="ListParagraph"/>
        <w:numPr>
          <w:ilvl w:val="0"/>
          <w:numId w:val="12"/>
        </w:numPr>
        <w:tabs>
          <w:tab w:pos="1037" w:val="left" w:leader="none"/>
        </w:tabs>
        <w:spacing w:line="184" w:lineRule="auto" w:before="129" w:after="0"/>
        <w:ind w:left="230" w:right="2389" w:firstLine="0"/>
        <w:jc w:val="left"/>
        <w:rPr>
          <w:rFonts w:ascii="Raleway ExtraBold"/>
          <w:b/>
          <w:sz w:val="56"/>
        </w:rPr>
      </w:pPr>
      <w:bookmarkStart w:name="17. Peremptory challenges and stand asid" w:id="333"/>
      <w:bookmarkEnd w:id="333"/>
      <w:r>
        <w:rPr/>
      </w:r>
      <w:bookmarkStart w:name="Overview" w:id="334"/>
      <w:bookmarkEnd w:id="334"/>
      <w:r>
        <w:rPr/>
      </w:r>
      <w:bookmarkStart w:name="Challenging potential jurors" w:id="335"/>
      <w:bookmarkEnd w:id="335"/>
      <w:r>
        <w:rPr/>
      </w:r>
      <w:bookmarkStart w:name="_bookmark140" w:id="336"/>
      <w:bookmarkEnd w:id="336"/>
      <w:r>
        <w:rPr/>
      </w:r>
      <w:bookmarkStart w:name="_bookmark140" w:id="337"/>
      <w:bookmarkEnd w:id="337"/>
      <w:r>
        <w:rPr>
          <w:rFonts w:ascii="Raleway ExtraBold"/>
          <w:b/>
          <w:color w:val="37617A"/>
          <w:spacing w:val="-5"/>
          <w:sz w:val="56"/>
        </w:rPr>
        <w:t>P</w:t>
      </w:r>
      <w:r>
        <w:rPr>
          <w:rFonts w:ascii="Raleway ExtraBold"/>
          <w:b/>
          <w:color w:val="37617A"/>
          <w:spacing w:val="-5"/>
          <w:sz w:val="56"/>
        </w:rPr>
        <w:t>eremptory </w:t>
      </w:r>
      <w:r>
        <w:rPr>
          <w:rFonts w:ascii="Raleway ExtraBold"/>
          <w:b/>
          <w:color w:val="37617A"/>
          <w:spacing w:val="-4"/>
          <w:sz w:val="56"/>
        </w:rPr>
        <w:t>challenges </w:t>
      </w:r>
      <w:r>
        <w:rPr>
          <w:rFonts w:ascii="Raleway ExtraBold"/>
          <w:b/>
          <w:color w:val="37617A"/>
          <w:sz w:val="56"/>
        </w:rPr>
        <w:t>and </w:t>
      </w:r>
      <w:r>
        <w:rPr>
          <w:rFonts w:ascii="Raleway ExtraBold"/>
          <w:b/>
          <w:color w:val="37617A"/>
          <w:spacing w:val="-4"/>
          <w:sz w:val="56"/>
        </w:rPr>
        <w:t>stand</w:t>
      </w:r>
      <w:r>
        <w:rPr>
          <w:rFonts w:ascii="Raleway ExtraBold"/>
          <w:b/>
          <w:color w:val="37617A"/>
          <w:sz w:val="56"/>
        </w:rPr>
        <w:t> </w:t>
      </w:r>
      <w:r>
        <w:rPr>
          <w:rFonts w:ascii="Raleway ExtraBold"/>
          <w:b/>
          <w:color w:val="37617A"/>
          <w:spacing w:val="-3"/>
          <w:sz w:val="56"/>
        </w:rPr>
        <w:t>asides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5"/>
        <w:rPr>
          <w:rFonts w:ascii="Raleway ExtraBold"/>
          <w:b/>
          <w:sz w:val="16"/>
        </w:rPr>
      </w:pPr>
      <w:r>
        <w:rPr/>
        <w:pict>
          <v:line style="position:absolute;mso-position-horizontal-relative:page;mso-position-vertical-relative:paragraph;z-index:10112;mso-wrap-distance-left:0;mso-wrap-distance-right:0" from="79.370102pt,13.57684pt" to="515.905102pt,13.57684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1806" w:right="2044" w:firstLine="0"/>
        <w:jc w:val="center"/>
        <w:rPr>
          <w:rFonts w:ascii="Trebuchet MS" w:hAnsi="Trebuchet MS"/>
          <w:i/>
          <w:sz w:val="11"/>
        </w:rPr>
      </w:pPr>
      <w:r>
        <w:rPr>
          <w:rFonts w:ascii="Trebuchet MS" w:hAnsi="Trebuchet MS"/>
          <w:i/>
          <w:color w:val="37617A"/>
          <w:sz w:val="20"/>
        </w:rPr>
        <w:t>The</w:t>
      </w:r>
      <w:r>
        <w:rPr>
          <w:rFonts w:ascii="Trebuchet MS" w:hAnsi="Trebuchet MS"/>
          <w:i/>
          <w:color w:val="37617A"/>
          <w:spacing w:val="-9"/>
          <w:sz w:val="20"/>
        </w:rPr>
        <w:t> </w:t>
      </w:r>
      <w:r>
        <w:rPr>
          <w:rFonts w:ascii="Trebuchet MS" w:hAnsi="Trebuchet MS"/>
          <w:i/>
          <w:color w:val="37617A"/>
          <w:sz w:val="20"/>
        </w:rPr>
        <w:t>nature</w:t>
      </w:r>
      <w:r>
        <w:rPr>
          <w:rFonts w:ascii="Trebuchet MS" w:hAnsi="Trebuchet MS"/>
          <w:i/>
          <w:color w:val="37617A"/>
          <w:spacing w:val="-9"/>
          <w:sz w:val="20"/>
        </w:rPr>
        <w:t> </w:t>
      </w:r>
      <w:r>
        <w:rPr>
          <w:rFonts w:ascii="Trebuchet MS" w:hAnsi="Trebuchet MS"/>
          <w:i/>
          <w:color w:val="37617A"/>
          <w:sz w:val="20"/>
        </w:rPr>
        <w:t>of</w:t>
      </w:r>
      <w:r>
        <w:rPr>
          <w:rFonts w:ascii="Trebuchet MS" w:hAnsi="Trebuchet MS"/>
          <w:i/>
          <w:color w:val="37617A"/>
          <w:spacing w:val="-9"/>
          <w:sz w:val="20"/>
        </w:rPr>
        <w:t> </w:t>
      </w:r>
      <w:r>
        <w:rPr>
          <w:rFonts w:ascii="Trebuchet MS" w:hAnsi="Trebuchet MS"/>
          <w:i/>
          <w:color w:val="37617A"/>
          <w:sz w:val="20"/>
        </w:rPr>
        <w:t>peremptory</w:t>
      </w:r>
      <w:r>
        <w:rPr>
          <w:rFonts w:ascii="Trebuchet MS" w:hAnsi="Trebuchet MS"/>
          <w:i/>
          <w:color w:val="37617A"/>
          <w:spacing w:val="-9"/>
          <w:sz w:val="20"/>
        </w:rPr>
        <w:t> </w:t>
      </w:r>
      <w:r>
        <w:rPr>
          <w:rFonts w:ascii="Trebuchet MS" w:hAnsi="Trebuchet MS"/>
          <w:i/>
          <w:color w:val="37617A"/>
          <w:sz w:val="20"/>
        </w:rPr>
        <w:t>challenges</w:t>
      </w:r>
      <w:r>
        <w:rPr>
          <w:rFonts w:ascii="Trebuchet MS" w:hAnsi="Trebuchet MS"/>
          <w:i/>
          <w:color w:val="37617A"/>
          <w:spacing w:val="-9"/>
          <w:sz w:val="20"/>
        </w:rPr>
        <w:t> </w:t>
      </w:r>
      <w:r>
        <w:rPr>
          <w:rFonts w:ascii="Trebuchet MS" w:hAnsi="Trebuchet MS"/>
          <w:i/>
          <w:color w:val="37617A"/>
          <w:sz w:val="20"/>
        </w:rPr>
        <w:t>is</w:t>
      </w:r>
      <w:r>
        <w:rPr>
          <w:rFonts w:ascii="Trebuchet MS" w:hAnsi="Trebuchet MS"/>
          <w:i/>
          <w:color w:val="37617A"/>
          <w:spacing w:val="-9"/>
          <w:sz w:val="20"/>
        </w:rPr>
        <w:t> </w:t>
      </w:r>
      <w:r>
        <w:rPr>
          <w:rFonts w:ascii="Trebuchet MS" w:hAnsi="Trebuchet MS"/>
          <w:i/>
          <w:color w:val="37617A"/>
          <w:sz w:val="20"/>
        </w:rPr>
        <w:t>that</w:t>
      </w:r>
      <w:r>
        <w:rPr>
          <w:rFonts w:ascii="Trebuchet MS" w:hAnsi="Trebuchet MS"/>
          <w:i/>
          <w:color w:val="37617A"/>
          <w:spacing w:val="-9"/>
          <w:sz w:val="20"/>
        </w:rPr>
        <w:t> </w:t>
      </w:r>
      <w:r>
        <w:rPr>
          <w:rFonts w:ascii="Trebuchet MS" w:hAnsi="Trebuchet MS"/>
          <w:i/>
          <w:color w:val="37617A"/>
          <w:sz w:val="20"/>
        </w:rPr>
        <w:t>a</w:t>
      </w:r>
      <w:r>
        <w:rPr>
          <w:rFonts w:ascii="Trebuchet MS" w:hAnsi="Trebuchet MS"/>
          <w:i/>
          <w:color w:val="37617A"/>
          <w:spacing w:val="-9"/>
          <w:sz w:val="20"/>
        </w:rPr>
        <w:t> </w:t>
      </w:r>
      <w:r>
        <w:rPr>
          <w:rFonts w:ascii="Trebuchet MS" w:hAnsi="Trebuchet MS"/>
          <w:i/>
          <w:color w:val="37617A"/>
          <w:sz w:val="20"/>
        </w:rPr>
        <w:t>defendant</w:t>
      </w:r>
      <w:r>
        <w:rPr>
          <w:rFonts w:ascii="Trebuchet MS" w:hAnsi="Trebuchet MS"/>
          <w:i/>
          <w:color w:val="37617A"/>
          <w:spacing w:val="-9"/>
          <w:sz w:val="20"/>
        </w:rPr>
        <w:t> </w:t>
      </w:r>
      <w:r>
        <w:rPr>
          <w:rFonts w:ascii="Trebuchet MS" w:hAnsi="Trebuchet MS"/>
          <w:i/>
          <w:color w:val="37617A"/>
          <w:sz w:val="20"/>
        </w:rPr>
        <w:t>does</w:t>
      </w:r>
      <w:r>
        <w:rPr>
          <w:rFonts w:ascii="Trebuchet MS" w:hAnsi="Trebuchet MS"/>
          <w:i/>
          <w:color w:val="37617A"/>
          <w:spacing w:val="-9"/>
          <w:sz w:val="20"/>
        </w:rPr>
        <w:t> </w:t>
      </w:r>
      <w:r>
        <w:rPr>
          <w:rFonts w:ascii="Trebuchet MS" w:hAnsi="Trebuchet MS"/>
          <w:i/>
          <w:color w:val="37617A"/>
          <w:sz w:val="20"/>
        </w:rPr>
        <w:t>not</w:t>
      </w:r>
      <w:r>
        <w:rPr>
          <w:rFonts w:ascii="Trebuchet MS" w:hAnsi="Trebuchet MS"/>
          <w:i/>
          <w:color w:val="37617A"/>
          <w:spacing w:val="-9"/>
          <w:sz w:val="20"/>
        </w:rPr>
        <w:t> </w:t>
      </w:r>
      <w:r>
        <w:rPr>
          <w:rFonts w:ascii="Trebuchet MS" w:hAnsi="Trebuchet MS"/>
          <w:i/>
          <w:color w:val="37617A"/>
          <w:sz w:val="20"/>
        </w:rPr>
        <w:t>have</w:t>
      </w:r>
      <w:r>
        <w:rPr>
          <w:rFonts w:ascii="Trebuchet MS" w:hAnsi="Trebuchet MS"/>
          <w:i/>
          <w:color w:val="37617A"/>
          <w:spacing w:val="-9"/>
          <w:sz w:val="20"/>
        </w:rPr>
        <w:t> </w:t>
      </w:r>
      <w:r>
        <w:rPr>
          <w:rFonts w:ascii="Trebuchet MS" w:hAnsi="Trebuchet MS"/>
          <w:i/>
          <w:color w:val="37617A"/>
          <w:sz w:val="20"/>
        </w:rPr>
        <w:t>to </w:t>
      </w:r>
      <w:r>
        <w:rPr>
          <w:rFonts w:ascii="Trebuchet MS" w:hAnsi="Trebuchet MS"/>
          <w:i/>
          <w:color w:val="37617A"/>
          <w:w w:val="108"/>
          <w:sz w:val="20"/>
        </w:rPr>
        <w:t>d</w:t>
      </w:r>
      <w:r>
        <w:rPr>
          <w:rFonts w:ascii="Trebuchet MS" w:hAnsi="Trebuchet MS"/>
          <w:i/>
          <w:color w:val="37617A"/>
          <w:w w:val="73"/>
          <w:sz w:val="20"/>
        </w:rPr>
        <w:t>i</w:t>
      </w:r>
      <w:r>
        <w:rPr>
          <w:rFonts w:ascii="Trebuchet MS" w:hAnsi="Trebuchet MS"/>
          <w:i/>
          <w:color w:val="37617A"/>
          <w:spacing w:val="-2"/>
          <w:w w:val="117"/>
          <w:sz w:val="20"/>
        </w:rPr>
        <w:t>s</w:t>
      </w:r>
      <w:r>
        <w:rPr>
          <w:rFonts w:ascii="Trebuchet MS" w:hAnsi="Trebuchet MS"/>
          <w:i/>
          <w:color w:val="37617A"/>
          <w:spacing w:val="-1"/>
          <w:w w:val="115"/>
          <w:sz w:val="20"/>
        </w:rPr>
        <w:t>c</w:t>
      </w:r>
      <w:r>
        <w:rPr>
          <w:rFonts w:ascii="Trebuchet MS" w:hAnsi="Trebuchet MS"/>
          <w:i/>
          <w:color w:val="37617A"/>
          <w:spacing w:val="-3"/>
          <w:w w:val="87"/>
          <w:sz w:val="20"/>
        </w:rPr>
        <w:t>l</w:t>
      </w:r>
      <w:r>
        <w:rPr>
          <w:rFonts w:ascii="Trebuchet MS" w:hAnsi="Trebuchet MS"/>
          <w:i/>
          <w:color w:val="37617A"/>
          <w:spacing w:val="-1"/>
          <w:w w:val="107"/>
          <w:sz w:val="20"/>
        </w:rPr>
        <w:t>o</w:t>
      </w:r>
      <w:r>
        <w:rPr>
          <w:rFonts w:ascii="Trebuchet MS" w:hAnsi="Trebuchet MS"/>
          <w:i/>
          <w:color w:val="37617A"/>
          <w:spacing w:val="-2"/>
          <w:w w:val="117"/>
          <w:sz w:val="20"/>
        </w:rPr>
        <w:t>s</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w w:val="73"/>
          <w:sz w:val="20"/>
        </w:rPr>
        <w:t>i</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w w:val="115"/>
          <w:sz w:val="20"/>
        </w:rPr>
        <w:t>a</w:t>
      </w:r>
      <w:r>
        <w:rPr>
          <w:rFonts w:ascii="Trebuchet MS" w:hAnsi="Trebuchet MS"/>
          <w:i/>
          <w:color w:val="37617A"/>
          <w:spacing w:val="-2"/>
          <w:w w:val="117"/>
          <w:sz w:val="20"/>
        </w:rPr>
        <w:t>s</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spacing w:val="1"/>
          <w:w w:val="119"/>
          <w:sz w:val="20"/>
        </w:rPr>
        <w:t>g</w:t>
      </w:r>
      <w:r>
        <w:rPr>
          <w:rFonts w:ascii="Trebuchet MS" w:hAnsi="Trebuchet MS"/>
          <w:i/>
          <w:color w:val="37617A"/>
          <w:w w:val="54"/>
          <w:sz w:val="20"/>
        </w:rPr>
        <w:t>.</w:t>
      </w:r>
      <w:r>
        <w:rPr>
          <w:rFonts w:ascii="Trebuchet MS" w:hAnsi="Trebuchet MS"/>
          <w:i/>
          <w:color w:val="37617A"/>
          <w:spacing w:val="-13"/>
          <w:sz w:val="20"/>
        </w:rPr>
        <w:t> </w:t>
      </w:r>
      <w:r>
        <w:rPr>
          <w:rFonts w:ascii="Trebuchet MS" w:hAnsi="Trebuchet MS"/>
          <w:i/>
          <w:color w:val="37617A"/>
          <w:spacing w:val="-2"/>
          <w:w w:val="100"/>
          <w:sz w:val="20"/>
        </w:rPr>
        <w:t>T</w:t>
      </w:r>
      <w:r>
        <w:rPr>
          <w:rFonts w:ascii="Trebuchet MS" w:hAnsi="Trebuchet MS"/>
          <w:i/>
          <w:color w:val="37617A"/>
          <w:w w:val="101"/>
          <w:sz w:val="20"/>
        </w:rPr>
        <w:t>h</w:t>
      </w:r>
      <w:r>
        <w:rPr>
          <w:rFonts w:ascii="Trebuchet MS" w:hAnsi="Trebuchet MS"/>
          <w:i/>
          <w:color w:val="37617A"/>
          <w:spacing w:val="-3"/>
          <w:w w:val="100"/>
          <w:sz w:val="20"/>
        </w:rPr>
        <w:t>e</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spacing w:val="2"/>
          <w:w w:val="83"/>
          <w:sz w:val="20"/>
        </w:rPr>
        <w:t>f</w:t>
      </w:r>
      <w:r>
        <w:rPr>
          <w:rFonts w:ascii="Trebuchet MS" w:hAnsi="Trebuchet MS"/>
          <w:i/>
          <w:color w:val="37617A"/>
          <w:spacing w:val="-5"/>
          <w:w w:val="80"/>
          <w:sz w:val="20"/>
        </w:rPr>
        <w:t>t</w:t>
      </w:r>
      <w:r>
        <w:rPr>
          <w:rFonts w:ascii="Trebuchet MS" w:hAnsi="Trebuchet MS"/>
          <w:i/>
          <w:color w:val="37617A"/>
          <w:spacing w:val="1"/>
          <w:w w:val="100"/>
          <w:sz w:val="20"/>
        </w:rPr>
        <w:t>e</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spacing w:val="-1"/>
          <w:w w:val="117"/>
          <w:sz w:val="20"/>
        </w:rPr>
        <w:t>s</w:t>
      </w:r>
      <w:r>
        <w:rPr>
          <w:rFonts w:ascii="Trebuchet MS" w:hAnsi="Trebuchet MS"/>
          <w:i/>
          <w:color w:val="37617A"/>
          <w:spacing w:val="-1"/>
          <w:w w:val="80"/>
          <w:sz w:val="20"/>
        </w:rPr>
        <w:t>t</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spacing w:val="-2"/>
          <w:w w:val="115"/>
          <w:sz w:val="20"/>
        </w:rPr>
        <w:t>c</w:t>
      </w:r>
      <w:r>
        <w:rPr>
          <w:rFonts w:ascii="Trebuchet MS" w:hAnsi="Trebuchet MS"/>
          <w:i/>
          <w:color w:val="37617A"/>
          <w:spacing w:val="-2"/>
          <w:w w:val="80"/>
          <w:sz w:val="20"/>
        </w:rPr>
        <w:t>t</w:t>
      </w:r>
      <w:r>
        <w:rPr>
          <w:rFonts w:ascii="Trebuchet MS" w:hAnsi="Trebuchet MS"/>
          <w:i/>
          <w:color w:val="37617A"/>
          <w:spacing w:val="-2"/>
          <w:w w:val="72"/>
          <w:sz w:val="20"/>
        </w:rPr>
        <w:t>[</w:t>
      </w:r>
      <w:r>
        <w:rPr>
          <w:rFonts w:ascii="Trebuchet MS" w:hAnsi="Trebuchet MS"/>
          <w:i/>
          <w:color w:val="37617A"/>
          <w:spacing w:val="-2"/>
          <w:w w:val="73"/>
          <w:sz w:val="20"/>
        </w:rPr>
        <w:t>i</w:t>
      </w:r>
      <w:r>
        <w:rPr>
          <w:rFonts w:ascii="Trebuchet MS" w:hAnsi="Trebuchet MS"/>
          <w:i/>
          <w:color w:val="37617A"/>
          <w:spacing w:val="-3"/>
          <w:w w:val="103"/>
          <w:sz w:val="20"/>
        </w:rPr>
        <w:t>v</w:t>
      </w:r>
      <w:r>
        <w:rPr>
          <w:rFonts w:ascii="Trebuchet MS" w:hAnsi="Trebuchet MS"/>
          <w:i/>
          <w:color w:val="37617A"/>
          <w:spacing w:val="-1"/>
          <w:w w:val="88"/>
          <w:sz w:val="20"/>
        </w:rPr>
        <w:t>e</w:t>
      </w:r>
      <w:r>
        <w:rPr>
          <w:rFonts w:ascii="Trebuchet MS" w:hAnsi="Trebuchet MS"/>
          <w:i/>
          <w:color w:val="37617A"/>
          <w:w w:val="88"/>
          <w:sz w:val="20"/>
        </w:rPr>
        <w:t>]</w:t>
      </w:r>
      <w:r>
        <w:rPr>
          <w:rFonts w:ascii="Trebuchet MS" w:hAnsi="Trebuchet MS"/>
          <w:i/>
          <w:color w:val="37617A"/>
          <w:spacing w:val="-13"/>
          <w:sz w:val="20"/>
        </w:rPr>
        <w:t> </w:t>
      </w:r>
      <w:r>
        <w:rPr>
          <w:rFonts w:ascii="Trebuchet MS" w:hAnsi="Trebuchet MS"/>
          <w:i/>
          <w:color w:val="37617A"/>
          <w:spacing w:val="-1"/>
          <w:w w:val="108"/>
          <w:sz w:val="20"/>
        </w:rPr>
        <w:t>d</w:t>
      </w:r>
      <w:r>
        <w:rPr>
          <w:rFonts w:ascii="Trebuchet MS" w:hAnsi="Trebuchet MS"/>
          <w:i/>
          <w:color w:val="37617A"/>
          <w:w w:val="100"/>
          <w:sz w:val="20"/>
        </w:rPr>
        <w:t>e</w:t>
      </w:r>
      <w:r>
        <w:rPr>
          <w:rFonts w:ascii="Trebuchet MS" w:hAnsi="Trebuchet MS"/>
          <w:i/>
          <w:color w:val="37617A"/>
          <w:w w:val="115"/>
          <w:sz w:val="20"/>
        </w:rPr>
        <w:t>c</w:t>
      </w:r>
      <w:r>
        <w:rPr>
          <w:rFonts w:ascii="Trebuchet MS" w:hAnsi="Trebuchet MS"/>
          <w:i/>
          <w:color w:val="37617A"/>
          <w:w w:val="73"/>
          <w:sz w:val="20"/>
        </w:rPr>
        <w:t>i</w:t>
      </w:r>
      <w:r>
        <w:rPr>
          <w:rFonts w:ascii="Trebuchet MS" w:hAnsi="Trebuchet MS"/>
          <w:i/>
          <w:color w:val="37617A"/>
          <w:spacing w:val="-1"/>
          <w:w w:val="117"/>
          <w:sz w:val="20"/>
        </w:rPr>
        <w:t>s</w:t>
      </w:r>
      <w:r>
        <w:rPr>
          <w:rFonts w:ascii="Trebuchet MS" w:hAnsi="Trebuchet MS"/>
          <w:i/>
          <w:color w:val="37617A"/>
          <w:w w:val="73"/>
          <w:sz w:val="20"/>
        </w:rPr>
        <w:t>i</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w w:val="115"/>
          <w:sz w:val="20"/>
        </w:rPr>
        <w:t>a</w:t>
      </w:r>
      <w:r>
        <w:rPr>
          <w:rFonts w:ascii="Trebuchet MS" w:hAnsi="Trebuchet MS"/>
          <w:i/>
          <w:color w:val="37617A"/>
          <w:spacing w:val="-2"/>
          <w:w w:val="117"/>
          <w:sz w:val="20"/>
        </w:rPr>
        <w:t>s</w:t>
      </w:r>
      <w:r>
        <w:rPr>
          <w:rFonts w:ascii="Trebuchet MS" w:hAnsi="Trebuchet MS"/>
          <w:i/>
          <w:color w:val="37617A"/>
          <w:w w:val="100"/>
          <w:sz w:val="20"/>
        </w:rPr>
        <w:t>e</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3"/>
          <w:w w:val="103"/>
          <w:sz w:val="20"/>
        </w:rPr>
        <w:t>v</w:t>
      </w:r>
      <w:r>
        <w:rPr>
          <w:rFonts w:ascii="Trebuchet MS" w:hAnsi="Trebuchet MS"/>
          <w:i/>
          <w:color w:val="37617A"/>
          <w:spacing w:val="1"/>
          <w:w w:val="100"/>
          <w:sz w:val="20"/>
        </w:rPr>
        <w:t>e</w:t>
      </w:r>
      <w:r>
        <w:rPr>
          <w:rFonts w:ascii="Trebuchet MS" w:hAnsi="Trebuchet MS"/>
          <w:i/>
          <w:color w:val="37617A"/>
          <w:spacing w:val="4"/>
          <w:w w:val="84"/>
          <w:sz w:val="20"/>
        </w:rPr>
        <w:t>r</w:t>
      </w:r>
      <w:r>
        <w:rPr>
          <w:rFonts w:ascii="Trebuchet MS" w:hAnsi="Trebuchet MS"/>
          <w:i/>
          <w:color w:val="37617A"/>
          <w:w w:val="101"/>
          <w:sz w:val="20"/>
        </w:rPr>
        <w:t>y </w:t>
      </w:r>
      <w:r>
        <w:rPr>
          <w:rFonts w:ascii="Trebuchet MS" w:hAnsi="Trebuchet MS"/>
          <w:i/>
          <w:color w:val="37617A"/>
          <w:spacing w:val="-1"/>
          <w:w w:val="87"/>
          <w:sz w:val="20"/>
        </w:rPr>
        <w:t>l</w:t>
      </w:r>
      <w:r>
        <w:rPr>
          <w:rFonts w:ascii="Trebuchet MS" w:hAnsi="Trebuchet MS"/>
          <w:i/>
          <w:color w:val="37617A"/>
          <w:spacing w:val="-1"/>
          <w:w w:val="73"/>
          <w:sz w:val="20"/>
        </w:rPr>
        <w:t>i</w:t>
      </w:r>
      <w:r>
        <w:rPr>
          <w:rFonts w:ascii="Trebuchet MS" w:hAnsi="Trebuchet MS"/>
          <w:i/>
          <w:color w:val="37617A"/>
          <w:spacing w:val="-1"/>
          <w:w w:val="80"/>
          <w:sz w:val="20"/>
        </w:rPr>
        <w:t>t</w:t>
      </w:r>
      <w:r>
        <w:rPr>
          <w:rFonts w:ascii="Trebuchet MS" w:hAnsi="Trebuchet MS"/>
          <w:i/>
          <w:color w:val="37617A"/>
          <w:spacing w:val="-3"/>
          <w:w w:val="80"/>
          <w:sz w:val="20"/>
        </w:rPr>
        <w:t>t</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73"/>
          <w:sz w:val="20"/>
        </w:rPr>
        <w:t>i</w:t>
      </w:r>
      <w:r>
        <w:rPr>
          <w:rFonts w:ascii="Trebuchet MS" w:hAnsi="Trebuchet MS"/>
          <w:i/>
          <w:color w:val="37617A"/>
          <w:spacing w:val="-1"/>
          <w:w w:val="95"/>
          <w:sz w:val="20"/>
        </w:rPr>
        <w:t>n</w:t>
      </w:r>
      <w:r>
        <w:rPr>
          <w:rFonts w:ascii="Trebuchet MS" w:hAnsi="Trebuchet MS"/>
          <w:i/>
          <w:color w:val="37617A"/>
          <w:spacing w:val="-5"/>
          <w:w w:val="95"/>
          <w:sz w:val="20"/>
        </w:rPr>
        <w:t>f</w:t>
      </w:r>
      <w:r>
        <w:rPr>
          <w:rFonts w:ascii="Trebuchet MS" w:hAnsi="Trebuchet MS"/>
          <w:i/>
          <w:color w:val="37617A"/>
          <w:w w:val="107"/>
          <w:sz w:val="20"/>
        </w:rPr>
        <w:t>o</w:t>
      </w:r>
      <w:r>
        <w:rPr>
          <w:rFonts w:ascii="Trebuchet MS" w:hAnsi="Trebuchet MS"/>
          <w:i/>
          <w:color w:val="37617A"/>
          <w:spacing w:val="-2"/>
          <w:w w:val="84"/>
          <w:sz w:val="20"/>
        </w:rPr>
        <w:t>r</w:t>
      </w:r>
      <w:r>
        <w:rPr>
          <w:rFonts w:ascii="Trebuchet MS" w:hAnsi="Trebuchet MS"/>
          <w:i/>
          <w:color w:val="37617A"/>
          <w:w w:val="106"/>
          <w:sz w:val="20"/>
        </w:rPr>
        <w:t>m</w:t>
      </w:r>
      <w:r>
        <w:rPr>
          <w:rFonts w:ascii="Trebuchet MS" w:hAnsi="Trebuchet MS"/>
          <w:i/>
          <w:color w:val="37617A"/>
          <w:spacing w:val="-1"/>
          <w:w w:val="99"/>
          <w:sz w:val="20"/>
        </w:rPr>
        <w:t>at</w:t>
      </w:r>
      <w:r>
        <w:rPr>
          <w:rFonts w:ascii="Trebuchet MS" w:hAnsi="Trebuchet MS"/>
          <w:i/>
          <w:color w:val="37617A"/>
          <w:w w:val="73"/>
          <w:sz w:val="20"/>
        </w:rPr>
        <w:t>i</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spacing w:val="-1"/>
          <w:w w:val="103"/>
          <w:sz w:val="20"/>
        </w:rPr>
        <w:t>u</w:t>
      </w:r>
      <w:r>
        <w:rPr>
          <w:rFonts w:ascii="Trebuchet MS" w:hAnsi="Trebuchet MS"/>
          <w:i/>
          <w:color w:val="37617A"/>
          <w:w w:val="115"/>
          <w:sz w:val="20"/>
        </w:rPr>
        <w:t>c</w:t>
      </w:r>
      <w:r>
        <w:rPr>
          <w:rFonts w:ascii="Trebuchet MS" w:hAnsi="Trebuchet MS"/>
          <w:i/>
          <w:color w:val="37617A"/>
          <w:w w:val="101"/>
          <w:sz w:val="20"/>
        </w:rPr>
        <w:t>h</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07"/>
          <w:sz w:val="20"/>
        </w:rPr>
        <w:t>pp</w:t>
      </w:r>
      <w:r>
        <w:rPr>
          <w:rFonts w:ascii="Trebuchet MS" w:hAnsi="Trebuchet MS"/>
          <w:i/>
          <w:color w:val="37617A"/>
          <w:w w:val="100"/>
          <w:sz w:val="20"/>
        </w:rPr>
        <w:t>e</w:t>
      </w:r>
      <w:r>
        <w:rPr>
          <w:rFonts w:ascii="Trebuchet MS" w:hAnsi="Trebuchet MS"/>
          <w:i/>
          <w:color w:val="37617A"/>
          <w:w w:val="115"/>
          <w:sz w:val="20"/>
        </w:rPr>
        <w:t>a</w:t>
      </w:r>
      <w:r>
        <w:rPr>
          <w:rFonts w:ascii="Trebuchet MS" w:hAnsi="Trebuchet MS"/>
          <w:i/>
          <w:color w:val="37617A"/>
          <w:spacing w:val="-3"/>
          <w:w w:val="84"/>
          <w:sz w:val="20"/>
        </w:rPr>
        <w:t>r</w:t>
      </w:r>
      <w:r>
        <w:rPr>
          <w:rFonts w:ascii="Trebuchet MS" w:hAnsi="Trebuchet MS"/>
          <w:i/>
          <w:color w:val="37617A"/>
          <w:w w:val="115"/>
          <w:sz w:val="20"/>
        </w:rPr>
        <w:t>a</w:t>
      </w:r>
      <w:r>
        <w:rPr>
          <w:rFonts w:ascii="Trebuchet MS" w:hAnsi="Trebuchet MS"/>
          <w:i/>
          <w:color w:val="37617A"/>
          <w:spacing w:val="-1"/>
          <w:w w:val="103"/>
          <w:sz w:val="20"/>
        </w:rPr>
        <w:t>n</w:t>
      </w:r>
      <w:r>
        <w:rPr>
          <w:rFonts w:ascii="Trebuchet MS" w:hAnsi="Trebuchet MS"/>
          <w:i/>
          <w:color w:val="37617A"/>
          <w:spacing w:val="-1"/>
          <w:w w:val="115"/>
          <w:sz w:val="20"/>
        </w:rPr>
        <w:t>c</w:t>
      </w:r>
      <w:r>
        <w:rPr>
          <w:rFonts w:ascii="Trebuchet MS" w:hAnsi="Trebuchet MS"/>
          <w:i/>
          <w:color w:val="37617A"/>
          <w:spacing w:val="2"/>
          <w:w w:val="100"/>
          <w:sz w:val="20"/>
        </w:rPr>
        <w:t>e</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spacing w:val="-2"/>
          <w:w w:val="107"/>
          <w:sz w:val="20"/>
        </w:rPr>
        <w:t>o</w:t>
      </w:r>
      <w:r>
        <w:rPr>
          <w:rFonts w:ascii="Trebuchet MS" w:hAnsi="Trebuchet MS"/>
          <w:i/>
          <w:color w:val="37617A"/>
          <w:spacing w:val="-5"/>
          <w:w w:val="80"/>
          <w:sz w:val="20"/>
        </w:rPr>
        <w:t>t</w:t>
      </w:r>
      <w:r>
        <w:rPr>
          <w:rFonts w:ascii="Trebuchet MS" w:hAnsi="Trebuchet MS"/>
          <w:i/>
          <w:color w:val="37617A"/>
          <w:spacing w:val="1"/>
          <w:w w:val="100"/>
          <w:sz w:val="20"/>
        </w:rPr>
        <w:t>e</w:t>
      </w:r>
      <w:r>
        <w:rPr>
          <w:rFonts w:ascii="Trebuchet MS" w:hAnsi="Trebuchet MS"/>
          <w:i/>
          <w:color w:val="37617A"/>
          <w:spacing w:val="-2"/>
          <w:w w:val="103"/>
          <w:sz w:val="20"/>
        </w:rPr>
        <w:t>n</w:t>
      </w:r>
      <w:r>
        <w:rPr>
          <w:rFonts w:ascii="Trebuchet MS" w:hAnsi="Trebuchet MS"/>
          <w:i/>
          <w:color w:val="37617A"/>
          <w:spacing w:val="-1"/>
          <w:w w:val="80"/>
          <w:sz w:val="20"/>
        </w:rPr>
        <w:t>t</w:t>
      </w:r>
      <w:r>
        <w:rPr>
          <w:rFonts w:ascii="Trebuchet MS" w:hAnsi="Trebuchet MS"/>
          <w:i/>
          <w:color w:val="37617A"/>
          <w:w w:val="73"/>
          <w:sz w:val="20"/>
        </w:rPr>
        <w:t>i</w:t>
      </w:r>
      <w:r>
        <w:rPr>
          <w:rFonts w:ascii="Trebuchet MS" w:hAnsi="Trebuchet MS"/>
          <w:i/>
          <w:color w:val="37617A"/>
          <w:w w:val="115"/>
          <w:sz w:val="20"/>
        </w:rPr>
        <w:t>a</w:t>
      </w:r>
      <w:r>
        <w:rPr>
          <w:rFonts w:ascii="Trebuchet MS" w:hAnsi="Trebuchet MS"/>
          <w:i/>
          <w:color w:val="37617A"/>
          <w:w w:val="87"/>
          <w:sz w:val="20"/>
        </w:rPr>
        <w:t>l</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4"/>
          <w:w w:val="84"/>
          <w:sz w:val="20"/>
        </w:rPr>
        <w:t>r</w:t>
      </w:r>
      <w:r>
        <w:rPr>
          <w:rFonts w:ascii="Trebuchet MS" w:hAnsi="Trebuchet MS"/>
          <w:i/>
          <w:color w:val="37617A"/>
          <w:w w:val="107"/>
          <w:sz w:val="20"/>
        </w:rPr>
        <w:t>o</w:t>
      </w:r>
      <w:r>
        <w:rPr>
          <w:rFonts w:ascii="Trebuchet MS" w:hAnsi="Trebuchet MS"/>
          <w:i/>
          <w:color w:val="37617A"/>
          <w:spacing w:val="-2"/>
          <w:w w:val="84"/>
          <w:sz w:val="20"/>
        </w:rPr>
        <w:t>r</w:t>
      </w:r>
      <w:r>
        <w:rPr>
          <w:rFonts w:ascii="Trebuchet MS" w:hAnsi="Trebuchet MS"/>
          <w:i/>
          <w:color w:val="37617A"/>
          <w:spacing w:val="-1"/>
          <w:w w:val="54"/>
          <w:sz w:val="20"/>
        </w:rPr>
        <w:t>’</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spacing w:val="1"/>
          <w:w w:val="100"/>
          <w:sz w:val="20"/>
        </w:rPr>
        <w:t>e</w:t>
      </w:r>
      <w:r>
        <w:rPr>
          <w:rFonts w:ascii="Trebuchet MS" w:hAnsi="Trebuchet MS"/>
          <w:i/>
          <w:color w:val="37617A"/>
          <w:w w:val="101"/>
          <w:sz w:val="20"/>
        </w:rPr>
        <w:t>h</w:t>
      </w:r>
      <w:r>
        <w:rPr>
          <w:rFonts w:ascii="Trebuchet MS" w:hAnsi="Trebuchet MS"/>
          <w:i/>
          <w:color w:val="37617A"/>
          <w:spacing w:val="-2"/>
          <w:w w:val="115"/>
          <w:sz w:val="20"/>
        </w:rPr>
        <w:t>a</w:t>
      </w:r>
      <w:r>
        <w:rPr>
          <w:rFonts w:ascii="Trebuchet MS" w:hAnsi="Trebuchet MS"/>
          <w:i/>
          <w:color w:val="37617A"/>
          <w:spacing w:val="-3"/>
          <w:w w:val="103"/>
          <w:sz w:val="20"/>
        </w:rPr>
        <w:t>v</w:t>
      </w:r>
      <w:r>
        <w:rPr>
          <w:rFonts w:ascii="Trebuchet MS" w:hAnsi="Trebuchet MS"/>
          <w:i/>
          <w:color w:val="37617A"/>
          <w:w w:val="73"/>
          <w:sz w:val="20"/>
        </w:rPr>
        <w:t>i</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w w:val="108"/>
          <w:sz w:val="20"/>
        </w:rPr>
        <w:t>d</w:t>
      </w:r>
      <w:r>
        <w:rPr>
          <w:rFonts w:ascii="Trebuchet MS" w:hAnsi="Trebuchet MS"/>
          <w:i/>
          <w:color w:val="37617A"/>
          <w:w w:val="103"/>
          <w:sz w:val="20"/>
        </w:rPr>
        <w:t>u</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 </w:t>
      </w:r>
      <w:r>
        <w:rPr>
          <w:rFonts w:ascii="Trebuchet MS" w:hAnsi="Trebuchet MS"/>
          <w:i/>
          <w:color w:val="37617A"/>
          <w:spacing w:val="1"/>
          <w:w w:val="100"/>
          <w:sz w:val="20"/>
        </w:rPr>
        <w:t>e</w:t>
      </w:r>
      <w:r>
        <w:rPr>
          <w:rFonts w:ascii="Trebuchet MS" w:hAnsi="Trebuchet MS"/>
          <w:i/>
          <w:color w:val="37617A"/>
          <w:w w:val="106"/>
          <w:sz w:val="20"/>
        </w:rPr>
        <w:t>m</w:t>
      </w:r>
      <w:r>
        <w:rPr>
          <w:rFonts w:ascii="Trebuchet MS" w:hAnsi="Trebuchet MS"/>
          <w:i/>
          <w:color w:val="37617A"/>
          <w:w w:val="107"/>
          <w:sz w:val="20"/>
        </w:rPr>
        <w:t>p</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w w:val="100"/>
          <w:sz w:val="20"/>
        </w:rPr>
        <w:t>e</w:t>
      </w:r>
      <w:r>
        <w:rPr>
          <w:rFonts w:ascii="Trebuchet MS" w:hAnsi="Trebuchet MS"/>
          <w:i/>
          <w:color w:val="37617A"/>
          <w:spacing w:val="-1"/>
          <w:w w:val="87"/>
          <w:sz w:val="20"/>
        </w:rPr>
        <w:t>l</w:t>
      </w:r>
      <w:r>
        <w:rPr>
          <w:rFonts w:ascii="Trebuchet MS" w:hAnsi="Trebuchet MS"/>
          <w:i/>
          <w:color w:val="37617A"/>
          <w:spacing w:val="-1"/>
          <w:w w:val="106"/>
          <w:sz w:val="20"/>
        </w:rPr>
        <w:t>m</w:t>
      </w:r>
      <w:r>
        <w:rPr>
          <w:rFonts w:ascii="Trebuchet MS" w:hAnsi="Trebuchet MS"/>
          <w:i/>
          <w:color w:val="37617A"/>
          <w:spacing w:val="1"/>
          <w:w w:val="100"/>
          <w:sz w:val="20"/>
        </w:rPr>
        <w:t>e</w:t>
      </w:r>
      <w:r>
        <w:rPr>
          <w:rFonts w:ascii="Trebuchet MS" w:hAnsi="Trebuchet MS"/>
          <w:i/>
          <w:color w:val="37617A"/>
          <w:spacing w:val="-2"/>
          <w:w w:val="103"/>
          <w:sz w:val="20"/>
        </w:rPr>
        <w:t>n</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w w:val="73"/>
          <w:sz w:val="20"/>
        </w:rPr>
        <w:t>i</w:t>
      </w:r>
      <w:r>
        <w:rPr>
          <w:rFonts w:ascii="Trebuchet MS" w:hAnsi="Trebuchet MS"/>
          <w:i/>
          <w:color w:val="37617A"/>
          <w:w w:val="84"/>
          <w:sz w:val="20"/>
        </w:rPr>
        <w:t>r</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spacing w:val="-1"/>
          <w:w w:val="115"/>
          <w:sz w:val="20"/>
        </w:rPr>
        <w:t>c</w:t>
      </w:r>
      <w:r>
        <w:rPr>
          <w:rFonts w:ascii="Trebuchet MS" w:hAnsi="Trebuchet MS"/>
          <w:i/>
          <w:color w:val="37617A"/>
          <w:w w:val="115"/>
          <w:sz w:val="20"/>
        </w:rPr>
        <w:t>c</w:t>
      </w:r>
      <w:r>
        <w:rPr>
          <w:rFonts w:ascii="Trebuchet MS" w:hAnsi="Trebuchet MS"/>
          <w:i/>
          <w:color w:val="37617A"/>
          <w:w w:val="103"/>
          <w:sz w:val="20"/>
        </w:rPr>
        <w:t>u</w:t>
      </w:r>
      <w:r>
        <w:rPr>
          <w:rFonts w:ascii="Trebuchet MS" w:hAnsi="Trebuchet MS"/>
          <w:i/>
          <w:color w:val="37617A"/>
          <w:w w:val="107"/>
          <w:sz w:val="20"/>
        </w:rPr>
        <w:t>p</w:t>
      </w:r>
      <w:r>
        <w:rPr>
          <w:rFonts w:ascii="Trebuchet MS" w:hAnsi="Trebuchet MS"/>
          <w:i/>
          <w:color w:val="37617A"/>
          <w:spacing w:val="-1"/>
          <w:w w:val="99"/>
          <w:sz w:val="20"/>
        </w:rPr>
        <w:t>at</w:t>
      </w:r>
      <w:r>
        <w:rPr>
          <w:rFonts w:ascii="Trebuchet MS" w:hAnsi="Trebuchet MS"/>
          <w:i/>
          <w:color w:val="37617A"/>
          <w:w w:val="73"/>
          <w:sz w:val="20"/>
        </w:rPr>
        <w:t>i</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3"/>
          <w:w w:val="117"/>
          <w:sz w:val="20"/>
        </w:rPr>
        <w:t>s</w:t>
      </w:r>
      <w:r>
        <w:rPr>
          <w:rFonts w:ascii="Trebuchet MS" w:hAnsi="Trebuchet MS"/>
          <w:i/>
          <w:color w:val="37617A"/>
          <w:w w:val="54"/>
          <w:sz w:val="20"/>
        </w:rPr>
        <w:t>.</w:t>
      </w:r>
      <w:r>
        <w:rPr>
          <w:rFonts w:ascii="Trebuchet MS" w:hAnsi="Trebuchet MS"/>
          <w:i/>
          <w:color w:val="37617A"/>
          <w:w w:val="87"/>
          <w:position w:val="7"/>
          <w:sz w:val="11"/>
        </w:rPr>
        <w:t>1</w:t>
      </w:r>
    </w:p>
    <w:p>
      <w:pPr>
        <w:spacing w:before="12"/>
        <w:ind w:left="206" w:right="444" w:firstLine="0"/>
        <w:jc w:val="center"/>
        <w:rPr>
          <w:rFonts w:ascii="Trebuchet MS" w:hAnsi="Trebuchet MS"/>
          <w:sz w:val="19"/>
        </w:rPr>
      </w:pPr>
      <w:r>
        <w:rPr>
          <w:rFonts w:ascii="Trebuchet MS" w:hAnsi="Trebuchet MS"/>
          <w:color w:val="37617A"/>
          <w:w w:val="105"/>
          <w:sz w:val="19"/>
        </w:rPr>
        <w:t>—Law Institute of Victoria</w:t>
      </w:r>
    </w:p>
    <w:p>
      <w:pPr>
        <w:pStyle w:val="BodyText"/>
        <w:spacing w:before="3"/>
        <w:rPr>
          <w:rFonts w:ascii="Trebuchet MS"/>
          <w:sz w:val="10"/>
        </w:rPr>
      </w:pPr>
      <w:r>
        <w:rPr/>
        <w:pict>
          <v:line style="position:absolute;mso-position-horizontal-relative:page;mso-position-vertical-relative:paragraph;z-index:10136;mso-wrap-distance-left:0;mso-wrap-distance-right:0" from="79.370102pt,8.178566pt" to="515.905102pt,8.178566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111"/>
        </w:numPr>
        <w:tabs>
          <w:tab w:pos="2157" w:val="left" w:leader="none"/>
          <w:tab w:pos="2158" w:val="left" w:leader="none"/>
        </w:tabs>
        <w:spacing w:line="206" w:lineRule="auto" w:before="146" w:after="0"/>
        <w:ind w:left="2157" w:right="1424" w:hanging="396"/>
        <w:jc w:val="left"/>
        <w:rPr>
          <w:sz w:val="20"/>
        </w:rPr>
      </w:pPr>
      <w:r>
        <w:rPr>
          <w:sz w:val="20"/>
        </w:rPr>
        <w:t>A</w:t>
      </w:r>
      <w:r>
        <w:rPr>
          <w:spacing w:val="-12"/>
          <w:sz w:val="20"/>
        </w:rPr>
        <w:t> </w:t>
      </w:r>
      <w:r>
        <w:rPr>
          <w:sz w:val="20"/>
        </w:rPr>
        <w:t>potential</w:t>
      </w:r>
      <w:r>
        <w:rPr>
          <w:spacing w:val="-11"/>
          <w:sz w:val="20"/>
        </w:rPr>
        <w:t> </w:t>
      </w:r>
      <w:r>
        <w:rPr>
          <w:sz w:val="20"/>
        </w:rPr>
        <w:t>juror</w:t>
      </w:r>
      <w:r>
        <w:rPr>
          <w:spacing w:val="-11"/>
          <w:sz w:val="20"/>
        </w:rPr>
        <w:t> </w:t>
      </w:r>
      <w:r>
        <w:rPr>
          <w:spacing w:val="-3"/>
          <w:sz w:val="20"/>
        </w:rPr>
        <w:t>may</w:t>
      </w:r>
      <w:r>
        <w:rPr>
          <w:spacing w:val="-12"/>
          <w:sz w:val="20"/>
        </w:rPr>
        <w:t> </w:t>
      </w:r>
      <w:r>
        <w:rPr>
          <w:sz w:val="20"/>
        </w:rPr>
        <w:t>be</w:t>
      </w:r>
      <w:r>
        <w:rPr>
          <w:spacing w:val="-11"/>
          <w:sz w:val="20"/>
        </w:rPr>
        <w:t> </w:t>
      </w:r>
      <w:r>
        <w:rPr>
          <w:spacing w:val="-3"/>
          <w:sz w:val="20"/>
        </w:rPr>
        <w:t>excluded</w:t>
      </w:r>
      <w:r>
        <w:rPr>
          <w:spacing w:val="-11"/>
          <w:sz w:val="20"/>
        </w:rPr>
        <w:t> </w:t>
      </w:r>
      <w:r>
        <w:rPr>
          <w:sz w:val="20"/>
        </w:rPr>
        <w:t>during</w:t>
      </w:r>
      <w:r>
        <w:rPr>
          <w:spacing w:val="-11"/>
          <w:sz w:val="20"/>
        </w:rPr>
        <w:t> </w:t>
      </w:r>
      <w:r>
        <w:rPr>
          <w:sz w:val="20"/>
        </w:rPr>
        <w:t>the</w:t>
      </w:r>
      <w:r>
        <w:rPr>
          <w:spacing w:val="-12"/>
          <w:sz w:val="20"/>
        </w:rPr>
        <w:t> </w:t>
      </w:r>
      <w:r>
        <w:rPr>
          <w:sz w:val="20"/>
        </w:rPr>
        <w:t>jury</w:t>
      </w:r>
      <w:r>
        <w:rPr>
          <w:spacing w:val="-11"/>
          <w:sz w:val="20"/>
        </w:rPr>
        <w:t> </w:t>
      </w:r>
      <w:r>
        <w:rPr>
          <w:sz w:val="20"/>
        </w:rPr>
        <w:t>empanelment</w:t>
      </w:r>
      <w:r>
        <w:rPr>
          <w:spacing w:val="-11"/>
          <w:sz w:val="20"/>
        </w:rPr>
        <w:t> </w:t>
      </w:r>
      <w:r>
        <w:rPr>
          <w:sz w:val="20"/>
        </w:rPr>
        <w:t>process</w:t>
      </w:r>
      <w:r>
        <w:rPr>
          <w:spacing w:val="-12"/>
          <w:sz w:val="20"/>
        </w:rPr>
        <w:t> </w:t>
      </w:r>
      <w:r>
        <w:rPr>
          <w:sz w:val="20"/>
        </w:rPr>
        <w:t>through legal challenges, including ‘stand </w:t>
      </w:r>
      <w:r>
        <w:rPr>
          <w:spacing w:val="-3"/>
          <w:sz w:val="20"/>
        </w:rPr>
        <w:t>asides’ </w:t>
      </w:r>
      <w:r>
        <w:rPr>
          <w:sz w:val="20"/>
        </w:rPr>
        <w:t>and ‘peremptory </w:t>
      </w:r>
      <w:r>
        <w:rPr>
          <w:spacing w:val="-3"/>
          <w:sz w:val="20"/>
        </w:rPr>
        <w:t>challenges’. </w:t>
      </w:r>
      <w:r>
        <w:rPr>
          <w:sz w:val="20"/>
        </w:rPr>
        <w:t>These challenges</w:t>
      </w:r>
      <w:r>
        <w:rPr>
          <w:spacing w:val="-6"/>
          <w:sz w:val="20"/>
        </w:rPr>
        <w:t> </w:t>
      </w:r>
      <w:r>
        <w:rPr>
          <w:sz w:val="20"/>
        </w:rPr>
        <w:t>aim</w:t>
      </w:r>
      <w:r>
        <w:rPr>
          <w:spacing w:val="-5"/>
          <w:sz w:val="20"/>
        </w:rPr>
        <w:t> </w:t>
      </w:r>
      <w:r>
        <w:rPr>
          <w:sz w:val="20"/>
        </w:rPr>
        <w:t>to</w:t>
      </w:r>
      <w:r>
        <w:rPr>
          <w:spacing w:val="-6"/>
          <w:sz w:val="20"/>
        </w:rPr>
        <w:t> </w:t>
      </w:r>
      <w:r>
        <w:rPr>
          <w:sz w:val="20"/>
        </w:rPr>
        <w:t>ensure</w:t>
      </w:r>
      <w:r>
        <w:rPr>
          <w:spacing w:val="-5"/>
          <w:sz w:val="20"/>
        </w:rPr>
        <w:t> </w:t>
      </w:r>
      <w:r>
        <w:rPr>
          <w:sz w:val="20"/>
        </w:rPr>
        <w:t>that</w:t>
      </w:r>
      <w:r>
        <w:rPr>
          <w:spacing w:val="-5"/>
          <w:sz w:val="20"/>
        </w:rPr>
        <w:t> </w:t>
      </w:r>
      <w:r>
        <w:rPr>
          <w:sz w:val="20"/>
        </w:rPr>
        <w:t>the</w:t>
      </w:r>
      <w:r>
        <w:rPr>
          <w:spacing w:val="-6"/>
          <w:sz w:val="20"/>
        </w:rPr>
        <w:t> </w:t>
      </w:r>
      <w:r>
        <w:rPr>
          <w:sz w:val="20"/>
        </w:rPr>
        <w:t>accused</w:t>
      </w:r>
      <w:r>
        <w:rPr>
          <w:spacing w:val="-5"/>
          <w:sz w:val="20"/>
        </w:rPr>
        <w:t> </w:t>
      </w:r>
      <w:r>
        <w:rPr>
          <w:spacing w:val="-3"/>
          <w:sz w:val="20"/>
        </w:rPr>
        <w:t>receives</w:t>
      </w:r>
      <w:r>
        <w:rPr>
          <w:spacing w:val="-5"/>
          <w:sz w:val="20"/>
        </w:rPr>
        <w:t> </w:t>
      </w:r>
      <w:r>
        <w:rPr>
          <w:sz w:val="20"/>
        </w:rPr>
        <w:t>a</w:t>
      </w:r>
      <w:r>
        <w:rPr>
          <w:spacing w:val="-6"/>
          <w:sz w:val="20"/>
        </w:rPr>
        <w:t> </w:t>
      </w:r>
      <w:r>
        <w:rPr>
          <w:sz w:val="20"/>
        </w:rPr>
        <w:t>fair</w:t>
      </w:r>
      <w:r>
        <w:rPr>
          <w:spacing w:val="-5"/>
          <w:sz w:val="20"/>
        </w:rPr>
        <w:t> </w:t>
      </w:r>
      <w:r>
        <w:rPr>
          <w:sz w:val="20"/>
        </w:rPr>
        <w:t>trial.</w:t>
      </w:r>
    </w:p>
    <w:p>
      <w:pPr>
        <w:pStyle w:val="ListParagraph"/>
        <w:numPr>
          <w:ilvl w:val="0"/>
          <w:numId w:val="111"/>
        </w:numPr>
        <w:tabs>
          <w:tab w:pos="2157" w:val="left" w:leader="none"/>
          <w:tab w:pos="2158" w:val="left" w:leader="none"/>
        </w:tabs>
        <w:spacing w:line="206" w:lineRule="auto" w:before="89" w:after="0"/>
        <w:ind w:left="2157" w:right="1340" w:hanging="396"/>
        <w:jc w:val="left"/>
        <w:rPr>
          <w:sz w:val="20"/>
        </w:rPr>
      </w:pPr>
      <w:r>
        <w:rPr>
          <w:sz w:val="20"/>
        </w:rPr>
        <w:t>The Commission is concerned that these challenges </w:t>
      </w:r>
      <w:r>
        <w:rPr>
          <w:spacing w:val="-3"/>
          <w:sz w:val="20"/>
        </w:rPr>
        <w:t>may </w:t>
      </w:r>
      <w:r>
        <w:rPr>
          <w:sz w:val="20"/>
        </w:rPr>
        <w:t>be </w:t>
      </w:r>
      <w:r>
        <w:rPr>
          <w:spacing w:val="-3"/>
          <w:sz w:val="20"/>
        </w:rPr>
        <w:t>exercised solely </w:t>
      </w:r>
      <w:r>
        <w:rPr>
          <w:sz w:val="20"/>
        </w:rPr>
        <w:t>based</w:t>
      </w:r>
      <w:r>
        <w:rPr>
          <w:spacing w:val="-12"/>
          <w:sz w:val="20"/>
        </w:rPr>
        <w:t> </w:t>
      </w:r>
      <w:r>
        <w:rPr>
          <w:sz w:val="20"/>
        </w:rPr>
        <w:t>on</w:t>
      </w:r>
      <w:r>
        <w:rPr>
          <w:spacing w:val="-12"/>
          <w:sz w:val="20"/>
        </w:rPr>
        <w:t> </w:t>
      </w:r>
      <w:r>
        <w:rPr>
          <w:sz w:val="20"/>
        </w:rPr>
        <w:t>perceptions</w:t>
      </w:r>
      <w:r>
        <w:rPr>
          <w:spacing w:val="-12"/>
          <w:sz w:val="20"/>
        </w:rPr>
        <w:t> </w:t>
      </w:r>
      <w:r>
        <w:rPr>
          <w:sz w:val="20"/>
        </w:rPr>
        <w:t>about</w:t>
      </w:r>
      <w:r>
        <w:rPr>
          <w:spacing w:val="-12"/>
          <w:sz w:val="20"/>
        </w:rPr>
        <w:t> </w:t>
      </w:r>
      <w:r>
        <w:rPr>
          <w:sz w:val="20"/>
        </w:rPr>
        <w:t>the</w:t>
      </w:r>
      <w:r>
        <w:rPr>
          <w:spacing w:val="-12"/>
          <w:sz w:val="20"/>
        </w:rPr>
        <w:t> </w:t>
      </w:r>
      <w:r>
        <w:rPr>
          <w:sz w:val="20"/>
        </w:rPr>
        <w:t>impact</w:t>
      </w:r>
      <w:r>
        <w:rPr>
          <w:spacing w:val="-12"/>
          <w:sz w:val="20"/>
        </w:rPr>
        <w:t> </w:t>
      </w:r>
      <w:r>
        <w:rPr>
          <w:sz w:val="20"/>
        </w:rPr>
        <w:t>of</w:t>
      </w:r>
      <w:r>
        <w:rPr>
          <w:spacing w:val="-12"/>
          <w:sz w:val="20"/>
        </w:rPr>
        <w:t> </w:t>
      </w:r>
      <w:r>
        <w:rPr>
          <w:sz w:val="20"/>
        </w:rPr>
        <w:t>a</w:t>
      </w:r>
      <w:r>
        <w:rPr>
          <w:spacing w:val="-12"/>
          <w:sz w:val="20"/>
        </w:rPr>
        <w:t> </w:t>
      </w:r>
      <w:r>
        <w:rPr>
          <w:sz w:val="20"/>
        </w:rPr>
        <w:t>person’s</w:t>
      </w:r>
      <w:r>
        <w:rPr>
          <w:spacing w:val="-12"/>
          <w:sz w:val="20"/>
        </w:rPr>
        <w:t> </w:t>
      </w:r>
      <w:r>
        <w:rPr>
          <w:sz w:val="20"/>
        </w:rPr>
        <w:t>disability.</w:t>
      </w:r>
      <w:r>
        <w:rPr>
          <w:spacing w:val="-12"/>
          <w:sz w:val="20"/>
        </w:rPr>
        <w:t> </w:t>
      </w:r>
      <w:r>
        <w:rPr>
          <w:sz w:val="20"/>
        </w:rPr>
        <w:t>Excluding</w:t>
      </w:r>
      <w:r>
        <w:rPr>
          <w:spacing w:val="-12"/>
          <w:sz w:val="20"/>
        </w:rPr>
        <w:t> </w:t>
      </w:r>
      <w:r>
        <w:rPr>
          <w:sz w:val="20"/>
        </w:rPr>
        <w:t>people </w:t>
      </w:r>
      <w:r>
        <w:rPr>
          <w:spacing w:val="-3"/>
          <w:sz w:val="20"/>
        </w:rPr>
        <w:t>from</w:t>
      </w:r>
      <w:r>
        <w:rPr>
          <w:spacing w:val="-7"/>
          <w:sz w:val="20"/>
        </w:rPr>
        <w:t> </w:t>
      </w:r>
      <w:r>
        <w:rPr>
          <w:sz w:val="20"/>
        </w:rPr>
        <w:t>the</w:t>
      </w:r>
      <w:r>
        <w:rPr>
          <w:spacing w:val="-6"/>
          <w:sz w:val="20"/>
        </w:rPr>
        <w:t> </w:t>
      </w:r>
      <w:r>
        <w:rPr>
          <w:sz w:val="20"/>
        </w:rPr>
        <w:t>subject</w:t>
      </w:r>
      <w:r>
        <w:rPr>
          <w:spacing w:val="-7"/>
          <w:sz w:val="20"/>
        </w:rPr>
        <w:t> </w:t>
      </w:r>
      <w:r>
        <w:rPr>
          <w:sz w:val="20"/>
        </w:rPr>
        <w:t>groups</w:t>
      </w:r>
      <w:r>
        <w:rPr>
          <w:spacing w:val="-6"/>
          <w:sz w:val="20"/>
        </w:rPr>
        <w:t> </w:t>
      </w:r>
      <w:r>
        <w:rPr>
          <w:sz w:val="20"/>
        </w:rPr>
        <w:t>in</w:t>
      </w:r>
      <w:r>
        <w:rPr>
          <w:spacing w:val="-7"/>
          <w:sz w:val="20"/>
        </w:rPr>
        <w:t> </w:t>
      </w:r>
      <w:r>
        <w:rPr>
          <w:sz w:val="20"/>
        </w:rPr>
        <w:t>this</w:t>
      </w:r>
      <w:r>
        <w:rPr>
          <w:spacing w:val="-6"/>
          <w:sz w:val="20"/>
        </w:rPr>
        <w:t> </w:t>
      </w:r>
      <w:r>
        <w:rPr>
          <w:spacing w:val="-4"/>
          <w:sz w:val="20"/>
        </w:rPr>
        <w:t>way</w:t>
      </w:r>
      <w:r>
        <w:rPr>
          <w:spacing w:val="-6"/>
          <w:sz w:val="20"/>
        </w:rPr>
        <w:t> </w:t>
      </w:r>
      <w:r>
        <w:rPr>
          <w:spacing w:val="-3"/>
          <w:sz w:val="20"/>
        </w:rPr>
        <w:t>would</w:t>
      </w:r>
      <w:r>
        <w:rPr>
          <w:spacing w:val="-7"/>
          <w:sz w:val="20"/>
        </w:rPr>
        <w:t> </w:t>
      </w:r>
      <w:r>
        <w:rPr>
          <w:sz w:val="20"/>
        </w:rPr>
        <w:t>undermine</w:t>
      </w:r>
      <w:r>
        <w:rPr>
          <w:spacing w:val="-6"/>
          <w:sz w:val="20"/>
        </w:rPr>
        <w:t> </w:t>
      </w:r>
      <w:r>
        <w:rPr>
          <w:sz w:val="20"/>
        </w:rPr>
        <w:t>jury</w:t>
      </w:r>
      <w:r>
        <w:rPr>
          <w:spacing w:val="-7"/>
          <w:sz w:val="20"/>
        </w:rPr>
        <w:t> </w:t>
      </w:r>
      <w:r>
        <w:rPr>
          <w:spacing w:val="-3"/>
          <w:sz w:val="20"/>
        </w:rPr>
        <w:t>representativeness</w:t>
      </w:r>
      <w:r>
        <w:rPr>
          <w:spacing w:val="-6"/>
          <w:sz w:val="20"/>
        </w:rPr>
        <w:t> </w:t>
      </w:r>
      <w:r>
        <w:rPr>
          <w:sz w:val="20"/>
        </w:rPr>
        <w:t>and the effectiveness of the recommended</w:t>
      </w:r>
      <w:r>
        <w:rPr>
          <w:spacing w:val="-25"/>
          <w:sz w:val="20"/>
        </w:rPr>
        <w:t> </w:t>
      </w:r>
      <w:r>
        <w:rPr>
          <w:sz w:val="20"/>
        </w:rPr>
        <w:t>reforms.</w:t>
      </w:r>
    </w:p>
    <w:p>
      <w:pPr>
        <w:pStyle w:val="ListParagraph"/>
        <w:numPr>
          <w:ilvl w:val="0"/>
          <w:numId w:val="111"/>
        </w:numPr>
        <w:tabs>
          <w:tab w:pos="2157" w:val="left" w:leader="none"/>
          <w:tab w:pos="2158" w:val="left" w:leader="none"/>
        </w:tabs>
        <w:spacing w:line="206" w:lineRule="auto" w:before="90" w:after="0"/>
        <w:ind w:left="2157" w:right="1689" w:hanging="396"/>
        <w:jc w:val="left"/>
        <w:rPr>
          <w:sz w:val="20"/>
        </w:rPr>
      </w:pPr>
      <w:r>
        <w:rPr>
          <w:sz w:val="20"/>
        </w:rPr>
        <w:t>The Commission does not recommend major changes to the </w:t>
      </w:r>
      <w:r>
        <w:rPr>
          <w:spacing w:val="-3"/>
          <w:sz w:val="20"/>
        </w:rPr>
        <w:t>exercise </w:t>
      </w:r>
      <w:r>
        <w:rPr>
          <w:sz w:val="20"/>
        </w:rPr>
        <w:t>of peremptory</w:t>
      </w:r>
      <w:r>
        <w:rPr>
          <w:spacing w:val="-11"/>
          <w:sz w:val="20"/>
        </w:rPr>
        <w:t> </w:t>
      </w:r>
      <w:r>
        <w:rPr>
          <w:sz w:val="20"/>
        </w:rPr>
        <w:t>challenges</w:t>
      </w:r>
      <w:r>
        <w:rPr>
          <w:spacing w:val="-10"/>
          <w:sz w:val="20"/>
        </w:rPr>
        <w:t> </w:t>
      </w:r>
      <w:r>
        <w:rPr>
          <w:sz w:val="20"/>
        </w:rPr>
        <w:t>and</w:t>
      </w:r>
      <w:r>
        <w:rPr>
          <w:spacing w:val="-10"/>
          <w:sz w:val="20"/>
        </w:rPr>
        <w:t> </w:t>
      </w:r>
      <w:r>
        <w:rPr>
          <w:sz w:val="20"/>
        </w:rPr>
        <w:t>stand</w:t>
      </w:r>
      <w:r>
        <w:rPr>
          <w:spacing w:val="-11"/>
          <w:sz w:val="20"/>
        </w:rPr>
        <w:t> </w:t>
      </w:r>
      <w:r>
        <w:rPr>
          <w:sz w:val="20"/>
        </w:rPr>
        <w:t>asides.</w:t>
      </w:r>
      <w:r>
        <w:rPr>
          <w:spacing w:val="-10"/>
          <w:sz w:val="20"/>
        </w:rPr>
        <w:t> </w:t>
      </w:r>
      <w:r>
        <w:rPr>
          <w:sz w:val="20"/>
        </w:rPr>
        <w:t>The</w:t>
      </w:r>
      <w:r>
        <w:rPr>
          <w:spacing w:val="-10"/>
          <w:sz w:val="20"/>
        </w:rPr>
        <w:t> </w:t>
      </w:r>
      <w:r>
        <w:rPr>
          <w:sz w:val="20"/>
        </w:rPr>
        <w:t>best</w:t>
      </w:r>
      <w:r>
        <w:rPr>
          <w:spacing w:val="-10"/>
          <w:sz w:val="20"/>
        </w:rPr>
        <w:t> </w:t>
      </w:r>
      <w:r>
        <w:rPr>
          <w:spacing w:val="-4"/>
          <w:sz w:val="20"/>
        </w:rPr>
        <w:t>way</w:t>
      </w:r>
      <w:r>
        <w:rPr>
          <w:spacing w:val="-11"/>
          <w:sz w:val="20"/>
        </w:rPr>
        <w:t> </w:t>
      </w:r>
      <w:r>
        <w:rPr>
          <w:sz w:val="20"/>
        </w:rPr>
        <w:t>to</w:t>
      </w:r>
      <w:r>
        <w:rPr>
          <w:spacing w:val="-10"/>
          <w:sz w:val="20"/>
        </w:rPr>
        <w:t> </w:t>
      </w:r>
      <w:r>
        <w:rPr>
          <w:spacing w:val="-4"/>
          <w:sz w:val="20"/>
        </w:rPr>
        <w:t>prevent</w:t>
      </w:r>
      <w:r>
        <w:rPr>
          <w:spacing w:val="-10"/>
          <w:sz w:val="20"/>
        </w:rPr>
        <w:t> </w:t>
      </w:r>
      <w:r>
        <w:rPr>
          <w:sz w:val="20"/>
        </w:rPr>
        <w:t>challenges being </w:t>
      </w:r>
      <w:r>
        <w:rPr>
          <w:spacing w:val="-3"/>
          <w:sz w:val="20"/>
        </w:rPr>
        <w:t>exercised </w:t>
      </w:r>
      <w:r>
        <w:rPr>
          <w:sz w:val="20"/>
        </w:rPr>
        <w:t>against people in the subject groups on the basis of misconceptions or stereotypes is through education of the legal profession. In </w:t>
      </w:r>
      <w:r>
        <w:rPr>
          <w:spacing w:val="-2"/>
          <w:sz w:val="20"/>
        </w:rPr>
        <w:t>Chapter </w:t>
      </w:r>
      <w:r>
        <w:rPr>
          <w:sz w:val="20"/>
        </w:rPr>
        <w:t>18 </w:t>
      </w:r>
      <w:r>
        <w:rPr>
          <w:spacing w:val="-3"/>
          <w:sz w:val="20"/>
        </w:rPr>
        <w:t>we </w:t>
      </w:r>
      <w:r>
        <w:rPr>
          <w:sz w:val="20"/>
        </w:rPr>
        <w:t>also recommend </w:t>
      </w:r>
      <w:r>
        <w:rPr>
          <w:spacing w:val="-3"/>
          <w:sz w:val="20"/>
        </w:rPr>
        <w:t>improving </w:t>
      </w:r>
      <w:r>
        <w:rPr>
          <w:sz w:val="20"/>
        </w:rPr>
        <w:t>community understanding of adjustments and the abilities of people with</w:t>
      </w:r>
      <w:r>
        <w:rPr>
          <w:spacing w:val="-37"/>
          <w:sz w:val="20"/>
        </w:rPr>
        <w:t> </w:t>
      </w:r>
      <w:r>
        <w:rPr>
          <w:sz w:val="20"/>
        </w:rPr>
        <w:t>disabilities.</w:t>
      </w:r>
    </w:p>
    <w:p>
      <w:pPr>
        <w:pStyle w:val="ListParagraph"/>
        <w:numPr>
          <w:ilvl w:val="0"/>
          <w:numId w:val="111"/>
        </w:numPr>
        <w:tabs>
          <w:tab w:pos="2157" w:val="left" w:leader="none"/>
          <w:tab w:pos="2158" w:val="left" w:leader="none"/>
        </w:tabs>
        <w:spacing w:line="206" w:lineRule="auto" w:before="93" w:after="0"/>
        <w:ind w:left="2157" w:right="1536" w:hanging="396"/>
        <w:jc w:val="left"/>
        <w:rPr>
          <w:sz w:val="20"/>
        </w:rPr>
      </w:pPr>
      <w:r>
        <w:rPr>
          <w:sz w:val="20"/>
        </w:rPr>
        <w:t>If</w:t>
      </w:r>
      <w:r>
        <w:rPr>
          <w:spacing w:val="-10"/>
          <w:sz w:val="20"/>
        </w:rPr>
        <w:t> </w:t>
      </w:r>
      <w:r>
        <w:rPr>
          <w:spacing w:val="-3"/>
          <w:sz w:val="20"/>
        </w:rPr>
        <w:t>reforms</w:t>
      </w:r>
      <w:r>
        <w:rPr>
          <w:spacing w:val="-9"/>
          <w:sz w:val="20"/>
        </w:rPr>
        <w:t> </w:t>
      </w:r>
      <w:r>
        <w:rPr>
          <w:spacing w:val="-3"/>
          <w:sz w:val="20"/>
        </w:rPr>
        <w:t>are</w:t>
      </w:r>
      <w:r>
        <w:rPr>
          <w:spacing w:val="-10"/>
          <w:sz w:val="20"/>
        </w:rPr>
        <w:t> </w:t>
      </w:r>
      <w:r>
        <w:rPr>
          <w:sz w:val="20"/>
        </w:rPr>
        <w:t>implemented,</w:t>
      </w:r>
      <w:r>
        <w:rPr>
          <w:spacing w:val="-9"/>
          <w:sz w:val="20"/>
        </w:rPr>
        <w:t> </w:t>
      </w:r>
      <w:r>
        <w:rPr>
          <w:sz w:val="20"/>
        </w:rPr>
        <w:t>data</w:t>
      </w:r>
      <w:r>
        <w:rPr>
          <w:spacing w:val="-9"/>
          <w:sz w:val="20"/>
        </w:rPr>
        <w:t> </w:t>
      </w:r>
      <w:r>
        <w:rPr>
          <w:sz w:val="20"/>
        </w:rPr>
        <w:t>should</w:t>
      </w:r>
      <w:r>
        <w:rPr>
          <w:spacing w:val="-10"/>
          <w:sz w:val="20"/>
        </w:rPr>
        <w:t> </w:t>
      </w:r>
      <w:r>
        <w:rPr>
          <w:sz w:val="20"/>
        </w:rPr>
        <w:t>be</w:t>
      </w:r>
      <w:r>
        <w:rPr>
          <w:spacing w:val="-9"/>
          <w:sz w:val="20"/>
        </w:rPr>
        <w:t> </w:t>
      </w:r>
      <w:r>
        <w:rPr>
          <w:sz w:val="20"/>
        </w:rPr>
        <w:t>collected</w:t>
      </w:r>
      <w:r>
        <w:rPr>
          <w:spacing w:val="-10"/>
          <w:sz w:val="20"/>
        </w:rPr>
        <w:t> </w:t>
      </w:r>
      <w:r>
        <w:rPr>
          <w:sz w:val="20"/>
        </w:rPr>
        <w:t>and</w:t>
      </w:r>
      <w:r>
        <w:rPr>
          <w:spacing w:val="-9"/>
          <w:sz w:val="20"/>
        </w:rPr>
        <w:t> </w:t>
      </w:r>
      <w:r>
        <w:rPr>
          <w:spacing w:val="-3"/>
          <w:sz w:val="20"/>
        </w:rPr>
        <w:t>analysed</w:t>
      </w:r>
      <w:r>
        <w:rPr>
          <w:spacing w:val="-10"/>
          <w:sz w:val="20"/>
        </w:rPr>
        <w:t> </w:t>
      </w:r>
      <w:r>
        <w:rPr>
          <w:sz w:val="20"/>
        </w:rPr>
        <w:t>to</w:t>
      </w:r>
      <w:r>
        <w:rPr>
          <w:spacing w:val="-9"/>
          <w:sz w:val="20"/>
        </w:rPr>
        <w:t> </w:t>
      </w:r>
      <w:r>
        <w:rPr>
          <w:sz w:val="20"/>
        </w:rPr>
        <w:t>establish whether people in the subject groups </w:t>
      </w:r>
      <w:r>
        <w:rPr>
          <w:spacing w:val="-3"/>
          <w:sz w:val="20"/>
        </w:rPr>
        <w:t>are </w:t>
      </w:r>
      <w:r>
        <w:rPr>
          <w:sz w:val="20"/>
        </w:rPr>
        <w:t>disproportionately challenged and whether further action is needed to address</w:t>
      </w:r>
      <w:r>
        <w:rPr>
          <w:spacing w:val="-33"/>
          <w:sz w:val="20"/>
        </w:rPr>
        <w:t> </w:t>
      </w:r>
      <w:r>
        <w:rPr>
          <w:sz w:val="20"/>
        </w:rPr>
        <w:t>this.</w:t>
      </w:r>
    </w:p>
    <w:p>
      <w:pPr>
        <w:spacing w:before="194"/>
        <w:ind w:left="967" w:right="0" w:firstLine="0"/>
        <w:jc w:val="left"/>
        <w:rPr>
          <w:rFonts w:ascii="Raleway ExtraBold"/>
          <w:b/>
          <w:sz w:val="28"/>
        </w:rPr>
      </w:pPr>
      <w:r>
        <w:rPr>
          <w:rFonts w:ascii="Raleway ExtraBold"/>
          <w:b/>
          <w:color w:val="37617A"/>
          <w:sz w:val="28"/>
        </w:rPr>
        <w:t>Challenging potential jurors</w:t>
      </w:r>
    </w:p>
    <w:p>
      <w:pPr>
        <w:pStyle w:val="ListParagraph"/>
        <w:numPr>
          <w:ilvl w:val="1"/>
          <w:numId w:val="12"/>
        </w:numPr>
        <w:tabs>
          <w:tab w:pos="1761" w:val="left" w:leader="none"/>
          <w:tab w:pos="1762" w:val="left" w:leader="none"/>
        </w:tabs>
        <w:spacing w:line="206" w:lineRule="auto" w:before="146" w:after="0"/>
        <w:ind w:left="1761" w:right="1293" w:hanging="794"/>
        <w:jc w:val="left"/>
        <w:rPr>
          <w:sz w:val="11"/>
        </w:rPr>
      </w:pPr>
      <w:r>
        <w:rPr>
          <w:spacing w:val="-6"/>
          <w:sz w:val="20"/>
        </w:rPr>
        <w:t>We</w:t>
      </w:r>
      <w:r>
        <w:rPr>
          <w:spacing w:val="-10"/>
          <w:sz w:val="20"/>
        </w:rPr>
        <w:t> </w:t>
      </w:r>
      <w:r>
        <w:rPr>
          <w:sz w:val="20"/>
        </w:rPr>
        <w:t>consider</w:t>
      </w:r>
      <w:r>
        <w:rPr>
          <w:spacing w:val="-10"/>
          <w:sz w:val="20"/>
        </w:rPr>
        <w:t> </w:t>
      </w:r>
      <w:r>
        <w:rPr>
          <w:sz w:val="20"/>
        </w:rPr>
        <w:t>two</w:t>
      </w:r>
      <w:r>
        <w:rPr>
          <w:spacing w:val="-9"/>
          <w:sz w:val="20"/>
        </w:rPr>
        <w:t> </w:t>
      </w:r>
      <w:r>
        <w:rPr>
          <w:sz w:val="20"/>
        </w:rPr>
        <w:t>types</w:t>
      </w:r>
      <w:r>
        <w:rPr>
          <w:spacing w:val="-10"/>
          <w:sz w:val="20"/>
        </w:rPr>
        <w:t> </w:t>
      </w:r>
      <w:r>
        <w:rPr>
          <w:sz w:val="20"/>
        </w:rPr>
        <w:t>of</w:t>
      </w:r>
      <w:r>
        <w:rPr>
          <w:spacing w:val="-9"/>
          <w:sz w:val="20"/>
        </w:rPr>
        <w:t> </w:t>
      </w:r>
      <w:r>
        <w:rPr>
          <w:sz w:val="20"/>
        </w:rPr>
        <w:t>challenges</w:t>
      </w:r>
      <w:r>
        <w:rPr>
          <w:spacing w:val="-10"/>
          <w:sz w:val="20"/>
        </w:rPr>
        <w:t> </w:t>
      </w:r>
      <w:r>
        <w:rPr>
          <w:sz w:val="20"/>
        </w:rPr>
        <w:t>in</w:t>
      </w:r>
      <w:r>
        <w:rPr>
          <w:spacing w:val="-10"/>
          <w:sz w:val="20"/>
        </w:rPr>
        <w:t> </w:t>
      </w:r>
      <w:r>
        <w:rPr>
          <w:sz w:val="20"/>
        </w:rPr>
        <w:t>this</w:t>
      </w:r>
      <w:r>
        <w:rPr>
          <w:spacing w:val="-9"/>
          <w:sz w:val="20"/>
        </w:rPr>
        <w:t> </w:t>
      </w:r>
      <w:r>
        <w:rPr>
          <w:sz w:val="20"/>
        </w:rPr>
        <w:t>report:</w:t>
      </w:r>
      <w:r>
        <w:rPr>
          <w:spacing w:val="-10"/>
          <w:sz w:val="20"/>
        </w:rPr>
        <w:t> </w:t>
      </w:r>
      <w:r>
        <w:rPr>
          <w:sz w:val="20"/>
        </w:rPr>
        <w:t>‘peremptory</w:t>
      </w:r>
      <w:r>
        <w:rPr>
          <w:spacing w:val="-9"/>
          <w:sz w:val="20"/>
        </w:rPr>
        <w:t> </w:t>
      </w:r>
      <w:r>
        <w:rPr>
          <w:spacing w:val="-3"/>
          <w:sz w:val="20"/>
        </w:rPr>
        <w:t>challenges’</w:t>
      </w:r>
      <w:r>
        <w:rPr>
          <w:spacing w:val="-10"/>
          <w:sz w:val="20"/>
        </w:rPr>
        <w:t> </w:t>
      </w:r>
      <w:r>
        <w:rPr>
          <w:sz w:val="20"/>
        </w:rPr>
        <w:t>and</w:t>
      </w:r>
      <w:r>
        <w:rPr>
          <w:spacing w:val="-10"/>
          <w:sz w:val="20"/>
        </w:rPr>
        <w:t> </w:t>
      </w:r>
      <w:r>
        <w:rPr>
          <w:sz w:val="20"/>
        </w:rPr>
        <w:t>‘stand </w:t>
      </w:r>
      <w:r>
        <w:rPr>
          <w:spacing w:val="-3"/>
          <w:sz w:val="20"/>
        </w:rPr>
        <w:t>asides’.</w:t>
      </w:r>
      <w:r>
        <w:rPr>
          <w:spacing w:val="-3"/>
          <w:position w:val="7"/>
          <w:sz w:val="11"/>
        </w:rPr>
        <w:t>2</w:t>
      </w:r>
    </w:p>
    <w:p>
      <w:pPr>
        <w:pStyle w:val="ListParagraph"/>
        <w:numPr>
          <w:ilvl w:val="1"/>
          <w:numId w:val="12"/>
        </w:numPr>
        <w:tabs>
          <w:tab w:pos="1761" w:val="left" w:leader="none"/>
          <w:tab w:pos="1762" w:val="left" w:leader="none"/>
        </w:tabs>
        <w:spacing w:line="206" w:lineRule="auto" w:before="123" w:after="0"/>
        <w:ind w:left="1761" w:right="1567" w:hanging="794"/>
        <w:jc w:val="left"/>
        <w:rPr>
          <w:sz w:val="20"/>
        </w:rPr>
      </w:pPr>
      <w:r>
        <w:rPr>
          <w:sz w:val="20"/>
        </w:rPr>
        <w:t>Once a panel of potential jurors has been allocated to a trial, the parties (in a civil trial),</w:t>
      </w:r>
      <w:r>
        <w:rPr>
          <w:spacing w:val="-12"/>
          <w:sz w:val="20"/>
        </w:rPr>
        <w:t> </w:t>
      </w:r>
      <w:r>
        <w:rPr>
          <w:sz w:val="20"/>
        </w:rPr>
        <w:t>or</w:t>
      </w:r>
      <w:r>
        <w:rPr>
          <w:spacing w:val="-11"/>
          <w:sz w:val="20"/>
        </w:rPr>
        <w:t> </w:t>
      </w:r>
      <w:r>
        <w:rPr>
          <w:sz w:val="20"/>
        </w:rPr>
        <w:t>the</w:t>
      </w:r>
      <w:r>
        <w:rPr>
          <w:spacing w:val="-12"/>
          <w:sz w:val="20"/>
        </w:rPr>
        <w:t> </w:t>
      </w:r>
      <w:r>
        <w:rPr>
          <w:sz w:val="20"/>
        </w:rPr>
        <w:t>accused</w:t>
      </w:r>
      <w:r>
        <w:rPr>
          <w:spacing w:val="-11"/>
          <w:sz w:val="20"/>
        </w:rPr>
        <w:t> </w:t>
      </w:r>
      <w:r>
        <w:rPr>
          <w:sz w:val="20"/>
        </w:rPr>
        <w:t>and</w:t>
      </w:r>
      <w:r>
        <w:rPr>
          <w:spacing w:val="-12"/>
          <w:sz w:val="20"/>
        </w:rPr>
        <w:t> </w:t>
      </w:r>
      <w:r>
        <w:rPr>
          <w:sz w:val="20"/>
        </w:rPr>
        <w:t>the</w:t>
      </w:r>
      <w:r>
        <w:rPr>
          <w:spacing w:val="-11"/>
          <w:sz w:val="20"/>
        </w:rPr>
        <w:t> </w:t>
      </w:r>
      <w:r>
        <w:rPr>
          <w:spacing w:val="-4"/>
          <w:sz w:val="20"/>
        </w:rPr>
        <w:t>Crown</w:t>
      </w:r>
      <w:r>
        <w:rPr>
          <w:spacing w:val="-12"/>
          <w:sz w:val="20"/>
        </w:rPr>
        <w:t> </w:t>
      </w:r>
      <w:r>
        <w:rPr>
          <w:sz w:val="20"/>
        </w:rPr>
        <w:t>(in</w:t>
      </w:r>
      <w:r>
        <w:rPr>
          <w:spacing w:val="-11"/>
          <w:sz w:val="20"/>
        </w:rPr>
        <w:t> </w:t>
      </w:r>
      <w:r>
        <w:rPr>
          <w:sz w:val="20"/>
        </w:rPr>
        <w:t>a</w:t>
      </w:r>
      <w:r>
        <w:rPr>
          <w:spacing w:val="-12"/>
          <w:sz w:val="20"/>
        </w:rPr>
        <w:t> </w:t>
      </w:r>
      <w:r>
        <w:rPr>
          <w:sz w:val="20"/>
        </w:rPr>
        <w:t>criminal</w:t>
      </w:r>
      <w:r>
        <w:rPr>
          <w:spacing w:val="-11"/>
          <w:sz w:val="20"/>
        </w:rPr>
        <w:t> </w:t>
      </w:r>
      <w:r>
        <w:rPr>
          <w:sz w:val="20"/>
        </w:rPr>
        <w:t>trial)</w:t>
      </w:r>
      <w:r>
        <w:rPr>
          <w:spacing w:val="-12"/>
          <w:sz w:val="20"/>
        </w:rPr>
        <w:t> </w:t>
      </w:r>
      <w:r>
        <w:rPr>
          <w:sz w:val="20"/>
        </w:rPr>
        <w:t>can</w:t>
      </w:r>
      <w:r>
        <w:rPr>
          <w:spacing w:val="-11"/>
          <w:sz w:val="20"/>
        </w:rPr>
        <w:t> </w:t>
      </w:r>
      <w:r>
        <w:rPr>
          <w:sz w:val="20"/>
        </w:rPr>
        <w:t>challenge</w:t>
      </w:r>
      <w:r>
        <w:rPr>
          <w:spacing w:val="-12"/>
          <w:sz w:val="20"/>
        </w:rPr>
        <w:t> </w:t>
      </w:r>
      <w:r>
        <w:rPr>
          <w:sz w:val="20"/>
        </w:rPr>
        <w:t>potential</w:t>
      </w:r>
      <w:r>
        <w:rPr>
          <w:spacing w:val="-11"/>
          <w:sz w:val="20"/>
        </w:rPr>
        <w:t> </w:t>
      </w:r>
      <w:r>
        <w:rPr>
          <w:sz w:val="20"/>
        </w:rPr>
        <w:t>jurors</w:t>
      </w:r>
    </w:p>
    <w:p>
      <w:pPr>
        <w:pStyle w:val="BodyText"/>
        <w:spacing w:line="206" w:lineRule="auto" w:before="2"/>
        <w:ind w:left="1761" w:right="1163" w:hanging="1"/>
      </w:pPr>
      <w:r>
        <w:rPr>
          <w:spacing w:val="-4"/>
        </w:rPr>
        <w:t>peremptorily, </w:t>
      </w:r>
      <w:r>
        <w:rPr/>
        <w:t>that is, without giving reasons.</w:t>
      </w:r>
      <w:r>
        <w:rPr>
          <w:position w:val="7"/>
          <w:sz w:val="11"/>
        </w:rPr>
        <w:t>3 </w:t>
      </w:r>
      <w:r>
        <w:rPr/>
        <w:t>These challenges </w:t>
      </w:r>
      <w:r>
        <w:rPr>
          <w:spacing w:val="-4"/>
        </w:rPr>
        <w:t>prevent </w:t>
      </w:r>
      <w:r>
        <w:rPr/>
        <w:t>a potential juror </w:t>
      </w:r>
      <w:r>
        <w:rPr>
          <w:spacing w:val="-3"/>
        </w:rPr>
        <w:t>from </w:t>
      </w:r>
      <w:r>
        <w:rPr/>
        <w:t>serving in the trial. If a person is challenged they </w:t>
      </w:r>
      <w:r>
        <w:rPr>
          <w:spacing w:val="-3"/>
        </w:rPr>
        <w:t>return </w:t>
      </w:r>
      <w:r>
        <w:rPr/>
        <w:t>to the jury pool and </w:t>
      </w:r>
      <w:r>
        <w:rPr>
          <w:spacing w:val="-3"/>
        </w:rPr>
        <w:t>may </w:t>
      </w:r>
      <w:r>
        <w:rPr/>
        <w:t>be selected for a panel on a different trial.</w:t>
      </w:r>
    </w:p>
    <w:p>
      <w:pPr>
        <w:pStyle w:val="BodyText"/>
      </w:pPr>
    </w:p>
    <w:p>
      <w:pPr>
        <w:pStyle w:val="BodyText"/>
        <w:spacing w:before="5"/>
        <w:rPr>
          <w:sz w:val="12"/>
        </w:rPr>
      </w:pPr>
      <w:r>
        <w:rPr/>
        <w:pict>
          <v:line style="position:absolute;mso-position-horizontal-relative:page;mso-position-vertical-relative:paragraph;z-index:10160;mso-wrap-distance-left:0;mso-wrap-distance-right:0" from="79.370003pt,11.060644pt" to="515.905003pt,11.060644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spacing w:before="7"/>
        <w:rPr>
          <w:sz w:val="38"/>
        </w:rPr>
      </w:pPr>
      <w:r>
        <w:rPr/>
        <w:pict>
          <v:rect style="position:absolute;margin-left:0pt;margin-top:99.213013pt;width:14.173pt;height:85.748pt;mso-position-horizontal-relative:page;mso-position-vertical-relative:page;z-index:12232" filled="true" fillcolor="#37617a" stroked="false">
            <v:fill type="solid"/>
            <w10:wrap type="none"/>
          </v:rect>
        </w:pict>
      </w:r>
    </w:p>
    <w:p>
      <w:pPr>
        <w:spacing w:before="0"/>
        <w:ind w:left="100" w:right="0" w:firstLine="0"/>
        <w:jc w:val="left"/>
        <w:rPr>
          <w:b/>
          <w:sz w:val="24"/>
        </w:rPr>
      </w:pPr>
      <w:r>
        <w:rPr>
          <w:b/>
          <w:color w:val="37617A"/>
          <w:sz w:val="24"/>
        </w:rPr>
        <w:t>192</w:t>
      </w:r>
    </w:p>
    <w:p>
      <w:pPr>
        <w:pStyle w:val="ListParagraph"/>
        <w:numPr>
          <w:ilvl w:val="0"/>
          <w:numId w:val="112"/>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pacing w:val="2"/>
          <w:sz w:val="13"/>
        </w:rPr>
        <w:t>Submission </w:t>
      </w:r>
      <w:r>
        <w:rPr>
          <w:sz w:val="13"/>
        </w:rPr>
        <w:t>7 (Law Institute of</w:t>
      </w:r>
      <w:r>
        <w:rPr>
          <w:spacing w:val="-2"/>
          <w:sz w:val="13"/>
        </w:rPr>
        <w:t> </w:t>
      </w:r>
      <w:r>
        <w:rPr>
          <w:sz w:val="13"/>
        </w:rPr>
        <w:t>Victoria).</w:t>
      </w:r>
    </w:p>
    <w:p>
      <w:pPr>
        <w:pStyle w:val="ListParagraph"/>
        <w:numPr>
          <w:ilvl w:val="0"/>
          <w:numId w:val="112"/>
        </w:numPr>
        <w:tabs>
          <w:tab w:pos="893" w:val="left" w:leader="none"/>
          <w:tab w:pos="894" w:val="left" w:leader="none"/>
        </w:tabs>
        <w:spacing w:line="213" w:lineRule="auto" w:before="7" w:after="0"/>
        <w:ind w:left="893" w:right="1230" w:hanging="793"/>
        <w:jc w:val="left"/>
        <w:rPr>
          <w:sz w:val="13"/>
        </w:rPr>
      </w:pPr>
      <w:r>
        <w:rPr>
          <w:spacing w:val="2"/>
          <w:sz w:val="13"/>
        </w:rPr>
        <w:t>Other </w:t>
      </w:r>
      <w:r>
        <w:rPr>
          <w:sz w:val="13"/>
        </w:rPr>
        <w:t>challenges are available. A challenge to the array is available at common law and challenges for cause are available under the </w:t>
      </w:r>
      <w:r>
        <w:rPr>
          <w:i/>
          <w:sz w:val="13"/>
        </w:rPr>
        <w:t>Juries Act 2000 </w:t>
      </w:r>
      <w:r>
        <w:rPr>
          <w:spacing w:val="2"/>
          <w:sz w:val="13"/>
        </w:rPr>
        <w:t>(Vic) </w:t>
      </w:r>
      <w:r>
        <w:rPr>
          <w:sz w:val="13"/>
        </w:rPr>
        <w:t>ss </w:t>
      </w:r>
      <w:r>
        <w:rPr>
          <w:spacing w:val="3"/>
          <w:sz w:val="13"/>
        </w:rPr>
        <w:t>34, </w:t>
      </w:r>
      <w:r>
        <w:rPr>
          <w:spacing w:val="-3"/>
          <w:sz w:val="13"/>
        </w:rPr>
        <w:t>37. </w:t>
      </w:r>
      <w:r>
        <w:rPr>
          <w:sz w:val="13"/>
        </w:rPr>
        <w:t>See </w:t>
      </w:r>
      <w:r>
        <w:rPr>
          <w:spacing w:val="2"/>
          <w:sz w:val="13"/>
        </w:rPr>
        <w:t>also </w:t>
      </w:r>
      <w:r>
        <w:rPr>
          <w:sz w:val="13"/>
        </w:rPr>
        <w:t>Chapter</w:t>
      </w:r>
      <w:r>
        <w:rPr>
          <w:spacing w:val="-1"/>
          <w:sz w:val="13"/>
        </w:rPr>
        <w:t> </w:t>
      </w:r>
      <w:r>
        <w:rPr>
          <w:spacing w:val="3"/>
          <w:sz w:val="13"/>
        </w:rPr>
        <w:t>4.</w:t>
      </w:r>
    </w:p>
    <w:p>
      <w:pPr>
        <w:pStyle w:val="ListParagraph"/>
        <w:numPr>
          <w:ilvl w:val="0"/>
          <w:numId w:val="112"/>
        </w:numPr>
        <w:tabs>
          <w:tab w:pos="893" w:val="left" w:leader="none"/>
          <w:tab w:pos="894" w:val="left" w:leader="none"/>
        </w:tabs>
        <w:spacing w:line="213" w:lineRule="auto" w:before="0" w:after="0"/>
        <w:ind w:left="893" w:right="1582" w:hanging="793"/>
        <w:jc w:val="left"/>
        <w:rPr>
          <w:sz w:val="13"/>
        </w:rPr>
      </w:pPr>
      <w:r>
        <w:rPr>
          <w:sz w:val="13"/>
        </w:rPr>
        <w:t>Ibid ss </w:t>
      </w:r>
      <w:r>
        <w:rPr>
          <w:spacing w:val="3"/>
          <w:sz w:val="13"/>
        </w:rPr>
        <w:t>35, </w:t>
      </w:r>
      <w:r>
        <w:rPr>
          <w:sz w:val="13"/>
        </w:rPr>
        <w:t>38, </w:t>
      </w:r>
      <w:r>
        <w:rPr>
          <w:spacing w:val="2"/>
          <w:sz w:val="13"/>
        </w:rPr>
        <w:t>39. </w:t>
      </w:r>
      <w:r>
        <w:rPr>
          <w:sz w:val="13"/>
        </w:rPr>
        <w:t>Three peremptory challenges are available to the accused and the Crown in a criminal trial and two to the </w:t>
      </w:r>
      <w:r>
        <w:rPr>
          <w:spacing w:val="2"/>
          <w:sz w:val="13"/>
        </w:rPr>
        <w:t>parties </w:t>
      </w:r>
      <w:r>
        <w:rPr>
          <w:sz w:val="13"/>
        </w:rPr>
        <w:t>of a civil</w:t>
      </w:r>
      <w:r>
        <w:rPr>
          <w:spacing w:val="-2"/>
          <w:sz w:val="13"/>
        </w:rPr>
        <w:t> </w:t>
      </w:r>
      <w:r>
        <w:rPr>
          <w:spacing w:val="2"/>
          <w:sz w:val="13"/>
        </w:rPr>
        <w:t>trial.</w:t>
      </w:r>
    </w:p>
    <w:p>
      <w:pPr>
        <w:spacing w:after="0" w:line="213" w:lineRule="auto"/>
        <w:jc w:val="left"/>
        <w:rPr>
          <w:sz w:val="13"/>
        </w:rPr>
        <w:sectPr>
          <w:type w:val="continuous"/>
          <w:pgSz w:w="11910" w:h="16840"/>
          <w:pgMar w:top="620" w:bottom="280" w:left="620" w:right="380"/>
          <w:cols w:num="2" w:equalWidth="0">
            <w:col w:w="532" w:space="335"/>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70" w:hanging="794"/>
        <w:jc w:val="left"/>
        <w:rPr>
          <w:sz w:val="20"/>
        </w:rPr>
      </w:pPr>
      <w:bookmarkStart w:name="Peremptory challenges" w:id="338"/>
      <w:bookmarkEnd w:id="338"/>
      <w:r>
        <w:rPr/>
      </w:r>
      <w:bookmarkStart w:name="_bookmark141" w:id="339"/>
      <w:bookmarkEnd w:id="339"/>
      <w:r>
        <w:rPr/>
      </w:r>
      <w:bookmarkStart w:name="_bookmark141" w:id="340"/>
      <w:bookmarkEnd w:id="340"/>
      <w:r>
        <w:rPr>
          <w:spacing w:val="-4"/>
          <w:sz w:val="20"/>
        </w:rPr>
        <w:t>C</w:t>
      </w:r>
      <w:r>
        <w:rPr>
          <w:spacing w:val="-4"/>
          <w:sz w:val="20"/>
        </w:rPr>
        <w:t>urrently,</w:t>
      </w:r>
      <w:r>
        <w:rPr>
          <w:spacing w:val="-9"/>
          <w:sz w:val="20"/>
        </w:rPr>
        <w:t> </w:t>
      </w:r>
      <w:r>
        <w:rPr>
          <w:sz w:val="20"/>
        </w:rPr>
        <w:t>people</w:t>
      </w:r>
      <w:r>
        <w:rPr>
          <w:spacing w:val="-8"/>
          <w:sz w:val="20"/>
        </w:rPr>
        <w:t> </w:t>
      </w:r>
      <w:r>
        <w:rPr>
          <w:sz w:val="20"/>
        </w:rPr>
        <w:t>in</w:t>
      </w:r>
      <w:r>
        <w:rPr>
          <w:spacing w:val="-8"/>
          <w:sz w:val="20"/>
        </w:rPr>
        <w:t> </w:t>
      </w:r>
      <w:r>
        <w:rPr>
          <w:sz w:val="20"/>
        </w:rPr>
        <w:t>the</w:t>
      </w:r>
      <w:r>
        <w:rPr>
          <w:spacing w:val="-9"/>
          <w:sz w:val="20"/>
        </w:rPr>
        <w:t> </w:t>
      </w:r>
      <w:r>
        <w:rPr>
          <w:sz w:val="20"/>
        </w:rPr>
        <w:t>subject</w:t>
      </w:r>
      <w:r>
        <w:rPr>
          <w:spacing w:val="-8"/>
          <w:sz w:val="20"/>
        </w:rPr>
        <w:t> </w:t>
      </w:r>
      <w:r>
        <w:rPr>
          <w:sz w:val="20"/>
        </w:rPr>
        <w:t>groups</w:t>
      </w:r>
      <w:r>
        <w:rPr>
          <w:spacing w:val="-8"/>
          <w:sz w:val="20"/>
        </w:rPr>
        <w:t> </w:t>
      </w:r>
      <w:r>
        <w:rPr>
          <w:spacing w:val="-3"/>
          <w:sz w:val="20"/>
        </w:rPr>
        <w:t>are</w:t>
      </w:r>
      <w:r>
        <w:rPr>
          <w:spacing w:val="-8"/>
          <w:sz w:val="20"/>
        </w:rPr>
        <w:t> </w:t>
      </w:r>
      <w:r>
        <w:rPr>
          <w:spacing w:val="-3"/>
          <w:sz w:val="20"/>
        </w:rPr>
        <w:t>unlikely</w:t>
      </w:r>
      <w:r>
        <w:rPr>
          <w:spacing w:val="-9"/>
          <w:sz w:val="20"/>
        </w:rPr>
        <w:t> </w:t>
      </w:r>
      <w:r>
        <w:rPr>
          <w:sz w:val="20"/>
        </w:rPr>
        <w:t>to</w:t>
      </w:r>
      <w:r>
        <w:rPr>
          <w:spacing w:val="-8"/>
          <w:sz w:val="20"/>
        </w:rPr>
        <w:t> </w:t>
      </w:r>
      <w:r>
        <w:rPr>
          <w:spacing w:val="-3"/>
          <w:sz w:val="20"/>
        </w:rPr>
        <w:t>reach</w:t>
      </w:r>
      <w:r>
        <w:rPr>
          <w:spacing w:val="-8"/>
          <w:sz w:val="20"/>
        </w:rPr>
        <w:t> </w:t>
      </w:r>
      <w:r>
        <w:rPr>
          <w:sz w:val="20"/>
        </w:rPr>
        <w:t>the</w:t>
      </w:r>
      <w:r>
        <w:rPr>
          <w:spacing w:val="-8"/>
          <w:sz w:val="20"/>
        </w:rPr>
        <w:t> </w:t>
      </w:r>
      <w:r>
        <w:rPr>
          <w:sz w:val="20"/>
        </w:rPr>
        <w:t>challenge</w:t>
      </w:r>
      <w:r>
        <w:rPr>
          <w:spacing w:val="-9"/>
          <w:sz w:val="20"/>
        </w:rPr>
        <w:t> </w:t>
      </w:r>
      <w:r>
        <w:rPr>
          <w:sz w:val="20"/>
        </w:rPr>
        <w:t>stage</w:t>
      </w:r>
      <w:r>
        <w:rPr>
          <w:spacing w:val="-8"/>
          <w:sz w:val="20"/>
        </w:rPr>
        <w:t> </w:t>
      </w:r>
      <w:r>
        <w:rPr>
          <w:sz w:val="20"/>
        </w:rPr>
        <w:t>of</w:t>
      </w:r>
      <w:r>
        <w:rPr>
          <w:spacing w:val="-8"/>
          <w:sz w:val="20"/>
        </w:rPr>
        <w:t> </w:t>
      </w:r>
      <w:r>
        <w:rPr>
          <w:sz w:val="20"/>
        </w:rPr>
        <w:t>jury selection because they </w:t>
      </w:r>
      <w:r>
        <w:rPr>
          <w:spacing w:val="-3"/>
          <w:sz w:val="20"/>
        </w:rPr>
        <w:t>are excused </w:t>
      </w:r>
      <w:r>
        <w:rPr>
          <w:sz w:val="20"/>
        </w:rPr>
        <w:t>earlier in the process. If </w:t>
      </w:r>
      <w:r>
        <w:rPr>
          <w:spacing w:val="-3"/>
          <w:sz w:val="20"/>
        </w:rPr>
        <w:t>reforms are </w:t>
      </w:r>
      <w:r>
        <w:rPr>
          <w:sz w:val="20"/>
        </w:rPr>
        <w:t>implemented to enable people in the subject groups to serve with reasonable adjustments, </w:t>
      </w:r>
      <w:r>
        <w:rPr>
          <w:spacing w:val="-3"/>
          <w:sz w:val="20"/>
        </w:rPr>
        <w:t>we are </w:t>
      </w:r>
      <w:r>
        <w:rPr>
          <w:sz w:val="20"/>
        </w:rPr>
        <w:t>concerned that challenges </w:t>
      </w:r>
      <w:r>
        <w:rPr>
          <w:spacing w:val="-3"/>
          <w:sz w:val="20"/>
        </w:rPr>
        <w:t>may </w:t>
      </w:r>
      <w:r>
        <w:rPr>
          <w:sz w:val="20"/>
        </w:rPr>
        <w:t>be used in a discriminatory </w:t>
      </w:r>
      <w:r>
        <w:rPr>
          <w:spacing w:val="-4"/>
          <w:sz w:val="20"/>
        </w:rPr>
        <w:t>way </w:t>
      </w:r>
      <w:r>
        <w:rPr>
          <w:sz w:val="20"/>
        </w:rPr>
        <w:t>to </w:t>
      </w:r>
      <w:r>
        <w:rPr>
          <w:spacing w:val="-4"/>
          <w:sz w:val="20"/>
        </w:rPr>
        <w:t>prevent </w:t>
      </w:r>
      <w:r>
        <w:rPr>
          <w:sz w:val="20"/>
        </w:rPr>
        <w:t>them </w:t>
      </w:r>
      <w:r>
        <w:rPr>
          <w:spacing w:val="-3"/>
          <w:sz w:val="20"/>
        </w:rPr>
        <w:t>from </w:t>
      </w:r>
      <w:r>
        <w:rPr>
          <w:sz w:val="20"/>
        </w:rPr>
        <w:t>becoming jurors.</w:t>
      </w:r>
      <w:r>
        <w:rPr>
          <w:position w:val="7"/>
          <w:sz w:val="11"/>
        </w:rPr>
        <w:t>4 </w:t>
      </w:r>
      <w:r>
        <w:rPr>
          <w:sz w:val="20"/>
        </w:rPr>
        <w:t>This </w:t>
      </w:r>
      <w:r>
        <w:rPr>
          <w:spacing w:val="-3"/>
          <w:sz w:val="20"/>
        </w:rPr>
        <w:t>would </w:t>
      </w:r>
      <w:r>
        <w:rPr>
          <w:sz w:val="20"/>
        </w:rPr>
        <w:t>undermine the effectiveness of</w:t>
      </w:r>
      <w:r>
        <w:rPr>
          <w:spacing w:val="-19"/>
          <w:sz w:val="20"/>
        </w:rPr>
        <w:t> </w:t>
      </w:r>
      <w:r>
        <w:rPr>
          <w:sz w:val="20"/>
        </w:rPr>
        <w:t>reform.</w:t>
      </w:r>
    </w:p>
    <w:p>
      <w:pPr>
        <w:pStyle w:val="ListParagraph"/>
        <w:numPr>
          <w:ilvl w:val="1"/>
          <w:numId w:val="12"/>
        </w:numPr>
        <w:tabs>
          <w:tab w:pos="1761" w:val="left" w:leader="none"/>
          <w:tab w:pos="1762" w:val="left" w:leader="none"/>
        </w:tabs>
        <w:spacing w:line="206" w:lineRule="auto" w:before="126" w:after="0"/>
        <w:ind w:left="1761" w:right="1914" w:hanging="794"/>
        <w:jc w:val="left"/>
        <w:rPr>
          <w:sz w:val="20"/>
        </w:rPr>
      </w:pPr>
      <w:r>
        <w:rPr>
          <w:sz w:val="20"/>
        </w:rPr>
        <w:t>It is impossible to </w:t>
      </w:r>
      <w:r>
        <w:rPr>
          <w:spacing w:val="-3"/>
          <w:sz w:val="20"/>
        </w:rPr>
        <w:t>conclusively </w:t>
      </w:r>
      <w:r>
        <w:rPr>
          <w:sz w:val="20"/>
        </w:rPr>
        <w:t>determine </w:t>
      </w:r>
      <w:r>
        <w:rPr>
          <w:spacing w:val="-3"/>
          <w:sz w:val="20"/>
        </w:rPr>
        <w:t>how great </w:t>
      </w:r>
      <w:r>
        <w:rPr>
          <w:sz w:val="20"/>
        </w:rPr>
        <w:t>the risk is of this occurring, because the parties do not </w:t>
      </w:r>
      <w:r>
        <w:rPr>
          <w:spacing w:val="-4"/>
          <w:sz w:val="20"/>
        </w:rPr>
        <w:t>have </w:t>
      </w:r>
      <w:r>
        <w:rPr>
          <w:sz w:val="20"/>
        </w:rPr>
        <w:t>to </w:t>
      </w:r>
      <w:r>
        <w:rPr>
          <w:spacing w:val="-3"/>
          <w:sz w:val="20"/>
        </w:rPr>
        <w:t>provide </w:t>
      </w:r>
      <w:r>
        <w:rPr>
          <w:sz w:val="20"/>
        </w:rPr>
        <w:t>reasons for </w:t>
      </w:r>
      <w:r>
        <w:rPr>
          <w:spacing w:val="-3"/>
          <w:sz w:val="20"/>
        </w:rPr>
        <w:t>exercising </w:t>
      </w:r>
      <w:r>
        <w:rPr>
          <w:sz w:val="20"/>
        </w:rPr>
        <w:t>peremptory challenges</w:t>
      </w:r>
      <w:r>
        <w:rPr>
          <w:spacing w:val="-12"/>
          <w:sz w:val="20"/>
        </w:rPr>
        <w:t> </w:t>
      </w:r>
      <w:r>
        <w:rPr>
          <w:sz w:val="20"/>
        </w:rPr>
        <w:t>or</w:t>
      </w:r>
      <w:r>
        <w:rPr>
          <w:spacing w:val="-11"/>
          <w:sz w:val="20"/>
        </w:rPr>
        <w:t> </w:t>
      </w:r>
      <w:r>
        <w:rPr>
          <w:sz w:val="20"/>
        </w:rPr>
        <w:t>stand</w:t>
      </w:r>
      <w:r>
        <w:rPr>
          <w:spacing w:val="-12"/>
          <w:sz w:val="20"/>
        </w:rPr>
        <w:t> </w:t>
      </w:r>
      <w:r>
        <w:rPr>
          <w:sz w:val="20"/>
        </w:rPr>
        <w:t>asides.</w:t>
      </w:r>
      <w:r>
        <w:rPr>
          <w:spacing w:val="-11"/>
          <w:sz w:val="20"/>
        </w:rPr>
        <w:t> </w:t>
      </w:r>
      <w:r>
        <w:rPr>
          <w:spacing w:val="-5"/>
          <w:sz w:val="20"/>
        </w:rPr>
        <w:t>However,</w:t>
      </w:r>
      <w:r>
        <w:rPr>
          <w:spacing w:val="-12"/>
          <w:sz w:val="20"/>
        </w:rPr>
        <w:t> </w:t>
      </w:r>
      <w:r>
        <w:rPr>
          <w:sz w:val="20"/>
        </w:rPr>
        <w:t>stereotypes</w:t>
      </w:r>
      <w:r>
        <w:rPr>
          <w:spacing w:val="-11"/>
          <w:sz w:val="20"/>
        </w:rPr>
        <w:t> </w:t>
      </w:r>
      <w:r>
        <w:rPr>
          <w:sz w:val="20"/>
        </w:rPr>
        <w:t>and</w:t>
      </w:r>
      <w:r>
        <w:rPr>
          <w:spacing w:val="-11"/>
          <w:sz w:val="20"/>
        </w:rPr>
        <w:t> </w:t>
      </w:r>
      <w:r>
        <w:rPr>
          <w:sz w:val="20"/>
        </w:rPr>
        <w:t>biases</w:t>
      </w:r>
      <w:r>
        <w:rPr>
          <w:spacing w:val="-12"/>
          <w:sz w:val="20"/>
        </w:rPr>
        <w:t> </w:t>
      </w:r>
      <w:r>
        <w:rPr>
          <w:sz w:val="20"/>
        </w:rPr>
        <w:t>about</w:t>
      </w:r>
      <w:r>
        <w:rPr>
          <w:spacing w:val="-11"/>
          <w:sz w:val="20"/>
        </w:rPr>
        <w:t> </w:t>
      </w:r>
      <w:r>
        <w:rPr>
          <w:sz w:val="20"/>
        </w:rPr>
        <w:t>people</w:t>
      </w:r>
      <w:r>
        <w:rPr>
          <w:spacing w:val="-12"/>
          <w:sz w:val="20"/>
        </w:rPr>
        <w:t> </w:t>
      </w:r>
      <w:r>
        <w:rPr>
          <w:sz w:val="20"/>
        </w:rPr>
        <w:t>with disabilities </w:t>
      </w:r>
      <w:r>
        <w:rPr>
          <w:spacing w:val="-3"/>
          <w:sz w:val="20"/>
        </w:rPr>
        <w:t>may </w:t>
      </w:r>
      <w:r>
        <w:rPr>
          <w:sz w:val="20"/>
        </w:rPr>
        <w:t>play out in the challenge</w:t>
      </w:r>
      <w:r>
        <w:rPr>
          <w:spacing w:val="-33"/>
          <w:sz w:val="20"/>
        </w:rPr>
        <w:t> </w:t>
      </w:r>
      <w:r>
        <w:rPr>
          <w:sz w:val="20"/>
        </w:rPr>
        <w:t>context.</w:t>
      </w:r>
    </w:p>
    <w:p>
      <w:pPr>
        <w:pStyle w:val="ListParagraph"/>
        <w:numPr>
          <w:ilvl w:val="1"/>
          <w:numId w:val="12"/>
        </w:numPr>
        <w:tabs>
          <w:tab w:pos="1761" w:val="left" w:leader="none"/>
          <w:tab w:pos="1762" w:val="left" w:leader="none"/>
        </w:tabs>
        <w:spacing w:line="206" w:lineRule="auto" w:before="125" w:after="0"/>
        <w:ind w:left="1761" w:right="1581" w:hanging="794"/>
        <w:jc w:val="left"/>
        <w:rPr>
          <w:sz w:val="20"/>
        </w:rPr>
      </w:pPr>
      <w:r>
        <w:rPr>
          <w:sz w:val="20"/>
        </w:rPr>
        <w:t>An</w:t>
      </w:r>
      <w:r>
        <w:rPr>
          <w:spacing w:val="-12"/>
          <w:sz w:val="20"/>
        </w:rPr>
        <w:t> </w:t>
      </w:r>
      <w:r>
        <w:rPr>
          <w:sz w:val="20"/>
        </w:rPr>
        <w:t>accused,</w:t>
      </w:r>
      <w:r>
        <w:rPr>
          <w:spacing w:val="-12"/>
          <w:sz w:val="20"/>
        </w:rPr>
        <w:t> </w:t>
      </w:r>
      <w:r>
        <w:rPr>
          <w:sz w:val="20"/>
        </w:rPr>
        <w:t>or</w:t>
      </w:r>
      <w:r>
        <w:rPr>
          <w:spacing w:val="-11"/>
          <w:sz w:val="20"/>
        </w:rPr>
        <w:t> </w:t>
      </w:r>
      <w:r>
        <w:rPr>
          <w:sz w:val="20"/>
        </w:rPr>
        <w:t>the</w:t>
      </w:r>
      <w:r>
        <w:rPr>
          <w:spacing w:val="-12"/>
          <w:sz w:val="20"/>
        </w:rPr>
        <w:t> </w:t>
      </w:r>
      <w:r>
        <w:rPr>
          <w:spacing w:val="-3"/>
          <w:sz w:val="20"/>
        </w:rPr>
        <w:t>Crown,</w:t>
      </w:r>
      <w:r>
        <w:rPr>
          <w:spacing w:val="-11"/>
          <w:sz w:val="20"/>
        </w:rPr>
        <w:t> </w:t>
      </w:r>
      <w:r>
        <w:rPr>
          <w:sz w:val="20"/>
        </w:rPr>
        <w:t>determines</w:t>
      </w:r>
      <w:r>
        <w:rPr>
          <w:spacing w:val="-12"/>
          <w:sz w:val="20"/>
        </w:rPr>
        <w:t> </w:t>
      </w:r>
      <w:r>
        <w:rPr>
          <w:sz w:val="20"/>
        </w:rPr>
        <w:t>whether</w:t>
      </w:r>
      <w:r>
        <w:rPr>
          <w:spacing w:val="-11"/>
          <w:sz w:val="20"/>
        </w:rPr>
        <w:t> </w:t>
      </w:r>
      <w:r>
        <w:rPr>
          <w:sz w:val="20"/>
        </w:rPr>
        <w:t>a</w:t>
      </w:r>
      <w:r>
        <w:rPr>
          <w:spacing w:val="-12"/>
          <w:sz w:val="20"/>
        </w:rPr>
        <w:t> </w:t>
      </w:r>
      <w:r>
        <w:rPr>
          <w:sz w:val="20"/>
        </w:rPr>
        <w:t>potential</w:t>
      </w:r>
      <w:r>
        <w:rPr>
          <w:spacing w:val="-12"/>
          <w:sz w:val="20"/>
        </w:rPr>
        <w:t> </w:t>
      </w:r>
      <w:r>
        <w:rPr>
          <w:sz w:val="20"/>
        </w:rPr>
        <w:t>juror</w:t>
      </w:r>
      <w:r>
        <w:rPr>
          <w:spacing w:val="-11"/>
          <w:sz w:val="20"/>
        </w:rPr>
        <w:t> </w:t>
      </w:r>
      <w:r>
        <w:rPr>
          <w:sz w:val="20"/>
        </w:rPr>
        <w:t>should</w:t>
      </w:r>
      <w:r>
        <w:rPr>
          <w:spacing w:val="-12"/>
          <w:sz w:val="20"/>
        </w:rPr>
        <w:t> </w:t>
      </w:r>
      <w:r>
        <w:rPr>
          <w:sz w:val="20"/>
        </w:rPr>
        <w:t>be</w:t>
      </w:r>
      <w:r>
        <w:rPr>
          <w:spacing w:val="-11"/>
          <w:sz w:val="20"/>
        </w:rPr>
        <w:t> </w:t>
      </w:r>
      <w:r>
        <w:rPr>
          <w:spacing w:val="-3"/>
          <w:sz w:val="20"/>
        </w:rPr>
        <w:t>removed </w:t>
      </w:r>
      <w:r>
        <w:rPr>
          <w:sz w:val="20"/>
        </w:rPr>
        <w:t>based on limited information,</w:t>
      </w:r>
      <w:r>
        <w:rPr>
          <w:spacing w:val="-19"/>
          <w:sz w:val="20"/>
        </w:rPr>
        <w:t> </w:t>
      </w:r>
      <w:r>
        <w:rPr>
          <w:sz w:val="20"/>
        </w:rPr>
        <w:t>namely:</w:t>
      </w:r>
    </w:p>
    <w:p>
      <w:pPr>
        <w:pStyle w:val="ListParagraph"/>
        <w:numPr>
          <w:ilvl w:val="2"/>
          <w:numId w:val="12"/>
        </w:numPr>
        <w:tabs>
          <w:tab w:pos="2157" w:val="left" w:leader="none"/>
          <w:tab w:pos="2158" w:val="left" w:leader="none"/>
        </w:tabs>
        <w:spacing w:line="240" w:lineRule="auto" w:before="91" w:after="0"/>
        <w:ind w:left="2157" w:right="0" w:hanging="396"/>
        <w:jc w:val="left"/>
        <w:rPr>
          <w:sz w:val="20"/>
        </w:rPr>
      </w:pPr>
      <w:r>
        <w:rPr>
          <w:sz w:val="20"/>
        </w:rPr>
        <w:t>their number </w:t>
      </w:r>
      <w:r>
        <w:rPr>
          <w:spacing w:val="-3"/>
          <w:sz w:val="20"/>
        </w:rPr>
        <w:t>(or </w:t>
      </w:r>
      <w:r>
        <w:rPr>
          <w:sz w:val="20"/>
        </w:rPr>
        <w:t>sometimes</w:t>
      </w:r>
      <w:r>
        <w:rPr>
          <w:spacing w:val="-15"/>
          <w:sz w:val="20"/>
        </w:rPr>
        <w:t> </w:t>
      </w:r>
      <w:r>
        <w:rPr>
          <w:sz w:val="20"/>
        </w:rPr>
        <w:t>name)</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pacing w:val="-3"/>
          <w:sz w:val="20"/>
        </w:rPr>
        <w:t>current</w:t>
      </w:r>
      <w:r>
        <w:rPr>
          <w:spacing w:val="-5"/>
          <w:sz w:val="20"/>
        </w:rPr>
        <w:t> </w:t>
      </w:r>
      <w:r>
        <w:rPr>
          <w:sz w:val="20"/>
        </w:rPr>
        <w:t>occupation</w:t>
      </w:r>
      <w:r>
        <w:rPr>
          <w:position w:val="7"/>
          <w:sz w:val="11"/>
        </w:rPr>
        <w:t>5</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physical</w:t>
      </w:r>
      <w:r>
        <w:rPr>
          <w:spacing w:val="-5"/>
          <w:sz w:val="20"/>
        </w:rPr>
        <w:t> </w:t>
      </w:r>
      <w:r>
        <w:rPr>
          <w:sz w:val="20"/>
        </w:rPr>
        <w:t>appearance</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pacing w:val="-3"/>
          <w:sz w:val="20"/>
        </w:rPr>
        <w:t>demeanour.</w:t>
      </w:r>
      <w:r>
        <w:rPr>
          <w:spacing w:val="-3"/>
          <w:position w:val="7"/>
          <w:sz w:val="11"/>
        </w:rPr>
        <w:t>6</w:t>
      </w:r>
    </w:p>
    <w:p>
      <w:pPr>
        <w:pStyle w:val="ListParagraph"/>
        <w:numPr>
          <w:ilvl w:val="1"/>
          <w:numId w:val="12"/>
        </w:numPr>
        <w:tabs>
          <w:tab w:pos="1761" w:val="left" w:leader="none"/>
          <w:tab w:pos="1762" w:val="left" w:leader="none"/>
        </w:tabs>
        <w:spacing w:line="206" w:lineRule="auto" w:before="80" w:after="0"/>
        <w:ind w:left="1761" w:right="1229" w:hanging="794"/>
        <w:jc w:val="left"/>
        <w:rPr>
          <w:sz w:val="20"/>
        </w:rPr>
      </w:pPr>
      <w:r>
        <w:rPr>
          <w:sz w:val="20"/>
        </w:rPr>
        <w:t>A person in the subject groups </w:t>
      </w:r>
      <w:r>
        <w:rPr>
          <w:spacing w:val="-3"/>
          <w:sz w:val="20"/>
        </w:rPr>
        <w:t>may </w:t>
      </w:r>
      <w:r>
        <w:rPr>
          <w:sz w:val="20"/>
        </w:rPr>
        <w:t>be more </w:t>
      </w:r>
      <w:r>
        <w:rPr>
          <w:spacing w:val="-3"/>
          <w:sz w:val="20"/>
        </w:rPr>
        <w:t>likely </w:t>
      </w:r>
      <w:r>
        <w:rPr>
          <w:sz w:val="20"/>
        </w:rPr>
        <w:t>to stand out </w:t>
      </w:r>
      <w:r>
        <w:rPr>
          <w:spacing w:val="-3"/>
          <w:sz w:val="20"/>
        </w:rPr>
        <w:t>from </w:t>
      </w:r>
      <w:r>
        <w:rPr>
          <w:sz w:val="20"/>
        </w:rPr>
        <w:t>other jurors because of their physical appearance or the presence of an adjustment. </w:t>
      </w:r>
      <w:r>
        <w:rPr>
          <w:spacing w:val="-6"/>
          <w:sz w:val="20"/>
        </w:rPr>
        <w:t>We </w:t>
      </w:r>
      <w:r>
        <w:rPr>
          <w:sz w:val="20"/>
        </w:rPr>
        <w:t>understand </w:t>
      </w:r>
      <w:r>
        <w:rPr>
          <w:spacing w:val="-3"/>
          <w:sz w:val="20"/>
        </w:rPr>
        <w:t>from </w:t>
      </w:r>
      <w:r>
        <w:rPr>
          <w:sz w:val="20"/>
        </w:rPr>
        <w:t>our consultations and </w:t>
      </w:r>
      <w:r>
        <w:rPr>
          <w:spacing w:val="-3"/>
          <w:sz w:val="20"/>
        </w:rPr>
        <w:t>research </w:t>
      </w:r>
      <w:r>
        <w:rPr>
          <w:sz w:val="20"/>
        </w:rPr>
        <w:t>that the community and the legal profession </w:t>
      </w:r>
      <w:r>
        <w:rPr>
          <w:spacing w:val="-3"/>
          <w:sz w:val="20"/>
        </w:rPr>
        <w:t>may </w:t>
      </w:r>
      <w:r>
        <w:rPr>
          <w:sz w:val="20"/>
        </w:rPr>
        <w:t>still hold some misconceptions about the abilities of people in the subject</w:t>
      </w:r>
      <w:r>
        <w:rPr>
          <w:spacing w:val="-11"/>
          <w:sz w:val="20"/>
        </w:rPr>
        <w:t> </w:t>
      </w:r>
      <w:r>
        <w:rPr>
          <w:sz w:val="20"/>
        </w:rPr>
        <w:t>groups</w:t>
      </w:r>
      <w:r>
        <w:rPr>
          <w:spacing w:val="-10"/>
          <w:sz w:val="20"/>
        </w:rPr>
        <w:t> </w:t>
      </w:r>
      <w:r>
        <w:rPr>
          <w:sz w:val="20"/>
        </w:rPr>
        <w:t>(see</w:t>
      </w:r>
      <w:r>
        <w:rPr>
          <w:spacing w:val="-10"/>
          <w:sz w:val="20"/>
        </w:rPr>
        <w:t> </w:t>
      </w:r>
      <w:r>
        <w:rPr>
          <w:spacing w:val="-2"/>
          <w:sz w:val="20"/>
        </w:rPr>
        <w:t>Chapter</w:t>
      </w:r>
      <w:r>
        <w:rPr>
          <w:spacing w:val="-10"/>
          <w:sz w:val="20"/>
        </w:rPr>
        <w:t> </w:t>
      </w:r>
      <w:r>
        <w:rPr>
          <w:spacing w:val="-3"/>
          <w:sz w:val="20"/>
        </w:rPr>
        <w:t>9).</w:t>
      </w:r>
      <w:r>
        <w:rPr>
          <w:spacing w:val="-10"/>
          <w:sz w:val="20"/>
        </w:rPr>
        <w:t> </w:t>
      </w:r>
      <w:r>
        <w:rPr>
          <w:spacing w:val="-3"/>
          <w:sz w:val="20"/>
        </w:rPr>
        <w:t>For</w:t>
      </w:r>
      <w:r>
        <w:rPr>
          <w:spacing w:val="-10"/>
          <w:sz w:val="20"/>
        </w:rPr>
        <w:t> </w:t>
      </w:r>
      <w:r>
        <w:rPr>
          <w:sz w:val="20"/>
        </w:rPr>
        <w:t>these</w:t>
      </w:r>
      <w:r>
        <w:rPr>
          <w:spacing w:val="-10"/>
          <w:sz w:val="20"/>
        </w:rPr>
        <w:t> </w:t>
      </w:r>
      <w:r>
        <w:rPr>
          <w:sz w:val="20"/>
        </w:rPr>
        <w:t>reasons,</w:t>
      </w:r>
      <w:r>
        <w:rPr>
          <w:spacing w:val="-11"/>
          <w:sz w:val="20"/>
        </w:rPr>
        <w:t> </w:t>
      </w:r>
      <w:r>
        <w:rPr>
          <w:sz w:val="20"/>
        </w:rPr>
        <w:t>people</w:t>
      </w:r>
      <w:r>
        <w:rPr>
          <w:spacing w:val="-10"/>
          <w:sz w:val="20"/>
        </w:rPr>
        <w:t> </w:t>
      </w:r>
      <w:r>
        <w:rPr>
          <w:sz w:val="20"/>
        </w:rPr>
        <w:t>with</w:t>
      </w:r>
      <w:r>
        <w:rPr>
          <w:spacing w:val="-10"/>
          <w:sz w:val="20"/>
        </w:rPr>
        <w:t> </w:t>
      </w:r>
      <w:r>
        <w:rPr>
          <w:sz w:val="20"/>
        </w:rPr>
        <w:t>disabilities</w:t>
      </w:r>
      <w:r>
        <w:rPr>
          <w:spacing w:val="-10"/>
          <w:sz w:val="20"/>
        </w:rPr>
        <w:t> </w:t>
      </w:r>
      <w:r>
        <w:rPr>
          <w:spacing w:val="-3"/>
          <w:sz w:val="20"/>
        </w:rPr>
        <w:t>may</w:t>
      </w:r>
      <w:r>
        <w:rPr>
          <w:spacing w:val="-10"/>
          <w:sz w:val="20"/>
        </w:rPr>
        <w:t> </w:t>
      </w:r>
      <w:r>
        <w:rPr>
          <w:sz w:val="20"/>
        </w:rPr>
        <w:t>be</w:t>
      </w:r>
      <w:r>
        <w:rPr>
          <w:spacing w:val="-10"/>
          <w:sz w:val="20"/>
        </w:rPr>
        <w:t> </w:t>
      </w:r>
      <w:r>
        <w:rPr>
          <w:sz w:val="20"/>
        </w:rPr>
        <w:t>more </w:t>
      </w:r>
      <w:r>
        <w:rPr>
          <w:spacing w:val="-3"/>
          <w:sz w:val="20"/>
        </w:rPr>
        <w:t>likely </w:t>
      </w:r>
      <w:r>
        <w:rPr>
          <w:sz w:val="20"/>
        </w:rPr>
        <w:t>to be challenged on discriminatory</w:t>
      </w:r>
      <w:r>
        <w:rPr>
          <w:spacing w:val="-26"/>
          <w:sz w:val="20"/>
        </w:rPr>
        <w:t> </w:t>
      </w:r>
      <w:r>
        <w:rPr>
          <w:sz w:val="20"/>
        </w:rPr>
        <w:t>grounds.</w:t>
      </w:r>
    </w:p>
    <w:p>
      <w:pPr>
        <w:pStyle w:val="BodyText"/>
        <w:spacing w:before="10"/>
        <w:rPr>
          <w:sz w:val="16"/>
        </w:rPr>
      </w:pPr>
    </w:p>
    <w:p>
      <w:pPr>
        <w:spacing w:before="1"/>
        <w:ind w:left="967" w:right="0" w:firstLine="0"/>
        <w:jc w:val="left"/>
        <w:rPr>
          <w:rFonts w:ascii="Raleway ExtraBold"/>
          <w:b/>
          <w:sz w:val="28"/>
        </w:rPr>
      </w:pPr>
      <w:r>
        <w:rPr>
          <w:rFonts w:ascii="Raleway ExtraBold"/>
          <w:b/>
          <w:color w:val="37617A"/>
          <w:sz w:val="28"/>
        </w:rPr>
        <w:t>Peremptory challenges</w:t>
      </w:r>
    </w:p>
    <w:p>
      <w:pPr>
        <w:spacing w:before="184"/>
        <w:ind w:left="967" w:right="0" w:firstLine="0"/>
        <w:jc w:val="left"/>
        <w:rPr>
          <w:b/>
          <w:sz w:val="24"/>
        </w:rPr>
      </w:pPr>
      <w:r>
        <w:rPr>
          <w:b/>
          <w:sz w:val="24"/>
        </w:rPr>
        <w:t>What is the purpose of peremptory challenges?</w:t>
      </w:r>
    </w:p>
    <w:p>
      <w:pPr>
        <w:pStyle w:val="ListParagraph"/>
        <w:numPr>
          <w:ilvl w:val="1"/>
          <w:numId w:val="12"/>
        </w:numPr>
        <w:tabs>
          <w:tab w:pos="1761" w:val="left" w:leader="none"/>
          <w:tab w:pos="1762" w:val="left" w:leader="none"/>
        </w:tabs>
        <w:spacing w:line="206" w:lineRule="auto" w:before="127" w:after="0"/>
        <w:ind w:left="1761" w:right="1205" w:hanging="794"/>
        <w:jc w:val="left"/>
        <w:rPr>
          <w:sz w:val="20"/>
        </w:rPr>
      </w:pPr>
      <w:r>
        <w:rPr>
          <w:sz w:val="20"/>
        </w:rPr>
        <w:t>The purpose of peremptory challenges is to ensure that the jury is impartial and the trial is </w:t>
      </w:r>
      <w:r>
        <w:rPr>
          <w:spacing w:val="-5"/>
          <w:sz w:val="20"/>
        </w:rPr>
        <w:t>fair.</w:t>
      </w:r>
      <w:r>
        <w:rPr>
          <w:spacing w:val="-5"/>
          <w:position w:val="7"/>
          <w:sz w:val="11"/>
        </w:rPr>
        <w:t>7 </w:t>
      </w:r>
      <w:r>
        <w:rPr>
          <w:sz w:val="20"/>
        </w:rPr>
        <w:t>Another purpose is to </w:t>
      </w:r>
      <w:r>
        <w:rPr>
          <w:spacing w:val="-4"/>
          <w:sz w:val="20"/>
        </w:rPr>
        <w:t>‘allow </w:t>
      </w:r>
      <w:r>
        <w:rPr>
          <w:sz w:val="20"/>
        </w:rPr>
        <w:t>the accused in a criminal trial to </w:t>
      </w:r>
      <w:r>
        <w:rPr>
          <w:spacing w:val="-4"/>
          <w:sz w:val="20"/>
        </w:rPr>
        <w:t>have </w:t>
      </w:r>
      <w:r>
        <w:rPr>
          <w:sz w:val="20"/>
        </w:rPr>
        <w:t>some </w:t>
      </w:r>
      <w:r>
        <w:rPr>
          <w:spacing w:val="-3"/>
          <w:sz w:val="20"/>
        </w:rPr>
        <w:t>say </w:t>
      </w:r>
      <w:r>
        <w:rPr>
          <w:sz w:val="20"/>
        </w:rPr>
        <w:t>in</w:t>
      </w:r>
      <w:r>
        <w:rPr>
          <w:spacing w:val="-9"/>
          <w:sz w:val="20"/>
        </w:rPr>
        <w:t> </w:t>
      </w:r>
      <w:r>
        <w:rPr>
          <w:sz w:val="20"/>
        </w:rPr>
        <w:t>who</w:t>
      </w:r>
      <w:r>
        <w:rPr>
          <w:spacing w:val="-9"/>
          <w:sz w:val="20"/>
        </w:rPr>
        <w:t> </w:t>
      </w:r>
      <w:r>
        <w:rPr>
          <w:sz w:val="20"/>
        </w:rPr>
        <w:t>tries</w:t>
      </w:r>
      <w:r>
        <w:rPr>
          <w:spacing w:val="-8"/>
          <w:sz w:val="20"/>
        </w:rPr>
        <w:t> </w:t>
      </w:r>
      <w:r>
        <w:rPr>
          <w:sz w:val="20"/>
        </w:rPr>
        <w:t>them,</w:t>
      </w:r>
      <w:r>
        <w:rPr>
          <w:spacing w:val="-9"/>
          <w:sz w:val="20"/>
        </w:rPr>
        <w:t> </w:t>
      </w:r>
      <w:r>
        <w:rPr>
          <w:spacing w:val="-3"/>
          <w:sz w:val="20"/>
        </w:rPr>
        <w:t>thereby</w:t>
      </w:r>
      <w:r>
        <w:rPr>
          <w:spacing w:val="-9"/>
          <w:sz w:val="20"/>
        </w:rPr>
        <w:t> </w:t>
      </w:r>
      <w:r>
        <w:rPr>
          <w:spacing w:val="-3"/>
          <w:sz w:val="20"/>
        </w:rPr>
        <w:t>improving</w:t>
      </w:r>
      <w:r>
        <w:rPr>
          <w:spacing w:val="-8"/>
          <w:sz w:val="20"/>
        </w:rPr>
        <w:t> </w:t>
      </w:r>
      <w:r>
        <w:rPr>
          <w:sz w:val="20"/>
        </w:rPr>
        <w:t>their</w:t>
      </w:r>
      <w:r>
        <w:rPr>
          <w:spacing w:val="-9"/>
          <w:sz w:val="20"/>
        </w:rPr>
        <w:t> </w:t>
      </w:r>
      <w:r>
        <w:rPr>
          <w:sz w:val="20"/>
        </w:rPr>
        <w:t>confidence</w:t>
      </w:r>
      <w:r>
        <w:rPr>
          <w:spacing w:val="-9"/>
          <w:sz w:val="20"/>
        </w:rPr>
        <w:t> </w:t>
      </w:r>
      <w:r>
        <w:rPr>
          <w:sz w:val="20"/>
        </w:rPr>
        <w:t>in</w:t>
      </w:r>
      <w:r>
        <w:rPr>
          <w:spacing w:val="-8"/>
          <w:sz w:val="20"/>
        </w:rPr>
        <w:t> </w:t>
      </w:r>
      <w:r>
        <w:rPr>
          <w:sz w:val="20"/>
        </w:rPr>
        <w:t>the</w:t>
      </w:r>
      <w:r>
        <w:rPr>
          <w:spacing w:val="-9"/>
          <w:sz w:val="20"/>
        </w:rPr>
        <w:t> </w:t>
      </w:r>
      <w:r>
        <w:rPr>
          <w:spacing w:val="-4"/>
          <w:sz w:val="20"/>
        </w:rPr>
        <w:t>process’.</w:t>
      </w:r>
      <w:r>
        <w:rPr>
          <w:spacing w:val="-4"/>
          <w:position w:val="7"/>
          <w:sz w:val="11"/>
        </w:rPr>
        <w:t>8</w:t>
      </w:r>
      <w:r>
        <w:rPr>
          <w:spacing w:val="16"/>
          <w:position w:val="7"/>
          <w:sz w:val="11"/>
        </w:rPr>
        <w:t> </w:t>
      </w:r>
      <w:r>
        <w:rPr>
          <w:sz w:val="20"/>
        </w:rPr>
        <w:t>The</w:t>
      </w:r>
      <w:r>
        <w:rPr>
          <w:spacing w:val="-9"/>
          <w:sz w:val="20"/>
        </w:rPr>
        <w:t> </w:t>
      </w:r>
      <w:r>
        <w:rPr>
          <w:sz w:val="20"/>
        </w:rPr>
        <w:t>right</w:t>
      </w:r>
      <w:r>
        <w:rPr>
          <w:spacing w:val="-8"/>
          <w:sz w:val="20"/>
        </w:rPr>
        <w:t> </w:t>
      </w:r>
      <w:r>
        <w:rPr>
          <w:sz w:val="20"/>
        </w:rPr>
        <w:t>to</w:t>
      </w:r>
      <w:r>
        <w:rPr>
          <w:spacing w:val="-9"/>
          <w:sz w:val="20"/>
        </w:rPr>
        <w:t> </w:t>
      </w:r>
      <w:r>
        <w:rPr>
          <w:spacing w:val="-3"/>
          <w:sz w:val="20"/>
        </w:rPr>
        <w:t>make </w:t>
      </w:r>
      <w:r>
        <w:rPr>
          <w:sz w:val="20"/>
        </w:rPr>
        <w:t>peremptory</w:t>
      </w:r>
      <w:r>
        <w:rPr>
          <w:spacing w:val="-9"/>
          <w:sz w:val="20"/>
        </w:rPr>
        <w:t> </w:t>
      </w:r>
      <w:r>
        <w:rPr>
          <w:sz w:val="20"/>
        </w:rPr>
        <w:t>challenges</w:t>
      </w:r>
      <w:r>
        <w:rPr>
          <w:spacing w:val="-9"/>
          <w:sz w:val="20"/>
        </w:rPr>
        <w:t> </w:t>
      </w:r>
      <w:r>
        <w:rPr>
          <w:sz w:val="20"/>
        </w:rPr>
        <w:t>is</w:t>
      </w:r>
      <w:r>
        <w:rPr>
          <w:spacing w:val="-9"/>
          <w:sz w:val="20"/>
        </w:rPr>
        <w:t> </w:t>
      </w:r>
      <w:r>
        <w:rPr>
          <w:spacing w:val="-4"/>
          <w:sz w:val="20"/>
        </w:rPr>
        <w:t>‘a</w:t>
      </w:r>
      <w:r>
        <w:rPr>
          <w:spacing w:val="-9"/>
          <w:sz w:val="20"/>
        </w:rPr>
        <w:t> </w:t>
      </w:r>
      <w:r>
        <w:rPr>
          <w:sz w:val="20"/>
        </w:rPr>
        <w:t>fundamental</w:t>
      </w:r>
      <w:r>
        <w:rPr>
          <w:spacing w:val="-9"/>
          <w:sz w:val="20"/>
        </w:rPr>
        <w:t> </w:t>
      </w:r>
      <w:r>
        <w:rPr>
          <w:sz w:val="20"/>
        </w:rPr>
        <w:t>right</w:t>
      </w:r>
      <w:r>
        <w:rPr>
          <w:spacing w:val="-9"/>
          <w:sz w:val="20"/>
        </w:rPr>
        <w:t> </w:t>
      </w:r>
      <w:r>
        <w:rPr>
          <w:sz w:val="20"/>
        </w:rPr>
        <w:t>that</w:t>
      </w:r>
      <w:r>
        <w:rPr>
          <w:spacing w:val="-9"/>
          <w:sz w:val="20"/>
        </w:rPr>
        <w:t> </w:t>
      </w:r>
      <w:r>
        <w:rPr>
          <w:spacing w:val="-3"/>
          <w:sz w:val="20"/>
        </w:rPr>
        <w:t>allows</w:t>
      </w:r>
      <w:r>
        <w:rPr>
          <w:spacing w:val="-9"/>
          <w:sz w:val="20"/>
        </w:rPr>
        <w:t> </w:t>
      </w:r>
      <w:r>
        <w:rPr>
          <w:sz w:val="20"/>
        </w:rPr>
        <w:t>the</w:t>
      </w:r>
      <w:r>
        <w:rPr>
          <w:spacing w:val="-9"/>
          <w:sz w:val="20"/>
        </w:rPr>
        <w:t> </w:t>
      </w:r>
      <w:r>
        <w:rPr>
          <w:sz w:val="20"/>
        </w:rPr>
        <w:t>accused</w:t>
      </w:r>
      <w:r>
        <w:rPr>
          <w:spacing w:val="-9"/>
          <w:sz w:val="20"/>
        </w:rPr>
        <w:t> </w:t>
      </w:r>
      <w:r>
        <w:rPr>
          <w:sz w:val="20"/>
        </w:rPr>
        <w:t>to</w:t>
      </w:r>
      <w:r>
        <w:rPr>
          <w:spacing w:val="-9"/>
          <w:sz w:val="20"/>
        </w:rPr>
        <w:t> </w:t>
      </w:r>
      <w:r>
        <w:rPr>
          <w:sz w:val="20"/>
        </w:rPr>
        <w:t>influence</w:t>
      </w:r>
    </w:p>
    <w:p>
      <w:pPr>
        <w:pStyle w:val="BodyText"/>
        <w:spacing w:line="206" w:lineRule="auto" w:before="5"/>
        <w:ind w:left="1761" w:right="1335"/>
        <w:rPr>
          <w:sz w:val="11"/>
        </w:rPr>
      </w:pPr>
      <w:r>
        <w:rPr/>
        <w:t>the</w:t>
      </w:r>
      <w:r>
        <w:rPr>
          <w:spacing w:val="-9"/>
        </w:rPr>
        <w:t> </w:t>
      </w:r>
      <w:r>
        <w:rPr/>
        <w:t>composition</w:t>
      </w:r>
      <w:r>
        <w:rPr>
          <w:spacing w:val="-9"/>
        </w:rPr>
        <w:t> </w:t>
      </w:r>
      <w:r>
        <w:rPr/>
        <w:t>of</w:t>
      </w:r>
      <w:r>
        <w:rPr>
          <w:spacing w:val="-8"/>
        </w:rPr>
        <w:t> </w:t>
      </w:r>
      <w:r>
        <w:rPr/>
        <w:t>the</w:t>
      </w:r>
      <w:r>
        <w:rPr>
          <w:spacing w:val="-9"/>
        </w:rPr>
        <w:t> </w:t>
      </w:r>
      <w:r>
        <w:rPr>
          <w:spacing w:val="-3"/>
        </w:rPr>
        <w:t>jury’.</w:t>
      </w:r>
      <w:r>
        <w:rPr>
          <w:spacing w:val="-3"/>
          <w:position w:val="7"/>
          <w:sz w:val="11"/>
        </w:rPr>
        <w:t>9</w:t>
      </w:r>
      <w:r>
        <w:rPr>
          <w:spacing w:val="16"/>
          <w:position w:val="7"/>
          <w:sz w:val="11"/>
        </w:rPr>
        <w:t> </w:t>
      </w:r>
      <w:r>
        <w:rPr/>
        <w:t>Case</w:t>
      </w:r>
      <w:r>
        <w:rPr>
          <w:spacing w:val="-9"/>
        </w:rPr>
        <w:t> </w:t>
      </w:r>
      <w:r>
        <w:rPr/>
        <w:t>law</w:t>
      </w:r>
      <w:r>
        <w:rPr>
          <w:spacing w:val="-8"/>
        </w:rPr>
        <w:t> </w:t>
      </w:r>
      <w:r>
        <w:rPr/>
        <w:t>suggests</w:t>
      </w:r>
      <w:r>
        <w:rPr>
          <w:spacing w:val="-9"/>
        </w:rPr>
        <w:t> </w:t>
      </w:r>
      <w:r>
        <w:rPr/>
        <w:t>that</w:t>
      </w:r>
      <w:r>
        <w:rPr>
          <w:spacing w:val="-9"/>
        </w:rPr>
        <w:t> </w:t>
      </w:r>
      <w:r>
        <w:rPr/>
        <w:t>the</w:t>
      </w:r>
      <w:r>
        <w:rPr>
          <w:spacing w:val="-8"/>
        </w:rPr>
        <w:t> </w:t>
      </w:r>
      <w:r>
        <w:rPr/>
        <w:t>right</w:t>
      </w:r>
      <w:r>
        <w:rPr>
          <w:spacing w:val="-9"/>
        </w:rPr>
        <w:t> </w:t>
      </w:r>
      <w:r>
        <w:rPr/>
        <w:t>must</w:t>
      </w:r>
      <w:r>
        <w:rPr>
          <w:spacing w:val="-8"/>
        </w:rPr>
        <w:t> </w:t>
      </w:r>
      <w:r>
        <w:rPr/>
        <w:t>not</w:t>
      </w:r>
      <w:r>
        <w:rPr>
          <w:spacing w:val="-9"/>
        </w:rPr>
        <w:t> </w:t>
      </w:r>
      <w:r>
        <w:rPr/>
        <w:t>be</w:t>
      </w:r>
      <w:r>
        <w:rPr>
          <w:spacing w:val="-9"/>
        </w:rPr>
        <w:t> </w:t>
      </w:r>
      <w:r>
        <w:rPr/>
        <w:t>infringed</w:t>
      </w:r>
      <w:r>
        <w:rPr>
          <w:spacing w:val="-8"/>
        </w:rPr>
        <w:t> </w:t>
      </w:r>
      <w:r>
        <w:rPr/>
        <w:t>or be subject to interference.</w:t>
      </w:r>
      <w:r>
        <w:rPr>
          <w:position w:val="7"/>
          <w:sz w:val="11"/>
        </w:rPr>
        <w:t>10 </w:t>
      </w:r>
      <w:r>
        <w:rPr/>
        <w:t>The judge should ensure that the accused understands that</w:t>
      </w:r>
      <w:r>
        <w:rPr>
          <w:spacing w:val="-11"/>
        </w:rPr>
        <w:t> </w:t>
      </w:r>
      <w:r>
        <w:rPr/>
        <w:t>they</w:t>
      </w:r>
      <w:r>
        <w:rPr>
          <w:spacing w:val="-11"/>
        </w:rPr>
        <w:t> </w:t>
      </w:r>
      <w:r>
        <w:rPr>
          <w:spacing w:val="-4"/>
        </w:rPr>
        <w:t>have</w:t>
      </w:r>
      <w:r>
        <w:rPr>
          <w:spacing w:val="-10"/>
        </w:rPr>
        <w:t> </w:t>
      </w:r>
      <w:r>
        <w:rPr/>
        <w:t>a</w:t>
      </w:r>
      <w:r>
        <w:rPr>
          <w:spacing w:val="-11"/>
        </w:rPr>
        <w:t> </w:t>
      </w:r>
      <w:r>
        <w:rPr/>
        <w:t>right</w:t>
      </w:r>
      <w:r>
        <w:rPr>
          <w:spacing w:val="-10"/>
        </w:rPr>
        <w:t> </w:t>
      </w:r>
      <w:r>
        <w:rPr/>
        <w:t>to</w:t>
      </w:r>
      <w:r>
        <w:rPr>
          <w:spacing w:val="-11"/>
        </w:rPr>
        <w:t> </w:t>
      </w:r>
      <w:r>
        <w:rPr/>
        <w:t>challenge</w:t>
      </w:r>
      <w:r>
        <w:rPr>
          <w:spacing w:val="-10"/>
        </w:rPr>
        <w:t> </w:t>
      </w:r>
      <w:r>
        <w:rPr/>
        <w:t>potential</w:t>
      </w:r>
      <w:r>
        <w:rPr>
          <w:spacing w:val="-11"/>
        </w:rPr>
        <w:t> </w:t>
      </w:r>
      <w:r>
        <w:rPr/>
        <w:t>jurors</w:t>
      </w:r>
      <w:r>
        <w:rPr>
          <w:spacing w:val="-10"/>
        </w:rPr>
        <w:t> </w:t>
      </w:r>
      <w:r>
        <w:rPr/>
        <w:t>and</w:t>
      </w:r>
      <w:r>
        <w:rPr>
          <w:spacing w:val="-11"/>
        </w:rPr>
        <w:t> </w:t>
      </w:r>
      <w:r>
        <w:rPr/>
        <w:t>they</w:t>
      </w:r>
      <w:r>
        <w:rPr>
          <w:spacing w:val="-10"/>
        </w:rPr>
        <w:t> </w:t>
      </w:r>
      <w:r>
        <w:rPr/>
        <w:t>know</w:t>
      </w:r>
      <w:r>
        <w:rPr>
          <w:spacing w:val="-11"/>
        </w:rPr>
        <w:t> </w:t>
      </w:r>
      <w:r>
        <w:rPr>
          <w:spacing w:val="-3"/>
        </w:rPr>
        <w:t>how</w:t>
      </w:r>
      <w:r>
        <w:rPr>
          <w:spacing w:val="-10"/>
        </w:rPr>
        <w:t> </w:t>
      </w:r>
      <w:r>
        <w:rPr/>
        <w:t>to</w:t>
      </w:r>
      <w:r>
        <w:rPr>
          <w:spacing w:val="-11"/>
        </w:rPr>
        <w:t> </w:t>
      </w:r>
      <w:r>
        <w:rPr>
          <w:spacing w:val="-3"/>
        </w:rPr>
        <w:t>exercise</w:t>
      </w:r>
      <w:r>
        <w:rPr>
          <w:spacing w:val="-11"/>
        </w:rPr>
        <w:t> </w:t>
      </w:r>
      <w:r>
        <w:rPr/>
        <w:t>that right.</w:t>
      </w:r>
      <w:r>
        <w:rPr>
          <w:position w:val="7"/>
          <w:sz w:val="11"/>
        </w:rPr>
        <w:t>11</w:t>
      </w:r>
    </w:p>
    <w:p>
      <w:pPr>
        <w:pStyle w:val="BodyText"/>
      </w:pPr>
    </w:p>
    <w:p>
      <w:pPr>
        <w:pStyle w:val="BodyText"/>
      </w:pPr>
    </w:p>
    <w:p>
      <w:pPr>
        <w:pStyle w:val="BodyText"/>
      </w:pPr>
    </w:p>
    <w:p>
      <w:pPr>
        <w:pStyle w:val="BodyText"/>
      </w:pPr>
    </w:p>
    <w:p>
      <w:pPr>
        <w:pStyle w:val="BodyText"/>
      </w:pPr>
    </w:p>
    <w:p>
      <w:pPr>
        <w:pStyle w:val="BodyText"/>
        <w:spacing w:before="1"/>
        <w:rPr>
          <w:sz w:val="22"/>
        </w:rPr>
      </w:pPr>
      <w:r>
        <w:rPr/>
        <w:pict>
          <v:line style="position:absolute;mso-position-horizontal-relative:page;mso-position-vertical-relative:paragraph;z-index:10208;mso-wrap-distance-left:0;mso-wrap-distance-right:0" from="79.370102pt,17.783899pt" to="515.905102pt,17.783899pt" stroked="true" strokeweight="1pt" strokecolor="#b6bdc8">
            <v:stroke dashstyle="solid"/>
            <w10:wrap type="topAndBottom"/>
          </v:line>
        </w:pict>
      </w:r>
    </w:p>
    <w:p>
      <w:pPr>
        <w:pStyle w:val="BodyText"/>
        <w:rPr>
          <w:sz w:val="5"/>
        </w:rPr>
      </w:pPr>
    </w:p>
    <w:p>
      <w:pPr>
        <w:spacing w:after="0"/>
        <w:rPr>
          <w:sz w:val="5"/>
        </w:rPr>
        <w:sectPr>
          <w:headerReference w:type="default" r:id="rId244"/>
          <w:headerReference w:type="even" r:id="rId245"/>
          <w:pgSz w:w="11910" w:h="16840"/>
          <w:pgMar w:header="0" w:footer="0" w:top="840" w:bottom="280" w:left="620" w:right="380"/>
        </w:sectPr>
      </w:pPr>
    </w:p>
    <w:p>
      <w:pPr>
        <w:pStyle w:val="ListParagraph"/>
        <w:numPr>
          <w:ilvl w:val="0"/>
          <w:numId w:val="112"/>
        </w:numPr>
        <w:tabs>
          <w:tab w:pos="1760" w:val="left" w:leader="none"/>
          <w:tab w:pos="1762" w:val="left" w:leader="none"/>
        </w:tabs>
        <w:spacing w:line="213" w:lineRule="auto" w:before="38" w:after="0"/>
        <w:ind w:left="1761" w:right="4" w:hanging="794"/>
        <w:jc w:val="left"/>
        <w:rPr>
          <w:sz w:val="13"/>
        </w:rPr>
      </w:pPr>
      <w:r>
        <w:rPr>
          <w:sz w:val="13"/>
        </w:rPr>
        <w:t>We note that </w:t>
      </w:r>
      <w:r>
        <w:rPr>
          <w:spacing w:val="2"/>
          <w:sz w:val="13"/>
        </w:rPr>
        <w:t>Spencer </w:t>
      </w:r>
      <w:r>
        <w:rPr>
          <w:sz w:val="13"/>
        </w:rPr>
        <w:t>et al referred to comments by legal professionals that they may use peremptory challenges to remove  jurors </w:t>
      </w:r>
      <w:r>
        <w:rPr>
          <w:spacing w:val="2"/>
          <w:sz w:val="13"/>
        </w:rPr>
        <w:t>because </w:t>
      </w:r>
      <w:r>
        <w:rPr>
          <w:sz w:val="13"/>
        </w:rPr>
        <w:t>including them would add ‘an unfamiliar layer of </w:t>
      </w:r>
      <w:r>
        <w:rPr>
          <w:spacing w:val="2"/>
          <w:sz w:val="13"/>
        </w:rPr>
        <w:t>uncertainty </w:t>
      </w:r>
      <w:r>
        <w:rPr>
          <w:sz w:val="13"/>
        </w:rPr>
        <w:t>to what is an already complex process’. At the same time, </w:t>
      </w:r>
      <w:r>
        <w:rPr>
          <w:spacing w:val="2"/>
          <w:sz w:val="13"/>
        </w:rPr>
        <w:t>Spencer </w:t>
      </w:r>
      <w:r>
        <w:rPr>
          <w:sz w:val="13"/>
        </w:rPr>
        <w:t>et al concluded that most legal professionals </w:t>
      </w:r>
      <w:r>
        <w:rPr>
          <w:spacing w:val="2"/>
          <w:sz w:val="13"/>
        </w:rPr>
        <w:t>supported </w:t>
      </w:r>
      <w:r>
        <w:rPr>
          <w:sz w:val="13"/>
        </w:rPr>
        <w:t>removing barriers to </w:t>
      </w:r>
      <w:r>
        <w:rPr>
          <w:spacing w:val="2"/>
          <w:sz w:val="13"/>
        </w:rPr>
        <w:t>jury service </w:t>
      </w:r>
      <w:r>
        <w:rPr>
          <w:sz w:val="13"/>
        </w:rPr>
        <w:t>for people who are deaf. David </w:t>
      </w:r>
      <w:r>
        <w:rPr>
          <w:spacing w:val="2"/>
          <w:sz w:val="13"/>
        </w:rPr>
        <w:t>Spencer </w:t>
      </w:r>
      <w:r>
        <w:rPr>
          <w:sz w:val="13"/>
        </w:rPr>
        <w:t>et </w:t>
      </w:r>
      <w:r>
        <w:rPr>
          <w:spacing w:val="2"/>
          <w:sz w:val="13"/>
        </w:rPr>
        <w:t>al, </w:t>
      </w:r>
      <w:r>
        <w:rPr>
          <w:sz w:val="13"/>
        </w:rPr>
        <w:t>‘Justice Is </w:t>
      </w:r>
      <w:r>
        <w:rPr>
          <w:spacing w:val="2"/>
          <w:sz w:val="13"/>
        </w:rPr>
        <w:t>Blind </w:t>
      </w:r>
      <w:r>
        <w:rPr>
          <w:sz w:val="13"/>
        </w:rPr>
        <w:t>as Long as It Isn’t Deaf: Excluding Deaf People from </w:t>
      </w:r>
      <w:r>
        <w:rPr>
          <w:spacing w:val="2"/>
          <w:sz w:val="13"/>
        </w:rPr>
        <w:t>Jury </w:t>
      </w:r>
      <w:r>
        <w:rPr>
          <w:sz w:val="13"/>
        </w:rPr>
        <w:t>Duty—an Australian Human Rights Breach’ (2017) </w:t>
      </w:r>
      <w:r>
        <w:rPr>
          <w:spacing w:val="2"/>
          <w:sz w:val="13"/>
        </w:rPr>
        <w:t>23(3) </w:t>
      </w:r>
      <w:r>
        <w:rPr>
          <w:i/>
          <w:sz w:val="13"/>
        </w:rPr>
        <w:t>Australian Journal of Human </w:t>
      </w:r>
      <w:r>
        <w:rPr>
          <w:i/>
          <w:spacing w:val="2"/>
          <w:sz w:val="13"/>
        </w:rPr>
        <w:t>Rights </w:t>
      </w:r>
      <w:r>
        <w:rPr>
          <w:sz w:val="13"/>
        </w:rPr>
        <w:t>332,</w:t>
      </w:r>
      <w:r>
        <w:rPr>
          <w:spacing w:val="1"/>
          <w:sz w:val="13"/>
        </w:rPr>
        <w:t> </w:t>
      </w:r>
      <w:r>
        <w:rPr>
          <w:spacing w:val="2"/>
          <w:sz w:val="13"/>
        </w:rPr>
        <w:t>344-345.</w:t>
      </w:r>
    </w:p>
    <w:p>
      <w:pPr>
        <w:pStyle w:val="ListParagraph"/>
        <w:numPr>
          <w:ilvl w:val="0"/>
          <w:numId w:val="112"/>
        </w:numPr>
        <w:tabs>
          <w:tab w:pos="1760" w:val="left" w:leader="none"/>
          <w:tab w:pos="1762" w:val="left" w:leader="none"/>
        </w:tabs>
        <w:spacing w:line="213" w:lineRule="auto" w:before="0" w:after="0"/>
        <w:ind w:left="1761" w:right="129" w:hanging="794"/>
        <w:jc w:val="left"/>
        <w:rPr>
          <w:sz w:val="13"/>
        </w:rPr>
      </w:pPr>
      <w:r>
        <w:rPr>
          <w:sz w:val="13"/>
        </w:rPr>
        <w:t>In 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25 </w:t>
      </w:r>
      <w:r>
        <w:rPr>
          <w:spacing w:val="2"/>
          <w:sz w:val="13"/>
        </w:rPr>
        <w:t>[3.36] </w:t>
      </w:r>
      <w:r>
        <w:rPr>
          <w:sz w:val="13"/>
        </w:rPr>
        <w:t>we explain that: ’Jurors identify their occupation in the questionnaire they complete when initially contacted by the Juries </w:t>
      </w:r>
      <w:r>
        <w:rPr>
          <w:spacing w:val="2"/>
          <w:sz w:val="13"/>
        </w:rPr>
        <w:t>Commissioner’s </w:t>
      </w:r>
      <w:r>
        <w:rPr>
          <w:sz w:val="13"/>
        </w:rPr>
        <w:t>Office (JCO). The JCO     then standardises these responses in accordance with the Australian and New Zealand Standard </w:t>
      </w:r>
      <w:r>
        <w:rPr>
          <w:spacing w:val="2"/>
          <w:sz w:val="13"/>
        </w:rPr>
        <w:t>Classification </w:t>
      </w:r>
      <w:r>
        <w:rPr>
          <w:sz w:val="13"/>
        </w:rPr>
        <w:t>of Occupation </w:t>
      </w:r>
      <w:r>
        <w:rPr>
          <w:spacing w:val="2"/>
          <w:sz w:val="13"/>
        </w:rPr>
        <w:t>Guidelines. </w:t>
      </w:r>
      <w:r>
        <w:rPr>
          <w:sz w:val="13"/>
        </w:rPr>
        <w:t>If a person is retired, they are asked to list their previous occupation. If a person is a student, they are commonly asked by the trial judge what they are studying. In the rare event that two prospective jurors share the same name and occupation, their </w:t>
      </w:r>
      <w:r>
        <w:rPr>
          <w:spacing w:val="2"/>
          <w:sz w:val="13"/>
        </w:rPr>
        <w:t>identifying </w:t>
      </w:r>
      <w:r>
        <w:rPr>
          <w:sz w:val="13"/>
        </w:rPr>
        <w:t>numbers are read out to distinguish between them: </w:t>
      </w:r>
      <w:r>
        <w:rPr>
          <w:i/>
          <w:sz w:val="13"/>
        </w:rPr>
        <w:t>Juries Act 2000 </w:t>
      </w:r>
      <w:r>
        <w:rPr>
          <w:spacing w:val="2"/>
          <w:sz w:val="13"/>
        </w:rPr>
        <w:t>(Vic) </w:t>
      </w:r>
      <w:r>
        <w:rPr>
          <w:sz w:val="13"/>
        </w:rPr>
        <w:t>s</w:t>
      </w:r>
      <w:r>
        <w:rPr>
          <w:spacing w:val="31"/>
          <w:sz w:val="13"/>
        </w:rPr>
        <w:t> </w:t>
      </w:r>
      <w:r>
        <w:rPr>
          <w:sz w:val="13"/>
        </w:rPr>
        <w:t>31(2)’.</w:t>
      </w:r>
    </w:p>
    <w:p>
      <w:pPr>
        <w:pStyle w:val="ListParagraph"/>
        <w:numPr>
          <w:ilvl w:val="0"/>
          <w:numId w:val="112"/>
        </w:numPr>
        <w:tabs>
          <w:tab w:pos="1760" w:val="left" w:leader="none"/>
          <w:tab w:pos="1762" w:val="left" w:leader="none"/>
        </w:tabs>
        <w:spacing w:line="213" w:lineRule="auto" w:before="0" w:after="0"/>
        <w:ind w:left="1761" w:right="234" w:hanging="794"/>
        <w:jc w:val="left"/>
        <w:rPr>
          <w:sz w:val="13"/>
        </w:rPr>
      </w:pPr>
      <w:r>
        <w:rPr>
          <w:sz w:val="13"/>
        </w:rPr>
        <w:t>This is evident from the process for </w:t>
      </w:r>
      <w:r>
        <w:rPr>
          <w:spacing w:val="2"/>
          <w:sz w:val="13"/>
        </w:rPr>
        <w:t>empanelment </w:t>
      </w:r>
      <w:r>
        <w:rPr>
          <w:sz w:val="13"/>
        </w:rPr>
        <w:t>in both criminal and civil trials: see 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26–27 </w:t>
      </w:r>
      <w:r>
        <w:rPr>
          <w:spacing w:val="3"/>
          <w:sz w:val="13"/>
        </w:rPr>
        <w:t>[3.40]–[3.51].</w:t>
      </w:r>
    </w:p>
    <w:p>
      <w:pPr>
        <w:pStyle w:val="ListParagraph"/>
        <w:numPr>
          <w:ilvl w:val="0"/>
          <w:numId w:val="112"/>
        </w:numPr>
        <w:tabs>
          <w:tab w:pos="1761" w:val="left" w:leader="none"/>
          <w:tab w:pos="1762" w:val="left" w:leader="none"/>
        </w:tabs>
        <w:spacing w:line="153" w:lineRule="exact" w:before="0" w:after="0"/>
        <w:ind w:left="1761" w:right="0" w:hanging="794"/>
        <w:jc w:val="left"/>
        <w:rPr>
          <w:sz w:val="13"/>
        </w:rPr>
      </w:pPr>
      <w:r>
        <w:rPr>
          <w:i/>
          <w:sz w:val="13"/>
        </w:rPr>
        <w:t>Johns</w:t>
      </w:r>
      <w:r>
        <w:rPr>
          <w:i/>
          <w:spacing w:val="4"/>
          <w:sz w:val="13"/>
        </w:rPr>
        <w:t> </w:t>
      </w:r>
      <w:r>
        <w:rPr>
          <w:i/>
          <w:sz w:val="13"/>
        </w:rPr>
        <w:t>v</w:t>
      </w:r>
      <w:r>
        <w:rPr>
          <w:i/>
          <w:spacing w:val="5"/>
          <w:sz w:val="13"/>
        </w:rPr>
        <w:t> </w:t>
      </w:r>
      <w:r>
        <w:rPr>
          <w:i/>
          <w:sz w:val="13"/>
        </w:rPr>
        <w:t>The</w:t>
      </w:r>
      <w:r>
        <w:rPr>
          <w:i/>
          <w:spacing w:val="4"/>
          <w:sz w:val="13"/>
        </w:rPr>
        <w:t> </w:t>
      </w:r>
      <w:r>
        <w:rPr>
          <w:i/>
          <w:spacing w:val="2"/>
          <w:sz w:val="13"/>
        </w:rPr>
        <w:t>Queen</w:t>
      </w:r>
      <w:r>
        <w:rPr>
          <w:i/>
          <w:spacing w:val="5"/>
          <w:sz w:val="13"/>
        </w:rPr>
        <w:t> </w:t>
      </w:r>
      <w:r>
        <w:rPr>
          <w:sz w:val="13"/>
        </w:rPr>
        <w:t>(1979)</w:t>
      </w:r>
      <w:r>
        <w:rPr>
          <w:spacing w:val="5"/>
          <w:sz w:val="13"/>
        </w:rPr>
        <w:t> </w:t>
      </w:r>
      <w:r>
        <w:rPr>
          <w:spacing w:val="2"/>
          <w:sz w:val="13"/>
        </w:rPr>
        <w:t>141</w:t>
      </w:r>
      <w:r>
        <w:rPr>
          <w:spacing w:val="4"/>
          <w:sz w:val="13"/>
        </w:rPr>
        <w:t> </w:t>
      </w:r>
      <w:r>
        <w:rPr>
          <w:sz w:val="13"/>
        </w:rPr>
        <w:t>CLR</w:t>
      </w:r>
      <w:r>
        <w:rPr>
          <w:spacing w:val="5"/>
          <w:sz w:val="13"/>
        </w:rPr>
        <w:t> </w:t>
      </w:r>
      <w:r>
        <w:rPr>
          <w:spacing w:val="2"/>
          <w:sz w:val="13"/>
        </w:rPr>
        <w:t>409;</w:t>
      </w:r>
      <w:r>
        <w:rPr>
          <w:spacing w:val="5"/>
          <w:sz w:val="13"/>
        </w:rPr>
        <w:t> </w:t>
      </w:r>
      <w:r>
        <w:rPr>
          <w:sz w:val="13"/>
        </w:rPr>
        <w:t>(High</w:t>
      </w:r>
      <w:r>
        <w:rPr>
          <w:spacing w:val="5"/>
          <w:sz w:val="13"/>
        </w:rPr>
        <w:t> </w:t>
      </w:r>
      <w:r>
        <w:rPr>
          <w:spacing w:val="2"/>
          <w:sz w:val="13"/>
        </w:rPr>
        <w:t>Court</w:t>
      </w:r>
      <w:r>
        <w:rPr>
          <w:spacing w:val="4"/>
          <w:sz w:val="13"/>
        </w:rPr>
        <w:t> </w:t>
      </w:r>
      <w:r>
        <w:rPr>
          <w:sz w:val="13"/>
        </w:rPr>
        <w:t>of</w:t>
      </w:r>
      <w:r>
        <w:rPr>
          <w:spacing w:val="5"/>
          <w:sz w:val="13"/>
        </w:rPr>
        <w:t> </w:t>
      </w:r>
      <w:r>
        <w:rPr>
          <w:sz w:val="13"/>
        </w:rPr>
        <w:t>Australia,</w:t>
      </w:r>
      <w:r>
        <w:rPr>
          <w:spacing w:val="5"/>
          <w:sz w:val="13"/>
        </w:rPr>
        <w:t> </w:t>
      </w:r>
      <w:r>
        <w:rPr>
          <w:spacing w:val="2"/>
          <w:sz w:val="13"/>
        </w:rPr>
        <w:t>Barwick</w:t>
      </w:r>
      <w:r>
        <w:rPr>
          <w:spacing w:val="5"/>
          <w:sz w:val="13"/>
        </w:rPr>
        <w:t> </w:t>
      </w:r>
      <w:r>
        <w:rPr>
          <w:sz w:val="13"/>
        </w:rPr>
        <w:t>CJ,</w:t>
      </w:r>
      <w:r>
        <w:rPr>
          <w:spacing w:val="4"/>
          <w:sz w:val="13"/>
        </w:rPr>
        <w:t> </w:t>
      </w:r>
      <w:r>
        <w:rPr>
          <w:spacing w:val="2"/>
          <w:sz w:val="13"/>
        </w:rPr>
        <w:t>Gibbs,</w:t>
      </w:r>
      <w:r>
        <w:rPr>
          <w:spacing w:val="5"/>
          <w:sz w:val="13"/>
        </w:rPr>
        <w:t> </w:t>
      </w:r>
      <w:r>
        <w:rPr>
          <w:sz w:val="13"/>
        </w:rPr>
        <w:t>Stephen,</w:t>
      </w:r>
      <w:r>
        <w:rPr>
          <w:spacing w:val="5"/>
          <w:sz w:val="13"/>
        </w:rPr>
        <w:t> </w:t>
      </w:r>
      <w:r>
        <w:rPr>
          <w:sz w:val="13"/>
        </w:rPr>
        <w:t>Mason</w:t>
      </w:r>
      <w:r>
        <w:rPr>
          <w:spacing w:val="4"/>
          <w:sz w:val="13"/>
        </w:rPr>
        <w:t> </w:t>
      </w:r>
      <w:r>
        <w:rPr>
          <w:sz w:val="13"/>
        </w:rPr>
        <w:t>and</w:t>
      </w:r>
      <w:r>
        <w:rPr>
          <w:spacing w:val="5"/>
          <w:sz w:val="13"/>
        </w:rPr>
        <w:t> </w:t>
      </w:r>
      <w:r>
        <w:rPr>
          <w:sz w:val="13"/>
        </w:rPr>
        <w:t>Murphy</w:t>
      </w:r>
      <w:r>
        <w:rPr>
          <w:spacing w:val="5"/>
          <w:sz w:val="13"/>
        </w:rPr>
        <w:t> </w:t>
      </w:r>
      <w:r>
        <w:rPr>
          <w:sz w:val="13"/>
        </w:rPr>
        <w:t>JJ,</w:t>
      </w:r>
      <w:r>
        <w:rPr>
          <w:spacing w:val="5"/>
          <w:sz w:val="13"/>
        </w:rPr>
        <w:t> </w:t>
      </w:r>
      <w:r>
        <w:rPr>
          <w:sz w:val="13"/>
        </w:rPr>
        <w:t>8</w:t>
      </w:r>
      <w:r>
        <w:rPr>
          <w:spacing w:val="4"/>
          <w:sz w:val="13"/>
        </w:rPr>
        <w:t> </w:t>
      </w:r>
      <w:r>
        <w:rPr>
          <w:sz w:val="13"/>
        </w:rPr>
        <w:t>August</w:t>
      </w:r>
      <w:r>
        <w:rPr>
          <w:spacing w:val="5"/>
          <w:sz w:val="13"/>
        </w:rPr>
        <w:t> </w:t>
      </w:r>
      <w:r>
        <w:rPr>
          <w:sz w:val="13"/>
        </w:rPr>
        <w:t>1979)</w:t>
      </w:r>
    </w:p>
    <w:p>
      <w:pPr>
        <w:spacing w:line="160" w:lineRule="exact" w:before="0"/>
        <w:ind w:left="1761" w:right="0" w:firstLine="0"/>
        <w:jc w:val="left"/>
        <w:rPr>
          <w:sz w:val="13"/>
        </w:rPr>
      </w:pPr>
      <w:r>
        <w:rPr>
          <w:sz w:val="13"/>
        </w:rPr>
        <w:t>[15] (Gibbs J). See Victorian Law Reform Commission, </w:t>
      </w:r>
      <w:r>
        <w:rPr>
          <w:i/>
          <w:sz w:val="13"/>
        </w:rPr>
        <w:t>Jury Empanelment </w:t>
      </w:r>
      <w:r>
        <w:rPr>
          <w:sz w:val="13"/>
        </w:rPr>
        <w:t>(Report No 27, May 2014) 21 [3.6]–[3.8].</w:t>
      </w:r>
    </w:p>
    <w:p>
      <w:pPr>
        <w:pStyle w:val="ListParagraph"/>
        <w:numPr>
          <w:ilvl w:val="0"/>
          <w:numId w:val="112"/>
        </w:numPr>
        <w:tabs>
          <w:tab w:pos="1760" w:val="left" w:leader="none"/>
          <w:tab w:pos="1762" w:val="left" w:leader="none"/>
        </w:tabs>
        <w:spacing w:line="160" w:lineRule="exact" w:before="0" w:after="0"/>
        <w:ind w:left="1761" w:right="0" w:hanging="794"/>
        <w:jc w:val="left"/>
        <w:rPr>
          <w:sz w:val="13"/>
        </w:rPr>
      </w:pP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21</w:t>
      </w:r>
      <w:r>
        <w:rPr>
          <w:spacing w:val="4"/>
          <w:sz w:val="13"/>
        </w:rPr>
        <w:t> </w:t>
      </w:r>
      <w:r>
        <w:rPr>
          <w:sz w:val="13"/>
        </w:rPr>
        <w:t>[3.7].</w:t>
      </w:r>
    </w:p>
    <w:p>
      <w:pPr>
        <w:pStyle w:val="ListParagraph"/>
        <w:numPr>
          <w:ilvl w:val="0"/>
          <w:numId w:val="112"/>
        </w:numPr>
        <w:tabs>
          <w:tab w:pos="1760" w:val="left" w:leader="none"/>
          <w:tab w:pos="1762" w:val="left" w:leader="none"/>
        </w:tabs>
        <w:spacing w:line="160" w:lineRule="exact" w:before="0" w:after="0"/>
        <w:ind w:left="1761" w:right="0" w:hanging="794"/>
        <w:jc w:val="left"/>
        <w:rPr>
          <w:sz w:val="13"/>
        </w:rPr>
      </w:pPr>
      <w:r>
        <w:rPr>
          <w:sz w:val="13"/>
        </w:rPr>
        <w:t>Judicial</w:t>
      </w:r>
      <w:r>
        <w:rPr>
          <w:spacing w:val="6"/>
          <w:sz w:val="13"/>
        </w:rPr>
        <w:t> </w:t>
      </w:r>
      <w:r>
        <w:rPr>
          <w:sz w:val="13"/>
        </w:rPr>
        <w:t>College</w:t>
      </w:r>
      <w:r>
        <w:rPr>
          <w:spacing w:val="7"/>
          <w:sz w:val="13"/>
        </w:rPr>
        <w:t> </w:t>
      </w:r>
      <w:r>
        <w:rPr>
          <w:sz w:val="13"/>
        </w:rPr>
        <w:t>of</w:t>
      </w:r>
      <w:r>
        <w:rPr>
          <w:spacing w:val="6"/>
          <w:sz w:val="13"/>
        </w:rPr>
        <w:t> </w:t>
      </w:r>
      <w:r>
        <w:rPr>
          <w:sz w:val="13"/>
        </w:rPr>
        <w:t>Victoria,</w:t>
      </w:r>
      <w:r>
        <w:rPr>
          <w:spacing w:val="7"/>
          <w:sz w:val="13"/>
        </w:rPr>
        <w:t> </w:t>
      </w:r>
      <w:r>
        <w:rPr>
          <w:spacing w:val="2"/>
          <w:sz w:val="13"/>
        </w:rPr>
        <w:t>‘11.1</w:t>
      </w:r>
      <w:r>
        <w:rPr>
          <w:spacing w:val="6"/>
          <w:sz w:val="13"/>
        </w:rPr>
        <w:t> </w:t>
      </w:r>
      <w:r>
        <w:rPr>
          <w:sz w:val="13"/>
        </w:rPr>
        <w:t>Selecting</w:t>
      </w:r>
      <w:r>
        <w:rPr>
          <w:spacing w:val="7"/>
          <w:sz w:val="13"/>
        </w:rPr>
        <w:t> </w:t>
      </w:r>
      <w:r>
        <w:rPr>
          <w:sz w:val="13"/>
        </w:rPr>
        <w:t>a</w:t>
      </w:r>
      <w:r>
        <w:rPr>
          <w:spacing w:val="6"/>
          <w:sz w:val="13"/>
        </w:rPr>
        <w:t> </w:t>
      </w:r>
      <w:r>
        <w:rPr>
          <w:sz w:val="13"/>
        </w:rPr>
        <w:t>Jury’,</w:t>
      </w:r>
      <w:r>
        <w:rPr>
          <w:spacing w:val="7"/>
          <w:sz w:val="13"/>
        </w:rPr>
        <w:t> </w:t>
      </w:r>
      <w:r>
        <w:rPr>
          <w:i/>
          <w:sz w:val="13"/>
        </w:rPr>
        <w:t>Victorian</w:t>
      </w:r>
      <w:r>
        <w:rPr>
          <w:i/>
          <w:spacing w:val="6"/>
          <w:sz w:val="13"/>
        </w:rPr>
        <w:t> </w:t>
      </w:r>
      <w:r>
        <w:rPr>
          <w:i/>
          <w:sz w:val="13"/>
        </w:rPr>
        <w:t>Criminal</w:t>
      </w:r>
      <w:r>
        <w:rPr>
          <w:i/>
          <w:spacing w:val="7"/>
          <w:sz w:val="13"/>
        </w:rPr>
        <w:t> </w:t>
      </w:r>
      <w:r>
        <w:rPr>
          <w:i/>
          <w:sz w:val="13"/>
        </w:rPr>
        <w:t>Proceedings</w:t>
      </w:r>
      <w:r>
        <w:rPr>
          <w:i/>
          <w:spacing w:val="6"/>
          <w:sz w:val="13"/>
        </w:rPr>
        <w:t> </w:t>
      </w:r>
      <w:r>
        <w:rPr>
          <w:i/>
          <w:sz w:val="13"/>
        </w:rPr>
        <w:t>Manual</w:t>
      </w:r>
      <w:r>
        <w:rPr>
          <w:i/>
          <w:spacing w:val="6"/>
          <w:sz w:val="13"/>
        </w:rPr>
        <w:t> </w:t>
      </w:r>
      <w:r>
        <w:rPr>
          <w:sz w:val="13"/>
        </w:rPr>
        <w:t>(Online</w:t>
      </w:r>
      <w:r>
        <w:rPr>
          <w:spacing w:val="7"/>
          <w:sz w:val="13"/>
        </w:rPr>
        <w:t> </w:t>
      </w:r>
      <w:r>
        <w:rPr>
          <w:sz w:val="13"/>
        </w:rPr>
        <w:t>Manual,</w:t>
      </w:r>
      <w:r>
        <w:rPr>
          <w:spacing w:val="7"/>
          <w:sz w:val="13"/>
        </w:rPr>
        <w:t> </w:t>
      </w:r>
      <w:r>
        <w:rPr>
          <w:sz w:val="13"/>
        </w:rPr>
        <w:t>30</w:t>
      </w:r>
      <w:r>
        <w:rPr>
          <w:spacing w:val="6"/>
          <w:sz w:val="13"/>
        </w:rPr>
        <w:t> </w:t>
      </w:r>
      <w:r>
        <w:rPr>
          <w:sz w:val="13"/>
        </w:rPr>
        <w:t>August</w:t>
      </w:r>
      <w:r>
        <w:rPr>
          <w:spacing w:val="7"/>
          <w:sz w:val="13"/>
        </w:rPr>
        <w:t> </w:t>
      </w:r>
      <w:r>
        <w:rPr>
          <w:sz w:val="13"/>
        </w:rPr>
        <w:t>2021)</w:t>
      </w:r>
      <w:r>
        <w:rPr>
          <w:spacing w:val="6"/>
          <w:sz w:val="13"/>
        </w:rPr>
        <w:t> </w:t>
      </w:r>
      <w:r>
        <w:rPr>
          <w:sz w:val="13"/>
        </w:rPr>
        <w:t>[67]</w:t>
      </w:r>
    </w:p>
    <w:p>
      <w:pPr>
        <w:tabs>
          <w:tab w:pos="1761" w:val="left" w:leader="none"/>
        </w:tabs>
        <w:spacing w:line="213" w:lineRule="auto" w:before="0"/>
        <w:ind w:left="967" w:right="2828" w:firstLine="793"/>
        <w:jc w:val="left"/>
        <w:rPr>
          <w:sz w:val="13"/>
        </w:rPr>
      </w:pPr>
      <w:r>
        <w:rPr>
          <w:sz w:val="13"/>
        </w:rPr>
        <w:t>&lt;</w:t>
      </w:r>
      <w:hyperlink r:id="rId49">
        <w:r>
          <w:rPr>
            <w:sz w:val="13"/>
          </w:rPr>
          <w:t>https://www.judicialcollege.vic.edu.au/eManuals/VCPM/index.htm#27318.htm</w:t>
        </w:r>
      </w:hyperlink>
      <w:r>
        <w:rPr>
          <w:sz w:val="13"/>
        </w:rPr>
        <w:t>&gt;. 10</w:t>
        <w:tab/>
      </w:r>
      <w:r>
        <w:rPr>
          <w:i/>
          <w:sz w:val="13"/>
        </w:rPr>
        <w:t>R</w:t>
      </w:r>
      <w:r>
        <w:rPr>
          <w:i/>
          <w:spacing w:val="3"/>
          <w:sz w:val="13"/>
        </w:rPr>
        <w:t> </w:t>
      </w:r>
      <w:r>
        <w:rPr>
          <w:i/>
          <w:sz w:val="13"/>
        </w:rPr>
        <w:t>v</w:t>
      </w:r>
      <w:r>
        <w:rPr>
          <w:i/>
          <w:spacing w:val="4"/>
          <w:sz w:val="13"/>
        </w:rPr>
        <w:t> </w:t>
      </w:r>
      <w:r>
        <w:rPr>
          <w:i/>
          <w:spacing w:val="2"/>
          <w:sz w:val="13"/>
        </w:rPr>
        <w:t>Cherry</w:t>
      </w:r>
      <w:r>
        <w:rPr>
          <w:i/>
          <w:spacing w:val="3"/>
          <w:sz w:val="13"/>
        </w:rPr>
        <w:t> </w:t>
      </w:r>
      <w:r>
        <w:rPr>
          <w:sz w:val="13"/>
        </w:rPr>
        <w:t>[2005]</w:t>
      </w:r>
      <w:r>
        <w:rPr>
          <w:spacing w:val="4"/>
          <w:sz w:val="13"/>
        </w:rPr>
        <w:t> </w:t>
      </w:r>
      <w:r>
        <w:rPr>
          <w:sz w:val="13"/>
        </w:rPr>
        <w:t>VSCA</w:t>
      </w:r>
      <w:r>
        <w:rPr>
          <w:spacing w:val="4"/>
          <w:sz w:val="13"/>
        </w:rPr>
        <w:t> </w:t>
      </w:r>
      <w:r>
        <w:rPr>
          <w:spacing w:val="2"/>
          <w:sz w:val="13"/>
        </w:rPr>
        <w:t>89,</w:t>
      </w:r>
      <w:r>
        <w:rPr>
          <w:spacing w:val="3"/>
          <w:sz w:val="13"/>
        </w:rPr>
        <w:t> </w:t>
      </w:r>
      <w:r>
        <w:rPr>
          <w:spacing w:val="2"/>
          <w:sz w:val="13"/>
        </w:rPr>
        <w:t>(2005)</w:t>
      </w:r>
      <w:r>
        <w:rPr>
          <w:spacing w:val="4"/>
          <w:sz w:val="13"/>
        </w:rPr>
        <w:t> </w:t>
      </w:r>
      <w:r>
        <w:rPr>
          <w:sz w:val="13"/>
        </w:rPr>
        <w:t>12</w:t>
      </w:r>
      <w:r>
        <w:rPr>
          <w:spacing w:val="4"/>
          <w:sz w:val="13"/>
        </w:rPr>
        <w:t> </w:t>
      </w:r>
      <w:r>
        <w:rPr>
          <w:sz w:val="13"/>
        </w:rPr>
        <w:t>VR</w:t>
      </w:r>
      <w:r>
        <w:rPr>
          <w:spacing w:val="4"/>
          <w:sz w:val="13"/>
        </w:rPr>
        <w:t> </w:t>
      </w:r>
      <w:r>
        <w:rPr>
          <w:sz w:val="13"/>
        </w:rPr>
        <w:t>122;</w:t>
      </w:r>
      <w:r>
        <w:rPr>
          <w:spacing w:val="3"/>
          <w:sz w:val="13"/>
        </w:rPr>
        <w:t> </w:t>
      </w:r>
      <w:r>
        <w:rPr>
          <w:i/>
          <w:sz w:val="13"/>
        </w:rPr>
        <w:t>Johns</w:t>
      </w:r>
      <w:r>
        <w:rPr>
          <w:i/>
          <w:spacing w:val="4"/>
          <w:sz w:val="13"/>
        </w:rPr>
        <w:t> </w:t>
      </w:r>
      <w:r>
        <w:rPr>
          <w:i/>
          <w:sz w:val="13"/>
        </w:rPr>
        <w:t>v</w:t>
      </w:r>
      <w:r>
        <w:rPr>
          <w:i/>
          <w:spacing w:val="4"/>
          <w:sz w:val="13"/>
        </w:rPr>
        <w:t> </w:t>
      </w:r>
      <w:r>
        <w:rPr>
          <w:i/>
          <w:sz w:val="13"/>
        </w:rPr>
        <w:t>The</w:t>
      </w:r>
      <w:r>
        <w:rPr>
          <w:i/>
          <w:spacing w:val="3"/>
          <w:sz w:val="13"/>
        </w:rPr>
        <w:t> </w:t>
      </w:r>
      <w:r>
        <w:rPr>
          <w:i/>
          <w:spacing w:val="2"/>
          <w:sz w:val="13"/>
        </w:rPr>
        <w:t>Queen</w:t>
      </w:r>
      <w:r>
        <w:rPr>
          <w:i/>
          <w:spacing w:val="4"/>
          <w:sz w:val="13"/>
        </w:rPr>
        <w:t> </w:t>
      </w:r>
      <w:r>
        <w:rPr>
          <w:sz w:val="13"/>
        </w:rPr>
        <w:t>(1979)</w:t>
      </w:r>
      <w:r>
        <w:rPr>
          <w:spacing w:val="3"/>
          <w:sz w:val="13"/>
        </w:rPr>
        <w:t> </w:t>
      </w:r>
      <w:r>
        <w:rPr>
          <w:spacing w:val="2"/>
          <w:sz w:val="13"/>
        </w:rPr>
        <w:t>141</w:t>
      </w:r>
      <w:r>
        <w:rPr>
          <w:spacing w:val="4"/>
          <w:sz w:val="13"/>
        </w:rPr>
        <w:t> </w:t>
      </w:r>
      <w:r>
        <w:rPr>
          <w:sz w:val="13"/>
        </w:rPr>
        <w:t>CLR</w:t>
      </w:r>
      <w:r>
        <w:rPr>
          <w:spacing w:val="4"/>
          <w:sz w:val="13"/>
        </w:rPr>
        <w:t> </w:t>
      </w:r>
      <w:r>
        <w:rPr>
          <w:spacing w:val="2"/>
          <w:sz w:val="13"/>
        </w:rPr>
        <w:t>409.</w:t>
      </w:r>
    </w:p>
    <w:p>
      <w:pPr>
        <w:tabs>
          <w:tab w:pos="1760" w:val="left" w:leader="none"/>
        </w:tabs>
        <w:spacing w:line="153" w:lineRule="exact" w:before="0"/>
        <w:ind w:left="967" w:right="0" w:firstLine="0"/>
        <w:jc w:val="left"/>
        <w:rPr>
          <w:sz w:val="13"/>
        </w:rPr>
      </w:pPr>
      <w:r>
        <w:rPr>
          <w:sz w:val="13"/>
        </w:rPr>
        <w:t>11</w:t>
        <w:tab/>
        <w:t>Judicial</w:t>
      </w:r>
      <w:r>
        <w:rPr>
          <w:spacing w:val="6"/>
          <w:sz w:val="13"/>
        </w:rPr>
        <w:t> </w:t>
      </w:r>
      <w:r>
        <w:rPr>
          <w:sz w:val="13"/>
        </w:rPr>
        <w:t>College</w:t>
      </w:r>
      <w:r>
        <w:rPr>
          <w:spacing w:val="7"/>
          <w:sz w:val="13"/>
        </w:rPr>
        <w:t> </w:t>
      </w:r>
      <w:r>
        <w:rPr>
          <w:sz w:val="13"/>
        </w:rPr>
        <w:t>of</w:t>
      </w:r>
      <w:r>
        <w:rPr>
          <w:spacing w:val="7"/>
          <w:sz w:val="13"/>
        </w:rPr>
        <w:t> </w:t>
      </w:r>
      <w:r>
        <w:rPr>
          <w:sz w:val="13"/>
        </w:rPr>
        <w:t>Victoria,</w:t>
      </w:r>
      <w:r>
        <w:rPr>
          <w:spacing w:val="6"/>
          <w:sz w:val="13"/>
        </w:rPr>
        <w:t> </w:t>
      </w:r>
      <w:r>
        <w:rPr>
          <w:spacing w:val="2"/>
          <w:sz w:val="13"/>
        </w:rPr>
        <w:t>‘11.1</w:t>
      </w:r>
      <w:r>
        <w:rPr>
          <w:spacing w:val="7"/>
          <w:sz w:val="13"/>
        </w:rPr>
        <w:t> </w:t>
      </w:r>
      <w:r>
        <w:rPr>
          <w:sz w:val="13"/>
        </w:rPr>
        <w:t>Selecting</w:t>
      </w:r>
      <w:r>
        <w:rPr>
          <w:spacing w:val="7"/>
          <w:sz w:val="13"/>
        </w:rPr>
        <w:t> </w:t>
      </w:r>
      <w:r>
        <w:rPr>
          <w:sz w:val="13"/>
        </w:rPr>
        <w:t>a</w:t>
      </w:r>
      <w:r>
        <w:rPr>
          <w:spacing w:val="6"/>
          <w:sz w:val="13"/>
        </w:rPr>
        <w:t> </w:t>
      </w:r>
      <w:r>
        <w:rPr>
          <w:sz w:val="13"/>
        </w:rPr>
        <w:t>Jury’,</w:t>
      </w:r>
      <w:r>
        <w:rPr>
          <w:spacing w:val="7"/>
          <w:sz w:val="13"/>
        </w:rPr>
        <w:t> </w:t>
      </w:r>
      <w:r>
        <w:rPr>
          <w:i/>
          <w:sz w:val="13"/>
        </w:rPr>
        <w:t>Victorian</w:t>
      </w:r>
      <w:r>
        <w:rPr>
          <w:i/>
          <w:spacing w:val="6"/>
          <w:sz w:val="13"/>
        </w:rPr>
        <w:t> </w:t>
      </w:r>
      <w:r>
        <w:rPr>
          <w:i/>
          <w:sz w:val="13"/>
        </w:rPr>
        <w:t>Criminal</w:t>
      </w:r>
      <w:r>
        <w:rPr>
          <w:i/>
          <w:spacing w:val="7"/>
          <w:sz w:val="13"/>
        </w:rPr>
        <w:t> </w:t>
      </w:r>
      <w:r>
        <w:rPr>
          <w:i/>
          <w:sz w:val="13"/>
        </w:rPr>
        <w:t>Proceedings</w:t>
      </w:r>
      <w:r>
        <w:rPr>
          <w:i/>
          <w:spacing w:val="7"/>
          <w:sz w:val="13"/>
        </w:rPr>
        <w:t> </w:t>
      </w:r>
      <w:r>
        <w:rPr>
          <w:i/>
          <w:sz w:val="13"/>
        </w:rPr>
        <w:t>Manual</w:t>
      </w:r>
      <w:r>
        <w:rPr>
          <w:i/>
          <w:spacing w:val="6"/>
          <w:sz w:val="13"/>
        </w:rPr>
        <w:t> </w:t>
      </w:r>
      <w:r>
        <w:rPr>
          <w:sz w:val="13"/>
        </w:rPr>
        <w:t>(Online</w:t>
      </w:r>
      <w:r>
        <w:rPr>
          <w:spacing w:val="7"/>
          <w:sz w:val="13"/>
        </w:rPr>
        <w:t> </w:t>
      </w:r>
      <w:r>
        <w:rPr>
          <w:sz w:val="13"/>
        </w:rPr>
        <w:t>Manual,</w:t>
      </w:r>
      <w:r>
        <w:rPr>
          <w:spacing w:val="6"/>
          <w:sz w:val="13"/>
        </w:rPr>
        <w:t> </w:t>
      </w:r>
      <w:r>
        <w:rPr>
          <w:sz w:val="13"/>
        </w:rPr>
        <w:t>30</w:t>
      </w:r>
      <w:r>
        <w:rPr>
          <w:spacing w:val="7"/>
          <w:sz w:val="13"/>
        </w:rPr>
        <w:t> </w:t>
      </w:r>
      <w:r>
        <w:rPr>
          <w:sz w:val="13"/>
        </w:rPr>
        <w:t>August</w:t>
      </w:r>
      <w:r>
        <w:rPr>
          <w:spacing w:val="7"/>
          <w:sz w:val="13"/>
        </w:rPr>
        <w:t> </w:t>
      </w:r>
      <w:r>
        <w:rPr>
          <w:sz w:val="13"/>
        </w:rPr>
        <w:t>2021)</w:t>
      </w:r>
      <w:r>
        <w:rPr>
          <w:spacing w:val="6"/>
          <w:sz w:val="13"/>
        </w:rPr>
        <w:t> </w:t>
      </w:r>
      <w:r>
        <w:rPr>
          <w:sz w:val="13"/>
        </w:rPr>
        <w:t>[65]</w:t>
      </w:r>
    </w:p>
    <w:p>
      <w:pPr>
        <w:spacing w:line="160" w:lineRule="exact" w:before="0"/>
        <w:ind w:left="1761" w:right="0" w:firstLine="0"/>
        <w:jc w:val="left"/>
        <w:rPr>
          <w:sz w:val="13"/>
        </w:rPr>
      </w:pPr>
      <w:r>
        <w:rPr>
          <w:sz w:val="13"/>
        </w:rPr>
        <w:t>&lt;</w:t>
      </w:r>
      <w:hyperlink r:id="rId49">
        <w:r>
          <w:rPr>
            <w:sz w:val="13"/>
          </w:rPr>
          <w:t>https://www.judicialcollege.vic.edu.au/eManuals/VCPM/index.htm#27318.htm</w:t>
        </w:r>
      </w:hyperlink>
      <w:r>
        <w:rPr>
          <w:sz w:val="13"/>
        </w:rPr>
        <w:t>&gt;, citing </w:t>
      </w:r>
      <w:r>
        <w:rPr>
          <w:i/>
          <w:sz w:val="13"/>
        </w:rPr>
        <w:t>Johns v The Queen </w:t>
      </w:r>
      <w:r>
        <w:rPr>
          <w:sz w:val="13"/>
        </w:rPr>
        <w:t>(1979) 141 CLR 409;</w:t>
      </w:r>
    </w:p>
    <w:p>
      <w:pPr>
        <w:spacing w:line="170" w:lineRule="exact" w:before="0"/>
        <w:ind w:left="1760" w:right="0" w:firstLine="0"/>
        <w:jc w:val="left"/>
        <w:rPr>
          <w:sz w:val="13"/>
        </w:rPr>
      </w:pPr>
      <w:r>
        <w:rPr>
          <w:i/>
          <w:sz w:val="13"/>
        </w:rPr>
        <w:t>R v Harrington </w:t>
      </w:r>
      <w:r>
        <w:rPr>
          <w:sz w:val="13"/>
        </w:rPr>
        <w:t>(1977) 64 Cr App R 1, (Court of Appeal, Shaw LJ, Swanwick and Mars-Jones JJ, 17 May 1976).</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38"/>
        </w:rPr>
      </w:pPr>
    </w:p>
    <w:p>
      <w:pPr>
        <w:spacing w:before="0"/>
        <w:ind w:left="572" w:right="0" w:firstLine="0"/>
        <w:jc w:val="left"/>
        <w:rPr>
          <w:b/>
          <w:sz w:val="24"/>
        </w:rPr>
      </w:pPr>
      <w:r>
        <w:rPr>
          <w:b/>
          <w:color w:val="37617A"/>
          <w:sz w:val="24"/>
        </w:rPr>
        <w:t>193</w:t>
      </w:r>
    </w:p>
    <w:p>
      <w:pPr>
        <w:spacing w:after="0"/>
        <w:jc w:val="left"/>
        <w:rPr>
          <w:sz w:val="24"/>
        </w:rPr>
        <w:sectPr>
          <w:type w:val="continuous"/>
          <w:pgSz w:w="11910" w:h="16840"/>
          <w:pgMar w:top="620" w:bottom="280" w:left="620" w:right="380"/>
          <w:cols w:num="2" w:equalWidth="0">
            <w:col w:w="9688" w:space="40"/>
            <w:col w:w="1182"/>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1" w:val="left" w:leader="none"/>
          <w:tab w:pos="1762" w:val="left" w:leader="none"/>
        </w:tabs>
        <w:spacing w:line="206" w:lineRule="auto" w:before="0" w:after="0"/>
        <w:ind w:left="1761" w:right="1721" w:hanging="794"/>
        <w:jc w:val="left"/>
        <w:rPr>
          <w:sz w:val="20"/>
        </w:rPr>
      </w:pPr>
      <w:bookmarkStart w:name="_bookmark142" w:id="341"/>
      <w:bookmarkEnd w:id="341"/>
      <w:r>
        <w:rPr/>
      </w:r>
      <w:bookmarkStart w:name="_bookmark142" w:id="342"/>
      <w:bookmarkEnd w:id="342"/>
      <w:r>
        <w:rPr>
          <w:sz w:val="20"/>
        </w:rPr>
        <w:t>I</w:t>
      </w:r>
      <w:r>
        <w:rPr>
          <w:sz w:val="20"/>
        </w:rPr>
        <w:t>n</w:t>
      </w:r>
      <w:r>
        <w:rPr>
          <w:spacing w:val="-11"/>
          <w:sz w:val="20"/>
        </w:rPr>
        <w:t> </w:t>
      </w:r>
      <w:r>
        <w:rPr>
          <w:sz w:val="20"/>
        </w:rPr>
        <w:t>2014</w:t>
      </w:r>
      <w:r>
        <w:rPr>
          <w:spacing w:val="-10"/>
          <w:sz w:val="20"/>
        </w:rPr>
        <w:t> </w:t>
      </w:r>
      <w:r>
        <w:rPr>
          <w:sz w:val="20"/>
        </w:rPr>
        <w:t>the</w:t>
      </w:r>
      <w:r>
        <w:rPr>
          <w:spacing w:val="-11"/>
          <w:sz w:val="20"/>
        </w:rPr>
        <w:t> </w:t>
      </w:r>
      <w:r>
        <w:rPr>
          <w:sz w:val="20"/>
        </w:rPr>
        <w:t>Commission</w:t>
      </w:r>
      <w:r>
        <w:rPr>
          <w:spacing w:val="-10"/>
          <w:sz w:val="20"/>
        </w:rPr>
        <w:t> </w:t>
      </w:r>
      <w:r>
        <w:rPr>
          <w:sz w:val="20"/>
        </w:rPr>
        <w:t>published</w:t>
      </w:r>
      <w:r>
        <w:rPr>
          <w:spacing w:val="-11"/>
          <w:sz w:val="20"/>
        </w:rPr>
        <w:t> </w:t>
      </w:r>
      <w:r>
        <w:rPr>
          <w:sz w:val="20"/>
        </w:rPr>
        <w:t>its</w:t>
      </w:r>
      <w:r>
        <w:rPr>
          <w:spacing w:val="-10"/>
          <w:sz w:val="20"/>
        </w:rPr>
        <w:t> </w:t>
      </w:r>
      <w:r>
        <w:rPr>
          <w:sz w:val="20"/>
        </w:rPr>
        <w:t>report,</w:t>
      </w:r>
      <w:r>
        <w:rPr>
          <w:spacing w:val="-11"/>
          <w:sz w:val="20"/>
        </w:rPr>
        <w:t> </w:t>
      </w:r>
      <w:r>
        <w:rPr>
          <w:i/>
          <w:sz w:val="20"/>
        </w:rPr>
        <w:t>Jury</w:t>
      </w:r>
      <w:r>
        <w:rPr>
          <w:i/>
          <w:spacing w:val="-10"/>
          <w:sz w:val="20"/>
        </w:rPr>
        <w:t> </w:t>
      </w:r>
      <w:r>
        <w:rPr>
          <w:i/>
          <w:sz w:val="20"/>
        </w:rPr>
        <w:t>Empanelment</w:t>
      </w:r>
      <w:r>
        <w:rPr>
          <w:sz w:val="20"/>
        </w:rPr>
        <w:t>.</w:t>
      </w:r>
      <w:r>
        <w:rPr>
          <w:spacing w:val="-11"/>
          <w:sz w:val="20"/>
        </w:rPr>
        <w:t> </w:t>
      </w:r>
      <w:r>
        <w:rPr>
          <w:sz w:val="20"/>
        </w:rPr>
        <w:t>That</w:t>
      </w:r>
      <w:r>
        <w:rPr>
          <w:spacing w:val="-10"/>
          <w:sz w:val="20"/>
        </w:rPr>
        <w:t> </w:t>
      </w:r>
      <w:r>
        <w:rPr>
          <w:sz w:val="20"/>
        </w:rPr>
        <w:t>report</w:t>
      </w:r>
      <w:r>
        <w:rPr>
          <w:spacing w:val="-11"/>
          <w:sz w:val="20"/>
        </w:rPr>
        <w:t> </w:t>
      </w:r>
      <w:r>
        <w:rPr>
          <w:sz w:val="20"/>
        </w:rPr>
        <w:t>made recommendations</w:t>
      </w:r>
      <w:r>
        <w:rPr>
          <w:spacing w:val="-7"/>
          <w:sz w:val="20"/>
        </w:rPr>
        <w:t> </w:t>
      </w:r>
      <w:r>
        <w:rPr>
          <w:sz w:val="20"/>
        </w:rPr>
        <w:t>about</w:t>
      </w:r>
      <w:r>
        <w:rPr>
          <w:spacing w:val="-6"/>
          <w:sz w:val="20"/>
        </w:rPr>
        <w:t> </w:t>
      </w:r>
      <w:r>
        <w:rPr>
          <w:sz w:val="20"/>
        </w:rPr>
        <w:t>three</w:t>
      </w:r>
      <w:r>
        <w:rPr>
          <w:spacing w:val="-6"/>
          <w:sz w:val="20"/>
        </w:rPr>
        <w:t> </w:t>
      </w:r>
      <w:r>
        <w:rPr>
          <w:sz w:val="20"/>
        </w:rPr>
        <w:t>aspects</w:t>
      </w:r>
      <w:r>
        <w:rPr>
          <w:spacing w:val="-6"/>
          <w:sz w:val="20"/>
        </w:rPr>
        <w:t> </w:t>
      </w:r>
      <w:r>
        <w:rPr>
          <w:sz w:val="20"/>
        </w:rPr>
        <w:t>of</w:t>
      </w:r>
      <w:r>
        <w:rPr>
          <w:spacing w:val="-7"/>
          <w:sz w:val="20"/>
        </w:rPr>
        <w:t> </w:t>
      </w:r>
      <w:r>
        <w:rPr>
          <w:sz w:val="20"/>
        </w:rPr>
        <w:t>the</w:t>
      </w:r>
      <w:r>
        <w:rPr>
          <w:spacing w:val="-6"/>
          <w:sz w:val="20"/>
        </w:rPr>
        <w:t> </w:t>
      </w:r>
      <w:r>
        <w:rPr>
          <w:sz w:val="20"/>
        </w:rPr>
        <w:t>jury</w:t>
      </w:r>
      <w:r>
        <w:rPr>
          <w:spacing w:val="-6"/>
          <w:sz w:val="20"/>
        </w:rPr>
        <w:t> </w:t>
      </w:r>
      <w:r>
        <w:rPr>
          <w:sz w:val="20"/>
        </w:rPr>
        <w:t>empanelment</w:t>
      </w:r>
      <w:r>
        <w:rPr>
          <w:spacing w:val="-6"/>
          <w:sz w:val="20"/>
        </w:rPr>
        <w:t> </w:t>
      </w:r>
      <w:r>
        <w:rPr>
          <w:spacing w:val="-3"/>
          <w:sz w:val="20"/>
        </w:rPr>
        <w:t>process:</w:t>
      </w:r>
    </w:p>
    <w:p>
      <w:pPr>
        <w:pStyle w:val="ListParagraph"/>
        <w:numPr>
          <w:ilvl w:val="0"/>
          <w:numId w:val="113"/>
        </w:numPr>
        <w:tabs>
          <w:tab w:pos="2157" w:val="left" w:leader="none"/>
          <w:tab w:pos="2158" w:val="left" w:leader="none"/>
        </w:tabs>
        <w:spacing w:line="240" w:lineRule="auto" w:before="90" w:after="0"/>
        <w:ind w:left="2157" w:right="0" w:hanging="396"/>
        <w:jc w:val="left"/>
        <w:rPr>
          <w:sz w:val="20"/>
        </w:rPr>
      </w:pPr>
      <w:r>
        <w:rPr>
          <w:sz w:val="20"/>
        </w:rPr>
        <w:t>peremptory challenges and the </w:t>
      </w:r>
      <w:r>
        <w:rPr>
          <w:spacing w:val="-3"/>
          <w:sz w:val="20"/>
        </w:rPr>
        <w:t>Crown </w:t>
      </w:r>
      <w:r>
        <w:rPr>
          <w:sz w:val="20"/>
        </w:rPr>
        <w:t>right to stand</w:t>
      </w:r>
      <w:r>
        <w:rPr>
          <w:spacing w:val="-16"/>
          <w:sz w:val="20"/>
        </w:rPr>
        <w:t> </w:t>
      </w:r>
      <w:r>
        <w:rPr>
          <w:sz w:val="20"/>
        </w:rPr>
        <w:t>aside</w:t>
      </w:r>
    </w:p>
    <w:p>
      <w:pPr>
        <w:pStyle w:val="ListParagraph"/>
        <w:numPr>
          <w:ilvl w:val="0"/>
          <w:numId w:val="113"/>
        </w:numPr>
        <w:tabs>
          <w:tab w:pos="2157" w:val="left" w:leader="none"/>
          <w:tab w:pos="2158" w:val="left" w:leader="none"/>
        </w:tabs>
        <w:spacing w:line="240" w:lineRule="auto" w:before="48" w:after="0"/>
        <w:ind w:left="2157" w:right="0" w:hanging="396"/>
        <w:jc w:val="left"/>
        <w:rPr>
          <w:sz w:val="20"/>
        </w:rPr>
      </w:pPr>
      <w:r>
        <w:rPr>
          <w:sz w:val="20"/>
        </w:rPr>
        <w:t>calling of the panel in court </w:t>
      </w:r>
      <w:r>
        <w:rPr>
          <w:spacing w:val="-3"/>
          <w:sz w:val="20"/>
        </w:rPr>
        <w:t>by </w:t>
      </w:r>
      <w:r>
        <w:rPr>
          <w:sz w:val="20"/>
        </w:rPr>
        <w:t>name or</w:t>
      </w:r>
      <w:r>
        <w:rPr>
          <w:spacing w:val="-17"/>
          <w:sz w:val="20"/>
        </w:rPr>
        <w:t> </w:t>
      </w:r>
      <w:r>
        <w:rPr>
          <w:sz w:val="20"/>
        </w:rPr>
        <w:t>number</w:t>
      </w:r>
    </w:p>
    <w:p>
      <w:pPr>
        <w:pStyle w:val="ListParagraph"/>
        <w:numPr>
          <w:ilvl w:val="0"/>
          <w:numId w:val="113"/>
        </w:numPr>
        <w:tabs>
          <w:tab w:pos="2157" w:val="left" w:leader="none"/>
          <w:tab w:pos="2158" w:val="left" w:leader="none"/>
        </w:tabs>
        <w:spacing w:line="240" w:lineRule="auto" w:before="47" w:after="0"/>
        <w:ind w:left="2157" w:right="0" w:hanging="396"/>
        <w:jc w:val="left"/>
        <w:rPr>
          <w:sz w:val="20"/>
        </w:rPr>
      </w:pPr>
      <w:r>
        <w:rPr>
          <w:sz w:val="20"/>
        </w:rPr>
        <w:t>the use of additional</w:t>
      </w:r>
      <w:r>
        <w:rPr>
          <w:spacing w:val="-9"/>
          <w:sz w:val="20"/>
        </w:rPr>
        <w:t> </w:t>
      </w:r>
      <w:r>
        <w:rPr>
          <w:sz w:val="20"/>
        </w:rPr>
        <w:t>jurors.</w:t>
      </w:r>
    </w:p>
    <w:p>
      <w:pPr>
        <w:pStyle w:val="ListParagraph"/>
        <w:numPr>
          <w:ilvl w:val="1"/>
          <w:numId w:val="12"/>
        </w:numPr>
        <w:tabs>
          <w:tab w:pos="1761" w:val="left" w:leader="none"/>
          <w:tab w:pos="1762" w:val="left" w:leader="none"/>
        </w:tabs>
        <w:spacing w:line="206" w:lineRule="auto" w:before="80" w:after="0"/>
        <w:ind w:left="1761" w:right="1356" w:hanging="794"/>
        <w:jc w:val="left"/>
        <w:rPr>
          <w:sz w:val="20"/>
        </w:rPr>
      </w:pPr>
      <w:r>
        <w:rPr>
          <w:sz w:val="20"/>
        </w:rPr>
        <w:t>The</w:t>
      </w:r>
      <w:r>
        <w:rPr>
          <w:spacing w:val="-14"/>
          <w:sz w:val="20"/>
        </w:rPr>
        <w:t> </w:t>
      </w:r>
      <w:r>
        <w:rPr>
          <w:sz w:val="20"/>
        </w:rPr>
        <w:t>Commission</w:t>
      </w:r>
      <w:r>
        <w:rPr>
          <w:spacing w:val="-14"/>
          <w:sz w:val="20"/>
        </w:rPr>
        <w:t> </w:t>
      </w:r>
      <w:r>
        <w:rPr>
          <w:sz w:val="20"/>
        </w:rPr>
        <w:t>examined</w:t>
      </w:r>
      <w:r>
        <w:rPr>
          <w:spacing w:val="-13"/>
          <w:sz w:val="20"/>
        </w:rPr>
        <w:t> </w:t>
      </w:r>
      <w:r>
        <w:rPr>
          <w:sz w:val="20"/>
        </w:rPr>
        <w:t>whether</w:t>
      </w:r>
      <w:r>
        <w:rPr>
          <w:spacing w:val="-14"/>
          <w:sz w:val="20"/>
        </w:rPr>
        <w:t> </w:t>
      </w:r>
      <w:r>
        <w:rPr>
          <w:sz w:val="20"/>
        </w:rPr>
        <w:t>peremptory</w:t>
      </w:r>
      <w:r>
        <w:rPr>
          <w:spacing w:val="-14"/>
          <w:sz w:val="20"/>
        </w:rPr>
        <w:t> </w:t>
      </w:r>
      <w:r>
        <w:rPr>
          <w:sz w:val="20"/>
        </w:rPr>
        <w:t>challenges</w:t>
      </w:r>
      <w:r>
        <w:rPr>
          <w:spacing w:val="-14"/>
          <w:sz w:val="20"/>
        </w:rPr>
        <w:t> </w:t>
      </w:r>
      <w:r>
        <w:rPr>
          <w:sz w:val="20"/>
        </w:rPr>
        <w:t>should</w:t>
      </w:r>
      <w:r>
        <w:rPr>
          <w:spacing w:val="-13"/>
          <w:sz w:val="20"/>
        </w:rPr>
        <w:t> </w:t>
      </w:r>
      <w:r>
        <w:rPr>
          <w:sz w:val="20"/>
        </w:rPr>
        <w:t>be</w:t>
      </w:r>
      <w:r>
        <w:rPr>
          <w:spacing w:val="-14"/>
          <w:sz w:val="20"/>
        </w:rPr>
        <w:t> </w:t>
      </w:r>
      <w:r>
        <w:rPr>
          <w:sz w:val="20"/>
        </w:rPr>
        <w:t>retained</w:t>
      </w:r>
      <w:r>
        <w:rPr>
          <w:spacing w:val="-14"/>
          <w:sz w:val="20"/>
        </w:rPr>
        <w:t> </w:t>
      </w:r>
      <w:r>
        <w:rPr>
          <w:sz w:val="20"/>
        </w:rPr>
        <w:t>and</w:t>
      </w:r>
      <w:r>
        <w:rPr>
          <w:spacing w:val="-13"/>
          <w:sz w:val="20"/>
        </w:rPr>
        <w:t> </w:t>
      </w:r>
      <w:r>
        <w:rPr>
          <w:sz w:val="20"/>
        </w:rPr>
        <w:t>if </w:t>
      </w:r>
      <w:r>
        <w:rPr>
          <w:spacing w:val="-2"/>
          <w:sz w:val="20"/>
        </w:rPr>
        <w:t>so, </w:t>
      </w:r>
      <w:r>
        <w:rPr>
          <w:spacing w:val="-3"/>
          <w:sz w:val="20"/>
        </w:rPr>
        <w:t>how </w:t>
      </w:r>
      <w:r>
        <w:rPr>
          <w:sz w:val="20"/>
        </w:rPr>
        <w:t>they should</w:t>
      </w:r>
      <w:r>
        <w:rPr>
          <w:spacing w:val="-13"/>
          <w:sz w:val="20"/>
        </w:rPr>
        <w:t> </w:t>
      </w:r>
      <w:r>
        <w:rPr>
          <w:sz w:val="20"/>
        </w:rPr>
        <w:t>operate.</w:t>
      </w:r>
    </w:p>
    <w:p>
      <w:pPr>
        <w:pStyle w:val="ListParagraph"/>
        <w:numPr>
          <w:ilvl w:val="1"/>
          <w:numId w:val="12"/>
        </w:numPr>
        <w:tabs>
          <w:tab w:pos="1761" w:val="left" w:leader="none"/>
          <w:tab w:pos="1762" w:val="left" w:leader="none"/>
        </w:tabs>
        <w:spacing w:line="206" w:lineRule="auto" w:before="123" w:after="0"/>
        <w:ind w:left="1761" w:right="1346" w:hanging="794"/>
        <w:jc w:val="left"/>
        <w:rPr>
          <w:sz w:val="11"/>
        </w:rPr>
      </w:pPr>
      <w:r>
        <w:rPr>
          <w:sz w:val="20"/>
        </w:rPr>
        <w:t>The report noted a number of negative aspects of peremptory challenges. </w:t>
      </w:r>
      <w:r>
        <w:rPr>
          <w:spacing w:val="-5"/>
          <w:sz w:val="20"/>
        </w:rPr>
        <w:t>However, </w:t>
      </w:r>
      <w:r>
        <w:rPr>
          <w:sz w:val="20"/>
        </w:rPr>
        <w:t>the</w:t>
      </w:r>
      <w:r>
        <w:rPr>
          <w:spacing w:val="-15"/>
          <w:sz w:val="20"/>
        </w:rPr>
        <w:t> </w:t>
      </w:r>
      <w:r>
        <w:rPr>
          <w:sz w:val="20"/>
        </w:rPr>
        <w:t>Commission</w:t>
      </w:r>
      <w:r>
        <w:rPr>
          <w:spacing w:val="-15"/>
          <w:sz w:val="20"/>
        </w:rPr>
        <w:t> </w:t>
      </w:r>
      <w:r>
        <w:rPr>
          <w:sz w:val="20"/>
        </w:rPr>
        <w:t>concluded</w:t>
      </w:r>
      <w:r>
        <w:rPr>
          <w:spacing w:val="-14"/>
          <w:sz w:val="20"/>
        </w:rPr>
        <w:t> </w:t>
      </w:r>
      <w:r>
        <w:rPr>
          <w:sz w:val="20"/>
        </w:rPr>
        <w:t>that</w:t>
      </w:r>
      <w:r>
        <w:rPr>
          <w:spacing w:val="-15"/>
          <w:sz w:val="20"/>
        </w:rPr>
        <w:t> </w:t>
      </w:r>
      <w:r>
        <w:rPr>
          <w:sz w:val="20"/>
        </w:rPr>
        <w:t>peremptory</w:t>
      </w:r>
      <w:r>
        <w:rPr>
          <w:spacing w:val="-14"/>
          <w:sz w:val="20"/>
        </w:rPr>
        <w:t> </w:t>
      </w:r>
      <w:r>
        <w:rPr>
          <w:sz w:val="20"/>
        </w:rPr>
        <w:t>challenges</w:t>
      </w:r>
      <w:r>
        <w:rPr>
          <w:spacing w:val="-15"/>
          <w:sz w:val="20"/>
        </w:rPr>
        <w:t> </w:t>
      </w:r>
      <w:r>
        <w:rPr>
          <w:spacing w:val="-3"/>
          <w:sz w:val="20"/>
        </w:rPr>
        <w:t>are</w:t>
      </w:r>
      <w:r>
        <w:rPr>
          <w:spacing w:val="-14"/>
          <w:sz w:val="20"/>
        </w:rPr>
        <w:t> </w:t>
      </w:r>
      <w:r>
        <w:rPr>
          <w:sz w:val="20"/>
        </w:rPr>
        <w:t>necessary.</w:t>
      </w:r>
      <w:r>
        <w:rPr>
          <w:spacing w:val="-15"/>
          <w:sz w:val="20"/>
        </w:rPr>
        <w:t> </w:t>
      </w:r>
      <w:r>
        <w:rPr>
          <w:sz w:val="20"/>
        </w:rPr>
        <w:t>They</w:t>
      </w:r>
      <w:r>
        <w:rPr>
          <w:spacing w:val="-14"/>
          <w:sz w:val="20"/>
        </w:rPr>
        <w:t> </w:t>
      </w:r>
      <w:r>
        <w:rPr>
          <w:sz w:val="20"/>
        </w:rPr>
        <w:t>enhance parties’ confidence in the </w:t>
      </w:r>
      <w:r>
        <w:rPr>
          <w:spacing w:val="-3"/>
          <w:sz w:val="20"/>
        </w:rPr>
        <w:t>jury, </w:t>
      </w:r>
      <w:r>
        <w:rPr>
          <w:sz w:val="20"/>
        </w:rPr>
        <w:t>and </w:t>
      </w:r>
      <w:r>
        <w:rPr>
          <w:spacing w:val="-3"/>
          <w:sz w:val="20"/>
        </w:rPr>
        <w:t>provide </w:t>
      </w:r>
      <w:r>
        <w:rPr>
          <w:sz w:val="20"/>
        </w:rPr>
        <w:t>a safeguard in case other processes </w:t>
      </w:r>
      <w:r>
        <w:rPr>
          <w:spacing w:val="-4"/>
          <w:sz w:val="20"/>
        </w:rPr>
        <w:t>have </w:t>
      </w:r>
      <w:r>
        <w:rPr>
          <w:sz w:val="20"/>
        </w:rPr>
        <w:t>failed to </w:t>
      </w:r>
      <w:r>
        <w:rPr>
          <w:spacing w:val="-4"/>
          <w:sz w:val="20"/>
        </w:rPr>
        <w:t>remove </w:t>
      </w:r>
      <w:r>
        <w:rPr>
          <w:sz w:val="20"/>
        </w:rPr>
        <w:t>potential jurors who </w:t>
      </w:r>
      <w:r>
        <w:rPr>
          <w:spacing w:val="-3"/>
          <w:sz w:val="20"/>
        </w:rPr>
        <w:t>are </w:t>
      </w:r>
      <w:r>
        <w:rPr>
          <w:sz w:val="20"/>
        </w:rPr>
        <w:t>biased, unwilling or unable to serve. The Commission recommended retaining peremptory challenges but reducing their </w:t>
      </w:r>
      <w:r>
        <w:rPr>
          <w:spacing w:val="-3"/>
          <w:sz w:val="20"/>
        </w:rPr>
        <w:t>number, </w:t>
      </w:r>
      <w:r>
        <w:rPr>
          <w:sz w:val="20"/>
        </w:rPr>
        <w:t>a change that is reflected in the </w:t>
      </w:r>
      <w:r>
        <w:rPr>
          <w:spacing w:val="-3"/>
          <w:sz w:val="20"/>
        </w:rPr>
        <w:t>current</w:t>
      </w:r>
      <w:r>
        <w:rPr>
          <w:spacing w:val="-37"/>
          <w:sz w:val="20"/>
        </w:rPr>
        <w:t> </w:t>
      </w:r>
      <w:r>
        <w:rPr>
          <w:spacing w:val="-3"/>
          <w:sz w:val="20"/>
        </w:rPr>
        <w:t>law.</w:t>
      </w:r>
      <w:r>
        <w:rPr>
          <w:spacing w:val="-3"/>
          <w:position w:val="7"/>
          <w:sz w:val="11"/>
        </w:rPr>
        <w:t>12</w:t>
      </w:r>
    </w:p>
    <w:p>
      <w:pPr>
        <w:pStyle w:val="ListParagraph"/>
        <w:numPr>
          <w:ilvl w:val="1"/>
          <w:numId w:val="12"/>
        </w:numPr>
        <w:tabs>
          <w:tab w:pos="1761" w:val="left" w:leader="none"/>
          <w:tab w:pos="1762" w:val="left" w:leader="none"/>
        </w:tabs>
        <w:spacing w:line="206" w:lineRule="auto" w:before="127" w:after="0"/>
        <w:ind w:left="1761" w:right="1228" w:hanging="794"/>
        <w:jc w:val="left"/>
        <w:rPr>
          <w:sz w:val="11"/>
        </w:rPr>
      </w:pPr>
      <w:r>
        <w:rPr>
          <w:spacing w:val="-3"/>
          <w:sz w:val="20"/>
        </w:rPr>
        <w:t>Historically, </w:t>
      </w:r>
      <w:r>
        <w:rPr>
          <w:sz w:val="20"/>
        </w:rPr>
        <w:t>the accused personally </w:t>
      </w:r>
      <w:r>
        <w:rPr>
          <w:spacing w:val="-3"/>
          <w:sz w:val="20"/>
        </w:rPr>
        <w:t>exercised </w:t>
      </w:r>
      <w:r>
        <w:rPr>
          <w:sz w:val="20"/>
        </w:rPr>
        <w:t>peremptory challenges. Reforms </w:t>
      </w:r>
      <w:r>
        <w:rPr>
          <w:spacing w:val="-3"/>
          <w:sz w:val="20"/>
        </w:rPr>
        <w:t>following </w:t>
      </w:r>
      <w:r>
        <w:rPr>
          <w:sz w:val="20"/>
        </w:rPr>
        <w:t>the Commission’s report mean that the peremptory challenges can be </w:t>
      </w:r>
      <w:r>
        <w:rPr>
          <w:spacing w:val="-3"/>
          <w:sz w:val="20"/>
        </w:rPr>
        <w:t>exercised</w:t>
      </w:r>
      <w:r>
        <w:rPr>
          <w:spacing w:val="-9"/>
          <w:sz w:val="20"/>
        </w:rPr>
        <w:t> </w:t>
      </w:r>
      <w:r>
        <w:rPr>
          <w:spacing w:val="-3"/>
          <w:sz w:val="20"/>
        </w:rPr>
        <w:t>by</w:t>
      </w:r>
      <w:r>
        <w:rPr>
          <w:spacing w:val="-9"/>
          <w:sz w:val="20"/>
        </w:rPr>
        <w:t> </w:t>
      </w:r>
      <w:r>
        <w:rPr>
          <w:sz w:val="20"/>
        </w:rPr>
        <w:t>the</w:t>
      </w:r>
      <w:r>
        <w:rPr>
          <w:spacing w:val="-9"/>
          <w:sz w:val="20"/>
        </w:rPr>
        <w:t> </w:t>
      </w:r>
      <w:r>
        <w:rPr>
          <w:sz w:val="20"/>
        </w:rPr>
        <w:t>accused’s</w:t>
      </w:r>
      <w:r>
        <w:rPr>
          <w:spacing w:val="-9"/>
          <w:sz w:val="20"/>
        </w:rPr>
        <w:t> </w:t>
      </w:r>
      <w:r>
        <w:rPr>
          <w:sz w:val="20"/>
        </w:rPr>
        <w:t>legal</w:t>
      </w:r>
      <w:r>
        <w:rPr>
          <w:spacing w:val="-9"/>
          <w:sz w:val="20"/>
        </w:rPr>
        <w:t> </w:t>
      </w:r>
      <w:r>
        <w:rPr>
          <w:sz w:val="20"/>
        </w:rPr>
        <w:t>practitioner.</w:t>
      </w:r>
      <w:r>
        <w:rPr>
          <w:position w:val="7"/>
          <w:sz w:val="11"/>
        </w:rPr>
        <w:t>13</w:t>
      </w:r>
      <w:r>
        <w:rPr>
          <w:spacing w:val="16"/>
          <w:position w:val="7"/>
          <w:sz w:val="11"/>
        </w:rPr>
        <w:t> </w:t>
      </w:r>
      <w:r>
        <w:rPr>
          <w:sz w:val="20"/>
        </w:rPr>
        <w:t>The</w:t>
      </w:r>
      <w:r>
        <w:rPr>
          <w:spacing w:val="-9"/>
          <w:sz w:val="20"/>
        </w:rPr>
        <w:t> </w:t>
      </w:r>
      <w:r>
        <w:rPr>
          <w:sz w:val="20"/>
        </w:rPr>
        <w:t>aim</w:t>
      </w:r>
      <w:r>
        <w:rPr>
          <w:spacing w:val="-9"/>
          <w:sz w:val="20"/>
        </w:rPr>
        <w:t> </w:t>
      </w:r>
      <w:r>
        <w:rPr>
          <w:sz w:val="20"/>
        </w:rPr>
        <w:t>of</w:t>
      </w:r>
      <w:r>
        <w:rPr>
          <w:spacing w:val="-9"/>
          <w:sz w:val="20"/>
        </w:rPr>
        <w:t> </w:t>
      </w:r>
      <w:r>
        <w:rPr>
          <w:sz w:val="20"/>
        </w:rPr>
        <w:t>this</w:t>
      </w:r>
      <w:r>
        <w:rPr>
          <w:spacing w:val="-8"/>
          <w:sz w:val="20"/>
        </w:rPr>
        <w:t> </w:t>
      </w:r>
      <w:r>
        <w:rPr>
          <w:spacing w:val="-3"/>
          <w:sz w:val="20"/>
        </w:rPr>
        <w:t>reform</w:t>
      </w:r>
      <w:r>
        <w:rPr>
          <w:spacing w:val="-9"/>
          <w:sz w:val="20"/>
        </w:rPr>
        <w:t> </w:t>
      </w:r>
      <w:r>
        <w:rPr>
          <w:sz w:val="20"/>
        </w:rPr>
        <w:t>was</w:t>
      </w:r>
      <w:r>
        <w:rPr>
          <w:spacing w:val="-9"/>
          <w:sz w:val="20"/>
        </w:rPr>
        <w:t> </w:t>
      </w:r>
      <w:r>
        <w:rPr>
          <w:sz w:val="20"/>
        </w:rPr>
        <w:t>to</w:t>
      </w:r>
      <w:r>
        <w:rPr>
          <w:spacing w:val="-9"/>
          <w:sz w:val="20"/>
        </w:rPr>
        <w:t> </w:t>
      </w:r>
      <w:r>
        <w:rPr>
          <w:sz w:val="20"/>
        </w:rPr>
        <w:t>respond</w:t>
      </w:r>
      <w:r>
        <w:rPr>
          <w:spacing w:val="-9"/>
          <w:sz w:val="20"/>
        </w:rPr>
        <w:t> </w:t>
      </w:r>
      <w:r>
        <w:rPr>
          <w:sz w:val="20"/>
        </w:rPr>
        <w:t>to the</w:t>
      </w:r>
      <w:r>
        <w:rPr>
          <w:spacing w:val="-8"/>
          <w:sz w:val="20"/>
        </w:rPr>
        <w:t> </w:t>
      </w:r>
      <w:r>
        <w:rPr>
          <w:sz w:val="20"/>
        </w:rPr>
        <w:t>situation</w:t>
      </w:r>
      <w:r>
        <w:rPr>
          <w:spacing w:val="-7"/>
          <w:sz w:val="20"/>
        </w:rPr>
        <w:t> </w:t>
      </w:r>
      <w:r>
        <w:rPr>
          <w:sz w:val="20"/>
        </w:rPr>
        <w:t>where</w:t>
      </w:r>
      <w:r>
        <w:rPr>
          <w:spacing w:val="-7"/>
          <w:sz w:val="20"/>
        </w:rPr>
        <w:t> </w:t>
      </w:r>
      <w:r>
        <w:rPr>
          <w:sz w:val="20"/>
        </w:rPr>
        <w:t>an</w:t>
      </w:r>
      <w:r>
        <w:rPr>
          <w:spacing w:val="-7"/>
          <w:sz w:val="20"/>
        </w:rPr>
        <w:t> </w:t>
      </w:r>
      <w:r>
        <w:rPr>
          <w:sz w:val="20"/>
        </w:rPr>
        <w:t>accused</w:t>
      </w:r>
      <w:r>
        <w:rPr>
          <w:spacing w:val="-7"/>
          <w:sz w:val="20"/>
        </w:rPr>
        <w:t> </w:t>
      </w:r>
      <w:r>
        <w:rPr>
          <w:sz w:val="20"/>
        </w:rPr>
        <w:t>might</w:t>
      </w:r>
      <w:r>
        <w:rPr>
          <w:spacing w:val="-7"/>
          <w:sz w:val="20"/>
        </w:rPr>
        <w:t> </w:t>
      </w:r>
      <w:r>
        <w:rPr>
          <w:sz w:val="20"/>
        </w:rPr>
        <w:t>not</w:t>
      </w:r>
      <w:r>
        <w:rPr>
          <w:spacing w:val="-7"/>
          <w:sz w:val="20"/>
        </w:rPr>
        <w:t> </w:t>
      </w:r>
      <w:r>
        <w:rPr>
          <w:sz w:val="20"/>
        </w:rPr>
        <w:t>be</w:t>
      </w:r>
      <w:r>
        <w:rPr>
          <w:spacing w:val="-7"/>
          <w:sz w:val="20"/>
        </w:rPr>
        <w:t> </w:t>
      </w:r>
      <w:r>
        <w:rPr>
          <w:sz w:val="20"/>
        </w:rPr>
        <w:t>comfortable</w:t>
      </w:r>
      <w:r>
        <w:rPr>
          <w:spacing w:val="-7"/>
          <w:sz w:val="20"/>
        </w:rPr>
        <w:t> </w:t>
      </w:r>
      <w:r>
        <w:rPr>
          <w:sz w:val="20"/>
        </w:rPr>
        <w:t>speaking</w:t>
      </w:r>
      <w:r>
        <w:rPr>
          <w:spacing w:val="-7"/>
          <w:sz w:val="20"/>
        </w:rPr>
        <w:t> </w:t>
      </w:r>
      <w:r>
        <w:rPr>
          <w:sz w:val="20"/>
        </w:rPr>
        <w:t>up</w:t>
      </w:r>
      <w:r>
        <w:rPr>
          <w:spacing w:val="-7"/>
          <w:sz w:val="20"/>
        </w:rPr>
        <w:t> </w:t>
      </w:r>
      <w:r>
        <w:rPr>
          <w:sz w:val="20"/>
        </w:rPr>
        <w:t>in</w:t>
      </w:r>
      <w:r>
        <w:rPr>
          <w:spacing w:val="-7"/>
          <w:sz w:val="20"/>
        </w:rPr>
        <w:t> </w:t>
      </w:r>
      <w:r>
        <w:rPr>
          <w:sz w:val="20"/>
        </w:rPr>
        <w:t>court.</w:t>
      </w:r>
      <w:r>
        <w:rPr>
          <w:position w:val="7"/>
          <w:sz w:val="11"/>
        </w:rPr>
        <w:t>14</w:t>
      </w:r>
    </w:p>
    <w:p>
      <w:pPr>
        <w:spacing w:before="163"/>
        <w:ind w:left="967" w:right="0" w:firstLine="0"/>
        <w:jc w:val="left"/>
        <w:rPr>
          <w:b/>
          <w:sz w:val="24"/>
        </w:rPr>
      </w:pPr>
      <w:r>
        <w:rPr>
          <w:b/>
          <w:sz w:val="24"/>
        </w:rPr>
        <w:t>The flaws of peremptory challenges</w:t>
      </w:r>
    </w:p>
    <w:p>
      <w:pPr>
        <w:pStyle w:val="Heading6"/>
        <w:spacing w:before="132"/>
        <w:rPr>
          <w:b/>
        </w:rPr>
      </w:pPr>
      <w:r>
        <w:rPr>
          <w:b/>
        </w:rPr>
        <w:t>Guesswork about impartiality</w:t>
      </w:r>
    </w:p>
    <w:p>
      <w:pPr>
        <w:pStyle w:val="ListParagraph"/>
        <w:numPr>
          <w:ilvl w:val="1"/>
          <w:numId w:val="12"/>
        </w:numPr>
        <w:tabs>
          <w:tab w:pos="1761" w:val="left" w:leader="none"/>
          <w:tab w:pos="1762" w:val="left" w:leader="none"/>
        </w:tabs>
        <w:spacing w:line="206" w:lineRule="auto" w:before="132" w:after="0"/>
        <w:ind w:left="1761" w:right="1291" w:hanging="794"/>
        <w:jc w:val="left"/>
        <w:rPr>
          <w:sz w:val="11"/>
        </w:rPr>
      </w:pPr>
      <w:r>
        <w:rPr>
          <w:sz w:val="20"/>
        </w:rPr>
        <w:t>In</w:t>
      </w:r>
      <w:r>
        <w:rPr>
          <w:spacing w:val="-11"/>
          <w:sz w:val="20"/>
        </w:rPr>
        <w:t> </w:t>
      </w:r>
      <w:r>
        <w:rPr>
          <w:sz w:val="20"/>
        </w:rPr>
        <w:t>our</w:t>
      </w:r>
      <w:r>
        <w:rPr>
          <w:spacing w:val="-10"/>
          <w:sz w:val="20"/>
        </w:rPr>
        <w:t> </w:t>
      </w:r>
      <w:r>
        <w:rPr>
          <w:sz w:val="20"/>
        </w:rPr>
        <w:t>report</w:t>
      </w:r>
      <w:r>
        <w:rPr>
          <w:spacing w:val="-11"/>
          <w:sz w:val="20"/>
        </w:rPr>
        <w:t> </w:t>
      </w:r>
      <w:r>
        <w:rPr>
          <w:sz w:val="20"/>
        </w:rPr>
        <w:t>on</w:t>
      </w:r>
      <w:r>
        <w:rPr>
          <w:spacing w:val="-10"/>
          <w:sz w:val="20"/>
        </w:rPr>
        <w:t> </w:t>
      </w:r>
      <w:r>
        <w:rPr>
          <w:sz w:val="20"/>
        </w:rPr>
        <w:t>jury</w:t>
      </w:r>
      <w:r>
        <w:rPr>
          <w:spacing w:val="-11"/>
          <w:sz w:val="20"/>
        </w:rPr>
        <w:t> </w:t>
      </w:r>
      <w:r>
        <w:rPr>
          <w:sz w:val="20"/>
        </w:rPr>
        <w:t>empanelment</w:t>
      </w:r>
      <w:r>
        <w:rPr>
          <w:spacing w:val="-10"/>
          <w:sz w:val="20"/>
        </w:rPr>
        <w:t> </w:t>
      </w:r>
      <w:r>
        <w:rPr>
          <w:spacing w:val="-3"/>
          <w:sz w:val="20"/>
        </w:rPr>
        <w:t>we</w:t>
      </w:r>
      <w:r>
        <w:rPr>
          <w:spacing w:val="-11"/>
          <w:sz w:val="20"/>
        </w:rPr>
        <w:t> </w:t>
      </w:r>
      <w:r>
        <w:rPr>
          <w:sz w:val="20"/>
        </w:rPr>
        <w:t>noted</w:t>
      </w:r>
      <w:r>
        <w:rPr>
          <w:spacing w:val="-10"/>
          <w:sz w:val="20"/>
        </w:rPr>
        <w:t> </w:t>
      </w:r>
      <w:r>
        <w:rPr>
          <w:sz w:val="20"/>
        </w:rPr>
        <w:t>that</w:t>
      </w:r>
      <w:r>
        <w:rPr>
          <w:spacing w:val="-11"/>
          <w:sz w:val="20"/>
        </w:rPr>
        <w:t> </w:t>
      </w:r>
      <w:r>
        <w:rPr>
          <w:sz w:val="20"/>
        </w:rPr>
        <w:t>because</w:t>
      </w:r>
      <w:r>
        <w:rPr>
          <w:spacing w:val="-10"/>
          <w:sz w:val="20"/>
        </w:rPr>
        <w:t> </w:t>
      </w:r>
      <w:r>
        <w:rPr>
          <w:sz w:val="20"/>
        </w:rPr>
        <w:t>jury</w:t>
      </w:r>
      <w:r>
        <w:rPr>
          <w:spacing w:val="-11"/>
          <w:sz w:val="20"/>
        </w:rPr>
        <w:t> </w:t>
      </w:r>
      <w:r>
        <w:rPr>
          <w:sz w:val="20"/>
        </w:rPr>
        <w:t>deliberations</w:t>
      </w:r>
      <w:r>
        <w:rPr>
          <w:spacing w:val="-10"/>
          <w:sz w:val="20"/>
        </w:rPr>
        <w:t> </w:t>
      </w:r>
      <w:r>
        <w:rPr>
          <w:sz w:val="20"/>
        </w:rPr>
        <w:t>in</w:t>
      </w:r>
      <w:r>
        <w:rPr>
          <w:spacing w:val="-11"/>
          <w:sz w:val="20"/>
        </w:rPr>
        <w:t> </w:t>
      </w:r>
      <w:r>
        <w:rPr>
          <w:sz w:val="20"/>
        </w:rPr>
        <w:t>Victoria </w:t>
      </w:r>
      <w:r>
        <w:rPr>
          <w:spacing w:val="-3"/>
          <w:sz w:val="20"/>
        </w:rPr>
        <w:t>are </w:t>
      </w:r>
      <w:r>
        <w:rPr>
          <w:sz w:val="20"/>
        </w:rPr>
        <w:t>confidential, there </w:t>
      </w:r>
      <w:r>
        <w:rPr>
          <w:spacing w:val="-3"/>
          <w:sz w:val="20"/>
        </w:rPr>
        <w:t>are </w:t>
      </w:r>
      <w:r>
        <w:rPr>
          <w:sz w:val="20"/>
        </w:rPr>
        <w:t>no studies that indicate the effectiveness of peremptory challenges in achieving an impartial</w:t>
      </w:r>
      <w:r>
        <w:rPr>
          <w:spacing w:val="-23"/>
          <w:sz w:val="20"/>
        </w:rPr>
        <w:t> </w:t>
      </w:r>
      <w:r>
        <w:rPr>
          <w:sz w:val="20"/>
        </w:rPr>
        <w:t>jury.</w:t>
      </w:r>
      <w:r>
        <w:rPr>
          <w:position w:val="7"/>
          <w:sz w:val="11"/>
        </w:rPr>
        <w:t>15</w:t>
      </w:r>
    </w:p>
    <w:p>
      <w:pPr>
        <w:pStyle w:val="ListParagraph"/>
        <w:numPr>
          <w:ilvl w:val="1"/>
          <w:numId w:val="12"/>
        </w:numPr>
        <w:tabs>
          <w:tab w:pos="1761" w:val="left" w:leader="none"/>
          <w:tab w:pos="1762" w:val="left" w:leader="none"/>
        </w:tabs>
        <w:spacing w:line="206" w:lineRule="auto" w:before="124" w:after="0"/>
        <w:ind w:left="1760" w:right="1603" w:hanging="793"/>
        <w:jc w:val="left"/>
        <w:rPr>
          <w:sz w:val="20"/>
        </w:rPr>
      </w:pPr>
      <w:r>
        <w:rPr>
          <w:sz w:val="20"/>
        </w:rPr>
        <w:t>In </w:t>
      </w:r>
      <w:r>
        <w:rPr>
          <w:i/>
          <w:sz w:val="20"/>
        </w:rPr>
        <w:t>Juries in the 21st </w:t>
      </w:r>
      <w:r>
        <w:rPr>
          <w:i/>
          <w:spacing w:val="-3"/>
          <w:sz w:val="20"/>
        </w:rPr>
        <w:t>Century</w:t>
      </w:r>
      <w:r>
        <w:rPr>
          <w:spacing w:val="-3"/>
          <w:sz w:val="20"/>
        </w:rPr>
        <w:t>, </w:t>
      </w:r>
      <w:r>
        <w:rPr>
          <w:sz w:val="20"/>
        </w:rPr>
        <w:t>Horan concludes that there is no direct link between juror characteristics and </w:t>
      </w:r>
      <w:r>
        <w:rPr>
          <w:spacing w:val="-3"/>
          <w:sz w:val="20"/>
        </w:rPr>
        <w:t>verdict preference.</w:t>
      </w:r>
      <w:r>
        <w:rPr>
          <w:spacing w:val="-3"/>
          <w:position w:val="7"/>
          <w:sz w:val="11"/>
        </w:rPr>
        <w:t>16 </w:t>
      </w:r>
      <w:r>
        <w:rPr>
          <w:sz w:val="20"/>
        </w:rPr>
        <w:t>In fact, </w:t>
      </w:r>
      <w:r>
        <w:rPr>
          <w:spacing w:val="-3"/>
          <w:sz w:val="20"/>
        </w:rPr>
        <w:t>many </w:t>
      </w:r>
      <w:r>
        <w:rPr>
          <w:sz w:val="20"/>
        </w:rPr>
        <w:t>studies indicate no link at</w:t>
      </w:r>
      <w:r>
        <w:rPr>
          <w:spacing w:val="-11"/>
          <w:sz w:val="20"/>
        </w:rPr>
        <w:t> </w:t>
      </w:r>
      <w:r>
        <w:rPr>
          <w:sz w:val="20"/>
        </w:rPr>
        <w:t>all.</w:t>
      </w:r>
      <w:r>
        <w:rPr>
          <w:spacing w:val="-10"/>
          <w:sz w:val="20"/>
        </w:rPr>
        <w:t> </w:t>
      </w:r>
      <w:r>
        <w:rPr>
          <w:sz w:val="20"/>
        </w:rPr>
        <w:t>Some</w:t>
      </w:r>
      <w:r>
        <w:rPr>
          <w:spacing w:val="-11"/>
          <w:sz w:val="20"/>
        </w:rPr>
        <w:t> </w:t>
      </w:r>
      <w:r>
        <w:rPr>
          <w:sz w:val="20"/>
        </w:rPr>
        <w:t>studies</w:t>
      </w:r>
      <w:r>
        <w:rPr>
          <w:spacing w:val="-10"/>
          <w:sz w:val="20"/>
        </w:rPr>
        <w:t> </w:t>
      </w:r>
      <w:r>
        <w:rPr>
          <w:sz w:val="20"/>
        </w:rPr>
        <w:t>do</w:t>
      </w:r>
      <w:r>
        <w:rPr>
          <w:spacing w:val="-11"/>
          <w:sz w:val="20"/>
        </w:rPr>
        <w:t> </w:t>
      </w:r>
      <w:r>
        <w:rPr>
          <w:sz w:val="20"/>
        </w:rPr>
        <w:t>indicate</w:t>
      </w:r>
      <w:r>
        <w:rPr>
          <w:spacing w:val="-10"/>
          <w:sz w:val="20"/>
        </w:rPr>
        <w:t> </w:t>
      </w:r>
      <w:r>
        <w:rPr>
          <w:sz w:val="20"/>
        </w:rPr>
        <w:t>a</w:t>
      </w:r>
      <w:r>
        <w:rPr>
          <w:spacing w:val="-11"/>
          <w:sz w:val="20"/>
        </w:rPr>
        <w:t> </w:t>
      </w:r>
      <w:r>
        <w:rPr>
          <w:sz w:val="20"/>
        </w:rPr>
        <w:t>connection</w:t>
      </w:r>
      <w:r>
        <w:rPr>
          <w:spacing w:val="-10"/>
          <w:sz w:val="20"/>
        </w:rPr>
        <w:t> </w:t>
      </w:r>
      <w:r>
        <w:rPr>
          <w:sz w:val="20"/>
        </w:rPr>
        <w:t>between</w:t>
      </w:r>
      <w:r>
        <w:rPr>
          <w:spacing w:val="-10"/>
          <w:sz w:val="20"/>
        </w:rPr>
        <w:t> </w:t>
      </w:r>
      <w:r>
        <w:rPr>
          <w:sz w:val="20"/>
        </w:rPr>
        <w:t>a</w:t>
      </w:r>
      <w:r>
        <w:rPr>
          <w:spacing w:val="-11"/>
          <w:sz w:val="20"/>
        </w:rPr>
        <w:t> </w:t>
      </w:r>
      <w:r>
        <w:rPr>
          <w:spacing w:val="-3"/>
          <w:sz w:val="20"/>
        </w:rPr>
        <w:t>juror’s</w:t>
      </w:r>
      <w:r>
        <w:rPr>
          <w:spacing w:val="-10"/>
          <w:sz w:val="20"/>
        </w:rPr>
        <w:t> </w:t>
      </w:r>
      <w:r>
        <w:rPr>
          <w:sz w:val="20"/>
        </w:rPr>
        <w:t>values</w:t>
      </w:r>
      <w:r>
        <w:rPr>
          <w:spacing w:val="-11"/>
          <w:sz w:val="20"/>
        </w:rPr>
        <w:t> </w:t>
      </w:r>
      <w:r>
        <w:rPr>
          <w:sz w:val="20"/>
        </w:rPr>
        <w:t>and</w:t>
      </w:r>
      <w:r>
        <w:rPr>
          <w:spacing w:val="-10"/>
          <w:sz w:val="20"/>
        </w:rPr>
        <w:t> </w:t>
      </w:r>
      <w:r>
        <w:rPr>
          <w:sz w:val="20"/>
        </w:rPr>
        <w:t>attitudes and </w:t>
      </w:r>
      <w:r>
        <w:rPr>
          <w:spacing w:val="-3"/>
          <w:sz w:val="20"/>
        </w:rPr>
        <w:t>verdict preference.</w:t>
      </w:r>
      <w:r>
        <w:rPr>
          <w:spacing w:val="-3"/>
          <w:position w:val="7"/>
          <w:sz w:val="11"/>
        </w:rPr>
        <w:t>17 </w:t>
      </w:r>
      <w:r>
        <w:rPr>
          <w:sz w:val="20"/>
        </w:rPr>
        <w:t>But because the jury selection system does not</w:t>
      </w:r>
      <w:r>
        <w:rPr>
          <w:spacing w:val="-33"/>
          <w:sz w:val="20"/>
        </w:rPr>
        <w:t> </w:t>
      </w:r>
      <w:r>
        <w:rPr>
          <w:spacing w:val="-3"/>
          <w:sz w:val="20"/>
        </w:rPr>
        <w:t>provide</w:t>
      </w:r>
    </w:p>
    <w:p>
      <w:pPr>
        <w:pStyle w:val="BodyText"/>
        <w:spacing w:line="206" w:lineRule="auto" w:before="5"/>
        <w:ind w:left="1761" w:right="1388"/>
        <w:jc w:val="both"/>
        <w:rPr>
          <w:sz w:val="11"/>
        </w:rPr>
      </w:pPr>
      <w:r>
        <w:rPr/>
        <w:t>practitioners</w:t>
      </w:r>
      <w:r>
        <w:rPr>
          <w:spacing w:val="-15"/>
        </w:rPr>
        <w:t> </w:t>
      </w:r>
      <w:r>
        <w:rPr/>
        <w:t>with</w:t>
      </w:r>
      <w:r>
        <w:rPr>
          <w:spacing w:val="-15"/>
        </w:rPr>
        <w:t> </w:t>
      </w:r>
      <w:r>
        <w:rPr/>
        <w:t>information</w:t>
      </w:r>
      <w:r>
        <w:rPr>
          <w:spacing w:val="-15"/>
        </w:rPr>
        <w:t> </w:t>
      </w:r>
      <w:r>
        <w:rPr/>
        <w:t>about</w:t>
      </w:r>
      <w:r>
        <w:rPr>
          <w:spacing w:val="-15"/>
        </w:rPr>
        <w:t> </w:t>
      </w:r>
      <w:r>
        <w:rPr>
          <w:spacing w:val="-3"/>
        </w:rPr>
        <w:t>jurors’</w:t>
      </w:r>
      <w:r>
        <w:rPr>
          <w:spacing w:val="-15"/>
        </w:rPr>
        <w:t> </w:t>
      </w:r>
      <w:r>
        <w:rPr/>
        <w:t>values</w:t>
      </w:r>
      <w:r>
        <w:rPr>
          <w:spacing w:val="-15"/>
        </w:rPr>
        <w:t> </w:t>
      </w:r>
      <w:r>
        <w:rPr/>
        <w:t>and</w:t>
      </w:r>
      <w:r>
        <w:rPr>
          <w:spacing w:val="-15"/>
        </w:rPr>
        <w:t> </w:t>
      </w:r>
      <w:r>
        <w:rPr/>
        <w:t>attitudes,</w:t>
      </w:r>
      <w:r>
        <w:rPr>
          <w:spacing w:val="-15"/>
        </w:rPr>
        <w:t> </w:t>
      </w:r>
      <w:r>
        <w:rPr/>
        <w:t>Horan</w:t>
      </w:r>
      <w:r>
        <w:rPr>
          <w:spacing w:val="-14"/>
        </w:rPr>
        <w:t> </w:t>
      </w:r>
      <w:r>
        <w:rPr/>
        <w:t>concludes</w:t>
      </w:r>
      <w:r>
        <w:rPr>
          <w:spacing w:val="-15"/>
        </w:rPr>
        <w:t> </w:t>
      </w:r>
      <w:r>
        <w:rPr/>
        <w:t>that ‘it</w:t>
      </w:r>
      <w:r>
        <w:rPr>
          <w:spacing w:val="-10"/>
        </w:rPr>
        <w:t> </w:t>
      </w:r>
      <w:r>
        <w:rPr/>
        <w:t>is</w:t>
      </w:r>
      <w:r>
        <w:rPr>
          <w:spacing w:val="-9"/>
        </w:rPr>
        <w:t> </w:t>
      </w:r>
      <w:r>
        <w:rPr/>
        <w:t>safe</w:t>
      </w:r>
      <w:r>
        <w:rPr>
          <w:spacing w:val="-9"/>
        </w:rPr>
        <w:t> </w:t>
      </w:r>
      <w:r>
        <w:rPr/>
        <w:t>to</w:t>
      </w:r>
      <w:r>
        <w:rPr>
          <w:spacing w:val="-9"/>
        </w:rPr>
        <w:t> </w:t>
      </w:r>
      <w:r>
        <w:rPr>
          <w:spacing w:val="-3"/>
        </w:rPr>
        <w:t>say</w:t>
      </w:r>
      <w:r>
        <w:rPr>
          <w:spacing w:val="-10"/>
        </w:rPr>
        <w:t> </w:t>
      </w:r>
      <w:r>
        <w:rPr/>
        <w:t>that</w:t>
      </w:r>
      <w:r>
        <w:rPr>
          <w:spacing w:val="-9"/>
        </w:rPr>
        <w:t> </w:t>
      </w:r>
      <w:r>
        <w:rPr/>
        <w:t>the</w:t>
      </w:r>
      <w:r>
        <w:rPr>
          <w:spacing w:val="-9"/>
        </w:rPr>
        <w:t> </w:t>
      </w:r>
      <w:r>
        <w:rPr/>
        <w:t>challenges</w:t>
      </w:r>
      <w:r>
        <w:rPr>
          <w:spacing w:val="-9"/>
        </w:rPr>
        <w:t> </w:t>
      </w:r>
      <w:r>
        <w:rPr/>
        <w:t>made</w:t>
      </w:r>
      <w:r>
        <w:rPr>
          <w:spacing w:val="-9"/>
        </w:rPr>
        <w:t> </w:t>
      </w:r>
      <w:r>
        <w:rPr>
          <w:spacing w:val="-3"/>
        </w:rPr>
        <w:t>by</w:t>
      </w:r>
      <w:r>
        <w:rPr>
          <w:spacing w:val="-10"/>
        </w:rPr>
        <w:t> </w:t>
      </w:r>
      <w:r>
        <w:rPr/>
        <w:t>Australian</w:t>
      </w:r>
      <w:r>
        <w:rPr>
          <w:spacing w:val="-9"/>
        </w:rPr>
        <w:t> </w:t>
      </w:r>
      <w:r>
        <w:rPr/>
        <w:t>barristers</w:t>
      </w:r>
      <w:r>
        <w:rPr>
          <w:spacing w:val="-9"/>
        </w:rPr>
        <w:t> </w:t>
      </w:r>
      <w:r>
        <w:rPr>
          <w:spacing w:val="-3"/>
        </w:rPr>
        <w:t>are</w:t>
      </w:r>
      <w:r>
        <w:rPr>
          <w:spacing w:val="-9"/>
        </w:rPr>
        <w:t> </w:t>
      </w:r>
      <w:r>
        <w:rPr/>
        <w:t>guesswork’.</w:t>
      </w:r>
      <w:r>
        <w:rPr>
          <w:position w:val="7"/>
          <w:sz w:val="11"/>
        </w:rPr>
        <w:t>18</w:t>
      </w:r>
      <w:r>
        <w:rPr>
          <w:spacing w:val="15"/>
          <w:position w:val="7"/>
          <w:sz w:val="11"/>
        </w:rPr>
        <w:t> </w:t>
      </w:r>
      <w:r>
        <w:rPr/>
        <w:t>As Horan</w:t>
      </w:r>
      <w:r>
        <w:rPr>
          <w:spacing w:val="-11"/>
        </w:rPr>
        <w:t> </w:t>
      </w:r>
      <w:r>
        <w:rPr/>
        <w:t>recognises,</w:t>
      </w:r>
      <w:r>
        <w:rPr>
          <w:spacing w:val="-10"/>
        </w:rPr>
        <w:t> </w:t>
      </w:r>
      <w:r>
        <w:rPr/>
        <w:t>it</w:t>
      </w:r>
      <w:r>
        <w:rPr>
          <w:spacing w:val="-10"/>
        </w:rPr>
        <w:t> </w:t>
      </w:r>
      <w:r>
        <w:rPr/>
        <w:t>is</w:t>
      </w:r>
      <w:r>
        <w:rPr>
          <w:spacing w:val="-11"/>
        </w:rPr>
        <w:t> </w:t>
      </w:r>
      <w:r>
        <w:rPr/>
        <w:t>‘not</w:t>
      </w:r>
      <w:r>
        <w:rPr>
          <w:spacing w:val="-10"/>
        </w:rPr>
        <w:t> </w:t>
      </w:r>
      <w:r>
        <w:rPr/>
        <w:t>possible</w:t>
      </w:r>
      <w:r>
        <w:rPr>
          <w:spacing w:val="-10"/>
        </w:rPr>
        <w:t> </w:t>
      </w:r>
      <w:r>
        <w:rPr/>
        <w:t>for</w:t>
      </w:r>
      <w:r>
        <w:rPr>
          <w:spacing w:val="-11"/>
        </w:rPr>
        <w:t> </w:t>
      </w:r>
      <w:r>
        <w:rPr/>
        <w:t>a</w:t>
      </w:r>
      <w:r>
        <w:rPr>
          <w:spacing w:val="-10"/>
        </w:rPr>
        <w:t> </w:t>
      </w:r>
      <w:r>
        <w:rPr/>
        <w:t>defendant</w:t>
      </w:r>
      <w:r>
        <w:rPr>
          <w:spacing w:val="-10"/>
        </w:rPr>
        <w:t> </w:t>
      </w:r>
      <w:r>
        <w:rPr/>
        <w:t>to</w:t>
      </w:r>
      <w:r>
        <w:rPr>
          <w:spacing w:val="-11"/>
        </w:rPr>
        <w:t> </w:t>
      </w:r>
      <w:r>
        <w:rPr/>
        <w:t>know</w:t>
      </w:r>
      <w:r>
        <w:rPr>
          <w:spacing w:val="-10"/>
        </w:rPr>
        <w:t> </w:t>
      </w:r>
      <w:r>
        <w:rPr/>
        <w:t>whether</w:t>
      </w:r>
      <w:r>
        <w:rPr>
          <w:spacing w:val="-10"/>
        </w:rPr>
        <w:t> </w:t>
      </w:r>
      <w:r>
        <w:rPr/>
        <w:t>a</w:t>
      </w:r>
      <w:r>
        <w:rPr>
          <w:spacing w:val="-10"/>
        </w:rPr>
        <w:t> </w:t>
      </w:r>
      <w:r>
        <w:rPr>
          <w:spacing w:val="-3"/>
        </w:rPr>
        <w:t>citizen</w:t>
      </w:r>
      <w:r>
        <w:rPr>
          <w:spacing w:val="-11"/>
        </w:rPr>
        <w:t> </w:t>
      </w:r>
      <w:r>
        <w:rPr/>
        <w:t>is</w:t>
      </w:r>
      <w:r>
        <w:rPr>
          <w:spacing w:val="-10"/>
        </w:rPr>
        <w:t> </w:t>
      </w:r>
      <w:r>
        <w:rPr/>
        <w:t>going to</w:t>
      </w:r>
      <w:r>
        <w:rPr>
          <w:spacing w:val="-8"/>
        </w:rPr>
        <w:t> </w:t>
      </w:r>
      <w:r>
        <w:rPr/>
        <w:t>be</w:t>
      </w:r>
      <w:r>
        <w:rPr>
          <w:spacing w:val="-8"/>
        </w:rPr>
        <w:t> </w:t>
      </w:r>
      <w:r>
        <w:rPr>
          <w:spacing w:val="-3"/>
        </w:rPr>
        <w:t>favourable</w:t>
      </w:r>
      <w:r>
        <w:rPr>
          <w:spacing w:val="-8"/>
        </w:rPr>
        <w:t> </w:t>
      </w:r>
      <w:r>
        <w:rPr/>
        <w:t>to</w:t>
      </w:r>
      <w:r>
        <w:rPr>
          <w:spacing w:val="-8"/>
        </w:rPr>
        <w:t> </w:t>
      </w:r>
      <w:r>
        <w:rPr/>
        <w:t>their</w:t>
      </w:r>
      <w:r>
        <w:rPr>
          <w:spacing w:val="-7"/>
        </w:rPr>
        <w:t> </w:t>
      </w:r>
      <w:r>
        <w:rPr/>
        <w:t>defence</w:t>
      </w:r>
      <w:r>
        <w:rPr>
          <w:spacing w:val="-8"/>
        </w:rPr>
        <w:t> </w:t>
      </w:r>
      <w:r>
        <w:rPr/>
        <w:t>based</w:t>
      </w:r>
      <w:r>
        <w:rPr>
          <w:spacing w:val="-8"/>
        </w:rPr>
        <w:t> </w:t>
      </w:r>
      <w:r>
        <w:rPr/>
        <w:t>on</w:t>
      </w:r>
      <w:r>
        <w:rPr>
          <w:spacing w:val="-8"/>
        </w:rPr>
        <w:t> </w:t>
      </w:r>
      <w:r>
        <w:rPr/>
        <w:t>what</w:t>
      </w:r>
      <w:r>
        <w:rPr>
          <w:spacing w:val="-7"/>
        </w:rPr>
        <w:t> </w:t>
      </w:r>
      <w:r>
        <w:rPr/>
        <w:t>they</w:t>
      </w:r>
      <w:r>
        <w:rPr>
          <w:spacing w:val="-8"/>
        </w:rPr>
        <w:t> </w:t>
      </w:r>
      <w:r>
        <w:rPr/>
        <w:t>look</w:t>
      </w:r>
      <w:r>
        <w:rPr>
          <w:spacing w:val="-8"/>
        </w:rPr>
        <w:t> </w:t>
      </w:r>
      <w:r>
        <w:rPr/>
        <w:t>like</w:t>
      </w:r>
      <w:r>
        <w:rPr>
          <w:spacing w:val="-8"/>
        </w:rPr>
        <w:t> </w:t>
      </w:r>
      <w:r>
        <w:rPr/>
        <w:t>and</w:t>
      </w:r>
      <w:r>
        <w:rPr>
          <w:spacing w:val="-7"/>
        </w:rPr>
        <w:t> </w:t>
      </w:r>
      <w:r>
        <w:rPr/>
        <w:t>their</w:t>
      </w:r>
      <w:r>
        <w:rPr>
          <w:spacing w:val="-8"/>
        </w:rPr>
        <w:t> </w:t>
      </w:r>
      <w:r>
        <w:rPr>
          <w:spacing w:val="-3"/>
        </w:rPr>
        <w:t>occupation’.</w:t>
      </w:r>
      <w:r>
        <w:rPr>
          <w:spacing w:val="-3"/>
          <w:position w:val="7"/>
          <w:sz w:val="11"/>
        </w:rPr>
        <w:t>19</w:t>
      </w:r>
    </w:p>
    <w:p>
      <w:pPr>
        <w:pStyle w:val="ListParagraph"/>
        <w:numPr>
          <w:ilvl w:val="1"/>
          <w:numId w:val="12"/>
        </w:numPr>
        <w:tabs>
          <w:tab w:pos="1762" w:val="left" w:leader="none"/>
        </w:tabs>
        <w:spacing w:line="206" w:lineRule="auto" w:before="125" w:after="0"/>
        <w:ind w:left="1761" w:right="1226" w:hanging="794"/>
        <w:jc w:val="both"/>
        <w:rPr>
          <w:sz w:val="11"/>
        </w:rPr>
      </w:pPr>
      <w:r>
        <w:rPr>
          <w:spacing w:val="-3"/>
          <w:sz w:val="20"/>
        </w:rPr>
        <w:t>Similarly,</w:t>
      </w:r>
      <w:r>
        <w:rPr>
          <w:spacing w:val="-14"/>
          <w:sz w:val="20"/>
        </w:rPr>
        <w:t> </w:t>
      </w:r>
      <w:r>
        <w:rPr>
          <w:sz w:val="20"/>
        </w:rPr>
        <w:t>Findlay</w:t>
      </w:r>
      <w:r>
        <w:rPr>
          <w:spacing w:val="-13"/>
          <w:sz w:val="20"/>
        </w:rPr>
        <w:t> </w:t>
      </w:r>
      <w:r>
        <w:rPr>
          <w:sz w:val="20"/>
        </w:rPr>
        <w:t>and</w:t>
      </w:r>
      <w:r>
        <w:rPr>
          <w:spacing w:val="-13"/>
          <w:sz w:val="20"/>
        </w:rPr>
        <w:t> </w:t>
      </w:r>
      <w:r>
        <w:rPr>
          <w:sz w:val="20"/>
        </w:rPr>
        <w:t>Duff</w:t>
      </w:r>
      <w:r>
        <w:rPr>
          <w:spacing w:val="-13"/>
          <w:sz w:val="20"/>
        </w:rPr>
        <w:t> </w:t>
      </w:r>
      <w:r>
        <w:rPr>
          <w:sz w:val="20"/>
        </w:rPr>
        <w:t>question</w:t>
      </w:r>
      <w:r>
        <w:rPr>
          <w:spacing w:val="-13"/>
          <w:sz w:val="20"/>
        </w:rPr>
        <w:t> </w:t>
      </w:r>
      <w:r>
        <w:rPr>
          <w:sz w:val="20"/>
        </w:rPr>
        <w:t>the</w:t>
      </w:r>
      <w:r>
        <w:rPr>
          <w:spacing w:val="-13"/>
          <w:sz w:val="20"/>
        </w:rPr>
        <w:t> </w:t>
      </w:r>
      <w:r>
        <w:rPr>
          <w:sz w:val="20"/>
        </w:rPr>
        <w:t>usefulness</w:t>
      </w:r>
      <w:r>
        <w:rPr>
          <w:spacing w:val="-13"/>
          <w:sz w:val="20"/>
        </w:rPr>
        <w:t> </w:t>
      </w:r>
      <w:r>
        <w:rPr>
          <w:sz w:val="20"/>
        </w:rPr>
        <w:t>of</w:t>
      </w:r>
      <w:r>
        <w:rPr>
          <w:spacing w:val="-13"/>
          <w:sz w:val="20"/>
        </w:rPr>
        <w:t> </w:t>
      </w:r>
      <w:r>
        <w:rPr>
          <w:sz w:val="20"/>
        </w:rPr>
        <w:t>peremptory</w:t>
      </w:r>
      <w:r>
        <w:rPr>
          <w:spacing w:val="-13"/>
          <w:sz w:val="20"/>
        </w:rPr>
        <w:t> </w:t>
      </w:r>
      <w:r>
        <w:rPr>
          <w:sz w:val="20"/>
        </w:rPr>
        <w:t>challenges</w:t>
      </w:r>
      <w:r>
        <w:rPr>
          <w:spacing w:val="-13"/>
          <w:sz w:val="20"/>
        </w:rPr>
        <w:t> </w:t>
      </w:r>
      <w:r>
        <w:rPr>
          <w:sz w:val="20"/>
        </w:rPr>
        <w:t>to</w:t>
      </w:r>
      <w:r>
        <w:rPr>
          <w:spacing w:val="-13"/>
          <w:sz w:val="20"/>
        </w:rPr>
        <w:t> </w:t>
      </w:r>
      <w:r>
        <w:rPr>
          <w:sz w:val="20"/>
        </w:rPr>
        <w:t>ensure impartiality.</w:t>
      </w:r>
      <w:r>
        <w:rPr>
          <w:spacing w:val="-12"/>
          <w:sz w:val="20"/>
        </w:rPr>
        <w:t> </w:t>
      </w:r>
      <w:r>
        <w:rPr>
          <w:sz w:val="20"/>
        </w:rPr>
        <w:t>They</w:t>
      </w:r>
      <w:r>
        <w:rPr>
          <w:spacing w:val="-11"/>
          <w:sz w:val="20"/>
        </w:rPr>
        <w:t> </w:t>
      </w:r>
      <w:r>
        <w:rPr>
          <w:spacing w:val="-3"/>
          <w:sz w:val="20"/>
        </w:rPr>
        <w:t>argue</w:t>
      </w:r>
      <w:r>
        <w:rPr>
          <w:spacing w:val="-11"/>
          <w:sz w:val="20"/>
        </w:rPr>
        <w:t> </w:t>
      </w:r>
      <w:r>
        <w:rPr>
          <w:sz w:val="20"/>
        </w:rPr>
        <w:t>that</w:t>
      </w:r>
      <w:r>
        <w:rPr>
          <w:spacing w:val="-11"/>
          <w:sz w:val="20"/>
        </w:rPr>
        <w:t> </w:t>
      </w:r>
      <w:r>
        <w:rPr>
          <w:sz w:val="20"/>
        </w:rPr>
        <w:t>because</w:t>
      </w:r>
      <w:r>
        <w:rPr>
          <w:spacing w:val="-11"/>
          <w:sz w:val="20"/>
        </w:rPr>
        <w:t> </w:t>
      </w:r>
      <w:r>
        <w:rPr>
          <w:sz w:val="20"/>
        </w:rPr>
        <w:t>peremptory</w:t>
      </w:r>
      <w:r>
        <w:rPr>
          <w:spacing w:val="-11"/>
          <w:sz w:val="20"/>
        </w:rPr>
        <w:t> </w:t>
      </w:r>
      <w:r>
        <w:rPr>
          <w:sz w:val="20"/>
        </w:rPr>
        <w:t>challenges</w:t>
      </w:r>
      <w:r>
        <w:rPr>
          <w:spacing w:val="-11"/>
          <w:sz w:val="20"/>
        </w:rPr>
        <w:t> </w:t>
      </w:r>
      <w:r>
        <w:rPr>
          <w:spacing w:val="-3"/>
          <w:sz w:val="20"/>
        </w:rPr>
        <w:t>are</w:t>
      </w:r>
      <w:r>
        <w:rPr>
          <w:spacing w:val="-11"/>
          <w:sz w:val="20"/>
        </w:rPr>
        <w:t> </w:t>
      </w:r>
      <w:r>
        <w:rPr>
          <w:sz w:val="20"/>
        </w:rPr>
        <w:t>‘based</w:t>
      </w:r>
      <w:r>
        <w:rPr>
          <w:spacing w:val="-11"/>
          <w:sz w:val="20"/>
        </w:rPr>
        <w:t> </w:t>
      </w:r>
      <w:r>
        <w:rPr>
          <w:spacing w:val="-3"/>
          <w:sz w:val="20"/>
        </w:rPr>
        <w:t>predominantly </w:t>
      </w:r>
      <w:r>
        <w:rPr>
          <w:sz w:val="20"/>
        </w:rPr>
        <w:t>on</w:t>
      </w:r>
      <w:r>
        <w:rPr>
          <w:spacing w:val="-13"/>
          <w:sz w:val="20"/>
        </w:rPr>
        <w:t> </w:t>
      </w:r>
      <w:r>
        <w:rPr>
          <w:sz w:val="20"/>
        </w:rPr>
        <w:t>appearance,</w:t>
      </w:r>
      <w:r>
        <w:rPr>
          <w:spacing w:val="-12"/>
          <w:sz w:val="20"/>
        </w:rPr>
        <w:t> </w:t>
      </w:r>
      <w:r>
        <w:rPr>
          <w:sz w:val="20"/>
        </w:rPr>
        <w:t>there</w:t>
      </w:r>
      <w:r>
        <w:rPr>
          <w:spacing w:val="-13"/>
          <w:sz w:val="20"/>
        </w:rPr>
        <w:t> </w:t>
      </w:r>
      <w:r>
        <w:rPr>
          <w:sz w:val="20"/>
        </w:rPr>
        <w:t>must</w:t>
      </w:r>
      <w:r>
        <w:rPr>
          <w:spacing w:val="-12"/>
          <w:sz w:val="20"/>
        </w:rPr>
        <w:t> </w:t>
      </w:r>
      <w:r>
        <w:rPr>
          <w:sz w:val="20"/>
        </w:rPr>
        <w:t>necessarily</w:t>
      </w:r>
      <w:r>
        <w:rPr>
          <w:spacing w:val="-13"/>
          <w:sz w:val="20"/>
        </w:rPr>
        <w:t> </w:t>
      </w:r>
      <w:r>
        <w:rPr>
          <w:sz w:val="20"/>
        </w:rPr>
        <w:t>be</w:t>
      </w:r>
      <w:r>
        <w:rPr>
          <w:spacing w:val="-12"/>
          <w:sz w:val="20"/>
        </w:rPr>
        <w:t> </w:t>
      </w:r>
      <w:r>
        <w:rPr>
          <w:sz w:val="20"/>
        </w:rPr>
        <w:t>a</w:t>
      </w:r>
      <w:r>
        <w:rPr>
          <w:spacing w:val="-13"/>
          <w:sz w:val="20"/>
        </w:rPr>
        <w:t> </w:t>
      </w:r>
      <w:r>
        <w:rPr>
          <w:sz w:val="20"/>
        </w:rPr>
        <w:t>large</w:t>
      </w:r>
      <w:r>
        <w:rPr>
          <w:spacing w:val="-12"/>
          <w:sz w:val="20"/>
        </w:rPr>
        <w:t> </w:t>
      </w:r>
      <w:r>
        <w:rPr>
          <w:sz w:val="20"/>
        </w:rPr>
        <w:t>element</w:t>
      </w:r>
      <w:r>
        <w:rPr>
          <w:spacing w:val="-12"/>
          <w:sz w:val="20"/>
        </w:rPr>
        <w:t> </w:t>
      </w:r>
      <w:r>
        <w:rPr>
          <w:sz w:val="20"/>
        </w:rPr>
        <w:t>of</w:t>
      </w:r>
      <w:r>
        <w:rPr>
          <w:spacing w:val="-13"/>
          <w:sz w:val="20"/>
        </w:rPr>
        <w:t> </w:t>
      </w:r>
      <w:r>
        <w:rPr>
          <w:sz w:val="20"/>
        </w:rPr>
        <w:t>arbitrariness’</w:t>
      </w:r>
      <w:r>
        <w:rPr>
          <w:spacing w:val="-12"/>
          <w:sz w:val="20"/>
        </w:rPr>
        <w:t> </w:t>
      </w:r>
      <w:r>
        <w:rPr>
          <w:sz w:val="20"/>
        </w:rPr>
        <w:t>and</w:t>
      </w:r>
      <w:r>
        <w:rPr>
          <w:spacing w:val="-13"/>
          <w:sz w:val="20"/>
        </w:rPr>
        <w:t> </w:t>
      </w:r>
      <w:r>
        <w:rPr>
          <w:sz w:val="20"/>
        </w:rPr>
        <w:t>they</w:t>
      </w:r>
      <w:r>
        <w:rPr>
          <w:spacing w:val="-12"/>
          <w:sz w:val="20"/>
        </w:rPr>
        <w:t> </w:t>
      </w:r>
      <w:r>
        <w:rPr>
          <w:spacing w:val="-3"/>
          <w:sz w:val="20"/>
        </w:rPr>
        <w:t>are </w:t>
      </w:r>
      <w:r>
        <w:rPr>
          <w:sz w:val="20"/>
        </w:rPr>
        <w:t>often ‘devoid of much logical</w:t>
      </w:r>
      <w:r>
        <w:rPr>
          <w:spacing w:val="-23"/>
          <w:sz w:val="20"/>
        </w:rPr>
        <w:t> </w:t>
      </w:r>
      <w:r>
        <w:rPr>
          <w:sz w:val="20"/>
        </w:rPr>
        <w:t>“substance”’.</w:t>
      </w:r>
      <w:r>
        <w:rPr>
          <w:position w:val="7"/>
          <w:sz w:val="11"/>
        </w:rPr>
        <w:t>20</w:t>
      </w:r>
    </w:p>
    <w:p>
      <w:pPr>
        <w:pStyle w:val="BodyText"/>
      </w:pPr>
    </w:p>
    <w:p>
      <w:pPr>
        <w:pStyle w:val="BodyText"/>
      </w:pPr>
    </w:p>
    <w:p>
      <w:pPr>
        <w:pStyle w:val="BodyText"/>
      </w:pPr>
    </w:p>
    <w:p>
      <w:pPr>
        <w:pStyle w:val="BodyText"/>
      </w:pPr>
    </w:p>
    <w:p>
      <w:pPr>
        <w:pStyle w:val="BodyText"/>
      </w:pPr>
    </w:p>
    <w:p>
      <w:pPr>
        <w:pStyle w:val="BodyText"/>
      </w:pPr>
    </w:p>
    <w:p>
      <w:pPr>
        <w:pStyle w:val="BodyText"/>
        <w:spacing w:before="13"/>
        <w:rPr>
          <w:sz w:val="10"/>
        </w:rPr>
      </w:pPr>
      <w:r>
        <w:rPr/>
        <w:pict>
          <v:line style="position:absolute;mso-position-horizontal-relative:page;mso-position-vertical-relative:paragraph;z-index:10232;mso-wrap-distance-left:0;mso-wrap-distance-right:0" from="79.370102pt,10.0693pt" to="515.905102pt,10.0693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36"/>
        </w:rPr>
      </w:pPr>
    </w:p>
    <w:p>
      <w:pPr>
        <w:spacing w:before="0"/>
        <w:ind w:left="100" w:right="0" w:firstLine="0"/>
        <w:jc w:val="left"/>
        <w:rPr>
          <w:b/>
          <w:sz w:val="24"/>
        </w:rPr>
      </w:pPr>
      <w:r>
        <w:rPr>
          <w:b/>
          <w:color w:val="37617A"/>
          <w:sz w:val="24"/>
        </w:rPr>
        <w:t>194</w:t>
      </w:r>
    </w:p>
    <w:p>
      <w:pPr>
        <w:pStyle w:val="ListParagraph"/>
        <w:numPr>
          <w:ilvl w:val="0"/>
          <w:numId w:val="114"/>
        </w:numPr>
        <w:tabs>
          <w:tab w:pos="893" w:val="left" w:leader="none"/>
          <w:tab w:pos="894" w:val="left" w:leader="none"/>
        </w:tabs>
        <w:spacing w:line="213" w:lineRule="auto" w:before="38" w:after="0"/>
        <w:ind w:left="893" w:right="1262" w:hanging="793"/>
        <w:jc w:val="left"/>
        <w:rPr>
          <w:sz w:val="13"/>
        </w:rPr>
      </w:pPr>
      <w:r>
        <w:rPr>
          <w:spacing w:val="3"/>
          <w:w w:val="99"/>
          <w:sz w:val="13"/>
        </w:rPr>
        <w:br w:type="column"/>
      </w: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54–5 </w:t>
      </w:r>
      <w:r>
        <w:rPr>
          <w:spacing w:val="3"/>
          <w:sz w:val="13"/>
        </w:rPr>
        <w:t>[3.249]–[3.260]. </w:t>
      </w:r>
      <w:r>
        <w:rPr>
          <w:sz w:val="13"/>
        </w:rPr>
        <w:t>The </w:t>
      </w:r>
      <w:r>
        <w:rPr>
          <w:spacing w:val="2"/>
          <w:sz w:val="13"/>
        </w:rPr>
        <w:t>number </w:t>
      </w:r>
      <w:r>
        <w:rPr>
          <w:sz w:val="13"/>
        </w:rPr>
        <w:t>of peremptory challenges in criminal </w:t>
      </w:r>
      <w:r>
        <w:rPr>
          <w:spacing w:val="2"/>
          <w:sz w:val="13"/>
        </w:rPr>
        <w:t>trials </w:t>
      </w:r>
      <w:r>
        <w:rPr>
          <w:sz w:val="13"/>
        </w:rPr>
        <w:t>has since </w:t>
      </w:r>
      <w:r>
        <w:rPr>
          <w:spacing w:val="2"/>
          <w:sz w:val="13"/>
        </w:rPr>
        <w:t>been </w:t>
      </w:r>
      <w:r>
        <w:rPr>
          <w:sz w:val="13"/>
        </w:rPr>
        <w:t>reduced from six to three when there is a single person </w:t>
      </w:r>
      <w:r>
        <w:rPr>
          <w:spacing w:val="2"/>
          <w:sz w:val="13"/>
        </w:rPr>
        <w:t>arraigned, </w:t>
      </w:r>
      <w:r>
        <w:rPr>
          <w:sz w:val="13"/>
        </w:rPr>
        <w:t>and reduced from three to two for each </w:t>
      </w:r>
      <w:r>
        <w:rPr>
          <w:spacing w:val="2"/>
          <w:sz w:val="13"/>
        </w:rPr>
        <w:t>party </w:t>
      </w:r>
      <w:r>
        <w:rPr>
          <w:sz w:val="13"/>
        </w:rPr>
        <w:t>in a civil </w:t>
      </w:r>
      <w:r>
        <w:rPr>
          <w:spacing w:val="2"/>
          <w:sz w:val="13"/>
        </w:rPr>
        <w:t>jury trial: </w:t>
      </w:r>
      <w:r>
        <w:rPr>
          <w:i/>
          <w:sz w:val="13"/>
        </w:rPr>
        <w:t>Juries Act 2000 </w:t>
      </w:r>
      <w:r>
        <w:rPr>
          <w:spacing w:val="2"/>
          <w:sz w:val="13"/>
        </w:rPr>
        <w:t>(Vic) </w:t>
      </w:r>
      <w:r>
        <w:rPr>
          <w:sz w:val="13"/>
        </w:rPr>
        <w:t>s </w:t>
      </w:r>
      <w:r>
        <w:rPr>
          <w:spacing w:val="2"/>
          <w:sz w:val="13"/>
        </w:rPr>
        <w:t>39(1)(a) </w:t>
      </w:r>
      <w:r>
        <w:rPr>
          <w:sz w:val="13"/>
        </w:rPr>
        <w:t>and s </w:t>
      </w:r>
      <w:r>
        <w:rPr>
          <w:spacing w:val="3"/>
          <w:sz w:val="13"/>
        </w:rPr>
        <w:t>35, </w:t>
      </w:r>
      <w:r>
        <w:rPr>
          <w:sz w:val="13"/>
        </w:rPr>
        <w:t>respectively. If two or more persons are </w:t>
      </w:r>
      <w:r>
        <w:rPr>
          <w:spacing w:val="2"/>
          <w:sz w:val="13"/>
        </w:rPr>
        <w:t>arraigned </w:t>
      </w:r>
      <w:r>
        <w:rPr>
          <w:sz w:val="13"/>
        </w:rPr>
        <w:t>in a criminal </w:t>
      </w:r>
      <w:r>
        <w:rPr>
          <w:spacing w:val="2"/>
          <w:sz w:val="13"/>
        </w:rPr>
        <w:t>trial, </w:t>
      </w:r>
      <w:r>
        <w:rPr>
          <w:sz w:val="13"/>
        </w:rPr>
        <w:t>the accused can </w:t>
      </w:r>
      <w:r>
        <w:rPr>
          <w:spacing w:val="2"/>
          <w:sz w:val="13"/>
        </w:rPr>
        <w:t>stand </w:t>
      </w:r>
      <w:r>
        <w:rPr>
          <w:sz w:val="13"/>
        </w:rPr>
        <w:t>aside two potential jurors each (s 39(1)(b)). The </w:t>
      </w:r>
      <w:r>
        <w:rPr>
          <w:spacing w:val="2"/>
          <w:sz w:val="13"/>
        </w:rPr>
        <w:t>number </w:t>
      </w:r>
      <w:r>
        <w:rPr>
          <w:sz w:val="13"/>
        </w:rPr>
        <w:t>of jurors who can be peremptorily </w:t>
      </w:r>
      <w:r>
        <w:rPr>
          <w:spacing w:val="2"/>
          <w:sz w:val="13"/>
        </w:rPr>
        <w:t>challenged </w:t>
      </w:r>
      <w:r>
        <w:rPr>
          <w:sz w:val="13"/>
        </w:rPr>
        <w:t>was reduced by the </w:t>
      </w:r>
      <w:r>
        <w:rPr>
          <w:i/>
          <w:sz w:val="13"/>
        </w:rPr>
        <w:t>Justice Legislation Amendment (Court Security, Juries and Other Matters) Act 2017   </w:t>
      </w:r>
      <w:r>
        <w:rPr>
          <w:sz w:val="13"/>
        </w:rPr>
        <w:t>(Vic).</w:t>
      </w:r>
    </w:p>
    <w:p>
      <w:pPr>
        <w:pStyle w:val="ListParagraph"/>
        <w:numPr>
          <w:ilvl w:val="0"/>
          <w:numId w:val="114"/>
        </w:numPr>
        <w:tabs>
          <w:tab w:pos="893" w:val="left" w:leader="none"/>
          <w:tab w:pos="894" w:val="left" w:leader="none"/>
        </w:tabs>
        <w:spacing w:line="150" w:lineRule="exact" w:before="0" w:after="0"/>
        <w:ind w:left="893" w:right="0" w:hanging="793"/>
        <w:jc w:val="left"/>
        <w:rPr>
          <w:sz w:val="13"/>
        </w:rPr>
      </w:pPr>
      <w:r>
        <w:rPr>
          <w:i/>
          <w:sz w:val="13"/>
        </w:rPr>
        <w:t>Juries Act 2000 </w:t>
      </w:r>
      <w:r>
        <w:rPr>
          <w:spacing w:val="2"/>
          <w:sz w:val="13"/>
        </w:rPr>
        <w:t>(Vic) </w:t>
      </w:r>
      <w:r>
        <w:rPr>
          <w:sz w:val="13"/>
        </w:rPr>
        <w:t>s </w:t>
      </w:r>
      <w:r>
        <w:rPr>
          <w:spacing w:val="2"/>
          <w:sz w:val="13"/>
        </w:rPr>
        <w:t>39(3). </w:t>
      </w:r>
      <w:r>
        <w:rPr>
          <w:sz w:val="13"/>
        </w:rPr>
        <w:t>A clerk of a legal </w:t>
      </w:r>
      <w:r>
        <w:rPr>
          <w:spacing w:val="2"/>
          <w:sz w:val="13"/>
        </w:rPr>
        <w:t>practitioner </w:t>
      </w:r>
      <w:r>
        <w:rPr>
          <w:sz w:val="13"/>
        </w:rPr>
        <w:t>may </w:t>
      </w:r>
      <w:r>
        <w:rPr>
          <w:spacing w:val="2"/>
          <w:sz w:val="13"/>
        </w:rPr>
        <w:t>also </w:t>
      </w:r>
      <w:r>
        <w:rPr>
          <w:sz w:val="13"/>
        </w:rPr>
        <w:t>exercise the</w:t>
      </w:r>
      <w:r>
        <w:rPr>
          <w:spacing w:val="-1"/>
          <w:sz w:val="13"/>
        </w:rPr>
        <w:t> </w:t>
      </w:r>
      <w:r>
        <w:rPr>
          <w:sz w:val="13"/>
        </w:rPr>
        <w:t>right.</w:t>
      </w:r>
    </w:p>
    <w:p>
      <w:pPr>
        <w:pStyle w:val="ListParagraph"/>
        <w:numPr>
          <w:ilvl w:val="0"/>
          <w:numId w:val="114"/>
        </w:numPr>
        <w:tabs>
          <w:tab w:pos="893" w:val="left" w:leader="none"/>
          <w:tab w:pos="894" w:val="left" w:leader="none"/>
        </w:tabs>
        <w:spacing w:line="213" w:lineRule="auto" w:before="6" w:after="0"/>
        <w:ind w:left="100" w:right="3125" w:firstLine="0"/>
        <w:jc w:val="left"/>
        <w:rPr>
          <w:sz w:val="13"/>
        </w:rPr>
      </w:pP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60 </w:t>
      </w:r>
      <w:r>
        <w:rPr>
          <w:spacing w:val="3"/>
          <w:sz w:val="13"/>
        </w:rPr>
        <w:t>[3.293]–[3.296]. </w:t>
      </w:r>
      <w:r>
        <w:rPr>
          <w:sz w:val="13"/>
        </w:rPr>
        <w:t>15</w:t>
        <w:tab/>
        <w:t>Ibid 37 </w:t>
      </w:r>
      <w:r>
        <w:rPr>
          <w:spacing w:val="2"/>
          <w:sz w:val="13"/>
        </w:rPr>
        <w:t>[3.122].</w:t>
      </w:r>
    </w:p>
    <w:p>
      <w:pPr>
        <w:pStyle w:val="ListParagraph"/>
        <w:numPr>
          <w:ilvl w:val="0"/>
          <w:numId w:val="115"/>
        </w:numPr>
        <w:tabs>
          <w:tab w:pos="893" w:val="left" w:leader="none"/>
          <w:tab w:pos="894" w:val="left" w:leader="none"/>
        </w:tabs>
        <w:spacing w:line="153" w:lineRule="exact" w:before="0" w:after="0"/>
        <w:ind w:left="893" w:right="0" w:hanging="793"/>
        <w:jc w:val="left"/>
        <w:rPr>
          <w:sz w:val="13"/>
        </w:rPr>
      </w:pPr>
      <w:r>
        <w:rPr>
          <w:sz w:val="13"/>
        </w:rPr>
        <w:t>Jacqueline Horan, </w:t>
      </w:r>
      <w:r>
        <w:rPr>
          <w:i/>
          <w:sz w:val="13"/>
        </w:rPr>
        <w:t>Juries in the 21st Century </w:t>
      </w:r>
      <w:r>
        <w:rPr>
          <w:spacing w:val="2"/>
          <w:sz w:val="13"/>
        </w:rPr>
        <w:t>(The </w:t>
      </w:r>
      <w:r>
        <w:rPr>
          <w:sz w:val="13"/>
        </w:rPr>
        <w:t>Federation Press, 2012)</w:t>
      </w:r>
      <w:r>
        <w:rPr>
          <w:spacing w:val="6"/>
          <w:sz w:val="13"/>
        </w:rPr>
        <w:t> </w:t>
      </w:r>
      <w:r>
        <w:rPr>
          <w:spacing w:val="2"/>
          <w:sz w:val="13"/>
        </w:rPr>
        <w:t>38–42.</w:t>
      </w:r>
    </w:p>
    <w:p>
      <w:pPr>
        <w:pStyle w:val="ListParagraph"/>
        <w:numPr>
          <w:ilvl w:val="0"/>
          <w:numId w:val="115"/>
        </w:numPr>
        <w:tabs>
          <w:tab w:pos="893" w:val="left" w:leader="none"/>
          <w:tab w:pos="894" w:val="left" w:leader="none"/>
        </w:tabs>
        <w:spacing w:line="213" w:lineRule="auto" w:before="6" w:after="0"/>
        <w:ind w:left="893" w:right="1374" w:hanging="793"/>
        <w:jc w:val="left"/>
        <w:rPr>
          <w:sz w:val="13"/>
        </w:rPr>
      </w:pP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38 </w:t>
      </w:r>
      <w:r>
        <w:rPr>
          <w:spacing w:val="2"/>
          <w:sz w:val="13"/>
        </w:rPr>
        <w:t>[3.129], </w:t>
      </w:r>
      <w:r>
        <w:rPr>
          <w:sz w:val="13"/>
        </w:rPr>
        <w:t>citing Jacqueline Horan, </w:t>
      </w:r>
      <w:r>
        <w:rPr>
          <w:i/>
          <w:sz w:val="13"/>
        </w:rPr>
        <w:t>Juries in the </w:t>
      </w:r>
      <w:r>
        <w:rPr>
          <w:i/>
          <w:sz w:val="13"/>
        </w:rPr>
        <w:t>21st Century </w:t>
      </w:r>
      <w:r>
        <w:rPr>
          <w:spacing w:val="2"/>
          <w:sz w:val="13"/>
        </w:rPr>
        <w:t>(The </w:t>
      </w:r>
      <w:r>
        <w:rPr>
          <w:sz w:val="13"/>
        </w:rPr>
        <w:t>Federation Press, 2012) </w:t>
      </w:r>
      <w:r>
        <w:rPr>
          <w:spacing w:val="2"/>
          <w:sz w:val="13"/>
        </w:rPr>
        <w:t>29–42.</w:t>
      </w:r>
    </w:p>
    <w:p>
      <w:pPr>
        <w:pStyle w:val="ListParagraph"/>
        <w:numPr>
          <w:ilvl w:val="0"/>
          <w:numId w:val="115"/>
        </w:numPr>
        <w:tabs>
          <w:tab w:pos="893" w:val="left" w:leader="none"/>
          <w:tab w:pos="894" w:val="left" w:leader="none"/>
        </w:tabs>
        <w:spacing w:line="153" w:lineRule="exact" w:before="0" w:after="0"/>
        <w:ind w:left="893" w:right="0" w:hanging="793"/>
        <w:jc w:val="left"/>
        <w:rPr>
          <w:sz w:val="13"/>
        </w:rPr>
      </w:pPr>
      <w:r>
        <w:rPr>
          <w:spacing w:val="2"/>
          <w:sz w:val="13"/>
        </w:rPr>
        <w:t>Ibid.</w:t>
      </w:r>
    </w:p>
    <w:p>
      <w:pPr>
        <w:pStyle w:val="ListParagraph"/>
        <w:numPr>
          <w:ilvl w:val="0"/>
          <w:numId w:val="115"/>
        </w:numPr>
        <w:tabs>
          <w:tab w:pos="893" w:val="left" w:leader="none"/>
          <w:tab w:pos="894" w:val="left" w:leader="none"/>
        </w:tabs>
        <w:spacing w:line="213" w:lineRule="auto" w:before="7" w:after="0"/>
        <w:ind w:left="893" w:right="1517" w:hanging="793"/>
        <w:jc w:val="left"/>
        <w:rPr>
          <w:sz w:val="13"/>
        </w:rPr>
      </w:pPr>
      <w:r>
        <w:rPr>
          <w:sz w:val="13"/>
        </w:rPr>
        <w:t>Jacqueline Horan, ‘All about Juries: Why Do We Actually </w:t>
      </w:r>
      <w:r>
        <w:rPr>
          <w:spacing w:val="2"/>
          <w:sz w:val="13"/>
        </w:rPr>
        <w:t>Need </w:t>
      </w:r>
      <w:r>
        <w:rPr>
          <w:sz w:val="13"/>
        </w:rPr>
        <w:t>Them and </w:t>
      </w:r>
      <w:r>
        <w:rPr>
          <w:spacing w:val="2"/>
          <w:sz w:val="13"/>
        </w:rPr>
        <w:t>Can </w:t>
      </w:r>
      <w:r>
        <w:rPr>
          <w:sz w:val="13"/>
        </w:rPr>
        <w:t>They Get It “Wrong”?’, </w:t>
      </w:r>
      <w:r>
        <w:rPr>
          <w:i/>
          <w:sz w:val="13"/>
        </w:rPr>
        <w:t>The Conversation    </w:t>
      </w:r>
      <w:r>
        <w:rPr>
          <w:sz w:val="13"/>
        </w:rPr>
        <w:t>(Online, 7 March 2019) &lt;</w:t>
      </w:r>
      <w:hyperlink r:id="rId246">
        <w:r>
          <w:rPr>
            <w:sz w:val="13"/>
          </w:rPr>
          <w:t>http://theconversation.com/all-about-juries-why-do-we-actually-need-them-and-can-they-get-it-</w:t>
        </w:r>
      </w:hyperlink>
      <w:hyperlink r:id="rId246">
        <w:r>
          <w:rPr>
            <w:sz w:val="13"/>
          </w:rPr>
          <w:t> wrong-112703</w:t>
        </w:r>
      </w:hyperlink>
      <w:r>
        <w:rPr>
          <w:sz w:val="13"/>
        </w:rPr>
        <w:t>&gt;.</w:t>
      </w:r>
    </w:p>
    <w:p>
      <w:pPr>
        <w:pStyle w:val="ListParagraph"/>
        <w:numPr>
          <w:ilvl w:val="0"/>
          <w:numId w:val="115"/>
        </w:numPr>
        <w:tabs>
          <w:tab w:pos="893" w:val="left" w:leader="none"/>
          <w:tab w:pos="894" w:val="left" w:leader="none"/>
        </w:tabs>
        <w:spacing w:line="162" w:lineRule="exact" w:before="0" w:after="0"/>
        <w:ind w:left="893" w:right="0" w:hanging="793"/>
        <w:jc w:val="left"/>
        <w:rPr>
          <w:sz w:val="13"/>
        </w:rPr>
      </w:pPr>
      <w:r>
        <w:rPr>
          <w:sz w:val="13"/>
        </w:rPr>
        <w:t>Mark Findlay and Peter Duff, </w:t>
      </w:r>
      <w:r>
        <w:rPr>
          <w:i/>
          <w:spacing w:val="2"/>
          <w:sz w:val="13"/>
        </w:rPr>
        <w:t>Jury </w:t>
      </w:r>
      <w:r>
        <w:rPr>
          <w:i/>
          <w:sz w:val="13"/>
        </w:rPr>
        <w:t>Management in New South Wales </w:t>
      </w:r>
      <w:r>
        <w:rPr>
          <w:spacing w:val="2"/>
          <w:sz w:val="13"/>
        </w:rPr>
        <w:t>(Australian </w:t>
      </w:r>
      <w:r>
        <w:rPr>
          <w:sz w:val="13"/>
        </w:rPr>
        <w:t>Institute of Judicial Administration, </w:t>
      </w:r>
      <w:r>
        <w:rPr>
          <w:spacing w:val="2"/>
          <w:sz w:val="13"/>
        </w:rPr>
        <w:t>1994)</w:t>
      </w:r>
      <w:r>
        <w:rPr>
          <w:spacing w:val="21"/>
          <w:sz w:val="13"/>
        </w:rPr>
        <w:t> </w:t>
      </w:r>
      <w:r>
        <w:rPr>
          <w:spacing w:val="3"/>
          <w:sz w:val="13"/>
        </w:rPr>
        <w:t>52.</w:t>
      </w:r>
    </w:p>
    <w:p>
      <w:pPr>
        <w:spacing w:after="0" w:line="162" w:lineRule="exact"/>
        <w:jc w:val="left"/>
        <w:rPr>
          <w:sz w:val="13"/>
        </w:rPr>
        <w:sectPr>
          <w:type w:val="continuous"/>
          <w:pgSz w:w="11910" w:h="16840"/>
          <w:pgMar w:top="620" w:bottom="280" w:left="620" w:right="380"/>
          <w:cols w:num="2" w:equalWidth="0">
            <w:col w:w="534" w:space="333"/>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485" w:hanging="794"/>
        <w:jc w:val="left"/>
        <w:rPr>
          <w:sz w:val="11"/>
        </w:rPr>
      </w:pPr>
      <w:r>
        <w:rPr>
          <w:sz w:val="20"/>
        </w:rPr>
        <w:t>When interviewed </w:t>
      </w:r>
      <w:r>
        <w:rPr>
          <w:spacing w:val="-3"/>
          <w:sz w:val="20"/>
        </w:rPr>
        <w:t>by </w:t>
      </w:r>
      <w:r>
        <w:rPr>
          <w:i/>
          <w:sz w:val="20"/>
        </w:rPr>
        <w:t>The Age </w:t>
      </w:r>
      <w:r>
        <w:rPr>
          <w:sz w:val="20"/>
        </w:rPr>
        <w:t>about </w:t>
      </w:r>
      <w:r>
        <w:rPr>
          <w:spacing w:val="-3"/>
          <w:sz w:val="20"/>
        </w:rPr>
        <w:t>representativeness </w:t>
      </w:r>
      <w:r>
        <w:rPr>
          <w:sz w:val="20"/>
        </w:rPr>
        <w:t>of juries and peremptory challenges, barrister and criminal justice spokesperson for the Australian Lawyers Alliance</w:t>
      </w:r>
      <w:r>
        <w:rPr>
          <w:spacing w:val="-10"/>
          <w:sz w:val="20"/>
        </w:rPr>
        <w:t> </w:t>
      </w:r>
      <w:r>
        <w:rPr>
          <w:sz w:val="20"/>
        </w:rPr>
        <w:t>Greg</w:t>
      </w:r>
      <w:r>
        <w:rPr>
          <w:spacing w:val="-9"/>
          <w:sz w:val="20"/>
        </w:rPr>
        <w:t> </w:t>
      </w:r>
      <w:r>
        <w:rPr>
          <w:sz w:val="20"/>
        </w:rPr>
        <w:t>Barns</w:t>
      </w:r>
      <w:r>
        <w:rPr>
          <w:spacing w:val="-9"/>
          <w:sz w:val="20"/>
        </w:rPr>
        <w:t> </w:t>
      </w:r>
      <w:r>
        <w:rPr>
          <w:sz w:val="20"/>
        </w:rPr>
        <w:t>described</w:t>
      </w:r>
      <w:r>
        <w:rPr>
          <w:spacing w:val="-9"/>
          <w:sz w:val="20"/>
        </w:rPr>
        <w:t> </w:t>
      </w:r>
      <w:r>
        <w:rPr>
          <w:sz w:val="20"/>
        </w:rPr>
        <w:t>jury</w:t>
      </w:r>
      <w:r>
        <w:rPr>
          <w:spacing w:val="-9"/>
          <w:sz w:val="20"/>
        </w:rPr>
        <w:t> </w:t>
      </w:r>
      <w:r>
        <w:rPr>
          <w:sz w:val="20"/>
        </w:rPr>
        <w:t>selection</w:t>
      </w:r>
      <w:r>
        <w:rPr>
          <w:spacing w:val="-9"/>
          <w:sz w:val="20"/>
        </w:rPr>
        <w:t> </w:t>
      </w:r>
      <w:r>
        <w:rPr>
          <w:sz w:val="20"/>
        </w:rPr>
        <w:t>as</w:t>
      </w:r>
      <w:r>
        <w:rPr>
          <w:spacing w:val="-9"/>
          <w:sz w:val="20"/>
        </w:rPr>
        <w:t> </w:t>
      </w:r>
      <w:r>
        <w:rPr>
          <w:sz w:val="20"/>
        </w:rPr>
        <w:t>a</w:t>
      </w:r>
      <w:r>
        <w:rPr>
          <w:spacing w:val="-9"/>
          <w:sz w:val="20"/>
        </w:rPr>
        <w:t> </w:t>
      </w:r>
      <w:r>
        <w:rPr>
          <w:spacing w:val="-3"/>
          <w:sz w:val="20"/>
        </w:rPr>
        <w:t>‘primitive</w:t>
      </w:r>
      <w:r>
        <w:rPr>
          <w:spacing w:val="-9"/>
          <w:sz w:val="20"/>
        </w:rPr>
        <w:t> </w:t>
      </w:r>
      <w:r>
        <w:rPr>
          <w:spacing w:val="-4"/>
          <w:sz w:val="20"/>
        </w:rPr>
        <w:t>exercise’.</w:t>
      </w:r>
      <w:r>
        <w:rPr>
          <w:spacing w:val="-10"/>
          <w:sz w:val="20"/>
        </w:rPr>
        <w:t> </w:t>
      </w:r>
      <w:r>
        <w:rPr>
          <w:sz w:val="20"/>
        </w:rPr>
        <w:t>He</w:t>
      </w:r>
      <w:r>
        <w:rPr>
          <w:spacing w:val="-9"/>
          <w:sz w:val="20"/>
        </w:rPr>
        <w:t> </w:t>
      </w:r>
      <w:r>
        <w:rPr>
          <w:sz w:val="20"/>
        </w:rPr>
        <w:t>commented that ‘it’s a hunch </w:t>
      </w:r>
      <w:r>
        <w:rPr>
          <w:spacing w:val="-3"/>
          <w:sz w:val="20"/>
        </w:rPr>
        <w:t>you </w:t>
      </w:r>
      <w:r>
        <w:rPr>
          <w:sz w:val="20"/>
        </w:rPr>
        <w:t>take. </w:t>
      </w:r>
      <w:r>
        <w:rPr>
          <w:spacing w:val="-6"/>
          <w:sz w:val="20"/>
        </w:rPr>
        <w:t>You </w:t>
      </w:r>
      <w:r>
        <w:rPr>
          <w:sz w:val="20"/>
        </w:rPr>
        <w:t>want a jury of a particular type of cohort … It’s all witchcraft, no one does </w:t>
      </w:r>
      <w:r>
        <w:rPr>
          <w:spacing w:val="-3"/>
          <w:sz w:val="20"/>
        </w:rPr>
        <w:t>any</w:t>
      </w:r>
      <w:r>
        <w:rPr>
          <w:spacing w:val="-23"/>
          <w:sz w:val="20"/>
        </w:rPr>
        <w:t> </w:t>
      </w:r>
      <w:r>
        <w:rPr>
          <w:sz w:val="20"/>
        </w:rPr>
        <w:t>testing’.</w:t>
      </w:r>
      <w:r>
        <w:rPr>
          <w:position w:val="7"/>
          <w:sz w:val="11"/>
        </w:rPr>
        <w:t>21</w:t>
      </w:r>
    </w:p>
    <w:p>
      <w:pPr>
        <w:pStyle w:val="ListParagraph"/>
        <w:numPr>
          <w:ilvl w:val="1"/>
          <w:numId w:val="12"/>
        </w:numPr>
        <w:tabs>
          <w:tab w:pos="1761" w:val="left" w:leader="none"/>
          <w:tab w:pos="1762" w:val="left" w:leader="none"/>
        </w:tabs>
        <w:spacing w:line="206" w:lineRule="auto" w:before="126" w:after="0"/>
        <w:ind w:left="1761" w:right="1257" w:hanging="794"/>
        <w:jc w:val="left"/>
        <w:rPr>
          <w:sz w:val="20"/>
        </w:rPr>
      </w:pPr>
      <w:r>
        <w:rPr>
          <w:sz w:val="20"/>
        </w:rPr>
        <w:t>As </w:t>
      </w:r>
      <w:r>
        <w:rPr>
          <w:spacing w:val="-3"/>
          <w:sz w:val="20"/>
        </w:rPr>
        <w:t>we </w:t>
      </w:r>
      <w:r>
        <w:rPr>
          <w:sz w:val="20"/>
        </w:rPr>
        <w:t>noted in </w:t>
      </w:r>
      <w:r>
        <w:rPr>
          <w:spacing w:val="-2"/>
          <w:sz w:val="20"/>
        </w:rPr>
        <w:t>Chapter </w:t>
      </w:r>
      <w:r>
        <w:rPr>
          <w:spacing w:val="-3"/>
          <w:sz w:val="20"/>
        </w:rPr>
        <w:t>10, </w:t>
      </w:r>
      <w:r>
        <w:rPr>
          <w:sz w:val="20"/>
        </w:rPr>
        <w:t>the United </w:t>
      </w:r>
      <w:r>
        <w:rPr>
          <w:spacing w:val="-3"/>
          <w:sz w:val="20"/>
        </w:rPr>
        <w:t>States </w:t>
      </w:r>
      <w:r>
        <w:rPr>
          <w:sz w:val="20"/>
        </w:rPr>
        <w:t>jury selection system is quite different </w:t>
      </w:r>
      <w:r>
        <w:rPr>
          <w:spacing w:val="-3"/>
          <w:sz w:val="20"/>
        </w:rPr>
        <w:t>from</w:t>
      </w:r>
      <w:r>
        <w:rPr>
          <w:spacing w:val="-13"/>
          <w:sz w:val="20"/>
        </w:rPr>
        <w:t> </w:t>
      </w:r>
      <w:r>
        <w:rPr>
          <w:sz w:val="20"/>
        </w:rPr>
        <w:t>the</w:t>
      </w:r>
      <w:r>
        <w:rPr>
          <w:spacing w:val="-12"/>
          <w:sz w:val="20"/>
        </w:rPr>
        <w:t> </w:t>
      </w:r>
      <w:r>
        <w:rPr>
          <w:sz w:val="20"/>
        </w:rPr>
        <w:t>Australian</w:t>
      </w:r>
      <w:r>
        <w:rPr>
          <w:spacing w:val="-12"/>
          <w:sz w:val="20"/>
        </w:rPr>
        <w:t> </w:t>
      </w:r>
      <w:r>
        <w:rPr>
          <w:sz w:val="20"/>
        </w:rPr>
        <w:t>system</w:t>
      </w:r>
      <w:r>
        <w:rPr>
          <w:spacing w:val="-12"/>
          <w:sz w:val="20"/>
        </w:rPr>
        <w:t> </w:t>
      </w:r>
      <w:r>
        <w:rPr>
          <w:sz w:val="20"/>
        </w:rPr>
        <w:t>because</w:t>
      </w:r>
      <w:r>
        <w:rPr>
          <w:spacing w:val="-12"/>
          <w:sz w:val="20"/>
        </w:rPr>
        <w:t> </w:t>
      </w:r>
      <w:r>
        <w:rPr>
          <w:sz w:val="20"/>
        </w:rPr>
        <w:t>it</w:t>
      </w:r>
      <w:r>
        <w:rPr>
          <w:spacing w:val="-12"/>
          <w:sz w:val="20"/>
        </w:rPr>
        <w:t> </w:t>
      </w:r>
      <w:r>
        <w:rPr>
          <w:sz w:val="20"/>
        </w:rPr>
        <w:t>includes</w:t>
      </w:r>
      <w:r>
        <w:rPr>
          <w:spacing w:val="-12"/>
          <w:sz w:val="20"/>
        </w:rPr>
        <w:t> </w:t>
      </w:r>
      <w:r>
        <w:rPr>
          <w:sz w:val="20"/>
        </w:rPr>
        <w:t>a</w:t>
      </w:r>
      <w:r>
        <w:rPr>
          <w:spacing w:val="-12"/>
          <w:sz w:val="20"/>
        </w:rPr>
        <w:t> </w:t>
      </w:r>
      <w:r>
        <w:rPr>
          <w:sz w:val="20"/>
        </w:rPr>
        <w:t>‘voir</w:t>
      </w:r>
      <w:r>
        <w:rPr>
          <w:spacing w:val="-12"/>
          <w:sz w:val="20"/>
        </w:rPr>
        <w:t> </w:t>
      </w:r>
      <w:r>
        <w:rPr>
          <w:spacing w:val="-3"/>
          <w:sz w:val="20"/>
        </w:rPr>
        <w:t>dire’</w:t>
      </w:r>
      <w:r>
        <w:rPr>
          <w:spacing w:val="-13"/>
          <w:sz w:val="20"/>
        </w:rPr>
        <w:t> </w:t>
      </w:r>
      <w:r>
        <w:rPr>
          <w:sz w:val="20"/>
        </w:rPr>
        <w:t>examination.</w:t>
      </w:r>
      <w:r>
        <w:rPr>
          <w:position w:val="7"/>
          <w:sz w:val="11"/>
        </w:rPr>
        <w:t>22</w:t>
      </w:r>
      <w:r>
        <w:rPr>
          <w:spacing w:val="13"/>
          <w:position w:val="7"/>
          <w:sz w:val="11"/>
        </w:rPr>
        <w:t> </w:t>
      </w:r>
      <w:r>
        <w:rPr>
          <w:sz w:val="20"/>
        </w:rPr>
        <w:t>Nevertheless, </w:t>
      </w:r>
      <w:r>
        <w:rPr>
          <w:spacing w:val="-3"/>
          <w:sz w:val="20"/>
        </w:rPr>
        <w:t>research</w:t>
      </w:r>
      <w:r>
        <w:rPr>
          <w:spacing w:val="-10"/>
          <w:sz w:val="20"/>
        </w:rPr>
        <w:t> </w:t>
      </w:r>
      <w:r>
        <w:rPr>
          <w:sz w:val="20"/>
        </w:rPr>
        <w:t>in</w:t>
      </w:r>
      <w:r>
        <w:rPr>
          <w:spacing w:val="-9"/>
          <w:sz w:val="20"/>
        </w:rPr>
        <w:t> </w:t>
      </w:r>
      <w:r>
        <w:rPr>
          <w:sz w:val="20"/>
        </w:rPr>
        <w:t>the</w:t>
      </w:r>
      <w:r>
        <w:rPr>
          <w:spacing w:val="-9"/>
          <w:sz w:val="20"/>
        </w:rPr>
        <w:t> </w:t>
      </w:r>
      <w:r>
        <w:rPr>
          <w:sz w:val="20"/>
        </w:rPr>
        <w:t>United</w:t>
      </w:r>
      <w:r>
        <w:rPr>
          <w:spacing w:val="-9"/>
          <w:sz w:val="20"/>
        </w:rPr>
        <w:t> </w:t>
      </w:r>
      <w:r>
        <w:rPr>
          <w:spacing w:val="-3"/>
          <w:sz w:val="20"/>
        </w:rPr>
        <w:t>States</w:t>
      </w:r>
      <w:r>
        <w:rPr>
          <w:spacing w:val="-10"/>
          <w:sz w:val="20"/>
        </w:rPr>
        <w:t> </w:t>
      </w:r>
      <w:r>
        <w:rPr>
          <w:sz w:val="20"/>
        </w:rPr>
        <w:t>has</w:t>
      </w:r>
      <w:r>
        <w:rPr>
          <w:spacing w:val="-9"/>
          <w:sz w:val="20"/>
        </w:rPr>
        <w:t> </w:t>
      </w:r>
      <w:r>
        <w:rPr>
          <w:sz w:val="20"/>
        </w:rPr>
        <w:t>highlighted</w:t>
      </w:r>
      <w:r>
        <w:rPr>
          <w:spacing w:val="-9"/>
          <w:sz w:val="20"/>
        </w:rPr>
        <w:t> </w:t>
      </w:r>
      <w:r>
        <w:rPr>
          <w:sz w:val="20"/>
        </w:rPr>
        <w:t>that</w:t>
      </w:r>
      <w:r>
        <w:rPr>
          <w:spacing w:val="-9"/>
          <w:sz w:val="20"/>
        </w:rPr>
        <w:t> </w:t>
      </w:r>
      <w:r>
        <w:rPr>
          <w:sz w:val="20"/>
        </w:rPr>
        <w:t>the</w:t>
      </w:r>
      <w:r>
        <w:rPr>
          <w:spacing w:val="-10"/>
          <w:sz w:val="20"/>
        </w:rPr>
        <w:t> </w:t>
      </w:r>
      <w:r>
        <w:rPr>
          <w:sz w:val="20"/>
        </w:rPr>
        <w:t>peremptory</w:t>
      </w:r>
      <w:r>
        <w:rPr>
          <w:spacing w:val="-9"/>
          <w:sz w:val="20"/>
        </w:rPr>
        <w:t> </w:t>
      </w:r>
      <w:r>
        <w:rPr>
          <w:sz w:val="20"/>
        </w:rPr>
        <w:t>challenge</w:t>
      </w:r>
      <w:r>
        <w:rPr>
          <w:spacing w:val="-9"/>
          <w:sz w:val="20"/>
        </w:rPr>
        <w:t> </w:t>
      </w:r>
      <w:r>
        <w:rPr>
          <w:sz w:val="20"/>
        </w:rPr>
        <w:t>process</w:t>
      </w:r>
    </w:p>
    <w:p>
      <w:pPr>
        <w:pStyle w:val="BodyText"/>
        <w:spacing w:line="230" w:lineRule="exact"/>
        <w:ind w:left="1761"/>
      </w:pPr>
      <w:r>
        <w:rPr/>
        <w:t>is still no better than a guessing game: ‘Most of the time, attorneys have little idea how</w:t>
      </w:r>
    </w:p>
    <w:p>
      <w:pPr>
        <w:pStyle w:val="BodyText"/>
        <w:spacing w:line="259" w:lineRule="exact"/>
        <w:ind w:left="1761"/>
        <w:rPr>
          <w:sz w:val="11"/>
        </w:rPr>
      </w:pPr>
      <w:r>
        <w:rPr/>
        <w:t>specific jurors are apt to respond to the arguments and evidence they offer at trial’.</w:t>
      </w:r>
      <w:r>
        <w:rPr>
          <w:position w:val="7"/>
          <w:sz w:val="11"/>
        </w:rPr>
        <w:t>23</w:t>
      </w:r>
    </w:p>
    <w:p>
      <w:pPr>
        <w:pStyle w:val="Heading6"/>
        <w:spacing w:before="120"/>
        <w:rPr>
          <w:b/>
        </w:rPr>
      </w:pPr>
      <w:r>
        <w:rPr>
          <w:b/>
        </w:rPr>
        <w:t>Peremptory challenges are discriminatory</w:t>
      </w:r>
    </w:p>
    <w:p>
      <w:pPr>
        <w:pStyle w:val="ListParagraph"/>
        <w:numPr>
          <w:ilvl w:val="1"/>
          <w:numId w:val="12"/>
        </w:numPr>
        <w:tabs>
          <w:tab w:pos="1761" w:val="left" w:leader="none"/>
          <w:tab w:pos="1762" w:val="left" w:leader="none"/>
        </w:tabs>
        <w:spacing w:line="206" w:lineRule="auto" w:before="131" w:after="0"/>
        <w:ind w:left="1761" w:right="2129" w:hanging="794"/>
        <w:jc w:val="left"/>
        <w:rPr>
          <w:sz w:val="20"/>
        </w:rPr>
      </w:pPr>
      <w:r>
        <w:rPr>
          <w:sz w:val="20"/>
        </w:rPr>
        <w:t>Jury</w:t>
      </w:r>
      <w:r>
        <w:rPr>
          <w:spacing w:val="-9"/>
          <w:sz w:val="20"/>
        </w:rPr>
        <w:t> </w:t>
      </w:r>
      <w:r>
        <w:rPr>
          <w:sz w:val="20"/>
        </w:rPr>
        <w:t>selection</w:t>
      </w:r>
      <w:r>
        <w:rPr>
          <w:spacing w:val="-8"/>
          <w:sz w:val="20"/>
        </w:rPr>
        <w:t> </w:t>
      </w:r>
      <w:r>
        <w:rPr>
          <w:sz w:val="20"/>
        </w:rPr>
        <w:t>is</w:t>
      </w:r>
      <w:r>
        <w:rPr>
          <w:spacing w:val="-8"/>
          <w:sz w:val="20"/>
        </w:rPr>
        <w:t> </w:t>
      </w:r>
      <w:r>
        <w:rPr>
          <w:sz w:val="20"/>
        </w:rPr>
        <w:t>not</w:t>
      </w:r>
      <w:r>
        <w:rPr>
          <w:spacing w:val="-8"/>
          <w:sz w:val="20"/>
        </w:rPr>
        <w:t> </w:t>
      </w:r>
      <w:r>
        <w:rPr>
          <w:spacing w:val="-3"/>
          <w:sz w:val="20"/>
        </w:rPr>
        <w:t>directly</w:t>
      </w:r>
      <w:r>
        <w:rPr>
          <w:spacing w:val="-8"/>
          <w:sz w:val="20"/>
        </w:rPr>
        <w:t> </w:t>
      </w:r>
      <w:r>
        <w:rPr>
          <w:spacing w:val="-4"/>
          <w:sz w:val="20"/>
        </w:rPr>
        <w:t>covered</w:t>
      </w:r>
      <w:r>
        <w:rPr>
          <w:spacing w:val="-9"/>
          <w:sz w:val="20"/>
        </w:rPr>
        <w:t> </w:t>
      </w:r>
      <w:r>
        <w:rPr>
          <w:spacing w:val="-3"/>
          <w:sz w:val="20"/>
        </w:rPr>
        <w:t>by</w:t>
      </w:r>
      <w:r>
        <w:rPr>
          <w:spacing w:val="-8"/>
          <w:sz w:val="20"/>
        </w:rPr>
        <w:t> </w:t>
      </w:r>
      <w:r>
        <w:rPr>
          <w:sz w:val="20"/>
        </w:rPr>
        <w:t>federal</w:t>
      </w:r>
      <w:r>
        <w:rPr>
          <w:spacing w:val="-8"/>
          <w:sz w:val="20"/>
        </w:rPr>
        <w:t> </w:t>
      </w:r>
      <w:r>
        <w:rPr>
          <w:sz w:val="20"/>
        </w:rPr>
        <w:t>or</w:t>
      </w:r>
      <w:r>
        <w:rPr>
          <w:spacing w:val="-8"/>
          <w:sz w:val="20"/>
        </w:rPr>
        <w:t> </w:t>
      </w:r>
      <w:r>
        <w:rPr>
          <w:sz w:val="20"/>
        </w:rPr>
        <w:t>state</w:t>
      </w:r>
      <w:r>
        <w:rPr>
          <w:spacing w:val="-8"/>
          <w:sz w:val="20"/>
        </w:rPr>
        <w:t> </w:t>
      </w:r>
      <w:r>
        <w:rPr>
          <w:sz w:val="20"/>
        </w:rPr>
        <w:t>discrimination</w:t>
      </w:r>
      <w:r>
        <w:rPr>
          <w:spacing w:val="-9"/>
          <w:sz w:val="20"/>
        </w:rPr>
        <w:t> </w:t>
      </w:r>
      <w:r>
        <w:rPr>
          <w:spacing w:val="-3"/>
          <w:sz w:val="20"/>
        </w:rPr>
        <w:t>laws</w:t>
      </w:r>
      <w:r>
        <w:rPr>
          <w:spacing w:val="-8"/>
          <w:sz w:val="20"/>
        </w:rPr>
        <w:t> </w:t>
      </w:r>
      <w:r>
        <w:rPr>
          <w:sz w:val="20"/>
        </w:rPr>
        <w:t>in Australia.</w:t>
      </w:r>
      <w:r>
        <w:rPr>
          <w:position w:val="7"/>
          <w:sz w:val="11"/>
        </w:rPr>
        <w:t>24 </w:t>
      </w:r>
      <w:r>
        <w:rPr>
          <w:sz w:val="20"/>
        </w:rPr>
        <w:t>County Court consultees observed</w:t>
      </w:r>
      <w:r>
        <w:rPr>
          <w:spacing w:val="-27"/>
          <w:sz w:val="20"/>
        </w:rPr>
        <w:t> </w:t>
      </w:r>
      <w:r>
        <w:rPr>
          <w:sz w:val="20"/>
        </w:rPr>
        <w:t>that:</w:t>
      </w:r>
    </w:p>
    <w:p>
      <w:pPr>
        <w:spacing w:line="208" w:lineRule="auto" w:before="121"/>
        <w:ind w:left="2157" w:right="1182" w:firstLine="0"/>
        <w:jc w:val="left"/>
        <w:rPr>
          <w:sz w:val="11"/>
        </w:rPr>
      </w:pPr>
      <w:r>
        <w:rPr>
          <w:sz w:val="19"/>
        </w:rPr>
        <w:t>The exercise of a peremptory challenge does not fall within any of the prohibited heads of discrimination (such as the provision of goods and services) under discrimination law. This means that they can be exercised on discriminatory grounds.</w:t>
      </w:r>
      <w:r>
        <w:rPr>
          <w:position w:val="6"/>
          <w:sz w:val="11"/>
        </w:rPr>
        <w:t>25</w:t>
      </w:r>
    </w:p>
    <w:p>
      <w:pPr>
        <w:pStyle w:val="ListParagraph"/>
        <w:numPr>
          <w:ilvl w:val="1"/>
          <w:numId w:val="12"/>
        </w:numPr>
        <w:tabs>
          <w:tab w:pos="1761" w:val="left" w:leader="none"/>
          <w:tab w:pos="1762" w:val="left" w:leader="none"/>
        </w:tabs>
        <w:spacing w:line="206" w:lineRule="auto" w:before="124" w:after="0"/>
        <w:ind w:left="1761" w:right="1309" w:hanging="794"/>
        <w:jc w:val="left"/>
        <w:rPr>
          <w:sz w:val="11"/>
        </w:rPr>
      </w:pPr>
      <w:r>
        <w:rPr>
          <w:spacing w:val="-3"/>
          <w:sz w:val="20"/>
        </w:rPr>
        <w:t>Many </w:t>
      </w:r>
      <w:r>
        <w:rPr>
          <w:sz w:val="20"/>
        </w:rPr>
        <w:t>judges consulted </w:t>
      </w:r>
      <w:r>
        <w:rPr>
          <w:spacing w:val="-3"/>
          <w:sz w:val="20"/>
        </w:rPr>
        <w:t>by </w:t>
      </w:r>
      <w:r>
        <w:rPr>
          <w:sz w:val="20"/>
        </w:rPr>
        <w:t>the Commission for the jury empanelment report considered reliance on stereotypes about people with certain characteristics to be unscientific and ineffectual in determining whether a prospective juror was suitable. One County Court judge quoted in that report questioned whether the law should continue</w:t>
      </w:r>
      <w:r>
        <w:rPr>
          <w:spacing w:val="-12"/>
          <w:sz w:val="20"/>
        </w:rPr>
        <w:t> </w:t>
      </w:r>
      <w:r>
        <w:rPr>
          <w:sz w:val="20"/>
        </w:rPr>
        <w:t>to</w:t>
      </w:r>
      <w:r>
        <w:rPr>
          <w:spacing w:val="-12"/>
          <w:sz w:val="20"/>
        </w:rPr>
        <w:t> </w:t>
      </w:r>
      <w:r>
        <w:rPr>
          <w:sz w:val="20"/>
        </w:rPr>
        <w:t>facilitate</w:t>
      </w:r>
      <w:r>
        <w:rPr>
          <w:spacing w:val="-12"/>
          <w:sz w:val="20"/>
        </w:rPr>
        <w:t> </w:t>
      </w:r>
      <w:r>
        <w:rPr>
          <w:sz w:val="20"/>
        </w:rPr>
        <w:t>the</w:t>
      </w:r>
      <w:r>
        <w:rPr>
          <w:spacing w:val="-11"/>
          <w:sz w:val="20"/>
        </w:rPr>
        <w:t> </w:t>
      </w:r>
      <w:r>
        <w:rPr>
          <w:spacing w:val="-3"/>
          <w:sz w:val="20"/>
        </w:rPr>
        <w:t>exclusion</w:t>
      </w:r>
      <w:r>
        <w:rPr>
          <w:spacing w:val="-12"/>
          <w:sz w:val="20"/>
        </w:rPr>
        <w:t> </w:t>
      </w:r>
      <w:r>
        <w:rPr>
          <w:sz w:val="20"/>
        </w:rPr>
        <w:t>of</w:t>
      </w:r>
      <w:r>
        <w:rPr>
          <w:spacing w:val="-12"/>
          <w:sz w:val="20"/>
        </w:rPr>
        <w:t> </w:t>
      </w:r>
      <w:r>
        <w:rPr>
          <w:sz w:val="20"/>
        </w:rPr>
        <w:t>prospective</w:t>
      </w:r>
      <w:r>
        <w:rPr>
          <w:spacing w:val="-11"/>
          <w:sz w:val="20"/>
        </w:rPr>
        <w:t> </w:t>
      </w:r>
      <w:r>
        <w:rPr>
          <w:sz w:val="20"/>
        </w:rPr>
        <w:t>jurors</w:t>
      </w:r>
      <w:r>
        <w:rPr>
          <w:spacing w:val="-12"/>
          <w:sz w:val="20"/>
        </w:rPr>
        <w:t> </w:t>
      </w:r>
      <w:r>
        <w:rPr>
          <w:sz w:val="20"/>
        </w:rPr>
        <w:t>on</w:t>
      </w:r>
      <w:r>
        <w:rPr>
          <w:spacing w:val="-12"/>
          <w:sz w:val="20"/>
        </w:rPr>
        <w:t> </w:t>
      </w:r>
      <w:r>
        <w:rPr>
          <w:sz w:val="20"/>
        </w:rPr>
        <w:t>bases</w:t>
      </w:r>
      <w:r>
        <w:rPr>
          <w:spacing w:val="-11"/>
          <w:sz w:val="20"/>
        </w:rPr>
        <w:t> </w:t>
      </w:r>
      <w:r>
        <w:rPr>
          <w:sz w:val="20"/>
        </w:rPr>
        <w:t>which</w:t>
      </w:r>
      <w:r>
        <w:rPr>
          <w:spacing w:val="-12"/>
          <w:sz w:val="20"/>
        </w:rPr>
        <w:t> </w:t>
      </w:r>
      <w:r>
        <w:rPr>
          <w:spacing w:val="-3"/>
          <w:sz w:val="20"/>
        </w:rPr>
        <w:t>would</w:t>
      </w:r>
      <w:r>
        <w:rPr>
          <w:spacing w:val="-12"/>
          <w:sz w:val="20"/>
        </w:rPr>
        <w:t> </w:t>
      </w:r>
      <w:r>
        <w:rPr>
          <w:sz w:val="20"/>
        </w:rPr>
        <w:t>amount to prohibited discrimination in other spheres of</w:t>
      </w:r>
      <w:r>
        <w:rPr>
          <w:spacing w:val="-35"/>
          <w:sz w:val="20"/>
        </w:rPr>
        <w:t> </w:t>
      </w:r>
      <w:r>
        <w:rPr>
          <w:sz w:val="20"/>
        </w:rPr>
        <w:t>life.</w:t>
      </w:r>
      <w:r>
        <w:rPr>
          <w:position w:val="7"/>
          <w:sz w:val="11"/>
        </w:rPr>
        <w:t>26</w:t>
      </w:r>
    </w:p>
    <w:p>
      <w:pPr>
        <w:pStyle w:val="ListParagraph"/>
        <w:numPr>
          <w:ilvl w:val="1"/>
          <w:numId w:val="12"/>
        </w:numPr>
        <w:tabs>
          <w:tab w:pos="1761" w:val="left" w:leader="none"/>
          <w:tab w:pos="1762" w:val="left" w:leader="none"/>
        </w:tabs>
        <w:spacing w:line="240" w:lineRule="auto" w:before="95" w:after="0"/>
        <w:ind w:left="1761" w:right="0" w:hanging="794"/>
        <w:jc w:val="left"/>
        <w:rPr>
          <w:sz w:val="20"/>
        </w:rPr>
      </w:pPr>
      <w:r>
        <w:rPr>
          <w:sz w:val="20"/>
        </w:rPr>
        <w:t>Daniel Stubbs </w:t>
      </w:r>
      <w:r>
        <w:rPr>
          <w:spacing w:val="-3"/>
          <w:sz w:val="20"/>
        </w:rPr>
        <w:t>told</w:t>
      </w:r>
      <w:r>
        <w:rPr>
          <w:spacing w:val="-13"/>
          <w:sz w:val="20"/>
        </w:rPr>
        <w:t> </w:t>
      </w:r>
      <w:r>
        <w:rPr>
          <w:sz w:val="20"/>
        </w:rPr>
        <w:t>us:</w:t>
      </w:r>
    </w:p>
    <w:p>
      <w:pPr>
        <w:spacing w:line="208" w:lineRule="auto" w:before="112"/>
        <w:ind w:left="2157" w:right="1419" w:firstLine="0"/>
        <w:jc w:val="left"/>
        <w:rPr>
          <w:sz w:val="11"/>
        </w:rPr>
      </w:pPr>
      <w:r>
        <w:rPr>
          <w:sz w:val="19"/>
        </w:rPr>
        <w:t>It is worth thinking about challenges in line with discrimination legislation, both under State and international law. Whether a person can or cannot serve should be determined in line with discrimination law.</w:t>
      </w:r>
      <w:r>
        <w:rPr>
          <w:position w:val="6"/>
          <w:sz w:val="11"/>
        </w:rPr>
        <w:t>27</w:t>
      </w:r>
    </w:p>
    <w:p>
      <w:pPr>
        <w:pStyle w:val="Heading6"/>
        <w:spacing w:before="129"/>
        <w:rPr>
          <w:b/>
        </w:rPr>
      </w:pPr>
      <w:r>
        <w:rPr>
          <w:b/>
        </w:rPr>
        <w:t>Peremptory challenges undermine representativeness</w:t>
      </w:r>
    </w:p>
    <w:p>
      <w:pPr>
        <w:pStyle w:val="ListParagraph"/>
        <w:numPr>
          <w:ilvl w:val="1"/>
          <w:numId w:val="12"/>
        </w:numPr>
        <w:tabs>
          <w:tab w:pos="1762" w:val="left" w:leader="none"/>
        </w:tabs>
        <w:spacing w:line="206" w:lineRule="auto" w:before="132" w:after="0"/>
        <w:ind w:left="1761" w:right="1459" w:hanging="794"/>
        <w:jc w:val="both"/>
        <w:rPr>
          <w:sz w:val="20"/>
        </w:rPr>
      </w:pPr>
      <w:r>
        <w:rPr>
          <w:sz w:val="20"/>
        </w:rPr>
        <w:t>The</w:t>
      </w:r>
      <w:r>
        <w:rPr>
          <w:spacing w:val="-7"/>
          <w:sz w:val="20"/>
        </w:rPr>
        <w:t> </w:t>
      </w:r>
      <w:r>
        <w:rPr>
          <w:sz w:val="20"/>
        </w:rPr>
        <w:t>main</w:t>
      </w:r>
      <w:r>
        <w:rPr>
          <w:spacing w:val="-6"/>
          <w:sz w:val="20"/>
        </w:rPr>
        <w:t> </w:t>
      </w:r>
      <w:r>
        <w:rPr>
          <w:spacing w:val="-4"/>
          <w:sz w:val="20"/>
        </w:rPr>
        <w:t>way</w:t>
      </w:r>
      <w:r>
        <w:rPr>
          <w:spacing w:val="-6"/>
          <w:sz w:val="20"/>
        </w:rPr>
        <w:t> </w:t>
      </w:r>
      <w:r>
        <w:rPr>
          <w:sz w:val="20"/>
        </w:rPr>
        <w:t>that</w:t>
      </w:r>
      <w:r>
        <w:rPr>
          <w:spacing w:val="-6"/>
          <w:sz w:val="20"/>
        </w:rPr>
        <w:t> </w:t>
      </w:r>
      <w:r>
        <w:rPr>
          <w:sz w:val="20"/>
        </w:rPr>
        <w:t>the</w:t>
      </w:r>
      <w:r>
        <w:rPr>
          <w:spacing w:val="-6"/>
          <w:sz w:val="20"/>
        </w:rPr>
        <w:t> </w:t>
      </w:r>
      <w:r>
        <w:rPr>
          <w:sz w:val="20"/>
        </w:rPr>
        <w:t>jury</w:t>
      </w:r>
      <w:r>
        <w:rPr>
          <w:spacing w:val="-6"/>
          <w:sz w:val="20"/>
        </w:rPr>
        <w:t> </w:t>
      </w:r>
      <w:r>
        <w:rPr>
          <w:sz w:val="20"/>
        </w:rPr>
        <w:t>system</w:t>
      </w:r>
      <w:r>
        <w:rPr>
          <w:spacing w:val="-6"/>
          <w:sz w:val="20"/>
        </w:rPr>
        <w:t> </w:t>
      </w:r>
      <w:r>
        <w:rPr>
          <w:sz w:val="20"/>
        </w:rPr>
        <w:t>seeks</w:t>
      </w:r>
      <w:r>
        <w:rPr>
          <w:spacing w:val="-6"/>
          <w:sz w:val="20"/>
        </w:rPr>
        <w:t> </w:t>
      </w:r>
      <w:r>
        <w:rPr>
          <w:sz w:val="20"/>
        </w:rPr>
        <w:t>to</w:t>
      </w:r>
      <w:r>
        <w:rPr>
          <w:spacing w:val="-6"/>
          <w:sz w:val="20"/>
        </w:rPr>
        <w:t> </w:t>
      </w:r>
      <w:r>
        <w:rPr>
          <w:spacing w:val="-3"/>
          <w:sz w:val="20"/>
        </w:rPr>
        <w:t>achieve</w:t>
      </w:r>
      <w:r>
        <w:rPr>
          <w:spacing w:val="-6"/>
          <w:sz w:val="20"/>
        </w:rPr>
        <w:t> </w:t>
      </w:r>
      <w:r>
        <w:rPr>
          <w:spacing w:val="-3"/>
          <w:sz w:val="20"/>
        </w:rPr>
        <w:t>representativeness</w:t>
      </w:r>
      <w:r>
        <w:rPr>
          <w:spacing w:val="-6"/>
          <w:sz w:val="20"/>
        </w:rPr>
        <w:t> </w:t>
      </w:r>
      <w:r>
        <w:rPr>
          <w:sz w:val="20"/>
        </w:rPr>
        <w:t>is</w:t>
      </w:r>
      <w:r>
        <w:rPr>
          <w:spacing w:val="-6"/>
          <w:sz w:val="20"/>
        </w:rPr>
        <w:t> </w:t>
      </w:r>
      <w:r>
        <w:rPr>
          <w:spacing w:val="-3"/>
          <w:sz w:val="20"/>
        </w:rPr>
        <w:t>by</w:t>
      </w:r>
      <w:r>
        <w:rPr>
          <w:spacing w:val="-6"/>
          <w:sz w:val="20"/>
        </w:rPr>
        <w:t> </w:t>
      </w:r>
      <w:r>
        <w:rPr>
          <w:sz w:val="20"/>
        </w:rPr>
        <w:t>random selection.</w:t>
      </w:r>
      <w:r>
        <w:rPr>
          <w:position w:val="7"/>
          <w:sz w:val="11"/>
        </w:rPr>
        <w:t>28 </w:t>
      </w:r>
      <w:r>
        <w:rPr>
          <w:sz w:val="20"/>
        </w:rPr>
        <w:t>Discriminatory use of challenges can impact the </w:t>
      </w:r>
      <w:r>
        <w:rPr>
          <w:spacing w:val="-3"/>
          <w:sz w:val="20"/>
        </w:rPr>
        <w:t>representative nature </w:t>
      </w:r>
      <w:r>
        <w:rPr>
          <w:sz w:val="20"/>
        </w:rPr>
        <w:t>of juries </w:t>
      </w:r>
      <w:r>
        <w:rPr>
          <w:spacing w:val="-3"/>
          <w:sz w:val="20"/>
        </w:rPr>
        <w:t>by </w:t>
      </w:r>
      <w:r>
        <w:rPr>
          <w:sz w:val="20"/>
        </w:rPr>
        <w:t>eliminating people with certain</w:t>
      </w:r>
      <w:r>
        <w:rPr>
          <w:spacing w:val="-29"/>
          <w:sz w:val="20"/>
        </w:rPr>
        <w:t> </w:t>
      </w:r>
      <w:r>
        <w:rPr>
          <w:sz w:val="20"/>
        </w:rPr>
        <w:t>characteristics.</w:t>
      </w:r>
    </w:p>
    <w:p>
      <w:pPr>
        <w:pStyle w:val="ListParagraph"/>
        <w:numPr>
          <w:ilvl w:val="1"/>
          <w:numId w:val="12"/>
        </w:numPr>
        <w:tabs>
          <w:tab w:pos="1761" w:val="left" w:leader="none"/>
          <w:tab w:pos="1762" w:val="left" w:leader="none"/>
        </w:tabs>
        <w:spacing w:line="206" w:lineRule="auto" w:before="123" w:after="0"/>
        <w:ind w:left="1761" w:right="1578" w:hanging="794"/>
        <w:jc w:val="left"/>
        <w:rPr>
          <w:sz w:val="20"/>
        </w:rPr>
      </w:pPr>
      <w:r>
        <w:rPr>
          <w:sz w:val="20"/>
        </w:rPr>
        <w:t>In</w:t>
      </w:r>
      <w:r>
        <w:rPr>
          <w:spacing w:val="-11"/>
          <w:sz w:val="20"/>
        </w:rPr>
        <w:t> </w:t>
      </w:r>
      <w:r>
        <w:rPr>
          <w:sz w:val="20"/>
        </w:rPr>
        <w:t>our</w:t>
      </w:r>
      <w:r>
        <w:rPr>
          <w:spacing w:val="-10"/>
          <w:sz w:val="20"/>
        </w:rPr>
        <w:t> </w:t>
      </w:r>
      <w:r>
        <w:rPr>
          <w:sz w:val="20"/>
        </w:rPr>
        <w:t>jury</w:t>
      </w:r>
      <w:r>
        <w:rPr>
          <w:spacing w:val="-10"/>
          <w:sz w:val="20"/>
        </w:rPr>
        <w:t> </w:t>
      </w:r>
      <w:r>
        <w:rPr>
          <w:sz w:val="20"/>
        </w:rPr>
        <w:t>empanelment</w:t>
      </w:r>
      <w:r>
        <w:rPr>
          <w:spacing w:val="-10"/>
          <w:sz w:val="20"/>
        </w:rPr>
        <w:t> </w:t>
      </w:r>
      <w:r>
        <w:rPr>
          <w:sz w:val="20"/>
        </w:rPr>
        <w:t>inquiry</w:t>
      </w:r>
      <w:r>
        <w:rPr>
          <w:spacing w:val="-10"/>
          <w:sz w:val="20"/>
        </w:rPr>
        <w:t> </w:t>
      </w:r>
      <w:r>
        <w:rPr>
          <w:spacing w:val="-3"/>
          <w:sz w:val="20"/>
        </w:rPr>
        <w:t>we</w:t>
      </w:r>
      <w:r>
        <w:rPr>
          <w:spacing w:val="-11"/>
          <w:sz w:val="20"/>
        </w:rPr>
        <w:t> </w:t>
      </w:r>
      <w:r>
        <w:rPr>
          <w:sz w:val="20"/>
        </w:rPr>
        <w:t>heard</w:t>
      </w:r>
      <w:r>
        <w:rPr>
          <w:spacing w:val="-10"/>
          <w:sz w:val="20"/>
        </w:rPr>
        <w:t> </w:t>
      </w:r>
      <w:r>
        <w:rPr>
          <w:spacing w:val="-3"/>
          <w:sz w:val="20"/>
        </w:rPr>
        <w:t>from</w:t>
      </w:r>
      <w:r>
        <w:rPr>
          <w:spacing w:val="-10"/>
          <w:sz w:val="20"/>
        </w:rPr>
        <w:t> </w:t>
      </w:r>
      <w:r>
        <w:rPr>
          <w:sz w:val="20"/>
        </w:rPr>
        <w:t>criminal</w:t>
      </w:r>
      <w:r>
        <w:rPr>
          <w:spacing w:val="-10"/>
          <w:sz w:val="20"/>
        </w:rPr>
        <w:t> </w:t>
      </w:r>
      <w:r>
        <w:rPr>
          <w:sz w:val="20"/>
        </w:rPr>
        <w:t>defence</w:t>
      </w:r>
      <w:r>
        <w:rPr>
          <w:spacing w:val="-10"/>
          <w:sz w:val="20"/>
        </w:rPr>
        <w:t> </w:t>
      </w:r>
      <w:r>
        <w:rPr>
          <w:sz w:val="20"/>
        </w:rPr>
        <w:t>practitioners</w:t>
      </w:r>
      <w:r>
        <w:rPr>
          <w:spacing w:val="-10"/>
          <w:sz w:val="20"/>
        </w:rPr>
        <w:t> </w:t>
      </w:r>
      <w:r>
        <w:rPr>
          <w:sz w:val="20"/>
        </w:rPr>
        <w:t>who suggested</w:t>
      </w:r>
      <w:r>
        <w:rPr>
          <w:spacing w:val="-13"/>
          <w:sz w:val="20"/>
        </w:rPr>
        <w:t> </w:t>
      </w:r>
      <w:r>
        <w:rPr>
          <w:sz w:val="20"/>
        </w:rPr>
        <w:t>that</w:t>
      </w:r>
      <w:r>
        <w:rPr>
          <w:spacing w:val="-12"/>
          <w:sz w:val="20"/>
        </w:rPr>
        <w:t> </w:t>
      </w:r>
      <w:r>
        <w:rPr>
          <w:sz w:val="20"/>
        </w:rPr>
        <w:t>peremptory</w:t>
      </w:r>
      <w:r>
        <w:rPr>
          <w:spacing w:val="-12"/>
          <w:sz w:val="20"/>
        </w:rPr>
        <w:t> </w:t>
      </w:r>
      <w:r>
        <w:rPr>
          <w:sz w:val="20"/>
        </w:rPr>
        <w:t>challenges</w:t>
      </w:r>
      <w:r>
        <w:rPr>
          <w:spacing w:val="-12"/>
          <w:sz w:val="20"/>
        </w:rPr>
        <w:t> </w:t>
      </w:r>
      <w:r>
        <w:rPr>
          <w:spacing w:val="-3"/>
          <w:sz w:val="20"/>
        </w:rPr>
        <w:t>are</w:t>
      </w:r>
      <w:r>
        <w:rPr>
          <w:spacing w:val="-12"/>
          <w:sz w:val="20"/>
        </w:rPr>
        <w:t> </w:t>
      </w:r>
      <w:r>
        <w:rPr>
          <w:sz w:val="20"/>
        </w:rPr>
        <w:t>sometimes</w:t>
      </w:r>
      <w:r>
        <w:rPr>
          <w:spacing w:val="-12"/>
          <w:sz w:val="20"/>
        </w:rPr>
        <w:t> </w:t>
      </w:r>
      <w:r>
        <w:rPr>
          <w:sz w:val="20"/>
        </w:rPr>
        <w:t>used</w:t>
      </w:r>
      <w:r>
        <w:rPr>
          <w:spacing w:val="-12"/>
          <w:sz w:val="20"/>
        </w:rPr>
        <w:t> </w:t>
      </w:r>
      <w:r>
        <w:rPr>
          <w:sz w:val="20"/>
        </w:rPr>
        <w:t>to</w:t>
      </w:r>
      <w:r>
        <w:rPr>
          <w:spacing w:val="-12"/>
          <w:sz w:val="20"/>
        </w:rPr>
        <w:t> </w:t>
      </w:r>
      <w:r>
        <w:rPr>
          <w:spacing w:val="-4"/>
          <w:sz w:val="20"/>
        </w:rPr>
        <w:t>remove</w:t>
      </w:r>
      <w:r>
        <w:rPr>
          <w:spacing w:val="-12"/>
          <w:sz w:val="20"/>
        </w:rPr>
        <w:t> </w:t>
      </w:r>
      <w:r>
        <w:rPr>
          <w:sz w:val="20"/>
        </w:rPr>
        <w:t>people</w:t>
      </w:r>
      <w:r>
        <w:rPr>
          <w:spacing w:val="-12"/>
          <w:sz w:val="20"/>
        </w:rPr>
        <w:t> </w:t>
      </w:r>
      <w:r>
        <w:rPr>
          <w:sz w:val="20"/>
        </w:rPr>
        <w:t>with disabilities</w:t>
      </w:r>
      <w:r>
        <w:rPr>
          <w:spacing w:val="-11"/>
          <w:sz w:val="20"/>
        </w:rPr>
        <w:t> </w:t>
      </w:r>
      <w:r>
        <w:rPr>
          <w:sz w:val="20"/>
        </w:rPr>
        <w:t>if</w:t>
      </w:r>
      <w:r>
        <w:rPr>
          <w:spacing w:val="-10"/>
          <w:sz w:val="20"/>
        </w:rPr>
        <w:t> </w:t>
      </w:r>
      <w:r>
        <w:rPr>
          <w:sz w:val="20"/>
        </w:rPr>
        <w:t>they</w:t>
      </w:r>
      <w:r>
        <w:rPr>
          <w:spacing w:val="-10"/>
          <w:sz w:val="20"/>
        </w:rPr>
        <w:t> </w:t>
      </w:r>
      <w:r>
        <w:rPr>
          <w:spacing w:val="-3"/>
          <w:sz w:val="20"/>
        </w:rPr>
        <w:t>may</w:t>
      </w:r>
      <w:r>
        <w:rPr>
          <w:spacing w:val="-10"/>
          <w:sz w:val="20"/>
        </w:rPr>
        <w:t> </w:t>
      </w:r>
      <w:r>
        <w:rPr>
          <w:sz w:val="20"/>
        </w:rPr>
        <w:t>‘undermine</w:t>
      </w:r>
      <w:r>
        <w:rPr>
          <w:spacing w:val="-10"/>
          <w:sz w:val="20"/>
        </w:rPr>
        <w:t> </w:t>
      </w:r>
      <w:r>
        <w:rPr>
          <w:sz w:val="20"/>
        </w:rPr>
        <w:t>their</w:t>
      </w:r>
      <w:r>
        <w:rPr>
          <w:spacing w:val="-10"/>
          <w:sz w:val="20"/>
        </w:rPr>
        <w:t> </w:t>
      </w:r>
      <w:r>
        <w:rPr>
          <w:sz w:val="20"/>
        </w:rPr>
        <w:t>client’s</w:t>
      </w:r>
      <w:r>
        <w:rPr>
          <w:spacing w:val="-10"/>
          <w:sz w:val="20"/>
        </w:rPr>
        <w:t> </w:t>
      </w:r>
      <w:r>
        <w:rPr>
          <w:sz w:val="20"/>
        </w:rPr>
        <w:t>prospects</w:t>
      </w:r>
      <w:r>
        <w:rPr>
          <w:spacing w:val="-10"/>
          <w:sz w:val="20"/>
        </w:rPr>
        <w:t> </w:t>
      </w:r>
      <w:r>
        <w:rPr>
          <w:sz w:val="20"/>
        </w:rPr>
        <w:t>of</w:t>
      </w:r>
      <w:r>
        <w:rPr>
          <w:spacing w:val="-10"/>
          <w:sz w:val="20"/>
        </w:rPr>
        <w:t> </w:t>
      </w:r>
      <w:r>
        <w:rPr>
          <w:sz w:val="20"/>
        </w:rPr>
        <w:t>a</w:t>
      </w:r>
      <w:r>
        <w:rPr>
          <w:spacing w:val="-10"/>
          <w:sz w:val="20"/>
        </w:rPr>
        <w:t> </w:t>
      </w:r>
      <w:r>
        <w:rPr>
          <w:sz w:val="20"/>
        </w:rPr>
        <w:t>fair</w:t>
      </w:r>
      <w:r>
        <w:rPr>
          <w:spacing w:val="-10"/>
          <w:sz w:val="20"/>
        </w:rPr>
        <w:t> </w:t>
      </w:r>
      <w:r>
        <w:rPr>
          <w:sz w:val="20"/>
        </w:rPr>
        <w:t>trial’.</w:t>
      </w:r>
      <w:r>
        <w:rPr>
          <w:spacing w:val="-10"/>
          <w:sz w:val="20"/>
        </w:rPr>
        <w:t> </w:t>
      </w:r>
      <w:r>
        <w:rPr>
          <w:sz w:val="20"/>
        </w:rPr>
        <w:t>They</w:t>
      </w:r>
      <w:r>
        <w:rPr>
          <w:spacing w:val="-10"/>
          <w:sz w:val="20"/>
        </w:rPr>
        <w:t> </w:t>
      </w:r>
      <w:r>
        <w:rPr>
          <w:sz w:val="20"/>
        </w:rPr>
        <w:t>aim</w:t>
      </w:r>
      <w:r>
        <w:rPr>
          <w:spacing w:val="-10"/>
          <w:sz w:val="20"/>
        </w:rPr>
        <w:t> </w:t>
      </w:r>
      <w:r>
        <w:rPr>
          <w:sz w:val="20"/>
        </w:rPr>
        <w:t>to </w:t>
      </w:r>
      <w:r>
        <w:rPr>
          <w:spacing w:val="-3"/>
          <w:sz w:val="20"/>
        </w:rPr>
        <w:t>exclude </w:t>
      </w:r>
      <w:r>
        <w:rPr>
          <w:sz w:val="20"/>
        </w:rPr>
        <w:t>those</w:t>
      </w:r>
      <w:r>
        <w:rPr>
          <w:spacing w:val="-6"/>
          <w:sz w:val="20"/>
        </w:rPr>
        <w:t> </w:t>
      </w:r>
      <w:r>
        <w:rPr>
          <w:sz w:val="20"/>
        </w:rPr>
        <w:t>who:</w:t>
      </w:r>
    </w:p>
    <w:p>
      <w:pPr>
        <w:spacing w:line="208" w:lineRule="auto" w:before="123"/>
        <w:ind w:left="2157" w:right="1334" w:firstLine="0"/>
        <w:jc w:val="left"/>
        <w:rPr>
          <w:sz w:val="11"/>
        </w:rPr>
      </w:pPr>
      <w:r>
        <w:rPr>
          <w:sz w:val="19"/>
        </w:rPr>
        <w:t>should </w:t>
      </w:r>
      <w:r>
        <w:rPr>
          <w:spacing w:val="-3"/>
          <w:sz w:val="19"/>
        </w:rPr>
        <w:t>have </w:t>
      </w:r>
      <w:r>
        <w:rPr>
          <w:sz w:val="19"/>
        </w:rPr>
        <w:t>sought to excuse themselves from the panel, for example, because they know the accused or another party, or who appear to </w:t>
      </w:r>
      <w:r>
        <w:rPr>
          <w:spacing w:val="-3"/>
          <w:sz w:val="19"/>
        </w:rPr>
        <w:t>have </w:t>
      </w:r>
      <w:r>
        <w:rPr>
          <w:sz w:val="19"/>
        </w:rPr>
        <w:t>a sensory or other disability</w:t>
      </w:r>
      <w:r>
        <w:rPr>
          <w:spacing w:val="-5"/>
          <w:sz w:val="19"/>
        </w:rPr>
        <w:t> </w:t>
      </w:r>
      <w:r>
        <w:rPr>
          <w:sz w:val="19"/>
        </w:rPr>
        <w:t>that</w:t>
      </w:r>
      <w:r>
        <w:rPr>
          <w:spacing w:val="-4"/>
          <w:sz w:val="19"/>
        </w:rPr>
        <w:t> </w:t>
      </w:r>
      <w:r>
        <w:rPr>
          <w:sz w:val="19"/>
        </w:rPr>
        <w:t>would</w:t>
      </w:r>
      <w:r>
        <w:rPr>
          <w:spacing w:val="-5"/>
          <w:sz w:val="19"/>
        </w:rPr>
        <w:t> </w:t>
      </w:r>
      <w:r>
        <w:rPr>
          <w:sz w:val="19"/>
        </w:rPr>
        <w:t>impede</w:t>
      </w:r>
      <w:r>
        <w:rPr>
          <w:spacing w:val="-4"/>
          <w:sz w:val="19"/>
        </w:rPr>
        <w:t> </w:t>
      </w:r>
      <w:r>
        <w:rPr>
          <w:sz w:val="19"/>
        </w:rPr>
        <w:t>their</w:t>
      </w:r>
      <w:r>
        <w:rPr>
          <w:spacing w:val="-5"/>
          <w:sz w:val="19"/>
        </w:rPr>
        <w:t> </w:t>
      </w:r>
      <w:r>
        <w:rPr>
          <w:sz w:val="19"/>
        </w:rPr>
        <w:t>ability</w:t>
      </w:r>
      <w:r>
        <w:rPr>
          <w:spacing w:val="-4"/>
          <w:sz w:val="19"/>
        </w:rPr>
        <w:t> </w:t>
      </w:r>
      <w:r>
        <w:rPr>
          <w:sz w:val="19"/>
        </w:rPr>
        <w:t>to</w:t>
      </w:r>
      <w:r>
        <w:rPr>
          <w:spacing w:val="-5"/>
          <w:sz w:val="19"/>
        </w:rPr>
        <w:t> </w:t>
      </w:r>
      <w:r>
        <w:rPr>
          <w:sz w:val="19"/>
        </w:rPr>
        <w:t>listen,</w:t>
      </w:r>
      <w:r>
        <w:rPr>
          <w:spacing w:val="-4"/>
          <w:sz w:val="19"/>
        </w:rPr>
        <w:t> </w:t>
      </w:r>
      <w:r>
        <w:rPr>
          <w:sz w:val="19"/>
        </w:rPr>
        <w:t>view</w:t>
      </w:r>
      <w:r>
        <w:rPr>
          <w:spacing w:val="-5"/>
          <w:sz w:val="19"/>
        </w:rPr>
        <w:t> </w:t>
      </w:r>
      <w:r>
        <w:rPr>
          <w:sz w:val="19"/>
        </w:rPr>
        <w:t>or</w:t>
      </w:r>
      <w:r>
        <w:rPr>
          <w:spacing w:val="-4"/>
          <w:sz w:val="19"/>
        </w:rPr>
        <w:t> </w:t>
      </w:r>
      <w:r>
        <w:rPr>
          <w:sz w:val="19"/>
        </w:rPr>
        <w:t>process</w:t>
      </w:r>
      <w:r>
        <w:rPr>
          <w:spacing w:val="-5"/>
          <w:sz w:val="19"/>
        </w:rPr>
        <w:t> </w:t>
      </w:r>
      <w:r>
        <w:rPr>
          <w:sz w:val="19"/>
        </w:rPr>
        <w:t>the</w:t>
      </w:r>
      <w:r>
        <w:rPr>
          <w:spacing w:val="-4"/>
          <w:sz w:val="19"/>
        </w:rPr>
        <w:t> </w:t>
      </w:r>
      <w:r>
        <w:rPr>
          <w:sz w:val="19"/>
        </w:rPr>
        <w:t>evidence</w:t>
      </w:r>
      <w:r>
        <w:rPr>
          <w:spacing w:val="-5"/>
          <w:sz w:val="19"/>
        </w:rPr>
        <w:t> </w:t>
      </w:r>
      <w:r>
        <w:rPr>
          <w:sz w:val="19"/>
        </w:rPr>
        <w:t>in</w:t>
      </w:r>
      <w:r>
        <w:rPr>
          <w:spacing w:val="-4"/>
          <w:sz w:val="19"/>
        </w:rPr>
        <w:t> </w:t>
      </w:r>
      <w:r>
        <w:rPr>
          <w:sz w:val="19"/>
        </w:rPr>
        <w:t>the trial.</w:t>
      </w:r>
      <w:r>
        <w:rPr>
          <w:position w:val="6"/>
          <w:sz w:val="11"/>
        </w:rPr>
        <w:t>29</w:t>
      </w:r>
    </w:p>
    <w:p>
      <w:pPr>
        <w:pStyle w:val="BodyText"/>
      </w:pPr>
    </w:p>
    <w:p>
      <w:pPr>
        <w:pStyle w:val="BodyText"/>
      </w:pPr>
    </w:p>
    <w:p>
      <w:pPr>
        <w:pStyle w:val="BodyText"/>
        <w:spacing w:before="7"/>
        <w:rPr>
          <w:sz w:val="25"/>
        </w:rPr>
      </w:pPr>
      <w:r>
        <w:rPr/>
        <w:pict>
          <v:line style="position:absolute;mso-position-horizontal-relative:page;mso-position-vertical-relative:paragraph;z-index:10256;mso-wrap-distance-left:0;mso-wrap-distance-right:0" from="79.370003pt,20.171101pt" to="515.905003pt,20.171101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15"/>
        </w:numPr>
        <w:tabs>
          <w:tab w:pos="1760" w:val="left" w:leader="none"/>
          <w:tab w:pos="1762" w:val="left" w:leader="none"/>
        </w:tabs>
        <w:spacing w:line="213" w:lineRule="auto" w:before="38" w:after="0"/>
        <w:ind w:left="1761" w:right="0" w:hanging="794"/>
        <w:jc w:val="left"/>
        <w:rPr>
          <w:sz w:val="13"/>
        </w:rPr>
      </w:pPr>
      <w:r>
        <w:rPr>
          <w:sz w:val="13"/>
        </w:rPr>
        <w:t>Rachael Dexter, Craig Butt, Eleanor Marsh and Nicole Precel, </w:t>
      </w:r>
      <w:r>
        <w:rPr>
          <w:spacing w:val="2"/>
          <w:sz w:val="13"/>
        </w:rPr>
        <w:t>‘Why </w:t>
      </w:r>
      <w:r>
        <w:rPr>
          <w:sz w:val="13"/>
        </w:rPr>
        <w:t>There Are More Men than Women on Juries’, </w:t>
      </w:r>
      <w:r>
        <w:rPr>
          <w:i/>
          <w:sz w:val="13"/>
        </w:rPr>
        <w:t>The Age </w:t>
      </w:r>
      <w:r>
        <w:rPr>
          <w:sz w:val="13"/>
        </w:rPr>
        <w:t>(online,      4 </w:t>
      </w:r>
      <w:r>
        <w:rPr>
          <w:spacing w:val="2"/>
          <w:sz w:val="13"/>
        </w:rPr>
        <w:t>December </w:t>
      </w:r>
      <w:r>
        <w:rPr>
          <w:sz w:val="13"/>
        </w:rPr>
        <w:t>2019) &lt;</w:t>
      </w:r>
      <w:hyperlink r:id="rId247">
        <w:r>
          <w:rPr>
            <w:sz w:val="13"/>
          </w:rPr>
          <w:t>https://www.theage.com.au/national/victoria/why-there-are-more-men-than-women-on-juries-20190821-</w:t>
        </w:r>
      </w:hyperlink>
      <w:hyperlink r:id="rId247">
        <w:r>
          <w:rPr>
            <w:sz w:val="13"/>
          </w:rPr>
          <w:t> p52jer.html</w:t>
        </w:r>
      </w:hyperlink>
      <w:r>
        <w:rPr>
          <w:sz w:val="13"/>
        </w:rPr>
        <w:t>&gt;.</w:t>
      </w:r>
    </w:p>
    <w:p>
      <w:pPr>
        <w:pStyle w:val="ListParagraph"/>
        <w:numPr>
          <w:ilvl w:val="0"/>
          <w:numId w:val="115"/>
        </w:numPr>
        <w:tabs>
          <w:tab w:pos="1760" w:val="left" w:leader="none"/>
          <w:tab w:pos="1762" w:val="left" w:leader="none"/>
        </w:tabs>
        <w:spacing w:line="213" w:lineRule="auto" w:before="0" w:after="0"/>
        <w:ind w:left="1761" w:right="287" w:hanging="794"/>
        <w:jc w:val="left"/>
        <w:rPr>
          <w:sz w:val="13"/>
        </w:rPr>
      </w:pPr>
      <w:r>
        <w:rPr>
          <w:sz w:val="13"/>
        </w:rPr>
        <w:t>For </w:t>
      </w:r>
      <w:r>
        <w:rPr>
          <w:spacing w:val="2"/>
          <w:sz w:val="13"/>
        </w:rPr>
        <w:t>further </w:t>
      </w:r>
      <w:r>
        <w:rPr>
          <w:sz w:val="13"/>
        </w:rPr>
        <w:t>information about peremptory challenges and the </w:t>
      </w:r>
      <w:r>
        <w:rPr>
          <w:i/>
          <w:sz w:val="13"/>
        </w:rPr>
        <w:t>Americans with Disabilities Act, </w:t>
      </w:r>
      <w:r>
        <w:rPr>
          <w:sz w:val="13"/>
        </w:rPr>
        <w:t>42 USC Ch 126 §12132 (1990):      see William D Goren, ‘Persons with </w:t>
      </w:r>
      <w:r>
        <w:rPr>
          <w:spacing w:val="2"/>
          <w:sz w:val="13"/>
        </w:rPr>
        <w:t>Disabilities </w:t>
      </w:r>
      <w:r>
        <w:rPr>
          <w:sz w:val="13"/>
        </w:rPr>
        <w:t>and Peremptory Challenges’, </w:t>
      </w:r>
      <w:r>
        <w:rPr>
          <w:i/>
          <w:sz w:val="13"/>
        </w:rPr>
        <w:t>Understanding the ADA </w:t>
      </w:r>
      <w:r>
        <w:rPr>
          <w:sz w:val="13"/>
        </w:rPr>
        <w:t>(Blog Post, 1 October   2012) &lt;</w:t>
      </w:r>
      <w:hyperlink r:id="rId248">
        <w:r>
          <w:rPr>
            <w:sz w:val="13"/>
          </w:rPr>
          <w:t>https://www.understandingtheada.com/blog/2012/10/01/persons-with-disabilities-and-peremptory-challenges/</w:t>
        </w:r>
      </w:hyperlink>
      <w:r>
        <w:rPr>
          <w:sz w:val="13"/>
        </w:rPr>
        <w:t>&gt;. For</w:t>
      </w:r>
      <w:r>
        <w:rPr>
          <w:spacing w:val="4"/>
          <w:sz w:val="13"/>
        </w:rPr>
        <w:t> </w:t>
      </w:r>
      <w:r>
        <w:rPr>
          <w:spacing w:val="2"/>
          <w:sz w:val="13"/>
        </w:rPr>
        <w:t>commentary</w:t>
      </w:r>
      <w:r>
        <w:rPr>
          <w:spacing w:val="5"/>
          <w:sz w:val="13"/>
        </w:rPr>
        <w:t> </w:t>
      </w:r>
      <w:r>
        <w:rPr>
          <w:sz w:val="13"/>
        </w:rPr>
        <w:t>regarding</w:t>
      </w:r>
      <w:r>
        <w:rPr>
          <w:spacing w:val="5"/>
          <w:sz w:val="13"/>
        </w:rPr>
        <w:t> </w:t>
      </w:r>
      <w:r>
        <w:rPr>
          <w:spacing w:val="2"/>
          <w:sz w:val="13"/>
        </w:rPr>
        <w:t>disability</w:t>
      </w:r>
      <w:r>
        <w:rPr>
          <w:spacing w:val="4"/>
          <w:sz w:val="13"/>
        </w:rPr>
        <w:t> </w:t>
      </w:r>
      <w:r>
        <w:rPr>
          <w:sz w:val="13"/>
        </w:rPr>
        <w:t>and</w:t>
      </w:r>
      <w:r>
        <w:rPr>
          <w:spacing w:val="5"/>
          <w:sz w:val="13"/>
        </w:rPr>
        <w:t> </w:t>
      </w:r>
      <w:r>
        <w:rPr>
          <w:sz w:val="13"/>
        </w:rPr>
        <w:t>the</w:t>
      </w:r>
      <w:r>
        <w:rPr>
          <w:spacing w:val="5"/>
          <w:sz w:val="13"/>
        </w:rPr>
        <w:t> </w:t>
      </w:r>
      <w:r>
        <w:rPr>
          <w:sz w:val="13"/>
        </w:rPr>
        <w:t>use</w:t>
      </w:r>
      <w:r>
        <w:rPr>
          <w:spacing w:val="4"/>
          <w:sz w:val="13"/>
        </w:rPr>
        <w:t> </w:t>
      </w:r>
      <w:r>
        <w:rPr>
          <w:sz w:val="13"/>
        </w:rPr>
        <w:t>of</w:t>
      </w:r>
      <w:r>
        <w:rPr>
          <w:spacing w:val="5"/>
          <w:sz w:val="13"/>
        </w:rPr>
        <w:t> </w:t>
      </w:r>
      <w:r>
        <w:rPr>
          <w:sz w:val="13"/>
        </w:rPr>
        <w:t>peremptory</w:t>
      </w:r>
      <w:r>
        <w:rPr>
          <w:spacing w:val="5"/>
          <w:sz w:val="13"/>
        </w:rPr>
        <w:t> </w:t>
      </w:r>
      <w:r>
        <w:rPr>
          <w:sz w:val="13"/>
        </w:rPr>
        <w:t>challenges:</w:t>
      </w:r>
      <w:r>
        <w:rPr>
          <w:spacing w:val="4"/>
          <w:sz w:val="13"/>
        </w:rPr>
        <w:t> </w:t>
      </w:r>
      <w:r>
        <w:rPr>
          <w:sz w:val="13"/>
        </w:rPr>
        <w:t>see</w:t>
      </w:r>
      <w:r>
        <w:rPr>
          <w:spacing w:val="5"/>
          <w:sz w:val="13"/>
        </w:rPr>
        <w:t> </w:t>
      </w:r>
      <w:r>
        <w:rPr>
          <w:sz w:val="13"/>
        </w:rPr>
        <w:t>Matthew</w:t>
      </w:r>
      <w:r>
        <w:rPr>
          <w:spacing w:val="5"/>
          <w:sz w:val="13"/>
        </w:rPr>
        <w:t> </w:t>
      </w:r>
      <w:r>
        <w:rPr>
          <w:sz w:val="13"/>
        </w:rPr>
        <w:t>J</w:t>
      </w:r>
      <w:r>
        <w:rPr>
          <w:spacing w:val="4"/>
          <w:sz w:val="13"/>
        </w:rPr>
        <w:t> </w:t>
      </w:r>
      <w:r>
        <w:rPr>
          <w:sz w:val="13"/>
        </w:rPr>
        <w:t>Crehan,</w:t>
      </w:r>
      <w:r>
        <w:rPr>
          <w:spacing w:val="5"/>
          <w:sz w:val="13"/>
        </w:rPr>
        <w:t> </w:t>
      </w:r>
      <w:r>
        <w:rPr>
          <w:sz w:val="13"/>
        </w:rPr>
        <w:t>‘The</w:t>
      </w:r>
      <w:r>
        <w:rPr>
          <w:spacing w:val="5"/>
          <w:sz w:val="13"/>
        </w:rPr>
        <w:t> </w:t>
      </w:r>
      <w:r>
        <w:rPr>
          <w:spacing w:val="2"/>
          <w:sz w:val="13"/>
        </w:rPr>
        <w:t>Disability-Based</w:t>
      </w:r>
    </w:p>
    <w:p>
      <w:pPr>
        <w:spacing w:line="151" w:lineRule="exact" w:before="0"/>
        <w:ind w:left="1761" w:right="0" w:firstLine="0"/>
        <w:jc w:val="left"/>
        <w:rPr>
          <w:i/>
          <w:sz w:val="13"/>
        </w:rPr>
      </w:pPr>
      <w:r>
        <w:rPr>
          <w:sz w:val="13"/>
        </w:rPr>
        <w:t>Peremptory Challenge: Does It Validate Discrimination against Blind Prospective Jurors’ (1997) 25 </w:t>
      </w:r>
      <w:r>
        <w:rPr>
          <w:i/>
          <w:sz w:val="13"/>
        </w:rPr>
        <w:t>Northern Kentucky Law Review</w:t>
      </w:r>
    </w:p>
    <w:p>
      <w:pPr>
        <w:spacing w:line="160" w:lineRule="exact" w:before="0"/>
        <w:ind w:left="1761" w:right="0" w:firstLine="0"/>
        <w:jc w:val="left"/>
        <w:rPr>
          <w:sz w:val="13"/>
        </w:rPr>
      </w:pPr>
      <w:r>
        <w:rPr>
          <w:sz w:val="13"/>
        </w:rPr>
        <w:t>531.</w:t>
      </w:r>
    </w:p>
    <w:p>
      <w:pPr>
        <w:pStyle w:val="ListParagraph"/>
        <w:numPr>
          <w:ilvl w:val="0"/>
          <w:numId w:val="116"/>
        </w:numPr>
        <w:tabs>
          <w:tab w:pos="1761" w:val="left" w:leader="none"/>
          <w:tab w:pos="1762" w:val="left" w:leader="none"/>
        </w:tabs>
        <w:spacing w:line="160" w:lineRule="exact" w:before="0" w:after="0"/>
        <w:ind w:left="1761" w:right="0" w:hanging="794"/>
        <w:jc w:val="left"/>
        <w:rPr>
          <w:sz w:val="13"/>
        </w:rPr>
      </w:pPr>
      <w:r>
        <w:rPr>
          <w:sz w:val="13"/>
        </w:rPr>
        <w:t>Neil Kressel and Dorit Kressel, </w:t>
      </w:r>
      <w:r>
        <w:rPr>
          <w:i/>
          <w:sz w:val="13"/>
        </w:rPr>
        <w:t>Stack And Sway: The New Science Of </w:t>
      </w:r>
      <w:r>
        <w:rPr>
          <w:i/>
          <w:spacing w:val="2"/>
          <w:sz w:val="13"/>
        </w:rPr>
        <w:t>Jury </w:t>
      </w:r>
      <w:r>
        <w:rPr>
          <w:i/>
          <w:sz w:val="13"/>
        </w:rPr>
        <w:t>Consulting </w:t>
      </w:r>
      <w:r>
        <w:rPr>
          <w:sz w:val="13"/>
        </w:rPr>
        <w:t>(Basic </w:t>
      </w:r>
      <w:r>
        <w:rPr>
          <w:spacing w:val="2"/>
          <w:sz w:val="13"/>
        </w:rPr>
        <w:t>Books, </w:t>
      </w:r>
      <w:r>
        <w:rPr>
          <w:sz w:val="13"/>
        </w:rPr>
        <w:t>2004)</w:t>
      </w:r>
      <w:r>
        <w:rPr>
          <w:spacing w:val="30"/>
          <w:sz w:val="13"/>
        </w:rPr>
        <w:t> </w:t>
      </w:r>
      <w:r>
        <w:rPr>
          <w:spacing w:val="2"/>
          <w:sz w:val="13"/>
        </w:rPr>
        <w:t>128.</w:t>
      </w:r>
    </w:p>
    <w:p>
      <w:pPr>
        <w:pStyle w:val="ListParagraph"/>
        <w:numPr>
          <w:ilvl w:val="0"/>
          <w:numId w:val="116"/>
        </w:numPr>
        <w:tabs>
          <w:tab w:pos="1761" w:val="left" w:leader="none"/>
          <w:tab w:pos="1762" w:val="left" w:leader="none"/>
        </w:tabs>
        <w:spacing w:line="160" w:lineRule="exact" w:before="0" w:after="0"/>
        <w:ind w:left="1761" w:right="0" w:hanging="794"/>
        <w:jc w:val="left"/>
        <w:rPr>
          <w:sz w:val="13"/>
        </w:rPr>
      </w:pPr>
      <w:r>
        <w:rPr>
          <w:sz w:val="13"/>
        </w:rPr>
        <w:t>See</w:t>
      </w:r>
      <w:r>
        <w:rPr>
          <w:spacing w:val="4"/>
          <w:sz w:val="13"/>
        </w:rPr>
        <w:t> </w:t>
      </w:r>
      <w:r>
        <w:rPr>
          <w:sz w:val="13"/>
        </w:rPr>
        <w:t>discussion</w:t>
      </w:r>
      <w:r>
        <w:rPr>
          <w:spacing w:val="5"/>
          <w:sz w:val="13"/>
        </w:rPr>
        <w:t> </w:t>
      </w:r>
      <w:r>
        <w:rPr>
          <w:sz w:val="13"/>
        </w:rPr>
        <w:t>in</w:t>
      </w:r>
      <w:r>
        <w:rPr>
          <w:spacing w:val="4"/>
          <w:sz w:val="13"/>
        </w:rPr>
        <w:t> </w:t>
      </w:r>
      <w:r>
        <w:rPr>
          <w:sz w:val="13"/>
        </w:rPr>
        <w:t>Chapter</w:t>
      </w:r>
      <w:r>
        <w:rPr>
          <w:spacing w:val="5"/>
          <w:sz w:val="13"/>
        </w:rPr>
        <w:t> </w:t>
      </w:r>
      <w:r>
        <w:rPr>
          <w:spacing w:val="-3"/>
          <w:sz w:val="13"/>
        </w:rPr>
        <w:t>7.</w:t>
      </w:r>
      <w:r>
        <w:rPr>
          <w:spacing w:val="4"/>
          <w:sz w:val="13"/>
        </w:rPr>
        <w:t> </w:t>
      </w:r>
      <w:r>
        <w:rPr>
          <w:sz w:val="13"/>
        </w:rPr>
        <w:t>See</w:t>
      </w:r>
      <w:r>
        <w:rPr>
          <w:spacing w:val="5"/>
          <w:sz w:val="13"/>
        </w:rPr>
        <w:t> </w:t>
      </w:r>
      <w:r>
        <w:rPr>
          <w:spacing w:val="2"/>
          <w:sz w:val="13"/>
        </w:rPr>
        <w:t>also</w:t>
      </w:r>
      <w:r>
        <w:rPr>
          <w:spacing w:val="5"/>
          <w:sz w:val="13"/>
        </w:rPr>
        <w:t> </w:t>
      </w:r>
      <w:r>
        <w:rPr>
          <w:sz w:val="13"/>
        </w:rPr>
        <w:t>Victorian</w:t>
      </w:r>
      <w:r>
        <w:rPr>
          <w:spacing w:val="4"/>
          <w:sz w:val="13"/>
        </w:rPr>
        <w:t> </w:t>
      </w:r>
      <w:r>
        <w:rPr>
          <w:sz w:val="13"/>
        </w:rPr>
        <w:t>Law</w:t>
      </w:r>
      <w:r>
        <w:rPr>
          <w:spacing w:val="5"/>
          <w:sz w:val="13"/>
        </w:rPr>
        <w:t> </w:t>
      </w:r>
      <w:r>
        <w:rPr>
          <w:sz w:val="13"/>
        </w:rPr>
        <w:t>Reform</w:t>
      </w:r>
      <w:r>
        <w:rPr>
          <w:spacing w:val="4"/>
          <w:sz w:val="13"/>
        </w:rPr>
        <w:t> </w:t>
      </w:r>
      <w:r>
        <w:rPr>
          <w:spacing w:val="2"/>
          <w:sz w:val="13"/>
        </w:rPr>
        <w:t>Commission,</w:t>
      </w:r>
      <w:r>
        <w:rPr>
          <w:spacing w:val="5"/>
          <w:sz w:val="13"/>
        </w:rPr>
        <w:t> </w:t>
      </w:r>
      <w:r>
        <w:rPr>
          <w:i/>
          <w:spacing w:val="2"/>
          <w:sz w:val="13"/>
        </w:rPr>
        <w:t>Jury</w:t>
      </w:r>
      <w:r>
        <w:rPr>
          <w:i/>
          <w:spacing w:val="4"/>
          <w:sz w:val="13"/>
        </w:rPr>
        <w:t> </w:t>
      </w:r>
      <w:r>
        <w:rPr>
          <w:i/>
          <w:sz w:val="13"/>
        </w:rPr>
        <w:t>Empanelment</w:t>
      </w:r>
      <w:r>
        <w:rPr>
          <w:i/>
          <w:spacing w:val="5"/>
          <w:sz w:val="13"/>
        </w:rPr>
        <w:t> </w:t>
      </w:r>
      <w:r>
        <w:rPr>
          <w:spacing w:val="2"/>
          <w:sz w:val="13"/>
        </w:rPr>
        <w:t>(Report</w:t>
      </w:r>
      <w:r>
        <w:rPr>
          <w:spacing w:val="4"/>
          <w:sz w:val="13"/>
        </w:rPr>
        <w:t> </w:t>
      </w:r>
      <w:r>
        <w:rPr>
          <w:sz w:val="13"/>
        </w:rPr>
        <w:t>No</w:t>
      </w:r>
      <w:r>
        <w:rPr>
          <w:spacing w:val="5"/>
          <w:sz w:val="13"/>
        </w:rPr>
        <w:t> </w:t>
      </w:r>
      <w:r>
        <w:rPr>
          <w:spacing w:val="-3"/>
          <w:sz w:val="13"/>
        </w:rPr>
        <w:t>27,</w:t>
      </w:r>
      <w:r>
        <w:rPr>
          <w:spacing w:val="5"/>
          <w:sz w:val="13"/>
        </w:rPr>
        <w:t> </w:t>
      </w:r>
      <w:r>
        <w:rPr>
          <w:sz w:val="13"/>
        </w:rPr>
        <w:t>May</w:t>
      </w:r>
      <w:r>
        <w:rPr>
          <w:spacing w:val="4"/>
          <w:sz w:val="13"/>
        </w:rPr>
        <w:t> </w:t>
      </w:r>
      <w:r>
        <w:rPr>
          <w:spacing w:val="2"/>
          <w:sz w:val="13"/>
        </w:rPr>
        <w:t>2014)</w:t>
      </w:r>
      <w:r>
        <w:rPr>
          <w:spacing w:val="5"/>
          <w:sz w:val="13"/>
        </w:rPr>
        <w:t> </w:t>
      </w:r>
      <w:r>
        <w:rPr>
          <w:sz w:val="13"/>
        </w:rPr>
        <w:t>37</w:t>
      </w:r>
      <w:r>
        <w:rPr>
          <w:spacing w:val="4"/>
          <w:sz w:val="13"/>
        </w:rPr>
        <w:t> </w:t>
      </w:r>
      <w:r>
        <w:rPr>
          <w:spacing w:val="2"/>
          <w:sz w:val="13"/>
        </w:rPr>
        <w:t>[3.125].</w:t>
      </w:r>
    </w:p>
    <w:p>
      <w:pPr>
        <w:pStyle w:val="ListParagraph"/>
        <w:numPr>
          <w:ilvl w:val="0"/>
          <w:numId w:val="116"/>
        </w:numPr>
        <w:tabs>
          <w:tab w:pos="1761" w:val="left" w:leader="none"/>
          <w:tab w:pos="1762" w:val="left" w:leader="none"/>
        </w:tabs>
        <w:spacing w:line="160" w:lineRule="exact" w:before="0" w:after="0"/>
        <w:ind w:left="1761" w:right="0" w:hanging="794"/>
        <w:jc w:val="left"/>
        <w:rPr>
          <w:sz w:val="13"/>
        </w:rPr>
      </w:pPr>
      <w:r>
        <w:rPr>
          <w:sz w:val="13"/>
        </w:rPr>
        <w:t>Consultation 9 (Consultation with two Victorian County </w:t>
      </w:r>
      <w:r>
        <w:rPr>
          <w:spacing w:val="2"/>
          <w:sz w:val="13"/>
        </w:rPr>
        <w:t>Court Judges, Court policy </w:t>
      </w:r>
      <w:r>
        <w:rPr>
          <w:sz w:val="13"/>
        </w:rPr>
        <w:t>staff and two</w:t>
      </w:r>
      <w:r>
        <w:rPr>
          <w:spacing w:val="19"/>
          <w:sz w:val="13"/>
        </w:rPr>
        <w:t> </w:t>
      </w:r>
      <w:r>
        <w:rPr>
          <w:sz w:val="13"/>
        </w:rPr>
        <w:t>Associates).</w:t>
      </w:r>
    </w:p>
    <w:p>
      <w:pPr>
        <w:pStyle w:val="ListParagraph"/>
        <w:numPr>
          <w:ilvl w:val="0"/>
          <w:numId w:val="116"/>
        </w:numPr>
        <w:tabs>
          <w:tab w:pos="1761" w:val="left" w:leader="none"/>
          <w:tab w:pos="1762" w:val="left" w:leader="none"/>
        </w:tabs>
        <w:spacing w:line="160" w:lineRule="exact" w:before="0" w:after="0"/>
        <w:ind w:left="1761" w:right="0" w:hanging="794"/>
        <w:jc w:val="left"/>
        <w:rPr>
          <w:i/>
          <w:sz w:val="13"/>
        </w:rPr>
      </w:pPr>
      <w:r>
        <w:rPr>
          <w:sz w:val="13"/>
        </w:rPr>
        <w:t>Judges</w:t>
      </w:r>
      <w:r>
        <w:rPr>
          <w:spacing w:val="5"/>
          <w:sz w:val="13"/>
        </w:rPr>
        <w:t> </w:t>
      </w:r>
      <w:r>
        <w:rPr>
          <w:sz w:val="13"/>
        </w:rPr>
        <w:t>of</w:t>
      </w:r>
      <w:r>
        <w:rPr>
          <w:spacing w:val="6"/>
          <w:sz w:val="13"/>
        </w:rPr>
        <w:t> </w:t>
      </w:r>
      <w:r>
        <w:rPr>
          <w:sz w:val="13"/>
        </w:rPr>
        <w:t>the</w:t>
      </w:r>
      <w:r>
        <w:rPr>
          <w:spacing w:val="6"/>
          <w:sz w:val="13"/>
        </w:rPr>
        <w:t> </w:t>
      </w:r>
      <w:r>
        <w:rPr>
          <w:sz w:val="13"/>
        </w:rPr>
        <w:t>County</w:t>
      </w:r>
      <w:r>
        <w:rPr>
          <w:spacing w:val="6"/>
          <w:sz w:val="13"/>
        </w:rPr>
        <w:t> </w:t>
      </w:r>
      <w:r>
        <w:rPr>
          <w:spacing w:val="2"/>
          <w:sz w:val="13"/>
        </w:rPr>
        <w:t>Court</w:t>
      </w:r>
      <w:r>
        <w:rPr>
          <w:spacing w:val="6"/>
          <w:sz w:val="13"/>
        </w:rPr>
        <w:t> </w:t>
      </w:r>
      <w:r>
        <w:rPr>
          <w:sz w:val="13"/>
        </w:rPr>
        <w:t>of</w:t>
      </w:r>
      <w:r>
        <w:rPr>
          <w:spacing w:val="5"/>
          <w:sz w:val="13"/>
        </w:rPr>
        <w:t> </w:t>
      </w:r>
      <w:r>
        <w:rPr>
          <w:sz w:val="13"/>
        </w:rPr>
        <w:t>Victoria,</w:t>
      </w:r>
      <w:r>
        <w:rPr>
          <w:spacing w:val="6"/>
          <w:sz w:val="13"/>
        </w:rPr>
        <w:t> </w:t>
      </w:r>
      <w:r>
        <w:rPr>
          <w:sz w:val="13"/>
        </w:rPr>
        <w:t>Consultation</w:t>
      </w:r>
      <w:r>
        <w:rPr>
          <w:spacing w:val="6"/>
          <w:sz w:val="13"/>
        </w:rPr>
        <w:t> </w:t>
      </w:r>
      <w:r>
        <w:rPr>
          <w:sz w:val="13"/>
        </w:rPr>
        <w:t>No</w:t>
      </w:r>
      <w:r>
        <w:rPr>
          <w:spacing w:val="6"/>
          <w:sz w:val="13"/>
        </w:rPr>
        <w:t> </w:t>
      </w:r>
      <w:r>
        <w:rPr>
          <w:sz w:val="13"/>
        </w:rPr>
        <w:t>22</w:t>
      </w:r>
      <w:r>
        <w:rPr>
          <w:spacing w:val="6"/>
          <w:sz w:val="13"/>
        </w:rPr>
        <w:t> </w:t>
      </w:r>
      <w:r>
        <w:rPr>
          <w:sz w:val="13"/>
        </w:rPr>
        <w:t>to</w:t>
      </w:r>
      <w:r>
        <w:rPr>
          <w:spacing w:val="6"/>
          <w:sz w:val="13"/>
        </w:rPr>
        <w:t> </w:t>
      </w:r>
      <w:r>
        <w:rPr>
          <w:sz w:val="13"/>
        </w:rPr>
        <w:t>Victorian</w:t>
      </w:r>
      <w:r>
        <w:rPr>
          <w:spacing w:val="5"/>
          <w:sz w:val="13"/>
        </w:rPr>
        <w:t> </w:t>
      </w:r>
      <w:r>
        <w:rPr>
          <w:sz w:val="13"/>
        </w:rPr>
        <w:t>Law</w:t>
      </w:r>
      <w:r>
        <w:rPr>
          <w:spacing w:val="6"/>
          <w:sz w:val="13"/>
        </w:rPr>
        <w:t> </w:t>
      </w:r>
      <w:r>
        <w:rPr>
          <w:sz w:val="13"/>
        </w:rPr>
        <w:t>Reform</w:t>
      </w:r>
      <w:r>
        <w:rPr>
          <w:spacing w:val="6"/>
          <w:sz w:val="13"/>
        </w:rPr>
        <w:t> </w:t>
      </w:r>
      <w:r>
        <w:rPr>
          <w:spacing w:val="2"/>
          <w:sz w:val="13"/>
        </w:rPr>
        <w:t>Commission,</w:t>
      </w:r>
      <w:r>
        <w:rPr>
          <w:spacing w:val="6"/>
          <w:sz w:val="13"/>
        </w:rPr>
        <w:t> </w:t>
      </w:r>
      <w:r>
        <w:rPr>
          <w:i/>
          <w:spacing w:val="2"/>
          <w:sz w:val="13"/>
        </w:rPr>
        <w:t>Inquiry</w:t>
      </w:r>
      <w:r>
        <w:rPr>
          <w:i/>
          <w:spacing w:val="6"/>
          <w:sz w:val="13"/>
        </w:rPr>
        <w:t> </w:t>
      </w:r>
      <w:r>
        <w:rPr>
          <w:i/>
          <w:sz w:val="13"/>
        </w:rPr>
        <w:t>into</w:t>
      </w:r>
      <w:r>
        <w:rPr>
          <w:i/>
          <w:spacing w:val="5"/>
          <w:sz w:val="13"/>
        </w:rPr>
        <w:t> </w:t>
      </w:r>
      <w:r>
        <w:rPr>
          <w:i/>
          <w:spacing w:val="2"/>
          <w:sz w:val="13"/>
        </w:rPr>
        <w:t>Jury</w:t>
      </w:r>
      <w:r>
        <w:rPr>
          <w:i/>
          <w:spacing w:val="6"/>
          <w:sz w:val="13"/>
        </w:rPr>
        <w:t> </w:t>
      </w:r>
      <w:r>
        <w:rPr>
          <w:i/>
          <w:sz w:val="13"/>
        </w:rPr>
        <w:t>Empanelment</w:t>
      </w:r>
    </w:p>
    <w:p>
      <w:pPr>
        <w:spacing w:line="160" w:lineRule="exact" w:before="0"/>
        <w:ind w:left="1761" w:right="0" w:firstLine="0"/>
        <w:jc w:val="left"/>
        <w:rPr>
          <w:sz w:val="13"/>
        </w:rPr>
      </w:pPr>
      <w:r>
        <w:rPr>
          <w:sz w:val="13"/>
        </w:rPr>
        <w:t>(2014), cited in Victorian Law Reform Commission, </w:t>
      </w:r>
      <w:r>
        <w:rPr>
          <w:i/>
          <w:sz w:val="13"/>
        </w:rPr>
        <w:t>Jury Empanelment </w:t>
      </w:r>
      <w:r>
        <w:rPr>
          <w:sz w:val="13"/>
        </w:rPr>
        <w:t>(Report No 27, May 2014) 38 [3.128].</w:t>
      </w:r>
    </w:p>
    <w:p>
      <w:pPr>
        <w:pStyle w:val="ListParagraph"/>
        <w:numPr>
          <w:ilvl w:val="0"/>
          <w:numId w:val="116"/>
        </w:numPr>
        <w:tabs>
          <w:tab w:pos="1761" w:val="left" w:leader="none"/>
          <w:tab w:pos="1762" w:val="left" w:leader="none"/>
        </w:tabs>
        <w:spacing w:line="160" w:lineRule="exact" w:before="0" w:after="0"/>
        <w:ind w:left="1761" w:right="0" w:hanging="794"/>
        <w:jc w:val="left"/>
        <w:rPr>
          <w:sz w:val="13"/>
        </w:rPr>
      </w:pPr>
      <w:r>
        <w:rPr>
          <w:sz w:val="13"/>
        </w:rPr>
        <w:t>Consultation 22 (Daniel Stubbs, Victorian </w:t>
      </w:r>
      <w:r>
        <w:rPr>
          <w:spacing w:val="2"/>
          <w:sz w:val="13"/>
        </w:rPr>
        <w:t>Disability </w:t>
      </w:r>
      <w:r>
        <w:rPr>
          <w:sz w:val="13"/>
        </w:rPr>
        <w:t>Worker Commissioner, in his personal</w:t>
      </w:r>
      <w:r>
        <w:rPr>
          <w:spacing w:val="16"/>
          <w:sz w:val="13"/>
        </w:rPr>
        <w:t> </w:t>
      </w:r>
      <w:r>
        <w:rPr>
          <w:sz w:val="13"/>
        </w:rPr>
        <w:t>capacity).</w:t>
      </w:r>
    </w:p>
    <w:p>
      <w:pPr>
        <w:pStyle w:val="ListParagraph"/>
        <w:numPr>
          <w:ilvl w:val="0"/>
          <w:numId w:val="116"/>
        </w:numPr>
        <w:tabs>
          <w:tab w:pos="1761" w:val="left" w:leader="none"/>
          <w:tab w:pos="1762" w:val="left" w:leader="none"/>
        </w:tabs>
        <w:spacing w:line="160" w:lineRule="exact" w:before="0" w:after="0"/>
        <w:ind w:left="1761" w:right="0" w:hanging="794"/>
        <w:jc w:val="left"/>
        <w:rPr>
          <w:sz w:val="13"/>
        </w:rPr>
      </w:pPr>
      <w:r>
        <w:rPr>
          <w:i/>
          <w:sz w:val="13"/>
        </w:rPr>
        <w:t>Juries Act 2000 </w:t>
      </w:r>
      <w:r>
        <w:rPr>
          <w:spacing w:val="2"/>
          <w:sz w:val="13"/>
        </w:rPr>
        <w:t>(Vic) </w:t>
      </w:r>
      <w:r>
        <w:rPr>
          <w:sz w:val="13"/>
        </w:rPr>
        <w:t>s</w:t>
      </w:r>
      <w:r>
        <w:rPr>
          <w:spacing w:val="-2"/>
          <w:sz w:val="13"/>
        </w:rPr>
        <w:t> </w:t>
      </w:r>
      <w:r>
        <w:rPr>
          <w:spacing w:val="3"/>
          <w:sz w:val="13"/>
        </w:rPr>
        <w:t>4.</w:t>
      </w:r>
    </w:p>
    <w:p>
      <w:pPr>
        <w:pStyle w:val="ListParagraph"/>
        <w:numPr>
          <w:ilvl w:val="0"/>
          <w:numId w:val="116"/>
        </w:numPr>
        <w:tabs>
          <w:tab w:pos="1760" w:val="left" w:leader="none"/>
          <w:tab w:pos="1762" w:val="left" w:leader="none"/>
        </w:tabs>
        <w:spacing w:line="170" w:lineRule="exact" w:before="0" w:after="0"/>
        <w:ind w:left="1761" w:right="0" w:hanging="794"/>
        <w:jc w:val="left"/>
        <w:rPr>
          <w:sz w:val="13"/>
        </w:rPr>
      </w:pP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29</w:t>
      </w:r>
      <w:r>
        <w:rPr>
          <w:spacing w:val="5"/>
          <w:sz w:val="13"/>
        </w:rPr>
        <w:t> </w:t>
      </w:r>
      <w:r>
        <w:rPr>
          <w:spacing w:val="2"/>
          <w:sz w:val="13"/>
        </w:rPr>
        <w:t>[3.62]–[3.63].</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36"/>
        </w:rPr>
      </w:pPr>
    </w:p>
    <w:p>
      <w:pPr>
        <w:spacing w:before="0"/>
        <w:ind w:left="560" w:right="0" w:firstLine="0"/>
        <w:jc w:val="left"/>
        <w:rPr>
          <w:b/>
          <w:sz w:val="24"/>
        </w:rPr>
      </w:pPr>
      <w:r>
        <w:rPr>
          <w:b/>
          <w:color w:val="37617A"/>
          <w:sz w:val="24"/>
        </w:rPr>
        <w:t>195</w:t>
      </w:r>
    </w:p>
    <w:p>
      <w:pPr>
        <w:spacing w:after="0"/>
        <w:jc w:val="left"/>
        <w:rPr>
          <w:sz w:val="24"/>
        </w:rPr>
        <w:sectPr>
          <w:type w:val="continuous"/>
          <w:pgSz w:w="11910" w:h="16840"/>
          <w:pgMar w:top="620" w:bottom="280" w:left="620" w:right="380"/>
          <w:cols w:num="2" w:equalWidth="0">
            <w:col w:w="9696" w:space="40"/>
            <w:col w:w="1174"/>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2" w:val="left" w:leader="none"/>
        </w:tabs>
        <w:spacing w:line="206" w:lineRule="auto" w:before="0" w:after="0"/>
        <w:ind w:left="1761" w:right="1314" w:hanging="794"/>
        <w:jc w:val="both"/>
        <w:rPr>
          <w:sz w:val="11"/>
        </w:rPr>
      </w:pPr>
      <w:bookmarkStart w:name="_bookmark143" w:id="343"/>
      <w:bookmarkEnd w:id="343"/>
      <w:r>
        <w:rPr/>
      </w:r>
      <w:bookmarkStart w:name="_bookmark143" w:id="344"/>
      <w:bookmarkEnd w:id="344"/>
      <w:r>
        <w:rPr>
          <w:sz w:val="20"/>
        </w:rPr>
        <w:t>I</w:t>
      </w:r>
      <w:r>
        <w:rPr>
          <w:sz w:val="20"/>
        </w:rPr>
        <w:t>n</w:t>
      </w:r>
      <w:r>
        <w:rPr>
          <w:spacing w:val="-10"/>
          <w:sz w:val="20"/>
        </w:rPr>
        <w:t> </w:t>
      </w:r>
      <w:r>
        <w:rPr>
          <w:spacing w:val="-2"/>
          <w:sz w:val="20"/>
        </w:rPr>
        <w:t>Chapter</w:t>
      </w:r>
      <w:r>
        <w:rPr>
          <w:spacing w:val="-10"/>
          <w:sz w:val="20"/>
        </w:rPr>
        <w:t> </w:t>
      </w:r>
      <w:r>
        <w:rPr>
          <w:sz w:val="20"/>
        </w:rPr>
        <w:t>5</w:t>
      </w:r>
      <w:r>
        <w:rPr>
          <w:spacing w:val="-10"/>
          <w:sz w:val="20"/>
        </w:rPr>
        <w:t> </w:t>
      </w:r>
      <w:r>
        <w:rPr>
          <w:spacing w:val="-3"/>
          <w:sz w:val="20"/>
        </w:rPr>
        <w:t>we</w:t>
      </w:r>
      <w:r>
        <w:rPr>
          <w:spacing w:val="-9"/>
          <w:sz w:val="20"/>
        </w:rPr>
        <w:t> </w:t>
      </w:r>
      <w:r>
        <w:rPr>
          <w:sz w:val="20"/>
        </w:rPr>
        <w:t>noted</w:t>
      </w:r>
      <w:r>
        <w:rPr>
          <w:spacing w:val="-10"/>
          <w:sz w:val="20"/>
        </w:rPr>
        <w:t> </w:t>
      </w:r>
      <w:r>
        <w:rPr>
          <w:sz w:val="20"/>
        </w:rPr>
        <w:t>that</w:t>
      </w:r>
      <w:r>
        <w:rPr>
          <w:spacing w:val="-10"/>
          <w:sz w:val="20"/>
        </w:rPr>
        <w:t> </w:t>
      </w:r>
      <w:r>
        <w:rPr>
          <w:sz w:val="20"/>
        </w:rPr>
        <w:t>peremptory</w:t>
      </w:r>
      <w:r>
        <w:rPr>
          <w:spacing w:val="-10"/>
          <w:sz w:val="20"/>
        </w:rPr>
        <w:t> </w:t>
      </w:r>
      <w:r>
        <w:rPr>
          <w:sz w:val="20"/>
        </w:rPr>
        <w:t>challenges</w:t>
      </w:r>
      <w:r>
        <w:rPr>
          <w:spacing w:val="-9"/>
          <w:sz w:val="20"/>
        </w:rPr>
        <w:t> </w:t>
      </w:r>
      <w:r>
        <w:rPr>
          <w:spacing w:val="-3"/>
          <w:sz w:val="20"/>
        </w:rPr>
        <w:t>are</w:t>
      </w:r>
      <w:r>
        <w:rPr>
          <w:spacing w:val="-10"/>
          <w:sz w:val="20"/>
        </w:rPr>
        <w:t> </w:t>
      </w:r>
      <w:r>
        <w:rPr>
          <w:spacing w:val="-3"/>
          <w:sz w:val="20"/>
        </w:rPr>
        <w:t>exercised</w:t>
      </w:r>
      <w:r>
        <w:rPr>
          <w:spacing w:val="-10"/>
          <w:sz w:val="20"/>
        </w:rPr>
        <w:t> </w:t>
      </w:r>
      <w:r>
        <w:rPr>
          <w:sz w:val="20"/>
        </w:rPr>
        <w:t>against</w:t>
      </w:r>
      <w:r>
        <w:rPr>
          <w:spacing w:val="-9"/>
          <w:sz w:val="20"/>
        </w:rPr>
        <w:t> </w:t>
      </w:r>
      <w:r>
        <w:rPr>
          <w:sz w:val="20"/>
        </w:rPr>
        <w:t>women</w:t>
      </w:r>
      <w:r>
        <w:rPr>
          <w:spacing w:val="-10"/>
          <w:sz w:val="20"/>
        </w:rPr>
        <w:t> </w:t>
      </w:r>
      <w:r>
        <w:rPr>
          <w:sz w:val="20"/>
        </w:rPr>
        <w:t>more often</w:t>
      </w:r>
      <w:r>
        <w:rPr>
          <w:spacing w:val="-10"/>
          <w:sz w:val="20"/>
        </w:rPr>
        <w:t> </w:t>
      </w:r>
      <w:r>
        <w:rPr>
          <w:sz w:val="20"/>
        </w:rPr>
        <w:t>than</w:t>
      </w:r>
      <w:r>
        <w:rPr>
          <w:spacing w:val="-10"/>
          <w:sz w:val="20"/>
        </w:rPr>
        <w:t> </w:t>
      </w:r>
      <w:r>
        <w:rPr>
          <w:sz w:val="20"/>
        </w:rPr>
        <w:t>men.</w:t>
      </w:r>
      <w:r>
        <w:rPr>
          <w:spacing w:val="-10"/>
          <w:sz w:val="20"/>
        </w:rPr>
        <w:t> </w:t>
      </w:r>
      <w:r>
        <w:rPr>
          <w:sz w:val="20"/>
        </w:rPr>
        <w:t>While</w:t>
      </w:r>
      <w:r>
        <w:rPr>
          <w:spacing w:val="-10"/>
          <w:sz w:val="20"/>
        </w:rPr>
        <w:t> </w:t>
      </w:r>
      <w:r>
        <w:rPr>
          <w:sz w:val="20"/>
        </w:rPr>
        <w:t>reasons</w:t>
      </w:r>
      <w:r>
        <w:rPr>
          <w:spacing w:val="-10"/>
          <w:sz w:val="20"/>
        </w:rPr>
        <w:t> </w:t>
      </w:r>
      <w:r>
        <w:rPr>
          <w:spacing w:val="-3"/>
          <w:sz w:val="20"/>
        </w:rPr>
        <w:t>are</w:t>
      </w:r>
      <w:r>
        <w:rPr>
          <w:spacing w:val="-10"/>
          <w:sz w:val="20"/>
        </w:rPr>
        <w:t> </w:t>
      </w:r>
      <w:r>
        <w:rPr>
          <w:sz w:val="20"/>
        </w:rPr>
        <w:t>not</w:t>
      </w:r>
      <w:r>
        <w:rPr>
          <w:spacing w:val="-10"/>
          <w:sz w:val="20"/>
        </w:rPr>
        <w:t> </w:t>
      </w:r>
      <w:r>
        <w:rPr>
          <w:spacing w:val="-3"/>
          <w:sz w:val="20"/>
        </w:rPr>
        <w:t>provided</w:t>
      </w:r>
      <w:r>
        <w:rPr>
          <w:spacing w:val="-10"/>
          <w:sz w:val="20"/>
        </w:rPr>
        <w:t> </w:t>
      </w:r>
      <w:r>
        <w:rPr>
          <w:sz w:val="20"/>
        </w:rPr>
        <w:t>for</w:t>
      </w:r>
      <w:r>
        <w:rPr>
          <w:spacing w:val="-10"/>
          <w:sz w:val="20"/>
        </w:rPr>
        <w:t> </w:t>
      </w:r>
      <w:r>
        <w:rPr>
          <w:spacing w:val="-3"/>
          <w:sz w:val="20"/>
        </w:rPr>
        <w:t>exercising</w:t>
      </w:r>
      <w:r>
        <w:rPr>
          <w:spacing w:val="-10"/>
          <w:sz w:val="20"/>
        </w:rPr>
        <w:t> </w:t>
      </w:r>
      <w:r>
        <w:rPr>
          <w:sz w:val="20"/>
        </w:rPr>
        <w:t>peremptory</w:t>
      </w:r>
      <w:r>
        <w:rPr>
          <w:spacing w:val="-10"/>
          <w:sz w:val="20"/>
        </w:rPr>
        <w:t> </w:t>
      </w:r>
      <w:r>
        <w:rPr>
          <w:sz w:val="20"/>
        </w:rPr>
        <w:t>challenges, the</w:t>
      </w:r>
      <w:r>
        <w:rPr>
          <w:spacing w:val="-7"/>
          <w:sz w:val="20"/>
        </w:rPr>
        <w:t> </w:t>
      </w:r>
      <w:r>
        <w:rPr>
          <w:sz w:val="20"/>
        </w:rPr>
        <w:t>data</w:t>
      </w:r>
      <w:r>
        <w:rPr>
          <w:spacing w:val="-7"/>
          <w:sz w:val="20"/>
        </w:rPr>
        <w:t> </w:t>
      </w:r>
      <w:r>
        <w:rPr>
          <w:sz w:val="20"/>
        </w:rPr>
        <w:t>suggests</w:t>
      </w:r>
      <w:r>
        <w:rPr>
          <w:spacing w:val="-7"/>
          <w:sz w:val="20"/>
        </w:rPr>
        <w:t> </w:t>
      </w:r>
      <w:r>
        <w:rPr>
          <w:sz w:val="20"/>
        </w:rPr>
        <w:t>that</w:t>
      </w:r>
      <w:r>
        <w:rPr>
          <w:spacing w:val="-7"/>
          <w:sz w:val="20"/>
        </w:rPr>
        <w:t> </w:t>
      </w:r>
      <w:r>
        <w:rPr>
          <w:sz w:val="20"/>
        </w:rPr>
        <w:t>women</w:t>
      </w:r>
      <w:r>
        <w:rPr>
          <w:spacing w:val="-7"/>
          <w:sz w:val="20"/>
        </w:rPr>
        <w:t> </w:t>
      </w:r>
      <w:r>
        <w:rPr>
          <w:spacing w:val="-3"/>
          <w:sz w:val="20"/>
        </w:rPr>
        <w:t>are</w:t>
      </w:r>
      <w:r>
        <w:rPr>
          <w:spacing w:val="-7"/>
          <w:sz w:val="20"/>
        </w:rPr>
        <w:t> </w:t>
      </w:r>
      <w:r>
        <w:rPr>
          <w:sz w:val="20"/>
        </w:rPr>
        <w:t>challenged</w:t>
      </w:r>
      <w:r>
        <w:rPr>
          <w:spacing w:val="-7"/>
          <w:sz w:val="20"/>
        </w:rPr>
        <w:t> </w:t>
      </w:r>
      <w:r>
        <w:rPr>
          <w:sz w:val="20"/>
        </w:rPr>
        <w:t>more</w:t>
      </w:r>
      <w:r>
        <w:rPr>
          <w:spacing w:val="-7"/>
          <w:sz w:val="20"/>
        </w:rPr>
        <w:t> </w:t>
      </w:r>
      <w:r>
        <w:rPr>
          <w:sz w:val="20"/>
        </w:rPr>
        <w:t>than</w:t>
      </w:r>
      <w:r>
        <w:rPr>
          <w:spacing w:val="-6"/>
          <w:sz w:val="20"/>
        </w:rPr>
        <w:t> </w:t>
      </w:r>
      <w:r>
        <w:rPr>
          <w:sz w:val="20"/>
        </w:rPr>
        <w:t>twice</w:t>
      </w:r>
      <w:r>
        <w:rPr>
          <w:spacing w:val="-7"/>
          <w:sz w:val="20"/>
        </w:rPr>
        <w:t> </w:t>
      </w:r>
      <w:r>
        <w:rPr>
          <w:sz w:val="20"/>
        </w:rPr>
        <w:t>as</w:t>
      </w:r>
      <w:r>
        <w:rPr>
          <w:spacing w:val="-7"/>
          <w:sz w:val="20"/>
        </w:rPr>
        <w:t> </w:t>
      </w:r>
      <w:r>
        <w:rPr>
          <w:sz w:val="20"/>
        </w:rPr>
        <w:t>often</w:t>
      </w:r>
      <w:r>
        <w:rPr>
          <w:spacing w:val="-7"/>
          <w:sz w:val="20"/>
        </w:rPr>
        <w:t> </w:t>
      </w:r>
      <w:r>
        <w:rPr>
          <w:sz w:val="20"/>
        </w:rPr>
        <w:t>as</w:t>
      </w:r>
      <w:r>
        <w:rPr>
          <w:spacing w:val="-7"/>
          <w:sz w:val="20"/>
        </w:rPr>
        <w:t> </w:t>
      </w:r>
      <w:r>
        <w:rPr>
          <w:sz w:val="20"/>
        </w:rPr>
        <w:t>men.</w:t>
      </w:r>
      <w:r>
        <w:rPr>
          <w:position w:val="7"/>
          <w:sz w:val="11"/>
        </w:rPr>
        <w:t>30</w:t>
      </w:r>
    </w:p>
    <w:p>
      <w:pPr>
        <w:pStyle w:val="ListParagraph"/>
        <w:numPr>
          <w:ilvl w:val="1"/>
          <w:numId w:val="12"/>
        </w:numPr>
        <w:tabs>
          <w:tab w:pos="1761" w:val="left" w:leader="none"/>
          <w:tab w:pos="1762" w:val="left" w:leader="none"/>
        </w:tabs>
        <w:spacing w:line="206" w:lineRule="auto" w:before="124" w:after="0"/>
        <w:ind w:left="1761" w:right="1406" w:hanging="794"/>
        <w:jc w:val="left"/>
        <w:rPr>
          <w:sz w:val="20"/>
        </w:rPr>
      </w:pPr>
      <w:r>
        <w:rPr>
          <w:sz w:val="20"/>
        </w:rPr>
        <w:t>The</w:t>
      </w:r>
      <w:r>
        <w:rPr>
          <w:spacing w:val="-10"/>
          <w:sz w:val="20"/>
        </w:rPr>
        <w:t> </w:t>
      </w:r>
      <w:r>
        <w:rPr>
          <w:sz w:val="20"/>
        </w:rPr>
        <w:t>Commission</w:t>
      </w:r>
      <w:r>
        <w:rPr>
          <w:spacing w:val="-9"/>
          <w:sz w:val="20"/>
        </w:rPr>
        <w:t> </w:t>
      </w:r>
      <w:r>
        <w:rPr>
          <w:sz w:val="20"/>
        </w:rPr>
        <w:t>is</w:t>
      </w:r>
      <w:r>
        <w:rPr>
          <w:spacing w:val="-10"/>
          <w:sz w:val="20"/>
        </w:rPr>
        <w:t> </w:t>
      </w:r>
      <w:r>
        <w:rPr>
          <w:sz w:val="20"/>
        </w:rPr>
        <w:t>concerned</w:t>
      </w:r>
      <w:r>
        <w:rPr>
          <w:spacing w:val="-9"/>
          <w:sz w:val="20"/>
        </w:rPr>
        <w:t> </w:t>
      </w:r>
      <w:r>
        <w:rPr>
          <w:sz w:val="20"/>
        </w:rPr>
        <w:t>to</w:t>
      </w:r>
      <w:r>
        <w:rPr>
          <w:spacing w:val="-9"/>
          <w:sz w:val="20"/>
        </w:rPr>
        <w:t> </w:t>
      </w:r>
      <w:r>
        <w:rPr>
          <w:spacing w:val="-3"/>
          <w:sz w:val="20"/>
        </w:rPr>
        <w:t>avoid</w:t>
      </w:r>
      <w:r>
        <w:rPr>
          <w:spacing w:val="-10"/>
          <w:sz w:val="20"/>
        </w:rPr>
        <w:t> </w:t>
      </w:r>
      <w:r>
        <w:rPr>
          <w:sz w:val="20"/>
        </w:rPr>
        <w:t>a</w:t>
      </w:r>
      <w:r>
        <w:rPr>
          <w:spacing w:val="-9"/>
          <w:sz w:val="20"/>
        </w:rPr>
        <w:t> </w:t>
      </w:r>
      <w:r>
        <w:rPr>
          <w:sz w:val="20"/>
        </w:rPr>
        <w:t>similar</w:t>
      </w:r>
      <w:r>
        <w:rPr>
          <w:spacing w:val="-10"/>
          <w:sz w:val="20"/>
        </w:rPr>
        <w:t> </w:t>
      </w:r>
      <w:r>
        <w:rPr>
          <w:sz w:val="20"/>
        </w:rPr>
        <w:t>outcome</w:t>
      </w:r>
      <w:r>
        <w:rPr>
          <w:spacing w:val="-9"/>
          <w:sz w:val="20"/>
        </w:rPr>
        <w:t> </w:t>
      </w:r>
      <w:r>
        <w:rPr>
          <w:sz w:val="20"/>
        </w:rPr>
        <w:t>for</w:t>
      </w:r>
      <w:r>
        <w:rPr>
          <w:spacing w:val="-9"/>
          <w:sz w:val="20"/>
        </w:rPr>
        <w:t> </w:t>
      </w:r>
      <w:r>
        <w:rPr>
          <w:sz w:val="20"/>
        </w:rPr>
        <w:t>people</w:t>
      </w:r>
      <w:r>
        <w:rPr>
          <w:spacing w:val="-10"/>
          <w:sz w:val="20"/>
        </w:rPr>
        <w:t> </w:t>
      </w:r>
      <w:r>
        <w:rPr>
          <w:spacing w:val="-3"/>
          <w:sz w:val="20"/>
        </w:rPr>
        <w:t>from</w:t>
      </w:r>
      <w:r>
        <w:rPr>
          <w:spacing w:val="-9"/>
          <w:sz w:val="20"/>
        </w:rPr>
        <w:t> </w:t>
      </w:r>
      <w:r>
        <w:rPr>
          <w:sz w:val="20"/>
        </w:rPr>
        <w:t>the</w:t>
      </w:r>
      <w:r>
        <w:rPr>
          <w:spacing w:val="-9"/>
          <w:sz w:val="20"/>
        </w:rPr>
        <w:t> </w:t>
      </w:r>
      <w:r>
        <w:rPr>
          <w:sz w:val="20"/>
        </w:rPr>
        <w:t>subject groups. There will be little advantage in changing the law if people </w:t>
      </w:r>
      <w:r>
        <w:rPr>
          <w:spacing w:val="-3"/>
          <w:sz w:val="20"/>
        </w:rPr>
        <w:t>from </w:t>
      </w:r>
      <w:r>
        <w:rPr>
          <w:sz w:val="20"/>
        </w:rPr>
        <w:t>the subject groups</w:t>
      </w:r>
      <w:r>
        <w:rPr>
          <w:spacing w:val="-5"/>
          <w:sz w:val="20"/>
        </w:rPr>
        <w:t> </w:t>
      </w:r>
      <w:r>
        <w:rPr>
          <w:sz w:val="20"/>
        </w:rPr>
        <w:t>get</w:t>
      </w:r>
      <w:r>
        <w:rPr>
          <w:spacing w:val="-5"/>
          <w:sz w:val="20"/>
        </w:rPr>
        <w:t> </w:t>
      </w:r>
      <w:r>
        <w:rPr>
          <w:sz w:val="20"/>
        </w:rPr>
        <w:t>challenged</w:t>
      </w:r>
      <w:r>
        <w:rPr>
          <w:spacing w:val="-5"/>
          <w:sz w:val="20"/>
        </w:rPr>
        <w:t> </w:t>
      </w:r>
      <w:r>
        <w:rPr>
          <w:sz w:val="20"/>
        </w:rPr>
        <w:t>off</w:t>
      </w:r>
      <w:r>
        <w:rPr>
          <w:spacing w:val="-5"/>
          <w:sz w:val="20"/>
        </w:rPr>
        <w:t> </w:t>
      </w:r>
      <w:r>
        <w:rPr>
          <w:sz w:val="20"/>
        </w:rPr>
        <w:t>the</w:t>
      </w:r>
      <w:r>
        <w:rPr>
          <w:spacing w:val="-5"/>
          <w:sz w:val="20"/>
        </w:rPr>
        <w:t> </w:t>
      </w:r>
      <w:r>
        <w:rPr>
          <w:sz w:val="20"/>
        </w:rPr>
        <w:t>jury</w:t>
      </w:r>
      <w:r>
        <w:rPr>
          <w:spacing w:val="-5"/>
          <w:sz w:val="20"/>
        </w:rPr>
        <w:t> </w:t>
      </w:r>
      <w:r>
        <w:rPr>
          <w:spacing w:val="-3"/>
          <w:sz w:val="20"/>
        </w:rPr>
        <w:t>anyway</w:t>
      </w:r>
      <w:r>
        <w:rPr>
          <w:spacing w:val="-5"/>
          <w:sz w:val="20"/>
        </w:rPr>
        <w:t> </w:t>
      </w:r>
      <w:r>
        <w:rPr>
          <w:sz w:val="20"/>
        </w:rPr>
        <w:t>at</w:t>
      </w:r>
      <w:r>
        <w:rPr>
          <w:spacing w:val="-5"/>
          <w:sz w:val="20"/>
        </w:rPr>
        <w:t> </w:t>
      </w:r>
      <w:r>
        <w:rPr>
          <w:sz w:val="20"/>
        </w:rPr>
        <w:t>the</w:t>
      </w:r>
      <w:r>
        <w:rPr>
          <w:spacing w:val="-5"/>
          <w:sz w:val="20"/>
        </w:rPr>
        <w:t> </w:t>
      </w:r>
      <w:r>
        <w:rPr>
          <w:sz w:val="20"/>
        </w:rPr>
        <w:t>last</w:t>
      </w:r>
      <w:r>
        <w:rPr>
          <w:spacing w:val="-4"/>
          <w:sz w:val="20"/>
        </w:rPr>
        <w:t> </w:t>
      </w:r>
      <w:r>
        <w:rPr>
          <w:spacing w:val="-3"/>
          <w:sz w:val="20"/>
        </w:rPr>
        <w:t>minute.</w:t>
      </w:r>
    </w:p>
    <w:p>
      <w:pPr>
        <w:spacing w:before="162"/>
        <w:ind w:left="967" w:right="0" w:firstLine="0"/>
        <w:jc w:val="left"/>
        <w:rPr>
          <w:b/>
          <w:sz w:val="24"/>
        </w:rPr>
      </w:pPr>
      <w:r>
        <w:rPr>
          <w:b/>
          <w:sz w:val="24"/>
        </w:rPr>
        <w:t>The approach of other law reform agencies to disability and challenges</w:t>
      </w:r>
    </w:p>
    <w:p>
      <w:pPr>
        <w:pStyle w:val="ListParagraph"/>
        <w:numPr>
          <w:ilvl w:val="1"/>
          <w:numId w:val="12"/>
        </w:numPr>
        <w:tabs>
          <w:tab w:pos="1761" w:val="left" w:leader="none"/>
          <w:tab w:pos="1762" w:val="left" w:leader="none"/>
        </w:tabs>
        <w:spacing w:line="240" w:lineRule="auto" w:before="95" w:after="0"/>
        <w:ind w:left="1761" w:right="0" w:hanging="794"/>
        <w:jc w:val="left"/>
        <w:rPr>
          <w:sz w:val="20"/>
        </w:rPr>
      </w:pPr>
      <w:r>
        <w:rPr>
          <w:sz w:val="20"/>
        </w:rPr>
        <w:t>The New South </w:t>
      </w:r>
      <w:r>
        <w:rPr>
          <w:spacing w:val="-4"/>
          <w:sz w:val="20"/>
        </w:rPr>
        <w:t>Wales </w:t>
      </w:r>
      <w:r>
        <w:rPr>
          <w:sz w:val="20"/>
        </w:rPr>
        <w:t>Law Reform Commission </w:t>
      </w:r>
      <w:r>
        <w:rPr>
          <w:spacing w:val="-3"/>
          <w:sz w:val="20"/>
        </w:rPr>
        <w:t>(NSWLRC) </w:t>
      </w:r>
      <w:r>
        <w:rPr>
          <w:sz w:val="20"/>
        </w:rPr>
        <w:t>notes</w:t>
      </w:r>
      <w:r>
        <w:rPr>
          <w:spacing w:val="-35"/>
          <w:sz w:val="20"/>
        </w:rPr>
        <w:t> </w:t>
      </w:r>
      <w:r>
        <w:rPr>
          <w:sz w:val="20"/>
        </w:rPr>
        <w:t>that:</w:t>
      </w:r>
    </w:p>
    <w:p>
      <w:pPr>
        <w:spacing w:line="208" w:lineRule="auto" w:before="112"/>
        <w:ind w:left="2157" w:right="1163" w:firstLine="0"/>
        <w:jc w:val="left"/>
        <w:rPr>
          <w:sz w:val="11"/>
        </w:rPr>
      </w:pPr>
      <w:r>
        <w:rPr>
          <w:sz w:val="19"/>
        </w:rPr>
        <w:t>For meaningful change to take place, considerable effort would be required to educate and instil confidence in lawyers and the general public as to the competence of deaf or blind people to serve as jurors. Unless such a perception becomes widespread and not merely patchy, in practice blind or deaf people may well continue to be excluded from juries.</w:t>
      </w:r>
      <w:r>
        <w:rPr>
          <w:position w:val="6"/>
          <w:sz w:val="11"/>
        </w:rPr>
        <w:t>31</w:t>
      </w:r>
    </w:p>
    <w:p>
      <w:pPr>
        <w:pStyle w:val="ListParagraph"/>
        <w:numPr>
          <w:ilvl w:val="1"/>
          <w:numId w:val="12"/>
        </w:numPr>
        <w:tabs>
          <w:tab w:pos="1761" w:val="left" w:leader="none"/>
          <w:tab w:pos="1762" w:val="left" w:leader="none"/>
        </w:tabs>
        <w:spacing w:line="206" w:lineRule="auto" w:before="125" w:after="0"/>
        <w:ind w:left="1761" w:right="1508" w:hanging="794"/>
        <w:jc w:val="left"/>
        <w:rPr>
          <w:sz w:val="20"/>
        </w:rPr>
      </w:pPr>
      <w:r>
        <w:rPr>
          <w:sz w:val="20"/>
        </w:rPr>
        <w:t>A later NSWLRC report suggested that the issue of peremptory challenges should be</w:t>
      </w:r>
      <w:r>
        <w:rPr>
          <w:spacing w:val="-12"/>
          <w:sz w:val="20"/>
        </w:rPr>
        <w:t> </w:t>
      </w:r>
      <w:r>
        <w:rPr>
          <w:sz w:val="20"/>
        </w:rPr>
        <w:t>‘kept</w:t>
      </w:r>
      <w:r>
        <w:rPr>
          <w:spacing w:val="-11"/>
          <w:sz w:val="20"/>
        </w:rPr>
        <w:t> </w:t>
      </w:r>
      <w:r>
        <w:rPr>
          <w:sz w:val="20"/>
        </w:rPr>
        <w:t>under</w:t>
      </w:r>
      <w:r>
        <w:rPr>
          <w:spacing w:val="-12"/>
          <w:sz w:val="20"/>
        </w:rPr>
        <w:t> </w:t>
      </w:r>
      <w:r>
        <w:rPr>
          <w:spacing w:val="-4"/>
          <w:sz w:val="20"/>
        </w:rPr>
        <w:t>review’.</w:t>
      </w:r>
      <w:r>
        <w:rPr>
          <w:spacing w:val="-4"/>
          <w:position w:val="7"/>
          <w:sz w:val="11"/>
        </w:rPr>
        <w:t>32</w:t>
      </w:r>
      <w:r>
        <w:rPr>
          <w:spacing w:val="14"/>
          <w:position w:val="7"/>
          <w:sz w:val="11"/>
        </w:rPr>
        <w:t> </w:t>
      </w:r>
      <w:r>
        <w:rPr>
          <w:sz w:val="20"/>
        </w:rPr>
        <w:t>While</w:t>
      </w:r>
      <w:r>
        <w:rPr>
          <w:spacing w:val="-12"/>
          <w:sz w:val="20"/>
        </w:rPr>
        <w:t> </w:t>
      </w:r>
      <w:r>
        <w:rPr>
          <w:sz w:val="20"/>
        </w:rPr>
        <w:t>not</w:t>
      </w:r>
      <w:r>
        <w:rPr>
          <w:spacing w:val="-11"/>
          <w:sz w:val="20"/>
        </w:rPr>
        <w:t> </w:t>
      </w:r>
      <w:r>
        <w:rPr>
          <w:sz w:val="20"/>
        </w:rPr>
        <w:t>specifically</w:t>
      </w:r>
      <w:r>
        <w:rPr>
          <w:spacing w:val="-11"/>
          <w:sz w:val="20"/>
        </w:rPr>
        <w:t> </w:t>
      </w:r>
      <w:r>
        <w:rPr>
          <w:sz w:val="20"/>
        </w:rPr>
        <w:t>addressing</w:t>
      </w:r>
      <w:r>
        <w:rPr>
          <w:spacing w:val="-12"/>
          <w:sz w:val="20"/>
        </w:rPr>
        <w:t> </w:t>
      </w:r>
      <w:r>
        <w:rPr>
          <w:sz w:val="20"/>
        </w:rPr>
        <w:t>the</w:t>
      </w:r>
      <w:r>
        <w:rPr>
          <w:spacing w:val="-11"/>
          <w:sz w:val="20"/>
        </w:rPr>
        <w:t> </w:t>
      </w:r>
      <w:r>
        <w:rPr>
          <w:sz w:val="20"/>
        </w:rPr>
        <w:t>impact</w:t>
      </w:r>
      <w:r>
        <w:rPr>
          <w:spacing w:val="-11"/>
          <w:sz w:val="20"/>
        </w:rPr>
        <w:t> </w:t>
      </w:r>
      <w:r>
        <w:rPr>
          <w:sz w:val="20"/>
        </w:rPr>
        <w:t>on</w:t>
      </w:r>
      <w:r>
        <w:rPr>
          <w:spacing w:val="-12"/>
          <w:sz w:val="20"/>
        </w:rPr>
        <w:t> </w:t>
      </w:r>
      <w:r>
        <w:rPr>
          <w:sz w:val="20"/>
        </w:rPr>
        <w:t>people</w:t>
      </w:r>
      <w:r>
        <w:rPr>
          <w:spacing w:val="-11"/>
          <w:sz w:val="20"/>
        </w:rPr>
        <w:t> </w:t>
      </w:r>
      <w:r>
        <w:rPr>
          <w:sz w:val="20"/>
        </w:rPr>
        <w:t>with disabilities,</w:t>
      </w:r>
      <w:r>
        <w:rPr>
          <w:spacing w:val="-14"/>
          <w:sz w:val="20"/>
        </w:rPr>
        <w:t> </w:t>
      </w:r>
      <w:r>
        <w:rPr>
          <w:sz w:val="20"/>
        </w:rPr>
        <w:t>that</w:t>
      </w:r>
      <w:r>
        <w:rPr>
          <w:spacing w:val="-13"/>
          <w:sz w:val="20"/>
        </w:rPr>
        <w:t> </w:t>
      </w:r>
      <w:r>
        <w:rPr>
          <w:sz w:val="20"/>
        </w:rPr>
        <w:t>report</w:t>
      </w:r>
      <w:r>
        <w:rPr>
          <w:spacing w:val="-13"/>
          <w:sz w:val="20"/>
        </w:rPr>
        <w:t> </w:t>
      </w:r>
      <w:r>
        <w:rPr>
          <w:sz w:val="20"/>
        </w:rPr>
        <w:t>identifies</w:t>
      </w:r>
      <w:r>
        <w:rPr>
          <w:spacing w:val="-13"/>
          <w:sz w:val="20"/>
        </w:rPr>
        <w:t> </w:t>
      </w:r>
      <w:r>
        <w:rPr>
          <w:sz w:val="20"/>
        </w:rPr>
        <w:t>some</w:t>
      </w:r>
      <w:r>
        <w:rPr>
          <w:spacing w:val="-13"/>
          <w:sz w:val="20"/>
        </w:rPr>
        <w:t> </w:t>
      </w:r>
      <w:r>
        <w:rPr>
          <w:sz w:val="20"/>
        </w:rPr>
        <w:t>of</w:t>
      </w:r>
      <w:r>
        <w:rPr>
          <w:spacing w:val="-13"/>
          <w:sz w:val="20"/>
        </w:rPr>
        <w:t> </w:t>
      </w:r>
      <w:r>
        <w:rPr>
          <w:sz w:val="20"/>
        </w:rPr>
        <w:t>the</w:t>
      </w:r>
      <w:r>
        <w:rPr>
          <w:spacing w:val="-13"/>
          <w:sz w:val="20"/>
        </w:rPr>
        <w:t> </w:t>
      </w:r>
      <w:r>
        <w:rPr>
          <w:sz w:val="20"/>
        </w:rPr>
        <w:t>impacts</w:t>
      </w:r>
      <w:r>
        <w:rPr>
          <w:spacing w:val="-13"/>
          <w:sz w:val="20"/>
        </w:rPr>
        <w:t> </w:t>
      </w:r>
      <w:r>
        <w:rPr>
          <w:sz w:val="20"/>
        </w:rPr>
        <w:t>of</w:t>
      </w:r>
      <w:r>
        <w:rPr>
          <w:spacing w:val="-13"/>
          <w:sz w:val="20"/>
        </w:rPr>
        <w:t> </w:t>
      </w:r>
      <w:r>
        <w:rPr>
          <w:sz w:val="20"/>
        </w:rPr>
        <w:t>peremptory</w:t>
      </w:r>
      <w:r>
        <w:rPr>
          <w:spacing w:val="-13"/>
          <w:sz w:val="20"/>
        </w:rPr>
        <w:t> </w:t>
      </w:r>
      <w:r>
        <w:rPr>
          <w:sz w:val="20"/>
        </w:rPr>
        <w:t>challenges</w:t>
      </w:r>
      <w:r>
        <w:rPr>
          <w:spacing w:val="-13"/>
          <w:sz w:val="20"/>
        </w:rPr>
        <w:t> </w:t>
      </w:r>
      <w:r>
        <w:rPr>
          <w:sz w:val="20"/>
        </w:rPr>
        <w:t>that</w:t>
      </w:r>
    </w:p>
    <w:p>
      <w:pPr>
        <w:pStyle w:val="BodyText"/>
        <w:spacing w:line="206" w:lineRule="auto" w:before="4"/>
        <w:ind w:left="1761" w:right="1170"/>
        <w:rPr>
          <w:sz w:val="11"/>
        </w:rPr>
      </w:pPr>
      <w:r>
        <w:rPr>
          <w:spacing w:val="-3"/>
        </w:rPr>
        <w:t>may </w:t>
      </w:r>
      <w:r>
        <w:rPr/>
        <w:t>lead to </w:t>
      </w:r>
      <w:r>
        <w:rPr>
          <w:spacing w:val="-3"/>
        </w:rPr>
        <w:t>under-representation </w:t>
      </w:r>
      <w:r>
        <w:rPr/>
        <w:t>of Indigenous people. These impacts include further alienation </w:t>
      </w:r>
      <w:r>
        <w:rPr>
          <w:spacing w:val="-3"/>
        </w:rPr>
        <w:t>from </w:t>
      </w:r>
      <w:r>
        <w:rPr/>
        <w:t>the criminal justice system, reduced opportunity for ‘the perspective of Aboriginality to be understood </w:t>
      </w:r>
      <w:r>
        <w:rPr>
          <w:spacing w:val="-3"/>
        </w:rPr>
        <w:t>by juries’ </w:t>
      </w:r>
      <w:r>
        <w:rPr/>
        <w:t>and reduced chances that an accused will be tried </w:t>
      </w:r>
      <w:r>
        <w:rPr>
          <w:spacing w:val="-3"/>
        </w:rPr>
        <w:t>by </w:t>
      </w:r>
      <w:r>
        <w:rPr/>
        <w:t>a jury with an Indigenous </w:t>
      </w:r>
      <w:r>
        <w:rPr>
          <w:spacing w:val="-3"/>
        </w:rPr>
        <w:t>member.</w:t>
      </w:r>
      <w:r>
        <w:rPr>
          <w:spacing w:val="-3"/>
          <w:position w:val="7"/>
          <w:sz w:val="11"/>
        </w:rPr>
        <w:t>33</w:t>
      </w:r>
    </w:p>
    <w:p>
      <w:pPr>
        <w:spacing w:line="216" w:lineRule="auto" w:before="191"/>
        <w:ind w:left="967" w:right="1277" w:firstLine="0"/>
        <w:jc w:val="left"/>
        <w:rPr>
          <w:b/>
          <w:sz w:val="24"/>
        </w:rPr>
      </w:pPr>
      <w:r>
        <w:rPr>
          <w:b/>
          <w:sz w:val="24"/>
        </w:rPr>
        <w:t>Community responses: peremptory challenges exercised on discriminatory grounds</w:t>
      </w:r>
    </w:p>
    <w:p>
      <w:pPr>
        <w:pStyle w:val="ListParagraph"/>
        <w:numPr>
          <w:ilvl w:val="1"/>
          <w:numId w:val="12"/>
        </w:numPr>
        <w:tabs>
          <w:tab w:pos="1761" w:val="left" w:leader="none"/>
          <w:tab w:pos="1762" w:val="left" w:leader="none"/>
        </w:tabs>
        <w:spacing w:line="206" w:lineRule="auto" w:before="133" w:after="0"/>
        <w:ind w:left="1761" w:right="1273" w:hanging="794"/>
        <w:jc w:val="left"/>
        <w:rPr>
          <w:sz w:val="20"/>
        </w:rPr>
      </w:pPr>
      <w:r>
        <w:rPr>
          <w:sz w:val="20"/>
        </w:rPr>
        <w:t>In the consultation paper </w:t>
      </w:r>
      <w:r>
        <w:rPr>
          <w:spacing w:val="-3"/>
          <w:sz w:val="20"/>
        </w:rPr>
        <w:t>we </w:t>
      </w:r>
      <w:r>
        <w:rPr>
          <w:sz w:val="20"/>
        </w:rPr>
        <w:t>asked for feedback about what action might </w:t>
      </w:r>
      <w:r>
        <w:rPr>
          <w:spacing w:val="-3"/>
          <w:sz w:val="20"/>
        </w:rPr>
        <w:t>reduce </w:t>
      </w:r>
      <w:r>
        <w:rPr>
          <w:sz w:val="20"/>
        </w:rPr>
        <w:t>the likelihood</w:t>
      </w:r>
      <w:r>
        <w:rPr>
          <w:spacing w:val="-12"/>
          <w:sz w:val="20"/>
        </w:rPr>
        <w:t> </w:t>
      </w:r>
      <w:r>
        <w:rPr>
          <w:sz w:val="20"/>
        </w:rPr>
        <w:t>of</w:t>
      </w:r>
      <w:r>
        <w:rPr>
          <w:spacing w:val="-11"/>
          <w:sz w:val="20"/>
        </w:rPr>
        <w:t> </w:t>
      </w:r>
      <w:r>
        <w:rPr>
          <w:sz w:val="20"/>
        </w:rPr>
        <w:t>peremptory</w:t>
      </w:r>
      <w:r>
        <w:rPr>
          <w:spacing w:val="-11"/>
          <w:sz w:val="20"/>
        </w:rPr>
        <w:t> </w:t>
      </w:r>
      <w:r>
        <w:rPr>
          <w:sz w:val="20"/>
        </w:rPr>
        <w:t>challenges</w:t>
      </w:r>
      <w:r>
        <w:rPr>
          <w:spacing w:val="-11"/>
          <w:sz w:val="20"/>
        </w:rPr>
        <w:t> </w:t>
      </w:r>
      <w:r>
        <w:rPr>
          <w:sz w:val="20"/>
        </w:rPr>
        <w:t>being</w:t>
      </w:r>
      <w:r>
        <w:rPr>
          <w:spacing w:val="-11"/>
          <w:sz w:val="20"/>
        </w:rPr>
        <w:t> </w:t>
      </w:r>
      <w:r>
        <w:rPr>
          <w:sz w:val="20"/>
        </w:rPr>
        <w:t>used</w:t>
      </w:r>
      <w:r>
        <w:rPr>
          <w:spacing w:val="-11"/>
          <w:sz w:val="20"/>
        </w:rPr>
        <w:t> </w:t>
      </w:r>
      <w:r>
        <w:rPr>
          <w:sz w:val="20"/>
        </w:rPr>
        <w:t>to</w:t>
      </w:r>
      <w:r>
        <w:rPr>
          <w:spacing w:val="-11"/>
          <w:sz w:val="20"/>
        </w:rPr>
        <w:t> </w:t>
      </w:r>
      <w:r>
        <w:rPr>
          <w:spacing w:val="-3"/>
          <w:sz w:val="20"/>
        </w:rPr>
        <w:t>exclude</w:t>
      </w:r>
      <w:r>
        <w:rPr>
          <w:spacing w:val="-12"/>
          <w:sz w:val="20"/>
        </w:rPr>
        <w:t> </w:t>
      </w:r>
      <w:r>
        <w:rPr>
          <w:sz w:val="20"/>
        </w:rPr>
        <w:t>jurors</w:t>
      </w:r>
      <w:r>
        <w:rPr>
          <w:spacing w:val="-11"/>
          <w:sz w:val="20"/>
        </w:rPr>
        <w:t> </w:t>
      </w:r>
      <w:r>
        <w:rPr>
          <w:spacing w:val="-3"/>
          <w:sz w:val="20"/>
        </w:rPr>
        <w:t>solely</w:t>
      </w:r>
      <w:r>
        <w:rPr>
          <w:spacing w:val="-11"/>
          <w:sz w:val="20"/>
        </w:rPr>
        <w:t> </w:t>
      </w:r>
      <w:r>
        <w:rPr>
          <w:sz w:val="20"/>
        </w:rPr>
        <w:t>based</w:t>
      </w:r>
      <w:r>
        <w:rPr>
          <w:spacing w:val="-11"/>
          <w:sz w:val="20"/>
        </w:rPr>
        <w:t> </w:t>
      </w:r>
      <w:r>
        <w:rPr>
          <w:sz w:val="20"/>
        </w:rPr>
        <w:t>on</w:t>
      </w:r>
      <w:r>
        <w:rPr>
          <w:spacing w:val="-11"/>
          <w:sz w:val="20"/>
        </w:rPr>
        <w:t> </w:t>
      </w:r>
      <w:r>
        <w:rPr>
          <w:sz w:val="20"/>
        </w:rPr>
        <w:t>their disability. </w:t>
      </w:r>
      <w:r>
        <w:rPr>
          <w:spacing w:val="-6"/>
          <w:sz w:val="20"/>
        </w:rPr>
        <w:t>We </w:t>
      </w:r>
      <w:r>
        <w:rPr>
          <w:sz w:val="20"/>
        </w:rPr>
        <w:t>suggested some </w:t>
      </w:r>
      <w:r>
        <w:rPr>
          <w:spacing w:val="-3"/>
          <w:sz w:val="20"/>
        </w:rPr>
        <w:t>reform </w:t>
      </w:r>
      <w:r>
        <w:rPr>
          <w:sz w:val="20"/>
        </w:rPr>
        <w:t>ideas for community</w:t>
      </w:r>
      <w:r>
        <w:rPr>
          <w:spacing w:val="-34"/>
          <w:sz w:val="20"/>
        </w:rPr>
        <w:t> </w:t>
      </w:r>
      <w:r>
        <w:rPr>
          <w:sz w:val="20"/>
        </w:rPr>
        <w:t>feedback:</w:t>
      </w:r>
    </w:p>
    <w:p>
      <w:pPr>
        <w:pStyle w:val="ListParagraph"/>
        <w:numPr>
          <w:ilvl w:val="0"/>
          <w:numId w:val="117"/>
        </w:numPr>
        <w:tabs>
          <w:tab w:pos="2157" w:val="left" w:leader="none"/>
          <w:tab w:pos="2158" w:val="left" w:leader="none"/>
        </w:tabs>
        <w:spacing w:line="206" w:lineRule="auto" w:before="124" w:after="0"/>
        <w:ind w:left="2157" w:right="1347" w:hanging="396"/>
        <w:jc w:val="left"/>
        <w:rPr>
          <w:sz w:val="20"/>
        </w:rPr>
      </w:pPr>
      <w:r>
        <w:rPr>
          <w:sz w:val="20"/>
        </w:rPr>
        <w:t>guidelines</w:t>
      </w:r>
      <w:r>
        <w:rPr>
          <w:spacing w:val="-8"/>
          <w:sz w:val="20"/>
        </w:rPr>
        <w:t> </w:t>
      </w:r>
      <w:r>
        <w:rPr>
          <w:sz w:val="20"/>
        </w:rPr>
        <w:t>for</w:t>
      </w:r>
      <w:r>
        <w:rPr>
          <w:spacing w:val="-7"/>
          <w:sz w:val="20"/>
        </w:rPr>
        <w:t> </w:t>
      </w:r>
      <w:r>
        <w:rPr>
          <w:sz w:val="20"/>
        </w:rPr>
        <w:t>the</w:t>
      </w:r>
      <w:r>
        <w:rPr>
          <w:spacing w:val="-8"/>
          <w:sz w:val="20"/>
        </w:rPr>
        <w:t> </w:t>
      </w:r>
      <w:r>
        <w:rPr>
          <w:sz w:val="20"/>
        </w:rPr>
        <w:t>Victorian</w:t>
      </w:r>
      <w:r>
        <w:rPr>
          <w:spacing w:val="-7"/>
          <w:sz w:val="20"/>
        </w:rPr>
        <w:t> </w:t>
      </w:r>
      <w:r>
        <w:rPr>
          <w:sz w:val="20"/>
        </w:rPr>
        <w:t>Bar</w:t>
      </w:r>
      <w:r>
        <w:rPr>
          <w:spacing w:val="-7"/>
          <w:sz w:val="20"/>
        </w:rPr>
        <w:t> </w:t>
      </w:r>
      <w:r>
        <w:rPr>
          <w:sz w:val="20"/>
        </w:rPr>
        <w:t>outlining</w:t>
      </w:r>
      <w:r>
        <w:rPr>
          <w:spacing w:val="-8"/>
          <w:sz w:val="20"/>
        </w:rPr>
        <w:t> </w:t>
      </w:r>
      <w:r>
        <w:rPr>
          <w:sz w:val="20"/>
        </w:rPr>
        <w:t>that</w:t>
      </w:r>
      <w:r>
        <w:rPr>
          <w:spacing w:val="-7"/>
          <w:sz w:val="20"/>
        </w:rPr>
        <w:t> </w:t>
      </w:r>
      <w:r>
        <w:rPr>
          <w:sz w:val="20"/>
        </w:rPr>
        <w:t>challenges</w:t>
      </w:r>
      <w:r>
        <w:rPr>
          <w:spacing w:val="-7"/>
          <w:sz w:val="20"/>
        </w:rPr>
        <w:t> </w:t>
      </w:r>
      <w:r>
        <w:rPr>
          <w:sz w:val="20"/>
        </w:rPr>
        <w:t>should</w:t>
      </w:r>
      <w:r>
        <w:rPr>
          <w:spacing w:val="-8"/>
          <w:sz w:val="20"/>
        </w:rPr>
        <w:t> </w:t>
      </w:r>
      <w:r>
        <w:rPr>
          <w:sz w:val="20"/>
        </w:rPr>
        <w:t>not</w:t>
      </w:r>
      <w:r>
        <w:rPr>
          <w:spacing w:val="-7"/>
          <w:sz w:val="20"/>
        </w:rPr>
        <w:t> </w:t>
      </w:r>
      <w:r>
        <w:rPr>
          <w:sz w:val="20"/>
        </w:rPr>
        <w:t>be</w:t>
      </w:r>
      <w:r>
        <w:rPr>
          <w:spacing w:val="-8"/>
          <w:sz w:val="20"/>
        </w:rPr>
        <w:t> </w:t>
      </w:r>
      <w:r>
        <w:rPr>
          <w:sz w:val="20"/>
        </w:rPr>
        <w:t>exercised solely on the basis of</w:t>
      </w:r>
      <w:r>
        <w:rPr>
          <w:spacing w:val="-11"/>
          <w:sz w:val="20"/>
        </w:rPr>
        <w:t> </w:t>
      </w:r>
      <w:r>
        <w:rPr>
          <w:sz w:val="20"/>
        </w:rPr>
        <w:t>disability</w:t>
      </w:r>
    </w:p>
    <w:p>
      <w:pPr>
        <w:pStyle w:val="ListParagraph"/>
        <w:numPr>
          <w:ilvl w:val="0"/>
          <w:numId w:val="117"/>
        </w:numPr>
        <w:tabs>
          <w:tab w:pos="2157" w:val="left" w:leader="none"/>
          <w:tab w:pos="2158" w:val="left" w:leader="none"/>
        </w:tabs>
        <w:spacing w:line="206" w:lineRule="auto" w:before="87" w:after="0"/>
        <w:ind w:left="2157" w:right="1538" w:hanging="396"/>
        <w:jc w:val="left"/>
        <w:rPr>
          <w:sz w:val="20"/>
        </w:rPr>
      </w:pPr>
      <w:r>
        <w:rPr>
          <w:sz w:val="20"/>
        </w:rPr>
        <w:t>a</w:t>
      </w:r>
      <w:r>
        <w:rPr>
          <w:spacing w:val="-6"/>
          <w:sz w:val="20"/>
        </w:rPr>
        <w:t> </w:t>
      </w:r>
      <w:r>
        <w:rPr>
          <w:sz w:val="20"/>
        </w:rPr>
        <w:t>statement</w:t>
      </w:r>
      <w:r>
        <w:rPr>
          <w:spacing w:val="-6"/>
          <w:sz w:val="20"/>
        </w:rPr>
        <w:t> </w:t>
      </w:r>
      <w:r>
        <w:rPr>
          <w:spacing w:val="-3"/>
          <w:sz w:val="20"/>
        </w:rPr>
        <w:t>by</w:t>
      </w:r>
      <w:r>
        <w:rPr>
          <w:spacing w:val="-5"/>
          <w:sz w:val="20"/>
        </w:rPr>
        <w:t> </w:t>
      </w:r>
      <w:r>
        <w:rPr>
          <w:sz w:val="20"/>
        </w:rPr>
        <w:t>the</w:t>
      </w:r>
      <w:r>
        <w:rPr>
          <w:spacing w:val="-6"/>
          <w:sz w:val="20"/>
        </w:rPr>
        <w:t> </w:t>
      </w:r>
      <w:r>
        <w:rPr>
          <w:sz w:val="20"/>
        </w:rPr>
        <w:t>judge</w:t>
      </w:r>
      <w:r>
        <w:rPr>
          <w:spacing w:val="-5"/>
          <w:sz w:val="20"/>
        </w:rPr>
        <w:t> </w:t>
      </w:r>
      <w:r>
        <w:rPr>
          <w:sz w:val="20"/>
        </w:rPr>
        <w:t>discouraging</w:t>
      </w:r>
      <w:r>
        <w:rPr>
          <w:spacing w:val="-6"/>
          <w:sz w:val="20"/>
        </w:rPr>
        <w:t> </w:t>
      </w:r>
      <w:r>
        <w:rPr>
          <w:sz w:val="20"/>
        </w:rPr>
        <w:t>the</w:t>
      </w:r>
      <w:r>
        <w:rPr>
          <w:spacing w:val="-5"/>
          <w:sz w:val="20"/>
        </w:rPr>
        <w:t> </w:t>
      </w:r>
      <w:r>
        <w:rPr>
          <w:sz w:val="20"/>
        </w:rPr>
        <w:t>use</w:t>
      </w:r>
      <w:r>
        <w:rPr>
          <w:spacing w:val="-6"/>
          <w:sz w:val="20"/>
        </w:rPr>
        <w:t> </w:t>
      </w:r>
      <w:r>
        <w:rPr>
          <w:sz w:val="20"/>
        </w:rPr>
        <w:t>of</w:t>
      </w:r>
      <w:r>
        <w:rPr>
          <w:spacing w:val="-5"/>
          <w:sz w:val="20"/>
        </w:rPr>
        <w:t> </w:t>
      </w:r>
      <w:r>
        <w:rPr>
          <w:sz w:val="20"/>
        </w:rPr>
        <w:t>challenges</w:t>
      </w:r>
      <w:r>
        <w:rPr>
          <w:spacing w:val="-6"/>
          <w:sz w:val="20"/>
        </w:rPr>
        <w:t> </w:t>
      </w:r>
      <w:r>
        <w:rPr>
          <w:sz w:val="20"/>
        </w:rPr>
        <w:t>on</w:t>
      </w:r>
      <w:r>
        <w:rPr>
          <w:spacing w:val="-5"/>
          <w:sz w:val="20"/>
        </w:rPr>
        <w:t> </w:t>
      </w:r>
      <w:r>
        <w:rPr>
          <w:sz w:val="20"/>
        </w:rPr>
        <w:t>discriminatory grounds.</w:t>
      </w:r>
    </w:p>
    <w:p>
      <w:pPr>
        <w:pStyle w:val="ListParagraph"/>
        <w:numPr>
          <w:ilvl w:val="1"/>
          <w:numId w:val="12"/>
        </w:numPr>
        <w:tabs>
          <w:tab w:pos="1761" w:val="left" w:leader="none"/>
          <w:tab w:pos="1762" w:val="left" w:leader="none"/>
        </w:tabs>
        <w:spacing w:line="206" w:lineRule="auto" w:before="88" w:after="0"/>
        <w:ind w:left="1761" w:right="1427" w:hanging="794"/>
        <w:jc w:val="left"/>
        <w:rPr>
          <w:sz w:val="20"/>
        </w:rPr>
      </w:pPr>
      <w:r>
        <w:rPr>
          <w:sz w:val="20"/>
        </w:rPr>
        <w:t>The courts and legal professionals </w:t>
      </w:r>
      <w:r>
        <w:rPr>
          <w:spacing w:val="-4"/>
          <w:sz w:val="20"/>
        </w:rPr>
        <w:t>were </w:t>
      </w:r>
      <w:r>
        <w:rPr>
          <w:sz w:val="20"/>
        </w:rPr>
        <w:t>wary of interfering with the right to peremptory challenges.</w:t>
      </w:r>
      <w:r>
        <w:rPr>
          <w:position w:val="7"/>
          <w:sz w:val="11"/>
        </w:rPr>
        <w:t>34 </w:t>
      </w:r>
      <w:r>
        <w:rPr>
          <w:sz w:val="20"/>
        </w:rPr>
        <w:t>The </w:t>
      </w:r>
      <w:r>
        <w:rPr>
          <w:spacing w:val="-3"/>
          <w:sz w:val="20"/>
        </w:rPr>
        <w:t>community, </w:t>
      </w:r>
      <w:r>
        <w:rPr>
          <w:sz w:val="20"/>
        </w:rPr>
        <w:t>on the other hand, </w:t>
      </w:r>
      <w:r>
        <w:rPr>
          <w:spacing w:val="-3"/>
          <w:sz w:val="20"/>
        </w:rPr>
        <w:t>favoured </w:t>
      </w:r>
      <w:r>
        <w:rPr>
          <w:sz w:val="20"/>
        </w:rPr>
        <w:t>reform. Only a</w:t>
      </w:r>
      <w:r>
        <w:rPr>
          <w:spacing w:val="-9"/>
          <w:sz w:val="20"/>
        </w:rPr>
        <w:t> </w:t>
      </w:r>
      <w:r>
        <w:rPr>
          <w:sz w:val="20"/>
        </w:rPr>
        <w:t>handful</w:t>
      </w:r>
      <w:r>
        <w:rPr>
          <w:spacing w:val="-8"/>
          <w:sz w:val="20"/>
        </w:rPr>
        <w:t> </w:t>
      </w:r>
      <w:r>
        <w:rPr>
          <w:sz w:val="20"/>
        </w:rPr>
        <w:t>of</w:t>
      </w:r>
      <w:r>
        <w:rPr>
          <w:spacing w:val="-8"/>
          <w:sz w:val="20"/>
        </w:rPr>
        <w:t> </w:t>
      </w:r>
      <w:r>
        <w:rPr>
          <w:sz w:val="20"/>
        </w:rPr>
        <w:t>responses</w:t>
      </w:r>
      <w:r>
        <w:rPr>
          <w:spacing w:val="-9"/>
          <w:sz w:val="20"/>
        </w:rPr>
        <w:t> </w:t>
      </w:r>
      <w:r>
        <w:rPr>
          <w:sz w:val="20"/>
        </w:rPr>
        <w:t>supported</w:t>
      </w:r>
      <w:r>
        <w:rPr>
          <w:spacing w:val="-8"/>
          <w:sz w:val="20"/>
        </w:rPr>
        <w:t> </w:t>
      </w:r>
      <w:r>
        <w:rPr>
          <w:sz w:val="20"/>
        </w:rPr>
        <w:t>both</w:t>
      </w:r>
      <w:r>
        <w:rPr>
          <w:spacing w:val="-8"/>
          <w:sz w:val="20"/>
        </w:rPr>
        <w:t> </w:t>
      </w:r>
      <w:r>
        <w:rPr>
          <w:sz w:val="20"/>
        </w:rPr>
        <w:t>of</w:t>
      </w:r>
      <w:r>
        <w:rPr>
          <w:spacing w:val="-8"/>
          <w:sz w:val="20"/>
        </w:rPr>
        <w:t> </w:t>
      </w:r>
      <w:r>
        <w:rPr>
          <w:sz w:val="20"/>
        </w:rPr>
        <w:t>the</w:t>
      </w:r>
      <w:r>
        <w:rPr>
          <w:spacing w:val="-9"/>
          <w:sz w:val="20"/>
        </w:rPr>
        <w:t> </w:t>
      </w:r>
      <w:r>
        <w:rPr>
          <w:spacing w:val="-3"/>
          <w:sz w:val="20"/>
        </w:rPr>
        <w:t>reform</w:t>
      </w:r>
      <w:r>
        <w:rPr>
          <w:spacing w:val="-8"/>
          <w:sz w:val="20"/>
        </w:rPr>
        <w:t> </w:t>
      </w:r>
      <w:r>
        <w:rPr>
          <w:sz w:val="20"/>
        </w:rPr>
        <w:t>ideas</w:t>
      </w:r>
      <w:r>
        <w:rPr>
          <w:spacing w:val="-8"/>
          <w:sz w:val="20"/>
        </w:rPr>
        <w:t> </w:t>
      </w:r>
      <w:r>
        <w:rPr>
          <w:spacing w:val="-3"/>
          <w:sz w:val="20"/>
        </w:rPr>
        <w:t>we</w:t>
      </w:r>
      <w:r>
        <w:rPr>
          <w:spacing w:val="-8"/>
          <w:sz w:val="20"/>
        </w:rPr>
        <w:t> </w:t>
      </w:r>
      <w:r>
        <w:rPr>
          <w:sz w:val="20"/>
        </w:rPr>
        <w:t>suggested.</w:t>
      </w:r>
      <w:r>
        <w:rPr>
          <w:position w:val="7"/>
          <w:sz w:val="11"/>
        </w:rPr>
        <w:t>35</w:t>
      </w:r>
      <w:r>
        <w:rPr>
          <w:spacing w:val="16"/>
          <w:position w:val="7"/>
          <w:sz w:val="11"/>
        </w:rPr>
        <w:t> </w:t>
      </w:r>
      <w:r>
        <w:rPr>
          <w:sz w:val="20"/>
        </w:rPr>
        <w:t>Disability </w:t>
      </w:r>
      <w:r>
        <w:rPr>
          <w:spacing w:val="-3"/>
          <w:sz w:val="20"/>
        </w:rPr>
        <w:t>advocates</w:t>
      </w:r>
      <w:r>
        <w:rPr>
          <w:spacing w:val="-9"/>
          <w:sz w:val="20"/>
        </w:rPr>
        <w:t> </w:t>
      </w:r>
      <w:r>
        <w:rPr>
          <w:sz w:val="20"/>
        </w:rPr>
        <w:t>and</w:t>
      </w:r>
      <w:r>
        <w:rPr>
          <w:spacing w:val="-8"/>
          <w:sz w:val="20"/>
        </w:rPr>
        <w:t> </w:t>
      </w:r>
      <w:r>
        <w:rPr>
          <w:sz w:val="20"/>
        </w:rPr>
        <w:t>community</w:t>
      </w:r>
      <w:r>
        <w:rPr>
          <w:spacing w:val="-8"/>
          <w:sz w:val="20"/>
        </w:rPr>
        <w:t> </w:t>
      </w:r>
      <w:r>
        <w:rPr>
          <w:sz w:val="20"/>
        </w:rPr>
        <w:t>members</w:t>
      </w:r>
      <w:r>
        <w:rPr>
          <w:spacing w:val="-8"/>
          <w:sz w:val="20"/>
        </w:rPr>
        <w:t> </w:t>
      </w:r>
      <w:r>
        <w:rPr>
          <w:sz w:val="20"/>
        </w:rPr>
        <w:t>did</w:t>
      </w:r>
      <w:r>
        <w:rPr>
          <w:spacing w:val="-9"/>
          <w:sz w:val="20"/>
        </w:rPr>
        <w:t> </w:t>
      </w:r>
      <w:r>
        <w:rPr>
          <w:sz w:val="20"/>
        </w:rPr>
        <w:t>not</w:t>
      </w:r>
      <w:r>
        <w:rPr>
          <w:spacing w:val="-8"/>
          <w:sz w:val="20"/>
        </w:rPr>
        <w:t> </w:t>
      </w:r>
      <w:r>
        <w:rPr>
          <w:sz w:val="20"/>
        </w:rPr>
        <w:t>think</w:t>
      </w:r>
      <w:r>
        <w:rPr>
          <w:spacing w:val="-8"/>
          <w:sz w:val="20"/>
        </w:rPr>
        <w:t> </w:t>
      </w:r>
      <w:r>
        <w:rPr>
          <w:sz w:val="20"/>
        </w:rPr>
        <w:t>it</w:t>
      </w:r>
      <w:r>
        <w:rPr>
          <w:spacing w:val="-8"/>
          <w:sz w:val="20"/>
        </w:rPr>
        <w:t> </w:t>
      </w:r>
      <w:r>
        <w:rPr>
          <w:sz w:val="20"/>
        </w:rPr>
        <w:t>was</w:t>
      </w:r>
      <w:r>
        <w:rPr>
          <w:spacing w:val="-9"/>
          <w:sz w:val="20"/>
        </w:rPr>
        <w:t> </w:t>
      </w:r>
      <w:r>
        <w:rPr>
          <w:sz w:val="20"/>
        </w:rPr>
        <w:t>acceptable</w:t>
      </w:r>
      <w:r>
        <w:rPr>
          <w:spacing w:val="-8"/>
          <w:sz w:val="20"/>
        </w:rPr>
        <w:t> </w:t>
      </w:r>
      <w:r>
        <w:rPr>
          <w:sz w:val="20"/>
        </w:rPr>
        <w:t>to</w:t>
      </w:r>
      <w:r>
        <w:rPr>
          <w:spacing w:val="-8"/>
          <w:sz w:val="20"/>
        </w:rPr>
        <w:t> </w:t>
      </w:r>
      <w:r>
        <w:rPr>
          <w:sz w:val="20"/>
        </w:rPr>
        <w:t>challenge</w:t>
      </w:r>
    </w:p>
    <w:p>
      <w:pPr>
        <w:pStyle w:val="BodyText"/>
        <w:spacing w:line="250" w:lineRule="exact"/>
        <w:ind w:left="1761"/>
        <w:rPr>
          <w:sz w:val="11"/>
        </w:rPr>
      </w:pPr>
      <w:r>
        <w:rPr/>
        <w:t>people solely on the grounds of disability and supported taking action to prevent this.</w:t>
      </w:r>
      <w:r>
        <w:rPr>
          <w:position w:val="7"/>
          <w:sz w:val="11"/>
        </w:rPr>
        <w:t>36</w:t>
      </w:r>
    </w:p>
    <w:p>
      <w:pPr>
        <w:pStyle w:val="ListParagraph"/>
        <w:numPr>
          <w:ilvl w:val="1"/>
          <w:numId w:val="12"/>
        </w:numPr>
        <w:tabs>
          <w:tab w:pos="1761" w:val="left" w:leader="none"/>
          <w:tab w:pos="1762" w:val="left" w:leader="none"/>
        </w:tabs>
        <w:spacing w:line="206" w:lineRule="auto" w:before="115" w:after="0"/>
        <w:ind w:left="1761" w:right="1395" w:hanging="794"/>
        <w:jc w:val="left"/>
        <w:rPr>
          <w:sz w:val="20"/>
        </w:rPr>
      </w:pPr>
      <w:r>
        <w:rPr>
          <w:sz w:val="20"/>
        </w:rPr>
        <w:t>Daniel Stubbs acknowledged that it </w:t>
      </w:r>
      <w:r>
        <w:rPr>
          <w:spacing w:val="-3"/>
          <w:sz w:val="20"/>
        </w:rPr>
        <w:t>‘would </w:t>
      </w:r>
      <w:r>
        <w:rPr>
          <w:sz w:val="20"/>
        </w:rPr>
        <w:t>be impossible to know on what basis a challenge</w:t>
      </w:r>
      <w:r>
        <w:rPr>
          <w:spacing w:val="-9"/>
          <w:sz w:val="20"/>
        </w:rPr>
        <w:t> </w:t>
      </w:r>
      <w:r>
        <w:rPr>
          <w:sz w:val="20"/>
        </w:rPr>
        <w:t>is</w:t>
      </w:r>
      <w:r>
        <w:rPr>
          <w:spacing w:val="-8"/>
          <w:sz w:val="20"/>
        </w:rPr>
        <w:t> </w:t>
      </w:r>
      <w:r>
        <w:rPr>
          <w:sz w:val="20"/>
        </w:rPr>
        <w:t>being</w:t>
      </w:r>
      <w:r>
        <w:rPr>
          <w:spacing w:val="-8"/>
          <w:sz w:val="20"/>
        </w:rPr>
        <w:t> </w:t>
      </w:r>
      <w:r>
        <w:rPr>
          <w:spacing w:val="-3"/>
          <w:sz w:val="20"/>
        </w:rPr>
        <w:t>exercised</w:t>
      </w:r>
      <w:r>
        <w:rPr>
          <w:spacing w:val="-8"/>
          <w:sz w:val="20"/>
        </w:rPr>
        <w:t> </w:t>
      </w:r>
      <w:r>
        <w:rPr>
          <w:sz w:val="20"/>
        </w:rPr>
        <w:t>because</w:t>
      </w:r>
      <w:r>
        <w:rPr>
          <w:spacing w:val="-8"/>
          <w:sz w:val="20"/>
        </w:rPr>
        <w:t> </w:t>
      </w:r>
      <w:r>
        <w:rPr>
          <w:sz w:val="20"/>
        </w:rPr>
        <w:t>a</w:t>
      </w:r>
      <w:r>
        <w:rPr>
          <w:spacing w:val="-8"/>
          <w:sz w:val="20"/>
        </w:rPr>
        <w:t> </w:t>
      </w:r>
      <w:r>
        <w:rPr>
          <w:sz w:val="20"/>
        </w:rPr>
        <w:t>reason</w:t>
      </w:r>
      <w:r>
        <w:rPr>
          <w:spacing w:val="-8"/>
          <w:sz w:val="20"/>
        </w:rPr>
        <w:t> </w:t>
      </w:r>
      <w:r>
        <w:rPr>
          <w:sz w:val="20"/>
        </w:rPr>
        <w:t>doesn’t</w:t>
      </w:r>
      <w:r>
        <w:rPr>
          <w:spacing w:val="-8"/>
          <w:sz w:val="20"/>
        </w:rPr>
        <w:t> </w:t>
      </w:r>
      <w:r>
        <w:rPr>
          <w:spacing w:val="-4"/>
          <w:sz w:val="20"/>
        </w:rPr>
        <w:t>have</w:t>
      </w:r>
      <w:r>
        <w:rPr>
          <w:spacing w:val="-8"/>
          <w:sz w:val="20"/>
        </w:rPr>
        <w:t> </w:t>
      </w:r>
      <w:r>
        <w:rPr>
          <w:sz w:val="20"/>
        </w:rPr>
        <w:t>to</w:t>
      </w:r>
      <w:r>
        <w:rPr>
          <w:spacing w:val="-8"/>
          <w:sz w:val="20"/>
        </w:rPr>
        <w:t> </w:t>
      </w:r>
      <w:r>
        <w:rPr>
          <w:sz w:val="20"/>
        </w:rPr>
        <w:t>be</w:t>
      </w:r>
      <w:r>
        <w:rPr>
          <w:spacing w:val="-8"/>
          <w:sz w:val="20"/>
        </w:rPr>
        <w:t> </w:t>
      </w:r>
      <w:r>
        <w:rPr>
          <w:spacing w:val="-4"/>
          <w:sz w:val="20"/>
        </w:rPr>
        <w:t>given’.</w:t>
      </w:r>
      <w:r>
        <w:rPr>
          <w:spacing w:val="-9"/>
          <w:sz w:val="20"/>
        </w:rPr>
        <w:t> </w:t>
      </w:r>
      <w:r>
        <w:rPr>
          <w:spacing w:val="-5"/>
          <w:sz w:val="20"/>
        </w:rPr>
        <w:t>However,</w:t>
      </w:r>
      <w:r>
        <w:rPr>
          <w:spacing w:val="-8"/>
          <w:sz w:val="20"/>
        </w:rPr>
        <w:t> </w:t>
      </w:r>
      <w:r>
        <w:rPr>
          <w:sz w:val="20"/>
        </w:rPr>
        <w:t>he also</w:t>
      </w:r>
      <w:r>
        <w:rPr>
          <w:spacing w:val="-5"/>
          <w:sz w:val="20"/>
        </w:rPr>
        <w:t> </w:t>
      </w:r>
      <w:r>
        <w:rPr>
          <w:sz w:val="20"/>
        </w:rPr>
        <w:t>commented:</w:t>
      </w:r>
    </w:p>
    <w:p>
      <w:pPr>
        <w:spacing w:line="208" w:lineRule="auto" w:before="121"/>
        <w:ind w:left="2157" w:right="1335" w:firstLine="0"/>
        <w:jc w:val="left"/>
        <w:rPr>
          <w:sz w:val="11"/>
        </w:rPr>
      </w:pPr>
      <w:r>
        <w:rPr>
          <w:sz w:val="19"/>
        </w:rPr>
        <w:t>The use of challenges could be likened to a form of indirect discrimination and not dissimilar from common misconceptions about disabled people in the workplace ie that they are unproductive and inefficient employees.</w:t>
      </w:r>
      <w:r>
        <w:rPr>
          <w:position w:val="6"/>
          <w:sz w:val="11"/>
        </w:rPr>
        <w:t>37</w:t>
      </w:r>
    </w:p>
    <w:p>
      <w:pPr>
        <w:pStyle w:val="BodyText"/>
      </w:pPr>
    </w:p>
    <w:p>
      <w:pPr>
        <w:pStyle w:val="BodyText"/>
      </w:pPr>
    </w:p>
    <w:p>
      <w:pPr>
        <w:pStyle w:val="BodyText"/>
      </w:pPr>
    </w:p>
    <w:p>
      <w:pPr>
        <w:pStyle w:val="BodyText"/>
      </w:pPr>
    </w:p>
    <w:p>
      <w:pPr>
        <w:pStyle w:val="BodyText"/>
        <w:rPr>
          <w:sz w:val="14"/>
        </w:rPr>
      </w:pPr>
      <w:r>
        <w:rPr/>
        <w:pict>
          <v:line style="position:absolute;mso-position-horizontal-relative:page;mso-position-vertical-relative:paragraph;z-index:10280;mso-wrap-distance-left:0;mso-wrap-distance-right:0" from="79.370102pt,12.20854pt" to="515.905102pt,12.20854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spacing w:before="2"/>
        <w:rPr>
          <w:sz w:val="40"/>
        </w:rPr>
      </w:pPr>
    </w:p>
    <w:p>
      <w:pPr>
        <w:spacing w:before="0"/>
        <w:ind w:left="100" w:right="0" w:firstLine="0"/>
        <w:jc w:val="left"/>
        <w:rPr>
          <w:b/>
          <w:sz w:val="24"/>
        </w:rPr>
      </w:pPr>
      <w:r>
        <w:rPr>
          <w:b/>
          <w:color w:val="37617A"/>
          <w:sz w:val="24"/>
        </w:rPr>
        <w:t>196</w:t>
      </w:r>
    </w:p>
    <w:p>
      <w:pPr>
        <w:pStyle w:val="ListParagraph"/>
        <w:numPr>
          <w:ilvl w:val="0"/>
          <w:numId w:val="116"/>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z w:val="13"/>
        </w:rPr>
        <w:t>See Chapter </w:t>
      </w:r>
      <w:r>
        <w:rPr>
          <w:spacing w:val="3"/>
          <w:sz w:val="13"/>
        </w:rPr>
        <w:t>5.</w:t>
      </w:r>
    </w:p>
    <w:p>
      <w:pPr>
        <w:pStyle w:val="ListParagraph"/>
        <w:numPr>
          <w:ilvl w:val="0"/>
          <w:numId w:val="116"/>
        </w:numPr>
        <w:tabs>
          <w:tab w:pos="893" w:val="left" w:leader="none"/>
          <w:tab w:pos="894" w:val="left" w:leader="none"/>
        </w:tabs>
        <w:spacing w:line="160" w:lineRule="exact" w:before="0" w:after="0"/>
        <w:ind w:left="893" w:right="0" w:hanging="793"/>
        <w:jc w:val="left"/>
        <w:rPr>
          <w:sz w:val="13"/>
        </w:rPr>
      </w:pPr>
      <w:r>
        <w:rPr>
          <w:sz w:val="13"/>
        </w:rPr>
        <w:t>New South Wales Law Reform </w:t>
      </w:r>
      <w:r>
        <w:rPr>
          <w:spacing w:val="2"/>
          <w:sz w:val="13"/>
        </w:rPr>
        <w:t>Commission, </w:t>
      </w:r>
      <w:r>
        <w:rPr>
          <w:i/>
          <w:sz w:val="13"/>
        </w:rPr>
        <w:t>Blind or Deaf Jurors </w:t>
      </w:r>
      <w:r>
        <w:rPr>
          <w:sz w:val="13"/>
        </w:rPr>
        <w:t>(Discussion Paper No 46, 2004) 3</w:t>
      </w:r>
      <w:r>
        <w:rPr>
          <w:spacing w:val="13"/>
          <w:sz w:val="13"/>
        </w:rPr>
        <w:t> </w:t>
      </w:r>
      <w:r>
        <w:rPr>
          <w:spacing w:val="2"/>
          <w:sz w:val="13"/>
        </w:rPr>
        <w:t>[3.55].</w:t>
      </w:r>
    </w:p>
    <w:p>
      <w:pPr>
        <w:pStyle w:val="ListParagraph"/>
        <w:numPr>
          <w:ilvl w:val="0"/>
          <w:numId w:val="116"/>
        </w:numPr>
        <w:tabs>
          <w:tab w:pos="893" w:val="left" w:leader="none"/>
          <w:tab w:pos="894" w:val="left" w:leader="none"/>
        </w:tabs>
        <w:spacing w:line="213" w:lineRule="auto" w:before="7" w:after="0"/>
        <w:ind w:left="893" w:right="1392" w:hanging="793"/>
        <w:jc w:val="left"/>
        <w:rPr>
          <w:sz w:val="13"/>
        </w:rPr>
      </w:pPr>
      <w:r>
        <w:rPr>
          <w:sz w:val="13"/>
        </w:rPr>
        <w:t>New South Wales Law Reform </w:t>
      </w:r>
      <w:r>
        <w:rPr>
          <w:spacing w:val="2"/>
          <w:sz w:val="13"/>
        </w:rPr>
        <w:t>Commission, </w:t>
      </w:r>
      <w:r>
        <w:rPr>
          <w:i/>
          <w:spacing w:val="2"/>
          <w:sz w:val="13"/>
        </w:rPr>
        <w:t>Jury </w:t>
      </w:r>
      <w:r>
        <w:rPr>
          <w:i/>
          <w:sz w:val="13"/>
        </w:rPr>
        <w:t>Selection </w:t>
      </w:r>
      <w:r>
        <w:rPr>
          <w:sz w:val="13"/>
        </w:rPr>
        <w:t>(Final </w:t>
      </w:r>
      <w:r>
        <w:rPr>
          <w:spacing w:val="2"/>
          <w:sz w:val="13"/>
        </w:rPr>
        <w:t>Report </w:t>
      </w:r>
      <w:r>
        <w:rPr>
          <w:sz w:val="13"/>
        </w:rPr>
        <w:t>No 117, September 2007) 181 </w:t>
      </w:r>
      <w:r>
        <w:rPr>
          <w:spacing w:val="2"/>
          <w:sz w:val="13"/>
        </w:rPr>
        <w:t>[10.42] </w:t>
      </w:r>
      <w:r>
        <w:rPr>
          <w:sz w:val="13"/>
        </w:rPr>
        <w:t>Recommendation </w:t>
      </w:r>
      <w:r>
        <w:rPr>
          <w:spacing w:val="4"/>
          <w:sz w:val="13"/>
        </w:rPr>
        <w:t>44.</w:t>
      </w:r>
    </w:p>
    <w:p>
      <w:pPr>
        <w:tabs>
          <w:tab w:pos="893" w:val="left" w:leader="none"/>
        </w:tabs>
        <w:spacing w:line="153" w:lineRule="exact" w:before="0"/>
        <w:ind w:left="100" w:right="0" w:firstLine="0"/>
        <w:jc w:val="left"/>
        <w:rPr>
          <w:sz w:val="13"/>
        </w:rPr>
      </w:pPr>
      <w:r>
        <w:rPr>
          <w:sz w:val="13"/>
        </w:rPr>
        <w:t>33</w:t>
        <w:tab/>
        <w:t>Ibid </w:t>
      </w:r>
      <w:r>
        <w:rPr>
          <w:spacing w:val="3"/>
          <w:sz w:val="13"/>
        </w:rPr>
        <w:t>14</w:t>
      </w:r>
      <w:r>
        <w:rPr>
          <w:sz w:val="13"/>
        </w:rPr>
        <w:t> </w:t>
      </w:r>
      <w:r>
        <w:rPr>
          <w:spacing w:val="2"/>
          <w:sz w:val="13"/>
        </w:rPr>
        <w:t>[1.36]–[1.37].</w:t>
      </w:r>
    </w:p>
    <w:p>
      <w:pPr>
        <w:pStyle w:val="ListParagraph"/>
        <w:numPr>
          <w:ilvl w:val="0"/>
          <w:numId w:val="118"/>
        </w:numPr>
        <w:tabs>
          <w:tab w:pos="893" w:val="left" w:leader="none"/>
          <w:tab w:pos="894" w:val="left" w:leader="none"/>
        </w:tabs>
        <w:spacing w:line="160" w:lineRule="exact" w:before="0" w:after="0"/>
        <w:ind w:left="893" w:right="0" w:hanging="793"/>
        <w:jc w:val="left"/>
        <w:rPr>
          <w:sz w:val="13"/>
        </w:rPr>
      </w:pPr>
      <w:r>
        <w:rPr>
          <w:sz w:val="13"/>
        </w:rPr>
        <w:t>Consultations 2 (Law Institute of Victoria), 4 </w:t>
      </w:r>
      <w:r>
        <w:rPr>
          <w:spacing w:val="2"/>
          <w:sz w:val="13"/>
        </w:rPr>
        <w:t>(Victorian </w:t>
      </w:r>
      <w:r>
        <w:rPr>
          <w:sz w:val="13"/>
        </w:rPr>
        <w:t>Criminal Bar Association), 16 (Office of </w:t>
      </w:r>
      <w:r>
        <w:rPr>
          <w:spacing w:val="2"/>
          <w:sz w:val="13"/>
        </w:rPr>
        <w:t>Public </w:t>
      </w:r>
      <w:r>
        <w:rPr>
          <w:sz w:val="13"/>
        </w:rPr>
        <w:t>Prosecutions</w:t>
      </w:r>
      <w:r>
        <w:rPr>
          <w:spacing w:val="24"/>
          <w:sz w:val="13"/>
        </w:rPr>
        <w:t> </w:t>
      </w:r>
      <w:r>
        <w:rPr>
          <w:sz w:val="13"/>
        </w:rPr>
        <w:t>Victoria).</w:t>
      </w:r>
    </w:p>
    <w:p>
      <w:pPr>
        <w:pStyle w:val="ListParagraph"/>
        <w:numPr>
          <w:ilvl w:val="0"/>
          <w:numId w:val="118"/>
        </w:numPr>
        <w:tabs>
          <w:tab w:pos="893" w:val="left" w:leader="none"/>
          <w:tab w:pos="894" w:val="left" w:leader="none"/>
        </w:tabs>
        <w:spacing w:line="213" w:lineRule="auto" w:before="6" w:after="0"/>
        <w:ind w:left="893" w:right="1587" w:hanging="793"/>
        <w:jc w:val="left"/>
        <w:rPr>
          <w:sz w:val="13"/>
        </w:rPr>
      </w:pPr>
      <w:r>
        <w:rPr>
          <w:spacing w:val="2"/>
          <w:sz w:val="13"/>
        </w:rPr>
        <w:t>Submissions </w:t>
      </w:r>
      <w:r>
        <w:rPr>
          <w:sz w:val="13"/>
        </w:rPr>
        <w:t>4 </w:t>
      </w:r>
      <w:r>
        <w:rPr>
          <w:spacing w:val="2"/>
          <w:sz w:val="13"/>
        </w:rPr>
        <w:t>(Associate </w:t>
      </w:r>
      <w:r>
        <w:rPr>
          <w:sz w:val="13"/>
        </w:rPr>
        <w:t>Professors Bruce Baer Arnold (University of </w:t>
      </w:r>
      <w:r>
        <w:rPr>
          <w:spacing w:val="2"/>
          <w:sz w:val="13"/>
        </w:rPr>
        <w:t>Canberra) </w:t>
      </w:r>
      <w:r>
        <w:rPr>
          <w:sz w:val="13"/>
        </w:rPr>
        <w:t>and Wendy Bonython (Bond University)), 9 (Madison).</w:t>
      </w:r>
    </w:p>
    <w:p>
      <w:pPr>
        <w:pStyle w:val="ListParagraph"/>
        <w:numPr>
          <w:ilvl w:val="0"/>
          <w:numId w:val="118"/>
        </w:numPr>
        <w:tabs>
          <w:tab w:pos="893" w:val="left" w:leader="none"/>
          <w:tab w:pos="894" w:val="left" w:leader="none"/>
        </w:tabs>
        <w:spacing w:line="153" w:lineRule="exact" w:before="0" w:after="0"/>
        <w:ind w:left="893" w:right="0" w:hanging="793"/>
        <w:jc w:val="left"/>
        <w:rPr>
          <w:sz w:val="13"/>
        </w:rPr>
      </w:pPr>
      <w:r>
        <w:rPr>
          <w:sz w:val="13"/>
        </w:rPr>
        <w:t>Consultations 1 </w:t>
      </w:r>
      <w:r>
        <w:rPr>
          <w:spacing w:val="2"/>
          <w:sz w:val="13"/>
        </w:rPr>
        <w:t>(Blind </w:t>
      </w:r>
      <w:r>
        <w:rPr>
          <w:sz w:val="13"/>
        </w:rPr>
        <w:t>Citizens Australia), 23 </w:t>
      </w:r>
      <w:r>
        <w:rPr>
          <w:spacing w:val="2"/>
          <w:sz w:val="13"/>
        </w:rPr>
        <w:t>(Victorian Aboriginal Community </w:t>
      </w:r>
      <w:r>
        <w:rPr>
          <w:sz w:val="13"/>
        </w:rPr>
        <w:t>Controlled Health Organisation</w:t>
      </w:r>
      <w:r>
        <w:rPr>
          <w:spacing w:val="9"/>
          <w:sz w:val="13"/>
        </w:rPr>
        <w:t> </w:t>
      </w:r>
      <w:r>
        <w:rPr>
          <w:sz w:val="13"/>
        </w:rPr>
        <w:t>(VACCHO)).</w:t>
      </w:r>
    </w:p>
    <w:p>
      <w:pPr>
        <w:pStyle w:val="ListParagraph"/>
        <w:numPr>
          <w:ilvl w:val="0"/>
          <w:numId w:val="118"/>
        </w:numPr>
        <w:tabs>
          <w:tab w:pos="893" w:val="left" w:leader="none"/>
          <w:tab w:pos="894" w:val="left" w:leader="none"/>
        </w:tabs>
        <w:spacing w:line="170" w:lineRule="exact" w:before="0" w:after="0"/>
        <w:ind w:left="893" w:right="0" w:hanging="793"/>
        <w:jc w:val="left"/>
        <w:rPr>
          <w:sz w:val="13"/>
        </w:rPr>
      </w:pPr>
      <w:r>
        <w:rPr>
          <w:sz w:val="13"/>
        </w:rPr>
        <w:t>Consultation 22 (Daniel Stubbs, Victorian </w:t>
      </w:r>
      <w:r>
        <w:rPr>
          <w:spacing w:val="2"/>
          <w:sz w:val="13"/>
        </w:rPr>
        <w:t>Disability </w:t>
      </w:r>
      <w:r>
        <w:rPr>
          <w:sz w:val="13"/>
        </w:rPr>
        <w:t>Worker Commissioner, in his personal</w:t>
      </w:r>
      <w:r>
        <w:rPr>
          <w:spacing w:val="10"/>
          <w:sz w:val="13"/>
        </w:rPr>
        <w:t> </w:t>
      </w:r>
      <w:r>
        <w:rPr>
          <w:sz w:val="13"/>
        </w:rPr>
        <w:t>capacity).</w:t>
      </w:r>
    </w:p>
    <w:p>
      <w:pPr>
        <w:spacing w:after="0" w:line="170" w:lineRule="exact"/>
        <w:jc w:val="left"/>
        <w:rPr>
          <w:sz w:val="13"/>
        </w:rPr>
        <w:sectPr>
          <w:type w:val="continuous"/>
          <w:pgSz w:w="11910" w:h="16840"/>
          <w:pgMar w:top="620" w:bottom="280" w:left="620" w:right="380"/>
          <w:cols w:num="2" w:equalWidth="0">
            <w:col w:w="546" w:space="322"/>
            <w:col w:w="10042"/>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788" w:hanging="794"/>
        <w:jc w:val="left"/>
        <w:rPr>
          <w:sz w:val="20"/>
        </w:rPr>
      </w:pPr>
      <w:r>
        <w:rPr>
          <w:sz w:val="20"/>
        </w:rPr>
        <w:t>Legal</w:t>
      </w:r>
      <w:r>
        <w:rPr>
          <w:spacing w:val="-14"/>
          <w:sz w:val="20"/>
        </w:rPr>
        <w:t> </w:t>
      </w:r>
      <w:r>
        <w:rPr>
          <w:sz w:val="20"/>
        </w:rPr>
        <w:t>professionals</w:t>
      </w:r>
      <w:r>
        <w:rPr>
          <w:spacing w:val="-13"/>
          <w:sz w:val="20"/>
        </w:rPr>
        <w:t> </w:t>
      </w:r>
      <w:r>
        <w:rPr>
          <w:spacing w:val="-4"/>
          <w:sz w:val="20"/>
        </w:rPr>
        <w:t>were</w:t>
      </w:r>
      <w:r>
        <w:rPr>
          <w:spacing w:val="-13"/>
          <w:sz w:val="20"/>
        </w:rPr>
        <w:t> </w:t>
      </w:r>
      <w:r>
        <w:rPr>
          <w:sz w:val="20"/>
        </w:rPr>
        <w:t>not</w:t>
      </w:r>
      <w:r>
        <w:rPr>
          <w:spacing w:val="-14"/>
          <w:sz w:val="20"/>
        </w:rPr>
        <w:t> </w:t>
      </w:r>
      <w:r>
        <w:rPr>
          <w:sz w:val="20"/>
        </w:rPr>
        <w:t>comfortable</w:t>
      </w:r>
      <w:r>
        <w:rPr>
          <w:spacing w:val="-13"/>
          <w:sz w:val="20"/>
        </w:rPr>
        <w:t> </w:t>
      </w:r>
      <w:r>
        <w:rPr>
          <w:sz w:val="20"/>
        </w:rPr>
        <w:t>with</w:t>
      </w:r>
      <w:r>
        <w:rPr>
          <w:spacing w:val="-13"/>
          <w:sz w:val="20"/>
        </w:rPr>
        <w:t> </w:t>
      </w:r>
      <w:r>
        <w:rPr>
          <w:sz w:val="20"/>
        </w:rPr>
        <w:t>peremptory</w:t>
      </w:r>
      <w:r>
        <w:rPr>
          <w:spacing w:val="-13"/>
          <w:sz w:val="20"/>
        </w:rPr>
        <w:t> </w:t>
      </w:r>
      <w:r>
        <w:rPr>
          <w:sz w:val="20"/>
        </w:rPr>
        <w:t>challenges</w:t>
      </w:r>
      <w:r>
        <w:rPr>
          <w:spacing w:val="-14"/>
          <w:sz w:val="20"/>
        </w:rPr>
        <w:t> </w:t>
      </w:r>
      <w:r>
        <w:rPr>
          <w:spacing w:val="-3"/>
          <w:sz w:val="20"/>
        </w:rPr>
        <w:t>excluding </w:t>
      </w:r>
      <w:r>
        <w:rPr>
          <w:sz w:val="20"/>
        </w:rPr>
        <w:t>people with disabilities but did not think that anything could be done about it. Consultees </w:t>
      </w:r>
      <w:r>
        <w:rPr>
          <w:spacing w:val="-3"/>
          <w:sz w:val="20"/>
        </w:rPr>
        <w:t>from </w:t>
      </w:r>
      <w:r>
        <w:rPr>
          <w:sz w:val="20"/>
        </w:rPr>
        <w:t>the Supreme Court </w:t>
      </w:r>
      <w:r>
        <w:rPr>
          <w:spacing w:val="-3"/>
          <w:sz w:val="20"/>
        </w:rPr>
        <w:t>told</w:t>
      </w:r>
      <w:r>
        <w:rPr>
          <w:spacing w:val="-24"/>
          <w:sz w:val="20"/>
        </w:rPr>
        <w:t> </w:t>
      </w:r>
      <w:r>
        <w:rPr>
          <w:sz w:val="20"/>
        </w:rPr>
        <w:t>us:</w:t>
      </w:r>
    </w:p>
    <w:p>
      <w:pPr>
        <w:spacing w:line="208" w:lineRule="auto" w:before="121"/>
        <w:ind w:left="2157" w:right="1335" w:firstLine="0"/>
        <w:jc w:val="left"/>
        <w:rPr>
          <w:sz w:val="11"/>
        </w:rPr>
      </w:pPr>
      <w:r>
        <w:rPr>
          <w:sz w:val="19"/>
        </w:rPr>
        <w:t>peremptory challenges are essentially a discriminatory process so it is hard to see how they can really be changed so that people are not discriminated against on the basis of disability.</w:t>
      </w:r>
      <w:r>
        <w:rPr>
          <w:position w:val="6"/>
          <w:sz w:val="11"/>
        </w:rPr>
        <w:t>38</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Criminal solicitor </w:t>
      </w:r>
      <w:r>
        <w:rPr>
          <w:spacing w:val="-3"/>
          <w:sz w:val="20"/>
        </w:rPr>
        <w:t>Peter </w:t>
      </w:r>
      <w:r>
        <w:rPr>
          <w:spacing w:val="-5"/>
          <w:sz w:val="20"/>
        </w:rPr>
        <w:t>Ward </w:t>
      </w:r>
      <w:r>
        <w:rPr>
          <w:sz w:val="20"/>
        </w:rPr>
        <w:t>commented</w:t>
      </w:r>
      <w:r>
        <w:rPr>
          <w:spacing w:val="-15"/>
          <w:sz w:val="20"/>
        </w:rPr>
        <w:t> </w:t>
      </w:r>
      <w:r>
        <w:rPr>
          <w:sz w:val="20"/>
        </w:rPr>
        <w:t>that:</w:t>
      </w:r>
    </w:p>
    <w:p>
      <w:pPr>
        <w:spacing w:line="247" w:lineRule="exact" w:before="84"/>
        <w:ind w:left="2157" w:right="0" w:firstLine="0"/>
        <w:jc w:val="left"/>
        <w:rPr>
          <w:sz w:val="19"/>
        </w:rPr>
      </w:pPr>
      <w:r>
        <w:rPr>
          <w:sz w:val="19"/>
        </w:rPr>
        <w:t>I support what you are saying (that you shouldn’t challenge people in [a] discriminatory</w:t>
      </w:r>
    </w:p>
    <w:p>
      <w:pPr>
        <w:spacing w:line="247" w:lineRule="exact" w:before="0"/>
        <w:ind w:left="2157" w:right="0" w:firstLine="0"/>
        <w:jc w:val="left"/>
        <w:rPr>
          <w:sz w:val="19"/>
        </w:rPr>
      </w:pPr>
      <w:r>
        <w:rPr>
          <w:sz w:val="19"/>
        </w:rPr>
        <w:t>way) but there is no effective way to regulate this.</w:t>
      </w:r>
    </w:p>
    <w:p>
      <w:pPr>
        <w:spacing w:line="208" w:lineRule="auto" w:before="115"/>
        <w:ind w:left="2157" w:right="1182" w:firstLine="0"/>
        <w:jc w:val="left"/>
        <w:rPr>
          <w:sz w:val="19"/>
        </w:rPr>
      </w:pPr>
      <w:r>
        <w:rPr>
          <w:sz w:val="19"/>
        </w:rPr>
        <w:t>People might challenge a potential juror on the basis of disability. But people interpret disability in different ways. Some would think you’ll be a softie. Others might think you’ll be a bit cross about your lot in life and embittered. It is very difficult to make generalisations about this.</w:t>
      </w:r>
    </w:p>
    <w:p>
      <w:pPr>
        <w:spacing w:line="208" w:lineRule="auto" w:before="122"/>
        <w:ind w:left="2157" w:right="1454" w:firstLine="0"/>
        <w:jc w:val="both"/>
        <w:rPr>
          <w:sz w:val="11"/>
        </w:rPr>
      </w:pPr>
      <w:r>
        <w:rPr>
          <w:sz w:val="19"/>
        </w:rPr>
        <w:t>In</w:t>
      </w:r>
      <w:r>
        <w:rPr>
          <w:spacing w:val="-5"/>
          <w:sz w:val="19"/>
        </w:rPr>
        <w:t> </w:t>
      </w:r>
      <w:r>
        <w:rPr>
          <w:sz w:val="19"/>
        </w:rPr>
        <w:t>the</w:t>
      </w:r>
      <w:r>
        <w:rPr>
          <w:spacing w:val="-4"/>
          <w:sz w:val="19"/>
        </w:rPr>
        <w:t> </w:t>
      </w:r>
      <w:r>
        <w:rPr>
          <w:sz w:val="19"/>
        </w:rPr>
        <w:t>current</w:t>
      </w:r>
      <w:r>
        <w:rPr>
          <w:spacing w:val="-4"/>
          <w:sz w:val="19"/>
        </w:rPr>
        <w:t> </w:t>
      </w:r>
      <w:r>
        <w:rPr>
          <w:sz w:val="19"/>
        </w:rPr>
        <w:t>system</w:t>
      </w:r>
      <w:r>
        <w:rPr>
          <w:spacing w:val="-4"/>
          <w:sz w:val="19"/>
        </w:rPr>
        <w:t> </w:t>
      </w:r>
      <w:r>
        <w:rPr>
          <w:sz w:val="19"/>
        </w:rPr>
        <w:t>you</w:t>
      </w:r>
      <w:r>
        <w:rPr>
          <w:spacing w:val="-5"/>
          <w:sz w:val="19"/>
        </w:rPr>
        <w:t> </w:t>
      </w:r>
      <w:r>
        <w:rPr>
          <w:sz w:val="19"/>
        </w:rPr>
        <w:t>don’t</w:t>
      </w:r>
      <w:r>
        <w:rPr>
          <w:spacing w:val="-4"/>
          <w:sz w:val="19"/>
        </w:rPr>
        <w:t> </w:t>
      </w:r>
      <w:r>
        <w:rPr>
          <w:sz w:val="19"/>
        </w:rPr>
        <w:t>know</w:t>
      </w:r>
      <w:r>
        <w:rPr>
          <w:spacing w:val="-4"/>
          <w:sz w:val="19"/>
        </w:rPr>
        <w:t> </w:t>
      </w:r>
      <w:r>
        <w:rPr>
          <w:sz w:val="19"/>
        </w:rPr>
        <w:t>why</w:t>
      </w:r>
      <w:r>
        <w:rPr>
          <w:spacing w:val="-4"/>
          <w:sz w:val="19"/>
        </w:rPr>
        <w:t> </w:t>
      </w:r>
      <w:r>
        <w:rPr>
          <w:sz w:val="19"/>
        </w:rPr>
        <w:t>a</w:t>
      </w:r>
      <w:r>
        <w:rPr>
          <w:spacing w:val="-5"/>
          <w:sz w:val="19"/>
        </w:rPr>
        <w:t> </w:t>
      </w:r>
      <w:r>
        <w:rPr>
          <w:sz w:val="19"/>
        </w:rPr>
        <w:t>person</w:t>
      </w:r>
      <w:r>
        <w:rPr>
          <w:spacing w:val="-4"/>
          <w:sz w:val="19"/>
        </w:rPr>
        <w:t> </w:t>
      </w:r>
      <w:r>
        <w:rPr>
          <w:sz w:val="19"/>
        </w:rPr>
        <w:t>has</w:t>
      </w:r>
      <w:r>
        <w:rPr>
          <w:spacing w:val="-4"/>
          <w:sz w:val="19"/>
        </w:rPr>
        <w:t> </w:t>
      </w:r>
      <w:r>
        <w:rPr>
          <w:sz w:val="19"/>
        </w:rPr>
        <w:t>been</w:t>
      </w:r>
      <w:r>
        <w:rPr>
          <w:spacing w:val="-4"/>
          <w:sz w:val="19"/>
        </w:rPr>
        <w:t> </w:t>
      </w:r>
      <w:r>
        <w:rPr>
          <w:sz w:val="19"/>
        </w:rPr>
        <w:t>challenged</w:t>
      </w:r>
      <w:r>
        <w:rPr>
          <w:spacing w:val="-5"/>
          <w:sz w:val="19"/>
        </w:rPr>
        <w:t> </w:t>
      </w:r>
      <w:r>
        <w:rPr>
          <w:sz w:val="19"/>
        </w:rPr>
        <w:t>so</w:t>
      </w:r>
      <w:r>
        <w:rPr>
          <w:spacing w:val="-4"/>
          <w:sz w:val="19"/>
        </w:rPr>
        <w:t> </w:t>
      </w:r>
      <w:r>
        <w:rPr>
          <w:sz w:val="19"/>
        </w:rPr>
        <w:t>there</w:t>
      </w:r>
      <w:r>
        <w:rPr>
          <w:spacing w:val="-4"/>
          <w:sz w:val="19"/>
        </w:rPr>
        <w:t> </w:t>
      </w:r>
      <w:r>
        <w:rPr>
          <w:sz w:val="19"/>
        </w:rPr>
        <w:t>is no</w:t>
      </w:r>
      <w:r>
        <w:rPr>
          <w:spacing w:val="-6"/>
          <w:sz w:val="19"/>
        </w:rPr>
        <w:t> </w:t>
      </w:r>
      <w:r>
        <w:rPr>
          <w:spacing w:val="-3"/>
          <w:sz w:val="19"/>
        </w:rPr>
        <w:t>way</w:t>
      </w:r>
      <w:r>
        <w:rPr>
          <w:spacing w:val="-5"/>
          <w:sz w:val="19"/>
        </w:rPr>
        <w:t> </w:t>
      </w:r>
      <w:r>
        <w:rPr>
          <w:sz w:val="19"/>
        </w:rPr>
        <w:t>to</w:t>
      </w:r>
      <w:r>
        <w:rPr>
          <w:spacing w:val="-5"/>
          <w:sz w:val="19"/>
        </w:rPr>
        <w:t> </w:t>
      </w:r>
      <w:r>
        <w:rPr>
          <w:sz w:val="19"/>
        </w:rPr>
        <w:t>regulate</w:t>
      </w:r>
      <w:r>
        <w:rPr>
          <w:spacing w:val="-5"/>
          <w:sz w:val="19"/>
        </w:rPr>
        <w:t> </w:t>
      </w:r>
      <w:r>
        <w:rPr>
          <w:sz w:val="19"/>
        </w:rPr>
        <w:t>the</w:t>
      </w:r>
      <w:r>
        <w:rPr>
          <w:spacing w:val="-5"/>
          <w:sz w:val="19"/>
        </w:rPr>
        <w:t> </w:t>
      </w:r>
      <w:r>
        <w:rPr>
          <w:sz w:val="19"/>
        </w:rPr>
        <w:t>exercise</w:t>
      </w:r>
      <w:r>
        <w:rPr>
          <w:spacing w:val="-6"/>
          <w:sz w:val="19"/>
        </w:rPr>
        <w:t> </w:t>
      </w:r>
      <w:r>
        <w:rPr>
          <w:sz w:val="19"/>
        </w:rPr>
        <w:t>of</w:t>
      </w:r>
      <w:r>
        <w:rPr>
          <w:spacing w:val="-5"/>
          <w:sz w:val="19"/>
        </w:rPr>
        <w:t> </w:t>
      </w:r>
      <w:r>
        <w:rPr>
          <w:sz w:val="19"/>
        </w:rPr>
        <w:t>that</w:t>
      </w:r>
      <w:r>
        <w:rPr>
          <w:spacing w:val="-5"/>
          <w:sz w:val="19"/>
        </w:rPr>
        <w:t> </w:t>
      </w:r>
      <w:r>
        <w:rPr>
          <w:sz w:val="19"/>
        </w:rPr>
        <w:t>choice.</w:t>
      </w:r>
      <w:r>
        <w:rPr>
          <w:spacing w:val="-5"/>
          <w:sz w:val="19"/>
        </w:rPr>
        <w:t> </w:t>
      </w:r>
      <w:r>
        <w:rPr>
          <w:sz w:val="19"/>
        </w:rPr>
        <w:t>Everyone</w:t>
      </w:r>
      <w:r>
        <w:rPr>
          <w:spacing w:val="-5"/>
          <w:sz w:val="19"/>
        </w:rPr>
        <w:t> </w:t>
      </w:r>
      <w:r>
        <w:rPr>
          <w:sz w:val="19"/>
        </w:rPr>
        <w:t>hides</w:t>
      </w:r>
      <w:r>
        <w:rPr>
          <w:spacing w:val="-6"/>
          <w:sz w:val="19"/>
        </w:rPr>
        <w:t> </w:t>
      </w:r>
      <w:r>
        <w:rPr>
          <w:sz w:val="19"/>
        </w:rPr>
        <w:t>their</w:t>
      </w:r>
      <w:r>
        <w:rPr>
          <w:spacing w:val="-5"/>
          <w:sz w:val="19"/>
        </w:rPr>
        <w:t> </w:t>
      </w:r>
      <w:r>
        <w:rPr>
          <w:sz w:val="19"/>
        </w:rPr>
        <w:t>prejudice</w:t>
      </w:r>
      <w:r>
        <w:rPr>
          <w:spacing w:val="-5"/>
          <w:sz w:val="19"/>
        </w:rPr>
        <w:t> </w:t>
      </w:r>
      <w:r>
        <w:rPr>
          <w:sz w:val="19"/>
        </w:rPr>
        <w:t>in</w:t>
      </w:r>
      <w:r>
        <w:rPr>
          <w:spacing w:val="-5"/>
          <w:sz w:val="19"/>
        </w:rPr>
        <w:t> </w:t>
      </w:r>
      <w:r>
        <w:rPr>
          <w:sz w:val="19"/>
        </w:rPr>
        <w:t>this process.</w:t>
      </w:r>
      <w:r>
        <w:rPr>
          <w:position w:val="6"/>
          <w:sz w:val="11"/>
        </w:rPr>
        <w:t>39</w:t>
      </w:r>
    </w:p>
    <w:p>
      <w:pPr>
        <w:pStyle w:val="ListParagraph"/>
        <w:numPr>
          <w:ilvl w:val="1"/>
          <w:numId w:val="12"/>
        </w:numPr>
        <w:tabs>
          <w:tab w:pos="1761" w:val="left" w:leader="none"/>
          <w:tab w:pos="1762" w:val="left" w:leader="none"/>
        </w:tabs>
        <w:spacing w:line="206" w:lineRule="auto" w:before="124" w:after="0"/>
        <w:ind w:left="1761" w:right="1246" w:hanging="794"/>
        <w:jc w:val="left"/>
        <w:rPr>
          <w:sz w:val="20"/>
        </w:rPr>
      </w:pPr>
      <w:r>
        <w:rPr>
          <w:sz w:val="20"/>
        </w:rPr>
        <w:t>In</w:t>
      </w:r>
      <w:r>
        <w:rPr>
          <w:spacing w:val="-11"/>
          <w:sz w:val="20"/>
        </w:rPr>
        <w:t> </w:t>
      </w:r>
      <w:r>
        <w:rPr>
          <w:sz w:val="20"/>
        </w:rPr>
        <w:t>general,</w:t>
      </w:r>
      <w:r>
        <w:rPr>
          <w:spacing w:val="-10"/>
          <w:sz w:val="20"/>
        </w:rPr>
        <w:t> </w:t>
      </w:r>
      <w:r>
        <w:rPr>
          <w:sz w:val="20"/>
        </w:rPr>
        <w:t>the</w:t>
      </w:r>
      <w:r>
        <w:rPr>
          <w:spacing w:val="-10"/>
          <w:sz w:val="20"/>
        </w:rPr>
        <w:t> </w:t>
      </w:r>
      <w:r>
        <w:rPr>
          <w:sz w:val="20"/>
        </w:rPr>
        <w:t>legal</w:t>
      </w:r>
      <w:r>
        <w:rPr>
          <w:spacing w:val="-10"/>
          <w:sz w:val="20"/>
        </w:rPr>
        <w:t> </w:t>
      </w:r>
      <w:r>
        <w:rPr>
          <w:sz w:val="20"/>
        </w:rPr>
        <w:t>community</w:t>
      </w:r>
      <w:r>
        <w:rPr>
          <w:spacing w:val="-10"/>
          <w:sz w:val="20"/>
        </w:rPr>
        <w:t> </w:t>
      </w:r>
      <w:r>
        <w:rPr>
          <w:sz w:val="20"/>
        </w:rPr>
        <w:t>did</w:t>
      </w:r>
      <w:r>
        <w:rPr>
          <w:spacing w:val="-11"/>
          <w:sz w:val="20"/>
        </w:rPr>
        <w:t> </w:t>
      </w:r>
      <w:r>
        <w:rPr>
          <w:sz w:val="20"/>
        </w:rPr>
        <w:t>not</w:t>
      </w:r>
      <w:r>
        <w:rPr>
          <w:spacing w:val="-10"/>
          <w:sz w:val="20"/>
        </w:rPr>
        <w:t> </w:t>
      </w:r>
      <w:r>
        <w:rPr>
          <w:sz w:val="20"/>
        </w:rPr>
        <w:t>think</w:t>
      </w:r>
      <w:r>
        <w:rPr>
          <w:spacing w:val="-10"/>
          <w:sz w:val="20"/>
        </w:rPr>
        <w:t> </w:t>
      </w:r>
      <w:r>
        <w:rPr>
          <w:sz w:val="20"/>
        </w:rPr>
        <w:t>that</w:t>
      </w:r>
      <w:r>
        <w:rPr>
          <w:spacing w:val="-10"/>
          <w:sz w:val="20"/>
        </w:rPr>
        <w:t> </w:t>
      </w:r>
      <w:r>
        <w:rPr>
          <w:sz w:val="20"/>
        </w:rPr>
        <w:t>it</w:t>
      </w:r>
      <w:r>
        <w:rPr>
          <w:spacing w:val="-10"/>
          <w:sz w:val="20"/>
        </w:rPr>
        <w:t> </w:t>
      </w:r>
      <w:r>
        <w:rPr>
          <w:sz w:val="20"/>
        </w:rPr>
        <w:t>was</w:t>
      </w:r>
      <w:r>
        <w:rPr>
          <w:spacing w:val="-11"/>
          <w:sz w:val="20"/>
        </w:rPr>
        <w:t> </w:t>
      </w:r>
      <w:r>
        <w:rPr>
          <w:spacing w:val="-3"/>
          <w:sz w:val="20"/>
        </w:rPr>
        <w:t>likely</w:t>
      </w:r>
      <w:r>
        <w:rPr>
          <w:spacing w:val="-10"/>
          <w:sz w:val="20"/>
        </w:rPr>
        <w:t> </w:t>
      </w:r>
      <w:r>
        <w:rPr>
          <w:sz w:val="20"/>
        </w:rPr>
        <w:t>that</w:t>
      </w:r>
      <w:r>
        <w:rPr>
          <w:spacing w:val="-10"/>
          <w:sz w:val="20"/>
        </w:rPr>
        <w:t> </w:t>
      </w:r>
      <w:r>
        <w:rPr>
          <w:sz w:val="20"/>
        </w:rPr>
        <w:t>challenges</w:t>
      </w:r>
      <w:r>
        <w:rPr>
          <w:spacing w:val="-10"/>
          <w:sz w:val="20"/>
        </w:rPr>
        <w:t> </w:t>
      </w:r>
      <w:r>
        <w:rPr>
          <w:spacing w:val="-3"/>
          <w:sz w:val="20"/>
        </w:rPr>
        <w:t>would</w:t>
      </w:r>
      <w:r>
        <w:rPr>
          <w:spacing w:val="-10"/>
          <w:sz w:val="20"/>
        </w:rPr>
        <w:t> </w:t>
      </w:r>
      <w:r>
        <w:rPr>
          <w:sz w:val="20"/>
        </w:rPr>
        <w:t>be used against people in the subject groups. Consultees </w:t>
      </w:r>
      <w:r>
        <w:rPr>
          <w:spacing w:val="-3"/>
          <w:sz w:val="20"/>
        </w:rPr>
        <w:t>from </w:t>
      </w:r>
      <w:r>
        <w:rPr>
          <w:sz w:val="20"/>
        </w:rPr>
        <w:t>the Victorian Criminal Bar Association </w:t>
      </w:r>
      <w:r>
        <w:rPr>
          <w:spacing w:val="-3"/>
          <w:sz w:val="20"/>
        </w:rPr>
        <w:t>told </w:t>
      </w:r>
      <w:r>
        <w:rPr>
          <w:sz w:val="20"/>
        </w:rPr>
        <w:t>the</w:t>
      </w:r>
      <w:r>
        <w:rPr>
          <w:spacing w:val="-10"/>
          <w:sz w:val="20"/>
        </w:rPr>
        <w:t> </w:t>
      </w:r>
      <w:r>
        <w:rPr>
          <w:sz w:val="20"/>
        </w:rPr>
        <w:t>Commission:</w:t>
      </w:r>
    </w:p>
    <w:p>
      <w:pPr>
        <w:spacing w:line="208" w:lineRule="auto" w:before="121"/>
        <w:ind w:left="2157" w:right="1277" w:firstLine="0"/>
        <w:jc w:val="left"/>
        <w:rPr>
          <w:sz w:val="11"/>
        </w:rPr>
      </w:pPr>
      <w:r>
        <w:rPr>
          <w:sz w:val="19"/>
        </w:rPr>
        <w:t>it would be very unlikely that a peremptory challenge would be used against a disabled person. Now that there are only three peremptory challenges available, you need to be very careful about using them. They are now mainly used for something obvious (eg you wouldn’t want an auditor on the jury of a fraud case). It is less likely people would use peremptory challenges for a person with a disability. However, it could be possible to make an application for cause. But the judge could refuse that application.</w:t>
      </w:r>
      <w:r>
        <w:rPr>
          <w:position w:val="6"/>
          <w:sz w:val="11"/>
        </w:rPr>
        <w:t>40</w:t>
      </w:r>
    </w:p>
    <w:p>
      <w:pPr>
        <w:pStyle w:val="Heading6"/>
        <w:spacing w:before="131"/>
        <w:rPr>
          <w:b/>
        </w:rPr>
      </w:pPr>
      <w:r>
        <w:rPr>
          <w:b/>
        </w:rPr>
        <w:t>Does the Bar need guidelines?</w:t>
      </w:r>
    </w:p>
    <w:p>
      <w:pPr>
        <w:pStyle w:val="ListParagraph"/>
        <w:numPr>
          <w:ilvl w:val="1"/>
          <w:numId w:val="12"/>
        </w:numPr>
        <w:tabs>
          <w:tab w:pos="1761" w:val="left" w:leader="none"/>
          <w:tab w:pos="1762" w:val="left" w:leader="none"/>
        </w:tabs>
        <w:spacing w:line="206" w:lineRule="auto" w:before="132" w:after="0"/>
        <w:ind w:left="1761" w:right="1239" w:hanging="794"/>
        <w:jc w:val="left"/>
        <w:rPr>
          <w:sz w:val="11"/>
        </w:rPr>
      </w:pPr>
      <w:r>
        <w:rPr>
          <w:sz w:val="20"/>
        </w:rPr>
        <w:t>The Law Institute of Victoria (LIV) suggested that it </w:t>
      </w:r>
      <w:r>
        <w:rPr>
          <w:spacing w:val="-3"/>
          <w:sz w:val="20"/>
        </w:rPr>
        <w:t>‘may </w:t>
      </w:r>
      <w:r>
        <w:rPr>
          <w:sz w:val="20"/>
        </w:rPr>
        <w:t>be helpful to </w:t>
      </w:r>
      <w:r>
        <w:rPr>
          <w:spacing w:val="-3"/>
          <w:sz w:val="20"/>
        </w:rPr>
        <w:t>provide </w:t>
      </w:r>
      <w:r>
        <w:rPr>
          <w:sz w:val="20"/>
        </w:rPr>
        <w:t>guidelines</w:t>
      </w:r>
      <w:r>
        <w:rPr>
          <w:spacing w:val="-13"/>
          <w:sz w:val="20"/>
        </w:rPr>
        <w:t> </w:t>
      </w:r>
      <w:r>
        <w:rPr>
          <w:sz w:val="20"/>
        </w:rPr>
        <w:t>to</w:t>
      </w:r>
      <w:r>
        <w:rPr>
          <w:spacing w:val="-12"/>
          <w:sz w:val="20"/>
        </w:rPr>
        <w:t> </w:t>
      </w:r>
      <w:r>
        <w:rPr>
          <w:sz w:val="20"/>
        </w:rPr>
        <w:t>the</w:t>
      </w:r>
      <w:r>
        <w:rPr>
          <w:spacing w:val="-13"/>
          <w:sz w:val="20"/>
        </w:rPr>
        <w:t> </w:t>
      </w:r>
      <w:r>
        <w:rPr>
          <w:sz w:val="20"/>
        </w:rPr>
        <w:t>Victorian</w:t>
      </w:r>
      <w:r>
        <w:rPr>
          <w:spacing w:val="-12"/>
          <w:sz w:val="20"/>
        </w:rPr>
        <w:t> </w:t>
      </w:r>
      <w:r>
        <w:rPr>
          <w:spacing w:val="-4"/>
          <w:sz w:val="20"/>
        </w:rPr>
        <w:t>Bar,</w:t>
      </w:r>
      <w:r>
        <w:rPr>
          <w:spacing w:val="-12"/>
          <w:sz w:val="20"/>
        </w:rPr>
        <w:t> </w:t>
      </w:r>
      <w:r>
        <w:rPr>
          <w:sz w:val="20"/>
        </w:rPr>
        <w:t>which</w:t>
      </w:r>
      <w:r>
        <w:rPr>
          <w:spacing w:val="-13"/>
          <w:sz w:val="20"/>
        </w:rPr>
        <w:t> </w:t>
      </w:r>
      <w:r>
        <w:rPr>
          <w:sz w:val="20"/>
        </w:rPr>
        <w:t>outline</w:t>
      </w:r>
      <w:r>
        <w:rPr>
          <w:spacing w:val="-12"/>
          <w:sz w:val="20"/>
        </w:rPr>
        <w:t> </w:t>
      </w:r>
      <w:r>
        <w:rPr>
          <w:sz w:val="20"/>
        </w:rPr>
        <w:t>that</w:t>
      </w:r>
      <w:r>
        <w:rPr>
          <w:spacing w:val="-12"/>
          <w:sz w:val="20"/>
        </w:rPr>
        <w:t> </w:t>
      </w:r>
      <w:r>
        <w:rPr>
          <w:spacing w:val="-3"/>
          <w:sz w:val="20"/>
        </w:rPr>
        <w:t>exclusion</w:t>
      </w:r>
      <w:r>
        <w:rPr>
          <w:spacing w:val="-13"/>
          <w:sz w:val="20"/>
        </w:rPr>
        <w:t> </w:t>
      </w:r>
      <w:r>
        <w:rPr>
          <w:sz w:val="20"/>
        </w:rPr>
        <w:t>[via</w:t>
      </w:r>
      <w:r>
        <w:rPr>
          <w:spacing w:val="-12"/>
          <w:sz w:val="20"/>
        </w:rPr>
        <w:t> </w:t>
      </w:r>
      <w:r>
        <w:rPr>
          <w:sz w:val="20"/>
        </w:rPr>
        <w:t>peremptory</w:t>
      </w:r>
      <w:r>
        <w:rPr>
          <w:spacing w:val="-12"/>
          <w:sz w:val="20"/>
        </w:rPr>
        <w:t> </w:t>
      </w:r>
      <w:r>
        <w:rPr>
          <w:sz w:val="20"/>
        </w:rPr>
        <w:t>challenge] should not be on discriminatory grounds’.</w:t>
      </w:r>
      <w:r>
        <w:rPr>
          <w:position w:val="7"/>
          <w:sz w:val="11"/>
        </w:rPr>
        <w:t>41 </w:t>
      </w:r>
      <w:r>
        <w:rPr>
          <w:sz w:val="20"/>
        </w:rPr>
        <w:t>The LIV noted that the ‘benefit of </w:t>
      </w:r>
      <w:r>
        <w:rPr>
          <w:spacing w:val="-3"/>
          <w:sz w:val="20"/>
        </w:rPr>
        <w:t>providing </w:t>
      </w:r>
      <w:r>
        <w:rPr>
          <w:sz w:val="20"/>
        </w:rPr>
        <w:t>such guidelines </w:t>
      </w:r>
      <w:r>
        <w:rPr>
          <w:spacing w:val="-3"/>
          <w:sz w:val="20"/>
        </w:rPr>
        <w:t>would </w:t>
      </w:r>
      <w:r>
        <w:rPr>
          <w:sz w:val="20"/>
        </w:rPr>
        <w:t>be to educate barristers not to adopt discriminatory </w:t>
      </w:r>
      <w:r>
        <w:rPr>
          <w:spacing w:val="-3"/>
          <w:sz w:val="20"/>
        </w:rPr>
        <w:t>practices’ </w:t>
      </w:r>
      <w:r>
        <w:rPr>
          <w:sz w:val="20"/>
        </w:rPr>
        <w:t>but</w:t>
      </w:r>
      <w:r>
        <w:rPr>
          <w:spacing w:val="-9"/>
          <w:sz w:val="20"/>
        </w:rPr>
        <w:t> </w:t>
      </w:r>
      <w:r>
        <w:rPr>
          <w:sz w:val="20"/>
        </w:rPr>
        <w:t>that</w:t>
      </w:r>
      <w:r>
        <w:rPr>
          <w:spacing w:val="-9"/>
          <w:sz w:val="20"/>
        </w:rPr>
        <w:t> </w:t>
      </w:r>
      <w:r>
        <w:rPr>
          <w:spacing w:val="-3"/>
          <w:sz w:val="20"/>
        </w:rPr>
        <w:t>ultimately</w:t>
      </w:r>
      <w:r>
        <w:rPr>
          <w:spacing w:val="-9"/>
          <w:sz w:val="20"/>
        </w:rPr>
        <w:t> </w:t>
      </w:r>
      <w:r>
        <w:rPr>
          <w:sz w:val="20"/>
        </w:rPr>
        <w:t>they</w:t>
      </w:r>
      <w:r>
        <w:rPr>
          <w:spacing w:val="-9"/>
          <w:sz w:val="20"/>
        </w:rPr>
        <w:t> </w:t>
      </w:r>
      <w:r>
        <w:rPr>
          <w:spacing w:val="-4"/>
          <w:sz w:val="20"/>
        </w:rPr>
        <w:t>were</w:t>
      </w:r>
      <w:r>
        <w:rPr>
          <w:spacing w:val="-9"/>
          <w:sz w:val="20"/>
        </w:rPr>
        <w:t> </w:t>
      </w:r>
      <w:r>
        <w:rPr>
          <w:sz w:val="20"/>
        </w:rPr>
        <w:t>entitled</w:t>
      </w:r>
      <w:r>
        <w:rPr>
          <w:spacing w:val="-9"/>
          <w:sz w:val="20"/>
        </w:rPr>
        <w:t> </w:t>
      </w:r>
      <w:r>
        <w:rPr>
          <w:sz w:val="20"/>
        </w:rPr>
        <w:t>to</w:t>
      </w:r>
      <w:r>
        <w:rPr>
          <w:spacing w:val="-9"/>
          <w:sz w:val="20"/>
        </w:rPr>
        <w:t> </w:t>
      </w:r>
      <w:r>
        <w:rPr>
          <w:spacing w:val="-3"/>
          <w:sz w:val="20"/>
        </w:rPr>
        <w:t>exercise</w:t>
      </w:r>
      <w:r>
        <w:rPr>
          <w:spacing w:val="-9"/>
          <w:sz w:val="20"/>
        </w:rPr>
        <w:t> </w:t>
      </w:r>
      <w:r>
        <w:rPr>
          <w:sz w:val="20"/>
        </w:rPr>
        <w:t>peremptory</w:t>
      </w:r>
      <w:r>
        <w:rPr>
          <w:spacing w:val="-9"/>
          <w:sz w:val="20"/>
        </w:rPr>
        <w:t> </w:t>
      </w:r>
      <w:r>
        <w:rPr>
          <w:sz w:val="20"/>
        </w:rPr>
        <w:t>challenges</w:t>
      </w:r>
      <w:r>
        <w:rPr>
          <w:spacing w:val="-9"/>
          <w:sz w:val="20"/>
        </w:rPr>
        <w:t> </w:t>
      </w:r>
      <w:r>
        <w:rPr>
          <w:sz w:val="20"/>
        </w:rPr>
        <w:t>as</w:t>
      </w:r>
      <w:r>
        <w:rPr>
          <w:spacing w:val="-9"/>
          <w:sz w:val="20"/>
        </w:rPr>
        <w:t> </w:t>
      </w:r>
      <w:r>
        <w:rPr>
          <w:sz w:val="20"/>
        </w:rPr>
        <w:t>they</w:t>
      </w:r>
      <w:r>
        <w:rPr>
          <w:spacing w:val="-9"/>
          <w:sz w:val="20"/>
        </w:rPr>
        <w:t> </w:t>
      </w:r>
      <w:r>
        <w:rPr>
          <w:sz w:val="20"/>
        </w:rPr>
        <w:t>wish.</w:t>
      </w:r>
      <w:r>
        <w:rPr>
          <w:position w:val="7"/>
          <w:sz w:val="11"/>
        </w:rPr>
        <w:t>42</w:t>
      </w:r>
    </w:p>
    <w:p>
      <w:pPr>
        <w:pStyle w:val="ListParagraph"/>
        <w:numPr>
          <w:ilvl w:val="1"/>
          <w:numId w:val="12"/>
        </w:numPr>
        <w:tabs>
          <w:tab w:pos="1761" w:val="left" w:leader="none"/>
          <w:tab w:pos="1762" w:val="left" w:leader="none"/>
        </w:tabs>
        <w:spacing w:line="206" w:lineRule="auto" w:before="126" w:after="0"/>
        <w:ind w:left="1761" w:right="1204" w:hanging="794"/>
        <w:jc w:val="left"/>
        <w:rPr>
          <w:sz w:val="20"/>
        </w:rPr>
      </w:pPr>
      <w:r>
        <w:rPr>
          <w:sz w:val="20"/>
        </w:rPr>
        <w:t>Victorian Criminal Bar Association consultees </w:t>
      </w:r>
      <w:r>
        <w:rPr>
          <w:spacing w:val="-4"/>
          <w:sz w:val="20"/>
        </w:rPr>
        <w:t>were </w:t>
      </w:r>
      <w:r>
        <w:rPr>
          <w:sz w:val="20"/>
        </w:rPr>
        <w:t>not in </w:t>
      </w:r>
      <w:r>
        <w:rPr>
          <w:spacing w:val="-3"/>
          <w:sz w:val="20"/>
        </w:rPr>
        <w:t>favour </w:t>
      </w:r>
      <w:r>
        <w:rPr>
          <w:sz w:val="20"/>
        </w:rPr>
        <w:t>of guidelines for the </w:t>
      </w:r>
      <w:r>
        <w:rPr>
          <w:spacing w:val="-4"/>
          <w:sz w:val="20"/>
        </w:rPr>
        <w:t>Bar. </w:t>
      </w:r>
      <w:r>
        <w:rPr>
          <w:spacing w:val="-5"/>
          <w:sz w:val="20"/>
        </w:rPr>
        <w:t>However, </w:t>
      </w:r>
      <w:r>
        <w:rPr>
          <w:sz w:val="20"/>
        </w:rPr>
        <w:t>they noted that when the law changes the Victorian Bar will </w:t>
      </w:r>
      <w:r>
        <w:rPr>
          <w:spacing w:val="-3"/>
          <w:sz w:val="20"/>
        </w:rPr>
        <w:t>provide </w:t>
      </w:r>
      <w:r>
        <w:rPr>
          <w:sz w:val="20"/>
        </w:rPr>
        <w:t>a professional </w:t>
      </w:r>
      <w:r>
        <w:rPr>
          <w:spacing w:val="-3"/>
          <w:sz w:val="20"/>
        </w:rPr>
        <w:t>development </w:t>
      </w:r>
      <w:r>
        <w:rPr>
          <w:sz w:val="20"/>
        </w:rPr>
        <w:t>session about the change, and often someone will write a paper</w:t>
      </w:r>
      <w:r>
        <w:rPr>
          <w:spacing w:val="-11"/>
          <w:sz w:val="20"/>
        </w:rPr>
        <w:t> </w:t>
      </w:r>
      <w:r>
        <w:rPr>
          <w:sz w:val="20"/>
        </w:rPr>
        <w:t>about</w:t>
      </w:r>
      <w:r>
        <w:rPr>
          <w:spacing w:val="-10"/>
          <w:sz w:val="20"/>
        </w:rPr>
        <w:t> </w:t>
      </w:r>
      <w:r>
        <w:rPr>
          <w:sz w:val="20"/>
        </w:rPr>
        <w:t>it.</w:t>
      </w:r>
      <w:r>
        <w:rPr>
          <w:spacing w:val="-11"/>
          <w:sz w:val="20"/>
        </w:rPr>
        <w:t> </w:t>
      </w:r>
      <w:r>
        <w:rPr>
          <w:sz w:val="20"/>
        </w:rPr>
        <w:t>They</w:t>
      </w:r>
      <w:r>
        <w:rPr>
          <w:spacing w:val="-10"/>
          <w:sz w:val="20"/>
        </w:rPr>
        <w:t> </w:t>
      </w:r>
      <w:r>
        <w:rPr>
          <w:sz w:val="20"/>
        </w:rPr>
        <w:t>further</w:t>
      </w:r>
      <w:r>
        <w:rPr>
          <w:spacing w:val="-10"/>
          <w:sz w:val="20"/>
        </w:rPr>
        <w:t> </w:t>
      </w:r>
      <w:r>
        <w:rPr>
          <w:sz w:val="20"/>
        </w:rPr>
        <w:t>commented</w:t>
      </w:r>
      <w:r>
        <w:rPr>
          <w:spacing w:val="-11"/>
          <w:sz w:val="20"/>
        </w:rPr>
        <w:t> </w:t>
      </w:r>
      <w:r>
        <w:rPr>
          <w:sz w:val="20"/>
        </w:rPr>
        <w:t>that</w:t>
      </w:r>
      <w:r>
        <w:rPr>
          <w:spacing w:val="-10"/>
          <w:sz w:val="20"/>
        </w:rPr>
        <w:t> </w:t>
      </w:r>
      <w:r>
        <w:rPr>
          <w:sz w:val="20"/>
        </w:rPr>
        <w:t>the</w:t>
      </w:r>
      <w:r>
        <w:rPr>
          <w:spacing w:val="-10"/>
          <w:sz w:val="20"/>
        </w:rPr>
        <w:t> </w:t>
      </w:r>
      <w:r>
        <w:rPr>
          <w:spacing w:val="-3"/>
          <w:sz w:val="20"/>
        </w:rPr>
        <w:t>provision</w:t>
      </w:r>
      <w:r>
        <w:rPr>
          <w:spacing w:val="-11"/>
          <w:sz w:val="20"/>
        </w:rPr>
        <w:t> </w:t>
      </w:r>
      <w:r>
        <w:rPr>
          <w:sz w:val="20"/>
        </w:rPr>
        <w:t>of</w:t>
      </w:r>
      <w:r>
        <w:rPr>
          <w:spacing w:val="-10"/>
          <w:sz w:val="20"/>
        </w:rPr>
        <w:t> </w:t>
      </w:r>
      <w:r>
        <w:rPr>
          <w:sz w:val="20"/>
        </w:rPr>
        <w:t>professional</w:t>
      </w:r>
      <w:r>
        <w:rPr>
          <w:spacing w:val="-10"/>
          <w:sz w:val="20"/>
        </w:rPr>
        <w:t> </w:t>
      </w:r>
      <w:r>
        <w:rPr>
          <w:spacing w:val="-3"/>
          <w:sz w:val="20"/>
        </w:rPr>
        <w:t>development </w:t>
      </w:r>
      <w:r>
        <w:rPr>
          <w:sz w:val="20"/>
        </w:rPr>
        <w:t>training </w:t>
      </w:r>
      <w:r>
        <w:rPr>
          <w:spacing w:val="-3"/>
          <w:sz w:val="20"/>
        </w:rPr>
        <w:t>by </w:t>
      </w:r>
      <w:r>
        <w:rPr>
          <w:sz w:val="20"/>
        </w:rPr>
        <w:t>the Victorian</w:t>
      </w:r>
      <w:r>
        <w:rPr>
          <w:spacing w:val="-15"/>
          <w:sz w:val="20"/>
        </w:rPr>
        <w:t> </w:t>
      </w:r>
      <w:r>
        <w:rPr>
          <w:sz w:val="20"/>
        </w:rPr>
        <w:t>Bar:</w:t>
      </w:r>
    </w:p>
    <w:p>
      <w:pPr>
        <w:spacing w:line="208" w:lineRule="auto" w:before="124"/>
        <w:ind w:left="2157" w:right="1202" w:firstLine="0"/>
        <w:jc w:val="left"/>
        <w:rPr>
          <w:sz w:val="11"/>
        </w:rPr>
      </w:pPr>
      <w:r>
        <w:rPr>
          <w:sz w:val="19"/>
        </w:rPr>
        <w:t>is especially likely if there are changes to the Juries Act. There have been numerous changes to the law (especially regarding evidence) over the past few years and criminal barristers have had no choice but to keep up to date with these changes. The same is likely to happen here.</w:t>
      </w:r>
      <w:r>
        <w:rPr>
          <w:position w:val="6"/>
          <w:sz w:val="11"/>
        </w:rPr>
        <w:t>43</w:t>
      </w:r>
    </w:p>
    <w:p>
      <w:pPr>
        <w:pStyle w:val="ListParagraph"/>
        <w:numPr>
          <w:ilvl w:val="1"/>
          <w:numId w:val="12"/>
        </w:numPr>
        <w:tabs>
          <w:tab w:pos="1762" w:val="left" w:leader="none"/>
        </w:tabs>
        <w:spacing w:line="206" w:lineRule="auto" w:before="125" w:after="0"/>
        <w:ind w:left="1761" w:right="1479" w:hanging="794"/>
        <w:jc w:val="both"/>
        <w:rPr>
          <w:sz w:val="11"/>
        </w:rPr>
      </w:pPr>
      <w:r>
        <w:rPr>
          <w:sz w:val="20"/>
        </w:rPr>
        <w:t>Associate</w:t>
      </w:r>
      <w:r>
        <w:rPr>
          <w:spacing w:val="-8"/>
          <w:sz w:val="20"/>
        </w:rPr>
        <w:t> </w:t>
      </w:r>
      <w:r>
        <w:rPr>
          <w:spacing w:val="-3"/>
          <w:sz w:val="20"/>
        </w:rPr>
        <w:t>Professors</w:t>
      </w:r>
      <w:r>
        <w:rPr>
          <w:spacing w:val="-7"/>
          <w:sz w:val="20"/>
        </w:rPr>
        <w:t> </w:t>
      </w:r>
      <w:r>
        <w:rPr>
          <w:sz w:val="20"/>
        </w:rPr>
        <w:t>Bruce</w:t>
      </w:r>
      <w:r>
        <w:rPr>
          <w:spacing w:val="-7"/>
          <w:sz w:val="20"/>
        </w:rPr>
        <w:t> </w:t>
      </w:r>
      <w:r>
        <w:rPr>
          <w:sz w:val="20"/>
        </w:rPr>
        <w:t>Baer</w:t>
      </w:r>
      <w:r>
        <w:rPr>
          <w:spacing w:val="-8"/>
          <w:sz w:val="20"/>
        </w:rPr>
        <w:t> </w:t>
      </w:r>
      <w:r>
        <w:rPr>
          <w:sz w:val="20"/>
        </w:rPr>
        <w:t>Arnold</w:t>
      </w:r>
      <w:r>
        <w:rPr>
          <w:spacing w:val="-7"/>
          <w:sz w:val="20"/>
        </w:rPr>
        <w:t> </w:t>
      </w:r>
      <w:r>
        <w:rPr>
          <w:sz w:val="20"/>
        </w:rPr>
        <w:t>and</w:t>
      </w:r>
      <w:r>
        <w:rPr>
          <w:spacing w:val="-7"/>
          <w:sz w:val="20"/>
        </w:rPr>
        <w:t> </w:t>
      </w:r>
      <w:r>
        <w:rPr>
          <w:spacing w:val="-4"/>
          <w:sz w:val="20"/>
        </w:rPr>
        <w:t>Wendy</w:t>
      </w:r>
      <w:r>
        <w:rPr>
          <w:spacing w:val="-8"/>
          <w:sz w:val="20"/>
        </w:rPr>
        <w:t> </w:t>
      </w:r>
      <w:r>
        <w:rPr>
          <w:sz w:val="20"/>
        </w:rPr>
        <w:t>Bonython</w:t>
      </w:r>
      <w:r>
        <w:rPr>
          <w:spacing w:val="-7"/>
          <w:sz w:val="20"/>
        </w:rPr>
        <w:t> </w:t>
      </w:r>
      <w:r>
        <w:rPr>
          <w:spacing w:val="-4"/>
          <w:sz w:val="20"/>
        </w:rPr>
        <w:t>were</w:t>
      </w:r>
      <w:r>
        <w:rPr>
          <w:spacing w:val="-7"/>
          <w:sz w:val="20"/>
        </w:rPr>
        <w:t> </w:t>
      </w:r>
      <w:r>
        <w:rPr>
          <w:sz w:val="20"/>
        </w:rPr>
        <w:t>of</w:t>
      </w:r>
      <w:r>
        <w:rPr>
          <w:spacing w:val="-8"/>
          <w:sz w:val="20"/>
        </w:rPr>
        <w:t> </w:t>
      </w:r>
      <w:r>
        <w:rPr>
          <w:sz w:val="20"/>
        </w:rPr>
        <w:t>the</w:t>
      </w:r>
      <w:r>
        <w:rPr>
          <w:spacing w:val="-7"/>
          <w:sz w:val="20"/>
        </w:rPr>
        <w:t> </w:t>
      </w:r>
      <w:r>
        <w:rPr>
          <w:sz w:val="20"/>
        </w:rPr>
        <w:t>view</w:t>
      </w:r>
      <w:r>
        <w:rPr>
          <w:spacing w:val="-7"/>
          <w:sz w:val="20"/>
        </w:rPr>
        <w:t> </w:t>
      </w:r>
      <w:r>
        <w:rPr>
          <w:sz w:val="20"/>
        </w:rPr>
        <w:t>that ‘courts should be very wary of unsubstantiated “social sorting” through peremptory </w:t>
      </w:r>
      <w:r>
        <w:rPr>
          <w:spacing w:val="-3"/>
          <w:sz w:val="20"/>
        </w:rPr>
        <w:t>challenges’</w:t>
      </w:r>
      <w:r>
        <w:rPr>
          <w:spacing w:val="-12"/>
          <w:sz w:val="20"/>
        </w:rPr>
        <w:t> </w:t>
      </w:r>
      <w:r>
        <w:rPr>
          <w:sz w:val="20"/>
        </w:rPr>
        <w:t>and</w:t>
      </w:r>
      <w:r>
        <w:rPr>
          <w:spacing w:val="-12"/>
          <w:sz w:val="20"/>
        </w:rPr>
        <w:t> </w:t>
      </w:r>
      <w:r>
        <w:rPr>
          <w:sz w:val="20"/>
        </w:rPr>
        <w:t>that</w:t>
      </w:r>
      <w:r>
        <w:rPr>
          <w:spacing w:val="-12"/>
          <w:sz w:val="20"/>
        </w:rPr>
        <w:t> </w:t>
      </w:r>
      <w:r>
        <w:rPr>
          <w:sz w:val="20"/>
        </w:rPr>
        <w:t>amendments</w:t>
      </w:r>
      <w:r>
        <w:rPr>
          <w:spacing w:val="-12"/>
          <w:sz w:val="20"/>
        </w:rPr>
        <w:t> </w:t>
      </w:r>
      <w:r>
        <w:rPr>
          <w:sz w:val="20"/>
        </w:rPr>
        <w:t>to</w:t>
      </w:r>
      <w:r>
        <w:rPr>
          <w:spacing w:val="-11"/>
          <w:sz w:val="20"/>
        </w:rPr>
        <w:t> </w:t>
      </w:r>
      <w:r>
        <w:rPr>
          <w:sz w:val="20"/>
        </w:rPr>
        <w:t>legislation</w:t>
      </w:r>
      <w:r>
        <w:rPr>
          <w:spacing w:val="-12"/>
          <w:sz w:val="20"/>
        </w:rPr>
        <w:t> </w:t>
      </w:r>
      <w:r>
        <w:rPr>
          <w:sz w:val="20"/>
        </w:rPr>
        <w:t>should</w:t>
      </w:r>
      <w:r>
        <w:rPr>
          <w:spacing w:val="-12"/>
          <w:sz w:val="20"/>
        </w:rPr>
        <w:t> </w:t>
      </w:r>
      <w:r>
        <w:rPr>
          <w:sz w:val="20"/>
        </w:rPr>
        <w:t>be</w:t>
      </w:r>
      <w:r>
        <w:rPr>
          <w:spacing w:val="-12"/>
          <w:sz w:val="20"/>
        </w:rPr>
        <w:t> </w:t>
      </w:r>
      <w:r>
        <w:rPr>
          <w:sz w:val="20"/>
        </w:rPr>
        <w:t>‘accompanied</w:t>
      </w:r>
      <w:r>
        <w:rPr>
          <w:spacing w:val="-11"/>
          <w:sz w:val="20"/>
        </w:rPr>
        <w:t> </w:t>
      </w:r>
      <w:r>
        <w:rPr>
          <w:spacing w:val="-3"/>
          <w:sz w:val="20"/>
        </w:rPr>
        <w:t>by</w:t>
      </w:r>
      <w:r>
        <w:rPr>
          <w:spacing w:val="-12"/>
          <w:sz w:val="20"/>
        </w:rPr>
        <w:t> </w:t>
      </w:r>
      <w:r>
        <w:rPr>
          <w:sz w:val="20"/>
        </w:rPr>
        <w:t>practice guidelines</w:t>
      </w:r>
      <w:r>
        <w:rPr>
          <w:spacing w:val="-10"/>
          <w:sz w:val="20"/>
        </w:rPr>
        <w:t> </w:t>
      </w:r>
      <w:r>
        <w:rPr>
          <w:sz w:val="20"/>
        </w:rPr>
        <w:t>and</w:t>
      </w:r>
      <w:r>
        <w:rPr>
          <w:spacing w:val="-10"/>
          <w:sz w:val="20"/>
        </w:rPr>
        <w:t> </w:t>
      </w:r>
      <w:r>
        <w:rPr>
          <w:sz w:val="20"/>
        </w:rPr>
        <w:t>training</w:t>
      </w:r>
      <w:r>
        <w:rPr>
          <w:spacing w:val="-10"/>
          <w:sz w:val="20"/>
        </w:rPr>
        <w:t> </w:t>
      </w:r>
      <w:r>
        <w:rPr>
          <w:sz w:val="20"/>
        </w:rPr>
        <w:t>[…]</w:t>
      </w:r>
      <w:r>
        <w:rPr>
          <w:spacing w:val="-9"/>
          <w:sz w:val="20"/>
        </w:rPr>
        <w:t> </w:t>
      </w:r>
      <w:r>
        <w:rPr>
          <w:sz w:val="20"/>
        </w:rPr>
        <w:t>to</w:t>
      </w:r>
      <w:r>
        <w:rPr>
          <w:spacing w:val="-10"/>
          <w:sz w:val="20"/>
        </w:rPr>
        <w:t> </w:t>
      </w:r>
      <w:r>
        <w:rPr>
          <w:spacing w:val="-3"/>
          <w:sz w:val="20"/>
        </w:rPr>
        <w:t>clearly</w:t>
      </w:r>
      <w:r>
        <w:rPr>
          <w:spacing w:val="-10"/>
          <w:sz w:val="20"/>
        </w:rPr>
        <w:t> </w:t>
      </w:r>
      <w:r>
        <w:rPr>
          <w:sz w:val="20"/>
        </w:rPr>
        <w:t>indicate</w:t>
      </w:r>
      <w:r>
        <w:rPr>
          <w:spacing w:val="-9"/>
          <w:sz w:val="20"/>
        </w:rPr>
        <w:t> </w:t>
      </w:r>
      <w:r>
        <w:rPr>
          <w:sz w:val="20"/>
        </w:rPr>
        <w:t>that</w:t>
      </w:r>
      <w:r>
        <w:rPr>
          <w:spacing w:val="-10"/>
          <w:sz w:val="20"/>
        </w:rPr>
        <w:t> </w:t>
      </w:r>
      <w:r>
        <w:rPr>
          <w:sz w:val="20"/>
        </w:rPr>
        <w:t>inclusion</w:t>
      </w:r>
      <w:r>
        <w:rPr>
          <w:spacing w:val="-10"/>
          <w:sz w:val="20"/>
        </w:rPr>
        <w:t> </w:t>
      </w:r>
      <w:r>
        <w:rPr>
          <w:sz w:val="20"/>
        </w:rPr>
        <w:t>is</w:t>
      </w:r>
      <w:r>
        <w:rPr>
          <w:spacing w:val="-9"/>
          <w:sz w:val="20"/>
        </w:rPr>
        <w:t> </w:t>
      </w:r>
      <w:r>
        <w:rPr>
          <w:sz w:val="20"/>
        </w:rPr>
        <w:t>the</w:t>
      </w:r>
      <w:r>
        <w:rPr>
          <w:spacing w:val="-10"/>
          <w:sz w:val="20"/>
        </w:rPr>
        <w:t> </w:t>
      </w:r>
      <w:r>
        <w:rPr>
          <w:sz w:val="20"/>
        </w:rPr>
        <w:t>default</w:t>
      </w:r>
      <w:r>
        <w:rPr>
          <w:spacing w:val="-10"/>
          <w:sz w:val="20"/>
        </w:rPr>
        <w:t> </w:t>
      </w:r>
      <w:r>
        <w:rPr>
          <w:sz w:val="20"/>
        </w:rPr>
        <w:t>position’.</w:t>
      </w:r>
      <w:r>
        <w:rPr>
          <w:position w:val="7"/>
          <w:sz w:val="11"/>
        </w:rPr>
        <w:t>44</w:t>
      </w:r>
    </w:p>
    <w:p>
      <w:pPr>
        <w:pStyle w:val="BodyText"/>
      </w:pPr>
    </w:p>
    <w:p>
      <w:pPr>
        <w:pStyle w:val="BodyText"/>
      </w:pPr>
    </w:p>
    <w:p>
      <w:pPr>
        <w:pStyle w:val="BodyText"/>
        <w:spacing w:before="5"/>
        <w:rPr>
          <w:sz w:val="26"/>
        </w:rPr>
      </w:pPr>
      <w:r>
        <w:rPr/>
        <w:pict>
          <v:line style="position:absolute;mso-position-horizontal-relative:page;mso-position-vertical-relative:paragraph;z-index:10304;mso-wrap-distance-left:0;mso-wrap-distance-right:0" from="79.370003pt,20.773163pt" to="515.905003pt,20.773163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18"/>
        </w:numPr>
        <w:tabs>
          <w:tab w:pos="1761" w:val="left" w:leader="none"/>
          <w:tab w:pos="1762" w:val="left" w:leader="none"/>
        </w:tabs>
        <w:spacing w:line="170" w:lineRule="exact" w:before="21" w:after="0"/>
        <w:ind w:left="1761" w:right="0" w:hanging="794"/>
        <w:jc w:val="left"/>
        <w:rPr>
          <w:sz w:val="13"/>
        </w:rPr>
      </w:pPr>
      <w:r>
        <w:rPr>
          <w:sz w:val="13"/>
        </w:rPr>
        <w:t>Consultation</w:t>
      </w:r>
      <w:r>
        <w:rPr>
          <w:spacing w:val="5"/>
          <w:sz w:val="13"/>
        </w:rPr>
        <w:t> </w:t>
      </w:r>
      <w:r>
        <w:rPr>
          <w:sz w:val="13"/>
        </w:rPr>
        <w:t>11</w:t>
      </w:r>
      <w:r>
        <w:rPr>
          <w:spacing w:val="6"/>
          <w:sz w:val="13"/>
        </w:rPr>
        <w:t> </w:t>
      </w:r>
      <w:r>
        <w:rPr>
          <w:sz w:val="13"/>
        </w:rPr>
        <w:t>(Consultation</w:t>
      </w:r>
      <w:r>
        <w:rPr>
          <w:spacing w:val="6"/>
          <w:sz w:val="13"/>
        </w:rPr>
        <w:t> </w:t>
      </w:r>
      <w:r>
        <w:rPr>
          <w:sz w:val="13"/>
        </w:rPr>
        <w:t>with</w:t>
      </w:r>
      <w:r>
        <w:rPr>
          <w:spacing w:val="6"/>
          <w:sz w:val="13"/>
        </w:rPr>
        <w:t> </w:t>
      </w:r>
      <w:r>
        <w:rPr>
          <w:sz w:val="13"/>
        </w:rPr>
        <w:t>a</w:t>
      </w:r>
      <w:r>
        <w:rPr>
          <w:spacing w:val="6"/>
          <w:sz w:val="13"/>
        </w:rPr>
        <w:t> </w:t>
      </w:r>
      <w:r>
        <w:rPr>
          <w:sz w:val="13"/>
        </w:rPr>
        <w:t>Judge,</w:t>
      </w:r>
      <w:r>
        <w:rPr>
          <w:spacing w:val="6"/>
          <w:sz w:val="13"/>
        </w:rPr>
        <w:t> </w:t>
      </w:r>
      <w:r>
        <w:rPr>
          <w:sz w:val="13"/>
        </w:rPr>
        <w:t>a</w:t>
      </w:r>
      <w:r>
        <w:rPr>
          <w:spacing w:val="6"/>
          <w:sz w:val="13"/>
        </w:rPr>
        <w:t> </w:t>
      </w:r>
      <w:r>
        <w:rPr>
          <w:sz w:val="13"/>
        </w:rPr>
        <w:t>Tipstaff</w:t>
      </w:r>
      <w:r>
        <w:rPr>
          <w:spacing w:val="6"/>
          <w:sz w:val="13"/>
        </w:rPr>
        <w:t> </w:t>
      </w:r>
      <w:r>
        <w:rPr>
          <w:sz w:val="13"/>
        </w:rPr>
        <w:t>and</w:t>
      </w:r>
      <w:r>
        <w:rPr>
          <w:spacing w:val="6"/>
          <w:sz w:val="13"/>
        </w:rPr>
        <w:t> </w:t>
      </w:r>
      <w:r>
        <w:rPr>
          <w:spacing w:val="2"/>
          <w:sz w:val="13"/>
        </w:rPr>
        <w:t>Court</w:t>
      </w:r>
      <w:r>
        <w:rPr>
          <w:spacing w:val="6"/>
          <w:sz w:val="13"/>
        </w:rPr>
        <w:t> </w:t>
      </w:r>
      <w:r>
        <w:rPr>
          <w:spacing w:val="2"/>
          <w:sz w:val="13"/>
        </w:rPr>
        <w:t>policy</w:t>
      </w:r>
      <w:r>
        <w:rPr>
          <w:spacing w:val="6"/>
          <w:sz w:val="13"/>
        </w:rPr>
        <w:t> </w:t>
      </w:r>
      <w:r>
        <w:rPr>
          <w:sz w:val="13"/>
        </w:rPr>
        <w:t>staff,</w:t>
      </w:r>
      <w:r>
        <w:rPr>
          <w:spacing w:val="6"/>
          <w:sz w:val="13"/>
        </w:rPr>
        <w:t> </w:t>
      </w:r>
      <w:r>
        <w:rPr>
          <w:sz w:val="13"/>
        </w:rPr>
        <w:t>Victorian</w:t>
      </w:r>
      <w:r>
        <w:rPr>
          <w:spacing w:val="6"/>
          <w:sz w:val="13"/>
        </w:rPr>
        <w:t> </w:t>
      </w:r>
      <w:r>
        <w:rPr>
          <w:sz w:val="13"/>
        </w:rPr>
        <w:t>Supreme</w:t>
      </w:r>
      <w:r>
        <w:rPr>
          <w:spacing w:val="5"/>
          <w:sz w:val="13"/>
        </w:rPr>
        <w:t> </w:t>
      </w:r>
      <w:r>
        <w:rPr>
          <w:spacing w:val="2"/>
          <w:sz w:val="13"/>
        </w:rPr>
        <w:t>Court).</w:t>
      </w:r>
    </w:p>
    <w:p>
      <w:pPr>
        <w:pStyle w:val="ListParagraph"/>
        <w:numPr>
          <w:ilvl w:val="0"/>
          <w:numId w:val="118"/>
        </w:numPr>
        <w:tabs>
          <w:tab w:pos="1761" w:val="left" w:leader="none"/>
          <w:tab w:pos="1762" w:val="left" w:leader="none"/>
        </w:tabs>
        <w:spacing w:line="160" w:lineRule="exact" w:before="0" w:after="0"/>
        <w:ind w:left="1761" w:right="0" w:hanging="794"/>
        <w:jc w:val="left"/>
        <w:rPr>
          <w:sz w:val="13"/>
        </w:rPr>
      </w:pPr>
      <w:r>
        <w:rPr>
          <w:sz w:val="13"/>
        </w:rPr>
        <w:t>Consultation 25 (Peter Ward, Partner, Galbally and </w:t>
      </w:r>
      <w:r>
        <w:rPr>
          <w:spacing w:val="2"/>
          <w:sz w:val="13"/>
        </w:rPr>
        <w:t>O’Bryan</w:t>
      </w:r>
      <w:r>
        <w:rPr>
          <w:spacing w:val="8"/>
          <w:sz w:val="13"/>
        </w:rPr>
        <w:t> </w:t>
      </w:r>
      <w:r>
        <w:rPr>
          <w:sz w:val="13"/>
        </w:rPr>
        <w:t>Lawyers).</w:t>
      </w:r>
    </w:p>
    <w:p>
      <w:pPr>
        <w:pStyle w:val="ListParagraph"/>
        <w:numPr>
          <w:ilvl w:val="0"/>
          <w:numId w:val="118"/>
        </w:numPr>
        <w:tabs>
          <w:tab w:pos="1760" w:val="left" w:leader="none"/>
          <w:tab w:pos="1762" w:val="left" w:leader="none"/>
        </w:tabs>
        <w:spacing w:line="160" w:lineRule="exact" w:before="0" w:after="0"/>
        <w:ind w:left="1761" w:right="0" w:hanging="794"/>
        <w:jc w:val="left"/>
        <w:rPr>
          <w:sz w:val="13"/>
        </w:rPr>
      </w:pPr>
      <w:r>
        <w:rPr>
          <w:sz w:val="13"/>
        </w:rPr>
        <w:t>Consultation 4 </w:t>
      </w:r>
      <w:r>
        <w:rPr>
          <w:spacing w:val="2"/>
          <w:sz w:val="13"/>
        </w:rPr>
        <w:t>(Victorian </w:t>
      </w:r>
      <w:r>
        <w:rPr>
          <w:sz w:val="13"/>
        </w:rPr>
        <w:t>Criminal Bar</w:t>
      </w:r>
      <w:r>
        <w:rPr>
          <w:spacing w:val="1"/>
          <w:sz w:val="13"/>
        </w:rPr>
        <w:t> </w:t>
      </w:r>
      <w:r>
        <w:rPr>
          <w:sz w:val="13"/>
        </w:rPr>
        <w:t>Association).</w:t>
      </w:r>
    </w:p>
    <w:p>
      <w:pPr>
        <w:pStyle w:val="ListParagraph"/>
        <w:numPr>
          <w:ilvl w:val="0"/>
          <w:numId w:val="118"/>
        </w:numPr>
        <w:tabs>
          <w:tab w:pos="1760" w:val="left" w:leader="none"/>
          <w:tab w:pos="1762" w:val="left" w:leader="none"/>
        </w:tabs>
        <w:spacing w:line="160" w:lineRule="exact" w:before="0" w:after="0"/>
        <w:ind w:left="1761" w:right="0" w:hanging="794"/>
        <w:jc w:val="left"/>
        <w:rPr>
          <w:sz w:val="13"/>
        </w:rPr>
      </w:pPr>
      <w:r>
        <w:rPr>
          <w:sz w:val="13"/>
        </w:rPr>
        <w:t>Consultation 2 (Law Institute of</w:t>
      </w:r>
      <w:r>
        <w:rPr>
          <w:spacing w:val="2"/>
          <w:sz w:val="13"/>
        </w:rPr>
        <w:t> </w:t>
      </w:r>
      <w:r>
        <w:rPr>
          <w:sz w:val="13"/>
        </w:rPr>
        <w:t>Victoria).</w:t>
      </w:r>
    </w:p>
    <w:p>
      <w:pPr>
        <w:pStyle w:val="ListParagraph"/>
        <w:numPr>
          <w:ilvl w:val="0"/>
          <w:numId w:val="118"/>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118"/>
        </w:numPr>
        <w:tabs>
          <w:tab w:pos="1760" w:val="left" w:leader="none"/>
          <w:tab w:pos="1762" w:val="left" w:leader="none"/>
        </w:tabs>
        <w:spacing w:line="160" w:lineRule="exact" w:before="0" w:after="0"/>
        <w:ind w:left="1761" w:right="0" w:hanging="794"/>
        <w:jc w:val="left"/>
        <w:rPr>
          <w:sz w:val="13"/>
        </w:rPr>
      </w:pPr>
      <w:r>
        <w:rPr>
          <w:sz w:val="13"/>
        </w:rPr>
        <w:t>Consultation 4 </w:t>
      </w:r>
      <w:r>
        <w:rPr>
          <w:spacing w:val="2"/>
          <w:sz w:val="13"/>
        </w:rPr>
        <w:t>(Victorian </w:t>
      </w:r>
      <w:r>
        <w:rPr>
          <w:sz w:val="13"/>
        </w:rPr>
        <w:t>Criminal Bar</w:t>
      </w:r>
      <w:r>
        <w:rPr>
          <w:spacing w:val="1"/>
          <w:sz w:val="13"/>
        </w:rPr>
        <w:t> </w:t>
      </w:r>
      <w:r>
        <w:rPr>
          <w:sz w:val="13"/>
        </w:rPr>
        <w:t>Association).</w:t>
      </w:r>
    </w:p>
    <w:p>
      <w:pPr>
        <w:pStyle w:val="ListParagraph"/>
        <w:numPr>
          <w:ilvl w:val="0"/>
          <w:numId w:val="118"/>
        </w:numPr>
        <w:tabs>
          <w:tab w:pos="1761" w:val="left" w:leader="none"/>
          <w:tab w:pos="1762" w:val="left" w:leader="none"/>
        </w:tabs>
        <w:spacing w:line="170" w:lineRule="exact" w:before="0" w:after="0"/>
        <w:ind w:left="1761" w:right="0" w:hanging="794"/>
        <w:jc w:val="left"/>
        <w:rPr>
          <w:sz w:val="13"/>
        </w:rPr>
      </w:pPr>
      <w:r>
        <w:rPr>
          <w:spacing w:val="2"/>
          <w:sz w:val="13"/>
        </w:rPr>
        <w:t>Submission </w:t>
      </w:r>
      <w:r>
        <w:rPr>
          <w:sz w:val="13"/>
        </w:rPr>
        <w:t>4 (Baer Arnold &amp;</w:t>
      </w:r>
      <w:r>
        <w:rPr>
          <w:spacing w:val="-1"/>
          <w:sz w:val="13"/>
        </w:rPr>
        <w:t> </w:t>
      </w:r>
      <w:r>
        <w:rPr>
          <w:sz w:val="13"/>
        </w:rPr>
        <w:t>Bonython).</w:t>
      </w:r>
    </w:p>
    <w:p>
      <w:pPr>
        <w:pStyle w:val="BodyText"/>
        <w:rPr>
          <w:sz w:val="28"/>
        </w:rPr>
      </w:pPr>
      <w:r>
        <w:rPr/>
        <w:br w:type="column"/>
      </w:r>
      <w:r>
        <w:rPr>
          <w:sz w:val="28"/>
        </w:rPr>
      </w:r>
    </w:p>
    <w:p>
      <w:pPr>
        <w:pStyle w:val="BodyText"/>
        <w:spacing w:before="8"/>
        <w:rPr>
          <w:sz w:val="33"/>
        </w:rPr>
      </w:pPr>
    </w:p>
    <w:p>
      <w:pPr>
        <w:spacing w:before="0"/>
        <w:ind w:left="967" w:right="0" w:firstLine="0"/>
        <w:jc w:val="left"/>
        <w:rPr>
          <w:b/>
          <w:sz w:val="24"/>
        </w:rPr>
      </w:pPr>
      <w:r>
        <w:rPr>
          <w:b/>
          <w:color w:val="37617A"/>
          <w:sz w:val="24"/>
        </w:rPr>
        <w:t>197</w:t>
      </w:r>
    </w:p>
    <w:p>
      <w:pPr>
        <w:spacing w:after="0"/>
        <w:jc w:val="left"/>
        <w:rPr>
          <w:sz w:val="24"/>
        </w:rPr>
        <w:sectPr>
          <w:type w:val="continuous"/>
          <w:pgSz w:w="11910" w:h="16840"/>
          <w:pgMar w:top="620" w:bottom="280" w:left="620" w:right="380"/>
          <w:cols w:num="2" w:equalWidth="0">
            <w:col w:w="8036" w:space="1296"/>
            <w:col w:w="1578"/>
          </w:cols>
        </w:sectPr>
      </w:pPr>
    </w:p>
    <w:p>
      <w:pPr>
        <w:pStyle w:val="BodyText"/>
        <w:rPr>
          <w:b/>
        </w:rPr>
      </w:pPr>
    </w:p>
    <w:p>
      <w:pPr>
        <w:pStyle w:val="BodyText"/>
        <w:rPr>
          <w:b/>
        </w:rPr>
      </w:pPr>
    </w:p>
    <w:p>
      <w:pPr>
        <w:pStyle w:val="BodyText"/>
        <w:rPr>
          <w:b/>
        </w:rPr>
      </w:pPr>
    </w:p>
    <w:p>
      <w:pPr>
        <w:pStyle w:val="Heading6"/>
        <w:spacing w:before="224"/>
        <w:rPr>
          <w:b/>
        </w:rPr>
      </w:pPr>
      <w:bookmarkStart w:name="_bookmark144" w:id="345"/>
      <w:bookmarkEnd w:id="345"/>
      <w:r>
        <w:rPr/>
      </w:r>
      <w:r>
        <w:rPr>
          <w:b/>
        </w:rPr>
        <w:t>Should the judge make a statement?</w:t>
      </w:r>
    </w:p>
    <w:p>
      <w:pPr>
        <w:pStyle w:val="ListParagraph"/>
        <w:numPr>
          <w:ilvl w:val="1"/>
          <w:numId w:val="12"/>
        </w:numPr>
        <w:tabs>
          <w:tab w:pos="1761" w:val="left" w:leader="none"/>
          <w:tab w:pos="1762" w:val="left" w:leader="none"/>
        </w:tabs>
        <w:spacing w:line="206" w:lineRule="auto" w:before="132" w:after="0"/>
        <w:ind w:left="1761" w:right="1299" w:hanging="794"/>
        <w:jc w:val="left"/>
        <w:rPr>
          <w:sz w:val="20"/>
        </w:rPr>
      </w:pPr>
      <w:r>
        <w:rPr>
          <w:sz w:val="20"/>
        </w:rPr>
        <w:t>The</w:t>
      </w:r>
      <w:r>
        <w:rPr>
          <w:spacing w:val="-10"/>
          <w:sz w:val="20"/>
        </w:rPr>
        <w:t> </w:t>
      </w:r>
      <w:r>
        <w:rPr>
          <w:sz w:val="20"/>
        </w:rPr>
        <w:t>intended</w:t>
      </w:r>
      <w:r>
        <w:rPr>
          <w:spacing w:val="-9"/>
          <w:sz w:val="20"/>
        </w:rPr>
        <w:t> </w:t>
      </w:r>
      <w:r>
        <w:rPr>
          <w:sz w:val="20"/>
        </w:rPr>
        <w:t>aim</w:t>
      </w:r>
      <w:r>
        <w:rPr>
          <w:spacing w:val="-9"/>
          <w:sz w:val="20"/>
        </w:rPr>
        <w:t> </w:t>
      </w:r>
      <w:r>
        <w:rPr>
          <w:sz w:val="20"/>
        </w:rPr>
        <w:t>of</w:t>
      </w:r>
      <w:r>
        <w:rPr>
          <w:spacing w:val="-9"/>
          <w:sz w:val="20"/>
        </w:rPr>
        <w:t> </w:t>
      </w:r>
      <w:r>
        <w:rPr>
          <w:sz w:val="20"/>
        </w:rPr>
        <w:t>this</w:t>
      </w:r>
      <w:r>
        <w:rPr>
          <w:spacing w:val="-9"/>
          <w:sz w:val="20"/>
        </w:rPr>
        <w:t> </w:t>
      </w:r>
      <w:r>
        <w:rPr>
          <w:sz w:val="20"/>
        </w:rPr>
        <w:t>idea</w:t>
      </w:r>
      <w:r>
        <w:rPr>
          <w:spacing w:val="-9"/>
          <w:sz w:val="20"/>
        </w:rPr>
        <w:t> </w:t>
      </w:r>
      <w:r>
        <w:rPr>
          <w:sz w:val="20"/>
        </w:rPr>
        <w:t>was</w:t>
      </w:r>
      <w:r>
        <w:rPr>
          <w:spacing w:val="-10"/>
          <w:sz w:val="20"/>
        </w:rPr>
        <w:t> </w:t>
      </w:r>
      <w:r>
        <w:rPr>
          <w:sz w:val="20"/>
        </w:rPr>
        <w:t>that</w:t>
      </w:r>
      <w:r>
        <w:rPr>
          <w:spacing w:val="-9"/>
          <w:sz w:val="20"/>
        </w:rPr>
        <w:t> </w:t>
      </w:r>
      <w:r>
        <w:rPr>
          <w:sz w:val="20"/>
        </w:rPr>
        <w:t>a</w:t>
      </w:r>
      <w:r>
        <w:rPr>
          <w:spacing w:val="-9"/>
          <w:sz w:val="20"/>
        </w:rPr>
        <w:t> </w:t>
      </w:r>
      <w:r>
        <w:rPr>
          <w:sz w:val="20"/>
        </w:rPr>
        <w:t>statement</w:t>
      </w:r>
      <w:r>
        <w:rPr>
          <w:spacing w:val="-9"/>
          <w:sz w:val="20"/>
        </w:rPr>
        <w:t> </w:t>
      </w:r>
      <w:r>
        <w:rPr>
          <w:spacing w:val="-3"/>
          <w:sz w:val="20"/>
        </w:rPr>
        <w:t>by</w:t>
      </w:r>
      <w:r>
        <w:rPr>
          <w:spacing w:val="-9"/>
          <w:sz w:val="20"/>
        </w:rPr>
        <w:t> </w:t>
      </w:r>
      <w:r>
        <w:rPr>
          <w:sz w:val="20"/>
        </w:rPr>
        <w:t>the</w:t>
      </w:r>
      <w:r>
        <w:rPr>
          <w:spacing w:val="-9"/>
          <w:sz w:val="20"/>
        </w:rPr>
        <w:t> </w:t>
      </w:r>
      <w:r>
        <w:rPr>
          <w:sz w:val="20"/>
        </w:rPr>
        <w:t>judge</w:t>
      </w:r>
      <w:r>
        <w:rPr>
          <w:spacing w:val="-10"/>
          <w:sz w:val="20"/>
        </w:rPr>
        <w:t> </w:t>
      </w:r>
      <w:r>
        <w:rPr>
          <w:sz w:val="20"/>
        </w:rPr>
        <w:t>could</w:t>
      </w:r>
      <w:r>
        <w:rPr>
          <w:spacing w:val="-9"/>
          <w:sz w:val="20"/>
        </w:rPr>
        <w:t> </w:t>
      </w:r>
      <w:r>
        <w:rPr>
          <w:spacing w:val="-3"/>
          <w:sz w:val="20"/>
        </w:rPr>
        <w:t>provide</w:t>
      </w:r>
      <w:r>
        <w:rPr>
          <w:spacing w:val="-9"/>
          <w:sz w:val="20"/>
        </w:rPr>
        <w:t> </w:t>
      </w:r>
      <w:r>
        <w:rPr>
          <w:sz w:val="20"/>
        </w:rPr>
        <w:t>a</w:t>
      </w:r>
      <w:r>
        <w:rPr>
          <w:spacing w:val="-9"/>
          <w:sz w:val="20"/>
        </w:rPr>
        <w:t> </w:t>
      </w:r>
      <w:r>
        <w:rPr>
          <w:sz w:val="20"/>
        </w:rPr>
        <w:t>useful </w:t>
      </w:r>
      <w:r>
        <w:rPr>
          <w:spacing w:val="-3"/>
          <w:sz w:val="20"/>
        </w:rPr>
        <w:t>reinforcement </w:t>
      </w:r>
      <w:r>
        <w:rPr>
          <w:sz w:val="20"/>
        </w:rPr>
        <w:t>of the principles of equity and inclusion. This proposal </w:t>
      </w:r>
      <w:r>
        <w:rPr>
          <w:spacing w:val="-3"/>
          <w:sz w:val="20"/>
        </w:rPr>
        <w:t>received </w:t>
      </w:r>
      <w:r>
        <w:rPr>
          <w:sz w:val="20"/>
        </w:rPr>
        <w:t>limited support.</w:t>
      </w:r>
      <w:r>
        <w:rPr>
          <w:position w:val="7"/>
          <w:sz w:val="11"/>
        </w:rPr>
        <w:t>45 </w:t>
      </w:r>
      <w:r>
        <w:rPr>
          <w:sz w:val="20"/>
        </w:rPr>
        <w:t>Most disability </w:t>
      </w:r>
      <w:r>
        <w:rPr>
          <w:spacing w:val="-3"/>
          <w:sz w:val="20"/>
        </w:rPr>
        <w:t>advocates </w:t>
      </w:r>
      <w:r>
        <w:rPr>
          <w:sz w:val="20"/>
        </w:rPr>
        <w:t>did not support a judicial statement because it </w:t>
      </w:r>
      <w:r>
        <w:rPr>
          <w:spacing w:val="-3"/>
          <w:sz w:val="20"/>
        </w:rPr>
        <w:t>would</w:t>
      </w:r>
      <w:r>
        <w:rPr>
          <w:spacing w:val="-6"/>
          <w:sz w:val="20"/>
        </w:rPr>
        <w:t> </w:t>
      </w:r>
      <w:r>
        <w:rPr>
          <w:spacing w:val="-3"/>
          <w:sz w:val="20"/>
        </w:rPr>
        <w:t>draw</w:t>
      </w:r>
      <w:r>
        <w:rPr>
          <w:spacing w:val="-5"/>
          <w:sz w:val="20"/>
        </w:rPr>
        <w:t> </w:t>
      </w:r>
      <w:r>
        <w:rPr>
          <w:sz w:val="20"/>
        </w:rPr>
        <w:t>too</w:t>
      </w:r>
      <w:r>
        <w:rPr>
          <w:spacing w:val="-5"/>
          <w:sz w:val="20"/>
        </w:rPr>
        <w:t> </w:t>
      </w:r>
      <w:r>
        <w:rPr>
          <w:sz w:val="20"/>
        </w:rPr>
        <w:t>much</w:t>
      </w:r>
      <w:r>
        <w:rPr>
          <w:spacing w:val="-5"/>
          <w:sz w:val="20"/>
        </w:rPr>
        <w:t> </w:t>
      </w:r>
      <w:r>
        <w:rPr>
          <w:sz w:val="20"/>
        </w:rPr>
        <w:t>attention</w:t>
      </w:r>
      <w:r>
        <w:rPr>
          <w:spacing w:val="-5"/>
          <w:sz w:val="20"/>
        </w:rPr>
        <w:t> </w:t>
      </w:r>
      <w:r>
        <w:rPr>
          <w:sz w:val="20"/>
        </w:rPr>
        <w:t>to</w:t>
      </w:r>
      <w:r>
        <w:rPr>
          <w:spacing w:val="-5"/>
          <w:sz w:val="20"/>
        </w:rPr>
        <w:t> </w:t>
      </w:r>
      <w:r>
        <w:rPr>
          <w:sz w:val="20"/>
        </w:rPr>
        <w:t>the</w:t>
      </w:r>
      <w:r>
        <w:rPr>
          <w:spacing w:val="-6"/>
          <w:sz w:val="20"/>
        </w:rPr>
        <w:t> </w:t>
      </w:r>
      <w:r>
        <w:rPr>
          <w:sz w:val="20"/>
        </w:rPr>
        <w:t>person</w:t>
      </w:r>
      <w:r>
        <w:rPr>
          <w:spacing w:val="-5"/>
          <w:sz w:val="20"/>
        </w:rPr>
        <w:t> </w:t>
      </w:r>
      <w:r>
        <w:rPr>
          <w:sz w:val="20"/>
        </w:rPr>
        <w:t>with</w:t>
      </w:r>
      <w:r>
        <w:rPr>
          <w:spacing w:val="-5"/>
          <w:sz w:val="20"/>
        </w:rPr>
        <w:t> </w:t>
      </w:r>
      <w:r>
        <w:rPr>
          <w:sz w:val="20"/>
        </w:rPr>
        <w:t>disability.</w:t>
      </w:r>
    </w:p>
    <w:p>
      <w:pPr>
        <w:pStyle w:val="ListParagraph"/>
        <w:numPr>
          <w:ilvl w:val="1"/>
          <w:numId w:val="12"/>
        </w:numPr>
        <w:tabs>
          <w:tab w:pos="1761" w:val="left" w:leader="none"/>
          <w:tab w:pos="1762" w:val="left" w:leader="none"/>
        </w:tabs>
        <w:spacing w:line="206" w:lineRule="auto" w:before="125" w:after="0"/>
        <w:ind w:left="1761" w:right="1214" w:hanging="794"/>
        <w:jc w:val="left"/>
        <w:rPr>
          <w:sz w:val="20"/>
        </w:rPr>
      </w:pPr>
      <w:r>
        <w:rPr>
          <w:sz w:val="20"/>
        </w:rPr>
        <w:t>Legal</w:t>
      </w:r>
      <w:r>
        <w:rPr>
          <w:spacing w:val="-11"/>
          <w:sz w:val="20"/>
        </w:rPr>
        <w:t> </w:t>
      </w:r>
      <w:r>
        <w:rPr>
          <w:sz w:val="20"/>
        </w:rPr>
        <w:t>professionals</w:t>
      </w:r>
      <w:r>
        <w:rPr>
          <w:spacing w:val="-11"/>
          <w:sz w:val="20"/>
        </w:rPr>
        <w:t> </w:t>
      </w:r>
      <w:r>
        <w:rPr>
          <w:spacing w:val="-4"/>
          <w:sz w:val="20"/>
        </w:rPr>
        <w:t>were</w:t>
      </w:r>
      <w:r>
        <w:rPr>
          <w:spacing w:val="-10"/>
          <w:sz w:val="20"/>
        </w:rPr>
        <w:t> </w:t>
      </w:r>
      <w:r>
        <w:rPr>
          <w:sz w:val="20"/>
        </w:rPr>
        <w:t>opposed</w:t>
      </w:r>
      <w:r>
        <w:rPr>
          <w:spacing w:val="-11"/>
          <w:sz w:val="20"/>
        </w:rPr>
        <w:t> </w:t>
      </w:r>
      <w:r>
        <w:rPr>
          <w:sz w:val="20"/>
        </w:rPr>
        <w:t>to</w:t>
      </w:r>
      <w:r>
        <w:rPr>
          <w:spacing w:val="-10"/>
          <w:sz w:val="20"/>
        </w:rPr>
        <w:t> </w:t>
      </w:r>
      <w:r>
        <w:rPr>
          <w:sz w:val="20"/>
        </w:rPr>
        <w:t>it</w:t>
      </w:r>
      <w:r>
        <w:rPr>
          <w:spacing w:val="-11"/>
          <w:sz w:val="20"/>
        </w:rPr>
        <w:t> </w:t>
      </w:r>
      <w:r>
        <w:rPr>
          <w:sz w:val="20"/>
        </w:rPr>
        <w:t>on</w:t>
      </w:r>
      <w:r>
        <w:rPr>
          <w:spacing w:val="-10"/>
          <w:sz w:val="20"/>
        </w:rPr>
        <w:t> </w:t>
      </w:r>
      <w:r>
        <w:rPr>
          <w:sz w:val="20"/>
        </w:rPr>
        <w:t>the</w:t>
      </w:r>
      <w:r>
        <w:rPr>
          <w:spacing w:val="-11"/>
          <w:sz w:val="20"/>
        </w:rPr>
        <w:t> </w:t>
      </w:r>
      <w:r>
        <w:rPr>
          <w:sz w:val="20"/>
        </w:rPr>
        <w:t>grounds</w:t>
      </w:r>
      <w:r>
        <w:rPr>
          <w:spacing w:val="-10"/>
          <w:sz w:val="20"/>
        </w:rPr>
        <w:t> </w:t>
      </w:r>
      <w:r>
        <w:rPr>
          <w:sz w:val="20"/>
        </w:rPr>
        <w:t>that</w:t>
      </w:r>
      <w:r>
        <w:rPr>
          <w:spacing w:val="-11"/>
          <w:sz w:val="20"/>
        </w:rPr>
        <w:t> </w:t>
      </w:r>
      <w:r>
        <w:rPr>
          <w:sz w:val="20"/>
        </w:rPr>
        <w:t>it</w:t>
      </w:r>
      <w:r>
        <w:rPr>
          <w:spacing w:val="-10"/>
          <w:sz w:val="20"/>
        </w:rPr>
        <w:t> </w:t>
      </w:r>
      <w:r>
        <w:rPr>
          <w:spacing w:val="-3"/>
          <w:sz w:val="20"/>
        </w:rPr>
        <w:t>would</w:t>
      </w:r>
      <w:r>
        <w:rPr>
          <w:spacing w:val="-11"/>
          <w:sz w:val="20"/>
        </w:rPr>
        <w:t> </w:t>
      </w:r>
      <w:r>
        <w:rPr>
          <w:sz w:val="20"/>
        </w:rPr>
        <w:t>be</w:t>
      </w:r>
      <w:r>
        <w:rPr>
          <w:spacing w:val="-10"/>
          <w:sz w:val="20"/>
        </w:rPr>
        <w:t> </w:t>
      </w:r>
      <w:r>
        <w:rPr>
          <w:sz w:val="20"/>
        </w:rPr>
        <w:t>ineffectual,</w:t>
      </w:r>
      <w:r>
        <w:rPr>
          <w:spacing w:val="-11"/>
          <w:sz w:val="20"/>
        </w:rPr>
        <w:t> </w:t>
      </w:r>
      <w:r>
        <w:rPr>
          <w:sz w:val="20"/>
        </w:rPr>
        <w:t>or</w:t>
      </w:r>
      <w:r>
        <w:rPr>
          <w:spacing w:val="-10"/>
          <w:sz w:val="20"/>
        </w:rPr>
        <w:t> </w:t>
      </w:r>
      <w:r>
        <w:rPr>
          <w:sz w:val="20"/>
        </w:rPr>
        <w:t>at least its effectiveness could not be measured,</w:t>
      </w:r>
      <w:r>
        <w:rPr>
          <w:spacing w:val="-37"/>
          <w:sz w:val="20"/>
        </w:rPr>
        <w:t> </w:t>
      </w:r>
      <w:r>
        <w:rPr>
          <w:sz w:val="20"/>
        </w:rPr>
        <w:t>because:</w:t>
      </w:r>
    </w:p>
    <w:p>
      <w:pPr>
        <w:pStyle w:val="ListParagraph"/>
        <w:numPr>
          <w:ilvl w:val="2"/>
          <w:numId w:val="12"/>
        </w:numPr>
        <w:tabs>
          <w:tab w:pos="2157" w:val="left" w:leader="none"/>
          <w:tab w:pos="2158" w:val="left" w:leader="none"/>
        </w:tabs>
        <w:spacing w:line="240" w:lineRule="auto" w:before="91" w:after="0"/>
        <w:ind w:left="2157" w:right="0" w:hanging="396"/>
        <w:jc w:val="left"/>
        <w:rPr>
          <w:sz w:val="20"/>
        </w:rPr>
      </w:pPr>
      <w:r>
        <w:rPr>
          <w:sz w:val="20"/>
        </w:rPr>
        <w:t>the</w:t>
      </w:r>
      <w:r>
        <w:rPr>
          <w:spacing w:val="-5"/>
          <w:sz w:val="20"/>
        </w:rPr>
        <w:t> </w:t>
      </w:r>
      <w:r>
        <w:rPr>
          <w:sz w:val="20"/>
        </w:rPr>
        <w:t>accused</w:t>
      </w:r>
      <w:r>
        <w:rPr>
          <w:spacing w:val="-5"/>
          <w:sz w:val="20"/>
        </w:rPr>
        <w:t> </w:t>
      </w:r>
      <w:r>
        <w:rPr>
          <w:sz w:val="20"/>
        </w:rPr>
        <w:t>does</w:t>
      </w:r>
      <w:r>
        <w:rPr>
          <w:spacing w:val="-5"/>
          <w:sz w:val="20"/>
        </w:rPr>
        <w:t> </w:t>
      </w:r>
      <w:r>
        <w:rPr>
          <w:sz w:val="20"/>
        </w:rPr>
        <w:t>not</w:t>
      </w:r>
      <w:r>
        <w:rPr>
          <w:spacing w:val="-5"/>
          <w:sz w:val="20"/>
        </w:rPr>
        <w:t> </w:t>
      </w:r>
      <w:r>
        <w:rPr>
          <w:sz w:val="20"/>
        </w:rPr>
        <w:t>need</w:t>
      </w:r>
      <w:r>
        <w:rPr>
          <w:spacing w:val="-5"/>
          <w:sz w:val="20"/>
        </w:rPr>
        <w:t> </w:t>
      </w:r>
      <w:r>
        <w:rPr>
          <w:sz w:val="20"/>
        </w:rPr>
        <w:t>to</w:t>
      </w:r>
      <w:r>
        <w:rPr>
          <w:spacing w:val="-5"/>
          <w:sz w:val="20"/>
        </w:rPr>
        <w:t> </w:t>
      </w:r>
      <w:r>
        <w:rPr>
          <w:spacing w:val="-3"/>
          <w:sz w:val="20"/>
        </w:rPr>
        <w:t>provide</w:t>
      </w:r>
      <w:r>
        <w:rPr>
          <w:spacing w:val="-5"/>
          <w:sz w:val="20"/>
        </w:rPr>
        <w:t> </w:t>
      </w:r>
      <w:r>
        <w:rPr>
          <w:sz w:val="20"/>
        </w:rPr>
        <w:t>reasons</w:t>
      </w:r>
      <w:r>
        <w:rPr>
          <w:spacing w:val="-5"/>
          <w:sz w:val="20"/>
        </w:rPr>
        <w:t> </w:t>
      </w:r>
      <w:r>
        <w:rPr>
          <w:sz w:val="20"/>
        </w:rPr>
        <w:t>for</w:t>
      </w:r>
      <w:r>
        <w:rPr>
          <w:spacing w:val="-5"/>
          <w:sz w:val="20"/>
        </w:rPr>
        <w:t> </w:t>
      </w:r>
      <w:r>
        <w:rPr>
          <w:spacing w:val="-3"/>
          <w:sz w:val="20"/>
        </w:rPr>
        <w:t>exercising</w:t>
      </w:r>
      <w:r>
        <w:rPr>
          <w:spacing w:val="-5"/>
          <w:sz w:val="20"/>
        </w:rPr>
        <w:t> </w:t>
      </w:r>
      <w:r>
        <w:rPr>
          <w:sz w:val="20"/>
        </w:rPr>
        <w:t>challenges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challenges can be </w:t>
      </w:r>
      <w:r>
        <w:rPr>
          <w:spacing w:val="-3"/>
          <w:sz w:val="20"/>
        </w:rPr>
        <w:t>exercised </w:t>
      </w:r>
      <w:r>
        <w:rPr>
          <w:sz w:val="20"/>
        </w:rPr>
        <w:t>on </w:t>
      </w:r>
      <w:r>
        <w:rPr>
          <w:spacing w:val="-3"/>
          <w:sz w:val="20"/>
        </w:rPr>
        <w:t>any</w:t>
      </w:r>
      <w:r>
        <w:rPr>
          <w:spacing w:val="-23"/>
          <w:sz w:val="20"/>
        </w:rPr>
        <w:t> </w:t>
      </w:r>
      <w:r>
        <w:rPr>
          <w:sz w:val="20"/>
        </w:rPr>
        <w:t>grounds.</w:t>
      </w:r>
    </w:p>
    <w:p>
      <w:pPr>
        <w:pStyle w:val="ListParagraph"/>
        <w:numPr>
          <w:ilvl w:val="1"/>
          <w:numId w:val="12"/>
        </w:numPr>
        <w:tabs>
          <w:tab w:pos="1761" w:val="left" w:leader="none"/>
          <w:tab w:pos="1762" w:val="left" w:leader="none"/>
        </w:tabs>
        <w:spacing w:line="240" w:lineRule="auto" w:before="47" w:after="0"/>
        <w:ind w:left="1761" w:right="0" w:hanging="794"/>
        <w:jc w:val="left"/>
        <w:rPr>
          <w:sz w:val="20"/>
        </w:rPr>
      </w:pPr>
      <w:r>
        <w:rPr>
          <w:sz w:val="20"/>
        </w:rPr>
        <w:t>Consultees</w:t>
      </w:r>
      <w:r>
        <w:rPr>
          <w:spacing w:val="-5"/>
          <w:sz w:val="20"/>
        </w:rPr>
        <w:t> </w:t>
      </w:r>
      <w:r>
        <w:rPr>
          <w:spacing w:val="-3"/>
          <w:sz w:val="20"/>
        </w:rPr>
        <w:t>from</w:t>
      </w:r>
      <w:r>
        <w:rPr>
          <w:spacing w:val="-5"/>
          <w:sz w:val="20"/>
        </w:rPr>
        <w:t> </w:t>
      </w:r>
      <w:r>
        <w:rPr>
          <w:sz w:val="20"/>
        </w:rPr>
        <w:t>the</w:t>
      </w:r>
      <w:r>
        <w:rPr>
          <w:spacing w:val="-5"/>
          <w:sz w:val="20"/>
        </w:rPr>
        <w:t> </w:t>
      </w:r>
      <w:r>
        <w:rPr>
          <w:sz w:val="20"/>
        </w:rPr>
        <w:t>Supreme</w:t>
      </w:r>
      <w:r>
        <w:rPr>
          <w:spacing w:val="-5"/>
          <w:sz w:val="20"/>
        </w:rPr>
        <w:t> </w:t>
      </w:r>
      <w:r>
        <w:rPr>
          <w:sz w:val="20"/>
        </w:rPr>
        <w:t>Court</w:t>
      </w:r>
      <w:r>
        <w:rPr>
          <w:spacing w:val="-5"/>
          <w:sz w:val="20"/>
        </w:rPr>
        <w:t> </w:t>
      </w:r>
      <w:r>
        <w:rPr>
          <w:sz w:val="20"/>
        </w:rPr>
        <w:t>opposed</w:t>
      </w:r>
      <w:r>
        <w:rPr>
          <w:spacing w:val="-5"/>
          <w:sz w:val="20"/>
        </w:rPr>
        <w:t> </w:t>
      </w:r>
      <w:r>
        <w:rPr>
          <w:sz w:val="20"/>
        </w:rPr>
        <w:t>the</w:t>
      </w:r>
      <w:r>
        <w:rPr>
          <w:spacing w:val="-4"/>
          <w:sz w:val="20"/>
        </w:rPr>
        <w:t> </w:t>
      </w:r>
      <w:r>
        <w:rPr>
          <w:sz w:val="20"/>
        </w:rPr>
        <w:t>idea,</w:t>
      </w:r>
      <w:r>
        <w:rPr>
          <w:spacing w:val="-5"/>
          <w:sz w:val="20"/>
        </w:rPr>
        <w:t> </w:t>
      </w:r>
      <w:r>
        <w:rPr>
          <w:sz w:val="20"/>
        </w:rPr>
        <w:t>noting</w:t>
      </w:r>
      <w:r>
        <w:rPr>
          <w:spacing w:val="-5"/>
          <w:sz w:val="20"/>
        </w:rPr>
        <w:t> </w:t>
      </w:r>
      <w:r>
        <w:rPr>
          <w:sz w:val="20"/>
        </w:rPr>
        <w:t>that:</w:t>
      </w:r>
    </w:p>
    <w:p>
      <w:pPr>
        <w:spacing w:line="208" w:lineRule="auto" w:before="113"/>
        <w:ind w:left="2157" w:right="1444" w:firstLine="0"/>
        <w:jc w:val="left"/>
        <w:rPr>
          <w:sz w:val="11"/>
        </w:rPr>
      </w:pPr>
      <w:r>
        <w:rPr>
          <w:sz w:val="19"/>
        </w:rPr>
        <w:t>one or more forms of discrimination would likely be unintentionally left out. The only real way to ensure that peremptory challenges are not used on the basis of misconceptions of the abilities of jurors with hearing or vision loss is to educate the legal profession.</w:t>
      </w:r>
      <w:r>
        <w:rPr>
          <w:position w:val="6"/>
          <w:sz w:val="11"/>
        </w:rPr>
        <w:t>46</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The</w:t>
      </w:r>
      <w:r>
        <w:rPr>
          <w:spacing w:val="-5"/>
          <w:sz w:val="20"/>
        </w:rPr>
        <w:t> </w:t>
      </w:r>
      <w:r>
        <w:rPr>
          <w:sz w:val="20"/>
        </w:rPr>
        <w:t>view</w:t>
      </w:r>
      <w:r>
        <w:rPr>
          <w:spacing w:val="-5"/>
          <w:sz w:val="20"/>
        </w:rPr>
        <w:t> </w:t>
      </w:r>
      <w:r>
        <w:rPr>
          <w:sz w:val="20"/>
        </w:rPr>
        <w:t>of</w:t>
      </w:r>
      <w:r>
        <w:rPr>
          <w:spacing w:val="-5"/>
          <w:sz w:val="20"/>
        </w:rPr>
        <w:t> </w:t>
      </w:r>
      <w:r>
        <w:rPr>
          <w:sz w:val="20"/>
        </w:rPr>
        <w:t>a</w:t>
      </w:r>
      <w:r>
        <w:rPr>
          <w:spacing w:val="-4"/>
          <w:sz w:val="20"/>
        </w:rPr>
        <w:t> </w:t>
      </w:r>
      <w:r>
        <w:rPr>
          <w:sz w:val="20"/>
        </w:rPr>
        <w:t>consultation</w:t>
      </w:r>
      <w:r>
        <w:rPr>
          <w:spacing w:val="-5"/>
          <w:sz w:val="20"/>
        </w:rPr>
        <w:t> </w:t>
      </w:r>
      <w:r>
        <w:rPr>
          <w:sz w:val="20"/>
        </w:rPr>
        <w:t>participant</w:t>
      </w:r>
      <w:r>
        <w:rPr>
          <w:spacing w:val="-5"/>
          <w:sz w:val="20"/>
        </w:rPr>
        <w:t> </w:t>
      </w:r>
      <w:r>
        <w:rPr>
          <w:spacing w:val="-3"/>
          <w:sz w:val="20"/>
        </w:rPr>
        <w:t>from</w:t>
      </w:r>
      <w:r>
        <w:rPr>
          <w:spacing w:val="-4"/>
          <w:sz w:val="20"/>
        </w:rPr>
        <w:t> </w:t>
      </w:r>
      <w:r>
        <w:rPr>
          <w:sz w:val="20"/>
        </w:rPr>
        <w:t>the</w:t>
      </w:r>
      <w:r>
        <w:rPr>
          <w:spacing w:val="-5"/>
          <w:sz w:val="20"/>
        </w:rPr>
        <w:t> </w:t>
      </w:r>
      <w:r>
        <w:rPr>
          <w:sz w:val="20"/>
        </w:rPr>
        <w:t>LIV</w:t>
      </w:r>
      <w:r>
        <w:rPr>
          <w:spacing w:val="-5"/>
          <w:sz w:val="20"/>
        </w:rPr>
        <w:t> </w:t>
      </w:r>
      <w:r>
        <w:rPr>
          <w:sz w:val="20"/>
        </w:rPr>
        <w:t>was</w:t>
      </w:r>
      <w:r>
        <w:rPr>
          <w:spacing w:val="-4"/>
          <w:sz w:val="20"/>
        </w:rPr>
        <w:t> </w:t>
      </w:r>
      <w:r>
        <w:rPr>
          <w:sz w:val="20"/>
        </w:rPr>
        <w:t>that:</w:t>
      </w:r>
    </w:p>
    <w:p>
      <w:pPr>
        <w:spacing w:line="208" w:lineRule="auto" w:before="113"/>
        <w:ind w:left="2157" w:right="1189" w:firstLine="0"/>
        <w:jc w:val="left"/>
        <w:rPr>
          <w:sz w:val="11"/>
        </w:rPr>
      </w:pPr>
      <w:r>
        <w:rPr>
          <w:sz w:val="19"/>
        </w:rPr>
        <w:t>it might be more practical/beneficial instead to educate barristers, parties, and jurors about the capabilities of a person with a disability to serve as a juror and how supports work. The judge could read out a statement to the Court. Barristers need to better understand that having sensory disability does not mean that the person has any issues with their cognitive abilities. In fact, people who are deaf/blind may well bring unique skills that would benefit a jury. This approach might mean less challenges are made on the ground of disability later on (it might not too).</w:t>
      </w:r>
      <w:r>
        <w:rPr>
          <w:position w:val="6"/>
          <w:sz w:val="11"/>
        </w:rPr>
        <w:t>47</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z w:val="20"/>
        </w:rPr>
        <w:t>The</w:t>
      </w:r>
      <w:r>
        <w:rPr>
          <w:spacing w:val="-6"/>
          <w:sz w:val="20"/>
        </w:rPr>
        <w:t> </w:t>
      </w:r>
      <w:r>
        <w:rPr>
          <w:sz w:val="20"/>
        </w:rPr>
        <w:t>view</w:t>
      </w:r>
      <w:r>
        <w:rPr>
          <w:spacing w:val="-5"/>
          <w:sz w:val="20"/>
        </w:rPr>
        <w:t> </w:t>
      </w:r>
      <w:r>
        <w:rPr>
          <w:sz w:val="20"/>
        </w:rPr>
        <w:t>of</w:t>
      </w:r>
      <w:r>
        <w:rPr>
          <w:spacing w:val="-6"/>
          <w:sz w:val="20"/>
        </w:rPr>
        <w:t> </w:t>
      </w:r>
      <w:r>
        <w:rPr>
          <w:sz w:val="20"/>
        </w:rPr>
        <w:t>consultees</w:t>
      </w:r>
      <w:r>
        <w:rPr>
          <w:spacing w:val="-5"/>
          <w:sz w:val="20"/>
        </w:rPr>
        <w:t> </w:t>
      </w:r>
      <w:r>
        <w:rPr>
          <w:spacing w:val="-3"/>
          <w:sz w:val="20"/>
        </w:rPr>
        <w:t>from</w:t>
      </w:r>
      <w:r>
        <w:rPr>
          <w:spacing w:val="-6"/>
          <w:sz w:val="20"/>
        </w:rPr>
        <w:t> </w:t>
      </w:r>
      <w:r>
        <w:rPr>
          <w:sz w:val="20"/>
        </w:rPr>
        <w:t>the</w:t>
      </w:r>
      <w:r>
        <w:rPr>
          <w:spacing w:val="-5"/>
          <w:sz w:val="20"/>
        </w:rPr>
        <w:t> </w:t>
      </w:r>
      <w:r>
        <w:rPr>
          <w:sz w:val="20"/>
        </w:rPr>
        <w:t>Victorian</w:t>
      </w:r>
      <w:r>
        <w:rPr>
          <w:spacing w:val="-6"/>
          <w:sz w:val="20"/>
        </w:rPr>
        <w:t> </w:t>
      </w:r>
      <w:r>
        <w:rPr>
          <w:sz w:val="20"/>
        </w:rPr>
        <w:t>Criminal</w:t>
      </w:r>
      <w:r>
        <w:rPr>
          <w:spacing w:val="-5"/>
          <w:sz w:val="20"/>
        </w:rPr>
        <w:t> </w:t>
      </w:r>
      <w:r>
        <w:rPr>
          <w:sz w:val="20"/>
        </w:rPr>
        <w:t>Bar</w:t>
      </w:r>
      <w:r>
        <w:rPr>
          <w:spacing w:val="-5"/>
          <w:sz w:val="20"/>
        </w:rPr>
        <w:t> </w:t>
      </w:r>
      <w:r>
        <w:rPr>
          <w:sz w:val="20"/>
        </w:rPr>
        <w:t>Association</w:t>
      </w:r>
      <w:r>
        <w:rPr>
          <w:spacing w:val="-6"/>
          <w:sz w:val="20"/>
        </w:rPr>
        <w:t> </w:t>
      </w:r>
      <w:r>
        <w:rPr>
          <w:sz w:val="20"/>
        </w:rPr>
        <w:t>was</w:t>
      </w:r>
      <w:r>
        <w:rPr>
          <w:spacing w:val="-5"/>
          <w:sz w:val="20"/>
        </w:rPr>
        <w:t> </w:t>
      </w:r>
      <w:r>
        <w:rPr>
          <w:sz w:val="20"/>
        </w:rPr>
        <w:t>that:</w:t>
      </w:r>
    </w:p>
    <w:p>
      <w:pPr>
        <w:spacing w:line="208" w:lineRule="auto" w:before="113"/>
        <w:ind w:left="2157" w:right="1335" w:firstLine="0"/>
        <w:jc w:val="left"/>
        <w:rPr>
          <w:sz w:val="11"/>
        </w:rPr>
      </w:pPr>
      <w:r>
        <w:rPr>
          <w:sz w:val="19"/>
        </w:rPr>
        <w:t>It is probably unwise for the judge to make a comment about not exercising the challenge on a discriminatory ground. It is better not to draw attention to the point at all.</w:t>
      </w:r>
      <w:r>
        <w:rPr>
          <w:position w:val="6"/>
          <w:sz w:val="11"/>
        </w:rPr>
        <w:t>48</w:t>
      </w:r>
    </w:p>
    <w:p>
      <w:pPr>
        <w:pStyle w:val="ListParagraph"/>
        <w:numPr>
          <w:ilvl w:val="1"/>
          <w:numId w:val="12"/>
        </w:numPr>
        <w:tabs>
          <w:tab w:pos="1761" w:val="left" w:leader="none"/>
          <w:tab w:pos="1762" w:val="left" w:leader="none"/>
        </w:tabs>
        <w:spacing w:line="206" w:lineRule="auto" w:before="124" w:after="0"/>
        <w:ind w:left="1761" w:right="1373" w:hanging="794"/>
        <w:jc w:val="left"/>
        <w:rPr>
          <w:sz w:val="11"/>
        </w:rPr>
      </w:pPr>
      <w:r>
        <w:rPr>
          <w:sz w:val="20"/>
        </w:rPr>
        <w:t>In</w:t>
      </w:r>
      <w:r>
        <w:rPr>
          <w:spacing w:val="-11"/>
          <w:sz w:val="20"/>
        </w:rPr>
        <w:t> </w:t>
      </w:r>
      <w:r>
        <w:rPr>
          <w:sz w:val="20"/>
        </w:rPr>
        <w:t>the</w:t>
      </w:r>
      <w:r>
        <w:rPr>
          <w:spacing w:val="-11"/>
          <w:sz w:val="20"/>
        </w:rPr>
        <w:t> </w:t>
      </w:r>
      <w:r>
        <w:rPr>
          <w:sz w:val="20"/>
        </w:rPr>
        <w:t>United</w:t>
      </w:r>
      <w:r>
        <w:rPr>
          <w:spacing w:val="-11"/>
          <w:sz w:val="20"/>
        </w:rPr>
        <w:t> </w:t>
      </w:r>
      <w:r>
        <w:rPr>
          <w:sz w:val="20"/>
        </w:rPr>
        <w:t>States,</w:t>
      </w:r>
      <w:r>
        <w:rPr>
          <w:spacing w:val="-11"/>
          <w:sz w:val="20"/>
        </w:rPr>
        <w:t> </w:t>
      </w:r>
      <w:r>
        <w:rPr>
          <w:sz w:val="20"/>
        </w:rPr>
        <w:t>where</w:t>
      </w:r>
      <w:r>
        <w:rPr>
          <w:spacing w:val="-11"/>
          <w:sz w:val="20"/>
        </w:rPr>
        <w:t> </w:t>
      </w:r>
      <w:r>
        <w:rPr>
          <w:sz w:val="20"/>
        </w:rPr>
        <w:t>people</w:t>
      </w:r>
      <w:r>
        <w:rPr>
          <w:spacing w:val="-11"/>
          <w:sz w:val="20"/>
        </w:rPr>
        <w:t> </w:t>
      </w:r>
      <w:r>
        <w:rPr>
          <w:sz w:val="20"/>
        </w:rPr>
        <w:t>with</w:t>
      </w:r>
      <w:r>
        <w:rPr>
          <w:spacing w:val="-11"/>
          <w:sz w:val="20"/>
        </w:rPr>
        <w:t> </w:t>
      </w:r>
      <w:r>
        <w:rPr>
          <w:sz w:val="20"/>
        </w:rPr>
        <w:t>disabilities</w:t>
      </w:r>
      <w:r>
        <w:rPr>
          <w:spacing w:val="-11"/>
          <w:sz w:val="20"/>
        </w:rPr>
        <w:t> </w:t>
      </w:r>
      <w:r>
        <w:rPr>
          <w:spacing w:val="-4"/>
          <w:sz w:val="20"/>
        </w:rPr>
        <w:t>have</w:t>
      </w:r>
      <w:r>
        <w:rPr>
          <w:spacing w:val="-11"/>
          <w:sz w:val="20"/>
        </w:rPr>
        <w:t> </w:t>
      </w:r>
      <w:r>
        <w:rPr>
          <w:sz w:val="20"/>
        </w:rPr>
        <w:t>been</w:t>
      </w:r>
      <w:r>
        <w:rPr>
          <w:spacing w:val="-11"/>
          <w:sz w:val="20"/>
        </w:rPr>
        <w:t> </w:t>
      </w:r>
      <w:r>
        <w:rPr>
          <w:sz w:val="20"/>
        </w:rPr>
        <w:t>serving</w:t>
      </w:r>
      <w:r>
        <w:rPr>
          <w:spacing w:val="-11"/>
          <w:sz w:val="20"/>
        </w:rPr>
        <w:t> </w:t>
      </w:r>
      <w:r>
        <w:rPr>
          <w:sz w:val="20"/>
        </w:rPr>
        <w:t>for</w:t>
      </w:r>
      <w:r>
        <w:rPr>
          <w:spacing w:val="-11"/>
          <w:sz w:val="20"/>
        </w:rPr>
        <w:t> </w:t>
      </w:r>
      <w:r>
        <w:rPr>
          <w:sz w:val="20"/>
        </w:rPr>
        <w:t>decades,</w:t>
      </w:r>
      <w:r>
        <w:rPr>
          <w:spacing w:val="-11"/>
          <w:sz w:val="20"/>
        </w:rPr>
        <w:t> </w:t>
      </w:r>
      <w:r>
        <w:rPr>
          <w:sz w:val="20"/>
        </w:rPr>
        <w:t>no attention is </w:t>
      </w:r>
      <w:r>
        <w:rPr>
          <w:spacing w:val="-3"/>
          <w:sz w:val="20"/>
        </w:rPr>
        <w:t>drawn </w:t>
      </w:r>
      <w:r>
        <w:rPr>
          <w:sz w:val="20"/>
        </w:rPr>
        <w:t>to the person serving with</w:t>
      </w:r>
      <w:r>
        <w:rPr>
          <w:spacing w:val="-32"/>
          <w:sz w:val="20"/>
        </w:rPr>
        <w:t> </w:t>
      </w:r>
      <w:r>
        <w:rPr>
          <w:sz w:val="20"/>
        </w:rPr>
        <w:t>supports.</w:t>
      </w:r>
      <w:r>
        <w:rPr>
          <w:position w:val="7"/>
          <w:sz w:val="11"/>
        </w:rPr>
        <w:t>49</w:t>
      </w:r>
    </w:p>
    <w:p>
      <w:pPr>
        <w:pStyle w:val="ListParagraph"/>
        <w:numPr>
          <w:ilvl w:val="1"/>
          <w:numId w:val="12"/>
        </w:numPr>
        <w:tabs>
          <w:tab w:pos="1761" w:val="left" w:leader="none"/>
          <w:tab w:pos="1762" w:val="left" w:leader="none"/>
        </w:tabs>
        <w:spacing w:line="240" w:lineRule="auto" w:before="90" w:after="0"/>
        <w:ind w:left="1761" w:right="0" w:hanging="794"/>
        <w:jc w:val="left"/>
        <w:rPr>
          <w:sz w:val="20"/>
        </w:rPr>
      </w:pPr>
      <w:r>
        <w:rPr>
          <w:sz w:val="20"/>
        </w:rPr>
        <w:t>Consultees </w:t>
      </w:r>
      <w:r>
        <w:rPr>
          <w:spacing w:val="-3"/>
          <w:sz w:val="20"/>
        </w:rPr>
        <w:t>from </w:t>
      </w:r>
      <w:r>
        <w:rPr>
          <w:sz w:val="20"/>
        </w:rPr>
        <w:t>the County Court</w:t>
      </w:r>
      <w:r>
        <w:rPr>
          <w:spacing w:val="-19"/>
          <w:sz w:val="20"/>
        </w:rPr>
        <w:t> </w:t>
      </w:r>
      <w:r>
        <w:rPr>
          <w:sz w:val="20"/>
        </w:rPr>
        <w:t>suggested:</w:t>
      </w:r>
    </w:p>
    <w:p>
      <w:pPr>
        <w:spacing w:line="208" w:lineRule="auto" w:before="112"/>
        <w:ind w:left="2157" w:right="1243" w:firstLine="0"/>
        <w:jc w:val="left"/>
        <w:rPr>
          <w:sz w:val="19"/>
        </w:rPr>
      </w:pPr>
      <w:r>
        <w:rPr>
          <w:sz w:val="19"/>
        </w:rPr>
        <w:t>A simple direction could be given, eg that there is a person with a disability on the [panel] and that accommodations can be made, and the judge is satisfied that they can fully participate. Or that it is permissible for a person with a disability to serve and necessary accommodations have been made. This will avoid embarrassment and</w:t>
      </w:r>
    </w:p>
    <w:p>
      <w:pPr>
        <w:spacing w:line="208" w:lineRule="auto" w:before="3"/>
        <w:ind w:left="2157" w:right="1277" w:firstLine="0"/>
        <w:jc w:val="left"/>
        <w:rPr>
          <w:sz w:val="11"/>
        </w:rPr>
      </w:pPr>
      <w:r>
        <w:rPr>
          <w:sz w:val="19"/>
        </w:rPr>
        <w:t>be more effective than any other proposed directions about not being discriminatory because, in reality, the nature of peremptory challenges means that the defence is not precluded from applying discriminatory criteria. They may be discriminating for a myriad of reasons that we do not know about.</w:t>
      </w:r>
      <w:r>
        <w:rPr>
          <w:position w:val="6"/>
          <w:sz w:val="11"/>
        </w:rPr>
        <w:t>50</w:t>
      </w:r>
    </w:p>
    <w:p>
      <w:pPr>
        <w:spacing w:before="162"/>
        <w:ind w:left="967" w:right="0" w:firstLine="0"/>
        <w:jc w:val="left"/>
        <w:rPr>
          <w:b/>
          <w:sz w:val="24"/>
        </w:rPr>
      </w:pPr>
      <w:r>
        <w:rPr>
          <w:b/>
          <w:sz w:val="24"/>
        </w:rPr>
        <w:t>The law about peremptory challenges should not be changed</w:t>
      </w:r>
    </w:p>
    <w:p>
      <w:pPr>
        <w:pStyle w:val="ListParagraph"/>
        <w:numPr>
          <w:ilvl w:val="1"/>
          <w:numId w:val="12"/>
        </w:numPr>
        <w:tabs>
          <w:tab w:pos="1761" w:val="left" w:leader="none"/>
          <w:tab w:pos="1762" w:val="left" w:leader="none"/>
        </w:tabs>
        <w:spacing w:line="259" w:lineRule="exact" w:before="95" w:after="0"/>
        <w:ind w:left="1761" w:right="0" w:hanging="794"/>
        <w:jc w:val="left"/>
        <w:rPr>
          <w:sz w:val="20"/>
        </w:rPr>
      </w:pPr>
      <w:r>
        <w:rPr>
          <w:sz w:val="20"/>
        </w:rPr>
        <w:t>In</w:t>
      </w:r>
      <w:r>
        <w:rPr>
          <w:spacing w:val="-7"/>
          <w:sz w:val="20"/>
        </w:rPr>
        <w:t> </w:t>
      </w:r>
      <w:r>
        <w:rPr>
          <w:sz w:val="20"/>
        </w:rPr>
        <w:t>England</w:t>
      </w:r>
      <w:r>
        <w:rPr>
          <w:spacing w:val="-6"/>
          <w:sz w:val="20"/>
        </w:rPr>
        <w:t> </w:t>
      </w:r>
      <w:r>
        <w:rPr>
          <w:sz w:val="20"/>
        </w:rPr>
        <w:t>and</w:t>
      </w:r>
      <w:r>
        <w:rPr>
          <w:spacing w:val="-6"/>
          <w:sz w:val="20"/>
        </w:rPr>
        <w:t> </w:t>
      </w:r>
      <w:r>
        <w:rPr>
          <w:spacing w:val="-4"/>
          <w:sz w:val="20"/>
        </w:rPr>
        <w:t>Wales</w:t>
      </w:r>
      <w:r>
        <w:rPr>
          <w:spacing w:val="-6"/>
          <w:sz w:val="20"/>
        </w:rPr>
        <w:t> </w:t>
      </w:r>
      <w:r>
        <w:rPr>
          <w:sz w:val="20"/>
        </w:rPr>
        <w:t>peremptory</w:t>
      </w:r>
      <w:r>
        <w:rPr>
          <w:spacing w:val="-6"/>
          <w:sz w:val="20"/>
        </w:rPr>
        <w:t> </w:t>
      </w:r>
      <w:r>
        <w:rPr>
          <w:sz w:val="20"/>
        </w:rPr>
        <w:t>challenges</w:t>
      </w:r>
      <w:r>
        <w:rPr>
          <w:spacing w:val="-7"/>
          <w:sz w:val="20"/>
        </w:rPr>
        <w:t> </w:t>
      </w:r>
      <w:r>
        <w:rPr>
          <w:spacing w:val="-4"/>
          <w:sz w:val="20"/>
        </w:rPr>
        <w:t>have</w:t>
      </w:r>
      <w:r>
        <w:rPr>
          <w:spacing w:val="-6"/>
          <w:sz w:val="20"/>
        </w:rPr>
        <w:t> </w:t>
      </w:r>
      <w:r>
        <w:rPr>
          <w:sz w:val="20"/>
        </w:rPr>
        <w:t>been</w:t>
      </w:r>
      <w:r>
        <w:rPr>
          <w:spacing w:val="-6"/>
          <w:sz w:val="20"/>
        </w:rPr>
        <w:t> </w:t>
      </w:r>
      <w:r>
        <w:rPr>
          <w:sz w:val="20"/>
        </w:rPr>
        <w:t>abolished</w:t>
      </w:r>
      <w:r>
        <w:rPr>
          <w:spacing w:val="-6"/>
          <w:sz w:val="20"/>
        </w:rPr>
        <w:t> </w:t>
      </w:r>
      <w:r>
        <w:rPr>
          <w:sz w:val="20"/>
        </w:rPr>
        <w:t>with</w:t>
      </w:r>
      <w:r>
        <w:rPr>
          <w:spacing w:val="-6"/>
          <w:sz w:val="20"/>
        </w:rPr>
        <w:t> </w:t>
      </w:r>
      <w:r>
        <w:rPr>
          <w:sz w:val="20"/>
        </w:rPr>
        <w:t>reportedly</w:t>
      </w:r>
      <w:r>
        <w:rPr>
          <w:spacing w:val="-7"/>
          <w:sz w:val="20"/>
        </w:rPr>
        <w:t> </w:t>
      </w:r>
      <w:r>
        <w:rPr>
          <w:sz w:val="20"/>
        </w:rPr>
        <w:t>no</w:t>
      </w:r>
    </w:p>
    <w:p>
      <w:pPr>
        <w:pStyle w:val="BodyText"/>
        <w:spacing w:line="259" w:lineRule="exact"/>
        <w:ind w:left="1761"/>
        <w:rPr>
          <w:sz w:val="11"/>
        </w:rPr>
      </w:pPr>
      <w:r>
        <w:rPr/>
        <w:t>detrimental effect.</w:t>
      </w:r>
      <w:r>
        <w:rPr>
          <w:position w:val="7"/>
          <w:sz w:val="11"/>
        </w:rPr>
        <w:t>51</w:t>
      </w:r>
    </w:p>
    <w:p>
      <w:pPr>
        <w:pStyle w:val="ListParagraph"/>
        <w:numPr>
          <w:ilvl w:val="1"/>
          <w:numId w:val="12"/>
        </w:numPr>
        <w:tabs>
          <w:tab w:pos="1761" w:val="left" w:leader="none"/>
          <w:tab w:pos="1762" w:val="left" w:leader="none"/>
        </w:tabs>
        <w:spacing w:line="206" w:lineRule="auto" w:before="115" w:after="0"/>
        <w:ind w:left="1761" w:right="1679" w:hanging="794"/>
        <w:jc w:val="left"/>
        <w:rPr>
          <w:sz w:val="20"/>
        </w:rPr>
      </w:pPr>
      <w:r>
        <w:rPr>
          <w:sz w:val="20"/>
        </w:rPr>
        <w:t>There</w:t>
      </w:r>
      <w:r>
        <w:rPr>
          <w:spacing w:val="-13"/>
          <w:sz w:val="20"/>
        </w:rPr>
        <w:t> </w:t>
      </w:r>
      <w:r>
        <w:rPr>
          <w:sz w:val="20"/>
        </w:rPr>
        <w:t>is,</w:t>
      </w:r>
      <w:r>
        <w:rPr>
          <w:spacing w:val="-12"/>
          <w:sz w:val="20"/>
        </w:rPr>
        <w:t> </w:t>
      </w:r>
      <w:r>
        <w:rPr>
          <w:spacing w:val="-5"/>
          <w:sz w:val="20"/>
        </w:rPr>
        <w:t>however,</w:t>
      </w:r>
      <w:r>
        <w:rPr>
          <w:spacing w:val="-13"/>
          <w:sz w:val="20"/>
        </w:rPr>
        <w:t> </w:t>
      </w:r>
      <w:r>
        <w:rPr>
          <w:sz w:val="20"/>
        </w:rPr>
        <w:t>little</w:t>
      </w:r>
      <w:r>
        <w:rPr>
          <w:spacing w:val="-12"/>
          <w:sz w:val="20"/>
        </w:rPr>
        <w:t> </w:t>
      </w:r>
      <w:r>
        <w:rPr>
          <w:sz w:val="20"/>
        </w:rPr>
        <w:t>appetite</w:t>
      </w:r>
      <w:r>
        <w:rPr>
          <w:spacing w:val="-12"/>
          <w:sz w:val="20"/>
        </w:rPr>
        <w:t> </w:t>
      </w:r>
      <w:r>
        <w:rPr>
          <w:sz w:val="20"/>
        </w:rPr>
        <w:t>to</w:t>
      </w:r>
      <w:r>
        <w:rPr>
          <w:spacing w:val="-13"/>
          <w:sz w:val="20"/>
        </w:rPr>
        <w:t> </w:t>
      </w:r>
      <w:r>
        <w:rPr>
          <w:sz w:val="20"/>
        </w:rPr>
        <w:t>do</w:t>
      </w:r>
      <w:r>
        <w:rPr>
          <w:spacing w:val="-12"/>
          <w:sz w:val="20"/>
        </w:rPr>
        <w:t> </w:t>
      </w:r>
      <w:r>
        <w:rPr>
          <w:spacing w:val="-5"/>
          <w:sz w:val="20"/>
        </w:rPr>
        <w:t>away</w:t>
      </w:r>
      <w:r>
        <w:rPr>
          <w:spacing w:val="-13"/>
          <w:sz w:val="20"/>
        </w:rPr>
        <w:t> </w:t>
      </w:r>
      <w:r>
        <w:rPr>
          <w:sz w:val="20"/>
        </w:rPr>
        <w:t>with</w:t>
      </w:r>
      <w:r>
        <w:rPr>
          <w:spacing w:val="-12"/>
          <w:sz w:val="20"/>
        </w:rPr>
        <w:t> </w:t>
      </w:r>
      <w:r>
        <w:rPr>
          <w:sz w:val="20"/>
        </w:rPr>
        <w:t>peremptory</w:t>
      </w:r>
      <w:r>
        <w:rPr>
          <w:spacing w:val="-12"/>
          <w:sz w:val="20"/>
        </w:rPr>
        <w:t> </w:t>
      </w:r>
      <w:r>
        <w:rPr>
          <w:sz w:val="20"/>
        </w:rPr>
        <w:t>challenges</w:t>
      </w:r>
      <w:r>
        <w:rPr>
          <w:spacing w:val="-13"/>
          <w:sz w:val="20"/>
        </w:rPr>
        <w:t> </w:t>
      </w:r>
      <w:r>
        <w:rPr>
          <w:sz w:val="20"/>
        </w:rPr>
        <w:t>in</w:t>
      </w:r>
      <w:r>
        <w:rPr>
          <w:spacing w:val="-12"/>
          <w:sz w:val="20"/>
        </w:rPr>
        <w:t> </w:t>
      </w:r>
      <w:r>
        <w:rPr>
          <w:sz w:val="20"/>
        </w:rPr>
        <w:t>Victoria at present. In our consultations with the courts, </w:t>
      </w:r>
      <w:r>
        <w:rPr>
          <w:spacing w:val="-3"/>
          <w:sz w:val="20"/>
        </w:rPr>
        <w:t>representative </w:t>
      </w:r>
      <w:r>
        <w:rPr>
          <w:sz w:val="20"/>
        </w:rPr>
        <w:t>legal bodies and legal</w:t>
      </w:r>
      <w:r>
        <w:rPr>
          <w:spacing w:val="-9"/>
          <w:sz w:val="20"/>
        </w:rPr>
        <w:t> </w:t>
      </w:r>
      <w:r>
        <w:rPr>
          <w:sz w:val="20"/>
        </w:rPr>
        <w:t>professionals,</w:t>
      </w:r>
      <w:r>
        <w:rPr>
          <w:spacing w:val="-8"/>
          <w:sz w:val="20"/>
        </w:rPr>
        <w:t> </w:t>
      </w:r>
      <w:r>
        <w:rPr>
          <w:sz w:val="20"/>
        </w:rPr>
        <w:t>no</w:t>
      </w:r>
      <w:r>
        <w:rPr>
          <w:spacing w:val="-8"/>
          <w:sz w:val="20"/>
        </w:rPr>
        <w:t> </w:t>
      </w:r>
      <w:r>
        <w:rPr>
          <w:sz w:val="20"/>
        </w:rPr>
        <w:t>support</w:t>
      </w:r>
      <w:r>
        <w:rPr>
          <w:spacing w:val="-8"/>
          <w:sz w:val="20"/>
        </w:rPr>
        <w:t> </w:t>
      </w:r>
      <w:r>
        <w:rPr>
          <w:sz w:val="20"/>
        </w:rPr>
        <w:t>was</w:t>
      </w:r>
      <w:r>
        <w:rPr>
          <w:spacing w:val="-8"/>
          <w:sz w:val="20"/>
        </w:rPr>
        <w:t> </w:t>
      </w:r>
      <w:r>
        <w:rPr>
          <w:spacing w:val="-3"/>
          <w:sz w:val="20"/>
        </w:rPr>
        <w:t>expressed</w:t>
      </w:r>
      <w:r>
        <w:rPr>
          <w:spacing w:val="-8"/>
          <w:sz w:val="20"/>
        </w:rPr>
        <w:t> </w:t>
      </w:r>
      <w:r>
        <w:rPr>
          <w:sz w:val="20"/>
        </w:rPr>
        <w:t>for</w:t>
      </w:r>
      <w:r>
        <w:rPr>
          <w:spacing w:val="-8"/>
          <w:sz w:val="20"/>
        </w:rPr>
        <w:t> </w:t>
      </w:r>
      <w:r>
        <w:rPr>
          <w:sz w:val="20"/>
        </w:rPr>
        <w:t>challenges</w:t>
      </w:r>
      <w:r>
        <w:rPr>
          <w:spacing w:val="-8"/>
          <w:sz w:val="20"/>
        </w:rPr>
        <w:t> </w:t>
      </w:r>
      <w:r>
        <w:rPr>
          <w:sz w:val="20"/>
        </w:rPr>
        <w:t>to</w:t>
      </w:r>
      <w:r>
        <w:rPr>
          <w:spacing w:val="-8"/>
          <w:sz w:val="20"/>
        </w:rPr>
        <w:t> </w:t>
      </w:r>
      <w:r>
        <w:rPr>
          <w:sz w:val="20"/>
        </w:rPr>
        <w:t>be</w:t>
      </w:r>
      <w:r>
        <w:rPr>
          <w:spacing w:val="-8"/>
          <w:sz w:val="20"/>
        </w:rPr>
        <w:t> </w:t>
      </w:r>
      <w:r>
        <w:rPr>
          <w:sz w:val="20"/>
        </w:rPr>
        <w:t>abolished</w:t>
      </w:r>
      <w:r>
        <w:rPr>
          <w:spacing w:val="-8"/>
          <w:sz w:val="20"/>
        </w:rPr>
        <w:t> </w:t>
      </w:r>
      <w:r>
        <w:rPr>
          <w:sz w:val="20"/>
        </w:rPr>
        <w:t>or</w:t>
      </w:r>
    </w:p>
    <w:p>
      <w:pPr>
        <w:pStyle w:val="BodyText"/>
        <w:rPr>
          <w:sz w:val="29"/>
        </w:rPr>
      </w:pPr>
      <w:r>
        <w:rPr/>
        <w:pict>
          <v:line style="position:absolute;mso-position-horizontal-relative:page;mso-position-vertical-relative:paragraph;z-index:10328;mso-wrap-distance-left:0;mso-wrap-distance-right:0" from="79.370003pt,22.603861pt" to="515.905003pt,22.603861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spacing w:before="2"/>
        <w:rPr>
          <w:sz w:val="40"/>
        </w:rPr>
      </w:pPr>
    </w:p>
    <w:p>
      <w:pPr>
        <w:spacing w:before="0"/>
        <w:ind w:left="100" w:right="0" w:firstLine="0"/>
        <w:jc w:val="left"/>
        <w:rPr>
          <w:b/>
          <w:sz w:val="24"/>
        </w:rPr>
      </w:pPr>
      <w:r>
        <w:rPr>
          <w:b/>
          <w:color w:val="37617A"/>
          <w:sz w:val="24"/>
        </w:rPr>
        <w:t>198</w:t>
      </w:r>
    </w:p>
    <w:p>
      <w:pPr>
        <w:pStyle w:val="ListParagraph"/>
        <w:numPr>
          <w:ilvl w:val="0"/>
          <w:numId w:val="118"/>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pacing w:val="2"/>
          <w:sz w:val="13"/>
        </w:rPr>
        <w:t>Submissions </w:t>
      </w:r>
      <w:r>
        <w:rPr>
          <w:sz w:val="13"/>
        </w:rPr>
        <w:t>4 (Baer Arnold &amp; Bonython), 9 (Madison), 10 </w:t>
      </w:r>
      <w:r>
        <w:rPr>
          <w:spacing w:val="2"/>
          <w:sz w:val="13"/>
        </w:rPr>
        <w:t>(Vision </w:t>
      </w:r>
      <w:r>
        <w:rPr>
          <w:sz w:val="13"/>
        </w:rPr>
        <w:t>Australia).</w:t>
      </w:r>
    </w:p>
    <w:p>
      <w:pPr>
        <w:pStyle w:val="ListParagraph"/>
        <w:numPr>
          <w:ilvl w:val="0"/>
          <w:numId w:val="118"/>
        </w:numPr>
        <w:tabs>
          <w:tab w:pos="893" w:val="left" w:leader="none"/>
          <w:tab w:pos="894" w:val="left" w:leader="none"/>
        </w:tabs>
        <w:spacing w:line="160" w:lineRule="exact" w:before="0" w:after="0"/>
        <w:ind w:left="893" w:right="0" w:hanging="793"/>
        <w:jc w:val="left"/>
        <w:rPr>
          <w:sz w:val="13"/>
        </w:rPr>
      </w:pPr>
      <w:r>
        <w:rPr>
          <w:sz w:val="13"/>
        </w:rPr>
        <w:t>Consultation 11 (Consultation with a Judge, a Tipstaff and </w:t>
      </w:r>
      <w:r>
        <w:rPr>
          <w:spacing w:val="2"/>
          <w:sz w:val="13"/>
        </w:rPr>
        <w:t>Court policy </w:t>
      </w:r>
      <w:r>
        <w:rPr>
          <w:sz w:val="13"/>
        </w:rPr>
        <w:t>staff, Victorian Supreme</w:t>
      </w:r>
      <w:r>
        <w:rPr>
          <w:spacing w:val="9"/>
          <w:sz w:val="13"/>
        </w:rPr>
        <w:t> </w:t>
      </w:r>
      <w:r>
        <w:rPr>
          <w:spacing w:val="2"/>
          <w:sz w:val="13"/>
        </w:rPr>
        <w:t>Court).</w:t>
      </w:r>
    </w:p>
    <w:p>
      <w:pPr>
        <w:pStyle w:val="ListParagraph"/>
        <w:numPr>
          <w:ilvl w:val="0"/>
          <w:numId w:val="118"/>
        </w:numPr>
        <w:tabs>
          <w:tab w:pos="893" w:val="left" w:leader="none"/>
          <w:tab w:pos="894" w:val="left" w:leader="none"/>
        </w:tabs>
        <w:spacing w:line="160" w:lineRule="exact" w:before="0" w:after="0"/>
        <w:ind w:left="893" w:right="0" w:hanging="793"/>
        <w:jc w:val="left"/>
        <w:rPr>
          <w:sz w:val="13"/>
        </w:rPr>
      </w:pPr>
      <w:r>
        <w:rPr>
          <w:sz w:val="13"/>
        </w:rPr>
        <w:t>Consultation 2 (Law Institute of</w:t>
      </w:r>
      <w:r>
        <w:rPr>
          <w:spacing w:val="1"/>
          <w:sz w:val="13"/>
        </w:rPr>
        <w:t> </w:t>
      </w:r>
      <w:r>
        <w:rPr>
          <w:sz w:val="13"/>
        </w:rPr>
        <w:t>Victoria).</w:t>
      </w:r>
    </w:p>
    <w:p>
      <w:pPr>
        <w:pStyle w:val="ListParagraph"/>
        <w:numPr>
          <w:ilvl w:val="0"/>
          <w:numId w:val="118"/>
        </w:numPr>
        <w:tabs>
          <w:tab w:pos="893" w:val="left" w:leader="none"/>
          <w:tab w:pos="894" w:val="left" w:leader="none"/>
        </w:tabs>
        <w:spacing w:line="160" w:lineRule="exact" w:before="0" w:after="0"/>
        <w:ind w:left="893" w:right="0" w:hanging="793"/>
        <w:jc w:val="left"/>
        <w:rPr>
          <w:sz w:val="13"/>
        </w:rPr>
      </w:pPr>
      <w:r>
        <w:rPr>
          <w:sz w:val="13"/>
        </w:rPr>
        <w:t>Consultation 4 </w:t>
      </w:r>
      <w:r>
        <w:rPr>
          <w:spacing w:val="2"/>
          <w:sz w:val="13"/>
        </w:rPr>
        <w:t>(Victorian </w:t>
      </w:r>
      <w:r>
        <w:rPr>
          <w:sz w:val="13"/>
        </w:rPr>
        <w:t>Criminal Bar</w:t>
      </w:r>
      <w:r>
        <w:rPr>
          <w:spacing w:val="-1"/>
          <w:sz w:val="13"/>
        </w:rPr>
        <w:t> </w:t>
      </w:r>
      <w:r>
        <w:rPr>
          <w:sz w:val="13"/>
        </w:rPr>
        <w:t>Association).</w:t>
      </w:r>
    </w:p>
    <w:p>
      <w:pPr>
        <w:pStyle w:val="ListParagraph"/>
        <w:numPr>
          <w:ilvl w:val="0"/>
          <w:numId w:val="118"/>
        </w:numPr>
        <w:tabs>
          <w:tab w:pos="893" w:val="left" w:leader="none"/>
          <w:tab w:pos="894" w:val="left" w:leader="none"/>
        </w:tabs>
        <w:spacing w:line="160" w:lineRule="exact" w:before="0" w:after="0"/>
        <w:ind w:left="893" w:right="0" w:hanging="793"/>
        <w:jc w:val="left"/>
        <w:rPr>
          <w:sz w:val="13"/>
        </w:rPr>
      </w:pP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w:t>
      </w:r>
      <w:r>
        <w:rPr>
          <w:spacing w:val="4"/>
          <w:sz w:val="13"/>
        </w:rPr>
        <w:t> </w:t>
      </w:r>
      <w:r>
        <w:rPr>
          <w:sz w:val="13"/>
        </w:rPr>
        <w:t>States).</w:t>
      </w:r>
    </w:p>
    <w:p>
      <w:pPr>
        <w:pStyle w:val="ListParagraph"/>
        <w:numPr>
          <w:ilvl w:val="0"/>
          <w:numId w:val="118"/>
        </w:numPr>
        <w:tabs>
          <w:tab w:pos="893" w:val="left" w:leader="none"/>
          <w:tab w:pos="894" w:val="left" w:leader="none"/>
        </w:tabs>
        <w:spacing w:line="160" w:lineRule="exact" w:before="0" w:after="0"/>
        <w:ind w:left="893" w:right="0" w:hanging="793"/>
        <w:jc w:val="left"/>
        <w:rPr>
          <w:sz w:val="13"/>
        </w:rPr>
      </w:pPr>
      <w:r>
        <w:rPr>
          <w:sz w:val="13"/>
        </w:rPr>
        <w:t>Consultation 9 (Consultation with two Victorian County </w:t>
      </w:r>
      <w:r>
        <w:rPr>
          <w:spacing w:val="2"/>
          <w:sz w:val="13"/>
        </w:rPr>
        <w:t>Court Judges, Court policy </w:t>
      </w:r>
      <w:r>
        <w:rPr>
          <w:sz w:val="13"/>
        </w:rPr>
        <w:t>staff and two</w:t>
      </w:r>
      <w:r>
        <w:rPr>
          <w:spacing w:val="8"/>
          <w:sz w:val="13"/>
        </w:rPr>
        <w:t> </w:t>
      </w:r>
      <w:r>
        <w:rPr>
          <w:sz w:val="13"/>
        </w:rPr>
        <w:t>Associates).</w:t>
      </w:r>
    </w:p>
    <w:p>
      <w:pPr>
        <w:pStyle w:val="ListParagraph"/>
        <w:numPr>
          <w:ilvl w:val="0"/>
          <w:numId w:val="118"/>
        </w:numPr>
        <w:tabs>
          <w:tab w:pos="893" w:val="left" w:leader="none"/>
          <w:tab w:pos="894" w:val="left" w:leader="none"/>
        </w:tabs>
        <w:spacing w:line="213" w:lineRule="auto" w:before="7" w:after="0"/>
        <w:ind w:left="893" w:right="1309" w:hanging="793"/>
        <w:jc w:val="left"/>
        <w:rPr>
          <w:sz w:val="13"/>
        </w:rPr>
      </w:pPr>
      <w:r>
        <w:rPr>
          <w:sz w:val="13"/>
        </w:rPr>
        <w:t>Rodolfo Monteleone, </w:t>
      </w:r>
      <w:r>
        <w:rPr>
          <w:i/>
          <w:sz w:val="13"/>
        </w:rPr>
        <w:t>Improving Efficiency and Effectiveness of the Victorian </w:t>
      </w:r>
      <w:r>
        <w:rPr>
          <w:i/>
          <w:spacing w:val="2"/>
          <w:sz w:val="13"/>
        </w:rPr>
        <w:t>Jury </w:t>
      </w:r>
      <w:r>
        <w:rPr>
          <w:i/>
          <w:sz w:val="13"/>
        </w:rPr>
        <w:t>System </w:t>
      </w:r>
      <w:r>
        <w:rPr>
          <w:spacing w:val="2"/>
          <w:sz w:val="13"/>
        </w:rPr>
        <w:t>(Report, </w:t>
      </w:r>
      <w:r>
        <w:rPr>
          <w:sz w:val="13"/>
        </w:rPr>
        <w:t>Winston Churchill Trust, 3 February 2012) </w:t>
      </w:r>
      <w:r>
        <w:rPr>
          <w:spacing w:val="2"/>
          <w:sz w:val="13"/>
        </w:rPr>
        <w:t>23. </w:t>
      </w:r>
      <w:r>
        <w:rPr>
          <w:sz w:val="13"/>
        </w:rPr>
        <w:t>See </w:t>
      </w:r>
      <w:r>
        <w:rPr>
          <w:spacing w:val="2"/>
          <w:sz w:val="13"/>
        </w:rPr>
        <w:t>also </w:t>
      </w:r>
      <w:r>
        <w:rPr>
          <w:sz w:val="13"/>
        </w:rPr>
        <w:t>Lord Justice Robin Auld, </w:t>
      </w:r>
      <w:r>
        <w:rPr>
          <w:spacing w:val="2"/>
          <w:sz w:val="13"/>
        </w:rPr>
        <w:t>Ministry </w:t>
      </w:r>
      <w:r>
        <w:rPr>
          <w:sz w:val="13"/>
        </w:rPr>
        <w:t>of Justice (UK), </w:t>
      </w:r>
      <w:r>
        <w:rPr>
          <w:i/>
          <w:sz w:val="13"/>
        </w:rPr>
        <w:t>Review of the Criminal </w:t>
      </w:r>
      <w:r>
        <w:rPr>
          <w:i/>
          <w:spacing w:val="2"/>
          <w:sz w:val="13"/>
        </w:rPr>
        <w:t>Courts </w:t>
      </w:r>
      <w:r>
        <w:rPr>
          <w:i/>
          <w:sz w:val="13"/>
        </w:rPr>
        <w:t>of England and Wales </w:t>
      </w:r>
      <w:r>
        <w:rPr>
          <w:spacing w:val="2"/>
          <w:sz w:val="13"/>
        </w:rPr>
        <w:t>(Report, </w:t>
      </w:r>
      <w:r>
        <w:rPr>
          <w:sz w:val="13"/>
        </w:rPr>
        <w:t>September 2001) ch 5 [73]–[74] &lt;</w:t>
      </w:r>
      <w:hyperlink r:id="rId136">
        <w:r>
          <w:rPr>
            <w:sz w:val="13"/>
          </w:rPr>
          <w:t>https://ials.sas.ac.uk/eagle-i/review-criminal-courts-england-and-wales-right-</w:t>
        </w:r>
      </w:hyperlink>
      <w:hyperlink r:id="rId136">
        <w:r>
          <w:rPr>
            <w:sz w:val="13"/>
          </w:rPr>
          <w:t> honourable-lord-justice-auld-september-2001</w:t>
        </w:r>
      </w:hyperlink>
      <w:r>
        <w:rPr>
          <w:sz w:val="13"/>
        </w:rPr>
        <w:t>&gt;.</w:t>
      </w:r>
    </w:p>
    <w:p>
      <w:pPr>
        <w:spacing w:after="0" w:line="213" w:lineRule="auto"/>
        <w:jc w:val="left"/>
        <w:rPr>
          <w:sz w:val="13"/>
        </w:rPr>
        <w:sectPr>
          <w:type w:val="continuous"/>
          <w:pgSz w:w="11910" w:h="16840"/>
          <w:pgMar w:top="620" w:bottom="280" w:left="620" w:right="380"/>
          <w:cols w:num="2" w:equalWidth="0">
            <w:col w:w="544" w:space="323"/>
            <w:col w:w="10043"/>
          </w:cols>
        </w:sectPr>
      </w:pPr>
    </w:p>
    <w:p>
      <w:pPr>
        <w:pStyle w:val="BodyText"/>
      </w:pPr>
    </w:p>
    <w:p>
      <w:pPr>
        <w:pStyle w:val="BodyText"/>
      </w:pPr>
    </w:p>
    <w:p>
      <w:pPr>
        <w:pStyle w:val="BodyText"/>
      </w:pPr>
    </w:p>
    <w:p>
      <w:pPr>
        <w:pStyle w:val="BodyText"/>
        <w:spacing w:before="6"/>
        <w:rPr>
          <w:sz w:val="14"/>
        </w:rPr>
      </w:pPr>
    </w:p>
    <w:p>
      <w:pPr>
        <w:pStyle w:val="BodyText"/>
        <w:spacing w:line="206" w:lineRule="auto" w:before="90"/>
        <w:ind w:left="1761" w:right="1475"/>
        <w:rPr>
          <w:sz w:val="11"/>
        </w:rPr>
      </w:pPr>
      <w:bookmarkStart w:name="_bookmark145" w:id="346"/>
      <w:bookmarkEnd w:id="346"/>
      <w:r>
        <w:rPr/>
      </w:r>
      <w:r>
        <w:rPr/>
        <w:t>further reduced.</w:t>
      </w:r>
      <w:r>
        <w:rPr>
          <w:position w:val="7"/>
          <w:sz w:val="11"/>
        </w:rPr>
        <w:t>52 </w:t>
      </w:r>
      <w:r>
        <w:rPr>
          <w:spacing w:val="-3"/>
        </w:rPr>
        <w:t>For example, </w:t>
      </w:r>
      <w:r>
        <w:rPr/>
        <w:t>the LIV submitted that ‘it is ‘essential that this wide discretion remain without reasons being required, </w:t>
      </w:r>
      <w:r>
        <w:rPr>
          <w:spacing w:val="-3"/>
        </w:rPr>
        <w:t>regardless </w:t>
      </w:r>
      <w:r>
        <w:rPr/>
        <w:t>of the </w:t>
      </w:r>
      <w:r>
        <w:rPr>
          <w:spacing w:val="-3"/>
        </w:rPr>
        <w:t>perceived </w:t>
      </w:r>
      <w:r>
        <w:rPr/>
        <w:t>basis of peremptory </w:t>
      </w:r>
      <w:r>
        <w:rPr>
          <w:spacing w:val="-3"/>
        </w:rPr>
        <w:t>challenges’. </w:t>
      </w:r>
      <w:r>
        <w:rPr>
          <w:spacing w:val="-10"/>
        </w:rPr>
        <w:t>To </w:t>
      </w:r>
      <w:r>
        <w:rPr/>
        <w:t>do otherwise </w:t>
      </w:r>
      <w:r>
        <w:rPr>
          <w:spacing w:val="-3"/>
        </w:rPr>
        <w:t>would </w:t>
      </w:r>
      <w:r>
        <w:rPr/>
        <w:t>be to ‘fundamentally change this process founded in affording a defendant a fair and impartial trial’.</w:t>
      </w:r>
      <w:r>
        <w:rPr>
          <w:position w:val="7"/>
          <w:sz w:val="11"/>
        </w:rPr>
        <w:t>53</w:t>
      </w:r>
    </w:p>
    <w:p>
      <w:pPr>
        <w:pStyle w:val="ListParagraph"/>
        <w:numPr>
          <w:ilvl w:val="1"/>
          <w:numId w:val="12"/>
        </w:numPr>
        <w:tabs>
          <w:tab w:pos="1761" w:val="left" w:leader="none"/>
          <w:tab w:pos="1762" w:val="left" w:leader="none"/>
        </w:tabs>
        <w:spacing w:line="206" w:lineRule="auto" w:before="125" w:after="0"/>
        <w:ind w:left="1761" w:right="1409" w:hanging="794"/>
        <w:jc w:val="left"/>
        <w:rPr>
          <w:sz w:val="20"/>
        </w:rPr>
      </w:pPr>
      <w:r>
        <w:rPr>
          <w:sz w:val="20"/>
        </w:rPr>
        <w:t>There is not enough evidence to determine whether peremptory challenges will, in fact,</w:t>
      </w:r>
      <w:r>
        <w:rPr>
          <w:spacing w:val="-8"/>
          <w:sz w:val="20"/>
        </w:rPr>
        <w:t> </w:t>
      </w:r>
      <w:r>
        <w:rPr>
          <w:sz w:val="20"/>
        </w:rPr>
        <w:t>be</w:t>
      </w:r>
      <w:r>
        <w:rPr>
          <w:spacing w:val="-8"/>
          <w:sz w:val="20"/>
        </w:rPr>
        <w:t> </w:t>
      </w:r>
      <w:r>
        <w:rPr>
          <w:sz w:val="20"/>
        </w:rPr>
        <w:t>used</w:t>
      </w:r>
      <w:r>
        <w:rPr>
          <w:spacing w:val="-7"/>
          <w:sz w:val="20"/>
        </w:rPr>
        <w:t> </w:t>
      </w:r>
      <w:r>
        <w:rPr>
          <w:sz w:val="20"/>
        </w:rPr>
        <w:t>to</w:t>
      </w:r>
      <w:r>
        <w:rPr>
          <w:spacing w:val="-8"/>
          <w:sz w:val="20"/>
        </w:rPr>
        <w:t> </w:t>
      </w:r>
      <w:r>
        <w:rPr>
          <w:spacing w:val="-4"/>
          <w:sz w:val="20"/>
        </w:rPr>
        <w:t>prevent</w:t>
      </w:r>
      <w:r>
        <w:rPr>
          <w:spacing w:val="-8"/>
          <w:sz w:val="20"/>
        </w:rPr>
        <w:t> </w:t>
      </w:r>
      <w:r>
        <w:rPr>
          <w:sz w:val="20"/>
        </w:rPr>
        <w:t>people</w:t>
      </w:r>
      <w:r>
        <w:rPr>
          <w:spacing w:val="-7"/>
          <w:sz w:val="20"/>
        </w:rPr>
        <w:t> </w:t>
      </w:r>
      <w:r>
        <w:rPr>
          <w:spacing w:val="-3"/>
          <w:sz w:val="20"/>
        </w:rPr>
        <w:t>from</w:t>
      </w:r>
      <w:r>
        <w:rPr>
          <w:spacing w:val="-8"/>
          <w:sz w:val="20"/>
        </w:rPr>
        <w:t> </w:t>
      </w:r>
      <w:r>
        <w:rPr>
          <w:sz w:val="20"/>
        </w:rPr>
        <w:t>the</w:t>
      </w:r>
      <w:r>
        <w:rPr>
          <w:spacing w:val="-8"/>
          <w:sz w:val="20"/>
        </w:rPr>
        <w:t> </w:t>
      </w:r>
      <w:r>
        <w:rPr>
          <w:sz w:val="20"/>
        </w:rPr>
        <w:t>subject</w:t>
      </w:r>
      <w:r>
        <w:rPr>
          <w:spacing w:val="-7"/>
          <w:sz w:val="20"/>
        </w:rPr>
        <w:t> </w:t>
      </w:r>
      <w:r>
        <w:rPr>
          <w:sz w:val="20"/>
        </w:rPr>
        <w:t>groups</w:t>
      </w:r>
      <w:r>
        <w:rPr>
          <w:spacing w:val="-8"/>
          <w:sz w:val="20"/>
        </w:rPr>
        <w:t> </w:t>
      </w:r>
      <w:r>
        <w:rPr>
          <w:spacing w:val="-3"/>
          <w:sz w:val="20"/>
        </w:rPr>
        <w:t>from</w:t>
      </w:r>
      <w:r>
        <w:rPr>
          <w:spacing w:val="-7"/>
          <w:sz w:val="20"/>
        </w:rPr>
        <w:t> </w:t>
      </w:r>
      <w:r>
        <w:rPr>
          <w:sz w:val="20"/>
        </w:rPr>
        <w:t>serving</w:t>
      </w:r>
      <w:r>
        <w:rPr>
          <w:spacing w:val="-8"/>
          <w:sz w:val="20"/>
        </w:rPr>
        <w:t> </w:t>
      </w:r>
      <w:r>
        <w:rPr>
          <w:sz w:val="20"/>
        </w:rPr>
        <w:t>as</w:t>
      </w:r>
      <w:r>
        <w:rPr>
          <w:spacing w:val="-8"/>
          <w:sz w:val="20"/>
        </w:rPr>
        <w:t> </w:t>
      </w:r>
      <w:r>
        <w:rPr>
          <w:sz w:val="20"/>
        </w:rPr>
        <w:t>jurors.</w:t>
      </w:r>
      <w:r>
        <w:rPr>
          <w:spacing w:val="-7"/>
          <w:sz w:val="20"/>
        </w:rPr>
        <w:t> </w:t>
      </w:r>
      <w:r>
        <w:rPr>
          <w:sz w:val="20"/>
        </w:rPr>
        <w:t>It</w:t>
      </w:r>
      <w:r>
        <w:rPr>
          <w:spacing w:val="-8"/>
          <w:sz w:val="20"/>
        </w:rPr>
        <w:t> </w:t>
      </w:r>
      <w:r>
        <w:rPr>
          <w:spacing w:val="-3"/>
          <w:sz w:val="20"/>
        </w:rPr>
        <w:t>may </w:t>
      </w:r>
      <w:r>
        <w:rPr>
          <w:sz w:val="20"/>
        </w:rPr>
        <w:t>also</w:t>
      </w:r>
      <w:r>
        <w:rPr>
          <w:spacing w:val="-9"/>
          <w:sz w:val="20"/>
        </w:rPr>
        <w:t> </w:t>
      </w:r>
      <w:r>
        <w:rPr>
          <w:sz w:val="20"/>
        </w:rPr>
        <w:t>be</w:t>
      </w:r>
      <w:r>
        <w:rPr>
          <w:spacing w:val="-8"/>
          <w:sz w:val="20"/>
        </w:rPr>
        <w:t> </w:t>
      </w:r>
      <w:r>
        <w:rPr>
          <w:spacing w:val="-3"/>
          <w:sz w:val="20"/>
        </w:rPr>
        <w:t>premature</w:t>
      </w:r>
      <w:r>
        <w:rPr>
          <w:spacing w:val="-8"/>
          <w:sz w:val="20"/>
        </w:rPr>
        <w:t> </w:t>
      </w:r>
      <w:r>
        <w:rPr>
          <w:sz w:val="20"/>
        </w:rPr>
        <w:t>to</w:t>
      </w:r>
      <w:r>
        <w:rPr>
          <w:spacing w:val="-8"/>
          <w:sz w:val="20"/>
        </w:rPr>
        <w:t> </w:t>
      </w:r>
      <w:r>
        <w:rPr>
          <w:sz w:val="20"/>
        </w:rPr>
        <w:t>call</w:t>
      </w:r>
      <w:r>
        <w:rPr>
          <w:spacing w:val="-8"/>
          <w:sz w:val="20"/>
        </w:rPr>
        <w:t> </w:t>
      </w:r>
      <w:r>
        <w:rPr>
          <w:sz w:val="20"/>
        </w:rPr>
        <w:t>for</w:t>
      </w:r>
      <w:r>
        <w:rPr>
          <w:spacing w:val="-8"/>
          <w:sz w:val="20"/>
        </w:rPr>
        <w:t> </w:t>
      </w:r>
      <w:r>
        <w:rPr>
          <w:sz w:val="20"/>
        </w:rPr>
        <w:t>their</w:t>
      </w:r>
      <w:r>
        <w:rPr>
          <w:spacing w:val="-9"/>
          <w:sz w:val="20"/>
        </w:rPr>
        <w:t> </w:t>
      </w:r>
      <w:r>
        <w:rPr>
          <w:sz w:val="20"/>
        </w:rPr>
        <w:t>abolition</w:t>
      </w:r>
      <w:r>
        <w:rPr>
          <w:spacing w:val="-8"/>
          <w:sz w:val="20"/>
        </w:rPr>
        <w:t> </w:t>
      </w:r>
      <w:r>
        <w:rPr>
          <w:sz w:val="20"/>
        </w:rPr>
        <w:t>without</w:t>
      </w:r>
      <w:r>
        <w:rPr>
          <w:spacing w:val="-8"/>
          <w:sz w:val="20"/>
        </w:rPr>
        <w:t> </w:t>
      </w:r>
      <w:r>
        <w:rPr>
          <w:sz w:val="20"/>
        </w:rPr>
        <w:t>assessing</w:t>
      </w:r>
      <w:r>
        <w:rPr>
          <w:spacing w:val="-8"/>
          <w:sz w:val="20"/>
        </w:rPr>
        <w:t> </w:t>
      </w:r>
      <w:r>
        <w:rPr>
          <w:sz w:val="20"/>
        </w:rPr>
        <w:t>the</w:t>
      </w:r>
      <w:r>
        <w:rPr>
          <w:spacing w:val="-8"/>
          <w:sz w:val="20"/>
        </w:rPr>
        <w:t> </w:t>
      </w:r>
      <w:r>
        <w:rPr>
          <w:sz w:val="20"/>
        </w:rPr>
        <w:t>effect</w:t>
      </w:r>
      <w:r>
        <w:rPr>
          <w:spacing w:val="-8"/>
          <w:sz w:val="20"/>
        </w:rPr>
        <w:t> </w:t>
      </w:r>
      <w:r>
        <w:rPr>
          <w:sz w:val="20"/>
        </w:rPr>
        <w:t>of</w:t>
      </w:r>
      <w:r>
        <w:rPr>
          <w:spacing w:val="-9"/>
          <w:sz w:val="20"/>
        </w:rPr>
        <w:t> </w:t>
      </w:r>
      <w:r>
        <w:rPr>
          <w:spacing w:val="-3"/>
          <w:sz w:val="20"/>
        </w:rPr>
        <w:t>reforms</w:t>
      </w:r>
      <w:r>
        <w:rPr>
          <w:spacing w:val="-8"/>
          <w:sz w:val="20"/>
        </w:rPr>
        <w:t> </w:t>
      </w:r>
      <w:r>
        <w:rPr>
          <w:sz w:val="20"/>
        </w:rPr>
        <w:t>in enabling people to serve with adjustments, and the effect that the </w:t>
      </w:r>
      <w:r>
        <w:rPr>
          <w:spacing w:val="-4"/>
          <w:sz w:val="20"/>
        </w:rPr>
        <w:t>lower </w:t>
      </w:r>
      <w:r>
        <w:rPr>
          <w:sz w:val="20"/>
        </w:rPr>
        <w:t>number of challenges has on jury</w:t>
      </w:r>
      <w:r>
        <w:rPr>
          <w:spacing w:val="-19"/>
          <w:sz w:val="20"/>
        </w:rPr>
        <w:t> </w:t>
      </w:r>
      <w:r>
        <w:rPr>
          <w:sz w:val="20"/>
        </w:rPr>
        <w:t>representativeness.</w:t>
      </w:r>
    </w:p>
    <w:p>
      <w:pPr>
        <w:pStyle w:val="ListParagraph"/>
        <w:numPr>
          <w:ilvl w:val="1"/>
          <w:numId w:val="12"/>
        </w:numPr>
        <w:tabs>
          <w:tab w:pos="1761" w:val="left" w:leader="none"/>
          <w:tab w:pos="1762" w:val="left" w:leader="none"/>
        </w:tabs>
        <w:spacing w:line="206" w:lineRule="auto" w:before="126" w:after="0"/>
        <w:ind w:left="1761" w:right="1363" w:hanging="794"/>
        <w:jc w:val="left"/>
        <w:rPr>
          <w:sz w:val="20"/>
        </w:rPr>
      </w:pPr>
      <w:r>
        <w:rPr>
          <w:sz w:val="20"/>
        </w:rPr>
        <w:t>The</w:t>
      </w:r>
      <w:r>
        <w:rPr>
          <w:spacing w:val="-12"/>
          <w:sz w:val="20"/>
        </w:rPr>
        <w:t> </w:t>
      </w:r>
      <w:r>
        <w:rPr>
          <w:sz w:val="20"/>
        </w:rPr>
        <w:t>Commission</w:t>
      </w:r>
      <w:r>
        <w:rPr>
          <w:spacing w:val="-12"/>
          <w:sz w:val="20"/>
        </w:rPr>
        <w:t> </w:t>
      </w:r>
      <w:r>
        <w:rPr>
          <w:sz w:val="20"/>
        </w:rPr>
        <w:t>takes</w:t>
      </w:r>
      <w:r>
        <w:rPr>
          <w:spacing w:val="-11"/>
          <w:sz w:val="20"/>
        </w:rPr>
        <w:t> </w:t>
      </w:r>
      <w:r>
        <w:rPr>
          <w:sz w:val="20"/>
        </w:rPr>
        <w:t>the</w:t>
      </w:r>
      <w:r>
        <w:rPr>
          <w:spacing w:val="-12"/>
          <w:sz w:val="20"/>
        </w:rPr>
        <w:t> </w:t>
      </w:r>
      <w:r>
        <w:rPr>
          <w:sz w:val="20"/>
        </w:rPr>
        <w:t>view</w:t>
      </w:r>
      <w:r>
        <w:rPr>
          <w:spacing w:val="-11"/>
          <w:sz w:val="20"/>
        </w:rPr>
        <w:t> </w:t>
      </w:r>
      <w:r>
        <w:rPr>
          <w:sz w:val="20"/>
        </w:rPr>
        <w:t>that</w:t>
      </w:r>
      <w:r>
        <w:rPr>
          <w:spacing w:val="-12"/>
          <w:sz w:val="20"/>
        </w:rPr>
        <w:t> </w:t>
      </w:r>
      <w:r>
        <w:rPr>
          <w:sz w:val="20"/>
        </w:rPr>
        <w:t>the</w:t>
      </w:r>
      <w:r>
        <w:rPr>
          <w:spacing w:val="-12"/>
          <w:sz w:val="20"/>
        </w:rPr>
        <w:t> </w:t>
      </w:r>
      <w:r>
        <w:rPr>
          <w:sz w:val="20"/>
        </w:rPr>
        <w:t>suggestions</w:t>
      </w:r>
      <w:r>
        <w:rPr>
          <w:spacing w:val="-11"/>
          <w:sz w:val="20"/>
        </w:rPr>
        <w:t> </w:t>
      </w:r>
      <w:r>
        <w:rPr>
          <w:sz w:val="20"/>
        </w:rPr>
        <w:t>it</w:t>
      </w:r>
      <w:r>
        <w:rPr>
          <w:spacing w:val="-12"/>
          <w:sz w:val="20"/>
        </w:rPr>
        <w:t> </w:t>
      </w:r>
      <w:r>
        <w:rPr>
          <w:sz w:val="20"/>
        </w:rPr>
        <w:t>put</w:t>
      </w:r>
      <w:r>
        <w:rPr>
          <w:spacing w:val="-12"/>
          <w:sz w:val="20"/>
        </w:rPr>
        <w:t> </w:t>
      </w:r>
      <w:r>
        <w:rPr>
          <w:sz w:val="20"/>
        </w:rPr>
        <w:t>forward</w:t>
      </w:r>
      <w:r>
        <w:rPr>
          <w:spacing w:val="-11"/>
          <w:sz w:val="20"/>
        </w:rPr>
        <w:t> </w:t>
      </w:r>
      <w:r>
        <w:rPr>
          <w:sz w:val="20"/>
        </w:rPr>
        <w:t>in</w:t>
      </w:r>
      <w:r>
        <w:rPr>
          <w:spacing w:val="-12"/>
          <w:sz w:val="20"/>
        </w:rPr>
        <w:t> </w:t>
      </w:r>
      <w:r>
        <w:rPr>
          <w:sz w:val="20"/>
        </w:rPr>
        <w:t>the</w:t>
      </w:r>
      <w:r>
        <w:rPr>
          <w:spacing w:val="-11"/>
          <w:sz w:val="20"/>
        </w:rPr>
        <w:t> </w:t>
      </w:r>
      <w:r>
        <w:rPr>
          <w:sz w:val="20"/>
        </w:rPr>
        <w:t>consultation </w:t>
      </w:r>
      <w:r>
        <w:rPr>
          <w:spacing w:val="-4"/>
          <w:sz w:val="20"/>
        </w:rPr>
        <w:t>paper—namely, </w:t>
      </w:r>
      <w:r>
        <w:rPr>
          <w:sz w:val="20"/>
        </w:rPr>
        <w:t>a statement </w:t>
      </w:r>
      <w:r>
        <w:rPr>
          <w:spacing w:val="-3"/>
          <w:sz w:val="20"/>
        </w:rPr>
        <w:t>from </w:t>
      </w:r>
      <w:r>
        <w:rPr>
          <w:sz w:val="20"/>
        </w:rPr>
        <w:t>the judge discouraging the use of challenges on discriminatory</w:t>
      </w:r>
      <w:r>
        <w:rPr>
          <w:spacing w:val="-6"/>
          <w:sz w:val="20"/>
        </w:rPr>
        <w:t> </w:t>
      </w:r>
      <w:r>
        <w:rPr>
          <w:sz w:val="20"/>
        </w:rPr>
        <w:t>grounds</w:t>
      </w:r>
      <w:r>
        <w:rPr>
          <w:spacing w:val="-6"/>
          <w:sz w:val="20"/>
        </w:rPr>
        <w:t> </w:t>
      </w:r>
      <w:r>
        <w:rPr>
          <w:sz w:val="20"/>
        </w:rPr>
        <w:t>or</w:t>
      </w:r>
      <w:r>
        <w:rPr>
          <w:spacing w:val="-6"/>
          <w:sz w:val="20"/>
        </w:rPr>
        <w:t> </w:t>
      </w:r>
      <w:r>
        <w:rPr>
          <w:sz w:val="20"/>
        </w:rPr>
        <w:t>guidelines</w:t>
      </w:r>
      <w:r>
        <w:rPr>
          <w:spacing w:val="-6"/>
          <w:sz w:val="20"/>
        </w:rPr>
        <w:t> </w:t>
      </w:r>
      <w:r>
        <w:rPr>
          <w:sz w:val="20"/>
        </w:rPr>
        <w:t>for</w:t>
      </w:r>
      <w:r>
        <w:rPr>
          <w:spacing w:val="-6"/>
          <w:sz w:val="20"/>
        </w:rPr>
        <w:t> </w:t>
      </w:r>
      <w:r>
        <w:rPr>
          <w:sz w:val="20"/>
        </w:rPr>
        <w:t>the</w:t>
      </w:r>
      <w:r>
        <w:rPr>
          <w:spacing w:val="-5"/>
          <w:sz w:val="20"/>
        </w:rPr>
        <w:t> </w:t>
      </w:r>
      <w:r>
        <w:rPr>
          <w:spacing w:val="-4"/>
          <w:sz w:val="20"/>
        </w:rPr>
        <w:t>Bar—would</w:t>
      </w:r>
      <w:r>
        <w:rPr>
          <w:spacing w:val="-6"/>
          <w:sz w:val="20"/>
        </w:rPr>
        <w:t> </w:t>
      </w:r>
      <w:r>
        <w:rPr>
          <w:sz w:val="20"/>
        </w:rPr>
        <w:t>not</w:t>
      </w:r>
      <w:r>
        <w:rPr>
          <w:spacing w:val="-6"/>
          <w:sz w:val="20"/>
        </w:rPr>
        <w:t> </w:t>
      </w:r>
      <w:r>
        <w:rPr>
          <w:sz w:val="20"/>
        </w:rPr>
        <w:t>be</w:t>
      </w:r>
      <w:r>
        <w:rPr>
          <w:spacing w:val="-6"/>
          <w:sz w:val="20"/>
        </w:rPr>
        <w:t> </w:t>
      </w:r>
      <w:r>
        <w:rPr>
          <w:sz w:val="20"/>
        </w:rPr>
        <w:t>helpful.</w:t>
      </w:r>
    </w:p>
    <w:p>
      <w:pPr>
        <w:pStyle w:val="ListParagraph"/>
        <w:numPr>
          <w:ilvl w:val="1"/>
          <w:numId w:val="12"/>
        </w:numPr>
        <w:tabs>
          <w:tab w:pos="1761" w:val="left" w:leader="none"/>
          <w:tab w:pos="1762" w:val="left" w:leader="none"/>
        </w:tabs>
        <w:spacing w:line="206" w:lineRule="auto" w:before="124" w:after="0"/>
        <w:ind w:left="1761" w:right="1431" w:hanging="794"/>
        <w:jc w:val="left"/>
        <w:rPr>
          <w:sz w:val="20"/>
        </w:rPr>
      </w:pPr>
      <w:r>
        <w:rPr>
          <w:sz w:val="20"/>
        </w:rPr>
        <w:t>Instead,</w:t>
      </w:r>
      <w:r>
        <w:rPr>
          <w:spacing w:val="-12"/>
          <w:sz w:val="20"/>
        </w:rPr>
        <w:t> </w:t>
      </w:r>
      <w:r>
        <w:rPr>
          <w:spacing w:val="-3"/>
          <w:sz w:val="20"/>
        </w:rPr>
        <w:t>reform</w:t>
      </w:r>
      <w:r>
        <w:rPr>
          <w:spacing w:val="-12"/>
          <w:sz w:val="20"/>
        </w:rPr>
        <w:t> </w:t>
      </w:r>
      <w:r>
        <w:rPr>
          <w:sz w:val="20"/>
        </w:rPr>
        <w:t>to</w:t>
      </w:r>
      <w:r>
        <w:rPr>
          <w:spacing w:val="-12"/>
          <w:sz w:val="20"/>
        </w:rPr>
        <w:t> </w:t>
      </w:r>
      <w:r>
        <w:rPr>
          <w:sz w:val="20"/>
        </w:rPr>
        <w:t>the</w:t>
      </w:r>
      <w:r>
        <w:rPr>
          <w:spacing w:val="-12"/>
          <w:sz w:val="20"/>
        </w:rPr>
        <w:t> </w:t>
      </w:r>
      <w:r>
        <w:rPr>
          <w:sz w:val="20"/>
        </w:rPr>
        <w:t>Juries</w:t>
      </w:r>
      <w:r>
        <w:rPr>
          <w:spacing w:val="-12"/>
          <w:sz w:val="20"/>
        </w:rPr>
        <w:t> </w:t>
      </w:r>
      <w:r>
        <w:rPr>
          <w:spacing w:val="-2"/>
          <w:sz w:val="20"/>
        </w:rPr>
        <w:t>Act</w:t>
      </w:r>
      <w:r>
        <w:rPr>
          <w:spacing w:val="-11"/>
          <w:sz w:val="20"/>
        </w:rPr>
        <w:t> </w:t>
      </w:r>
      <w:r>
        <w:rPr>
          <w:sz w:val="20"/>
        </w:rPr>
        <w:t>and</w:t>
      </w:r>
      <w:r>
        <w:rPr>
          <w:spacing w:val="-12"/>
          <w:sz w:val="20"/>
        </w:rPr>
        <w:t> </w:t>
      </w:r>
      <w:r>
        <w:rPr>
          <w:sz w:val="20"/>
        </w:rPr>
        <w:t>practice</w:t>
      </w:r>
      <w:r>
        <w:rPr>
          <w:spacing w:val="-12"/>
          <w:sz w:val="20"/>
        </w:rPr>
        <w:t> </w:t>
      </w:r>
      <w:r>
        <w:rPr>
          <w:sz w:val="20"/>
        </w:rPr>
        <w:t>and</w:t>
      </w:r>
      <w:r>
        <w:rPr>
          <w:spacing w:val="-12"/>
          <w:sz w:val="20"/>
        </w:rPr>
        <w:t> </w:t>
      </w:r>
      <w:r>
        <w:rPr>
          <w:sz w:val="20"/>
        </w:rPr>
        <w:t>procedures,</w:t>
      </w:r>
      <w:r>
        <w:rPr>
          <w:spacing w:val="-12"/>
          <w:sz w:val="20"/>
        </w:rPr>
        <w:t> </w:t>
      </w:r>
      <w:r>
        <w:rPr>
          <w:sz w:val="20"/>
        </w:rPr>
        <w:t>together</w:t>
      </w:r>
      <w:r>
        <w:rPr>
          <w:spacing w:val="-11"/>
          <w:sz w:val="20"/>
        </w:rPr>
        <w:t> </w:t>
      </w:r>
      <w:r>
        <w:rPr>
          <w:sz w:val="20"/>
        </w:rPr>
        <w:t>with</w:t>
      </w:r>
      <w:r>
        <w:rPr>
          <w:spacing w:val="-12"/>
          <w:sz w:val="20"/>
        </w:rPr>
        <w:t> </w:t>
      </w:r>
      <w:r>
        <w:rPr>
          <w:sz w:val="20"/>
        </w:rPr>
        <w:t>practical education about the new </w:t>
      </w:r>
      <w:r>
        <w:rPr>
          <w:spacing w:val="-3"/>
          <w:sz w:val="20"/>
        </w:rPr>
        <w:t>laws </w:t>
      </w:r>
      <w:r>
        <w:rPr>
          <w:sz w:val="20"/>
        </w:rPr>
        <w:t>and disability </w:t>
      </w:r>
      <w:r>
        <w:rPr>
          <w:spacing w:val="-3"/>
          <w:sz w:val="20"/>
        </w:rPr>
        <w:t>awareness </w:t>
      </w:r>
      <w:r>
        <w:rPr>
          <w:sz w:val="20"/>
        </w:rPr>
        <w:t>training, will help to guard against prejudice and misconceptions later in the selection process. </w:t>
      </w:r>
      <w:r>
        <w:rPr>
          <w:spacing w:val="-2"/>
          <w:sz w:val="20"/>
        </w:rPr>
        <w:t>Reform </w:t>
      </w:r>
      <w:r>
        <w:rPr>
          <w:sz w:val="20"/>
        </w:rPr>
        <w:t>will be </w:t>
      </w:r>
      <w:r>
        <w:rPr>
          <w:spacing w:val="-3"/>
          <w:sz w:val="20"/>
        </w:rPr>
        <w:t>greatly </w:t>
      </w:r>
      <w:r>
        <w:rPr>
          <w:sz w:val="20"/>
        </w:rPr>
        <w:t>assisted </w:t>
      </w:r>
      <w:r>
        <w:rPr>
          <w:spacing w:val="-3"/>
          <w:sz w:val="20"/>
        </w:rPr>
        <w:t>by </w:t>
      </w:r>
      <w:r>
        <w:rPr>
          <w:sz w:val="20"/>
        </w:rPr>
        <w:t>leadership </w:t>
      </w:r>
      <w:r>
        <w:rPr>
          <w:spacing w:val="-3"/>
          <w:sz w:val="20"/>
        </w:rPr>
        <w:t>from</w:t>
      </w:r>
      <w:r>
        <w:rPr>
          <w:spacing w:val="-16"/>
          <w:sz w:val="20"/>
        </w:rPr>
        <w:t> </w:t>
      </w:r>
      <w:r>
        <w:rPr>
          <w:sz w:val="20"/>
        </w:rPr>
        <w:t>judges.</w:t>
      </w:r>
    </w:p>
    <w:p>
      <w:pPr>
        <w:spacing w:before="163"/>
        <w:ind w:left="967" w:right="0" w:firstLine="0"/>
        <w:jc w:val="left"/>
        <w:rPr>
          <w:b/>
          <w:sz w:val="24"/>
        </w:rPr>
      </w:pPr>
      <w:r>
        <w:rPr>
          <w:b/>
          <w:sz w:val="24"/>
        </w:rPr>
        <w:t>The judge should give a simple direction</w:t>
      </w:r>
    </w:p>
    <w:p>
      <w:pPr>
        <w:pStyle w:val="ListParagraph"/>
        <w:numPr>
          <w:ilvl w:val="1"/>
          <w:numId w:val="12"/>
        </w:numPr>
        <w:tabs>
          <w:tab w:pos="1761" w:val="left" w:leader="none"/>
          <w:tab w:pos="1762" w:val="left" w:leader="none"/>
        </w:tabs>
        <w:spacing w:line="206" w:lineRule="auto" w:before="127" w:after="0"/>
        <w:ind w:left="1761" w:right="1483" w:hanging="794"/>
        <w:jc w:val="left"/>
        <w:rPr>
          <w:sz w:val="20"/>
        </w:rPr>
      </w:pPr>
      <w:r>
        <w:rPr>
          <w:sz w:val="20"/>
        </w:rPr>
        <w:t>The</w:t>
      </w:r>
      <w:r>
        <w:rPr>
          <w:spacing w:val="-11"/>
          <w:sz w:val="20"/>
        </w:rPr>
        <w:t> </w:t>
      </w:r>
      <w:r>
        <w:rPr>
          <w:sz w:val="20"/>
        </w:rPr>
        <w:t>Commission</w:t>
      </w:r>
      <w:r>
        <w:rPr>
          <w:spacing w:val="-10"/>
          <w:sz w:val="20"/>
        </w:rPr>
        <w:t> </w:t>
      </w:r>
      <w:r>
        <w:rPr>
          <w:sz w:val="20"/>
        </w:rPr>
        <w:t>agrees</w:t>
      </w:r>
      <w:r>
        <w:rPr>
          <w:spacing w:val="-10"/>
          <w:sz w:val="20"/>
        </w:rPr>
        <w:t> </w:t>
      </w:r>
      <w:r>
        <w:rPr>
          <w:sz w:val="20"/>
        </w:rPr>
        <w:t>with</w:t>
      </w:r>
      <w:r>
        <w:rPr>
          <w:spacing w:val="-10"/>
          <w:sz w:val="20"/>
        </w:rPr>
        <w:t> </w:t>
      </w:r>
      <w:r>
        <w:rPr>
          <w:sz w:val="20"/>
        </w:rPr>
        <w:t>the</w:t>
      </w:r>
      <w:r>
        <w:rPr>
          <w:spacing w:val="-10"/>
          <w:sz w:val="20"/>
        </w:rPr>
        <w:t> </w:t>
      </w:r>
      <w:r>
        <w:rPr>
          <w:sz w:val="20"/>
        </w:rPr>
        <w:t>suggestion</w:t>
      </w:r>
      <w:r>
        <w:rPr>
          <w:spacing w:val="-10"/>
          <w:sz w:val="20"/>
        </w:rPr>
        <w:t> </w:t>
      </w:r>
      <w:r>
        <w:rPr>
          <w:spacing w:val="-3"/>
          <w:sz w:val="20"/>
        </w:rPr>
        <w:t>from</w:t>
      </w:r>
      <w:r>
        <w:rPr>
          <w:spacing w:val="-10"/>
          <w:sz w:val="20"/>
        </w:rPr>
        <w:t> </w:t>
      </w:r>
      <w:r>
        <w:rPr>
          <w:sz w:val="20"/>
        </w:rPr>
        <w:t>County</w:t>
      </w:r>
      <w:r>
        <w:rPr>
          <w:spacing w:val="-10"/>
          <w:sz w:val="20"/>
        </w:rPr>
        <w:t> </w:t>
      </w:r>
      <w:r>
        <w:rPr>
          <w:sz w:val="20"/>
        </w:rPr>
        <w:t>Court</w:t>
      </w:r>
      <w:r>
        <w:rPr>
          <w:spacing w:val="-10"/>
          <w:sz w:val="20"/>
        </w:rPr>
        <w:t> </w:t>
      </w:r>
      <w:r>
        <w:rPr>
          <w:sz w:val="20"/>
        </w:rPr>
        <w:t>consultees</w:t>
      </w:r>
      <w:r>
        <w:rPr>
          <w:spacing w:val="-10"/>
          <w:sz w:val="20"/>
        </w:rPr>
        <w:t> </w:t>
      </w:r>
      <w:r>
        <w:rPr>
          <w:sz w:val="20"/>
        </w:rPr>
        <w:t>that</w:t>
      </w:r>
      <w:r>
        <w:rPr>
          <w:spacing w:val="-10"/>
          <w:sz w:val="20"/>
        </w:rPr>
        <w:t> </w:t>
      </w:r>
      <w:r>
        <w:rPr>
          <w:sz w:val="20"/>
        </w:rPr>
        <w:t>the judge</w:t>
      </w:r>
      <w:r>
        <w:rPr>
          <w:spacing w:val="-8"/>
          <w:sz w:val="20"/>
        </w:rPr>
        <w:t> </w:t>
      </w:r>
      <w:r>
        <w:rPr>
          <w:spacing w:val="-3"/>
          <w:sz w:val="20"/>
        </w:rPr>
        <w:t>make</w:t>
      </w:r>
      <w:r>
        <w:rPr>
          <w:spacing w:val="-8"/>
          <w:sz w:val="20"/>
        </w:rPr>
        <w:t> </w:t>
      </w:r>
      <w:r>
        <w:rPr>
          <w:sz w:val="20"/>
        </w:rPr>
        <w:t>a</w:t>
      </w:r>
      <w:r>
        <w:rPr>
          <w:spacing w:val="-8"/>
          <w:sz w:val="20"/>
        </w:rPr>
        <w:t> </w:t>
      </w:r>
      <w:r>
        <w:rPr>
          <w:sz w:val="20"/>
        </w:rPr>
        <w:t>brief</w:t>
      </w:r>
      <w:r>
        <w:rPr>
          <w:spacing w:val="-8"/>
          <w:sz w:val="20"/>
        </w:rPr>
        <w:t> </w:t>
      </w:r>
      <w:r>
        <w:rPr>
          <w:sz w:val="20"/>
        </w:rPr>
        <w:t>and</w:t>
      </w:r>
      <w:r>
        <w:rPr>
          <w:spacing w:val="-8"/>
          <w:sz w:val="20"/>
        </w:rPr>
        <w:t> </w:t>
      </w:r>
      <w:r>
        <w:rPr>
          <w:sz w:val="20"/>
        </w:rPr>
        <w:t>simple</w:t>
      </w:r>
      <w:r>
        <w:rPr>
          <w:spacing w:val="-8"/>
          <w:sz w:val="20"/>
        </w:rPr>
        <w:t> </w:t>
      </w:r>
      <w:r>
        <w:rPr>
          <w:sz w:val="20"/>
        </w:rPr>
        <w:t>direction</w:t>
      </w:r>
      <w:r>
        <w:rPr>
          <w:spacing w:val="-8"/>
          <w:sz w:val="20"/>
        </w:rPr>
        <w:t> </w:t>
      </w:r>
      <w:r>
        <w:rPr>
          <w:spacing w:val="-3"/>
          <w:sz w:val="20"/>
        </w:rPr>
        <w:t>before</w:t>
      </w:r>
      <w:r>
        <w:rPr>
          <w:spacing w:val="-8"/>
          <w:sz w:val="20"/>
        </w:rPr>
        <w:t> </w:t>
      </w:r>
      <w:r>
        <w:rPr>
          <w:sz w:val="20"/>
        </w:rPr>
        <w:t>the</w:t>
      </w:r>
      <w:r>
        <w:rPr>
          <w:spacing w:val="-8"/>
          <w:sz w:val="20"/>
        </w:rPr>
        <w:t> </w:t>
      </w:r>
      <w:r>
        <w:rPr>
          <w:spacing w:val="-3"/>
          <w:sz w:val="20"/>
        </w:rPr>
        <w:t>exercise</w:t>
      </w:r>
      <w:r>
        <w:rPr>
          <w:spacing w:val="-7"/>
          <w:sz w:val="20"/>
        </w:rPr>
        <w:t> </w:t>
      </w:r>
      <w:r>
        <w:rPr>
          <w:sz w:val="20"/>
        </w:rPr>
        <w:t>of</w:t>
      </w:r>
      <w:r>
        <w:rPr>
          <w:spacing w:val="-8"/>
          <w:sz w:val="20"/>
        </w:rPr>
        <w:t> </w:t>
      </w:r>
      <w:r>
        <w:rPr>
          <w:sz w:val="20"/>
        </w:rPr>
        <w:t>challenges</w:t>
      </w:r>
      <w:r>
        <w:rPr>
          <w:spacing w:val="-8"/>
          <w:sz w:val="20"/>
        </w:rPr>
        <w:t> </w:t>
      </w:r>
      <w:r>
        <w:rPr>
          <w:sz w:val="20"/>
        </w:rPr>
        <w:t>if</w:t>
      </w:r>
      <w:r>
        <w:rPr>
          <w:spacing w:val="-8"/>
          <w:sz w:val="20"/>
        </w:rPr>
        <w:t> </w:t>
      </w:r>
      <w:r>
        <w:rPr>
          <w:sz w:val="20"/>
        </w:rPr>
        <w:t>needed that there is a person </w:t>
      </w:r>
      <w:r>
        <w:rPr>
          <w:spacing w:val="-3"/>
          <w:sz w:val="20"/>
        </w:rPr>
        <w:t>from </w:t>
      </w:r>
      <w:r>
        <w:rPr>
          <w:sz w:val="20"/>
        </w:rPr>
        <w:t>the subject groups on the panel and that adjustments </w:t>
      </w:r>
      <w:r>
        <w:rPr>
          <w:spacing w:val="-4"/>
          <w:sz w:val="20"/>
        </w:rPr>
        <w:t>have</w:t>
      </w:r>
      <w:r>
        <w:rPr>
          <w:spacing w:val="-8"/>
          <w:sz w:val="20"/>
        </w:rPr>
        <w:t> </w:t>
      </w:r>
      <w:r>
        <w:rPr>
          <w:sz w:val="20"/>
        </w:rPr>
        <w:t>been</w:t>
      </w:r>
      <w:r>
        <w:rPr>
          <w:spacing w:val="-8"/>
          <w:sz w:val="20"/>
        </w:rPr>
        <w:t> </w:t>
      </w:r>
      <w:r>
        <w:rPr>
          <w:sz w:val="20"/>
        </w:rPr>
        <w:t>made</w:t>
      </w:r>
      <w:r>
        <w:rPr>
          <w:spacing w:val="-8"/>
          <w:sz w:val="20"/>
        </w:rPr>
        <w:t> </w:t>
      </w:r>
      <w:r>
        <w:rPr>
          <w:sz w:val="20"/>
        </w:rPr>
        <w:t>to</w:t>
      </w:r>
      <w:r>
        <w:rPr>
          <w:spacing w:val="-8"/>
          <w:sz w:val="20"/>
        </w:rPr>
        <w:t> </w:t>
      </w:r>
      <w:r>
        <w:rPr>
          <w:sz w:val="20"/>
        </w:rPr>
        <w:t>enable</w:t>
      </w:r>
      <w:r>
        <w:rPr>
          <w:spacing w:val="-8"/>
          <w:sz w:val="20"/>
        </w:rPr>
        <w:t> </w:t>
      </w:r>
      <w:r>
        <w:rPr>
          <w:sz w:val="20"/>
        </w:rPr>
        <w:t>them</w:t>
      </w:r>
      <w:r>
        <w:rPr>
          <w:spacing w:val="-8"/>
          <w:sz w:val="20"/>
        </w:rPr>
        <w:t> </w:t>
      </w:r>
      <w:r>
        <w:rPr>
          <w:sz w:val="20"/>
        </w:rPr>
        <w:t>to</w:t>
      </w:r>
      <w:r>
        <w:rPr>
          <w:spacing w:val="-7"/>
          <w:sz w:val="20"/>
        </w:rPr>
        <w:t> </w:t>
      </w:r>
      <w:r>
        <w:rPr>
          <w:sz w:val="20"/>
        </w:rPr>
        <w:t>serve.</w:t>
      </w:r>
      <w:r>
        <w:rPr>
          <w:position w:val="7"/>
          <w:sz w:val="11"/>
        </w:rPr>
        <w:t>54</w:t>
      </w:r>
      <w:r>
        <w:rPr>
          <w:spacing w:val="17"/>
          <w:position w:val="7"/>
          <w:sz w:val="11"/>
        </w:rPr>
        <w:t> </w:t>
      </w:r>
      <w:r>
        <w:rPr>
          <w:sz w:val="20"/>
        </w:rPr>
        <w:t>In</w:t>
      </w:r>
      <w:r>
        <w:rPr>
          <w:spacing w:val="-8"/>
          <w:sz w:val="20"/>
        </w:rPr>
        <w:t> </w:t>
      </w:r>
      <w:r>
        <w:rPr>
          <w:spacing w:val="-2"/>
          <w:sz w:val="20"/>
        </w:rPr>
        <w:t>Chapter</w:t>
      </w:r>
      <w:r>
        <w:rPr>
          <w:spacing w:val="-8"/>
          <w:sz w:val="20"/>
        </w:rPr>
        <w:t> </w:t>
      </w:r>
      <w:r>
        <w:rPr>
          <w:sz w:val="20"/>
        </w:rPr>
        <w:t>12</w:t>
      </w:r>
      <w:r>
        <w:rPr>
          <w:spacing w:val="-8"/>
          <w:sz w:val="20"/>
        </w:rPr>
        <w:t> </w:t>
      </w:r>
      <w:r>
        <w:rPr>
          <w:spacing w:val="-3"/>
          <w:sz w:val="20"/>
        </w:rPr>
        <w:t>we</w:t>
      </w:r>
      <w:r>
        <w:rPr>
          <w:spacing w:val="-8"/>
          <w:sz w:val="20"/>
        </w:rPr>
        <w:t> </w:t>
      </w:r>
      <w:r>
        <w:rPr>
          <w:sz w:val="20"/>
        </w:rPr>
        <w:t>recommended</w:t>
      </w:r>
      <w:r>
        <w:rPr>
          <w:spacing w:val="-8"/>
          <w:sz w:val="20"/>
        </w:rPr>
        <w:t> </w:t>
      </w:r>
      <w:r>
        <w:rPr>
          <w:sz w:val="20"/>
        </w:rPr>
        <w:t>that</w:t>
      </w:r>
      <w:r>
        <w:rPr>
          <w:spacing w:val="-7"/>
          <w:sz w:val="20"/>
        </w:rPr>
        <w:t> </w:t>
      </w:r>
      <w:r>
        <w:rPr>
          <w:sz w:val="20"/>
        </w:rPr>
        <w:t>this</w:t>
      </w:r>
    </w:p>
    <w:p>
      <w:pPr>
        <w:pStyle w:val="BodyText"/>
        <w:spacing w:line="206" w:lineRule="auto" w:before="6"/>
        <w:ind w:left="1761" w:right="1211"/>
        <w:jc w:val="both"/>
      </w:pPr>
      <w:r>
        <w:rPr/>
        <w:t>statement</w:t>
      </w:r>
      <w:r>
        <w:rPr>
          <w:spacing w:val="-10"/>
        </w:rPr>
        <w:t> </w:t>
      </w:r>
      <w:r>
        <w:rPr/>
        <w:t>is</w:t>
      </w:r>
      <w:r>
        <w:rPr>
          <w:spacing w:val="-9"/>
        </w:rPr>
        <w:t> </w:t>
      </w:r>
      <w:r>
        <w:rPr/>
        <w:t>made</w:t>
      </w:r>
      <w:r>
        <w:rPr>
          <w:spacing w:val="-9"/>
        </w:rPr>
        <w:t> </w:t>
      </w:r>
      <w:r>
        <w:rPr>
          <w:spacing w:val="-3"/>
        </w:rPr>
        <w:t>before</w:t>
      </w:r>
      <w:r>
        <w:rPr>
          <w:spacing w:val="-9"/>
        </w:rPr>
        <w:t> </w:t>
      </w:r>
      <w:r>
        <w:rPr/>
        <w:t>the</w:t>
      </w:r>
      <w:r>
        <w:rPr>
          <w:spacing w:val="-9"/>
        </w:rPr>
        <w:t> </w:t>
      </w:r>
      <w:r>
        <w:rPr/>
        <w:t>panel</w:t>
      </w:r>
      <w:r>
        <w:rPr>
          <w:spacing w:val="-9"/>
        </w:rPr>
        <w:t> </w:t>
      </w:r>
      <w:r>
        <w:rPr/>
        <w:t>is</w:t>
      </w:r>
      <w:r>
        <w:rPr>
          <w:spacing w:val="-9"/>
        </w:rPr>
        <w:t> </w:t>
      </w:r>
      <w:r>
        <w:rPr/>
        <w:t>brought</w:t>
      </w:r>
      <w:r>
        <w:rPr>
          <w:spacing w:val="-9"/>
        </w:rPr>
        <w:t> </w:t>
      </w:r>
      <w:r>
        <w:rPr>
          <w:spacing w:val="-3"/>
        </w:rPr>
        <w:t>into</w:t>
      </w:r>
      <w:r>
        <w:rPr>
          <w:spacing w:val="-9"/>
        </w:rPr>
        <w:t> </w:t>
      </w:r>
      <w:r>
        <w:rPr/>
        <w:t>the</w:t>
      </w:r>
      <w:r>
        <w:rPr>
          <w:spacing w:val="-9"/>
        </w:rPr>
        <w:t> </w:t>
      </w:r>
      <w:r>
        <w:rPr/>
        <w:t>courtroom,</w:t>
      </w:r>
      <w:r>
        <w:rPr>
          <w:spacing w:val="-9"/>
        </w:rPr>
        <w:t> </w:t>
      </w:r>
      <w:r>
        <w:rPr/>
        <w:t>so</w:t>
      </w:r>
      <w:r>
        <w:rPr>
          <w:spacing w:val="-9"/>
        </w:rPr>
        <w:t> </w:t>
      </w:r>
      <w:r>
        <w:rPr/>
        <w:t>that</w:t>
      </w:r>
      <w:r>
        <w:rPr>
          <w:spacing w:val="-9"/>
        </w:rPr>
        <w:t> </w:t>
      </w:r>
      <w:r>
        <w:rPr>
          <w:spacing w:val="-3"/>
        </w:rPr>
        <w:t>only</w:t>
      </w:r>
      <w:r>
        <w:rPr>
          <w:spacing w:val="-9"/>
        </w:rPr>
        <w:t> </w:t>
      </w:r>
      <w:r>
        <w:rPr/>
        <w:t>counsel and</w:t>
      </w:r>
      <w:r>
        <w:rPr>
          <w:spacing w:val="-8"/>
        </w:rPr>
        <w:t> </w:t>
      </w:r>
      <w:r>
        <w:rPr/>
        <w:t>the</w:t>
      </w:r>
      <w:r>
        <w:rPr>
          <w:spacing w:val="-7"/>
        </w:rPr>
        <w:t> </w:t>
      </w:r>
      <w:r>
        <w:rPr/>
        <w:t>accused</w:t>
      </w:r>
      <w:r>
        <w:rPr>
          <w:spacing w:val="-7"/>
        </w:rPr>
        <w:t> </w:t>
      </w:r>
      <w:r>
        <w:rPr>
          <w:spacing w:val="-3"/>
        </w:rPr>
        <w:t>are</w:t>
      </w:r>
      <w:r>
        <w:rPr>
          <w:spacing w:val="-7"/>
        </w:rPr>
        <w:t> </w:t>
      </w:r>
      <w:r>
        <w:rPr/>
        <w:t>present.</w:t>
      </w:r>
      <w:r>
        <w:rPr>
          <w:spacing w:val="-7"/>
        </w:rPr>
        <w:t> </w:t>
      </w:r>
      <w:r>
        <w:rPr/>
        <w:t>This</w:t>
      </w:r>
      <w:r>
        <w:rPr>
          <w:spacing w:val="-7"/>
        </w:rPr>
        <w:t> </w:t>
      </w:r>
      <w:r>
        <w:rPr/>
        <w:t>idea</w:t>
      </w:r>
      <w:r>
        <w:rPr>
          <w:spacing w:val="-7"/>
        </w:rPr>
        <w:t> </w:t>
      </w:r>
      <w:r>
        <w:rPr/>
        <w:t>was</w:t>
      </w:r>
      <w:r>
        <w:rPr>
          <w:spacing w:val="-7"/>
        </w:rPr>
        <w:t> </w:t>
      </w:r>
      <w:r>
        <w:rPr/>
        <w:t>also</w:t>
      </w:r>
      <w:r>
        <w:rPr>
          <w:spacing w:val="-7"/>
        </w:rPr>
        <w:t> </w:t>
      </w:r>
      <w:r>
        <w:rPr/>
        <w:t>supported</w:t>
      </w:r>
      <w:r>
        <w:rPr>
          <w:spacing w:val="-7"/>
        </w:rPr>
        <w:t> </w:t>
      </w:r>
      <w:r>
        <w:rPr>
          <w:spacing w:val="-3"/>
        </w:rPr>
        <w:t>by</w:t>
      </w:r>
      <w:r>
        <w:rPr>
          <w:spacing w:val="-8"/>
        </w:rPr>
        <w:t> </w:t>
      </w:r>
      <w:r>
        <w:rPr/>
        <w:t>the</w:t>
      </w:r>
      <w:r>
        <w:rPr>
          <w:spacing w:val="-7"/>
        </w:rPr>
        <w:t> </w:t>
      </w:r>
      <w:r>
        <w:rPr>
          <w:spacing w:val="-3"/>
        </w:rPr>
        <w:t>LIV.</w:t>
      </w:r>
      <w:r>
        <w:rPr>
          <w:spacing w:val="-3"/>
          <w:position w:val="7"/>
          <w:sz w:val="11"/>
        </w:rPr>
        <w:t>55</w:t>
      </w:r>
      <w:r>
        <w:rPr>
          <w:spacing w:val="18"/>
          <w:position w:val="7"/>
          <w:sz w:val="11"/>
        </w:rPr>
        <w:t> </w:t>
      </w:r>
      <w:r>
        <w:rPr/>
        <w:t>It</w:t>
      </w:r>
      <w:r>
        <w:rPr>
          <w:spacing w:val="-7"/>
        </w:rPr>
        <w:t> </w:t>
      </w:r>
      <w:r>
        <w:rPr>
          <w:spacing w:val="-3"/>
        </w:rPr>
        <w:t>would</w:t>
      </w:r>
      <w:r>
        <w:rPr>
          <w:spacing w:val="-7"/>
        </w:rPr>
        <w:t> </w:t>
      </w:r>
      <w:r>
        <w:rPr/>
        <w:t>help</w:t>
      </w:r>
      <w:r>
        <w:rPr>
          <w:spacing w:val="-7"/>
        </w:rPr>
        <w:t> </w:t>
      </w:r>
      <w:r>
        <w:rPr/>
        <w:t>to shift misconceptions that </w:t>
      </w:r>
      <w:r>
        <w:rPr>
          <w:spacing w:val="-3"/>
        </w:rPr>
        <w:t>may </w:t>
      </w:r>
      <w:r>
        <w:rPr/>
        <w:t>be held </w:t>
      </w:r>
      <w:r>
        <w:rPr>
          <w:spacing w:val="-3"/>
        </w:rPr>
        <w:t>by</w:t>
      </w:r>
      <w:r>
        <w:rPr>
          <w:spacing w:val="-30"/>
        </w:rPr>
        <w:t> </w:t>
      </w:r>
      <w:r>
        <w:rPr/>
        <w:t>counsel.</w:t>
      </w:r>
    </w:p>
    <w:p>
      <w:pPr>
        <w:pStyle w:val="ListParagraph"/>
        <w:numPr>
          <w:ilvl w:val="1"/>
          <w:numId w:val="12"/>
        </w:numPr>
        <w:tabs>
          <w:tab w:pos="1761" w:val="left" w:leader="none"/>
          <w:tab w:pos="1762" w:val="left" w:leader="none"/>
        </w:tabs>
        <w:spacing w:line="206" w:lineRule="auto" w:before="123" w:after="0"/>
        <w:ind w:left="1761" w:right="1345" w:hanging="794"/>
        <w:jc w:val="left"/>
        <w:rPr>
          <w:sz w:val="20"/>
        </w:rPr>
      </w:pPr>
      <w:r>
        <w:rPr>
          <w:sz w:val="20"/>
        </w:rPr>
        <w:t>This</w:t>
      </w:r>
      <w:r>
        <w:rPr>
          <w:spacing w:val="-8"/>
          <w:sz w:val="20"/>
        </w:rPr>
        <w:t> </w:t>
      </w:r>
      <w:r>
        <w:rPr>
          <w:spacing w:val="-3"/>
          <w:sz w:val="20"/>
        </w:rPr>
        <w:t>may</w:t>
      </w:r>
      <w:r>
        <w:rPr>
          <w:spacing w:val="-8"/>
          <w:sz w:val="20"/>
        </w:rPr>
        <w:t> </w:t>
      </w:r>
      <w:r>
        <w:rPr>
          <w:spacing w:val="-3"/>
          <w:sz w:val="20"/>
        </w:rPr>
        <w:t>only</w:t>
      </w:r>
      <w:r>
        <w:rPr>
          <w:spacing w:val="-8"/>
          <w:sz w:val="20"/>
        </w:rPr>
        <w:t> </w:t>
      </w:r>
      <w:r>
        <w:rPr>
          <w:sz w:val="20"/>
        </w:rPr>
        <w:t>be</w:t>
      </w:r>
      <w:r>
        <w:rPr>
          <w:spacing w:val="-8"/>
          <w:sz w:val="20"/>
        </w:rPr>
        <w:t> </w:t>
      </w:r>
      <w:r>
        <w:rPr>
          <w:spacing w:val="-3"/>
          <w:sz w:val="20"/>
        </w:rPr>
        <w:t>required</w:t>
      </w:r>
      <w:r>
        <w:rPr>
          <w:spacing w:val="-7"/>
          <w:sz w:val="20"/>
        </w:rPr>
        <w:t> </w:t>
      </w:r>
      <w:r>
        <w:rPr>
          <w:sz w:val="20"/>
        </w:rPr>
        <w:t>for</w:t>
      </w:r>
      <w:r>
        <w:rPr>
          <w:spacing w:val="-8"/>
          <w:sz w:val="20"/>
        </w:rPr>
        <w:t> </w:t>
      </w:r>
      <w:r>
        <w:rPr>
          <w:sz w:val="20"/>
        </w:rPr>
        <w:t>a</w:t>
      </w:r>
      <w:r>
        <w:rPr>
          <w:spacing w:val="-8"/>
          <w:sz w:val="20"/>
        </w:rPr>
        <w:t> </w:t>
      </w:r>
      <w:r>
        <w:rPr>
          <w:sz w:val="20"/>
        </w:rPr>
        <w:t>short</w:t>
      </w:r>
      <w:r>
        <w:rPr>
          <w:spacing w:val="-8"/>
          <w:sz w:val="20"/>
        </w:rPr>
        <w:t> </w:t>
      </w:r>
      <w:r>
        <w:rPr>
          <w:sz w:val="20"/>
        </w:rPr>
        <w:t>period,</w:t>
      </w:r>
      <w:r>
        <w:rPr>
          <w:spacing w:val="-8"/>
          <w:sz w:val="20"/>
        </w:rPr>
        <w:t> </w:t>
      </w:r>
      <w:r>
        <w:rPr>
          <w:sz w:val="20"/>
        </w:rPr>
        <w:t>until</w:t>
      </w:r>
      <w:r>
        <w:rPr>
          <w:spacing w:val="-7"/>
          <w:sz w:val="20"/>
        </w:rPr>
        <w:t> </w:t>
      </w:r>
      <w:r>
        <w:rPr>
          <w:sz w:val="20"/>
        </w:rPr>
        <w:t>the</w:t>
      </w:r>
      <w:r>
        <w:rPr>
          <w:spacing w:val="-8"/>
          <w:sz w:val="20"/>
        </w:rPr>
        <w:t> </w:t>
      </w:r>
      <w:r>
        <w:rPr>
          <w:sz w:val="20"/>
        </w:rPr>
        <w:t>concept</w:t>
      </w:r>
      <w:r>
        <w:rPr>
          <w:spacing w:val="-8"/>
          <w:sz w:val="20"/>
        </w:rPr>
        <w:t> </w:t>
      </w:r>
      <w:r>
        <w:rPr>
          <w:sz w:val="20"/>
        </w:rPr>
        <w:t>of</w:t>
      </w:r>
      <w:r>
        <w:rPr>
          <w:spacing w:val="-8"/>
          <w:sz w:val="20"/>
        </w:rPr>
        <w:t> </w:t>
      </w:r>
      <w:r>
        <w:rPr>
          <w:sz w:val="20"/>
        </w:rPr>
        <w:t>people</w:t>
      </w:r>
      <w:r>
        <w:rPr>
          <w:spacing w:val="-8"/>
          <w:sz w:val="20"/>
        </w:rPr>
        <w:t> </w:t>
      </w:r>
      <w:r>
        <w:rPr>
          <w:sz w:val="20"/>
        </w:rPr>
        <w:t>in</w:t>
      </w:r>
      <w:r>
        <w:rPr>
          <w:spacing w:val="-7"/>
          <w:sz w:val="20"/>
        </w:rPr>
        <w:t> </w:t>
      </w:r>
      <w:r>
        <w:rPr>
          <w:sz w:val="20"/>
        </w:rPr>
        <w:t>the</w:t>
      </w:r>
      <w:r>
        <w:rPr>
          <w:spacing w:val="-8"/>
          <w:sz w:val="20"/>
        </w:rPr>
        <w:t> </w:t>
      </w:r>
      <w:r>
        <w:rPr>
          <w:sz w:val="20"/>
        </w:rPr>
        <w:t>subject groups serving on juries becomes more routine. </w:t>
      </w:r>
      <w:r>
        <w:rPr>
          <w:spacing w:val="-4"/>
          <w:sz w:val="20"/>
        </w:rPr>
        <w:t>Ultimately, </w:t>
      </w:r>
      <w:r>
        <w:rPr>
          <w:sz w:val="20"/>
        </w:rPr>
        <w:t>the aim </w:t>
      </w:r>
      <w:r>
        <w:rPr>
          <w:spacing w:val="-3"/>
          <w:sz w:val="20"/>
        </w:rPr>
        <w:t>would </w:t>
      </w:r>
      <w:r>
        <w:rPr>
          <w:sz w:val="20"/>
        </w:rPr>
        <w:t>be to </w:t>
      </w:r>
      <w:r>
        <w:rPr>
          <w:spacing w:val="-3"/>
          <w:sz w:val="20"/>
        </w:rPr>
        <w:t>achieve</w:t>
      </w:r>
      <w:r>
        <w:rPr>
          <w:spacing w:val="-13"/>
          <w:sz w:val="20"/>
        </w:rPr>
        <w:t> </w:t>
      </w:r>
      <w:r>
        <w:rPr>
          <w:sz w:val="20"/>
        </w:rPr>
        <w:t>an</w:t>
      </w:r>
      <w:r>
        <w:rPr>
          <w:spacing w:val="-12"/>
          <w:sz w:val="20"/>
        </w:rPr>
        <w:t> </w:t>
      </w:r>
      <w:r>
        <w:rPr>
          <w:sz w:val="20"/>
        </w:rPr>
        <w:t>experience</w:t>
      </w:r>
      <w:r>
        <w:rPr>
          <w:spacing w:val="-13"/>
          <w:sz w:val="20"/>
        </w:rPr>
        <w:t> </w:t>
      </w:r>
      <w:r>
        <w:rPr>
          <w:sz w:val="20"/>
        </w:rPr>
        <w:t>similar</w:t>
      </w:r>
      <w:r>
        <w:rPr>
          <w:spacing w:val="-12"/>
          <w:sz w:val="20"/>
        </w:rPr>
        <w:t> </w:t>
      </w:r>
      <w:r>
        <w:rPr>
          <w:sz w:val="20"/>
        </w:rPr>
        <w:t>to</w:t>
      </w:r>
      <w:r>
        <w:rPr>
          <w:spacing w:val="-13"/>
          <w:sz w:val="20"/>
        </w:rPr>
        <w:t> </w:t>
      </w:r>
      <w:r>
        <w:rPr>
          <w:sz w:val="20"/>
        </w:rPr>
        <w:t>that</w:t>
      </w:r>
      <w:r>
        <w:rPr>
          <w:spacing w:val="-12"/>
          <w:sz w:val="20"/>
        </w:rPr>
        <w:t> </w:t>
      </w:r>
      <w:r>
        <w:rPr>
          <w:sz w:val="20"/>
        </w:rPr>
        <w:t>in</w:t>
      </w:r>
      <w:r>
        <w:rPr>
          <w:spacing w:val="-13"/>
          <w:sz w:val="20"/>
        </w:rPr>
        <w:t> </w:t>
      </w:r>
      <w:r>
        <w:rPr>
          <w:sz w:val="20"/>
        </w:rPr>
        <w:t>the</w:t>
      </w:r>
      <w:r>
        <w:rPr>
          <w:spacing w:val="-12"/>
          <w:sz w:val="20"/>
        </w:rPr>
        <w:t> </w:t>
      </w:r>
      <w:r>
        <w:rPr>
          <w:sz w:val="20"/>
        </w:rPr>
        <w:t>United</w:t>
      </w:r>
      <w:r>
        <w:rPr>
          <w:spacing w:val="-13"/>
          <w:sz w:val="20"/>
        </w:rPr>
        <w:t> </w:t>
      </w:r>
      <w:r>
        <w:rPr>
          <w:sz w:val="20"/>
        </w:rPr>
        <w:t>States,</w:t>
      </w:r>
      <w:r>
        <w:rPr>
          <w:spacing w:val="-12"/>
          <w:sz w:val="20"/>
        </w:rPr>
        <w:t> </w:t>
      </w:r>
      <w:r>
        <w:rPr>
          <w:sz w:val="20"/>
        </w:rPr>
        <w:t>where</w:t>
      </w:r>
      <w:r>
        <w:rPr>
          <w:spacing w:val="-13"/>
          <w:sz w:val="20"/>
        </w:rPr>
        <w:t> </w:t>
      </w:r>
      <w:r>
        <w:rPr>
          <w:sz w:val="20"/>
        </w:rPr>
        <w:t>jurors</w:t>
      </w:r>
      <w:r>
        <w:rPr>
          <w:spacing w:val="-12"/>
          <w:sz w:val="20"/>
        </w:rPr>
        <w:t> </w:t>
      </w:r>
      <w:r>
        <w:rPr>
          <w:sz w:val="20"/>
        </w:rPr>
        <w:t>with</w:t>
      </w:r>
      <w:r>
        <w:rPr>
          <w:spacing w:val="-13"/>
          <w:sz w:val="20"/>
        </w:rPr>
        <w:t> </w:t>
      </w:r>
      <w:r>
        <w:rPr>
          <w:sz w:val="20"/>
        </w:rPr>
        <w:t>disabilities </w:t>
      </w:r>
      <w:r>
        <w:rPr>
          <w:spacing w:val="-3"/>
          <w:sz w:val="20"/>
        </w:rPr>
        <w:t>are</w:t>
      </w:r>
      <w:r>
        <w:rPr>
          <w:spacing w:val="-5"/>
          <w:sz w:val="20"/>
        </w:rPr>
        <w:t> </w:t>
      </w:r>
      <w:r>
        <w:rPr>
          <w:sz w:val="20"/>
        </w:rPr>
        <w:t>so</w:t>
      </w:r>
      <w:r>
        <w:rPr>
          <w:spacing w:val="-5"/>
          <w:sz w:val="20"/>
        </w:rPr>
        <w:t> </w:t>
      </w:r>
      <w:r>
        <w:rPr>
          <w:sz w:val="20"/>
        </w:rPr>
        <w:t>commonplace</w:t>
      </w:r>
      <w:r>
        <w:rPr>
          <w:spacing w:val="-5"/>
          <w:sz w:val="20"/>
        </w:rPr>
        <w:t> </w:t>
      </w:r>
      <w:r>
        <w:rPr>
          <w:sz w:val="20"/>
        </w:rPr>
        <w:t>that</w:t>
      </w:r>
      <w:r>
        <w:rPr>
          <w:spacing w:val="-5"/>
          <w:sz w:val="20"/>
        </w:rPr>
        <w:t> </w:t>
      </w:r>
      <w:r>
        <w:rPr>
          <w:sz w:val="20"/>
        </w:rPr>
        <w:t>no</w:t>
      </w:r>
      <w:r>
        <w:rPr>
          <w:spacing w:val="-5"/>
          <w:sz w:val="20"/>
        </w:rPr>
        <w:t> </w:t>
      </w:r>
      <w:r>
        <w:rPr>
          <w:sz w:val="20"/>
        </w:rPr>
        <w:t>attention</w:t>
      </w:r>
      <w:r>
        <w:rPr>
          <w:spacing w:val="-5"/>
          <w:sz w:val="20"/>
        </w:rPr>
        <w:t> </w:t>
      </w:r>
      <w:r>
        <w:rPr>
          <w:sz w:val="20"/>
        </w:rPr>
        <w:t>is</w:t>
      </w:r>
      <w:r>
        <w:rPr>
          <w:spacing w:val="-5"/>
          <w:sz w:val="20"/>
        </w:rPr>
        <w:t> </w:t>
      </w:r>
      <w:r>
        <w:rPr>
          <w:spacing w:val="-3"/>
          <w:sz w:val="20"/>
        </w:rPr>
        <w:t>drawn</w:t>
      </w:r>
      <w:r>
        <w:rPr>
          <w:spacing w:val="-5"/>
          <w:sz w:val="20"/>
        </w:rPr>
        <w:t> </w:t>
      </w:r>
      <w:r>
        <w:rPr>
          <w:sz w:val="20"/>
        </w:rPr>
        <w:t>to</w:t>
      </w:r>
      <w:r>
        <w:rPr>
          <w:spacing w:val="-5"/>
          <w:sz w:val="20"/>
        </w:rPr>
        <w:t> </w:t>
      </w:r>
      <w:r>
        <w:rPr>
          <w:sz w:val="20"/>
        </w:rPr>
        <w:t>them</w:t>
      </w:r>
      <w:r>
        <w:rPr>
          <w:spacing w:val="-5"/>
          <w:sz w:val="20"/>
        </w:rPr>
        <w:t> </w:t>
      </w:r>
      <w:r>
        <w:rPr>
          <w:sz w:val="20"/>
        </w:rPr>
        <w:t>at</w:t>
      </w:r>
      <w:r>
        <w:rPr>
          <w:spacing w:val="-5"/>
          <w:sz w:val="20"/>
        </w:rPr>
        <w:t> </w:t>
      </w:r>
      <w:r>
        <w:rPr>
          <w:sz w:val="20"/>
        </w:rPr>
        <w:t>all.</w:t>
      </w:r>
    </w:p>
    <w:p>
      <w:pPr>
        <w:spacing w:before="164"/>
        <w:ind w:left="967" w:right="0" w:firstLine="0"/>
        <w:jc w:val="left"/>
        <w:rPr>
          <w:b/>
          <w:sz w:val="24"/>
        </w:rPr>
      </w:pPr>
      <w:r>
        <w:rPr>
          <w:b/>
          <w:sz w:val="24"/>
        </w:rPr>
        <w:t>The legal profession should be educated about reforms</w:t>
      </w:r>
    </w:p>
    <w:p>
      <w:pPr>
        <w:pStyle w:val="ListParagraph"/>
        <w:numPr>
          <w:ilvl w:val="1"/>
          <w:numId w:val="12"/>
        </w:numPr>
        <w:tabs>
          <w:tab w:pos="1761" w:val="left" w:leader="none"/>
          <w:tab w:pos="1762" w:val="left" w:leader="none"/>
        </w:tabs>
        <w:spacing w:line="206" w:lineRule="auto" w:before="127" w:after="0"/>
        <w:ind w:left="1761" w:right="1255" w:hanging="794"/>
        <w:jc w:val="left"/>
        <w:rPr>
          <w:sz w:val="11"/>
        </w:rPr>
      </w:pPr>
      <w:r>
        <w:rPr>
          <w:sz w:val="20"/>
        </w:rPr>
        <w:t>The best </w:t>
      </w:r>
      <w:r>
        <w:rPr>
          <w:spacing w:val="-4"/>
          <w:sz w:val="20"/>
        </w:rPr>
        <w:t>way </w:t>
      </w:r>
      <w:r>
        <w:rPr>
          <w:sz w:val="20"/>
        </w:rPr>
        <w:t>to </w:t>
      </w:r>
      <w:r>
        <w:rPr>
          <w:spacing w:val="-3"/>
          <w:sz w:val="20"/>
        </w:rPr>
        <w:t>reduce </w:t>
      </w:r>
      <w:r>
        <w:rPr>
          <w:sz w:val="20"/>
        </w:rPr>
        <w:t>the likelihood of challenges being used in a discriminatory </w:t>
      </w:r>
      <w:r>
        <w:rPr>
          <w:spacing w:val="-4"/>
          <w:sz w:val="20"/>
        </w:rPr>
        <w:t>way</w:t>
      </w:r>
      <w:r>
        <w:rPr>
          <w:spacing w:val="-11"/>
          <w:sz w:val="20"/>
        </w:rPr>
        <w:t> </w:t>
      </w:r>
      <w:r>
        <w:rPr>
          <w:sz w:val="20"/>
        </w:rPr>
        <w:t>against</w:t>
      </w:r>
      <w:r>
        <w:rPr>
          <w:spacing w:val="-10"/>
          <w:sz w:val="20"/>
        </w:rPr>
        <w:t> </w:t>
      </w:r>
      <w:r>
        <w:rPr>
          <w:sz w:val="20"/>
        </w:rPr>
        <w:t>people</w:t>
      </w:r>
      <w:r>
        <w:rPr>
          <w:spacing w:val="-11"/>
          <w:sz w:val="20"/>
        </w:rPr>
        <w:t> </w:t>
      </w:r>
      <w:r>
        <w:rPr>
          <w:sz w:val="20"/>
        </w:rPr>
        <w:t>in</w:t>
      </w:r>
      <w:r>
        <w:rPr>
          <w:spacing w:val="-10"/>
          <w:sz w:val="20"/>
        </w:rPr>
        <w:t> </w:t>
      </w:r>
      <w:r>
        <w:rPr>
          <w:sz w:val="20"/>
        </w:rPr>
        <w:t>the</w:t>
      </w:r>
      <w:r>
        <w:rPr>
          <w:spacing w:val="-11"/>
          <w:sz w:val="20"/>
        </w:rPr>
        <w:t> </w:t>
      </w:r>
      <w:r>
        <w:rPr>
          <w:sz w:val="20"/>
        </w:rPr>
        <w:t>subject</w:t>
      </w:r>
      <w:r>
        <w:rPr>
          <w:spacing w:val="-10"/>
          <w:sz w:val="20"/>
        </w:rPr>
        <w:t> </w:t>
      </w:r>
      <w:r>
        <w:rPr>
          <w:sz w:val="20"/>
        </w:rPr>
        <w:t>groups</w:t>
      </w:r>
      <w:r>
        <w:rPr>
          <w:spacing w:val="-11"/>
          <w:sz w:val="20"/>
        </w:rPr>
        <w:t> </w:t>
      </w:r>
      <w:r>
        <w:rPr>
          <w:sz w:val="20"/>
        </w:rPr>
        <w:t>is</w:t>
      </w:r>
      <w:r>
        <w:rPr>
          <w:spacing w:val="-10"/>
          <w:sz w:val="20"/>
        </w:rPr>
        <w:t> </w:t>
      </w:r>
      <w:r>
        <w:rPr>
          <w:sz w:val="20"/>
        </w:rPr>
        <w:t>education</w:t>
      </w:r>
      <w:r>
        <w:rPr>
          <w:spacing w:val="-11"/>
          <w:sz w:val="20"/>
        </w:rPr>
        <w:t> </w:t>
      </w:r>
      <w:r>
        <w:rPr>
          <w:sz w:val="20"/>
        </w:rPr>
        <w:t>of</w:t>
      </w:r>
      <w:r>
        <w:rPr>
          <w:spacing w:val="-10"/>
          <w:sz w:val="20"/>
        </w:rPr>
        <w:t> </w:t>
      </w:r>
      <w:r>
        <w:rPr>
          <w:sz w:val="20"/>
        </w:rPr>
        <w:t>the</w:t>
      </w:r>
      <w:r>
        <w:rPr>
          <w:spacing w:val="-11"/>
          <w:sz w:val="20"/>
        </w:rPr>
        <w:t> </w:t>
      </w:r>
      <w:r>
        <w:rPr>
          <w:sz w:val="20"/>
        </w:rPr>
        <w:t>legal</w:t>
      </w:r>
      <w:r>
        <w:rPr>
          <w:spacing w:val="-10"/>
          <w:sz w:val="20"/>
        </w:rPr>
        <w:t> </w:t>
      </w:r>
      <w:r>
        <w:rPr>
          <w:sz w:val="20"/>
        </w:rPr>
        <w:t>profession</w:t>
      </w:r>
      <w:r>
        <w:rPr>
          <w:spacing w:val="-11"/>
          <w:sz w:val="20"/>
        </w:rPr>
        <w:t> </w:t>
      </w:r>
      <w:r>
        <w:rPr>
          <w:sz w:val="20"/>
        </w:rPr>
        <w:t>about</w:t>
      </w:r>
      <w:r>
        <w:rPr>
          <w:spacing w:val="-10"/>
          <w:sz w:val="20"/>
        </w:rPr>
        <w:t> </w:t>
      </w:r>
      <w:r>
        <w:rPr>
          <w:sz w:val="20"/>
        </w:rPr>
        <w:t>the new</w:t>
      </w:r>
      <w:r>
        <w:rPr>
          <w:spacing w:val="-13"/>
          <w:sz w:val="20"/>
        </w:rPr>
        <w:t> </w:t>
      </w:r>
      <w:r>
        <w:rPr>
          <w:sz w:val="20"/>
        </w:rPr>
        <w:t>provisions</w:t>
      </w:r>
      <w:r>
        <w:rPr>
          <w:spacing w:val="-12"/>
          <w:sz w:val="20"/>
        </w:rPr>
        <w:t> </w:t>
      </w:r>
      <w:r>
        <w:rPr>
          <w:sz w:val="20"/>
        </w:rPr>
        <w:t>in</w:t>
      </w:r>
      <w:r>
        <w:rPr>
          <w:spacing w:val="-12"/>
          <w:sz w:val="20"/>
        </w:rPr>
        <w:t> </w:t>
      </w:r>
      <w:r>
        <w:rPr>
          <w:sz w:val="20"/>
        </w:rPr>
        <w:t>the</w:t>
      </w:r>
      <w:r>
        <w:rPr>
          <w:spacing w:val="-12"/>
          <w:sz w:val="20"/>
        </w:rPr>
        <w:t> </w:t>
      </w:r>
      <w:r>
        <w:rPr>
          <w:sz w:val="20"/>
        </w:rPr>
        <w:t>Juries</w:t>
      </w:r>
      <w:r>
        <w:rPr>
          <w:spacing w:val="-12"/>
          <w:sz w:val="20"/>
        </w:rPr>
        <w:t> </w:t>
      </w:r>
      <w:r>
        <w:rPr>
          <w:spacing w:val="-2"/>
          <w:sz w:val="20"/>
        </w:rPr>
        <w:t>Act</w:t>
      </w:r>
      <w:r>
        <w:rPr>
          <w:spacing w:val="-12"/>
          <w:sz w:val="20"/>
        </w:rPr>
        <w:t> </w:t>
      </w:r>
      <w:r>
        <w:rPr>
          <w:sz w:val="20"/>
        </w:rPr>
        <w:t>and</w:t>
      </w:r>
      <w:r>
        <w:rPr>
          <w:spacing w:val="-12"/>
          <w:sz w:val="20"/>
        </w:rPr>
        <w:t> </w:t>
      </w:r>
      <w:r>
        <w:rPr>
          <w:sz w:val="20"/>
        </w:rPr>
        <w:t>adjustments.</w:t>
      </w:r>
      <w:r>
        <w:rPr>
          <w:position w:val="7"/>
          <w:sz w:val="11"/>
        </w:rPr>
        <w:t>56</w:t>
      </w:r>
      <w:r>
        <w:rPr>
          <w:spacing w:val="12"/>
          <w:position w:val="7"/>
          <w:sz w:val="11"/>
        </w:rPr>
        <w:t> </w:t>
      </w:r>
      <w:r>
        <w:rPr>
          <w:sz w:val="20"/>
        </w:rPr>
        <w:t>This</w:t>
      </w:r>
      <w:r>
        <w:rPr>
          <w:spacing w:val="-12"/>
          <w:sz w:val="20"/>
        </w:rPr>
        <w:t> </w:t>
      </w:r>
      <w:r>
        <w:rPr>
          <w:sz w:val="20"/>
        </w:rPr>
        <w:t>approach</w:t>
      </w:r>
      <w:r>
        <w:rPr>
          <w:spacing w:val="-12"/>
          <w:sz w:val="20"/>
        </w:rPr>
        <w:t> </w:t>
      </w:r>
      <w:r>
        <w:rPr>
          <w:sz w:val="20"/>
        </w:rPr>
        <w:t>was</w:t>
      </w:r>
      <w:r>
        <w:rPr>
          <w:spacing w:val="-12"/>
          <w:sz w:val="20"/>
        </w:rPr>
        <w:t> </w:t>
      </w:r>
      <w:r>
        <w:rPr>
          <w:sz w:val="20"/>
        </w:rPr>
        <w:t>overwhelmingly supported in community</w:t>
      </w:r>
      <w:r>
        <w:rPr>
          <w:spacing w:val="-13"/>
          <w:sz w:val="20"/>
        </w:rPr>
        <w:t> </w:t>
      </w:r>
      <w:r>
        <w:rPr>
          <w:sz w:val="20"/>
        </w:rPr>
        <w:t>responses.</w:t>
      </w:r>
      <w:r>
        <w:rPr>
          <w:position w:val="7"/>
          <w:sz w:val="11"/>
        </w:rPr>
        <w:t>57</w:t>
      </w:r>
    </w:p>
    <w:p>
      <w:pPr>
        <w:pStyle w:val="ListParagraph"/>
        <w:numPr>
          <w:ilvl w:val="1"/>
          <w:numId w:val="12"/>
        </w:numPr>
        <w:tabs>
          <w:tab w:pos="1761" w:val="left" w:leader="none"/>
          <w:tab w:pos="1762" w:val="left" w:leader="none"/>
        </w:tabs>
        <w:spacing w:line="206" w:lineRule="auto" w:before="125" w:after="0"/>
        <w:ind w:left="1761" w:right="1825" w:hanging="794"/>
        <w:jc w:val="left"/>
        <w:rPr>
          <w:sz w:val="20"/>
        </w:rPr>
      </w:pPr>
      <w:r>
        <w:rPr>
          <w:sz w:val="20"/>
        </w:rPr>
        <w:t>Most</w:t>
      </w:r>
      <w:r>
        <w:rPr>
          <w:spacing w:val="-12"/>
          <w:sz w:val="20"/>
        </w:rPr>
        <w:t> </w:t>
      </w:r>
      <w:r>
        <w:rPr>
          <w:sz w:val="20"/>
        </w:rPr>
        <w:t>community</w:t>
      </w:r>
      <w:r>
        <w:rPr>
          <w:spacing w:val="-12"/>
          <w:sz w:val="20"/>
        </w:rPr>
        <w:t> </w:t>
      </w:r>
      <w:r>
        <w:rPr>
          <w:sz w:val="20"/>
        </w:rPr>
        <w:t>responses</w:t>
      </w:r>
      <w:r>
        <w:rPr>
          <w:spacing w:val="-11"/>
          <w:sz w:val="20"/>
        </w:rPr>
        <w:t> </w:t>
      </w:r>
      <w:r>
        <w:rPr>
          <w:sz w:val="20"/>
        </w:rPr>
        <w:t>supported</w:t>
      </w:r>
      <w:r>
        <w:rPr>
          <w:spacing w:val="-12"/>
          <w:sz w:val="20"/>
        </w:rPr>
        <w:t> </w:t>
      </w:r>
      <w:r>
        <w:rPr>
          <w:sz w:val="20"/>
        </w:rPr>
        <w:t>education</w:t>
      </w:r>
      <w:r>
        <w:rPr>
          <w:spacing w:val="-12"/>
          <w:sz w:val="20"/>
        </w:rPr>
        <w:t> </w:t>
      </w:r>
      <w:r>
        <w:rPr>
          <w:sz w:val="20"/>
        </w:rPr>
        <w:t>for</w:t>
      </w:r>
      <w:r>
        <w:rPr>
          <w:spacing w:val="-11"/>
          <w:sz w:val="20"/>
        </w:rPr>
        <w:t> </w:t>
      </w:r>
      <w:r>
        <w:rPr>
          <w:sz w:val="20"/>
        </w:rPr>
        <w:t>the</w:t>
      </w:r>
      <w:r>
        <w:rPr>
          <w:spacing w:val="-12"/>
          <w:sz w:val="20"/>
        </w:rPr>
        <w:t> </w:t>
      </w:r>
      <w:r>
        <w:rPr>
          <w:sz w:val="20"/>
        </w:rPr>
        <w:t>legal</w:t>
      </w:r>
      <w:r>
        <w:rPr>
          <w:spacing w:val="-12"/>
          <w:sz w:val="20"/>
        </w:rPr>
        <w:t> </w:t>
      </w:r>
      <w:r>
        <w:rPr>
          <w:sz w:val="20"/>
        </w:rPr>
        <w:t>profession.</w:t>
      </w:r>
      <w:r>
        <w:rPr>
          <w:spacing w:val="-11"/>
          <w:sz w:val="20"/>
        </w:rPr>
        <w:t> </w:t>
      </w:r>
      <w:r>
        <w:rPr>
          <w:sz w:val="20"/>
        </w:rPr>
        <w:t>As</w:t>
      </w:r>
      <w:r>
        <w:rPr>
          <w:spacing w:val="-12"/>
          <w:sz w:val="20"/>
        </w:rPr>
        <w:t> </w:t>
      </w:r>
      <w:r>
        <w:rPr>
          <w:sz w:val="20"/>
        </w:rPr>
        <w:t>the academics </w:t>
      </w:r>
      <w:r>
        <w:rPr>
          <w:spacing w:val="-4"/>
          <w:sz w:val="20"/>
        </w:rPr>
        <w:t>involved </w:t>
      </w:r>
      <w:r>
        <w:rPr>
          <w:sz w:val="20"/>
        </w:rPr>
        <w:t>in the mock trial</w:t>
      </w:r>
      <w:r>
        <w:rPr>
          <w:spacing w:val="-23"/>
          <w:sz w:val="20"/>
        </w:rPr>
        <w:t> </w:t>
      </w:r>
      <w:r>
        <w:rPr>
          <w:sz w:val="20"/>
        </w:rPr>
        <w:t>noted:</w:t>
      </w:r>
    </w:p>
    <w:p>
      <w:pPr>
        <w:spacing w:line="208" w:lineRule="auto" w:before="120"/>
        <w:ind w:left="2157" w:right="2041" w:firstLine="0"/>
        <w:jc w:val="both"/>
        <w:rPr>
          <w:sz w:val="11"/>
        </w:rPr>
      </w:pPr>
      <w:r>
        <w:rPr>
          <w:sz w:val="19"/>
        </w:rPr>
        <w:t>Education</w:t>
      </w:r>
      <w:r>
        <w:rPr>
          <w:spacing w:val="-6"/>
          <w:sz w:val="19"/>
        </w:rPr>
        <w:t> </w:t>
      </w:r>
      <w:r>
        <w:rPr>
          <w:sz w:val="19"/>
        </w:rPr>
        <w:t>is</w:t>
      </w:r>
      <w:r>
        <w:rPr>
          <w:spacing w:val="-5"/>
          <w:sz w:val="19"/>
        </w:rPr>
        <w:t> </w:t>
      </w:r>
      <w:r>
        <w:rPr>
          <w:sz w:val="19"/>
        </w:rPr>
        <w:t>essential</w:t>
      </w:r>
      <w:r>
        <w:rPr>
          <w:spacing w:val="-6"/>
          <w:sz w:val="19"/>
        </w:rPr>
        <w:t> </w:t>
      </w:r>
      <w:r>
        <w:rPr>
          <w:sz w:val="19"/>
        </w:rPr>
        <w:t>to</w:t>
      </w:r>
      <w:r>
        <w:rPr>
          <w:spacing w:val="-5"/>
          <w:sz w:val="19"/>
        </w:rPr>
        <w:t> </w:t>
      </w:r>
      <w:r>
        <w:rPr>
          <w:sz w:val="19"/>
        </w:rPr>
        <w:t>addressing</w:t>
      </w:r>
      <w:r>
        <w:rPr>
          <w:spacing w:val="-5"/>
          <w:sz w:val="19"/>
        </w:rPr>
        <w:t> </w:t>
      </w:r>
      <w:r>
        <w:rPr>
          <w:sz w:val="19"/>
        </w:rPr>
        <w:t>and</w:t>
      </w:r>
      <w:r>
        <w:rPr>
          <w:spacing w:val="-6"/>
          <w:sz w:val="19"/>
        </w:rPr>
        <w:t> </w:t>
      </w:r>
      <w:r>
        <w:rPr>
          <w:sz w:val="19"/>
        </w:rPr>
        <w:t>preventing</w:t>
      </w:r>
      <w:r>
        <w:rPr>
          <w:spacing w:val="-5"/>
          <w:sz w:val="19"/>
        </w:rPr>
        <w:t> </w:t>
      </w:r>
      <w:r>
        <w:rPr>
          <w:sz w:val="19"/>
        </w:rPr>
        <w:t>discriminatory</w:t>
      </w:r>
      <w:r>
        <w:rPr>
          <w:spacing w:val="-5"/>
          <w:sz w:val="19"/>
        </w:rPr>
        <w:t> </w:t>
      </w:r>
      <w:r>
        <w:rPr>
          <w:sz w:val="19"/>
        </w:rPr>
        <w:t>use</w:t>
      </w:r>
      <w:r>
        <w:rPr>
          <w:spacing w:val="-6"/>
          <w:sz w:val="19"/>
        </w:rPr>
        <w:t> </w:t>
      </w:r>
      <w:r>
        <w:rPr>
          <w:sz w:val="19"/>
        </w:rPr>
        <w:t>of</w:t>
      </w:r>
      <w:r>
        <w:rPr>
          <w:spacing w:val="-5"/>
          <w:sz w:val="19"/>
        </w:rPr>
        <w:t> </w:t>
      </w:r>
      <w:r>
        <w:rPr>
          <w:sz w:val="19"/>
        </w:rPr>
        <w:t>the peremptory challenges. Counsel would be more mindful of the optics of the challenge</w:t>
      </w:r>
      <w:r>
        <w:rPr>
          <w:spacing w:val="-4"/>
          <w:sz w:val="19"/>
        </w:rPr>
        <w:t> </w:t>
      </w:r>
      <w:r>
        <w:rPr>
          <w:sz w:val="19"/>
        </w:rPr>
        <w:t>if</w:t>
      </w:r>
      <w:r>
        <w:rPr>
          <w:spacing w:val="-4"/>
          <w:sz w:val="19"/>
        </w:rPr>
        <w:t> </w:t>
      </w:r>
      <w:r>
        <w:rPr>
          <w:sz w:val="19"/>
        </w:rPr>
        <w:t>they</w:t>
      </w:r>
      <w:r>
        <w:rPr>
          <w:spacing w:val="-3"/>
          <w:sz w:val="19"/>
        </w:rPr>
        <w:t> have</w:t>
      </w:r>
      <w:r>
        <w:rPr>
          <w:spacing w:val="-4"/>
          <w:sz w:val="19"/>
        </w:rPr>
        <w:t> </w:t>
      </w:r>
      <w:r>
        <w:rPr>
          <w:sz w:val="19"/>
        </w:rPr>
        <w:t>been</w:t>
      </w:r>
      <w:r>
        <w:rPr>
          <w:spacing w:val="-3"/>
          <w:sz w:val="19"/>
        </w:rPr>
        <w:t> </w:t>
      </w:r>
      <w:r>
        <w:rPr>
          <w:sz w:val="19"/>
        </w:rPr>
        <w:t>given</w:t>
      </w:r>
      <w:r>
        <w:rPr>
          <w:spacing w:val="-4"/>
          <w:sz w:val="19"/>
        </w:rPr>
        <w:t> </w:t>
      </w:r>
      <w:r>
        <w:rPr>
          <w:sz w:val="19"/>
        </w:rPr>
        <w:t>training</w:t>
      </w:r>
      <w:r>
        <w:rPr>
          <w:spacing w:val="-3"/>
          <w:sz w:val="19"/>
        </w:rPr>
        <w:t> </w:t>
      </w:r>
      <w:r>
        <w:rPr>
          <w:sz w:val="19"/>
        </w:rPr>
        <w:t>on</w:t>
      </w:r>
      <w:r>
        <w:rPr>
          <w:spacing w:val="-4"/>
          <w:sz w:val="19"/>
        </w:rPr>
        <w:t> </w:t>
      </w:r>
      <w:r>
        <w:rPr>
          <w:sz w:val="19"/>
        </w:rPr>
        <w:t>the</w:t>
      </w:r>
      <w:r>
        <w:rPr>
          <w:spacing w:val="-3"/>
          <w:sz w:val="19"/>
        </w:rPr>
        <w:t> </w:t>
      </w:r>
      <w:r>
        <w:rPr>
          <w:sz w:val="19"/>
        </w:rPr>
        <w:t>need</w:t>
      </w:r>
      <w:r>
        <w:rPr>
          <w:spacing w:val="-4"/>
          <w:sz w:val="19"/>
        </w:rPr>
        <w:t> </w:t>
      </w:r>
      <w:r>
        <w:rPr>
          <w:sz w:val="19"/>
        </w:rPr>
        <w:t>not</w:t>
      </w:r>
      <w:r>
        <w:rPr>
          <w:spacing w:val="-3"/>
          <w:sz w:val="19"/>
        </w:rPr>
        <w:t> </w:t>
      </w:r>
      <w:r>
        <w:rPr>
          <w:sz w:val="19"/>
        </w:rPr>
        <w:t>to</w:t>
      </w:r>
      <w:r>
        <w:rPr>
          <w:spacing w:val="-4"/>
          <w:sz w:val="19"/>
        </w:rPr>
        <w:t> </w:t>
      </w:r>
      <w:r>
        <w:rPr>
          <w:sz w:val="19"/>
        </w:rPr>
        <w:t>discriminate.</w:t>
      </w:r>
      <w:r>
        <w:rPr>
          <w:position w:val="6"/>
          <w:sz w:val="11"/>
        </w:rPr>
        <w:t>58</w:t>
      </w:r>
    </w:p>
    <w:p>
      <w:pPr>
        <w:pStyle w:val="BodyText"/>
      </w:pPr>
    </w:p>
    <w:p>
      <w:pPr>
        <w:pStyle w:val="BodyText"/>
      </w:pPr>
    </w:p>
    <w:p>
      <w:pPr>
        <w:pStyle w:val="BodyText"/>
      </w:pPr>
    </w:p>
    <w:p>
      <w:pPr>
        <w:pStyle w:val="BodyText"/>
        <w:spacing w:before="13"/>
        <w:rPr>
          <w:sz w:val="23"/>
        </w:rPr>
      </w:pPr>
      <w:r>
        <w:rPr/>
        <w:pict>
          <v:line style="position:absolute;mso-position-horizontal-relative:page;mso-position-vertical-relative:paragraph;z-index:10352;mso-wrap-distance-left:0;mso-wrap-distance-right:0" from="79.370102pt,19.084040pt" to="515.905102pt,19.084040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18"/>
        </w:numPr>
        <w:tabs>
          <w:tab w:pos="1761" w:val="left" w:leader="none"/>
          <w:tab w:pos="1762" w:val="left" w:leader="none"/>
        </w:tabs>
        <w:spacing w:line="213" w:lineRule="auto" w:before="38" w:after="0"/>
        <w:ind w:left="1761" w:right="34" w:hanging="794"/>
        <w:jc w:val="left"/>
        <w:rPr>
          <w:sz w:val="13"/>
        </w:rPr>
      </w:pPr>
      <w:r>
        <w:rPr>
          <w:sz w:val="13"/>
        </w:rPr>
        <w:t>Consultations 2 (Law Institute of Victoria), 4 </w:t>
      </w:r>
      <w:r>
        <w:rPr>
          <w:spacing w:val="2"/>
          <w:sz w:val="13"/>
        </w:rPr>
        <w:t>(Victorian </w:t>
      </w:r>
      <w:r>
        <w:rPr>
          <w:sz w:val="13"/>
        </w:rPr>
        <w:t>Criminal Bar Association), 9 (Consultation with two Victorian County </w:t>
      </w:r>
      <w:r>
        <w:rPr>
          <w:spacing w:val="2"/>
          <w:sz w:val="13"/>
        </w:rPr>
        <w:t>Court Judges, Court policy </w:t>
      </w:r>
      <w:r>
        <w:rPr>
          <w:sz w:val="13"/>
        </w:rPr>
        <w:t>staff and two Associates), 11 (Consultation with a Judge, a Tipstaff and </w:t>
      </w:r>
      <w:r>
        <w:rPr>
          <w:spacing w:val="2"/>
          <w:sz w:val="13"/>
        </w:rPr>
        <w:t>Court policy </w:t>
      </w:r>
      <w:r>
        <w:rPr>
          <w:sz w:val="13"/>
        </w:rPr>
        <w:t>staff, Victorian Supreme </w:t>
      </w:r>
      <w:r>
        <w:rPr>
          <w:spacing w:val="2"/>
          <w:sz w:val="13"/>
        </w:rPr>
        <w:t>Court), </w:t>
      </w:r>
      <w:r>
        <w:rPr>
          <w:sz w:val="13"/>
        </w:rPr>
        <w:t>16 (Office of </w:t>
      </w:r>
      <w:r>
        <w:rPr>
          <w:spacing w:val="2"/>
          <w:sz w:val="13"/>
        </w:rPr>
        <w:t>Public </w:t>
      </w:r>
      <w:r>
        <w:rPr>
          <w:sz w:val="13"/>
        </w:rPr>
        <w:t>Prosecutions</w:t>
      </w:r>
      <w:r>
        <w:rPr>
          <w:spacing w:val="-3"/>
          <w:sz w:val="13"/>
        </w:rPr>
        <w:t> </w:t>
      </w:r>
      <w:r>
        <w:rPr>
          <w:sz w:val="13"/>
        </w:rPr>
        <w:t>Victoria).</w:t>
      </w:r>
    </w:p>
    <w:p>
      <w:pPr>
        <w:pStyle w:val="ListParagraph"/>
        <w:numPr>
          <w:ilvl w:val="0"/>
          <w:numId w:val="118"/>
        </w:numPr>
        <w:tabs>
          <w:tab w:pos="1760" w:val="left" w:leader="none"/>
          <w:tab w:pos="1762" w:val="left" w:leader="none"/>
        </w:tabs>
        <w:spacing w:line="152" w:lineRule="exact" w:before="0" w:after="0"/>
        <w:ind w:left="1761" w:right="0" w:hanging="794"/>
        <w:jc w:val="left"/>
        <w:rPr>
          <w:sz w:val="13"/>
        </w:rPr>
      </w:pPr>
      <w:r>
        <w:rPr>
          <w:spacing w:val="2"/>
          <w:sz w:val="13"/>
        </w:rPr>
        <w:t>Submission </w:t>
      </w:r>
      <w:r>
        <w:rPr>
          <w:sz w:val="13"/>
        </w:rPr>
        <w:t>7 (Law Institute of</w:t>
      </w:r>
      <w:r>
        <w:rPr>
          <w:spacing w:val="-1"/>
          <w:sz w:val="13"/>
        </w:rPr>
        <w:t> </w:t>
      </w:r>
      <w:r>
        <w:rPr>
          <w:sz w:val="13"/>
        </w:rPr>
        <w:t>Victoria).</w:t>
      </w:r>
    </w:p>
    <w:p>
      <w:pPr>
        <w:pStyle w:val="ListParagraph"/>
        <w:numPr>
          <w:ilvl w:val="0"/>
          <w:numId w:val="118"/>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pStyle w:val="ListParagraph"/>
        <w:numPr>
          <w:ilvl w:val="0"/>
          <w:numId w:val="118"/>
        </w:numPr>
        <w:tabs>
          <w:tab w:pos="1761" w:val="left" w:leader="none"/>
          <w:tab w:pos="1762" w:val="left" w:leader="none"/>
        </w:tabs>
        <w:spacing w:line="160" w:lineRule="exact" w:before="0" w:after="0"/>
        <w:ind w:left="1761" w:right="0" w:hanging="794"/>
        <w:jc w:val="left"/>
        <w:rPr>
          <w:sz w:val="13"/>
        </w:rPr>
      </w:pPr>
      <w:r>
        <w:rPr>
          <w:spacing w:val="2"/>
          <w:sz w:val="13"/>
        </w:rPr>
        <w:t>Submission </w:t>
      </w:r>
      <w:r>
        <w:rPr>
          <w:sz w:val="13"/>
        </w:rPr>
        <w:t>7 (Law Institute of</w:t>
      </w:r>
      <w:r>
        <w:rPr>
          <w:spacing w:val="-1"/>
          <w:sz w:val="13"/>
        </w:rPr>
        <w:t> </w:t>
      </w:r>
      <w:r>
        <w:rPr>
          <w:sz w:val="13"/>
        </w:rPr>
        <w:t>Victoria).</w:t>
      </w:r>
    </w:p>
    <w:p>
      <w:pPr>
        <w:pStyle w:val="ListParagraph"/>
        <w:numPr>
          <w:ilvl w:val="0"/>
          <w:numId w:val="118"/>
        </w:numPr>
        <w:tabs>
          <w:tab w:pos="1761" w:val="left" w:leader="none"/>
          <w:tab w:pos="1762" w:val="left" w:leader="none"/>
        </w:tabs>
        <w:spacing w:line="213" w:lineRule="auto" w:before="6" w:after="0"/>
        <w:ind w:left="1761" w:right="0" w:hanging="794"/>
        <w:jc w:val="left"/>
        <w:rPr>
          <w:sz w:val="13"/>
        </w:rPr>
      </w:pPr>
      <w:r>
        <w:rPr>
          <w:sz w:val="13"/>
        </w:rPr>
        <w:t>The </w:t>
      </w:r>
      <w:r>
        <w:rPr>
          <w:spacing w:val="2"/>
          <w:sz w:val="13"/>
        </w:rPr>
        <w:t>Commission </w:t>
      </w:r>
      <w:r>
        <w:rPr>
          <w:sz w:val="13"/>
        </w:rPr>
        <w:t>acknowledges that peremptory challenges can be made by accused persons themselves </w:t>
      </w:r>
      <w:r>
        <w:rPr>
          <w:spacing w:val="2"/>
          <w:sz w:val="13"/>
        </w:rPr>
        <w:t>either </w:t>
      </w:r>
      <w:r>
        <w:rPr>
          <w:sz w:val="13"/>
        </w:rPr>
        <w:t>without input from their legal representative, or where they are unrepresented, and that education of legal professionals will have no impact in that scenario.</w:t>
      </w:r>
    </w:p>
    <w:p>
      <w:pPr>
        <w:pStyle w:val="ListParagraph"/>
        <w:numPr>
          <w:ilvl w:val="0"/>
          <w:numId w:val="118"/>
        </w:numPr>
        <w:tabs>
          <w:tab w:pos="1760" w:val="left" w:leader="none"/>
          <w:tab w:pos="1762" w:val="left" w:leader="none"/>
        </w:tabs>
        <w:spacing w:line="213" w:lineRule="auto" w:before="0" w:after="0"/>
        <w:ind w:left="1761" w:right="104" w:hanging="794"/>
        <w:jc w:val="left"/>
        <w:rPr>
          <w:sz w:val="13"/>
        </w:rPr>
      </w:pPr>
      <w:r>
        <w:rPr>
          <w:sz w:val="13"/>
        </w:rPr>
        <w:t>Consultations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 Wales)), 22 (Daniel Stubbs, Victorian </w:t>
      </w:r>
      <w:r>
        <w:rPr>
          <w:spacing w:val="2"/>
          <w:sz w:val="13"/>
        </w:rPr>
        <w:t>Disability </w:t>
      </w:r>
      <w:r>
        <w:rPr>
          <w:sz w:val="13"/>
        </w:rPr>
        <w:t>Worker Commissioner, in his personal capacity); 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13"/>
          <w:sz w:val="13"/>
        </w:rPr>
        <w:t> </w:t>
      </w:r>
      <w:r>
        <w:rPr>
          <w:sz w:val="13"/>
        </w:rPr>
        <w:t>capacity).</w:t>
      </w:r>
    </w:p>
    <w:p>
      <w:pPr>
        <w:pStyle w:val="ListParagraph"/>
        <w:numPr>
          <w:ilvl w:val="0"/>
          <w:numId w:val="118"/>
        </w:numPr>
        <w:tabs>
          <w:tab w:pos="1760" w:val="left" w:leader="none"/>
          <w:tab w:pos="1762" w:val="left" w:leader="none"/>
        </w:tabs>
        <w:spacing w:line="213" w:lineRule="auto" w:before="0" w:after="0"/>
        <w:ind w:left="1761" w:right="189" w:hanging="794"/>
        <w:jc w:val="left"/>
        <w:rPr>
          <w:sz w:val="13"/>
        </w:rPr>
      </w:pPr>
      <w:r>
        <w:rPr>
          <w:sz w:val="13"/>
        </w:rPr>
        <w:t>Consultation 3 </w:t>
      </w:r>
      <w:r>
        <w:rPr>
          <w:spacing w:val="2"/>
          <w:sz w:val="13"/>
        </w:rPr>
        <w:t>(Academics: </w:t>
      </w:r>
      <w:r>
        <w:rPr>
          <w:sz w:val="13"/>
        </w:rPr>
        <w:t>Professor Jemina </w:t>
      </w:r>
      <w:r>
        <w:rPr>
          <w:spacing w:val="2"/>
          <w:sz w:val="13"/>
        </w:rPr>
        <w:t>Napier </w:t>
      </w:r>
      <w:r>
        <w:rPr>
          <w:sz w:val="13"/>
        </w:rPr>
        <w:t>(Heriot-Watt University), Professor </w:t>
      </w:r>
      <w:r>
        <w:rPr>
          <w:spacing w:val="2"/>
          <w:sz w:val="13"/>
        </w:rPr>
        <w:t>Sandra </w:t>
      </w:r>
      <w:r>
        <w:rPr>
          <w:sz w:val="13"/>
        </w:rPr>
        <w:t>Hale (University of New South Wales), Associate Professor </w:t>
      </w:r>
      <w:r>
        <w:rPr>
          <w:spacing w:val="2"/>
          <w:sz w:val="13"/>
        </w:rPr>
        <w:t>Mehera San </w:t>
      </w:r>
      <w:r>
        <w:rPr>
          <w:sz w:val="13"/>
        </w:rPr>
        <w:t>Roque (University of New South</w:t>
      </w:r>
      <w:r>
        <w:rPr>
          <w:spacing w:val="4"/>
          <w:sz w:val="13"/>
        </w:rPr>
        <w:t> </w:t>
      </w:r>
      <w:r>
        <w:rPr>
          <w:sz w:val="13"/>
        </w:rPr>
        <w:t>Wales)).</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11"/>
        <w:rPr>
          <w:sz w:val="41"/>
        </w:rPr>
      </w:pPr>
    </w:p>
    <w:p>
      <w:pPr>
        <w:spacing w:before="0"/>
        <w:ind w:left="581" w:right="0" w:firstLine="0"/>
        <w:jc w:val="left"/>
        <w:rPr>
          <w:b/>
          <w:sz w:val="24"/>
        </w:rPr>
      </w:pPr>
      <w:r>
        <w:rPr>
          <w:b/>
          <w:color w:val="37617A"/>
          <w:sz w:val="24"/>
        </w:rPr>
        <w:t>199</w:t>
      </w:r>
    </w:p>
    <w:p>
      <w:pPr>
        <w:spacing w:after="0"/>
        <w:jc w:val="left"/>
        <w:rPr>
          <w:sz w:val="24"/>
        </w:rPr>
        <w:sectPr>
          <w:type w:val="continuous"/>
          <w:pgSz w:w="11910" w:h="16840"/>
          <w:pgMar w:top="620" w:bottom="280" w:left="620" w:right="380"/>
          <w:cols w:num="2" w:equalWidth="0">
            <w:col w:w="9671" w:space="40"/>
            <w:col w:w="1199"/>
          </w:cols>
        </w:sectPr>
      </w:pPr>
    </w:p>
    <w:p>
      <w:pPr>
        <w:pStyle w:val="BodyText"/>
        <w:rPr>
          <w:b/>
        </w:rPr>
      </w:pPr>
    </w:p>
    <w:p>
      <w:pPr>
        <w:pStyle w:val="BodyText"/>
        <w:rPr>
          <w:b/>
        </w:rPr>
      </w:pPr>
    </w:p>
    <w:p>
      <w:pPr>
        <w:pStyle w:val="BodyText"/>
        <w:rPr>
          <w:b/>
        </w:rPr>
      </w:pPr>
    </w:p>
    <w:p>
      <w:pPr>
        <w:pStyle w:val="BodyText"/>
        <w:spacing w:before="7"/>
        <w:rPr>
          <w:b/>
          <w:sz w:val="16"/>
        </w:rPr>
      </w:pPr>
    </w:p>
    <w:p>
      <w:pPr>
        <w:pStyle w:val="ListParagraph"/>
        <w:numPr>
          <w:ilvl w:val="1"/>
          <w:numId w:val="12"/>
        </w:numPr>
        <w:tabs>
          <w:tab w:pos="1761" w:val="left" w:leader="none"/>
          <w:tab w:pos="1762" w:val="left" w:leader="none"/>
        </w:tabs>
        <w:spacing w:line="240" w:lineRule="auto" w:before="0" w:after="0"/>
        <w:ind w:left="1761" w:right="0" w:hanging="794"/>
        <w:jc w:val="left"/>
        <w:rPr>
          <w:sz w:val="20"/>
        </w:rPr>
      </w:pPr>
      <w:bookmarkStart w:name="_bookmark146" w:id="347"/>
      <w:bookmarkEnd w:id="347"/>
      <w:r>
        <w:rPr/>
      </w:r>
      <w:bookmarkStart w:name="_bookmark146" w:id="348"/>
      <w:bookmarkEnd w:id="348"/>
      <w:r>
        <w:rPr>
          <w:sz w:val="20"/>
        </w:rPr>
        <w:t>J</w:t>
      </w:r>
      <w:r>
        <w:rPr>
          <w:sz w:val="20"/>
        </w:rPr>
        <w:t>uries Victoria commented in submissions that</w:t>
      </w:r>
      <w:r>
        <w:rPr>
          <w:spacing w:val="-28"/>
          <w:sz w:val="20"/>
        </w:rPr>
        <w:t> </w:t>
      </w:r>
      <w:r>
        <w:rPr>
          <w:sz w:val="20"/>
        </w:rPr>
        <w:t>it:</w:t>
      </w:r>
    </w:p>
    <w:p>
      <w:pPr>
        <w:spacing w:line="208" w:lineRule="auto" w:before="112"/>
        <w:ind w:left="2157" w:right="1110" w:firstLine="0"/>
        <w:jc w:val="left"/>
        <w:rPr>
          <w:sz w:val="11"/>
        </w:rPr>
      </w:pPr>
      <w:r>
        <w:rPr>
          <w:sz w:val="19"/>
        </w:rPr>
        <w:t>supports education and training for the judiciary, court and JV staff and the legal profession on the importance of inclusive juries, on respectful interactions with people with vision, hearing or other impairments, and on unconscious bias.</w:t>
      </w:r>
      <w:r>
        <w:rPr>
          <w:position w:val="6"/>
          <w:sz w:val="11"/>
        </w:rPr>
        <w:t>59</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Vision Australia</w:t>
      </w:r>
      <w:r>
        <w:rPr>
          <w:spacing w:val="-9"/>
          <w:sz w:val="20"/>
        </w:rPr>
        <w:t> </w:t>
      </w:r>
      <w:r>
        <w:rPr>
          <w:sz w:val="20"/>
        </w:rPr>
        <w:t>submitted:</w:t>
      </w:r>
    </w:p>
    <w:p>
      <w:pPr>
        <w:spacing w:line="208" w:lineRule="auto" w:before="112"/>
        <w:ind w:left="2157" w:right="1432" w:firstLine="0"/>
        <w:jc w:val="left"/>
        <w:rPr>
          <w:sz w:val="19"/>
        </w:rPr>
      </w:pPr>
      <w:r>
        <w:rPr>
          <w:sz w:val="19"/>
        </w:rPr>
        <w:t>In our </w:t>
      </w:r>
      <w:r>
        <w:rPr>
          <w:spacing w:val="-3"/>
          <w:sz w:val="19"/>
        </w:rPr>
        <w:t>view, </w:t>
      </w:r>
      <w:r>
        <w:rPr>
          <w:sz w:val="19"/>
        </w:rPr>
        <w:t>the cumulative impact of continuing education, disability awareness training, explicit guidelines and statements, and a gradual increase in the number of</w:t>
      </w:r>
      <w:r>
        <w:rPr>
          <w:spacing w:val="-4"/>
          <w:sz w:val="19"/>
        </w:rPr>
        <w:t> </w:t>
      </w:r>
      <w:r>
        <w:rPr>
          <w:sz w:val="19"/>
        </w:rPr>
        <w:t>people</w:t>
      </w:r>
      <w:r>
        <w:rPr>
          <w:spacing w:val="-4"/>
          <w:sz w:val="19"/>
        </w:rPr>
        <w:t> </w:t>
      </w:r>
      <w:r>
        <w:rPr>
          <w:sz w:val="19"/>
        </w:rPr>
        <w:t>who</w:t>
      </w:r>
      <w:r>
        <w:rPr>
          <w:spacing w:val="-4"/>
          <w:sz w:val="19"/>
        </w:rPr>
        <w:t> </w:t>
      </w:r>
      <w:r>
        <w:rPr>
          <w:sz w:val="19"/>
        </w:rPr>
        <w:t>are</w:t>
      </w:r>
      <w:r>
        <w:rPr>
          <w:spacing w:val="-4"/>
          <w:sz w:val="19"/>
        </w:rPr>
        <w:t> </w:t>
      </w:r>
      <w:r>
        <w:rPr>
          <w:sz w:val="19"/>
        </w:rPr>
        <w:t>blind</w:t>
      </w:r>
      <w:r>
        <w:rPr>
          <w:spacing w:val="-3"/>
          <w:sz w:val="19"/>
        </w:rPr>
        <w:t> </w:t>
      </w:r>
      <w:r>
        <w:rPr>
          <w:sz w:val="19"/>
        </w:rPr>
        <w:t>or</w:t>
      </w:r>
      <w:r>
        <w:rPr>
          <w:spacing w:val="-4"/>
          <w:sz w:val="19"/>
        </w:rPr>
        <w:t> </w:t>
      </w:r>
      <w:r>
        <w:rPr>
          <w:spacing w:val="-3"/>
          <w:sz w:val="19"/>
        </w:rPr>
        <w:t>have</w:t>
      </w:r>
      <w:r>
        <w:rPr>
          <w:spacing w:val="-4"/>
          <w:sz w:val="19"/>
        </w:rPr>
        <w:t> </w:t>
      </w:r>
      <w:r>
        <w:rPr>
          <w:spacing w:val="-3"/>
          <w:sz w:val="19"/>
        </w:rPr>
        <w:t>low</w:t>
      </w:r>
      <w:r>
        <w:rPr>
          <w:spacing w:val="-4"/>
          <w:sz w:val="19"/>
        </w:rPr>
        <w:t> </w:t>
      </w:r>
      <w:r>
        <w:rPr>
          <w:sz w:val="19"/>
        </w:rPr>
        <w:t>vision</w:t>
      </w:r>
      <w:r>
        <w:rPr>
          <w:spacing w:val="-3"/>
          <w:sz w:val="19"/>
        </w:rPr>
        <w:t> </w:t>
      </w:r>
      <w:r>
        <w:rPr>
          <w:sz w:val="19"/>
        </w:rPr>
        <w:t>serving</w:t>
      </w:r>
      <w:r>
        <w:rPr>
          <w:spacing w:val="-4"/>
          <w:sz w:val="19"/>
        </w:rPr>
        <w:t> </w:t>
      </w:r>
      <w:r>
        <w:rPr>
          <w:sz w:val="19"/>
        </w:rPr>
        <w:t>on</w:t>
      </w:r>
      <w:r>
        <w:rPr>
          <w:spacing w:val="-4"/>
          <w:sz w:val="19"/>
        </w:rPr>
        <w:t> </w:t>
      </w:r>
      <w:r>
        <w:rPr>
          <w:sz w:val="19"/>
        </w:rPr>
        <w:t>juries,</w:t>
      </w:r>
      <w:r>
        <w:rPr>
          <w:spacing w:val="-4"/>
          <w:sz w:val="19"/>
        </w:rPr>
        <w:t> </w:t>
      </w:r>
      <w:r>
        <w:rPr>
          <w:sz w:val="19"/>
        </w:rPr>
        <w:t>will</w:t>
      </w:r>
      <w:r>
        <w:rPr>
          <w:spacing w:val="-3"/>
          <w:sz w:val="19"/>
        </w:rPr>
        <w:t> </w:t>
      </w:r>
      <w:r>
        <w:rPr>
          <w:sz w:val="19"/>
        </w:rPr>
        <w:t>be</w:t>
      </w:r>
      <w:r>
        <w:rPr>
          <w:spacing w:val="-4"/>
          <w:sz w:val="19"/>
        </w:rPr>
        <w:t> </w:t>
      </w:r>
      <w:r>
        <w:rPr>
          <w:sz w:val="19"/>
        </w:rPr>
        <w:t>most</w:t>
      </w:r>
      <w:r>
        <w:rPr>
          <w:spacing w:val="-4"/>
          <w:sz w:val="19"/>
        </w:rPr>
        <w:t> </w:t>
      </w:r>
      <w:r>
        <w:rPr>
          <w:sz w:val="19"/>
        </w:rPr>
        <w:t>effective</w:t>
      </w:r>
      <w:r>
        <w:rPr>
          <w:spacing w:val="-4"/>
          <w:sz w:val="19"/>
        </w:rPr>
        <w:t> </w:t>
      </w:r>
      <w:r>
        <w:rPr>
          <w:sz w:val="19"/>
        </w:rPr>
        <w:t>in ensuring that disability is not a factor in exclusions or challenges. It will therefore be essential</w:t>
      </w:r>
      <w:r>
        <w:rPr>
          <w:spacing w:val="-6"/>
          <w:sz w:val="19"/>
        </w:rPr>
        <w:t> </w:t>
      </w:r>
      <w:r>
        <w:rPr>
          <w:sz w:val="19"/>
        </w:rPr>
        <w:t>to</w:t>
      </w:r>
      <w:r>
        <w:rPr>
          <w:spacing w:val="-5"/>
          <w:sz w:val="19"/>
        </w:rPr>
        <w:t> </w:t>
      </w:r>
      <w:r>
        <w:rPr>
          <w:sz w:val="19"/>
        </w:rPr>
        <w:t>include</w:t>
      </w:r>
      <w:r>
        <w:rPr>
          <w:spacing w:val="-5"/>
          <w:sz w:val="19"/>
        </w:rPr>
        <w:t> </w:t>
      </w:r>
      <w:r>
        <w:rPr>
          <w:sz w:val="19"/>
        </w:rPr>
        <w:t>such</w:t>
      </w:r>
      <w:r>
        <w:rPr>
          <w:spacing w:val="-6"/>
          <w:sz w:val="19"/>
        </w:rPr>
        <w:t> </w:t>
      </w:r>
      <w:r>
        <w:rPr>
          <w:sz w:val="19"/>
        </w:rPr>
        <w:t>measures</w:t>
      </w:r>
      <w:r>
        <w:rPr>
          <w:spacing w:val="-5"/>
          <w:sz w:val="19"/>
        </w:rPr>
        <w:t> </w:t>
      </w:r>
      <w:r>
        <w:rPr>
          <w:sz w:val="19"/>
        </w:rPr>
        <w:t>along</w:t>
      </w:r>
      <w:r>
        <w:rPr>
          <w:spacing w:val="-5"/>
          <w:sz w:val="19"/>
        </w:rPr>
        <w:t> </w:t>
      </w:r>
      <w:r>
        <w:rPr>
          <w:sz w:val="19"/>
        </w:rPr>
        <w:t>with</w:t>
      </w:r>
      <w:r>
        <w:rPr>
          <w:spacing w:val="-6"/>
          <w:sz w:val="19"/>
        </w:rPr>
        <w:t> </w:t>
      </w:r>
      <w:r>
        <w:rPr>
          <w:sz w:val="19"/>
        </w:rPr>
        <w:t>legislative</w:t>
      </w:r>
      <w:r>
        <w:rPr>
          <w:spacing w:val="-5"/>
          <w:sz w:val="19"/>
        </w:rPr>
        <w:t> </w:t>
      </w:r>
      <w:r>
        <w:rPr>
          <w:sz w:val="19"/>
        </w:rPr>
        <w:t>reform,</w:t>
      </w:r>
      <w:r>
        <w:rPr>
          <w:spacing w:val="-5"/>
          <w:sz w:val="19"/>
        </w:rPr>
        <w:t> </w:t>
      </w:r>
      <w:r>
        <w:rPr>
          <w:sz w:val="19"/>
        </w:rPr>
        <w:t>since</w:t>
      </w:r>
      <w:r>
        <w:rPr>
          <w:spacing w:val="-6"/>
          <w:sz w:val="19"/>
        </w:rPr>
        <w:t> </w:t>
      </w:r>
      <w:r>
        <w:rPr>
          <w:sz w:val="19"/>
        </w:rPr>
        <w:t>legislation</w:t>
      </w:r>
    </w:p>
    <w:p>
      <w:pPr>
        <w:spacing w:line="222" w:lineRule="exact" w:before="0"/>
        <w:ind w:left="2157" w:right="0" w:firstLine="0"/>
        <w:jc w:val="left"/>
        <w:rPr>
          <w:sz w:val="19"/>
        </w:rPr>
      </w:pPr>
      <w:r>
        <w:rPr>
          <w:sz w:val="19"/>
        </w:rPr>
        <w:t>alone is unlikely to be the catalyst for the significant cultural change that is required in</w:t>
      </w:r>
    </w:p>
    <w:p>
      <w:pPr>
        <w:spacing w:line="247" w:lineRule="exact" w:before="0"/>
        <w:ind w:left="2157" w:right="0" w:firstLine="0"/>
        <w:jc w:val="left"/>
        <w:rPr>
          <w:sz w:val="11"/>
        </w:rPr>
      </w:pPr>
      <w:r>
        <w:rPr>
          <w:sz w:val="19"/>
        </w:rPr>
        <w:t>the legal profession.</w:t>
      </w:r>
      <w:r>
        <w:rPr>
          <w:position w:val="6"/>
          <w:sz w:val="11"/>
        </w:rPr>
        <w:t>60</w:t>
      </w:r>
    </w:p>
    <w:p>
      <w:pPr>
        <w:pStyle w:val="ListParagraph"/>
        <w:numPr>
          <w:ilvl w:val="1"/>
          <w:numId w:val="12"/>
        </w:numPr>
        <w:tabs>
          <w:tab w:pos="1762" w:val="left" w:leader="none"/>
        </w:tabs>
        <w:spacing w:line="206" w:lineRule="auto" w:before="117" w:after="0"/>
        <w:ind w:left="1761" w:right="1351" w:hanging="794"/>
        <w:jc w:val="both"/>
        <w:rPr>
          <w:sz w:val="20"/>
        </w:rPr>
      </w:pPr>
      <w:r>
        <w:rPr>
          <w:sz w:val="20"/>
        </w:rPr>
        <w:t>Disability</w:t>
      </w:r>
      <w:r>
        <w:rPr>
          <w:spacing w:val="-11"/>
          <w:sz w:val="20"/>
        </w:rPr>
        <w:t> </w:t>
      </w:r>
      <w:r>
        <w:rPr>
          <w:spacing w:val="-3"/>
          <w:sz w:val="20"/>
        </w:rPr>
        <w:t>awareness</w:t>
      </w:r>
      <w:r>
        <w:rPr>
          <w:spacing w:val="-10"/>
          <w:sz w:val="20"/>
        </w:rPr>
        <w:t> </w:t>
      </w:r>
      <w:r>
        <w:rPr>
          <w:sz w:val="20"/>
        </w:rPr>
        <w:t>training</w:t>
      </w:r>
      <w:r>
        <w:rPr>
          <w:spacing w:val="-10"/>
          <w:sz w:val="20"/>
        </w:rPr>
        <w:t> </w:t>
      </w:r>
      <w:r>
        <w:rPr>
          <w:sz w:val="20"/>
        </w:rPr>
        <w:t>and</w:t>
      </w:r>
      <w:r>
        <w:rPr>
          <w:spacing w:val="-11"/>
          <w:sz w:val="20"/>
        </w:rPr>
        <w:t> </w:t>
      </w:r>
      <w:r>
        <w:rPr>
          <w:sz w:val="20"/>
        </w:rPr>
        <w:t>practical</w:t>
      </w:r>
      <w:r>
        <w:rPr>
          <w:spacing w:val="-10"/>
          <w:sz w:val="20"/>
        </w:rPr>
        <w:t> </w:t>
      </w:r>
      <w:r>
        <w:rPr>
          <w:sz w:val="20"/>
        </w:rPr>
        <w:t>legal</w:t>
      </w:r>
      <w:r>
        <w:rPr>
          <w:spacing w:val="-10"/>
          <w:sz w:val="20"/>
        </w:rPr>
        <w:t> </w:t>
      </w:r>
      <w:r>
        <w:rPr>
          <w:sz w:val="20"/>
        </w:rPr>
        <w:t>training</w:t>
      </w:r>
      <w:r>
        <w:rPr>
          <w:spacing w:val="-10"/>
          <w:sz w:val="20"/>
        </w:rPr>
        <w:t> </w:t>
      </w:r>
      <w:r>
        <w:rPr>
          <w:sz w:val="20"/>
        </w:rPr>
        <w:t>on</w:t>
      </w:r>
      <w:r>
        <w:rPr>
          <w:spacing w:val="-11"/>
          <w:sz w:val="20"/>
        </w:rPr>
        <w:t> </w:t>
      </w:r>
      <w:r>
        <w:rPr>
          <w:sz w:val="20"/>
        </w:rPr>
        <w:t>the</w:t>
      </w:r>
      <w:r>
        <w:rPr>
          <w:spacing w:val="-10"/>
          <w:sz w:val="20"/>
        </w:rPr>
        <w:t> </w:t>
      </w:r>
      <w:r>
        <w:rPr>
          <w:sz w:val="20"/>
        </w:rPr>
        <w:t>application</w:t>
      </w:r>
      <w:r>
        <w:rPr>
          <w:spacing w:val="-10"/>
          <w:sz w:val="20"/>
        </w:rPr>
        <w:t> </w:t>
      </w:r>
      <w:r>
        <w:rPr>
          <w:sz w:val="20"/>
        </w:rPr>
        <w:t>of</w:t>
      </w:r>
      <w:r>
        <w:rPr>
          <w:spacing w:val="-11"/>
          <w:sz w:val="20"/>
        </w:rPr>
        <w:t> </w:t>
      </w:r>
      <w:r>
        <w:rPr>
          <w:sz w:val="20"/>
        </w:rPr>
        <w:t>the</w:t>
      </w:r>
      <w:r>
        <w:rPr>
          <w:spacing w:val="-10"/>
          <w:sz w:val="20"/>
        </w:rPr>
        <w:t> </w:t>
      </w:r>
      <w:r>
        <w:rPr>
          <w:sz w:val="20"/>
        </w:rPr>
        <w:t>new </w:t>
      </w:r>
      <w:r>
        <w:rPr>
          <w:spacing w:val="-3"/>
          <w:sz w:val="20"/>
        </w:rPr>
        <w:t>laws</w:t>
      </w:r>
      <w:r>
        <w:rPr>
          <w:spacing w:val="-12"/>
          <w:sz w:val="20"/>
        </w:rPr>
        <w:t> </w:t>
      </w:r>
      <w:r>
        <w:rPr>
          <w:sz w:val="20"/>
        </w:rPr>
        <w:t>should</w:t>
      </w:r>
      <w:r>
        <w:rPr>
          <w:spacing w:val="-12"/>
          <w:sz w:val="20"/>
        </w:rPr>
        <w:t> </w:t>
      </w:r>
      <w:r>
        <w:rPr>
          <w:sz w:val="20"/>
        </w:rPr>
        <w:t>be</w:t>
      </w:r>
      <w:r>
        <w:rPr>
          <w:spacing w:val="-12"/>
          <w:sz w:val="20"/>
        </w:rPr>
        <w:t> </w:t>
      </w:r>
      <w:r>
        <w:rPr>
          <w:spacing w:val="-3"/>
          <w:sz w:val="20"/>
        </w:rPr>
        <w:t>provided</w:t>
      </w:r>
      <w:r>
        <w:rPr>
          <w:spacing w:val="-12"/>
          <w:sz w:val="20"/>
        </w:rPr>
        <w:t> </w:t>
      </w:r>
      <w:r>
        <w:rPr>
          <w:sz w:val="20"/>
        </w:rPr>
        <w:t>regularly</w:t>
      </w:r>
      <w:r>
        <w:rPr>
          <w:spacing w:val="-11"/>
          <w:sz w:val="20"/>
        </w:rPr>
        <w:t> </w:t>
      </w:r>
      <w:r>
        <w:rPr>
          <w:sz w:val="20"/>
        </w:rPr>
        <w:t>to</w:t>
      </w:r>
      <w:r>
        <w:rPr>
          <w:spacing w:val="-12"/>
          <w:sz w:val="20"/>
        </w:rPr>
        <w:t> </w:t>
      </w:r>
      <w:r>
        <w:rPr>
          <w:sz w:val="20"/>
        </w:rPr>
        <w:t>legal</w:t>
      </w:r>
      <w:r>
        <w:rPr>
          <w:spacing w:val="-12"/>
          <w:sz w:val="20"/>
        </w:rPr>
        <w:t> </w:t>
      </w:r>
      <w:r>
        <w:rPr>
          <w:sz w:val="20"/>
        </w:rPr>
        <w:t>professionals.</w:t>
      </w:r>
      <w:r>
        <w:rPr>
          <w:spacing w:val="-12"/>
          <w:sz w:val="20"/>
        </w:rPr>
        <w:t> </w:t>
      </w:r>
      <w:r>
        <w:rPr>
          <w:sz w:val="20"/>
        </w:rPr>
        <w:t>These</w:t>
      </w:r>
      <w:r>
        <w:rPr>
          <w:spacing w:val="-12"/>
          <w:sz w:val="20"/>
        </w:rPr>
        <w:t> </w:t>
      </w:r>
      <w:r>
        <w:rPr>
          <w:sz w:val="20"/>
        </w:rPr>
        <w:t>recommendations</w:t>
      </w:r>
      <w:r>
        <w:rPr>
          <w:spacing w:val="-11"/>
          <w:sz w:val="20"/>
        </w:rPr>
        <w:t> </w:t>
      </w:r>
      <w:r>
        <w:rPr>
          <w:spacing w:val="-3"/>
          <w:sz w:val="20"/>
        </w:rPr>
        <w:t>are </w:t>
      </w:r>
      <w:r>
        <w:rPr>
          <w:sz w:val="20"/>
        </w:rPr>
        <w:t>discussed in </w:t>
      </w:r>
      <w:r>
        <w:rPr>
          <w:spacing w:val="-2"/>
          <w:sz w:val="20"/>
        </w:rPr>
        <w:t>Chapter</w:t>
      </w:r>
      <w:r>
        <w:rPr>
          <w:spacing w:val="-13"/>
          <w:sz w:val="20"/>
        </w:rPr>
        <w:t> </w:t>
      </w:r>
      <w:r>
        <w:rPr>
          <w:sz w:val="20"/>
        </w:rPr>
        <w:t>18.</w:t>
      </w:r>
    </w:p>
    <w:p>
      <w:pPr>
        <w:spacing w:before="162"/>
        <w:ind w:left="967" w:right="0" w:firstLine="0"/>
        <w:jc w:val="left"/>
        <w:rPr>
          <w:b/>
          <w:sz w:val="24"/>
        </w:rPr>
      </w:pPr>
      <w:r>
        <w:rPr>
          <w:b/>
          <w:sz w:val="24"/>
        </w:rPr>
        <w:t>Collecting data about peremptory challenges</w:t>
      </w:r>
    </w:p>
    <w:p>
      <w:pPr>
        <w:pStyle w:val="ListParagraph"/>
        <w:numPr>
          <w:ilvl w:val="1"/>
          <w:numId w:val="12"/>
        </w:numPr>
        <w:tabs>
          <w:tab w:pos="1761" w:val="left" w:leader="none"/>
          <w:tab w:pos="1762" w:val="left" w:leader="none"/>
        </w:tabs>
        <w:spacing w:line="206" w:lineRule="auto" w:before="127" w:after="0"/>
        <w:ind w:left="1761" w:right="1469" w:hanging="794"/>
        <w:jc w:val="left"/>
        <w:rPr>
          <w:sz w:val="20"/>
        </w:rPr>
      </w:pPr>
      <w:r>
        <w:rPr>
          <w:sz w:val="20"/>
        </w:rPr>
        <w:t>As</w:t>
      </w:r>
      <w:r>
        <w:rPr>
          <w:spacing w:val="-9"/>
          <w:sz w:val="20"/>
        </w:rPr>
        <w:t> </w:t>
      </w:r>
      <w:r>
        <w:rPr>
          <w:sz w:val="20"/>
        </w:rPr>
        <w:t>the</w:t>
      </w:r>
      <w:r>
        <w:rPr>
          <w:spacing w:val="-9"/>
          <w:sz w:val="20"/>
        </w:rPr>
        <w:t> </w:t>
      </w:r>
      <w:r>
        <w:rPr>
          <w:sz w:val="20"/>
        </w:rPr>
        <w:t>reasons</w:t>
      </w:r>
      <w:r>
        <w:rPr>
          <w:spacing w:val="-9"/>
          <w:sz w:val="20"/>
        </w:rPr>
        <w:t> </w:t>
      </w:r>
      <w:r>
        <w:rPr>
          <w:sz w:val="20"/>
        </w:rPr>
        <w:t>for</w:t>
      </w:r>
      <w:r>
        <w:rPr>
          <w:spacing w:val="-9"/>
          <w:sz w:val="20"/>
        </w:rPr>
        <w:t> </w:t>
      </w:r>
      <w:r>
        <w:rPr>
          <w:spacing w:val="-3"/>
          <w:sz w:val="20"/>
        </w:rPr>
        <w:t>exercising</w:t>
      </w:r>
      <w:r>
        <w:rPr>
          <w:spacing w:val="-9"/>
          <w:sz w:val="20"/>
        </w:rPr>
        <w:t> </w:t>
      </w:r>
      <w:r>
        <w:rPr>
          <w:sz w:val="20"/>
        </w:rPr>
        <w:t>peremptory</w:t>
      </w:r>
      <w:r>
        <w:rPr>
          <w:spacing w:val="-9"/>
          <w:sz w:val="20"/>
        </w:rPr>
        <w:t> </w:t>
      </w:r>
      <w:r>
        <w:rPr>
          <w:sz w:val="20"/>
        </w:rPr>
        <w:t>and</w:t>
      </w:r>
      <w:r>
        <w:rPr>
          <w:spacing w:val="-9"/>
          <w:sz w:val="20"/>
        </w:rPr>
        <w:t> </w:t>
      </w:r>
      <w:r>
        <w:rPr>
          <w:sz w:val="20"/>
        </w:rPr>
        <w:t>stand</w:t>
      </w:r>
      <w:r>
        <w:rPr>
          <w:spacing w:val="-9"/>
          <w:sz w:val="20"/>
        </w:rPr>
        <w:t> </w:t>
      </w:r>
      <w:r>
        <w:rPr>
          <w:sz w:val="20"/>
        </w:rPr>
        <w:t>aside</w:t>
      </w:r>
      <w:r>
        <w:rPr>
          <w:spacing w:val="-9"/>
          <w:sz w:val="20"/>
        </w:rPr>
        <w:t> </w:t>
      </w:r>
      <w:r>
        <w:rPr>
          <w:sz w:val="20"/>
        </w:rPr>
        <w:t>challenges</w:t>
      </w:r>
      <w:r>
        <w:rPr>
          <w:spacing w:val="-9"/>
          <w:sz w:val="20"/>
        </w:rPr>
        <w:t> </w:t>
      </w:r>
      <w:r>
        <w:rPr>
          <w:sz w:val="20"/>
        </w:rPr>
        <w:t>do</w:t>
      </w:r>
      <w:r>
        <w:rPr>
          <w:spacing w:val="-9"/>
          <w:sz w:val="20"/>
        </w:rPr>
        <w:t> </w:t>
      </w:r>
      <w:r>
        <w:rPr>
          <w:sz w:val="20"/>
        </w:rPr>
        <w:t>not</w:t>
      </w:r>
      <w:r>
        <w:rPr>
          <w:spacing w:val="-9"/>
          <w:sz w:val="20"/>
        </w:rPr>
        <w:t> </w:t>
      </w:r>
      <w:r>
        <w:rPr>
          <w:sz w:val="20"/>
        </w:rPr>
        <w:t>need</w:t>
      </w:r>
      <w:r>
        <w:rPr>
          <w:spacing w:val="-9"/>
          <w:sz w:val="20"/>
        </w:rPr>
        <w:t> </w:t>
      </w:r>
      <w:r>
        <w:rPr>
          <w:sz w:val="20"/>
        </w:rPr>
        <w:t>to be</w:t>
      </w:r>
      <w:r>
        <w:rPr>
          <w:spacing w:val="-9"/>
          <w:sz w:val="20"/>
        </w:rPr>
        <w:t> </w:t>
      </w:r>
      <w:r>
        <w:rPr>
          <w:sz w:val="20"/>
        </w:rPr>
        <w:t>given,</w:t>
      </w:r>
      <w:r>
        <w:rPr>
          <w:spacing w:val="-8"/>
          <w:sz w:val="20"/>
        </w:rPr>
        <w:t> </w:t>
      </w:r>
      <w:r>
        <w:rPr>
          <w:sz w:val="20"/>
        </w:rPr>
        <w:t>it</w:t>
      </w:r>
      <w:r>
        <w:rPr>
          <w:spacing w:val="-9"/>
          <w:sz w:val="20"/>
        </w:rPr>
        <w:t> </w:t>
      </w:r>
      <w:r>
        <w:rPr>
          <w:sz w:val="20"/>
        </w:rPr>
        <w:t>is</w:t>
      </w:r>
      <w:r>
        <w:rPr>
          <w:spacing w:val="-8"/>
          <w:sz w:val="20"/>
        </w:rPr>
        <w:t> </w:t>
      </w:r>
      <w:r>
        <w:rPr>
          <w:sz w:val="20"/>
        </w:rPr>
        <w:t>impossible</w:t>
      </w:r>
      <w:r>
        <w:rPr>
          <w:spacing w:val="-8"/>
          <w:sz w:val="20"/>
        </w:rPr>
        <w:t> </w:t>
      </w:r>
      <w:r>
        <w:rPr>
          <w:sz w:val="20"/>
        </w:rPr>
        <w:t>to</w:t>
      </w:r>
      <w:r>
        <w:rPr>
          <w:spacing w:val="-9"/>
          <w:sz w:val="20"/>
        </w:rPr>
        <w:t> </w:t>
      </w:r>
      <w:r>
        <w:rPr>
          <w:sz w:val="20"/>
        </w:rPr>
        <w:t>know</w:t>
      </w:r>
      <w:r>
        <w:rPr>
          <w:spacing w:val="-8"/>
          <w:sz w:val="20"/>
        </w:rPr>
        <w:t> </w:t>
      </w:r>
      <w:r>
        <w:rPr>
          <w:sz w:val="20"/>
        </w:rPr>
        <w:t>the</w:t>
      </w:r>
      <w:r>
        <w:rPr>
          <w:spacing w:val="-9"/>
          <w:sz w:val="20"/>
        </w:rPr>
        <w:t> </w:t>
      </w:r>
      <w:r>
        <w:rPr>
          <w:sz w:val="20"/>
        </w:rPr>
        <w:t>basis</w:t>
      </w:r>
      <w:r>
        <w:rPr>
          <w:spacing w:val="-8"/>
          <w:sz w:val="20"/>
        </w:rPr>
        <w:t> </w:t>
      </w:r>
      <w:r>
        <w:rPr>
          <w:sz w:val="20"/>
        </w:rPr>
        <w:t>on</w:t>
      </w:r>
      <w:r>
        <w:rPr>
          <w:spacing w:val="-8"/>
          <w:sz w:val="20"/>
        </w:rPr>
        <w:t> </w:t>
      </w:r>
      <w:r>
        <w:rPr>
          <w:sz w:val="20"/>
        </w:rPr>
        <w:t>which</w:t>
      </w:r>
      <w:r>
        <w:rPr>
          <w:spacing w:val="-9"/>
          <w:sz w:val="20"/>
        </w:rPr>
        <w:t> </w:t>
      </w:r>
      <w:r>
        <w:rPr>
          <w:sz w:val="20"/>
        </w:rPr>
        <w:t>these</w:t>
      </w:r>
      <w:r>
        <w:rPr>
          <w:spacing w:val="-8"/>
          <w:sz w:val="20"/>
        </w:rPr>
        <w:t> </w:t>
      </w:r>
      <w:r>
        <w:rPr>
          <w:sz w:val="20"/>
        </w:rPr>
        <w:t>challenges</w:t>
      </w:r>
      <w:r>
        <w:rPr>
          <w:spacing w:val="-9"/>
          <w:sz w:val="20"/>
        </w:rPr>
        <w:t> </w:t>
      </w:r>
      <w:r>
        <w:rPr>
          <w:spacing w:val="-3"/>
          <w:sz w:val="20"/>
        </w:rPr>
        <w:t>are</w:t>
      </w:r>
      <w:r>
        <w:rPr>
          <w:spacing w:val="-8"/>
          <w:sz w:val="20"/>
        </w:rPr>
        <w:t> </w:t>
      </w:r>
      <w:r>
        <w:rPr>
          <w:sz w:val="20"/>
        </w:rPr>
        <w:t>made.</w:t>
      </w:r>
    </w:p>
    <w:p>
      <w:pPr>
        <w:pStyle w:val="ListParagraph"/>
        <w:numPr>
          <w:ilvl w:val="1"/>
          <w:numId w:val="12"/>
        </w:numPr>
        <w:tabs>
          <w:tab w:pos="1761" w:val="left" w:leader="none"/>
          <w:tab w:pos="1762" w:val="left" w:leader="none"/>
        </w:tabs>
        <w:spacing w:line="206" w:lineRule="auto" w:before="122" w:after="0"/>
        <w:ind w:left="1761" w:right="1339" w:hanging="794"/>
        <w:jc w:val="left"/>
        <w:rPr>
          <w:sz w:val="20"/>
        </w:rPr>
      </w:pPr>
      <w:r>
        <w:rPr>
          <w:sz w:val="20"/>
        </w:rPr>
        <w:t>The</w:t>
      </w:r>
      <w:r>
        <w:rPr>
          <w:spacing w:val="-10"/>
          <w:sz w:val="20"/>
        </w:rPr>
        <w:t> </w:t>
      </w:r>
      <w:r>
        <w:rPr>
          <w:sz w:val="20"/>
        </w:rPr>
        <w:t>Juries</w:t>
      </w:r>
      <w:r>
        <w:rPr>
          <w:spacing w:val="-9"/>
          <w:sz w:val="20"/>
        </w:rPr>
        <w:t> </w:t>
      </w:r>
      <w:r>
        <w:rPr>
          <w:sz w:val="20"/>
        </w:rPr>
        <w:t>Commissioner</w:t>
      </w:r>
      <w:r>
        <w:rPr>
          <w:spacing w:val="-10"/>
          <w:sz w:val="20"/>
        </w:rPr>
        <w:t> </w:t>
      </w:r>
      <w:r>
        <w:rPr>
          <w:spacing w:val="-3"/>
          <w:sz w:val="20"/>
        </w:rPr>
        <w:t>told</w:t>
      </w:r>
      <w:r>
        <w:rPr>
          <w:spacing w:val="-9"/>
          <w:sz w:val="20"/>
        </w:rPr>
        <w:t> </w:t>
      </w:r>
      <w:r>
        <w:rPr>
          <w:sz w:val="20"/>
        </w:rPr>
        <w:t>us</w:t>
      </w:r>
      <w:r>
        <w:rPr>
          <w:spacing w:val="-10"/>
          <w:sz w:val="20"/>
        </w:rPr>
        <w:t> </w:t>
      </w:r>
      <w:r>
        <w:rPr>
          <w:sz w:val="20"/>
        </w:rPr>
        <w:t>that</w:t>
      </w:r>
      <w:r>
        <w:rPr>
          <w:spacing w:val="-9"/>
          <w:sz w:val="20"/>
        </w:rPr>
        <w:t> </w:t>
      </w:r>
      <w:r>
        <w:rPr>
          <w:sz w:val="20"/>
        </w:rPr>
        <w:t>basic</w:t>
      </w:r>
      <w:r>
        <w:rPr>
          <w:spacing w:val="-10"/>
          <w:sz w:val="20"/>
        </w:rPr>
        <w:t> </w:t>
      </w:r>
      <w:r>
        <w:rPr>
          <w:sz w:val="20"/>
        </w:rPr>
        <w:t>data</w:t>
      </w:r>
      <w:r>
        <w:rPr>
          <w:spacing w:val="-9"/>
          <w:sz w:val="20"/>
        </w:rPr>
        <w:t> </w:t>
      </w:r>
      <w:r>
        <w:rPr>
          <w:sz w:val="20"/>
        </w:rPr>
        <w:t>is</w:t>
      </w:r>
      <w:r>
        <w:rPr>
          <w:spacing w:val="-10"/>
          <w:sz w:val="20"/>
        </w:rPr>
        <w:t> </w:t>
      </w:r>
      <w:r>
        <w:rPr>
          <w:spacing w:val="-3"/>
          <w:sz w:val="20"/>
        </w:rPr>
        <w:t>recorded</w:t>
      </w:r>
      <w:r>
        <w:rPr>
          <w:spacing w:val="-9"/>
          <w:sz w:val="20"/>
        </w:rPr>
        <w:t> </w:t>
      </w:r>
      <w:r>
        <w:rPr>
          <w:sz w:val="20"/>
        </w:rPr>
        <w:t>about</w:t>
      </w:r>
      <w:r>
        <w:rPr>
          <w:spacing w:val="-9"/>
          <w:sz w:val="20"/>
        </w:rPr>
        <w:t> </w:t>
      </w:r>
      <w:r>
        <w:rPr>
          <w:sz w:val="20"/>
        </w:rPr>
        <w:t>jurors</w:t>
      </w:r>
      <w:r>
        <w:rPr>
          <w:spacing w:val="-10"/>
          <w:sz w:val="20"/>
        </w:rPr>
        <w:t> </w:t>
      </w:r>
      <w:r>
        <w:rPr>
          <w:sz w:val="20"/>
        </w:rPr>
        <w:t>and</w:t>
      </w:r>
      <w:r>
        <w:rPr>
          <w:spacing w:val="-9"/>
          <w:sz w:val="20"/>
        </w:rPr>
        <w:t> </w:t>
      </w:r>
      <w:r>
        <w:rPr>
          <w:sz w:val="20"/>
        </w:rPr>
        <w:t>potential jurors,</w:t>
      </w:r>
      <w:r>
        <w:rPr>
          <w:spacing w:val="-12"/>
          <w:sz w:val="20"/>
        </w:rPr>
        <w:t> </w:t>
      </w:r>
      <w:r>
        <w:rPr>
          <w:sz w:val="20"/>
        </w:rPr>
        <w:t>namely</w:t>
      </w:r>
      <w:r>
        <w:rPr>
          <w:spacing w:val="-11"/>
          <w:sz w:val="20"/>
        </w:rPr>
        <w:t> </w:t>
      </w:r>
      <w:r>
        <w:rPr>
          <w:sz w:val="20"/>
        </w:rPr>
        <w:t>the</w:t>
      </w:r>
      <w:r>
        <w:rPr>
          <w:spacing w:val="-11"/>
          <w:sz w:val="20"/>
        </w:rPr>
        <w:t> </w:t>
      </w:r>
      <w:r>
        <w:rPr>
          <w:sz w:val="20"/>
        </w:rPr>
        <w:t>potential</w:t>
      </w:r>
      <w:r>
        <w:rPr>
          <w:spacing w:val="-12"/>
          <w:sz w:val="20"/>
        </w:rPr>
        <w:t> </w:t>
      </w:r>
      <w:r>
        <w:rPr>
          <w:spacing w:val="-3"/>
          <w:sz w:val="20"/>
        </w:rPr>
        <w:t>jurors’</w:t>
      </w:r>
      <w:r>
        <w:rPr>
          <w:spacing w:val="-11"/>
          <w:sz w:val="20"/>
        </w:rPr>
        <w:t> </w:t>
      </w:r>
      <w:r>
        <w:rPr>
          <w:sz w:val="20"/>
        </w:rPr>
        <w:t>sex,</w:t>
      </w:r>
      <w:r>
        <w:rPr>
          <w:spacing w:val="-11"/>
          <w:sz w:val="20"/>
        </w:rPr>
        <w:t> </w:t>
      </w:r>
      <w:r>
        <w:rPr>
          <w:sz w:val="20"/>
        </w:rPr>
        <w:t>age</w:t>
      </w:r>
      <w:r>
        <w:rPr>
          <w:spacing w:val="-11"/>
          <w:sz w:val="20"/>
        </w:rPr>
        <w:t> </w:t>
      </w:r>
      <w:r>
        <w:rPr>
          <w:sz w:val="20"/>
        </w:rPr>
        <w:t>and</w:t>
      </w:r>
      <w:r>
        <w:rPr>
          <w:spacing w:val="-12"/>
          <w:sz w:val="20"/>
        </w:rPr>
        <w:t> </w:t>
      </w:r>
      <w:r>
        <w:rPr>
          <w:sz w:val="20"/>
        </w:rPr>
        <w:t>occupation,</w:t>
      </w:r>
      <w:r>
        <w:rPr>
          <w:spacing w:val="-11"/>
          <w:sz w:val="20"/>
        </w:rPr>
        <w:t> </w:t>
      </w:r>
      <w:r>
        <w:rPr>
          <w:sz w:val="20"/>
        </w:rPr>
        <w:t>as</w:t>
      </w:r>
      <w:r>
        <w:rPr>
          <w:spacing w:val="-11"/>
          <w:sz w:val="20"/>
        </w:rPr>
        <w:t> </w:t>
      </w:r>
      <w:r>
        <w:rPr>
          <w:sz w:val="20"/>
        </w:rPr>
        <w:t>well</w:t>
      </w:r>
      <w:r>
        <w:rPr>
          <w:spacing w:val="-12"/>
          <w:sz w:val="20"/>
        </w:rPr>
        <w:t> </w:t>
      </w:r>
      <w:r>
        <w:rPr>
          <w:sz w:val="20"/>
        </w:rPr>
        <w:t>as</w:t>
      </w:r>
      <w:r>
        <w:rPr>
          <w:spacing w:val="-11"/>
          <w:sz w:val="20"/>
        </w:rPr>
        <w:t> </w:t>
      </w:r>
      <w:r>
        <w:rPr>
          <w:sz w:val="20"/>
        </w:rPr>
        <w:t>whether</w:t>
      </w:r>
      <w:r>
        <w:rPr>
          <w:spacing w:val="-11"/>
          <w:sz w:val="20"/>
        </w:rPr>
        <w:t> </w:t>
      </w:r>
      <w:r>
        <w:rPr>
          <w:sz w:val="20"/>
        </w:rPr>
        <w:t>a</w:t>
      </w:r>
      <w:r>
        <w:rPr>
          <w:spacing w:val="-11"/>
          <w:sz w:val="20"/>
        </w:rPr>
        <w:t> </w:t>
      </w:r>
      <w:r>
        <w:rPr>
          <w:sz w:val="20"/>
        </w:rPr>
        <w:t>juror was</w:t>
      </w:r>
      <w:r>
        <w:rPr>
          <w:spacing w:val="-9"/>
          <w:sz w:val="20"/>
        </w:rPr>
        <w:t> </w:t>
      </w:r>
      <w:r>
        <w:rPr>
          <w:sz w:val="20"/>
        </w:rPr>
        <w:t>challenged</w:t>
      </w:r>
      <w:r>
        <w:rPr>
          <w:spacing w:val="-9"/>
          <w:sz w:val="20"/>
        </w:rPr>
        <w:t> </w:t>
      </w:r>
      <w:r>
        <w:rPr>
          <w:sz w:val="20"/>
        </w:rPr>
        <w:t>or</w:t>
      </w:r>
      <w:r>
        <w:rPr>
          <w:spacing w:val="-9"/>
          <w:sz w:val="20"/>
        </w:rPr>
        <w:t> </w:t>
      </w:r>
      <w:r>
        <w:rPr>
          <w:sz w:val="20"/>
        </w:rPr>
        <w:t>not.</w:t>
      </w:r>
      <w:r>
        <w:rPr>
          <w:spacing w:val="-8"/>
          <w:sz w:val="20"/>
        </w:rPr>
        <w:t> </w:t>
      </w:r>
      <w:r>
        <w:rPr>
          <w:spacing w:val="-6"/>
          <w:sz w:val="20"/>
        </w:rPr>
        <w:t>We</w:t>
      </w:r>
      <w:r>
        <w:rPr>
          <w:spacing w:val="-9"/>
          <w:sz w:val="20"/>
        </w:rPr>
        <w:t> </w:t>
      </w:r>
      <w:r>
        <w:rPr>
          <w:sz w:val="20"/>
        </w:rPr>
        <w:t>can</w:t>
      </w:r>
      <w:r>
        <w:rPr>
          <w:spacing w:val="-9"/>
          <w:sz w:val="20"/>
        </w:rPr>
        <w:t> </w:t>
      </w:r>
      <w:r>
        <w:rPr>
          <w:sz w:val="20"/>
        </w:rPr>
        <w:t>detect</w:t>
      </w:r>
      <w:r>
        <w:rPr>
          <w:spacing w:val="-9"/>
          <w:sz w:val="20"/>
        </w:rPr>
        <w:t> </w:t>
      </w:r>
      <w:r>
        <w:rPr>
          <w:sz w:val="20"/>
        </w:rPr>
        <w:t>some</w:t>
      </w:r>
      <w:r>
        <w:rPr>
          <w:spacing w:val="-8"/>
          <w:sz w:val="20"/>
        </w:rPr>
        <w:t> </w:t>
      </w:r>
      <w:r>
        <w:rPr>
          <w:sz w:val="20"/>
        </w:rPr>
        <w:t>trends</w:t>
      </w:r>
      <w:r>
        <w:rPr>
          <w:spacing w:val="-9"/>
          <w:sz w:val="20"/>
        </w:rPr>
        <w:t> </w:t>
      </w:r>
      <w:r>
        <w:rPr>
          <w:sz w:val="20"/>
        </w:rPr>
        <w:t>about</w:t>
      </w:r>
      <w:r>
        <w:rPr>
          <w:spacing w:val="-9"/>
          <w:sz w:val="20"/>
        </w:rPr>
        <w:t> </w:t>
      </w:r>
      <w:r>
        <w:rPr>
          <w:sz w:val="20"/>
        </w:rPr>
        <w:t>challenges</w:t>
      </w:r>
      <w:r>
        <w:rPr>
          <w:spacing w:val="-9"/>
          <w:sz w:val="20"/>
        </w:rPr>
        <w:t> </w:t>
      </w:r>
      <w:r>
        <w:rPr>
          <w:spacing w:val="-3"/>
          <w:sz w:val="20"/>
        </w:rPr>
        <w:t>from</w:t>
      </w:r>
      <w:r>
        <w:rPr>
          <w:spacing w:val="-8"/>
          <w:sz w:val="20"/>
        </w:rPr>
        <w:t> </w:t>
      </w:r>
      <w:r>
        <w:rPr>
          <w:sz w:val="20"/>
        </w:rPr>
        <w:t>this</w:t>
      </w:r>
      <w:r>
        <w:rPr>
          <w:spacing w:val="-9"/>
          <w:sz w:val="20"/>
        </w:rPr>
        <w:t> </w:t>
      </w:r>
      <w:r>
        <w:rPr>
          <w:sz w:val="20"/>
        </w:rPr>
        <w:t>data.</w:t>
      </w:r>
    </w:p>
    <w:p>
      <w:pPr>
        <w:pStyle w:val="ListParagraph"/>
        <w:numPr>
          <w:ilvl w:val="1"/>
          <w:numId w:val="12"/>
        </w:numPr>
        <w:tabs>
          <w:tab w:pos="1761" w:val="left" w:leader="none"/>
          <w:tab w:pos="1762" w:val="left" w:leader="none"/>
        </w:tabs>
        <w:spacing w:line="206" w:lineRule="auto" w:before="124" w:after="0"/>
        <w:ind w:left="1761" w:right="1324" w:hanging="794"/>
        <w:jc w:val="left"/>
        <w:rPr>
          <w:sz w:val="20"/>
        </w:rPr>
      </w:pPr>
      <w:r>
        <w:rPr>
          <w:sz w:val="20"/>
        </w:rPr>
        <w:t>It </w:t>
      </w:r>
      <w:r>
        <w:rPr>
          <w:spacing w:val="-3"/>
          <w:sz w:val="20"/>
        </w:rPr>
        <w:t>would </w:t>
      </w:r>
      <w:r>
        <w:rPr>
          <w:sz w:val="20"/>
        </w:rPr>
        <w:t>not be possible to collect data on the number of people </w:t>
      </w:r>
      <w:r>
        <w:rPr>
          <w:spacing w:val="-3"/>
          <w:sz w:val="20"/>
        </w:rPr>
        <w:t>peremptorily </w:t>
      </w:r>
      <w:r>
        <w:rPr>
          <w:sz w:val="20"/>
        </w:rPr>
        <w:t>challenged</w:t>
      </w:r>
      <w:r>
        <w:rPr>
          <w:spacing w:val="-10"/>
          <w:sz w:val="20"/>
        </w:rPr>
        <w:t> </w:t>
      </w:r>
      <w:r>
        <w:rPr>
          <w:sz w:val="20"/>
        </w:rPr>
        <w:t>based</w:t>
      </w:r>
      <w:r>
        <w:rPr>
          <w:spacing w:val="-10"/>
          <w:sz w:val="20"/>
        </w:rPr>
        <w:t> </w:t>
      </w:r>
      <w:r>
        <w:rPr>
          <w:sz w:val="20"/>
        </w:rPr>
        <w:t>on</w:t>
      </w:r>
      <w:r>
        <w:rPr>
          <w:spacing w:val="-9"/>
          <w:sz w:val="20"/>
        </w:rPr>
        <w:t> </w:t>
      </w:r>
      <w:r>
        <w:rPr>
          <w:sz w:val="20"/>
        </w:rPr>
        <w:t>disability</w:t>
      </w:r>
      <w:r>
        <w:rPr>
          <w:spacing w:val="-10"/>
          <w:sz w:val="20"/>
        </w:rPr>
        <w:t> </w:t>
      </w:r>
      <w:r>
        <w:rPr>
          <w:sz w:val="20"/>
        </w:rPr>
        <w:t>because</w:t>
      </w:r>
      <w:r>
        <w:rPr>
          <w:spacing w:val="-9"/>
          <w:sz w:val="20"/>
        </w:rPr>
        <w:t> </w:t>
      </w:r>
      <w:r>
        <w:rPr>
          <w:sz w:val="20"/>
        </w:rPr>
        <w:t>reasons</w:t>
      </w:r>
      <w:r>
        <w:rPr>
          <w:spacing w:val="-10"/>
          <w:sz w:val="20"/>
        </w:rPr>
        <w:t> </w:t>
      </w:r>
      <w:r>
        <w:rPr>
          <w:sz w:val="20"/>
        </w:rPr>
        <w:t>do</w:t>
      </w:r>
      <w:r>
        <w:rPr>
          <w:spacing w:val="-9"/>
          <w:sz w:val="20"/>
        </w:rPr>
        <w:t> </w:t>
      </w:r>
      <w:r>
        <w:rPr>
          <w:sz w:val="20"/>
        </w:rPr>
        <w:t>not</w:t>
      </w:r>
      <w:r>
        <w:rPr>
          <w:spacing w:val="-10"/>
          <w:sz w:val="20"/>
        </w:rPr>
        <w:t> </w:t>
      </w:r>
      <w:r>
        <w:rPr>
          <w:spacing w:val="-4"/>
          <w:sz w:val="20"/>
        </w:rPr>
        <w:t>have</w:t>
      </w:r>
      <w:r>
        <w:rPr>
          <w:spacing w:val="-9"/>
          <w:sz w:val="20"/>
        </w:rPr>
        <w:t> </w:t>
      </w:r>
      <w:r>
        <w:rPr>
          <w:sz w:val="20"/>
        </w:rPr>
        <w:t>to</w:t>
      </w:r>
      <w:r>
        <w:rPr>
          <w:spacing w:val="-10"/>
          <w:sz w:val="20"/>
        </w:rPr>
        <w:t> </w:t>
      </w:r>
      <w:r>
        <w:rPr>
          <w:sz w:val="20"/>
        </w:rPr>
        <w:t>be</w:t>
      </w:r>
      <w:r>
        <w:rPr>
          <w:spacing w:val="-9"/>
          <w:sz w:val="20"/>
        </w:rPr>
        <w:t> </w:t>
      </w:r>
      <w:r>
        <w:rPr>
          <w:sz w:val="20"/>
        </w:rPr>
        <w:t>given.</w:t>
      </w:r>
      <w:r>
        <w:rPr>
          <w:spacing w:val="-10"/>
          <w:sz w:val="20"/>
        </w:rPr>
        <w:t> </w:t>
      </w:r>
      <w:r>
        <w:rPr>
          <w:spacing w:val="-5"/>
          <w:sz w:val="20"/>
        </w:rPr>
        <w:t>However,</w:t>
      </w:r>
      <w:r>
        <w:rPr>
          <w:spacing w:val="-9"/>
          <w:sz w:val="20"/>
        </w:rPr>
        <w:t> </w:t>
      </w:r>
      <w:r>
        <w:rPr>
          <w:spacing w:val="-3"/>
          <w:sz w:val="20"/>
        </w:rPr>
        <w:t>we </w:t>
      </w:r>
      <w:r>
        <w:rPr>
          <w:sz w:val="20"/>
        </w:rPr>
        <w:t>recommend that Juries Victoria collects data on the number of people who request adjustments to serve, and the number who </w:t>
      </w:r>
      <w:r>
        <w:rPr>
          <w:spacing w:val="-3"/>
          <w:sz w:val="20"/>
        </w:rPr>
        <w:t>are provided </w:t>
      </w:r>
      <w:r>
        <w:rPr>
          <w:sz w:val="20"/>
        </w:rPr>
        <w:t>with those adjustments but </w:t>
      </w:r>
      <w:r>
        <w:rPr>
          <w:spacing w:val="-3"/>
          <w:sz w:val="20"/>
        </w:rPr>
        <w:t>are peremptorily </w:t>
      </w:r>
      <w:r>
        <w:rPr>
          <w:sz w:val="20"/>
        </w:rPr>
        <w:t>challenged during the empanelment process. This will </w:t>
      </w:r>
      <w:r>
        <w:rPr>
          <w:spacing w:val="-3"/>
          <w:sz w:val="20"/>
        </w:rPr>
        <w:t>provide </w:t>
      </w:r>
      <w:r>
        <w:rPr>
          <w:sz w:val="20"/>
        </w:rPr>
        <w:t>an insight </w:t>
      </w:r>
      <w:r>
        <w:rPr>
          <w:spacing w:val="-3"/>
          <w:sz w:val="20"/>
        </w:rPr>
        <w:t>into </w:t>
      </w:r>
      <w:r>
        <w:rPr>
          <w:sz w:val="20"/>
        </w:rPr>
        <w:t>whether people in the subject groups </w:t>
      </w:r>
      <w:r>
        <w:rPr>
          <w:spacing w:val="-3"/>
          <w:sz w:val="20"/>
        </w:rPr>
        <w:t>are </w:t>
      </w:r>
      <w:r>
        <w:rPr>
          <w:sz w:val="20"/>
        </w:rPr>
        <w:t>disproportionately challenged, the</w:t>
      </w:r>
      <w:r>
        <w:rPr>
          <w:spacing w:val="-6"/>
          <w:sz w:val="20"/>
        </w:rPr>
        <w:t> </w:t>
      </w:r>
      <w:r>
        <w:rPr>
          <w:sz w:val="20"/>
        </w:rPr>
        <w:t>effectiveness</w:t>
      </w:r>
      <w:r>
        <w:rPr>
          <w:spacing w:val="-6"/>
          <w:sz w:val="20"/>
        </w:rPr>
        <w:t> </w:t>
      </w:r>
      <w:r>
        <w:rPr>
          <w:sz w:val="20"/>
        </w:rPr>
        <w:t>of</w:t>
      </w:r>
      <w:r>
        <w:rPr>
          <w:spacing w:val="-6"/>
          <w:sz w:val="20"/>
        </w:rPr>
        <w:t> </w:t>
      </w:r>
      <w:r>
        <w:rPr>
          <w:sz w:val="20"/>
        </w:rPr>
        <w:t>law</w:t>
      </w:r>
      <w:r>
        <w:rPr>
          <w:spacing w:val="-6"/>
          <w:sz w:val="20"/>
        </w:rPr>
        <w:t> </w:t>
      </w:r>
      <w:r>
        <w:rPr>
          <w:spacing w:val="-3"/>
          <w:sz w:val="20"/>
        </w:rPr>
        <w:t>reform</w:t>
      </w:r>
      <w:r>
        <w:rPr>
          <w:spacing w:val="-6"/>
          <w:sz w:val="20"/>
        </w:rPr>
        <w:t> </w:t>
      </w:r>
      <w:r>
        <w:rPr>
          <w:sz w:val="20"/>
        </w:rPr>
        <w:t>and</w:t>
      </w:r>
      <w:r>
        <w:rPr>
          <w:spacing w:val="-6"/>
          <w:sz w:val="20"/>
        </w:rPr>
        <w:t> </w:t>
      </w:r>
      <w:r>
        <w:rPr>
          <w:sz w:val="20"/>
        </w:rPr>
        <w:t>the</w:t>
      </w:r>
      <w:r>
        <w:rPr>
          <w:spacing w:val="-6"/>
          <w:sz w:val="20"/>
        </w:rPr>
        <w:t> </w:t>
      </w:r>
      <w:r>
        <w:rPr>
          <w:spacing w:val="-3"/>
          <w:sz w:val="20"/>
        </w:rPr>
        <w:t>representativeness</w:t>
      </w:r>
      <w:r>
        <w:rPr>
          <w:spacing w:val="-6"/>
          <w:sz w:val="20"/>
        </w:rPr>
        <w:t> </w:t>
      </w:r>
      <w:r>
        <w:rPr>
          <w:sz w:val="20"/>
        </w:rPr>
        <w:t>of</w:t>
      </w:r>
      <w:r>
        <w:rPr>
          <w:spacing w:val="-6"/>
          <w:sz w:val="20"/>
        </w:rPr>
        <w:t> </w:t>
      </w:r>
      <w:r>
        <w:rPr>
          <w:sz w:val="20"/>
        </w:rPr>
        <w:t>Victorian</w:t>
      </w:r>
      <w:r>
        <w:rPr>
          <w:spacing w:val="-5"/>
          <w:sz w:val="20"/>
        </w:rPr>
        <w:t> </w:t>
      </w:r>
      <w:r>
        <w:rPr>
          <w:sz w:val="20"/>
        </w:rPr>
        <w:t>juries.</w:t>
      </w:r>
    </w:p>
    <w:p>
      <w:pPr>
        <w:pStyle w:val="ListParagraph"/>
        <w:numPr>
          <w:ilvl w:val="1"/>
          <w:numId w:val="12"/>
        </w:numPr>
        <w:tabs>
          <w:tab w:pos="1761" w:val="left" w:leader="none"/>
          <w:tab w:pos="1762" w:val="left" w:leader="none"/>
        </w:tabs>
        <w:spacing w:line="206" w:lineRule="auto" w:before="129" w:after="0"/>
        <w:ind w:left="1761" w:right="1369" w:hanging="794"/>
        <w:jc w:val="left"/>
        <w:rPr>
          <w:sz w:val="20"/>
        </w:rPr>
      </w:pPr>
      <w:r>
        <w:rPr>
          <w:sz w:val="20"/>
        </w:rPr>
        <w:t>A</w:t>
      </w:r>
      <w:r>
        <w:rPr>
          <w:spacing w:val="-14"/>
          <w:sz w:val="20"/>
        </w:rPr>
        <w:t> </w:t>
      </w:r>
      <w:r>
        <w:rPr>
          <w:sz w:val="20"/>
        </w:rPr>
        <w:t>longitudinal</w:t>
      </w:r>
      <w:r>
        <w:rPr>
          <w:spacing w:val="-14"/>
          <w:sz w:val="20"/>
        </w:rPr>
        <w:t> </w:t>
      </w:r>
      <w:r>
        <w:rPr>
          <w:sz w:val="20"/>
        </w:rPr>
        <w:t>survey</w:t>
      </w:r>
      <w:r>
        <w:rPr>
          <w:spacing w:val="-13"/>
          <w:sz w:val="20"/>
        </w:rPr>
        <w:t> </w:t>
      </w:r>
      <w:r>
        <w:rPr>
          <w:sz w:val="20"/>
        </w:rPr>
        <w:t>could</w:t>
      </w:r>
      <w:r>
        <w:rPr>
          <w:spacing w:val="-14"/>
          <w:sz w:val="20"/>
        </w:rPr>
        <w:t> </w:t>
      </w:r>
      <w:r>
        <w:rPr>
          <w:sz w:val="20"/>
        </w:rPr>
        <w:t>be</w:t>
      </w:r>
      <w:r>
        <w:rPr>
          <w:spacing w:val="-14"/>
          <w:sz w:val="20"/>
        </w:rPr>
        <w:t> </w:t>
      </w:r>
      <w:r>
        <w:rPr>
          <w:sz w:val="20"/>
        </w:rPr>
        <w:t>conducted</w:t>
      </w:r>
      <w:r>
        <w:rPr>
          <w:spacing w:val="-13"/>
          <w:sz w:val="20"/>
        </w:rPr>
        <w:t> </w:t>
      </w:r>
      <w:r>
        <w:rPr>
          <w:sz w:val="20"/>
        </w:rPr>
        <w:t>asking</w:t>
      </w:r>
      <w:r>
        <w:rPr>
          <w:spacing w:val="-14"/>
          <w:sz w:val="20"/>
        </w:rPr>
        <w:t> </w:t>
      </w:r>
      <w:r>
        <w:rPr>
          <w:sz w:val="20"/>
        </w:rPr>
        <w:t>counsel</w:t>
      </w:r>
      <w:r>
        <w:rPr>
          <w:spacing w:val="-14"/>
          <w:sz w:val="20"/>
        </w:rPr>
        <w:t> </w:t>
      </w:r>
      <w:r>
        <w:rPr>
          <w:sz w:val="20"/>
        </w:rPr>
        <w:t>about</w:t>
      </w:r>
      <w:r>
        <w:rPr>
          <w:spacing w:val="-13"/>
          <w:sz w:val="20"/>
        </w:rPr>
        <w:t> </w:t>
      </w:r>
      <w:r>
        <w:rPr>
          <w:sz w:val="20"/>
        </w:rPr>
        <w:t>the</w:t>
      </w:r>
      <w:r>
        <w:rPr>
          <w:spacing w:val="-14"/>
          <w:sz w:val="20"/>
        </w:rPr>
        <w:t> </w:t>
      </w:r>
      <w:r>
        <w:rPr>
          <w:sz w:val="20"/>
        </w:rPr>
        <w:t>effect</w:t>
      </w:r>
      <w:r>
        <w:rPr>
          <w:spacing w:val="-13"/>
          <w:sz w:val="20"/>
        </w:rPr>
        <w:t> </w:t>
      </w:r>
      <w:r>
        <w:rPr>
          <w:sz w:val="20"/>
        </w:rPr>
        <w:t>of</w:t>
      </w:r>
      <w:r>
        <w:rPr>
          <w:spacing w:val="-14"/>
          <w:sz w:val="20"/>
        </w:rPr>
        <w:t> </w:t>
      </w:r>
      <w:r>
        <w:rPr>
          <w:sz w:val="20"/>
        </w:rPr>
        <w:t>changes and</w:t>
      </w:r>
      <w:r>
        <w:rPr>
          <w:spacing w:val="-11"/>
          <w:sz w:val="20"/>
        </w:rPr>
        <w:t> </w:t>
      </w:r>
      <w:r>
        <w:rPr>
          <w:sz w:val="20"/>
        </w:rPr>
        <w:t>requesting</w:t>
      </w:r>
      <w:r>
        <w:rPr>
          <w:spacing w:val="-11"/>
          <w:sz w:val="20"/>
        </w:rPr>
        <w:t> </w:t>
      </w:r>
      <w:r>
        <w:rPr>
          <w:sz w:val="20"/>
        </w:rPr>
        <w:t>information</w:t>
      </w:r>
      <w:r>
        <w:rPr>
          <w:spacing w:val="-10"/>
          <w:sz w:val="20"/>
        </w:rPr>
        <w:t> </w:t>
      </w:r>
      <w:r>
        <w:rPr>
          <w:sz w:val="20"/>
        </w:rPr>
        <w:t>about</w:t>
      </w:r>
      <w:r>
        <w:rPr>
          <w:spacing w:val="-11"/>
          <w:sz w:val="20"/>
        </w:rPr>
        <w:t> </w:t>
      </w:r>
      <w:r>
        <w:rPr>
          <w:sz w:val="20"/>
        </w:rPr>
        <w:t>challenges</w:t>
      </w:r>
      <w:r>
        <w:rPr>
          <w:spacing w:val="-11"/>
          <w:sz w:val="20"/>
        </w:rPr>
        <w:t> </w:t>
      </w:r>
      <w:r>
        <w:rPr>
          <w:spacing w:val="-3"/>
          <w:sz w:val="20"/>
        </w:rPr>
        <w:t>exercised</w:t>
      </w:r>
      <w:r>
        <w:rPr>
          <w:spacing w:val="-10"/>
          <w:sz w:val="20"/>
        </w:rPr>
        <w:t> </w:t>
      </w:r>
      <w:r>
        <w:rPr>
          <w:sz w:val="20"/>
        </w:rPr>
        <w:t>on</w:t>
      </w:r>
      <w:r>
        <w:rPr>
          <w:spacing w:val="-11"/>
          <w:sz w:val="20"/>
        </w:rPr>
        <w:t> </w:t>
      </w:r>
      <w:r>
        <w:rPr>
          <w:sz w:val="20"/>
        </w:rPr>
        <w:t>the</w:t>
      </w:r>
      <w:r>
        <w:rPr>
          <w:spacing w:val="-11"/>
          <w:sz w:val="20"/>
        </w:rPr>
        <w:t> </w:t>
      </w:r>
      <w:r>
        <w:rPr>
          <w:sz w:val="20"/>
        </w:rPr>
        <w:t>basis</w:t>
      </w:r>
      <w:r>
        <w:rPr>
          <w:spacing w:val="-10"/>
          <w:sz w:val="20"/>
        </w:rPr>
        <w:t> </w:t>
      </w:r>
      <w:r>
        <w:rPr>
          <w:sz w:val="20"/>
        </w:rPr>
        <w:t>of</w:t>
      </w:r>
      <w:r>
        <w:rPr>
          <w:spacing w:val="-11"/>
          <w:sz w:val="20"/>
        </w:rPr>
        <w:t> </w:t>
      </w:r>
      <w:r>
        <w:rPr>
          <w:sz w:val="20"/>
        </w:rPr>
        <w:t>disability</w:t>
      </w:r>
      <w:r>
        <w:rPr>
          <w:spacing w:val="-11"/>
          <w:sz w:val="20"/>
        </w:rPr>
        <w:t> </w:t>
      </w:r>
      <w:r>
        <w:rPr>
          <w:sz w:val="20"/>
        </w:rPr>
        <w:t>(and other</w:t>
      </w:r>
      <w:r>
        <w:rPr>
          <w:spacing w:val="-5"/>
          <w:sz w:val="20"/>
        </w:rPr>
        <w:t> </w:t>
      </w:r>
      <w:r>
        <w:rPr>
          <w:spacing w:val="-3"/>
          <w:sz w:val="20"/>
        </w:rPr>
        <w:t>factors).</w:t>
      </w:r>
    </w:p>
    <w:p>
      <w:pPr>
        <w:pStyle w:val="ListParagraph"/>
        <w:numPr>
          <w:ilvl w:val="1"/>
          <w:numId w:val="12"/>
        </w:numPr>
        <w:tabs>
          <w:tab w:pos="1761" w:val="left" w:leader="none"/>
          <w:tab w:pos="1762" w:val="left" w:leader="none"/>
        </w:tabs>
        <w:spacing w:line="206" w:lineRule="auto" w:before="124" w:after="0"/>
        <w:ind w:left="1761" w:right="1272" w:hanging="794"/>
        <w:jc w:val="left"/>
        <w:rPr>
          <w:sz w:val="20"/>
        </w:rPr>
      </w:pPr>
      <w:r>
        <w:rPr>
          <w:sz w:val="20"/>
        </w:rPr>
        <w:t>The</w:t>
      </w:r>
      <w:r>
        <w:rPr>
          <w:spacing w:val="-11"/>
          <w:sz w:val="20"/>
        </w:rPr>
        <w:t> </w:t>
      </w:r>
      <w:r>
        <w:rPr>
          <w:sz w:val="20"/>
        </w:rPr>
        <w:t>issue</w:t>
      </w:r>
      <w:r>
        <w:rPr>
          <w:spacing w:val="-11"/>
          <w:sz w:val="20"/>
        </w:rPr>
        <w:t> </w:t>
      </w:r>
      <w:r>
        <w:rPr>
          <w:sz w:val="20"/>
        </w:rPr>
        <w:t>of</w:t>
      </w:r>
      <w:r>
        <w:rPr>
          <w:spacing w:val="-11"/>
          <w:sz w:val="20"/>
        </w:rPr>
        <w:t> </w:t>
      </w:r>
      <w:r>
        <w:rPr>
          <w:sz w:val="20"/>
        </w:rPr>
        <w:t>the</w:t>
      </w:r>
      <w:r>
        <w:rPr>
          <w:spacing w:val="-11"/>
          <w:sz w:val="20"/>
        </w:rPr>
        <w:t> </w:t>
      </w:r>
      <w:r>
        <w:rPr>
          <w:sz w:val="20"/>
        </w:rPr>
        <w:t>discriminatory</w:t>
      </w:r>
      <w:r>
        <w:rPr>
          <w:spacing w:val="-11"/>
          <w:sz w:val="20"/>
        </w:rPr>
        <w:t> </w:t>
      </w:r>
      <w:r>
        <w:rPr>
          <w:sz w:val="20"/>
        </w:rPr>
        <w:t>use</w:t>
      </w:r>
      <w:r>
        <w:rPr>
          <w:spacing w:val="-11"/>
          <w:sz w:val="20"/>
        </w:rPr>
        <w:t> </w:t>
      </w:r>
      <w:r>
        <w:rPr>
          <w:sz w:val="20"/>
        </w:rPr>
        <w:t>of</w:t>
      </w:r>
      <w:r>
        <w:rPr>
          <w:spacing w:val="-11"/>
          <w:sz w:val="20"/>
        </w:rPr>
        <w:t> </w:t>
      </w:r>
      <w:r>
        <w:rPr>
          <w:sz w:val="20"/>
        </w:rPr>
        <w:t>peremptory</w:t>
      </w:r>
      <w:r>
        <w:rPr>
          <w:spacing w:val="-11"/>
          <w:sz w:val="20"/>
        </w:rPr>
        <w:t> </w:t>
      </w:r>
      <w:r>
        <w:rPr>
          <w:sz w:val="20"/>
        </w:rPr>
        <w:t>challenges</w:t>
      </w:r>
      <w:r>
        <w:rPr>
          <w:spacing w:val="-11"/>
          <w:sz w:val="20"/>
        </w:rPr>
        <w:t> </w:t>
      </w:r>
      <w:r>
        <w:rPr>
          <w:sz w:val="20"/>
        </w:rPr>
        <w:t>and</w:t>
      </w:r>
      <w:r>
        <w:rPr>
          <w:spacing w:val="-11"/>
          <w:sz w:val="20"/>
        </w:rPr>
        <w:t> </w:t>
      </w:r>
      <w:r>
        <w:rPr>
          <w:sz w:val="20"/>
        </w:rPr>
        <w:t>stand</w:t>
      </w:r>
      <w:r>
        <w:rPr>
          <w:spacing w:val="-11"/>
          <w:sz w:val="20"/>
        </w:rPr>
        <w:t> </w:t>
      </w:r>
      <w:r>
        <w:rPr>
          <w:sz w:val="20"/>
        </w:rPr>
        <w:t>asides</w:t>
      </w:r>
      <w:r>
        <w:rPr>
          <w:spacing w:val="-11"/>
          <w:sz w:val="20"/>
        </w:rPr>
        <w:t> </w:t>
      </w:r>
      <w:r>
        <w:rPr>
          <w:sz w:val="20"/>
        </w:rPr>
        <w:t>should be reconsidered after the new provisions </w:t>
      </w:r>
      <w:r>
        <w:rPr>
          <w:spacing w:val="-4"/>
          <w:sz w:val="20"/>
        </w:rPr>
        <w:t>have </w:t>
      </w:r>
      <w:r>
        <w:rPr>
          <w:sz w:val="20"/>
        </w:rPr>
        <w:t>been in operation for </w:t>
      </w:r>
      <w:r>
        <w:rPr>
          <w:spacing w:val="-3"/>
          <w:sz w:val="20"/>
        </w:rPr>
        <w:t>five </w:t>
      </w:r>
      <w:r>
        <w:rPr>
          <w:sz w:val="20"/>
        </w:rPr>
        <w:t>years. </w:t>
      </w:r>
      <w:r>
        <w:rPr>
          <w:spacing w:val="-6"/>
          <w:sz w:val="20"/>
        </w:rPr>
        <w:t>We </w:t>
      </w:r>
      <w:r>
        <w:rPr>
          <w:sz w:val="20"/>
        </w:rPr>
        <w:t>discuss the </w:t>
      </w:r>
      <w:r>
        <w:rPr>
          <w:spacing w:val="-4"/>
          <w:sz w:val="20"/>
        </w:rPr>
        <w:t>review </w:t>
      </w:r>
      <w:r>
        <w:rPr>
          <w:sz w:val="20"/>
        </w:rPr>
        <w:t>of new legislative provisions in </w:t>
      </w:r>
      <w:r>
        <w:rPr>
          <w:spacing w:val="-2"/>
          <w:sz w:val="20"/>
        </w:rPr>
        <w:t>Chapter </w:t>
      </w:r>
      <w:r>
        <w:rPr>
          <w:sz w:val="20"/>
        </w:rPr>
        <w:t>19. This will </w:t>
      </w:r>
      <w:r>
        <w:rPr>
          <w:spacing w:val="-3"/>
          <w:sz w:val="20"/>
        </w:rPr>
        <w:t>allow </w:t>
      </w:r>
      <w:r>
        <w:rPr>
          <w:sz w:val="20"/>
        </w:rPr>
        <w:t>sufficient time</w:t>
      </w:r>
      <w:r>
        <w:rPr>
          <w:spacing w:val="-10"/>
          <w:sz w:val="20"/>
        </w:rPr>
        <w:t> </w:t>
      </w:r>
      <w:r>
        <w:rPr>
          <w:sz w:val="20"/>
        </w:rPr>
        <w:t>to</w:t>
      </w:r>
      <w:r>
        <w:rPr>
          <w:spacing w:val="-10"/>
          <w:sz w:val="20"/>
        </w:rPr>
        <w:t> </w:t>
      </w:r>
      <w:r>
        <w:rPr>
          <w:sz w:val="20"/>
        </w:rPr>
        <w:t>see</w:t>
      </w:r>
      <w:r>
        <w:rPr>
          <w:spacing w:val="-9"/>
          <w:sz w:val="20"/>
        </w:rPr>
        <w:t> </w:t>
      </w:r>
      <w:r>
        <w:rPr>
          <w:spacing w:val="-3"/>
          <w:sz w:val="20"/>
        </w:rPr>
        <w:t>how</w:t>
      </w:r>
      <w:r>
        <w:rPr>
          <w:spacing w:val="-10"/>
          <w:sz w:val="20"/>
        </w:rPr>
        <w:t> </w:t>
      </w:r>
      <w:r>
        <w:rPr>
          <w:sz w:val="20"/>
        </w:rPr>
        <w:t>the</w:t>
      </w:r>
      <w:r>
        <w:rPr>
          <w:spacing w:val="-9"/>
          <w:sz w:val="20"/>
        </w:rPr>
        <w:t> </w:t>
      </w:r>
      <w:r>
        <w:rPr>
          <w:sz w:val="20"/>
        </w:rPr>
        <w:t>new</w:t>
      </w:r>
      <w:r>
        <w:rPr>
          <w:spacing w:val="-10"/>
          <w:sz w:val="20"/>
        </w:rPr>
        <w:t> </w:t>
      </w:r>
      <w:r>
        <w:rPr>
          <w:spacing w:val="-3"/>
          <w:sz w:val="20"/>
        </w:rPr>
        <w:t>laws</w:t>
      </w:r>
      <w:r>
        <w:rPr>
          <w:spacing w:val="-9"/>
          <w:sz w:val="20"/>
        </w:rPr>
        <w:t> </w:t>
      </w:r>
      <w:r>
        <w:rPr>
          <w:spacing w:val="-3"/>
          <w:sz w:val="20"/>
        </w:rPr>
        <w:t>are</w:t>
      </w:r>
      <w:r>
        <w:rPr>
          <w:spacing w:val="-10"/>
          <w:sz w:val="20"/>
        </w:rPr>
        <w:t> </w:t>
      </w:r>
      <w:r>
        <w:rPr>
          <w:sz w:val="20"/>
        </w:rPr>
        <w:t>working</w:t>
      </w:r>
      <w:r>
        <w:rPr>
          <w:spacing w:val="-10"/>
          <w:sz w:val="20"/>
        </w:rPr>
        <w:t> </w:t>
      </w:r>
      <w:r>
        <w:rPr>
          <w:sz w:val="20"/>
        </w:rPr>
        <w:t>and</w:t>
      </w:r>
      <w:r>
        <w:rPr>
          <w:spacing w:val="-9"/>
          <w:sz w:val="20"/>
        </w:rPr>
        <w:t> </w:t>
      </w:r>
      <w:r>
        <w:rPr>
          <w:sz w:val="20"/>
        </w:rPr>
        <w:t>what</w:t>
      </w:r>
      <w:r>
        <w:rPr>
          <w:spacing w:val="-10"/>
          <w:sz w:val="20"/>
        </w:rPr>
        <w:t> </w:t>
      </w:r>
      <w:r>
        <w:rPr>
          <w:sz w:val="20"/>
        </w:rPr>
        <w:t>effect</w:t>
      </w:r>
      <w:r>
        <w:rPr>
          <w:spacing w:val="-9"/>
          <w:sz w:val="20"/>
        </w:rPr>
        <w:t> </w:t>
      </w:r>
      <w:r>
        <w:rPr>
          <w:sz w:val="20"/>
        </w:rPr>
        <w:t>the</w:t>
      </w:r>
      <w:r>
        <w:rPr>
          <w:spacing w:val="-10"/>
          <w:sz w:val="20"/>
        </w:rPr>
        <w:t> </w:t>
      </w:r>
      <w:r>
        <w:rPr>
          <w:sz w:val="20"/>
        </w:rPr>
        <w:t>reduction</w:t>
      </w:r>
      <w:r>
        <w:rPr>
          <w:spacing w:val="-9"/>
          <w:sz w:val="20"/>
        </w:rPr>
        <w:t> </w:t>
      </w:r>
      <w:r>
        <w:rPr>
          <w:sz w:val="20"/>
        </w:rPr>
        <w:t>in</w:t>
      </w:r>
      <w:r>
        <w:rPr>
          <w:spacing w:val="-10"/>
          <w:sz w:val="20"/>
        </w:rPr>
        <w:t> </w:t>
      </w:r>
      <w:r>
        <w:rPr>
          <w:sz w:val="20"/>
        </w:rPr>
        <w:t>the</w:t>
      </w:r>
      <w:r>
        <w:rPr>
          <w:spacing w:val="-10"/>
          <w:sz w:val="20"/>
        </w:rPr>
        <w:t> </w:t>
      </w:r>
      <w:r>
        <w:rPr>
          <w:sz w:val="20"/>
        </w:rPr>
        <w:t>number of</w:t>
      </w:r>
      <w:r>
        <w:rPr>
          <w:spacing w:val="-8"/>
          <w:sz w:val="20"/>
        </w:rPr>
        <w:t> </w:t>
      </w:r>
      <w:r>
        <w:rPr>
          <w:sz w:val="20"/>
        </w:rPr>
        <w:t>peremptory</w:t>
      </w:r>
      <w:r>
        <w:rPr>
          <w:spacing w:val="-8"/>
          <w:sz w:val="20"/>
        </w:rPr>
        <w:t> </w:t>
      </w:r>
      <w:r>
        <w:rPr>
          <w:sz w:val="20"/>
        </w:rPr>
        <w:t>challenges</w:t>
      </w:r>
      <w:r>
        <w:rPr>
          <w:spacing w:val="-8"/>
          <w:sz w:val="20"/>
        </w:rPr>
        <w:t> </w:t>
      </w:r>
      <w:r>
        <w:rPr>
          <w:sz w:val="20"/>
        </w:rPr>
        <w:t>and</w:t>
      </w:r>
      <w:r>
        <w:rPr>
          <w:spacing w:val="-7"/>
          <w:sz w:val="20"/>
        </w:rPr>
        <w:t> </w:t>
      </w:r>
      <w:r>
        <w:rPr>
          <w:sz w:val="20"/>
        </w:rPr>
        <w:t>stand</w:t>
      </w:r>
      <w:r>
        <w:rPr>
          <w:spacing w:val="-8"/>
          <w:sz w:val="20"/>
        </w:rPr>
        <w:t> </w:t>
      </w:r>
      <w:r>
        <w:rPr>
          <w:sz w:val="20"/>
        </w:rPr>
        <w:t>asides</w:t>
      </w:r>
      <w:r>
        <w:rPr>
          <w:spacing w:val="-8"/>
          <w:sz w:val="20"/>
        </w:rPr>
        <w:t> </w:t>
      </w:r>
      <w:r>
        <w:rPr>
          <w:sz w:val="20"/>
        </w:rPr>
        <w:t>is</w:t>
      </w:r>
      <w:r>
        <w:rPr>
          <w:spacing w:val="-8"/>
          <w:sz w:val="20"/>
        </w:rPr>
        <w:t> </w:t>
      </w:r>
      <w:r>
        <w:rPr>
          <w:spacing w:val="-3"/>
          <w:sz w:val="20"/>
        </w:rPr>
        <w:t>having</w:t>
      </w:r>
      <w:r>
        <w:rPr>
          <w:spacing w:val="-7"/>
          <w:sz w:val="20"/>
        </w:rPr>
        <w:t> </w:t>
      </w:r>
      <w:r>
        <w:rPr>
          <w:sz w:val="20"/>
        </w:rPr>
        <w:t>on</w:t>
      </w:r>
      <w:r>
        <w:rPr>
          <w:spacing w:val="-8"/>
          <w:sz w:val="20"/>
        </w:rPr>
        <w:t> </w:t>
      </w:r>
      <w:r>
        <w:rPr>
          <w:sz w:val="20"/>
        </w:rPr>
        <w:t>jury</w:t>
      </w:r>
      <w:r>
        <w:rPr>
          <w:spacing w:val="-8"/>
          <w:sz w:val="20"/>
        </w:rPr>
        <w:t> </w:t>
      </w:r>
      <w:r>
        <w:rPr>
          <w:sz w:val="20"/>
        </w:rPr>
        <w:t>representativeness.</w:t>
      </w:r>
    </w:p>
    <w:p>
      <w:pPr>
        <w:pStyle w:val="BodyText"/>
        <w:spacing w:before="8"/>
        <w:rPr>
          <w:sz w:val="19"/>
        </w:rPr>
      </w:pPr>
      <w:r>
        <w:rPr/>
        <w:pict>
          <v:group style="position:absolute;margin-left:62.362202pt;margin-top:15.584091pt;width:479.1pt;height:148.65pt;mso-position-horizontal-relative:page;mso-position-vertical-relative:paragraph;z-index:10448;mso-wrap-distance-left:0;mso-wrap-distance-right:0" coordorigin="1247,312" coordsize="9582,2973">
            <v:rect style="position:absolute;left:1587;top:311;width:8731;height:2973" filled="true" fillcolor="#dddfe4" stroked="false">
              <v:fill type="solid"/>
            </v:rect>
            <v:line style="position:absolute" from="1247,1119" to="10828,1119" stroked="true" strokeweight="2.5pt" strokecolor="#ffffff">
              <v:stroke dashstyle="solid"/>
            </v:line>
            <v:shape style="position:absolute;left:2381;top:1344;width:7729;height:1760" type="#_x0000_t202" filled="false" stroked="false">
              <v:textbox inset="0,0,0,0">
                <w:txbxContent>
                  <w:p>
                    <w:pPr>
                      <w:spacing w:line="247" w:lineRule="auto" w:before="0"/>
                      <w:ind w:left="0" w:right="0" w:firstLine="0"/>
                      <w:jc w:val="left"/>
                      <w:rPr>
                        <w:rFonts w:ascii="Trebuchet MS"/>
                        <w:sz w:val="20"/>
                      </w:rPr>
                    </w:pPr>
                    <w:r>
                      <w:rPr>
                        <w:rFonts w:ascii="Trebuchet MS"/>
                        <w:w w:val="105"/>
                        <w:sz w:val="20"/>
                      </w:rPr>
                      <w:t>When</w:t>
                    </w:r>
                    <w:r>
                      <w:rPr>
                        <w:rFonts w:ascii="Trebuchet MS"/>
                        <w:spacing w:val="-16"/>
                        <w:w w:val="105"/>
                        <w:sz w:val="20"/>
                      </w:rPr>
                      <w:t> </w:t>
                    </w:r>
                    <w:r>
                      <w:rPr>
                        <w:rFonts w:ascii="Trebuchet MS"/>
                        <w:w w:val="105"/>
                        <w:sz w:val="20"/>
                      </w:rPr>
                      <w:t>a</w:t>
                    </w:r>
                    <w:r>
                      <w:rPr>
                        <w:rFonts w:ascii="Trebuchet MS"/>
                        <w:spacing w:val="-15"/>
                        <w:w w:val="105"/>
                        <w:sz w:val="20"/>
                      </w:rPr>
                      <w:t> </w:t>
                    </w:r>
                    <w:r>
                      <w:rPr>
                        <w:rFonts w:ascii="Trebuchet MS"/>
                        <w:w w:val="105"/>
                        <w:sz w:val="20"/>
                      </w:rPr>
                      <w:t>person</w:t>
                    </w:r>
                    <w:r>
                      <w:rPr>
                        <w:rFonts w:ascii="Trebuchet MS"/>
                        <w:spacing w:val="-15"/>
                        <w:w w:val="105"/>
                        <w:sz w:val="20"/>
                      </w:rPr>
                      <w:t> </w:t>
                    </w:r>
                    <w:r>
                      <w:rPr>
                        <w:rFonts w:ascii="Trebuchet MS"/>
                        <w:w w:val="105"/>
                        <w:sz w:val="20"/>
                      </w:rPr>
                      <w:t>from</w:t>
                    </w:r>
                    <w:r>
                      <w:rPr>
                        <w:rFonts w:ascii="Trebuchet MS"/>
                        <w:spacing w:val="-16"/>
                        <w:w w:val="105"/>
                        <w:sz w:val="20"/>
                      </w:rPr>
                      <w:t> </w:t>
                    </w:r>
                    <w:r>
                      <w:rPr>
                        <w:rFonts w:ascii="Trebuchet MS"/>
                        <w:w w:val="105"/>
                        <w:sz w:val="20"/>
                      </w:rPr>
                      <w:t>the</w:t>
                    </w:r>
                    <w:r>
                      <w:rPr>
                        <w:rFonts w:ascii="Trebuchet MS"/>
                        <w:spacing w:val="-15"/>
                        <w:w w:val="105"/>
                        <w:sz w:val="20"/>
                      </w:rPr>
                      <w:t> </w:t>
                    </w:r>
                    <w:r>
                      <w:rPr>
                        <w:rFonts w:ascii="Trebuchet MS"/>
                        <w:w w:val="105"/>
                        <w:sz w:val="20"/>
                      </w:rPr>
                      <w:t>subject</w:t>
                    </w:r>
                    <w:r>
                      <w:rPr>
                        <w:rFonts w:ascii="Trebuchet MS"/>
                        <w:spacing w:val="-15"/>
                        <w:w w:val="105"/>
                        <w:sz w:val="20"/>
                      </w:rPr>
                      <w:t> </w:t>
                    </w:r>
                    <w:r>
                      <w:rPr>
                        <w:rFonts w:ascii="Trebuchet MS"/>
                        <w:w w:val="105"/>
                        <w:sz w:val="20"/>
                      </w:rPr>
                      <w:t>groups</w:t>
                    </w:r>
                    <w:r>
                      <w:rPr>
                        <w:rFonts w:ascii="Trebuchet MS"/>
                        <w:spacing w:val="-16"/>
                        <w:w w:val="105"/>
                        <w:sz w:val="20"/>
                      </w:rPr>
                      <w:t> </w:t>
                    </w:r>
                    <w:r>
                      <w:rPr>
                        <w:rFonts w:ascii="Trebuchet MS"/>
                        <w:w w:val="105"/>
                        <w:sz w:val="20"/>
                      </w:rPr>
                      <w:t>is</w:t>
                    </w:r>
                    <w:r>
                      <w:rPr>
                        <w:rFonts w:ascii="Trebuchet MS"/>
                        <w:spacing w:val="-15"/>
                        <w:w w:val="105"/>
                        <w:sz w:val="20"/>
                      </w:rPr>
                      <w:t> </w:t>
                    </w:r>
                    <w:r>
                      <w:rPr>
                        <w:rFonts w:ascii="Trebuchet MS"/>
                        <w:w w:val="105"/>
                        <w:sz w:val="20"/>
                      </w:rPr>
                      <w:t>on</w:t>
                    </w:r>
                    <w:r>
                      <w:rPr>
                        <w:rFonts w:ascii="Trebuchet MS"/>
                        <w:spacing w:val="-15"/>
                        <w:w w:val="105"/>
                        <w:sz w:val="20"/>
                      </w:rPr>
                      <w:t> </w:t>
                    </w:r>
                    <w:r>
                      <w:rPr>
                        <w:rFonts w:ascii="Trebuchet MS"/>
                        <w:w w:val="105"/>
                        <w:sz w:val="20"/>
                      </w:rPr>
                      <w:t>a</w:t>
                    </w:r>
                    <w:r>
                      <w:rPr>
                        <w:rFonts w:ascii="Trebuchet MS"/>
                        <w:spacing w:val="-16"/>
                        <w:w w:val="105"/>
                        <w:sz w:val="20"/>
                      </w:rPr>
                      <w:t> </w:t>
                    </w:r>
                    <w:r>
                      <w:rPr>
                        <w:rFonts w:ascii="Trebuchet MS"/>
                        <w:w w:val="105"/>
                        <w:sz w:val="20"/>
                      </w:rPr>
                      <w:t>jury</w:t>
                    </w:r>
                    <w:r>
                      <w:rPr>
                        <w:rFonts w:ascii="Trebuchet MS"/>
                        <w:spacing w:val="-15"/>
                        <w:w w:val="105"/>
                        <w:sz w:val="20"/>
                      </w:rPr>
                      <w:t> </w:t>
                    </w:r>
                    <w:r>
                      <w:rPr>
                        <w:rFonts w:ascii="Trebuchet MS"/>
                        <w:w w:val="105"/>
                        <w:sz w:val="20"/>
                      </w:rPr>
                      <w:t>panel,</w:t>
                    </w:r>
                    <w:r>
                      <w:rPr>
                        <w:rFonts w:ascii="Trebuchet MS"/>
                        <w:spacing w:val="-15"/>
                        <w:w w:val="105"/>
                        <w:sz w:val="20"/>
                      </w:rPr>
                      <w:t> </w:t>
                    </w:r>
                    <w:r>
                      <w:rPr>
                        <w:rFonts w:ascii="Trebuchet MS"/>
                        <w:w w:val="105"/>
                        <w:sz w:val="20"/>
                      </w:rPr>
                      <w:t>the</w:t>
                    </w:r>
                    <w:r>
                      <w:rPr>
                        <w:rFonts w:ascii="Trebuchet MS"/>
                        <w:spacing w:val="-16"/>
                        <w:w w:val="105"/>
                        <w:sz w:val="20"/>
                      </w:rPr>
                      <w:t> </w:t>
                    </w:r>
                    <w:r>
                      <w:rPr>
                        <w:rFonts w:ascii="Trebuchet MS"/>
                        <w:w w:val="105"/>
                        <w:sz w:val="20"/>
                      </w:rPr>
                      <w:t>judge</w:t>
                    </w:r>
                    <w:r>
                      <w:rPr>
                        <w:rFonts w:ascii="Trebuchet MS"/>
                        <w:spacing w:val="-15"/>
                        <w:w w:val="105"/>
                        <w:sz w:val="20"/>
                      </w:rPr>
                      <w:t> </w:t>
                    </w:r>
                    <w:r>
                      <w:rPr>
                        <w:rFonts w:ascii="Trebuchet MS"/>
                        <w:w w:val="105"/>
                        <w:sz w:val="20"/>
                      </w:rPr>
                      <w:t>should</w:t>
                    </w:r>
                    <w:r>
                      <w:rPr>
                        <w:rFonts w:ascii="Trebuchet MS"/>
                        <w:spacing w:val="-15"/>
                        <w:w w:val="105"/>
                        <w:sz w:val="20"/>
                      </w:rPr>
                      <w:t> </w:t>
                    </w:r>
                    <w:r>
                      <w:rPr>
                        <w:rFonts w:ascii="Trebuchet MS"/>
                        <w:spacing w:val="-3"/>
                        <w:w w:val="105"/>
                        <w:sz w:val="20"/>
                      </w:rPr>
                      <w:t>inform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1"/>
                        <w:w w:val="109"/>
                        <w:sz w:val="20"/>
                      </w:rPr>
                      <w:t>u</w:t>
                    </w:r>
                    <w:r>
                      <w:rPr>
                        <w:rFonts w:ascii="Trebuchet MS"/>
                        <w:spacing w:val="2"/>
                        <w:w w:val="93"/>
                        <w:sz w:val="20"/>
                      </w:rPr>
                      <w:t>r</w:t>
                    </w:r>
                    <w:r>
                      <w:rPr>
                        <w:rFonts w:ascii="Trebuchet MS"/>
                        <w:spacing w:val="1"/>
                        <w:w w:val="88"/>
                        <w:sz w:val="20"/>
                      </w:rPr>
                      <w:t>t</w:t>
                    </w:r>
                    <w:r>
                      <w:rPr>
                        <w:rFonts w:ascii="Trebuchet MS"/>
                        <w:w w:val="57"/>
                        <w:sz w:val="20"/>
                      </w:rPr>
                      <w:t>,</w:t>
                    </w:r>
                    <w:r>
                      <w:rPr>
                        <w:rFonts w:ascii="Trebuchet MS"/>
                        <w:spacing w:val="-14"/>
                        <w:sz w:val="20"/>
                      </w:rPr>
                      <w:t> </w:t>
                    </w:r>
                    <w:r>
                      <w:rPr>
                        <w:rFonts w:ascii="Trebuchet MS"/>
                        <w:spacing w:val="-2"/>
                        <w:w w:val="80"/>
                        <w:sz w:val="20"/>
                      </w:rPr>
                      <w:t>i</w:t>
                    </w:r>
                    <w:r>
                      <w:rPr>
                        <w:rFonts w:ascii="Trebuchet MS"/>
                        <w:w w:val="107"/>
                        <w:sz w:val="20"/>
                      </w:rPr>
                      <w:t>n</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1"/>
                        <w:w w:val="111"/>
                        <w:sz w:val="20"/>
                      </w:rPr>
                      <w:t>p</w:t>
                    </w:r>
                    <w:r>
                      <w:rPr>
                        <w:rFonts w:ascii="Trebuchet MS"/>
                        <w:spacing w:val="-4"/>
                        <w:w w:val="93"/>
                        <w:sz w:val="20"/>
                      </w:rPr>
                      <w:t>r</w:t>
                    </w:r>
                    <w:r>
                      <w:rPr>
                        <w:rFonts w:ascii="Trebuchet MS"/>
                        <w:spacing w:val="-2"/>
                        <w:w w:val="108"/>
                        <w:sz w:val="20"/>
                      </w:rPr>
                      <w:t>e</w:t>
                    </w:r>
                    <w:r>
                      <w:rPr>
                        <w:rFonts w:ascii="Trebuchet MS"/>
                        <w:spacing w:val="-1"/>
                        <w:w w:val="122"/>
                        <w:sz w:val="20"/>
                      </w:rPr>
                      <w:t>s</w:t>
                    </w:r>
                    <w:r>
                      <w:rPr>
                        <w:rFonts w:ascii="Trebuchet MS"/>
                        <w:spacing w:val="-1"/>
                        <w:w w:val="108"/>
                        <w:sz w:val="20"/>
                      </w:rPr>
                      <w:t>e</w:t>
                    </w:r>
                    <w:r>
                      <w:rPr>
                        <w:rFonts w:ascii="Trebuchet MS"/>
                        <w:spacing w:val="-1"/>
                        <w:w w:val="107"/>
                        <w:sz w:val="20"/>
                      </w:rPr>
                      <w:t>n</w:t>
                    </w:r>
                    <w:r>
                      <w:rPr>
                        <w:rFonts w:ascii="Trebuchet MS"/>
                        <w:spacing w:val="-3"/>
                        <w:w w:val="111"/>
                        <w:sz w:val="20"/>
                      </w:rPr>
                      <w:t>c</w:t>
                    </w:r>
                    <w:r>
                      <w:rPr>
                        <w:rFonts w:ascii="Trebuchet MS"/>
                        <w:w w:val="108"/>
                        <w:sz w:val="20"/>
                      </w:rPr>
                      <w:t>e</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108"/>
                        <w:sz w:val="20"/>
                      </w:rPr>
                      <w:t>a</w:t>
                    </w:r>
                    <w:r>
                      <w:rPr>
                        <w:rFonts w:ascii="Trebuchet MS"/>
                        <w:spacing w:val="-3"/>
                        <w:w w:val="108"/>
                        <w:sz w:val="20"/>
                      </w:rPr>
                      <w:t>c</w:t>
                    </w:r>
                    <w:r>
                      <w:rPr>
                        <w:rFonts w:ascii="Trebuchet MS"/>
                        <w:spacing w:val="-2"/>
                        <w:w w:val="110"/>
                        <w:sz w:val="20"/>
                      </w:rPr>
                      <w:t>c</w:t>
                    </w:r>
                    <w:r>
                      <w:rPr>
                        <w:rFonts w:ascii="Trebuchet MS"/>
                        <w:spacing w:val="-1"/>
                        <w:w w:val="110"/>
                        <w:sz w:val="20"/>
                      </w:rPr>
                      <w:t>u</w:t>
                    </w:r>
                    <w:r>
                      <w:rPr>
                        <w:rFonts w:ascii="Trebuchet MS"/>
                        <w:spacing w:val="-1"/>
                        <w:w w:val="122"/>
                        <w:sz w:val="20"/>
                      </w:rPr>
                      <w:t>s</w:t>
                    </w:r>
                    <w:r>
                      <w:rPr>
                        <w:rFonts w:ascii="Trebuchet MS"/>
                        <w:w w:val="108"/>
                        <w:sz w:val="20"/>
                      </w:rPr>
                      <w:t>e</w:t>
                    </w:r>
                    <w:r>
                      <w:rPr>
                        <w:rFonts w:ascii="Trebuchet MS"/>
                        <w:w w:val="112"/>
                        <w:sz w:val="20"/>
                      </w:rPr>
                      <w:t>d</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1"/>
                        <w:w w:val="109"/>
                        <w:sz w:val="20"/>
                      </w:rPr>
                      <w:t>u</w:t>
                    </w:r>
                    <w:r>
                      <w:rPr>
                        <w:rFonts w:ascii="Trebuchet MS"/>
                        <w:spacing w:val="-2"/>
                        <w:w w:val="107"/>
                        <w:sz w:val="20"/>
                      </w:rPr>
                      <w:t>n</w:t>
                    </w:r>
                    <w:r>
                      <w:rPr>
                        <w:rFonts w:ascii="Trebuchet MS"/>
                        <w:spacing w:val="-1"/>
                        <w:w w:val="122"/>
                        <w:sz w:val="20"/>
                      </w:rPr>
                      <w:t>s</w:t>
                    </w:r>
                    <w:r>
                      <w:rPr>
                        <w:rFonts w:ascii="Trebuchet MS"/>
                        <w:spacing w:val="-1"/>
                        <w:w w:val="108"/>
                        <w:sz w:val="20"/>
                      </w:rPr>
                      <w:t>e</w:t>
                    </w:r>
                    <w:r>
                      <w:rPr>
                        <w:rFonts w:ascii="Trebuchet MS"/>
                        <w:spacing w:val="2"/>
                        <w:w w:val="96"/>
                        <w:sz w:val="20"/>
                      </w:rPr>
                      <w:t>l</w:t>
                    </w:r>
                    <w:r>
                      <w:rPr>
                        <w:rFonts w:ascii="Trebuchet MS"/>
                        <w:w w:val="57"/>
                        <w:sz w:val="20"/>
                      </w:rPr>
                      <w:t>,</w:t>
                    </w:r>
                    <w:r>
                      <w:rPr>
                        <w:rFonts w:ascii="Trebuchet MS"/>
                        <w:spacing w:val="-14"/>
                        <w:sz w:val="20"/>
                      </w:rPr>
                      <w:t> </w:t>
                    </w:r>
                    <w:r>
                      <w:rPr>
                        <w:rFonts w:ascii="Trebuchet MS"/>
                        <w:spacing w:val="-1"/>
                        <w:w w:val="111"/>
                        <w:sz w:val="20"/>
                      </w:rPr>
                      <w:t>b</w:t>
                    </w:r>
                    <w:r>
                      <w:rPr>
                        <w:rFonts w:ascii="Trebuchet MS"/>
                        <w:spacing w:val="-3"/>
                        <w:w w:val="109"/>
                        <w:sz w:val="20"/>
                      </w:rPr>
                      <w:t>u</w:t>
                    </w:r>
                    <w:r>
                      <w:rPr>
                        <w:rFonts w:ascii="Trebuchet MS"/>
                        <w:w w:val="88"/>
                        <w:sz w:val="20"/>
                      </w:rPr>
                      <w:t>t</w:t>
                    </w:r>
                    <w:r>
                      <w:rPr>
                        <w:rFonts w:ascii="Trebuchet MS"/>
                        <w:spacing w:val="-14"/>
                        <w:sz w:val="20"/>
                      </w:rPr>
                      <w:t> </w:t>
                    </w:r>
                    <w:r>
                      <w:rPr>
                        <w:rFonts w:ascii="Trebuchet MS"/>
                        <w:spacing w:val="-1"/>
                        <w:w w:val="111"/>
                        <w:sz w:val="20"/>
                      </w:rPr>
                      <w:t>b</w:t>
                    </w:r>
                    <w:r>
                      <w:rPr>
                        <w:rFonts w:ascii="Trebuchet MS"/>
                        <w:spacing w:val="-4"/>
                        <w:w w:val="108"/>
                        <w:sz w:val="20"/>
                      </w:rPr>
                      <w:t>e</w:t>
                    </w:r>
                    <w:r>
                      <w:rPr>
                        <w:rFonts w:ascii="Trebuchet MS"/>
                        <w:spacing w:val="-5"/>
                        <w:w w:val="92"/>
                        <w:sz w:val="20"/>
                      </w:rPr>
                      <w:t>f</w:t>
                    </w:r>
                    <w:r>
                      <w:rPr>
                        <w:rFonts w:ascii="Trebuchet MS"/>
                        <w:spacing w:val="-1"/>
                        <w:w w:val="111"/>
                        <w:sz w:val="20"/>
                      </w:rPr>
                      <w:t>o</w:t>
                    </w:r>
                    <w:r>
                      <w:rPr>
                        <w:rFonts w:ascii="Trebuchet MS"/>
                        <w:spacing w:val="-4"/>
                        <w:w w:val="93"/>
                        <w:sz w:val="20"/>
                      </w:rPr>
                      <w:t>r</w:t>
                    </w:r>
                    <w:r>
                      <w:rPr>
                        <w:rFonts w:ascii="Trebuchet MS"/>
                        <w:w w:val="108"/>
                        <w:sz w:val="20"/>
                      </w:rPr>
                      <w:t>e</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64"/>
                        <w:sz w:val="20"/>
                      </w:rPr>
                      <w:t>j</w:t>
                    </w:r>
                    <w:r>
                      <w:rPr>
                        <w:rFonts w:ascii="Trebuchet MS"/>
                        <w:spacing w:val="-1"/>
                        <w:w w:val="109"/>
                        <w:sz w:val="20"/>
                      </w:rPr>
                      <w:t>u</w:t>
                    </w:r>
                    <w:r>
                      <w:rPr>
                        <w:rFonts w:ascii="Trebuchet MS"/>
                        <w:spacing w:val="3"/>
                        <w:w w:val="93"/>
                        <w:sz w:val="20"/>
                      </w:rPr>
                      <w:t>r</w:t>
                    </w:r>
                    <w:r>
                      <w:rPr>
                        <w:rFonts w:ascii="Trebuchet MS"/>
                        <w:w w:val="110"/>
                        <w:sz w:val="20"/>
                      </w:rPr>
                      <w:t>y</w:t>
                    </w:r>
                    <w:r>
                      <w:rPr>
                        <w:rFonts w:ascii="Trebuchet MS"/>
                        <w:spacing w:val="-14"/>
                        <w:sz w:val="20"/>
                      </w:rPr>
                      <w:t> </w:t>
                    </w:r>
                    <w:r>
                      <w:rPr>
                        <w:rFonts w:ascii="Trebuchet MS"/>
                        <w:spacing w:val="-1"/>
                        <w:w w:val="111"/>
                        <w:sz w:val="20"/>
                      </w:rPr>
                      <w:t>p</w:t>
                    </w:r>
                    <w:r>
                      <w:rPr>
                        <w:rFonts w:ascii="Trebuchet MS"/>
                        <w:spacing w:val="-2"/>
                        <w:w w:val="105"/>
                        <w:sz w:val="20"/>
                      </w:rPr>
                      <w:t>a</w:t>
                    </w:r>
                    <w:r>
                      <w:rPr>
                        <w:rFonts w:ascii="Trebuchet MS"/>
                        <w:spacing w:val="-1"/>
                        <w:w w:val="107"/>
                        <w:sz w:val="20"/>
                      </w:rPr>
                      <w:t>n</w:t>
                    </w:r>
                    <w:r>
                      <w:rPr>
                        <w:rFonts w:ascii="Trebuchet MS"/>
                        <w:spacing w:val="-1"/>
                        <w:w w:val="108"/>
                        <w:sz w:val="20"/>
                      </w:rPr>
                      <w:t>e</w:t>
                    </w:r>
                    <w:r>
                      <w:rPr>
                        <w:rFonts w:ascii="Trebuchet MS"/>
                        <w:w w:val="96"/>
                        <w:sz w:val="20"/>
                      </w:rPr>
                      <w:t>l </w:t>
                    </w:r>
                    <w:r>
                      <w:rPr>
                        <w:rFonts w:ascii="Trebuchet MS"/>
                        <w:spacing w:val="-1"/>
                        <w:w w:val="108"/>
                        <w:sz w:val="20"/>
                      </w:rPr>
                      <w:t>e</w:t>
                    </w:r>
                    <w:r>
                      <w:rPr>
                        <w:rFonts w:ascii="Trebuchet MS"/>
                        <w:spacing w:val="-4"/>
                        <w:w w:val="107"/>
                        <w:sz w:val="20"/>
                      </w:rPr>
                      <w:t>n</w:t>
                    </w:r>
                    <w:r>
                      <w:rPr>
                        <w:rFonts w:ascii="Trebuchet MS"/>
                        <w:spacing w:val="-4"/>
                        <w:w w:val="88"/>
                        <w:sz w:val="20"/>
                      </w:rPr>
                      <w:t>t</w:t>
                    </w:r>
                    <w:r>
                      <w:rPr>
                        <w:rFonts w:ascii="Trebuchet MS"/>
                        <w:spacing w:val="-1"/>
                        <w:w w:val="108"/>
                        <w:sz w:val="20"/>
                      </w:rPr>
                      <w:t>e</w:t>
                    </w:r>
                    <w:r>
                      <w:rPr>
                        <w:rFonts w:ascii="Trebuchet MS"/>
                        <w:spacing w:val="-1"/>
                        <w:w w:val="93"/>
                        <w:sz w:val="20"/>
                      </w:rPr>
                      <w:t>r</w:t>
                    </w:r>
                    <w:r>
                      <w:rPr>
                        <w:rFonts w:ascii="Trebuchet MS"/>
                        <w:spacing w:val="1"/>
                        <w:w w:val="122"/>
                        <w:sz w:val="20"/>
                      </w:rPr>
                      <w:t>s</w:t>
                    </w:r>
                    <w:r>
                      <w:rPr>
                        <w:rFonts w:ascii="Trebuchet MS"/>
                        <w:w w:val="57"/>
                        <w:sz w:val="20"/>
                      </w:rPr>
                      <w:t>,</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spacing w:val="-4"/>
                        <w:w w:val="105"/>
                        <w:sz w:val="20"/>
                      </w:rPr>
                      <w:t>a</w:t>
                    </w:r>
                    <w:r>
                      <w:rPr>
                        <w:rFonts w:ascii="Trebuchet MS"/>
                        <w:w w:val="88"/>
                        <w:sz w:val="20"/>
                      </w:rPr>
                      <w:t>t</w:t>
                    </w:r>
                    <w:r>
                      <w:rPr>
                        <w:rFonts w:ascii="Trebuchet MS"/>
                        <w:spacing w:val="-14"/>
                        <w:sz w:val="20"/>
                      </w:rPr>
                      <w:t> </w:t>
                    </w:r>
                    <w:r>
                      <w:rPr>
                        <w:rFonts w:ascii="Trebuchet MS"/>
                        <w:spacing w:val="-3"/>
                        <w:w w:val="80"/>
                        <w:sz w:val="20"/>
                      </w:rPr>
                      <w:t>i</w:t>
                    </w:r>
                    <w:r>
                      <w:rPr>
                        <w:rFonts w:ascii="Trebuchet MS"/>
                        <w:w w:val="88"/>
                        <w:sz w:val="20"/>
                      </w:rPr>
                      <w:t>t</w:t>
                    </w:r>
                    <w:r>
                      <w:rPr>
                        <w:rFonts w:ascii="Trebuchet MS"/>
                        <w:spacing w:val="-14"/>
                        <w:sz w:val="20"/>
                      </w:rPr>
                      <w:t> </w:t>
                    </w:r>
                    <w:r>
                      <w:rPr>
                        <w:rFonts w:ascii="Trebuchet MS"/>
                        <w:spacing w:val="-1"/>
                        <w:w w:val="80"/>
                        <w:sz w:val="20"/>
                      </w:rPr>
                      <w:t>i</w:t>
                    </w:r>
                    <w:r>
                      <w:rPr>
                        <w:rFonts w:ascii="Trebuchet MS"/>
                        <w:w w:val="122"/>
                        <w:sz w:val="20"/>
                      </w:rPr>
                      <w:t>s</w:t>
                    </w:r>
                    <w:r>
                      <w:rPr>
                        <w:rFonts w:ascii="Trebuchet MS"/>
                        <w:spacing w:val="-14"/>
                        <w:sz w:val="20"/>
                      </w:rPr>
                      <w:t> </w:t>
                    </w:r>
                    <w:r>
                      <w:rPr>
                        <w:rFonts w:ascii="Trebuchet MS"/>
                        <w:spacing w:val="-1"/>
                        <w:w w:val="111"/>
                        <w:sz w:val="20"/>
                      </w:rPr>
                      <w:t>p</w:t>
                    </w:r>
                    <w:r>
                      <w:rPr>
                        <w:rFonts w:ascii="Trebuchet MS"/>
                        <w:spacing w:val="-1"/>
                        <w:w w:val="108"/>
                        <w:sz w:val="20"/>
                      </w:rPr>
                      <w:t>e</w:t>
                    </w:r>
                    <w:r>
                      <w:rPr>
                        <w:rFonts w:ascii="Trebuchet MS"/>
                        <w:spacing w:val="-2"/>
                        <w:w w:val="93"/>
                        <w:sz w:val="20"/>
                      </w:rPr>
                      <w:t>r</w:t>
                    </w:r>
                    <w:r>
                      <w:rPr>
                        <w:rFonts w:ascii="Trebuchet MS"/>
                        <w:spacing w:val="-2"/>
                        <w:w w:val="111"/>
                        <w:sz w:val="20"/>
                      </w:rPr>
                      <w:t>m</w:t>
                    </w:r>
                    <w:r>
                      <w:rPr>
                        <w:rFonts w:ascii="Trebuchet MS"/>
                        <w:spacing w:val="-1"/>
                        <w:w w:val="80"/>
                        <w:sz w:val="20"/>
                      </w:rPr>
                      <w:t>i</w:t>
                    </w:r>
                    <w:r>
                      <w:rPr>
                        <w:rFonts w:ascii="Trebuchet MS"/>
                        <w:spacing w:val="-1"/>
                        <w:w w:val="122"/>
                        <w:sz w:val="20"/>
                      </w:rPr>
                      <w:t>s</w:t>
                    </w:r>
                    <w:r>
                      <w:rPr>
                        <w:rFonts w:ascii="Trebuchet MS"/>
                        <w:spacing w:val="-2"/>
                        <w:w w:val="122"/>
                        <w:sz w:val="20"/>
                      </w:rPr>
                      <w:t>s</w:t>
                    </w:r>
                    <w:r>
                      <w:rPr>
                        <w:rFonts w:ascii="Trebuchet MS"/>
                        <w:spacing w:val="-2"/>
                        <w:w w:val="80"/>
                        <w:sz w:val="20"/>
                      </w:rPr>
                      <w:t>i</w:t>
                    </w:r>
                    <w:r>
                      <w:rPr>
                        <w:rFonts w:ascii="Trebuchet MS"/>
                        <w:spacing w:val="-2"/>
                        <w:w w:val="111"/>
                        <w:sz w:val="20"/>
                      </w:rPr>
                      <w:t>b</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5"/>
                        <w:w w:val="92"/>
                        <w:sz w:val="20"/>
                      </w:rPr>
                      <w:t>f</w:t>
                    </w:r>
                    <w:r>
                      <w:rPr>
                        <w:rFonts w:ascii="Trebuchet MS"/>
                        <w:spacing w:val="-1"/>
                        <w:w w:val="111"/>
                        <w:sz w:val="20"/>
                      </w:rPr>
                      <w:t>o</w:t>
                    </w:r>
                    <w:r>
                      <w:rPr>
                        <w:rFonts w:ascii="Trebuchet MS"/>
                        <w:w w:val="93"/>
                        <w:sz w:val="20"/>
                      </w:rPr>
                      <w:t>r</w:t>
                    </w:r>
                    <w:r>
                      <w:rPr>
                        <w:rFonts w:ascii="Trebuchet MS"/>
                        <w:spacing w:val="-14"/>
                        <w:sz w:val="20"/>
                      </w:rPr>
                      <w:t> </w:t>
                    </w:r>
                    <w:r>
                      <w:rPr>
                        <w:rFonts w:ascii="Trebuchet MS"/>
                        <w:w w:val="105"/>
                        <w:sz w:val="20"/>
                      </w:rPr>
                      <w:t>a</w:t>
                    </w:r>
                    <w:r>
                      <w:rPr>
                        <w:rFonts w:ascii="Trebuchet MS"/>
                        <w:spacing w:val="-14"/>
                        <w:sz w:val="20"/>
                      </w:rPr>
                      <w:t> </w:t>
                    </w:r>
                    <w:r>
                      <w:rPr>
                        <w:rFonts w:ascii="Trebuchet MS"/>
                        <w:spacing w:val="-1"/>
                        <w:w w:val="111"/>
                        <w:sz w:val="20"/>
                      </w:rPr>
                      <w:t>p</w:t>
                    </w:r>
                    <w:r>
                      <w:rPr>
                        <w:rFonts w:ascii="Trebuchet MS"/>
                        <w:spacing w:val="-1"/>
                        <w:w w:val="108"/>
                        <w:sz w:val="20"/>
                      </w:rPr>
                      <w:t>e</w:t>
                    </w:r>
                    <w:r>
                      <w:rPr>
                        <w:rFonts w:ascii="Trebuchet MS"/>
                        <w:spacing w:val="-1"/>
                        <w:w w:val="93"/>
                        <w:sz w:val="20"/>
                      </w:rPr>
                      <w:t>r</w:t>
                    </w:r>
                    <w:r>
                      <w:rPr>
                        <w:rFonts w:ascii="Trebuchet MS"/>
                        <w:spacing w:val="-1"/>
                        <w:w w:val="122"/>
                        <w:sz w:val="20"/>
                      </w:rPr>
                      <w:t>s</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2"/>
                        <w:w w:val="93"/>
                        <w:sz w:val="20"/>
                      </w:rPr>
                      <w:t>f</w:t>
                    </w:r>
                    <w:r>
                      <w:rPr>
                        <w:rFonts w:ascii="Trebuchet MS"/>
                        <w:spacing w:val="-4"/>
                        <w:w w:val="93"/>
                        <w:sz w:val="20"/>
                      </w:rPr>
                      <w:t>r</w:t>
                    </w:r>
                    <w:r>
                      <w:rPr>
                        <w:rFonts w:ascii="Trebuchet MS"/>
                        <w:spacing w:val="-1"/>
                        <w:w w:val="111"/>
                        <w:sz w:val="20"/>
                      </w:rPr>
                      <w:t>o</w:t>
                    </w:r>
                    <w:r>
                      <w:rPr>
                        <w:rFonts w:ascii="Trebuchet MS"/>
                        <w:w w:val="111"/>
                        <w:sz w:val="20"/>
                      </w:rPr>
                      <w:t>m</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122"/>
                        <w:sz w:val="20"/>
                      </w:rPr>
                      <w:t>s</w:t>
                    </w:r>
                    <w:r>
                      <w:rPr>
                        <w:rFonts w:ascii="Trebuchet MS"/>
                        <w:spacing w:val="-1"/>
                        <w:w w:val="109"/>
                        <w:sz w:val="20"/>
                      </w:rPr>
                      <w:t>u</w:t>
                    </w:r>
                    <w:r>
                      <w:rPr>
                        <w:rFonts w:ascii="Trebuchet MS"/>
                        <w:spacing w:val="-3"/>
                        <w:w w:val="111"/>
                        <w:sz w:val="20"/>
                      </w:rPr>
                      <w:t>b</w:t>
                    </w:r>
                    <w:r>
                      <w:rPr>
                        <w:rFonts w:ascii="Trebuchet MS"/>
                        <w:spacing w:val="-1"/>
                        <w:w w:val="64"/>
                        <w:sz w:val="20"/>
                      </w:rPr>
                      <w:t>j</w:t>
                    </w:r>
                    <w:r>
                      <w:rPr>
                        <w:rFonts w:ascii="Trebuchet MS"/>
                        <w:w w:val="108"/>
                        <w:sz w:val="20"/>
                      </w:rPr>
                      <w:t>e</w:t>
                    </w:r>
                    <w:r>
                      <w:rPr>
                        <w:rFonts w:ascii="Trebuchet MS"/>
                        <w:spacing w:val="-2"/>
                        <w:w w:val="111"/>
                        <w:sz w:val="20"/>
                      </w:rPr>
                      <w:t>c</w:t>
                    </w:r>
                    <w:r>
                      <w:rPr>
                        <w:rFonts w:ascii="Trebuchet MS"/>
                        <w:w w:val="88"/>
                        <w:sz w:val="20"/>
                      </w:rPr>
                      <w:t>t</w:t>
                    </w:r>
                    <w:r>
                      <w:rPr>
                        <w:rFonts w:ascii="Trebuchet MS"/>
                        <w:spacing w:val="-14"/>
                        <w:sz w:val="20"/>
                      </w:rPr>
                      <w:t> </w:t>
                    </w:r>
                    <w:r>
                      <w:rPr>
                        <w:rFonts w:ascii="Trebuchet MS"/>
                        <w:spacing w:val="-2"/>
                        <w:w w:val="124"/>
                        <w:sz w:val="20"/>
                      </w:rPr>
                      <w:t>g</w:t>
                    </w:r>
                    <w:r>
                      <w:rPr>
                        <w:rFonts w:ascii="Trebuchet MS"/>
                        <w:spacing w:val="-4"/>
                        <w:w w:val="93"/>
                        <w:sz w:val="20"/>
                      </w:rPr>
                      <w:t>r</w:t>
                    </w:r>
                    <w:r>
                      <w:rPr>
                        <w:rFonts w:ascii="Trebuchet MS"/>
                        <w:spacing w:val="-1"/>
                        <w:w w:val="111"/>
                        <w:sz w:val="20"/>
                      </w:rPr>
                      <w:t>o</w:t>
                    </w:r>
                    <w:r>
                      <w:rPr>
                        <w:rFonts w:ascii="Trebuchet MS"/>
                        <w:spacing w:val="-1"/>
                        <w:w w:val="109"/>
                        <w:sz w:val="20"/>
                      </w:rPr>
                      <w:t>u</w:t>
                    </w:r>
                    <w:r>
                      <w:rPr>
                        <w:rFonts w:ascii="Trebuchet MS"/>
                        <w:spacing w:val="-2"/>
                        <w:w w:val="116"/>
                        <w:sz w:val="20"/>
                      </w:rPr>
                      <w:t>p</w:t>
                    </w:r>
                    <w:r>
                      <w:rPr>
                        <w:rFonts w:ascii="Trebuchet MS"/>
                        <w:w w:val="116"/>
                        <w:sz w:val="20"/>
                      </w:rPr>
                      <w:t>s</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1"/>
                        <w:w w:val="122"/>
                        <w:sz w:val="20"/>
                      </w:rPr>
                      <w:t>s</w:t>
                    </w:r>
                    <w:r>
                      <w:rPr>
                        <w:rFonts w:ascii="Trebuchet MS"/>
                        <w:spacing w:val="-1"/>
                        <w:w w:val="108"/>
                        <w:sz w:val="20"/>
                      </w:rPr>
                      <w:t>e</w:t>
                    </w:r>
                    <w:r>
                      <w:rPr>
                        <w:rFonts w:ascii="Trebuchet MS"/>
                        <w:spacing w:val="3"/>
                        <w:w w:val="93"/>
                        <w:sz w:val="20"/>
                      </w:rPr>
                      <w:t>r</w:t>
                    </w:r>
                    <w:r>
                      <w:rPr>
                        <w:rFonts w:ascii="Trebuchet MS"/>
                        <w:spacing w:val="-6"/>
                        <w:w w:val="109"/>
                        <w:sz w:val="20"/>
                      </w:rPr>
                      <w:t>v</w:t>
                    </w:r>
                    <w:r>
                      <w:rPr>
                        <w:rFonts w:ascii="Trebuchet MS"/>
                        <w:w w:val="108"/>
                        <w:sz w:val="20"/>
                      </w:rPr>
                      <w:t>e</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 </w:t>
                    </w:r>
                    <w:r>
                      <w:rPr>
                        <w:rFonts w:ascii="Trebuchet MS"/>
                        <w:spacing w:val="-1"/>
                        <w:w w:val="107"/>
                        <w:sz w:val="20"/>
                      </w:rPr>
                      <w:t>n</w:t>
                    </w:r>
                    <w:r>
                      <w:rPr>
                        <w:rFonts w:ascii="Trebuchet MS"/>
                        <w:w w:val="108"/>
                        <w:sz w:val="20"/>
                      </w:rPr>
                      <w:t>e</w:t>
                    </w:r>
                    <w:r>
                      <w:rPr>
                        <w:rFonts w:ascii="Trebuchet MS"/>
                        <w:spacing w:val="-3"/>
                        <w:w w:val="111"/>
                        <w:sz w:val="20"/>
                      </w:rPr>
                      <w:t>c</w:t>
                    </w:r>
                    <w:r>
                      <w:rPr>
                        <w:rFonts w:ascii="Trebuchet MS"/>
                        <w:spacing w:val="-2"/>
                        <w:w w:val="108"/>
                        <w:sz w:val="20"/>
                      </w:rPr>
                      <w:t>e</w:t>
                    </w:r>
                    <w:r>
                      <w:rPr>
                        <w:rFonts w:ascii="Trebuchet MS"/>
                        <w:spacing w:val="-1"/>
                        <w:w w:val="122"/>
                        <w:sz w:val="20"/>
                      </w:rPr>
                      <w:t>s</w:t>
                    </w:r>
                    <w:r>
                      <w:rPr>
                        <w:rFonts w:ascii="Trebuchet MS"/>
                        <w:w w:val="122"/>
                        <w:sz w:val="20"/>
                      </w:rPr>
                      <w:t>s</w:t>
                    </w:r>
                    <w:r>
                      <w:rPr>
                        <w:rFonts w:ascii="Trebuchet MS"/>
                        <w:spacing w:val="-2"/>
                        <w:w w:val="105"/>
                        <w:sz w:val="20"/>
                      </w:rPr>
                      <w:t>a</w:t>
                    </w:r>
                    <w:r>
                      <w:rPr>
                        <w:rFonts w:ascii="Trebuchet MS"/>
                        <w:spacing w:val="3"/>
                        <w:w w:val="93"/>
                        <w:sz w:val="20"/>
                      </w:rPr>
                      <w:t>r</w:t>
                    </w:r>
                    <w:r>
                      <w:rPr>
                        <w:rFonts w:ascii="Trebuchet MS"/>
                        <w:w w:val="110"/>
                        <w:sz w:val="20"/>
                      </w:rPr>
                      <w:t>y</w:t>
                    </w:r>
                    <w:r>
                      <w:rPr>
                        <w:rFonts w:ascii="Trebuchet MS"/>
                        <w:spacing w:val="-14"/>
                        <w:sz w:val="20"/>
                      </w:rPr>
                      <w:t> </w:t>
                    </w:r>
                    <w:r>
                      <w:rPr>
                        <w:rFonts w:ascii="Trebuchet MS"/>
                        <w:spacing w:val="-2"/>
                        <w:w w:val="105"/>
                        <w:sz w:val="20"/>
                      </w:rPr>
                      <w:t>a</w:t>
                    </w:r>
                    <w:r>
                      <w:rPr>
                        <w:rFonts w:ascii="Trebuchet MS"/>
                        <w:spacing w:val="-2"/>
                        <w:w w:val="112"/>
                        <w:sz w:val="20"/>
                      </w:rPr>
                      <w:t>d</w:t>
                    </w:r>
                    <w:r>
                      <w:rPr>
                        <w:rFonts w:ascii="Trebuchet MS"/>
                        <w:spacing w:val="-2"/>
                        <w:w w:val="64"/>
                        <w:sz w:val="20"/>
                      </w:rPr>
                      <w:t>j</w:t>
                    </w:r>
                    <w:r>
                      <w:rPr>
                        <w:rFonts w:ascii="Trebuchet MS"/>
                        <w:spacing w:val="-1"/>
                        <w:w w:val="109"/>
                        <w:sz w:val="20"/>
                      </w:rPr>
                      <w:t>u</w:t>
                    </w:r>
                    <w:r>
                      <w:rPr>
                        <w:rFonts w:ascii="Trebuchet MS"/>
                        <w:spacing w:val="-1"/>
                        <w:w w:val="122"/>
                        <w:sz w:val="20"/>
                      </w:rPr>
                      <w:t>s</w:t>
                    </w:r>
                    <w:r>
                      <w:rPr>
                        <w:rFonts w:ascii="Trebuchet MS"/>
                        <w:spacing w:val="-2"/>
                        <w:w w:val="88"/>
                        <w:sz w:val="20"/>
                      </w:rPr>
                      <w:t>t</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spacing w:val="2"/>
                        <w:w w:val="88"/>
                        <w:sz w:val="20"/>
                      </w:rPr>
                      <w:t>t</w:t>
                    </w:r>
                    <w:r>
                      <w:rPr>
                        <w:rFonts w:ascii="Trebuchet MS"/>
                        <w:w w:val="122"/>
                        <w:sz w:val="20"/>
                      </w:rPr>
                      <w:t>s</w:t>
                    </w:r>
                    <w:r>
                      <w:rPr>
                        <w:rFonts w:ascii="Trebuchet MS"/>
                        <w:spacing w:val="-14"/>
                        <w:sz w:val="20"/>
                      </w:rPr>
                      <w:t> </w:t>
                    </w:r>
                    <w:r>
                      <w:rPr>
                        <w:rFonts w:ascii="Trebuchet MS"/>
                        <w:spacing w:val="-1"/>
                        <w:w w:val="107"/>
                        <w:sz w:val="20"/>
                      </w:rPr>
                      <w:t>h</w:t>
                    </w:r>
                    <w:r>
                      <w:rPr>
                        <w:rFonts w:ascii="Trebuchet MS"/>
                        <w:spacing w:val="-6"/>
                        <w:w w:val="105"/>
                        <w:sz w:val="20"/>
                      </w:rPr>
                      <w:t>a</w:t>
                    </w:r>
                    <w:r>
                      <w:rPr>
                        <w:rFonts w:ascii="Trebuchet MS"/>
                        <w:spacing w:val="-6"/>
                        <w:w w:val="109"/>
                        <w:sz w:val="20"/>
                      </w:rPr>
                      <w:t>v</w:t>
                    </w:r>
                    <w:r>
                      <w:rPr>
                        <w:rFonts w:ascii="Trebuchet MS"/>
                        <w:w w:val="108"/>
                        <w:sz w:val="20"/>
                      </w:rPr>
                      <w:t>e</w:t>
                    </w:r>
                    <w:r>
                      <w:rPr>
                        <w:rFonts w:ascii="Trebuchet MS"/>
                        <w:spacing w:val="-14"/>
                        <w:sz w:val="20"/>
                      </w:rPr>
                      <w:t> </w:t>
                    </w:r>
                    <w:r>
                      <w:rPr>
                        <w:rFonts w:ascii="Trebuchet MS"/>
                        <w:spacing w:val="-1"/>
                        <w:w w:val="111"/>
                        <w:sz w:val="20"/>
                      </w:rPr>
                      <w:t>b</w:t>
                    </w:r>
                    <w:r>
                      <w:rPr>
                        <w:rFonts w:ascii="Trebuchet MS"/>
                        <w:w w:val="108"/>
                        <w:sz w:val="20"/>
                      </w:rPr>
                      <w:t>e</w:t>
                    </w:r>
                    <w:r>
                      <w:rPr>
                        <w:rFonts w:ascii="Trebuchet MS"/>
                        <w:spacing w:val="-1"/>
                        <w:w w:val="108"/>
                        <w:sz w:val="20"/>
                      </w:rPr>
                      <w:t>e</w:t>
                    </w:r>
                    <w:r>
                      <w:rPr>
                        <w:rFonts w:ascii="Trebuchet MS"/>
                        <w:w w:val="107"/>
                        <w:sz w:val="20"/>
                      </w:rPr>
                      <w:t>n</w:t>
                    </w:r>
                    <w:r>
                      <w:rPr>
                        <w:rFonts w:ascii="Trebuchet MS"/>
                        <w:spacing w:val="-14"/>
                        <w:sz w:val="20"/>
                      </w:rPr>
                      <w:t> </w:t>
                    </w:r>
                    <w:r>
                      <w:rPr>
                        <w:rFonts w:ascii="Trebuchet MS"/>
                        <w:spacing w:val="-1"/>
                        <w:w w:val="111"/>
                        <w:sz w:val="20"/>
                      </w:rPr>
                      <w:t>m</w:t>
                    </w:r>
                    <w:r>
                      <w:rPr>
                        <w:rFonts w:ascii="Trebuchet MS"/>
                        <w:spacing w:val="-2"/>
                        <w:w w:val="105"/>
                        <w:sz w:val="20"/>
                      </w:rPr>
                      <w:t>a</w:t>
                    </w:r>
                    <w:r>
                      <w:rPr>
                        <w:rFonts w:ascii="Trebuchet MS"/>
                        <w:spacing w:val="-2"/>
                        <w:w w:val="112"/>
                        <w:sz w:val="20"/>
                      </w:rPr>
                      <w:t>d</w:t>
                    </w:r>
                    <w:r>
                      <w:rPr>
                        <w:rFonts w:ascii="Trebuchet MS"/>
                        <w:w w:val="108"/>
                        <w:sz w:val="20"/>
                      </w:rPr>
                      <w:t>e</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1"/>
                        <w:w w:val="108"/>
                        <w:sz w:val="20"/>
                      </w:rPr>
                      <w:t>e</w:t>
                    </w:r>
                    <w:r>
                      <w:rPr>
                        <w:rFonts w:ascii="Trebuchet MS"/>
                        <w:spacing w:val="-1"/>
                        <w:w w:val="107"/>
                        <w:sz w:val="20"/>
                      </w:rPr>
                      <w:t>n</w:t>
                    </w:r>
                    <w:r>
                      <w:rPr>
                        <w:rFonts w:ascii="Trebuchet MS"/>
                        <w:spacing w:val="-2"/>
                        <w:w w:val="105"/>
                        <w:sz w:val="20"/>
                      </w:rPr>
                      <w:t>a</w:t>
                    </w:r>
                    <w:r>
                      <w:rPr>
                        <w:rFonts w:ascii="Trebuchet MS"/>
                        <w:spacing w:val="-2"/>
                        <w:w w:val="111"/>
                        <w:sz w:val="20"/>
                      </w:rPr>
                      <w:t>b</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spacing w:val="-1"/>
                        <w:w w:val="108"/>
                        <w:sz w:val="20"/>
                      </w:rPr>
                      <w:t>e</w:t>
                    </w:r>
                    <w:r>
                      <w:rPr>
                        <w:rFonts w:ascii="Trebuchet MS"/>
                        <w:w w:val="111"/>
                        <w:sz w:val="20"/>
                      </w:rPr>
                      <w:t>m</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2"/>
                        <w:w w:val="112"/>
                        <w:sz w:val="20"/>
                      </w:rPr>
                      <w:t>d</w:t>
                    </w:r>
                    <w:r>
                      <w:rPr>
                        <w:rFonts w:ascii="Trebuchet MS"/>
                        <w:w w:val="111"/>
                        <w:sz w:val="20"/>
                      </w:rPr>
                      <w:t>o</w:t>
                    </w:r>
                    <w:r>
                      <w:rPr>
                        <w:rFonts w:ascii="Trebuchet MS"/>
                        <w:spacing w:val="-14"/>
                        <w:sz w:val="20"/>
                      </w:rPr>
                      <w:t> </w:t>
                    </w:r>
                    <w:r>
                      <w:rPr>
                        <w:rFonts w:ascii="Trebuchet MS"/>
                        <w:spacing w:val="-1"/>
                        <w:w w:val="122"/>
                        <w:sz w:val="20"/>
                      </w:rPr>
                      <w:t>s</w:t>
                    </w:r>
                    <w:r>
                      <w:rPr>
                        <w:rFonts w:ascii="Trebuchet MS"/>
                        <w:spacing w:val="-3"/>
                        <w:w w:val="111"/>
                        <w:sz w:val="20"/>
                      </w:rPr>
                      <w:t>o</w:t>
                    </w:r>
                    <w:r>
                      <w:rPr>
                        <w:rFonts w:ascii="Trebuchet MS"/>
                        <w:w w:val="55"/>
                        <w:sz w:val="20"/>
                      </w:rPr>
                      <w:t>.</w:t>
                    </w:r>
                  </w:p>
                  <w:p>
                    <w:pPr>
                      <w:spacing w:line="247" w:lineRule="auto" w:before="88"/>
                      <w:ind w:left="0" w:right="0" w:firstLine="0"/>
                      <w:jc w:val="left"/>
                      <w:rPr>
                        <w:rFonts w:ascii="Trebuchet MS"/>
                        <w:sz w:val="20"/>
                      </w:rPr>
                    </w:pPr>
                    <w:r>
                      <w:rPr>
                        <w:rFonts w:ascii="Trebuchet MS"/>
                        <w:w w:val="105"/>
                        <w:sz w:val="20"/>
                      </w:rPr>
                      <w:t>Juries Victoria should retain data on the number of people who request adjustments</w:t>
                    </w:r>
                    <w:r>
                      <w:rPr>
                        <w:rFonts w:ascii="Trebuchet MS"/>
                        <w:spacing w:val="-18"/>
                        <w:w w:val="105"/>
                        <w:sz w:val="20"/>
                      </w:rPr>
                      <w:t> </w:t>
                    </w:r>
                    <w:r>
                      <w:rPr>
                        <w:rFonts w:ascii="Trebuchet MS"/>
                        <w:w w:val="105"/>
                        <w:sz w:val="20"/>
                      </w:rPr>
                      <w:t>to</w:t>
                    </w:r>
                    <w:r>
                      <w:rPr>
                        <w:rFonts w:ascii="Trebuchet MS"/>
                        <w:spacing w:val="-18"/>
                        <w:w w:val="105"/>
                        <w:sz w:val="20"/>
                      </w:rPr>
                      <w:t> </w:t>
                    </w:r>
                    <w:r>
                      <w:rPr>
                        <w:rFonts w:ascii="Trebuchet MS"/>
                        <w:w w:val="105"/>
                        <w:sz w:val="20"/>
                      </w:rPr>
                      <w:t>serve</w:t>
                    </w:r>
                    <w:r>
                      <w:rPr>
                        <w:rFonts w:ascii="Trebuchet MS"/>
                        <w:spacing w:val="-17"/>
                        <w:w w:val="105"/>
                        <w:sz w:val="20"/>
                      </w:rPr>
                      <w:t> </w:t>
                    </w:r>
                    <w:r>
                      <w:rPr>
                        <w:rFonts w:ascii="Trebuchet MS"/>
                        <w:w w:val="105"/>
                        <w:sz w:val="20"/>
                      </w:rPr>
                      <w:t>and</w:t>
                    </w:r>
                    <w:r>
                      <w:rPr>
                        <w:rFonts w:ascii="Trebuchet MS"/>
                        <w:spacing w:val="-18"/>
                        <w:w w:val="105"/>
                        <w:sz w:val="20"/>
                      </w:rPr>
                      <w:t> </w:t>
                    </w:r>
                    <w:r>
                      <w:rPr>
                        <w:rFonts w:ascii="Trebuchet MS"/>
                        <w:w w:val="105"/>
                        <w:sz w:val="20"/>
                      </w:rPr>
                      <w:t>the</w:t>
                    </w:r>
                    <w:r>
                      <w:rPr>
                        <w:rFonts w:ascii="Trebuchet MS"/>
                        <w:spacing w:val="-17"/>
                        <w:w w:val="105"/>
                        <w:sz w:val="20"/>
                      </w:rPr>
                      <w:t> </w:t>
                    </w:r>
                    <w:r>
                      <w:rPr>
                        <w:rFonts w:ascii="Trebuchet MS"/>
                        <w:w w:val="105"/>
                        <w:sz w:val="20"/>
                      </w:rPr>
                      <w:t>number</w:t>
                    </w:r>
                    <w:r>
                      <w:rPr>
                        <w:rFonts w:ascii="Trebuchet MS"/>
                        <w:spacing w:val="-18"/>
                        <w:w w:val="105"/>
                        <w:sz w:val="20"/>
                      </w:rPr>
                      <w:t> </w:t>
                    </w:r>
                    <w:r>
                      <w:rPr>
                        <w:rFonts w:ascii="Trebuchet MS"/>
                        <w:w w:val="105"/>
                        <w:sz w:val="20"/>
                      </w:rPr>
                      <w:t>who</w:t>
                    </w:r>
                    <w:r>
                      <w:rPr>
                        <w:rFonts w:ascii="Trebuchet MS"/>
                        <w:spacing w:val="-18"/>
                        <w:w w:val="105"/>
                        <w:sz w:val="20"/>
                      </w:rPr>
                      <w:t> </w:t>
                    </w:r>
                    <w:r>
                      <w:rPr>
                        <w:rFonts w:ascii="Trebuchet MS"/>
                        <w:spacing w:val="-2"/>
                        <w:w w:val="105"/>
                        <w:sz w:val="20"/>
                      </w:rPr>
                      <w:t>are</w:t>
                    </w:r>
                    <w:r>
                      <w:rPr>
                        <w:rFonts w:ascii="Trebuchet MS"/>
                        <w:spacing w:val="-17"/>
                        <w:w w:val="105"/>
                        <w:sz w:val="20"/>
                      </w:rPr>
                      <w:t> </w:t>
                    </w:r>
                    <w:r>
                      <w:rPr>
                        <w:rFonts w:ascii="Trebuchet MS"/>
                        <w:w w:val="105"/>
                        <w:sz w:val="20"/>
                      </w:rPr>
                      <w:t>provided</w:t>
                    </w:r>
                    <w:r>
                      <w:rPr>
                        <w:rFonts w:ascii="Trebuchet MS"/>
                        <w:spacing w:val="-18"/>
                        <w:w w:val="105"/>
                        <w:sz w:val="20"/>
                      </w:rPr>
                      <w:t> </w:t>
                    </w:r>
                    <w:r>
                      <w:rPr>
                        <w:rFonts w:ascii="Trebuchet MS"/>
                        <w:w w:val="105"/>
                        <w:sz w:val="20"/>
                      </w:rPr>
                      <w:t>with</w:t>
                    </w:r>
                    <w:r>
                      <w:rPr>
                        <w:rFonts w:ascii="Trebuchet MS"/>
                        <w:spacing w:val="-17"/>
                        <w:w w:val="105"/>
                        <w:sz w:val="20"/>
                      </w:rPr>
                      <w:t> </w:t>
                    </w:r>
                    <w:r>
                      <w:rPr>
                        <w:rFonts w:ascii="Trebuchet MS"/>
                        <w:w w:val="105"/>
                        <w:sz w:val="20"/>
                      </w:rPr>
                      <w:t>those</w:t>
                    </w:r>
                    <w:r>
                      <w:rPr>
                        <w:rFonts w:ascii="Trebuchet MS"/>
                        <w:spacing w:val="-18"/>
                        <w:w w:val="105"/>
                        <w:sz w:val="20"/>
                      </w:rPr>
                      <w:t> </w:t>
                    </w:r>
                    <w:r>
                      <w:rPr>
                        <w:rFonts w:ascii="Trebuchet MS"/>
                        <w:w w:val="105"/>
                        <w:sz w:val="20"/>
                      </w:rPr>
                      <w:t>adjustments</w:t>
                    </w:r>
                    <w:r>
                      <w:rPr>
                        <w:rFonts w:ascii="Trebuchet MS"/>
                        <w:spacing w:val="-17"/>
                        <w:w w:val="105"/>
                        <w:sz w:val="20"/>
                      </w:rPr>
                      <w:t> </w:t>
                    </w:r>
                    <w:r>
                      <w:rPr>
                        <w:rFonts w:ascii="Trebuchet MS"/>
                        <w:w w:val="105"/>
                        <w:sz w:val="20"/>
                      </w:rPr>
                      <w:t>but </w:t>
                    </w:r>
                    <w:r>
                      <w:rPr>
                        <w:rFonts w:ascii="Trebuchet MS"/>
                        <w:spacing w:val="-2"/>
                        <w:w w:val="105"/>
                        <w:sz w:val="20"/>
                      </w:rPr>
                      <w:t>a</w:t>
                    </w:r>
                    <w:r>
                      <w:rPr>
                        <w:rFonts w:ascii="Trebuchet MS"/>
                        <w:spacing w:val="-4"/>
                        <w:w w:val="93"/>
                        <w:sz w:val="20"/>
                      </w:rPr>
                      <w:t>r</w:t>
                    </w:r>
                    <w:r>
                      <w:rPr>
                        <w:rFonts w:ascii="Trebuchet MS"/>
                        <w:w w:val="108"/>
                        <w:sz w:val="20"/>
                      </w:rPr>
                      <w:t>e</w:t>
                    </w:r>
                    <w:r>
                      <w:rPr>
                        <w:rFonts w:ascii="Trebuchet MS"/>
                        <w:spacing w:val="-14"/>
                        <w:sz w:val="20"/>
                      </w:rPr>
                      <w:t> </w:t>
                    </w:r>
                    <w:r>
                      <w:rPr>
                        <w:rFonts w:ascii="Trebuchet MS"/>
                        <w:spacing w:val="-1"/>
                        <w:w w:val="111"/>
                        <w:sz w:val="20"/>
                      </w:rPr>
                      <w:t>p</w:t>
                    </w:r>
                    <w:r>
                      <w:rPr>
                        <w:rFonts w:ascii="Trebuchet MS"/>
                        <w:spacing w:val="-1"/>
                        <w:w w:val="108"/>
                        <w:sz w:val="20"/>
                      </w:rPr>
                      <w:t>e</w:t>
                    </w:r>
                    <w:r>
                      <w:rPr>
                        <w:rFonts w:ascii="Trebuchet MS"/>
                        <w:spacing w:val="-4"/>
                        <w:w w:val="93"/>
                        <w:sz w:val="20"/>
                      </w:rPr>
                      <w:t>r</w:t>
                    </w:r>
                    <w:r>
                      <w:rPr>
                        <w:rFonts w:ascii="Trebuchet MS"/>
                        <w:spacing w:val="-1"/>
                        <w:w w:val="108"/>
                        <w:sz w:val="20"/>
                      </w:rPr>
                      <w:t>e</w:t>
                    </w:r>
                    <w:r>
                      <w:rPr>
                        <w:rFonts w:ascii="Trebuchet MS"/>
                        <w:spacing w:val="-2"/>
                        <w:w w:val="111"/>
                        <w:sz w:val="20"/>
                      </w:rPr>
                      <w:t>m</w:t>
                    </w:r>
                    <w:r>
                      <w:rPr>
                        <w:rFonts w:ascii="Trebuchet MS"/>
                        <w:spacing w:val="-4"/>
                        <w:w w:val="111"/>
                        <w:sz w:val="20"/>
                      </w:rPr>
                      <w:t>p</w:t>
                    </w:r>
                    <w:r>
                      <w:rPr>
                        <w:rFonts w:ascii="Trebuchet MS"/>
                        <w:spacing w:val="-4"/>
                        <w:w w:val="88"/>
                        <w:sz w:val="20"/>
                      </w:rPr>
                      <w:t>t</w:t>
                    </w:r>
                    <w:r>
                      <w:rPr>
                        <w:rFonts w:ascii="Trebuchet MS"/>
                        <w:spacing w:val="-1"/>
                        <w:w w:val="111"/>
                        <w:sz w:val="20"/>
                      </w:rPr>
                      <w:t>o</w:t>
                    </w:r>
                    <w:r>
                      <w:rPr>
                        <w:rFonts w:ascii="Trebuchet MS"/>
                        <w:spacing w:val="-2"/>
                        <w:w w:val="93"/>
                        <w:sz w:val="20"/>
                      </w:rPr>
                      <w:t>r</w:t>
                    </w:r>
                    <w:r>
                      <w:rPr>
                        <w:rFonts w:ascii="Trebuchet MS"/>
                        <w:spacing w:val="-2"/>
                        <w:w w:val="80"/>
                        <w:sz w:val="20"/>
                      </w:rPr>
                      <w:t>i</w:t>
                    </w:r>
                    <w:r>
                      <w:rPr>
                        <w:rFonts w:ascii="Trebuchet MS"/>
                        <w:spacing w:val="-7"/>
                        <w:w w:val="96"/>
                        <w:sz w:val="20"/>
                      </w:rPr>
                      <w:t>l</w:t>
                    </w:r>
                    <w:r>
                      <w:rPr>
                        <w:rFonts w:ascii="Trebuchet MS"/>
                        <w:w w:val="110"/>
                        <w:sz w:val="20"/>
                      </w:rPr>
                      <w:t>y</w:t>
                    </w:r>
                    <w:r>
                      <w:rPr>
                        <w:rFonts w:ascii="Trebuchet MS"/>
                        <w:spacing w:val="-14"/>
                        <w:sz w:val="20"/>
                      </w:rPr>
                      <w:t> </w:t>
                    </w:r>
                    <w:r>
                      <w:rPr>
                        <w:rFonts w:ascii="Trebuchet MS"/>
                        <w:spacing w:val="-2"/>
                        <w:w w:val="111"/>
                        <w:sz w:val="20"/>
                      </w:rPr>
                      <w:t>c</w:t>
                    </w:r>
                    <w:r>
                      <w:rPr>
                        <w:rFonts w:ascii="Trebuchet MS"/>
                        <w:spacing w:val="-1"/>
                        <w:w w:val="107"/>
                        <w:sz w:val="20"/>
                      </w:rPr>
                      <w:t>h</w:t>
                    </w:r>
                    <w:r>
                      <w:rPr>
                        <w:rFonts w:ascii="Trebuchet MS"/>
                        <w:spacing w:val="-3"/>
                        <w:w w:val="105"/>
                        <w:sz w:val="20"/>
                      </w:rPr>
                      <w:t>a</w:t>
                    </w:r>
                    <w:r>
                      <w:rPr>
                        <w:rFonts w:ascii="Trebuchet MS"/>
                        <w:spacing w:val="-2"/>
                        <w:w w:val="96"/>
                        <w:sz w:val="20"/>
                      </w:rPr>
                      <w:t>l</w:t>
                    </w:r>
                    <w:r>
                      <w:rPr>
                        <w:rFonts w:ascii="Trebuchet MS"/>
                        <w:spacing w:val="-3"/>
                        <w:w w:val="96"/>
                        <w:sz w:val="20"/>
                      </w:rPr>
                      <w:t>l</w:t>
                    </w:r>
                    <w:r>
                      <w:rPr>
                        <w:rFonts w:ascii="Trebuchet MS"/>
                        <w:spacing w:val="-1"/>
                        <w:w w:val="108"/>
                        <w:sz w:val="20"/>
                      </w:rPr>
                      <w:t>e</w:t>
                    </w:r>
                    <w:r>
                      <w:rPr>
                        <w:rFonts w:ascii="Trebuchet MS"/>
                        <w:spacing w:val="-1"/>
                        <w:w w:val="107"/>
                        <w:sz w:val="20"/>
                      </w:rPr>
                      <w:t>n</w:t>
                    </w:r>
                    <w:r>
                      <w:rPr>
                        <w:rFonts w:ascii="Trebuchet MS"/>
                        <w:spacing w:val="-1"/>
                        <w:w w:val="124"/>
                        <w:sz w:val="20"/>
                      </w:rPr>
                      <w:t>g</w:t>
                    </w:r>
                    <w:r>
                      <w:rPr>
                        <w:rFonts w:ascii="Trebuchet MS"/>
                        <w:w w:val="108"/>
                        <w:sz w:val="20"/>
                      </w:rPr>
                      <w:t>e</w:t>
                    </w:r>
                    <w:r>
                      <w:rPr>
                        <w:rFonts w:ascii="Trebuchet MS"/>
                        <w:w w:val="112"/>
                        <w:sz w:val="20"/>
                      </w:rPr>
                      <w:t>d</w:t>
                    </w:r>
                    <w:r>
                      <w:rPr>
                        <w:rFonts w:ascii="Trebuchet MS"/>
                        <w:spacing w:val="-14"/>
                        <w:sz w:val="20"/>
                      </w:rPr>
                      <w:t> </w:t>
                    </w:r>
                    <w:r>
                      <w:rPr>
                        <w:rFonts w:ascii="Trebuchet MS"/>
                        <w:spacing w:val="-2"/>
                        <w:w w:val="112"/>
                        <w:sz w:val="20"/>
                      </w:rPr>
                      <w:t>d</w:t>
                    </w:r>
                    <w:r>
                      <w:rPr>
                        <w:rFonts w:ascii="Trebuchet MS"/>
                        <w:spacing w:val="-1"/>
                        <w:w w:val="109"/>
                        <w:sz w:val="20"/>
                      </w:rPr>
                      <w:t>u</w:t>
                    </w:r>
                    <w:r>
                      <w:rPr>
                        <w:rFonts w:ascii="Trebuchet MS"/>
                        <w:spacing w:val="-2"/>
                        <w:w w:val="93"/>
                        <w:sz w:val="20"/>
                      </w:rPr>
                      <w:t>r</w:t>
                    </w:r>
                    <w:r>
                      <w:rPr>
                        <w:rFonts w:ascii="Trebuchet MS"/>
                        <w:spacing w:val="-2"/>
                        <w:w w:val="80"/>
                        <w:sz w:val="20"/>
                      </w:rPr>
                      <w:t>i</w:t>
                    </w:r>
                    <w:r>
                      <w:rPr>
                        <w:rFonts w:ascii="Trebuchet MS"/>
                        <w:spacing w:val="-1"/>
                        <w:w w:val="107"/>
                        <w:sz w:val="20"/>
                      </w:rPr>
                      <w:t>n</w:t>
                    </w:r>
                    <w:r>
                      <w:rPr>
                        <w:rFonts w:ascii="Trebuchet MS"/>
                        <w:w w:val="124"/>
                        <w:sz w:val="20"/>
                      </w:rPr>
                      <w:t>g</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1"/>
                        <w:w w:val="108"/>
                        <w:sz w:val="20"/>
                      </w:rPr>
                      <w:t>e</w:t>
                    </w:r>
                    <w:r>
                      <w:rPr>
                        <w:rFonts w:ascii="Trebuchet MS"/>
                        <w:spacing w:val="-2"/>
                        <w:w w:val="111"/>
                        <w:sz w:val="20"/>
                      </w:rPr>
                      <w:t>m</w:t>
                    </w:r>
                    <w:r>
                      <w:rPr>
                        <w:rFonts w:ascii="Trebuchet MS"/>
                        <w:spacing w:val="-1"/>
                        <w:w w:val="111"/>
                        <w:sz w:val="20"/>
                      </w:rPr>
                      <w:t>p</w:t>
                    </w:r>
                    <w:r>
                      <w:rPr>
                        <w:rFonts w:ascii="Trebuchet MS"/>
                        <w:spacing w:val="-2"/>
                        <w:w w:val="105"/>
                        <w:sz w:val="20"/>
                      </w:rPr>
                      <w:t>a</w:t>
                    </w:r>
                    <w:r>
                      <w:rPr>
                        <w:rFonts w:ascii="Trebuchet MS"/>
                        <w:spacing w:val="-1"/>
                        <w:w w:val="107"/>
                        <w:sz w:val="20"/>
                      </w:rPr>
                      <w:t>n</w:t>
                    </w:r>
                    <w:r>
                      <w:rPr>
                        <w:rFonts w:ascii="Trebuchet MS"/>
                        <w:spacing w:val="-1"/>
                        <w:w w:val="108"/>
                        <w:sz w:val="20"/>
                      </w:rPr>
                      <w:t>e</w:t>
                    </w:r>
                    <w:r>
                      <w:rPr>
                        <w:rFonts w:ascii="Trebuchet MS"/>
                        <w:w w:val="96"/>
                        <w:sz w:val="20"/>
                      </w:rPr>
                      <w:t>l</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w w:val="88"/>
                        <w:sz w:val="20"/>
                      </w:rPr>
                      <w:t>t</w:t>
                    </w:r>
                    <w:r>
                      <w:rPr>
                        <w:rFonts w:ascii="Trebuchet MS"/>
                        <w:spacing w:val="-14"/>
                        <w:sz w:val="20"/>
                      </w:rPr>
                      <w:t> </w:t>
                    </w:r>
                    <w:r>
                      <w:rPr>
                        <w:rFonts w:ascii="Trebuchet MS"/>
                        <w:spacing w:val="-1"/>
                        <w:w w:val="111"/>
                        <w:sz w:val="20"/>
                      </w:rPr>
                      <w:t>p</w:t>
                    </w:r>
                    <w:r>
                      <w:rPr>
                        <w:rFonts w:ascii="Trebuchet MS"/>
                        <w:spacing w:val="-4"/>
                        <w:w w:val="93"/>
                        <w:sz w:val="20"/>
                      </w:rPr>
                      <w:t>r</w:t>
                    </w:r>
                    <w:r>
                      <w:rPr>
                        <w:rFonts w:ascii="Trebuchet MS"/>
                        <w:spacing w:val="-1"/>
                        <w:w w:val="111"/>
                        <w:sz w:val="20"/>
                      </w:rPr>
                      <w:t>o</w:t>
                    </w:r>
                    <w:r>
                      <w:rPr>
                        <w:rFonts w:ascii="Trebuchet MS"/>
                        <w:spacing w:val="-3"/>
                        <w:w w:val="111"/>
                        <w:sz w:val="20"/>
                      </w:rPr>
                      <w:t>c</w:t>
                    </w:r>
                    <w:r>
                      <w:rPr>
                        <w:rFonts w:ascii="Trebuchet MS"/>
                        <w:spacing w:val="-2"/>
                        <w:w w:val="108"/>
                        <w:sz w:val="20"/>
                      </w:rPr>
                      <w:t>e</w:t>
                    </w:r>
                    <w:r>
                      <w:rPr>
                        <w:rFonts w:ascii="Trebuchet MS"/>
                        <w:spacing w:val="-1"/>
                        <w:w w:val="122"/>
                        <w:sz w:val="20"/>
                      </w:rPr>
                      <w:t>s</w:t>
                    </w:r>
                    <w:r>
                      <w:rPr>
                        <w:rFonts w:ascii="Trebuchet MS"/>
                        <w:spacing w:val="1"/>
                        <w:w w:val="122"/>
                        <w:sz w:val="20"/>
                      </w:rPr>
                      <w:t>s</w:t>
                    </w:r>
                    <w:r>
                      <w:rPr>
                        <w:rFonts w:ascii="Trebuchet MS"/>
                        <w:w w:val="55"/>
                        <w:sz w:val="20"/>
                      </w:rPr>
                      <w:t>.</w:t>
                    </w:r>
                  </w:p>
                </w:txbxContent>
              </v:textbox>
              <w10:wrap type="none"/>
            </v:shape>
            <v:shape style="position:absolute;left:1814;top:1344;width:291;height:1280" type="#_x0000_t202" filled="false" stroked="false">
              <v:textbox inset="0,0,0,0">
                <w:txbxContent>
                  <w:p>
                    <w:pPr>
                      <w:spacing w:before="0"/>
                      <w:ind w:left="0" w:right="0" w:firstLine="0"/>
                      <w:jc w:val="left"/>
                      <w:rPr>
                        <w:rFonts w:ascii="Trebuchet MS"/>
                        <w:sz w:val="20"/>
                      </w:rPr>
                    </w:pPr>
                    <w:r>
                      <w:rPr>
                        <w:rFonts w:ascii="Trebuchet MS"/>
                        <w:w w:val="102"/>
                        <w:sz w:val="20"/>
                      </w:rPr>
                      <w:t>3</w:t>
                    </w:r>
                    <w:r>
                      <w:rPr>
                        <w:rFonts w:ascii="Trebuchet MS"/>
                        <w:spacing w:val="3"/>
                        <w:w w:val="112"/>
                        <w:sz w:val="20"/>
                      </w:rPr>
                      <w:t>9</w:t>
                    </w:r>
                    <w:r>
                      <w:rPr>
                        <w:rFonts w:ascii="Trebuchet MS"/>
                        <w:w w:val="55"/>
                        <w:sz w:val="20"/>
                      </w:rPr>
                      <w:t>.</w:t>
                    </w:r>
                  </w:p>
                  <w:p>
                    <w:pPr>
                      <w:spacing w:line="240" w:lineRule="auto" w:before="0"/>
                      <w:rPr>
                        <w:sz w:val="22"/>
                      </w:rPr>
                    </w:pPr>
                  </w:p>
                  <w:p>
                    <w:pPr>
                      <w:spacing w:line="240" w:lineRule="auto" w:before="0"/>
                      <w:rPr>
                        <w:sz w:val="22"/>
                      </w:rPr>
                    </w:pPr>
                  </w:p>
                  <w:p>
                    <w:pPr>
                      <w:spacing w:line="240" w:lineRule="auto" w:before="7"/>
                      <w:rPr>
                        <w:sz w:val="14"/>
                      </w:rPr>
                    </w:pPr>
                  </w:p>
                  <w:p>
                    <w:pPr>
                      <w:spacing w:before="1"/>
                      <w:ind w:left="0" w:right="0" w:firstLine="0"/>
                      <w:jc w:val="left"/>
                      <w:rPr>
                        <w:rFonts w:ascii="Trebuchet MS"/>
                        <w:sz w:val="20"/>
                      </w:rPr>
                    </w:pPr>
                    <w:r>
                      <w:rPr>
                        <w:rFonts w:ascii="Trebuchet MS"/>
                        <w:spacing w:val="-3"/>
                        <w:w w:val="111"/>
                        <w:sz w:val="20"/>
                      </w:rPr>
                      <w:t>40</w:t>
                    </w:r>
                    <w:r>
                      <w:rPr>
                        <w:rFonts w:ascii="Trebuchet MS"/>
                        <w:w w:val="55"/>
                        <w:sz w:val="20"/>
                      </w:rPr>
                      <w:t>.</w:t>
                    </w:r>
                  </w:p>
                </w:txbxContent>
              </v:textbox>
              <w10:wrap type="none"/>
            </v:shape>
            <v:shape style="position:absolute;left:1587;top:311;width:8731;height:783" type="#_x0000_t202" filled="true" fillcolor="#dddfe4" stroked="false">
              <v:textbox inset="0,0,0,0">
                <w:txbxContent>
                  <w:p>
                    <w:pPr>
                      <w:spacing w:before="158"/>
                      <w:ind w:left="226" w:right="0" w:firstLine="0"/>
                      <w:jc w:val="left"/>
                      <w:rPr>
                        <w:rFonts w:ascii="Raleway ExtraBold"/>
                        <w:b/>
                        <w:sz w:val="32"/>
                      </w:rPr>
                    </w:pPr>
                    <w:r>
                      <w:rPr>
                        <w:rFonts w:ascii="Raleway ExtraBold"/>
                        <w:b/>
                        <w:color w:val="37617A"/>
                        <w:sz w:val="32"/>
                      </w:rPr>
                      <w:t>Recommendations</w:t>
                    </w:r>
                  </w:p>
                </w:txbxContent>
              </v:textbox>
              <v:fill type="solid"/>
              <w10:wrap type="none"/>
            </v:shape>
            <w10:wrap type="topAndBottom"/>
          </v:group>
        </w:pict>
      </w:r>
    </w:p>
    <w:p>
      <w:pPr>
        <w:pStyle w:val="BodyText"/>
      </w:pPr>
    </w:p>
    <w:p>
      <w:pPr>
        <w:pStyle w:val="BodyText"/>
        <w:spacing w:before="11"/>
        <w:rPr>
          <w:sz w:val="24"/>
        </w:rPr>
      </w:pPr>
      <w:r>
        <w:rPr/>
        <w:pict>
          <v:line style="position:absolute;mso-position-horizontal-relative:page;mso-position-vertical-relative:paragraph;z-index:10472;mso-wrap-distance-left:0;mso-wrap-distance-right:0" from="79.370102pt,19.693501pt" to="515.905102pt,19.693501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spacing w:before="54"/>
        <w:ind w:left="100" w:right="0" w:firstLine="0"/>
        <w:jc w:val="left"/>
        <w:rPr>
          <w:b/>
          <w:sz w:val="24"/>
        </w:rPr>
      </w:pPr>
      <w:r>
        <w:rPr>
          <w:b/>
          <w:color w:val="37617A"/>
          <w:sz w:val="24"/>
        </w:rPr>
        <w:t>200</w:t>
      </w:r>
    </w:p>
    <w:p>
      <w:pPr>
        <w:pStyle w:val="ListParagraph"/>
        <w:numPr>
          <w:ilvl w:val="0"/>
          <w:numId w:val="118"/>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pacing w:val="2"/>
          <w:sz w:val="13"/>
        </w:rPr>
        <w:t>Submission </w:t>
      </w:r>
      <w:r>
        <w:rPr>
          <w:sz w:val="13"/>
        </w:rPr>
        <w:t>13 </w:t>
      </w:r>
      <w:r>
        <w:rPr>
          <w:spacing w:val="2"/>
          <w:sz w:val="13"/>
        </w:rPr>
        <w:t>(Juries</w:t>
      </w:r>
      <w:r>
        <w:rPr>
          <w:spacing w:val="-2"/>
          <w:sz w:val="13"/>
        </w:rPr>
        <w:t> </w:t>
      </w:r>
      <w:r>
        <w:rPr>
          <w:sz w:val="13"/>
        </w:rPr>
        <w:t>Victoria).</w:t>
      </w:r>
    </w:p>
    <w:p>
      <w:pPr>
        <w:pStyle w:val="ListParagraph"/>
        <w:numPr>
          <w:ilvl w:val="0"/>
          <w:numId w:val="118"/>
        </w:numPr>
        <w:tabs>
          <w:tab w:pos="893" w:val="left" w:leader="none"/>
          <w:tab w:pos="894" w:val="left" w:leader="none"/>
        </w:tabs>
        <w:spacing w:line="170" w:lineRule="exact" w:before="0" w:after="0"/>
        <w:ind w:left="893" w:right="0" w:hanging="793"/>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spacing w:after="0" w:line="170" w:lineRule="exact"/>
        <w:jc w:val="left"/>
        <w:rPr>
          <w:sz w:val="13"/>
        </w:rPr>
        <w:sectPr>
          <w:type w:val="continuous"/>
          <w:pgSz w:w="11910" w:h="16840"/>
          <w:pgMar w:top="620" w:bottom="280" w:left="620" w:right="380"/>
          <w:cols w:num="2" w:equalWidth="0">
            <w:col w:w="568" w:space="300"/>
            <w:col w:w="10042"/>
          </w:cols>
        </w:sectPr>
      </w:pPr>
    </w:p>
    <w:p>
      <w:pPr>
        <w:pStyle w:val="BodyText"/>
      </w:pPr>
    </w:p>
    <w:p>
      <w:pPr>
        <w:pStyle w:val="BodyText"/>
      </w:pPr>
    </w:p>
    <w:p>
      <w:pPr>
        <w:pStyle w:val="BodyText"/>
      </w:pPr>
    </w:p>
    <w:p>
      <w:pPr>
        <w:pStyle w:val="BodyText"/>
        <w:spacing w:before="6"/>
        <w:rPr>
          <w:sz w:val="14"/>
        </w:rPr>
      </w:pPr>
    </w:p>
    <w:p>
      <w:pPr>
        <w:spacing w:before="41"/>
        <w:ind w:left="967" w:right="0" w:firstLine="0"/>
        <w:jc w:val="left"/>
        <w:rPr>
          <w:rFonts w:ascii="Raleway ExtraBold"/>
          <w:b/>
          <w:sz w:val="28"/>
        </w:rPr>
      </w:pPr>
      <w:bookmarkStart w:name="Stand asides" w:id="349"/>
      <w:bookmarkEnd w:id="349"/>
      <w:r>
        <w:rPr/>
      </w:r>
      <w:bookmarkStart w:name="_bookmark147" w:id="350"/>
      <w:bookmarkEnd w:id="350"/>
      <w:r>
        <w:rPr/>
      </w:r>
      <w:r>
        <w:rPr>
          <w:rFonts w:ascii="Raleway ExtraBold"/>
          <w:b/>
          <w:color w:val="37617A"/>
          <w:sz w:val="28"/>
        </w:rPr>
        <w:t>Stand asides</w:t>
      </w:r>
    </w:p>
    <w:p>
      <w:pPr>
        <w:pStyle w:val="ListParagraph"/>
        <w:numPr>
          <w:ilvl w:val="1"/>
          <w:numId w:val="12"/>
        </w:numPr>
        <w:tabs>
          <w:tab w:pos="1761" w:val="left" w:leader="none"/>
          <w:tab w:pos="1762" w:val="left" w:leader="none"/>
        </w:tabs>
        <w:spacing w:line="206" w:lineRule="auto" w:before="146" w:after="0"/>
        <w:ind w:left="1761" w:right="1267" w:hanging="794"/>
        <w:jc w:val="left"/>
        <w:rPr>
          <w:sz w:val="11"/>
        </w:rPr>
      </w:pPr>
      <w:r>
        <w:rPr>
          <w:sz w:val="20"/>
        </w:rPr>
        <w:t>The </w:t>
      </w:r>
      <w:r>
        <w:rPr>
          <w:spacing w:val="-4"/>
          <w:sz w:val="20"/>
        </w:rPr>
        <w:t>Crown’s </w:t>
      </w:r>
      <w:r>
        <w:rPr>
          <w:spacing w:val="-3"/>
          <w:sz w:val="20"/>
        </w:rPr>
        <w:t>power </w:t>
      </w:r>
      <w:r>
        <w:rPr>
          <w:sz w:val="20"/>
        </w:rPr>
        <w:t>to stand aside potential jurors is </w:t>
      </w:r>
      <w:r>
        <w:rPr>
          <w:spacing w:val="-3"/>
          <w:sz w:val="20"/>
        </w:rPr>
        <w:t>exercised differently </w:t>
      </w:r>
      <w:r>
        <w:rPr>
          <w:sz w:val="20"/>
        </w:rPr>
        <w:t>to peremptory challenges.</w:t>
      </w:r>
      <w:r>
        <w:rPr>
          <w:position w:val="7"/>
          <w:sz w:val="11"/>
        </w:rPr>
        <w:t>61 </w:t>
      </w:r>
      <w:r>
        <w:rPr>
          <w:sz w:val="20"/>
        </w:rPr>
        <w:t>Stand asides ensure that the jury is impartial, and the trial is fair and conducted according to </w:t>
      </w:r>
      <w:r>
        <w:rPr>
          <w:spacing w:val="-3"/>
          <w:sz w:val="20"/>
        </w:rPr>
        <w:t>law.</w:t>
      </w:r>
      <w:r>
        <w:rPr>
          <w:spacing w:val="-3"/>
          <w:position w:val="7"/>
          <w:sz w:val="11"/>
        </w:rPr>
        <w:t>62 </w:t>
      </w:r>
      <w:r>
        <w:rPr>
          <w:spacing w:val="-2"/>
          <w:sz w:val="20"/>
        </w:rPr>
        <w:t>Unlike </w:t>
      </w:r>
      <w:r>
        <w:rPr>
          <w:sz w:val="20"/>
        </w:rPr>
        <w:t>the defendant’s </w:t>
      </w:r>
      <w:r>
        <w:rPr>
          <w:spacing w:val="-3"/>
          <w:sz w:val="20"/>
        </w:rPr>
        <w:t>exercise </w:t>
      </w:r>
      <w:r>
        <w:rPr>
          <w:sz w:val="20"/>
        </w:rPr>
        <w:t>of peremptory challenges, the </w:t>
      </w:r>
      <w:r>
        <w:rPr>
          <w:spacing w:val="-4"/>
          <w:sz w:val="20"/>
        </w:rPr>
        <w:t>Crown </w:t>
      </w:r>
      <w:r>
        <w:rPr>
          <w:sz w:val="20"/>
        </w:rPr>
        <w:t>cannot challenge a potential juror to </w:t>
      </w:r>
      <w:r>
        <w:rPr>
          <w:spacing w:val="-3"/>
          <w:sz w:val="20"/>
        </w:rPr>
        <w:t>produce </w:t>
      </w:r>
      <w:r>
        <w:rPr>
          <w:sz w:val="20"/>
        </w:rPr>
        <w:t>a </w:t>
      </w:r>
      <w:r>
        <w:rPr>
          <w:spacing w:val="-3"/>
          <w:sz w:val="20"/>
        </w:rPr>
        <w:t>‘favourable’ </w:t>
      </w:r>
      <w:r>
        <w:rPr>
          <w:sz w:val="20"/>
        </w:rPr>
        <w:t>jury.</w:t>
      </w:r>
      <w:r>
        <w:rPr>
          <w:position w:val="7"/>
          <w:sz w:val="11"/>
        </w:rPr>
        <w:t>63</w:t>
      </w:r>
      <w:r>
        <w:rPr>
          <w:spacing w:val="15"/>
          <w:position w:val="7"/>
          <w:sz w:val="11"/>
        </w:rPr>
        <w:t> </w:t>
      </w:r>
      <w:r>
        <w:rPr>
          <w:sz w:val="20"/>
        </w:rPr>
        <w:t>The</w:t>
      </w:r>
      <w:r>
        <w:rPr>
          <w:spacing w:val="-9"/>
          <w:sz w:val="20"/>
        </w:rPr>
        <w:t> </w:t>
      </w:r>
      <w:r>
        <w:rPr>
          <w:spacing w:val="-4"/>
          <w:sz w:val="20"/>
        </w:rPr>
        <w:t>Crown</w:t>
      </w:r>
      <w:r>
        <w:rPr>
          <w:spacing w:val="-10"/>
          <w:sz w:val="20"/>
        </w:rPr>
        <w:t> </w:t>
      </w:r>
      <w:r>
        <w:rPr>
          <w:sz w:val="20"/>
        </w:rPr>
        <w:t>can</w:t>
      </w:r>
      <w:r>
        <w:rPr>
          <w:spacing w:val="-9"/>
          <w:sz w:val="20"/>
        </w:rPr>
        <w:t> </w:t>
      </w:r>
      <w:r>
        <w:rPr>
          <w:spacing w:val="-3"/>
          <w:sz w:val="20"/>
        </w:rPr>
        <w:t>only</w:t>
      </w:r>
      <w:r>
        <w:rPr>
          <w:spacing w:val="-9"/>
          <w:sz w:val="20"/>
        </w:rPr>
        <w:t> </w:t>
      </w:r>
      <w:r>
        <w:rPr>
          <w:sz w:val="20"/>
        </w:rPr>
        <w:t>challenge</w:t>
      </w:r>
      <w:r>
        <w:rPr>
          <w:spacing w:val="-10"/>
          <w:sz w:val="20"/>
        </w:rPr>
        <w:t> </w:t>
      </w:r>
      <w:r>
        <w:rPr>
          <w:sz w:val="20"/>
        </w:rPr>
        <w:t>a</w:t>
      </w:r>
      <w:r>
        <w:rPr>
          <w:spacing w:val="-9"/>
          <w:sz w:val="20"/>
        </w:rPr>
        <w:t> </w:t>
      </w:r>
      <w:r>
        <w:rPr>
          <w:sz w:val="20"/>
        </w:rPr>
        <w:t>potential</w:t>
      </w:r>
      <w:r>
        <w:rPr>
          <w:spacing w:val="-10"/>
          <w:sz w:val="20"/>
        </w:rPr>
        <w:t> </w:t>
      </w:r>
      <w:r>
        <w:rPr>
          <w:sz w:val="20"/>
        </w:rPr>
        <w:t>juror</w:t>
      </w:r>
      <w:r>
        <w:rPr>
          <w:spacing w:val="-9"/>
          <w:sz w:val="20"/>
        </w:rPr>
        <w:t> </w:t>
      </w:r>
      <w:r>
        <w:rPr>
          <w:sz w:val="20"/>
        </w:rPr>
        <w:t>if</w:t>
      </w:r>
      <w:r>
        <w:rPr>
          <w:spacing w:val="-9"/>
          <w:sz w:val="20"/>
        </w:rPr>
        <w:t> </w:t>
      </w:r>
      <w:r>
        <w:rPr>
          <w:sz w:val="20"/>
        </w:rPr>
        <w:t>their</w:t>
      </w:r>
      <w:r>
        <w:rPr>
          <w:spacing w:val="-10"/>
          <w:sz w:val="20"/>
        </w:rPr>
        <w:t> </w:t>
      </w:r>
      <w:r>
        <w:rPr>
          <w:sz w:val="20"/>
        </w:rPr>
        <w:t>inclusion</w:t>
      </w:r>
      <w:r>
        <w:rPr>
          <w:spacing w:val="-9"/>
          <w:sz w:val="20"/>
        </w:rPr>
        <w:t> </w:t>
      </w:r>
      <w:r>
        <w:rPr>
          <w:sz w:val="20"/>
        </w:rPr>
        <w:t>on</w:t>
      </w:r>
      <w:r>
        <w:rPr>
          <w:spacing w:val="-9"/>
          <w:sz w:val="20"/>
        </w:rPr>
        <w:t> </w:t>
      </w:r>
      <w:r>
        <w:rPr>
          <w:sz w:val="20"/>
        </w:rPr>
        <w:t>the</w:t>
      </w:r>
      <w:r>
        <w:rPr>
          <w:spacing w:val="-10"/>
          <w:sz w:val="20"/>
        </w:rPr>
        <w:t> </w:t>
      </w:r>
      <w:r>
        <w:rPr>
          <w:sz w:val="20"/>
        </w:rPr>
        <w:t>jury</w:t>
      </w:r>
      <w:r>
        <w:rPr>
          <w:spacing w:val="-9"/>
          <w:sz w:val="20"/>
        </w:rPr>
        <w:t> </w:t>
      </w:r>
      <w:r>
        <w:rPr>
          <w:spacing w:val="-3"/>
          <w:sz w:val="20"/>
        </w:rPr>
        <w:t>would </w:t>
      </w:r>
      <w:r>
        <w:rPr>
          <w:sz w:val="20"/>
        </w:rPr>
        <w:t>undermine the jury’s</w:t>
      </w:r>
      <w:r>
        <w:rPr>
          <w:spacing w:val="-14"/>
          <w:sz w:val="20"/>
        </w:rPr>
        <w:t> </w:t>
      </w:r>
      <w:r>
        <w:rPr>
          <w:sz w:val="20"/>
        </w:rPr>
        <w:t>integrity.</w:t>
      </w:r>
      <w:r>
        <w:rPr>
          <w:position w:val="7"/>
          <w:sz w:val="11"/>
        </w:rPr>
        <w:t>64</w:t>
      </w:r>
    </w:p>
    <w:p>
      <w:pPr>
        <w:pStyle w:val="ListParagraph"/>
        <w:numPr>
          <w:ilvl w:val="1"/>
          <w:numId w:val="12"/>
        </w:numPr>
        <w:tabs>
          <w:tab w:pos="1761" w:val="left" w:leader="none"/>
          <w:tab w:pos="1762" w:val="left" w:leader="none"/>
        </w:tabs>
        <w:spacing w:line="206" w:lineRule="auto" w:before="127" w:after="0"/>
        <w:ind w:left="1761" w:right="1653" w:hanging="794"/>
        <w:jc w:val="left"/>
        <w:rPr>
          <w:sz w:val="20"/>
        </w:rPr>
      </w:pPr>
      <w:r>
        <w:rPr>
          <w:sz w:val="20"/>
        </w:rPr>
        <w:t>In</w:t>
      </w:r>
      <w:r>
        <w:rPr>
          <w:spacing w:val="-11"/>
          <w:sz w:val="20"/>
        </w:rPr>
        <w:t> </w:t>
      </w:r>
      <w:r>
        <w:rPr>
          <w:sz w:val="20"/>
        </w:rPr>
        <w:t>the</w:t>
      </w:r>
      <w:r>
        <w:rPr>
          <w:spacing w:val="-11"/>
          <w:sz w:val="20"/>
        </w:rPr>
        <w:t> </w:t>
      </w:r>
      <w:r>
        <w:rPr>
          <w:sz w:val="20"/>
        </w:rPr>
        <w:t>jury</w:t>
      </w:r>
      <w:r>
        <w:rPr>
          <w:spacing w:val="-11"/>
          <w:sz w:val="20"/>
        </w:rPr>
        <w:t> </w:t>
      </w:r>
      <w:r>
        <w:rPr>
          <w:sz w:val="20"/>
        </w:rPr>
        <w:t>empanelment</w:t>
      </w:r>
      <w:r>
        <w:rPr>
          <w:spacing w:val="-11"/>
          <w:sz w:val="20"/>
        </w:rPr>
        <w:t> </w:t>
      </w:r>
      <w:r>
        <w:rPr>
          <w:sz w:val="20"/>
        </w:rPr>
        <w:t>report</w:t>
      </w:r>
      <w:r>
        <w:rPr>
          <w:spacing w:val="-11"/>
          <w:sz w:val="20"/>
        </w:rPr>
        <w:t> </w:t>
      </w:r>
      <w:r>
        <w:rPr>
          <w:spacing w:val="-3"/>
          <w:sz w:val="20"/>
        </w:rPr>
        <w:t>we</w:t>
      </w:r>
      <w:r>
        <w:rPr>
          <w:spacing w:val="-11"/>
          <w:sz w:val="20"/>
        </w:rPr>
        <w:t> </w:t>
      </w:r>
      <w:r>
        <w:rPr>
          <w:sz w:val="20"/>
        </w:rPr>
        <w:t>recommended</w:t>
      </w:r>
      <w:r>
        <w:rPr>
          <w:spacing w:val="-11"/>
          <w:sz w:val="20"/>
        </w:rPr>
        <w:t> </w:t>
      </w:r>
      <w:r>
        <w:rPr>
          <w:sz w:val="20"/>
        </w:rPr>
        <w:t>that</w:t>
      </w:r>
      <w:r>
        <w:rPr>
          <w:spacing w:val="-11"/>
          <w:sz w:val="20"/>
        </w:rPr>
        <w:t> </w:t>
      </w:r>
      <w:r>
        <w:rPr>
          <w:sz w:val="20"/>
        </w:rPr>
        <w:t>the</w:t>
      </w:r>
      <w:r>
        <w:rPr>
          <w:spacing w:val="-11"/>
          <w:sz w:val="20"/>
        </w:rPr>
        <w:t> </w:t>
      </w:r>
      <w:r>
        <w:rPr>
          <w:spacing w:val="-4"/>
          <w:sz w:val="20"/>
        </w:rPr>
        <w:t>Crown</w:t>
      </w:r>
      <w:r>
        <w:rPr>
          <w:spacing w:val="-11"/>
          <w:sz w:val="20"/>
        </w:rPr>
        <w:t> </w:t>
      </w:r>
      <w:r>
        <w:rPr>
          <w:sz w:val="20"/>
        </w:rPr>
        <w:t>should</w:t>
      </w:r>
      <w:r>
        <w:rPr>
          <w:spacing w:val="-10"/>
          <w:sz w:val="20"/>
        </w:rPr>
        <w:t> </w:t>
      </w:r>
      <w:r>
        <w:rPr>
          <w:sz w:val="20"/>
        </w:rPr>
        <w:t>continue to</w:t>
      </w:r>
      <w:r>
        <w:rPr>
          <w:spacing w:val="-9"/>
          <w:sz w:val="20"/>
        </w:rPr>
        <w:t> </w:t>
      </w:r>
      <w:r>
        <w:rPr>
          <w:sz w:val="20"/>
        </w:rPr>
        <w:t>be</w:t>
      </w:r>
      <w:r>
        <w:rPr>
          <w:spacing w:val="-9"/>
          <w:sz w:val="20"/>
        </w:rPr>
        <w:t> </w:t>
      </w:r>
      <w:r>
        <w:rPr>
          <w:sz w:val="20"/>
        </w:rPr>
        <w:t>able</w:t>
      </w:r>
      <w:r>
        <w:rPr>
          <w:spacing w:val="-8"/>
          <w:sz w:val="20"/>
        </w:rPr>
        <w:t> </w:t>
      </w:r>
      <w:r>
        <w:rPr>
          <w:sz w:val="20"/>
        </w:rPr>
        <w:t>to</w:t>
      </w:r>
      <w:r>
        <w:rPr>
          <w:spacing w:val="-9"/>
          <w:sz w:val="20"/>
        </w:rPr>
        <w:t> </w:t>
      </w:r>
      <w:r>
        <w:rPr>
          <w:sz w:val="20"/>
        </w:rPr>
        <w:t>stand</w:t>
      </w:r>
      <w:r>
        <w:rPr>
          <w:spacing w:val="-8"/>
          <w:sz w:val="20"/>
        </w:rPr>
        <w:t> </w:t>
      </w:r>
      <w:r>
        <w:rPr>
          <w:sz w:val="20"/>
        </w:rPr>
        <w:t>aside</w:t>
      </w:r>
      <w:r>
        <w:rPr>
          <w:spacing w:val="-9"/>
          <w:sz w:val="20"/>
        </w:rPr>
        <w:t> </w:t>
      </w:r>
      <w:r>
        <w:rPr>
          <w:sz w:val="20"/>
        </w:rPr>
        <w:t>potential</w:t>
      </w:r>
      <w:r>
        <w:rPr>
          <w:spacing w:val="-8"/>
          <w:sz w:val="20"/>
        </w:rPr>
        <w:t> </w:t>
      </w:r>
      <w:r>
        <w:rPr>
          <w:sz w:val="20"/>
        </w:rPr>
        <w:t>jurors</w:t>
      </w:r>
      <w:r>
        <w:rPr>
          <w:spacing w:val="-9"/>
          <w:sz w:val="20"/>
        </w:rPr>
        <w:t> </w:t>
      </w:r>
      <w:r>
        <w:rPr>
          <w:sz w:val="20"/>
        </w:rPr>
        <w:t>in</w:t>
      </w:r>
      <w:r>
        <w:rPr>
          <w:spacing w:val="-8"/>
          <w:sz w:val="20"/>
        </w:rPr>
        <w:t> </w:t>
      </w:r>
      <w:r>
        <w:rPr>
          <w:sz w:val="20"/>
        </w:rPr>
        <w:t>criminal</w:t>
      </w:r>
      <w:r>
        <w:rPr>
          <w:spacing w:val="-9"/>
          <w:sz w:val="20"/>
        </w:rPr>
        <w:t> </w:t>
      </w:r>
      <w:r>
        <w:rPr>
          <w:sz w:val="20"/>
        </w:rPr>
        <w:t>trials</w:t>
      </w:r>
      <w:r>
        <w:rPr>
          <w:spacing w:val="-8"/>
          <w:sz w:val="20"/>
        </w:rPr>
        <w:t> </w:t>
      </w:r>
      <w:r>
        <w:rPr>
          <w:sz w:val="20"/>
        </w:rPr>
        <w:t>because</w:t>
      </w:r>
      <w:r>
        <w:rPr>
          <w:spacing w:val="-9"/>
          <w:sz w:val="20"/>
        </w:rPr>
        <w:t> </w:t>
      </w:r>
      <w:r>
        <w:rPr>
          <w:sz w:val="20"/>
        </w:rPr>
        <w:t>stand</w:t>
      </w:r>
      <w:r>
        <w:rPr>
          <w:spacing w:val="-8"/>
          <w:sz w:val="20"/>
        </w:rPr>
        <w:t> </w:t>
      </w:r>
      <w:r>
        <w:rPr>
          <w:sz w:val="20"/>
        </w:rPr>
        <w:t>asides</w:t>
      </w:r>
    </w:p>
    <w:p>
      <w:pPr>
        <w:pStyle w:val="BodyText"/>
        <w:spacing w:line="206" w:lineRule="auto" w:before="3"/>
        <w:ind w:left="1761" w:right="1277"/>
        <w:rPr>
          <w:sz w:val="11"/>
        </w:rPr>
      </w:pPr>
      <w:r>
        <w:rPr>
          <w:spacing w:val="-3"/>
        </w:rPr>
        <w:t>are ‘an </w:t>
      </w:r>
      <w:r>
        <w:rPr/>
        <w:t>important safeguard to ensuring a competent and impartial jury’.</w:t>
      </w:r>
      <w:r>
        <w:rPr>
          <w:position w:val="7"/>
          <w:sz w:val="11"/>
        </w:rPr>
        <w:t>65 </w:t>
      </w:r>
      <w:r>
        <w:rPr/>
        <w:t>It was recommended</w:t>
      </w:r>
      <w:r>
        <w:rPr>
          <w:spacing w:val="-10"/>
        </w:rPr>
        <w:t> </w:t>
      </w:r>
      <w:r>
        <w:rPr/>
        <w:t>that</w:t>
      </w:r>
      <w:r>
        <w:rPr>
          <w:spacing w:val="-9"/>
        </w:rPr>
        <w:t> </w:t>
      </w:r>
      <w:r>
        <w:rPr/>
        <w:t>the</w:t>
      </w:r>
      <w:r>
        <w:rPr>
          <w:spacing w:val="-9"/>
        </w:rPr>
        <w:t> </w:t>
      </w:r>
      <w:r>
        <w:rPr/>
        <w:t>number</w:t>
      </w:r>
      <w:r>
        <w:rPr>
          <w:spacing w:val="-10"/>
        </w:rPr>
        <w:t> </w:t>
      </w:r>
      <w:r>
        <w:rPr/>
        <w:t>of</w:t>
      </w:r>
      <w:r>
        <w:rPr>
          <w:spacing w:val="-9"/>
        </w:rPr>
        <w:t> </w:t>
      </w:r>
      <w:r>
        <w:rPr/>
        <w:t>stand</w:t>
      </w:r>
      <w:r>
        <w:rPr>
          <w:spacing w:val="-9"/>
        </w:rPr>
        <w:t> </w:t>
      </w:r>
      <w:r>
        <w:rPr/>
        <w:t>asides</w:t>
      </w:r>
      <w:r>
        <w:rPr>
          <w:spacing w:val="-9"/>
        </w:rPr>
        <w:t> </w:t>
      </w:r>
      <w:r>
        <w:rPr>
          <w:spacing w:val="-3"/>
        </w:rPr>
        <w:t>available</w:t>
      </w:r>
      <w:r>
        <w:rPr>
          <w:spacing w:val="-10"/>
        </w:rPr>
        <w:t> </w:t>
      </w:r>
      <w:r>
        <w:rPr/>
        <w:t>be</w:t>
      </w:r>
      <w:r>
        <w:rPr>
          <w:spacing w:val="-9"/>
        </w:rPr>
        <w:t> </w:t>
      </w:r>
      <w:r>
        <w:rPr/>
        <w:t>equal</w:t>
      </w:r>
      <w:r>
        <w:rPr>
          <w:spacing w:val="-9"/>
        </w:rPr>
        <w:t> </w:t>
      </w:r>
      <w:r>
        <w:rPr/>
        <w:t>to</w:t>
      </w:r>
      <w:r>
        <w:rPr>
          <w:spacing w:val="-9"/>
        </w:rPr>
        <w:t> </w:t>
      </w:r>
      <w:r>
        <w:rPr/>
        <w:t>the</w:t>
      </w:r>
      <w:r>
        <w:rPr>
          <w:spacing w:val="-10"/>
        </w:rPr>
        <w:t> </w:t>
      </w:r>
      <w:r>
        <w:rPr/>
        <w:t>total</w:t>
      </w:r>
      <w:r>
        <w:rPr>
          <w:spacing w:val="-9"/>
        </w:rPr>
        <w:t> </w:t>
      </w:r>
      <w:r>
        <w:rPr/>
        <w:t>number of peremptory challenges.</w:t>
      </w:r>
      <w:r>
        <w:rPr>
          <w:position w:val="7"/>
          <w:sz w:val="11"/>
        </w:rPr>
        <w:t>66 </w:t>
      </w:r>
      <w:r>
        <w:rPr/>
        <w:t>The number of stand asides in criminal trials has since been reduced to </w:t>
      </w:r>
      <w:r>
        <w:rPr>
          <w:spacing w:val="-2"/>
        </w:rPr>
        <w:t>three, </w:t>
      </w:r>
      <w:r>
        <w:rPr/>
        <w:t>equal to the peremptory challenges </w:t>
      </w:r>
      <w:r>
        <w:rPr>
          <w:spacing w:val="-3"/>
        </w:rPr>
        <w:t>available </w:t>
      </w:r>
      <w:r>
        <w:rPr/>
        <w:t>to a single accused.</w:t>
      </w:r>
      <w:r>
        <w:rPr>
          <w:position w:val="7"/>
          <w:sz w:val="11"/>
        </w:rPr>
        <w:t>67</w:t>
      </w:r>
    </w:p>
    <w:p>
      <w:pPr>
        <w:spacing w:before="164"/>
        <w:ind w:left="967" w:right="0" w:firstLine="0"/>
        <w:jc w:val="left"/>
        <w:rPr>
          <w:b/>
          <w:sz w:val="24"/>
        </w:rPr>
      </w:pPr>
      <w:r>
        <w:rPr>
          <w:b/>
          <w:sz w:val="24"/>
        </w:rPr>
        <w:t>Crown policy guides the exercise of stand asides</w:t>
      </w:r>
    </w:p>
    <w:p>
      <w:pPr>
        <w:pStyle w:val="ListParagraph"/>
        <w:numPr>
          <w:ilvl w:val="1"/>
          <w:numId w:val="12"/>
        </w:numPr>
        <w:tabs>
          <w:tab w:pos="1761" w:val="left" w:leader="none"/>
          <w:tab w:pos="1762" w:val="left" w:leader="none"/>
        </w:tabs>
        <w:spacing w:line="206" w:lineRule="auto" w:before="127" w:after="0"/>
        <w:ind w:left="1761" w:right="1535" w:hanging="794"/>
        <w:jc w:val="left"/>
        <w:rPr>
          <w:sz w:val="20"/>
        </w:rPr>
      </w:pPr>
      <w:r>
        <w:rPr>
          <w:sz w:val="20"/>
        </w:rPr>
        <w:t>The Victorian Director of Public Prosecutions </w:t>
      </w:r>
      <w:r>
        <w:rPr>
          <w:spacing w:val="-3"/>
          <w:sz w:val="20"/>
        </w:rPr>
        <w:t>(DPP) </w:t>
      </w:r>
      <w:r>
        <w:rPr>
          <w:sz w:val="20"/>
        </w:rPr>
        <w:t>has a policy on the </w:t>
      </w:r>
      <w:r>
        <w:rPr>
          <w:spacing w:val="-3"/>
          <w:sz w:val="20"/>
        </w:rPr>
        <w:t>exercise </w:t>
      </w:r>
      <w:r>
        <w:rPr>
          <w:sz w:val="20"/>
        </w:rPr>
        <w:t>of the stand aside </w:t>
      </w:r>
      <w:r>
        <w:rPr>
          <w:spacing w:val="-5"/>
          <w:sz w:val="20"/>
        </w:rPr>
        <w:t>power. </w:t>
      </w:r>
      <w:r>
        <w:rPr>
          <w:sz w:val="20"/>
        </w:rPr>
        <w:t>The policy states that the </w:t>
      </w:r>
      <w:r>
        <w:rPr>
          <w:spacing w:val="-4"/>
          <w:sz w:val="20"/>
        </w:rPr>
        <w:t>Crown </w:t>
      </w:r>
      <w:r>
        <w:rPr>
          <w:sz w:val="20"/>
        </w:rPr>
        <w:t>‘must </w:t>
      </w:r>
      <w:r>
        <w:rPr>
          <w:spacing w:val="-3"/>
          <w:sz w:val="20"/>
        </w:rPr>
        <w:t>never </w:t>
      </w:r>
      <w:r>
        <w:rPr>
          <w:sz w:val="20"/>
        </w:rPr>
        <w:t>use its </w:t>
      </w:r>
      <w:r>
        <w:rPr>
          <w:spacing w:val="-3"/>
          <w:sz w:val="20"/>
        </w:rPr>
        <w:t>power </w:t>
      </w:r>
      <w:r>
        <w:rPr>
          <w:sz w:val="20"/>
        </w:rPr>
        <w:t>to</w:t>
      </w:r>
      <w:r>
        <w:rPr>
          <w:spacing w:val="-12"/>
          <w:sz w:val="20"/>
        </w:rPr>
        <w:t> </w:t>
      </w:r>
      <w:r>
        <w:rPr>
          <w:sz w:val="20"/>
        </w:rPr>
        <w:t>stand</w:t>
      </w:r>
      <w:r>
        <w:rPr>
          <w:spacing w:val="-12"/>
          <w:sz w:val="20"/>
        </w:rPr>
        <w:t> </w:t>
      </w:r>
      <w:r>
        <w:rPr>
          <w:sz w:val="20"/>
        </w:rPr>
        <w:t>aside</w:t>
      </w:r>
      <w:r>
        <w:rPr>
          <w:spacing w:val="-12"/>
          <w:sz w:val="20"/>
        </w:rPr>
        <w:t> </w:t>
      </w:r>
      <w:r>
        <w:rPr>
          <w:sz w:val="20"/>
        </w:rPr>
        <w:t>a</w:t>
      </w:r>
      <w:r>
        <w:rPr>
          <w:spacing w:val="-12"/>
          <w:sz w:val="20"/>
        </w:rPr>
        <w:t> </w:t>
      </w:r>
      <w:r>
        <w:rPr>
          <w:sz w:val="20"/>
        </w:rPr>
        <w:t>potential</w:t>
      </w:r>
      <w:r>
        <w:rPr>
          <w:spacing w:val="-12"/>
          <w:sz w:val="20"/>
        </w:rPr>
        <w:t> </w:t>
      </w:r>
      <w:r>
        <w:rPr>
          <w:sz w:val="20"/>
        </w:rPr>
        <w:t>juror</w:t>
      </w:r>
      <w:r>
        <w:rPr>
          <w:spacing w:val="-12"/>
          <w:sz w:val="20"/>
        </w:rPr>
        <w:t> </w:t>
      </w:r>
      <w:r>
        <w:rPr>
          <w:sz w:val="20"/>
        </w:rPr>
        <w:t>based</w:t>
      </w:r>
      <w:r>
        <w:rPr>
          <w:spacing w:val="-12"/>
          <w:sz w:val="20"/>
        </w:rPr>
        <w:t> </w:t>
      </w:r>
      <w:r>
        <w:rPr>
          <w:sz w:val="20"/>
        </w:rPr>
        <w:t>on</w:t>
      </w:r>
      <w:r>
        <w:rPr>
          <w:spacing w:val="-12"/>
          <w:sz w:val="20"/>
        </w:rPr>
        <w:t> </w:t>
      </w:r>
      <w:r>
        <w:rPr>
          <w:sz w:val="20"/>
        </w:rPr>
        <w:t>factors</w:t>
      </w:r>
      <w:r>
        <w:rPr>
          <w:spacing w:val="-12"/>
          <w:sz w:val="20"/>
        </w:rPr>
        <w:t> </w:t>
      </w:r>
      <w:r>
        <w:rPr>
          <w:sz w:val="20"/>
        </w:rPr>
        <w:t>such</w:t>
      </w:r>
      <w:r>
        <w:rPr>
          <w:spacing w:val="-12"/>
          <w:sz w:val="20"/>
        </w:rPr>
        <w:t> </w:t>
      </w:r>
      <w:r>
        <w:rPr>
          <w:sz w:val="20"/>
        </w:rPr>
        <w:t>as</w:t>
      </w:r>
      <w:r>
        <w:rPr>
          <w:spacing w:val="-11"/>
          <w:sz w:val="20"/>
        </w:rPr>
        <w:t> </w:t>
      </w:r>
      <w:r>
        <w:rPr>
          <w:sz w:val="20"/>
        </w:rPr>
        <w:t>age,</w:t>
      </w:r>
      <w:r>
        <w:rPr>
          <w:spacing w:val="-12"/>
          <w:sz w:val="20"/>
        </w:rPr>
        <w:t> </w:t>
      </w:r>
      <w:r>
        <w:rPr>
          <w:sz w:val="20"/>
        </w:rPr>
        <w:t>sex,</w:t>
      </w:r>
      <w:r>
        <w:rPr>
          <w:spacing w:val="-12"/>
          <w:sz w:val="20"/>
        </w:rPr>
        <w:t> </w:t>
      </w:r>
      <w:r>
        <w:rPr>
          <w:sz w:val="20"/>
        </w:rPr>
        <w:t>occupation,</w:t>
      </w:r>
      <w:r>
        <w:rPr>
          <w:spacing w:val="-12"/>
          <w:sz w:val="20"/>
        </w:rPr>
        <w:t> </w:t>
      </w:r>
      <w:r>
        <w:rPr>
          <w:sz w:val="20"/>
        </w:rPr>
        <w:t>ethnic origin,</w:t>
      </w:r>
      <w:r>
        <w:rPr>
          <w:spacing w:val="-11"/>
          <w:sz w:val="20"/>
        </w:rPr>
        <w:t> </w:t>
      </w:r>
      <w:r>
        <w:rPr>
          <w:sz w:val="20"/>
        </w:rPr>
        <w:t>religion,</w:t>
      </w:r>
      <w:r>
        <w:rPr>
          <w:spacing w:val="-11"/>
          <w:sz w:val="20"/>
        </w:rPr>
        <w:t> </w:t>
      </w:r>
      <w:r>
        <w:rPr>
          <w:sz w:val="20"/>
        </w:rPr>
        <w:t>marital</w:t>
      </w:r>
      <w:r>
        <w:rPr>
          <w:spacing w:val="-11"/>
          <w:sz w:val="20"/>
        </w:rPr>
        <w:t> </w:t>
      </w:r>
      <w:r>
        <w:rPr>
          <w:sz w:val="20"/>
        </w:rPr>
        <w:t>status</w:t>
      </w:r>
      <w:r>
        <w:rPr>
          <w:spacing w:val="-11"/>
          <w:sz w:val="20"/>
        </w:rPr>
        <w:t> </w:t>
      </w:r>
      <w:r>
        <w:rPr>
          <w:sz w:val="20"/>
        </w:rPr>
        <w:t>or</w:t>
      </w:r>
      <w:r>
        <w:rPr>
          <w:spacing w:val="-11"/>
          <w:sz w:val="20"/>
        </w:rPr>
        <w:t> </w:t>
      </w:r>
      <w:r>
        <w:rPr>
          <w:sz w:val="20"/>
        </w:rPr>
        <w:t>economic,</w:t>
      </w:r>
      <w:r>
        <w:rPr>
          <w:spacing w:val="-11"/>
          <w:sz w:val="20"/>
        </w:rPr>
        <w:t> </w:t>
      </w:r>
      <w:r>
        <w:rPr>
          <w:spacing w:val="-3"/>
          <w:sz w:val="20"/>
        </w:rPr>
        <w:t>cultural</w:t>
      </w:r>
      <w:r>
        <w:rPr>
          <w:spacing w:val="-10"/>
          <w:sz w:val="20"/>
        </w:rPr>
        <w:t> </w:t>
      </w:r>
      <w:r>
        <w:rPr>
          <w:sz w:val="20"/>
        </w:rPr>
        <w:t>or</w:t>
      </w:r>
      <w:r>
        <w:rPr>
          <w:spacing w:val="-11"/>
          <w:sz w:val="20"/>
        </w:rPr>
        <w:t> </w:t>
      </w:r>
      <w:r>
        <w:rPr>
          <w:sz w:val="20"/>
        </w:rPr>
        <w:t>social</w:t>
      </w:r>
      <w:r>
        <w:rPr>
          <w:spacing w:val="-11"/>
          <w:sz w:val="20"/>
        </w:rPr>
        <w:t> </w:t>
      </w:r>
      <w:r>
        <w:rPr>
          <w:sz w:val="20"/>
        </w:rPr>
        <w:t>background’.</w:t>
      </w:r>
      <w:r>
        <w:rPr>
          <w:position w:val="7"/>
          <w:sz w:val="11"/>
        </w:rPr>
        <w:t>68</w:t>
      </w:r>
      <w:r>
        <w:rPr>
          <w:spacing w:val="14"/>
          <w:position w:val="7"/>
          <w:sz w:val="11"/>
        </w:rPr>
        <w:t> </w:t>
      </w:r>
      <w:r>
        <w:rPr>
          <w:sz w:val="20"/>
        </w:rPr>
        <w:t>This</w:t>
      </w:r>
      <w:r>
        <w:rPr>
          <w:spacing w:val="-11"/>
          <w:sz w:val="20"/>
        </w:rPr>
        <w:t> </w:t>
      </w:r>
      <w:r>
        <w:rPr>
          <w:sz w:val="20"/>
        </w:rPr>
        <w:t>list</w:t>
      </w:r>
    </w:p>
    <w:p>
      <w:pPr>
        <w:pStyle w:val="BodyText"/>
        <w:spacing w:line="206" w:lineRule="auto" w:before="5"/>
        <w:ind w:left="1761" w:right="1311"/>
      </w:pPr>
      <w:r>
        <w:rPr/>
        <w:t>does not prohibit the use of stand asides based on disability. </w:t>
      </w:r>
      <w:r>
        <w:rPr>
          <w:spacing w:val="-3"/>
        </w:rPr>
        <w:t>According </w:t>
      </w:r>
      <w:r>
        <w:rPr/>
        <w:t>to the </w:t>
      </w:r>
      <w:r>
        <w:rPr>
          <w:spacing w:val="-3"/>
        </w:rPr>
        <w:t>policy, </w:t>
      </w:r>
      <w:r>
        <w:rPr/>
        <w:t>stand asides </w:t>
      </w:r>
      <w:r>
        <w:rPr>
          <w:spacing w:val="-3"/>
        </w:rPr>
        <w:t>are </w:t>
      </w:r>
      <w:r>
        <w:rPr/>
        <w:t>to be used </w:t>
      </w:r>
      <w:r>
        <w:rPr>
          <w:spacing w:val="-3"/>
        </w:rPr>
        <w:t>sparingly. </w:t>
      </w:r>
      <w:r>
        <w:rPr/>
        <w:t>The </w:t>
      </w:r>
      <w:r>
        <w:rPr>
          <w:spacing w:val="-4"/>
        </w:rPr>
        <w:t>Crown’s </w:t>
      </w:r>
      <w:r>
        <w:rPr/>
        <w:t>paramount concern is that the jury is impartial and that it complies with the Act.</w:t>
      </w:r>
      <w:r>
        <w:rPr>
          <w:position w:val="7"/>
          <w:sz w:val="11"/>
        </w:rPr>
        <w:t>69 </w:t>
      </w:r>
      <w:r>
        <w:rPr/>
        <w:t>Examples included in the guidelines </w:t>
      </w:r>
      <w:r>
        <w:rPr>
          <w:spacing w:val="-3"/>
        </w:rPr>
        <w:t>are </w:t>
      </w:r>
      <w:r>
        <w:rPr/>
        <w:t>situations where the potential juror </w:t>
      </w:r>
      <w:r>
        <w:rPr>
          <w:spacing w:val="-3"/>
        </w:rPr>
        <w:t>knows </w:t>
      </w:r>
      <w:r>
        <w:rPr/>
        <w:t>a participant of the trial, or where it</w:t>
      </w:r>
    </w:p>
    <w:p>
      <w:pPr>
        <w:pStyle w:val="BodyText"/>
        <w:spacing w:line="206" w:lineRule="auto" w:before="5"/>
        <w:ind w:left="1761" w:right="1335"/>
        <w:rPr>
          <w:sz w:val="11"/>
        </w:rPr>
      </w:pPr>
      <w:r>
        <w:rPr/>
        <w:t>is</w:t>
      </w:r>
      <w:r>
        <w:rPr>
          <w:spacing w:val="-12"/>
        </w:rPr>
        <w:t> </w:t>
      </w:r>
      <w:r>
        <w:rPr>
          <w:spacing w:val="-3"/>
        </w:rPr>
        <w:t>reasonably</w:t>
      </w:r>
      <w:r>
        <w:rPr>
          <w:spacing w:val="-12"/>
        </w:rPr>
        <w:t> </w:t>
      </w:r>
      <w:r>
        <w:rPr/>
        <w:t>apprehended</w:t>
      </w:r>
      <w:r>
        <w:rPr>
          <w:spacing w:val="-12"/>
        </w:rPr>
        <w:t> </w:t>
      </w:r>
      <w:r>
        <w:rPr/>
        <w:t>that</w:t>
      </w:r>
      <w:r>
        <w:rPr>
          <w:spacing w:val="-12"/>
        </w:rPr>
        <w:t> </w:t>
      </w:r>
      <w:r>
        <w:rPr/>
        <w:t>the</w:t>
      </w:r>
      <w:r>
        <w:rPr>
          <w:spacing w:val="-12"/>
        </w:rPr>
        <w:t> </w:t>
      </w:r>
      <w:r>
        <w:rPr/>
        <w:t>potential</w:t>
      </w:r>
      <w:r>
        <w:rPr>
          <w:spacing w:val="-12"/>
        </w:rPr>
        <w:t> </w:t>
      </w:r>
      <w:r>
        <w:rPr/>
        <w:t>juror</w:t>
      </w:r>
      <w:r>
        <w:rPr>
          <w:spacing w:val="-12"/>
        </w:rPr>
        <w:t> </w:t>
      </w:r>
      <w:r>
        <w:rPr/>
        <w:t>will</w:t>
      </w:r>
      <w:r>
        <w:rPr>
          <w:spacing w:val="-11"/>
        </w:rPr>
        <w:t> </w:t>
      </w:r>
      <w:r>
        <w:rPr/>
        <w:t>be</w:t>
      </w:r>
      <w:r>
        <w:rPr>
          <w:spacing w:val="-12"/>
        </w:rPr>
        <w:t> </w:t>
      </w:r>
      <w:r>
        <w:rPr/>
        <w:t>biased,</w:t>
      </w:r>
      <w:r>
        <w:rPr>
          <w:spacing w:val="-12"/>
        </w:rPr>
        <w:t> </w:t>
      </w:r>
      <w:r>
        <w:rPr/>
        <w:t>or</w:t>
      </w:r>
      <w:r>
        <w:rPr>
          <w:spacing w:val="-12"/>
        </w:rPr>
        <w:t> </w:t>
      </w:r>
      <w:r>
        <w:rPr/>
        <w:t>demonstrates behaviour such as hostility </w:t>
      </w:r>
      <w:r>
        <w:rPr>
          <w:spacing w:val="-4"/>
        </w:rPr>
        <w:t>towards </w:t>
      </w:r>
      <w:r>
        <w:rPr/>
        <w:t>court</w:t>
      </w:r>
      <w:r>
        <w:rPr>
          <w:spacing w:val="-22"/>
        </w:rPr>
        <w:t> </w:t>
      </w:r>
      <w:r>
        <w:rPr>
          <w:spacing w:val="-3"/>
        </w:rPr>
        <w:t>procedures.</w:t>
      </w:r>
      <w:r>
        <w:rPr>
          <w:spacing w:val="-3"/>
          <w:position w:val="7"/>
          <w:sz w:val="11"/>
        </w:rPr>
        <w:t>70</w:t>
      </w:r>
    </w:p>
    <w:p>
      <w:pPr>
        <w:pStyle w:val="ListParagraph"/>
        <w:numPr>
          <w:ilvl w:val="1"/>
          <w:numId w:val="12"/>
        </w:numPr>
        <w:tabs>
          <w:tab w:pos="1761" w:val="left" w:leader="none"/>
          <w:tab w:pos="1762" w:val="left" w:leader="none"/>
        </w:tabs>
        <w:spacing w:line="206" w:lineRule="auto" w:before="123" w:after="0"/>
        <w:ind w:left="1761" w:right="1368" w:hanging="794"/>
        <w:jc w:val="left"/>
        <w:rPr>
          <w:sz w:val="20"/>
        </w:rPr>
      </w:pPr>
      <w:r>
        <w:rPr>
          <w:sz w:val="20"/>
        </w:rPr>
        <w:t>The Commission has considered whether ‘disability’ </w:t>
      </w:r>
      <w:r>
        <w:rPr>
          <w:spacing w:val="-3"/>
          <w:sz w:val="20"/>
        </w:rPr>
        <w:t>(or </w:t>
      </w:r>
      <w:r>
        <w:rPr>
          <w:sz w:val="20"/>
        </w:rPr>
        <w:t>some other language that applies specifically to people in the subject </w:t>
      </w:r>
      <w:r>
        <w:rPr>
          <w:spacing w:val="-3"/>
          <w:sz w:val="20"/>
        </w:rPr>
        <w:t>groups) </w:t>
      </w:r>
      <w:r>
        <w:rPr>
          <w:sz w:val="20"/>
        </w:rPr>
        <w:t>should be added to the list of characteristics</w:t>
      </w:r>
      <w:r>
        <w:rPr>
          <w:spacing w:val="-10"/>
          <w:sz w:val="20"/>
        </w:rPr>
        <w:t> </w:t>
      </w:r>
      <w:r>
        <w:rPr>
          <w:sz w:val="20"/>
        </w:rPr>
        <w:t>in</w:t>
      </w:r>
      <w:r>
        <w:rPr>
          <w:spacing w:val="-9"/>
          <w:sz w:val="20"/>
        </w:rPr>
        <w:t> </w:t>
      </w:r>
      <w:r>
        <w:rPr>
          <w:sz w:val="20"/>
        </w:rPr>
        <w:t>the</w:t>
      </w:r>
      <w:r>
        <w:rPr>
          <w:spacing w:val="-9"/>
          <w:sz w:val="20"/>
        </w:rPr>
        <w:t> </w:t>
      </w:r>
      <w:r>
        <w:rPr>
          <w:sz w:val="20"/>
        </w:rPr>
        <w:t>DPP</w:t>
      </w:r>
      <w:r>
        <w:rPr>
          <w:spacing w:val="-10"/>
          <w:sz w:val="20"/>
        </w:rPr>
        <w:t> </w:t>
      </w:r>
      <w:r>
        <w:rPr>
          <w:spacing w:val="-3"/>
          <w:sz w:val="20"/>
        </w:rPr>
        <w:t>policy,</w:t>
      </w:r>
      <w:r>
        <w:rPr>
          <w:spacing w:val="-9"/>
          <w:sz w:val="20"/>
        </w:rPr>
        <w:t> </w:t>
      </w:r>
      <w:r>
        <w:rPr>
          <w:sz w:val="20"/>
        </w:rPr>
        <w:t>and</w:t>
      </w:r>
      <w:r>
        <w:rPr>
          <w:spacing w:val="-9"/>
          <w:sz w:val="20"/>
        </w:rPr>
        <w:t> </w:t>
      </w:r>
      <w:r>
        <w:rPr>
          <w:sz w:val="20"/>
        </w:rPr>
        <w:t>whether</w:t>
      </w:r>
      <w:r>
        <w:rPr>
          <w:spacing w:val="-9"/>
          <w:sz w:val="20"/>
        </w:rPr>
        <w:t> </w:t>
      </w:r>
      <w:r>
        <w:rPr>
          <w:sz w:val="20"/>
        </w:rPr>
        <w:t>that</w:t>
      </w:r>
      <w:r>
        <w:rPr>
          <w:spacing w:val="-10"/>
          <w:sz w:val="20"/>
        </w:rPr>
        <w:t> </w:t>
      </w:r>
      <w:r>
        <w:rPr>
          <w:spacing w:val="-3"/>
          <w:sz w:val="20"/>
        </w:rPr>
        <w:t>would</w:t>
      </w:r>
      <w:r>
        <w:rPr>
          <w:spacing w:val="-9"/>
          <w:sz w:val="20"/>
        </w:rPr>
        <w:t> </w:t>
      </w:r>
      <w:r>
        <w:rPr>
          <w:sz w:val="20"/>
        </w:rPr>
        <w:t>help</w:t>
      </w:r>
      <w:r>
        <w:rPr>
          <w:spacing w:val="-9"/>
          <w:sz w:val="20"/>
        </w:rPr>
        <w:t> </w:t>
      </w:r>
      <w:r>
        <w:rPr>
          <w:sz w:val="20"/>
        </w:rPr>
        <w:t>to</w:t>
      </w:r>
      <w:r>
        <w:rPr>
          <w:spacing w:val="-9"/>
          <w:sz w:val="20"/>
        </w:rPr>
        <w:t> </w:t>
      </w:r>
      <w:r>
        <w:rPr>
          <w:spacing w:val="-4"/>
          <w:sz w:val="20"/>
        </w:rPr>
        <w:t>prevent</w:t>
      </w:r>
      <w:r>
        <w:rPr>
          <w:spacing w:val="-10"/>
          <w:sz w:val="20"/>
        </w:rPr>
        <w:t> </w:t>
      </w:r>
      <w:r>
        <w:rPr>
          <w:sz w:val="20"/>
        </w:rPr>
        <w:t>stand</w:t>
      </w:r>
      <w:r>
        <w:rPr>
          <w:spacing w:val="-9"/>
          <w:sz w:val="20"/>
        </w:rPr>
        <w:t> </w:t>
      </w:r>
      <w:r>
        <w:rPr>
          <w:sz w:val="20"/>
        </w:rPr>
        <w:t>asides being</w:t>
      </w:r>
      <w:r>
        <w:rPr>
          <w:spacing w:val="-7"/>
          <w:sz w:val="20"/>
        </w:rPr>
        <w:t> </w:t>
      </w:r>
      <w:r>
        <w:rPr>
          <w:sz w:val="20"/>
        </w:rPr>
        <w:t>used</w:t>
      </w:r>
      <w:r>
        <w:rPr>
          <w:spacing w:val="-6"/>
          <w:sz w:val="20"/>
        </w:rPr>
        <w:t> </w:t>
      </w:r>
      <w:r>
        <w:rPr>
          <w:spacing w:val="-2"/>
          <w:sz w:val="20"/>
        </w:rPr>
        <w:t>discriminatorily</w:t>
      </w:r>
      <w:r>
        <w:rPr>
          <w:spacing w:val="-7"/>
          <w:sz w:val="20"/>
        </w:rPr>
        <w:t> </w:t>
      </w:r>
      <w:r>
        <w:rPr>
          <w:sz w:val="20"/>
        </w:rPr>
        <w:t>against</w:t>
      </w:r>
      <w:r>
        <w:rPr>
          <w:spacing w:val="-6"/>
          <w:sz w:val="20"/>
        </w:rPr>
        <w:t> </w:t>
      </w:r>
      <w:r>
        <w:rPr>
          <w:sz w:val="20"/>
        </w:rPr>
        <w:t>potential</w:t>
      </w:r>
      <w:r>
        <w:rPr>
          <w:spacing w:val="-7"/>
          <w:sz w:val="20"/>
        </w:rPr>
        <w:t> </w:t>
      </w:r>
      <w:r>
        <w:rPr>
          <w:sz w:val="20"/>
        </w:rPr>
        <w:t>jurors</w:t>
      </w:r>
      <w:r>
        <w:rPr>
          <w:spacing w:val="-6"/>
          <w:sz w:val="20"/>
        </w:rPr>
        <w:t> </w:t>
      </w:r>
      <w:r>
        <w:rPr>
          <w:spacing w:val="-3"/>
          <w:sz w:val="20"/>
        </w:rPr>
        <w:t>from</w:t>
      </w:r>
      <w:r>
        <w:rPr>
          <w:spacing w:val="-7"/>
          <w:sz w:val="20"/>
        </w:rPr>
        <w:t> </w:t>
      </w:r>
      <w:r>
        <w:rPr>
          <w:sz w:val="20"/>
        </w:rPr>
        <w:t>the</w:t>
      </w:r>
      <w:r>
        <w:rPr>
          <w:spacing w:val="-6"/>
          <w:sz w:val="20"/>
        </w:rPr>
        <w:t> </w:t>
      </w:r>
      <w:r>
        <w:rPr>
          <w:sz w:val="20"/>
        </w:rPr>
        <w:t>subject</w:t>
      </w:r>
      <w:r>
        <w:rPr>
          <w:spacing w:val="-7"/>
          <w:sz w:val="20"/>
        </w:rPr>
        <w:t> </w:t>
      </w:r>
      <w:r>
        <w:rPr>
          <w:sz w:val="20"/>
        </w:rPr>
        <w:t>groups.</w:t>
      </w:r>
    </w:p>
    <w:p>
      <w:pPr>
        <w:pStyle w:val="Heading6"/>
        <w:rPr>
          <w:b/>
        </w:rPr>
      </w:pPr>
      <w:r>
        <w:rPr>
          <w:b/>
        </w:rPr>
        <w:t>Stand asides appear less likely to be used in a discriminatory way</w:t>
      </w:r>
    </w:p>
    <w:p>
      <w:pPr>
        <w:pStyle w:val="ListParagraph"/>
        <w:numPr>
          <w:ilvl w:val="1"/>
          <w:numId w:val="12"/>
        </w:numPr>
        <w:tabs>
          <w:tab w:pos="1761" w:val="left" w:leader="none"/>
          <w:tab w:pos="1762" w:val="left" w:leader="none"/>
        </w:tabs>
        <w:spacing w:line="206" w:lineRule="auto" w:before="131" w:after="0"/>
        <w:ind w:left="1761" w:right="1299" w:hanging="794"/>
        <w:jc w:val="left"/>
        <w:rPr>
          <w:sz w:val="11"/>
        </w:rPr>
      </w:pPr>
      <w:r>
        <w:rPr>
          <w:sz w:val="20"/>
        </w:rPr>
        <w:t>In consultations, the OPP and the Supreme Court noted that stand asides </w:t>
      </w:r>
      <w:r>
        <w:rPr>
          <w:spacing w:val="-3"/>
          <w:sz w:val="20"/>
        </w:rPr>
        <w:t>are </w:t>
      </w:r>
      <w:r>
        <w:rPr>
          <w:sz w:val="20"/>
        </w:rPr>
        <w:t>used </w:t>
      </w:r>
      <w:r>
        <w:rPr>
          <w:spacing w:val="-5"/>
          <w:sz w:val="20"/>
        </w:rPr>
        <w:t>rarely,</w:t>
      </w:r>
      <w:r>
        <w:rPr>
          <w:spacing w:val="-5"/>
          <w:position w:val="7"/>
          <w:sz w:val="11"/>
        </w:rPr>
        <w:t>71 </w:t>
      </w:r>
      <w:r>
        <w:rPr>
          <w:sz w:val="20"/>
        </w:rPr>
        <w:t>and much less </w:t>
      </w:r>
      <w:r>
        <w:rPr>
          <w:spacing w:val="-3"/>
          <w:sz w:val="20"/>
        </w:rPr>
        <w:t>frequently </w:t>
      </w:r>
      <w:r>
        <w:rPr>
          <w:sz w:val="20"/>
        </w:rPr>
        <w:t>and with more restrictions than peremptory challenges.</w:t>
      </w:r>
      <w:r>
        <w:rPr>
          <w:spacing w:val="-9"/>
          <w:sz w:val="20"/>
        </w:rPr>
        <w:t> </w:t>
      </w:r>
      <w:r>
        <w:rPr>
          <w:sz w:val="20"/>
        </w:rPr>
        <w:t>Our</w:t>
      </w:r>
      <w:r>
        <w:rPr>
          <w:spacing w:val="-9"/>
          <w:sz w:val="20"/>
        </w:rPr>
        <w:t> </w:t>
      </w:r>
      <w:r>
        <w:rPr>
          <w:sz w:val="20"/>
        </w:rPr>
        <w:t>jury</w:t>
      </w:r>
      <w:r>
        <w:rPr>
          <w:spacing w:val="-9"/>
          <w:sz w:val="20"/>
        </w:rPr>
        <w:t> </w:t>
      </w:r>
      <w:r>
        <w:rPr>
          <w:sz w:val="20"/>
        </w:rPr>
        <w:t>empanelment</w:t>
      </w:r>
      <w:r>
        <w:rPr>
          <w:spacing w:val="-8"/>
          <w:sz w:val="20"/>
        </w:rPr>
        <w:t> </w:t>
      </w:r>
      <w:r>
        <w:rPr>
          <w:sz w:val="20"/>
        </w:rPr>
        <w:t>report</w:t>
      </w:r>
      <w:r>
        <w:rPr>
          <w:spacing w:val="-9"/>
          <w:sz w:val="20"/>
        </w:rPr>
        <w:t> </w:t>
      </w:r>
      <w:r>
        <w:rPr>
          <w:sz w:val="20"/>
        </w:rPr>
        <w:t>noted</w:t>
      </w:r>
      <w:r>
        <w:rPr>
          <w:spacing w:val="-9"/>
          <w:sz w:val="20"/>
        </w:rPr>
        <w:t> </w:t>
      </w:r>
      <w:r>
        <w:rPr>
          <w:sz w:val="20"/>
        </w:rPr>
        <w:t>that</w:t>
      </w:r>
      <w:r>
        <w:rPr>
          <w:spacing w:val="-8"/>
          <w:sz w:val="20"/>
        </w:rPr>
        <w:t> </w:t>
      </w:r>
      <w:r>
        <w:rPr>
          <w:sz w:val="20"/>
        </w:rPr>
        <w:t>in</w:t>
      </w:r>
      <w:r>
        <w:rPr>
          <w:spacing w:val="-9"/>
          <w:sz w:val="20"/>
        </w:rPr>
        <w:t> </w:t>
      </w:r>
      <w:r>
        <w:rPr>
          <w:spacing w:val="-3"/>
          <w:sz w:val="20"/>
        </w:rPr>
        <w:t>2012–2013</w:t>
      </w:r>
      <w:r>
        <w:rPr>
          <w:spacing w:val="-9"/>
          <w:sz w:val="20"/>
        </w:rPr>
        <w:t> </w:t>
      </w:r>
      <w:r>
        <w:rPr>
          <w:spacing w:val="-3"/>
          <w:sz w:val="20"/>
        </w:rPr>
        <w:t>only</w:t>
      </w:r>
      <w:r>
        <w:rPr>
          <w:spacing w:val="-9"/>
          <w:sz w:val="20"/>
        </w:rPr>
        <w:t> </w:t>
      </w:r>
      <w:r>
        <w:rPr>
          <w:sz w:val="20"/>
        </w:rPr>
        <w:t>76</w:t>
      </w:r>
      <w:r>
        <w:rPr>
          <w:spacing w:val="-8"/>
          <w:sz w:val="20"/>
        </w:rPr>
        <w:t> </w:t>
      </w:r>
      <w:r>
        <w:rPr>
          <w:sz w:val="20"/>
        </w:rPr>
        <w:t>stand</w:t>
      </w:r>
      <w:r>
        <w:rPr>
          <w:spacing w:val="-9"/>
          <w:sz w:val="20"/>
        </w:rPr>
        <w:t> </w:t>
      </w:r>
      <w:r>
        <w:rPr>
          <w:sz w:val="20"/>
        </w:rPr>
        <w:t>asides </w:t>
      </w:r>
      <w:r>
        <w:rPr>
          <w:spacing w:val="-4"/>
          <w:sz w:val="20"/>
        </w:rPr>
        <w:t>were</w:t>
      </w:r>
      <w:r>
        <w:rPr>
          <w:spacing w:val="-11"/>
          <w:sz w:val="20"/>
        </w:rPr>
        <w:t> </w:t>
      </w:r>
      <w:r>
        <w:rPr>
          <w:sz w:val="20"/>
        </w:rPr>
        <w:t>made</w:t>
      </w:r>
      <w:r>
        <w:rPr>
          <w:spacing w:val="-10"/>
          <w:sz w:val="20"/>
        </w:rPr>
        <w:t> </w:t>
      </w:r>
      <w:r>
        <w:rPr>
          <w:sz w:val="20"/>
        </w:rPr>
        <w:t>compared</w:t>
      </w:r>
      <w:r>
        <w:rPr>
          <w:spacing w:val="-11"/>
          <w:sz w:val="20"/>
        </w:rPr>
        <w:t> </w:t>
      </w:r>
      <w:r>
        <w:rPr>
          <w:sz w:val="20"/>
        </w:rPr>
        <w:t>to</w:t>
      </w:r>
      <w:r>
        <w:rPr>
          <w:spacing w:val="-10"/>
          <w:sz w:val="20"/>
        </w:rPr>
        <w:t> </w:t>
      </w:r>
      <w:r>
        <w:rPr>
          <w:sz w:val="20"/>
        </w:rPr>
        <w:t>2405</w:t>
      </w:r>
      <w:r>
        <w:rPr>
          <w:spacing w:val="-10"/>
          <w:sz w:val="20"/>
        </w:rPr>
        <w:t> </w:t>
      </w:r>
      <w:r>
        <w:rPr>
          <w:sz w:val="20"/>
        </w:rPr>
        <w:t>peremptory</w:t>
      </w:r>
      <w:r>
        <w:rPr>
          <w:spacing w:val="-11"/>
          <w:sz w:val="20"/>
        </w:rPr>
        <w:t> </w:t>
      </w:r>
      <w:r>
        <w:rPr>
          <w:sz w:val="20"/>
        </w:rPr>
        <w:t>challenges.</w:t>
      </w:r>
      <w:r>
        <w:rPr>
          <w:position w:val="7"/>
          <w:sz w:val="11"/>
        </w:rPr>
        <w:t>72</w:t>
      </w:r>
      <w:r>
        <w:rPr>
          <w:spacing w:val="15"/>
          <w:position w:val="7"/>
          <w:sz w:val="11"/>
        </w:rPr>
        <w:t> </w:t>
      </w:r>
      <w:r>
        <w:rPr>
          <w:sz w:val="20"/>
        </w:rPr>
        <w:t>The</w:t>
      </w:r>
      <w:r>
        <w:rPr>
          <w:spacing w:val="-11"/>
          <w:sz w:val="20"/>
        </w:rPr>
        <w:t> </w:t>
      </w:r>
      <w:r>
        <w:rPr>
          <w:sz w:val="20"/>
        </w:rPr>
        <w:t>Juries</w:t>
      </w:r>
      <w:r>
        <w:rPr>
          <w:spacing w:val="-10"/>
          <w:sz w:val="20"/>
        </w:rPr>
        <w:t> </w:t>
      </w:r>
      <w:r>
        <w:rPr>
          <w:sz w:val="20"/>
        </w:rPr>
        <w:t>Commissioner</w:t>
      </w:r>
      <w:r>
        <w:rPr>
          <w:spacing w:val="-11"/>
          <w:sz w:val="20"/>
        </w:rPr>
        <w:t> </w:t>
      </w:r>
      <w:r>
        <w:rPr>
          <w:sz w:val="20"/>
        </w:rPr>
        <w:t>has </w:t>
      </w:r>
      <w:r>
        <w:rPr>
          <w:spacing w:val="-3"/>
          <w:sz w:val="20"/>
        </w:rPr>
        <w:t>told </w:t>
      </w:r>
      <w:r>
        <w:rPr>
          <w:sz w:val="20"/>
        </w:rPr>
        <w:t>us that 49 people </w:t>
      </w:r>
      <w:r>
        <w:rPr>
          <w:spacing w:val="-4"/>
          <w:sz w:val="20"/>
        </w:rPr>
        <w:t>were </w:t>
      </w:r>
      <w:r>
        <w:rPr>
          <w:sz w:val="20"/>
        </w:rPr>
        <w:t>stood aside in </w:t>
      </w:r>
      <w:r>
        <w:rPr>
          <w:spacing w:val="-3"/>
          <w:sz w:val="20"/>
        </w:rPr>
        <w:t>2018 </w:t>
      </w:r>
      <w:r>
        <w:rPr>
          <w:sz w:val="20"/>
        </w:rPr>
        <w:t>and 62 in 2019, far </w:t>
      </w:r>
      <w:r>
        <w:rPr>
          <w:spacing w:val="-3"/>
          <w:sz w:val="20"/>
        </w:rPr>
        <w:t>fewer </w:t>
      </w:r>
      <w:r>
        <w:rPr>
          <w:sz w:val="20"/>
        </w:rPr>
        <w:t>than those who </w:t>
      </w:r>
      <w:r>
        <w:rPr>
          <w:spacing w:val="-4"/>
          <w:sz w:val="20"/>
        </w:rPr>
        <w:t>were </w:t>
      </w:r>
      <w:r>
        <w:rPr>
          <w:spacing w:val="-3"/>
          <w:sz w:val="20"/>
        </w:rPr>
        <w:t>peremptorily </w:t>
      </w:r>
      <w:r>
        <w:rPr>
          <w:sz w:val="20"/>
        </w:rPr>
        <w:t>challenged </w:t>
      </w:r>
      <w:r>
        <w:rPr>
          <w:spacing w:val="-3"/>
          <w:sz w:val="20"/>
        </w:rPr>
        <w:t>(1082 </w:t>
      </w:r>
      <w:r>
        <w:rPr>
          <w:sz w:val="20"/>
        </w:rPr>
        <w:t>in </w:t>
      </w:r>
      <w:r>
        <w:rPr>
          <w:spacing w:val="-3"/>
          <w:sz w:val="20"/>
        </w:rPr>
        <w:t>2018 </w:t>
      </w:r>
      <w:r>
        <w:rPr>
          <w:sz w:val="20"/>
        </w:rPr>
        <w:t>and 1108 in</w:t>
      </w:r>
      <w:r>
        <w:rPr>
          <w:spacing w:val="-27"/>
          <w:sz w:val="20"/>
        </w:rPr>
        <w:t> </w:t>
      </w:r>
      <w:r>
        <w:rPr>
          <w:spacing w:val="-4"/>
          <w:sz w:val="20"/>
        </w:rPr>
        <w:t>2019).</w:t>
      </w:r>
      <w:r>
        <w:rPr>
          <w:spacing w:val="-4"/>
          <w:position w:val="7"/>
          <w:sz w:val="11"/>
        </w:rPr>
        <w:t>73</w:t>
      </w:r>
    </w:p>
    <w:p>
      <w:pPr>
        <w:pStyle w:val="BodyText"/>
        <w:spacing w:before="12"/>
        <w:rPr>
          <w:sz w:val="10"/>
        </w:rPr>
      </w:pPr>
      <w:r>
        <w:rPr/>
        <w:pict>
          <v:line style="position:absolute;mso-position-horizontal-relative:page;mso-position-vertical-relative:paragraph;z-index:10496;mso-wrap-distance-left:0;mso-wrap-distance-right:0" from="79.370102pt,9.9949pt" to="515.905102pt,9.9949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18"/>
        </w:numPr>
        <w:tabs>
          <w:tab w:pos="1761" w:val="left" w:leader="none"/>
          <w:tab w:pos="1762" w:val="left" w:leader="none"/>
        </w:tabs>
        <w:spacing w:line="213" w:lineRule="auto" w:before="38" w:after="0"/>
        <w:ind w:left="1761" w:right="160" w:hanging="794"/>
        <w:jc w:val="left"/>
        <w:rPr>
          <w:sz w:val="13"/>
        </w:rPr>
      </w:pPr>
      <w:r>
        <w:rPr>
          <w:sz w:val="13"/>
        </w:rPr>
        <w:t>In her second reading </w:t>
      </w:r>
      <w:r>
        <w:rPr>
          <w:spacing w:val="2"/>
          <w:sz w:val="13"/>
        </w:rPr>
        <w:t>speech </w:t>
      </w:r>
      <w:r>
        <w:rPr>
          <w:sz w:val="13"/>
        </w:rPr>
        <w:t>of the Juries Bill in 2000, the Hon MR Thomson commented: </w:t>
      </w:r>
      <w:r>
        <w:rPr>
          <w:spacing w:val="2"/>
          <w:sz w:val="13"/>
        </w:rPr>
        <w:t>‘In </w:t>
      </w:r>
      <w:r>
        <w:rPr>
          <w:sz w:val="13"/>
        </w:rPr>
        <w:t>1993 the previous government </w:t>
      </w:r>
      <w:r>
        <w:rPr>
          <w:spacing w:val="2"/>
          <w:sz w:val="13"/>
        </w:rPr>
        <w:t>abolished </w:t>
      </w:r>
      <w:r>
        <w:rPr>
          <w:sz w:val="13"/>
        </w:rPr>
        <w:t>the </w:t>
      </w:r>
      <w:r>
        <w:rPr>
          <w:spacing w:val="2"/>
          <w:sz w:val="13"/>
        </w:rPr>
        <w:t>longstanding distinction </w:t>
      </w:r>
      <w:r>
        <w:rPr>
          <w:sz w:val="13"/>
        </w:rPr>
        <w:t>between the right of the accused in a criminal trial to challenge persons during the selection of the jury, and the prosecution’s power to </w:t>
      </w:r>
      <w:r>
        <w:rPr>
          <w:spacing w:val="2"/>
          <w:sz w:val="13"/>
        </w:rPr>
        <w:t>stand </w:t>
      </w:r>
      <w:r>
        <w:rPr>
          <w:sz w:val="13"/>
        </w:rPr>
        <w:t>aside persons where </w:t>
      </w:r>
      <w:r>
        <w:rPr>
          <w:spacing w:val="2"/>
          <w:sz w:val="13"/>
        </w:rPr>
        <w:t>necessary </w:t>
      </w:r>
      <w:r>
        <w:rPr>
          <w:sz w:val="13"/>
        </w:rPr>
        <w:t>in the interests of justice. Those </w:t>
      </w:r>
      <w:r>
        <w:rPr>
          <w:spacing w:val="2"/>
          <w:sz w:val="13"/>
        </w:rPr>
        <w:t>amendments </w:t>
      </w:r>
      <w:r>
        <w:rPr>
          <w:sz w:val="13"/>
        </w:rPr>
        <w:t>meant that both prosecution and defence were exercising what was to be known as a right of peremptory challenge. This created the misleading impression that the prosecution has the same right as the accused to have persons excluded from the jury. It is </w:t>
      </w:r>
      <w:r>
        <w:rPr>
          <w:spacing w:val="2"/>
          <w:sz w:val="13"/>
        </w:rPr>
        <w:t>important </w:t>
      </w:r>
      <w:r>
        <w:rPr>
          <w:sz w:val="13"/>
        </w:rPr>
        <w:t>that the role of the prosecution during the </w:t>
      </w:r>
      <w:r>
        <w:rPr>
          <w:spacing w:val="2"/>
          <w:sz w:val="13"/>
        </w:rPr>
        <w:t>jury </w:t>
      </w:r>
      <w:r>
        <w:rPr>
          <w:sz w:val="13"/>
        </w:rPr>
        <w:t>selection process – namely, to seek the exclusion of persons only where </w:t>
      </w:r>
      <w:r>
        <w:rPr>
          <w:spacing w:val="2"/>
          <w:sz w:val="13"/>
        </w:rPr>
        <w:t>necessary </w:t>
      </w:r>
      <w:r>
        <w:rPr>
          <w:sz w:val="13"/>
        </w:rPr>
        <w:t>in the interests of justice – be clearly </w:t>
      </w:r>
      <w:r>
        <w:rPr>
          <w:spacing w:val="2"/>
          <w:sz w:val="13"/>
        </w:rPr>
        <w:t>distinguished. </w:t>
      </w:r>
      <w:r>
        <w:rPr>
          <w:sz w:val="13"/>
        </w:rPr>
        <w:t>Accordingly, the bill reinstates the Crown right of </w:t>
      </w:r>
      <w:r>
        <w:rPr>
          <w:spacing w:val="2"/>
          <w:sz w:val="13"/>
        </w:rPr>
        <w:t>stand </w:t>
      </w:r>
      <w:r>
        <w:rPr>
          <w:sz w:val="13"/>
        </w:rPr>
        <w:t>aside, but </w:t>
      </w:r>
      <w:r>
        <w:rPr>
          <w:spacing w:val="2"/>
          <w:sz w:val="13"/>
        </w:rPr>
        <w:t>limits </w:t>
      </w:r>
      <w:r>
        <w:rPr>
          <w:sz w:val="13"/>
        </w:rPr>
        <w:t>the </w:t>
      </w:r>
      <w:r>
        <w:rPr>
          <w:spacing w:val="2"/>
          <w:sz w:val="13"/>
        </w:rPr>
        <w:t>number </w:t>
      </w:r>
      <w:r>
        <w:rPr>
          <w:sz w:val="13"/>
        </w:rPr>
        <w:t>of </w:t>
      </w:r>
      <w:r>
        <w:rPr>
          <w:spacing w:val="2"/>
          <w:sz w:val="13"/>
        </w:rPr>
        <w:t>stand-asides </w:t>
      </w:r>
      <w:r>
        <w:rPr>
          <w:sz w:val="13"/>
        </w:rPr>
        <w:t>allowed to the same </w:t>
      </w:r>
      <w:r>
        <w:rPr>
          <w:spacing w:val="2"/>
          <w:sz w:val="13"/>
        </w:rPr>
        <w:t>number </w:t>
      </w:r>
      <w:r>
        <w:rPr>
          <w:sz w:val="13"/>
        </w:rPr>
        <w:t>of peremptory challenges available</w:t>
      </w:r>
      <w:r>
        <w:rPr>
          <w:spacing w:val="4"/>
          <w:sz w:val="13"/>
        </w:rPr>
        <w:t> </w:t>
      </w:r>
      <w:r>
        <w:rPr>
          <w:sz w:val="13"/>
        </w:rPr>
        <w:t>to</w:t>
      </w:r>
      <w:r>
        <w:rPr>
          <w:spacing w:val="5"/>
          <w:sz w:val="13"/>
        </w:rPr>
        <w:t> </w:t>
      </w:r>
      <w:r>
        <w:rPr>
          <w:sz w:val="13"/>
        </w:rPr>
        <w:t>the</w:t>
      </w:r>
      <w:r>
        <w:rPr>
          <w:spacing w:val="4"/>
          <w:sz w:val="13"/>
        </w:rPr>
        <w:t> </w:t>
      </w:r>
      <w:r>
        <w:rPr>
          <w:sz w:val="13"/>
        </w:rPr>
        <w:t>accused’:</w:t>
      </w:r>
      <w:r>
        <w:rPr>
          <w:spacing w:val="5"/>
          <w:sz w:val="13"/>
        </w:rPr>
        <w:t> </w:t>
      </w:r>
      <w:r>
        <w:rPr>
          <w:sz w:val="13"/>
        </w:rPr>
        <w:t>Victoria,</w:t>
      </w:r>
      <w:r>
        <w:rPr>
          <w:spacing w:val="4"/>
          <w:sz w:val="13"/>
        </w:rPr>
        <w:t> </w:t>
      </w:r>
      <w:r>
        <w:rPr>
          <w:i/>
          <w:sz w:val="13"/>
        </w:rPr>
        <w:t>Parliamentary</w:t>
      </w:r>
      <w:r>
        <w:rPr>
          <w:i/>
          <w:spacing w:val="5"/>
          <w:sz w:val="13"/>
        </w:rPr>
        <w:t> </w:t>
      </w:r>
      <w:r>
        <w:rPr>
          <w:i/>
          <w:sz w:val="13"/>
        </w:rPr>
        <w:t>Debates</w:t>
      </w:r>
      <w:r>
        <w:rPr>
          <w:sz w:val="13"/>
        </w:rPr>
        <w:t>,</w:t>
      </w:r>
      <w:r>
        <w:rPr>
          <w:spacing w:val="4"/>
          <w:sz w:val="13"/>
        </w:rPr>
        <w:t> </w:t>
      </w:r>
      <w:r>
        <w:rPr>
          <w:sz w:val="13"/>
        </w:rPr>
        <w:t>Legislative</w:t>
      </w:r>
      <w:r>
        <w:rPr>
          <w:spacing w:val="5"/>
          <w:sz w:val="13"/>
        </w:rPr>
        <w:t> </w:t>
      </w:r>
      <w:r>
        <w:rPr>
          <w:spacing w:val="2"/>
          <w:sz w:val="13"/>
        </w:rPr>
        <w:t>Council,</w:t>
      </w:r>
      <w:r>
        <w:rPr>
          <w:spacing w:val="5"/>
          <w:sz w:val="13"/>
        </w:rPr>
        <w:t> </w:t>
      </w:r>
      <w:r>
        <w:rPr>
          <w:sz w:val="13"/>
        </w:rPr>
        <w:t>22</w:t>
      </w:r>
      <w:r>
        <w:rPr>
          <w:spacing w:val="4"/>
          <w:sz w:val="13"/>
        </w:rPr>
        <w:t> </w:t>
      </w:r>
      <w:r>
        <w:rPr>
          <w:sz w:val="13"/>
        </w:rPr>
        <w:t>March</w:t>
      </w:r>
      <w:r>
        <w:rPr>
          <w:spacing w:val="5"/>
          <w:sz w:val="13"/>
        </w:rPr>
        <w:t> </w:t>
      </w:r>
      <w:r>
        <w:rPr>
          <w:sz w:val="13"/>
        </w:rPr>
        <w:t>2000,</w:t>
      </w:r>
      <w:r>
        <w:rPr>
          <w:spacing w:val="4"/>
          <w:sz w:val="13"/>
        </w:rPr>
        <w:t> </w:t>
      </w:r>
      <w:r>
        <w:rPr>
          <w:sz w:val="13"/>
        </w:rPr>
        <w:t>420</w:t>
      </w:r>
      <w:r>
        <w:rPr>
          <w:spacing w:val="5"/>
          <w:sz w:val="13"/>
        </w:rPr>
        <w:t> </w:t>
      </w:r>
      <w:r>
        <w:rPr>
          <w:sz w:val="13"/>
        </w:rPr>
        <w:t>(Marsha</w:t>
      </w:r>
      <w:r>
        <w:rPr>
          <w:spacing w:val="4"/>
          <w:sz w:val="13"/>
        </w:rPr>
        <w:t> </w:t>
      </w:r>
      <w:r>
        <w:rPr>
          <w:sz w:val="13"/>
        </w:rPr>
        <w:t>Thomson).</w:t>
      </w:r>
    </w:p>
    <w:p>
      <w:pPr>
        <w:pStyle w:val="ListParagraph"/>
        <w:numPr>
          <w:ilvl w:val="0"/>
          <w:numId w:val="118"/>
        </w:numPr>
        <w:tabs>
          <w:tab w:pos="1761" w:val="left" w:leader="none"/>
          <w:tab w:pos="1762" w:val="left" w:leader="none"/>
        </w:tabs>
        <w:spacing w:line="213" w:lineRule="auto" w:before="0" w:after="0"/>
        <w:ind w:left="1761" w:right="0" w:hanging="794"/>
        <w:jc w:val="left"/>
        <w:rPr>
          <w:sz w:val="13"/>
        </w:rPr>
      </w:pPr>
      <w:r>
        <w:rPr>
          <w:sz w:val="13"/>
        </w:rPr>
        <w:t>Director of </w:t>
      </w:r>
      <w:r>
        <w:rPr>
          <w:spacing w:val="2"/>
          <w:sz w:val="13"/>
        </w:rPr>
        <w:t>Public </w:t>
      </w:r>
      <w:r>
        <w:rPr>
          <w:sz w:val="13"/>
        </w:rPr>
        <w:t>Prosecutions (Vic), </w:t>
      </w:r>
      <w:r>
        <w:rPr>
          <w:i/>
          <w:sz w:val="13"/>
        </w:rPr>
        <w:t>Policy of the Director of Public Prosecutions for Victoria </w:t>
      </w:r>
      <w:r>
        <w:rPr>
          <w:spacing w:val="2"/>
          <w:sz w:val="13"/>
        </w:rPr>
        <w:t>(Report, </w:t>
      </w:r>
      <w:r>
        <w:rPr>
          <w:sz w:val="13"/>
        </w:rPr>
        <w:t>24 </w:t>
      </w:r>
      <w:r>
        <w:rPr>
          <w:spacing w:val="2"/>
          <w:sz w:val="13"/>
        </w:rPr>
        <w:t>January </w:t>
      </w:r>
      <w:r>
        <w:rPr>
          <w:sz w:val="13"/>
        </w:rPr>
        <w:t>2022) 19 </w:t>
      </w:r>
      <w:r>
        <w:rPr>
          <w:spacing w:val="2"/>
          <w:sz w:val="13"/>
        </w:rPr>
        <w:t>[52]–[54]. </w:t>
      </w:r>
      <w:r>
        <w:rPr>
          <w:sz w:val="13"/>
        </w:rPr>
        <w:t>However, aside from these </w:t>
      </w:r>
      <w:r>
        <w:rPr>
          <w:spacing w:val="2"/>
          <w:sz w:val="13"/>
        </w:rPr>
        <w:t>guidelines, </w:t>
      </w:r>
      <w:r>
        <w:rPr>
          <w:sz w:val="13"/>
        </w:rPr>
        <w:t>there is nothing restricting the use of </w:t>
      </w:r>
      <w:r>
        <w:rPr>
          <w:spacing w:val="2"/>
          <w:sz w:val="13"/>
        </w:rPr>
        <w:t>stand </w:t>
      </w:r>
      <w:r>
        <w:rPr>
          <w:sz w:val="13"/>
        </w:rPr>
        <w:t>asides: see </w:t>
      </w:r>
      <w:r>
        <w:rPr>
          <w:i/>
          <w:sz w:val="13"/>
        </w:rPr>
        <w:t>Katsuno v The </w:t>
      </w:r>
      <w:r>
        <w:rPr>
          <w:i/>
          <w:spacing w:val="2"/>
          <w:sz w:val="13"/>
        </w:rPr>
        <w:t>Queen </w:t>
      </w:r>
      <w:r>
        <w:rPr>
          <w:spacing w:val="2"/>
          <w:sz w:val="13"/>
        </w:rPr>
        <w:t>[1999] </w:t>
      </w:r>
      <w:r>
        <w:rPr>
          <w:sz w:val="13"/>
        </w:rPr>
        <w:t>HCA    50, </w:t>
      </w:r>
      <w:r>
        <w:rPr>
          <w:spacing w:val="2"/>
          <w:sz w:val="13"/>
        </w:rPr>
        <w:t>(1999) </w:t>
      </w:r>
      <w:r>
        <w:rPr>
          <w:sz w:val="13"/>
        </w:rPr>
        <w:t>199 CLR 40, 58 (Gaudron, Gummow and </w:t>
      </w:r>
      <w:r>
        <w:rPr>
          <w:spacing w:val="2"/>
          <w:sz w:val="13"/>
        </w:rPr>
        <w:t>Callinan</w:t>
      </w:r>
      <w:r>
        <w:rPr>
          <w:spacing w:val="1"/>
          <w:sz w:val="13"/>
        </w:rPr>
        <w:t> </w:t>
      </w:r>
      <w:r>
        <w:rPr>
          <w:sz w:val="13"/>
        </w:rPr>
        <w:t>JJ).</w:t>
      </w:r>
    </w:p>
    <w:p>
      <w:pPr>
        <w:pStyle w:val="ListParagraph"/>
        <w:numPr>
          <w:ilvl w:val="0"/>
          <w:numId w:val="118"/>
        </w:numPr>
        <w:tabs>
          <w:tab w:pos="1761" w:val="left" w:leader="none"/>
          <w:tab w:pos="1762" w:val="left" w:leader="none"/>
        </w:tabs>
        <w:spacing w:line="152" w:lineRule="exact" w:before="0" w:after="0"/>
        <w:ind w:left="1761" w:right="0" w:hanging="794"/>
        <w:jc w:val="left"/>
        <w:rPr>
          <w:sz w:val="13"/>
        </w:rPr>
      </w:pPr>
      <w:r>
        <w:rPr>
          <w:sz w:val="13"/>
        </w:rPr>
        <w:t>See generally 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21–2</w:t>
      </w:r>
      <w:r>
        <w:rPr>
          <w:spacing w:val="19"/>
          <w:sz w:val="13"/>
        </w:rPr>
        <w:t> </w:t>
      </w:r>
      <w:r>
        <w:rPr>
          <w:spacing w:val="2"/>
          <w:sz w:val="13"/>
        </w:rPr>
        <w:t>[3.9]–[3.16].</w:t>
      </w:r>
    </w:p>
    <w:p>
      <w:pPr>
        <w:pStyle w:val="ListParagraph"/>
        <w:numPr>
          <w:ilvl w:val="0"/>
          <w:numId w:val="118"/>
        </w:numPr>
        <w:tabs>
          <w:tab w:pos="1761" w:val="left" w:leader="none"/>
          <w:tab w:pos="1762" w:val="left" w:leader="none"/>
        </w:tabs>
        <w:spacing w:line="160" w:lineRule="exact" w:before="0" w:after="0"/>
        <w:ind w:left="1761" w:right="0" w:hanging="794"/>
        <w:jc w:val="left"/>
        <w:rPr>
          <w:sz w:val="13"/>
        </w:rPr>
      </w:pPr>
      <w:r>
        <w:rPr>
          <w:sz w:val="13"/>
        </w:rPr>
        <w:t>Director</w:t>
      </w:r>
      <w:r>
        <w:rPr>
          <w:spacing w:val="3"/>
          <w:sz w:val="13"/>
        </w:rPr>
        <w:t> </w:t>
      </w:r>
      <w:r>
        <w:rPr>
          <w:sz w:val="13"/>
        </w:rPr>
        <w:t>of</w:t>
      </w:r>
      <w:r>
        <w:rPr>
          <w:spacing w:val="4"/>
          <w:sz w:val="13"/>
        </w:rPr>
        <w:t> </w:t>
      </w:r>
      <w:r>
        <w:rPr>
          <w:spacing w:val="2"/>
          <w:sz w:val="13"/>
        </w:rPr>
        <w:t>Public</w:t>
      </w:r>
      <w:r>
        <w:rPr>
          <w:spacing w:val="4"/>
          <w:sz w:val="13"/>
        </w:rPr>
        <w:t> </w:t>
      </w:r>
      <w:r>
        <w:rPr>
          <w:sz w:val="13"/>
        </w:rPr>
        <w:t>Prosecutions</w:t>
      </w:r>
      <w:r>
        <w:rPr>
          <w:spacing w:val="4"/>
          <w:sz w:val="13"/>
        </w:rPr>
        <w:t> </w:t>
      </w:r>
      <w:r>
        <w:rPr>
          <w:sz w:val="13"/>
        </w:rPr>
        <w:t>(Vic),</w:t>
      </w:r>
      <w:r>
        <w:rPr>
          <w:spacing w:val="4"/>
          <w:sz w:val="13"/>
        </w:rPr>
        <w:t> </w:t>
      </w:r>
      <w:r>
        <w:rPr>
          <w:i/>
          <w:sz w:val="13"/>
        </w:rPr>
        <w:t>Policy</w:t>
      </w:r>
      <w:r>
        <w:rPr>
          <w:i/>
          <w:spacing w:val="3"/>
          <w:sz w:val="13"/>
        </w:rPr>
        <w:t> </w:t>
      </w:r>
      <w:r>
        <w:rPr>
          <w:i/>
          <w:sz w:val="13"/>
        </w:rPr>
        <w:t>of</w:t>
      </w:r>
      <w:r>
        <w:rPr>
          <w:i/>
          <w:spacing w:val="4"/>
          <w:sz w:val="13"/>
        </w:rPr>
        <w:t> </w:t>
      </w:r>
      <w:r>
        <w:rPr>
          <w:i/>
          <w:sz w:val="13"/>
        </w:rPr>
        <w:t>the</w:t>
      </w:r>
      <w:r>
        <w:rPr>
          <w:i/>
          <w:spacing w:val="4"/>
          <w:sz w:val="13"/>
        </w:rPr>
        <w:t> </w:t>
      </w:r>
      <w:r>
        <w:rPr>
          <w:i/>
          <w:sz w:val="13"/>
        </w:rPr>
        <w:t>Director</w:t>
      </w:r>
      <w:r>
        <w:rPr>
          <w:i/>
          <w:spacing w:val="3"/>
          <w:sz w:val="13"/>
        </w:rPr>
        <w:t> </w:t>
      </w:r>
      <w:r>
        <w:rPr>
          <w:i/>
          <w:sz w:val="13"/>
        </w:rPr>
        <w:t>of</w:t>
      </w:r>
      <w:r>
        <w:rPr>
          <w:i/>
          <w:spacing w:val="4"/>
          <w:sz w:val="13"/>
        </w:rPr>
        <w:t> </w:t>
      </w:r>
      <w:r>
        <w:rPr>
          <w:i/>
          <w:sz w:val="13"/>
        </w:rPr>
        <w:t>Public</w:t>
      </w:r>
      <w:r>
        <w:rPr>
          <w:i/>
          <w:spacing w:val="4"/>
          <w:sz w:val="13"/>
        </w:rPr>
        <w:t> </w:t>
      </w:r>
      <w:r>
        <w:rPr>
          <w:i/>
          <w:sz w:val="13"/>
        </w:rPr>
        <w:t>Prosecutions</w:t>
      </w:r>
      <w:r>
        <w:rPr>
          <w:i/>
          <w:spacing w:val="2"/>
          <w:sz w:val="13"/>
        </w:rPr>
        <w:t> </w:t>
      </w:r>
      <w:r>
        <w:rPr>
          <w:i/>
          <w:sz w:val="13"/>
        </w:rPr>
        <w:t>for</w:t>
      </w:r>
      <w:r>
        <w:rPr>
          <w:i/>
          <w:spacing w:val="4"/>
          <w:sz w:val="13"/>
        </w:rPr>
        <w:t> </w:t>
      </w:r>
      <w:r>
        <w:rPr>
          <w:i/>
          <w:sz w:val="13"/>
        </w:rPr>
        <w:t>Victoria</w:t>
      </w:r>
      <w:r>
        <w:rPr>
          <w:i/>
          <w:spacing w:val="4"/>
          <w:sz w:val="13"/>
        </w:rPr>
        <w:t> </w:t>
      </w:r>
      <w:r>
        <w:rPr>
          <w:spacing w:val="2"/>
          <w:sz w:val="13"/>
        </w:rPr>
        <w:t>(Report,</w:t>
      </w:r>
      <w:r>
        <w:rPr>
          <w:spacing w:val="4"/>
          <w:sz w:val="13"/>
        </w:rPr>
        <w:t> </w:t>
      </w:r>
      <w:r>
        <w:rPr>
          <w:sz w:val="13"/>
        </w:rPr>
        <w:t>24</w:t>
      </w:r>
      <w:r>
        <w:rPr>
          <w:spacing w:val="3"/>
          <w:sz w:val="13"/>
        </w:rPr>
        <w:t> </w:t>
      </w:r>
      <w:r>
        <w:rPr>
          <w:spacing w:val="2"/>
          <w:sz w:val="13"/>
        </w:rPr>
        <w:t>January</w:t>
      </w:r>
      <w:r>
        <w:rPr>
          <w:spacing w:val="4"/>
          <w:sz w:val="13"/>
        </w:rPr>
        <w:t> </w:t>
      </w:r>
      <w:r>
        <w:rPr>
          <w:sz w:val="13"/>
        </w:rPr>
        <w:t>2022)</w:t>
      </w:r>
      <w:r>
        <w:rPr>
          <w:spacing w:val="4"/>
          <w:sz w:val="13"/>
        </w:rPr>
        <w:t> </w:t>
      </w:r>
      <w:r>
        <w:rPr>
          <w:sz w:val="13"/>
        </w:rPr>
        <w:t>[53].</w:t>
      </w:r>
    </w:p>
    <w:p>
      <w:pPr>
        <w:pStyle w:val="ListParagraph"/>
        <w:numPr>
          <w:ilvl w:val="0"/>
          <w:numId w:val="118"/>
        </w:numPr>
        <w:tabs>
          <w:tab w:pos="1761" w:val="left" w:leader="none"/>
          <w:tab w:pos="1762" w:val="left" w:leader="none"/>
        </w:tabs>
        <w:spacing w:line="160" w:lineRule="exact" w:before="0" w:after="0"/>
        <w:ind w:left="1761" w:right="0" w:hanging="794"/>
        <w:jc w:val="left"/>
        <w:rPr>
          <w:sz w:val="13"/>
        </w:rPr>
      </w:pP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52</w:t>
      </w:r>
      <w:r>
        <w:rPr>
          <w:spacing w:val="4"/>
          <w:sz w:val="13"/>
        </w:rPr>
        <w:t> </w:t>
      </w:r>
      <w:r>
        <w:rPr>
          <w:spacing w:val="3"/>
          <w:sz w:val="13"/>
        </w:rPr>
        <w:t>[3.243].</w:t>
      </w:r>
    </w:p>
    <w:p>
      <w:pPr>
        <w:pStyle w:val="ListParagraph"/>
        <w:numPr>
          <w:ilvl w:val="0"/>
          <w:numId w:val="118"/>
        </w:numPr>
        <w:tabs>
          <w:tab w:pos="1760" w:val="left" w:leader="none"/>
          <w:tab w:pos="1762" w:val="left" w:leader="none"/>
        </w:tabs>
        <w:spacing w:line="160" w:lineRule="exact" w:before="0" w:after="0"/>
        <w:ind w:left="1761" w:right="0" w:hanging="794"/>
        <w:jc w:val="left"/>
        <w:rPr>
          <w:sz w:val="13"/>
        </w:rPr>
      </w:pPr>
      <w:r>
        <w:rPr>
          <w:sz w:val="13"/>
        </w:rPr>
        <w:t>Ibid xv, Recommendation </w:t>
      </w:r>
      <w:r>
        <w:rPr>
          <w:spacing w:val="3"/>
          <w:sz w:val="13"/>
        </w:rPr>
        <w:t>5.</w:t>
      </w:r>
    </w:p>
    <w:p>
      <w:pPr>
        <w:pStyle w:val="ListParagraph"/>
        <w:numPr>
          <w:ilvl w:val="0"/>
          <w:numId w:val="118"/>
        </w:numPr>
        <w:tabs>
          <w:tab w:pos="1761" w:val="left" w:leader="none"/>
          <w:tab w:pos="1762" w:val="left" w:leader="none"/>
        </w:tabs>
        <w:spacing w:line="213" w:lineRule="auto" w:before="1" w:after="0"/>
        <w:ind w:left="1760" w:right="126" w:hanging="793"/>
        <w:jc w:val="both"/>
        <w:rPr>
          <w:sz w:val="13"/>
        </w:rPr>
      </w:pPr>
      <w:r>
        <w:rPr>
          <w:i/>
          <w:sz w:val="13"/>
        </w:rPr>
        <w:t>Juries Act 2000 </w:t>
      </w:r>
      <w:r>
        <w:rPr>
          <w:spacing w:val="2"/>
          <w:sz w:val="13"/>
        </w:rPr>
        <w:t>(Vic) </w:t>
      </w:r>
      <w:r>
        <w:rPr>
          <w:sz w:val="13"/>
        </w:rPr>
        <w:t>s </w:t>
      </w:r>
      <w:r>
        <w:rPr>
          <w:spacing w:val="2"/>
          <w:sz w:val="13"/>
        </w:rPr>
        <w:t>38. </w:t>
      </w:r>
      <w:r>
        <w:rPr>
          <w:sz w:val="13"/>
        </w:rPr>
        <w:t>If two or more persons are </w:t>
      </w:r>
      <w:r>
        <w:rPr>
          <w:spacing w:val="2"/>
          <w:sz w:val="13"/>
        </w:rPr>
        <w:t>arraigned, </w:t>
      </w:r>
      <w:r>
        <w:rPr>
          <w:sz w:val="13"/>
        </w:rPr>
        <w:t>the Crown can </w:t>
      </w:r>
      <w:r>
        <w:rPr>
          <w:spacing w:val="2"/>
          <w:sz w:val="13"/>
        </w:rPr>
        <w:t>stand </w:t>
      </w:r>
      <w:r>
        <w:rPr>
          <w:sz w:val="13"/>
        </w:rPr>
        <w:t>aside two potential jurors for each person arraigned: at s 38(1)(b). The </w:t>
      </w:r>
      <w:r>
        <w:rPr>
          <w:spacing w:val="2"/>
          <w:sz w:val="13"/>
        </w:rPr>
        <w:t>number </w:t>
      </w:r>
      <w:r>
        <w:rPr>
          <w:sz w:val="13"/>
        </w:rPr>
        <w:t>of jurors who can be stood aside was reduced by the </w:t>
      </w:r>
      <w:r>
        <w:rPr>
          <w:i/>
          <w:sz w:val="13"/>
        </w:rPr>
        <w:t>Justice Legislation Amendment (Court </w:t>
      </w:r>
      <w:r>
        <w:rPr>
          <w:i/>
          <w:sz w:val="13"/>
        </w:rPr>
        <w:t>Security, Juries and Other Matters) Act 2017</w:t>
      </w:r>
      <w:r>
        <w:rPr>
          <w:i/>
          <w:spacing w:val="2"/>
          <w:sz w:val="13"/>
        </w:rPr>
        <w:t> </w:t>
      </w:r>
      <w:r>
        <w:rPr>
          <w:sz w:val="13"/>
        </w:rPr>
        <w:t>(Vic).</w:t>
      </w:r>
    </w:p>
    <w:p>
      <w:pPr>
        <w:pStyle w:val="ListParagraph"/>
        <w:numPr>
          <w:ilvl w:val="0"/>
          <w:numId w:val="118"/>
        </w:numPr>
        <w:tabs>
          <w:tab w:pos="1761" w:val="left" w:leader="none"/>
          <w:tab w:pos="1762" w:val="left" w:leader="none"/>
        </w:tabs>
        <w:spacing w:line="213" w:lineRule="auto" w:before="0" w:after="0"/>
        <w:ind w:left="1761" w:right="190" w:hanging="794"/>
        <w:jc w:val="left"/>
        <w:rPr>
          <w:sz w:val="13"/>
        </w:rPr>
      </w:pPr>
      <w:r>
        <w:rPr>
          <w:sz w:val="13"/>
        </w:rPr>
        <w:t>Director of </w:t>
      </w:r>
      <w:r>
        <w:rPr>
          <w:spacing w:val="2"/>
          <w:sz w:val="13"/>
        </w:rPr>
        <w:t>Public </w:t>
      </w:r>
      <w:r>
        <w:rPr>
          <w:sz w:val="13"/>
        </w:rPr>
        <w:t>Prosecutions (Vic), </w:t>
      </w:r>
      <w:r>
        <w:rPr>
          <w:i/>
          <w:sz w:val="13"/>
        </w:rPr>
        <w:t>Policy of the Director of Public Prosecutions for Victoria </w:t>
      </w:r>
      <w:r>
        <w:rPr>
          <w:spacing w:val="2"/>
          <w:sz w:val="13"/>
        </w:rPr>
        <w:t>(Report, </w:t>
      </w:r>
      <w:r>
        <w:rPr>
          <w:sz w:val="13"/>
        </w:rPr>
        <w:t>24 </w:t>
      </w:r>
      <w:r>
        <w:rPr>
          <w:spacing w:val="2"/>
          <w:sz w:val="13"/>
        </w:rPr>
        <w:t>January </w:t>
      </w:r>
      <w:r>
        <w:rPr>
          <w:sz w:val="13"/>
        </w:rPr>
        <w:t>2022) [52]. See </w:t>
      </w:r>
      <w:r>
        <w:rPr>
          <w:spacing w:val="2"/>
          <w:sz w:val="13"/>
        </w:rPr>
        <w:t>also </w:t>
      </w:r>
      <w:r>
        <w:rPr>
          <w:sz w:val="13"/>
        </w:rPr>
        <w:t>Director of </w:t>
      </w:r>
      <w:r>
        <w:rPr>
          <w:spacing w:val="2"/>
          <w:sz w:val="13"/>
        </w:rPr>
        <w:t>Public </w:t>
      </w:r>
      <w:r>
        <w:rPr>
          <w:sz w:val="13"/>
        </w:rPr>
        <w:t>Prosecutions (Cth), </w:t>
      </w:r>
      <w:r>
        <w:rPr>
          <w:i/>
          <w:spacing w:val="2"/>
          <w:sz w:val="13"/>
        </w:rPr>
        <w:t>Guidelines </w:t>
      </w:r>
      <w:r>
        <w:rPr>
          <w:i/>
          <w:sz w:val="13"/>
        </w:rPr>
        <w:t>and Directions Manual </w:t>
      </w:r>
      <w:r>
        <w:rPr>
          <w:spacing w:val="2"/>
          <w:sz w:val="13"/>
        </w:rPr>
        <w:t>(Jury Issues, Guide, </w:t>
      </w:r>
      <w:r>
        <w:rPr>
          <w:sz w:val="13"/>
        </w:rPr>
        <w:t>10 September</w:t>
      </w:r>
      <w:r>
        <w:rPr>
          <w:spacing w:val="29"/>
          <w:sz w:val="13"/>
        </w:rPr>
        <w:t> </w:t>
      </w:r>
      <w:r>
        <w:rPr>
          <w:sz w:val="13"/>
        </w:rPr>
        <w:t>2012).</w:t>
      </w:r>
    </w:p>
    <w:p>
      <w:pPr>
        <w:pStyle w:val="ListParagraph"/>
        <w:numPr>
          <w:ilvl w:val="0"/>
          <w:numId w:val="118"/>
        </w:numPr>
        <w:tabs>
          <w:tab w:pos="1761" w:val="left" w:leader="none"/>
          <w:tab w:pos="1762" w:val="left" w:leader="none"/>
        </w:tabs>
        <w:spacing w:line="213" w:lineRule="auto" w:before="0" w:after="0"/>
        <w:ind w:left="967" w:right="463" w:firstLine="0"/>
        <w:jc w:val="left"/>
        <w:rPr>
          <w:sz w:val="13"/>
        </w:rPr>
      </w:pPr>
      <w:r>
        <w:rPr>
          <w:sz w:val="13"/>
        </w:rPr>
        <w:t>Director of </w:t>
      </w:r>
      <w:r>
        <w:rPr>
          <w:spacing w:val="2"/>
          <w:sz w:val="13"/>
        </w:rPr>
        <w:t>Public </w:t>
      </w:r>
      <w:r>
        <w:rPr>
          <w:sz w:val="13"/>
        </w:rPr>
        <w:t>Prosecutions (Vic), </w:t>
      </w:r>
      <w:r>
        <w:rPr>
          <w:i/>
          <w:sz w:val="13"/>
        </w:rPr>
        <w:t>Policy of the Director of Public Prosecutions for Victoria </w:t>
      </w:r>
      <w:r>
        <w:rPr>
          <w:spacing w:val="2"/>
          <w:sz w:val="13"/>
        </w:rPr>
        <w:t>(Report, </w:t>
      </w:r>
      <w:r>
        <w:rPr>
          <w:sz w:val="13"/>
        </w:rPr>
        <w:t>24 </w:t>
      </w:r>
      <w:r>
        <w:rPr>
          <w:spacing w:val="2"/>
          <w:sz w:val="13"/>
        </w:rPr>
        <w:t>January </w:t>
      </w:r>
      <w:r>
        <w:rPr>
          <w:sz w:val="13"/>
        </w:rPr>
        <w:t>2022) [52]. 70</w:t>
        <w:tab/>
        <w:t>Ibid [53].</w:t>
      </w:r>
    </w:p>
    <w:p>
      <w:pPr>
        <w:pStyle w:val="ListParagraph"/>
        <w:numPr>
          <w:ilvl w:val="0"/>
          <w:numId w:val="119"/>
        </w:numPr>
        <w:tabs>
          <w:tab w:pos="1760" w:val="left" w:leader="none"/>
          <w:tab w:pos="1762" w:val="left" w:leader="none"/>
        </w:tabs>
        <w:spacing w:line="152" w:lineRule="exact" w:before="0" w:after="0"/>
        <w:ind w:left="1761" w:right="0" w:hanging="794"/>
        <w:jc w:val="left"/>
        <w:rPr>
          <w:sz w:val="13"/>
        </w:rPr>
      </w:pPr>
      <w:r>
        <w:rPr>
          <w:sz w:val="13"/>
        </w:rPr>
        <w:t>Consultation 11 (Consultation with a Judge, a Tipstaff and </w:t>
      </w:r>
      <w:r>
        <w:rPr>
          <w:spacing w:val="2"/>
          <w:sz w:val="13"/>
        </w:rPr>
        <w:t>Court policy </w:t>
      </w:r>
      <w:r>
        <w:rPr>
          <w:sz w:val="13"/>
        </w:rPr>
        <w:t>staff, Victorian Supreme</w:t>
      </w:r>
      <w:r>
        <w:rPr>
          <w:spacing w:val="16"/>
          <w:sz w:val="13"/>
        </w:rPr>
        <w:t> </w:t>
      </w:r>
      <w:r>
        <w:rPr>
          <w:spacing w:val="2"/>
          <w:sz w:val="13"/>
        </w:rPr>
        <w:t>Court).</w:t>
      </w:r>
    </w:p>
    <w:p>
      <w:pPr>
        <w:pStyle w:val="ListParagraph"/>
        <w:numPr>
          <w:ilvl w:val="0"/>
          <w:numId w:val="119"/>
        </w:numPr>
        <w:tabs>
          <w:tab w:pos="1761" w:val="left" w:leader="none"/>
          <w:tab w:pos="1762" w:val="left" w:leader="none"/>
        </w:tabs>
        <w:spacing w:line="160" w:lineRule="exact" w:before="0" w:after="0"/>
        <w:ind w:left="1761" w:right="0" w:hanging="794"/>
        <w:jc w:val="left"/>
        <w:rPr>
          <w:sz w:val="13"/>
        </w:rPr>
      </w:pPr>
      <w:r>
        <w:rPr>
          <w:sz w:val="13"/>
        </w:rPr>
        <w:t>Victorian Law Reform </w:t>
      </w:r>
      <w:r>
        <w:rPr>
          <w:spacing w:val="2"/>
          <w:sz w:val="13"/>
        </w:rPr>
        <w:t>Commission, </w:t>
      </w:r>
      <w:r>
        <w:rPr>
          <w:i/>
          <w:spacing w:val="2"/>
          <w:sz w:val="13"/>
        </w:rPr>
        <w:t>Jury </w:t>
      </w:r>
      <w:r>
        <w:rPr>
          <w:i/>
          <w:sz w:val="13"/>
        </w:rPr>
        <w:t>Empanelment </w:t>
      </w:r>
      <w:r>
        <w:rPr>
          <w:spacing w:val="2"/>
          <w:sz w:val="13"/>
        </w:rPr>
        <w:t>(Report </w:t>
      </w:r>
      <w:r>
        <w:rPr>
          <w:sz w:val="13"/>
        </w:rPr>
        <w:t>No </w:t>
      </w:r>
      <w:r>
        <w:rPr>
          <w:spacing w:val="-3"/>
          <w:sz w:val="13"/>
        </w:rPr>
        <w:t>27, </w:t>
      </w:r>
      <w:r>
        <w:rPr>
          <w:sz w:val="13"/>
        </w:rPr>
        <w:t>May </w:t>
      </w:r>
      <w:r>
        <w:rPr>
          <w:spacing w:val="2"/>
          <w:sz w:val="13"/>
        </w:rPr>
        <w:t>2014) </w:t>
      </w:r>
      <w:r>
        <w:rPr>
          <w:sz w:val="13"/>
        </w:rPr>
        <w:t>29</w:t>
      </w:r>
      <w:r>
        <w:rPr>
          <w:spacing w:val="4"/>
          <w:sz w:val="13"/>
        </w:rPr>
        <w:t> </w:t>
      </w:r>
      <w:r>
        <w:rPr>
          <w:spacing w:val="2"/>
          <w:sz w:val="13"/>
        </w:rPr>
        <w:t>[3.65].</w:t>
      </w:r>
    </w:p>
    <w:p>
      <w:pPr>
        <w:pStyle w:val="ListParagraph"/>
        <w:numPr>
          <w:ilvl w:val="0"/>
          <w:numId w:val="119"/>
        </w:numPr>
        <w:tabs>
          <w:tab w:pos="1761" w:val="left" w:leader="none"/>
          <w:tab w:pos="1762" w:val="left" w:leader="none"/>
        </w:tabs>
        <w:spacing w:line="170" w:lineRule="exact" w:before="0" w:after="0"/>
        <w:ind w:left="1761" w:right="0" w:hanging="794"/>
        <w:jc w:val="left"/>
        <w:rPr>
          <w:sz w:val="13"/>
        </w:rPr>
      </w:pPr>
      <w:r>
        <w:rPr>
          <w:sz w:val="13"/>
        </w:rPr>
        <w:t>Information provided by Juries Victoria to Victorian Law Reform </w:t>
      </w:r>
      <w:r>
        <w:rPr>
          <w:spacing w:val="2"/>
          <w:sz w:val="13"/>
        </w:rPr>
        <w:t>Commission, </w:t>
      </w:r>
      <w:r>
        <w:rPr>
          <w:sz w:val="13"/>
        </w:rPr>
        <w:t>8 September</w:t>
      </w:r>
      <w:r>
        <w:rPr>
          <w:spacing w:val="17"/>
          <w:sz w:val="13"/>
        </w:rPr>
        <w:t> </w:t>
      </w:r>
      <w:r>
        <w:rPr>
          <w:sz w:val="13"/>
        </w:rPr>
        <w:t>2021.</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28"/>
        </w:rPr>
      </w:pPr>
    </w:p>
    <w:p>
      <w:pPr>
        <w:spacing w:before="0"/>
        <w:ind w:left="602" w:right="0" w:firstLine="0"/>
        <w:jc w:val="left"/>
        <w:rPr>
          <w:b/>
          <w:sz w:val="24"/>
        </w:rPr>
      </w:pPr>
      <w:r>
        <w:rPr>
          <w:b/>
          <w:color w:val="37617A"/>
          <w:sz w:val="24"/>
        </w:rPr>
        <w:t>201</w:t>
      </w:r>
    </w:p>
    <w:p>
      <w:pPr>
        <w:spacing w:after="0"/>
        <w:jc w:val="left"/>
        <w:rPr>
          <w:sz w:val="24"/>
        </w:rPr>
        <w:sectPr>
          <w:type w:val="continuous"/>
          <w:pgSz w:w="11910" w:h="16840"/>
          <w:pgMar w:top="620" w:bottom="280" w:left="620" w:right="380"/>
          <w:cols w:num="2" w:equalWidth="0">
            <w:col w:w="9650" w:space="40"/>
            <w:col w:w="1220"/>
          </w:cols>
        </w:sectPr>
      </w:pPr>
    </w:p>
    <w:p>
      <w:pPr>
        <w:pStyle w:val="BodyText"/>
        <w:rPr>
          <w:b/>
        </w:rPr>
      </w:pPr>
    </w:p>
    <w:p>
      <w:pPr>
        <w:pStyle w:val="BodyText"/>
        <w:rPr>
          <w:b/>
        </w:rPr>
      </w:pPr>
    </w:p>
    <w:p>
      <w:pPr>
        <w:pStyle w:val="BodyText"/>
        <w:rPr>
          <w:b/>
        </w:rPr>
      </w:pPr>
    </w:p>
    <w:p>
      <w:pPr>
        <w:pStyle w:val="BodyText"/>
        <w:rPr>
          <w:b/>
          <w:sz w:val="13"/>
        </w:rPr>
      </w:pPr>
    </w:p>
    <w:p>
      <w:pPr>
        <w:pStyle w:val="ListParagraph"/>
        <w:numPr>
          <w:ilvl w:val="1"/>
          <w:numId w:val="12"/>
        </w:numPr>
        <w:tabs>
          <w:tab w:pos="1761" w:val="left" w:leader="none"/>
          <w:tab w:pos="1762" w:val="left" w:leader="none"/>
        </w:tabs>
        <w:spacing w:line="206" w:lineRule="auto" w:before="90" w:after="0"/>
        <w:ind w:left="1761" w:right="1265" w:hanging="794"/>
        <w:jc w:val="left"/>
        <w:rPr>
          <w:sz w:val="11"/>
        </w:rPr>
      </w:pPr>
      <w:bookmarkStart w:name="_bookmark148" w:id="351"/>
      <w:bookmarkEnd w:id="351"/>
      <w:r>
        <w:rPr/>
      </w:r>
      <w:bookmarkStart w:name="_bookmark148" w:id="352"/>
      <w:bookmarkEnd w:id="352"/>
      <w:r>
        <w:rPr>
          <w:sz w:val="20"/>
        </w:rPr>
        <w:t>C</w:t>
      </w:r>
      <w:r>
        <w:rPr>
          <w:sz w:val="20"/>
        </w:rPr>
        <w:t>onsidering</w:t>
      </w:r>
      <w:r>
        <w:rPr>
          <w:spacing w:val="-9"/>
          <w:sz w:val="20"/>
        </w:rPr>
        <w:t> </w:t>
      </w:r>
      <w:r>
        <w:rPr>
          <w:sz w:val="20"/>
        </w:rPr>
        <w:t>this</w:t>
      </w:r>
      <w:r>
        <w:rPr>
          <w:spacing w:val="-9"/>
          <w:sz w:val="20"/>
        </w:rPr>
        <w:t> </w:t>
      </w:r>
      <w:r>
        <w:rPr>
          <w:sz w:val="20"/>
        </w:rPr>
        <w:t>guiding</w:t>
      </w:r>
      <w:r>
        <w:rPr>
          <w:spacing w:val="-9"/>
          <w:sz w:val="20"/>
        </w:rPr>
        <w:t> </w:t>
      </w:r>
      <w:r>
        <w:rPr>
          <w:spacing w:val="-3"/>
          <w:sz w:val="20"/>
        </w:rPr>
        <w:t>policy,</w:t>
      </w:r>
      <w:r>
        <w:rPr>
          <w:spacing w:val="-9"/>
          <w:sz w:val="20"/>
        </w:rPr>
        <w:t> </w:t>
      </w:r>
      <w:r>
        <w:rPr>
          <w:sz w:val="20"/>
        </w:rPr>
        <w:t>it</w:t>
      </w:r>
      <w:r>
        <w:rPr>
          <w:spacing w:val="-9"/>
          <w:sz w:val="20"/>
        </w:rPr>
        <w:t> </w:t>
      </w:r>
      <w:r>
        <w:rPr>
          <w:sz w:val="20"/>
        </w:rPr>
        <w:t>appears</w:t>
      </w:r>
      <w:r>
        <w:rPr>
          <w:spacing w:val="-9"/>
          <w:sz w:val="20"/>
        </w:rPr>
        <w:t> </w:t>
      </w:r>
      <w:r>
        <w:rPr>
          <w:sz w:val="20"/>
        </w:rPr>
        <w:t>less</w:t>
      </w:r>
      <w:r>
        <w:rPr>
          <w:spacing w:val="-8"/>
          <w:sz w:val="20"/>
        </w:rPr>
        <w:t> </w:t>
      </w:r>
      <w:r>
        <w:rPr>
          <w:spacing w:val="-3"/>
          <w:sz w:val="20"/>
        </w:rPr>
        <w:t>likely</w:t>
      </w:r>
      <w:r>
        <w:rPr>
          <w:spacing w:val="-9"/>
          <w:sz w:val="20"/>
        </w:rPr>
        <w:t> </w:t>
      </w:r>
      <w:r>
        <w:rPr>
          <w:sz w:val="20"/>
        </w:rPr>
        <w:t>that</w:t>
      </w:r>
      <w:r>
        <w:rPr>
          <w:spacing w:val="-9"/>
          <w:sz w:val="20"/>
        </w:rPr>
        <w:t> </w:t>
      </w:r>
      <w:r>
        <w:rPr>
          <w:sz w:val="20"/>
        </w:rPr>
        <w:t>stand</w:t>
      </w:r>
      <w:r>
        <w:rPr>
          <w:spacing w:val="-9"/>
          <w:sz w:val="20"/>
        </w:rPr>
        <w:t> </w:t>
      </w:r>
      <w:r>
        <w:rPr>
          <w:sz w:val="20"/>
        </w:rPr>
        <w:t>asides</w:t>
      </w:r>
      <w:r>
        <w:rPr>
          <w:spacing w:val="-9"/>
          <w:sz w:val="20"/>
        </w:rPr>
        <w:t> </w:t>
      </w:r>
      <w:r>
        <w:rPr>
          <w:sz w:val="20"/>
        </w:rPr>
        <w:t>will</w:t>
      </w:r>
      <w:r>
        <w:rPr>
          <w:spacing w:val="-9"/>
          <w:sz w:val="20"/>
        </w:rPr>
        <w:t> </w:t>
      </w:r>
      <w:r>
        <w:rPr>
          <w:sz w:val="20"/>
        </w:rPr>
        <w:t>be</w:t>
      </w:r>
      <w:r>
        <w:rPr>
          <w:spacing w:val="-9"/>
          <w:sz w:val="20"/>
        </w:rPr>
        <w:t> </w:t>
      </w:r>
      <w:r>
        <w:rPr>
          <w:sz w:val="20"/>
        </w:rPr>
        <w:t>used</w:t>
      </w:r>
      <w:r>
        <w:rPr>
          <w:spacing w:val="-8"/>
          <w:sz w:val="20"/>
        </w:rPr>
        <w:t> </w:t>
      </w:r>
      <w:r>
        <w:rPr>
          <w:sz w:val="20"/>
        </w:rPr>
        <w:t>in</w:t>
      </w:r>
      <w:r>
        <w:rPr>
          <w:spacing w:val="-9"/>
          <w:sz w:val="20"/>
        </w:rPr>
        <w:t> </w:t>
      </w:r>
      <w:r>
        <w:rPr>
          <w:sz w:val="20"/>
        </w:rPr>
        <w:t>a discriminatory </w:t>
      </w:r>
      <w:r>
        <w:rPr>
          <w:spacing w:val="-4"/>
          <w:sz w:val="20"/>
        </w:rPr>
        <w:t>way </w:t>
      </w:r>
      <w:r>
        <w:rPr>
          <w:sz w:val="20"/>
        </w:rPr>
        <w:t>against people in the subject groups than peremptory challenges. The OPP </w:t>
      </w:r>
      <w:r>
        <w:rPr>
          <w:spacing w:val="-3"/>
          <w:sz w:val="20"/>
        </w:rPr>
        <w:t>referred </w:t>
      </w:r>
      <w:r>
        <w:rPr>
          <w:sz w:val="20"/>
        </w:rPr>
        <w:t>to its common law duty to act as a ‘model </w:t>
      </w:r>
      <w:r>
        <w:rPr>
          <w:spacing w:val="-4"/>
          <w:sz w:val="20"/>
        </w:rPr>
        <w:t>litigant’.</w:t>
      </w:r>
      <w:r>
        <w:rPr>
          <w:spacing w:val="-4"/>
          <w:position w:val="7"/>
          <w:sz w:val="11"/>
        </w:rPr>
        <w:t>74 </w:t>
      </w:r>
      <w:r>
        <w:rPr>
          <w:sz w:val="20"/>
        </w:rPr>
        <w:t>The Victorian model</w:t>
      </w:r>
      <w:r>
        <w:rPr>
          <w:spacing w:val="-11"/>
          <w:sz w:val="20"/>
        </w:rPr>
        <w:t> </w:t>
      </w:r>
      <w:r>
        <w:rPr>
          <w:sz w:val="20"/>
        </w:rPr>
        <w:t>litigant</w:t>
      </w:r>
      <w:r>
        <w:rPr>
          <w:spacing w:val="-11"/>
          <w:sz w:val="20"/>
        </w:rPr>
        <w:t> </w:t>
      </w:r>
      <w:r>
        <w:rPr>
          <w:sz w:val="20"/>
        </w:rPr>
        <w:t>guidelines,</w:t>
      </w:r>
      <w:r>
        <w:rPr>
          <w:spacing w:val="-10"/>
          <w:sz w:val="20"/>
        </w:rPr>
        <w:t> </w:t>
      </w:r>
      <w:r>
        <w:rPr>
          <w:sz w:val="20"/>
        </w:rPr>
        <w:t>originally</w:t>
      </w:r>
      <w:r>
        <w:rPr>
          <w:spacing w:val="-11"/>
          <w:sz w:val="20"/>
        </w:rPr>
        <w:t> </w:t>
      </w:r>
      <w:r>
        <w:rPr>
          <w:sz w:val="20"/>
        </w:rPr>
        <w:t>issued</w:t>
      </w:r>
      <w:r>
        <w:rPr>
          <w:spacing w:val="-10"/>
          <w:sz w:val="20"/>
        </w:rPr>
        <w:t> </w:t>
      </w:r>
      <w:r>
        <w:rPr>
          <w:sz w:val="20"/>
        </w:rPr>
        <w:t>in</w:t>
      </w:r>
      <w:r>
        <w:rPr>
          <w:spacing w:val="-11"/>
          <w:sz w:val="20"/>
        </w:rPr>
        <w:t> </w:t>
      </w:r>
      <w:r>
        <w:rPr>
          <w:sz w:val="20"/>
        </w:rPr>
        <w:t>2001</w:t>
      </w:r>
      <w:r>
        <w:rPr>
          <w:spacing w:val="-11"/>
          <w:sz w:val="20"/>
        </w:rPr>
        <w:t> </w:t>
      </w:r>
      <w:r>
        <w:rPr>
          <w:sz w:val="20"/>
        </w:rPr>
        <w:t>and</w:t>
      </w:r>
      <w:r>
        <w:rPr>
          <w:spacing w:val="-10"/>
          <w:sz w:val="20"/>
        </w:rPr>
        <w:t> </w:t>
      </w:r>
      <w:r>
        <w:rPr>
          <w:spacing w:val="-3"/>
          <w:sz w:val="20"/>
        </w:rPr>
        <w:t>revised</w:t>
      </w:r>
      <w:r>
        <w:rPr>
          <w:spacing w:val="-11"/>
          <w:sz w:val="20"/>
        </w:rPr>
        <w:t> </w:t>
      </w:r>
      <w:r>
        <w:rPr>
          <w:sz w:val="20"/>
        </w:rPr>
        <w:t>in</w:t>
      </w:r>
      <w:r>
        <w:rPr>
          <w:spacing w:val="-10"/>
          <w:sz w:val="20"/>
        </w:rPr>
        <w:t> </w:t>
      </w:r>
      <w:r>
        <w:rPr>
          <w:spacing w:val="-3"/>
          <w:sz w:val="20"/>
        </w:rPr>
        <w:t>2021,</w:t>
      </w:r>
      <w:r>
        <w:rPr>
          <w:spacing w:val="-11"/>
          <w:sz w:val="20"/>
        </w:rPr>
        <w:t> </w:t>
      </w:r>
      <w:r>
        <w:rPr>
          <w:sz w:val="20"/>
        </w:rPr>
        <w:t>set</w:t>
      </w:r>
      <w:r>
        <w:rPr>
          <w:spacing w:val="-10"/>
          <w:sz w:val="20"/>
        </w:rPr>
        <w:t> </w:t>
      </w:r>
      <w:r>
        <w:rPr>
          <w:sz w:val="20"/>
        </w:rPr>
        <w:t>standards</w:t>
      </w:r>
      <w:r>
        <w:rPr>
          <w:spacing w:val="-11"/>
          <w:sz w:val="20"/>
        </w:rPr>
        <w:t> </w:t>
      </w:r>
      <w:r>
        <w:rPr>
          <w:sz w:val="20"/>
        </w:rPr>
        <w:t>for </w:t>
      </w:r>
      <w:r>
        <w:rPr>
          <w:spacing w:val="-3"/>
          <w:sz w:val="20"/>
        </w:rPr>
        <w:t>how </w:t>
      </w:r>
      <w:r>
        <w:rPr>
          <w:sz w:val="20"/>
        </w:rPr>
        <w:t>the state should </w:t>
      </w:r>
      <w:r>
        <w:rPr>
          <w:spacing w:val="-3"/>
          <w:sz w:val="20"/>
        </w:rPr>
        <w:t>behave </w:t>
      </w:r>
      <w:r>
        <w:rPr>
          <w:sz w:val="20"/>
        </w:rPr>
        <w:t>as a party to legal proceedings.</w:t>
      </w:r>
      <w:r>
        <w:rPr>
          <w:position w:val="7"/>
          <w:sz w:val="11"/>
        </w:rPr>
        <w:t>75 </w:t>
      </w:r>
      <w:r>
        <w:rPr>
          <w:sz w:val="20"/>
        </w:rPr>
        <w:t>Being a model litigant </w:t>
      </w:r>
      <w:r>
        <w:rPr>
          <w:spacing w:val="-3"/>
          <w:sz w:val="20"/>
        </w:rPr>
        <w:t>requires </w:t>
      </w:r>
      <w:r>
        <w:rPr>
          <w:sz w:val="20"/>
        </w:rPr>
        <w:t>that the state and its agencies, as parties to litigation, </w:t>
      </w:r>
      <w:r>
        <w:rPr>
          <w:spacing w:val="-3"/>
          <w:sz w:val="20"/>
        </w:rPr>
        <w:t>‘act </w:t>
      </w:r>
      <w:r>
        <w:rPr>
          <w:sz w:val="20"/>
        </w:rPr>
        <w:t>with </w:t>
      </w:r>
      <w:r>
        <w:rPr>
          <w:spacing w:val="-3"/>
          <w:sz w:val="20"/>
        </w:rPr>
        <w:t>complete propriety, fairly </w:t>
      </w:r>
      <w:r>
        <w:rPr>
          <w:sz w:val="20"/>
        </w:rPr>
        <w:t>and in </w:t>
      </w:r>
      <w:r>
        <w:rPr>
          <w:spacing w:val="-3"/>
          <w:sz w:val="20"/>
        </w:rPr>
        <w:t>accordance </w:t>
      </w:r>
      <w:r>
        <w:rPr>
          <w:sz w:val="20"/>
        </w:rPr>
        <w:t>with the highest professional</w:t>
      </w:r>
      <w:r>
        <w:rPr>
          <w:spacing w:val="-32"/>
          <w:sz w:val="20"/>
        </w:rPr>
        <w:t> </w:t>
      </w:r>
      <w:r>
        <w:rPr>
          <w:spacing w:val="-4"/>
          <w:sz w:val="20"/>
        </w:rPr>
        <w:t>standards’.</w:t>
      </w:r>
      <w:r>
        <w:rPr>
          <w:spacing w:val="-4"/>
          <w:position w:val="7"/>
          <w:sz w:val="11"/>
        </w:rPr>
        <w:t>76</w:t>
      </w:r>
    </w:p>
    <w:p>
      <w:pPr>
        <w:spacing w:before="167"/>
        <w:ind w:left="967" w:right="0" w:firstLine="0"/>
        <w:jc w:val="left"/>
        <w:rPr>
          <w:b/>
          <w:sz w:val="24"/>
        </w:rPr>
      </w:pPr>
      <w:r>
        <w:rPr>
          <w:b/>
          <w:sz w:val="24"/>
        </w:rPr>
        <w:t>The legal profession’s view: stand asides</w:t>
      </w:r>
    </w:p>
    <w:p>
      <w:pPr>
        <w:pStyle w:val="ListParagraph"/>
        <w:numPr>
          <w:ilvl w:val="1"/>
          <w:numId w:val="12"/>
        </w:numPr>
        <w:tabs>
          <w:tab w:pos="1761" w:val="left" w:leader="none"/>
          <w:tab w:pos="1762" w:val="left" w:leader="none"/>
        </w:tabs>
        <w:spacing w:line="206" w:lineRule="auto" w:before="127" w:after="0"/>
        <w:ind w:left="1761" w:right="1321" w:hanging="794"/>
        <w:jc w:val="left"/>
        <w:rPr>
          <w:sz w:val="11"/>
        </w:rPr>
      </w:pPr>
      <w:r>
        <w:rPr>
          <w:sz w:val="20"/>
        </w:rPr>
        <w:t>The </w:t>
      </w:r>
      <w:r>
        <w:rPr>
          <w:spacing w:val="-6"/>
          <w:sz w:val="20"/>
        </w:rPr>
        <w:t>OPP, </w:t>
      </w:r>
      <w:r>
        <w:rPr>
          <w:sz w:val="20"/>
        </w:rPr>
        <w:t>the County Courts and Juries Victoria thought that the DPP’s stand aside policy should remain unchanged.</w:t>
      </w:r>
      <w:r>
        <w:rPr>
          <w:position w:val="7"/>
          <w:sz w:val="11"/>
        </w:rPr>
        <w:t>77 </w:t>
      </w:r>
      <w:r>
        <w:rPr>
          <w:sz w:val="20"/>
        </w:rPr>
        <w:t>County Court consultees suggested that it </w:t>
      </w:r>
      <w:r>
        <w:rPr>
          <w:spacing w:val="-3"/>
          <w:sz w:val="20"/>
        </w:rPr>
        <w:t>would </w:t>
      </w:r>
      <w:r>
        <w:rPr>
          <w:sz w:val="20"/>
        </w:rPr>
        <w:t>be</w:t>
      </w:r>
      <w:r>
        <w:rPr>
          <w:spacing w:val="-11"/>
          <w:sz w:val="20"/>
        </w:rPr>
        <w:t> </w:t>
      </w:r>
      <w:r>
        <w:rPr>
          <w:sz w:val="20"/>
        </w:rPr>
        <w:t>a</w:t>
      </w:r>
      <w:r>
        <w:rPr>
          <w:spacing w:val="-11"/>
          <w:sz w:val="20"/>
        </w:rPr>
        <w:t> </w:t>
      </w:r>
      <w:r>
        <w:rPr>
          <w:sz w:val="20"/>
        </w:rPr>
        <w:t>matter</w:t>
      </w:r>
      <w:r>
        <w:rPr>
          <w:spacing w:val="-10"/>
          <w:sz w:val="20"/>
        </w:rPr>
        <w:t> </w:t>
      </w:r>
      <w:r>
        <w:rPr>
          <w:sz w:val="20"/>
        </w:rPr>
        <w:t>for</w:t>
      </w:r>
      <w:r>
        <w:rPr>
          <w:spacing w:val="-11"/>
          <w:sz w:val="20"/>
        </w:rPr>
        <w:t> </w:t>
      </w:r>
      <w:r>
        <w:rPr>
          <w:sz w:val="20"/>
        </w:rPr>
        <w:t>the</w:t>
      </w:r>
      <w:r>
        <w:rPr>
          <w:spacing w:val="-11"/>
          <w:sz w:val="20"/>
        </w:rPr>
        <w:t> </w:t>
      </w:r>
      <w:r>
        <w:rPr>
          <w:sz w:val="20"/>
        </w:rPr>
        <w:t>OPP</w:t>
      </w:r>
      <w:r>
        <w:rPr>
          <w:spacing w:val="-10"/>
          <w:sz w:val="20"/>
        </w:rPr>
        <w:t> </w:t>
      </w:r>
      <w:r>
        <w:rPr>
          <w:sz w:val="20"/>
        </w:rPr>
        <w:t>to</w:t>
      </w:r>
      <w:r>
        <w:rPr>
          <w:spacing w:val="-11"/>
          <w:sz w:val="20"/>
        </w:rPr>
        <w:t> </w:t>
      </w:r>
      <w:r>
        <w:rPr>
          <w:sz w:val="20"/>
        </w:rPr>
        <w:t>consider</w:t>
      </w:r>
      <w:r>
        <w:rPr>
          <w:spacing w:val="-11"/>
          <w:sz w:val="20"/>
        </w:rPr>
        <w:t> </w:t>
      </w:r>
      <w:r>
        <w:rPr>
          <w:sz w:val="20"/>
        </w:rPr>
        <w:t>changing</w:t>
      </w:r>
      <w:r>
        <w:rPr>
          <w:spacing w:val="-10"/>
          <w:sz w:val="20"/>
        </w:rPr>
        <w:t> </w:t>
      </w:r>
      <w:r>
        <w:rPr>
          <w:sz w:val="20"/>
        </w:rPr>
        <w:t>its</w:t>
      </w:r>
      <w:r>
        <w:rPr>
          <w:spacing w:val="-11"/>
          <w:sz w:val="20"/>
        </w:rPr>
        <w:t> </w:t>
      </w:r>
      <w:r>
        <w:rPr>
          <w:sz w:val="20"/>
        </w:rPr>
        <w:t>guidelines.</w:t>
      </w:r>
      <w:r>
        <w:rPr>
          <w:position w:val="7"/>
          <w:sz w:val="11"/>
        </w:rPr>
        <w:t>78</w:t>
      </w:r>
      <w:r>
        <w:rPr>
          <w:spacing w:val="14"/>
          <w:position w:val="7"/>
          <w:sz w:val="11"/>
        </w:rPr>
        <w:t> </w:t>
      </w:r>
      <w:r>
        <w:rPr>
          <w:sz w:val="20"/>
        </w:rPr>
        <w:t>Juries</w:t>
      </w:r>
      <w:r>
        <w:rPr>
          <w:spacing w:val="-11"/>
          <w:sz w:val="20"/>
        </w:rPr>
        <w:t> </w:t>
      </w:r>
      <w:r>
        <w:rPr>
          <w:sz w:val="20"/>
        </w:rPr>
        <w:t>Victoria</w:t>
      </w:r>
      <w:r>
        <w:rPr>
          <w:spacing w:val="-10"/>
          <w:sz w:val="20"/>
        </w:rPr>
        <w:t> </w:t>
      </w:r>
      <w:r>
        <w:rPr>
          <w:sz w:val="20"/>
        </w:rPr>
        <w:t>submitted that it ‘does not feel peremptory challenges and stand asides should be </w:t>
      </w:r>
      <w:r>
        <w:rPr>
          <w:spacing w:val="-3"/>
          <w:sz w:val="20"/>
        </w:rPr>
        <w:t>altered </w:t>
      </w:r>
      <w:r>
        <w:rPr>
          <w:sz w:val="20"/>
        </w:rPr>
        <w:t>in response</w:t>
      </w:r>
      <w:r>
        <w:rPr>
          <w:spacing w:val="-7"/>
          <w:sz w:val="20"/>
        </w:rPr>
        <w:t> </w:t>
      </w:r>
      <w:r>
        <w:rPr>
          <w:sz w:val="20"/>
        </w:rPr>
        <w:t>to</w:t>
      </w:r>
      <w:r>
        <w:rPr>
          <w:spacing w:val="-6"/>
          <w:sz w:val="20"/>
        </w:rPr>
        <w:t> </w:t>
      </w:r>
      <w:r>
        <w:rPr>
          <w:sz w:val="20"/>
        </w:rPr>
        <w:t>the</w:t>
      </w:r>
      <w:r>
        <w:rPr>
          <w:spacing w:val="-6"/>
          <w:sz w:val="20"/>
        </w:rPr>
        <w:t> </w:t>
      </w:r>
      <w:r>
        <w:rPr>
          <w:sz w:val="20"/>
        </w:rPr>
        <w:t>inclusion</w:t>
      </w:r>
      <w:r>
        <w:rPr>
          <w:spacing w:val="-7"/>
          <w:sz w:val="20"/>
        </w:rPr>
        <w:t> </w:t>
      </w:r>
      <w:r>
        <w:rPr>
          <w:sz w:val="20"/>
        </w:rPr>
        <w:t>of</w:t>
      </w:r>
      <w:r>
        <w:rPr>
          <w:spacing w:val="-6"/>
          <w:sz w:val="20"/>
        </w:rPr>
        <w:t> </w:t>
      </w:r>
      <w:r>
        <w:rPr>
          <w:sz w:val="20"/>
        </w:rPr>
        <w:t>persons</w:t>
      </w:r>
      <w:r>
        <w:rPr>
          <w:spacing w:val="-6"/>
          <w:sz w:val="20"/>
        </w:rPr>
        <w:t> </w:t>
      </w:r>
      <w:r>
        <w:rPr>
          <w:sz w:val="20"/>
        </w:rPr>
        <w:t>in</w:t>
      </w:r>
      <w:r>
        <w:rPr>
          <w:spacing w:val="-7"/>
          <w:sz w:val="20"/>
        </w:rPr>
        <w:t> </w:t>
      </w:r>
      <w:r>
        <w:rPr>
          <w:sz w:val="20"/>
        </w:rPr>
        <w:t>the</w:t>
      </w:r>
      <w:r>
        <w:rPr>
          <w:spacing w:val="-6"/>
          <w:sz w:val="20"/>
        </w:rPr>
        <w:t> </w:t>
      </w:r>
      <w:r>
        <w:rPr>
          <w:sz w:val="20"/>
        </w:rPr>
        <w:t>subject</w:t>
      </w:r>
      <w:r>
        <w:rPr>
          <w:spacing w:val="-6"/>
          <w:sz w:val="20"/>
        </w:rPr>
        <w:t> </w:t>
      </w:r>
      <w:r>
        <w:rPr>
          <w:sz w:val="20"/>
        </w:rPr>
        <w:t>groups</w:t>
      </w:r>
      <w:r>
        <w:rPr>
          <w:spacing w:val="-7"/>
          <w:sz w:val="20"/>
        </w:rPr>
        <w:t> </w:t>
      </w:r>
      <w:r>
        <w:rPr>
          <w:sz w:val="20"/>
        </w:rPr>
        <w:t>in</w:t>
      </w:r>
      <w:r>
        <w:rPr>
          <w:spacing w:val="-6"/>
          <w:sz w:val="20"/>
        </w:rPr>
        <w:t> </w:t>
      </w:r>
      <w:r>
        <w:rPr>
          <w:sz w:val="20"/>
        </w:rPr>
        <w:t>the</w:t>
      </w:r>
      <w:r>
        <w:rPr>
          <w:spacing w:val="-6"/>
          <w:sz w:val="20"/>
        </w:rPr>
        <w:t> </w:t>
      </w:r>
      <w:r>
        <w:rPr>
          <w:sz w:val="20"/>
        </w:rPr>
        <w:t>jury</w:t>
      </w:r>
      <w:r>
        <w:rPr>
          <w:spacing w:val="-7"/>
          <w:sz w:val="20"/>
        </w:rPr>
        <w:t> </w:t>
      </w:r>
      <w:r>
        <w:rPr>
          <w:spacing w:val="-4"/>
          <w:sz w:val="20"/>
        </w:rPr>
        <w:t>process’.</w:t>
      </w:r>
      <w:r>
        <w:rPr>
          <w:spacing w:val="-4"/>
          <w:position w:val="7"/>
          <w:sz w:val="11"/>
        </w:rPr>
        <w:t>79</w:t>
      </w:r>
    </w:p>
    <w:p>
      <w:pPr>
        <w:pStyle w:val="ListParagraph"/>
        <w:numPr>
          <w:ilvl w:val="1"/>
          <w:numId w:val="12"/>
        </w:numPr>
        <w:tabs>
          <w:tab w:pos="1761" w:val="left" w:leader="none"/>
          <w:tab w:pos="1762" w:val="left" w:leader="none"/>
        </w:tabs>
        <w:spacing w:line="240" w:lineRule="auto" w:before="94" w:after="0"/>
        <w:ind w:left="1761" w:right="0" w:hanging="794"/>
        <w:jc w:val="left"/>
        <w:rPr>
          <w:sz w:val="20"/>
        </w:rPr>
      </w:pPr>
      <w:r>
        <w:rPr>
          <w:sz w:val="20"/>
        </w:rPr>
        <w:t>The OPP pointed to another</w:t>
      </w:r>
      <w:r>
        <w:rPr>
          <w:spacing w:val="-23"/>
          <w:sz w:val="20"/>
        </w:rPr>
        <w:t> </w:t>
      </w:r>
      <w:r>
        <w:rPr>
          <w:sz w:val="20"/>
        </w:rPr>
        <w:t>consideration:</w:t>
      </w:r>
    </w:p>
    <w:p>
      <w:pPr>
        <w:spacing w:line="208" w:lineRule="auto" w:before="113"/>
        <w:ind w:left="2157" w:right="1279" w:firstLine="0"/>
        <w:jc w:val="left"/>
        <w:rPr>
          <w:sz w:val="11"/>
        </w:rPr>
      </w:pPr>
      <w:r>
        <w:rPr>
          <w:sz w:val="19"/>
        </w:rPr>
        <w:t>because disability is so broad, and because disability can be overcome with supports which does not apply to age, gender, religion etc. Removing the power of the OPP to stand aside might actually create an issue for the person with a disability.</w:t>
      </w:r>
      <w:r>
        <w:rPr>
          <w:position w:val="6"/>
          <w:sz w:val="11"/>
        </w:rPr>
        <w:t>80</w:t>
      </w:r>
    </w:p>
    <w:p>
      <w:pPr>
        <w:pStyle w:val="ListParagraph"/>
        <w:numPr>
          <w:ilvl w:val="1"/>
          <w:numId w:val="12"/>
        </w:numPr>
        <w:tabs>
          <w:tab w:pos="1761" w:val="left" w:leader="none"/>
          <w:tab w:pos="1762" w:val="left" w:leader="none"/>
        </w:tabs>
        <w:spacing w:line="206" w:lineRule="auto" w:before="124" w:after="0"/>
        <w:ind w:left="1761" w:right="1299" w:hanging="794"/>
        <w:jc w:val="left"/>
        <w:rPr>
          <w:sz w:val="11"/>
        </w:rPr>
      </w:pPr>
      <w:r>
        <w:rPr>
          <w:sz w:val="20"/>
        </w:rPr>
        <w:t>The </w:t>
      </w:r>
      <w:r>
        <w:rPr>
          <w:spacing w:val="-3"/>
          <w:sz w:val="20"/>
        </w:rPr>
        <w:t>example </w:t>
      </w:r>
      <w:r>
        <w:rPr>
          <w:sz w:val="20"/>
        </w:rPr>
        <w:t>the OPP </w:t>
      </w:r>
      <w:r>
        <w:rPr>
          <w:spacing w:val="-3"/>
          <w:sz w:val="20"/>
        </w:rPr>
        <w:t>provided </w:t>
      </w:r>
      <w:r>
        <w:rPr>
          <w:sz w:val="20"/>
        </w:rPr>
        <w:t>was if the potential juror could fulfil the </w:t>
      </w:r>
      <w:r>
        <w:rPr>
          <w:spacing w:val="-3"/>
          <w:sz w:val="20"/>
        </w:rPr>
        <w:t>role </w:t>
      </w:r>
      <w:r>
        <w:rPr>
          <w:sz w:val="20"/>
        </w:rPr>
        <w:t>of juror with</w:t>
      </w:r>
      <w:r>
        <w:rPr>
          <w:spacing w:val="-12"/>
          <w:sz w:val="20"/>
        </w:rPr>
        <w:t> </w:t>
      </w:r>
      <w:r>
        <w:rPr>
          <w:sz w:val="20"/>
        </w:rPr>
        <w:t>reasonable</w:t>
      </w:r>
      <w:r>
        <w:rPr>
          <w:spacing w:val="-12"/>
          <w:sz w:val="20"/>
        </w:rPr>
        <w:t> </w:t>
      </w:r>
      <w:r>
        <w:rPr>
          <w:sz w:val="20"/>
        </w:rPr>
        <w:t>adjustments,</w:t>
      </w:r>
      <w:r>
        <w:rPr>
          <w:spacing w:val="-12"/>
          <w:sz w:val="20"/>
        </w:rPr>
        <w:t> </w:t>
      </w:r>
      <w:r>
        <w:rPr>
          <w:sz w:val="20"/>
        </w:rPr>
        <w:t>but</w:t>
      </w:r>
      <w:r>
        <w:rPr>
          <w:spacing w:val="-12"/>
          <w:sz w:val="20"/>
        </w:rPr>
        <w:t> </w:t>
      </w:r>
      <w:r>
        <w:rPr>
          <w:sz w:val="20"/>
        </w:rPr>
        <w:t>felt</w:t>
      </w:r>
      <w:r>
        <w:rPr>
          <w:spacing w:val="-12"/>
          <w:sz w:val="20"/>
        </w:rPr>
        <w:t> </w:t>
      </w:r>
      <w:r>
        <w:rPr>
          <w:spacing w:val="-2"/>
          <w:sz w:val="20"/>
        </w:rPr>
        <w:t>extremely</w:t>
      </w:r>
      <w:r>
        <w:rPr>
          <w:spacing w:val="-12"/>
          <w:sz w:val="20"/>
        </w:rPr>
        <w:t> </w:t>
      </w:r>
      <w:r>
        <w:rPr>
          <w:sz w:val="20"/>
        </w:rPr>
        <w:t>anxious</w:t>
      </w:r>
      <w:r>
        <w:rPr>
          <w:spacing w:val="-12"/>
          <w:sz w:val="20"/>
        </w:rPr>
        <w:t> </w:t>
      </w:r>
      <w:r>
        <w:rPr>
          <w:sz w:val="20"/>
        </w:rPr>
        <w:t>about</w:t>
      </w:r>
      <w:r>
        <w:rPr>
          <w:spacing w:val="-12"/>
          <w:sz w:val="20"/>
        </w:rPr>
        <w:t> </w:t>
      </w:r>
      <w:r>
        <w:rPr>
          <w:sz w:val="20"/>
        </w:rPr>
        <w:t>doing</w:t>
      </w:r>
      <w:r>
        <w:rPr>
          <w:spacing w:val="-12"/>
          <w:sz w:val="20"/>
        </w:rPr>
        <w:t> </w:t>
      </w:r>
      <w:r>
        <w:rPr>
          <w:spacing w:val="-2"/>
          <w:sz w:val="20"/>
        </w:rPr>
        <w:t>so,</w:t>
      </w:r>
      <w:r>
        <w:rPr>
          <w:spacing w:val="-12"/>
          <w:sz w:val="20"/>
        </w:rPr>
        <w:t> </w:t>
      </w:r>
      <w:r>
        <w:rPr>
          <w:sz w:val="20"/>
        </w:rPr>
        <w:t>and</w:t>
      </w:r>
      <w:r>
        <w:rPr>
          <w:spacing w:val="-12"/>
          <w:sz w:val="20"/>
        </w:rPr>
        <w:t> </w:t>
      </w:r>
      <w:r>
        <w:rPr>
          <w:sz w:val="20"/>
        </w:rPr>
        <w:t>the</w:t>
      </w:r>
      <w:r>
        <w:rPr>
          <w:spacing w:val="-12"/>
          <w:sz w:val="20"/>
        </w:rPr>
        <w:t> </w:t>
      </w:r>
      <w:r>
        <w:rPr>
          <w:sz w:val="20"/>
        </w:rPr>
        <w:t>judge </w:t>
      </w:r>
      <w:r>
        <w:rPr>
          <w:spacing w:val="-3"/>
          <w:sz w:val="20"/>
        </w:rPr>
        <w:t>refused </w:t>
      </w:r>
      <w:r>
        <w:rPr>
          <w:sz w:val="20"/>
        </w:rPr>
        <w:t>to </w:t>
      </w:r>
      <w:r>
        <w:rPr>
          <w:spacing w:val="-3"/>
          <w:sz w:val="20"/>
        </w:rPr>
        <w:t>allow </w:t>
      </w:r>
      <w:r>
        <w:rPr>
          <w:sz w:val="20"/>
        </w:rPr>
        <w:t>them to be </w:t>
      </w:r>
      <w:r>
        <w:rPr>
          <w:spacing w:val="-3"/>
          <w:sz w:val="20"/>
        </w:rPr>
        <w:t>excused. </w:t>
      </w:r>
      <w:r>
        <w:rPr>
          <w:sz w:val="20"/>
        </w:rPr>
        <w:t>In this situation a stand aside could be used to </w:t>
      </w:r>
      <w:r>
        <w:rPr>
          <w:spacing w:val="-3"/>
          <w:sz w:val="20"/>
        </w:rPr>
        <w:t>overcome </w:t>
      </w:r>
      <w:r>
        <w:rPr>
          <w:sz w:val="20"/>
        </w:rPr>
        <w:t>the decision of the</w:t>
      </w:r>
      <w:r>
        <w:rPr>
          <w:spacing w:val="-18"/>
          <w:sz w:val="20"/>
        </w:rPr>
        <w:t> </w:t>
      </w:r>
      <w:r>
        <w:rPr>
          <w:sz w:val="20"/>
        </w:rPr>
        <w:t>judge.</w:t>
      </w:r>
      <w:r>
        <w:rPr>
          <w:position w:val="7"/>
          <w:sz w:val="11"/>
        </w:rPr>
        <w:t>81</w:t>
      </w:r>
    </w:p>
    <w:p>
      <w:pPr>
        <w:pStyle w:val="ListParagraph"/>
        <w:numPr>
          <w:ilvl w:val="1"/>
          <w:numId w:val="12"/>
        </w:numPr>
        <w:tabs>
          <w:tab w:pos="1762" w:val="left" w:leader="none"/>
        </w:tabs>
        <w:spacing w:line="206" w:lineRule="auto" w:before="125" w:after="0"/>
        <w:ind w:left="1761" w:right="1703" w:hanging="794"/>
        <w:jc w:val="both"/>
        <w:rPr>
          <w:sz w:val="11"/>
        </w:rPr>
      </w:pPr>
      <w:r>
        <w:rPr>
          <w:spacing w:val="-4"/>
          <w:sz w:val="20"/>
        </w:rPr>
        <w:t>Ultimately,</w:t>
      </w:r>
      <w:r>
        <w:rPr>
          <w:spacing w:val="-9"/>
          <w:sz w:val="20"/>
        </w:rPr>
        <w:t> </w:t>
      </w:r>
      <w:r>
        <w:rPr>
          <w:sz w:val="20"/>
        </w:rPr>
        <w:t>the</w:t>
      </w:r>
      <w:r>
        <w:rPr>
          <w:spacing w:val="-9"/>
          <w:sz w:val="20"/>
        </w:rPr>
        <w:t> </w:t>
      </w:r>
      <w:r>
        <w:rPr>
          <w:sz w:val="20"/>
        </w:rPr>
        <w:t>OPP</w:t>
      </w:r>
      <w:r>
        <w:rPr>
          <w:spacing w:val="-9"/>
          <w:sz w:val="20"/>
        </w:rPr>
        <w:t> </w:t>
      </w:r>
      <w:r>
        <w:rPr>
          <w:sz w:val="20"/>
        </w:rPr>
        <w:t>concluded</w:t>
      </w:r>
      <w:r>
        <w:rPr>
          <w:spacing w:val="-8"/>
          <w:sz w:val="20"/>
        </w:rPr>
        <w:t> </w:t>
      </w:r>
      <w:r>
        <w:rPr>
          <w:sz w:val="20"/>
        </w:rPr>
        <w:t>that,</w:t>
      </w:r>
      <w:r>
        <w:rPr>
          <w:spacing w:val="-9"/>
          <w:sz w:val="20"/>
        </w:rPr>
        <w:t> </w:t>
      </w:r>
      <w:r>
        <w:rPr>
          <w:spacing w:val="-3"/>
          <w:sz w:val="20"/>
        </w:rPr>
        <w:t>regardless</w:t>
      </w:r>
      <w:r>
        <w:rPr>
          <w:spacing w:val="-9"/>
          <w:sz w:val="20"/>
        </w:rPr>
        <w:t> </w:t>
      </w:r>
      <w:r>
        <w:rPr>
          <w:sz w:val="20"/>
        </w:rPr>
        <w:t>of</w:t>
      </w:r>
      <w:r>
        <w:rPr>
          <w:spacing w:val="-9"/>
          <w:sz w:val="20"/>
        </w:rPr>
        <w:t> </w:t>
      </w:r>
      <w:r>
        <w:rPr>
          <w:sz w:val="20"/>
        </w:rPr>
        <w:t>what</w:t>
      </w:r>
      <w:r>
        <w:rPr>
          <w:spacing w:val="-8"/>
          <w:sz w:val="20"/>
        </w:rPr>
        <w:t> </w:t>
      </w:r>
      <w:r>
        <w:rPr>
          <w:sz w:val="20"/>
        </w:rPr>
        <w:t>is</w:t>
      </w:r>
      <w:r>
        <w:rPr>
          <w:spacing w:val="-9"/>
          <w:sz w:val="20"/>
        </w:rPr>
        <w:t> </w:t>
      </w:r>
      <w:r>
        <w:rPr>
          <w:sz w:val="20"/>
        </w:rPr>
        <w:t>contained</w:t>
      </w:r>
      <w:r>
        <w:rPr>
          <w:spacing w:val="-9"/>
          <w:sz w:val="20"/>
        </w:rPr>
        <w:t> </w:t>
      </w:r>
      <w:r>
        <w:rPr>
          <w:sz w:val="20"/>
        </w:rPr>
        <w:t>in</w:t>
      </w:r>
      <w:r>
        <w:rPr>
          <w:spacing w:val="-8"/>
          <w:sz w:val="20"/>
        </w:rPr>
        <w:t> </w:t>
      </w:r>
      <w:r>
        <w:rPr>
          <w:sz w:val="20"/>
        </w:rPr>
        <w:t>the</w:t>
      </w:r>
      <w:r>
        <w:rPr>
          <w:spacing w:val="-9"/>
          <w:sz w:val="20"/>
        </w:rPr>
        <w:t> </w:t>
      </w:r>
      <w:r>
        <w:rPr>
          <w:spacing w:val="-3"/>
          <w:sz w:val="20"/>
        </w:rPr>
        <w:t>policy,</w:t>
      </w:r>
      <w:r>
        <w:rPr>
          <w:spacing w:val="-9"/>
          <w:sz w:val="20"/>
        </w:rPr>
        <w:t> </w:t>
      </w:r>
      <w:r>
        <w:rPr>
          <w:sz w:val="20"/>
        </w:rPr>
        <w:t>it </w:t>
      </w:r>
      <w:r>
        <w:rPr>
          <w:spacing w:val="-3"/>
          <w:sz w:val="20"/>
        </w:rPr>
        <w:t>would</w:t>
      </w:r>
      <w:r>
        <w:rPr>
          <w:spacing w:val="-7"/>
          <w:sz w:val="20"/>
        </w:rPr>
        <w:t> </w:t>
      </w:r>
      <w:r>
        <w:rPr>
          <w:sz w:val="20"/>
        </w:rPr>
        <w:t>be</w:t>
      </w:r>
      <w:r>
        <w:rPr>
          <w:spacing w:val="-6"/>
          <w:sz w:val="20"/>
        </w:rPr>
        <w:t> </w:t>
      </w:r>
      <w:r>
        <w:rPr>
          <w:sz w:val="20"/>
        </w:rPr>
        <w:t>‘very</w:t>
      </w:r>
      <w:r>
        <w:rPr>
          <w:spacing w:val="-6"/>
          <w:sz w:val="20"/>
        </w:rPr>
        <w:t> </w:t>
      </w:r>
      <w:r>
        <w:rPr>
          <w:spacing w:val="-3"/>
          <w:sz w:val="20"/>
        </w:rPr>
        <w:t>unlikely</w:t>
      </w:r>
      <w:r>
        <w:rPr>
          <w:spacing w:val="-7"/>
          <w:sz w:val="20"/>
        </w:rPr>
        <w:t> </w:t>
      </w:r>
      <w:r>
        <w:rPr>
          <w:sz w:val="20"/>
        </w:rPr>
        <w:t>that</w:t>
      </w:r>
      <w:r>
        <w:rPr>
          <w:spacing w:val="-6"/>
          <w:sz w:val="20"/>
        </w:rPr>
        <w:t> </w:t>
      </w:r>
      <w:r>
        <w:rPr>
          <w:sz w:val="20"/>
        </w:rPr>
        <w:t>a</w:t>
      </w:r>
      <w:r>
        <w:rPr>
          <w:spacing w:val="-6"/>
          <w:sz w:val="20"/>
        </w:rPr>
        <w:t> </w:t>
      </w:r>
      <w:r>
        <w:rPr>
          <w:sz w:val="20"/>
        </w:rPr>
        <w:t>stand</w:t>
      </w:r>
      <w:r>
        <w:rPr>
          <w:spacing w:val="-6"/>
          <w:sz w:val="20"/>
        </w:rPr>
        <w:t> </w:t>
      </w:r>
      <w:r>
        <w:rPr>
          <w:sz w:val="20"/>
        </w:rPr>
        <w:t>aside</w:t>
      </w:r>
      <w:r>
        <w:rPr>
          <w:spacing w:val="-7"/>
          <w:sz w:val="20"/>
        </w:rPr>
        <w:t> </w:t>
      </w:r>
      <w:r>
        <w:rPr>
          <w:spacing w:val="-3"/>
          <w:sz w:val="20"/>
        </w:rPr>
        <w:t>would</w:t>
      </w:r>
      <w:r>
        <w:rPr>
          <w:spacing w:val="-6"/>
          <w:sz w:val="20"/>
        </w:rPr>
        <w:t> </w:t>
      </w:r>
      <w:r>
        <w:rPr>
          <w:sz w:val="20"/>
        </w:rPr>
        <w:t>be</w:t>
      </w:r>
      <w:r>
        <w:rPr>
          <w:spacing w:val="-6"/>
          <w:sz w:val="20"/>
        </w:rPr>
        <w:t> </w:t>
      </w:r>
      <w:r>
        <w:rPr>
          <w:sz w:val="20"/>
        </w:rPr>
        <w:t>used</w:t>
      </w:r>
      <w:r>
        <w:rPr>
          <w:spacing w:val="-6"/>
          <w:sz w:val="20"/>
        </w:rPr>
        <w:t> </w:t>
      </w:r>
      <w:r>
        <w:rPr>
          <w:spacing w:val="-3"/>
          <w:sz w:val="20"/>
        </w:rPr>
        <w:t>solely</w:t>
      </w:r>
      <w:r>
        <w:rPr>
          <w:spacing w:val="-7"/>
          <w:sz w:val="20"/>
        </w:rPr>
        <w:t> </w:t>
      </w:r>
      <w:r>
        <w:rPr>
          <w:sz w:val="20"/>
        </w:rPr>
        <w:t>on</w:t>
      </w:r>
      <w:r>
        <w:rPr>
          <w:spacing w:val="-6"/>
          <w:sz w:val="20"/>
        </w:rPr>
        <w:t> </w:t>
      </w:r>
      <w:r>
        <w:rPr>
          <w:sz w:val="20"/>
        </w:rPr>
        <w:t>the</w:t>
      </w:r>
      <w:r>
        <w:rPr>
          <w:spacing w:val="-6"/>
          <w:sz w:val="20"/>
        </w:rPr>
        <w:t> </w:t>
      </w:r>
      <w:r>
        <w:rPr>
          <w:sz w:val="20"/>
        </w:rPr>
        <w:t>grounds</w:t>
      </w:r>
      <w:r>
        <w:rPr>
          <w:spacing w:val="-6"/>
          <w:sz w:val="20"/>
        </w:rPr>
        <w:t> </w:t>
      </w:r>
      <w:r>
        <w:rPr>
          <w:sz w:val="20"/>
        </w:rPr>
        <w:t>of disability</w:t>
      </w:r>
      <w:r>
        <w:rPr>
          <w:spacing w:val="-6"/>
          <w:sz w:val="20"/>
        </w:rPr>
        <w:t> </w:t>
      </w:r>
      <w:r>
        <w:rPr>
          <w:sz w:val="20"/>
        </w:rPr>
        <w:t>because</w:t>
      </w:r>
      <w:r>
        <w:rPr>
          <w:spacing w:val="-5"/>
          <w:sz w:val="20"/>
        </w:rPr>
        <w:t> </w:t>
      </w:r>
      <w:r>
        <w:rPr>
          <w:sz w:val="20"/>
        </w:rPr>
        <w:t>it</w:t>
      </w:r>
      <w:r>
        <w:rPr>
          <w:spacing w:val="-5"/>
          <w:sz w:val="20"/>
        </w:rPr>
        <w:t> </w:t>
      </w:r>
      <w:r>
        <w:rPr>
          <w:spacing w:val="-3"/>
          <w:sz w:val="20"/>
        </w:rPr>
        <w:t>would</w:t>
      </w:r>
      <w:r>
        <w:rPr>
          <w:spacing w:val="-5"/>
          <w:sz w:val="20"/>
        </w:rPr>
        <w:t> </w:t>
      </w:r>
      <w:r>
        <w:rPr>
          <w:sz w:val="20"/>
        </w:rPr>
        <w:t>be</w:t>
      </w:r>
      <w:r>
        <w:rPr>
          <w:spacing w:val="-5"/>
          <w:sz w:val="20"/>
        </w:rPr>
        <w:t> </w:t>
      </w:r>
      <w:r>
        <w:rPr>
          <w:sz w:val="20"/>
        </w:rPr>
        <w:t>contrary</w:t>
      </w:r>
      <w:r>
        <w:rPr>
          <w:spacing w:val="-5"/>
          <w:sz w:val="20"/>
        </w:rPr>
        <w:t> </w:t>
      </w:r>
      <w:r>
        <w:rPr>
          <w:sz w:val="20"/>
        </w:rPr>
        <w:t>to</w:t>
      </w:r>
      <w:r>
        <w:rPr>
          <w:spacing w:val="-5"/>
          <w:sz w:val="20"/>
        </w:rPr>
        <w:t> </w:t>
      </w:r>
      <w:r>
        <w:rPr>
          <w:sz w:val="20"/>
        </w:rPr>
        <w:t>model</w:t>
      </w:r>
      <w:r>
        <w:rPr>
          <w:spacing w:val="-5"/>
          <w:sz w:val="20"/>
        </w:rPr>
        <w:t> </w:t>
      </w:r>
      <w:r>
        <w:rPr>
          <w:sz w:val="20"/>
        </w:rPr>
        <w:t>litigant</w:t>
      </w:r>
      <w:r>
        <w:rPr>
          <w:spacing w:val="-5"/>
          <w:sz w:val="20"/>
        </w:rPr>
        <w:t> </w:t>
      </w:r>
      <w:r>
        <w:rPr>
          <w:spacing w:val="-3"/>
          <w:sz w:val="20"/>
        </w:rPr>
        <w:t>principles’.</w:t>
      </w:r>
      <w:r>
        <w:rPr>
          <w:spacing w:val="-3"/>
          <w:position w:val="7"/>
          <w:sz w:val="11"/>
        </w:rPr>
        <w:t>82</w:t>
      </w:r>
    </w:p>
    <w:p>
      <w:pPr>
        <w:pStyle w:val="ListParagraph"/>
        <w:numPr>
          <w:ilvl w:val="1"/>
          <w:numId w:val="12"/>
        </w:numPr>
        <w:tabs>
          <w:tab w:pos="1761" w:val="left" w:leader="none"/>
          <w:tab w:pos="1762" w:val="left" w:leader="none"/>
        </w:tabs>
        <w:spacing w:line="206" w:lineRule="auto" w:before="124" w:after="0"/>
        <w:ind w:left="1761" w:right="1238" w:hanging="794"/>
        <w:jc w:val="left"/>
        <w:rPr>
          <w:sz w:val="20"/>
        </w:rPr>
      </w:pPr>
      <w:r>
        <w:rPr>
          <w:sz w:val="20"/>
        </w:rPr>
        <w:t>There</w:t>
      </w:r>
      <w:r>
        <w:rPr>
          <w:spacing w:val="-11"/>
          <w:sz w:val="20"/>
        </w:rPr>
        <w:t> </w:t>
      </w:r>
      <w:r>
        <w:rPr>
          <w:sz w:val="20"/>
        </w:rPr>
        <w:t>was</w:t>
      </w:r>
      <w:r>
        <w:rPr>
          <w:spacing w:val="-11"/>
          <w:sz w:val="20"/>
        </w:rPr>
        <w:t> </w:t>
      </w:r>
      <w:r>
        <w:rPr>
          <w:sz w:val="20"/>
        </w:rPr>
        <w:t>limited</w:t>
      </w:r>
      <w:r>
        <w:rPr>
          <w:spacing w:val="-11"/>
          <w:sz w:val="20"/>
        </w:rPr>
        <w:t> </w:t>
      </w:r>
      <w:r>
        <w:rPr>
          <w:sz w:val="20"/>
        </w:rPr>
        <w:t>community</w:t>
      </w:r>
      <w:r>
        <w:rPr>
          <w:spacing w:val="-11"/>
          <w:sz w:val="20"/>
        </w:rPr>
        <w:t> </w:t>
      </w:r>
      <w:r>
        <w:rPr>
          <w:sz w:val="20"/>
        </w:rPr>
        <w:t>support</w:t>
      </w:r>
      <w:r>
        <w:rPr>
          <w:spacing w:val="-11"/>
          <w:sz w:val="20"/>
        </w:rPr>
        <w:t> </w:t>
      </w:r>
      <w:r>
        <w:rPr>
          <w:sz w:val="20"/>
        </w:rPr>
        <w:t>for</w:t>
      </w:r>
      <w:r>
        <w:rPr>
          <w:spacing w:val="-11"/>
          <w:sz w:val="20"/>
        </w:rPr>
        <w:t> </w:t>
      </w:r>
      <w:r>
        <w:rPr>
          <w:sz w:val="20"/>
        </w:rPr>
        <w:t>amending</w:t>
      </w:r>
      <w:r>
        <w:rPr>
          <w:spacing w:val="-10"/>
          <w:sz w:val="20"/>
        </w:rPr>
        <w:t> </w:t>
      </w:r>
      <w:r>
        <w:rPr>
          <w:sz w:val="20"/>
        </w:rPr>
        <w:t>DPP</w:t>
      </w:r>
      <w:r>
        <w:rPr>
          <w:spacing w:val="-11"/>
          <w:sz w:val="20"/>
        </w:rPr>
        <w:t> </w:t>
      </w:r>
      <w:r>
        <w:rPr>
          <w:sz w:val="20"/>
        </w:rPr>
        <w:t>guidelines</w:t>
      </w:r>
      <w:r>
        <w:rPr>
          <w:spacing w:val="-11"/>
          <w:sz w:val="20"/>
        </w:rPr>
        <w:t> </w:t>
      </w:r>
      <w:r>
        <w:rPr>
          <w:sz w:val="20"/>
        </w:rPr>
        <w:t>for</w:t>
      </w:r>
      <w:r>
        <w:rPr>
          <w:spacing w:val="-11"/>
          <w:sz w:val="20"/>
        </w:rPr>
        <w:t> </w:t>
      </w:r>
      <w:r>
        <w:rPr>
          <w:sz w:val="20"/>
        </w:rPr>
        <w:t>stand</w:t>
      </w:r>
      <w:r>
        <w:rPr>
          <w:spacing w:val="-11"/>
          <w:sz w:val="20"/>
        </w:rPr>
        <w:t> </w:t>
      </w:r>
      <w:r>
        <w:rPr>
          <w:sz w:val="20"/>
        </w:rPr>
        <w:t>asides</w:t>
      </w:r>
      <w:r>
        <w:rPr>
          <w:spacing w:val="-11"/>
          <w:sz w:val="20"/>
        </w:rPr>
        <w:t> </w:t>
      </w:r>
      <w:r>
        <w:rPr>
          <w:sz w:val="20"/>
        </w:rPr>
        <w:t>to </w:t>
      </w:r>
      <w:r>
        <w:rPr>
          <w:spacing w:val="-3"/>
          <w:sz w:val="20"/>
        </w:rPr>
        <w:t>expressly </w:t>
      </w:r>
      <w:r>
        <w:rPr>
          <w:sz w:val="20"/>
        </w:rPr>
        <w:t>state that disability is not a ground for the </w:t>
      </w:r>
      <w:r>
        <w:rPr>
          <w:spacing w:val="-3"/>
          <w:sz w:val="20"/>
        </w:rPr>
        <w:t>exercise </w:t>
      </w:r>
      <w:r>
        <w:rPr>
          <w:sz w:val="20"/>
        </w:rPr>
        <w:t>of stand asides.</w:t>
      </w:r>
      <w:r>
        <w:rPr>
          <w:position w:val="7"/>
          <w:sz w:val="11"/>
        </w:rPr>
        <w:t>83 </w:t>
      </w:r>
      <w:r>
        <w:rPr>
          <w:sz w:val="20"/>
        </w:rPr>
        <w:t>These </w:t>
      </w:r>
      <w:r>
        <w:rPr>
          <w:spacing w:val="-3"/>
          <w:sz w:val="20"/>
        </w:rPr>
        <w:t>views </w:t>
      </w:r>
      <w:r>
        <w:rPr>
          <w:spacing w:val="-4"/>
          <w:sz w:val="20"/>
        </w:rPr>
        <w:t>were </w:t>
      </w:r>
      <w:r>
        <w:rPr>
          <w:spacing w:val="-2"/>
          <w:sz w:val="20"/>
        </w:rPr>
        <w:t>mostly </w:t>
      </w:r>
      <w:r>
        <w:rPr>
          <w:sz w:val="20"/>
        </w:rPr>
        <w:t>based on the </w:t>
      </w:r>
      <w:r>
        <w:rPr>
          <w:spacing w:val="-3"/>
          <w:sz w:val="20"/>
        </w:rPr>
        <w:t>overarching </w:t>
      </w:r>
      <w:r>
        <w:rPr>
          <w:sz w:val="20"/>
        </w:rPr>
        <w:t>view that people with disabilities should not be discriminated against. Vision Australia</w:t>
      </w:r>
      <w:r>
        <w:rPr>
          <w:spacing w:val="-32"/>
          <w:sz w:val="20"/>
        </w:rPr>
        <w:t> </w:t>
      </w:r>
      <w:r>
        <w:rPr>
          <w:sz w:val="20"/>
        </w:rPr>
        <w:t>commented:</w:t>
      </w:r>
    </w:p>
    <w:p>
      <w:pPr>
        <w:spacing w:line="208" w:lineRule="auto" w:before="122"/>
        <w:ind w:left="2157" w:right="1110" w:firstLine="0"/>
        <w:jc w:val="left"/>
        <w:rPr>
          <w:sz w:val="11"/>
        </w:rPr>
      </w:pPr>
      <w:r>
        <w:rPr>
          <w:sz w:val="19"/>
        </w:rPr>
        <w:t>Our strong view is that the guidelines must emphasise that disability is not a legitimate ground for a stand aside. Even though it would be difficult to monitor the effectiveness of such a guideline in practice, we believe that it would complement other measures aimed at creating a more inclusive culture in the jury system.</w:t>
      </w:r>
      <w:r>
        <w:rPr>
          <w:position w:val="6"/>
          <w:sz w:val="11"/>
        </w:rPr>
        <w:t>84</w:t>
      </w:r>
    </w:p>
    <w:p>
      <w:pPr>
        <w:spacing w:before="163"/>
        <w:ind w:left="967" w:right="0" w:firstLine="0"/>
        <w:jc w:val="left"/>
        <w:rPr>
          <w:b/>
          <w:sz w:val="24"/>
        </w:rPr>
      </w:pPr>
      <w:r>
        <w:rPr>
          <w:b/>
          <w:sz w:val="24"/>
        </w:rPr>
        <w:t>The Commission’s conclusion: the DPP’s guiding policy should change</w:t>
      </w:r>
    </w:p>
    <w:p>
      <w:pPr>
        <w:pStyle w:val="ListParagraph"/>
        <w:numPr>
          <w:ilvl w:val="1"/>
          <w:numId w:val="12"/>
        </w:numPr>
        <w:tabs>
          <w:tab w:pos="1761" w:val="left" w:leader="none"/>
          <w:tab w:pos="1762" w:val="left" w:leader="none"/>
        </w:tabs>
        <w:spacing w:line="206" w:lineRule="auto" w:before="127" w:after="0"/>
        <w:ind w:left="1761" w:right="1402" w:hanging="794"/>
        <w:jc w:val="left"/>
        <w:rPr>
          <w:sz w:val="20"/>
        </w:rPr>
      </w:pPr>
      <w:r>
        <w:rPr>
          <w:sz w:val="20"/>
        </w:rPr>
        <w:t>Despite stand asides being </w:t>
      </w:r>
      <w:r>
        <w:rPr>
          <w:spacing w:val="-3"/>
          <w:sz w:val="20"/>
        </w:rPr>
        <w:t>rarely </w:t>
      </w:r>
      <w:r>
        <w:rPr>
          <w:sz w:val="20"/>
        </w:rPr>
        <w:t>used and the </w:t>
      </w:r>
      <w:r>
        <w:rPr>
          <w:spacing w:val="-4"/>
          <w:sz w:val="20"/>
        </w:rPr>
        <w:t>Crown’s </w:t>
      </w:r>
      <w:r>
        <w:rPr>
          <w:sz w:val="20"/>
        </w:rPr>
        <w:t>obligation to act as a model litigant,</w:t>
      </w:r>
      <w:r>
        <w:rPr>
          <w:spacing w:val="-12"/>
          <w:sz w:val="20"/>
        </w:rPr>
        <w:t> </w:t>
      </w:r>
      <w:r>
        <w:rPr>
          <w:sz w:val="20"/>
        </w:rPr>
        <w:t>the</w:t>
      </w:r>
      <w:r>
        <w:rPr>
          <w:spacing w:val="-12"/>
          <w:sz w:val="20"/>
        </w:rPr>
        <w:t> </w:t>
      </w:r>
      <w:r>
        <w:rPr>
          <w:sz w:val="20"/>
        </w:rPr>
        <w:t>Commission’s</w:t>
      </w:r>
      <w:r>
        <w:rPr>
          <w:spacing w:val="-12"/>
          <w:sz w:val="20"/>
        </w:rPr>
        <w:t> </w:t>
      </w:r>
      <w:r>
        <w:rPr>
          <w:sz w:val="20"/>
        </w:rPr>
        <w:t>view</w:t>
      </w:r>
      <w:r>
        <w:rPr>
          <w:spacing w:val="-11"/>
          <w:sz w:val="20"/>
        </w:rPr>
        <w:t> </w:t>
      </w:r>
      <w:r>
        <w:rPr>
          <w:sz w:val="20"/>
        </w:rPr>
        <w:t>is</w:t>
      </w:r>
      <w:r>
        <w:rPr>
          <w:spacing w:val="-12"/>
          <w:sz w:val="20"/>
        </w:rPr>
        <w:t> </w:t>
      </w:r>
      <w:r>
        <w:rPr>
          <w:sz w:val="20"/>
        </w:rPr>
        <w:t>that</w:t>
      </w:r>
      <w:r>
        <w:rPr>
          <w:spacing w:val="-12"/>
          <w:sz w:val="20"/>
        </w:rPr>
        <w:t> </w:t>
      </w:r>
      <w:r>
        <w:rPr>
          <w:sz w:val="20"/>
        </w:rPr>
        <w:t>the</w:t>
      </w:r>
      <w:r>
        <w:rPr>
          <w:spacing w:val="-12"/>
          <w:sz w:val="20"/>
        </w:rPr>
        <w:t> </w:t>
      </w:r>
      <w:r>
        <w:rPr>
          <w:sz w:val="20"/>
        </w:rPr>
        <w:t>DPP’s</w:t>
      </w:r>
      <w:r>
        <w:rPr>
          <w:spacing w:val="-11"/>
          <w:sz w:val="20"/>
        </w:rPr>
        <w:t> </w:t>
      </w:r>
      <w:r>
        <w:rPr>
          <w:sz w:val="20"/>
        </w:rPr>
        <w:t>guiding</w:t>
      </w:r>
      <w:r>
        <w:rPr>
          <w:spacing w:val="-12"/>
          <w:sz w:val="20"/>
        </w:rPr>
        <w:t> </w:t>
      </w:r>
      <w:r>
        <w:rPr>
          <w:sz w:val="20"/>
        </w:rPr>
        <w:t>policy</w:t>
      </w:r>
      <w:r>
        <w:rPr>
          <w:spacing w:val="-12"/>
          <w:sz w:val="20"/>
        </w:rPr>
        <w:t> </w:t>
      </w:r>
      <w:r>
        <w:rPr>
          <w:sz w:val="20"/>
        </w:rPr>
        <w:t>should</w:t>
      </w:r>
      <w:r>
        <w:rPr>
          <w:spacing w:val="-12"/>
          <w:sz w:val="20"/>
        </w:rPr>
        <w:t> </w:t>
      </w:r>
      <w:r>
        <w:rPr>
          <w:sz w:val="20"/>
        </w:rPr>
        <w:t>be</w:t>
      </w:r>
      <w:r>
        <w:rPr>
          <w:spacing w:val="-11"/>
          <w:sz w:val="20"/>
        </w:rPr>
        <w:t> </w:t>
      </w:r>
      <w:r>
        <w:rPr>
          <w:sz w:val="20"/>
        </w:rPr>
        <w:t>amended</w:t>
      </w:r>
      <w:r>
        <w:rPr>
          <w:spacing w:val="-12"/>
          <w:sz w:val="20"/>
        </w:rPr>
        <w:t> </w:t>
      </w:r>
      <w:r>
        <w:rPr>
          <w:sz w:val="20"/>
        </w:rPr>
        <w:t>to guard</w:t>
      </w:r>
      <w:r>
        <w:rPr>
          <w:spacing w:val="-11"/>
          <w:sz w:val="20"/>
        </w:rPr>
        <w:t> </w:t>
      </w:r>
      <w:r>
        <w:rPr>
          <w:sz w:val="20"/>
        </w:rPr>
        <w:t>against</w:t>
      </w:r>
      <w:r>
        <w:rPr>
          <w:spacing w:val="-11"/>
          <w:sz w:val="20"/>
        </w:rPr>
        <w:t> </w:t>
      </w:r>
      <w:r>
        <w:rPr>
          <w:sz w:val="20"/>
        </w:rPr>
        <w:t>the</w:t>
      </w:r>
      <w:r>
        <w:rPr>
          <w:spacing w:val="-11"/>
          <w:sz w:val="20"/>
        </w:rPr>
        <w:t> </w:t>
      </w:r>
      <w:r>
        <w:rPr>
          <w:sz w:val="20"/>
        </w:rPr>
        <w:t>discriminatory</w:t>
      </w:r>
      <w:r>
        <w:rPr>
          <w:spacing w:val="-11"/>
          <w:sz w:val="20"/>
        </w:rPr>
        <w:t> </w:t>
      </w:r>
      <w:r>
        <w:rPr>
          <w:spacing w:val="-3"/>
          <w:sz w:val="20"/>
        </w:rPr>
        <w:t>exercise</w:t>
      </w:r>
      <w:r>
        <w:rPr>
          <w:spacing w:val="-10"/>
          <w:sz w:val="20"/>
        </w:rPr>
        <w:t> </w:t>
      </w:r>
      <w:r>
        <w:rPr>
          <w:sz w:val="20"/>
        </w:rPr>
        <w:t>of</w:t>
      </w:r>
      <w:r>
        <w:rPr>
          <w:spacing w:val="-11"/>
          <w:sz w:val="20"/>
        </w:rPr>
        <w:t> </w:t>
      </w:r>
      <w:r>
        <w:rPr>
          <w:sz w:val="20"/>
        </w:rPr>
        <w:t>the</w:t>
      </w:r>
      <w:r>
        <w:rPr>
          <w:spacing w:val="-11"/>
          <w:sz w:val="20"/>
        </w:rPr>
        <w:t> </w:t>
      </w:r>
      <w:r>
        <w:rPr>
          <w:sz w:val="20"/>
        </w:rPr>
        <w:t>challenge</w:t>
      </w:r>
      <w:r>
        <w:rPr>
          <w:spacing w:val="-11"/>
          <w:sz w:val="20"/>
        </w:rPr>
        <w:t> </w:t>
      </w:r>
      <w:r>
        <w:rPr>
          <w:sz w:val="20"/>
        </w:rPr>
        <w:t>in</w:t>
      </w:r>
      <w:r>
        <w:rPr>
          <w:spacing w:val="-10"/>
          <w:sz w:val="20"/>
        </w:rPr>
        <w:t> </w:t>
      </w:r>
      <w:r>
        <w:rPr>
          <w:sz w:val="20"/>
        </w:rPr>
        <w:t>relation</w:t>
      </w:r>
      <w:r>
        <w:rPr>
          <w:spacing w:val="-11"/>
          <w:sz w:val="20"/>
        </w:rPr>
        <w:t> </w:t>
      </w:r>
      <w:r>
        <w:rPr>
          <w:sz w:val="20"/>
        </w:rPr>
        <w:t>to</w:t>
      </w:r>
      <w:r>
        <w:rPr>
          <w:spacing w:val="-11"/>
          <w:sz w:val="20"/>
        </w:rPr>
        <w:t> </w:t>
      </w:r>
      <w:r>
        <w:rPr>
          <w:sz w:val="20"/>
        </w:rPr>
        <w:t>people</w:t>
      </w:r>
      <w:r>
        <w:rPr>
          <w:spacing w:val="-11"/>
          <w:sz w:val="20"/>
        </w:rPr>
        <w:t> </w:t>
      </w:r>
      <w:r>
        <w:rPr>
          <w:sz w:val="20"/>
        </w:rPr>
        <w:t>in</w:t>
      </w:r>
      <w:r>
        <w:rPr>
          <w:spacing w:val="-10"/>
          <w:sz w:val="20"/>
        </w:rPr>
        <w:t> </w:t>
      </w:r>
      <w:r>
        <w:rPr>
          <w:sz w:val="20"/>
        </w:rPr>
        <w:t>the subject groups and to educate the profession and to bring the policy in line with the law </w:t>
      </w:r>
      <w:r>
        <w:rPr>
          <w:spacing w:val="-3"/>
          <w:sz w:val="20"/>
        </w:rPr>
        <w:t>(once</w:t>
      </w:r>
      <w:r>
        <w:rPr>
          <w:spacing w:val="-9"/>
          <w:sz w:val="20"/>
        </w:rPr>
        <w:t> </w:t>
      </w:r>
      <w:r>
        <w:rPr>
          <w:sz w:val="20"/>
        </w:rPr>
        <w:t>amended).</w:t>
      </w:r>
    </w:p>
    <w:p>
      <w:pPr>
        <w:pStyle w:val="BodyText"/>
      </w:pPr>
    </w:p>
    <w:p>
      <w:pPr>
        <w:pStyle w:val="BodyText"/>
      </w:pPr>
    </w:p>
    <w:p>
      <w:pPr>
        <w:pStyle w:val="BodyText"/>
      </w:pPr>
    </w:p>
    <w:p>
      <w:pPr>
        <w:pStyle w:val="BodyText"/>
        <w:spacing w:before="4"/>
        <w:rPr>
          <w:sz w:val="26"/>
        </w:rPr>
      </w:pPr>
      <w:r>
        <w:rPr/>
        <w:pict>
          <v:line style="position:absolute;mso-position-horizontal-relative:page;mso-position-vertical-relative:paragraph;z-index:10520;mso-wrap-distance-left:0;mso-wrap-distance-right:0" from="79.370102pt,20.735161pt" to="515.905102pt,20.735161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41"/>
        </w:rPr>
      </w:pPr>
    </w:p>
    <w:p>
      <w:pPr>
        <w:spacing w:before="0"/>
        <w:ind w:left="100" w:right="0" w:firstLine="0"/>
        <w:jc w:val="left"/>
        <w:rPr>
          <w:b/>
          <w:sz w:val="24"/>
        </w:rPr>
      </w:pPr>
      <w:r>
        <w:rPr>
          <w:b/>
          <w:color w:val="37617A"/>
          <w:sz w:val="24"/>
        </w:rPr>
        <w:t>202</w:t>
      </w:r>
    </w:p>
    <w:p>
      <w:pPr>
        <w:pStyle w:val="ListParagraph"/>
        <w:numPr>
          <w:ilvl w:val="0"/>
          <w:numId w:val="119"/>
        </w:numPr>
        <w:tabs>
          <w:tab w:pos="893" w:val="left" w:leader="none"/>
          <w:tab w:pos="894" w:val="left" w:leader="none"/>
        </w:tabs>
        <w:spacing w:line="213" w:lineRule="auto" w:before="38" w:after="0"/>
        <w:ind w:left="893" w:right="1254" w:hanging="793"/>
        <w:jc w:val="left"/>
        <w:rPr>
          <w:sz w:val="13"/>
        </w:rPr>
      </w:pPr>
      <w:r>
        <w:rPr>
          <w:spacing w:val="2"/>
          <w:w w:val="100"/>
          <w:sz w:val="13"/>
        </w:rPr>
        <w:br w:type="column"/>
      </w:r>
      <w:r>
        <w:rPr>
          <w:spacing w:val="2"/>
          <w:sz w:val="13"/>
        </w:rPr>
        <w:t>Ibid. </w:t>
      </w:r>
      <w:r>
        <w:rPr>
          <w:sz w:val="13"/>
        </w:rPr>
        <w:t>See </w:t>
      </w:r>
      <w:r>
        <w:rPr>
          <w:spacing w:val="2"/>
          <w:sz w:val="13"/>
        </w:rPr>
        <w:t>also </w:t>
      </w:r>
      <w:r>
        <w:rPr>
          <w:i/>
          <w:sz w:val="13"/>
        </w:rPr>
        <w:t>Melbourne Steamship Co Ltd v Moorehead </w:t>
      </w:r>
      <w:r>
        <w:rPr>
          <w:sz w:val="13"/>
        </w:rPr>
        <w:t>(1912) 15 CLR </w:t>
      </w:r>
      <w:r>
        <w:rPr>
          <w:spacing w:val="2"/>
          <w:sz w:val="13"/>
        </w:rPr>
        <w:t>333, </w:t>
      </w:r>
      <w:r>
        <w:rPr>
          <w:sz w:val="13"/>
        </w:rPr>
        <w:t>342, (High </w:t>
      </w:r>
      <w:r>
        <w:rPr>
          <w:spacing w:val="2"/>
          <w:sz w:val="13"/>
        </w:rPr>
        <w:t>Court </w:t>
      </w:r>
      <w:r>
        <w:rPr>
          <w:sz w:val="13"/>
        </w:rPr>
        <w:t>of Australia, Griffith CJ, </w:t>
      </w:r>
      <w:r>
        <w:rPr>
          <w:spacing w:val="2"/>
          <w:sz w:val="13"/>
        </w:rPr>
        <w:t>Barton </w:t>
      </w:r>
      <w:r>
        <w:rPr>
          <w:sz w:val="13"/>
        </w:rPr>
        <w:t>and </w:t>
      </w:r>
      <w:r>
        <w:rPr>
          <w:spacing w:val="2"/>
          <w:sz w:val="13"/>
        </w:rPr>
        <w:t>Isaacs </w:t>
      </w:r>
      <w:r>
        <w:rPr>
          <w:sz w:val="13"/>
        </w:rPr>
        <w:t>JJ, 21 October 1912); </w:t>
      </w:r>
      <w:r>
        <w:rPr>
          <w:i/>
          <w:sz w:val="13"/>
        </w:rPr>
        <w:t>Kenny v State of South Australia </w:t>
      </w:r>
      <w:r>
        <w:rPr>
          <w:sz w:val="13"/>
        </w:rPr>
        <w:t>(1987) 46 SASR 268, 273, (Supreme </w:t>
      </w:r>
      <w:r>
        <w:rPr>
          <w:spacing w:val="2"/>
          <w:sz w:val="13"/>
        </w:rPr>
        <w:t>Court </w:t>
      </w:r>
      <w:r>
        <w:rPr>
          <w:sz w:val="13"/>
        </w:rPr>
        <w:t>of South Australia, King CJ,    27 May 1987); </w:t>
      </w:r>
      <w:r>
        <w:rPr>
          <w:i/>
          <w:sz w:val="13"/>
        </w:rPr>
        <w:t>Yong v Minister for Immigration and Ethnic Affairs </w:t>
      </w:r>
      <w:r>
        <w:rPr>
          <w:sz w:val="13"/>
        </w:rPr>
        <w:t>(1997) 75 FCR </w:t>
      </w:r>
      <w:r>
        <w:rPr>
          <w:spacing w:val="3"/>
          <w:sz w:val="13"/>
        </w:rPr>
        <w:t>155, </w:t>
      </w:r>
      <w:r>
        <w:rPr>
          <w:sz w:val="13"/>
        </w:rPr>
        <w:t>(Federal </w:t>
      </w:r>
      <w:r>
        <w:rPr>
          <w:spacing w:val="2"/>
          <w:sz w:val="13"/>
        </w:rPr>
        <w:t>Court </w:t>
      </w:r>
      <w:r>
        <w:rPr>
          <w:sz w:val="13"/>
        </w:rPr>
        <w:t>of Australia, Beaumont, Burchett and Goldberg JJ, 6 June 1997).</w:t>
      </w:r>
    </w:p>
    <w:p>
      <w:pPr>
        <w:pStyle w:val="ListParagraph"/>
        <w:numPr>
          <w:ilvl w:val="0"/>
          <w:numId w:val="119"/>
        </w:numPr>
        <w:tabs>
          <w:tab w:pos="893" w:val="left" w:leader="none"/>
          <w:tab w:pos="894" w:val="left" w:leader="none"/>
        </w:tabs>
        <w:spacing w:line="213" w:lineRule="auto" w:before="0" w:after="0"/>
        <w:ind w:left="893" w:right="1350" w:hanging="793"/>
        <w:jc w:val="left"/>
        <w:rPr>
          <w:sz w:val="13"/>
        </w:rPr>
      </w:pPr>
      <w:r>
        <w:rPr>
          <w:spacing w:val="2"/>
          <w:sz w:val="13"/>
        </w:rPr>
        <w:t>Department </w:t>
      </w:r>
      <w:r>
        <w:rPr>
          <w:sz w:val="13"/>
        </w:rPr>
        <w:t>of Justice and </w:t>
      </w:r>
      <w:r>
        <w:rPr>
          <w:spacing w:val="2"/>
          <w:sz w:val="13"/>
        </w:rPr>
        <w:t>Community </w:t>
      </w:r>
      <w:r>
        <w:rPr>
          <w:sz w:val="13"/>
        </w:rPr>
        <w:t>Safety (Vic), </w:t>
      </w:r>
      <w:r>
        <w:rPr>
          <w:spacing w:val="2"/>
          <w:sz w:val="13"/>
        </w:rPr>
        <w:t>‘Victorian </w:t>
      </w:r>
      <w:r>
        <w:rPr>
          <w:sz w:val="13"/>
        </w:rPr>
        <w:t>Model Litigant Guidelines’, </w:t>
      </w:r>
      <w:r>
        <w:rPr>
          <w:i/>
          <w:sz w:val="13"/>
        </w:rPr>
        <w:t>Victoria State Government </w:t>
      </w:r>
      <w:r>
        <w:rPr>
          <w:sz w:val="13"/>
        </w:rPr>
        <w:t>(Web Page,  22 July 2021)</w:t>
      </w:r>
      <w:r>
        <w:rPr>
          <w:spacing w:val="32"/>
          <w:sz w:val="13"/>
        </w:rPr>
        <w:t> </w:t>
      </w:r>
      <w:r>
        <w:rPr>
          <w:sz w:val="13"/>
        </w:rPr>
        <w:t>&lt;</w:t>
      </w:r>
      <w:hyperlink r:id="rId249">
        <w:r>
          <w:rPr>
            <w:sz w:val="13"/>
          </w:rPr>
          <w:t>https://www.justice.vic.gov.au/justice-system/laws-and-regulation/victorian-model-litigant-guidelines</w:t>
        </w:r>
      </w:hyperlink>
      <w:r>
        <w:rPr>
          <w:sz w:val="13"/>
        </w:rPr>
        <w:t>&gt;.</w:t>
      </w:r>
    </w:p>
    <w:p>
      <w:pPr>
        <w:pStyle w:val="ListParagraph"/>
        <w:numPr>
          <w:ilvl w:val="0"/>
          <w:numId w:val="119"/>
        </w:numPr>
        <w:tabs>
          <w:tab w:pos="893" w:val="left" w:leader="none"/>
          <w:tab w:pos="894" w:val="left" w:leader="none"/>
        </w:tabs>
        <w:spacing w:line="152" w:lineRule="exact" w:before="0" w:after="0"/>
        <w:ind w:left="893" w:right="0" w:hanging="793"/>
        <w:jc w:val="left"/>
        <w:rPr>
          <w:sz w:val="13"/>
        </w:rPr>
      </w:pPr>
      <w:r>
        <w:rPr>
          <w:spacing w:val="2"/>
          <w:sz w:val="13"/>
        </w:rPr>
        <w:t>Ibid.</w:t>
      </w:r>
    </w:p>
    <w:p>
      <w:pPr>
        <w:pStyle w:val="ListParagraph"/>
        <w:numPr>
          <w:ilvl w:val="0"/>
          <w:numId w:val="119"/>
        </w:numPr>
        <w:tabs>
          <w:tab w:pos="893" w:val="left" w:leader="none"/>
          <w:tab w:pos="894" w:val="left" w:leader="none"/>
        </w:tabs>
        <w:spacing w:line="160" w:lineRule="exact" w:before="0" w:after="0"/>
        <w:ind w:left="893" w:right="0" w:hanging="793"/>
        <w:jc w:val="left"/>
        <w:rPr>
          <w:sz w:val="13"/>
        </w:rPr>
      </w:pPr>
      <w:r>
        <w:rPr>
          <w:spacing w:val="2"/>
          <w:sz w:val="13"/>
        </w:rPr>
        <w:t>Submissions </w:t>
      </w:r>
      <w:r>
        <w:rPr>
          <w:sz w:val="13"/>
        </w:rPr>
        <w:t>13 </w:t>
      </w:r>
      <w:r>
        <w:rPr>
          <w:spacing w:val="2"/>
          <w:sz w:val="13"/>
        </w:rPr>
        <w:t>(Juries </w:t>
      </w:r>
      <w:r>
        <w:rPr>
          <w:sz w:val="13"/>
        </w:rPr>
        <w:t>Victoria),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pStyle w:val="ListParagraph"/>
        <w:numPr>
          <w:ilvl w:val="0"/>
          <w:numId w:val="119"/>
        </w:numPr>
        <w:tabs>
          <w:tab w:pos="893" w:val="left" w:leader="none"/>
          <w:tab w:pos="894" w:val="left" w:leader="none"/>
        </w:tabs>
        <w:spacing w:line="160" w:lineRule="exact" w:before="0" w:after="0"/>
        <w:ind w:left="893" w:right="0" w:hanging="793"/>
        <w:jc w:val="left"/>
        <w:rPr>
          <w:sz w:val="13"/>
        </w:rPr>
      </w:pPr>
      <w:r>
        <w:rPr>
          <w:sz w:val="13"/>
        </w:rPr>
        <w:t>Consultation 9 (Consultation with two Victorian County </w:t>
      </w:r>
      <w:r>
        <w:rPr>
          <w:spacing w:val="2"/>
          <w:sz w:val="13"/>
        </w:rPr>
        <w:t>Court Judges, Court policy </w:t>
      </w:r>
      <w:r>
        <w:rPr>
          <w:sz w:val="13"/>
        </w:rPr>
        <w:t>staff and two</w:t>
      </w:r>
      <w:r>
        <w:rPr>
          <w:spacing w:val="8"/>
          <w:sz w:val="13"/>
        </w:rPr>
        <w:t> </w:t>
      </w:r>
      <w:r>
        <w:rPr>
          <w:sz w:val="13"/>
        </w:rPr>
        <w:t>Associates).</w:t>
      </w:r>
    </w:p>
    <w:p>
      <w:pPr>
        <w:pStyle w:val="ListParagraph"/>
        <w:numPr>
          <w:ilvl w:val="0"/>
          <w:numId w:val="119"/>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13 </w:t>
      </w:r>
      <w:r>
        <w:rPr>
          <w:spacing w:val="2"/>
          <w:sz w:val="13"/>
        </w:rPr>
        <w:t>(Juries</w:t>
      </w:r>
      <w:r>
        <w:rPr>
          <w:spacing w:val="-2"/>
          <w:sz w:val="13"/>
        </w:rPr>
        <w:t> </w:t>
      </w:r>
      <w:r>
        <w:rPr>
          <w:sz w:val="13"/>
        </w:rPr>
        <w:t>Victoria).</w:t>
      </w:r>
    </w:p>
    <w:p>
      <w:pPr>
        <w:pStyle w:val="ListParagraph"/>
        <w:numPr>
          <w:ilvl w:val="0"/>
          <w:numId w:val="119"/>
        </w:numPr>
        <w:tabs>
          <w:tab w:pos="893" w:val="left" w:leader="none"/>
          <w:tab w:pos="894" w:val="left" w:leader="none"/>
        </w:tabs>
        <w:spacing w:line="160" w:lineRule="exact" w:before="0" w:after="0"/>
        <w:ind w:left="893" w:right="0" w:hanging="793"/>
        <w:jc w:val="left"/>
        <w:rPr>
          <w:sz w:val="13"/>
        </w:rPr>
      </w:pPr>
      <w:r>
        <w:rPr>
          <w:sz w:val="13"/>
        </w:rPr>
        <w:t>Consultation 16 (Office of </w:t>
      </w:r>
      <w:r>
        <w:rPr>
          <w:spacing w:val="2"/>
          <w:sz w:val="13"/>
        </w:rPr>
        <w:t>Public </w:t>
      </w:r>
      <w:r>
        <w:rPr>
          <w:sz w:val="13"/>
        </w:rPr>
        <w:t>Prosecutions</w:t>
      </w:r>
      <w:r>
        <w:rPr>
          <w:spacing w:val="-1"/>
          <w:sz w:val="13"/>
        </w:rPr>
        <w:t> </w:t>
      </w:r>
      <w:r>
        <w:rPr>
          <w:sz w:val="13"/>
        </w:rPr>
        <w:t>Victoria).</w:t>
      </w:r>
    </w:p>
    <w:p>
      <w:pPr>
        <w:pStyle w:val="ListParagraph"/>
        <w:numPr>
          <w:ilvl w:val="0"/>
          <w:numId w:val="119"/>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119"/>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119"/>
        </w:numPr>
        <w:tabs>
          <w:tab w:pos="893" w:val="left" w:leader="none"/>
          <w:tab w:pos="894" w:val="left" w:leader="none"/>
        </w:tabs>
        <w:spacing w:line="160" w:lineRule="exact" w:before="0" w:after="0"/>
        <w:ind w:left="893" w:right="0" w:hanging="793"/>
        <w:jc w:val="left"/>
        <w:rPr>
          <w:sz w:val="13"/>
        </w:rPr>
      </w:pPr>
      <w:r>
        <w:rPr>
          <w:spacing w:val="2"/>
          <w:sz w:val="13"/>
        </w:rPr>
        <w:t>Submissions </w:t>
      </w:r>
      <w:r>
        <w:rPr>
          <w:sz w:val="13"/>
        </w:rPr>
        <w:t>4 (Baer Arnold &amp; Bonython), 9 (Madison), 10 </w:t>
      </w:r>
      <w:r>
        <w:rPr>
          <w:spacing w:val="2"/>
          <w:sz w:val="13"/>
        </w:rPr>
        <w:t>(Vision </w:t>
      </w:r>
      <w:r>
        <w:rPr>
          <w:sz w:val="13"/>
        </w:rPr>
        <w:t>Australia).</w:t>
      </w:r>
    </w:p>
    <w:p>
      <w:pPr>
        <w:pStyle w:val="ListParagraph"/>
        <w:numPr>
          <w:ilvl w:val="0"/>
          <w:numId w:val="119"/>
        </w:numPr>
        <w:tabs>
          <w:tab w:pos="893" w:val="left" w:leader="none"/>
          <w:tab w:pos="894" w:val="left" w:leader="none"/>
        </w:tabs>
        <w:spacing w:line="170" w:lineRule="exact" w:before="0" w:after="0"/>
        <w:ind w:left="893" w:right="0" w:hanging="793"/>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spacing w:after="0" w:line="170" w:lineRule="exact"/>
        <w:jc w:val="left"/>
        <w:rPr>
          <w:sz w:val="13"/>
        </w:rPr>
        <w:sectPr>
          <w:type w:val="continuous"/>
          <w:pgSz w:w="11910" w:h="16840"/>
          <w:pgMar w:top="620" w:bottom="280" w:left="620" w:right="380"/>
          <w:cols w:num="2" w:equalWidth="0">
            <w:col w:w="550" w:space="317"/>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40" w:lineRule="auto" w:before="58" w:after="0"/>
        <w:ind w:left="1761" w:right="0" w:hanging="794"/>
        <w:jc w:val="left"/>
        <w:rPr>
          <w:sz w:val="20"/>
        </w:rPr>
      </w:pPr>
      <w:bookmarkStart w:name="_bookmark149" w:id="353"/>
      <w:bookmarkEnd w:id="353"/>
      <w:r>
        <w:rPr/>
      </w:r>
      <w:bookmarkStart w:name="_bookmark149" w:id="354"/>
      <w:bookmarkEnd w:id="354"/>
      <w:r>
        <w:rPr>
          <w:sz w:val="20"/>
        </w:rPr>
        <w:t>T</w:t>
      </w:r>
      <w:r>
        <w:rPr>
          <w:sz w:val="20"/>
        </w:rPr>
        <w:t>he</w:t>
      </w:r>
      <w:r>
        <w:rPr>
          <w:spacing w:val="-6"/>
          <w:sz w:val="20"/>
        </w:rPr>
        <w:t> </w:t>
      </w:r>
      <w:r>
        <w:rPr>
          <w:sz w:val="20"/>
        </w:rPr>
        <w:t>OPP</w:t>
      </w:r>
      <w:r>
        <w:rPr>
          <w:spacing w:val="-5"/>
          <w:sz w:val="20"/>
        </w:rPr>
        <w:t> </w:t>
      </w:r>
      <w:r>
        <w:rPr>
          <w:sz w:val="20"/>
        </w:rPr>
        <w:t>made</w:t>
      </w:r>
      <w:r>
        <w:rPr>
          <w:spacing w:val="-5"/>
          <w:sz w:val="20"/>
        </w:rPr>
        <w:t> </w:t>
      </w:r>
      <w:r>
        <w:rPr>
          <w:sz w:val="20"/>
        </w:rPr>
        <w:t>the</w:t>
      </w:r>
      <w:r>
        <w:rPr>
          <w:spacing w:val="-5"/>
          <w:sz w:val="20"/>
        </w:rPr>
        <w:t> </w:t>
      </w:r>
      <w:r>
        <w:rPr>
          <w:spacing w:val="-3"/>
          <w:sz w:val="20"/>
        </w:rPr>
        <w:t>following</w:t>
      </w:r>
      <w:r>
        <w:rPr>
          <w:spacing w:val="-5"/>
          <w:sz w:val="20"/>
        </w:rPr>
        <w:t> </w:t>
      </w:r>
      <w:r>
        <w:rPr>
          <w:sz w:val="20"/>
        </w:rPr>
        <w:t>comment</w:t>
      </w:r>
      <w:r>
        <w:rPr>
          <w:spacing w:val="-5"/>
          <w:sz w:val="20"/>
        </w:rPr>
        <w:t> </w:t>
      </w:r>
      <w:r>
        <w:rPr>
          <w:sz w:val="20"/>
        </w:rPr>
        <w:t>about</w:t>
      </w:r>
      <w:r>
        <w:rPr>
          <w:spacing w:val="-5"/>
          <w:sz w:val="20"/>
        </w:rPr>
        <w:t> </w:t>
      </w:r>
      <w:r>
        <w:rPr>
          <w:sz w:val="20"/>
        </w:rPr>
        <w:t>amending</w:t>
      </w:r>
      <w:r>
        <w:rPr>
          <w:spacing w:val="-5"/>
          <w:sz w:val="20"/>
        </w:rPr>
        <w:t> </w:t>
      </w:r>
      <w:r>
        <w:rPr>
          <w:sz w:val="20"/>
        </w:rPr>
        <w:t>the</w:t>
      </w:r>
      <w:r>
        <w:rPr>
          <w:spacing w:val="-5"/>
          <w:sz w:val="20"/>
        </w:rPr>
        <w:t> </w:t>
      </w:r>
      <w:r>
        <w:rPr>
          <w:sz w:val="20"/>
        </w:rPr>
        <w:t>guiding</w:t>
      </w:r>
      <w:r>
        <w:rPr>
          <w:spacing w:val="-5"/>
          <w:sz w:val="20"/>
        </w:rPr>
        <w:t> </w:t>
      </w:r>
      <w:r>
        <w:rPr>
          <w:sz w:val="20"/>
        </w:rPr>
        <w:t>policy:</w:t>
      </w:r>
    </w:p>
    <w:p>
      <w:pPr>
        <w:spacing w:line="208" w:lineRule="auto" w:before="112"/>
        <w:ind w:left="2157" w:right="1387" w:firstLine="0"/>
        <w:jc w:val="left"/>
        <w:rPr>
          <w:sz w:val="19"/>
        </w:rPr>
      </w:pPr>
      <w:r>
        <w:rPr>
          <w:sz w:val="19"/>
        </w:rPr>
        <w:t>The paramount concern of the OPP in this area is ensuring that the accused person receives a fair trial. Accordingly, we would consider amending the Director’s Policy to include ‘vision/hearing loss’ as a reason not to stand aside a juror. However, it</w:t>
      </w:r>
    </w:p>
    <w:p>
      <w:pPr>
        <w:spacing w:line="208" w:lineRule="auto" w:before="2"/>
        <w:ind w:left="2157" w:right="1288" w:firstLine="0"/>
        <w:jc w:val="left"/>
        <w:rPr>
          <w:sz w:val="11"/>
        </w:rPr>
      </w:pPr>
      <w:r>
        <w:rPr>
          <w:sz w:val="19"/>
        </w:rPr>
        <w:t>would be premature to do so without the legislative and other infrastructural support necessary for an accused person to receive a fair trial with a significantly vision or hearing-impaired person on the jury.</w:t>
      </w:r>
      <w:r>
        <w:rPr>
          <w:position w:val="6"/>
          <w:sz w:val="11"/>
        </w:rPr>
        <w:t>85</w:t>
      </w:r>
    </w:p>
    <w:p>
      <w:pPr>
        <w:pStyle w:val="ListParagraph"/>
        <w:numPr>
          <w:ilvl w:val="1"/>
          <w:numId w:val="12"/>
        </w:numPr>
        <w:tabs>
          <w:tab w:pos="1761" w:val="left" w:leader="none"/>
          <w:tab w:pos="1762" w:val="left" w:leader="none"/>
        </w:tabs>
        <w:spacing w:line="206" w:lineRule="auto" w:before="124" w:after="0"/>
        <w:ind w:left="1761" w:right="1220" w:hanging="794"/>
        <w:jc w:val="left"/>
        <w:rPr>
          <w:sz w:val="20"/>
        </w:rPr>
      </w:pPr>
      <w:r>
        <w:rPr>
          <w:sz w:val="20"/>
        </w:rPr>
        <w:t>The Commission acknowledges that there will be drafting challenges because </w:t>
      </w:r>
      <w:r>
        <w:rPr>
          <w:spacing w:val="-3"/>
          <w:sz w:val="20"/>
        </w:rPr>
        <w:t>we are only </w:t>
      </w:r>
      <w:r>
        <w:rPr>
          <w:sz w:val="20"/>
        </w:rPr>
        <w:t>recommending that the policy is </w:t>
      </w:r>
      <w:r>
        <w:rPr>
          <w:spacing w:val="-3"/>
          <w:sz w:val="20"/>
        </w:rPr>
        <w:t>altered </w:t>
      </w:r>
      <w:r>
        <w:rPr>
          <w:sz w:val="20"/>
        </w:rPr>
        <w:t>to </w:t>
      </w:r>
      <w:r>
        <w:rPr>
          <w:spacing w:val="-3"/>
          <w:sz w:val="20"/>
        </w:rPr>
        <w:t>apply </w:t>
      </w:r>
      <w:r>
        <w:rPr>
          <w:sz w:val="20"/>
        </w:rPr>
        <w:t>to people who </w:t>
      </w:r>
      <w:r>
        <w:rPr>
          <w:spacing w:val="-3"/>
          <w:sz w:val="20"/>
        </w:rPr>
        <w:t>are </w:t>
      </w:r>
      <w:r>
        <w:rPr>
          <w:spacing w:val="-4"/>
          <w:sz w:val="20"/>
        </w:rPr>
        <w:t>deaf, </w:t>
      </w:r>
      <w:r>
        <w:rPr>
          <w:sz w:val="20"/>
        </w:rPr>
        <w:t>hard of hearing,</w:t>
      </w:r>
      <w:r>
        <w:rPr>
          <w:spacing w:val="-12"/>
          <w:sz w:val="20"/>
        </w:rPr>
        <w:t> </w:t>
      </w:r>
      <w:r>
        <w:rPr>
          <w:sz w:val="20"/>
        </w:rPr>
        <w:t>blind</w:t>
      </w:r>
      <w:r>
        <w:rPr>
          <w:spacing w:val="-12"/>
          <w:sz w:val="20"/>
        </w:rPr>
        <w:t> </w:t>
      </w:r>
      <w:r>
        <w:rPr>
          <w:sz w:val="20"/>
        </w:rPr>
        <w:t>or</w:t>
      </w:r>
      <w:r>
        <w:rPr>
          <w:spacing w:val="-12"/>
          <w:sz w:val="20"/>
        </w:rPr>
        <w:t> </w:t>
      </w:r>
      <w:r>
        <w:rPr>
          <w:sz w:val="20"/>
        </w:rPr>
        <w:t>who</w:t>
      </w:r>
      <w:r>
        <w:rPr>
          <w:spacing w:val="-11"/>
          <w:sz w:val="20"/>
        </w:rPr>
        <w:t> </w:t>
      </w:r>
      <w:r>
        <w:rPr>
          <w:spacing w:val="-4"/>
          <w:sz w:val="20"/>
        </w:rPr>
        <w:t>have</w:t>
      </w:r>
      <w:r>
        <w:rPr>
          <w:spacing w:val="-12"/>
          <w:sz w:val="20"/>
        </w:rPr>
        <w:t> </w:t>
      </w:r>
      <w:r>
        <w:rPr>
          <w:spacing w:val="-4"/>
          <w:sz w:val="20"/>
        </w:rPr>
        <w:t>low</w:t>
      </w:r>
      <w:r>
        <w:rPr>
          <w:spacing w:val="-12"/>
          <w:sz w:val="20"/>
        </w:rPr>
        <w:t> </w:t>
      </w:r>
      <w:r>
        <w:rPr>
          <w:sz w:val="20"/>
        </w:rPr>
        <w:t>vision.</w:t>
      </w:r>
      <w:r>
        <w:rPr>
          <w:spacing w:val="-12"/>
          <w:sz w:val="20"/>
        </w:rPr>
        <w:t> </w:t>
      </w:r>
      <w:r>
        <w:rPr>
          <w:sz w:val="20"/>
        </w:rPr>
        <w:t>The</w:t>
      </w:r>
      <w:r>
        <w:rPr>
          <w:spacing w:val="-11"/>
          <w:sz w:val="20"/>
        </w:rPr>
        <w:t> </w:t>
      </w:r>
      <w:r>
        <w:rPr>
          <w:sz w:val="20"/>
        </w:rPr>
        <w:t>difficulty</w:t>
      </w:r>
      <w:r>
        <w:rPr>
          <w:spacing w:val="-12"/>
          <w:sz w:val="20"/>
        </w:rPr>
        <w:t> </w:t>
      </w:r>
      <w:r>
        <w:rPr>
          <w:sz w:val="20"/>
        </w:rPr>
        <w:t>will</w:t>
      </w:r>
      <w:r>
        <w:rPr>
          <w:spacing w:val="-12"/>
          <w:sz w:val="20"/>
        </w:rPr>
        <w:t> </w:t>
      </w:r>
      <w:r>
        <w:rPr>
          <w:sz w:val="20"/>
        </w:rPr>
        <w:t>be</w:t>
      </w:r>
      <w:r>
        <w:rPr>
          <w:spacing w:val="-12"/>
          <w:sz w:val="20"/>
        </w:rPr>
        <w:t> </w:t>
      </w:r>
      <w:r>
        <w:rPr>
          <w:sz w:val="20"/>
        </w:rPr>
        <w:t>ensuring</w:t>
      </w:r>
      <w:r>
        <w:rPr>
          <w:spacing w:val="-11"/>
          <w:sz w:val="20"/>
        </w:rPr>
        <w:t> </w:t>
      </w:r>
      <w:r>
        <w:rPr>
          <w:sz w:val="20"/>
        </w:rPr>
        <w:t>that</w:t>
      </w:r>
      <w:r>
        <w:rPr>
          <w:spacing w:val="-12"/>
          <w:sz w:val="20"/>
        </w:rPr>
        <w:t> </w:t>
      </w:r>
      <w:r>
        <w:rPr>
          <w:sz w:val="20"/>
        </w:rPr>
        <w:t>the</w:t>
      </w:r>
      <w:r>
        <w:rPr>
          <w:spacing w:val="-12"/>
          <w:sz w:val="20"/>
        </w:rPr>
        <w:t> </w:t>
      </w:r>
      <w:r>
        <w:rPr>
          <w:sz w:val="20"/>
        </w:rPr>
        <w:t>policy</w:t>
      </w:r>
      <w:r>
        <w:rPr>
          <w:spacing w:val="-12"/>
          <w:sz w:val="20"/>
        </w:rPr>
        <w:t> </w:t>
      </w:r>
      <w:r>
        <w:rPr>
          <w:sz w:val="20"/>
        </w:rPr>
        <w:t>does not become so long that it is disregarded. </w:t>
      </w:r>
      <w:r>
        <w:rPr>
          <w:spacing w:val="-6"/>
          <w:sz w:val="20"/>
        </w:rPr>
        <w:t>We </w:t>
      </w:r>
      <w:r>
        <w:rPr>
          <w:spacing w:val="-3"/>
          <w:sz w:val="20"/>
        </w:rPr>
        <w:t>are </w:t>
      </w:r>
      <w:r>
        <w:rPr>
          <w:sz w:val="20"/>
        </w:rPr>
        <w:t>confident these drafting challenges can be</w:t>
      </w:r>
      <w:r>
        <w:rPr>
          <w:spacing w:val="-8"/>
          <w:sz w:val="20"/>
        </w:rPr>
        <w:t> </w:t>
      </w:r>
      <w:r>
        <w:rPr>
          <w:spacing w:val="-4"/>
          <w:sz w:val="20"/>
        </w:rPr>
        <w:t>overcome.</w:t>
      </w:r>
    </w:p>
    <w:p>
      <w:pPr>
        <w:spacing w:before="164"/>
        <w:ind w:left="967" w:right="0" w:firstLine="0"/>
        <w:jc w:val="left"/>
        <w:rPr>
          <w:b/>
          <w:sz w:val="24"/>
        </w:rPr>
      </w:pPr>
      <w:r>
        <w:rPr>
          <w:b/>
          <w:sz w:val="24"/>
        </w:rPr>
        <w:t>The importance of education in addressing discrimination</w:t>
      </w:r>
    </w:p>
    <w:p>
      <w:pPr>
        <w:pStyle w:val="ListParagraph"/>
        <w:numPr>
          <w:ilvl w:val="1"/>
          <w:numId w:val="12"/>
        </w:numPr>
        <w:tabs>
          <w:tab w:pos="1761" w:val="left" w:leader="none"/>
          <w:tab w:pos="1762" w:val="left" w:leader="none"/>
        </w:tabs>
        <w:spacing w:line="206" w:lineRule="auto" w:before="127" w:after="0"/>
        <w:ind w:left="1761" w:right="1454" w:hanging="794"/>
        <w:jc w:val="left"/>
        <w:rPr>
          <w:sz w:val="20"/>
        </w:rPr>
      </w:pPr>
      <w:r>
        <w:rPr>
          <w:sz w:val="20"/>
        </w:rPr>
        <w:t>As Daniel Stubbs noted in consultation: ‘Education is very important’.</w:t>
      </w:r>
      <w:r>
        <w:rPr>
          <w:position w:val="7"/>
          <w:sz w:val="11"/>
        </w:rPr>
        <w:t>86 </w:t>
      </w:r>
      <w:r>
        <w:rPr>
          <w:sz w:val="20"/>
        </w:rPr>
        <w:t>In </w:t>
      </w:r>
      <w:r>
        <w:rPr>
          <w:spacing w:val="-2"/>
          <w:sz w:val="20"/>
        </w:rPr>
        <w:t>Chapter </w:t>
      </w:r>
      <w:r>
        <w:rPr>
          <w:sz w:val="20"/>
        </w:rPr>
        <w:t>18 </w:t>
      </w:r>
      <w:r>
        <w:rPr>
          <w:spacing w:val="-3"/>
          <w:sz w:val="20"/>
        </w:rPr>
        <w:t>we</w:t>
      </w:r>
      <w:r>
        <w:rPr>
          <w:spacing w:val="-11"/>
          <w:sz w:val="20"/>
        </w:rPr>
        <w:t> </w:t>
      </w:r>
      <w:r>
        <w:rPr>
          <w:sz w:val="20"/>
        </w:rPr>
        <w:t>recommend</w:t>
      </w:r>
      <w:r>
        <w:rPr>
          <w:spacing w:val="-11"/>
          <w:sz w:val="20"/>
        </w:rPr>
        <w:t> </w:t>
      </w:r>
      <w:r>
        <w:rPr>
          <w:sz w:val="20"/>
        </w:rPr>
        <w:t>disability</w:t>
      </w:r>
      <w:r>
        <w:rPr>
          <w:spacing w:val="-11"/>
          <w:sz w:val="20"/>
        </w:rPr>
        <w:t> </w:t>
      </w:r>
      <w:r>
        <w:rPr>
          <w:spacing w:val="-3"/>
          <w:sz w:val="20"/>
        </w:rPr>
        <w:t>awareness</w:t>
      </w:r>
      <w:r>
        <w:rPr>
          <w:spacing w:val="-10"/>
          <w:sz w:val="20"/>
        </w:rPr>
        <w:t> </w:t>
      </w:r>
      <w:r>
        <w:rPr>
          <w:sz w:val="20"/>
        </w:rPr>
        <w:t>training</w:t>
      </w:r>
      <w:r>
        <w:rPr>
          <w:spacing w:val="-11"/>
          <w:sz w:val="20"/>
        </w:rPr>
        <w:t> </w:t>
      </w:r>
      <w:r>
        <w:rPr>
          <w:sz w:val="20"/>
        </w:rPr>
        <w:t>and</w:t>
      </w:r>
      <w:r>
        <w:rPr>
          <w:spacing w:val="-11"/>
          <w:sz w:val="20"/>
        </w:rPr>
        <w:t> </w:t>
      </w:r>
      <w:r>
        <w:rPr>
          <w:sz w:val="20"/>
        </w:rPr>
        <w:t>professional</w:t>
      </w:r>
      <w:r>
        <w:rPr>
          <w:spacing w:val="-11"/>
          <w:sz w:val="20"/>
        </w:rPr>
        <w:t> </w:t>
      </w:r>
      <w:r>
        <w:rPr>
          <w:spacing w:val="-3"/>
          <w:sz w:val="20"/>
        </w:rPr>
        <w:t>development</w:t>
      </w:r>
      <w:r>
        <w:rPr>
          <w:spacing w:val="-11"/>
          <w:sz w:val="20"/>
        </w:rPr>
        <w:t> </w:t>
      </w:r>
      <w:r>
        <w:rPr>
          <w:sz w:val="20"/>
        </w:rPr>
        <w:t>for</w:t>
      </w:r>
      <w:r>
        <w:rPr>
          <w:spacing w:val="-10"/>
          <w:sz w:val="20"/>
        </w:rPr>
        <w:t> </w:t>
      </w:r>
      <w:r>
        <w:rPr>
          <w:sz w:val="20"/>
        </w:rPr>
        <w:t>legal professionals.</w:t>
      </w:r>
      <w:r>
        <w:rPr>
          <w:spacing w:val="-8"/>
          <w:sz w:val="20"/>
        </w:rPr>
        <w:t> </w:t>
      </w:r>
      <w:r>
        <w:rPr>
          <w:sz w:val="20"/>
        </w:rPr>
        <w:t>The</w:t>
      </w:r>
      <w:r>
        <w:rPr>
          <w:spacing w:val="-8"/>
          <w:sz w:val="20"/>
        </w:rPr>
        <w:t> </w:t>
      </w:r>
      <w:r>
        <w:rPr>
          <w:sz w:val="20"/>
        </w:rPr>
        <w:t>goal</w:t>
      </w:r>
      <w:r>
        <w:rPr>
          <w:spacing w:val="-8"/>
          <w:sz w:val="20"/>
        </w:rPr>
        <w:t> </w:t>
      </w:r>
      <w:r>
        <w:rPr>
          <w:sz w:val="20"/>
        </w:rPr>
        <w:t>of</w:t>
      </w:r>
      <w:r>
        <w:rPr>
          <w:spacing w:val="-7"/>
          <w:sz w:val="20"/>
        </w:rPr>
        <w:t> </w:t>
      </w:r>
      <w:r>
        <w:rPr>
          <w:sz w:val="20"/>
        </w:rPr>
        <w:t>training</w:t>
      </w:r>
      <w:r>
        <w:rPr>
          <w:spacing w:val="-8"/>
          <w:sz w:val="20"/>
        </w:rPr>
        <w:t> </w:t>
      </w:r>
      <w:r>
        <w:rPr>
          <w:sz w:val="20"/>
        </w:rPr>
        <w:t>for</w:t>
      </w:r>
      <w:r>
        <w:rPr>
          <w:spacing w:val="-8"/>
          <w:sz w:val="20"/>
        </w:rPr>
        <w:t> </w:t>
      </w:r>
      <w:r>
        <w:rPr>
          <w:sz w:val="20"/>
        </w:rPr>
        <w:t>the</w:t>
      </w:r>
      <w:r>
        <w:rPr>
          <w:spacing w:val="-7"/>
          <w:sz w:val="20"/>
        </w:rPr>
        <w:t> </w:t>
      </w:r>
      <w:r>
        <w:rPr>
          <w:sz w:val="20"/>
        </w:rPr>
        <w:t>OPP</w:t>
      </w:r>
      <w:r>
        <w:rPr>
          <w:spacing w:val="-8"/>
          <w:sz w:val="20"/>
        </w:rPr>
        <w:t> </w:t>
      </w:r>
      <w:r>
        <w:rPr>
          <w:sz w:val="20"/>
        </w:rPr>
        <w:t>should</w:t>
      </w:r>
      <w:r>
        <w:rPr>
          <w:spacing w:val="-8"/>
          <w:sz w:val="20"/>
        </w:rPr>
        <w:t> </w:t>
      </w:r>
      <w:r>
        <w:rPr>
          <w:sz w:val="20"/>
        </w:rPr>
        <w:t>be</w:t>
      </w:r>
      <w:r>
        <w:rPr>
          <w:spacing w:val="-7"/>
          <w:sz w:val="20"/>
        </w:rPr>
        <w:t> </w:t>
      </w:r>
      <w:r>
        <w:rPr>
          <w:sz w:val="20"/>
        </w:rPr>
        <w:t>to</w:t>
      </w:r>
      <w:r>
        <w:rPr>
          <w:spacing w:val="-8"/>
          <w:sz w:val="20"/>
        </w:rPr>
        <w:t> </w:t>
      </w:r>
      <w:r>
        <w:rPr>
          <w:sz w:val="20"/>
        </w:rPr>
        <w:t>educate</w:t>
      </w:r>
      <w:r>
        <w:rPr>
          <w:spacing w:val="-8"/>
          <w:sz w:val="20"/>
        </w:rPr>
        <w:t> </w:t>
      </w:r>
      <w:r>
        <w:rPr>
          <w:spacing w:val="-2"/>
          <w:sz w:val="20"/>
        </w:rPr>
        <w:t>prosecutors,</w:t>
      </w:r>
    </w:p>
    <w:p>
      <w:pPr>
        <w:pStyle w:val="BodyText"/>
        <w:spacing w:line="206" w:lineRule="auto" w:before="4"/>
        <w:ind w:left="1761" w:right="1866"/>
      </w:pPr>
      <w:r>
        <w:rPr/>
        <w:t>to </w:t>
      </w:r>
      <w:r>
        <w:rPr>
          <w:spacing w:val="-3"/>
        </w:rPr>
        <w:t>reduce </w:t>
      </w:r>
      <w:r>
        <w:rPr/>
        <w:t>the chances of stand asides being </w:t>
      </w:r>
      <w:r>
        <w:rPr>
          <w:spacing w:val="-3"/>
        </w:rPr>
        <w:t>exercised </w:t>
      </w:r>
      <w:r>
        <w:rPr/>
        <w:t>in a discriminatory </w:t>
      </w:r>
      <w:r>
        <w:rPr>
          <w:spacing w:val="-4"/>
        </w:rPr>
        <w:t>way </w:t>
      </w:r>
      <w:r>
        <w:rPr/>
        <w:t>against</w:t>
      </w:r>
      <w:r>
        <w:rPr>
          <w:spacing w:val="-13"/>
        </w:rPr>
        <w:t> </w:t>
      </w:r>
      <w:r>
        <w:rPr/>
        <w:t>people</w:t>
      </w:r>
      <w:r>
        <w:rPr>
          <w:spacing w:val="-13"/>
        </w:rPr>
        <w:t> </w:t>
      </w:r>
      <w:r>
        <w:rPr/>
        <w:t>in</w:t>
      </w:r>
      <w:r>
        <w:rPr>
          <w:spacing w:val="-13"/>
        </w:rPr>
        <w:t> </w:t>
      </w:r>
      <w:r>
        <w:rPr/>
        <w:t>the</w:t>
      </w:r>
      <w:r>
        <w:rPr>
          <w:spacing w:val="-13"/>
        </w:rPr>
        <w:t> </w:t>
      </w:r>
      <w:r>
        <w:rPr/>
        <w:t>subject</w:t>
      </w:r>
      <w:r>
        <w:rPr>
          <w:spacing w:val="-12"/>
        </w:rPr>
        <w:t> </w:t>
      </w:r>
      <w:r>
        <w:rPr/>
        <w:t>groups.</w:t>
      </w:r>
      <w:r>
        <w:rPr>
          <w:spacing w:val="-13"/>
        </w:rPr>
        <w:t> </w:t>
      </w:r>
      <w:r>
        <w:rPr>
          <w:spacing w:val="-4"/>
        </w:rPr>
        <w:t>Training</w:t>
      </w:r>
      <w:r>
        <w:rPr>
          <w:spacing w:val="-13"/>
        </w:rPr>
        <w:t> </w:t>
      </w:r>
      <w:r>
        <w:rPr/>
        <w:t>should</w:t>
      </w:r>
      <w:r>
        <w:rPr>
          <w:spacing w:val="-13"/>
        </w:rPr>
        <w:t> </w:t>
      </w:r>
      <w:r>
        <w:rPr/>
        <w:t>include</w:t>
      </w:r>
      <w:r>
        <w:rPr>
          <w:spacing w:val="-12"/>
        </w:rPr>
        <w:t> </w:t>
      </w:r>
      <w:r>
        <w:rPr/>
        <w:t>information</w:t>
      </w:r>
      <w:r>
        <w:rPr>
          <w:spacing w:val="-13"/>
        </w:rPr>
        <w:t> </w:t>
      </w:r>
      <w:r>
        <w:rPr/>
        <w:t>about the</w:t>
      </w:r>
      <w:r>
        <w:rPr>
          <w:spacing w:val="-8"/>
        </w:rPr>
        <w:t> </w:t>
      </w:r>
      <w:r>
        <w:rPr/>
        <w:t>types</w:t>
      </w:r>
      <w:r>
        <w:rPr>
          <w:spacing w:val="-8"/>
        </w:rPr>
        <w:t> </w:t>
      </w:r>
      <w:r>
        <w:rPr/>
        <w:t>of</w:t>
      </w:r>
      <w:r>
        <w:rPr>
          <w:spacing w:val="-8"/>
        </w:rPr>
        <w:t> </w:t>
      </w:r>
      <w:r>
        <w:rPr/>
        <w:t>adjustments</w:t>
      </w:r>
      <w:r>
        <w:rPr>
          <w:spacing w:val="-8"/>
        </w:rPr>
        <w:t> </w:t>
      </w:r>
      <w:r>
        <w:rPr/>
        <w:t>that</w:t>
      </w:r>
      <w:r>
        <w:rPr>
          <w:spacing w:val="-8"/>
        </w:rPr>
        <w:t> </w:t>
      </w:r>
      <w:r>
        <w:rPr>
          <w:spacing w:val="-3"/>
        </w:rPr>
        <w:t>are</w:t>
      </w:r>
      <w:r>
        <w:rPr>
          <w:spacing w:val="-8"/>
        </w:rPr>
        <w:t> </w:t>
      </w:r>
      <w:r>
        <w:rPr>
          <w:spacing w:val="-3"/>
        </w:rPr>
        <w:t>available,</w:t>
      </w:r>
      <w:r>
        <w:rPr>
          <w:spacing w:val="-8"/>
        </w:rPr>
        <w:t> </w:t>
      </w:r>
      <w:r>
        <w:rPr/>
        <w:t>and</w:t>
      </w:r>
      <w:r>
        <w:rPr>
          <w:spacing w:val="-8"/>
        </w:rPr>
        <w:t> </w:t>
      </w:r>
      <w:r>
        <w:rPr>
          <w:spacing w:val="-3"/>
        </w:rPr>
        <w:t>how</w:t>
      </w:r>
      <w:r>
        <w:rPr>
          <w:spacing w:val="-8"/>
        </w:rPr>
        <w:t> </w:t>
      </w:r>
      <w:r>
        <w:rPr/>
        <w:t>they</w:t>
      </w:r>
      <w:r>
        <w:rPr>
          <w:spacing w:val="-8"/>
        </w:rPr>
        <w:t> </w:t>
      </w:r>
      <w:r>
        <w:rPr>
          <w:spacing w:val="-3"/>
        </w:rPr>
        <w:t>work</w:t>
      </w:r>
      <w:r>
        <w:rPr>
          <w:spacing w:val="-8"/>
        </w:rPr>
        <w:t> </w:t>
      </w:r>
      <w:r>
        <w:rPr/>
        <w:t>in</w:t>
      </w:r>
      <w:r>
        <w:rPr>
          <w:spacing w:val="-8"/>
        </w:rPr>
        <w:t> </w:t>
      </w:r>
      <w:r>
        <w:rPr/>
        <w:t>practice,</w:t>
      </w:r>
      <w:r>
        <w:rPr>
          <w:spacing w:val="-8"/>
        </w:rPr>
        <w:t> </w:t>
      </w:r>
      <w:r>
        <w:rPr/>
        <w:t>and</w:t>
      </w:r>
    </w:p>
    <w:p>
      <w:pPr>
        <w:pStyle w:val="BodyText"/>
        <w:spacing w:line="206" w:lineRule="auto" w:before="4"/>
        <w:ind w:left="1761" w:right="1335"/>
      </w:pPr>
      <w:r>
        <w:rPr/>
        <w:t>tackle</w:t>
      </w:r>
      <w:r>
        <w:rPr>
          <w:spacing w:val="-12"/>
        </w:rPr>
        <w:t> </w:t>
      </w:r>
      <w:r>
        <w:rPr/>
        <w:t>misconceptions</w:t>
      </w:r>
      <w:r>
        <w:rPr>
          <w:spacing w:val="-11"/>
        </w:rPr>
        <w:t> </w:t>
      </w:r>
      <w:r>
        <w:rPr/>
        <w:t>and</w:t>
      </w:r>
      <w:r>
        <w:rPr>
          <w:spacing w:val="-12"/>
        </w:rPr>
        <w:t> </w:t>
      </w:r>
      <w:r>
        <w:rPr/>
        <w:t>a</w:t>
      </w:r>
      <w:r>
        <w:rPr>
          <w:spacing w:val="-11"/>
        </w:rPr>
        <w:t> </w:t>
      </w:r>
      <w:r>
        <w:rPr/>
        <w:t>lack</w:t>
      </w:r>
      <w:r>
        <w:rPr>
          <w:spacing w:val="-12"/>
        </w:rPr>
        <w:t> </w:t>
      </w:r>
      <w:r>
        <w:rPr/>
        <w:t>of</w:t>
      </w:r>
      <w:r>
        <w:rPr>
          <w:spacing w:val="-11"/>
        </w:rPr>
        <w:t> </w:t>
      </w:r>
      <w:r>
        <w:rPr/>
        <w:t>understanding</w:t>
      </w:r>
      <w:r>
        <w:rPr>
          <w:spacing w:val="-12"/>
        </w:rPr>
        <w:t> </w:t>
      </w:r>
      <w:r>
        <w:rPr/>
        <w:t>about</w:t>
      </w:r>
      <w:r>
        <w:rPr>
          <w:spacing w:val="-11"/>
        </w:rPr>
        <w:t> </w:t>
      </w:r>
      <w:r>
        <w:rPr/>
        <w:t>the</w:t>
      </w:r>
      <w:r>
        <w:rPr>
          <w:spacing w:val="-12"/>
        </w:rPr>
        <w:t> </w:t>
      </w:r>
      <w:r>
        <w:rPr/>
        <w:t>tools</w:t>
      </w:r>
      <w:r>
        <w:rPr>
          <w:spacing w:val="-11"/>
        </w:rPr>
        <w:t> </w:t>
      </w:r>
      <w:r>
        <w:rPr/>
        <w:t>that</w:t>
      </w:r>
      <w:r>
        <w:rPr>
          <w:spacing w:val="-12"/>
        </w:rPr>
        <w:t> </w:t>
      </w:r>
      <w:r>
        <w:rPr/>
        <w:t>people</w:t>
      </w:r>
      <w:r>
        <w:rPr>
          <w:spacing w:val="-11"/>
        </w:rPr>
        <w:t> </w:t>
      </w:r>
      <w:r>
        <w:rPr/>
        <w:t>with disabilities</w:t>
      </w:r>
      <w:r>
        <w:rPr>
          <w:spacing w:val="-6"/>
        </w:rPr>
        <w:t> </w:t>
      </w:r>
      <w:r>
        <w:rPr/>
        <w:t>use</w:t>
      </w:r>
      <w:r>
        <w:rPr>
          <w:spacing w:val="-5"/>
        </w:rPr>
        <w:t> </w:t>
      </w:r>
      <w:r>
        <w:rPr/>
        <w:t>to</w:t>
      </w:r>
      <w:r>
        <w:rPr>
          <w:spacing w:val="-5"/>
        </w:rPr>
        <w:t> </w:t>
      </w:r>
      <w:r>
        <w:rPr>
          <w:spacing w:val="-3"/>
        </w:rPr>
        <w:t>navigate</w:t>
      </w:r>
      <w:r>
        <w:rPr>
          <w:spacing w:val="-5"/>
        </w:rPr>
        <w:t> </w:t>
      </w:r>
      <w:r>
        <w:rPr/>
        <w:t>and</w:t>
      </w:r>
      <w:r>
        <w:rPr>
          <w:spacing w:val="-6"/>
        </w:rPr>
        <w:t> </w:t>
      </w:r>
      <w:r>
        <w:rPr/>
        <w:t>participate</w:t>
      </w:r>
      <w:r>
        <w:rPr>
          <w:spacing w:val="-5"/>
        </w:rPr>
        <w:t> </w:t>
      </w:r>
      <w:r>
        <w:rPr/>
        <w:t>in</w:t>
      </w:r>
      <w:r>
        <w:rPr>
          <w:spacing w:val="-5"/>
        </w:rPr>
        <w:t> </w:t>
      </w:r>
      <w:r>
        <w:rPr/>
        <w:t>community</w:t>
      </w:r>
      <w:r>
        <w:rPr>
          <w:spacing w:val="-5"/>
        </w:rPr>
        <w:t> </w:t>
      </w:r>
      <w:r>
        <w:rPr/>
        <w:t>life.</w:t>
      </w:r>
    </w:p>
    <w:p>
      <w:pPr>
        <w:pStyle w:val="ListParagraph"/>
        <w:numPr>
          <w:ilvl w:val="1"/>
          <w:numId w:val="12"/>
        </w:numPr>
        <w:tabs>
          <w:tab w:pos="1761" w:val="left" w:leader="none"/>
          <w:tab w:pos="1762" w:val="left" w:leader="none"/>
        </w:tabs>
        <w:spacing w:line="240" w:lineRule="auto" w:before="90" w:after="0"/>
        <w:ind w:left="1761" w:right="0" w:hanging="794"/>
        <w:jc w:val="left"/>
        <w:rPr>
          <w:sz w:val="20"/>
        </w:rPr>
      </w:pPr>
      <w:r>
        <w:rPr>
          <w:sz w:val="20"/>
        </w:rPr>
        <w:t>The</w:t>
      </w:r>
      <w:r>
        <w:rPr>
          <w:spacing w:val="-5"/>
          <w:sz w:val="20"/>
        </w:rPr>
        <w:t> </w:t>
      </w:r>
      <w:r>
        <w:rPr>
          <w:sz w:val="20"/>
        </w:rPr>
        <w:t>OPP</w:t>
      </w:r>
      <w:r>
        <w:rPr>
          <w:spacing w:val="-5"/>
          <w:sz w:val="20"/>
        </w:rPr>
        <w:t> </w:t>
      </w:r>
      <w:r>
        <w:rPr>
          <w:spacing w:val="-3"/>
          <w:sz w:val="20"/>
        </w:rPr>
        <w:t>referred</w:t>
      </w:r>
      <w:r>
        <w:rPr>
          <w:spacing w:val="-4"/>
          <w:sz w:val="20"/>
        </w:rPr>
        <w:t> </w:t>
      </w:r>
      <w:r>
        <w:rPr>
          <w:sz w:val="20"/>
        </w:rPr>
        <w:t>to</w:t>
      </w:r>
      <w:r>
        <w:rPr>
          <w:spacing w:val="-5"/>
          <w:sz w:val="20"/>
        </w:rPr>
        <w:t> </w:t>
      </w:r>
      <w:r>
        <w:rPr>
          <w:sz w:val="20"/>
        </w:rPr>
        <w:t>the</w:t>
      </w:r>
      <w:r>
        <w:rPr>
          <w:spacing w:val="-5"/>
          <w:sz w:val="20"/>
        </w:rPr>
        <w:t> </w:t>
      </w:r>
      <w:r>
        <w:rPr>
          <w:spacing w:val="-3"/>
          <w:sz w:val="20"/>
        </w:rPr>
        <w:t>profession’s</w:t>
      </w:r>
      <w:r>
        <w:rPr>
          <w:spacing w:val="-5"/>
          <w:sz w:val="20"/>
        </w:rPr>
        <w:t> </w:t>
      </w:r>
      <w:r>
        <w:rPr>
          <w:spacing w:val="-3"/>
          <w:sz w:val="20"/>
        </w:rPr>
        <w:t>progress</w:t>
      </w:r>
      <w:r>
        <w:rPr>
          <w:spacing w:val="-4"/>
          <w:sz w:val="20"/>
        </w:rPr>
        <w:t> </w:t>
      </w:r>
      <w:r>
        <w:rPr>
          <w:sz w:val="20"/>
        </w:rPr>
        <w:t>and</w:t>
      </w:r>
      <w:r>
        <w:rPr>
          <w:spacing w:val="-5"/>
          <w:sz w:val="20"/>
        </w:rPr>
        <w:t> </w:t>
      </w:r>
      <w:r>
        <w:rPr>
          <w:sz w:val="20"/>
        </w:rPr>
        <w:t>adaptability</w:t>
      </w:r>
      <w:r>
        <w:rPr>
          <w:spacing w:val="-5"/>
          <w:sz w:val="20"/>
        </w:rPr>
        <w:t> </w:t>
      </w:r>
      <w:r>
        <w:rPr>
          <w:sz w:val="20"/>
        </w:rPr>
        <w:t>in</w:t>
      </w:r>
      <w:r>
        <w:rPr>
          <w:spacing w:val="-4"/>
          <w:sz w:val="20"/>
        </w:rPr>
        <w:t> </w:t>
      </w:r>
      <w:r>
        <w:rPr>
          <w:sz w:val="20"/>
        </w:rPr>
        <w:t>consultation:</w:t>
      </w:r>
    </w:p>
    <w:p>
      <w:pPr>
        <w:spacing w:line="208" w:lineRule="auto" w:before="113"/>
        <w:ind w:left="2157" w:right="1335" w:firstLine="0"/>
        <w:jc w:val="left"/>
        <w:rPr>
          <w:sz w:val="11"/>
        </w:rPr>
      </w:pPr>
      <w:r>
        <w:rPr>
          <w:sz w:val="19"/>
        </w:rPr>
        <w:t>The legal profession has come a long way in the last ten years and we have demonstrated how adaptable we are. There are so many witnesses and victims who use supports. They are listened to respectfully and their views are considered and taken into account in the justice process. In practice the profession runs with it and does not discriminate. The profession has come a long way and so has the use of supports in the court room.</w:t>
      </w:r>
      <w:r>
        <w:rPr>
          <w:position w:val="6"/>
          <w:sz w:val="11"/>
        </w:rPr>
        <w:t>87</w:t>
      </w:r>
    </w:p>
    <w:p>
      <w:pPr>
        <w:pStyle w:val="ListParagraph"/>
        <w:numPr>
          <w:ilvl w:val="1"/>
          <w:numId w:val="12"/>
        </w:numPr>
        <w:tabs>
          <w:tab w:pos="1761" w:val="left" w:leader="none"/>
          <w:tab w:pos="1762" w:val="left" w:leader="none"/>
        </w:tabs>
        <w:spacing w:line="206" w:lineRule="auto" w:before="125" w:after="0"/>
        <w:ind w:left="1761" w:right="1925" w:hanging="794"/>
        <w:jc w:val="left"/>
        <w:rPr>
          <w:sz w:val="11"/>
        </w:rPr>
      </w:pPr>
      <w:r>
        <w:rPr>
          <w:sz w:val="20"/>
        </w:rPr>
        <w:t>As</w:t>
      </w:r>
      <w:r>
        <w:rPr>
          <w:spacing w:val="-8"/>
          <w:sz w:val="20"/>
        </w:rPr>
        <w:t> </w:t>
      </w:r>
      <w:r>
        <w:rPr>
          <w:sz w:val="20"/>
        </w:rPr>
        <w:t>noted</w:t>
      </w:r>
      <w:r>
        <w:rPr>
          <w:spacing w:val="-7"/>
          <w:sz w:val="20"/>
        </w:rPr>
        <w:t> </w:t>
      </w:r>
      <w:r>
        <w:rPr>
          <w:spacing w:val="-4"/>
          <w:sz w:val="20"/>
        </w:rPr>
        <w:t>above,</w:t>
      </w:r>
      <w:r>
        <w:rPr>
          <w:spacing w:val="-8"/>
          <w:sz w:val="20"/>
        </w:rPr>
        <w:t> </w:t>
      </w:r>
      <w:r>
        <w:rPr>
          <w:sz w:val="20"/>
        </w:rPr>
        <w:t>judges</w:t>
      </w:r>
      <w:r>
        <w:rPr>
          <w:spacing w:val="-8"/>
          <w:sz w:val="20"/>
        </w:rPr>
        <w:t> </w:t>
      </w:r>
      <w:r>
        <w:rPr>
          <w:sz w:val="20"/>
        </w:rPr>
        <w:t>could</w:t>
      </w:r>
      <w:r>
        <w:rPr>
          <w:spacing w:val="-7"/>
          <w:sz w:val="20"/>
        </w:rPr>
        <w:t> </w:t>
      </w:r>
      <w:r>
        <w:rPr>
          <w:sz w:val="20"/>
        </w:rPr>
        <w:t>also</w:t>
      </w:r>
      <w:r>
        <w:rPr>
          <w:spacing w:val="-8"/>
          <w:sz w:val="20"/>
        </w:rPr>
        <w:t> </w:t>
      </w:r>
      <w:r>
        <w:rPr>
          <w:spacing w:val="-4"/>
          <w:sz w:val="20"/>
        </w:rPr>
        <w:t>have</w:t>
      </w:r>
      <w:r>
        <w:rPr>
          <w:spacing w:val="-7"/>
          <w:sz w:val="20"/>
        </w:rPr>
        <w:t> </w:t>
      </w:r>
      <w:r>
        <w:rPr>
          <w:sz w:val="20"/>
        </w:rPr>
        <w:t>a</w:t>
      </w:r>
      <w:r>
        <w:rPr>
          <w:spacing w:val="-8"/>
          <w:sz w:val="20"/>
        </w:rPr>
        <w:t> </w:t>
      </w:r>
      <w:r>
        <w:rPr>
          <w:spacing w:val="-3"/>
          <w:sz w:val="20"/>
        </w:rPr>
        <w:t>role</w:t>
      </w:r>
      <w:r>
        <w:rPr>
          <w:spacing w:val="-7"/>
          <w:sz w:val="20"/>
        </w:rPr>
        <w:t> </w:t>
      </w:r>
      <w:r>
        <w:rPr>
          <w:sz w:val="20"/>
        </w:rPr>
        <w:t>in</w:t>
      </w:r>
      <w:r>
        <w:rPr>
          <w:spacing w:val="-8"/>
          <w:sz w:val="20"/>
        </w:rPr>
        <w:t> </w:t>
      </w:r>
      <w:r>
        <w:rPr>
          <w:spacing w:val="-3"/>
          <w:sz w:val="20"/>
        </w:rPr>
        <w:t>providing</w:t>
      </w:r>
      <w:r>
        <w:rPr>
          <w:spacing w:val="-7"/>
          <w:sz w:val="20"/>
        </w:rPr>
        <w:t> </w:t>
      </w:r>
      <w:r>
        <w:rPr>
          <w:sz w:val="20"/>
        </w:rPr>
        <w:t>information</w:t>
      </w:r>
      <w:r>
        <w:rPr>
          <w:spacing w:val="-8"/>
          <w:sz w:val="20"/>
        </w:rPr>
        <w:t> </w:t>
      </w:r>
      <w:r>
        <w:rPr>
          <w:sz w:val="20"/>
        </w:rPr>
        <w:t>to</w:t>
      </w:r>
      <w:r>
        <w:rPr>
          <w:spacing w:val="-7"/>
          <w:sz w:val="20"/>
        </w:rPr>
        <w:t> </w:t>
      </w:r>
      <w:r>
        <w:rPr>
          <w:spacing w:val="-4"/>
          <w:sz w:val="20"/>
        </w:rPr>
        <w:t>Crown </w:t>
      </w:r>
      <w:r>
        <w:rPr>
          <w:spacing w:val="-2"/>
          <w:sz w:val="20"/>
        </w:rPr>
        <w:t>prosecutors,</w:t>
      </w:r>
      <w:r>
        <w:rPr>
          <w:spacing w:val="-5"/>
          <w:sz w:val="20"/>
        </w:rPr>
        <w:t> </w:t>
      </w:r>
      <w:r>
        <w:rPr>
          <w:sz w:val="20"/>
        </w:rPr>
        <w:t>as</w:t>
      </w:r>
      <w:r>
        <w:rPr>
          <w:spacing w:val="-5"/>
          <w:sz w:val="20"/>
        </w:rPr>
        <w:t> </w:t>
      </w:r>
      <w:r>
        <w:rPr>
          <w:sz w:val="20"/>
        </w:rPr>
        <w:t>the</w:t>
      </w:r>
      <w:r>
        <w:rPr>
          <w:spacing w:val="-5"/>
          <w:sz w:val="20"/>
        </w:rPr>
        <w:t> </w:t>
      </w:r>
      <w:r>
        <w:rPr>
          <w:sz w:val="20"/>
        </w:rPr>
        <w:t>County</w:t>
      </w:r>
      <w:r>
        <w:rPr>
          <w:spacing w:val="-5"/>
          <w:sz w:val="20"/>
        </w:rPr>
        <w:t> </w:t>
      </w:r>
      <w:r>
        <w:rPr>
          <w:sz w:val="20"/>
        </w:rPr>
        <w:t>Court</w:t>
      </w:r>
      <w:r>
        <w:rPr>
          <w:spacing w:val="-5"/>
          <w:sz w:val="20"/>
        </w:rPr>
        <w:t> </w:t>
      </w:r>
      <w:r>
        <w:rPr>
          <w:sz w:val="20"/>
        </w:rPr>
        <w:t>recommended</w:t>
      </w:r>
      <w:r>
        <w:rPr>
          <w:spacing w:val="-5"/>
          <w:sz w:val="20"/>
        </w:rPr>
        <w:t> </w:t>
      </w:r>
      <w:r>
        <w:rPr>
          <w:sz w:val="20"/>
        </w:rPr>
        <w:t>in</w:t>
      </w:r>
      <w:r>
        <w:rPr>
          <w:spacing w:val="-5"/>
          <w:sz w:val="20"/>
        </w:rPr>
        <w:t> </w:t>
      </w:r>
      <w:r>
        <w:rPr>
          <w:sz w:val="20"/>
        </w:rPr>
        <w:t>its</w:t>
      </w:r>
      <w:r>
        <w:rPr>
          <w:spacing w:val="-5"/>
          <w:sz w:val="20"/>
        </w:rPr>
        <w:t> </w:t>
      </w:r>
      <w:r>
        <w:rPr>
          <w:sz w:val="20"/>
        </w:rPr>
        <w:t>submission.</w:t>
      </w:r>
      <w:r>
        <w:rPr>
          <w:position w:val="7"/>
          <w:sz w:val="11"/>
        </w:rPr>
        <w:t>88</w:t>
      </w:r>
    </w:p>
    <w:p>
      <w:pPr>
        <w:spacing w:before="161"/>
        <w:ind w:left="967" w:right="0" w:firstLine="0"/>
        <w:jc w:val="left"/>
        <w:rPr>
          <w:b/>
          <w:sz w:val="24"/>
        </w:rPr>
      </w:pPr>
      <w:r>
        <w:rPr>
          <w:b/>
          <w:sz w:val="24"/>
        </w:rPr>
        <w:t>Collecting data about stand asides and people in the subject groups</w:t>
      </w:r>
    </w:p>
    <w:p>
      <w:pPr>
        <w:pStyle w:val="ListParagraph"/>
        <w:numPr>
          <w:ilvl w:val="1"/>
          <w:numId w:val="12"/>
        </w:numPr>
        <w:tabs>
          <w:tab w:pos="1761" w:val="left" w:leader="none"/>
          <w:tab w:pos="1762" w:val="left" w:leader="none"/>
        </w:tabs>
        <w:spacing w:line="206" w:lineRule="auto" w:before="127" w:after="0"/>
        <w:ind w:left="1761" w:right="1375" w:hanging="794"/>
        <w:jc w:val="left"/>
        <w:rPr>
          <w:sz w:val="20"/>
        </w:rPr>
      </w:pPr>
      <w:r>
        <w:rPr>
          <w:spacing w:val="-3"/>
          <w:sz w:val="20"/>
        </w:rPr>
        <w:t>For</w:t>
      </w:r>
      <w:r>
        <w:rPr>
          <w:spacing w:val="-12"/>
          <w:sz w:val="20"/>
        </w:rPr>
        <w:t> </w:t>
      </w:r>
      <w:r>
        <w:rPr>
          <w:sz w:val="20"/>
        </w:rPr>
        <w:t>the</w:t>
      </w:r>
      <w:r>
        <w:rPr>
          <w:spacing w:val="-11"/>
          <w:sz w:val="20"/>
        </w:rPr>
        <w:t> </w:t>
      </w:r>
      <w:r>
        <w:rPr>
          <w:sz w:val="20"/>
        </w:rPr>
        <w:t>same</w:t>
      </w:r>
      <w:r>
        <w:rPr>
          <w:spacing w:val="-12"/>
          <w:sz w:val="20"/>
        </w:rPr>
        <w:t> </w:t>
      </w:r>
      <w:r>
        <w:rPr>
          <w:sz w:val="20"/>
        </w:rPr>
        <w:t>reasons</w:t>
      </w:r>
      <w:r>
        <w:rPr>
          <w:spacing w:val="-11"/>
          <w:sz w:val="20"/>
        </w:rPr>
        <w:t> </w:t>
      </w:r>
      <w:r>
        <w:rPr>
          <w:sz w:val="20"/>
        </w:rPr>
        <w:t>outlined</w:t>
      </w:r>
      <w:r>
        <w:rPr>
          <w:spacing w:val="-12"/>
          <w:sz w:val="20"/>
        </w:rPr>
        <w:t> </w:t>
      </w:r>
      <w:r>
        <w:rPr>
          <w:sz w:val="20"/>
        </w:rPr>
        <w:t>in</w:t>
      </w:r>
      <w:r>
        <w:rPr>
          <w:spacing w:val="-11"/>
          <w:sz w:val="20"/>
        </w:rPr>
        <w:t> </w:t>
      </w:r>
      <w:r>
        <w:rPr>
          <w:sz w:val="20"/>
        </w:rPr>
        <w:t>relation</w:t>
      </w:r>
      <w:r>
        <w:rPr>
          <w:spacing w:val="-12"/>
          <w:sz w:val="20"/>
        </w:rPr>
        <w:t> </w:t>
      </w:r>
      <w:r>
        <w:rPr>
          <w:sz w:val="20"/>
        </w:rPr>
        <w:t>to</w:t>
      </w:r>
      <w:r>
        <w:rPr>
          <w:spacing w:val="-11"/>
          <w:sz w:val="20"/>
        </w:rPr>
        <w:t> </w:t>
      </w:r>
      <w:r>
        <w:rPr>
          <w:sz w:val="20"/>
        </w:rPr>
        <w:t>peremptory</w:t>
      </w:r>
      <w:r>
        <w:rPr>
          <w:spacing w:val="-11"/>
          <w:sz w:val="20"/>
        </w:rPr>
        <w:t> </w:t>
      </w:r>
      <w:r>
        <w:rPr>
          <w:sz w:val="20"/>
        </w:rPr>
        <w:t>challenges,</w:t>
      </w:r>
      <w:r>
        <w:rPr>
          <w:spacing w:val="-12"/>
          <w:sz w:val="20"/>
        </w:rPr>
        <w:t> </w:t>
      </w:r>
      <w:r>
        <w:rPr>
          <w:sz w:val="20"/>
        </w:rPr>
        <w:t>the</w:t>
      </w:r>
      <w:r>
        <w:rPr>
          <w:spacing w:val="-11"/>
          <w:sz w:val="20"/>
        </w:rPr>
        <w:t> </w:t>
      </w:r>
      <w:r>
        <w:rPr>
          <w:sz w:val="20"/>
        </w:rPr>
        <w:t>OPP</w:t>
      </w:r>
      <w:r>
        <w:rPr>
          <w:spacing w:val="-12"/>
          <w:sz w:val="20"/>
        </w:rPr>
        <w:t> </w:t>
      </w:r>
      <w:r>
        <w:rPr>
          <w:sz w:val="20"/>
        </w:rPr>
        <w:t>or</w:t>
      </w:r>
      <w:r>
        <w:rPr>
          <w:spacing w:val="-11"/>
          <w:sz w:val="20"/>
        </w:rPr>
        <w:t> </w:t>
      </w:r>
      <w:r>
        <w:rPr>
          <w:sz w:val="20"/>
        </w:rPr>
        <w:t>Juries Victoria should collect data about the use of stand asides to </w:t>
      </w:r>
      <w:r>
        <w:rPr>
          <w:spacing w:val="-4"/>
          <w:sz w:val="20"/>
        </w:rPr>
        <w:t>remove </w:t>
      </w:r>
      <w:r>
        <w:rPr>
          <w:sz w:val="20"/>
        </w:rPr>
        <w:t>potential jurors </w:t>
      </w:r>
      <w:r>
        <w:rPr>
          <w:spacing w:val="-3"/>
          <w:sz w:val="20"/>
        </w:rPr>
        <w:t>from </w:t>
      </w:r>
      <w:r>
        <w:rPr>
          <w:sz w:val="20"/>
        </w:rPr>
        <w:t>the subject</w:t>
      </w:r>
      <w:r>
        <w:rPr>
          <w:spacing w:val="-10"/>
          <w:sz w:val="20"/>
        </w:rPr>
        <w:t> </w:t>
      </w:r>
      <w:r>
        <w:rPr>
          <w:sz w:val="20"/>
        </w:rPr>
        <w:t>groups.</w:t>
      </w:r>
    </w:p>
    <w:p>
      <w:pPr>
        <w:pStyle w:val="BodyText"/>
        <w:spacing w:before="6"/>
        <w:rPr>
          <w:sz w:val="19"/>
        </w:rPr>
      </w:pPr>
      <w:r>
        <w:rPr/>
        <w:pict>
          <v:group style="position:absolute;margin-left:62.362202pt;margin-top:15.47176pt;width:479.1pt;height:136.65pt;mso-position-horizontal-relative:page;mso-position-vertical-relative:paragraph;z-index:10616;mso-wrap-distance-left:0;mso-wrap-distance-right:0" coordorigin="1247,309" coordsize="9582,2733">
            <v:rect style="position:absolute;left:1587;top:309;width:8731;height:2733" filled="true" fillcolor="#dddfe4" stroked="false">
              <v:fill type="solid"/>
            </v:rect>
            <v:line style="position:absolute" from="1247,1117" to="10828,1117" stroked="true" strokeweight="2.5pt" strokecolor="#ffffff">
              <v:stroke dashstyle="solid"/>
            </v:line>
            <v:shape style="position:absolute;left:2381;top:1342;width:7729;height:1520" type="#_x0000_t202" filled="false" stroked="false">
              <v:textbox inset="0,0,0,0">
                <w:txbxContent>
                  <w:p>
                    <w:pPr>
                      <w:spacing w:line="247" w:lineRule="auto" w:before="0"/>
                      <w:ind w:left="0" w:right="169" w:firstLine="0"/>
                      <w:jc w:val="both"/>
                      <w:rPr>
                        <w:rFonts w:ascii="Trebuchet MS" w:hAnsi="Trebuchet MS"/>
                        <w:sz w:val="20"/>
                      </w:rPr>
                    </w:pPr>
                    <w:r>
                      <w:rPr>
                        <w:rFonts w:ascii="Trebuchet MS" w:hAnsi="Trebuchet MS"/>
                        <w:spacing w:val="-2"/>
                        <w:w w:val="105"/>
                        <w:sz w:val="20"/>
                      </w:rPr>
                      <w:t>T</w:t>
                    </w:r>
                    <w:r>
                      <w:rPr>
                        <w:rFonts w:ascii="Trebuchet MS" w:hAnsi="Trebuchet MS"/>
                        <w:spacing w:val="-1"/>
                        <w:w w:val="107"/>
                        <w:sz w:val="20"/>
                      </w:rPr>
                      <w:t>h</w:t>
                    </w:r>
                    <w:r>
                      <w:rPr>
                        <w:rFonts w:ascii="Trebuchet MS" w:hAnsi="Trebuchet MS"/>
                        <w:w w:val="108"/>
                        <w:sz w:val="20"/>
                      </w:rPr>
                      <w:t>e</w:t>
                    </w:r>
                    <w:r>
                      <w:rPr>
                        <w:rFonts w:ascii="Trebuchet MS" w:hAnsi="Trebuchet MS"/>
                        <w:spacing w:val="-14"/>
                        <w:sz w:val="20"/>
                      </w:rPr>
                      <w:t> </w:t>
                    </w:r>
                    <w:r>
                      <w:rPr>
                        <w:rFonts w:ascii="Trebuchet MS" w:hAnsi="Trebuchet MS"/>
                        <w:w w:val="116"/>
                        <w:sz w:val="20"/>
                      </w:rPr>
                      <w:t>D</w:t>
                    </w:r>
                    <w:r>
                      <w:rPr>
                        <w:rFonts w:ascii="Trebuchet MS" w:hAnsi="Trebuchet MS"/>
                        <w:spacing w:val="-1"/>
                        <w:w w:val="108"/>
                        <w:sz w:val="20"/>
                      </w:rPr>
                      <w:t>e</w:t>
                    </w:r>
                    <w:r>
                      <w:rPr>
                        <w:rFonts w:ascii="Trebuchet MS" w:hAnsi="Trebuchet MS"/>
                        <w:spacing w:val="-1"/>
                        <w:w w:val="111"/>
                        <w:sz w:val="20"/>
                      </w:rPr>
                      <w:t>p</w:t>
                    </w:r>
                    <w:r>
                      <w:rPr>
                        <w:rFonts w:ascii="Trebuchet MS" w:hAnsi="Trebuchet MS"/>
                        <w:spacing w:val="-2"/>
                        <w:w w:val="105"/>
                        <w:sz w:val="20"/>
                      </w:rPr>
                      <w:t>a</w:t>
                    </w:r>
                    <w:r>
                      <w:rPr>
                        <w:rFonts w:ascii="Trebuchet MS" w:hAnsi="Trebuchet MS"/>
                        <w:spacing w:val="2"/>
                        <w:w w:val="93"/>
                        <w:sz w:val="20"/>
                      </w:rPr>
                      <w:t>r</w:t>
                    </w:r>
                    <w:r>
                      <w:rPr>
                        <w:rFonts w:ascii="Trebuchet MS" w:hAnsi="Trebuchet MS"/>
                        <w:spacing w:val="-2"/>
                        <w:w w:val="88"/>
                        <w:sz w:val="20"/>
                      </w:rPr>
                      <w:t>t</w:t>
                    </w:r>
                    <w:r>
                      <w:rPr>
                        <w:rFonts w:ascii="Trebuchet MS" w:hAnsi="Trebuchet MS"/>
                        <w:spacing w:val="-1"/>
                        <w:w w:val="111"/>
                        <w:sz w:val="20"/>
                      </w:rPr>
                      <w:t>m</w:t>
                    </w:r>
                    <w:r>
                      <w:rPr>
                        <w:rFonts w:ascii="Trebuchet MS" w:hAnsi="Trebuchet MS"/>
                        <w:spacing w:val="-1"/>
                        <w:w w:val="108"/>
                        <w:sz w:val="20"/>
                      </w:rPr>
                      <w:t>e</w:t>
                    </w:r>
                    <w:r>
                      <w:rPr>
                        <w:rFonts w:ascii="Trebuchet MS" w:hAnsi="Trebuchet MS"/>
                        <w:spacing w:val="-4"/>
                        <w:w w:val="107"/>
                        <w:sz w:val="20"/>
                      </w:rPr>
                      <w:t>n</w:t>
                    </w:r>
                    <w:r>
                      <w:rPr>
                        <w:rFonts w:ascii="Trebuchet MS" w:hAnsi="Trebuchet MS"/>
                        <w:w w:val="88"/>
                        <w:sz w:val="20"/>
                      </w:rPr>
                      <w:t>t</w:t>
                    </w:r>
                    <w:r>
                      <w:rPr>
                        <w:rFonts w:ascii="Trebuchet MS" w:hAnsi="Trebuchet MS"/>
                        <w:spacing w:val="-14"/>
                        <w:sz w:val="20"/>
                      </w:rPr>
                      <w:t> </w:t>
                    </w:r>
                    <w:r>
                      <w:rPr>
                        <w:rFonts w:ascii="Trebuchet MS" w:hAnsi="Trebuchet MS"/>
                        <w:spacing w:val="-4"/>
                        <w:w w:val="111"/>
                        <w:sz w:val="20"/>
                      </w:rPr>
                      <w:t>o</w:t>
                    </w:r>
                    <w:r>
                      <w:rPr>
                        <w:rFonts w:ascii="Trebuchet MS" w:hAnsi="Trebuchet MS"/>
                        <w:w w:val="92"/>
                        <w:sz w:val="20"/>
                      </w:rPr>
                      <w:t>f</w:t>
                    </w:r>
                    <w:r>
                      <w:rPr>
                        <w:rFonts w:ascii="Trebuchet MS" w:hAnsi="Trebuchet MS"/>
                        <w:spacing w:val="-14"/>
                        <w:sz w:val="20"/>
                      </w:rPr>
                      <w:t> </w:t>
                    </w:r>
                    <w:r>
                      <w:rPr>
                        <w:rFonts w:ascii="Trebuchet MS" w:hAnsi="Trebuchet MS"/>
                        <w:spacing w:val="-2"/>
                        <w:w w:val="110"/>
                        <w:sz w:val="20"/>
                      </w:rPr>
                      <w:t>P</w:t>
                    </w:r>
                    <w:r>
                      <w:rPr>
                        <w:rFonts w:ascii="Trebuchet MS" w:hAnsi="Trebuchet MS"/>
                        <w:spacing w:val="-1"/>
                        <w:w w:val="110"/>
                        <w:sz w:val="20"/>
                      </w:rPr>
                      <w:t>u</w:t>
                    </w:r>
                    <w:r>
                      <w:rPr>
                        <w:rFonts w:ascii="Trebuchet MS" w:hAnsi="Trebuchet MS"/>
                        <w:spacing w:val="-2"/>
                        <w:w w:val="111"/>
                        <w:sz w:val="20"/>
                      </w:rPr>
                      <w:t>b</w:t>
                    </w:r>
                    <w:r>
                      <w:rPr>
                        <w:rFonts w:ascii="Trebuchet MS" w:hAnsi="Trebuchet MS"/>
                        <w:w w:val="96"/>
                        <w:sz w:val="20"/>
                      </w:rPr>
                      <w:t>l</w:t>
                    </w:r>
                    <w:r>
                      <w:rPr>
                        <w:rFonts w:ascii="Trebuchet MS" w:hAnsi="Trebuchet MS"/>
                        <w:spacing w:val="-1"/>
                        <w:w w:val="80"/>
                        <w:sz w:val="20"/>
                      </w:rPr>
                      <w:t>i</w:t>
                    </w:r>
                    <w:r>
                      <w:rPr>
                        <w:rFonts w:ascii="Trebuchet MS" w:hAnsi="Trebuchet MS"/>
                        <w:w w:val="111"/>
                        <w:sz w:val="20"/>
                      </w:rPr>
                      <w:t>c</w:t>
                    </w:r>
                    <w:r>
                      <w:rPr>
                        <w:rFonts w:ascii="Trebuchet MS" w:hAnsi="Trebuchet MS"/>
                        <w:spacing w:val="-14"/>
                        <w:sz w:val="20"/>
                      </w:rPr>
                      <w:t> </w:t>
                    </w:r>
                    <w:r>
                      <w:rPr>
                        <w:rFonts w:ascii="Trebuchet MS" w:hAnsi="Trebuchet MS"/>
                        <w:spacing w:val="-3"/>
                        <w:w w:val="111"/>
                        <w:sz w:val="20"/>
                      </w:rPr>
                      <w:t>P</w:t>
                    </w:r>
                    <w:r>
                      <w:rPr>
                        <w:rFonts w:ascii="Trebuchet MS" w:hAnsi="Trebuchet MS"/>
                        <w:spacing w:val="-4"/>
                        <w:w w:val="93"/>
                        <w:sz w:val="20"/>
                      </w:rPr>
                      <w:t>r</w:t>
                    </w:r>
                    <w:r>
                      <w:rPr>
                        <w:rFonts w:ascii="Trebuchet MS" w:hAnsi="Trebuchet MS"/>
                        <w:spacing w:val="-2"/>
                        <w:w w:val="116"/>
                        <w:sz w:val="20"/>
                      </w:rPr>
                      <w:t>o</w:t>
                    </w:r>
                    <w:r>
                      <w:rPr>
                        <w:rFonts w:ascii="Trebuchet MS" w:hAnsi="Trebuchet MS"/>
                        <w:spacing w:val="-1"/>
                        <w:w w:val="116"/>
                        <w:sz w:val="20"/>
                      </w:rPr>
                      <w:t>s</w:t>
                    </w:r>
                    <w:r>
                      <w:rPr>
                        <w:rFonts w:ascii="Trebuchet MS" w:hAnsi="Trebuchet MS"/>
                        <w:w w:val="108"/>
                        <w:sz w:val="20"/>
                      </w:rPr>
                      <w:t>e</w:t>
                    </w:r>
                    <w:r>
                      <w:rPr>
                        <w:rFonts w:ascii="Trebuchet MS" w:hAnsi="Trebuchet MS"/>
                        <w:spacing w:val="-2"/>
                        <w:w w:val="110"/>
                        <w:sz w:val="20"/>
                      </w:rPr>
                      <w:t>c</w:t>
                    </w:r>
                    <w:r>
                      <w:rPr>
                        <w:rFonts w:ascii="Trebuchet MS" w:hAnsi="Trebuchet MS"/>
                        <w:spacing w:val="-3"/>
                        <w:w w:val="110"/>
                        <w:sz w:val="20"/>
                      </w:rPr>
                      <w:t>u</w:t>
                    </w:r>
                    <w:r>
                      <w:rPr>
                        <w:rFonts w:ascii="Trebuchet MS" w:hAnsi="Trebuchet MS"/>
                        <w:spacing w:val="-2"/>
                        <w:w w:val="88"/>
                        <w:sz w:val="20"/>
                      </w:rPr>
                      <w:t>t</w:t>
                    </w:r>
                    <w:r>
                      <w:rPr>
                        <w:rFonts w:ascii="Trebuchet MS" w:hAnsi="Trebuchet MS"/>
                        <w:spacing w:val="-1"/>
                        <w:w w:val="80"/>
                        <w:sz w:val="20"/>
                      </w:rPr>
                      <w:t>i</w:t>
                    </w:r>
                    <w:r>
                      <w:rPr>
                        <w:rFonts w:ascii="Trebuchet MS" w:hAnsi="Trebuchet MS"/>
                        <w:spacing w:val="-1"/>
                        <w:w w:val="111"/>
                        <w:sz w:val="20"/>
                      </w:rPr>
                      <w:t>o</w:t>
                    </w:r>
                    <w:r>
                      <w:rPr>
                        <w:rFonts w:ascii="Trebuchet MS" w:hAnsi="Trebuchet MS"/>
                        <w:spacing w:val="-2"/>
                        <w:w w:val="107"/>
                        <w:sz w:val="20"/>
                      </w:rPr>
                      <w:t>n</w:t>
                    </w:r>
                    <w:r>
                      <w:rPr>
                        <w:rFonts w:ascii="Trebuchet MS" w:hAnsi="Trebuchet MS"/>
                        <w:spacing w:val="-6"/>
                        <w:w w:val="122"/>
                        <w:sz w:val="20"/>
                      </w:rPr>
                      <w:t>s</w:t>
                    </w:r>
                    <w:r>
                      <w:rPr>
                        <w:rFonts w:ascii="Trebuchet MS" w:hAnsi="Trebuchet MS"/>
                        <w:w w:val="54"/>
                        <w:sz w:val="20"/>
                      </w:rPr>
                      <w:t>’</w:t>
                    </w:r>
                    <w:r>
                      <w:rPr>
                        <w:rFonts w:ascii="Trebuchet MS" w:hAnsi="Trebuchet MS"/>
                        <w:spacing w:val="-14"/>
                        <w:sz w:val="20"/>
                      </w:rPr>
                      <w:t> </w:t>
                    </w:r>
                    <w:r>
                      <w:rPr>
                        <w:rFonts w:ascii="Trebuchet MS" w:hAnsi="Trebuchet MS"/>
                        <w:spacing w:val="-1"/>
                        <w:w w:val="111"/>
                        <w:sz w:val="20"/>
                      </w:rPr>
                      <w:t>p</w:t>
                    </w:r>
                    <w:r>
                      <w:rPr>
                        <w:rFonts w:ascii="Trebuchet MS" w:hAnsi="Trebuchet MS"/>
                        <w:spacing w:val="-2"/>
                        <w:w w:val="111"/>
                        <w:sz w:val="20"/>
                      </w:rPr>
                      <w:t>o</w:t>
                    </w:r>
                    <w:r>
                      <w:rPr>
                        <w:rFonts w:ascii="Trebuchet MS" w:hAnsi="Trebuchet MS"/>
                        <w:w w:val="96"/>
                        <w:sz w:val="20"/>
                      </w:rPr>
                      <w:t>l</w:t>
                    </w:r>
                    <w:r>
                      <w:rPr>
                        <w:rFonts w:ascii="Trebuchet MS" w:hAnsi="Trebuchet MS"/>
                        <w:spacing w:val="-1"/>
                        <w:w w:val="80"/>
                        <w:sz w:val="20"/>
                      </w:rPr>
                      <w:t>i</w:t>
                    </w:r>
                    <w:r>
                      <w:rPr>
                        <w:rFonts w:ascii="Trebuchet MS" w:hAnsi="Trebuchet MS"/>
                        <w:spacing w:val="-2"/>
                        <w:w w:val="111"/>
                        <w:sz w:val="20"/>
                      </w:rPr>
                      <w:t>c</w:t>
                    </w:r>
                    <w:r>
                      <w:rPr>
                        <w:rFonts w:ascii="Trebuchet MS" w:hAnsi="Trebuchet MS"/>
                        <w:w w:val="110"/>
                        <w:sz w:val="20"/>
                      </w:rPr>
                      <w:t>y</w:t>
                    </w:r>
                    <w:r>
                      <w:rPr>
                        <w:rFonts w:ascii="Trebuchet MS" w:hAnsi="Trebuchet MS"/>
                        <w:spacing w:val="-14"/>
                        <w:sz w:val="20"/>
                      </w:rPr>
                      <w:t> </w:t>
                    </w:r>
                    <w:r>
                      <w:rPr>
                        <w:rFonts w:ascii="Trebuchet MS" w:hAnsi="Trebuchet MS"/>
                        <w:spacing w:val="-2"/>
                        <w:w w:val="122"/>
                        <w:sz w:val="20"/>
                      </w:rPr>
                      <w:t>s</w:t>
                    </w:r>
                    <w:r>
                      <w:rPr>
                        <w:rFonts w:ascii="Trebuchet MS" w:hAnsi="Trebuchet MS"/>
                        <w:spacing w:val="-1"/>
                        <w:w w:val="107"/>
                        <w:sz w:val="20"/>
                      </w:rPr>
                      <w:t>h</w:t>
                    </w:r>
                    <w:r>
                      <w:rPr>
                        <w:rFonts w:ascii="Trebuchet MS" w:hAnsi="Trebuchet MS"/>
                        <w:spacing w:val="-1"/>
                        <w:w w:val="111"/>
                        <w:sz w:val="20"/>
                      </w:rPr>
                      <w:t>o</w:t>
                    </w:r>
                    <w:r>
                      <w:rPr>
                        <w:rFonts w:ascii="Trebuchet MS" w:hAnsi="Trebuchet MS"/>
                        <w:spacing w:val="-2"/>
                        <w:w w:val="109"/>
                        <w:sz w:val="20"/>
                      </w:rPr>
                      <w:t>u</w:t>
                    </w:r>
                    <w:r>
                      <w:rPr>
                        <w:rFonts w:ascii="Trebuchet MS" w:hAnsi="Trebuchet MS"/>
                        <w:spacing w:val="-3"/>
                        <w:w w:val="96"/>
                        <w:sz w:val="20"/>
                      </w:rPr>
                      <w:t>l</w:t>
                    </w:r>
                    <w:r>
                      <w:rPr>
                        <w:rFonts w:ascii="Trebuchet MS" w:hAnsi="Trebuchet MS"/>
                        <w:w w:val="112"/>
                        <w:sz w:val="20"/>
                      </w:rPr>
                      <w:t>d</w:t>
                    </w:r>
                    <w:r>
                      <w:rPr>
                        <w:rFonts w:ascii="Trebuchet MS" w:hAnsi="Trebuchet MS"/>
                        <w:spacing w:val="-14"/>
                        <w:sz w:val="20"/>
                      </w:rPr>
                      <w:t> </w:t>
                    </w:r>
                    <w:r>
                      <w:rPr>
                        <w:rFonts w:ascii="Trebuchet MS" w:hAnsi="Trebuchet MS"/>
                        <w:spacing w:val="-1"/>
                        <w:w w:val="111"/>
                        <w:sz w:val="20"/>
                      </w:rPr>
                      <w:t>b</w:t>
                    </w:r>
                    <w:r>
                      <w:rPr>
                        <w:rFonts w:ascii="Trebuchet MS" w:hAnsi="Trebuchet MS"/>
                        <w:w w:val="108"/>
                        <w:sz w:val="20"/>
                      </w:rPr>
                      <w:t>e</w:t>
                    </w:r>
                    <w:r>
                      <w:rPr>
                        <w:rFonts w:ascii="Trebuchet MS" w:hAnsi="Trebuchet MS"/>
                        <w:spacing w:val="-14"/>
                        <w:sz w:val="20"/>
                      </w:rPr>
                      <w:t> </w:t>
                    </w:r>
                    <w:r>
                      <w:rPr>
                        <w:rFonts w:ascii="Trebuchet MS" w:hAnsi="Trebuchet MS"/>
                        <w:spacing w:val="-2"/>
                        <w:w w:val="105"/>
                        <w:sz w:val="20"/>
                      </w:rPr>
                      <w:t>a</w:t>
                    </w:r>
                    <w:r>
                      <w:rPr>
                        <w:rFonts w:ascii="Trebuchet MS" w:hAnsi="Trebuchet MS"/>
                        <w:spacing w:val="-1"/>
                        <w:w w:val="111"/>
                        <w:sz w:val="20"/>
                      </w:rPr>
                      <w:t>m</w:t>
                    </w:r>
                    <w:r>
                      <w:rPr>
                        <w:rFonts w:ascii="Trebuchet MS" w:hAnsi="Trebuchet MS"/>
                        <w:spacing w:val="-1"/>
                        <w:w w:val="108"/>
                        <w:sz w:val="20"/>
                      </w:rPr>
                      <w:t>e</w:t>
                    </w:r>
                    <w:r>
                      <w:rPr>
                        <w:rFonts w:ascii="Trebuchet MS" w:hAnsi="Trebuchet MS"/>
                        <w:spacing w:val="-1"/>
                        <w:w w:val="107"/>
                        <w:sz w:val="20"/>
                      </w:rPr>
                      <w:t>n</w:t>
                    </w:r>
                    <w:r>
                      <w:rPr>
                        <w:rFonts w:ascii="Trebuchet MS" w:hAnsi="Trebuchet MS"/>
                        <w:spacing w:val="-2"/>
                        <w:w w:val="112"/>
                        <w:sz w:val="20"/>
                      </w:rPr>
                      <w:t>d</w:t>
                    </w:r>
                    <w:r>
                      <w:rPr>
                        <w:rFonts w:ascii="Trebuchet MS" w:hAnsi="Trebuchet MS"/>
                        <w:w w:val="108"/>
                        <w:sz w:val="20"/>
                      </w:rPr>
                      <w:t>e</w:t>
                    </w:r>
                    <w:r>
                      <w:rPr>
                        <w:rFonts w:ascii="Trebuchet MS" w:hAnsi="Trebuchet MS"/>
                        <w:w w:val="112"/>
                        <w:sz w:val="20"/>
                      </w:rPr>
                      <w:t>d</w:t>
                    </w:r>
                    <w:r>
                      <w:rPr>
                        <w:rFonts w:ascii="Trebuchet MS" w:hAnsi="Trebuchet MS"/>
                        <w:spacing w:val="-14"/>
                        <w:sz w:val="20"/>
                      </w:rPr>
                      <w:t> </w:t>
                    </w:r>
                    <w:r>
                      <w:rPr>
                        <w:rFonts w:ascii="Trebuchet MS" w:hAnsi="Trebuchet MS"/>
                        <w:spacing w:val="-4"/>
                        <w:w w:val="88"/>
                        <w:sz w:val="20"/>
                      </w:rPr>
                      <w:t>t</w:t>
                    </w:r>
                    <w:r>
                      <w:rPr>
                        <w:rFonts w:ascii="Trebuchet MS" w:hAnsi="Trebuchet MS"/>
                        <w:w w:val="111"/>
                        <w:sz w:val="20"/>
                      </w:rPr>
                      <w:t>o</w:t>
                    </w:r>
                    <w:r>
                      <w:rPr>
                        <w:rFonts w:ascii="Trebuchet MS" w:hAnsi="Trebuchet MS"/>
                        <w:spacing w:val="-14"/>
                        <w:sz w:val="20"/>
                      </w:rPr>
                      <w:t> </w:t>
                    </w:r>
                    <w:r>
                      <w:rPr>
                        <w:rFonts w:ascii="Trebuchet MS" w:hAnsi="Trebuchet MS"/>
                        <w:spacing w:val="-2"/>
                        <w:w w:val="122"/>
                        <w:sz w:val="20"/>
                      </w:rPr>
                      <w:t>s</w:t>
                    </w:r>
                    <w:r>
                      <w:rPr>
                        <w:rFonts w:ascii="Trebuchet MS" w:hAnsi="Trebuchet MS"/>
                        <w:spacing w:val="-1"/>
                        <w:w w:val="111"/>
                        <w:sz w:val="20"/>
                      </w:rPr>
                      <w:t>p</w:t>
                    </w:r>
                    <w:r>
                      <w:rPr>
                        <w:rFonts w:ascii="Trebuchet MS" w:hAnsi="Trebuchet MS"/>
                        <w:w w:val="108"/>
                        <w:sz w:val="20"/>
                      </w:rPr>
                      <w:t>e</w:t>
                    </w:r>
                    <w:r>
                      <w:rPr>
                        <w:rFonts w:ascii="Trebuchet MS" w:hAnsi="Trebuchet MS"/>
                        <w:spacing w:val="-2"/>
                        <w:w w:val="111"/>
                        <w:sz w:val="20"/>
                      </w:rPr>
                      <w:t>c</w:t>
                    </w:r>
                    <w:r>
                      <w:rPr>
                        <w:rFonts w:ascii="Trebuchet MS" w:hAnsi="Trebuchet MS"/>
                        <w:spacing w:val="-2"/>
                        <w:w w:val="80"/>
                        <w:sz w:val="20"/>
                      </w:rPr>
                      <w:t>i</w:t>
                    </w:r>
                    <w:r>
                      <w:rPr>
                        <w:rFonts w:ascii="Trebuchet MS" w:hAnsi="Trebuchet MS"/>
                        <w:w w:val="80"/>
                        <w:sz w:val="20"/>
                      </w:rPr>
                      <w:t>f</w:t>
                    </w:r>
                    <w:r>
                      <w:rPr>
                        <w:rFonts w:ascii="Trebuchet MS" w:hAnsi="Trebuchet MS"/>
                        <w:spacing w:val="-1"/>
                        <w:w w:val="80"/>
                        <w:sz w:val="20"/>
                      </w:rPr>
                      <w:t>i</w:t>
                    </w:r>
                    <w:r>
                      <w:rPr>
                        <w:rFonts w:ascii="Trebuchet MS" w:hAnsi="Trebuchet MS"/>
                        <w:w w:val="111"/>
                        <w:sz w:val="20"/>
                      </w:rPr>
                      <w:t>c</w:t>
                    </w:r>
                    <w:r>
                      <w:rPr>
                        <w:rFonts w:ascii="Trebuchet MS" w:hAnsi="Trebuchet MS"/>
                        <w:spacing w:val="-3"/>
                        <w:w w:val="105"/>
                        <w:sz w:val="20"/>
                      </w:rPr>
                      <w:t>a</w:t>
                    </w:r>
                    <w:r>
                      <w:rPr>
                        <w:rFonts w:ascii="Trebuchet MS" w:hAnsi="Trebuchet MS"/>
                        <w:spacing w:val="-2"/>
                        <w:w w:val="96"/>
                        <w:sz w:val="20"/>
                      </w:rPr>
                      <w:t>l</w:t>
                    </w:r>
                    <w:r>
                      <w:rPr>
                        <w:rFonts w:ascii="Trebuchet MS" w:hAnsi="Trebuchet MS"/>
                        <w:spacing w:val="-7"/>
                        <w:w w:val="96"/>
                        <w:sz w:val="20"/>
                      </w:rPr>
                      <w:t>l</w:t>
                    </w:r>
                    <w:r>
                      <w:rPr>
                        <w:rFonts w:ascii="Trebuchet MS" w:hAnsi="Trebuchet MS"/>
                        <w:w w:val="110"/>
                        <w:sz w:val="20"/>
                      </w:rPr>
                      <w:t>y </w:t>
                    </w:r>
                    <w:r>
                      <w:rPr>
                        <w:rFonts w:ascii="Trebuchet MS" w:hAnsi="Trebuchet MS"/>
                        <w:spacing w:val="-3"/>
                        <w:w w:val="105"/>
                        <w:sz w:val="20"/>
                      </w:rPr>
                      <w:t>provide</w:t>
                    </w:r>
                    <w:r>
                      <w:rPr>
                        <w:rFonts w:ascii="Trebuchet MS" w:hAnsi="Trebuchet MS"/>
                        <w:spacing w:val="-10"/>
                        <w:w w:val="105"/>
                        <w:sz w:val="20"/>
                      </w:rPr>
                      <w:t> </w:t>
                    </w:r>
                    <w:r>
                      <w:rPr>
                        <w:rFonts w:ascii="Trebuchet MS" w:hAnsi="Trebuchet MS"/>
                        <w:w w:val="105"/>
                        <w:sz w:val="20"/>
                      </w:rPr>
                      <w:t>that</w:t>
                    </w:r>
                    <w:r>
                      <w:rPr>
                        <w:rFonts w:ascii="Trebuchet MS" w:hAnsi="Trebuchet MS"/>
                        <w:spacing w:val="-10"/>
                        <w:w w:val="105"/>
                        <w:sz w:val="20"/>
                      </w:rPr>
                      <w:t> </w:t>
                    </w:r>
                    <w:r>
                      <w:rPr>
                        <w:rFonts w:ascii="Trebuchet MS" w:hAnsi="Trebuchet MS"/>
                        <w:w w:val="105"/>
                        <w:sz w:val="20"/>
                      </w:rPr>
                      <w:t>stand</w:t>
                    </w:r>
                    <w:r>
                      <w:rPr>
                        <w:rFonts w:ascii="Trebuchet MS" w:hAnsi="Trebuchet MS"/>
                        <w:spacing w:val="-10"/>
                        <w:w w:val="105"/>
                        <w:sz w:val="20"/>
                      </w:rPr>
                      <w:t> </w:t>
                    </w:r>
                    <w:r>
                      <w:rPr>
                        <w:rFonts w:ascii="Trebuchet MS" w:hAnsi="Trebuchet MS"/>
                        <w:w w:val="105"/>
                        <w:sz w:val="20"/>
                      </w:rPr>
                      <w:t>asides</w:t>
                    </w:r>
                    <w:r>
                      <w:rPr>
                        <w:rFonts w:ascii="Trebuchet MS" w:hAnsi="Trebuchet MS"/>
                        <w:spacing w:val="-10"/>
                        <w:w w:val="105"/>
                        <w:sz w:val="20"/>
                      </w:rPr>
                      <w:t> </w:t>
                    </w:r>
                    <w:r>
                      <w:rPr>
                        <w:rFonts w:ascii="Trebuchet MS" w:hAnsi="Trebuchet MS"/>
                        <w:w w:val="105"/>
                        <w:sz w:val="20"/>
                      </w:rPr>
                      <w:t>should</w:t>
                    </w:r>
                    <w:r>
                      <w:rPr>
                        <w:rFonts w:ascii="Trebuchet MS" w:hAnsi="Trebuchet MS"/>
                        <w:spacing w:val="-9"/>
                        <w:w w:val="105"/>
                        <w:sz w:val="20"/>
                      </w:rPr>
                      <w:t> </w:t>
                    </w:r>
                    <w:r>
                      <w:rPr>
                        <w:rFonts w:ascii="Trebuchet MS" w:hAnsi="Trebuchet MS"/>
                        <w:w w:val="105"/>
                        <w:sz w:val="20"/>
                      </w:rPr>
                      <w:t>not</w:t>
                    </w:r>
                    <w:r>
                      <w:rPr>
                        <w:rFonts w:ascii="Trebuchet MS" w:hAnsi="Trebuchet MS"/>
                        <w:spacing w:val="-10"/>
                        <w:w w:val="105"/>
                        <w:sz w:val="20"/>
                      </w:rPr>
                      <w:t> </w:t>
                    </w:r>
                    <w:r>
                      <w:rPr>
                        <w:rFonts w:ascii="Trebuchet MS" w:hAnsi="Trebuchet MS"/>
                        <w:w w:val="105"/>
                        <w:sz w:val="20"/>
                      </w:rPr>
                      <w:t>be</w:t>
                    </w:r>
                    <w:r>
                      <w:rPr>
                        <w:rFonts w:ascii="Trebuchet MS" w:hAnsi="Trebuchet MS"/>
                        <w:spacing w:val="-10"/>
                        <w:w w:val="105"/>
                        <w:sz w:val="20"/>
                      </w:rPr>
                      <w:t> </w:t>
                    </w:r>
                    <w:r>
                      <w:rPr>
                        <w:rFonts w:ascii="Trebuchet MS" w:hAnsi="Trebuchet MS"/>
                        <w:w w:val="105"/>
                        <w:sz w:val="20"/>
                      </w:rPr>
                      <w:t>used</w:t>
                    </w:r>
                    <w:r>
                      <w:rPr>
                        <w:rFonts w:ascii="Trebuchet MS" w:hAnsi="Trebuchet MS"/>
                        <w:spacing w:val="-10"/>
                        <w:w w:val="105"/>
                        <w:sz w:val="20"/>
                      </w:rPr>
                      <w:t> </w:t>
                    </w:r>
                    <w:r>
                      <w:rPr>
                        <w:rFonts w:ascii="Trebuchet MS" w:hAnsi="Trebuchet MS"/>
                        <w:w w:val="105"/>
                        <w:sz w:val="20"/>
                      </w:rPr>
                      <w:t>against</w:t>
                    </w:r>
                    <w:r>
                      <w:rPr>
                        <w:rFonts w:ascii="Trebuchet MS" w:hAnsi="Trebuchet MS"/>
                        <w:spacing w:val="-9"/>
                        <w:w w:val="105"/>
                        <w:sz w:val="20"/>
                      </w:rPr>
                      <w:t> </w:t>
                    </w:r>
                    <w:r>
                      <w:rPr>
                        <w:rFonts w:ascii="Trebuchet MS" w:hAnsi="Trebuchet MS"/>
                        <w:w w:val="105"/>
                        <w:sz w:val="20"/>
                      </w:rPr>
                      <w:t>people</w:t>
                    </w:r>
                    <w:r>
                      <w:rPr>
                        <w:rFonts w:ascii="Trebuchet MS" w:hAnsi="Trebuchet MS"/>
                        <w:spacing w:val="-10"/>
                        <w:w w:val="105"/>
                        <w:sz w:val="20"/>
                      </w:rPr>
                      <w:t> </w:t>
                    </w:r>
                    <w:r>
                      <w:rPr>
                        <w:rFonts w:ascii="Trebuchet MS" w:hAnsi="Trebuchet MS"/>
                        <w:w w:val="105"/>
                        <w:sz w:val="20"/>
                      </w:rPr>
                      <w:t>in</w:t>
                    </w:r>
                    <w:r>
                      <w:rPr>
                        <w:rFonts w:ascii="Trebuchet MS" w:hAnsi="Trebuchet MS"/>
                        <w:spacing w:val="-10"/>
                        <w:w w:val="105"/>
                        <w:sz w:val="20"/>
                      </w:rPr>
                      <w:t> </w:t>
                    </w:r>
                    <w:r>
                      <w:rPr>
                        <w:rFonts w:ascii="Trebuchet MS" w:hAnsi="Trebuchet MS"/>
                        <w:w w:val="105"/>
                        <w:sz w:val="20"/>
                      </w:rPr>
                      <w:t>the</w:t>
                    </w:r>
                    <w:r>
                      <w:rPr>
                        <w:rFonts w:ascii="Trebuchet MS" w:hAnsi="Trebuchet MS"/>
                        <w:spacing w:val="-10"/>
                        <w:w w:val="105"/>
                        <w:sz w:val="20"/>
                      </w:rPr>
                      <w:t> </w:t>
                    </w:r>
                    <w:r>
                      <w:rPr>
                        <w:rFonts w:ascii="Trebuchet MS" w:hAnsi="Trebuchet MS"/>
                        <w:w w:val="105"/>
                        <w:sz w:val="20"/>
                      </w:rPr>
                      <w:t>subject</w:t>
                    </w:r>
                    <w:r>
                      <w:rPr>
                        <w:rFonts w:ascii="Trebuchet MS" w:hAnsi="Trebuchet MS"/>
                        <w:spacing w:val="-10"/>
                        <w:w w:val="105"/>
                        <w:sz w:val="20"/>
                      </w:rPr>
                      <w:t> </w:t>
                    </w:r>
                    <w:r>
                      <w:rPr>
                        <w:rFonts w:ascii="Trebuchet MS" w:hAnsi="Trebuchet MS"/>
                        <w:spacing w:val="-2"/>
                        <w:w w:val="105"/>
                        <w:sz w:val="20"/>
                      </w:rPr>
                      <w:t>groups </w:t>
                    </w:r>
                    <w:r>
                      <w:rPr>
                        <w:rFonts w:ascii="Trebuchet MS" w:hAnsi="Trebuchet MS"/>
                        <w:spacing w:val="-1"/>
                        <w:w w:val="111"/>
                        <w:sz w:val="20"/>
                      </w:rPr>
                      <w:t>o</w:t>
                    </w:r>
                    <w:r>
                      <w:rPr>
                        <w:rFonts w:ascii="Trebuchet MS" w:hAnsi="Trebuchet MS"/>
                        <w:w w:val="107"/>
                        <w:sz w:val="20"/>
                      </w:rPr>
                      <w:t>n</w:t>
                    </w:r>
                    <w:r>
                      <w:rPr>
                        <w:rFonts w:ascii="Trebuchet MS" w:hAnsi="Trebuchet MS"/>
                        <w:spacing w:val="-14"/>
                        <w:sz w:val="20"/>
                      </w:rPr>
                      <w:t> </w:t>
                    </w:r>
                    <w:r>
                      <w:rPr>
                        <w:rFonts w:ascii="Trebuchet MS" w:hAnsi="Trebuchet MS"/>
                        <w:spacing w:val="-2"/>
                        <w:w w:val="88"/>
                        <w:sz w:val="20"/>
                      </w:rPr>
                      <w:t>t</w:t>
                    </w:r>
                    <w:r>
                      <w:rPr>
                        <w:rFonts w:ascii="Trebuchet MS" w:hAnsi="Trebuchet MS"/>
                        <w:spacing w:val="-1"/>
                        <w:w w:val="107"/>
                        <w:sz w:val="20"/>
                      </w:rPr>
                      <w:t>h</w:t>
                    </w:r>
                    <w:r>
                      <w:rPr>
                        <w:rFonts w:ascii="Trebuchet MS" w:hAnsi="Trebuchet MS"/>
                        <w:w w:val="108"/>
                        <w:sz w:val="20"/>
                      </w:rPr>
                      <w:t>e</w:t>
                    </w:r>
                    <w:r>
                      <w:rPr>
                        <w:rFonts w:ascii="Trebuchet MS" w:hAnsi="Trebuchet MS"/>
                        <w:spacing w:val="-14"/>
                        <w:sz w:val="20"/>
                      </w:rPr>
                      <w:t> </w:t>
                    </w:r>
                    <w:r>
                      <w:rPr>
                        <w:rFonts w:ascii="Trebuchet MS" w:hAnsi="Trebuchet MS"/>
                        <w:spacing w:val="-1"/>
                        <w:w w:val="111"/>
                        <w:sz w:val="20"/>
                      </w:rPr>
                      <w:t>b</w:t>
                    </w:r>
                    <w:r>
                      <w:rPr>
                        <w:rFonts w:ascii="Trebuchet MS" w:hAnsi="Trebuchet MS"/>
                        <w:w w:val="105"/>
                        <w:sz w:val="20"/>
                      </w:rPr>
                      <w:t>a</w:t>
                    </w:r>
                    <w:r>
                      <w:rPr>
                        <w:rFonts w:ascii="Trebuchet MS" w:hAnsi="Trebuchet MS"/>
                        <w:spacing w:val="-2"/>
                        <w:w w:val="122"/>
                        <w:sz w:val="20"/>
                      </w:rPr>
                      <w:t>s</w:t>
                    </w:r>
                    <w:r>
                      <w:rPr>
                        <w:rFonts w:ascii="Trebuchet MS" w:hAnsi="Trebuchet MS"/>
                        <w:spacing w:val="-1"/>
                        <w:w w:val="80"/>
                        <w:sz w:val="20"/>
                      </w:rPr>
                      <w:t>i</w:t>
                    </w:r>
                    <w:r>
                      <w:rPr>
                        <w:rFonts w:ascii="Trebuchet MS" w:hAnsi="Trebuchet MS"/>
                        <w:w w:val="122"/>
                        <w:sz w:val="20"/>
                      </w:rPr>
                      <w:t>s</w:t>
                    </w:r>
                    <w:r>
                      <w:rPr>
                        <w:rFonts w:ascii="Trebuchet MS" w:hAnsi="Trebuchet MS"/>
                        <w:spacing w:val="-14"/>
                        <w:sz w:val="20"/>
                      </w:rPr>
                      <w:t> </w:t>
                    </w:r>
                    <w:r>
                      <w:rPr>
                        <w:rFonts w:ascii="Trebuchet MS" w:hAnsi="Trebuchet MS"/>
                        <w:spacing w:val="-4"/>
                        <w:w w:val="111"/>
                        <w:sz w:val="20"/>
                      </w:rPr>
                      <w:t>o</w:t>
                    </w:r>
                    <w:r>
                      <w:rPr>
                        <w:rFonts w:ascii="Trebuchet MS" w:hAnsi="Trebuchet MS"/>
                        <w:w w:val="92"/>
                        <w:sz w:val="20"/>
                      </w:rPr>
                      <w:t>f</w:t>
                    </w:r>
                    <w:r>
                      <w:rPr>
                        <w:rFonts w:ascii="Trebuchet MS" w:hAnsi="Trebuchet MS"/>
                        <w:spacing w:val="-14"/>
                        <w:sz w:val="20"/>
                      </w:rPr>
                      <w:t> </w:t>
                    </w:r>
                    <w:r>
                      <w:rPr>
                        <w:rFonts w:ascii="Trebuchet MS" w:hAnsi="Trebuchet MS"/>
                        <w:spacing w:val="-1"/>
                        <w:w w:val="112"/>
                        <w:sz w:val="20"/>
                      </w:rPr>
                      <w:t>d</w:t>
                    </w:r>
                    <w:r>
                      <w:rPr>
                        <w:rFonts w:ascii="Trebuchet MS" w:hAnsi="Trebuchet MS"/>
                        <w:spacing w:val="-1"/>
                        <w:w w:val="80"/>
                        <w:sz w:val="20"/>
                      </w:rPr>
                      <w:t>i</w:t>
                    </w:r>
                    <w:r>
                      <w:rPr>
                        <w:rFonts w:ascii="Trebuchet MS" w:hAnsi="Trebuchet MS"/>
                        <w:w w:val="122"/>
                        <w:sz w:val="20"/>
                      </w:rPr>
                      <w:t>s</w:t>
                    </w:r>
                    <w:r>
                      <w:rPr>
                        <w:rFonts w:ascii="Trebuchet MS" w:hAnsi="Trebuchet MS"/>
                        <w:spacing w:val="-2"/>
                        <w:w w:val="105"/>
                        <w:sz w:val="20"/>
                      </w:rPr>
                      <w:t>a</w:t>
                    </w:r>
                    <w:r>
                      <w:rPr>
                        <w:rFonts w:ascii="Trebuchet MS" w:hAnsi="Trebuchet MS"/>
                        <w:spacing w:val="-1"/>
                        <w:w w:val="111"/>
                        <w:sz w:val="20"/>
                      </w:rPr>
                      <w:t>b</w:t>
                    </w:r>
                    <w:r>
                      <w:rPr>
                        <w:rFonts w:ascii="Trebuchet MS" w:hAnsi="Trebuchet MS"/>
                        <w:spacing w:val="-2"/>
                        <w:w w:val="80"/>
                        <w:sz w:val="20"/>
                      </w:rPr>
                      <w:t>i</w:t>
                    </w:r>
                    <w:r>
                      <w:rPr>
                        <w:rFonts w:ascii="Trebuchet MS" w:hAnsi="Trebuchet MS"/>
                        <w:w w:val="96"/>
                        <w:sz w:val="20"/>
                      </w:rPr>
                      <w:t>l</w:t>
                    </w:r>
                    <w:r>
                      <w:rPr>
                        <w:rFonts w:ascii="Trebuchet MS" w:hAnsi="Trebuchet MS"/>
                        <w:spacing w:val="-3"/>
                        <w:w w:val="80"/>
                        <w:sz w:val="20"/>
                      </w:rPr>
                      <w:t>i</w:t>
                    </w:r>
                    <w:r>
                      <w:rPr>
                        <w:rFonts w:ascii="Trebuchet MS" w:hAnsi="Trebuchet MS"/>
                        <w:w w:val="88"/>
                        <w:sz w:val="20"/>
                      </w:rPr>
                      <w:t>t</w:t>
                    </w:r>
                    <w:r>
                      <w:rPr>
                        <w:rFonts w:ascii="Trebuchet MS" w:hAnsi="Trebuchet MS"/>
                        <w:spacing w:val="-11"/>
                        <w:w w:val="110"/>
                        <w:sz w:val="20"/>
                      </w:rPr>
                      <w:t>y</w:t>
                    </w:r>
                    <w:r>
                      <w:rPr>
                        <w:rFonts w:ascii="Trebuchet MS" w:hAnsi="Trebuchet MS"/>
                        <w:w w:val="55"/>
                        <w:sz w:val="20"/>
                      </w:rPr>
                      <w:t>.</w:t>
                    </w:r>
                  </w:p>
                  <w:p>
                    <w:pPr>
                      <w:spacing w:line="247" w:lineRule="auto" w:before="87"/>
                      <w:ind w:left="0" w:right="0" w:firstLine="0"/>
                      <w:jc w:val="left"/>
                      <w:rPr>
                        <w:rFonts w:ascii="Trebuchet MS"/>
                        <w:sz w:val="20"/>
                      </w:rPr>
                    </w:pPr>
                    <w:r>
                      <w:rPr>
                        <w:rFonts w:ascii="Trebuchet MS"/>
                        <w:w w:val="105"/>
                        <w:sz w:val="20"/>
                      </w:rPr>
                      <w:t>Juries Victoria should retain data on the number of people who request adjustments</w:t>
                    </w:r>
                    <w:r>
                      <w:rPr>
                        <w:rFonts w:ascii="Trebuchet MS"/>
                        <w:spacing w:val="-18"/>
                        <w:w w:val="105"/>
                        <w:sz w:val="20"/>
                      </w:rPr>
                      <w:t> </w:t>
                    </w:r>
                    <w:r>
                      <w:rPr>
                        <w:rFonts w:ascii="Trebuchet MS"/>
                        <w:w w:val="105"/>
                        <w:sz w:val="20"/>
                      </w:rPr>
                      <w:t>to</w:t>
                    </w:r>
                    <w:r>
                      <w:rPr>
                        <w:rFonts w:ascii="Trebuchet MS"/>
                        <w:spacing w:val="-18"/>
                        <w:w w:val="105"/>
                        <w:sz w:val="20"/>
                      </w:rPr>
                      <w:t> </w:t>
                    </w:r>
                    <w:r>
                      <w:rPr>
                        <w:rFonts w:ascii="Trebuchet MS"/>
                        <w:w w:val="105"/>
                        <w:sz w:val="20"/>
                      </w:rPr>
                      <w:t>serve</w:t>
                    </w:r>
                    <w:r>
                      <w:rPr>
                        <w:rFonts w:ascii="Trebuchet MS"/>
                        <w:spacing w:val="-17"/>
                        <w:w w:val="105"/>
                        <w:sz w:val="20"/>
                      </w:rPr>
                      <w:t> </w:t>
                    </w:r>
                    <w:r>
                      <w:rPr>
                        <w:rFonts w:ascii="Trebuchet MS"/>
                        <w:w w:val="105"/>
                        <w:sz w:val="20"/>
                      </w:rPr>
                      <w:t>and</w:t>
                    </w:r>
                    <w:r>
                      <w:rPr>
                        <w:rFonts w:ascii="Trebuchet MS"/>
                        <w:spacing w:val="-18"/>
                        <w:w w:val="105"/>
                        <w:sz w:val="20"/>
                      </w:rPr>
                      <w:t> </w:t>
                    </w:r>
                    <w:r>
                      <w:rPr>
                        <w:rFonts w:ascii="Trebuchet MS"/>
                        <w:w w:val="105"/>
                        <w:sz w:val="20"/>
                      </w:rPr>
                      <w:t>the</w:t>
                    </w:r>
                    <w:r>
                      <w:rPr>
                        <w:rFonts w:ascii="Trebuchet MS"/>
                        <w:spacing w:val="-17"/>
                        <w:w w:val="105"/>
                        <w:sz w:val="20"/>
                      </w:rPr>
                      <w:t> </w:t>
                    </w:r>
                    <w:r>
                      <w:rPr>
                        <w:rFonts w:ascii="Trebuchet MS"/>
                        <w:w w:val="105"/>
                        <w:sz w:val="20"/>
                      </w:rPr>
                      <w:t>number</w:t>
                    </w:r>
                    <w:r>
                      <w:rPr>
                        <w:rFonts w:ascii="Trebuchet MS"/>
                        <w:spacing w:val="-18"/>
                        <w:w w:val="105"/>
                        <w:sz w:val="20"/>
                      </w:rPr>
                      <w:t> </w:t>
                    </w:r>
                    <w:r>
                      <w:rPr>
                        <w:rFonts w:ascii="Trebuchet MS"/>
                        <w:w w:val="105"/>
                        <w:sz w:val="20"/>
                      </w:rPr>
                      <w:t>who</w:t>
                    </w:r>
                    <w:r>
                      <w:rPr>
                        <w:rFonts w:ascii="Trebuchet MS"/>
                        <w:spacing w:val="-18"/>
                        <w:w w:val="105"/>
                        <w:sz w:val="20"/>
                      </w:rPr>
                      <w:t> </w:t>
                    </w:r>
                    <w:r>
                      <w:rPr>
                        <w:rFonts w:ascii="Trebuchet MS"/>
                        <w:spacing w:val="-2"/>
                        <w:w w:val="105"/>
                        <w:sz w:val="20"/>
                      </w:rPr>
                      <w:t>are</w:t>
                    </w:r>
                    <w:r>
                      <w:rPr>
                        <w:rFonts w:ascii="Trebuchet MS"/>
                        <w:spacing w:val="-17"/>
                        <w:w w:val="105"/>
                        <w:sz w:val="20"/>
                      </w:rPr>
                      <w:t> </w:t>
                    </w:r>
                    <w:r>
                      <w:rPr>
                        <w:rFonts w:ascii="Trebuchet MS"/>
                        <w:w w:val="105"/>
                        <w:sz w:val="20"/>
                      </w:rPr>
                      <w:t>provided</w:t>
                    </w:r>
                    <w:r>
                      <w:rPr>
                        <w:rFonts w:ascii="Trebuchet MS"/>
                        <w:spacing w:val="-18"/>
                        <w:w w:val="105"/>
                        <w:sz w:val="20"/>
                      </w:rPr>
                      <w:t> </w:t>
                    </w:r>
                    <w:r>
                      <w:rPr>
                        <w:rFonts w:ascii="Trebuchet MS"/>
                        <w:w w:val="105"/>
                        <w:sz w:val="20"/>
                      </w:rPr>
                      <w:t>with</w:t>
                    </w:r>
                    <w:r>
                      <w:rPr>
                        <w:rFonts w:ascii="Trebuchet MS"/>
                        <w:spacing w:val="-17"/>
                        <w:w w:val="105"/>
                        <w:sz w:val="20"/>
                      </w:rPr>
                      <w:t> </w:t>
                    </w:r>
                    <w:r>
                      <w:rPr>
                        <w:rFonts w:ascii="Trebuchet MS"/>
                        <w:w w:val="105"/>
                        <w:sz w:val="20"/>
                      </w:rPr>
                      <w:t>those</w:t>
                    </w:r>
                    <w:r>
                      <w:rPr>
                        <w:rFonts w:ascii="Trebuchet MS"/>
                        <w:spacing w:val="-18"/>
                        <w:w w:val="105"/>
                        <w:sz w:val="20"/>
                      </w:rPr>
                      <w:t> </w:t>
                    </w:r>
                    <w:r>
                      <w:rPr>
                        <w:rFonts w:ascii="Trebuchet MS"/>
                        <w:w w:val="105"/>
                        <w:sz w:val="20"/>
                      </w:rPr>
                      <w:t>adjustments</w:t>
                    </w:r>
                    <w:r>
                      <w:rPr>
                        <w:rFonts w:ascii="Trebuchet MS"/>
                        <w:spacing w:val="-17"/>
                        <w:w w:val="105"/>
                        <w:sz w:val="20"/>
                      </w:rPr>
                      <w:t> </w:t>
                    </w:r>
                    <w:r>
                      <w:rPr>
                        <w:rFonts w:ascii="Trebuchet MS"/>
                        <w:w w:val="105"/>
                        <w:sz w:val="20"/>
                      </w:rPr>
                      <w:t>but </w:t>
                    </w:r>
                    <w:r>
                      <w:rPr>
                        <w:rFonts w:ascii="Trebuchet MS"/>
                        <w:spacing w:val="-2"/>
                        <w:w w:val="105"/>
                        <w:sz w:val="20"/>
                      </w:rPr>
                      <w:t>a</w:t>
                    </w:r>
                    <w:r>
                      <w:rPr>
                        <w:rFonts w:ascii="Trebuchet MS"/>
                        <w:spacing w:val="-4"/>
                        <w:w w:val="93"/>
                        <w:sz w:val="20"/>
                      </w:rPr>
                      <w:t>r</w:t>
                    </w:r>
                    <w:r>
                      <w:rPr>
                        <w:rFonts w:ascii="Trebuchet MS"/>
                        <w:w w:val="108"/>
                        <w:sz w:val="20"/>
                      </w:rPr>
                      <w:t>e</w:t>
                    </w:r>
                    <w:r>
                      <w:rPr>
                        <w:rFonts w:ascii="Trebuchet MS"/>
                        <w:spacing w:val="-14"/>
                        <w:sz w:val="20"/>
                      </w:rPr>
                      <w:t> </w:t>
                    </w:r>
                    <w:r>
                      <w:rPr>
                        <w:rFonts w:ascii="Trebuchet MS"/>
                        <w:spacing w:val="-1"/>
                        <w:w w:val="122"/>
                        <w:sz w:val="20"/>
                      </w:rPr>
                      <w:t>s</w:t>
                    </w:r>
                    <w:r>
                      <w:rPr>
                        <w:rFonts w:ascii="Trebuchet MS"/>
                        <w:spacing w:val="-4"/>
                        <w:w w:val="88"/>
                        <w:sz w:val="20"/>
                      </w:rPr>
                      <w:t>t</w:t>
                    </w:r>
                    <w:r>
                      <w:rPr>
                        <w:rFonts w:ascii="Trebuchet MS"/>
                        <w:spacing w:val="-1"/>
                        <w:w w:val="111"/>
                        <w:sz w:val="20"/>
                      </w:rPr>
                      <w:t>oo</w:t>
                    </w:r>
                    <w:r>
                      <w:rPr>
                        <w:rFonts w:ascii="Trebuchet MS"/>
                        <w:w w:val="112"/>
                        <w:sz w:val="20"/>
                      </w:rPr>
                      <w:t>d</w:t>
                    </w:r>
                    <w:r>
                      <w:rPr>
                        <w:rFonts w:ascii="Trebuchet MS"/>
                        <w:spacing w:val="-14"/>
                        <w:sz w:val="20"/>
                      </w:rPr>
                      <w:t> </w:t>
                    </w:r>
                    <w:r>
                      <w:rPr>
                        <w:rFonts w:ascii="Trebuchet MS"/>
                        <w:w w:val="105"/>
                        <w:sz w:val="20"/>
                      </w:rPr>
                      <w:t>a</w:t>
                    </w:r>
                    <w:r>
                      <w:rPr>
                        <w:rFonts w:ascii="Trebuchet MS"/>
                        <w:spacing w:val="-2"/>
                        <w:w w:val="122"/>
                        <w:sz w:val="20"/>
                      </w:rPr>
                      <w:t>s</w:t>
                    </w:r>
                    <w:r>
                      <w:rPr>
                        <w:rFonts w:ascii="Trebuchet MS"/>
                        <w:spacing w:val="-1"/>
                        <w:w w:val="80"/>
                        <w:sz w:val="20"/>
                      </w:rPr>
                      <w:t>i</w:t>
                    </w:r>
                    <w:r>
                      <w:rPr>
                        <w:rFonts w:ascii="Trebuchet MS"/>
                        <w:spacing w:val="-2"/>
                        <w:w w:val="112"/>
                        <w:sz w:val="20"/>
                      </w:rPr>
                      <w:t>d</w:t>
                    </w:r>
                    <w:r>
                      <w:rPr>
                        <w:rFonts w:ascii="Trebuchet MS"/>
                        <w:w w:val="108"/>
                        <w:sz w:val="20"/>
                      </w:rPr>
                      <w:t>e</w:t>
                    </w:r>
                    <w:r>
                      <w:rPr>
                        <w:rFonts w:ascii="Trebuchet MS"/>
                        <w:spacing w:val="-14"/>
                        <w:sz w:val="20"/>
                      </w:rPr>
                      <w:t> </w:t>
                    </w:r>
                    <w:r>
                      <w:rPr>
                        <w:rFonts w:ascii="Trebuchet MS"/>
                        <w:spacing w:val="-2"/>
                        <w:w w:val="112"/>
                        <w:sz w:val="20"/>
                      </w:rPr>
                      <w:t>d</w:t>
                    </w:r>
                    <w:r>
                      <w:rPr>
                        <w:rFonts w:ascii="Trebuchet MS"/>
                        <w:spacing w:val="-1"/>
                        <w:w w:val="109"/>
                        <w:sz w:val="20"/>
                      </w:rPr>
                      <w:t>u</w:t>
                    </w:r>
                    <w:r>
                      <w:rPr>
                        <w:rFonts w:ascii="Trebuchet MS"/>
                        <w:spacing w:val="-2"/>
                        <w:w w:val="93"/>
                        <w:sz w:val="20"/>
                      </w:rPr>
                      <w:t>r</w:t>
                    </w:r>
                    <w:r>
                      <w:rPr>
                        <w:rFonts w:ascii="Trebuchet MS"/>
                        <w:spacing w:val="-2"/>
                        <w:w w:val="80"/>
                        <w:sz w:val="20"/>
                      </w:rPr>
                      <w:t>i</w:t>
                    </w:r>
                    <w:r>
                      <w:rPr>
                        <w:rFonts w:ascii="Trebuchet MS"/>
                        <w:spacing w:val="-1"/>
                        <w:w w:val="107"/>
                        <w:sz w:val="20"/>
                      </w:rPr>
                      <w:t>n</w:t>
                    </w:r>
                    <w:r>
                      <w:rPr>
                        <w:rFonts w:ascii="Trebuchet MS"/>
                        <w:w w:val="124"/>
                        <w:sz w:val="20"/>
                      </w:rPr>
                      <w:t>g</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1"/>
                        <w:w w:val="108"/>
                        <w:sz w:val="20"/>
                      </w:rPr>
                      <w:t>e</w:t>
                    </w:r>
                    <w:r>
                      <w:rPr>
                        <w:rFonts w:ascii="Trebuchet MS"/>
                        <w:spacing w:val="-2"/>
                        <w:w w:val="111"/>
                        <w:sz w:val="20"/>
                      </w:rPr>
                      <w:t>m</w:t>
                    </w:r>
                    <w:r>
                      <w:rPr>
                        <w:rFonts w:ascii="Trebuchet MS"/>
                        <w:spacing w:val="-1"/>
                        <w:w w:val="111"/>
                        <w:sz w:val="20"/>
                      </w:rPr>
                      <w:t>p</w:t>
                    </w:r>
                    <w:r>
                      <w:rPr>
                        <w:rFonts w:ascii="Trebuchet MS"/>
                        <w:spacing w:val="-2"/>
                        <w:w w:val="105"/>
                        <w:sz w:val="20"/>
                      </w:rPr>
                      <w:t>a</w:t>
                    </w:r>
                    <w:r>
                      <w:rPr>
                        <w:rFonts w:ascii="Trebuchet MS"/>
                        <w:spacing w:val="-1"/>
                        <w:w w:val="107"/>
                        <w:sz w:val="20"/>
                      </w:rPr>
                      <w:t>n</w:t>
                    </w:r>
                    <w:r>
                      <w:rPr>
                        <w:rFonts w:ascii="Trebuchet MS"/>
                        <w:spacing w:val="-2"/>
                        <w:w w:val="108"/>
                        <w:sz w:val="20"/>
                      </w:rPr>
                      <w:t>e</w:t>
                    </w:r>
                    <w:r>
                      <w:rPr>
                        <w:rFonts w:ascii="Trebuchet MS"/>
                        <w:w w:val="96"/>
                        <w:sz w:val="20"/>
                      </w:rPr>
                      <w:t>l</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w w:val="88"/>
                        <w:sz w:val="20"/>
                      </w:rPr>
                      <w:t>t</w:t>
                    </w:r>
                    <w:r>
                      <w:rPr>
                        <w:rFonts w:ascii="Trebuchet MS"/>
                        <w:spacing w:val="-14"/>
                        <w:sz w:val="20"/>
                      </w:rPr>
                      <w:t> </w:t>
                    </w:r>
                    <w:r>
                      <w:rPr>
                        <w:rFonts w:ascii="Trebuchet MS"/>
                        <w:spacing w:val="-1"/>
                        <w:w w:val="111"/>
                        <w:sz w:val="20"/>
                      </w:rPr>
                      <w:t>p</w:t>
                    </w:r>
                    <w:r>
                      <w:rPr>
                        <w:rFonts w:ascii="Trebuchet MS"/>
                        <w:spacing w:val="-4"/>
                        <w:w w:val="93"/>
                        <w:sz w:val="20"/>
                      </w:rPr>
                      <w:t>r</w:t>
                    </w:r>
                    <w:r>
                      <w:rPr>
                        <w:rFonts w:ascii="Trebuchet MS"/>
                        <w:spacing w:val="-1"/>
                        <w:w w:val="111"/>
                        <w:sz w:val="20"/>
                      </w:rPr>
                      <w:t>o</w:t>
                    </w:r>
                    <w:r>
                      <w:rPr>
                        <w:rFonts w:ascii="Trebuchet MS"/>
                        <w:spacing w:val="-3"/>
                        <w:w w:val="111"/>
                        <w:sz w:val="20"/>
                      </w:rPr>
                      <w:t>c</w:t>
                    </w:r>
                    <w:r>
                      <w:rPr>
                        <w:rFonts w:ascii="Trebuchet MS"/>
                        <w:spacing w:val="-2"/>
                        <w:w w:val="108"/>
                        <w:sz w:val="20"/>
                      </w:rPr>
                      <w:t>e</w:t>
                    </w:r>
                    <w:r>
                      <w:rPr>
                        <w:rFonts w:ascii="Trebuchet MS"/>
                        <w:spacing w:val="-1"/>
                        <w:w w:val="122"/>
                        <w:sz w:val="20"/>
                      </w:rPr>
                      <w:t>s</w:t>
                    </w:r>
                    <w:r>
                      <w:rPr>
                        <w:rFonts w:ascii="Trebuchet MS"/>
                        <w:spacing w:val="1"/>
                        <w:w w:val="122"/>
                        <w:sz w:val="20"/>
                      </w:rPr>
                      <w:t>s</w:t>
                    </w:r>
                    <w:r>
                      <w:rPr>
                        <w:rFonts w:ascii="Trebuchet MS"/>
                        <w:w w:val="55"/>
                        <w:sz w:val="20"/>
                      </w:rPr>
                      <w:t>.</w:t>
                    </w:r>
                  </w:p>
                </w:txbxContent>
              </v:textbox>
              <w10:wrap type="none"/>
            </v:shape>
            <v:shape style="position:absolute;left:1814;top:1342;width:281;height:1040" type="#_x0000_t202" filled="false" stroked="false">
              <v:textbox inset="0,0,0,0">
                <w:txbxContent>
                  <w:p>
                    <w:pPr>
                      <w:spacing w:before="0"/>
                      <w:ind w:left="0" w:right="0" w:firstLine="0"/>
                      <w:jc w:val="left"/>
                      <w:rPr>
                        <w:rFonts w:ascii="Trebuchet MS"/>
                        <w:sz w:val="20"/>
                      </w:rPr>
                    </w:pPr>
                    <w:r>
                      <w:rPr>
                        <w:rFonts w:ascii="Trebuchet MS"/>
                        <w:w w:val="90"/>
                        <w:sz w:val="20"/>
                      </w:rPr>
                      <w:t>41.</w:t>
                    </w:r>
                  </w:p>
                  <w:p>
                    <w:pPr>
                      <w:spacing w:line="240" w:lineRule="auto" w:before="0"/>
                      <w:rPr>
                        <w:sz w:val="22"/>
                      </w:rPr>
                    </w:pPr>
                  </w:p>
                  <w:p>
                    <w:pPr>
                      <w:spacing w:line="240" w:lineRule="auto" w:before="3"/>
                      <w:rPr>
                        <w:sz w:val="19"/>
                      </w:rPr>
                    </w:pPr>
                  </w:p>
                  <w:p>
                    <w:pPr>
                      <w:spacing w:before="1"/>
                      <w:ind w:left="0" w:right="0" w:firstLine="0"/>
                      <w:jc w:val="left"/>
                      <w:rPr>
                        <w:rFonts w:ascii="Trebuchet MS"/>
                        <w:sz w:val="20"/>
                      </w:rPr>
                    </w:pPr>
                    <w:r>
                      <w:rPr>
                        <w:rFonts w:ascii="Trebuchet MS"/>
                        <w:w w:val="95"/>
                        <w:sz w:val="20"/>
                      </w:rPr>
                      <w:t>42.</w:t>
                    </w:r>
                  </w:p>
                </w:txbxContent>
              </v:textbox>
              <w10:wrap type="none"/>
            </v:shape>
            <v:shape style="position:absolute;left:1587;top:309;width:8731;height:783" type="#_x0000_t202" filled="true" fillcolor="#dddfe4" stroked="false">
              <v:textbox inset="0,0,0,0">
                <w:txbxContent>
                  <w:p>
                    <w:pPr>
                      <w:spacing w:before="158"/>
                      <w:ind w:left="226" w:right="0" w:firstLine="0"/>
                      <w:jc w:val="left"/>
                      <w:rPr>
                        <w:rFonts w:ascii="Raleway ExtraBold"/>
                        <w:b/>
                        <w:sz w:val="32"/>
                      </w:rPr>
                    </w:pPr>
                    <w:r>
                      <w:rPr>
                        <w:rFonts w:ascii="Raleway ExtraBold"/>
                        <w:b/>
                        <w:color w:val="37617A"/>
                        <w:sz w:val="32"/>
                      </w:rPr>
                      <w:t>Recommendations</w:t>
                    </w:r>
                  </w:p>
                </w:txbxContent>
              </v:textbox>
              <v:fill type="solid"/>
              <w10:wrap type="none"/>
            </v:shape>
            <w10:wrap type="topAndBottom"/>
          </v:group>
        </w:pict>
      </w:r>
    </w:p>
    <w:p>
      <w:pPr>
        <w:pStyle w:val="BodyText"/>
      </w:pPr>
    </w:p>
    <w:p>
      <w:pPr>
        <w:pStyle w:val="BodyText"/>
      </w:pPr>
    </w:p>
    <w:p>
      <w:pPr>
        <w:pStyle w:val="BodyText"/>
      </w:pPr>
    </w:p>
    <w:p>
      <w:pPr>
        <w:pStyle w:val="BodyText"/>
        <w:spacing w:before="10"/>
        <w:rPr>
          <w:sz w:val="13"/>
        </w:rPr>
      </w:pPr>
      <w:r>
        <w:rPr/>
        <w:pict>
          <v:line style="position:absolute;mso-position-horizontal-relative:page;mso-position-vertical-relative:paragraph;z-index:10640;mso-wrap-distance-left:0;mso-wrap-distance-right:0" from="79.370102pt,12.0122pt" to="515.905102pt,12.0122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19"/>
        </w:numPr>
        <w:tabs>
          <w:tab w:pos="1760" w:val="left" w:leader="none"/>
          <w:tab w:pos="1762" w:val="left" w:leader="none"/>
        </w:tabs>
        <w:spacing w:line="170" w:lineRule="exact" w:before="21" w:after="0"/>
        <w:ind w:left="1761" w:right="0" w:hanging="794"/>
        <w:jc w:val="left"/>
        <w:rPr>
          <w:sz w:val="13"/>
        </w:rPr>
      </w:pPr>
      <w:r>
        <w:rPr>
          <w:sz w:val="13"/>
        </w:rPr>
        <w:t>Consultation 16 (Office of </w:t>
      </w:r>
      <w:r>
        <w:rPr>
          <w:spacing w:val="2"/>
          <w:sz w:val="13"/>
        </w:rPr>
        <w:t>Public </w:t>
      </w:r>
      <w:r>
        <w:rPr>
          <w:sz w:val="13"/>
        </w:rPr>
        <w:t>Prosecutions</w:t>
      </w:r>
      <w:r>
        <w:rPr>
          <w:spacing w:val="1"/>
          <w:sz w:val="13"/>
        </w:rPr>
        <w:t> </w:t>
      </w:r>
      <w:r>
        <w:rPr>
          <w:sz w:val="13"/>
        </w:rPr>
        <w:t>Victoria).</w:t>
      </w:r>
    </w:p>
    <w:p>
      <w:pPr>
        <w:pStyle w:val="ListParagraph"/>
        <w:numPr>
          <w:ilvl w:val="0"/>
          <w:numId w:val="119"/>
        </w:numPr>
        <w:tabs>
          <w:tab w:pos="1760" w:val="left" w:leader="none"/>
          <w:tab w:pos="1762" w:val="left" w:leader="none"/>
        </w:tabs>
        <w:spacing w:line="160" w:lineRule="exact" w:before="0" w:after="0"/>
        <w:ind w:left="1761" w:right="0" w:hanging="794"/>
        <w:jc w:val="left"/>
        <w:rPr>
          <w:sz w:val="13"/>
        </w:rPr>
      </w:pPr>
      <w:r>
        <w:rPr>
          <w:sz w:val="13"/>
        </w:rPr>
        <w:t>Consultation</w:t>
      </w:r>
      <w:r>
        <w:rPr>
          <w:spacing w:val="8"/>
          <w:sz w:val="13"/>
        </w:rPr>
        <w:t> </w:t>
      </w:r>
      <w:r>
        <w:rPr>
          <w:sz w:val="13"/>
        </w:rPr>
        <w:t>22</w:t>
      </w:r>
      <w:r>
        <w:rPr>
          <w:spacing w:val="9"/>
          <w:sz w:val="13"/>
        </w:rPr>
        <w:t> </w:t>
      </w:r>
      <w:r>
        <w:rPr>
          <w:sz w:val="13"/>
        </w:rPr>
        <w:t>(Daniel</w:t>
      </w:r>
      <w:r>
        <w:rPr>
          <w:spacing w:val="9"/>
          <w:sz w:val="13"/>
        </w:rPr>
        <w:t> </w:t>
      </w:r>
      <w:r>
        <w:rPr>
          <w:sz w:val="13"/>
        </w:rPr>
        <w:t>Stubbs,</w:t>
      </w:r>
      <w:r>
        <w:rPr>
          <w:spacing w:val="8"/>
          <w:sz w:val="13"/>
        </w:rPr>
        <w:t> </w:t>
      </w:r>
      <w:r>
        <w:rPr>
          <w:sz w:val="13"/>
        </w:rPr>
        <w:t>Victorian</w:t>
      </w:r>
      <w:r>
        <w:rPr>
          <w:spacing w:val="9"/>
          <w:sz w:val="13"/>
        </w:rPr>
        <w:t> </w:t>
      </w:r>
      <w:r>
        <w:rPr>
          <w:spacing w:val="2"/>
          <w:sz w:val="13"/>
        </w:rPr>
        <w:t>Disability</w:t>
      </w:r>
      <w:r>
        <w:rPr>
          <w:spacing w:val="9"/>
          <w:sz w:val="13"/>
        </w:rPr>
        <w:t> </w:t>
      </w:r>
      <w:r>
        <w:rPr>
          <w:sz w:val="13"/>
        </w:rPr>
        <w:t>Worker</w:t>
      </w:r>
      <w:r>
        <w:rPr>
          <w:spacing w:val="9"/>
          <w:sz w:val="13"/>
        </w:rPr>
        <w:t> </w:t>
      </w:r>
      <w:r>
        <w:rPr>
          <w:sz w:val="13"/>
        </w:rPr>
        <w:t>Commissioner,</w:t>
      </w:r>
      <w:r>
        <w:rPr>
          <w:spacing w:val="8"/>
          <w:sz w:val="13"/>
        </w:rPr>
        <w:t> </w:t>
      </w:r>
      <w:r>
        <w:rPr>
          <w:sz w:val="13"/>
        </w:rPr>
        <w:t>in</w:t>
      </w:r>
      <w:r>
        <w:rPr>
          <w:spacing w:val="9"/>
          <w:sz w:val="13"/>
        </w:rPr>
        <w:t> </w:t>
      </w:r>
      <w:r>
        <w:rPr>
          <w:sz w:val="13"/>
        </w:rPr>
        <w:t>his</w:t>
      </w:r>
      <w:r>
        <w:rPr>
          <w:spacing w:val="9"/>
          <w:sz w:val="13"/>
        </w:rPr>
        <w:t> </w:t>
      </w:r>
      <w:r>
        <w:rPr>
          <w:sz w:val="13"/>
        </w:rPr>
        <w:t>personal</w:t>
      </w:r>
      <w:r>
        <w:rPr>
          <w:spacing w:val="9"/>
          <w:sz w:val="13"/>
        </w:rPr>
        <w:t> </w:t>
      </w:r>
      <w:r>
        <w:rPr>
          <w:sz w:val="13"/>
        </w:rPr>
        <w:t>capacity).</w:t>
      </w:r>
    </w:p>
    <w:p>
      <w:pPr>
        <w:pStyle w:val="ListParagraph"/>
        <w:numPr>
          <w:ilvl w:val="0"/>
          <w:numId w:val="119"/>
        </w:numPr>
        <w:tabs>
          <w:tab w:pos="1760" w:val="left" w:leader="none"/>
          <w:tab w:pos="1762" w:val="left" w:leader="none"/>
        </w:tabs>
        <w:spacing w:line="160" w:lineRule="exact" w:before="0" w:after="0"/>
        <w:ind w:left="1761" w:right="0" w:hanging="794"/>
        <w:jc w:val="left"/>
        <w:rPr>
          <w:sz w:val="13"/>
        </w:rPr>
      </w:pPr>
      <w:r>
        <w:rPr>
          <w:sz w:val="13"/>
        </w:rPr>
        <w:t>Consultation 16 (Office of </w:t>
      </w:r>
      <w:r>
        <w:rPr>
          <w:spacing w:val="2"/>
          <w:sz w:val="13"/>
        </w:rPr>
        <w:t>Public </w:t>
      </w:r>
      <w:r>
        <w:rPr>
          <w:sz w:val="13"/>
        </w:rPr>
        <w:t>Prosecutions</w:t>
      </w:r>
      <w:r>
        <w:rPr>
          <w:spacing w:val="1"/>
          <w:sz w:val="13"/>
        </w:rPr>
        <w:t> </w:t>
      </w:r>
      <w:r>
        <w:rPr>
          <w:sz w:val="13"/>
        </w:rPr>
        <w:t>Victoria).</w:t>
      </w:r>
    </w:p>
    <w:p>
      <w:pPr>
        <w:pStyle w:val="ListParagraph"/>
        <w:numPr>
          <w:ilvl w:val="0"/>
          <w:numId w:val="119"/>
        </w:numPr>
        <w:tabs>
          <w:tab w:pos="1761" w:val="left" w:leader="none"/>
          <w:tab w:pos="1762" w:val="left" w:leader="none"/>
        </w:tabs>
        <w:spacing w:line="17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6"/>
          <w:sz w:val="13"/>
        </w:rPr>
        <w:t> </w:t>
      </w:r>
      <w:r>
        <w:rPr>
          <w:sz w:val="13"/>
        </w:rPr>
        <w:t>Victoria).</w:t>
      </w:r>
    </w:p>
    <w:p>
      <w:pPr>
        <w:pStyle w:val="BodyText"/>
        <w:spacing w:before="13"/>
        <w:rPr>
          <w:sz w:val="26"/>
        </w:rPr>
      </w:pPr>
      <w:r>
        <w:rPr/>
        <w:br w:type="column"/>
      </w:r>
      <w:r>
        <w:rPr>
          <w:sz w:val="26"/>
        </w:rPr>
      </w:r>
    </w:p>
    <w:p>
      <w:pPr>
        <w:spacing w:before="0"/>
        <w:ind w:left="967" w:right="0" w:firstLine="0"/>
        <w:jc w:val="left"/>
        <w:rPr>
          <w:b/>
          <w:sz w:val="24"/>
        </w:rPr>
      </w:pPr>
      <w:r>
        <w:rPr>
          <w:b/>
          <w:color w:val="37617A"/>
          <w:sz w:val="24"/>
        </w:rPr>
        <w:t>203</w:t>
      </w:r>
    </w:p>
    <w:p>
      <w:pPr>
        <w:spacing w:after="0"/>
        <w:jc w:val="left"/>
        <w:rPr>
          <w:sz w:val="24"/>
        </w:rPr>
        <w:sectPr>
          <w:type w:val="continuous"/>
          <w:pgSz w:w="11910" w:h="16840"/>
          <w:pgMar w:top="620" w:bottom="280" w:left="620" w:right="380"/>
          <w:cols w:num="2" w:equalWidth="0">
            <w:col w:w="7878" w:space="1442"/>
            <w:col w:w="1590"/>
          </w:cols>
        </w:sectPr>
      </w:pPr>
    </w:p>
    <w:p>
      <w:pPr>
        <w:pStyle w:val="BodyText"/>
        <w:rPr>
          <w:b/>
        </w:rPr>
      </w:pPr>
      <w:r>
        <w:rPr/>
        <w:pict>
          <v:rect style="position:absolute;margin-left:79.370003pt;margin-top:0pt;width:515.906000pt;height:841.890015pt;mso-position-horizontal-relative:page;mso-position-vertical-relative:page;z-index:12712" filled="true" fillcolor="#37617a" stroked="false">
            <v:fill type="solid"/>
            <w10:wrap type="none"/>
          </v:rect>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4"/>
        </w:rPr>
      </w:pPr>
    </w:p>
    <w:p>
      <w:pPr>
        <w:spacing w:before="49"/>
        <w:ind w:left="100" w:right="0" w:firstLine="0"/>
        <w:jc w:val="left"/>
        <w:rPr>
          <w:b/>
          <w:sz w:val="24"/>
        </w:rPr>
      </w:pPr>
      <w:r>
        <w:rPr>
          <w:b/>
          <w:color w:val="37617A"/>
          <w:sz w:val="24"/>
        </w:rPr>
        <w:t>204</w:t>
      </w:r>
    </w:p>
    <w:p>
      <w:pPr>
        <w:spacing w:after="0"/>
        <w:jc w:val="left"/>
        <w:rPr>
          <w:sz w:val="24"/>
        </w:rPr>
        <w:sectPr>
          <w:headerReference w:type="even" r:id="rId250"/>
          <w:pgSz w:w="11910" w:h="16840"/>
          <w:pgMar w:header="0" w:footer="0" w:top="1580" w:bottom="280" w:left="620" w:right="380"/>
        </w:sectPr>
      </w:pPr>
    </w:p>
    <w:p>
      <w:pPr>
        <w:spacing w:before="26"/>
        <w:ind w:left="0" w:right="745" w:firstLine="0"/>
        <w:jc w:val="right"/>
        <w:rPr>
          <w:rFonts w:ascii="Raleway SemiBold"/>
          <w:b/>
          <w:sz w:val="50"/>
        </w:rPr>
      </w:pPr>
      <w:r>
        <w:rPr/>
        <w:pict>
          <v:rect style="position:absolute;margin-left:0pt;margin-top:0pt;width:595.276001pt;height:841.890015pt;mso-position-horizontal-relative:page;mso-position-vertical-relative:page;z-index:-347560" filled="true" fillcolor="#37617a" stroked="false">
            <v:fill type="solid"/>
            <w10:wrap type="none"/>
          </v:rect>
        </w:pict>
      </w:r>
      <w:r>
        <w:rPr/>
        <w:pict>
          <v:shape style="position:absolute;margin-left:415.427002pt;margin-top:4.300694pt;width:126.9pt;height:152.65pt;mso-position-horizontal-relative:page;mso-position-vertical-relative:paragraph;z-index:-347536" type="#_x0000_t202" filled="false" stroked="false">
            <v:textbox inset="0,0,0,0">
              <w:txbxContent>
                <w:p>
                  <w:pPr>
                    <w:spacing w:line="3052" w:lineRule="exact" w:before="0"/>
                    <w:ind w:left="0" w:right="0" w:firstLine="0"/>
                    <w:jc w:val="left"/>
                    <w:rPr>
                      <w:b/>
                      <w:sz w:val="260"/>
                    </w:rPr>
                  </w:pPr>
                  <w:r>
                    <w:rPr>
                      <w:b/>
                      <w:color w:val="FFFFFF"/>
                      <w:spacing w:val="-159"/>
                      <w:sz w:val="260"/>
                    </w:rPr>
                    <w:t>18</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spacing w:line="180" w:lineRule="auto" w:before="320"/>
        <w:ind w:left="967" w:right="786" w:firstLine="0"/>
        <w:jc w:val="left"/>
        <w:rPr>
          <w:rFonts w:ascii="Raleway ExtraBold"/>
          <w:b/>
          <w:sz w:val="88"/>
        </w:rPr>
      </w:pPr>
      <w:r>
        <w:rPr>
          <w:rFonts w:ascii="Raleway ExtraBold"/>
          <w:b/>
          <w:color w:val="FFFFFF"/>
          <w:spacing w:val="-22"/>
          <w:sz w:val="88"/>
        </w:rPr>
        <w:t>Encouraging change </w:t>
      </w:r>
      <w:r>
        <w:rPr>
          <w:rFonts w:ascii="Raleway ExtraBold"/>
          <w:b/>
          <w:color w:val="FFFFFF"/>
          <w:spacing w:val="-12"/>
          <w:sz w:val="88"/>
        </w:rPr>
        <w:t>in </w:t>
      </w:r>
      <w:r>
        <w:rPr>
          <w:rFonts w:ascii="Raleway ExtraBold"/>
          <w:b/>
          <w:color w:val="FFFFFF"/>
          <w:spacing w:val="-15"/>
          <w:sz w:val="88"/>
        </w:rPr>
        <w:t>the </w:t>
      </w:r>
      <w:r>
        <w:rPr>
          <w:rFonts w:ascii="Raleway ExtraBold"/>
          <w:b/>
          <w:color w:val="FFFFFF"/>
          <w:spacing w:val="-18"/>
          <w:sz w:val="88"/>
        </w:rPr>
        <w:t>legal </w:t>
      </w:r>
      <w:r>
        <w:rPr>
          <w:rFonts w:ascii="Raleway ExtraBold"/>
          <w:b/>
          <w:color w:val="FFFFFF"/>
          <w:spacing w:val="-21"/>
          <w:sz w:val="88"/>
        </w:rPr>
        <w:t>profession </w:t>
      </w:r>
      <w:r>
        <w:rPr>
          <w:rFonts w:ascii="Raleway ExtraBold"/>
          <w:b/>
          <w:color w:val="FFFFFF"/>
          <w:spacing w:val="-14"/>
          <w:sz w:val="88"/>
        </w:rPr>
        <w:t>and </w:t>
      </w:r>
      <w:r>
        <w:rPr>
          <w:rFonts w:ascii="Raleway ExtraBold"/>
          <w:b/>
          <w:color w:val="FFFFFF"/>
          <w:spacing w:val="-15"/>
          <w:sz w:val="88"/>
        </w:rPr>
        <w:t>the </w:t>
      </w:r>
      <w:r>
        <w:rPr>
          <w:rFonts w:ascii="Raleway ExtraBold"/>
          <w:b/>
          <w:color w:val="FFFFFF"/>
          <w:spacing w:val="-23"/>
          <w:sz w:val="88"/>
        </w:rPr>
        <w:t>community</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1"/>
        <w:rPr>
          <w:rFonts w:ascii="Raleway ExtraBold"/>
          <w:b/>
          <w:sz w:val="14"/>
        </w:rPr>
      </w:pPr>
    </w:p>
    <w:tbl>
      <w:tblPr>
        <w:tblW w:w="0" w:type="auto"/>
        <w:jc w:val="left"/>
        <w:tblInd w:w="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8115"/>
      </w:tblGrid>
      <w:tr>
        <w:trPr>
          <w:trHeight w:val="336" w:hRule="atLeast"/>
        </w:trPr>
        <w:tc>
          <w:tcPr>
            <w:tcW w:w="510" w:type="dxa"/>
            <w:tcBorders>
              <w:bottom w:val="single" w:sz="18" w:space="0" w:color="8F9DAD"/>
            </w:tcBorders>
            <w:shd w:val="clear" w:color="auto" w:fill="37617A"/>
          </w:tcPr>
          <w:p>
            <w:pPr>
              <w:pStyle w:val="TableParagraph"/>
              <w:spacing w:line="282" w:lineRule="exact" w:before="0"/>
              <w:ind w:left="0"/>
              <w:rPr>
                <w:b/>
                <w:sz w:val="24"/>
              </w:rPr>
            </w:pPr>
            <w:hyperlink w:history="true" w:anchor="_bookmark150">
              <w:r>
                <w:rPr>
                  <w:b/>
                  <w:color w:val="FFFFFF"/>
                  <w:sz w:val="24"/>
                </w:rPr>
                <w:t>206</w:t>
              </w:r>
            </w:hyperlink>
          </w:p>
        </w:tc>
        <w:tc>
          <w:tcPr>
            <w:tcW w:w="8115" w:type="dxa"/>
            <w:shd w:val="clear" w:color="auto" w:fill="37617A"/>
          </w:tcPr>
          <w:p>
            <w:pPr>
              <w:pStyle w:val="TableParagraph"/>
              <w:spacing w:line="282" w:lineRule="exact" w:before="0"/>
              <w:ind w:left="56"/>
              <w:rPr>
                <w:b/>
                <w:sz w:val="24"/>
              </w:rPr>
            </w:pPr>
            <w:hyperlink w:history="true" w:anchor="_bookmark150">
              <w:r>
                <w:rPr>
                  <w:b/>
                  <w:color w:val="FFFFFF"/>
                  <w:sz w:val="24"/>
                </w:rPr>
                <w:t>Overview</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50">
              <w:r>
                <w:rPr>
                  <w:b/>
                  <w:color w:val="FFFFFF"/>
                  <w:sz w:val="24"/>
                </w:rPr>
                <w:t>206</w:t>
              </w:r>
            </w:hyperlink>
          </w:p>
        </w:tc>
        <w:tc>
          <w:tcPr>
            <w:tcW w:w="8115" w:type="dxa"/>
            <w:shd w:val="clear" w:color="auto" w:fill="37617A"/>
          </w:tcPr>
          <w:p>
            <w:pPr>
              <w:pStyle w:val="TableParagraph"/>
              <w:ind w:left="56"/>
              <w:rPr>
                <w:b/>
                <w:sz w:val="24"/>
              </w:rPr>
            </w:pPr>
            <w:hyperlink w:history="true" w:anchor="_bookmark150">
              <w:r>
                <w:rPr>
                  <w:b/>
                  <w:color w:val="FFFFFF"/>
                  <w:sz w:val="24"/>
                </w:rPr>
                <w:t>Cultural change is needed for legal reform to be effective</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51">
              <w:r>
                <w:rPr>
                  <w:b/>
                  <w:color w:val="FFFFFF"/>
                  <w:sz w:val="24"/>
                </w:rPr>
                <w:t>207</w:t>
              </w:r>
            </w:hyperlink>
          </w:p>
        </w:tc>
        <w:tc>
          <w:tcPr>
            <w:tcW w:w="8115" w:type="dxa"/>
            <w:shd w:val="clear" w:color="auto" w:fill="37617A"/>
          </w:tcPr>
          <w:p>
            <w:pPr>
              <w:pStyle w:val="TableParagraph"/>
              <w:ind w:left="56"/>
              <w:rPr>
                <w:b/>
                <w:sz w:val="24"/>
              </w:rPr>
            </w:pPr>
            <w:hyperlink w:history="true" w:anchor="_bookmark151">
              <w:r>
                <w:rPr>
                  <w:b/>
                  <w:color w:val="FFFFFF"/>
                  <w:sz w:val="24"/>
                </w:rPr>
                <w:t>Disability awareness training for the legal profession</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55">
              <w:r>
                <w:rPr>
                  <w:b/>
                  <w:color w:val="FFFFFF"/>
                  <w:sz w:val="24"/>
                </w:rPr>
                <w:t>211</w:t>
              </w:r>
            </w:hyperlink>
          </w:p>
        </w:tc>
        <w:tc>
          <w:tcPr>
            <w:tcW w:w="8115" w:type="dxa"/>
            <w:shd w:val="clear" w:color="auto" w:fill="37617A"/>
          </w:tcPr>
          <w:p>
            <w:pPr>
              <w:pStyle w:val="TableParagraph"/>
              <w:ind w:left="56"/>
              <w:rPr>
                <w:b/>
                <w:sz w:val="24"/>
              </w:rPr>
            </w:pPr>
            <w:hyperlink w:history="true" w:anchor="_bookmark155">
              <w:r>
                <w:rPr>
                  <w:b/>
                  <w:color w:val="FFFFFF"/>
                  <w:sz w:val="24"/>
                </w:rPr>
                <w:t>Professional</w:t>
              </w:r>
              <w:r>
                <w:rPr>
                  <w:b/>
                  <w:color w:val="FFFFFF"/>
                  <w:spacing w:val="-7"/>
                  <w:sz w:val="24"/>
                </w:rPr>
                <w:t> </w:t>
              </w:r>
              <w:r>
                <w:rPr>
                  <w:b/>
                  <w:color w:val="FFFFFF"/>
                  <w:sz w:val="24"/>
                </w:rPr>
                <w:t>development</w:t>
              </w:r>
              <w:r>
                <w:rPr>
                  <w:b/>
                  <w:color w:val="FFFFFF"/>
                  <w:spacing w:val="-6"/>
                  <w:sz w:val="24"/>
                </w:rPr>
                <w:t> </w:t>
              </w:r>
              <w:r>
                <w:rPr>
                  <w:b/>
                  <w:color w:val="FFFFFF"/>
                  <w:sz w:val="24"/>
                </w:rPr>
                <w:t>about</w:t>
              </w:r>
              <w:r>
                <w:rPr>
                  <w:b/>
                  <w:color w:val="FFFFFF"/>
                  <w:spacing w:val="-7"/>
                  <w:sz w:val="24"/>
                </w:rPr>
                <w:t> </w:t>
              </w:r>
              <w:r>
                <w:rPr>
                  <w:b/>
                  <w:color w:val="FFFFFF"/>
                  <w:sz w:val="24"/>
                </w:rPr>
                <w:t>the</w:t>
              </w:r>
              <w:r>
                <w:rPr>
                  <w:b/>
                  <w:color w:val="FFFFFF"/>
                  <w:spacing w:val="-6"/>
                  <w:sz w:val="24"/>
                </w:rPr>
                <w:t> </w:t>
              </w:r>
              <w:r>
                <w:rPr>
                  <w:b/>
                  <w:color w:val="FFFFFF"/>
                  <w:sz w:val="24"/>
                </w:rPr>
                <w:t>new</w:t>
              </w:r>
              <w:r>
                <w:rPr>
                  <w:b/>
                  <w:color w:val="FFFFFF"/>
                  <w:spacing w:val="-7"/>
                  <w:sz w:val="24"/>
                </w:rPr>
                <w:t> </w:t>
              </w:r>
              <w:r>
                <w:rPr>
                  <w:b/>
                  <w:color w:val="FFFFFF"/>
                  <w:spacing w:val="-3"/>
                  <w:sz w:val="24"/>
                </w:rPr>
                <w:t>laws</w:t>
              </w:r>
              <w:r>
                <w:rPr>
                  <w:b/>
                  <w:color w:val="FFFFFF"/>
                  <w:spacing w:val="-6"/>
                  <w:sz w:val="24"/>
                </w:rPr>
                <w:t> </w:t>
              </w:r>
              <w:r>
                <w:rPr>
                  <w:b/>
                  <w:color w:val="FFFFFF"/>
                  <w:sz w:val="24"/>
                </w:rPr>
                <w:t>for</w:t>
              </w:r>
              <w:r>
                <w:rPr>
                  <w:b/>
                  <w:color w:val="FFFFFF"/>
                  <w:spacing w:val="-7"/>
                  <w:sz w:val="24"/>
                </w:rPr>
                <w:t> </w:t>
              </w:r>
              <w:r>
                <w:rPr>
                  <w:b/>
                  <w:color w:val="FFFFFF"/>
                  <w:sz w:val="24"/>
                </w:rPr>
                <w:t>the</w:t>
              </w:r>
              <w:r>
                <w:rPr>
                  <w:b/>
                  <w:color w:val="FFFFFF"/>
                  <w:spacing w:val="-6"/>
                  <w:sz w:val="24"/>
                </w:rPr>
                <w:t> </w:t>
              </w:r>
              <w:r>
                <w:rPr>
                  <w:b/>
                  <w:color w:val="FFFFFF"/>
                  <w:sz w:val="24"/>
                </w:rPr>
                <w:t>legal</w:t>
              </w:r>
              <w:r>
                <w:rPr>
                  <w:b/>
                  <w:color w:val="FFFFFF"/>
                  <w:spacing w:val="-7"/>
                  <w:sz w:val="24"/>
                </w:rPr>
                <w:t> </w:t>
              </w:r>
              <w:r>
                <w:rPr>
                  <w:b/>
                  <w:color w:val="FFFFFF"/>
                  <w:sz w:val="24"/>
                </w:rPr>
                <w:t>profession</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56">
              <w:r>
                <w:rPr>
                  <w:b/>
                  <w:color w:val="FFFFFF"/>
                  <w:sz w:val="24"/>
                </w:rPr>
                <w:t>212</w:t>
              </w:r>
            </w:hyperlink>
          </w:p>
        </w:tc>
        <w:tc>
          <w:tcPr>
            <w:tcW w:w="8115" w:type="dxa"/>
            <w:shd w:val="clear" w:color="auto" w:fill="37617A"/>
          </w:tcPr>
          <w:p>
            <w:pPr>
              <w:pStyle w:val="TableParagraph"/>
              <w:ind w:left="56"/>
              <w:rPr>
                <w:b/>
                <w:sz w:val="24"/>
              </w:rPr>
            </w:pPr>
            <w:hyperlink w:history="true" w:anchor="_bookmark156">
              <w:r>
                <w:rPr>
                  <w:b/>
                  <w:color w:val="FFFFFF"/>
                  <w:sz w:val="24"/>
                </w:rPr>
                <w:t>Internal protocols should be developed about the new laws</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57">
              <w:r>
                <w:rPr>
                  <w:b/>
                  <w:color w:val="FFFFFF"/>
                  <w:sz w:val="24"/>
                </w:rPr>
                <w:t>213</w:t>
              </w:r>
            </w:hyperlink>
          </w:p>
        </w:tc>
        <w:tc>
          <w:tcPr>
            <w:tcW w:w="8115" w:type="dxa"/>
            <w:shd w:val="clear" w:color="auto" w:fill="37617A"/>
          </w:tcPr>
          <w:p>
            <w:pPr>
              <w:pStyle w:val="TableParagraph"/>
              <w:ind w:left="56"/>
              <w:rPr>
                <w:b/>
                <w:sz w:val="24"/>
              </w:rPr>
            </w:pPr>
            <w:hyperlink w:history="true" w:anchor="_bookmark157">
              <w:r>
                <w:rPr>
                  <w:b/>
                  <w:color w:val="FFFFFF"/>
                  <w:sz w:val="24"/>
                </w:rPr>
                <w:t>Information for the community about reforms</w:t>
              </w:r>
            </w:hyperlink>
          </w:p>
        </w:tc>
      </w:tr>
    </w:tbl>
    <w:p>
      <w:pPr>
        <w:spacing w:after="0"/>
        <w:rPr>
          <w:sz w:val="24"/>
        </w:rPr>
        <w:sectPr>
          <w:headerReference w:type="default" r:id="rId251"/>
          <w:headerReference w:type="even" r:id="rId252"/>
          <w:pgSz w:w="11910" w:h="16840"/>
          <w:pgMar w:header="0" w:footer="0" w:top="600" w:bottom="280" w:left="620" w:right="380"/>
        </w:sectPr>
      </w:pPr>
    </w:p>
    <w:p>
      <w:pPr>
        <w:pStyle w:val="BodyText"/>
        <w:rPr>
          <w:rFonts w:ascii="Raleway ExtraBold"/>
          <w:b/>
        </w:rPr>
      </w:pPr>
    </w:p>
    <w:p>
      <w:pPr>
        <w:pStyle w:val="BodyText"/>
        <w:rPr>
          <w:rFonts w:ascii="Raleway ExtraBold"/>
          <w:b/>
        </w:rPr>
      </w:pPr>
    </w:p>
    <w:p>
      <w:pPr>
        <w:pStyle w:val="BodyText"/>
        <w:spacing w:before="10"/>
        <w:rPr>
          <w:rFonts w:ascii="Raleway ExtraBold"/>
          <w:b/>
          <w:sz w:val="23"/>
        </w:rPr>
      </w:pPr>
    </w:p>
    <w:p>
      <w:pPr>
        <w:pStyle w:val="ListParagraph"/>
        <w:numPr>
          <w:ilvl w:val="0"/>
          <w:numId w:val="12"/>
        </w:numPr>
        <w:tabs>
          <w:tab w:pos="1117" w:val="left" w:leader="none"/>
        </w:tabs>
        <w:spacing w:line="184" w:lineRule="auto" w:before="129" w:after="0"/>
        <w:ind w:left="230" w:right="3095" w:firstLine="0"/>
        <w:jc w:val="left"/>
        <w:rPr>
          <w:rFonts w:ascii="Raleway ExtraBold"/>
          <w:b/>
          <w:sz w:val="56"/>
        </w:rPr>
      </w:pPr>
      <w:bookmarkStart w:name="18. Encouraging change in the legal prof" w:id="355"/>
      <w:bookmarkEnd w:id="355"/>
      <w:r>
        <w:rPr/>
      </w:r>
      <w:bookmarkStart w:name="Overview" w:id="356"/>
      <w:bookmarkEnd w:id="356"/>
      <w:r>
        <w:rPr/>
      </w:r>
      <w:bookmarkStart w:name="Cultural change is needed for legal refo" w:id="357"/>
      <w:bookmarkEnd w:id="357"/>
      <w:r>
        <w:rPr/>
      </w:r>
      <w:bookmarkStart w:name="_bookmark150" w:id="358"/>
      <w:bookmarkEnd w:id="358"/>
      <w:r>
        <w:rPr/>
      </w:r>
      <w:bookmarkStart w:name="_bookmark150" w:id="359"/>
      <w:bookmarkEnd w:id="359"/>
      <w:r>
        <w:rPr>
          <w:rFonts w:ascii="Raleway ExtraBold"/>
          <w:b/>
          <w:color w:val="37617A"/>
          <w:spacing w:val="-4"/>
          <w:sz w:val="56"/>
        </w:rPr>
        <w:t>E</w:t>
      </w:r>
      <w:r>
        <w:rPr>
          <w:rFonts w:ascii="Raleway ExtraBold"/>
          <w:b/>
          <w:color w:val="37617A"/>
          <w:spacing w:val="-4"/>
          <w:sz w:val="56"/>
        </w:rPr>
        <w:t>ncouraging </w:t>
      </w:r>
      <w:r>
        <w:rPr>
          <w:rFonts w:ascii="Raleway ExtraBold"/>
          <w:b/>
          <w:color w:val="37617A"/>
          <w:spacing w:val="-3"/>
          <w:sz w:val="56"/>
        </w:rPr>
        <w:t>change </w:t>
      </w:r>
      <w:r>
        <w:rPr>
          <w:rFonts w:ascii="Raleway ExtraBold"/>
          <w:b/>
          <w:color w:val="37617A"/>
          <w:sz w:val="56"/>
        </w:rPr>
        <w:t>in </w:t>
      </w:r>
      <w:r>
        <w:rPr>
          <w:rFonts w:ascii="Raleway ExtraBold"/>
          <w:b/>
          <w:color w:val="37617A"/>
          <w:spacing w:val="-3"/>
          <w:sz w:val="56"/>
        </w:rPr>
        <w:t>the </w:t>
      </w:r>
      <w:r>
        <w:rPr>
          <w:rFonts w:ascii="Raleway ExtraBold"/>
          <w:b/>
          <w:color w:val="37617A"/>
          <w:spacing w:val="-4"/>
          <w:sz w:val="56"/>
        </w:rPr>
        <w:t>legal profession </w:t>
      </w:r>
      <w:r>
        <w:rPr>
          <w:rFonts w:ascii="Raleway ExtraBold"/>
          <w:b/>
          <w:color w:val="37617A"/>
          <w:sz w:val="56"/>
        </w:rPr>
        <w:t>and </w:t>
      </w:r>
      <w:r>
        <w:rPr>
          <w:rFonts w:ascii="Raleway ExtraBold"/>
          <w:b/>
          <w:color w:val="37617A"/>
          <w:spacing w:val="-4"/>
          <w:sz w:val="56"/>
        </w:rPr>
        <w:t>the community</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3"/>
        <w:rPr>
          <w:rFonts w:ascii="Raleway ExtraBold"/>
          <w:b/>
          <w:sz w:val="13"/>
        </w:rPr>
      </w:pPr>
      <w:r>
        <w:rPr/>
        <w:pict>
          <v:line style="position:absolute;mso-position-horizontal-relative:page;mso-position-vertical-relative:paragraph;z-index:10736;mso-wrap-distance-left:0;mso-wrap-distance-right:0" from="79.370102pt,11.41156pt" to="515.905102pt,11.41156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2157" w:right="2218" w:hanging="86"/>
        <w:jc w:val="left"/>
        <w:rPr>
          <w:rFonts w:ascii="Trebuchet MS" w:hAnsi="Trebuchet MS"/>
          <w:sz w:val="19"/>
        </w:rPr>
      </w:pPr>
      <w:r>
        <w:rPr>
          <w:rFonts w:ascii="Trebuchet MS" w:hAnsi="Trebuchet MS"/>
          <w:i/>
          <w:color w:val="37617A"/>
          <w:sz w:val="20"/>
        </w:rPr>
        <w:t>The best way to address misconceptions about the ability of people with </w:t>
      </w:r>
      <w:r>
        <w:rPr>
          <w:rFonts w:ascii="Trebuchet MS" w:hAnsi="Trebuchet MS"/>
          <w:i/>
          <w:color w:val="37617A"/>
          <w:w w:val="108"/>
          <w:sz w:val="20"/>
        </w:rPr>
        <w:t>d</w:t>
      </w:r>
      <w:r>
        <w:rPr>
          <w:rFonts w:ascii="Trebuchet MS" w:hAnsi="Trebuchet MS"/>
          <w:i/>
          <w:color w:val="37617A"/>
          <w:w w:val="73"/>
          <w:sz w:val="20"/>
        </w:rPr>
        <w:t>i</w:t>
      </w:r>
      <w:r>
        <w:rPr>
          <w:rFonts w:ascii="Trebuchet MS" w:hAnsi="Trebuchet MS"/>
          <w:i/>
          <w:color w:val="37617A"/>
          <w:w w:val="117"/>
          <w:sz w:val="20"/>
        </w:rPr>
        <w:t>s</w:t>
      </w:r>
      <w:r>
        <w:rPr>
          <w:rFonts w:ascii="Trebuchet MS" w:hAnsi="Trebuchet MS"/>
          <w:i/>
          <w:color w:val="37617A"/>
          <w:w w:val="115"/>
          <w:sz w:val="20"/>
        </w:rPr>
        <w:t>a</w:t>
      </w:r>
      <w:r>
        <w:rPr>
          <w:rFonts w:ascii="Trebuchet MS" w:hAnsi="Trebuchet MS"/>
          <w:i/>
          <w:color w:val="37617A"/>
          <w:w w:val="107"/>
          <w:sz w:val="20"/>
        </w:rPr>
        <w:t>b</w:t>
      </w:r>
      <w:r>
        <w:rPr>
          <w:rFonts w:ascii="Trebuchet MS" w:hAnsi="Trebuchet MS"/>
          <w:i/>
          <w:color w:val="37617A"/>
          <w:w w:val="73"/>
          <w:sz w:val="20"/>
        </w:rPr>
        <w:t>i</w:t>
      </w:r>
      <w:r>
        <w:rPr>
          <w:rFonts w:ascii="Trebuchet MS" w:hAnsi="Trebuchet MS"/>
          <w:i/>
          <w:color w:val="37617A"/>
          <w:w w:val="87"/>
          <w:sz w:val="20"/>
        </w:rPr>
        <w:t>l</w:t>
      </w:r>
      <w:r>
        <w:rPr>
          <w:rFonts w:ascii="Trebuchet MS" w:hAnsi="Trebuchet MS"/>
          <w:i/>
          <w:color w:val="37617A"/>
          <w:w w:val="73"/>
          <w:sz w:val="20"/>
        </w:rPr>
        <w:t>i</w:t>
      </w:r>
      <w:r>
        <w:rPr>
          <w:rFonts w:ascii="Trebuchet MS" w:hAnsi="Trebuchet MS"/>
          <w:i/>
          <w:color w:val="37617A"/>
          <w:w w:val="80"/>
          <w:sz w:val="20"/>
        </w:rPr>
        <w:t>t</w:t>
      </w:r>
      <w:r>
        <w:rPr>
          <w:rFonts w:ascii="Trebuchet MS" w:hAnsi="Trebuchet MS"/>
          <w:i/>
          <w:color w:val="37617A"/>
          <w:w w:val="73"/>
          <w:sz w:val="20"/>
        </w:rPr>
        <w:t>i</w:t>
      </w:r>
      <w:r>
        <w:rPr>
          <w:rFonts w:ascii="Trebuchet MS" w:hAnsi="Trebuchet MS"/>
          <w:i/>
          <w:color w:val="37617A"/>
          <w:w w:val="100"/>
          <w:sz w:val="20"/>
        </w:rPr>
        <w:t>e</w:t>
      </w:r>
      <w:r>
        <w:rPr>
          <w:rFonts w:ascii="Trebuchet MS" w:hAnsi="Trebuchet MS"/>
          <w:i/>
          <w:color w:val="37617A"/>
          <w:w w:val="117"/>
          <w:sz w:val="20"/>
        </w:rPr>
        <w:t>s</w:t>
      </w:r>
      <w:r>
        <w:rPr>
          <w:rFonts w:ascii="Trebuchet MS" w:hAnsi="Trebuchet MS"/>
          <w:i/>
          <w:color w:val="37617A"/>
          <w:sz w:val="20"/>
        </w:rPr>
        <w:t> </w:t>
      </w:r>
      <w:r>
        <w:rPr>
          <w:rFonts w:ascii="Trebuchet MS" w:hAnsi="Trebuchet MS"/>
          <w:i/>
          <w:color w:val="37617A"/>
          <w:w w:val="80"/>
          <w:sz w:val="20"/>
        </w:rPr>
        <w:t>t</w:t>
      </w:r>
      <w:r>
        <w:rPr>
          <w:rFonts w:ascii="Trebuchet MS" w:hAnsi="Trebuchet MS"/>
          <w:i/>
          <w:color w:val="37617A"/>
          <w:w w:val="107"/>
          <w:sz w:val="20"/>
        </w:rPr>
        <w:t>o</w:t>
      </w:r>
      <w:r>
        <w:rPr>
          <w:rFonts w:ascii="Trebuchet MS" w:hAnsi="Trebuchet MS"/>
          <w:i/>
          <w:color w:val="37617A"/>
          <w:sz w:val="20"/>
        </w:rPr>
        <w:t> </w:t>
      </w:r>
      <w:r>
        <w:rPr>
          <w:rFonts w:ascii="Trebuchet MS" w:hAnsi="Trebuchet MS"/>
          <w:i/>
          <w:color w:val="37617A"/>
          <w:w w:val="117"/>
          <w:sz w:val="20"/>
        </w:rPr>
        <w:t>s</w:t>
      </w:r>
      <w:r>
        <w:rPr>
          <w:rFonts w:ascii="Trebuchet MS" w:hAnsi="Trebuchet MS"/>
          <w:i/>
          <w:color w:val="37617A"/>
          <w:w w:val="100"/>
          <w:sz w:val="20"/>
        </w:rPr>
        <w:t>e</w:t>
      </w:r>
      <w:r>
        <w:rPr>
          <w:rFonts w:ascii="Trebuchet MS" w:hAnsi="Trebuchet MS"/>
          <w:i/>
          <w:color w:val="37617A"/>
          <w:w w:val="84"/>
          <w:sz w:val="20"/>
        </w:rPr>
        <w:t>r</w:t>
      </w:r>
      <w:r>
        <w:rPr>
          <w:rFonts w:ascii="Trebuchet MS" w:hAnsi="Trebuchet MS"/>
          <w:i/>
          <w:color w:val="37617A"/>
          <w:w w:val="103"/>
          <w:sz w:val="20"/>
        </w:rPr>
        <w:t>v</w:t>
      </w:r>
      <w:r>
        <w:rPr>
          <w:rFonts w:ascii="Trebuchet MS" w:hAnsi="Trebuchet MS"/>
          <w:i/>
          <w:color w:val="37617A"/>
          <w:w w:val="100"/>
          <w:sz w:val="20"/>
        </w:rPr>
        <w:t>e</w:t>
      </w:r>
      <w:r>
        <w:rPr>
          <w:rFonts w:ascii="Trebuchet MS" w:hAnsi="Trebuchet MS"/>
          <w:i/>
          <w:color w:val="37617A"/>
          <w:sz w:val="20"/>
        </w:rPr>
        <w:t> </w:t>
      </w:r>
      <w:r>
        <w:rPr>
          <w:rFonts w:ascii="Trebuchet MS" w:hAnsi="Trebuchet MS"/>
          <w:i/>
          <w:color w:val="37617A"/>
          <w:w w:val="115"/>
          <w:sz w:val="20"/>
        </w:rPr>
        <w:t>a</w:t>
      </w:r>
      <w:r>
        <w:rPr>
          <w:rFonts w:ascii="Trebuchet MS" w:hAnsi="Trebuchet MS"/>
          <w:i/>
          <w:color w:val="37617A"/>
          <w:w w:val="117"/>
          <w:sz w:val="20"/>
        </w:rPr>
        <w:t>s</w:t>
      </w:r>
      <w:r>
        <w:rPr>
          <w:rFonts w:ascii="Trebuchet MS" w:hAnsi="Trebuchet MS"/>
          <w:i/>
          <w:color w:val="37617A"/>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w w:val="84"/>
          <w:sz w:val="20"/>
        </w:rPr>
        <w:t>r</w:t>
      </w:r>
      <w:r>
        <w:rPr>
          <w:rFonts w:ascii="Trebuchet MS" w:hAnsi="Trebuchet MS"/>
          <w:i/>
          <w:color w:val="37617A"/>
          <w:w w:val="107"/>
          <w:sz w:val="20"/>
        </w:rPr>
        <w:t>o</w:t>
      </w:r>
      <w:r>
        <w:rPr>
          <w:rFonts w:ascii="Trebuchet MS" w:hAnsi="Trebuchet MS"/>
          <w:i/>
          <w:color w:val="37617A"/>
          <w:w w:val="84"/>
          <w:sz w:val="20"/>
        </w:rPr>
        <w:t>r</w:t>
      </w:r>
      <w:r>
        <w:rPr>
          <w:rFonts w:ascii="Trebuchet MS" w:hAnsi="Trebuchet MS"/>
          <w:i/>
          <w:color w:val="37617A"/>
          <w:w w:val="117"/>
          <w:sz w:val="20"/>
        </w:rPr>
        <w:t>s</w:t>
      </w:r>
      <w:r>
        <w:rPr>
          <w:rFonts w:ascii="Trebuchet MS" w:hAnsi="Trebuchet MS"/>
          <w:i/>
          <w:color w:val="37617A"/>
          <w:w w:val="56"/>
          <w:sz w:val="20"/>
        </w:rPr>
        <w:t>,</w:t>
      </w:r>
      <w:r>
        <w:rPr>
          <w:rFonts w:ascii="Trebuchet MS" w:hAnsi="Trebuchet MS"/>
          <w:i/>
          <w:color w:val="37617A"/>
          <w:sz w:val="20"/>
        </w:rPr>
        <w:t> </w:t>
      </w:r>
      <w:r>
        <w:rPr>
          <w:rFonts w:ascii="Trebuchet MS" w:hAnsi="Trebuchet MS"/>
          <w:i/>
          <w:color w:val="37617A"/>
          <w:w w:val="73"/>
          <w:sz w:val="20"/>
        </w:rPr>
        <w:t>i</w:t>
      </w:r>
      <w:r>
        <w:rPr>
          <w:rFonts w:ascii="Trebuchet MS" w:hAnsi="Trebuchet MS"/>
          <w:i/>
          <w:color w:val="37617A"/>
          <w:w w:val="117"/>
          <w:sz w:val="20"/>
        </w:rPr>
        <w:t>s</w:t>
      </w:r>
      <w:r>
        <w:rPr>
          <w:rFonts w:ascii="Trebuchet MS" w:hAnsi="Trebuchet MS"/>
          <w:i/>
          <w:color w:val="37617A"/>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w w:val="117"/>
          <w:sz w:val="20"/>
        </w:rPr>
        <w:t>s</w:t>
      </w:r>
      <w:r>
        <w:rPr>
          <w:rFonts w:ascii="Trebuchet MS" w:hAnsi="Trebuchet MS"/>
          <w:i/>
          <w:color w:val="37617A"/>
          <w:w w:val="80"/>
          <w:sz w:val="20"/>
        </w:rPr>
        <w:t>t</w:t>
      </w:r>
      <w:r>
        <w:rPr>
          <w:rFonts w:ascii="Trebuchet MS" w:hAnsi="Trebuchet MS"/>
          <w:i/>
          <w:color w:val="37617A"/>
          <w:sz w:val="20"/>
        </w:rPr>
        <w:t> </w:t>
      </w:r>
      <w:r>
        <w:rPr>
          <w:rFonts w:ascii="Trebuchet MS" w:hAnsi="Trebuchet MS"/>
          <w:i/>
          <w:color w:val="37617A"/>
          <w:w w:val="80"/>
          <w:sz w:val="20"/>
        </w:rPr>
        <w:t>t</w:t>
      </w:r>
      <w:r>
        <w:rPr>
          <w:rFonts w:ascii="Trebuchet MS" w:hAnsi="Trebuchet MS"/>
          <w:i/>
          <w:color w:val="37617A"/>
          <w:w w:val="107"/>
          <w:sz w:val="20"/>
        </w:rPr>
        <w:t>o</w:t>
      </w:r>
      <w:r>
        <w:rPr>
          <w:rFonts w:ascii="Trebuchet MS" w:hAnsi="Trebuchet MS"/>
          <w:i/>
          <w:color w:val="37617A"/>
          <w:sz w:val="20"/>
        </w:rPr>
        <w:t> </w:t>
      </w:r>
      <w:r>
        <w:rPr>
          <w:rFonts w:ascii="Trebuchet MS" w:hAnsi="Trebuchet MS"/>
          <w:i/>
          <w:color w:val="37617A"/>
          <w:w w:val="119"/>
          <w:sz w:val="20"/>
        </w:rPr>
        <w:t>g</w:t>
      </w:r>
      <w:r>
        <w:rPr>
          <w:rFonts w:ascii="Trebuchet MS" w:hAnsi="Trebuchet MS"/>
          <w:i/>
          <w:color w:val="37617A"/>
          <w:w w:val="100"/>
          <w:sz w:val="20"/>
        </w:rPr>
        <w:t>e</w:t>
      </w:r>
      <w:r>
        <w:rPr>
          <w:rFonts w:ascii="Trebuchet MS" w:hAnsi="Trebuchet MS"/>
          <w:i/>
          <w:color w:val="37617A"/>
          <w:w w:val="80"/>
          <w:sz w:val="20"/>
        </w:rPr>
        <w:t>t</w:t>
      </w:r>
      <w:r>
        <w:rPr>
          <w:rFonts w:ascii="Trebuchet MS" w:hAnsi="Trebuchet MS"/>
          <w:i/>
          <w:color w:val="37617A"/>
          <w:sz w:val="20"/>
        </w:rPr>
        <w:t> </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z w:val="20"/>
        </w:rPr>
        <w:t> </w:t>
      </w:r>
      <w:r>
        <w:rPr>
          <w:rFonts w:ascii="Trebuchet MS" w:hAnsi="Trebuchet MS"/>
          <w:i/>
          <w:color w:val="37617A"/>
          <w:w w:val="115"/>
          <w:sz w:val="20"/>
        </w:rPr>
        <w:t>a</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z w:val="20"/>
        </w:rPr>
        <w:t> </w:t>
      </w:r>
      <w:r>
        <w:rPr>
          <w:rFonts w:ascii="Trebuchet MS" w:hAnsi="Trebuchet MS"/>
          <w:i/>
          <w:color w:val="37617A"/>
          <w:w w:val="108"/>
          <w:sz w:val="20"/>
        </w:rPr>
        <w:t>d</w:t>
      </w:r>
      <w:r>
        <w:rPr>
          <w:rFonts w:ascii="Trebuchet MS" w:hAnsi="Trebuchet MS"/>
          <w:i/>
          <w:color w:val="37617A"/>
          <w:w w:val="107"/>
          <w:sz w:val="20"/>
        </w:rPr>
        <w:t>o</w:t>
      </w:r>
      <w:r>
        <w:rPr>
          <w:rFonts w:ascii="Trebuchet MS" w:hAnsi="Trebuchet MS"/>
          <w:i/>
          <w:color w:val="37617A"/>
          <w:sz w:val="20"/>
        </w:rPr>
        <w:t> </w:t>
      </w:r>
      <w:r>
        <w:rPr>
          <w:rFonts w:ascii="Trebuchet MS" w:hAnsi="Trebuchet MS"/>
          <w:i/>
          <w:color w:val="37617A"/>
          <w:w w:val="73"/>
          <w:sz w:val="20"/>
        </w:rPr>
        <w:t>i</w:t>
      </w:r>
      <w:r>
        <w:rPr>
          <w:rFonts w:ascii="Trebuchet MS" w:hAnsi="Trebuchet MS"/>
          <w:i/>
          <w:color w:val="37617A"/>
          <w:w w:val="80"/>
          <w:sz w:val="20"/>
        </w:rPr>
        <w:t>t</w:t>
      </w:r>
      <w:r>
        <w:rPr>
          <w:rFonts w:ascii="Trebuchet MS" w:hAnsi="Trebuchet MS"/>
          <w:i/>
          <w:color w:val="37617A"/>
          <w:w w:val="54"/>
          <w:sz w:val="20"/>
        </w:rPr>
        <w:t>.</w:t>
      </w:r>
      <w:r>
        <w:rPr>
          <w:rFonts w:ascii="Trebuchet MS" w:hAnsi="Trebuchet MS"/>
          <w:i/>
          <w:color w:val="37617A"/>
          <w:w w:val="87"/>
          <w:position w:val="7"/>
          <w:sz w:val="11"/>
        </w:rPr>
        <w:t>1</w:t>
      </w:r>
      <w:r>
        <w:rPr>
          <w:rFonts w:ascii="Trebuchet MS" w:hAnsi="Trebuchet MS"/>
          <w:color w:val="37617A"/>
          <w:w w:val="124"/>
          <w:sz w:val="19"/>
        </w:rPr>
        <w:t>—</w:t>
      </w:r>
      <w:r>
        <w:rPr>
          <w:rFonts w:ascii="Trebuchet MS" w:hAnsi="Trebuchet MS"/>
          <w:color w:val="37617A"/>
          <w:w w:val="111"/>
          <w:sz w:val="19"/>
        </w:rPr>
        <w:t>Da</w:t>
      </w:r>
      <w:r>
        <w:rPr>
          <w:rFonts w:ascii="Trebuchet MS" w:hAnsi="Trebuchet MS"/>
          <w:color w:val="37617A"/>
          <w:w w:val="107"/>
          <w:sz w:val="19"/>
        </w:rPr>
        <w:t>n</w:t>
      </w:r>
      <w:r>
        <w:rPr>
          <w:rFonts w:ascii="Trebuchet MS" w:hAnsi="Trebuchet MS"/>
          <w:color w:val="37617A"/>
          <w:w w:val="80"/>
          <w:sz w:val="19"/>
        </w:rPr>
        <w:t>i</w:t>
      </w:r>
      <w:r>
        <w:rPr>
          <w:rFonts w:ascii="Trebuchet MS" w:hAnsi="Trebuchet MS"/>
          <w:color w:val="37617A"/>
          <w:w w:val="108"/>
          <w:sz w:val="19"/>
        </w:rPr>
        <w:t>e</w:t>
      </w:r>
      <w:r>
        <w:rPr>
          <w:rFonts w:ascii="Trebuchet MS" w:hAnsi="Trebuchet MS"/>
          <w:color w:val="37617A"/>
          <w:w w:val="96"/>
          <w:sz w:val="19"/>
        </w:rPr>
        <w:t>l</w:t>
      </w:r>
      <w:r>
        <w:rPr>
          <w:rFonts w:ascii="Trebuchet MS" w:hAnsi="Trebuchet MS"/>
          <w:color w:val="37617A"/>
          <w:sz w:val="19"/>
        </w:rPr>
        <w:t> </w:t>
      </w:r>
      <w:r>
        <w:rPr>
          <w:rFonts w:ascii="Trebuchet MS" w:hAnsi="Trebuchet MS"/>
          <w:color w:val="37617A"/>
          <w:w w:val="126"/>
          <w:sz w:val="19"/>
        </w:rPr>
        <w:t>S</w:t>
      </w:r>
      <w:r>
        <w:rPr>
          <w:rFonts w:ascii="Trebuchet MS" w:hAnsi="Trebuchet MS"/>
          <w:color w:val="37617A"/>
          <w:w w:val="88"/>
          <w:sz w:val="19"/>
        </w:rPr>
        <w:t>t</w:t>
      </w:r>
      <w:r>
        <w:rPr>
          <w:rFonts w:ascii="Trebuchet MS" w:hAnsi="Trebuchet MS"/>
          <w:color w:val="37617A"/>
          <w:w w:val="111"/>
          <w:sz w:val="19"/>
        </w:rPr>
        <w:t>ubb</w:t>
      </w:r>
      <w:r>
        <w:rPr>
          <w:rFonts w:ascii="Trebuchet MS" w:hAnsi="Trebuchet MS"/>
          <w:color w:val="37617A"/>
          <w:w w:val="122"/>
          <w:sz w:val="19"/>
        </w:rPr>
        <w:t>s</w:t>
      </w:r>
    </w:p>
    <w:p>
      <w:pPr>
        <w:pStyle w:val="BodyText"/>
        <w:spacing w:before="6"/>
        <w:rPr>
          <w:rFonts w:ascii="Trebuchet MS"/>
          <w:sz w:val="9"/>
        </w:rPr>
      </w:pPr>
      <w:r>
        <w:rPr/>
        <w:pict>
          <v:line style="position:absolute;mso-position-horizontal-relative:page;mso-position-vertical-relative:paragraph;z-index:10760;mso-wrap-distance-left:0;mso-wrap-distance-right:0" from="79.370102pt,7.728664pt" to="515.905102pt,7.728664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120"/>
        </w:numPr>
        <w:tabs>
          <w:tab w:pos="2157" w:val="left" w:leader="none"/>
          <w:tab w:pos="2158" w:val="left" w:leader="none"/>
        </w:tabs>
        <w:spacing w:line="259" w:lineRule="exact" w:before="114" w:after="0"/>
        <w:ind w:left="2157" w:right="0" w:hanging="396"/>
        <w:jc w:val="left"/>
        <w:rPr>
          <w:sz w:val="20"/>
        </w:rPr>
      </w:pPr>
      <w:r>
        <w:rPr>
          <w:sz w:val="20"/>
        </w:rPr>
        <w:t>The</w:t>
      </w:r>
      <w:r>
        <w:rPr>
          <w:spacing w:val="-6"/>
          <w:sz w:val="20"/>
        </w:rPr>
        <w:t> </w:t>
      </w:r>
      <w:r>
        <w:rPr>
          <w:sz w:val="20"/>
        </w:rPr>
        <w:t>legal</w:t>
      </w:r>
      <w:r>
        <w:rPr>
          <w:spacing w:val="-5"/>
          <w:sz w:val="20"/>
        </w:rPr>
        <w:t> </w:t>
      </w:r>
      <w:r>
        <w:rPr>
          <w:sz w:val="20"/>
        </w:rPr>
        <w:t>profession</w:t>
      </w:r>
      <w:r>
        <w:rPr>
          <w:spacing w:val="-5"/>
          <w:sz w:val="20"/>
        </w:rPr>
        <w:t> </w:t>
      </w:r>
      <w:r>
        <w:rPr>
          <w:spacing w:val="-3"/>
          <w:sz w:val="20"/>
        </w:rPr>
        <w:t>would</w:t>
      </w:r>
      <w:r>
        <w:rPr>
          <w:spacing w:val="-5"/>
          <w:sz w:val="20"/>
        </w:rPr>
        <w:t> </w:t>
      </w:r>
      <w:r>
        <w:rPr>
          <w:sz w:val="20"/>
        </w:rPr>
        <w:t>benefit</w:t>
      </w:r>
      <w:r>
        <w:rPr>
          <w:spacing w:val="-5"/>
          <w:sz w:val="20"/>
        </w:rPr>
        <w:t> </w:t>
      </w:r>
      <w:r>
        <w:rPr>
          <w:spacing w:val="-3"/>
          <w:sz w:val="20"/>
        </w:rPr>
        <w:t>from</w:t>
      </w:r>
      <w:r>
        <w:rPr>
          <w:spacing w:val="-5"/>
          <w:sz w:val="20"/>
        </w:rPr>
        <w:t> </w:t>
      </w:r>
      <w:r>
        <w:rPr>
          <w:sz w:val="20"/>
        </w:rPr>
        <w:t>disability</w:t>
      </w:r>
      <w:r>
        <w:rPr>
          <w:spacing w:val="-6"/>
          <w:sz w:val="20"/>
        </w:rPr>
        <w:t> </w:t>
      </w:r>
      <w:r>
        <w:rPr>
          <w:spacing w:val="-3"/>
          <w:sz w:val="20"/>
        </w:rPr>
        <w:t>awareness</w:t>
      </w:r>
      <w:r>
        <w:rPr>
          <w:spacing w:val="-5"/>
          <w:sz w:val="20"/>
        </w:rPr>
        <w:t> </w:t>
      </w:r>
      <w:r>
        <w:rPr>
          <w:sz w:val="20"/>
        </w:rPr>
        <w:t>training</w:t>
      </w:r>
      <w:r>
        <w:rPr>
          <w:spacing w:val="-5"/>
          <w:sz w:val="20"/>
        </w:rPr>
        <w:t> </w:t>
      </w:r>
      <w:r>
        <w:rPr>
          <w:sz w:val="20"/>
        </w:rPr>
        <w:t>and</w:t>
      </w:r>
    </w:p>
    <w:p>
      <w:pPr>
        <w:pStyle w:val="BodyText"/>
        <w:spacing w:line="259" w:lineRule="exact"/>
        <w:ind w:left="2157"/>
      </w:pPr>
      <w:r>
        <w:rPr/>
        <w:t>education about new laws and processes.</w:t>
      </w:r>
    </w:p>
    <w:p>
      <w:pPr>
        <w:pStyle w:val="ListParagraph"/>
        <w:numPr>
          <w:ilvl w:val="0"/>
          <w:numId w:val="120"/>
        </w:numPr>
        <w:tabs>
          <w:tab w:pos="2157" w:val="left" w:leader="none"/>
          <w:tab w:pos="2158" w:val="left" w:leader="none"/>
        </w:tabs>
        <w:spacing w:line="240" w:lineRule="auto" w:before="47" w:after="0"/>
        <w:ind w:left="2157" w:right="0" w:hanging="396"/>
        <w:jc w:val="left"/>
        <w:rPr>
          <w:sz w:val="20"/>
        </w:rPr>
      </w:pPr>
      <w:r>
        <w:rPr>
          <w:sz w:val="20"/>
        </w:rPr>
        <w:t>The</w:t>
      </w:r>
      <w:r>
        <w:rPr>
          <w:spacing w:val="-6"/>
          <w:sz w:val="20"/>
        </w:rPr>
        <w:t> </w:t>
      </w:r>
      <w:r>
        <w:rPr>
          <w:sz w:val="20"/>
        </w:rPr>
        <w:t>public</w:t>
      </w:r>
      <w:r>
        <w:rPr>
          <w:spacing w:val="-6"/>
          <w:sz w:val="20"/>
        </w:rPr>
        <w:t> </w:t>
      </w:r>
      <w:r>
        <w:rPr>
          <w:sz w:val="20"/>
        </w:rPr>
        <w:t>needs</w:t>
      </w:r>
      <w:r>
        <w:rPr>
          <w:spacing w:val="-5"/>
          <w:sz w:val="20"/>
        </w:rPr>
        <w:t> </w:t>
      </w:r>
      <w:r>
        <w:rPr>
          <w:sz w:val="20"/>
        </w:rPr>
        <w:t>accessible</w:t>
      </w:r>
      <w:r>
        <w:rPr>
          <w:spacing w:val="-6"/>
          <w:sz w:val="20"/>
        </w:rPr>
        <w:t> </w:t>
      </w:r>
      <w:r>
        <w:rPr>
          <w:sz w:val="20"/>
        </w:rPr>
        <w:t>information</w:t>
      </w:r>
      <w:r>
        <w:rPr>
          <w:spacing w:val="-5"/>
          <w:sz w:val="20"/>
        </w:rPr>
        <w:t> </w:t>
      </w:r>
      <w:r>
        <w:rPr>
          <w:sz w:val="20"/>
        </w:rPr>
        <w:t>about</w:t>
      </w:r>
      <w:r>
        <w:rPr>
          <w:spacing w:val="-6"/>
          <w:sz w:val="20"/>
        </w:rPr>
        <w:t> </w:t>
      </w:r>
      <w:r>
        <w:rPr>
          <w:spacing w:val="-3"/>
          <w:sz w:val="20"/>
        </w:rPr>
        <w:t>how</w:t>
      </w:r>
      <w:r>
        <w:rPr>
          <w:spacing w:val="-5"/>
          <w:sz w:val="20"/>
        </w:rPr>
        <w:t> </w:t>
      </w:r>
      <w:r>
        <w:rPr>
          <w:sz w:val="20"/>
        </w:rPr>
        <w:t>the</w:t>
      </w:r>
      <w:r>
        <w:rPr>
          <w:spacing w:val="-6"/>
          <w:sz w:val="20"/>
        </w:rPr>
        <w:t> </w:t>
      </w:r>
      <w:r>
        <w:rPr>
          <w:sz w:val="20"/>
        </w:rPr>
        <w:t>new</w:t>
      </w:r>
      <w:r>
        <w:rPr>
          <w:spacing w:val="-5"/>
          <w:sz w:val="20"/>
        </w:rPr>
        <w:t> </w:t>
      </w:r>
      <w:r>
        <w:rPr>
          <w:spacing w:val="-3"/>
          <w:sz w:val="20"/>
        </w:rPr>
        <w:t>laws</w:t>
      </w:r>
      <w:r>
        <w:rPr>
          <w:spacing w:val="-6"/>
          <w:sz w:val="20"/>
        </w:rPr>
        <w:t> </w:t>
      </w:r>
      <w:r>
        <w:rPr>
          <w:sz w:val="20"/>
        </w:rPr>
        <w:t>operate.</w:t>
      </w:r>
    </w:p>
    <w:p>
      <w:pPr>
        <w:spacing w:before="186"/>
        <w:ind w:left="967" w:right="0" w:firstLine="0"/>
        <w:jc w:val="left"/>
        <w:rPr>
          <w:rFonts w:ascii="Raleway ExtraBold"/>
          <w:b/>
          <w:sz w:val="28"/>
        </w:rPr>
      </w:pPr>
      <w:r>
        <w:rPr>
          <w:rFonts w:ascii="Raleway ExtraBold"/>
          <w:b/>
          <w:color w:val="37617A"/>
          <w:sz w:val="28"/>
        </w:rPr>
        <w:t>Cultural change is needed for legal reform to be effective</w:t>
      </w:r>
    </w:p>
    <w:p>
      <w:pPr>
        <w:pStyle w:val="ListParagraph"/>
        <w:numPr>
          <w:ilvl w:val="1"/>
          <w:numId w:val="12"/>
        </w:numPr>
        <w:tabs>
          <w:tab w:pos="1761" w:val="left" w:leader="none"/>
          <w:tab w:pos="1762" w:val="left" w:leader="none"/>
        </w:tabs>
        <w:spacing w:line="206" w:lineRule="auto" w:before="146" w:after="0"/>
        <w:ind w:left="1761" w:right="1326" w:hanging="794"/>
        <w:jc w:val="left"/>
        <w:rPr>
          <w:sz w:val="20"/>
        </w:rPr>
      </w:pPr>
      <w:r>
        <w:rPr>
          <w:sz w:val="20"/>
        </w:rPr>
        <w:t>In </w:t>
      </w:r>
      <w:r>
        <w:rPr>
          <w:spacing w:val="-2"/>
          <w:sz w:val="20"/>
        </w:rPr>
        <w:t>Chapter </w:t>
      </w:r>
      <w:r>
        <w:rPr>
          <w:sz w:val="20"/>
        </w:rPr>
        <w:t>9 </w:t>
      </w:r>
      <w:r>
        <w:rPr>
          <w:spacing w:val="-3"/>
          <w:sz w:val="20"/>
        </w:rPr>
        <w:t>we </w:t>
      </w:r>
      <w:r>
        <w:rPr>
          <w:sz w:val="20"/>
        </w:rPr>
        <w:t>identified concerns about whether people who </w:t>
      </w:r>
      <w:r>
        <w:rPr>
          <w:spacing w:val="-3"/>
          <w:sz w:val="20"/>
        </w:rPr>
        <w:t>are </w:t>
      </w:r>
      <w:r>
        <w:rPr>
          <w:spacing w:val="-4"/>
          <w:sz w:val="20"/>
        </w:rPr>
        <w:t>deaf, </w:t>
      </w:r>
      <w:r>
        <w:rPr>
          <w:sz w:val="20"/>
        </w:rPr>
        <w:t>hard of hearing,</w:t>
      </w:r>
      <w:r>
        <w:rPr>
          <w:spacing w:val="-10"/>
          <w:sz w:val="20"/>
        </w:rPr>
        <w:t> </w:t>
      </w:r>
      <w:r>
        <w:rPr>
          <w:sz w:val="20"/>
        </w:rPr>
        <w:t>blind</w:t>
      </w:r>
      <w:r>
        <w:rPr>
          <w:spacing w:val="-10"/>
          <w:sz w:val="20"/>
        </w:rPr>
        <w:t> </w:t>
      </w:r>
      <w:r>
        <w:rPr>
          <w:sz w:val="20"/>
        </w:rPr>
        <w:t>or</w:t>
      </w:r>
      <w:r>
        <w:rPr>
          <w:spacing w:val="-10"/>
          <w:sz w:val="20"/>
        </w:rPr>
        <w:t> </w:t>
      </w:r>
      <w:r>
        <w:rPr>
          <w:spacing w:val="-4"/>
          <w:sz w:val="20"/>
        </w:rPr>
        <w:t>have</w:t>
      </w:r>
      <w:r>
        <w:rPr>
          <w:spacing w:val="-10"/>
          <w:sz w:val="20"/>
        </w:rPr>
        <w:t> </w:t>
      </w:r>
      <w:r>
        <w:rPr>
          <w:spacing w:val="-4"/>
          <w:sz w:val="20"/>
        </w:rPr>
        <w:t>low</w:t>
      </w:r>
      <w:r>
        <w:rPr>
          <w:spacing w:val="-10"/>
          <w:sz w:val="20"/>
        </w:rPr>
        <w:t> </w:t>
      </w:r>
      <w:r>
        <w:rPr>
          <w:sz w:val="20"/>
        </w:rPr>
        <w:t>vision</w:t>
      </w:r>
      <w:r>
        <w:rPr>
          <w:spacing w:val="-10"/>
          <w:sz w:val="20"/>
        </w:rPr>
        <w:t> </w:t>
      </w:r>
      <w:r>
        <w:rPr>
          <w:spacing w:val="-3"/>
          <w:sz w:val="20"/>
        </w:rPr>
        <w:t>are</w:t>
      </w:r>
      <w:r>
        <w:rPr>
          <w:spacing w:val="-9"/>
          <w:sz w:val="20"/>
        </w:rPr>
        <w:t> </w:t>
      </w:r>
      <w:r>
        <w:rPr>
          <w:sz w:val="20"/>
        </w:rPr>
        <w:t>capable</w:t>
      </w:r>
      <w:r>
        <w:rPr>
          <w:spacing w:val="-10"/>
          <w:sz w:val="20"/>
        </w:rPr>
        <w:t> </w:t>
      </w:r>
      <w:r>
        <w:rPr>
          <w:sz w:val="20"/>
        </w:rPr>
        <w:t>of</w:t>
      </w:r>
      <w:r>
        <w:rPr>
          <w:spacing w:val="-10"/>
          <w:sz w:val="20"/>
        </w:rPr>
        <w:t> </w:t>
      </w:r>
      <w:r>
        <w:rPr>
          <w:sz w:val="20"/>
        </w:rPr>
        <w:t>serving</w:t>
      </w:r>
      <w:r>
        <w:rPr>
          <w:spacing w:val="-10"/>
          <w:sz w:val="20"/>
        </w:rPr>
        <w:t> </w:t>
      </w:r>
      <w:r>
        <w:rPr>
          <w:sz w:val="20"/>
        </w:rPr>
        <w:t>as</w:t>
      </w:r>
      <w:r>
        <w:rPr>
          <w:spacing w:val="-10"/>
          <w:sz w:val="20"/>
        </w:rPr>
        <w:t> </w:t>
      </w:r>
      <w:r>
        <w:rPr>
          <w:sz w:val="20"/>
        </w:rPr>
        <w:t>jurors.</w:t>
      </w:r>
      <w:r>
        <w:rPr>
          <w:spacing w:val="-10"/>
          <w:sz w:val="20"/>
        </w:rPr>
        <w:t> </w:t>
      </w:r>
      <w:r>
        <w:rPr>
          <w:sz w:val="20"/>
        </w:rPr>
        <w:t>Some</w:t>
      </w:r>
      <w:r>
        <w:rPr>
          <w:spacing w:val="-9"/>
          <w:sz w:val="20"/>
        </w:rPr>
        <w:t> </w:t>
      </w:r>
      <w:r>
        <w:rPr>
          <w:sz w:val="20"/>
        </w:rPr>
        <w:t>people</w:t>
      </w:r>
      <w:r>
        <w:rPr>
          <w:spacing w:val="-10"/>
          <w:sz w:val="20"/>
        </w:rPr>
        <w:t> </w:t>
      </w:r>
      <w:r>
        <w:rPr>
          <w:sz w:val="20"/>
        </w:rPr>
        <w:t>believe that</w:t>
      </w:r>
      <w:r>
        <w:rPr>
          <w:spacing w:val="-9"/>
          <w:sz w:val="20"/>
        </w:rPr>
        <w:t> </w:t>
      </w:r>
      <w:r>
        <w:rPr>
          <w:sz w:val="20"/>
        </w:rPr>
        <w:t>people</w:t>
      </w:r>
      <w:r>
        <w:rPr>
          <w:spacing w:val="-8"/>
          <w:sz w:val="20"/>
        </w:rPr>
        <w:t> </w:t>
      </w:r>
      <w:r>
        <w:rPr>
          <w:sz w:val="20"/>
        </w:rPr>
        <w:t>in</w:t>
      </w:r>
      <w:r>
        <w:rPr>
          <w:spacing w:val="-8"/>
          <w:sz w:val="20"/>
        </w:rPr>
        <w:t> </w:t>
      </w:r>
      <w:r>
        <w:rPr>
          <w:sz w:val="20"/>
        </w:rPr>
        <w:t>the</w:t>
      </w:r>
      <w:r>
        <w:rPr>
          <w:spacing w:val="-8"/>
          <w:sz w:val="20"/>
        </w:rPr>
        <w:t> </w:t>
      </w:r>
      <w:r>
        <w:rPr>
          <w:sz w:val="20"/>
        </w:rPr>
        <w:t>subject</w:t>
      </w:r>
      <w:r>
        <w:rPr>
          <w:spacing w:val="-8"/>
          <w:sz w:val="20"/>
        </w:rPr>
        <w:t> </w:t>
      </w:r>
      <w:r>
        <w:rPr>
          <w:sz w:val="20"/>
        </w:rPr>
        <w:t>groups</w:t>
      </w:r>
      <w:r>
        <w:rPr>
          <w:spacing w:val="-8"/>
          <w:sz w:val="20"/>
        </w:rPr>
        <w:t> </w:t>
      </w:r>
      <w:r>
        <w:rPr>
          <w:spacing w:val="-3"/>
          <w:sz w:val="20"/>
        </w:rPr>
        <w:t>are</w:t>
      </w:r>
      <w:r>
        <w:rPr>
          <w:spacing w:val="-8"/>
          <w:sz w:val="20"/>
        </w:rPr>
        <w:t> </w:t>
      </w:r>
      <w:r>
        <w:rPr>
          <w:sz w:val="20"/>
        </w:rPr>
        <w:t>incapable</w:t>
      </w:r>
      <w:r>
        <w:rPr>
          <w:spacing w:val="-8"/>
          <w:sz w:val="20"/>
        </w:rPr>
        <w:t> </w:t>
      </w:r>
      <w:r>
        <w:rPr>
          <w:i/>
          <w:sz w:val="20"/>
        </w:rPr>
        <w:t>because</w:t>
      </w:r>
      <w:r>
        <w:rPr>
          <w:i/>
          <w:spacing w:val="-8"/>
          <w:sz w:val="20"/>
        </w:rPr>
        <w:t> </w:t>
      </w:r>
      <w:r>
        <w:rPr>
          <w:i/>
          <w:sz w:val="20"/>
        </w:rPr>
        <w:t>of</w:t>
      </w:r>
      <w:r>
        <w:rPr>
          <w:i/>
          <w:spacing w:val="-8"/>
          <w:sz w:val="20"/>
        </w:rPr>
        <w:t> </w:t>
      </w:r>
      <w:r>
        <w:rPr>
          <w:sz w:val="20"/>
        </w:rPr>
        <w:t>their</w:t>
      </w:r>
      <w:r>
        <w:rPr>
          <w:spacing w:val="-10"/>
          <w:sz w:val="20"/>
        </w:rPr>
        <w:t> </w:t>
      </w:r>
      <w:r>
        <w:rPr>
          <w:sz w:val="20"/>
        </w:rPr>
        <w:t>disability</w:t>
      </w:r>
      <w:r>
        <w:rPr>
          <w:i/>
          <w:sz w:val="20"/>
        </w:rPr>
        <w:t>.</w:t>
      </w:r>
      <w:r>
        <w:rPr>
          <w:i/>
          <w:spacing w:val="-7"/>
          <w:sz w:val="20"/>
        </w:rPr>
        <w:t> </w:t>
      </w:r>
      <w:r>
        <w:rPr>
          <w:sz w:val="20"/>
        </w:rPr>
        <w:t>Some</w:t>
      </w:r>
    </w:p>
    <w:p>
      <w:pPr>
        <w:pStyle w:val="BodyText"/>
        <w:spacing w:line="206" w:lineRule="auto" w:before="3"/>
        <w:ind w:left="1761" w:right="1335"/>
        <w:rPr>
          <w:sz w:val="11"/>
        </w:rPr>
      </w:pPr>
      <w:r>
        <w:rPr>
          <w:spacing w:val="-3"/>
        </w:rPr>
        <w:t>views</w:t>
      </w:r>
      <w:r>
        <w:rPr>
          <w:spacing w:val="-13"/>
        </w:rPr>
        <w:t> </w:t>
      </w:r>
      <w:r>
        <w:rPr>
          <w:spacing w:val="-3"/>
        </w:rPr>
        <w:t>are</w:t>
      </w:r>
      <w:r>
        <w:rPr>
          <w:spacing w:val="-12"/>
        </w:rPr>
        <w:t> </w:t>
      </w:r>
      <w:r>
        <w:rPr/>
        <w:t>grounded</w:t>
      </w:r>
      <w:r>
        <w:rPr>
          <w:spacing w:val="-12"/>
        </w:rPr>
        <w:t> </w:t>
      </w:r>
      <w:r>
        <w:rPr/>
        <w:t>in</w:t>
      </w:r>
      <w:r>
        <w:rPr>
          <w:spacing w:val="-12"/>
        </w:rPr>
        <w:t> </w:t>
      </w:r>
      <w:r>
        <w:rPr/>
        <w:t>discriminatory</w:t>
      </w:r>
      <w:r>
        <w:rPr>
          <w:spacing w:val="-12"/>
        </w:rPr>
        <w:t> </w:t>
      </w:r>
      <w:r>
        <w:rPr/>
        <w:t>beliefs</w:t>
      </w:r>
      <w:r>
        <w:rPr>
          <w:spacing w:val="-12"/>
        </w:rPr>
        <w:t> </w:t>
      </w:r>
      <w:r>
        <w:rPr/>
        <w:t>and</w:t>
      </w:r>
      <w:r>
        <w:rPr>
          <w:spacing w:val="-12"/>
        </w:rPr>
        <w:t> </w:t>
      </w:r>
      <w:r>
        <w:rPr/>
        <w:t>misconceptions</w:t>
      </w:r>
      <w:r>
        <w:rPr>
          <w:spacing w:val="-12"/>
        </w:rPr>
        <w:t> </w:t>
      </w:r>
      <w:r>
        <w:rPr/>
        <w:t>about</w:t>
      </w:r>
      <w:r>
        <w:rPr>
          <w:spacing w:val="-12"/>
        </w:rPr>
        <w:t> </w:t>
      </w:r>
      <w:r>
        <w:rPr/>
        <w:t>people</w:t>
      </w:r>
      <w:r>
        <w:rPr>
          <w:spacing w:val="-12"/>
        </w:rPr>
        <w:t> </w:t>
      </w:r>
      <w:r>
        <w:rPr/>
        <w:t>with disabilities.</w:t>
      </w:r>
      <w:r>
        <w:rPr>
          <w:position w:val="7"/>
          <w:sz w:val="11"/>
        </w:rPr>
        <w:t>2</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Consultees </w:t>
      </w:r>
      <w:r>
        <w:rPr>
          <w:spacing w:val="-3"/>
          <w:sz w:val="20"/>
        </w:rPr>
        <w:t>from </w:t>
      </w:r>
      <w:r>
        <w:rPr>
          <w:sz w:val="20"/>
        </w:rPr>
        <w:t>the Victorian Criminal Bar Association</w:t>
      </w:r>
      <w:r>
        <w:rPr>
          <w:spacing w:val="-33"/>
          <w:sz w:val="20"/>
        </w:rPr>
        <w:t> </w:t>
      </w:r>
      <w:r>
        <w:rPr>
          <w:sz w:val="20"/>
        </w:rPr>
        <w:t>recognised:</w:t>
      </w:r>
    </w:p>
    <w:p>
      <w:pPr>
        <w:spacing w:line="208" w:lineRule="auto" w:before="112"/>
        <w:ind w:left="2157" w:right="1333" w:firstLine="0"/>
        <w:jc w:val="left"/>
        <w:rPr>
          <w:sz w:val="11"/>
        </w:rPr>
      </w:pPr>
      <w:r>
        <w:rPr>
          <w:sz w:val="19"/>
        </w:rPr>
        <w:t>There are wide prejudices against disabled people within the legal community. Allowing deaf/blind people onto juries is similar to allowing women to sit on juries. Similarly, a bureaucrat may say ‘Ahh but we don’t have the facilities’ (as they did with women) but that just isn’t good enough.</w:t>
      </w:r>
      <w:r>
        <w:rPr>
          <w:position w:val="6"/>
          <w:sz w:val="11"/>
        </w:rPr>
        <w:t>3</w:t>
      </w:r>
    </w:p>
    <w:p>
      <w:pPr>
        <w:pStyle w:val="ListParagraph"/>
        <w:numPr>
          <w:ilvl w:val="1"/>
          <w:numId w:val="12"/>
        </w:numPr>
        <w:tabs>
          <w:tab w:pos="1761" w:val="left" w:leader="none"/>
          <w:tab w:pos="1762" w:val="left" w:leader="none"/>
        </w:tabs>
        <w:spacing w:line="206" w:lineRule="auto" w:before="125" w:after="0"/>
        <w:ind w:left="1761" w:right="1337" w:hanging="794"/>
        <w:jc w:val="left"/>
        <w:rPr>
          <w:sz w:val="20"/>
        </w:rPr>
      </w:pPr>
      <w:r>
        <w:rPr>
          <w:sz w:val="20"/>
        </w:rPr>
        <w:t>Alastair</w:t>
      </w:r>
      <w:r>
        <w:rPr>
          <w:spacing w:val="-12"/>
          <w:sz w:val="20"/>
        </w:rPr>
        <w:t> </w:t>
      </w:r>
      <w:r>
        <w:rPr>
          <w:spacing w:val="-3"/>
          <w:sz w:val="20"/>
        </w:rPr>
        <w:t>McEwin</w:t>
      </w:r>
      <w:r>
        <w:rPr>
          <w:spacing w:val="-12"/>
          <w:sz w:val="20"/>
        </w:rPr>
        <w:t> </w:t>
      </w:r>
      <w:r>
        <w:rPr>
          <w:sz w:val="20"/>
        </w:rPr>
        <w:t>suggested</w:t>
      </w:r>
      <w:r>
        <w:rPr>
          <w:spacing w:val="-12"/>
          <w:sz w:val="20"/>
        </w:rPr>
        <w:t> </w:t>
      </w:r>
      <w:r>
        <w:rPr>
          <w:sz w:val="20"/>
        </w:rPr>
        <w:t>that</w:t>
      </w:r>
      <w:r>
        <w:rPr>
          <w:spacing w:val="-12"/>
          <w:sz w:val="20"/>
        </w:rPr>
        <w:t> </w:t>
      </w:r>
      <w:r>
        <w:rPr>
          <w:sz w:val="20"/>
        </w:rPr>
        <w:t>misconceptions</w:t>
      </w:r>
      <w:r>
        <w:rPr>
          <w:spacing w:val="-12"/>
          <w:sz w:val="20"/>
        </w:rPr>
        <w:t> </w:t>
      </w:r>
      <w:r>
        <w:rPr>
          <w:sz w:val="20"/>
        </w:rPr>
        <w:t>arise</w:t>
      </w:r>
      <w:r>
        <w:rPr>
          <w:spacing w:val="-12"/>
          <w:sz w:val="20"/>
        </w:rPr>
        <w:t> </w:t>
      </w:r>
      <w:r>
        <w:rPr>
          <w:sz w:val="20"/>
        </w:rPr>
        <w:t>for</w:t>
      </w:r>
      <w:r>
        <w:rPr>
          <w:spacing w:val="-12"/>
          <w:sz w:val="20"/>
        </w:rPr>
        <w:t> </w:t>
      </w:r>
      <w:r>
        <w:rPr>
          <w:sz w:val="20"/>
        </w:rPr>
        <w:t>a</w:t>
      </w:r>
      <w:r>
        <w:rPr>
          <w:spacing w:val="-12"/>
          <w:sz w:val="20"/>
        </w:rPr>
        <w:t> </w:t>
      </w:r>
      <w:r>
        <w:rPr>
          <w:sz w:val="20"/>
        </w:rPr>
        <w:t>range</w:t>
      </w:r>
      <w:r>
        <w:rPr>
          <w:spacing w:val="-12"/>
          <w:sz w:val="20"/>
        </w:rPr>
        <w:t> </w:t>
      </w:r>
      <w:r>
        <w:rPr>
          <w:sz w:val="20"/>
        </w:rPr>
        <w:t>of</w:t>
      </w:r>
      <w:r>
        <w:rPr>
          <w:spacing w:val="-12"/>
          <w:sz w:val="20"/>
        </w:rPr>
        <w:t> </w:t>
      </w:r>
      <w:r>
        <w:rPr>
          <w:sz w:val="20"/>
        </w:rPr>
        <w:t>reasons,</w:t>
      </w:r>
      <w:r>
        <w:rPr>
          <w:spacing w:val="-12"/>
          <w:sz w:val="20"/>
        </w:rPr>
        <w:t> </w:t>
      </w:r>
      <w:r>
        <w:rPr>
          <w:sz w:val="20"/>
        </w:rPr>
        <w:t>including the</w:t>
      </w:r>
      <w:r>
        <w:rPr>
          <w:spacing w:val="-6"/>
          <w:sz w:val="20"/>
        </w:rPr>
        <w:t> </w:t>
      </w:r>
      <w:r>
        <w:rPr>
          <w:sz w:val="20"/>
        </w:rPr>
        <w:t>social</w:t>
      </w:r>
      <w:r>
        <w:rPr>
          <w:spacing w:val="-6"/>
          <w:sz w:val="20"/>
        </w:rPr>
        <w:t> </w:t>
      </w:r>
      <w:r>
        <w:rPr>
          <w:sz w:val="20"/>
        </w:rPr>
        <w:t>isolation</w:t>
      </w:r>
      <w:r>
        <w:rPr>
          <w:spacing w:val="-6"/>
          <w:sz w:val="20"/>
        </w:rPr>
        <w:t> </w:t>
      </w:r>
      <w:r>
        <w:rPr>
          <w:sz w:val="20"/>
        </w:rPr>
        <w:t>of</w:t>
      </w:r>
      <w:r>
        <w:rPr>
          <w:spacing w:val="-6"/>
          <w:sz w:val="20"/>
        </w:rPr>
        <w:t> </w:t>
      </w:r>
      <w:r>
        <w:rPr>
          <w:sz w:val="20"/>
        </w:rPr>
        <w:t>deaf</w:t>
      </w:r>
      <w:r>
        <w:rPr>
          <w:spacing w:val="-6"/>
          <w:sz w:val="20"/>
        </w:rPr>
        <w:t> </w:t>
      </w:r>
      <w:r>
        <w:rPr>
          <w:sz w:val="20"/>
        </w:rPr>
        <w:t>people</w:t>
      </w:r>
      <w:r>
        <w:rPr>
          <w:spacing w:val="-6"/>
          <w:sz w:val="20"/>
        </w:rPr>
        <w:t> </w:t>
      </w:r>
      <w:r>
        <w:rPr>
          <w:spacing w:val="-3"/>
          <w:sz w:val="20"/>
        </w:rPr>
        <w:t>from</w:t>
      </w:r>
      <w:r>
        <w:rPr>
          <w:spacing w:val="-6"/>
          <w:sz w:val="20"/>
        </w:rPr>
        <w:t> </w:t>
      </w:r>
      <w:r>
        <w:rPr>
          <w:sz w:val="20"/>
        </w:rPr>
        <w:t>hearing</w:t>
      </w:r>
      <w:r>
        <w:rPr>
          <w:spacing w:val="-6"/>
          <w:sz w:val="20"/>
        </w:rPr>
        <w:t> </w:t>
      </w:r>
      <w:r>
        <w:rPr>
          <w:sz w:val="20"/>
        </w:rPr>
        <w:t>people.</w:t>
      </w:r>
      <w:r>
        <w:rPr>
          <w:spacing w:val="-6"/>
          <w:sz w:val="20"/>
        </w:rPr>
        <w:t> </w:t>
      </w:r>
      <w:r>
        <w:rPr>
          <w:sz w:val="20"/>
        </w:rPr>
        <w:t>He</w:t>
      </w:r>
      <w:r>
        <w:rPr>
          <w:spacing w:val="-6"/>
          <w:sz w:val="20"/>
        </w:rPr>
        <w:t> </w:t>
      </w:r>
      <w:r>
        <w:rPr>
          <w:sz w:val="20"/>
        </w:rPr>
        <w:t>observed</w:t>
      </w:r>
      <w:r>
        <w:rPr>
          <w:spacing w:val="-6"/>
          <w:sz w:val="20"/>
        </w:rPr>
        <w:t> </w:t>
      </w:r>
      <w:r>
        <w:rPr>
          <w:sz w:val="20"/>
        </w:rPr>
        <w:t>that:</w:t>
      </w:r>
    </w:p>
    <w:p>
      <w:pPr>
        <w:spacing w:line="208" w:lineRule="auto" w:before="120"/>
        <w:ind w:left="2157" w:right="1361" w:firstLine="0"/>
        <w:jc w:val="both"/>
        <w:rPr>
          <w:sz w:val="11"/>
        </w:rPr>
      </w:pPr>
      <w:r>
        <w:rPr>
          <w:sz w:val="19"/>
        </w:rPr>
        <w:t>When</w:t>
      </w:r>
      <w:r>
        <w:rPr>
          <w:spacing w:val="-4"/>
          <w:sz w:val="19"/>
        </w:rPr>
        <w:t> </w:t>
      </w:r>
      <w:r>
        <w:rPr>
          <w:sz w:val="19"/>
        </w:rPr>
        <w:t>empanelling</w:t>
      </w:r>
      <w:r>
        <w:rPr>
          <w:spacing w:val="-4"/>
          <w:sz w:val="19"/>
        </w:rPr>
        <w:t> </w:t>
      </w:r>
      <w:r>
        <w:rPr>
          <w:sz w:val="19"/>
        </w:rPr>
        <w:t>juries,</w:t>
      </w:r>
      <w:r>
        <w:rPr>
          <w:spacing w:val="-4"/>
          <w:sz w:val="19"/>
        </w:rPr>
        <w:t> </w:t>
      </w:r>
      <w:r>
        <w:rPr>
          <w:sz w:val="19"/>
        </w:rPr>
        <w:t>a</w:t>
      </w:r>
      <w:r>
        <w:rPr>
          <w:spacing w:val="-4"/>
          <w:sz w:val="19"/>
        </w:rPr>
        <w:t> </w:t>
      </w:r>
      <w:r>
        <w:rPr>
          <w:sz w:val="19"/>
        </w:rPr>
        <w:t>lot</w:t>
      </w:r>
      <w:r>
        <w:rPr>
          <w:spacing w:val="-3"/>
          <w:sz w:val="19"/>
        </w:rPr>
        <w:t> </w:t>
      </w:r>
      <w:r>
        <w:rPr>
          <w:sz w:val="19"/>
        </w:rPr>
        <w:t>of</w:t>
      </w:r>
      <w:r>
        <w:rPr>
          <w:spacing w:val="-4"/>
          <w:sz w:val="19"/>
        </w:rPr>
        <w:t> </w:t>
      </w:r>
      <w:r>
        <w:rPr>
          <w:sz w:val="19"/>
        </w:rPr>
        <w:t>assumptions</w:t>
      </w:r>
      <w:r>
        <w:rPr>
          <w:spacing w:val="-4"/>
          <w:sz w:val="19"/>
        </w:rPr>
        <w:t> </w:t>
      </w:r>
      <w:r>
        <w:rPr>
          <w:sz w:val="19"/>
        </w:rPr>
        <w:t>are</w:t>
      </w:r>
      <w:r>
        <w:rPr>
          <w:spacing w:val="-4"/>
          <w:sz w:val="19"/>
        </w:rPr>
        <w:t> </w:t>
      </w:r>
      <w:r>
        <w:rPr>
          <w:sz w:val="19"/>
        </w:rPr>
        <w:t>made</w:t>
      </w:r>
      <w:r>
        <w:rPr>
          <w:spacing w:val="-4"/>
          <w:sz w:val="19"/>
        </w:rPr>
        <w:t> </w:t>
      </w:r>
      <w:r>
        <w:rPr>
          <w:sz w:val="19"/>
        </w:rPr>
        <w:t>about</w:t>
      </w:r>
      <w:r>
        <w:rPr>
          <w:spacing w:val="-3"/>
          <w:sz w:val="19"/>
        </w:rPr>
        <w:t> </w:t>
      </w:r>
      <w:r>
        <w:rPr>
          <w:sz w:val="19"/>
        </w:rPr>
        <w:t>people’s</w:t>
      </w:r>
      <w:r>
        <w:rPr>
          <w:spacing w:val="-4"/>
          <w:sz w:val="19"/>
        </w:rPr>
        <w:t> </w:t>
      </w:r>
      <w:r>
        <w:rPr>
          <w:sz w:val="19"/>
        </w:rPr>
        <w:t>abilities.</w:t>
      </w:r>
      <w:r>
        <w:rPr>
          <w:spacing w:val="-4"/>
          <w:sz w:val="19"/>
        </w:rPr>
        <w:t> </w:t>
      </w:r>
      <w:r>
        <w:rPr>
          <w:sz w:val="19"/>
        </w:rPr>
        <w:t>But that</w:t>
      </w:r>
      <w:r>
        <w:rPr>
          <w:spacing w:val="-4"/>
          <w:sz w:val="19"/>
        </w:rPr>
        <w:t> </w:t>
      </w:r>
      <w:r>
        <w:rPr>
          <w:sz w:val="19"/>
        </w:rPr>
        <w:t>comes</w:t>
      </w:r>
      <w:r>
        <w:rPr>
          <w:spacing w:val="-4"/>
          <w:sz w:val="19"/>
        </w:rPr>
        <w:t> </w:t>
      </w:r>
      <w:r>
        <w:rPr>
          <w:sz w:val="19"/>
        </w:rPr>
        <w:t>from</w:t>
      </w:r>
      <w:r>
        <w:rPr>
          <w:spacing w:val="-3"/>
          <w:sz w:val="19"/>
        </w:rPr>
        <w:t> </w:t>
      </w:r>
      <w:r>
        <w:rPr>
          <w:sz w:val="19"/>
        </w:rPr>
        <w:t>a</w:t>
      </w:r>
      <w:r>
        <w:rPr>
          <w:spacing w:val="-4"/>
          <w:sz w:val="19"/>
        </w:rPr>
        <w:t> </w:t>
      </w:r>
      <w:r>
        <w:rPr>
          <w:sz w:val="19"/>
        </w:rPr>
        <w:t>lack</w:t>
      </w:r>
      <w:r>
        <w:rPr>
          <w:spacing w:val="-3"/>
          <w:sz w:val="19"/>
        </w:rPr>
        <w:t> </w:t>
      </w:r>
      <w:r>
        <w:rPr>
          <w:sz w:val="19"/>
        </w:rPr>
        <w:t>of</w:t>
      </w:r>
      <w:r>
        <w:rPr>
          <w:spacing w:val="-4"/>
          <w:sz w:val="19"/>
        </w:rPr>
        <w:t> </w:t>
      </w:r>
      <w:r>
        <w:rPr>
          <w:sz w:val="19"/>
        </w:rPr>
        <w:t>understanding</w:t>
      </w:r>
      <w:r>
        <w:rPr>
          <w:spacing w:val="-3"/>
          <w:sz w:val="19"/>
        </w:rPr>
        <w:t> </w:t>
      </w:r>
      <w:r>
        <w:rPr>
          <w:sz w:val="19"/>
        </w:rPr>
        <w:t>or</w:t>
      </w:r>
      <w:r>
        <w:rPr>
          <w:spacing w:val="-4"/>
          <w:sz w:val="19"/>
        </w:rPr>
        <w:t> </w:t>
      </w:r>
      <w:r>
        <w:rPr>
          <w:sz w:val="19"/>
        </w:rPr>
        <w:t>a</w:t>
      </w:r>
      <w:r>
        <w:rPr>
          <w:spacing w:val="-3"/>
          <w:sz w:val="19"/>
        </w:rPr>
        <w:t> </w:t>
      </w:r>
      <w:r>
        <w:rPr>
          <w:sz w:val="19"/>
        </w:rPr>
        <w:t>misconception</w:t>
      </w:r>
      <w:r>
        <w:rPr>
          <w:spacing w:val="-4"/>
          <w:sz w:val="19"/>
        </w:rPr>
        <w:t> </w:t>
      </w:r>
      <w:r>
        <w:rPr>
          <w:sz w:val="19"/>
        </w:rPr>
        <w:t>of</w:t>
      </w:r>
      <w:r>
        <w:rPr>
          <w:spacing w:val="-3"/>
          <w:sz w:val="19"/>
        </w:rPr>
        <w:t> </w:t>
      </w:r>
      <w:r>
        <w:rPr>
          <w:sz w:val="19"/>
        </w:rPr>
        <w:t>people’s</w:t>
      </w:r>
      <w:r>
        <w:rPr>
          <w:spacing w:val="-4"/>
          <w:sz w:val="19"/>
        </w:rPr>
        <w:t> </w:t>
      </w:r>
      <w:r>
        <w:rPr>
          <w:sz w:val="19"/>
        </w:rPr>
        <w:t>abilities,</w:t>
      </w:r>
      <w:r>
        <w:rPr>
          <w:spacing w:val="-3"/>
          <w:sz w:val="19"/>
        </w:rPr>
        <w:t> </w:t>
      </w:r>
      <w:r>
        <w:rPr>
          <w:sz w:val="19"/>
        </w:rPr>
        <w:t>not an actual lack of ability in many</w:t>
      </w:r>
      <w:r>
        <w:rPr>
          <w:spacing w:val="-14"/>
          <w:sz w:val="19"/>
        </w:rPr>
        <w:t> </w:t>
      </w:r>
      <w:r>
        <w:rPr>
          <w:sz w:val="19"/>
        </w:rPr>
        <w:t>cases.</w:t>
      </w:r>
      <w:r>
        <w:rPr>
          <w:position w:val="6"/>
          <w:sz w:val="11"/>
        </w:rPr>
        <w:t>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0"/>
        </w:rPr>
      </w:pPr>
      <w:r>
        <w:rPr/>
        <w:pict>
          <v:line style="position:absolute;mso-position-horizontal-relative:page;mso-position-vertical-relative:paragraph;z-index:10784;mso-wrap-distance-left:0;mso-wrap-distance-right:0" from="79.370102pt,9.776604pt" to="515.905102pt,9.776604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r>
        <w:rPr/>
        <w:pict>
          <v:rect style="position:absolute;margin-left:0pt;margin-top:99.213013pt;width:14.173pt;height:85.748pt;mso-position-horizontal-relative:page;mso-position-vertical-relative:page;z-index:12856" filled="true" fillcolor="#37617a" stroked="false">
            <v:fill type="solid"/>
            <w10:wrap type="none"/>
          </v:rect>
        </w:pict>
      </w:r>
    </w:p>
    <w:p>
      <w:pPr>
        <w:pStyle w:val="BodyText"/>
        <w:rPr>
          <w:sz w:val="22"/>
        </w:rPr>
      </w:pPr>
    </w:p>
    <w:p>
      <w:pPr>
        <w:spacing w:before="0"/>
        <w:ind w:left="100" w:right="0" w:firstLine="0"/>
        <w:jc w:val="left"/>
        <w:rPr>
          <w:b/>
          <w:sz w:val="24"/>
        </w:rPr>
      </w:pPr>
      <w:r>
        <w:rPr>
          <w:b/>
          <w:color w:val="37617A"/>
          <w:sz w:val="24"/>
        </w:rPr>
        <w:t>206</w:t>
      </w:r>
    </w:p>
    <w:p>
      <w:pPr>
        <w:pStyle w:val="ListParagraph"/>
        <w:numPr>
          <w:ilvl w:val="0"/>
          <w:numId w:val="121"/>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z w:val="13"/>
        </w:rPr>
        <w:t>Consultation 22 (Daniel Stubbs, Victorian </w:t>
      </w:r>
      <w:r>
        <w:rPr>
          <w:spacing w:val="2"/>
          <w:sz w:val="13"/>
        </w:rPr>
        <w:t>Disability </w:t>
      </w:r>
      <w:r>
        <w:rPr>
          <w:sz w:val="13"/>
        </w:rPr>
        <w:t>Worker Commissioner, in his personal</w:t>
      </w:r>
      <w:r>
        <w:rPr>
          <w:spacing w:val="10"/>
          <w:sz w:val="13"/>
        </w:rPr>
        <w:t> </w:t>
      </w:r>
      <w:r>
        <w:rPr>
          <w:sz w:val="13"/>
        </w:rPr>
        <w:t>capacity).</w:t>
      </w:r>
    </w:p>
    <w:p>
      <w:pPr>
        <w:pStyle w:val="ListParagraph"/>
        <w:numPr>
          <w:ilvl w:val="0"/>
          <w:numId w:val="121"/>
        </w:numPr>
        <w:tabs>
          <w:tab w:pos="893" w:val="left" w:leader="none"/>
          <w:tab w:pos="894" w:val="left" w:leader="none"/>
        </w:tabs>
        <w:spacing w:line="213" w:lineRule="auto" w:before="7" w:after="0"/>
        <w:ind w:left="893" w:right="1253" w:hanging="793"/>
        <w:jc w:val="left"/>
        <w:rPr>
          <w:sz w:val="13"/>
        </w:rPr>
      </w:pPr>
      <w:r>
        <w:rPr>
          <w:sz w:val="13"/>
        </w:rPr>
        <w:t>See, eg, the discussion in David </w:t>
      </w:r>
      <w:r>
        <w:rPr>
          <w:spacing w:val="2"/>
          <w:sz w:val="13"/>
        </w:rPr>
        <w:t>Spencer </w:t>
      </w:r>
      <w:r>
        <w:rPr>
          <w:sz w:val="13"/>
        </w:rPr>
        <w:t>et </w:t>
      </w:r>
      <w:r>
        <w:rPr>
          <w:spacing w:val="2"/>
          <w:sz w:val="13"/>
        </w:rPr>
        <w:t>al, </w:t>
      </w:r>
      <w:r>
        <w:rPr>
          <w:sz w:val="13"/>
        </w:rPr>
        <w:t>‘Justice Is </w:t>
      </w:r>
      <w:r>
        <w:rPr>
          <w:spacing w:val="2"/>
          <w:sz w:val="13"/>
        </w:rPr>
        <w:t>Blind </w:t>
      </w:r>
      <w:r>
        <w:rPr>
          <w:sz w:val="13"/>
        </w:rPr>
        <w:t>as Long as It Isn’t Deaf: Excluding Deaf People from </w:t>
      </w:r>
      <w:r>
        <w:rPr>
          <w:spacing w:val="2"/>
          <w:sz w:val="13"/>
        </w:rPr>
        <w:t>Jury </w:t>
      </w:r>
      <w:r>
        <w:rPr>
          <w:sz w:val="13"/>
        </w:rPr>
        <w:t>Duty—an Australian Human Rights Breach’ (2017) </w:t>
      </w:r>
      <w:r>
        <w:rPr>
          <w:spacing w:val="2"/>
          <w:sz w:val="13"/>
        </w:rPr>
        <w:t>23(3) </w:t>
      </w:r>
      <w:r>
        <w:rPr>
          <w:i/>
          <w:sz w:val="13"/>
        </w:rPr>
        <w:t>Australian Journal of Human </w:t>
      </w:r>
      <w:r>
        <w:rPr>
          <w:i/>
          <w:spacing w:val="2"/>
          <w:sz w:val="13"/>
        </w:rPr>
        <w:t>Rights </w:t>
      </w:r>
      <w:r>
        <w:rPr>
          <w:sz w:val="13"/>
        </w:rPr>
        <w:t>332,</w:t>
      </w:r>
      <w:r>
        <w:rPr>
          <w:spacing w:val="8"/>
          <w:sz w:val="13"/>
        </w:rPr>
        <w:t> </w:t>
      </w:r>
      <w:r>
        <w:rPr>
          <w:spacing w:val="3"/>
          <w:sz w:val="13"/>
        </w:rPr>
        <w:t>341.</w:t>
      </w:r>
    </w:p>
    <w:p>
      <w:pPr>
        <w:pStyle w:val="ListParagraph"/>
        <w:numPr>
          <w:ilvl w:val="0"/>
          <w:numId w:val="121"/>
        </w:numPr>
        <w:tabs>
          <w:tab w:pos="893" w:val="left" w:leader="none"/>
          <w:tab w:pos="894" w:val="left" w:leader="none"/>
        </w:tabs>
        <w:spacing w:line="153" w:lineRule="exact" w:before="0" w:after="0"/>
        <w:ind w:left="893" w:right="0" w:hanging="793"/>
        <w:jc w:val="left"/>
        <w:rPr>
          <w:sz w:val="13"/>
        </w:rPr>
      </w:pPr>
      <w:r>
        <w:rPr>
          <w:sz w:val="13"/>
        </w:rPr>
        <w:t>Consultation 4 </w:t>
      </w:r>
      <w:r>
        <w:rPr>
          <w:spacing w:val="2"/>
          <w:sz w:val="13"/>
        </w:rPr>
        <w:t>(Victorian </w:t>
      </w:r>
      <w:r>
        <w:rPr>
          <w:sz w:val="13"/>
        </w:rPr>
        <w:t>Criminal Bar</w:t>
      </w:r>
      <w:r>
        <w:rPr>
          <w:spacing w:val="-1"/>
          <w:sz w:val="13"/>
        </w:rPr>
        <w:t> </w:t>
      </w:r>
      <w:r>
        <w:rPr>
          <w:sz w:val="13"/>
        </w:rPr>
        <w:t>Association).</w:t>
      </w:r>
    </w:p>
    <w:p>
      <w:pPr>
        <w:pStyle w:val="ListParagraph"/>
        <w:numPr>
          <w:ilvl w:val="0"/>
          <w:numId w:val="121"/>
        </w:numPr>
        <w:tabs>
          <w:tab w:pos="893" w:val="left" w:leader="none"/>
          <w:tab w:pos="894" w:val="left" w:leader="none"/>
        </w:tabs>
        <w:spacing w:line="213" w:lineRule="auto" w:before="6" w:after="0"/>
        <w:ind w:left="893" w:right="1305" w:hanging="793"/>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spacing w:after="0" w:line="213" w:lineRule="auto"/>
        <w:jc w:val="left"/>
        <w:rPr>
          <w:sz w:val="13"/>
        </w:rPr>
        <w:sectPr>
          <w:type w:val="continuous"/>
          <w:pgSz w:w="11910" w:h="16840"/>
          <w:pgMar w:top="620" w:bottom="280" w:left="620" w:right="380"/>
          <w:cols w:num="2" w:equalWidth="0">
            <w:col w:w="569" w:space="298"/>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391" w:hanging="794"/>
        <w:jc w:val="left"/>
        <w:rPr>
          <w:sz w:val="11"/>
        </w:rPr>
      </w:pPr>
      <w:bookmarkStart w:name="Disability awareness training for the le" w:id="360"/>
      <w:bookmarkEnd w:id="360"/>
      <w:r>
        <w:rPr/>
      </w:r>
      <w:bookmarkStart w:name="_bookmark151" w:id="361"/>
      <w:bookmarkEnd w:id="361"/>
      <w:r>
        <w:rPr/>
      </w:r>
      <w:bookmarkStart w:name="_bookmark151" w:id="362"/>
      <w:bookmarkEnd w:id="362"/>
      <w:r>
        <w:rPr>
          <w:spacing w:val="-6"/>
          <w:sz w:val="20"/>
        </w:rPr>
        <w:t>W</w:t>
      </w:r>
      <w:r>
        <w:rPr>
          <w:spacing w:val="-6"/>
          <w:sz w:val="20"/>
        </w:rPr>
        <w:t>e </w:t>
      </w:r>
      <w:r>
        <w:rPr>
          <w:sz w:val="20"/>
        </w:rPr>
        <w:t>also </w:t>
      </w:r>
      <w:r>
        <w:rPr>
          <w:spacing w:val="-3"/>
          <w:sz w:val="20"/>
        </w:rPr>
        <w:t>explored </w:t>
      </w:r>
      <w:r>
        <w:rPr>
          <w:sz w:val="20"/>
        </w:rPr>
        <w:t>the concerns of legal professionals about the accuracy and equivalency of Auslan-interpreted evidence</w:t>
      </w:r>
      <w:r>
        <w:rPr>
          <w:position w:val="7"/>
          <w:sz w:val="11"/>
        </w:rPr>
        <w:t>5 </w:t>
      </w:r>
      <w:r>
        <w:rPr>
          <w:sz w:val="20"/>
        </w:rPr>
        <w:t>and the training and qualifications of Auslan</w:t>
      </w:r>
      <w:r>
        <w:rPr>
          <w:spacing w:val="-6"/>
          <w:sz w:val="20"/>
        </w:rPr>
        <w:t> </w:t>
      </w:r>
      <w:r>
        <w:rPr>
          <w:spacing w:val="-3"/>
          <w:sz w:val="20"/>
        </w:rPr>
        <w:t>interpreters</w:t>
      </w:r>
      <w:r>
        <w:rPr>
          <w:spacing w:val="-6"/>
          <w:sz w:val="20"/>
        </w:rPr>
        <w:t> </w:t>
      </w:r>
      <w:r>
        <w:rPr>
          <w:sz w:val="20"/>
        </w:rPr>
        <w:t>in</w:t>
      </w:r>
      <w:r>
        <w:rPr>
          <w:spacing w:val="-6"/>
          <w:sz w:val="20"/>
        </w:rPr>
        <w:t> </w:t>
      </w:r>
      <w:r>
        <w:rPr>
          <w:spacing w:val="-2"/>
          <w:sz w:val="20"/>
        </w:rPr>
        <w:t>Chapter</w:t>
      </w:r>
      <w:r>
        <w:rPr>
          <w:spacing w:val="-6"/>
          <w:sz w:val="20"/>
        </w:rPr>
        <w:t> </w:t>
      </w:r>
      <w:r>
        <w:rPr>
          <w:sz w:val="20"/>
        </w:rPr>
        <w:t>9.</w:t>
      </w:r>
      <w:r>
        <w:rPr>
          <w:position w:val="7"/>
          <w:sz w:val="11"/>
        </w:rPr>
        <w:t>6</w:t>
      </w:r>
      <w:r>
        <w:rPr>
          <w:spacing w:val="19"/>
          <w:position w:val="7"/>
          <w:sz w:val="11"/>
        </w:rPr>
        <w:t> </w:t>
      </w:r>
      <w:r>
        <w:rPr>
          <w:sz w:val="20"/>
        </w:rPr>
        <w:t>Concerns</w:t>
      </w:r>
      <w:r>
        <w:rPr>
          <w:spacing w:val="-6"/>
          <w:sz w:val="20"/>
        </w:rPr>
        <w:t> </w:t>
      </w:r>
      <w:r>
        <w:rPr>
          <w:spacing w:val="-4"/>
          <w:sz w:val="20"/>
        </w:rPr>
        <w:t>have</w:t>
      </w:r>
      <w:r>
        <w:rPr>
          <w:spacing w:val="-5"/>
          <w:sz w:val="20"/>
        </w:rPr>
        <w:t> </w:t>
      </w:r>
      <w:r>
        <w:rPr>
          <w:sz w:val="20"/>
        </w:rPr>
        <w:t>also</w:t>
      </w:r>
      <w:r>
        <w:rPr>
          <w:spacing w:val="-6"/>
          <w:sz w:val="20"/>
        </w:rPr>
        <w:t> </w:t>
      </w:r>
      <w:r>
        <w:rPr>
          <w:sz w:val="20"/>
        </w:rPr>
        <w:t>been</w:t>
      </w:r>
      <w:r>
        <w:rPr>
          <w:spacing w:val="-6"/>
          <w:sz w:val="20"/>
        </w:rPr>
        <w:t> </w:t>
      </w:r>
      <w:r>
        <w:rPr>
          <w:sz w:val="20"/>
        </w:rPr>
        <w:t>raised</w:t>
      </w:r>
      <w:r>
        <w:rPr>
          <w:spacing w:val="-6"/>
          <w:sz w:val="20"/>
        </w:rPr>
        <w:t> </w:t>
      </w:r>
      <w:r>
        <w:rPr>
          <w:sz w:val="20"/>
        </w:rPr>
        <w:t>about</w:t>
      </w:r>
      <w:r>
        <w:rPr>
          <w:spacing w:val="-6"/>
          <w:sz w:val="20"/>
        </w:rPr>
        <w:t> </w:t>
      </w:r>
      <w:r>
        <w:rPr>
          <w:spacing w:val="-3"/>
          <w:sz w:val="20"/>
        </w:rPr>
        <w:t>having</w:t>
      </w:r>
      <w:r>
        <w:rPr>
          <w:spacing w:val="-6"/>
          <w:sz w:val="20"/>
        </w:rPr>
        <w:t> </w:t>
      </w:r>
      <w:r>
        <w:rPr>
          <w:sz w:val="20"/>
        </w:rPr>
        <w:t>a</w:t>
      </w:r>
      <w:r>
        <w:rPr>
          <w:spacing w:val="-6"/>
          <w:sz w:val="20"/>
        </w:rPr>
        <w:t> </w:t>
      </w:r>
      <w:r>
        <w:rPr>
          <w:sz w:val="20"/>
        </w:rPr>
        <w:t>13th person in the jury</w:t>
      </w:r>
      <w:r>
        <w:rPr>
          <w:spacing w:val="-17"/>
          <w:sz w:val="20"/>
        </w:rPr>
        <w:t> </w:t>
      </w:r>
      <w:r>
        <w:rPr>
          <w:spacing w:val="-3"/>
          <w:sz w:val="20"/>
        </w:rPr>
        <w:t>room.</w:t>
      </w:r>
      <w:r>
        <w:rPr>
          <w:spacing w:val="-3"/>
          <w:position w:val="7"/>
          <w:sz w:val="11"/>
        </w:rPr>
        <w:t>7</w:t>
      </w:r>
    </w:p>
    <w:p>
      <w:pPr>
        <w:pStyle w:val="ListParagraph"/>
        <w:numPr>
          <w:ilvl w:val="1"/>
          <w:numId w:val="12"/>
        </w:numPr>
        <w:tabs>
          <w:tab w:pos="1761" w:val="left" w:leader="none"/>
          <w:tab w:pos="1762" w:val="left" w:leader="none"/>
        </w:tabs>
        <w:spacing w:line="206" w:lineRule="auto" w:before="125" w:after="0"/>
        <w:ind w:left="1761" w:right="1456" w:hanging="794"/>
        <w:jc w:val="left"/>
        <w:rPr>
          <w:sz w:val="20"/>
        </w:rPr>
      </w:pPr>
      <w:r>
        <w:rPr>
          <w:spacing w:val="-3"/>
          <w:sz w:val="20"/>
        </w:rPr>
        <w:t>Research </w:t>
      </w:r>
      <w:r>
        <w:rPr>
          <w:spacing w:val="-2"/>
          <w:sz w:val="20"/>
        </w:rPr>
        <w:t>examining </w:t>
      </w:r>
      <w:r>
        <w:rPr>
          <w:sz w:val="20"/>
        </w:rPr>
        <w:t>the feasibility of jury service for deaf jurors and long-standing </w:t>
      </w:r>
      <w:r>
        <w:rPr>
          <w:spacing w:val="-3"/>
          <w:sz w:val="20"/>
        </w:rPr>
        <w:t>overseas </w:t>
      </w:r>
      <w:r>
        <w:rPr>
          <w:sz w:val="20"/>
        </w:rPr>
        <w:t>practices facilitating jury service with adjustments </w:t>
      </w:r>
      <w:r>
        <w:rPr>
          <w:spacing w:val="-3"/>
          <w:sz w:val="20"/>
        </w:rPr>
        <w:t>may </w:t>
      </w:r>
      <w:r>
        <w:rPr>
          <w:sz w:val="20"/>
        </w:rPr>
        <w:t>not be well known in the legal </w:t>
      </w:r>
      <w:r>
        <w:rPr>
          <w:spacing w:val="-3"/>
          <w:sz w:val="20"/>
        </w:rPr>
        <w:t>community. </w:t>
      </w:r>
      <w:r>
        <w:rPr>
          <w:sz w:val="20"/>
        </w:rPr>
        <w:t>Sometimes concerns about </w:t>
      </w:r>
      <w:r>
        <w:rPr>
          <w:spacing w:val="-3"/>
          <w:sz w:val="20"/>
        </w:rPr>
        <w:t>reform </w:t>
      </w:r>
      <w:r>
        <w:rPr>
          <w:sz w:val="20"/>
        </w:rPr>
        <w:t>arise because of a lack of understanding about </w:t>
      </w:r>
      <w:r>
        <w:rPr>
          <w:spacing w:val="-3"/>
          <w:sz w:val="20"/>
        </w:rPr>
        <w:t>how </w:t>
      </w:r>
      <w:r>
        <w:rPr>
          <w:sz w:val="20"/>
        </w:rPr>
        <w:t>adjustments </w:t>
      </w:r>
      <w:r>
        <w:rPr>
          <w:spacing w:val="-3"/>
          <w:sz w:val="20"/>
        </w:rPr>
        <w:t>work </w:t>
      </w:r>
      <w:r>
        <w:rPr>
          <w:sz w:val="20"/>
        </w:rPr>
        <w:t>in practice to enable jury service. Recommendations</w:t>
      </w:r>
      <w:r>
        <w:rPr>
          <w:spacing w:val="-9"/>
          <w:sz w:val="20"/>
        </w:rPr>
        <w:t> </w:t>
      </w:r>
      <w:r>
        <w:rPr>
          <w:sz w:val="20"/>
        </w:rPr>
        <w:t>in</w:t>
      </w:r>
      <w:r>
        <w:rPr>
          <w:spacing w:val="-9"/>
          <w:sz w:val="20"/>
        </w:rPr>
        <w:t> </w:t>
      </w:r>
      <w:r>
        <w:rPr>
          <w:spacing w:val="-2"/>
          <w:sz w:val="20"/>
        </w:rPr>
        <w:t>Chapters</w:t>
      </w:r>
      <w:r>
        <w:rPr>
          <w:spacing w:val="-9"/>
          <w:sz w:val="20"/>
        </w:rPr>
        <w:t> </w:t>
      </w:r>
      <w:r>
        <w:rPr>
          <w:sz w:val="20"/>
        </w:rPr>
        <w:t>14</w:t>
      </w:r>
      <w:r>
        <w:rPr>
          <w:spacing w:val="-9"/>
          <w:sz w:val="20"/>
        </w:rPr>
        <w:t> </w:t>
      </w:r>
      <w:r>
        <w:rPr>
          <w:sz w:val="20"/>
        </w:rPr>
        <w:t>and</w:t>
      </w:r>
      <w:r>
        <w:rPr>
          <w:spacing w:val="-8"/>
          <w:sz w:val="20"/>
        </w:rPr>
        <w:t> </w:t>
      </w:r>
      <w:r>
        <w:rPr>
          <w:sz w:val="20"/>
        </w:rPr>
        <w:t>15</w:t>
      </w:r>
      <w:r>
        <w:rPr>
          <w:spacing w:val="-9"/>
          <w:sz w:val="20"/>
        </w:rPr>
        <w:t> </w:t>
      </w:r>
      <w:r>
        <w:rPr>
          <w:sz w:val="20"/>
        </w:rPr>
        <w:t>aim</w:t>
      </w:r>
      <w:r>
        <w:rPr>
          <w:spacing w:val="-9"/>
          <w:sz w:val="20"/>
        </w:rPr>
        <w:t> </w:t>
      </w:r>
      <w:r>
        <w:rPr>
          <w:sz w:val="20"/>
        </w:rPr>
        <w:t>to</w:t>
      </w:r>
      <w:r>
        <w:rPr>
          <w:spacing w:val="-9"/>
          <w:sz w:val="20"/>
        </w:rPr>
        <w:t> </w:t>
      </w:r>
      <w:r>
        <w:rPr>
          <w:spacing w:val="-4"/>
          <w:sz w:val="20"/>
        </w:rPr>
        <w:t>improve</w:t>
      </w:r>
      <w:r>
        <w:rPr>
          <w:spacing w:val="-9"/>
          <w:sz w:val="20"/>
        </w:rPr>
        <w:t> </w:t>
      </w:r>
      <w:r>
        <w:rPr>
          <w:sz w:val="20"/>
        </w:rPr>
        <w:t>the</w:t>
      </w:r>
      <w:r>
        <w:rPr>
          <w:spacing w:val="-8"/>
          <w:sz w:val="20"/>
        </w:rPr>
        <w:t> </w:t>
      </w:r>
      <w:r>
        <w:rPr>
          <w:sz w:val="20"/>
        </w:rPr>
        <w:t>understanding</w:t>
      </w:r>
      <w:r>
        <w:rPr>
          <w:spacing w:val="-9"/>
          <w:sz w:val="20"/>
        </w:rPr>
        <w:t> </w:t>
      </w:r>
      <w:r>
        <w:rPr>
          <w:sz w:val="20"/>
        </w:rPr>
        <w:t>amongst legal</w:t>
      </w:r>
      <w:r>
        <w:rPr>
          <w:spacing w:val="-12"/>
          <w:sz w:val="20"/>
        </w:rPr>
        <w:t> </w:t>
      </w:r>
      <w:r>
        <w:rPr>
          <w:sz w:val="20"/>
        </w:rPr>
        <w:t>professionals</w:t>
      </w:r>
      <w:r>
        <w:rPr>
          <w:spacing w:val="-11"/>
          <w:sz w:val="20"/>
        </w:rPr>
        <w:t> </w:t>
      </w:r>
      <w:r>
        <w:rPr>
          <w:sz w:val="20"/>
        </w:rPr>
        <w:t>of</w:t>
      </w:r>
      <w:r>
        <w:rPr>
          <w:spacing w:val="-11"/>
          <w:sz w:val="20"/>
        </w:rPr>
        <w:t> </w:t>
      </w:r>
      <w:r>
        <w:rPr>
          <w:sz w:val="20"/>
        </w:rPr>
        <w:t>Auslan</w:t>
      </w:r>
      <w:r>
        <w:rPr>
          <w:spacing w:val="-11"/>
          <w:sz w:val="20"/>
        </w:rPr>
        <w:t> </w:t>
      </w:r>
      <w:r>
        <w:rPr>
          <w:spacing w:val="-3"/>
          <w:sz w:val="20"/>
        </w:rPr>
        <w:t>interpretation</w:t>
      </w:r>
      <w:r>
        <w:rPr>
          <w:spacing w:val="-11"/>
          <w:sz w:val="20"/>
        </w:rPr>
        <w:t> </w:t>
      </w:r>
      <w:r>
        <w:rPr>
          <w:sz w:val="20"/>
        </w:rPr>
        <w:t>and</w:t>
      </w:r>
      <w:r>
        <w:rPr>
          <w:spacing w:val="-11"/>
          <w:sz w:val="20"/>
        </w:rPr>
        <w:t> </w:t>
      </w:r>
      <w:r>
        <w:rPr>
          <w:sz w:val="20"/>
        </w:rPr>
        <w:t>training</w:t>
      </w:r>
      <w:r>
        <w:rPr>
          <w:spacing w:val="-11"/>
          <w:sz w:val="20"/>
        </w:rPr>
        <w:t> </w:t>
      </w:r>
      <w:r>
        <w:rPr>
          <w:sz w:val="20"/>
        </w:rPr>
        <w:t>requirements,</w:t>
      </w:r>
      <w:r>
        <w:rPr>
          <w:spacing w:val="-11"/>
          <w:sz w:val="20"/>
        </w:rPr>
        <w:t> </w:t>
      </w:r>
      <w:r>
        <w:rPr>
          <w:sz w:val="20"/>
        </w:rPr>
        <w:t>making</w:t>
      </w:r>
      <w:r>
        <w:rPr>
          <w:spacing w:val="-11"/>
          <w:sz w:val="20"/>
        </w:rPr>
        <w:t> </w:t>
      </w:r>
      <w:r>
        <w:rPr>
          <w:sz w:val="20"/>
        </w:rPr>
        <w:t>clear</w:t>
      </w:r>
    </w:p>
    <w:p>
      <w:pPr>
        <w:pStyle w:val="BodyText"/>
        <w:spacing w:line="206" w:lineRule="auto" w:before="8"/>
        <w:ind w:left="1761" w:right="1169"/>
      </w:pPr>
      <w:r>
        <w:rPr/>
        <w:t>the standards expected of Auslan </w:t>
      </w:r>
      <w:r>
        <w:rPr>
          <w:spacing w:val="-3"/>
        </w:rPr>
        <w:t>interpreters </w:t>
      </w:r>
      <w:r>
        <w:rPr/>
        <w:t>and support persons when working with jurors </w:t>
      </w:r>
      <w:r>
        <w:rPr>
          <w:spacing w:val="-3"/>
        </w:rPr>
        <w:t>from </w:t>
      </w:r>
      <w:r>
        <w:rPr/>
        <w:t>the subject groups.</w:t>
      </w:r>
    </w:p>
    <w:p>
      <w:pPr>
        <w:pStyle w:val="ListParagraph"/>
        <w:numPr>
          <w:ilvl w:val="1"/>
          <w:numId w:val="12"/>
        </w:numPr>
        <w:tabs>
          <w:tab w:pos="1761" w:val="left" w:leader="none"/>
          <w:tab w:pos="1762" w:val="left" w:leader="none"/>
        </w:tabs>
        <w:spacing w:line="206" w:lineRule="auto" w:before="122" w:after="0"/>
        <w:ind w:left="1761" w:right="1330" w:hanging="794"/>
        <w:jc w:val="left"/>
        <w:rPr>
          <w:sz w:val="20"/>
        </w:rPr>
      </w:pPr>
      <w:r>
        <w:rPr>
          <w:sz w:val="20"/>
        </w:rPr>
        <w:t>Reforms also aim to address fair trial concerns about the use of reasonable adjustments </w:t>
      </w:r>
      <w:r>
        <w:rPr>
          <w:spacing w:val="-3"/>
          <w:sz w:val="20"/>
        </w:rPr>
        <w:t>by </w:t>
      </w:r>
      <w:r>
        <w:rPr>
          <w:sz w:val="20"/>
        </w:rPr>
        <w:t>jurors to </w:t>
      </w:r>
      <w:r>
        <w:rPr>
          <w:spacing w:val="-3"/>
          <w:sz w:val="20"/>
        </w:rPr>
        <w:t>perceive </w:t>
      </w:r>
      <w:r>
        <w:rPr>
          <w:sz w:val="20"/>
        </w:rPr>
        <w:t>and comprehend certain types of </w:t>
      </w:r>
      <w:r>
        <w:rPr>
          <w:spacing w:val="-3"/>
          <w:sz w:val="20"/>
        </w:rPr>
        <w:t>evidence. </w:t>
      </w:r>
      <w:r>
        <w:rPr>
          <w:sz w:val="20"/>
        </w:rPr>
        <w:t>Recommendations</w:t>
      </w:r>
      <w:r>
        <w:rPr>
          <w:spacing w:val="-9"/>
          <w:sz w:val="20"/>
        </w:rPr>
        <w:t> </w:t>
      </w:r>
      <w:r>
        <w:rPr>
          <w:sz w:val="20"/>
        </w:rPr>
        <w:t>in</w:t>
      </w:r>
      <w:r>
        <w:rPr>
          <w:spacing w:val="-8"/>
          <w:sz w:val="20"/>
        </w:rPr>
        <w:t> </w:t>
      </w:r>
      <w:r>
        <w:rPr>
          <w:spacing w:val="-2"/>
          <w:sz w:val="20"/>
        </w:rPr>
        <w:t>Chapters</w:t>
      </w:r>
      <w:r>
        <w:rPr>
          <w:spacing w:val="-9"/>
          <w:sz w:val="20"/>
        </w:rPr>
        <w:t> </w:t>
      </w:r>
      <w:r>
        <w:rPr>
          <w:sz w:val="20"/>
        </w:rPr>
        <w:t>11</w:t>
      </w:r>
      <w:r>
        <w:rPr>
          <w:spacing w:val="-8"/>
          <w:sz w:val="20"/>
        </w:rPr>
        <w:t> </w:t>
      </w:r>
      <w:r>
        <w:rPr>
          <w:sz w:val="20"/>
        </w:rPr>
        <w:t>and</w:t>
      </w:r>
      <w:r>
        <w:rPr>
          <w:spacing w:val="-8"/>
          <w:sz w:val="20"/>
        </w:rPr>
        <w:t> </w:t>
      </w:r>
      <w:r>
        <w:rPr>
          <w:sz w:val="20"/>
        </w:rPr>
        <w:t>12</w:t>
      </w:r>
      <w:r>
        <w:rPr>
          <w:spacing w:val="-9"/>
          <w:sz w:val="20"/>
        </w:rPr>
        <w:t> </w:t>
      </w:r>
      <w:r>
        <w:rPr>
          <w:spacing w:val="-3"/>
          <w:sz w:val="20"/>
        </w:rPr>
        <w:t>provide</w:t>
      </w:r>
      <w:r>
        <w:rPr>
          <w:spacing w:val="-8"/>
          <w:sz w:val="20"/>
        </w:rPr>
        <w:t> </w:t>
      </w:r>
      <w:r>
        <w:rPr>
          <w:sz w:val="20"/>
        </w:rPr>
        <w:t>for</w:t>
      </w:r>
      <w:r>
        <w:rPr>
          <w:spacing w:val="-8"/>
          <w:sz w:val="20"/>
        </w:rPr>
        <w:t> </w:t>
      </w:r>
      <w:r>
        <w:rPr>
          <w:sz w:val="20"/>
        </w:rPr>
        <w:t>judicial</w:t>
      </w:r>
      <w:r>
        <w:rPr>
          <w:spacing w:val="-9"/>
          <w:sz w:val="20"/>
        </w:rPr>
        <w:t> </w:t>
      </w:r>
      <w:r>
        <w:rPr>
          <w:spacing w:val="-3"/>
          <w:sz w:val="20"/>
        </w:rPr>
        <w:t>oversight</w:t>
      </w:r>
      <w:r>
        <w:rPr>
          <w:spacing w:val="-8"/>
          <w:sz w:val="20"/>
        </w:rPr>
        <w:t> </w:t>
      </w:r>
      <w:r>
        <w:rPr>
          <w:sz w:val="20"/>
        </w:rPr>
        <w:t>and</w:t>
      </w:r>
      <w:r>
        <w:rPr>
          <w:spacing w:val="-9"/>
          <w:sz w:val="20"/>
        </w:rPr>
        <w:t> </w:t>
      </w:r>
      <w:r>
        <w:rPr>
          <w:sz w:val="20"/>
        </w:rPr>
        <w:t>assessment of the </w:t>
      </w:r>
      <w:r>
        <w:rPr>
          <w:spacing w:val="-3"/>
          <w:sz w:val="20"/>
        </w:rPr>
        <w:t>provision </w:t>
      </w:r>
      <w:r>
        <w:rPr>
          <w:sz w:val="20"/>
        </w:rPr>
        <w:t>of reasonable</w:t>
      </w:r>
      <w:r>
        <w:rPr>
          <w:spacing w:val="-19"/>
          <w:sz w:val="20"/>
        </w:rPr>
        <w:t> </w:t>
      </w:r>
      <w:r>
        <w:rPr>
          <w:sz w:val="20"/>
        </w:rPr>
        <w:t>adjustments.</w:t>
      </w:r>
    </w:p>
    <w:p>
      <w:pPr>
        <w:pStyle w:val="ListParagraph"/>
        <w:numPr>
          <w:ilvl w:val="1"/>
          <w:numId w:val="12"/>
        </w:numPr>
        <w:tabs>
          <w:tab w:pos="1761" w:val="left" w:leader="none"/>
          <w:tab w:pos="1762" w:val="left" w:leader="none"/>
        </w:tabs>
        <w:spacing w:line="206" w:lineRule="auto" w:before="125" w:after="0"/>
        <w:ind w:left="1761" w:right="1348" w:hanging="794"/>
        <w:jc w:val="left"/>
        <w:rPr>
          <w:sz w:val="20"/>
        </w:rPr>
      </w:pPr>
      <w:r>
        <w:rPr>
          <w:spacing w:val="-10"/>
          <w:sz w:val="20"/>
        </w:rPr>
        <w:t>To </w:t>
      </w:r>
      <w:r>
        <w:rPr>
          <w:sz w:val="20"/>
        </w:rPr>
        <w:t>ensure that </w:t>
      </w:r>
      <w:r>
        <w:rPr>
          <w:spacing w:val="-3"/>
          <w:sz w:val="20"/>
        </w:rPr>
        <w:t>reform </w:t>
      </w:r>
      <w:r>
        <w:rPr>
          <w:sz w:val="20"/>
        </w:rPr>
        <w:t>is effective, Alastair </w:t>
      </w:r>
      <w:r>
        <w:rPr>
          <w:spacing w:val="-3"/>
          <w:sz w:val="20"/>
        </w:rPr>
        <w:t>McEwin </w:t>
      </w:r>
      <w:r>
        <w:rPr>
          <w:sz w:val="20"/>
        </w:rPr>
        <w:t>suggested that both informal and formal change is needed.</w:t>
      </w:r>
      <w:r>
        <w:rPr>
          <w:position w:val="7"/>
          <w:sz w:val="11"/>
        </w:rPr>
        <w:t>8 </w:t>
      </w:r>
      <w:r>
        <w:rPr>
          <w:sz w:val="20"/>
        </w:rPr>
        <w:t>A judge, the Juries Commissioner and counsel (as well as the accused) </w:t>
      </w:r>
      <w:r>
        <w:rPr>
          <w:spacing w:val="-4"/>
          <w:sz w:val="20"/>
        </w:rPr>
        <w:t>have </w:t>
      </w:r>
      <w:r>
        <w:rPr>
          <w:sz w:val="20"/>
        </w:rPr>
        <w:t>the </w:t>
      </w:r>
      <w:r>
        <w:rPr>
          <w:spacing w:val="-3"/>
          <w:sz w:val="20"/>
        </w:rPr>
        <w:t>power </w:t>
      </w:r>
      <w:r>
        <w:rPr>
          <w:sz w:val="20"/>
        </w:rPr>
        <w:t>to </w:t>
      </w:r>
      <w:r>
        <w:rPr>
          <w:spacing w:val="-4"/>
          <w:sz w:val="20"/>
        </w:rPr>
        <w:t>prevent </w:t>
      </w:r>
      <w:r>
        <w:rPr>
          <w:sz w:val="20"/>
        </w:rPr>
        <w:t>a person </w:t>
      </w:r>
      <w:r>
        <w:rPr>
          <w:spacing w:val="-3"/>
          <w:sz w:val="20"/>
        </w:rPr>
        <w:t>from </w:t>
      </w:r>
      <w:r>
        <w:rPr>
          <w:sz w:val="20"/>
        </w:rPr>
        <w:t>the subject groups </w:t>
      </w:r>
      <w:r>
        <w:rPr>
          <w:spacing w:val="-3"/>
          <w:sz w:val="20"/>
        </w:rPr>
        <w:t>from </w:t>
      </w:r>
      <w:r>
        <w:rPr>
          <w:sz w:val="20"/>
        </w:rPr>
        <w:t>being a juror at various points in the jury selection process, so it is important to tackle </w:t>
      </w:r>
      <w:r>
        <w:rPr>
          <w:spacing w:val="-3"/>
          <w:sz w:val="20"/>
        </w:rPr>
        <w:t>any </w:t>
      </w:r>
      <w:r>
        <w:rPr>
          <w:sz w:val="20"/>
        </w:rPr>
        <w:t>general</w:t>
      </w:r>
      <w:r>
        <w:rPr>
          <w:spacing w:val="-11"/>
          <w:sz w:val="20"/>
        </w:rPr>
        <w:t> </w:t>
      </w:r>
      <w:r>
        <w:rPr>
          <w:sz w:val="20"/>
        </w:rPr>
        <w:t>misconceptions</w:t>
      </w:r>
      <w:r>
        <w:rPr>
          <w:spacing w:val="-10"/>
          <w:sz w:val="20"/>
        </w:rPr>
        <w:t> </w:t>
      </w:r>
      <w:r>
        <w:rPr>
          <w:sz w:val="20"/>
        </w:rPr>
        <w:t>and</w:t>
      </w:r>
      <w:r>
        <w:rPr>
          <w:spacing w:val="-10"/>
          <w:sz w:val="20"/>
        </w:rPr>
        <w:t> </w:t>
      </w:r>
      <w:r>
        <w:rPr>
          <w:spacing w:val="-4"/>
          <w:sz w:val="20"/>
        </w:rPr>
        <w:t>improve</w:t>
      </w:r>
      <w:r>
        <w:rPr>
          <w:spacing w:val="-10"/>
          <w:sz w:val="20"/>
        </w:rPr>
        <w:t> </w:t>
      </w:r>
      <w:r>
        <w:rPr>
          <w:sz w:val="20"/>
        </w:rPr>
        <w:t>understanding</w:t>
      </w:r>
      <w:r>
        <w:rPr>
          <w:spacing w:val="-10"/>
          <w:sz w:val="20"/>
        </w:rPr>
        <w:t> </w:t>
      </w:r>
      <w:r>
        <w:rPr>
          <w:sz w:val="20"/>
        </w:rPr>
        <w:t>of</w:t>
      </w:r>
      <w:r>
        <w:rPr>
          <w:spacing w:val="-10"/>
          <w:sz w:val="20"/>
        </w:rPr>
        <w:t> </w:t>
      </w:r>
      <w:r>
        <w:rPr>
          <w:sz w:val="20"/>
        </w:rPr>
        <w:t>practice</w:t>
      </w:r>
      <w:r>
        <w:rPr>
          <w:spacing w:val="-10"/>
          <w:sz w:val="20"/>
        </w:rPr>
        <w:t> </w:t>
      </w:r>
      <w:r>
        <w:rPr>
          <w:sz w:val="20"/>
        </w:rPr>
        <w:t>and</w:t>
      </w:r>
      <w:r>
        <w:rPr>
          <w:spacing w:val="-10"/>
          <w:sz w:val="20"/>
        </w:rPr>
        <w:t> </w:t>
      </w:r>
      <w:r>
        <w:rPr>
          <w:spacing w:val="-3"/>
          <w:sz w:val="20"/>
        </w:rPr>
        <w:t>procedure.</w:t>
      </w:r>
      <w:r>
        <w:rPr>
          <w:spacing w:val="-10"/>
          <w:sz w:val="20"/>
        </w:rPr>
        <w:t> </w:t>
      </w:r>
      <w:r>
        <w:rPr>
          <w:sz w:val="20"/>
        </w:rPr>
        <w:t>In</w:t>
      </w:r>
      <w:r>
        <w:rPr>
          <w:spacing w:val="-10"/>
          <w:sz w:val="20"/>
        </w:rPr>
        <w:t> </w:t>
      </w:r>
      <w:r>
        <w:rPr>
          <w:sz w:val="20"/>
        </w:rPr>
        <w:t>this chapter </w:t>
      </w:r>
      <w:r>
        <w:rPr>
          <w:spacing w:val="-3"/>
          <w:sz w:val="20"/>
        </w:rPr>
        <w:t>we </w:t>
      </w:r>
      <w:r>
        <w:rPr>
          <w:sz w:val="20"/>
        </w:rPr>
        <w:t>consider three </w:t>
      </w:r>
      <w:r>
        <w:rPr>
          <w:spacing w:val="-4"/>
          <w:sz w:val="20"/>
        </w:rPr>
        <w:t>ways </w:t>
      </w:r>
      <w:r>
        <w:rPr>
          <w:sz w:val="20"/>
        </w:rPr>
        <w:t>this can be</w:t>
      </w:r>
      <w:r>
        <w:rPr>
          <w:spacing w:val="-29"/>
          <w:sz w:val="20"/>
        </w:rPr>
        <w:t> </w:t>
      </w:r>
      <w:r>
        <w:rPr>
          <w:spacing w:val="-3"/>
          <w:sz w:val="20"/>
        </w:rPr>
        <w:t>achieved:</w:t>
      </w:r>
    </w:p>
    <w:p>
      <w:pPr>
        <w:pStyle w:val="ListParagraph"/>
        <w:numPr>
          <w:ilvl w:val="0"/>
          <w:numId w:val="122"/>
        </w:numPr>
        <w:tabs>
          <w:tab w:pos="2157" w:val="left" w:leader="none"/>
          <w:tab w:pos="2158" w:val="left" w:leader="none"/>
        </w:tabs>
        <w:spacing w:line="240" w:lineRule="auto" w:before="95" w:after="0"/>
        <w:ind w:left="2157" w:right="0" w:hanging="396"/>
        <w:jc w:val="left"/>
        <w:rPr>
          <w:sz w:val="20"/>
        </w:rPr>
      </w:pPr>
      <w:r>
        <w:rPr>
          <w:sz w:val="20"/>
        </w:rPr>
        <w:t>disability awareness</w:t>
      </w:r>
      <w:r>
        <w:rPr>
          <w:spacing w:val="-5"/>
          <w:sz w:val="20"/>
        </w:rPr>
        <w:t> </w:t>
      </w:r>
      <w:r>
        <w:rPr>
          <w:sz w:val="20"/>
        </w:rPr>
        <w:t>training</w:t>
      </w:r>
    </w:p>
    <w:p>
      <w:pPr>
        <w:pStyle w:val="ListParagraph"/>
        <w:numPr>
          <w:ilvl w:val="0"/>
          <w:numId w:val="122"/>
        </w:numPr>
        <w:tabs>
          <w:tab w:pos="2157" w:val="left" w:leader="none"/>
          <w:tab w:pos="2158" w:val="left" w:leader="none"/>
        </w:tabs>
        <w:spacing w:line="259" w:lineRule="exact" w:before="48" w:after="0"/>
        <w:ind w:left="2157" w:right="0" w:hanging="396"/>
        <w:jc w:val="left"/>
        <w:rPr>
          <w:sz w:val="20"/>
        </w:rPr>
      </w:pPr>
      <w:r>
        <w:rPr>
          <w:sz w:val="20"/>
        </w:rPr>
        <w:t>professional development for legal professionals, court staff and Juries</w:t>
      </w:r>
      <w:r>
        <w:rPr>
          <w:spacing w:val="-32"/>
          <w:sz w:val="20"/>
        </w:rPr>
        <w:t> </w:t>
      </w:r>
      <w:r>
        <w:rPr>
          <w:sz w:val="20"/>
        </w:rPr>
        <w:t>Victoria</w:t>
      </w:r>
    </w:p>
    <w:p>
      <w:pPr>
        <w:pStyle w:val="BodyText"/>
        <w:spacing w:line="259" w:lineRule="exact"/>
        <w:ind w:left="2157"/>
      </w:pPr>
      <w:r>
        <w:rPr/>
        <w:t>about how new laws will work in practice</w:t>
      </w:r>
    </w:p>
    <w:p>
      <w:pPr>
        <w:pStyle w:val="ListParagraph"/>
        <w:numPr>
          <w:ilvl w:val="0"/>
          <w:numId w:val="122"/>
        </w:numPr>
        <w:tabs>
          <w:tab w:pos="2157" w:val="left" w:leader="none"/>
          <w:tab w:pos="2158" w:val="left" w:leader="none"/>
        </w:tabs>
        <w:spacing w:line="206" w:lineRule="auto" w:before="80" w:after="0"/>
        <w:ind w:left="2157" w:right="1288" w:hanging="396"/>
        <w:jc w:val="left"/>
        <w:rPr>
          <w:sz w:val="20"/>
        </w:rPr>
      </w:pPr>
      <w:r>
        <w:rPr>
          <w:sz w:val="20"/>
        </w:rPr>
        <w:t>internal</w:t>
      </w:r>
      <w:r>
        <w:rPr>
          <w:spacing w:val="-7"/>
          <w:sz w:val="20"/>
        </w:rPr>
        <w:t> </w:t>
      </w:r>
      <w:r>
        <w:rPr>
          <w:sz w:val="20"/>
        </w:rPr>
        <w:t>protocols</w:t>
      </w:r>
      <w:r>
        <w:rPr>
          <w:spacing w:val="-6"/>
          <w:sz w:val="20"/>
        </w:rPr>
        <w:t> </w:t>
      </w:r>
      <w:r>
        <w:rPr>
          <w:sz w:val="20"/>
        </w:rPr>
        <w:t>for</w:t>
      </w:r>
      <w:r>
        <w:rPr>
          <w:spacing w:val="-6"/>
          <w:sz w:val="20"/>
        </w:rPr>
        <w:t> </w:t>
      </w:r>
      <w:r>
        <w:rPr>
          <w:sz w:val="20"/>
        </w:rPr>
        <w:t>Juries</w:t>
      </w:r>
      <w:r>
        <w:rPr>
          <w:spacing w:val="-6"/>
          <w:sz w:val="20"/>
        </w:rPr>
        <w:t> </w:t>
      </w:r>
      <w:r>
        <w:rPr>
          <w:sz w:val="20"/>
        </w:rPr>
        <w:t>Victoria</w:t>
      </w:r>
      <w:r>
        <w:rPr>
          <w:spacing w:val="-6"/>
          <w:sz w:val="20"/>
        </w:rPr>
        <w:t> </w:t>
      </w:r>
      <w:r>
        <w:rPr>
          <w:sz w:val="20"/>
        </w:rPr>
        <w:t>and</w:t>
      </w:r>
      <w:r>
        <w:rPr>
          <w:spacing w:val="-7"/>
          <w:sz w:val="20"/>
        </w:rPr>
        <w:t> </w:t>
      </w:r>
      <w:r>
        <w:rPr>
          <w:sz w:val="20"/>
        </w:rPr>
        <w:t>the</w:t>
      </w:r>
      <w:r>
        <w:rPr>
          <w:spacing w:val="-6"/>
          <w:sz w:val="20"/>
        </w:rPr>
        <w:t> </w:t>
      </w:r>
      <w:r>
        <w:rPr>
          <w:sz w:val="20"/>
        </w:rPr>
        <w:t>courts</w:t>
      </w:r>
      <w:r>
        <w:rPr>
          <w:spacing w:val="-6"/>
          <w:sz w:val="20"/>
        </w:rPr>
        <w:t> </w:t>
      </w:r>
      <w:r>
        <w:rPr>
          <w:sz w:val="20"/>
        </w:rPr>
        <w:t>to</w:t>
      </w:r>
      <w:r>
        <w:rPr>
          <w:spacing w:val="-6"/>
          <w:sz w:val="20"/>
        </w:rPr>
        <w:t> </w:t>
      </w:r>
      <w:r>
        <w:rPr>
          <w:sz w:val="20"/>
        </w:rPr>
        <w:t>provide</w:t>
      </w:r>
      <w:r>
        <w:rPr>
          <w:spacing w:val="-6"/>
          <w:sz w:val="20"/>
        </w:rPr>
        <w:t> </w:t>
      </w:r>
      <w:r>
        <w:rPr>
          <w:sz w:val="20"/>
        </w:rPr>
        <w:t>guidance</w:t>
      </w:r>
      <w:r>
        <w:rPr>
          <w:spacing w:val="-6"/>
          <w:sz w:val="20"/>
        </w:rPr>
        <w:t> </w:t>
      </w:r>
      <w:r>
        <w:rPr>
          <w:sz w:val="20"/>
        </w:rPr>
        <w:t>about</w:t>
      </w:r>
      <w:r>
        <w:rPr>
          <w:spacing w:val="-7"/>
          <w:sz w:val="20"/>
        </w:rPr>
        <w:t> </w:t>
      </w:r>
      <w:r>
        <w:rPr>
          <w:sz w:val="20"/>
        </w:rPr>
        <w:t>the operation of new laws and</w:t>
      </w:r>
      <w:r>
        <w:rPr>
          <w:spacing w:val="-12"/>
          <w:sz w:val="20"/>
        </w:rPr>
        <w:t> </w:t>
      </w:r>
      <w:r>
        <w:rPr>
          <w:sz w:val="20"/>
        </w:rPr>
        <w:t>procedures.</w:t>
      </w:r>
    </w:p>
    <w:p>
      <w:pPr>
        <w:pStyle w:val="ListParagraph"/>
        <w:numPr>
          <w:ilvl w:val="1"/>
          <w:numId w:val="12"/>
        </w:numPr>
        <w:tabs>
          <w:tab w:pos="1761" w:val="left" w:leader="none"/>
          <w:tab w:pos="1762" w:val="left" w:leader="none"/>
        </w:tabs>
        <w:spacing w:line="206" w:lineRule="auto" w:before="87" w:after="0"/>
        <w:ind w:left="1761" w:right="1639" w:hanging="794"/>
        <w:jc w:val="left"/>
        <w:rPr>
          <w:sz w:val="20"/>
        </w:rPr>
      </w:pPr>
      <w:r>
        <w:rPr>
          <w:sz w:val="20"/>
        </w:rPr>
        <w:t>This</w:t>
      </w:r>
      <w:r>
        <w:rPr>
          <w:spacing w:val="-10"/>
          <w:sz w:val="20"/>
        </w:rPr>
        <w:t> </w:t>
      </w:r>
      <w:r>
        <w:rPr>
          <w:sz w:val="20"/>
        </w:rPr>
        <w:t>chapter</w:t>
      </w:r>
      <w:r>
        <w:rPr>
          <w:spacing w:val="-10"/>
          <w:sz w:val="20"/>
        </w:rPr>
        <w:t> </w:t>
      </w:r>
      <w:r>
        <w:rPr>
          <w:sz w:val="20"/>
        </w:rPr>
        <w:t>also</w:t>
      </w:r>
      <w:r>
        <w:rPr>
          <w:spacing w:val="-10"/>
          <w:sz w:val="20"/>
        </w:rPr>
        <w:t> </w:t>
      </w:r>
      <w:r>
        <w:rPr>
          <w:sz w:val="20"/>
        </w:rPr>
        <w:t>considers</w:t>
      </w:r>
      <w:r>
        <w:rPr>
          <w:spacing w:val="-9"/>
          <w:sz w:val="20"/>
        </w:rPr>
        <w:t> </w:t>
      </w:r>
      <w:r>
        <w:rPr>
          <w:spacing w:val="-4"/>
          <w:sz w:val="20"/>
        </w:rPr>
        <w:t>ways</w:t>
      </w:r>
      <w:r>
        <w:rPr>
          <w:spacing w:val="-10"/>
          <w:sz w:val="20"/>
        </w:rPr>
        <w:t> </w:t>
      </w:r>
      <w:r>
        <w:rPr>
          <w:sz w:val="20"/>
        </w:rPr>
        <w:t>to</w:t>
      </w:r>
      <w:r>
        <w:rPr>
          <w:spacing w:val="-10"/>
          <w:sz w:val="20"/>
        </w:rPr>
        <w:t> </w:t>
      </w:r>
      <w:r>
        <w:rPr>
          <w:spacing w:val="-4"/>
          <w:sz w:val="20"/>
        </w:rPr>
        <w:t>improve</w:t>
      </w:r>
      <w:r>
        <w:rPr>
          <w:spacing w:val="-9"/>
          <w:sz w:val="20"/>
        </w:rPr>
        <w:t> </w:t>
      </w:r>
      <w:r>
        <w:rPr>
          <w:sz w:val="20"/>
        </w:rPr>
        <w:t>community</w:t>
      </w:r>
      <w:r>
        <w:rPr>
          <w:spacing w:val="-10"/>
          <w:sz w:val="20"/>
        </w:rPr>
        <w:t> </w:t>
      </w:r>
      <w:r>
        <w:rPr>
          <w:sz w:val="20"/>
        </w:rPr>
        <w:t>understanding</w:t>
      </w:r>
      <w:r>
        <w:rPr>
          <w:spacing w:val="-10"/>
          <w:sz w:val="20"/>
        </w:rPr>
        <w:t> </w:t>
      </w:r>
      <w:r>
        <w:rPr>
          <w:sz w:val="20"/>
        </w:rPr>
        <w:t>of</w:t>
      </w:r>
      <w:r>
        <w:rPr>
          <w:spacing w:val="-9"/>
          <w:sz w:val="20"/>
        </w:rPr>
        <w:t> </w:t>
      </w:r>
      <w:r>
        <w:rPr>
          <w:sz w:val="20"/>
        </w:rPr>
        <w:t>the</w:t>
      </w:r>
      <w:r>
        <w:rPr>
          <w:spacing w:val="-10"/>
          <w:sz w:val="20"/>
        </w:rPr>
        <w:t> </w:t>
      </w:r>
      <w:r>
        <w:rPr>
          <w:sz w:val="20"/>
        </w:rPr>
        <w:t>new </w:t>
      </w:r>
      <w:r>
        <w:rPr>
          <w:spacing w:val="-3"/>
          <w:sz w:val="20"/>
        </w:rPr>
        <w:t>laws</w:t>
      </w:r>
      <w:r>
        <w:rPr>
          <w:spacing w:val="-6"/>
          <w:sz w:val="20"/>
        </w:rPr>
        <w:t> </w:t>
      </w:r>
      <w:r>
        <w:rPr>
          <w:sz w:val="20"/>
        </w:rPr>
        <w:t>and</w:t>
      </w:r>
      <w:r>
        <w:rPr>
          <w:spacing w:val="-6"/>
          <w:sz w:val="20"/>
        </w:rPr>
        <w:t> </w:t>
      </w:r>
      <w:r>
        <w:rPr>
          <w:sz w:val="20"/>
        </w:rPr>
        <w:t>encourage</w:t>
      </w:r>
      <w:r>
        <w:rPr>
          <w:spacing w:val="-6"/>
          <w:sz w:val="20"/>
        </w:rPr>
        <w:t> </w:t>
      </w:r>
      <w:r>
        <w:rPr>
          <w:sz w:val="20"/>
        </w:rPr>
        <w:t>people</w:t>
      </w:r>
      <w:r>
        <w:rPr>
          <w:spacing w:val="-5"/>
          <w:sz w:val="20"/>
        </w:rPr>
        <w:t> </w:t>
      </w:r>
      <w:r>
        <w:rPr>
          <w:sz w:val="20"/>
        </w:rPr>
        <w:t>in</w:t>
      </w:r>
      <w:r>
        <w:rPr>
          <w:spacing w:val="-6"/>
          <w:sz w:val="20"/>
        </w:rPr>
        <w:t> </w:t>
      </w:r>
      <w:r>
        <w:rPr>
          <w:sz w:val="20"/>
        </w:rPr>
        <w:t>the</w:t>
      </w:r>
      <w:r>
        <w:rPr>
          <w:spacing w:val="-6"/>
          <w:sz w:val="20"/>
        </w:rPr>
        <w:t> </w:t>
      </w:r>
      <w:r>
        <w:rPr>
          <w:sz w:val="20"/>
        </w:rPr>
        <w:t>subject</w:t>
      </w:r>
      <w:r>
        <w:rPr>
          <w:spacing w:val="-5"/>
          <w:sz w:val="20"/>
        </w:rPr>
        <w:t> </w:t>
      </w:r>
      <w:r>
        <w:rPr>
          <w:sz w:val="20"/>
        </w:rPr>
        <w:t>groups</w:t>
      </w:r>
      <w:r>
        <w:rPr>
          <w:spacing w:val="-6"/>
          <w:sz w:val="20"/>
        </w:rPr>
        <w:t> </w:t>
      </w:r>
      <w:r>
        <w:rPr>
          <w:sz w:val="20"/>
        </w:rPr>
        <w:t>to</w:t>
      </w:r>
      <w:r>
        <w:rPr>
          <w:spacing w:val="-6"/>
          <w:sz w:val="20"/>
        </w:rPr>
        <w:t> </w:t>
      </w:r>
      <w:r>
        <w:rPr>
          <w:sz w:val="20"/>
        </w:rPr>
        <w:t>serve</w:t>
      </w:r>
      <w:r>
        <w:rPr>
          <w:spacing w:val="-5"/>
          <w:sz w:val="20"/>
        </w:rPr>
        <w:t> </w:t>
      </w:r>
      <w:r>
        <w:rPr>
          <w:sz w:val="20"/>
        </w:rPr>
        <w:t>as</w:t>
      </w:r>
      <w:r>
        <w:rPr>
          <w:spacing w:val="-6"/>
          <w:sz w:val="20"/>
        </w:rPr>
        <w:t> </w:t>
      </w:r>
      <w:r>
        <w:rPr>
          <w:sz w:val="20"/>
        </w:rPr>
        <w:t>jurors.</w:t>
      </w:r>
    </w:p>
    <w:p>
      <w:pPr>
        <w:pStyle w:val="BodyText"/>
        <w:spacing w:before="6"/>
        <w:rPr>
          <w:sz w:val="16"/>
        </w:rPr>
      </w:pPr>
    </w:p>
    <w:p>
      <w:pPr>
        <w:spacing w:before="0"/>
        <w:ind w:left="967" w:right="0" w:firstLine="0"/>
        <w:jc w:val="left"/>
        <w:rPr>
          <w:rFonts w:ascii="Raleway ExtraBold"/>
          <w:b/>
          <w:sz w:val="28"/>
        </w:rPr>
      </w:pPr>
      <w:r>
        <w:rPr>
          <w:rFonts w:ascii="Raleway ExtraBold"/>
          <w:b/>
          <w:color w:val="37617A"/>
          <w:sz w:val="28"/>
        </w:rPr>
        <w:t>Disability awareness training for the legal profession</w:t>
      </w:r>
    </w:p>
    <w:p>
      <w:pPr>
        <w:pStyle w:val="BodyText"/>
        <w:spacing w:before="7"/>
        <w:rPr>
          <w:rFonts w:ascii="Raleway ExtraBold"/>
          <w:b/>
          <w:sz w:val="15"/>
        </w:rPr>
      </w:pPr>
      <w:r>
        <w:rPr/>
        <w:pict>
          <v:line style="position:absolute;mso-position-horizontal-relative:page;mso-position-vertical-relative:paragraph;z-index:10832;mso-wrap-distance-left:0;mso-wrap-distance-right:0" from="79.370102pt,12.9976pt" to="515.905102pt,12.9976pt" stroked="true" strokeweight=".5pt" strokecolor="#8f9dad">
            <v:stroke dashstyle="solid"/>
            <w10:wrap type="topAndBottom"/>
          </v:line>
        </w:pict>
      </w:r>
    </w:p>
    <w:p>
      <w:pPr>
        <w:spacing w:before="223"/>
        <w:ind w:left="2773" w:right="0" w:firstLine="0"/>
        <w:jc w:val="left"/>
        <w:rPr>
          <w:rFonts w:ascii="Trebuchet MS" w:hAnsi="Trebuchet MS"/>
          <w:i/>
          <w:sz w:val="20"/>
        </w:rPr>
      </w:pPr>
      <w:r>
        <w:rPr>
          <w:rFonts w:ascii="Trebuchet MS" w:hAnsi="Trebuchet MS"/>
          <w:i/>
          <w:color w:val="37617A"/>
          <w:sz w:val="20"/>
        </w:rPr>
        <w:t>People in the community—and especially judicial officers</w:t>
      </w:r>
    </w:p>
    <w:p>
      <w:pPr>
        <w:spacing w:line="247" w:lineRule="auto" w:before="8"/>
        <w:ind w:left="1910" w:right="2148" w:hanging="1"/>
        <w:jc w:val="center"/>
        <w:rPr>
          <w:rFonts w:ascii="Trebuchet MS" w:hAnsi="Trebuchet MS"/>
          <w:sz w:val="19"/>
        </w:rPr>
      </w:pPr>
      <w:r>
        <w:rPr>
          <w:rFonts w:ascii="Trebuchet MS" w:hAnsi="Trebuchet MS"/>
          <w:i/>
          <w:color w:val="37617A"/>
          <w:sz w:val="20"/>
        </w:rPr>
        <w:t>and legal practitioners—might not fully appreciate how sophisticated and </w:t>
      </w:r>
      <w:r>
        <w:rPr>
          <w:rFonts w:ascii="Trebuchet MS" w:hAnsi="Trebuchet MS"/>
          <w:i/>
          <w:color w:val="37617A"/>
          <w:sz w:val="20"/>
        </w:rPr>
        <w:t>effective contemporary accessible format/audio description production has </w:t>
      </w:r>
      <w:r>
        <w:rPr>
          <w:rFonts w:ascii="Trebuchet MS" w:hAnsi="Trebuchet MS"/>
          <w:i/>
          <w:color w:val="37617A"/>
          <w:w w:val="107"/>
          <w:sz w:val="20"/>
        </w:rPr>
        <w:t>b</w:t>
      </w:r>
      <w:r>
        <w:rPr>
          <w:rFonts w:ascii="Trebuchet MS" w:hAnsi="Trebuchet MS"/>
          <w:i/>
          <w:color w:val="37617A"/>
          <w:w w:val="107"/>
          <w:sz w:val="20"/>
        </w:rPr>
        <w:t>ec</w:t>
      </w:r>
      <w:r>
        <w:rPr>
          <w:rFonts w:ascii="Trebuchet MS" w:hAnsi="Trebuchet MS"/>
          <w:i/>
          <w:color w:val="37617A"/>
          <w:w w:val="107"/>
          <w:sz w:val="20"/>
        </w:rPr>
        <w:t>o</w:t>
      </w:r>
      <w:r>
        <w:rPr>
          <w:rFonts w:ascii="Trebuchet MS" w:hAnsi="Trebuchet MS"/>
          <w:i/>
          <w:color w:val="37617A"/>
          <w:w w:val="106"/>
          <w:sz w:val="20"/>
        </w:rPr>
        <w:t>m</w:t>
      </w:r>
      <w:r>
        <w:rPr>
          <w:rFonts w:ascii="Trebuchet MS" w:hAnsi="Trebuchet MS"/>
          <w:i/>
          <w:color w:val="37617A"/>
          <w:w w:val="100"/>
          <w:sz w:val="20"/>
        </w:rPr>
        <w:t>e</w:t>
      </w:r>
      <w:r>
        <w:rPr>
          <w:rFonts w:ascii="Trebuchet MS" w:hAnsi="Trebuchet MS"/>
          <w:i/>
          <w:color w:val="37617A"/>
          <w:w w:val="54"/>
          <w:sz w:val="20"/>
        </w:rPr>
        <w:t>.</w:t>
      </w:r>
      <w:r>
        <w:rPr>
          <w:rFonts w:ascii="Trebuchet MS" w:hAnsi="Trebuchet MS"/>
          <w:i/>
          <w:color w:val="37617A"/>
          <w:w w:val="116"/>
          <w:position w:val="7"/>
          <w:sz w:val="11"/>
        </w:rPr>
        <w:t>9</w:t>
      </w:r>
      <w:r>
        <w:rPr>
          <w:rFonts w:ascii="Trebuchet MS" w:hAnsi="Trebuchet MS"/>
          <w:color w:val="37617A"/>
          <w:w w:val="124"/>
          <w:sz w:val="19"/>
        </w:rPr>
        <w:t>—</w:t>
      </w:r>
      <w:r>
        <w:rPr>
          <w:rFonts w:ascii="Trebuchet MS" w:hAnsi="Trebuchet MS"/>
          <w:color w:val="37617A"/>
          <w:w w:val="111"/>
          <w:sz w:val="19"/>
        </w:rPr>
        <w:t>O</w:t>
      </w:r>
      <w:r>
        <w:rPr>
          <w:rFonts w:ascii="Trebuchet MS" w:hAnsi="Trebuchet MS"/>
          <w:color w:val="37617A"/>
          <w:w w:val="107"/>
          <w:sz w:val="19"/>
        </w:rPr>
        <w:t>n</w:t>
      </w:r>
      <w:r>
        <w:rPr>
          <w:rFonts w:ascii="Trebuchet MS" w:hAnsi="Trebuchet MS"/>
          <w:color w:val="37617A"/>
          <w:w w:val="96"/>
          <w:sz w:val="19"/>
        </w:rPr>
        <w:t>l</w:t>
      </w:r>
      <w:r>
        <w:rPr>
          <w:rFonts w:ascii="Trebuchet MS" w:hAnsi="Trebuchet MS"/>
          <w:color w:val="37617A"/>
          <w:w w:val="80"/>
          <w:sz w:val="19"/>
        </w:rPr>
        <w:t>i</w:t>
      </w:r>
      <w:r>
        <w:rPr>
          <w:rFonts w:ascii="Trebuchet MS" w:hAnsi="Trebuchet MS"/>
          <w:color w:val="37617A"/>
          <w:w w:val="107"/>
          <w:sz w:val="19"/>
        </w:rPr>
        <w:t>n</w:t>
      </w:r>
      <w:r>
        <w:rPr>
          <w:rFonts w:ascii="Trebuchet MS" w:hAnsi="Trebuchet MS"/>
          <w:color w:val="37617A"/>
          <w:w w:val="108"/>
          <w:sz w:val="19"/>
        </w:rPr>
        <w:t>e</w:t>
      </w:r>
      <w:r>
        <w:rPr>
          <w:rFonts w:ascii="Trebuchet MS" w:hAnsi="Trebuchet MS"/>
          <w:color w:val="37617A"/>
          <w:sz w:val="19"/>
        </w:rPr>
        <w:t> </w:t>
      </w:r>
      <w:r>
        <w:rPr>
          <w:rFonts w:ascii="Trebuchet MS" w:hAnsi="Trebuchet MS"/>
          <w:color w:val="37617A"/>
          <w:w w:val="122"/>
          <w:sz w:val="19"/>
        </w:rPr>
        <w:t>s</w:t>
      </w:r>
      <w:r>
        <w:rPr>
          <w:rFonts w:ascii="Trebuchet MS" w:hAnsi="Trebuchet MS"/>
          <w:color w:val="37617A"/>
          <w:w w:val="109"/>
          <w:sz w:val="19"/>
        </w:rPr>
        <w:t>u</w:t>
      </w:r>
      <w:r>
        <w:rPr>
          <w:rFonts w:ascii="Trebuchet MS" w:hAnsi="Trebuchet MS"/>
          <w:color w:val="37617A"/>
          <w:w w:val="93"/>
          <w:sz w:val="19"/>
        </w:rPr>
        <w:t>r</w:t>
      </w:r>
      <w:r>
        <w:rPr>
          <w:rFonts w:ascii="Trebuchet MS" w:hAnsi="Trebuchet MS"/>
          <w:color w:val="37617A"/>
          <w:w w:val="109"/>
          <w:sz w:val="19"/>
        </w:rPr>
        <w:t>v</w:t>
      </w:r>
      <w:r>
        <w:rPr>
          <w:rFonts w:ascii="Trebuchet MS" w:hAnsi="Trebuchet MS"/>
          <w:color w:val="37617A"/>
          <w:w w:val="108"/>
          <w:sz w:val="19"/>
        </w:rPr>
        <w:t>e</w:t>
      </w:r>
      <w:r>
        <w:rPr>
          <w:rFonts w:ascii="Trebuchet MS" w:hAnsi="Trebuchet MS"/>
          <w:color w:val="37617A"/>
          <w:w w:val="110"/>
          <w:sz w:val="19"/>
        </w:rPr>
        <w:t>y</w:t>
      </w:r>
      <w:r>
        <w:rPr>
          <w:rFonts w:ascii="Trebuchet MS" w:hAnsi="Trebuchet MS"/>
          <w:color w:val="37617A"/>
          <w:sz w:val="19"/>
        </w:rPr>
        <w:t> </w:t>
      </w:r>
      <w:r>
        <w:rPr>
          <w:rFonts w:ascii="Trebuchet MS" w:hAnsi="Trebuchet MS"/>
          <w:color w:val="37617A"/>
          <w:w w:val="93"/>
          <w:sz w:val="19"/>
        </w:rPr>
        <w:t>r</w:t>
      </w:r>
      <w:r>
        <w:rPr>
          <w:rFonts w:ascii="Trebuchet MS" w:hAnsi="Trebuchet MS"/>
          <w:color w:val="37617A"/>
          <w:w w:val="108"/>
          <w:sz w:val="19"/>
        </w:rPr>
        <w:t>e</w:t>
      </w:r>
      <w:r>
        <w:rPr>
          <w:rFonts w:ascii="Trebuchet MS" w:hAnsi="Trebuchet MS"/>
          <w:color w:val="37617A"/>
          <w:w w:val="122"/>
          <w:sz w:val="19"/>
        </w:rPr>
        <w:t>s</w:t>
      </w:r>
      <w:r>
        <w:rPr>
          <w:rFonts w:ascii="Trebuchet MS" w:hAnsi="Trebuchet MS"/>
          <w:color w:val="37617A"/>
          <w:w w:val="111"/>
          <w:sz w:val="19"/>
        </w:rPr>
        <w:t>p</w:t>
      </w:r>
      <w:r>
        <w:rPr>
          <w:rFonts w:ascii="Trebuchet MS" w:hAnsi="Trebuchet MS"/>
          <w:color w:val="37617A"/>
          <w:w w:val="111"/>
          <w:sz w:val="19"/>
        </w:rPr>
        <w:t>o</w:t>
      </w:r>
      <w:r>
        <w:rPr>
          <w:rFonts w:ascii="Trebuchet MS" w:hAnsi="Trebuchet MS"/>
          <w:color w:val="37617A"/>
          <w:w w:val="107"/>
          <w:sz w:val="19"/>
        </w:rPr>
        <w:t>n</w:t>
      </w:r>
      <w:r>
        <w:rPr>
          <w:rFonts w:ascii="Trebuchet MS" w:hAnsi="Trebuchet MS"/>
          <w:color w:val="37617A"/>
          <w:w w:val="122"/>
          <w:sz w:val="19"/>
        </w:rPr>
        <w:t>s</w:t>
      </w:r>
      <w:r>
        <w:rPr>
          <w:rFonts w:ascii="Trebuchet MS" w:hAnsi="Trebuchet MS"/>
          <w:color w:val="37617A"/>
          <w:w w:val="108"/>
          <w:sz w:val="19"/>
        </w:rPr>
        <w:t>e</w:t>
      </w:r>
    </w:p>
    <w:p>
      <w:pPr>
        <w:pStyle w:val="BodyText"/>
        <w:spacing w:before="6"/>
        <w:rPr>
          <w:rFonts w:ascii="Trebuchet MS"/>
          <w:sz w:val="9"/>
        </w:rPr>
      </w:pPr>
      <w:r>
        <w:rPr/>
        <w:pict>
          <v:line style="position:absolute;mso-position-horizontal-relative:page;mso-position-vertical-relative:paragraph;z-index:10856;mso-wrap-distance-left:0;mso-wrap-distance-right:0" from="79.370102pt,7.759668pt" to="515.905102pt,7.759668pt" stroked="true" strokeweight=".5pt" strokecolor="#8f9dad">
            <v:stroke dashstyle="solid"/>
            <w10:wrap type="topAndBottom"/>
          </v:line>
        </w:pict>
      </w:r>
    </w:p>
    <w:p>
      <w:pPr>
        <w:pStyle w:val="BodyText"/>
        <w:spacing w:before="9"/>
        <w:rPr>
          <w:rFonts w:ascii="Trebuchet MS"/>
          <w:sz w:val="31"/>
        </w:rPr>
      </w:pPr>
    </w:p>
    <w:p>
      <w:pPr>
        <w:pStyle w:val="ListParagraph"/>
        <w:numPr>
          <w:ilvl w:val="1"/>
          <w:numId w:val="12"/>
        </w:numPr>
        <w:tabs>
          <w:tab w:pos="1761" w:val="left" w:leader="none"/>
          <w:tab w:pos="1762" w:val="left" w:leader="none"/>
        </w:tabs>
        <w:spacing w:line="206" w:lineRule="auto" w:before="0" w:after="0"/>
        <w:ind w:left="1761" w:right="1204" w:hanging="794"/>
        <w:jc w:val="left"/>
        <w:rPr>
          <w:sz w:val="20"/>
        </w:rPr>
      </w:pPr>
      <w:r>
        <w:rPr>
          <w:sz w:val="20"/>
        </w:rPr>
        <w:t>Disability </w:t>
      </w:r>
      <w:r>
        <w:rPr>
          <w:spacing w:val="-3"/>
          <w:sz w:val="20"/>
        </w:rPr>
        <w:t>awareness </w:t>
      </w:r>
      <w:r>
        <w:rPr>
          <w:sz w:val="20"/>
        </w:rPr>
        <w:t>training ‘focuses on promoting an </w:t>
      </w:r>
      <w:r>
        <w:rPr>
          <w:spacing w:val="-3"/>
          <w:sz w:val="20"/>
        </w:rPr>
        <w:t>awareness </w:t>
      </w:r>
      <w:r>
        <w:rPr>
          <w:sz w:val="20"/>
        </w:rPr>
        <w:t>of disability and the impact that societal attitudes and inherent stigma and discrimination </w:t>
      </w:r>
      <w:r>
        <w:rPr>
          <w:spacing w:val="-4"/>
          <w:sz w:val="20"/>
        </w:rPr>
        <w:t>have </w:t>
      </w:r>
      <w:r>
        <w:rPr>
          <w:sz w:val="20"/>
        </w:rPr>
        <w:t>on the lives of</w:t>
      </w:r>
      <w:r>
        <w:rPr>
          <w:spacing w:val="-12"/>
          <w:sz w:val="20"/>
        </w:rPr>
        <w:t> </w:t>
      </w:r>
      <w:r>
        <w:rPr>
          <w:sz w:val="20"/>
        </w:rPr>
        <w:t>people</w:t>
      </w:r>
      <w:r>
        <w:rPr>
          <w:spacing w:val="-12"/>
          <w:sz w:val="20"/>
        </w:rPr>
        <w:t> </w:t>
      </w:r>
      <w:r>
        <w:rPr>
          <w:sz w:val="20"/>
        </w:rPr>
        <w:t>with</w:t>
      </w:r>
      <w:r>
        <w:rPr>
          <w:spacing w:val="-12"/>
          <w:sz w:val="20"/>
        </w:rPr>
        <w:t> </w:t>
      </w:r>
      <w:r>
        <w:rPr>
          <w:sz w:val="20"/>
        </w:rPr>
        <w:t>disability’.</w:t>
      </w:r>
      <w:r>
        <w:rPr>
          <w:position w:val="7"/>
          <w:sz w:val="11"/>
        </w:rPr>
        <w:t>10</w:t>
      </w:r>
      <w:r>
        <w:rPr>
          <w:spacing w:val="13"/>
          <w:position w:val="7"/>
          <w:sz w:val="11"/>
        </w:rPr>
        <w:t> </w:t>
      </w:r>
      <w:r>
        <w:rPr>
          <w:sz w:val="20"/>
        </w:rPr>
        <w:t>It</w:t>
      </w:r>
      <w:r>
        <w:rPr>
          <w:spacing w:val="-12"/>
          <w:sz w:val="20"/>
        </w:rPr>
        <w:t> </w:t>
      </w:r>
      <w:r>
        <w:rPr>
          <w:sz w:val="20"/>
        </w:rPr>
        <w:t>aims</w:t>
      </w:r>
      <w:r>
        <w:rPr>
          <w:spacing w:val="-12"/>
          <w:sz w:val="20"/>
        </w:rPr>
        <w:t> </w:t>
      </w:r>
      <w:r>
        <w:rPr>
          <w:sz w:val="20"/>
        </w:rPr>
        <w:t>to</w:t>
      </w:r>
      <w:r>
        <w:rPr>
          <w:spacing w:val="-12"/>
          <w:sz w:val="20"/>
        </w:rPr>
        <w:t> </w:t>
      </w:r>
      <w:r>
        <w:rPr>
          <w:sz w:val="20"/>
        </w:rPr>
        <w:t>inform</w:t>
      </w:r>
      <w:r>
        <w:rPr>
          <w:spacing w:val="-11"/>
          <w:sz w:val="20"/>
        </w:rPr>
        <w:t> </w:t>
      </w:r>
      <w:r>
        <w:rPr>
          <w:sz w:val="20"/>
        </w:rPr>
        <w:t>and</w:t>
      </w:r>
      <w:r>
        <w:rPr>
          <w:spacing w:val="-12"/>
          <w:sz w:val="20"/>
        </w:rPr>
        <w:t> </w:t>
      </w:r>
      <w:r>
        <w:rPr>
          <w:spacing w:val="-4"/>
          <w:sz w:val="20"/>
        </w:rPr>
        <w:t>improve</w:t>
      </w:r>
      <w:r>
        <w:rPr>
          <w:spacing w:val="-12"/>
          <w:sz w:val="20"/>
        </w:rPr>
        <w:t> </w:t>
      </w:r>
      <w:r>
        <w:rPr>
          <w:sz w:val="20"/>
        </w:rPr>
        <w:t>knowledge</w:t>
      </w:r>
      <w:r>
        <w:rPr>
          <w:spacing w:val="-11"/>
          <w:sz w:val="20"/>
        </w:rPr>
        <w:t> </w:t>
      </w:r>
      <w:r>
        <w:rPr>
          <w:sz w:val="20"/>
        </w:rPr>
        <w:t>of</w:t>
      </w:r>
      <w:r>
        <w:rPr>
          <w:spacing w:val="-12"/>
          <w:sz w:val="20"/>
        </w:rPr>
        <w:t> </w:t>
      </w:r>
      <w:r>
        <w:rPr>
          <w:sz w:val="20"/>
        </w:rPr>
        <w:t>legal</w:t>
      </w:r>
      <w:r>
        <w:rPr>
          <w:spacing w:val="-12"/>
          <w:sz w:val="20"/>
        </w:rPr>
        <w:t> </w:t>
      </w:r>
      <w:r>
        <w:rPr>
          <w:sz w:val="20"/>
        </w:rPr>
        <w:t>obligations, policies and </w:t>
      </w:r>
      <w:r>
        <w:rPr>
          <w:spacing w:val="-3"/>
          <w:sz w:val="20"/>
        </w:rPr>
        <w:t>procedures </w:t>
      </w:r>
      <w:r>
        <w:rPr>
          <w:sz w:val="20"/>
        </w:rPr>
        <w:t>that </w:t>
      </w:r>
      <w:r>
        <w:rPr>
          <w:spacing w:val="-3"/>
          <w:sz w:val="20"/>
        </w:rPr>
        <w:t>are relevant </w:t>
      </w:r>
      <w:r>
        <w:rPr>
          <w:sz w:val="20"/>
        </w:rPr>
        <w:t>to people with disabilities under the Victorian Charter</w:t>
      </w:r>
      <w:r>
        <w:rPr>
          <w:spacing w:val="-11"/>
          <w:sz w:val="20"/>
        </w:rPr>
        <w:t> </w:t>
      </w:r>
      <w:r>
        <w:rPr>
          <w:sz w:val="20"/>
        </w:rPr>
        <w:t>of</w:t>
      </w:r>
      <w:r>
        <w:rPr>
          <w:spacing w:val="-10"/>
          <w:sz w:val="20"/>
        </w:rPr>
        <w:t> </w:t>
      </w:r>
      <w:r>
        <w:rPr>
          <w:sz w:val="20"/>
        </w:rPr>
        <w:t>Human</w:t>
      </w:r>
      <w:r>
        <w:rPr>
          <w:spacing w:val="-10"/>
          <w:sz w:val="20"/>
        </w:rPr>
        <w:t> </w:t>
      </w:r>
      <w:r>
        <w:rPr>
          <w:sz w:val="20"/>
        </w:rPr>
        <w:t>Rights,</w:t>
      </w:r>
      <w:r>
        <w:rPr>
          <w:spacing w:val="-10"/>
          <w:sz w:val="20"/>
        </w:rPr>
        <w:t> </w:t>
      </w:r>
      <w:r>
        <w:rPr>
          <w:sz w:val="20"/>
        </w:rPr>
        <w:t>the</w:t>
      </w:r>
      <w:r>
        <w:rPr>
          <w:spacing w:val="-10"/>
          <w:sz w:val="20"/>
        </w:rPr>
        <w:t> </w:t>
      </w:r>
      <w:r>
        <w:rPr>
          <w:sz w:val="20"/>
        </w:rPr>
        <w:t>United</w:t>
      </w:r>
      <w:r>
        <w:rPr>
          <w:spacing w:val="-10"/>
          <w:sz w:val="20"/>
        </w:rPr>
        <w:t> </w:t>
      </w:r>
      <w:r>
        <w:rPr>
          <w:sz w:val="20"/>
        </w:rPr>
        <w:t>Nations</w:t>
      </w:r>
      <w:r>
        <w:rPr>
          <w:spacing w:val="-11"/>
          <w:sz w:val="20"/>
        </w:rPr>
        <w:t> </w:t>
      </w:r>
      <w:r>
        <w:rPr>
          <w:sz w:val="20"/>
        </w:rPr>
        <w:t>Convention</w:t>
      </w:r>
      <w:r>
        <w:rPr>
          <w:spacing w:val="-10"/>
          <w:sz w:val="20"/>
        </w:rPr>
        <w:t> </w:t>
      </w:r>
      <w:r>
        <w:rPr>
          <w:sz w:val="20"/>
        </w:rPr>
        <w:t>on</w:t>
      </w:r>
      <w:r>
        <w:rPr>
          <w:spacing w:val="-10"/>
          <w:sz w:val="20"/>
        </w:rPr>
        <w:t> </w:t>
      </w:r>
      <w:r>
        <w:rPr>
          <w:sz w:val="20"/>
        </w:rPr>
        <w:t>the</w:t>
      </w:r>
      <w:r>
        <w:rPr>
          <w:spacing w:val="-10"/>
          <w:sz w:val="20"/>
        </w:rPr>
        <w:t> </w:t>
      </w:r>
      <w:r>
        <w:rPr>
          <w:sz w:val="20"/>
        </w:rPr>
        <w:t>Rights</w:t>
      </w:r>
      <w:r>
        <w:rPr>
          <w:spacing w:val="-10"/>
          <w:sz w:val="20"/>
        </w:rPr>
        <w:t> </w:t>
      </w:r>
      <w:r>
        <w:rPr>
          <w:sz w:val="20"/>
        </w:rPr>
        <w:t>of</w:t>
      </w:r>
      <w:r>
        <w:rPr>
          <w:spacing w:val="-10"/>
          <w:sz w:val="20"/>
        </w:rPr>
        <w:t> </w:t>
      </w:r>
      <w:r>
        <w:rPr>
          <w:sz w:val="20"/>
        </w:rPr>
        <w:t>Persons</w:t>
      </w:r>
      <w:r>
        <w:rPr>
          <w:spacing w:val="-10"/>
          <w:sz w:val="20"/>
        </w:rPr>
        <w:t> </w:t>
      </w:r>
      <w:r>
        <w:rPr>
          <w:sz w:val="20"/>
        </w:rPr>
        <w:t>with Disabilities</w:t>
      </w:r>
      <w:r>
        <w:rPr>
          <w:spacing w:val="-11"/>
          <w:sz w:val="20"/>
        </w:rPr>
        <w:t> </w:t>
      </w:r>
      <w:r>
        <w:rPr>
          <w:spacing w:val="-4"/>
          <w:sz w:val="20"/>
        </w:rPr>
        <w:t>(CRPD),</w:t>
      </w:r>
      <w:r>
        <w:rPr>
          <w:spacing w:val="-11"/>
          <w:sz w:val="20"/>
        </w:rPr>
        <w:t> </w:t>
      </w:r>
      <w:r>
        <w:rPr>
          <w:sz w:val="20"/>
        </w:rPr>
        <w:t>and</w:t>
      </w:r>
      <w:r>
        <w:rPr>
          <w:spacing w:val="-10"/>
          <w:sz w:val="20"/>
        </w:rPr>
        <w:t> </w:t>
      </w:r>
      <w:r>
        <w:rPr>
          <w:sz w:val="20"/>
        </w:rPr>
        <w:t>other</w:t>
      </w:r>
      <w:r>
        <w:rPr>
          <w:spacing w:val="-11"/>
          <w:sz w:val="20"/>
        </w:rPr>
        <w:t> </w:t>
      </w:r>
      <w:r>
        <w:rPr>
          <w:sz w:val="20"/>
        </w:rPr>
        <w:t>discrimination</w:t>
      </w:r>
      <w:r>
        <w:rPr>
          <w:spacing w:val="-11"/>
          <w:sz w:val="20"/>
        </w:rPr>
        <w:t> </w:t>
      </w:r>
      <w:r>
        <w:rPr>
          <w:sz w:val="20"/>
        </w:rPr>
        <w:t>and</w:t>
      </w:r>
      <w:r>
        <w:rPr>
          <w:spacing w:val="-10"/>
          <w:sz w:val="20"/>
        </w:rPr>
        <w:t> </w:t>
      </w:r>
      <w:r>
        <w:rPr>
          <w:sz w:val="20"/>
        </w:rPr>
        <w:t>equal</w:t>
      </w:r>
      <w:r>
        <w:rPr>
          <w:spacing w:val="-11"/>
          <w:sz w:val="20"/>
        </w:rPr>
        <w:t> </w:t>
      </w:r>
      <w:r>
        <w:rPr>
          <w:sz w:val="20"/>
        </w:rPr>
        <w:t>opportunity</w:t>
      </w:r>
      <w:r>
        <w:rPr>
          <w:spacing w:val="-10"/>
          <w:sz w:val="20"/>
        </w:rPr>
        <w:t> </w:t>
      </w:r>
      <w:r>
        <w:rPr>
          <w:spacing w:val="-3"/>
          <w:sz w:val="20"/>
        </w:rPr>
        <w:t>laws;</w:t>
      </w:r>
      <w:r>
        <w:rPr>
          <w:spacing w:val="-11"/>
          <w:sz w:val="20"/>
        </w:rPr>
        <w:t> </w:t>
      </w:r>
      <w:r>
        <w:rPr>
          <w:sz w:val="20"/>
        </w:rPr>
        <w:t>and</w:t>
      </w:r>
      <w:r>
        <w:rPr>
          <w:spacing w:val="-11"/>
          <w:sz w:val="20"/>
        </w:rPr>
        <w:t> </w:t>
      </w:r>
      <w:r>
        <w:rPr>
          <w:sz w:val="20"/>
        </w:rPr>
        <w:t>to</w:t>
      </w:r>
      <w:r>
        <w:rPr>
          <w:spacing w:val="-10"/>
          <w:sz w:val="20"/>
        </w:rPr>
        <w:t> </w:t>
      </w:r>
      <w:r>
        <w:rPr>
          <w:sz w:val="20"/>
        </w:rPr>
        <w:t>address conscious and unconscious bias </w:t>
      </w:r>
      <w:r>
        <w:rPr>
          <w:spacing w:val="-4"/>
          <w:sz w:val="20"/>
        </w:rPr>
        <w:t>towards </w:t>
      </w:r>
      <w:r>
        <w:rPr>
          <w:sz w:val="20"/>
        </w:rPr>
        <w:t>people with</w:t>
      </w:r>
      <w:r>
        <w:rPr>
          <w:spacing w:val="-32"/>
          <w:sz w:val="20"/>
        </w:rPr>
        <w:t> </w:t>
      </w:r>
      <w:r>
        <w:rPr>
          <w:sz w:val="20"/>
        </w:rPr>
        <w:t>disabilities.</w:t>
      </w:r>
    </w:p>
    <w:p>
      <w:pPr>
        <w:pStyle w:val="BodyText"/>
        <w:spacing w:before="8"/>
        <w:rPr>
          <w:sz w:val="25"/>
        </w:rPr>
      </w:pPr>
      <w:r>
        <w:rPr/>
        <w:pict>
          <v:line style="position:absolute;mso-position-horizontal-relative:page;mso-position-vertical-relative:paragraph;z-index:10880;mso-wrap-distance-left:0;mso-wrap-distance-right:0" from="79.370102pt,20.210340pt" to="515.905102pt,20.210340pt" stroked="true" strokeweight="1pt" strokecolor="#b6bdc8">
            <v:stroke dashstyle="solid"/>
            <w10:wrap type="topAndBottom"/>
          </v:line>
        </w:pict>
      </w:r>
    </w:p>
    <w:p>
      <w:pPr>
        <w:pStyle w:val="BodyText"/>
        <w:rPr>
          <w:sz w:val="5"/>
        </w:rPr>
      </w:pPr>
    </w:p>
    <w:p>
      <w:pPr>
        <w:spacing w:after="0"/>
        <w:rPr>
          <w:sz w:val="5"/>
        </w:rPr>
        <w:sectPr>
          <w:headerReference w:type="default" r:id="rId253"/>
          <w:headerReference w:type="even" r:id="rId254"/>
          <w:pgSz w:w="11910" w:h="16840"/>
          <w:pgMar w:header="0" w:footer="0" w:top="840" w:bottom="280" w:left="620" w:right="380"/>
        </w:sectPr>
      </w:pPr>
    </w:p>
    <w:p>
      <w:pPr>
        <w:pStyle w:val="ListParagraph"/>
        <w:numPr>
          <w:ilvl w:val="0"/>
          <w:numId w:val="121"/>
        </w:numPr>
        <w:tabs>
          <w:tab w:pos="1760" w:val="left" w:leader="none"/>
          <w:tab w:pos="1762" w:val="left" w:leader="none"/>
        </w:tabs>
        <w:spacing w:line="213" w:lineRule="auto" w:before="38" w:after="0"/>
        <w:ind w:left="1761" w:right="4" w:hanging="794"/>
        <w:jc w:val="left"/>
        <w:rPr>
          <w:sz w:val="13"/>
        </w:rPr>
      </w:pPr>
      <w:r>
        <w:rPr>
          <w:sz w:val="13"/>
        </w:rPr>
        <w:t>David </w:t>
      </w:r>
      <w:r>
        <w:rPr>
          <w:spacing w:val="2"/>
          <w:sz w:val="13"/>
        </w:rPr>
        <w:t>Spencer </w:t>
      </w:r>
      <w:r>
        <w:rPr>
          <w:sz w:val="13"/>
        </w:rPr>
        <w:t>et </w:t>
      </w:r>
      <w:r>
        <w:rPr>
          <w:spacing w:val="2"/>
          <w:sz w:val="13"/>
        </w:rPr>
        <w:t>al, </w:t>
      </w:r>
      <w:r>
        <w:rPr>
          <w:sz w:val="13"/>
        </w:rPr>
        <w:t>‘Justice Is </w:t>
      </w:r>
      <w:r>
        <w:rPr>
          <w:spacing w:val="2"/>
          <w:sz w:val="13"/>
        </w:rPr>
        <w:t>Blind </w:t>
      </w:r>
      <w:r>
        <w:rPr>
          <w:sz w:val="13"/>
        </w:rPr>
        <w:t>as Long as It Isn’t Deaf: Excluding Deaf People from </w:t>
      </w:r>
      <w:r>
        <w:rPr>
          <w:spacing w:val="2"/>
          <w:sz w:val="13"/>
        </w:rPr>
        <w:t>Jury </w:t>
      </w:r>
      <w:r>
        <w:rPr>
          <w:sz w:val="13"/>
        </w:rPr>
        <w:t>Duty—an Australian Human Rights Breach’ (2017) </w:t>
      </w:r>
      <w:r>
        <w:rPr>
          <w:spacing w:val="2"/>
          <w:sz w:val="13"/>
        </w:rPr>
        <w:t>23(3) </w:t>
      </w:r>
      <w:r>
        <w:rPr>
          <w:i/>
          <w:sz w:val="13"/>
        </w:rPr>
        <w:t>Australian Journal of Human </w:t>
      </w:r>
      <w:r>
        <w:rPr>
          <w:i/>
          <w:spacing w:val="2"/>
          <w:sz w:val="13"/>
        </w:rPr>
        <w:t>Rights </w:t>
      </w:r>
      <w:r>
        <w:rPr>
          <w:sz w:val="13"/>
        </w:rPr>
        <w:t>332, 332,</w:t>
      </w:r>
      <w:r>
        <w:rPr>
          <w:spacing w:val="2"/>
          <w:sz w:val="13"/>
        </w:rPr>
        <w:t> </w:t>
      </w:r>
      <w:r>
        <w:rPr>
          <w:sz w:val="13"/>
        </w:rPr>
        <w:t>341–3.</w:t>
      </w:r>
    </w:p>
    <w:p>
      <w:pPr>
        <w:pStyle w:val="ListParagraph"/>
        <w:numPr>
          <w:ilvl w:val="0"/>
          <w:numId w:val="121"/>
        </w:numPr>
        <w:tabs>
          <w:tab w:pos="1760" w:val="left" w:leader="none"/>
          <w:tab w:pos="1762" w:val="left" w:leader="none"/>
        </w:tabs>
        <w:spacing w:line="213" w:lineRule="auto" w:before="0" w:after="0"/>
        <w:ind w:left="1761" w:right="68" w:hanging="794"/>
        <w:jc w:val="left"/>
        <w:rPr>
          <w:sz w:val="13"/>
        </w:rPr>
      </w:pPr>
      <w:r>
        <w:rPr>
          <w:sz w:val="13"/>
        </w:rPr>
        <w:t>Jemina </w:t>
      </w:r>
      <w:r>
        <w:rPr>
          <w:spacing w:val="2"/>
          <w:sz w:val="13"/>
        </w:rPr>
        <w:t>Napier </w:t>
      </w:r>
      <w:r>
        <w:rPr>
          <w:sz w:val="13"/>
        </w:rPr>
        <w:t>and </w:t>
      </w:r>
      <w:r>
        <w:rPr>
          <w:spacing w:val="2"/>
          <w:sz w:val="13"/>
        </w:rPr>
        <w:t>Alastair </w:t>
      </w:r>
      <w:r>
        <w:rPr>
          <w:sz w:val="13"/>
        </w:rPr>
        <w:t>McEwin, </w:t>
      </w:r>
      <w:r>
        <w:rPr>
          <w:spacing w:val="2"/>
          <w:sz w:val="13"/>
        </w:rPr>
        <w:t>‘Do </w:t>
      </w:r>
      <w:r>
        <w:rPr>
          <w:sz w:val="13"/>
        </w:rPr>
        <w:t>Deaf People Have the Right to Serve as Jurors in Australia?’ (2015) </w:t>
      </w:r>
      <w:r>
        <w:rPr>
          <w:spacing w:val="2"/>
          <w:sz w:val="13"/>
        </w:rPr>
        <w:t>40(1) </w:t>
      </w:r>
      <w:r>
        <w:rPr>
          <w:i/>
          <w:sz w:val="13"/>
        </w:rPr>
        <w:t>Alternative Law </w:t>
      </w:r>
      <w:r>
        <w:rPr>
          <w:i/>
          <w:sz w:val="13"/>
        </w:rPr>
        <w:t>Journal </w:t>
      </w:r>
      <w:r>
        <w:rPr>
          <w:spacing w:val="2"/>
          <w:sz w:val="13"/>
        </w:rPr>
        <w:t>23,</w:t>
      </w:r>
      <w:r>
        <w:rPr>
          <w:sz w:val="13"/>
        </w:rPr>
        <w:t> 26.</w:t>
      </w:r>
    </w:p>
    <w:p>
      <w:pPr>
        <w:pStyle w:val="ListParagraph"/>
        <w:numPr>
          <w:ilvl w:val="0"/>
          <w:numId w:val="121"/>
        </w:numPr>
        <w:tabs>
          <w:tab w:pos="1760" w:val="left" w:leader="none"/>
          <w:tab w:pos="1762" w:val="left" w:leader="none"/>
        </w:tabs>
        <w:spacing w:line="153" w:lineRule="exact" w:before="0" w:after="0"/>
        <w:ind w:left="1761" w:right="0" w:hanging="794"/>
        <w:jc w:val="left"/>
        <w:rPr>
          <w:sz w:val="13"/>
        </w:rPr>
      </w:pPr>
      <w:r>
        <w:rPr>
          <w:spacing w:val="2"/>
          <w:sz w:val="13"/>
        </w:rPr>
        <w:t>Ibid.</w:t>
      </w:r>
    </w:p>
    <w:p>
      <w:pPr>
        <w:pStyle w:val="ListParagraph"/>
        <w:numPr>
          <w:ilvl w:val="0"/>
          <w:numId w:val="121"/>
        </w:numPr>
        <w:tabs>
          <w:tab w:pos="1760" w:val="left" w:leader="none"/>
          <w:tab w:pos="1762" w:val="left" w:leader="none"/>
        </w:tabs>
        <w:spacing w:line="213" w:lineRule="auto" w:before="5" w:after="0"/>
        <w:ind w:left="1761" w:right="34" w:hanging="794"/>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121"/>
        </w:numPr>
        <w:tabs>
          <w:tab w:pos="1760" w:val="left" w:leader="none"/>
          <w:tab w:pos="1762" w:val="left" w:leader="none"/>
        </w:tabs>
        <w:spacing w:line="153" w:lineRule="exact" w:before="0" w:after="0"/>
        <w:ind w:left="1761" w:right="0" w:hanging="794"/>
        <w:jc w:val="left"/>
        <w:rPr>
          <w:sz w:val="13"/>
        </w:rPr>
      </w:pPr>
      <w:r>
        <w:rPr>
          <w:spacing w:val="2"/>
          <w:sz w:val="13"/>
        </w:rPr>
        <w:t>Online </w:t>
      </w:r>
      <w:r>
        <w:rPr>
          <w:sz w:val="13"/>
        </w:rPr>
        <w:t>Survey (Response</w:t>
      </w:r>
      <w:r>
        <w:rPr>
          <w:spacing w:val="-2"/>
          <w:sz w:val="13"/>
        </w:rPr>
        <w:t> </w:t>
      </w:r>
      <w:r>
        <w:rPr>
          <w:sz w:val="13"/>
        </w:rPr>
        <w:t>2).</w:t>
      </w:r>
    </w:p>
    <w:p>
      <w:pPr>
        <w:pStyle w:val="ListParagraph"/>
        <w:numPr>
          <w:ilvl w:val="0"/>
          <w:numId w:val="121"/>
        </w:numPr>
        <w:tabs>
          <w:tab w:pos="1760" w:val="left" w:leader="none"/>
          <w:tab w:pos="1762" w:val="left" w:leader="none"/>
        </w:tabs>
        <w:spacing w:line="213" w:lineRule="auto" w:before="6" w:after="0"/>
        <w:ind w:left="1761" w:right="0" w:hanging="794"/>
        <w:jc w:val="both"/>
        <w:rPr>
          <w:sz w:val="13"/>
        </w:rPr>
      </w:pPr>
      <w:r>
        <w:rPr>
          <w:spacing w:val="2"/>
          <w:sz w:val="13"/>
        </w:rPr>
        <w:t>‘Disability </w:t>
      </w:r>
      <w:r>
        <w:rPr>
          <w:sz w:val="13"/>
        </w:rPr>
        <w:t>Awareness’, </w:t>
      </w:r>
      <w:r>
        <w:rPr>
          <w:i/>
          <w:sz w:val="13"/>
        </w:rPr>
        <w:t>Disability Awareness Courses </w:t>
      </w:r>
      <w:r>
        <w:rPr>
          <w:sz w:val="13"/>
        </w:rPr>
        <w:t>(Web Page, 2022) &lt;</w:t>
      </w:r>
      <w:hyperlink r:id="rId255">
        <w:r>
          <w:rPr>
            <w:sz w:val="13"/>
          </w:rPr>
          <w:t>https://disabilityawareness.com.au/elearning/disability-</w:t>
        </w:r>
      </w:hyperlink>
      <w:hyperlink r:id="rId255">
        <w:r>
          <w:rPr>
            <w:sz w:val="13"/>
          </w:rPr>
          <w:t> awareness/</w:t>
        </w:r>
      </w:hyperlink>
      <w:r>
        <w:rPr>
          <w:sz w:val="13"/>
        </w:rPr>
        <w:t>&gt;. See </w:t>
      </w:r>
      <w:r>
        <w:rPr>
          <w:spacing w:val="2"/>
          <w:sz w:val="13"/>
        </w:rPr>
        <w:t>also ‘Disability </w:t>
      </w:r>
      <w:r>
        <w:rPr>
          <w:sz w:val="13"/>
        </w:rPr>
        <w:t>Awareness Programs’, </w:t>
      </w:r>
      <w:r>
        <w:rPr>
          <w:i/>
          <w:sz w:val="13"/>
        </w:rPr>
        <w:t>Diversity Australia </w:t>
      </w:r>
      <w:r>
        <w:rPr>
          <w:sz w:val="13"/>
        </w:rPr>
        <w:t>(Web Page) &lt;</w:t>
      </w:r>
      <w:hyperlink r:id="rId256">
        <w:r>
          <w:rPr>
            <w:sz w:val="13"/>
          </w:rPr>
          <w:t>https://www.diversityaustralia.com.au/</w:t>
        </w:r>
      </w:hyperlink>
      <w:hyperlink r:id="rId256">
        <w:r>
          <w:rPr>
            <w:sz w:val="13"/>
          </w:rPr>
          <w:t> training/disability_awareness/</w:t>
        </w:r>
      </w:hyperlink>
      <w:r>
        <w:rPr>
          <w:sz w:val="13"/>
        </w:rPr>
        <w:t>&gt;.</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9"/>
        <w:rPr>
          <w:sz w:val="23"/>
        </w:rPr>
      </w:pPr>
    </w:p>
    <w:p>
      <w:pPr>
        <w:spacing w:before="0"/>
        <w:ind w:left="611" w:right="0" w:firstLine="0"/>
        <w:jc w:val="left"/>
        <w:rPr>
          <w:b/>
          <w:sz w:val="24"/>
        </w:rPr>
      </w:pPr>
      <w:r>
        <w:rPr>
          <w:b/>
          <w:color w:val="37617A"/>
          <w:sz w:val="24"/>
        </w:rPr>
        <w:t>207</w:t>
      </w:r>
    </w:p>
    <w:p>
      <w:pPr>
        <w:spacing w:after="0"/>
        <w:jc w:val="left"/>
        <w:rPr>
          <w:sz w:val="24"/>
        </w:rPr>
        <w:sectPr>
          <w:type w:val="continuous"/>
          <w:pgSz w:w="11910" w:h="16840"/>
          <w:pgMar w:top="620" w:bottom="280" w:left="620" w:right="380"/>
          <w:cols w:num="2" w:equalWidth="0">
            <w:col w:w="9636" w:space="40"/>
            <w:col w:w="1234"/>
          </w:cols>
        </w:sectPr>
      </w:pPr>
    </w:p>
    <w:p>
      <w:pPr>
        <w:pStyle w:val="BodyText"/>
        <w:rPr>
          <w:b/>
        </w:rPr>
      </w:pPr>
    </w:p>
    <w:p>
      <w:pPr>
        <w:pStyle w:val="BodyText"/>
        <w:rPr>
          <w:b/>
        </w:rPr>
      </w:pPr>
    </w:p>
    <w:p>
      <w:pPr>
        <w:pStyle w:val="BodyText"/>
        <w:rPr>
          <w:b/>
        </w:rPr>
      </w:pPr>
    </w:p>
    <w:p>
      <w:pPr>
        <w:pStyle w:val="BodyText"/>
        <w:spacing w:before="5"/>
        <w:rPr>
          <w:b/>
          <w:sz w:val="14"/>
        </w:rPr>
      </w:pPr>
    </w:p>
    <w:p>
      <w:pPr>
        <w:pStyle w:val="ListParagraph"/>
        <w:numPr>
          <w:ilvl w:val="1"/>
          <w:numId w:val="12"/>
        </w:numPr>
        <w:tabs>
          <w:tab w:pos="1761" w:val="left" w:leader="none"/>
          <w:tab w:pos="1762" w:val="left" w:leader="none"/>
        </w:tabs>
        <w:spacing w:line="206" w:lineRule="auto" w:before="90" w:after="0"/>
        <w:ind w:left="1761" w:right="1310" w:hanging="794"/>
        <w:jc w:val="left"/>
        <w:rPr>
          <w:sz w:val="20"/>
        </w:rPr>
      </w:pPr>
      <w:bookmarkStart w:name="_bookmark152" w:id="363"/>
      <w:bookmarkEnd w:id="363"/>
      <w:r>
        <w:rPr/>
      </w:r>
      <w:bookmarkStart w:name="_bookmark152" w:id="364"/>
      <w:bookmarkEnd w:id="364"/>
      <w:r>
        <w:rPr>
          <w:sz w:val="20"/>
        </w:rPr>
        <w:t>I</w:t>
      </w:r>
      <w:r>
        <w:rPr>
          <w:sz w:val="20"/>
        </w:rPr>
        <w:t>t is important to tackle attitudinal and practical obstacles that combine with a person’s</w:t>
      </w:r>
      <w:r>
        <w:rPr>
          <w:spacing w:val="-11"/>
          <w:sz w:val="20"/>
        </w:rPr>
        <w:t> </w:t>
      </w:r>
      <w:r>
        <w:rPr>
          <w:sz w:val="20"/>
        </w:rPr>
        <w:t>abilities</w:t>
      </w:r>
      <w:r>
        <w:rPr>
          <w:spacing w:val="-11"/>
          <w:sz w:val="20"/>
        </w:rPr>
        <w:t> </w:t>
      </w:r>
      <w:r>
        <w:rPr>
          <w:sz w:val="20"/>
        </w:rPr>
        <w:t>to</w:t>
      </w:r>
      <w:r>
        <w:rPr>
          <w:spacing w:val="-10"/>
          <w:sz w:val="20"/>
        </w:rPr>
        <w:t> </w:t>
      </w:r>
      <w:r>
        <w:rPr>
          <w:spacing w:val="-3"/>
          <w:sz w:val="20"/>
        </w:rPr>
        <w:t>create</w:t>
      </w:r>
      <w:r>
        <w:rPr>
          <w:spacing w:val="-11"/>
          <w:sz w:val="20"/>
        </w:rPr>
        <w:t> </w:t>
      </w:r>
      <w:r>
        <w:rPr>
          <w:sz w:val="20"/>
        </w:rPr>
        <w:t>disadvantage</w:t>
      </w:r>
      <w:r>
        <w:rPr>
          <w:spacing w:val="-11"/>
          <w:sz w:val="20"/>
        </w:rPr>
        <w:t> </w:t>
      </w:r>
      <w:r>
        <w:rPr>
          <w:sz w:val="20"/>
        </w:rPr>
        <w:t>or</w:t>
      </w:r>
      <w:r>
        <w:rPr>
          <w:spacing w:val="-10"/>
          <w:sz w:val="20"/>
        </w:rPr>
        <w:t> </w:t>
      </w:r>
      <w:r>
        <w:rPr>
          <w:spacing w:val="-3"/>
          <w:sz w:val="20"/>
        </w:rPr>
        <w:t>exclude</w:t>
      </w:r>
      <w:r>
        <w:rPr>
          <w:spacing w:val="-11"/>
          <w:sz w:val="20"/>
        </w:rPr>
        <w:t> </w:t>
      </w:r>
      <w:r>
        <w:rPr>
          <w:sz w:val="20"/>
        </w:rPr>
        <w:t>them</w:t>
      </w:r>
      <w:r>
        <w:rPr>
          <w:spacing w:val="-10"/>
          <w:sz w:val="20"/>
        </w:rPr>
        <w:t> </w:t>
      </w:r>
      <w:r>
        <w:rPr>
          <w:spacing w:val="-3"/>
          <w:sz w:val="20"/>
        </w:rPr>
        <w:t>from</w:t>
      </w:r>
      <w:r>
        <w:rPr>
          <w:spacing w:val="-11"/>
          <w:sz w:val="20"/>
        </w:rPr>
        <w:t> </w:t>
      </w:r>
      <w:r>
        <w:rPr>
          <w:sz w:val="20"/>
        </w:rPr>
        <w:t>jury</w:t>
      </w:r>
      <w:r>
        <w:rPr>
          <w:spacing w:val="-11"/>
          <w:sz w:val="20"/>
        </w:rPr>
        <w:t> </w:t>
      </w:r>
      <w:r>
        <w:rPr>
          <w:sz w:val="20"/>
        </w:rPr>
        <w:t>selection.</w:t>
      </w:r>
      <w:r>
        <w:rPr>
          <w:spacing w:val="-10"/>
          <w:sz w:val="20"/>
        </w:rPr>
        <w:t> </w:t>
      </w:r>
      <w:r>
        <w:rPr>
          <w:sz w:val="20"/>
        </w:rPr>
        <w:t>Disability </w:t>
      </w:r>
      <w:r>
        <w:rPr>
          <w:spacing w:val="-3"/>
          <w:sz w:val="20"/>
        </w:rPr>
        <w:t>awareness </w:t>
      </w:r>
      <w:r>
        <w:rPr>
          <w:sz w:val="20"/>
        </w:rPr>
        <w:t>training should </w:t>
      </w:r>
      <w:r>
        <w:rPr>
          <w:spacing w:val="-4"/>
          <w:sz w:val="20"/>
        </w:rPr>
        <w:t>have </w:t>
      </w:r>
      <w:r>
        <w:rPr>
          <w:sz w:val="20"/>
        </w:rPr>
        <w:t>a practical focus and </w:t>
      </w:r>
      <w:r>
        <w:rPr>
          <w:spacing w:val="-4"/>
          <w:sz w:val="20"/>
        </w:rPr>
        <w:t>cover </w:t>
      </w:r>
      <w:r>
        <w:rPr>
          <w:sz w:val="20"/>
        </w:rPr>
        <w:t>the range of adjustments that will break </w:t>
      </w:r>
      <w:r>
        <w:rPr>
          <w:spacing w:val="-3"/>
          <w:sz w:val="20"/>
        </w:rPr>
        <w:t>down </w:t>
      </w:r>
      <w:r>
        <w:rPr>
          <w:sz w:val="20"/>
        </w:rPr>
        <w:t>barriers to</w:t>
      </w:r>
      <w:r>
        <w:rPr>
          <w:spacing w:val="-25"/>
          <w:sz w:val="20"/>
        </w:rPr>
        <w:t> </w:t>
      </w:r>
      <w:r>
        <w:rPr>
          <w:sz w:val="20"/>
        </w:rPr>
        <w:t>participation.</w:t>
      </w:r>
    </w:p>
    <w:p>
      <w:pPr>
        <w:pStyle w:val="ListParagraph"/>
        <w:numPr>
          <w:ilvl w:val="1"/>
          <w:numId w:val="12"/>
        </w:numPr>
        <w:tabs>
          <w:tab w:pos="1761" w:val="left" w:leader="none"/>
          <w:tab w:pos="1762" w:val="left" w:leader="none"/>
        </w:tabs>
        <w:spacing w:line="206" w:lineRule="auto" w:before="125" w:after="0"/>
        <w:ind w:left="1761" w:right="1342" w:hanging="794"/>
        <w:jc w:val="left"/>
        <w:rPr>
          <w:sz w:val="20"/>
        </w:rPr>
      </w:pPr>
      <w:r>
        <w:rPr>
          <w:spacing w:val="-5"/>
          <w:sz w:val="20"/>
        </w:rPr>
        <w:t>Youth</w:t>
      </w:r>
      <w:r>
        <w:rPr>
          <w:spacing w:val="-10"/>
          <w:sz w:val="20"/>
        </w:rPr>
        <w:t> </w:t>
      </w:r>
      <w:r>
        <w:rPr>
          <w:sz w:val="20"/>
        </w:rPr>
        <w:t>Disability</w:t>
      </w:r>
      <w:r>
        <w:rPr>
          <w:spacing w:val="-10"/>
          <w:sz w:val="20"/>
        </w:rPr>
        <w:t> </w:t>
      </w:r>
      <w:r>
        <w:rPr>
          <w:spacing w:val="-3"/>
          <w:sz w:val="20"/>
        </w:rPr>
        <w:t>Advocacy</w:t>
      </w:r>
      <w:r>
        <w:rPr>
          <w:spacing w:val="-10"/>
          <w:sz w:val="20"/>
        </w:rPr>
        <w:t> </w:t>
      </w:r>
      <w:r>
        <w:rPr>
          <w:sz w:val="20"/>
        </w:rPr>
        <w:t>Service</w:t>
      </w:r>
      <w:r>
        <w:rPr>
          <w:spacing w:val="-9"/>
          <w:sz w:val="20"/>
        </w:rPr>
        <w:t> </w:t>
      </w:r>
      <w:r>
        <w:rPr>
          <w:sz w:val="20"/>
        </w:rPr>
        <w:t>(YDAS)</w:t>
      </w:r>
      <w:r>
        <w:rPr>
          <w:spacing w:val="-10"/>
          <w:sz w:val="20"/>
        </w:rPr>
        <w:t> </w:t>
      </w:r>
      <w:r>
        <w:rPr>
          <w:sz w:val="20"/>
        </w:rPr>
        <w:t>suggested</w:t>
      </w:r>
      <w:r>
        <w:rPr>
          <w:spacing w:val="-10"/>
          <w:sz w:val="20"/>
        </w:rPr>
        <w:t> </w:t>
      </w:r>
      <w:r>
        <w:rPr>
          <w:sz w:val="20"/>
        </w:rPr>
        <w:t>that</w:t>
      </w:r>
      <w:r>
        <w:rPr>
          <w:spacing w:val="-9"/>
          <w:sz w:val="20"/>
        </w:rPr>
        <w:t> </w:t>
      </w:r>
      <w:r>
        <w:rPr>
          <w:sz w:val="20"/>
        </w:rPr>
        <w:t>disability</w:t>
      </w:r>
      <w:r>
        <w:rPr>
          <w:spacing w:val="-10"/>
          <w:sz w:val="20"/>
        </w:rPr>
        <w:t> </w:t>
      </w:r>
      <w:r>
        <w:rPr>
          <w:spacing w:val="-3"/>
          <w:sz w:val="20"/>
        </w:rPr>
        <w:t>awareness</w:t>
      </w:r>
      <w:r>
        <w:rPr>
          <w:spacing w:val="-10"/>
          <w:sz w:val="20"/>
        </w:rPr>
        <w:t> </w:t>
      </w:r>
      <w:r>
        <w:rPr>
          <w:sz w:val="20"/>
        </w:rPr>
        <w:t>training ‘should be happening </w:t>
      </w:r>
      <w:r>
        <w:rPr>
          <w:spacing w:val="-3"/>
          <w:sz w:val="20"/>
        </w:rPr>
        <w:t>regardless </w:t>
      </w:r>
      <w:r>
        <w:rPr>
          <w:sz w:val="20"/>
        </w:rPr>
        <w:t>of this project. It should already be occurring for </w:t>
      </w:r>
      <w:r>
        <w:rPr>
          <w:spacing w:val="-3"/>
          <w:sz w:val="20"/>
        </w:rPr>
        <w:t>anyone </w:t>
      </w:r>
      <w:r>
        <w:rPr>
          <w:spacing w:val="-4"/>
          <w:sz w:val="20"/>
        </w:rPr>
        <w:t>involved </w:t>
      </w:r>
      <w:r>
        <w:rPr>
          <w:sz w:val="20"/>
        </w:rPr>
        <w:t>in the court process because people with disabilities </w:t>
      </w:r>
      <w:r>
        <w:rPr>
          <w:spacing w:val="-3"/>
          <w:sz w:val="20"/>
        </w:rPr>
        <w:t>are </w:t>
      </w:r>
      <w:r>
        <w:rPr>
          <w:sz w:val="20"/>
        </w:rPr>
        <w:t>already regularly </w:t>
      </w:r>
      <w:r>
        <w:rPr>
          <w:spacing w:val="-4"/>
          <w:sz w:val="20"/>
        </w:rPr>
        <w:t>involved </w:t>
      </w:r>
      <w:r>
        <w:rPr>
          <w:sz w:val="20"/>
        </w:rPr>
        <w:t>in those </w:t>
      </w:r>
      <w:r>
        <w:rPr>
          <w:spacing w:val="-3"/>
          <w:sz w:val="20"/>
        </w:rPr>
        <w:t>processes.’</w:t>
      </w:r>
      <w:r>
        <w:rPr>
          <w:spacing w:val="-3"/>
          <w:position w:val="7"/>
          <w:sz w:val="11"/>
        </w:rPr>
        <w:t>11 </w:t>
      </w:r>
      <w:r>
        <w:rPr>
          <w:sz w:val="20"/>
        </w:rPr>
        <w:t>In its submission Victoria Legal Aid (VLA) noted that </w:t>
      </w:r>
      <w:r>
        <w:rPr>
          <w:spacing w:val="-4"/>
          <w:sz w:val="20"/>
        </w:rPr>
        <w:t>‘over </w:t>
      </w:r>
      <w:r>
        <w:rPr>
          <w:sz w:val="20"/>
        </w:rPr>
        <w:t>one quarter of VLA clients </w:t>
      </w:r>
      <w:r>
        <w:rPr>
          <w:spacing w:val="-3"/>
          <w:sz w:val="20"/>
        </w:rPr>
        <w:t>across </w:t>
      </w:r>
      <w:r>
        <w:rPr>
          <w:sz w:val="20"/>
        </w:rPr>
        <w:t>Victoria disclose </w:t>
      </w:r>
      <w:r>
        <w:rPr>
          <w:spacing w:val="-3"/>
          <w:sz w:val="20"/>
        </w:rPr>
        <w:t>having </w:t>
      </w:r>
      <w:r>
        <w:rPr>
          <w:sz w:val="20"/>
        </w:rPr>
        <w:t>a disability or experiencing mental health </w:t>
      </w:r>
      <w:r>
        <w:rPr>
          <w:spacing w:val="-3"/>
          <w:sz w:val="20"/>
        </w:rPr>
        <w:t>issues’.</w:t>
      </w:r>
      <w:r>
        <w:rPr>
          <w:spacing w:val="-3"/>
          <w:position w:val="7"/>
          <w:sz w:val="11"/>
        </w:rPr>
        <w:t>12 </w:t>
      </w:r>
      <w:r>
        <w:rPr>
          <w:sz w:val="20"/>
        </w:rPr>
        <w:t>Disability </w:t>
      </w:r>
      <w:r>
        <w:rPr>
          <w:spacing w:val="-3"/>
          <w:sz w:val="20"/>
        </w:rPr>
        <w:t>awareness </w:t>
      </w:r>
      <w:r>
        <w:rPr>
          <w:sz w:val="20"/>
        </w:rPr>
        <w:t>training will assist with the implementation of the recommendations in this report and with </w:t>
      </w:r>
      <w:r>
        <w:rPr>
          <w:spacing w:val="-3"/>
          <w:sz w:val="20"/>
        </w:rPr>
        <w:t>improving </w:t>
      </w:r>
      <w:r>
        <w:rPr>
          <w:sz w:val="20"/>
        </w:rPr>
        <w:t>the experience</w:t>
      </w:r>
      <w:r>
        <w:rPr>
          <w:spacing w:val="-7"/>
          <w:sz w:val="20"/>
        </w:rPr>
        <w:t> </w:t>
      </w:r>
      <w:r>
        <w:rPr>
          <w:sz w:val="20"/>
        </w:rPr>
        <w:t>of</w:t>
      </w:r>
      <w:r>
        <w:rPr>
          <w:spacing w:val="-6"/>
          <w:sz w:val="20"/>
        </w:rPr>
        <w:t> </w:t>
      </w:r>
      <w:r>
        <w:rPr>
          <w:sz w:val="20"/>
        </w:rPr>
        <w:t>people</w:t>
      </w:r>
      <w:r>
        <w:rPr>
          <w:spacing w:val="-7"/>
          <w:sz w:val="20"/>
        </w:rPr>
        <w:t> </w:t>
      </w:r>
      <w:r>
        <w:rPr>
          <w:sz w:val="20"/>
        </w:rPr>
        <w:t>with</w:t>
      </w:r>
      <w:r>
        <w:rPr>
          <w:spacing w:val="-6"/>
          <w:sz w:val="20"/>
        </w:rPr>
        <w:t> </w:t>
      </w:r>
      <w:r>
        <w:rPr>
          <w:sz w:val="20"/>
        </w:rPr>
        <w:t>disabilities</w:t>
      </w:r>
      <w:r>
        <w:rPr>
          <w:spacing w:val="-6"/>
          <w:sz w:val="20"/>
        </w:rPr>
        <w:t> </w:t>
      </w:r>
      <w:r>
        <w:rPr>
          <w:sz w:val="20"/>
        </w:rPr>
        <w:t>in</w:t>
      </w:r>
      <w:r>
        <w:rPr>
          <w:spacing w:val="-7"/>
          <w:sz w:val="20"/>
        </w:rPr>
        <w:t> </w:t>
      </w:r>
      <w:r>
        <w:rPr>
          <w:sz w:val="20"/>
        </w:rPr>
        <w:t>the</w:t>
      </w:r>
      <w:r>
        <w:rPr>
          <w:spacing w:val="-6"/>
          <w:sz w:val="20"/>
        </w:rPr>
        <w:t> </w:t>
      </w:r>
      <w:r>
        <w:rPr>
          <w:sz w:val="20"/>
        </w:rPr>
        <w:t>justice</w:t>
      </w:r>
      <w:r>
        <w:rPr>
          <w:spacing w:val="-7"/>
          <w:sz w:val="20"/>
        </w:rPr>
        <w:t> </w:t>
      </w:r>
      <w:r>
        <w:rPr>
          <w:sz w:val="20"/>
        </w:rPr>
        <w:t>system</w:t>
      </w:r>
      <w:r>
        <w:rPr>
          <w:spacing w:val="-6"/>
          <w:sz w:val="20"/>
        </w:rPr>
        <w:t> </w:t>
      </w:r>
      <w:r>
        <w:rPr>
          <w:sz w:val="20"/>
        </w:rPr>
        <w:t>more</w:t>
      </w:r>
      <w:r>
        <w:rPr>
          <w:spacing w:val="-6"/>
          <w:sz w:val="20"/>
        </w:rPr>
        <w:t> </w:t>
      </w:r>
      <w:r>
        <w:rPr>
          <w:spacing w:val="-4"/>
          <w:sz w:val="20"/>
        </w:rPr>
        <w:t>broadly.</w:t>
      </w:r>
    </w:p>
    <w:p>
      <w:pPr>
        <w:spacing w:before="168"/>
        <w:ind w:left="967" w:right="0" w:firstLine="0"/>
        <w:jc w:val="left"/>
        <w:rPr>
          <w:b/>
          <w:sz w:val="24"/>
        </w:rPr>
      </w:pPr>
      <w:r>
        <w:rPr>
          <w:b/>
          <w:sz w:val="24"/>
        </w:rPr>
        <w:t>Community responses: disability awareness training is important</w:t>
      </w:r>
    </w:p>
    <w:p>
      <w:pPr>
        <w:pStyle w:val="BodyText"/>
        <w:spacing w:before="3"/>
        <w:rPr>
          <w:b/>
          <w:sz w:val="14"/>
        </w:rPr>
      </w:pPr>
      <w:r>
        <w:rPr/>
        <w:pict>
          <v:line style="position:absolute;mso-position-horizontal-relative:page;mso-position-vertical-relative:paragraph;z-index:10904;mso-wrap-distance-left:0;mso-wrap-distance-right:0" from="79.370102pt,12.0685pt" to="515.905102pt,12.0685pt" stroked="true" strokeweight=".5pt" strokecolor="#8f9dad">
            <v:stroke dashstyle="solid"/>
            <w10:wrap type="topAndBottom"/>
          </v:line>
        </w:pict>
      </w:r>
    </w:p>
    <w:p>
      <w:pPr>
        <w:spacing w:line="247" w:lineRule="auto" w:before="223"/>
        <w:ind w:left="1985" w:right="2223" w:firstLine="58"/>
        <w:jc w:val="both"/>
        <w:rPr>
          <w:rFonts w:ascii="Trebuchet MS" w:hAnsi="Trebuchet MS"/>
          <w:sz w:val="19"/>
        </w:rPr>
      </w:pPr>
      <w:r>
        <w:rPr>
          <w:rFonts w:ascii="Trebuchet MS" w:hAnsi="Trebuchet MS"/>
          <w:i/>
          <w:color w:val="37617A"/>
          <w:sz w:val="20"/>
        </w:rPr>
        <w:t>It upsets me when people assume that because you have one disability it </w:t>
      </w:r>
      <w:r>
        <w:rPr>
          <w:rFonts w:ascii="Trebuchet MS" w:hAnsi="Trebuchet MS"/>
          <w:i/>
          <w:color w:val="37617A"/>
          <w:sz w:val="20"/>
        </w:rPr>
        <w:t>stands</w:t>
      </w:r>
      <w:r>
        <w:rPr>
          <w:rFonts w:ascii="Trebuchet MS" w:hAnsi="Trebuchet MS"/>
          <w:i/>
          <w:color w:val="37617A"/>
          <w:spacing w:val="-16"/>
          <w:sz w:val="20"/>
        </w:rPr>
        <w:t> </w:t>
      </w:r>
      <w:r>
        <w:rPr>
          <w:rFonts w:ascii="Trebuchet MS" w:hAnsi="Trebuchet MS"/>
          <w:i/>
          <w:color w:val="37617A"/>
          <w:sz w:val="20"/>
        </w:rPr>
        <w:t>to</w:t>
      </w:r>
      <w:r>
        <w:rPr>
          <w:rFonts w:ascii="Trebuchet MS" w:hAnsi="Trebuchet MS"/>
          <w:i/>
          <w:color w:val="37617A"/>
          <w:spacing w:val="-16"/>
          <w:sz w:val="20"/>
        </w:rPr>
        <w:t> </w:t>
      </w:r>
      <w:r>
        <w:rPr>
          <w:rFonts w:ascii="Trebuchet MS" w:hAnsi="Trebuchet MS"/>
          <w:i/>
          <w:color w:val="37617A"/>
          <w:sz w:val="20"/>
        </w:rPr>
        <w:t>reason</w:t>
      </w:r>
      <w:r>
        <w:rPr>
          <w:rFonts w:ascii="Trebuchet MS" w:hAnsi="Trebuchet MS"/>
          <w:i/>
          <w:color w:val="37617A"/>
          <w:spacing w:val="-16"/>
          <w:sz w:val="20"/>
        </w:rPr>
        <w:t> </w:t>
      </w:r>
      <w:r>
        <w:rPr>
          <w:rFonts w:ascii="Trebuchet MS" w:hAnsi="Trebuchet MS"/>
          <w:i/>
          <w:color w:val="37617A"/>
          <w:sz w:val="20"/>
        </w:rPr>
        <w:t>that</w:t>
      </w:r>
      <w:r>
        <w:rPr>
          <w:rFonts w:ascii="Trebuchet MS" w:hAnsi="Trebuchet MS"/>
          <w:i/>
          <w:color w:val="37617A"/>
          <w:spacing w:val="-16"/>
          <w:sz w:val="20"/>
        </w:rPr>
        <w:t> </w:t>
      </w:r>
      <w:r>
        <w:rPr>
          <w:rFonts w:ascii="Trebuchet MS" w:hAnsi="Trebuchet MS"/>
          <w:i/>
          <w:color w:val="37617A"/>
          <w:sz w:val="20"/>
        </w:rPr>
        <w:t>you</w:t>
      </w:r>
      <w:r>
        <w:rPr>
          <w:rFonts w:ascii="Trebuchet MS" w:hAnsi="Trebuchet MS"/>
          <w:i/>
          <w:color w:val="37617A"/>
          <w:spacing w:val="-16"/>
          <w:sz w:val="20"/>
        </w:rPr>
        <w:t> </w:t>
      </w:r>
      <w:r>
        <w:rPr>
          <w:rFonts w:ascii="Trebuchet MS" w:hAnsi="Trebuchet MS"/>
          <w:i/>
          <w:color w:val="37617A"/>
          <w:sz w:val="20"/>
        </w:rPr>
        <w:t>will</w:t>
      </w:r>
      <w:r>
        <w:rPr>
          <w:rFonts w:ascii="Trebuchet MS" w:hAnsi="Trebuchet MS"/>
          <w:i/>
          <w:color w:val="37617A"/>
          <w:spacing w:val="-15"/>
          <w:sz w:val="20"/>
        </w:rPr>
        <w:t> </w:t>
      </w:r>
      <w:r>
        <w:rPr>
          <w:rFonts w:ascii="Trebuchet MS" w:hAnsi="Trebuchet MS"/>
          <w:i/>
          <w:color w:val="37617A"/>
          <w:sz w:val="20"/>
        </w:rPr>
        <w:t>not</w:t>
      </w:r>
      <w:r>
        <w:rPr>
          <w:rFonts w:ascii="Trebuchet MS" w:hAnsi="Trebuchet MS"/>
          <w:i/>
          <w:color w:val="37617A"/>
          <w:spacing w:val="-16"/>
          <w:sz w:val="20"/>
        </w:rPr>
        <w:t> </w:t>
      </w:r>
      <w:r>
        <w:rPr>
          <w:rFonts w:ascii="Trebuchet MS" w:hAnsi="Trebuchet MS"/>
          <w:i/>
          <w:color w:val="37617A"/>
          <w:sz w:val="20"/>
        </w:rPr>
        <w:t>have</w:t>
      </w:r>
      <w:r>
        <w:rPr>
          <w:rFonts w:ascii="Trebuchet MS" w:hAnsi="Trebuchet MS"/>
          <w:i/>
          <w:color w:val="37617A"/>
          <w:spacing w:val="-16"/>
          <w:sz w:val="20"/>
        </w:rPr>
        <w:t> </w:t>
      </w:r>
      <w:r>
        <w:rPr>
          <w:rFonts w:ascii="Trebuchet MS" w:hAnsi="Trebuchet MS"/>
          <w:i/>
          <w:color w:val="37617A"/>
          <w:sz w:val="20"/>
        </w:rPr>
        <w:t>the</w:t>
      </w:r>
      <w:r>
        <w:rPr>
          <w:rFonts w:ascii="Trebuchet MS" w:hAnsi="Trebuchet MS"/>
          <w:i/>
          <w:color w:val="37617A"/>
          <w:spacing w:val="-16"/>
          <w:sz w:val="20"/>
        </w:rPr>
        <w:t> </w:t>
      </w:r>
      <w:r>
        <w:rPr>
          <w:rFonts w:ascii="Trebuchet MS" w:hAnsi="Trebuchet MS"/>
          <w:i/>
          <w:color w:val="37617A"/>
          <w:sz w:val="20"/>
        </w:rPr>
        <w:t>ability</w:t>
      </w:r>
      <w:r>
        <w:rPr>
          <w:rFonts w:ascii="Trebuchet MS" w:hAnsi="Trebuchet MS"/>
          <w:i/>
          <w:color w:val="37617A"/>
          <w:spacing w:val="-16"/>
          <w:sz w:val="20"/>
        </w:rPr>
        <w:t> </w:t>
      </w:r>
      <w:r>
        <w:rPr>
          <w:rFonts w:ascii="Trebuchet MS" w:hAnsi="Trebuchet MS"/>
          <w:i/>
          <w:color w:val="37617A"/>
          <w:sz w:val="20"/>
        </w:rPr>
        <w:t>to</w:t>
      </w:r>
      <w:r>
        <w:rPr>
          <w:rFonts w:ascii="Trebuchet MS" w:hAnsi="Trebuchet MS"/>
          <w:i/>
          <w:color w:val="37617A"/>
          <w:spacing w:val="-16"/>
          <w:sz w:val="20"/>
        </w:rPr>
        <w:t> </w:t>
      </w:r>
      <w:r>
        <w:rPr>
          <w:rFonts w:ascii="Trebuchet MS" w:hAnsi="Trebuchet MS"/>
          <w:i/>
          <w:color w:val="37617A"/>
          <w:sz w:val="20"/>
        </w:rPr>
        <w:t>think</w:t>
      </w:r>
      <w:r>
        <w:rPr>
          <w:rFonts w:ascii="Trebuchet MS" w:hAnsi="Trebuchet MS"/>
          <w:i/>
          <w:color w:val="37617A"/>
          <w:spacing w:val="-15"/>
          <w:sz w:val="20"/>
        </w:rPr>
        <w:t> </w:t>
      </w:r>
      <w:r>
        <w:rPr>
          <w:rFonts w:ascii="Trebuchet MS" w:hAnsi="Trebuchet MS"/>
          <w:i/>
          <w:color w:val="37617A"/>
          <w:sz w:val="20"/>
        </w:rPr>
        <w:t>or</w:t>
      </w:r>
      <w:r>
        <w:rPr>
          <w:rFonts w:ascii="Trebuchet MS" w:hAnsi="Trebuchet MS"/>
          <w:i/>
          <w:color w:val="37617A"/>
          <w:spacing w:val="-16"/>
          <w:sz w:val="20"/>
        </w:rPr>
        <w:t> </w:t>
      </w:r>
      <w:r>
        <w:rPr>
          <w:rFonts w:ascii="Trebuchet MS" w:hAnsi="Trebuchet MS"/>
          <w:i/>
          <w:color w:val="37617A"/>
          <w:sz w:val="20"/>
        </w:rPr>
        <w:t>clearly</w:t>
      </w:r>
      <w:r>
        <w:rPr>
          <w:rFonts w:ascii="Trebuchet MS" w:hAnsi="Trebuchet MS"/>
          <w:i/>
          <w:color w:val="37617A"/>
          <w:spacing w:val="-16"/>
          <w:sz w:val="20"/>
        </w:rPr>
        <w:t> </w:t>
      </w:r>
      <w:r>
        <w:rPr>
          <w:rFonts w:ascii="Trebuchet MS" w:hAnsi="Trebuchet MS"/>
          <w:i/>
          <w:color w:val="37617A"/>
          <w:sz w:val="20"/>
        </w:rPr>
        <w:t>plan </w:t>
      </w:r>
      <w:r>
        <w:rPr>
          <w:rFonts w:ascii="Trebuchet MS" w:hAnsi="Trebuchet MS"/>
          <w:i/>
          <w:color w:val="37617A"/>
          <w:w w:val="115"/>
          <w:sz w:val="20"/>
        </w:rPr>
        <w:t>a</w:t>
      </w:r>
      <w:r>
        <w:rPr>
          <w:rFonts w:ascii="Trebuchet MS" w:hAnsi="Trebuchet MS"/>
          <w:i/>
          <w:color w:val="37617A"/>
          <w:spacing w:val="-4"/>
          <w:w w:val="87"/>
          <w:sz w:val="20"/>
        </w:rPr>
        <w:t>l</w:t>
      </w:r>
      <w:r>
        <w:rPr>
          <w:rFonts w:ascii="Trebuchet MS" w:hAnsi="Trebuchet MS"/>
          <w:i/>
          <w:color w:val="37617A"/>
          <w:spacing w:val="-5"/>
          <w:w w:val="80"/>
          <w:sz w:val="20"/>
        </w:rPr>
        <w:t>t</w:t>
      </w:r>
      <w:r>
        <w:rPr>
          <w:rFonts w:ascii="Trebuchet MS" w:hAnsi="Trebuchet MS"/>
          <w:i/>
          <w:color w:val="37617A"/>
          <w:spacing w:val="1"/>
          <w:w w:val="100"/>
          <w:sz w:val="20"/>
        </w:rPr>
        <w:t>e</w:t>
      </w:r>
      <w:r>
        <w:rPr>
          <w:rFonts w:ascii="Trebuchet MS" w:hAnsi="Trebuchet MS"/>
          <w:i/>
          <w:color w:val="37617A"/>
          <w:spacing w:val="-2"/>
          <w:w w:val="84"/>
          <w:sz w:val="20"/>
        </w:rPr>
        <w:t>r</w:t>
      </w:r>
      <w:r>
        <w:rPr>
          <w:rFonts w:ascii="Trebuchet MS" w:hAnsi="Trebuchet MS"/>
          <w:i/>
          <w:color w:val="37617A"/>
          <w:w w:val="103"/>
          <w:sz w:val="20"/>
        </w:rPr>
        <w:t>n</w:t>
      </w:r>
      <w:r>
        <w:rPr>
          <w:rFonts w:ascii="Trebuchet MS" w:hAnsi="Trebuchet MS"/>
          <w:i/>
          <w:color w:val="37617A"/>
          <w:spacing w:val="-1"/>
          <w:w w:val="99"/>
          <w:sz w:val="20"/>
        </w:rPr>
        <w:t>a</w:t>
      </w:r>
      <w:r>
        <w:rPr>
          <w:rFonts w:ascii="Trebuchet MS" w:hAnsi="Trebuchet MS"/>
          <w:i/>
          <w:color w:val="37617A"/>
          <w:spacing w:val="-5"/>
          <w:w w:val="99"/>
          <w:sz w:val="20"/>
        </w:rPr>
        <w:t>t</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spacing w:val="-2"/>
          <w:w w:val="115"/>
          <w:sz w:val="20"/>
        </w:rPr>
        <w:t>a</w:t>
      </w:r>
      <w:r>
        <w:rPr>
          <w:rFonts w:ascii="Trebuchet MS" w:hAnsi="Trebuchet MS"/>
          <w:i/>
          <w:color w:val="37617A"/>
          <w:spacing w:val="-2"/>
          <w:w w:val="101"/>
          <w:sz w:val="20"/>
        </w:rPr>
        <w:t>y</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spacing w:val="-1"/>
          <w:w w:val="115"/>
          <w:sz w:val="20"/>
        </w:rPr>
        <w:t>a</w:t>
      </w:r>
      <w:r>
        <w:rPr>
          <w:rFonts w:ascii="Trebuchet MS" w:hAnsi="Trebuchet MS"/>
          <w:i/>
          <w:color w:val="37617A"/>
          <w:w w:val="115"/>
          <w:sz w:val="20"/>
        </w:rPr>
        <w:t>c</w:t>
      </w:r>
      <w:r>
        <w:rPr>
          <w:rFonts w:ascii="Trebuchet MS" w:hAnsi="Trebuchet MS"/>
          <w:i/>
          <w:color w:val="37617A"/>
          <w:w w:val="101"/>
          <w:sz w:val="20"/>
        </w:rPr>
        <w:t>h</w:t>
      </w:r>
      <w:r>
        <w:rPr>
          <w:rFonts w:ascii="Trebuchet MS" w:hAnsi="Trebuchet MS"/>
          <w:i/>
          <w:color w:val="37617A"/>
          <w:w w:val="73"/>
          <w:sz w:val="20"/>
        </w:rPr>
        <w:t>i</w:t>
      </w:r>
      <w:r>
        <w:rPr>
          <w:rFonts w:ascii="Trebuchet MS" w:hAnsi="Trebuchet MS"/>
          <w:i/>
          <w:color w:val="37617A"/>
          <w:spacing w:val="-3"/>
          <w:w w:val="100"/>
          <w:sz w:val="20"/>
        </w:rPr>
        <w:t>e</w:t>
      </w:r>
      <w:r>
        <w:rPr>
          <w:rFonts w:ascii="Trebuchet MS" w:hAnsi="Trebuchet MS"/>
          <w:i/>
          <w:color w:val="37617A"/>
          <w:spacing w:val="-3"/>
          <w:w w:val="103"/>
          <w:sz w:val="20"/>
        </w:rPr>
        <w:t>v</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w w:val="103"/>
          <w:sz w:val="20"/>
        </w:rPr>
        <w:t>u</w:t>
      </w:r>
      <w:r>
        <w:rPr>
          <w:rFonts w:ascii="Trebuchet MS" w:hAnsi="Trebuchet MS"/>
          <w:i/>
          <w:color w:val="37617A"/>
          <w:spacing w:val="-1"/>
          <w:w w:val="73"/>
          <w:sz w:val="20"/>
        </w:rPr>
        <w:t>i</w:t>
      </w:r>
      <w:r>
        <w:rPr>
          <w:rFonts w:ascii="Trebuchet MS" w:hAnsi="Trebuchet MS"/>
          <w:i/>
          <w:color w:val="37617A"/>
          <w:spacing w:val="-4"/>
          <w:w w:val="80"/>
          <w:sz w:val="20"/>
        </w:rPr>
        <w:t>t</w:t>
      </w:r>
      <w:r>
        <w:rPr>
          <w:rFonts w:ascii="Trebuchet MS" w:hAnsi="Trebuchet MS"/>
          <w:i/>
          <w:color w:val="37617A"/>
          <w:w w:val="115"/>
          <w:sz w:val="20"/>
        </w:rPr>
        <w:t>a</w:t>
      </w:r>
      <w:r>
        <w:rPr>
          <w:rFonts w:ascii="Trebuchet MS" w:hAnsi="Trebuchet MS"/>
          <w:i/>
          <w:color w:val="37617A"/>
          <w:w w:val="107"/>
          <w:sz w:val="20"/>
        </w:rPr>
        <w:t>b</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spacing w:val="-1"/>
          <w:w w:val="93"/>
          <w:sz w:val="20"/>
        </w:rPr>
        <w:t>u</w:t>
      </w:r>
      <w:r>
        <w:rPr>
          <w:rFonts w:ascii="Trebuchet MS" w:hAnsi="Trebuchet MS"/>
          <w:i/>
          <w:color w:val="37617A"/>
          <w:spacing w:val="-4"/>
          <w:w w:val="93"/>
          <w:sz w:val="20"/>
        </w:rPr>
        <w:t>t</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spacing w:val="-1"/>
          <w:w w:val="106"/>
          <w:sz w:val="20"/>
        </w:rPr>
        <w:t>m</w:t>
      </w:r>
      <w:r>
        <w:rPr>
          <w:rFonts w:ascii="Trebuchet MS" w:hAnsi="Trebuchet MS"/>
          <w:i/>
          <w:color w:val="37617A"/>
          <w:spacing w:val="1"/>
          <w:w w:val="100"/>
          <w:sz w:val="20"/>
        </w:rPr>
        <w:t>e</w:t>
      </w:r>
      <w:r>
        <w:rPr>
          <w:rFonts w:ascii="Trebuchet MS" w:hAnsi="Trebuchet MS"/>
          <w:i/>
          <w:color w:val="37617A"/>
          <w:spacing w:val="-1"/>
          <w:w w:val="54"/>
          <w:sz w:val="20"/>
        </w:rPr>
        <w:t>.</w:t>
      </w:r>
      <w:r>
        <w:rPr>
          <w:rFonts w:ascii="Trebuchet MS" w:hAnsi="Trebuchet MS"/>
          <w:i/>
          <w:color w:val="37617A"/>
          <w:spacing w:val="1"/>
          <w:w w:val="87"/>
          <w:position w:val="7"/>
          <w:sz w:val="11"/>
        </w:rPr>
        <w:t>1</w:t>
      </w:r>
      <w:r>
        <w:rPr>
          <w:rFonts w:ascii="Trebuchet MS" w:hAnsi="Trebuchet MS"/>
          <w:i/>
          <w:color w:val="37617A"/>
          <w:spacing w:val="9"/>
          <w:w w:val="104"/>
          <w:position w:val="7"/>
          <w:sz w:val="11"/>
        </w:rPr>
        <w:t>3</w:t>
      </w:r>
      <w:r>
        <w:rPr>
          <w:rFonts w:ascii="Trebuchet MS" w:hAnsi="Trebuchet MS"/>
          <w:color w:val="37617A"/>
          <w:spacing w:val="4"/>
          <w:w w:val="124"/>
          <w:sz w:val="19"/>
        </w:rPr>
        <w:t>—</w:t>
      </w:r>
      <w:r>
        <w:rPr>
          <w:rFonts w:ascii="Trebuchet MS" w:hAnsi="Trebuchet MS"/>
          <w:color w:val="37617A"/>
          <w:spacing w:val="1"/>
          <w:w w:val="111"/>
          <w:sz w:val="19"/>
        </w:rPr>
        <w:t>O</w:t>
      </w:r>
      <w:r>
        <w:rPr>
          <w:rFonts w:ascii="Trebuchet MS" w:hAnsi="Trebuchet MS"/>
          <w:color w:val="37617A"/>
          <w:spacing w:val="-1"/>
          <w:w w:val="107"/>
          <w:sz w:val="19"/>
        </w:rPr>
        <w:t>n</w:t>
      </w:r>
      <w:r>
        <w:rPr>
          <w:rFonts w:ascii="Trebuchet MS" w:hAnsi="Trebuchet MS"/>
          <w:color w:val="37617A"/>
          <w:spacing w:val="1"/>
          <w:w w:val="96"/>
          <w:sz w:val="19"/>
        </w:rPr>
        <w:t>l</w:t>
      </w:r>
      <w:r>
        <w:rPr>
          <w:rFonts w:ascii="Trebuchet MS" w:hAnsi="Trebuchet MS"/>
          <w:color w:val="37617A"/>
          <w:spacing w:val="-1"/>
          <w:w w:val="80"/>
          <w:sz w:val="19"/>
        </w:rPr>
        <w:t>i</w:t>
      </w:r>
      <w:r>
        <w:rPr>
          <w:rFonts w:ascii="Trebuchet MS" w:hAnsi="Trebuchet MS"/>
          <w:color w:val="37617A"/>
          <w:w w:val="107"/>
          <w:sz w:val="19"/>
        </w:rPr>
        <w:t>n</w:t>
      </w:r>
      <w:r>
        <w:rPr>
          <w:rFonts w:ascii="Trebuchet MS" w:hAnsi="Trebuchet MS"/>
          <w:color w:val="37617A"/>
          <w:w w:val="108"/>
          <w:sz w:val="19"/>
        </w:rPr>
        <w:t>e</w:t>
      </w:r>
      <w:r>
        <w:rPr>
          <w:rFonts w:ascii="Trebuchet MS" w:hAnsi="Trebuchet MS"/>
          <w:color w:val="37617A"/>
          <w:spacing w:val="-12"/>
          <w:sz w:val="19"/>
        </w:rPr>
        <w:t> </w:t>
      </w:r>
      <w:r>
        <w:rPr>
          <w:rFonts w:ascii="Trebuchet MS" w:hAnsi="Trebuchet MS"/>
          <w:color w:val="37617A"/>
          <w:spacing w:val="-1"/>
          <w:w w:val="122"/>
          <w:sz w:val="19"/>
        </w:rPr>
        <w:t>s</w:t>
      </w:r>
      <w:r>
        <w:rPr>
          <w:rFonts w:ascii="Trebuchet MS" w:hAnsi="Trebuchet MS"/>
          <w:color w:val="37617A"/>
          <w:w w:val="109"/>
          <w:sz w:val="19"/>
        </w:rPr>
        <w:t>u</w:t>
      </w:r>
      <w:r>
        <w:rPr>
          <w:rFonts w:ascii="Trebuchet MS" w:hAnsi="Trebuchet MS"/>
          <w:color w:val="37617A"/>
          <w:spacing w:val="4"/>
          <w:w w:val="93"/>
          <w:sz w:val="19"/>
        </w:rPr>
        <w:t>r</w:t>
      </w:r>
      <w:r>
        <w:rPr>
          <w:rFonts w:ascii="Trebuchet MS" w:hAnsi="Trebuchet MS"/>
          <w:color w:val="37617A"/>
          <w:spacing w:val="-4"/>
          <w:w w:val="109"/>
          <w:sz w:val="19"/>
        </w:rPr>
        <w:t>v</w:t>
      </w:r>
      <w:r>
        <w:rPr>
          <w:rFonts w:ascii="Trebuchet MS" w:hAnsi="Trebuchet MS"/>
          <w:color w:val="37617A"/>
          <w:spacing w:val="-3"/>
          <w:w w:val="108"/>
          <w:sz w:val="19"/>
        </w:rPr>
        <w:t>e</w:t>
      </w:r>
      <w:r>
        <w:rPr>
          <w:rFonts w:ascii="Trebuchet MS" w:hAnsi="Trebuchet MS"/>
          <w:color w:val="37617A"/>
          <w:w w:val="110"/>
          <w:sz w:val="19"/>
        </w:rPr>
        <w:t>y</w:t>
      </w:r>
      <w:r>
        <w:rPr>
          <w:rFonts w:ascii="Trebuchet MS" w:hAnsi="Trebuchet MS"/>
          <w:color w:val="37617A"/>
          <w:spacing w:val="-12"/>
          <w:sz w:val="19"/>
        </w:rPr>
        <w:t> </w:t>
      </w:r>
      <w:r>
        <w:rPr>
          <w:rFonts w:ascii="Trebuchet MS" w:hAnsi="Trebuchet MS"/>
          <w:color w:val="37617A"/>
          <w:spacing w:val="-3"/>
          <w:w w:val="93"/>
          <w:sz w:val="19"/>
        </w:rPr>
        <w:t>r</w:t>
      </w:r>
      <w:r>
        <w:rPr>
          <w:rFonts w:ascii="Trebuchet MS" w:hAnsi="Trebuchet MS"/>
          <w:color w:val="37617A"/>
          <w:spacing w:val="-1"/>
          <w:w w:val="108"/>
          <w:sz w:val="19"/>
        </w:rPr>
        <w:t>e</w:t>
      </w:r>
      <w:r>
        <w:rPr>
          <w:rFonts w:ascii="Trebuchet MS" w:hAnsi="Trebuchet MS"/>
          <w:color w:val="37617A"/>
          <w:w w:val="122"/>
          <w:sz w:val="19"/>
        </w:rPr>
        <w:t>s</w:t>
      </w:r>
      <w:r>
        <w:rPr>
          <w:rFonts w:ascii="Trebuchet MS" w:hAnsi="Trebuchet MS"/>
          <w:color w:val="37617A"/>
          <w:w w:val="111"/>
          <w:sz w:val="19"/>
        </w:rPr>
        <w:t>p</w:t>
      </w:r>
      <w:r>
        <w:rPr>
          <w:rFonts w:ascii="Trebuchet MS" w:hAnsi="Trebuchet MS"/>
          <w:color w:val="37617A"/>
          <w:w w:val="111"/>
          <w:sz w:val="19"/>
        </w:rPr>
        <w:t>o</w:t>
      </w:r>
      <w:r>
        <w:rPr>
          <w:rFonts w:ascii="Trebuchet MS" w:hAnsi="Trebuchet MS"/>
          <w:color w:val="37617A"/>
          <w:w w:val="107"/>
          <w:sz w:val="19"/>
        </w:rPr>
        <w:t>n</w:t>
      </w:r>
      <w:r>
        <w:rPr>
          <w:rFonts w:ascii="Trebuchet MS" w:hAnsi="Trebuchet MS"/>
          <w:color w:val="37617A"/>
          <w:w w:val="122"/>
          <w:sz w:val="19"/>
        </w:rPr>
        <w:t>s</w:t>
      </w:r>
      <w:r>
        <w:rPr>
          <w:rFonts w:ascii="Trebuchet MS" w:hAnsi="Trebuchet MS"/>
          <w:color w:val="37617A"/>
          <w:w w:val="108"/>
          <w:sz w:val="19"/>
        </w:rPr>
        <w:t>e</w:t>
      </w:r>
    </w:p>
    <w:p>
      <w:pPr>
        <w:pStyle w:val="BodyText"/>
        <w:spacing w:before="6"/>
        <w:rPr>
          <w:rFonts w:ascii="Trebuchet MS"/>
          <w:sz w:val="9"/>
        </w:rPr>
      </w:pPr>
      <w:r>
        <w:rPr/>
        <w:pict>
          <v:line style="position:absolute;mso-position-horizontal-relative:page;mso-position-vertical-relative:paragraph;z-index:10928;mso-wrap-distance-left:0;mso-wrap-distance-right:0" from="79.370102pt,7.770896pt" to="515.905102pt,7.770896pt" stroked="true" strokeweight=".5pt" strokecolor="#8f9dad">
            <v:stroke dashstyle="solid"/>
            <w10:wrap type="topAndBottom"/>
          </v:line>
        </w:pict>
      </w:r>
    </w:p>
    <w:p>
      <w:pPr>
        <w:pStyle w:val="BodyText"/>
        <w:spacing w:before="9"/>
        <w:rPr>
          <w:rFonts w:ascii="Trebuchet MS"/>
          <w:sz w:val="31"/>
        </w:rPr>
      </w:pPr>
    </w:p>
    <w:p>
      <w:pPr>
        <w:pStyle w:val="ListParagraph"/>
        <w:numPr>
          <w:ilvl w:val="1"/>
          <w:numId w:val="12"/>
        </w:numPr>
        <w:tabs>
          <w:tab w:pos="1762" w:val="left" w:leader="none"/>
        </w:tabs>
        <w:spacing w:line="206" w:lineRule="auto" w:before="0" w:after="0"/>
        <w:ind w:left="1761" w:right="1210" w:hanging="794"/>
        <w:jc w:val="both"/>
        <w:rPr>
          <w:sz w:val="11"/>
        </w:rPr>
      </w:pPr>
      <w:r>
        <w:rPr>
          <w:sz w:val="20"/>
        </w:rPr>
        <w:t>Community</w:t>
      </w:r>
      <w:r>
        <w:rPr>
          <w:spacing w:val="-9"/>
          <w:sz w:val="20"/>
        </w:rPr>
        <w:t> </w:t>
      </w:r>
      <w:r>
        <w:rPr>
          <w:sz w:val="20"/>
        </w:rPr>
        <w:t>responses</w:t>
      </w:r>
      <w:r>
        <w:rPr>
          <w:spacing w:val="-9"/>
          <w:sz w:val="20"/>
        </w:rPr>
        <w:t> </w:t>
      </w:r>
      <w:r>
        <w:rPr>
          <w:spacing w:val="-3"/>
          <w:sz w:val="20"/>
        </w:rPr>
        <w:t>strongly</w:t>
      </w:r>
      <w:r>
        <w:rPr>
          <w:spacing w:val="-9"/>
          <w:sz w:val="20"/>
        </w:rPr>
        <w:t> </w:t>
      </w:r>
      <w:r>
        <w:rPr>
          <w:sz w:val="20"/>
        </w:rPr>
        <w:t>supported</w:t>
      </w:r>
      <w:r>
        <w:rPr>
          <w:spacing w:val="-9"/>
          <w:sz w:val="20"/>
        </w:rPr>
        <w:t> </w:t>
      </w:r>
      <w:r>
        <w:rPr>
          <w:sz w:val="20"/>
        </w:rPr>
        <w:t>the</w:t>
      </w:r>
      <w:r>
        <w:rPr>
          <w:spacing w:val="-9"/>
          <w:sz w:val="20"/>
        </w:rPr>
        <w:t> </w:t>
      </w:r>
      <w:r>
        <w:rPr>
          <w:sz w:val="20"/>
        </w:rPr>
        <w:t>need</w:t>
      </w:r>
      <w:r>
        <w:rPr>
          <w:spacing w:val="-9"/>
          <w:sz w:val="20"/>
        </w:rPr>
        <w:t> </w:t>
      </w:r>
      <w:r>
        <w:rPr>
          <w:sz w:val="20"/>
        </w:rPr>
        <w:t>for</w:t>
      </w:r>
      <w:r>
        <w:rPr>
          <w:spacing w:val="-9"/>
          <w:sz w:val="20"/>
        </w:rPr>
        <w:t> </w:t>
      </w:r>
      <w:r>
        <w:rPr>
          <w:sz w:val="20"/>
        </w:rPr>
        <w:t>disability</w:t>
      </w:r>
      <w:r>
        <w:rPr>
          <w:spacing w:val="-9"/>
          <w:sz w:val="20"/>
        </w:rPr>
        <w:t> </w:t>
      </w:r>
      <w:r>
        <w:rPr>
          <w:spacing w:val="-3"/>
          <w:sz w:val="20"/>
        </w:rPr>
        <w:t>awareness</w:t>
      </w:r>
      <w:r>
        <w:rPr>
          <w:spacing w:val="-9"/>
          <w:sz w:val="20"/>
        </w:rPr>
        <w:t> </w:t>
      </w:r>
      <w:r>
        <w:rPr>
          <w:sz w:val="20"/>
        </w:rPr>
        <w:t>training</w:t>
      </w:r>
      <w:r>
        <w:rPr>
          <w:spacing w:val="-9"/>
          <w:sz w:val="20"/>
        </w:rPr>
        <w:t> </w:t>
      </w:r>
      <w:r>
        <w:rPr>
          <w:sz w:val="20"/>
        </w:rPr>
        <w:t>for those</w:t>
      </w:r>
      <w:r>
        <w:rPr>
          <w:spacing w:val="-12"/>
          <w:sz w:val="20"/>
        </w:rPr>
        <w:t> </w:t>
      </w:r>
      <w:r>
        <w:rPr>
          <w:sz w:val="20"/>
        </w:rPr>
        <w:t>who</w:t>
      </w:r>
      <w:r>
        <w:rPr>
          <w:spacing w:val="-11"/>
          <w:sz w:val="20"/>
        </w:rPr>
        <w:t> </w:t>
      </w:r>
      <w:r>
        <w:rPr>
          <w:sz w:val="20"/>
        </w:rPr>
        <w:t>will</w:t>
      </w:r>
      <w:r>
        <w:rPr>
          <w:spacing w:val="-11"/>
          <w:sz w:val="20"/>
        </w:rPr>
        <w:t> </w:t>
      </w:r>
      <w:r>
        <w:rPr>
          <w:sz w:val="20"/>
        </w:rPr>
        <w:t>administer</w:t>
      </w:r>
      <w:r>
        <w:rPr>
          <w:spacing w:val="-11"/>
          <w:sz w:val="20"/>
        </w:rPr>
        <w:t> </w:t>
      </w:r>
      <w:r>
        <w:rPr>
          <w:sz w:val="20"/>
        </w:rPr>
        <w:t>the</w:t>
      </w:r>
      <w:r>
        <w:rPr>
          <w:spacing w:val="-11"/>
          <w:sz w:val="20"/>
        </w:rPr>
        <w:t> </w:t>
      </w:r>
      <w:r>
        <w:rPr>
          <w:sz w:val="20"/>
        </w:rPr>
        <w:t>new</w:t>
      </w:r>
      <w:r>
        <w:rPr>
          <w:spacing w:val="-11"/>
          <w:sz w:val="20"/>
        </w:rPr>
        <w:t> </w:t>
      </w:r>
      <w:r>
        <w:rPr>
          <w:sz w:val="20"/>
        </w:rPr>
        <w:t>laws,</w:t>
      </w:r>
      <w:r>
        <w:rPr>
          <w:spacing w:val="-11"/>
          <w:sz w:val="20"/>
        </w:rPr>
        <w:t> </w:t>
      </w:r>
      <w:r>
        <w:rPr>
          <w:sz w:val="20"/>
        </w:rPr>
        <w:t>Juries</w:t>
      </w:r>
      <w:r>
        <w:rPr>
          <w:spacing w:val="-11"/>
          <w:sz w:val="20"/>
        </w:rPr>
        <w:t> </w:t>
      </w:r>
      <w:r>
        <w:rPr>
          <w:sz w:val="20"/>
        </w:rPr>
        <w:t>Victoria</w:t>
      </w:r>
      <w:r>
        <w:rPr>
          <w:spacing w:val="-11"/>
          <w:sz w:val="20"/>
        </w:rPr>
        <w:t> </w:t>
      </w:r>
      <w:r>
        <w:rPr>
          <w:sz w:val="20"/>
        </w:rPr>
        <w:t>and</w:t>
      </w:r>
      <w:r>
        <w:rPr>
          <w:spacing w:val="-11"/>
          <w:sz w:val="20"/>
        </w:rPr>
        <w:t> </w:t>
      </w:r>
      <w:r>
        <w:rPr>
          <w:sz w:val="20"/>
        </w:rPr>
        <w:t>the</w:t>
      </w:r>
      <w:r>
        <w:rPr>
          <w:spacing w:val="-11"/>
          <w:sz w:val="20"/>
        </w:rPr>
        <w:t> </w:t>
      </w:r>
      <w:r>
        <w:rPr>
          <w:sz w:val="20"/>
        </w:rPr>
        <w:t>judiciary</w:t>
      </w:r>
      <w:r>
        <w:rPr>
          <w:spacing w:val="-11"/>
          <w:sz w:val="20"/>
        </w:rPr>
        <w:t> </w:t>
      </w:r>
      <w:r>
        <w:rPr>
          <w:sz w:val="20"/>
        </w:rPr>
        <w:t>and</w:t>
      </w:r>
      <w:r>
        <w:rPr>
          <w:spacing w:val="-11"/>
          <w:sz w:val="20"/>
        </w:rPr>
        <w:t> </w:t>
      </w:r>
      <w:r>
        <w:rPr>
          <w:sz w:val="20"/>
        </w:rPr>
        <w:t>court</w:t>
      </w:r>
      <w:r>
        <w:rPr>
          <w:spacing w:val="-11"/>
          <w:sz w:val="20"/>
        </w:rPr>
        <w:t> </w:t>
      </w:r>
      <w:r>
        <w:rPr>
          <w:spacing w:val="-3"/>
          <w:sz w:val="20"/>
        </w:rPr>
        <w:t>staff, </w:t>
      </w:r>
      <w:r>
        <w:rPr>
          <w:sz w:val="20"/>
        </w:rPr>
        <w:t>as</w:t>
      </w:r>
      <w:r>
        <w:rPr>
          <w:spacing w:val="-6"/>
          <w:sz w:val="20"/>
        </w:rPr>
        <w:t> </w:t>
      </w:r>
      <w:r>
        <w:rPr>
          <w:sz w:val="20"/>
        </w:rPr>
        <w:t>well</w:t>
      </w:r>
      <w:r>
        <w:rPr>
          <w:spacing w:val="-5"/>
          <w:sz w:val="20"/>
        </w:rPr>
        <w:t> </w:t>
      </w:r>
      <w:r>
        <w:rPr>
          <w:sz w:val="20"/>
        </w:rPr>
        <w:t>as</w:t>
      </w:r>
      <w:r>
        <w:rPr>
          <w:spacing w:val="-5"/>
          <w:sz w:val="20"/>
        </w:rPr>
        <w:t> </w:t>
      </w:r>
      <w:r>
        <w:rPr>
          <w:sz w:val="20"/>
        </w:rPr>
        <w:t>the</w:t>
      </w:r>
      <w:r>
        <w:rPr>
          <w:spacing w:val="-6"/>
          <w:sz w:val="20"/>
        </w:rPr>
        <w:t> </w:t>
      </w:r>
      <w:r>
        <w:rPr>
          <w:sz w:val="20"/>
        </w:rPr>
        <w:t>Office</w:t>
      </w:r>
      <w:r>
        <w:rPr>
          <w:spacing w:val="-5"/>
          <w:sz w:val="20"/>
        </w:rPr>
        <w:t> </w:t>
      </w:r>
      <w:r>
        <w:rPr>
          <w:sz w:val="20"/>
        </w:rPr>
        <w:t>of</w:t>
      </w:r>
      <w:r>
        <w:rPr>
          <w:spacing w:val="-5"/>
          <w:sz w:val="20"/>
        </w:rPr>
        <w:t> </w:t>
      </w:r>
      <w:r>
        <w:rPr>
          <w:sz w:val="20"/>
        </w:rPr>
        <w:t>Public</w:t>
      </w:r>
      <w:r>
        <w:rPr>
          <w:spacing w:val="-5"/>
          <w:sz w:val="20"/>
        </w:rPr>
        <w:t> </w:t>
      </w:r>
      <w:r>
        <w:rPr>
          <w:sz w:val="20"/>
        </w:rPr>
        <w:t>Prosecutions</w:t>
      </w:r>
      <w:r>
        <w:rPr>
          <w:spacing w:val="-6"/>
          <w:sz w:val="20"/>
        </w:rPr>
        <w:t> </w:t>
      </w:r>
      <w:r>
        <w:rPr>
          <w:spacing w:val="-3"/>
          <w:sz w:val="20"/>
        </w:rPr>
        <w:t>(OPP)</w:t>
      </w:r>
      <w:r>
        <w:rPr>
          <w:spacing w:val="-5"/>
          <w:sz w:val="20"/>
        </w:rPr>
        <w:t> </w:t>
      </w:r>
      <w:r>
        <w:rPr>
          <w:sz w:val="20"/>
        </w:rPr>
        <w:t>and</w:t>
      </w:r>
      <w:r>
        <w:rPr>
          <w:spacing w:val="-5"/>
          <w:sz w:val="20"/>
        </w:rPr>
        <w:t> </w:t>
      </w:r>
      <w:r>
        <w:rPr>
          <w:sz w:val="20"/>
        </w:rPr>
        <w:t>counsel.</w:t>
      </w:r>
      <w:r>
        <w:rPr>
          <w:position w:val="7"/>
          <w:sz w:val="11"/>
        </w:rPr>
        <w:t>14</w:t>
      </w:r>
    </w:p>
    <w:p>
      <w:pPr>
        <w:pStyle w:val="ListParagraph"/>
        <w:numPr>
          <w:ilvl w:val="1"/>
          <w:numId w:val="12"/>
        </w:numPr>
        <w:tabs>
          <w:tab w:pos="1761" w:val="left" w:leader="none"/>
          <w:tab w:pos="1762" w:val="left" w:leader="none"/>
        </w:tabs>
        <w:spacing w:line="206" w:lineRule="auto" w:before="124" w:after="0"/>
        <w:ind w:left="1761" w:right="1246" w:hanging="794"/>
        <w:jc w:val="left"/>
        <w:rPr>
          <w:sz w:val="11"/>
        </w:rPr>
      </w:pPr>
      <w:r>
        <w:rPr>
          <w:sz w:val="20"/>
        </w:rPr>
        <w:t>Juries</w:t>
      </w:r>
      <w:r>
        <w:rPr>
          <w:spacing w:val="-12"/>
          <w:sz w:val="20"/>
        </w:rPr>
        <w:t> </w:t>
      </w:r>
      <w:r>
        <w:rPr>
          <w:sz w:val="20"/>
        </w:rPr>
        <w:t>Victoria</w:t>
      </w:r>
      <w:r>
        <w:rPr>
          <w:spacing w:val="-12"/>
          <w:sz w:val="20"/>
        </w:rPr>
        <w:t> </w:t>
      </w:r>
      <w:r>
        <w:rPr>
          <w:sz w:val="20"/>
        </w:rPr>
        <w:t>submitted</w:t>
      </w:r>
      <w:r>
        <w:rPr>
          <w:spacing w:val="-11"/>
          <w:sz w:val="20"/>
        </w:rPr>
        <w:t> </w:t>
      </w:r>
      <w:r>
        <w:rPr>
          <w:sz w:val="20"/>
        </w:rPr>
        <w:t>that</w:t>
      </w:r>
      <w:r>
        <w:rPr>
          <w:spacing w:val="-12"/>
          <w:sz w:val="20"/>
        </w:rPr>
        <w:t> </w:t>
      </w:r>
      <w:r>
        <w:rPr>
          <w:sz w:val="20"/>
        </w:rPr>
        <w:t>it</w:t>
      </w:r>
      <w:r>
        <w:rPr>
          <w:spacing w:val="-11"/>
          <w:sz w:val="20"/>
        </w:rPr>
        <w:t> </w:t>
      </w:r>
      <w:r>
        <w:rPr>
          <w:sz w:val="20"/>
        </w:rPr>
        <w:t>‘supports</w:t>
      </w:r>
      <w:r>
        <w:rPr>
          <w:spacing w:val="-12"/>
          <w:sz w:val="20"/>
        </w:rPr>
        <w:t> </w:t>
      </w:r>
      <w:r>
        <w:rPr>
          <w:sz w:val="20"/>
        </w:rPr>
        <w:t>education</w:t>
      </w:r>
      <w:r>
        <w:rPr>
          <w:spacing w:val="-12"/>
          <w:sz w:val="20"/>
        </w:rPr>
        <w:t> </w:t>
      </w:r>
      <w:r>
        <w:rPr>
          <w:sz w:val="20"/>
        </w:rPr>
        <w:t>and</w:t>
      </w:r>
      <w:r>
        <w:rPr>
          <w:spacing w:val="-11"/>
          <w:sz w:val="20"/>
        </w:rPr>
        <w:t> </w:t>
      </w:r>
      <w:r>
        <w:rPr>
          <w:sz w:val="20"/>
        </w:rPr>
        <w:t>training</w:t>
      </w:r>
      <w:r>
        <w:rPr>
          <w:spacing w:val="-12"/>
          <w:sz w:val="20"/>
        </w:rPr>
        <w:t> </w:t>
      </w:r>
      <w:r>
        <w:rPr>
          <w:sz w:val="20"/>
        </w:rPr>
        <w:t>for</w:t>
      </w:r>
      <w:r>
        <w:rPr>
          <w:spacing w:val="-12"/>
          <w:sz w:val="20"/>
        </w:rPr>
        <w:t> </w:t>
      </w:r>
      <w:r>
        <w:rPr>
          <w:sz w:val="20"/>
        </w:rPr>
        <w:t>the</w:t>
      </w:r>
      <w:r>
        <w:rPr>
          <w:spacing w:val="-11"/>
          <w:sz w:val="20"/>
        </w:rPr>
        <w:t> </w:t>
      </w:r>
      <w:r>
        <w:rPr>
          <w:sz w:val="20"/>
        </w:rPr>
        <w:t>judiciary,</w:t>
      </w:r>
      <w:r>
        <w:rPr>
          <w:spacing w:val="-12"/>
          <w:sz w:val="20"/>
        </w:rPr>
        <w:t> </w:t>
      </w:r>
      <w:r>
        <w:rPr>
          <w:sz w:val="20"/>
        </w:rPr>
        <w:t>court and Juries Victoria staff and the legal profession on the importance of </w:t>
      </w:r>
      <w:r>
        <w:rPr>
          <w:spacing w:val="-3"/>
          <w:sz w:val="20"/>
        </w:rPr>
        <w:t>inclusive </w:t>
      </w:r>
      <w:r>
        <w:rPr>
          <w:sz w:val="20"/>
        </w:rPr>
        <w:t>juries, on</w:t>
      </w:r>
      <w:r>
        <w:rPr>
          <w:spacing w:val="-14"/>
          <w:sz w:val="20"/>
        </w:rPr>
        <w:t> </w:t>
      </w:r>
      <w:r>
        <w:rPr>
          <w:sz w:val="20"/>
        </w:rPr>
        <w:t>respectful</w:t>
      </w:r>
      <w:r>
        <w:rPr>
          <w:spacing w:val="-13"/>
          <w:sz w:val="20"/>
        </w:rPr>
        <w:t> </w:t>
      </w:r>
      <w:r>
        <w:rPr>
          <w:sz w:val="20"/>
        </w:rPr>
        <w:t>interactions</w:t>
      </w:r>
      <w:r>
        <w:rPr>
          <w:spacing w:val="-14"/>
          <w:sz w:val="20"/>
        </w:rPr>
        <w:t> </w:t>
      </w:r>
      <w:r>
        <w:rPr>
          <w:sz w:val="20"/>
        </w:rPr>
        <w:t>with</w:t>
      </w:r>
      <w:r>
        <w:rPr>
          <w:spacing w:val="-13"/>
          <w:sz w:val="20"/>
        </w:rPr>
        <w:t> </w:t>
      </w:r>
      <w:r>
        <w:rPr>
          <w:sz w:val="20"/>
        </w:rPr>
        <w:t>people</w:t>
      </w:r>
      <w:r>
        <w:rPr>
          <w:spacing w:val="-14"/>
          <w:sz w:val="20"/>
        </w:rPr>
        <w:t> </w:t>
      </w:r>
      <w:r>
        <w:rPr>
          <w:sz w:val="20"/>
        </w:rPr>
        <w:t>with</w:t>
      </w:r>
      <w:r>
        <w:rPr>
          <w:spacing w:val="-13"/>
          <w:sz w:val="20"/>
        </w:rPr>
        <w:t> </w:t>
      </w:r>
      <w:r>
        <w:rPr>
          <w:sz w:val="20"/>
        </w:rPr>
        <w:t>vision,</w:t>
      </w:r>
      <w:r>
        <w:rPr>
          <w:spacing w:val="-13"/>
          <w:sz w:val="20"/>
        </w:rPr>
        <w:t> </w:t>
      </w:r>
      <w:r>
        <w:rPr>
          <w:sz w:val="20"/>
        </w:rPr>
        <w:t>hearing</w:t>
      </w:r>
      <w:r>
        <w:rPr>
          <w:spacing w:val="-14"/>
          <w:sz w:val="20"/>
        </w:rPr>
        <w:t> </w:t>
      </w:r>
      <w:r>
        <w:rPr>
          <w:sz w:val="20"/>
        </w:rPr>
        <w:t>or</w:t>
      </w:r>
      <w:r>
        <w:rPr>
          <w:spacing w:val="-13"/>
          <w:sz w:val="20"/>
        </w:rPr>
        <w:t> </w:t>
      </w:r>
      <w:r>
        <w:rPr>
          <w:sz w:val="20"/>
        </w:rPr>
        <w:t>other</w:t>
      </w:r>
      <w:r>
        <w:rPr>
          <w:spacing w:val="-14"/>
          <w:sz w:val="20"/>
        </w:rPr>
        <w:t> </w:t>
      </w:r>
      <w:r>
        <w:rPr>
          <w:sz w:val="20"/>
        </w:rPr>
        <w:t>impairments,</w:t>
      </w:r>
      <w:r>
        <w:rPr>
          <w:spacing w:val="-13"/>
          <w:sz w:val="20"/>
        </w:rPr>
        <w:t> </w:t>
      </w:r>
      <w:r>
        <w:rPr>
          <w:sz w:val="20"/>
        </w:rPr>
        <w:t>and</w:t>
      </w:r>
      <w:r>
        <w:rPr>
          <w:spacing w:val="-14"/>
          <w:sz w:val="20"/>
        </w:rPr>
        <w:t> </w:t>
      </w:r>
      <w:r>
        <w:rPr>
          <w:sz w:val="20"/>
        </w:rPr>
        <w:t>on unconscious</w:t>
      </w:r>
      <w:r>
        <w:rPr>
          <w:spacing w:val="-4"/>
          <w:sz w:val="20"/>
        </w:rPr>
        <w:t> </w:t>
      </w:r>
      <w:r>
        <w:rPr>
          <w:spacing w:val="-3"/>
          <w:sz w:val="20"/>
        </w:rPr>
        <w:t>bias’.</w:t>
      </w:r>
      <w:r>
        <w:rPr>
          <w:spacing w:val="-3"/>
          <w:position w:val="7"/>
          <w:sz w:val="11"/>
        </w:rPr>
        <w:t>15</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z w:val="20"/>
        </w:rPr>
        <w:t>The County Court</w:t>
      </w:r>
      <w:r>
        <w:rPr>
          <w:spacing w:val="-13"/>
          <w:sz w:val="20"/>
        </w:rPr>
        <w:t> </w:t>
      </w:r>
      <w:r>
        <w:rPr>
          <w:sz w:val="20"/>
        </w:rPr>
        <w:t>commented:</w:t>
      </w:r>
    </w:p>
    <w:p>
      <w:pPr>
        <w:spacing w:line="208" w:lineRule="auto" w:before="112"/>
        <w:ind w:left="2157" w:right="1349" w:firstLine="0"/>
        <w:jc w:val="left"/>
        <w:rPr>
          <w:sz w:val="19"/>
        </w:rPr>
      </w:pPr>
      <w:r>
        <w:rPr>
          <w:sz w:val="19"/>
        </w:rPr>
        <w:t>The Court considers training to be essential for judicial officers, court staff and Juries Victoria staff. Training would mitigate the risk of well-meaning questions being asked or comments being made in relation to a person with a disability that are</w:t>
      </w:r>
    </w:p>
    <w:p>
      <w:pPr>
        <w:spacing w:line="208" w:lineRule="auto" w:before="2"/>
        <w:ind w:left="2157" w:right="1232" w:firstLine="0"/>
        <w:jc w:val="left"/>
        <w:rPr>
          <w:sz w:val="11"/>
        </w:rPr>
      </w:pPr>
      <w:r>
        <w:rPr>
          <w:sz w:val="19"/>
        </w:rPr>
        <w:t>unintentionally offensive or discriminatory. Such questions or comments may result in embarrassment or other feelings of alienation for the prospective juror. Contractors with specialised expertise in disability awareness may be considered suitable to provide such training.</w:t>
      </w:r>
      <w:r>
        <w:rPr>
          <w:position w:val="6"/>
          <w:sz w:val="11"/>
        </w:rPr>
        <w:t>16</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z w:val="20"/>
        </w:rPr>
        <w:t>The Juries Commissioner further commented that</w:t>
      </w:r>
      <w:r>
        <w:rPr>
          <w:spacing w:val="-28"/>
          <w:sz w:val="20"/>
        </w:rPr>
        <w:t> </w:t>
      </w:r>
      <w:r>
        <w:rPr>
          <w:sz w:val="20"/>
        </w:rPr>
        <w:t>he:</w:t>
      </w:r>
    </w:p>
    <w:p>
      <w:pPr>
        <w:spacing w:line="208" w:lineRule="auto" w:before="113"/>
        <w:ind w:left="2157" w:right="1300" w:firstLine="0"/>
        <w:jc w:val="left"/>
        <w:rPr>
          <w:sz w:val="11"/>
        </w:rPr>
      </w:pPr>
      <w:r>
        <w:rPr>
          <w:sz w:val="19"/>
        </w:rPr>
        <w:t>fully supports the provision of Disability Awareness Training for judicial officers, court and JV staff and the legal profession. While we will leave it to the relevant bodies to determine the best method of delivering this training, JV believes that, in our own case, training should be provided quarterly.</w:t>
      </w:r>
      <w:r>
        <w:rPr>
          <w:position w:val="6"/>
          <w:sz w:val="11"/>
        </w:rPr>
        <w:t>17</w:t>
      </w: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r>
        <w:rPr/>
        <w:pict>
          <v:line style="position:absolute;mso-position-horizontal-relative:page;mso-position-vertical-relative:paragraph;z-index:10952;mso-wrap-distance-left:0;mso-wrap-distance-right:0" from="79.370003pt,16.605522pt" to="515.905003pt,16.605522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spacing w:before="2"/>
        <w:rPr>
          <w:sz w:val="40"/>
        </w:rPr>
      </w:pPr>
    </w:p>
    <w:p>
      <w:pPr>
        <w:spacing w:before="0"/>
        <w:ind w:left="100" w:right="0" w:firstLine="0"/>
        <w:jc w:val="left"/>
        <w:rPr>
          <w:b/>
          <w:sz w:val="24"/>
        </w:rPr>
      </w:pPr>
      <w:r>
        <w:rPr>
          <w:b/>
          <w:color w:val="37617A"/>
          <w:sz w:val="24"/>
        </w:rPr>
        <w:t>208</w:t>
      </w:r>
    </w:p>
    <w:p>
      <w:pPr>
        <w:pStyle w:val="ListParagraph"/>
        <w:numPr>
          <w:ilvl w:val="0"/>
          <w:numId w:val="121"/>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z w:val="13"/>
        </w:rPr>
        <w:t>Consultation 17 (Youth </w:t>
      </w:r>
      <w:r>
        <w:rPr>
          <w:spacing w:val="2"/>
          <w:sz w:val="13"/>
        </w:rPr>
        <w:t>Disability </w:t>
      </w:r>
      <w:r>
        <w:rPr>
          <w:sz w:val="13"/>
        </w:rPr>
        <w:t>Advocacy </w:t>
      </w:r>
      <w:r>
        <w:rPr>
          <w:spacing w:val="2"/>
          <w:sz w:val="13"/>
        </w:rPr>
        <w:t>Service</w:t>
      </w:r>
      <w:r>
        <w:rPr>
          <w:spacing w:val="-1"/>
          <w:sz w:val="13"/>
        </w:rPr>
        <w:t> </w:t>
      </w:r>
      <w:r>
        <w:rPr>
          <w:sz w:val="13"/>
        </w:rPr>
        <w:t>(YDAS)).</w:t>
      </w:r>
    </w:p>
    <w:p>
      <w:pPr>
        <w:pStyle w:val="ListParagraph"/>
        <w:numPr>
          <w:ilvl w:val="0"/>
          <w:numId w:val="121"/>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pStyle w:val="ListParagraph"/>
        <w:numPr>
          <w:ilvl w:val="0"/>
          <w:numId w:val="121"/>
        </w:numPr>
        <w:tabs>
          <w:tab w:pos="893" w:val="left" w:leader="none"/>
          <w:tab w:pos="894" w:val="left" w:leader="none"/>
        </w:tabs>
        <w:spacing w:line="160" w:lineRule="exact" w:before="0" w:after="0"/>
        <w:ind w:left="893" w:right="0" w:hanging="793"/>
        <w:jc w:val="left"/>
        <w:rPr>
          <w:sz w:val="13"/>
        </w:rPr>
      </w:pPr>
      <w:r>
        <w:rPr>
          <w:spacing w:val="2"/>
          <w:sz w:val="13"/>
        </w:rPr>
        <w:t>Online </w:t>
      </w:r>
      <w:r>
        <w:rPr>
          <w:sz w:val="13"/>
        </w:rPr>
        <w:t>Survey (Response</w:t>
      </w:r>
      <w:r>
        <w:rPr>
          <w:spacing w:val="-2"/>
          <w:sz w:val="13"/>
        </w:rPr>
        <w:t> </w:t>
      </w:r>
      <w:r>
        <w:rPr>
          <w:sz w:val="13"/>
        </w:rPr>
        <w:t>1).</w:t>
      </w:r>
    </w:p>
    <w:p>
      <w:pPr>
        <w:pStyle w:val="ListParagraph"/>
        <w:numPr>
          <w:ilvl w:val="0"/>
          <w:numId w:val="121"/>
        </w:numPr>
        <w:tabs>
          <w:tab w:pos="893" w:val="left" w:leader="none"/>
          <w:tab w:pos="894" w:val="left" w:leader="none"/>
        </w:tabs>
        <w:spacing w:line="213" w:lineRule="auto" w:before="7" w:after="0"/>
        <w:ind w:left="893" w:right="1486" w:hanging="793"/>
        <w:jc w:val="left"/>
        <w:rPr>
          <w:sz w:val="13"/>
        </w:rPr>
      </w:pPr>
      <w:r>
        <w:rPr>
          <w:spacing w:val="2"/>
          <w:sz w:val="13"/>
        </w:rPr>
        <w:t>Submissions </w:t>
      </w:r>
      <w:r>
        <w:rPr>
          <w:sz w:val="13"/>
        </w:rPr>
        <w:t>7 (Law Institute of Victoria), 8 </w:t>
      </w:r>
      <w:r>
        <w:rPr>
          <w:spacing w:val="2"/>
          <w:sz w:val="13"/>
        </w:rPr>
        <w:t>(Victoria </w:t>
      </w:r>
      <w:r>
        <w:rPr>
          <w:sz w:val="13"/>
        </w:rPr>
        <w:t>Legal Aid); Consultations 9 (Consultation with two Victorian County </w:t>
      </w:r>
      <w:r>
        <w:rPr>
          <w:spacing w:val="2"/>
          <w:sz w:val="13"/>
        </w:rPr>
        <w:t>Court Judges, Court policy </w:t>
      </w:r>
      <w:r>
        <w:rPr>
          <w:sz w:val="13"/>
        </w:rPr>
        <w:t>staff and two Associates), 17 (Youth </w:t>
      </w:r>
      <w:r>
        <w:rPr>
          <w:spacing w:val="2"/>
          <w:sz w:val="13"/>
        </w:rPr>
        <w:t>Disability </w:t>
      </w:r>
      <w:r>
        <w:rPr>
          <w:sz w:val="13"/>
        </w:rPr>
        <w:t>Advocacy </w:t>
      </w:r>
      <w:r>
        <w:rPr>
          <w:spacing w:val="2"/>
          <w:sz w:val="13"/>
        </w:rPr>
        <w:t>Service </w:t>
      </w:r>
      <w:r>
        <w:rPr>
          <w:sz w:val="13"/>
        </w:rPr>
        <w:t>(YDAS)),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 capacity).</w:t>
      </w:r>
    </w:p>
    <w:p>
      <w:pPr>
        <w:pStyle w:val="ListParagraph"/>
        <w:numPr>
          <w:ilvl w:val="0"/>
          <w:numId w:val="121"/>
        </w:numPr>
        <w:tabs>
          <w:tab w:pos="893" w:val="left" w:leader="none"/>
          <w:tab w:pos="894" w:val="left" w:leader="none"/>
        </w:tabs>
        <w:spacing w:line="151" w:lineRule="exact" w:before="0" w:after="0"/>
        <w:ind w:left="893" w:right="0" w:hanging="793"/>
        <w:jc w:val="left"/>
        <w:rPr>
          <w:sz w:val="13"/>
        </w:rPr>
      </w:pPr>
      <w:r>
        <w:rPr>
          <w:spacing w:val="2"/>
          <w:sz w:val="13"/>
        </w:rPr>
        <w:t>Submission </w:t>
      </w:r>
      <w:r>
        <w:rPr>
          <w:sz w:val="13"/>
        </w:rPr>
        <w:t>13 </w:t>
      </w:r>
      <w:r>
        <w:rPr>
          <w:spacing w:val="2"/>
          <w:sz w:val="13"/>
        </w:rPr>
        <w:t>(Juries</w:t>
      </w:r>
      <w:r>
        <w:rPr>
          <w:spacing w:val="-2"/>
          <w:sz w:val="13"/>
        </w:rPr>
        <w:t> </w:t>
      </w:r>
      <w:r>
        <w:rPr>
          <w:sz w:val="13"/>
        </w:rPr>
        <w:t>Victoria).</w:t>
      </w:r>
    </w:p>
    <w:p>
      <w:pPr>
        <w:pStyle w:val="ListParagraph"/>
        <w:numPr>
          <w:ilvl w:val="0"/>
          <w:numId w:val="121"/>
        </w:numPr>
        <w:tabs>
          <w:tab w:pos="893" w:val="left" w:leader="none"/>
          <w:tab w:pos="894" w:val="left" w:leader="none"/>
        </w:tabs>
        <w:spacing w:line="160" w:lineRule="exact" w:before="0" w:after="0"/>
        <w:ind w:left="893" w:right="0" w:hanging="793"/>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7"/>
          <w:sz w:val="13"/>
        </w:rPr>
        <w:t> </w:t>
      </w:r>
      <w:r>
        <w:rPr>
          <w:sz w:val="13"/>
        </w:rPr>
        <w:t>Victoria).</w:t>
      </w:r>
    </w:p>
    <w:p>
      <w:pPr>
        <w:pStyle w:val="ListParagraph"/>
        <w:numPr>
          <w:ilvl w:val="0"/>
          <w:numId w:val="121"/>
        </w:numPr>
        <w:tabs>
          <w:tab w:pos="893" w:val="left" w:leader="none"/>
          <w:tab w:pos="894" w:val="left" w:leader="none"/>
        </w:tabs>
        <w:spacing w:line="170" w:lineRule="exact" w:before="0" w:after="0"/>
        <w:ind w:left="893" w:right="0" w:hanging="793"/>
        <w:jc w:val="left"/>
        <w:rPr>
          <w:sz w:val="13"/>
        </w:rPr>
      </w:pPr>
      <w:r>
        <w:rPr>
          <w:spacing w:val="2"/>
          <w:sz w:val="13"/>
        </w:rPr>
        <w:t>Submission </w:t>
      </w:r>
      <w:r>
        <w:rPr>
          <w:sz w:val="13"/>
        </w:rPr>
        <w:t>13 </w:t>
      </w:r>
      <w:r>
        <w:rPr>
          <w:spacing w:val="2"/>
          <w:sz w:val="13"/>
        </w:rPr>
        <w:t>(Juries</w:t>
      </w:r>
      <w:r>
        <w:rPr>
          <w:spacing w:val="-2"/>
          <w:sz w:val="13"/>
        </w:rPr>
        <w:t> </w:t>
      </w:r>
      <w:r>
        <w:rPr>
          <w:sz w:val="13"/>
        </w:rPr>
        <w:t>Victoria).</w:t>
      </w:r>
    </w:p>
    <w:p>
      <w:pPr>
        <w:spacing w:after="0" w:line="170" w:lineRule="exact"/>
        <w:jc w:val="left"/>
        <w:rPr>
          <w:sz w:val="13"/>
        </w:rPr>
        <w:sectPr>
          <w:type w:val="continuous"/>
          <w:pgSz w:w="11910" w:h="16840"/>
          <w:pgMar w:top="620" w:bottom="280" w:left="620" w:right="380"/>
          <w:cols w:num="2" w:equalWidth="0">
            <w:col w:w="567" w:space="301"/>
            <w:col w:w="10042"/>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40" w:lineRule="auto" w:before="58" w:after="0"/>
        <w:ind w:left="1761" w:right="0" w:hanging="794"/>
        <w:jc w:val="left"/>
        <w:rPr>
          <w:sz w:val="20"/>
        </w:rPr>
      </w:pPr>
      <w:bookmarkStart w:name="_bookmark153" w:id="365"/>
      <w:bookmarkEnd w:id="365"/>
      <w:r>
        <w:rPr/>
      </w:r>
      <w:bookmarkStart w:name="_bookmark153" w:id="366"/>
      <w:bookmarkEnd w:id="366"/>
      <w:r>
        <w:rPr>
          <w:sz w:val="20"/>
        </w:rPr>
        <w:t>V</w:t>
      </w:r>
      <w:r>
        <w:rPr>
          <w:sz w:val="20"/>
        </w:rPr>
        <w:t>ision Australia</w:t>
      </w:r>
      <w:r>
        <w:rPr>
          <w:spacing w:val="-9"/>
          <w:sz w:val="20"/>
        </w:rPr>
        <w:t> </w:t>
      </w:r>
      <w:r>
        <w:rPr>
          <w:sz w:val="20"/>
        </w:rPr>
        <w:t>commented:</w:t>
      </w:r>
    </w:p>
    <w:p>
      <w:pPr>
        <w:spacing w:line="208" w:lineRule="auto" w:before="112"/>
        <w:ind w:left="2157" w:right="1213" w:firstLine="0"/>
        <w:jc w:val="left"/>
        <w:rPr>
          <w:sz w:val="19"/>
        </w:rPr>
      </w:pPr>
      <w:r>
        <w:rPr>
          <w:sz w:val="19"/>
        </w:rPr>
        <w:t>We strongly support initiatives such as disability awareness training. This training could mostly be delivered via e-learning, with content developed and validated by the blindness and low vision sector. There may be a need for some training to be delivered face-to-face, especially for people providing direct support and who would need to be familiar with how to safely guide a blind person and other basic orientation and mobility techniques. Experience has shown that disability awareness training</w:t>
      </w:r>
    </w:p>
    <w:p>
      <w:pPr>
        <w:spacing w:line="208" w:lineRule="auto" w:before="4"/>
        <w:ind w:left="2157" w:right="1335" w:firstLine="0"/>
        <w:jc w:val="left"/>
        <w:rPr>
          <w:sz w:val="11"/>
        </w:rPr>
      </w:pPr>
      <w:r>
        <w:rPr>
          <w:sz w:val="19"/>
        </w:rPr>
        <w:t>can lead to transformations in the way participants understand disability and their appreciation of the contributions that people with disability can make in all areas of society.</w:t>
      </w:r>
      <w:r>
        <w:rPr>
          <w:position w:val="6"/>
          <w:sz w:val="11"/>
        </w:rPr>
        <w:t>18</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Associate </w:t>
      </w:r>
      <w:r>
        <w:rPr>
          <w:spacing w:val="-3"/>
          <w:sz w:val="20"/>
        </w:rPr>
        <w:t>Professors </w:t>
      </w:r>
      <w:r>
        <w:rPr>
          <w:sz w:val="20"/>
        </w:rPr>
        <w:t>Bruce Baer Arnold and </w:t>
      </w:r>
      <w:r>
        <w:rPr>
          <w:spacing w:val="-4"/>
          <w:sz w:val="20"/>
        </w:rPr>
        <w:t>Wendy </w:t>
      </w:r>
      <w:r>
        <w:rPr>
          <w:sz w:val="20"/>
        </w:rPr>
        <w:t>Bonython</w:t>
      </w:r>
      <w:r>
        <w:rPr>
          <w:spacing w:val="-31"/>
          <w:sz w:val="20"/>
        </w:rPr>
        <w:t> </w:t>
      </w:r>
      <w:r>
        <w:rPr>
          <w:sz w:val="20"/>
        </w:rPr>
        <w:t>submitted:</w:t>
      </w:r>
    </w:p>
    <w:p>
      <w:pPr>
        <w:spacing w:line="208" w:lineRule="auto" w:before="113"/>
        <w:ind w:left="2157" w:right="1243" w:firstLine="0"/>
        <w:jc w:val="left"/>
        <w:rPr>
          <w:sz w:val="11"/>
        </w:rPr>
      </w:pPr>
      <w:r>
        <w:rPr>
          <w:sz w:val="19"/>
        </w:rPr>
        <w:t>training will serve two functions. It will firstly signal that courts, tribunals and Justice Victoria staff have a substantive commitment to inclusiveness. Secondly, it will allay potential anxieties or misunderstandings among staff, something that will translate into their lives outside justice administration settings. An understanding of the challenges many people face and an affirmation of their capacity in addressing those challenges should assist staff in dealings with peers on the tram, at the beach, at the supermarket or at the kids’ school rather than merely in their professional lives.</w:t>
      </w:r>
      <w:r>
        <w:rPr>
          <w:position w:val="6"/>
          <w:sz w:val="11"/>
        </w:rPr>
        <w:t>19</w:t>
      </w:r>
    </w:p>
    <w:p>
      <w:pPr>
        <w:pStyle w:val="ListParagraph"/>
        <w:numPr>
          <w:ilvl w:val="1"/>
          <w:numId w:val="12"/>
        </w:numPr>
        <w:tabs>
          <w:tab w:pos="1761" w:val="left" w:leader="none"/>
          <w:tab w:pos="1762" w:val="left" w:leader="none"/>
        </w:tabs>
        <w:spacing w:line="206" w:lineRule="auto" w:before="126" w:after="0"/>
        <w:ind w:left="1761" w:right="1717" w:hanging="794"/>
        <w:jc w:val="left"/>
        <w:rPr>
          <w:sz w:val="11"/>
        </w:rPr>
      </w:pPr>
      <w:r>
        <w:rPr>
          <w:spacing w:val="-3"/>
          <w:sz w:val="20"/>
        </w:rPr>
        <w:t>YDAS </w:t>
      </w:r>
      <w:r>
        <w:rPr>
          <w:sz w:val="20"/>
        </w:rPr>
        <w:t>noted that a ‘holistic approach should be adopted to </w:t>
      </w:r>
      <w:r>
        <w:rPr>
          <w:spacing w:val="-3"/>
          <w:sz w:val="20"/>
        </w:rPr>
        <w:t>create </w:t>
      </w:r>
      <w:r>
        <w:rPr>
          <w:sz w:val="20"/>
        </w:rPr>
        <w:t>legal </w:t>
      </w:r>
      <w:r>
        <w:rPr>
          <w:spacing w:val="-3"/>
          <w:sz w:val="20"/>
        </w:rPr>
        <w:t>reform </w:t>
      </w:r>
      <w:r>
        <w:rPr>
          <w:sz w:val="20"/>
        </w:rPr>
        <w:t>to ensure</w:t>
      </w:r>
      <w:r>
        <w:rPr>
          <w:spacing w:val="-12"/>
          <w:sz w:val="20"/>
        </w:rPr>
        <w:t> </w:t>
      </w:r>
      <w:r>
        <w:rPr>
          <w:sz w:val="20"/>
        </w:rPr>
        <w:t>juries</w:t>
      </w:r>
      <w:r>
        <w:rPr>
          <w:spacing w:val="-12"/>
          <w:sz w:val="20"/>
        </w:rPr>
        <w:t> </w:t>
      </w:r>
      <w:r>
        <w:rPr>
          <w:spacing w:val="-3"/>
          <w:sz w:val="20"/>
        </w:rPr>
        <w:t>are</w:t>
      </w:r>
      <w:r>
        <w:rPr>
          <w:spacing w:val="-11"/>
          <w:sz w:val="20"/>
        </w:rPr>
        <w:t> </w:t>
      </w:r>
      <w:r>
        <w:rPr>
          <w:spacing w:val="-3"/>
          <w:sz w:val="20"/>
        </w:rPr>
        <w:t>inclusive.</w:t>
      </w:r>
      <w:r>
        <w:rPr>
          <w:spacing w:val="-12"/>
          <w:sz w:val="20"/>
        </w:rPr>
        <w:t> </w:t>
      </w:r>
      <w:r>
        <w:rPr>
          <w:sz w:val="20"/>
        </w:rPr>
        <w:t>Recommendations</w:t>
      </w:r>
      <w:r>
        <w:rPr>
          <w:spacing w:val="-11"/>
          <w:sz w:val="20"/>
        </w:rPr>
        <w:t> </w:t>
      </w:r>
      <w:r>
        <w:rPr>
          <w:sz w:val="20"/>
        </w:rPr>
        <w:t>should</w:t>
      </w:r>
      <w:r>
        <w:rPr>
          <w:spacing w:val="-12"/>
          <w:sz w:val="20"/>
        </w:rPr>
        <w:t> </w:t>
      </w:r>
      <w:r>
        <w:rPr>
          <w:sz w:val="20"/>
        </w:rPr>
        <w:t>include</w:t>
      </w:r>
      <w:r>
        <w:rPr>
          <w:spacing w:val="-12"/>
          <w:sz w:val="20"/>
        </w:rPr>
        <w:t> </w:t>
      </w:r>
      <w:r>
        <w:rPr>
          <w:sz w:val="20"/>
        </w:rPr>
        <w:t>disability</w:t>
      </w:r>
      <w:r>
        <w:rPr>
          <w:spacing w:val="-11"/>
          <w:sz w:val="20"/>
        </w:rPr>
        <w:t> </w:t>
      </w:r>
      <w:r>
        <w:rPr>
          <w:spacing w:val="-3"/>
          <w:sz w:val="20"/>
        </w:rPr>
        <w:t>awareness </w:t>
      </w:r>
      <w:r>
        <w:rPr>
          <w:sz w:val="20"/>
        </w:rPr>
        <w:t>training</w:t>
      </w:r>
      <w:r>
        <w:rPr>
          <w:spacing w:val="-11"/>
          <w:sz w:val="20"/>
        </w:rPr>
        <w:t> </w:t>
      </w:r>
      <w:r>
        <w:rPr>
          <w:sz w:val="20"/>
        </w:rPr>
        <w:t>for</w:t>
      </w:r>
      <w:r>
        <w:rPr>
          <w:spacing w:val="-10"/>
          <w:sz w:val="20"/>
        </w:rPr>
        <w:t> </w:t>
      </w:r>
      <w:r>
        <w:rPr>
          <w:sz w:val="20"/>
        </w:rPr>
        <w:t>the</w:t>
      </w:r>
      <w:r>
        <w:rPr>
          <w:spacing w:val="-11"/>
          <w:sz w:val="20"/>
        </w:rPr>
        <w:t> </w:t>
      </w:r>
      <w:r>
        <w:rPr>
          <w:sz w:val="20"/>
        </w:rPr>
        <w:t>courts</w:t>
      </w:r>
      <w:r>
        <w:rPr>
          <w:spacing w:val="-10"/>
          <w:sz w:val="20"/>
        </w:rPr>
        <w:t> </w:t>
      </w:r>
      <w:r>
        <w:rPr>
          <w:sz w:val="20"/>
        </w:rPr>
        <w:t>and</w:t>
      </w:r>
      <w:r>
        <w:rPr>
          <w:spacing w:val="-11"/>
          <w:sz w:val="20"/>
        </w:rPr>
        <w:t> </w:t>
      </w:r>
      <w:r>
        <w:rPr>
          <w:sz w:val="20"/>
        </w:rPr>
        <w:t>Juries</w:t>
      </w:r>
      <w:r>
        <w:rPr>
          <w:spacing w:val="-10"/>
          <w:sz w:val="20"/>
        </w:rPr>
        <w:t> </w:t>
      </w:r>
      <w:r>
        <w:rPr>
          <w:sz w:val="20"/>
        </w:rPr>
        <w:t>Victoria.</w:t>
      </w:r>
      <w:r>
        <w:rPr>
          <w:spacing w:val="-10"/>
          <w:sz w:val="20"/>
        </w:rPr>
        <w:t> </w:t>
      </w:r>
      <w:r>
        <w:rPr>
          <w:sz w:val="20"/>
        </w:rPr>
        <w:t>This</w:t>
      </w:r>
      <w:r>
        <w:rPr>
          <w:spacing w:val="-11"/>
          <w:sz w:val="20"/>
        </w:rPr>
        <w:t> </w:t>
      </w:r>
      <w:r>
        <w:rPr>
          <w:sz w:val="20"/>
        </w:rPr>
        <w:t>will</w:t>
      </w:r>
      <w:r>
        <w:rPr>
          <w:spacing w:val="-10"/>
          <w:sz w:val="20"/>
        </w:rPr>
        <w:t> </w:t>
      </w:r>
      <w:r>
        <w:rPr>
          <w:sz w:val="20"/>
        </w:rPr>
        <w:t>help</w:t>
      </w:r>
      <w:r>
        <w:rPr>
          <w:spacing w:val="-11"/>
          <w:sz w:val="20"/>
        </w:rPr>
        <w:t> </w:t>
      </w:r>
      <w:r>
        <w:rPr>
          <w:sz w:val="20"/>
        </w:rPr>
        <w:t>ensure</w:t>
      </w:r>
      <w:r>
        <w:rPr>
          <w:spacing w:val="-10"/>
          <w:sz w:val="20"/>
        </w:rPr>
        <w:t> </w:t>
      </w:r>
      <w:r>
        <w:rPr>
          <w:sz w:val="20"/>
        </w:rPr>
        <w:t>young</w:t>
      </w:r>
      <w:r>
        <w:rPr>
          <w:spacing w:val="-11"/>
          <w:sz w:val="20"/>
        </w:rPr>
        <w:t> </w:t>
      </w:r>
      <w:r>
        <w:rPr>
          <w:sz w:val="20"/>
        </w:rPr>
        <w:t>people</w:t>
      </w:r>
      <w:r>
        <w:rPr>
          <w:spacing w:val="-10"/>
          <w:sz w:val="20"/>
        </w:rPr>
        <w:t> </w:t>
      </w:r>
      <w:r>
        <w:rPr>
          <w:sz w:val="20"/>
        </w:rPr>
        <w:t>with disabilities feel comfortable in the legal</w:t>
      </w:r>
      <w:r>
        <w:rPr>
          <w:spacing w:val="-27"/>
          <w:sz w:val="20"/>
        </w:rPr>
        <w:t> </w:t>
      </w:r>
      <w:r>
        <w:rPr>
          <w:spacing w:val="-3"/>
          <w:sz w:val="20"/>
        </w:rPr>
        <w:t>space’.</w:t>
      </w:r>
      <w:r>
        <w:rPr>
          <w:spacing w:val="-3"/>
          <w:position w:val="7"/>
          <w:sz w:val="11"/>
        </w:rPr>
        <w:t>20</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z w:val="20"/>
        </w:rPr>
        <w:t>One survey respondent</w:t>
      </w:r>
      <w:r>
        <w:rPr>
          <w:spacing w:val="-14"/>
          <w:sz w:val="20"/>
        </w:rPr>
        <w:t> </w:t>
      </w:r>
      <w:r>
        <w:rPr>
          <w:sz w:val="20"/>
        </w:rPr>
        <w:t>commented:</w:t>
      </w:r>
    </w:p>
    <w:p>
      <w:pPr>
        <w:spacing w:line="247" w:lineRule="exact" w:before="83"/>
        <w:ind w:left="2157" w:right="0" w:firstLine="0"/>
        <w:jc w:val="left"/>
        <w:rPr>
          <w:sz w:val="19"/>
        </w:rPr>
      </w:pPr>
      <w:r>
        <w:rPr>
          <w:sz w:val="19"/>
        </w:rPr>
        <w:t>as a general rule I find judicial officers and legal practitioners have very low levels</w:t>
      </w:r>
    </w:p>
    <w:p>
      <w:pPr>
        <w:spacing w:line="208" w:lineRule="auto" w:before="12"/>
        <w:ind w:left="2157" w:right="1335" w:firstLine="0"/>
        <w:jc w:val="left"/>
        <w:rPr>
          <w:sz w:val="11"/>
        </w:rPr>
      </w:pPr>
      <w:r>
        <w:rPr>
          <w:sz w:val="19"/>
        </w:rPr>
        <w:t>of knowledge about discrimination law and Australia’s obligations under the CRPD. Melbourne Law School has only recently added disability human rights law subjects to its programs and many other law schools are yet to do so. To my knowledge Victoria does not have even one judge or Tribunal member with a disability (even in the VCAT Guardianship List) and there are no disabled Commissioners at the VLRC [Victorian Law Reform Commission] despite the massive over-representation of disabled Victorians in our prisons.</w:t>
      </w:r>
      <w:r>
        <w:rPr>
          <w:position w:val="6"/>
          <w:sz w:val="11"/>
        </w:rPr>
        <w:t>21</w:t>
      </w:r>
    </w:p>
    <w:p>
      <w:pPr>
        <w:pStyle w:val="ListParagraph"/>
        <w:numPr>
          <w:ilvl w:val="1"/>
          <w:numId w:val="12"/>
        </w:numPr>
        <w:tabs>
          <w:tab w:pos="1761" w:val="left" w:leader="none"/>
          <w:tab w:pos="1762" w:val="left" w:leader="none"/>
        </w:tabs>
        <w:spacing w:line="206" w:lineRule="auto" w:before="126" w:after="0"/>
        <w:ind w:left="1761" w:right="1278" w:hanging="794"/>
        <w:jc w:val="left"/>
        <w:rPr>
          <w:sz w:val="11"/>
        </w:rPr>
      </w:pPr>
      <w:r>
        <w:rPr>
          <w:sz w:val="20"/>
        </w:rPr>
        <w:t>The Commission is pleased that some legal practitioners </w:t>
      </w:r>
      <w:r>
        <w:rPr>
          <w:spacing w:val="-3"/>
          <w:sz w:val="20"/>
        </w:rPr>
        <w:t>are </w:t>
      </w:r>
      <w:r>
        <w:rPr>
          <w:sz w:val="20"/>
        </w:rPr>
        <w:t>already receiving disability </w:t>
      </w:r>
      <w:r>
        <w:rPr>
          <w:spacing w:val="-3"/>
          <w:sz w:val="20"/>
        </w:rPr>
        <w:t>awareness </w:t>
      </w:r>
      <w:r>
        <w:rPr>
          <w:sz w:val="20"/>
        </w:rPr>
        <w:t>training. The OPP </w:t>
      </w:r>
      <w:r>
        <w:rPr>
          <w:spacing w:val="-3"/>
          <w:sz w:val="20"/>
        </w:rPr>
        <w:t>told </w:t>
      </w:r>
      <w:r>
        <w:rPr>
          <w:sz w:val="20"/>
        </w:rPr>
        <w:t>us that disability </w:t>
      </w:r>
      <w:r>
        <w:rPr>
          <w:spacing w:val="-3"/>
          <w:sz w:val="20"/>
        </w:rPr>
        <w:t>awareness </w:t>
      </w:r>
      <w:r>
        <w:rPr>
          <w:sz w:val="20"/>
        </w:rPr>
        <w:t>training is </w:t>
      </w:r>
      <w:r>
        <w:rPr>
          <w:spacing w:val="-3"/>
          <w:sz w:val="20"/>
        </w:rPr>
        <w:t>provided</w:t>
      </w:r>
      <w:r>
        <w:rPr>
          <w:spacing w:val="-6"/>
          <w:sz w:val="20"/>
        </w:rPr>
        <w:t> </w:t>
      </w:r>
      <w:r>
        <w:rPr>
          <w:sz w:val="20"/>
        </w:rPr>
        <w:t>to</w:t>
      </w:r>
      <w:r>
        <w:rPr>
          <w:spacing w:val="-5"/>
          <w:sz w:val="20"/>
        </w:rPr>
        <w:t> </w:t>
      </w:r>
      <w:r>
        <w:rPr>
          <w:sz w:val="20"/>
        </w:rPr>
        <w:t>OPP</w:t>
      </w:r>
      <w:r>
        <w:rPr>
          <w:spacing w:val="-6"/>
          <w:sz w:val="20"/>
        </w:rPr>
        <w:t> </w:t>
      </w:r>
      <w:r>
        <w:rPr>
          <w:spacing w:val="-4"/>
          <w:sz w:val="20"/>
        </w:rPr>
        <w:t>staff.</w:t>
      </w:r>
      <w:r>
        <w:rPr>
          <w:spacing w:val="-5"/>
          <w:sz w:val="20"/>
        </w:rPr>
        <w:t> </w:t>
      </w:r>
      <w:r>
        <w:rPr>
          <w:spacing w:val="-4"/>
          <w:sz w:val="20"/>
        </w:rPr>
        <w:t>Crown</w:t>
      </w:r>
      <w:r>
        <w:rPr>
          <w:spacing w:val="-5"/>
          <w:sz w:val="20"/>
        </w:rPr>
        <w:t> </w:t>
      </w:r>
      <w:r>
        <w:rPr>
          <w:spacing w:val="-3"/>
          <w:sz w:val="20"/>
        </w:rPr>
        <w:t>Prosecutors</w:t>
      </w:r>
      <w:r>
        <w:rPr>
          <w:spacing w:val="-6"/>
          <w:sz w:val="20"/>
        </w:rPr>
        <w:t> </w:t>
      </w:r>
      <w:r>
        <w:rPr>
          <w:sz w:val="20"/>
        </w:rPr>
        <w:t>can</w:t>
      </w:r>
      <w:r>
        <w:rPr>
          <w:spacing w:val="-5"/>
          <w:sz w:val="20"/>
        </w:rPr>
        <w:t> </w:t>
      </w:r>
      <w:r>
        <w:rPr>
          <w:sz w:val="20"/>
        </w:rPr>
        <w:t>also</w:t>
      </w:r>
      <w:r>
        <w:rPr>
          <w:spacing w:val="-5"/>
          <w:sz w:val="20"/>
        </w:rPr>
        <w:t> </w:t>
      </w:r>
      <w:r>
        <w:rPr>
          <w:sz w:val="20"/>
        </w:rPr>
        <w:t>attend.</w:t>
      </w:r>
      <w:r>
        <w:rPr>
          <w:spacing w:val="-6"/>
          <w:sz w:val="20"/>
        </w:rPr>
        <w:t> </w:t>
      </w:r>
      <w:r>
        <w:rPr>
          <w:spacing w:val="-3"/>
          <w:sz w:val="20"/>
        </w:rPr>
        <w:t>For</w:t>
      </w:r>
      <w:r>
        <w:rPr>
          <w:spacing w:val="-5"/>
          <w:sz w:val="20"/>
        </w:rPr>
        <w:t> </w:t>
      </w:r>
      <w:r>
        <w:rPr>
          <w:spacing w:val="-3"/>
          <w:sz w:val="20"/>
        </w:rPr>
        <w:t>example,</w:t>
      </w:r>
      <w:r>
        <w:rPr>
          <w:spacing w:val="-5"/>
          <w:sz w:val="20"/>
        </w:rPr>
        <w:t> </w:t>
      </w:r>
      <w:r>
        <w:rPr>
          <w:sz w:val="20"/>
        </w:rPr>
        <w:t>in</w:t>
      </w:r>
      <w:r>
        <w:rPr>
          <w:spacing w:val="-6"/>
          <w:sz w:val="20"/>
        </w:rPr>
        <w:t> </w:t>
      </w:r>
      <w:r>
        <w:rPr>
          <w:sz w:val="20"/>
        </w:rPr>
        <w:t>late</w:t>
      </w:r>
      <w:r>
        <w:rPr>
          <w:spacing w:val="-5"/>
          <w:sz w:val="20"/>
        </w:rPr>
        <w:t> </w:t>
      </w:r>
      <w:r>
        <w:rPr>
          <w:spacing w:val="-4"/>
          <w:sz w:val="20"/>
        </w:rPr>
        <w:t>2020</w:t>
      </w:r>
      <w:r>
        <w:rPr>
          <w:spacing w:val="-6"/>
          <w:sz w:val="20"/>
        </w:rPr>
        <w:t> </w:t>
      </w:r>
      <w:r>
        <w:rPr>
          <w:sz w:val="20"/>
        </w:rPr>
        <w:t>the OPP held a training session, ‘Practical and effective </w:t>
      </w:r>
      <w:r>
        <w:rPr>
          <w:spacing w:val="-4"/>
          <w:sz w:val="20"/>
        </w:rPr>
        <w:t>ways </w:t>
      </w:r>
      <w:r>
        <w:rPr>
          <w:sz w:val="20"/>
        </w:rPr>
        <w:t>of working with people with disabilities’ which </w:t>
      </w:r>
      <w:r>
        <w:rPr>
          <w:spacing w:val="-4"/>
          <w:sz w:val="20"/>
        </w:rPr>
        <w:t>covered </w:t>
      </w:r>
      <w:r>
        <w:rPr>
          <w:sz w:val="20"/>
        </w:rPr>
        <w:t>inclusion and discussed feedback </w:t>
      </w:r>
      <w:r>
        <w:rPr>
          <w:spacing w:val="-3"/>
          <w:sz w:val="20"/>
        </w:rPr>
        <w:t>from </w:t>
      </w:r>
      <w:r>
        <w:rPr>
          <w:sz w:val="20"/>
        </w:rPr>
        <w:t>court users about best practice. The OPP supported disability </w:t>
      </w:r>
      <w:r>
        <w:rPr>
          <w:spacing w:val="-3"/>
          <w:sz w:val="20"/>
        </w:rPr>
        <w:t>awareness </w:t>
      </w:r>
      <w:r>
        <w:rPr>
          <w:sz w:val="20"/>
        </w:rPr>
        <w:t>training for court and Juries Victoria</w:t>
      </w:r>
      <w:r>
        <w:rPr>
          <w:spacing w:val="-7"/>
          <w:sz w:val="20"/>
        </w:rPr>
        <w:t> </w:t>
      </w:r>
      <w:r>
        <w:rPr>
          <w:sz w:val="20"/>
        </w:rPr>
        <w:t>staff</w:t>
      </w:r>
      <w:r>
        <w:rPr>
          <w:spacing w:val="-6"/>
          <w:sz w:val="20"/>
        </w:rPr>
        <w:t> </w:t>
      </w:r>
      <w:r>
        <w:rPr>
          <w:sz w:val="20"/>
        </w:rPr>
        <w:t>and</w:t>
      </w:r>
      <w:r>
        <w:rPr>
          <w:spacing w:val="-6"/>
          <w:sz w:val="20"/>
        </w:rPr>
        <w:t> </w:t>
      </w:r>
      <w:r>
        <w:rPr>
          <w:sz w:val="20"/>
        </w:rPr>
        <w:t>lawyers</w:t>
      </w:r>
      <w:r>
        <w:rPr>
          <w:spacing w:val="-7"/>
          <w:sz w:val="20"/>
        </w:rPr>
        <w:t> </w:t>
      </w:r>
      <w:r>
        <w:rPr>
          <w:sz w:val="20"/>
        </w:rPr>
        <w:t>with</w:t>
      </w:r>
      <w:r>
        <w:rPr>
          <w:spacing w:val="-6"/>
          <w:sz w:val="20"/>
        </w:rPr>
        <w:t> </w:t>
      </w:r>
      <w:r>
        <w:rPr>
          <w:sz w:val="20"/>
        </w:rPr>
        <w:t>the</w:t>
      </w:r>
      <w:r>
        <w:rPr>
          <w:spacing w:val="-6"/>
          <w:sz w:val="20"/>
        </w:rPr>
        <w:t> </w:t>
      </w:r>
      <w:r>
        <w:rPr>
          <w:sz w:val="20"/>
        </w:rPr>
        <w:t>aim</w:t>
      </w:r>
      <w:r>
        <w:rPr>
          <w:spacing w:val="-6"/>
          <w:sz w:val="20"/>
        </w:rPr>
        <w:t> </w:t>
      </w:r>
      <w:r>
        <w:rPr>
          <w:sz w:val="20"/>
        </w:rPr>
        <w:t>of</w:t>
      </w:r>
      <w:r>
        <w:rPr>
          <w:spacing w:val="-7"/>
          <w:sz w:val="20"/>
        </w:rPr>
        <w:t> </w:t>
      </w:r>
      <w:r>
        <w:rPr>
          <w:sz w:val="20"/>
        </w:rPr>
        <w:t>ensuring</w:t>
      </w:r>
      <w:r>
        <w:rPr>
          <w:spacing w:val="-6"/>
          <w:sz w:val="20"/>
        </w:rPr>
        <w:t> </w:t>
      </w:r>
      <w:r>
        <w:rPr>
          <w:sz w:val="20"/>
        </w:rPr>
        <w:t>that</w:t>
      </w:r>
      <w:r>
        <w:rPr>
          <w:spacing w:val="-6"/>
          <w:sz w:val="20"/>
        </w:rPr>
        <w:t> </w:t>
      </w:r>
      <w:r>
        <w:rPr>
          <w:spacing w:val="-3"/>
          <w:sz w:val="20"/>
        </w:rPr>
        <w:t>reform</w:t>
      </w:r>
      <w:r>
        <w:rPr>
          <w:spacing w:val="-7"/>
          <w:sz w:val="20"/>
        </w:rPr>
        <w:t> </w:t>
      </w:r>
      <w:r>
        <w:rPr>
          <w:sz w:val="20"/>
        </w:rPr>
        <w:t>is</w:t>
      </w:r>
      <w:r>
        <w:rPr>
          <w:spacing w:val="-6"/>
          <w:sz w:val="20"/>
        </w:rPr>
        <w:t> </w:t>
      </w:r>
      <w:r>
        <w:rPr>
          <w:sz w:val="20"/>
        </w:rPr>
        <w:t>effective.</w:t>
      </w:r>
      <w:r>
        <w:rPr>
          <w:position w:val="7"/>
          <w:sz w:val="11"/>
        </w:rPr>
        <w:t>22</w:t>
      </w:r>
    </w:p>
    <w:p>
      <w:pPr>
        <w:spacing w:before="167"/>
        <w:ind w:left="967" w:right="0" w:firstLine="0"/>
        <w:jc w:val="left"/>
        <w:rPr>
          <w:b/>
          <w:sz w:val="24"/>
        </w:rPr>
      </w:pPr>
      <w:r>
        <w:rPr>
          <w:b/>
          <w:sz w:val="24"/>
        </w:rPr>
        <w:t>Other calls for awareness training</w:t>
      </w:r>
    </w:p>
    <w:p>
      <w:pPr>
        <w:pStyle w:val="ListParagraph"/>
        <w:numPr>
          <w:ilvl w:val="1"/>
          <w:numId w:val="12"/>
        </w:numPr>
        <w:tabs>
          <w:tab w:pos="1762" w:val="left" w:leader="none"/>
        </w:tabs>
        <w:spacing w:line="206" w:lineRule="auto" w:before="127" w:after="0"/>
        <w:ind w:left="1761" w:right="1231" w:hanging="794"/>
        <w:jc w:val="both"/>
        <w:rPr>
          <w:sz w:val="11"/>
        </w:rPr>
      </w:pPr>
      <w:r>
        <w:rPr>
          <w:sz w:val="20"/>
        </w:rPr>
        <w:t>The</w:t>
      </w:r>
      <w:r>
        <w:rPr>
          <w:spacing w:val="-8"/>
          <w:sz w:val="20"/>
        </w:rPr>
        <w:t> </w:t>
      </w:r>
      <w:r>
        <w:rPr>
          <w:sz w:val="20"/>
        </w:rPr>
        <w:t>New</w:t>
      </w:r>
      <w:r>
        <w:rPr>
          <w:spacing w:val="-7"/>
          <w:sz w:val="20"/>
        </w:rPr>
        <w:t> </w:t>
      </w:r>
      <w:r>
        <w:rPr>
          <w:sz w:val="20"/>
        </w:rPr>
        <w:t>South</w:t>
      </w:r>
      <w:r>
        <w:rPr>
          <w:spacing w:val="-7"/>
          <w:sz w:val="20"/>
        </w:rPr>
        <w:t> </w:t>
      </w:r>
      <w:r>
        <w:rPr>
          <w:spacing w:val="-4"/>
          <w:sz w:val="20"/>
        </w:rPr>
        <w:t>Wales</w:t>
      </w:r>
      <w:r>
        <w:rPr>
          <w:spacing w:val="-8"/>
          <w:sz w:val="20"/>
        </w:rPr>
        <w:t> </w:t>
      </w:r>
      <w:r>
        <w:rPr>
          <w:sz w:val="20"/>
        </w:rPr>
        <w:t>Law</w:t>
      </w:r>
      <w:r>
        <w:rPr>
          <w:spacing w:val="-7"/>
          <w:sz w:val="20"/>
        </w:rPr>
        <w:t> </w:t>
      </w:r>
      <w:r>
        <w:rPr>
          <w:sz w:val="20"/>
        </w:rPr>
        <w:t>Reform</w:t>
      </w:r>
      <w:r>
        <w:rPr>
          <w:spacing w:val="-7"/>
          <w:sz w:val="20"/>
        </w:rPr>
        <w:t> </w:t>
      </w:r>
      <w:r>
        <w:rPr>
          <w:sz w:val="20"/>
        </w:rPr>
        <w:t>Commission</w:t>
      </w:r>
      <w:r>
        <w:rPr>
          <w:spacing w:val="-8"/>
          <w:sz w:val="20"/>
        </w:rPr>
        <w:t> </w:t>
      </w:r>
      <w:r>
        <w:rPr>
          <w:spacing w:val="-3"/>
          <w:sz w:val="20"/>
        </w:rPr>
        <w:t>(NSWLRC)</w:t>
      </w:r>
      <w:r>
        <w:rPr>
          <w:spacing w:val="-7"/>
          <w:sz w:val="20"/>
        </w:rPr>
        <w:t> </w:t>
      </w:r>
      <w:r>
        <w:rPr>
          <w:sz w:val="20"/>
        </w:rPr>
        <w:t>and</w:t>
      </w:r>
      <w:r>
        <w:rPr>
          <w:spacing w:val="-7"/>
          <w:sz w:val="20"/>
        </w:rPr>
        <w:t> </w:t>
      </w:r>
      <w:r>
        <w:rPr>
          <w:sz w:val="20"/>
        </w:rPr>
        <w:t>the</w:t>
      </w:r>
      <w:r>
        <w:rPr>
          <w:spacing w:val="-8"/>
          <w:sz w:val="20"/>
        </w:rPr>
        <w:t> </w:t>
      </w:r>
      <w:r>
        <w:rPr>
          <w:spacing w:val="-4"/>
          <w:sz w:val="20"/>
        </w:rPr>
        <w:t>Western</w:t>
      </w:r>
      <w:r>
        <w:rPr>
          <w:spacing w:val="-7"/>
          <w:sz w:val="20"/>
        </w:rPr>
        <w:t> </w:t>
      </w:r>
      <w:r>
        <w:rPr>
          <w:sz w:val="20"/>
        </w:rPr>
        <w:t>Australian Law</w:t>
      </w:r>
      <w:r>
        <w:rPr>
          <w:spacing w:val="-8"/>
          <w:sz w:val="20"/>
        </w:rPr>
        <w:t> </w:t>
      </w:r>
      <w:r>
        <w:rPr>
          <w:sz w:val="20"/>
        </w:rPr>
        <w:t>Reform</w:t>
      </w:r>
      <w:r>
        <w:rPr>
          <w:spacing w:val="-7"/>
          <w:sz w:val="20"/>
        </w:rPr>
        <w:t> </w:t>
      </w:r>
      <w:r>
        <w:rPr>
          <w:sz w:val="20"/>
        </w:rPr>
        <w:t>Commission</w:t>
      </w:r>
      <w:r>
        <w:rPr>
          <w:spacing w:val="-8"/>
          <w:sz w:val="20"/>
        </w:rPr>
        <w:t> </w:t>
      </w:r>
      <w:r>
        <w:rPr>
          <w:spacing w:val="-4"/>
          <w:sz w:val="20"/>
        </w:rPr>
        <w:t>(LRCWA)</w:t>
      </w:r>
      <w:r>
        <w:rPr>
          <w:spacing w:val="-7"/>
          <w:sz w:val="20"/>
        </w:rPr>
        <w:t> </w:t>
      </w:r>
      <w:r>
        <w:rPr>
          <w:spacing w:val="-4"/>
          <w:sz w:val="20"/>
        </w:rPr>
        <w:t>have</w:t>
      </w:r>
      <w:r>
        <w:rPr>
          <w:spacing w:val="-7"/>
          <w:sz w:val="20"/>
        </w:rPr>
        <w:t> </w:t>
      </w:r>
      <w:r>
        <w:rPr>
          <w:sz w:val="20"/>
        </w:rPr>
        <w:t>also</w:t>
      </w:r>
      <w:r>
        <w:rPr>
          <w:spacing w:val="-8"/>
          <w:sz w:val="20"/>
        </w:rPr>
        <w:t> </w:t>
      </w:r>
      <w:r>
        <w:rPr>
          <w:sz w:val="20"/>
        </w:rPr>
        <w:t>called</w:t>
      </w:r>
      <w:r>
        <w:rPr>
          <w:spacing w:val="-7"/>
          <w:sz w:val="20"/>
        </w:rPr>
        <w:t> </w:t>
      </w:r>
      <w:r>
        <w:rPr>
          <w:sz w:val="20"/>
        </w:rPr>
        <w:t>for</w:t>
      </w:r>
      <w:r>
        <w:rPr>
          <w:spacing w:val="-7"/>
          <w:sz w:val="20"/>
        </w:rPr>
        <w:t> </w:t>
      </w:r>
      <w:r>
        <w:rPr>
          <w:sz w:val="20"/>
        </w:rPr>
        <w:t>disability</w:t>
      </w:r>
      <w:r>
        <w:rPr>
          <w:spacing w:val="-8"/>
          <w:sz w:val="20"/>
        </w:rPr>
        <w:t> </w:t>
      </w:r>
      <w:r>
        <w:rPr>
          <w:spacing w:val="-3"/>
          <w:sz w:val="20"/>
        </w:rPr>
        <w:t>awareness</w:t>
      </w:r>
      <w:r>
        <w:rPr>
          <w:spacing w:val="-7"/>
          <w:sz w:val="20"/>
        </w:rPr>
        <w:t> </w:t>
      </w:r>
      <w:r>
        <w:rPr>
          <w:sz w:val="20"/>
        </w:rPr>
        <w:t>training</w:t>
      </w:r>
      <w:r>
        <w:rPr>
          <w:spacing w:val="-8"/>
          <w:sz w:val="20"/>
        </w:rPr>
        <w:t> </w:t>
      </w:r>
      <w:r>
        <w:rPr>
          <w:sz w:val="20"/>
        </w:rPr>
        <w:t>for legal professionals </w:t>
      </w:r>
      <w:r>
        <w:rPr>
          <w:spacing w:val="-4"/>
          <w:sz w:val="20"/>
        </w:rPr>
        <w:t>involved </w:t>
      </w:r>
      <w:r>
        <w:rPr>
          <w:sz w:val="20"/>
        </w:rPr>
        <w:t>in the jury</w:t>
      </w:r>
      <w:r>
        <w:rPr>
          <w:spacing w:val="-23"/>
          <w:sz w:val="20"/>
        </w:rPr>
        <w:t> </w:t>
      </w:r>
      <w:r>
        <w:rPr>
          <w:sz w:val="20"/>
        </w:rPr>
        <w:t>system.</w:t>
      </w:r>
      <w:r>
        <w:rPr>
          <w:position w:val="7"/>
          <w:sz w:val="11"/>
        </w:rPr>
        <w:t>23</w:t>
      </w:r>
    </w:p>
    <w:p>
      <w:pPr>
        <w:pStyle w:val="BodyText"/>
      </w:pPr>
    </w:p>
    <w:p>
      <w:pPr>
        <w:pStyle w:val="BodyText"/>
      </w:pPr>
    </w:p>
    <w:p>
      <w:pPr>
        <w:pStyle w:val="BodyText"/>
      </w:pPr>
    </w:p>
    <w:p>
      <w:pPr>
        <w:pStyle w:val="BodyText"/>
      </w:pPr>
    </w:p>
    <w:p>
      <w:pPr>
        <w:pStyle w:val="BodyText"/>
      </w:pPr>
    </w:p>
    <w:p>
      <w:pPr>
        <w:pStyle w:val="BodyText"/>
        <w:spacing w:before="3"/>
        <w:rPr>
          <w:sz w:val="29"/>
        </w:rPr>
      </w:pPr>
      <w:r>
        <w:rPr/>
        <w:pict>
          <v:line style="position:absolute;mso-position-horizontal-relative:page;mso-position-vertical-relative:paragraph;z-index:10976;mso-wrap-distance-left:0;mso-wrap-distance-right:0" from="79.370102pt,22.757681pt" to="515.905102pt,22.757681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21"/>
        </w:numPr>
        <w:tabs>
          <w:tab w:pos="1761" w:val="left" w:leader="none"/>
          <w:tab w:pos="1762" w:val="left" w:leader="none"/>
        </w:tabs>
        <w:spacing w:line="170" w:lineRule="exact" w:before="21" w:after="0"/>
        <w:ind w:left="1761" w:right="0" w:hanging="794"/>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pStyle w:val="ListParagraph"/>
        <w:numPr>
          <w:ilvl w:val="0"/>
          <w:numId w:val="121"/>
        </w:numPr>
        <w:tabs>
          <w:tab w:pos="1760" w:val="left" w:leader="none"/>
          <w:tab w:pos="1762" w:val="left" w:leader="none"/>
        </w:tabs>
        <w:spacing w:line="160" w:lineRule="exact" w:before="0" w:after="0"/>
        <w:ind w:left="1761" w:right="0" w:hanging="794"/>
        <w:jc w:val="left"/>
        <w:rPr>
          <w:sz w:val="13"/>
        </w:rPr>
      </w:pPr>
      <w:r>
        <w:rPr>
          <w:spacing w:val="2"/>
          <w:sz w:val="13"/>
        </w:rPr>
        <w:t>Submission</w:t>
      </w:r>
      <w:r>
        <w:rPr>
          <w:spacing w:val="4"/>
          <w:sz w:val="13"/>
        </w:rPr>
        <w:t> </w:t>
      </w:r>
      <w:r>
        <w:rPr>
          <w:sz w:val="13"/>
        </w:rPr>
        <w:t>4</w:t>
      </w:r>
      <w:r>
        <w:rPr>
          <w:spacing w:val="4"/>
          <w:sz w:val="13"/>
        </w:rPr>
        <w:t> </w:t>
      </w:r>
      <w:r>
        <w:rPr>
          <w:spacing w:val="2"/>
          <w:sz w:val="13"/>
        </w:rPr>
        <w:t>(Associate</w:t>
      </w:r>
      <w:r>
        <w:rPr>
          <w:spacing w:val="4"/>
          <w:sz w:val="13"/>
        </w:rPr>
        <w:t> </w:t>
      </w:r>
      <w:r>
        <w:rPr>
          <w:sz w:val="13"/>
        </w:rPr>
        <w:t>Professors</w:t>
      </w:r>
      <w:r>
        <w:rPr>
          <w:spacing w:val="5"/>
          <w:sz w:val="13"/>
        </w:rPr>
        <w:t> </w:t>
      </w:r>
      <w:r>
        <w:rPr>
          <w:sz w:val="13"/>
        </w:rPr>
        <w:t>Bruce</w:t>
      </w:r>
      <w:r>
        <w:rPr>
          <w:spacing w:val="4"/>
          <w:sz w:val="13"/>
        </w:rPr>
        <w:t> </w:t>
      </w:r>
      <w:r>
        <w:rPr>
          <w:sz w:val="13"/>
        </w:rPr>
        <w:t>Baer</w:t>
      </w:r>
      <w:r>
        <w:rPr>
          <w:spacing w:val="4"/>
          <w:sz w:val="13"/>
        </w:rPr>
        <w:t> </w:t>
      </w:r>
      <w:r>
        <w:rPr>
          <w:sz w:val="13"/>
        </w:rPr>
        <w:t>Arnold</w:t>
      </w:r>
      <w:r>
        <w:rPr>
          <w:spacing w:val="4"/>
          <w:sz w:val="13"/>
        </w:rPr>
        <w:t> </w:t>
      </w:r>
      <w:r>
        <w:rPr>
          <w:sz w:val="13"/>
        </w:rPr>
        <w:t>(University</w:t>
      </w:r>
      <w:r>
        <w:rPr>
          <w:spacing w:val="5"/>
          <w:sz w:val="13"/>
        </w:rPr>
        <w:t> </w:t>
      </w:r>
      <w:r>
        <w:rPr>
          <w:sz w:val="13"/>
        </w:rPr>
        <w:t>of</w:t>
      </w:r>
      <w:r>
        <w:rPr>
          <w:spacing w:val="4"/>
          <w:sz w:val="13"/>
        </w:rPr>
        <w:t> </w:t>
      </w:r>
      <w:r>
        <w:rPr>
          <w:spacing w:val="2"/>
          <w:sz w:val="13"/>
        </w:rPr>
        <w:t>Canberra)</w:t>
      </w:r>
      <w:r>
        <w:rPr>
          <w:spacing w:val="4"/>
          <w:sz w:val="13"/>
        </w:rPr>
        <w:t> </w:t>
      </w:r>
      <w:r>
        <w:rPr>
          <w:sz w:val="13"/>
        </w:rPr>
        <w:t>and</w:t>
      </w:r>
      <w:r>
        <w:rPr>
          <w:spacing w:val="4"/>
          <w:sz w:val="13"/>
        </w:rPr>
        <w:t> </w:t>
      </w:r>
      <w:r>
        <w:rPr>
          <w:sz w:val="13"/>
        </w:rPr>
        <w:t>Wendy</w:t>
      </w:r>
      <w:r>
        <w:rPr>
          <w:spacing w:val="5"/>
          <w:sz w:val="13"/>
        </w:rPr>
        <w:t> </w:t>
      </w:r>
      <w:r>
        <w:rPr>
          <w:sz w:val="13"/>
        </w:rPr>
        <w:t>Bonython</w:t>
      </w:r>
      <w:r>
        <w:rPr>
          <w:spacing w:val="4"/>
          <w:sz w:val="13"/>
        </w:rPr>
        <w:t> </w:t>
      </w:r>
      <w:r>
        <w:rPr>
          <w:sz w:val="13"/>
        </w:rPr>
        <w:t>(Bond</w:t>
      </w:r>
      <w:r>
        <w:rPr>
          <w:spacing w:val="4"/>
          <w:sz w:val="13"/>
        </w:rPr>
        <w:t> </w:t>
      </w:r>
      <w:r>
        <w:rPr>
          <w:sz w:val="13"/>
        </w:rPr>
        <w:t>University)).</w:t>
      </w:r>
    </w:p>
    <w:p>
      <w:pPr>
        <w:pStyle w:val="ListParagraph"/>
        <w:numPr>
          <w:ilvl w:val="0"/>
          <w:numId w:val="121"/>
        </w:numPr>
        <w:tabs>
          <w:tab w:pos="1760" w:val="left" w:leader="none"/>
          <w:tab w:pos="1762" w:val="left" w:leader="none"/>
        </w:tabs>
        <w:spacing w:line="160" w:lineRule="exact" w:before="0" w:after="0"/>
        <w:ind w:left="1761" w:right="0" w:hanging="794"/>
        <w:jc w:val="left"/>
        <w:rPr>
          <w:sz w:val="13"/>
        </w:rPr>
      </w:pPr>
      <w:r>
        <w:rPr>
          <w:sz w:val="13"/>
        </w:rPr>
        <w:t>Consultation 17 (Youth </w:t>
      </w:r>
      <w:r>
        <w:rPr>
          <w:spacing w:val="2"/>
          <w:sz w:val="13"/>
        </w:rPr>
        <w:t>Disability </w:t>
      </w:r>
      <w:r>
        <w:rPr>
          <w:sz w:val="13"/>
        </w:rPr>
        <w:t>Advocacy </w:t>
      </w:r>
      <w:r>
        <w:rPr>
          <w:spacing w:val="2"/>
          <w:sz w:val="13"/>
        </w:rPr>
        <w:t>Service</w:t>
      </w:r>
      <w:r>
        <w:rPr>
          <w:sz w:val="13"/>
        </w:rPr>
        <w:t> (YDAS)).</w:t>
      </w:r>
    </w:p>
    <w:p>
      <w:pPr>
        <w:pStyle w:val="ListParagraph"/>
        <w:numPr>
          <w:ilvl w:val="0"/>
          <w:numId w:val="121"/>
        </w:numPr>
        <w:tabs>
          <w:tab w:pos="1760" w:val="left" w:leader="none"/>
          <w:tab w:pos="1762" w:val="left" w:leader="none"/>
        </w:tabs>
        <w:spacing w:line="160" w:lineRule="exact" w:before="0" w:after="0"/>
        <w:ind w:left="1761" w:right="0" w:hanging="794"/>
        <w:jc w:val="left"/>
        <w:rPr>
          <w:sz w:val="13"/>
        </w:rPr>
      </w:pPr>
      <w:r>
        <w:rPr>
          <w:spacing w:val="2"/>
          <w:sz w:val="13"/>
        </w:rPr>
        <w:t>Online </w:t>
      </w:r>
      <w:r>
        <w:rPr>
          <w:sz w:val="13"/>
        </w:rPr>
        <w:t>Survey (Response</w:t>
      </w:r>
      <w:r>
        <w:rPr>
          <w:spacing w:val="-2"/>
          <w:sz w:val="13"/>
        </w:rPr>
        <w:t> </w:t>
      </w:r>
      <w:r>
        <w:rPr>
          <w:sz w:val="13"/>
        </w:rPr>
        <w:t>2).</w:t>
      </w:r>
    </w:p>
    <w:p>
      <w:pPr>
        <w:pStyle w:val="ListParagraph"/>
        <w:numPr>
          <w:ilvl w:val="0"/>
          <w:numId w:val="121"/>
        </w:numPr>
        <w:tabs>
          <w:tab w:pos="1760" w:val="left" w:leader="none"/>
          <w:tab w:pos="1762" w:val="left" w:leader="none"/>
        </w:tabs>
        <w:spacing w:line="160" w:lineRule="exact" w:before="0" w:after="0"/>
        <w:ind w:left="1761" w:right="0" w:hanging="794"/>
        <w:jc w:val="left"/>
        <w:rPr>
          <w:sz w:val="13"/>
        </w:rPr>
      </w:pPr>
      <w:r>
        <w:rPr>
          <w:sz w:val="13"/>
        </w:rPr>
        <w:t>Consultation 16 (Office of </w:t>
      </w:r>
      <w:r>
        <w:rPr>
          <w:spacing w:val="2"/>
          <w:sz w:val="13"/>
        </w:rPr>
        <w:t>Public </w:t>
      </w:r>
      <w:r>
        <w:rPr>
          <w:sz w:val="13"/>
        </w:rPr>
        <w:t>Prosecutions Victoria).</w:t>
      </w:r>
    </w:p>
    <w:p>
      <w:pPr>
        <w:pStyle w:val="ListParagraph"/>
        <w:numPr>
          <w:ilvl w:val="0"/>
          <w:numId w:val="121"/>
        </w:numPr>
        <w:tabs>
          <w:tab w:pos="1761" w:val="left" w:leader="none"/>
          <w:tab w:pos="1762" w:val="left" w:leader="none"/>
        </w:tabs>
        <w:spacing w:line="213" w:lineRule="auto" w:before="7" w:after="0"/>
        <w:ind w:left="1761" w:right="0" w:hanging="794"/>
        <w:jc w:val="left"/>
        <w:rPr>
          <w:sz w:val="13"/>
        </w:rPr>
      </w:pPr>
      <w:r>
        <w:rPr>
          <w:sz w:val="13"/>
        </w:rPr>
        <w:t>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 61; Law Reform </w:t>
      </w:r>
      <w:r>
        <w:rPr>
          <w:spacing w:val="2"/>
          <w:sz w:val="13"/>
        </w:rPr>
        <w:t>Commission </w:t>
      </w:r>
      <w:r>
        <w:rPr>
          <w:sz w:val="13"/>
        </w:rPr>
        <w:t>of Western Australia, </w:t>
      </w:r>
      <w:r>
        <w:rPr>
          <w:i/>
          <w:sz w:val="13"/>
        </w:rPr>
        <w:t>Selection, Eligibility and Exemption of Jurors </w:t>
      </w:r>
      <w:r>
        <w:rPr>
          <w:sz w:val="13"/>
        </w:rPr>
        <w:t>(Final </w:t>
      </w:r>
      <w:r>
        <w:rPr>
          <w:spacing w:val="2"/>
          <w:sz w:val="13"/>
        </w:rPr>
        <w:t>Report </w:t>
      </w:r>
      <w:r>
        <w:rPr>
          <w:sz w:val="13"/>
        </w:rPr>
        <w:t>Project No </w:t>
      </w:r>
      <w:r>
        <w:rPr>
          <w:spacing w:val="3"/>
          <w:sz w:val="13"/>
        </w:rPr>
        <w:t>99, </w:t>
      </w:r>
      <w:r>
        <w:rPr>
          <w:sz w:val="13"/>
        </w:rPr>
        <w:t>April 2010) 107–8,   Recommendation 57.</w:t>
      </w:r>
    </w:p>
    <w:p>
      <w:pPr>
        <w:pStyle w:val="BodyText"/>
        <w:rPr>
          <w:sz w:val="28"/>
        </w:rPr>
      </w:pPr>
      <w:r>
        <w:rPr/>
        <w:br w:type="column"/>
      </w:r>
      <w:r>
        <w:rPr>
          <w:sz w:val="28"/>
        </w:rPr>
      </w:r>
    </w:p>
    <w:p>
      <w:pPr>
        <w:pStyle w:val="BodyText"/>
        <w:rPr>
          <w:sz w:val="28"/>
        </w:rPr>
      </w:pPr>
    </w:p>
    <w:p>
      <w:pPr>
        <w:spacing w:before="237"/>
        <w:ind w:left="683" w:right="0" w:firstLine="0"/>
        <w:jc w:val="left"/>
        <w:rPr>
          <w:b/>
          <w:sz w:val="24"/>
        </w:rPr>
      </w:pPr>
      <w:r>
        <w:rPr>
          <w:b/>
          <w:color w:val="37617A"/>
          <w:sz w:val="24"/>
        </w:rPr>
        <w:t>209</w:t>
      </w:r>
    </w:p>
    <w:p>
      <w:pPr>
        <w:spacing w:after="0"/>
        <w:jc w:val="left"/>
        <w:rPr>
          <w:sz w:val="24"/>
        </w:rPr>
        <w:sectPr>
          <w:type w:val="continuous"/>
          <w:pgSz w:w="11910" w:h="16840"/>
          <w:pgMar w:top="620" w:bottom="280" w:left="620" w:right="380"/>
          <w:cols w:num="2" w:equalWidth="0">
            <w:col w:w="9557" w:space="40"/>
            <w:col w:w="1313"/>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1" w:val="left" w:leader="none"/>
          <w:tab w:pos="1762" w:val="left" w:leader="none"/>
        </w:tabs>
        <w:spacing w:line="206" w:lineRule="auto" w:before="0" w:after="0"/>
        <w:ind w:left="1761" w:right="1285" w:hanging="794"/>
        <w:jc w:val="left"/>
        <w:rPr>
          <w:sz w:val="20"/>
        </w:rPr>
      </w:pPr>
      <w:bookmarkStart w:name="_bookmark154" w:id="367"/>
      <w:bookmarkEnd w:id="367"/>
      <w:r>
        <w:rPr/>
      </w:r>
      <w:bookmarkStart w:name="_bookmark154" w:id="368"/>
      <w:bookmarkEnd w:id="368"/>
      <w:r>
        <w:rPr>
          <w:sz w:val="20"/>
        </w:rPr>
        <w:t>T</w:t>
      </w:r>
      <w:r>
        <w:rPr>
          <w:sz w:val="20"/>
        </w:rPr>
        <w:t>he</w:t>
      </w:r>
      <w:r>
        <w:rPr>
          <w:spacing w:val="-7"/>
          <w:sz w:val="20"/>
        </w:rPr>
        <w:t> </w:t>
      </w:r>
      <w:r>
        <w:rPr>
          <w:spacing w:val="-3"/>
          <w:sz w:val="20"/>
        </w:rPr>
        <w:t>provision</w:t>
      </w:r>
      <w:r>
        <w:rPr>
          <w:spacing w:val="-7"/>
          <w:sz w:val="20"/>
        </w:rPr>
        <w:t> </w:t>
      </w:r>
      <w:r>
        <w:rPr>
          <w:sz w:val="20"/>
        </w:rPr>
        <w:t>of</w:t>
      </w:r>
      <w:r>
        <w:rPr>
          <w:spacing w:val="-7"/>
          <w:sz w:val="20"/>
        </w:rPr>
        <w:t> </w:t>
      </w:r>
      <w:r>
        <w:rPr>
          <w:sz w:val="20"/>
        </w:rPr>
        <w:t>disability</w:t>
      </w:r>
      <w:r>
        <w:rPr>
          <w:spacing w:val="-7"/>
          <w:sz w:val="20"/>
        </w:rPr>
        <w:t> </w:t>
      </w:r>
      <w:r>
        <w:rPr>
          <w:spacing w:val="-3"/>
          <w:sz w:val="20"/>
        </w:rPr>
        <w:t>awareness</w:t>
      </w:r>
      <w:r>
        <w:rPr>
          <w:spacing w:val="-7"/>
          <w:sz w:val="20"/>
        </w:rPr>
        <w:t> </w:t>
      </w:r>
      <w:r>
        <w:rPr>
          <w:sz w:val="20"/>
        </w:rPr>
        <w:t>training</w:t>
      </w:r>
      <w:r>
        <w:rPr>
          <w:spacing w:val="-7"/>
          <w:sz w:val="20"/>
        </w:rPr>
        <w:t> </w:t>
      </w:r>
      <w:r>
        <w:rPr>
          <w:sz w:val="20"/>
        </w:rPr>
        <w:t>is</w:t>
      </w:r>
      <w:r>
        <w:rPr>
          <w:spacing w:val="-7"/>
          <w:sz w:val="20"/>
        </w:rPr>
        <w:t> </w:t>
      </w:r>
      <w:r>
        <w:rPr>
          <w:sz w:val="20"/>
        </w:rPr>
        <w:t>in</w:t>
      </w:r>
      <w:r>
        <w:rPr>
          <w:spacing w:val="-7"/>
          <w:sz w:val="20"/>
        </w:rPr>
        <w:t> </w:t>
      </w:r>
      <w:r>
        <w:rPr>
          <w:sz w:val="20"/>
        </w:rPr>
        <w:t>line</w:t>
      </w:r>
      <w:r>
        <w:rPr>
          <w:spacing w:val="-6"/>
          <w:sz w:val="20"/>
        </w:rPr>
        <w:t> </w:t>
      </w:r>
      <w:r>
        <w:rPr>
          <w:sz w:val="20"/>
        </w:rPr>
        <w:t>with</w:t>
      </w:r>
      <w:r>
        <w:rPr>
          <w:spacing w:val="-7"/>
          <w:sz w:val="20"/>
        </w:rPr>
        <w:t> </w:t>
      </w:r>
      <w:r>
        <w:rPr>
          <w:i/>
          <w:spacing w:val="-3"/>
          <w:sz w:val="20"/>
        </w:rPr>
        <w:t>Australia’s</w:t>
      </w:r>
      <w:r>
        <w:rPr>
          <w:i/>
          <w:spacing w:val="-7"/>
          <w:sz w:val="20"/>
        </w:rPr>
        <w:t> </w:t>
      </w:r>
      <w:r>
        <w:rPr>
          <w:i/>
          <w:sz w:val="20"/>
        </w:rPr>
        <w:t>Disability</w:t>
      </w:r>
      <w:r>
        <w:rPr>
          <w:i/>
          <w:spacing w:val="-7"/>
          <w:sz w:val="20"/>
        </w:rPr>
        <w:t> </w:t>
      </w:r>
      <w:r>
        <w:rPr>
          <w:i/>
          <w:spacing w:val="-3"/>
          <w:sz w:val="20"/>
        </w:rPr>
        <w:t>Strategy </w:t>
      </w:r>
      <w:r>
        <w:rPr>
          <w:i/>
          <w:spacing w:val="-4"/>
          <w:sz w:val="20"/>
        </w:rPr>
        <w:t>2021–2031, </w:t>
      </w:r>
      <w:r>
        <w:rPr>
          <w:sz w:val="20"/>
        </w:rPr>
        <w:t>which</w:t>
      </w:r>
      <w:r>
        <w:rPr>
          <w:spacing w:val="-4"/>
          <w:sz w:val="20"/>
        </w:rPr>
        <w:t> </w:t>
      </w:r>
      <w:r>
        <w:rPr>
          <w:sz w:val="20"/>
        </w:rPr>
        <w:t>states:</w:t>
      </w:r>
    </w:p>
    <w:p>
      <w:pPr>
        <w:spacing w:line="208" w:lineRule="auto" w:before="121"/>
        <w:ind w:left="2157" w:right="1245" w:firstLine="0"/>
        <w:jc w:val="left"/>
        <w:rPr>
          <w:sz w:val="11"/>
        </w:rPr>
      </w:pPr>
      <w:r>
        <w:rPr>
          <w:sz w:val="19"/>
        </w:rPr>
        <w:t>Effective access to justice for people with disability requires consideration of individual needs. Without this there can be no equitable or equal participation. This requires appropriate strategies, including aids, equipment, and accessible legal information and advice to facilitate equal and effective participation in all legal proceedings. In addition, greater awareness of disability is needed among some parts of the judiciary, legal professionals and court staff.</w:t>
      </w:r>
      <w:r>
        <w:rPr>
          <w:position w:val="6"/>
          <w:sz w:val="11"/>
        </w:rPr>
        <w:t>24</w:t>
      </w:r>
    </w:p>
    <w:p>
      <w:pPr>
        <w:pStyle w:val="ListParagraph"/>
        <w:numPr>
          <w:ilvl w:val="1"/>
          <w:numId w:val="12"/>
        </w:numPr>
        <w:tabs>
          <w:tab w:pos="1761" w:val="left" w:leader="none"/>
          <w:tab w:pos="1762" w:val="left" w:leader="none"/>
        </w:tabs>
        <w:spacing w:line="259" w:lineRule="exact" w:before="93" w:after="0"/>
        <w:ind w:left="1761" w:right="0" w:hanging="794"/>
        <w:jc w:val="left"/>
        <w:rPr>
          <w:sz w:val="20"/>
        </w:rPr>
      </w:pPr>
      <w:r>
        <w:rPr>
          <w:sz w:val="20"/>
        </w:rPr>
        <w:t>The</w:t>
      </w:r>
      <w:r>
        <w:rPr>
          <w:spacing w:val="-6"/>
          <w:sz w:val="20"/>
        </w:rPr>
        <w:t> </w:t>
      </w:r>
      <w:r>
        <w:rPr>
          <w:sz w:val="20"/>
        </w:rPr>
        <w:t>Law</w:t>
      </w:r>
      <w:r>
        <w:rPr>
          <w:spacing w:val="-6"/>
          <w:sz w:val="20"/>
        </w:rPr>
        <w:t> </w:t>
      </w:r>
      <w:r>
        <w:rPr>
          <w:sz w:val="20"/>
        </w:rPr>
        <w:t>Council</w:t>
      </w:r>
      <w:r>
        <w:rPr>
          <w:spacing w:val="-6"/>
          <w:sz w:val="20"/>
        </w:rPr>
        <w:t> </w:t>
      </w:r>
      <w:r>
        <w:rPr>
          <w:sz w:val="20"/>
        </w:rPr>
        <w:t>of</w:t>
      </w:r>
      <w:r>
        <w:rPr>
          <w:spacing w:val="-6"/>
          <w:sz w:val="20"/>
        </w:rPr>
        <w:t> </w:t>
      </w:r>
      <w:r>
        <w:rPr>
          <w:sz w:val="20"/>
        </w:rPr>
        <w:t>Australia</w:t>
      </w:r>
      <w:r>
        <w:rPr>
          <w:spacing w:val="-5"/>
          <w:sz w:val="20"/>
        </w:rPr>
        <w:t> </w:t>
      </w:r>
      <w:r>
        <w:rPr>
          <w:sz w:val="20"/>
        </w:rPr>
        <w:t>outlined</w:t>
      </w:r>
      <w:r>
        <w:rPr>
          <w:spacing w:val="-6"/>
          <w:sz w:val="20"/>
        </w:rPr>
        <w:t> </w:t>
      </w:r>
      <w:r>
        <w:rPr>
          <w:sz w:val="20"/>
        </w:rPr>
        <w:t>a</w:t>
      </w:r>
      <w:r>
        <w:rPr>
          <w:spacing w:val="-6"/>
          <w:sz w:val="20"/>
        </w:rPr>
        <w:t> </w:t>
      </w:r>
      <w:r>
        <w:rPr>
          <w:sz w:val="20"/>
        </w:rPr>
        <w:t>range</w:t>
      </w:r>
      <w:r>
        <w:rPr>
          <w:spacing w:val="-6"/>
          <w:sz w:val="20"/>
        </w:rPr>
        <w:t> </w:t>
      </w:r>
      <w:r>
        <w:rPr>
          <w:sz w:val="20"/>
        </w:rPr>
        <w:t>of</w:t>
      </w:r>
      <w:r>
        <w:rPr>
          <w:spacing w:val="-5"/>
          <w:sz w:val="20"/>
        </w:rPr>
        <w:t> </w:t>
      </w:r>
      <w:r>
        <w:rPr>
          <w:sz w:val="20"/>
        </w:rPr>
        <w:t>systemic</w:t>
      </w:r>
      <w:r>
        <w:rPr>
          <w:spacing w:val="-6"/>
          <w:sz w:val="20"/>
        </w:rPr>
        <w:t> </w:t>
      </w:r>
      <w:r>
        <w:rPr>
          <w:sz w:val="20"/>
        </w:rPr>
        <w:t>and</w:t>
      </w:r>
      <w:r>
        <w:rPr>
          <w:spacing w:val="-6"/>
          <w:sz w:val="20"/>
        </w:rPr>
        <w:t> </w:t>
      </w:r>
      <w:r>
        <w:rPr>
          <w:sz w:val="20"/>
        </w:rPr>
        <w:t>structural</w:t>
      </w:r>
      <w:r>
        <w:rPr>
          <w:spacing w:val="-6"/>
          <w:sz w:val="20"/>
        </w:rPr>
        <w:t> </w:t>
      </w:r>
      <w:r>
        <w:rPr>
          <w:sz w:val="20"/>
        </w:rPr>
        <w:t>barriers</w:t>
      </w:r>
    </w:p>
    <w:p>
      <w:pPr>
        <w:pStyle w:val="BodyText"/>
        <w:spacing w:line="240" w:lineRule="exact"/>
        <w:ind w:left="1761"/>
      </w:pPr>
      <w:r>
        <w:rPr/>
        <w:t>to justice for people facing significant economic and other disadvantage, including</w:t>
      </w:r>
    </w:p>
    <w:p>
      <w:pPr>
        <w:spacing w:line="259" w:lineRule="exact" w:before="0"/>
        <w:ind w:left="1761" w:right="0" w:firstLine="0"/>
        <w:jc w:val="left"/>
        <w:rPr>
          <w:sz w:val="20"/>
        </w:rPr>
      </w:pPr>
      <w:r>
        <w:rPr>
          <w:sz w:val="20"/>
        </w:rPr>
        <w:t>people with disability. In its report </w:t>
      </w:r>
      <w:r>
        <w:rPr>
          <w:i/>
          <w:sz w:val="20"/>
        </w:rPr>
        <w:t>The Justice Project </w:t>
      </w:r>
      <w:r>
        <w:rPr>
          <w:sz w:val="20"/>
        </w:rPr>
        <w:t>the Law Council concluded that:</w:t>
      </w:r>
    </w:p>
    <w:p>
      <w:pPr>
        <w:spacing w:line="208" w:lineRule="auto" w:before="112"/>
        <w:ind w:left="2157" w:right="1212" w:firstLine="0"/>
        <w:jc w:val="left"/>
        <w:rPr>
          <w:sz w:val="11"/>
        </w:rPr>
      </w:pPr>
      <w:r>
        <w:rPr>
          <w:sz w:val="19"/>
        </w:rPr>
        <w:t>People with disability face negative stigma and discrimination both in society generally and in the justice system. Inadequate disability training perpetuates misconceptions about disability and entrenches stigma. It also leads to a failure by justice system personnel, including lawyers, judges, police officers and corrections, to identify disability and thus appropriately respond to an individual’s disability-related needs.</w:t>
      </w:r>
      <w:r>
        <w:rPr>
          <w:position w:val="6"/>
          <w:sz w:val="11"/>
        </w:rPr>
        <w:t>25</w:t>
      </w:r>
    </w:p>
    <w:p>
      <w:pPr>
        <w:pStyle w:val="ListParagraph"/>
        <w:numPr>
          <w:ilvl w:val="1"/>
          <w:numId w:val="12"/>
        </w:numPr>
        <w:tabs>
          <w:tab w:pos="1761" w:val="left" w:leader="none"/>
          <w:tab w:pos="1762" w:val="left" w:leader="none"/>
        </w:tabs>
        <w:spacing w:line="206" w:lineRule="auto" w:before="126" w:after="0"/>
        <w:ind w:left="1761" w:right="1232" w:hanging="794"/>
        <w:jc w:val="left"/>
        <w:rPr>
          <w:sz w:val="20"/>
        </w:rPr>
      </w:pPr>
      <w:r>
        <w:rPr>
          <w:sz w:val="20"/>
        </w:rPr>
        <w:t>The </w:t>
      </w:r>
      <w:r>
        <w:rPr>
          <w:spacing w:val="-3"/>
          <w:sz w:val="20"/>
        </w:rPr>
        <w:t>provision </w:t>
      </w:r>
      <w:r>
        <w:rPr>
          <w:sz w:val="20"/>
        </w:rPr>
        <w:t>of disability </w:t>
      </w:r>
      <w:r>
        <w:rPr>
          <w:spacing w:val="-3"/>
          <w:sz w:val="20"/>
        </w:rPr>
        <w:t>awareness </w:t>
      </w:r>
      <w:r>
        <w:rPr>
          <w:sz w:val="20"/>
        </w:rPr>
        <w:t>training is in keeping with the recommendations of</w:t>
      </w:r>
      <w:r>
        <w:rPr>
          <w:spacing w:val="-10"/>
          <w:sz w:val="20"/>
        </w:rPr>
        <w:t> </w:t>
      </w:r>
      <w:r>
        <w:rPr>
          <w:sz w:val="20"/>
        </w:rPr>
        <w:t>the</w:t>
      </w:r>
      <w:r>
        <w:rPr>
          <w:spacing w:val="-9"/>
          <w:sz w:val="20"/>
        </w:rPr>
        <w:t> </w:t>
      </w:r>
      <w:r>
        <w:rPr>
          <w:sz w:val="20"/>
        </w:rPr>
        <w:t>United</w:t>
      </w:r>
      <w:r>
        <w:rPr>
          <w:spacing w:val="-9"/>
          <w:sz w:val="20"/>
        </w:rPr>
        <w:t> </w:t>
      </w:r>
      <w:r>
        <w:rPr>
          <w:sz w:val="20"/>
        </w:rPr>
        <w:t>Nations</w:t>
      </w:r>
      <w:r>
        <w:rPr>
          <w:spacing w:val="-10"/>
          <w:sz w:val="20"/>
        </w:rPr>
        <w:t> </w:t>
      </w:r>
      <w:r>
        <w:rPr>
          <w:sz w:val="20"/>
        </w:rPr>
        <w:t>Committee</w:t>
      </w:r>
      <w:r>
        <w:rPr>
          <w:spacing w:val="-9"/>
          <w:sz w:val="20"/>
        </w:rPr>
        <w:t> </w:t>
      </w:r>
      <w:r>
        <w:rPr>
          <w:sz w:val="20"/>
        </w:rPr>
        <w:t>on</w:t>
      </w:r>
      <w:r>
        <w:rPr>
          <w:spacing w:val="-9"/>
          <w:sz w:val="20"/>
        </w:rPr>
        <w:t> </w:t>
      </w:r>
      <w:r>
        <w:rPr>
          <w:sz w:val="20"/>
        </w:rPr>
        <w:t>the</w:t>
      </w:r>
      <w:r>
        <w:rPr>
          <w:spacing w:val="-10"/>
          <w:sz w:val="20"/>
        </w:rPr>
        <w:t> </w:t>
      </w:r>
      <w:r>
        <w:rPr>
          <w:sz w:val="20"/>
        </w:rPr>
        <w:t>Rights</w:t>
      </w:r>
      <w:r>
        <w:rPr>
          <w:spacing w:val="-9"/>
          <w:sz w:val="20"/>
        </w:rPr>
        <w:t> </w:t>
      </w:r>
      <w:r>
        <w:rPr>
          <w:sz w:val="20"/>
        </w:rPr>
        <w:t>of</w:t>
      </w:r>
      <w:r>
        <w:rPr>
          <w:spacing w:val="-9"/>
          <w:sz w:val="20"/>
        </w:rPr>
        <w:t> </w:t>
      </w:r>
      <w:r>
        <w:rPr>
          <w:sz w:val="20"/>
        </w:rPr>
        <w:t>Persons</w:t>
      </w:r>
      <w:r>
        <w:rPr>
          <w:spacing w:val="-9"/>
          <w:sz w:val="20"/>
        </w:rPr>
        <w:t> </w:t>
      </w:r>
      <w:r>
        <w:rPr>
          <w:sz w:val="20"/>
        </w:rPr>
        <w:t>with</w:t>
      </w:r>
      <w:r>
        <w:rPr>
          <w:spacing w:val="-10"/>
          <w:sz w:val="20"/>
        </w:rPr>
        <w:t> </w:t>
      </w:r>
      <w:r>
        <w:rPr>
          <w:sz w:val="20"/>
        </w:rPr>
        <w:t>Disabilities</w:t>
      </w:r>
      <w:r>
        <w:rPr>
          <w:spacing w:val="-9"/>
          <w:sz w:val="20"/>
        </w:rPr>
        <w:t> </w:t>
      </w:r>
      <w:r>
        <w:rPr>
          <w:spacing w:val="-3"/>
          <w:sz w:val="20"/>
        </w:rPr>
        <w:t>(Convention Committee).</w:t>
      </w:r>
      <w:r>
        <w:rPr>
          <w:spacing w:val="-9"/>
          <w:sz w:val="20"/>
        </w:rPr>
        <w:t> </w:t>
      </w:r>
      <w:r>
        <w:rPr>
          <w:sz w:val="20"/>
        </w:rPr>
        <w:t>In</w:t>
      </w:r>
      <w:r>
        <w:rPr>
          <w:spacing w:val="-8"/>
          <w:sz w:val="20"/>
        </w:rPr>
        <w:t> </w:t>
      </w:r>
      <w:r>
        <w:rPr>
          <w:sz w:val="20"/>
        </w:rPr>
        <w:t>the</w:t>
      </w:r>
      <w:r>
        <w:rPr>
          <w:spacing w:val="-9"/>
          <w:sz w:val="20"/>
        </w:rPr>
        <w:t> </w:t>
      </w:r>
      <w:r>
        <w:rPr>
          <w:sz w:val="20"/>
        </w:rPr>
        <w:t>three</w:t>
      </w:r>
      <w:r>
        <w:rPr>
          <w:spacing w:val="-8"/>
          <w:sz w:val="20"/>
        </w:rPr>
        <w:t> </w:t>
      </w:r>
      <w:r>
        <w:rPr>
          <w:sz w:val="20"/>
        </w:rPr>
        <w:t>cases</w:t>
      </w:r>
      <w:r>
        <w:rPr>
          <w:spacing w:val="-9"/>
          <w:sz w:val="20"/>
        </w:rPr>
        <w:t> </w:t>
      </w:r>
      <w:r>
        <w:rPr>
          <w:sz w:val="20"/>
        </w:rPr>
        <w:t>in</w:t>
      </w:r>
      <w:r>
        <w:rPr>
          <w:spacing w:val="-8"/>
          <w:sz w:val="20"/>
        </w:rPr>
        <w:t> </w:t>
      </w:r>
      <w:r>
        <w:rPr>
          <w:sz w:val="20"/>
        </w:rPr>
        <w:t>which</w:t>
      </w:r>
      <w:r>
        <w:rPr>
          <w:spacing w:val="-9"/>
          <w:sz w:val="20"/>
        </w:rPr>
        <w:t> </w:t>
      </w:r>
      <w:r>
        <w:rPr>
          <w:sz w:val="20"/>
        </w:rPr>
        <w:t>Australia</w:t>
      </w:r>
      <w:r>
        <w:rPr>
          <w:spacing w:val="-8"/>
          <w:sz w:val="20"/>
        </w:rPr>
        <w:t> </w:t>
      </w:r>
      <w:r>
        <w:rPr>
          <w:sz w:val="20"/>
        </w:rPr>
        <w:t>was</w:t>
      </w:r>
      <w:r>
        <w:rPr>
          <w:spacing w:val="-8"/>
          <w:sz w:val="20"/>
        </w:rPr>
        <w:t> </w:t>
      </w:r>
      <w:r>
        <w:rPr>
          <w:sz w:val="20"/>
        </w:rPr>
        <w:t>found</w:t>
      </w:r>
      <w:r>
        <w:rPr>
          <w:spacing w:val="-9"/>
          <w:sz w:val="20"/>
        </w:rPr>
        <w:t> </w:t>
      </w:r>
      <w:r>
        <w:rPr>
          <w:sz w:val="20"/>
        </w:rPr>
        <w:t>to</w:t>
      </w:r>
      <w:r>
        <w:rPr>
          <w:spacing w:val="-8"/>
          <w:sz w:val="20"/>
        </w:rPr>
        <w:t> </w:t>
      </w:r>
      <w:r>
        <w:rPr>
          <w:spacing w:val="-4"/>
          <w:sz w:val="20"/>
        </w:rPr>
        <w:t>have</w:t>
      </w:r>
      <w:r>
        <w:rPr>
          <w:spacing w:val="-9"/>
          <w:sz w:val="20"/>
        </w:rPr>
        <w:t> </w:t>
      </w:r>
      <w:r>
        <w:rPr>
          <w:sz w:val="20"/>
        </w:rPr>
        <w:t>breached</w:t>
      </w:r>
      <w:r>
        <w:rPr>
          <w:spacing w:val="-8"/>
          <w:sz w:val="20"/>
        </w:rPr>
        <w:t> </w:t>
      </w:r>
      <w:r>
        <w:rPr>
          <w:sz w:val="20"/>
        </w:rPr>
        <w:t>its</w:t>
      </w:r>
      <w:r>
        <w:rPr>
          <w:spacing w:val="-9"/>
          <w:sz w:val="20"/>
        </w:rPr>
        <w:t> </w:t>
      </w:r>
      <w:r>
        <w:rPr>
          <w:sz w:val="20"/>
        </w:rPr>
        <w:t>duties under the CRPD in </w:t>
      </w:r>
      <w:r>
        <w:rPr>
          <w:spacing w:val="-3"/>
          <w:sz w:val="20"/>
        </w:rPr>
        <w:t>regard </w:t>
      </w:r>
      <w:r>
        <w:rPr>
          <w:sz w:val="20"/>
        </w:rPr>
        <w:t>to deaf jurors, the Convention Committee noted </w:t>
      </w:r>
      <w:r>
        <w:rPr>
          <w:spacing w:val="-3"/>
          <w:sz w:val="20"/>
        </w:rPr>
        <w:t>Australia’s </w:t>
      </w:r>
      <w:r>
        <w:rPr>
          <w:sz w:val="20"/>
        </w:rPr>
        <w:t>obligation to take measures to </w:t>
      </w:r>
      <w:r>
        <w:rPr>
          <w:spacing w:val="-3"/>
          <w:sz w:val="20"/>
        </w:rPr>
        <w:t>avoid </w:t>
      </w:r>
      <w:r>
        <w:rPr>
          <w:sz w:val="20"/>
        </w:rPr>
        <w:t>similar violations in the </w:t>
      </w:r>
      <w:r>
        <w:rPr>
          <w:spacing w:val="-3"/>
          <w:sz w:val="20"/>
        </w:rPr>
        <w:t>future, </w:t>
      </w:r>
      <w:r>
        <w:rPr>
          <w:sz w:val="20"/>
        </w:rPr>
        <w:t>including </w:t>
      </w:r>
      <w:r>
        <w:rPr>
          <w:spacing w:val="-3"/>
          <w:sz w:val="20"/>
        </w:rPr>
        <w:t>by </w:t>
      </w:r>
      <w:r>
        <w:rPr>
          <w:sz w:val="20"/>
        </w:rPr>
        <w:t>ensuring</w:t>
      </w:r>
      <w:r>
        <w:rPr>
          <w:spacing w:val="-5"/>
          <w:sz w:val="20"/>
        </w:rPr>
        <w:t> </w:t>
      </w:r>
      <w:r>
        <w:rPr>
          <w:sz w:val="20"/>
        </w:rPr>
        <w:t>that:</w:t>
      </w:r>
    </w:p>
    <w:p>
      <w:pPr>
        <w:spacing w:line="208" w:lineRule="auto" w:before="125"/>
        <w:ind w:left="2157" w:right="1277" w:firstLine="0"/>
        <w:jc w:val="left"/>
        <w:rPr>
          <w:sz w:val="11"/>
        </w:rPr>
      </w:pPr>
      <w:r>
        <w:rPr>
          <w:sz w:val="19"/>
        </w:rPr>
        <w:t>appropriate and regular training on the scope of the Convention and its Optional Protocol, including on accessibility for persons with disabilities, is provided to local authorities,</w:t>
      </w:r>
      <w:r>
        <w:rPr>
          <w:spacing w:val="-10"/>
          <w:sz w:val="19"/>
        </w:rPr>
        <w:t> </w:t>
      </w:r>
      <w:r>
        <w:rPr>
          <w:sz w:val="19"/>
        </w:rPr>
        <w:t>such</w:t>
      </w:r>
      <w:r>
        <w:rPr>
          <w:spacing w:val="-9"/>
          <w:sz w:val="19"/>
        </w:rPr>
        <w:t> </w:t>
      </w:r>
      <w:r>
        <w:rPr>
          <w:sz w:val="19"/>
        </w:rPr>
        <w:t>as</w:t>
      </w:r>
      <w:r>
        <w:rPr>
          <w:spacing w:val="-9"/>
          <w:sz w:val="19"/>
        </w:rPr>
        <w:t> </w:t>
      </w:r>
      <w:r>
        <w:rPr>
          <w:sz w:val="19"/>
        </w:rPr>
        <w:t>the</w:t>
      </w:r>
      <w:r>
        <w:rPr>
          <w:spacing w:val="-9"/>
          <w:sz w:val="19"/>
        </w:rPr>
        <w:t> </w:t>
      </w:r>
      <w:r>
        <w:rPr>
          <w:sz w:val="19"/>
        </w:rPr>
        <w:t>Sheriff,</w:t>
      </w:r>
      <w:r>
        <w:rPr>
          <w:spacing w:val="-10"/>
          <w:sz w:val="19"/>
        </w:rPr>
        <w:t> </w:t>
      </w:r>
      <w:r>
        <w:rPr>
          <w:sz w:val="19"/>
        </w:rPr>
        <w:t>and</w:t>
      </w:r>
      <w:r>
        <w:rPr>
          <w:spacing w:val="-9"/>
          <w:sz w:val="19"/>
        </w:rPr>
        <w:t> </w:t>
      </w:r>
      <w:r>
        <w:rPr>
          <w:sz w:val="19"/>
        </w:rPr>
        <w:t>the</w:t>
      </w:r>
      <w:r>
        <w:rPr>
          <w:spacing w:val="-9"/>
          <w:sz w:val="19"/>
        </w:rPr>
        <w:t> </w:t>
      </w:r>
      <w:r>
        <w:rPr>
          <w:sz w:val="19"/>
        </w:rPr>
        <w:t>judicial</w:t>
      </w:r>
      <w:r>
        <w:rPr>
          <w:spacing w:val="-9"/>
          <w:sz w:val="19"/>
        </w:rPr>
        <w:t> </w:t>
      </w:r>
      <w:r>
        <w:rPr>
          <w:sz w:val="19"/>
        </w:rPr>
        <w:t>officers</w:t>
      </w:r>
      <w:r>
        <w:rPr>
          <w:spacing w:val="-9"/>
          <w:sz w:val="19"/>
        </w:rPr>
        <w:t> </w:t>
      </w:r>
      <w:r>
        <w:rPr>
          <w:sz w:val="19"/>
        </w:rPr>
        <w:t>and</w:t>
      </w:r>
      <w:r>
        <w:rPr>
          <w:spacing w:val="-10"/>
          <w:sz w:val="19"/>
        </w:rPr>
        <w:t> </w:t>
      </w:r>
      <w:r>
        <w:rPr>
          <w:sz w:val="19"/>
        </w:rPr>
        <w:t>staff</w:t>
      </w:r>
      <w:r>
        <w:rPr>
          <w:spacing w:val="-9"/>
          <w:sz w:val="19"/>
        </w:rPr>
        <w:t> </w:t>
      </w:r>
      <w:r>
        <w:rPr>
          <w:sz w:val="19"/>
        </w:rPr>
        <w:t>involved</w:t>
      </w:r>
      <w:r>
        <w:rPr>
          <w:spacing w:val="-9"/>
          <w:sz w:val="19"/>
        </w:rPr>
        <w:t> </w:t>
      </w:r>
      <w:r>
        <w:rPr>
          <w:sz w:val="19"/>
        </w:rPr>
        <w:t>in</w:t>
      </w:r>
      <w:r>
        <w:rPr>
          <w:spacing w:val="-9"/>
          <w:sz w:val="19"/>
        </w:rPr>
        <w:t> </w:t>
      </w:r>
      <w:r>
        <w:rPr>
          <w:sz w:val="19"/>
        </w:rPr>
        <w:t>facilitating the work of the</w:t>
      </w:r>
      <w:r>
        <w:rPr>
          <w:spacing w:val="-9"/>
          <w:sz w:val="19"/>
        </w:rPr>
        <w:t> </w:t>
      </w:r>
      <w:r>
        <w:rPr>
          <w:sz w:val="19"/>
        </w:rPr>
        <w:t>judiciary.</w:t>
      </w:r>
      <w:r>
        <w:rPr>
          <w:position w:val="6"/>
          <w:sz w:val="11"/>
        </w:rPr>
        <w:t>26</w:t>
      </w:r>
    </w:p>
    <w:p>
      <w:pPr>
        <w:pStyle w:val="ListParagraph"/>
        <w:numPr>
          <w:ilvl w:val="1"/>
          <w:numId w:val="12"/>
        </w:numPr>
        <w:tabs>
          <w:tab w:pos="1762" w:val="left" w:leader="none"/>
        </w:tabs>
        <w:spacing w:line="206" w:lineRule="auto" w:before="125" w:after="0"/>
        <w:ind w:left="1761" w:right="1568" w:hanging="794"/>
        <w:jc w:val="both"/>
        <w:rPr>
          <w:sz w:val="11"/>
        </w:rPr>
      </w:pPr>
      <w:r>
        <w:rPr>
          <w:sz w:val="20"/>
        </w:rPr>
        <w:t>Comments</w:t>
      </w:r>
      <w:r>
        <w:rPr>
          <w:spacing w:val="-10"/>
          <w:sz w:val="20"/>
        </w:rPr>
        <w:t> </w:t>
      </w:r>
      <w:r>
        <w:rPr>
          <w:spacing w:val="-3"/>
          <w:sz w:val="20"/>
        </w:rPr>
        <w:t>from</w:t>
      </w:r>
      <w:r>
        <w:rPr>
          <w:spacing w:val="-10"/>
          <w:sz w:val="20"/>
        </w:rPr>
        <w:t> </w:t>
      </w:r>
      <w:r>
        <w:rPr>
          <w:sz w:val="20"/>
        </w:rPr>
        <w:t>deaf</w:t>
      </w:r>
      <w:r>
        <w:rPr>
          <w:spacing w:val="-10"/>
          <w:sz w:val="20"/>
        </w:rPr>
        <w:t> </w:t>
      </w:r>
      <w:r>
        <w:rPr>
          <w:sz w:val="20"/>
        </w:rPr>
        <w:t>jurors</w:t>
      </w:r>
      <w:r>
        <w:rPr>
          <w:spacing w:val="-9"/>
          <w:sz w:val="20"/>
        </w:rPr>
        <w:t> </w:t>
      </w:r>
      <w:r>
        <w:rPr>
          <w:sz w:val="20"/>
        </w:rPr>
        <w:t>in</w:t>
      </w:r>
      <w:r>
        <w:rPr>
          <w:spacing w:val="-10"/>
          <w:sz w:val="20"/>
        </w:rPr>
        <w:t> </w:t>
      </w:r>
      <w:r>
        <w:rPr>
          <w:sz w:val="20"/>
        </w:rPr>
        <w:t>Monroe</w:t>
      </w:r>
      <w:r>
        <w:rPr>
          <w:spacing w:val="-10"/>
          <w:sz w:val="20"/>
        </w:rPr>
        <w:t> </w:t>
      </w:r>
      <w:r>
        <w:rPr>
          <w:spacing w:val="-3"/>
          <w:sz w:val="20"/>
        </w:rPr>
        <w:t>County,</w:t>
      </w:r>
      <w:r>
        <w:rPr>
          <w:spacing w:val="-10"/>
          <w:sz w:val="20"/>
        </w:rPr>
        <w:t> </w:t>
      </w:r>
      <w:r>
        <w:rPr>
          <w:sz w:val="20"/>
        </w:rPr>
        <w:t>New</w:t>
      </w:r>
      <w:r>
        <w:rPr>
          <w:spacing w:val="-9"/>
          <w:sz w:val="20"/>
        </w:rPr>
        <w:t> </w:t>
      </w:r>
      <w:r>
        <w:rPr>
          <w:spacing w:val="-5"/>
          <w:sz w:val="20"/>
        </w:rPr>
        <w:t>York</w:t>
      </w:r>
      <w:r>
        <w:rPr>
          <w:spacing w:val="-10"/>
          <w:sz w:val="20"/>
        </w:rPr>
        <w:t> </w:t>
      </w:r>
      <w:r>
        <w:rPr>
          <w:spacing w:val="-3"/>
          <w:sz w:val="20"/>
        </w:rPr>
        <w:t>State,</w:t>
      </w:r>
      <w:r>
        <w:rPr>
          <w:spacing w:val="-10"/>
          <w:sz w:val="20"/>
        </w:rPr>
        <w:t> </w:t>
      </w:r>
      <w:r>
        <w:rPr>
          <w:sz w:val="20"/>
        </w:rPr>
        <w:t>suggested</w:t>
      </w:r>
      <w:r>
        <w:rPr>
          <w:spacing w:val="-10"/>
          <w:sz w:val="20"/>
        </w:rPr>
        <w:t> </w:t>
      </w:r>
      <w:r>
        <w:rPr>
          <w:sz w:val="20"/>
        </w:rPr>
        <w:t>that</w:t>
      </w:r>
      <w:r>
        <w:rPr>
          <w:spacing w:val="-9"/>
          <w:sz w:val="20"/>
        </w:rPr>
        <w:t> </w:t>
      </w:r>
      <w:r>
        <w:rPr>
          <w:sz w:val="20"/>
        </w:rPr>
        <w:t>they </w:t>
      </w:r>
      <w:r>
        <w:rPr>
          <w:spacing w:val="-3"/>
          <w:sz w:val="20"/>
        </w:rPr>
        <w:t>would</w:t>
      </w:r>
      <w:r>
        <w:rPr>
          <w:spacing w:val="-8"/>
          <w:sz w:val="20"/>
        </w:rPr>
        <w:t> </w:t>
      </w:r>
      <w:r>
        <w:rPr>
          <w:sz w:val="20"/>
        </w:rPr>
        <w:t>like</w:t>
      </w:r>
      <w:r>
        <w:rPr>
          <w:spacing w:val="-8"/>
          <w:sz w:val="20"/>
        </w:rPr>
        <w:t> </w:t>
      </w:r>
      <w:r>
        <w:rPr>
          <w:sz w:val="20"/>
        </w:rPr>
        <w:t>to</w:t>
      </w:r>
      <w:r>
        <w:rPr>
          <w:spacing w:val="-8"/>
          <w:sz w:val="20"/>
        </w:rPr>
        <w:t> </w:t>
      </w:r>
      <w:r>
        <w:rPr>
          <w:sz w:val="20"/>
        </w:rPr>
        <w:t>see</w:t>
      </w:r>
      <w:r>
        <w:rPr>
          <w:spacing w:val="-8"/>
          <w:sz w:val="20"/>
        </w:rPr>
        <w:t> </w:t>
      </w:r>
      <w:r>
        <w:rPr>
          <w:spacing w:val="-3"/>
          <w:sz w:val="20"/>
        </w:rPr>
        <w:t>‘greater</w:t>
      </w:r>
      <w:r>
        <w:rPr>
          <w:spacing w:val="-8"/>
          <w:sz w:val="20"/>
        </w:rPr>
        <w:t> </w:t>
      </w:r>
      <w:r>
        <w:rPr>
          <w:sz w:val="20"/>
        </w:rPr>
        <w:t>training</w:t>
      </w:r>
      <w:r>
        <w:rPr>
          <w:spacing w:val="-8"/>
          <w:sz w:val="20"/>
        </w:rPr>
        <w:t> </w:t>
      </w:r>
      <w:r>
        <w:rPr>
          <w:sz w:val="20"/>
        </w:rPr>
        <w:t>for</w:t>
      </w:r>
      <w:r>
        <w:rPr>
          <w:spacing w:val="-8"/>
          <w:sz w:val="20"/>
        </w:rPr>
        <w:t> </w:t>
      </w:r>
      <w:r>
        <w:rPr>
          <w:sz w:val="20"/>
        </w:rPr>
        <w:t>the</w:t>
      </w:r>
      <w:r>
        <w:rPr>
          <w:spacing w:val="-8"/>
          <w:sz w:val="20"/>
        </w:rPr>
        <w:t> </w:t>
      </w:r>
      <w:r>
        <w:rPr>
          <w:sz w:val="20"/>
        </w:rPr>
        <w:t>courts</w:t>
      </w:r>
      <w:r>
        <w:rPr>
          <w:spacing w:val="-8"/>
          <w:sz w:val="20"/>
        </w:rPr>
        <w:t> </w:t>
      </w:r>
      <w:r>
        <w:rPr>
          <w:sz w:val="20"/>
        </w:rPr>
        <w:t>about</w:t>
      </w:r>
      <w:r>
        <w:rPr>
          <w:spacing w:val="-8"/>
          <w:sz w:val="20"/>
        </w:rPr>
        <w:t> </w:t>
      </w:r>
      <w:r>
        <w:rPr>
          <w:sz w:val="20"/>
        </w:rPr>
        <w:t>what</w:t>
      </w:r>
      <w:r>
        <w:rPr>
          <w:spacing w:val="-8"/>
          <w:sz w:val="20"/>
        </w:rPr>
        <w:t> </w:t>
      </w:r>
      <w:r>
        <w:rPr>
          <w:sz w:val="20"/>
        </w:rPr>
        <w:t>it</w:t>
      </w:r>
      <w:r>
        <w:rPr>
          <w:spacing w:val="-8"/>
          <w:sz w:val="20"/>
        </w:rPr>
        <w:t> </w:t>
      </w:r>
      <w:r>
        <w:rPr>
          <w:sz w:val="20"/>
        </w:rPr>
        <w:t>means</w:t>
      </w:r>
      <w:r>
        <w:rPr>
          <w:spacing w:val="-7"/>
          <w:sz w:val="20"/>
        </w:rPr>
        <w:t> </w:t>
      </w:r>
      <w:r>
        <w:rPr>
          <w:sz w:val="20"/>
        </w:rPr>
        <w:t>to</w:t>
      </w:r>
      <w:r>
        <w:rPr>
          <w:spacing w:val="-8"/>
          <w:sz w:val="20"/>
        </w:rPr>
        <w:t> </w:t>
      </w:r>
      <w:r>
        <w:rPr>
          <w:sz w:val="20"/>
        </w:rPr>
        <w:t>be</w:t>
      </w:r>
      <w:r>
        <w:rPr>
          <w:spacing w:val="-8"/>
          <w:sz w:val="20"/>
        </w:rPr>
        <w:t> </w:t>
      </w:r>
      <w:r>
        <w:rPr>
          <w:sz w:val="20"/>
        </w:rPr>
        <w:t>deaf</w:t>
      </w:r>
      <w:r>
        <w:rPr>
          <w:spacing w:val="-8"/>
          <w:sz w:val="20"/>
        </w:rPr>
        <w:t> </w:t>
      </w:r>
      <w:r>
        <w:rPr>
          <w:sz w:val="20"/>
        </w:rPr>
        <w:t>and access proceedings via an</w:t>
      </w:r>
      <w:r>
        <w:rPr>
          <w:spacing w:val="-17"/>
          <w:sz w:val="20"/>
        </w:rPr>
        <w:t> </w:t>
      </w:r>
      <w:r>
        <w:rPr>
          <w:spacing w:val="-3"/>
          <w:sz w:val="20"/>
        </w:rPr>
        <w:t>interpreter’.</w:t>
      </w:r>
      <w:r>
        <w:rPr>
          <w:spacing w:val="-3"/>
          <w:position w:val="7"/>
          <w:sz w:val="11"/>
        </w:rPr>
        <w:t>27</w:t>
      </w:r>
    </w:p>
    <w:p>
      <w:pPr>
        <w:spacing w:before="162"/>
        <w:ind w:left="967" w:right="0" w:firstLine="0"/>
        <w:jc w:val="left"/>
        <w:rPr>
          <w:b/>
          <w:sz w:val="24"/>
        </w:rPr>
      </w:pPr>
      <w:r>
        <w:rPr>
          <w:b/>
          <w:sz w:val="24"/>
        </w:rPr>
        <w:t>Conclusion: disability awareness training should be required</w:t>
      </w:r>
    </w:p>
    <w:p>
      <w:pPr>
        <w:pStyle w:val="ListParagraph"/>
        <w:numPr>
          <w:ilvl w:val="1"/>
          <w:numId w:val="12"/>
        </w:numPr>
        <w:tabs>
          <w:tab w:pos="1761" w:val="left" w:leader="none"/>
          <w:tab w:pos="1762" w:val="left" w:leader="none"/>
        </w:tabs>
        <w:spacing w:line="206" w:lineRule="auto" w:before="127" w:after="0"/>
        <w:ind w:left="1761" w:right="1212" w:hanging="794"/>
        <w:jc w:val="left"/>
        <w:rPr>
          <w:sz w:val="20"/>
        </w:rPr>
      </w:pPr>
      <w:r>
        <w:rPr>
          <w:sz w:val="20"/>
        </w:rPr>
        <w:t>Disability </w:t>
      </w:r>
      <w:r>
        <w:rPr>
          <w:spacing w:val="-3"/>
          <w:sz w:val="20"/>
        </w:rPr>
        <w:t>awareness </w:t>
      </w:r>
      <w:r>
        <w:rPr>
          <w:sz w:val="20"/>
        </w:rPr>
        <w:t>training should be </w:t>
      </w:r>
      <w:r>
        <w:rPr>
          <w:spacing w:val="-3"/>
          <w:sz w:val="20"/>
        </w:rPr>
        <w:t>required </w:t>
      </w:r>
      <w:r>
        <w:rPr>
          <w:sz w:val="20"/>
        </w:rPr>
        <w:t>for judges, court officers and Juries Victoria </w:t>
      </w:r>
      <w:r>
        <w:rPr>
          <w:spacing w:val="-3"/>
          <w:sz w:val="20"/>
        </w:rPr>
        <w:t>staff, </w:t>
      </w:r>
      <w:r>
        <w:rPr>
          <w:sz w:val="20"/>
        </w:rPr>
        <w:t>the Victorian Bar and lawyers, to encourage </w:t>
      </w:r>
      <w:r>
        <w:rPr>
          <w:spacing w:val="-3"/>
          <w:sz w:val="20"/>
        </w:rPr>
        <w:t>cultural </w:t>
      </w:r>
      <w:r>
        <w:rPr>
          <w:sz w:val="20"/>
        </w:rPr>
        <w:t>change. The OPP should</w:t>
      </w:r>
      <w:r>
        <w:rPr>
          <w:spacing w:val="-14"/>
          <w:sz w:val="20"/>
        </w:rPr>
        <w:t> </w:t>
      </w:r>
      <w:r>
        <w:rPr>
          <w:sz w:val="20"/>
        </w:rPr>
        <w:t>continue</w:t>
      </w:r>
      <w:r>
        <w:rPr>
          <w:spacing w:val="-13"/>
          <w:sz w:val="20"/>
        </w:rPr>
        <w:t> </w:t>
      </w:r>
      <w:r>
        <w:rPr>
          <w:sz w:val="20"/>
        </w:rPr>
        <w:t>to</w:t>
      </w:r>
      <w:r>
        <w:rPr>
          <w:spacing w:val="-14"/>
          <w:sz w:val="20"/>
        </w:rPr>
        <w:t> </w:t>
      </w:r>
      <w:r>
        <w:rPr>
          <w:sz w:val="20"/>
        </w:rPr>
        <w:t>deliver</w:t>
      </w:r>
      <w:r>
        <w:rPr>
          <w:spacing w:val="-13"/>
          <w:sz w:val="20"/>
        </w:rPr>
        <w:t> </w:t>
      </w:r>
      <w:r>
        <w:rPr>
          <w:sz w:val="20"/>
        </w:rPr>
        <w:t>disability</w:t>
      </w:r>
      <w:r>
        <w:rPr>
          <w:spacing w:val="-14"/>
          <w:sz w:val="20"/>
        </w:rPr>
        <w:t> </w:t>
      </w:r>
      <w:r>
        <w:rPr>
          <w:spacing w:val="-3"/>
          <w:sz w:val="20"/>
        </w:rPr>
        <w:t>awareness</w:t>
      </w:r>
      <w:r>
        <w:rPr>
          <w:spacing w:val="-13"/>
          <w:sz w:val="20"/>
        </w:rPr>
        <w:t> </w:t>
      </w:r>
      <w:r>
        <w:rPr>
          <w:sz w:val="20"/>
        </w:rPr>
        <w:t>training</w:t>
      </w:r>
      <w:r>
        <w:rPr>
          <w:spacing w:val="-14"/>
          <w:sz w:val="20"/>
        </w:rPr>
        <w:t> </w:t>
      </w:r>
      <w:r>
        <w:rPr>
          <w:sz w:val="20"/>
        </w:rPr>
        <w:t>to</w:t>
      </w:r>
      <w:r>
        <w:rPr>
          <w:spacing w:val="-13"/>
          <w:sz w:val="20"/>
        </w:rPr>
        <w:t> </w:t>
      </w:r>
      <w:r>
        <w:rPr>
          <w:sz w:val="20"/>
        </w:rPr>
        <w:t>staff</w:t>
      </w:r>
      <w:r>
        <w:rPr>
          <w:spacing w:val="-14"/>
          <w:sz w:val="20"/>
        </w:rPr>
        <w:t> </w:t>
      </w:r>
      <w:r>
        <w:rPr>
          <w:sz w:val="20"/>
        </w:rPr>
        <w:t>and</w:t>
      </w:r>
      <w:r>
        <w:rPr>
          <w:spacing w:val="-13"/>
          <w:sz w:val="20"/>
        </w:rPr>
        <w:t> </w:t>
      </w:r>
      <w:r>
        <w:rPr>
          <w:sz w:val="20"/>
        </w:rPr>
        <w:t>incorporate</w:t>
      </w:r>
      <w:r>
        <w:rPr>
          <w:spacing w:val="-14"/>
          <w:sz w:val="20"/>
        </w:rPr>
        <w:t> </w:t>
      </w:r>
      <w:r>
        <w:rPr>
          <w:sz w:val="20"/>
        </w:rPr>
        <w:t>specific training on the topic of jury service. It </w:t>
      </w:r>
      <w:r>
        <w:rPr>
          <w:spacing w:val="-3"/>
          <w:sz w:val="20"/>
        </w:rPr>
        <w:t>may </w:t>
      </w:r>
      <w:r>
        <w:rPr>
          <w:sz w:val="20"/>
        </w:rPr>
        <w:t>be possible for disability </w:t>
      </w:r>
      <w:r>
        <w:rPr>
          <w:spacing w:val="-3"/>
          <w:sz w:val="20"/>
        </w:rPr>
        <w:t>awareness </w:t>
      </w:r>
      <w:r>
        <w:rPr>
          <w:sz w:val="20"/>
        </w:rPr>
        <w:t>training to be included in specialist accreditation schemes for legal professionals.</w:t>
      </w:r>
      <w:r>
        <w:rPr>
          <w:position w:val="7"/>
          <w:sz w:val="11"/>
        </w:rPr>
        <w:t>28 </w:t>
      </w:r>
      <w:r>
        <w:rPr>
          <w:sz w:val="20"/>
        </w:rPr>
        <w:t>In </w:t>
      </w:r>
      <w:r>
        <w:rPr>
          <w:spacing w:val="-2"/>
          <w:sz w:val="20"/>
        </w:rPr>
        <w:t>Chapter </w:t>
      </w:r>
      <w:r>
        <w:rPr>
          <w:sz w:val="20"/>
        </w:rPr>
        <w:t>15</w:t>
      </w:r>
      <w:r>
        <w:rPr>
          <w:spacing w:val="-13"/>
          <w:sz w:val="20"/>
        </w:rPr>
        <w:t> </w:t>
      </w:r>
      <w:r>
        <w:rPr>
          <w:spacing w:val="-3"/>
          <w:sz w:val="20"/>
        </w:rPr>
        <w:t>we</w:t>
      </w:r>
      <w:r>
        <w:rPr>
          <w:spacing w:val="-12"/>
          <w:sz w:val="20"/>
        </w:rPr>
        <w:t> </w:t>
      </w:r>
      <w:r>
        <w:rPr>
          <w:sz w:val="20"/>
        </w:rPr>
        <w:t>also</w:t>
      </w:r>
      <w:r>
        <w:rPr>
          <w:spacing w:val="-12"/>
          <w:sz w:val="20"/>
        </w:rPr>
        <w:t> </w:t>
      </w:r>
      <w:r>
        <w:rPr>
          <w:sz w:val="20"/>
        </w:rPr>
        <w:t>suggested</w:t>
      </w:r>
      <w:r>
        <w:rPr>
          <w:spacing w:val="-12"/>
          <w:sz w:val="20"/>
        </w:rPr>
        <w:t> </w:t>
      </w:r>
      <w:r>
        <w:rPr>
          <w:sz w:val="20"/>
        </w:rPr>
        <w:t>that</w:t>
      </w:r>
      <w:r>
        <w:rPr>
          <w:spacing w:val="-12"/>
          <w:sz w:val="20"/>
        </w:rPr>
        <w:t> </w:t>
      </w:r>
      <w:r>
        <w:rPr>
          <w:sz w:val="20"/>
        </w:rPr>
        <w:t>new</w:t>
      </w:r>
      <w:r>
        <w:rPr>
          <w:spacing w:val="-12"/>
          <w:sz w:val="20"/>
        </w:rPr>
        <w:t> </w:t>
      </w:r>
      <w:r>
        <w:rPr>
          <w:sz w:val="20"/>
        </w:rPr>
        <w:t>accessibility</w:t>
      </w:r>
      <w:r>
        <w:rPr>
          <w:spacing w:val="-12"/>
          <w:sz w:val="20"/>
        </w:rPr>
        <w:t> </w:t>
      </w:r>
      <w:r>
        <w:rPr>
          <w:sz w:val="20"/>
        </w:rPr>
        <w:t>officers</w:t>
      </w:r>
      <w:r>
        <w:rPr>
          <w:spacing w:val="-12"/>
          <w:sz w:val="20"/>
        </w:rPr>
        <w:t> </w:t>
      </w:r>
      <w:r>
        <w:rPr>
          <w:sz w:val="20"/>
        </w:rPr>
        <w:t>should</w:t>
      </w:r>
      <w:r>
        <w:rPr>
          <w:spacing w:val="-12"/>
          <w:sz w:val="20"/>
        </w:rPr>
        <w:t> </w:t>
      </w:r>
      <w:r>
        <w:rPr>
          <w:spacing w:val="-3"/>
          <w:sz w:val="20"/>
        </w:rPr>
        <w:t>receive</w:t>
      </w:r>
      <w:r>
        <w:rPr>
          <w:spacing w:val="-12"/>
          <w:sz w:val="20"/>
        </w:rPr>
        <w:t> </w:t>
      </w:r>
      <w:r>
        <w:rPr>
          <w:sz w:val="20"/>
        </w:rPr>
        <w:t>disability</w:t>
      </w:r>
      <w:r>
        <w:rPr>
          <w:spacing w:val="-12"/>
          <w:sz w:val="20"/>
        </w:rPr>
        <w:t> </w:t>
      </w:r>
      <w:r>
        <w:rPr>
          <w:spacing w:val="-3"/>
          <w:sz w:val="20"/>
        </w:rPr>
        <w:t>awareness </w:t>
      </w:r>
      <w:r>
        <w:rPr>
          <w:sz w:val="20"/>
        </w:rPr>
        <w:t>training.</w:t>
      </w:r>
    </w:p>
    <w:p>
      <w:pPr>
        <w:pStyle w:val="BodyText"/>
      </w:pPr>
    </w:p>
    <w:p>
      <w:pPr>
        <w:pStyle w:val="BodyText"/>
      </w:pPr>
    </w:p>
    <w:p>
      <w:pPr>
        <w:pStyle w:val="BodyText"/>
      </w:pPr>
    </w:p>
    <w:p>
      <w:pPr>
        <w:pStyle w:val="BodyText"/>
      </w:pPr>
    </w:p>
    <w:p>
      <w:pPr>
        <w:pStyle w:val="BodyText"/>
        <w:spacing w:before="12"/>
        <w:rPr>
          <w:sz w:val="17"/>
        </w:rPr>
      </w:pPr>
      <w:r>
        <w:rPr/>
        <w:pict>
          <v:line style="position:absolute;mso-position-horizontal-relative:page;mso-position-vertical-relative:paragraph;z-index:11000;mso-wrap-distance-left:0;mso-wrap-distance-right:0" from="79.370102pt,14.86348pt" to="515.905102pt,14.86348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36"/>
        </w:rPr>
      </w:pPr>
    </w:p>
    <w:p>
      <w:pPr>
        <w:spacing w:before="0"/>
        <w:ind w:left="100" w:right="0" w:firstLine="0"/>
        <w:jc w:val="left"/>
        <w:rPr>
          <w:b/>
          <w:sz w:val="24"/>
        </w:rPr>
      </w:pPr>
      <w:r>
        <w:rPr>
          <w:b/>
          <w:color w:val="37617A"/>
          <w:sz w:val="24"/>
        </w:rPr>
        <w:t>210</w:t>
      </w:r>
    </w:p>
    <w:p>
      <w:pPr>
        <w:pStyle w:val="ListParagraph"/>
        <w:numPr>
          <w:ilvl w:val="0"/>
          <w:numId w:val="121"/>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pacing w:val="2"/>
          <w:sz w:val="13"/>
        </w:rPr>
        <w:t>Department </w:t>
      </w:r>
      <w:r>
        <w:rPr>
          <w:sz w:val="13"/>
        </w:rPr>
        <w:t>of Social </w:t>
      </w:r>
      <w:r>
        <w:rPr>
          <w:spacing w:val="2"/>
          <w:sz w:val="13"/>
        </w:rPr>
        <w:t>Services </w:t>
      </w:r>
      <w:r>
        <w:rPr>
          <w:sz w:val="13"/>
        </w:rPr>
        <w:t>(Cth), </w:t>
      </w:r>
      <w:r>
        <w:rPr>
          <w:i/>
          <w:sz w:val="13"/>
        </w:rPr>
        <w:t>Australia’s Disability Strategy 2021–2031 </w:t>
      </w:r>
      <w:r>
        <w:rPr>
          <w:spacing w:val="2"/>
          <w:sz w:val="13"/>
        </w:rPr>
        <w:t>(Report, December </w:t>
      </w:r>
      <w:r>
        <w:rPr>
          <w:sz w:val="13"/>
        </w:rPr>
        <w:t>2021) </w:t>
      </w:r>
      <w:r>
        <w:rPr>
          <w:spacing w:val="-4"/>
          <w:sz w:val="13"/>
        </w:rPr>
        <w:t>17, </w:t>
      </w:r>
      <w:r>
        <w:rPr>
          <w:sz w:val="13"/>
        </w:rPr>
        <w:t>Policy </w:t>
      </w:r>
      <w:r>
        <w:rPr>
          <w:spacing w:val="2"/>
          <w:sz w:val="13"/>
        </w:rPr>
        <w:t>Priority</w:t>
      </w:r>
      <w:r>
        <w:rPr>
          <w:spacing w:val="14"/>
          <w:sz w:val="13"/>
        </w:rPr>
        <w:t> </w:t>
      </w:r>
      <w:r>
        <w:rPr>
          <w:spacing w:val="3"/>
          <w:sz w:val="13"/>
        </w:rPr>
        <w:t>5.</w:t>
      </w:r>
    </w:p>
    <w:p>
      <w:pPr>
        <w:pStyle w:val="ListParagraph"/>
        <w:numPr>
          <w:ilvl w:val="0"/>
          <w:numId w:val="121"/>
        </w:numPr>
        <w:tabs>
          <w:tab w:pos="893" w:val="left" w:leader="none"/>
          <w:tab w:pos="894" w:val="left" w:leader="none"/>
        </w:tabs>
        <w:spacing w:line="160" w:lineRule="exact" w:before="0" w:after="0"/>
        <w:ind w:left="893" w:right="0" w:hanging="793"/>
        <w:jc w:val="left"/>
        <w:rPr>
          <w:sz w:val="13"/>
        </w:rPr>
      </w:pPr>
      <w:r>
        <w:rPr>
          <w:sz w:val="13"/>
        </w:rPr>
        <w:t>Law Council of Australia, </w:t>
      </w:r>
      <w:r>
        <w:rPr>
          <w:i/>
          <w:sz w:val="13"/>
        </w:rPr>
        <w:t>Introduction and Overview </w:t>
      </w:r>
      <w:r>
        <w:rPr>
          <w:spacing w:val="2"/>
          <w:sz w:val="13"/>
        </w:rPr>
        <w:t>(The </w:t>
      </w:r>
      <w:r>
        <w:rPr>
          <w:sz w:val="13"/>
        </w:rPr>
        <w:t>Justice Project, Final </w:t>
      </w:r>
      <w:r>
        <w:rPr>
          <w:spacing w:val="2"/>
          <w:sz w:val="13"/>
        </w:rPr>
        <w:t>Report, </w:t>
      </w:r>
      <w:r>
        <w:rPr>
          <w:sz w:val="13"/>
        </w:rPr>
        <w:t>August</w:t>
      </w:r>
      <w:r>
        <w:rPr>
          <w:spacing w:val="9"/>
          <w:sz w:val="13"/>
        </w:rPr>
        <w:t> </w:t>
      </w:r>
      <w:r>
        <w:rPr>
          <w:sz w:val="13"/>
        </w:rPr>
        <w:t>2018).</w:t>
      </w:r>
    </w:p>
    <w:p>
      <w:pPr>
        <w:pStyle w:val="ListParagraph"/>
        <w:numPr>
          <w:ilvl w:val="0"/>
          <w:numId w:val="121"/>
        </w:numPr>
        <w:tabs>
          <w:tab w:pos="893" w:val="left" w:leader="none"/>
          <w:tab w:pos="894" w:val="left" w:leader="none"/>
        </w:tabs>
        <w:spacing w:line="213" w:lineRule="auto" w:before="7" w:after="0"/>
        <w:ind w:left="893" w:right="1232" w:hanging="793"/>
        <w:jc w:val="left"/>
        <w:rPr>
          <w:sz w:val="13"/>
        </w:rPr>
      </w:pPr>
      <w:r>
        <w:rPr>
          <w:sz w:val="13"/>
        </w:rPr>
        <w:t>Committee on the Rights of Persons with </w:t>
      </w:r>
      <w:r>
        <w:rPr>
          <w:spacing w:val="2"/>
          <w:sz w:val="13"/>
        </w:rPr>
        <w:t>Disabilities</w:t>
      </w:r>
      <w:r>
        <w:rPr>
          <w:i/>
          <w:spacing w:val="2"/>
          <w:sz w:val="13"/>
        </w:rPr>
        <w:t>, </w:t>
      </w:r>
      <w:r>
        <w:rPr>
          <w:i/>
          <w:sz w:val="13"/>
        </w:rPr>
        <w:t>Views: Communication No 35/2016, </w:t>
      </w:r>
      <w:r>
        <w:rPr>
          <w:sz w:val="13"/>
        </w:rPr>
        <w:t>20th sess, UN Doc CRPD/ C/20/D/35/2016 </w:t>
      </w:r>
      <w:r>
        <w:rPr>
          <w:spacing w:val="2"/>
          <w:sz w:val="13"/>
        </w:rPr>
        <w:t>(31 </w:t>
      </w:r>
      <w:r>
        <w:rPr>
          <w:sz w:val="13"/>
        </w:rPr>
        <w:t>August 2018) [8] (‘</w:t>
      </w:r>
      <w:r>
        <w:rPr>
          <w:i/>
          <w:sz w:val="13"/>
        </w:rPr>
        <w:t>JH v Australia</w:t>
      </w:r>
      <w:r>
        <w:rPr>
          <w:sz w:val="13"/>
        </w:rPr>
        <w:t>’). </w:t>
      </w:r>
      <w:r>
        <w:rPr>
          <w:spacing w:val="2"/>
          <w:sz w:val="13"/>
        </w:rPr>
        <w:t>Identical </w:t>
      </w:r>
      <w:r>
        <w:rPr>
          <w:sz w:val="13"/>
        </w:rPr>
        <w:t>recommendations were made in a </w:t>
      </w:r>
      <w:r>
        <w:rPr>
          <w:spacing w:val="2"/>
          <w:sz w:val="13"/>
        </w:rPr>
        <w:t>further </w:t>
      </w:r>
      <w:r>
        <w:rPr>
          <w:sz w:val="13"/>
        </w:rPr>
        <w:t>two cases: Committee  on the Rights of Persons with </w:t>
      </w:r>
      <w:r>
        <w:rPr>
          <w:spacing w:val="2"/>
          <w:sz w:val="13"/>
        </w:rPr>
        <w:t>Disabilities, </w:t>
      </w:r>
      <w:r>
        <w:rPr>
          <w:i/>
          <w:sz w:val="13"/>
        </w:rPr>
        <w:t>Views: Communication No 11/2013, </w:t>
      </w:r>
      <w:r>
        <w:rPr>
          <w:sz w:val="13"/>
        </w:rPr>
        <w:t>15th sess, UN Doc CRPD/C/15/D/11/2013 (25 May 2016) (‘</w:t>
      </w:r>
      <w:r>
        <w:rPr>
          <w:i/>
          <w:sz w:val="13"/>
        </w:rPr>
        <w:t>Beasley v Australia’</w:t>
      </w:r>
      <w:r>
        <w:rPr>
          <w:sz w:val="13"/>
        </w:rPr>
        <w:t>); Committee on the Rights of Persons with </w:t>
      </w:r>
      <w:r>
        <w:rPr>
          <w:spacing w:val="2"/>
          <w:sz w:val="13"/>
        </w:rPr>
        <w:t>Disabilities, </w:t>
      </w:r>
      <w:r>
        <w:rPr>
          <w:i/>
          <w:sz w:val="13"/>
        </w:rPr>
        <w:t>Views: Communication No 13/2013</w:t>
      </w:r>
      <w:r>
        <w:rPr>
          <w:sz w:val="13"/>
        </w:rPr>
        <w:t>, 15th sess,       UN Doc CRPD/C/15/D/13/2013 </w:t>
      </w:r>
      <w:r>
        <w:rPr>
          <w:spacing w:val="2"/>
          <w:sz w:val="13"/>
        </w:rPr>
        <w:t>(30 </w:t>
      </w:r>
      <w:r>
        <w:rPr>
          <w:sz w:val="13"/>
        </w:rPr>
        <w:t>May 2016) (‘</w:t>
      </w:r>
      <w:r>
        <w:rPr>
          <w:i/>
          <w:sz w:val="13"/>
        </w:rPr>
        <w:t>Lockrey v Australia’</w:t>
      </w:r>
      <w:r>
        <w:rPr>
          <w:sz w:val="13"/>
        </w:rPr>
        <w:t>). See </w:t>
      </w:r>
      <w:r>
        <w:rPr>
          <w:spacing w:val="2"/>
          <w:sz w:val="13"/>
        </w:rPr>
        <w:t>also </w:t>
      </w:r>
      <w:r>
        <w:rPr>
          <w:i/>
          <w:sz w:val="13"/>
        </w:rPr>
        <w:t>Convention on the </w:t>
      </w:r>
      <w:r>
        <w:rPr>
          <w:i/>
          <w:spacing w:val="2"/>
          <w:sz w:val="13"/>
        </w:rPr>
        <w:t>Rights </w:t>
      </w:r>
      <w:r>
        <w:rPr>
          <w:i/>
          <w:sz w:val="13"/>
        </w:rPr>
        <w:t>of Persons with Disabilities</w:t>
      </w:r>
      <w:r>
        <w:rPr>
          <w:sz w:val="13"/>
        </w:rPr>
        <w:t>, </w:t>
      </w:r>
      <w:r>
        <w:rPr>
          <w:spacing w:val="2"/>
          <w:sz w:val="13"/>
        </w:rPr>
        <w:t>opened </w:t>
      </w:r>
      <w:r>
        <w:rPr>
          <w:sz w:val="13"/>
        </w:rPr>
        <w:t>for signature 30 March 2007, 2515 UNTS 3 (entered into force 3 May 2008) </w:t>
      </w:r>
      <w:r>
        <w:rPr>
          <w:spacing w:val="2"/>
          <w:sz w:val="13"/>
        </w:rPr>
        <w:t>art</w:t>
      </w:r>
      <w:r>
        <w:rPr>
          <w:spacing w:val="11"/>
          <w:sz w:val="13"/>
        </w:rPr>
        <w:t> </w:t>
      </w:r>
      <w:r>
        <w:rPr>
          <w:sz w:val="13"/>
        </w:rPr>
        <w:t>8.</w:t>
      </w:r>
    </w:p>
    <w:p>
      <w:pPr>
        <w:pStyle w:val="ListParagraph"/>
        <w:numPr>
          <w:ilvl w:val="0"/>
          <w:numId w:val="121"/>
        </w:numPr>
        <w:tabs>
          <w:tab w:pos="893" w:val="left" w:leader="none"/>
          <w:tab w:pos="894" w:val="left" w:leader="none"/>
        </w:tabs>
        <w:spacing w:line="213" w:lineRule="auto" w:before="0" w:after="0"/>
        <w:ind w:left="893" w:right="1223" w:hanging="793"/>
        <w:jc w:val="left"/>
        <w:rPr>
          <w:sz w:val="13"/>
        </w:rPr>
      </w:pPr>
      <w:r>
        <w:rPr>
          <w:spacing w:val="2"/>
          <w:sz w:val="13"/>
        </w:rPr>
        <w:t>Comments </w:t>
      </w:r>
      <w:r>
        <w:rPr>
          <w:sz w:val="13"/>
        </w:rPr>
        <w:t>identified in Jemina </w:t>
      </w:r>
      <w:r>
        <w:rPr>
          <w:spacing w:val="2"/>
          <w:sz w:val="13"/>
        </w:rPr>
        <w:t>Napier </w:t>
      </w:r>
      <w:r>
        <w:rPr>
          <w:sz w:val="13"/>
        </w:rPr>
        <w:t>et </w:t>
      </w:r>
      <w:r>
        <w:rPr>
          <w:spacing w:val="2"/>
          <w:sz w:val="13"/>
        </w:rPr>
        <w:t>al, </w:t>
      </w:r>
      <w:r>
        <w:rPr>
          <w:sz w:val="13"/>
        </w:rPr>
        <w:t>‘Training Legal Interpreters to Work with Deaf Jurors’ in Jeremy L Brunson (ed), </w:t>
      </w:r>
      <w:r>
        <w:rPr>
          <w:i/>
          <w:sz w:val="13"/>
        </w:rPr>
        <w:t>Legal </w:t>
      </w:r>
      <w:r>
        <w:rPr>
          <w:i/>
          <w:sz w:val="13"/>
        </w:rPr>
        <w:t>Interpreting—Teaching, Research and Practice </w:t>
      </w:r>
      <w:r>
        <w:rPr>
          <w:sz w:val="13"/>
        </w:rPr>
        <w:t>(Gallaudet University Press, 2022)</w:t>
      </w:r>
      <w:r>
        <w:rPr>
          <w:spacing w:val="8"/>
          <w:sz w:val="13"/>
        </w:rPr>
        <w:t> </w:t>
      </w:r>
      <w:r>
        <w:rPr>
          <w:sz w:val="13"/>
        </w:rPr>
        <w:t>267.</w:t>
      </w:r>
    </w:p>
    <w:p>
      <w:pPr>
        <w:pStyle w:val="ListParagraph"/>
        <w:numPr>
          <w:ilvl w:val="0"/>
          <w:numId w:val="121"/>
        </w:numPr>
        <w:tabs>
          <w:tab w:pos="893" w:val="left" w:leader="none"/>
          <w:tab w:pos="894" w:val="left" w:leader="none"/>
        </w:tabs>
        <w:spacing w:line="213" w:lineRule="auto" w:before="0" w:after="0"/>
        <w:ind w:left="893" w:right="1318" w:hanging="793"/>
        <w:jc w:val="both"/>
        <w:rPr>
          <w:sz w:val="13"/>
        </w:rPr>
      </w:pPr>
      <w:r>
        <w:rPr>
          <w:sz w:val="13"/>
        </w:rPr>
        <w:t>For example, Victoria Legal Aid only briefs barristers on the Criminal Trial Preferred Barrister List for major criminal </w:t>
      </w:r>
      <w:r>
        <w:rPr>
          <w:spacing w:val="2"/>
          <w:sz w:val="13"/>
        </w:rPr>
        <w:t>trials </w:t>
      </w:r>
      <w:r>
        <w:rPr>
          <w:sz w:val="13"/>
        </w:rPr>
        <w:t>(unless  an exemption is granted). </w:t>
      </w:r>
      <w:r>
        <w:rPr>
          <w:spacing w:val="-5"/>
          <w:sz w:val="13"/>
        </w:rPr>
        <w:t>To </w:t>
      </w:r>
      <w:r>
        <w:rPr>
          <w:sz w:val="13"/>
        </w:rPr>
        <w:t>be on the Criminal Trial Preferred Barrister List, barristers must hold an Indictable Crime </w:t>
      </w:r>
      <w:r>
        <w:rPr>
          <w:spacing w:val="2"/>
          <w:sz w:val="13"/>
        </w:rPr>
        <w:t>Certificate </w:t>
      </w:r>
      <w:r>
        <w:rPr>
          <w:sz w:val="13"/>
        </w:rPr>
        <w:t>accreditation</w:t>
      </w:r>
      <w:r>
        <w:rPr>
          <w:spacing w:val="3"/>
          <w:sz w:val="13"/>
        </w:rPr>
        <w:t> </w:t>
      </w:r>
      <w:r>
        <w:rPr>
          <w:sz w:val="13"/>
        </w:rPr>
        <w:t>from</w:t>
      </w:r>
      <w:r>
        <w:rPr>
          <w:spacing w:val="4"/>
          <w:sz w:val="13"/>
        </w:rPr>
        <w:t> </w:t>
      </w:r>
      <w:r>
        <w:rPr>
          <w:sz w:val="13"/>
        </w:rPr>
        <w:t>the</w:t>
      </w:r>
      <w:r>
        <w:rPr>
          <w:spacing w:val="4"/>
          <w:sz w:val="13"/>
        </w:rPr>
        <w:t> </w:t>
      </w:r>
      <w:r>
        <w:rPr>
          <w:sz w:val="13"/>
        </w:rPr>
        <w:t>Victorian</w:t>
      </w:r>
      <w:r>
        <w:rPr>
          <w:spacing w:val="4"/>
          <w:sz w:val="13"/>
        </w:rPr>
        <w:t> </w:t>
      </w:r>
      <w:r>
        <w:rPr>
          <w:sz w:val="13"/>
        </w:rPr>
        <w:t>Bar.</w:t>
      </w:r>
      <w:r>
        <w:rPr>
          <w:spacing w:val="4"/>
          <w:sz w:val="13"/>
        </w:rPr>
        <w:t> </w:t>
      </w:r>
      <w:r>
        <w:rPr>
          <w:sz w:val="13"/>
        </w:rPr>
        <w:t>Potentially,</w:t>
      </w:r>
      <w:r>
        <w:rPr>
          <w:spacing w:val="3"/>
          <w:sz w:val="13"/>
        </w:rPr>
        <w:t> </w:t>
      </w:r>
      <w:r>
        <w:rPr>
          <w:sz w:val="13"/>
        </w:rPr>
        <w:t>some</w:t>
      </w:r>
      <w:r>
        <w:rPr>
          <w:spacing w:val="4"/>
          <w:sz w:val="13"/>
        </w:rPr>
        <w:t> </w:t>
      </w:r>
      <w:r>
        <w:rPr>
          <w:spacing w:val="2"/>
          <w:sz w:val="13"/>
        </w:rPr>
        <w:t>questions</w:t>
      </w:r>
      <w:r>
        <w:rPr>
          <w:spacing w:val="4"/>
          <w:sz w:val="13"/>
        </w:rPr>
        <w:t> </w:t>
      </w:r>
      <w:r>
        <w:rPr>
          <w:sz w:val="13"/>
        </w:rPr>
        <w:t>regarding</w:t>
      </w:r>
      <w:r>
        <w:rPr>
          <w:spacing w:val="4"/>
          <w:sz w:val="13"/>
        </w:rPr>
        <w:t> </w:t>
      </w:r>
      <w:r>
        <w:rPr>
          <w:sz w:val="13"/>
        </w:rPr>
        <w:t>the</w:t>
      </w:r>
      <w:r>
        <w:rPr>
          <w:spacing w:val="4"/>
          <w:sz w:val="13"/>
        </w:rPr>
        <w:t> </w:t>
      </w:r>
      <w:r>
        <w:rPr>
          <w:sz w:val="13"/>
        </w:rPr>
        <w:t>use</w:t>
      </w:r>
      <w:r>
        <w:rPr>
          <w:spacing w:val="3"/>
          <w:sz w:val="13"/>
        </w:rPr>
        <w:t> </w:t>
      </w:r>
      <w:r>
        <w:rPr>
          <w:sz w:val="13"/>
        </w:rPr>
        <w:t>of</w:t>
      </w:r>
      <w:r>
        <w:rPr>
          <w:spacing w:val="4"/>
          <w:sz w:val="13"/>
        </w:rPr>
        <w:t> </w:t>
      </w:r>
      <w:r>
        <w:rPr>
          <w:spacing w:val="2"/>
          <w:sz w:val="13"/>
        </w:rPr>
        <w:t>adjustments</w:t>
      </w:r>
      <w:r>
        <w:rPr>
          <w:spacing w:val="4"/>
          <w:sz w:val="13"/>
        </w:rPr>
        <w:t> </w:t>
      </w:r>
      <w:r>
        <w:rPr>
          <w:sz w:val="13"/>
        </w:rPr>
        <w:t>to</w:t>
      </w:r>
      <w:r>
        <w:rPr>
          <w:spacing w:val="4"/>
          <w:sz w:val="13"/>
        </w:rPr>
        <w:t> </w:t>
      </w:r>
      <w:r>
        <w:rPr>
          <w:sz w:val="13"/>
        </w:rPr>
        <w:t>facilitate</w:t>
      </w:r>
      <w:r>
        <w:rPr>
          <w:spacing w:val="4"/>
          <w:sz w:val="13"/>
        </w:rPr>
        <w:t> </w:t>
      </w:r>
      <w:r>
        <w:rPr>
          <w:spacing w:val="2"/>
          <w:sz w:val="13"/>
        </w:rPr>
        <w:t>participation</w:t>
      </w:r>
    </w:p>
    <w:p>
      <w:pPr>
        <w:spacing w:line="213" w:lineRule="auto" w:before="0"/>
        <w:ind w:left="893" w:right="1654" w:firstLine="0"/>
        <w:jc w:val="left"/>
        <w:rPr>
          <w:sz w:val="13"/>
        </w:rPr>
      </w:pPr>
      <w:r>
        <w:rPr>
          <w:sz w:val="13"/>
        </w:rPr>
        <w:t>of jurors from the subject groups could be included in the test to obtain the Indictable Crime Certificate: see ‘Criminal Trial Preferred Barrister List’, </w:t>
      </w:r>
      <w:r>
        <w:rPr>
          <w:i/>
          <w:sz w:val="13"/>
        </w:rPr>
        <w:t>Victoria Legal Aid </w:t>
      </w:r>
      <w:r>
        <w:rPr>
          <w:sz w:val="13"/>
        </w:rPr>
        <w:t>(Web Page, 25 January 2022) &lt;</w:t>
      </w:r>
      <w:hyperlink r:id="rId257">
        <w:r>
          <w:rPr>
            <w:sz w:val="13"/>
          </w:rPr>
          <w:t>https://www.legalaid.vic.gov.au/criminal-trial-</w:t>
        </w:r>
      </w:hyperlink>
      <w:r>
        <w:rPr>
          <w:sz w:val="13"/>
        </w:rPr>
        <w:t> </w:t>
      </w:r>
      <w:hyperlink r:id="rId257">
        <w:r>
          <w:rPr>
            <w:sz w:val="13"/>
          </w:rPr>
          <w:t>preferred-barrister-list</w:t>
        </w:r>
      </w:hyperlink>
      <w:r>
        <w:rPr>
          <w:sz w:val="13"/>
        </w:rPr>
        <w:t>&gt;; ‘Victorian Bar to Introduce Accreditation for Criminal Trial Barristers’, </w:t>
      </w:r>
      <w:r>
        <w:rPr>
          <w:i/>
          <w:sz w:val="13"/>
        </w:rPr>
        <w:t>Victorian Bar </w:t>
      </w:r>
      <w:r>
        <w:rPr>
          <w:sz w:val="13"/>
        </w:rPr>
        <w:t>(Web Page, 31 October 2014) &lt;</w:t>
      </w:r>
      <w:hyperlink r:id="rId258">
        <w:r>
          <w:rPr>
            <w:sz w:val="13"/>
          </w:rPr>
          <w:t>https://www.vicbar.com.au/news-events/victorian-bar-introduce-accreditation-criminal-trial-barristers</w:t>
        </w:r>
      </w:hyperlink>
      <w:r>
        <w:rPr>
          <w:sz w:val="13"/>
        </w:rPr>
        <w:t>&gt;.</w:t>
      </w:r>
    </w:p>
    <w:p>
      <w:pPr>
        <w:spacing w:after="0" w:line="213" w:lineRule="auto"/>
        <w:jc w:val="left"/>
        <w:rPr>
          <w:sz w:val="13"/>
        </w:rPr>
        <w:sectPr>
          <w:type w:val="continuous"/>
          <w:pgSz w:w="11910" w:h="16840"/>
          <w:pgMar w:top="620" w:bottom="280" w:left="620" w:right="380"/>
          <w:cols w:num="2" w:equalWidth="0">
            <w:col w:w="534" w:space="333"/>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491" w:hanging="794"/>
        <w:jc w:val="left"/>
        <w:rPr>
          <w:sz w:val="11"/>
        </w:rPr>
      </w:pPr>
      <w:bookmarkStart w:name="Professional development about the new l" w:id="369"/>
      <w:bookmarkEnd w:id="369"/>
      <w:r>
        <w:rPr/>
      </w:r>
      <w:bookmarkStart w:name="_bookmark155" w:id="370"/>
      <w:bookmarkEnd w:id="370"/>
      <w:r>
        <w:rPr/>
      </w:r>
      <w:bookmarkStart w:name="_bookmark155" w:id="371"/>
      <w:bookmarkEnd w:id="371"/>
      <w:r>
        <w:rPr>
          <w:sz w:val="20"/>
        </w:rPr>
        <w:t>T</w:t>
      </w:r>
      <w:r>
        <w:rPr>
          <w:sz w:val="20"/>
        </w:rPr>
        <w:t>he</w:t>
      </w:r>
      <w:r>
        <w:rPr>
          <w:spacing w:val="-8"/>
          <w:sz w:val="20"/>
        </w:rPr>
        <w:t> </w:t>
      </w:r>
      <w:r>
        <w:rPr>
          <w:sz w:val="20"/>
        </w:rPr>
        <w:t>Judicial</w:t>
      </w:r>
      <w:r>
        <w:rPr>
          <w:spacing w:val="-8"/>
          <w:sz w:val="20"/>
        </w:rPr>
        <w:t> </w:t>
      </w:r>
      <w:r>
        <w:rPr>
          <w:sz w:val="20"/>
        </w:rPr>
        <w:t>College</w:t>
      </w:r>
      <w:r>
        <w:rPr>
          <w:spacing w:val="-7"/>
          <w:sz w:val="20"/>
        </w:rPr>
        <w:t> </w:t>
      </w:r>
      <w:r>
        <w:rPr>
          <w:sz w:val="20"/>
        </w:rPr>
        <w:t>of</w:t>
      </w:r>
      <w:r>
        <w:rPr>
          <w:spacing w:val="-8"/>
          <w:sz w:val="20"/>
        </w:rPr>
        <w:t> </w:t>
      </w:r>
      <w:r>
        <w:rPr>
          <w:sz w:val="20"/>
        </w:rPr>
        <w:t>Victoria</w:t>
      </w:r>
      <w:r>
        <w:rPr>
          <w:spacing w:val="-7"/>
          <w:sz w:val="20"/>
        </w:rPr>
        <w:t> </w:t>
      </w:r>
      <w:r>
        <w:rPr>
          <w:sz w:val="20"/>
        </w:rPr>
        <w:t>has</w:t>
      </w:r>
      <w:r>
        <w:rPr>
          <w:spacing w:val="-8"/>
          <w:sz w:val="20"/>
        </w:rPr>
        <w:t> </w:t>
      </w:r>
      <w:r>
        <w:rPr>
          <w:sz w:val="20"/>
        </w:rPr>
        <w:t>noted</w:t>
      </w:r>
      <w:r>
        <w:rPr>
          <w:spacing w:val="-7"/>
          <w:sz w:val="20"/>
        </w:rPr>
        <w:t> </w:t>
      </w:r>
      <w:r>
        <w:rPr>
          <w:sz w:val="20"/>
        </w:rPr>
        <w:t>that</w:t>
      </w:r>
      <w:r>
        <w:rPr>
          <w:spacing w:val="-8"/>
          <w:sz w:val="20"/>
        </w:rPr>
        <w:t> </w:t>
      </w:r>
      <w:r>
        <w:rPr>
          <w:sz w:val="20"/>
        </w:rPr>
        <w:t>if</w:t>
      </w:r>
      <w:r>
        <w:rPr>
          <w:spacing w:val="-8"/>
          <w:sz w:val="20"/>
        </w:rPr>
        <w:t> </w:t>
      </w:r>
      <w:r>
        <w:rPr>
          <w:spacing w:val="-4"/>
          <w:sz w:val="20"/>
        </w:rPr>
        <w:t>‘Auslan</w:t>
      </w:r>
      <w:r>
        <w:rPr>
          <w:spacing w:val="-7"/>
          <w:sz w:val="20"/>
        </w:rPr>
        <w:t> </w:t>
      </w:r>
      <w:r>
        <w:rPr>
          <w:spacing w:val="-3"/>
          <w:sz w:val="20"/>
        </w:rPr>
        <w:t>interpreters</w:t>
      </w:r>
      <w:r>
        <w:rPr>
          <w:spacing w:val="-8"/>
          <w:sz w:val="20"/>
        </w:rPr>
        <w:t> </w:t>
      </w:r>
      <w:r>
        <w:rPr>
          <w:spacing w:val="-4"/>
          <w:sz w:val="20"/>
        </w:rPr>
        <w:t>were</w:t>
      </w:r>
      <w:r>
        <w:rPr>
          <w:spacing w:val="-7"/>
          <w:sz w:val="20"/>
        </w:rPr>
        <w:t> </w:t>
      </w:r>
      <w:r>
        <w:rPr>
          <w:sz w:val="20"/>
        </w:rPr>
        <w:t>to</w:t>
      </w:r>
      <w:r>
        <w:rPr>
          <w:spacing w:val="-8"/>
          <w:sz w:val="20"/>
        </w:rPr>
        <w:t> </w:t>
      </w:r>
      <w:r>
        <w:rPr>
          <w:sz w:val="20"/>
        </w:rPr>
        <w:t>be</w:t>
      </w:r>
      <w:r>
        <w:rPr>
          <w:spacing w:val="-7"/>
          <w:sz w:val="20"/>
        </w:rPr>
        <w:t> </w:t>
      </w:r>
      <w:r>
        <w:rPr>
          <w:sz w:val="20"/>
        </w:rPr>
        <w:t>used to facilitate jury service for people who </w:t>
      </w:r>
      <w:r>
        <w:rPr>
          <w:spacing w:val="-3"/>
          <w:sz w:val="20"/>
        </w:rPr>
        <w:t>are </w:t>
      </w:r>
      <w:r>
        <w:rPr>
          <w:spacing w:val="-4"/>
          <w:sz w:val="20"/>
        </w:rPr>
        <w:t>deaf, </w:t>
      </w:r>
      <w:r>
        <w:rPr>
          <w:sz w:val="20"/>
        </w:rPr>
        <w:t>the Judicial College </w:t>
      </w:r>
      <w:r>
        <w:rPr>
          <w:spacing w:val="-3"/>
          <w:sz w:val="20"/>
        </w:rPr>
        <w:t>would likely </w:t>
      </w:r>
      <w:r>
        <w:rPr>
          <w:sz w:val="20"/>
        </w:rPr>
        <w:t>incorporate </w:t>
      </w:r>
      <w:r>
        <w:rPr>
          <w:spacing w:val="-3"/>
          <w:sz w:val="20"/>
        </w:rPr>
        <w:t>awareness </w:t>
      </w:r>
      <w:r>
        <w:rPr>
          <w:sz w:val="20"/>
        </w:rPr>
        <w:t>raising around this in its annual programming education. Subject</w:t>
      </w:r>
      <w:r>
        <w:rPr>
          <w:spacing w:val="-11"/>
          <w:sz w:val="20"/>
        </w:rPr>
        <w:t> </w:t>
      </w:r>
      <w:r>
        <w:rPr>
          <w:sz w:val="20"/>
        </w:rPr>
        <w:t>to</w:t>
      </w:r>
      <w:r>
        <w:rPr>
          <w:spacing w:val="-10"/>
          <w:sz w:val="20"/>
        </w:rPr>
        <w:t> </w:t>
      </w:r>
      <w:r>
        <w:rPr>
          <w:spacing w:val="-3"/>
          <w:sz w:val="20"/>
        </w:rPr>
        <w:t>resourcing,</w:t>
      </w:r>
      <w:r>
        <w:rPr>
          <w:spacing w:val="-11"/>
          <w:sz w:val="20"/>
        </w:rPr>
        <w:t> </w:t>
      </w:r>
      <w:r>
        <w:rPr>
          <w:sz w:val="20"/>
        </w:rPr>
        <w:t>the</w:t>
      </w:r>
      <w:r>
        <w:rPr>
          <w:spacing w:val="-10"/>
          <w:sz w:val="20"/>
        </w:rPr>
        <w:t> </w:t>
      </w:r>
      <w:r>
        <w:rPr>
          <w:sz w:val="20"/>
        </w:rPr>
        <w:t>College</w:t>
      </w:r>
      <w:r>
        <w:rPr>
          <w:spacing w:val="-11"/>
          <w:sz w:val="20"/>
        </w:rPr>
        <w:t> </w:t>
      </w:r>
      <w:r>
        <w:rPr>
          <w:sz w:val="20"/>
        </w:rPr>
        <w:t>could</w:t>
      </w:r>
      <w:r>
        <w:rPr>
          <w:spacing w:val="-10"/>
          <w:sz w:val="20"/>
        </w:rPr>
        <w:t> </w:t>
      </w:r>
      <w:r>
        <w:rPr>
          <w:spacing w:val="-3"/>
          <w:sz w:val="20"/>
        </w:rPr>
        <w:t>develop</w:t>
      </w:r>
      <w:r>
        <w:rPr>
          <w:spacing w:val="-11"/>
          <w:sz w:val="20"/>
        </w:rPr>
        <w:t> </w:t>
      </w:r>
      <w:r>
        <w:rPr>
          <w:sz w:val="20"/>
        </w:rPr>
        <w:t>an</w:t>
      </w:r>
      <w:r>
        <w:rPr>
          <w:spacing w:val="-10"/>
          <w:sz w:val="20"/>
        </w:rPr>
        <w:t> </w:t>
      </w:r>
      <w:r>
        <w:rPr>
          <w:sz w:val="20"/>
        </w:rPr>
        <w:t>education</w:t>
      </w:r>
      <w:r>
        <w:rPr>
          <w:spacing w:val="-11"/>
          <w:sz w:val="20"/>
        </w:rPr>
        <w:t> </w:t>
      </w:r>
      <w:r>
        <w:rPr>
          <w:sz w:val="20"/>
        </w:rPr>
        <w:t>and</w:t>
      </w:r>
      <w:r>
        <w:rPr>
          <w:spacing w:val="-10"/>
          <w:sz w:val="20"/>
        </w:rPr>
        <w:t> </w:t>
      </w:r>
      <w:r>
        <w:rPr>
          <w:sz w:val="20"/>
        </w:rPr>
        <w:t>training</w:t>
      </w:r>
      <w:r>
        <w:rPr>
          <w:spacing w:val="-11"/>
          <w:sz w:val="20"/>
        </w:rPr>
        <w:t> </w:t>
      </w:r>
      <w:r>
        <w:rPr>
          <w:sz w:val="20"/>
        </w:rPr>
        <w:t>program for</w:t>
      </w:r>
      <w:r>
        <w:rPr>
          <w:spacing w:val="-15"/>
          <w:sz w:val="20"/>
        </w:rPr>
        <w:t> </w:t>
      </w:r>
      <w:r>
        <w:rPr>
          <w:sz w:val="20"/>
        </w:rPr>
        <w:t>judicial</w:t>
      </w:r>
      <w:r>
        <w:rPr>
          <w:spacing w:val="-15"/>
          <w:sz w:val="20"/>
        </w:rPr>
        <w:t> </w:t>
      </w:r>
      <w:r>
        <w:rPr>
          <w:sz w:val="20"/>
        </w:rPr>
        <w:t>officers</w:t>
      </w:r>
      <w:r>
        <w:rPr>
          <w:spacing w:val="-15"/>
          <w:sz w:val="20"/>
        </w:rPr>
        <w:t> </w:t>
      </w:r>
      <w:r>
        <w:rPr>
          <w:sz w:val="20"/>
        </w:rPr>
        <w:t>incorporating</w:t>
      </w:r>
      <w:r>
        <w:rPr>
          <w:spacing w:val="-14"/>
          <w:sz w:val="20"/>
        </w:rPr>
        <w:t> </w:t>
      </w:r>
      <w:r>
        <w:rPr>
          <w:sz w:val="20"/>
        </w:rPr>
        <w:t>a</w:t>
      </w:r>
      <w:r>
        <w:rPr>
          <w:spacing w:val="-15"/>
          <w:sz w:val="20"/>
        </w:rPr>
        <w:t> </w:t>
      </w:r>
      <w:r>
        <w:rPr>
          <w:sz w:val="20"/>
        </w:rPr>
        <w:t>face-to-face</w:t>
      </w:r>
      <w:r>
        <w:rPr>
          <w:spacing w:val="-15"/>
          <w:sz w:val="20"/>
        </w:rPr>
        <w:t> </w:t>
      </w:r>
      <w:r>
        <w:rPr>
          <w:sz w:val="20"/>
        </w:rPr>
        <w:t>component</w:t>
      </w:r>
      <w:r>
        <w:rPr>
          <w:spacing w:val="-15"/>
          <w:sz w:val="20"/>
        </w:rPr>
        <w:t> </w:t>
      </w:r>
      <w:r>
        <w:rPr>
          <w:sz w:val="20"/>
        </w:rPr>
        <w:t>that</w:t>
      </w:r>
      <w:r>
        <w:rPr>
          <w:spacing w:val="-14"/>
          <w:sz w:val="20"/>
        </w:rPr>
        <w:t> </w:t>
      </w:r>
      <w:r>
        <w:rPr>
          <w:spacing w:val="-3"/>
          <w:sz w:val="20"/>
        </w:rPr>
        <w:t>would</w:t>
      </w:r>
      <w:r>
        <w:rPr>
          <w:spacing w:val="-15"/>
          <w:sz w:val="20"/>
        </w:rPr>
        <w:t> </w:t>
      </w:r>
      <w:r>
        <w:rPr>
          <w:spacing w:val="-3"/>
          <w:sz w:val="20"/>
        </w:rPr>
        <w:t>allow</w:t>
      </w:r>
      <w:r>
        <w:rPr>
          <w:spacing w:val="-15"/>
          <w:sz w:val="20"/>
        </w:rPr>
        <w:t> </w:t>
      </w:r>
      <w:r>
        <w:rPr>
          <w:sz w:val="20"/>
        </w:rPr>
        <w:t>judicial officers</w:t>
      </w:r>
      <w:r>
        <w:rPr>
          <w:spacing w:val="-11"/>
          <w:sz w:val="20"/>
        </w:rPr>
        <w:t> </w:t>
      </w:r>
      <w:r>
        <w:rPr>
          <w:sz w:val="20"/>
        </w:rPr>
        <w:t>to</w:t>
      </w:r>
      <w:r>
        <w:rPr>
          <w:spacing w:val="-11"/>
          <w:sz w:val="20"/>
        </w:rPr>
        <w:t> </w:t>
      </w:r>
      <w:r>
        <w:rPr>
          <w:sz w:val="20"/>
        </w:rPr>
        <w:t>experience</w:t>
      </w:r>
      <w:r>
        <w:rPr>
          <w:spacing w:val="-11"/>
          <w:sz w:val="20"/>
        </w:rPr>
        <w:t> </w:t>
      </w:r>
      <w:r>
        <w:rPr>
          <w:sz w:val="20"/>
        </w:rPr>
        <w:t>the</w:t>
      </w:r>
      <w:r>
        <w:rPr>
          <w:spacing w:val="-10"/>
          <w:sz w:val="20"/>
        </w:rPr>
        <w:t> </w:t>
      </w:r>
      <w:r>
        <w:rPr>
          <w:sz w:val="20"/>
        </w:rPr>
        <w:t>use</w:t>
      </w:r>
      <w:r>
        <w:rPr>
          <w:spacing w:val="-11"/>
          <w:sz w:val="20"/>
        </w:rPr>
        <w:t> </w:t>
      </w:r>
      <w:r>
        <w:rPr>
          <w:sz w:val="20"/>
        </w:rPr>
        <w:t>of</w:t>
      </w:r>
      <w:r>
        <w:rPr>
          <w:spacing w:val="-11"/>
          <w:sz w:val="20"/>
        </w:rPr>
        <w:t> </w:t>
      </w:r>
      <w:r>
        <w:rPr>
          <w:sz w:val="20"/>
        </w:rPr>
        <w:t>an</w:t>
      </w:r>
      <w:r>
        <w:rPr>
          <w:spacing w:val="-10"/>
          <w:sz w:val="20"/>
        </w:rPr>
        <w:t> </w:t>
      </w:r>
      <w:r>
        <w:rPr>
          <w:sz w:val="20"/>
        </w:rPr>
        <w:t>Auslan</w:t>
      </w:r>
      <w:r>
        <w:rPr>
          <w:spacing w:val="-11"/>
          <w:sz w:val="20"/>
        </w:rPr>
        <w:t> </w:t>
      </w:r>
      <w:r>
        <w:rPr>
          <w:spacing w:val="-3"/>
          <w:sz w:val="20"/>
        </w:rPr>
        <w:t>interpreter</w:t>
      </w:r>
      <w:r>
        <w:rPr>
          <w:spacing w:val="-11"/>
          <w:sz w:val="20"/>
        </w:rPr>
        <w:t> </w:t>
      </w:r>
      <w:r>
        <w:rPr>
          <w:sz w:val="20"/>
        </w:rPr>
        <w:t>in</w:t>
      </w:r>
      <w:r>
        <w:rPr>
          <w:spacing w:val="-11"/>
          <w:sz w:val="20"/>
        </w:rPr>
        <w:t> </w:t>
      </w:r>
      <w:r>
        <w:rPr>
          <w:sz w:val="20"/>
        </w:rPr>
        <w:t>a</w:t>
      </w:r>
      <w:r>
        <w:rPr>
          <w:spacing w:val="-10"/>
          <w:sz w:val="20"/>
        </w:rPr>
        <w:t> </w:t>
      </w:r>
      <w:r>
        <w:rPr>
          <w:sz w:val="20"/>
        </w:rPr>
        <w:t>simulated</w:t>
      </w:r>
      <w:r>
        <w:rPr>
          <w:spacing w:val="-11"/>
          <w:sz w:val="20"/>
        </w:rPr>
        <w:t> </w:t>
      </w:r>
      <w:r>
        <w:rPr>
          <w:sz w:val="20"/>
        </w:rPr>
        <w:t>court</w:t>
      </w:r>
      <w:r>
        <w:rPr>
          <w:spacing w:val="-11"/>
          <w:sz w:val="20"/>
        </w:rPr>
        <w:t> </w:t>
      </w:r>
      <w:r>
        <w:rPr>
          <w:sz w:val="20"/>
        </w:rPr>
        <w:t>setting’.</w:t>
      </w:r>
      <w:r>
        <w:rPr>
          <w:position w:val="7"/>
          <w:sz w:val="11"/>
        </w:rPr>
        <w:t>29</w:t>
      </w:r>
    </w:p>
    <w:p>
      <w:pPr>
        <w:pStyle w:val="ListParagraph"/>
        <w:numPr>
          <w:ilvl w:val="1"/>
          <w:numId w:val="12"/>
        </w:numPr>
        <w:tabs>
          <w:tab w:pos="1761" w:val="left" w:leader="none"/>
          <w:tab w:pos="1762" w:val="left" w:leader="none"/>
        </w:tabs>
        <w:spacing w:line="240" w:lineRule="auto" w:before="95" w:after="0"/>
        <w:ind w:left="1761" w:right="0" w:hanging="794"/>
        <w:jc w:val="left"/>
        <w:rPr>
          <w:sz w:val="20"/>
        </w:rPr>
      </w:pPr>
      <w:r>
        <w:rPr>
          <w:sz w:val="20"/>
        </w:rPr>
        <w:t>The practical aspects of disability </w:t>
      </w:r>
      <w:r>
        <w:rPr>
          <w:spacing w:val="-3"/>
          <w:sz w:val="20"/>
        </w:rPr>
        <w:t>awareness </w:t>
      </w:r>
      <w:r>
        <w:rPr>
          <w:sz w:val="20"/>
        </w:rPr>
        <w:t>training</w:t>
      </w:r>
      <w:r>
        <w:rPr>
          <w:spacing w:val="-29"/>
          <w:sz w:val="20"/>
        </w:rPr>
        <w:t> </w:t>
      </w:r>
      <w:r>
        <w:rPr>
          <w:sz w:val="20"/>
        </w:rPr>
        <w:t>should:</w:t>
      </w:r>
    </w:p>
    <w:p>
      <w:pPr>
        <w:pStyle w:val="ListParagraph"/>
        <w:numPr>
          <w:ilvl w:val="2"/>
          <w:numId w:val="12"/>
        </w:numPr>
        <w:tabs>
          <w:tab w:pos="2157" w:val="left" w:leader="none"/>
          <w:tab w:pos="2158" w:val="left" w:leader="none"/>
        </w:tabs>
        <w:spacing w:line="240" w:lineRule="auto" w:before="83" w:after="0"/>
        <w:ind w:left="2157" w:right="0" w:hanging="396"/>
        <w:jc w:val="left"/>
        <w:rPr>
          <w:sz w:val="20"/>
        </w:rPr>
      </w:pPr>
      <w:r>
        <w:rPr>
          <w:spacing w:val="-3"/>
          <w:sz w:val="20"/>
        </w:rPr>
        <w:t>draw</w:t>
      </w:r>
      <w:r>
        <w:rPr>
          <w:spacing w:val="-5"/>
          <w:sz w:val="20"/>
        </w:rPr>
        <w:t> </w:t>
      </w:r>
      <w:r>
        <w:rPr>
          <w:sz w:val="20"/>
        </w:rPr>
        <w:t>attention</w:t>
      </w:r>
      <w:r>
        <w:rPr>
          <w:spacing w:val="-6"/>
          <w:sz w:val="20"/>
        </w:rPr>
        <w:t> </w:t>
      </w:r>
      <w:r>
        <w:rPr>
          <w:sz w:val="20"/>
        </w:rPr>
        <w:t>to</w:t>
      </w:r>
      <w:r>
        <w:rPr>
          <w:spacing w:val="-5"/>
          <w:sz w:val="20"/>
        </w:rPr>
        <w:t> </w:t>
      </w:r>
      <w:r>
        <w:rPr>
          <w:sz w:val="20"/>
        </w:rPr>
        <w:t>the</w:t>
      </w:r>
      <w:r>
        <w:rPr>
          <w:spacing w:val="-5"/>
          <w:sz w:val="20"/>
        </w:rPr>
        <w:t> </w:t>
      </w:r>
      <w:r>
        <w:rPr>
          <w:sz w:val="20"/>
        </w:rPr>
        <w:t>spectrum</w:t>
      </w:r>
      <w:r>
        <w:rPr>
          <w:spacing w:val="-5"/>
          <w:sz w:val="20"/>
        </w:rPr>
        <w:t> </w:t>
      </w:r>
      <w:r>
        <w:rPr>
          <w:sz w:val="20"/>
        </w:rPr>
        <w:t>of</w:t>
      </w:r>
      <w:r>
        <w:rPr>
          <w:spacing w:val="-5"/>
          <w:sz w:val="20"/>
        </w:rPr>
        <w:t> </w:t>
      </w:r>
      <w:r>
        <w:rPr>
          <w:sz w:val="20"/>
        </w:rPr>
        <w:t>disability</w:t>
      </w:r>
      <w:r>
        <w:rPr>
          <w:spacing w:val="-5"/>
          <w:sz w:val="20"/>
        </w:rPr>
        <w:t> </w:t>
      </w:r>
      <w:r>
        <w:rPr>
          <w:sz w:val="20"/>
        </w:rPr>
        <w:t>and</w:t>
      </w:r>
      <w:r>
        <w:rPr>
          <w:spacing w:val="-5"/>
          <w:sz w:val="20"/>
        </w:rPr>
        <w:t> </w:t>
      </w:r>
      <w:r>
        <w:rPr>
          <w:sz w:val="20"/>
        </w:rPr>
        <w:t>differing</w:t>
      </w:r>
      <w:r>
        <w:rPr>
          <w:spacing w:val="-5"/>
          <w:sz w:val="20"/>
        </w:rPr>
        <w:t> </w:t>
      </w:r>
      <w:r>
        <w:rPr>
          <w:sz w:val="20"/>
        </w:rPr>
        <w:t>needs</w:t>
      </w:r>
    </w:p>
    <w:p>
      <w:pPr>
        <w:pStyle w:val="ListParagraph"/>
        <w:numPr>
          <w:ilvl w:val="2"/>
          <w:numId w:val="12"/>
        </w:numPr>
        <w:tabs>
          <w:tab w:pos="2157" w:val="left" w:leader="none"/>
          <w:tab w:pos="2158" w:val="left" w:leader="none"/>
        </w:tabs>
        <w:spacing w:line="206" w:lineRule="auto" w:before="79" w:after="0"/>
        <w:ind w:left="2157" w:right="1208" w:hanging="396"/>
        <w:jc w:val="left"/>
        <w:rPr>
          <w:sz w:val="20"/>
        </w:rPr>
      </w:pPr>
      <w:r>
        <w:rPr>
          <w:sz w:val="20"/>
        </w:rPr>
        <w:t>expose</w:t>
      </w:r>
      <w:r>
        <w:rPr>
          <w:spacing w:val="-11"/>
          <w:sz w:val="20"/>
        </w:rPr>
        <w:t> </w:t>
      </w:r>
      <w:r>
        <w:rPr>
          <w:sz w:val="20"/>
        </w:rPr>
        <w:t>the</w:t>
      </w:r>
      <w:r>
        <w:rPr>
          <w:spacing w:val="-11"/>
          <w:sz w:val="20"/>
        </w:rPr>
        <w:t> </w:t>
      </w:r>
      <w:r>
        <w:rPr>
          <w:sz w:val="20"/>
        </w:rPr>
        <w:t>profession</w:t>
      </w:r>
      <w:r>
        <w:rPr>
          <w:spacing w:val="-11"/>
          <w:sz w:val="20"/>
        </w:rPr>
        <w:t> </w:t>
      </w:r>
      <w:r>
        <w:rPr>
          <w:sz w:val="20"/>
        </w:rPr>
        <w:t>to</w:t>
      </w:r>
      <w:r>
        <w:rPr>
          <w:spacing w:val="-11"/>
          <w:sz w:val="20"/>
        </w:rPr>
        <w:t> </w:t>
      </w:r>
      <w:r>
        <w:rPr>
          <w:sz w:val="20"/>
        </w:rPr>
        <w:t>people</w:t>
      </w:r>
      <w:r>
        <w:rPr>
          <w:spacing w:val="-11"/>
          <w:sz w:val="20"/>
        </w:rPr>
        <w:t> </w:t>
      </w:r>
      <w:r>
        <w:rPr>
          <w:sz w:val="20"/>
        </w:rPr>
        <w:t>with</w:t>
      </w:r>
      <w:r>
        <w:rPr>
          <w:spacing w:val="-11"/>
          <w:sz w:val="20"/>
        </w:rPr>
        <w:t> </w:t>
      </w:r>
      <w:r>
        <w:rPr>
          <w:sz w:val="20"/>
        </w:rPr>
        <w:t>disabilities</w:t>
      </w:r>
      <w:r>
        <w:rPr>
          <w:spacing w:val="-10"/>
          <w:sz w:val="20"/>
        </w:rPr>
        <w:t> </w:t>
      </w:r>
      <w:r>
        <w:rPr>
          <w:sz w:val="20"/>
        </w:rPr>
        <w:t>and</w:t>
      </w:r>
      <w:r>
        <w:rPr>
          <w:spacing w:val="-11"/>
          <w:sz w:val="20"/>
        </w:rPr>
        <w:t> </w:t>
      </w:r>
      <w:r>
        <w:rPr>
          <w:spacing w:val="-3"/>
          <w:sz w:val="20"/>
        </w:rPr>
        <w:t>provide</w:t>
      </w:r>
      <w:r>
        <w:rPr>
          <w:spacing w:val="-11"/>
          <w:sz w:val="20"/>
        </w:rPr>
        <w:t> </w:t>
      </w:r>
      <w:r>
        <w:rPr>
          <w:sz w:val="20"/>
        </w:rPr>
        <w:t>an</w:t>
      </w:r>
      <w:r>
        <w:rPr>
          <w:spacing w:val="-11"/>
          <w:sz w:val="20"/>
        </w:rPr>
        <w:t> </w:t>
      </w:r>
      <w:r>
        <w:rPr>
          <w:sz w:val="20"/>
        </w:rPr>
        <w:t>opportunity</w:t>
      </w:r>
      <w:r>
        <w:rPr>
          <w:spacing w:val="-11"/>
          <w:sz w:val="20"/>
        </w:rPr>
        <w:t> </w:t>
      </w:r>
      <w:r>
        <w:rPr>
          <w:sz w:val="20"/>
        </w:rPr>
        <w:t>for</w:t>
      </w:r>
      <w:r>
        <w:rPr>
          <w:spacing w:val="-11"/>
          <w:sz w:val="20"/>
        </w:rPr>
        <w:t> </w:t>
      </w:r>
      <w:r>
        <w:rPr>
          <w:sz w:val="20"/>
        </w:rPr>
        <w:t>the profession</w:t>
      </w:r>
      <w:r>
        <w:rPr>
          <w:spacing w:val="-7"/>
          <w:sz w:val="20"/>
        </w:rPr>
        <w:t> </w:t>
      </w:r>
      <w:r>
        <w:rPr>
          <w:sz w:val="20"/>
        </w:rPr>
        <w:t>to</w:t>
      </w:r>
      <w:r>
        <w:rPr>
          <w:spacing w:val="-7"/>
          <w:sz w:val="20"/>
        </w:rPr>
        <w:t> </w:t>
      </w:r>
      <w:r>
        <w:rPr>
          <w:sz w:val="20"/>
        </w:rPr>
        <w:t>interact</w:t>
      </w:r>
      <w:r>
        <w:rPr>
          <w:spacing w:val="-7"/>
          <w:sz w:val="20"/>
        </w:rPr>
        <w:t> </w:t>
      </w:r>
      <w:r>
        <w:rPr>
          <w:sz w:val="20"/>
        </w:rPr>
        <w:t>with</w:t>
      </w:r>
      <w:r>
        <w:rPr>
          <w:spacing w:val="-6"/>
          <w:sz w:val="20"/>
        </w:rPr>
        <w:t> </w:t>
      </w:r>
      <w:r>
        <w:rPr>
          <w:sz w:val="20"/>
        </w:rPr>
        <w:t>and</w:t>
      </w:r>
      <w:r>
        <w:rPr>
          <w:spacing w:val="-7"/>
          <w:sz w:val="20"/>
        </w:rPr>
        <w:t> </w:t>
      </w:r>
      <w:r>
        <w:rPr>
          <w:sz w:val="20"/>
        </w:rPr>
        <w:t>ask</w:t>
      </w:r>
      <w:r>
        <w:rPr>
          <w:spacing w:val="-7"/>
          <w:sz w:val="20"/>
        </w:rPr>
        <w:t> </w:t>
      </w:r>
      <w:r>
        <w:rPr>
          <w:sz w:val="20"/>
        </w:rPr>
        <w:t>questions</w:t>
      </w:r>
      <w:r>
        <w:rPr>
          <w:spacing w:val="-6"/>
          <w:sz w:val="20"/>
        </w:rPr>
        <w:t> </w:t>
      </w:r>
      <w:r>
        <w:rPr>
          <w:sz w:val="20"/>
        </w:rPr>
        <w:t>of</w:t>
      </w:r>
      <w:r>
        <w:rPr>
          <w:spacing w:val="-7"/>
          <w:sz w:val="20"/>
        </w:rPr>
        <w:t> </w:t>
      </w:r>
      <w:r>
        <w:rPr>
          <w:sz w:val="20"/>
        </w:rPr>
        <w:t>people</w:t>
      </w:r>
      <w:r>
        <w:rPr>
          <w:spacing w:val="-7"/>
          <w:sz w:val="20"/>
        </w:rPr>
        <w:t> </w:t>
      </w:r>
      <w:r>
        <w:rPr>
          <w:sz w:val="20"/>
        </w:rPr>
        <w:t>with</w:t>
      </w:r>
      <w:r>
        <w:rPr>
          <w:spacing w:val="-7"/>
          <w:sz w:val="20"/>
        </w:rPr>
        <w:t> </w:t>
      </w:r>
      <w:r>
        <w:rPr>
          <w:sz w:val="20"/>
        </w:rPr>
        <w:t>disabilities</w:t>
      </w:r>
    </w:p>
    <w:p>
      <w:pPr>
        <w:pStyle w:val="ListParagraph"/>
        <w:numPr>
          <w:ilvl w:val="2"/>
          <w:numId w:val="12"/>
        </w:numPr>
        <w:tabs>
          <w:tab w:pos="2157" w:val="left" w:leader="none"/>
          <w:tab w:pos="2158" w:val="left" w:leader="none"/>
        </w:tabs>
        <w:spacing w:line="206" w:lineRule="auto" w:before="88" w:after="0"/>
        <w:ind w:left="2157" w:right="2151" w:hanging="396"/>
        <w:jc w:val="left"/>
        <w:rPr>
          <w:sz w:val="20"/>
        </w:rPr>
      </w:pPr>
      <w:r>
        <w:rPr>
          <w:spacing w:val="-4"/>
          <w:sz w:val="20"/>
        </w:rPr>
        <w:t>have</w:t>
      </w:r>
      <w:r>
        <w:rPr>
          <w:spacing w:val="-7"/>
          <w:sz w:val="20"/>
        </w:rPr>
        <w:t> </w:t>
      </w:r>
      <w:r>
        <w:rPr>
          <w:sz w:val="20"/>
        </w:rPr>
        <w:t>a</w:t>
      </w:r>
      <w:r>
        <w:rPr>
          <w:spacing w:val="-6"/>
          <w:sz w:val="20"/>
        </w:rPr>
        <w:t> </w:t>
      </w:r>
      <w:r>
        <w:rPr>
          <w:sz w:val="20"/>
        </w:rPr>
        <w:t>practical</w:t>
      </w:r>
      <w:r>
        <w:rPr>
          <w:spacing w:val="-7"/>
          <w:sz w:val="20"/>
        </w:rPr>
        <w:t> </w:t>
      </w:r>
      <w:r>
        <w:rPr>
          <w:sz w:val="20"/>
        </w:rPr>
        <w:t>focus</w:t>
      </w:r>
      <w:r>
        <w:rPr>
          <w:spacing w:val="-6"/>
          <w:sz w:val="20"/>
        </w:rPr>
        <w:t> </w:t>
      </w:r>
      <w:r>
        <w:rPr>
          <w:sz w:val="20"/>
        </w:rPr>
        <w:t>and</w:t>
      </w:r>
      <w:r>
        <w:rPr>
          <w:spacing w:val="-7"/>
          <w:sz w:val="20"/>
        </w:rPr>
        <w:t> </w:t>
      </w:r>
      <w:r>
        <w:rPr>
          <w:spacing w:val="-3"/>
          <w:sz w:val="20"/>
        </w:rPr>
        <w:t>provide</w:t>
      </w:r>
      <w:r>
        <w:rPr>
          <w:spacing w:val="-6"/>
          <w:sz w:val="20"/>
        </w:rPr>
        <w:t> </w:t>
      </w:r>
      <w:r>
        <w:rPr>
          <w:sz w:val="20"/>
        </w:rPr>
        <w:t>an</w:t>
      </w:r>
      <w:r>
        <w:rPr>
          <w:spacing w:val="-6"/>
          <w:sz w:val="20"/>
        </w:rPr>
        <w:t> </w:t>
      </w:r>
      <w:r>
        <w:rPr>
          <w:spacing w:val="-3"/>
          <w:sz w:val="20"/>
        </w:rPr>
        <w:t>overview</w:t>
      </w:r>
      <w:r>
        <w:rPr>
          <w:spacing w:val="-7"/>
          <w:sz w:val="20"/>
        </w:rPr>
        <w:t> </w:t>
      </w:r>
      <w:r>
        <w:rPr>
          <w:sz w:val="20"/>
        </w:rPr>
        <w:t>of</w:t>
      </w:r>
      <w:r>
        <w:rPr>
          <w:spacing w:val="-6"/>
          <w:sz w:val="20"/>
        </w:rPr>
        <w:t> </w:t>
      </w:r>
      <w:r>
        <w:rPr>
          <w:spacing w:val="-4"/>
          <w:sz w:val="20"/>
        </w:rPr>
        <w:t>key</w:t>
      </w:r>
      <w:r>
        <w:rPr>
          <w:spacing w:val="-7"/>
          <w:sz w:val="20"/>
        </w:rPr>
        <w:t> </w:t>
      </w:r>
      <w:r>
        <w:rPr>
          <w:sz w:val="20"/>
        </w:rPr>
        <w:t>adjustments</w:t>
      </w:r>
      <w:r>
        <w:rPr>
          <w:spacing w:val="-6"/>
          <w:sz w:val="20"/>
        </w:rPr>
        <w:t> </w:t>
      </w:r>
      <w:r>
        <w:rPr>
          <w:sz w:val="20"/>
        </w:rPr>
        <w:t>and</w:t>
      </w:r>
      <w:r>
        <w:rPr>
          <w:spacing w:val="-6"/>
          <w:sz w:val="20"/>
        </w:rPr>
        <w:t> </w:t>
      </w:r>
      <w:r>
        <w:rPr>
          <w:sz w:val="20"/>
        </w:rPr>
        <w:t>a demonstration of </w:t>
      </w:r>
      <w:r>
        <w:rPr>
          <w:spacing w:val="-3"/>
          <w:sz w:val="20"/>
        </w:rPr>
        <w:t>how </w:t>
      </w:r>
      <w:r>
        <w:rPr>
          <w:sz w:val="20"/>
        </w:rPr>
        <w:t>they </w:t>
      </w:r>
      <w:r>
        <w:rPr>
          <w:spacing w:val="-3"/>
          <w:sz w:val="20"/>
        </w:rPr>
        <w:t>work </w:t>
      </w:r>
      <w:r>
        <w:rPr>
          <w:sz w:val="20"/>
        </w:rPr>
        <w:t>in</w:t>
      </w:r>
      <w:r>
        <w:rPr>
          <w:spacing w:val="-22"/>
          <w:sz w:val="20"/>
        </w:rPr>
        <w:t> </w:t>
      </w:r>
      <w:r>
        <w:rPr>
          <w:sz w:val="20"/>
        </w:rPr>
        <w:t>practice</w:t>
      </w:r>
    </w:p>
    <w:p>
      <w:pPr>
        <w:pStyle w:val="ListParagraph"/>
        <w:numPr>
          <w:ilvl w:val="2"/>
          <w:numId w:val="12"/>
        </w:numPr>
        <w:tabs>
          <w:tab w:pos="2157" w:val="left" w:leader="none"/>
          <w:tab w:pos="2158" w:val="left" w:leader="none"/>
        </w:tabs>
        <w:spacing w:line="206" w:lineRule="auto" w:before="88" w:after="0"/>
        <w:ind w:left="2157" w:right="1607" w:hanging="396"/>
        <w:jc w:val="left"/>
        <w:rPr>
          <w:sz w:val="20"/>
        </w:rPr>
      </w:pPr>
      <w:r>
        <w:rPr>
          <w:sz w:val="20"/>
        </w:rPr>
        <w:t>discuss</w:t>
      </w:r>
      <w:r>
        <w:rPr>
          <w:spacing w:val="-13"/>
          <w:sz w:val="20"/>
        </w:rPr>
        <w:t> </w:t>
      </w:r>
      <w:r>
        <w:rPr>
          <w:sz w:val="20"/>
        </w:rPr>
        <w:t>potential</w:t>
      </w:r>
      <w:r>
        <w:rPr>
          <w:spacing w:val="-13"/>
          <w:sz w:val="20"/>
        </w:rPr>
        <w:t> </w:t>
      </w:r>
      <w:r>
        <w:rPr>
          <w:sz w:val="20"/>
        </w:rPr>
        <w:t>challenges</w:t>
      </w:r>
      <w:r>
        <w:rPr>
          <w:spacing w:val="-13"/>
          <w:sz w:val="20"/>
        </w:rPr>
        <w:t> </w:t>
      </w:r>
      <w:r>
        <w:rPr>
          <w:sz w:val="20"/>
        </w:rPr>
        <w:t>for</w:t>
      </w:r>
      <w:r>
        <w:rPr>
          <w:spacing w:val="-12"/>
          <w:sz w:val="20"/>
        </w:rPr>
        <w:t> </w:t>
      </w:r>
      <w:r>
        <w:rPr>
          <w:sz w:val="20"/>
        </w:rPr>
        <w:t>the</w:t>
      </w:r>
      <w:r>
        <w:rPr>
          <w:spacing w:val="-13"/>
          <w:sz w:val="20"/>
        </w:rPr>
        <w:t> </w:t>
      </w:r>
      <w:r>
        <w:rPr>
          <w:sz w:val="20"/>
        </w:rPr>
        <w:t>prospective</w:t>
      </w:r>
      <w:r>
        <w:rPr>
          <w:spacing w:val="-13"/>
          <w:sz w:val="20"/>
        </w:rPr>
        <w:t> </w:t>
      </w:r>
      <w:r>
        <w:rPr>
          <w:sz w:val="20"/>
        </w:rPr>
        <w:t>juror</w:t>
      </w:r>
      <w:r>
        <w:rPr>
          <w:spacing w:val="-13"/>
          <w:sz w:val="20"/>
        </w:rPr>
        <w:t> </w:t>
      </w:r>
      <w:r>
        <w:rPr>
          <w:sz w:val="20"/>
        </w:rPr>
        <w:t>or</w:t>
      </w:r>
      <w:r>
        <w:rPr>
          <w:spacing w:val="-12"/>
          <w:sz w:val="20"/>
        </w:rPr>
        <w:t> </w:t>
      </w:r>
      <w:r>
        <w:rPr>
          <w:sz w:val="20"/>
        </w:rPr>
        <w:t>the</w:t>
      </w:r>
      <w:r>
        <w:rPr>
          <w:spacing w:val="-13"/>
          <w:sz w:val="20"/>
        </w:rPr>
        <w:t> </w:t>
      </w:r>
      <w:r>
        <w:rPr>
          <w:sz w:val="20"/>
        </w:rPr>
        <w:t>court,</w:t>
      </w:r>
      <w:r>
        <w:rPr>
          <w:spacing w:val="-13"/>
          <w:sz w:val="20"/>
        </w:rPr>
        <w:t> </w:t>
      </w:r>
      <w:r>
        <w:rPr>
          <w:sz w:val="20"/>
        </w:rPr>
        <w:t>for</w:t>
      </w:r>
      <w:r>
        <w:rPr>
          <w:spacing w:val="-13"/>
          <w:sz w:val="20"/>
        </w:rPr>
        <w:t> </w:t>
      </w:r>
      <w:r>
        <w:rPr>
          <w:spacing w:val="-3"/>
          <w:sz w:val="20"/>
        </w:rPr>
        <w:t>example, </w:t>
      </w:r>
      <w:r>
        <w:rPr>
          <w:sz w:val="20"/>
        </w:rPr>
        <w:t>line-of-sight requirements for Auslan</w:t>
      </w:r>
      <w:r>
        <w:rPr>
          <w:spacing w:val="-19"/>
          <w:sz w:val="20"/>
        </w:rPr>
        <w:t> </w:t>
      </w:r>
      <w:r>
        <w:rPr>
          <w:spacing w:val="-3"/>
          <w:sz w:val="20"/>
        </w:rPr>
        <w:t>interpreters.</w:t>
      </w:r>
    </w:p>
    <w:p>
      <w:pPr>
        <w:pStyle w:val="Heading6"/>
        <w:spacing w:before="92"/>
        <w:rPr>
          <w:b/>
        </w:rPr>
      </w:pPr>
      <w:r>
        <w:rPr>
          <w:b/>
        </w:rPr>
        <w:t>Involving people with disabilities</w:t>
      </w:r>
    </w:p>
    <w:p>
      <w:pPr>
        <w:pStyle w:val="ListParagraph"/>
        <w:numPr>
          <w:ilvl w:val="1"/>
          <w:numId w:val="12"/>
        </w:numPr>
        <w:tabs>
          <w:tab w:pos="1761" w:val="left" w:leader="none"/>
          <w:tab w:pos="1762" w:val="left" w:leader="none"/>
        </w:tabs>
        <w:spacing w:line="206" w:lineRule="auto" w:before="131" w:after="0"/>
        <w:ind w:left="1761" w:right="1256" w:hanging="794"/>
        <w:jc w:val="left"/>
        <w:rPr>
          <w:sz w:val="11"/>
        </w:rPr>
      </w:pPr>
      <w:r>
        <w:rPr>
          <w:sz w:val="20"/>
        </w:rPr>
        <w:t>Disability </w:t>
      </w:r>
      <w:r>
        <w:rPr>
          <w:spacing w:val="-3"/>
          <w:sz w:val="20"/>
        </w:rPr>
        <w:t>awareness </w:t>
      </w:r>
      <w:r>
        <w:rPr>
          <w:sz w:val="20"/>
        </w:rPr>
        <w:t>training should be </w:t>
      </w:r>
      <w:r>
        <w:rPr>
          <w:spacing w:val="-3"/>
          <w:sz w:val="20"/>
        </w:rPr>
        <w:t>prepared </w:t>
      </w:r>
      <w:r>
        <w:rPr>
          <w:sz w:val="20"/>
        </w:rPr>
        <w:t>and </w:t>
      </w:r>
      <w:r>
        <w:rPr>
          <w:spacing w:val="-2"/>
          <w:sz w:val="20"/>
        </w:rPr>
        <w:t>delivered </w:t>
      </w:r>
      <w:r>
        <w:rPr>
          <w:sz w:val="20"/>
        </w:rPr>
        <w:t>in partnership with disability</w:t>
      </w:r>
      <w:r>
        <w:rPr>
          <w:spacing w:val="-13"/>
          <w:sz w:val="20"/>
        </w:rPr>
        <w:t> </w:t>
      </w:r>
      <w:r>
        <w:rPr>
          <w:sz w:val="20"/>
        </w:rPr>
        <w:t>advocacy</w:t>
      </w:r>
      <w:r>
        <w:rPr>
          <w:spacing w:val="-12"/>
          <w:sz w:val="20"/>
        </w:rPr>
        <w:t> </w:t>
      </w:r>
      <w:r>
        <w:rPr>
          <w:sz w:val="20"/>
        </w:rPr>
        <w:t>organisations.</w:t>
      </w:r>
      <w:r>
        <w:rPr>
          <w:spacing w:val="-13"/>
          <w:sz w:val="20"/>
        </w:rPr>
        <w:t> </w:t>
      </w:r>
      <w:r>
        <w:rPr>
          <w:sz w:val="20"/>
        </w:rPr>
        <w:t>It</w:t>
      </w:r>
      <w:r>
        <w:rPr>
          <w:spacing w:val="-12"/>
          <w:sz w:val="20"/>
        </w:rPr>
        <w:t> </w:t>
      </w:r>
      <w:r>
        <w:rPr>
          <w:sz w:val="20"/>
        </w:rPr>
        <w:t>should</w:t>
      </w:r>
      <w:r>
        <w:rPr>
          <w:spacing w:val="-13"/>
          <w:sz w:val="20"/>
        </w:rPr>
        <w:t> </w:t>
      </w:r>
      <w:r>
        <w:rPr>
          <w:sz w:val="20"/>
        </w:rPr>
        <w:t>occur</w:t>
      </w:r>
      <w:r>
        <w:rPr>
          <w:spacing w:val="-12"/>
          <w:sz w:val="20"/>
        </w:rPr>
        <w:t> </w:t>
      </w:r>
      <w:r>
        <w:rPr>
          <w:sz w:val="20"/>
        </w:rPr>
        <w:t>on</w:t>
      </w:r>
      <w:r>
        <w:rPr>
          <w:spacing w:val="-13"/>
          <w:sz w:val="20"/>
        </w:rPr>
        <w:t> </w:t>
      </w:r>
      <w:r>
        <w:rPr>
          <w:sz w:val="20"/>
        </w:rPr>
        <w:t>a</w:t>
      </w:r>
      <w:r>
        <w:rPr>
          <w:spacing w:val="-12"/>
          <w:sz w:val="20"/>
        </w:rPr>
        <w:t> </w:t>
      </w:r>
      <w:r>
        <w:rPr>
          <w:sz w:val="20"/>
        </w:rPr>
        <w:t>regular</w:t>
      </w:r>
      <w:r>
        <w:rPr>
          <w:spacing w:val="-13"/>
          <w:sz w:val="20"/>
        </w:rPr>
        <w:t> </w:t>
      </w:r>
      <w:r>
        <w:rPr>
          <w:sz w:val="20"/>
        </w:rPr>
        <w:t>basis,</w:t>
      </w:r>
      <w:r>
        <w:rPr>
          <w:spacing w:val="-12"/>
          <w:sz w:val="20"/>
        </w:rPr>
        <w:t> </w:t>
      </w:r>
      <w:r>
        <w:rPr>
          <w:sz w:val="20"/>
        </w:rPr>
        <w:t>perhaps</w:t>
      </w:r>
      <w:r>
        <w:rPr>
          <w:spacing w:val="-13"/>
          <w:sz w:val="20"/>
        </w:rPr>
        <w:t> </w:t>
      </w:r>
      <w:r>
        <w:rPr>
          <w:sz w:val="20"/>
        </w:rPr>
        <w:t>every</w:t>
      </w:r>
      <w:r>
        <w:rPr>
          <w:spacing w:val="-12"/>
          <w:sz w:val="20"/>
        </w:rPr>
        <w:t> </w:t>
      </w:r>
      <w:r>
        <w:rPr>
          <w:sz w:val="20"/>
        </w:rPr>
        <w:t>two years.</w:t>
      </w:r>
      <w:r>
        <w:rPr>
          <w:spacing w:val="-9"/>
          <w:sz w:val="20"/>
        </w:rPr>
        <w:t> </w:t>
      </w:r>
      <w:r>
        <w:rPr>
          <w:spacing w:val="-3"/>
          <w:sz w:val="20"/>
        </w:rPr>
        <w:t>YDAS</w:t>
      </w:r>
      <w:r>
        <w:rPr>
          <w:spacing w:val="-9"/>
          <w:sz w:val="20"/>
        </w:rPr>
        <w:t> </w:t>
      </w:r>
      <w:r>
        <w:rPr>
          <w:sz w:val="20"/>
        </w:rPr>
        <w:t>suggested</w:t>
      </w:r>
      <w:r>
        <w:rPr>
          <w:spacing w:val="-9"/>
          <w:sz w:val="20"/>
        </w:rPr>
        <w:t> </w:t>
      </w:r>
      <w:r>
        <w:rPr>
          <w:sz w:val="20"/>
        </w:rPr>
        <w:t>that</w:t>
      </w:r>
      <w:r>
        <w:rPr>
          <w:spacing w:val="-9"/>
          <w:sz w:val="20"/>
        </w:rPr>
        <w:t> </w:t>
      </w:r>
      <w:r>
        <w:rPr>
          <w:sz w:val="20"/>
        </w:rPr>
        <w:t>young</w:t>
      </w:r>
      <w:r>
        <w:rPr>
          <w:spacing w:val="-9"/>
          <w:sz w:val="20"/>
        </w:rPr>
        <w:t> </w:t>
      </w:r>
      <w:r>
        <w:rPr>
          <w:sz w:val="20"/>
        </w:rPr>
        <w:t>people</w:t>
      </w:r>
      <w:r>
        <w:rPr>
          <w:spacing w:val="-9"/>
          <w:sz w:val="20"/>
        </w:rPr>
        <w:t> </w:t>
      </w:r>
      <w:r>
        <w:rPr>
          <w:sz w:val="20"/>
        </w:rPr>
        <w:t>should</w:t>
      </w:r>
      <w:r>
        <w:rPr>
          <w:spacing w:val="-9"/>
          <w:sz w:val="20"/>
        </w:rPr>
        <w:t> </w:t>
      </w:r>
      <w:r>
        <w:rPr>
          <w:sz w:val="20"/>
        </w:rPr>
        <w:t>also</w:t>
      </w:r>
      <w:r>
        <w:rPr>
          <w:spacing w:val="-9"/>
          <w:sz w:val="20"/>
        </w:rPr>
        <w:t> </w:t>
      </w:r>
      <w:r>
        <w:rPr>
          <w:sz w:val="20"/>
        </w:rPr>
        <w:t>be</w:t>
      </w:r>
      <w:r>
        <w:rPr>
          <w:spacing w:val="-9"/>
          <w:sz w:val="20"/>
        </w:rPr>
        <w:t> </w:t>
      </w:r>
      <w:r>
        <w:rPr>
          <w:spacing w:val="-4"/>
          <w:sz w:val="20"/>
        </w:rPr>
        <w:t>involved</w:t>
      </w:r>
      <w:r>
        <w:rPr>
          <w:spacing w:val="-9"/>
          <w:sz w:val="20"/>
        </w:rPr>
        <w:t> </w:t>
      </w:r>
      <w:r>
        <w:rPr>
          <w:sz w:val="20"/>
        </w:rPr>
        <w:t>in</w:t>
      </w:r>
      <w:r>
        <w:rPr>
          <w:spacing w:val="-9"/>
          <w:sz w:val="20"/>
        </w:rPr>
        <w:t> </w:t>
      </w:r>
      <w:r>
        <w:rPr>
          <w:sz w:val="20"/>
        </w:rPr>
        <w:t>the</w:t>
      </w:r>
      <w:r>
        <w:rPr>
          <w:spacing w:val="-9"/>
          <w:sz w:val="20"/>
        </w:rPr>
        <w:t> </w:t>
      </w:r>
      <w:r>
        <w:rPr>
          <w:sz w:val="20"/>
        </w:rPr>
        <w:t>design</w:t>
      </w:r>
      <w:r>
        <w:rPr>
          <w:spacing w:val="-9"/>
          <w:sz w:val="20"/>
        </w:rPr>
        <w:t> </w:t>
      </w:r>
      <w:r>
        <w:rPr>
          <w:sz w:val="20"/>
        </w:rPr>
        <w:t>of</w:t>
      </w:r>
      <w:r>
        <w:rPr>
          <w:spacing w:val="-9"/>
          <w:sz w:val="20"/>
        </w:rPr>
        <w:t> </w:t>
      </w:r>
      <w:r>
        <w:rPr>
          <w:sz w:val="20"/>
        </w:rPr>
        <w:t>this training.</w:t>
      </w:r>
      <w:r>
        <w:rPr>
          <w:position w:val="7"/>
          <w:sz w:val="11"/>
        </w:rPr>
        <w:t>30</w:t>
      </w:r>
    </w:p>
    <w:p>
      <w:pPr>
        <w:pStyle w:val="BodyText"/>
        <w:spacing w:before="8"/>
        <w:rPr>
          <w:sz w:val="19"/>
        </w:rPr>
      </w:pPr>
      <w:r>
        <w:rPr/>
        <w:pict>
          <v:group style="position:absolute;margin-left:62.362202pt;margin-top:15.5532pt;width:479.1pt;height:124.65pt;mso-position-horizontal-relative:page;mso-position-vertical-relative:paragraph;z-index:11096;mso-wrap-distance-left:0;mso-wrap-distance-right:0" coordorigin="1247,311" coordsize="9582,2493">
            <v:rect style="position:absolute;left:1587;top:311;width:8731;height:2493" filled="true" fillcolor="#dddfe4" stroked="false">
              <v:fill type="solid"/>
            </v:rect>
            <v:line style="position:absolute" from="1247,1119" to="10828,1119" stroked="true" strokeweight="2.5pt" strokecolor="#ffffff">
              <v:stroke dashstyle="solid"/>
            </v:line>
            <v:shape style="position:absolute;left:2381;top:1344;width:7520;height:1280" type="#_x0000_t202" filled="false" stroked="false">
              <v:textbox inset="0,0,0,0">
                <w:txbxContent>
                  <w:p>
                    <w:pPr>
                      <w:spacing w:line="247" w:lineRule="auto" w:before="0"/>
                      <w:ind w:left="0" w:right="103" w:firstLine="0"/>
                      <w:jc w:val="both"/>
                      <w:rPr>
                        <w:rFonts w:ascii="Trebuchet MS"/>
                        <w:sz w:val="20"/>
                      </w:rPr>
                    </w:pPr>
                    <w:r>
                      <w:rPr>
                        <w:rFonts w:ascii="Trebuchet MS"/>
                        <w:w w:val="116"/>
                        <w:sz w:val="20"/>
                      </w:rPr>
                      <w:t>D</w:t>
                    </w:r>
                    <w:r>
                      <w:rPr>
                        <w:rFonts w:ascii="Trebuchet MS"/>
                        <w:spacing w:val="-1"/>
                        <w:w w:val="80"/>
                        <w:sz w:val="20"/>
                      </w:rPr>
                      <w:t>i</w:t>
                    </w:r>
                    <w:r>
                      <w:rPr>
                        <w:rFonts w:ascii="Trebuchet MS"/>
                        <w:w w:val="122"/>
                        <w:sz w:val="20"/>
                      </w:rPr>
                      <w:t>s</w:t>
                    </w:r>
                    <w:r>
                      <w:rPr>
                        <w:rFonts w:ascii="Trebuchet MS"/>
                        <w:spacing w:val="-2"/>
                        <w:w w:val="105"/>
                        <w:sz w:val="20"/>
                      </w:rPr>
                      <w:t>a</w:t>
                    </w:r>
                    <w:r>
                      <w:rPr>
                        <w:rFonts w:ascii="Trebuchet MS"/>
                        <w:spacing w:val="-1"/>
                        <w:w w:val="111"/>
                        <w:sz w:val="20"/>
                      </w:rPr>
                      <w:t>b</w:t>
                    </w:r>
                    <w:r>
                      <w:rPr>
                        <w:rFonts w:ascii="Trebuchet MS"/>
                        <w:spacing w:val="-2"/>
                        <w:w w:val="80"/>
                        <w:sz w:val="20"/>
                      </w:rPr>
                      <w:t>i</w:t>
                    </w:r>
                    <w:r>
                      <w:rPr>
                        <w:rFonts w:ascii="Trebuchet MS"/>
                        <w:w w:val="96"/>
                        <w:sz w:val="20"/>
                      </w:rPr>
                      <w:t>l</w:t>
                    </w:r>
                    <w:r>
                      <w:rPr>
                        <w:rFonts w:ascii="Trebuchet MS"/>
                        <w:spacing w:val="-3"/>
                        <w:w w:val="80"/>
                        <w:sz w:val="20"/>
                      </w:rPr>
                      <w:t>i</w:t>
                    </w:r>
                    <w:r>
                      <w:rPr>
                        <w:rFonts w:ascii="Trebuchet MS"/>
                        <w:w w:val="88"/>
                        <w:sz w:val="20"/>
                      </w:rPr>
                      <w:t>t</w:t>
                    </w:r>
                    <w:r>
                      <w:rPr>
                        <w:rFonts w:ascii="Trebuchet MS"/>
                        <w:w w:val="110"/>
                        <w:sz w:val="20"/>
                      </w:rPr>
                      <w:t>y</w:t>
                    </w:r>
                    <w:r>
                      <w:rPr>
                        <w:rFonts w:ascii="Trebuchet MS"/>
                        <w:spacing w:val="-14"/>
                        <w:sz w:val="20"/>
                      </w:rPr>
                      <w:t> </w:t>
                    </w:r>
                    <w:r>
                      <w:rPr>
                        <w:rFonts w:ascii="Trebuchet MS"/>
                        <w:spacing w:val="-7"/>
                        <w:w w:val="105"/>
                        <w:sz w:val="20"/>
                      </w:rPr>
                      <w:t>a</w:t>
                    </w:r>
                    <w:r>
                      <w:rPr>
                        <w:rFonts w:ascii="Trebuchet MS"/>
                        <w:spacing w:val="-3"/>
                        <w:w w:val="110"/>
                        <w:sz w:val="20"/>
                      </w:rPr>
                      <w:t>w</w:t>
                    </w:r>
                    <w:r>
                      <w:rPr>
                        <w:rFonts w:ascii="Trebuchet MS"/>
                        <w:spacing w:val="-2"/>
                        <w:w w:val="105"/>
                        <w:sz w:val="20"/>
                      </w:rPr>
                      <w:t>a</w:t>
                    </w:r>
                    <w:r>
                      <w:rPr>
                        <w:rFonts w:ascii="Trebuchet MS"/>
                        <w:spacing w:val="-4"/>
                        <w:w w:val="93"/>
                        <w:sz w:val="20"/>
                      </w:rPr>
                      <w:t>r</w:t>
                    </w:r>
                    <w:r>
                      <w:rPr>
                        <w:rFonts w:ascii="Trebuchet MS"/>
                        <w:spacing w:val="-1"/>
                        <w:w w:val="108"/>
                        <w:sz w:val="20"/>
                      </w:rPr>
                      <w:t>e</w:t>
                    </w:r>
                    <w:r>
                      <w:rPr>
                        <w:rFonts w:ascii="Trebuchet MS"/>
                        <w:spacing w:val="-1"/>
                        <w:w w:val="107"/>
                        <w:sz w:val="20"/>
                      </w:rPr>
                      <w:t>n</w:t>
                    </w:r>
                    <w:r>
                      <w:rPr>
                        <w:rFonts w:ascii="Trebuchet MS"/>
                        <w:spacing w:val="-2"/>
                        <w:w w:val="108"/>
                        <w:sz w:val="20"/>
                      </w:rPr>
                      <w:t>e</w:t>
                    </w:r>
                    <w:r>
                      <w:rPr>
                        <w:rFonts w:ascii="Trebuchet MS"/>
                        <w:spacing w:val="-1"/>
                        <w:w w:val="122"/>
                        <w:sz w:val="20"/>
                      </w:rPr>
                      <w:t>s</w:t>
                    </w:r>
                    <w:r>
                      <w:rPr>
                        <w:rFonts w:ascii="Trebuchet MS"/>
                        <w:w w:val="122"/>
                        <w:sz w:val="20"/>
                      </w:rPr>
                      <w:t>s</w:t>
                    </w:r>
                    <w:r>
                      <w:rPr>
                        <w:rFonts w:ascii="Trebuchet MS"/>
                        <w:spacing w:val="-14"/>
                        <w:sz w:val="20"/>
                      </w:rPr>
                      <w:t> </w:t>
                    </w:r>
                    <w:r>
                      <w:rPr>
                        <w:rFonts w:ascii="Trebuchet MS"/>
                        <w:spacing w:val="-2"/>
                        <w:w w:val="88"/>
                        <w:sz w:val="20"/>
                      </w:rPr>
                      <w:t>t</w:t>
                    </w:r>
                    <w:r>
                      <w:rPr>
                        <w:rFonts w:ascii="Trebuchet MS"/>
                        <w:spacing w:val="-2"/>
                        <w:w w:val="93"/>
                        <w:sz w:val="20"/>
                      </w:rPr>
                      <w:t>r</w:t>
                    </w:r>
                    <w:r>
                      <w:rPr>
                        <w:rFonts w:ascii="Trebuchet MS"/>
                        <w:spacing w:val="-2"/>
                        <w:w w:val="105"/>
                        <w:sz w:val="20"/>
                      </w:rPr>
                      <w:t>a</w:t>
                    </w:r>
                    <w:r>
                      <w:rPr>
                        <w:rFonts w:ascii="Trebuchet MS"/>
                        <w:spacing w:val="-2"/>
                        <w:w w:val="80"/>
                        <w:sz w:val="20"/>
                      </w:rPr>
                      <w:t>i</w:t>
                    </w:r>
                    <w:r>
                      <w:rPr>
                        <w:rFonts w:ascii="Trebuchet MS"/>
                        <w:spacing w:val="-2"/>
                        <w:w w:val="107"/>
                        <w:sz w:val="20"/>
                      </w:rPr>
                      <w:t>n</w:t>
                    </w:r>
                    <w:r>
                      <w:rPr>
                        <w:rFonts w:ascii="Trebuchet MS"/>
                        <w:spacing w:val="-2"/>
                        <w:w w:val="80"/>
                        <w:sz w:val="20"/>
                      </w:rPr>
                      <w:t>i</w:t>
                    </w:r>
                    <w:r>
                      <w:rPr>
                        <w:rFonts w:ascii="Trebuchet MS"/>
                        <w:spacing w:val="-1"/>
                        <w:w w:val="107"/>
                        <w:sz w:val="20"/>
                      </w:rPr>
                      <w:t>n</w:t>
                    </w:r>
                    <w:r>
                      <w:rPr>
                        <w:rFonts w:ascii="Trebuchet MS"/>
                        <w:w w:val="124"/>
                        <w:sz w:val="20"/>
                      </w:rPr>
                      <w:t>g</w:t>
                    </w:r>
                    <w:r>
                      <w:rPr>
                        <w:rFonts w:ascii="Trebuchet MS"/>
                        <w:spacing w:val="-14"/>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1"/>
                        <w:w w:val="111"/>
                        <w:sz w:val="20"/>
                      </w:rPr>
                      <w:t>b</w:t>
                    </w:r>
                    <w:r>
                      <w:rPr>
                        <w:rFonts w:ascii="Trebuchet MS"/>
                        <w:w w:val="108"/>
                        <w:sz w:val="20"/>
                      </w:rPr>
                      <w:t>e</w:t>
                    </w:r>
                    <w:r>
                      <w:rPr>
                        <w:rFonts w:ascii="Trebuchet MS"/>
                        <w:spacing w:val="-14"/>
                        <w:sz w:val="20"/>
                      </w:rPr>
                      <w:t> </w:t>
                    </w:r>
                    <w:r>
                      <w:rPr>
                        <w:rFonts w:ascii="Trebuchet MS"/>
                        <w:spacing w:val="-4"/>
                        <w:w w:val="93"/>
                        <w:sz w:val="20"/>
                      </w:rPr>
                      <w:t>r</w:t>
                    </w:r>
                    <w:r>
                      <w:rPr>
                        <w:rFonts w:ascii="Trebuchet MS"/>
                        <w:w w:val="108"/>
                        <w:sz w:val="20"/>
                      </w:rPr>
                      <w:t>e</w:t>
                    </w:r>
                    <w:r>
                      <w:rPr>
                        <w:rFonts w:ascii="Trebuchet MS"/>
                        <w:spacing w:val="-2"/>
                        <w:w w:val="111"/>
                        <w:sz w:val="20"/>
                      </w:rPr>
                      <w:t>q</w:t>
                    </w:r>
                    <w:r>
                      <w:rPr>
                        <w:rFonts w:ascii="Trebuchet MS"/>
                        <w:spacing w:val="-1"/>
                        <w:w w:val="109"/>
                        <w:sz w:val="20"/>
                      </w:rPr>
                      <w:t>u</w:t>
                    </w:r>
                    <w:r>
                      <w:rPr>
                        <w:rFonts w:ascii="Trebuchet MS"/>
                        <w:spacing w:val="-2"/>
                        <w:w w:val="80"/>
                        <w:sz w:val="20"/>
                      </w:rPr>
                      <w:t>i</w:t>
                    </w:r>
                    <w:r>
                      <w:rPr>
                        <w:rFonts w:ascii="Trebuchet MS"/>
                        <w:spacing w:val="-4"/>
                        <w:w w:val="93"/>
                        <w:sz w:val="20"/>
                      </w:rPr>
                      <w:t>r</w:t>
                    </w:r>
                    <w:r>
                      <w:rPr>
                        <w:rFonts w:ascii="Trebuchet MS"/>
                        <w:w w:val="108"/>
                        <w:sz w:val="20"/>
                      </w:rPr>
                      <w:t>e</w:t>
                    </w:r>
                    <w:r>
                      <w:rPr>
                        <w:rFonts w:ascii="Trebuchet MS"/>
                        <w:w w:val="112"/>
                        <w:sz w:val="20"/>
                      </w:rPr>
                      <w:t>d</w:t>
                    </w:r>
                    <w:r>
                      <w:rPr>
                        <w:rFonts w:ascii="Trebuchet MS"/>
                        <w:spacing w:val="-14"/>
                        <w:sz w:val="20"/>
                      </w:rPr>
                      <w:t> </w:t>
                    </w:r>
                    <w:r>
                      <w:rPr>
                        <w:rFonts w:ascii="Trebuchet MS"/>
                        <w:spacing w:val="-5"/>
                        <w:w w:val="92"/>
                        <w:sz w:val="20"/>
                      </w:rPr>
                      <w:t>f</w:t>
                    </w:r>
                    <w:r>
                      <w:rPr>
                        <w:rFonts w:ascii="Trebuchet MS"/>
                        <w:spacing w:val="-1"/>
                        <w:w w:val="111"/>
                        <w:sz w:val="20"/>
                      </w:rPr>
                      <w:t>o</w:t>
                    </w:r>
                    <w:r>
                      <w:rPr>
                        <w:rFonts w:ascii="Trebuchet MS"/>
                        <w:w w:val="93"/>
                        <w:sz w:val="20"/>
                      </w:rPr>
                      <w:t>r</w:t>
                    </w:r>
                    <w:r>
                      <w:rPr>
                        <w:rFonts w:ascii="Trebuchet MS"/>
                        <w:spacing w:val="-14"/>
                        <w:sz w:val="20"/>
                      </w:rPr>
                      <w:t> </w:t>
                    </w:r>
                    <w:r>
                      <w:rPr>
                        <w:rFonts w:ascii="Trebuchet MS"/>
                        <w:spacing w:val="-2"/>
                        <w:w w:val="64"/>
                        <w:sz w:val="20"/>
                      </w:rPr>
                      <w:t>j</w:t>
                    </w:r>
                    <w:r>
                      <w:rPr>
                        <w:rFonts w:ascii="Trebuchet MS"/>
                        <w:spacing w:val="-2"/>
                        <w:w w:val="109"/>
                        <w:sz w:val="20"/>
                      </w:rPr>
                      <w:t>u</w:t>
                    </w:r>
                    <w:r>
                      <w:rPr>
                        <w:rFonts w:ascii="Trebuchet MS"/>
                        <w:spacing w:val="-1"/>
                        <w:w w:val="112"/>
                        <w:sz w:val="20"/>
                      </w:rPr>
                      <w:t>d</w:t>
                    </w:r>
                    <w:r>
                      <w:rPr>
                        <w:rFonts w:ascii="Trebuchet MS"/>
                        <w:spacing w:val="-1"/>
                        <w:w w:val="80"/>
                        <w:sz w:val="20"/>
                      </w:rPr>
                      <w:t>i</w:t>
                    </w:r>
                    <w:r>
                      <w:rPr>
                        <w:rFonts w:ascii="Trebuchet MS"/>
                        <w:spacing w:val="-2"/>
                        <w:w w:val="111"/>
                        <w:sz w:val="20"/>
                      </w:rPr>
                      <w:t>c</w:t>
                    </w:r>
                    <w:r>
                      <w:rPr>
                        <w:rFonts w:ascii="Trebuchet MS"/>
                        <w:spacing w:val="-1"/>
                        <w:w w:val="80"/>
                        <w:sz w:val="20"/>
                      </w:rPr>
                      <w:t>i</w:t>
                    </w:r>
                    <w:r>
                      <w:rPr>
                        <w:rFonts w:ascii="Trebuchet MS"/>
                        <w:spacing w:val="-2"/>
                        <w:w w:val="105"/>
                        <w:sz w:val="20"/>
                      </w:rPr>
                      <w:t>a</w:t>
                    </w:r>
                    <w:r>
                      <w:rPr>
                        <w:rFonts w:ascii="Trebuchet MS"/>
                        <w:spacing w:val="3"/>
                        <w:w w:val="93"/>
                        <w:sz w:val="20"/>
                      </w:rPr>
                      <w:t>r</w:t>
                    </w:r>
                    <w:r>
                      <w:rPr>
                        <w:rFonts w:ascii="Trebuchet MS"/>
                        <w:spacing w:val="-13"/>
                        <w:w w:val="110"/>
                        <w:sz w:val="20"/>
                      </w:rPr>
                      <w:t>y</w:t>
                    </w:r>
                    <w:r>
                      <w:rPr>
                        <w:rFonts w:ascii="Trebuchet MS"/>
                        <w:w w:val="57"/>
                        <w:sz w:val="20"/>
                      </w:rPr>
                      <w:t>,</w:t>
                    </w:r>
                    <w:r>
                      <w:rPr>
                        <w:rFonts w:ascii="Trebuchet MS"/>
                        <w:spacing w:val="-14"/>
                        <w:sz w:val="20"/>
                      </w:rPr>
                      <w:t> </w:t>
                    </w:r>
                    <w:r>
                      <w:rPr>
                        <w:rFonts w:ascii="Trebuchet MS"/>
                        <w:spacing w:val="-1"/>
                        <w:w w:val="101"/>
                        <w:sz w:val="20"/>
                      </w:rPr>
                      <w:t>J</w:t>
                    </w:r>
                    <w:r>
                      <w:rPr>
                        <w:rFonts w:ascii="Trebuchet MS"/>
                        <w:spacing w:val="-1"/>
                        <w:w w:val="109"/>
                        <w:sz w:val="20"/>
                      </w:rPr>
                      <w:t>u</w:t>
                    </w:r>
                    <w:r>
                      <w:rPr>
                        <w:rFonts w:ascii="Trebuchet MS"/>
                        <w:spacing w:val="-2"/>
                        <w:w w:val="93"/>
                        <w:sz w:val="20"/>
                      </w:rPr>
                      <w:t>r</w:t>
                    </w:r>
                    <w:r>
                      <w:rPr>
                        <w:rFonts w:ascii="Trebuchet MS"/>
                        <w:spacing w:val="-1"/>
                        <w:w w:val="80"/>
                        <w:sz w:val="20"/>
                      </w:rPr>
                      <w:t>i</w:t>
                    </w:r>
                    <w:r>
                      <w:rPr>
                        <w:rFonts w:ascii="Trebuchet MS"/>
                        <w:spacing w:val="-2"/>
                        <w:w w:val="108"/>
                        <w:sz w:val="20"/>
                      </w:rPr>
                      <w:t>e</w:t>
                    </w:r>
                    <w:r>
                      <w:rPr>
                        <w:rFonts w:ascii="Trebuchet MS"/>
                        <w:w w:val="122"/>
                        <w:sz w:val="20"/>
                      </w:rPr>
                      <w:t>s</w:t>
                    </w:r>
                    <w:r>
                      <w:rPr>
                        <w:rFonts w:ascii="Trebuchet MS"/>
                        <w:spacing w:val="-14"/>
                        <w:sz w:val="20"/>
                      </w:rPr>
                      <w:t> </w:t>
                    </w:r>
                    <w:r>
                      <w:rPr>
                        <w:rFonts w:ascii="Trebuchet MS"/>
                        <w:spacing w:val="-1"/>
                        <w:w w:val="115"/>
                        <w:sz w:val="20"/>
                      </w:rPr>
                      <w:t>V</w:t>
                    </w:r>
                    <w:r>
                      <w:rPr>
                        <w:rFonts w:ascii="Trebuchet MS"/>
                        <w:spacing w:val="-1"/>
                        <w:w w:val="80"/>
                        <w:sz w:val="20"/>
                      </w:rPr>
                      <w:t>i</w:t>
                    </w:r>
                    <w:r>
                      <w:rPr>
                        <w:rFonts w:ascii="Trebuchet MS"/>
                        <w:spacing w:val="-2"/>
                        <w:w w:val="111"/>
                        <w:sz w:val="20"/>
                      </w:rPr>
                      <w:t>c</w:t>
                    </w:r>
                    <w:r>
                      <w:rPr>
                        <w:rFonts w:ascii="Trebuchet MS"/>
                        <w:spacing w:val="-4"/>
                        <w:w w:val="88"/>
                        <w:sz w:val="20"/>
                      </w:rPr>
                      <w:t>t</w:t>
                    </w:r>
                    <w:r>
                      <w:rPr>
                        <w:rFonts w:ascii="Trebuchet MS"/>
                        <w:spacing w:val="-1"/>
                        <w:w w:val="111"/>
                        <w:sz w:val="20"/>
                      </w:rPr>
                      <w:t>o</w:t>
                    </w:r>
                    <w:r>
                      <w:rPr>
                        <w:rFonts w:ascii="Trebuchet MS"/>
                        <w:spacing w:val="-2"/>
                        <w:w w:val="93"/>
                        <w:sz w:val="20"/>
                      </w:rPr>
                      <w:t>r</w:t>
                    </w:r>
                    <w:r>
                      <w:rPr>
                        <w:rFonts w:ascii="Trebuchet MS"/>
                        <w:spacing w:val="-1"/>
                        <w:w w:val="80"/>
                        <w:sz w:val="20"/>
                      </w:rPr>
                      <w:t>i</w:t>
                    </w:r>
                    <w:r>
                      <w:rPr>
                        <w:rFonts w:ascii="Trebuchet MS"/>
                        <w:w w:val="105"/>
                        <w:sz w:val="20"/>
                      </w:rPr>
                      <w:t>a</w:t>
                    </w:r>
                    <w:r>
                      <w:rPr>
                        <w:rFonts w:ascii="Trebuchet MS"/>
                        <w:spacing w:val="-14"/>
                        <w:sz w:val="20"/>
                      </w:rPr>
                      <w:t> </w:t>
                    </w:r>
                    <w:r>
                      <w:rPr>
                        <w:rFonts w:ascii="Trebuchet MS"/>
                        <w:spacing w:val="-1"/>
                        <w:w w:val="122"/>
                        <w:sz w:val="20"/>
                      </w:rPr>
                      <w:t>s</w:t>
                    </w:r>
                    <w:r>
                      <w:rPr>
                        <w:rFonts w:ascii="Trebuchet MS"/>
                        <w:w w:val="88"/>
                        <w:sz w:val="20"/>
                      </w:rPr>
                      <w:t>t</w:t>
                    </w:r>
                    <w:r>
                      <w:rPr>
                        <w:rFonts w:ascii="Trebuchet MS"/>
                        <w:spacing w:val="-3"/>
                        <w:w w:val="105"/>
                        <w:sz w:val="20"/>
                      </w:rPr>
                      <w:t>a</w:t>
                    </w:r>
                    <w:r>
                      <w:rPr>
                        <w:rFonts w:ascii="Trebuchet MS"/>
                        <w:w w:val="81"/>
                        <w:sz w:val="20"/>
                      </w:rPr>
                      <w:t>f</w:t>
                    </w:r>
                    <w:r>
                      <w:rPr>
                        <w:rFonts w:ascii="Trebuchet MS"/>
                        <w:spacing w:val="-12"/>
                        <w:w w:val="81"/>
                        <w:sz w:val="20"/>
                      </w:rPr>
                      <w:t>f</w:t>
                    </w:r>
                    <w:r>
                      <w:rPr>
                        <w:rFonts w:ascii="Trebuchet MS"/>
                        <w:w w:val="57"/>
                        <w:sz w:val="20"/>
                      </w:rPr>
                      <w:t>, </w:t>
                    </w:r>
                    <w:r>
                      <w:rPr>
                        <w:rFonts w:ascii="Trebuchet MS"/>
                        <w:spacing w:val="-3"/>
                        <w:w w:val="111"/>
                        <w:sz w:val="20"/>
                      </w:rPr>
                      <w:t>c</w:t>
                    </w:r>
                    <w:r>
                      <w:rPr>
                        <w:rFonts w:ascii="Trebuchet MS"/>
                        <w:spacing w:val="-1"/>
                        <w:w w:val="111"/>
                        <w:sz w:val="20"/>
                      </w:rPr>
                      <w:t>o</w:t>
                    </w:r>
                    <w:r>
                      <w:rPr>
                        <w:rFonts w:ascii="Trebuchet MS"/>
                        <w:spacing w:val="-1"/>
                        <w:w w:val="109"/>
                        <w:sz w:val="20"/>
                      </w:rPr>
                      <w:t>u</w:t>
                    </w:r>
                    <w:r>
                      <w:rPr>
                        <w:rFonts w:ascii="Trebuchet MS"/>
                        <w:spacing w:val="2"/>
                        <w:w w:val="93"/>
                        <w:sz w:val="20"/>
                      </w:rPr>
                      <w:t>r</w:t>
                    </w:r>
                    <w:r>
                      <w:rPr>
                        <w:rFonts w:ascii="Trebuchet MS"/>
                        <w:w w:val="88"/>
                        <w:sz w:val="20"/>
                      </w:rPr>
                      <w:t>t</w:t>
                    </w:r>
                    <w:r>
                      <w:rPr>
                        <w:rFonts w:ascii="Trebuchet MS"/>
                        <w:spacing w:val="-14"/>
                        <w:sz w:val="20"/>
                      </w:rPr>
                      <w:t> </w:t>
                    </w:r>
                    <w:r>
                      <w:rPr>
                        <w:rFonts w:ascii="Trebuchet MS"/>
                        <w:spacing w:val="-1"/>
                        <w:w w:val="122"/>
                        <w:sz w:val="20"/>
                      </w:rPr>
                      <w:t>s</w:t>
                    </w:r>
                    <w:r>
                      <w:rPr>
                        <w:rFonts w:ascii="Trebuchet MS"/>
                        <w:w w:val="88"/>
                        <w:sz w:val="20"/>
                      </w:rPr>
                      <w:t>t</w:t>
                    </w:r>
                    <w:r>
                      <w:rPr>
                        <w:rFonts w:ascii="Trebuchet MS"/>
                        <w:spacing w:val="-3"/>
                        <w:w w:val="105"/>
                        <w:sz w:val="20"/>
                      </w:rPr>
                      <w:t>a</w:t>
                    </w:r>
                    <w:r>
                      <w:rPr>
                        <w:rFonts w:ascii="Trebuchet MS"/>
                        <w:w w:val="81"/>
                        <w:sz w:val="20"/>
                      </w:rPr>
                      <w:t>f</w:t>
                    </w:r>
                    <w:r>
                      <w:rPr>
                        <w:rFonts w:ascii="Trebuchet MS"/>
                        <w:spacing w:val="-12"/>
                        <w:w w:val="81"/>
                        <w:sz w:val="20"/>
                      </w:rPr>
                      <w:t>f</w:t>
                    </w:r>
                    <w:r>
                      <w:rPr>
                        <w:rFonts w:ascii="Trebuchet MS"/>
                        <w:w w:val="57"/>
                        <w:sz w:val="20"/>
                      </w:rPr>
                      <w:t>,</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1"/>
                        <w:w w:val="109"/>
                        <w:sz w:val="20"/>
                      </w:rPr>
                      <w:t>u</w:t>
                    </w:r>
                    <w:r>
                      <w:rPr>
                        <w:rFonts w:ascii="Trebuchet MS"/>
                        <w:spacing w:val="-2"/>
                        <w:w w:val="107"/>
                        <w:sz w:val="20"/>
                      </w:rPr>
                      <w:t>n</w:t>
                    </w:r>
                    <w:r>
                      <w:rPr>
                        <w:rFonts w:ascii="Trebuchet MS"/>
                        <w:spacing w:val="-1"/>
                        <w:w w:val="122"/>
                        <w:sz w:val="20"/>
                      </w:rPr>
                      <w:t>s</w:t>
                    </w:r>
                    <w:r>
                      <w:rPr>
                        <w:rFonts w:ascii="Trebuchet MS"/>
                        <w:spacing w:val="-1"/>
                        <w:w w:val="108"/>
                        <w:sz w:val="20"/>
                      </w:rPr>
                      <w:t>e</w:t>
                    </w:r>
                    <w:r>
                      <w:rPr>
                        <w:rFonts w:ascii="Trebuchet MS"/>
                        <w:w w:val="96"/>
                        <w:sz w:val="20"/>
                      </w:rPr>
                      <w:t>l</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1"/>
                        <w:w w:val="96"/>
                        <w:sz w:val="20"/>
                      </w:rPr>
                      <w:t>l</w:t>
                    </w:r>
                    <w:r>
                      <w:rPr>
                        <w:rFonts w:ascii="Trebuchet MS"/>
                        <w:spacing w:val="-7"/>
                        <w:w w:val="105"/>
                        <w:sz w:val="20"/>
                      </w:rPr>
                      <w:t>a</w:t>
                    </w:r>
                    <w:r>
                      <w:rPr>
                        <w:rFonts w:ascii="Trebuchet MS"/>
                        <w:spacing w:val="4"/>
                        <w:w w:val="110"/>
                        <w:sz w:val="20"/>
                      </w:rPr>
                      <w:t>w</w:t>
                    </w:r>
                    <w:r>
                      <w:rPr>
                        <w:rFonts w:ascii="Trebuchet MS"/>
                        <w:spacing w:val="-6"/>
                        <w:w w:val="110"/>
                        <w:sz w:val="20"/>
                      </w:rPr>
                      <w:t>y</w:t>
                    </w:r>
                    <w:r>
                      <w:rPr>
                        <w:rFonts w:ascii="Trebuchet MS"/>
                        <w:spacing w:val="-1"/>
                        <w:w w:val="108"/>
                        <w:sz w:val="20"/>
                      </w:rPr>
                      <w:t>e</w:t>
                    </w:r>
                    <w:r>
                      <w:rPr>
                        <w:rFonts w:ascii="Trebuchet MS"/>
                        <w:spacing w:val="-1"/>
                        <w:w w:val="93"/>
                        <w:sz w:val="20"/>
                      </w:rPr>
                      <w:t>r</w:t>
                    </w:r>
                    <w:r>
                      <w:rPr>
                        <w:rFonts w:ascii="Trebuchet MS"/>
                        <w:w w:val="122"/>
                        <w:sz w:val="20"/>
                      </w:rPr>
                      <w:t>s</w:t>
                    </w:r>
                    <w:r>
                      <w:rPr>
                        <w:rFonts w:ascii="Trebuchet MS"/>
                        <w:spacing w:val="-14"/>
                        <w:sz w:val="20"/>
                      </w:rPr>
                      <w:t> </w:t>
                    </w:r>
                    <w:r>
                      <w:rPr>
                        <w:rFonts w:ascii="Trebuchet MS"/>
                        <w:w w:val="96"/>
                        <w:sz w:val="20"/>
                      </w:rPr>
                      <w:t>l</w:t>
                    </w:r>
                    <w:r>
                      <w:rPr>
                        <w:rFonts w:ascii="Trebuchet MS"/>
                        <w:spacing w:val="-2"/>
                        <w:w w:val="80"/>
                        <w:sz w:val="20"/>
                      </w:rPr>
                      <w:t>i</w:t>
                    </w:r>
                    <w:r>
                      <w:rPr>
                        <w:rFonts w:ascii="Trebuchet MS"/>
                        <w:spacing w:val="-6"/>
                        <w:w w:val="106"/>
                        <w:sz w:val="20"/>
                      </w:rPr>
                      <w:t>k</w:t>
                    </w:r>
                    <w:r>
                      <w:rPr>
                        <w:rFonts w:ascii="Trebuchet MS"/>
                        <w:spacing w:val="-1"/>
                        <w:w w:val="108"/>
                        <w:sz w:val="20"/>
                      </w:rPr>
                      <w:t>e</w:t>
                    </w:r>
                    <w:r>
                      <w:rPr>
                        <w:rFonts w:ascii="Trebuchet MS"/>
                        <w:spacing w:val="-7"/>
                        <w:w w:val="96"/>
                        <w:sz w:val="20"/>
                      </w:rPr>
                      <w:t>l</w:t>
                    </w:r>
                    <w:r>
                      <w:rPr>
                        <w:rFonts w:ascii="Trebuchet MS"/>
                        <w:w w:val="110"/>
                        <w:sz w:val="20"/>
                      </w:rPr>
                      <w:t>y</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6"/>
                        <w:w w:val="110"/>
                        <w:sz w:val="20"/>
                      </w:rPr>
                      <w:t>w</w:t>
                    </w:r>
                    <w:r>
                      <w:rPr>
                        <w:rFonts w:ascii="Trebuchet MS"/>
                        <w:spacing w:val="-1"/>
                        <w:w w:val="111"/>
                        <w:sz w:val="20"/>
                      </w:rPr>
                      <w:t>o</w:t>
                    </w:r>
                    <w:r>
                      <w:rPr>
                        <w:rFonts w:ascii="Trebuchet MS"/>
                        <w:spacing w:val="-2"/>
                        <w:w w:val="93"/>
                        <w:sz w:val="20"/>
                      </w:rPr>
                      <w:t>r</w:t>
                    </w:r>
                    <w:r>
                      <w:rPr>
                        <w:rFonts w:ascii="Trebuchet MS"/>
                        <w:w w:val="106"/>
                        <w:sz w:val="20"/>
                      </w:rPr>
                      <w:t>k</w:t>
                    </w:r>
                    <w:r>
                      <w:rPr>
                        <w:rFonts w:ascii="Trebuchet MS"/>
                        <w:spacing w:val="-14"/>
                        <w:sz w:val="20"/>
                      </w:rPr>
                      <w:t> </w:t>
                    </w:r>
                    <w:r>
                      <w:rPr>
                        <w:rFonts w:ascii="Trebuchet MS"/>
                        <w:spacing w:val="-2"/>
                        <w:w w:val="110"/>
                        <w:sz w:val="20"/>
                      </w:rPr>
                      <w:t>w</w:t>
                    </w:r>
                    <w:r>
                      <w:rPr>
                        <w:rFonts w:ascii="Trebuchet MS"/>
                        <w:spacing w:val="-3"/>
                        <w:w w:val="80"/>
                        <w:sz w:val="20"/>
                      </w:rPr>
                      <w:t>i</w:t>
                    </w:r>
                    <w:r>
                      <w:rPr>
                        <w:rFonts w:ascii="Trebuchet MS"/>
                        <w:spacing w:val="-2"/>
                        <w:w w:val="88"/>
                        <w:sz w:val="20"/>
                      </w:rPr>
                      <w:t>t</w:t>
                    </w:r>
                    <w:r>
                      <w:rPr>
                        <w:rFonts w:ascii="Trebuchet MS"/>
                        <w:w w:val="107"/>
                        <w:sz w:val="20"/>
                      </w:rPr>
                      <w:t>h</w:t>
                    </w:r>
                    <w:r>
                      <w:rPr>
                        <w:rFonts w:ascii="Trebuchet MS"/>
                        <w:spacing w:val="-14"/>
                        <w:sz w:val="20"/>
                      </w:rPr>
                      <w:t> </w:t>
                    </w:r>
                    <w:r>
                      <w:rPr>
                        <w:rFonts w:ascii="Trebuchet MS"/>
                        <w:spacing w:val="-2"/>
                        <w:w w:val="64"/>
                        <w:sz w:val="20"/>
                      </w:rPr>
                      <w:t>j</w:t>
                    </w:r>
                    <w:r>
                      <w:rPr>
                        <w:rFonts w:ascii="Trebuchet MS"/>
                        <w:spacing w:val="-1"/>
                        <w:w w:val="109"/>
                        <w:sz w:val="20"/>
                      </w:rPr>
                      <w:t>u</w:t>
                    </w:r>
                    <w:r>
                      <w:rPr>
                        <w:rFonts w:ascii="Trebuchet MS"/>
                        <w:spacing w:val="-2"/>
                        <w:w w:val="93"/>
                        <w:sz w:val="20"/>
                      </w:rPr>
                      <w:t>r</w:t>
                    </w:r>
                    <w:r>
                      <w:rPr>
                        <w:rFonts w:ascii="Trebuchet MS"/>
                        <w:spacing w:val="-1"/>
                        <w:w w:val="80"/>
                        <w:sz w:val="20"/>
                      </w:rPr>
                      <w:t>i</w:t>
                    </w:r>
                    <w:r>
                      <w:rPr>
                        <w:rFonts w:ascii="Trebuchet MS"/>
                        <w:spacing w:val="-2"/>
                        <w:w w:val="108"/>
                        <w:sz w:val="20"/>
                      </w:rPr>
                      <w:t>e</w:t>
                    </w:r>
                    <w:r>
                      <w:rPr>
                        <w:rFonts w:ascii="Trebuchet MS"/>
                        <w:spacing w:val="1"/>
                        <w:w w:val="122"/>
                        <w:sz w:val="20"/>
                      </w:rPr>
                      <w:t>s</w:t>
                    </w:r>
                    <w:r>
                      <w:rPr>
                        <w:rFonts w:ascii="Trebuchet MS"/>
                        <w:w w:val="55"/>
                        <w:sz w:val="20"/>
                      </w:rPr>
                      <w:t>.</w:t>
                    </w:r>
                  </w:p>
                  <w:p>
                    <w:pPr>
                      <w:spacing w:line="247" w:lineRule="auto" w:before="87"/>
                      <w:ind w:left="0" w:right="18" w:firstLine="0"/>
                      <w:jc w:val="both"/>
                      <w:rPr>
                        <w:rFonts w:ascii="Trebuchet MS"/>
                        <w:sz w:val="20"/>
                      </w:rPr>
                    </w:pPr>
                    <w:r>
                      <w:rPr>
                        <w:rFonts w:ascii="Trebuchet MS"/>
                        <w:w w:val="105"/>
                        <w:sz w:val="20"/>
                      </w:rPr>
                      <w:t>Disability</w:t>
                    </w:r>
                    <w:r>
                      <w:rPr>
                        <w:rFonts w:ascii="Trebuchet MS"/>
                        <w:spacing w:val="-10"/>
                        <w:w w:val="105"/>
                        <w:sz w:val="20"/>
                      </w:rPr>
                      <w:t> </w:t>
                    </w:r>
                    <w:r>
                      <w:rPr>
                        <w:rFonts w:ascii="Trebuchet MS"/>
                        <w:spacing w:val="-3"/>
                        <w:w w:val="105"/>
                        <w:sz w:val="20"/>
                      </w:rPr>
                      <w:t>awareness</w:t>
                    </w:r>
                    <w:r>
                      <w:rPr>
                        <w:rFonts w:ascii="Trebuchet MS"/>
                        <w:spacing w:val="-10"/>
                        <w:w w:val="105"/>
                        <w:sz w:val="20"/>
                      </w:rPr>
                      <w:t> </w:t>
                    </w:r>
                    <w:r>
                      <w:rPr>
                        <w:rFonts w:ascii="Trebuchet MS"/>
                        <w:w w:val="105"/>
                        <w:sz w:val="20"/>
                      </w:rPr>
                      <w:t>training</w:t>
                    </w:r>
                    <w:r>
                      <w:rPr>
                        <w:rFonts w:ascii="Trebuchet MS"/>
                        <w:spacing w:val="-9"/>
                        <w:w w:val="105"/>
                        <w:sz w:val="20"/>
                      </w:rPr>
                      <w:t> </w:t>
                    </w:r>
                    <w:r>
                      <w:rPr>
                        <w:rFonts w:ascii="Trebuchet MS"/>
                        <w:w w:val="105"/>
                        <w:sz w:val="20"/>
                      </w:rPr>
                      <w:t>should</w:t>
                    </w:r>
                    <w:r>
                      <w:rPr>
                        <w:rFonts w:ascii="Trebuchet MS"/>
                        <w:spacing w:val="-10"/>
                        <w:w w:val="105"/>
                        <w:sz w:val="20"/>
                      </w:rPr>
                      <w:t> </w:t>
                    </w:r>
                    <w:r>
                      <w:rPr>
                        <w:rFonts w:ascii="Trebuchet MS"/>
                        <w:spacing w:val="-4"/>
                        <w:w w:val="105"/>
                        <w:sz w:val="20"/>
                      </w:rPr>
                      <w:t>have</w:t>
                    </w:r>
                    <w:r>
                      <w:rPr>
                        <w:rFonts w:ascii="Trebuchet MS"/>
                        <w:spacing w:val="-10"/>
                        <w:w w:val="105"/>
                        <w:sz w:val="20"/>
                      </w:rPr>
                      <w:t> </w:t>
                    </w:r>
                    <w:r>
                      <w:rPr>
                        <w:rFonts w:ascii="Trebuchet MS"/>
                        <w:w w:val="105"/>
                        <w:sz w:val="20"/>
                      </w:rPr>
                      <w:t>a</w:t>
                    </w:r>
                    <w:r>
                      <w:rPr>
                        <w:rFonts w:ascii="Trebuchet MS"/>
                        <w:spacing w:val="-9"/>
                        <w:w w:val="105"/>
                        <w:sz w:val="20"/>
                      </w:rPr>
                      <w:t> </w:t>
                    </w:r>
                    <w:r>
                      <w:rPr>
                        <w:rFonts w:ascii="Trebuchet MS"/>
                        <w:w w:val="105"/>
                        <w:sz w:val="20"/>
                      </w:rPr>
                      <w:t>practical</w:t>
                    </w:r>
                    <w:r>
                      <w:rPr>
                        <w:rFonts w:ascii="Trebuchet MS"/>
                        <w:spacing w:val="-10"/>
                        <w:w w:val="105"/>
                        <w:sz w:val="20"/>
                      </w:rPr>
                      <w:t> </w:t>
                    </w:r>
                    <w:r>
                      <w:rPr>
                        <w:rFonts w:ascii="Trebuchet MS"/>
                        <w:w w:val="105"/>
                        <w:sz w:val="20"/>
                      </w:rPr>
                      <w:t>focus</w:t>
                    </w:r>
                    <w:r>
                      <w:rPr>
                        <w:rFonts w:ascii="Trebuchet MS"/>
                        <w:spacing w:val="-10"/>
                        <w:w w:val="105"/>
                        <w:sz w:val="20"/>
                      </w:rPr>
                      <w:t> </w:t>
                    </w:r>
                    <w:r>
                      <w:rPr>
                        <w:rFonts w:ascii="Trebuchet MS"/>
                        <w:w w:val="105"/>
                        <w:sz w:val="20"/>
                      </w:rPr>
                      <w:t>and</w:t>
                    </w:r>
                    <w:r>
                      <w:rPr>
                        <w:rFonts w:ascii="Trebuchet MS"/>
                        <w:spacing w:val="-9"/>
                        <w:w w:val="105"/>
                        <w:sz w:val="20"/>
                      </w:rPr>
                      <w:t> </w:t>
                    </w:r>
                    <w:r>
                      <w:rPr>
                        <w:rFonts w:ascii="Trebuchet MS"/>
                        <w:w w:val="105"/>
                        <w:sz w:val="20"/>
                      </w:rPr>
                      <w:t>be</w:t>
                    </w:r>
                    <w:r>
                      <w:rPr>
                        <w:rFonts w:ascii="Trebuchet MS"/>
                        <w:spacing w:val="-10"/>
                        <w:w w:val="105"/>
                        <w:sz w:val="20"/>
                      </w:rPr>
                      <w:t> </w:t>
                    </w:r>
                    <w:r>
                      <w:rPr>
                        <w:rFonts w:ascii="Trebuchet MS"/>
                        <w:spacing w:val="-3"/>
                        <w:w w:val="105"/>
                        <w:sz w:val="20"/>
                      </w:rPr>
                      <w:t>developed</w:t>
                    </w:r>
                    <w:r>
                      <w:rPr>
                        <w:rFonts w:ascii="Trebuchet MS"/>
                        <w:spacing w:val="-10"/>
                        <w:w w:val="105"/>
                        <w:sz w:val="20"/>
                      </w:rPr>
                      <w:t> </w:t>
                    </w:r>
                    <w:r>
                      <w:rPr>
                        <w:rFonts w:ascii="Trebuchet MS"/>
                        <w:w w:val="105"/>
                        <w:sz w:val="20"/>
                      </w:rPr>
                      <w:t>and delivered</w:t>
                    </w:r>
                    <w:r>
                      <w:rPr>
                        <w:rFonts w:ascii="Trebuchet MS"/>
                        <w:spacing w:val="-21"/>
                        <w:w w:val="105"/>
                        <w:sz w:val="20"/>
                      </w:rPr>
                      <w:t> </w:t>
                    </w:r>
                    <w:r>
                      <w:rPr>
                        <w:rFonts w:ascii="Trebuchet MS"/>
                        <w:w w:val="105"/>
                        <w:sz w:val="20"/>
                      </w:rPr>
                      <w:t>in</w:t>
                    </w:r>
                    <w:r>
                      <w:rPr>
                        <w:rFonts w:ascii="Trebuchet MS"/>
                        <w:spacing w:val="-20"/>
                        <w:w w:val="105"/>
                        <w:sz w:val="20"/>
                      </w:rPr>
                      <w:t> </w:t>
                    </w:r>
                    <w:r>
                      <w:rPr>
                        <w:rFonts w:ascii="Trebuchet MS"/>
                        <w:w w:val="105"/>
                        <w:sz w:val="20"/>
                      </w:rPr>
                      <w:t>collaboration</w:t>
                    </w:r>
                    <w:r>
                      <w:rPr>
                        <w:rFonts w:ascii="Trebuchet MS"/>
                        <w:spacing w:val="-20"/>
                        <w:w w:val="105"/>
                        <w:sz w:val="20"/>
                      </w:rPr>
                      <w:t> </w:t>
                    </w:r>
                    <w:r>
                      <w:rPr>
                        <w:rFonts w:ascii="Trebuchet MS"/>
                        <w:w w:val="105"/>
                        <w:sz w:val="20"/>
                      </w:rPr>
                      <w:t>with</w:t>
                    </w:r>
                    <w:r>
                      <w:rPr>
                        <w:rFonts w:ascii="Trebuchet MS"/>
                        <w:spacing w:val="-20"/>
                        <w:w w:val="105"/>
                        <w:sz w:val="20"/>
                      </w:rPr>
                      <w:t> </w:t>
                    </w:r>
                    <w:r>
                      <w:rPr>
                        <w:rFonts w:ascii="Trebuchet MS"/>
                        <w:w w:val="105"/>
                        <w:sz w:val="20"/>
                      </w:rPr>
                      <w:t>peak</w:t>
                    </w:r>
                    <w:r>
                      <w:rPr>
                        <w:rFonts w:ascii="Trebuchet MS"/>
                        <w:spacing w:val="-20"/>
                        <w:w w:val="105"/>
                        <w:sz w:val="20"/>
                      </w:rPr>
                      <w:t> </w:t>
                    </w:r>
                    <w:r>
                      <w:rPr>
                        <w:rFonts w:ascii="Trebuchet MS"/>
                        <w:w w:val="105"/>
                        <w:sz w:val="20"/>
                      </w:rPr>
                      <w:t>advocacy</w:t>
                    </w:r>
                    <w:r>
                      <w:rPr>
                        <w:rFonts w:ascii="Trebuchet MS"/>
                        <w:spacing w:val="-20"/>
                        <w:w w:val="105"/>
                        <w:sz w:val="20"/>
                      </w:rPr>
                      <w:t> </w:t>
                    </w:r>
                    <w:r>
                      <w:rPr>
                        <w:rFonts w:ascii="Trebuchet MS"/>
                        <w:w w:val="105"/>
                        <w:sz w:val="20"/>
                      </w:rPr>
                      <w:t>organisations</w:t>
                    </w:r>
                    <w:r>
                      <w:rPr>
                        <w:rFonts w:ascii="Trebuchet MS"/>
                        <w:spacing w:val="-20"/>
                        <w:w w:val="105"/>
                        <w:sz w:val="20"/>
                      </w:rPr>
                      <w:t> </w:t>
                    </w:r>
                    <w:r>
                      <w:rPr>
                        <w:rFonts w:ascii="Trebuchet MS"/>
                        <w:w w:val="105"/>
                        <w:sz w:val="20"/>
                      </w:rPr>
                      <w:t>representing</w:t>
                    </w:r>
                    <w:r>
                      <w:rPr>
                        <w:rFonts w:ascii="Trebuchet MS"/>
                        <w:spacing w:val="-21"/>
                        <w:w w:val="105"/>
                        <w:sz w:val="20"/>
                      </w:rPr>
                      <w:t> </w:t>
                    </w:r>
                    <w:r>
                      <w:rPr>
                        <w:rFonts w:ascii="Trebuchet MS"/>
                        <w:w w:val="105"/>
                        <w:sz w:val="20"/>
                      </w:rPr>
                      <w:t>people </w:t>
                    </w:r>
                    <w:r>
                      <w:rPr>
                        <w:rFonts w:ascii="Trebuchet MS"/>
                        <w:spacing w:val="-2"/>
                        <w:w w:val="93"/>
                        <w:sz w:val="20"/>
                      </w:rPr>
                      <w:t>f</w:t>
                    </w:r>
                    <w:r>
                      <w:rPr>
                        <w:rFonts w:ascii="Trebuchet MS"/>
                        <w:spacing w:val="-4"/>
                        <w:w w:val="93"/>
                        <w:sz w:val="20"/>
                      </w:rPr>
                      <w:t>r</w:t>
                    </w:r>
                    <w:r>
                      <w:rPr>
                        <w:rFonts w:ascii="Trebuchet MS"/>
                        <w:spacing w:val="-1"/>
                        <w:w w:val="111"/>
                        <w:sz w:val="20"/>
                      </w:rPr>
                      <w:t>o</w:t>
                    </w:r>
                    <w:r>
                      <w:rPr>
                        <w:rFonts w:ascii="Trebuchet MS"/>
                        <w:w w:val="111"/>
                        <w:sz w:val="20"/>
                      </w:rPr>
                      <w:t>m</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122"/>
                        <w:sz w:val="20"/>
                      </w:rPr>
                      <w:t>s</w:t>
                    </w:r>
                    <w:r>
                      <w:rPr>
                        <w:rFonts w:ascii="Trebuchet MS"/>
                        <w:spacing w:val="-1"/>
                        <w:w w:val="109"/>
                        <w:sz w:val="20"/>
                      </w:rPr>
                      <w:t>u</w:t>
                    </w:r>
                    <w:r>
                      <w:rPr>
                        <w:rFonts w:ascii="Trebuchet MS"/>
                        <w:spacing w:val="-3"/>
                        <w:w w:val="111"/>
                        <w:sz w:val="20"/>
                      </w:rPr>
                      <w:t>b</w:t>
                    </w:r>
                    <w:r>
                      <w:rPr>
                        <w:rFonts w:ascii="Trebuchet MS"/>
                        <w:spacing w:val="-1"/>
                        <w:w w:val="64"/>
                        <w:sz w:val="20"/>
                      </w:rPr>
                      <w:t>j</w:t>
                    </w:r>
                    <w:r>
                      <w:rPr>
                        <w:rFonts w:ascii="Trebuchet MS"/>
                        <w:w w:val="108"/>
                        <w:sz w:val="20"/>
                      </w:rPr>
                      <w:t>e</w:t>
                    </w:r>
                    <w:r>
                      <w:rPr>
                        <w:rFonts w:ascii="Trebuchet MS"/>
                        <w:spacing w:val="-2"/>
                        <w:w w:val="111"/>
                        <w:sz w:val="20"/>
                      </w:rPr>
                      <w:t>c</w:t>
                    </w:r>
                    <w:r>
                      <w:rPr>
                        <w:rFonts w:ascii="Trebuchet MS"/>
                        <w:w w:val="88"/>
                        <w:sz w:val="20"/>
                      </w:rPr>
                      <w:t>t</w:t>
                    </w:r>
                    <w:r>
                      <w:rPr>
                        <w:rFonts w:ascii="Trebuchet MS"/>
                        <w:spacing w:val="-14"/>
                        <w:sz w:val="20"/>
                      </w:rPr>
                      <w:t> </w:t>
                    </w:r>
                    <w:r>
                      <w:rPr>
                        <w:rFonts w:ascii="Trebuchet MS"/>
                        <w:spacing w:val="-2"/>
                        <w:w w:val="124"/>
                        <w:sz w:val="20"/>
                      </w:rPr>
                      <w:t>g</w:t>
                    </w:r>
                    <w:r>
                      <w:rPr>
                        <w:rFonts w:ascii="Trebuchet MS"/>
                        <w:spacing w:val="-4"/>
                        <w:w w:val="93"/>
                        <w:sz w:val="20"/>
                      </w:rPr>
                      <w:t>r</w:t>
                    </w:r>
                    <w:r>
                      <w:rPr>
                        <w:rFonts w:ascii="Trebuchet MS"/>
                        <w:spacing w:val="-1"/>
                        <w:w w:val="111"/>
                        <w:sz w:val="20"/>
                      </w:rPr>
                      <w:t>o</w:t>
                    </w:r>
                    <w:r>
                      <w:rPr>
                        <w:rFonts w:ascii="Trebuchet MS"/>
                        <w:spacing w:val="-1"/>
                        <w:w w:val="109"/>
                        <w:sz w:val="20"/>
                      </w:rPr>
                      <w:t>u</w:t>
                    </w:r>
                    <w:r>
                      <w:rPr>
                        <w:rFonts w:ascii="Trebuchet MS"/>
                        <w:spacing w:val="-2"/>
                        <w:w w:val="116"/>
                        <w:sz w:val="20"/>
                      </w:rPr>
                      <w:t>p</w:t>
                    </w:r>
                    <w:r>
                      <w:rPr>
                        <w:rFonts w:ascii="Trebuchet MS"/>
                        <w:spacing w:val="1"/>
                        <w:w w:val="116"/>
                        <w:sz w:val="20"/>
                      </w:rPr>
                      <w:t>s</w:t>
                    </w:r>
                    <w:r>
                      <w:rPr>
                        <w:rFonts w:ascii="Trebuchet MS"/>
                        <w:w w:val="55"/>
                        <w:sz w:val="20"/>
                      </w:rPr>
                      <w:t>.</w:t>
                    </w:r>
                  </w:p>
                </w:txbxContent>
              </v:textbox>
              <w10:wrap type="none"/>
            </v:shape>
            <v:shape style="position:absolute;left:1814;top:1344;width:291;height:800" type="#_x0000_t202" filled="false" stroked="false">
              <v:textbox inset="0,0,0,0">
                <w:txbxContent>
                  <w:p>
                    <w:pPr>
                      <w:spacing w:before="0"/>
                      <w:ind w:left="0" w:right="0" w:firstLine="0"/>
                      <w:jc w:val="left"/>
                      <w:rPr>
                        <w:rFonts w:ascii="Trebuchet MS"/>
                        <w:sz w:val="20"/>
                      </w:rPr>
                    </w:pPr>
                    <w:r>
                      <w:rPr>
                        <w:rFonts w:ascii="Trebuchet MS"/>
                        <w:w w:val="95"/>
                        <w:sz w:val="20"/>
                      </w:rPr>
                      <w:t>43.</w:t>
                    </w:r>
                  </w:p>
                  <w:p>
                    <w:pPr>
                      <w:spacing w:line="240" w:lineRule="auto" w:before="13"/>
                      <w:rPr>
                        <w:sz w:val="23"/>
                      </w:rPr>
                    </w:pPr>
                  </w:p>
                  <w:p>
                    <w:pPr>
                      <w:spacing w:before="0"/>
                      <w:ind w:left="0" w:right="0" w:firstLine="0"/>
                      <w:jc w:val="left"/>
                      <w:rPr>
                        <w:rFonts w:ascii="Trebuchet MS"/>
                        <w:sz w:val="20"/>
                      </w:rPr>
                    </w:pPr>
                    <w:r>
                      <w:rPr>
                        <w:rFonts w:ascii="Trebuchet MS"/>
                        <w:sz w:val="20"/>
                      </w:rPr>
                      <w:t>44.</w:t>
                    </w:r>
                  </w:p>
                </w:txbxContent>
              </v:textbox>
              <w10:wrap type="none"/>
            </v:shape>
            <v:shape style="position:absolute;left:1587;top:311;width:8731;height:783" type="#_x0000_t202" filled="true" fillcolor="#dddfe4" stroked="false">
              <v:textbox inset="0,0,0,0">
                <w:txbxContent>
                  <w:p>
                    <w:pPr>
                      <w:spacing w:before="158"/>
                      <w:ind w:left="226" w:right="0" w:firstLine="0"/>
                      <w:jc w:val="left"/>
                      <w:rPr>
                        <w:rFonts w:ascii="Raleway ExtraBold"/>
                        <w:b/>
                        <w:sz w:val="32"/>
                      </w:rPr>
                    </w:pPr>
                    <w:r>
                      <w:rPr>
                        <w:rFonts w:ascii="Raleway ExtraBold"/>
                        <w:b/>
                        <w:color w:val="37617A"/>
                        <w:sz w:val="32"/>
                      </w:rPr>
                      <w:t>Recommendations</w:t>
                    </w:r>
                  </w:p>
                </w:txbxContent>
              </v:textbox>
              <v:fill type="solid"/>
              <w10:wrap type="none"/>
            </v:shape>
            <w10:wrap type="topAndBottom"/>
          </v:group>
        </w:pict>
      </w:r>
    </w:p>
    <w:p>
      <w:pPr>
        <w:pStyle w:val="BodyText"/>
      </w:pPr>
    </w:p>
    <w:p>
      <w:pPr>
        <w:spacing w:line="184" w:lineRule="auto" w:before="261"/>
        <w:ind w:left="967" w:right="1864" w:firstLine="0"/>
        <w:jc w:val="left"/>
        <w:rPr>
          <w:rFonts w:ascii="Raleway ExtraBold"/>
          <w:b/>
          <w:sz w:val="28"/>
        </w:rPr>
      </w:pPr>
      <w:r>
        <w:rPr>
          <w:rFonts w:ascii="Raleway ExtraBold"/>
          <w:b/>
          <w:color w:val="37617A"/>
          <w:sz w:val="28"/>
        </w:rPr>
        <w:t>Professional development about the new laws for the legal profession</w:t>
      </w:r>
    </w:p>
    <w:p>
      <w:pPr>
        <w:pStyle w:val="ListParagraph"/>
        <w:numPr>
          <w:ilvl w:val="1"/>
          <w:numId w:val="12"/>
        </w:numPr>
        <w:tabs>
          <w:tab w:pos="1761" w:val="left" w:leader="none"/>
          <w:tab w:pos="1762" w:val="left" w:leader="none"/>
        </w:tabs>
        <w:spacing w:line="206" w:lineRule="auto" w:before="162" w:after="0"/>
        <w:ind w:left="1761" w:right="1249" w:hanging="794"/>
        <w:jc w:val="left"/>
        <w:rPr>
          <w:sz w:val="20"/>
        </w:rPr>
      </w:pPr>
      <w:r>
        <w:rPr>
          <w:spacing w:val="-10"/>
          <w:sz w:val="20"/>
        </w:rPr>
        <w:t>To</w:t>
      </w:r>
      <w:r>
        <w:rPr>
          <w:spacing w:val="-11"/>
          <w:sz w:val="20"/>
        </w:rPr>
        <w:t> </w:t>
      </w:r>
      <w:r>
        <w:rPr>
          <w:sz w:val="20"/>
        </w:rPr>
        <w:t>ease</w:t>
      </w:r>
      <w:r>
        <w:rPr>
          <w:spacing w:val="-11"/>
          <w:sz w:val="20"/>
        </w:rPr>
        <w:t> </w:t>
      </w:r>
      <w:r>
        <w:rPr>
          <w:sz w:val="20"/>
        </w:rPr>
        <w:t>concerns</w:t>
      </w:r>
      <w:r>
        <w:rPr>
          <w:spacing w:val="-10"/>
          <w:sz w:val="20"/>
        </w:rPr>
        <w:t> </w:t>
      </w:r>
      <w:r>
        <w:rPr>
          <w:sz w:val="20"/>
        </w:rPr>
        <w:t>about</w:t>
      </w:r>
      <w:r>
        <w:rPr>
          <w:spacing w:val="-11"/>
          <w:sz w:val="20"/>
        </w:rPr>
        <w:t> </w:t>
      </w:r>
      <w:r>
        <w:rPr>
          <w:sz w:val="20"/>
        </w:rPr>
        <w:t>changes</w:t>
      </w:r>
      <w:r>
        <w:rPr>
          <w:spacing w:val="-11"/>
          <w:sz w:val="20"/>
        </w:rPr>
        <w:t> </w:t>
      </w:r>
      <w:r>
        <w:rPr>
          <w:sz w:val="20"/>
        </w:rPr>
        <w:t>to</w:t>
      </w:r>
      <w:r>
        <w:rPr>
          <w:spacing w:val="-10"/>
          <w:sz w:val="20"/>
        </w:rPr>
        <w:t> </w:t>
      </w:r>
      <w:r>
        <w:rPr>
          <w:sz w:val="20"/>
        </w:rPr>
        <w:t>law</w:t>
      </w:r>
      <w:r>
        <w:rPr>
          <w:spacing w:val="-11"/>
          <w:sz w:val="20"/>
        </w:rPr>
        <w:t> </w:t>
      </w:r>
      <w:r>
        <w:rPr>
          <w:sz w:val="20"/>
        </w:rPr>
        <w:t>and</w:t>
      </w:r>
      <w:r>
        <w:rPr>
          <w:spacing w:val="-11"/>
          <w:sz w:val="20"/>
        </w:rPr>
        <w:t> </w:t>
      </w:r>
      <w:r>
        <w:rPr>
          <w:sz w:val="20"/>
        </w:rPr>
        <w:t>practice,</w:t>
      </w:r>
      <w:r>
        <w:rPr>
          <w:spacing w:val="-10"/>
          <w:sz w:val="20"/>
        </w:rPr>
        <w:t> </w:t>
      </w:r>
      <w:r>
        <w:rPr>
          <w:spacing w:val="-3"/>
          <w:sz w:val="20"/>
        </w:rPr>
        <w:t>we</w:t>
      </w:r>
      <w:r>
        <w:rPr>
          <w:spacing w:val="-11"/>
          <w:sz w:val="20"/>
        </w:rPr>
        <w:t> </w:t>
      </w:r>
      <w:r>
        <w:rPr>
          <w:sz w:val="20"/>
        </w:rPr>
        <w:t>recommend</w:t>
      </w:r>
      <w:r>
        <w:rPr>
          <w:spacing w:val="-11"/>
          <w:sz w:val="20"/>
        </w:rPr>
        <w:t> </w:t>
      </w:r>
      <w:r>
        <w:rPr>
          <w:sz w:val="20"/>
        </w:rPr>
        <w:t>that</w:t>
      </w:r>
      <w:r>
        <w:rPr>
          <w:spacing w:val="-10"/>
          <w:sz w:val="20"/>
        </w:rPr>
        <w:t> </w:t>
      </w:r>
      <w:r>
        <w:rPr>
          <w:spacing w:val="-2"/>
          <w:sz w:val="20"/>
        </w:rPr>
        <w:t>professional </w:t>
      </w:r>
      <w:r>
        <w:rPr>
          <w:spacing w:val="-3"/>
          <w:sz w:val="20"/>
        </w:rPr>
        <w:t>development </w:t>
      </w:r>
      <w:r>
        <w:rPr>
          <w:sz w:val="20"/>
        </w:rPr>
        <w:t>training is </w:t>
      </w:r>
      <w:r>
        <w:rPr>
          <w:spacing w:val="-3"/>
          <w:sz w:val="20"/>
        </w:rPr>
        <w:t>provided </w:t>
      </w:r>
      <w:r>
        <w:rPr>
          <w:sz w:val="20"/>
        </w:rPr>
        <w:t>about </w:t>
      </w:r>
      <w:r>
        <w:rPr>
          <w:spacing w:val="-3"/>
          <w:sz w:val="20"/>
        </w:rPr>
        <w:t>how </w:t>
      </w:r>
      <w:r>
        <w:rPr>
          <w:sz w:val="20"/>
        </w:rPr>
        <w:t>the new </w:t>
      </w:r>
      <w:r>
        <w:rPr>
          <w:spacing w:val="-3"/>
          <w:sz w:val="20"/>
        </w:rPr>
        <w:t>laws </w:t>
      </w:r>
      <w:r>
        <w:rPr>
          <w:sz w:val="20"/>
        </w:rPr>
        <w:t>will </w:t>
      </w:r>
      <w:r>
        <w:rPr>
          <w:spacing w:val="-3"/>
          <w:sz w:val="20"/>
        </w:rPr>
        <w:t>work </w:t>
      </w:r>
      <w:r>
        <w:rPr>
          <w:sz w:val="20"/>
        </w:rPr>
        <w:t>in practice. This should</w:t>
      </w:r>
      <w:r>
        <w:rPr>
          <w:spacing w:val="-6"/>
          <w:sz w:val="20"/>
        </w:rPr>
        <w:t> </w:t>
      </w:r>
      <w:r>
        <w:rPr>
          <w:sz w:val="20"/>
        </w:rPr>
        <w:t>form</w:t>
      </w:r>
      <w:r>
        <w:rPr>
          <w:spacing w:val="-6"/>
          <w:sz w:val="20"/>
        </w:rPr>
        <w:t> </w:t>
      </w:r>
      <w:r>
        <w:rPr>
          <w:sz w:val="20"/>
        </w:rPr>
        <w:t>part</w:t>
      </w:r>
      <w:r>
        <w:rPr>
          <w:spacing w:val="-6"/>
          <w:sz w:val="20"/>
        </w:rPr>
        <w:t> </w:t>
      </w:r>
      <w:r>
        <w:rPr>
          <w:sz w:val="20"/>
        </w:rPr>
        <w:t>of</w:t>
      </w:r>
      <w:r>
        <w:rPr>
          <w:spacing w:val="-5"/>
          <w:sz w:val="20"/>
        </w:rPr>
        <w:t> </w:t>
      </w:r>
      <w:r>
        <w:rPr>
          <w:sz w:val="20"/>
        </w:rPr>
        <w:t>existing</w:t>
      </w:r>
      <w:r>
        <w:rPr>
          <w:spacing w:val="-6"/>
          <w:sz w:val="20"/>
        </w:rPr>
        <w:t> </w:t>
      </w:r>
      <w:r>
        <w:rPr>
          <w:sz w:val="20"/>
        </w:rPr>
        <w:t>training</w:t>
      </w:r>
      <w:r>
        <w:rPr>
          <w:spacing w:val="-6"/>
          <w:sz w:val="20"/>
        </w:rPr>
        <w:t> </w:t>
      </w:r>
      <w:r>
        <w:rPr>
          <w:sz w:val="20"/>
        </w:rPr>
        <w:t>modules</w:t>
      </w:r>
      <w:r>
        <w:rPr>
          <w:spacing w:val="-6"/>
          <w:sz w:val="20"/>
        </w:rPr>
        <w:t> </w:t>
      </w:r>
      <w:r>
        <w:rPr>
          <w:sz w:val="20"/>
        </w:rPr>
        <w:t>and</w:t>
      </w:r>
      <w:r>
        <w:rPr>
          <w:spacing w:val="-5"/>
          <w:sz w:val="20"/>
        </w:rPr>
        <w:t> </w:t>
      </w:r>
      <w:r>
        <w:rPr>
          <w:sz w:val="20"/>
        </w:rPr>
        <w:t>should</w:t>
      </w:r>
      <w:r>
        <w:rPr>
          <w:spacing w:val="-6"/>
          <w:sz w:val="20"/>
        </w:rPr>
        <w:t> </w:t>
      </w:r>
      <w:r>
        <w:rPr>
          <w:sz w:val="20"/>
        </w:rPr>
        <w:t>be</w:t>
      </w:r>
      <w:r>
        <w:rPr>
          <w:spacing w:val="-6"/>
          <w:sz w:val="20"/>
        </w:rPr>
        <w:t> </w:t>
      </w:r>
      <w:r>
        <w:rPr>
          <w:spacing w:val="-3"/>
          <w:sz w:val="20"/>
        </w:rPr>
        <w:t>provided</w:t>
      </w:r>
      <w:r>
        <w:rPr>
          <w:spacing w:val="-6"/>
          <w:sz w:val="20"/>
        </w:rPr>
        <w:t> </w:t>
      </w:r>
      <w:r>
        <w:rPr>
          <w:spacing w:val="-3"/>
          <w:sz w:val="20"/>
        </w:rPr>
        <w:t>by:</w:t>
      </w:r>
    </w:p>
    <w:p>
      <w:pPr>
        <w:pStyle w:val="ListParagraph"/>
        <w:numPr>
          <w:ilvl w:val="2"/>
          <w:numId w:val="12"/>
        </w:numPr>
        <w:tabs>
          <w:tab w:pos="2157" w:val="left" w:leader="none"/>
          <w:tab w:pos="2158" w:val="left" w:leader="none"/>
        </w:tabs>
        <w:spacing w:line="240" w:lineRule="auto" w:before="92" w:after="0"/>
        <w:ind w:left="2157" w:right="0" w:hanging="396"/>
        <w:jc w:val="left"/>
        <w:rPr>
          <w:sz w:val="20"/>
        </w:rPr>
      </w:pPr>
      <w:r>
        <w:rPr>
          <w:sz w:val="20"/>
        </w:rPr>
        <w:t>Juries Victoria </w:t>
      </w:r>
      <w:r>
        <w:rPr>
          <w:spacing w:val="-3"/>
          <w:sz w:val="20"/>
        </w:rPr>
        <w:t>(for </w:t>
      </w:r>
      <w:r>
        <w:rPr>
          <w:sz w:val="20"/>
        </w:rPr>
        <w:t>its </w:t>
      </w:r>
      <w:r>
        <w:rPr>
          <w:spacing w:val="-3"/>
          <w:sz w:val="20"/>
        </w:rPr>
        <w:t>own</w:t>
      </w:r>
      <w:r>
        <w:rPr>
          <w:spacing w:val="-18"/>
          <w:sz w:val="20"/>
        </w:rPr>
        <w:t> </w:t>
      </w:r>
      <w:r>
        <w:rPr>
          <w:sz w:val="20"/>
        </w:rPr>
        <w:t>staff)</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the Judicial College </w:t>
      </w:r>
      <w:r>
        <w:rPr>
          <w:spacing w:val="-3"/>
          <w:sz w:val="20"/>
        </w:rPr>
        <w:t>(for</w:t>
      </w:r>
      <w:r>
        <w:rPr>
          <w:spacing w:val="-18"/>
          <w:sz w:val="20"/>
        </w:rPr>
        <w:t> </w:t>
      </w:r>
      <w:r>
        <w:rPr>
          <w:sz w:val="20"/>
        </w:rPr>
        <w:t>judges)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the Victorian Bar </w:t>
      </w:r>
      <w:r>
        <w:rPr>
          <w:spacing w:val="-3"/>
          <w:sz w:val="20"/>
        </w:rPr>
        <w:t>(for</w:t>
      </w:r>
      <w:r>
        <w:rPr>
          <w:spacing w:val="-18"/>
          <w:sz w:val="20"/>
        </w:rPr>
        <w:t> </w:t>
      </w:r>
      <w:r>
        <w:rPr>
          <w:sz w:val="20"/>
        </w:rPr>
        <w:t>barristers)</w:t>
      </w:r>
    </w:p>
    <w:p>
      <w:pPr>
        <w:pStyle w:val="ListParagraph"/>
        <w:numPr>
          <w:ilvl w:val="2"/>
          <w:numId w:val="12"/>
        </w:numPr>
        <w:tabs>
          <w:tab w:pos="2157" w:val="left" w:leader="none"/>
          <w:tab w:pos="2158" w:val="left" w:leader="none"/>
        </w:tabs>
        <w:spacing w:line="259" w:lineRule="exact" w:before="48" w:after="0"/>
        <w:ind w:left="2157" w:right="0" w:hanging="396"/>
        <w:jc w:val="left"/>
        <w:rPr>
          <w:sz w:val="20"/>
        </w:rPr>
      </w:pPr>
      <w:r>
        <w:rPr>
          <w:sz w:val="20"/>
        </w:rPr>
        <w:t>Juries</w:t>
      </w:r>
      <w:r>
        <w:rPr>
          <w:spacing w:val="-7"/>
          <w:sz w:val="20"/>
        </w:rPr>
        <w:t> </w:t>
      </w:r>
      <w:r>
        <w:rPr>
          <w:sz w:val="20"/>
        </w:rPr>
        <w:t>Victoria</w:t>
      </w:r>
      <w:r>
        <w:rPr>
          <w:spacing w:val="-7"/>
          <w:sz w:val="20"/>
        </w:rPr>
        <w:t> </w:t>
      </w:r>
      <w:r>
        <w:rPr>
          <w:sz w:val="20"/>
        </w:rPr>
        <w:t>in</w:t>
      </w:r>
      <w:r>
        <w:rPr>
          <w:spacing w:val="-6"/>
          <w:sz w:val="20"/>
        </w:rPr>
        <w:t> </w:t>
      </w:r>
      <w:r>
        <w:rPr>
          <w:sz w:val="20"/>
        </w:rPr>
        <w:t>partnership</w:t>
      </w:r>
      <w:r>
        <w:rPr>
          <w:spacing w:val="-7"/>
          <w:sz w:val="20"/>
        </w:rPr>
        <w:t> </w:t>
      </w:r>
      <w:r>
        <w:rPr>
          <w:sz w:val="20"/>
        </w:rPr>
        <w:t>with</w:t>
      </w:r>
      <w:r>
        <w:rPr>
          <w:spacing w:val="-7"/>
          <w:sz w:val="20"/>
        </w:rPr>
        <w:t> </w:t>
      </w:r>
      <w:r>
        <w:rPr>
          <w:sz w:val="20"/>
        </w:rPr>
        <w:t>the</w:t>
      </w:r>
      <w:r>
        <w:rPr>
          <w:spacing w:val="-6"/>
          <w:sz w:val="20"/>
        </w:rPr>
        <w:t> </w:t>
      </w:r>
      <w:r>
        <w:rPr>
          <w:sz w:val="20"/>
        </w:rPr>
        <w:t>courts</w:t>
      </w:r>
      <w:r>
        <w:rPr>
          <w:spacing w:val="-7"/>
          <w:sz w:val="20"/>
        </w:rPr>
        <w:t> </w:t>
      </w:r>
      <w:r>
        <w:rPr>
          <w:spacing w:val="-3"/>
          <w:sz w:val="20"/>
        </w:rPr>
        <w:t>(for</w:t>
      </w:r>
      <w:r>
        <w:rPr>
          <w:spacing w:val="-6"/>
          <w:sz w:val="20"/>
        </w:rPr>
        <w:t> </w:t>
      </w:r>
      <w:r>
        <w:rPr>
          <w:sz w:val="20"/>
        </w:rPr>
        <w:t>court</w:t>
      </w:r>
      <w:r>
        <w:rPr>
          <w:spacing w:val="-7"/>
          <w:sz w:val="20"/>
        </w:rPr>
        <w:t> </w:t>
      </w:r>
      <w:r>
        <w:rPr>
          <w:spacing w:val="-3"/>
          <w:sz w:val="20"/>
        </w:rPr>
        <w:t>staff,</w:t>
      </w:r>
      <w:r>
        <w:rPr>
          <w:spacing w:val="-7"/>
          <w:sz w:val="20"/>
        </w:rPr>
        <w:t> </w:t>
      </w:r>
      <w:r>
        <w:rPr>
          <w:sz w:val="20"/>
        </w:rPr>
        <w:t>accessibility</w:t>
      </w:r>
      <w:r>
        <w:rPr>
          <w:spacing w:val="-6"/>
          <w:sz w:val="20"/>
        </w:rPr>
        <w:t> </w:t>
      </w:r>
      <w:r>
        <w:rPr>
          <w:sz w:val="20"/>
        </w:rPr>
        <w:t>officers</w:t>
      </w:r>
    </w:p>
    <w:p>
      <w:pPr>
        <w:pStyle w:val="BodyText"/>
        <w:spacing w:line="259" w:lineRule="exact"/>
        <w:ind w:left="2157"/>
      </w:pPr>
      <w:r>
        <w:rPr/>
        <w:t>and support persons)</w:t>
      </w:r>
    </w:p>
    <w:p>
      <w:pPr>
        <w:pStyle w:val="ListParagraph"/>
        <w:numPr>
          <w:ilvl w:val="2"/>
          <w:numId w:val="12"/>
        </w:numPr>
        <w:tabs>
          <w:tab w:pos="2157" w:val="left" w:leader="none"/>
          <w:tab w:pos="2158" w:val="left" w:leader="none"/>
        </w:tabs>
        <w:spacing w:line="206" w:lineRule="auto" w:before="80" w:after="0"/>
        <w:ind w:left="2157" w:right="2029" w:hanging="396"/>
        <w:jc w:val="left"/>
        <w:rPr>
          <w:sz w:val="20"/>
        </w:rPr>
      </w:pPr>
      <w:r>
        <w:rPr>
          <w:sz w:val="20"/>
        </w:rPr>
        <w:t>the</w:t>
      </w:r>
      <w:r>
        <w:rPr>
          <w:spacing w:val="-12"/>
          <w:sz w:val="20"/>
        </w:rPr>
        <w:t> </w:t>
      </w:r>
      <w:r>
        <w:rPr>
          <w:sz w:val="20"/>
        </w:rPr>
        <w:t>Office</w:t>
      </w:r>
      <w:r>
        <w:rPr>
          <w:spacing w:val="-11"/>
          <w:sz w:val="20"/>
        </w:rPr>
        <w:t> </w:t>
      </w:r>
      <w:r>
        <w:rPr>
          <w:sz w:val="20"/>
        </w:rPr>
        <w:t>of</w:t>
      </w:r>
      <w:r>
        <w:rPr>
          <w:spacing w:val="-11"/>
          <w:sz w:val="20"/>
        </w:rPr>
        <w:t> </w:t>
      </w:r>
      <w:r>
        <w:rPr>
          <w:sz w:val="20"/>
        </w:rPr>
        <w:t>Public</w:t>
      </w:r>
      <w:r>
        <w:rPr>
          <w:spacing w:val="-11"/>
          <w:sz w:val="20"/>
        </w:rPr>
        <w:t> </w:t>
      </w:r>
      <w:r>
        <w:rPr>
          <w:sz w:val="20"/>
        </w:rPr>
        <w:t>Prosecutions</w:t>
      </w:r>
      <w:r>
        <w:rPr>
          <w:spacing w:val="-11"/>
          <w:sz w:val="20"/>
        </w:rPr>
        <w:t> </w:t>
      </w:r>
      <w:r>
        <w:rPr>
          <w:sz w:val="20"/>
        </w:rPr>
        <w:t>for</w:t>
      </w:r>
      <w:r>
        <w:rPr>
          <w:spacing w:val="-11"/>
          <w:sz w:val="20"/>
        </w:rPr>
        <w:t> </w:t>
      </w:r>
      <w:r>
        <w:rPr>
          <w:spacing w:val="-4"/>
          <w:sz w:val="20"/>
        </w:rPr>
        <w:t>Crown</w:t>
      </w:r>
      <w:r>
        <w:rPr>
          <w:spacing w:val="-12"/>
          <w:sz w:val="20"/>
        </w:rPr>
        <w:t> </w:t>
      </w:r>
      <w:r>
        <w:rPr>
          <w:spacing w:val="-3"/>
          <w:sz w:val="20"/>
        </w:rPr>
        <w:t>prosecutors</w:t>
      </w:r>
      <w:r>
        <w:rPr>
          <w:spacing w:val="-11"/>
          <w:sz w:val="20"/>
        </w:rPr>
        <w:t> </w:t>
      </w:r>
      <w:r>
        <w:rPr>
          <w:sz w:val="20"/>
        </w:rPr>
        <w:t>and</w:t>
      </w:r>
      <w:r>
        <w:rPr>
          <w:spacing w:val="-11"/>
          <w:sz w:val="20"/>
        </w:rPr>
        <w:t> </w:t>
      </w:r>
      <w:r>
        <w:rPr>
          <w:sz w:val="20"/>
        </w:rPr>
        <w:t>solicitors</w:t>
      </w:r>
      <w:r>
        <w:rPr>
          <w:spacing w:val="-11"/>
          <w:sz w:val="20"/>
        </w:rPr>
        <w:t> </w:t>
      </w:r>
      <w:r>
        <w:rPr>
          <w:sz w:val="20"/>
        </w:rPr>
        <w:t>who </w:t>
      </w:r>
      <w:r>
        <w:rPr>
          <w:spacing w:val="-3"/>
          <w:sz w:val="20"/>
        </w:rPr>
        <w:t>prosecute </w:t>
      </w:r>
      <w:r>
        <w:rPr>
          <w:sz w:val="20"/>
        </w:rPr>
        <w:t>criminal</w:t>
      </w:r>
      <w:r>
        <w:rPr>
          <w:spacing w:val="-6"/>
          <w:sz w:val="20"/>
        </w:rPr>
        <w:t> </w:t>
      </w:r>
      <w:r>
        <w:rPr>
          <w:sz w:val="20"/>
        </w:rPr>
        <w:t>offences</w:t>
      </w:r>
    </w:p>
    <w:p>
      <w:pPr>
        <w:pStyle w:val="ListParagraph"/>
        <w:numPr>
          <w:ilvl w:val="2"/>
          <w:numId w:val="12"/>
        </w:numPr>
        <w:tabs>
          <w:tab w:pos="2157" w:val="left" w:leader="none"/>
          <w:tab w:pos="2158" w:val="left" w:leader="none"/>
        </w:tabs>
        <w:spacing w:line="240" w:lineRule="auto" w:before="55" w:after="0"/>
        <w:ind w:left="2157" w:right="0" w:hanging="396"/>
        <w:jc w:val="left"/>
        <w:rPr>
          <w:sz w:val="20"/>
        </w:rPr>
      </w:pPr>
      <w:r>
        <w:rPr>
          <w:sz w:val="20"/>
        </w:rPr>
        <w:t>the</w:t>
      </w:r>
      <w:r>
        <w:rPr>
          <w:spacing w:val="-5"/>
          <w:sz w:val="20"/>
        </w:rPr>
        <w:t> </w:t>
      </w:r>
      <w:r>
        <w:rPr>
          <w:sz w:val="20"/>
        </w:rPr>
        <w:t>Law</w:t>
      </w:r>
      <w:r>
        <w:rPr>
          <w:spacing w:val="-5"/>
          <w:sz w:val="20"/>
        </w:rPr>
        <w:t> </w:t>
      </w:r>
      <w:r>
        <w:rPr>
          <w:sz w:val="20"/>
        </w:rPr>
        <w:t>Institute</w:t>
      </w:r>
      <w:r>
        <w:rPr>
          <w:spacing w:val="-5"/>
          <w:sz w:val="20"/>
        </w:rPr>
        <w:t> </w:t>
      </w:r>
      <w:r>
        <w:rPr>
          <w:sz w:val="20"/>
        </w:rPr>
        <w:t>of</w:t>
      </w:r>
      <w:r>
        <w:rPr>
          <w:spacing w:val="-5"/>
          <w:sz w:val="20"/>
        </w:rPr>
        <w:t> </w:t>
      </w:r>
      <w:r>
        <w:rPr>
          <w:sz w:val="20"/>
        </w:rPr>
        <w:t>Victoria</w:t>
      </w:r>
      <w:r>
        <w:rPr>
          <w:spacing w:val="-5"/>
          <w:sz w:val="20"/>
        </w:rPr>
        <w:t> </w:t>
      </w:r>
      <w:r>
        <w:rPr>
          <w:spacing w:val="-3"/>
          <w:sz w:val="20"/>
        </w:rPr>
        <w:t>(for</w:t>
      </w:r>
      <w:r>
        <w:rPr>
          <w:spacing w:val="-4"/>
          <w:sz w:val="20"/>
        </w:rPr>
        <w:t> </w:t>
      </w:r>
      <w:r>
        <w:rPr>
          <w:sz w:val="20"/>
        </w:rPr>
        <w:t>solicitors</w:t>
      </w:r>
      <w:r>
        <w:rPr>
          <w:spacing w:val="-5"/>
          <w:sz w:val="20"/>
        </w:rPr>
        <w:t> </w:t>
      </w:r>
      <w:r>
        <w:rPr>
          <w:spacing w:val="-4"/>
          <w:sz w:val="20"/>
        </w:rPr>
        <w:t>involved</w:t>
      </w:r>
      <w:r>
        <w:rPr>
          <w:spacing w:val="-5"/>
          <w:sz w:val="20"/>
        </w:rPr>
        <w:t> </w:t>
      </w:r>
      <w:r>
        <w:rPr>
          <w:sz w:val="20"/>
        </w:rPr>
        <w:t>in</w:t>
      </w:r>
      <w:r>
        <w:rPr>
          <w:spacing w:val="-5"/>
          <w:sz w:val="20"/>
        </w:rPr>
        <w:t> </w:t>
      </w:r>
      <w:r>
        <w:rPr>
          <w:sz w:val="20"/>
        </w:rPr>
        <w:t>jury</w:t>
      </w:r>
      <w:r>
        <w:rPr>
          <w:spacing w:val="-5"/>
          <w:sz w:val="20"/>
        </w:rPr>
        <w:t> </w:t>
      </w:r>
      <w:r>
        <w:rPr>
          <w:sz w:val="20"/>
        </w:rPr>
        <w:t>trials)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Victoria Legal</w:t>
      </w:r>
      <w:r>
        <w:rPr>
          <w:spacing w:val="-9"/>
          <w:sz w:val="20"/>
        </w:rPr>
        <w:t> </w:t>
      </w:r>
      <w:r>
        <w:rPr>
          <w:sz w:val="20"/>
        </w:rPr>
        <w:t>Aid.</w:t>
      </w:r>
    </w:p>
    <w:p>
      <w:pPr>
        <w:pStyle w:val="ListParagraph"/>
        <w:numPr>
          <w:ilvl w:val="1"/>
          <w:numId w:val="12"/>
        </w:numPr>
        <w:tabs>
          <w:tab w:pos="1761" w:val="left" w:leader="none"/>
          <w:tab w:pos="1762" w:val="left" w:leader="none"/>
        </w:tabs>
        <w:spacing w:line="206" w:lineRule="auto" w:before="80" w:after="0"/>
        <w:ind w:left="1761" w:right="1324" w:hanging="794"/>
        <w:jc w:val="left"/>
        <w:rPr>
          <w:sz w:val="20"/>
        </w:rPr>
      </w:pPr>
      <w:r>
        <w:rPr>
          <w:spacing w:val="-4"/>
          <w:sz w:val="20"/>
        </w:rPr>
        <w:t>Training</w:t>
      </w:r>
      <w:r>
        <w:rPr>
          <w:spacing w:val="-10"/>
          <w:sz w:val="20"/>
        </w:rPr>
        <w:t> </w:t>
      </w:r>
      <w:r>
        <w:rPr>
          <w:sz w:val="20"/>
        </w:rPr>
        <w:t>on</w:t>
      </w:r>
      <w:r>
        <w:rPr>
          <w:spacing w:val="-10"/>
          <w:sz w:val="20"/>
        </w:rPr>
        <w:t> </w:t>
      </w:r>
      <w:r>
        <w:rPr>
          <w:sz w:val="20"/>
        </w:rPr>
        <w:t>the</w:t>
      </w:r>
      <w:r>
        <w:rPr>
          <w:spacing w:val="-10"/>
          <w:sz w:val="20"/>
        </w:rPr>
        <w:t> </w:t>
      </w:r>
      <w:r>
        <w:rPr>
          <w:spacing w:val="-3"/>
          <w:sz w:val="20"/>
        </w:rPr>
        <w:t>reforms</w:t>
      </w:r>
      <w:r>
        <w:rPr>
          <w:spacing w:val="-9"/>
          <w:sz w:val="20"/>
        </w:rPr>
        <w:t> </w:t>
      </w:r>
      <w:r>
        <w:rPr>
          <w:sz w:val="20"/>
        </w:rPr>
        <w:t>could</w:t>
      </w:r>
      <w:r>
        <w:rPr>
          <w:spacing w:val="-10"/>
          <w:sz w:val="20"/>
        </w:rPr>
        <w:t> </w:t>
      </w:r>
      <w:r>
        <w:rPr>
          <w:sz w:val="20"/>
        </w:rPr>
        <w:t>also</w:t>
      </w:r>
      <w:r>
        <w:rPr>
          <w:spacing w:val="-10"/>
          <w:sz w:val="20"/>
        </w:rPr>
        <w:t> </w:t>
      </w:r>
      <w:r>
        <w:rPr>
          <w:sz w:val="20"/>
        </w:rPr>
        <w:t>be</w:t>
      </w:r>
      <w:r>
        <w:rPr>
          <w:spacing w:val="-9"/>
          <w:sz w:val="20"/>
        </w:rPr>
        <w:t> </w:t>
      </w:r>
      <w:r>
        <w:rPr>
          <w:sz w:val="20"/>
        </w:rPr>
        <w:t>incorporated</w:t>
      </w:r>
      <w:r>
        <w:rPr>
          <w:spacing w:val="-10"/>
          <w:sz w:val="20"/>
        </w:rPr>
        <w:t> </w:t>
      </w:r>
      <w:r>
        <w:rPr>
          <w:spacing w:val="-3"/>
          <w:sz w:val="20"/>
        </w:rPr>
        <w:t>into</w:t>
      </w:r>
      <w:r>
        <w:rPr>
          <w:spacing w:val="-10"/>
          <w:sz w:val="20"/>
        </w:rPr>
        <w:t> </w:t>
      </w:r>
      <w:r>
        <w:rPr>
          <w:sz w:val="20"/>
        </w:rPr>
        <w:t>practical</w:t>
      </w:r>
      <w:r>
        <w:rPr>
          <w:spacing w:val="-10"/>
          <w:sz w:val="20"/>
        </w:rPr>
        <w:t> </w:t>
      </w:r>
      <w:r>
        <w:rPr>
          <w:sz w:val="20"/>
        </w:rPr>
        <w:t>legal</w:t>
      </w:r>
      <w:r>
        <w:rPr>
          <w:spacing w:val="-9"/>
          <w:sz w:val="20"/>
        </w:rPr>
        <w:t> </w:t>
      </w:r>
      <w:r>
        <w:rPr>
          <w:sz w:val="20"/>
        </w:rPr>
        <w:t>training</w:t>
      </w:r>
      <w:r>
        <w:rPr>
          <w:spacing w:val="-10"/>
          <w:sz w:val="20"/>
        </w:rPr>
        <w:t> </w:t>
      </w:r>
      <w:r>
        <w:rPr>
          <w:sz w:val="20"/>
        </w:rPr>
        <w:t>courses run</w:t>
      </w:r>
      <w:r>
        <w:rPr>
          <w:spacing w:val="-5"/>
          <w:sz w:val="20"/>
        </w:rPr>
        <w:t> </w:t>
      </w:r>
      <w:r>
        <w:rPr>
          <w:spacing w:val="-3"/>
          <w:sz w:val="20"/>
        </w:rPr>
        <w:t>by</w:t>
      </w:r>
      <w:r>
        <w:rPr>
          <w:spacing w:val="-5"/>
          <w:sz w:val="20"/>
        </w:rPr>
        <w:t> </w:t>
      </w:r>
      <w:r>
        <w:rPr>
          <w:sz w:val="20"/>
        </w:rPr>
        <w:t>the</w:t>
      </w:r>
      <w:r>
        <w:rPr>
          <w:spacing w:val="-5"/>
          <w:sz w:val="20"/>
        </w:rPr>
        <w:t> </w:t>
      </w:r>
      <w:r>
        <w:rPr>
          <w:sz w:val="20"/>
        </w:rPr>
        <w:t>College</w:t>
      </w:r>
      <w:r>
        <w:rPr>
          <w:spacing w:val="-4"/>
          <w:sz w:val="20"/>
        </w:rPr>
        <w:t> </w:t>
      </w:r>
      <w:r>
        <w:rPr>
          <w:sz w:val="20"/>
        </w:rPr>
        <w:t>of</w:t>
      </w:r>
      <w:r>
        <w:rPr>
          <w:spacing w:val="-5"/>
          <w:sz w:val="20"/>
        </w:rPr>
        <w:t> </w:t>
      </w:r>
      <w:r>
        <w:rPr>
          <w:sz w:val="20"/>
        </w:rPr>
        <w:t>Law</w:t>
      </w:r>
      <w:r>
        <w:rPr>
          <w:spacing w:val="-5"/>
          <w:sz w:val="20"/>
        </w:rPr>
        <w:t> </w:t>
      </w:r>
      <w:r>
        <w:rPr>
          <w:sz w:val="20"/>
        </w:rPr>
        <w:t>and</w:t>
      </w:r>
      <w:r>
        <w:rPr>
          <w:spacing w:val="-4"/>
          <w:sz w:val="20"/>
        </w:rPr>
        <w:t> </w:t>
      </w:r>
      <w:r>
        <w:rPr>
          <w:sz w:val="20"/>
        </w:rPr>
        <w:t>Leo</w:t>
      </w:r>
      <w:r>
        <w:rPr>
          <w:spacing w:val="-5"/>
          <w:sz w:val="20"/>
        </w:rPr>
        <w:t> </w:t>
      </w:r>
      <w:r>
        <w:rPr>
          <w:sz w:val="20"/>
        </w:rPr>
        <w:t>Cussen</w:t>
      </w:r>
      <w:r>
        <w:rPr>
          <w:spacing w:val="-5"/>
          <w:sz w:val="20"/>
        </w:rPr>
        <w:t> </w:t>
      </w:r>
      <w:r>
        <w:rPr>
          <w:sz w:val="20"/>
        </w:rPr>
        <w:t>Centre</w:t>
      </w:r>
      <w:r>
        <w:rPr>
          <w:spacing w:val="-4"/>
          <w:sz w:val="20"/>
        </w:rPr>
        <w:t> </w:t>
      </w:r>
      <w:r>
        <w:rPr>
          <w:sz w:val="20"/>
        </w:rPr>
        <w:t>for</w:t>
      </w:r>
      <w:r>
        <w:rPr>
          <w:spacing w:val="-5"/>
          <w:sz w:val="20"/>
        </w:rPr>
        <w:t> Law.</w:t>
      </w:r>
    </w:p>
    <w:p>
      <w:pPr>
        <w:pStyle w:val="BodyText"/>
        <w:spacing w:before="3"/>
        <w:rPr>
          <w:sz w:val="19"/>
        </w:rPr>
      </w:pPr>
      <w:r>
        <w:rPr/>
        <w:pict>
          <v:line style="position:absolute;mso-position-horizontal-relative:page;mso-position-vertical-relative:paragraph;z-index:11120;mso-wrap-distance-left:0;mso-wrap-distance-right:0" from="79.370102pt,15.80762pt" to="515.905102pt,15.80762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21"/>
        </w:numPr>
        <w:tabs>
          <w:tab w:pos="1760" w:val="left" w:leader="none"/>
          <w:tab w:pos="1762" w:val="left" w:leader="none"/>
        </w:tabs>
        <w:spacing w:line="170" w:lineRule="exact" w:before="21" w:after="0"/>
        <w:ind w:left="1761" w:right="0" w:hanging="794"/>
        <w:jc w:val="left"/>
        <w:rPr>
          <w:sz w:val="13"/>
        </w:rPr>
      </w:pPr>
      <w:r>
        <w:rPr>
          <w:sz w:val="13"/>
        </w:rPr>
        <w:t>Information</w:t>
      </w:r>
      <w:r>
        <w:rPr>
          <w:spacing w:val="7"/>
          <w:sz w:val="13"/>
        </w:rPr>
        <w:t> </w:t>
      </w:r>
      <w:r>
        <w:rPr>
          <w:sz w:val="13"/>
        </w:rPr>
        <w:t>provided</w:t>
      </w:r>
      <w:r>
        <w:rPr>
          <w:spacing w:val="7"/>
          <w:sz w:val="13"/>
        </w:rPr>
        <w:t> </w:t>
      </w:r>
      <w:r>
        <w:rPr>
          <w:sz w:val="13"/>
        </w:rPr>
        <w:t>by</w:t>
      </w:r>
      <w:r>
        <w:rPr>
          <w:spacing w:val="7"/>
          <w:sz w:val="13"/>
        </w:rPr>
        <w:t> </w:t>
      </w:r>
      <w:r>
        <w:rPr>
          <w:sz w:val="13"/>
        </w:rPr>
        <w:t>Judicial</w:t>
      </w:r>
      <w:r>
        <w:rPr>
          <w:spacing w:val="8"/>
          <w:sz w:val="13"/>
        </w:rPr>
        <w:t> </w:t>
      </w:r>
      <w:r>
        <w:rPr>
          <w:sz w:val="13"/>
        </w:rPr>
        <w:t>College</w:t>
      </w:r>
      <w:r>
        <w:rPr>
          <w:spacing w:val="7"/>
          <w:sz w:val="13"/>
        </w:rPr>
        <w:t> </w:t>
      </w:r>
      <w:r>
        <w:rPr>
          <w:sz w:val="13"/>
        </w:rPr>
        <w:t>of</w:t>
      </w:r>
      <w:r>
        <w:rPr>
          <w:spacing w:val="7"/>
          <w:sz w:val="13"/>
        </w:rPr>
        <w:t> </w:t>
      </w:r>
      <w:r>
        <w:rPr>
          <w:sz w:val="13"/>
        </w:rPr>
        <w:t>Victoria</w:t>
      </w:r>
      <w:r>
        <w:rPr>
          <w:spacing w:val="8"/>
          <w:sz w:val="13"/>
        </w:rPr>
        <w:t> </w:t>
      </w:r>
      <w:r>
        <w:rPr>
          <w:sz w:val="13"/>
        </w:rPr>
        <w:t>to</w:t>
      </w:r>
      <w:r>
        <w:rPr>
          <w:spacing w:val="7"/>
          <w:sz w:val="13"/>
        </w:rPr>
        <w:t> </w:t>
      </w:r>
      <w:r>
        <w:rPr>
          <w:sz w:val="13"/>
        </w:rPr>
        <w:t>Victorian</w:t>
      </w:r>
      <w:r>
        <w:rPr>
          <w:spacing w:val="7"/>
          <w:sz w:val="13"/>
        </w:rPr>
        <w:t> </w:t>
      </w:r>
      <w:r>
        <w:rPr>
          <w:sz w:val="13"/>
        </w:rPr>
        <w:t>Law</w:t>
      </w:r>
      <w:r>
        <w:rPr>
          <w:spacing w:val="7"/>
          <w:sz w:val="13"/>
        </w:rPr>
        <w:t> </w:t>
      </w:r>
      <w:r>
        <w:rPr>
          <w:sz w:val="13"/>
        </w:rPr>
        <w:t>Reform</w:t>
      </w:r>
      <w:r>
        <w:rPr>
          <w:spacing w:val="8"/>
          <w:sz w:val="13"/>
        </w:rPr>
        <w:t> </w:t>
      </w:r>
      <w:r>
        <w:rPr>
          <w:spacing w:val="2"/>
          <w:sz w:val="13"/>
        </w:rPr>
        <w:t>Commission,</w:t>
      </w:r>
      <w:r>
        <w:rPr>
          <w:spacing w:val="7"/>
          <w:sz w:val="13"/>
        </w:rPr>
        <w:t> </w:t>
      </w:r>
      <w:r>
        <w:rPr>
          <w:sz w:val="13"/>
        </w:rPr>
        <w:t>5</w:t>
      </w:r>
      <w:r>
        <w:rPr>
          <w:spacing w:val="7"/>
          <w:sz w:val="13"/>
        </w:rPr>
        <w:t> </w:t>
      </w:r>
      <w:r>
        <w:rPr>
          <w:sz w:val="13"/>
        </w:rPr>
        <w:t>July</w:t>
      </w:r>
      <w:r>
        <w:rPr>
          <w:spacing w:val="8"/>
          <w:sz w:val="13"/>
        </w:rPr>
        <w:t> </w:t>
      </w:r>
      <w:r>
        <w:rPr>
          <w:sz w:val="13"/>
        </w:rPr>
        <w:t>2022.</w:t>
      </w:r>
    </w:p>
    <w:p>
      <w:pPr>
        <w:pStyle w:val="ListParagraph"/>
        <w:numPr>
          <w:ilvl w:val="0"/>
          <w:numId w:val="121"/>
        </w:numPr>
        <w:tabs>
          <w:tab w:pos="1761" w:val="left" w:leader="none"/>
          <w:tab w:pos="1762" w:val="left" w:leader="none"/>
        </w:tabs>
        <w:spacing w:line="170" w:lineRule="exact" w:before="0" w:after="0"/>
        <w:ind w:left="1761" w:right="0" w:hanging="794"/>
        <w:jc w:val="left"/>
        <w:rPr>
          <w:sz w:val="13"/>
        </w:rPr>
      </w:pPr>
      <w:r>
        <w:rPr>
          <w:spacing w:val="2"/>
          <w:sz w:val="13"/>
        </w:rPr>
        <w:t>Submission </w:t>
      </w:r>
      <w:r>
        <w:rPr>
          <w:sz w:val="13"/>
        </w:rPr>
        <w:t>3 (Youth </w:t>
      </w:r>
      <w:r>
        <w:rPr>
          <w:spacing w:val="2"/>
          <w:sz w:val="13"/>
        </w:rPr>
        <w:t>Disability </w:t>
      </w:r>
      <w:r>
        <w:rPr>
          <w:sz w:val="13"/>
        </w:rPr>
        <w:t>Advocacy</w:t>
      </w:r>
      <w:r>
        <w:rPr>
          <w:spacing w:val="-3"/>
          <w:sz w:val="13"/>
        </w:rPr>
        <w:t> </w:t>
      </w:r>
      <w:r>
        <w:rPr>
          <w:sz w:val="13"/>
        </w:rPr>
        <w:t>Service).</w:t>
      </w:r>
    </w:p>
    <w:p>
      <w:pPr>
        <w:spacing w:before="54"/>
        <w:ind w:left="967" w:right="0" w:firstLine="0"/>
        <w:jc w:val="left"/>
        <w:rPr>
          <w:b/>
          <w:sz w:val="24"/>
        </w:rPr>
      </w:pPr>
      <w:r>
        <w:rPr/>
        <w:br w:type="column"/>
      </w:r>
      <w:r>
        <w:rPr>
          <w:b/>
          <w:color w:val="37617A"/>
          <w:sz w:val="24"/>
        </w:rPr>
        <w:t>211</w:t>
      </w:r>
    </w:p>
    <w:p>
      <w:pPr>
        <w:spacing w:after="0"/>
        <w:jc w:val="left"/>
        <w:rPr>
          <w:sz w:val="24"/>
        </w:rPr>
        <w:sectPr>
          <w:type w:val="continuous"/>
          <w:pgSz w:w="11910" w:h="16840"/>
          <w:pgMar w:top="620" w:bottom="280" w:left="620" w:right="380"/>
          <w:cols w:num="2" w:equalWidth="0">
            <w:col w:w="8059" w:space="1280"/>
            <w:col w:w="1571"/>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1" w:val="left" w:leader="none"/>
          <w:tab w:pos="1762" w:val="left" w:leader="none"/>
        </w:tabs>
        <w:spacing w:line="206" w:lineRule="auto" w:before="0" w:after="0"/>
        <w:ind w:left="1761" w:right="1209" w:hanging="794"/>
        <w:jc w:val="left"/>
        <w:rPr>
          <w:sz w:val="20"/>
        </w:rPr>
      </w:pPr>
      <w:bookmarkStart w:name="Internal protocols should be developed a" w:id="372"/>
      <w:bookmarkEnd w:id="372"/>
      <w:r>
        <w:rPr/>
      </w:r>
      <w:bookmarkStart w:name="_bookmark156" w:id="373"/>
      <w:bookmarkEnd w:id="373"/>
      <w:r>
        <w:rPr/>
      </w:r>
      <w:bookmarkStart w:name="_bookmark156" w:id="374"/>
      <w:bookmarkEnd w:id="374"/>
      <w:r>
        <w:rPr>
          <w:sz w:val="20"/>
        </w:rPr>
        <w:t>T</w:t>
      </w:r>
      <w:r>
        <w:rPr>
          <w:sz w:val="20"/>
        </w:rPr>
        <w:t>he </w:t>
      </w:r>
      <w:r>
        <w:rPr>
          <w:spacing w:val="-3"/>
          <w:sz w:val="20"/>
        </w:rPr>
        <w:t>content </w:t>
      </w:r>
      <w:r>
        <w:rPr>
          <w:sz w:val="20"/>
        </w:rPr>
        <w:t>of this training should be matched to the needs of the recipients. In </w:t>
      </w:r>
      <w:r>
        <w:rPr>
          <w:spacing w:val="-2"/>
          <w:sz w:val="20"/>
        </w:rPr>
        <w:t>Chapter </w:t>
      </w:r>
      <w:r>
        <w:rPr>
          <w:spacing w:val="3"/>
          <w:sz w:val="20"/>
        </w:rPr>
        <w:t>14, </w:t>
      </w:r>
      <w:r>
        <w:rPr>
          <w:spacing w:val="-3"/>
          <w:sz w:val="20"/>
        </w:rPr>
        <w:t>we </w:t>
      </w:r>
      <w:r>
        <w:rPr>
          <w:sz w:val="20"/>
        </w:rPr>
        <w:t>recommended that the Judicial College </w:t>
      </w:r>
      <w:r>
        <w:rPr>
          <w:spacing w:val="-3"/>
          <w:sz w:val="20"/>
        </w:rPr>
        <w:t>provides </w:t>
      </w:r>
      <w:r>
        <w:rPr>
          <w:sz w:val="20"/>
        </w:rPr>
        <w:t>training on the Recommended National Standards for </w:t>
      </w:r>
      <w:r>
        <w:rPr>
          <w:spacing w:val="-3"/>
          <w:sz w:val="20"/>
        </w:rPr>
        <w:t>Working </w:t>
      </w:r>
      <w:r>
        <w:rPr>
          <w:sz w:val="20"/>
        </w:rPr>
        <w:t>with </w:t>
      </w:r>
      <w:r>
        <w:rPr>
          <w:spacing w:val="-3"/>
          <w:sz w:val="20"/>
        </w:rPr>
        <w:t>Interpreters </w:t>
      </w:r>
      <w:r>
        <w:rPr>
          <w:sz w:val="20"/>
        </w:rPr>
        <w:t>in Court </w:t>
      </w:r>
      <w:r>
        <w:rPr>
          <w:spacing w:val="-3"/>
          <w:sz w:val="20"/>
        </w:rPr>
        <w:t>(RNS). </w:t>
      </w:r>
      <w:r>
        <w:rPr>
          <w:sz w:val="20"/>
        </w:rPr>
        <w:t>Judges</w:t>
      </w:r>
      <w:r>
        <w:rPr>
          <w:spacing w:val="-13"/>
          <w:sz w:val="20"/>
        </w:rPr>
        <w:t> </w:t>
      </w:r>
      <w:r>
        <w:rPr>
          <w:sz w:val="20"/>
        </w:rPr>
        <w:t>should</w:t>
      </w:r>
      <w:r>
        <w:rPr>
          <w:spacing w:val="-12"/>
          <w:sz w:val="20"/>
        </w:rPr>
        <w:t> </w:t>
      </w:r>
      <w:r>
        <w:rPr>
          <w:sz w:val="20"/>
        </w:rPr>
        <w:t>also</w:t>
      </w:r>
      <w:r>
        <w:rPr>
          <w:spacing w:val="-12"/>
          <w:sz w:val="20"/>
        </w:rPr>
        <w:t> </w:t>
      </w:r>
      <w:r>
        <w:rPr>
          <w:sz w:val="20"/>
        </w:rPr>
        <w:t>be</w:t>
      </w:r>
      <w:r>
        <w:rPr>
          <w:spacing w:val="-12"/>
          <w:sz w:val="20"/>
        </w:rPr>
        <w:t> </w:t>
      </w:r>
      <w:r>
        <w:rPr>
          <w:sz w:val="20"/>
        </w:rPr>
        <w:t>briefed</w:t>
      </w:r>
      <w:r>
        <w:rPr>
          <w:spacing w:val="-12"/>
          <w:sz w:val="20"/>
        </w:rPr>
        <w:t> </w:t>
      </w:r>
      <w:r>
        <w:rPr>
          <w:sz w:val="20"/>
        </w:rPr>
        <w:t>about</w:t>
      </w:r>
      <w:r>
        <w:rPr>
          <w:spacing w:val="-13"/>
          <w:sz w:val="20"/>
        </w:rPr>
        <w:t> </w:t>
      </w:r>
      <w:r>
        <w:rPr>
          <w:spacing w:val="-3"/>
          <w:sz w:val="20"/>
        </w:rPr>
        <w:t>likely</w:t>
      </w:r>
      <w:r>
        <w:rPr>
          <w:spacing w:val="-12"/>
          <w:sz w:val="20"/>
        </w:rPr>
        <w:t> </w:t>
      </w:r>
      <w:r>
        <w:rPr>
          <w:sz w:val="20"/>
        </w:rPr>
        <w:t>courtroom</w:t>
      </w:r>
      <w:r>
        <w:rPr>
          <w:spacing w:val="-12"/>
          <w:sz w:val="20"/>
        </w:rPr>
        <w:t> </w:t>
      </w:r>
      <w:r>
        <w:rPr>
          <w:sz w:val="20"/>
        </w:rPr>
        <w:t>adjustments,</w:t>
      </w:r>
      <w:r>
        <w:rPr>
          <w:spacing w:val="-12"/>
          <w:sz w:val="20"/>
        </w:rPr>
        <w:t> </w:t>
      </w:r>
      <w:r>
        <w:rPr>
          <w:sz w:val="20"/>
        </w:rPr>
        <w:t>including</w:t>
      </w:r>
      <w:r>
        <w:rPr>
          <w:spacing w:val="-12"/>
          <w:sz w:val="20"/>
        </w:rPr>
        <w:t> </w:t>
      </w:r>
      <w:r>
        <w:rPr>
          <w:sz w:val="20"/>
        </w:rPr>
        <w:t>about</w:t>
      </w:r>
      <w:r>
        <w:rPr>
          <w:spacing w:val="-12"/>
          <w:sz w:val="20"/>
        </w:rPr>
        <w:t> </w:t>
      </w:r>
      <w:r>
        <w:rPr>
          <w:sz w:val="20"/>
        </w:rPr>
        <w:t>line of sight</w:t>
      </w:r>
      <w:r>
        <w:rPr>
          <w:spacing w:val="-9"/>
          <w:sz w:val="20"/>
        </w:rPr>
        <w:t> </w:t>
      </w:r>
      <w:r>
        <w:rPr>
          <w:sz w:val="20"/>
        </w:rPr>
        <w:t>requirements.</w:t>
      </w:r>
    </w:p>
    <w:p>
      <w:pPr>
        <w:pStyle w:val="ListParagraph"/>
        <w:numPr>
          <w:ilvl w:val="1"/>
          <w:numId w:val="12"/>
        </w:numPr>
        <w:tabs>
          <w:tab w:pos="1761" w:val="left" w:leader="none"/>
          <w:tab w:pos="1762" w:val="left" w:leader="none"/>
        </w:tabs>
        <w:spacing w:line="206" w:lineRule="auto" w:before="127" w:after="0"/>
        <w:ind w:left="1761" w:right="1337" w:hanging="794"/>
        <w:jc w:val="left"/>
        <w:rPr>
          <w:sz w:val="11"/>
        </w:rPr>
      </w:pPr>
      <w:r>
        <w:rPr>
          <w:sz w:val="20"/>
        </w:rPr>
        <w:t>Some adjustments </w:t>
      </w:r>
      <w:r>
        <w:rPr>
          <w:spacing w:val="-3"/>
          <w:sz w:val="20"/>
        </w:rPr>
        <w:t>are </w:t>
      </w:r>
      <w:r>
        <w:rPr>
          <w:sz w:val="20"/>
        </w:rPr>
        <w:t>already </w:t>
      </w:r>
      <w:r>
        <w:rPr>
          <w:spacing w:val="-3"/>
          <w:sz w:val="20"/>
        </w:rPr>
        <w:t>provided </w:t>
      </w:r>
      <w:r>
        <w:rPr>
          <w:sz w:val="20"/>
        </w:rPr>
        <w:t>in court for witnesses and parties and </w:t>
      </w:r>
      <w:r>
        <w:rPr>
          <w:spacing w:val="-3"/>
          <w:sz w:val="20"/>
        </w:rPr>
        <w:t>are </w:t>
      </w:r>
      <w:r>
        <w:rPr>
          <w:sz w:val="20"/>
        </w:rPr>
        <w:t>outlined</w:t>
      </w:r>
      <w:r>
        <w:rPr>
          <w:spacing w:val="-11"/>
          <w:sz w:val="20"/>
        </w:rPr>
        <w:t> </w:t>
      </w:r>
      <w:r>
        <w:rPr>
          <w:sz w:val="20"/>
        </w:rPr>
        <w:t>in</w:t>
      </w:r>
      <w:r>
        <w:rPr>
          <w:spacing w:val="-11"/>
          <w:sz w:val="20"/>
        </w:rPr>
        <w:t> </w:t>
      </w:r>
      <w:r>
        <w:rPr>
          <w:sz w:val="20"/>
        </w:rPr>
        <w:t>the</w:t>
      </w:r>
      <w:r>
        <w:rPr>
          <w:spacing w:val="-10"/>
          <w:sz w:val="20"/>
        </w:rPr>
        <w:t> </w:t>
      </w:r>
      <w:r>
        <w:rPr>
          <w:i/>
          <w:sz w:val="20"/>
        </w:rPr>
        <w:t>Disability</w:t>
      </w:r>
      <w:r>
        <w:rPr>
          <w:i/>
          <w:spacing w:val="-11"/>
          <w:sz w:val="20"/>
        </w:rPr>
        <w:t> </w:t>
      </w:r>
      <w:r>
        <w:rPr>
          <w:i/>
          <w:sz w:val="20"/>
        </w:rPr>
        <w:t>Access</w:t>
      </w:r>
      <w:r>
        <w:rPr>
          <w:i/>
          <w:spacing w:val="-10"/>
          <w:sz w:val="20"/>
        </w:rPr>
        <w:t> </w:t>
      </w:r>
      <w:r>
        <w:rPr>
          <w:i/>
          <w:sz w:val="20"/>
        </w:rPr>
        <w:t>Bench</w:t>
      </w:r>
      <w:r>
        <w:rPr>
          <w:i/>
          <w:spacing w:val="-11"/>
          <w:sz w:val="20"/>
        </w:rPr>
        <w:t> </w:t>
      </w:r>
      <w:r>
        <w:rPr>
          <w:i/>
          <w:sz w:val="20"/>
        </w:rPr>
        <w:t>Book</w:t>
      </w:r>
      <w:r>
        <w:rPr>
          <w:sz w:val="20"/>
        </w:rPr>
        <w:t>.</w:t>
      </w:r>
      <w:r>
        <w:rPr>
          <w:position w:val="7"/>
          <w:sz w:val="11"/>
        </w:rPr>
        <w:t>31</w:t>
      </w:r>
      <w:r>
        <w:rPr>
          <w:spacing w:val="14"/>
          <w:position w:val="7"/>
          <w:sz w:val="11"/>
        </w:rPr>
        <w:t> </w:t>
      </w:r>
      <w:r>
        <w:rPr>
          <w:sz w:val="20"/>
        </w:rPr>
        <w:t>Information</w:t>
      </w:r>
      <w:r>
        <w:rPr>
          <w:spacing w:val="-10"/>
          <w:sz w:val="20"/>
        </w:rPr>
        <w:t> </w:t>
      </w:r>
      <w:r>
        <w:rPr>
          <w:sz w:val="20"/>
        </w:rPr>
        <w:t>on</w:t>
      </w:r>
      <w:r>
        <w:rPr>
          <w:spacing w:val="-11"/>
          <w:sz w:val="20"/>
        </w:rPr>
        <w:t> </w:t>
      </w:r>
      <w:r>
        <w:rPr>
          <w:sz w:val="20"/>
        </w:rPr>
        <w:t>working</w:t>
      </w:r>
      <w:r>
        <w:rPr>
          <w:spacing w:val="-11"/>
          <w:sz w:val="20"/>
        </w:rPr>
        <w:t> </w:t>
      </w:r>
      <w:r>
        <w:rPr>
          <w:sz w:val="20"/>
        </w:rPr>
        <w:t>with</w:t>
      </w:r>
      <w:r>
        <w:rPr>
          <w:spacing w:val="-10"/>
          <w:sz w:val="20"/>
        </w:rPr>
        <w:t> </w:t>
      </w:r>
      <w:r>
        <w:rPr>
          <w:spacing w:val="-3"/>
          <w:sz w:val="20"/>
        </w:rPr>
        <w:t>interpreters </w:t>
      </w:r>
      <w:r>
        <w:rPr>
          <w:sz w:val="20"/>
        </w:rPr>
        <w:t>(but not specifically about the RNS) is included in the </w:t>
      </w:r>
      <w:r>
        <w:rPr>
          <w:i/>
          <w:sz w:val="20"/>
        </w:rPr>
        <w:t>Disability Access Bench Book</w:t>
      </w:r>
      <w:r>
        <w:rPr>
          <w:sz w:val="20"/>
        </w:rPr>
        <w:t>.</w:t>
      </w:r>
      <w:r>
        <w:rPr>
          <w:position w:val="7"/>
          <w:sz w:val="11"/>
        </w:rPr>
        <w:t>32</w:t>
      </w:r>
      <w:r>
        <w:rPr>
          <w:sz w:val="11"/>
        </w:rPr>
        <w:t> </w:t>
      </w:r>
      <w:r>
        <w:rPr>
          <w:sz w:val="20"/>
        </w:rPr>
        <w:t>The</w:t>
      </w:r>
      <w:r>
        <w:rPr>
          <w:spacing w:val="-9"/>
          <w:sz w:val="20"/>
        </w:rPr>
        <w:t> </w:t>
      </w:r>
      <w:r>
        <w:rPr>
          <w:sz w:val="20"/>
        </w:rPr>
        <w:t>Judicial</w:t>
      </w:r>
      <w:r>
        <w:rPr>
          <w:spacing w:val="-8"/>
          <w:sz w:val="20"/>
        </w:rPr>
        <w:t> </w:t>
      </w:r>
      <w:r>
        <w:rPr>
          <w:sz w:val="20"/>
        </w:rPr>
        <w:t>College</w:t>
      </w:r>
      <w:r>
        <w:rPr>
          <w:spacing w:val="-8"/>
          <w:sz w:val="20"/>
        </w:rPr>
        <w:t> </w:t>
      </w:r>
      <w:r>
        <w:rPr>
          <w:sz w:val="20"/>
        </w:rPr>
        <w:t>of</w:t>
      </w:r>
      <w:r>
        <w:rPr>
          <w:spacing w:val="-8"/>
          <w:sz w:val="20"/>
        </w:rPr>
        <w:t> </w:t>
      </w:r>
      <w:r>
        <w:rPr>
          <w:sz w:val="20"/>
        </w:rPr>
        <w:t>Victoria</w:t>
      </w:r>
      <w:r>
        <w:rPr>
          <w:spacing w:val="-8"/>
          <w:sz w:val="20"/>
        </w:rPr>
        <w:t> </w:t>
      </w:r>
      <w:r>
        <w:rPr>
          <w:spacing w:val="-3"/>
          <w:sz w:val="20"/>
        </w:rPr>
        <w:t>features</w:t>
      </w:r>
      <w:r>
        <w:rPr>
          <w:spacing w:val="-8"/>
          <w:sz w:val="20"/>
        </w:rPr>
        <w:t> </w:t>
      </w:r>
      <w:r>
        <w:rPr>
          <w:sz w:val="20"/>
        </w:rPr>
        <w:t>the</w:t>
      </w:r>
      <w:r>
        <w:rPr>
          <w:spacing w:val="-8"/>
          <w:sz w:val="20"/>
        </w:rPr>
        <w:t> </w:t>
      </w:r>
      <w:r>
        <w:rPr>
          <w:sz w:val="20"/>
        </w:rPr>
        <w:t>RNS</w:t>
      </w:r>
      <w:r>
        <w:rPr>
          <w:spacing w:val="-8"/>
          <w:sz w:val="20"/>
        </w:rPr>
        <w:t> </w:t>
      </w:r>
      <w:r>
        <w:rPr>
          <w:sz w:val="20"/>
        </w:rPr>
        <w:t>on</w:t>
      </w:r>
      <w:r>
        <w:rPr>
          <w:spacing w:val="-8"/>
          <w:sz w:val="20"/>
        </w:rPr>
        <w:t> </w:t>
      </w:r>
      <w:r>
        <w:rPr>
          <w:sz w:val="20"/>
        </w:rPr>
        <w:t>its</w:t>
      </w:r>
      <w:r>
        <w:rPr>
          <w:spacing w:val="-8"/>
          <w:sz w:val="20"/>
        </w:rPr>
        <w:t> </w:t>
      </w:r>
      <w:r>
        <w:rPr>
          <w:sz w:val="20"/>
        </w:rPr>
        <w:t>website.</w:t>
      </w:r>
      <w:r>
        <w:rPr>
          <w:position w:val="7"/>
          <w:sz w:val="11"/>
        </w:rPr>
        <w:t>33</w:t>
      </w:r>
      <w:r>
        <w:rPr>
          <w:spacing w:val="17"/>
          <w:position w:val="7"/>
          <w:sz w:val="11"/>
        </w:rPr>
        <w:t> </w:t>
      </w:r>
      <w:r>
        <w:rPr>
          <w:spacing w:val="-6"/>
          <w:sz w:val="20"/>
        </w:rPr>
        <w:t>We</w:t>
      </w:r>
      <w:r>
        <w:rPr>
          <w:spacing w:val="-8"/>
          <w:sz w:val="20"/>
        </w:rPr>
        <w:t> </w:t>
      </w:r>
      <w:r>
        <w:rPr>
          <w:sz w:val="20"/>
        </w:rPr>
        <w:t>agree</w:t>
      </w:r>
      <w:r>
        <w:rPr>
          <w:spacing w:val="-8"/>
          <w:sz w:val="20"/>
        </w:rPr>
        <w:t> </w:t>
      </w:r>
      <w:r>
        <w:rPr>
          <w:sz w:val="20"/>
        </w:rPr>
        <w:t>with</w:t>
      </w:r>
      <w:r>
        <w:rPr>
          <w:spacing w:val="-8"/>
          <w:sz w:val="20"/>
        </w:rPr>
        <w:t> </w:t>
      </w:r>
      <w:r>
        <w:rPr>
          <w:spacing w:val="-4"/>
          <w:sz w:val="20"/>
        </w:rPr>
        <w:t>VLA’s </w:t>
      </w:r>
      <w:r>
        <w:rPr>
          <w:sz w:val="20"/>
        </w:rPr>
        <w:t>suggestion that the </w:t>
      </w:r>
      <w:r>
        <w:rPr>
          <w:i/>
          <w:sz w:val="20"/>
        </w:rPr>
        <w:t>Disability Access Bench Book </w:t>
      </w:r>
      <w:r>
        <w:rPr>
          <w:spacing w:val="-3"/>
          <w:sz w:val="20"/>
        </w:rPr>
        <w:t>‘could </w:t>
      </w:r>
      <w:r>
        <w:rPr>
          <w:sz w:val="20"/>
        </w:rPr>
        <w:t>be updated to specifically address accessibility and supports for jurors who </w:t>
      </w:r>
      <w:r>
        <w:rPr>
          <w:spacing w:val="-3"/>
          <w:sz w:val="20"/>
        </w:rPr>
        <w:t>are </w:t>
      </w:r>
      <w:r>
        <w:rPr>
          <w:spacing w:val="-4"/>
          <w:sz w:val="20"/>
        </w:rPr>
        <w:t>deaf, </w:t>
      </w:r>
      <w:r>
        <w:rPr>
          <w:sz w:val="20"/>
        </w:rPr>
        <w:t>hard of hearing, blind or </w:t>
      </w:r>
      <w:r>
        <w:rPr>
          <w:spacing w:val="-4"/>
          <w:sz w:val="20"/>
        </w:rPr>
        <w:t>have low</w:t>
      </w:r>
      <w:r>
        <w:rPr>
          <w:spacing w:val="-5"/>
          <w:sz w:val="20"/>
        </w:rPr>
        <w:t> </w:t>
      </w:r>
      <w:r>
        <w:rPr>
          <w:sz w:val="20"/>
        </w:rPr>
        <w:t>vision’.</w:t>
      </w:r>
      <w:r>
        <w:rPr>
          <w:position w:val="7"/>
          <w:sz w:val="11"/>
        </w:rPr>
        <w:t>34</w:t>
      </w:r>
    </w:p>
    <w:p>
      <w:pPr>
        <w:pStyle w:val="BodyText"/>
        <w:spacing w:before="12"/>
        <w:rPr>
          <w:sz w:val="16"/>
        </w:rPr>
      </w:pPr>
    </w:p>
    <w:p>
      <w:pPr>
        <w:spacing w:before="0"/>
        <w:ind w:left="967" w:right="0" w:firstLine="0"/>
        <w:jc w:val="left"/>
        <w:rPr>
          <w:rFonts w:ascii="Raleway ExtraBold"/>
          <w:b/>
          <w:sz w:val="28"/>
        </w:rPr>
      </w:pPr>
      <w:r>
        <w:rPr>
          <w:rFonts w:ascii="Raleway ExtraBold"/>
          <w:b/>
          <w:color w:val="37617A"/>
          <w:sz w:val="28"/>
        </w:rPr>
        <w:t>Internal protocols should be developed about the new laws</w:t>
      </w:r>
    </w:p>
    <w:p>
      <w:pPr>
        <w:pStyle w:val="ListParagraph"/>
        <w:numPr>
          <w:ilvl w:val="1"/>
          <w:numId w:val="12"/>
        </w:numPr>
        <w:tabs>
          <w:tab w:pos="1761" w:val="left" w:leader="none"/>
          <w:tab w:pos="1762" w:val="left" w:leader="none"/>
        </w:tabs>
        <w:spacing w:line="259" w:lineRule="exact" w:before="114" w:after="0"/>
        <w:ind w:left="1761" w:right="0" w:hanging="794"/>
        <w:jc w:val="left"/>
        <w:rPr>
          <w:sz w:val="20"/>
        </w:rPr>
      </w:pPr>
      <w:r>
        <w:rPr>
          <w:sz w:val="20"/>
        </w:rPr>
        <w:t>Juries</w:t>
      </w:r>
      <w:r>
        <w:rPr>
          <w:spacing w:val="-7"/>
          <w:sz w:val="20"/>
        </w:rPr>
        <w:t> </w:t>
      </w:r>
      <w:r>
        <w:rPr>
          <w:sz w:val="20"/>
        </w:rPr>
        <w:t>Victoria,</w:t>
      </w:r>
      <w:r>
        <w:rPr>
          <w:spacing w:val="-6"/>
          <w:sz w:val="20"/>
        </w:rPr>
        <w:t> </w:t>
      </w:r>
      <w:r>
        <w:rPr>
          <w:sz w:val="20"/>
        </w:rPr>
        <w:t>in</w:t>
      </w:r>
      <w:r>
        <w:rPr>
          <w:spacing w:val="-6"/>
          <w:sz w:val="20"/>
        </w:rPr>
        <w:t> </w:t>
      </w:r>
      <w:r>
        <w:rPr>
          <w:sz w:val="20"/>
        </w:rPr>
        <w:t>partnership</w:t>
      </w:r>
      <w:r>
        <w:rPr>
          <w:spacing w:val="-6"/>
          <w:sz w:val="20"/>
        </w:rPr>
        <w:t> </w:t>
      </w:r>
      <w:r>
        <w:rPr>
          <w:sz w:val="20"/>
        </w:rPr>
        <w:t>with</w:t>
      </w:r>
      <w:r>
        <w:rPr>
          <w:spacing w:val="-6"/>
          <w:sz w:val="20"/>
        </w:rPr>
        <w:t> </w:t>
      </w:r>
      <w:r>
        <w:rPr>
          <w:sz w:val="20"/>
        </w:rPr>
        <w:t>the</w:t>
      </w:r>
      <w:r>
        <w:rPr>
          <w:spacing w:val="-7"/>
          <w:sz w:val="20"/>
        </w:rPr>
        <w:t> </w:t>
      </w:r>
      <w:r>
        <w:rPr>
          <w:sz w:val="20"/>
        </w:rPr>
        <w:t>courts,</w:t>
      </w:r>
      <w:r>
        <w:rPr>
          <w:spacing w:val="-6"/>
          <w:sz w:val="20"/>
        </w:rPr>
        <w:t> </w:t>
      </w:r>
      <w:r>
        <w:rPr>
          <w:sz w:val="20"/>
        </w:rPr>
        <w:t>should</w:t>
      </w:r>
      <w:r>
        <w:rPr>
          <w:spacing w:val="-6"/>
          <w:sz w:val="20"/>
        </w:rPr>
        <w:t> </w:t>
      </w:r>
      <w:r>
        <w:rPr>
          <w:spacing w:val="-3"/>
          <w:sz w:val="20"/>
        </w:rPr>
        <w:t>develop</w:t>
      </w:r>
      <w:r>
        <w:rPr>
          <w:spacing w:val="-6"/>
          <w:sz w:val="20"/>
        </w:rPr>
        <w:t> </w:t>
      </w:r>
      <w:r>
        <w:rPr>
          <w:sz w:val="20"/>
        </w:rPr>
        <w:t>internal</w:t>
      </w:r>
      <w:r>
        <w:rPr>
          <w:spacing w:val="-6"/>
          <w:sz w:val="20"/>
        </w:rPr>
        <w:t> </w:t>
      </w:r>
      <w:r>
        <w:rPr>
          <w:sz w:val="20"/>
        </w:rPr>
        <w:t>protocols</w:t>
      </w:r>
      <w:r>
        <w:rPr>
          <w:spacing w:val="-7"/>
          <w:sz w:val="20"/>
        </w:rPr>
        <w:t> </w:t>
      </w:r>
      <w:r>
        <w:rPr>
          <w:sz w:val="20"/>
        </w:rPr>
        <w:t>to</w:t>
      </w:r>
    </w:p>
    <w:p>
      <w:pPr>
        <w:pStyle w:val="BodyText"/>
        <w:spacing w:line="259" w:lineRule="exact"/>
        <w:ind w:left="1761"/>
      </w:pPr>
      <w:r>
        <w:rPr/>
        <w:t>guide court and Juries Victoria staff about the operation of new laws and procedures.</w:t>
      </w:r>
    </w:p>
    <w:p>
      <w:pPr>
        <w:pStyle w:val="ListParagraph"/>
        <w:numPr>
          <w:ilvl w:val="1"/>
          <w:numId w:val="12"/>
        </w:numPr>
        <w:tabs>
          <w:tab w:pos="1761" w:val="left" w:leader="none"/>
          <w:tab w:pos="1762" w:val="left" w:leader="none"/>
        </w:tabs>
        <w:spacing w:line="206" w:lineRule="auto" w:before="114" w:after="0"/>
        <w:ind w:left="1761" w:right="1447" w:hanging="794"/>
        <w:jc w:val="left"/>
        <w:rPr>
          <w:sz w:val="20"/>
        </w:rPr>
      </w:pPr>
      <w:r>
        <w:rPr>
          <w:sz w:val="20"/>
        </w:rPr>
        <w:t>Protocols</w:t>
      </w:r>
      <w:r>
        <w:rPr>
          <w:spacing w:val="-9"/>
          <w:sz w:val="20"/>
        </w:rPr>
        <w:t> </w:t>
      </w:r>
      <w:r>
        <w:rPr>
          <w:sz w:val="20"/>
        </w:rPr>
        <w:t>of</w:t>
      </w:r>
      <w:r>
        <w:rPr>
          <w:spacing w:val="-8"/>
          <w:sz w:val="20"/>
        </w:rPr>
        <w:t> </w:t>
      </w:r>
      <w:r>
        <w:rPr>
          <w:sz w:val="20"/>
        </w:rPr>
        <w:t>this</w:t>
      </w:r>
      <w:r>
        <w:rPr>
          <w:spacing w:val="-8"/>
          <w:sz w:val="20"/>
        </w:rPr>
        <w:t> </w:t>
      </w:r>
      <w:r>
        <w:rPr>
          <w:sz w:val="20"/>
        </w:rPr>
        <w:t>kind</w:t>
      </w:r>
      <w:r>
        <w:rPr>
          <w:spacing w:val="-8"/>
          <w:sz w:val="20"/>
        </w:rPr>
        <w:t> </w:t>
      </w:r>
      <w:r>
        <w:rPr>
          <w:spacing w:val="-4"/>
          <w:sz w:val="20"/>
        </w:rPr>
        <w:t>have</w:t>
      </w:r>
      <w:r>
        <w:rPr>
          <w:spacing w:val="-8"/>
          <w:sz w:val="20"/>
        </w:rPr>
        <w:t> </w:t>
      </w:r>
      <w:r>
        <w:rPr>
          <w:sz w:val="20"/>
        </w:rPr>
        <w:t>been</w:t>
      </w:r>
      <w:r>
        <w:rPr>
          <w:spacing w:val="-8"/>
          <w:sz w:val="20"/>
        </w:rPr>
        <w:t> </w:t>
      </w:r>
      <w:r>
        <w:rPr>
          <w:spacing w:val="-3"/>
          <w:sz w:val="20"/>
        </w:rPr>
        <w:t>developed</w:t>
      </w:r>
      <w:r>
        <w:rPr>
          <w:spacing w:val="-8"/>
          <w:sz w:val="20"/>
        </w:rPr>
        <w:t> </w:t>
      </w:r>
      <w:r>
        <w:rPr>
          <w:sz w:val="20"/>
        </w:rPr>
        <w:t>in</w:t>
      </w:r>
      <w:r>
        <w:rPr>
          <w:spacing w:val="-9"/>
          <w:sz w:val="20"/>
        </w:rPr>
        <w:t> </w:t>
      </w:r>
      <w:r>
        <w:rPr>
          <w:sz w:val="20"/>
        </w:rPr>
        <w:t>England</w:t>
      </w:r>
      <w:r>
        <w:rPr>
          <w:spacing w:val="-8"/>
          <w:sz w:val="20"/>
        </w:rPr>
        <w:t> </w:t>
      </w:r>
      <w:r>
        <w:rPr>
          <w:sz w:val="20"/>
        </w:rPr>
        <w:t>and</w:t>
      </w:r>
      <w:r>
        <w:rPr>
          <w:spacing w:val="-8"/>
          <w:sz w:val="20"/>
        </w:rPr>
        <w:t> </w:t>
      </w:r>
      <w:r>
        <w:rPr>
          <w:spacing w:val="-4"/>
          <w:sz w:val="20"/>
        </w:rPr>
        <w:t>Wales</w:t>
      </w:r>
      <w:r>
        <w:rPr>
          <w:spacing w:val="-8"/>
          <w:sz w:val="20"/>
        </w:rPr>
        <w:t> </w:t>
      </w:r>
      <w:r>
        <w:rPr>
          <w:sz w:val="20"/>
        </w:rPr>
        <w:t>and</w:t>
      </w:r>
      <w:r>
        <w:rPr>
          <w:spacing w:val="-8"/>
          <w:sz w:val="20"/>
        </w:rPr>
        <w:t> </w:t>
      </w:r>
      <w:r>
        <w:rPr>
          <w:sz w:val="20"/>
        </w:rPr>
        <w:t>the</w:t>
      </w:r>
      <w:r>
        <w:rPr>
          <w:spacing w:val="-8"/>
          <w:sz w:val="20"/>
        </w:rPr>
        <w:t> </w:t>
      </w:r>
      <w:r>
        <w:rPr>
          <w:sz w:val="20"/>
        </w:rPr>
        <w:t>Australian Capital </w:t>
      </w:r>
      <w:r>
        <w:rPr>
          <w:spacing w:val="-3"/>
          <w:sz w:val="20"/>
        </w:rPr>
        <w:t>Territory </w:t>
      </w:r>
      <w:r>
        <w:rPr>
          <w:sz w:val="20"/>
        </w:rPr>
        <w:t>(ACT).</w:t>
      </w:r>
      <w:r>
        <w:rPr>
          <w:position w:val="7"/>
          <w:sz w:val="11"/>
        </w:rPr>
        <w:t>35 </w:t>
      </w:r>
      <w:r>
        <w:rPr>
          <w:sz w:val="20"/>
        </w:rPr>
        <w:t>Juries Victoria and the courts should consult with the </w:t>
      </w:r>
      <w:r>
        <w:rPr>
          <w:spacing w:val="-4"/>
          <w:sz w:val="20"/>
        </w:rPr>
        <w:t>ACT </w:t>
      </w:r>
      <w:r>
        <w:rPr>
          <w:sz w:val="20"/>
        </w:rPr>
        <w:t>Court</w:t>
      </w:r>
      <w:r>
        <w:rPr>
          <w:spacing w:val="-6"/>
          <w:sz w:val="20"/>
        </w:rPr>
        <w:t> </w:t>
      </w:r>
      <w:r>
        <w:rPr>
          <w:sz w:val="20"/>
        </w:rPr>
        <w:t>and</w:t>
      </w:r>
      <w:r>
        <w:rPr>
          <w:spacing w:val="-5"/>
          <w:sz w:val="20"/>
        </w:rPr>
        <w:t> </w:t>
      </w:r>
      <w:r>
        <w:rPr>
          <w:sz w:val="20"/>
        </w:rPr>
        <w:t>Her</w:t>
      </w:r>
      <w:r>
        <w:rPr>
          <w:spacing w:val="-5"/>
          <w:sz w:val="20"/>
        </w:rPr>
        <w:t> </w:t>
      </w:r>
      <w:r>
        <w:rPr>
          <w:sz w:val="20"/>
        </w:rPr>
        <w:t>Majesty’s</w:t>
      </w:r>
      <w:r>
        <w:rPr>
          <w:spacing w:val="-6"/>
          <w:sz w:val="20"/>
        </w:rPr>
        <w:t> </w:t>
      </w:r>
      <w:r>
        <w:rPr>
          <w:sz w:val="20"/>
        </w:rPr>
        <w:t>Courts</w:t>
      </w:r>
      <w:r>
        <w:rPr>
          <w:spacing w:val="-5"/>
          <w:sz w:val="20"/>
        </w:rPr>
        <w:t> </w:t>
      </w:r>
      <w:r>
        <w:rPr>
          <w:sz w:val="20"/>
        </w:rPr>
        <w:t>and</w:t>
      </w:r>
      <w:r>
        <w:rPr>
          <w:spacing w:val="-5"/>
          <w:sz w:val="20"/>
        </w:rPr>
        <w:t> </w:t>
      </w:r>
      <w:r>
        <w:rPr>
          <w:spacing w:val="-4"/>
          <w:sz w:val="20"/>
        </w:rPr>
        <w:t>Tribunal</w:t>
      </w:r>
      <w:r>
        <w:rPr>
          <w:spacing w:val="-5"/>
          <w:sz w:val="20"/>
        </w:rPr>
        <w:t> </w:t>
      </w:r>
      <w:r>
        <w:rPr>
          <w:sz w:val="20"/>
        </w:rPr>
        <w:t>Services</w:t>
      </w:r>
      <w:r>
        <w:rPr>
          <w:spacing w:val="-6"/>
          <w:sz w:val="20"/>
        </w:rPr>
        <w:t> </w:t>
      </w:r>
      <w:r>
        <w:rPr>
          <w:spacing w:val="-3"/>
          <w:sz w:val="20"/>
        </w:rPr>
        <w:t>(HMCTS)</w:t>
      </w:r>
      <w:r>
        <w:rPr>
          <w:spacing w:val="-5"/>
          <w:sz w:val="20"/>
        </w:rPr>
        <w:t> </w:t>
      </w:r>
      <w:r>
        <w:rPr>
          <w:sz w:val="20"/>
        </w:rPr>
        <w:t>to</w:t>
      </w:r>
      <w:r>
        <w:rPr>
          <w:spacing w:val="-5"/>
          <w:sz w:val="20"/>
        </w:rPr>
        <w:t> </w:t>
      </w:r>
      <w:r>
        <w:rPr>
          <w:spacing w:val="-3"/>
          <w:sz w:val="20"/>
        </w:rPr>
        <w:t>develop</w:t>
      </w:r>
      <w:r>
        <w:rPr>
          <w:spacing w:val="-5"/>
          <w:sz w:val="20"/>
        </w:rPr>
        <w:t> </w:t>
      </w:r>
      <w:r>
        <w:rPr>
          <w:sz w:val="20"/>
        </w:rPr>
        <w:t>its</w:t>
      </w:r>
      <w:r>
        <w:rPr>
          <w:spacing w:val="-6"/>
          <w:sz w:val="20"/>
        </w:rPr>
        <w:t> </w:t>
      </w:r>
      <w:r>
        <w:rPr>
          <w:spacing w:val="-3"/>
          <w:sz w:val="20"/>
        </w:rPr>
        <w:t>internal </w:t>
      </w:r>
      <w:r>
        <w:rPr>
          <w:sz w:val="20"/>
        </w:rPr>
        <w:t>protocol.</w:t>
      </w:r>
    </w:p>
    <w:p>
      <w:pPr>
        <w:pStyle w:val="ListParagraph"/>
        <w:numPr>
          <w:ilvl w:val="1"/>
          <w:numId w:val="12"/>
        </w:numPr>
        <w:tabs>
          <w:tab w:pos="1761" w:val="left" w:leader="none"/>
          <w:tab w:pos="1762" w:val="left" w:leader="none"/>
        </w:tabs>
        <w:spacing w:line="240" w:lineRule="auto" w:before="93" w:after="0"/>
        <w:ind w:left="1761" w:right="0" w:hanging="794"/>
        <w:jc w:val="left"/>
        <w:rPr>
          <w:sz w:val="20"/>
        </w:rPr>
      </w:pPr>
      <w:r>
        <w:rPr>
          <w:spacing w:val="-4"/>
          <w:sz w:val="20"/>
        </w:rPr>
        <w:t>Key </w:t>
      </w:r>
      <w:r>
        <w:rPr>
          <w:sz w:val="20"/>
        </w:rPr>
        <w:t>information to be included in the </w:t>
      </w:r>
      <w:r>
        <w:rPr>
          <w:spacing w:val="-3"/>
          <w:sz w:val="20"/>
        </w:rPr>
        <w:t>protocol would</w:t>
      </w:r>
      <w:r>
        <w:rPr>
          <w:spacing w:val="-34"/>
          <w:sz w:val="20"/>
        </w:rPr>
        <w:t> </w:t>
      </w:r>
      <w:r>
        <w:rPr>
          <w:sz w:val="20"/>
        </w:rPr>
        <w:t>be:</w:t>
      </w:r>
    </w:p>
    <w:p>
      <w:pPr>
        <w:pStyle w:val="ListParagraph"/>
        <w:numPr>
          <w:ilvl w:val="2"/>
          <w:numId w:val="12"/>
        </w:numPr>
        <w:tabs>
          <w:tab w:pos="2157" w:val="left" w:leader="none"/>
          <w:tab w:pos="2158" w:val="left" w:leader="none"/>
        </w:tabs>
        <w:spacing w:line="259" w:lineRule="exact" w:before="82" w:after="0"/>
        <w:ind w:left="2157" w:right="0" w:hanging="396"/>
        <w:jc w:val="left"/>
        <w:rPr>
          <w:sz w:val="20"/>
        </w:rPr>
      </w:pPr>
      <w:r>
        <w:rPr>
          <w:sz w:val="20"/>
        </w:rPr>
        <w:t>an</w:t>
      </w:r>
      <w:r>
        <w:rPr>
          <w:spacing w:val="-6"/>
          <w:sz w:val="20"/>
        </w:rPr>
        <w:t> </w:t>
      </w:r>
      <w:r>
        <w:rPr>
          <w:spacing w:val="-3"/>
          <w:sz w:val="20"/>
        </w:rPr>
        <w:t>overview</w:t>
      </w:r>
      <w:r>
        <w:rPr>
          <w:spacing w:val="-5"/>
          <w:sz w:val="20"/>
        </w:rPr>
        <w:t> </w:t>
      </w:r>
      <w:r>
        <w:rPr>
          <w:sz w:val="20"/>
        </w:rPr>
        <w:t>of</w:t>
      </w:r>
      <w:r>
        <w:rPr>
          <w:spacing w:val="-5"/>
          <w:sz w:val="20"/>
        </w:rPr>
        <w:t> </w:t>
      </w:r>
      <w:r>
        <w:rPr>
          <w:spacing w:val="-4"/>
          <w:sz w:val="20"/>
        </w:rPr>
        <w:t>key</w:t>
      </w:r>
      <w:r>
        <w:rPr>
          <w:spacing w:val="-5"/>
          <w:sz w:val="20"/>
        </w:rPr>
        <w:t> </w:t>
      </w:r>
      <w:r>
        <w:rPr>
          <w:spacing w:val="-3"/>
          <w:sz w:val="20"/>
        </w:rPr>
        <w:t>roles</w:t>
      </w:r>
      <w:r>
        <w:rPr>
          <w:spacing w:val="-5"/>
          <w:sz w:val="20"/>
        </w:rPr>
        <w:t> </w:t>
      </w:r>
      <w:r>
        <w:rPr>
          <w:sz w:val="20"/>
        </w:rPr>
        <w:t>and</w:t>
      </w:r>
      <w:r>
        <w:rPr>
          <w:spacing w:val="-6"/>
          <w:sz w:val="20"/>
        </w:rPr>
        <w:t> </w:t>
      </w:r>
      <w:r>
        <w:rPr>
          <w:sz w:val="20"/>
        </w:rPr>
        <w:t>responsibilities:</w:t>
      </w:r>
      <w:r>
        <w:rPr>
          <w:spacing w:val="-5"/>
          <w:sz w:val="20"/>
        </w:rPr>
        <w:t> </w:t>
      </w:r>
      <w:r>
        <w:rPr>
          <w:sz w:val="20"/>
        </w:rPr>
        <w:t>Auslan</w:t>
      </w:r>
      <w:r>
        <w:rPr>
          <w:spacing w:val="-5"/>
          <w:sz w:val="20"/>
        </w:rPr>
        <w:t> </w:t>
      </w:r>
      <w:r>
        <w:rPr>
          <w:spacing w:val="-4"/>
          <w:sz w:val="20"/>
        </w:rPr>
        <w:t>interpreter,</w:t>
      </w:r>
      <w:r>
        <w:rPr>
          <w:spacing w:val="-5"/>
          <w:sz w:val="20"/>
        </w:rPr>
        <w:t> </w:t>
      </w:r>
      <w:r>
        <w:rPr>
          <w:sz w:val="20"/>
        </w:rPr>
        <w:t>support</w:t>
      </w:r>
      <w:r>
        <w:rPr>
          <w:spacing w:val="-5"/>
          <w:sz w:val="20"/>
        </w:rPr>
        <w:t> </w:t>
      </w:r>
      <w:r>
        <w:rPr>
          <w:sz w:val="20"/>
        </w:rPr>
        <w:t>person,</w:t>
      </w:r>
    </w:p>
    <w:p>
      <w:pPr>
        <w:pStyle w:val="BodyText"/>
        <w:spacing w:line="259" w:lineRule="exact"/>
        <w:ind w:left="2157"/>
      </w:pPr>
      <w:r>
        <w:rPr/>
        <w:t>accessibility officer, jury foreperson.</w:t>
      </w:r>
    </w:p>
    <w:p>
      <w:pPr>
        <w:pStyle w:val="ListParagraph"/>
        <w:numPr>
          <w:ilvl w:val="2"/>
          <w:numId w:val="12"/>
        </w:numPr>
        <w:tabs>
          <w:tab w:pos="2157" w:val="left" w:leader="none"/>
          <w:tab w:pos="2158" w:val="left" w:leader="none"/>
        </w:tabs>
        <w:spacing w:line="206" w:lineRule="auto" w:before="80" w:after="0"/>
        <w:ind w:left="2157" w:right="2185" w:hanging="396"/>
        <w:jc w:val="left"/>
        <w:rPr>
          <w:sz w:val="20"/>
        </w:rPr>
      </w:pPr>
      <w:r>
        <w:rPr>
          <w:sz w:val="20"/>
        </w:rPr>
        <w:t>what</w:t>
      </w:r>
      <w:r>
        <w:rPr>
          <w:spacing w:val="-10"/>
          <w:sz w:val="20"/>
        </w:rPr>
        <w:t> </w:t>
      </w:r>
      <w:r>
        <w:rPr>
          <w:sz w:val="20"/>
        </w:rPr>
        <w:t>information</w:t>
      </w:r>
      <w:r>
        <w:rPr>
          <w:spacing w:val="-10"/>
          <w:sz w:val="20"/>
        </w:rPr>
        <w:t> </w:t>
      </w:r>
      <w:r>
        <w:rPr>
          <w:sz w:val="20"/>
        </w:rPr>
        <w:t>is</w:t>
      </w:r>
      <w:r>
        <w:rPr>
          <w:spacing w:val="-10"/>
          <w:sz w:val="20"/>
        </w:rPr>
        <w:t> </w:t>
      </w:r>
      <w:r>
        <w:rPr>
          <w:spacing w:val="-3"/>
          <w:sz w:val="20"/>
        </w:rPr>
        <w:t>provided</w:t>
      </w:r>
      <w:r>
        <w:rPr>
          <w:spacing w:val="-10"/>
          <w:sz w:val="20"/>
        </w:rPr>
        <w:t> </w:t>
      </w:r>
      <w:r>
        <w:rPr>
          <w:sz w:val="20"/>
        </w:rPr>
        <w:t>to</w:t>
      </w:r>
      <w:r>
        <w:rPr>
          <w:spacing w:val="-10"/>
          <w:sz w:val="20"/>
        </w:rPr>
        <w:t> </w:t>
      </w:r>
      <w:r>
        <w:rPr>
          <w:sz w:val="20"/>
        </w:rPr>
        <w:t>the</w:t>
      </w:r>
      <w:r>
        <w:rPr>
          <w:spacing w:val="-10"/>
          <w:sz w:val="20"/>
        </w:rPr>
        <w:t> </w:t>
      </w:r>
      <w:r>
        <w:rPr>
          <w:sz w:val="20"/>
        </w:rPr>
        <w:t>person</w:t>
      </w:r>
      <w:r>
        <w:rPr>
          <w:spacing w:val="-10"/>
          <w:sz w:val="20"/>
        </w:rPr>
        <w:t> </w:t>
      </w:r>
      <w:r>
        <w:rPr>
          <w:sz w:val="20"/>
        </w:rPr>
        <w:t>summonsed</w:t>
      </w:r>
      <w:r>
        <w:rPr>
          <w:spacing w:val="-10"/>
          <w:sz w:val="20"/>
        </w:rPr>
        <w:t> </w:t>
      </w:r>
      <w:r>
        <w:rPr>
          <w:sz w:val="20"/>
        </w:rPr>
        <w:t>about</w:t>
      </w:r>
      <w:r>
        <w:rPr>
          <w:spacing w:val="-10"/>
          <w:sz w:val="20"/>
        </w:rPr>
        <w:t> </w:t>
      </w:r>
      <w:r>
        <w:rPr>
          <w:sz w:val="20"/>
        </w:rPr>
        <w:t>asking</w:t>
      </w:r>
      <w:r>
        <w:rPr>
          <w:spacing w:val="-10"/>
          <w:sz w:val="20"/>
        </w:rPr>
        <w:t> </w:t>
      </w:r>
      <w:r>
        <w:rPr>
          <w:sz w:val="20"/>
        </w:rPr>
        <w:t>for adjustments</w:t>
      </w:r>
    </w:p>
    <w:p>
      <w:pPr>
        <w:pStyle w:val="ListParagraph"/>
        <w:numPr>
          <w:ilvl w:val="2"/>
          <w:numId w:val="12"/>
        </w:numPr>
        <w:tabs>
          <w:tab w:pos="2157" w:val="left" w:leader="none"/>
          <w:tab w:pos="2158" w:val="left" w:leader="none"/>
        </w:tabs>
        <w:spacing w:line="259" w:lineRule="exact" w:before="55" w:after="0"/>
        <w:ind w:left="2157" w:right="0" w:hanging="396"/>
        <w:jc w:val="left"/>
        <w:rPr>
          <w:sz w:val="20"/>
        </w:rPr>
      </w:pPr>
      <w:r>
        <w:rPr>
          <w:sz w:val="20"/>
        </w:rPr>
        <w:t>the</w:t>
      </w:r>
      <w:r>
        <w:rPr>
          <w:spacing w:val="-7"/>
          <w:sz w:val="20"/>
        </w:rPr>
        <w:t> </w:t>
      </w:r>
      <w:r>
        <w:rPr>
          <w:sz w:val="20"/>
        </w:rPr>
        <w:t>definition</w:t>
      </w:r>
      <w:r>
        <w:rPr>
          <w:spacing w:val="-6"/>
          <w:sz w:val="20"/>
        </w:rPr>
        <w:t> </w:t>
      </w:r>
      <w:r>
        <w:rPr>
          <w:sz w:val="20"/>
        </w:rPr>
        <w:t>of</w:t>
      </w:r>
      <w:r>
        <w:rPr>
          <w:spacing w:val="-7"/>
          <w:sz w:val="20"/>
        </w:rPr>
        <w:t> </w:t>
      </w:r>
      <w:r>
        <w:rPr>
          <w:sz w:val="20"/>
        </w:rPr>
        <w:t>a</w:t>
      </w:r>
      <w:r>
        <w:rPr>
          <w:spacing w:val="-6"/>
          <w:sz w:val="20"/>
        </w:rPr>
        <w:t> </w:t>
      </w:r>
      <w:r>
        <w:rPr>
          <w:sz w:val="20"/>
        </w:rPr>
        <w:t>reasonable</w:t>
      </w:r>
      <w:r>
        <w:rPr>
          <w:spacing w:val="-6"/>
          <w:sz w:val="20"/>
        </w:rPr>
        <w:t> </w:t>
      </w:r>
      <w:r>
        <w:rPr>
          <w:sz w:val="20"/>
        </w:rPr>
        <w:t>adjustment,</w:t>
      </w:r>
      <w:r>
        <w:rPr>
          <w:spacing w:val="-7"/>
          <w:sz w:val="20"/>
        </w:rPr>
        <w:t> </w:t>
      </w:r>
      <w:r>
        <w:rPr>
          <w:sz w:val="20"/>
        </w:rPr>
        <w:t>with</w:t>
      </w:r>
      <w:r>
        <w:rPr>
          <w:spacing w:val="-6"/>
          <w:sz w:val="20"/>
        </w:rPr>
        <w:t> </w:t>
      </w:r>
      <w:r>
        <w:rPr>
          <w:spacing w:val="-3"/>
          <w:sz w:val="20"/>
        </w:rPr>
        <w:t>examples</w:t>
      </w:r>
      <w:r>
        <w:rPr>
          <w:spacing w:val="-7"/>
          <w:sz w:val="20"/>
        </w:rPr>
        <w:t> </w:t>
      </w:r>
      <w:r>
        <w:rPr>
          <w:sz w:val="20"/>
        </w:rPr>
        <w:t>of</w:t>
      </w:r>
      <w:r>
        <w:rPr>
          <w:spacing w:val="-6"/>
          <w:sz w:val="20"/>
        </w:rPr>
        <w:t> </w:t>
      </w:r>
      <w:r>
        <w:rPr>
          <w:sz w:val="20"/>
        </w:rPr>
        <w:t>common</w:t>
      </w:r>
      <w:r>
        <w:rPr>
          <w:spacing w:val="-6"/>
          <w:sz w:val="20"/>
        </w:rPr>
        <w:t> </w:t>
      </w:r>
      <w:r>
        <w:rPr>
          <w:sz w:val="20"/>
        </w:rPr>
        <w:t>adjustments</w:t>
      </w:r>
    </w:p>
    <w:p>
      <w:pPr>
        <w:pStyle w:val="BodyText"/>
        <w:spacing w:line="259" w:lineRule="exact"/>
        <w:ind w:left="2157"/>
      </w:pPr>
      <w:r>
        <w:rPr/>
        <w:t>and how they work.</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what</w:t>
      </w:r>
      <w:r>
        <w:rPr>
          <w:spacing w:val="-6"/>
          <w:sz w:val="20"/>
        </w:rPr>
        <w:t> </w:t>
      </w:r>
      <w:r>
        <w:rPr>
          <w:sz w:val="20"/>
        </w:rPr>
        <w:t>to</w:t>
      </w:r>
      <w:r>
        <w:rPr>
          <w:spacing w:val="-5"/>
          <w:sz w:val="20"/>
        </w:rPr>
        <w:t> </w:t>
      </w:r>
      <w:r>
        <w:rPr>
          <w:sz w:val="20"/>
        </w:rPr>
        <w:t>do</w:t>
      </w:r>
      <w:r>
        <w:rPr>
          <w:spacing w:val="-5"/>
          <w:sz w:val="20"/>
        </w:rPr>
        <w:t> </w:t>
      </w:r>
      <w:r>
        <w:rPr>
          <w:sz w:val="20"/>
        </w:rPr>
        <w:t>if</w:t>
      </w:r>
      <w:r>
        <w:rPr>
          <w:spacing w:val="-5"/>
          <w:sz w:val="20"/>
        </w:rPr>
        <w:t> </w:t>
      </w:r>
      <w:r>
        <w:rPr>
          <w:sz w:val="20"/>
        </w:rPr>
        <w:t>a</w:t>
      </w:r>
      <w:r>
        <w:rPr>
          <w:spacing w:val="-5"/>
          <w:sz w:val="20"/>
        </w:rPr>
        <w:t> </w:t>
      </w:r>
      <w:r>
        <w:rPr>
          <w:sz w:val="20"/>
        </w:rPr>
        <w:t>person</w:t>
      </w:r>
      <w:r>
        <w:rPr>
          <w:spacing w:val="-5"/>
          <w:sz w:val="20"/>
        </w:rPr>
        <w:t> </w:t>
      </w:r>
      <w:r>
        <w:rPr>
          <w:sz w:val="20"/>
        </w:rPr>
        <w:t>wants</w:t>
      </w:r>
      <w:r>
        <w:rPr>
          <w:spacing w:val="-5"/>
          <w:sz w:val="20"/>
        </w:rPr>
        <w:t> </w:t>
      </w:r>
      <w:r>
        <w:rPr>
          <w:sz w:val="20"/>
        </w:rPr>
        <w:t>to</w:t>
      </w:r>
      <w:r>
        <w:rPr>
          <w:spacing w:val="-5"/>
          <w:sz w:val="20"/>
        </w:rPr>
        <w:t> </w:t>
      </w:r>
      <w:r>
        <w:rPr>
          <w:sz w:val="20"/>
        </w:rPr>
        <w:t>bring</w:t>
      </w:r>
      <w:r>
        <w:rPr>
          <w:spacing w:val="-5"/>
          <w:sz w:val="20"/>
        </w:rPr>
        <w:t> </w:t>
      </w:r>
      <w:r>
        <w:rPr>
          <w:sz w:val="20"/>
        </w:rPr>
        <w:t>their</w:t>
      </w:r>
      <w:r>
        <w:rPr>
          <w:spacing w:val="-5"/>
          <w:sz w:val="20"/>
        </w:rPr>
        <w:t> </w:t>
      </w:r>
      <w:r>
        <w:rPr>
          <w:spacing w:val="-3"/>
          <w:sz w:val="20"/>
        </w:rPr>
        <w:t>own</w:t>
      </w:r>
      <w:r>
        <w:rPr>
          <w:spacing w:val="-5"/>
          <w:sz w:val="20"/>
        </w:rPr>
        <w:t> </w:t>
      </w:r>
      <w:r>
        <w:rPr>
          <w:sz w:val="20"/>
        </w:rPr>
        <w:t>technology</w:t>
      </w:r>
      <w:r>
        <w:rPr>
          <w:spacing w:val="-5"/>
          <w:sz w:val="20"/>
        </w:rPr>
        <w:t> </w:t>
      </w:r>
      <w:r>
        <w:rPr>
          <w:sz w:val="20"/>
        </w:rPr>
        <w:t>to</w:t>
      </w:r>
      <w:r>
        <w:rPr>
          <w:spacing w:val="-5"/>
          <w:sz w:val="20"/>
        </w:rPr>
        <w:t> </w:t>
      </w:r>
      <w:r>
        <w:rPr>
          <w:sz w:val="20"/>
        </w:rPr>
        <w:t>court</w:t>
      </w:r>
    </w:p>
    <w:p>
      <w:pPr>
        <w:pStyle w:val="ListParagraph"/>
        <w:numPr>
          <w:ilvl w:val="2"/>
          <w:numId w:val="12"/>
        </w:numPr>
        <w:tabs>
          <w:tab w:pos="2157" w:val="left" w:leader="none"/>
          <w:tab w:pos="2158" w:val="left" w:leader="none"/>
        </w:tabs>
        <w:spacing w:line="259" w:lineRule="exact" w:before="47" w:after="0"/>
        <w:ind w:left="2157" w:right="0" w:hanging="396"/>
        <w:jc w:val="left"/>
        <w:rPr>
          <w:sz w:val="20"/>
        </w:rPr>
      </w:pPr>
      <w:r>
        <w:rPr>
          <w:spacing w:val="-3"/>
          <w:sz w:val="20"/>
        </w:rPr>
        <w:t>how</w:t>
      </w:r>
      <w:r>
        <w:rPr>
          <w:spacing w:val="-7"/>
          <w:sz w:val="20"/>
        </w:rPr>
        <w:t> </w:t>
      </w:r>
      <w:r>
        <w:rPr>
          <w:sz w:val="20"/>
        </w:rPr>
        <w:t>Juries</w:t>
      </w:r>
      <w:r>
        <w:rPr>
          <w:spacing w:val="-6"/>
          <w:sz w:val="20"/>
        </w:rPr>
        <w:t> </w:t>
      </w:r>
      <w:r>
        <w:rPr>
          <w:sz w:val="20"/>
        </w:rPr>
        <w:t>Victoria</w:t>
      </w:r>
      <w:r>
        <w:rPr>
          <w:spacing w:val="-6"/>
          <w:sz w:val="20"/>
        </w:rPr>
        <w:t> </w:t>
      </w:r>
      <w:r>
        <w:rPr>
          <w:sz w:val="20"/>
        </w:rPr>
        <w:t>is</w:t>
      </w:r>
      <w:r>
        <w:rPr>
          <w:spacing w:val="-6"/>
          <w:sz w:val="20"/>
        </w:rPr>
        <w:t> </w:t>
      </w:r>
      <w:r>
        <w:rPr>
          <w:sz w:val="20"/>
        </w:rPr>
        <w:t>notified</w:t>
      </w:r>
      <w:r>
        <w:rPr>
          <w:spacing w:val="-6"/>
          <w:sz w:val="20"/>
        </w:rPr>
        <w:t> </w:t>
      </w:r>
      <w:r>
        <w:rPr>
          <w:sz w:val="20"/>
        </w:rPr>
        <w:t>of</w:t>
      </w:r>
      <w:r>
        <w:rPr>
          <w:spacing w:val="-6"/>
          <w:sz w:val="20"/>
        </w:rPr>
        <w:t> </w:t>
      </w:r>
      <w:r>
        <w:rPr>
          <w:sz w:val="20"/>
        </w:rPr>
        <w:t>the</w:t>
      </w:r>
      <w:r>
        <w:rPr>
          <w:spacing w:val="-6"/>
          <w:sz w:val="20"/>
        </w:rPr>
        <w:t> </w:t>
      </w:r>
      <w:r>
        <w:rPr>
          <w:sz w:val="20"/>
        </w:rPr>
        <w:t>need</w:t>
      </w:r>
      <w:r>
        <w:rPr>
          <w:spacing w:val="-6"/>
          <w:sz w:val="20"/>
        </w:rPr>
        <w:t> </w:t>
      </w:r>
      <w:r>
        <w:rPr>
          <w:sz w:val="20"/>
        </w:rPr>
        <w:t>for</w:t>
      </w:r>
      <w:r>
        <w:rPr>
          <w:spacing w:val="-6"/>
          <w:sz w:val="20"/>
        </w:rPr>
        <w:t> </w:t>
      </w:r>
      <w:r>
        <w:rPr>
          <w:sz w:val="20"/>
        </w:rPr>
        <w:t>an</w:t>
      </w:r>
      <w:r>
        <w:rPr>
          <w:spacing w:val="-6"/>
          <w:sz w:val="20"/>
        </w:rPr>
        <w:t> </w:t>
      </w:r>
      <w:r>
        <w:rPr>
          <w:sz w:val="20"/>
        </w:rPr>
        <w:t>adjustment</w:t>
      </w:r>
      <w:r>
        <w:rPr>
          <w:spacing w:val="-6"/>
          <w:sz w:val="20"/>
        </w:rPr>
        <w:t> </w:t>
      </w:r>
      <w:r>
        <w:rPr>
          <w:sz w:val="20"/>
        </w:rPr>
        <w:t>(and</w:t>
      </w:r>
      <w:r>
        <w:rPr>
          <w:spacing w:val="-6"/>
          <w:sz w:val="20"/>
        </w:rPr>
        <w:t> </w:t>
      </w:r>
      <w:r>
        <w:rPr>
          <w:sz w:val="20"/>
        </w:rPr>
        <w:t>the</w:t>
      </w:r>
      <w:r>
        <w:rPr>
          <w:spacing w:val="-6"/>
          <w:sz w:val="20"/>
        </w:rPr>
        <w:t> </w:t>
      </w:r>
      <w:r>
        <w:rPr>
          <w:sz w:val="20"/>
        </w:rPr>
        <w:t>steps</w:t>
      </w:r>
      <w:r>
        <w:rPr>
          <w:spacing w:val="-6"/>
          <w:sz w:val="20"/>
        </w:rPr>
        <w:t> </w:t>
      </w:r>
      <w:r>
        <w:rPr>
          <w:sz w:val="20"/>
        </w:rPr>
        <w:t>it</w:t>
      </w:r>
      <w:r>
        <w:rPr>
          <w:spacing w:val="-6"/>
          <w:sz w:val="20"/>
        </w:rPr>
        <w:t> </w:t>
      </w:r>
      <w:r>
        <w:rPr>
          <w:sz w:val="20"/>
        </w:rPr>
        <w:t>needs</w:t>
      </w:r>
    </w:p>
    <w:p>
      <w:pPr>
        <w:pStyle w:val="BodyText"/>
        <w:spacing w:line="259" w:lineRule="exact"/>
        <w:ind w:left="2157"/>
      </w:pPr>
      <w:r>
        <w:rPr/>
        <w:t>to take to record those adjustments in its database)</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pre-court</w:t>
      </w:r>
      <w:r>
        <w:rPr>
          <w:spacing w:val="-5"/>
          <w:sz w:val="20"/>
        </w:rPr>
        <w:t> </w:t>
      </w:r>
      <w:r>
        <w:rPr>
          <w:sz w:val="20"/>
        </w:rPr>
        <w:t>visits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pacing w:val="-3"/>
          <w:sz w:val="20"/>
        </w:rPr>
        <w:t>excuse</w:t>
      </w:r>
      <w:r>
        <w:rPr>
          <w:spacing w:val="-5"/>
          <w:sz w:val="20"/>
        </w:rPr>
        <w:t> </w:t>
      </w:r>
      <w:r>
        <w:rPr>
          <w:sz w:val="20"/>
        </w:rPr>
        <w:t>and</w:t>
      </w:r>
      <w:r>
        <w:rPr>
          <w:spacing w:val="-5"/>
          <w:sz w:val="20"/>
        </w:rPr>
        <w:t> </w:t>
      </w:r>
      <w:r>
        <w:rPr>
          <w:sz w:val="20"/>
        </w:rPr>
        <w:t>deferral</w:t>
      </w:r>
      <w:r>
        <w:rPr>
          <w:spacing w:val="-5"/>
          <w:sz w:val="20"/>
        </w:rPr>
        <w:t> </w:t>
      </w:r>
      <w:r>
        <w:rPr>
          <w:sz w:val="20"/>
        </w:rPr>
        <w:t>options</w:t>
      </w:r>
      <w:r>
        <w:rPr>
          <w:spacing w:val="-5"/>
          <w:sz w:val="20"/>
        </w:rPr>
        <w:t> </w:t>
      </w:r>
      <w:r>
        <w:rPr>
          <w:sz w:val="20"/>
        </w:rPr>
        <w:t>for</w:t>
      </w:r>
      <w:r>
        <w:rPr>
          <w:spacing w:val="-4"/>
          <w:sz w:val="20"/>
        </w:rPr>
        <w:t> </w:t>
      </w:r>
      <w:r>
        <w:rPr>
          <w:sz w:val="20"/>
        </w:rPr>
        <w:t>people</w:t>
      </w:r>
      <w:r>
        <w:rPr>
          <w:spacing w:val="-5"/>
          <w:sz w:val="20"/>
        </w:rPr>
        <w:t> </w:t>
      </w:r>
      <w:r>
        <w:rPr>
          <w:sz w:val="20"/>
        </w:rPr>
        <w:t>in</w:t>
      </w:r>
      <w:r>
        <w:rPr>
          <w:spacing w:val="-5"/>
          <w:sz w:val="20"/>
        </w:rPr>
        <w:t> </w:t>
      </w:r>
      <w:r>
        <w:rPr>
          <w:sz w:val="20"/>
        </w:rPr>
        <w:t>the</w:t>
      </w:r>
      <w:r>
        <w:rPr>
          <w:spacing w:val="-5"/>
          <w:sz w:val="20"/>
        </w:rPr>
        <w:t> </w:t>
      </w:r>
      <w:r>
        <w:rPr>
          <w:sz w:val="20"/>
        </w:rPr>
        <w:t>subject</w:t>
      </w:r>
      <w:r>
        <w:rPr>
          <w:spacing w:val="-5"/>
          <w:sz w:val="20"/>
        </w:rPr>
        <w:t> </w:t>
      </w:r>
      <w:r>
        <w:rPr>
          <w:sz w:val="20"/>
        </w:rPr>
        <w:t>groups</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pacing w:val="-3"/>
          <w:sz w:val="20"/>
        </w:rPr>
        <w:t>examples</w:t>
      </w:r>
      <w:r>
        <w:rPr>
          <w:spacing w:val="-6"/>
          <w:sz w:val="20"/>
        </w:rPr>
        <w:t> </w:t>
      </w:r>
      <w:r>
        <w:rPr>
          <w:sz w:val="20"/>
        </w:rPr>
        <w:t>of</w:t>
      </w:r>
      <w:r>
        <w:rPr>
          <w:spacing w:val="-5"/>
          <w:sz w:val="20"/>
        </w:rPr>
        <w:t> </w:t>
      </w:r>
      <w:r>
        <w:rPr>
          <w:sz w:val="20"/>
        </w:rPr>
        <w:t>common</w:t>
      </w:r>
      <w:r>
        <w:rPr>
          <w:spacing w:val="-5"/>
          <w:sz w:val="20"/>
        </w:rPr>
        <w:t> </w:t>
      </w:r>
      <w:r>
        <w:rPr>
          <w:sz w:val="20"/>
        </w:rPr>
        <w:t>courtroom</w:t>
      </w:r>
      <w:r>
        <w:rPr>
          <w:spacing w:val="-5"/>
          <w:sz w:val="20"/>
        </w:rPr>
        <w:t> </w:t>
      </w:r>
      <w:r>
        <w:rPr>
          <w:sz w:val="20"/>
        </w:rPr>
        <w:t>adjustments</w:t>
      </w:r>
      <w:r>
        <w:rPr>
          <w:spacing w:val="-5"/>
          <w:sz w:val="20"/>
        </w:rPr>
        <w:t> </w:t>
      </w:r>
      <w:r>
        <w:rPr>
          <w:sz w:val="20"/>
        </w:rPr>
        <w:t>and</w:t>
      </w:r>
      <w:r>
        <w:rPr>
          <w:spacing w:val="-5"/>
          <w:sz w:val="20"/>
        </w:rPr>
        <w:t> </w:t>
      </w:r>
      <w:r>
        <w:rPr>
          <w:spacing w:val="-3"/>
          <w:sz w:val="20"/>
        </w:rPr>
        <w:t>how</w:t>
      </w:r>
      <w:r>
        <w:rPr>
          <w:spacing w:val="-5"/>
          <w:sz w:val="20"/>
        </w:rPr>
        <w:t> </w:t>
      </w:r>
      <w:r>
        <w:rPr>
          <w:sz w:val="20"/>
        </w:rPr>
        <w:t>to</w:t>
      </w:r>
      <w:r>
        <w:rPr>
          <w:spacing w:val="-6"/>
          <w:sz w:val="20"/>
        </w:rPr>
        <w:t> </w:t>
      </w:r>
      <w:r>
        <w:rPr>
          <w:sz w:val="20"/>
        </w:rPr>
        <w:t>facilitate</w:t>
      </w:r>
      <w:r>
        <w:rPr>
          <w:spacing w:val="-5"/>
          <w:sz w:val="20"/>
        </w:rPr>
        <w:t> </w:t>
      </w:r>
      <w:r>
        <w:rPr>
          <w:sz w:val="20"/>
        </w:rPr>
        <w:t>them</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who</w:t>
      </w:r>
      <w:r>
        <w:rPr>
          <w:spacing w:val="-6"/>
          <w:sz w:val="20"/>
        </w:rPr>
        <w:t> </w:t>
      </w:r>
      <w:r>
        <w:rPr>
          <w:sz w:val="20"/>
        </w:rPr>
        <w:t>to</w:t>
      </w:r>
      <w:r>
        <w:rPr>
          <w:spacing w:val="-5"/>
          <w:sz w:val="20"/>
        </w:rPr>
        <w:t> </w:t>
      </w:r>
      <w:r>
        <w:rPr>
          <w:sz w:val="20"/>
        </w:rPr>
        <w:t>direct</w:t>
      </w:r>
      <w:r>
        <w:rPr>
          <w:spacing w:val="-5"/>
          <w:sz w:val="20"/>
        </w:rPr>
        <w:t> </w:t>
      </w:r>
      <w:r>
        <w:rPr>
          <w:sz w:val="20"/>
        </w:rPr>
        <w:t>enquiries</w:t>
      </w:r>
      <w:r>
        <w:rPr>
          <w:spacing w:val="-5"/>
          <w:sz w:val="20"/>
        </w:rPr>
        <w:t> </w:t>
      </w:r>
      <w:r>
        <w:rPr>
          <w:sz w:val="20"/>
        </w:rPr>
        <w:t>to</w:t>
      </w:r>
      <w:r>
        <w:rPr>
          <w:spacing w:val="-5"/>
          <w:sz w:val="20"/>
        </w:rPr>
        <w:t> </w:t>
      </w:r>
      <w:r>
        <w:rPr>
          <w:sz w:val="20"/>
        </w:rPr>
        <w:t>in</w:t>
      </w:r>
      <w:r>
        <w:rPr>
          <w:spacing w:val="-5"/>
          <w:sz w:val="20"/>
        </w:rPr>
        <w:t> </w:t>
      </w:r>
      <w:r>
        <w:rPr>
          <w:sz w:val="20"/>
        </w:rPr>
        <w:t>Juries</w:t>
      </w:r>
      <w:r>
        <w:rPr>
          <w:spacing w:val="-5"/>
          <w:sz w:val="20"/>
        </w:rPr>
        <w:t> </w:t>
      </w:r>
      <w:r>
        <w:rPr>
          <w:sz w:val="20"/>
        </w:rPr>
        <w:t>Victoria</w:t>
      </w:r>
      <w:r>
        <w:rPr>
          <w:spacing w:val="-5"/>
          <w:sz w:val="20"/>
        </w:rPr>
        <w:t> </w:t>
      </w:r>
      <w:r>
        <w:rPr>
          <w:sz w:val="20"/>
        </w:rPr>
        <w:t>and</w:t>
      </w:r>
      <w:r>
        <w:rPr>
          <w:spacing w:val="-5"/>
          <w:sz w:val="20"/>
        </w:rPr>
        <w:t> </w:t>
      </w:r>
      <w:r>
        <w:rPr>
          <w:sz w:val="20"/>
        </w:rPr>
        <w:t>Court</w:t>
      </w:r>
      <w:r>
        <w:rPr>
          <w:spacing w:val="-5"/>
          <w:sz w:val="20"/>
        </w:rPr>
        <w:t> </w:t>
      </w:r>
      <w:r>
        <w:rPr>
          <w:sz w:val="20"/>
        </w:rPr>
        <w:t>Registries</w:t>
      </w:r>
    </w:p>
    <w:p>
      <w:pPr>
        <w:pStyle w:val="ListParagraph"/>
        <w:numPr>
          <w:ilvl w:val="2"/>
          <w:numId w:val="12"/>
        </w:numPr>
        <w:tabs>
          <w:tab w:pos="2157" w:val="left" w:leader="none"/>
          <w:tab w:pos="2158" w:val="left" w:leader="none"/>
        </w:tabs>
        <w:spacing w:line="206" w:lineRule="auto" w:before="80" w:after="0"/>
        <w:ind w:left="2157" w:right="1972" w:hanging="396"/>
        <w:jc w:val="left"/>
        <w:rPr>
          <w:sz w:val="20"/>
        </w:rPr>
      </w:pPr>
      <w:r>
        <w:rPr>
          <w:sz w:val="20"/>
        </w:rPr>
        <w:t>court</w:t>
      </w:r>
      <w:r>
        <w:rPr>
          <w:spacing w:val="-11"/>
          <w:sz w:val="20"/>
        </w:rPr>
        <w:t> </w:t>
      </w:r>
      <w:r>
        <w:rPr>
          <w:sz w:val="20"/>
        </w:rPr>
        <w:t>expectations</w:t>
      </w:r>
      <w:r>
        <w:rPr>
          <w:spacing w:val="-10"/>
          <w:sz w:val="20"/>
        </w:rPr>
        <w:t> </w:t>
      </w:r>
      <w:r>
        <w:rPr>
          <w:sz w:val="20"/>
        </w:rPr>
        <w:t>of</w:t>
      </w:r>
      <w:r>
        <w:rPr>
          <w:spacing w:val="-10"/>
          <w:sz w:val="20"/>
        </w:rPr>
        <w:t> </w:t>
      </w:r>
      <w:r>
        <w:rPr>
          <w:sz w:val="20"/>
        </w:rPr>
        <w:t>Auslan</w:t>
      </w:r>
      <w:r>
        <w:rPr>
          <w:spacing w:val="-11"/>
          <w:sz w:val="20"/>
        </w:rPr>
        <w:t> </w:t>
      </w:r>
      <w:r>
        <w:rPr>
          <w:spacing w:val="-3"/>
          <w:sz w:val="20"/>
        </w:rPr>
        <w:t>interpreters</w:t>
      </w:r>
      <w:r>
        <w:rPr>
          <w:spacing w:val="-10"/>
          <w:sz w:val="20"/>
        </w:rPr>
        <w:t> </w:t>
      </w:r>
      <w:r>
        <w:rPr>
          <w:sz w:val="20"/>
        </w:rPr>
        <w:t>and</w:t>
      </w:r>
      <w:r>
        <w:rPr>
          <w:spacing w:val="-10"/>
          <w:sz w:val="20"/>
        </w:rPr>
        <w:t> </w:t>
      </w:r>
      <w:r>
        <w:rPr>
          <w:sz w:val="20"/>
        </w:rPr>
        <w:t>supporters:</w:t>
      </w:r>
      <w:r>
        <w:rPr>
          <w:spacing w:val="-10"/>
          <w:sz w:val="20"/>
        </w:rPr>
        <w:t> </w:t>
      </w:r>
      <w:r>
        <w:rPr>
          <w:sz w:val="20"/>
        </w:rPr>
        <w:t>code</w:t>
      </w:r>
      <w:r>
        <w:rPr>
          <w:spacing w:val="-11"/>
          <w:sz w:val="20"/>
        </w:rPr>
        <w:t> </w:t>
      </w:r>
      <w:r>
        <w:rPr>
          <w:sz w:val="20"/>
        </w:rPr>
        <w:t>of</w:t>
      </w:r>
      <w:r>
        <w:rPr>
          <w:spacing w:val="-10"/>
          <w:sz w:val="20"/>
        </w:rPr>
        <w:t> </w:t>
      </w:r>
      <w:r>
        <w:rPr>
          <w:sz w:val="20"/>
        </w:rPr>
        <w:t>conduct, standards and</w:t>
      </w:r>
      <w:r>
        <w:rPr>
          <w:spacing w:val="-9"/>
          <w:sz w:val="20"/>
        </w:rPr>
        <w:t> </w:t>
      </w:r>
      <w:r>
        <w:rPr>
          <w:sz w:val="20"/>
        </w:rPr>
        <w:t>oaths</w:t>
      </w:r>
    </w:p>
    <w:p>
      <w:pPr>
        <w:pStyle w:val="ListParagraph"/>
        <w:numPr>
          <w:ilvl w:val="2"/>
          <w:numId w:val="12"/>
        </w:numPr>
        <w:tabs>
          <w:tab w:pos="2157" w:val="left" w:leader="none"/>
          <w:tab w:pos="2158" w:val="left" w:leader="none"/>
        </w:tabs>
        <w:spacing w:line="240" w:lineRule="auto" w:before="55" w:after="0"/>
        <w:ind w:left="2157" w:right="0" w:hanging="396"/>
        <w:jc w:val="left"/>
        <w:rPr>
          <w:sz w:val="20"/>
        </w:rPr>
      </w:pPr>
      <w:r>
        <w:rPr>
          <w:sz w:val="20"/>
        </w:rPr>
        <w:t>tips for booking Auslan </w:t>
      </w:r>
      <w:r>
        <w:rPr>
          <w:spacing w:val="-3"/>
          <w:sz w:val="20"/>
        </w:rPr>
        <w:t>interpreters </w:t>
      </w:r>
      <w:r>
        <w:rPr>
          <w:sz w:val="20"/>
        </w:rPr>
        <w:t>and service </w:t>
      </w:r>
      <w:r>
        <w:rPr>
          <w:spacing w:val="-3"/>
          <w:sz w:val="20"/>
        </w:rPr>
        <w:t>provider</w:t>
      </w:r>
      <w:r>
        <w:rPr>
          <w:spacing w:val="-35"/>
          <w:sz w:val="20"/>
        </w:rPr>
        <w:t> </w:t>
      </w:r>
      <w:r>
        <w:rPr>
          <w:sz w:val="20"/>
        </w:rPr>
        <w:t>information</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template</w:t>
      </w:r>
      <w:r>
        <w:rPr>
          <w:spacing w:val="-5"/>
          <w:sz w:val="20"/>
        </w:rPr>
        <w:t> </w:t>
      </w:r>
      <w:r>
        <w:rPr>
          <w:sz w:val="20"/>
        </w:rPr>
        <w:t>forms</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anonymised</w:t>
      </w:r>
      <w:r>
        <w:rPr>
          <w:spacing w:val="-6"/>
          <w:sz w:val="20"/>
        </w:rPr>
        <w:t> </w:t>
      </w:r>
      <w:r>
        <w:rPr>
          <w:spacing w:val="-3"/>
          <w:sz w:val="20"/>
        </w:rPr>
        <w:t>examples</w:t>
      </w:r>
      <w:r>
        <w:rPr>
          <w:spacing w:val="-6"/>
          <w:sz w:val="20"/>
        </w:rPr>
        <w:t> </w:t>
      </w:r>
      <w:r>
        <w:rPr>
          <w:sz w:val="20"/>
        </w:rPr>
        <w:t>of</w:t>
      </w:r>
      <w:r>
        <w:rPr>
          <w:spacing w:val="-6"/>
          <w:sz w:val="20"/>
        </w:rPr>
        <w:t> </w:t>
      </w:r>
      <w:r>
        <w:rPr>
          <w:sz w:val="20"/>
        </w:rPr>
        <w:t>jurors</w:t>
      </w:r>
      <w:r>
        <w:rPr>
          <w:spacing w:val="-5"/>
          <w:sz w:val="20"/>
        </w:rPr>
        <w:t> </w:t>
      </w:r>
      <w:r>
        <w:rPr>
          <w:sz w:val="20"/>
        </w:rPr>
        <w:t>who</w:t>
      </w:r>
      <w:r>
        <w:rPr>
          <w:spacing w:val="-6"/>
          <w:sz w:val="20"/>
        </w:rPr>
        <w:t> </w:t>
      </w:r>
      <w:r>
        <w:rPr>
          <w:sz w:val="20"/>
        </w:rPr>
        <w:t>had</w:t>
      </w:r>
      <w:r>
        <w:rPr>
          <w:spacing w:val="-6"/>
          <w:sz w:val="20"/>
        </w:rPr>
        <w:t> </w:t>
      </w:r>
      <w:r>
        <w:rPr>
          <w:sz w:val="20"/>
        </w:rPr>
        <w:t>served</w:t>
      </w:r>
      <w:r>
        <w:rPr>
          <w:spacing w:val="-6"/>
          <w:sz w:val="20"/>
        </w:rPr>
        <w:t> </w:t>
      </w:r>
      <w:r>
        <w:rPr>
          <w:sz w:val="20"/>
        </w:rPr>
        <w:t>with</w:t>
      </w:r>
      <w:r>
        <w:rPr>
          <w:spacing w:val="-5"/>
          <w:sz w:val="20"/>
        </w:rPr>
        <w:t> </w:t>
      </w:r>
      <w:r>
        <w:rPr>
          <w:sz w:val="20"/>
        </w:rPr>
        <w:t>reasonable</w:t>
      </w:r>
      <w:r>
        <w:rPr>
          <w:spacing w:val="-6"/>
          <w:sz w:val="20"/>
        </w:rPr>
        <w:t> </w:t>
      </w:r>
      <w:r>
        <w:rPr>
          <w:sz w:val="20"/>
        </w:rPr>
        <w:t>adjustments.</w:t>
      </w:r>
    </w:p>
    <w:p>
      <w:pPr>
        <w:pStyle w:val="BodyText"/>
      </w:pPr>
    </w:p>
    <w:p>
      <w:pPr>
        <w:pStyle w:val="BodyText"/>
        <w:spacing w:before="5"/>
        <w:rPr>
          <w:sz w:val="10"/>
        </w:rPr>
      </w:pPr>
      <w:r>
        <w:rPr/>
        <w:pict>
          <v:line style="position:absolute;mso-position-horizontal-relative:page;mso-position-vertical-relative:paragraph;z-index:11144;mso-wrap-distance-left:0;mso-wrap-distance-right:0" from="79.370003pt,9.689pt" to="515.905003pt,9.689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25"/>
        </w:rPr>
      </w:pPr>
    </w:p>
    <w:p>
      <w:pPr>
        <w:spacing w:before="0"/>
        <w:ind w:left="100" w:right="0" w:firstLine="0"/>
        <w:jc w:val="left"/>
        <w:rPr>
          <w:b/>
          <w:sz w:val="24"/>
        </w:rPr>
      </w:pPr>
      <w:r>
        <w:rPr>
          <w:b/>
          <w:color w:val="37617A"/>
          <w:sz w:val="24"/>
        </w:rPr>
        <w:t>212</w:t>
      </w:r>
    </w:p>
    <w:p>
      <w:pPr>
        <w:pStyle w:val="ListParagraph"/>
        <w:numPr>
          <w:ilvl w:val="0"/>
          <w:numId w:val="121"/>
        </w:numPr>
        <w:tabs>
          <w:tab w:pos="893" w:val="left" w:leader="none"/>
          <w:tab w:pos="894" w:val="left" w:leader="none"/>
        </w:tabs>
        <w:spacing w:line="213" w:lineRule="auto" w:before="38" w:after="0"/>
        <w:ind w:left="893" w:right="1530" w:hanging="793"/>
        <w:jc w:val="left"/>
        <w:rPr>
          <w:sz w:val="13"/>
        </w:rPr>
      </w:pPr>
      <w:r>
        <w:rPr>
          <w:spacing w:val="3"/>
          <w:w w:val="101"/>
          <w:sz w:val="13"/>
        </w:rPr>
        <w:br w:type="column"/>
      </w:r>
      <w:r>
        <w:rPr>
          <w:sz w:val="13"/>
        </w:rPr>
        <w:t>Judicial College of Victoria, ‘4.4 </w:t>
      </w:r>
      <w:r>
        <w:rPr>
          <w:spacing w:val="2"/>
          <w:sz w:val="13"/>
        </w:rPr>
        <w:t>Planning—Accessibility </w:t>
      </w:r>
      <w:r>
        <w:rPr>
          <w:sz w:val="13"/>
        </w:rPr>
        <w:t>Checklist’, </w:t>
      </w:r>
      <w:r>
        <w:rPr>
          <w:i/>
          <w:sz w:val="13"/>
        </w:rPr>
        <w:t>Disability Access Bench Book </w:t>
      </w:r>
      <w:r>
        <w:rPr>
          <w:sz w:val="13"/>
        </w:rPr>
        <w:t>(Online Manual, 1 </w:t>
      </w:r>
      <w:r>
        <w:rPr>
          <w:spacing w:val="2"/>
          <w:sz w:val="13"/>
        </w:rPr>
        <w:t>December </w:t>
      </w:r>
      <w:r>
        <w:rPr>
          <w:sz w:val="13"/>
        </w:rPr>
        <w:t>2016)</w:t>
      </w:r>
      <w:r>
        <w:rPr>
          <w:spacing w:val="1"/>
          <w:sz w:val="13"/>
        </w:rPr>
        <w:t> </w:t>
      </w:r>
      <w:r>
        <w:rPr>
          <w:sz w:val="13"/>
        </w:rPr>
        <w:t>&lt;</w:t>
      </w:r>
      <w:hyperlink r:id="rId18">
        <w:r>
          <w:rPr>
            <w:sz w:val="13"/>
          </w:rPr>
          <w:t>https://www.judicialcollege.vic.edu.au/eManuals/DABB/index.htm#59523.htm</w:t>
        </w:r>
      </w:hyperlink>
      <w:r>
        <w:rPr>
          <w:sz w:val="13"/>
        </w:rPr>
        <w:t>&gt;.</w:t>
      </w:r>
    </w:p>
    <w:p>
      <w:pPr>
        <w:pStyle w:val="ListParagraph"/>
        <w:numPr>
          <w:ilvl w:val="0"/>
          <w:numId w:val="121"/>
        </w:numPr>
        <w:tabs>
          <w:tab w:pos="893" w:val="left" w:leader="none"/>
          <w:tab w:pos="894" w:val="left" w:leader="none"/>
        </w:tabs>
        <w:spacing w:line="213" w:lineRule="auto" w:before="0" w:after="0"/>
        <w:ind w:left="893" w:right="1318" w:hanging="793"/>
        <w:jc w:val="left"/>
        <w:rPr>
          <w:sz w:val="13"/>
        </w:rPr>
      </w:pPr>
      <w:r>
        <w:rPr>
          <w:sz w:val="13"/>
        </w:rPr>
        <w:t>Judicial College of Victoria, </w:t>
      </w:r>
      <w:r>
        <w:rPr>
          <w:i/>
          <w:sz w:val="13"/>
        </w:rPr>
        <w:t>Disability Access Bench Book </w:t>
      </w:r>
      <w:r>
        <w:rPr>
          <w:sz w:val="13"/>
        </w:rPr>
        <w:t>(Online Manual, 2016) &lt;</w:t>
      </w:r>
      <w:hyperlink r:id="rId18">
        <w:r>
          <w:rPr>
            <w:sz w:val="13"/>
          </w:rPr>
          <w:t>https://www.judicialcollege.vic.edu.au/</w:t>
        </w:r>
      </w:hyperlink>
      <w:hyperlink r:id="rId18">
        <w:r>
          <w:rPr>
            <w:sz w:val="13"/>
          </w:rPr>
          <w:t> eManuals/DABB/index.htm#59523.htm</w:t>
        </w:r>
      </w:hyperlink>
      <w:r>
        <w:rPr>
          <w:sz w:val="13"/>
        </w:rPr>
        <w:t>&gt;: see chs </w:t>
      </w:r>
      <w:r>
        <w:rPr>
          <w:spacing w:val="3"/>
          <w:sz w:val="13"/>
        </w:rPr>
        <w:t>5.6.1, 5.9, </w:t>
      </w:r>
      <w:r>
        <w:rPr>
          <w:sz w:val="13"/>
        </w:rPr>
        <w:t>7.6; Information provided by Judicial College of Victoria to Victorian Law Reform </w:t>
      </w:r>
      <w:r>
        <w:rPr>
          <w:spacing w:val="2"/>
          <w:sz w:val="13"/>
        </w:rPr>
        <w:t>Commission, </w:t>
      </w:r>
      <w:r>
        <w:rPr>
          <w:sz w:val="13"/>
        </w:rPr>
        <w:t>5 July</w:t>
      </w:r>
      <w:r>
        <w:rPr>
          <w:spacing w:val="-2"/>
          <w:sz w:val="13"/>
        </w:rPr>
        <w:t> </w:t>
      </w:r>
      <w:r>
        <w:rPr>
          <w:sz w:val="13"/>
        </w:rPr>
        <w:t>2022.</w:t>
      </w:r>
    </w:p>
    <w:p>
      <w:pPr>
        <w:pStyle w:val="ListParagraph"/>
        <w:numPr>
          <w:ilvl w:val="0"/>
          <w:numId w:val="121"/>
        </w:numPr>
        <w:tabs>
          <w:tab w:pos="893" w:val="left" w:leader="none"/>
          <w:tab w:pos="894" w:val="left" w:leader="none"/>
        </w:tabs>
        <w:spacing w:line="213" w:lineRule="auto" w:before="0" w:after="0"/>
        <w:ind w:left="893" w:right="1239" w:hanging="793"/>
        <w:jc w:val="left"/>
        <w:rPr>
          <w:sz w:val="13"/>
        </w:rPr>
      </w:pPr>
      <w:r>
        <w:rPr>
          <w:spacing w:val="2"/>
          <w:sz w:val="13"/>
        </w:rPr>
        <w:t>‘Recommended </w:t>
      </w:r>
      <w:r>
        <w:rPr>
          <w:sz w:val="13"/>
        </w:rPr>
        <w:t>National Standards for Working with Interpreters in </w:t>
      </w:r>
      <w:r>
        <w:rPr>
          <w:spacing w:val="2"/>
          <w:sz w:val="13"/>
        </w:rPr>
        <w:t>Courts </w:t>
      </w:r>
      <w:r>
        <w:rPr>
          <w:sz w:val="13"/>
        </w:rPr>
        <w:t>and Tribunals’, </w:t>
      </w:r>
      <w:r>
        <w:rPr>
          <w:i/>
          <w:sz w:val="13"/>
        </w:rPr>
        <w:t>Judicial College of Victoria </w:t>
      </w:r>
      <w:r>
        <w:rPr>
          <w:sz w:val="13"/>
        </w:rPr>
        <w:t>(Web Page, 28 April 2022) &lt;</w:t>
      </w:r>
      <w:hyperlink r:id="rId218">
        <w:r>
          <w:rPr>
            <w:sz w:val="13"/>
          </w:rPr>
          <w:t>https://www.judicialcollege.vic.edu.au/news/recommended-national-standards-working-interpreters-courts-</w:t>
        </w:r>
      </w:hyperlink>
      <w:hyperlink r:id="rId218">
        <w:r>
          <w:rPr>
            <w:sz w:val="13"/>
          </w:rPr>
          <w:t> and-tribunals</w:t>
        </w:r>
      </w:hyperlink>
      <w:r>
        <w:rPr>
          <w:sz w:val="13"/>
        </w:rPr>
        <w:t>&gt;. On the prohibition of the use of Auslan interpreters in the </w:t>
      </w:r>
      <w:r>
        <w:rPr>
          <w:spacing w:val="2"/>
          <w:sz w:val="13"/>
        </w:rPr>
        <w:t>jury </w:t>
      </w:r>
      <w:r>
        <w:rPr>
          <w:sz w:val="13"/>
        </w:rPr>
        <w:t>room: see generally Judicial College of Victoria,   </w:t>
      </w:r>
      <w:r>
        <w:rPr>
          <w:spacing w:val="2"/>
          <w:sz w:val="13"/>
        </w:rPr>
        <w:t>‘5.26.1 Eligibility </w:t>
      </w:r>
      <w:r>
        <w:rPr>
          <w:sz w:val="13"/>
        </w:rPr>
        <w:t>of jurors’, </w:t>
      </w:r>
      <w:r>
        <w:rPr>
          <w:i/>
          <w:sz w:val="13"/>
        </w:rPr>
        <w:t>Disability Access Bench Book </w:t>
      </w:r>
      <w:r>
        <w:rPr>
          <w:sz w:val="13"/>
        </w:rPr>
        <w:t>(Online Manual, 1 </w:t>
      </w:r>
      <w:r>
        <w:rPr>
          <w:spacing w:val="2"/>
          <w:sz w:val="13"/>
        </w:rPr>
        <w:t>December </w:t>
      </w:r>
      <w:r>
        <w:rPr>
          <w:sz w:val="13"/>
        </w:rPr>
        <w:t>2016) &lt;</w:t>
      </w:r>
      <w:hyperlink r:id="rId18">
        <w:r>
          <w:rPr>
            <w:sz w:val="13"/>
          </w:rPr>
          <w:t>https://www.judicialcollege.vic.edu.</w:t>
        </w:r>
      </w:hyperlink>
      <w:hyperlink r:id="rId18">
        <w:r>
          <w:rPr>
            <w:sz w:val="13"/>
          </w:rPr>
          <w:t> au/eManuals/DABB/index.htm#59523.htm</w:t>
        </w:r>
      </w:hyperlink>
      <w:r>
        <w:rPr>
          <w:sz w:val="13"/>
        </w:rPr>
        <w:t>&gt;; Judicial College of Victoria, </w:t>
      </w:r>
      <w:r>
        <w:rPr>
          <w:spacing w:val="2"/>
          <w:sz w:val="13"/>
        </w:rPr>
        <w:t>‘11.1 </w:t>
      </w:r>
      <w:r>
        <w:rPr>
          <w:sz w:val="13"/>
        </w:rPr>
        <w:t>Selecting a Jury’, </w:t>
      </w:r>
      <w:r>
        <w:rPr>
          <w:i/>
          <w:sz w:val="13"/>
        </w:rPr>
        <w:t>Victorian Criminal Proceedings </w:t>
      </w:r>
      <w:r>
        <w:rPr>
          <w:i/>
          <w:sz w:val="13"/>
        </w:rPr>
        <w:t>Manual </w:t>
      </w:r>
      <w:r>
        <w:rPr>
          <w:sz w:val="13"/>
        </w:rPr>
        <w:t>(Online Manual, 30 August 2021) &lt;</w:t>
      </w:r>
      <w:hyperlink r:id="rId49">
        <w:r>
          <w:rPr>
            <w:sz w:val="13"/>
          </w:rPr>
          <w:t>https://www.judicialcollege.vic.edu.au/eManuals/VCPM/index.htm#27318.htm</w:t>
        </w:r>
      </w:hyperlink>
      <w:r>
        <w:rPr>
          <w:sz w:val="13"/>
        </w:rPr>
        <w:t>&gt;. The Judicial College of Victoria told us that if ‘there are reforms to Victorian law to permit interpreters in the </w:t>
      </w:r>
      <w:r>
        <w:rPr>
          <w:spacing w:val="2"/>
          <w:sz w:val="13"/>
        </w:rPr>
        <w:t>jury </w:t>
      </w:r>
      <w:r>
        <w:rPr>
          <w:sz w:val="13"/>
        </w:rPr>
        <w:t>room, we would  update</w:t>
      </w:r>
      <w:r>
        <w:rPr>
          <w:spacing w:val="3"/>
          <w:sz w:val="13"/>
        </w:rPr>
        <w:t> </w:t>
      </w:r>
      <w:r>
        <w:rPr>
          <w:sz w:val="13"/>
        </w:rPr>
        <w:t>these’:</w:t>
      </w:r>
      <w:r>
        <w:rPr>
          <w:spacing w:val="3"/>
          <w:sz w:val="13"/>
        </w:rPr>
        <w:t> </w:t>
      </w:r>
      <w:r>
        <w:rPr>
          <w:sz w:val="13"/>
        </w:rPr>
        <w:t>Information</w:t>
      </w:r>
      <w:r>
        <w:rPr>
          <w:spacing w:val="4"/>
          <w:sz w:val="13"/>
        </w:rPr>
        <w:t> </w:t>
      </w:r>
      <w:r>
        <w:rPr>
          <w:sz w:val="13"/>
        </w:rPr>
        <w:t>provided</w:t>
      </w:r>
      <w:r>
        <w:rPr>
          <w:spacing w:val="3"/>
          <w:sz w:val="13"/>
        </w:rPr>
        <w:t> </w:t>
      </w:r>
      <w:r>
        <w:rPr>
          <w:sz w:val="13"/>
        </w:rPr>
        <w:t>by</w:t>
      </w:r>
      <w:r>
        <w:rPr>
          <w:spacing w:val="3"/>
          <w:sz w:val="13"/>
        </w:rPr>
        <w:t> </w:t>
      </w:r>
      <w:r>
        <w:rPr>
          <w:sz w:val="13"/>
        </w:rPr>
        <w:t>Judicial</w:t>
      </w:r>
      <w:r>
        <w:rPr>
          <w:spacing w:val="4"/>
          <w:sz w:val="13"/>
        </w:rPr>
        <w:t> </w:t>
      </w:r>
      <w:r>
        <w:rPr>
          <w:sz w:val="13"/>
        </w:rPr>
        <w:t>College</w:t>
      </w:r>
      <w:r>
        <w:rPr>
          <w:spacing w:val="3"/>
          <w:sz w:val="13"/>
        </w:rPr>
        <w:t> </w:t>
      </w:r>
      <w:r>
        <w:rPr>
          <w:sz w:val="13"/>
        </w:rPr>
        <w:t>of</w:t>
      </w:r>
      <w:r>
        <w:rPr>
          <w:spacing w:val="4"/>
          <w:sz w:val="13"/>
        </w:rPr>
        <w:t> </w:t>
      </w:r>
      <w:r>
        <w:rPr>
          <w:sz w:val="13"/>
        </w:rPr>
        <w:t>Victoria</w:t>
      </w:r>
      <w:r>
        <w:rPr>
          <w:spacing w:val="3"/>
          <w:sz w:val="13"/>
        </w:rPr>
        <w:t> </w:t>
      </w:r>
      <w:r>
        <w:rPr>
          <w:sz w:val="13"/>
        </w:rPr>
        <w:t>to</w:t>
      </w:r>
      <w:r>
        <w:rPr>
          <w:spacing w:val="3"/>
          <w:sz w:val="13"/>
        </w:rPr>
        <w:t> </w:t>
      </w:r>
      <w:r>
        <w:rPr>
          <w:sz w:val="13"/>
        </w:rPr>
        <w:t>Victorian</w:t>
      </w:r>
      <w:r>
        <w:rPr>
          <w:spacing w:val="4"/>
          <w:sz w:val="13"/>
        </w:rPr>
        <w:t> </w:t>
      </w:r>
      <w:r>
        <w:rPr>
          <w:sz w:val="13"/>
        </w:rPr>
        <w:t>Law</w:t>
      </w:r>
      <w:r>
        <w:rPr>
          <w:spacing w:val="3"/>
          <w:sz w:val="13"/>
        </w:rPr>
        <w:t> </w:t>
      </w:r>
      <w:r>
        <w:rPr>
          <w:sz w:val="13"/>
        </w:rPr>
        <w:t>Reform</w:t>
      </w:r>
      <w:r>
        <w:rPr>
          <w:spacing w:val="4"/>
          <w:sz w:val="13"/>
        </w:rPr>
        <w:t> </w:t>
      </w:r>
      <w:r>
        <w:rPr>
          <w:spacing w:val="2"/>
          <w:sz w:val="13"/>
        </w:rPr>
        <w:t>Commission,</w:t>
      </w:r>
      <w:r>
        <w:rPr>
          <w:spacing w:val="3"/>
          <w:sz w:val="13"/>
        </w:rPr>
        <w:t> </w:t>
      </w:r>
      <w:r>
        <w:rPr>
          <w:sz w:val="13"/>
        </w:rPr>
        <w:t>5</w:t>
      </w:r>
      <w:r>
        <w:rPr>
          <w:spacing w:val="3"/>
          <w:sz w:val="13"/>
        </w:rPr>
        <w:t> </w:t>
      </w:r>
      <w:r>
        <w:rPr>
          <w:sz w:val="13"/>
        </w:rPr>
        <w:t>July</w:t>
      </w:r>
      <w:r>
        <w:rPr>
          <w:spacing w:val="4"/>
          <w:sz w:val="13"/>
        </w:rPr>
        <w:t> </w:t>
      </w:r>
      <w:r>
        <w:rPr>
          <w:sz w:val="13"/>
        </w:rPr>
        <w:t>2022.</w:t>
      </w:r>
    </w:p>
    <w:p>
      <w:pPr>
        <w:pStyle w:val="ListParagraph"/>
        <w:numPr>
          <w:ilvl w:val="0"/>
          <w:numId w:val="121"/>
        </w:numPr>
        <w:tabs>
          <w:tab w:pos="893" w:val="left" w:leader="none"/>
          <w:tab w:pos="894" w:val="left" w:leader="none"/>
        </w:tabs>
        <w:spacing w:line="149" w:lineRule="exact" w:before="0" w:after="0"/>
        <w:ind w:left="893" w:right="0" w:hanging="793"/>
        <w:jc w:val="left"/>
        <w:rPr>
          <w:sz w:val="13"/>
        </w:rPr>
      </w:pP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pStyle w:val="ListParagraph"/>
        <w:numPr>
          <w:ilvl w:val="0"/>
          <w:numId w:val="121"/>
        </w:numPr>
        <w:tabs>
          <w:tab w:pos="893" w:val="left" w:leader="none"/>
          <w:tab w:pos="894" w:val="left" w:leader="none"/>
        </w:tabs>
        <w:spacing w:line="160" w:lineRule="exact" w:before="0" w:after="0"/>
        <w:ind w:left="893" w:right="0" w:hanging="793"/>
        <w:jc w:val="left"/>
        <w:rPr>
          <w:sz w:val="13"/>
        </w:rPr>
      </w:pPr>
      <w:r>
        <w:rPr>
          <w:sz w:val="13"/>
        </w:rPr>
        <w:t>Information provided by Her Majesty’s </w:t>
      </w:r>
      <w:r>
        <w:rPr>
          <w:spacing w:val="2"/>
          <w:sz w:val="13"/>
        </w:rPr>
        <w:t>Courts </w:t>
      </w:r>
      <w:r>
        <w:rPr>
          <w:sz w:val="13"/>
        </w:rPr>
        <w:t>and Tribunals </w:t>
      </w:r>
      <w:r>
        <w:rPr>
          <w:spacing w:val="2"/>
          <w:sz w:val="13"/>
        </w:rPr>
        <w:t>Service </w:t>
      </w:r>
      <w:r>
        <w:rPr>
          <w:sz w:val="13"/>
        </w:rPr>
        <w:t>to Victorian Law Reform </w:t>
      </w:r>
      <w:r>
        <w:rPr>
          <w:spacing w:val="2"/>
          <w:sz w:val="13"/>
        </w:rPr>
        <w:t>Commission, </w:t>
      </w:r>
      <w:r>
        <w:rPr>
          <w:sz w:val="13"/>
        </w:rPr>
        <w:t>15 September</w:t>
      </w:r>
      <w:r>
        <w:rPr>
          <w:spacing w:val="30"/>
          <w:sz w:val="13"/>
        </w:rPr>
        <w:t> </w:t>
      </w:r>
      <w:r>
        <w:rPr>
          <w:sz w:val="13"/>
        </w:rPr>
        <w:t>2021;</w:t>
      </w:r>
    </w:p>
    <w:p>
      <w:pPr>
        <w:spacing w:line="170" w:lineRule="exact" w:before="0"/>
        <w:ind w:left="893" w:right="0" w:firstLine="0"/>
        <w:jc w:val="left"/>
        <w:rPr>
          <w:sz w:val="13"/>
        </w:rPr>
      </w:pPr>
      <w:r>
        <w:rPr>
          <w:sz w:val="13"/>
        </w:rPr>
        <w:t>information provided by ACT Sheriff to Victorian Law Reform Commission, 18 September 2020.</w:t>
      </w:r>
    </w:p>
    <w:p>
      <w:pPr>
        <w:spacing w:after="0" w:line="170" w:lineRule="exact"/>
        <w:jc w:val="left"/>
        <w:rPr>
          <w:sz w:val="13"/>
        </w:rPr>
        <w:sectPr>
          <w:type w:val="continuous"/>
          <w:pgSz w:w="11910" w:h="16840"/>
          <w:pgMar w:top="620" w:bottom="280" w:left="620" w:right="380"/>
          <w:cols w:num="2" w:equalWidth="0">
            <w:col w:w="531" w:space="337"/>
            <w:col w:w="10042"/>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620" w:hanging="794"/>
        <w:jc w:val="left"/>
        <w:rPr>
          <w:sz w:val="20"/>
        </w:rPr>
      </w:pPr>
      <w:bookmarkStart w:name="Information for the community about refo" w:id="375"/>
      <w:bookmarkEnd w:id="375"/>
      <w:r>
        <w:rPr/>
      </w:r>
      <w:bookmarkStart w:name="_bookmark157" w:id="376"/>
      <w:bookmarkEnd w:id="376"/>
      <w:r>
        <w:rPr/>
      </w:r>
      <w:bookmarkStart w:name="_bookmark157" w:id="377"/>
      <w:bookmarkEnd w:id="377"/>
      <w:r>
        <w:rPr>
          <w:sz w:val="20"/>
        </w:rPr>
        <w:t>I</w:t>
      </w:r>
      <w:r>
        <w:rPr>
          <w:sz w:val="20"/>
        </w:rPr>
        <w:t>t</w:t>
      </w:r>
      <w:r>
        <w:rPr>
          <w:spacing w:val="-9"/>
          <w:sz w:val="20"/>
        </w:rPr>
        <w:t> </w:t>
      </w:r>
      <w:r>
        <w:rPr>
          <w:spacing w:val="-3"/>
          <w:sz w:val="20"/>
        </w:rPr>
        <w:t>would</w:t>
      </w:r>
      <w:r>
        <w:rPr>
          <w:spacing w:val="-9"/>
          <w:sz w:val="20"/>
        </w:rPr>
        <w:t> </w:t>
      </w:r>
      <w:r>
        <w:rPr>
          <w:sz w:val="20"/>
        </w:rPr>
        <w:t>also</w:t>
      </w:r>
      <w:r>
        <w:rPr>
          <w:spacing w:val="-8"/>
          <w:sz w:val="20"/>
        </w:rPr>
        <w:t> </w:t>
      </w:r>
      <w:r>
        <w:rPr>
          <w:sz w:val="20"/>
        </w:rPr>
        <w:t>be</w:t>
      </w:r>
      <w:r>
        <w:rPr>
          <w:spacing w:val="-9"/>
          <w:sz w:val="20"/>
        </w:rPr>
        <w:t> </w:t>
      </w:r>
      <w:r>
        <w:rPr>
          <w:sz w:val="20"/>
        </w:rPr>
        <w:t>helpful</w:t>
      </w:r>
      <w:r>
        <w:rPr>
          <w:spacing w:val="-9"/>
          <w:sz w:val="20"/>
        </w:rPr>
        <w:t> </w:t>
      </w:r>
      <w:r>
        <w:rPr>
          <w:sz w:val="20"/>
        </w:rPr>
        <w:t>if</w:t>
      </w:r>
      <w:r>
        <w:rPr>
          <w:spacing w:val="-8"/>
          <w:sz w:val="20"/>
        </w:rPr>
        <w:t> </w:t>
      </w:r>
      <w:r>
        <w:rPr>
          <w:sz w:val="20"/>
        </w:rPr>
        <w:t>the</w:t>
      </w:r>
      <w:r>
        <w:rPr>
          <w:spacing w:val="-9"/>
          <w:sz w:val="20"/>
        </w:rPr>
        <w:t> </w:t>
      </w:r>
      <w:r>
        <w:rPr>
          <w:sz w:val="20"/>
        </w:rPr>
        <w:t>protocols</w:t>
      </w:r>
      <w:r>
        <w:rPr>
          <w:spacing w:val="-9"/>
          <w:sz w:val="20"/>
        </w:rPr>
        <w:t> </w:t>
      </w:r>
      <w:r>
        <w:rPr>
          <w:sz w:val="20"/>
        </w:rPr>
        <w:t>contained</w:t>
      </w:r>
      <w:r>
        <w:rPr>
          <w:spacing w:val="-8"/>
          <w:sz w:val="20"/>
        </w:rPr>
        <w:t> </w:t>
      </w:r>
      <w:r>
        <w:rPr>
          <w:sz w:val="20"/>
        </w:rPr>
        <w:t>a</w:t>
      </w:r>
      <w:r>
        <w:rPr>
          <w:spacing w:val="-9"/>
          <w:sz w:val="20"/>
        </w:rPr>
        <w:t> </w:t>
      </w:r>
      <w:r>
        <w:rPr>
          <w:spacing w:val="-3"/>
          <w:sz w:val="20"/>
        </w:rPr>
        <w:t>procedure</w:t>
      </w:r>
      <w:r>
        <w:rPr>
          <w:spacing w:val="-9"/>
          <w:sz w:val="20"/>
        </w:rPr>
        <w:t> </w:t>
      </w:r>
      <w:r>
        <w:rPr>
          <w:sz w:val="20"/>
        </w:rPr>
        <w:t>map</w:t>
      </w:r>
      <w:r>
        <w:rPr>
          <w:spacing w:val="-8"/>
          <w:sz w:val="20"/>
        </w:rPr>
        <w:t> </w:t>
      </w:r>
      <w:r>
        <w:rPr>
          <w:sz w:val="20"/>
        </w:rPr>
        <w:t>detailing</w:t>
      </w:r>
      <w:r>
        <w:rPr>
          <w:spacing w:val="-9"/>
          <w:sz w:val="20"/>
        </w:rPr>
        <w:t> </w:t>
      </w:r>
      <w:r>
        <w:rPr>
          <w:sz w:val="20"/>
        </w:rPr>
        <w:t>when various</w:t>
      </w:r>
      <w:r>
        <w:rPr>
          <w:spacing w:val="-7"/>
          <w:sz w:val="20"/>
        </w:rPr>
        <w:t> </w:t>
      </w:r>
      <w:r>
        <w:rPr>
          <w:sz w:val="20"/>
        </w:rPr>
        <w:t>steps</w:t>
      </w:r>
      <w:r>
        <w:rPr>
          <w:spacing w:val="-7"/>
          <w:sz w:val="20"/>
        </w:rPr>
        <w:t> </w:t>
      </w:r>
      <w:r>
        <w:rPr>
          <w:sz w:val="20"/>
        </w:rPr>
        <w:t>occur</w:t>
      </w:r>
      <w:r>
        <w:rPr>
          <w:spacing w:val="-6"/>
          <w:sz w:val="20"/>
        </w:rPr>
        <w:t> </w:t>
      </w:r>
      <w:r>
        <w:rPr>
          <w:sz w:val="20"/>
        </w:rPr>
        <w:t>in</w:t>
      </w:r>
      <w:r>
        <w:rPr>
          <w:spacing w:val="-7"/>
          <w:sz w:val="20"/>
        </w:rPr>
        <w:t> </w:t>
      </w:r>
      <w:r>
        <w:rPr>
          <w:sz w:val="20"/>
        </w:rPr>
        <w:t>relation</w:t>
      </w:r>
      <w:r>
        <w:rPr>
          <w:spacing w:val="-6"/>
          <w:sz w:val="20"/>
        </w:rPr>
        <w:t> </w:t>
      </w:r>
      <w:r>
        <w:rPr>
          <w:sz w:val="20"/>
        </w:rPr>
        <w:t>to</w:t>
      </w:r>
      <w:r>
        <w:rPr>
          <w:spacing w:val="-7"/>
          <w:sz w:val="20"/>
        </w:rPr>
        <w:t> </w:t>
      </w:r>
      <w:r>
        <w:rPr>
          <w:sz w:val="20"/>
        </w:rPr>
        <w:t>the</w:t>
      </w:r>
      <w:r>
        <w:rPr>
          <w:spacing w:val="-7"/>
          <w:sz w:val="20"/>
        </w:rPr>
        <w:t> </w:t>
      </w:r>
      <w:r>
        <w:rPr>
          <w:sz w:val="20"/>
        </w:rPr>
        <w:t>jury</w:t>
      </w:r>
      <w:r>
        <w:rPr>
          <w:spacing w:val="-6"/>
          <w:sz w:val="20"/>
        </w:rPr>
        <w:t> </w:t>
      </w:r>
      <w:r>
        <w:rPr>
          <w:sz w:val="20"/>
        </w:rPr>
        <w:t>selection</w:t>
      </w:r>
      <w:r>
        <w:rPr>
          <w:spacing w:val="-7"/>
          <w:sz w:val="20"/>
        </w:rPr>
        <w:t> </w:t>
      </w:r>
      <w:r>
        <w:rPr>
          <w:sz w:val="20"/>
        </w:rPr>
        <w:t>process,</w:t>
      </w:r>
      <w:r>
        <w:rPr>
          <w:spacing w:val="-6"/>
          <w:sz w:val="20"/>
        </w:rPr>
        <w:t> </w:t>
      </w:r>
      <w:r>
        <w:rPr>
          <w:sz w:val="20"/>
        </w:rPr>
        <w:t>for</w:t>
      </w:r>
      <w:r>
        <w:rPr>
          <w:spacing w:val="-7"/>
          <w:sz w:val="20"/>
        </w:rPr>
        <w:t> </w:t>
      </w:r>
      <w:r>
        <w:rPr>
          <w:spacing w:val="-3"/>
          <w:sz w:val="20"/>
        </w:rPr>
        <w:t>example:</w:t>
      </w:r>
    </w:p>
    <w:p>
      <w:pPr>
        <w:pStyle w:val="ListParagraph"/>
        <w:numPr>
          <w:ilvl w:val="2"/>
          <w:numId w:val="12"/>
        </w:numPr>
        <w:tabs>
          <w:tab w:pos="2157" w:val="left" w:leader="none"/>
          <w:tab w:pos="2158" w:val="left" w:leader="none"/>
        </w:tabs>
        <w:spacing w:line="240" w:lineRule="auto" w:before="90" w:after="0"/>
        <w:ind w:left="2157" w:right="0" w:hanging="396"/>
        <w:jc w:val="left"/>
        <w:rPr>
          <w:sz w:val="20"/>
        </w:rPr>
      </w:pPr>
      <w:r>
        <w:rPr>
          <w:sz w:val="20"/>
        </w:rPr>
        <w:t>a visit to the court </w:t>
      </w:r>
      <w:r>
        <w:rPr>
          <w:spacing w:val="-3"/>
          <w:sz w:val="20"/>
        </w:rPr>
        <w:t>before </w:t>
      </w:r>
      <w:r>
        <w:rPr>
          <w:sz w:val="20"/>
        </w:rPr>
        <w:t>the summons</w:t>
      </w:r>
      <w:r>
        <w:rPr>
          <w:spacing w:val="-31"/>
          <w:sz w:val="20"/>
        </w:rPr>
        <w:t> </w:t>
      </w:r>
      <w:r>
        <w:rPr>
          <w:spacing w:val="-3"/>
          <w:sz w:val="20"/>
        </w:rPr>
        <w:t>date</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preliminary report </w:t>
      </w:r>
      <w:r>
        <w:rPr>
          <w:spacing w:val="-3"/>
          <w:sz w:val="20"/>
        </w:rPr>
        <w:t>from </w:t>
      </w:r>
      <w:r>
        <w:rPr>
          <w:sz w:val="20"/>
        </w:rPr>
        <w:t>Juries</w:t>
      </w:r>
      <w:r>
        <w:rPr>
          <w:spacing w:val="-15"/>
          <w:sz w:val="20"/>
        </w:rPr>
        <w:t> </w:t>
      </w:r>
      <w:r>
        <w:rPr>
          <w:sz w:val="20"/>
        </w:rPr>
        <w:t>Victoria</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judge consideration—on the papers or</w:t>
      </w:r>
      <w:r>
        <w:rPr>
          <w:spacing w:val="-23"/>
          <w:sz w:val="20"/>
        </w:rPr>
        <w:t> </w:t>
      </w:r>
      <w:r>
        <w:rPr>
          <w:sz w:val="20"/>
        </w:rPr>
        <w:t>hearing</w:t>
      </w:r>
    </w:p>
    <w:p>
      <w:pPr>
        <w:pStyle w:val="ListParagraph"/>
        <w:numPr>
          <w:ilvl w:val="2"/>
          <w:numId w:val="12"/>
        </w:numPr>
        <w:tabs>
          <w:tab w:pos="2157" w:val="left" w:leader="none"/>
          <w:tab w:pos="2158" w:val="left" w:leader="none"/>
        </w:tabs>
        <w:spacing w:line="206" w:lineRule="auto" w:before="80" w:after="0"/>
        <w:ind w:left="2157" w:right="1382" w:hanging="396"/>
        <w:jc w:val="left"/>
        <w:rPr>
          <w:sz w:val="20"/>
        </w:rPr>
      </w:pPr>
      <w:r>
        <w:rPr>
          <w:sz w:val="20"/>
        </w:rPr>
        <w:t>direction</w:t>
      </w:r>
      <w:r>
        <w:rPr>
          <w:spacing w:val="-8"/>
          <w:sz w:val="20"/>
        </w:rPr>
        <w:t> </w:t>
      </w:r>
      <w:r>
        <w:rPr>
          <w:spacing w:val="-3"/>
          <w:sz w:val="20"/>
        </w:rPr>
        <w:t>from</w:t>
      </w:r>
      <w:r>
        <w:rPr>
          <w:spacing w:val="-8"/>
          <w:sz w:val="20"/>
        </w:rPr>
        <w:t> </w:t>
      </w:r>
      <w:r>
        <w:rPr>
          <w:sz w:val="20"/>
        </w:rPr>
        <w:t>a</w:t>
      </w:r>
      <w:r>
        <w:rPr>
          <w:spacing w:val="-8"/>
          <w:sz w:val="20"/>
        </w:rPr>
        <w:t> </w:t>
      </w:r>
      <w:r>
        <w:rPr>
          <w:sz w:val="20"/>
        </w:rPr>
        <w:t>judge,</w:t>
      </w:r>
      <w:r>
        <w:rPr>
          <w:spacing w:val="-8"/>
          <w:sz w:val="20"/>
        </w:rPr>
        <w:t> </w:t>
      </w:r>
      <w:r>
        <w:rPr>
          <w:sz w:val="20"/>
        </w:rPr>
        <w:t>if</w:t>
      </w:r>
      <w:r>
        <w:rPr>
          <w:spacing w:val="-8"/>
          <w:sz w:val="20"/>
        </w:rPr>
        <w:t> </w:t>
      </w:r>
      <w:r>
        <w:rPr>
          <w:sz w:val="20"/>
        </w:rPr>
        <w:t>adjustments</w:t>
      </w:r>
      <w:r>
        <w:rPr>
          <w:spacing w:val="-8"/>
          <w:sz w:val="20"/>
        </w:rPr>
        <w:t> </w:t>
      </w:r>
      <w:r>
        <w:rPr>
          <w:sz w:val="20"/>
        </w:rPr>
        <w:t>cannot</w:t>
      </w:r>
      <w:r>
        <w:rPr>
          <w:spacing w:val="-8"/>
          <w:sz w:val="20"/>
        </w:rPr>
        <w:t> </w:t>
      </w:r>
      <w:r>
        <w:rPr>
          <w:sz w:val="20"/>
        </w:rPr>
        <w:t>be</w:t>
      </w:r>
      <w:r>
        <w:rPr>
          <w:spacing w:val="-7"/>
          <w:sz w:val="20"/>
        </w:rPr>
        <w:t> </w:t>
      </w:r>
      <w:r>
        <w:rPr>
          <w:spacing w:val="-3"/>
          <w:sz w:val="20"/>
        </w:rPr>
        <w:t>reasonably</w:t>
      </w:r>
      <w:r>
        <w:rPr>
          <w:spacing w:val="-8"/>
          <w:sz w:val="20"/>
        </w:rPr>
        <w:t> </w:t>
      </w:r>
      <w:r>
        <w:rPr>
          <w:spacing w:val="-3"/>
          <w:sz w:val="20"/>
        </w:rPr>
        <w:t>provided</w:t>
      </w:r>
      <w:r>
        <w:rPr>
          <w:spacing w:val="-8"/>
          <w:sz w:val="20"/>
        </w:rPr>
        <w:t> </w:t>
      </w:r>
      <w:r>
        <w:rPr>
          <w:sz w:val="20"/>
        </w:rPr>
        <w:t>or</w:t>
      </w:r>
      <w:r>
        <w:rPr>
          <w:spacing w:val="-8"/>
          <w:sz w:val="20"/>
        </w:rPr>
        <w:t> </w:t>
      </w:r>
      <w:r>
        <w:rPr>
          <w:sz w:val="20"/>
        </w:rPr>
        <w:t>there</w:t>
      </w:r>
      <w:r>
        <w:rPr>
          <w:spacing w:val="-8"/>
          <w:sz w:val="20"/>
        </w:rPr>
        <w:t> </w:t>
      </w:r>
      <w:r>
        <w:rPr>
          <w:spacing w:val="-3"/>
          <w:sz w:val="20"/>
        </w:rPr>
        <w:t>are </w:t>
      </w:r>
      <w:r>
        <w:rPr>
          <w:sz w:val="20"/>
        </w:rPr>
        <w:t>doubts about</w:t>
      </w:r>
      <w:r>
        <w:rPr>
          <w:spacing w:val="-9"/>
          <w:sz w:val="20"/>
        </w:rPr>
        <w:t> </w:t>
      </w:r>
      <w:r>
        <w:rPr>
          <w:sz w:val="20"/>
        </w:rPr>
        <w:t>capacity</w:t>
      </w:r>
    </w:p>
    <w:p>
      <w:pPr>
        <w:pStyle w:val="ListParagraph"/>
        <w:numPr>
          <w:ilvl w:val="2"/>
          <w:numId w:val="12"/>
        </w:numPr>
        <w:tabs>
          <w:tab w:pos="2157" w:val="left" w:leader="none"/>
          <w:tab w:pos="2158" w:val="left" w:leader="none"/>
        </w:tabs>
        <w:spacing w:line="240" w:lineRule="auto" w:before="55" w:after="0"/>
        <w:ind w:left="2157" w:right="0" w:hanging="396"/>
        <w:jc w:val="left"/>
        <w:rPr>
          <w:sz w:val="20"/>
        </w:rPr>
      </w:pPr>
      <w:r>
        <w:rPr>
          <w:sz w:val="20"/>
        </w:rPr>
        <w:t>empanelment</w:t>
      </w:r>
      <w:r>
        <w:rPr>
          <w:spacing w:val="-5"/>
          <w:sz w:val="20"/>
        </w:rPr>
        <w:t> </w:t>
      </w:r>
      <w:r>
        <w:rPr>
          <w:sz w:val="20"/>
        </w:rPr>
        <w:t>process.</w:t>
      </w:r>
    </w:p>
    <w:p>
      <w:pPr>
        <w:pStyle w:val="ListParagraph"/>
        <w:numPr>
          <w:ilvl w:val="1"/>
          <w:numId w:val="12"/>
        </w:numPr>
        <w:tabs>
          <w:tab w:pos="1761" w:val="left" w:leader="none"/>
          <w:tab w:pos="1762" w:val="left" w:leader="none"/>
        </w:tabs>
        <w:spacing w:line="259" w:lineRule="exact" w:before="47" w:after="0"/>
        <w:ind w:left="1761" w:right="0" w:hanging="794"/>
        <w:jc w:val="left"/>
        <w:rPr>
          <w:sz w:val="20"/>
        </w:rPr>
      </w:pPr>
      <w:r>
        <w:rPr>
          <w:sz w:val="20"/>
        </w:rPr>
        <w:t>Juries</w:t>
      </w:r>
      <w:r>
        <w:rPr>
          <w:spacing w:val="-7"/>
          <w:sz w:val="20"/>
        </w:rPr>
        <w:t> </w:t>
      </w:r>
      <w:r>
        <w:rPr>
          <w:sz w:val="20"/>
        </w:rPr>
        <w:t>Victoria</w:t>
      </w:r>
      <w:r>
        <w:rPr>
          <w:spacing w:val="-6"/>
          <w:sz w:val="20"/>
        </w:rPr>
        <w:t> </w:t>
      </w:r>
      <w:r>
        <w:rPr>
          <w:spacing w:val="-3"/>
          <w:sz w:val="20"/>
        </w:rPr>
        <w:t>may</w:t>
      </w:r>
      <w:r>
        <w:rPr>
          <w:spacing w:val="-7"/>
          <w:sz w:val="20"/>
        </w:rPr>
        <w:t> </w:t>
      </w:r>
      <w:r>
        <w:rPr>
          <w:sz w:val="20"/>
        </w:rPr>
        <w:t>need</w:t>
      </w:r>
      <w:r>
        <w:rPr>
          <w:spacing w:val="-6"/>
          <w:sz w:val="20"/>
        </w:rPr>
        <w:t> </w:t>
      </w:r>
      <w:r>
        <w:rPr>
          <w:sz w:val="20"/>
        </w:rPr>
        <w:t>additional</w:t>
      </w:r>
      <w:r>
        <w:rPr>
          <w:spacing w:val="-6"/>
          <w:sz w:val="20"/>
        </w:rPr>
        <w:t> </w:t>
      </w:r>
      <w:r>
        <w:rPr>
          <w:sz w:val="20"/>
        </w:rPr>
        <w:t>protocols</w:t>
      </w:r>
      <w:r>
        <w:rPr>
          <w:spacing w:val="-7"/>
          <w:sz w:val="20"/>
        </w:rPr>
        <w:t> </w:t>
      </w:r>
      <w:r>
        <w:rPr>
          <w:sz w:val="20"/>
        </w:rPr>
        <w:t>outlining</w:t>
      </w:r>
      <w:r>
        <w:rPr>
          <w:spacing w:val="-6"/>
          <w:sz w:val="20"/>
        </w:rPr>
        <w:t> </w:t>
      </w:r>
      <w:r>
        <w:rPr>
          <w:sz w:val="20"/>
        </w:rPr>
        <w:t>the</w:t>
      </w:r>
      <w:r>
        <w:rPr>
          <w:spacing w:val="-6"/>
          <w:sz w:val="20"/>
        </w:rPr>
        <w:t> </w:t>
      </w:r>
      <w:r>
        <w:rPr>
          <w:sz w:val="20"/>
        </w:rPr>
        <w:t>steps</w:t>
      </w:r>
      <w:r>
        <w:rPr>
          <w:spacing w:val="-7"/>
          <w:sz w:val="20"/>
        </w:rPr>
        <w:t> </w:t>
      </w:r>
      <w:r>
        <w:rPr>
          <w:sz w:val="20"/>
        </w:rPr>
        <w:t>to</w:t>
      </w:r>
      <w:r>
        <w:rPr>
          <w:spacing w:val="-6"/>
          <w:sz w:val="20"/>
        </w:rPr>
        <w:t> </w:t>
      </w:r>
      <w:r>
        <w:rPr>
          <w:sz w:val="20"/>
        </w:rPr>
        <w:t>take</w:t>
      </w:r>
      <w:r>
        <w:rPr>
          <w:spacing w:val="-6"/>
          <w:sz w:val="20"/>
        </w:rPr>
        <w:t> </w:t>
      </w:r>
      <w:r>
        <w:rPr>
          <w:spacing w:val="-3"/>
          <w:sz w:val="20"/>
        </w:rPr>
        <w:t>before</w:t>
      </w:r>
      <w:r>
        <w:rPr>
          <w:spacing w:val="-7"/>
          <w:sz w:val="20"/>
        </w:rPr>
        <w:t> </w:t>
      </w:r>
      <w:r>
        <w:rPr>
          <w:sz w:val="20"/>
        </w:rPr>
        <w:t>service</w:t>
      </w:r>
    </w:p>
    <w:p>
      <w:pPr>
        <w:pStyle w:val="BodyText"/>
        <w:spacing w:line="259" w:lineRule="exact"/>
        <w:ind w:left="1761"/>
      </w:pPr>
      <w:r>
        <w:rPr/>
        <w:t>and what to do on the first day of service.</w:t>
      </w:r>
    </w:p>
    <w:p>
      <w:pPr>
        <w:pStyle w:val="BodyText"/>
        <w:spacing w:before="11"/>
        <w:rPr>
          <w:sz w:val="18"/>
        </w:rPr>
      </w:pPr>
      <w:r>
        <w:rPr/>
        <w:pict>
          <v:group style="position:absolute;margin-left:62.362202pt;margin-top:15.0378pt;width:479.1pt;height:152.9pt;mso-position-horizontal-relative:page;mso-position-vertical-relative:paragraph;z-index:11240;mso-wrap-distance-left:0;mso-wrap-distance-right:0" coordorigin="1247,301" coordsize="9582,3058">
            <v:rect style="position:absolute;left:1587;top:300;width:8731;height:3058" filled="true" fillcolor="#dddfe4" stroked="false">
              <v:fill type="solid"/>
            </v:rect>
            <v:line style="position:absolute" from="1247,1108" to="10828,1108" stroked="true" strokeweight="2.5pt" strokecolor="#ffffff">
              <v:stroke dashstyle="solid"/>
            </v:line>
            <v:shape style="position:absolute;left:2381;top:1333;width:7598;height:1845" type="#_x0000_t202" filled="false" stroked="false">
              <v:textbox inset="0,0,0,0">
                <w:txbxContent>
                  <w:p>
                    <w:pPr>
                      <w:spacing w:line="247" w:lineRule="auto" w:before="0"/>
                      <w:ind w:left="0" w:right="0" w:firstLine="0"/>
                      <w:jc w:val="left"/>
                      <w:rPr>
                        <w:rFonts w:ascii="Trebuchet MS"/>
                        <w:sz w:val="20"/>
                      </w:rPr>
                    </w:pPr>
                    <w:r>
                      <w:rPr>
                        <w:rFonts w:ascii="Trebuchet MS"/>
                        <w:spacing w:val="-3"/>
                        <w:w w:val="105"/>
                        <w:sz w:val="20"/>
                      </w:rPr>
                      <w:t>Professional development </w:t>
                    </w:r>
                    <w:r>
                      <w:rPr>
                        <w:rFonts w:ascii="Trebuchet MS"/>
                        <w:w w:val="105"/>
                        <w:sz w:val="20"/>
                      </w:rPr>
                      <w:t>training should be provided to the </w:t>
                    </w:r>
                    <w:r>
                      <w:rPr>
                        <w:rFonts w:ascii="Trebuchet MS"/>
                        <w:spacing w:val="-3"/>
                        <w:w w:val="105"/>
                        <w:sz w:val="20"/>
                      </w:rPr>
                      <w:t>judiciary, </w:t>
                    </w:r>
                    <w:r>
                      <w:rPr>
                        <w:rFonts w:ascii="Trebuchet MS"/>
                        <w:w w:val="105"/>
                        <w:sz w:val="20"/>
                      </w:rPr>
                      <w:t>legal </w:t>
                    </w:r>
                    <w:r>
                      <w:rPr>
                        <w:rFonts w:ascii="Trebuchet MS"/>
                        <w:spacing w:val="-1"/>
                        <w:w w:val="111"/>
                        <w:sz w:val="20"/>
                      </w:rPr>
                      <w:t>p</w:t>
                    </w:r>
                    <w:r>
                      <w:rPr>
                        <w:rFonts w:ascii="Trebuchet MS"/>
                        <w:spacing w:val="-4"/>
                        <w:w w:val="93"/>
                        <w:sz w:val="20"/>
                      </w:rPr>
                      <w:t>r</w:t>
                    </w:r>
                    <w:r>
                      <w:rPr>
                        <w:rFonts w:ascii="Trebuchet MS"/>
                        <w:spacing w:val="-4"/>
                        <w:w w:val="111"/>
                        <w:sz w:val="20"/>
                      </w:rPr>
                      <w:t>o</w:t>
                    </w:r>
                    <w:r>
                      <w:rPr>
                        <w:rFonts w:ascii="Trebuchet MS"/>
                        <w:spacing w:val="-5"/>
                        <w:w w:val="92"/>
                        <w:sz w:val="20"/>
                      </w:rPr>
                      <w:t>f</w:t>
                    </w:r>
                    <w:r>
                      <w:rPr>
                        <w:rFonts w:ascii="Trebuchet MS"/>
                        <w:spacing w:val="-2"/>
                        <w:w w:val="108"/>
                        <w:sz w:val="20"/>
                      </w:rPr>
                      <w:t>e</w:t>
                    </w:r>
                    <w:r>
                      <w:rPr>
                        <w:rFonts w:ascii="Trebuchet MS"/>
                        <w:spacing w:val="-1"/>
                        <w:w w:val="122"/>
                        <w:sz w:val="20"/>
                      </w:rPr>
                      <w:t>s</w:t>
                    </w:r>
                    <w:r>
                      <w:rPr>
                        <w:rFonts w:ascii="Trebuchet MS"/>
                        <w:spacing w:val="-2"/>
                        <w:w w:val="122"/>
                        <w:sz w:val="20"/>
                      </w:rPr>
                      <w:t>s</w:t>
                    </w:r>
                    <w:r>
                      <w:rPr>
                        <w:rFonts w:ascii="Trebuchet MS"/>
                        <w:spacing w:val="-1"/>
                        <w:w w:val="80"/>
                        <w:sz w:val="20"/>
                      </w:rPr>
                      <w:t>i</w:t>
                    </w:r>
                    <w:r>
                      <w:rPr>
                        <w:rFonts w:ascii="Trebuchet MS"/>
                        <w:spacing w:val="-1"/>
                        <w:w w:val="111"/>
                        <w:sz w:val="20"/>
                      </w:rPr>
                      <w:t>o</w:t>
                    </w:r>
                    <w:r>
                      <w:rPr>
                        <w:rFonts w:ascii="Trebuchet MS"/>
                        <w:spacing w:val="-1"/>
                        <w:w w:val="107"/>
                        <w:sz w:val="20"/>
                      </w:rPr>
                      <w:t>n</w:t>
                    </w:r>
                    <w:r>
                      <w:rPr>
                        <w:rFonts w:ascii="Trebuchet MS"/>
                        <w:spacing w:val="-3"/>
                        <w:w w:val="105"/>
                        <w:sz w:val="20"/>
                      </w:rPr>
                      <w:t>a</w:t>
                    </w:r>
                    <w:r>
                      <w:rPr>
                        <w:rFonts w:ascii="Trebuchet MS"/>
                        <w:spacing w:val="3"/>
                        <w:w w:val="96"/>
                        <w:sz w:val="20"/>
                      </w:rPr>
                      <w:t>l</w:t>
                    </w:r>
                    <w:r>
                      <w:rPr>
                        <w:rFonts w:ascii="Trebuchet MS"/>
                        <w:w w:val="122"/>
                        <w:sz w:val="20"/>
                      </w:rPr>
                      <w:t>s</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1"/>
                        <w:w w:val="101"/>
                        <w:sz w:val="20"/>
                      </w:rPr>
                      <w:t>J</w:t>
                    </w:r>
                    <w:r>
                      <w:rPr>
                        <w:rFonts w:ascii="Trebuchet MS"/>
                        <w:spacing w:val="-1"/>
                        <w:w w:val="109"/>
                        <w:sz w:val="20"/>
                      </w:rPr>
                      <w:t>u</w:t>
                    </w:r>
                    <w:r>
                      <w:rPr>
                        <w:rFonts w:ascii="Trebuchet MS"/>
                        <w:spacing w:val="-2"/>
                        <w:w w:val="93"/>
                        <w:sz w:val="20"/>
                      </w:rPr>
                      <w:t>r</w:t>
                    </w:r>
                    <w:r>
                      <w:rPr>
                        <w:rFonts w:ascii="Trebuchet MS"/>
                        <w:spacing w:val="-1"/>
                        <w:w w:val="80"/>
                        <w:sz w:val="20"/>
                      </w:rPr>
                      <w:t>i</w:t>
                    </w:r>
                    <w:r>
                      <w:rPr>
                        <w:rFonts w:ascii="Trebuchet MS"/>
                        <w:spacing w:val="-2"/>
                        <w:w w:val="108"/>
                        <w:sz w:val="20"/>
                      </w:rPr>
                      <w:t>e</w:t>
                    </w:r>
                    <w:r>
                      <w:rPr>
                        <w:rFonts w:ascii="Trebuchet MS"/>
                        <w:w w:val="122"/>
                        <w:sz w:val="20"/>
                      </w:rPr>
                      <w:t>s</w:t>
                    </w:r>
                    <w:r>
                      <w:rPr>
                        <w:rFonts w:ascii="Trebuchet MS"/>
                        <w:spacing w:val="-14"/>
                        <w:sz w:val="20"/>
                      </w:rPr>
                      <w:t> </w:t>
                    </w:r>
                    <w:r>
                      <w:rPr>
                        <w:rFonts w:ascii="Trebuchet MS"/>
                        <w:spacing w:val="-1"/>
                        <w:w w:val="115"/>
                        <w:sz w:val="20"/>
                      </w:rPr>
                      <w:t>V</w:t>
                    </w:r>
                    <w:r>
                      <w:rPr>
                        <w:rFonts w:ascii="Trebuchet MS"/>
                        <w:spacing w:val="-1"/>
                        <w:w w:val="80"/>
                        <w:sz w:val="20"/>
                      </w:rPr>
                      <w:t>i</w:t>
                    </w:r>
                    <w:r>
                      <w:rPr>
                        <w:rFonts w:ascii="Trebuchet MS"/>
                        <w:spacing w:val="-2"/>
                        <w:w w:val="111"/>
                        <w:sz w:val="20"/>
                      </w:rPr>
                      <w:t>c</w:t>
                    </w:r>
                    <w:r>
                      <w:rPr>
                        <w:rFonts w:ascii="Trebuchet MS"/>
                        <w:spacing w:val="-4"/>
                        <w:w w:val="88"/>
                        <w:sz w:val="20"/>
                      </w:rPr>
                      <w:t>t</w:t>
                    </w:r>
                    <w:r>
                      <w:rPr>
                        <w:rFonts w:ascii="Trebuchet MS"/>
                        <w:spacing w:val="-1"/>
                        <w:w w:val="111"/>
                        <w:sz w:val="20"/>
                      </w:rPr>
                      <w:t>o</w:t>
                    </w:r>
                    <w:r>
                      <w:rPr>
                        <w:rFonts w:ascii="Trebuchet MS"/>
                        <w:spacing w:val="-2"/>
                        <w:w w:val="93"/>
                        <w:sz w:val="20"/>
                      </w:rPr>
                      <w:t>r</w:t>
                    </w:r>
                    <w:r>
                      <w:rPr>
                        <w:rFonts w:ascii="Trebuchet MS"/>
                        <w:spacing w:val="-1"/>
                        <w:w w:val="80"/>
                        <w:sz w:val="20"/>
                      </w:rPr>
                      <w:t>i</w:t>
                    </w:r>
                    <w:r>
                      <w:rPr>
                        <w:rFonts w:ascii="Trebuchet MS"/>
                        <w:w w:val="105"/>
                        <w:sz w:val="20"/>
                      </w:rPr>
                      <w:t>a</w:t>
                    </w:r>
                    <w:r>
                      <w:rPr>
                        <w:rFonts w:ascii="Trebuchet MS"/>
                        <w:spacing w:val="-14"/>
                        <w:sz w:val="20"/>
                      </w:rPr>
                      <w:t> </w:t>
                    </w:r>
                    <w:r>
                      <w:rPr>
                        <w:rFonts w:ascii="Trebuchet MS"/>
                        <w:spacing w:val="-2"/>
                        <w:w w:val="105"/>
                        <w:sz w:val="20"/>
                      </w:rPr>
                      <w:t>a</w:t>
                    </w:r>
                    <w:r>
                      <w:rPr>
                        <w:rFonts w:ascii="Trebuchet MS"/>
                        <w:spacing w:val="-1"/>
                        <w:w w:val="111"/>
                        <w:sz w:val="20"/>
                      </w:rPr>
                      <w:t>b</w:t>
                    </w:r>
                    <w:r>
                      <w:rPr>
                        <w:rFonts w:ascii="Trebuchet MS"/>
                        <w:spacing w:val="-1"/>
                        <w:w w:val="111"/>
                        <w:sz w:val="20"/>
                      </w:rPr>
                      <w:t>o</w:t>
                    </w:r>
                    <w:r>
                      <w:rPr>
                        <w:rFonts w:ascii="Trebuchet MS"/>
                        <w:spacing w:val="-3"/>
                        <w:w w:val="109"/>
                        <w:sz w:val="20"/>
                      </w:rPr>
                      <w:t>u</w:t>
                    </w:r>
                    <w:r>
                      <w:rPr>
                        <w:rFonts w:ascii="Trebuchet MS"/>
                        <w:w w:val="88"/>
                        <w:sz w:val="20"/>
                      </w:rPr>
                      <w:t>t</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3"/>
                        <w:w w:val="110"/>
                        <w:sz w:val="20"/>
                      </w:rPr>
                      <w:t>w</w:t>
                    </w:r>
                    <w:r>
                      <w:rPr>
                        <w:rFonts w:ascii="Trebuchet MS"/>
                        <w:spacing w:val="-7"/>
                        <w:w w:val="105"/>
                        <w:sz w:val="20"/>
                      </w:rPr>
                      <w:t>a</w:t>
                    </w:r>
                    <w:r>
                      <w:rPr>
                        <w:rFonts w:ascii="Trebuchet MS"/>
                        <w:w w:val="110"/>
                        <w:sz w:val="20"/>
                      </w:rPr>
                      <w:t>y</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spacing w:val="-4"/>
                        <w:w w:val="105"/>
                        <w:sz w:val="20"/>
                      </w:rPr>
                      <w:t>a</w:t>
                    </w:r>
                    <w:r>
                      <w:rPr>
                        <w:rFonts w:ascii="Trebuchet MS"/>
                        <w:w w:val="88"/>
                        <w:sz w:val="20"/>
                      </w:rPr>
                      <w:t>t</w:t>
                    </w:r>
                    <w:r>
                      <w:rPr>
                        <w:rFonts w:ascii="Trebuchet MS"/>
                        <w:spacing w:val="-14"/>
                        <w:sz w:val="20"/>
                      </w:rPr>
                      <w:t> </w:t>
                    </w:r>
                    <w:r>
                      <w:rPr>
                        <w:rFonts w:ascii="Trebuchet MS"/>
                        <w:spacing w:val="-1"/>
                        <w:w w:val="107"/>
                        <w:sz w:val="20"/>
                      </w:rPr>
                      <w:t>n</w:t>
                    </w:r>
                    <w:r>
                      <w:rPr>
                        <w:rFonts w:ascii="Trebuchet MS"/>
                        <w:spacing w:val="-5"/>
                        <w:w w:val="108"/>
                        <w:sz w:val="20"/>
                      </w:rPr>
                      <w:t>e</w:t>
                    </w:r>
                    <w:r>
                      <w:rPr>
                        <w:rFonts w:ascii="Trebuchet MS"/>
                        <w:w w:val="110"/>
                        <w:sz w:val="20"/>
                      </w:rPr>
                      <w:t>w</w:t>
                    </w:r>
                    <w:r>
                      <w:rPr>
                        <w:rFonts w:ascii="Trebuchet MS"/>
                        <w:spacing w:val="-14"/>
                        <w:sz w:val="20"/>
                      </w:rPr>
                      <w:t> </w:t>
                    </w:r>
                    <w:r>
                      <w:rPr>
                        <w:rFonts w:ascii="Trebuchet MS"/>
                        <w:spacing w:val="1"/>
                        <w:w w:val="96"/>
                        <w:sz w:val="20"/>
                      </w:rPr>
                      <w:t>l</w:t>
                    </w:r>
                    <w:r>
                      <w:rPr>
                        <w:rFonts w:ascii="Trebuchet MS"/>
                        <w:spacing w:val="-7"/>
                        <w:w w:val="105"/>
                        <w:sz w:val="20"/>
                      </w:rPr>
                      <w:t>a</w:t>
                    </w:r>
                    <w:r>
                      <w:rPr>
                        <w:rFonts w:ascii="Trebuchet MS"/>
                        <w:spacing w:val="-4"/>
                        <w:w w:val="110"/>
                        <w:sz w:val="20"/>
                      </w:rPr>
                      <w:t>w</w:t>
                    </w:r>
                    <w:r>
                      <w:rPr>
                        <w:rFonts w:ascii="Trebuchet MS"/>
                        <w:w w:val="122"/>
                        <w:sz w:val="20"/>
                      </w:rPr>
                      <w:t>s</w:t>
                    </w:r>
                    <w:r>
                      <w:rPr>
                        <w:rFonts w:ascii="Trebuchet MS"/>
                        <w:spacing w:val="-14"/>
                        <w:sz w:val="20"/>
                      </w:rPr>
                      <w:t> </w:t>
                    </w:r>
                    <w:r>
                      <w:rPr>
                        <w:rFonts w:ascii="Trebuchet MS"/>
                        <w:spacing w:val="-2"/>
                        <w:w w:val="110"/>
                        <w:sz w:val="20"/>
                      </w:rPr>
                      <w:t>w</w:t>
                    </w:r>
                    <w:r>
                      <w:rPr>
                        <w:rFonts w:ascii="Trebuchet MS"/>
                        <w:spacing w:val="-2"/>
                        <w:w w:val="80"/>
                        <w:sz w:val="20"/>
                      </w:rPr>
                      <w:t>i</w:t>
                    </w:r>
                    <w:r>
                      <w:rPr>
                        <w:rFonts w:ascii="Trebuchet MS"/>
                        <w:spacing w:val="-2"/>
                        <w:w w:val="96"/>
                        <w:sz w:val="20"/>
                      </w:rPr>
                      <w:t>l</w:t>
                    </w:r>
                    <w:r>
                      <w:rPr>
                        <w:rFonts w:ascii="Trebuchet MS"/>
                        <w:w w:val="96"/>
                        <w:sz w:val="20"/>
                      </w:rPr>
                      <w:t>l</w:t>
                    </w:r>
                    <w:r>
                      <w:rPr>
                        <w:rFonts w:ascii="Trebuchet MS"/>
                        <w:spacing w:val="-14"/>
                        <w:sz w:val="20"/>
                      </w:rPr>
                      <w:t> </w:t>
                    </w:r>
                    <w:r>
                      <w:rPr>
                        <w:rFonts w:ascii="Trebuchet MS"/>
                        <w:spacing w:val="-6"/>
                        <w:w w:val="110"/>
                        <w:sz w:val="20"/>
                      </w:rPr>
                      <w:t>w</w:t>
                    </w:r>
                    <w:r>
                      <w:rPr>
                        <w:rFonts w:ascii="Trebuchet MS"/>
                        <w:spacing w:val="-1"/>
                        <w:w w:val="111"/>
                        <w:sz w:val="20"/>
                      </w:rPr>
                      <w:t>o</w:t>
                    </w:r>
                    <w:r>
                      <w:rPr>
                        <w:rFonts w:ascii="Trebuchet MS"/>
                        <w:spacing w:val="-2"/>
                        <w:w w:val="93"/>
                        <w:sz w:val="20"/>
                      </w:rPr>
                      <w:t>r</w:t>
                    </w:r>
                    <w:r>
                      <w:rPr>
                        <w:rFonts w:ascii="Trebuchet MS"/>
                        <w:w w:val="106"/>
                        <w:sz w:val="20"/>
                      </w:rPr>
                      <w:t>k</w:t>
                    </w:r>
                    <w:r>
                      <w:rPr>
                        <w:rFonts w:ascii="Trebuchet MS"/>
                        <w:spacing w:val="-14"/>
                        <w:sz w:val="20"/>
                      </w:rPr>
                      <w:t> </w:t>
                    </w:r>
                    <w:r>
                      <w:rPr>
                        <w:rFonts w:ascii="Trebuchet MS"/>
                        <w:spacing w:val="-2"/>
                        <w:w w:val="80"/>
                        <w:sz w:val="20"/>
                      </w:rPr>
                      <w:t>i</w:t>
                    </w:r>
                    <w:r>
                      <w:rPr>
                        <w:rFonts w:ascii="Trebuchet MS"/>
                        <w:w w:val="107"/>
                        <w:sz w:val="20"/>
                      </w:rPr>
                      <w:t>n</w:t>
                    </w:r>
                    <w:r>
                      <w:rPr>
                        <w:rFonts w:ascii="Trebuchet MS"/>
                        <w:spacing w:val="-14"/>
                        <w:sz w:val="20"/>
                      </w:rPr>
                      <w:t> </w:t>
                    </w:r>
                    <w:r>
                      <w:rPr>
                        <w:rFonts w:ascii="Trebuchet MS"/>
                        <w:spacing w:val="-1"/>
                        <w:w w:val="111"/>
                        <w:sz w:val="20"/>
                      </w:rPr>
                      <w:t>p</w:t>
                    </w:r>
                    <w:r>
                      <w:rPr>
                        <w:rFonts w:ascii="Trebuchet MS"/>
                        <w:spacing w:val="-2"/>
                        <w:w w:val="93"/>
                        <w:sz w:val="20"/>
                      </w:rPr>
                      <w:t>r</w:t>
                    </w:r>
                    <w:r>
                      <w:rPr>
                        <w:rFonts w:ascii="Trebuchet MS"/>
                        <w:spacing w:val="-2"/>
                        <w:w w:val="108"/>
                        <w:sz w:val="20"/>
                      </w:rPr>
                      <w:t>ac</w:t>
                    </w:r>
                    <w:r>
                      <w:rPr>
                        <w:rFonts w:ascii="Trebuchet MS"/>
                        <w:spacing w:val="-2"/>
                        <w:w w:val="88"/>
                        <w:sz w:val="20"/>
                      </w:rPr>
                      <w:t>t</w:t>
                    </w:r>
                    <w:r>
                      <w:rPr>
                        <w:rFonts w:ascii="Trebuchet MS"/>
                        <w:spacing w:val="-1"/>
                        <w:w w:val="80"/>
                        <w:sz w:val="20"/>
                      </w:rPr>
                      <w:t>i</w:t>
                    </w:r>
                    <w:r>
                      <w:rPr>
                        <w:rFonts w:ascii="Trebuchet MS"/>
                        <w:spacing w:val="-3"/>
                        <w:w w:val="111"/>
                        <w:sz w:val="20"/>
                      </w:rPr>
                      <w:t>c</w:t>
                    </w:r>
                    <w:r>
                      <w:rPr>
                        <w:rFonts w:ascii="Trebuchet MS"/>
                        <w:spacing w:val="-3"/>
                        <w:w w:val="108"/>
                        <w:sz w:val="20"/>
                      </w:rPr>
                      <w:t>e</w:t>
                    </w:r>
                    <w:r>
                      <w:rPr>
                        <w:rFonts w:ascii="Trebuchet MS"/>
                        <w:w w:val="55"/>
                        <w:sz w:val="20"/>
                      </w:rPr>
                      <w:t>.</w:t>
                    </w:r>
                  </w:p>
                  <w:p>
                    <w:pPr>
                      <w:spacing w:line="247" w:lineRule="auto" w:before="87"/>
                      <w:ind w:left="0" w:right="54" w:firstLine="0"/>
                      <w:jc w:val="left"/>
                      <w:rPr>
                        <w:rFonts w:ascii="Trebuchet MS"/>
                        <w:sz w:val="20"/>
                      </w:rPr>
                    </w:pPr>
                    <w:r>
                      <w:rPr>
                        <w:rFonts w:ascii="Trebuchet MS"/>
                        <w:spacing w:val="-1"/>
                        <w:w w:val="101"/>
                        <w:sz w:val="20"/>
                      </w:rPr>
                      <w:t>J</w:t>
                    </w:r>
                    <w:r>
                      <w:rPr>
                        <w:rFonts w:ascii="Trebuchet MS"/>
                        <w:spacing w:val="-1"/>
                        <w:w w:val="109"/>
                        <w:sz w:val="20"/>
                      </w:rPr>
                      <w:t>u</w:t>
                    </w:r>
                    <w:r>
                      <w:rPr>
                        <w:rFonts w:ascii="Trebuchet MS"/>
                        <w:spacing w:val="-2"/>
                        <w:w w:val="93"/>
                        <w:sz w:val="20"/>
                      </w:rPr>
                      <w:t>r</w:t>
                    </w:r>
                    <w:r>
                      <w:rPr>
                        <w:rFonts w:ascii="Trebuchet MS"/>
                        <w:spacing w:val="-1"/>
                        <w:w w:val="80"/>
                        <w:sz w:val="20"/>
                      </w:rPr>
                      <w:t>i</w:t>
                    </w:r>
                    <w:r>
                      <w:rPr>
                        <w:rFonts w:ascii="Trebuchet MS"/>
                        <w:spacing w:val="-2"/>
                        <w:w w:val="108"/>
                        <w:sz w:val="20"/>
                      </w:rPr>
                      <w:t>e</w:t>
                    </w:r>
                    <w:r>
                      <w:rPr>
                        <w:rFonts w:ascii="Trebuchet MS"/>
                        <w:w w:val="122"/>
                        <w:sz w:val="20"/>
                      </w:rPr>
                      <w:t>s</w:t>
                    </w:r>
                    <w:r>
                      <w:rPr>
                        <w:rFonts w:ascii="Trebuchet MS"/>
                        <w:spacing w:val="-14"/>
                        <w:sz w:val="20"/>
                      </w:rPr>
                      <w:t> </w:t>
                    </w:r>
                    <w:r>
                      <w:rPr>
                        <w:rFonts w:ascii="Trebuchet MS"/>
                        <w:spacing w:val="-1"/>
                        <w:w w:val="115"/>
                        <w:sz w:val="20"/>
                      </w:rPr>
                      <w:t>V</w:t>
                    </w:r>
                    <w:r>
                      <w:rPr>
                        <w:rFonts w:ascii="Trebuchet MS"/>
                        <w:spacing w:val="-1"/>
                        <w:w w:val="80"/>
                        <w:sz w:val="20"/>
                      </w:rPr>
                      <w:t>i</w:t>
                    </w:r>
                    <w:r>
                      <w:rPr>
                        <w:rFonts w:ascii="Trebuchet MS"/>
                        <w:spacing w:val="-2"/>
                        <w:w w:val="111"/>
                        <w:sz w:val="20"/>
                      </w:rPr>
                      <w:t>c</w:t>
                    </w:r>
                    <w:r>
                      <w:rPr>
                        <w:rFonts w:ascii="Trebuchet MS"/>
                        <w:spacing w:val="-4"/>
                        <w:w w:val="88"/>
                        <w:sz w:val="20"/>
                      </w:rPr>
                      <w:t>t</w:t>
                    </w:r>
                    <w:r>
                      <w:rPr>
                        <w:rFonts w:ascii="Trebuchet MS"/>
                        <w:spacing w:val="-1"/>
                        <w:w w:val="111"/>
                        <w:sz w:val="20"/>
                      </w:rPr>
                      <w:t>o</w:t>
                    </w:r>
                    <w:r>
                      <w:rPr>
                        <w:rFonts w:ascii="Trebuchet MS"/>
                        <w:spacing w:val="-2"/>
                        <w:w w:val="93"/>
                        <w:sz w:val="20"/>
                      </w:rPr>
                      <w:t>r</w:t>
                    </w:r>
                    <w:r>
                      <w:rPr>
                        <w:rFonts w:ascii="Trebuchet MS"/>
                        <w:spacing w:val="-1"/>
                        <w:w w:val="80"/>
                        <w:sz w:val="20"/>
                      </w:rPr>
                      <w:t>i</w:t>
                    </w:r>
                    <w:r>
                      <w:rPr>
                        <w:rFonts w:ascii="Trebuchet MS"/>
                        <w:spacing w:val="1"/>
                        <w:w w:val="105"/>
                        <w:sz w:val="20"/>
                      </w:rPr>
                      <w:t>a</w:t>
                    </w:r>
                    <w:r>
                      <w:rPr>
                        <w:rFonts w:ascii="Trebuchet MS"/>
                        <w:w w:val="57"/>
                        <w:sz w:val="20"/>
                      </w:rPr>
                      <w:t>,</w:t>
                    </w:r>
                    <w:r>
                      <w:rPr>
                        <w:rFonts w:ascii="Trebuchet MS"/>
                        <w:spacing w:val="-14"/>
                        <w:sz w:val="20"/>
                      </w:rPr>
                      <w:t> </w:t>
                    </w:r>
                    <w:r>
                      <w:rPr>
                        <w:rFonts w:ascii="Trebuchet MS"/>
                        <w:spacing w:val="-2"/>
                        <w:w w:val="80"/>
                        <w:sz w:val="20"/>
                      </w:rPr>
                      <w:t>i</w:t>
                    </w:r>
                    <w:r>
                      <w:rPr>
                        <w:rFonts w:ascii="Trebuchet MS"/>
                        <w:w w:val="107"/>
                        <w:sz w:val="20"/>
                      </w:rPr>
                      <w:t>n</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2"/>
                        <w:w w:val="107"/>
                        <w:sz w:val="20"/>
                      </w:rPr>
                      <w:t>n</w:t>
                    </w:r>
                    <w:r>
                      <w:rPr>
                        <w:rFonts w:ascii="Trebuchet MS"/>
                        <w:spacing w:val="-2"/>
                        <w:w w:val="122"/>
                        <w:sz w:val="20"/>
                      </w:rPr>
                      <w:t>s</w:t>
                    </w:r>
                    <w:r>
                      <w:rPr>
                        <w:rFonts w:ascii="Trebuchet MS"/>
                        <w:spacing w:val="-2"/>
                        <w:w w:val="109"/>
                        <w:sz w:val="20"/>
                      </w:rPr>
                      <w:t>u</w:t>
                    </w:r>
                    <w:r>
                      <w:rPr>
                        <w:rFonts w:ascii="Trebuchet MS"/>
                        <w:spacing w:val="-4"/>
                        <w:w w:val="96"/>
                        <w:sz w:val="20"/>
                      </w:rPr>
                      <w:t>l</w:t>
                    </w:r>
                    <w:r>
                      <w:rPr>
                        <w:rFonts w:ascii="Trebuchet MS"/>
                        <w:w w:val="88"/>
                        <w:sz w:val="20"/>
                      </w:rPr>
                      <w:t>t</w:t>
                    </w:r>
                    <w:r>
                      <w:rPr>
                        <w:rFonts w:ascii="Trebuchet MS"/>
                        <w:spacing w:val="-4"/>
                        <w:w w:val="105"/>
                        <w:sz w:val="20"/>
                      </w:rPr>
                      <w:t>a</w:t>
                    </w:r>
                    <w:r>
                      <w:rPr>
                        <w:rFonts w:ascii="Trebuchet MS"/>
                        <w:spacing w:val="-2"/>
                        <w:w w:val="88"/>
                        <w:sz w:val="20"/>
                      </w:rPr>
                      <w:t>t</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2"/>
                        <w:w w:val="110"/>
                        <w:sz w:val="20"/>
                      </w:rPr>
                      <w:t>w</w:t>
                    </w:r>
                    <w:r>
                      <w:rPr>
                        <w:rFonts w:ascii="Trebuchet MS"/>
                        <w:spacing w:val="-3"/>
                        <w:w w:val="80"/>
                        <w:sz w:val="20"/>
                      </w:rPr>
                      <w:t>i</w:t>
                    </w:r>
                    <w:r>
                      <w:rPr>
                        <w:rFonts w:ascii="Trebuchet MS"/>
                        <w:spacing w:val="-2"/>
                        <w:w w:val="88"/>
                        <w:sz w:val="20"/>
                      </w:rPr>
                      <w:t>t</w:t>
                    </w:r>
                    <w:r>
                      <w:rPr>
                        <w:rFonts w:ascii="Trebuchet MS"/>
                        <w:w w:val="107"/>
                        <w:sz w:val="20"/>
                      </w:rPr>
                      <w:t>h</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1"/>
                        <w:w w:val="109"/>
                        <w:sz w:val="20"/>
                      </w:rPr>
                      <w:t>u</w:t>
                    </w:r>
                    <w:r>
                      <w:rPr>
                        <w:rFonts w:ascii="Trebuchet MS"/>
                        <w:spacing w:val="2"/>
                        <w:w w:val="93"/>
                        <w:sz w:val="20"/>
                      </w:rPr>
                      <w:t>r</w:t>
                    </w:r>
                    <w:r>
                      <w:rPr>
                        <w:rFonts w:ascii="Trebuchet MS"/>
                        <w:spacing w:val="2"/>
                        <w:w w:val="88"/>
                        <w:sz w:val="20"/>
                      </w:rPr>
                      <w:t>t</w:t>
                    </w:r>
                    <w:r>
                      <w:rPr>
                        <w:rFonts w:ascii="Trebuchet MS"/>
                        <w:spacing w:val="1"/>
                        <w:w w:val="122"/>
                        <w:sz w:val="20"/>
                      </w:rPr>
                      <w:t>s</w:t>
                    </w:r>
                    <w:r>
                      <w:rPr>
                        <w:rFonts w:ascii="Trebuchet MS"/>
                        <w:w w:val="57"/>
                        <w:sz w:val="20"/>
                      </w:rPr>
                      <w:t>,</w:t>
                    </w:r>
                    <w:r>
                      <w:rPr>
                        <w:rFonts w:ascii="Trebuchet MS"/>
                        <w:spacing w:val="-14"/>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2"/>
                        <w:w w:val="112"/>
                        <w:sz w:val="20"/>
                      </w:rPr>
                      <w:t>d</w:t>
                    </w:r>
                    <w:r>
                      <w:rPr>
                        <w:rFonts w:ascii="Trebuchet MS"/>
                        <w:spacing w:val="-5"/>
                        <w:w w:val="108"/>
                        <w:sz w:val="20"/>
                      </w:rPr>
                      <w:t>e</w:t>
                    </w:r>
                    <w:r>
                      <w:rPr>
                        <w:rFonts w:ascii="Trebuchet MS"/>
                        <w:spacing w:val="-6"/>
                        <w:w w:val="109"/>
                        <w:sz w:val="20"/>
                      </w:rPr>
                      <w:t>v</w:t>
                    </w:r>
                    <w:r>
                      <w:rPr>
                        <w:rFonts w:ascii="Trebuchet MS"/>
                        <w:spacing w:val="-2"/>
                        <w:w w:val="108"/>
                        <w:sz w:val="20"/>
                      </w:rPr>
                      <w:t>e</w:t>
                    </w:r>
                    <w:r>
                      <w:rPr>
                        <w:rFonts w:ascii="Trebuchet MS"/>
                        <w:spacing w:val="-3"/>
                        <w:w w:val="96"/>
                        <w:sz w:val="20"/>
                      </w:rPr>
                      <w:t>l</w:t>
                    </w:r>
                    <w:r>
                      <w:rPr>
                        <w:rFonts w:ascii="Trebuchet MS"/>
                        <w:spacing w:val="-1"/>
                        <w:w w:val="111"/>
                        <w:sz w:val="20"/>
                      </w:rPr>
                      <w:t>o</w:t>
                    </w:r>
                    <w:r>
                      <w:rPr>
                        <w:rFonts w:ascii="Trebuchet MS"/>
                        <w:w w:val="111"/>
                        <w:sz w:val="20"/>
                      </w:rPr>
                      <w:t>p</w:t>
                    </w:r>
                    <w:r>
                      <w:rPr>
                        <w:rFonts w:ascii="Trebuchet MS"/>
                        <w:spacing w:val="-14"/>
                        <w:sz w:val="20"/>
                      </w:rPr>
                      <w:t> </w:t>
                    </w:r>
                    <w:r>
                      <w:rPr>
                        <w:rFonts w:ascii="Trebuchet MS"/>
                        <w:spacing w:val="-2"/>
                        <w:w w:val="80"/>
                        <w:sz w:val="20"/>
                      </w:rPr>
                      <w:t>i</w:t>
                    </w:r>
                    <w:r>
                      <w:rPr>
                        <w:rFonts w:ascii="Trebuchet MS"/>
                        <w:spacing w:val="-4"/>
                        <w:w w:val="107"/>
                        <w:sz w:val="20"/>
                      </w:rPr>
                      <w:t>n</w:t>
                    </w:r>
                    <w:r>
                      <w:rPr>
                        <w:rFonts w:ascii="Trebuchet MS"/>
                        <w:spacing w:val="-4"/>
                        <w:w w:val="88"/>
                        <w:sz w:val="20"/>
                      </w:rPr>
                      <w:t>t</w:t>
                    </w:r>
                    <w:r>
                      <w:rPr>
                        <w:rFonts w:ascii="Trebuchet MS"/>
                        <w:spacing w:val="-1"/>
                        <w:w w:val="108"/>
                        <w:sz w:val="20"/>
                      </w:rPr>
                      <w:t>e</w:t>
                    </w:r>
                    <w:r>
                      <w:rPr>
                        <w:rFonts w:ascii="Trebuchet MS"/>
                        <w:spacing w:val="-2"/>
                        <w:w w:val="93"/>
                        <w:sz w:val="20"/>
                      </w:rPr>
                      <w:t>r</w:t>
                    </w:r>
                    <w:r>
                      <w:rPr>
                        <w:rFonts w:ascii="Trebuchet MS"/>
                        <w:spacing w:val="-1"/>
                        <w:w w:val="107"/>
                        <w:sz w:val="20"/>
                      </w:rPr>
                      <w:t>n</w:t>
                    </w:r>
                    <w:r>
                      <w:rPr>
                        <w:rFonts w:ascii="Trebuchet MS"/>
                        <w:spacing w:val="-3"/>
                        <w:w w:val="105"/>
                        <w:sz w:val="20"/>
                      </w:rPr>
                      <w:t>a</w:t>
                    </w:r>
                    <w:r>
                      <w:rPr>
                        <w:rFonts w:ascii="Trebuchet MS"/>
                        <w:w w:val="96"/>
                        <w:sz w:val="20"/>
                      </w:rPr>
                      <w:t>l</w:t>
                    </w:r>
                    <w:r>
                      <w:rPr>
                        <w:rFonts w:ascii="Trebuchet MS"/>
                        <w:spacing w:val="-14"/>
                        <w:sz w:val="20"/>
                      </w:rPr>
                      <w:t> </w:t>
                    </w:r>
                    <w:r>
                      <w:rPr>
                        <w:rFonts w:ascii="Trebuchet MS"/>
                        <w:spacing w:val="-1"/>
                        <w:w w:val="111"/>
                        <w:sz w:val="20"/>
                      </w:rPr>
                      <w:t>p</w:t>
                    </w:r>
                    <w:r>
                      <w:rPr>
                        <w:rFonts w:ascii="Trebuchet MS"/>
                        <w:spacing w:val="-4"/>
                        <w:w w:val="93"/>
                        <w:sz w:val="20"/>
                      </w:rPr>
                      <w:t>r</w:t>
                    </w:r>
                    <w:r>
                      <w:rPr>
                        <w:rFonts w:ascii="Trebuchet MS"/>
                        <w:spacing w:val="-4"/>
                        <w:w w:val="111"/>
                        <w:sz w:val="20"/>
                      </w:rPr>
                      <w:t>o</w:t>
                    </w:r>
                    <w:r>
                      <w:rPr>
                        <w:rFonts w:ascii="Trebuchet MS"/>
                        <w:spacing w:val="-4"/>
                        <w:w w:val="88"/>
                        <w:sz w:val="20"/>
                      </w:rPr>
                      <w:t>t</w:t>
                    </w:r>
                    <w:r>
                      <w:rPr>
                        <w:rFonts w:ascii="Trebuchet MS"/>
                        <w:spacing w:val="-1"/>
                        <w:w w:val="111"/>
                        <w:sz w:val="20"/>
                      </w:rPr>
                      <w:t>o</w:t>
                    </w:r>
                    <w:r>
                      <w:rPr>
                        <w:rFonts w:ascii="Trebuchet MS"/>
                        <w:spacing w:val="-3"/>
                        <w:w w:val="111"/>
                        <w:sz w:val="20"/>
                      </w:rPr>
                      <w:t>c</w:t>
                    </w:r>
                    <w:r>
                      <w:rPr>
                        <w:rFonts w:ascii="Trebuchet MS"/>
                        <w:spacing w:val="-2"/>
                        <w:w w:val="111"/>
                        <w:sz w:val="20"/>
                      </w:rPr>
                      <w:t>o</w:t>
                    </w:r>
                    <w:r>
                      <w:rPr>
                        <w:rFonts w:ascii="Trebuchet MS"/>
                        <w:spacing w:val="3"/>
                        <w:w w:val="96"/>
                        <w:sz w:val="20"/>
                      </w:rPr>
                      <w:t>l</w:t>
                    </w:r>
                    <w:r>
                      <w:rPr>
                        <w:rFonts w:ascii="Trebuchet MS"/>
                        <w:w w:val="122"/>
                        <w:sz w:val="20"/>
                      </w:rPr>
                      <w:t>s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2"/>
                        <w:w w:val="124"/>
                        <w:sz w:val="20"/>
                      </w:rPr>
                      <w:t>g</w:t>
                    </w:r>
                    <w:r>
                      <w:rPr>
                        <w:rFonts w:ascii="Trebuchet MS"/>
                        <w:spacing w:val="-1"/>
                        <w:w w:val="109"/>
                        <w:sz w:val="20"/>
                      </w:rPr>
                      <w:t>u</w:t>
                    </w:r>
                    <w:r>
                      <w:rPr>
                        <w:rFonts w:ascii="Trebuchet MS"/>
                        <w:spacing w:val="-1"/>
                        <w:w w:val="80"/>
                        <w:sz w:val="20"/>
                      </w:rPr>
                      <w:t>i</w:t>
                    </w:r>
                    <w:r>
                      <w:rPr>
                        <w:rFonts w:ascii="Trebuchet MS"/>
                        <w:spacing w:val="-2"/>
                        <w:w w:val="112"/>
                        <w:sz w:val="20"/>
                      </w:rPr>
                      <w:t>d</w:t>
                    </w:r>
                    <w:r>
                      <w:rPr>
                        <w:rFonts w:ascii="Trebuchet MS"/>
                        <w:w w:val="108"/>
                        <w:sz w:val="20"/>
                      </w:rPr>
                      <w:t>e</w:t>
                    </w:r>
                    <w:r>
                      <w:rPr>
                        <w:rFonts w:ascii="Trebuchet MS"/>
                        <w:spacing w:val="-14"/>
                        <w:sz w:val="20"/>
                      </w:rPr>
                      <w:t> </w:t>
                    </w:r>
                    <w:r>
                      <w:rPr>
                        <w:rFonts w:ascii="Trebuchet MS"/>
                        <w:spacing w:val="-3"/>
                        <w:w w:val="80"/>
                        <w:sz w:val="20"/>
                      </w:rPr>
                      <w:t>i</w:t>
                    </w:r>
                    <w:r>
                      <w:rPr>
                        <w:rFonts w:ascii="Trebuchet MS"/>
                        <w:spacing w:val="2"/>
                        <w:w w:val="88"/>
                        <w:sz w:val="20"/>
                      </w:rPr>
                      <w:t>t</w:t>
                    </w:r>
                    <w:r>
                      <w:rPr>
                        <w:rFonts w:ascii="Trebuchet MS"/>
                        <w:w w:val="122"/>
                        <w:sz w:val="20"/>
                      </w:rPr>
                      <w:t>s</w:t>
                    </w:r>
                    <w:r>
                      <w:rPr>
                        <w:rFonts w:ascii="Trebuchet MS"/>
                        <w:spacing w:val="-14"/>
                        <w:sz w:val="20"/>
                      </w:rPr>
                      <w:t> </w:t>
                    </w:r>
                    <w:r>
                      <w:rPr>
                        <w:rFonts w:ascii="Trebuchet MS"/>
                        <w:spacing w:val="-6"/>
                        <w:w w:val="111"/>
                        <w:sz w:val="20"/>
                      </w:rPr>
                      <w:t>o</w:t>
                    </w:r>
                    <w:r>
                      <w:rPr>
                        <w:rFonts w:ascii="Trebuchet MS"/>
                        <w:spacing w:val="-2"/>
                        <w:w w:val="110"/>
                        <w:sz w:val="20"/>
                      </w:rPr>
                      <w:t>w</w:t>
                    </w:r>
                    <w:r>
                      <w:rPr>
                        <w:rFonts w:ascii="Trebuchet MS"/>
                        <w:w w:val="107"/>
                        <w:sz w:val="20"/>
                      </w:rPr>
                      <w:t>n</w:t>
                    </w:r>
                    <w:r>
                      <w:rPr>
                        <w:rFonts w:ascii="Trebuchet MS"/>
                        <w:spacing w:val="-14"/>
                        <w:sz w:val="20"/>
                      </w:rPr>
                      <w:t> </w:t>
                    </w:r>
                    <w:r>
                      <w:rPr>
                        <w:rFonts w:ascii="Trebuchet MS"/>
                        <w:spacing w:val="-1"/>
                        <w:w w:val="122"/>
                        <w:sz w:val="20"/>
                      </w:rPr>
                      <w:t>s</w:t>
                    </w:r>
                    <w:r>
                      <w:rPr>
                        <w:rFonts w:ascii="Trebuchet MS"/>
                        <w:w w:val="88"/>
                        <w:sz w:val="20"/>
                      </w:rPr>
                      <w:t>t</w:t>
                    </w:r>
                    <w:r>
                      <w:rPr>
                        <w:rFonts w:ascii="Trebuchet MS"/>
                        <w:spacing w:val="-3"/>
                        <w:w w:val="105"/>
                        <w:sz w:val="20"/>
                      </w:rPr>
                      <w:t>a</w:t>
                    </w:r>
                    <w:r>
                      <w:rPr>
                        <w:rFonts w:ascii="Trebuchet MS"/>
                        <w:w w:val="81"/>
                        <w:sz w:val="20"/>
                      </w:rPr>
                      <w:t>ff</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1"/>
                        <w:w w:val="109"/>
                        <w:sz w:val="20"/>
                      </w:rPr>
                      <w:t>u</w:t>
                    </w:r>
                    <w:r>
                      <w:rPr>
                        <w:rFonts w:ascii="Trebuchet MS"/>
                        <w:spacing w:val="2"/>
                        <w:w w:val="93"/>
                        <w:sz w:val="20"/>
                      </w:rPr>
                      <w:t>r</w:t>
                    </w:r>
                    <w:r>
                      <w:rPr>
                        <w:rFonts w:ascii="Trebuchet MS"/>
                        <w:w w:val="88"/>
                        <w:sz w:val="20"/>
                      </w:rPr>
                      <w:t>t</w:t>
                    </w:r>
                    <w:r>
                      <w:rPr>
                        <w:rFonts w:ascii="Trebuchet MS"/>
                        <w:spacing w:val="-14"/>
                        <w:sz w:val="20"/>
                      </w:rPr>
                      <w:t> </w:t>
                    </w:r>
                    <w:r>
                      <w:rPr>
                        <w:rFonts w:ascii="Trebuchet MS"/>
                        <w:spacing w:val="-1"/>
                        <w:w w:val="122"/>
                        <w:sz w:val="20"/>
                      </w:rPr>
                      <w:t>s</w:t>
                    </w:r>
                    <w:r>
                      <w:rPr>
                        <w:rFonts w:ascii="Trebuchet MS"/>
                        <w:w w:val="88"/>
                        <w:sz w:val="20"/>
                      </w:rPr>
                      <w:t>t</w:t>
                    </w:r>
                    <w:r>
                      <w:rPr>
                        <w:rFonts w:ascii="Trebuchet MS"/>
                        <w:spacing w:val="-3"/>
                        <w:w w:val="105"/>
                        <w:sz w:val="20"/>
                      </w:rPr>
                      <w:t>a</w:t>
                    </w:r>
                    <w:r>
                      <w:rPr>
                        <w:rFonts w:ascii="Trebuchet MS"/>
                        <w:w w:val="81"/>
                        <w:sz w:val="20"/>
                      </w:rPr>
                      <w:t>ff</w:t>
                    </w:r>
                    <w:r>
                      <w:rPr>
                        <w:rFonts w:ascii="Trebuchet MS"/>
                        <w:spacing w:val="-14"/>
                        <w:sz w:val="20"/>
                      </w:rPr>
                      <w:t> </w:t>
                    </w:r>
                    <w:r>
                      <w:rPr>
                        <w:rFonts w:ascii="Trebuchet MS"/>
                        <w:spacing w:val="-2"/>
                        <w:w w:val="105"/>
                        <w:sz w:val="20"/>
                      </w:rPr>
                      <w:t>a</w:t>
                    </w:r>
                    <w:r>
                      <w:rPr>
                        <w:rFonts w:ascii="Trebuchet MS"/>
                        <w:spacing w:val="-1"/>
                        <w:w w:val="111"/>
                        <w:sz w:val="20"/>
                      </w:rPr>
                      <w:t>b</w:t>
                    </w:r>
                    <w:r>
                      <w:rPr>
                        <w:rFonts w:ascii="Trebuchet MS"/>
                        <w:spacing w:val="-1"/>
                        <w:w w:val="111"/>
                        <w:sz w:val="20"/>
                      </w:rPr>
                      <w:t>o</w:t>
                    </w:r>
                    <w:r>
                      <w:rPr>
                        <w:rFonts w:ascii="Trebuchet MS"/>
                        <w:spacing w:val="-3"/>
                        <w:w w:val="109"/>
                        <w:sz w:val="20"/>
                      </w:rPr>
                      <w:t>u</w:t>
                    </w:r>
                    <w:r>
                      <w:rPr>
                        <w:rFonts w:ascii="Trebuchet MS"/>
                        <w:w w:val="88"/>
                        <w:sz w:val="20"/>
                      </w:rPr>
                      <w:t>t</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80"/>
                        <w:sz w:val="20"/>
                      </w:rPr>
                      <w:t>i</w:t>
                    </w:r>
                    <w:r>
                      <w:rPr>
                        <w:rFonts w:ascii="Trebuchet MS"/>
                        <w:spacing w:val="-2"/>
                        <w:w w:val="111"/>
                        <w:sz w:val="20"/>
                      </w:rPr>
                      <w:t>m</w:t>
                    </w:r>
                    <w:r>
                      <w:rPr>
                        <w:rFonts w:ascii="Trebuchet MS"/>
                        <w:spacing w:val="-2"/>
                        <w:w w:val="111"/>
                        <w:sz w:val="20"/>
                      </w:rPr>
                      <w:t>p</w:t>
                    </w:r>
                    <w:r>
                      <w:rPr>
                        <w:rFonts w:ascii="Trebuchet MS"/>
                        <w:spacing w:val="-3"/>
                        <w:w w:val="96"/>
                        <w:sz w:val="20"/>
                      </w:rPr>
                      <w:t>l</w:t>
                    </w:r>
                    <w:r>
                      <w:rPr>
                        <w:rFonts w:ascii="Trebuchet MS"/>
                        <w:spacing w:val="-1"/>
                        <w:w w:val="108"/>
                        <w:sz w:val="20"/>
                      </w:rPr>
                      <w:t>e</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w w:val="88"/>
                        <w:sz w:val="20"/>
                      </w:rPr>
                      <w:t>t</w:t>
                    </w:r>
                    <w:r>
                      <w:rPr>
                        <w:rFonts w:ascii="Trebuchet MS"/>
                        <w:spacing w:val="-4"/>
                        <w:w w:val="105"/>
                        <w:sz w:val="20"/>
                      </w:rPr>
                      <w:t>a</w:t>
                    </w:r>
                    <w:r>
                      <w:rPr>
                        <w:rFonts w:ascii="Trebuchet MS"/>
                        <w:spacing w:val="-2"/>
                        <w:w w:val="88"/>
                        <w:sz w:val="20"/>
                      </w:rPr>
                      <w:t>t</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1"/>
                        <w:w w:val="107"/>
                        <w:sz w:val="20"/>
                      </w:rPr>
                      <w:t>n</w:t>
                    </w:r>
                    <w:r>
                      <w:rPr>
                        <w:rFonts w:ascii="Trebuchet MS"/>
                        <w:spacing w:val="-5"/>
                        <w:w w:val="108"/>
                        <w:sz w:val="20"/>
                      </w:rPr>
                      <w:t>e</w:t>
                    </w:r>
                    <w:r>
                      <w:rPr>
                        <w:rFonts w:ascii="Trebuchet MS"/>
                        <w:w w:val="110"/>
                        <w:sz w:val="20"/>
                      </w:rPr>
                      <w:t>w</w:t>
                    </w:r>
                    <w:r>
                      <w:rPr>
                        <w:rFonts w:ascii="Trebuchet MS"/>
                        <w:spacing w:val="-14"/>
                        <w:sz w:val="20"/>
                      </w:rPr>
                      <w:t> </w:t>
                    </w:r>
                    <w:r>
                      <w:rPr>
                        <w:rFonts w:ascii="Trebuchet MS"/>
                        <w:spacing w:val="1"/>
                        <w:w w:val="96"/>
                        <w:sz w:val="20"/>
                      </w:rPr>
                      <w:t>l</w:t>
                    </w:r>
                    <w:r>
                      <w:rPr>
                        <w:rFonts w:ascii="Trebuchet MS"/>
                        <w:spacing w:val="-7"/>
                        <w:w w:val="105"/>
                        <w:sz w:val="20"/>
                      </w:rPr>
                      <w:t>a</w:t>
                    </w:r>
                    <w:r>
                      <w:rPr>
                        <w:rFonts w:ascii="Trebuchet MS"/>
                        <w:spacing w:val="-4"/>
                        <w:w w:val="110"/>
                        <w:sz w:val="20"/>
                      </w:rPr>
                      <w:t>w</w:t>
                    </w:r>
                    <w:r>
                      <w:rPr>
                        <w:rFonts w:ascii="Trebuchet MS"/>
                        <w:spacing w:val="1"/>
                        <w:w w:val="122"/>
                        <w:sz w:val="20"/>
                      </w:rPr>
                      <w:t>s</w:t>
                    </w:r>
                    <w:r>
                      <w:rPr>
                        <w:rFonts w:ascii="Trebuchet MS"/>
                        <w:w w:val="55"/>
                        <w:sz w:val="20"/>
                      </w:rPr>
                      <w:t>.</w:t>
                    </w:r>
                    <w:r>
                      <w:rPr>
                        <w:rFonts w:ascii="Trebuchet MS"/>
                        <w:spacing w:val="-14"/>
                        <w:sz w:val="20"/>
                      </w:rPr>
                      <w:t> </w:t>
                    </w:r>
                    <w:r>
                      <w:rPr>
                        <w:rFonts w:ascii="Trebuchet MS"/>
                        <w:spacing w:val="-2"/>
                        <w:w w:val="105"/>
                        <w:sz w:val="20"/>
                      </w:rPr>
                      <w:t>T</w:t>
                    </w:r>
                    <w:r>
                      <w:rPr>
                        <w:rFonts w:ascii="Trebuchet MS"/>
                        <w:spacing w:val="-1"/>
                        <w:w w:val="107"/>
                        <w:sz w:val="20"/>
                      </w:rPr>
                      <w:t>h</w:t>
                    </w:r>
                    <w:r>
                      <w:rPr>
                        <w:rFonts w:ascii="Trebuchet MS"/>
                        <w:spacing w:val="-2"/>
                        <w:w w:val="108"/>
                        <w:sz w:val="20"/>
                      </w:rPr>
                      <w:t>e</w:t>
                    </w:r>
                    <w:r>
                      <w:rPr>
                        <w:rFonts w:ascii="Trebuchet MS"/>
                        <w:spacing w:val="-1"/>
                        <w:w w:val="122"/>
                        <w:sz w:val="20"/>
                      </w:rPr>
                      <w:t>s</w:t>
                    </w:r>
                    <w:r>
                      <w:rPr>
                        <w:rFonts w:ascii="Trebuchet MS"/>
                        <w:w w:val="108"/>
                        <w:sz w:val="20"/>
                      </w:rPr>
                      <w:t>e </w:t>
                    </w:r>
                    <w:r>
                      <w:rPr>
                        <w:rFonts w:ascii="Trebuchet MS"/>
                        <w:spacing w:val="-1"/>
                        <w:w w:val="111"/>
                        <w:sz w:val="20"/>
                      </w:rPr>
                      <w:t>p</w:t>
                    </w:r>
                    <w:r>
                      <w:rPr>
                        <w:rFonts w:ascii="Trebuchet MS"/>
                        <w:spacing w:val="-4"/>
                        <w:w w:val="93"/>
                        <w:sz w:val="20"/>
                      </w:rPr>
                      <w:t>r</w:t>
                    </w:r>
                    <w:r>
                      <w:rPr>
                        <w:rFonts w:ascii="Trebuchet MS"/>
                        <w:spacing w:val="-4"/>
                        <w:w w:val="111"/>
                        <w:sz w:val="20"/>
                      </w:rPr>
                      <w:t>o</w:t>
                    </w:r>
                    <w:r>
                      <w:rPr>
                        <w:rFonts w:ascii="Trebuchet MS"/>
                        <w:spacing w:val="-4"/>
                        <w:w w:val="88"/>
                        <w:sz w:val="20"/>
                      </w:rPr>
                      <w:t>t</w:t>
                    </w:r>
                    <w:r>
                      <w:rPr>
                        <w:rFonts w:ascii="Trebuchet MS"/>
                        <w:spacing w:val="-1"/>
                        <w:w w:val="111"/>
                        <w:sz w:val="20"/>
                      </w:rPr>
                      <w:t>o</w:t>
                    </w:r>
                    <w:r>
                      <w:rPr>
                        <w:rFonts w:ascii="Trebuchet MS"/>
                        <w:spacing w:val="-3"/>
                        <w:w w:val="111"/>
                        <w:sz w:val="20"/>
                      </w:rPr>
                      <w:t>c</w:t>
                    </w:r>
                    <w:r>
                      <w:rPr>
                        <w:rFonts w:ascii="Trebuchet MS"/>
                        <w:spacing w:val="-2"/>
                        <w:w w:val="106"/>
                        <w:sz w:val="20"/>
                      </w:rPr>
                      <w:t>o</w:t>
                    </w:r>
                    <w:r>
                      <w:rPr>
                        <w:rFonts w:ascii="Trebuchet MS"/>
                        <w:spacing w:val="3"/>
                        <w:w w:val="106"/>
                        <w:sz w:val="20"/>
                      </w:rPr>
                      <w:t>l</w:t>
                    </w:r>
                    <w:r>
                      <w:rPr>
                        <w:rFonts w:ascii="Trebuchet MS"/>
                        <w:w w:val="122"/>
                        <w:sz w:val="20"/>
                      </w:rPr>
                      <w:t>s</w:t>
                    </w:r>
                    <w:r>
                      <w:rPr>
                        <w:rFonts w:ascii="Trebuchet MS"/>
                        <w:spacing w:val="-14"/>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2"/>
                        <w:w w:val="80"/>
                        <w:sz w:val="20"/>
                      </w:rPr>
                      <w:t>i</w:t>
                    </w:r>
                    <w:r>
                      <w:rPr>
                        <w:rFonts w:ascii="Trebuchet MS"/>
                        <w:spacing w:val="-1"/>
                        <w:w w:val="107"/>
                        <w:sz w:val="20"/>
                      </w:rPr>
                      <w:t>n</w:t>
                    </w:r>
                    <w:r>
                      <w:rPr>
                        <w:rFonts w:ascii="Trebuchet MS"/>
                        <w:spacing w:val="-3"/>
                        <w:w w:val="111"/>
                        <w:sz w:val="20"/>
                      </w:rPr>
                      <w:t>c</w:t>
                    </w:r>
                    <w:r>
                      <w:rPr>
                        <w:rFonts w:ascii="Trebuchet MS"/>
                        <w:spacing w:val="-3"/>
                        <w:w w:val="96"/>
                        <w:sz w:val="20"/>
                      </w:rPr>
                      <w:t>l</w:t>
                    </w:r>
                    <w:r>
                      <w:rPr>
                        <w:rFonts w:ascii="Trebuchet MS"/>
                        <w:spacing w:val="-2"/>
                        <w:w w:val="109"/>
                        <w:sz w:val="20"/>
                      </w:rPr>
                      <w:t>u</w:t>
                    </w:r>
                    <w:r>
                      <w:rPr>
                        <w:rFonts w:ascii="Trebuchet MS"/>
                        <w:spacing w:val="-2"/>
                        <w:w w:val="112"/>
                        <w:sz w:val="20"/>
                      </w:rPr>
                      <w:t>d</w:t>
                    </w:r>
                    <w:r>
                      <w:rPr>
                        <w:rFonts w:ascii="Trebuchet MS"/>
                        <w:w w:val="108"/>
                        <w:sz w:val="20"/>
                      </w:rPr>
                      <w:t>e</w:t>
                    </w:r>
                    <w:r>
                      <w:rPr>
                        <w:rFonts w:ascii="Trebuchet MS"/>
                        <w:spacing w:val="-14"/>
                        <w:sz w:val="20"/>
                      </w:rPr>
                      <w:t> </w:t>
                    </w:r>
                    <w:r>
                      <w:rPr>
                        <w:rFonts w:ascii="Trebuchet MS"/>
                        <w:spacing w:val="-1"/>
                        <w:w w:val="111"/>
                        <w:sz w:val="20"/>
                      </w:rPr>
                      <w:t>p</w:t>
                    </w:r>
                    <w:r>
                      <w:rPr>
                        <w:rFonts w:ascii="Trebuchet MS"/>
                        <w:spacing w:val="-2"/>
                        <w:w w:val="93"/>
                        <w:sz w:val="20"/>
                      </w:rPr>
                      <w:t>r</w:t>
                    </w:r>
                    <w:r>
                      <w:rPr>
                        <w:rFonts w:ascii="Trebuchet MS"/>
                        <w:spacing w:val="-2"/>
                        <w:w w:val="105"/>
                        <w:sz w:val="20"/>
                      </w:rPr>
                      <w:t>a</w:t>
                    </w:r>
                    <w:r>
                      <w:rPr>
                        <w:rFonts w:ascii="Trebuchet MS"/>
                        <w:spacing w:val="-2"/>
                        <w:w w:val="96"/>
                        <w:sz w:val="20"/>
                      </w:rPr>
                      <w:t>ct</w:t>
                    </w:r>
                    <w:r>
                      <w:rPr>
                        <w:rFonts w:ascii="Trebuchet MS"/>
                        <w:spacing w:val="-1"/>
                        <w:w w:val="96"/>
                        <w:sz w:val="20"/>
                      </w:rPr>
                      <w:t>i</w:t>
                    </w:r>
                    <w:r>
                      <w:rPr>
                        <w:rFonts w:ascii="Trebuchet MS"/>
                        <w:w w:val="111"/>
                        <w:sz w:val="20"/>
                      </w:rPr>
                      <w:t>c</w:t>
                    </w:r>
                    <w:r>
                      <w:rPr>
                        <w:rFonts w:ascii="Trebuchet MS"/>
                        <w:spacing w:val="-3"/>
                        <w:w w:val="105"/>
                        <w:sz w:val="20"/>
                      </w:rPr>
                      <w:t>a</w:t>
                    </w:r>
                    <w:r>
                      <w:rPr>
                        <w:rFonts w:ascii="Trebuchet MS"/>
                        <w:w w:val="96"/>
                        <w:sz w:val="20"/>
                      </w:rPr>
                      <w:t>l</w:t>
                    </w:r>
                    <w:r>
                      <w:rPr>
                        <w:rFonts w:ascii="Trebuchet MS"/>
                        <w:spacing w:val="-14"/>
                        <w:sz w:val="20"/>
                      </w:rPr>
                      <w:t> </w:t>
                    </w:r>
                    <w:r>
                      <w:rPr>
                        <w:rFonts w:ascii="Trebuchet MS"/>
                        <w:spacing w:val="-5"/>
                        <w:w w:val="108"/>
                        <w:sz w:val="20"/>
                      </w:rPr>
                      <w:t>e</w:t>
                    </w:r>
                    <w:r>
                      <w:rPr>
                        <w:rFonts w:ascii="Trebuchet MS"/>
                        <w:spacing w:val="-4"/>
                        <w:w w:val="102"/>
                        <w:sz w:val="20"/>
                      </w:rPr>
                      <w:t>x</w:t>
                    </w:r>
                    <w:r>
                      <w:rPr>
                        <w:rFonts w:ascii="Trebuchet MS"/>
                        <w:spacing w:val="-2"/>
                        <w:w w:val="108"/>
                        <w:sz w:val="20"/>
                      </w:rPr>
                      <w:t>amp</w:t>
                    </w:r>
                    <w:r>
                      <w:rPr>
                        <w:rFonts w:ascii="Trebuchet MS"/>
                        <w:spacing w:val="-3"/>
                        <w:w w:val="108"/>
                        <w:sz w:val="20"/>
                      </w:rPr>
                      <w:t>l</w:t>
                    </w:r>
                    <w:r>
                      <w:rPr>
                        <w:rFonts w:ascii="Trebuchet MS"/>
                        <w:spacing w:val="-2"/>
                        <w:w w:val="108"/>
                        <w:sz w:val="20"/>
                      </w:rPr>
                      <w:t>e</w:t>
                    </w:r>
                    <w:r>
                      <w:rPr>
                        <w:rFonts w:ascii="Trebuchet MS"/>
                        <w:spacing w:val="1"/>
                        <w:w w:val="122"/>
                        <w:sz w:val="20"/>
                      </w:rPr>
                      <w:t>s</w:t>
                    </w:r>
                    <w:r>
                      <w:rPr>
                        <w:rFonts w:ascii="Trebuchet MS"/>
                        <w:w w:val="55"/>
                        <w:sz w:val="20"/>
                      </w:rPr>
                      <w:t>.</w:t>
                    </w:r>
                  </w:p>
                  <w:p>
                    <w:pPr>
                      <w:spacing w:line="247" w:lineRule="auto" w:before="87"/>
                      <w:ind w:left="0" w:right="0" w:firstLine="0"/>
                      <w:jc w:val="left"/>
                      <w:rPr>
                        <w:rFonts w:ascii="Trebuchet MS"/>
                        <w:sz w:val="20"/>
                      </w:rPr>
                    </w:pPr>
                    <w:r>
                      <w:rPr>
                        <w:rFonts w:ascii="Trebuchet MS"/>
                        <w:w w:val="105"/>
                        <w:sz w:val="20"/>
                      </w:rPr>
                      <w:t>The</w:t>
                    </w:r>
                    <w:r>
                      <w:rPr>
                        <w:rFonts w:ascii="Trebuchet MS"/>
                        <w:spacing w:val="-17"/>
                        <w:w w:val="105"/>
                        <w:sz w:val="20"/>
                      </w:rPr>
                      <w:t> </w:t>
                    </w:r>
                    <w:r>
                      <w:rPr>
                        <w:rFonts w:ascii="Trebuchet MS"/>
                        <w:i/>
                        <w:w w:val="105"/>
                        <w:sz w:val="20"/>
                      </w:rPr>
                      <w:t>Disability</w:t>
                    </w:r>
                    <w:r>
                      <w:rPr>
                        <w:rFonts w:ascii="Trebuchet MS"/>
                        <w:i/>
                        <w:spacing w:val="-18"/>
                        <w:w w:val="105"/>
                        <w:sz w:val="20"/>
                      </w:rPr>
                      <w:t> </w:t>
                    </w:r>
                    <w:r>
                      <w:rPr>
                        <w:rFonts w:ascii="Trebuchet MS"/>
                        <w:i/>
                        <w:w w:val="105"/>
                        <w:sz w:val="20"/>
                      </w:rPr>
                      <w:t>Access</w:t>
                    </w:r>
                    <w:r>
                      <w:rPr>
                        <w:rFonts w:ascii="Trebuchet MS"/>
                        <w:i/>
                        <w:spacing w:val="-18"/>
                        <w:w w:val="105"/>
                        <w:sz w:val="20"/>
                      </w:rPr>
                      <w:t> </w:t>
                    </w:r>
                    <w:r>
                      <w:rPr>
                        <w:rFonts w:ascii="Trebuchet MS"/>
                        <w:i/>
                        <w:w w:val="105"/>
                        <w:sz w:val="20"/>
                      </w:rPr>
                      <w:t>Bench</w:t>
                    </w:r>
                    <w:r>
                      <w:rPr>
                        <w:rFonts w:ascii="Trebuchet MS"/>
                        <w:i/>
                        <w:spacing w:val="-18"/>
                        <w:w w:val="105"/>
                        <w:sz w:val="20"/>
                      </w:rPr>
                      <w:t> </w:t>
                    </w:r>
                    <w:r>
                      <w:rPr>
                        <w:rFonts w:ascii="Trebuchet MS"/>
                        <w:i/>
                        <w:w w:val="105"/>
                        <w:sz w:val="20"/>
                      </w:rPr>
                      <w:t>Book</w:t>
                    </w:r>
                    <w:r>
                      <w:rPr>
                        <w:rFonts w:ascii="Trebuchet MS"/>
                        <w:i/>
                        <w:spacing w:val="-17"/>
                        <w:w w:val="105"/>
                        <w:sz w:val="20"/>
                      </w:rPr>
                      <w:t> </w:t>
                    </w:r>
                    <w:r>
                      <w:rPr>
                        <w:rFonts w:ascii="Trebuchet MS"/>
                        <w:w w:val="105"/>
                        <w:sz w:val="20"/>
                      </w:rPr>
                      <w:t>should</w:t>
                    </w:r>
                    <w:r>
                      <w:rPr>
                        <w:rFonts w:ascii="Trebuchet MS"/>
                        <w:spacing w:val="-17"/>
                        <w:w w:val="105"/>
                        <w:sz w:val="20"/>
                      </w:rPr>
                      <w:t> </w:t>
                    </w:r>
                    <w:r>
                      <w:rPr>
                        <w:rFonts w:ascii="Trebuchet MS"/>
                        <w:w w:val="105"/>
                        <w:sz w:val="20"/>
                      </w:rPr>
                      <w:t>be</w:t>
                    </w:r>
                    <w:r>
                      <w:rPr>
                        <w:rFonts w:ascii="Trebuchet MS"/>
                        <w:spacing w:val="-17"/>
                        <w:w w:val="105"/>
                        <w:sz w:val="20"/>
                      </w:rPr>
                      <w:t> </w:t>
                    </w:r>
                    <w:r>
                      <w:rPr>
                        <w:rFonts w:ascii="Trebuchet MS"/>
                        <w:w w:val="105"/>
                        <w:sz w:val="20"/>
                      </w:rPr>
                      <w:t>updated</w:t>
                    </w:r>
                    <w:r>
                      <w:rPr>
                        <w:rFonts w:ascii="Trebuchet MS"/>
                        <w:spacing w:val="-17"/>
                        <w:w w:val="105"/>
                        <w:sz w:val="20"/>
                      </w:rPr>
                      <w:t> </w:t>
                    </w:r>
                    <w:r>
                      <w:rPr>
                        <w:rFonts w:ascii="Trebuchet MS"/>
                        <w:w w:val="105"/>
                        <w:sz w:val="20"/>
                      </w:rPr>
                      <w:t>to</w:t>
                    </w:r>
                    <w:r>
                      <w:rPr>
                        <w:rFonts w:ascii="Trebuchet MS"/>
                        <w:spacing w:val="-17"/>
                        <w:w w:val="105"/>
                        <w:sz w:val="20"/>
                      </w:rPr>
                      <w:t> </w:t>
                    </w:r>
                    <w:r>
                      <w:rPr>
                        <w:rFonts w:ascii="Trebuchet MS"/>
                        <w:w w:val="105"/>
                        <w:sz w:val="20"/>
                      </w:rPr>
                      <w:t>include</w:t>
                    </w:r>
                    <w:r>
                      <w:rPr>
                        <w:rFonts w:ascii="Trebuchet MS"/>
                        <w:spacing w:val="-17"/>
                        <w:w w:val="105"/>
                        <w:sz w:val="20"/>
                      </w:rPr>
                      <w:t> </w:t>
                    </w:r>
                    <w:r>
                      <w:rPr>
                        <w:rFonts w:ascii="Trebuchet MS"/>
                        <w:spacing w:val="-3"/>
                        <w:w w:val="105"/>
                        <w:sz w:val="20"/>
                      </w:rPr>
                      <w:t>information</w:t>
                    </w:r>
                    <w:r>
                      <w:rPr>
                        <w:rFonts w:ascii="Trebuchet MS"/>
                        <w:spacing w:val="-17"/>
                        <w:w w:val="105"/>
                        <w:sz w:val="20"/>
                      </w:rPr>
                      <w:t> </w:t>
                    </w:r>
                    <w:r>
                      <w:rPr>
                        <w:rFonts w:ascii="Trebuchet MS"/>
                        <w:w w:val="105"/>
                        <w:sz w:val="20"/>
                      </w:rPr>
                      <w:t>about </w:t>
                    </w:r>
                    <w:r>
                      <w:rPr>
                        <w:rFonts w:ascii="Trebuchet MS"/>
                        <w:spacing w:val="-1"/>
                        <w:w w:val="107"/>
                        <w:sz w:val="20"/>
                      </w:rPr>
                      <w:t>n</w:t>
                    </w:r>
                    <w:r>
                      <w:rPr>
                        <w:rFonts w:ascii="Trebuchet MS"/>
                        <w:spacing w:val="-5"/>
                        <w:w w:val="108"/>
                        <w:sz w:val="20"/>
                      </w:rPr>
                      <w:t>e</w:t>
                    </w:r>
                    <w:r>
                      <w:rPr>
                        <w:rFonts w:ascii="Trebuchet MS"/>
                        <w:w w:val="110"/>
                        <w:sz w:val="20"/>
                      </w:rPr>
                      <w:t>w</w:t>
                    </w:r>
                    <w:r>
                      <w:rPr>
                        <w:rFonts w:ascii="Trebuchet MS"/>
                        <w:spacing w:val="-14"/>
                        <w:sz w:val="20"/>
                      </w:rPr>
                      <w:t> </w:t>
                    </w:r>
                    <w:r>
                      <w:rPr>
                        <w:rFonts w:ascii="Trebuchet MS"/>
                        <w:spacing w:val="1"/>
                        <w:w w:val="96"/>
                        <w:sz w:val="20"/>
                      </w:rPr>
                      <w:t>l</w:t>
                    </w:r>
                    <w:r>
                      <w:rPr>
                        <w:rFonts w:ascii="Trebuchet MS"/>
                        <w:spacing w:val="-7"/>
                        <w:w w:val="108"/>
                        <w:sz w:val="20"/>
                      </w:rPr>
                      <w:t>a</w:t>
                    </w:r>
                    <w:r>
                      <w:rPr>
                        <w:rFonts w:ascii="Trebuchet MS"/>
                        <w:spacing w:val="-4"/>
                        <w:w w:val="108"/>
                        <w:sz w:val="20"/>
                      </w:rPr>
                      <w:t>w</w:t>
                    </w:r>
                    <w:r>
                      <w:rPr>
                        <w:rFonts w:ascii="Trebuchet MS"/>
                        <w:spacing w:val="1"/>
                        <w:w w:val="122"/>
                        <w:sz w:val="20"/>
                      </w:rPr>
                      <w:t>s</w:t>
                    </w:r>
                    <w:r>
                      <w:rPr>
                        <w:rFonts w:ascii="Trebuchet MS"/>
                        <w:w w:val="55"/>
                        <w:sz w:val="20"/>
                      </w:rPr>
                      <w:t>.</w:t>
                    </w:r>
                  </w:p>
                </w:txbxContent>
              </v:textbox>
              <w10:wrap type="none"/>
            </v:shape>
            <v:shape style="position:absolute;left:1814;top:1333;width:292;height:1605" type="#_x0000_t202" filled="false" stroked="false">
              <v:textbox inset="0,0,0,0">
                <w:txbxContent>
                  <w:p>
                    <w:pPr>
                      <w:spacing w:before="0"/>
                      <w:ind w:left="0" w:right="0" w:firstLine="0"/>
                      <w:jc w:val="left"/>
                      <w:rPr>
                        <w:rFonts w:ascii="Trebuchet MS"/>
                        <w:sz w:val="20"/>
                      </w:rPr>
                    </w:pPr>
                    <w:r>
                      <w:rPr>
                        <w:rFonts w:ascii="Trebuchet MS"/>
                        <w:w w:val="95"/>
                        <w:sz w:val="20"/>
                      </w:rPr>
                      <w:t>45.</w:t>
                    </w:r>
                  </w:p>
                  <w:p>
                    <w:pPr>
                      <w:spacing w:line="240" w:lineRule="auto" w:before="13"/>
                      <w:rPr>
                        <w:sz w:val="23"/>
                      </w:rPr>
                    </w:pPr>
                  </w:p>
                  <w:p>
                    <w:pPr>
                      <w:spacing w:before="0"/>
                      <w:ind w:left="0" w:right="0" w:firstLine="0"/>
                      <w:jc w:val="left"/>
                      <w:rPr>
                        <w:rFonts w:ascii="Trebuchet MS"/>
                        <w:sz w:val="20"/>
                      </w:rPr>
                    </w:pPr>
                    <w:r>
                      <w:rPr>
                        <w:rFonts w:ascii="Trebuchet MS"/>
                        <w:spacing w:val="-2"/>
                        <w:w w:val="106"/>
                        <w:sz w:val="20"/>
                      </w:rPr>
                      <w:t>4</w:t>
                    </w:r>
                    <w:r>
                      <w:rPr>
                        <w:rFonts w:ascii="Trebuchet MS"/>
                        <w:spacing w:val="-1"/>
                        <w:w w:val="115"/>
                        <w:sz w:val="20"/>
                      </w:rPr>
                      <w:t>6</w:t>
                    </w:r>
                    <w:r>
                      <w:rPr>
                        <w:rFonts w:ascii="Trebuchet MS"/>
                        <w:w w:val="55"/>
                        <w:sz w:val="20"/>
                      </w:rPr>
                      <w:t>.</w:t>
                    </w:r>
                  </w:p>
                  <w:p>
                    <w:pPr>
                      <w:spacing w:line="240" w:lineRule="auto" w:before="0"/>
                      <w:rPr>
                        <w:sz w:val="22"/>
                      </w:rPr>
                    </w:pPr>
                  </w:p>
                  <w:p>
                    <w:pPr>
                      <w:spacing w:line="240" w:lineRule="auto" w:before="4"/>
                      <w:rPr>
                        <w:sz w:val="19"/>
                      </w:rPr>
                    </w:pPr>
                  </w:p>
                  <w:p>
                    <w:pPr>
                      <w:spacing w:before="0"/>
                      <w:ind w:left="0" w:right="0" w:firstLine="0"/>
                      <w:jc w:val="left"/>
                      <w:rPr>
                        <w:rFonts w:ascii="Trebuchet MS"/>
                        <w:sz w:val="20"/>
                      </w:rPr>
                    </w:pPr>
                    <w:r>
                      <w:rPr>
                        <w:rFonts w:ascii="Trebuchet MS"/>
                        <w:sz w:val="20"/>
                      </w:rPr>
                      <w:t>47.</w:t>
                    </w:r>
                  </w:p>
                </w:txbxContent>
              </v:textbox>
              <w10:wrap type="none"/>
            </v:shape>
            <v:shape style="position:absolute;left:1587;top:300;width:8731;height:783" type="#_x0000_t202" filled="true" fillcolor="#dddfe4" stroked="false">
              <v:textbox inset="0,0,0,0">
                <w:txbxContent>
                  <w:p>
                    <w:pPr>
                      <w:spacing w:before="158"/>
                      <w:ind w:left="226" w:right="0" w:firstLine="0"/>
                      <w:jc w:val="left"/>
                      <w:rPr>
                        <w:rFonts w:ascii="Raleway ExtraBold"/>
                        <w:b/>
                        <w:sz w:val="32"/>
                      </w:rPr>
                    </w:pPr>
                    <w:r>
                      <w:rPr>
                        <w:rFonts w:ascii="Raleway ExtraBold"/>
                        <w:b/>
                        <w:color w:val="37617A"/>
                        <w:sz w:val="32"/>
                      </w:rPr>
                      <w:t>Recommendations</w:t>
                    </w:r>
                  </w:p>
                </w:txbxContent>
              </v:textbox>
              <v:fill type="solid"/>
              <w10:wrap type="none"/>
            </v:shape>
            <w10:wrap type="topAndBottom"/>
          </v:group>
        </w:pict>
      </w:r>
    </w:p>
    <w:p>
      <w:pPr>
        <w:pStyle w:val="BodyText"/>
      </w:pPr>
    </w:p>
    <w:p>
      <w:pPr>
        <w:spacing w:before="187"/>
        <w:ind w:left="967" w:right="0" w:firstLine="0"/>
        <w:jc w:val="left"/>
        <w:rPr>
          <w:rFonts w:ascii="Raleway ExtraBold"/>
          <w:b/>
          <w:sz w:val="28"/>
        </w:rPr>
      </w:pPr>
      <w:r>
        <w:rPr>
          <w:rFonts w:ascii="Raleway ExtraBold"/>
          <w:b/>
          <w:color w:val="37617A"/>
          <w:sz w:val="28"/>
        </w:rPr>
        <w:t>Information for the community about reforms</w:t>
      </w:r>
    </w:p>
    <w:p>
      <w:pPr>
        <w:pStyle w:val="BodyText"/>
        <w:spacing w:before="7"/>
        <w:rPr>
          <w:rFonts w:ascii="Raleway ExtraBold"/>
          <w:b/>
          <w:sz w:val="15"/>
        </w:rPr>
      </w:pPr>
      <w:r>
        <w:rPr/>
        <w:pict>
          <v:line style="position:absolute;mso-position-horizontal-relative:page;mso-position-vertical-relative:paragraph;z-index:11264;mso-wrap-distance-left:0;mso-wrap-distance-right:0" from="79.370102pt,12.9847pt" to="515.905102pt,12.9847pt" stroked="true" strokeweight=".5pt" strokecolor="#8f9dad">
            <v:stroke dashstyle="solid"/>
            <w10:wrap type="topAndBottom"/>
          </v:line>
        </w:pict>
      </w:r>
    </w:p>
    <w:p>
      <w:pPr>
        <w:spacing w:line="247" w:lineRule="auto" w:before="223"/>
        <w:ind w:left="1806" w:right="2044" w:firstLine="0"/>
        <w:jc w:val="center"/>
        <w:rPr>
          <w:rFonts w:ascii="Trebuchet MS" w:hAnsi="Trebuchet MS"/>
          <w:i/>
          <w:sz w:val="11"/>
        </w:rPr>
      </w:pPr>
      <w:r>
        <w:rPr>
          <w:rFonts w:ascii="Trebuchet MS" w:hAnsi="Trebuchet MS"/>
          <w:i/>
          <w:color w:val="37617A"/>
          <w:sz w:val="20"/>
        </w:rPr>
        <w:t>The</w:t>
      </w:r>
      <w:r>
        <w:rPr>
          <w:rFonts w:ascii="Trebuchet MS" w:hAnsi="Trebuchet MS"/>
          <w:i/>
          <w:color w:val="37617A"/>
          <w:spacing w:val="-8"/>
          <w:sz w:val="20"/>
        </w:rPr>
        <w:t> </w:t>
      </w:r>
      <w:r>
        <w:rPr>
          <w:rFonts w:ascii="Trebuchet MS" w:hAnsi="Trebuchet MS"/>
          <w:i/>
          <w:color w:val="37617A"/>
          <w:sz w:val="20"/>
        </w:rPr>
        <w:t>public</w:t>
      </w:r>
      <w:r>
        <w:rPr>
          <w:rFonts w:ascii="Trebuchet MS" w:hAnsi="Trebuchet MS"/>
          <w:i/>
          <w:color w:val="37617A"/>
          <w:spacing w:val="-8"/>
          <w:sz w:val="20"/>
        </w:rPr>
        <w:t> </w:t>
      </w:r>
      <w:r>
        <w:rPr>
          <w:rFonts w:ascii="Trebuchet MS" w:hAnsi="Trebuchet MS"/>
          <w:i/>
          <w:color w:val="37617A"/>
          <w:sz w:val="20"/>
        </w:rPr>
        <w:t>will</w:t>
      </w:r>
      <w:r>
        <w:rPr>
          <w:rFonts w:ascii="Trebuchet MS" w:hAnsi="Trebuchet MS"/>
          <w:i/>
          <w:color w:val="37617A"/>
          <w:spacing w:val="-8"/>
          <w:sz w:val="20"/>
        </w:rPr>
        <w:t> </w:t>
      </w:r>
      <w:r>
        <w:rPr>
          <w:rFonts w:ascii="Trebuchet MS" w:hAnsi="Trebuchet MS"/>
          <w:i/>
          <w:color w:val="37617A"/>
          <w:sz w:val="20"/>
        </w:rPr>
        <w:t>only</w:t>
      </w:r>
      <w:r>
        <w:rPr>
          <w:rFonts w:ascii="Trebuchet MS" w:hAnsi="Trebuchet MS"/>
          <w:i/>
          <w:color w:val="37617A"/>
          <w:spacing w:val="-8"/>
          <w:sz w:val="20"/>
        </w:rPr>
        <w:t> </w:t>
      </w:r>
      <w:r>
        <w:rPr>
          <w:rFonts w:ascii="Trebuchet MS" w:hAnsi="Trebuchet MS"/>
          <w:i/>
          <w:color w:val="37617A"/>
          <w:sz w:val="20"/>
        </w:rPr>
        <w:t>know</w:t>
      </w:r>
      <w:r>
        <w:rPr>
          <w:rFonts w:ascii="Trebuchet MS" w:hAnsi="Trebuchet MS"/>
          <w:i/>
          <w:color w:val="37617A"/>
          <w:spacing w:val="-8"/>
          <w:sz w:val="20"/>
        </w:rPr>
        <w:t> </w:t>
      </w:r>
      <w:r>
        <w:rPr>
          <w:rFonts w:ascii="Trebuchet MS" w:hAnsi="Trebuchet MS"/>
          <w:i/>
          <w:color w:val="37617A"/>
          <w:sz w:val="20"/>
        </w:rPr>
        <w:t>what</w:t>
      </w:r>
      <w:r>
        <w:rPr>
          <w:rFonts w:ascii="Trebuchet MS" w:hAnsi="Trebuchet MS"/>
          <w:i/>
          <w:color w:val="37617A"/>
          <w:spacing w:val="-8"/>
          <w:sz w:val="20"/>
        </w:rPr>
        <w:t> </w:t>
      </w:r>
      <w:r>
        <w:rPr>
          <w:rFonts w:ascii="Trebuchet MS" w:hAnsi="Trebuchet MS"/>
          <w:i/>
          <w:color w:val="37617A"/>
          <w:sz w:val="20"/>
        </w:rPr>
        <w:t>blind/visually</w:t>
      </w:r>
      <w:r>
        <w:rPr>
          <w:rFonts w:ascii="Trebuchet MS" w:hAnsi="Trebuchet MS"/>
          <w:i/>
          <w:color w:val="37617A"/>
          <w:spacing w:val="-8"/>
          <w:sz w:val="20"/>
        </w:rPr>
        <w:t> </w:t>
      </w:r>
      <w:r>
        <w:rPr>
          <w:rFonts w:ascii="Trebuchet MS" w:hAnsi="Trebuchet MS"/>
          <w:i/>
          <w:color w:val="37617A"/>
          <w:sz w:val="20"/>
        </w:rPr>
        <w:t>impaired</w:t>
      </w:r>
      <w:r>
        <w:rPr>
          <w:rFonts w:ascii="Trebuchet MS" w:hAnsi="Trebuchet MS"/>
          <w:i/>
          <w:color w:val="37617A"/>
          <w:spacing w:val="-8"/>
          <w:sz w:val="20"/>
        </w:rPr>
        <w:t> </w:t>
      </w:r>
      <w:r>
        <w:rPr>
          <w:rFonts w:ascii="Trebuchet MS" w:hAnsi="Trebuchet MS"/>
          <w:i/>
          <w:color w:val="37617A"/>
          <w:sz w:val="20"/>
        </w:rPr>
        <w:t>people</w:t>
      </w:r>
      <w:r>
        <w:rPr>
          <w:rFonts w:ascii="Trebuchet MS" w:hAnsi="Trebuchet MS"/>
          <w:i/>
          <w:color w:val="37617A"/>
          <w:spacing w:val="-8"/>
          <w:sz w:val="20"/>
        </w:rPr>
        <w:t> </w:t>
      </w:r>
      <w:r>
        <w:rPr>
          <w:rFonts w:ascii="Trebuchet MS" w:hAnsi="Trebuchet MS"/>
          <w:i/>
          <w:color w:val="37617A"/>
          <w:sz w:val="20"/>
        </w:rPr>
        <w:t>are</w:t>
      </w:r>
      <w:r>
        <w:rPr>
          <w:rFonts w:ascii="Trebuchet MS" w:hAnsi="Trebuchet MS"/>
          <w:i/>
          <w:color w:val="37617A"/>
          <w:spacing w:val="-8"/>
          <w:sz w:val="20"/>
        </w:rPr>
        <w:t> </w:t>
      </w:r>
      <w:r>
        <w:rPr>
          <w:rFonts w:ascii="Trebuchet MS" w:hAnsi="Trebuchet MS"/>
          <w:i/>
          <w:color w:val="37617A"/>
          <w:sz w:val="20"/>
        </w:rPr>
        <w:t>capable</w:t>
      </w:r>
      <w:r>
        <w:rPr>
          <w:rFonts w:ascii="Trebuchet MS" w:hAnsi="Trebuchet MS"/>
          <w:i/>
          <w:color w:val="37617A"/>
          <w:spacing w:val="-8"/>
          <w:sz w:val="20"/>
        </w:rPr>
        <w:t> </w:t>
      </w:r>
      <w:r>
        <w:rPr>
          <w:rFonts w:ascii="Trebuchet MS" w:hAnsi="Trebuchet MS"/>
          <w:i/>
          <w:color w:val="37617A"/>
          <w:sz w:val="20"/>
        </w:rPr>
        <w:t>of </w:t>
      </w:r>
      <w:r>
        <w:rPr>
          <w:rFonts w:ascii="Trebuchet MS" w:hAnsi="Trebuchet MS"/>
          <w:i/>
          <w:color w:val="37617A"/>
          <w:sz w:val="20"/>
        </w:rPr>
        <w:t>when</w:t>
      </w:r>
      <w:r>
        <w:rPr>
          <w:rFonts w:ascii="Trebuchet MS" w:hAnsi="Trebuchet MS"/>
          <w:i/>
          <w:color w:val="37617A"/>
          <w:spacing w:val="-13"/>
          <w:sz w:val="20"/>
        </w:rPr>
        <w:t> </w:t>
      </w:r>
      <w:r>
        <w:rPr>
          <w:rFonts w:ascii="Trebuchet MS" w:hAnsi="Trebuchet MS"/>
          <w:i/>
          <w:color w:val="37617A"/>
          <w:sz w:val="20"/>
        </w:rPr>
        <w:t>we</w:t>
      </w:r>
      <w:r>
        <w:rPr>
          <w:rFonts w:ascii="Trebuchet MS" w:hAnsi="Trebuchet MS"/>
          <w:i/>
          <w:color w:val="37617A"/>
          <w:spacing w:val="-12"/>
          <w:sz w:val="20"/>
        </w:rPr>
        <w:t> </w:t>
      </w:r>
      <w:r>
        <w:rPr>
          <w:rFonts w:ascii="Trebuchet MS" w:hAnsi="Trebuchet MS"/>
          <w:i/>
          <w:color w:val="37617A"/>
          <w:sz w:val="20"/>
        </w:rPr>
        <w:t>show</w:t>
      </w:r>
      <w:r>
        <w:rPr>
          <w:rFonts w:ascii="Trebuchet MS" w:hAnsi="Trebuchet MS"/>
          <w:i/>
          <w:color w:val="37617A"/>
          <w:spacing w:val="-12"/>
          <w:sz w:val="20"/>
        </w:rPr>
        <w:t> </w:t>
      </w:r>
      <w:r>
        <w:rPr>
          <w:rFonts w:ascii="Trebuchet MS" w:hAnsi="Trebuchet MS"/>
          <w:i/>
          <w:color w:val="37617A"/>
          <w:sz w:val="20"/>
        </w:rPr>
        <w:t>them</w:t>
      </w:r>
      <w:r>
        <w:rPr>
          <w:rFonts w:ascii="Trebuchet MS" w:hAnsi="Trebuchet MS"/>
          <w:i/>
          <w:color w:val="37617A"/>
          <w:spacing w:val="-12"/>
          <w:sz w:val="20"/>
        </w:rPr>
        <w:t> </w:t>
      </w:r>
      <w:r>
        <w:rPr>
          <w:rFonts w:ascii="Trebuchet MS" w:hAnsi="Trebuchet MS"/>
          <w:i/>
          <w:color w:val="37617A"/>
          <w:sz w:val="20"/>
        </w:rPr>
        <w:t>what</w:t>
      </w:r>
      <w:r>
        <w:rPr>
          <w:rFonts w:ascii="Trebuchet MS" w:hAnsi="Trebuchet MS"/>
          <w:i/>
          <w:color w:val="37617A"/>
          <w:spacing w:val="-12"/>
          <w:sz w:val="20"/>
        </w:rPr>
        <w:t> </w:t>
      </w:r>
      <w:r>
        <w:rPr>
          <w:rFonts w:ascii="Trebuchet MS" w:hAnsi="Trebuchet MS"/>
          <w:i/>
          <w:color w:val="37617A"/>
          <w:sz w:val="20"/>
        </w:rPr>
        <w:t>we</w:t>
      </w:r>
      <w:r>
        <w:rPr>
          <w:rFonts w:ascii="Trebuchet MS" w:hAnsi="Trebuchet MS"/>
          <w:i/>
          <w:color w:val="37617A"/>
          <w:spacing w:val="-12"/>
          <w:sz w:val="20"/>
        </w:rPr>
        <w:t> </w:t>
      </w:r>
      <w:r>
        <w:rPr>
          <w:rFonts w:ascii="Trebuchet MS" w:hAnsi="Trebuchet MS"/>
          <w:i/>
          <w:color w:val="37617A"/>
          <w:sz w:val="20"/>
        </w:rPr>
        <w:t>can</w:t>
      </w:r>
      <w:r>
        <w:rPr>
          <w:rFonts w:ascii="Trebuchet MS" w:hAnsi="Trebuchet MS"/>
          <w:i/>
          <w:color w:val="37617A"/>
          <w:spacing w:val="-12"/>
          <w:sz w:val="20"/>
        </w:rPr>
        <w:t> </w:t>
      </w:r>
      <w:r>
        <w:rPr>
          <w:rFonts w:ascii="Trebuchet MS" w:hAnsi="Trebuchet MS"/>
          <w:i/>
          <w:color w:val="37617A"/>
          <w:sz w:val="20"/>
        </w:rPr>
        <w:t>do.</w:t>
      </w:r>
      <w:r>
        <w:rPr>
          <w:rFonts w:ascii="Trebuchet MS" w:hAnsi="Trebuchet MS"/>
          <w:i/>
          <w:color w:val="37617A"/>
          <w:spacing w:val="-12"/>
          <w:sz w:val="20"/>
        </w:rPr>
        <w:t> </w:t>
      </w:r>
      <w:r>
        <w:rPr>
          <w:rFonts w:ascii="Trebuchet MS" w:hAnsi="Trebuchet MS"/>
          <w:i/>
          <w:color w:val="37617A"/>
          <w:sz w:val="20"/>
        </w:rPr>
        <w:t>If</w:t>
      </w:r>
      <w:r>
        <w:rPr>
          <w:rFonts w:ascii="Trebuchet MS" w:hAnsi="Trebuchet MS"/>
          <w:i/>
          <w:color w:val="37617A"/>
          <w:spacing w:val="-12"/>
          <w:sz w:val="20"/>
        </w:rPr>
        <w:t> </w:t>
      </w:r>
      <w:r>
        <w:rPr>
          <w:rFonts w:ascii="Trebuchet MS" w:hAnsi="Trebuchet MS"/>
          <w:i/>
          <w:color w:val="37617A"/>
          <w:sz w:val="20"/>
        </w:rPr>
        <w:t>the</w:t>
      </w:r>
      <w:r>
        <w:rPr>
          <w:rFonts w:ascii="Trebuchet MS" w:hAnsi="Trebuchet MS"/>
          <w:i/>
          <w:color w:val="37617A"/>
          <w:spacing w:val="-12"/>
          <w:sz w:val="20"/>
        </w:rPr>
        <w:t> </w:t>
      </w:r>
      <w:r>
        <w:rPr>
          <w:rFonts w:ascii="Trebuchet MS" w:hAnsi="Trebuchet MS"/>
          <w:i/>
          <w:color w:val="37617A"/>
          <w:sz w:val="20"/>
        </w:rPr>
        <w:t>public</w:t>
      </w:r>
      <w:r>
        <w:rPr>
          <w:rFonts w:ascii="Trebuchet MS" w:hAnsi="Trebuchet MS"/>
          <w:i/>
          <w:color w:val="37617A"/>
          <w:spacing w:val="-12"/>
          <w:sz w:val="20"/>
        </w:rPr>
        <w:t> </w:t>
      </w:r>
      <w:r>
        <w:rPr>
          <w:rFonts w:ascii="Trebuchet MS" w:hAnsi="Trebuchet MS"/>
          <w:i/>
          <w:color w:val="37617A"/>
          <w:sz w:val="20"/>
        </w:rPr>
        <w:t>don’t</w:t>
      </w:r>
      <w:r>
        <w:rPr>
          <w:rFonts w:ascii="Trebuchet MS" w:hAnsi="Trebuchet MS"/>
          <w:i/>
          <w:color w:val="37617A"/>
          <w:spacing w:val="-12"/>
          <w:sz w:val="20"/>
        </w:rPr>
        <w:t> </w:t>
      </w:r>
      <w:r>
        <w:rPr>
          <w:rFonts w:ascii="Trebuchet MS" w:hAnsi="Trebuchet MS"/>
          <w:i/>
          <w:color w:val="37617A"/>
          <w:sz w:val="20"/>
        </w:rPr>
        <w:t>have</w:t>
      </w:r>
      <w:r>
        <w:rPr>
          <w:rFonts w:ascii="Trebuchet MS" w:hAnsi="Trebuchet MS"/>
          <w:i/>
          <w:color w:val="37617A"/>
          <w:spacing w:val="-12"/>
          <w:sz w:val="20"/>
        </w:rPr>
        <w:t> </w:t>
      </w:r>
      <w:r>
        <w:rPr>
          <w:rFonts w:ascii="Trebuchet MS" w:hAnsi="Trebuchet MS"/>
          <w:i/>
          <w:color w:val="37617A"/>
          <w:sz w:val="20"/>
        </w:rPr>
        <w:t>any</w:t>
      </w:r>
      <w:r>
        <w:rPr>
          <w:rFonts w:ascii="Trebuchet MS" w:hAnsi="Trebuchet MS"/>
          <w:i/>
          <w:color w:val="37617A"/>
          <w:spacing w:val="-12"/>
          <w:sz w:val="20"/>
        </w:rPr>
        <w:t> </w:t>
      </w:r>
      <w:r>
        <w:rPr>
          <w:rFonts w:ascii="Trebuchet MS" w:hAnsi="Trebuchet MS"/>
          <w:i/>
          <w:color w:val="37617A"/>
          <w:sz w:val="20"/>
        </w:rPr>
        <w:t>contact</w:t>
      </w:r>
      <w:r>
        <w:rPr>
          <w:rFonts w:ascii="Trebuchet MS" w:hAnsi="Trebuchet MS"/>
          <w:i/>
          <w:color w:val="37617A"/>
          <w:spacing w:val="-12"/>
          <w:sz w:val="20"/>
        </w:rPr>
        <w:t> </w:t>
      </w:r>
      <w:r>
        <w:rPr>
          <w:rFonts w:ascii="Trebuchet MS" w:hAnsi="Trebuchet MS"/>
          <w:i/>
          <w:color w:val="37617A"/>
          <w:sz w:val="20"/>
        </w:rPr>
        <w:t>with blind/visually</w:t>
      </w:r>
      <w:r>
        <w:rPr>
          <w:rFonts w:ascii="Trebuchet MS" w:hAnsi="Trebuchet MS"/>
          <w:i/>
          <w:color w:val="37617A"/>
          <w:spacing w:val="-16"/>
          <w:sz w:val="20"/>
        </w:rPr>
        <w:t> </w:t>
      </w:r>
      <w:r>
        <w:rPr>
          <w:rFonts w:ascii="Trebuchet MS" w:hAnsi="Trebuchet MS"/>
          <w:i/>
          <w:color w:val="37617A"/>
          <w:sz w:val="20"/>
        </w:rPr>
        <w:t>impaired</w:t>
      </w:r>
      <w:r>
        <w:rPr>
          <w:rFonts w:ascii="Trebuchet MS" w:hAnsi="Trebuchet MS"/>
          <w:i/>
          <w:color w:val="37617A"/>
          <w:spacing w:val="-16"/>
          <w:sz w:val="20"/>
        </w:rPr>
        <w:t> </w:t>
      </w:r>
      <w:r>
        <w:rPr>
          <w:rFonts w:ascii="Trebuchet MS" w:hAnsi="Trebuchet MS"/>
          <w:i/>
          <w:color w:val="37617A"/>
          <w:sz w:val="20"/>
        </w:rPr>
        <w:t>people,</w:t>
      </w:r>
      <w:r>
        <w:rPr>
          <w:rFonts w:ascii="Trebuchet MS" w:hAnsi="Trebuchet MS"/>
          <w:i/>
          <w:color w:val="37617A"/>
          <w:spacing w:val="-16"/>
          <w:sz w:val="20"/>
        </w:rPr>
        <w:t> </w:t>
      </w:r>
      <w:r>
        <w:rPr>
          <w:rFonts w:ascii="Trebuchet MS" w:hAnsi="Trebuchet MS"/>
          <w:i/>
          <w:color w:val="37617A"/>
          <w:sz w:val="20"/>
        </w:rPr>
        <w:t>they</w:t>
      </w:r>
      <w:r>
        <w:rPr>
          <w:rFonts w:ascii="Trebuchet MS" w:hAnsi="Trebuchet MS"/>
          <w:i/>
          <w:color w:val="37617A"/>
          <w:spacing w:val="-16"/>
          <w:sz w:val="20"/>
        </w:rPr>
        <w:t> </w:t>
      </w:r>
      <w:r>
        <w:rPr>
          <w:rFonts w:ascii="Trebuchet MS" w:hAnsi="Trebuchet MS"/>
          <w:i/>
          <w:color w:val="37617A"/>
          <w:sz w:val="20"/>
        </w:rPr>
        <w:t>don’t</w:t>
      </w:r>
      <w:r>
        <w:rPr>
          <w:rFonts w:ascii="Trebuchet MS" w:hAnsi="Trebuchet MS"/>
          <w:i/>
          <w:color w:val="37617A"/>
          <w:spacing w:val="-15"/>
          <w:sz w:val="20"/>
        </w:rPr>
        <w:t> </w:t>
      </w:r>
      <w:r>
        <w:rPr>
          <w:rFonts w:ascii="Trebuchet MS" w:hAnsi="Trebuchet MS"/>
          <w:i/>
          <w:color w:val="37617A"/>
          <w:sz w:val="20"/>
        </w:rPr>
        <w:t>know</w:t>
      </w:r>
      <w:r>
        <w:rPr>
          <w:rFonts w:ascii="Trebuchet MS" w:hAnsi="Trebuchet MS"/>
          <w:i/>
          <w:color w:val="37617A"/>
          <w:spacing w:val="-16"/>
          <w:sz w:val="20"/>
        </w:rPr>
        <w:t> </w:t>
      </w:r>
      <w:r>
        <w:rPr>
          <w:rFonts w:ascii="Trebuchet MS" w:hAnsi="Trebuchet MS"/>
          <w:i/>
          <w:color w:val="37617A"/>
          <w:sz w:val="20"/>
        </w:rPr>
        <w:t>what</w:t>
      </w:r>
      <w:r>
        <w:rPr>
          <w:rFonts w:ascii="Trebuchet MS" w:hAnsi="Trebuchet MS"/>
          <w:i/>
          <w:color w:val="37617A"/>
          <w:spacing w:val="-16"/>
          <w:sz w:val="20"/>
        </w:rPr>
        <w:t> </w:t>
      </w:r>
      <w:r>
        <w:rPr>
          <w:rFonts w:ascii="Trebuchet MS" w:hAnsi="Trebuchet MS"/>
          <w:i/>
          <w:color w:val="37617A"/>
          <w:sz w:val="20"/>
        </w:rPr>
        <w:t>tools</w:t>
      </w:r>
      <w:r>
        <w:rPr>
          <w:rFonts w:ascii="Trebuchet MS" w:hAnsi="Trebuchet MS"/>
          <w:i/>
          <w:color w:val="37617A"/>
          <w:spacing w:val="-16"/>
          <w:sz w:val="20"/>
        </w:rPr>
        <w:t> </w:t>
      </w:r>
      <w:r>
        <w:rPr>
          <w:rFonts w:ascii="Trebuchet MS" w:hAnsi="Trebuchet MS"/>
          <w:i/>
          <w:color w:val="37617A"/>
          <w:sz w:val="20"/>
        </w:rPr>
        <w:t>are</w:t>
      </w:r>
      <w:r>
        <w:rPr>
          <w:rFonts w:ascii="Trebuchet MS" w:hAnsi="Trebuchet MS"/>
          <w:i/>
          <w:color w:val="37617A"/>
          <w:spacing w:val="-15"/>
          <w:sz w:val="20"/>
        </w:rPr>
        <w:t> </w:t>
      </w:r>
      <w:r>
        <w:rPr>
          <w:rFonts w:ascii="Trebuchet MS" w:hAnsi="Trebuchet MS"/>
          <w:i/>
          <w:color w:val="37617A"/>
          <w:sz w:val="20"/>
        </w:rPr>
        <w:t>available</w:t>
      </w:r>
      <w:r>
        <w:rPr>
          <w:rFonts w:ascii="Trebuchet MS" w:hAnsi="Trebuchet MS"/>
          <w:i/>
          <w:color w:val="37617A"/>
          <w:spacing w:val="-16"/>
          <w:sz w:val="20"/>
        </w:rPr>
        <w:t> </w:t>
      </w:r>
      <w:r>
        <w:rPr>
          <w:rFonts w:ascii="Trebuchet MS" w:hAnsi="Trebuchet MS"/>
          <w:i/>
          <w:color w:val="37617A"/>
          <w:sz w:val="20"/>
        </w:rPr>
        <w:t>to </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
          <w:w w:val="87"/>
          <w:sz w:val="20"/>
        </w:rPr>
        <w:t>l</w:t>
      </w:r>
      <w:r>
        <w:rPr>
          <w:rFonts w:ascii="Trebuchet MS" w:hAnsi="Trebuchet MS"/>
          <w:i/>
          <w:color w:val="37617A"/>
          <w:w w:val="107"/>
          <w:sz w:val="20"/>
        </w:rPr>
        <w:t>p</w:t>
      </w:r>
      <w:r>
        <w:rPr>
          <w:rFonts w:ascii="Trebuchet MS" w:hAnsi="Trebuchet MS"/>
          <w:i/>
          <w:color w:val="37617A"/>
          <w:spacing w:val="-13"/>
          <w:sz w:val="20"/>
        </w:rPr>
        <w:t> </w:t>
      </w:r>
      <w:r>
        <w:rPr>
          <w:rFonts w:ascii="Trebuchet MS" w:hAnsi="Trebuchet MS"/>
          <w:i/>
          <w:color w:val="37617A"/>
          <w:w w:val="107"/>
          <w:sz w:val="20"/>
        </w:rPr>
        <w:t>b</w:t>
      </w:r>
      <w:r>
        <w:rPr>
          <w:rFonts w:ascii="Trebuchet MS" w:hAnsi="Trebuchet MS"/>
          <w:i/>
          <w:color w:val="37617A"/>
          <w:spacing w:val="-1"/>
          <w:w w:val="87"/>
          <w:sz w:val="20"/>
        </w:rPr>
        <w:t>l</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w w:val="103"/>
          <w:sz w:val="20"/>
        </w:rPr>
        <w:t>u</w:t>
      </w:r>
      <w:r>
        <w:rPr>
          <w:rFonts w:ascii="Trebuchet MS" w:hAnsi="Trebuchet MS"/>
          <w:i/>
          <w:color w:val="37617A"/>
          <w:w w:val="103"/>
          <w:sz w:val="20"/>
        </w:rPr>
        <w:t>n</w:t>
      </w:r>
      <w:r>
        <w:rPr>
          <w:rFonts w:ascii="Trebuchet MS" w:hAnsi="Trebuchet MS"/>
          <w:i/>
          <w:color w:val="37617A"/>
          <w:spacing w:val="-1"/>
          <w:w w:val="108"/>
          <w:sz w:val="20"/>
        </w:rPr>
        <w:t>d</w:t>
      </w:r>
      <w:r>
        <w:rPr>
          <w:rFonts w:ascii="Trebuchet MS" w:hAnsi="Trebuchet MS"/>
          <w:i/>
          <w:color w:val="37617A"/>
          <w:spacing w:val="1"/>
          <w:w w:val="100"/>
          <w:sz w:val="20"/>
        </w:rPr>
        <w:t>e</w:t>
      </w:r>
      <w:r>
        <w:rPr>
          <w:rFonts w:ascii="Trebuchet MS" w:hAnsi="Trebuchet MS"/>
          <w:i/>
          <w:color w:val="37617A"/>
          <w:spacing w:val="2"/>
          <w:w w:val="84"/>
          <w:sz w:val="20"/>
        </w:rPr>
        <w:t>r</w:t>
      </w:r>
      <w:r>
        <w:rPr>
          <w:rFonts w:ascii="Trebuchet MS" w:hAnsi="Trebuchet MS"/>
          <w:i/>
          <w:color w:val="37617A"/>
          <w:spacing w:val="-4"/>
          <w:w w:val="80"/>
          <w:sz w:val="20"/>
        </w:rPr>
        <w:t>t</w:t>
      </w:r>
      <w:r>
        <w:rPr>
          <w:rFonts w:ascii="Trebuchet MS" w:hAnsi="Trebuchet MS"/>
          <w:i/>
          <w:color w:val="37617A"/>
          <w:w w:val="115"/>
          <w:sz w:val="20"/>
        </w:rPr>
        <w:t>a</w:t>
      </w:r>
      <w:r>
        <w:rPr>
          <w:rFonts w:ascii="Trebuchet MS" w:hAnsi="Trebuchet MS"/>
          <w:i/>
          <w:color w:val="37617A"/>
          <w:spacing w:val="-1"/>
          <w:w w:val="103"/>
          <w:sz w:val="20"/>
        </w:rPr>
        <w:t>k</w:t>
      </w:r>
      <w:r>
        <w:rPr>
          <w:rFonts w:ascii="Trebuchet MS" w:hAnsi="Trebuchet MS"/>
          <w:i/>
          <w:color w:val="37617A"/>
          <w:w w:val="103"/>
          <w:sz w:val="20"/>
        </w:rPr>
        <w:t>e</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w w:val="115"/>
          <w:sz w:val="20"/>
        </w:rPr>
        <w:t>a</w:t>
      </w:r>
      <w:r>
        <w:rPr>
          <w:rFonts w:ascii="Trebuchet MS" w:hAnsi="Trebuchet MS"/>
          <w:i/>
          <w:color w:val="37617A"/>
          <w:spacing w:val="-1"/>
          <w:w w:val="106"/>
          <w:sz w:val="20"/>
        </w:rPr>
        <w:t>m</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4"/>
          <w:w w:val="80"/>
          <w:sz w:val="20"/>
        </w:rPr>
        <w:t>t</w:t>
      </w:r>
      <w:r>
        <w:rPr>
          <w:rFonts w:ascii="Trebuchet MS" w:hAnsi="Trebuchet MS"/>
          <w:i/>
          <w:color w:val="37617A"/>
          <w:w w:val="115"/>
          <w:sz w:val="20"/>
        </w:rPr>
        <w:t>a</w:t>
      </w:r>
      <w:r>
        <w:rPr>
          <w:rFonts w:ascii="Trebuchet MS" w:hAnsi="Trebuchet MS"/>
          <w:i/>
          <w:color w:val="37617A"/>
          <w:spacing w:val="-1"/>
          <w:w w:val="117"/>
          <w:sz w:val="20"/>
        </w:rPr>
        <w:t>s</w:t>
      </w:r>
      <w:r>
        <w:rPr>
          <w:rFonts w:ascii="Trebuchet MS" w:hAnsi="Trebuchet MS"/>
          <w:i/>
          <w:color w:val="37617A"/>
          <w:spacing w:val="-1"/>
          <w:w w:val="107"/>
          <w:sz w:val="20"/>
        </w:rPr>
        <w:t>k</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spacing w:val="-1"/>
          <w:w w:val="73"/>
          <w:sz w:val="20"/>
        </w:rPr>
        <w:t>i</w:t>
      </w:r>
      <w:r>
        <w:rPr>
          <w:rFonts w:ascii="Trebuchet MS" w:hAnsi="Trebuchet MS"/>
          <w:i/>
          <w:color w:val="37617A"/>
          <w:w w:val="119"/>
          <w:sz w:val="20"/>
        </w:rPr>
        <w:t>g</w:t>
      </w:r>
      <w:r>
        <w:rPr>
          <w:rFonts w:ascii="Trebuchet MS" w:hAnsi="Trebuchet MS"/>
          <w:i/>
          <w:color w:val="37617A"/>
          <w:spacing w:val="-2"/>
          <w:w w:val="101"/>
          <w:sz w:val="20"/>
        </w:rPr>
        <w:t>h</w:t>
      </w:r>
      <w:r>
        <w:rPr>
          <w:rFonts w:ascii="Trebuchet MS" w:hAnsi="Trebuchet MS"/>
          <w:i/>
          <w:color w:val="37617A"/>
          <w:spacing w:val="-5"/>
          <w:w w:val="80"/>
          <w:sz w:val="20"/>
        </w:rPr>
        <w:t>t</w:t>
      </w:r>
      <w:r>
        <w:rPr>
          <w:rFonts w:ascii="Trebuchet MS" w:hAnsi="Trebuchet MS"/>
          <w:i/>
          <w:color w:val="37617A"/>
          <w:w w:val="100"/>
          <w:sz w:val="20"/>
        </w:rPr>
        <w:t>e</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spacing w:val="1"/>
          <w:w w:val="100"/>
          <w:sz w:val="20"/>
        </w:rPr>
        <w:t>e</w:t>
      </w:r>
      <w:r>
        <w:rPr>
          <w:rFonts w:ascii="Trebuchet MS" w:hAnsi="Trebuchet MS"/>
          <w:i/>
          <w:color w:val="37617A"/>
          <w:spacing w:val="-5"/>
          <w:w w:val="54"/>
          <w:sz w:val="20"/>
        </w:rPr>
        <w:t>.</w:t>
      </w:r>
      <w:r>
        <w:rPr>
          <w:rFonts w:ascii="Trebuchet MS" w:hAnsi="Trebuchet MS"/>
          <w:i/>
          <w:color w:val="37617A"/>
          <w:spacing w:val="3"/>
          <w:w w:val="112"/>
          <w:position w:val="7"/>
          <w:sz w:val="11"/>
        </w:rPr>
        <w:t>36</w:t>
      </w:r>
    </w:p>
    <w:p>
      <w:pPr>
        <w:spacing w:before="13"/>
        <w:ind w:left="2887" w:right="0" w:firstLine="0"/>
        <w:jc w:val="left"/>
        <w:rPr>
          <w:rFonts w:ascii="Trebuchet MS" w:hAnsi="Trebuchet MS"/>
          <w:sz w:val="19"/>
        </w:rPr>
      </w:pPr>
      <w:r>
        <w:rPr>
          <w:rFonts w:ascii="Trebuchet MS" w:hAnsi="Trebuchet MS"/>
          <w:color w:val="37617A"/>
          <w:sz w:val="19"/>
        </w:rPr>
        <w:t>—Participant in the Blind Citizens Australia consultation</w:t>
      </w:r>
    </w:p>
    <w:p>
      <w:pPr>
        <w:pStyle w:val="BodyText"/>
        <w:spacing w:before="2"/>
        <w:rPr>
          <w:rFonts w:ascii="Trebuchet MS"/>
          <w:sz w:val="10"/>
        </w:rPr>
      </w:pPr>
      <w:r>
        <w:rPr/>
        <w:pict>
          <v:line style="position:absolute;mso-position-horizontal-relative:page;mso-position-vertical-relative:paragraph;z-index:11288;mso-wrap-distance-left:0;mso-wrap-distance-right:0" from="79.370102pt,8.130567pt" to="515.905102pt,8.130567pt" stroked="true" strokeweight=".5pt" strokecolor="#8f9dad">
            <v:stroke dashstyle="solid"/>
            <w10:wrap type="topAndBottom"/>
          </v:line>
        </w:pict>
      </w:r>
    </w:p>
    <w:p>
      <w:pPr>
        <w:pStyle w:val="BodyText"/>
        <w:spacing w:before="9"/>
        <w:rPr>
          <w:rFonts w:ascii="Trebuchet MS"/>
          <w:sz w:val="31"/>
        </w:rPr>
      </w:pPr>
    </w:p>
    <w:p>
      <w:pPr>
        <w:pStyle w:val="ListParagraph"/>
        <w:numPr>
          <w:ilvl w:val="1"/>
          <w:numId w:val="12"/>
        </w:numPr>
        <w:tabs>
          <w:tab w:pos="1761" w:val="left" w:leader="none"/>
          <w:tab w:pos="1762" w:val="left" w:leader="none"/>
        </w:tabs>
        <w:spacing w:line="206" w:lineRule="auto" w:before="0" w:after="0"/>
        <w:ind w:left="1761" w:right="1214" w:hanging="794"/>
        <w:jc w:val="left"/>
        <w:rPr>
          <w:sz w:val="20"/>
        </w:rPr>
      </w:pPr>
      <w:r>
        <w:rPr>
          <w:sz w:val="20"/>
        </w:rPr>
        <w:t>Members</w:t>
      </w:r>
      <w:r>
        <w:rPr>
          <w:spacing w:val="-10"/>
          <w:sz w:val="20"/>
        </w:rPr>
        <w:t> </w:t>
      </w:r>
      <w:r>
        <w:rPr>
          <w:sz w:val="20"/>
        </w:rPr>
        <w:t>of</w:t>
      </w:r>
      <w:r>
        <w:rPr>
          <w:spacing w:val="-9"/>
          <w:sz w:val="20"/>
        </w:rPr>
        <w:t> </w:t>
      </w:r>
      <w:r>
        <w:rPr>
          <w:sz w:val="20"/>
        </w:rPr>
        <w:t>the</w:t>
      </w:r>
      <w:r>
        <w:rPr>
          <w:spacing w:val="-10"/>
          <w:sz w:val="20"/>
        </w:rPr>
        <w:t> </w:t>
      </w:r>
      <w:r>
        <w:rPr>
          <w:sz w:val="20"/>
        </w:rPr>
        <w:t>community</w:t>
      </w:r>
      <w:r>
        <w:rPr>
          <w:spacing w:val="-9"/>
          <w:sz w:val="20"/>
        </w:rPr>
        <w:t> </w:t>
      </w:r>
      <w:r>
        <w:rPr>
          <w:sz w:val="20"/>
        </w:rPr>
        <w:t>will</w:t>
      </w:r>
      <w:r>
        <w:rPr>
          <w:spacing w:val="-9"/>
          <w:sz w:val="20"/>
        </w:rPr>
        <w:t> </w:t>
      </w:r>
      <w:r>
        <w:rPr>
          <w:sz w:val="20"/>
        </w:rPr>
        <w:t>need</w:t>
      </w:r>
      <w:r>
        <w:rPr>
          <w:spacing w:val="-10"/>
          <w:sz w:val="20"/>
        </w:rPr>
        <w:t> </w:t>
      </w:r>
      <w:r>
        <w:rPr>
          <w:sz w:val="20"/>
        </w:rPr>
        <w:t>to</w:t>
      </w:r>
      <w:r>
        <w:rPr>
          <w:spacing w:val="-9"/>
          <w:sz w:val="20"/>
        </w:rPr>
        <w:t> </w:t>
      </w:r>
      <w:r>
        <w:rPr>
          <w:sz w:val="20"/>
        </w:rPr>
        <w:t>be</w:t>
      </w:r>
      <w:r>
        <w:rPr>
          <w:spacing w:val="-9"/>
          <w:sz w:val="20"/>
        </w:rPr>
        <w:t> </w:t>
      </w:r>
      <w:r>
        <w:rPr>
          <w:sz w:val="20"/>
        </w:rPr>
        <w:t>informed</w:t>
      </w:r>
      <w:r>
        <w:rPr>
          <w:spacing w:val="-10"/>
          <w:sz w:val="20"/>
        </w:rPr>
        <w:t> </w:t>
      </w:r>
      <w:r>
        <w:rPr>
          <w:sz w:val="20"/>
        </w:rPr>
        <w:t>about</w:t>
      </w:r>
      <w:r>
        <w:rPr>
          <w:spacing w:val="-9"/>
          <w:sz w:val="20"/>
        </w:rPr>
        <w:t> </w:t>
      </w:r>
      <w:r>
        <w:rPr>
          <w:sz w:val="20"/>
        </w:rPr>
        <w:t>the</w:t>
      </w:r>
      <w:r>
        <w:rPr>
          <w:spacing w:val="-9"/>
          <w:sz w:val="20"/>
        </w:rPr>
        <w:t> </w:t>
      </w:r>
      <w:r>
        <w:rPr>
          <w:spacing w:val="-3"/>
          <w:sz w:val="20"/>
        </w:rPr>
        <w:t>reforms</w:t>
      </w:r>
      <w:r>
        <w:rPr>
          <w:spacing w:val="-10"/>
          <w:sz w:val="20"/>
        </w:rPr>
        <w:t> </w:t>
      </w:r>
      <w:r>
        <w:rPr>
          <w:sz w:val="20"/>
        </w:rPr>
        <w:t>recommended in</w:t>
      </w:r>
      <w:r>
        <w:rPr>
          <w:spacing w:val="-9"/>
          <w:sz w:val="20"/>
        </w:rPr>
        <w:t> </w:t>
      </w:r>
      <w:r>
        <w:rPr>
          <w:sz w:val="20"/>
        </w:rPr>
        <w:t>this</w:t>
      </w:r>
      <w:r>
        <w:rPr>
          <w:spacing w:val="-9"/>
          <w:sz w:val="20"/>
        </w:rPr>
        <w:t> </w:t>
      </w:r>
      <w:r>
        <w:rPr>
          <w:sz w:val="20"/>
        </w:rPr>
        <w:t>report.</w:t>
      </w:r>
      <w:r>
        <w:rPr>
          <w:spacing w:val="-9"/>
          <w:sz w:val="20"/>
        </w:rPr>
        <w:t> </w:t>
      </w:r>
      <w:r>
        <w:rPr>
          <w:sz w:val="20"/>
        </w:rPr>
        <w:t>People</w:t>
      </w:r>
      <w:r>
        <w:rPr>
          <w:spacing w:val="-9"/>
          <w:sz w:val="20"/>
        </w:rPr>
        <w:t> </w:t>
      </w:r>
      <w:r>
        <w:rPr>
          <w:sz w:val="20"/>
        </w:rPr>
        <w:t>in</w:t>
      </w:r>
      <w:r>
        <w:rPr>
          <w:spacing w:val="-9"/>
          <w:sz w:val="20"/>
        </w:rPr>
        <w:t> </w:t>
      </w:r>
      <w:r>
        <w:rPr>
          <w:sz w:val="20"/>
        </w:rPr>
        <w:t>the</w:t>
      </w:r>
      <w:r>
        <w:rPr>
          <w:spacing w:val="-8"/>
          <w:sz w:val="20"/>
        </w:rPr>
        <w:t> </w:t>
      </w:r>
      <w:r>
        <w:rPr>
          <w:sz w:val="20"/>
        </w:rPr>
        <w:t>subject</w:t>
      </w:r>
      <w:r>
        <w:rPr>
          <w:spacing w:val="-9"/>
          <w:sz w:val="20"/>
        </w:rPr>
        <w:t> </w:t>
      </w:r>
      <w:r>
        <w:rPr>
          <w:sz w:val="20"/>
        </w:rPr>
        <w:t>groups</w:t>
      </w:r>
      <w:r>
        <w:rPr>
          <w:spacing w:val="-9"/>
          <w:sz w:val="20"/>
        </w:rPr>
        <w:t> </w:t>
      </w:r>
      <w:r>
        <w:rPr>
          <w:spacing w:val="-3"/>
          <w:sz w:val="20"/>
        </w:rPr>
        <w:t>may</w:t>
      </w:r>
      <w:r>
        <w:rPr>
          <w:spacing w:val="-9"/>
          <w:sz w:val="20"/>
        </w:rPr>
        <w:t> </w:t>
      </w:r>
      <w:r>
        <w:rPr>
          <w:sz w:val="20"/>
        </w:rPr>
        <w:t>also</w:t>
      </w:r>
      <w:r>
        <w:rPr>
          <w:spacing w:val="-9"/>
          <w:sz w:val="20"/>
        </w:rPr>
        <w:t> </w:t>
      </w:r>
      <w:r>
        <w:rPr>
          <w:sz w:val="20"/>
        </w:rPr>
        <w:t>be</w:t>
      </w:r>
      <w:r>
        <w:rPr>
          <w:spacing w:val="-8"/>
          <w:sz w:val="20"/>
        </w:rPr>
        <w:t> </w:t>
      </w:r>
      <w:r>
        <w:rPr>
          <w:sz w:val="20"/>
        </w:rPr>
        <w:t>unfamiliar</w:t>
      </w:r>
      <w:r>
        <w:rPr>
          <w:spacing w:val="-9"/>
          <w:sz w:val="20"/>
        </w:rPr>
        <w:t> </w:t>
      </w:r>
      <w:r>
        <w:rPr>
          <w:sz w:val="20"/>
        </w:rPr>
        <w:t>with</w:t>
      </w:r>
      <w:r>
        <w:rPr>
          <w:spacing w:val="-9"/>
          <w:sz w:val="20"/>
        </w:rPr>
        <w:t> </w:t>
      </w:r>
      <w:r>
        <w:rPr>
          <w:sz w:val="20"/>
        </w:rPr>
        <w:t>what</w:t>
      </w:r>
      <w:r>
        <w:rPr>
          <w:spacing w:val="-9"/>
          <w:sz w:val="20"/>
        </w:rPr>
        <w:t> </w:t>
      </w:r>
      <w:r>
        <w:rPr>
          <w:sz w:val="20"/>
        </w:rPr>
        <w:t>is</w:t>
      </w:r>
      <w:r>
        <w:rPr>
          <w:spacing w:val="-9"/>
          <w:sz w:val="20"/>
        </w:rPr>
        <w:t> </w:t>
      </w:r>
      <w:r>
        <w:rPr>
          <w:spacing w:val="-4"/>
          <w:sz w:val="20"/>
        </w:rPr>
        <w:t>involved </w:t>
      </w:r>
      <w:r>
        <w:rPr>
          <w:sz w:val="20"/>
        </w:rPr>
        <w:t>in jury service and not confident about</w:t>
      </w:r>
      <w:r>
        <w:rPr>
          <w:spacing w:val="-35"/>
          <w:sz w:val="20"/>
        </w:rPr>
        <w:t> </w:t>
      </w:r>
      <w:r>
        <w:rPr>
          <w:sz w:val="20"/>
        </w:rPr>
        <w:t>participating.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5"/>
        </w:rPr>
      </w:pPr>
    </w:p>
    <w:p>
      <w:pPr>
        <w:pStyle w:val="BodyText"/>
        <w:spacing w:line="20" w:lineRule="exact"/>
        <w:ind w:left="957"/>
        <w:rPr>
          <w:sz w:val="2"/>
        </w:rPr>
      </w:pPr>
      <w:r>
        <w:rPr>
          <w:sz w:val="2"/>
        </w:rPr>
        <w:pict>
          <v:group style="width:436.55pt;height:1pt;mso-position-horizontal-relative:char;mso-position-vertical-relative:line" coordorigin="0,0" coordsize="8731,20">
            <v:line style="position:absolute" from="0,10" to="8731,10" stroked="true" strokeweight="1pt" strokecolor="#b6bdc8">
              <v:stroke dashstyle="solid"/>
            </v:line>
          </v:group>
        </w:pict>
      </w:r>
      <w:r>
        <w:rPr>
          <w:sz w:val="2"/>
        </w:rPr>
      </w:r>
    </w:p>
    <w:p>
      <w:pPr>
        <w:spacing w:after="0" w:line="20" w:lineRule="exact"/>
        <w:rPr>
          <w:sz w:val="2"/>
        </w:rPr>
        <w:sectPr>
          <w:pgSz w:w="11910" w:h="16840"/>
          <w:pgMar w:header="0" w:footer="0" w:top="840" w:bottom="280" w:left="620" w:right="380"/>
        </w:sectPr>
      </w:pPr>
    </w:p>
    <w:p>
      <w:pPr>
        <w:pStyle w:val="ListParagraph"/>
        <w:numPr>
          <w:ilvl w:val="0"/>
          <w:numId w:val="121"/>
        </w:numPr>
        <w:tabs>
          <w:tab w:pos="1761" w:val="left" w:leader="none"/>
          <w:tab w:pos="1762" w:val="left" w:leader="none"/>
        </w:tabs>
        <w:spacing w:line="240" w:lineRule="auto" w:before="120" w:after="0"/>
        <w:ind w:left="1761" w:right="0" w:hanging="794"/>
        <w:jc w:val="left"/>
        <w:rPr>
          <w:sz w:val="13"/>
        </w:rPr>
      </w:pPr>
      <w:r>
        <w:rPr>
          <w:sz w:val="13"/>
        </w:rPr>
        <w:t>Consultation 1 </w:t>
      </w:r>
      <w:r>
        <w:rPr>
          <w:spacing w:val="2"/>
          <w:sz w:val="13"/>
        </w:rPr>
        <w:t>(Blind </w:t>
      </w:r>
      <w:r>
        <w:rPr>
          <w:sz w:val="13"/>
        </w:rPr>
        <w:t>Citizens</w:t>
      </w:r>
      <w:r>
        <w:rPr>
          <w:spacing w:val="30"/>
          <w:sz w:val="13"/>
        </w:rPr>
        <w:t> </w:t>
      </w:r>
      <w:r>
        <w:rPr>
          <w:sz w:val="13"/>
        </w:rPr>
        <w:t>Australia).</w:t>
      </w:r>
    </w:p>
    <w:p>
      <w:pPr>
        <w:spacing w:line="326" w:lineRule="exact" w:before="0"/>
        <w:ind w:left="967" w:right="0" w:firstLine="0"/>
        <w:jc w:val="left"/>
        <w:rPr>
          <w:b/>
          <w:sz w:val="24"/>
        </w:rPr>
      </w:pPr>
      <w:r>
        <w:rPr/>
        <w:br w:type="column"/>
      </w:r>
      <w:r>
        <w:rPr>
          <w:b/>
          <w:color w:val="37617A"/>
          <w:sz w:val="24"/>
        </w:rPr>
        <w:t>213</w:t>
      </w:r>
    </w:p>
    <w:p>
      <w:pPr>
        <w:spacing w:after="0" w:line="326" w:lineRule="exact"/>
        <w:jc w:val="left"/>
        <w:rPr>
          <w:sz w:val="24"/>
        </w:rPr>
        <w:sectPr>
          <w:type w:val="continuous"/>
          <w:pgSz w:w="11910" w:h="16840"/>
          <w:pgMar w:top="620" w:bottom="280" w:left="620" w:right="380"/>
          <w:cols w:num="2" w:equalWidth="0">
            <w:col w:w="4215" w:space="5116"/>
            <w:col w:w="1579"/>
          </w:cols>
        </w:sectPr>
      </w:pPr>
    </w:p>
    <w:p>
      <w:pPr>
        <w:pStyle w:val="BodyText"/>
        <w:rPr>
          <w:b/>
        </w:rPr>
      </w:pPr>
    </w:p>
    <w:p>
      <w:pPr>
        <w:pStyle w:val="BodyText"/>
        <w:rPr>
          <w:b/>
        </w:rPr>
      </w:pPr>
    </w:p>
    <w:p>
      <w:pPr>
        <w:pStyle w:val="BodyText"/>
        <w:rPr>
          <w:b/>
        </w:rPr>
      </w:pPr>
    </w:p>
    <w:p>
      <w:pPr>
        <w:pStyle w:val="BodyText"/>
        <w:spacing w:before="5"/>
        <w:rPr>
          <w:b/>
          <w:sz w:val="14"/>
        </w:rPr>
      </w:pPr>
    </w:p>
    <w:p>
      <w:pPr>
        <w:spacing w:before="49"/>
        <w:ind w:left="967" w:right="0" w:firstLine="0"/>
        <w:jc w:val="left"/>
        <w:rPr>
          <w:b/>
          <w:sz w:val="24"/>
        </w:rPr>
      </w:pPr>
      <w:bookmarkStart w:name="_bookmark158" w:id="378"/>
      <w:bookmarkEnd w:id="378"/>
      <w:r>
        <w:rPr/>
      </w:r>
      <w:r>
        <w:rPr>
          <w:b/>
          <w:sz w:val="24"/>
        </w:rPr>
        <w:t>Improving community knowledge of disability</w:t>
      </w:r>
    </w:p>
    <w:p>
      <w:pPr>
        <w:pStyle w:val="ListParagraph"/>
        <w:numPr>
          <w:ilvl w:val="1"/>
          <w:numId w:val="12"/>
        </w:numPr>
        <w:tabs>
          <w:tab w:pos="1761" w:val="left" w:leader="none"/>
          <w:tab w:pos="1762" w:val="left" w:leader="none"/>
        </w:tabs>
        <w:spacing w:line="206" w:lineRule="auto" w:before="127" w:after="0"/>
        <w:ind w:left="1761" w:right="1638" w:hanging="794"/>
        <w:jc w:val="left"/>
        <w:rPr>
          <w:sz w:val="20"/>
        </w:rPr>
      </w:pPr>
      <w:r>
        <w:rPr>
          <w:sz w:val="20"/>
        </w:rPr>
        <w:t>Consultation participants </w:t>
      </w:r>
      <w:r>
        <w:rPr>
          <w:spacing w:val="-3"/>
          <w:sz w:val="20"/>
        </w:rPr>
        <w:t>told </w:t>
      </w:r>
      <w:r>
        <w:rPr>
          <w:sz w:val="20"/>
        </w:rPr>
        <w:t>us that disability </w:t>
      </w:r>
      <w:r>
        <w:rPr>
          <w:spacing w:val="-3"/>
          <w:sz w:val="20"/>
        </w:rPr>
        <w:t>awareness </w:t>
      </w:r>
      <w:r>
        <w:rPr>
          <w:sz w:val="20"/>
        </w:rPr>
        <w:t>and understanding of adjustments, such as Auslan </w:t>
      </w:r>
      <w:r>
        <w:rPr>
          <w:spacing w:val="-3"/>
          <w:sz w:val="20"/>
        </w:rPr>
        <w:t>interpreters, </w:t>
      </w:r>
      <w:r>
        <w:rPr>
          <w:sz w:val="20"/>
        </w:rPr>
        <w:t>has </w:t>
      </w:r>
      <w:r>
        <w:rPr>
          <w:spacing w:val="-3"/>
          <w:sz w:val="20"/>
        </w:rPr>
        <w:t>improved </w:t>
      </w:r>
      <w:r>
        <w:rPr>
          <w:sz w:val="20"/>
        </w:rPr>
        <w:t>in the community </w:t>
      </w:r>
      <w:r>
        <w:rPr>
          <w:spacing w:val="-4"/>
          <w:sz w:val="20"/>
        </w:rPr>
        <w:t>over </w:t>
      </w:r>
      <w:r>
        <w:rPr>
          <w:sz w:val="20"/>
        </w:rPr>
        <w:t>the last</w:t>
      </w:r>
      <w:r>
        <w:rPr>
          <w:spacing w:val="-8"/>
          <w:sz w:val="20"/>
        </w:rPr>
        <w:t> </w:t>
      </w:r>
      <w:r>
        <w:rPr>
          <w:spacing w:val="-3"/>
          <w:sz w:val="20"/>
        </w:rPr>
        <w:t>few</w:t>
      </w:r>
      <w:r>
        <w:rPr>
          <w:spacing w:val="-7"/>
          <w:sz w:val="20"/>
        </w:rPr>
        <w:t> </w:t>
      </w:r>
      <w:r>
        <w:rPr>
          <w:sz w:val="20"/>
        </w:rPr>
        <w:t>years.</w:t>
      </w:r>
      <w:r>
        <w:rPr>
          <w:spacing w:val="-7"/>
          <w:sz w:val="20"/>
        </w:rPr>
        <w:t> </w:t>
      </w:r>
      <w:r>
        <w:rPr>
          <w:sz w:val="20"/>
        </w:rPr>
        <w:t>In</w:t>
      </w:r>
      <w:r>
        <w:rPr>
          <w:spacing w:val="-7"/>
          <w:sz w:val="20"/>
        </w:rPr>
        <w:t> </w:t>
      </w:r>
      <w:r>
        <w:rPr>
          <w:spacing w:val="-2"/>
          <w:sz w:val="20"/>
        </w:rPr>
        <w:t>Chapter</w:t>
      </w:r>
      <w:r>
        <w:rPr>
          <w:spacing w:val="-7"/>
          <w:sz w:val="20"/>
        </w:rPr>
        <w:t> </w:t>
      </w:r>
      <w:r>
        <w:rPr>
          <w:sz w:val="20"/>
        </w:rPr>
        <w:t>7</w:t>
      </w:r>
      <w:r>
        <w:rPr>
          <w:spacing w:val="-7"/>
          <w:sz w:val="20"/>
        </w:rPr>
        <w:t> </w:t>
      </w:r>
      <w:r>
        <w:rPr>
          <w:spacing w:val="-3"/>
          <w:sz w:val="20"/>
        </w:rPr>
        <w:t>we</w:t>
      </w:r>
      <w:r>
        <w:rPr>
          <w:spacing w:val="-8"/>
          <w:sz w:val="20"/>
        </w:rPr>
        <w:t> </w:t>
      </w:r>
      <w:r>
        <w:rPr>
          <w:sz w:val="20"/>
        </w:rPr>
        <w:t>note</w:t>
      </w:r>
      <w:r>
        <w:rPr>
          <w:spacing w:val="-7"/>
          <w:sz w:val="20"/>
        </w:rPr>
        <w:t> </w:t>
      </w:r>
      <w:r>
        <w:rPr>
          <w:sz w:val="20"/>
        </w:rPr>
        <w:t>that</w:t>
      </w:r>
      <w:r>
        <w:rPr>
          <w:spacing w:val="-7"/>
          <w:sz w:val="20"/>
        </w:rPr>
        <w:t> </w:t>
      </w:r>
      <w:r>
        <w:rPr>
          <w:spacing w:val="-3"/>
          <w:sz w:val="20"/>
        </w:rPr>
        <w:t>we</w:t>
      </w:r>
      <w:r>
        <w:rPr>
          <w:spacing w:val="-7"/>
          <w:sz w:val="20"/>
        </w:rPr>
        <w:t> </w:t>
      </w:r>
      <w:r>
        <w:rPr>
          <w:spacing w:val="-3"/>
          <w:sz w:val="20"/>
        </w:rPr>
        <w:t>are</w:t>
      </w:r>
      <w:r>
        <w:rPr>
          <w:spacing w:val="-7"/>
          <w:sz w:val="20"/>
        </w:rPr>
        <w:t> </w:t>
      </w:r>
      <w:r>
        <w:rPr>
          <w:spacing w:val="-3"/>
          <w:sz w:val="20"/>
        </w:rPr>
        <w:t>now</w:t>
      </w:r>
      <w:r>
        <w:rPr>
          <w:spacing w:val="-7"/>
          <w:sz w:val="20"/>
        </w:rPr>
        <w:t> </w:t>
      </w:r>
      <w:r>
        <w:rPr>
          <w:sz w:val="20"/>
        </w:rPr>
        <w:t>accustomed</w:t>
      </w:r>
      <w:r>
        <w:rPr>
          <w:spacing w:val="-7"/>
          <w:sz w:val="20"/>
        </w:rPr>
        <w:t> </w:t>
      </w:r>
      <w:r>
        <w:rPr>
          <w:sz w:val="20"/>
        </w:rPr>
        <w:t>to</w:t>
      </w:r>
      <w:r>
        <w:rPr>
          <w:spacing w:val="-8"/>
          <w:sz w:val="20"/>
        </w:rPr>
        <w:t> </w:t>
      </w:r>
      <w:r>
        <w:rPr>
          <w:sz w:val="20"/>
        </w:rPr>
        <w:t>seeing</w:t>
      </w:r>
      <w:r>
        <w:rPr>
          <w:spacing w:val="-7"/>
          <w:sz w:val="20"/>
        </w:rPr>
        <w:t> </w:t>
      </w:r>
      <w:r>
        <w:rPr>
          <w:sz w:val="20"/>
        </w:rPr>
        <w:t>Auslan </w:t>
      </w:r>
      <w:r>
        <w:rPr>
          <w:spacing w:val="-3"/>
          <w:sz w:val="20"/>
        </w:rPr>
        <w:t>interpreters</w:t>
      </w:r>
      <w:r>
        <w:rPr>
          <w:spacing w:val="-8"/>
          <w:sz w:val="20"/>
        </w:rPr>
        <w:t> </w:t>
      </w:r>
      <w:r>
        <w:rPr>
          <w:sz w:val="20"/>
        </w:rPr>
        <w:t>at</w:t>
      </w:r>
      <w:r>
        <w:rPr>
          <w:spacing w:val="-8"/>
          <w:sz w:val="20"/>
        </w:rPr>
        <w:t> </w:t>
      </w:r>
      <w:r>
        <w:rPr>
          <w:sz w:val="20"/>
        </w:rPr>
        <w:t>press</w:t>
      </w:r>
      <w:r>
        <w:rPr>
          <w:spacing w:val="-8"/>
          <w:sz w:val="20"/>
        </w:rPr>
        <w:t> </w:t>
      </w:r>
      <w:r>
        <w:rPr>
          <w:spacing w:val="-3"/>
          <w:sz w:val="20"/>
        </w:rPr>
        <w:t>conferences</w:t>
      </w:r>
      <w:r>
        <w:rPr>
          <w:spacing w:val="-8"/>
          <w:sz w:val="20"/>
        </w:rPr>
        <w:t> </w:t>
      </w:r>
      <w:r>
        <w:rPr>
          <w:sz w:val="20"/>
        </w:rPr>
        <w:t>and</w:t>
      </w:r>
      <w:r>
        <w:rPr>
          <w:spacing w:val="-8"/>
          <w:sz w:val="20"/>
        </w:rPr>
        <w:t> </w:t>
      </w:r>
      <w:r>
        <w:rPr>
          <w:sz w:val="20"/>
        </w:rPr>
        <w:t>public</w:t>
      </w:r>
      <w:r>
        <w:rPr>
          <w:spacing w:val="-8"/>
          <w:sz w:val="20"/>
        </w:rPr>
        <w:t> </w:t>
      </w:r>
      <w:r>
        <w:rPr>
          <w:sz w:val="20"/>
        </w:rPr>
        <w:t>events.</w:t>
      </w:r>
      <w:r>
        <w:rPr>
          <w:position w:val="7"/>
          <w:sz w:val="11"/>
        </w:rPr>
        <w:t>37</w:t>
      </w:r>
      <w:r>
        <w:rPr>
          <w:spacing w:val="17"/>
          <w:position w:val="7"/>
          <w:sz w:val="11"/>
        </w:rPr>
        <w:t> </w:t>
      </w:r>
      <w:r>
        <w:rPr>
          <w:sz w:val="20"/>
        </w:rPr>
        <w:t>Della</w:t>
      </w:r>
      <w:r>
        <w:rPr>
          <w:spacing w:val="-8"/>
          <w:sz w:val="20"/>
        </w:rPr>
        <w:t> </w:t>
      </w:r>
      <w:r>
        <w:rPr>
          <w:sz w:val="20"/>
        </w:rPr>
        <w:t>Goswell</w:t>
      </w:r>
      <w:r>
        <w:rPr>
          <w:spacing w:val="-8"/>
          <w:sz w:val="20"/>
        </w:rPr>
        <w:t> </w:t>
      </w:r>
      <w:r>
        <w:rPr>
          <w:sz w:val="20"/>
        </w:rPr>
        <w:t>observed</w:t>
      </w:r>
      <w:r>
        <w:rPr>
          <w:spacing w:val="-8"/>
          <w:sz w:val="20"/>
        </w:rPr>
        <w:t> </w:t>
      </w:r>
      <w:r>
        <w:rPr>
          <w:sz w:val="20"/>
        </w:rPr>
        <w:t>that:</w:t>
      </w:r>
    </w:p>
    <w:p>
      <w:pPr>
        <w:spacing w:line="208" w:lineRule="auto" w:before="123"/>
        <w:ind w:left="2157" w:right="1335" w:firstLine="0"/>
        <w:jc w:val="left"/>
        <w:rPr>
          <w:sz w:val="11"/>
        </w:rPr>
      </w:pPr>
      <w:r>
        <w:rPr>
          <w:sz w:val="19"/>
        </w:rPr>
        <w:t>Public awareness has increased with more exposure to Auslan interpreters through emergency announcements and COVID-19 briefings etc. Auslan class enrolments have risen sharply as a result.</w:t>
      </w:r>
      <w:r>
        <w:rPr>
          <w:position w:val="6"/>
          <w:sz w:val="11"/>
        </w:rPr>
        <w:t>38</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pacing w:val="-5"/>
          <w:sz w:val="20"/>
        </w:rPr>
        <w:t>However, </w:t>
      </w:r>
      <w:r>
        <w:rPr>
          <w:sz w:val="20"/>
        </w:rPr>
        <w:t>Ms Goswell further commented</w:t>
      </w:r>
      <w:r>
        <w:rPr>
          <w:spacing w:val="-17"/>
          <w:sz w:val="20"/>
        </w:rPr>
        <w:t> </w:t>
      </w:r>
      <w:r>
        <w:rPr>
          <w:sz w:val="20"/>
        </w:rPr>
        <w:t>that:</w:t>
      </w:r>
    </w:p>
    <w:p>
      <w:pPr>
        <w:spacing w:line="208" w:lineRule="auto" w:before="112"/>
        <w:ind w:left="2157" w:right="1395" w:firstLine="0"/>
        <w:jc w:val="both"/>
        <w:rPr>
          <w:sz w:val="11"/>
        </w:rPr>
      </w:pPr>
      <w:r>
        <w:rPr>
          <w:sz w:val="19"/>
        </w:rPr>
        <w:t>Most people in the community </w:t>
      </w:r>
      <w:r>
        <w:rPr>
          <w:spacing w:val="-3"/>
          <w:sz w:val="19"/>
        </w:rPr>
        <w:t>have </w:t>
      </w:r>
      <w:r>
        <w:rPr>
          <w:sz w:val="19"/>
        </w:rPr>
        <w:t>very little first-hand experience of deaf people. Historical</w:t>
      </w:r>
      <w:r>
        <w:rPr>
          <w:spacing w:val="-4"/>
          <w:sz w:val="19"/>
        </w:rPr>
        <w:t> </w:t>
      </w:r>
      <w:r>
        <w:rPr>
          <w:sz w:val="19"/>
        </w:rPr>
        <w:t>references</w:t>
      </w:r>
      <w:r>
        <w:rPr>
          <w:spacing w:val="-3"/>
          <w:sz w:val="19"/>
        </w:rPr>
        <w:t> </w:t>
      </w:r>
      <w:r>
        <w:rPr>
          <w:sz w:val="19"/>
        </w:rPr>
        <w:t>to</w:t>
      </w:r>
      <w:r>
        <w:rPr>
          <w:spacing w:val="-3"/>
          <w:sz w:val="19"/>
        </w:rPr>
        <w:t> </w:t>
      </w:r>
      <w:r>
        <w:rPr>
          <w:sz w:val="19"/>
        </w:rPr>
        <w:t>‘deaf</w:t>
      </w:r>
      <w:r>
        <w:rPr>
          <w:spacing w:val="-4"/>
          <w:sz w:val="19"/>
        </w:rPr>
        <w:t> </w:t>
      </w:r>
      <w:r>
        <w:rPr>
          <w:sz w:val="19"/>
        </w:rPr>
        <w:t>and</w:t>
      </w:r>
      <w:r>
        <w:rPr>
          <w:spacing w:val="-3"/>
          <w:sz w:val="19"/>
        </w:rPr>
        <w:t> </w:t>
      </w:r>
      <w:r>
        <w:rPr>
          <w:sz w:val="19"/>
        </w:rPr>
        <w:t>dumb’</w:t>
      </w:r>
      <w:r>
        <w:rPr>
          <w:spacing w:val="-3"/>
          <w:sz w:val="19"/>
        </w:rPr>
        <w:t> </w:t>
      </w:r>
      <w:r>
        <w:rPr>
          <w:sz w:val="19"/>
        </w:rPr>
        <w:t>has</w:t>
      </w:r>
      <w:r>
        <w:rPr>
          <w:spacing w:val="-3"/>
          <w:sz w:val="19"/>
        </w:rPr>
        <w:t> </w:t>
      </w:r>
      <w:r>
        <w:rPr>
          <w:sz w:val="19"/>
        </w:rPr>
        <w:t>meant</w:t>
      </w:r>
      <w:r>
        <w:rPr>
          <w:spacing w:val="-4"/>
          <w:sz w:val="19"/>
        </w:rPr>
        <w:t> </w:t>
      </w:r>
      <w:r>
        <w:rPr>
          <w:sz w:val="19"/>
        </w:rPr>
        <w:t>that</w:t>
      </w:r>
      <w:r>
        <w:rPr>
          <w:spacing w:val="-3"/>
          <w:sz w:val="19"/>
        </w:rPr>
        <w:t> </w:t>
      </w:r>
      <w:r>
        <w:rPr>
          <w:sz w:val="19"/>
        </w:rPr>
        <w:t>people</w:t>
      </w:r>
      <w:r>
        <w:rPr>
          <w:spacing w:val="-3"/>
          <w:sz w:val="19"/>
        </w:rPr>
        <w:t> </w:t>
      </w:r>
      <w:r>
        <w:rPr>
          <w:sz w:val="19"/>
        </w:rPr>
        <w:t>often</w:t>
      </w:r>
      <w:r>
        <w:rPr>
          <w:spacing w:val="-3"/>
          <w:sz w:val="19"/>
        </w:rPr>
        <w:t> </w:t>
      </w:r>
      <w:r>
        <w:rPr>
          <w:sz w:val="19"/>
        </w:rPr>
        <w:t>think</w:t>
      </w:r>
      <w:r>
        <w:rPr>
          <w:spacing w:val="-4"/>
          <w:sz w:val="19"/>
        </w:rPr>
        <w:t> </w:t>
      </w:r>
      <w:r>
        <w:rPr>
          <w:sz w:val="19"/>
        </w:rPr>
        <w:t>that</w:t>
      </w:r>
      <w:r>
        <w:rPr>
          <w:spacing w:val="-3"/>
          <w:sz w:val="19"/>
        </w:rPr>
        <w:t> </w:t>
      </w:r>
      <w:r>
        <w:rPr>
          <w:sz w:val="19"/>
        </w:rPr>
        <w:t>deaf people are unable to use their voice and are of </w:t>
      </w:r>
      <w:r>
        <w:rPr>
          <w:spacing w:val="-3"/>
          <w:sz w:val="19"/>
        </w:rPr>
        <w:t>low</w:t>
      </w:r>
      <w:r>
        <w:rPr>
          <w:spacing w:val="-28"/>
          <w:sz w:val="19"/>
        </w:rPr>
        <w:t> </w:t>
      </w:r>
      <w:r>
        <w:rPr>
          <w:sz w:val="19"/>
        </w:rPr>
        <w:t>intelligence.</w:t>
      </w:r>
      <w:r>
        <w:rPr>
          <w:position w:val="6"/>
          <w:sz w:val="11"/>
        </w:rPr>
        <w:t>39</w:t>
      </w:r>
    </w:p>
    <w:p>
      <w:pPr>
        <w:pStyle w:val="ListParagraph"/>
        <w:numPr>
          <w:ilvl w:val="1"/>
          <w:numId w:val="12"/>
        </w:numPr>
        <w:tabs>
          <w:tab w:pos="1761" w:val="left" w:leader="none"/>
          <w:tab w:pos="1762" w:val="left" w:leader="none"/>
        </w:tabs>
        <w:spacing w:line="206" w:lineRule="auto" w:before="124" w:after="0"/>
        <w:ind w:left="1761" w:right="1385" w:hanging="794"/>
        <w:jc w:val="left"/>
        <w:rPr>
          <w:sz w:val="20"/>
        </w:rPr>
      </w:pPr>
      <w:r>
        <w:rPr>
          <w:sz w:val="20"/>
        </w:rPr>
        <w:t>There</w:t>
      </w:r>
      <w:r>
        <w:rPr>
          <w:spacing w:val="-12"/>
          <w:sz w:val="20"/>
        </w:rPr>
        <w:t> </w:t>
      </w:r>
      <w:r>
        <w:rPr>
          <w:sz w:val="20"/>
        </w:rPr>
        <w:t>is</w:t>
      </w:r>
      <w:r>
        <w:rPr>
          <w:spacing w:val="-12"/>
          <w:sz w:val="20"/>
        </w:rPr>
        <w:t> </w:t>
      </w:r>
      <w:r>
        <w:rPr>
          <w:sz w:val="20"/>
        </w:rPr>
        <w:t>still</w:t>
      </w:r>
      <w:r>
        <w:rPr>
          <w:spacing w:val="-12"/>
          <w:sz w:val="20"/>
        </w:rPr>
        <w:t> </w:t>
      </w:r>
      <w:r>
        <w:rPr>
          <w:sz w:val="20"/>
        </w:rPr>
        <w:t>a</w:t>
      </w:r>
      <w:r>
        <w:rPr>
          <w:spacing w:val="-12"/>
          <w:sz w:val="20"/>
        </w:rPr>
        <w:t> </w:t>
      </w:r>
      <w:r>
        <w:rPr>
          <w:sz w:val="20"/>
        </w:rPr>
        <w:t>lack</w:t>
      </w:r>
      <w:r>
        <w:rPr>
          <w:spacing w:val="-12"/>
          <w:sz w:val="20"/>
        </w:rPr>
        <w:t> </w:t>
      </w:r>
      <w:r>
        <w:rPr>
          <w:sz w:val="20"/>
        </w:rPr>
        <w:t>of</w:t>
      </w:r>
      <w:r>
        <w:rPr>
          <w:spacing w:val="-12"/>
          <w:sz w:val="20"/>
        </w:rPr>
        <w:t> </w:t>
      </w:r>
      <w:r>
        <w:rPr>
          <w:sz w:val="20"/>
        </w:rPr>
        <w:t>in-depth</w:t>
      </w:r>
      <w:r>
        <w:rPr>
          <w:spacing w:val="-11"/>
          <w:sz w:val="20"/>
        </w:rPr>
        <w:t> </w:t>
      </w:r>
      <w:r>
        <w:rPr>
          <w:sz w:val="20"/>
        </w:rPr>
        <w:t>understanding</w:t>
      </w:r>
      <w:r>
        <w:rPr>
          <w:spacing w:val="-12"/>
          <w:sz w:val="20"/>
        </w:rPr>
        <w:t> </w:t>
      </w:r>
      <w:r>
        <w:rPr>
          <w:sz w:val="20"/>
        </w:rPr>
        <w:t>in</w:t>
      </w:r>
      <w:r>
        <w:rPr>
          <w:spacing w:val="-12"/>
          <w:sz w:val="20"/>
        </w:rPr>
        <w:t> </w:t>
      </w:r>
      <w:r>
        <w:rPr>
          <w:sz w:val="20"/>
        </w:rPr>
        <w:t>the</w:t>
      </w:r>
      <w:r>
        <w:rPr>
          <w:spacing w:val="-12"/>
          <w:sz w:val="20"/>
        </w:rPr>
        <w:t> </w:t>
      </w:r>
      <w:r>
        <w:rPr>
          <w:sz w:val="20"/>
        </w:rPr>
        <w:t>community</w:t>
      </w:r>
      <w:r>
        <w:rPr>
          <w:spacing w:val="-12"/>
          <w:sz w:val="20"/>
        </w:rPr>
        <w:t> </w:t>
      </w:r>
      <w:r>
        <w:rPr>
          <w:sz w:val="20"/>
        </w:rPr>
        <w:t>regarding</w:t>
      </w:r>
      <w:r>
        <w:rPr>
          <w:spacing w:val="-12"/>
          <w:sz w:val="20"/>
        </w:rPr>
        <w:t> </w:t>
      </w:r>
      <w:r>
        <w:rPr>
          <w:sz w:val="20"/>
        </w:rPr>
        <w:t>the</w:t>
      </w:r>
      <w:r>
        <w:rPr>
          <w:spacing w:val="-11"/>
          <w:sz w:val="20"/>
        </w:rPr>
        <w:t> </w:t>
      </w:r>
      <w:r>
        <w:rPr>
          <w:sz w:val="20"/>
        </w:rPr>
        <w:t>abilities of people </w:t>
      </w:r>
      <w:r>
        <w:rPr>
          <w:spacing w:val="-3"/>
          <w:sz w:val="20"/>
        </w:rPr>
        <w:t>from </w:t>
      </w:r>
      <w:r>
        <w:rPr>
          <w:sz w:val="20"/>
        </w:rPr>
        <w:t>the subject groups. Participants in our consultation with Deaf Victoria </w:t>
      </w:r>
      <w:r>
        <w:rPr>
          <w:spacing w:val="-3"/>
          <w:sz w:val="20"/>
        </w:rPr>
        <w:t>told </w:t>
      </w:r>
      <w:r>
        <w:rPr>
          <w:sz w:val="20"/>
        </w:rPr>
        <w:t>us that in the broader</w:t>
      </w:r>
      <w:r>
        <w:rPr>
          <w:spacing w:val="-24"/>
          <w:sz w:val="20"/>
        </w:rPr>
        <w:t> </w:t>
      </w:r>
      <w:r>
        <w:rPr>
          <w:sz w:val="20"/>
        </w:rPr>
        <w:t>community:</w:t>
      </w:r>
    </w:p>
    <w:p>
      <w:pPr>
        <w:spacing w:line="247" w:lineRule="exact" w:before="93"/>
        <w:ind w:left="2157" w:right="0" w:firstLine="0"/>
        <w:jc w:val="left"/>
        <w:rPr>
          <w:sz w:val="19"/>
        </w:rPr>
      </w:pPr>
      <w:r>
        <w:rPr>
          <w:sz w:val="19"/>
        </w:rPr>
        <w:t>There is an underlying attitude that deafness equates to ‘can’t’. However, the ability to</w:t>
      </w:r>
    </w:p>
    <w:p>
      <w:pPr>
        <w:spacing w:line="247" w:lineRule="exact" w:before="0"/>
        <w:ind w:left="2157" w:right="0" w:firstLine="0"/>
        <w:jc w:val="left"/>
        <w:rPr>
          <w:sz w:val="11"/>
        </w:rPr>
      </w:pPr>
      <w:r>
        <w:rPr>
          <w:sz w:val="19"/>
        </w:rPr>
        <w:t>hear is different from the ability to understand and comprehend.</w:t>
      </w:r>
      <w:r>
        <w:rPr>
          <w:position w:val="6"/>
          <w:sz w:val="11"/>
        </w:rPr>
        <w:t>40</w:t>
      </w:r>
    </w:p>
    <w:p>
      <w:pPr>
        <w:pStyle w:val="ListParagraph"/>
        <w:numPr>
          <w:ilvl w:val="1"/>
          <w:numId w:val="12"/>
        </w:numPr>
        <w:tabs>
          <w:tab w:pos="1761" w:val="left" w:leader="none"/>
          <w:tab w:pos="1762" w:val="left" w:leader="none"/>
        </w:tabs>
        <w:spacing w:line="206" w:lineRule="auto" w:before="117" w:after="0"/>
        <w:ind w:left="1761" w:right="1254" w:hanging="794"/>
        <w:jc w:val="left"/>
        <w:rPr>
          <w:sz w:val="11"/>
        </w:rPr>
      </w:pPr>
      <w:r>
        <w:rPr>
          <w:sz w:val="20"/>
        </w:rPr>
        <w:t>In 2008, the Victorian Office for Disability commissioned </w:t>
      </w:r>
      <w:r>
        <w:rPr>
          <w:spacing w:val="-3"/>
          <w:sz w:val="20"/>
        </w:rPr>
        <w:t>research into </w:t>
      </w:r>
      <w:r>
        <w:rPr>
          <w:sz w:val="20"/>
        </w:rPr>
        <w:t>community attitudes </w:t>
      </w:r>
      <w:r>
        <w:rPr>
          <w:spacing w:val="-4"/>
          <w:sz w:val="20"/>
        </w:rPr>
        <w:t>towards </w:t>
      </w:r>
      <w:r>
        <w:rPr>
          <w:sz w:val="20"/>
        </w:rPr>
        <w:t>disability. It found that attitudes </w:t>
      </w:r>
      <w:r>
        <w:rPr>
          <w:spacing w:val="-4"/>
          <w:sz w:val="20"/>
        </w:rPr>
        <w:t>towards </w:t>
      </w:r>
      <w:r>
        <w:rPr>
          <w:sz w:val="20"/>
        </w:rPr>
        <w:t>people with a disability </w:t>
      </w:r>
      <w:r>
        <w:rPr>
          <w:spacing w:val="-3"/>
          <w:sz w:val="20"/>
        </w:rPr>
        <w:t>are steadily improving, </w:t>
      </w:r>
      <w:r>
        <w:rPr>
          <w:sz w:val="20"/>
        </w:rPr>
        <w:t>with a significant decrease in the number of people who report feeling</w:t>
      </w:r>
      <w:r>
        <w:rPr>
          <w:spacing w:val="-9"/>
          <w:sz w:val="20"/>
        </w:rPr>
        <w:t> </w:t>
      </w:r>
      <w:r>
        <w:rPr>
          <w:sz w:val="20"/>
        </w:rPr>
        <w:t>sorry</w:t>
      </w:r>
      <w:r>
        <w:rPr>
          <w:spacing w:val="-8"/>
          <w:sz w:val="20"/>
        </w:rPr>
        <w:t> </w:t>
      </w:r>
      <w:r>
        <w:rPr>
          <w:sz w:val="20"/>
        </w:rPr>
        <w:t>for</w:t>
      </w:r>
      <w:r>
        <w:rPr>
          <w:spacing w:val="-9"/>
          <w:sz w:val="20"/>
        </w:rPr>
        <w:t> </w:t>
      </w:r>
      <w:r>
        <w:rPr>
          <w:sz w:val="20"/>
        </w:rPr>
        <w:t>people</w:t>
      </w:r>
      <w:r>
        <w:rPr>
          <w:spacing w:val="-8"/>
          <w:sz w:val="20"/>
        </w:rPr>
        <w:t> </w:t>
      </w:r>
      <w:r>
        <w:rPr>
          <w:sz w:val="20"/>
        </w:rPr>
        <w:t>with</w:t>
      </w:r>
      <w:r>
        <w:rPr>
          <w:spacing w:val="-9"/>
          <w:sz w:val="20"/>
        </w:rPr>
        <w:t> </w:t>
      </w:r>
      <w:r>
        <w:rPr>
          <w:sz w:val="20"/>
        </w:rPr>
        <w:t>a</w:t>
      </w:r>
      <w:r>
        <w:rPr>
          <w:spacing w:val="-8"/>
          <w:sz w:val="20"/>
        </w:rPr>
        <w:t> </w:t>
      </w:r>
      <w:r>
        <w:rPr>
          <w:sz w:val="20"/>
        </w:rPr>
        <w:t>disability,</w:t>
      </w:r>
      <w:r>
        <w:rPr>
          <w:spacing w:val="-9"/>
          <w:sz w:val="20"/>
        </w:rPr>
        <w:t> </w:t>
      </w:r>
      <w:r>
        <w:rPr>
          <w:spacing w:val="-3"/>
          <w:sz w:val="20"/>
        </w:rPr>
        <w:t>from</w:t>
      </w:r>
      <w:r>
        <w:rPr>
          <w:spacing w:val="-8"/>
          <w:sz w:val="20"/>
        </w:rPr>
        <w:t> </w:t>
      </w:r>
      <w:r>
        <w:rPr>
          <w:sz w:val="20"/>
        </w:rPr>
        <w:t>71</w:t>
      </w:r>
      <w:r>
        <w:rPr>
          <w:spacing w:val="-8"/>
          <w:sz w:val="20"/>
        </w:rPr>
        <w:t> </w:t>
      </w:r>
      <w:r>
        <w:rPr>
          <w:sz w:val="20"/>
        </w:rPr>
        <w:t>per</w:t>
      </w:r>
      <w:r>
        <w:rPr>
          <w:spacing w:val="-9"/>
          <w:sz w:val="20"/>
        </w:rPr>
        <w:t> </w:t>
      </w:r>
      <w:r>
        <w:rPr>
          <w:sz w:val="20"/>
        </w:rPr>
        <w:t>cent</w:t>
      </w:r>
      <w:r>
        <w:rPr>
          <w:spacing w:val="-8"/>
          <w:sz w:val="20"/>
        </w:rPr>
        <w:t> </w:t>
      </w:r>
      <w:r>
        <w:rPr>
          <w:sz w:val="20"/>
        </w:rPr>
        <w:t>in</w:t>
      </w:r>
      <w:r>
        <w:rPr>
          <w:spacing w:val="-9"/>
          <w:sz w:val="20"/>
        </w:rPr>
        <w:t> </w:t>
      </w:r>
      <w:r>
        <w:rPr>
          <w:sz w:val="20"/>
        </w:rPr>
        <w:t>2001</w:t>
      </w:r>
      <w:r>
        <w:rPr>
          <w:spacing w:val="-8"/>
          <w:sz w:val="20"/>
        </w:rPr>
        <w:t> </w:t>
      </w:r>
      <w:r>
        <w:rPr>
          <w:sz w:val="20"/>
        </w:rPr>
        <w:t>to</w:t>
      </w:r>
      <w:r>
        <w:rPr>
          <w:spacing w:val="-9"/>
          <w:sz w:val="20"/>
        </w:rPr>
        <w:t> </w:t>
      </w:r>
      <w:r>
        <w:rPr>
          <w:sz w:val="20"/>
        </w:rPr>
        <w:t>57</w:t>
      </w:r>
      <w:r>
        <w:rPr>
          <w:spacing w:val="-8"/>
          <w:sz w:val="20"/>
        </w:rPr>
        <w:t> </w:t>
      </w:r>
      <w:r>
        <w:rPr>
          <w:sz w:val="20"/>
        </w:rPr>
        <w:t>per</w:t>
      </w:r>
      <w:r>
        <w:rPr>
          <w:spacing w:val="-8"/>
          <w:sz w:val="20"/>
        </w:rPr>
        <w:t> </w:t>
      </w:r>
      <w:r>
        <w:rPr>
          <w:sz w:val="20"/>
        </w:rPr>
        <w:t>cent</w:t>
      </w:r>
      <w:r>
        <w:rPr>
          <w:spacing w:val="-9"/>
          <w:sz w:val="20"/>
        </w:rPr>
        <w:t> </w:t>
      </w:r>
      <w:r>
        <w:rPr>
          <w:sz w:val="20"/>
        </w:rPr>
        <w:t>in</w:t>
      </w:r>
      <w:r>
        <w:rPr>
          <w:spacing w:val="-8"/>
          <w:sz w:val="20"/>
        </w:rPr>
        <w:t> </w:t>
      </w:r>
      <w:r>
        <w:rPr>
          <w:sz w:val="20"/>
        </w:rPr>
        <w:t>2008. Respondents</w:t>
      </w:r>
      <w:r>
        <w:rPr>
          <w:spacing w:val="-15"/>
          <w:sz w:val="20"/>
        </w:rPr>
        <w:t> </w:t>
      </w:r>
      <w:r>
        <w:rPr>
          <w:sz w:val="20"/>
        </w:rPr>
        <w:t>believed</w:t>
      </w:r>
      <w:r>
        <w:rPr>
          <w:spacing w:val="-14"/>
          <w:sz w:val="20"/>
        </w:rPr>
        <w:t> </w:t>
      </w:r>
      <w:r>
        <w:rPr>
          <w:sz w:val="20"/>
        </w:rPr>
        <w:t>that</w:t>
      </w:r>
      <w:r>
        <w:rPr>
          <w:spacing w:val="-14"/>
          <w:sz w:val="20"/>
        </w:rPr>
        <w:t> </w:t>
      </w:r>
      <w:r>
        <w:rPr>
          <w:sz w:val="20"/>
        </w:rPr>
        <w:t>community</w:t>
      </w:r>
      <w:r>
        <w:rPr>
          <w:spacing w:val="-15"/>
          <w:sz w:val="20"/>
        </w:rPr>
        <w:t> </w:t>
      </w:r>
      <w:r>
        <w:rPr>
          <w:sz w:val="20"/>
        </w:rPr>
        <w:t>attitudes</w:t>
      </w:r>
      <w:r>
        <w:rPr>
          <w:spacing w:val="-14"/>
          <w:sz w:val="20"/>
        </w:rPr>
        <w:t> </w:t>
      </w:r>
      <w:r>
        <w:rPr>
          <w:sz w:val="20"/>
        </w:rPr>
        <w:t>had</w:t>
      </w:r>
      <w:r>
        <w:rPr>
          <w:spacing w:val="-14"/>
          <w:sz w:val="20"/>
        </w:rPr>
        <w:t> </w:t>
      </w:r>
      <w:r>
        <w:rPr>
          <w:spacing w:val="-3"/>
          <w:sz w:val="20"/>
        </w:rPr>
        <w:t>improved</w:t>
      </w:r>
      <w:r>
        <w:rPr>
          <w:spacing w:val="-14"/>
          <w:sz w:val="20"/>
        </w:rPr>
        <w:t> </w:t>
      </w:r>
      <w:r>
        <w:rPr>
          <w:sz w:val="20"/>
        </w:rPr>
        <w:t>but</w:t>
      </w:r>
      <w:r>
        <w:rPr>
          <w:spacing w:val="-15"/>
          <w:sz w:val="20"/>
        </w:rPr>
        <w:t> </w:t>
      </w:r>
      <w:r>
        <w:rPr>
          <w:sz w:val="20"/>
        </w:rPr>
        <w:t>acknowledged</w:t>
      </w:r>
      <w:r>
        <w:rPr>
          <w:spacing w:val="-14"/>
          <w:sz w:val="20"/>
        </w:rPr>
        <w:t> </w:t>
      </w:r>
      <w:r>
        <w:rPr>
          <w:sz w:val="20"/>
        </w:rPr>
        <w:t>that there was still a long </w:t>
      </w:r>
      <w:r>
        <w:rPr>
          <w:spacing w:val="-4"/>
          <w:sz w:val="20"/>
        </w:rPr>
        <w:t>way </w:t>
      </w:r>
      <w:r>
        <w:rPr>
          <w:sz w:val="20"/>
        </w:rPr>
        <w:t>to</w:t>
      </w:r>
      <w:r>
        <w:rPr>
          <w:spacing w:val="-26"/>
          <w:sz w:val="20"/>
        </w:rPr>
        <w:t> </w:t>
      </w:r>
      <w:r>
        <w:rPr>
          <w:sz w:val="20"/>
        </w:rPr>
        <w:t>go.</w:t>
      </w:r>
      <w:r>
        <w:rPr>
          <w:position w:val="7"/>
          <w:sz w:val="11"/>
        </w:rPr>
        <w:t>41</w:t>
      </w:r>
    </w:p>
    <w:p>
      <w:pPr>
        <w:pStyle w:val="ListParagraph"/>
        <w:numPr>
          <w:ilvl w:val="1"/>
          <w:numId w:val="12"/>
        </w:numPr>
        <w:tabs>
          <w:tab w:pos="1761" w:val="left" w:leader="none"/>
          <w:tab w:pos="1762" w:val="left" w:leader="none"/>
        </w:tabs>
        <w:spacing w:line="206" w:lineRule="auto" w:before="128" w:after="0"/>
        <w:ind w:left="1761" w:right="1478" w:hanging="794"/>
        <w:jc w:val="left"/>
        <w:rPr>
          <w:sz w:val="11"/>
        </w:rPr>
      </w:pPr>
      <w:r>
        <w:rPr>
          <w:spacing w:val="-10"/>
          <w:sz w:val="20"/>
        </w:rPr>
        <w:t>To </w:t>
      </w:r>
      <w:r>
        <w:rPr>
          <w:sz w:val="20"/>
        </w:rPr>
        <w:t>address</w:t>
      </w:r>
      <w:r>
        <w:rPr>
          <w:spacing w:val="-10"/>
          <w:sz w:val="20"/>
        </w:rPr>
        <w:t> </w:t>
      </w:r>
      <w:r>
        <w:rPr>
          <w:sz w:val="20"/>
        </w:rPr>
        <w:t>a</w:t>
      </w:r>
      <w:r>
        <w:rPr>
          <w:spacing w:val="-10"/>
          <w:sz w:val="20"/>
        </w:rPr>
        <w:t> </w:t>
      </w:r>
      <w:r>
        <w:rPr>
          <w:sz w:val="20"/>
        </w:rPr>
        <w:t>lack</w:t>
      </w:r>
      <w:r>
        <w:rPr>
          <w:spacing w:val="-10"/>
          <w:sz w:val="20"/>
        </w:rPr>
        <w:t> </w:t>
      </w:r>
      <w:r>
        <w:rPr>
          <w:sz w:val="20"/>
        </w:rPr>
        <w:t>of</w:t>
      </w:r>
      <w:r>
        <w:rPr>
          <w:spacing w:val="-10"/>
          <w:sz w:val="20"/>
        </w:rPr>
        <w:t> </w:t>
      </w:r>
      <w:r>
        <w:rPr>
          <w:sz w:val="20"/>
        </w:rPr>
        <w:t>knowledge</w:t>
      </w:r>
      <w:r>
        <w:rPr>
          <w:spacing w:val="-10"/>
          <w:sz w:val="20"/>
        </w:rPr>
        <w:t> </w:t>
      </w:r>
      <w:r>
        <w:rPr>
          <w:sz w:val="20"/>
        </w:rPr>
        <w:t>in</w:t>
      </w:r>
      <w:r>
        <w:rPr>
          <w:spacing w:val="-10"/>
          <w:sz w:val="20"/>
        </w:rPr>
        <w:t> </w:t>
      </w:r>
      <w:r>
        <w:rPr>
          <w:sz w:val="20"/>
        </w:rPr>
        <w:t>the</w:t>
      </w:r>
      <w:r>
        <w:rPr>
          <w:spacing w:val="-10"/>
          <w:sz w:val="20"/>
        </w:rPr>
        <w:t> </w:t>
      </w:r>
      <w:r>
        <w:rPr>
          <w:sz w:val="20"/>
        </w:rPr>
        <w:t>community</w:t>
      </w:r>
      <w:r>
        <w:rPr>
          <w:spacing w:val="-10"/>
          <w:sz w:val="20"/>
        </w:rPr>
        <w:t> </w:t>
      </w:r>
      <w:r>
        <w:rPr>
          <w:sz w:val="20"/>
        </w:rPr>
        <w:t>about</w:t>
      </w:r>
      <w:r>
        <w:rPr>
          <w:spacing w:val="-9"/>
          <w:sz w:val="20"/>
        </w:rPr>
        <w:t> </w:t>
      </w:r>
      <w:r>
        <w:rPr>
          <w:sz w:val="20"/>
        </w:rPr>
        <w:t>the</w:t>
      </w:r>
      <w:r>
        <w:rPr>
          <w:spacing w:val="-10"/>
          <w:sz w:val="20"/>
        </w:rPr>
        <w:t> </w:t>
      </w:r>
      <w:r>
        <w:rPr>
          <w:sz w:val="20"/>
        </w:rPr>
        <w:t>abilities</w:t>
      </w:r>
      <w:r>
        <w:rPr>
          <w:spacing w:val="-10"/>
          <w:sz w:val="20"/>
        </w:rPr>
        <w:t> </w:t>
      </w:r>
      <w:r>
        <w:rPr>
          <w:sz w:val="20"/>
        </w:rPr>
        <w:t>of</w:t>
      </w:r>
      <w:r>
        <w:rPr>
          <w:spacing w:val="-10"/>
          <w:sz w:val="20"/>
        </w:rPr>
        <w:t> </w:t>
      </w:r>
      <w:r>
        <w:rPr>
          <w:sz w:val="20"/>
        </w:rPr>
        <w:t>people</w:t>
      </w:r>
      <w:r>
        <w:rPr>
          <w:spacing w:val="-10"/>
          <w:sz w:val="20"/>
        </w:rPr>
        <w:t> </w:t>
      </w:r>
      <w:r>
        <w:rPr>
          <w:sz w:val="20"/>
        </w:rPr>
        <w:t>in</w:t>
      </w:r>
      <w:r>
        <w:rPr>
          <w:spacing w:val="-10"/>
          <w:sz w:val="20"/>
        </w:rPr>
        <w:t> </w:t>
      </w:r>
      <w:r>
        <w:rPr>
          <w:sz w:val="20"/>
        </w:rPr>
        <w:t>the subject</w:t>
      </w:r>
      <w:r>
        <w:rPr>
          <w:spacing w:val="-11"/>
          <w:sz w:val="20"/>
        </w:rPr>
        <w:t> </w:t>
      </w:r>
      <w:r>
        <w:rPr>
          <w:sz w:val="20"/>
        </w:rPr>
        <w:t>groups,</w:t>
      </w:r>
      <w:r>
        <w:rPr>
          <w:spacing w:val="-10"/>
          <w:sz w:val="20"/>
        </w:rPr>
        <w:t> </w:t>
      </w:r>
      <w:r>
        <w:rPr>
          <w:sz w:val="20"/>
        </w:rPr>
        <w:t>there</w:t>
      </w:r>
      <w:r>
        <w:rPr>
          <w:spacing w:val="-11"/>
          <w:sz w:val="20"/>
        </w:rPr>
        <w:t> </w:t>
      </w:r>
      <w:r>
        <w:rPr>
          <w:sz w:val="20"/>
        </w:rPr>
        <w:t>should</w:t>
      </w:r>
      <w:r>
        <w:rPr>
          <w:spacing w:val="-10"/>
          <w:sz w:val="20"/>
        </w:rPr>
        <w:t> </w:t>
      </w:r>
      <w:r>
        <w:rPr>
          <w:sz w:val="20"/>
        </w:rPr>
        <w:t>be</w:t>
      </w:r>
      <w:r>
        <w:rPr>
          <w:spacing w:val="-10"/>
          <w:sz w:val="20"/>
        </w:rPr>
        <w:t> </w:t>
      </w:r>
      <w:r>
        <w:rPr>
          <w:sz w:val="20"/>
        </w:rPr>
        <w:t>a</w:t>
      </w:r>
      <w:r>
        <w:rPr>
          <w:spacing w:val="-11"/>
          <w:sz w:val="20"/>
        </w:rPr>
        <w:t> </w:t>
      </w:r>
      <w:r>
        <w:rPr>
          <w:sz w:val="20"/>
        </w:rPr>
        <w:t>public</w:t>
      </w:r>
      <w:r>
        <w:rPr>
          <w:spacing w:val="-10"/>
          <w:sz w:val="20"/>
        </w:rPr>
        <w:t> </w:t>
      </w:r>
      <w:r>
        <w:rPr>
          <w:sz w:val="20"/>
        </w:rPr>
        <w:t>education</w:t>
      </w:r>
      <w:r>
        <w:rPr>
          <w:spacing w:val="-10"/>
          <w:sz w:val="20"/>
        </w:rPr>
        <w:t> </w:t>
      </w:r>
      <w:r>
        <w:rPr>
          <w:sz w:val="20"/>
        </w:rPr>
        <w:t>campaign</w:t>
      </w:r>
      <w:r>
        <w:rPr>
          <w:spacing w:val="-11"/>
          <w:sz w:val="20"/>
        </w:rPr>
        <w:t> </w:t>
      </w:r>
      <w:r>
        <w:rPr>
          <w:sz w:val="20"/>
        </w:rPr>
        <w:t>about</w:t>
      </w:r>
      <w:r>
        <w:rPr>
          <w:spacing w:val="-10"/>
          <w:sz w:val="20"/>
        </w:rPr>
        <w:t> </w:t>
      </w:r>
      <w:r>
        <w:rPr>
          <w:sz w:val="20"/>
        </w:rPr>
        <w:t>new</w:t>
      </w:r>
      <w:r>
        <w:rPr>
          <w:spacing w:val="-10"/>
          <w:sz w:val="20"/>
        </w:rPr>
        <w:t> </w:t>
      </w:r>
      <w:r>
        <w:rPr>
          <w:sz w:val="20"/>
        </w:rPr>
        <w:t>laws.</w:t>
      </w:r>
      <w:r>
        <w:rPr>
          <w:position w:val="7"/>
          <w:sz w:val="11"/>
        </w:rPr>
        <w:t>42</w:t>
      </w:r>
      <w:r>
        <w:rPr>
          <w:spacing w:val="14"/>
          <w:position w:val="7"/>
          <w:sz w:val="11"/>
        </w:rPr>
        <w:t> </w:t>
      </w:r>
      <w:r>
        <w:rPr>
          <w:sz w:val="20"/>
        </w:rPr>
        <w:t>This </w:t>
      </w:r>
      <w:r>
        <w:rPr>
          <w:spacing w:val="-3"/>
          <w:sz w:val="20"/>
        </w:rPr>
        <w:t>would</w:t>
      </w:r>
      <w:r>
        <w:rPr>
          <w:spacing w:val="-8"/>
          <w:sz w:val="20"/>
        </w:rPr>
        <w:t> </w:t>
      </w:r>
      <w:r>
        <w:rPr>
          <w:sz w:val="20"/>
        </w:rPr>
        <w:t>be</w:t>
      </w:r>
      <w:r>
        <w:rPr>
          <w:spacing w:val="-8"/>
          <w:sz w:val="20"/>
        </w:rPr>
        <w:t> </w:t>
      </w:r>
      <w:r>
        <w:rPr>
          <w:sz w:val="20"/>
        </w:rPr>
        <w:t>in</w:t>
      </w:r>
      <w:r>
        <w:rPr>
          <w:spacing w:val="-8"/>
          <w:sz w:val="20"/>
        </w:rPr>
        <w:t> </w:t>
      </w:r>
      <w:r>
        <w:rPr>
          <w:sz w:val="20"/>
        </w:rPr>
        <w:t>line</w:t>
      </w:r>
      <w:r>
        <w:rPr>
          <w:spacing w:val="-8"/>
          <w:sz w:val="20"/>
        </w:rPr>
        <w:t> </w:t>
      </w:r>
      <w:r>
        <w:rPr>
          <w:sz w:val="20"/>
        </w:rPr>
        <w:t>with</w:t>
      </w:r>
      <w:r>
        <w:rPr>
          <w:spacing w:val="-8"/>
          <w:sz w:val="20"/>
        </w:rPr>
        <w:t> </w:t>
      </w:r>
      <w:r>
        <w:rPr>
          <w:spacing w:val="-3"/>
          <w:sz w:val="20"/>
        </w:rPr>
        <w:t>Australia’s</w:t>
      </w:r>
      <w:r>
        <w:rPr>
          <w:spacing w:val="-7"/>
          <w:sz w:val="20"/>
        </w:rPr>
        <w:t> </w:t>
      </w:r>
      <w:r>
        <w:rPr>
          <w:sz w:val="20"/>
        </w:rPr>
        <w:t>obligations</w:t>
      </w:r>
      <w:r>
        <w:rPr>
          <w:spacing w:val="-8"/>
          <w:sz w:val="20"/>
        </w:rPr>
        <w:t> </w:t>
      </w:r>
      <w:r>
        <w:rPr>
          <w:sz w:val="20"/>
        </w:rPr>
        <w:t>under</w:t>
      </w:r>
      <w:r>
        <w:rPr>
          <w:spacing w:val="-8"/>
          <w:sz w:val="20"/>
        </w:rPr>
        <w:t> </w:t>
      </w:r>
      <w:r>
        <w:rPr>
          <w:sz w:val="20"/>
        </w:rPr>
        <w:t>the</w:t>
      </w:r>
      <w:r>
        <w:rPr>
          <w:spacing w:val="-8"/>
          <w:sz w:val="20"/>
        </w:rPr>
        <w:t> </w:t>
      </w:r>
      <w:r>
        <w:rPr>
          <w:spacing w:val="-3"/>
          <w:sz w:val="20"/>
        </w:rPr>
        <w:t>CRPD,</w:t>
      </w:r>
      <w:r>
        <w:rPr>
          <w:spacing w:val="-8"/>
          <w:sz w:val="20"/>
        </w:rPr>
        <w:t> </w:t>
      </w:r>
      <w:r>
        <w:rPr>
          <w:sz w:val="20"/>
        </w:rPr>
        <w:t>to</w:t>
      </w:r>
      <w:r>
        <w:rPr>
          <w:spacing w:val="-8"/>
          <w:sz w:val="20"/>
        </w:rPr>
        <w:t> </w:t>
      </w:r>
      <w:r>
        <w:rPr>
          <w:spacing w:val="-3"/>
          <w:sz w:val="20"/>
        </w:rPr>
        <w:t>‘combat</w:t>
      </w:r>
      <w:r>
        <w:rPr>
          <w:spacing w:val="-7"/>
          <w:sz w:val="20"/>
        </w:rPr>
        <w:t> </w:t>
      </w:r>
      <w:r>
        <w:rPr>
          <w:sz w:val="20"/>
        </w:rPr>
        <w:t>stereotypes, </w:t>
      </w:r>
      <w:r>
        <w:rPr>
          <w:spacing w:val="-3"/>
          <w:sz w:val="20"/>
        </w:rPr>
        <w:t>prejudices’ </w:t>
      </w:r>
      <w:r>
        <w:rPr>
          <w:sz w:val="20"/>
        </w:rPr>
        <w:t>and </w:t>
      </w:r>
      <w:r>
        <w:rPr>
          <w:spacing w:val="-3"/>
          <w:sz w:val="20"/>
        </w:rPr>
        <w:t>‘promote awareness </w:t>
      </w:r>
      <w:r>
        <w:rPr>
          <w:sz w:val="20"/>
        </w:rPr>
        <w:t>of the capabilities and contributions of persons with</w:t>
      </w:r>
      <w:r>
        <w:rPr>
          <w:spacing w:val="-5"/>
          <w:sz w:val="20"/>
        </w:rPr>
        <w:t> </w:t>
      </w:r>
      <w:r>
        <w:rPr>
          <w:sz w:val="20"/>
        </w:rPr>
        <w:t>disabilities’.</w:t>
      </w:r>
      <w:r>
        <w:rPr>
          <w:position w:val="7"/>
          <w:sz w:val="11"/>
        </w:rPr>
        <w:t>43</w:t>
      </w:r>
    </w:p>
    <w:p>
      <w:pPr>
        <w:pStyle w:val="ListParagraph"/>
        <w:numPr>
          <w:ilvl w:val="1"/>
          <w:numId w:val="12"/>
        </w:numPr>
        <w:tabs>
          <w:tab w:pos="1761" w:val="left" w:leader="none"/>
          <w:tab w:pos="1762" w:val="left" w:leader="none"/>
        </w:tabs>
        <w:spacing w:line="206" w:lineRule="auto" w:before="126" w:after="0"/>
        <w:ind w:left="1761" w:right="1217" w:hanging="794"/>
        <w:jc w:val="left"/>
        <w:rPr>
          <w:sz w:val="20"/>
        </w:rPr>
      </w:pPr>
      <w:r>
        <w:rPr>
          <w:sz w:val="20"/>
        </w:rPr>
        <w:t>New </w:t>
      </w:r>
      <w:r>
        <w:rPr>
          <w:spacing w:val="-3"/>
          <w:sz w:val="20"/>
        </w:rPr>
        <w:t>laws </w:t>
      </w:r>
      <w:r>
        <w:rPr>
          <w:sz w:val="20"/>
        </w:rPr>
        <w:t>should be publicised </w:t>
      </w:r>
      <w:r>
        <w:rPr>
          <w:spacing w:val="-3"/>
          <w:sz w:val="20"/>
        </w:rPr>
        <w:t>by government </w:t>
      </w:r>
      <w:r>
        <w:rPr>
          <w:sz w:val="20"/>
        </w:rPr>
        <w:t>and advocacy organisations while promoting</w:t>
      </w:r>
      <w:r>
        <w:rPr>
          <w:spacing w:val="-13"/>
          <w:sz w:val="20"/>
        </w:rPr>
        <w:t> </w:t>
      </w:r>
      <w:r>
        <w:rPr>
          <w:sz w:val="20"/>
        </w:rPr>
        <w:t>the</w:t>
      </w:r>
      <w:r>
        <w:rPr>
          <w:spacing w:val="-12"/>
          <w:sz w:val="20"/>
        </w:rPr>
        <w:t> </w:t>
      </w:r>
      <w:r>
        <w:rPr>
          <w:sz w:val="20"/>
        </w:rPr>
        <w:t>rights</w:t>
      </w:r>
      <w:r>
        <w:rPr>
          <w:spacing w:val="-13"/>
          <w:sz w:val="20"/>
        </w:rPr>
        <w:t> </w:t>
      </w:r>
      <w:r>
        <w:rPr>
          <w:sz w:val="20"/>
        </w:rPr>
        <w:t>of</w:t>
      </w:r>
      <w:r>
        <w:rPr>
          <w:spacing w:val="-12"/>
          <w:sz w:val="20"/>
        </w:rPr>
        <w:t> </w:t>
      </w:r>
      <w:r>
        <w:rPr>
          <w:sz w:val="20"/>
        </w:rPr>
        <w:t>people</w:t>
      </w:r>
      <w:r>
        <w:rPr>
          <w:spacing w:val="-12"/>
          <w:sz w:val="20"/>
        </w:rPr>
        <w:t> </w:t>
      </w:r>
      <w:r>
        <w:rPr>
          <w:sz w:val="20"/>
        </w:rPr>
        <w:t>with</w:t>
      </w:r>
      <w:r>
        <w:rPr>
          <w:spacing w:val="-13"/>
          <w:sz w:val="20"/>
        </w:rPr>
        <w:t> </w:t>
      </w:r>
      <w:r>
        <w:rPr>
          <w:sz w:val="20"/>
        </w:rPr>
        <w:t>disabilities</w:t>
      </w:r>
      <w:r>
        <w:rPr>
          <w:spacing w:val="-12"/>
          <w:sz w:val="20"/>
        </w:rPr>
        <w:t> </w:t>
      </w:r>
      <w:r>
        <w:rPr>
          <w:sz w:val="20"/>
        </w:rPr>
        <w:t>to</w:t>
      </w:r>
      <w:r>
        <w:rPr>
          <w:spacing w:val="-12"/>
          <w:sz w:val="20"/>
        </w:rPr>
        <w:t> </w:t>
      </w:r>
      <w:r>
        <w:rPr>
          <w:sz w:val="20"/>
        </w:rPr>
        <w:t>participate</w:t>
      </w:r>
      <w:r>
        <w:rPr>
          <w:spacing w:val="-13"/>
          <w:sz w:val="20"/>
        </w:rPr>
        <w:t> </w:t>
      </w:r>
      <w:r>
        <w:rPr>
          <w:sz w:val="20"/>
        </w:rPr>
        <w:t>in</w:t>
      </w:r>
      <w:r>
        <w:rPr>
          <w:spacing w:val="-12"/>
          <w:sz w:val="20"/>
        </w:rPr>
        <w:t> </w:t>
      </w:r>
      <w:r>
        <w:rPr>
          <w:sz w:val="20"/>
        </w:rPr>
        <w:t>community</w:t>
      </w:r>
      <w:r>
        <w:rPr>
          <w:spacing w:val="-12"/>
          <w:sz w:val="20"/>
        </w:rPr>
        <w:t> </w:t>
      </w:r>
      <w:r>
        <w:rPr>
          <w:sz w:val="20"/>
        </w:rPr>
        <w:t>life</w:t>
      </w:r>
      <w:r>
        <w:rPr>
          <w:spacing w:val="-13"/>
          <w:sz w:val="20"/>
        </w:rPr>
        <w:t> </w:t>
      </w:r>
      <w:r>
        <w:rPr>
          <w:sz w:val="20"/>
        </w:rPr>
        <w:t>on</w:t>
      </w:r>
      <w:r>
        <w:rPr>
          <w:spacing w:val="-12"/>
          <w:sz w:val="20"/>
        </w:rPr>
        <w:t> </w:t>
      </w:r>
      <w:r>
        <w:rPr>
          <w:sz w:val="20"/>
        </w:rPr>
        <w:t>equal terms. </w:t>
      </w:r>
      <w:r>
        <w:rPr>
          <w:spacing w:val="-3"/>
          <w:sz w:val="20"/>
        </w:rPr>
        <w:t>Advocacy </w:t>
      </w:r>
      <w:r>
        <w:rPr>
          <w:sz w:val="20"/>
        </w:rPr>
        <w:t>organisations should publicise new </w:t>
      </w:r>
      <w:r>
        <w:rPr>
          <w:spacing w:val="-3"/>
          <w:sz w:val="20"/>
        </w:rPr>
        <w:t>laws </w:t>
      </w:r>
      <w:r>
        <w:rPr>
          <w:sz w:val="20"/>
        </w:rPr>
        <w:t>in their </w:t>
      </w:r>
      <w:r>
        <w:rPr>
          <w:spacing w:val="-3"/>
          <w:sz w:val="20"/>
        </w:rPr>
        <w:t>newsletters </w:t>
      </w:r>
      <w:r>
        <w:rPr>
          <w:sz w:val="20"/>
        </w:rPr>
        <w:t>and on their social media pages. Juries Victoria and the courts should </w:t>
      </w:r>
      <w:r>
        <w:rPr>
          <w:spacing w:val="-3"/>
          <w:sz w:val="20"/>
        </w:rPr>
        <w:t>provide </w:t>
      </w:r>
      <w:r>
        <w:rPr>
          <w:sz w:val="20"/>
        </w:rPr>
        <w:t>updates about new </w:t>
      </w:r>
      <w:r>
        <w:rPr>
          <w:spacing w:val="-3"/>
          <w:sz w:val="20"/>
        </w:rPr>
        <w:t>laws </w:t>
      </w:r>
      <w:r>
        <w:rPr>
          <w:sz w:val="20"/>
        </w:rPr>
        <w:t>on their</w:t>
      </w:r>
      <w:r>
        <w:rPr>
          <w:spacing w:val="-14"/>
          <w:sz w:val="20"/>
        </w:rPr>
        <w:t> </w:t>
      </w:r>
      <w:r>
        <w:rPr>
          <w:sz w:val="20"/>
        </w:rPr>
        <w:t>websites.</w:t>
      </w:r>
    </w:p>
    <w:p>
      <w:pPr>
        <w:pStyle w:val="ListParagraph"/>
        <w:numPr>
          <w:ilvl w:val="1"/>
          <w:numId w:val="12"/>
        </w:numPr>
        <w:tabs>
          <w:tab w:pos="1762" w:val="left" w:leader="none"/>
        </w:tabs>
        <w:spacing w:line="206" w:lineRule="auto" w:before="126" w:after="0"/>
        <w:ind w:left="1761" w:right="1431" w:hanging="794"/>
        <w:jc w:val="both"/>
        <w:rPr>
          <w:sz w:val="11"/>
        </w:rPr>
      </w:pPr>
      <w:r>
        <w:rPr>
          <w:spacing w:val="-6"/>
          <w:sz w:val="20"/>
        </w:rPr>
        <w:t>We</w:t>
      </w:r>
      <w:r>
        <w:rPr>
          <w:spacing w:val="-11"/>
          <w:sz w:val="20"/>
        </w:rPr>
        <w:t> </w:t>
      </w:r>
      <w:r>
        <w:rPr>
          <w:sz w:val="20"/>
        </w:rPr>
        <w:t>note</w:t>
      </w:r>
      <w:r>
        <w:rPr>
          <w:spacing w:val="-11"/>
          <w:sz w:val="20"/>
        </w:rPr>
        <w:t> </w:t>
      </w:r>
      <w:r>
        <w:rPr>
          <w:sz w:val="20"/>
        </w:rPr>
        <w:t>that</w:t>
      </w:r>
      <w:r>
        <w:rPr>
          <w:spacing w:val="-11"/>
          <w:sz w:val="20"/>
        </w:rPr>
        <w:t> </w:t>
      </w:r>
      <w:r>
        <w:rPr>
          <w:sz w:val="20"/>
        </w:rPr>
        <w:t>care</w:t>
      </w:r>
      <w:r>
        <w:rPr>
          <w:spacing w:val="-10"/>
          <w:sz w:val="20"/>
        </w:rPr>
        <w:t> </w:t>
      </w:r>
      <w:r>
        <w:rPr>
          <w:sz w:val="20"/>
        </w:rPr>
        <w:t>must</w:t>
      </w:r>
      <w:r>
        <w:rPr>
          <w:spacing w:val="-11"/>
          <w:sz w:val="20"/>
        </w:rPr>
        <w:t> </w:t>
      </w:r>
      <w:r>
        <w:rPr>
          <w:sz w:val="20"/>
        </w:rPr>
        <w:t>be</w:t>
      </w:r>
      <w:r>
        <w:rPr>
          <w:spacing w:val="-11"/>
          <w:sz w:val="20"/>
        </w:rPr>
        <w:t> </w:t>
      </w:r>
      <w:r>
        <w:rPr>
          <w:sz w:val="20"/>
        </w:rPr>
        <w:t>taken</w:t>
      </w:r>
      <w:r>
        <w:rPr>
          <w:spacing w:val="-10"/>
          <w:sz w:val="20"/>
        </w:rPr>
        <w:t> </w:t>
      </w:r>
      <w:r>
        <w:rPr>
          <w:sz w:val="20"/>
        </w:rPr>
        <w:t>in</w:t>
      </w:r>
      <w:r>
        <w:rPr>
          <w:spacing w:val="-11"/>
          <w:sz w:val="20"/>
        </w:rPr>
        <w:t> </w:t>
      </w:r>
      <w:r>
        <w:rPr>
          <w:sz w:val="20"/>
        </w:rPr>
        <w:t>the</w:t>
      </w:r>
      <w:r>
        <w:rPr>
          <w:spacing w:val="-11"/>
          <w:sz w:val="20"/>
        </w:rPr>
        <w:t> </w:t>
      </w:r>
      <w:r>
        <w:rPr>
          <w:sz w:val="20"/>
        </w:rPr>
        <w:t>production</w:t>
      </w:r>
      <w:r>
        <w:rPr>
          <w:spacing w:val="-10"/>
          <w:sz w:val="20"/>
        </w:rPr>
        <w:t> </w:t>
      </w:r>
      <w:r>
        <w:rPr>
          <w:sz w:val="20"/>
        </w:rPr>
        <w:t>of</w:t>
      </w:r>
      <w:r>
        <w:rPr>
          <w:spacing w:val="-11"/>
          <w:sz w:val="20"/>
        </w:rPr>
        <w:t> </w:t>
      </w:r>
      <w:r>
        <w:rPr>
          <w:sz w:val="20"/>
        </w:rPr>
        <w:t>this</w:t>
      </w:r>
      <w:r>
        <w:rPr>
          <w:spacing w:val="-11"/>
          <w:sz w:val="20"/>
        </w:rPr>
        <w:t> </w:t>
      </w:r>
      <w:r>
        <w:rPr>
          <w:sz w:val="20"/>
        </w:rPr>
        <w:t>educative</w:t>
      </w:r>
      <w:r>
        <w:rPr>
          <w:spacing w:val="-10"/>
          <w:sz w:val="20"/>
        </w:rPr>
        <w:t> </w:t>
      </w:r>
      <w:r>
        <w:rPr>
          <w:sz w:val="20"/>
        </w:rPr>
        <w:t>material</w:t>
      </w:r>
      <w:r>
        <w:rPr>
          <w:spacing w:val="-11"/>
          <w:sz w:val="20"/>
        </w:rPr>
        <w:t> </w:t>
      </w:r>
      <w:r>
        <w:rPr>
          <w:sz w:val="20"/>
        </w:rPr>
        <w:t>to</w:t>
      </w:r>
      <w:r>
        <w:rPr>
          <w:spacing w:val="-11"/>
          <w:sz w:val="20"/>
        </w:rPr>
        <w:t> </w:t>
      </w:r>
      <w:r>
        <w:rPr>
          <w:spacing w:val="-3"/>
          <w:sz w:val="20"/>
        </w:rPr>
        <w:t>avoid </w:t>
      </w:r>
      <w:r>
        <w:rPr>
          <w:sz w:val="20"/>
        </w:rPr>
        <w:t>juror</w:t>
      </w:r>
      <w:r>
        <w:rPr>
          <w:spacing w:val="-13"/>
          <w:sz w:val="20"/>
        </w:rPr>
        <w:t> </w:t>
      </w:r>
      <w:r>
        <w:rPr>
          <w:sz w:val="20"/>
        </w:rPr>
        <w:t>identification.</w:t>
      </w:r>
      <w:r>
        <w:rPr>
          <w:spacing w:val="-13"/>
          <w:sz w:val="20"/>
        </w:rPr>
        <w:t> </w:t>
      </w:r>
      <w:r>
        <w:rPr>
          <w:sz w:val="20"/>
        </w:rPr>
        <w:t>All</w:t>
      </w:r>
      <w:r>
        <w:rPr>
          <w:spacing w:val="-13"/>
          <w:sz w:val="20"/>
        </w:rPr>
        <w:t> </w:t>
      </w:r>
      <w:r>
        <w:rPr>
          <w:sz w:val="20"/>
        </w:rPr>
        <w:t>training</w:t>
      </w:r>
      <w:r>
        <w:rPr>
          <w:spacing w:val="-13"/>
          <w:sz w:val="20"/>
        </w:rPr>
        <w:t> </w:t>
      </w:r>
      <w:r>
        <w:rPr>
          <w:sz w:val="20"/>
        </w:rPr>
        <w:t>and</w:t>
      </w:r>
      <w:r>
        <w:rPr>
          <w:spacing w:val="-13"/>
          <w:sz w:val="20"/>
        </w:rPr>
        <w:t> </w:t>
      </w:r>
      <w:r>
        <w:rPr>
          <w:sz w:val="20"/>
        </w:rPr>
        <w:t>publicity</w:t>
      </w:r>
      <w:r>
        <w:rPr>
          <w:spacing w:val="-13"/>
          <w:sz w:val="20"/>
        </w:rPr>
        <w:t> </w:t>
      </w:r>
      <w:r>
        <w:rPr>
          <w:sz w:val="20"/>
        </w:rPr>
        <w:t>must</w:t>
      </w:r>
      <w:r>
        <w:rPr>
          <w:spacing w:val="-13"/>
          <w:sz w:val="20"/>
        </w:rPr>
        <w:t> </w:t>
      </w:r>
      <w:r>
        <w:rPr>
          <w:sz w:val="20"/>
        </w:rPr>
        <w:t>not</w:t>
      </w:r>
      <w:r>
        <w:rPr>
          <w:spacing w:val="-13"/>
          <w:sz w:val="20"/>
        </w:rPr>
        <w:t> </w:t>
      </w:r>
      <w:r>
        <w:rPr>
          <w:sz w:val="20"/>
        </w:rPr>
        <w:t>breach</w:t>
      </w:r>
      <w:r>
        <w:rPr>
          <w:spacing w:val="-12"/>
          <w:sz w:val="20"/>
        </w:rPr>
        <w:t> </w:t>
      </w:r>
      <w:r>
        <w:rPr>
          <w:sz w:val="20"/>
        </w:rPr>
        <w:t>the</w:t>
      </w:r>
      <w:r>
        <w:rPr>
          <w:spacing w:val="-13"/>
          <w:sz w:val="20"/>
        </w:rPr>
        <w:t> </w:t>
      </w:r>
      <w:r>
        <w:rPr>
          <w:sz w:val="20"/>
        </w:rPr>
        <w:t>obligations</w:t>
      </w:r>
      <w:r>
        <w:rPr>
          <w:spacing w:val="-13"/>
          <w:sz w:val="20"/>
        </w:rPr>
        <w:t> </w:t>
      </w:r>
      <w:r>
        <w:rPr>
          <w:sz w:val="20"/>
        </w:rPr>
        <w:t>in</w:t>
      </w:r>
      <w:r>
        <w:rPr>
          <w:spacing w:val="-13"/>
          <w:sz w:val="20"/>
        </w:rPr>
        <w:t> </w:t>
      </w:r>
      <w:r>
        <w:rPr>
          <w:sz w:val="20"/>
        </w:rPr>
        <w:t>Part</w:t>
      </w:r>
      <w:r>
        <w:rPr>
          <w:spacing w:val="-13"/>
          <w:sz w:val="20"/>
        </w:rPr>
        <w:t> </w:t>
      </w:r>
      <w:r>
        <w:rPr>
          <w:spacing w:val="-3"/>
          <w:sz w:val="20"/>
        </w:rPr>
        <w:t>10 </w:t>
      </w:r>
      <w:r>
        <w:rPr>
          <w:sz w:val="20"/>
        </w:rPr>
        <w:t>of the</w:t>
      </w:r>
      <w:r>
        <w:rPr>
          <w:spacing w:val="-8"/>
          <w:sz w:val="20"/>
        </w:rPr>
        <w:t> </w:t>
      </w:r>
      <w:r>
        <w:rPr>
          <w:sz w:val="20"/>
        </w:rPr>
        <w:t>Act.</w:t>
      </w:r>
      <w:r>
        <w:rPr>
          <w:position w:val="7"/>
          <w:sz w:val="11"/>
        </w:rPr>
        <w:t>44</w:t>
      </w: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5"/>
        </w:rPr>
      </w:pPr>
      <w:r>
        <w:rPr/>
        <w:pict>
          <v:line style="position:absolute;mso-position-horizontal-relative:page;mso-position-vertical-relative:paragraph;z-index:11336;mso-wrap-distance-left:0;mso-wrap-distance-right:0" from="79.370102pt,13.412294pt" to="515.905102pt,13.412294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41"/>
        </w:rPr>
      </w:pPr>
    </w:p>
    <w:p>
      <w:pPr>
        <w:spacing w:before="0"/>
        <w:ind w:left="100" w:right="0" w:firstLine="0"/>
        <w:jc w:val="left"/>
        <w:rPr>
          <w:b/>
          <w:sz w:val="24"/>
        </w:rPr>
      </w:pPr>
      <w:r>
        <w:rPr>
          <w:b/>
          <w:color w:val="37617A"/>
          <w:sz w:val="24"/>
        </w:rPr>
        <w:t>214</w:t>
      </w:r>
    </w:p>
    <w:p>
      <w:pPr>
        <w:pStyle w:val="ListParagraph"/>
        <w:numPr>
          <w:ilvl w:val="0"/>
          <w:numId w:val="121"/>
        </w:numPr>
        <w:tabs>
          <w:tab w:pos="893" w:val="left" w:leader="none"/>
          <w:tab w:pos="894" w:val="left" w:leader="none"/>
        </w:tabs>
        <w:spacing w:line="213" w:lineRule="auto" w:before="38" w:after="0"/>
        <w:ind w:left="893" w:right="1268" w:hanging="793"/>
        <w:jc w:val="left"/>
        <w:rPr>
          <w:sz w:val="13"/>
        </w:rPr>
      </w:pPr>
      <w:r>
        <w:rPr>
          <w:spacing w:val="3"/>
          <w:w w:val="99"/>
          <w:sz w:val="13"/>
        </w:rPr>
        <w:br w:type="column"/>
      </w:r>
      <w:r>
        <w:rPr>
          <w:sz w:val="13"/>
        </w:rPr>
        <w:t>Zach Hope, </w:t>
      </w:r>
      <w:r>
        <w:rPr>
          <w:spacing w:val="2"/>
          <w:sz w:val="13"/>
        </w:rPr>
        <w:t>‘“But </w:t>
      </w:r>
      <w:r>
        <w:rPr>
          <w:sz w:val="13"/>
        </w:rPr>
        <w:t>Seriously, I’m Really Nervous”: The Everywhere Faces of Auslan Interpreters and Their Vital Work’, </w:t>
      </w:r>
      <w:r>
        <w:rPr>
          <w:i/>
          <w:sz w:val="13"/>
        </w:rPr>
        <w:t>The Age  </w:t>
      </w:r>
      <w:r>
        <w:rPr>
          <w:sz w:val="13"/>
        </w:rPr>
        <w:t>(online, 10 May 2020) &lt;</w:t>
      </w:r>
      <w:hyperlink r:id="rId106">
        <w:r>
          <w:rPr>
            <w:sz w:val="13"/>
          </w:rPr>
          <w:t>https://www.theage.com.au/national/victoria/but-seriously-i-m-really-nervous-the-everywhere-faces-</w:t>
        </w:r>
      </w:hyperlink>
      <w:hyperlink r:id="rId106">
        <w:r>
          <w:rPr>
            <w:sz w:val="13"/>
          </w:rPr>
          <w:t> of-auslan-interpreters-and-their-vital-work-20200509-p54rcu.html</w:t>
        </w:r>
      </w:hyperlink>
      <w:r>
        <w:rPr>
          <w:sz w:val="13"/>
        </w:rPr>
        <w:t>&gt;; Holly Tregenza, ‘The Coronavirus </w:t>
      </w:r>
      <w:r>
        <w:rPr>
          <w:spacing w:val="2"/>
          <w:sz w:val="13"/>
        </w:rPr>
        <w:t>Pandemic </w:t>
      </w:r>
      <w:r>
        <w:rPr>
          <w:sz w:val="13"/>
        </w:rPr>
        <w:t>and Bushfire Emergency Have Thrust Auslan Interpreters into the Spotlight’, </w:t>
      </w:r>
      <w:r>
        <w:rPr>
          <w:i/>
          <w:sz w:val="13"/>
        </w:rPr>
        <w:t>ABC News </w:t>
      </w:r>
      <w:r>
        <w:rPr>
          <w:sz w:val="13"/>
        </w:rPr>
        <w:t>(online, 11 April 2020) &lt;</w:t>
      </w:r>
      <w:hyperlink r:id="rId107">
        <w:r>
          <w:rPr>
            <w:sz w:val="13"/>
          </w:rPr>
          <w:t>https://www.abc.net.au/</w:t>
        </w:r>
      </w:hyperlink>
      <w:hyperlink r:id="rId107">
        <w:r>
          <w:rPr>
            <w:sz w:val="13"/>
          </w:rPr>
          <w:t> news/2020-04-11/coronavirus-bushfires-thrust-auslan-interpreters-into-spotlight/12140824</w:t>
        </w:r>
      </w:hyperlink>
      <w:r>
        <w:rPr>
          <w:sz w:val="13"/>
        </w:rPr>
        <w:t>&gt;.</w:t>
      </w:r>
    </w:p>
    <w:p>
      <w:pPr>
        <w:pStyle w:val="ListParagraph"/>
        <w:numPr>
          <w:ilvl w:val="0"/>
          <w:numId w:val="121"/>
        </w:numPr>
        <w:tabs>
          <w:tab w:pos="893" w:val="left" w:leader="none"/>
          <w:tab w:pos="894" w:val="left" w:leader="none"/>
        </w:tabs>
        <w:spacing w:line="151" w:lineRule="exact" w:before="0" w:after="0"/>
        <w:ind w:left="893" w:right="0" w:hanging="793"/>
        <w:jc w:val="left"/>
        <w:rPr>
          <w:sz w:val="13"/>
        </w:rPr>
      </w:pPr>
      <w:r>
        <w:rPr>
          <w:sz w:val="13"/>
        </w:rPr>
        <w:t>Consultation 21 </w:t>
      </w:r>
      <w:r>
        <w:rPr>
          <w:spacing w:val="2"/>
          <w:sz w:val="13"/>
        </w:rPr>
        <w:t>(Della </w:t>
      </w:r>
      <w:r>
        <w:rPr>
          <w:sz w:val="13"/>
        </w:rPr>
        <w:t>Goswell, Lecturer, Convenor </w:t>
      </w:r>
      <w:r>
        <w:rPr>
          <w:spacing w:val="2"/>
          <w:sz w:val="13"/>
        </w:rPr>
        <w:t>Auslan-English </w:t>
      </w:r>
      <w:r>
        <w:rPr>
          <w:sz w:val="13"/>
        </w:rPr>
        <w:t>Interpreting Program, Macquarie University,</w:t>
      </w:r>
      <w:r>
        <w:rPr>
          <w:spacing w:val="13"/>
          <w:sz w:val="13"/>
        </w:rPr>
        <w:t> </w:t>
      </w:r>
      <w:r>
        <w:rPr>
          <w:sz w:val="13"/>
        </w:rPr>
        <w:t>NSW).</w:t>
      </w:r>
    </w:p>
    <w:p>
      <w:pPr>
        <w:pStyle w:val="ListParagraph"/>
        <w:numPr>
          <w:ilvl w:val="0"/>
          <w:numId w:val="121"/>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121"/>
        </w:numPr>
        <w:tabs>
          <w:tab w:pos="893" w:val="left" w:leader="none"/>
          <w:tab w:pos="894" w:val="left" w:leader="none"/>
        </w:tabs>
        <w:spacing w:line="160" w:lineRule="exact" w:before="0" w:after="0"/>
        <w:ind w:left="893" w:right="0" w:hanging="793"/>
        <w:jc w:val="left"/>
        <w:rPr>
          <w:sz w:val="13"/>
        </w:rPr>
      </w:pPr>
      <w:r>
        <w:rPr>
          <w:sz w:val="13"/>
        </w:rPr>
        <w:t>Consultation 6 (Deaf Victoria and community</w:t>
      </w:r>
      <w:r>
        <w:rPr>
          <w:spacing w:val="3"/>
          <w:sz w:val="13"/>
        </w:rPr>
        <w:t> </w:t>
      </w:r>
      <w:r>
        <w:rPr>
          <w:sz w:val="13"/>
        </w:rPr>
        <w:t>participants).</w:t>
      </w:r>
    </w:p>
    <w:p>
      <w:pPr>
        <w:pStyle w:val="ListParagraph"/>
        <w:numPr>
          <w:ilvl w:val="0"/>
          <w:numId w:val="121"/>
        </w:numPr>
        <w:tabs>
          <w:tab w:pos="893" w:val="left" w:leader="none"/>
          <w:tab w:pos="894" w:val="left" w:leader="none"/>
        </w:tabs>
        <w:spacing w:line="213" w:lineRule="auto" w:before="6" w:after="0"/>
        <w:ind w:left="893" w:right="1596" w:hanging="793"/>
        <w:jc w:val="left"/>
        <w:rPr>
          <w:sz w:val="13"/>
        </w:rPr>
      </w:pPr>
      <w:r>
        <w:rPr>
          <w:spacing w:val="2"/>
          <w:sz w:val="13"/>
        </w:rPr>
        <w:t>Department </w:t>
      </w:r>
      <w:r>
        <w:rPr>
          <w:sz w:val="13"/>
        </w:rPr>
        <w:t>of </w:t>
      </w:r>
      <w:r>
        <w:rPr>
          <w:spacing w:val="2"/>
          <w:sz w:val="13"/>
        </w:rPr>
        <w:t>Planning </w:t>
      </w:r>
      <w:r>
        <w:rPr>
          <w:sz w:val="13"/>
        </w:rPr>
        <w:t>and </w:t>
      </w:r>
      <w:r>
        <w:rPr>
          <w:spacing w:val="2"/>
          <w:sz w:val="13"/>
        </w:rPr>
        <w:t>Community </w:t>
      </w:r>
      <w:r>
        <w:rPr>
          <w:sz w:val="13"/>
        </w:rPr>
        <w:t>Development (Vic), </w:t>
      </w:r>
      <w:r>
        <w:rPr>
          <w:i/>
          <w:sz w:val="13"/>
        </w:rPr>
        <w:t>Community Attitudes Towards Disability </w:t>
      </w:r>
      <w:r>
        <w:rPr>
          <w:spacing w:val="2"/>
          <w:sz w:val="13"/>
        </w:rPr>
        <w:t>(Report, </w:t>
      </w:r>
      <w:r>
        <w:rPr>
          <w:sz w:val="13"/>
        </w:rPr>
        <w:t>2008), cited in Council of Australian Governments, </w:t>
      </w:r>
      <w:r>
        <w:rPr>
          <w:i/>
          <w:sz w:val="13"/>
        </w:rPr>
        <w:t>National Disability Strategy 2010–2020 </w:t>
      </w:r>
      <w:r>
        <w:rPr>
          <w:spacing w:val="2"/>
          <w:sz w:val="13"/>
        </w:rPr>
        <w:t>(Report, </w:t>
      </w:r>
      <w:r>
        <w:rPr>
          <w:sz w:val="13"/>
        </w:rPr>
        <w:t>2011)</w:t>
      </w:r>
      <w:r>
        <w:rPr>
          <w:spacing w:val="15"/>
          <w:sz w:val="13"/>
        </w:rPr>
        <w:t> </w:t>
      </w:r>
      <w:r>
        <w:rPr>
          <w:spacing w:val="-3"/>
          <w:sz w:val="13"/>
        </w:rPr>
        <w:t>37.</w:t>
      </w:r>
    </w:p>
    <w:p>
      <w:pPr>
        <w:pStyle w:val="ListParagraph"/>
        <w:numPr>
          <w:ilvl w:val="0"/>
          <w:numId w:val="121"/>
        </w:numPr>
        <w:tabs>
          <w:tab w:pos="893" w:val="left" w:leader="none"/>
          <w:tab w:pos="894" w:val="left" w:leader="none"/>
        </w:tabs>
        <w:spacing w:line="213" w:lineRule="auto" w:before="0" w:after="0"/>
        <w:ind w:left="893" w:right="1322" w:hanging="793"/>
        <w:jc w:val="left"/>
        <w:rPr>
          <w:sz w:val="13"/>
        </w:rPr>
      </w:pPr>
      <w:r>
        <w:rPr>
          <w:sz w:val="13"/>
        </w:rPr>
        <w:t>A </w:t>
      </w:r>
      <w:r>
        <w:rPr>
          <w:spacing w:val="2"/>
          <w:sz w:val="13"/>
        </w:rPr>
        <w:t>public </w:t>
      </w:r>
      <w:r>
        <w:rPr>
          <w:sz w:val="13"/>
        </w:rPr>
        <w:t>education campaign was </w:t>
      </w:r>
      <w:r>
        <w:rPr>
          <w:spacing w:val="2"/>
          <w:sz w:val="13"/>
        </w:rPr>
        <w:t>supported </w:t>
      </w:r>
      <w:r>
        <w:rPr>
          <w:sz w:val="13"/>
        </w:rPr>
        <w:t>by Dr Baer Arnold and Dr Bonython who </w:t>
      </w:r>
      <w:r>
        <w:rPr>
          <w:spacing w:val="2"/>
          <w:sz w:val="13"/>
        </w:rPr>
        <w:t>also </w:t>
      </w:r>
      <w:r>
        <w:rPr>
          <w:sz w:val="13"/>
        </w:rPr>
        <w:t>stressed that the best advocates for inclusion are those who serve under new laws: </w:t>
      </w:r>
      <w:r>
        <w:rPr>
          <w:spacing w:val="2"/>
          <w:sz w:val="13"/>
        </w:rPr>
        <w:t>Submission </w:t>
      </w:r>
      <w:r>
        <w:rPr>
          <w:sz w:val="13"/>
        </w:rPr>
        <w:t>4 (Baer Arnold &amp;</w:t>
      </w:r>
      <w:r>
        <w:rPr>
          <w:spacing w:val="11"/>
          <w:sz w:val="13"/>
        </w:rPr>
        <w:t> </w:t>
      </w:r>
      <w:r>
        <w:rPr>
          <w:sz w:val="13"/>
        </w:rPr>
        <w:t>Bonython).</w:t>
      </w:r>
    </w:p>
    <w:p>
      <w:pPr>
        <w:pStyle w:val="ListParagraph"/>
        <w:numPr>
          <w:ilvl w:val="0"/>
          <w:numId w:val="121"/>
        </w:numPr>
        <w:tabs>
          <w:tab w:pos="893" w:val="left" w:leader="none"/>
          <w:tab w:pos="894" w:val="left" w:leader="none"/>
        </w:tabs>
        <w:spacing w:line="213" w:lineRule="auto" w:before="0" w:after="0"/>
        <w:ind w:left="893" w:right="1732" w:hanging="793"/>
        <w:jc w:val="left"/>
        <w:rPr>
          <w:sz w:val="13"/>
        </w:rPr>
      </w:pPr>
      <w:r>
        <w:rPr>
          <w:i/>
          <w:sz w:val="13"/>
        </w:rPr>
        <w:t>Convention on the </w:t>
      </w:r>
      <w:r>
        <w:rPr>
          <w:i/>
          <w:spacing w:val="2"/>
          <w:sz w:val="13"/>
        </w:rPr>
        <w:t>Rights </w:t>
      </w:r>
      <w:r>
        <w:rPr>
          <w:i/>
          <w:sz w:val="13"/>
        </w:rPr>
        <w:t>of Persons with Disabilities</w:t>
      </w:r>
      <w:r>
        <w:rPr>
          <w:sz w:val="13"/>
        </w:rPr>
        <w:t>, </w:t>
      </w:r>
      <w:r>
        <w:rPr>
          <w:spacing w:val="2"/>
          <w:sz w:val="13"/>
        </w:rPr>
        <w:t>opened </w:t>
      </w:r>
      <w:r>
        <w:rPr>
          <w:sz w:val="13"/>
        </w:rPr>
        <w:t>for signature 30 March 2007, 2515 UNTS 3 (entered into force   3 May 2008) </w:t>
      </w:r>
      <w:r>
        <w:rPr>
          <w:spacing w:val="2"/>
          <w:sz w:val="13"/>
        </w:rPr>
        <w:t>art</w:t>
      </w:r>
      <w:r>
        <w:rPr>
          <w:sz w:val="13"/>
        </w:rPr>
        <w:t> 8.</w:t>
      </w:r>
    </w:p>
    <w:p>
      <w:pPr>
        <w:pStyle w:val="ListParagraph"/>
        <w:numPr>
          <w:ilvl w:val="0"/>
          <w:numId w:val="121"/>
        </w:numPr>
        <w:tabs>
          <w:tab w:pos="893" w:val="left" w:leader="none"/>
          <w:tab w:pos="894" w:val="left" w:leader="none"/>
        </w:tabs>
        <w:spacing w:line="163" w:lineRule="exact" w:before="0" w:after="0"/>
        <w:ind w:left="893" w:right="0" w:hanging="793"/>
        <w:jc w:val="left"/>
        <w:rPr>
          <w:sz w:val="13"/>
        </w:rPr>
      </w:pPr>
      <w:r>
        <w:rPr>
          <w:i/>
          <w:sz w:val="13"/>
        </w:rPr>
        <w:t>Juries Act 2000 </w:t>
      </w:r>
      <w:r>
        <w:rPr>
          <w:spacing w:val="2"/>
          <w:sz w:val="13"/>
        </w:rPr>
        <w:t>(Vic) </w:t>
      </w:r>
      <w:r>
        <w:rPr>
          <w:sz w:val="13"/>
        </w:rPr>
        <w:t>pt</w:t>
      </w:r>
      <w:r>
        <w:rPr>
          <w:spacing w:val="-2"/>
          <w:sz w:val="13"/>
        </w:rPr>
        <w:t> </w:t>
      </w:r>
      <w:r>
        <w:rPr>
          <w:sz w:val="13"/>
        </w:rPr>
        <w:t>10.</w:t>
      </w:r>
    </w:p>
    <w:p>
      <w:pPr>
        <w:spacing w:after="0" w:line="163" w:lineRule="exact"/>
        <w:jc w:val="left"/>
        <w:rPr>
          <w:sz w:val="13"/>
        </w:rPr>
        <w:sectPr>
          <w:type w:val="continuous"/>
          <w:pgSz w:w="11910" w:h="16840"/>
          <w:pgMar w:top="620" w:bottom="280" w:left="620" w:right="380"/>
          <w:cols w:num="2" w:equalWidth="0">
            <w:col w:w="535" w:space="333"/>
            <w:col w:w="10042"/>
          </w:cols>
        </w:sectPr>
      </w:pPr>
    </w:p>
    <w:p>
      <w:pPr>
        <w:pStyle w:val="BodyText"/>
      </w:pPr>
    </w:p>
    <w:p>
      <w:pPr>
        <w:pStyle w:val="BodyText"/>
      </w:pPr>
    </w:p>
    <w:p>
      <w:pPr>
        <w:pStyle w:val="BodyText"/>
      </w:pPr>
    </w:p>
    <w:p>
      <w:pPr>
        <w:pStyle w:val="BodyText"/>
        <w:spacing w:before="6"/>
        <w:rPr>
          <w:sz w:val="14"/>
        </w:rPr>
      </w:pPr>
    </w:p>
    <w:p>
      <w:pPr>
        <w:spacing w:before="49"/>
        <w:ind w:left="967" w:right="0" w:firstLine="0"/>
        <w:jc w:val="left"/>
        <w:rPr>
          <w:b/>
          <w:sz w:val="24"/>
        </w:rPr>
      </w:pPr>
      <w:bookmarkStart w:name="_bookmark159" w:id="379"/>
      <w:bookmarkEnd w:id="379"/>
      <w:r>
        <w:rPr/>
      </w:r>
      <w:r>
        <w:rPr>
          <w:b/>
          <w:sz w:val="24"/>
        </w:rPr>
        <w:t>Encouraging people in the subject groups to participate on juries</w:t>
      </w:r>
    </w:p>
    <w:p>
      <w:pPr>
        <w:pStyle w:val="ListParagraph"/>
        <w:numPr>
          <w:ilvl w:val="1"/>
          <w:numId w:val="12"/>
        </w:numPr>
        <w:tabs>
          <w:tab w:pos="1761" w:val="left" w:leader="none"/>
          <w:tab w:pos="1762" w:val="left" w:leader="none"/>
        </w:tabs>
        <w:spacing w:line="206" w:lineRule="auto" w:before="127" w:after="0"/>
        <w:ind w:left="1761" w:right="1847" w:hanging="794"/>
        <w:jc w:val="left"/>
        <w:rPr>
          <w:sz w:val="20"/>
        </w:rPr>
      </w:pPr>
      <w:r>
        <w:rPr>
          <w:spacing w:val="-6"/>
          <w:sz w:val="20"/>
        </w:rPr>
        <w:t>We </w:t>
      </w:r>
      <w:r>
        <w:rPr>
          <w:spacing w:val="-4"/>
          <w:sz w:val="20"/>
        </w:rPr>
        <w:t>were </w:t>
      </w:r>
      <w:r>
        <w:rPr>
          <w:spacing w:val="-3"/>
          <w:sz w:val="20"/>
        </w:rPr>
        <w:t>told </w:t>
      </w:r>
      <w:r>
        <w:rPr>
          <w:sz w:val="20"/>
        </w:rPr>
        <w:t>that people </w:t>
      </w:r>
      <w:r>
        <w:rPr>
          <w:spacing w:val="-3"/>
          <w:sz w:val="20"/>
        </w:rPr>
        <w:t>from </w:t>
      </w:r>
      <w:r>
        <w:rPr>
          <w:sz w:val="20"/>
        </w:rPr>
        <w:t>the subject groups </w:t>
      </w:r>
      <w:r>
        <w:rPr>
          <w:spacing w:val="-3"/>
          <w:sz w:val="20"/>
        </w:rPr>
        <w:t>may </w:t>
      </w:r>
      <w:r>
        <w:rPr>
          <w:sz w:val="20"/>
        </w:rPr>
        <w:t>be hesitant to be jurors because</w:t>
      </w:r>
      <w:r>
        <w:rPr>
          <w:spacing w:val="-10"/>
          <w:sz w:val="20"/>
        </w:rPr>
        <w:t> </w:t>
      </w:r>
      <w:r>
        <w:rPr>
          <w:sz w:val="20"/>
        </w:rPr>
        <w:t>they</w:t>
      </w:r>
      <w:r>
        <w:rPr>
          <w:spacing w:val="-9"/>
          <w:sz w:val="20"/>
        </w:rPr>
        <w:t> </w:t>
      </w:r>
      <w:r>
        <w:rPr>
          <w:spacing w:val="-4"/>
          <w:sz w:val="20"/>
        </w:rPr>
        <w:t>have</w:t>
      </w:r>
      <w:r>
        <w:rPr>
          <w:spacing w:val="-9"/>
          <w:sz w:val="20"/>
        </w:rPr>
        <w:t> </w:t>
      </w:r>
      <w:r>
        <w:rPr>
          <w:sz w:val="20"/>
        </w:rPr>
        <w:t>been</w:t>
      </w:r>
      <w:r>
        <w:rPr>
          <w:spacing w:val="-9"/>
          <w:sz w:val="20"/>
        </w:rPr>
        <w:t> </w:t>
      </w:r>
      <w:r>
        <w:rPr>
          <w:spacing w:val="-3"/>
          <w:sz w:val="20"/>
        </w:rPr>
        <w:t>excluded</w:t>
      </w:r>
      <w:r>
        <w:rPr>
          <w:spacing w:val="-9"/>
          <w:sz w:val="20"/>
        </w:rPr>
        <w:t> </w:t>
      </w:r>
      <w:r>
        <w:rPr>
          <w:sz w:val="20"/>
        </w:rPr>
        <w:t>for</w:t>
      </w:r>
      <w:r>
        <w:rPr>
          <w:spacing w:val="-9"/>
          <w:sz w:val="20"/>
        </w:rPr>
        <w:t> </w:t>
      </w:r>
      <w:r>
        <w:rPr>
          <w:sz w:val="20"/>
        </w:rPr>
        <w:t>so</w:t>
      </w:r>
      <w:r>
        <w:rPr>
          <w:spacing w:val="-9"/>
          <w:sz w:val="20"/>
        </w:rPr>
        <w:t> </w:t>
      </w:r>
      <w:r>
        <w:rPr>
          <w:sz w:val="20"/>
        </w:rPr>
        <w:t>long.</w:t>
      </w:r>
      <w:r>
        <w:rPr>
          <w:spacing w:val="-10"/>
          <w:sz w:val="20"/>
        </w:rPr>
        <w:t> </w:t>
      </w:r>
      <w:r>
        <w:rPr>
          <w:sz w:val="20"/>
        </w:rPr>
        <w:t>One</w:t>
      </w:r>
      <w:r>
        <w:rPr>
          <w:spacing w:val="-9"/>
          <w:sz w:val="20"/>
        </w:rPr>
        <w:t> </w:t>
      </w:r>
      <w:r>
        <w:rPr>
          <w:sz w:val="20"/>
        </w:rPr>
        <w:t>consultation</w:t>
      </w:r>
      <w:r>
        <w:rPr>
          <w:spacing w:val="-9"/>
          <w:sz w:val="20"/>
        </w:rPr>
        <w:t> </w:t>
      </w:r>
      <w:r>
        <w:rPr>
          <w:sz w:val="20"/>
        </w:rPr>
        <w:t>participant</w:t>
      </w:r>
      <w:r>
        <w:rPr>
          <w:spacing w:val="-9"/>
          <w:sz w:val="20"/>
        </w:rPr>
        <w:t> </w:t>
      </w:r>
      <w:r>
        <w:rPr>
          <w:spacing w:val="-3"/>
          <w:sz w:val="20"/>
        </w:rPr>
        <w:t>from </w:t>
      </w:r>
      <w:r>
        <w:rPr>
          <w:sz w:val="20"/>
        </w:rPr>
        <w:t>Expression Australia noted</w:t>
      </w:r>
      <w:r>
        <w:rPr>
          <w:spacing w:val="-14"/>
          <w:sz w:val="20"/>
        </w:rPr>
        <w:t> </w:t>
      </w:r>
      <w:r>
        <w:rPr>
          <w:sz w:val="20"/>
        </w:rPr>
        <w:t>that:</w:t>
      </w:r>
    </w:p>
    <w:p>
      <w:pPr>
        <w:spacing w:line="208" w:lineRule="auto" w:before="122"/>
        <w:ind w:left="2157" w:right="1437" w:firstLine="0"/>
        <w:jc w:val="left"/>
        <w:rPr>
          <w:sz w:val="19"/>
        </w:rPr>
      </w:pPr>
      <w:r>
        <w:rPr>
          <w:sz w:val="19"/>
        </w:rPr>
        <w:t>because deaf people suffer systemic disadvantage, they might not feel they are capable of sitting on a jury. For example, they may not feel that they are sufficiently educated to sit on a jury because they may not have completed school to year 12. However, if deaf people are told about the role of juries and the breadth of people who become jurors then this will help them gain confidence to sit on juries.</w:t>
      </w:r>
    </w:p>
    <w:p>
      <w:pPr>
        <w:spacing w:line="208" w:lineRule="auto" w:before="123"/>
        <w:ind w:left="2157" w:right="1335" w:firstLine="0"/>
        <w:jc w:val="left"/>
        <w:rPr>
          <w:sz w:val="19"/>
        </w:rPr>
      </w:pPr>
      <w:r>
        <w:rPr>
          <w:sz w:val="19"/>
        </w:rPr>
        <w:t>It will be important to clearly set out what sort of supports are available and what is expected of the juror.</w:t>
      </w:r>
    </w:p>
    <w:p>
      <w:pPr>
        <w:spacing w:line="208" w:lineRule="auto" w:before="121"/>
        <w:ind w:left="2157" w:right="1486" w:firstLine="0"/>
        <w:jc w:val="left"/>
        <w:rPr>
          <w:sz w:val="19"/>
        </w:rPr>
      </w:pPr>
      <w:r>
        <w:rPr>
          <w:sz w:val="19"/>
        </w:rPr>
        <w:t>It could also be noted that there is no need to have a legal background to serve on a jury. Such knowledge cannot be assumed, because deaf people have not been allowed to participate in the past.</w:t>
      </w:r>
    </w:p>
    <w:p>
      <w:pPr>
        <w:spacing w:line="247" w:lineRule="exact" w:before="93"/>
        <w:ind w:left="2157" w:right="0" w:firstLine="0"/>
        <w:jc w:val="left"/>
        <w:rPr>
          <w:sz w:val="19"/>
        </w:rPr>
      </w:pPr>
      <w:r>
        <w:rPr>
          <w:sz w:val="19"/>
        </w:rPr>
        <w:t>Because the cohort has never had opportunity before they need upskilling/training</w:t>
      </w:r>
    </w:p>
    <w:p>
      <w:pPr>
        <w:spacing w:line="247" w:lineRule="exact" w:before="0"/>
        <w:ind w:left="2157" w:right="0" w:firstLine="0"/>
        <w:jc w:val="left"/>
        <w:rPr>
          <w:sz w:val="11"/>
        </w:rPr>
      </w:pPr>
      <w:r>
        <w:rPr>
          <w:sz w:val="19"/>
        </w:rPr>
        <w:t>about what is involved to better inform them when they fill out a questionnaire. </w:t>
      </w:r>
      <w:r>
        <w:rPr>
          <w:position w:val="6"/>
          <w:sz w:val="11"/>
        </w:rPr>
        <w:t>45</w:t>
      </w:r>
    </w:p>
    <w:p>
      <w:pPr>
        <w:pStyle w:val="ListParagraph"/>
        <w:numPr>
          <w:ilvl w:val="1"/>
          <w:numId w:val="12"/>
        </w:numPr>
        <w:tabs>
          <w:tab w:pos="1761" w:val="left" w:leader="none"/>
          <w:tab w:pos="1762" w:val="left" w:leader="none"/>
        </w:tabs>
        <w:spacing w:line="259" w:lineRule="exact" w:before="84" w:after="0"/>
        <w:ind w:left="1761" w:right="0" w:hanging="794"/>
        <w:jc w:val="left"/>
        <w:rPr>
          <w:sz w:val="20"/>
        </w:rPr>
      </w:pPr>
      <w:r>
        <w:rPr>
          <w:sz w:val="20"/>
        </w:rPr>
        <w:t>Alastair</w:t>
      </w:r>
      <w:r>
        <w:rPr>
          <w:spacing w:val="-7"/>
          <w:sz w:val="20"/>
        </w:rPr>
        <w:t> </w:t>
      </w:r>
      <w:r>
        <w:rPr>
          <w:spacing w:val="-3"/>
          <w:sz w:val="20"/>
        </w:rPr>
        <w:t>McEwin</w:t>
      </w:r>
      <w:r>
        <w:rPr>
          <w:spacing w:val="-6"/>
          <w:sz w:val="20"/>
        </w:rPr>
        <w:t> </w:t>
      </w:r>
      <w:r>
        <w:rPr>
          <w:sz w:val="20"/>
        </w:rPr>
        <w:t>commented</w:t>
      </w:r>
      <w:r>
        <w:rPr>
          <w:spacing w:val="-6"/>
          <w:sz w:val="20"/>
        </w:rPr>
        <w:t> </w:t>
      </w:r>
      <w:r>
        <w:rPr>
          <w:sz w:val="20"/>
        </w:rPr>
        <w:t>‘deaf</w:t>
      </w:r>
      <w:r>
        <w:rPr>
          <w:spacing w:val="-6"/>
          <w:sz w:val="20"/>
        </w:rPr>
        <w:t> </w:t>
      </w:r>
      <w:r>
        <w:rPr>
          <w:sz w:val="20"/>
        </w:rPr>
        <w:t>people</w:t>
      </w:r>
      <w:r>
        <w:rPr>
          <w:spacing w:val="-6"/>
          <w:sz w:val="20"/>
        </w:rPr>
        <w:t> </w:t>
      </w:r>
      <w:r>
        <w:rPr>
          <w:sz w:val="20"/>
        </w:rPr>
        <w:t>might</w:t>
      </w:r>
      <w:r>
        <w:rPr>
          <w:spacing w:val="-6"/>
          <w:sz w:val="20"/>
        </w:rPr>
        <w:t> </w:t>
      </w:r>
      <w:r>
        <w:rPr>
          <w:sz w:val="20"/>
        </w:rPr>
        <w:t>not</w:t>
      </w:r>
      <w:r>
        <w:rPr>
          <w:spacing w:val="-6"/>
          <w:sz w:val="20"/>
        </w:rPr>
        <w:t> </w:t>
      </w:r>
      <w:r>
        <w:rPr>
          <w:sz w:val="20"/>
        </w:rPr>
        <w:t>feel</w:t>
      </w:r>
      <w:r>
        <w:rPr>
          <w:spacing w:val="-6"/>
          <w:sz w:val="20"/>
        </w:rPr>
        <w:t> </w:t>
      </w:r>
      <w:r>
        <w:rPr>
          <w:sz w:val="20"/>
        </w:rPr>
        <w:t>confident</w:t>
      </w:r>
      <w:r>
        <w:rPr>
          <w:spacing w:val="-6"/>
          <w:sz w:val="20"/>
        </w:rPr>
        <w:t> </w:t>
      </w:r>
      <w:r>
        <w:rPr>
          <w:sz w:val="20"/>
        </w:rPr>
        <w:t>to</w:t>
      </w:r>
      <w:r>
        <w:rPr>
          <w:spacing w:val="-6"/>
          <w:sz w:val="20"/>
        </w:rPr>
        <w:t> </w:t>
      </w:r>
      <w:r>
        <w:rPr>
          <w:sz w:val="20"/>
        </w:rPr>
        <w:t>do</w:t>
      </w:r>
      <w:r>
        <w:rPr>
          <w:spacing w:val="-7"/>
          <w:sz w:val="20"/>
        </w:rPr>
        <w:t> </w:t>
      </w:r>
      <w:r>
        <w:rPr>
          <w:sz w:val="20"/>
        </w:rPr>
        <w:t>jury</w:t>
      </w:r>
      <w:r>
        <w:rPr>
          <w:spacing w:val="-6"/>
          <w:sz w:val="20"/>
        </w:rPr>
        <w:t> </w:t>
      </w:r>
      <w:r>
        <w:rPr>
          <w:spacing w:val="-4"/>
          <w:sz w:val="20"/>
        </w:rPr>
        <w:t>duty.</w:t>
      </w:r>
      <w:r>
        <w:rPr>
          <w:spacing w:val="-6"/>
          <w:sz w:val="20"/>
        </w:rPr>
        <w:t> </w:t>
      </w:r>
      <w:r>
        <w:rPr>
          <w:sz w:val="20"/>
        </w:rPr>
        <w:t>Until</w:t>
      </w:r>
    </w:p>
    <w:p>
      <w:pPr>
        <w:pStyle w:val="BodyText"/>
        <w:spacing w:line="259" w:lineRule="exact"/>
        <w:ind w:left="1761"/>
        <w:rPr>
          <w:sz w:val="11"/>
        </w:rPr>
      </w:pPr>
      <w:r>
        <w:rPr/>
        <w:t>there is cultural change deaf people will continue to expect less from themselves’.</w:t>
      </w:r>
      <w:r>
        <w:rPr>
          <w:position w:val="7"/>
          <w:sz w:val="11"/>
        </w:rPr>
        <w:t>46</w:t>
      </w:r>
    </w:p>
    <w:p>
      <w:pPr>
        <w:pStyle w:val="ListParagraph"/>
        <w:numPr>
          <w:ilvl w:val="1"/>
          <w:numId w:val="12"/>
        </w:numPr>
        <w:tabs>
          <w:tab w:pos="1761" w:val="left" w:leader="none"/>
          <w:tab w:pos="1762" w:val="left" w:leader="none"/>
        </w:tabs>
        <w:spacing w:line="240" w:lineRule="auto" w:before="83" w:after="0"/>
        <w:ind w:left="1761" w:right="0" w:hanging="794"/>
        <w:jc w:val="left"/>
        <w:rPr>
          <w:sz w:val="20"/>
        </w:rPr>
      </w:pPr>
      <w:r>
        <w:rPr>
          <w:sz w:val="20"/>
        </w:rPr>
        <w:t>Della Goswell</w:t>
      </w:r>
      <w:r>
        <w:rPr>
          <w:spacing w:val="-9"/>
          <w:sz w:val="20"/>
        </w:rPr>
        <w:t> </w:t>
      </w:r>
      <w:r>
        <w:rPr>
          <w:sz w:val="20"/>
        </w:rPr>
        <w:t>observed:</w:t>
      </w:r>
    </w:p>
    <w:p>
      <w:pPr>
        <w:spacing w:line="208" w:lineRule="auto" w:before="112"/>
        <w:ind w:left="2157" w:right="1262" w:firstLine="0"/>
        <w:jc w:val="left"/>
        <w:rPr>
          <w:sz w:val="11"/>
        </w:rPr>
      </w:pPr>
      <w:r>
        <w:rPr>
          <w:sz w:val="19"/>
        </w:rPr>
        <w:t>As with the broader population, many deaf people will not understand what is involved in jury duty. They have less access to explanatory information about the role (especially from a deaf person’s perspective). If deaf people become entitled to be considered for jury service, then it will be helpful to have a community education program/resources in Auslan that explain what is involved, the English literacy skills needed, that they can choose to participate if they feel confident, but that they can also request to be excused if they fear that they will be out of their depth.</w:t>
      </w:r>
      <w:r>
        <w:rPr>
          <w:position w:val="6"/>
          <w:sz w:val="11"/>
        </w:rPr>
        <w:t>47</w:t>
      </w:r>
    </w:p>
    <w:p>
      <w:pPr>
        <w:pStyle w:val="ListParagraph"/>
        <w:numPr>
          <w:ilvl w:val="1"/>
          <w:numId w:val="12"/>
        </w:numPr>
        <w:tabs>
          <w:tab w:pos="1761" w:val="left" w:leader="none"/>
          <w:tab w:pos="1762" w:val="left" w:leader="none"/>
        </w:tabs>
        <w:spacing w:line="240" w:lineRule="auto" w:before="94" w:after="0"/>
        <w:ind w:left="1761" w:right="0" w:hanging="794"/>
        <w:jc w:val="left"/>
        <w:rPr>
          <w:sz w:val="20"/>
        </w:rPr>
      </w:pPr>
      <w:r>
        <w:rPr>
          <w:sz w:val="20"/>
        </w:rPr>
        <w:t>Deaf Victoria consultation participants</w:t>
      </w:r>
      <w:r>
        <w:rPr>
          <w:spacing w:val="-19"/>
          <w:sz w:val="20"/>
        </w:rPr>
        <w:t> </w:t>
      </w:r>
      <w:r>
        <w:rPr>
          <w:sz w:val="20"/>
        </w:rPr>
        <w:t>explained:</w:t>
      </w:r>
    </w:p>
    <w:p>
      <w:pPr>
        <w:spacing w:line="208" w:lineRule="auto" w:before="113"/>
        <w:ind w:left="2157" w:right="1250" w:firstLine="0"/>
        <w:jc w:val="both"/>
        <w:rPr>
          <w:sz w:val="11"/>
        </w:rPr>
      </w:pPr>
      <w:r>
        <w:rPr>
          <w:sz w:val="19"/>
        </w:rPr>
        <w:t>Deaf</w:t>
      </w:r>
      <w:r>
        <w:rPr>
          <w:spacing w:val="-6"/>
          <w:sz w:val="19"/>
        </w:rPr>
        <w:t> </w:t>
      </w:r>
      <w:r>
        <w:rPr>
          <w:sz w:val="19"/>
        </w:rPr>
        <w:t>people</w:t>
      </w:r>
      <w:r>
        <w:rPr>
          <w:spacing w:val="-5"/>
          <w:sz w:val="19"/>
        </w:rPr>
        <w:t> </w:t>
      </w:r>
      <w:r>
        <w:rPr>
          <w:sz w:val="19"/>
        </w:rPr>
        <w:t>will</w:t>
      </w:r>
      <w:r>
        <w:rPr>
          <w:spacing w:val="-5"/>
          <w:sz w:val="19"/>
        </w:rPr>
        <w:t> </w:t>
      </w:r>
      <w:r>
        <w:rPr>
          <w:sz w:val="19"/>
        </w:rPr>
        <w:t>require</w:t>
      </w:r>
      <w:r>
        <w:rPr>
          <w:spacing w:val="-6"/>
          <w:sz w:val="19"/>
        </w:rPr>
        <w:t> </w:t>
      </w:r>
      <w:r>
        <w:rPr>
          <w:sz w:val="19"/>
        </w:rPr>
        <w:t>training</w:t>
      </w:r>
      <w:r>
        <w:rPr>
          <w:spacing w:val="-5"/>
          <w:sz w:val="19"/>
        </w:rPr>
        <w:t> </w:t>
      </w:r>
      <w:r>
        <w:rPr>
          <w:sz w:val="19"/>
        </w:rPr>
        <w:t>or</w:t>
      </w:r>
      <w:r>
        <w:rPr>
          <w:spacing w:val="-5"/>
          <w:sz w:val="19"/>
        </w:rPr>
        <w:t> </w:t>
      </w:r>
      <w:r>
        <w:rPr>
          <w:sz w:val="19"/>
        </w:rPr>
        <w:t>educating</w:t>
      </w:r>
      <w:r>
        <w:rPr>
          <w:spacing w:val="-5"/>
          <w:sz w:val="19"/>
        </w:rPr>
        <w:t> </w:t>
      </w:r>
      <w:r>
        <w:rPr>
          <w:sz w:val="19"/>
        </w:rPr>
        <w:t>as</w:t>
      </w:r>
      <w:r>
        <w:rPr>
          <w:spacing w:val="-6"/>
          <w:sz w:val="19"/>
        </w:rPr>
        <w:t> </w:t>
      </w:r>
      <w:r>
        <w:rPr>
          <w:sz w:val="19"/>
        </w:rPr>
        <w:t>well,</w:t>
      </w:r>
      <w:r>
        <w:rPr>
          <w:spacing w:val="-5"/>
          <w:sz w:val="19"/>
        </w:rPr>
        <w:t> </w:t>
      </w:r>
      <w:r>
        <w:rPr>
          <w:sz w:val="19"/>
        </w:rPr>
        <w:t>to</w:t>
      </w:r>
      <w:r>
        <w:rPr>
          <w:spacing w:val="-5"/>
          <w:sz w:val="19"/>
        </w:rPr>
        <w:t> </w:t>
      </w:r>
      <w:r>
        <w:rPr>
          <w:sz w:val="19"/>
        </w:rPr>
        <w:t>help</w:t>
      </w:r>
      <w:r>
        <w:rPr>
          <w:spacing w:val="-5"/>
          <w:sz w:val="19"/>
        </w:rPr>
        <w:t> </w:t>
      </w:r>
      <w:r>
        <w:rPr>
          <w:sz w:val="19"/>
        </w:rPr>
        <w:t>build</w:t>
      </w:r>
      <w:r>
        <w:rPr>
          <w:spacing w:val="-6"/>
          <w:sz w:val="19"/>
        </w:rPr>
        <w:t> </w:t>
      </w:r>
      <w:r>
        <w:rPr>
          <w:sz w:val="19"/>
        </w:rPr>
        <w:t>their</w:t>
      </w:r>
      <w:r>
        <w:rPr>
          <w:spacing w:val="-5"/>
          <w:sz w:val="19"/>
        </w:rPr>
        <w:t> </w:t>
      </w:r>
      <w:r>
        <w:rPr>
          <w:sz w:val="19"/>
        </w:rPr>
        <w:t>confidence</w:t>
      </w:r>
      <w:r>
        <w:rPr>
          <w:spacing w:val="-5"/>
          <w:sz w:val="19"/>
        </w:rPr>
        <w:t> </w:t>
      </w:r>
      <w:r>
        <w:rPr>
          <w:sz w:val="19"/>
        </w:rPr>
        <w:t>to contribute</w:t>
      </w:r>
      <w:r>
        <w:rPr>
          <w:spacing w:val="-6"/>
          <w:sz w:val="19"/>
        </w:rPr>
        <w:t> </w:t>
      </w:r>
      <w:r>
        <w:rPr>
          <w:sz w:val="19"/>
        </w:rPr>
        <w:t>as</w:t>
      </w:r>
      <w:r>
        <w:rPr>
          <w:spacing w:val="-6"/>
          <w:sz w:val="19"/>
        </w:rPr>
        <w:t> </w:t>
      </w:r>
      <w:r>
        <w:rPr>
          <w:sz w:val="19"/>
        </w:rPr>
        <w:t>a</w:t>
      </w:r>
      <w:r>
        <w:rPr>
          <w:spacing w:val="-6"/>
          <w:sz w:val="19"/>
        </w:rPr>
        <w:t> </w:t>
      </w:r>
      <w:r>
        <w:rPr>
          <w:sz w:val="19"/>
        </w:rPr>
        <w:t>jury</w:t>
      </w:r>
      <w:r>
        <w:rPr>
          <w:spacing w:val="-6"/>
          <w:sz w:val="19"/>
        </w:rPr>
        <w:t> </w:t>
      </w:r>
      <w:r>
        <w:rPr>
          <w:sz w:val="19"/>
        </w:rPr>
        <w:t>member.</w:t>
      </w:r>
      <w:r>
        <w:rPr>
          <w:spacing w:val="-6"/>
          <w:sz w:val="19"/>
        </w:rPr>
        <w:t> </w:t>
      </w:r>
      <w:r>
        <w:rPr>
          <w:sz w:val="19"/>
        </w:rPr>
        <w:t>There</w:t>
      </w:r>
      <w:r>
        <w:rPr>
          <w:spacing w:val="-5"/>
          <w:sz w:val="19"/>
        </w:rPr>
        <w:t> </w:t>
      </w:r>
      <w:r>
        <w:rPr>
          <w:sz w:val="19"/>
        </w:rPr>
        <w:t>may</w:t>
      </w:r>
      <w:r>
        <w:rPr>
          <w:spacing w:val="-6"/>
          <w:sz w:val="19"/>
        </w:rPr>
        <w:t> </w:t>
      </w:r>
      <w:r>
        <w:rPr>
          <w:sz w:val="19"/>
        </w:rPr>
        <w:t>be</w:t>
      </w:r>
      <w:r>
        <w:rPr>
          <w:spacing w:val="-6"/>
          <w:sz w:val="19"/>
        </w:rPr>
        <w:t> </w:t>
      </w:r>
      <w:r>
        <w:rPr>
          <w:sz w:val="19"/>
        </w:rPr>
        <w:t>some</w:t>
      </w:r>
      <w:r>
        <w:rPr>
          <w:spacing w:val="-6"/>
          <w:sz w:val="19"/>
        </w:rPr>
        <w:t> </w:t>
      </w:r>
      <w:r>
        <w:rPr>
          <w:sz w:val="19"/>
        </w:rPr>
        <w:t>cultural</w:t>
      </w:r>
      <w:r>
        <w:rPr>
          <w:spacing w:val="-6"/>
          <w:sz w:val="19"/>
        </w:rPr>
        <w:t> </w:t>
      </w:r>
      <w:r>
        <w:rPr>
          <w:sz w:val="19"/>
        </w:rPr>
        <w:t>differences</w:t>
      </w:r>
      <w:r>
        <w:rPr>
          <w:spacing w:val="-6"/>
          <w:sz w:val="19"/>
        </w:rPr>
        <w:t> </w:t>
      </w:r>
      <w:r>
        <w:rPr>
          <w:sz w:val="19"/>
        </w:rPr>
        <w:t>that</w:t>
      </w:r>
      <w:r>
        <w:rPr>
          <w:spacing w:val="-5"/>
          <w:sz w:val="19"/>
        </w:rPr>
        <w:t> </w:t>
      </w:r>
      <w:r>
        <w:rPr>
          <w:sz w:val="19"/>
        </w:rPr>
        <w:t>will</w:t>
      </w:r>
      <w:r>
        <w:rPr>
          <w:spacing w:val="-6"/>
          <w:sz w:val="19"/>
        </w:rPr>
        <w:t> </w:t>
      </w:r>
      <w:r>
        <w:rPr>
          <w:sz w:val="19"/>
        </w:rPr>
        <w:t>need</w:t>
      </w:r>
      <w:r>
        <w:rPr>
          <w:spacing w:val="-6"/>
          <w:sz w:val="19"/>
        </w:rPr>
        <w:t> </w:t>
      </w:r>
      <w:r>
        <w:rPr>
          <w:sz w:val="19"/>
        </w:rPr>
        <w:t>to be unpacked and</w:t>
      </w:r>
      <w:r>
        <w:rPr>
          <w:spacing w:val="-6"/>
          <w:sz w:val="19"/>
        </w:rPr>
        <w:t> </w:t>
      </w:r>
      <w:r>
        <w:rPr>
          <w:sz w:val="19"/>
        </w:rPr>
        <w:t>understood.</w:t>
      </w:r>
      <w:r>
        <w:rPr>
          <w:position w:val="6"/>
          <w:sz w:val="11"/>
        </w:rPr>
        <w:t>48</w:t>
      </w:r>
    </w:p>
    <w:p>
      <w:pPr>
        <w:pStyle w:val="ListParagraph"/>
        <w:numPr>
          <w:ilvl w:val="1"/>
          <w:numId w:val="12"/>
        </w:numPr>
        <w:tabs>
          <w:tab w:pos="1761" w:val="left" w:leader="none"/>
          <w:tab w:pos="1762" w:val="left" w:leader="none"/>
        </w:tabs>
        <w:spacing w:line="206" w:lineRule="auto" w:before="124" w:after="0"/>
        <w:ind w:left="1761" w:right="1342" w:hanging="794"/>
        <w:jc w:val="left"/>
        <w:rPr>
          <w:sz w:val="20"/>
        </w:rPr>
      </w:pPr>
      <w:r>
        <w:rPr>
          <w:spacing w:val="-6"/>
          <w:sz w:val="20"/>
        </w:rPr>
        <w:t>We</w:t>
      </w:r>
      <w:r>
        <w:rPr>
          <w:spacing w:val="-12"/>
          <w:sz w:val="20"/>
        </w:rPr>
        <w:t> </w:t>
      </w:r>
      <w:r>
        <w:rPr>
          <w:sz w:val="20"/>
        </w:rPr>
        <w:t>recommend</w:t>
      </w:r>
      <w:r>
        <w:rPr>
          <w:spacing w:val="-11"/>
          <w:sz w:val="20"/>
        </w:rPr>
        <w:t> </w:t>
      </w:r>
      <w:r>
        <w:rPr>
          <w:sz w:val="20"/>
        </w:rPr>
        <w:t>that</w:t>
      </w:r>
      <w:r>
        <w:rPr>
          <w:spacing w:val="-12"/>
          <w:sz w:val="20"/>
        </w:rPr>
        <w:t> </w:t>
      </w:r>
      <w:r>
        <w:rPr>
          <w:sz w:val="20"/>
        </w:rPr>
        <w:t>people</w:t>
      </w:r>
      <w:r>
        <w:rPr>
          <w:spacing w:val="-11"/>
          <w:sz w:val="20"/>
        </w:rPr>
        <w:t> </w:t>
      </w:r>
      <w:r>
        <w:rPr>
          <w:spacing w:val="-3"/>
          <w:sz w:val="20"/>
        </w:rPr>
        <w:t>from</w:t>
      </w:r>
      <w:r>
        <w:rPr>
          <w:spacing w:val="-12"/>
          <w:sz w:val="20"/>
        </w:rPr>
        <w:t> </w:t>
      </w:r>
      <w:r>
        <w:rPr>
          <w:sz w:val="20"/>
        </w:rPr>
        <w:t>the</w:t>
      </w:r>
      <w:r>
        <w:rPr>
          <w:spacing w:val="-11"/>
          <w:sz w:val="20"/>
        </w:rPr>
        <w:t> </w:t>
      </w:r>
      <w:r>
        <w:rPr>
          <w:sz w:val="20"/>
        </w:rPr>
        <w:t>subject</w:t>
      </w:r>
      <w:r>
        <w:rPr>
          <w:spacing w:val="-12"/>
          <w:sz w:val="20"/>
        </w:rPr>
        <w:t> </w:t>
      </w:r>
      <w:r>
        <w:rPr>
          <w:sz w:val="20"/>
        </w:rPr>
        <w:t>groups</w:t>
      </w:r>
      <w:r>
        <w:rPr>
          <w:spacing w:val="-11"/>
          <w:sz w:val="20"/>
        </w:rPr>
        <w:t> </w:t>
      </w:r>
      <w:r>
        <w:rPr>
          <w:spacing w:val="-4"/>
          <w:sz w:val="20"/>
        </w:rPr>
        <w:t>have</w:t>
      </w:r>
      <w:r>
        <w:rPr>
          <w:spacing w:val="-11"/>
          <w:sz w:val="20"/>
        </w:rPr>
        <w:t> </w:t>
      </w:r>
      <w:r>
        <w:rPr>
          <w:sz w:val="20"/>
        </w:rPr>
        <w:t>access</w:t>
      </w:r>
      <w:r>
        <w:rPr>
          <w:spacing w:val="-12"/>
          <w:sz w:val="20"/>
        </w:rPr>
        <w:t> </w:t>
      </w:r>
      <w:r>
        <w:rPr>
          <w:sz w:val="20"/>
        </w:rPr>
        <w:t>to</w:t>
      </w:r>
      <w:r>
        <w:rPr>
          <w:spacing w:val="-11"/>
          <w:sz w:val="20"/>
        </w:rPr>
        <w:t> </w:t>
      </w:r>
      <w:r>
        <w:rPr>
          <w:sz w:val="20"/>
        </w:rPr>
        <w:t>clear</w:t>
      </w:r>
      <w:r>
        <w:rPr>
          <w:spacing w:val="-12"/>
          <w:sz w:val="20"/>
        </w:rPr>
        <w:t> </w:t>
      </w:r>
      <w:r>
        <w:rPr>
          <w:sz w:val="20"/>
        </w:rPr>
        <w:t>information about what adjustments </w:t>
      </w:r>
      <w:r>
        <w:rPr>
          <w:spacing w:val="-3"/>
          <w:sz w:val="20"/>
        </w:rPr>
        <w:t>are available </w:t>
      </w:r>
      <w:r>
        <w:rPr>
          <w:sz w:val="20"/>
        </w:rPr>
        <w:t>to </w:t>
      </w:r>
      <w:r>
        <w:rPr>
          <w:spacing w:val="-3"/>
          <w:sz w:val="20"/>
        </w:rPr>
        <w:t>allow </w:t>
      </w:r>
      <w:r>
        <w:rPr>
          <w:sz w:val="20"/>
        </w:rPr>
        <w:t>them to serve as jurors, and what they can expect to happen throughout the process. Information should be </w:t>
      </w:r>
      <w:r>
        <w:rPr>
          <w:spacing w:val="-3"/>
          <w:sz w:val="20"/>
        </w:rPr>
        <w:t>provided </w:t>
      </w:r>
      <w:r>
        <w:rPr>
          <w:sz w:val="20"/>
        </w:rPr>
        <w:t>about all matters that will affect them,</w:t>
      </w:r>
      <w:r>
        <w:rPr>
          <w:spacing w:val="-30"/>
          <w:sz w:val="20"/>
        </w:rPr>
        <w:t> </w:t>
      </w:r>
      <w:r>
        <w:rPr>
          <w:sz w:val="20"/>
        </w:rPr>
        <w:t>including:</w:t>
      </w:r>
    </w:p>
    <w:p>
      <w:pPr>
        <w:pStyle w:val="ListParagraph"/>
        <w:numPr>
          <w:ilvl w:val="2"/>
          <w:numId w:val="12"/>
        </w:numPr>
        <w:tabs>
          <w:tab w:pos="2157" w:val="left" w:leader="none"/>
          <w:tab w:pos="2158" w:val="left" w:leader="none"/>
        </w:tabs>
        <w:spacing w:line="240" w:lineRule="auto" w:before="92" w:after="0"/>
        <w:ind w:left="2157" w:right="0" w:hanging="396"/>
        <w:jc w:val="left"/>
        <w:rPr>
          <w:sz w:val="20"/>
        </w:rPr>
      </w:pPr>
      <w:r>
        <w:rPr>
          <w:sz w:val="20"/>
        </w:rPr>
        <w:t>the need for a good understanding of</w:t>
      </w:r>
      <w:r>
        <w:rPr>
          <w:spacing w:val="-31"/>
          <w:sz w:val="20"/>
        </w:rPr>
        <w:t> </w:t>
      </w:r>
      <w:r>
        <w:rPr>
          <w:sz w:val="20"/>
        </w:rPr>
        <w:t>English</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pacing w:val="-3"/>
          <w:sz w:val="20"/>
        </w:rPr>
        <w:t>how</w:t>
      </w:r>
      <w:r>
        <w:rPr>
          <w:spacing w:val="-6"/>
          <w:sz w:val="20"/>
        </w:rPr>
        <w:t> </w:t>
      </w:r>
      <w:r>
        <w:rPr>
          <w:sz w:val="20"/>
        </w:rPr>
        <w:t>to</w:t>
      </w:r>
      <w:r>
        <w:rPr>
          <w:spacing w:val="-6"/>
          <w:sz w:val="20"/>
        </w:rPr>
        <w:t> </w:t>
      </w:r>
      <w:r>
        <w:rPr>
          <w:sz w:val="20"/>
        </w:rPr>
        <w:t>notify</w:t>
      </w:r>
      <w:r>
        <w:rPr>
          <w:spacing w:val="-5"/>
          <w:sz w:val="20"/>
        </w:rPr>
        <w:t> </w:t>
      </w:r>
      <w:r>
        <w:rPr>
          <w:sz w:val="20"/>
        </w:rPr>
        <w:t>Juries</w:t>
      </w:r>
      <w:r>
        <w:rPr>
          <w:spacing w:val="-6"/>
          <w:sz w:val="20"/>
        </w:rPr>
        <w:t> </w:t>
      </w:r>
      <w:r>
        <w:rPr>
          <w:sz w:val="20"/>
        </w:rPr>
        <w:t>Victoria</w:t>
      </w:r>
      <w:r>
        <w:rPr>
          <w:spacing w:val="-5"/>
          <w:sz w:val="20"/>
        </w:rPr>
        <w:t> </w:t>
      </w:r>
      <w:r>
        <w:rPr>
          <w:sz w:val="20"/>
        </w:rPr>
        <w:t>that</w:t>
      </w:r>
      <w:r>
        <w:rPr>
          <w:spacing w:val="-6"/>
          <w:sz w:val="20"/>
        </w:rPr>
        <w:t> </w:t>
      </w:r>
      <w:r>
        <w:rPr>
          <w:sz w:val="20"/>
        </w:rPr>
        <w:t>they</w:t>
      </w:r>
      <w:r>
        <w:rPr>
          <w:spacing w:val="-6"/>
          <w:sz w:val="20"/>
        </w:rPr>
        <w:t> </w:t>
      </w:r>
      <w:r>
        <w:rPr>
          <w:spacing w:val="-3"/>
          <w:sz w:val="20"/>
        </w:rPr>
        <w:t>require</w:t>
      </w:r>
      <w:r>
        <w:rPr>
          <w:spacing w:val="-5"/>
          <w:sz w:val="20"/>
        </w:rPr>
        <w:t> </w:t>
      </w:r>
      <w:r>
        <w:rPr>
          <w:sz w:val="20"/>
        </w:rPr>
        <w:t>an</w:t>
      </w:r>
      <w:r>
        <w:rPr>
          <w:spacing w:val="-6"/>
          <w:sz w:val="20"/>
        </w:rPr>
        <w:t> </w:t>
      </w:r>
      <w:r>
        <w:rPr>
          <w:sz w:val="20"/>
        </w:rPr>
        <w:t>adjustment</w:t>
      </w:r>
      <w:r>
        <w:rPr>
          <w:spacing w:val="-5"/>
          <w:sz w:val="20"/>
        </w:rPr>
        <w:t> </w:t>
      </w:r>
      <w:r>
        <w:rPr>
          <w:sz w:val="20"/>
        </w:rPr>
        <w:t>to</w:t>
      </w:r>
      <w:r>
        <w:rPr>
          <w:spacing w:val="-6"/>
          <w:sz w:val="20"/>
        </w:rPr>
        <w:t> </w:t>
      </w:r>
      <w:r>
        <w:rPr>
          <w:sz w:val="20"/>
        </w:rPr>
        <w:t>serve</w:t>
      </w:r>
      <w:r>
        <w:rPr>
          <w:spacing w:val="-5"/>
          <w:sz w:val="20"/>
        </w:rPr>
        <w:t> </w:t>
      </w:r>
      <w:r>
        <w:rPr>
          <w:sz w:val="20"/>
        </w:rPr>
        <w:t>as</w:t>
      </w:r>
      <w:r>
        <w:rPr>
          <w:spacing w:val="-6"/>
          <w:sz w:val="20"/>
        </w:rPr>
        <w:t> </w:t>
      </w:r>
      <w:r>
        <w:rPr>
          <w:sz w:val="20"/>
        </w:rPr>
        <w:t>a</w:t>
      </w:r>
      <w:r>
        <w:rPr>
          <w:spacing w:val="-6"/>
          <w:sz w:val="20"/>
        </w:rPr>
        <w:t> </w:t>
      </w:r>
      <w:r>
        <w:rPr>
          <w:sz w:val="20"/>
        </w:rPr>
        <w:t>juror</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pacing w:val="-3"/>
          <w:sz w:val="20"/>
        </w:rPr>
        <w:t>examples </w:t>
      </w:r>
      <w:r>
        <w:rPr>
          <w:sz w:val="20"/>
        </w:rPr>
        <w:t>of reasonable</w:t>
      </w:r>
      <w:r>
        <w:rPr>
          <w:spacing w:val="-10"/>
          <w:sz w:val="20"/>
        </w:rPr>
        <w:t> </w:t>
      </w:r>
      <w:r>
        <w:rPr>
          <w:sz w:val="20"/>
        </w:rPr>
        <w:t>adjustments</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z w:val="20"/>
        </w:rPr>
        <w:t>the</w:t>
      </w:r>
      <w:r>
        <w:rPr>
          <w:spacing w:val="-6"/>
          <w:sz w:val="20"/>
        </w:rPr>
        <w:t> </w:t>
      </w:r>
      <w:r>
        <w:rPr>
          <w:sz w:val="20"/>
        </w:rPr>
        <w:t>importance</w:t>
      </w:r>
      <w:r>
        <w:rPr>
          <w:spacing w:val="-6"/>
          <w:sz w:val="20"/>
        </w:rPr>
        <w:t> </w:t>
      </w:r>
      <w:r>
        <w:rPr>
          <w:sz w:val="20"/>
        </w:rPr>
        <w:t>of</w:t>
      </w:r>
      <w:r>
        <w:rPr>
          <w:spacing w:val="-6"/>
          <w:sz w:val="20"/>
        </w:rPr>
        <w:t> </w:t>
      </w:r>
      <w:r>
        <w:rPr>
          <w:spacing w:val="-3"/>
          <w:sz w:val="20"/>
        </w:rPr>
        <w:t>having</w:t>
      </w:r>
      <w:r>
        <w:rPr>
          <w:spacing w:val="-6"/>
          <w:sz w:val="20"/>
        </w:rPr>
        <w:t> </w:t>
      </w:r>
      <w:r>
        <w:rPr>
          <w:sz w:val="20"/>
        </w:rPr>
        <w:t>a</w:t>
      </w:r>
      <w:r>
        <w:rPr>
          <w:spacing w:val="-6"/>
          <w:sz w:val="20"/>
        </w:rPr>
        <w:t> </w:t>
      </w:r>
      <w:r>
        <w:rPr>
          <w:sz w:val="20"/>
        </w:rPr>
        <w:t>discussion</w:t>
      </w:r>
      <w:r>
        <w:rPr>
          <w:spacing w:val="-6"/>
          <w:sz w:val="20"/>
        </w:rPr>
        <w:t> </w:t>
      </w:r>
      <w:r>
        <w:rPr>
          <w:sz w:val="20"/>
        </w:rPr>
        <w:t>with</w:t>
      </w:r>
      <w:r>
        <w:rPr>
          <w:spacing w:val="-6"/>
          <w:sz w:val="20"/>
        </w:rPr>
        <w:t> </w:t>
      </w:r>
      <w:r>
        <w:rPr>
          <w:sz w:val="20"/>
        </w:rPr>
        <w:t>Juries</w:t>
      </w:r>
      <w:r>
        <w:rPr>
          <w:spacing w:val="-6"/>
          <w:sz w:val="20"/>
        </w:rPr>
        <w:t> </w:t>
      </w:r>
      <w:r>
        <w:rPr>
          <w:sz w:val="20"/>
        </w:rPr>
        <w:t>Victoria</w:t>
      </w:r>
      <w:r>
        <w:rPr>
          <w:spacing w:val="-6"/>
          <w:sz w:val="20"/>
        </w:rPr>
        <w:t> </w:t>
      </w:r>
      <w:r>
        <w:rPr>
          <w:sz w:val="20"/>
        </w:rPr>
        <w:t>about</w:t>
      </w:r>
      <w:r>
        <w:rPr>
          <w:spacing w:val="-6"/>
          <w:sz w:val="20"/>
        </w:rPr>
        <w:t> </w:t>
      </w:r>
      <w:r>
        <w:rPr>
          <w:sz w:val="20"/>
        </w:rPr>
        <w:t>adjustment</w:t>
      </w:r>
      <w:r>
        <w:rPr>
          <w:spacing w:val="-6"/>
          <w:sz w:val="20"/>
        </w:rPr>
        <w:t> </w:t>
      </w:r>
      <w:r>
        <w:rPr>
          <w:sz w:val="20"/>
        </w:rPr>
        <w:t>needs</w:t>
      </w:r>
    </w:p>
    <w:p>
      <w:pPr>
        <w:pStyle w:val="ListParagraph"/>
        <w:numPr>
          <w:ilvl w:val="2"/>
          <w:numId w:val="12"/>
        </w:numPr>
        <w:tabs>
          <w:tab w:pos="2157" w:val="left" w:leader="none"/>
          <w:tab w:pos="2158" w:val="left" w:leader="none"/>
        </w:tabs>
        <w:spacing w:line="206" w:lineRule="auto" w:before="79" w:after="0"/>
        <w:ind w:left="2157" w:right="1951" w:hanging="396"/>
        <w:jc w:val="left"/>
        <w:rPr>
          <w:sz w:val="20"/>
        </w:rPr>
      </w:pPr>
      <w:r>
        <w:rPr>
          <w:sz w:val="20"/>
        </w:rPr>
        <w:t>options</w:t>
      </w:r>
      <w:r>
        <w:rPr>
          <w:spacing w:val="-9"/>
          <w:sz w:val="20"/>
        </w:rPr>
        <w:t> </w:t>
      </w:r>
      <w:r>
        <w:rPr>
          <w:sz w:val="20"/>
        </w:rPr>
        <w:t>to</w:t>
      </w:r>
      <w:r>
        <w:rPr>
          <w:spacing w:val="-8"/>
          <w:sz w:val="20"/>
        </w:rPr>
        <w:t> </w:t>
      </w:r>
      <w:r>
        <w:rPr>
          <w:sz w:val="20"/>
        </w:rPr>
        <w:t>be</w:t>
      </w:r>
      <w:r>
        <w:rPr>
          <w:spacing w:val="-8"/>
          <w:sz w:val="20"/>
        </w:rPr>
        <w:t> </w:t>
      </w:r>
      <w:r>
        <w:rPr>
          <w:spacing w:val="-3"/>
          <w:sz w:val="20"/>
        </w:rPr>
        <w:t>excused</w:t>
      </w:r>
      <w:r>
        <w:rPr>
          <w:spacing w:val="-8"/>
          <w:sz w:val="20"/>
        </w:rPr>
        <w:t> </w:t>
      </w:r>
      <w:r>
        <w:rPr>
          <w:sz w:val="20"/>
        </w:rPr>
        <w:t>or</w:t>
      </w:r>
      <w:r>
        <w:rPr>
          <w:spacing w:val="-8"/>
          <w:sz w:val="20"/>
        </w:rPr>
        <w:t> </w:t>
      </w:r>
      <w:r>
        <w:rPr>
          <w:spacing w:val="-4"/>
          <w:sz w:val="20"/>
        </w:rPr>
        <w:t>have</w:t>
      </w:r>
      <w:r>
        <w:rPr>
          <w:spacing w:val="-8"/>
          <w:sz w:val="20"/>
        </w:rPr>
        <w:t> </w:t>
      </w:r>
      <w:r>
        <w:rPr>
          <w:sz w:val="20"/>
        </w:rPr>
        <w:t>service</w:t>
      </w:r>
      <w:r>
        <w:rPr>
          <w:spacing w:val="-8"/>
          <w:sz w:val="20"/>
        </w:rPr>
        <w:t> </w:t>
      </w:r>
      <w:r>
        <w:rPr>
          <w:sz w:val="20"/>
        </w:rPr>
        <w:t>deferred,</w:t>
      </w:r>
      <w:r>
        <w:rPr>
          <w:spacing w:val="-9"/>
          <w:sz w:val="20"/>
        </w:rPr>
        <w:t> </w:t>
      </w:r>
      <w:r>
        <w:rPr>
          <w:sz w:val="20"/>
        </w:rPr>
        <w:t>with</w:t>
      </w:r>
      <w:r>
        <w:rPr>
          <w:spacing w:val="-8"/>
          <w:sz w:val="20"/>
        </w:rPr>
        <w:t> </w:t>
      </w:r>
      <w:r>
        <w:rPr>
          <w:spacing w:val="-3"/>
          <w:sz w:val="20"/>
        </w:rPr>
        <w:t>examples</w:t>
      </w:r>
      <w:r>
        <w:rPr>
          <w:spacing w:val="-8"/>
          <w:sz w:val="20"/>
        </w:rPr>
        <w:t> </w:t>
      </w:r>
      <w:r>
        <w:rPr>
          <w:sz w:val="20"/>
        </w:rPr>
        <w:t>of</w:t>
      </w:r>
      <w:r>
        <w:rPr>
          <w:spacing w:val="-8"/>
          <w:sz w:val="20"/>
        </w:rPr>
        <w:t> </w:t>
      </w:r>
      <w:r>
        <w:rPr>
          <w:sz w:val="20"/>
        </w:rPr>
        <w:t>common scenarios</w:t>
      </w:r>
    </w:p>
    <w:p>
      <w:pPr>
        <w:pStyle w:val="ListParagraph"/>
        <w:numPr>
          <w:ilvl w:val="2"/>
          <w:numId w:val="12"/>
        </w:numPr>
        <w:tabs>
          <w:tab w:pos="2157" w:val="left" w:leader="none"/>
          <w:tab w:pos="2158" w:val="left" w:leader="none"/>
        </w:tabs>
        <w:spacing w:line="206" w:lineRule="auto" w:before="88" w:after="0"/>
        <w:ind w:left="2157" w:right="1243" w:hanging="396"/>
        <w:jc w:val="left"/>
        <w:rPr>
          <w:sz w:val="20"/>
        </w:rPr>
      </w:pPr>
      <w:r>
        <w:rPr>
          <w:sz w:val="20"/>
        </w:rPr>
        <w:t>options</w:t>
      </w:r>
      <w:r>
        <w:rPr>
          <w:spacing w:val="-10"/>
          <w:sz w:val="20"/>
        </w:rPr>
        <w:t> </w:t>
      </w:r>
      <w:r>
        <w:rPr>
          <w:sz w:val="20"/>
        </w:rPr>
        <w:t>to</w:t>
      </w:r>
      <w:r>
        <w:rPr>
          <w:spacing w:val="-10"/>
          <w:sz w:val="20"/>
        </w:rPr>
        <w:t> </w:t>
      </w:r>
      <w:r>
        <w:rPr>
          <w:sz w:val="20"/>
        </w:rPr>
        <w:t>visit</w:t>
      </w:r>
      <w:r>
        <w:rPr>
          <w:spacing w:val="-10"/>
          <w:sz w:val="20"/>
        </w:rPr>
        <w:t> </w:t>
      </w:r>
      <w:r>
        <w:rPr>
          <w:sz w:val="20"/>
        </w:rPr>
        <w:t>court</w:t>
      </w:r>
      <w:r>
        <w:rPr>
          <w:spacing w:val="-9"/>
          <w:sz w:val="20"/>
        </w:rPr>
        <w:t> </w:t>
      </w:r>
      <w:r>
        <w:rPr>
          <w:sz w:val="20"/>
        </w:rPr>
        <w:t>ahead</w:t>
      </w:r>
      <w:r>
        <w:rPr>
          <w:spacing w:val="-10"/>
          <w:sz w:val="20"/>
        </w:rPr>
        <w:t> </w:t>
      </w:r>
      <w:r>
        <w:rPr>
          <w:sz w:val="20"/>
        </w:rPr>
        <w:t>of</w:t>
      </w:r>
      <w:r>
        <w:rPr>
          <w:spacing w:val="-10"/>
          <w:sz w:val="20"/>
        </w:rPr>
        <w:t> </w:t>
      </w:r>
      <w:r>
        <w:rPr>
          <w:sz w:val="20"/>
        </w:rPr>
        <w:t>jury</w:t>
      </w:r>
      <w:r>
        <w:rPr>
          <w:spacing w:val="-10"/>
          <w:sz w:val="20"/>
        </w:rPr>
        <w:t> </w:t>
      </w:r>
      <w:r>
        <w:rPr>
          <w:sz w:val="20"/>
        </w:rPr>
        <w:t>empanelment</w:t>
      </w:r>
      <w:r>
        <w:rPr>
          <w:spacing w:val="-9"/>
          <w:sz w:val="20"/>
        </w:rPr>
        <w:t> </w:t>
      </w:r>
      <w:r>
        <w:rPr>
          <w:sz w:val="20"/>
        </w:rPr>
        <w:t>to</w:t>
      </w:r>
      <w:r>
        <w:rPr>
          <w:spacing w:val="-10"/>
          <w:sz w:val="20"/>
        </w:rPr>
        <w:t> </w:t>
      </w:r>
      <w:r>
        <w:rPr>
          <w:sz w:val="20"/>
        </w:rPr>
        <w:t>familiarise</w:t>
      </w:r>
      <w:r>
        <w:rPr>
          <w:spacing w:val="-10"/>
          <w:sz w:val="20"/>
        </w:rPr>
        <w:t> </w:t>
      </w:r>
      <w:r>
        <w:rPr>
          <w:spacing w:val="-3"/>
          <w:sz w:val="20"/>
        </w:rPr>
        <w:t>themselves</w:t>
      </w:r>
      <w:r>
        <w:rPr>
          <w:spacing w:val="-9"/>
          <w:sz w:val="20"/>
        </w:rPr>
        <w:t> </w:t>
      </w:r>
      <w:r>
        <w:rPr>
          <w:sz w:val="20"/>
        </w:rPr>
        <w:t>with</w:t>
      </w:r>
      <w:r>
        <w:rPr>
          <w:spacing w:val="-10"/>
          <w:sz w:val="20"/>
        </w:rPr>
        <w:t> </w:t>
      </w:r>
      <w:r>
        <w:rPr>
          <w:sz w:val="20"/>
        </w:rPr>
        <w:t>the courtroom and court building and to discuss</w:t>
      </w:r>
      <w:r>
        <w:rPr>
          <w:spacing w:val="-36"/>
          <w:sz w:val="20"/>
        </w:rPr>
        <w:t> </w:t>
      </w:r>
      <w:r>
        <w:rPr>
          <w:sz w:val="20"/>
        </w:rPr>
        <w:t>adjustments</w:t>
      </w:r>
    </w:p>
    <w:p>
      <w:pPr>
        <w:pStyle w:val="ListParagraph"/>
        <w:numPr>
          <w:ilvl w:val="2"/>
          <w:numId w:val="12"/>
        </w:numPr>
        <w:tabs>
          <w:tab w:pos="2157" w:val="left" w:leader="none"/>
          <w:tab w:pos="2158" w:val="left" w:leader="none"/>
        </w:tabs>
        <w:spacing w:line="206" w:lineRule="auto" w:before="88" w:after="0"/>
        <w:ind w:left="2157" w:right="1599" w:hanging="396"/>
        <w:jc w:val="left"/>
        <w:rPr>
          <w:sz w:val="20"/>
        </w:rPr>
      </w:pPr>
      <w:r>
        <w:rPr>
          <w:sz w:val="20"/>
        </w:rPr>
        <w:t>the assessment process and what that will </w:t>
      </w:r>
      <w:r>
        <w:rPr>
          <w:spacing w:val="-4"/>
          <w:sz w:val="20"/>
        </w:rPr>
        <w:t>involve—who </w:t>
      </w:r>
      <w:r>
        <w:rPr>
          <w:sz w:val="20"/>
        </w:rPr>
        <w:t>will </w:t>
      </w:r>
      <w:r>
        <w:rPr>
          <w:spacing w:val="-3"/>
          <w:sz w:val="20"/>
        </w:rPr>
        <w:t>make </w:t>
      </w:r>
      <w:r>
        <w:rPr>
          <w:sz w:val="20"/>
        </w:rPr>
        <w:t>decisions and the opportunity for the person to </w:t>
      </w:r>
      <w:r>
        <w:rPr>
          <w:spacing w:val="-3"/>
          <w:sz w:val="20"/>
        </w:rPr>
        <w:t>express </w:t>
      </w:r>
      <w:r>
        <w:rPr>
          <w:sz w:val="20"/>
        </w:rPr>
        <w:t>their needs to Juries Victoria and</w:t>
      </w:r>
      <w:r>
        <w:rPr>
          <w:spacing w:val="-10"/>
          <w:sz w:val="20"/>
        </w:rPr>
        <w:t> </w:t>
      </w:r>
      <w:r>
        <w:rPr>
          <w:sz w:val="20"/>
        </w:rPr>
        <w:t>the</w:t>
      </w:r>
      <w:r>
        <w:rPr>
          <w:spacing w:val="-9"/>
          <w:sz w:val="20"/>
        </w:rPr>
        <w:t> </w:t>
      </w:r>
      <w:r>
        <w:rPr>
          <w:sz w:val="20"/>
        </w:rPr>
        <w:t>court,</w:t>
      </w:r>
      <w:r>
        <w:rPr>
          <w:spacing w:val="-9"/>
          <w:sz w:val="20"/>
        </w:rPr>
        <w:t> </w:t>
      </w:r>
      <w:r>
        <w:rPr>
          <w:sz w:val="20"/>
        </w:rPr>
        <w:t>the</w:t>
      </w:r>
      <w:r>
        <w:rPr>
          <w:spacing w:val="-9"/>
          <w:sz w:val="20"/>
        </w:rPr>
        <w:t> </w:t>
      </w:r>
      <w:r>
        <w:rPr>
          <w:sz w:val="20"/>
        </w:rPr>
        <w:t>possibility</w:t>
      </w:r>
      <w:r>
        <w:rPr>
          <w:spacing w:val="-10"/>
          <w:sz w:val="20"/>
        </w:rPr>
        <w:t> </w:t>
      </w:r>
      <w:r>
        <w:rPr>
          <w:sz w:val="20"/>
        </w:rPr>
        <w:t>of</w:t>
      </w:r>
      <w:r>
        <w:rPr>
          <w:spacing w:val="-9"/>
          <w:sz w:val="20"/>
        </w:rPr>
        <w:t> </w:t>
      </w:r>
      <w:r>
        <w:rPr>
          <w:sz w:val="20"/>
        </w:rPr>
        <w:t>not</w:t>
      </w:r>
      <w:r>
        <w:rPr>
          <w:spacing w:val="-9"/>
          <w:sz w:val="20"/>
        </w:rPr>
        <w:t> </w:t>
      </w:r>
      <w:r>
        <w:rPr>
          <w:sz w:val="20"/>
        </w:rPr>
        <w:t>being</w:t>
      </w:r>
      <w:r>
        <w:rPr>
          <w:spacing w:val="-9"/>
          <w:sz w:val="20"/>
        </w:rPr>
        <w:t> </w:t>
      </w:r>
      <w:r>
        <w:rPr>
          <w:sz w:val="20"/>
        </w:rPr>
        <w:t>able</w:t>
      </w:r>
      <w:r>
        <w:rPr>
          <w:spacing w:val="-10"/>
          <w:sz w:val="20"/>
        </w:rPr>
        <w:t> </w:t>
      </w:r>
      <w:r>
        <w:rPr>
          <w:sz w:val="20"/>
        </w:rPr>
        <w:t>to</w:t>
      </w:r>
      <w:r>
        <w:rPr>
          <w:spacing w:val="-9"/>
          <w:sz w:val="20"/>
        </w:rPr>
        <w:t> </w:t>
      </w:r>
      <w:r>
        <w:rPr>
          <w:sz w:val="20"/>
        </w:rPr>
        <w:t>serve</w:t>
      </w:r>
      <w:r>
        <w:rPr>
          <w:spacing w:val="-9"/>
          <w:sz w:val="20"/>
        </w:rPr>
        <w:t> </w:t>
      </w:r>
      <w:r>
        <w:rPr>
          <w:sz w:val="20"/>
        </w:rPr>
        <w:t>if</w:t>
      </w:r>
      <w:r>
        <w:rPr>
          <w:spacing w:val="-9"/>
          <w:sz w:val="20"/>
        </w:rPr>
        <w:t> </w:t>
      </w:r>
      <w:r>
        <w:rPr>
          <w:sz w:val="20"/>
        </w:rPr>
        <w:t>fair</w:t>
      </w:r>
      <w:r>
        <w:rPr>
          <w:spacing w:val="-10"/>
          <w:sz w:val="20"/>
        </w:rPr>
        <w:t> </w:t>
      </w:r>
      <w:r>
        <w:rPr>
          <w:sz w:val="20"/>
        </w:rPr>
        <w:t>trial</w:t>
      </w:r>
      <w:r>
        <w:rPr>
          <w:spacing w:val="-9"/>
          <w:sz w:val="20"/>
        </w:rPr>
        <w:t> </w:t>
      </w:r>
      <w:r>
        <w:rPr>
          <w:sz w:val="20"/>
        </w:rPr>
        <w:t>issues</w:t>
      </w:r>
      <w:r>
        <w:rPr>
          <w:spacing w:val="-9"/>
          <w:sz w:val="20"/>
        </w:rPr>
        <w:t> </w:t>
      </w:r>
      <w:r>
        <w:rPr>
          <w:sz w:val="20"/>
        </w:rPr>
        <w:t>arise</w:t>
      </w:r>
      <w:r>
        <w:rPr>
          <w:spacing w:val="-9"/>
          <w:sz w:val="20"/>
        </w:rPr>
        <w:t> </w:t>
      </w:r>
      <w:r>
        <w:rPr>
          <w:sz w:val="20"/>
        </w:rPr>
        <w:t>or adjustments </w:t>
      </w:r>
      <w:r>
        <w:rPr>
          <w:spacing w:val="-3"/>
          <w:sz w:val="20"/>
        </w:rPr>
        <w:t>are </w:t>
      </w:r>
      <w:r>
        <w:rPr>
          <w:sz w:val="20"/>
        </w:rPr>
        <w:t>deemed</w:t>
      </w:r>
      <w:r>
        <w:rPr>
          <w:spacing w:val="-11"/>
          <w:sz w:val="20"/>
        </w:rPr>
        <w:t> </w:t>
      </w:r>
      <w:r>
        <w:rPr>
          <w:sz w:val="20"/>
        </w:rPr>
        <w:t>unreasonable</w:t>
      </w:r>
    </w:p>
    <w:p>
      <w:pPr>
        <w:pStyle w:val="BodyText"/>
      </w:pPr>
    </w:p>
    <w:p>
      <w:pPr>
        <w:pStyle w:val="BodyText"/>
        <w:spacing w:before="3"/>
        <w:rPr>
          <w:sz w:val="16"/>
        </w:rPr>
      </w:pPr>
      <w:r>
        <w:rPr/>
        <w:pict>
          <v:line style="position:absolute;mso-position-horizontal-relative:page;mso-position-vertical-relative:paragraph;z-index:11360;mso-wrap-distance-left:0;mso-wrap-distance-right:0" from="79.370003pt,13.741283pt" to="515.905003pt,13.741283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21"/>
        </w:numPr>
        <w:tabs>
          <w:tab w:pos="1761" w:val="left" w:leader="none"/>
          <w:tab w:pos="1762" w:val="left" w:leader="none"/>
        </w:tabs>
        <w:spacing w:line="170" w:lineRule="exact" w:before="21" w:after="0"/>
        <w:ind w:left="1761" w:right="0" w:hanging="794"/>
        <w:jc w:val="left"/>
        <w:rPr>
          <w:sz w:val="13"/>
        </w:rPr>
      </w:pPr>
      <w:r>
        <w:rPr>
          <w:sz w:val="13"/>
        </w:rPr>
        <w:t>Consultation 5 (Expression</w:t>
      </w:r>
      <w:r>
        <w:rPr>
          <w:spacing w:val="1"/>
          <w:sz w:val="13"/>
        </w:rPr>
        <w:t> </w:t>
      </w:r>
      <w:r>
        <w:rPr>
          <w:sz w:val="13"/>
        </w:rPr>
        <w:t>Australia).</w:t>
      </w:r>
    </w:p>
    <w:p>
      <w:pPr>
        <w:pStyle w:val="ListParagraph"/>
        <w:numPr>
          <w:ilvl w:val="0"/>
          <w:numId w:val="121"/>
        </w:numPr>
        <w:tabs>
          <w:tab w:pos="1761" w:val="left" w:leader="none"/>
          <w:tab w:pos="1762" w:val="left" w:leader="none"/>
        </w:tabs>
        <w:spacing w:line="213" w:lineRule="auto" w:before="7" w:after="0"/>
        <w:ind w:left="1761" w:right="0" w:hanging="794"/>
        <w:jc w:val="left"/>
        <w:rPr>
          <w:sz w:val="13"/>
        </w:rPr>
      </w:pPr>
      <w:r>
        <w:rPr>
          <w:sz w:val="13"/>
        </w:rPr>
        <w:t>Consultation 24 </w:t>
      </w:r>
      <w:r>
        <w:rPr>
          <w:spacing w:val="2"/>
          <w:sz w:val="13"/>
        </w:rPr>
        <w:t>(Alastair </w:t>
      </w:r>
      <w:r>
        <w:rPr>
          <w:sz w:val="13"/>
        </w:rPr>
        <w:t>McEwin AM, Royal Commissioner, Royal </w:t>
      </w:r>
      <w:r>
        <w:rPr>
          <w:spacing w:val="2"/>
          <w:sz w:val="13"/>
        </w:rPr>
        <w:t>Commission </w:t>
      </w:r>
      <w:r>
        <w:rPr>
          <w:sz w:val="13"/>
        </w:rPr>
        <w:t>into Violence, Abuse, Neglect and </w:t>
      </w:r>
      <w:r>
        <w:rPr>
          <w:spacing w:val="2"/>
          <w:sz w:val="13"/>
        </w:rPr>
        <w:t>Exploitation </w:t>
      </w:r>
      <w:r>
        <w:rPr>
          <w:sz w:val="13"/>
        </w:rPr>
        <w:t>of People with Disability, in his personal</w:t>
      </w:r>
      <w:r>
        <w:rPr>
          <w:spacing w:val="2"/>
          <w:sz w:val="13"/>
        </w:rPr>
        <w:t> </w:t>
      </w:r>
      <w:r>
        <w:rPr>
          <w:sz w:val="13"/>
        </w:rPr>
        <w:t>capacity).</w:t>
      </w:r>
    </w:p>
    <w:p>
      <w:pPr>
        <w:pStyle w:val="ListParagraph"/>
        <w:numPr>
          <w:ilvl w:val="0"/>
          <w:numId w:val="121"/>
        </w:numPr>
        <w:tabs>
          <w:tab w:pos="1760" w:val="left" w:leader="none"/>
          <w:tab w:pos="1762" w:val="left" w:leader="none"/>
        </w:tabs>
        <w:spacing w:line="153" w:lineRule="exact" w:before="0" w:after="0"/>
        <w:ind w:left="1761" w:right="0" w:hanging="794"/>
        <w:jc w:val="left"/>
        <w:rPr>
          <w:sz w:val="13"/>
        </w:rPr>
      </w:pPr>
      <w:r>
        <w:rPr>
          <w:sz w:val="13"/>
        </w:rPr>
        <w:t>Consultation 21 </w:t>
      </w:r>
      <w:r>
        <w:rPr>
          <w:spacing w:val="2"/>
          <w:sz w:val="13"/>
        </w:rPr>
        <w:t>(Della </w:t>
      </w:r>
      <w:r>
        <w:rPr>
          <w:sz w:val="13"/>
        </w:rPr>
        <w:t>Goswell, Lecturer, Convenor </w:t>
      </w:r>
      <w:r>
        <w:rPr>
          <w:spacing w:val="2"/>
          <w:sz w:val="13"/>
        </w:rPr>
        <w:t>Auslan-English </w:t>
      </w:r>
      <w:r>
        <w:rPr>
          <w:sz w:val="13"/>
        </w:rPr>
        <w:t>Interpreting Program, Macquarie University,</w:t>
      </w:r>
      <w:r>
        <w:rPr>
          <w:spacing w:val="1"/>
          <w:sz w:val="13"/>
        </w:rPr>
        <w:t> </w:t>
      </w:r>
      <w:r>
        <w:rPr>
          <w:sz w:val="13"/>
        </w:rPr>
        <w:t>NSW).</w:t>
      </w:r>
    </w:p>
    <w:p>
      <w:pPr>
        <w:pStyle w:val="ListParagraph"/>
        <w:numPr>
          <w:ilvl w:val="0"/>
          <w:numId w:val="121"/>
        </w:numPr>
        <w:tabs>
          <w:tab w:pos="1761" w:val="left" w:leader="none"/>
          <w:tab w:pos="1762" w:val="left" w:leader="none"/>
        </w:tabs>
        <w:spacing w:line="170" w:lineRule="exact" w:before="0" w:after="0"/>
        <w:ind w:left="1761" w:right="0" w:hanging="794"/>
        <w:jc w:val="left"/>
        <w:rPr>
          <w:sz w:val="13"/>
        </w:rPr>
      </w:pPr>
      <w:r>
        <w:rPr>
          <w:sz w:val="13"/>
        </w:rPr>
        <w:t>Consultation 6 (Deaf Victoria and community</w:t>
      </w:r>
      <w:r>
        <w:rPr>
          <w:spacing w:val="4"/>
          <w:sz w:val="13"/>
        </w:rPr>
        <w:t> </w:t>
      </w:r>
      <w:r>
        <w:rPr>
          <w:sz w:val="13"/>
        </w:rPr>
        <w:t>participants).</w:t>
      </w:r>
    </w:p>
    <w:p>
      <w:pPr>
        <w:pStyle w:val="BodyText"/>
        <w:spacing w:before="7"/>
        <w:rPr>
          <w:sz w:val="38"/>
        </w:rPr>
      </w:pPr>
      <w:r>
        <w:rPr/>
        <w:br w:type="column"/>
      </w:r>
      <w:r>
        <w:rPr>
          <w:sz w:val="38"/>
        </w:rPr>
      </w:r>
    </w:p>
    <w:p>
      <w:pPr>
        <w:spacing w:before="0"/>
        <w:ind w:left="660" w:right="0" w:firstLine="0"/>
        <w:jc w:val="left"/>
        <w:rPr>
          <w:b/>
          <w:sz w:val="24"/>
        </w:rPr>
      </w:pPr>
      <w:r>
        <w:rPr>
          <w:b/>
          <w:color w:val="37617A"/>
          <w:sz w:val="24"/>
        </w:rPr>
        <w:t>215</w:t>
      </w:r>
    </w:p>
    <w:p>
      <w:pPr>
        <w:spacing w:after="0"/>
        <w:jc w:val="left"/>
        <w:rPr>
          <w:sz w:val="24"/>
        </w:rPr>
        <w:sectPr>
          <w:type w:val="continuous"/>
          <w:pgSz w:w="11910" w:h="16840"/>
          <w:pgMar w:top="620" w:bottom="280" w:left="620" w:right="380"/>
          <w:cols w:num="2" w:equalWidth="0">
            <w:col w:w="9599" w:space="40"/>
            <w:col w:w="1271"/>
          </w:cols>
        </w:sectPr>
      </w:pPr>
    </w:p>
    <w:p>
      <w:pPr>
        <w:pStyle w:val="BodyText"/>
        <w:rPr>
          <w:b/>
        </w:rPr>
      </w:pPr>
    </w:p>
    <w:p>
      <w:pPr>
        <w:pStyle w:val="BodyText"/>
        <w:rPr>
          <w:b/>
        </w:rPr>
      </w:pPr>
    </w:p>
    <w:p>
      <w:pPr>
        <w:pStyle w:val="BodyText"/>
        <w:rPr>
          <w:b/>
        </w:rPr>
      </w:pPr>
    </w:p>
    <w:p>
      <w:pPr>
        <w:pStyle w:val="BodyText"/>
        <w:spacing w:before="7"/>
        <w:rPr>
          <w:b/>
          <w:sz w:val="16"/>
        </w:rPr>
      </w:pPr>
    </w:p>
    <w:p>
      <w:pPr>
        <w:pStyle w:val="ListParagraph"/>
        <w:numPr>
          <w:ilvl w:val="1"/>
          <w:numId w:val="121"/>
        </w:numPr>
        <w:tabs>
          <w:tab w:pos="2157" w:val="left" w:leader="none"/>
          <w:tab w:pos="2158" w:val="left" w:leader="none"/>
        </w:tabs>
        <w:spacing w:line="240" w:lineRule="auto" w:before="0" w:after="0"/>
        <w:ind w:left="2157" w:right="0" w:hanging="396"/>
        <w:jc w:val="left"/>
        <w:rPr>
          <w:sz w:val="20"/>
        </w:rPr>
      </w:pPr>
      <w:r>
        <w:rPr>
          <w:sz w:val="20"/>
        </w:rPr>
        <w:t>what</w:t>
      </w:r>
      <w:r>
        <w:rPr>
          <w:spacing w:val="-5"/>
          <w:sz w:val="20"/>
        </w:rPr>
        <w:t> </w:t>
      </w:r>
      <w:r>
        <w:rPr>
          <w:sz w:val="20"/>
        </w:rPr>
        <w:t>will</w:t>
      </w:r>
      <w:r>
        <w:rPr>
          <w:spacing w:val="-5"/>
          <w:sz w:val="20"/>
        </w:rPr>
        <w:t> </w:t>
      </w:r>
      <w:r>
        <w:rPr>
          <w:sz w:val="20"/>
        </w:rPr>
        <w:t>be</w:t>
      </w:r>
      <w:r>
        <w:rPr>
          <w:spacing w:val="-5"/>
          <w:sz w:val="20"/>
        </w:rPr>
        <w:t> </w:t>
      </w:r>
      <w:r>
        <w:rPr>
          <w:sz w:val="20"/>
        </w:rPr>
        <w:t>expected</w:t>
      </w:r>
      <w:r>
        <w:rPr>
          <w:spacing w:val="-5"/>
          <w:sz w:val="20"/>
        </w:rPr>
        <w:t> </w:t>
      </w:r>
      <w:r>
        <w:rPr>
          <w:sz w:val="20"/>
        </w:rPr>
        <w:t>of</w:t>
      </w:r>
      <w:r>
        <w:rPr>
          <w:spacing w:val="-5"/>
          <w:sz w:val="20"/>
        </w:rPr>
        <w:t> </w:t>
      </w:r>
      <w:r>
        <w:rPr>
          <w:sz w:val="20"/>
        </w:rPr>
        <w:t>them</w:t>
      </w:r>
      <w:r>
        <w:rPr>
          <w:spacing w:val="-5"/>
          <w:sz w:val="20"/>
        </w:rPr>
        <w:t> </w:t>
      </w:r>
      <w:r>
        <w:rPr>
          <w:sz w:val="20"/>
        </w:rPr>
        <w:t>at</w:t>
      </w:r>
      <w:r>
        <w:rPr>
          <w:spacing w:val="-5"/>
          <w:sz w:val="20"/>
        </w:rPr>
        <w:t> </w:t>
      </w:r>
      <w:r>
        <w:rPr>
          <w:sz w:val="20"/>
        </w:rPr>
        <w:t>trial</w:t>
      </w:r>
      <w:r>
        <w:rPr>
          <w:spacing w:val="-5"/>
          <w:sz w:val="20"/>
        </w:rPr>
        <w:t> </w:t>
      </w:r>
      <w:r>
        <w:rPr>
          <w:sz w:val="20"/>
        </w:rPr>
        <w:t>if</w:t>
      </w:r>
      <w:r>
        <w:rPr>
          <w:spacing w:val="-5"/>
          <w:sz w:val="20"/>
        </w:rPr>
        <w:t> </w:t>
      </w:r>
      <w:r>
        <w:rPr>
          <w:sz w:val="20"/>
        </w:rPr>
        <w:t>they</w:t>
      </w:r>
      <w:r>
        <w:rPr>
          <w:spacing w:val="-5"/>
          <w:sz w:val="20"/>
        </w:rPr>
        <w:t> </w:t>
      </w:r>
      <w:r>
        <w:rPr>
          <w:spacing w:val="-3"/>
          <w:sz w:val="20"/>
        </w:rPr>
        <w:t>are</w:t>
      </w:r>
      <w:r>
        <w:rPr>
          <w:spacing w:val="-5"/>
          <w:sz w:val="20"/>
        </w:rPr>
        <w:t> </w:t>
      </w:r>
      <w:r>
        <w:rPr>
          <w:sz w:val="20"/>
        </w:rPr>
        <w:t>selected</w:t>
      </w:r>
      <w:r>
        <w:rPr>
          <w:spacing w:val="-5"/>
          <w:sz w:val="20"/>
        </w:rPr>
        <w:t> </w:t>
      </w:r>
      <w:r>
        <w:rPr>
          <w:sz w:val="20"/>
        </w:rPr>
        <w:t>on</w:t>
      </w:r>
      <w:r>
        <w:rPr>
          <w:spacing w:val="-5"/>
          <w:sz w:val="20"/>
        </w:rPr>
        <w:t> </w:t>
      </w:r>
      <w:r>
        <w:rPr>
          <w:sz w:val="20"/>
        </w:rPr>
        <w:t>a</w:t>
      </w:r>
      <w:r>
        <w:rPr>
          <w:spacing w:val="-5"/>
          <w:sz w:val="20"/>
        </w:rPr>
        <w:t> </w:t>
      </w:r>
      <w:r>
        <w:rPr>
          <w:sz w:val="20"/>
        </w:rPr>
        <w:t>jury</w:t>
      </w:r>
    </w:p>
    <w:p>
      <w:pPr>
        <w:pStyle w:val="ListParagraph"/>
        <w:numPr>
          <w:ilvl w:val="1"/>
          <w:numId w:val="121"/>
        </w:numPr>
        <w:tabs>
          <w:tab w:pos="2157" w:val="left" w:leader="none"/>
          <w:tab w:pos="2158" w:val="left" w:leader="none"/>
        </w:tabs>
        <w:spacing w:line="206" w:lineRule="auto" w:before="79" w:after="0"/>
        <w:ind w:left="2157" w:right="1268" w:hanging="396"/>
        <w:jc w:val="left"/>
        <w:rPr>
          <w:sz w:val="20"/>
        </w:rPr>
      </w:pPr>
      <w:r>
        <w:rPr>
          <w:sz w:val="20"/>
        </w:rPr>
        <w:t>information</w:t>
      </w:r>
      <w:r>
        <w:rPr>
          <w:spacing w:val="-13"/>
          <w:sz w:val="20"/>
        </w:rPr>
        <w:t> </w:t>
      </w:r>
      <w:r>
        <w:rPr>
          <w:sz w:val="20"/>
        </w:rPr>
        <w:t>about</w:t>
      </w:r>
      <w:r>
        <w:rPr>
          <w:spacing w:val="-12"/>
          <w:sz w:val="20"/>
        </w:rPr>
        <w:t> </w:t>
      </w:r>
      <w:r>
        <w:rPr>
          <w:sz w:val="20"/>
        </w:rPr>
        <w:t>the</w:t>
      </w:r>
      <w:r>
        <w:rPr>
          <w:spacing w:val="-13"/>
          <w:sz w:val="20"/>
        </w:rPr>
        <w:t> </w:t>
      </w:r>
      <w:r>
        <w:rPr>
          <w:sz w:val="20"/>
        </w:rPr>
        <w:t>responsibilities</w:t>
      </w:r>
      <w:r>
        <w:rPr>
          <w:spacing w:val="-12"/>
          <w:sz w:val="20"/>
        </w:rPr>
        <w:t> </w:t>
      </w:r>
      <w:r>
        <w:rPr>
          <w:sz w:val="20"/>
        </w:rPr>
        <w:t>that</w:t>
      </w:r>
      <w:r>
        <w:rPr>
          <w:spacing w:val="-12"/>
          <w:sz w:val="20"/>
        </w:rPr>
        <w:t> </w:t>
      </w:r>
      <w:r>
        <w:rPr>
          <w:sz w:val="20"/>
        </w:rPr>
        <w:t>support</w:t>
      </w:r>
      <w:r>
        <w:rPr>
          <w:spacing w:val="-13"/>
          <w:sz w:val="20"/>
        </w:rPr>
        <w:t> </w:t>
      </w:r>
      <w:r>
        <w:rPr>
          <w:sz w:val="20"/>
        </w:rPr>
        <w:t>persons</w:t>
      </w:r>
      <w:r>
        <w:rPr>
          <w:spacing w:val="-12"/>
          <w:sz w:val="20"/>
        </w:rPr>
        <w:t> </w:t>
      </w:r>
      <w:r>
        <w:rPr>
          <w:sz w:val="20"/>
        </w:rPr>
        <w:t>and</w:t>
      </w:r>
      <w:r>
        <w:rPr>
          <w:spacing w:val="-12"/>
          <w:sz w:val="20"/>
        </w:rPr>
        <w:t> </w:t>
      </w:r>
      <w:r>
        <w:rPr>
          <w:sz w:val="20"/>
        </w:rPr>
        <w:t>Auslan</w:t>
      </w:r>
      <w:r>
        <w:rPr>
          <w:spacing w:val="-13"/>
          <w:sz w:val="20"/>
        </w:rPr>
        <w:t> </w:t>
      </w:r>
      <w:r>
        <w:rPr>
          <w:spacing w:val="-3"/>
          <w:sz w:val="20"/>
        </w:rPr>
        <w:t>interpreters </w:t>
      </w:r>
      <w:r>
        <w:rPr>
          <w:spacing w:val="-4"/>
          <w:sz w:val="20"/>
        </w:rPr>
        <w:t>owe </w:t>
      </w:r>
      <w:r>
        <w:rPr>
          <w:sz w:val="20"/>
        </w:rPr>
        <w:t>to the</w:t>
      </w:r>
      <w:r>
        <w:rPr>
          <w:spacing w:val="-9"/>
          <w:sz w:val="20"/>
        </w:rPr>
        <w:t> </w:t>
      </w:r>
      <w:r>
        <w:rPr>
          <w:sz w:val="20"/>
        </w:rPr>
        <w:t>court</w:t>
      </w:r>
    </w:p>
    <w:p>
      <w:pPr>
        <w:pStyle w:val="ListParagraph"/>
        <w:numPr>
          <w:ilvl w:val="1"/>
          <w:numId w:val="121"/>
        </w:numPr>
        <w:tabs>
          <w:tab w:pos="2157" w:val="left" w:leader="none"/>
          <w:tab w:pos="2158" w:val="left" w:leader="none"/>
        </w:tabs>
        <w:spacing w:line="240" w:lineRule="auto" w:before="56" w:after="0"/>
        <w:ind w:left="2157" w:right="0" w:hanging="396"/>
        <w:jc w:val="left"/>
        <w:rPr>
          <w:sz w:val="20"/>
        </w:rPr>
      </w:pPr>
      <w:r>
        <w:rPr>
          <w:sz w:val="20"/>
        </w:rPr>
        <w:t>the </w:t>
      </w:r>
      <w:r>
        <w:rPr>
          <w:spacing w:val="-3"/>
          <w:sz w:val="20"/>
        </w:rPr>
        <w:t>role </w:t>
      </w:r>
      <w:r>
        <w:rPr>
          <w:sz w:val="20"/>
        </w:rPr>
        <w:t>of an accessibility</w:t>
      </w:r>
      <w:r>
        <w:rPr>
          <w:spacing w:val="-20"/>
          <w:sz w:val="20"/>
        </w:rPr>
        <w:t> </w:t>
      </w:r>
      <w:r>
        <w:rPr>
          <w:sz w:val="20"/>
        </w:rPr>
        <w:t>officer</w:t>
      </w:r>
    </w:p>
    <w:p>
      <w:pPr>
        <w:pStyle w:val="ListParagraph"/>
        <w:numPr>
          <w:ilvl w:val="1"/>
          <w:numId w:val="121"/>
        </w:numPr>
        <w:tabs>
          <w:tab w:pos="2157" w:val="left" w:leader="none"/>
          <w:tab w:pos="2158" w:val="left" w:leader="none"/>
        </w:tabs>
        <w:spacing w:line="240" w:lineRule="auto" w:before="47" w:after="0"/>
        <w:ind w:left="2157" w:right="0" w:hanging="396"/>
        <w:jc w:val="left"/>
        <w:rPr>
          <w:sz w:val="20"/>
        </w:rPr>
      </w:pPr>
      <w:r>
        <w:rPr>
          <w:sz w:val="20"/>
        </w:rPr>
        <w:t>who</w:t>
      </w:r>
      <w:r>
        <w:rPr>
          <w:spacing w:val="-5"/>
          <w:sz w:val="20"/>
        </w:rPr>
        <w:t> </w:t>
      </w:r>
      <w:r>
        <w:rPr>
          <w:sz w:val="20"/>
        </w:rPr>
        <w:t>to</w:t>
      </w:r>
      <w:r>
        <w:rPr>
          <w:spacing w:val="-5"/>
          <w:sz w:val="20"/>
        </w:rPr>
        <w:t> </w:t>
      </w:r>
      <w:r>
        <w:rPr>
          <w:sz w:val="20"/>
        </w:rPr>
        <w:t>contact</w:t>
      </w:r>
      <w:r>
        <w:rPr>
          <w:spacing w:val="-5"/>
          <w:sz w:val="20"/>
        </w:rPr>
        <w:t> </w:t>
      </w:r>
      <w:r>
        <w:rPr>
          <w:sz w:val="20"/>
        </w:rPr>
        <w:t>if</w:t>
      </w:r>
      <w:r>
        <w:rPr>
          <w:spacing w:val="-5"/>
          <w:sz w:val="20"/>
        </w:rPr>
        <w:t> </w:t>
      </w:r>
      <w:r>
        <w:rPr>
          <w:sz w:val="20"/>
        </w:rPr>
        <w:t>they</w:t>
      </w:r>
      <w:r>
        <w:rPr>
          <w:spacing w:val="-5"/>
          <w:sz w:val="20"/>
        </w:rPr>
        <w:t> </w:t>
      </w:r>
      <w:r>
        <w:rPr>
          <w:sz w:val="20"/>
        </w:rPr>
        <w:t>need</w:t>
      </w:r>
      <w:r>
        <w:rPr>
          <w:spacing w:val="-5"/>
          <w:sz w:val="20"/>
        </w:rPr>
        <w:t> </w:t>
      </w:r>
      <w:r>
        <w:rPr>
          <w:sz w:val="20"/>
        </w:rPr>
        <w:t>to</w:t>
      </w:r>
      <w:r>
        <w:rPr>
          <w:spacing w:val="-5"/>
          <w:sz w:val="20"/>
        </w:rPr>
        <w:t> </w:t>
      </w:r>
      <w:r>
        <w:rPr>
          <w:sz w:val="20"/>
        </w:rPr>
        <w:t>talk</w:t>
      </w:r>
      <w:r>
        <w:rPr>
          <w:spacing w:val="-5"/>
          <w:sz w:val="20"/>
        </w:rPr>
        <w:t> </w:t>
      </w:r>
      <w:r>
        <w:rPr>
          <w:sz w:val="20"/>
        </w:rPr>
        <w:t>to</w:t>
      </w:r>
      <w:r>
        <w:rPr>
          <w:spacing w:val="-5"/>
          <w:sz w:val="20"/>
        </w:rPr>
        <w:t> </w:t>
      </w:r>
      <w:r>
        <w:rPr>
          <w:sz w:val="20"/>
        </w:rPr>
        <w:t>someone</w:t>
      </w:r>
      <w:r>
        <w:rPr>
          <w:spacing w:val="-5"/>
          <w:sz w:val="20"/>
        </w:rPr>
        <w:t> </w:t>
      </w:r>
      <w:r>
        <w:rPr>
          <w:sz w:val="20"/>
        </w:rPr>
        <w:t>about</w:t>
      </w:r>
      <w:r>
        <w:rPr>
          <w:spacing w:val="-5"/>
          <w:sz w:val="20"/>
        </w:rPr>
        <w:t> </w:t>
      </w:r>
      <w:r>
        <w:rPr>
          <w:sz w:val="20"/>
        </w:rPr>
        <w:t>jury</w:t>
      </w:r>
      <w:r>
        <w:rPr>
          <w:spacing w:val="-5"/>
          <w:sz w:val="20"/>
        </w:rPr>
        <w:t> </w:t>
      </w:r>
      <w:r>
        <w:rPr>
          <w:sz w:val="20"/>
        </w:rPr>
        <w:t>service.</w:t>
      </w:r>
    </w:p>
    <w:p>
      <w:pPr>
        <w:pStyle w:val="ListParagraph"/>
        <w:numPr>
          <w:ilvl w:val="1"/>
          <w:numId w:val="12"/>
        </w:numPr>
        <w:tabs>
          <w:tab w:pos="1761" w:val="left" w:leader="none"/>
          <w:tab w:pos="1762" w:val="left" w:leader="none"/>
        </w:tabs>
        <w:spacing w:line="206" w:lineRule="auto" w:before="80" w:after="0"/>
        <w:ind w:left="1761" w:right="1773" w:hanging="794"/>
        <w:jc w:val="left"/>
        <w:rPr>
          <w:sz w:val="20"/>
        </w:rPr>
      </w:pPr>
      <w:r>
        <w:rPr>
          <w:spacing w:val="-6"/>
          <w:sz w:val="20"/>
        </w:rPr>
        <w:t>We</w:t>
      </w:r>
      <w:r>
        <w:rPr>
          <w:spacing w:val="-10"/>
          <w:sz w:val="20"/>
        </w:rPr>
        <w:t> </w:t>
      </w:r>
      <w:r>
        <w:rPr>
          <w:sz w:val="20"/>
        </w:rPr>
        <w:t>recommend</w:t>
      </w:r>
      <w:r>
        <w:rPr>
          <w:spacing w:val="-10"/>
          <w:sz w:val="20"/>
        </w:rPr>
        <w:t> </w:t>
      </w:r>
      <w:r>
        <w:rPr>
          <w:sz w:val="20"/>
        </w:rPr>
        <w:t>that</w:t>
      </w:r>
      <w:r>
        <w:rPr>
          <w:spacing w:val="-10"/>
          <w:sz w:val="20"/>
        </w:rPr>
        <w:t> </w:t>
      </w:r>
      <w:r>
        <w:rPr>
          <w:sz w:val="20"/>
        </w:rPr>
        <w:t>this</w:t>
      </w:r>
      <w:r>
        <w:rPr>
          <w:spacing w:val="-10"/>
          <w:sz w:val="20"/>
        </w:rPr>
        <w:t> </w:t>
      </w:r>
      <w:r>
        <w:rPr>
          <w:sz w:val="20"/>
        </w:rPr>
        <w:t>information</w:t>
      </w:r>
      <w:r>
        <w:rPr>
          <w:spacing w:val="-10"/>
          <w:sz w:val="20"/>
        </w:rPr>
        <w:t> </w:t>
      </w:r>
      <w:r>
        <w:rPr>
          <w:sz w:val="20"/>
        </w:rPr>
        <w:t>be</w:t>
      </w:r>
      <w:r>
        <w:rPr>
          <w:spacing w:val="-10"/>
          <w:sz w:val="20"/>
        </w:rPr>
        <w:t> </w:t>
      </w:r>
      <w:r>
        <w:rPr>
          <w:spacing w:val="-3"/>
          <w:sz w:val="20"/>
        </w:rPr>
        <w:t>provided</w:t>
      </w:r>
      <w:r>
        <w:rPr>
          <w:spacing w:val="-10"/>
          <w:sz w:val="20"/>
        </w:rPr>
        <w:t> </w:t>
      </w:r>
      <w:r>
        <w:rPr>
          <w:sz w:val="20"/>
        </w:rPr>
        <w:t>on</w:t>
      </w:r>
      <w:r>
        <w:rPr>
          <w:spacing w:val="-10"/>
          <w:sz w:val="20"/>
        </w:rPr>
        <w:t> </w:t>
      </w:r>
      <w:r>
        <w:rPr>
          <w:sz w:val="20"/>
        </w:rPr>
        <w:t>the</w:t>
      </w:r>
      <w:r>
        <w:rPr>
          <w:spacing w:val="-10"/>
          <w:sz w:val="20"/>
        </w:rPr>
        <w:t> </w:t>
      </w:r>
      <w:r>
        <w:rPr>
          <w:sz w:val="20"/>
        </w:rPr>
        <w:t>Juries</w:t>
      </w:r>
      <w:r>
        <w:rPr>
          <w:spacing w:val="-10"/>
          <w:sz w:val="20"/>
        </w:rPr>
        <w:t> </w:t>
      </w:r>
      <w:r>
        <w:rPr>
          <w:sz w:val="20"/>
        </w:rPr>
        <w:t>Victoria</w:t>
      </w:r>
      <w:r>
        <w:rPr>
          <w:spacing w:val="-9"/>
          <w:sz w:val="20"/>
        </w:rPr>
        <w:t> </w:t>
      </w:r>
      <w:r>
        <w:rPr>
          <w:sz w:val="20"/>
        </w:rPr>
        <w:t>and</w:t>
      </w:r>
      <w:r>
        <w:rPr>
          <w:spacing w:val="-10"/>
          <w:sz w:val="20"/>
        </w:rPr>
        <w:t> </w:t>
      </w:r>
      <w:r>
        <w:rPr>
          <w:sz w:val="20"/>
        </w:rPr>
        <w:t>court websites. Disability advocacy groups could also distribute information about the </w:t>
      </w:r>
      <w:r>
        <w:rPr>
          <w:spacing w:val="-3"/>
          <w:sz w:val="20"/>
        </w:rPr>
        <w:t>reforms </w:t>
      </w:r>
      <w:r>
        <w:rPr>
          <w:sz w:val="20"/>
        </w:rPr>
        <w:t>to their communities via </w:t>
      </w:r>
      <w:r>
        <w:rPr>
          <w:spacing w:val="-3"/>
          <w:sz w:val="20"/>
        </w:rPr>
        <w:t>newsletters </w:t>
      </w:r>
      <w:r>
        <w:rPr>
          <w:sz w:val="20"/>
        </w:rPr>
        <w:t>or information</w:t>
      </w:r>
      <w:r>
        <w:rPr>
          <w:spacing w:val="-37"/>
          <w:sz w:val="20"/>
        </w:rPr>
        <w:t> </w:t>
      </w:r>
      <w:r>
        <w:rPr>
          <w:sz w:val="20"/>
        </w:rPr>
        <w:t>sessions.</w:t>
      </w:r>
    </w:p>
    <w:p>
      <w:pPr>
        <w:pStyle w:val="ListParagraph"/>
        <w:numPr>
          <w:ilvl w:val="1"/>
          <w:numId w:val="12"/>
        </w:numPr>
        <w:tabs>
          <w:tab w:pos="1761" w:val="left" w:leader="none"/>
          <w:tab w:pos="1762" w:val="left" w:leader="none"/>
        </w:tabs>
        <w:spacing w:line="206" w:lineRule="auto" w:before="124" w:after="0"/>
        <w:ind w:left="1761" w:right="1368" w:hanging="794"/>
        <w:jc w:val="left"/>
        <w:rPr>
          <w:sz w:val="11"/>
        </w:rPr>
      </w:pPr>
      <w:r>
        <w:rPr>
          <w:sz w:val="20"/>
        </w:rPr>
        <w:t>The </w:t>
      </w:r>
      <w:r>
        <w:rPr>
          <w:spacing w:val="-4"/>
          <w:sz w:val="20"/>
        </w:rPr>
        <w:t>ACT </w:t>
      </w:r>
      <w:r>
        <w:rPr>
          <w:i/>
          <w:sz w:val="20"/>
        </w:rPr>
        <w:t>Jury Handbook </w:t>
      </w:r>
      <w:r>
        <w:rPr>
          <w:sz w:val="20"/>
        </w:rPr>
        <w:t>includes a section on ‘Reasonable Support for </w:t>
      </w:r>
      <w:r>
        <w:rPr>
          <w:spacing w:val="-3"/>
          <w:sz w:val="20"/>
        </w:rPr>
        <w:t>Jurors’.</w:t>
      </w:r>
      <w:r>
        <w:rPr>
          <w:spacing w:val="-3"/>
          <w:position w:val="7"/>
          <w:sz w:val="11"/>
        </w:rPr>
        <w:t>49 </w:t>
      </w:r>
      <w:r>
        <w:rPr>
          <w:sz w:val="20"/>
        </w:rPr>
        <w:t>This is</w:t>
      </w:r>
      <w:r>
        <w:rPr>
          <w:spacing w:val="-8"/>
          <w:sz w:val="20"/>
        </w:rPr>
        <w:t> </w:t>
      </w:r>
      <w:r>
        <w:rPr>
          <w:sz w:val="20"/>
        </w:rPr>
        <w:t>publicly</w:t>
      </w:r>
      <w:r>
        <w:rPr>
          <w:spacing w:val="-8"/>
          <w:sz w:val="20"/>
        </w:rPr>
        <w:t> </w:t>
      </w:r>
      <w:r>
        <w:rPr>
          <w:spacing w:val="-3"/>
          <w:sz w:val="20"/>
        </w:rPr>
        <w:t>available</w:t>
      </w:r>
      <w:r>
        <w:rPr>
          <w:spacing w:val="-8"/>
          <w:sz w:val="20"/>
        </w:rPr>
        <w:t> </w:t>
      </w:r>
      <w:r>
        <w:rPr>
          <w:sz w:val="20"/>
        </w:rPr>
        <w:t>on</w:t>
      </w:r>
      <w:r>
        <w:rPr>
          <w:spacing w:val="-8"/>
          <w:sz w:val="20"/>
        </w:rPr>
        <w:t> </w:t>
      </w:r>
      <w:r>
        <w:rPr>
          <w:sz w:val="20"/>
        </w:rPr>
        <w:t>the</w:t>
      </w:r>
      <w:r>
        <w:rPr>
          <w:spacing w:val="-8"/>
          <w:sz w:val="20"/>
        </w:rPr>
        <w:t> </w:t>
      </w:r>
      <w:r>
        <w:rPr>
          <w:spacing w:val="-3"/>
          <w:sz w:val="20"/>
        </w:rPr>
        <w:t>website</w:t>
      </w:r>
      <w:r>
        <w:rPr>
          <w:spacing w:val="-8"/>
          <w:sz w:val="20"/>
        </w:rPr>
        <w:t> </w:t>
      </w:r>
      <w:r>
        <w:rPr>
          <w:sz w:val="20"/>
        </w:rPr>
        <w:t>of</w:t>
      </w:r>
      <w:r>
        <w:rPr>
          <w:spacing w:val="-8"/>
          <w:sz w:val="20"/>
        </w:rPr>
        <w:t> </w:t>
      </w:r>
      <w:r>
        <w:rPr>
          <w:sz w:val="20"/>
        </w:rPr>
        <w:t>the</w:t>
      </w:r>
      <w:r>
        <w:rPr>
          <w:spacing w:val="-8"/>
          <w:sz w:val="20"/>
        </w:rPr>
        <w:t> </w:t>
      </w:r>
      <w:r>
        <w:rPr>
          <w:spacing w:val="-4"/>
          <w:sz w:val="20"/>
        </w:rPr>
        <w:t>ACT</w:t>
      </w:r>
      <w:r>
        <w:rPr>
          <w:spacing w:val="-8"/>
          <w:sz w:val="20"/>
        </w:rPr>
        <w:t> </w:t>
      </w:r>
      <w:r>
        <w:rPr>
          <w:sz w:val="20"/>
        </w:rPr>
        <w:t>courts.</w:t>
      </w:r>
      <w:r>
        <w:rPr>
          <w:spacing w:val="-8"/>
          <w:sz w:val="20"/>
        </w:rPr>
        <w:t> </w:t>
      </w:r>
      <w:r>
        <w:rPr>
          <w:sz w:val="20"/>
        </w:rPr>
        <w:t>Public</w:t>
      </w:r>
      <w:r>
        <w:rPr>
          <w:spacing w:val="-8"/>
          <w:sz w:val="20"/>
        </w:rPr>
        <w:t> </w:t>
      </w:r>
      <w:r>
        <w:rPr>
          <w:sz w:val="20"/>
        </w:rPr>
        <w:t>information</w:t>
      </w:r>
      <w:r>
        <w:rPr>
          <w:spacing w:val="-8"/>
          <w:sz w:val="20"/>
        </w:rPr>
        <w:t> </w:t>
      </w:r>
      <w:r>
        <w:rPr>
          <w:sz w:val="20"/>
        </w:rPr>
        <w:t>explains</w:t>
      </w:r>
      <w:r>
        <w:rPr>
          <w:spacing w:val="-8"/>
          <w:sz w:val="20"/>
        </w:rPr>
        <w:t> </w:t>
      </w:r>
      <w:r>
        <w:rPr>
          <w:spacing w:val="-3"/>
          <w:sz w:val="20"/>
        </w:rPr>
        <w:t>how </w:t>
      </w:r>
      <w:r>
        <w:rPr>
          <w:sz w:val="20"/>
        </w:rPr>
        <w:t>HMCTS</w:t>
      </w:r>
      <w:r>
        <w:rPr>
          <w:spacing w:val="-6"/>
          <w:sz w:val="20"/>
        </w:rPr>
        <w:t> </w:t>
      </w:r>
      <w:r>
        <w:rPr>
          <w:sz w:val="20"/>
        </w:rPr>
        <w:t>supports</w:t>
      </w:r>
      <w:r>
        <w:rPr>
          <w:spacing w:val="-5"/>
          <w:sz w:val="20"/>
        </w:rPr>
        <w:t> </w:t>
      </w:r>
      <w:r>
        <w:rPr>
          <w:sz w:val="20"/>
        </w:rPr>
        <w:t>court</w:t>
      </w:r>
      <w:r>
        <w:rPr>
          <w:spacing w:val="-6"/>
          <w:sz w:val="20"/>
        </w:rPr>
        <w:t> </w:t>
      </w:r>
      <w:r>
        <w:rPr>
          <w:sz w:val="20"/>
        </w:rPr>
        <w:t>users</w:t>
      </w:r>
      <w:r>
        <w:rPr>
          <w:spacing w:val="-5"/>
          <w:sz w:val="20"/>
        </w:rPr>
        <w:t> </w:t>
      </w:r>
      <w:r>
        <w:rPr>
          <w:sz w:val="20"/>
        </w:rPr>
        <w:t>with</w:t>
      </w:r>
      <w:r>
        <w:rPr>
          <w:spacing w:val="-6"/>
          <w:sz w:val="20"/>
        </w:rPr>
        <w:t> </w:t>
      </w:r>
      <w:r>
        <w:rPr>
          <w:sz w:val="20"/>
        </w:rPr>
        <w:t>disabilities</w:t>
      </w:r>
      <w:r>
        <w:rPr>
          <w:spacing w:val="-5"/>
          <w:sz w:val="20"/>
        </w:rPr>
        <w:t> </w:t>
      </w:r>
      <w:r>
        <w:rPr>
          <w:sz w:val="20"/>
        </w:rPr>
        <w:t>in</w:t>
      </w:r>
      <w:r>
        <w:rPr>
          <w:spacing w:val="-6"/>
          <w:sz w:val="20"/>
        </w:rPr>
        <w:t> </w:t>
      </w:r>
      <w:r>
        <w:rPr>
          <w:sz w:val="20"/>
        </w:rPr>
        <w:t>England</w:t>
      </w:r>
      <w:r>
        <w:rPr>
          <w:spacing w:val="-5"/>
          <w:sz w:val="20"/>
        </w:rPr>
        <w:t> </w:t>
      </w:r>
      <w:r>
        <w:rPr>
          <w:sz w:val="20"/>
        </w:rPr>
        <w:t>and</w:t>
      </w:r>
      <w:r>
        <w:rPr>
          <w:spacing w:val="-5"/>
          <w:sz w:val="20"/>
        </w:rPr>
        <w:t> </w:t>
      </w:r>
      <w:r>
        <w:rPr>
          <w:sz w:val="20"/>
        </w:rPr>
        <w:t>Wales.</w:t>
      </w:r>
      <w:r>
        <w:rPr>
          <w:position w:val="7"/>
          <w:sz w:val="11"/>
        </w:rPr>
        <w:t>50</w:t>
      </w:r>
    </w:p>
    <w:p>
      <w:pPr>
        <w:pStyle w:val="ListParagraph"/>
        <w:numPr>
          <w:ilvl w:val="1"/>
          <w:numId w:val="12"/>
        </w:numPr>
        <w:tabs>
          <w:tab w:pos="1761" w:val="left" w:leader="none"/>
          <w:tab w:pos="1762" w:val="left" w:leader="none"/>
        </w:tabs>
        <w:spacing w:line="206" w:lineRule="auto" w:before="123" w:after="0"/>
        <w:ind w:left="1761" w:right="1297" w:hanging="794"/>
        <w:jc w:val="left"/>
        <w:rPr>
          <w:sz w:val="20"/>
        </w:rPr>
      </w:pPr>
      <w:r>
        <w:rPr>
          <w:sz w:val="20"/>
        </w:rPr>
        <w:t>Juries</w:t>
      </w:r>
      <w:r>
        <w:rPr>
          <w:spacing w:val="-14"/>
          <w:sz w:val="20"/>
        </w:rPr>
        <w:t> </w:t>
      </w:r>
      <w:r>
        <w:rPr>
          <w:sz w:val="20"/>
        </w:rPr>
        <w:t>Victoria</w:t>
      </w:r>
      <w:r>
        <w:rPr>
          <w:spacing w:val="-13"/>
          <w:sz w:val="20"/>
        </w:rPr>
        <w:t> </w:t>
      </w:r>
      <w:r>
        <w:rPr>
          <w:sz w:val="20"/>
        </w:rPr>
        <w:t>should</w:t>
      </w:r>
      <w:r>
        <w:rPr>
          <w:spacing w:val="-13"/>
          <w:sz w:val="20"/>
        </w:rPr>
        <w:t> </w:t>
      </w:r>
      <w:r>
        <w:rPr>
          <w:sz w:val="20"/>
        </w:rPr>
        <w:t>consider</w:t>
      </w:r>
      <w:r>
        <w:rPr>
          <w:spacing w:val="-14"/>
          <w:sz w:val="20"/>
        </w:rPr>
        <w:t> </w:t>
      </w:r>
      <w:r>
        <w:rPr>
          <w:spacing w:val="-3"/>
          <w:sz w:val="20"/>
        </w:rPr>
        <w:t>developing</w:t>
      </w:r>
      <w:r>
        <w:rPr>
          <w:spacing w:val="-13"/>
          <w:sz w:val="20"/>
        </w:rPr>
        <w:t> </w:t>
      </w:r>
      <w:r>
        <w:rPr>
          <w:sz w:val="20"/>
        </w:rPr>
        <w:t>a</w:t>
      </w:r>
      <w:r>
        <w:rPr>
          <w:spacing w:val="-13"/>
          <w:sz w:val="20"/>
        </w:rPr>
        <w:t> </w:t>
      </w:r>
      <w:r>
        <w:rPr>
          <w:sz w:val="20"/>
        </w:rPr>
        <w:t>short</w:t>
      </w:r>
      <w:r>
        <w:rPr>
          <w:spacing w:val="-14"/>
          <w:sz w:val="20"/>
        </w:rPr>
        <w:t> </w:t>
      </w:r>
      <w:r>
        <w:rPr>
          <w:sz w:val="20"/>
        </w:rPr>
        <w:t>information</w:t>
      </w:r>
      <w:r>
        <w:rPr>
          <w:spacing w:val="-13"/>
          <w:sz w:val="20"/>
        </w:rPr>
        <w:t> </w:t>
      </w:r>
      <w:r>
        <w:rPr>
          <w:sz w:val="20"/>
        </w:rPr>
        <w:t>video,</w:t>
      </w:r>
      <w:r>
        <w:rPr>
          <w:spacing w:val="-13"/>
          <w:sz w:val="20"/>
        </w:rPr>
        <w:t> </w:t>
      </w:r>
      <w:r>
        <w:rPr>
          <w:sz w:val="20"/>
        </w:rPr>
        <w:t>information</w:t>
      </w:r>
      <w:r>
        <w:rPr>
          <w:spacing w:val="-14"/>
          <w:sz w:val="20"/>
        </w:rPr>
        <w:t> </w:t>
      </w:r>
      <w:r>
        <w:rPr>
          <w:sz w:val="20"/>
        </w:rPr>
        <w:t>sheet or</w:t>
      </w:r>
      <w:r>
        <w:rPr>
          <w:spacing w:val="-6"/>
          <w:sz w:val="20"/>
        </w:rPr>
        <w:t> </w:t>
      </w:r>
      <w:r>
        <w:rPr>
          <w:spacing w:val="-3"/>
          <w:sz w:val="20"/>
        </w:rPr>
        <w:t>‘Q</w:t>
      </w:r>
      <w:r>
        <w:rPr>
          <w:spacing w:val="-5"/>
          <w:sz w:val="20"/>
        </w:rPr>
        <w:t> </w:t>
      </w:r>
      <w:r>
        <w:rPr>
          <w:sz w:val="20"/>
        </w:rPr>
        <w:t>and</w:t>
      </w:r>
      <w:r>
        <w:rPr>
          <w:spacing w:val="-6"/>
          <w:sz w:val="20"/>
        </w:rPr>
        <w:t> </w:t>
      </w:r>
      <w:r>
        <w:rPr>
          <w:spacing w:val="-8"/>
          <w:sz w:val="20"/>
        </w:rPr>
        <w:t>A’</w:t>
      </w:r>
      <w:r>
        <w:rPr>
          <w:spacing w:val="-5"/>
          <w:sz w:val="20"/>
        </w:rPr>
        <w:t> </w:t>
      </w:r>
      <w:r>
        <w:rPr>
          <w:sz w:val="20"/>
        </w:rPr>
        <w:t>about</w:t>
      </w:r>
      <w:r>
        <w:rPr>
          <w:spacing w:val="-5"/>
          <w:sz w:val="20"/>
        </w:rPr>
        <w:t> </w:t>
      </w:r>
      <w:r>
        <w:rPr>
          <w:sz w:val="20"/>
        </w:rPr>
        <w:t>jury</w:t>
      </w:r>
      <w:r>
        <w:rPr>
          <w:spacing w:val="-6"/>
          <w:sz w:val="20"/>
        </w:rPr>
        <w:t> </w:t>
      </w:r>
      <w:r>
        <w:rPr>
          <w:sz w:val="20"/>
        </w:rPr>
        <w:t>service</w:t>
      </w:r>
      <w:r>
        <w:rPr>
          <w:spacing w:val="-5"/>
          <w:sz w:val="20"/>
        </w:rPr>
        <w:t> </w:t>
      </w:r>
      <w:r>
        <w:rPr>
          <w:sz w:val="20"/>
        </w:rPr>
        <w:t>with</w:t>
      </w:r>
      <w:r>
        <w:rPr>
          <w:spacing w:val="-5"/>
          <w:sz w:val="20"/>
        </w:rPr>
        <w:t> </w:t>
      </w:r>
      <w:r>
        <w:rPr>
          <w:sz w:val="20"/>
        </w:rPr>
        <w:t>adjustments</w:t>
      </w:r>
      <w:r>
        <w:rPr>
          <w:spacing w:val="-6"/>
          <w:sz w:val="20"/>
        </w:rPr>
        <w:t> </w:t>
      </w:r>
      <w:r>
        <w:rPr>
          <w:sz w:val="20"/>
        </w:rPr>
        <w:t>in</w:t>
      </w:r>
      <w:r>
        <w:rPr>
          <w:spacing w:val="-5"/>
          <w:sz w:val="20"/>
        </w:rPr>
        <w:t> </w:t>
      </w:r>
      <w:r>
        <w:rPr>
          <w:sz w:val="20"/>
        </w:rPr>
        <w:t>accessible</w:t>
      </w:r>
      <w:r>
        <w:rPr>
          <w:spacing w:val="-6"/>
          <w:sz w:val="20"/>
        </w:rPr>
        <w:t> </w:t>
      </w:r>
      <w:r>
        <w:rPr>
          <w:sz w:val="20"/>
        </w:rPr>
        <w:t>formats.</w:t>
      </w:r>
    </w:p>
    <w:p>
      <w:pPr>
        <w:pStyle w:val="ListParagraph"/>
        <w:numPr>
          <w:ilvl w:val="1"/>
          <w:numId w:val="12"/>
        </w:numPr>
        <w:tabs>
          <w:tab w:pos="1761" w:val="left" w:leader="none"/>
          <w:tab w:pos="1762" w:val="left" w:leader="none"/>
        </w:tabs>
        <w:spacing w:line="206" w:lineRule="auto" w:before="123" w:after="0"/>
        <w:ind w:left="1761" w:right="1338" w:hanging="794"/>
        <w:jc w:val="left"/>
        <w:rPr>
          <w:sz w:val="11"/>
        </w:rPr>
      </w:pPr>
      <w:r>
        <w:rPr>
          <w:sz w:val="20"/>
        </w:rPr>
        <w:t>Information should be </w:t>
      </w:r>
      <w:r>
        <w:rPr>
          <w:spacing w:val="-3"/>
          <w:sz w:val="20"/>
        </w:rPr>
        <w:t>provided </w:t>
      </w:r>
      <w:r>
        <w:rPr>
          <w:sz w:val="20"/>
        </w:rPr>
        <w:t>in accessible formats in line with </w:t>
      </w:r>
      <w:r>
        <w:rPr>
          <w:i/>
          <w:spacing w:val="-3"/>
          <w:sz w:val="20"/>
        </w:rPr>
        <w:t>Australia’s </w:t>
      </w:r>
      <w:r>
        <w:rPr>
          <w:i/>
          <w:sz w:val="20"/>
        </w:rPr>
        <w:t>Disability </w:t>
      </w:r>
      <w:r>
        <w:rPr>
          <w:i/>
          <w:spacing w:val="-3"/>
          <w:sz w:val="20"/>
        </w:rPr>
        <w:t>Strategy</w:t>
      </w:r>
      <w:r>
        <w:rPr>
          <w:i/>
          <w:spacing w:val="-10"/>
          <w:sz w:val="20"/>
        </w:rPr>
        <w:t> </w:t>
      </w:r>
      <w:r>
        <w:rPr>
          <w:i/>
          <w:spacing w:val="-4"/>
          <w:sz w:val="20"/>
        </w:rPr>
        <w:t>2021–2031</w:t>
      </w:r>
      <w:r>
        <w:rPr>
          <w:spacing w:val="-4"/>
          <w:sz w:val="20"/>
        </w:rPr>
        <w:t>,</w:t>
      </w:r>
      <w:r>
        <w:rPr>
          <w:spacing w:val="-10"/>
          <w:sz w:val="20"/>
        </w:rPr>
        <w:t> </w:t>
      </w:r>
      <w:r>
        <w:rPr>
          <w:sz w:val="20"/>
        </w:rPr>
        <w:t>which</w:t>
      </w:r>
      <w:r>
        <w:rPr>
          <w:spacing w:val="-10"/>
          <w:sz w:val="20"/>
        </w:rPr>
        <w:t> </w:t>
      </w:r>
      <w:r>
        <w:rPr>
          <w:spacing w:val="-3"/>
          <w:sz w:val="20"/>
        </w:rPr>
        <w:t>requires</w:t>
      </w:r>
      <w:r>
        <w:rPr>
          <w:spacing w:val="-10"/>
          <w:sz w:val="20"/>
        </w:rPr>
        <w:t> </w:t>
      </w:r>
      <w:r>
        <w:rPr>
          <w:spacing w:val="-3"/>
          <w:sz w:val="20"/>
        </w:rPr>
        <w:t>‘accessible</w:t>
      </w:r>
      <w:r>
        <w:rPr>
          <w:spacing w:val="-10"/>
          <w:sz w:val="20"/>
        </w:rPr>
        <w:t> </w:t>
      </w:r>
      <w:r>
        <w:rPr>
          <w:sz w:val="20"/>
        </w:rPr>
        <w:t>legal</w:t>
      </w:r>
      <w:r>
        <w:rPr>
          <w:spacing w:val="-10"/>
          <w:sz w:val="20"/>
        </w:rPr>
        <w:t> </w:t>
      </w:r>
      <w:r>
        <w:rPr>
          <w:sz w:val="20"/>
        </w:rPr>
        <w:t>information</w:t>
      </w:r>
      <w:r>
        <w:rPr>
          <w:spacing w:val="-10"/>
          <w:sz w:val="20"/>
        </w:rPr>
        <w:t> </w:t>
      </w:r>
      <w:r>
        <w:rPr>
          <w:sz w:val="20"/>
        </w:rPr>
        <w:t>and</w:t>
      </w:r>
      <w:r>
        <w:rPr>
          <w:spacing w:val="-10"/>
          <w:sz w:val="20"/>
        </w:rPr>
        <w:t> </w:t>
      </w:r>
      <w:r>
        <w:rPr>
          <w:sz w:val="20"/>
        </w:rPr>
        <w:t>advice</w:t>
      </w:r>
      <w:r>
        <w:rPr>
          <w:spacing w:val="-10"/>
          <w:sz w:val="20"/>
        </w:rPr>
        <w:t> </w:t>
      </w:r>
      <w:r>
        <w:rPr>
          <w:sz w:val="20"/>
        </w:rPr>
        <w:t>to</w:t>
      </w:r>
      <w:r>
        <w:rPr>
          <w:spacing w:val="-10"/>
          <w:sz w:val="20"/>
        </w:rPr>
        <w:t> </w:t>
      </w:r>
      <w:r>
        <w:rPr>
          <w:sz w:val="20"/>
        </w:rPr>
        <w:t>facilitate equal and effective participation in all legal</w:t>
      </w:r>
      <w:r>
        <w:rPr>
          <w:spacing w:val="-35"/>
          <w:sz w:val="20"/>
        </w:rPr>
        <w:t> </w:t>
      </w:r>
      <w:r>
        <w:rPr>
          <w:spacing w:val="-3"/>
          <w:sz w:val="20"/>
        </w:rPr>
        <w:t>proceedings’.</w:t>
      </w:r>
      <w:r>
        <w:rPr>
          <w:spacing w:val="-3"/>
          <w:position w:val="7"/>
          <w:sz w:val="11"/>
        </w:rPr>
        <w:t>51</w:t>
      </w:r>
    </w:p>
    <w:p>
      <w:pPr>
        <w:pStyle w:val="ListParagraph"/>
        <w:numPr>
          <w:ilvl w:val="1"/>
          <w:numId w:val="12"/>
        </w:numPr>
        <w:tabs>
          <w:tab w:pos="1761" w:val="left" w:leader="none"/>
          <w:tab w:pos="1762" w:val="left" w:leader="none"/>
        </w:tabs>
        <w:spacing w:line="206" w:lineRule="auto" w:before="124" w:after="0"/>
        <w:ind w:left="1761" w:right="1366" w:hanging="794"/>
        <w:jc w:val="left"/>
        <w:rPr>
          <w:sz w:val="11"/>
        </w:rPr>
      </w:pPr>
      <w:r>
        <w:rPr>
          <w:spacing w:val="-6"/>
          <w:sz w:val="20"/>
        </w:rPr>
        <w:t>We</w:t>
      </w:r>
      <w:r>
        <w:rPr>
          <w:spacing w:val="-9"/>
          <w:sz w:val="20"/>
        </w:rPr>
        <w:t> </w:t>
      </w:r>
      <w:r>
        <w:rPr>
          <w:sz w:val="20"/>
        </w:rPr>
        <w:t>commend</w:t>
      </w:r>
      <w:r>
        <w:rPr>
          <w:spacing w:val="-9"/>
          <w:sz w:val="20"/>
        </w:rPr>
        <w:t> </w:t>
      </w:r>
      <w:r>
        <w:rPr>
          <w:sz w:val="20"/>
        </w:rPr>
        <w:t>the</w:t>
      </w:r>
      <w:r>
        <w:rPr>
          <w:spacing w:val="-9"/>
          <w:sz w:val="20"/>
        </w:rPr>
        <w:t> </w:t>
      </w:r>
      <w:r>
        <w:rPr>
          <w:sz w:val="20"/>
        </w:rPr>
        <w:t>Supreme</w:t>
      </w:r>
      <w:r>
        <w:rPr>
          <w:spacing w:val="-9"/>
          <w:sz w:val="20"/>
        </w:rPr>
        <w:t> </w:t>
      </w:r>
      <w:r>
        <w:rPr>
          <w:sz w:val="20"/>
        </w:rPr>
        <w:t>Court</w:t>
      </w:r>
      <w:r>
        <w:rPr>
          <w:spacing w:val="-8"/>
          <w:sz w:val="20"/>
        </w:rPr>
        <w:t> </w:t>
      </w:r>
      <w:r>
        <w:rPr>
          <w:sz w:val="20"/>
        </w:rPr>
        <w:t>and</w:t>
      </w:r>
      <w:r>
        <w:rPr>
          <w:spacing w:val="-9"/>
          <w:sz w:val="20"/>
        </w:rPr>
        <w:t> </w:t>
      </w:r>
      <w:r>
        <w:rPr>
          <w:sz w:val="20"/>
        </w:rPr>
        <w:t>the</w:t>
      </w:r>
      <w:r>
        <w:rPr>
          <w:spacing w:val="-9"/>
          <w:sz w:val="20"/>
        </w:rPr>
        <w:t> </w:t>
      </w:r>
      <w:r>
        <w:rPr>
          <w:sz w:val="20"/>
        </w:rPr>
        <w:t>County</w:t>
      </w:r>
      <w:r>
        <w:rPr>
          <w:spacing w:val="-9"/>
          <w:sz w:val="20"/>
        </w:rPr>
        <w:t> </w:t>
      </w:r>
      <w:r>
        <w:rPr>
          <w:sz w:val="20"/>
        </w:rPr>
        <w:t>Court</w:t>
      </w:r>
      <w:r>
        <w:rPr>
          <w:spacing w:val="-8"/>
          <w:sz w:val="20"/>
        </w:rPr>
        <w:t> </w:t>
      </w:r>
      <w:r>
        <w:rPr>
          <w:sz w:val="20"/>
        </w:rPr>
        <w:t>for</w:t>
      </w:r>
      <w:r>
        <w:rPr>
          <w:spacing w:val="-9"/>
          <w:sz w:val="20"/>
        </w:rPr>
        <w:t> </w:t>
      </w:r>
      <w:r>
        <w:rPr>
          <w:sz w:val="20"/>
        </w:rPr>
        <w:t>already</w:t>
      </w:r>
      <w:r>
        <w:rPr>
          <w:spacing w:val="-9"/>
          <w:sz w:val="20"/>
        </w:rPr>
        <w:t> </w:t>
      </w:r>
      <w:r>
        <w:rPr>
          <w:sz w:val="20"/>
        </w:rPr>
        <w:t>aiming</w:t>
      </w:r>
      <w:r>
        <w:rPr>
          <w:spacing w:val="-9"/>
          <w:sz w:val="20"/>
        </w:rPr>
        <w:t> </w:t>
      </w:r>
      <w:r>
        <w:rPr>
          <w:sz w:val="20"/>
        </w:rPr>
        <w:t>to</w:t>
      </w:r>
      <w:r>
        <w:rPr>
          <w:spacing w:val="-8"/>
          <w:sz w:val="20"/>
        </w:rPr>
        <w:t> </w:t>
      </w:r>
      <w:r>
        <w:rPr>
          <w:spacing w:val="-3"/>
          <w:sz w:val="20"/>
        </w:rPr>
        <w:t>provide websites </w:t>
      </w:r>
      <w:r>
        <w:rPr>
          <w:sz w:val="20"/>
        </w:rPr>
        <w:t>that </w:t>
      </w:r>
      <w:r>
        <w:rPr>
          <w:spacing w:val="-3"/>
          <w:sz w:val="20"/>
        </w:rPr>
        <w:t>are </w:t>
      </w:r>
      <w:r>
        <w:rPr>
          <w:sz w:val="20"/>
        </w:rPr>
        <w:t>accessible to the ‘widest possible </w:t>
      </w:r>
      <w:r>
        <w:rPr>
          <w:spacing w:val="-3"/>
          <w:sz w:val="20"/>
        </w:rPr>
        <w:t>audience’, </w:t>
      </w:r>
      <w:r>
        <w:rPr>
          <w:sz w:val="20"/>
        </w:rPr>
        <w:t>including </w:t>
      </w:r>
      <w:r>
        <w:rPr>
          <w:spacing w:val="-3"/>
          <w:sz w:val="20"/>
        </w:rPr>
        <w:t>‘readers </w:t>
      </w:r>
      <w:r>
        <w:rPr>
          <w:sz w:val="20"/>
        </w:rPr>
        <w:t>using assistive technology or accessibility </w:t>
      </w:r>
      <w:r>
        <w:rPr>
          <w:spacing w:val="-4"/>
          <w:sz w:val="20"/>
        </w:rPr>
        <w:t>features’.</w:t>
      </w:r>
      <w:r>
        <w:rPr>
          <w:spacing w:val="-4"/>
          <w:position w:val="7"/>
          <w:sz w:val="11"/>
        </w:rPr>
        <w:t>52 </w:t>
      </w:r>
      <w:r>
        <w:rPr>
          <w:sz w:val="20"/>
        </w:rPr>
        <w:t>The Supreme and County Court </w:t>
      </w:r>
      <w:r>
        <w:rPr>
          <w:spacing w:val="-3"/>
          <w:sz w:val="20"/>
        </w:rPr>
        <w:t>websites </w:t>
      </w:r>
      <w:r>
        <w:rPr>
          <w:sz w:val="20"/>
        </w:rPr>
        <w:t>conform to </w:t>
      </w:r>
      <w:r>
        <w:rPr>
          <w:spacing w:val="-4"/>
          <w:sz w:val="20"/>
        </w:rPr>
        <w:t>level </w:t>
      </w:r>
      <w:r>
        <w:rPr>
          <w:spacing w:val="2"/>
          <w:sz w:val="20"/>
        </w:rPr>
        <w:t>AA </w:t>
      </w:r>
      <w:r>
        <w:rPr>
          <w:sz w:val="20"/>
        </w:rPr>
        <w:t>Accessibility.</w:t>
      </w:r>
      <w:r>
        <w:rPr>
          <w:position w:val="7"/>
          <w:sz w:val="11"/>
        </w:rPr>
        <w:t>53 </w:t>
      </w:r>
      <w:r>
        <w:rPr>
          <w:sz w:val="20"/>
        </w:rPr>
        <w:t>The County Court </w:t>
      </w:r>
      <w:r>
        <w:rPr>
          <w:spacing w:val="-3"/>
          <w:sz w:val="20"/>
        </w:rPr>
        <w:t>website </w:t>
      </w:r>
      <w:r>
        <w:rPr>
          <w:sz w:val="20"/>
        </w:rPr>
        <w:t>is also in line with the Victorian </w:t>
      </w:r>
      <w:r>
        <w:rPr>
          <w:spacing w:val="-3"/>
          <w:sz w:val="20"/>
        </w:rPr>
        <w:t>Government’s </w:t>
      </w:r>
      <w:r>
        <w:rPr>
          <w:sz w:val="20"/>
        </w:rPr>
        <w:t>Digital</w:t>
      </w:r>
      <w:r>
        <w:rPr>
          <w:spacing w:val="-19"/>
          <w:sz w:val="20"/>
        </w:rPr>
        <w:t> </w:t>
      </w:r>
      <w:r>
        <w:rPr>
          <w:sz w:val="20"/>
        </w:rPr>
        <w:t>Standards.</w:t>
      </w:r>
      <w:r>
        <w:rPr>
          <w:position w:val="7"/>
          <w:sz w:val="11"/>
        </w:rPr>
        <w:t>54</w:t>
      </w:r>
    </w:p>
    <w:p>
      <w:pPr>
        <w:pStyle w:val="ListParagraph"/>
        <w:numPr>
          <w:ilvl w:val="1"/>
          <w:numId w:val="12"/>
        </w:numPr>
        <w:tabs>
          <w:tab w:pos="1761" w:val="left" w:leader="none"/>
          <w:tab w:pos="1762" w:val="left" w:leader="none"/>
        </w:tabs>
        <w:spacing w:line="206" w:lineRule="auto" w:before="126" w:after="0"/>
        <w:ind w:left="1761" w:right="1229" w:hanging="794"/>
        <w:jc w:val="left"/>
        <w:rPr>
          <w:sz w:val="20"/>
        </w:rPr>
      </w:pPr>
      <w:r>
        <w:rPr>
          <w:sz w:val="20"/>
        </w:rPr>
        <w:t>It </w:t>
      </w:r>
      <w:r>
        <w:rPr>
          <w:spacing w:val="-3"/>
          <w:sz w:val="20"/>
        </w:rPr>
        <w:t>would </w:t>
      </w:r>
      <w:r>
        <w:rPr>
          <w:sz w:val="20"/>
        </w:rPr>
        <w:t>be helpful if Juries Victoria could arrange a disability liaison officer in its office to</w:t>
      </w:r>
      <w:r>
        <w:rPr>
          <w:spacing w:val="-9"/>
          <w:sz w:val="20"/>
        </w:rPr>
        <w:t> </w:t>
      </w:r>
      <w:r>
        <w:rPr>
          <w:sz w:val="20"/>
        </w:rPr>
        <w:t>be</w:t>
      </w:r>
      <w:r>
        <w:rPr>
          <w:spacing w:val="-9"/>
          <w:sz w:val="20"/>
        </w:rPr>
        <w:t> </w:t>
      </w:r>
      <w:r>
        <w:rPr>
          <w:spacing w:val="-3"/>
          <w:sz w:val="20"/>
        </w:rPr>
        <w:t>available</w:t>
      </w:r>
      <w:r>
        <w:rPr>
          <w:spacing w:val="-9"/>
          <w:sz w:val="20"/>
        </w:rPr>
        <w:t> </w:t>
      </w:r>
      <w:r>
        <w:rPr>
          <w:sz w:val="20"/>
        </w:rPr>
        <w:t>for</w:t>
      </w:r>
      <w:r>
        <w:rPr>
          <w:spacing w:val="-9"/>
          <w:sz w:val="20"/>
        </w:rPr>
        <w:t> </w:t>
      </w:r>
      <w:r>
        <w:rPr>
          <w:sz w:val="20"/>
        </w:rPr>
        <w:t>people</w:t>
      </w:r>
      <w:r>
        <w:rPr>
          <w:spacing w:val="-9"/>
          <w:sz w:val="20"/>
        </w:rPr>
        <w:t> </w:t>
      </w:r>
      <w:r>
        <w:rPr>
          <w:sz w:val="20"/>
        </w:rPr>
        <w:t>in</w:t>
      </w:r>
      <w:r>
        <w:rPr>
          <w:spacing w:val="-8"/>
          <w:sz w:val="20"/>
        </w:rPr>
        <w:t> </w:t>
      </w:r>
      <w:r>
        <w:rPr>
          <w:sz w:val="20"/>
        </w:rPr>
        <w:t>the</w:t>
      </w:r>
      <w:r>
        <w:rPr>
          <w:spacing w:val="-9"/>
          <w:sz w:val="20"/>
        </w:rPr>
        <w:t> </w:t>
      </w:r>
      <w:r>
        <w:rPr>
          <w:sz w:val="20"/>
        </w:rPr>
        <w:t>subject</w:t>
      </w:r>
      <w:r>
        <w:rPr>
          <w:spacing w:val="-9"/>
          <w:sz w:val="20"/>
        </w:rPr>
        <w:t> </w:t>
      </w:r>
      <w:r>
        <w:rPr>
          <w:sz w:val="20"/>
        </w:rPr>
        <w:t>groups</w:t>
      </w:r>
      <w:r>
        <w:rPr>
          <w:spacing w:val="-9"/>
          <w:sz w:val="20"/>
        </w:rPr>
        <w:t> </w:t>
      </w:r>
      <w:r>
        <w:rPr>
          <w:sz w:val="20"/>
        </w:rPr>
        <w:t>to</w:t>
      </w:r>
      <w:r>
        <w:rPr>
          <w:spacing w:val="-9"/>
          <w:sz w:val="20"/>
        </w:rPr>
        <w:t> </w:t>
      </w:r>
      <w:r>
        <w:rPr>
          <w:sz w:val="20"/>
        </w:rPr>
        <w:t>call</w:t>
      </w:r>
      <w:r>
        <w:rPr>
          <w:spacing w:val="-8"/>
          <w:sz w:val="20"/>
        </w:rPr>
        <w:t> </w:t>
      </w:r>
      <w:r>
        <w:rPr>
          <w:spacing w:val="-3"/>
          <w:sz w:val="20"/>
        </w:rPr>
        <w:t>(or</w:t>
      </w:r>
      <w:r>
        <w:rPr>
          <w:spacing w:val="-9"/>
          <w:sz w:val="20"/>
        </w:rPr>
        <w:t> </w:t>
      </w:r>
      <w:r>
        <w:rPr>
          <w:sz w:val="20"/>
        </w:rPr>
        <w:t>video</w:t>
      </w:r>
      <w:r>
        <w:rPr>
          <w:spacing w:val="-9"/>
          <w:sz w:val="20"/>
        </w:rPr>
        <w:t> </w:t>
      </w:r>
      <w:r>
        <w:rPr>
          <w:sz w:val="20"/>
        </w:rPr>
        <w:t>call,</w:t>
      </w:r>
      <w:r>
        <w:rPr>
          <w:spacing w:val="-9"/>
          <w:sz w:val="20"/>
        </w:rPr>
        <w:t> </w:t>
      </w:r>
      <w:r>
        <w:rPr>
          <w:sz w:val="20"/>
        </w:rPr>
        <w:t>with</w:t>
      </w:r>
      <w:r>
        <w:rPr>
          <w:spacing w:val="-9"/>
          <w:sz w:val="20"/>
        </w:rPr>
        <w:t> </w:t>
      </w:r>
      <w:r>
        <w:rPr>
          <w:sz w:val="20"/>
        </w:rPr>
        <w:t>the</w:t>
      </w:r>
      <w:r>
        <w:rPr>
          <w:spacing w:val="-8"/>
          <w:sz w:val="20"/>
        </w:rPr>
        <w:t> </w:t>
      </w:r>
      <w:r>
        <w:rPr>
          <w:sz w:val="20"/>
        </w:rPr>
        <w:t>assistance of an Auslan </w:t>
      </w:r>
      <w:r>
        <w:rPr>
          <w:spacing w:val="-4"/>
          <w:sz w:val="20"/>
        </w:rPr>
        <w:t>interpreter, </w:t>
      </w:r>
      <w:r>
        <w:rPr>
          <w:sz w:val="20"/>
        </w:rPr>
        <w:t>if required) with whom they can discuss their needs and </w:t>
      </w:r>
      <w:r>
        <w:rPr>
          <w:spacing w:val="-3"/>
          <w:sz w:val="20"/>
        </w:rPr>
        <w:t>any </w:t>
      </w:r>
      <w:r>
        <w:rPr>
          <w:sz w:val="20"/>
        </w:rPr>
        <w:t>reservations about</w:t>
      </w:r>
      <w:r>
        <w:rPr>
          <w:spacing w:val="-9"/>
          <w:sz w:val="20"/>
        </w:rPr>
        <w:t> </w:t>
      </w:r>
      <w:r>
        <w:rPr>
          <w:sz w:val="20"/>
        </w:rPr>
        <w:t>serving.</w:t>
      </w:r>
    </w:p>
    <w:p>
      <w:pPr>
        <w:pStyle w:val="Heading6"/>
        <w:rPr>
          <w:b/>
        </w:rPr>
      </w:pPr>
      <w:r>
        <w:rPr>
          <w:b/>
        </w:rPr>
        <w:t>Education should be targeted to encourage Aboriginal people to serve on juries</w:t>
      </w:r>
    </w:p>
    <w:p>
      <w:pPr>
        <w:pStyle w:val="BodyText"/>
        <w:spacing w:before="7"/>
        <w:rPr>
          <w:rFonts w:ascii="Raleway SemiBold"/>
          <w:b/>
          <w:sz w:val="14"/>
        </w:rPr>
      </w:pPr>
      <w:r>
        <w:rPr/>
        <w:pict>
          <v:line style="position:absolute;mso-position-horizontal-relative:page;mso-position-vertical-relative:paragraph;z-index:11384;mso-wrap-distance-left:0;mso-wrap-distance-right:0" from="79.370102pt,12.26640pt" to="515.905102pt,12.26640pt" stroked="true" strokeweight=".5pt" strokecolor="#8f9dad">
            <v:stroke dashstyle="solid"/>
            <w10:wrap type="topAndBottom"/>
          </v:line>
        </w:pict>
      </w:r>
    </w:p>
    <w:p>
      <w:pPr>
        <w:spacing w:line="252" w:lineRule="auto" w:before="223"/>
        <w:ind w:left="1916" w:right="2154" w:firstLine="0"/>
        <w:jc w:val="center"/>
        <w:rPr>
          <w:rFonts w:ascii="Trebuchet MS" w:hAnsi="Trebuchet MS"/>
          <w:sz w:val="19"/>
        </w:rPr>
      </w:pPr>
      <w:r>
        <w:rPr>
          <w:rFonts w:ascii="Trebuchet MS" w:hAnsi="Trebuchet MS"/>
          <w:i/>
          <w:color w:val="37617A"/>
          <w:spacing w:val="1"/>
          <w:w w:val="106"/>
          <w:sz w:val="20"/>
        </w:rPr>
        <w:t>A</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1"/>
          <w:w w:val="106"/>
          <w:sz w:val="20"/>
        </w:rPr>
        <w:t>A</w:t>
      </w:r>
      <w:r>
        <w:rPr>
          <w:rFonts w:ascii="Trebuchet MS" w:hAnsi="Trebuchet MS"/>
          <w:i/>
          <w:color w:val="37617A"/>
          <w:w w:val="107"/>
          <w:sz w:val="20"/>
        </w:rPr>
        <w:t>b</w:t>
      </w:r>
      <w:r>
        <w:rPr>
          <w:rFonts w:ascii="Trebuchet MS" w:hAnsi="Trebuchet MS"/>
          <w:i/>
          <w:color w:val="37617A"/>
          <w:w w:val="107"/>
          <w:sz w:val="20"/>
        </w:rPr>
        <w:t>o</w:t>
      </w:r>
      <w:r>
        <w:rPr>
          <w:rFonts w:ascii="Trebuchet MS" w:hAnsi="Trebuchet MS"/>
          <w:i/>
          <w:color w:val="37617A"/>
          <w:spacing w:val="-2"/>
          <w:w w:val="84"/>
          <w:sz w:val="20"/>
        </w:rPr>
        <w:t>r</w:t>
      </w:r>
      <w:r>
        <w:rPr>
          <w:rFonts w:ascii="Trebuchet MS" w:hAnsi="Trebuchet MS"/>
          <w:i/>
          <w:color w:val="37617A"/>
          <w:spacing w:val="-1"/>
          <w:w w:val="73"/>
          <w:sz w:val="20"/>
        </w:rPr>
        <w:t>i</w:t>
      </w:r>
      <w:r>
        <w:rPr>
          <w:rFonts w:ascii="Trebuchet MS" w:hAnsi="Trebuchet MS"/>
          <w:i/>
          <w:color w:val="37617A"/>
          <w:w w:val="119"/>
          <w:sz w:val="20"/>
        </w:rPr>
        <w:t>g</w:t>
      </w:r>
      <w:r>
        <w:rPr>
          <w:rFonts w:ascii="Trebuchet MS" w:hAnsi="Trebuchet MS"/>
          <w:i/>
          <w:color w:val="37617A"/>
          <w:w w:val="73"/>
          <w:sz w:val="20"/>
        </w:rPr>
        <w:t>i</w:t>
      </w:r>
      <w:r>
        <w:rPr>
          <w:rFonts w:ascii="Trebuchet MS" w:hAnsi="Trebuchet MS"/>
          <w:i/>
          <w:color w:val="37617A"/>
          <w:w w:val="103"/>
          <w:sz w:val="20"/>
        </w:rPr>
        <w:t>n</w:t>
      </w:r>
      <w:r>
        <w:rPr>
          <w:rFonts w:ascii="Trebuchet MS" w:hAnsi="Trebuchet MS"/>
          <w:i/>
          <w:color w:val="37617A"/>
          <w:w w:val="115"/>
          <w:sz w:val="20"/>
        </w:rPr>
        <w:t>a</w:t>
      </w:r>
      <w:r>
        <w:rPr>
          <w:rFonts w:ascii="Trebuchet MS" w:hAnsi="Trebuchet MS"/>
          <w:i/>
          <w:color w:val="37617A"/>
          <w:w w:val="87"/>
          <w:sz w:val="20"/>
        </w:rPr>
        <w:t>l</w:t>
      </w:r>
      <w:r>
        <w:rPr>
          <w:rFonts w:ascii="Trebuchet MS" w:hAnsi="Trebuchet MS"/>
          <w:i/>
          <w:color w:val="37617A"/>
          <w:spacing w:val="-13"/>
          <w:sz w:val="20"/>
        </w:rPr>
        <w:t> </w:t>
      </w:r>
      <w:r>
        <w:rPr>
          <w:rFonts w:ascii="Trebuchet MS" w:hAnsi="Trebuchet MS"/>
          <w:i/>
          <w:color w:val="37617A"/>
          <w:w w:val="107"/>
          <w:sz w:val="20"/>
        </w:rPr>
        <w:t>p</w:t>
      </w:r>
      <w:r>
        <w:rPr>
          <w:rFonts w:ascii="Trebuchet MS" w:hAnsi="Trebuchet MS"/>
          <w:i/>
          <w:color w:val="37617A"/>
          <w:w w:val="100"/>
          <w:sz w:val="20"/>
        </w:rPr>
        <w:t>e</w:t>
      </w:r>
      <w:r>
        <w:rPr>
          <w:rFonts w:ascii="Trebuchet MS" w:hAnsi="Trebuchet MS"/>
          <w:i/>
          <w:color w:val="37617A"/>
          <w:w w:val="107"/>
          <w:sz w:val="20"/>
        </w:rPr>
        <w:t>o</w:t>
      </w:r>
      <w:r>
        <w:rPr>
          <w:rFonts w:ascii="Trebuchet MS" w:hAnsi="Trebuchet MS"/>
          <w:i/>
          <w:color w:val="37617A"/>
          <w:w w:val="107"/>
          <w:sz w:val="20"/>
        </w:rPr>
        <w:t>p</w:t>
      </w:r>
      <w:r>
        <w:rPr>
          <w:rFonts w:ascii="Trebuchet MS" w:hAnsi="Trebuchet MS"/>
          <w:i/>
          <w:color w:val="37617A"/>
          <w:spacing w:val="-3"/>
          <w:w w:val="87"/>
          <w:sz w:val="20"/>
        </w:rPr>
        <w:t>l</w:t>
      </w:r>
      <w:r>
        <w:rPr>
          <w:rFonts w:ascii="Trebuchet MS" w:hAnsi="Trebuchet MS"/>
          <w:i/>
          <w:color w:val="37617A"/>
          <w:spacing w:val="2"/>
          <w:w w:val="100"/>
          <w:sz w:val="20"/>
        </w:rPr>
        <w:t>e</w:t>
      </w:r>
      <w:r>
        <w:rPr>
          <w:rFonts w:ascii="Trebuchet MS" w:hAnsi="Trebuchet MS"/>
          <w:i/>
          <w:color w:val="37617A"/>
          <w:w w:val="56"/>
          <w:sz w:val="20"/>
        </w:rPr>
        <w:t>,</w:t>
      </w:r>
      <w:r>
        <w:rPr>
          <w:rFonts w:ascii="Trebuchet MS" w:hAnsi="Trebuchet MS"/>
          <w:i/>
          <w:color w:val="37617A"/>
          <w:spacing w:val="-13"/>
          <w:sz w:val="20"/>
        </w:rPr>
        <w:t> </w:t>
      </w:r>
      <w:r>
        <w:rPr>
          <w:rFonts w:ascii="Trebuchet MS" w:hAnsi="Trebuchet MS"/>
          <w:i/>
          <w:color w:val="37617A"/>
          <w:spacing w:val="-3"/>
          <w:w w:val="103"/>
          <w:sz w:val="20"/>
        </w:rPr>
        <w:t>w</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spacing w:val="2"/>
          <w:w w:val="83"/>
          <w:sz w:val="20"/>
        </w:rPr>
        <w:t>f</w:t>
      </w:r>
      <w:r>
        <w:rPr>
          <w:rFonts w:ascii="Trebuchet MS" w:hAnsi="Trebuchet MS"/>
          <w:i/>
          <w:color w:val="37617A"/>
          <w:spacing w:val="-5"/>
          <w:w w:val="80"/>
          <w:sz w:val="20"/>
        </w:rPr>
        <w:t>t</w:t>
      </w:r>
      <w:r>
        <w:rPr>
          <w:rFonts w:ascii="Trebuchet MS" w:hAnsi="Trebuchet MS"/>
          <w:i/>
          <w:color w:val="37617A"/>
          <w:spacing w:val="1"/>
          <w:w w:val="100"/>
          <w:sz w:val="20"/>
        </w:rPr>
        <w:t>e</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spacing w:val="-2"/>
          <w:w w:val="117"/>
          <w:sz w:val="20"/>
        </w:rPr>
        <w:t>s</w:t>
      </w:r>
      <w:r>
        <w:rPr>
          <w:rFonts w:ascii="Trebuchet MS" w:hAnsi="Trebuchet MS"/>
          <w:i/>
          <w:color w:val="37617A"/>
          <w:w w:val="100"/>
          <w:sz w:val="20"/>
        </w:rPr>
        <w:t>ee</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spacing w:val="-1"/>
          <w:w w:val="84"/>
          <w:sz w:val="20"/>
        </w:rPr>
        <w:t>r</w:t>
      </w:r>
      <w:r>
        <w:rPr>
          <w:rFonts w:ascii="Trebuchet MS" w:hAnsi="Trebuchet MS"/>
          <w:i/>
          <w:color w:val="37617A"/>
          <w:spacing w:val="-2"/>
          <w:w w:val="117"/>
          <w:sz w:val="20"/>
        </w:rPr>
        <w:t>s</w:t>
      </w:r>
      <w:r>
        <w:rPr>
          <w:rFonts w:ascii="Trebuchet MS" w:hAnsi="Trebuchet MS"/>
          <w:i/>
          <w:color w:val="37617A"/>
          <w:w w:val="100"/>
          <w:sz w:val="20"/>
        </w:rPr>
        <w:t>e</w:t>
      </w:r>
      <w:r>
        <w:rPr>
          <w:rFonts w:ascii="Trebuchet MS" w:hAnsi="Trebuchet MS"/>
          <w:i/>
          <w:color w:val="37617A"/>
          <w:spacing w:val="-6"/>
          <w:w w:val="87"/>
          <w:sz w:val="20"/>
        </w:rPr>
        <w:t>l</w:t>
      </w:r>
      <w:r>
        <w:rPr>
          <w:rFonts w:ascii="Trebuchet MS" w:hAnsi="Trebuchet MS"/>
          <w:i/>
          <w:color w:val="37617A"/>
          <w:spacing w:val="-3"/>
          <w:w w:val="103"/>
          <w:sz w:val="20"/>
        </w:rPr>
        <w:t>v</w:t>
      </w:r>
      <w:r>
        <w:rPr>
          <w:rFonts w:ascii="Trebuchet MS" w:hAnsi="Trebuchet MS"/>
          <w:i/>
          <w:color w:val="37617A"/>
          <w:w w:val="100"/>
          <w:sz w:val="20"/>
        </w:rPr>
        <w:t>e</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w w:val="115"/>
          <w:sz w:val="20"/>
        </w:rPr>
        <w:t>a</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3"/>
          <w:w w:val="103"/>
          <w:sz w:val="20"/>
        </w:rPr>
        <w:t>v</w:t>
      </w:r>
      <w:r>
        <w:rPr>
          <w:rFonts w:ascii="Trebuchet MS" w:hAnsi="Trebuchet MS"/>
          <w:i/>
          <w:color w:val="37617A"/>
          <w:w w:val="73"/>
          <w:sz w:val="20"/>
        </w:rPr>
        <w:t>i</w:t>
      </w:r>
      <w:r>
        <w:rPr>
          <w:rFonts w:ascii="Trebuchet MS" w:hAnsi="Trebuchet MS"/>
          <w:i/>
          <w:color w:val="37617A"/>
          <w:spacing w:val="-2"/>
          <w:w w:val="115"/>
          <w:sz w:val="20"/>
        </w:rPr>
        <w:t>c</w:t>
      </w:r>
      <w:r>
        <w:rPr>
          <w:rFonts w:ascii="Trebuchet MS" w:hAnsi="Trebuchet MS"/>
          <w:i/>
          <w:color w:val="37617A"/>
          <w:spacing w:val="-1"/>
          <w:w w:val="80"/>
          <w:sz w:val="20"/>
        </w:rPr>
        <w:t>t</w:t>
      </w:r>
      <w:r>
        <w:rPr>
          <w:rFonts w:ascii="Trebuchet MS" w:hAnsi="Trebuchet MS"/>
          <w:i/>
          <w:color w:val="37617A"/>
          <w:w w:val="73"/>
          <w:sz w:val="20"/>
        </w:rPr>
        <w:t>i</w:t>
      </w:r>
      <w:r>
        <w:rPr>
          <w:rFonts w:ascii="Trebuchet MS" w:hAnsi="Trebuchet MS"/>
          <w:i/>
          <w:color w:val="37617A"/>
          <w:w w:val="106"/>
          <w:sz w:val="20"/>
        </w:rPr>
        <w:t>m</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2"/>
          <w:w w:val="107"/>
          <w:sz w:val="20"/>
        </w:rPr>
        <w:t>o</w:t>
      </w:r>
      <w:r>
        <w:rPr>
          <w:rFonts w:ascii="Trebuchet MS" w:hAnsi="Trebuchet MS"/>
          <w:i/>
          <w:color w:val="37617A"/>
          <w:w w:val="83"/>
          <w:sz w:val="20"/>
        </w:rPr>
        <w:t>f</w:t>
      </w:r>
      <w:r>
        <w:rPr>
          <w:rFonts w:ascii="Trebuchet MS" w:hAnsi="Trebuchet MS"/>
          <w:i/>
          <w:color w:val="37617A"/>
          <w:spacing w:val="-13"/>
          <w:sz w:val="20"/>
        </w:rPr>
        <w:t> </w:t>
      </w:r>
      <w:r>
        <w:rPr>
          <w:rFonts w:ascii="Trebuchet MS" w:hAnsi="Trebuchet MS"/>
          <w:i/>
          <w:color w:val="37617A"/>
          <w:spacing w:val="-1"/>
          <w:w w:val="80"/>
          <w:sz w:val="20"/>
        </w:rPr>
        <w:t>t</w:t>
      </w:r>
      <w:r>
        <w:rPr>
          <w:rFonts w:ascii="Trebuchet MS" w:hAnsi="Trebuchet MS"/>
          <w:i/>
          <w:color w:val="37617A"/>
          <w:w w:val="101"/>
          <w:sz w:val="20"/>
        </w:rPr>
        <w:t>h</w:t>
      </w:r>
      <w:r>
        <w:rPr>
          <w:rFonts w:ascii="Trebuchet MS" w:hAnsi="Trebuchet MS"/>
          <w:i/>
          <w:color w:val="37617A"/>
          <w:w w:val="100"/>
          <w:sz w:val="20"/>
        </w:rPr>
        <w:t>e</w:t>
      </w:r>
      <w:r>
        <w:rPr>
          <w:rFonts w:ascii="Trebuchet MS" w:hAnsi="Trebuchet MS"/>
          <w:i/>
          <w:color w:val="37617A"/>
          <w:spacing w:val="-13"/>
          <w:sz w:val="20"/>
        </w:rPr>
        <w:t> </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w w:val="103"/>
          <w:sz w:val="20"/>
        </w:rPr>
        <w:t>u</w:t>
      </w:r>
      <w:r>
        <w:rPr>
          <w:rFonts w:ascii="Trebuchet MS" w:hAnsi="Trebuchet MS"/>
          <w:i/>
          <w:color w:val="37617A"/>
          <w:spacing w:val="2"/>
          <w:w w:val="84"/>
          <w:sz w:val="20"/>
        </w:rPr>
        <w:t>r</w:t>
      </w:r>
      <w:r>
        <w:rPr>
          <w:rFonts w:ascii="Trebuchet MS" w:hAnsi="Trebuchet MS"/>
          <w:i/>
          <w:color w:val="37617A"/>
          <w:w w:val="80"/>
          <w:sz w:val="20"/>
        </w:rPr>
        <w:t>t</w:t>
      </w:r>
      <w:r>
        <w:rPr>
          <w:rFonts w:ascii="Trebuchet MS" w:hAnsi="Trebuchet MS"/>
          <w:i/>
          <w:color w:val="37617A"/>
          <w:spacing w:val="-13"/>
          <w:sz w:val="20"/>
        </w:rPr>
        <w:t> </w:t>
      </w:r>
      <w:r>
        <w:rPr>
          <w:rFonts w:ascii="Trebuchet MS" w:hAnsi="Trebuchet MS"/>
          <w:i/>
          <w:color w:val="37617A"/>
          <w:spacing w:val="-1"/>
          <w:w w:val="117"/>
          <w:sz w:val="20"/>
        </w:rPr>
        <w:t>s</w:t>
      </w:r>
      <w:r>
        <w:rPr>
          <w:rFonts w:ascii="Trebuchet MS" w:hAnsi="Trebuchet MS"/>
          <w:i/>
          <w:color w:val="37617A"/>
          <w:spacing w:val="-2"/>
          <w:w w:val="101"/>
          <w:sz w:val="20"/>
        </w:rPr>
        <w:t>y</w:t>
      </w:r>
      <w:r>
        <w:rPr>
          <w:rFonts w:ascii="Trebuchet MS" w:hAnsi="Trebuchet MS"/>
          <w:i/>
          <w:color w:val="37617A"/>
          <w:spacing w:val="-1"/>
          <w:w w:val="117"/>
          <w:sz w:val="20"/>
        </w:rPr>
        <w:t>s</w:t>
      </w:r>
      <w:r>
        <w:rPr>
          <w:rFonts w:ascii="Trebuchet MS" w:hAnsi="Trebuchet MS"/>
          <w:i/>
          <w:color w:val="37617A"/>
          <w:spacing w:val="-5"/>
          <w:w w:val="80"/>
          <w:sz w:val="20"/>
        </w:rPr>
        <w:t>t</w:t>
      </w:r>
      <w:r>
        <w:rPr>
          <w:rFonts w:ascii="Trebuchet MS" w:hAnsi="Trebuchet MS"/>
          <w:i/>
          <w:color w:val="37617A"/>
          <w:spacing w:val="1"/>
          <w:w w:val="100"/>
          <w:sz w:val="20"/>
        </w:rPr>
        <w:t>e</w:t>
      </w:r>
      <w:r>
        <w:rPr>
          <w:rFonts w:ascii="Trebuchet MS" w:hAnsi="Trebuchet MS"/>
          <w:i/>
          <w:color w:val="37617A"/>
          <w:spacing w:val="1"/>
          <w:w w:val="106"/>
          <w:sz w:val="20"/>
        </w:rPr>
        <w:t>m</w:t>
      </w:r>
      <w:r>
        <w:rPr>
          <w:rFonts w:ascii="Trebuchet MS" w:hAnsi="Trebuchet MS"/>
          <w:i/>
          <w:color w:val="37617A"/>
          <w:w w:val="54"/>
          <w:sz w:val="20"/>
        </w:rPr>
        <w:t>.</w:t>
      </w:r>
      <w:r>
        <w:rPr>
          <w:rFonts w:ascii="Trebuchet MS" w:hAnsi="Trebuchet MS"/>
          <w:i/>
          <w:color w:val="37617A"/>
          <w:w w:val="54"/>
          <w:sz w:val="20"/>
        </w:rPr>
        <w:t> </w:t>
      </w:r>
      <w:r>
        <w:rPr>
          <w:rFonts w:ascii="Trebuchet MS" w:hAnsi="Trebuchet MS"/>
          <w:i/>
          <w:color w:val="37617A"/>
          <w:sz w:val="20"/>
        </w:rPr>
        <w:t>But</w:t>
      </w:r>
      <w:r>
        <w:rPr>
          <w:rFonts w:ascii="Trebuchet MS" w:hAnsi="Trebuchet MS"/>
          <w:i/>
          <w:color w:val="37617A"/>
          <w:spacing w:val="-13"/>
          <w:sz w:val="20"/>
        </w:rPr>
        <w:t> </w:t>
      </w:r>
      <w:r>
        <w:rPr>
          <w:rFonts w:ascii="Trebuchet MS" w:hAnsi="Trebuchet MS"/>
          <w:i/>
          <w:color w:val="37617A"/>
          <w:spacing w:val="-3"/>
          <w:sz w:val="20"/>
        </w:rPr>
        <w:t>we’re</w:t>
      </w:r>
      <w:r>
        <w:rPr>
          <w:rFonts w:ascii="Trebuchet MS" w:hAnsi="Trebuchet MS"/>
          <w:i/>
          <w:color w:val="37617A"/>
          <w:spacing w:val="-12"/>
          <w:sz w:val="20"/>
        </w:rPr>
        <w:t> </w:t>
      </w:r>
      <w:r>
        <w:rPr>
          <w:rFonts w:ascii="Trebuchet MS" w:hAnsi="Trebuchet MS"/>
          <w:i/>
          <w:color w:val="37617A"/>
          <w:sz w:val="20"/>
        </w:rPr>
        <w:t>also</w:t>
      </w:r>
      <w:r>
        <w:rPr>
          <w:rFonts w:ascii="Trebuchet MS" w:hAnsi="Trebuchet MS"/>
          <w:i/>
          <w:color w:val="37617A"/>
          <w:spacing w:val="-12"/>
          <w:sz w:val="20"/>
        </w:rPr>
        <w:t> </w:t>
      </w:r>
      <w:r>
        <w:rPr>
          <w:rFonts w:ascii="Trebuchet MS" w:hAnsi="Trebuchet MS"/>
          <w:i/>
          <w:color w:val="37617A"/>
          <w:sz w:val="20"/>
        </w:rPr>
        <w:t>members</w:t>
      </w:r>
      <w:r>
        <w:rPr>
          <w:rFonts w:ascii="Trebuchet MS" w:hAnsi="Trebuchet MS"/>
          <w:i/>
          <w:color w:val="37617A"/>
          <w:spacing w:val="-13"/>
          <w:sz w:val="20"/>
        </w:rPr>
        <w:t> </w:t>
      </w:r>
      <w:r>
        <w:rPr>
          <w:rFonts w:ascii="Trebuchet MS" w:hAnsi="Trebuchet MS"/>
          <w:i/>
          <w:color w:val="37617A"/>
          <w:sz w:val="20"/>
        </w:rPr>
        <w:t>of</w:t>
      </w:r>
      <w:r>
        <w:rPr>
          <w:rFonts w:ascii="Trebuchet MS" w:hAnsi="Trebuchet MS"/>
          <w:i/>
          <w:color w:val="37617A"/>
          <w:spacing w:val="-12"/>
          <w:sz w:val="20"/>
        </w:rPr>
        <w:t> </w:t>
      </w:r>
      <w:r>
        <w:rPr>
          <w:rFonts w:ascii="Trebuchet MS" w:hAnsi="Trebuchet MS"/>
          <w:i/>
          <w:color w:val="37617A"/>
          <w:sz w:val="20"/>
        </w:rPr>
        <w:t>the</w:t>
      </w:r>
      <w:r>
        <w:rPr>
          <w:rFonts w:ascii="Trebuchet MS" w:hAnsi="Trebuchet MS"/>
          <w:i/>
          <w:color w:val="37617A"/>
          <w:spacing w:val="-12"/>
          <w:sz w:val="20"/>
        </w:rPr>
        <w:t> </w:t>
      </w:r>
      <w:r>
        <w:rPr>
          <w:rFonts w:ascii="Trebuchet MS" w:hAnsi="Trebuchet MS"/>
          <w:i/>
          <w:color w:val="37617A"/>
          <w:sz w:val="20"/>
        </w:rPr>
        <w:t>community</w:t>
      </w:r>
      <w:r>
        <w:rPr>
          <w:rFonts w:ascii="Trebuchet MS" w:hAnsi="Trebuchet MS"/>
          <w:i/>
          <w:color w:val="37617A"/>
          <w:spacing w:val="-12"/>
          <w:sz w:val="20"/>
        </w:rPr>
        <w:t> </w:t>
      </w:r>
      <w:r>
        <w:rPr>
          <w:rFonts w:ascii="Trebuchet MS" w:hAnsi="Trebuchet MS"/>
          <w:i/>
          <w:color w:val="37617A"/>
          <w:sz w:val="20"/>
        </w:rPr>
        <w:t>and</w:t>
      </w:r>
      <w:r>
        <w:rPr>
          <w:rFonts w:ascii="Trebuchet MS" w:hAnsi="Trebuchet MS"/>
          <w:i/>
          <w:color w:val="37617A"/>
          <w:spacing w:val="-13"/>
          <w:sz w:val="20"/>
        </w:rPr>
        <w:t> </w:t>
      </w:r>
      <w:r>
        <w:rPr>
          <w:rFonts w:ascii="Trebuchet MS" w:hAnsi="Trebuchet MS"/>
          <w:i/>
          <w:color w:val="37617A"/>
          <w:sz w:val="20"/>
        </w:rPr>
        <w:t>need</w:t>
      </w:r>
      <w:r>
        <w:rPr>
          <w:rFonts w:ascii="Trebuchet MS" w:hAnsi="Trebuchet MS"/>
          <w:i/>
          <w:color w:val="37617A"/>
          <w:spacing w:val="-12"/>
          <w:sz w:val="20"/>
        </w:rPr>
        <w:t> </w:t>
      </w:r>
      <w:r>
        <w:rPr>
          <w:rFonts w:ascii="Trebuchet MS" w:hAnsi="Trebuchet MS"/>
          <w:i/>
          <w:color w:val="37617A"/>
          <w:sz w:val="20"/>
        </w:rPr>
        <w:t>to</w:t>
      </w:r>
      <w:r>
        <w:rPr>
          <w:rFonts w:ascii="Trebuchet MS" w:hAnsi="Trebuchet MS"/>
          <w:i/>
          <w:color w:val="37617A"/>
          <w:spacing w:val="-12"/>
          <w:sz w:val="20"/>
        </w:rPr>
        <w:t> </w:t>
      </w:r>
      <w:r>
        <w:rPr>
          <w:rFonts w:ascii="Trebuchet MS" w:hAnsi="Trebuchet MS"/>
          <w:i/>
          <w:color w:val="37617A"/>
          <w:sz w:val="20"/>
        </w:rPr>
        <w:t>be</w:t>
      </w:r>
      <w:r>
        <w:rPr>
          <w:rFonts w:ascii="Trebuchet MS" w:hAnsi="Trebuchet MS"/>
          <w:i/>
          <w:color w:val="37617A"/>
          <w:spacing w:val="-12"/>
          <w:sz w:val="20"/>
        </w:rPr>
        <w:t> </w:t>
      </w:r>
      <w:r>
        <w:rPr>
          <w:rFonts w:ascii="Trebuchet MS" w:hAnsi="Trebuchet MS"/>
          <w:i/>
          <w:color w:val="37617A"/>
          <w:sz w:val="20"/>
        </w:rPr>
        <w:t>part</w:t>
      </w:r>
      <w:r>
        <w:rPr>
          <w:rFonts w:ascii="Trebuchet MS" w:hAnsi="Trebuchet MS"/>
          <w:i/>
          <w:color w:val="37617A"/>
          <w:spacing w:val="-13"/>
          <w:sz w:val="20"/>
        </w:rPr>
        <w:t> </w:t>
      </w:r>
      <w:r>
        <w:rPr>
          <w:rFonts w:ascii="Trebuchet MS" w:hAnsi="Trebuchet MS"/>
          <w:i/>
          <w:color w:val="37617A"/>
          <w:sz w:val="20"/>
        </w:rPr>
        <w:t>of</w:t>
      </w:r>
      <w:r>
        <w:rPr>
          <w:rFonts w:ascii="Trebuchet MS" w:hAnsi="Trebuchet MS"/>
          <w:i/>
          <w:color w:val="37617A"/>
          <w:spacing w:val="-12"/>
          <w:sz w:val="20"/>
        </w:rPr>
        <w:t> </w:t>
      </w:r>
      <w:r>
        <w:rPr>
          <w:rFonts w:ascii="Trebuchet MS" w:hAnsi="Trebuchet MS"/>
          <w:i/>
          <w:color w:val="37617A"/>
          <w:sz w:val="20"/>
        </w:rPr>
        <w:t>the</w:t>
      </w:r>
      <w:r>
        <w:rPr>
          <w:rFonts w:ascii="Trebuchet MS" w:hAnsi="Trebuchet MS"/>
          <w:i/>
          <w:color w:val="37617A"/>
          <w:spacing w:val="-12"/>
          <w:sz w:val="20"/>
        </w:rPr>
        <w:t> </w:t>
      </w:r>
      <w:r>
        <w:rPr>
          <w:rFonts w:ascii="Trebuchet MS" w:hAnsi="Trebuchet MS"/>
          <w:i/>
          <w:color w:val="37617A"/>
          <w:sz w:val="20"/>
        </w:rPr>
        <w:t>justice </w:t>
      </w:r>
      <w:r>
        <w:rPr>
          <w:rFonts w:ascii="Trebuchet MS" w:hAnsi="Trebuchet MS"/>
          <w:i/>
          <w:color w:val="37617A"/>
          <w:spacing w:val="-1"/>
          <w:w w:val="117"/>
          <w:sz w:val="20"/>
        </w:rPr>
        <w:t>s</w:t>
      </w:r>
      <w:r>
        <w:rPr>
          <w:rFonts w:ascii="Trebuchet MS" w:hAnsi="Trebuchet MS"/>
          <w:i/>
          <w:color w:val="37617A"/>
          <w:spacing w:val="-2"/>
          <w:w w:val="101"/>
          <w:sz w:val="20"/>
        </w:rPr>
        <w:t>y</w:t>
      </w:r>
      <w:r>
        <w:rPr>
          <w:rFonts w:ascii="Trebuchet MS" w:hAnsi="Trebuchet MS"/>
          <w:i/>
          <w:color w:val="37617A"/>
          <w:spacing w:val="-1"/>
          <w:w w:val="117"/>
          <w:sz w:val="20"/>
        </w:rPr>
        <w:t>s</w:t>
      </w:r>
      <w:r>
        <w:rPr>
          <w:rFonts w:ascii="Trebuchet MS" w:hAnsi="Trebuchet MS"/>
          <w:i/>
          <w:color w:val="37617A"/>
          <w:spacing w:val="-5"/>
          <w:w w:val="80"/>
          <w:sz w:val="20"/>
        </w:rPr>
        <w:t>t</w:t>
      </w:r>
      <w:r>
        <w:rPr>
          <w:rFonts w:ascii="Trebuchet MS" w:hAnsi="Trebuchet MS"/>
          <w:i/>
          <w:color w:val="37617A"/>
          <w:spacing w:val="1"/>
          <w:w w:val="100"/>
          <w:sz w:val="20"/>
        </w:rPr>
        <w:t>e</w:t>
      </w:r>
      <w:r>
        <w:rPr>
          <w:rFonts w:ascii="Trebuchet MS" w:hAnsi="Trebuchet MS"/>
          <w:i/>
          <w:color w:val="37617A"/>
          <w:w w:val="106"/>
          <w:sz w:val="20"/>
        </w:rPr>
        <w:t>m</w:t>
      </w:r>
      <w:r>
        <w:rPr>
          <w:rFonts w:ascii="Trebuchet MS" w:hAnsi="Trebuchet MS"/>
          <w:i/>
          <w:color w:val="37617A"/>
          <w:spacing w:val="-13"/>
          <w:sz w:val="20"/>
        </w:rPr>
        <w:t> </w:t>
      </w:r>
      <w:r>
        <w:rPr>
          <w:rFonts w:ascii="Trebuchet MS" w:hAnsi="Trebuchet MS"/>
          <w:i/>
          <w:color w:val="37617A"/>
          <w:spacing w:val="-4"/>
          <w:w w:val="107"/>
          <w:sz w:val="20"/>
        </w:rPr>
        <w:t>b</w:t>
      </w:r>
      <w:r>
        <w:rPr>
          <w:rFonts w:ascii="Trebuchet MS" w:hAnsi="Trebuchet MS"/>
          <w:i/>
          <w:color w:val="37617A"/>
          <w:w w:val="101"/>
          <w:sz w:val="20"/>
        </w:rPr>
        <w:t>y</w:t>
      </w:r>
      <w:r>
        <w:rPr>
          <w:rFonts w:ascii="Trebuchet MS" w:hAnsi="Trebuchet MS"/>
          <w:i/>
          <w:color w:val="37617A"/>
          <w:spacing w:val="-13"/>
          <w:sz w:val="20"/>
        </w:rPr>
        <w:t> </w:t>
      </w:r>
      <w:r>
        <w:rPr>
          <w:rFonts w:ascii="Trebuchet MS" w:hAnsi="Trebuchet MS"/>
          <w:i/>
          <w:color w:val="37617A"/>
          <w:spacing w:val="-2"/>
          <w:w w:val="117"/>
          <w:sz w:val="20"/>
        </w:rPr>
        <w:t>s</w:t>
      </w:r>
      <w:r>
        <w:rPr>
          <w:rFonts w:ascii="Trebuchet MS" w:hAnsi="Trebuchet MS"/>
          <w:i/>
          <w:color w:val="37617A"/>
          <w:spacing w:val="1"/>
          <w:w w:val="100"/>
          <w:sz w:val="20"/>
        </w:rPr>
        <w:t>e</w:t>
      </w:r>
      <w:r>
        <w:rPr>
          <w:rFonts w:ascii="Trebuchet MS" w:hAnsi="Trebuchet MS"/>
          <w:i/>
          <w:color w:val="37617A"/>
          <w:spacing w:val="3"/>
          <w:w w:val="84"/>
          <w:sz w:val="20"/>
        </w:rPr>
        <w:t>r</w:t>
      </w:r>
      <w:r>
        <w:rPr>
          <w:rFonts w:ascii="Trebuchet MS" w:hAnsi="Trebuchet MS"/>
          <w:i/>
          <w:color w:val="37617A"/>
          <w:spacing w:val="-3"/>
          <w:w w:val="103"/>
          <w:sz w:val="20"/>
        </w:rPr>
        <w:t>v</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w w:val="119"/>
          <w:sz w:val="20"/>
        </w:rPr>
        <w:t>g</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w w:val="103"/>
          <w:sz w:val="20"/>
        </w:rPr>
        <w:t>n</w:t>
      </w:r>
      <w:r>
        <w:rPr>
          <w:rFonts w:ascii="Trebuchet MS" w:hAnsi="Trebuchet MS"/>
          <w:i/>
          <w:color w:val="37617A"/>
          <w:spacing w:val="-13"/>
          <w:sz w:val="20"/>
        </w:rPr>
        <w:t> </w:t>
      </w:r>
      <w:r>
        <w:rPr>
          <w:rFonts w:ascii="Trebuchet MS" w:hAnsi="Trebuchet MS"/>
          <w:i/>
          <w:color w:val="37617A"/>
          <w:w w:val="63"/>
          <w:sz w:val="20"/>
        </w:rPr>
        <w:t>j</w:t>
      </w:r>
      <w:r>
        <w:rPr>
          <w:rFonts w:ascii="Trebuchet MS" w:hAnsi="Trebuchet MS"/>
          <w:i/>
          <w:color w:val="37617A"/>
          <w:w w:val="103"/>
          <w:sz w:val="20"/>
        </w:rPr>
        <w:t>u</w:t>
      </w:r>
      <w:r>
        <w:rPr>
          <w:rFonts w:ascii="Trebuchet MS" w:hAnsi="Trebuchet MS"/>
          <w:i/>
          <w:color w:val="37617A"/>
          <w:spacing w:val="-2"/>
          <w:w w:val="84"/>
          <w:sz w:val="20"/>
        </w:rPr>
        <w:t>r</w:t>
      </w:r>
      <w:r>
        <w:rPr>
          <w:rFonts w:ascii="Trebuchet MS" w:hAnsi="Trebuchet MS"/>
          <w:i/>
          <w:color w:val="37617A"/>
          <w:w w:val="73"/>
          <w:sz w:val="20"/>
        </w:rPr>
        <w:t>i</w:t>
      </w:r>
      <w:r>
        <w:rPr>
          <w:rFonts w:ascii="Trebuchet MS" w:hAnsi="Trebuchet MS"/>
          <w:i/>
          <w:color w:val="37617A"/>
          <w:w w:val="100"/>
          <w:sz w:val="20"/>
        </w:rPr>
        <w:t>e</w:t>
      </w:r>
      <w:r>
        <w:rPr>
          <w:rFonts w:ascii="Trebuchet MS" w:hAnsi="Trebuchet MS"/>
          <w:i/>
          <w:color w:val="37617A"/>
          <w:spacing w:val="3"/>
          <w:w w:val="117"/>
          <w:sz w:val="20"/>
        </w:rPr>
        <w:t>s</w:t>
      </w:r>
      <w:r>
        <w:rPr>
          <w:rFonts w:ascii="Trebuchet MS" w:hAnsi="Trebuchet MS"/>
          <w:i/>
          <w:color w:val="37617A"/>
          <w:spacing w:val="2"/>
          <w:w w:val="54"/>
          <w:sz w:val="20"/>
        </w:rPr>
        <w:t>.</w:t>
      </w:r>
      <w:r>
        <w:rPr>
          <w:rFonts w:ascii="Trebuchet MS" w:hAnsi="Trebuchet MS"/>
          <w:i/>
          <w:color w:val="37617A"/>
          <w:spacing w:val="1"/>
          <w:w w:val="106"/>
          <w:position w:val="7"/>
          <w:sz w:val="11"/>
        </w:rPr>
        <w:t>5</w:t>
      </w:r>
      <w:r>
        <w:rPr>
          <w:rFonts w:ascii="Trebuchet MS" w:hAnsi="Trebuchet MS"/>
          <w:i/>
          <w:color w:val="37617A"/>
          <w:spacing w:val="2"/>
          <w:w w:val="106"/>
          <w:position w:val="7"/>
          <w:sz w:val="11"/>
        </w:rPr>
        <w:t>5</w:t>
      </w:r>
      <w:r>
        <w:rPr>
          <w:rFonts w:ascii="Trebuchet MS" w:hAnsi="Trebuchet MS"/>
          <w:color w:val="37617A"/>
          <w:spacing w:val="-8"/>
          <w:w w:val="124"/>
          <w:sz w:val="19"/>
        </w:rPr>
        <w:t>—</w:t>
      </w:r>
      <w:r>
        <w:rPr>
          <w:rFonts w:ascii="Trebuchet MS" w:hAnsi="Trebuchet MS"/>
          <w:color w:val="37617A"/>
          <w:w w:val="115"/>
          <w:sz w:val="19"/>
        </w:rPr>
        <w:t>V</w:t>
      </w:r>
      <w:r>
        <w:rPr>
          <w:rFonts w:ascii="Trebuchet MS" w:hAnsi="Trebuchet MS"/>
          <w:color w:val="37617A"/>
          <w:w w:val="80"/>
          <w:sz w:val="19"/>
        </w:rPr>
        <w:t>i</w:t>
      </w:r>
      <w:r>
        <w:rPr>
          <w:rFonts w:ascii="Trebuchet MS" w:hAnsi="Trebuchet MS"/>
          <w:color w:val="37617A"/>
          <w:w w:val="101"/>
          <w:sz w:val="19"/>
        </w:rPr>
        <w:t>c</w:t>
      </w:r>
      <w:r>
        <w:rPr>
          <w:rFonts w:ascii="Trebuchet MS" w:hAnsi="Trebuchet MS"/>
          <w:color w:val="37617A"/>
          <w:spacing w:val="-3"/>
          <w:w w:val="101"/>
          <w:sz w:val="19"/>
        </w:rPr>
        <w:t>t</w:t>
      </w:r>
      <w:r>
        <w:rPr>
          <w:rFonts w:ascii="Trebuchet MS" w:hAnsi="Trebuchet MS"/>
          <w:color w:val="37617A"/>
          <w:w w:val="111"/>
          <w:sz w:val="19"/>
        </w:rPr>
        <w:t>o</w:t>
      </w:r>
      <w:r>
        <w:rPr>
          <w:rFonts w:ascii="Trebuchet MS" w:hAnsi="Trebuchet MS"/>
          <w:color w:val="37617A"/>
          <w:spacing w:val="-1"/>
          <w:w w:val="93"/>
          <w:sz w:val="19"/>
        </w:rPr>
        <w:t>r</w:t>
      </w:r>
      <w:r>
        <w:rPr>
          <w:rFonts w:ascii="Trebuchet MS" w:hAnsi="Trebuchet MS"/>
          <w:color w:val="37617A"/>
          <w:w w:val="80"/>
          <w:sz w:val="19"/>
        </w:rPr>
        <w:t>i</w:t>
      </w:r>
      <w:r>
        <w:rPr>
          <w:rFonts w:ascii="Trebuchet MS" w:hAnsi="Trebuchet MS"/>
          <w:color w:val="37617A"/>
          <w:w w:val="106"/>
          <w:sz w:val="19"/>
        </w:rPr>
        <w:t>an</w:t>
      </w:r>
      <w:r>
        <w:rPr>
          <w:rFonts w:ascii="Trebuchet MS" w:hAnsi="Trebuchet MS"/>
          <w:color w:val="37617A"/>
          <w:spacing w:val="-12"/>
          <w:sz w:val="19"/>
        </w:rPr>
        <w:t> </w:t>
      </w:r>
      <w:r>
        <w:rPr>
          <w:rFonts w:ascii="Trebuchet MS" w:hAnsi="Trebuchet MS"/>
          <w:color w:val="37617A"/>
          <w:w w:val="114"/>
          <w:sz w:val="19"/>
        </w:rPr>
        <w:t>A</w:t>
      </w:r>
      <w:r>
        <w:rPr>
          <w:rFonts w:ascii="Trebuchet MS" w:hAnsi="Trebuchet MS"/>
          <w:color w:val="37617A"/>
          <w:w w:val="111"/>
          <w:sz w:val="19"/>
        </w:rPr>
        <w:t>b</w:t>
      </w:r>
      <w:r>
        <w:rPr>
          <w:rFonts w:ascii="Trebuchet MS" w:hAnsi="Trebuchet MS"/>
          <w:color w:val="37617A"/>
          <w:w w:val="111"/>
          <w:sz w:val="19"/>
        </w:rPr>
        <w:t>o</w:t>
      </w:r>
      <w:r>
        <w:rPr>
          <w:rFonts w:ascii="Trebuchet MS" w:hAnsi="Trebuchet MS"/>
          <w:color w:val="37617A"/>
          <w:spacing w:val="-1"/>
          <w:w w:val="93"/>
          <w:sz w:val="19"/>
        </w:rPr>
        <w:t>r</w:t>
      </w:r>
      <w:r>
        <w:rPr>
          <w:rFonts w:ascii="Trebuchet MS" w:hAnsi="Trebuchet MS"/>
          <w:color w:val="37617A"/>
          <w:w w:val="80"/>
          <w:sz w:val="19"/>
        </w:rPr>
        <w:t>i</w:t>
      </w:r>
      <w:r>
        <w:rPr>
          <w:rFonts w:ascii="Trebuchet MS" w:hAnsi="Trebuchet MS"/>
          <w:color w:val="37617A"/>
          <w:spacing w:val="-1"/>
          <w:w w:val="124"/>
          <w:sz w:val="19"/>
        </w:rPr>
        <w:t>g</w:t>
      </w:r>
      <w:r>
        <w:rPr>
          <w:rFonts w:ascii="Trebuchet MS" w:hAnsi="Trebuchet MS"/>
          <w:color w:val="37617A"/>
          <w:spacing w:val="-1"/>
          <w:w w:val="80"/>
          <w:sz w:val="19"/>
        </w:rPr>
        <w:t>i</w:t>
      </w:r>
      <w:r>
        <w:rPr>
          <w:rFonts w:ascii="Trebuchet MS" w:hAnsi="Trebuchet MS"/>
          <w:color w:val="37617A"/>
          <w:w w:val="107"/>
          <w:sz w:val="19"/>
        </w:rPr>
        <w:t>n</w:t>
      </w:r>
      <w:r>
        <w:rPr>
          <w:rFonts w:ascii="Trebuchet MS" w:hAnsi="Trebuchet MS"/>
          <w:color w:val="37617A"/>
          <w:spacing w:val="-1"/>
          <w:w w:val="105"/>
          <w:sz w:val="19"/>
        </w:rPr>
        <w:t>a</w:t>
      </w:r>
      <w:r>
        <w:rPr>
          <w:rFonts w:ascii="Trebuchet MS" w:hAnsi="Trebuchet MS"/>
          <w:color w:val="37617A"/>
          <w:w w:val="96"/>
          <w:sz w:val="19"/>
        </w:rPr>
        <w:t>l</w:t>
      </w:r>
      <w:r>
        <w:rPr>
          <w:rFonts w:ascii="Trebuchet MS" w:hAnsi="Trebuchet MS"/>
          <w:color w:val="37617A"/>
          <w:spacing w:val="-12"/>
          <w:sz w:val="19"/>
        </w:rPr>
        <w:t> </w:t>
      </w:r>
      <w:r>
        <w:rPr>
          <w:rFonts w:ascii="Trebuchet MS" w:hAnsi="Trebuchet MS"/>
          <w:color w:val="37617A"/>
          <w:w w:val="114"/>
          <w:sz w:val="19"/>
        </w:rPr>
        <w:t>C</w:t>
      </w:r>
      <w:r>
        <w:rPr>
          <w:rFonts w:ascii="Trebuchet MS" w:hAnsi="Trebuchet MS"/>
          <w:color w:val="37617A"/>
          <w:w w:val="111"/>
          <w:sz w:val="19"/>
        </w:rPr>
        <w:t>o</w:t>
      </w:r>
      <w:r>
        <w:rPr>
          <w:rFonts w:ascii="Trebuchet MS" w:hAnsi="Trebuchet MS"/>
          <w:color w:val="37617A"/>
          <w:w w:val="110"/>
          <w:sz w:val="19"/>
        </w:rPr>
        <w:t>mmu</w:t>
      </w:r>
      <w:r>
        <w:rPr>
          <w:rFonts w:ascii="Trebuchet MS" w:hAnsi="Trebuchet MS"/>
          <w:color w:val="37617A"/>
          <w:w w:val="98"/>
          <w:sz w:val="19"/>
        </w:rPr>
        <w:t>n</w:t>
      </w:r>
      <w:r>
        <w:rPr>
          <w:rFonts w:ascii="Trebuchet MS" w:hAnsi="Trebuchet MS"/>
          <w:color w:val="37617A"/>
          <w:spacing w:val="-1"/>
          <w:w w:val="98"/>
          <w:sz w:val="19"/>
        </w:rPr>
        <w:t>i</w:t>
      </w:r>
      <w:r>
        <w:rPr>
          <w:rFonts w:ascii="Trebuchet MS" w:hAnsi="Trebuchet MS"/>
          <w:color w:val="37617A"/>
          <w:spacing w:val="1"/>
          <w:w w:val="88"/>
          <w:sz w:val="19"/>
        </w:rPr>
        <w:t>t</w:t>
      </w:r>
      <w:r>
        <w:rPr>
          <w:rFonts w:ascii="Trebuchet MS" w:hAnsi="Trebuchet MS"/>
          <w:color w:val="37617A"/>
          <w:w w:val="110"/>
          <w:sz w:val="19"/>
        </w:rPr>
        <w:t>y</w:t>
      </w:r>
      <w:r>
        <w:rPr>
          <w:rFonts w:ascii="Trebuchet MS" w:hAnsi="Trebuchet MS"/>
          <w:color w:val="37617A"/>
          <w:spacing w:val="-12"/>
          <w:sz w:val="19"/>
        </w:rPr>
        <w:t> </w:t>
      </w:r>
      <w:r>
        <w:rPr>
          <w:rFonts w:ascii="Trebuchet MS" w:hAnsi="Trebuchet MS"/>
          <w:color w:val="37617A"/>
          <w:w w:val="114"/>
          <w:sz w:val="19"/>
        </w:rPr>
        <w:t>C</w:t>
      </w:r>
      <w:r>
        <w:rPr>
          <w:rFonts w:ascii="Trebuchet MS" w:hAnsi="Trebuchet MS"/>
          <w:color w:val="37617A"/>
          <w:w w:val="111"/>
          <w:sz w:val="19"/>
        </w:rPr>
        <w:t>o</w:t>
      </w:r>
      <w:r>
        <w:rPr>
          <w:rFonts w:ascii="Trebuchet MS" w:hAnsi="Trebuchet MS"/>
          <w:color w:val="37617A"/>
          <w:spacing w:val="-2"/>
          <w:w w:val="107"/>
          <w:sz w:val="19"/>
        </w:rPr>
        <w:t>n</w:t>
      </w:r>
      <w:r>
        <w:rPr>
          <w:rFonts w:ascii="Trebuchet MS" w:hAnsi="Trebuchet MS"/>
          <w:color w:val="37617A"/>
          <w:w w:val="91"/>
          <w:sz w:val="19"/>
        </w:rPr>
        <w:t>t</w:t>
      </w:r>
      <w:r>
        <w:rPr>
          <w:rFonts w:ascii="Trebuchet MS" w:hAnsi="Trebuchet MS"/>
          <w:color w:val="37617A"/>
          <w:spacing w:val="-3"/>
          <w:w w:val="91"/>
          <w:sz w:val="19"/>
        </w:rPr>
        <w:t>r</w:t>
      </w:r>
      <w:r>
        <w:rPr>
          <w:rFonts w:ascii="Trebuchet MS" w:hAnsi="Trebuchet MS"/>
          <w:color w:val="37617A"/>
          <w:w w:val="103"/>
          <w:sz w:val="19"/>
        </w:rPr>
        <w:t>ol</w:t>
      </w:r>
      <w:r>
        <w:rPr>
          <w:rFonts w:ascii="Trebuchet MS" w:hAnsi="Trebuchet MS"/>
          <w:color w:val="37617A"/>
          <w:spacing w:val="-2"/>
          <w:w w:val="103"/>
          <w:sz w:val="19"/>
        </w:rPr>
        <w:t>l</w:t>
      </w:r>
      <w:r>
        <w:rPr>
          <w:rFonts w:ascii="Trebuchet MS" w:hAnsi="Trebuchet MS"/>
          <w:color w:val="37617A"/>
          <w:spacing w:val="1"/>
          <w:w w:val="108"/>
          <w:sz w:val="19"/>
        </w:rPr>
        <w:t>e</w:t>
      </w:r>
      <w:r>
        <w:rPr>
          <w:rFonts w:ascii="Trebuchet MS" w:hAnsi="Trebuchet MS"/>
          <w:color w:val="37617A"/>
          <w:w w:val="112"/>
          <w:sz w:val="19"/>
        </w:rPr>
        <w:t>d </w:t>
      </w:r>
      <w:r>
        <w:rPr>
          <w:rFonts w:ascii="Trebuchet MS" w:hAnsi="Trebuchet MS"/>
          <w:color w:val="37617A"/>
          <w:sz w:val="19"/>
        </w:rPr>
        <w:t>Health Organisation</w:t>
      </w:r>
      <w:r>
        <w:rPr>
          <w:rFonts w:ascii="Trebuchet MS" w:hAnsi="Trebuchet MS"/>
          <w:color w:val="37617A"/>
          <w:spacing w:val="-19"/>
          <w:sz w:val="19"/>
        </w:rPr>
        <w:t> </w:t>
      </w:r>
      <w:r>
        <w:rPr>
          <w:rFonts w:ascii="Trebuchet MS" w:hAnsi="Trebuchet MS"/>
          <w:color w:val="37617A"/>
          <w:sz w:val="19"/>
        </w:rPr>
        <w:t>consultee</w:t>
      </w:r>
    </w:p>
    <w:p>
      <w:pPr>
        <w:pStyle w:val="BodyText"/>
        <w:spacing w:before="1"/>
        <w:rPr>
          <w:rFonts w:ascii="Trebuchet MS"/>
          <w:sz w:val="9"/>
        </w:rPr>
      </w:pPr>
      <w:r>
        <w:rPr/>
        <w:pict>
          <v:line style="position:absolute;mso-position-horizontal-relative:page;mso-position-vertical-relative:paragraph;z-index:11408;mso-wrap-distance-left:0;mso-wrap-distance-right:0" from="79.370102pt,7.492017pt" to="515.905102pt,7.492017pt" stroked="true" strokeweight=".5pt" strokecolor="#8f9dad">
            <v:stroke dashstyle="solid"/>
            <w10:wrap type="topAndBottom"/>
          </v:line>
        </w:pict>
      </w:r>
    </w:p>
    <w:p>
      <w:pPr>
        <w:pStyle w:val="BodyText"/>
        <w:spacing w:before="9"/>
        <w:rPr>
          <w:rFonts w:ascii="Trebuchet MS"/>
          <w:sz w:val="31"/>
        </w:rPr>
      </w:pPr>
    </w:p>
    <w:p>
      <w:pPr>
        <w:pStyle w:val="ListParagraph"/>
        <w:numPr>
          <w:ilvl w:val="1"/>
          <w:numId w:val="12"/>
        </w:numPr>
        <w:tabs>
          <w:tab w:pos="1761" w:val="left" w:leader="none"/>
          <w:tab w:pos="1762" w:val="left" w:leader="none"/>
        </w:tabs>
        <w:spacing w:line="206" w:lineRule="auto" w:before="0" w:after="0"/>
        <w:ind w:left="1761" w:right="1224" w:hanging="794"/>
        <w:jc w:val="left"/>
        <w:rPr>
          <w:sz w:val="19"/>
        </w:rPr>
      </w:pPr>
      <w:r>
        <w:rPr>
          <w:spacing w:val="-5"/>
          <w:sz w:val="20"/>
        </w:rPr>
        <w:t>Targeted </w:t>
      </w:r>
      <w:r>
        <w:rPr>
          <w:sz w:val="20"/>
        </w:rPr>
        <w:t>information encouraging Aboriginal Victorians in the subject groups is also important.</w:t>
      </w:r>
      <w:r>
        <w:rPr>
          <w:position w:val="7"/>
          <w:sz w:val="11"/>
        </w:rPr>
        <w:t>56 </w:t>
      </w:r>
      <w:r>
        <w:rPr>
          <w:sz w:val="20"/>
        </w:rPr>
        <w:t>As outlined in </w:t>
      </w:r>
      <w:r>
        <w:rPr>
          <w:spacing w:val="-2"/>
          <w:sz w:val="20"/>
        </w:rPr>
        <w:t>Chapter </w:t>
      </w:r>
      <w:r>
        <w:rPr>
          <w:spacing w:val="2"/>
          <w:sz w:val="20"/>
        </w:rPr>
        <w:t>4, </w:t>
      </w:r>
      <w:r>
        <w:rPr>
          <w:sz w:val="20"/>
        </w:rPr>
        <w:t>Aboriginal consultation participants advised us that</w:t>
      </w:r>
      <w:r>
        <w:rPr>
          <w:spacing w:val="-11"/>
          <w:sz w:val="20"/>
        </w:rPr>
        <w:t> </w:t>
      </w:r>
      <w:r>
        <w:rPr>
          <w:sz w:val="20"/>
        </w:rPr>
        <w:t>Aboriginal</w:t>
      </w:r>
      <w:r>
        <w:rPr>
          <w:spacing w:val="-11"/>
          <w:sz w:val="20"/>
        </w:rPr>
        <w:t> </w:t>
      </w:r>
      <w:r>
        <w:rPr>
          <w:sz w:val="20"/>
        </w:rPr>
        <w:t>members</w:t>
      </w:r>
      <w:r>
        <w:rPr>
          <w:spacing w:val="-11"/>
          <w:sz w:val="20"/>
        </w:rPr>
        <w:t> </w:t>
      </w:r>
      <w:r>
        <w:rPr>
          <w:sz w:val="20"/>
        </w:rPr>
        <w:t>of</w:t>
      </w:r>
      <w:r>
        <w:rPr>
          <w:spacing w:val="-11"/>
          <w:sz w:val="20"/>
        </w:rPr>
        <w:t> </w:t>
      </w:r>
      <w:r>
        <w:rPr>
          <w:sz w:val="20"/>
        </w:rPr>
        <w:t>the</w:t>
      </w:r>
      <w:r>
        <w:rPr>
          <w:spacing w:val="-11"/>
          <w:sz w:val="20"/>
        </w:rPr>
        <w:t> </w:t>
      </w:r>
      <w:r>
        <w:rPr>
          <w:sz w:val="20"/>
        </w:rPr>
        <w:t>subject</w:t>
      </w:r>
      <w:r>
        <w:rPr>
          <w:spacing w:val="-11"/>
          <w:sz w:val="20"/>
        </w:rPr>
        <w:t> </w:t>
      </w:r>
      <w:r>
        <w:rPr>
          <w:sz w:val="20"/>
        </w:rPr>
        <w:t>groups</w:t>
      </w:r>
      <w:r>
        <w:rPr>
          <w:spacing w:val="-11"/>
          <w:sz w:val="20"/>
        </w:rPr>
        <w:t> </w:t>
      </w:r>
      <w:r>
        <w:rPr>
          <w:spacing w:val="-3"/>
          <w:sz w:val="20"/>
        </w:rPr>
        <w:t>may</w:t>
      </w:r>
      <w:r>
        <w:rPr>
          <w:spacing w:val="-11"/>
          <w:sz w:val="20"/>
        </w:rPr>
        <w:t> </w:t>
      </w:r>
      <w:r>
        <w:rPr>
          <w:sz w:val="20"/>
        </w:rPr>
        <w:t>feel</w:t>
      </w:r>
      <w:r>
        <w:rPr>
          <w:spacing w:val="-11"/>
          <w:sz w:val="20"/>
        </w:rPr>
        <w:t> </w:t>
      </w:r>
      <w:r>
        <w:rPr>
          <w:sz w:val="20"/>
        </w:rPr>
        <w:t>additional</w:t>
      </w:r>
      <w:r>
        <w:rPr>
          <w:spacing w:val="-11"/>
          <w:sz w:val="20"/>
        </w:rPr>
        <w:t> </w:t>
      </w:r>
      <w:r>
        <w:rPr>
          <w:sz w:val="20"/>
        </w:rPr>
        <w:t>hesitation</w:t>
      </w:r>
      <w:r>
        <w:rPr>
          <w:spacing w:val="-11"/>
          <w:sz w:val="20"/>
        </w:rPr>
        <w:t> </w:t>
      </w:r>
      <w:r>
        <w:rPr>
          <w:sz w:val="20"/>
        </w:rPr>
        <w:t>to</w:t>
      </w:r>
      <w:r>
        <w:rPr>
          <w:spacing w:val="-11"/>
          <w:sz w:val="20"/>
        </w:rPr>
        <w:t> </w:t>
      </w:r>
      <w:r>
        <w:rPr>
          <w:sz w:val="20"/>
        </w:rPr>
        <w:t>serve.</w:t>
      </w:r>
      <w:r>
        <w:rPr>
          <w:position w:val="7"/>
          <w:sz w:val="11"/>
        </w:rPr>
        <w:t>57</w:t>
      </w:r>
      <w:r>
        <w:rPr>
          <w:sz w:val="11"/>
        </w:rPr>
        <w:t> </w:t>
      </w:r>
      <w:r>
        <w:rPr>
          <w:sz w:val="20"/>
        </w:rPr>
        <w:t>The</w:t>
      </w:r>
      <w:r>
        <w:rPr>
          <w:spacing w:val="-10"/>
          <w:sz w:val="20"/>
        </w:rPr>
        <w:t> </w:t>
      </w:r>
      <w:r>
        <w:rPr>
          <w:sz w:val="20"/>
        </w:rPr>
        <w:t>Victorian</w:t>
      </w:r>
      <w:r>
        <w:rPr>
          <w:spacing w:val="-10"/>
          <w:sz w:val="20"/>
        </w:rPr>
        <w:t> </w:t>
      </w:r>
      <w:r>
        <w:rPr>
          <w:sz w:val="20"/>
        </w:rPr>
        <w:t>Aboriginal</w:t>
      </w:r>
      <w:r>
        <w:rPr>
          <w:spacing w:val="-10"/>
          <w:sz w:val="20"/>
        </w:rPr>
        <w:t> </w:t>
      </w:r>
      <w:r>
        <w:rPr>
          <w:sz w:val="20"/>
        </w:rPr>
        <w:t>Controlled</w:t>
      </w:r>
      <w:r>
        <w:rPr>
          <w:spacing w:val="-10"/>
          <w:sz w:val="20"/>
        </w:rPr>
        <w:t> </w:t>
      </w:r>
      <w:r>
        <w:rPr>
          <w:sz w:val="20"/>
        </w:rPr>
        <w:t>Health</w:t>
      </w:r>
      <w:r>
        <w:rPr>
          <w:spacing w:val="-10"/>
          <w:sz w:val="20"/>
        </w:rPr>
        <w:t> </w:t>
      </w:r>
      <w:r>
        <w:rPr>
          <w:sz w:val="20"/>
        </w:rPr>
        <w:t>Organisation</w:t>
      </w:r>
      <w:r>
        <w:rPr>
          <w:spacing w:val="-9"/>
          <w:sz w:val="20"/>
        </w:rPr>
        <w:t> </w:t>
      </w:r>
      <w:r>
        <w:rPr>
          <w:spacing w:val="-4"/>
          <w:sz w:val="20"/>
        </w:rPr>
        <w:t>(VACCHO)</w:t>
      </w:r>
      <w:r>
        <w:rPr>
          <w:spacing w:val="-12"/>
          <w:sz w:val="20"/>
        </w:rPr>
        <w:t> </w:t>
      </w:r>
      <w:r>
        <w:rPr>
          <w:sz w:val="19"/>
        </w:rPr>
        <w:t>referred</w:t>
      </w:r>
      <w:r>
        <w:rPr>
          <w:spacing w:val="-8"/>
          <w:sz w:val="19"/>
        </w:rPr>
        <w:t> </w:t>
      </w:r>
      <w:r>
        <w:rPr>
          <w:sz w:val="19"/>
        </w:rPr>
        <w:t>to</w:t>
      </w:r>
      <w:r>
        <w:rPr>
          <w:spacing w:val="-7"/>
          <w:sz w:val="19"/>
        </w:rPr>
        <w:t> </w:t>
      </w:r>
      <w:r>
        <w:rPr>
          <w:sz w:val="19"/>
        </w:rPr>
        <w:t>layers</w:t>
      </w:r>
    </w:p>
    <w:p>
      <w:pPr>
        <w:spacing w:line="208" w:lineRule="auto" w:before="3"/>
        <w:ind w:left="1761" w:right="1335" w:firstLine="0"/>
        <w:jc w:val="left"/>
        <w:rPr>
          <w:sz w:val="11"/>
        </w:rPr>
      </w:pPr>
      <w:r>
        <w:rPr>
          <w:sz w:val="19"/>
        </w:rPr>
        <w:t>of institutional discrimination on the basis of race and disability that act as barriers to jury service.</w:t>
      </w:r>
      <w:r>
        <w:rPr>
          <w:position w:val="6"/>
          <w:sz w:val="11"/>
        </w:rPr>
        <w:t>58</w:t>
      </w:r>
    </w:p>
    <w:p>
      <w:pPr>
        <w:pStyle w:val="BodyText"/>
      </w:pPr>
    </w:p>
    <w:p>
      <w:pPr>
        <w:pStyle w:val="BodyText"/>
      </w:pPr>
    </w:p>
    <w:p>
      <w:pPr>
        <w:pStyle w:val="BodyText"/>
        <w:spacing w:before="13"/>
        <w:rPr>
          <w:sz w:val="14"/>
        </w:rPr>
      </w:pPr>
      <w:r>
        <w:rPr/>
        <w:pict>
          <v:line style="position:absolute;mso-position-horizontal-relative:page;mso-position-vertical-relative:paragraph;z-index:11432;mso-wrap-distance-left:0;mso-wrap-distance-right:0" from="79.370102pt,12.836001pt" to="515.905102pt,12.836001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25"/>
        </w:rPr>
      </w:pPr>
    </w:p>
    <w:p>
      <w:pPr>
        <w:spacing w:before="0"/>
        <w:ind w:left="100" w:right="0" w:firstLine="0"/>
        <w:jc w:val="left"/>
        <w:rPr>
          <w:b/>
          <w:sz w:val="24"/>
        </w:rPr>
      </w:pPr>
      <w:r>
        <w:rPr>
          <w:b/>
          <w:color w:val="37617A"/>
          <w:sz w:val="24"/>
        </w:rPr>
        <w:t>216</w:t>
      </w:r>
    </w:p>
    <w:p>
      <w:pPr>
        <w:pStyle w:val="ListParagraph"/>
        <w:numPr>
          <w:ilvl w:val="0"/>
          <w:numId w:val="121"/>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z w:val="13"/>
        </w:rPr>
        <w:t>Supreme </w:t>
      </w:r>
      <w:r>
        <w:rPr>
          <w:spacing w:val="2"/>
          <w:sz w:val="13"/>
        </w:rPr>
        <w:t>Court </w:t>
      </w:r>
      <w:r>
        <w:rPr>
          <w:sz w:val="13"/>
        </w:rPr>
        <w:t>of the Australian </w:t>
      </w:r>
      <w:r>
        <w:rPr>
          <w:spacing w:val="2"/>
          <w:sz w:val="13"/>
        </w:rPr>
        <w:t>Capital </w:t>
      </w:r>
      <w:r>
        <w:rPr>
          <w:sz w:val="13"/>
        </w:rPr>
        <w:t>Territory, </w:t>
      </w:r>
      <w:r>
        <w:rPr>
          <w:i/>
          <w:spacing w:val="2"/>
          <w:sz w:val="13"/>
        </w:rPr>
        <w:t>Jury </w:t>
      </w:r>
      <w:r>
        <w:rPr>
          <w:i/>
          <w:sz w:val="13"/>
        </w:rPr>
        <w:t>Handbook </w:t>
      </w:r>
      <w:r>
        <w:rPr>
          <w:spacing w:val="2"/>
          <w:sz w:val="13"/>
        </w:rPr>
        <w:t>(Handbook, </w:t>
      </w:r>
      <w:r>
        <w:rPr>
          <w:sz w:val="13"/>
        </w:rPr>
        <w:t>12 June 2019)</w:t>
      </w:r>
      <w:r>
        <w:rPr>
          <w:spacing w:val="1"/>
          <w:sz w:val="13"/>
        </w:rPr>
        <w:t> </w:t>
      </w:r>
      <w:r>
        <w:rPr>
          <w:sz w:val="13"/>
        </w:rPr>
        <w:t>10.</w:t>
      </w:r>
    </w:p>
    <w:p>
      <w:pPr>
        <w:pStyle w:val="ListParagraph"/>
        <w:numPr>
          <w:ilvl w:val="0"/>
          <w:numId w:val="121"/>
        </w:numPr>
        <w:tabs>
          <w:tab w:pos="893" w:val="left" w:leader="none"/>
          <w:tab w:pos="894" w:val="left" w:leader="none"/>
        </w:tabs>
        <w:spacing w:line="213" w:lineRule="auto" w:before="7" w:after="0"/>
        <w:ind w:left="893" w:right="1265" w:hanging="793"/>
        <w:jc w:val="left"/>
        <w:rPr>
          <w:sz w:val="13"/>
        </w:rPr>
      </w:pPr>
      <w:r>
        <w:rPr>
          <w:sz w:val="13"/>
        </w:rPr>
        <w:t>Email from Live </w:t>
      </w:r>
      <w:r>
        <w:rPr>
          <w:spacing w:val="2"/>
          <w:sz w:val="13"/>
        </w:rPr>
        <w:t>Services </w:t>
      </w:r>
      <w:r>
        <w:rPr>
          <w:sz w:val="13"/>
        </w:rPr>
        <w:t>Team, Strategy and Change Directorate, Her Majesty’s </w:t>
      </w:r>
      <w:r>
        <w:rPr>
          <w:spacing w:val="2"/>
          <w:sz w:val="13"/>
        </w:rPr>
        <w:t>Courts </w:t>
      </w:r>
      <w:r>
        <w:rPr>
          <w:sz w:val="13"/>
        </w:rPr>
        <w:t>and Tribunals </w:t>
      </w:r>
      <w:r>
        <w:rPr>
          <w:spacing w:val="2"/>
          <w:sz w:val="13"/>
        </w:rPr>
        <w:t>Service </w:t>
      </w:r>
      <w:r>
        <w:rPr>
          <w:sz w:val="13"/>
        </w:rPr>
        <w:t>to Victorian Law Reform</w:t>
      </w:r>
      <w:r>
        <w:rPr>
          <w:spacing w:val="6"/>
          <w:sz w:val="13"/>
        </w:rPr>
        <w:t> </w:t>
      </w:r>
      <w:r>
        <w:rPr>
          <w:spacing w:val="2"/>
          <w:sz w:val="13"/>
        </w:rPr>
        <w:t>Commission,</w:t>
      </w:r>
      <w:r>
        <w:rPr>
          <w:spacing w:val="7"/>
          <w:sz w:val="13"/>
        </w:rPr>
        <w:t> </w:t>
      </w:r>
      <w:r>
        <w:rPr>
          <w:sz w:val="13"/>
        </w:rPr>
        <w:t>2</w:t>
      </w:r>
      <w:r>
        <w:rPr>
          <w:spacing w:val="7"/>
          <w:sz w:val="13"/>
        </w:rPr>
        <w:t> </w:t>
      </w:r>
      <w:r>
        <w:rPr>
          <w:sz w:val="13"/>
        </w:rPr>
        <w:t>September</w:t>
      </w:r>
      <w:r>
        <w:rPr>
          <w:spacing w:val="7"/>
          <w:sz w:val="13"/>
        </w:rPr>
        <w:t> </w:t>
      </w:r>
      <w:r>
        <w:rPr>
          <w:sz w:val="13"/>
        </w:rPr>
        <w:t>2021;</w:t>
      </w:r>
      <w:r>
        <w:rPr>
          <w:spacing w:val="7"/>
          <w:sz w:val="13"/>
        </w:rPr>
        <w:t> </w:t>
      </w:r>
      <w:r>
        <w:rPr>
          <w:sz w:val="13"/>
        </w:rPr>
        <w:t>Her</w:t>
      </w:r>
      <w:r>
        <w:rPr>
          <w:spacing w:val="7"/>
          <w:sz w:val="13"/>
        </w:rPr>
        <w:t> </w:t>
      </w:r>
      <w:r>
        <w:rPr>
          <w:sz w:val="13"/>
        </w:rPr>
        <w:t>Majesty’s</w:t>
      </w:r>
      <w:r>
        <w:rPr>
          <w:spacing w:val="7"/>
          <w:sz w:val="13"/>
        </w:rPr>
        <w:t> </w:t>
      </w:r>
      <w:r>
        <w:rPr>
          <w:spacing w:val="2"/>
          <w:sz w:val="13"/>
        </w:rPr>
        <w:t>Courts</w:t>
      </w:r>
      <w:r>
        <w:rPr>
          <w:spacing w:val="7"/>
          <w:sz w:val="13"/>
        </w:rPr>
        <w:t> </w:t>
      </w:r>
      <w:r>
        <w:rPr>
          <w:sz w:val="13"/>
        </w:rPr>
        <w:t>and</w:t>
      </w:r>
      <w:r>
        <w:rPr>
          <w:spacing w:val="7"/>
          <w:sz w:val="13"/>
        </w:rPr>
        <w:t> </w:t>
      </w:r>
      <w:r>
        <w:rPr>
          <w:sz w:val="13"/>
        </w:rPr>
        <w:t>Tribunals</w:t>
      </w:r>
      <w:r>
        <w:rPr>
          <w:spacing w:val="7"/>
          <w:sz w:val="13"/>
        </w:rPr>
        <w:t> </w:t>
      </w:r>
      <w:r>
        <w:rPr>
          <w:spacing w:val="2"/>
          <w:sz w:val="13"/>
        </w:rPr>
        <w:t>Service,</w:t>
      </w:r>
      <w:r>
        <w:rPr>
          <w:spacing w:val="7"/>
          <w:sz w:val="13"/>
        </w:rPr>
        <w:t> </w:t>
      </w:r>
      <w:r>
        <w:rPr>
          <w:sz w:val="13"/>
        </w:rPr>
        <w:t>‘Equality</w:t>
      </w:r>
      <w:r>
        <w:rPr>
          <w:spacing w:val="7"/>
          <w:sz w:val="13"/>
        </w:rPr>
        <w:t> </w:t>
      </w:r>
      <w:r>
        <w:rPr>
          <w:sz w:val="13"/>
        </w:rPr>
        <w:t>and</w:t>
      </w:r>
      <w:r>
        <w:rPr>
          <w:spacing w:val="7"/>
          <w:sz w:val="13"/>
        </w:rPr>
        <w:t> </w:t>
      </w:r>
      <w:r>
        <w:rPr>
          <w:sz w:val="13"/>
        </w:rPr>
        <w:t>Diversity’,</w:t>
      </w:r>
      <w:r>
        <w:rPr>
          <w:spacing w:val="6"/>
          <w:sz w:val="13"/>
        </w:rPr>
        <w:t> </w:t>
      </w:r>
      <w:hyperlink r:id="rId259">
        <w:r>
          <w:rPr>
            <w:i/>
            <w:sz w:val="13"/>
          </w:rPr>
          <w:t>GOV.UK</w:t>
        </w:r>
        <w:r>
          <w:rPr>
            <w:i/>
            <w:spacing w:val="7"/>
            <w:sz w:val="13"/>
          </w:rPr>
          <w:t> </w:t>
        </w:r>
      </w:hyperlink>
      <w:r>
        <w:rPr>
          <w:sz w:val="13"/>
        </w:rPr>
        <w:t>(Web</w:t>
      </w:r>
      <w:r>
        <w:rPr>
          <w:spacing w:val="7"/>
          <w:sz w:val="13"/>
        </w:rPr>
        <w:t> </w:t>
      </w:r>
      <w:r>
        <w:rPr>
          <w:sz w:val="13"/>
        </w:rPr>
        <w:t>Page)</w:t>
      </w:r>
    </w:p>
    <w:p>
      <w:pPr>
        <w:spacing w:line="153" w:lineRule="exact" w:before="0"/>
        <w:ind w:left="893" w:right="0" w:firstLine="0"/>
        <w:jc w:val="left"/>
        <w:rPr>
          <w:sz w:val="13"/>
        </w:rPr>
      </w:pPr>
      <w:r>
        <w:rPr>
          <w:sz w:val="13"/>
        </w:rPr>
        <w:t>&lt;</w:t>
      </w:r>
      <w:hyperlink r:id="rId260">
        <w:r>
          <w:rPr>
            <w:sz w:val="13"/>
          </w:rPr>
          <w:t>https://www.gov.uk/government/organisations/hm-courts-and-tribunals-service/about/equality-and-diversity</w:t>
        </w:r>
      </w:hyperlink>
      <w:r>
        <w:rPr>
          <w:sz w:val="13"/>
        </w:rPr>
        <w:t>&gt;.</w:t>
      </w:r>
    </w:p>
    <w:p>
      <w:pPr>
        <w:pStyle w:val="ListParagraph"/>
        <w:numPr>
          <w:ilvl w:val="0"/>
          <w:numId w:val="121"/>
        </w:numPr>
        <w:tabs>
          <w:tab w:pos="893" w:val="left" w:leader="none"/>
          <w:tab w:pos="894" w:val="left" w:leader="none"/>
        </w:tabs>
        <w:spacing w:line="160" w:lineRule="exact" w:before="0" w:after="0"/>
        <w:ind w:left="893" w:right="0" w:hanging="793"/>
        <w:jc w:val="left"/>
        <w:rPr>
          <w:sz w:val="13"/>
        </w:rPr>
      </w:pPr>
      <w:r>
        <w:rPr>
          <w:spacing w:val="2"/>
          <w:sz w:val="13"/>
        </w:rPr>
        <w:t>Department </w:t>
      </w:r>
      <w:r>
        <w:rPr>
          <w:sz w:val="13"/>
        </w:rPr>
        <w:t>of Social </w:t>
      </w:r>
      <w:r>
        <w:rPr>
          <w:spacing w:val="2"/>
          <w:sz w:val="13"/>
        </w:rPr>
        <w:t>Services </w:t>
      </w:r>
      <w:r>
        <w:rPr>
          <w:sz w:val="13"/>
        </w:rPr>
        <w:t>(Cth), </w:t>
      </w:r>
      <w:r>
        <w:rPr>
          <w:i/>
          <w:sz w:val="13"/>
        </w:rPr>
        <w:t>Australia’s Disability Strategy 2021–2031 </w:t>
      </w:r>
      <w:r>
        <w:rPr>
          <w:spacing w:val="2"/>
          <w:sz w:val="13"/>
        </w:rPr>
        <w:t>(Report, December </w:t>
      </w:r>
      <w:r>
        <w:rPr>
          <w:sz w:val="13"/>
        </w:rPr>
        <w:t>2021) </w:t>
      </w:r>
      <w:r>
        <w:rPr>
          <w:spacing w:val="-4"/>
          <w:sz w:val="13"/>
        </w:rPr>
        <w:t>17, </w:t>
      </w:r>
      <w:r>
        <w:rPr>
          <w:sz w:val="13"/>
        </w:rPr>
        <w:t>Policy </w:t>
      </w:r>
      <w:r>
        <w:rPr>
          <w:spacing w:val="2"/>
          <w:sz w:val="13"/>
        </w:rPr>
        <w:t>Priority</w:t>
      </w:r>
      <w:r>
        <w:rPr>
          <w:spacing w:val="16"/>
          <w:sz w:val="13"/>
        </w:rPr>
        <w:t> </w:t>
      </w:r>
      <w:r>
        <w:rPr>
          <w:spacing w:val="3"/>
          <w:sz w:val="13"/>
        </w:rPr>
        <w:t>5.</w:t>
      </w:r>
    </w:p>
    <w:p>
      <w:pPr>
        <w:pStyle w:val="ListParagraph"/>
        <w:numPr>
          <w:ilvl w:val="0"/>
          <w:numId w:val="121"/>
        </w:numPr>
        <w:tabs>
          <w:tab w:pos="893" w:val="left" w:leader="none"/>
          <w:tab w:pos="894" w:val="left" w:leader="none"/>
        </w:tabs>
        <w:spacing w:line="213" w:lineRule="auto" w:before="6" w:after="0"/>
        <w:ind w:left="893" w:right="1683" w:hanging="793"/>
        <w:jc w:val="left"/>
        <w:rPr>
          <w:sz w:val="13"/>
        </w:rPr>
      </w:pPr>
      <w:r>
        <w:rPr>
          <w:sz w:val="13"/>
        </w:rPr>
        <w:t>‘Accessibility’, </w:t>
      </w:r>
      <w:r>
        <w:rPr>
          <w:i/>
          <w:sz w:val="13"/>
        </w:rPr>
        <w:t>County Court of Victoria </w:t>
      </w:r>
      <w:r>
        <w:rPr>
          <w:sz w:val="13"/>
        </w:rPr>
        <w:t>(Web Page) &lt;</w:t>
      </w:r>
      <w:hyperlink r:id="rId261">
        <w:r>
          <w:rPr>
            <w:sz w:val="13"/>
          </w:rPr>
          <w:t>https://www.countycourt.vic.gov.au/accessibility</w:t>
        </w:r>
      </w:hyperlink>
      <w:r>
        <w:rPr>
          <w:sz w:val="13"/>
        </w:rPr>
        <w:t>&gt;; ‘Accessibility’, </w:t>
      </w:r>
      <w:r>
        <w:rPr>
          <w:i/>
          <w:sz w:val="13"/>
        </w:rPr>
        <w:t>The </w:t>
      </w:r>
      <w:r>
        <w:rPr>
          <w:i/>
          <w:sz w:val="13"/>
        </w:rPr>
        <w:t>Supreme Court of Victoria </w:t>
      </w:r>
      <w:r>
        <w:rPr>
          <w:sz w:val="13"/>
        </w:rPr>
        <w:t>(Web Page)</w:t>
      </w:r>
      <w:r>
        <w:rPr>
          <w:spacing w:val="9"/>
          <w:sz w:val="13"/>
        </w:rPr>
        <w:t> </w:t>
      </w:r>
      <w:r>
        <w:rPr>
          <w:sz w:val="13"/>
        </w:rPr>
        <w:t>&lt;</w:t>
      </w:r>
      <w:hyperlink r:id="rId262">
        <w:r>
          <w:rPr>
            <w:sz w:val="13"/>
          </w:rPr>
          <w:t>http://www.supremecourt.vic.gov.au/accessibility</w:t>
        </w:r>
      </w:hyperlink>
      <w:r>
        <w:rPr>
          <w:sz w:val="13"/>
        </w:rPr>
        <w:t>&gt;.</w:t>
      </w:r>
    </w:p>
    <w:p>
      <w:pPr>
        <w:pStyle w:val="ListParagraph"/>
        <w:numPr>
          <w:ilvl w:val="0"/>
          <w:numId w:val="121"/>
        </w:numPr>
        <w:tabs>
          <w:tab w:pos="893" w:val="left" w:leader="none"/>
          <w:tab w:pos="894" w:val="left" w:leader="none"/>
        </w:tabs>
        <w:spacing w:line="153" w:lineRule="exact" w:before="0" w:after="0"/>
        <w:ind w:left="893" w:right="0" w:hanging="793"/>
        <w:jc w:val="left"/>
        <w:rPr>
          <w:sz w:val="13"/>
        </w:rPr>
      </w:pPr>
      <w:r>
        <w:rPr>
          <w:i/>
          <w:sz w:val="13"/>
        </w:rPr>
        <w:t>Web Content Accessibility </w:t>
      </w:r>
      <w:r>
        <w:rPr>
          <w:i/>
          <w:spacing w:val="2"/>
          <w:sz w:val="13"/>
        </w:rPr>
        <w:t>Guidelines 1.0 </w:t>
      </w:r>
      <w:r>
        <w:rPr>
          <w:sz w:val="13"/>
        </w:rPr>
        <w:t>(Web Page, 18 May 2021)</w:t>
      </w:r>
      <w:r>
        <w:rPr>
          <w:spacing w:val="4"/>
          <w:sz w:val="13"/>
        </w:rPr>
        <w:t> </w:t>
      </w:r>
      <w:r>
        <w:rPr>
          <w:sz w:val="13"/>
        </w:rPr>
        <w:t>&lt;</w:t>
      </w:r>
      <w:hyperlink r:id="rId263">
        <w:r>
          <w:rPr>
            <w:sz w:val="13"/>
          </w:rPr>
          <w:t>https://www.w3.org/TR/WAI-WEBCONTENT/</w:t>
        </w:r>
      </w:hyperlink>
      <w:r>
        <w:rPr>
          <w:sz w:val="13"/>
        </w:rPr>
        <w:t>&gt;.</w:t>
      </w:r>
    </w:p>
    <w:p>
      <w:pPr>
        <w:pStyle w:val="ListParagraph"/>
        <w:numPr>
          <w:ilvl w:val="0"/>
          <w:numId w:val="121"/>
        </w:numPr>
        <w:tabs>
          <w:tab w:pos="893" w:val="left" w:leader="none"/>
          <w:tab w:pos="894" w:val="left" w:leader="none"/>
        </w:tabs>
        <w:spacing w:line="213" w:lineRule="auto" w:before="6" w:after="0"/>
        <w:ind w:left="893" w:right="1404" w:hanging="793"/>
        <w:jc w:val="left"/>
        <w:rPr>
          <w:sz w:val="13"/>
        </w:rPr>
      </w:pPr>
      <w:r>
        <w:rPr>
          <w:sz w:val="13"/>
        </w:rPr>
        <w:t>‘Accessibility’, </w:t>
      </w:r>
      <w:r>
        <w:rPr>
          <w:i/>
          <w:sz w:val="13"/>
        </w:rPr>
        <w:t>County Court of Victoria </w:t>
      </w:r>
      <w:r>
        <w:rPr>
          <w:sz w:val="13"/>
        </w:rPr>
        <w:t>(Web Page) &lt;</w:t>
      </w:r>
      <w:hyperlink r:id="rId261">
        <w:r>
          <w:rPr>
            <w:sz w:val="13"/>
          </w:rPr>
          <w:t>https://www.countycourt.vic.gov.au/accessibility</w:t>
        </w:r>
      </w:hyperlink>
      <w:r>
        <w:rPr>
          <w:sz w:val="13"/>
        </w:rPr>
        <w:t>&gt;; Victorian Government, </w:t>
      </w:r>
      <w:r>
        <w:rPr>
          <w:spacing w:val="2"/>
          <w:sz w:val="13"/>
        </w:rPr>
        <w:t>‘Digital </w:t>
      </w:r>
      <w:r>
        <w:rPr>
          <w:sz w:val="13"/>
        </w:rPr>
        <w:t>Guides’, </w:t>
      </w:r>
      <w:hyperlink r:id="rId210">
        <w:r>
          <w:rPr>
            <w:i/>
            <w:sz w:val="13"/>
          </w:rPr>
          <w:t>VIC.GOV.AU </w:t>
        </w:r>
      </w:hyperlink>
      <w:r>
        <w:rPr>
          <w:sz w:val="13"/>
        </w:rPr>
        <w:t>(Web Page) &lt;</w:t>
      </w:r>
      <w:hyperlink r:id="rId264">
        <w:r>
          <w:rPr>
            <w:sz w:val="13"/>
          </w:rPr>
          <w:t>https://www.vic.gov.au/digital-guides</w:t>
        </w:r>
      </w:hyperlink>
      <w:r>
        <w:rPr>
          <w:sz w:val="13"/>
        </w:rPr>
        <w:t>&gt;.</w:t>
      </w:r>
    </w:p>
    <w:p>
      <w:pPr>
        <w:pStyle w:val="ListParagraph"/>
        <w:numPr>
          <w:ilvl w:val="0"/>
          <w:numId w:val="121"/>
        </w:numPr>
        <w:tabs>
          <w:tab w:pos="893" w:val="left" w:leader="none"/>
          <w:tab w:pos="894" w:val="left" w:leader="none"/>
        </w:tabs>
        <w:spacing w:line="153" w:lineRule="exact" w:before="0" w:after="0"/>
        <w:ind w:left="893" w:right="0" w:hanging="793"/>
        <w:jc w:val="left"/>
        <w:rPr>
          <w:sz w:val="13"/>
        </w:rPr>
      </w:pPr>
      <w:r>
        <w:rPr>
          <w:sz w:val="13"/>
        </w:rPr>
        <w:t>Consultation 23 </w:t>
      </w:r>
      <w:r>
        <w:rPr>
          <w:spacing w:val="2"/>
          <w:sz w:val="13"/>
        </w:rPr>
        <w:t>(Victorian Aboriginal Community </w:t>
      </w:r>
      <w:r>
        <w:rPr>
          <w:sz w:val="13"/>
        </w:rPr>
        <w:t>Controlled Health Organisation</w:t>
      </w:r>
      <w:r>
        <w:rPr>
          <w:spacing w:val="-2"/>
          <w:sz w:val="13"/>
        </w:rPr>
        <w:t> </w:t>
      </w:r>
      <w:r>
        <w:rPr>
          <w:sz w:val="13"/>
        </w:rPr>
        <w:t>(VACCHO)).</w:t>
      </w:r>
    </w:p>
    <w:p>
      <w:pPr>
        <w:pStyle w:val="ListParagraph"/>
        <w:numPr>
          <w:ilvl w:val="0"/>
          <w:numId w:val="121"/>
        </w:numPr>
        <w:tabs>
          <w:tab w:pos="893" w:val="left" w:leader="none"/>
          <w:tab w:pos="894" w:val="left" w:leader="none"/>
        </w:tabs>
        <w:spacing w:line="213" w:lineRule="auto" w:before="6" w:after="0"/>
        <w:ind w:left="893" w:right="1263" w:hanging="793"/>
        <w:jc w:val="left"/>
        <w:rPr>
          <w:sz w:val="13"/>
        </w:rPr>
      </w:pPr>
      <w:r>
        <w:rPr>
          <w:sz w:val="13"/>
        </w:rPr>
        <w:t>The QLRC similarly recommended that ‘culturally appropriate educational programs that promote the </w:t>
      </w:r>
      <w:r>
        <w:rPr>
          <w:spacing w:val="2"/>
          <w:sz w:val="13"/>
        </w:rPr>
        <w:t>importance </w:t>
      </w:r>
      <w:r>
        <w:rPr>
          <w:sz w:val="13"/>
        </w:rPr>
        <w:t>and </w:t>
      </w:r>
      <w:r>
        <w:rPr>
          <w:spacing w:val="2"/>
          <w:sz w:val="13"/>
        </w:rPr>
        <w:t>benefits    </w:t>
      </w:r>
      <w:r>
        <w:rPr>
          <w:sz w:val="13"/>
        </w:rPr>
        <w:t>of </w:t>
      </w:r>
      <w:r>
        <w:rPr>
          <w:spacing w:val="2"/>
          <w:sz w:val="13"/>
        </w:rPr>
        <w:t>jury service </w:t>
      </w:r>
      <w:r>
        <w:rPr>
          <w:sz w:val="13"/>
        </w:rPr>
        <w:t>should be developed and made available within </w:t>
      </w:r>
      <w:r>
        <w:rPr>
          <w:spacing w:val="2"/>
          <w:sz w:val="13"/>
        </w:rPr>
        <w:t>Indigenous </w:t>
      </w:r>
      <w:r>
        <w:rPr>
          <w:sz w:val="13"/>
        </w:rPr>
        <w:t>communities’: </w:t>
      </w:r>
      <w:r>
        <w:rPr>
          <w:spacing w:val="2"/>
          <w:sz w:val="13"/>
        </w:rPr>
        <w:t>Queensland </w:t>
      </w:r>
      <w:r>
        <w:rPr>
          <w:sz w:val="13"/>
        </w:rPr>
        <w:t>Law Reform </w:t>
      </w:r>
      <w:r>
        <w:rPr>
          <w:spacing w:val="2"/>
          <w:sz w:val="13"/>
        </w:rPr>
        <w:t>Commission,</w:t>
      </w:r>
      <w:r>
        <w:rPr>
          <w:spacing w:val="37"/>
          <w:sz w:val="13"/>
        </w:rPr>
        <w:t> </w:t>
      </w:r>
      <w:r>
        <w:rPr>
          <w:i/>
          <w:sz w:val="13"/>
        </w:rPr>
        <w:t>A Review of </w:t>
      </w:r>
      <w:r>
        <w:rPr>
          <w:i/>
          <w:spacing w:val="2"/>
          <w:sz w:val="13"/>
        </w:rPr>
        <w:t>Jury </w:t>
      </w:r>
      <w:r>
        <w:rPr>
          <w:i/>
          <w:sz w:val="13"/>
        </w:rPr>
        <w:t>Selection </w:t>
      </w:r>
      <w:r>
        <w:rPr>
          <w:spacing w:val="2"/>
          <w:sz w:val="13"/>
        </w:rPr>
        <w:t>(Report </w:t>
      </w:r>
      <w:r>
        <w:rPr>
          <w:sz w:val="13"/>
        </w:rPr>
        <w:t>No 68, 2011) v, Recommendation</w:t>
      </w:r>
      <w:r>
        <w:rPr>
          <w:spacing w:val="2"/>
          <w:sz w:val="13"/>
        </w:rPr>
        <w:t> </w:t>
      </w:r>
      <w:r>
        <w:rPr>
          <w:sz w:val="13"/>
        </w:rPr>
        <w:t>11–4.</w:t>
      </w:r>
    </w:p>
    <w:p>
      <w:pPr>
        <w:pStyle w:val="ListParagraph"/>
        <w:numPr>
          <w:ilvl w:val="0"/>
          <w:numId w:val="121"/>
        </w:numPr>
        <w:tabs>
          <w:tab w:pos="893" w:val="left" w:leader="none"/>
          <w:tab w:pos="894" w:val="left" w:leader="none"/>
        </w:tabs>
        <w:spacing w:line="152" w:lineRule="exact" w:before="0" w:after="0"/>
        <w:ind w:left="893" w:right="0" w:hanging="793"/>
        <w:jc w:val="left"/>
        <w:rPr>
          <w:sz w:val="13"/>
        </w:rPr>
      </w:pPr>
      <w:r>
        <w:rPr>
          <w:sz w:val="13"/>
        </w:rPr>
        <w:t>Consultation 23 </w:t>
      </w:r>
      <w:r>
        <w:rPr>
          <w:spacing w:val="2"/>
          <w:sz w:val="13"/>
        </w:rPr>
        <w:t>(Victorian </w:t>
      </w:r>
      <w:r>
        <w:rPr>
          <w:sz w:val="13"/>
        </w:rPr>
        <w:t>Aboriginal </w:t>
      </w:r>
      <w:r>
        <w:rPr>
          <w:spacing w:val="2"/>
          <w:sz w:val="13"/>
        </w:rPr>
        <w:t>Community </w:t>
      </w:r>
      <w:r>
        <w:rPr>
          <w:sz w:val="13"/>
        </w:rPr>
        <w:t>Controlled Health Organisation</w:t>
      </w:r>
      <w:r>
        <w:rPr>
          <w:spacing w:val="2"/>
          <w:sz w:val="13"/>
        </w:rPr>
        <w:t> </w:t>
      </w:r>
      <w:r>
        <w:rPr>
          <w:sz w:val="13"/>
        </w:rPr>
        <w:t>(VACCHO)).</w:t>
      </w:r>
    </w:p>
    <w:p>
      <w:pPr>
        <w:pStyle w:val="ListParagraph"/>
        <w:numPr>
          <w:ilvl w:val="0"/>
          <w:numId w:val="121"/>
        </w:numPr>
        <w:tabs>
          <w:tab w:pos="893" w:val="left" w:leader="none"/>
          <w:tab w:pos="894" w:val="left" w:leader="none"/>
        </w:tabs>
        <w:spacing w:line="170" w:lineRule="exact" w:before="0" w:after="0"/>
        <w:ind w:left="893" w:right="0" w:hanging="793"/>
        <w:jc w:val="left"/>
        <w:rPr>
          <w:sz w:val="13"/>
        </w:rPr>
      </w:pPr>
      <w:r>
        <w:rPr>
          <w:spacing w:val="2"/>
          <w:sz w:val="13"/>
        </w:rPr>
        <w:t>Ibid.</w:t>
      </w:r>
    </w:p>
    <w:p>
      <w:pPr>
        <w:spacing w:after="0" w:line="170" w:lineRule="exact"/>
        <w:jc w:val="left"/>
        <w:rPr>
          <w:sz w:val="13"/>
        </w:rPr>
        <w:sectPr>
          <w:type w:val="continuous"/>
          <w:pgSz w:w="11910" w:h="16840"/>
          <w:pgMar w:top="620" w:bottom="280" w:left="620" w:right="380"/>
          <w:cols w:num="2" w:equalWidth="0">
            <w:col w:w="536" w:space="331"/>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10" w:hanging="794"/>
        <w:jc w:val="left"/>
        <w:rPr>
          <w:sz w:val="20"/>
        </w:rPr>
      </w:pPr>
      <w:r>
        <w:rPr>
          <w:spacing w:val="-5"/>
          <w:sz w:val="20"/>
        </w:rPr>
        <w:t>VACCHO</w:t>
      </w:r>
      <w:r>
        <w:rPr>
          <w:spacing w:val="-8"/>
          <w:sz w:val="20"/>
        </w:rPr>
        <w:t> </w:t>
      </w:r>
      <w:r>
        <w:rPr>
          <w:sz w:val="20"/>
        </w:rPr>
        <w:t>advised</w:t>
      </w:r>
      <w:r>
        <w:rPr>
          <w:spacing w:val="-7"/>
          <w:sz w:val="20"/>
        </w:rPr>
        <w:t> </w:t>
      </w:r>
      <w:r>
        <w:rPr>
          <w:sz w:val="20"/>
        </w:rPr>
        <w:t>the</w:t>
      </w:r>
      <w:r>
        <w:rPr>
          <w:spacing w:val="-7"/>
          <w:sz w:val="20"/>
        </w:rPr>
        <w:t> </w:t>
      </w:r>
      <w:r>
        <w:rPr>
          <w:sz w:val="20"/>
        </w:rPr>
        <w:t>Commission</w:t>
      </w:r>
      <w:r>
        <w:rPr>
          <w:spacing w:val="-8"/>
          <w:sz w:val="20"/>
        </w:rPr>
        <w:t> </w:t>
      </w:r>
      <w:r>
        <w:rPr>
          <w:sz w:val="20"/>
        </w:rPr>
        <w:t>that</w:t>
      </w:r>
      <w:r>
        <w:rPr>
          <w:spacing w:val="-7"/>
          <w:sz w:val="20"/>
        </w:rPr>
        <w:t> </w:t>
      </w:r>
      <w:r>
        <w:rPr>
          <w:sz w:val="20"/>
        </w:rPr>
        <w:t>the</w:t>
      </w:r>
      <w:r>
        <w:rPr>
          <w:spacing w:val="-7"/>
          <w:sz w:val="20"/>
        </w:rPr>
        <w:t> </w:t>
      </w:r>
      <w:r>
        <w:rPr>
          <w:sz w:val="20"/>
        </w:rPr>
        <w:t>success</w:t>
      </w:r>
      <w:r>
        <w:rPr>
          <w:spacing w:val="-7"/>
          <w:sz w:val="20"/>
        </w:rPr>
        <w:t> </w:t>
      </w:r>
      <w:r>
        <w:rPr>
          <w:sz w:val="20"/>
        </w:rPr>
        <w:t>of</w:t>
      </w:r>
      <w:r>
        <w:rPr>
          <w:spacing w:val="-8"/>
          <w:sz w:val="20"/>
        </w:rPr>
        <w:t> </w:t>
      </w:r>
      <w:r>
        <w:rPr>
          <w:sz w:val="20"/>
        </w:rPr>
        <w:t>legal</w:t>
      </w:r>
      <w:r>
        <w:rPr>
          <w:spacing w:val="-7"/>
          <w:sz w:val="20"/>
        </w:rPr>
        <w:t> </w:t>
      </w:r>
      <w:r>
        <w:rPr>
          <w:spacing w:val="-3"/>
          <w:sz w:val="20"/>
        </w:rPr>
        <w:t>reforms</w:t>
      </w:r>
      <w:r>
        <w:rPr>
          <w:spacing w:val="-7"/>
          <w:sz w:val="20"/>
        </w:rPr>
        <w:t> </w:t>
      </w:r>
      <w:r>
        <w:rPr>
          <w:spacing w:val="-3"/>
          <w:sz w:val="20"/>
        </w:rPr>
        <w:t>‘could</w:t>
      </w:r>
      <w:r>
        <w:rPr>
          <w:spacing w:val="-8"/>
          <w:sz w:val="20"/>
        </w:rPr>
        <w:t> </w:t>
      </w:r>
      <w:r>
        <w:rPr>
          <w:sz w:val="20"/>
        </w:rPr>
        <w:t>be</w:t>
      </w:r>
      <w:r>
        <w:rPr>
          <w:spacing w:val="-7"/>
          <w:sz w:val="20"/>
        </w:rPr>
        <w:t> </w:t>
      </w:r>
      <w:r>
        <w:rPr>
          <w:spacing w:val="-3"/>
          <w:sz w:val="20"/>
        </w:rPr>
        <w:t>improved </w:t>
      </w:r>
      <w:r>
        <w:rPr>
          <w:sz w:val="20"/>
        </w:rPr>
        <w:t>if there </w:t>
      </w:r>
      <w:r>
        <w:rPr>
          <w:spacing w:val="-4"/>
          <w:sz w:val="20"/>
        </w:rPr>
        <w:t>were </w:t>
      </w:r>
      <w:r>
        <w:rPr>
          <w:sz w:val="20"/>
        </w:rPr>
        <w:t>champions within the Aboriginal community’.</w:t>
      </w:r>
      <w:r>
        <w:rPr>
          <w:position w:val="7"/>
          <w:sz w:val="11"/>
        </w:rPr>
        <w:t>59 </w:t>
      </w:r>
      <w:r>
        <w:rPr>
          <w:spacing w:val="-5"/>
          <w:sz w:val="20"/>
        </w:rPr>
        <w:t>VACCHO </w:t>
      </w:r>
      <w:r>
        <w:rPr>
          <w:sz w:val="20"/>
        </w:rPr>
        <w:t>further advised that </w:t>
      </w:r>
      <w:r>
        <w:rPr>
          <w:spacing w:val="-3"/>
          <w:sz w:val="20"/>
        </w:rPr>
        <w:t>many </w:t>
      </w:r>
      <w:r>
        <w:rPr>
          <w:sz w:val="20"/>
        </w:rPr>
        <w:t>Aboriginal people </w:t>
      </w:r>
      <w:r>
        <w:rPr>
          <w:spacing w:val="-3"/>
          <w:sz w:val="20"/>
        </w:rPr>
        <w:t>work </w:t>
      </w:r>
      <w:r>
        <w:rPr>
          <w:sz w:val="20"/>
        </w:rPr>
        <w:t>in the court system </w:t>
      </w:r>
      <w:r>
        <w:rPr>
          <w:spacing w:val="-5"/>
          <w:sz w:val="20"/>
        </w:rPr>
        <w:t>now, </w:t>
      </w:r>
      <w:r>
        <w:rPr>
          <w:sz w:val="20"/>
        </w:rPr>
        <w:t>and suggested that they become</w:t>
      </w:r>
      <w:r>
        <w:rPr>
          <w:spacing w:val="-10"/>
          <w:sz w:val="20"/>
        </w:rPr>
        <w:t> </w:t>
      </w:r>
      <w:r>
        <w:rPr>
          <w:spacing w:val="-4"/>
          <w:sz w:val="20"/>
        </w:rPr>
        <w:t>involved,</w:t>
      </w:r>
      <w:r>
        <w:rPr>
          <w:spacing w:val="-9"/>
          <w:sz w:val="20"/>
        </w:rPr>
        <w:t> </w:t>
      </w:r>
      <w:r>
        <w:rPr>
          <w:sz w:val="20"/>
        </w:rPr>
        <w:t>‘to</w:t>
      </w:r>
      <w:r>
        <w:rPr>
          <w:spacing w:val="-9"/>
          <w:sz w:val="20"/>
        </w:rPr>
        <w:t> </w:t>
      </w:r>
      <w:r>
        <w:rPr>
          <w:sz w:val="20"/>
        </w:rPr>
        <w:t>educate</w:t>
      </w:r>
      <w:r>
        <w:rPr>
          <w:spacing w:val="-9"/>
          <w:sz w:val="20"/>
        </w:rPr>
        <w:t> </w:t>
      </w:r>
      <w:r>
        <w:rPr>
          <w:sz w:val="20"/>
        </w:rPr>
        <w:t>the</w:t>
      </w:r>
      <w:r>
        <w:rPr>
          <w:spacing w:val="-9"/>
          <w:sz w:val="20"/>
        </w:rPr>
        <w:t> </w:t>
      </w:r>
      <w:r>
        <w:rPr>
          <w:sz w:val="20"/>
        </w:rPr>
        <w:t>community</w:t>
      </w:r>
      <w:r>
        <w:rPr>
          <w:spacing w:val="-9"/>
          <w:sz w:val="20"/>
        </w:rPr>
        <w:t> </w:t>
      </w:r>
      <w:r>
        <w:rPr>
          <w:sz w:val="20"/>
        </w:rPr>
        <w:t>and</w:t>
      </w:r>
      <w:r>
        <w:rPr>
          <w:spacing w:val="-9"/>
          <w:sz w:val="20"/>
        </w:rPr>
        <w:t> </w:t>
      </w:r>
      <w:r>
        <w:rPr>
          <w:sz w:val="20"/>
        </w:rPr>
        <w:t>help</w:t>
      </w:r>
      <w:r>
        <w:rPr>
          <w:spacing w:val="-9"/>
          <w:sz w:val="20"/>
        </w:rPr>
        <w:t> </w:t>
      </w:r>
      <w:r>
        <w:rPr>
          <w:sz w:val="20"/>
        </w:rPr>
        <w:t>encourage</w:t>
      </w:r>
      <w:r>
        <w:rPr>
          <w:spacing w:val="-9"/>
          <w:sz w:val="20"/>
        </w:rPr>
        <w:t> </w:t>
      </w:r>
      <w:r>
        <w:rPr>
          <w:sz w:val="20"/>
        </w:rPr>
        <w:t>Aboriginal</w:t>
      </w:r>
      <w:r>
        <w:rPr>
          <w:spacing w:val="-9"/>
          <w:sz w:val="20"/>
        </w:rPr>
        <w:t> </w:t>
      </w:r>
      <w:r>
        <w:rPr>
          <w:sz w:val="20"/>
        </w:rPr>
        <w:t>people</w:t>
      </w:r>
    </w:p>
    <w:p>
      <w:pPr>
        <w:pStyle w:val="BodyText"/>
        <w:spacing w:line="206" w:lineRule="auto" w:before="5"/>
        <w:ind w:left="1761" w:right="1342" w:hanging="1"/>
        <w:rPr>
          <w:sz w:val="11"/>
        </w:rPr>
      </w:pPr>
      <w:r>
        <w:rPr/>
        <w:t>to</w:t>
      </w:r>
      <w:r>
        <w:rPr>
          <w:spacing w:val="-10"/>
        </w:rPr>
        <w:t> </w:t>
      </w:r>
      <w:r>
        <w:rPr>
          <w:spacing w:val="-3"/>
        </w:rPr>
        <w:t>serve’.</w:t>
      </w:r>
      <w:r>
        <w:rPr>
          <w:spacing w:val="-3"/>
          <w:position w:val="7"/>
          <w:sz w:val="11"/>
        </w:rPr>
        <w:t>60</w:t>
      </w:r>
      <w:r>
        <w:rPr>
          <w:spacing w:val="16"/>
          <w:position w:val="7"/>
          <w:sz w:val="11"/>
        </w:rPr>
        <w:t> </w:t>
      </w:r>
      <w:r>
        <w:rPr>
          <w:spacing w:val="-3"/>
        </w:rPr>
        <w:t>For</w:t>
      </w:r>
      <w:r>
        <w:rPr>
          <w:spacing w:val="-9"/>
        </w:rPr>
        <w:t> </w:t>
      </w:r>
      <w:r>
        <w:rPr>
          <w:spacing w:val="-3"/>
        </w:rPr>
        <w:t>example,</w:t>
      </w:r>
      <w:r>
        <w:rPr>
          <w:spacing w:val="-9"/>
        </w:rPr>
        <w:t> </w:t>
      </w:r>
      <w:r>
        <w:rPr/>
        <w:t>Aboriginal</w:t>
      </w:r>
      <w:r>
        <w:rPr>
          <w:spacing w:val="-9"/>
        </w:rPr>
        <w:t> </w:t>
      </w:r>
      <w:r>
        <w:rPr/>
        <w:t>community</w:t>
      </w:r>
      <w:r>
        <w:rPr>
          <w:spacing w:val="-9"/>
        </w:rPr>
        <w:t> </w:t>
      </w:r>
      <w:r>
        <w:rPr/>
        <w:t>leaders</w:t>
      </w:r>
      <w:r>
        <w:rPr>
          <w:spacing w:val="-9"/>
        </w:rPr>
        <w:t> </w:t>
      </w:r>
      <w:r>
        <w:rPr/>
        <w:t>or</w:t>
      </w:r>
      <w:r>
        <w:rPr>
          <w:spacing w:val="-9"/>
        </w:rPr>
        <w:t> </w:t>
      </w:r>
      <w:r>
        <w:rPr/>
        <w:t>Aboriginal</w:t>
      </w:r>
      <w:r>
        <w:rPr>
          <w:spacing w:val="-9"/>
        </w:rPr>
        <w:t> </w:t>
      </w:r>
      <w:r>
        <w:rPr/>
        <w:t>people</w:t>
      </w:r>
      <w:r>
        <w:rPr>
          <w:spacing w:val="-9"/>
        </w:rPr>
        <w:t> </w:t>
      </w:r>
      <w:r>
        <w:rPr/>
        <w:t>who</w:t>
      </w:r>
      <w:r>
        <w:rPr>
          <w:spacing w:val="-9"/>
        </w:rPr>
        <w:t> </w:t>
      </w:r>
      <w:r>
        <w:rPr>
          <w:spacing w:val="-3"/>
        </w:rPr>
        <w:t>work </w:t>
      </w:r>
      <w:r>
        <w:rPr/>
        <w:t>in the court system could take groups of people </w:t>
      </w:r>
      <w:r>
        <w:rPr>
          <w:spacing w:val="-3"/>
        </w:rPr>
        <w:t>into </w:t>
      </w:r>
      <w:r>
        <w:rPr/>
        <w:t>court to see a jury working and speak</w:t>
      </w:r>
      <w:r>
        <w:rPr>
          <w:spacing w:val="-10"/>
        </w:rPr>
        <w:t> </w:t>
      </w:r>
      <w:r>
        <w:rPr/>
        <w:t>with</w:t>
      </w:r>
      <w:r>
        <w:rPr>
          <w:spacing w:val="-10"/>
        </w:rPr>
        <w:t> </w:t>
      </w:r>
      <w:r>
        <w:rPr/>
        <w:t>a</w:t>
      </w:r>
      <w:r>
        <w:rPr>
          <w:spacing w:val="-10"/>
        </w:rPr>
        <w:t> </w:t>
      </w:r>
      <w:r>
        <w:rPr/>
        <w:t>judge</w:t>
      </w:r>
      <w:r>
        <w:rPr>
          <w:spacing w:val="-10"/>
        </w:rPr>
        <w:t> </w:t>
      </w:r>
      <w:r>
        <w:rPr/>
        <w:t>to</w:t>
      </w:r>
      <w:r>
        <w:rPr>
          <w:spacing w:val="-9"/>
        </w:rPr>
        <w:t> </w:t>
      </w:r>
      <w:r>
        <w:rPr>
          <w:spacing w:val="-3"/>
        </w:rPr>
        <w:t>‘make</w:t>
      </w:r>
      <w:r>
        <w:rPr>
          <w:spacing w:val="-10"/>
        </w:rPr>
        <w:t> </w:t>
      </w:r>
      <w:r>
        <w:rPr/>
        <w:t>the</w:t>
      </w:r>
      <w:r>
        <w:rPr>
          <w:spacing w:val="-10"/>
        </w:rPr>
        <w:t> </w:t>
      </w:r>
      <w:r>
        <w:rPr/>
        <w:t>system</w:t>
      </w:r>
      <w:r>
        <w:rPr>
          <w:spacing w:val="-10"/>
        </w:rPr>
        <w:t> </w:t>
      </w:r>
      <w:r>
        <w:rPr/>
        <w:t>more</w:t>
      </w:r>
      <w:r>
        <w:rPr>
          <w:spacing w:val="-9"/>
        </w:rPr>
        <w:t> </w:t>
      </w:r>
      <w:r>
        <w:rPr/>
        <w:t>humanised’.</w:t>
      </w:r>
      <w:r>
        <w:rPr>
          <w:position w:val="7"/>
          <w:sz w:val="11"/>
        </w:rPr>
        <w:t>61</w:t>
      </w:r>
      <w:r>
        <w:rPr>
          <w:spacing w:val="15"/>
          <w:position w:val="7"/>
          <w:sz w:val="11"/>
        </w:rPr>
        <w:t> </w:t>
      </w:r>
      <w:r>
        <w:rPr/>
        <w:t>Educational</w:t>
      </w:r>
      <w:r>
        <w:rPr>
          <w:spacing w:val="-10"/>
        </w:rPr>
        <w:t> </w:t>
      </w:r>
      <w:r>
        <w:rPr/>
        <w:t>tools</w:t>
      </w:r>
      <w:r>
        <w:rPr>
          <w:spacing w:val="-10"/>
        </w:rPr>
        <w:t> </w:t>
      </w:r>
      <w:r>
        <w:rPr/>
        <w:t>such</w:t>
      </w:r>
      <w:r>
        <w:rPr>
          <w:spacing w:val="-10"/>
        </w:rPr>
        <w:t> </w:t>
      </w:r>
      <w:r>
        <w:rPr/>
        <w:t>as a video could be </w:t>
      </w:r>
      <w:r>
        <w:rPr>
          <w:spacing w:val="-3"/>
        </w:rPr>
        <w:t>created </w:t>
      </w:r>
      <w:r>
        <w:rPr/>
        <w:t>to educate Aboriginal people about the importance of jury service.</w:t>
      </w:r>
      <w:r>
        <w:rPr>
          <w:position w:val="7"/>
          <w:sz w:val="11"/>
        </w:rPr>
        <w:t>62</w:t>
      </w:r>
    </w:p>
    <w:p>
      <w:pPr>
        <w:pStyle w:val="ListParagraph"/>
        <w:numPr>
          <w:ilvl w:val="1"/>
          <w:numId w:val="12"/>
        </w:numPr>
        <w:tabs>
          <w:tab w:pos="1761" w:val="left" w:leader="none"/>
          <w:tab w:pos="1762" w:val="left" w:leader="none"/>
        </w:tabs>
        <w:spacing w:line="206" w:lineRule="auto" w:before="126" w:after="0"/>
        <w:ind w:left="1761" w:right="1282" w:hanging="794"/>
        <w:jc w:val="left"/>
        <w:rPr>
          <w:sz w:val="20"/>
        </w:rPr>
      </w:pPr>
      <w:r>
        <w:rPr>
          <w:sz w:val="20"/>
        </w:rPr>
        <w:t>The Victorian </w:t>
      </w:r>
      <w:r>
        <w:rPr>
          <w:spacing w:val="-2"/>
          <w:sz w:val="20"/>
        </w:rPr>
        <w:t>Government </w:t>
      </w:r>
      <w:r>
        <w:rPr>
          <w:sz w:val="20"/>
        </w:rPr>
        <w:t>should consult with Aboriginal leaders, including via the Aboriginal Justice Caucus, about the best </w:t>
      </w:r>
      <w:r>
        <w:rPr>
          <w:spacing w:val="-4"/>
          <w:sz w:val="20"/>
        </w:rPr>
        <w:t>way </w:t>
      </w:r>
      <w:r>
        <w:rPr>
          <w:sz w:val="20"/>
        </w:rPr>
        <w:t>to ensure </w:t>
      </w:r>
      <w:r>
        <w:rPr>
          <w:spacing w:val="-3"/>
          <w:sz w:val="20"/>
        </w:rPr>
        <w:t>culturally appropriate </w:t>
      </w:r>
      <w:r>
        <w:rPr>
          <w:sz w:val="20"/>
        </w:rPr>
        <w:t>and targeted</w:t>
      </w:r>
      <w:r>
        <w:rPr>
          <w:spacing w:val="-11"/>
          <w:sz w:val="20"/>
        </w:rPr>
        <w:t> </w:t>
      </w:r>
      <w:r>
        <w:rPr>
          <w:sz w:val="20"/>
        </w:rPr>
        <w:t>information</w:t>
      </w:r>
      <w:r>
        <w:rPr>
          <w:spacing w:val="-10"/>
          <w:sz w:val="20"/>
        </w:rPr>
        <w:t> </w:t>
      </w:r>
      <w:r>
        <w:rPr>
          <w:sz w:val="20"/>
        </w:rPr>
        <w:t>about</w:t>
      </w:r>
      <w:r>
        <w:rPr>
          <w:spacing w:val="-11"/>
          <w:sz w:val="20"/>
        </w:rPr>
        <w:t> </w:t>
      </w:r>
      <w:r>
        <w:rPr>
          <w:sz w:val="20"/>
        </w:rPr>
        <w:t>the</w:t>
      </w:r>
      <w:r>
        <w:rPr>
          <w:spacing w:val="-10"/>
          <w:sz w:val="20"/>
        </w:rPr>
        <w:t> </w:t>
      </w:r>
      <w:r>
        <w:rPr>
          <w:sz w:val="20"/>
        </w:rPr>
        <w:t>new</w:t>
      </w:r>
      <w:r>
        <w:rPr>
          <w:spacing w:val="-11"/>
          <w:sz w:val="20"/>
        </w:rPr>
        <w:t> </w:t>
      </w:r>
      <w:r>
        <w:rPr>
          <w:spacing w:val="-3"/>
          <w:sz w:val="20"/>
        </w:rPr>
        <w:t>laws</w:t>
      </w:r>
      <w:r>
        <w:rPr>
          <w:spacing w:val="-10"/>
          <w:sz w:val="20"/>
        </w:rPr>
        <w:t> </w:t>
      </w:r>
      <w:r>
        <w:rPr>
          <w:sz w:val="20"/>
        </w:rPr>
        <w:t>reaches</w:t>
      </w:r>
      <w:r>
        <w:rPr>
          <w:spacing w:val="-11"/>
          <w:sz w:val="20"/>
        </w:rPr>
        <w:t> </w:t>
      </w:r>
      <w:r>
        <w:rPr>
          <w:sz w:val="20"/>
        </w:rPr>
        <w:t>the</w:t>
      </w:r>
      <w:r>
        <w:rPr>
          <w:spacing w:val="-10"/>
          <w:sz w:val="20"/>
        </w:rPr>
        <w:t> </w:t>
      </w:r>
      <w:r>
        <w:rPr>
          <w:sz w:val="20"/>
        </w:rPr>
        <w:t>Indigenous</w:t>
      </w:r>
      <w:r>
        <w:rPr>
          <w:spacing w:val="-10"/>
          <w:sz w:val="20"/>
        </w:rPr>
        <w:t> </w:t>
      </w:r>
      <w:r>
        <w:rPr>
          <w:spacing w:val="-3"/>
          <w:sz w:val="20"/>
        </w:rPr>
        <w:t>community.</w:t>
      </w:r>
      <w:r>
        <w:rPr>
          <w:spacing w:val="-11"/>
          <w:sz w:val="20"/>
        </w:rPr>
        <w:t> </w:t>
      </w:r>
      <w:r>
        <w:rPr>
          <w:sz w:val="20"/>
        </w:rPr>
        <w:t>This</w:t>
      </w:r>
      <w:r>
        <w:rPr>
          <w:spacing w:val="-10"/>
          <w:sz w:val="20"/>
        </w:rPr>
        <w:t> </w:t>
      </w:r>
      <w:r>
        <w:rPr>
          <w:spacing w:val="-3"/>
          <w:sz w:val="20"/>
        </w:rPr>
        <w:t>may </w:t>
      </w:r>
      <w:r>
        <w:rPr>
          <w:sz w:val="20"/>
        </w:rPr>
        <w:t>include funding </w:t>
      </w:r>
      <w:r>
        <w:rPr>
          <w:spacing w:val="-5"/>
          <w:sz w:val="20"/>
        </w:rPr>
        <w:t>VACCHO </w:t>
      </w:r>
      <w:r>
        <w:rPr>
          <w:sz w:val="20"/>
        </w:rPr>
        <w:t>and the Victorian Aboriginal Legal Service </w:t>
      </w:r>
      <w:r>
        <w:rPr>
          <w:spacing w:val="-3"/>
          <w:sz w:val="20"/>
        </w:rPr>
        <w:t>(VALS) </w:t>
      </w:r>
      <w:r>
        <w:rPr>
          <w:sz w:val="20"/>
        </w:rPr>
        <w:t>to </w:t>
      </w:r>
      <w:r>
        <w:rPr>
          <w:spacing w:val="-3"/>
          <w:sz w:val="20"/>
        </w:rPr>
        <w:t>provide </w:t>
      </w:r>
      <w:r>
        <w:rPr>
          <w:sz w:val="20"/>
        </w:rPr>
        <w:t>education about the new </w:t>
      </w:r>
      <w:r>
        <w:rPr>
          <w:spacing w:val="-3"/>
          <w:sz w:val="20"/>
        </w:rPr>
        <w:t>laws </w:t>
      </w:r>
      <w:r>
        <w:rPr>
          <w:sz w:val="20"/>
        </w:rPr>
        <w:t>through its</w:t>
      </w:r>
      <w:r>
        <w:rPr>
          <w:spacing w:val="-30"/>
          <w:sz w:val="20"/>
        </w:rPr>
        <w:t> </w:t>
      </w:r>
      <w:r>
        <w:rPr>
          <w:sz w:val="20"/>
        </w:rPr>
        <w:t>networks.</w:t>
      </w:r>
    </w:p>
    <w:p>
      <w:pPr>
        <w:pStyle w:val="ListParagraph"/>
        <w:numPr>
          <w:ilvl w:val="1"/>
          <w:numId w:val="12"/>
        </w:numPr>
        <w:tabs>
          <w:tab w:pos="1761" w:val="left" w:leader="none"/>
          <w:tab w:pos="1762" w:val="left" w:leader="none"/>
        </w:tabs>
        <w:spacing w:line="206" w:lineRule="auto" w:before="127" w:after="0"/>
        <w:ind w:left="1761" w:right="1313" w:hanging="794"/>
        <w:jc w:val="left"/>
        <w:rPr>
          <w:sz w:val="20"/>
        </w:rPr>
      </w:pPr>
      <w:r>
        <w:rPr>
          <w:sz w:val="20"/>
        </w:rPr>
        <w:t>It might also be helpful for Juries Victoria to </w:t>
      </w:r>
      <w:r>
        <w:rPr>
          <w:spacing w:val="-3"/>
          <w:sz w:val="20"/>
        </w:rPr>
        <w:t>create </w:t>
      </w:r>
      <w:r>
        <w:rPr>
          <w:sz w:val="20"/>
        </w:rPr>
        <w:t>an Internal Aboriginal liaison </w:t>
      </w:r>
      <w:r>
        <w:rPr>
          <w:spacing w:val="-3"/>
          <w:sz w:val="20"/>
        </w:rPr>
        <w:t>role. </w:t>
      </w:r>
      <w:r>
        <w:rPr>
          <w:sz w:val="20"/>
        </w:rPr>
        <w:t>The</w:t>
      </w:r>
      <w:r>
        <w:rPr>
          <w:spacing w:val="-15"/>
          <w:sz w:val="20"/>
        </w:rPr>
        <w:t> </w:t>
      </w:r>
      <w:r>
        <w:rPr>
          <w:sz w:val="20"/>
        </w:rPr>
        <w:t>liaison</w:t>
      </w:r>
      <w:r>
        <w:rPr>
          <w:spacing w:val="-14"/>
          <w:sz w:val="20"/>
        </w:rPr>
        <w:t> </w:t>
      </w:r>
      <w:r>
        <w:rPr>
          <w:sz w:val="20"/>
        </w:rPr>
        <w:t>person</w:t>
      </w:r>
      <w:r>
        <w:rPr>
          <w:spacing w:val="-14"/>
          <w:sz w:val="20"/>
        </w:rPr>
        <w:t> </w:t>
      </w:r>
      <w:r>
        <w:rPr>
          <w:sz w:val="20"/>
        </w:rPr>
        <w:t>could</w:t>
      </w:r>
      <w:r>
        <w:rPr>
          <w:spacing w:val="-14"/>
          <w:sz w:val="20"/>
        </w:rPr>
        <w:t> </w:t>
      </w:r>
      <w:r>
        <w:rPr>
          <w:sz w:val="20"/>
        </w:rPr>
        <w:t>disseminate</w:t>
      </w:r>
      <w:r>
        <w:rPr>
          <w:spacing w:val="-14"/>
          <w:sz w:val="20"/>
        </w:rPr>
        <w:t> </w:t>
      </w:r>
      <w:r>
        <w:rPr>
          <w:sz w:val="20"/>
        </w:rPr>
        <w:t>information</w:t>
      </w:r>
      <w:r>
        <w:rPr>
          <w:spacing w:val="-14"/>
          <w:sz w:val="20"/>
        </w:rPr>
        <w:t> </w:t>
      </w:r>
      <w:r>
        <w:rPr>
          <w:sz w:val="20"/>
        </w:rPr>
        <w:t>about</w:t>
      </w:r>
      <w:r>
        <w:rPr>
          <w:spacing w:val="-14"/>
          <w:sz w:val="20"/>
        </w:rPr>
        <w:t> </w:t>
      </w:r>
      <w:r>
        <w:rPr>
          <w:sz w:val="20"/>
        </w:rPr>
        <w:t>the</w:t>
      </w:r>
      <w:r>
        <w:rPr>
          <w:spacing w:val="-14"/>
          <w:sz w:val="20"/>
        </w:rPr>
        <w:t> </w:t>
      </w:r>
      <w:r>
        <w:rPr>
          <w:sz w:val="20"/>
        </w:rPr>
        <w:t>new</w:t>
      </w:r>
      <w:r>
        <w:rPr>
          <w:spacing w:val="-14"/>
          <w:sz w:val="20"/>
        </w:rPr>
        <w:t> </w:t>
      </w:r>
      <w:r>
        <w:rPr>
          <w:sz w:val="20"/>
        </w:rPr>
        <w:t>laws,</w:t>
      </w:r>
      <w:r>
        <w:rPr>
          <w:spacing w:val="-14"/>
          <w:sz w:val="20"/>
        </w:rPr>
        <w:t> </w:t>
      </w:r>
      <w:r>
        <w:rPr>
          <w:sz w:val="20"/>
        </w:rPr>
        <w:t>educate</w:t>
      </w:r>
      <w:r>
        <w:rPr>
          <w:spacing w:val="-14"/>
          <w:sz w:val="20"/>
        </w:rPr>
        <w:t> </w:t>
      </w:r>
      <w:r>
        <w:rPr>
          <w:sz w:val="20"/>
        </w:rPr>
        <w:t>people of</w:t>
      </w:r>
      <w:r>
        <w:rPr>
          <w:spacing w:val="-9"/>
          <w:sz w:val="20"/>
        </w:rPr>
        <w:t> </w:t>
      </w:r>
      <w:r>
        <w:rPr>
          <w:sz w:val="20"/>
        </w:rPr>
        <w:t>the</w:t>
      </w:r>
      <w:r>
        <w:rPr>
          <w:spacing w:val="-8"/>
          <w:sz w:val="20"/>
        </w:rPr>
        <w:t> </w:t>
      </w:r>
      <w:r>
        <w:rPr>
          <w:sz w:val="20"/>
        </w:rPr>
        <w:t>importance</w:t>
      </w:r>
      <w:r>
        <w:rPr>
          <w:spacing w:val="-8"/>
          <w:sz w:val="20"/>
        </w:rPr>
        <w:t> </w:t>
      </w:r>
      <w:r>
        <w:rPr>
          <w:sz w:val="20"/>
        </w:rPr>
        <w:t>of</w:t>
      </w:r>
      <w:r>
        <w:rPr>
          <w:spacing w:val="-8"/>
          <w:sz w:val="20"/>
        </w:rPr>
        <w:t> </w:t>
      </w:r>
      <w:r>
        <w:rPr>
          <w:sz w:val="20"/>
        </w:rPr>
        <w:t>their</w:t>
      </w:r>
      <w:r>
        <w:rPr>
          <w:spacing w:val="-8"/>
          <w:sz w:val="20"/>
        </w:rPr>
        <w:t> </w:t>
      </w:r>
      <w:r>
        <w:rPr>
          <w:sz w:val="20"/>
        </w:rPr>
        <w:t>service</w:t>
      </w:r>
      <w:r>
        <w:rPr>
          <w:spacing w:val="-8"/>
          <w:sz w:val="20"/>
        </w:rPr>
        <w:t> </w:t>
      </w:r>
      <w:r>
        <w:rPr>
          <w:sz w:val="20"/>
        </w:rPr>
        <w:t>and</w:t>
      </w:r>
      <w:r>
        <w:rPr>
          <w:spacing w:val="-8"/>
          <w:sz w:val="20"/>
        </w:rPr>
        <w:t> </w:t>
      </w:r>
      <w:r>
        <w:rPr>
          <w:sz w:val="20"/>
        </w:rPr>
        <w:t>act</w:t>
      </w:r>
      <w:r>
        <w:rPr>
          <w:spacing w:val="-8"/>
          <w:sz w:val="20"/>
        </w:rPr>
        <w:t> </w:t>
      </w:r>
      <w:r>
        <w:rPr>
          <w:sz w:val="20"/>
        </w:rPr>
        <w:t>as</w:t>
      </w:r>
      <w:r>
        <w:rPr>
          <w:spacing w:val="-8"/>
          <w:sz w:val="20"/>
        </w:rPr>
        <w:t> </w:t>
      </w:r>
      <w:r>
        <w:rPr>
          <w:sz w:val="20"/>
        </w:rPr>
        <w:t>a</w:t>
      </w:r>
      <w:r>
        <w:rPr>
          <w:spacing w:val="-8"/>
          <w:sz w:val="20"/>
        </w:rPr>
        <w:t> </w:t>
      </w:r>
      <w:r>
        <w:rPr>
          <w:sz w:val="20"/>
        </w:rPr>
        <w:t>contact</w:t>
      </w:r>
      <w:r>
        <w:rPr>
          <w:spacing w:val="-8"/>
          <w:sz w:val="20"/>
        </w:rPr>
        <w:t> </w:t>
      </w:r>
      <w:r>
        <w:rPr>
          <w:sz w:val="20"/>
        </w:rPr>
        <w:t>point</w:t>
      </w:r>
      <w:r>
        <w:rPr>
          <w:spacing w:val="-8"/>
          <w:sz w:val="20"/>
        </w:rPr>
        <w:t> </w:t>
      </w:r>
      <w:r>
        <w:rPr>
          <w:sz w:val="20"/>
        </w:rPr>
        <w:t>to</w:t>
      </w:r>
      <w:r>
        <w:rPr>
          <w:spacing w:val="-8"/>
          <w:sz w:val="20"/>
        </w:rPr>
        <w:t> </w:t>
      </w:r>
      <w:r>
        <w:rPr>
          <w:sz w:val="20"/>
        </w:rPr>
        <w:t>explain</w:t>
      </w:r>
      <w:r>
        <w:rPr>
          <w:spacing w:val="-8"/>
          <w:sz w:val="20"/>
        </w:rPr>
        <w:t> </w:t>
      </w:r>
      <w:r>
        <w:rPr>
          <w:sz w:val="20"/>
        </w:rPr>
        <w:t>the</w:t>
      </w:r>
      <w:r>
        <w:rPr>
          <w:spacing w:val="-8"/>
          <w:sz w:val="20"/>
        </w:rPr>
        <w:t> </w:t>
      </w:r>
      <w:r>
        <w:rPr>
          <w:sz w:val="20"/>
        </w:rPr>
        <w:t>new</w:t>
      </w:r>
      <w:r>
        <w:rPr>
          <w:spacing w:val="-8"/>
          <w:sz w:val="20"/>
        </w:rPr>
        <w:t> </w:t>
      </w:r>
      <w:r>
        <w:rPr>
          <w:spacing w:val="-3"/>
          <w:sz w:val="20"/>
        </w:rPr>
        <w:t>laws</w:t>
      </w:r>
      <w:r>
        <w:rPr>
          <w:spacing w:val="-8"/>
          <w:sz w:val="20"/>
        </w:rPr>
        <w:t> </w:t>
      </w:r>
      <w:r>
        <w:rPr>
          <w:sz w:val="20"/>
        </w:rPr>
        <w:t>if an</w:t>
      </w:r>
      <w:r>
        <w:rPr>
          <w:spacing w:val="-6"/>
          <w:sz w:val="20"/>
        </w:rPr>
        <w:t> </w:t>
      </w:r>
      <w:r>
        <w:rPr>
          <w:sz w:val="20"/>
        </w:rPr>
        <w:t>Aboriginal</w:t>
      </w:r>
      <w:r>
        <w:rPr>
          <w:spacing w:val="-6"/>
          <w:sz w:val="20"/>
        </w:rPr>
        <w:t> </w:t>
      </w:r>
      <w:r>
        <w:rPr>
          <w:sz w:val="20"/>
        </w:rPr>
        <w:t>person</w:t>
      </w:r>
      <w:r>
        <w:rPr>
          <w:spacing w:val="-6"/>
          <w:sz w:val="20"/>
        </w:rPr>
        <w:t> </w:t>
      </w:r>
      <w:r>
        <w:rPr>
          <w:spacing w:val="-3"/>
          <w:sz w:val="20"/>
        </w:rPr>
        <w:t>from</w:t>
      </w:r>
      <w:r>
        <w:rPr>
          <w:spacing w:val="-6"/>
          <w:sz w:val="20"/>
        </w:rPr>
        <w:t> </w:t>
      </w:r>
      <w:r>
        <w:rPr>
          <w:sz w:val="20"/>
        </w:rPr>
        <w:t>the</w:t>
      </w:r>
      <w:r>
        <w:rPr>
          <w:spacing w:val="-6"/>
          <w:sz w:val="20"/>
        </w:rPr>
        <w:t> </w:t>
      </w:r>
      <w:r>
        <w:rPr>
          <w:sz w:val="20"/>
        </w:rPr>
        <w:t>subject</w:t>
      </w:r>
      <w:r>
        <w:rPr>
          <w:spacing w:val="-6"/>
          <w:sz w:val="20"/>
        </w:rPr>
        <w:t> </w:t>
      </w:r>
      <w:r>
        <w:rPr>
          <w:sz w:val="20"/>
        </w:rPr>
        <w:t>groups</w:t>
      </w:r>
      <w:r>
        <w:rPr>
          <w:spacing w:val="-5"/>
          <w:sz w:val="20"/>
        </w:rPr>
        <w:t> </w:t>
      </w:r>
      <w:r>
        <w:rPr>
          <w:sz w:val="20"/>
        </w:rPr>
        <w:t>was</w:t>
      </w:r>
      <w:r>
        <w:rPr>
          <w:spacing w:val="-6"/>
          <w:sz w:val="20"/>
        </w:rPr>
        <w:t> </w:t>
      </w:r>
      <w:r>
        <w:rPr>
          <w:sz w:val="20"/>
        </w:rPr>
        <w:t>summonsed</w:t>
      </w:r>
      <w:r>
        <w:rPr>
          <w:spacing w:val="-6"/>
          <w:sz w:val="20"/>
        </w:rPr>
        <w:t> </w:t>
      </w:r>
      <w:r>
        <w:rPr>
          <w:sz w:val="20"/>
        </w:rPr>
        <w:t>to</w:t>
      </w:r>
      <w:r>
        <w:rPr>
          <w:spacing w:val="-6"/>
          <w:sz w:val="20"/>
        </w:rPr>
        <w:t> </w:t>
      </w:r>
      <w:r>
        <w:rPr>
          <w:sz w:val="20"/>
        </w:rPr>
        <w:t>serve.</w:t>
      </w:r>
    </w:p>
    <w:p>
      <w:pPr>
        <w:pStyle w:val="BodyText"/>
        <w:spacing w:before="7"/>
        <w:rPr>
          <w:sz w:val="19"/>
        </w:rPr>
      </w:pPr>
      <w:r>
        <w:rPr/>
        <w:pict>
          <v:group style="position:absolute;margin-left:62.362202pt;margin-top:15.5126pt;width:479.1pt;height:172.65pt;mso-position-horizontal-relative:page;mso-position-vertical-relative:paragraph;z-index:11528;mso-wrap-distance-left:0;mso-wrap-distance-right:0" coordorigin="1247,310" coordsize="9582,3453">
            <v:rect style="position:absolute;left:1587;top:310;width:8731;height:3453" filled="true" fillcolor="#dddfe4" stroked="false">
              <v:fill type="solid"/>
            </v:rect>
            <v:line style="position:absolute" from="1247,1118" to="10828,1118" stroked="true" strokeweight="2.5pt" strokecolor="#ffffff">
              <v:stroke dashstyle="solid"/>
            </v:line>
            <v:shape style="position:absolute;left:2381;top:1343;width:7430;height:2240" type="#_x0000_t202" filled="false" stroked="false">
              <v:textbox inset="0,0,0,0">
                <w:txbxContent>
                  <w:p>
                    <w:pPr>
                      <w:spacing w:line="247" w:lineRule="auto" w:before="0"/>
                      <w:ind w:left="0" w:right="18" w:firstLine="0"/>
                      <w:jc w:val="both"/>
                      <w:rPr>
                        <w:rFonts w:ascii="Trebuchet MS"/>
                        <w:sz w:val="20"/>
                      </w:rPr>
                    </w:pPr>
                    <w:r>
                      <w:rPr>
                        <w:rFonts w:ascii="Trebuchet MS"/>
                        <w:spacing w:val="-3"/>
                        <w:sz w:val="20"/>
                      </w:rPr>
                      <w:t>Information </w:t>
                    </w:r>
                    <w:r>
                      <w:rPr>
                        <w:rFonts w:ascii="Trebuchet MS"/>
                        <w:sz w:val="20"/>
                      </w:rPr>
                      <w:t>about the new </w:t>
                    </w:r>
                    <w:r>
                      <w:rPr>
                        <w:rFonts w:ascii="Trebuchet MS"/>
                        <w:spacing w:val="-3"/>
                        <w:sz w:val="20"/>
                      </w:rPr>
                      <w:t>laws </w:t>
                    </w:r>
                    <w:r>
                      <w:rPr>
                        <w:rFonts w:ascii="Trebuchet MS"/>
                        <w:sz w:val="20"/>
                      </w:rPr>
                      <w:t>and policies should be </w:t>
                    </w:r>
                    <w:r>
                      <w:rPr>
                        <w:rFonts w:ascii="Trebuchet MS"/>
                        <w:spacing w:val="-3"/>
                        <w:sz w:val="20"/>
                      </w:rPr>
                      <w:t>widely </w:t>
                    </w:r>
                    <w:r>
                      <w:rPr>
                        <w:rFonts w:ascii="Trebuchet MS"/>
                        <w:sz w:val="20"/>
                      </w:rPr>
                      <w:t>distributed to the </w:t>
                    </w:r>
                    <w:r>
                      <w:rPr>
                        <w:rFonts w:ascii="Trebuchet MS"/>
                        <w:spacing w:val="-1"/>
                        <w:w w:val="115"/>
                        <w:sz w:val="20"/>
                      </w:rPr>
                      <w:t>V</w:t>
                    </w:r>
                    <w:r>
                      <w:rPr>
                        <w:rFonts w:ascii="Trebuchet MS"/>
                        <w:spacing w:val="-1"/>
                        <w:w w:val="80"/>
                        <w:sz w:val="20"/>
                      </w:rPr>
                      <w:t>i</w:t>
                    </w:r>
                    <w:r>
                      <w:rPr>
                        <w:rFonts w:ascii="Trebuchet MS"/>
                        <w:spacing w:val="-2"/>
                        <w:w w:val="111"/>
                        <w:sz w:val="20"/>
                      </w:rPr>
                      <w:t>c</w:t>
                    </w:r>
                    <w:r>
                      <w:rPr>
                        <w:rFonts w:ascii="Trebuchet MS"/>
                        <w:spacing w:val="-4"/>
                        <w:w w:val="88"/>
                        <w:sz w:val="20"/>
                      </w:rPr>
                      <w:t>t</w:t>
                    </w:r>
                    <w:r>
                      <w:rPr>
                        <w:rFonts w:ascii="Trebuchet MS"/>
                        <w:spacing w:val="-1"/>
                        <w:w w:val="111"/>
                        <w:sz w:val="20"/>
                      </w:rPr>
                      <w:t>o</w:t>
                    </w:r>
                    <w:r>
                      <w:rPr>
                        <w:rFonts w:ascii="Trebuchet MS"/>
                        <w:spacing w:val="-2"/>
                        <w:w w:val="93"/>
                        <w:sz w:val="20"/>
                      </w:rPr>
                      <w:t>r</w:t>
                    </w:r>
                    <w:r>
                      <w:rPr>
                        <w:rFonts w:ascii="Trebuchet MS"/>
                        <w:spacing w:val="-1"/>
                        <w:w w:val="80"/>
                        <w:sz w:val="20"/>
                      </w:rPr>
                      <w:t>i</w:t>
                    </w:r>
                    <w:r>
                      <w:rPr>
                        <w:rFonts w:ascii="Trebuchet MS"/>
                        <w:spacing w:val="-2"/>
                        <w:w w:val="105"/>
                        <w:sz w:val="20"/>
                      </w:rPr>
                      <w:t>a</w:t>
                    </w:r>
                    <w:r>
                      <w:rPr>
                        <w:rFonts w:ascii="Trebuchet MS"/>
                        <w:w w:val="107"/>
                        <w:sz w:val="20"/>
                      </w:rPr>
                      <w:t>n</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2"/>
                        <w:w w:val="111"/>
                        <w:sz w:val="20"/>
                      </w:rPr>
                      <w:t>mm</w:t>
                    </w:r>
                    <w:r>
                      <w:rPr>
                        <w:rFonts w:ascii="Trebuchet MS"/>
                        <w:spacing w:val="-1"/>
                        <w:w w:val="109"/>
                        <w:sz w:val="20"/>
                      </w:rPr>
                      <w:t>u</w:t>
                    </w:r>
                    <w:r>
                      <w:rPr>
                        <w:rFonts w:ascii="Trebuchet MS"/>
                        <w:spacing w:val="-2"/>
                        <w:w w:val="107"/>
                        <w:sz w:val="20"/>
                      </w:rPr>
                      <w:t>n</w:t>
                    </w:r>
                    <w:r>
                      <w:rPr>
                        <w:rFonts w:ascii="Trebuchet MS"/>
                        <w:spacing w:val="-3"/>
                        <w:w w:val="80"/>
                        <w:sz w:val="20"/>
                      </w:rPr>
                      <w:t>i</w:t>
                    </w:r>
                    <w:r>
                      <w:rPr>
                        <w:rFonts w:ascii="Trebuchet MS"/>
                        <w:w w:val="88"/>
                        <w:sz w:val="20"/>
                      </w:rPr>
                      <w:t>t</w:t>
                    </w:r>
                    <w:r>
                      <w:rPr>
                        <w:rFonts w:ascii="Trebuchet MS"/>
                        <w:w w:val="110"/>
                        <w:sz w:val="20"/>
                      </w:rPr>
                      <w:t>y</w:t>
                    </w:r>
                    <w:r>
                      <w:rPr>
                        <w:rFonts w:ascii="Trebuchet MS"/>
                        <w:spacing w:val="-14"/>
                        <w:sz w:val="20"/>
                      </w:rPr>
                      <w:t> </w:t>
                    </w:r>
                    <w:r>
                      <w:rPr>
                        <w:rFonts w:ascii="Trebuchet MS"/>
                        <w:spacing w:val="-2"/>
                        <w:w w:val="80"/>
                        <w:sz w:val="20"/>
                      </w:rPr>
                      <w:t>i</w:t>
                    </w:r>
                    <w:r>
                      <w:rPr>
                        <w:rFonts w:ascii="Trebuchet MS"/>
                        <w:w w:val="107"/>
                        <w:sz w:val="20"/>
                      </w:rPr>
                      <w:t>n</w:t>
                    </w:r>
                    <w:r>
                      <w:rPr>
                        <w:rFonts w:ascii="Trebuchet MS"/>
                        <w:spacing w:val="-14"/>
                        <w:sz w:val="20"/>
                      </w:rPr>
                      <w:t> </w:t>
                    </w:r>
                    <w:r>
                      <w:rPr>
                        <w:rFonts w:ascii="Trebuchet MS"/>
                        <w:spacing w:val="-2"/>
                        <w:w w:val="108"/>
                        <w:sz w:val="20"/>
                      </w:rPr>
                      <w:t>a</w:t>
                    </w:r>
                    <w:r>
                      <w:rPr>
                        <w:rFonts w:ascii="Trebuchet MS"/>
                        <w:spacing w:val="-3"/>
                        <w:w w:val="108"/>
                        <w:sz w:val="20"/>
                      </w:rPr>
                      <w:t>c</w:t>
                    </w:r>
                    <w:r>
                      <w:rPr>
                        <w:rFonts w:ascii="Trebuchet MS"/>
                        <w:spacing w:val="-3"/>
                        <w:w w:val="111"/>
                        <w:sz w:val="20"/>
                      </w:rPr>
                      <w:t>c</w:t>
                    </w:r>
                    <w:r>
                      <w:rPr>
                        <w:rFonts w:ascii="Trebuchet MS"/>
                        <w:spacing w:val="-2"/>
                        <w:w w:val="108"/>
                        <w:sz w:val="20"/>
                      </w:rPr>
                      <w:t>e</w:t>
                    </w:r>
                    <w:r>
                      <w:rPr>
                        <w:rFonts w:ascii="Trebuchet MS"/>
                        <w:spacing w:val="-1"/>
                        <w:w w:val="122"/>
                        <w:sz w:val="20"/>
                      </w:rPr>
                      <w:t>s</w:t>
                    </w:r>
                    <w:r>
                      <w:rPr>
                        <w:rFonts w:ascii="Trebuchet MS"/>
                        <w:spacing w:val="-2"/>
                        <w:w w:val="122"/>
                        <w:sz w:val="20"/>
                      </w:rPr>
                      <w:t>s</w:t>
                    </w:r>
                    <w:r>
                      <w:rPr>
                        <w:rFonts w:ascii="Trebuchet MS"/>
                        <w:spacing w:val="-2"/>
                        <w:w w:val="80"/>
                        <w:sz w:val="20"/>
                      </w:rPr>
                      <w:t>i</w:t>
                    </w:r>
                    <w:r>
                      <w:rPr>
                        <w:rFonts w:ascii="Trebuchet MS"/>
                        <w:spacing w:val="-2"/>
                        <w:w w:val="111"/>
                        <w:sz w:val="20"/>
                      </w:rPr>
                      <w:t>b</w:t>
                    </w:r>
                    <w:r>
                      <w:rPr>
                        <w:rFonts w:ascii="Trebuchet MS"/>
                        <w:spacing w:val="-3"/>
                        <w:w w:val="96"/>
                        <w:sz w:val="20"/>
                      </w:rPr>
                      <w:t>l</w:t>
                    </w:r>
                    <w:r>
                      <w:rPr>
                        <w:rFonts w:ascii="Trebuchet MS"/>
                        <w:w w:val="108"/>
                        <w:sz w:val="20"/>
                      </w:rPr>
                      <w:t>e</w:t>
                    </w:r>
                    <w:r>
                      <w:rPr>
                        <w:rFonts w:ascii="Trebuchet MS"/>
                        <w:spacing w:val="-14"/>
                        <w:sz w:val="20"/>
                      </w:rPr>
                      <w:t> </w:t>
                    </w:r>
                    <w:r>
                      <w:rPr>
                        <w:rFonts w:ascii="Trebuchet MS"/>
                        <w:spacing w:val="-5"/>
                        <w:w w:val="92"/>
                        <w:sz w:val="20"/>
                      </w:rPr>
                      <w:t>f</w:t>
                    </w:r>
                    <w:r>
                      <w:rPr>
                        <w:rFonts w:ascii="Trebuchet MS"/>
                        <w:spacing w:val="-1"/>
                        <w:w w:val="111"/>
                        <w:sz w:val="20"/>
                      </w:rPr>
                      <w:t>o</w:t>
                    </w:r>
                    <w:r>
                      <w:rPr>
                        <w:rFonts w:ascii="Trebuchet MS"/>
                        <w:spacing w:val="-2"/>
                        <w:w w:val="93"/>
                        <w:sz w:val="20"/>
                      </w:rPr>
                      <w:t>r</w:t>
                    </w:r>
                    <w:r>
                      <w:rPr>
                        <w:rFonts w:ascii="Trebuchet MS"/>
                        <w:spacing w:val="-1"/>
                        <w:w w:val="111"/>
                        <w:sz w:val="20"/>
                      </w:rPr>
                      <w:t>m</w:t>
                    </w:r>
                    <w:r>
                      <w:rPr>
                        <w:rFonts w:ascii="Trebuchet MS"/>
                        <w:spacing w:val="-4"/>
                        <w:w w:val="105"/>
                        <w:sz w:val="20"/>
                      </w:rPr>
                      <w:t>a</w:t>
                    </w:r>
                    <w:r>
                      <w:rPr>
                        <w:rFonts w:ascii="Trebuchet MS"/>
                        <w:spacing w:val="2"/>
                        <w:w w:val="88"/>
                        <w:sz w:val="20"/>
                      </w:rPr>
                      <w:t>t</w:t>
                    </w:r>
                    <w:r>
                      <w:rPr>
                        <w:rFonts w:ascii="Trebuchet MS"/>
                        <w:spacing w:val="1"/>
                        <w:w w:val="122"/>
                        <w:sz w:val="20"/>
                      </w:rPr>
                      <w:t>s</w:t>
                    </w:r>
                    <w:r>
                      <w:rPr>
                        <w:rFonts w:ascii="Trebuchet MS"/>
                        <w:w w:val="57"/>
                        <w:sz w:val="20"/>
                      </w:rPr>
                      <w:t>,</w:t>
                    </w:r>
                    <w:r>
                      <w:rPr>
                        <w:rFonts w:ascii="Trebuchet MS"/>
                        <w:spacing w:val="-14"/>
                        <w:sz w:val="20"/>
                      </w:rPr>
                      <w:t> </w:t>
                    </w:r>
                    <w:r>
                      <w:rPr>
                        <w:rFonts w:ascii="Trebuchet MS"/>
                        <w:spacing w:val="-2"/>
                        <w:w w:val="80"/>
                        <w:sz w:val="20"/>
                      </w:rPr>
                      <w:t>i</w:t>
                    </w:r>
                    <w:r>
                      <w:rPr>
                        <w:rFonts w:ascii="Trebuchet MS"/>
                        <w:spacing w:val="-1"/>
                        <w:w w:val="107"/>
                        <w:sz w:val="20"/>
                      </w:rPr>
                      <w:t>n</w:t>
                    </w:r>
                    <w:r>
                      <w:rPr>
                        <w:rFonts w:ascii="Trebuchet MS"/>
                        <w:spacing w:val="-3"/>
                        <w:w w:val="111"/>
                        <w:sz w:val="20"/>
                      </w:rPr>
                      <w:t>c</w:t>
                    </w:r>
                    <w:r>
                      <w:rPr>
                        <w:rFonts w:ascii="Trebuchet MS"/>
                        <w:spacing w:val="-3"/>
                        <w:w w:val="96"/>
                        <w:sz w:val="20"/>
                      </w:rPr>
                      <w:t>l</w:t>
                    </w:r>
                    <w:r>
                      <w:rPr>
                        <w:rFonts w:ascii="Trebuchet MS"/>
                        <w:spacing w:val="-2"/>
                        <w:w w:val="109"/>
                        <w:sz w:val="20"/>
                      </w:rPr>
                      <w:t>u</w:t>
                    </w:r>
                    <w:r>
                      <w:rPr>
                        <w:rFonts w:ascii="Trebuchet MS"/>
                        <w:spacing w:val="-1"/>
                        <w:w w:val="112"/>
                        <w:sz w:val="20"/>
                      </w:rPr>
                      <w:t>d</w:t>
                    </w:r>
                    <w:r>
                      <w:rPr>
                        <w:rFonts w:ascii="Trebuchet MS"/>
                        <w:spacing w:val="-2"/>
                        <w:w w:val="80"/>
                        <w:sz w:val="20"/>
                      </w:rPr>
                      <w:t>i</w:t>
                    </w:r>
                    <w:r>
                      <w:rPr>
                        <w:rFonts w:ascii="Trebuchet MS"/>
                        <w:spacing w:val="-1"/>
                        <w:w w:val="107"/>
                        <w:sz w:val="20"/>
                      </w:rPr>
                      <w:t>n</w:t>
                    </w:r>
                    <w:r>
                      <w:rPr>
                        <w:rFonts w:ascii="Trebuchet MS"/>
                        <w:w w:val="124"/>
                        <w:sz w:val="20"/>
                      </w:rPr>
                      <w:t>g</w:t>
                    </w:r>
                    <w:r>
                      <w:rPr>
                        <w:rFonts w:ascii="Trebuchet MS"/>
                        <w:spacing w:val="-14"/>
                        <w:sz w:val="20"/>
                      </w:rPr>
                      <w:t> </w:t>
                    </w:r>
                    <w:r>
                      <w:rPr>
                        <w:rFonts w:ascii="Trebuchet MS"/>
                        <w:spacing w:val="-2"/>
                        <w:w w:val="109"/>
                        <w:sz w:val="20"/>
                      </w:rPr>
                      <w:t>v</w:t>
                    </w:r>
                    <w:r>
                      <w:rPr>
                        <w:rFonts w:ascii="Trebuchet MS"/>
                        <w:spacing w:val="-1"/>
                        <w:w w:val="80"/>
                        <w:sz w:val="20"/>
                      </w:rPr>
                      <w:t>i</w:t>
                    </w:r>
                    <w:r>
                      <w:rPr>
                        <w:rFonts w:ascii="Trebuchet MS"/>
                        <w:spacing w:val="-2"/>
                        <w:w w:val="112"/>
                        <w:sz w:val="20"/>
                      </w:rPr>
                      <w:t>d</w:t>
                    </w:r>
                    <w:r>
                      <w:rPr>
                        <w:rFonts w:ascii="Trebuchet MS"/>
                        <w:w w:val="108"/>
                        <w:sz w:val="20"/>
                      </w:rPr>
                      <w:t>e</w:t>
                    </w:r>
                    <w:r>
                      <w:rPr>
                        <w:rFonts w:ascii="Trebuchet MS"/>
                        <w:spacing w:val="-2"/>
                        <w:w w:val="116"/>
                        <w:sz w:val="20"/>
                      </w:rPr>
                      <w:t>o</w:t>
                    </w:r>
                    <w:r>
                      <w:rPr>
                        <w:rFonts w:ascii="Trebuchet MS"/>
                        <w:spacing w:val="1"/>
                        <w:w w:val="116"/>
                        <w:sz w:val="20"/>
                      </w:rPr>
                      <w:t>s</w:t>
                    </w:r>
                    <w:r>
                      <w:rPr>
                        <w:rFonts w:ascii="Trebuchet MS"/>
                        <w:w w:val="57"/>
                        <w:sz w:val="20"/>
                      </w:rPr>
                      <w:t>,</w:t>
                    </w:r>
                    <w:r>
                      <w:rPr>
                        <w:rFonts w:ascii="Trebuchet MS"/>
                        <w:spacing w:val="-14"/>
                        <w:sz w:val="20"/>
                      </w:rPr>
                      <w:t> </w:t>
                    </w:r>
                    <w:r>
                      <w:rPr>
                        <w:rFonts w:ascii="Trebuchet MS"/>
                        <w:spacing w:val="-1"/>
                        <w:w w:val="111"/>
                        <w:sz w:val="20"/>
                      </w:rPr>
                      <w:t>p</w:t>
                    </w:r>
                    <w:r>
                      <w:rPr>
                        <w:rFonts w:ascii="Trebuchet MS"/>
                        <w:spacing w:val="-2"/>
                        <w:w w:val="93"/>
                        <w:sz w:val="20"/>
                      </w:rPr>
                      <w:t>r</w:t>
                    </w:r>
                    <w:r>
                      <w:rPr>
                        <w:rFonts w:ascii="Trebuchet MS"/>
                        <w:spacing w:val="-2"/>
                        <w:w w:val="80"/>
                        <w:sz w:val="20"/>
                      </w:rPr>
                      <w:t>i</w:t>
                    </w:r>
                    <w:r>
                      <w:rPr>
                        <w:rFonts w:ascii="Trebuchet MS"/>
                        <w:spacing w:val="-4"/>
                        <w:w w:val="107"/>
                        <w:sz w:val="20"/>
                      </w:rPr>
                      <w:t>n</w:t>
                    </w:r>
                    <w:r>
                      <w:rPr>
                        <w:rFonts w:ascii="Trebuchet MS"/>
                        <w:spacing w:val="-4"/>
                        <w:w w:val="88"/>
                        <w:sz w:val="20"/>
                      </w:rPr>
                      <w:t>t</w:t>
                    </w:r>
                    <w:r>
                      <w:rPr>
                        <w:rFonts w:ascii="Trebuchet MS"/>
                        <w:w w:val="108"/>
                        <w:sz w:val="20"/>
                      </w:rPr>
                      <w:t>e</w:t>
                    </w:r>
                    <w:r>
                      <w:rPr>
                        <w:rFonts w:ascii="Trebuchet MS"/>
                        <w:w w:val="112"/>
                        <w:sz w:val="20"/>
                      </w:rPr>
                      <w:t>d</w:t>
                    </w:r>
                    <w:r>
                      <w:rPr>
                        <w:rFonts w:ascii="Trebuchet MS"/>
                        <w:spacing w:val="-14"/>
                        <w:sz w:val="20"/>
                      </w:rPr>
                      <w:t> </w:t>
                    </w:r>
                    <w:r>
                      <w:rPr>
                        <w:rFonts w:ascii="Trebuchet MS"/>
                        <w:spacing w:val="-2"/>
                        <w:w w:val="80"/>
                        <w:sz w:val="20"/>
                      </w:rPr>
                      <w:t>i</w:t>
                    </w:r>
                    <w:r>
                      <w:rPr>
                        <w:rFonts w:ascii="Trebuchet MS"/>
                        <w:spacing w:val="-4"/>
                        <w:w w:val="107"/>
                        <w:sz w:val="20"/>
                      </w:rPr>
                      <w:t>n</w:t>
                    </w:r>
                    <w:r>
                      <w:rPr>
                        <w:rFonts w:ascii="Trebuchet MS"/>
                        <w:spacing w:val="-5"/>
                        <w:w w:val="92"/>
                        <w:sz w:val="20"/>
                      </w:rPr>
                      <w:t>f</w:t>
                    </w:r>
                    <w:r>
                      <w:rPr>
                        <w:rFonts w:ascii="Trebuchet MS"/>
                        <w:spacing w:val="-1"/>
                        <w:w w:val="111"/>
                        <w:sz w:val="20"/>
                      </w:rPr>
                      <w:t>o</w:t>
                    </w:r>
                    <w:r>
                      <w:rPr>
                        <w:rFonts w:ascii="Trebuchet MS"/>
                        <w:spacing w:val="-2"/>
                        <w:w w:val="93"/>
                        <w:sz w:val="20"/>
                      </w:rPr>
                      <w:t>r</w:t>
                    </w:r>
                    <w:r>
                      <w:rPr>
                        <w:rFonts w:ascii="Trebuchet MS"/>
                        <w:spacing w:val="-1"/>
                        <w:w w:val="111"/>
                        <w:sz w:val="20"/>
                      </w:rPr>
                      <w:t>m</w:t>
                    </w:r>
                    <w:r>
                      <w:rPr>
                        <w:rFonts w:ascii="Trebuchet MS"/>
                        <w:spacing w:val="-4"/>
                        <w:w w:val="105"/>
                        <w:sz w:val="20"/>
                      </w:rPr>
                      <w:t>a</w:t>
                    </w:r>
                    <w:r>
                      <w:rPr>
                        <w:rFonts w:ascii="Trebuchet MS"/>
                        <w:spacing w:val="-2"/>
                        <w:w w:val="88"/>
                        <w:sz w:val="20"/>
                      </w:rPr>
                      <w:t>t</w:t>
                    </w:r>
                    <w:r>
                      <w:rPr>
                        <w:rFonts w:ascii="Trebuchet MS"/>
                        <w:spacing w:val="-1"/>
                        <w:w w:val="80"/>
                        <w:sz w:val="20"/>
                      </w:rPr>
                      <w:t>i</w:t>
                    </w:r>
                    <w:r>
                      <w:rPr>
                        <w:rFonts w:ascii="Trebuchet MS"/>
                        <w:spacing w:val="-1"/>
                        <w:w w:val="111"/>
                        <w:sz w:val="20"/>
                      </w:rPr>
                      <w:t>o</w:t>
                    </w:r>
                    <w:r>
                      <w:rPr>
                        <w:rFonts w:ascii="Trebuchet MS"/>
                        <w:w w:val="107"/>
                        <w:sz w:val="20"/>
                      </w:rPr>
                      <w:t>n </w:t>
                    </w:r>
                    <w:r>
                      <w:rPr>
                        <w:rFonts w:ascii="Trebuchet MS"/>
                        <w:spacing w:val="-6"/>
                        <w:w w:val="111"/>
                        <w:sz w:val="20"/>
                      </w:rPr>
                      <w:t>b</w:t>
                    </w:r>
                    <w:r>
                      <w:rPr>
                        <w:rFonts w:ascii="Trebuchet MS"/>
                        <w:w w:val="110"/>
                        <w:sz w:val="20"/>
                      </w:rPr>
                      <w:t>y</w:t>
                    </w:r>
                    <w:r>
                      <w:rPr>
                        <w:rFonts w:ascii="Trebuchet MS"/>
                        <w:spacing w:val="-14"/>
                        <w:sz w:val="20"/>
                      </w:rPr>
                      <w:t> </w:t>
                    </w:r>
                    <w:r>
                      <w:rPr>
                        <w:rFonts w:ascii="Trebuchet MS"/>
                        <w:spacing w:val="1"/>
                        <w:w w:val="105"/>
                        <w:sz w:val="20"/>
                      </w:rPr>
                      <w:t>G</w:t>
                    </w:r>
                    <w:r>
                      <w:rPr>
                        <w:rFonts w:ascii="Trebuchet MS"/>
                        <w:spacing w:val="-6"/>
                        <w:w w:val="111"/>
                        <w:sz w:val="20"/>
                      </w:rPr>
                      <w:t>o</w:t>
                    </w:r>
                    <w:r>
                      <w:rPr>
                        <w:rFonts w:ascii="Trebuchet MS"/>
                        <w:spacing w:val="-6"/>
                        <w:w w:val="109"/>
                        <w:sz w:val="20"/>
                      </w:rPr>
                      <w:t>v</w:t>
                    </w:r>
                    <w:r>
                      <w:rPr>
                        <w:rFonts w:ascii="Trebuchet MS"/>
                        <w:spacing w:val="-1"/>
                        <w:w w:val="108"/>
                        <w:sz w:val="20"/>
                      </w:rPr>
                      <w:t>e</w:t>
                    </w:r>
                    <w:r>
                      <w:rPr>
                        <w:rFonts w:ascii="Trebuchet MS"/>
                        <w:spacing w:val="-2"/>
                        <w:w w:val="93"/>
                        <w:sz w:val="20"/>
                      </w:rPr>
                      <w:t>r</w:t>
                    </w:r>
                    <w:r>
                      <w:rPr>
                        <w:rFonts w:ascii="Trebuchet MS"/>
                        <w:spacing w:val="-2"/>
                        <w:w w:val="107"/>
                        <w:sz w:val="20"/>
                      </w:rPr>
                      <w:t>n</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w w:val="88"/>
                        <w:sz w:val="20"/>
                      </w:rPr>
                      <w:t>t</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2"/>
                        <w:w w:val="105"/>
                        <w:sz w:val="20"/>
                      </w:rPr>
                      <w:t>a</w:t>
                    </w:r>
                    <w:r>
                      <w:rPr>
                        <w:rFonts w:ascii="Trebuchet MS"/>
                        <w:spacing w:val="-3"/>
                        <w:w w:val="112"/>
                        <w:sz w:val="20"/>
                      </w:rPr>
                      <w:t>d</w:t>
                    </w:r>
                    <w:r>
                      <w:rPr>
                        <w:rFonts w:ascii="Trebuchet MS"/>
                        <w:spacing w:val="-6"/>
                        <w:w w:val="109"/>
                        <w:sz w:val="20"/>
                      </w:rPr>
                      <w:t>v</w:t>
                    </w:r>
                    <w:r>
                      <w:rPr>
                        <w:rFonts w:ascii="Trebuchet MS"/>
                        <w:spacing w:val="-1"/>
                        <w:w w:val="111"/>
                        <w:sz w:val="20"/>
                      </w:rPr>
                      <w:t>o</w:t>
                    </w:r>
                    <w:r>
                      <w:rPr>
                        <w:rFonts w:ascii="Trebuchet MS"/>
                        <w:w w:val="111"/>
                        <w:sz w:val="20"/>
                      </w:rPr>
                      <w:t>c</w:t>
                    </w:r>
                    <w:r>
                      <w:rPr>
                        <w:rFonts w:ascii="Trebuchet MS"/>
                        <w:spacing w:val="-2"/>
                        <w:w w:val="108"/>
                        <w:sz w:val="20"/>
                      </w:rPr>
                      <w:t>ac</w:t>
                    </w:r>
                    <w:r>
                      <w:rPr>
                        <w:rFonts w:ascii="Trebuchet MS"/>
                        <w:w w:val="110"/>
                        <w:sz w:val="20"/>
                      </w:rPr>
                      <w:t>y</w:t>
                    </w:r>
                    <w:r>
                      <w:rPr>
                        <w:rFonts w:ascii="Trebuchet MS"/>
                        <w:spacing w:val="-14"/>
                        <w:sz w:val="20"/>
                      </w:rPr>
                      <w:t> </w:t>
                    </w:r>
                    <w:r>
                      <w:rPr>
                        <w:rFonts w:ascii="Trebuchet MS"/>
                        <w:spacing w:val="-1"/>
                        <w:w w:val="111"/>
                        <w:sz w:val="20"/>
                      </w:rPr>
                      <w:t>o</w:t>
                    </w:r>
                    <w:r>
                      <w:rPr>
                        <w:rFonts w:ascii="Trebuchet MS"/>
                        <w:spacing w:val="-4"/>
                        <w:w w:val="93"/>
                        <w:sz w:val="20"/>
                      </w:rPr>
                      <w:t>r</w:t>
                    </w:r>
                    <w:r>
                      <w:rPr>
                        <w:rFonts w:ascii="Trebuchet MS"/>
                        <w:spacing w:val="-1"/>
                        <w:w w:val="124"/>
                        <w:sz w:val="20"/>
                      </w:rPr>
                      <w:t>g</w:t>
                    </w:r>
                    <w:r>
                      <w:rPr>
                        <w:rFonts w:ascii="Trebuchet MS"/>
                        <w:spacing w:val="-2"/>
                        <w:w w:val="105"/>
                        <w:sz w:val="20"/>
                      </w:rPr>
                      <w:t>a</w:t>
                    </w:r>
                    <w:r>
                      <w:rPr>
                        <w:rFonts w:ascii="Trebuchet MS"/>
                        <w:spacing w:val="-2"/>
                        <w:w w:val="107"/>
                        <w:sz w:val="20"/>
                      </w:rPr>
                      <w:t>n</w:t>
                    </w:r>
                    <w:r>
                      <w:rPr>
                        <w:rFonts w:ascii="Trebuchet MS"/>
                        <w:spacing w:val="-1"/>
                        <w:w w:val="80"/>
                        <w:sz w:val="20"/>
                      </w:rPr>
                      <w:t>i</w:t>
                    </w:r>
                    <w:r>
                      <w:rPr>
                        <w:rFonts w:ascii="Trebuchet MS"/>
                        <w:w w:val="122"/>
                        <w:sz w:val="20"/>
                      </w:rPr>
                      <w:t>s</w:t>
                    </w:r>
                    <w:r>
                      <w:rPr>
                        <w:rFonts w:ascii="Trebuchet MS"/>
                        <w:spacing w:val="-4"/>
                        <w:w w:val="105"/>
                        <w:sz w:val="20"/>
                      </w:rPr>
                      <w:t>a</w:t>
                    </w:r>
                    <w:r>
                      <w:rPr>
                        <w:rFonts w:ascii="Trebuchet MS"/>
                        <w:spacing w:val="-2"/>
                        <w:w w:val="88"/>
                        <w:sz w:val="20"/>
                      </w:rPr>
                      <w:t>t</w:t>
                    </w:r>
                    <w:r>
                      <w:rPr>
                        <w:rFonts w:ascii="Trebuchet MS"/>
                        <w:spacing w:val="-1"/>
                        <w:w w:val="80"/>
                        <w:sz w:val="20"/>
                      </w:rPr>
                      <w:t>i</w:t>
                    </w:r>
                    <w:r>
                      <w:rPr>
                        <w:rFonts w:ascii="Trebuchet MS"/>
                        <w:spacing w:val="-1"/>
                        <w:w w:val="111"/>
                        <w:sz w:val="20"/>
                      </w:rPr>
                      <w:t>o</w:t>
                    </w:r>
                    <w:r>
                      <w:rPr>
                        <w:rFonts w:ascii="Trebuchet MS"/>
                        <w:spacing w:val="-2"/>
                        <w:w w:val="107"/>
                        <w:sz w:val="20"/>
                      </w:rPr>
                      <w:t>n</w:t>
                    </w:r>
                    <w:r>
                      <w:rPr>
                        <w:rFonts w:ascii="Trebuchet MS"/>
                        <w:spacing w:val="1"/>
                        <w:w w:val="122"/>
                        <w:sz w:val="20"/>
                      </w:rPr>
                      <w:t>s</w:t>
                    </w:r>
                    <w:r>
                      <w:rPr>
                        <w:rFonts w:ascii="Trebuchet MS"/>
                        <w:w w:val="57"/>
                        <w:sz w:val="20"/>
                      </w:rPr>
                      <w:t>,</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1"/>
                        <w:w w:val="101"/>
                        <w:sz w:val="20"/>
                      </w:rPr>
                      <w:t>J</w:t>
                    </w:r>
                    <w:r>
                      <w:rPr>
                        <w:rFonts w:ascii="Trebuchet MS"/>
                        <w:spacing w:val="-1"/>
                        <w:w w:val="109"/>
                        <w:sz w:val="20"/>
                      </w:rPr>
                      <w:t>u</w:t>
                    </w:r>
                    <w:r>
                      <w:rPr>
                        <w:rFonts w:ascii="Trebuchet MS"/>
                        <w:spacing w:val="-2"/>
                        <w:w w:val="93"/>
                        <w:sz w:val="20"/>
                      </w:rPr>
                      <w:t>r</w:t>
                    </w:r>
                    <w:r>
                      <w:rPr>
                        <w:rFonts w:ascii="Trebuchet MS"/>
                        <w:spacing w:val="-1"/>
                        <w:w w:val="80"/>
                        <w:sz w:val="20"/>
                      </w:rPr>
                      <w:t>i</w:t>
                    </w:r>
                    <w:r>
                      <w:rPr>
                        <w:rFonts w:ascii="Trebuchet MS"/>
                        <w:spacing w:val="-2"/>
                        <w:w w:val="108"/>
                        <w:sz w:val="20"/>
                      </w:rPr>
                      <w:t>e</w:t>
                    </w:r>
                    <w:r>
                      <w:rPr>
                        <w:rFonts w:ascii="Trebuchet MS"/>
                        <w:w w:val="122"/>
                        <w:sz w:val="20"/>
                      </w:rPr>
                      <w:t>s</w:t>
                    </w:r>
                    <w:r>
                      <w:rPr>
                        <w:rFonts w:ascii="Trebuchet MS"/>
                        <w:spacing w:val="-14"/>
                        <w:sz w:val="20"/>
                      </w:rPr>
                      <w:t> </w:t>
                    </w:r>
                    <w:r>
                      <w:rPr>
                        <w:rFonts w:ascii="Trebuchet MS"/>
                        <w:spacing w:val="-1"/>
                        <w:w w:val="115"/>
                        <w:sz w:val="20"/>
                      </w:rPr>
                      <w:t>V</w:t>
                    </w:r>
                    <w:r>
                      <w:rPr>
                        <w:rFonts w:ascii="Trebuchet MS"/>
                        <w:spacing w:val="-1"/>
                        <w:w w:val="80"/>
                        <w:sz w:val="20"/>
                      </w:rPr>
                      <w:t>i</w:t>
                    </w:r>
                    <w:r>
                      <w:rPr>
                        <w:rFonts w:ascii="Trebuchet MS"/>
                        <w:spacing w:val="-2"/>
                        <w:w w:val="111"/>
                        <w:sz w:val="20"/>
                      </w:rPr>
                      <w:t>c</w:t>
                    </w:r>
                    <w:r>
                      <w:rPr>
                        <w:rFonts w:ascii="Trebuchet MS"/>
                        <w:spacing w:val="-4"/>
                        <w:w w:val="88"/>
                        <w:sz w:val="20"/>
                      </w:rPr>
                      <w:t>t</w:t>
                    </w:r>
                    <w:r>
                      <w:rPr>
                        <w:rFonts w:ascii="Trebuchet MS"/>
                        <w:spacing w:val="-1"/>
                        <w:w w:val="111"/>
                        <w:sz w:val="20"/>
                      </w:rPr>
                      <w:t>o</w:t>
                    </w:r>
                    <w:r>
                      <w:rPr>
                        <w:rFonts w:ascii="Trebuchet MS"/>
                        <w:spacing w:val="-2"/>
                        <w:w w:val="93"/>
                        <w:sz w:val="20"/>
                      </w:rPr>
                      <w:t>r</w:t>
                    </w:r>
                    <w:r>
                      <w:rPr>
                        <w:rFonts w:ascii="Trebuchet MS"/>
                        <w:spacing w:val="-1"/>
                        <w:w w:val="80"/>
                        <w:sz w:val="20"/>
                      </w:rPr>
                      <w:t>i</w:t>
                    </w:r>
                    <w:r>
                      <w:rPr>
                        <w:rFonts w:ascii="Trebuchet MS"/>
                        <w:w w:val="105"/>
                        <w:sz w:val="20"/>
                      </w:rPr>
                      <w:t>a</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1"/>
                        <w:w w:val="109"/>
                        <w:sz w:val="20"/>
                      </w:rPr>
                      <w:t>u</w:t>
                    </w:r>
                    <w:r>
                      <w:rPr>
                        <w:rFonts w:ascii="Trebuchet MS"/>
                        <w:spacing w:val="2"/>
                        <w:w w:val="93"/>
                        <w:sz w:val="20"/>
                      </w:rPr>
                      <w:t>r</w:t>
                    </w:r>
                    <w:r>
                      <w:rPr>
                        <w:rFonts w:ascii="Trebuchet MS"/>
                        <w:w w:val="88"/>
                        <w:sz w:val="20"/>
                      </w:rPr>
                      <w:t>t </w:t>
                    </w:r>
                    <w:r>
                      <w:rPr>
                        <w:rFonts w:ascii="Trebuchet MS"/>
                        <w:spacing w:val="-6"/>
                        <w:w w:val="110"/>
                        <w:sz w:val="20"/>
                      </w:rPr>
                      <w:t>w</w:t>
                    </w:r>
                    <w:r>
                      <w:rPr>
                        <w:rFonts w:ascii="Trebuchet MS"/>
                        <w:spacing w:val="-1"/>
                        <w:w w:val="108"/>
                        <w:sz w:val="20"/>
                      </w:rPr>
                      <w:t>e</w:t>
                    </w:r>
                    <w:r>
                      <w:rPr>
                        <w:rFonts w:ascii="Trebuchet MS"/>
                        <w:spacing w:val="-2"/>
                        <w:w w:val="111"/>
                        <w:sz w:val="20"/>
                      </w:rPr>
                      <w:t>b</w:t>
                    </w:r>
                    <w:r>
                      <w:rPr>
                        <w:rFonts w:ascii="Trebuchet MS"/>
                        <w:spacing w:val="-2"/>
                        <w:w w:val="122"/>
                        <w:sz w:val="20"/>
                      </w:rPr>
                      <w:t>s</w:t>
                    </w:r>
                    <w:r>
                      <w:rPr>
                        <w:rFonts w:ascii="Trebuchet MS"/>
                        <w:spacing w:val="-3"/>
                        <w:w w:val="80"/>
                        <w:sz w:val="20"/>
                      </w:rPr>
                      <w:t>i</w:t>
                    </w:r>
                    <w:r>
                      <w:rPr>
                        <w:rFonts w:ascii="Trebuchet MS"/>
                        <w:spacing w:val="-4"/>
                        <w:w w:val="88"/>
                        <w:sz w:val="20"/>
                      </w:rPr>
                      <w:t>t</w:t>
                    </w:r>
                    <w:r>
                      <w:rPr>
                        <w:rFonts w:ascii="Trebuchet MS"/>
                        <w:spacing w:val="-2"/>
                        <w:w w:val="108"/>
                        <w:sz w:val="20"/>
                      </w:rPr>
                      <w:t>e</w:t>
                    </w:r>
                    <w:r>
                      <w:rPr>
                        <w:rFonts w:ascii="Trebuchet MS"/>
                        <w:spacing w:val="1"/>
                        <w:w w:val="122"/>
                        <w:sz w:val="20"/>
                      </w:rPr>
                      <w:t>s</w:t>
                    </w:r>
                    <w:r>
                      <w:rPr>
                        <w:rFonts w:ascii="Trebuchet MS"/>
                        <w:w w:val="55"/>
                        <w:sz w:val="20"/>
                      </w:rPr>
                      <w:t>.</w:t>
                    </w:r>
                  </w:p>
                  <w:p>
                    <w:pPr>
                      <w:spacing w:line="247" w:lineRule="auto" w:before="88"/>
                      <w:ind w:left="0" w:right="0" w:firstLine="0"/>
                      <w:jc w:val="left"/>
                      <w:rPr>
                        <w:rFonts w:ascii="Trebuchet MS"/>
                        <w:sz w:val="20"/>
                      </w:rPr>
                    </w:pPr>
                    <w:r>
                      <w:rPr>
                        <w:rFonts w:ascii="Trebuchet MS"/>
                        <w:spacing w:val="-2"/>
                        <w:w w:val="105"/>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1"/>
                        <w:w w:val="115"/>
                        <w:sz w:val="20"/>
                      </w:rPr>
                      <w:t>V</w:t>
                    </w:r>
                    <w:r>
                      <w:rPr>
                        <w:rFonts w:ascii="Trebuchet MS"/>
                        <w:spacing w:val="-1"/>
                        <w:w w:val="80"/>
                        <w:sz w:val="20"/>
                      </w:rPr>
                      <w:t>i</w:t>
                    </w:r>
                    <w:r>
                      <w:rPr>
                        <w:rFonts w:ascii="Trebuchet MS"/>
                        <w:spacing w:val="-2"/>
                        <w:w w:val="111"/>
                        <w:sz w:val="20"/>
                      </w:rPr>
                      <w:t>c</w:t>
                    </w:r>
                    <w:r>
                      <w:rPr>
                        <w:rFonts w:ascii="Trebuchet MS"/>
                        <w:spacing w:val="-4"/>
                        <w:w w:val="88"/>
                        <w:sz w:val="20"/>
                      </w:rPr>
                      <w:t>t</w:t>
                    </w:r>
                    <w:r>
                      <w:rPr>
                        <w:rFonts w:ascii="Trebuchet MS"/>
                        <w:spacing w:val="-1"/>
                        <w:w w:val="111"/>
                        <w:sz w:val="20"/>
                      </w:rPr>
                      <w:t>o</w:t>
                    </w:r>
                    <w:r>
                      <w:rPr>
                        <w:rFonts w:ascii="Trebuchet MS"/>
                        <w:spacing w:val="-2"/>
                        <w:w w:val="93"/>
                        <w:sz w:val="20"/>
                      </w:rPr>
                      <w:t>r</w:t>
                    </w:r>
                    <w:r>
                      <w:rPr>
                        <w:rFonts w:ascii="Trebuchet MS"/>
                        <w:spacing w:val="-1"/>
                        <w:w w:val="80"/>
                        <w:sz w:val="20"/>
                      </w:rPr>
                      <w:t>i</w:t>
                    </w:r>
                    <w:r>
                      <w:rPr>
                        <w:rFonts w:ascii="Trebuchet MS"/>
                        <w:spacing w:val="-2"/>
                        <w:w w:val="105"/>
                        <w:sz w:val="20"/>
                      </w:rPr>
                      <w:t>a</w:t>
                    </w:r>
                    <w:r>
                      <w:rPr>
                        <w:rFonts w:ascii="Trebuchet MS"/>
                        <w:w w:val="107"/>
                        <w:sz w:val="20"/>
                      </w:rPr>
                      <w:t>n</w:t>
                    </w:r>
                    <w:r>
                      <w:rPr>
                        <w:rFonts w:ascii="Trebuchet MS"/>
                        <w:spacing w:val="-14"/>
                        <w:sz w:val="20"/>
                      </w:rPr>
                      <w:t> </w:t>
                    </w:r>
                    <w:r>
                      <w:rPr>
                        <w:rFonts w:ascii="Trebuchet MS"/>
                        <w:spacing w:val="1"/>
                        <w:w w:val="105"/>
                        <w:sz w:val="20"/>
                      </w:rPr>
                      <w:t>G</w:t>
                    </w:r>
                    <w:r>
                      <w:rPr>
                        <w:rFonts w:ascii="Trebuchet MS"/>
                        <w:spacing w:val="-6"/>
                        <w:w w:val="111"/>
                        <w:sz w:val="20"/>
                      </w:rPr>
                      <w:t>o</w:t>
                    </w:r>
                    <w:r>
                      <w:rPr>
                        <w:rFonts w:ascii="Trebuchet MS"/>
                        <w:spacing w:val="-6"/>
                        <w:w w:val="109"/>
                        <w:sz w:val="20"/>
                      </w:rPr>
                      <w:t>v</w:t>
                    </w:r>
                    <w:r>
                      <w:rPr>
                        <w:rFonts w:ascii="Trebuchet MS"/>
                        <w:spacing w:val="-1"/>
                        <w:w w:val="108"/>
                        <w:sz w:val="20"/>
                      </w:rPr>
                      <w:t>e</w:t>
                    </w:r>
                    <w:r>
                      <w:rPr>
                        <w:rFonts w:ascii="Trebuchet MS"/>
                        <w:spacing w:val="-2"/>
                        <w:w w:val="93"/>
                        <w:sz w:val="20"/>
                      </w:rPr>
                      <w:t>r</w:t>
                    </w:r>
                    <w:r>
                      <w:rPr>
                        <w:rFonts w:ascii="Trebuchet MS"/>
                        <w:spacing w:val="-2"/>
                        <w:w w:val="107"/>
                        <w:sz w:val="20"/>
                      </w:rPr>
                      <w:t>n</w:t>
                    </w:r>
                    <w:r>
                      <w:rPr>
                        <w:rFonts w:ascii="Trebuchet MS"/>
                        <w:spacing w:val="-1"/>
                        <w:w w:val="111"/>
                        <w:sz w:val="20"/>
                      </w:rPr>
                      <w:t>m</w:t>
                    </w:r>
                    <w:r>
                      <w:rPr>
                        <w:rFonts w:ascii="Trebuchet MS"/>
                        <w:spacing w:val="-1"/>
                        <w:w w:val="108"/>
                        <w:sz w:val="20"/>
                      </w:rPr>
                      <w:t>e</w:t>
                    </w:r>
                    <w:r>
                      <w:rPr>
                        <w:rFonts w:ascii="Trebuchet MS"/>
                        <w:spacing w:val="-4"/>
                        <w:w w:val="107"/>
                        <w:sz w:val="20"/>
                      </w:rPr>
                      <w:t>n</w:t>
                    </w:r>
                    <w:r>
                      <w:rPr>
                        <w:rFonts w:ascii="Trebuchet MS"/>
                        <w:w w:val="88"/>
                        <w:sz w:val="20"/>
                      </w:rPr>
                      <w:t>t</w:t>
                    </w:r>
                    <w:r>
                      <w:rPr>
                        <w:rFonts w:ascii="Trebuchet MS"/>
                        <w:spacing w:val="-14"/>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3"/>
                        <w:w w:val="111"/>
                        <w:sz w:val="20"/>
                      </w:rPr>
                      <w:t>c</w:t>
                    </w:r>
                    <w:r>
                      <w:rPr>
                        <w:rFonts w:ascii="Trebuchet MS"/>
                        <w:spacing w:val="-1"/>
                        <w:w w:val="111"/>
                        <w:sz w:val="20"/>
                      </w:rPr>
                      <w:t>o</w:t>
                    </w:r>
                    <w:r>
                      <w:rPr>
                        <w:rFonts w:ascii="Trebuchet MS"/>
                        <w:spacing w:val="-2"/>
                        <w:w w:val="107"/>
                        <w:sz w:val="20"/>
                      </w:rPr>
                      <w:t>n</w:t>
                    </w:r>
                    <w:r>
                      <w:rPr>
                        <w:rFonts w:ascii="Trebuchet MS"/>
                        <w:spacing w:val="-2"/>
                        <w:w w:val="122"/>
                        <w:sz w:val="20"/>
                      </w:rPr>
                      <w:t>s</w:t>
                    </w:r>
                    <w:r>
                      <w:rPr>
                        <w:rFonts w:ascii="Trebuchet MS"/>
                        <w:spacing w:val="-2"/>
                        <w:w w:val="109"/>
                        <w:sz w:val="20"/>
                      </w:rPr>
                      <w:t>u</w:t>
                    </w:r>
                    <w:r>
                      <w:rPr>
                        <w:rFonts w:ascii="Trebuchet MS"/>
                        <w:spacing w:val="-4"/>
                        <w:w w:val="96"/>
                        <w:sz w:val="20"/>
                      </w:rPr>
                      <w:t>l</w:t>
                    </w:r>
                    <w:r>
                      <w:rPr>
                        <w:rFonts w:ascii="Trebuchet MS"/>
                        <w:w w:val="88"/>
                        <w:sz w:val="20"/>
                      </w:rPr>
                      <w:t>t</w:t>
                    </w:r>
                    <w:r>
                      <w:rPr>
                        <w:rFonts w:ascii="Trebuchet MS"/>
                        <w:spacing w:val="-14"/>
                        <w:sz w:val="20"/>
                      </w:rPr>
                      <w:t> </w:t>
                    </w:r>
                    <w:r>
                      <w:rPr>
                        <w:rFonts w:ascii="Trebuchet MS"/>
                        <w:spacing w:val="-2"/>
                        <w:w w:val="110"/>
                        <w:sz w:val="20"/>
                      </w:rPr>
                      <w:t>w</w:t>
                    </w:r>
                    <w:r>
                      <w:rPr>
                        <w:rFonts w:ascii="Trebuchet MS"/>
                        <w:spacing w:val="-3"/>
                        <w:w w:val="80"/>
                        <w:sz w:val="20"/>
                      </w:rPr>
                      <w:t>i</w:t>
                    </w:r>
                    <w:r>
                      <w:rPr>
                        <w:rFonts w:ascii="Trebuchet MS"/>
                        <w:spacing w:val="-2"/>
                        <w:w w:val="88"/>
                        <w:sz w:val="20"/>
                      </w:rPr>
                      <w:t>t</w:t>
                    </w:r>
                    <w:r>
                      <w:rPr>
                        <w:rFonts w:ascii="Trebuchet MS"/>
                        <w:w w:val="107"/>
                        <w:sz w:val="20"/>
                      </w:rPr>
                      <w:t>h</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1"/>
                        <w:w w:val="114"/>
                        <w:sz w:val="20"/>
                      </w:rPr>
                      <w:t>A</w:t>
                    </w:r>
                    <w:r>
                      <w:rPr>
                        <w:rFonts w:ascii="Trebuchet MS"/>
                        <w:spacing w:val="-1"/>
                        <w:w w:val="111"/>
                        <w:sz w:val="20"/>
                      </w:rPr>
                      <w:t>b</w:t>
                    </w:r>
                    <w:r>
                      <w:rPr>
                        <w:rFonts w:ascii="Trebuchet MS"/>
                        <w:spacing w:val="-1"/>
                        <w:w w:val="111"/>
                        <w:sz w:val="20"/>
                      </w:rPr>
                      <w:t>o</w:t>
                    </w:r>
                    <w:r>
                      <w:rPr>
                        <w:rFonts w:ascii="Trebuchet MS"/>
                        <w:spacing w:val="-2"/>
                        <w:w w:val="93"/>
                        <w:sz w:val="20"/>
                      </w:rPr>
                      <w:t>r</w:t>
                    </w:r>
                    <w:r>
                      <w:rPr>
                        <w:rFonts w:ascii="Trebuchet MS"/>
                        <w:spacing w:val="-1"/>
                        <w:w w:val="80"/>
                        <w:sz w:val="20"/>
                      </w:rPr>
                      <w:t>i</w:t>
                    </w:r>
                    <w:r>
                      <w:rPr>
                        <w:rFonts w:ascii="Trebuchet MS"/>
                        <w:spacing w:val="-2"/>
                        <w:w w:val="124"/>
                        <w:sz w:val="20"/>
                      </w:rPr>
                      <w:t>g</w:t>
                    </w:r>
                    <w:r>
                      <w:rPr>
                        <w:rFonts w:ascii="Trebuchet MS"/>
                        <w:spacing w:val="-2"/>
                        <w:w w:val="80"/>
                        <w:sz w:val="20"/>
                      </w:rPr>
                      <w:t>i</w:t>
                    </w:r>
                    <w:r>
                      <w:rPr>
                        <w:rFonts w:ascii="Trebuchet MS"/>
                        <w:spacing w:val="-1"/>
                        <w:w w:val="107"/>
                        <w:sz w:val="20"/>
                      </w:rPr>
                      <w:t>n</w:t>
                    </w:r>
                    <w:r>
                      <w:rPr>
                        <w:rFonts w:ascii="Trebuchet MS"/>
                        <w:spacing w:val="-3"/>
                        <w:w w:val="105"/>
                        <w:sz w:val="20"/>
                      </w:rPr>
                      <w:t>a</w:t>
                    </w:r>
                    <w:r>
                      <w:rPr>
                        <w:rFonts w:ascii="Trebuchet MS"/>
                        <w:w w:val="96"/>
                        <w:sz w:val="20"/>
                      </w:rPr>
                      <w:t>l</w:t>
                    </w:r>
                    <w:r>
                      <w:rPr>
                        <w:rFonts w:ascii="Trebuchet MS"/>
                        <w:spacing w:val="-14"/>
                        <w:sz w:val="20"/>
                      </w:rPr>
                      <w:t> </w:t>
                    </w:r>
                    <w:r>
                      <w:rPr>
                        <w:rFonts w:ascii="Trebuchet MS"/>
                        <w:spacing w:val="-1"/>
                        <w:w w:val="101"/>
                        <w:sz w:val="20"/>
                      </w:rPr>
                      <w:t>J</w:t>
                    </w:r>
                    <w:r>
                      <w:rPr>
                        <w:rFonts w:ascii="Trebuchet MS"/>
                        <w:spacing w:val="-1"/>
                        <w:w w:val="109"/>
                        <w:sz w:val="20"/>
                      </w:rPr>
                      <w:t>u</w:t>
                    </w:r>
                    <w:r>
                      <w:rPr>
                        <w:rFonts w:ascii="Trebuchet MS"/>
                        <w:spacing w:val="-1"/>
                        <w:w w:val="122"/>
                        <w:sz w:val="20"/>
                      </w:rPr>
                      <w:t>s</w:t>
                    </w:r>
                    <w:r>
                      <w:rPr>
                        <w:rFonts w:ascii="Trebuchet MS"/>
                        <w:spacing w:val="-2"/>
                        <w:w w:val="88"/>
                        <w:sz w:val="20"/>
                      </w:rPr>
                      <w:t>t</w:t>
                    </w:r>
                    <w:r>
                      <w:rPr>
                        <w:rFonts w:ascii="Trebuchet MS"/>
                        <w:spacing w:val="-1"/>
                        <w:w w:val="80"/>
                        <w:sz w:val="20"/>
                      </w:rPr>
                      <w:t>i</w:t>
                    </w:r>
                    <w:r>
                      <w:rPr>
                        <w:rFonts w:ascii="Trebuchet MS"/>
                        <w:spacing w:val="-3"/>
                        <w:w w:val="111"/>
                        <w:sz w:val="20"/>
                      </w:rPr>
                      <w:t>c</w:t>
                    </w:r>
                    <w:r>
                      <w:rPr>
                        <w:rFonts w:ascii="Trebuchet MS"/>
                        <w:w w:val="108"/>
                        <w:sz w:val="20"/>
                      </w:rPr>
                      <w:t>e</w:t>
                    </w:r>
                    <w:r>
                      <w:rPr>
                        <w:rFonts w:ascii="Trebuchet MS"/>
                        <w:spacing w:val="-14"/>
                        <w:sz w:val="20"/>
                      </w:rPr>
                      <w:t> </w:t>
                    </w:r>
                    <w:r>
                      <w:rPr>
                        <w:rFonts w:ascii="Trebuchet MS"/>
                        <w:spacing w:val="1"/>
                        <w:w w:val="114"/>
                        <w:sz w:val="20"/>
                      </w:rPr>
                      <w:t>C</w:t>
                    </w:r>
                    <w:r>
                      <w:rPr>
                        <w:rFonts w:ascii="Trebuchet MS"/>
                        <w:spacing w:val="-2"/>
                        <w:w w:val="105"/>
                        <w:sz w:val="20"/>
                      </w:rPr>
                      <w:t>a</w:t>
                    </w:r>
                    <w:r>
                      <w:rPr>
                        <w:rFonts w:ascii="Trebuchet MS"/>
                        <w:spacing w:val="-2"/>
                        <w:w w:val="109"/>
                        <w:sz w:val="20"/>
                      </w:rPr>
                      <w:t>u</w:t>
                    </w:r>
                    <w:r>
                      <w:rPr>
                        <w:rFonts w:ascii="Trebuchet MS"/>
                        <w:spacing w:val="-2"/>
                        <w:w w:val="110"/>
                        <w:sz w:val="20"/>
                      </w:rPr>
                      <w:t>c</w:t>
                    </w:r>
                    <w:r>
                      <w:rPr>
                        <w:rFonts w:ascii="Trebuchet MS"/>
                        <w:spacing w:val="-1"/>
                        <w:w w:val="110"/>
                        <w:sz w:val="20"/>
                      </w:rPr>
                      <w:t>u</w:t>
                    </w:r>
                    <w:r>
                      <w:rPr>
                        <w:rFonts w:ascii="Trebuchet MS"/>
                        <w:spacing w:val="1"/>
                        <w:w w:val="122"/>
                        <w:sz w:val="20"/>
                      </w:rPr>
                      <w:t>s</w:t>
                    </w:r>
                    <w:r>
                      <w:rPr>
                        <w:rFonts w:ascii="Trebuchet MS"/>
                        <w:w w:val="57"/>
                        <w:sz w:val="20"/>
                      </w:rPr>
                      <w:t>, </w:t>
                    </w:r>
                    <w:r>
                      <w:rPr>
                        <w:rFonts w:ascii="Trebuchet MS"/>
                        <w:w w:val="105"/>
                        <w:sz w:val="20"/>
                      </w:rPr>
                      <w:t>Victorian</w:t>
                    </w:r>
                    <w:r>
                      <w:rPr>
                        <w:rFonts w:ascii="Trebuchet MS"/>
                        <w:spacing w:val="-25"/>
                        <w:w w:val="105"/>
                        <w:sz w:val="20"/>
                      </w:rPr>
                      <w:t> </w:t>
                    </w:r>
                    <w:r>
                      <w:rPr>
                        <w:rFonts w:ascii="Trebuchet MS"/>
                        <w:w w:val="105"/>
                        <w:sz w:val="20"/>
                      </w:rPr>
                      <w:t>Aboriginal</w:t>
                    </w:r>
                    <w:r>
                      <w:rPr>
                        <w:rFonts w:ascii="Trebuchet MS"/>
                        <w:spacing w:val="-25"/>
                        <w:w w:val="105"/>
                        <w:sz w:val="20"/>
                      </w:rPr>
                      <w:t> </w:t>
                    </w:r>
                    <w:r>
                      <w:rPr>
                        <w:rFonts w:ascii="Trebuchet MS"/>
                        <w:w w:val="105"/>
                        <w:sz w:val="20"/>
                      </w:rPr>
                      <w:t>Community</w:t>
                    </w:r>
                    <w:r>
                      <w:rPr>
                        <w:rFonts w:ascii="Trebuchet MS"/>
                        <w:spacing w:val="-24"/>
                        <w:w w:val="105"/>
                        <w:sz w:val="20"/>
                      </w:rPr>
                      <w:t> </w:t>
                    </w:r>
                    <w:r>
                      <w:rPr>
                        <w:rFonts w:ascii="Trebuchet MS"/>
                        <w:w w:val="105"/>
                        <w:sz w:val="20"/>
                      </w:rPr>
                      <w:t>Controlled</w:t>
                    </w:r>
                    <w:r>
                      <w:rPr>
                        <w:rFonts w:ascii="Trebuchet MS"/>
                        <w:spacing w:val="-25"/>
                        <w:w w:val="105"/>
                        <w:sz w:val="20"/>
                      </w:rPr>
                      <w:t> </w:t>
                    </w:r>
                    <w:r>
                      <w:rPr>
                        <w:rFonts w:ascii="Trebuchet MS"/>
                        <w:w w:val="105"/>
                        <w:sz w:val="20"/>
                      </w:rPr>
                      <w:t>Health</w:t>
                    </w:r>
                    <w:r>
                      <w:rPr>
                        <w:rFonts w:ascii="Trebuchet MS"/>
                        <w:spacing w:val="-24"/>
                        <w:w w:val="105"/>
                        <w:sz w:val="20"/>
                      </w:rPr>
                      <w:t> </w:t>
                    </w:r>
                    <w:r>
                      <w:rPr>
                        <w:rFonts w:ascii="Trebuchet MS"/>
                        <w:w w:val="105"/>
                        <w:sz w:val="20"/>
                      </w:rPr>
                      <w:t>Organisation</w:t>
                    </w:r>
                    <w:r>
                      <w:rPr>
                        <w:rFonts w:ascii="Trebuchet MS"/>
                        <w:spacing w:val="-25"/>
                        <w:w w:val="105"/>
                        <w:sz w:val="20"/>
                      </w:rPr>
                      <w:t> </w:t>
                    </w:r>
                    <w:r>
                      <w:rPr>
                        <w:rFonts w:ascii="Trebuchet MS"/>
                        <w:w w:val="105"/>
                        <w:sz w:val="20"/>
                      </w:rPr>
                      <w:t>and</w:t>
                    </w:r>
                    <w:r>
                      <w:rPr>
                        <w:rFonts w:ascii="Trebuchet MS"/>
                        <w:spacing w:val="-24"/>
                        <w:w w:val="105"/>
                        <w:sz w:val="20"/>
                      </w:rPr>
                      <w:t> </w:t>
                    </w:r>
                    <w:r>
                      <w:rPr>
                        <w:rFonts w:ascii="Trebuchet MS"/>
                        <w:w w:val="105"/>
                        <w:sz w:val="20"/>
                      </w:rPr>
                      <w:t>Victorian Aboriginal</w:t>
                    </w:r>
                    <w:r>
                      <w:rPr>
                        <w:rFonts w:ascii="Trebuchet MS"/>
                        <w:spacing w:val="-16"/>
                        <w:w w:val="105"/>
                        <w:sz w:val="20"/>
                      </w:rPr>
                      <w:t> </w:t>
                    </w:r>
                    <w:r>
                      <w:rPr>
                        <w:rFonts w:ascii="Trebuchet MS"/>
                        <w:w w:val="105"/>
                        <w:sz w:val="20"/>
                      </w:rPr>
                      <w:t>Legal</w:t>
                    </w:r>
                    <w:r>
                      <w:rPr>
                        <w:rFonts w:ascii="Trebuchet MS"/>
                        <w:spacing w:val="-16"/>
                        <w:w w:val="105"/>
                        <w:sz w:val="20"/>
                      </w:rPr>
                      <w:t> </w:t>
                    </w:r>
                    <w:r>
                      <w:rPr>
                        <w:rFonts w:ascii="Trebuchet MS"/>
                        <w:w w:val="105"/>
                        <w:sz w:val="20"/>
                      </w:rPr>
                      <w:t>Service</w:t>
                    </w:r>
                    <w:r>
                      <w:rPr>
                        <w:rFonts w:ascii="Trebuchet MS"/>
                        <w:spacing w:val="-16"/>
                        <w:w w:val="105"/>
                        <w:sz w:val="20"/>
                      </w:rPr>
                      <w:t> </w:t>
                    </w:r>
                    <w:r>
                      <w:rPr>
                        <w:rFonts w:ascii="Trebuchet MS"/>
                        <w:w w:val="105"/>
                        <w:sz w:val="20"/>
                      </w:rPr>
                      <w:t>about</w:t>
                    </w:r>
                    <w:r>
                      <w:rPr>
                        <w:rFonts w:ascii="Trebuchet MS"/>
                        <w:spacing w:val="-16"/>
                        <w:w w:val="105"/>
                        <w:sz w:val="20"/>
                      </w:rPr>
                      <w:t> </w:t>
                    </w:r>
                    <w:r>
                      <w:rPr>
                        <w:rFonts w:ascii="Trebuchet MS"/>
                        <w:w w:val="105"/>
                        <w:sz w:val="20"/>
                      </w:rPr>
                      <w:t>the</w:t>
                    </w:r>
                    <w:r>
                      <w:rPr>
                        <w:rFonts w:ascii="Trebuchet MS"/>
                        <w:spacing w:val="-16"/>
                        <w:w w:val="105"/>
                        <w:sz w:val="20"/>
                      </w:rPr>
                      <w:t> </w:t>
                    </w:r>
                    <w:r>
                      <w:rPr>
                        <w:rFonts w:ascii="Trebuchet MS"/>
                        <w:w w:val="105"/>
                        <w:sz w:val="20"/>
                      </w:rPr>
                      <w:t>best</w:t>
                    </w:r>
                    <w:r>
                      <w:rPr>
                        <w:rFonts w:ascii="Trebuchet MS"/>
                        <w:spacing w:val="-16"/>
                        <w:w w:val="105"/>
                        <w:sz w:val="20"/>
                      </w:rPr>
                      <w:t> </w:t>
                    </w:r>
                    <w:r>
                      <w:rPr>
                        <w:rFonts w:ascii="Trebuchet MS"/>
                        <w:spacing w:val="-4"/>
                        <w:w w:val="105"/>
                        <w:sz w:val="20"/>
                      </w:rPr>
                      <w:t>way</w:t>
                    </w:r>
                    <w:r>
                      <w:rPr>
                        <w:rFonts w:ascii="Trebuchet MS"/>
                        <w:spacing w:val="-15"/>
                        <w:w w:val="105"/>
                        <w:sz w:val="20"/>
                      </w:rPr>
                      <w:t> </w:t>
                    </w:r>
                    <w:r>
                      <w:rPr>
                        <w:rFonts w:ascii="Trebuchet MS"/>
                        <w:w w:val="105"/>
                        <w:sz w:val="20"/>
                      </w:rPr>
                      <w:t>of</w:t>
                    </w:r>
                    <w:r>
                      <w:rPr>
                        <w:rFonts w:ascii="Trebuchet MS"/>
                        <w:spacing w:val="-16"/>
                        <w:w w:val="105"/>
                        <w:sz w:val="20"/>
                      </w:rPr>
                      <w:t> </w:t>
                    </w:r>
                    <w:r>
                      <w:rPr>
                        <w:rFonts w:ascii="Trebuchet MS"/>
                        <w:w w:val="105"/>
                        <w:sz w:val="20"/>
                      </w:rPr>
                      <w:t>ensuring</w:t>
                    </w:r>
                    <w:r>
                      <w:rPr>
                        <w:rFonts w:ascii="Trebuchet MS"/>
                        <w:spacing w:val="-16"/>
                        <w:w w:val="105"/>
                        <w:sz w:val="20"/>
                      </w:rPr>
                      <w:t> </w:t>
                    </w:r>
                    <w:r>
                      <w:rPr>
                        <w:rFonts w:ascii="Trebuchet MS"/>
                        <w:spacing w:val="-3"/>
                        <w:w w:val="105"/>
                        <w:sz w:val="20"/>
                      </w:rPr>
                      <w:t>culturally</w:t>
                    </w:r>
                    <w:r>
                      <w:rPr>
                        <w:rFonts w:ascii="Trebuchet MS"/>
                        <w:spacing w:val="-16"/>
                        <w:w w:val="105"/>
                        <w:sz w:val="20"/>
                      </w:rPr>
                      <w:t> </w:t>
                    </w:r>
                    <w:r>
                      <w:rPr>
                        <w:rFonts w:ascii="Trebuchet MS"/>
                        <w:w w:val="105"/>
                        <w:sz w:val="20"/>
                      </w:rPr>
                      <w:t>appropriate </w:t>
                    </w:r>
                    <w:r>
                      <w:rPr>
                        <w:rFonts w:ascii="Trebuchet MS"/>
                        <w:spacing w:val="-3"/>
                        <w:w w:val="105"/>
                        <w:sz w:val="20"/>
                      </w:rPr>
                      <w:t>information</w:t>
                    </w:r>
                    <w:r>
                      <w:rPr>
                        <w:rFonts w:ascii="Trebuchet MS"/>
                        <w:spacing w:val="-15"/>
                        <w:w w:val="105"/>
                        <w:sz w:val="20"/>
                      </w:rPr>
                      <w:t> </w:t>
                    </w:r>
                    <w:r>
                      <w:rPr>
                        <w:rFonts w:ascii="Trebuchet MS"/>
                        <w:w w:val="105"/>
                        <w:sz w:val="20"/>
                      </w:rPr>
                      <w:t>reaches</w:t>
                    </w:r>
                    <w:r>
                      <w:rPr>
                        <w:rFonts w:ascii="Trebuchet MS"/>
                        <w:spacing w:val="-15"/>
                        <w:w w:val="105"/>
                        <w:sz w:val="20"/>
                      </w:rPr>
                      <w:t> </w:t>
                    </w:r>
                    <w:r>
                      <w:rPr>
                        <w:rFonts w:ascii="Trebuchet MS"/>
                        <w:w w:val="105"/>
                        <w:sz w:val="20"/>
                      </w:rPr>
                      <w:t>the</w:t>
                    </w:r>
                    <w:r>
                      <w:rPr>
                        <w:rFonts w:ascii="Trebuchet MS"/>
                        <w:spacing w:val="-15"/>
                        <w:w w:val="105"/>
                        <w:sz w:val="20"/>
                      </w:rPr>
                      <w:t> </w:t>
                    </w:r>
                    <w:r>
                      <w:rPr>
                        <w:rFonts w:ascii="Trebuchet MS"/>
                        <w:w w:val="105"/>
                        <w:sz w:val="20"/>
                      </w:rPr>
                      <w:t>Aboriginal</w:t>
                    </w:r>
                    <w:r>
                      <w:rPr>
                        <w:rFonts w:ascii="Trebuchet MS"/>
                        <w:spacing w:val="-15"/>
                        <w:w w:val="105"/>
                        <w:sz w:val="20"/>
                      </w:rPr>
                      <w:t> </w:t>
                    </w:r>
                    <w:r>
                      <w:rPr>
                        <w:rFonts w:ascii="Trebuchet MS"/>
                        <w:w w:val="105"/>
                        <w:sz w:val="20"/>
                      </w:rPr>
                      <w:t>community</w:t>
                    </w:r>
                    <w:r>
                      <w:rPr>
                        <w:rFonts w:ascii="Trebuchet MS"/>
                        <w:spacing w:val="-15"/>
                        <w:w w:val="105"/>
                        <w:sz w:val="20"/>
                      </w:rPr>
                      <w:t> </w:t>
                    </w:r>
                    <w:r>
                      <w:rPr>
                        <w:rFonts w:ascii="Trebuchet MS"/>
                        <w:w w:val="105"/>
                        <w:sz w:val="20"/>
                      </w:rPr>
                      <w:t>to</w:t>
                    </w:r>
                    <w:r>
                      <w:rPr>
                        <w:rFonts w:ascii="Trebuchet MS"/>
                        <w:spacing w:val="-15"/>
                        <w:w w:val="105"/>
                        <w:sz w:val="20"/>
                      </w:rPr>
                      <w:t> </w:t>
                    </w:r>
                    <w:r>
                      <w:rPr>
                        <w:rFonts w:ascii="Trebuchet MS"/>
                        <w:w w:val="105"/>
                        <w:sz w:val="20"/>
                      </w:rPr>
                      <w:t>encourage</w:t>
                    </w:r>
                    <w:r>
                      <w:rPr>
                        <w:rFonts w:ascii="Trebuchet MS"/>
                        <w:spacing w:val="-15"/>
                        <w:w w:val="105"/>
                        <w:sz w:val="20"/>
                      </w:rPr>
                      <w:t> </w:t>
                    </w:r>
                    <w:r>
                      <w:rPr>
                        <w:rFonts w:ascii="Trebuchet MS"/>
                        <w:w w:val="105"/>
                        <w:sz w:val="20"/>
                      </w:rPr>
                      <w:t>Aboriginal</w:t>
                    </w:r>
                    <w:r>
                      <w:rPr>
                        <w:rFonts w:ascii="Trebuchet MS"/>
                        <w:spacing w:val="-15"/>
                        <w:w w:val="105"/>
                        <w:sz w:val="20"/>
                      </w:rPr>
                      <w:t> </w:t>
                    </w:r>
                    <w:r>
                      <w:rPr>
                        <w:rFonts w:ascii="Trebuchet MS"/>
                        <w:w w:val="105"/>
                        <w:sz w:val="20"/>
                      </w:rPr>
                      <w:t>people </w:t>
                    </w:r>
                    <w:r>
                      <w:rPr>
                        <w:rFonts w:ascii="Trebuchet MS"/>
                        <w:spacing w:val="-2"/>
                        <w:w w:val="93"/>
                        <w:sz w:val="20"/>
                      </w:rPr>
                      <w:t>f</w:t>
                    </w:r>
                    <w:r>
                      <w:rPr>
                        <w:rFonts w:ascii="Trebuchet MS"/>
                        <w:spacing w:val="-4"/>
                        <w:w w:val="93"/>
                        <w:sz w:val="20"/>
                      </w:rPr>
                      <w:t>r</w:t>
                    </w:r>
                    <w:r>
                      <w:rPr>
                        <w:rFonts w:ascii="Trebuchet MS"/>
                        <w:spacing w:val="-1"/>
                        <w:w w:val="111"/>
                        <w:sz w:val="20"/>
                      </w:rPr>
                      <w:t>o</w:t>
                    </w:r>
                    <w:r>
                      <w:rPr>
                        <w:rFonts w:ascii="Trebuchet MS"/>
                        <w:w w:val="111"/>
                        <w:sz w:val="20"/>
                      </w:rPr>
                      <w:t>m</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122"/>
                        <w:sz w:val="20"/>
                      </w:rPr>
                      <w:t>s</w:t>
                    </w:r>
                    <w:r>
                      <w:rPr>
                        <w:rFonts w:ascii="Trebuchet MS"/>
                        <w:spacing w:val="-1"/>
                        <w:w w:val="109"/>
                        <w:sz w:val="20"/>
                      </w:rPr>
                      <w:t>u</w:t>
                    </w:r>
                    <w:r>
                      <w:rPr>
                        <w:rFonts w:ascii="Trebuchet MS"/>
                        <w:spacing w:val="-3"/>
                        <w:w w:val="111"/>
                        <w:sz w:val="20"/>
                      </w:rPr>
                      <w:t>b</w:t>
                    </w:r>
                    <w:r>
                      <w:rPr>
                        <w:rFonts w:ascii="Trebuchet MS"/>
                        <w:spacing w:val="-1"/>
                        <w:w w:val="64"/>
                        <w:sz w:val="20"/>
                      </w:rPr>
                      <w:t>j</w:t>
                    </w:r>
                    <w:r>
                      <w:rPr>
                        <w:rFonts w:ascii="Trebuchet MS"/>
                        <w:w w:val="108"/>
                        <w:sz w:val="20"/>
                      </w:rPr>
                      <w:t>e</w:t>
                    </w:r>
                    <w:r>
                      <w:rPr>
                        <w:rFonts w:ascii="Trebuchet MS"/>
                        <w:spacing w:val="-2"/>
                        <w:w w:val="111"/>
                        <w:sz w:val="20"/>
                      </w:rPr>
                      <w:t>c</w:t>
                    </w:r>
                    <w:r>
                      <w:rPr>
                        <w:rFonts w:ascii="Trebuchet MS"/>
                        <w:w w:val="88"/>
                        <w:sz w:val="20"/>
                      </w:rPr>
                      <w:t>t</w:t>
                    </w:r>
                    <w:r>
                      <w:rPr>
                        <w:rFonts w:ascii="Trebuchet MS"/>
                        <w:spacing w:val="-14"/>
                        <w:sz w:val="20"/>
                      </w:rPr>
                      <w:t> </w:t>
                    </w:r>
                    <w:r>
                      <w:rPr>
                        <w:rFonts w:ascii="Trebuchet MS"/>
                        <w:spacing w:val="-2"/>
                        <w:w w:val="124"/>
                        <w:sz w:val="20"/>
                      </w:rPr>
                      <w:t>g</w:t>
                    </w:r>
                    <w:r>
                      <w:rPr>
                        <w:rFonts w:ascii="Trebuchet MS"/>
                        <w:spacing w:val="-4"/>
                        <w:w w:val="93"/>
                        <w:sz w:val="20"/>
                      </w:rPr>
                      <w:t>r</w:t>
                    </w:r>
                    <w:r>
                      <w:rPr>
                        <w:rFonts w:ascii="Trebuchet MS"/>
                        <w:spacing w:val="-1"/>
                        <w:w w:val="111"/>
                        <w:sz w:val="20"/>
                      </w:rPr>
                      <w:t>o</w:t>
                    </w:r>
                    <w:r>
                      <w:rPr>
                        <w:rFonts w:ascii="Trebuchet MS"/>
                        <w:spacing w:val="-1"/>
                        <w:w w:val="109"/>
                        <w:sz w:val="20"/>
                      </w:rPr>
                      <w:t>u</w:t>
                    </w:r>
                    <w:r>
                      <w:rPr>
                        <w:rFonts w:ascii="Trebuchet MS"/>
                        <w:spacing w:val="-2"/>
                        <w:w w:val="116"/>
                        <w:sz w:val="20"/>
                      </w:rPr>
                      <w:t>p</w:t>
                    </w:r>
                    <w:r>
                      <w:rPr>
                        <w:rFonts w:ascii="Trebuchet MS"/>
                        <w:w w:val="116"/>
                        <w:sz w:val="20"/>
                      </w:rPr>
                      <w:t>s</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1"/>
                        <w:w w:val="122"/>
                        <w:sz w:val="20"/>
                      </w:rPr>
                      <w:t>s</w:t>
                    </w:r>
                    <w:r>
                      <w:rPr>
                        <w:rFonts w:ascii="Trebuchet MS"/>
                        <w:spacing w:val="-1"/>
                        <w:w w:val="108"/>
                        <w:sz w:val="20"/>
                      </w:rPr>
                      <w:t>e</w:t>
                    </w:r>
                    <w:r>
                      <w:rPr>
                        <w:rFonts w:ascii="Trebuchet MS"/>
                        <w:spacing w:val="3"/>
                        <w:w w:val="93"/>
                        <w:sz w:val="20"/>
                      </w:rPr>
                      <w:t>r</w:t>
                    </w:r>
                    <w:r>
                      <w:rPr>
                        <w:rFonts w:ascii="Trebuchet MS"/>
                        <w:spacing w:val="-6"/>
                        <w:w w:val="109"/>
                        <w:sz w:val="20"/>
                      </w:rPr>
                      <w:t>v</w:t>
                    </w:r>
                    <w:r>
                      <w:rPr>
                        <w:rFonts w:ascii="Trebuchet MS"/>
                        <w:w w:val="108"/>
                        <w:sz w:val="20"/>
                      </w:rPr>
                      <w:t>e</w:t>
                    </w:r>
                    <w:r>
                      <w:rPr>
                        <w:rFonts w:ascii="Trebuchet MS"/>
                        <w:spacing w:val="-14"/>
                        <w:sz w:val="20"/>
                      </w:rPr>
                      <w:t> </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1"/>
                        <w:w w:val="115"/>
                        <w:sz w:val="20"/>
                      </w:rPr>
                      <w:t>V</w:t>
                    </w:r>
                    <w:r>
                      <w:rPr>
                        <w:rFonts w:ascii="Trebuchet MS"/>
                        <w:spacing w:val="-1"/>
                        <w:w w:val="80"/>
                        <w:sz w:val="20"/>
                      </w:rPr>
                      <w:t>i</w:t>
                    </w:r>
                    <w:r>
                      <w:rPr>
                        <w:rFonts w:ascii="Trebuchet MS"/>
                        <w:spacing w:val="-2"/>
                        <w:w w:val="111"/>
                        <w:sz w:val="20"/>
                      </w:rPr>
                      <w:t>c</w:t>
                    </w:r>
                    <w:r>
                      <w:rPr>
                        <w:rFonts w:ascii="Trebuchet MS"/>
                        <w:spacing w:val="-4"/>
                        <w:w w:val="88"/>
                        <w:sz w:val="20"/>
                      </w:rPr>
                      <w:t>t</w:t>
                    </w:r>
                    <w:r>
                      <w:rPr>
                        <w:rFonts w:ascii="Trebuchet MS"/>
                        <w:spacing w:val="-1"/>
                        <w:w w:val="111"/>
                        <w:sz w:val="20"/>
                      </w:rPr>
                      <w:t>o</w:t>
                    </w:r>
                    <w:r>
                      <w:rPr>
                        <w:rFonts w:ascii="Trebuchet MS"/>
                        <w:spacing w:val="-2"/>
                        <w:w w:val="93"/>
                        <w:sz w:val="20"/>
                      </w:rPr>
                      <w:t>r</w:t>
                    </w:r>
                    <w:r>
                      <w:rPr>
                        <w:rFonts w:ascii="Trebuchet MS"/>
                        <w:spacing w:val="-1"/>
                        <w:w w:val="80"/>
                        <w:sz w:val="20"/>
                      </w:rPr>
                      <w:t>i</w:t>
                    </w:r>
                    <w:r>
                      <w:rPr>
                        <w:rFonts w:ascii="Trebuchet MS"/>
                        <w:spacing w:val="-2"/>
                        <w:w w:val="105"/>
                        <w:sz w:val="20"/>
                      </w:rPr>
                      <w:t>a</w:t>
                    </w:r>
                    <w:r>
                      <w:rPr>
                        <w:rFonts w:ascii="Trebuchet MS"/>
                        <w:w w:val="107"/>
                        <w:sz w:val="20"/>
                      </w:rPr>
                      <w:t>n</w:t>
                    </w:r>
                    <w:r>
                      <w:rPr>
                        <w:rFonts w:ascii="Trebuchet MS"/>
                        <w:spacing w:val="-14"/>
                        <w:sz w:val="20"/>
                      </w:rPr>
                      <w:t> </w:t>
                    </w:r>
                    <w:r>
                      <w:rPr>
                        <w:rFonts w:ascii="Trebuchet MS"/>
                        <w:spacing w:val="-2"/>
                        <w:w w:val="64"/>
                        <w:sz w:val="20"/>
                      </w:rPr>
                      <w:t>j</w:t>
                    </w:r>
                    <w:r>
                      <w:rPr>
                        <w:rFonts w:ascii="Trebuchet MS"/>
                        <w:spacing w:val="-1"/>
                        <w:w w:val="109"/>
                        <w:sz w:val="20"/>
                      </w:rPr>
                      <w:t>u</w:t>
                    </w:r>
                    <w:r>
                      <w:rPr>
                        <w:rFonts w:ascii="Trebuchet MS"/>
                        <w:spacing w:val="-2"/>
                        <w:w w:val="93"/>
                        <w:sz w:val="20"/>
                      </w:rPr>
                      <w:t>r</w:t>
                    </w:r>
                    <w:r>
                      <w:rPr>
                        <w:rFonts w:ascii="Trebuchet MS"/>
                        <w:spacing w:val="-1"/>
                        <w:w w:val="80"/>
                        <w:sz w:val="20"/>
                      </w:rPr>
                      <w:t>i</w:t>
                    </w:r>
                    <w:r>
                      <w:rPr>
                        <w:rFonts w:ascii="Trebuchet MS"/>
                        <w:spacing w:val="-2"/>
                        <w:w w:val="108"/>
                        <w:sz w:val="20"/>
                      </w:rPr>
                      <w:t>e</w:t>
                    </w:r>
                    <w:r>
                      <w:rPr>
                        <w:rFonts w:ascii="Trebuchet MS"/>
                        <w:spacing w:val="1"/>
                        <w:w w:val="122"/>
                        <w:sz w:val="20"/>
                      </w:rPr>
                      <w:t>s</w:t>
                    </w:r>
                    <w:r>
                      <w:rPr>
                        <w:rFonts w:ascii="Trebuchet MS"/>
                        <w:w w:val="55"/>
                        <w:sz w:val="20"/>
                      </w:rPr>
                      <w:t>.</w:t>
                    </w:r>
                  </w:p>
                </w:txbxContent>
              </v:textbox>
              <w10:wrap type="none"/>
            </v:shape>
            <v:shape style="position:absolute;left:1814;top:1343;width:291;height:1280" type="#_x0000_t202" filled="false" stroked="false">
              <v:textbox inset="0,0,0,0">
                <w:txbxContent>
                  <w:p>
                    <w:pPr>
                      <w:spacing w:before="0"/>
                      <w:ind w:left="0" w:right="0" w:firstLine="0"/>
                      <w:jc w:val="left"/>
                      <w:rPr>
                        <w:rFonts w:ascii="Trebuchet MS"/>
                        <w:sz w:val="20"/>
                      </w:rPr>
                    </w:pPr>
                    <w:r>
                      <w:rPr>
                        <w:rFonts w:ascii="Trebuchet MS"/>
                        <w:spacing w:val="-2"/>
                        <w:w w:val="106"/>
                        <w:sz w:val="20"/>
                      </w:rPr>
                      <w:t>4</w:t>
                    </w:r>
                    <w:r>
                      <w:rPr>
                        <w:rFonts w:ascii="Trebuchet MS"/>
                        <w:w w:val="114"/>
                        <w:sz w:val="20"/>
                      </w:rPr>
                      <w:t>8</w:t>
                    </w:r>
                    <w:r>
                      <w:rPr>
                        <w:rFonts w:ascii="Trebuchet MS"/>
                        <w:w w:val="55"/>
                        <w:sz w:val="20"/>
                      </w:rPr>
                      <w:t>.</w:t>
                    </w:r>
                  </w:p>
                  <w:p>
                    <w:pPr>
                      <w:spacing w:line="240" w:lineRule="auto" w:before="0"/>
                      <w:rPr>
                        <w:sz w:val="22"/>
                      </w:rPr>
                    </w:pPr>
                  </w:p>
                  <w:p>
                    <w:pPr>
                      <w:spacing w:line="240" w:lineRule="auto" w:before="0"/>
                      <w:rPr>
                        <w:sz w:val="22"/>
                      </w:rPr>
                    </w:pPr>
                  </w:p>
                  <w:p>
                    <w:pPr>
                      <w:spacing w:line="240" w:lineRule="auto" w:before="7"/>
                      <w:rPr>
                        <w:sz w:val="14"/>
                      </w:rPr>
                    </w:pPr>
                  </w:p>
                  <w:p>
                    <w:pPr>
                      <w:spacing w:before="1"/>
                      <w:ind w:left="0" w:right="0" w:firstLine="0"/>
                      <w:jc w:val="left"/>
                      <w:rPr>
                        <w:rFonts w:ascii="Trebuchet MS"/>
                        <w:sz w:val="20"/>
                      </w:rPr>
                    </w:pPr>
                    <w:r>
                      <w:rPr>
                        <w:rFonts w:ascii="Trebuchet MS"/>
                        <w:sz w:val="20"/>
                      </w:rPr>
                      <w:t>49.</w:t>
                    </w:r>
                  </w:p>
                </w:txbxContent>
              </v:textbox>
              <w10:wrap type="none"/>
            </v:shape>
            <v:shape style="position:absolute;left:1587;top:310;width:8731;height:783" type="#_x0000_t202" filled="true" fillcolor="#dddfe4" stroked="false">
              <v:textbox inset="0,0,0,0">
                <w:txbxContent>
                  <w:p>
                    <w:pPr>
                      <w:spacing w:before="158"/>
                      <w:ind w:left="226" w:right="0" w:firstLine="0"/>
                      <w:jc w:val="left"/>
                      <w:rPr>
                        <w:rFonts w:ascii="Raleway ExtraBold"/>
                        <w:b/>
                        <w:sz w:val="32"/>
                      </w:rPr>
                    </w:pPr>
                    <w:r>
                      <w:rPr>
                        <w:rFonts w:ascii="Raleway ExtraBold"/>
                        <w:b/>
                        <w:color w:val="37617A"/>
                        <w:sz w:val="32"/>
                      </w:rPr>
                      <w:t>Recommendations</w:t>
                    </w:r>
                  </w:p>
                </w:txbxContent>
              </v:textbox>
              <v:fill type="solid"/>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0"/>
        </w:rPr>
      </w:pPr>
      <w:r>
        <w:rPr/>
        <w:pict>
          <v:line style="position:absolute;mso-position-horizontal-relative:page;mso-position-vertical-relative:paragraph;z-index:11552;mso-wrap-distance-left:0;mso-wrap-distance-right:0" from="79.370102pt,9.6552pt" to="515.905102pt,9.6552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21"/>
        </w:numPr>
        <w:tabs>
          <w:tab w:pos="1761" w:val="left" w:leader="none"/>
          <w:tab w:pos="1762" w:val="left" w:leader="none"/>
        </w:tabs>
        <w:spacing w:line="170" w:lineRule="exact" w:before="21" w:after="0"/>
        <w:ind w:left="1761" w:right="0" w:hanging="794"/>
        <w:jc w:val="left"/>
        <w:rPr>
          <w:sz w:val="13"/>
        </w:rPr>
      </w:pPr>
      <w:r>
        <w:rPr>
          <w:spacing w:val="2"/>
          <w:sz w:val="13"/>
        </w:rPr>
        <w:t>Ibid.</w:t>
      </w:r>
    </w:p>
    <w:p>
      <w:pPr>
        <w:pStyle w:val="ListParagraph"/>
        <w:numPr>
          <w:ilvl w:val="0"/>
          <w:numId w:val="121"/>
        </w:numPr>
        <w:tabs>
          <w:tab w:pos="1760"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121"/>
        </w:numPr>
        <w:tabs>
          <w:tab w:pos="1761" w:val="left" w:leader="none"/>
          <w:tab w:pos="1762" w:val="left" w:leader="none"/>
        </w:tabs>
        <w:spacing w:line="160" w:lineRule="exact" w:before="0" w:after="0"/>
        <w:ind w:left="1761" w:right="0" w:hanging="794"/>
        <w:jc w:val="left"/>
        <w:rPr>
          <w:sz w:val="13"/>
        </w:rPr>
      </w:pPr>
      <w:r>
        <w:rPr>
          <w:spacing w:val="2"/>
          <w:sz w:val="13"/>
        </w:rPr>
        <w:t>Ibid.</w:t>
      </w:r>
    </w:p>
    <w:p>
      <w:pPr>
        <w:pStyle w:val="ListParagraph"/>
        <w:numPr>
          <w:ilvl w:val="0"/>
          <w:numId w:val="121"/>
        </w:numPr>
        <w:tabs>
          <w:tab w:pos="1761" w:val="left" w:leader="none"/>
          <w:tab w:pos="1762" w:val="left" w:leader="none"/>
        </w:tabs>
        <w:spacing w:line="170" w:lineRule="exact" w:before="0" w:after="0"/>
        <w:ind w:left="1761" w:right="0" w:hanging="794"/>
        <w:jc w:val="left"/>
        <w:rPr>
          <w:sz w:val="13"/>
        </w:rPr>
      </w:pPr>
      <w:r>
        <w:rPr>
          <w:spacing w:val="2"/>
          <w:sz w:val="13"/>
        </w:rPr>
        <w:t>Ibid.</w:t>
      </w:r>
    </w:p>
    <w:p>
      <w:pPr>
        <w:pStyle w:val="BodyText"/>
        <w:spacing w:before="13"/>
        <w:rPr>
          <w:sz w:val="26"/>
        </w:rPr>
      </w:pPr>
      <w:r>
        <w:rPr/>
        <w:br w:type="column"/>
      </w:r>
      <w:r>
        <w:rPr>
          <w:sz w:val="26"/>
        </w:rPr>
      </w:r>
    </w:p>
    <w:p>
      <w:pPr>
        <w:spacing w:before="0"/>
        <w:ind w:left="967" w:right="0" w:firstLine="0"/>
        <w:jc w:val="left"/>
        <w:rPr>
          <w:b/>
          <w:sz w:val="24"/>
        </w:rPr>
      </w:pPr>
      <w:r>
        <w:rPr>
          <w:b/>
          <w:color w:val="37617A"/>
          <w:sz w:val="24"/>
        </w:rPr>
        <w:t>217</w:t>
      </w:r>
    </w:p>
    <w:p>
      <w:pPr>
        <w:spacing w:after="0"/>
        <w:jc w:val="left"/>
        <w:rPr>
          <w:sz w:val="24"/>
        </w:rPr>
        <w:sectPr>
          <w:type w:val="continuous"/>
          <w:pgSz w:w="11910" w:h="16840"/>
          <w:pgMar w:top="620" w:bottom="280" w:left="620" w:right="380"/>
          <w:cols w:num="2" w:equalWidth="0">
            <w:col w:w="2060" w:space="7274"/>
            <w:col w:w="1576"/>
          </w:cols>
        </w:sectPr>
      </w:pPr>
    </w:p>
    <w:p>
      <w:pPr>
        <w:pStyle w:val="BodyText"/>
        <w:rPr>
          <w:b/>
        </w:rPr>
      </w:pPr>
      <w:r>
        <w:rPr/>
        <w:pict>
          <v:rect style="position:absolute;margin-left:79.370003pt;margin-top:0pt;width:515.906000pt;height:841.890015pt;mso-position-horizontal-relative:page;mso-position-vertical-relative:page;z-index:13624" filled="true" fillcolor="#37617a" stroked="false">
            <v:fill type="solid"/>
            <w10:wrap type="none"/>
          </v:rect>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4"/>
        </w:rPr>
      </w:pPr>
    </w:p>
    <w:p>
      <w:pPr>
        <w:spacing w:before="49"/>
        <w:ind w:left="100" w:right="0" w:firstLine="0"/>
        <w:jc w:val="left"/>
        <w:rPr>
          <w:b/>
          <w:sz w:val="24"/>
        </w:rPr>
      </w:pPr>
      <w:r>
        <w:rPr>
          <w:b/>
          <w:color w:val="37617A"/>
          <w:sz w:val="24"/>
        </w:rPr>
        <w:t>218</w:t>
      </w:r>
    </w:p>
    <w:p>
      <w:pPr>
        <w:spacing w:after="0"/>
        <w:jc w:val="left"/>
        <w:rPr>
          <w:sz w:val="24"/>
        </w:rPr>
        <w:sectPr>
          <w:headerReference w:type="even" r:id="rId265"/>
          <w:pgSz w:w="11910" w:h="16840"/>
          <w:pgMar w:header="0" w:footer="0" w:top="1580" w:bottom="280" w:left="620" w:right="380"/>
        </w:sectPr>
      </w:pPr>
    </w:p>
    <w:p>
      <w:pPr>
        <w:pStyle w:val="BodyText"/>
        <w:rPr>
          <w:b/>
          <w:sz w:val="11"/>
        </w:rPr>
      </w:pPr>
      <w:r>
        <w:rPr/>
        <w:pict>
          <v:rect style="position:absolute;margin-left:0pt;margin-top:0pt;width:595.276001pt;height:841.890015pt;mso-position-horizontal-relative:page;mso-position-vertical-relative:page;z-index:-346648" filled="true" fillcolor="#37617a" stroked="false">
            <v:fill type="solid"/>
            <w10:wrap type="none"/>
          </v:rect>
        </w:pict>
      </w:r>
    </w:p>
    <w:p>
      <w:pPr>
        <w:spacing w:line="688" w:lineRule="exact" w:before="0"/>
        <w:ind w:left="0" w:right="745" w:firstLine="0"/>
        <w:jc w:val="right"/>
        <w:rPr>
          <w:rFonts w:ascii="Raleway SemiBold"/>
          <w:b/>
          <w:sz w:val="50"/>
        </w:rPr>
      </w:pPr>
      <w:r>
        <w:rPr/>
        <w:pict>
          <v:shape style="position:absolute;margin-left:416.928497pt;margin-top:-3.3143pt;width:122.85pt;height:152.65pt;mso-position-horizontal-relative:page;mso-position-vertical-relative:paragraph;z-index:-346624" type="#_x0000_t202" filled="false" stroked="false">
            <v:textbox inset="0,0,0,0">
              <w:txbxContent>
                <w:p>
                  <w:pPr>
                    <w:spacing w:line="3052" w:lineRule="exact" w:before="0"/>
                    <w:ind w:left="0" w:right="0" w:firstLine="0"/>
                    <w:jc w:val="left"/>
                    <w:rPr>
                      <w:b/>
                      <w:sz w:val="260"/>
                    </w:rPr>
                  </w:pPr>
                  <w:r>
                    <w:rPr>
                      <w:b/>
                      <w:color w:val="FFFFFF"/>
                      <w:spacing w:val="-180"/>
                      <w:sz w:val="260"/>
                    </w:rPr>
                    <w:t>19</w:t>
                  </w:r>
                </w:p>
              </w:txbxContent>
            </v:textbox>
            <w10:wrap type="none"/>
          </v:shape>
        </w:pict>
      </w:r>
      <w:r>
        <w:rPr>
          <w:rFonts w:ascii="Raleway SemiBold"/>
          <w:b/>
          <w:color w:val="FFFFFF"/>
          <w:sz w:val="50"/>
        </w:rPr>
        <w:t>CHAPTER</w: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spacing w:line="180" w:lineRule="auto" w:before="320"/>
        <w:ind w:left="967" w:right="3129" w:firstLine="0"/>
        <w:jc w:val="left"/>
        <w:rPr>
          <w:rFonts w:ascii="Raleway ExtraBold"/>
          <w:b/>
          <w:sz w:val="88"/>
        </w:rPr>
      </w:pPr>
      <w:r>
        <w:rPr>
          <w:rFonts w:ascii="Raleway ExtraBold"/>
          <w:b/>
          <w:color w:val="FFFFFF"/>
          <w:spacing w:val="-22"/>
          <w:sz w:val="88"/>
        </w:rPr>
        <w:t>Funding </w:t>
      </w:r>
      <w:r>
        <w:rPr>
          <w:rFonts w:ascii="Raleway ExtraBold"/>
          <w:b/>
          <w:color w:val="FFFFFF"/>
          <w:spacing w:val="-23"/>
          <w:sz w:val="88"/>
        </w:rPr>
        <w:t>reforms </w:t>
      </w:r>
      <w:r>
        <w:rPr>
          <w:rFonts w:ascii="Raleway ExtraBold"/>
          <w:b/>
          <w:color w:val="FFFFFF"/>
          <w:spacing w:val="-14"/>
          <w:sz w:val="88"/>
        </w:rPr>
        <w:t>and </w:t>
      </w:r>
      <w:r>
        <w:rPr>
          <w:rFonts w:ascii="Raleway ExtraBold"/>
          <w:b/>
          <w:color w:val="FFFFFF"/>
          <w:spacing w:val="-24"/>
          <w:sz w:val="88"/>
        </w:rPr>
        <w:t>monitoring </w:t>
      </w:r>
      <w:r>
        <w:rPr>
          <w:rFonts w:ascii="Raleway ExtraBold"/>
          <w:b/>
          <w:color w:val="FFFFFF"/>
          <w:spacing w:val="-22"/>
          <w:sz w:val="88"/>
        </w:rPr>
        <w:t>implementation</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0" w:after="1"/>
        <w:rPr>
          <w:rFonts w:ascii="Raleway ExtraBold"/>
          <w:b/>
          <w:sz w:val="14"/>
        </w:rPr>
      </w:pPr>
    </w:p>
    <w:tbl>
      <w:tblPr>
        <w:tblW w:w="0" w:type="auto"/>
        <w:jc w:val="left"/>
        <w:tblInd w:w="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7367"/>
      </w:tblGrid>
      <w:tr>
        <w:trPr>
          <w:trHeight w:val="336" w:hRule="atLeast"/>
        </w:trPr>
        <w:tc>
          <w:tcPr>
            <w:tcW w:w="510" w:type="dxa"/>
            <w:tcBorders>
              <w:bottom w:val="single" w:sz="18" w:space="0" w:color="8F9DAD"/>
            </w:tcBorders>
            <w:shd w:val="clear" w:color="auto" w:fill="37617A"/>
          </w:tcPr>
          <w:p>
            <w:pPr>
              <w:pStyle w:val="TableParagraph"/>
              <w:spacing w:line="282" w:lineRule="exact" w:before="0"/>
              <w:ind w:left="0"/>
              <w:rPr>
                <w:b/>
                <w:sz w:val="24"/>
              </w:rPr>
            </w:pPr>
            <w:hyperlink w:history="true" w:anchor="_bookmark160">
              <w:r>
                <w:rPr>
                  <w:b/>
                  <w:color w:val="FFFFFF"/>
                  <w:sz w:val="24"/>
                </w:rPr>
                <w:t>220</w:t>
              </w:r>
            </w:hyperlink>
          </w:p>
        </w:tc>
        <w:tc>
          <w:tcPr>
            <w:tcW w:w="7367" w:type="dxa"/>
            <w:shd w:val="clear" w:color="auto" w:fill="37617A"/>
          </w:tcPr>
          <w:p>
            <w:pPr>
              <w:pStyle w:val="TableParagraph"/>
              <w:spacing w:line="282" w:lineRule="exact" w:before="0"/>
              <w:ind w:left="56"/>
              <w:rPr>
                <w:b/>
                <w:sz w:val="24"/>
              </w:rPr>
            </w:pPr>
            <w:hyperlink w:history="true" w:anchor="_bookmark160">
              <w:r>
                <w:rPr>
                  <w:b/>
                  <w:color w:val="FFFFFF"/>
                  <w:sz w:val="24"/>
                </w:rPr>
                <w:t>Overview</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60">
              <w:r>
                <w:rPr>
                  <w:b/>
                  <w:color w:val="FFFFFF"/>
                  <w:sz w:val="24"/>
                </w:rPr>
                <w:t>220</w:t>
              </w:r>
            </w:hyperlink>
          </w:p>
        </w:tc>
        <w:tc>
          <w:tcPr>
            <w:tcW w:w="7367" w:type="dxa"/>
            <w:shd w:val="clear" w:color="auto" w:fill="37617A"/>
          </w:tcPr>
          <w:p>
            <w:pPr>
              <w:pStyle w:val="TableParagraph"/>
              <w:ind w:left="56"/>
              <w:rPr>
                <w:b/>
                <w:sz w:val="24"/>
              </w:rPr>
            </w:pPr>
            <w:hyperlink w:history="true" w:anchor="_bookmark160">
              <w:r>
                <w:rPr>
                  <w:b/>
                  <w:color w:val="FFFFFF"/>
                  <w:sz w:val="24"/>
                </w:rPr>
                <w:t>Funding reforms</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63">
              <w:r>
                <w:rPr>
                  <w:b/>
                  <w:color w:val="FFFFFF"/>
                  <w:sz w:val="24"/>
                </w:rPr>
                <w:t>223</w:t>
              </w:r>
            </w:hyperlink>
          </w:p>
        </w:tc>
        <w:tc>
          <w:tcPr>
            <w:tcW w:w="7367" w:type="dxa"/>
            <w:shd w:val="clear" w:color="auto" w:fill="37617A"/>
          </w:tcPr>
          <w:p>
            <w:pPr>
              <w:pStyle w:val="TableParagraph"/>
              <w:ind w:left="56"/>
              <w:rPr>
                <w:b/>
                <w:sz w:val="24"/>
              </w:rPr>
            </w:pPr>
            <w:hyperlink w:history="true" w:anchor="_bookmark163">
              <w:r>
                <w:rPr>
                  <w:b/>
                  <w:color w:val="FFFFFF"/>
                  <w:sz w:val="24"/>
                </w:rPr>
                <w:t>Monitoring the implementation of reforms</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64">
              <w:r>
                <w:rPr>
                  <w:b/>
                  <w:color w:val="FFFFFF"/>
                  <w:sz w:val="24"/>
                </w:rPr>
                <w:t>224</w:t>
              </w:r>
            </w:hyperlink>
          </w:p>
        </w:tc>
        <w:tc>
          <w:tcPr>
            <w:tcW w:w="7367" w:type="dxa"/>
            <w:shd w:val="clear" w:color="auto" w:fill="37617A"/>
          </w:tcPr>
          <w:p>
            <w:pPr>
              <w:pStyle w:val="TableParagraph"/>
              <w:ind w:left="56"/>
              <w:rPr>
                <w:b/>
                <w:sz w:val="24"/>
              </w:rPr>
            </w:pPr>
            <w:hyperlink w:history="true" w:anchor="_bookmark164">
              <w:r>
                <w:rPr>
                  <w:b/>
                  <w:color w:val="FFFFFF"/>
                  <w:sz w:val="24"/>
                </w:rPr>
                <w:t>Collecting and publishing data about the operation of new </w:t>
              </w:r>
              <w:r>
                <w:rPr>
                  <w:b/>
                  <w:color w:val="FFFFFF"/>
                  <w:spacing w:val="-3"/>
                  <w:sz w:val="24"/>
                </w:rPr>
                <w:t>laws</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65">
              <w:r>
                <w:rPr>
                  <w:b/>
                  <w:color w:val="FFFFFF"/>
                  <w:sz w:val="24"/>
                </w:rPr>
                <w:t>226</w:t>
              </w:r>
            </w:hyperlink>
          </w:p>
        </w:tc>
        <w:tc>
          <w:tcPr>
            <w:tcW w:w="7367" w:type="dxa"/>
            <w:shd w:val="clear" w:color="auto" w:fill="37617A"/>
          </w:tcPr>
          <w:p>
            <w:pPr>
              <w:pStyle w:val="TableParagraph"/>
              <w:ind w:left="56"/>
              <w:rPr>
                <w:b/>
                <w:sz w:val="24"/>
              </w:rPr>
            </w:pPr>
            <w:hyperlink w:history="true" w:anchor="_bookmark165">
              <w:r>
                <w:rPr>
                  <w:b/>
                  <w:color w:val="FFFFFF"/>
                  <w:sz w:val="24"/>
                </w:rPr>
                <w:t>Juries Victoria should survey jurors about their experiences</w:t>
              </w:r>
            </w:hyperlink>
          </w:p>
        </w:tc>
      </w:tr>
      <w:tr>
        <w:trPr>
          <w:trHeight w:val="428" w:hRule="atLeast"/>
        </w:trPr>
        <w:tc>
          <w:tcPr>
            <w:tcW w:w="510" w:type="dxa"/>
            <w:tcBorders>
              <w:top w:val="single" w:sz="18" w:space="0" w:color="8F9DAD"/>
              <w:bottom w:val="single" w:sz="18" w:space="0" w:color="8F9DAD"/>
            </w:tcBorders>
            <w:shd w:val="clear" w:color="auto" w:fill="37617A"/>
          </w:tcPr>
          <w:p>
            <w:pPr>
              <w:pStyle w:val="TableParagraph"/>
              <w:ind w:left="0"/>
              <w:rPr>
                <w:b/>
                <w:sz w:val="24"/>
              </w:rPr>
            </w:pPr>
            <w:hyperlink w:history="true" w:anchor="_bookmark165">
              <w:r>
                <w:rPr>
                  <w:b/>
                  <w:color w:val="FFFFFF"/>
                  <w:sz w:val="24"/>
                </w:rPr>
                <w:t>226</w:t>
              </w:r>
            </w:hyperlink>
          </w:p>
        </w:tc>
        <w:tc>
          <w:tcPr>
            <w:tcW w:w="7367" w:type="dxa"/>
            <w:shd w:val="clear" w:color="auto" w:fill="37617A"/>
          </w:tcPr>
          <w:p>
            <w:pPr>
              <w:pStyle w:val="TableParagraph"/>
              <w:ind w:left="56"/>
              <w:rPr>
                <w:b/>
                <w:sz w:val="24"/>
              </w:rPr>
            </w:pPr>
            <w:hyperlink w:history="true" w:anchor="_bookmark165">
              <w:r>
                <w:rPr>
                  <w:b/>
                  <w:color w:val="FFFFFF"/>
                  <w:sz w:val="24"/>
                </w:rPr>
                <w:t>Reviewing new laws after five years of operation</w:t>
              </w:r>
            </w:hyperlink>
          </w:p>
        </w:tc>
      </w:tr>
    </w:tbl>
    <w:p>
      <w:pPr>
        <w:spacing w:after="0"/>
        <w:rPr>
          <w:sz w:val="24"/>
        </w:rPr>
        <w:sectPr>
          <w:headerReference w:type="default" r:id="rId266"/>
          <w:headerReference w:type="even" r:id="rId267"/>
          <w:pgSz w:w="11910" w:h="16840"/>
          <w:pgMar w:header="0" w:footer="0" w:top="480" w:bottom="280" w:left="620" w:right="380"/>
        </w:sectPr>
      </w:pPr>
    </w:p>
    <w:p>
      <w:pPr>
        <w:pStyle w:val="BodyText"/>
        <w:rPr>
          <w:rFonts w:ascii="Raleway ExtraBold"/>
          <w:b/>
        </w:rPr>
      </w:pPr>
    </w:p>
    <w:p>
      <w:pPr>
        <w:pStyle w:val="BodyText"/>
        <w:rPr>
          <w:rFonts w:ascii="Raleway ExtraBold"/>
          <w:b/>
        </w:rPr>
      </w:pPr>
    </w:p>
    <w:p>
      <w:pPr>
        <w:pStyle w:val="BodyText"/>
        <w:spacing w:before="2"/>
        <w:rPr>
          <w:rFonts w:ascii="Raleway ExtraBold"/>
          <w:b/>
          <w:sz w:val="25"/>
        </w:rPr>
      </w:pPr>
    </w:p>
    <w:p>
      <w:pPr>
        <w:pStyle w:val="ListParagraph"/>
        <w:numPr>
          <w:ilvl w:val="0"/>
          <w:numId w:val="12"/>
        </w:numPr>
        <w:tabs>
          <w:tab w:pos="1113" w:val="left" w:leader="none"/>
        </w:tabs>
        <w:spacing w:line="184" w:lineRule="auto" w:before="129" w:after="0"/>
        <w:ind w:left="230" w:right="3252" w:firstLine="0"/>
        <w:jc w:val="left"/>
        <w:rPr>
          <w:rFonts w:ascii="Raleway ExtraBold"/>
          <w:b/>
          <w:sz w:val="56"/>
        </w:rPr>
      </w:pPr>
      <w:bookmarkStart w:name="19. Funding reforms and monitoring imple" w:id="380"/>
      <w:bookmarkEnd w:id="380"/>
      <w:r>
        <w:rPr/>
      </w:r>
      <w:bookmarkStart w:name="Overview" w:id="381"/>
      <w:bookmarkEnd w:id="381"/>
      <w:r>
        <w:rPr/>
      </w:r>
      <w:bookmarkStart w:name="Funding reforms" w:id="382"/>
      <w:bookmarkEnd w:id="382"/>
      <w:r>
        <w:rPr/>
      </w:r>
      <w:bookmarkStart w:name="_bookmark160" w:id="383"/>
      <w:bookmarkEnd w:id="383"/>
      <w:r>
        <w:rPr/>
      </w:r>
      <w:bookmarkStart w:name="_bookmark160" w:id="384"/>
      <w:bookmarkEnd w:id="384"/>
      <w:r>
        <w:rPr>
          <w:rFonts w:ascii="Raleway ExtraBold"/>
          <w:b/>
          <w:color w:val="37617A"/>
          <w:spacing w:val="-5"/>
          <w:sz w:val="56"/>
        </w:rPr>
        <w:t>F</w:t>
      </w:r>
      <w:r>
        <w:rPr>
          <w:rFonts w:ascii="Raleway ExtraBold"/>
          <w:b/>
          <w:color w:val="37617A"/>
          <w:spacing w:val="-5"/>
          <w:sz w:val="56"/>
        </w:rPr>
        <w:t>unding </w:t>
      </w:r>
      <w:r>
        <w:rPr>
          <w:rFonts w:ascii="Raleway ExtraBold"/>
          <w:b/>
          <w:color w:val="37617A"/>
          <w:spacing w:val="-4"/>
          <w:sz w:val="56"/>
        </w:rPr>
        <w:t>reforms </w:t>
      </w:r>
      <w:r>
        <w:rPr>
          <w:rFonts w:ascii="Raleway ExtraBold"/>
          <w:b/>
          <w:color w:val="37617A"/>
          <w:sz w:val="56"/>
        </w:rPr>
        <w:t>and </w:t>
      </w:r>
      <w:r>
        <w:rPr>
          <w:rFonts w:ascii="Raleway ExtraBold"/>
          <w:b/>
          <w:color w:val="37617A"/>
          <w:spacing w:val="-5"/>
          <w:sz w:val="56"/>
        </w:rPr>
        <w:t>monitoring</w:t>
      </w:r>
      <w:r>
        <w:rPr>
          <w:rFonts w:ascii="Raleway ExtraBold"/>
          <w:b/>
          <w:color w:val="37617A"/>
          <w:spacing w:val="13"/>
          <w:sz w:val="56"/>
        </w:rPr>
        <w:t> </w:t>
      </w:r>
      <w:r>
        <w:rPr>
          <w:rFonts w:ascii="Raleway ExtraBold"/>
          <w:b/>
          <w:color w:val="37617A"/>
          <w:spacing w:val="-5"/>
          <w:sz w:val="56"/>
        </w:rPr>
        <w:t>implementation</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spacing w:before="13"/>
        <w:rPr>
          <w:rFonts w:ascii="Raleway ExtraBold"/>
          <w:b/>
          <w:sz w:val="14"/>
        </w:rPr>
      </w:pPr>
      <w:r>
        <w:rPr/>
        <w:pict>
          <v:line style="position:absolute;mso-position-horizontal-relative:page;mso-position-vertical-relative:paragraph;z-index:11648;mso-wrap-distance-left:0;mso-wrap-distance-right:0" from="79.370102pt,12.58884pt" to="515.905102pt,12.58884pt" stroked="true" strokeweight=".5pt" strokecolor="#8f9dad">
            <v:stroke dashstyle="solid"/>
            <w10:wrap type="topAndBottom"/>
          </v:line>
        </w:pict>
      </w:r>
    </w:p>
    <w:p>
      <w:pPr>
        <w:pStyle w:val="BodyText"/>
        <w:spacing w:before="11"/>
        <w:rPr>
          <w:rFonts w:ascii="Raleway ExtraBold"/>
          <w:b/>
          <w:sz w:val="8"/>
        </w:rPr>
      </w:pPr>
    </w:p>
    <w:p>
      <w:pPr>
        <w:spacing w:line="247" w:lineRule="auto" w:before="101"/>
        <w:ind w:left="1826" w:right="2064" w:hanging="1"/>
        <w:jc w:val="center"/>
        <w:rPr>
          <w:rFonts w:ascii="Trebuchet MS" w:hAnsi="Trebuchet MS"/>
          <w:sz w:val="19"/>
        </w:rPr>
      </w:pPr>
      <w:r>
        <w:rPr>
          <w:rFonts w:ascii="Trebuchet MS" w:hAnsi="Trebuchet MS"/>
          <w:i/>
          <w:color w:val="37617A"/>
          <w:spacing w:val="-6"/>
          <w:w w:val="105"/>
          <w:sz w:val="20"/>
        </w:rPr>
        <w:t>We</w:t>
      </w:r>
      <w:r>
        <w:rPr>
          <w:rFonts w:ascii="Trebuchet MS" w:hAnsi="Trebuchet MS"/>
          <w:i/>
          <w:color w:val="37617A"/>
          <w:spacing w:val="-36"/>
          <w:w w:val="105"/>
          <w:sz w:val="20"/>
        </w:rPr>
        <w:t> </w:t>
      </w:r>
      <w:r>
        <w:rPr>
          <w:rFonts w:ascii="Trebuchet MS" w:hAnsi="Trebuchet MS"/>
          <w:i/>
          <w:color w:val="37617A"/>
          <w:w w:val="105"/>
          <w:sz w:val="20"/>
        </w:rPr>
        <w:t>will</w:t>
      </w:r>
      <w:r>
        <w:rPr>
          <w:rFonts w:ascii="Trebuchet MS" w:hAnsi="Trebuchet MS"/>
          <w:i/>
          <w:color w:val="37617A"/>
          <w:spacing w:val="-36"/>
          <w:w w:val="105"/>
          <w:sz w:val="20"/>
        </w:rPr>
        <w:t> </w:t>
      </w:r>
      <w:r>
        <w:rPr>
          <w:rFonts w:ascii="Trebuchet MS" w:hAnsi="Trebuchet MS"/>
          <w:i/>
          <w:color w:val="37617A"/>
          <w:w w:val="105"/>
          <w:sz w:val="20"/>
        </w:rPr>
        <w:t>improve</w:t>
      </w:r>
      <w:r>
        <w:rPr>
          <w:rFonts w:ascii="Trebuchet MS" w:hAnsi="Trebuchet MS"/>
          <w:i/>
          <w:color w:val="37617A"/>
          <w:spacing w:val="-35"/>
          <w:w w:val="105"/>
          <w:sz w:val="20"/>
        </w:rPr>
        <w:t> </w:t>
      </w:r>
      <w:r>
        <w:rPr>
          <w:rFonts w:ascii="Trebuchet MS" w:hAnsi="Trebuchet MS"/>
          <w:i/>
          <w:color w:val="37617A"/>
          <w:w w:val="105"/>
          <w:sz w:val="20"/>
        </w:rPr>
        <w:t>the</w:t>
      </w:r>
      <w:r>
        <w:rPr>
          <w:rFonts w:ascii="Trebuchet MS" w:hAnsi="Trebuchet MS"/>
          <w:i/>
          <w:color w:val="37617A"/>
          <w:spacing w:val="-36"/>
          <w:w w:val="105"/>
          <w:sz w:val="20"/>
        </w:rPr>
        <w:t> </w:t>
      </w:r>
      <w:r>
        <w:rPr>
          <w:rFonts w:ascii="Trebuchet MS" w:hAnsi="Trebuchet MS"/>
          <w:i/>
          <w:color w:val="37617A"/>
          <w:w w:val="105"/>
          <w:sz w:val="20"/>
        </w:rPr>
        <w:t>collection</w:t>
      </w:r>
      <w:r>
        <w:rPr>
          <w:rFonts w:ascii="Trebuchet MS" w:hAnsi="Trebuchet MS"/>
          <w:i/>
          <w:color w:val="37617A"/>
          <w:spacing w:val="-36"/>
          <w:w w:val="105"/>
          <w:sz w:val="20"/>
        </w:rPr>
        <w:t> </w:t>
      </w:r>
      <w:r>
        <w:rPr>
          <w:rFonts w:ascii="Trebuchet MS" w:hAnsi="Trebuchet MS"/>
          <w:i/>
          <w:color w:val="37617A"/>
          <w:w w:val="105"/>
          <w:sz w:val="20"/>
        </w:rPr>
        <w:t>and</w:t>
      </w:r>
      <w:r>
        <w:rPr>
          <w:rFonts w:ascii="Trebuchet MS" w:hAnsi="Trebuchet MS"/>
          <w:i/>
          <w:color w:val="37617A"/>
          <w:spacing w:val="-35"/>
          <w:w w:val="105"/>
          <w:sz w:val="20"/>
        </w:rPr>
        <w:t> </w:t>
      </w:r>
      <w:r>
        <w:rPr>
          <w:rFonts w:ascii="Trebuchet MS" w:hAnsi="Trebuchet MS"/>
          <w:i/>
          <w:color w:val="37617A"/>
          <w:w w:val="105"/>
          <w:sz w:val="20"/>
        </w:rPr>
        <w:t>use</w:t>
      </w:r>
      <w:r>
        <w:rPr>
          <w:rFonts w:ascii="Trebuchet MS" w:hAnsi="Trebuchet MS"/>
          <w:i/>
          <w:color w:val="37617A"/>
          <w:spacing w:val="-36"/>
          <w:w w:val="105"/>
          <w:sz w:val="20"/>
        </w:rPr>
        <w:t> </w:t>
      </w:r>
      <w:r>
        <w:rPr>
          <w:rFonts w:ascii="Trebuchet MS" w:hAnsi="Trebuchet MS"/>
          <w:i/>
          <w:color w:val="37617A"/>
          <w:w w:val="105"/>
          <w:sz w:val="20"/>
        </w:rPr>
        <w:t>of</w:t>
      </w:r>
      <w:r>
        <w:rPr>
          <w:rFonts w:ascii="Trebuchet MS" w:hAnsi="Trebuchet MS"/>
          <w:i/>
          <w:color w:val="37617A"/>
          <w:spacing w:val="-35"/>
          <w:w w:val="105"/>
          <w:sz w:val="20"/>
        </w:rPr>
        <w:t> </w:t>
      </w:r>
      <w:r>
        <w:rPr>
          <w:rFonts w:ascii="Trebuchet MS" w:hAnsi="Trebuchet MS"/>
          <w:i/>
          <w:color w:val="37617A"/>
          <w:w w:val="105"/>
          <w:sz w:val="20"/>
        </w:rPr>
        <w:t>data</w:t>
      </w:r>
      <w:r>
        <w:rPr>
          <w:rFonts w:ascii="Trebuchet MS" w:hAnsi="Trebuchet MS"/>
          <w:i/>
          <w:color w:val="37617A"/>
          <w:spacing w:val="-36"/>
          <w:w w:val="105"/>
          <w:sz w:val="20"/>
        </w:rPr>
        <w:t> </w:t>
      </w:r>
      <w:r>
        <w:rPr>
          <w:rFonts w:ascii="Trebuchet MS" w:hAnsi="Trebuchet MS"/>
          <w:i/>
          <w:color w:val="37617A"/>
          <w:w w:val="105"/>
          <w:sz w:val="20"/>
        </w:rPr>
        <w:t>about</w:t>
      </w:r>
      <w:r>
        <w:rPr>
          <w:rFonts w:ascii="Trebuchet MS" w:hAnsi="Trebuchet MS"/>
          <w:i/>
          <w:color w:val="37617A"/>
          <w:spacing w:val="-36"/>
          <w:w w:val="105"/>
          <w:sz w:val="20"/>
        </w:rPr>
        <w:t> </w:t>
      </w:r>
      <w:r>
        <w:rPr>
          <w:rFonts w:ascii="Trebuchet MS" w:hAnsi="Trebuchet MS"/>
          <w:i/>
          <w:color w:val="37617A"/>
          <w:w w:val="105"/>
          <w:sz w:val="20"/>
        </w:rPr>
        <w:t>people</w:t>
      </w:r>
      <w:r>
        <w:rPr>
          <w:rFonts w:ascii="Trebuchet MS" w:hAnsi="Trebuchet MS"/>
          <w:i/>
          <w:color w:val="37617A"/>
          <w:spacing w:val="-35"/>
          <w:w w:val="105"/>
          <w:sz w:val="20"/>
        </w:rPr>
        <w:t> </w:t>
      </w:r>
      <w:r>
        <w:rPr>
          <w:rFonts w:ascii="Trebuchet MS" w:hAnsi="Trebuchet MS"/>
          <w:i/>
          <w:color w:val="37617A"/>
          <w:w w:val="105"/>
          <w:sz w:val="20"/>
        </w:rPr>
        <w:t>with</w:t>
      </w:r>
      <w:r>
        <w:rPr>
          <w:rFonts w:ascii="Trebuchet MS" w:hAnsi="Trebuchet MS"/>
          <w:i/>
          <w:color w:val="37617A"/>
          <w:spacing w:val="-36"/>
          <w:w w:val="105"/>
          <w:sz w:val="20"/>
        </w:rPr>
        <w:t> </w:t>
      </w:r>
      <w:r>
        <w:rPr>
          <w:rFonts w:ascii="Trebuchet MS" w:hAnsi="Trebuchet MS"/>
          <w:i/>
          <w:color w:val="37617A"/>
          <w:w w:val="105"/>
          <w:sz w:val="20"/>
        </w:rPr>
        <w:t>disability </w:t>
      </w:r>
      <w:r>
        <w:rPr>
          <w:rFonts w:ascii="Trebuchet MS" w:hAnsi="Trebuchet MS"/>
          <w:i/>
          <w:color w:val="37617A"/>
          <w:w w:val="105"/>
          <w:sz w:val="20"/>
        </w:rPr>
        <w:t>across</w:t>
      </w:r>
      <w:r>
        <w:rPr>
          <w:rFonts w:ascii="Trebuchet MS" w:hAnsi="Trebuchet MS"/>
          <w:i/>
          <w:color w:val="37617A"/>
          <w:spacing w:val="-35"/>
          <w:w w:val="105"/>
          <w:sz w:val="20"/>
        </w:rPr>
        <w:t> </w:t>
      </w:r>
      <w:r>
        <w:rPr>
          <w:rFonts w:ascii="Trebuchet MS" w:hAnsi="Trebuchet MS"/>
          <w:i/>
          <w:color w:val="37617A"/>
          <w:w w:val="105"/>
          <w:sz w:val="20"/>
        </w:rPr>
        <w:t>government</w:t>
      </w:r>
      <w:r>
        <w:rPr>
          <w:rFonts w:ascii="Trebuchet MS" w:hAnsi="Trebuchet MS"/>
          <w:i/>
          <w:color w:val="37617A"/>
          <w:spacing w:val="-34"/>
          <w:w w:val="105"/>
          <w:sz w:val="20"/>
        </w:rPr>
        <w:t> </w:t>
      </w:r>
      <w:r>
        <w:rPr>
          <w:rFonts w:ascii="Trebuchet MS" w:hAnsi="Trebuchet MS"/>
          <w:i/>
          <w:color w:val="37617A"/>
          <w:w w:val="105"/>
          <w:sz w:val="20"/>
        </w:rPr>
        <w:t>to</w:t>
      </w:r>
      <w:r>
        <w:rPr>
          <w:rFonts w:ascii="Trebuchet MS" w:hAnsi="Trebuchet MS"/>
          <w:i/>
          <w:color w:val="37617A"/>
          <w:spacing w:val="-34"/>
          <w:w w:val="105"/>
          <w:sz w:val="20"/>
        </w:rPr>
        <w:t> </w:t>
      </w:r>
      <w:r>
        <w:rPr>
          <w:rFonts w:ascii="Trebuchet MS" w:hAnsi="Trebuchet MS"/>
          <w:i/>
          <w:color w:val="37617A"/>
          <w:w w:val="105"/>
          <w:sz w:val="20"/>
        </w:rPr>
        <w:t>better</w:t>
      </w:r>
      <w:r>
        <w:rPr>
          <w:rFonts w:ascii="Trebuchet MS" w:hAnsi="Trebuchet MS"/>
          <w:i/>
          <w:color w:val="37617A"/>
          <w:spacing w:val="-34"/>
          <w:w w:val="105"/>
          <w:sz w:val="20"/>
        </w:rPr>
        <w:t> </w:t>
      </w:r>
      <w:r>
        <w:rPr>
          <w:rFonts w:ascii="Trebuchet MS" w:hAnsi="Trebuchet MS"/>
          <w:i/>
          <w:color w:val="37617A"/>
          <w:w w:val="105"/>
          <w:sz w:val="20"/>
        </w:rPr>
        <w:t>inform</w:t>
      </w:r>
      <w:r>
        <w:rPr>
          <w:rFonts w:ascii="Trebuchet MS" w:hAnsi="Trebuchet MS"/>
          <w:i/>
          <w:color w:val="37617A"/>
          <w:spacing w:val="-34"/>
          <w:w w:val="105"/>
          <w:sz w:val="20"/>
        </w:rPr>
        <w:t> </w:t>
      </w:r>
      <w:r>
        <w:rPr>
          <w:rFonts w:ascii="Trebuchet MS" w:hAnsi="Trebuchet MS"/>
          <w:i/>
          <w:color w:val="37617A"/>
          <w:w w:val="105"/>
          <w:sz w:val="20"/>
        </w:rPr>
        <w:t>evidence-based</w:t>
      </w:r>
      <w:r>
        <w:rPr>
          <w:rFonts w:ascii="Trebuchet MS" w:hAnsi="Trebuchet MS"/>
          <w:i/>
          <w:color w:val="37617A"/>
          <w:spacing w:val="-34"/>
          <w:w w:val="105"/>
          <w:sz w:val="20"/>
        </w:rPr>
        <w:t> </w:t>
      </w:r>
      <w:r>
        <w:rPr>
          <w:rFonts w:ascii="Trebuchet MS" w:hAnsi="Trebuchet MS"/>
          <w:i/>
          <w:color w:val="37617A"/>
          <w:w w:val="105"/>
          <w:sz w:val="20"/>
        </w:rPr>
        <w:t>policy</w:t>
      </w:r>
      <w:r>
        <w:rPr>
          <w:rFonts w:ascii="Trebuchet MS" w:hAnsi="Trebuchet MS"/>
          <w:i/>
          <w:color w:val="37617A"/>
          <w:spacing w:val="-34"/>
          <w:w w:val="105"/>
          <w:sz w:val="20"/>
        </w:rPr>
        <w:t> </w:t>
      </w:r>
      <w:r>
        <w:rPr>
          <w:rFonts w:ascii="Trebuchet MS" w:hAnsi="Trebuchet MS"/>
          <w:i/>
          <w:color w:val="37617A"/>
          <w:w w:val="105"/>
          <w:sz w:val="20"/>
        </w:rPr>
        <w:t>and</w:t>
      </w:r>
      <w:r>
        <w:rPr>
          <w:rFonts w:ascii="Trebuchet MS" w:hAnsi="Trebuchet MS"/>
          <w:i/>
          <w:color w:val="37617A"/>
          <w:spacing w:val="-34"/>
          <w:w w:val="105"/>
          <w:sz w:val="20"/>
        </w:rPr>
        <w:t> </w:t>
      </w:r>
      <w:r>
        <w:rPr>
          <w:rFonts w:ascii="Trebuchet MS" w:hAnsi="Trebuchet MS"/>
          <w:i/>
          <w:color w:val="37617A"/>
          <w:w w:val="105"/>
          <w:sz w:val="20"/>
        </w:rPr>
        <w:t>programs</w:t>
      </w:r>
      <w:r>
        <w:rPr>
          <w:rFonts w:ascii="Trebuchet MS" w:hAnsi="Trebuchet MS"/>
          <w:i/>
          <w:color w:val="37617A"/>
          <w:spacing w:val="-34"/>
          <w:w w:val="105"/>
          <w:sz w:val="20"/>
        </w:rPr>
        <w:t> </w:t>
      </w:r>
      <w:r>
        <w:rPr>
          <w:rFonts w:ascii="Trebuchet MS" w:hAnsi="Trebuchet MS"/>
          <w:i/>
          <w:color w:val="37617A"/>
          <w:w w:val="105"/>
          <w:sz w:val="20"/>
        </w:rPr>
        <w:t>and </w:t>
      </w:r>
      <w:r>
        <w:rPr>
          <w:rFonts w:ascii="Trebuchet MS" w:hAnsi="Trebuchet MS"/>
          <w:i/>
          <w:color w:val="37617A"/>
          <w:spacing w:val="-1"/>
          <w:w w:val="117"/>
          <w:sz w:val="20"/>
        </w:rPr>
        <w:t>s</w:t>
      </w:r>
      <w:r>
        <w:rPr>
          <w:rFonts w:ascii="Trebuchet MS" w:hAnsi="Trebuchet MS"/>
          <w:i/>
          <w:color w:val="37617A"/>
          <w:spacing w:val="-1"/>
          <w:w w:val="80"/>
          <w:sz w:val="20"/>
        </w:rPr>
        <w:t>t</w:t>
      </w:r>
      <w:r>
        <w:rPr>
          <w:rFonts w:ascii="Trebuchet MS" w:hAnsi="Trebuchet MS"/>
          <w:i/>
          <w:color w:val="37617A"/>
          <w:spacing w:val="-4"/>
          <w:w w:val="84"/>
          <w:sz w:val="20"/>
        </w:rPr>
        <w:t>r</w:t>
      </w:r>
      <w:r>
        <w:rPr>
          <w:rFonts w:ascii="Trebuchet MS" w:hAnsi="Trebuchet MS"/>
          <w:i/>
          <w:color w:val="37617A"/>
          <w:spacing w:val="1"/>
          <w:w w:val="100"/>
          <w:sz w:val="20"/>
        </w:rPr>
        <w:t>e</w:t>
      </w:r>
      <w:r>
        <w:rPr>
          <w:rFonts w:ascii="Trebuchet MS" w:hAnsi="Trebuchet MS"/>
          <w:i/>
          <w:color w:val="37617A"/>
          <w:spacing w:val="-1"/>
          <w:w w:val="103"/>
          <w:sz w:val="20"/>
        </w:rPr>
        <w:t>n</w:t>
      </w:r>
      <w:r>
        <w:rPr>
          <w:rFonts w:ascii="Trebuchet MS" w:hAnsi="Trebuchet MS"/>
          <w:i/>
          <w:color w:val="37617A"/>
          <w:spacing w:val="-1"/>
          <w:w w:val="101"/>
          <w:sz w:val="20"/>
        </w:rPr>
        <w:t>gt</w:t>
      </w:r>
      <w:r>
        <w:rPr>
          <w:rFonts w:ascii="Trebuchet MS" w:hAnsi="Trebuchet MS"/>
          <w:i/>
          <w:color w:val="37617A"/>
          <w:w w:val="101"/>
          <w:sz w:val="20"/>
        </w:rPr>
        <w:t>h</w:t>
      </w:r>
      <w:r>
        <w:rPr>
          <w:rFonts w:ascii="Trebuchet MS" w:hAnsi="Trebuchet MS"/>
          <w:i/>
          <w:color w:val="37617A"/>
          <w:spacing w:val="1"/>
          <w:w w:val="100"/>
          <w:sz w:val="20"/>
        </w:rPr>
        <w:t>e</w:t>
      </w:r>
      <w:r>
        <w:rPr>
          <w:rFonts w:ascii="Trebuchet MS" w:hAnsi="Trebuchet MS"/>
          <w:i/>
          <w:color w:val="37617A"/>
          <w:w w:val="103"/>
          <w:sz w:val="20"/>
        </w:rPr>
        <w:t>n</w:t>
      </w:r>
      <w:r>
        <w:rPr>
          <w:rFonts w:ascii="Trebuchet MS" w:hAnsi="Trebuchet MS"/>
          <w:i/>
          <w:color w:val="37617A"/>
          <w:w w:val="100"/>
          <w:sz w:val="20"/>
        </w:rPr>
        <w:t>e</w:t>
      </w:r>
      <w:r>
        <w:rPr>
          <w:rFonts w:ascii="Trebuchet MS" w:hAnsi="Trebuchet MS"/>
          <w:i/>
          <w:color w:val="37617A"/>
          <w:w w:val="108"/>
          <w:sz w:val="20"/>
        </w:rPr>
        <w:t>d</w:t>
      </w:r>
      <w:r>
        <w:rPr>
          <w:rFonts w:ascii="Trebuchet MS" w:hAnsi="Trebuchet MS"/>
          <w:i/>
          <w:color w:val="37617A"/>
          <w:spacing w:val="-13"/>
          <w:sz w:val="20"/>
        </w:rPr>
        <w:t> </w:t>
      </w:r>
      <w:r>
        <w:rPr>
          <w:rFonts w:ascii="Trebuchet MS" w:hAnsi="Trebuchet MS"/>
          <w:i/>
          <w:color w:val="37617A"/>
          <w:w w:val="107"/>
          <w:sz w:val="20"/>
        </w:rPr>
        <w:t>o</w:t>
      </w:r>
      <w:r>
        <w:rPr>
          <w:rFonts w:ascii="Trebuchet MS" w:hAnsi="Trebuchet MS"/>
          <w:i/>
          <w:color w:val="37617A"/>
          <w:spacing w:val="-1"/>
          <w:w w:val="93"/>
          <w:sz w:val="20"/>
        </w:rPr>
        <w:t>u</w:t>
      </w:r>
      <w:r>
        <w:rPr>
          <w:rFonts w:ascii="Trebuchet MS" w:hAnsi="Trebuchet MS"/>
          <w:i/>
          <w:color w:val="37617A"/>
          <w:spacing w:val="-4"/>
          <w:w w:val="93"/>
          <w:sz w:val="20"/>
        </w:rPr>
        <w:t>t</w:t>
      </w:r>
      <w:r>
        <w:rPr>
          <w:rFonts w:ascii="Trebuchet MS" w:hAnsi="Trebuchet MS"/>
          <w:i/>
          <w:color w:val="37617A"/>
          <w:spacing w:val="-1"/>
          <w:w w:val="115"/>
          <w:sz w:val="20"/>
        </w:rPr>
        <w:t>c</w:t>
      </w:r>
      <w:r>
        <w:rPr>
          <w:rFonts w:ascii="Trebuchet MS" w:hAnsi="Trebuchet MS"/>
          <w:i/>
          <w:color w:val="37617A"/>
          <w:w w:val="107"/>
          <w:sz w:val="20"/>
        </w:rPr>
        <w:t>o</w:t>
      </w:r>
      <w:r>
        <w:rPr>
          <w:rFonts w:ascii="Trebuchet MS" w:hAnsi="Trebuchet MS"/>
          <w:i/>
          <w:color w:val="37617A"/>
          <w:spacing w:val="-1"/>
          <w:w w:val="106"/>
          <w:sz w:val="20"/>
        </w:rPr>
        <w:t>m</w:t>
      </w:r>
      <w:r>
        <w:rPr>
          <w:rFonts w:ascii="Trebuchet MS" w:hAnsi="Trebuchet MS"/>
          <w:i/>
          <w:color w:val="37617A"/>
          <w:w w:val="100"/>
          <w:sz w:val="20"/>
        </w:rPr>
        <w:t>e</w:t>
      </w:r>
      <w:r>
        <w:rPr>
          <w:rFonts w:ascii="Trebuchet MS" w:hAnsi="Trebuchet MS"/>
          <w:i/>
          <w:color w:val="37617A"/>
          <w:w w:val="117"/>
          <w:sz w:val="20"/>
        </w:rPr>
        <w:t>s</w:t>
      </w:r>
      <w:r>
        <w:rPr>
          <w:rFonts w:ascii="Trebuchet MS" w:hAnsi="Trebuchet MS"/>
          <w:i/>
          <w:color w:val="37617A"/>
          <w:spacing w:val="-13"/>
          <w:sz w:val="20"/>
        </w:rPr>
        <w:t> </w:t>
      </w:r>
      <w:r>
        <w:rPr>
          <w:rFonts w:ascii="Trebuchet MS" w:hAnsi="Trebuchet MS"/>
          <w:i/>
          <w:color w:val="37617A"/>
          <w:spacing w:val="-4"/>
          <w:w w:val="84"/>
          <w:sz w:val="20"/>
        </w:rPr>
        <w:t>r</w:t>
      </w:r>
      <w:r>
        <w:rPr>
          <w:rFonts w:ascii="Trebuchet MS" w:hAnsi="Trebuchet MS"/>
          <w:i/>
          <w:color w:val="37617A"/>
          <w:w w:val="100"/>
          <w:sz w:val="20"/>
        </w:rPr>
        <w:t>e</w:t>
      </w:r>
      <w:r>
        <w:rPr>
          <w:rFonts w:ascii="Trebuchet MS" w:hAnsi="Trebuchet MS"/>
          <w:i/>
          <w:color w:val="37617A"/>
          <w:w w:val="107"/>
          <w:sz w:val="20"/>
        </w:rPr>
        <w:t>p</w:t>
      </w:r>
      <w:r>
        <w:rPr>
          <w:rFonts w:ascii="Trebuchet MS" w:hAnsi="Trebuchet MS"/>
          <w:i/>
          <w:color w:val="37617A"/>
          <w:w w:val="107"/>
          <w:sz w:val="20"/>
        </w:rPr>
        <w:t>o</w:t>
      </w:r>
      <w:r>
        <w:rPr>
          <w:rFonts w:ascii="Trebuchet MS" w:hAnsi="Trebuchet MS"/>
          <w:i/>
          <w:color w:val="37617A"/>
          <w:spacing w:val="2"/>
          <w:w w:val="84"/>
          <w:sz w:val="20"/>
        </w:rPr>
        <w:t>r</w:t>
      </w:r>
      <w:r>
        <w:rPr>
          <w:rFonts w:ascii="Trebuchet MS" w:hAnsi="Trebuchet MS"/>
          <w:i/>
          <w:color w:val="37617A"/>
          <w:spacing w:val="-1"/>
          <w:w w:val="80"/>
          <w:sz w:val="20"/>
        </w:rPr>
        <w:t>t</w:t>
      </w:r>
      <w:r>
        <w:rPr>
          <w:rFonts w:ascii="Trebuchet MS" w:hAnsi="Trebuchet MS"/>
          <w:i/>
          <w:color w:val="37617A"/>
          <w:w w:val="73"/>
          <w:sz w:val="20"/>
        </w:rPr>
        <w:t>i</w:t>
      </w:r>
      <w:r>
        <w:rPr>
          <w:rFonts w:ascii="Trebuchet MS" w:hAnsi="Trebuchet MS"/>
          <w:i/>
          <w:color w:val="37617A"/>
          <w:spacing w:val="-1"/>
          <w:w w:val="103"/>
          <w:sz w:val="20"/>
        </w:rPr>
        <w:t>n</w:t>
      </w:r>
      <w:r>
        <w:rPr>
          <w:rFonts w:ascii="Trebuchet MS" w:hAnsi="Trebuchet MS"/>
          <w:i/>
          <w:color w:val="37617A"/>
          <w:spacing w:val="1"/>
          <w:w w:val="119"/>
          <w:sz w:val="20"/>
        </w:rPr>
        <w:t>g</w:t>
      </w:r>
      <w:r>
        <w:rPr>
          <w:rFonts w:ascii="Trebuchet MS" w:hAnsi="Trebuchet MS"/>
          <w:i/>
          <w:color w:val="37617A"/>
          <w:w w:val="54"/>
          <w:sz w:val="20"/>
        </w:rPr>
        <w:t>.</w:t>
      </w:r>
      <w:r>
        <w:rPr>
          <w:rFonts w:ascii="Trebuchet MS" w:hAnsi="Trebuchet MS"/>
          <w:i/>
          <w:color w:val="37617A"/>
          <w:spacing w:val="4"/>
          <w:w w:val="87"/>
          <w:position w:val="7"/>
          <w:sz w:val="11"/>
        </w:rPr>
        <w:t>1</w:t>
      </w:r>
      <w:r>
        <w:rPr>
          <w:rFonts w:ascii="Trebuchet MS" w:hAnsi="Trebuchet MS"/>
          <w:color w:val="37617A"/>
          <w:spacing w:val="-8"/>
          <w:w w:val="124"/>
          <w:sz w:val="19"/>
        </w:rPr>
        <w:t>—</w:t>
      </w:r>
      <w:r>
        <w:rPr>
          <w:rFonts w:ascii="Trebuchet MS" w:hAnsi="Trebuchet MS"/>
          <w:color w:val="37617A"/>
          <w:w w:val="115"/>
          <w:sz w:val="19"/>
        </w:rPr>
        <w:t>V</w:t>
      </w:r>
      <w:r>
        <w:rPr>
          <w:rFonts w:ascii="Trebuchet MS" w:hAnsi="Trebuchet MS"/>
          <w:color w:val="37617A"/>
          <w:w w:val="80"/>
          <w:sz w:val="19"/>
        </w:rPr>
        <w:t>i</w:t>
      </w:r>
      <w:r>
        <w:rPr>
          <w:rFonts w:ascii="Trebuchet MS" w:hAnsi="Trebuchet MS"/>
          <w:color w:val="37617A"/>
          <w:w w:val="101"/>
          <w:sz w:val="19"/>
        </w:rPr>
        <w:t>c</w:t>
      </w:r>
      <w:r>
        <w:rPr>
          <w:rFonts w:ascii="Trebuchet MS" w:hAnsi="Trebuchet MS"/>
          <w:color w:val="37617A"/>
          <w:spacing w:val="-3"/>
          <w:w w:val="101"/>
          <w:sz w:val="19"/>
        </w:rPr>
        <w:t>t</w:t>
      </w:r>
      <w:r>
        <w:rPr>
          <w:rFonts w:ascii="Trebuchet MS" w:hAnsi="Trebuchet MS"/>
          <w:color w:val="37617A"/>
          <w:w w:val="111"/>
          <w:sz w:val="19"/>
        </w:rPr>
        <w:t>o</w:t>
      </w:r>
      <w:r>
        <w:rPr>
          <w:rFonts w:ascii="Trebuchet MS" w:hAnsi="Trebuchet MS"/>
          <w:color w:val="37617A"/>
          <w:spacing w:val="-1"/>
          <w:w w:val="93"/>
          <w:sz w:val="19"/>
        </w:rPr>
        <w:t>r</w:t>
      </w:r>
      <w:r>
        <w:rPr>
          <w:rFonts w:ascii="Trebuchet MS" w:hAnsi="Trebuchet MS"/>
          <w:color w:val="37617A"/>
          <w:w w:val="80"/>
          <w:sz w:val="19"/>
        </w:rPr>
        <w:t>i</w:t>
      </w:r>
      <w:r>
        <w:rPr>
          <w:rFonts w:ascii="Trebuchet MS" w:hAnsi="Trebuchet MS"/>
          <w:color w:val="37617A"/>
          <w:w w:val="106"/>
          <w:sz w:val="19"/>
        </w:rPr>
        <w:t>an</w:t>
      </w:r>
      <w:r>
        <w:rPr>
          <w:rFonts w:ascii="Trebuchet MS" w:hAnsi="Trebuchet MS"/>
          <w:color w:val="37617A"/>
          <w:spacing w:val="-12"/>
          <w:sz w:val="19"/>
        </w:rPr>
        <w:t> </w:t>
      </w:r>
      <w:r>
        <w:rPr>
          <w:rFonts w:ascii="Trebuchet MS" w:hAnsi="Trebuchet MS"/>
          <w:color w:val="37617A"/>
          <w:spacing w:val="-2"/>
          <w:w w:val="126"/>
          <w:sz w:val="19"/>
        </w:rPr>
        <w:t>S</w:t>
      </w:r>
      <w:r>
        <w:rPr>
          <w:rFonts w:ascii="Trebuchet MS" w:hAnsi="Trebuchet MS"/>
          <w:color w:val="37617A"/>
          <w:spacing w:val="1"/>
          <w:w w:val="88"/>
          <w:sz w:val="19"/>
        </w:rPr>
        <w:t>t</w:t>
      </w:r>
      <w:r>
        <w:rPr>
          <w:rFonts w:ascii="Trebuchet MS" w:hAnsi="Trebuchet MS"/>
          <w:color w:val="37617A"/>
          <w:spacing w:val="-3"/>
          <w:w w:val="105"/>
          <w:sz w:val="19"/>
        </w:rPr>
        <w:t>a</w:t>
      </w:r>
      <w:r>
        <w:rPr>
          <w:rFonts w:ascii="Trebuchet MS" w:hAnsi="Trebuchet MS"/>
          <w:color w:val="37617A"/>
          <w:spacing w:val="-3"/>
          <w:w w:val="88"/>
          <w:sz w:val="19"/>
        </w:rPr>
        <w:t>t</w:t>
      </w:r>
      <w:r>
        <w:rPr>
          <w:rFonts w:ascii="Trebuchet MS" w:hAnsi="Trebuchet MS"/>
          <w:color w:val="37617A"/>
          <w:w w:val="108"/>
          <w:sz w:val="19"/>
        </w:rPr>
        <w:t>e</w:t>
      </w:r>
      <w:r>
        <w:rPr>
          <w:rFonts w:ascii="Trebuchet MS" w:hAnsi="Trebuchet MS"/>
          <w:color w:val="37617A"/>
          <w:spacing w:val="-12"/>
          <w:sz w:val="19"/>
        </w:rPr>
        <w:t> </w:t>
      </w:r>
      <w:r>
        <w:rPr>
          <w:rFonts w:ascii="Trebuchet MS" w:hAnsi="Trebuchet MS"/>
          <w:color w:val="37617A"/>
          <w:spacing w:val="1"/>
          <w:w w:val="116"/>
          <w:sz w:val="19"/>
        </w:rPr>
        <w:t>D</w:t>
      </w:r>
      <w:r>
        <w:rPr>
          <w:rFonts w:ascii="Trebuchet MS" w:hAnsi="Trebuchet MS"/>
          <w:color w:val="37617A"/>
          <w:w w:val="80"/>
          <w:sz w:val="19"/>
        </w:rPr>
        <w:t>i</w:t>
      </w:r>
      <w:r>
        <w:rPr>
          <w:rFonts w:ascii="Trebuchet MS" w:hAnsi="Trebuchet MS"/>
          <w:color w:val="37617A"/>
          <w:spacing w:val="1"/>
          <w:w w:val="122"/>
          <w:sz w:val="19"/>
        </w:rPr>
        <w:t>s</w:t>
      </w:r>
      <w:r>
        <w:rPr>
          <w:rFonts w:ascii="Trebuchet MS" w:hAnsi="Trebuchet MS"/>
          <w:color w:val="37617A"/>
          <w:w w:val="108"/>
          <w:sz w:val="19"/>
        </w:rPr>
        <w:t>ab</w:t>
      </w:r>
      <w:r>
        <w:rPr>
          <w:rFonts w:ascii="Trebuchet MS" w:hAnsi="Trebuchet MS"/>
          <w:color w:val="37617A"/>
          <w:spacing w:val="-1"/>
          <w:w w:val="80"/>
          <w:sz w:val="19"/>
        </w:rPr>
        <w:t>i</w:t>
      </w:r>
      <w:r>
        <w:rPr>
          <w:rFonts w:ascii="Trebuchet MS" w:hAnsi="Trebuchet MS"/>
          <w:color w:val="37617A"/>
          <w:spacing w:val="1"/>
          <w:w w:val="96"/>
          <w:sz w:val="19"/>
        </w:rPr>
        <w:t>l</w:t>
      </w:r>
      <w:r>
        <w:rPr>
          <w:rFonts w:ascii="Trebuchet MS" w:hAnsi="Trebuchet MS"/>
          <w:color w:val="37617A"/>
          <w:spacing w:val="-1"/>
          <w:w w:val="80"/>
          <w:sz w:val="19"/>
        </w:rPr>
        <w:t>i</w:t>
      </w:r>
      <w:r>
        <w:rPr>
          <w:rFonts w:ascii="Trebuchet MS" w:hAnsi="Trebuchet MS"/>
          <w:color w:val="37617A"/>
          <w:spacing w:val="1"/>
          <w:w w:val="88"/>
          <w:sz w:val="19"/>
        </w:rPr>
        <w:t>t</w:t>
      </w:r>
      <w:r>
        <w:rPr>
          <w:rFonts w:ascii="Trebuchet MS" w:hAnsi="Trebuchet MS"/>
          <w:color w:val="37617A"/>
          <w:w w:val="110"/>
          <w:sz w:val="19"/>
        </w:rPr>
        <w:t>y</w:t>
      </w:r>
      <w:r>
        <w:rPr>
          <w:rFonts w:ascii="Trebuchet MS" w:hAnsi="Trebuchet MS"/>
          <w:color w:val="37617A"/>
          <w:spacing w:val="-12"/>
          <w:sz w:val="19"/>
        </w:rPr>
        <w:t> </w:t>
      </w:r>
      <w:r>
        <w:rPr>
          <w:rFonts w:ascii="Trebuchet MS" w:hAnsi="Trebuchet MS"/>
          <w:color w:val="37617A"/>
          <w:spacing w:val="-2"/>
          <w:w w:val="111"/>
          <w:sz w:val="19"/>
        </w:rPr>
        <w:t>P</w:t>
      </w:r>
      <w:r>
        <w:rPr>
          <w:rFonts w:ascii="Trebuchet MS" w:hAnsi="Trebuchet MS"/>
          <w:color w:val="37617A"/>
          <w:spacing w:val="3"/>
          <w:w w:val="96"/>
          <w:sz w:val="19"/>
        </w:rPr>
        <w:t>l</w:t>
      </w:r>
      <w:r>
        <w:rPr>
          <w:rFonts w:ascii="Trebuchet MS" w:hAnsi="Trebuchet MS"/>
          <w:color w:val="37617A"/>
          <w:w w:val="106"/>
          <w:sz w:val="19"/>
        </w:rPr>
        <w:t>an</w:t>
      </w:r>
      <w:r>
        <w:rPr>
          <w:rFonts w:ascii="Trebuchet MS" w:hAnsi="Trebuchet MS"/>
          <w:color w:val="37617A"/>
          <w:spacing w:val="-12"/>
          <w:sz w:val="19"/>
        </w:rPr>
        <w:t> </w:t>
      </w:r>
      <w:r>
        <w:rPr>
          <w:rFonts w:ascii="Trebuchet MS" w:hAnsi="Trebuchet MS"/>
          <w:color w:val="37617A"/>
          <w:spacing w:val="-2"/>
          <w:w w:val="102"/>
          <w:sz w:val="19"/>
        </w:rPr>
        <w:t>2</w:t>
      </w:r>
      <w:r>
        <w:rPr>
          <w:rFonts w:ascii="Trebuchet MS" w:hAnsi="Trebuchet MS"/>
          <w:color w:val="37617A"/>
          <w:spacing w:val="-3"/>
          <w:w w:val="117"/>
          <w:sz w:val="19"/>
        </w:rPr>
        <w:t>0</w:t>
      </w:r>
      <w:r>
        <w:rPr>
          <w:rFonts w:ascii="Trebuchet MS" w:hAnsi="Trebuchet MS"/>
          <w:color w:val="37617A"/>
          <w:w w:val="102"/>
          <w:sz w:val="19"/>
        </w:rPr>
        <w:t>2</w:t>
      </w:r>
      <w:r>
        <w:rPr>
          <w:rFonts w:ascii="Trebuchet MS" w:hAnsi="Trebuchet MS"/>
          <w:color w:val="37617A"/>
          <w:spacing w:val="-3"/>
          <w:w w:val="102"/>
          <w:sz w:val="19"/>
        </w:rPr>
        <w:t>2</w:t>
      </w:r>
      <w:r>
        <w:rPr>
          <w:rFonts w:ascii="Trebuchet MS" w:hAnsi="Trebuchet MS"/>
          <w:color w:val="37617A"/>
          <w:spacing w:val="-7"/>
          <w:w w:val="115"/>
          <w:sz w:val="19"/>
        </w:rPr>
        <w:t>-</w:t>
      </w:r>
      <w:r>
        <w:rPr>
          <w:rFonts w:ascii="Trebuchet MS" w:hAnsi="Trebuchet MS"/>
          <w:color w:val="37617A"/>
          <w:spacing w:val="-2"/>
          <w:w w:val="102"/>
          <w:sz w:val="19"/>
        </w:rPr>
        <w:t>2</w:t>
      </w:r>
      <w:r>
        <w:rPr>
          <w:rFonts w:ascii="Trebuchet MS" w:hAnsi="Trebuchet MS"/>
          <w:color w:val="37617A"/>
          <w:spacing w:val="-3"/>
          <w:w w:val="117"/>
          <w:sz w:val="19"/>
        </w:rPr>
        <w:t>0</w:t>
      </w:r>
      <w:r>
        <w:rPr>
          <w:rFonts w:ascii="Trebuchet MS" w:hAnsi="Trebuchet MS"/>
          <w:color w:val="37617A"/>
          <w:spacing w:val="-1"/>
          <w:w w:val="102"/>
          <w:sz w:val="19"/>
        </w:rPr>
        <w:t>2</w:t>
      </w:r>
      <w:r>
        <w:rPr>
          <w:rFonts w:ascii="Trebuchet MS" w:hAnsi="Trebuchet MS"/>
          <w:color w:val="37617A"/>
          <w:w w:val="115"/>
          <w:sz w:val="19"/>
        </w:rPr>
        <w:t>6</w:t>
      </w:r>
    </w:p>
    <w:p>
      <w:pPr>
        <w:pStyle w:val="BodyText"/>
        <w:spacing w:before="6"/>
        <w:rPr>
          <w:rFonts w:ascii="Trebuchet MS"/>
          <w:sz w:val="9"/>
        </w:rPr>
      </w:pPr>
      <w:r>
        <w:rPr/>
        <w:pict>
          <v:line style="position:absolute;mso-position-horizontal-relative:page;mso-position-vertical-relative:paragraph;z-index:11672;mso-wrap-distance-left:0;mso-wrap-distance-right:0" from="79.370102pt,7.768996pt" to="515.905102pt,7.768996pt" stroked="true" strokeweight=".5pt" strokecolor="#8f9dad">
            <v:stroke dashstyle="solid"/>
            <w10:wrap type="topAndBottom"/>
          </v:line>
        </w:pict>
      </w:r>
    </w:p>
    <w:p>
      <w:pPr>
        <w:pStyle w:val="BodyText"/>
        <w:rPr>
          <w:rFonts w:ascii="Trebuchet MS"/>
          <w:sz w:val="22"/>
        </w:rPr>
      </w:pPr>
    </w:p>
    <w:p>
      <w:pPr>
        <w:pStyle w:val="BodyText"/>
        <w:spacing w:before="10"/>
        <w:rPr>
          <w:rFonts w:ascii="Trebuchet MS"/>
          <w:sz w:val="18"/>
        </w:rPr>
      </w:pPr>
    </w:p>
    <w:p>
      <w:pPr>
        <w:spacing w:before="0"/>
        <w:ind w:left="967" w:right="0" w:firstLine="0"/>
        <w:jc w:val="left"/>
        <w:rPr>
          <w:rFonts w:ascii="Raleway ExtraBold"/>
          <w:b/>
          <w:sz w:val="28"/>
        </w:rPr>
      </w:pPr>
      <w:r>
        <w:rPr>
          <w:rFonts w:ascii="Raleway ExtraBold"/>
          <w:b/>
          <w:color w:val="37617A"/>
          <w:sz w:val="28"/>
        </w:rPr>
        <w:t>Overview</w:t>
      </w:r>
    </w:p>
    <w:p>
      <w:pPr>
        <w:pStyle w:val="ListParagraph"/>
        <w:numPr>
          <w:ilvl w:val="0"/>
          <w:numId w:val="123"/>
        </w:numPr>
        <w:tabs>
          <w:tab w:pos="2157" w:val="left" w:leader="none"/>
          <w:tab w:pos="2158" w:val="left" w:leader="none"/>
        </w:tabs>
        <w:spacing w:line="206" w:lineRule="auto" w:before="146" w:after="0"/>
        <w:ind w:left="2157" w:right="1237" w:hanging="396"/>
        <w:jc w:val="left"/>
        <w:rPr>
          <w:sz w:val="20"/>
        </w:rPr>
      </w:pPr>
      <w:r>
        <w:rPr>
          <w:sz w:val="20"/>
        </w:rPr>
        <w:t>There will be funding costs associated with implementing the recommendations in</w:t>
      </w:r>
      <w:r>
        <w:rPr>
          <w:spacing w:val="-9"/>
          <w:sz w:val="20"/>
        </w:rPr>
        <w:t> </w:t>
      </w:r>
      <w:r>
        <w:rPr>
          <w:sz w:val="20"/>
        </w:rPr>
        <w:t>this</w:t>
      </w:r>
      <w:r>
        <w:rPr>
          <w:spacing w:val="-9"/>
          <w:sz w:val="20"/>
        </w:rPr>
        <w:t> </w:t>
      </w:r>
      <w:r>
        <w:rPr>
          <w:sz w:val="20"/>
        </w:rPr>
        <w:t>report.</w:t>
      </w:r>
      <w:r>
        <w:rPr>
          <w:spacing w:val="-8"/>
          <w:sz w:val="20"/>
        </w:rPr>
        <w:t> </w:t>
      </w:r>
      <w:r>
        <w:rPr>
          <w:spacing w:val="-5"/>
          <w:sz w:val="20"/>
        </w:rPr>
        <w:t>However,</w:t>
      </w:r>
      <w:r>
        <w:rPr>
          <w:spacing w:val="-9"/>
          <w:sz w:val="20"/>
        </w:rPr>
        <w:t> </w:t>
      </w:r>
      <w:r>
        <w:rPr>
          <w:sz w:val="20"/>
        </w:rPr>
        <w:t>the</w:t>
      </w:r>
      <w:r>
        <w:rPr>
          <w:spacing w:val="-8"/>
          <w:sz w:val="20"/>
        </w:rPr>
        <w:t> </w:t>
      </w:r>
      <w:r>
        <w:rPr>
          <w:sz w:val="20"/>
        </w:rPr>
        <w:t>personal</w:t>
      </w:r>
      <w:r>
        <w:rPr>
          <w:spacing w:val="-9"/>
          <w:sz w:val="20"/>
        </w:rPr>
        <w:t> </w:t>
      </w:r>
      <w:r>
        <w:rPr>
          <w:sz w:val="20"/>
        </w:rPr>
        <w:t>and</w:t>
      </w:r>
      <w:r>
        <w:rPr>
          <w:spacing w:val="-9"/>
          <w:sz w:val="20"/>
        </w:rPr>
        <w:t> </w:t>
      </w:r>
      <w:r>
        <w:rPr>
          <w:sz w:val="20"/>
        </w:rPr>
        <w:t>community</w:t>
      </w:r>
      <w:r>
        <w:rPr>
          <w:spacing w:val="-8"/>
          <w:sz w:val="20"/>
        </w:rPr>
        <w:t> </w:t>
      </w:r>
      <w:r>
        <w:rPr>
          <w:sz w:val="20"/>
        </w:rPr>
        <w:t>benefits</w:t>
      </w:r>
      <w:r>
        <w:rPr>
          <w:spacing w:val="-9"/>
          <w:sz w:val="20"/>
        </w:rPr>
        <w:t> </w:t>
      </w:r>
      <w:r>
        <w:rPr>
          <w:sz w:val="20"/>
        </w:rPr>
        <w:t>that</w:t>
      </w:r>
      <w:r>
        <w:rPr>
          <w:spacing w:val="-8"/>
          <w:sz w:val="20"/>
        </w:rPr>
        <w:t> </w:t>
      </w:r>
      <w:r>
        <w:rPr>
          <w:spacing w:val="-3"/>
          <w:sz w:val="20"/>
        </w:rPr>
        <w:t>flow</w:t>
      </w:r>
      <w:r>
        <w:rPr>
          <w:spacing w:val="-9"/>
          <w:sz w:val="20"/>
        </w:rPr>
        <w:t> </w:t>
      </w:r>
      <w:r>
        <w:rPr>
          <w:spacing w:val="-3"/>
          <w:sz w:val="20"/>
        </w:rPr>
        <w:t>from</w:t>
      </w:r>
      <w:r>
        <w:rPr>
          <w:spacing w:val="-9"/>
          <w:sz w:val="20"/>
        </w:rPr>
        <w:t> </w:t>
      </w:r>
      <w:r>
        <w:rPr>
          <w:spacing w:val="-3"/>
          <w:sz w:val="20"/>
        </w:rPr>
        <w:t>reform </w:t>
      </w:r>
      <w:r>
        <w:rPr>
          <w:sz w:val="20"/>
        </w:rPr>
        <w:t>outweigh the associated</w:t>
      </w:r>
      <w:r>
        <w:rPr>
          <w:spacing w:val="-13"/>
          <w:sz w:val="20"/>
        </w:rPr>
        <w:t> </w:t>
      </w:r>
      <w:r>
        <w:rPr>
          <w:sz w:val="20"/>
        </w:rPr>
        <w:t>costs.</w:t>
      </w:r>
    </w:p>
    <w:p>
      <w:pPr>
        <w:pStyle w:val="ListParagraph"/>
        <w:numPr>
          <w:ilvl w:val="0"/>
          <w:numId w:val="123"/>
        </w:numPr>
        <w:tabs>
          <w:tab w:pos="2157" w:val="left" w:leader="none"/>
          <w:tab w:pos="2158" w:val="left" w:leader="none"/>
        </w:tabs>
        <w:spacing w:line="206" w:lineRule="auto" w:before="89" w:after="0"/>
        <w:ind w:left="2157" w:right="1277" w:hanging="396"/>
        <w:jc w:val="left"/>
        <w:rPr>
          <w:sz w:val="20"/>
        </w:rPr>
      </w:pPr>
      <w:r>
        <w:rPr>
          <w:sz w:val="20"/>
        </w:rPr>
        <w:t>Juries</w:t>
      </w:r>
      <w:r>
        <w:rPr>
          <w:spacing w:val="-12"/>
          <w:sz w:val="20"/>
        </w:rPr>
        <w:t> </w:t>
      </w:r>
      <w:r>
        <w:rPr>
          <w:sz w:val="20"/>
        </w:rPr>
        <w:t>Victoria</w:t>
      </w:r>
      <w:r>
        <w:rPr>
          <w:spacing w:val="-12"/>
          <w:sz w:val="20"/>
        </w:rPr>
        <w:t> </w:t>
      </w:r>
      <w:r>
        <w:rPr>
          <w:sz w:val="20"/>
        </w:rPr>
        <w:t>and</w:t>
      </w:r>
      <w:r>
        <w:rPr>
          <w:spacing w:val="-11"/>
          <w:sz w:val="20"/>
        </w:rPr>
        <w:t> </w:t>
      </w:r>
      <w:r>
        <w:rPr>
          <w:sz w:val="20"/>
        </w:rPr>
        <w:t>the</w:t>
      </w:r>
      <w:r>
        <w:rPr>
          <w:spacing w:val="-12"/>
          <w:sz w:val="20"/>
        </w:rPr>
        <w:t> </w:t>
      </w:r>
      <w:r>
        <w:rPr>
          <w:sz w:val="20"/>
        </w:rPr>
        <w:t>courts</w:t>
      </w:r>
      <w:r>
        <w:rPr>
          <w:spacing w:val="-11"/>
          <w:sz w:val="20"/>
        </w:rPr>
        <w:t> </w:t>
      </w:r>
      <w:r>
        <w:rPr>
          <w:sz w:val="20"/>
        </w:rPr>
        <w:t>should</w:t>
      </w:r>
      <w:r>
        <w:rPr>
          <w:spacing w:val="-12"/>
          <w:sz w:val="20"/>
        </w:rPr>
        <w:t> </w:t>
      </w:r>
      <w:r>
        <w:rPr>
          <w:sz w:val="20"/>
        </w:rPr>
        <w:t>collect</w:t>
      </w:r>
      <w:r>
        <w:rPr>
          <w:spacing w:val="-11"/>
          <w:sz w:val="20"/>
        </w:rPr>
        <w:t> </w:t>
      </w:r>
      <w:r>
        <w:rPr>
          <w:sz w:val="20"/>
        </w:rPr>
        <w:t>data</w:t>
      </w:r>
      <w:r>
        <w:rPr>
          <w:spacing w:val="-12"/>
          <w:sz w:val="20"/>
        </w:rPr>
        <w:t> </w:t>
      </w:r>
      <w:r>
        <w:rPr>
          <w:sz w:val="20"/>
        </w:rPr>
        <w:t>about</w:t>
      </w:r>
      <w:r>
        <w:rPr>
          <w:spacing w:val="-12"/>
          <w:sz w:val="20"/>
        </w:rPr>
        <w:t> </w:t>
      </w:r>
      <w:r>
        <w:rPr>
          <w:sz w:val="20"/>
        </w:rPr>
        <w:t>the</w:t>
      </w:r>
      <w:r>
        <w:rPr>
          <w:spacing w:val="-11"/>
          <w:sz w:val="20"/>
        </w:rPr>
        <w:t> </w:t>
      </w:r>
      <w:r>
        <w:rPr>
          <w:sz w:val="20"/>
        </w:rPr>
        <w:t>participation</w:t>
      </w:r>
      <w:r>
        <w:rPr>
          <w:spacing w:val="-12"/>
          <w:sz w:val="20"/>
        </w:rPr>
        <w:t> </w:t>
      </w:r>
      <w:r>
        <w:rPr>
          <w:sz w:val="20"/>
        </w:rPr>
        <w:t>of</w:t>
      </w:r>
      <w:r>
        <w:rPr>
          <w:spacing w:val="-11"/>
          <w:sz w:val="20"/>
        </w:rPr>
        <w:t> </w:t>
      </w:r>
      <w:r>
        <w:rPr>
          <w:sz w:val="20"/>
        </w:rPr>
        <w:t>people </w:t>
      </w:r>
      <w:r>
        <w:rPr>
          <w:spacing w:val="-3"/>
          <w:sz w:val="20"/>
        </w:rPr>
        <w:t>from</w:t>
      </w:r>
      <w:r>
        <w:rPr>
          <w:spacing w:val="-10"/>
          <w:sz w:val="20"/>
        </w:rPr>
        <w:t> </w:t>
      </w:r>
      <w:r>
        <w:rPr>
          <w:sz w:val="20"/>
        </w:rPr>
        <w:t>the</w:t>
      </w:r>
      <w:r>
        <w:rPr>
          <w:spacing w:val="-10"/>
          <w:sz w:val="20"/>
        </w:rPr>
        <w:t> </w:t>
      </w:r>
      <w:r>
        <w:rPr>
          <w:sz w:val="20"/>
        </w:rPr>
        <w:t>subject</w:t>
      </w:r>
      <w:r>
        <w:rPr>
          <w:spacing w:val="-10"/>
          <w:sz w:val="20"/>
        </w:rPr>
        <w:t> </w:t>
      </w:r>
      <w:r>
        <w:rPr>
          <w:sz w:val="20"/>
        </w:rPr>
        <w:t>groups</w:t>
      </w:r>
      <w:r>
        <w:rPr>
          <w:spacing w:val="-10"/>
          <w:sz w:val="20"/>
        </w:rPr>
        <w:t> </w:t>
      </w:r>
      <w:r>
        <w:rPr>
          <w:sz w:val="20"/>
        </w:rPr>
        <w:t>in</w:t>
      </w:r>
      <w:r>
        <w:rPr>
          <w:spacing w:val="-10"/>
          <w:sz w:val="20"/>
        </w:rPr>
        <w:t> </w:t>
      </w:r>
      <w:r>
        <w:rPr>
          <w:sz w:val="20"/>
        </w:rPr>
        <w:t>the</w:t>
      </w:r>
      <w:r>
        <w:rPr>
          <w:spacing w:val="-10"/>
          <w:sz w:val="20"/>
        </w:rPr>
        <w:t> </w:t>
      </w:r>
      <w:r>
        <w:rPr>
          <w:sz w:val="20"/>
        </w:rPr>
        <w:t>jury</w:t>
      </w:r>
      <w:r>
        <w:rPr>
          <w:spacing w:val="-10"/>
          <w:sz w:val="20"/>
        </w:rPr>
        <w:t> </w:t>
      </w:r>
      <w:r>
        <w:rPr>
          <w:sz w:val="20"/>
        </w:rPr>
        <w:t>system,</w:t>
      </w:r>
      <w:r>
        <w:rPr>
          <w:spacing w:val="-9"/>
          <w:sz w:val="20"/>
        </w:rPr>
        <w:t> </w:t>
      </w:r>
      <w:r>
        <w:rPr>
          <w:sz w:val="20"/>
        </w:rPr>
        <w:t>both</w:t>
      </w:r>
      <w:r>
        <w:rPr>
          <w:spacing w:val="-10"/>
          <w:sz w:val="20"/>
        </w:rPr>
        <w:t> </w:t>
      </w:r>
      <w:r>
        <w:rPr>
          <w:sz w:val="20"/>
        </w:rPr>
        <w:t>during</w:t>
      </w:r>
      <w:r>
        <w:rPr>
          <w:spacing w:val="-10"/>
          <w:sz w:val="20"/>
        </w:rPr>
        <w:t> </w:t>
      </w:r>
      <w:r>
        <w:rPr>
          <w:sz w:val="20"/>
        </w:rPr>
        <w:t>the</w:t>
      </w:r>
      <w:r>
        <w:rPr>
          <w:spacing w:val="-10"/>
          <w:sz w:val="20"/>
        </w:rPr>
        <w:t> </w:t>
      </w:r>
      <w:r>
        <w:rPr>
          <w:sz w:val="20"/>
        </w:rPr>
        <w:t>selection</w:t>
      </w:r>
      <w:r>
        <w:rPr>
          <w:spacing w:val="-10"/>
          <w:sz w:val="20"/>
        </w:rPr>
        <w:t> </w:t>
      </w:r>
      <w:r>
        <w:rPr>
          <w:sz w:val="20"/>
        </w:rPr>
        <w:t>process</w:t>
      </w:r>
      <w:r>
        <w:rPr>
          <w:spacing w:val="-10"/>
          <w:sz w:val="20"/>
        </w:rPr>
        <w:t> </w:t>
      </w:r>
      <w:r>
        <w:rPr>
          <w:sz w:val="20"/>
        </w:rPr>
        <w:t>and in trials, if they </w:t>
      </w:r>
      <w:r>
        <w:rPr>
          <w:spacing w:val="-3"/>
          <w:sz w:val="20"/>
        </w:rPr>
        <w:t>are </w:t>
      </w:r>
      <w:r>
        <w:rPr>
          <w:sz w:val="20"/>
        </w:rPr>
        <w:t>selected as</w:t>
      </w:r>
      <w:r>
        <w:rPr>
          <w:spacing w:val="-29"/>
          <w:sz w:val="20"/>
        </w:rPr>
        <w:t> </w:t>
      </w:r>
      <w:r>
        <w:rPr>
          <w:sz w:val="20"/>
        </w:rPr>
        <w:t>jurors.</w:t>
      </w:r>
    </w:p>
    <w:p>
      <w:pPr>
        <w:pStyle w:val="ListParagraph"/>
        <w:numPr>
          <w:ilvl w:val="0"/>
          <w:numId w:val="123"/>
        </w:numPr>
        <w:tabs>
          <w:tab w:pos="2157" w:val="left" w:leader="none"/>
          <w:tab w:pos="2158" w:val="left" w:leader="none"/>
        </w:tabs>
        <w:spacing w:line="259" w:lineRule="exact" w:before="57" w:after="0"/>
        <w:ind w:left="2157" w:right="0" w:hanging="396"/>
        <w:jc w:val="left"/>
        <w:rPr>
          <w:sz w:val="20"/>
        </w:rPr>
      </w:pPr>
      <w:r>
        <w:rPr>
          <w:sz w:val="20"/>
        </w:rPr>
        <w:t>Subject</w:t>
      </w:r>
      <w:r>
        <w:rPr>
          <w:spacing w:val="-8"/>
          <w:sz w:val="20"/>
        </w:rPr>
        <w:t> </w:t>
      </w:r>
      <w:r>
        <w:rPr>
          <w:sz w:val="20"/>
        </w:rPr>
        <w:t>to</w:t>
      </w:r>
      <w:r>
        <w:rPr>
          <w:spacing w:val="-7"/>
          <w:sz w:val="20"/>
        </w:rPr>
        <w:t> </w:t>
      </w:r>
      <w:r>
        <w:rPr>
          <w:sz w:val="20"/>
        </w:rPr>
        <w:t>juror</w:t>
      </w:r>
      <w:r>
        <w:rPr>
          <w:spacing w:val="-8"/>
          <w:sz w:val="20"/>
        </w:rPr>
        <w:t> </w:t>
      </w:r>
      <w:r>
        <w:rPr>
          <w:sz w:val="20"/>
        </w:rPr>
        <w:t>confidentiality</w:t>
      </w:r>
      <w:r>
        <w:rPr>
          <w:spacing w:val="-7"/>
          <w:sz w:val="20"/>
        </w:rPr>
        <w:t> </w:t>
      </w:r>
      <w:r>
        <w:rPr>
          <w:sz w:val="20"/>
        </w:rPr>
        <w:t>requirements,</w:t>
      </w:r>
      <w:r>
        <w:rPr>
          <w:spacing w:val="-8"/>
          <w:sz w:val="20"/>
        </w:rPr>
        <w:t> </w:t>
      </w:r>
      <w:r>
        <w:rPr>
          <w:sz w:val="20"/>
        </w:rPr>
        <w:t>information</w:t>
      </w:r>
      <w:r>
        <w:rPr>
          <w:spacing w:val="-7"/>
          <w:sz w:val="20"/>
        </w:rPr>
        <w:t> </w:t>
      </w:r>
      <w:r>
        <w:rPr>
          <w:sz w:val="20"/>
        </w:rPr>
        <w:t>should</w:t>
      </w:r>
      <w:r>
        <w:rPr>
          <w:spacing w:val="-8"/>
          <w:sz w:val="20"/>
        </w:rPr>
        <w:t> </w:t>
      </w:r>
      <w:r>
        <w:rPr>
          <w:sz w:val="20"/>
        </w:rPr>
        <w:t>also</w:t>
      </w:r>
      <w:r>
        <w:rPr>
          <w:spacing w:val="-7"/>
          <w:sz w:val="20"/>
        </w:rPr>
        <w:t> </w:t>
      </w:r>
      <w:r>
        <w:rPr>
          <w:sz w:val="20"/>
        </w:rPr>
        <w:t>be</w:t>
      </w:r>
      <w:r>
        <w:rPr>
          <w:spacing w:val="-8"/>
          <w:sz w:val="20"/>
        </w:rPr>
        <w:t> </w:t>
      </w:r>
      <w:r>
        <w:rPr>
          <w:sz w:val="20"/>
        </w:rPr>
        <w:t>collected</w:t>
      </w:r>
    </w:p>
    <w:p>
      <w:pPr>
        <w:pStyle w:val="BodyText"/>
        <w:spacing w:line="259" w:lineRule="exact"/>
        <w:ind w:left="2157"/>
      </w:pPr>
      <w:r>
        <w:rPr/>
        <w:t>about the experiences of people from the subject groups.</w:t>
      </w:r>
    </w:p>
    <w:p>
      <w:pPr>
        <w:pStyle w:val="ListParagraph"/>
        <w:numPr>
          <w:ilvl w:val="0"/>
          <w:numId w:val="123"/>
        </w:numPr>
        <w:tabs>
          <w:tab w:pos="2157" w:val="left" w:leader="none"/>
          <w:tab w:pos="2158" w:val="left" w:leader="none"/>
        </w:tabs>
        <w:spacing w:line="206" w:lineRule="auto" w:before="79" w:after="0"/>
        <w:ind w:left="2157" w:right="1292" w:hanging="396"/>
        <w:jc w:val="left"/>
        <w:rPr>
          <w:sz w:val="20"/>
        </w:rPr>
      </w:pPr>
      <w:r>
        <w:rPr>
          <w:sz w:val="20"/>
        </w:rPr>
        <w:t>This</w:t>
      </w:r>
      <w:r>
        <w:rPr>
          <w:spacing w:val="-11"/>
          <w:sz w:val="20"/>
        </w:rPr>
        <w:t> </w:t>
      </w:r>
      <w:r>
        <w:rPr>
          <w:sz w:val="20"/>
        </w:rPr>
        <w:t>data</w:t>
      </w:r>
      <w:r>
        <w:rPr>
          <w:spacing w:val="-10"/>
          <w:sz w:val="20"/>
        </w:rPr>
        <w:t> </w:t>
      </w:r>
      <w:r>
        <w:rPr>
          <w:sz w:val="20"/>
        </w:rPr>
        <w:t>will</w:t>
      </w:r>
      <w:r>
        <w:rPr>
          <w:spacing w:val="-11"/>
          <w:sz w:val="20"/>
        </w:rPr>
        <w:t> </w:t>
      </w:r>
      <w:r>
        <w:rPr>
          <w:sz w:val="20"/>
        </w:rPr>
        <w:t>assist</w:t>
      </w:r>
      <w:r>
        <w:rPr>
          <w:spacing w:val="-10"/>
          <w:sz w:val="20"/>
        </w:rPr>
        <w:t> </w:t>
      </w:r>
      <w:r>
        <w:rPr>
          <w:sz w:val="20"/>
        </w:rPr>
        <w:t>with</w:t>
      </w:r>
      <w:r>
        <w:rPr>
          <w:spacing w:val="-11"/>
          <w:sz w:val="20"/>
        </w:rPr>
        <w:t> </w:t>
      </w:r>
      <w:r>
        <w:rPr>
          <w:sz w:val="20"/>
        </w:rPr>
        <w:t>the</w:t>
      </w:r>
      <w:r>
        <w:rPr>
          <w:spacing w:val="-10"/>
          <w:sz w:val="20"/>
        </w:rPr>
        <w:t> </w:t>
      </w:r>
      <w:r>
        <w:rPr>
          <w:spacing w:val="-4"/>
          <w:sz w:val="20"/>
        </w:rPr>
        <w:t>review</w:t>
      </w:r>
      <w:r>
        <w:rPr>
          <w:spacing w:val="-11"/>
          <w:sz w:val="20"/>
        </w:rPr>
        <w:t> </w:t>
      </w:r>
      <w:r>
        <w:rPr>
          <w:sz w:val="20"/>
        </w:rPr>
        <w:t>of</w:t>
      </w:r>
      <w:r>
        <w:rPr>
          <w:spacing w:val="-10"/>
          <w:sz w:val="20"/>
        </w:rPr>
        <w:t> </w:t>
      </w:r>
      <w:r>
        <w:rPr>
          <w:sz w:val="20"/>
        </w:rPr>
        <w:t>new</w:t>
      </w:r>
      <w:r>
        <w:rPr>
          <w:spacing w:val="-10"/>
          <w:sz w:val="20"/>
        </w:rPr>
        <w:t> </w:t>
      </w:r>
      <w:r>
        <w:rPr>
          <w:sz w:val="20"/>
        </w:rPr>
        <w:t>laws,</w:t>
      </w:r>
      <w:r>
        <w:rPr>
          <w:spacing w:val="-11"/>
          <w:sz w:val="20"/>
        </w:rPr>
        <w:t> </w:t>
      </w:r>
      <w:r>
        <w:rPr>
          <w:sz w:val="20"/>
        </w:rPr>
        <w:t>policies</w:t>
      </w:r>
      <w:r>
        <w:rPr>
          <w:spacing w:val="-10"/>
          <w:sz w:val="20"/>
        </w:rPr>
        <w:t> </w:t>
      </w:r>
      <w:r>
        <w:rPr>
          <w:sz w:val="20"/>
        </w:rPr>
        <w:t>and</w:t>
      </w:r>
      <w:r>
        <w:rPr>
          <w:spacing w:val="-11"/>
          <w:sz w:val="20"/>
        </w:rPr>
        <w:t> </w:t>
      </w:r>
      <w:r>
        <w:rPr>
          <w:sz w:val="20"/>
        </w:rPr>
        <w:t>procedures,</w:t>
      </w:r>
      <w:r>
        <w:rPr>
          <w:spacing w:val="-10"/>
          <w:sz w:val="20"/>
        </w:rPr>
        <w:t> </w:t>
      </w:r>
      <w:r>
        <w:rPr>
          <w:sz w:val="20"/>
        </w:rPr>
        <w:t>to</w:t>
      </w:r>
      <w:r>
        <w:rPr>
          <w:spacing w:val="-11"/>
          <w:sz w:val="20"/>
        </w:rPr>
        <w:t> </w:t>
      </w:r>
      <w:r>
        <w:rPr>
          <w:sz w:val="20"/>
        </w:rPr>
        <w:t>check </w:t>
      </w:r>
      <w:r>
        <w:rPr>
          <w:spacing w:val="-3"/>
          <w:sz w:val="20"/>
        </w:rPr>
        <w:t>how</w:t>
      </w:r>
      <w:r>
        <w:rPr>
          <w:spacing w:val="-10"/>
          <w:sz w:val="20"/>
        </w:rPr>
        <w:t> </w:t>
      </w:r>
      <w:r>
        <w:rPr>
          <w:sz w:val="20"/>
        </w:rPr>
        <w:t>well</w:t>
      </w:r>
      <w:r>
        <w:rPr>
          <w:spacing w:val="-10"/>
          <w:sz w:val="20"/>
        </w:rPr>
        <w:t> </w:t>
      </w:r>
      <w:r>
        <w:rPr>
          <w:sz w:val="20"/>
        </w:rPr>
        <w:t>they</w:t>
      </w:r>
      <w:r>
        <w:rPr>
          <w:spacing w:val="-9"/>
          <w:sz w:val="20"/>
        </w:rPr>
        <w:t> </w:t>
      </w:r>
      <w:r>
        <w:rPr>
          <w:spacing w:val="-3"/>
          <w:sz w:val="20"/>
        </w:rPr>
        <w:t>are</w:t>
      </w:r>
      <w:r>
        <w:rPr>
          <w:spacing w:val="-10"/>
          <w:sz w:val="20"/>
        </w:rPr>
        <w:t> </w:t>
      </w:r>
      <w:r>
        <w:rPr>
          <w:sz w:val="20"/>
        </w:rPr>
        <w:t>enabling</w:t>
      </w:r>
      <w:r>
        <w:rPr>
          <w:spacing w:val="-9"/>
          <w:sz w:val="20"/>
        </w:rPr>
        <w:t> </w:t>
      </w:r>
      <w:r>
        <w:rPr>
          <w:sz w:val="20"/>
        </w:rPr>
        <w:t>people</w:t>
      </w:r>
      <w:r>
        <w:rPr>
          <w:spacing w:val="-10"/>
          <w:sz w:val="20"/>
        </w:rPr>
        <w:t> </w:t>
      </w:r>
      <w:r>
        <w:rPr>
          <w:sz w:val="20"/>
        </w:rPr>
        <w:t>in</w:t>
      </w:r>
      <w:r>
        <w:rPr>
          <w:spacing w:val="-10"/>
          <w:sz w:val="20"/>
        </w:rPr>
        <w:t> </w:t>
      </w:r>
      <w:r>
        <w:rPr>
          <w:sz w:val="20"/>
        </w:rPr>
        <w:t>the</w:t>
      </w:r>
      <w:r>
        <w:rPr>
          <w:spacing w:val="-9"/>
          <w:sz w:val="20"/>
        </w:rPr>
        <w:t> </w:t>
      </w:r>
      <w:r>
        <w:rPr>
          <w:sz w:val="20"/>
        </w:rPr>
        <w:t>subject</w:t>
      </w:r>
      <w:r>
        <w:rPr>
          <w:spacing w:val="-10"/>
          <w:sz w:val="20"/>
        </w:rPr>
        <w:t> </w:t>
      </w:r>
      <w:r>
        <w:rPr>
          <w:sz w:val="20"/>
        </w:rPr>
        <w:t>groups</w:t>
      </w:r>
      <w:r>
        <w:rPr>
          <w:spacing w:val="-9"/>
          <w:sz w:val="20"/>
        </w:rPr>
        <w:t> </w:t>
      </w:r>
      <w:r>
        <w:rPr>
          <w:sz w:val="20"/>
        </w:rPr>
        <w:t>to</w:t>
      </w:r>
      <w:r>
        <w:rPr>
          <w:spacing w:val="-10"/>
          <w:sz w:val="20"/>
        </w:rPr>
        <w:t> </w:t>
      </w:r>
      <w:r>
        <w:rPr>
          <w:sz w:val="20"/>
        </w:rPr>
        <w:t>serve</w:t>
      </w:r>
      <w:r>
        <w:rPr>
          <w:spacing w:val="-10"/>
          <w:sz w:val="20"/>
        </w:rPr>
        <w:t> </w:t>
      </w:r>
      <w:r>
        <w:rPr>
          <w:sz w:val="20"/>
        </w:rPr>
        <w:t>as</w:t>
      </w:r>
      <w:r>
        <w:rPr>
          <w:spacing w:val="-9"/>
          <w:sz w:val="20"/>
        </w:rPr>
        <w:t> </w:t>
      </w:r>
      <w:r>
        <w:rPr>
          <w:sz w:val="20"/>
        </w:rPr>
        <w:t>jurors,</w:t>
      </w:r>
      <w:r>
        <w:rPr>
          <w:spacing w:val="-10"/>
          <w:sz w:val="20"/>
        </w:rPr>
        <w:t> </w:t>
      </w:r>
      <w:r>
        <w:rPr>
          <w:sz w:val="20"/>
        </w:rPr>
        <w:t>and</w:t>
      </w:r>
      <w:r>
        <w:rPr>
          <w:spacing w:val="-9"/>
          <w:sz w:val="20"/>
        </w:rPr>
        <w:t> </w:t>
      </w:r>
      <w:r>
        <w:rPr>
          <w:sz w:val="20"/>
        </w:rPr>
        <w:t>to identify where </w:t>
      </w:r>
      <w:r>
        <w:rPr>
          <w:spacing w:val="-3"/>
          <w:sz w:val="20"/>
        </w:rPr>
        <w:t>improvements </w:t>
      </w:r>
      <w:r>
        <w:rPr>
          <w:sz w:val="20"/>
        </w:rPr>
        <w:t>can be</w:t>
      </w:r>
      <w:r>
        <w:rPr>
          <w:spacing w:val="-19"/>
          <w:sz w:val="20"/>
        </w:rPr>
        <w:t> </w:t>
      </w:r>
      <w:r>
        <w:rPr>
          <w:sz w:val="20"/>
        </w:rPr>
        <w:t>made.</w:t>
      </w:r>
    </w:p>
    <w:p>
      <w:pPr>
        <w:pStyle w:val="ListParagraph"/>
        <w:numPr>
          <w:ilvl w:val="0"/>
          <w:numId w:val="123"/>
        </w:numPr>
        <w:tabs>
          <w:tab w:pos="2157" w:val="left" w:leader="none"/>
          <w:tab w:pos="2158" w:val="left" w:leader="none"/>
        </w:tabs>
        <w:spacing w:line="240" w:lineRule="auto" w:before="57" w:after="0"/>
        <w:ind w:left="2157" w:right="0" w:hanging="396"/>
        <w:jc w:val="left"/>
        <w:rPr>
          <w:sz w:val="20"/>
        </w:rPr>
      </w:pPr>
      <w:r>
        <w:rPr>
          <w:sz w:val="20"/>
        </w:rPr>
        <w:t>Data</w:t>
      </w:r>
      <w:r>
        <w:rPr>
          <w:spacing w:val="-5"/>
          <w:sz w:val="20"/>
        </w:rPr>
        <w:t> </w:t>
      </w:r>
      <w:r>
        <w:rPr>
          <w:sz w:val="20"/>
        </w:rPr>
        <w:t>should</w:t>
      </w:r>
      <w:r>
        <w:rPr>
          <w:spacing w:val="-5"/>
          <w:sz w:val="20"/>
        </w:rPr>
        <w:t> </w:t>
      </w:r>
      <w:r>
        <w:rPr>
          <w:sz w:val="20"/>
        </w:rPr>
        <w:t>be</w:t>
      </w:r>
      <w:r>
        <w:rPr>
          <w:spacing w:val="-5"/>
          <w:sz w:val="20"/>
        </w:rPr>
        <w:t> </w:t>
      </w:r>
      <w:r>
        <w:rPr>
          <w:sz w:val="20"/>
        </w:rPr>
        <w:t>published</w:t>
      </w:r>
      <w:r>
        <w:rPr>
          <w:spacing w:val="-5"/>
          <w:sz w:val="20"/>
        </w:rPr>
        <w:t> </w:t>
      </w:r>
      <w:r>
        <w:rPr>
          <w:sz w:val="20"/>
        </w:rPr>
        <w:t>in</w:t>
      </w:r>
      <w:r>
        <w:rPr>
          <w:spacing w:val="-5"/>
          <w:sz w:val="20"/>
        </w:rPr>
        <w:t> </w:t>
      </w:r>
      <w:r>
        <w:rPr>
          <w:sz w:val="20"/>
        </w:rPr>
        <w:t>the</w:t>
      </w:r>
      <w:r>
        <w:rPr>
          <w:spacing w:val="-5"/>
          <w:sz w:val="20"/>
        </w:rPr>
        <w:t> </w:t>
      </w:r>
      <w:r>
        <w:rPr>
          <w:sz w:val="20"/>
        </w:rPr>
        <w:t>Supreme</w:t>
      </w:r>
      <w:r>
        <w:rPr>
          <w:spacing w:val="-4"/>
          <w:sz w:val="20"/>
        </w:rPr>
        <w:t> </w:t>
      </w:r>
      <w:r>
        <w:rPr>
          <w:sz w:val="20"/>
        </w:rPr>
        <w:t>Court</w:t>
      </w:r>
      <w:r>
        <w:rPr>
          <w:spacing w:val="-5"/>
          <w:sz w:val="20"/>
        </w:rPr>
        <w:t> </w:t>
      </w:r>
      <w:r>
        <w:rPr>
          <w:sz w:val="20"/>
        </w:rPr>
        <w:t>annual</w:t>
      </w:r>
      <w:r>
        <w:rPr>
          <w:spacing w:val="-5"/>
          <w:sz w:val="20"/>
        </w:rPr>
        <w:t> </w:t>
      </w:r>
      <w:r>
        <w:rPr>
          <w:sz w:val="20"/>
        </w:rPr>
        <w:t>report.</w:t>
      </w:r>
    </w:p>
    <w:p>
      <w:pPr>
        <w:pStyle w:val="ListParagraph"/>
        <w:numPr>
          <w:ilvl w:val="0"/>
          <w:numId w:val="123"/>
        </w:numPr>
        <w:tabs>
          <w:tab w:pos="2157" w:val="left" w:leader="none"/>
          <w:tab w:pos="2158" w:val="left" w:leader="none"/>
        </w:tabs>
        <w:spacing w:line="259" w:lineRule="exact" w:before="47" w:after="0"/>
        <w:ind w:left="2157" w:right="0" w:hanging="396"/>
        <w:jc w:val="left"/>
        <w:rPr>
          <w:sz w:val="20"/>
        </w:rPr>
      </w:pPr>
      <w:r>
        <w:rPr>
          <w:sz w:val="20"/>
        </w:rPr>
        <w:t>The</w:t>
      </w:r>
      <w:r>
        <w:rPr>
          <w:spacing w:val="-6"/>
          <w:sz w:val="20"/>
        </w:rPr>
        <w:t> </w:t>
      </w:r>
      <w:r>
        <w:rPr>
          <w:sz w:val="20"/>
        </w:rPr>
        <w:t>new</w:t>
      </w:r>
      <w:r>
        <w:rPr>
          <w:spacing w:val="-6"/>
          <w:sz w:val="20"/>
        </w:rPr>
        <w:t> </w:t>
      </w:r>
      <w:r>
        <w:rPr>
          <w:spacing w:val="-3"/>
          <w:sz w:val="20"/>
        </w:rPr>
        <w:t>laws</w:t>
      </w:r>
      <w:r>
        <w:rPr>
          <w:spacing w:val="-5"/>
          <w:sz w:val="20"/>
        </w:rPr>
        <w:t> </w:t>
      </w:r>
      <w:r>
        <w:rPr>
          <w:sz w:val="20"/>
        </w:rPr>
        <w:t>should</w:t>
      </w:r>
      <w:r>
        <w:rPr>
          <w:spacing w:val="-6"/>
          <w:sz w:val="20"/>
        </w:rPr>
        <w:t> </w:t>
      </w:r>
      <w:r>
        <w:rPr>
          <w:sz w:val="20"/>
        </w:rPr>
        <w:t>be</w:t>
      </w:r>
      <w:r>
        <w:rPr>
          <w:spacing w:val="-5"/>
          <w:sz w:val="20"/>
        </w:rPr>
        <w:t> </w:t>
      </w:r>
      <w:r>
        <w:rPr>
          <w:spacing w:val="-4"/>
          <w:sz w:val="20"/>
        </w:rPr>
        <w:t>reviewed</w:t>
      </w:r>
      <w:r>
        <w:rPr>
          <w:spacing w:val="-6"/>
          <w:sz w:val="20"/>
        </w:rPr>
        <w:t> </w:t>
      </w:r>
      <w:r>
        <w:rPr>
          <w:sz w:val="20"/>
        </w:rPr>
        <w:t>after</w:t>
      </w:r>
      <w:r>
        <w:rPr>
          <w:spacing w:val="-5"/>
          <w:sz w:val="20"/>
        </w:rPr>
        <w:t> </w:t>
      </w:r>
      <w:r>
        <w:rPr>
          <w:spacing w:val="-3"/>
          <w:sz w:val="20"/>
        </w:rPr>
        <w:t>five</w:t>
      </w:r>
      <w:r>
        <w:rPr>
          <w:spacing w:val="-6"/>
          <w:sz w:val="20"/>
        </w:rPr>
        <w:t> </w:t>
      </w:r>
      <w:r>
        <w:rPr>
          <w:spacing w:val="-3"/>
          <w:sz w:val="20"/>
        </w:rPr>
        <w:t>years</w:t>
      </w:r>
      <w:r>
        <w:rPr>
          <w:spacing w:val="-6"/>
          <w:sz w:val="20"/>
        </w:rPr>
        <w:t> </w:t>
      </w:r>
      <w:r>
        <w:rPr>
          <w:sz w:val="20"/>
        </w:rPr>
        <w:t>of</w:t>
      </w:r>
      <w:r>
        <w:rPr>
          <w:spacing w:val="-5"/>
          <w:sz w:val="20"/>
        </w:rPr>
        <w:t> </w:t>
      </w:r>
      <w:r>
        <w:rPr>
          <w:sz w:val="20"/>
        </w:rPr>
        <w:t>operation,</w:t>
      </w:r>
      <w:r>
        <w:rPr>
          <w:spacing w:val="-6"/>
          <w:sz w:val="20"/>
        </w:rPr>
        <w:t> </w:t>
      </w:r>
      <w:r>
        <w:rPr>
          <w:sz w:val="20"/>
        </w:rPr>
        <w:t>to</w:t>
      </w:r>
      <w:r>
        <w:rPr>
          <w:spacing w:val="-5"/>
          <w:sz w:val="20"/>
        </w:rPr>
        <w:t> </w:t>
      </w:r>
      <w:r>
        <w:rPr>
          <w:sz w:val="20"/>
        </w:rPr>
        <w:t>ensure</w:t>
      </w:r>
      <w:r>
        <w:rPr>
          <w:spacing w:val="-6"/>
          <w:sz w:val="20"/>
        </w:rPr>
        <w:t> </w:t>
      </w:r>
      <w:r>
        <w:rPr>
          <w:sz w:val="20"/>
        </w:rPr>
        <w:t>that</w:t>
      </w:r>
      <w:r>
        <w:rPr>
          <w:spacing w:val="-5"/>
          <w:sz w:val="20"/>
        </w:rPr>
        <w:t> </w:t>
      </w:r>
      <w:r>
        <w:rPr>
          <w:sz w:val="20"/>
        </w:rPr>
        <w:t>they</w:t>
      </w:r>
    </w:p>
    <w:p>
      <w:pPr>
        <w:pStyle w:val="BodyText"/>
        <w:spacing w:line="259" w:lineRule="exact"/>
        <w:ind w:left="2157"/>
      </w:pPr>
      <w:r>
        <w:rPr/>
        <w:t>are meeting their policy objectives.</w:t>
      </w:r>
    </w:p>
    <w:p>
      <w:pPr>
        <w:spacing w:before="185"/>
        <w:ind w:left="967" w:right="0" w:firstLine="0"/>
        <w:jc w:val="left"/>
        <w:rPr>
          <w:rFonts w:ascii="Raleway ExtraBold"/>
          <w:b/>
          <w:sz w:val="28"/>
        </w:rPr>
      </w:pPr>
      <w:r>
        <w:rPr>
          <w:rFonts w:ascii="Raleway ExtraBold"/>
          <w:b/>
          <w:color w:val="37617A"/>
          <w:sz w:val="28"/>
        </w:rPr>
        <w:t>Funding reforms</w:t>
      </w:r>
    </w:p>
    <w:p>
      <w:pPr>
        <w:pStyle w:val="BodyText"/>
        <w:spacing w:before="8"/>
        <w:rPr>
          <w:rFonts w:ascii="Raleway ExtraBold"/>
          <w:b/>
          <w:sz w:val="15"/>
        </w:rPr>
      </w:pPr>
      <w:r>
        <w:rPr/>
        <w:pict>
          <v:line style="position:absolute;mso-position-horizontal-relative:page;mso-position-vertical-relative:paragraph;z-index:11696;mso-wrap-distance-left:0;mso-wrap-distance-right:0" from="79.370102pt,13.016144pt" to="515.905102pt,13.016144pt" stroked="true" strokeweight=".5pt" strokecolor="#8f9dad">
            <v:stroke dashstyle="solid"/>
            <w10:wrap type="topAndBottom"/>
          </v:line>
        </w:pict>
      </w:r>
    </w:p>
    <w:p>
      <w:pPr>
        <w:spacing w:before="223"/>
        <w:ind w:left="206" w:right="444" w:firstLine="0"/>
        <w:jc w:val="center"/>
        <w:rPr>
          <w:rFonts w:ascii="Trebuchet MS"/>
          <w:i/>
          <w:sz w:val="11"/>
        </w:rPr>
      </w:pPr>
      <w:r>
        <w:rPr>
          <w:rFonts w:ascii="Trebuchet MS"/>
          <w:i/>
          <w:color w:val="37617A"/>
          <w:spacing w:val="-2"/>
          <w:w w:val="106"/>
          <w:sz w:val="20"/>
        </w:rPr>
        <w:t>A</w:t>
      </w:r>
      <w:r>
        <w:rPr>
          <w:rFonts w:ascii="Trebuchet MS"/>
          <w:i/>
          <w:color w:val="37617A"/>
          <w:spacing w:val="-1"/>
          <w:w w:val="108"/>
          <w:sz w:val="20"/>
        </w:rPr>
        <w:t>d</w:t>
      </w:r>
      <w:r>
        <w:rPr>
          <w:rFonts w:ascii="Trebuchet MS"/>
          <w:i/>
          <w:color w:val="37617A"/>
          <w:w w:val="100"/>
          <w:sz w:val="20"/>
        </w:rPr>
        <w:t>e</w:t>
      </w:r>
      <w:r>
        <w:rPr>
          <w:rFonts w:ascii="Trebuchet MS"/>
          <w:i/>
          <w:color w:val="37617A"/>
          <w:w w:val="107"/>
          <w:sz w:val="20"/>
        </w:rPr>
        <w:t>q</w:t>
      </w:r>
      <w:r>
        <w:rPr>
          <w:rFonts w:ascii="Trebuchet MS"/>
          <w:i/>
          <w:color w:val="37617A"/>
          <w:spacing w:val="-1"/>
          <w:w w:val="103"/>
          <w:sz w:val="20"/>
        </w:rPr>
        <w:t>u</w:t>
      </w:r>
      <w:r>
        <w:rPr>
          <w:rFonts w:ascii="Trebuchet MS"/>
          <w:i/>
          <w:color w:val="37617A"/>
          <w:spacing w:val="-1"/>
          <w:w w:val="99"/>
          <w:sz w:val="20"/>
        </w:rPr>
        <w:t>a</w:t>
      </w:r>
      <w:r>
        <w:rPr>
          <w:rFonts w:ascii="Trebuchet MS"/>
          <w:i/>
          <w:color w:val="37617A"/>
          <w:spacing w:val="-5"/>
          <w:w w:val="99"/>
          <w:sz w:val="20"/>
        </w:rPr>
        <w:t>t</w:t>
      </w:r>
      <w:r>
        <w:rPr>
          <w:rFonts w:ascii="Trebuchet MS"/>
          <w:i/>
          <w:color w:val="37617A"/>
          <w:w w:val="100"/>
          <w:sz w:val="20"/>
        </w:rPr>
        <w:t>e</w:t>
      </w:r>
      <w:r>
        <w:rPr>
          <w:rFonts w:ascii="Trebuchet MS"/>
          <w:i/>
          <w:color w:val="37617A"/>
          <w:spacing w:val="-13"/>
          <w:sz w:val="20"/>
        </w:rPr>
        <w:t> </w:t>
      </w:r>
      <w:r>
        <w:rPr>
          <w:rFonts w:ascii="Trebuchet MS"/>
          <w:i/>
          <w:color w:val="37617A"/>
          <w:spacing w:val="-2"/>
          <w:w w:val="83"/>
          <w:sz w:val="20"/>
        </w:rPr>
        <w:t>f</w:t>
      </w:r>
      <w:r>
        <w:rPr>
          <w:rFonts w:ascii="Trebuchet MS"/>
          <w:i/>
          <w:color w:val="37617A"/>
          <w:w w:val="103"/>
          <w:sz w:val="20"/>
        </w:rPr>
        <w:t>u</w:t>
      </w:r>
      <w:r>
        <w:rPr>
          <w:rFonts w:ascii="Trebuchet MS"/>
          <w:i/>
          <w:color w:val="37617A"/>
          <w:w w:val="103"/>
          <w:sz w:val="20"/>
        </w:rPr>
        <w:t>n</w:t>
      </w:r>
      <w:r>
        <w:rPr>
          <w:rFonts w:ascii="Trebuchet MS"/>
          <w:i/>
          <w:color w:val="37617A"/>
          <w:w w:val="108"/>
          <w:sz w:val="20"/>
        </w:rPr>
        <w:t>d</w:t>
      </w:r>
      <w:r>
        <w:rPr>
          <w:rFonts w:ascii="Trebuchet MS"/>
          <w:i/>
          <w:color w:val="37617A"/>
          <w:w w:val="73"/>
          <w:sz w:val="20"/>
        </w:rPr>
        <w:t>i</w:t>
      </w:r>
      <w:r>
        <w:rPr>
          <w:rFonts w:ascii="Trebuchet MS"/>
          <w:i/>
          <w:color w:val="37617A"/>
          <w:spacing w:val="-1"/>
          <w:w w:val="103"/>
          <w:sz w:val="20"/>
        </w:rPr>
        <w:t>n</w:t>
      </w:r>
      <w:r>
        <w:rPr>
          <w:rFonts w:ascii="Trebuchet MS"/>
          <w:i/>
          <w:color w:val="37617A"/>
          <w:w w:val="119"/>
          <w:sz w:val="20"/>
        </w:rPr>
        <w:t>g</w:t>
      </w:r>
      <w:r>
        <w:rPr>
          <w:rFonts w:ascii="Trebuchet MS"/>
          <w:i/>
          <w:color w:val="37617A"/>
          <w:spacing w:val="-13"/>
          <w:sz w:val="20"/>
        </w:rPr>
        <w:t> </w:t>
      </w:r>
      <w:r>
        <w:rPr>
          <w:rFonts w:ascii="Trebuchet MS"/>
          <w:i/>
          <w:color w:val="37617A"/>
          <w:w w:val="73"/>
          <w:sz w:val="20"/>
        </w:rPr>
        <w:t>i</w:t>
      </w:r>
      <w:r>
        <w:rPr>
          <w:rFonts w:ascii="Trebuchet MS"/>
          <w:i/>
          <w:color w:val="37617A"/>
          <w:w w:val="117"/>
          <w:sz w:val="20"/>
        </w:rPr>
        <w:t>s</w:t>
      </w:r>
      <w:r>
        <w:rPr>
          <w:rFonts w:ascii="Trebuchet MS"/>
          <w:i/>
          <w:color w:val="37617A"/>
          <w:spacing w:val="-13"/>
          <w:sz w:val="20"/>
        </w:rPr>
        <w:t> </w:t>
      </w:r>
      <w:r>
        <w:rPr>
          <w:rFonts w:ascii="Trebuchet MS"/>
          <w:i/>
          <w:color w:val="37617A"/>
          <w:w w:val="115"/>
          <w:sz w:val="20"/>
        </w:rPr>
        <w:t>c</w:t>
      </w:r>
      <w:r>
        <w:rPr>
          <w:rFonts w:ascii="Trebuchet MS"/>
          <w:i/>
          <w:color w:val="37617A"/>
          <w:spacing w:val="-2"/>
          <w:w w:val="84"/>
          <w:sz w:val="20"/>
        </w:rPr>
        <w:t>r</w:t>
      </w:r>
      <w:r>
        <w:rPr>
          <w:rFonts w:ascii="Trebuchet MS"/>
          <w:i/>
          <w:color w:val="37617A"/>
          <w:spacing w:val="-1"/>
          <w:w w:val="73"/>
          <w:sz w:val="20"/>
        </w:rPr>
        <w:t>i</w:t>
      </w:r>
      <w:r>
        <w:rPr>
          <w:rFonts w:ascii="Trebuchet MS"/>
          <w:i/>
          <w:color w:val="37617A"/>
          <w:spacing w:val="-1"/>
          <w:w w:val="80"/>
          <w:sz w:val="20"/>
        </w:rPr>
        <w:t>t</w:t>
      </w:r>
      <w:r>
        <w:rPr>
          <w:rFonts w:ascii="Trebuchet MS"/>
          <w:i/>
          <w:color w:val="37617A"/>
          <w:w w:val="73"/>
          <w:sz w:val="20"/>
        </w:rPr>
        <w:t>i</w:t>
      </w:r>
      <w:r>
        <w:rPr>
          <w:rFonts w:ascii="Trebuchet MS"/>
          <w:i/>
          <w:color w:val="37617A"/>
          <w:spacing w:val="-1"/>
          <w:w w:val="115"/>
          <w:sz w:val="20"/>
        </w:rPr>
        <w:t>c</w:t>
      </w:r>
      <w:r>
        <w:rPr>
          <w:rFonts w:ascii="Trebuchet MS"/>
          <w:i/>
          <w:color w:val="37617A"/>
          <w:w w:val="115"/>
          <w:sz w:val="20"/>
        </w:rPr>
        <w:t>a</w:t>
      </w:r>
      <w:r>
        <w:rPr>
          <w:rFonts w:ascii="Trebuchet MS"/>
          <w:i/>
          <w:color w:val="37617A"/>
          <w:w w:val="87"/>
          <w:sz w:val="20"/>
        </w:rPr>
        <w:t>l</w:t>
      </w:r>
      <w:r>
        <w:rPr>
          <w:rFonts w:ascii="Trebuchet MS"/>
          <w:i/>
          <w:color w:val="37617A"/>
          <w:spacing w:val="-13"/>
          <w:sz w:val="20"/>
        </w:rPr>
        <w:t> </w:t>
      </w:r>
      <w:r>
        <w:rPr>
          <w:rFonts w:ascii="Trebuchet MS"/>
          <w:i/>
          <w:color w:val="37617A"/>
          <w:spacing w:val="-5"/>
          <w:w w:val="83"/>
          <w:sz w:val="20"/>
        </w:rPr>
        <w:t>f</w:t>
      </w:r>
      <w:r>
        <w:rPr>
          <w:rFonts w:ascii="Trebuchet MS"/>
          <w:i/>
          <w:color w:val="37617A"/>
          <w:w w:val="107"/>
          <w:sz w:val="20"/>
        </w:rPr>
        <w:t>o</w:t>
      </w:r>
      <w:r>
        <w:rPr>
          <w:rFonts w:ascii="Trebuchet MS"/>
          <w:i/>
          <w:color w:val="37617A"/>
          <w:w w:val="84"/>
          <w:sz w:val="20"/>
        </w:rPr>
        <w:t>r</w:t>
      </w:r>
      <w:r>
        <w:rPr>
          <w:rFonts w:ascii="Trebuchet MS"/>
          <w:i/>
          <w:color w:val="37617A"/>
          <w:spacing w:val="-13"/>
          <w:sz w:val="20"/>
        </w:rPr>
        <w:t> </w:t>
      </w:r>
      <w:r>
        <w:rPr>
          <w:rFonts w:ascii="Trebuchet MS"/>
          <w:i/>
          <w:color w:val="37617A"/>
          <w:spacing w:val="-1"/>
          <w:w w:val="117"/>
          <w:sz w:val="20"/>
        </w:rPr>
        <w:t>s</w:t>
      </w:r>
      <w:r>
        <w:rPr>
          <w:rFonts w:ascii="Trebuchet MS"/>
          <w:i/>
          <w:color w:val="37617A"/>
          <w:spacing w:val="-1"/>
          <w:w w:val="103"/>
          <w:sz w:val="20"/>
        </w:rPr>
        <w:t>u</w:t>
      </w:r>
      <w:r>
        <w:rPr>
          <w:rFonts w:ascii="Trebuchet MS"/>
          <w:i/>
          <w:color w:val="37617A"/>
          <w:spacing w:val="-1"/>
          <w:w w:val="115"/>
          <w:sz w:val="20"/>
        </w:rPr>
        <w:t>cc</w:t>
      </w:r>
      <w:r>
        <w:rPr>
          <w:rFonts w:ascii="Trebuchet MS"/>
          <w:i/>
          <w:color w:val="37617A"/>
          <w:w w:val="100"/>
          <w:sz w:val="20"/>
        </w:rPr>
        <w:t>e</w:t>
      </w:r>
      <w:r>
        <w:rPr>
          <w:rFonts w:ascii="Trebuchet MS"/>
          <w:i/>
          <w:color w:val="37617A"/>
          <w:w w:val="117"/>
          <w:sz w:val="20"/>
        </w:rPr>
        <w:t>ss</w:t>
      </w:r>
      <w:r>
        <w:rPr>
          <w:rFonts w:ascii="Trebuchet MS"/>
          <w:i/>
          <w:color w:val="37617A"/>
          <w:spacing w:val="-13"/>
          <w:sz w:val="20"/>
        </w:rPr>
        <w:t> </w:t>
      </w:r>
      <w:r>
        <w:rPr>
          <w:rFonts w:ascii="Trebuchet MS"/>
          <w:i/>
          <w:color w:val="37617A"/>
          <w:spacing w:val="-3"/>
          <w:w w:val="103"/>
          <w:sz w:val="20"/>
        </w:rPr>
        <w:t>w</w:t>
      </w:r>
      <w:r>
        <w:rPr>
          <w:rFonts w:ascii="Trebuchet MS"/>
          <w:i/>
          <w:color w:val="37617A"/>
          <w:spacing w:val="-1"/>
          <w:w w:val="73"/>
          <w:sz w:val="20"/>
        </w:rPr>
        <w:t>i</w:t>
      </w:r>
      <w:r>
        <w:rPr>
          <w:rFonts w:ascii="Trebuchet MS"/>
          <w:i/>
          <w:color w:val="37617A"/>
          <w:spacing w:val="-1"/>
          <w:w w:val="80"/>
          <w:sz w:val="20"/>
        </w:rPr>
        <w:t>t</w:t>
      </w:r>
      <w:r>
        <w:rPr>
          <w:rFonts w:ascii="Trebuchet MS"/>
          <w:i/>
          <w:color w:val="37617A"/>
          <w:w w:val="101"/>
          <w:sz w:val="20"/>
        </w:rPr>
        <w:t>h</w:t>
      </w:r>
      <w:r>
        <w:rPr>
          <w:rFonts w:ascii="Trebuchet MS"/>
          <w:i/>
          <w:color w:val="37617A"/>
          <w:spacing w:val="-13"/>
          <w:sz w:val="20"/>
        </w:rPr>
        <w:t> </w:t>
      </w:r>
      <w:r>
        <w:rPr>
          <w:rFonts w:ascii="Trebuchet MS"/>
          <w:i/>
          <w:color w:val="37617A"/>
          <w:spacing w:val="-1"/>
          <w:w w:val="80"/>
          <w:sz w:val="20"/>
        </w:rPr>
        <w:t>t</w:t>
      </w:r>
      <w:r>
        <w:rPr>
          <w:rFonts w:ascii="Trebuchet MS"/>
          <w:i/>
          <w:color w:val="37617A"/>
          <w:w w:val="101"/>
          <w:sz w:val="20"/>
        </w:rPr>
        <w:t>h</w:t>
      </w:r>
      <w:r>
        <w:rPr>
          <w:rFonts w:ascii="Trebuchet MS"/>
          <w:i/>
          <w:color w:val="37617A"/>
          <w:w w:val="100"/>
          <w:sz w:val="20"/>
        </w:rPr>
        <w:t>e</w:t>
      </w:r>
      <w:r>
        <w:rPr>
          <w:rFonts w:ascii="Trebuchet MS"/>
          <w:i/>
          <w:color w:val="37617A"/>
          <w:spacing w:val="-2"/>
          <w:w w:val="117"/>
          <w:sz w:val="20"/>
        </w:rPr>
        <w:t>s</w:t>
      </w:r>
      <w:r>
        <w:rPr>
          <w:rFonts w:ascii="Trebuchet MS"/>
          <w:i/>
          <w:color w:val="37617A"/>
          <w:w w:val="100"/>
          <w:sz w:val="20"/>
        </w:rPr>
        <w:t>e</w:t>
      </w:r>
      <w:r>
        <w:rPr>
          <w:rFonts w:ascii="Trebuchet MS"/>
          <w:i/>
          <w:color w:val="37617A"/>
          <w:spacing w:val="-13"/>
          <w:sz w:val="20"/>
        </w:rPr>
        <w:t> </w:t>
      </w:r>
      <w:r>
        <w:rPr>
          <w:rFonts w:ascii="Trebuchet MS"/>
          <w:i/>
          <w:color w:val="37617A"/>
          <w:spacing w:val="-4"/>
          <w:w w:val="84"/>
          <w:sz w:val="20"/>
        </w:rPr>
        <w:t>r</w:t>
      </w:r>
      <w:r>
        <w:rPr>
          <w:rFonts w:ascii="Trebuchet MS"/>
          <w:i/>
          <w:color w:val="37617A"/>
          <w:spacing w:val="-1"/>
          <w:w w:val="100"/>
          <w:sz w:val="20"/>
        </w:rPr>
        <w:t>e</w:t>
      </w:r>
      <w:r>
        <w:rPr>
          <w:rFonts w:ascii="Trebuchet MS"/>
          <w:i/>
          <w:color w:val="37617A"/>
          <w:spacing w:val="-5"/>
          <w:w w:val="83"/>
          <w:sz w:val="20"/>
        </w:rPr>
        <w:t>f</w:t>
      </w:r>
      <w:r>
        <w:rPr>
          <w:rFonts w:ascii="Trebuchet MS"/>
          <w:i/>
          <w:color w:val="37617A"/>
          <w:w w:val="107"/>
          <w:sz w:val="20"/>
        </w:rPr>
        <w:t>o</w:t>
      </w:r>
      <w:r>
        <w:rPr>
          <w:rFonts w:ascii="Trebuchet MS"/>
          <w:i/>
          <w:color w:val="37617A"/>
          <w:spacing w:val="-2"/>
          <w:w w:val="84"/>
          <w:sz w:val="20"/>
        </w:rPr>
        <w:t>r</w:t>
      </w:r>
      <w:r>
        <w:rPr>
          <w:rFonts w:ascii="Trebuchet MS"/>
          <w:i/>
          <w:color w:val="37617A"/>
          <w:w w:val="106"/>
          <w:sz w:val="20"/>
        </w:rPr>
        <w:t>m</w:t>
      </w:r>
      <w:r>
        <w:rPr>
          <w:rFonts w:ascii="Trebuchet MS"/>
          <w:i/>
          <w:color w:val="37617A"/>
          <w:spacing w:val="3"/>
          <w:w w:val="117"/>
          <w:sz w:val="20"/>
        </w:rPr>
        <w:t>s</w:t>
      </w:r>
      <w:r>
        <w:rPr>
          <w:rFonts w:ascii="Trebuchet MS"/>
          <w:i/>
          <w:color w:val="37617A"/>
          <w:spacing w:val="5"/>
          <w:w w:val="54"/>
          <w:sz w:val="20"/>
        </w:rPr>
        <w:t>.</w:t>
      </w:r>
      <w:r>
        <w:rPr>
          <w:rFonts w:ascii="Trebuchet MS"/>
          <w:i/>
          <w:color w:val="37617A"/>
          <w:w w:val="103"/>
          <w:position w:val="7"/>
          <w:sz w:val="11"/>
        </w:rPr>
        <w:t>2</w:t>
      </w:r>
    </w:p>
    <w:p>
      <w:pPr>
        <w:spacing w:before="7"/>
        <w:ind w:left="206" w:right="444" w:firstLine="0"/>
        <w:jc w:val="center"/>
        <w:rPr>
          <w:rFonts w:ascii="Trebuchet MS" w:hAnsi="Trebuchet MS"/>
          <w:sz w:val="19"/>
        </w:rPr>
      </w:pPr>
      <w:r>
        <w:rPr>
          <w:rFonts w:ascii="Trebuchet MS" w:hAnsi="Trebuchet MS"/>
          <w:color w:val="37617A"/>
          <w:w w:val="105"/>
          <w:sz w:val="19"/>
        </w:rPr>
        <w:t>—Law Institute of Victoria</w:t>
      </w:r>
    </w:p>
    <w:p>
      <w:pPr>
        <w:pStyle w:val="BodyText"/>
        <w:spacing w:before="3"/>
        <w:rPr>
          <w:rFonts w:ascii="Trebuchet MS"/>
          <w:sz w:val="10"/>
        </w:rPr>
      </w:pPr>
      <w:r>
        <w:rPr/>
        <w:pict>
          <v:line style="position:absolute;mso-position-horizontal-relative:page;mso-position-vertical-relative:paragraph;z-index:11720;mso-wrap-distance-left:0;mso-wrap-distance-right:0" from="79.370102pt,8.157910pt" to="515.905102pt,8.157910pt" stroked="true" strokeweight=".5pt" strokecolor="#8f9dad">
            <v:stroke dashstyle="solid"/>
            <w10:wrap type="topAndBottom"/>
          </v:line>
        </w:pict>
      </w:r>
    </w:p>
    <w:p>
      <w:pPr>
        <w:pStyle w:val="BodyText"/>
        <w:rPr>
          <w:rFonts w:ascii="Trebuchet MS"/>
          <w:sz w:val="22"/>
        </w:rPr>
      </w:pPr>
    </w:p>
    <w:p>
      <w:pPr>
        <w:spacing w:before="152"/>
        <w:ind w:left="967" w:right="0" w:firstLine="0"/>
        <w:jc w:val="left"/>
        <w:rPr>
          <w:b/>
          <w:sz w:val="24"/>
        </w:rPr>
      </w:pPr>
      <w:r>
        <w:rPr>
          <w:b/>
          <w:sz w:val="24"/>
        </w:rPr>
        <w:t>Likely costs associated with reform</w:t>
      </w:r>
    </w:p>
    <w:p>
      <w:pPr>
        <w:pStyle w:val="ListParagraph"/>
        <w:numPr>
          <w:ilvl w:val="1"/>
          <w:numId w:val="12"/>
        </w:numPr>
        <w:tabs>
          <w:tab w:pos="1761" w:val="left" w:leader="none"/>
          <w:tab w:pos="1762" w:val="left" w:leader="none"/>
        </w:tabs>
        <w:spacing w:line="206" w:lineRule="auto" w:before="127" w:after="0"/>
        <w:ind w:left="1761" w:right="1972" w:hanging="794"/>
        <w:jc w:val="left"/>
        <w:rPr>
          <w:sz w:val="20"/>
        </w:rPr>
      </w:pPr>
      <w:r>
        <w:rPr>
          <w:sz w:val="20"/>
        </w:rPr>
        <w:t>Funding</w:t>
      </w:r>
      <w:r>
        <w:rPr>
          <w:spacing w:val="-12"/>
          <w:sz w:val="20"/>
        </w:rPr>
        <w:t> </w:t>
      </w:r>
      <w:r>
        <w:rPr>
          <w:sz w:val="20"/>
        </w:rPr>
        <w:t>will</w:t>
      </w:r>
      <w:r>
        <w:rPr>
          <w:spacing w:val="-11"/>
          <w:sz w:val="20"/>
        </w:rPr>
        <w:t> </w:t>
      </w:r>
      <w:r>
        <w:rPr>
          <w:sz w:val="20"/>
        </w:rPr>
        <w:t>be</w:t>
      </w:r>
      <w:r>
        <w:rPr>
          <w:spacing w:val="-12"/>
          <w:sz w:val="20"/>
        </w:rPr>
        <w:t> </w:t>
      </w:r>
      <w:r>
        <w:rPr>
          <w:sz w:val="20"/>
        </w:rPr>
        <w:t>needed</w:t>
      </w:r>
      <w:r>
        <w:rPr>
          <w:spacing w:val="-11"/>
          <w:sz w:val="20"/>
        </w:rPr>
        <w:t> </w:t>
      </w:r>
      <w:r>
        <w:rPr>
          <w:sz w:val="20"/>
        </w:rPr>
        <w:t>to</w:t>
      </w:r>
      <w:r>
        <w:rPr>
          <w:spacing w:val="-11"/>
          <w:sz w:val="20"/>
        </w:rPr>
        <w:t> </w:t>
      </w:r>
      <w:r>
        <w:rPr>
          <w:sz w:val="20"/>
        </w:rPr>
        <w:t>implement</w:t>
      </w:r>
      <w:r>
        <w:rPr>
          <w:spacing w:val="-12"/>
          <w:sz w:val="20"/>
        </w:rPr>
        <w:t> </w:t>
      </w:r>
      <w:r>
        <w:rPr>
          <w:sz w:val="20"/>
        </w:rPr>
        <w:t>the</w:t>
      </w:r>
      <w:r>
        <w:rPr>
          <w:spacing w:val="-11"/>
          <w:sz w:val="20"/>
        </w:rPr>
        <w:t> </w:t>
      </w:r>
      <w:r>
        <w:rPr>
          <w:spacing w:val="-3"/>
          <w:sz w:val="20"/>
        </w:rPr>
        <w:t>reforms</w:t>
      </w:r>
      <w:r>
        <w:rPr>
          <w:spacing w:val="-11"/>
          <w:sz w:val="20"/>
        </w:rPr>
        <w:t> </w:t>
      </w:r>
      <w:r>
        <w:rPr>
          <w:sz w:val="20"/>
        </w:rPr>
        <w:t>recommended</w:t>
      </w:r>
      <w:r>
        <w:rPr>
          <w:spacing w:val="-12"/>
          <w:sz w:val="20"/>
        </w:rPr>
        <w:t> </w:t>
      </w:r>
      <w:r>
        <w:rPr>
          <w:sz w:val="20"/>
        </w:rPr>
        <w:t>in</w:t>
      </w:r>
      <w:r>
        <w:rPr>
          <w:spacing w:val="-11"/>
          <w:sz w:val="20"/>
        </w:rPr>
        <w:t> </w:t>
      </w:r>
      <w:r>
        <w:rPr>
          <w:sz w:val="20"/>
        </w:rPr>
        <w:t>this</w:t>
      </w:r>
      <w:r>
        <w:rPr>
          <w:spacing w:val="-11"/>
          <w:sz w:val="20"/>
        </w:rPr>
        <w:t> </w:t>
      </w:r>
      <w:r>
        <w:rPr>
          <w:sz w:val="20"/>
        </w:rPr>
        <w:t>report, especially</w:t>
      </w:r>
      <w:r>
        <w:rPr>
          <w:spacing w:val="-5"/>
          <w:sz w:val="20"/>
        </w:rPr>
        <w:t> </w:t>
      </w:r>
      <w:r>
        <w:rPr>
          <w:spacing w:val="-3"/>
          <w:sz w:val="20"/>
        </w:rPr>
        <w:t>to:</w:t>
      </w:r>
    </w:p>
    <w:p>
      <w:pPr>
        <w:pStyle w:val="ListParagraph"/>
        <w:numPr>
          <w:ilvl w:val="2"/>
          <w:numId w:val="12"/>
        </w:numPr>
        <w:tabs>
          <w:tab w:pos="2157" w:val="left" w:leader="none"/>
          <w:tab w:pos="2158" w:val="left" w:leader="none"/>
        </w:tabs>
        <w:spacing w:line="240" w:lineRule="auto" w:before="90" w:after="0"/>
        <w:ind w:left="2157" w:right="0" w:hanging="396"/>
        <w:jc w:val="left"/>
        <w:rPr>
          <w:sz w:val="20"/>
        </w:rPr>
      </w:pPr>
      <w:r>
        <w:rPr>
          <w:spacing w:val="-3"/>
          <w:sz w:val="20"/>
        </w:rPr>
        <w:t>provide </w:t>
      </w:r>
      <w:r>
        <w:rPr>
          <w:sz w:val="20"/>
        </w:rPr>
        <w:t>reasonable</w:t>
      </w:r>
      <w:r>
        <w:rPr>
          <w:spacing w:val="-6"/>
          <w:sz w:val="20"/>
        </w:rPr>
        <w:t> </w:t>
      </w:r>
      <w:r>
        <w:rPr>
          <w:sz w:val="20"/>
        </w:rPr>
        <w:t>adjustments</w:t>
      </w:r>
    </w:p>
    <w:p>
      <w:pPr>
        <w:pStyle w:val="ListParagraph"/>
        <w:numPr>
          <w:ilvl w:val="2"/>
          <w:numId w:val="12"/>
        </w:numPr>
        <w:tabs>
          <w:tab w:pos="2157" w:val="left" w:leader="none"/>
          <w:tab w:pos="2158" w:val="left" w:leader="none"/>
        </w:tabs>
        <w:spacing w:line="206" w:lineRule="auto" w:before="80" w:after="0"/>
        <w:ind w:left="2157" w:right="1746" w:hanging="396"/>
        <w:jc w:val="left"/>
        <w:rPr>
          <w:sz w:val="20"/>
        </w:rPr>
      </w:pPr>
      <w:r>
        <w:rPr>
          <w:spacing w:val="-3"/>
          <w:sz w:val="20"/>
        </w:rPr>
        <w:t>provide</w:t>
      </w:r>
      <w:r>
        <w:rPr>
          <w:spacing w:val="-12"/>
          <w:sz w:val="20"/>
        </w:rPr>
        <w:t> </w:t>
      </w:r>
      <w:r>
        <w:rPr>
          <w:sz w:val="20"/>
        </w:rPr>
        <w:t>disability</w:t>
      </w:r>
      <w:r>
        <w:rPr>
          <w:spacing w:val="-12"/>
          <w:sz w:val="20"/>
        </w:rPr>
        <w:t> </w:t>
      </w:r>
      <w:r>
        <w:rPr>
          <w:spacing w:val="-3"/>
          <w:sz w:val="20"/>
        </w:rPr>
        <w:t>awareness</w:t>
      </w:r>
      <w:r>
        <w:rPr>
          <w:spacing w:val="-11"/>
          <w:sz w:val="20"/>
        </w:rPr>
        <w:t> </w:t>
      </w:r>
      <w:r>
        <w:rPr>
          <w:sz w:val="20"/>
        </w:rPr>
        <w:t>training</w:t>
      </w:r>
      <w:r>
        <w:rPr>
          <w:spacing w:val="-12"/>
          <w:sz w:val="20"/>
        </w:rPr>
        <w:t> </w:t>
      </w:r>
      <w:r>
        <w:rPr>
          <w:sz w:val="20"/>
        </w:rPr>
        <w:t>for</w:t>
      </w:r>
      <w:r>
        <w:rPr>
          <w:spacing w:val="-11"/>
          <w:sz w:val="20"/>
        </w:rPr>
        <w:t> </w:t>
      </w:r>
      <w:r>
        <w:rPr>
          <w:sz w:val="20"/>
        </w:rPr>
        <w:t>the</w:t>
      </w:r>
      <w:r>
        <w:rPr>
          <w:spacing w:val="-12"/>
          <w:sz w:val="20"/>
        </w:rPr>
        <w:t> </w:t>
      </w:r>
      <w:r>
        <w:rPr>
          <w:sz w:val="20"/>
        </w:rPr>
        <w:t>judiciary,</w:t>
      </w:r>
      <w:r>
        <w:rPr>
          <w:spacing w:val="-11"/>
          <w:sz w:val="20"/>
        </w:rPr>
        <w:t> </w:t>
      </w:r>
      <w:r>
        <w:rPr>
          <w:sz w:val="20"/>
        </w:rPr>
        <w:t>Juries</w:t>
      </w:r>
      <w:r>
        <w:rPr>
          <w:spacing w:val="-12"/>
          <w:sz w:val="20"/>
        </w:rPr>
        <w:t> </w:t>
      </w:r>
      <w:r>
        <w:rPr>
          <w:sz w:val="20"/>
        </w:rPr>
        <w:t>Victoria</w:t>
      </w:r>
      <w:r>
        <w:rPr>
          <w:spacing w:val="-12"/>
          <w:sz w:val="20"/>
        </w:rPr>
        <w:t> </w:t>
      </w:r>
      <w:r>
        <w:rPr>
          <w:sz w:val="20"/>
        </w:rPr>
        <w:t>and</w:t>
      </w:r>
      <w:r>
        <w:rPr>
          <w:spacing w:val="-11"/>
          <w:sz w:val="20"/>
        </w:rPr>
        <w:t> </w:t>
      </w:r>
      <w:r>
        <w:rPr>
          <w:sz w:val="20"/>
        </w:rPr>
        <w:t>legal professionals</w:t>
      </w:r>
    </w:p>
    <w:p>
      <w:pPr>
        <w:pStyle w:val="BodyText"/>
        <w:spacing w:before="9"/>
        <w:rPr>
          <w:sz w:val="15"/>
        </w:rPr>
      </w:pPr>
      <w:r>
        <w:rPr/>
        <w:pict>
          <v:line style="position:absolute;mso-position-horizontal-relative:page;mso-position-vertical-relative:paragraph;z-index:11744;mso-wrap-distance-left:0;mso-wrap-distance-right:0" from="79.370102pt,13.344139pt" to="515.905102pt,13.344139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spacing w:before="54"/>
        <w:ind w:left="100" w:right="0" w:firstLine="0"/>
        <w:jc w:val="left"/>
        <w:rPr>
          <w:b/>
          <w:sz w:val="24"/>
        </w:rPr>
      </w:pPr>
      <w:r>
        <w:rPr/>
        <w:pict>
          <v:rect style="position:absolute;margin-left:0pt;margin-top:99.213013pt;width:14.173pt;height:85.748pt;mso-position-horizontal-relative:page;mso-position-vertical-relative:page;z-index:13816" filled="true" fillcolor="#37617a" stroked="false">
            <v:fill type="solid"/>
            <w10:wrap type="none"/>
          </v:rect>
        </w:pict>
      </w:r>
      <w:r>
        <w:rPr>
          <w:b/>
          <w:color w:val="37617A"/>
          <w:sz w:val="24"/>
        </w:rPr>
        <w:t>220</w:t>
      </w:r>
    </w:p>
    <w:p>
      <w:pPr>
        <w:pStyle w:val="ListParagraph"/>
        <w:numPr>
          <w:ilvl w:val="0"/>
          <w:numId w:val="124"/>
        </w:numPr>
        <w:tabs>
          <w:tab w:pos="893" w:val="left" w:leader="none"/>
          <w:tab w:pos="894" w:val="left" w:leader="none"/>
        </w:tabs>
        <w:spacing w:line="170" w:lineRule="exact" w:before="21" w:after="0"/>
        <w:ind w:left="893" w:right="0" w:hanging="793"/>
        <w:jc w:val="left"/>
        <w:rPr>
          <w:sz w:val="13"/>
        </w:rPr>
      </w:pPr>
      <w:r>
        <w:rPr>
          <w:spacing w:val="3"/>
          <w:w w:val="100"/>
          <w:sz w:val="13"/>
        </w:rPr>
        <w:br w:type="column"/>
      </w:r>
      <w:r>
        <w:rPr>
          <w:spacing w:val="2"/>
          <w:sz w:val="13"/>
        </w:rPr>
        <w:t>Department </w:t>
      </w:r>
      <w:r>
        <w:rPr>
          <w:sz w:val="13"/>
        </w:rPr>
        <w:t>of Families, Fairness and Housing (Vic), </w:t>
      </w:r>
      <w:r>
        <w:rPr>
          <w:i/>
          <w:sz w:val="13"/>
        </w:rPr>
        <w:t>Inclusive Victoria: State Disability Plan 2022–2026 </w:t>
      </w:r>
      <w:r>
        <w:rPr>
          <w:spacing w:val="2"/>
          <w:sz w:val="13"/>
        </w:rPr>
        <w:t>(Report, </w:t>
      </w:r>
      <w:r>
        <w:rPr>
          <w:sz w:val="13"/>
        </w:rPr>
        <w:t>March 2022)</w:t>
      </w:r>
      <w:r>
        <w:rPr>
          <w:spacing w:val="27"/>
          <w:sz w:val="13"/>
        </w:rPr>
        <w:t> </w:t>
      </w:r>
      <w:r>
        <w:rPr>
          <w:spacing w:val="2"/>
          <w:sz w:val="13"/>
        </w:rPr>
        <w:t>31.</w:t>
      </w:r>
    </w:p>
    <w:p>
      <w:pPr>
        <w:pStyle w:val="ListParagraph"/>
        <w:numPr>
          <w:ilvl w:val="0"/>
          <w:numId w:val="124"/>
        </w:numPr>
        <w:tabs>
          <w:tab w:pos="893" w:val="left" w:leader="none"/>
          <w:tab w:pos="894" w:val="left" w:leader="none"/>
        </w:tabs>
        <w:spacing w:line="170" w:lineRule="exact" w:before="0" w:after="0"/>
        <w:ind w:left="893" w:right="0" w:hanging="793"/>
        <w:jc w:val="left"/>
        <w:rPr>
          <w:sz w:val="13"/>
        </w:rPr>
      </w:pPr>
      <w:r>
        <w:rPr>
          <w:sz w:val="13"/>
        </w:rPr>
        <w:t>Consultation 2 (Law Institute of</w:t>
      </w:r>
      <w:r>
        <w:rPr>
          <w:spacing w:val="1"/>
          <w:sz w:val="13"/>
        </w:rPr>
        <w:t> </w:t>
      </w:r>
      <w:r>
        <w:rPr>
          <w:sz w:val="13"/>
        </w:rPr>
        <w:t>Victoria).</w:t>
      </w:r>
    </w:p>
    <w:p>
      <w:pPr>
        <w:spacing w:after="0" w:line="170" w:lineRule="exact"/>
        <w:jc w:val="left"/>
        <w:rPr>
          <w:sz w:val="13"/>
        </w:rPr>
        <w:sectPr>
          <w:type w:val="continuous"/>
          <w:pgSz w:w="11910" w:h="16840"/>
          <w:pgMar w:top="620" w:bottom="280" w:left="620" w:right="380"/>
          <w:cols w:num="2" w:equalWidth="0">
            <w:col w:w="556" w:space="311"/>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4"/>
        </w:numPr>
        <w:tabs>
          <w:tab w:pos="2157" w:val="left" w:leader="none"/>
          <w:tab w:pos="2158" w:val="left" w:leader="none"/>
        </w:tabs>
        <w:spacing w:line="240" w:lineRule="auto" w:before="58" w:after="0"/>
        <w:ind w:left="2157" w:right="0" w:hanging="396"/>
        <w:jc w:val="left"/>
        <w:rPr>
          <w:sz w:val="20"/>
        </w:rPr>
      </w:pPr>
      <w:bookmarkStart w:name="_bookmark161" w:id="385"/>
      <w:bookmarkEnd w:id="385"/>
      <w:r>
        <w:rPr/>
      </w:r>
      <w:bookmarkStart w:name="_bookmark161" w:id="386"/>
      <w:bookmarkEnd w:id="386"/>
      <w:r>
        <w:rPr>
          <w:spacing w:val="-3"/>
          <w:sz w:val="20"/>
        </w:rPr>
        <w:t>p</w:t>
      </w:r>
      <w:r>
        <w:rPr>
          <w:spacing w:val="-3"/>
          <w:sz w:val="20"/>
        </w:rPr>
        <w:t>repare</w:t>
      </w:r>
      <w:r>
        <w:rPr>
          <w:spacing w:val="-6"/>
          <w:sz w:val="20"/>
        </w:rPr>
        <w:t> </w:t>
      </w:r>
      <w:r>
        <w:rPr>
          <w:sz w:val="20"/>
        </w:rPr>
        <w:t>training</w:t>
      </w:r>
      <w:r>
        <w:rPr>
          <w:spacing w:val="-6"/>
          <w:sz w:val="20"/>
        </w:rPr>
        <w:t> </w:t>
      </w:r>
      <w:r>
        <w:rPr>
          <w:sz w:val="20"/>
        </w:rPr>
        <w:t>materials</w:t>
      </w:r>
      <w:r>
        <w:rPr>
          <w:spacing w:val="-6"/>
          <w:sz w:val="20"/>
        </w:rPr>
        <w:t> </w:t>
      </w:r>
      <w:r>
        <w:rPr>
          <w:sz w:val="20"/>
        </w:rPr>
        <w:t>about</w:t>
      </w:r>
      <w:r>
        <w:rPr>
          <w:spacing w:val="-6"/>
          <w:sz w:val="20"/>
        </w:rPr>
        <w:t> </w:t>
      </w:r>
      <w:r>
        <w:rPr>
          <w:sz w:val="20"/>
        </w:rPr>
        <w:t>new</w:t>
      </w:r>
      <w:r>
        <w:rPr>
          <w:spacing w:val="-6"/>
          <w:sz w:val="20"/>
        </w:rPr>
        <w:t> </w:t>
      </w:r>
      <w:r>
        <w:rPr>
          <w:spacing w:val="-3"/>
          <w:sz w:val="20"/>
        </w:rPr>
        <w:t>laws</w:t>
      </w:r>
      <w:r>
        <w:rPr>
          <w:spacing w:val="-6"/>
          <w:sz w:val="20"/>
        </w:rPr>
        <w:t> </w:t>
      </w:r>
      <w:r>
        <w:rPr>
          <w:sz w:val="20"/>
        </w:rPr>
        <w:t>and</w:t>
      </w:r>
      <w:r>
        <w:rPr>
          <w:spacing w:val="-6"/>
          <w:sz w:val="20"/>
        </w:rPr>
        <w:t> </w:t>
      </w:r>
      <w:r>
        <w:rPr>
          <w:sz w:val="20"/>
        </w:rPr>
        <w:t>internal</w:t>
      </w:r>
      <w:r>
        <w:rPr>
          <w:spacing w:val="-5"/>
          <w:sz w:val="20"/>
        </w:rPr>
        <w:t> </w:t>
      </w:r>
      <w:r>
        <w:rPr>
          <w:sz w:val="20"/>
        </w:rPr>
        <w:t>operational</w:t>
      </w:r>
      <w:r>
        <w:rPr>
          <w:spacing w:val="-6"/>
          <w:sz w:val="20"/>
        </w:rPr>
        <w:t> </w:t>
      </w:r>
      <w:r>
        <w:rPr>
          <w:sz w:val="20"/>
        </w:rPr>
        <w:t>guidelines</w:t>
      </w:r>
    </w:p>
    <w:p>
      <w:pPr>
        <w:pStyle w:val="ListParagraph"/>
        <w:numPr>
          <w:ilvl w:val="1"/>
          <w:numId w:val="124"/>
        </w:numPr>
        <w:tabs>
          <w:tab w:pos="2157" w:val="left" w:leader="none"/>
          <w:tab w:pos="2158" w:val="left" w:leader="none"/>
        </w:tabs>
        <w:spacing w:line="206" w:lineRule="auto" w:before="79" w:after="0"/>
        <w:ind w:left="2157" w:right="2049" w:hanging="396"/>
        <w:jc w:val="left"/>
        <w:rPr>
          <w:sz w:val="20"/>
        </w:rPr>
      </w:pPr>
      <w:r>
        <w:rPr>
          <w:sz w:val="20"/>
        </w:rPr>
        <w:t>update</w:t>
      </w:r>
      <w:r>
        <w:rPr>
          <w:spacing w:val="-12"/>
          <w:sz w:val="20"/>
        </w:rPr>
        <w:t> </w:t>
      </w:r>
      <w:r>
        <w:rPr>
          <w:sz w:val="20"/>
        </w:rPr>
        <w:t>court</w:t>
      </w:r>
      <w:r>
        <w:rPr>
          <w:spacing w:val="-11"/>
          <w:sz w:val="20"/>
        </w:rPr>
        <w:t> </w:t>
      </w:r>
      <w:r>
        <w:rPr>
          <w:sz w:val="20"/>
        </w:rPr>
        <w:t>and</w:t>
      </w:r>
      <w:r>
        <w:rPr>
          <w:spacing w:val="-12"/>
          <w:sz w:val="20"/>
        </w:rPr>
        <w:t> </w:t>
      </w:r>
      <w:r>
        <w:rPr>
          <w:sz w:val="20"/>
        </w:rPr>
        <w:t>Juries</w:t>
      </w:r>
      <w:r>
        <w:rPr>
          <w:spacing w:val="-11"/>
          <w:sz w:val="20"/>
        </w:rPr>
        <w:t> </w:t>
      </w:r>
      <w:r>
        <w:rPr>
          <w:sz w:val="20"/>
        </w:rPr>
        <w:t>Victoria</w:t>
      </w:r>
      <w:r>
        <w:rPr>
          <w:spacing w:val="-11"/>
          <w:sz w:val="20"/>
        </w:rPr>
        <w:t> </w:t>
      </w:r>
      <w:r>
        <w:rPr>
          <w:spacing w:val="-3"/>
          <w:sz w:val="20"/>
        </w:rPr>
        <w:t>websites</w:t>
      </w:r>
      <w:r>
        <w:rPr>
          <w:spacing w:val="-12"/>
          <w:sz w:val="20"/>
        </w:rPr>
        <w:t> </w:t>
      </w:r>
      <w:r>
        <w:rPr>
          <w:sz w:val="20"/>
        </w:rPr>
        <w:t>with</w:t>
      </w:r>
      <w:r>
        <w:rPr>
          <w:spacing w:val="-11"/>
          <w:sz w:val="20"/>
        </w:rPr>
        <w:t> </w:t>
      </w:r>
      <w:r>
        <w:rPr>
          <w:sz w:val="20"/>
        </w:rPr>
        <w:t>clear</w:t>
      </w:r>
      <w:r>
        <w:rPr>
          <w:spacing w:val="-11"/>
          <w:sz w:val="20"/>
        </w:rPr>
        <w:t> </w:t>
      </w:r>
      <w:r>
        <w:rPr>
          <w:sz w:val="20"/>
        </w:rPr>
        <w:t>information</w:t>
      </w:r>
      <w:r>
        <w:rPr>
          <w:spacing w:val="-12"/>
          <w:sz w:val="20"/>
        </w:rPr>
        <w:t> </w:t>
      </w:r>
      <w:r>
        <w:rPr>
          <w:sz w:val="20"/>
        </w:rPr>
        <w:t>about</w:t>
      </w:r>
      <w:r>
        <w:rPr>
          <w:spacing w:val="-11"/>
          <w:sz w:val="20"/>
        </w:rPr>
        <w:t> </w:t>
      </w:r>
      <w:r>
        <w:rPr>
          <w:sz w:val="20"/>
        </w:rPr>
        <w:t>the operation of new </w:t>
      </w:r>
      <w:r>
        <w:rPr>
          <w:spacing w:val="-3"/>
          <w:sz w:val="20"/>
        </w:rPr>
        <w:t>laws </w:t>
      </w:r>
      <w:r>
        <w:rPr>
          <w:sz w:val="20"/>
        </w:rPr>
        <w:t>for the</w:t>
      </w:r>
      <w:r>
        <w:rPr>
          <w:spacing w:val="-24"/>
          <w:sz w:val="20"/>
        </w:rPr>
        <w:t> </w:t>
      </w:r>
      <w:r>
        <w:rPr>
          <w:sz w:val="20"/>
        </w:rPr>
        <w:t>community</w:t>
      </w:r>
    </w:p>
    <w:p>
      <w:pPr>
        <w:pStyle w:val="ListParagraph"/>
        <w:numPr>
          <w:ilvl w:val="1"/>
          <w:numId w:val="124"/>
        </w:numPr>
        <w:tabs>
          <w:tab w:pos="2157" w:val="left" w:leader="none"/>
          <w:tab w:pos="2158" w:val="left" w:leader="none"/>
        </w:tabs>
        <w:spacing w:line="259" w:lineRule="exact" w:before="56" w:after="0"/>
        <w:ind w:left="2157" w:right="0" w:hanging="396"/>
        <w:jc w:val="left"/>
        <w:rPr>
          <w:sz w:val="20"/>
        </w:rPr>
      </w:pPr>
      <w:r>
        <w:rPr>
          <w:sz w:val="20"/>
        </w:rPr>
        <w:t>train</w:t>
      </w:r>
      <w:r>
        <w:rPr>
          <w:spacing w:val="-7"/>
          <w:sz w:val="20"/>
        </w:rPr>
        <w:t> </w:t>
      </w:r>
      <w:r>
        <w:rPr>
          <w:sz w:val="20"/>
        </w:rPr>
        <w:t>new</w:t>
      </w:r>
      <w:r>
        <w:rPr>
          <w:spacing w:val="-7"/>
          <w:sz w:val="20"/>
        </w:rPr>
        <w:t> </w:t>
      </w:r>
      <w:r>
        <w:rPr>
          <w:sz w:val="20"/>
        </w:rPr>
        <w:t>accessibility</w:t>
      </w:r>
      <w:r>
        <w:rPr>
          <w:spacing w:val="-7"/>
          <w:sz w:val="20"/>
        </w:rPr>
        <w:t> </w:t>
      </w:r>
      <w:r>
        <w:rPr>
          <w:sz w:val="20"/>
        </w:rPr>
        <w:t>officers</w:t>
      </w:r>
      <w:r>
        <w:rPr>
          <w:spacing w:val="-7"/>
          <w:sz w:val="20"/>
        </w:rPr>
        <w:t> </w:t>
      </w:r>
      <w:r>
        <w:rPr>
          <w:sz w:val="20"/>
        </w:rPr>
        <w:t>who</w:t>
      </w:r>
      <w:r>
        <w:rPr>
          <w:spacing w:val="-7"/>
          <w:sz w:val="20"/>
        </w:rPr>
        <w:t> </w:t>
      </w:r>
      <w:r>
        <w:rPr>
          <w:sz w:val="20"/>
        </w:rPr>
        <w:t>will</w:t>
      </w:r>
      <w:r>
        <w:rPr>
          <w:spacing w:val="-7"/>
          <w:sz w:val="20"/>
        </w:rPr>
        <w:t> </w:t>
      </w:r>
      <w:r>
        <w:rPr>
          <w:spacing w:val="-3"/>
          <w:sz w:val="20"/>
        </w:rPr>
        <w:t>provide</w:t>
      </w:r>
      <w:r>
        <w:rPr>
          <w:spacing w:val="-7"/>
          <w:sz w:val="20"/>
        </w:rPr>
        <w:t> </w:t>
      </w:r>
      <w:r>
        <w:rPr>
          <w:sz w:val="20"/>
        </w:rPr>
        <w:t>logistical</w:t>
      </w:r>
      <w:r>
        <w:rPr>
          <w:spacing w:val="-7"/>
          <w:sz w:val="20"/>
        </w:rPr>
        <w:t> </w:t>
      </w:r>
      <w:r>
        <w:rPr>
          <w:sz w:val="20"/>
        </w:rPr>
        <w:t>assistance</w:t>
      </w:r>
      <w:r>
        <w:rPr>
          <w:spacing w:val="-7"/>
          <w:sz w:val="20"/>
        </w:rPr>
        <w:t> </w:t>
      </w:r>
      <w:r>
        <w:rPr>
          <w:sz w:val="20"/>
        </w:rPr>
        <w:t>to</w:t>
      </w:r>
      <w:r>
        <w:rPr>
          <w:spacing w:val="-7"/>
          <w:sz w:val="20"/>
        </w:rPr>
        <w:t> </w:t>
      </w:r>
      <w:r>
        <w:rPr>
          <w:sz w:val="20"/>
        </w:rPr>
        <w:t>jurors</w:t>
      </w:r>
      <w:r>
        <w:rPr>
          <w:spacing w:val="-7"/>
          <w:sz w:val="20"/>
        </w:rPr>
        <w:t> </w:t>
      </w:r>
      <w:r>
        <w:rPr>
          <w:spacing w:val="-3"/>
          <w:sz w:val="20"/>
        </w:rPr>
        <w:t>from</w:t>
      </w:r>
    </w:p>
    <w:p>
      <w:pPr>
        <w:pStyle w:val="BodyText"/>
        <w:spacing w:line="259" w:lineRule="exact"/>
        <w:ind w:left="2157"/>
      </w:pPr>
      <w:r>
        <w:rPr/>
        <w:t>the subject groups</w:t>
      </w:r>
    </w:p>
    <w:p>
      <w:pPr>
        <w:pStyle w:val="ListParagraph"/>
        <w:numPr>
          <w:ilvl w:val="1"/>
          <w:numId w:val="124"/>
        </w:numPr>
        <w:tabs>
          <w:tab w:pos="2157" w:val="left" w:leader="none"/>
          <w:tab w:pos="2158" w:val="left" w:leader="none"/>
        </w:tabs>
        <w:spacing w:line="240" w:lineRule="auto" w:before="47" w:after="0"/>
        <w:ind w:left="2157" w:right="0" w:hanging="396"/>
        <w:jc w:val="left"/>
        <w:rPr>
          <w:sz w:val="20"/>
        </w:rPr>
      </w:pPr>
      <w:r>
        <w:rPr>
          <w:sz w:val="20"/>
        </w:rPr>
        <w:t>collect</w:t>
      </w:r>
      <w:r>
        <w:rPr>
          <w:spacing w:val="-5"/>
          <w:sz w:val="20"/>
        </w:rPr>
        <w:t> </w:t>
      </w:r>
      <w:r>
        <w:rPr>
          <w:sz w:val="20"/>
        </w:rPr>
        <w:t>and</w:t>
      </w:r>
      <w:r>
        <w:rPr>
          <w:spacing w:val="-5"/>
          <w:sz w:val="20"/>
        </w:rPr>
        <w:t> </w:t>
      </w:r>
      <w:r>
        <w:rPr>
          <w:spacing w:val="-3"/>
          <w:sz w:val="20"/>
        </w:rPr>
        <w:t>analyse</w:t>
      </w:r>
      <w:r>
        <w:rPr>
          <w:spacing w:val="-5"/>
          <w:sz w:val="20"/>
        </w:rPr>
        <w:t> </w:t>
      </w:r>
      <w:r>
        <w:rPr>
          <w:sz w:val="20"/>
        </w:rPr>
        <w:t>data</w:t>
      </w:r>
      <w:r>
        <w:rPr>
          <w:spacing w:val="-5"/>
          <w:sz w:val="20"/>
        </w:rPr>
        <w:t> </w:t>
      </w:r>
      <w:r>
        <w:rPr>
          <w:sz w:val="20"/>
        </w:rPr>
        <w:t>about</w:t>
      </w:r>
      <w:r>
        <w:rPr>
          <w:spacing w:val="-5"/>
          <w:sz w:val="20"/>
        </w:rPr>
        <w:t> </w:t>
      </w:r>
      <w:r>
        <w:rPr>
          <w:sz w:val="20"/>
        </w:rPr>
        <w:t>the</w:t>
      </w:r>
      <w:r>
        <w:rPr>
          <w:spacing w:val="-5"/>
          <w:sz w:val="20"/>
        </w:rPr>
        <w:t> </w:t>
      </w:r>
      <w:r>
        <w:rPr>
          <w:sz w:val="20"/>
        </w:rPr>
        <w:t>implementation</w:t>
      </w:r>
      <w:r>
        <w:rPr>
          <w:spacing w:val="-4"/>
          <w:sz w:val="20"/>
        </w:rPr>
        <w:t> </w:t>
      </w:r>
      <w:r>
        <w:rPr>
          <w:sz w:val="20"/>
        </w:rPr>
        <w:t>of</w:t>
      </w:r>
      <w:r>
        <w:rPr>
          <w:spacing w:val="-5"/>
          <w:sz w:val="20"/>
        </w:rPr>
        <w:t> </w:t>
      </w:r>
      <w:r>
        <w:rPr>
          <w:sz w:val="20"/>
        </w:rPr>
        <w:t>new</w:t>
      </w:r>
      <w:r>
        <w:rPr>
          <w:spacing w:val="-5"/>
          <w:sz w:val="20"/>
        </w:rPr>
        <w:t> </w:t>
      </w:r>
      <w:r>
        <w:rPr>
          <w:spacing w:val="-3"/>
          <w:sz w:val="20"/>
        </w:rPr>
        <w:t>laws</w:t>
      </w:r>
    </w:p>
    <w:p>
      <w:pPr>
        <w:pStyle w:val="ListParagraph"/>
        <w:numPr>
          <w:ilvl w:val="1"/>
          <w:numId w:val="124"/>
        </w:numPr>
        <w:tabs>
          <w:tab w:pos="2157" w:val="left" w:leader="none"/>
          <w:tab w:pos="2158" w:val="left" w:leader="none"/>
        </w:tabs>
        <w:spacing w:line="240" w:lineRule="auto" w:before="48" w:after="0"/>
        <w:ind w:left="2157" w:right="0" w:hanging="396"/>
        <w:jc w:val="left"/>
        <w:rPr>
          <w:sz w:val="20"/>
        </w:rPr>
      </w:pPr>
      <w:r>
        <w:rPr>
          <w:spacing w:val="-4"/>
          <w:sz w:val="20"/>
        </w:rPr>
        <w:t>improve </w:t>
      </w:r>
      <w:r>
        <w:rPr>
          <w:sz w:val="20"/>
        </w:rPr>
        <w:t>the accessibility of Victorian courtrooms and</w:t>
      </w:r>
      <w:r>
        <w:rPr>
          <w:spacing w:val="-31"/>
          <w:sz w:val="20"/>
        </w:rPr>
        <w:t> </w:t>
      </w:r>
      <w:r>
        <w:rPr>
          <w:sz w:val="20"/>
        </w:rPr>
        <w:t>buildings</w:t>
      </w:r>
    </w:p>
    <w:p>
      <w:pPr>
        <w:pStyle w:val="ListParagraph"/>
        <w:numPr>
          <w:ilvl w:val="1"/>
          <w:numId w:val="124"/>
        </w:numPr>
        <w:tabs>
          <w:tab w:pos="2157" w:val="left" w:leader="none"/>
          <w:tab w:pos="2158" w:val="left" w:leader="none"/>
        </w:tabs>
        <w:spacing w:line="240" w:lineRule="auto" w:before="47" w:after="0"/>
        <w:ind w:left="2157" w:right="0" w:hanging="396"/>
        <w:jc w:val="left"/>
        <w:rPr>
          <w:sz w:val="20"/>
        </w:rPr>
      </w:pPr>
      <w:r>
        <w:rPr>
          <w:spacing w:val="-3"/>
          <w:sz w:val="20"/>
        </w:rPr>
        <w:t>promote</w:t>
      </w:r>
      <w:r>
        <w:rPr>
          <w:spacing w:val="-6"/>
          <w:sz w:val="20"/>
        </w:rPr>
        <w:t> </w:t>
      </w:r>
      <w:r>
        <w:rPr>
          <w:sz w:val="20"/>
        </w:rPr>
        <w:t>new</w:t>
      </w:r>
      <w:r>
        <w:rPr>
          <w:spacing w:val="-5"/>
          <w:sz w:val="20"/>
        </w:rPr>
        <w:t> </w:t>
      </w:r>
      <w:r>
        <w:rPr>
          <w:spacing w:val="-3"/>
          <w:sz w:val="20"/>
        </w:rPr>
        <w:t>laws</w:t>
      </w:r>
      <w:r>
        <w:rPr>
          <w:spacing w:val="-5"/>
          <w:sz w:val="20"/>
        </w:rPr>
        <w:t> </w:t>
      </w:r>
      <w:r>
        <w:rPr>
          <w:sz w:val="20"/>
        </w:rPr>
        <w:t>amongst</w:t>
      </w:r>
      <w:r>
        <w:rPr>
          <w:spacing w:val="-5"/>
          <w:sz w:val="20"/>
        </w:rPr>
        <w:t> </w:t>
      </w:r>
      <w:r>
        <w:rPr>
          <w:sz w:val="20"/>
        </w:rPr>
        <w:t>the</w:t>
      </w:r>
      <w:r>
        <w:rPr>
          <w:spacing w:val="-5"/>
          <w:sz w:val="20"/>
        </w:rPr>
        <w:t> </w:t>
      </w:r>
      <w:r>
        <w:rPr>
          <w:sz w:val="20"/>
        </w:rPr>
        <w:t>subject</w:t>
      </w:r>
      <w:r>
        <w:rPr>
          <w:spacing w:val="-5"/>
          <w:sz w:val="20"/>
        </w:rPr>
        <w:t> </w:t>
      </w:r>
      <w:r>
        <w:rPr>
          <w:sz w:val="20"/>
        </w:rPr>
        <w:t>groups</w:t>
      </w:r>
      <w:r>
        <w:rPr>
          <w:spacing w:val="-5"/>
          <w:sz w:val="20"/>
        </w:rPr>
        <w:t> </w:t>
      </w:r>
      <w:r>
        <w:rPr>
          <w:sz w:val="20"/>
        </w:rPr>
        <w:t>and</w:t>
      </w:r>
      <w:r>
        <w:rPr>
          <w:spacing w:val="-5"/>
          <w:sz w:val="20"/>
        </w:rPr>
        <w:t> </w:t>
      </w:r>
      <w:r>
        <w:rPr>
          <w:sz w:val="20"/>
        </w:rPr>
        <w:t>the</w:t>
      </w:r>
      <w:r>
        <w:rPr>
          <w:spacing w:val="-5"/>
          <w:sz w:val="20"/>
        </w:rPr>
        <w:t> </w:t>
      </w:r>
      <w:r>
        <w:rPr>
          <w:sz w:val="20"/>
        </w:rPr>
        <w:t>Aboriginal</w:t>
      </w:r>
      <w:r>
        <w:rPr>
          <w:spacing w:val="-5"/>
          <w:sz w:val="20"/>
        </w:rPr>
        <w:t> </w:t>
      </w:r>
      <w:r>
        <w:rPr>
          <w:spacing w:val="-3"/>
          <w:sz w:val="20"/>
        </w:rPr>
        <w:t>community.</w:t>
      </w:r>
    </w:p>
    <w:p>
      <w:pPr>
        <w:pStyle w:val="ListParagraph"/>
        <w:numPr>
          <w:ilvl w:val="1"/>
          <w:numId w:val="12"/>
        </w:numPr>
        <w:tabs>
          <w:tab w:pos="1761" w:val="left" w:leader="none"/>
          <w:tab w:pos="1762" w:val="left" w:leader="none"/>
        </w:tabs>
        <w:spacing w:line="206" w:lineRule="auto" w:before="80" w:after="0"/>
        <w:ind w:left="1761" w:right="1435" w:hanging="794"/>
        <w:jc w:val="left"/>
        <w:rPr>
          <w:sz w:val="20"/>
        </w:rPr>
      </w:pPr>
      <w:r>
        <w:rPr>
          <w:sz w:val="20"/>
        </w:rPr>
        <w:t>Juries Victoria and the courts should be funded to </w:t>
      </w:r>
      <w:r>
        <w:rPr>
          <w:spacing w:val="-3"/>
          <w:sz w:val="20"/>
        </w:rPr>
        <w:t>provide </w:t>
      </w:r>
      <w:r>
        <w:rPr>
          <w:sz w:val="20"/>
        </w:rPr>
        <w:t>reasonable adjustments as</w:t>
      </w:r>
      <w:r>
        <w:rPr>
          <w:spacing w:val="-12"/>
          <w:sz w:val="20"/>
        </w:rPr>
        <w:t> </w:t>
      </w:r>
      <w:r>
        <w:rPr>
          <w:sz w:val="20"/>
        </w:rPr>
        <w:t>required.</w:t>
      </w:r>
      <w:r>
        <w:rPr>
          <w:spacing w:val="-12"/>
          <w:sz w:val="20"/>
        </w:rPr>
        <w:t> </w:t>
      </w:r>
      <w:r>
        <w:rPr>
          <w:sz w:val="20"/>
        </w:rPr>
        <w:t>The</w:t>
      </w:r>
      <w:r>
        <w:rPr>
          <w:spacing w:val="-11"/>
          <w:sz w:val="20"/>
        </w:rPr>
        <w:t> </w:t>
      </w:r>
      <w:r>
        <w:rPr>
          <w:sz w:val="20"/>
        </w:rPr>
        <w:t>courts</w:t>
      </w:r>
      <w:r>
        <w:rPr>
          <w:spacing w:val="-12"/>
          <w:sz w:val="20"/>
        </w:rPr>
        <w:t> </w:t>
      </w:r>
      <w:r>
        <w:rPr>
          <w:spacing w:val="-4"/>
          <w:sz w:val="20"/>
        </w:rPr>
        <w:t>have</w:t>
      </w:r>
      <w:r>
        <w:rPr>
          <w:spacing w:val="-11"/>
          <w:sz w:val="20"/>
        </w:rPr>
        <w:t> </w:t>
      </w:r>
      <w:r>
        <w:rPr>
          <w:sz w:val="20"/>
        </w:rPr>
        <w:t>existing</w:t>
      </w:r>
      <w:r>
        <w:rPr>
          <w:spacing w:val="-12"/>
          <w:sz w:val="20"/>
        </w:rPr>
        <w:t> </w:t>
      </w:r>
      <w:r>
        <w:rPr>
          <w:sz w:val="20"/>
        </w:rPr>
        <w:t>obligations</w:t>
      </w:r>
      <w:r>
        <w:rPr>
          <w:spacing w:val="-11"/>
          <w:sz w:val="20"/>
        </w:rPr>
        <w:t> </w:t>
      </w:r>
      <w:r>
        <w:rPr>
          <w:sz w:val="20"/>
        </w:rPr>
        <w:t>to</w:t>
      </w:r>
      <w:r>
        <w:rPr>
          <w:spacing w:val="-12"/>
          <w:sz w:val="20"/>
        </w:rPr>
        <w:t> </w:t>
      </w:r>
      <w:r>
        <w:rPr>
          <w:spacing w:val="-3"/>
          <w:sz w:val="20"/>
        </w:rPr>
        <w:t>make</w:t>
      </w:r>
      <w:r>
        <w:rPr>
          <w:spacing w:val="-11"/>
          <w:sz w:val="20"/>
        </w:rPr>
        <w:t> </w:t>
      </w:r>
      <w:r>
        <w:rPr>
          <w:sz w:val="20"/>
        </w:rPr>
        <w:t>reasonable</w:t>
      </w:r>
      <w:r>
        <w:rPr>
          <w:spacing w:val="-12"/>
          <w:sz w:val="20"/>
        </w:rPr>
        <w:t> </w:t>
      </w:r>
      <w:r>
        <w:rPr>
          <w:sz w:val="20"/>
        </w:rPr>
        <w:t>adjustments</w:t>
      </w:r>
      <w:r>
        <w:rPr>
          <w:spacing w:val="-11"/>
          <w:sz w:val="20"/>
        </w:rPr>
        <w:t> </w:t>
      </w:r>
      <w:r>
        <w:rPr>
          <w:sz w:val="20"/>
        </w:rPr>
        <w:t>for </w:t>
      </w:r>
      <w:r>
        <w:rPr>
          <w:spacing w:val="-3"/>
          <w:sz w:val="20"/>
        </w:rPr>
        <w:t>anyone</w:t>
      </w:r>
      <w:r>
        <w:rPr>
          <w:spacing w:val="-9"/>
          <w:sz w:val="20"/>
        </w:rPr>
        <w:t> </w:t>
      </w:r>
      <w:r>
        <w:rPr>
          <w:sz w:val="20"/>
        </w:rPr>
        <w:t>in</w:t>
      </w:r>
      <w:r>
        <w:rPr>
          <w:spacing w:val="-9"/>
          <w:sz w:val="20"/>
        </w:rPr>
        <w:t> </w:t>
      </w:r>
      <w:r>
        <w:rPr>
          <w:sz w:val="20"/>
        </w:rPr>
        <w:t>the</w:t>
      </w:r>
      <w:r>
        <w:rPr>
          <w:spacing w:val="-9"/>
          <w:sz w:val="20"/>
        </w:rPr>
        <w:t> </w:t>
      </w:r>
      <w:r>
        <w:rPr>
          <w:sz w:val="20"/>
        </w:rPr>
        <w:t>subject</w:t>
      </w:r>
      <w:r>
        <w:rPr>
          <w:spacing w:val="-9"/>
          <w:sz w:val="20"/>
        </w:rPr>
        <w:t> </w:t>
      </w:r>
      <w:r>
        <w:rPr>
          <w:sz w:val="20"/>
        </w:rPr>
        <w:t>groups</w:t>
      </w:r>
      <w:r>
        <w:rPr>
          <w:spacing w:val="-8"/>
          <w:sz w:val="20"/>
        </w:rPr>
        <w:t> </w:t>
      </w:r>
      <w:r>
        <w:rPr>
          <w:sz w:val="20"/>
        </w:rPr>
        <w:t>who</w:t>
      </w:r>
      <w:r>
        <w:rPr>
          <w:spacing w:val="-9"/>
          <w:sz w:val="20"/>
        </w:rPr>
        <w:t> </w:t>
      </w:r>
      <w:r>
        <w:rPr>
          <w:sz w:val="20"/>
        </w:rPr>
        <w:t>is</w:t>
      </w:r>
      <w:r>
        <w:rPr>
          <w:spacing w:val="-9"/>
          <w:sz w:val="20"/>
        </w:rPr>
        <w:t> </w:t>
      </w:r>
      <w:r>
        <w:rPr>
          <w:sz w:val="20"/>
        </w:rPr>
        <w:t>working</w:t>
      </w:r>
      <w:r>
        <w:rPr>
          <w:spacing w:val="-9"/>
          <w:sz w:val="20"/>
        </w:rPr>
        <w:t> </w:t>
      </w:r>
      <w:r>
        <w:rPr>
          <w:sz w:val="20"/>
        </w:rPr>
        <w:t>in</w:t>
      </w:r>
      <w:r>
        <w:rPr>
          <w:spacing w:val="-9"/>
          <w:sz w:val="20"/>
        </w:rPr>
        <w:t> </w:t>
      </w:r>
      <w:r>
        <w:rPr>
          <w:sz w:val="20"/>
        </w:rPr>
        <w:t>or</w:t>
      </w:r>
      <w:r>
        <w:rPr>
          <w:spacing w:val="-8"/>
          <w:sz w:val="20"/>
        </w:rPr>
        <w:t> </w:t>
      </w:r>
      <w:r>
        <w:rPr>
          <w:sz w:val="20"/>
        </w:rPr>
        <w:t>receiving</w:t>
      </w:r>
      <w:r>
        <w:rPr>
          <w:spacing w:val="-9"/>
          <w:sz w:val="20"/>
        </w:rPr>
        <w:t> </w:t>
      </w:r>
      <w:r>
        <w:rPr>
          <w:sz w:val="20"/>
        </w:rPr>
        <w:t>a</w:t>
      </w:r>
      <w:r>
        <w:rPr>
          <w:spacing w:val="-9"/>
          <w:sz w:val="20"/>
        </w:rPr>
        <w:t> </w:t>
      </w:r>
      <w:r>
        <w:rPr>
          <w:sz w:val="20"/>
        </w:rPr>
        <w:t>service</w:t>
      </w:r>
      <w:r>
        <w:rPr>
          <w:spacing w:val="-9"/>
          <w:sz w:val="20"/>
        </w:rPr>
        <w:t> </w:t>
      </w:r>
      <w:r>
        <w:rPr>
          <w:spacing w:val="-3"/>
          <w:sz w:val="20"/>
        </w:rPr>
        <w:t>from</w:t>
      </w:r>
      <w:r>
        <w:rPr>
          <w:spacing w:val="-8"/>
          <w:sz w:val="20"/>
        </w:rPr>
        <w:t> </w:t>
      </w:r>
      <w:r>
        <w:rPr>
          <w:sz w:val="20"/>
        </w:rPr>
        <w:t>the</w:t>
      </w:r>
      <w:r>
        <w:rPr>
          <w:spacing w:val="-9"/>
          <w:sz w:val="20"/>
        </w:rPr>
        <w:t> </w:t>
      </w:r>
      <w:r>
        <w:rPr>
          <w:sz w:val="20"/>
        </w:rPr>
        <w:t>court.</w:t>
      </w:r>
      <w:r>
        <w:rPr>
          <w:position w:val="7"/>
          <w:sz w:val="11"/>
        </w:rPr>
        <w:t>3</w:t>
      </w:r>
      <w:r>
        <w:rPr>
          <w:sz w:val="11"/>
        </w:rPr>
        <w:t> </w:t>
      </w:r>
      <w:r>
        <w:rPr>
          <w:sz w:val="20"/>
        </w:rPr>
        <w:t>The</w:t>
      </w:r>
      <w:r>
        <w:rPr>
          <w:spacing w:val="-10"/>
          <w:sz w:val="20"/>
        </w:rPr>
        <w:t> </w:t>
      </w:r>
      <w:r>
        <w:rPr>
          <w:sz w:val="20"/>
        </w:rPr>
        <w:t>costs</w:t>
      </w:r>
      <w:r>
        <w:rPr>
          <w:spacing w:val="-9"/>
          <w:sz w:val="20"/>
        </w:rPr>
        <w:t> </w:t>
      </w:r>
      <w:r>
        <w:rPr>
          <w:sz w:val="20"/>
        </w:rPr>
        <w:t>to</w:t>
      </w:r>
      <w:r>
        <w:rPr>
          <w:spacing w:val="-9"/>
          <w:sz w:val="20"/>
        </w:rPr>
        <w:t> </w:t>
      </w:r>
      <w:r>
        <w:rPr>
          <w:sz w:val="20"/>
        </w:rPr>
        <w:t>enable</w:t>
      </w:r>
      <w:r>
        <w:rPr>
          <w:spacing w:val="-9"/>
          <w:sz w:val="20"/>
        </w:rPr>
        <w:t> </w:t>
      </w:r>
      <w:r>
        <w:rPr>
          <w:spacing w:val="-3"/>
          <w:sz w:val="20"/>
        </w:rPr>
        <w:t>inclusive</w:t>
      </w:r>
      <w:r>
        <w:rPr>
          <w:spacing w:val="-9"/>
          <w:sz w:val="20"/>
        </w:rPr>
        <w:t> </w:t>
      </w:r>
      <w:r>
        <w:rPr>
          <w:sz w:val="20"/>
        </w:rPr>
        <w:t>juries</w:t>
      </w:r>
      <w:r>
        <w:rPr>
          <w:spacing w:val="-9"/>
          <w:sz w:val="20"/>
        </w:rPr>
        <w:t> </w:t>
      </w:r>
      <w:r>
        <w:rPr>
          <w:sz w:val="20"/>
        </w:rPr>
        <w:t>should</w:t>
      </w:r>
      <w:r>
        <w:rPr>
          <w:spacing w:val="-9"/>
          <w:sz w:val="20"/>
        </w:rPr>
        <w:t> </w:t>
      </w:r>
      <w:r>
        <w:rPr>
          <w:sz w:val="20"/>
        </w:rPr>
        <w:t>be</w:t>
      </w:r>
      <w:r>
        <w:rPr>
          <w:spacing w:val="-9"/>
          <w:sz w:val="20"/>
        </w:rPr>
        <w:t> </w:t>
      </w:r>
      <w:r>
        <w:rPr>
          <w:spacing w:val="-3"/>
          <w:sz w:val="20"/>
        </w:rPr>
        <w:t>viewed</w:t>
      </w:r>
      <w:r>
        <w:rPr>
          <w:spacing w:val="-9"/>
          <w:sz w:val="20"/>
        </w:rPr>
        <w:t> </w:t>
      </w:r>
      <w:r>
        <w:rPr>
          <w:sz w:val="20"/>
        </w:rPr>
        <w:t>in</w:t>
      </w:r>
      <w:r>
        <w:rPr>
          <w:spacing w:val="-9"/>
          <w:sz w:val="20"/>
        </w:rPr>
        <w:t> </w:t>
      </w:r>
      <w:r>
        <w:rPr>
          <w:sz w:val="20"/>
        </w:rPr>
        <w:t>the</w:t>
      </w:r>
      <w:r>
        <w:rPr>
          <w:spacing w:val="-9"/>
          <w:sz w:val="20"/>
        </w:rPr>
        <w:t> </w:t>
      </w:r>
      <w:r>
        <w:rPr>
          <w:sz w:val="20"/>
        </w:rPr>
        <w:t>context</w:t>
      </w:r>
      <w:r>
        <w:rPr>
          <w:spacing w:val="-9"/>
          <w:sz w:val="20"/>
        </w:rPr>
        <w:t> </w:t>
      </w:r>
      <w:r>
        <w:rPr>
          <w:sz w:val="20"/>
        </w:rPr>
        <w:t>of</w:t>
      </w:r>
      <w:r>
        <w:rPr>
          <w:spacing w:val="-10"/>
          <w:sz w:val="20"/>
        </w:rPr>
        <w:t> </w:t>
      </w:r>
      <w:r>
        <w:rPr>
          <w:sz w:val="20"/>
        </w:rPr>
        <w:t>those</w:t>
      </w:r>
      <w:r>
        <w:rPr>
          <w:spacing w:val="-9"/>
          <w:sz w:val="20"/>
        </w:rPr>
        <w:t> </w:t>
      </w:r>
      <w:r>
        <w:rPr>
          <w:sz w:val="20"/>
        </w:rPr>
        <w:t>existing obligations.</w:t>
      </w:r>
    </w:p>
    <w:p>
      <w:pPr>
        <w:pStyle w:val="ListParagraph"/>
        <w:numPr>
          <w:ilvl w:val="1"/>
          <w:numId w:val="12"/>
        </w:numPr>
        <w:tabs>
          <w:tab w:pos="1761" w:val="left" w:leader="none"/>
          <w:tab w:pos="1762" w:val="left" w:leader="none"/>
        </w:tabs>
        <w:spacing w:line="206" w:lineRule="auto" w:before="126" w:after="0"/>
        <w:ind w:left="1761" w:right="1214" w:hanging="794"/>
        <w:jc w:val="left"/>
        <w:rPr>
          <w:sz w:val="11"/>
        </w:rPr>
      </w:pPr>
      <w:r>
        <w:rPr>
          <w:sz w:val="20"/>
        </w:rPr>
        <w:t>It is </w:t>
      </w:r>
      <w:r>
        <w:rPr>
          <w:spacing w:val="-3"/>
          <w:sz w:val="20"/>
        </w:rPr>
        <w:t>likely </w:t>
      </w:r>
      <w:r>
        <w:rPr>
          <w:sz w:val="20"/>
        </w:rPr>
        <w:t>that the highest ongoing costs associated with the </w:t>
      </w:r>
      <w:r>
        <w:rPr>
          <w:spacing w:val="-3"/>
          <w:sz w:val="20"/>
        </w:rPr>
        <w:t>provision </w:t>
      </w:r>
      <w:r>
        <w:rPr>
          <w:sz w:val="20"/>
        </w:rPr>
        <w:t>of adjustments will be for Auslan </w:t>
      </w:r>
      <w:r>
        <w:rPr>
          <w:spacing w:val="-3"/>
          <w:sz w:val="20"/>
        </w:rPr>
        <w:t>interpreters, </w:t>
      </w:r>
      <w:r>
        <w:rPr>
          <w:sz w:val="20"/>
        </w:rPr>
        <w:t>Communication </w:t>
      </w:r>
      <w:r>
        <w:rPr>
          <w:spacing w:val="-3"/>
          <w:sz w:val="20"/>
        </w:rPr>
        <w:t>Access </w:t>
      </w:r>
      <w:r>
        <w:rPr>
          <w:sz w:val="20"/>
        </w:rPr>
        <w:t>Real Time </w:t>
      </w:r>
      <w:r>
        <w:rPr>
          <w:spacing w:val="-4"/>
          <w:sz w:val="20"/>
        </w:rPr>
        <w:t>Technology </w:t>
      </w:r>
      <w:r>
        <w:rPr>
          <w:sz w:val="20"/>
        </w:rPr>
        <w:t>(CART) and stenographers. A minimum of two </w:t>
      </w:r>
      <w:r>
        <w:rPr>
          <w:spacing w:val="-3"/>
          <w:sz w:val="20"/>
        </w:rPr>
        <w:t>interpreters </w:t>
      </w:r>
      <w:r>
        <w:rPr>
          <w:sz w:val="20"/>
        </w:rPr>
        <w:t>will be </w:t>
      </w:r>
      <w:r>
        <w:rPr>
          <w:spacing w:val="-3"/>
          <w:sz w:val="20"/>
        </w:rPr>
        <w:t>required </w:t>
      </w:r>
      <w:r>
        <w:rPr>
          <w:sz w:val="20"/>
        </w:rPr>
        <w:t>for court </w:t>
      </w:r>
      <w:r>
        <w:rPr>
          <w:spacing w:val="-3"/>
          <w:sz w:val="20"/>
        </w:rPr>
        <w:t>work </w:t>
      </w:r>
      <w:r>
        <w:rPr>
          <w:sz w:val="20"/>
        </w:rPr>
        <w:t>and three for a long trial or to </w:t>
      </w:r>
      <w:r>
        <w:rPr>
          <w:spacing w:val="-4"/>
          <w:sz w:val="20"/>
        </w:rPr>
        <w:t>cover </w:t>
      </w:r>
      <w:r>
        <w:rPr>
          <w:sz w:val="20"/>
        </w:rPr>
        <w:t>breaks </w:t>
      </w:r>
      <w:r>
        <w:rPr>
          <w:spacing w:val="-4"/>
          <w:sz w:val="20"/>
        </w:rPr>
        <w:t>(any </w:t>
      </w:r>
      <w:r>
        <w:rPr>
          <w:sz w:val="20"/>
        </w:rPr>
        <w:t>duration longer than one hour will </w:t>
      </w:r>
      <w:r>
        <w:rPr>
          <w:spacing w:val="-4"/>
          <w:sz w:val="20"/>
        </w:rPr>
        <w:t>involve </w:t>
      </w:r>
      <w:r>
        <w:rPr>
          <w:spacing w:val="-3"/>
          <w:sz w:val="20"/>
        </w:rPr>
        <w:t>interpreters </w:t>
      </w:r>
      <w:r>
        <w:rPr>
          <w:sz w:val="20"/>
        </w:rPr>
        <w:t>working together in tandem). Complex cases might also </w:t>
      </w:r>
      <w:r>
        <w:rPr>
          <w:spacing w:val="-3"/>
          <w:sz w:val="20"/>
        </w:rPr>
        <w:t>require </w:t>
      </w:r>
      <w:r>
        <w:rPr>
          <w:sz w:val="20"/>
        </w:rPr>
        <w:t>some preparation</w:t>
      </w:r>
      <w:r>
        <w:rPr>
          <w:spacing w:val="-14"/>
          <w:sz w:val="20"/>
        </w:rPr>
        <w:t> </w:t>
      </w:r>
      <w:r>
        <w:rPr>
          <w:sz w:val="20"/>
        </w:rPr>
        <w:t>and</w:t>
      </w:r>
      <w:r>
        <w:rPr>
          <w:spacing w:val="-13"/>
          <w:sz w:val="20"/>
        </w:rPr>
        <w:t> </w:t>
      </w:r>
      <w:r>
        <w:rPr>
          <w:sz w:val="20"/>
        </w:rPr>
        <w:t>briefing</w:t>
      </w:r>
      <w:r>
        <w:rPr>
          <w:spacing w:val="-14"/>
          <w:sz w:val="20"/>
        </w:rPr>
        <w:t> </w:t>
      </w:r>
      <w:r>
        <w:rPr>
          <w:sz w:val="20"/>
        </w:rPr>
        <w:t>time,</w:t>
      </w:r>
      <w:r>
        <w:rPr>
          <w:spacing w:val="-13"/>
          <w:sz w:val="20"/>
        </w:rPr>
        <w:t> </w:t>
      </w:r>
      <w:r>
        <w:rPr>
          <w:sz w:val="20"/>
        </w:rPr>
        <w:t>with</w:t>
      </w:r>
      <w:r>
        <w:rPr>
          <w:spacing w:val="-14"/>
          <w:sz w:val="20"/>
        </w:rPr>
        <w:t> </w:t>
      </w:r>
      <w:r>
        <w:rPr>
          <w:sz w:val="20"/>
        </w:rPr>
        <w:t>associated</w:t>
      </w:r>
      <w:r>
        <w:rPr>
          <w:spacing w:val="-13"/>
          <w:sz w:val="20"/>
        </w:rPr>
        <w:t> </w:t>
      </w:r>
      <w:r>
        <w:rPr>
          <w:sz w:val="20"/>
        </w:rPr>
        <w:t>costs.</w:t>
      </w:r>
      <w:r>
        <w:rPr>
          <w:spacing w:val="-14"/>
          <w:sz w:val="20"/>
        </w:rPr>
        <w:t> </w:t>
      </w:r>
      <w:r>
        <w:rPr>
          <w:sz w:val="20"/>
        </w:rPr>
        <w:t>Additional</w:t>
      </w:r>
      <w:r>
        <w:rPr>
          <w:spacing w:val="-13"/>
          <w:sz w:val="20"/>
        </w:rPr>
        <w:t> </w:t>
      </w:r>
      <w:r>
        <w:rPr>
          <w:spacing w:val="-3"/>
          <w:sz w:val="20"/>
        </w:rPr>
        <w:t>travel</w:t>
      </w:r>
      <w:r>
        <w:rPr>
          <w:spacing w:val="-13"/>
          <w:sz w:val="20"/>
        </w:rPr>
        <w:t> </w:t>
      </w:r>
      <w:r>
        <w:rPr>
          <w:sz w:val="20"/>
        </w:rPr>
        <w:t>payments</w:t>
      </w:r>
      <w:r>
        <w:rPr>
          <w:spacing w:val="-14"/>
          <w:sz w:val="20"/>
        </w:rPr>
        <w:t> </w:t>
      </w:r>
      <w:r>
        <w:rPr>
          <w:spacing w:val="-3"/>
          <w:sz w:val="20"/>
        </w:rPr>
        <w:t>may</w:t>
      </w:r>
      <w:r>
        <w:rPr>
          <w:spacing w:val="-13"/>
          <w:sz w:val="20"/>
        </w:rPr>
        <w:t> </w:t>
      </w:r>
      <w:r>
        <w:rPr>
          <w:sz w:val="20"/>
        </w:rPr>
        <w:t>be required for regional cases, non-metropolitan areas, and more </w:t>
      </w:r>
      <w:r>
        <w:rPr>
          <w:spacing w:val="-3"/>
          <w:sz w:val="20"/>
        </w:rPr>
        <w:t>outlying </w:t>
      </w:r>
      <w:r>
        <w:rPr>
          <w:sz w:val="20"/>
        </w:rPr>
        <w:t>metropolitan locations,</w:t>
      </w:r>
      <w:r>
        <w:rPr>
          <w:spacing w:val="-6"/>
          <w:sz w:val="20"/>
        </w:rPr>
        <w:t> </w:t>
      </w:r>
      <w:r>
        <w:rPr>
          <w:sz w:val="20"/>
        </w:rPr>
        <w:t>or</w:t>
      </w:r>
      <w:r>
        <w:rPr>
          <w:spacing w:val="-5"/>
          <w:sz w:val="20"/>
        </w:rPr>
        <w:t> </w:t>
      </w:r>
      <w:r>
        <w:rPr>
          <w:sz w:val="20"/>
        </w:rPr>
        <w:t>cases</w:t>
      </w:r>
      <w:r>
        <w:rPr>
          <w:spacing w:val="-5"/>
          <w:sz w:val="20"/>
        </w:rPr>
        <w:t> </w:t>
      </w:r>
      <w:r>
        <w:rPr>
          <w:sz w:val="20"/>
        </w:rPr>
        <w:t>where</w:t>
      </w:r>
      <w:r>
        <w:rPr>
          <w:spacing w:val="-5"/>
          <w:sz w:val="20"/>
        </w:rPr>
        <w:t> </w:t>
      </w:r>
      <w:r>
        <w:rPr>
          <w:sz w:val="20"/>
        </w:rPr>
        <w:t>an</w:t>
      </w:r>
      <w:r>
        <w:rPr>
          <w:spacing w:val="-6"/>
          <w:sz w:val="20"/>
        </w:rPr>
        <w:t> </w:t>
      </w:r>
      <w:r>
        <w:rPr>
          <w:spacing w:val="-3"/>
          <w:sz w:val="20"/>
        </w:rPr>
        <w:t>interpreter</w:t>
      </w:r>
      <w:r>
        <w:rPr>
          <w:spacing w:val="-5"/>
          <w:sz w:val="20"/>
        </w:rPr>
        <w:t> </w:t>
      </w:r>
      <w:r>
        <w:rPr>
          <w:sz w:val="20"/>
        </w:rPr>
        <w:t>is</w:t>
      </w:r>
      <w:r>
        <w:rPr>
          <w:spacing w:val="-5"/>
          <w:sz w:val="20"/>
        </w:rPr>
        <w:t> </w:t>
      </w:r>
      <w:r>
        <w:rPr>
          <w:sz w:val="20"/>
        </w:rPr>
        <w:t>located</w:t>
      </w:r>
      <w:r>
        <w:rPr>
          <w:spacing w:val="-5"/>
          <w:sz w:val="20"/>
        </w:rPr>
        <w:t> </w:t>
      </w:r>
      <w:r>
        <w:rPr>
          <w:sz w:val="20"/>
        </w:rPr>
        <w:t>regionally.</w:t>
      </w:r>
      <w:r>
        <w:rPr>
          <w:position w:val="7"/>
          <w:sz w:val="11"/>
        </w:rPr>
        <w:t>4</w:t>
      </w:r>
    </w:p>
    <w:p>
      <w:pPr>
        <w:pStyle w:val="ListParagraph"/>
        <w:numPr>
          <w:ilvl w:val="1"/>
          <w:numId w:val="12"/>
        </w:numPr>
        <w:tabs>
          <w:tab w:pos="1761" w:val="left" w:leader="none"/>
          <w:tab w:pos="1762" w:val="left" w:leader="none"/>
        </w:tabs>
        <w:spacing w:line="206" w:lineRule="auto" w:before="130" w:after="0"/>
        <w:ind w:left="1761" w:right="1506" w:hanging="794"/>
        <w:jc w:val="left"/>
        <w:rPr>
          <w:sz w:val="20"/>
        </w:rPr>
      </w:pPr>
      <w:r>
        <w:rPr>
          <w:sz w:val="20"/>
        </w:rPr>
        <w:t>In</w:t>
      </w:r>
      <w:r>
        <w:rPr>
          <w:spacing w:val="-9"/>
          <w:sz w:val="20"/>
        </w:rPr>
        <w:t> </w:t>
      </w:r>
      <w:r>
        <w:rPr>
          <w:spacing w:val="-2"/>
          <w:sz w:val="20"/>
        </w:rPr>
        <w:t>Chapter</w:t>
      </w:r>
      <w:r>
        <w:rPr>
          <w:spacing w:val="-9"/>
          <w:sz w:val="20"/>
        </w:rPr>
        <w:t> </w:t>
      </w:r>
      <w:r>
        <w:rPr>
          <w:sz w:val="20"/>
        </w:rPr>
        <w:t>14</w:t>
      </w:r>
      <w:r>
        <w:rPr>
          <w:spacing w:val="-9"/>
          <w:sz w:val="20"/>
        </w:rPr>
        <w:t> </w:t>
      </w:r>
      <w:r>
        <w:rPr>
          <w:sz w:val="20"/>
        </w:rPr>
        <w:t>the</w:t>
      </w:r>
      <w:r>
        <w:rPr>
          <w:spacing w:val="-9"/>
          <w:sz w:val="20"/>
        </w:rPr>
        <w:t> </w:t>
      </w:r>
      <w:r>
        <w:rPr>
          <w:sz w:val="20"/>
        </w:rPr>
        <w:t>Commission</w:t>
      </w:r>
      <w:r>
        <w:rPr>
          <w:spacing w:val="-8"/>
          <w:sz w:val="20"/>
        </w:rPr>
        <w:t> </w:t>
      </w:r>
      <w:r>
        <w:rPr>
          <w:sz w:val="20"/>
        </w:rPr>
        <w:t>recommended</w:t>
      </w:r>
      <w:r>
        <w:rPr>
          <w:spacing w:val="-9"/>
          <w:sz w:val="20"/>
        </w:rPr>
        <w:t> </w:t>
      </w:r>
      <w:r>
        <w:rPr>
          <w:sz w:val="20"/>
        </w:rPr>
        <w:t>that</w:t>
      </w:r>
      <w:r>
        <w:rPr>
          <w:spacing w:val="-9"/>
          <w:sz w:val="20"/>
        </w:rPr>
        <w:t> </w:t>
      </w:r>
      <w:r>
        <w:rPr>
          <w:sz w:val="20"/>
        </w:rPr>
        <w:t>the</w:t>
      </w:r>
      <w:r>
        <w:rPr>
          <w:spacing w:val="-9"/>
          <w:sz w:val="20"/>
        </w:rPr>
        <w:t> </w:t>
      </w:r>
      <w:r>
        <w:rPr>
          <w:sz w:val="20"/>
        </w:rPr>
        <w:t>Courts</w:t>
      </w:r>
      <w:r>
        <w:rPr>
          <w:spacing w:val="-8"/>
          <w:sz w:val="20"/>
        </w:rPr>
        <w:t> </w:t>
      </w:r>
      <w:r>
        <w:rPr>
          <w:sz w:val="20"/>
        </w:rPr>
        <w:t>and</w:t>
      </w:r>
      <w:r>
        <w:rPr>
          <w:spacing w:val="-9"/>
          <w:sz w:val="20"/>
        </w:rPr>
        <w:t> </w:t>
      </w:r>
      <w:r>
        <w:rPr>
          <w:sz w:val="20"/>
        </w:rPr>
        <w:t>Juries</w:t>
      </w:r>
      <w:r>
        <w:rPr>
          <w:spacing w:val="-9"/>
          <w:sz w:val="20"/>
        </w:rPr>
        <w:t> </w:t>
      </w:r>
      <w:r>
        <w:rPr>
          <w:sz w:val="20"/>
        </w:rPr>
        <w:t>Victoria</w:t>
      </w:r>
      <w:r>
        <w:rPr>
          <w:spacing w:val="-9"/>
          <w:sz w:val="20"/>
        </w:rPr>
        <w:t> </w:t>
      </w:r>
      <w:r>
        <w:rPr>
          <w:spacing w:val="-3"/>
          <w:sz w:val="20"/>
        </w:rPr>
        <w:t>pay </w:t>
      </w:r>
      <w:r>
        <w:rPr>
          <w:sz w:val="20"/>
        </w:rPr>
        <w:t>Auslan</w:t>
      </w:r>
      <w:r>
        <w:rPr>
          <w:spacing w:val="-7"/>
          <w:sz w:val="20"/>
        </w:rPr>
        <w:t> </w:t>
      </w:r>
      <w:r>
        <w:rPr>
          <w:spacing w:val="-3"/>
          <w:sz w:val="20"/>
        </w:rPr>
        <w:t>interpreters</w:t>
      </w:r>
      <w:r>
        <w:rPr>
          <w:spacing w:val="-7"/>
          <w:sz w:val="20"/>
        </w:rPr>
        <w:t> </w:t>
      </w:r>
      <w:r>
        <w:rPr>
          <w:sz w:val="20"/>
        </w:rPr>
        <w:t>who</w:t>
      </w:r>
      <w:r>
        <w:rPr>
          <w:spacing w:val="-7"/>
          <w:sz w:val="20"/>
        </w:rPr>
        <w:t> </w:t>
      </w:r>
      <w:r>
        <w:rPr>
          <w:sz w:val="20"/>
        </w:rPr>
        <w:t>undertake</w:t>
      </w:r>
      <w:r>
        <w:rPr>
          <w:spacing w:val="-6"/>
          <w:sz w:val="20"/>
        </w:rPr>
        <w:t> </w:t>
      </w:r>
      <w:r>
        <w:rPr>
          <w:sz w:val="20"/>
        </w:rPr>
        <w:t>jury</w:t>
      </w:r>
      <w:r>
        <w:rPr>
          <w:spacing w:val="-7"/>
          <w:sz w:val="20"/>
        </w:rPr>
        <w:t> </w:t>
      </w:r>
      <w:r>
        <w:rPr>
          <w:spacing w:val="-3"/>
          <w:sz w:val="20"/>
        </w:rPr>
        <w:t>work</w:t>
      </w:r>
      <w:r>
        <w:rPr>
          <w:spacing w:val="-7"/>
          <w:sz w:val="20"/>
        </w:rPr>
        <w:t> </w:t>
      </w:r>
      <w:r>
        <w:rPr>
          <w:sz w:val="20"/>
        </w:rPr>
        <w:t>at</w:t>
      </w:r>
      <w:r>
        <w:rPr>
          <w:spacing w:val="-6"/>
          <w:sz w:val="20"/>
        </w:rPr>
        <w:t> </w:t>
      </w:r>
      <w:r>
        <w:rPr>
          <w:sz w:val="20"/>
        </w:rPr>
        <w:t>a</w:t>
      </w:r>
      <w:r>
        <w:rPr>
          <w:spacing w:val="-7"/>
          <w:sz w:val="20"/>
        </w:rPr>
        <w:t> </w:t>
      </w:r>
      <w:r>
        <w:rPr>
          <w:spacing w:val="-3"/>
          <w:sz w:val="20"/>
        </w:rPr>
        <w:t>rate</w:t>
      </w:r>
      <w:r>
        <w:rPr>
          <w:spacing w:val="-7"/>
          <w:sz w:val="20"/>
        </w:rPr>
        <w:t> </w:t>
      </w:r>
      <w:r>
        <w:rPr>
          <w:sz w:val="20"/>
        </w:rPr>
        <w:t>that</w:t>
      </w:r>
      <w:r>
        <w:rPr>
          <w:spacing w:val="-6"/>
          <w:sz w:val="20"/>
        </w:rPr>
        <w:t> </w:t>
      </w:r>
      <w:r>
        <w:rPr>
          <w:sz w:val="20"/>
        </w:rPr>
        <w:t>is</w:t>
      </w:r>
      <w:r>
        <w:rPr>
          <w:spacing w:val="-7"/>
          <w:sz w:val="20"/>
        </w:rPr>
        <w:t> </w:t>
      </w:r>
      <w:r>
        <w:rPr>
          <w:sz w:val="20"/>
        </w:rPr>
        <w:t>commensurate</w:t>
      </w:r>
      <w:r>
        <w:rPr>
          <w:spacing w:val="-7"/>
          <w:sz w:val="20"/>
        </w:rPr>
        <w:t> </w:t>
      </w:r>
      <w:r>
        <w:rPr>
          <w:sz w:val="20"/>
        </w:rPr>
        <w:t>with</w:t>
      </w:r>
    </w:p>
    <w:p>
      <w:pPr>
        <w:pStyle w:val="BodyText"/>
        <w:spacing w:line="206" w:lineRule="auto" w:before="3"/>
        <w:ind w:left="1761" w:right="1335"/>
      </w:pPr>
      <w:r>
        <w:rPr/>
        <w:t>the</w:t>
      </w:r>
      <w:r>
        <w:rPr>
          <w:spacing w:val="-9"/>
        </w:rPr>
        <w:t> </w:t>
      </w:r>
      <w:r>
        <w:rPr/>
        <w:t>skill</w:t>
      </w:r>
      <w:r>
        <w:rPr>
          <w:spacing w:val="-9"/>
        </w:rPr>
        <w:t> </w:t>
      </w:r>
      <w:r>
        <w:rPr>
          <w:spacing w:val="-3"/>
        </w:rPr>
        <w:t>required</w:t>
      </w:r>
      <w:r>
        <w:rPr>
          <w:spacing w:val="-9"/>
        </w:rPr>
        <w:t> </w:t>
      </w:r>
      <w:r>
        <w:rPr/>
        <w:t>to</w:t>
      </w:r>
      <w:r>
        <w:rPr>
          <w:spacing w:val="-9"/>
        </w:rPr>
        <w:t> </w:t>
      </w:r>
      <w:r>
        <w:rPr/>
        <w:t>perform</w:t>
      </w:r>
      <w:r>
        <w:rPr>
          <w:spacing w:val="-9"/>
        </w:rPr>
        <w:t> </w:t>
      </w:r>
      <w:r>
        <w:rPr/>
        <w:t>the</w:t>
      </w:r>
      <w:r>
        <w:rPr>
          <w:spacing w:val="-9"/>
        </w:rPr>
        <w:t> </w:t>
      </w:r>
      <w:r>
        <w:rPr>
          <w:spacing w:val="-3"/>
        </w:rPr>
        <w:t>role,</w:t>
      </w:r>
      <w:r>
        <w:rPr>
          <w:spacing w:val="-8"/>
        </w:rPr>
        <w:t> </w:t>
      </w:r>
      <w:r>
        <w:rPr/>
        <w:t>and</w:t>
      </w:r>
      <w:r>
        <w:rPr>
          <w:spacing w:val="-9"/>
        </w:rPr>
        <w:t> </w:t>
      </w:r>
      <w:r>
        <w:rPr/>
        <w:t>at</w:t>
      </w:r>
      <w:r>
        <w:rPr>
          <w:spacing w:val="-9"/>
        </w:rPr>
        <w:t> </w:t>
      </w:r>
      <w:r>
        <w:rPr/>
        <w:t>a</w:t>
      </w:r>
      <w:r>
        <w:rPr>
          <w:spacing w:val="-9"/>
        </w:rPr>
        <w:t> </w:t>
      </w:r>
      <w:r>
        <w:rPr>
          <w:spacing w:val="-4"/>
        </w:rPr>
        <w:t>level</w:t>
      </w:r>
      <w:r>
        <w:rPr>
          <w:spacing w:val="-9"/>
        </w:rPr>
        <w:t> </w:t>
      </w:r>
      <w:r>
        <w:rPr/>
        <w:t>that</w:t>
      </w:r>
      <w:r>
        <w:rPr>
          <w:spacing w:val="-9"/>
        </w:rPr>
        <w:t> </w:t>
      </w:r>
      <w:r>
        <w:rPr/>
        <w:t>will</w:t>
      </w:r>
      <w:r>
        <w:rPr>
          <w:spacing w:val="-8"/>
        </w:rPr>
        <w:t> </w:t>
      </w:r>
      <w:r>
        <w:rPr/>
        <w:t>retain</w:t>
      </w:r>
      <w:r>
        <w:rPr>
          <w:spacing w:val="-9"/>
        </w:rPr>
        <w:t> </w:t>
      </w:r>
      <w:r>
        <w:rPr/>
        <w:t>and</w:t>
      </w:r>
      <w:r>
        <w:rPr>
          <w:spacing w:val="-9"/>
        </w:rPr>
        <w:t> </w:t>
      </w:r>
      <w:r>
        <w:rPr/>
        <w:t>attract</w:t>
      </w:r>
      <w:r>
        <w:rPr>
          <w:spacing w:val="-9"/>
        </w:rPr>
        <w:t> </w:t>
      </w:r>
      <w:r>
        <w:rPr/>
        <w:t>Auslan </w:t>
      </w:r>
      <w:r>
        <w:rPr>
          <w:spacing w:val="-3"/>
        </w:rPr>
        <w:t>interpreters </w:t>
      </w:r>
      <w:r>
        <w:rPr/>
        <w:t>to do this type of</w:t>
      </w:r>
      <w:r>
        <w:rPr>
          <w:spacing w:val="-22"/>
        </w:rPr>
        <w:t> </w:t>
      </w:r>
      <w:r>
        <w:rPr/>
        <w:t>work.</w:t>
      </w:r>
    </w:p>
    <w:p>
      <w:pPr>
        <w:spacing w:before="160"/>
        <w:ind w:left="967" w:right="0" w:firstLine="0"/>
        <w:jc w:val="left"/>
        <w:rPr>
          <w:b/>
          <w:sz w:val="24"/>
        </w:rPr>
      </w:pPr>
      <w:r>
        <w:rPr>
          <w:b/>
          <w:sz w:val="24"/>
        </w:rPr>
        <w:t>Concerns expressed about the cost of reform</w:t>
      </w:r>
    </w:p>
    <w:p>
      <w:pPr>
        <w:pStyle w:val="ListParagraph"/>
        <w:numPr>
          <w:ilvl w:val="1"/>
          <w:numId w:val="12"/>
        </w:numPr>
        <w:tabs>
          <w:tab w:pos="1761" w:val="left" w:leader="none"/>
          <w:tab w:pos="1762" w:val="left" w:leader="none"/>
        </w:tabs>
        <w:spacing w:line="240" w:lineRule="auto" w:before="95" w:after="0"/>
        <w:ind w:left="1761" w:right="0" w:hanging="794"/>
        <w:jc w:val="left"/>
        <w:rPr>
          <w:sz w:val="20"/>
        </w:rPr>
      </w:pPr>
      <w:r>
        <w:rPr>
          <w:sz w:val="20"/>
        </w:rPr>
        <w:t>The</w:t>
      </w:r>
      <w:r>
        <w:rPr>
          <w:spacing w:val="-6"/>
          <w:sz w:val="20"/>
        </w:rPr>
        <w:t> </w:t>
      </w:r>
      <w:r>
        <w:rPr>
          <w:sz w:val="20"/>
        </w:rPr>
        <w:t>County</w:t>
      </w:r>
      <w:r>
        <w:rPr>
          <w:spacing w:val="-6"/>
          <w:sz w:val="20"/>
        </w:rPr>
        <w:t> </w:t>
      </w:r>
      <w:r>
        <w:rPr>
          <w:sz w:val="20"/>
        </w:rPr>
        <w:t>Court</w:t>
      </w:r>
      <w:r>
        <w:rPr>
          <w:spacing w:val="-5"/>
          <w:sz w:val="20"/>
        </w:rPr>
        <w:t> </w:t>
      </w:r>
      <w:r>
        <w:rPr>
          <w:sz w:val="20"/>
        </w:rPr>
        <w:t>anticipated</w:t>
      </w:r>
      <w:r>
        <w:rPr>
          <w:spacing w:val="-6"/>
          <w:sz w:val="20"/>
        </w:rPr>
        <w:t> </w:t>
      </w:r>
      <w:r>
        <w:rPr>
          <w:sz w:val="20"/>
        </w:rPr>
        <w:t>significant</w:t>
      </w:r>
      <w:r>
        <w:rPr>
          <w:spacing w:val="-5"/>
          <w:sz w:val="20"/>
        </w:rPr>
        <w:t> </w:t>
      </w:r>
      <w:r>
        <w:rPr>
          <w:sz w:val="20"/>
        </w:rPr>
        <w:t>costs</w:t>
      </w:r>
      <w:r>
        <w:rPr>
          <w:spacing w:val="-6"/>
          <w:sz w:val="20"/>
        </w:rPr>
        <w:t> </w:t>
      </w:r>
      <w:r>
        <w:rPr>
          <w:sz w:val="20"/>
        </w:rPr>
        <w:t>associated</w:t>
      </w:r>
      <w:r>
        <w:rPr>
          <w:spacing w:val="-5"/>
          <w:sz w:val="20"/>
        </w:rPr>
        <w:t> </w:t>
      </w:r>
      <w:r>
        <w:rPr>
          <w:sz w:val="20"/>
        </w:rPr>
        <w:t>with</w:t>
      </w:r>
      <w:r>
        <w:rPr>
          <w:spacing w:val="-6"/>
          <w:sz w:val="20"/>
        </w:rPr>
        <w:t> </w:t>
      </w:r>
      <w:r>
        <w:rPr>
          <w:spacing w:val="-3"/>
          <w:sz w:val="20"/>
        </w:rPr>
        <w:t>reform,</w:t>
      </w:r>
      <w:r>
        <w:rPr>
          <w:spacing w:val="-6"/>
          <w:sz w:val="20"/>
        </w:rPr>
        <w:t> </w:t>
      </w:r>
      <w:r>
        <w:rPr>
          <w:sz w:val="20"/>
        </w:rPr>
        <w:t>noting:</w:t>
      </w:r>
    </w:p>
    <w:p>
      <w:pPr>
        <w:spacing w:line="208" w:lineRule="auto" w:before="113"/>
        <w:ind w:left="2157" w:right="1335" w:firstLine="0"/>
        <w:jc w:val="left"/>
        <w:rPr>
          <w:sz w:val="19"/>
        </w:rPr>
      </w:pPr>
      <w:r>
        <w:rPr>
          <w:sz w:val="19"/>
        </w:rPr>
        <w:t>The Court anticipates the need for significant funding for modifications and running costs. The Court is not able to make all necessary accommodations and does not possess the required equipment. Support people will need to be employed, trained, and assessed. Juries Victoria, judicial registrars and court lawyers would need to</w:t>
      </w:r>
    </w:p>
    <w:p>
      <w:pPr>
        <w:spacing w:line="208" w:lineRule="auto" w:before="2"/>
        <w:ind w:left="2157" w:right="1335" w:firstLine="0"/>
        <w:jc w:val="left"/>
        <w:rPr>
          <w:sz w:val="11"/>
        </w:rPr>
      </w:pPr>
      <w:r>
        <w:rPr>
          <w:sz w:val="19"/>
        </w:rPr>
        <w:t>be supported to allow for assessments and identification of matters suitable or not suitable as accessible trials. There may be other educative costs associated with the training of other court users. … A cost-effective way to achieve this may be to pool resources between the two trial courts … The Court anticipates the costs in regional areas to be greater than in Melbourne.</w:t>
      </w:r>
      <w:r>
        <w:rPr>
          <w:position w:val="6"/>
          <w:sz w:val="11"/>
        </w:rPr>
        <w:t>5</w:t>
      </w:r>
    </w:p>
    <w:p>
      <w:pPr>
        <w:pStyle w:val="ListParagraph"/>
        <w:numPr>
          <w:ilvl w:val="1"/>
          <w:numId w:val="12"/>
        </w:numPr>
        <w:tabs>
          <w:tab w:pos="1761" w:val="left" w:leader="none"/>
          <w:tab w:pos="1762" w:val="left" w:leader="none"/>
        </w:tabs>
        <w:spacing w:line="206" w:lineRule="auto" w:before="125" w:after="0"/>
        <w:ind w:left="1761" w:right="1399" w:hanging="794"/>
        <w:jc w:val="left"/>
        <w:rPr>
          <w:sz w:val="11"/>
        </w:rPr>
      </w:pPr>
      <w:r>
        <w:rPr>
          <w:sz w:val="20"/>
        </w:rPr>
        <w:t>In the case of </w:t>
      </w:r>
      <w:r>
        <w:rPr>
          <w:i/>
          <w:sz w:val="20"/>
        </w:rPr>
        <w:t>JH v Australia </w:t>
      </w:r>
      <w:r>
        <w:rPr>
          <w:spacing w:val="-3"/>
          <w:sz w:val="20"/>
        </w:rPr>
        <w:t>before </w:t>
      </w:r>
      <w:r>
        <w:rPr>
          <w:sz w:val="20"/>
        </w:rPr>
        <w:t>the United Nations Committee on the Rights of Persons with Disabilities </w:t>
      </w:r>
      <w:r>
        <w:rPr>
          <w:spacing w:val="-3"/>
          <w:sz w:val="20"/>
        </w:rPr>
        <w:t>(Convention Committee), </w:t>
      </w:r>
      <w:r>
        <w:rPr>
          <w:sz w:val="20"/>
        </w:rPr>
        <w:t>Australia submitted that there </w:t>
      </w:r>
      <w:r>
        <w:rPr>
          <w:spacing w:val="-3"/>
          <w:sz w:val="20"/>
        </w:rPr>
        <w:t>would </w:t>
      </w:r>
      <w:r>
        <w:rPr>
          <w:sz w:val="20"/>
        </w:rPr>
        <w:t>be ‘significant costs’ associated with </w:t>
      </w:r>
      <w:r>
        <w:rPr>
          <w:spacing w:val="-3"/>
          <w:sz w:val="20"/>
        </w:rPr>
        <w:t>providing </w:t>
      </w:r>
      <w:r>
        <w:rPr>
          <w:sz w:val="20"/>
        </w:rPr>
        <w:t>reasonable adjustments for jurors.</w:t>
      </w:r>
      <w:r>
        <w:rPr>
          <w:spacing w:val="-10"/>
          <w:sz w:val="20"/>
        </w:rPr>
        <w:t> </w:t>
      </w:r>
      <w:r>
        <w:rPr>
          <w:sz w:val="20"/>
        </w:rPr>
        <w:t>In</w:t>
      </w:r>
      <w:r>
        <w:rPr>
          <w:spacing w:val="-10"/>
          <w:sz w:val="20"/>
        </w:rPr>
        <w:t> </w:t>
      </w:r>
      <w:r>
        <w:rPr>
          <w:sz w:val="20"/>
        </w:rPr>
        <w:t>making</w:t>
      </w:r>
      <w:r>
        <w:rPr>
          <w:spacing w:val="-9"/>
          <w:sz w:val="20"/>
        </w:rPr>
        <w:t> </w:t>
      </w:r>
      <w:r>
        <w:rPr>
          <w:sz w:val="20"/>
        </w:rPr>
        <w:t>this</w:t>
      </w:r>
      <w:r>
        <w:rPr>
          <w:spacing w:val="-10"/>
          <w:sz w:val="20"/>
        </w:rPr>
        <w:t> </w:t>
      </w:r>
      <w:r>
        <w:rPr>
          <w:sz w:val="20"/>
        </w:rPr>
        <w:t>claim,</w:t>
      </w:r>
      <w:r>
        <w:rPr>
          <w:spacing w:val="-9"/>
          <w:sz w:val="20"/>
        </w:rPr>
        <w:t> </w:t>
      </w:r>
      <w:r>
        <w:rPr>
          <w:sz w:val="20"/>
        </w:rPr>
        <w:t>Australia</w:t>
      </w:r>
      <w:r>
        <w:rPr>
          <w:spacing w:val="-10"/>
          <w:sz w:val="20"/>
        </w:rPr>
        <w:t> </w:t>
      </w:r>
      <w:r>
        <w:rPr>
          <w:spacing w:val="-3"/>
          <w:sz w:val="20"/>
        </w:rPr>
        <w:t>referred</w:t>
      </w:r>
      <w:r>
        <w:rPr>
          <w:spacing w:val="-9"/>
          <w:sz w:val="20"/>
        </w:rPr>
        <w:t> </w:t>
      </w:r>
      <w:r>
        <w:rPr>
          <w:sz w:val="20"/>
        </w:rPr>
        <w:t>to</w:t>
      </w:r>
      <w:r>
        <w:rPr>
          <w:spacing w:val="-10"/>
          <w:sz w:val="20"/>
        </w:rPr>
        <w:t> </w:t>
      </w:r>
      <w:r>
        <w:rPr>
          <w:sz w:val="20"/>
        </w:rPr>
        <w:t>a</w:t>
      </w:r>
      <w:r>
        <w:rPr>
          <w:spacing w:val="-9"/>
          <w:sz w:val="20"/>
        </w:rPr>
        <w:t> </w:t>
      </w:r>
      <w:r>
        <w:rPr>
          <w:spacing w:val="-3"/>
          <w:sz w:val="20"/>
        </w:rPr>
        <w:t>2016</w:t>
      </w:r>
      <w:r>
        <w:rPr>
          <w:spacing w:val="-10"/>
          <w:sz w:val="20"/>
        </w:rPr>
        <w:t> </w:t>
      </w:r>
      <w:r>
        <w:rPr>
          <w:sz w:val="20"/>
        </w:rPr>
        <w:t>study</w:t>
      </w:r>
      <w:r>
        <w:rPr>
          <w:spacing w:val="-9"/>
          <w:sz w:val="20"/>
        </w:rPr>
        <w:t> </w:t>
      </w:r>
      <w:r>
        <w:rPr>
          <w:sz w:val="20"/>
        </w:rPr>
        <w:t>which</w:t>
      </w:r>
      <w:r>
        <w:rPr>
          <w:spacing w:val="-10"/>
          <w:sz w:val="20"/>
        </w:rPr>
        <w:t> </w:t>
      </w:r>
      <w:r>
        <w:rPr>
          <w:sz w:val="20"/>
        </w:rPr>
        <w:t>examined</w:t>
      </w:r>
      <w:r>
        <w:rPr>
          <w:spacing w:val="-9"/>
          <w:sz w:val="20"/>
        </w:rPr>
        <w:t> </w:t>
      </w:r>
      <w:r>
        <w:rPr>
          <w:sz w:val="20"/>
        </w:rPr>
        <w:t>the</w:t>
      </w:r>
      <w:r>
        <w:rPr>
          <w:spacing w:val="-10"/>
          <w:sz w:val="20"/>
        </w:rPr>
        <w:t> </w:t>
      </w:r>
      <w:r>
        <w:rPr>
          <w:sz w:val="20"/>
        </w:rPr>
        <w:t>use of </w:t>
      </w:r>
      <w:r>
        <w:rPr>
          <w:spacing w:val="-3"/>
          <w:sz w:val="20"/>
        </w:rPr>
        <w:t>interpreters </w:t>
      </w:r>
      <w:r>
        <w:rPr>
          <w:sz w:val="20"/>
        </w:rPr>
        <w:t>in the court system in Monroe </w:t>
      </w:r>
      <w:r>
        <w:rPr>
          <w:spacing w:val="-3"/>
          <w:sz w:val="20"/>
        </w:rPr>
        <w:t>County, </w:t>
      </w:r>
      <w:r>
        <w:rPr>
          <w:sz w:val="20"/>
        </w:rPr>
        <w:t>New </w:t>
      </w:r>
      <w:r>
        <w:rPr>
          <w:spacing w:val="-5"/>
          <w:sz w:val="20"/>
        </w:rPr>
        <w:t>York </w:t>
      </w:r>
      <w:r>
        <w:rPr>
          <w:spacing w:val="-3"/>
          <w:sz w:val="20"/>
        </w:rPr>
        <w:t>State, </w:t>
      </w:r>
      <w:r>
        <w:rPr>
          <w:sz w:val="20"/>
        </w:rPr>
        <w:t>and reported ‘significant cost </w:t>
      </w:r>
      <w:r>
        <w:rPr>
          <w:spacing w:val="-4"/>
          <w:sz w:val="20"/>
        </w:rPr>
        <w:t>involved </w:t>
      </w:r>
      <w:r>
        <w:rPr>
          <w:sz w:val="20"/>
        </w:rPr>
        <w:t>in </w:t>
      </w:r>
      <w:r>
        <w:rPr>
          <w:spacing w:val="-3"/>
          <w:sz w:val="20"/>
        </w:rPr>
        <w:t>having interpreters (approximately </w:t>
      </w:r>
      <w:r>
        <w:rPr>
          <w:sz w:val="20"/>
        </w:rPr>
        <w:t>US$300,000 </w:t>
      </w:r>
      <w:r>
        <w:rPr>
          <w:spacing w:val="-4"/>
          <w:sz w:val="20"/>
        </w:rPr>
        <w:t>annually, </w:t>
      </w:r>
      <w:r>
        <w:rPr>
          <w:sz w:val="20"/>
        </w:rPr>
        <w:t>including US$100,000 for ASL</w:t>
      </w:r>
      <w:r>
        <w:rPr>
          <w:spacing w:val="-18"/>
          <w:sz w:val="20"/>
        </w:rPr>
        <w:t> </w:t>
      </w:r>
      <w:r>
        <w:rPr>
          <w:spacing w:val="-3"/>
          <w:sz w:val="20"/>
        </w:rPr>
        <w:t>interpreting)’.</w:t>
      </w:r>
      <w:r>
        <w:rPr>
          <w:spacing w:val="-3"/>
          <w:position w:val="7"/>
          <w:sz w:val="11"/>
        </w:rPr>
        <w:t>6</w:t>
      </w:r>
    </w:p>
    <w:p>
      <w:pPr>
        <w:pStyle w:val="ListParagraph"/>
        <w:numPr>
          <w:ilvl w:val="1"/>
          <w:numId w:val="12"/>
        </w:numPr>
        <w:tabs>
          <w:tab w:pos="1761" w:val="left" w:leader="none"/>
          <w:tab w:pos="1762" w:val="left" w:leader="none"/>
        </w:tabs>
        <w:spacing w:line="206" w:lineRule="auto" w:before="129" w:after="0"/>
        <w:ind w:left="1761" w:right="1260" w:hanging="794"/>
        <w:jc w:val="left"/>
        <w:rPr>
          <w:sz w:val="20"/>
        </w:rPr>
      </w:pPr>
      <w:r>
        <w:rPr>
          <w:sz w:val="20"/>
        </w:rPr>
        <w:t>The</w:t>
      </w:r>
      <w:r>
        <w:rPr>
          <w:spacing w:val="-9"/>
          <w:sz w:val="20"/>
        </w:rPr>
        <w:t> </w:t>
      </w:r>
      <w:r>
        <w:rPr>
          <w:sz w:val="20"/>
        </w:rPr>
        <w:t>Commission</w:t>
      </w:r>
      <w:r>
        <w:rPr>
          <w:spacing w:val="-8"/>
          <w:sz w:val="20"/>
        </w:rPr>
        <w:t> </w:t>
      </w:r>
      <w:r>
        <w:rPr>
          <w:sz w:val="20"/>
        </w:rPr>
        <w:t>notes</w:t>
      </w:r>
      <w:r>
        <w:rPr>
          <w:spacing w:val="-8"/>
          <w:sz w:val="20"/>
        </w:rPr>
        <w:t> </w:t>
      </w:r>
      <w:r>
        <w:rPr>
          <w:sz w:val="20"/>
        </w:rPr>
        <w:t>in</w:t>
      </w:r>
      <w:r>
        <w:rPr>
          <w:spacing w:val="-9"/>
          <w:sz w:val="20"/>
        </w:rPr>
        <w:t> </w:t>
      </w:r>
      <w:r>
        <w:rPr>
          <w:spacing w:val="-2"/>
          <w:sz w:val="20"/>
        </w:rPr>
        <w:t>Chapter</w:t>
      </w:r>
      <w:r>
        <w:rPr>
          <w:spacing w:val="-8"/>
          <w:sz w:val="20"/>
        </w:rPr>
        <w:t> </w:t>
      </w:r>
      <w:r>
        <w:rPr>
          <w:spacing w:val="-3"/>
          <w:sz w:val="20"/>
        </w:rPr>
        <w:t>10</w:t>
      </w:r>
      <w:r>
        <w:rPr>
          <w:spacing w:val="-8"/>
          <w:sz w:val="20"/>
        </w:rPr>
        <w:t> </w:t>
      </w:r>
      <w:r>
        <w:rPr>
          <w:sz w:val="20"/>
        </w:rPr>
        <w:t>that</w:t>
      </w:r>
      <w:r>
        <w:rPr>
          <w:spacing w:val="-8"/>
          <w:sz w:val="20"/>
        </w:rPr>
        <w:t> </w:t>
      </w:r>
      <w:r>
        <w:rPr>
          <w:sz w:val="20"/>
        </w:rPr>
        <w:t>Monroe</w:t>
      </w:r>
      <w:r>
        <w:rPr>
          <w:spacing w:val="-9"/>
          <w:sz w:val="20"/>
        </w:rPr>
        <w:t> </w:t>
      </w:r>
      <w:r>
        <w:rPr>
          <w:sz w:val="20"/>
        </w:rPr>
        <w:t>County</w:t>
      </w:r>
      <w:r>
        <w:rPr>
          <w:spacing w:val="-8"/>
          <w:sz w:val="20"/>
        </w:rPr>
        <w:t> </w:t>
      </w:r>
      <w:r>
        <w:rPr>
          <w:sz w:val="20"/>
        </w:rPr>
        <w:t>in</w:t>
      </w:r>
      <w:r>
        <w:rPr>
          <w:spacing w:val="-8"/>
          <w:sz w:val="20"/>
        </w:rPr>
        <w:t> </w:t>
      </w:r>
      <w:r>
        <w:rPr>
          <w:sz w:val="20"/>
        </w:rPr>
        <w:t>New</w:t>
      </w:r>
      <w:r>
        <w:rPr>
          <w:spacing w:val="-9"/>
          <w:sz w:val="20"/>
        </w:rPr>
        <w:t> </w:t>
      </w:r>
      <w:r>
        <w:rPr>
          <w:spacing w:val="-5"/>
          <w:sz w:val="20"/>
        </w:rPr>
        <w:t>York</w:t>
      </w:r>
      <w:r>
        <w:rPr>
          <w:spacing w:val="-8"/>
          <w:sz w:val="20"/>
        </w:rPr>
        <w:t> </w:t>
      </w:r>
      <w:r>
        <w:rPr>
          <w:spacing w:val="-3"/>
          <w:sz w:val="20"/>
        </w:rPr>
        <w:t>State</w:t>
      </w:r>
      <w:r>
        <w:rPr>
          <w:spacing w:val="-8"/>
          <w:sz w:val="20"/>
        </w:rPr>
        <w:t> </w:t>
      </w:r>
      <w:r>
        <w:rPr>
          <w:sz w:val="20"/>
        </w:rPr>
        <w:t>has</w:t>
      </w:r>
      <w:r>
        <w:rPr>
          <w:spacing w:val="-8"/>
          <w:sz w:val="20"/>
        </w:rPr>
        <w:t> </w:t>
      </w:r>
      <w:r>
        <w:rPr>
          <w:sz w:val="20"/>
        </w:rPr>
        <w:t>a</w:t>
      </w:r>
      <w:r>
        <w:rPr>
          <w:spacing w:val="-9"/>
          <w:sz w:val="20"/>
        </w:rPr>
        <w:t> </w:t>
      </w:r>
      <w:r>
        <w:rPr>
          <w:sz w:val="20"/>
        </w:rPr>
        <w:t>large population</w:t>
      </w:r>
      <w:r>
        <w:rPr>
          <w:spacing w:val="-11"/>
          <w:sz w:val="20"/>
        </w:rPr>
        <w:t> </w:t>
      </w:r>
      <w:r>
        <w:rPr>
          <w:sz w:val="20"/>
        </w:rPr>
        <w:t>of</w:t>
      </w:r>
      <w:r>
        <w:rPr>
          <w:spacing w:val="-11"/>
          <w:sz w:val="20"/>
        </w:rPr>
        <w:t> </w:t>
      </w:r>
      <w:r>
        <w:rPr>
          <w:sz w:val="20"/>
        </w:rPr>
        <w:t>American</w:t>
      </w:r>
      <w:r>
        <w:rPr>
          <w:spacing w:val="-10"/>
          <w:sz w:val="20"/>
        </w:rPr>
        <w:t> </w:t>
      </w:r>
      <w:r>
        <w:rPr>
          <w:sz w:val="20"/>
        </w:rPr>
        <w:t>Sign</w:t>
      </w:r>
      <w:r>
        <w:rPr>
          <w:spacing w:val="-11"/>
          <w:sz w:val="20"/>
        </w:rPr>
        <w:t> </w:t>
      </w:r>
      <w:r>
        <w:rPr>
          <w:sz w:val="20"/>
        </w:rPr>
        <w:t>Language</w:t>
      </w:r>
      <w:r>
        <w:rPr>
          <w:spacing w:val="-10"/>
          <w:sz w:val="20"/>
        </w:rPr>
        <w:t> </w:t>
      </w:r>
      <w:r>
        <w:rPr>
          <w:sz w:val="20"/>
        </w:rPr>
        <w:t>users</w:t>
      </w:r>
      <w:r>
        <w:rPr>
          <w:spacing w:val="-11"/>
          <w:sz w:val="20"/>
        </w:rPr>
        <w:t> </w:t>
      </w:r>
      <w:r>
        <w:rPr>
          <w:sz w:val="20"/>
        </w:rPr>
        <w:t>because</w:t>
      </w:r>
      <w:r>
        <w:rPr>
          <w:spacing w:val="-10"/>
          <w:sz w:val="20"/>
        </w:rPr>
        <w:t> </w:t>
      </w:r>
      <w:r>
        <w:rPr>
          <w:sz w:val="20"/>
        </w:rPr>
        <w:t>the</w:t>
      </w:r>
      <w:r>
        <w:rPr>
          <w:spacing w:val="-11"/>
          <w:sz w:val="20"/>
        </w:rPr>
        <w:t> </w:t>
      </w:r>
      <w:r>
        <w:rPr>
          <w:sz w:val="20"/>
        </w:rPr>
        <w:t>National</w:t>
      </w:r>
      <w:r>
        <w:rPr>
          <w:spacing w:val="-10"/>
          <w:sz w:val="20"/>
        </w:rPr>
        <w:t> </w:t>
      </w:r>
      <w:r>
        <w:rPr>
          <w:spacing w:val="-3"/>
          <w:sz w:val="20"/>
        </w:rPr>
        <w:t>Technical</w:t>
      </w:r>
      <w:r>
        <w:rPr>
          <w:spacing w:val="-11"/>
          <w:sz w:val="20"/>
        </w:rPr>
        <w:t> </w:t>
      </w:r>
      <w:r>
        <w:rPr>
          <w:sz w:val="20"/>
        </w:rPr>
        <w:t>Institute for</w:t>
      </w:r>
      <w:r>
        <w:rPr>
          <w:spacing w:val="-6"/>
          <w:sz w:val="20"/>
        </w:rPr>
        <w:t> </w:t>
      </w:r>
      <w:r>
        <w:rPr>
          <w:sz w:val="20"/>
        </w:rPr>
        <w:t>the</w:t>
      </w:r>
      <w:r>
        <w:rPr>
          <w:spacing w:val="-6"/>
          <w:sz w:val="20"/>
        </w:rPr>
        <w:t> </w:t>
      </w:r>
      <w:r>
        <w:rPr>
          <w:sz w:val="20"/>
        </w:rPr>
        <w:t>Deaf</w:t>
      </w:r>
      <w:r>
        <w:rPr>
          <w:spacing w:val="-5"/>
          <w:sz w:val="20"/>
        </w:rPr>
        <w:t> </w:t>
      </w:r>
      <w:r>
        <w:rPr>
          <w:sz w:val="20"/>
        </w:rPr>
        <w:t>is</w:t>
      </w:r>
      <w:r>
        <w:rPr>
          <w:spacing w:val="-6"/>
          <w:sz w:val="20"/>
        </w:rPr>
        <w:t> </w:t>
      </w:r>
      <w:r>
        <w:rPr>
          <w:sz w:val="20"/>
        </w:rPr>
        <w:t>located</w:t>
      </w:r>
      <w:r>
        <w:rPr>
          <w:spacing w:val="-5"/>
          <w:sz w:val="20"/>
        </w:rPr>
        <w:t> </w:t>
      </w:r>
      <w:r>
        <w:rPr>
          <w:sz w:val="20"/>
        </w:rPr>
        <w:t>in</w:t>
      </w:r>
      <w:r>
        <w:rPr>
          <w:spacing w:val="-6"/>
          <w:sz w:val="20"/>
        </w:rPr>
        <w:t> </w:t>
      </w:r>
      <w:r>
        <w:rPr>
          <w:sz w:val="20"/>
        </w:rPr>
        <w:t>the</w:t>
      </w:r>
      <w:r>
        <w:rPr>
          <w:spacing w:val="-5"/>
          <w:sz w:val="20"/>
        </w:rPr>
        <w:t> </w:t>
      </w:r>
      <w:r>
        <w:rPr>
          <w:sz w:val="20"/>
        </w:rPr>
        <w:t>city</w:t>
      </w:r>
      <w:r>
        <w:rPr>
          <w:spacing w:val="-6"/>
          <w:sz w:val="20"/>
        </w:rPr>
        <w:t> </w:t>
      </w:r>
      <w:r>
        <w:rPr>
          <w:sz w:val="20"/>
        </w:rPr>
        <w:t>of</w:t>
      </w:r>
      <w:r>
        <w:rPr>
          <w:spacing w:val="-6"/>
          <w:sz w:val="20"/>
        </w:rPr>
        <w:t> </w:t>
      </w:r>
      <w:r>
        <w:rPr>
          <w:spacing w:val="-3"/>
          <w:sz w:val="20"/>
        </w:rPr>
        <w:t>Rochester.</w:t>
      </w:r>
      <w:r>
        <w:rPr>
          <w:spacing w:val="-5"/>
          <w:sz w:val="20"/>
        </w:rPr>
        <w:t> </w:t>
      </w:r>
      <w:r>
        <w:rPr>
          <w:spacing w:val="-3"/>
          <w:sz w:val="20"/>
        </w:rPr>
        <w:t>Approximately</w:t>
      </w:r>
      <w:r>
        <w:rPr>
          <w:spacing w:val="-6"/>
          <w:sz w:val="20"/>
        </w:rPr>
        <w:t> </w:t>
      </w:r>
      <w:r>
        <w:rPr>
          <w:sz w:val="20"/>
        </w:rPr>
        <w:t>six</w:t>
      </w:r>
      <w:r>
        <w:rPr>
          <w:spacing w:val="-5"/>
          <w:sz w:val="20"/>
        </w:rPr>
        <w:t> </w:t>
      </w:r>
      <w:r>
        <w:rPr>
          <w:sz w:val="20"/>
        </w:rPr>
        <w:t>American</w:t>
      </w:r>
      <w:r>
        <w:rPr>
          <w:spacing w:val="-6"/>
          <w:sz w:val="20"/>
        </w:rPr>
        <w:t> </w:t>
      </w:r>
      <w:r>
        <w:rPr>
          <w:sz w:val="20"/>
        </w:rPr>
        <w:t>Sign</w:t>
      </w:r>
    </w:p>
    <w:p>
      <w:pPr>
        <w:pStyle w:val="BodyText"/>
        <w:spacing w:before="3"/>
        <w:rPr>
          <w:sz w:val="18"/>
        </w:rPr>
      </w:pPr>
      <w:r>
        <w:rPr/>
        <w:pict>
          <v:line style="position:absolute;mso-position-horizontal-relative:page;mso-position-vertical-relative:paragraph;z-index:11792;mso-wrap-distance-left:0;mso-wrap-distance-right:0" from="79.370102pt,15.11662pt" to="515.905102pt,15.11662pt" stroked="true" strokeweight="1pt" strokecolor="#b6bdc8">
            <v:stroke dashstyle="solid"/>
            <w10:wrap type="topAndBottom"/>
          </v:line>
        </w:pict>
      </w:r>
    </w:p>
    <w:p>
      <w:pPr>
        <w:pStyle w:val="BodyText"/>
        <w:rPr>
          <w:sz w:val="5"/>
        </w:rPr>
      </w:pPr>
    </w:p>
    <w:p>
      <w:pPr>
        <w:spacing w:after="0"/>
        <w:rPr>
          <w:sz w:val="5"/>
        </w:rPr>
        <w:sectPr>
          <w:headerReference w:type="default" r:id="rId268"/>
          <w:headerReference w:type="even" r:id="rId269"/>
          <w:pgSz w:w="11910" w:h="16840"/>
          <w:pgMar w:header="0" w:footer="0" w:top="840" w:bottom="280" w:left="620" w:right="380"/>
        </w:sectPr>
      </w:pPr>
    </w:p>
    <w:p>
      <w:pPr>
        <w:pStyle w:val="ListParagraph"/>
        <w:numPr>
          <w:ilvl w:val="0"/>
          <w:numId w:val="124"/>
        </w:numPr>
        <w:tabs>
          <w:tab w:pos="1760" w:val="left" w:leader="none"/>
          <w:tab w:pos="1762" w:val="left" w:leader="none"/>
        </w:tabs>
        <w:spacing w:line="213" w:lineRule="auto" w:before="38" w:after="0"/>
        <w:ind w:left="1761" w:right="0" w:hanging="794"/>
        <w:jc w:val="left"/>
        <w:rPr>
          <w:sz w:val="13"/>
        </w:rPr>
      </w:pPr>
      <w:r>
        <w:rPr>
          <w:sz w:val="13"/>
        </w:rPr>
        <w:t>See Judicial College of Victoria, </w:t>
      </w:r>
      <w:r>
        <w:rPr>
          <w:i/>
          <w:sz w:val="13"/>
        </w:rPr>
        <w:t>Disability Access Bench Book </w:t>
      </w:r>
      <w:r>
        <w:rPr>
          <w:sz w:val="13"/>
        </w:rPr>
        <w:t>(Online Manual, 2016) &lt;</w:t>
      </w:r>
      <w:hyperlink r:id="rId18">
        <w:r>
          <w:rPr>
            <w:sz w:val="13"/>
          </w:rPr>
          <w:t>https://www.judicialcollege.vic.edu.au/</w:t>
        </w:r>
      </w:hyperlink>
      <w:hyperlink r:id="rId18">
        <w:r>
          <w:rPr>
            <w:sz w:val="13"/>
          </w:rPr>
          <w:t> eManuals/DABB/index.htm#59523.htm</w:t>
        </w:r>
      </w:hyperlink>
      <w:r>
        <w:rPr>
          <w:sz w:val="13"/>
        </w:rPr>
        <w:t>&gt;.</w:t>
      </w:r>
    </w:p>
    <w:p>
      <w:pPr>
        <w:pStyle w:val="ListParagraph"/>
        <w:numPr>
          <w:ilvl w:val="0"/>
          <w:numId w:val="124"/>
        </w:numPr>
        <w:tabs>
          <w:tab w:pos="1760" w:val="left" w:leader="none"/>
          <w:tab w:pos="1762" w:val="left" w:leader="none"/>
        </w:tabs>
        <w:spacing w:line="153" w:lineRule="exact" w:before="0" w:after="0"/>
        <w:ind w:left="1761" w:right="0" w:hanging="794"/>
        <w:jc w:val="left"/>
        <w:rPr>
          <w:sz w:val="13"/>
        </w:rPr>
      </w:pPr>
      <w:r>
        <w:rPr>
          <w:sz w:val="13"/>
        </w:rPr>
        <w:t>Information provided by </w:t>
      </w:r>
      <w:r>
        <w:rPr>
          <w:spacing w:val="2"/>
          <w:sz w:val="13"/>
        </w:rPr>
        <w:t>Expression </w:t>
      </w:r>
      <w:r>
        <w:rPr>
          <w:sz w:val="13"/>
        </w:rPr>
        <w:t>Australia to the Victorian Law Reform </w:t>
      </w:r>
      <w:r>
        <w:rPr>
          <w:spacing w:val="2"/>
          <w:sz w:val="13"/>
        </w:rPr>
        <w:t>Commission, </w:t>
      </w:r>
      <w:r>
        <w:rPr>
          <w:sz w:val="13"/>
        </w:rPr>
        <w:t>20 October</w:t>
      </w:r>
      <w:r>
        <w:rPr>
          <w:spacing w:val="22"/>
          <w:sz w:val="13"/>
        </w:rPr>
        <w:t> </w:t>
      </w:r>
      <w:r>
        <w:rPr>
          <w:sz w:val="13"/>
        </w:rPr>
        <w:t>2020.</w:t>
      </w:r>
    </w:p>
    <w:p>
      <w:pPr>
        <w:pStyle w:val="ListParagraph"/>
        <w:numPr>
          <w:ilvl w:val="0"/>
          <w:numId w:val="124"/>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pacing w:val="3"/>
          <w:sz w:val="13"/>
        </w:rPr>
        <w:t>14 </w:t>
      </w:r>
      <w:r>
        <w:rPr>
          <w:sz w:val="13"/>
        </w:rPr>
        <w:t>(County </w:t>
      </w:r>
      <w:r>
        <w:rPr>
          <w:spacing w:val="2"/>
          <w:sz w:val="13"/>
        </w:rPr>
        <w:t>Court </w:t>
      </w:r>
      <w:r>
        <w:rPr>
          <w:sz w:val="13"/>
        </w:rPr>
        <w:t>of</w:t>
      </w:r>
      <w:r>
        <w:rPr>
          <w:spacing w:val="-6"/>
          <w:sz w:val="13"/>
        </w:rPr>
        <w:t> </w:t>
      </w:r>
      <w:r>
        <w:rPr>
          <w:sz w:val="13"/>
        </w:rPr>
        <w:t>Victoria).</w:t>
      </w:r>
    </w:p>
    <w:p>
      <w:pPr>
        <w:pStyle w:val="ListParagraph"/>
        <w:numPr>
          <w:ilvl w:val="0"/>
          <w:numId w:val="124"/>
        </w:numPr>
        <w:tabs>
          <w:tab w:pos="1760" w:val="left" w:leader="none"/>
          <w:tab w:pos="1762" w:val="left" w:leader="none"/>
        </w:tabs>
        <w:spacing w:line="213" w:lineRule="auto" w:before="6" w:after="0"/>
        <w:ind w:left="1761" w:right="1" w:hanging="794"/>
        <w:jc w:val="left"/>
        <w:rPr>
          <w:sz w:val="13"/>
        </w:rPr>
      </w:pPr>
      <w:r>
        <w:rPr>
          <w:spacing w:val="2"/>
          <w:sz w:val="13"/>
        </w:rPr>
        <w:t>Sandra </w:t>
      </w:r>
      <w:r>
        <w:rPr>
          <w:sz w:val="13"/>
        </w:rPr>
        <w:t>Hale et </w:t>
      </w:r>
      <w:r>
        <w:rPr>
          <w:spacing w:val="2"/>
          <w:sz w:val="13"/>
        </w:rPr>
        <w:t>al, </w:t>
      </w:r>
      <w:r>
        <w:rPr>
          <w:i/>
          <w:sz w:val="13"/>
        </w:rPr>
        <w:t>Participation in the Administration of Justice: Deaf Citizens as Jurors </w:t>
      </w:r>
      <w:r>
        <w:rPr>
          <w:spacing w:val="2"/>
          <w:sz w:val="13"/>
        </w:rPr>
        <w:t>(Australian </w:t>
      </w:r>
      <w:r>
        <w:rPr>
          <w:sz w:val="13"/>
        </w:rPr>
        <w:t>Research Council Linkage Project No 120200261, 2016) 9 </w:t>
      </w:r>
      <w:r>
        <w:rPr>
          <w:spacing w:val="3"/>
          <w:sz w:val="13"/>
        </w:rPr>
        <w:t>[4.1.2]; </w:t>
      </w:r>
      <w:r>
        <w:rPr>
          <w:sz w:val="13"/>
        </w:rPr>
        <w:t>Committee on the Rights of Persons with </w:t>
      </w:r>
      <w:r>
        <w:rPr>
          <w:spacing w:val="2"/>
          <w:sz w:val="13"/>
        </w:rPr>
        <w:t>Disabilities, </w:t>
      </w:r>
      <w:r>
        <w:rPr>
          <w:i/>
          <w:sz w:val="13"/>
        </w:rPr>
        <w:t>Views: Communication No 35/2016, </w:t>
      </w:r>
      <w:r>
        <w:rPr>
          <w:sz w:val="13"/>
        </w:rPr>
        <w:t>20th sess, UN Doc CRPD/C/20/D/35/2016 </w:t>
      </w:r>
      <w:r>
        <w:rPr>
          <w:spacing w:val="2"/>
          <w:sz w:val="13"/>
        </w:rPr>
        <w:t>(31 </w:t>
      </w:r>
      <w:r>
        <w:rPr>
          <w:sz w:val="13"/>
        </w:rPr>
        <w:t>August 2018) [4.7] (‘</w:t>
      </w:r>
      <w:r>
        <w:rPr>
          <w:i/>
          <w:sz w:val="13"/>
        </w:rPr>
        <w:t>JH v Australia</w:t>
      </w:r>
      <w:r>
        <w:rPr>
          <w:sz w:val="13"/>
        </w:rPr>
        <w:t>’). We note that these estimated annual costs are for Monroe County </w:t>
      </w:r>
      <w:r>
        <w:rPr>
          <w:spacing w:val="2"/>
          <w:sz w:val="13"/>
        </w:rPr>
        <w:t>Court, </w:t>
      </w:r>
      <w:r>
        <w:rPr>
          <w:sz w:val="13"/>
        </w:rPr>
        <w:t>Rochester, New York State: Information provided by Jemina </w:t>
      </w:r>
      <w:r>
        <w:rPr>
          <w:spacing w:val="2"/>
          <w:sz w:val="13"/>
        </w:rPr>
        <w:t>Napier </w:t>
      </w:r>
      <w:r>
        <w:rPr>
          <w:sz w:val="13"/>
        </w:rPr>
        <w:t>to Victorian Law Reform </w:t>
      </w:r>
      <w:r>
        <w:rPr>
          <w:spacing w:val="2"/>
          <w:sz w:val="13"/>
        </w:rPr>
        <w:t>Commission, </w:t>
      </w:r>
      <w:r>
        <w:rPr>
          <w:sz w:val="13"/>
        </w:rPr>
        <w:t>28 June</w:t>
      </w:r>
      <w:r>
        <w:rPr>
          <w:spacing w:val="-2"/>
          <w:sz w:val="13"/>
        </w:rPr>
        <w:t> </w:t>
      </w:r>
      <w:r>
        <w:rPr>
          <w:sz w:val="13"/>
        </w:rPr>
        <w:t>2022.</w:t>
      </w:r>
    </w:p>
    <w:p>
      <w:pPr>
        <w:pStyle w:val="BodyText"/>
        <w:rPr>
          <w:sz w:val="28"/>
        </w:rPr>
      </w:pPr>
      <w:r>
        <w:rPr/>
        <w:br w:type="column"/>
      </w:r>
      <w:r>
        <w:rPr>
          <w:sz w:val="28"/>
        </w:rPr>
      </w:r>
    </w:p>
    <w:p>
      <w:pPr>
        <w:pStyle w:val="BodyText"/>
        <w:rPr>
          <w:sz w:val="28"/>
        </w:rPr>
      </w:pPr>
    </w:p>
    <w:p>
      <w:pPr>
        <w:pStyle w:val="BodyText"/>
        <w:spacing w:before="8"/>
        <w:rPr>
          <w:sz w:val="28"/>
        </w:rPr>
      </w:pPr>
    </w:p>
    <w:p>
      <w:pPr>
        <w:spacing w:before="0"/>
        <w:ind w:left="820" w:right="0" w:firstLine="0"/>
        <w:jc w:val="left"/>
        <w:rPr>
          <w:b/>
          <w:sz w:val="24"/>
        </w:rPr>
      </w:pPr>
      <w:r>
        <w:rPr>
          <w:b/>
          <w:color w:val="37617A"/>
          <w:sz w:val="24"/>
        </w:rPr>
        <w:t>221</w:t>
      </w:r>
    </w:p>
    <w:p>
      <w:pPr>
        <w:spacing w:after="0"/>
        <w:jc w:val="left"/>
        <w:rPr>
          <w:sz w:val="24"/>
        </w:rPr>
        <w:sectPr>
          <w:type w:val="continuous"/>
          <w:pgSz w:w="11910" w:h="16840"/>
          <w:pgMar w:top="620" w:bottom="280" w:left="620" w:right="380"/>
          <w:cols w:num="2" w:equalWidth="0">
            <w:col w:w="9437" w:space="40"/>
            <w:col w:w="1433"/>
          </w:cols>
        </w:sectPr>
      </w:pPr>
    </w:p>
    <w:p>
      <w:pPr>
        <w:pStyle w:val="BodyText"/>
        <w:rPr>
          <w:b/>
        </w:rPr>
      </w:pPr>
    </w:p>
    <w:p>
      <w:pPr>
        <w:pStyle w:val="BodyText"/>
        <w:rPr>
          <w:b/>
        </w:rPr>
      </w:pPr>
    </w:p>
    <w:p>
      <w:pPr>
        <w:pStyle w:val="BodyText"/>
        <w:rPr>
          <w:b/>
        </w:rPr>
      </w:pPr>
    </w:p>
    <w:p>
      <w:pPr>
        <w:pStyle w:val="BodyText"/>
        <w:spacing w:before="11"/>
        <w:rPr>
          <w:b/>
          <w:sz w:val="18"/>
        </w:rPr>
      </w:pPr>
    </w:p>
    <w:p>
      <w:pPr>
        <w:pStyle w:val="BodyText"/>
        <w:spacing w:line="206" w:lineRule="auto"/>
        <w:ind w:left="1761" w:right="1225" w:hanging="1"/>
        <w:jc w:val="both"/>
        <w:rPr>
          <w:sz w:val="11"/>
        </w:rPr>
      </w:pPr>
      <w:bookmarkStart w:name="_bookmark162" w:id="387"/>
      <w:bookmarkEnd w:id="387"/>
      <w:r>
        <w:rPr/>
      </w:r>
      <w:r>
        <w:rPr/>
        <w:t>Language</w:t>
      </w:r>
      <w:r>
        <w:rPr>
          <w:spacing w:val="-10"/>
        </w:rPr>
        <w:t> </w:t>
      </w:r>
      <w:r>
        <w:rPr/>
        <w:t>users</w:t>
      </w:r>
      <w:r>
        <w:rPr>
          <w:spacing w:val="-9"/>
        </w:rPr>
        <w:t> </w:t>
      </w:r>
      <w:r>
        <w:rPr>
          <w:spacing w:val="-3"/>
        </w:rPr>
        <w:t>are</w:t>
      </w:r>
      <w:r>
        <w:rPr>
          <w:spacing w:val="-9"/>
        </w:rPr>
        <w:t> </w:t>
      </w:r>
      <w:r>
        <w:rPr/>
        <w:t>empanelled</w:t>
      </w:r>
      <w:r>
        <w:rPr>
          <w:spacing w:val="-9"/>
        </w:rPr>
        <w:t> </w:t>
      </w:r>
      <w:r>
        <w:rPr/>
        <w:t>each</w:t>
      </w:r>
      <w:r>
        <w:rPr>
          <w:spacing w:val="-9"/>
        </w:rPr>
        <w:t> </w:t>
      </w:r>
      <w:r>
        <w:rPr/>
        <w:t>year</w:t>
      </w:r>
      <w:r>
        <w:rPr>
          <w:position w:val="7"/>
          <w:sz w:val="11"/>
        </w:rPr>
        <w:t>7</w:t>
      </w:r>
      <w:r>
        <w:rPr>
          <w:spacing w:val="16"/>
          <w:position w:val="7"/>
          <w:sz w:val="11"/>
        </w:rPr>
        <w:t> </w:t>
      </w:r>
      <w:r>
        <w:rPr/>
        <w:t>and</w:t>
      </w:r>
      <w:r>
        <w:rPr>
          <w:spacing w:val="-9"/>
        </w:rPr>
        <w:t> </w:t>
      </w:r>
      <w:r>
        <w:rPr/>
        <w:t>the</w:t>
      </w:r>
      <w:r>
        <w:rPr>
          <w:spacing w:val="-9"/>
        </w:rPr>
        <w:t> </w:t>
      </w:r>
      <w:r>
        <w:rPr/>
        <w:t>court</w:t>
      </w:r>
      <w:r>
        <w:rPr>
          <w:spacing w:val="-9"/>
        </w:rPr>
        <w:t> </w:t>
      </w:r>
      <w:r>
        <w:rPr/>
        <w:t>schedules</w:t>
      </w:r>
      <w:r>
        <w:rPr>
          <w:spacing w:val="-9"/>
        </w:rPr>
        <w:t> </w:t>
      </w:r>
      <w:r>
        <w:rPr/>
        <w:t>one</w:t>
      </w:r>
      <w:r>
        <w:rPr>
          <w:spacing w:val="-9"/>
        </w:rPr>
        <w:t> </w:t>
      </w:r>
      <w:r>
        <w:rPr/>
        <w:t>deaf</w:t>
      </w:r>
      <w:r>
        <w:rPr>
          <w:spacing w:val="-9"/>
        </w:rPr>
        <w:t> </w:t>
      </w:r>
      <w:r>
        <w:rPr/>
        <w:t>juror</w:t>
      </w:r>
      <w:r>
        <w:rPr>
          <w:spacing w:val="-9"/>
        </w:rPr>
        <w:t> </w:t>
      </w:r>
      <w:r>
        <w:rPr/>
        <w:t>for jury selection every week, but not all </w:t>
      </w:r>
      <w:r>
        <w:rPr>
          <w:spacing w:val="-3"/>
        </w:rPr>
        <w:t>progress </w:t>
      </w:r>
      <w:r>
        <w:rPr/>
        <w:t>to jury service.</w:t>
      </w:r>
      <w:r>
        <w:rPr>
          <w:position w:val="7"/>
          <w:sz w:val="11"/>
        </w:rPr>
        <w:t>8 </w:t>
      </w:r>
      <w:r>
        <w:rPr/>
        <w:t>The numbers in Victoria </w:t>
      </w:r>
      <w:r>
        <w:rPr>
          <w:spacing w:val="-3"/>
        </w:rPr>
        <w:t>are</w:t>
      </w:r>
      <w:r>
        <w:rPr>
          <w:spacing w:val="-11"/>
        </w:rPr>
        <w:t> </w:t>
      </w:r>
      <w:r>
        <w:rPr>
          <w:spacing w:val="-3"/>
        </w:rPr>
        <w:t>likely</w:t>
      </w:r>
      <w:r>
        <w:rPr>
          <w:spacing w:val="-11"/>
        </w:rPr>
        <w:t> </w:t>
      </w:r>
      <w:r>
        <w:rPr/>
        <w:t>to</w:t>
      </w:r>
      <w:r>
        <w:rPr>
          <w:spacing w:val="-10"/>
        </w:rPr>
        <w:t> </w:t>
      </w:r>
      <w:r>
        <w:rPr/>
        <w:t>be</w:t>
      </w:r>
      <w:r>
        <w:rPr>
          <w:spacing w:val="-11"/>
        </w:rPr>
        <w:t> </w:t>
      </w:r>
      <w:r>
        <w:rPr/>
        <w:t>significantly</w:t>
      </w:r>
      <w:r>
        <w:rPr>
          <w:spacing w:val="-10"/>
        </w:rPr>
        <w:t> </w:t>
      </w:r>
      <w:r>
        <w:rPr/>
        <w:t>less,</w:t>
      </w:r>
      <w:r>
        <w:rPr>
          <w:spacing w:val="-11"/>
        </w:rPr>
        <w:t> </w:t>
      </w:r>
      <w:r>
        <w:rPr/>
        <w:t>with</w:t>
      </w:r>
      <w:r>
        <w:rPr>
          <w:spacing w:val="-10"/>
        </w:rPr>
        <w:t> </w:t>
      </w:r>
      <w:r>
        <w:rPr/>
        <w:t>an</w:t>
      </w:r>
      <w:r>
        <w:rPr>
          <w:spacing w:val="-11"/>
        </w:rPr>
        <w:t> </w:t>
      </w:r>
      <w:r>
        <w:rPr/>
        <w:t>estimated</w:t>
      </w:r>
      <w:r>
        <w:rPr>
          <w:spacing w:val="-10"/>
        </w:rPr>
        <w:t> </w:t>
      </w:r>
      <w:r>
        <w:rPr/>
        <w:t>population</w:t>
      </w:r>
      <w:r>
        <w:rPr>
          <w:spacing w:val="-11"/>
        </w:rPr>
        <w:t> </w:t>
      </w:r>
      <w:r>
        <w:rPr/>
        <w:t>of</w:t>
      </w:r>
      <w:r>
        <w:rPr>
          <w:spacing w:val="-11"/>
        </w:rPr>
        <w:t> </w:t>
      </w:r>
      <w:r>
        <w:rPr>
          <w:spacing w:val="-3"/>
        </w:rPr>
        <w:t>approximately</w:t>
      </w:r>
      <w:r>
        <w:rPr>
          <w:spacing w:val="-10"/>
        </w:rPr>
        <w:t> </w:t>
      </w:r>
      <w:r>
        <w:rPr/>
        <w:t>30,000 Auslan</w:t>
      </w:r>
      <w:r>
        <w:rPr>
          <w:spacing w:val="-11"/>
        </w:rPr>
        <w:t> </w:t>
      </w:r>
      <w:r>
        <w:rPr/>
        <w:t>users</w:t>
      </w:r>
      <w:r>
        <w:rPr>
          <w:spacing w:val="-10"/>
        </w:rPr>
        <w:t> </w:t>
      </w:r>
      <w:r>
        <w:rPr/>
        <w:t>in</w:t>
      </w:r>
      <w:r>
        <w:rPr>
          <w:spacing w:val="-10"/>
        </w:rPr>
        <w:t> </w:t>
      </w:r>
      <w:r>
        <w:rPr/>
        <w:t>Australia,</w:t>
      </w:r>
      <w:r>
        <w:rPr>
          <w:spacing w:val="-11"/>
        </w:rPr>
        <w:t> </w:t>
      </w:r>
      <w:r>
        <w:rPr/>
        <w:t>out</w:t>
      </w:r>
      <w:r>
        <w:rPr>
          <w:spacing w:val="-10"/>
        </w:rPr>
        <w:t> </w:t>
      </w:r>
      <w:r>
        <w:rPr/>
        <w:t>of</w:t>
      </w:r>
      <w:r>
        <w:rPr>
          <w:spacing w:val="-10"/>
        </w:rPr>
        <w:t> </w:t>
      </w:r>
      <w:r>
        <w:rPr/>
        <w:t>a</w:t>
      </w:r>
      <w:r>
        <w:rPr>
          <w:spacing w:val="-11"/>
        </w:rPr>
        <w:t> </w:t>
      </w:r>
      <w:r>
        <w:rPr/>
        <w:t>total</w:t>
      </w:r>
      <w:r>
        <w:rPr>
          <w:spacing w:val="-10"/>
        </w:rPr>
        <w:t> </w:t>
      </w:r>
      <w:r>
        <w:rPr/>
        <w:t>population</w:t>
      </w:r>
      <w:r>
        <w:rPr>
          <w:spacing w:val="-10"/>
        </w:rPr>
        <w:t> </w:t>
      </w:r>
      <w:r>
        <w:rPr/>
        <w:t>of</w:t>
      </w:r>
      <w:r>
        <w:rPr>
          <w:spacing w:val="-10"/>
        </w:rPr>
        <w:t> </w:t>
      </w:r>
      <w:r>
        <w:rPr/>
        <w:t>almost</w:t>
      </w:r>
      <w:r>
        <w:rPr>
          <w:spacing w:val="-11"/>
        </w:rPr>
        <w:t> </w:t>
      </w:r>
      <w:r>
        <w:rPr/>
        <w:t>26</w:t>
      </w:r>
      <w:r>
        <w:rPr>
          <w:spacing w:val="-10"/>
        </w:rPr>
        <w:t> </w:t>
      </w:r>
      <w:r>
        <w:rPr/>
        <w:t>million</w:t>
      </w:r>
      <w:r>
        <w:rPr>
          <w:spacing w:val="-10"/>
        </w:rPr>
        <w:t> </w:t>
      </w:r>
      <w:r>
        <w:rPr>
          <w:spacing w:val="-3"/>
        </w:rPr>
        <w:t>(of</w:t>
      </w:r>
      <w:r>
        <w:rPr>
          <w:spacing w:val="-11"/>
        </w:rPr>
        <w:t> </w:t>
      </w:r>
      <w:r>
        <w:rPr/>
        <w:t>which</w:t>
      </w:r>
      <w:r>
        <w:rPr>
          <w:spacing w:val="-10"/>
        </w:rPr>
        <w:t> </w:t>
      </w:r>
      <w:r>
        <w:rPr/>
        <w:t>Victoria has a population of around 6.56</w:t>
      </w:r>
      <w:r>
        <w:rPr>
          <w:spacing w:val="-27"/>
        </w:rPr>
        <w:t> </w:t>
      </w:r>
      <w:r>
        <w:rPr/>
        <w:t>million).</w:t>
      </w:r>
      <w:r>
        <w:rPr>
          <w:position w:val="7"/>
          <w:sz w:val="11"/>
        </w:rPr>
        <w:t>9</w:t>
      </w:r>
    </w:p>
    <w:p>
      <w:pPr>
        <w:pStyle w:val="ListParagraph"/>
        <w:numPr>
          <w:ilvl w:val="1"/>
          <w:numId w:val="12"/>
        </w:numPr>
        <w:tabs>
          <w:tab w:pos="1762" w:val="left" w:leader="none"/>
        </w:tabs>
        <w:spacing w:line="206" w:lineRule="auto" w:before="127" w:after="0"/>
        <w:ind w:left="1761" w:right="1262" w:hanging="794"/>
        <w:jc w:val="both"/>
        <w:rPr>
          <w:sz w:val="11"/>
        </w:rPr>
      </w:pPr>
      <w:r>
        <w:rPr>
          <w:sz w:val="20"/>
        </w:rPr>
        <w:t>The</w:t>
      </w:r>
      <w:r>
        <w:rPr>
          <w:spacing w:val="-10"/>
          <w:sz w:val="20"/>
        </w:rPr>
        <w:t> </w:t>
      </w:r>
      <w:r>
        <w:rPr>
          <w:sz w:val="20"/>
        </w:rPr>
        <w:t>New</w:t>
      </w:r>
      <w:r>
        <w:rPr>
          <w:spacing w:val="-10"/>
          <w:sz w:val="20"/>
        </w:rPr>
        <w:t> </w:t>
      </w:r>
      <w:r>
        <w:rPr>
          <w:sz w:val="20"/>
        </w:rPr>
        <w:t>South</w:t>
      </w:r>
      <w:r>
        <w:rPr>
          <w:spacing w:val="-10"/>
          <w:sz w:val="20"/>
        </w:rPr>
        <w:t> </w:t>
      </w:r>
      <w:r>
        <w:rPr>
          <w:spacing w:val="-4"/>
          <w:sz w:val="20"/>
        </w:rPr>
        <w:t>Wales</w:t>
      </w:r>
      <w:r>
        <w:rPr>
          <w:spacing w:val="-9"/>
          <w:sz w:val="20"/>
        </w:rPr>
        <w:t> </w:t>
      </w:r>
      <w:r>
        <w:rPr>
          <w:sz w:val="20"/>
        </w:rPr>
        <w:t>Law</w:t>
      </w:r>
      <w:r>
        <w:rPr>
          <w:spacing w:val="-10"/>
          <w:sz w:val="20"/>
        </w:rPr>
        <w:t> </w:t>
      </w:r>
      <w:r>
        <w:rPr>
          <w:sz w:val="20"/>
        </w:rPr>
        <w:t>Reform</w:t>
      </w:r>
      <w:r>
        <w:rPr>
          <w:spacing w:val="-10"/>
          <w:sz w:val="20"/>
        </w:rPr>
        <w:t> </w:t>
      </w:r>
      <w:r>
        <w:rPr>
          <w:sz w:val="20"/>
        </w:rPr>
        <w:t>Commission</w:t>
      </w:r>
      <w:r>
        <w:rPr>
          <w:spacing w:val="-9"/>
          <w:sz w:val="20"/>
        </w:rPr>
        <w:t> </w:t>
      </w:r>
      <w:r>
        <w:rPr>
          <w:sz w:val="20"/>
        </w:rPr>
        <w:t>concluded</w:t>
      </w:r>
      <w:r>
        <w:rPr>
          <w:spacing w:val="-10"/>
          <w:sz w:val="20"/>
        </w:rPr>
        <w:t> </w:t>
      </w:r>
      <w:r>
        <w:rPr>
          <w:sz w:val="20"/>
        </w:rPr>
        <w:t>that</w:t>
      </w:r>
      <w:r>
        <w:rPr>
          <w:spacing w:val="-10"/>
          <w:sz w:val="20"/>
        </w:rPr>
        <w:t> </w:t>
      </w:r>
      <w:r>
        <w:rPr>
          <w:sz w:val="20"/>
        </w:rPr>
        <w:t>the</w:t>
      </w:r>
      <w:r>
        <w:rPr>
          <w:spacing w:val="-9"/>
          <w:sz w:val="20"/>
        </w:rPr>
        <w:t> </w:t>
      </w:r>
      <w:r>
        <w:rPr>
          <w:sz w:val="20"/>
        </w:rPr>
        <w:t>cost</w:t>
      </w:r>
      <w:r>
        <w:rPr>
          <w:spacing w:val="-10"/>
          <w:sz w:val="20"/>
        </w:rPr>
        <w:t> </w:t>
      </w:r>
      <w:r>
        <w:rPr>
          <w:sz w:val="20"/>
        </w:rPr>
        <w:t>of</w:t>
      </w:r>
      <w:r>
        <w:rPr>
          <w:spacing w:val="-10"/>
          <w:sz w:val="20"/>
        </w:rPr>
        <w:t> </w:t>
      </w:r>
      <w:r>
        <w:rPr>
          <w:sz w:val="20"/>
        </w:rPr>
        <w:t>permitting deaf</w:t>
      </w:r>
      <w:r>
        <w:rPr>
          <w:spacing w:val="-9"/>
          <w:sz w:val="20"/>
        </w:rPr>
        <w:t> </w:t>
      </w:r>
      <w:r>
        <w:rPr>
          <w:sz w:val="20"/>
        </w:rPr>
        <w:t>persons</w:t>
      </w:r>
      <w:r>
        <w:rPr>
          <w:spacing w:val="-8"/>
          <w:sz w:val="20"/>
        </w:rPr>
        <w:t> </w:t>
      </w:r>
      <w:r>
        <w:rPr>
          <w:sz w:val="20"/>
        </w:rPr>
        <w:t>to</w:t>
      </w:r>
      <w:r>
        <w:rPr>
          <w:spacing w:val="-8"/>
          <w:sz w:val="20"/>
        </w:rPr>
        <w:t> </w:t>
      </w:r>
      <w:r>
        <w:rPr>
          <w:sz w:val="20"/>
        </w:rPr>
        <w:t>serve</w:t>
      </w:r>
      <w:r>
        <w:rPr>
          <w:spacing w:val="-9"/>
          <w:sz w:val="20"/>
        </w:rPr>
        <w:t> </w:t>
      </w:r>
      <w:r>
        <w:rPr>
          <w:sz w:val="20"/>
        </w:rPr>
        <w:t>on</w:t>
      </w:r>
      <w:r>
        <w:rPr>
          <w:spacing w:val="-8"/>
          <w:sz w:val="20"/>
        </w:rPr>
        <w:t> </w:t>
      </w:r>
      <w:r>
        <w:rPr>
          <w:sz w:val="20"/>
        </w:rPr>
        <w:t>a</w:t>
      </w:r>
      <w:r>
        <w:rPr>
          <w:spacing w:val="-8"/>
          <w:sz w:val="20"/>
        </w:rPr>
        <w:t> </w:t>
      </w:r>
      <w:r>
        <w:rPr>
          <w:sz w:val="20"/>
        </w:rPr>
        <w:t>jury</w:t>
      </w:r>
      <w:r>
        <w:rPr>
          <w:spacing w:val="-9"/>
          <w:sz w:val="20"/>
        </w:rPr>
        <w:t> </w:t>
      </w:r>
      <w:r>
        <w:rPr>
          <w:spacing w:val="-3"/>
          <w:sz w:val="20"/>
        </w:rPr>
        <w:t>‘as</w:t>
      </w:r>
      <w:r>
        <w:rPr>
          <w:spacing w:val="-8"/>
          <w:sz w:val="20"/>
        </w:rPr>
        <w:t> </w:t>
      </w:r>
      <w:r>
        <w:rPr>
          <w:sz w:val="20"/>
        </w:rPr>
        <w:t>a</w:t>
      </w:r>
      <w:r>
        <w:rPr>
          <w:spacing w:val="-8"/>
          <w:sz w:val="20"/>
        </w:rPr>
        <w:t> </w:t>
      </w:r>
      <w:r>
        <w:rPr>
          <w:sz w:val="20"/>
        </w:rPr>
        <w:t>proportion</w:t>
      </w:r>
      <w:r>
        <w:rPr>
          <w:spacing w:val="-9"/>
          <w:sz w:val="20"/>
        </w:rPr>
        <w:t> </w:t>
      </w:r>
      <w:r>
        <w:rPr>
          <w:sz w:val="20"/>
        </w:rPr>
        <w:t>of</w:t>
      </w:r>
      <w:r>
        <w:rPr>
          <w:spacing w:val="-8"/>
          <w:sz w:val="20"/>
        </w:rPr>
        <w:t> </w:t>
      </w:r>
      <w:r>
        <w:rPr>
          <w:sz w:val="20"/>
        </w:rPr>
        <w:t>the</w:t>
      </w:r>
      <w:r>
        <w:rPr>
          <w:spacing w:val="-8"/>
          <w:sz w:val="20"/>
        </w:rPr>
        <w:t> </w:t>
      </w:r>
      <w:r>
        <w:rPr>
          <w:sz w:val="20"/>
        </w:rPr>
        <w:t>total</w:t>
      </w:r>
      <w:r>
        <w:rPr>
          <w:spacing w:val="-8"/>
          <w:sz w:val="20"/>
        </w:rPr>
        <w:t> </w:t>
      </w:r>
      <w:r>
        <w:rPr>
          <w:sz w:val="20"/>
        </w:rPr>
        <w:t>cost</w:t>
      </w:r>
      <w:r>
        <w:rPr>
          <w:spacing w:val="-9"/>
          <w:sz w:val="20"/>
        </w:rPr>
        <w:t> </w:t>
      </w:r>
      <w:r>
        <w:rPr>
          <w:sz w:val="20"/>
        </w:rPr>
        <w:t>of</w:t>
      </w:r>
      <w:r>
        <w:rPr>
          <w:spacing w:val="-8"/>
          <w:sz w:val="20"/>
        </w:rPr>
        <w:t> </w:t>
      </w:r>
      <w:r>
        <w:rPr>
          <w:sz w:val="20"/>
        </w:rPr>
        <w:t>court</w:t>
      </w:r>
      <w:r>
        <w:rPr>
          <w:spacing w:val="-8"/>
          <w:sz w:val="20"/>
        </w:rPr>
        <w:t> </w:t>
      </w:r>
      <w:r>
        <w:rPr>
          <w:sz w:val="20"/>
        </w:rPr>
        <w:t>administration is</w:t>
      </w:r>
      <w:r>
        <w:rPr>
          <w:spacing w:val="-8"/>
          <w:sz w:val="20"/>
        </w:rPr>
        <w:t> </w:t>
      </w:r>
      <w:r>
        <w:rPr>
          <w:sz w:val="20"/>
        </w:rPr>
        <w:t>marginal</w:t>
      </w:r>
      <w:r>
        <w:rPr>
          <w:spacing w:val="-7"/>
          <w:sz w:val="20"/>
        </w:rPr>
        <w:t> </w:t>
      </w:r>
      <w:r>
        <w:rPr>
          <w:sz w:val="20"/>
        </w:rPr>
        <w:t>and</w:t>
      </w:r>
      <w:r>
        <w:rPr>
          <w:spacing w:val="-7"/>
          <w:sz w:val="20"/>
        </w:rPr>
        <w:t> </w:t>
      </w:r>
      <w:r>
        <w:rPr>
          <w:spacing w:val="-3"/>
          <w:sz w:val="20"/>
        </w:rPr>
        <w:t>therefore</w:t>
      </w:r>
      <w:r>
        <w:rPr>
          <w:spacing w:val="-7"/>
          <w:sz w:val="20"/>
        </w:rPr>
        <w:t> </w:t>
      </w:r>
      <w:r>
        <w:rPr>
          <w:sz w:val="20"/>
        </w:rPr>
        <w:t>no</w:t>
      </w:r>
      <w:r>
        <w:rPr>
          <w:spacing w:val="-8"/>
          <w:sz w:val="20"/>
        </w:rPr>
        <w:t> </w:t>
      </w:r>
      <w:r>
        <w:rPr>
          <w:sz w:val="20"/>
        </w:rPr>
        <w:t>cause</w:t>
      </w:r>
      <w:r>
        <w:rPr>
          <w:spacing w:val="-7"/>
          <w:sz w:val="20"/>
        </w:rPr>
        <w:t> </w:t>
      </w:r>
      <w:r>
        <w:rPr>
          <w:sz w:val="20"/>
        </w:rPr>
        <w:t>for</w:t>
      </w:r>
      <w:r>
        <w:rPr>
          <w:spacing w:val="-7"/>
          <w:sz w:val="20"/>
        </w:rPr>
        <w:t> </w:t>
      </w:r>
      <w:r>
        <w:rPr>
          <w:spacing w:val="-3"/>
          <w:sz w:val="20"/>
        </w:rPr>
        <w:t>concern’.</w:t>
      </w:r>
      <w:r>
        <w:rPr>
          <w:spacing w:val="-3"/>
          <w:position w:val="7"/>
          <w:sz w:val="11"/>
        </w:rPr>
        <w:t>10</w:t>
      </w:r>
      <w:r>
        <w:rPr>
          <w:spacing w:val="18"/>
          <w:position w:val="7"/>
          <w:sz w:val="11"/>
        </w:rPr>
        <w:t> </w:t>
      </w:r>
      <w:r>
        <w:rPr>
          <w:sz w:val="20"/>
        </w:rPr>
        <w:t>It</w:t>
      </w:r>
      <w:r>
        <w:rPr>
          <w:spacing w:val="-8"/>
          <w:sz w:val="20"/>
        </w:rPr>
        <w:t> </w:t>
      </w:r>
      <w:r>
        <w:rPr>
          <w:sz w:val="20"/>
        </w:rPr>
        <w:t>further</w:t>
      </w:r>
      <w:r>
        <w:rPr>
          <w:spacing w:val="-7"/>
          <w:sz w:val="20"/>
        </w:rPr>
        <w:t> </w:t>
      </w:r>
      <w:r>
        <w:rPr>
          <w:sz w:val="20"/>
        </w:rPr>
        <w:t>concluded</w:t>
      </w:r>
      <w:r>
        <w:rPr>
          <w:spacing w:val="-7"/>
          <w:sz w:val="20"/>
        </w:rPr>
        <w:t> </w:t>
      </w:r>
      <w:r>
        <w:rPr>
          <w:sz w:val="20"/>
        </w:rPr>
        <w:t>that</w:t>
      </w:r>
      <w:r>
        <w:rPr>
          <w:spacing w:val="-7"/>
          <w:sz w:val="20"/>
        </w:rPr>
        <w:t> </w:t>
      </w:r>
      <w:r>
        <w:rPr>
          <w:sz w:val="20"/>
        </w:rPr>
        <w:t>the</w:t>
      </w:r>
      <w:r>
        <w:rPr>
          <w:spacing w:val="-8"/>
          <w:sz w:val="20"/>
        </w:rPr>
        <w:t> </w:t>
      </w:r>
      <w:r>
        <w:rPr>
          <w:sz w:val="20"/>
        </w:rPr>
        <w:t>costs</w:t>
      </w:r>
      <w:r>
        <w:rPr>
          <w:spacing w:val="-7"/>
          <w:sz w:val="20"/>
        </w:rPr>
        <w:t> </w:t>
      </w:r>
      <w:r>
        <w:rPr>
          <w:sz w:val="20"/>
        </w:rPr>
        <w:t>for enabling</w:t>
      </w:r>
      <w:r>
        <w:rPr>
          <w:spacing w:val="-6"/>
          <w:sz w:val="20"/>
        </w:rPr>
        <w:t> </w:t>
      </w:r>
      <w:r>
        <w:rPr>
          <w:sz w:val="20"/>
        </w:rPr>
        <w:t>blind</w:t>
      </w:r>
      <w:r>
        <w:rPr>
          <w:spacing w:val="-5"/>
          <w:sz w:val="20"/>
        </w:rPr>
        <w:t> </w:t>
      </w:r>
      <w:r>
        <w:rPr>
          <w:sz w:val="20"/>
        </w:rPr>
        <w:t>people</w:t>
      </w:r>
      <w:r>
        <w:rPr>
          <w:spacing w:val="-5"/>
          <w:sz w:val="20"/>
        </w:rPr>
        <w:t> </w:t>
      </w:r>
      <w:r>
        <w:rPr>
          <w:sz w:val="20"/>
        </w:rPr>
        <w:t>to</w:t>
      </w:r>
      <w:r>
        <w:rPr>
          <w:spacing w:val="-6"/>
          <w:sz w:val="20"/>
        </w:rPr>
        <w:t> </w:t>
      </w:r>
      <w:r>
        <w:rPr>
          <w:sz w:val="20"/>
        </w:rPr>
        <w:t>serve</w:t>
      </w:r>
      <w:r>
        <w:rPr>
          <w:spacing w:val="-5"/>
          <w:sz w:val="20"/>
        </w:rPr>
        <w:t> </w:t>
      </w:r>
      <w:r>
        <w:rPr>
          <w:spacing w:val="-3"/>
          <w:sz w:val="20"/>
        </w:rPr>
        <w:t>would</w:t>
      </w:r>
      <w:r>
        <w:rPr>
          <w:spacing w:val="-5"/>
          <w:sz w:val="20"/>
        </w:rPr>
        <w:t> </w:t>
      </w:r>
      <w:r>
        <w:rPr>
          <w:sz w:val="20"/>
        </w:rPr>
        <w:t>similarly</w:t>
      </w:r>
      <w:r>
        <w:rPr>
          <w:spacing w:val="-6"/>
          <w:sz w:val="20"/>
        </w:rPr>
        <w:t> </w:t>
      </w:r>
      <w:r>
        <w:rPr>
          <w:spacing w:val="-3"/>
          <w:sz w:val="20"/>
        </w:rPr>
        <w:t>‘likely</w:t>
      </w:r>
      <w:r>
        <w:rPr>
          <w:spacing w:val="-5"/>
          <w:sz w:val="20"/>
        </w:rPr>
        <w:t> </w:t>
      </w:r>
      <w:r>
        <w:rPr>
          <w:sz w:val="20"/>
        </w:rPr>
        <w:t>be</w:t>
      </w:r>
      <w:r>
        <w:rPr>
          <w:spacing w:val="-5"/>
          <w:sz w:val="20"/>
        </w:rPr>
        <w:t> </w:t>
      </w:r>
      <w:r>
        <w:rPr>
          <w:sz w:val="20"/>
        </w:rPr>
        <w:t>minimal’.</w:t>
      </w:r>
      <w:r>
        <w:rPr>
          <w:position w:val="7"/>
          <w:sz w:val="11"/>
        </w:rPr>
        <w:t>11</w:t>
      </w:r>
    </w:p>
    <w:p>
      <w:pPr>
        <w:spacing w:before="163"/>
        <w:ind w:left="967" w:right="0" w:firstLine="0"/>
        <w:jc w:val="left"/>
        <w:rPr>
          <w:b/>
          <w:sz w:val="24"/>
        </w:rPr>
      </w:pPr>
      <w:r>
        <w:rPr>
          <w:b/>
          <w:sz w:val="24"/>
        </w:rPr>
        <w:t>The benefits outweigh the costs of reform</w:t>
      </w:r>
    </w:p>
    <w:p>
      <w:pPr>
        <w:pStyle w:val="ListParagraph"/>
        <w:numPr>
          <w:ilvl w:val="1"/>
          <w:numId w:val="12"/>
        </w:numPr>
        <w:tabs>
          <w:tab w:pos="1761" w:val="left" w:leader="none"/>
          <w:tab w:pos="1762" w:val="left" w:leader="none"/>
        </w:tabs>
        <w:spacing w:line="206" w:lineRule="auto" w:before="127" w:after="0"/>
        <w:ind w:left="1761" w:right="1320" w:hanging="794"/>
        <w:jc w:val="left"/>
        <w:rPr>
          <w:sz w:val="11"/>
        </w:rPr>
      </w:pPr>
      <w:r>
        <w:rPr>
          <w:sz w:val="20"/>
        </w:rPr>
        <w:t>Most community responses acknowledged that there </w:t>
      </w:r>
      <w:r>
        <w:rPr>
          <w:spacing w:val="-3"/>
          <w:sz w:val="20"/>
        </w:rPr>
        <w:t>would </w:t>
      </w:r>
      <w:r>
        <w:rPr>
          <w:sz w:val="20"/>
        </w:rPr>
        <w:t>be costs </w:t>
      </w:r>
      <w:r>
        <w:rPr>
          <w:spacing w:val="-4"/>
          <w:sz w:val="20"/>
        </w:rPr>
        <w:t>involved </w:t>
      </w:r>
      <w:r>
        <w:rPr>
          <w:sz w:val="20"/>
        </w:rPr>
        <w:t>with reforms.</w:t>
      </w:r>
      <w:r>
        <w:rPr>
          <w:spacing w:val="-10"/>
          <w:sz w:val="20"/>
        </w:rPr>
        <w:t> </w:t>
      </w:r>
      <w:r>
        <w:rPr>
          <w:spacing w:val="-5"/>
          <w:sz w:val="20"/>
        </w:rPr>
        <w:t>However,</w:t>
      </w:r>
      <w:r>
        <w:rPr>
          <w:spacing w:val="-9"/>
          <w:sz w:val="20"/>
        </w:rPr>
        <w:t> </w:t>
      </w:r>
      <w:r>
        <w:rPr>
          <w:sz w:val="20"/>
        </w:rPr>
        <w:t>the</w:t>
      </w:r>
      <w:r>
        <w:rPr>
          <w:spacing w:val="-10"/>
          <w:sz w:val="20"/>
        </w:rPr>
        <w:t> </w:t>
      </w:r>
      <w:r>
        <w:rPr>
          <w:sz w:val="20"/>
        </w:rPr>
        <w:t>majority</w:t>
      </w:r>
      <w:r>
        <w:rPr>
          <w:spacing w:val="-9"/>
          <w:sz w:val="20"/>
        </w:rPr>
        <w:t> </w:t>
      </w:r>
      <w:r>
        <w:rPr>
          <w:sz w:val="20"/>
        </w:rPr>
        <w:t>view</w:t>
      </w:r>
      <w:r>
        <w:rPr>
          <w:spacing w:val="-10"/>
          <w:sz w:val="20"/>
        </w:rPr>
        <w:t> </w:t>
      </w:r>
      <w:r>
        <w:rPr>
          <w:sz w:val="20"/>
        </w:rPr>
        <w:t>was</w:t>
      </w:r>
      <w:r>
        <w:rPr>
          <w:spacing w:val="-9"/>
          <w:sz w:val="20"/>
        </w:rPr>
        <w:t> </w:t>
      </w:r>
      <w:r>
        <w:rPr>
          <w:sz w:val="20"/>
        </w:rPr>
        <w:t>that</w:t>
      </w:r>
      <w:r>
        <w:rPr>
          <w:spacing w:val="-10"/>
          <w:sz w:val="20"/>
        </w:rPr>
        <w:t> </w:t>
      </w:r>
      <w:r>
        <w:rPr>
          <w:sz w:val="20"/>
        </w:rPr>
        <w:t>these</w:t>
      </w:r>
      <w:r>
        <w:rPr>
          <w:spacing w:val="-9"/>
          <w:sz w:val="20"/>
        </w:rPr>
        <w:t> </w:t>
      </w:r>
      <w:r>
        <w:rPr>
          <w:sz w:val="20"/>
        </w:rPr>
        <w:t>costs</w:t>
      </w:r>
      <w:r>
        <w:rPr>
          <w:spacing w:val="-10"/>
          <w:sz w:val="20"/>
        </w:rPr>
        <w:t> </w:t>
      </w:r>
      <w:r>
        <w:rPr>
          <w:spacing w:val="-3"/>
          <w:sz w:val="20"/>
        </w:rPr>
        <w:t>would</w:t>
      </w:r>
      <w:r>
        <w:rPr>
          <w:spacing w:val="-9"/>
          <w:sz w:val="20"/>
        </w:rPr>
        <w:t> </w:t>
      </w:r>
      <w:r>
        <w:rPr>
          <w:sz w:val="20"/>
        </w:rPr>
        <w:t>be</w:t>
      </w:r>
      <w:r>
        <w:rPr>
          <w:spacing w:val="-10"/>
          <w:sz w:val="20"/>
        </w:rPr>
        <w:t> </w:t>
      </w:r>
      <w:r>
        <w:rPr>
          <w:sz w:val="20"/>
        </w:rPr>
        <w:t>outweighed</w:t>
      </w:r>
      <w:r>
        <w:rPr>
          <w:spacing w:val="-9"/>
          <w:sz w:val="20"/>
        </w:rPr>
        <w:t> </w:t>
      </w:r>
      <w:r>
        <w:rPr>
          <w:spacing w:val="-3"/>
          <w:sz w:val="20"/>
        </w:rPr>
        <w:t>by</w:t>
      </w:r>
      <w:r>
        <w:rPr>
          <w:spacing w:val="-10"/>
          <w:sz w:val="20"/>
        </w:rPr>
        <w:t> </w:t>
      </w:r>
      <w:r>
        <w:rPr>
          <w:sz w:val="20"/>
        </w:rPr>
        <w:t>the benefits</w:t>
      </w:r>
      <w:r>
        <w:rPr>
          <w:spacing w:val="-9"/>
          <w:sz w:val="20"/>
        </w:rPr>
        <w:t> </w:t>
      </w:r>
      <w:r>
        <w:rPr>
          <w:sz w:val="20"/>
        </w:rPr>
        <w:t>to</w:t>
      </w:r>
      <w:r>
        <w:rPr>
          <w:spacing w:val="-8"/>
          <w:sz w:val="20"/>
        </w:rPr>
        <w:t> </w:t>
      </w:r>
      <w:r>
        <w:rPr>
          <w:sz w:val="20"/>
        </w:rPr>
        <w:t>people</w:t>
      </w:r>
      <w:r>
        <w:rPr>
          <w:spacing w:val="-9"/>
          <w:sz w:val="20"/>
        </w:rPr>
        <w:t> </w:t>
      </w:r>
      <w:r>
        <w:rPr>
          <w:spacing w:val="-3"/>
          <w:sz w:val="20"/>
        </w:rPr>
        <w:t>from</w:t>
      </w:r>
      <w:r>
        <w:rPr>
          <w:spacing w:val="-8"/>
          <w:sz w:val="20"/>
        </w:rPr>
        <w:t> </w:t>
      </w:r>
      <w:r>
        <w:rPr>
          <w:sz w:val="20"/>
        </w:rPr>
        <w:t>the</w:t>
      </w:r>
      <w:r>
        <w:rPr>
          <w:spacing w:val="-8"/>
          <w:sz w:val="20"/>
        </w:rPr>
        <w:t> </w:t>
      </w:r>
      <w:r>
        <w:rPr>
          <w:sz w:val="20"/>
        </w:rPr>
        <w:t>subject</w:t>
      </w:r>
      <w:r>
        <w:rPr>
          <w:spacing w:val="-9"/>
          <w:sz w:val="20"/>
        </w:rPr>
        <w:t> </w:t>
      </w:r>
      <w:r>
        <w:rPr>
          <w:sz w:val="20"/>
        </w:rPr>
        <w:t>groups</w:t>
      </w:r>
      <w:r>
        <w:rPr>
          <w:spacing w:val="-8"/>
          <w:sz w:val="20"/>
        </w:rPr>
        <w:t> </w:t>
      </w:r>
      <w:r>
        <w:rPr>
          <w:sz w:val="20"/>
        </w:rPr>
        <w:t>and</w:t>
      </w:r>
      <w:r>
        <w:rPr>
          <w:spacing w:val="-8"/>
          <w:sz w:val="20"/>
        </w:rPr>
        <w:t> </w:t>
      </w:r>
      <w:r>
        <w:rPr>
          <w:sz w:val="20"/>
        </w:rPr>
        <w:t>to</w:t>
      </w:r>
      <w:r>
        <w:rPr>
          <w:spacing w:val="-9"/>
          <w:sz w:val="20"/>
        </w:rPr>
        <w:t> </w:t>
      </w:r>
      <w:r>
        <w:rPr>
          <w:sz w:val="20"/>
        </w:rPr>
        <w:t>the</w:t>
      </w:r>
      <w:r>
        <w:rPr>
          <w:spacing w:val="-8"/>
          <w:sz w:val="20"/>
        </w:rPr>
        <w:t> </w:t>
      </w:r>
      <w:r>
        <w:rPr>
          <w:sz w:val="20"/>
        </w:rPr>
        <w:t>justice</w:t>
      </w:r>
      <w:r>
        <w:rPr>
          <w:spacing w:val="-8"/>
          <w:sz w:val="20"/>
        </w:rPr>
        <w:t> </w:t>
      </w:r>
      <w:r>
        <w:rPr>
          <w:sz w:val="20"/>
        </w:rPr>
        <w:t>system</w:t>
      </w:r>
      <w:r>
        <w:rPr>
          <w:spacing w:val="-9"/>
          <w:sz w:val="20"/>
        </w:rPr>
        <w:t> </w:t>
      </w:r>
      <w:r>
        <w:rPr>
          <w:sz w:val="20"/>
        </w:rPr>
        <w:t>more</w:t>
      </w:r>
      <w:r>
        <w:rPr>
          <w:spacing w:val="-8"/>
          <w:sz w:val="20"/>
        </w:rPr>
        <w:t> </w:t>
      </w:r>
      <w:r>
        <w:rPr>
          <w:spacing w:val="-3"/>
          <w:sz w:val="20"/>
        </w:rPr>
        <w:t>broadly.</w:t>
      </w:r>
      <w:r>
        <w:rPr>
          <w:spacing w:val="-3"/>
          <w:position w:val="7"/>
          <w:sz w:val="11"/>
        </w:rPr>
        <w:t>12</w:t>
      </w:r>
    </w:p>
    <w:p>
      <w:pPr>
        <w:pStyle w:val="ListParagraph"/>
        <w:numPr>
          <w:ilvl w:val="1"/>
          <w:numId w:val="12"/>
        </w:numPr>
        <w:tabs>
          <w:tab w:pos="1761" w:val="left" w:leader="none"/>
          <w:tab w:pos="1762" w:val="left" w:leader="none"/>
        </w:tabs>
        <w:spacing w:line="259" w:lineRule="exact" w:before="91" w:after="0"/>
        <w:ind w:left="1761" w:right="0" w:hanging="794"/>
        <w:jc w:val="left"/>
        <w:rPr>
          <w:sz w:val="20"/>
        </w:rPr>
      </w:pPr>
      <w:r>
        <w:rPr>
          <w:spacing w:val="-3"/>
          <w:sz w:val="20"/>
        </w:rPr>
        <w:t>Many</w:t>
      </w:r>
      <w:r>
        <w:rPr>
          <w:spacing w:val="-6"/>
          <w:sz w:val="20"/>
        </w:rPr>
        <w:t> </w:t>
      </w:r>
      <w:r>
        <w:rPr>
          <w:sz w:val="20"/>
        </w:rPr>
        <w:t>noted</w:t>
      </w:r>
      <w:r>
        <w:rPr>
          <w:spacing w:val="-5"/>
          <w:sz w:val="20"/>
        </w:rPr>
        <w:t> </w:t>
      </w:r>
      <w:r>
        <w:rPr>
          <w:sz w:val="20"/>
        </w:rPr>
        <w:t>that</w:t>
      </w:r>
      <w:r>
        <w:rPr>
          <w:spacing w:val="-5"/>
          <w:sz w:val="20"/>
        </w:rPr>
        <w:t> </w:t>
      </w:r>
      <w:r>
        <w:rPr>
          <w:sz w:val="20"/>
        </w:rPr>
        <w:t>the</w:t>
      </w:r>
      <w:r>
        <w:rPr>
          <w:spacing w:val="-5"/>
          <w:sz w:val="20"/>
        </w:rPr>
        <w:t> </w:t>
      </w:r>
      <w:r>
        <w:rPr>
          <w:sz w:val="20"/>
        </w:rPr>
        <w:t>benefits</w:t>
      </w:r>
      <w:r>
        <w:rPr>
          <w:spacing w:val="-5"/>
          <w:sz w:val="20"/>
        </w:rPr>
        <w:t> </w:t>
      </w:r>
      <w:r>
        <w:rPr>
          <w:spacing w:val="-3"/>
          <w:sz w:val="20"/>
        </w:rPr>
        <w:t>would</w:t>
      </w:r>
      <w:r>
        <w:rPr>
          <w:spacing w:val="-5"/>
          <w:sz w:val="20"/>
        </w:rPr>
        <w:t> </w:t>
      </w:r>
      <w:r>
        <w:rPr>
          <w:sz w:val="20"/>
        </w:rPr>
        <w:t>be</w:t>
      </w:r>
      <w:r>
        <w:rPr>
          <w:spacing w:val="-5"/>
          <w:sz w:val="20"/>
        </w:rPr>
        <w:t> </w:t>
      </w:r>
      <w:r>
        <w:rPr>
          <w:sz w:val="20"/>
        </w:rPr>
        <w:t>shared</w:t>
      </w:r>
      <w:r>
        <w:rPr>
          <w:spacing w:val="-5"/>
          <w:sz w:val="20"/>
        </w:rPr>
        <w:t> </w:t>
      </w:r>
      <w:r>
        <w:rPr>
          <w:spacing w:val="-3"/>
          <w:sz w:val="20"/>
        </w:rPr>
        <w:t>by</w:t>
      </w:r>
      <w:r>
        <w:rPr>
          <w:spacing w:val="-5"/>
          <w:sz w:val="20"/>
        </w:rPr>
        <w:t> </w:t>
      </w:r>
      <w:r>
        <w:rPr>
          <w:sz w:val="20"/>
        </w:rPr>
        <w:t>all</w:t>
      </w:r>
      <w:r>
        <w:rPr>
          <w:spacing w:val="-5"/>
          <w:sz w:val="20"/>
        </w:rPr>
        <w:t> </w:t>
      </w:r>
      <w:r>
        <w:rPr>
          <w:sz w:val="20"/>
        </w:rPr>
        <w:t>users</w:t>
      </w:r>
      <w:r>
        <w:rPr>
          <w:spacing w:val="-5"/>
          <w:sz w:val="20"/>
        </w:rPr>
        <w:t> </w:t>
      </w:r>
      <w:r>
        <w:rPr>
          <w:sz w:val="20"/>
        </w:rPr>
        <w:t>of</w:t>
      </w:r>
      <w:r>
        <w:rPr>
          <w:spacing w:val="-6"/>
          <w:sz w:val="20"/>
        </w:rPr>
        <w:t> </w:t>
      </w:r>
      <w:r>
        <w:rPr>
          <w:sz w:val="20"/>
        </w:rPr>
        <w:t>the</w:t>
      </w:r>
      <w:r>
        <w:rPr>
          <w:spacing w:val="-5"/>
          <w:sz w:val="20"/>
        </w:rPr>
        <w:t> </w:t>
      </w:r>
      <w:r>
        <w:rPr>
          <w:sz w:val="20"/>
        </w:rPr>
        <w:t>Court</w:t>
      </w:r>
      <w:r>
        <w:rPr>
          <w:spacing w:val="-5"/>
          <w:sz w:val="20"/>
        </w:rPr>
        <w:t> </w:t>
      </w:r>
      <w:r>
        <w:rPr>
          <w:sz w:val="20"/>
        </w:rPr>
        <w:t>and</w:t>
      </w:r>
      <w:r>
        <w:rPr>
          <w:spacing w:val="-5"/>
          <w:sz w:val="20"/>
        </w:rPr>
        <w:t> </w:t>
      </w:r>
      <w:r>
        <w:rPr>
          <w:sz w:val="20"/>
        </w:rPr>
        <w:t>the</w:t>
      </w:r>
    </w:p>
    <w:p>
      <w:pPr>
        <w:pStyle w:val="BodyText"/>
        <w:spacing w:line="259" w:lineRule="exact"/>
        <w:ind w:left="1761"/>
      </w:pPr>
      <w:r>
        <w:rPr/>
        <w:t>community. For example, Victoria Legal Aid noted:</w:t>
      </w:r>
    </w:p>
    <w:p>
      <w:pPr>
        <w:spacing w:line="208" w:lineRule="auto" w:before="113"/>
        <w:ind w:left="2157" w:right="1951" w:firstLine="0"/>
        <w:jc w:val="left"/>
        <w:rPr>
          <w:sz w:val="19"/>
        </w:rPr>
      </w:pPr>
      <w:r>
        <w:rPr>
          <w:sz w:val="19"/>
        </w:rPr>
        <w:t>While we are not providing specific suggestions or commenting on the costs of the changes, we note the broader need and social benefit of technological</w:t>
      </w:r>
    </w:p>
    <w:p>
      <w:pPr>
        <w:spacing w:line="208" w:lineRule="auto" w:before="1"/>
        <w:ind w:left="2157" w:right="1335" w:firstLine="0"/>
        <w:jc w:val="left"/>
        <w:rPr>
          <w:sz w:val="11"/>
        </w:rPr>
      </w:pPr>
      <w:r>
        <w:rPr>
          <w:sz w:val="19"/>
        </w:rPr>
        <w:t>enhancements, such as hearing loops. Adjustments are needed and will benefit people who are hearing and vision impaired as well as judges, lawyers, parties to proceedings and witnesses.</w:t>
      </w:r>
      <w:r>
        <w:rPr>
          <w:position w:val="6"/>
          <w:sz w:val="11"/>
        </w:rPr>
        <w:t>13</w:t>
      </w:r>
    </w:p>
    <w:p>
      <w:pPr>
        <w:pStyle w:val="ListParagraph"/>
        <w:numPr>
          <w:ilvl w:val="1"/>
          <w:numId w:val="12"/>
        </w:numPr>
        <w:tabs>
          <w:tab w:pos="1761" w:val="left" w:leader="none"/>
          <w:tab w:pos="1762" w:val="left" w:leader="none"/>
        </w:tabs>
        <w:spacing w:line="240" w:lineRule="auto" w:before="92" w:after="0"/>
        <w:ind w:left="1761" w:right="0" w:hanging="794"/>
        <w:jc w:val="left"/>
        <w:rPr>
          <w:sz w:val="20"/>
        </w:rPr>
      </w:pPr>
      <w:r>
        <w:rPr>
          <w:spacing w:val="-3"/>
          <w:sz w:val="20"/>
        </w:rPr>
        <w:t>Similarly,</w:t>
      </w:r>
      <w:r>
        <w:rPr>
          <w:spacing w:val="-6"/>
          <w:sz w:val="20"/>
        </w:rPr>
        <w:t> </w:t>
      </w:r>
      <w:r>
        <w:rPr>
          <w:sz w:val="20"/>
        </w:rPr>
        <w:t>Associate</w:t>
      </w:r>
      <w:r>
        <w:rPr>
          <w:spacing w:val="-5"/>
          <w:sz w:val="20"/>
        </w:rPr>
        <w:t> </w:t>
      </w:r>
      <w:r>
        <w:rPr>
          <w:spacing w:val="-3"/>
          <w:sz w:val="20"/>
        </w:rPr>
        <w:t>Professors</w:t>
      </w:r>
      <w:r>
        <w:rPr>
          <w:spacing w:val="-5"/>
          <w:sz w:val="20"/>
        </w:rPr>
        <w:t> </w:t>
      </w:r>
      <w:r>
        <w:rPr>
          <w:sz w:val="20"/>
        </w:rPr>
        <w:t>Bruce</w:t>
      </w:r>
      <w:r>
        <w:rPr>
          <w:spacing w:val="-6"/>
          <w:sz w:val="20"/>
        </w:rPr>
        <w:t> </w:t>
      </w:r>
      <w:r>
        <w:rPr>
          <w:sz w:val="20"/>
        </w:rPr>
        <w:t>Baer</w:t>
      </w:r>
      <w:r>
        <w:rPr>
          <w:spacing w:val="-5"/>
          <w:sz w:val="20"/>
        </w:rPr>
        <w:t> </w:t>
      </w:r>
      <w:r>
        <w:rPr>
          <w:sz w:val="20"/>
        </w:rPr>
        <w:t>Arnold</w:t>
      </w:r>
      <w:r>
        <w:rPr>
          <w:spacing w:val="-5"/>
          <w:sz w:val="20"/>
        </w:rPr>
        <w:t> </w:t>
      </w:r>
      <w:r>
        <w:rPr>
          <w:sz w:val="20"/>
        </w:rPr>
        <w:t>and</w:t>
      </w:r>
      <w:r>
        <w:rPr>
          <w:spacing w:val="-6"/>
          <w:sz w:val="20"/>
        </w:rPr>
        <w:t> </w:t>
      </w:r>
      <w:r>
        <w:rPr>
          <w:spacing w:val="-4"/>
          <w:sz w:val="20"/>
        </w:rPr>
        <w:t>Wendy</w:t>
      </w:r>
      <w:r>
        <w:rPr>
          <w:spacing w:val="-5"/>
          <w:sz w:val="20"/>
        </w:rPr>
        <w:t> </w:t>
      </w:r>
      <w:r>
        <w:rPr>
          <w:sz w:val="20"/>
        </w:rPr>
        <w:t>Bonython</w:t>
      </w:r>
      <w:r>
        <w:rPr>
          <w:spacing w:val="-5"/>
          <w:sz w:val="20"/>
        </w:rPr>
        <w:t> </w:t>
      </w:r>
      <w:r>
        <w:rPr>
          <w:sz w:val="20"/>
        </w:rPr>
        <w:t>commented:</w:t>
      </w:r>
    </w:p>
    <w:p>
      <w:pPr>
        <w:spacing w:line="208" w:lineRule="auto" w:before="112"/>
        <w:ind w:left="2157" w:right="1254" w:firstLine="0"/>
        <w:jc w:val="left"/>
        <w:rPr>
          <w:sz w:val="19"/>
        </w:rPr>
      </w:pPr>
      <w:r>
        <w:rPr>
          <w:sz w:val="19"/>
        </w:rPr>
        <w:t>Anxieties about administrative costs or inconvenience are overstated. It is unlikely that insupportable numbers of people who are </w:t>
      </w:r>
      <w:r>
        <w:rPr>
          <w:spacing w:val="-3"/>
          <w:sz w:val="19"/>
        </w:rPr>
        <w:t>deaf, </w:t>
      </w:r>
      <w:r>
        <w:rPr>
          <w:sz w:val="19"/>
        </w:rPr>
        <w:t>hard of hearing, blind or </w:t>
      </w:r>
      <w:r>
        <w:rPr>
          <w:spacing w:val="-3"/>
          <w:sz w:val="19"/>
        </w:rPr>
        <w:t>have low </w:t>
      </w:r>
      <w:r>
        <w:rPr>
          <w:sz w:val="19"/>
        </w:rPr>
        <w:t>vision will seek to participate in juries under the Victorian justice system, but it is important that they are not arbitrarily denied the right to participate fully in public life if they wish to. The costs associated with their inclusion are appropriate costs. They are</w:t>
      </w:r>
      <w:r>
        <w:rPr>
          <w:spacing w:val="-9"/>
          <w:sz w:val="19"/>
        </w:rPr>
        <w:t> </w:t>
      </w:r>
      <w:r>
        <w:rPr>
          <w:sz w:val="19"/>
        </w:rPr>
        <w:t>consistent</w:t>
      </w:r>
      <w:r>
        <w:rPr>
          <w:spacing w:val="-9"/>
          <w:sz w:val="19"/>
        </w:rPr>
        <w:t> </w:t>
      </w:r>
      <w:r>
        <w:rPr>
          <w:sz w:val="19"/>
        </w:rPr>
        <w:t>with</w:t>
      </w:r>
      <w:r>
        <w:rPr>
          <w:spacing w:val="-9"/>
          <w:sz w:val="19"/>
        </w:rPr>
        <w:t> </w:t>
      </w:r>
      <w:r>
        <w:rPr>
          <w:sz w:val="19"/>
        </w:rPr>
        <w:t>public/private</w:t>
      </w:r>
      <w:r>
        <w:rPr>
          <w:spacing w:val="-9"/>
          <w:sz w:val="19"/>
        </w:rPr>
        <w:t> </w:t>
      </w:r>
      <w:r>
        <w:rPr>
          <w:sz w:val="19"/>
        </w:rPr>
        <w:t>sector</w:t>
      </w:r>
      <w:r>
        <w:rPr>
          <w:spacing w:val="-9"/>
          <w:sz w:val="19"/>
        </w:rPr>
        <w:t> </w:t>
      </w:r>
      <w:r>
        <w:rPr>
          <w:sz w:val="19"/>
        </w:rPr>
        <w:t>investment</w:t>
      </w:r>
      <w:r>
        <w:rPr>
          <w:spacing w:val="-9"/>
          <w:sz w:val="19"/>
        </w:rPr>
        <w:t> </w:t>
      </w:r>
      <w:r>
        <w:rPr>
          <w:sz w:val="19"/>
        </w:rPr>
        <w:t>to</w:t>
      </w:r>
      <w:r>
        <w:rPr>
          <w:spacing w:val="-9"/>
          <w:sz w:val="19"/>
        </w:rPr>
        <w:t> </w:t>
      </w:r>
      <w:r>
        <w:rPr>
          <w:sz w:val="19"/>
        </w:rPr>
        <w:t>foster</w:t>
      </w:r>
      <w:r>
        <w:rPr>
          <w:spacing w:val="-9"/>
          <w:sz w:val="19"/>
        </w:rPr>
        <w:t> </w:t>
      </w:r>
      <w:r>
        <w:rPr>
          <w:sz w:val="19"/>
        </w:rPr>
        <w:t>individual</w:t>
      </w:r>
      <w:r>
        <w:rPr>
          <w:spacing w:val="-9"/>
          <w:sz w:val="19"/>
        </w:rPr>
        <w:t> </w:t>
      </w:r>
      <w:r>
        <w:rPr>
          <w:sz w:val="19"/>
        </w:rPr>
        <w:t>and</w:t>
      </w:r>
      <w:r>
        <w:rPr>
          <w:spacing w:val="-9"/>
          <w:sz w:val="19"/>
        </w:rPr>
        <w:t> </w:t>
      </w:r>
      <w:r>
        <w:rPr>
          <w:sz w:val="19"/>
        </w:rPr>
        <w:t>collective flourishing by removing barriers to participation in public life or self-fulfilment, and are comparable with financial obligations imposed by law on private sector actors to protect participation by people with disability in the areas of employment, education, and other aspects of life.</w:t>
      </w:r>
      <w:r>
        <w:rPr>
          <w:spacing w:val="-10"/>
          <w:sz w:val="19"/>
        </w:rPr>
        <w:t> </w:t>
      </w:r>
      <w:r>
        <w:rPr>
          <w:sz w:val="19"/>
        </w:rPr>
        <w:t>[…]</w:t>
      </w:r>
    </w:p>
    <w:p>
      <w:pPr>
        <w:spacing w:line="208" w:lineRule="auto" w:before="126"/>
        <w:ind w:left="2157" w:right="1202" w:firstLine="0"/>
        <w:jc w:val="left"/>
        <w:rPr>
          <w:sz w:val="19"/>
        </w:rPr>
      </w:pPr>
      <w:r>
        <w:rPr>
          <w:sz w:val="19"/>
        </w:rPr>
        <w:t>We respectfully suggest that a strong focus on the costs associated with reforming the law is inappropriate. Expenditure to facilitate inclusion and to broaden community understanding is a legitimate investment, in the same way that there were costs associated with the reform of law to address gender and other discrimination.</w:t>
      </w:r>
    </w:p>
    <w:p>
      <w:pPr>
        <w:spacing w:line="208" w:lineRule="auto" w:before="3"/>
        <w:ind w:left="2157" w:right="1335" w:firstLine="0"/>
        <w:jc w:val="left"/>
        <w:rPr>
          <w:sz w:val="11"/>
        </w:rPr>
      </w:pPr>
      <w:r>
        <w:rPr>
          <w:sz w:val="19"/>
        </w:rPr>
        <w:t>Inclusion is a matter of justice, the foundation of the state’s court system. It is also an enabler of increased productivity across the state/national economy.</w:t>
      </w:r>
      <w:r>
        <w:rPr>
          <w:position w:val="6"/>
          <w:sz w:val="11"/>
        </w:rPr>
        <w:t>14</w:t>
      </w:r>
    </w:p>
    <w:p>
      <w:pPr>
        <w:pStyle w:val="ListParagraph"/>
        <w:numPr>
          <w:ilvl w:val="1"/>
          <w:numId w:val="12"/>
        </w:numPr>
        <w:tabs>
          <w:tab w:pos="1761" w:val="left" w:leader="none"/>
          <w:tab w:pos="1762" w:val="left" w:leader="none"/>
        </w:tabs>
        <w:spacing w:line="206" w:lineRule="auto" w:before="122" w:after="0"/>
        <w:ind w:left="1761" w:right="1301" w:hanging="794"/>
        <w:jc w:val="left"/>
        <w:rPr>
          <w:sz w:val="11"/>
        </w:rPr>
      </w:pPr>
      <w:r>
        <w:rPr>
          <w:sz w:val="20"/>
        </w:rPr>
        <w:t>Vision Australia observed that the </w:t>
      </w:r>
      <w:r>
        <w:rPr>
          <w:spacing w:val="-3"/>
          <w:sz w:val="20"/>
        </w:rPr>
        <w:t>‘cost </w:t>
      </w:r>
      <w:r>
        <w:rPr>
          <w:sz w:val="20"/>
        </w:rPr>
        <w:t>of </w:t>
      </w:r>
      <w:r>
        <w:rPr>
          <w:spacing w:val="-3"/>
          <w:sz w:val="20"/>
        </w:rPr>
        <w:t>providing </w:t>
      </w:r>
      <w:r>
        <w:rPr>
          <w:sz w:val="20"/>
        </w:rPr>
        <w:t>reasonable supports could be minimised</w:t>
      </w:r>
      <w:r>
        <w:rPr>
          <w:spacing w:val="-12"/>
          <w:sz w:val="20"/>
        </w:rPr>
        <w:t> </w:t>
      </w:r>
      <w:r>
        <w:rPr>
          <w:spacing w:val="-3"/>
          <w:sz w:val="20"/>
        </w:rPr>
        <w:t>by</w:t>
      </w:r>
      <w:r>
        <w:rPr>
          <w:spacing w:val="-12"/>
          <w:sz w:val="20"/>
        </w:rPr>
        <w:t> </w:t>
      </w:r>
      <w:r>
        <w:rPr>
          <w:sz w:val="20"/>
        </w:rPr>
        <w:t>utilising</w:t>
      </w:r>
      <w:r>
        <w:rPr>
          <w:spacing w:val="-12"/>
          <w:sz w:val="20"/>
        </w:rPr>
        <w:t> </w:t>
      </w:r>
      <w:r>
        <w:rPr>
          <w:sz w:val="20"/>
        </w:rPr>
        <w:t>existing</w:t>
      </w:r>
      <w:r>
        <w:rPr>
          <w:spacing w:val="-12"/>
          <w:sz w:val="20"/>
        </w:rPr>
        <w:t> </w:t>
      </w:r>
      <w:r>
        <w:rPr>
          <w:spacing w:val="-3"/>
          <w:sz w:val="20"/>
        </w:rPr>
        <w:t>employee</w:t>
      </w:r>
      <w:r>
        <w:rPr>
          <w:spacing w:val="-12"/>
          <w:sz w:val="20"/>
        </w:rPr>
        <w:t> </w:t>
      </w:r>
      <w:r>
        <w:rPr>
          <w:spacing w:val="-3"/>
          <w:sz w:val="20"/>
        </w:rPr>
        <w:t>resources</w:t>
      </w:r>
      <w:r>
        <w:rPr>
          <w:spacing w:val="-12"/>
          <w:sz w:val="20"/>
        </w:rPr>
        <w:t> </w:t>
      </w:r>
      <w:r>
        <w:rPr>
          <w:sz w:val="20"/>
        </w:rPr>
        <w:t>in</w:t>
      </w:r>
      <w:r>
        <w:rPr>
          <w:spacing w:val="-12"/>
          <w:sz w:val="20"/>
        </w:rPr>
        <w:t> </w:t>
      </w:r>
      <w:r>
        <w:rPr>
          <w:sz w:val="20"/>
        </w:rPr>
        <w:t>the</w:t>
      </w:r>
      <w:r>
        <w:rPr>
          <w:spacing w:val="-12"/>
          <w:sz w:val="20"/>
        </w:rPr>
        <w:t> </w:t>
      </w:r>
      <w:r>
        <w:rPr>
          <w:sz w:val="20"/>
        </w:rPr>
        <w:t>court</w:t>
      </w:r>
      <w:r>
        <w:rPr>
          <w:spacing w:val="-12"/>
          <w:sz w:val="20"/>
        </w:rPr>
        <w:t> </w:t>
      </w:r>
      <w:r>
        <w:rPr>
          <w:sz w:val="20"/>
        </w:rPr>
        <w:t>system,</w:t>
      </w:r>
      <w:r>
        <w:rPr>
          <w:spacing w:val="-12"/>
          <w:sz w:val="20"/>
        </w:rPr>
        <w:t> </w:t>
      </w:r>
      <w:r>
        <w:rPr>
          <w:sz w:val="20"/>
        </w:rPr>
        <w:t>supplemented </w:t>
      </w:r>
      <w:r>
        <w:rPr>
          <w:spacing w:val="-3"/>
          <w:sz w:val="20"/>
        </w:rPr>
        <w:t>by </w:t>
      </w:r>
      <w:r>
        <w:rPr>
          <w:sz w:val="20"/>
        </w:rPr>
        <w:t>the </w:t>
      </w:r>
      <w:r>
        <w:rPr>
          <w:spacing w:val="-3"/>
          <w:sz w:val="20"/>
        </w:rPr>
        <w:t>provision </w:t>
      </w:r>
      <w:r>
        <w:rPr>
          <w:sz w:val="20"/>
        </w:rPr>
        <w:t>of additional</w:t>
      </w:r>
      <w:r>
        <w:rPr>
          <w:spacing w:val="-16"/>
          <w:sz w:val="20"/>
        </w:rPr>
        <w:t> </w:t>
      </w:r>
      <w:r>
        <w:rPr>
          <w:sz w:val="20"/>
        </w:rPr>
        <w:t>training’.</w:t>
      </w:r>
      <w:r>
        <w:rPr>
          <w:position w:val="7"/>
          <w:sz w:val="11"/>
        </w:rPr>
        <w:t>15</w:t>
      </w:r>
    </w:p>
    <w:p>
      <w:pPr>
        <w:pStyle w:val="BodyText"/>
      </w:pPr>
    </w:p>
    <w:p>
      <w:pPr>
        <w:pStyle w:val="BodyText"/>
      </w:pPr>
    </w:p>
    <w:p>
      <w:pPr>
        <w:pStyle w:val="BodyText"/>
        <w:spacing w:before="6"/>
        <w:rPr>
          <w:sz w:val="29"/>
        </w:rPr>
      </w:pPr>
      <w:r>
        <w:rPr/>
        <w:pict>
          <v:line style="position:absolute;mso-position-horizontal-relative:page;mso-position-vertical-relative:paragraph;z-index:11816;mso-wrap-distance-left:0;mso-wrap-distance-right:0" from="79.370102pt,22.894279pt" to="515.905102pt,22.894279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25"/>
        </w:rPr>
      </w:pPr>
    </w:p>
    <w:p>
      <w:pPr>
        <w:spacing w:before="0"/>
        <w:ind w:left="100" w:right="0" w:firstLine="0"/>
        <w:jc w:val="left"/>
        <w:rPr>
          <w:b/>
          <w:sz w:val="24"/>
        </w:rPr>
      </w:pPr>
      <w:r>
        <w:rPr>
          <w:b/>
          <w:color w:val="37617A"/>
          <w:sz w:val="24"/>
        </w:rPr>
        <w:t>222</w:t>
      </w:r>
    </w:p>
    <w:p>
      <w:pPr>
        <w:pStyle w:val="ListParagraph"/>
        <w:numPr>
          <w:ilvl w:val="0"/>
          <w:numId w:val="124"/>
        </w:numPr>
        <w:tabs>
          <w:tab w:pos="893" w:val="left" w:leader="none"/>
          <w:tab w:pos="894" w:val="left" w:leader="none"/>
        </w:tabs>
        <w:spacing w:line="213" w:lineRule="auto" w:before="38" w:after="0"/>
        <w:ind w:left="893" w:right="1274" w:hanging="793"/>
        <w:jc w:val="left"/>
        <w:rPr>
          <w:sz w:val="13"/>
        </w:rPr>
      </w:pPr>
      <w:r>
        <w:rPr>
          <w:spacing w:val="2"/>
          <w:w w:val="101"/>
          <w:sz w:val="13"/>
        </w:rPr>
        <w:br w:type="column"/>
      </w:r>
      <w:r>
        <w:rPr>
          <w:sz w:val="13"/>
        </w:rPr>
        <w:t>Jemina </w:t>
      </w:r>
      <w:r>
        <w:rPr>
          <w:spacing w:val="2"/>
          <w:sz w:val="13"/>
        </w:rPr>
        <w:t>Napier </w:t>
      </w:r>
      <w:r>
        <w:rPr>
          <w:sz w:val="13"/>
        </w:rPr>
        <w:t>et </w:t>
      </w:r>
      <w:r>
        <w:rPr>
          <w:spacing w:val="2"/>
          <w:sz w:val="13"/>
        </w:rPr>
        <w:t>al, </w:t>
      </w:r>
      <w:r>
        <w:rPr>
          <w:sz w:val="13"/>
        </w:rPr>
        <w:t>‘Training Legal Interpreters to Work with Deaf Jurors’ in Jeremy L Brunson (ed), </w:t>
      </w:r>
      <w:r>
        <w:rPr>
          <w:i/>
          <w:sz w:val="13"/>
        </w:rPr>
        <w:t>Legal Interpreting—Teaching, </w:t>
      </w:r>
      <w:r>
        <w:rPr>
          <w:i/>
          <w:sz w:val="13"/>
        </w:rPr>
        <w:t>Research and Practice </w:t>
      </w:r>
      <w:r>
        <w:rPr>
          <w:sz w:val="13"/>
        </w:rPr>
        <w:t>(Gallaudet University Press,</w:t>
      </w:r>
      <w:r>
        <w:rPr>
          <w:spacing w:val="3"/>
          <w:sz w:val="13"/>
        </w:rPr>
        <w:t> </w:t>
      </w:r>
      <w:r>
        <w:rPr>
          <w:sz w:val="13"/>
        </w:rPr>
        <w:t>2022).</w:t>
      </w:r>
    </w:p>
    <w:p>
      <w:pPr>
        <w:pStyle w:val="ListParagraph"/>
        <w:numPr>
          <w:ilvl w:val="0"/>
          <w:numId w:val="124"/>
        </w:numPr>
        <w:tabs>
          <w:tab w:pos="893" w:val="left" w:leader="none"/>
          <w:tab w:pos="894" w:val="left" w:leader="none"/>
        </w:tabs>
        <w:spacing w:line="153" w:lineRule="exact" w:before="0" w:after="0"/>
        <w:ind w:left="893" w:right="0" w:hanging="793"/>
        <w:jc w:val="left"/>
        <w:rPr>
          <w:sz w:val="13"/>
        </w:rPr>
      </w:pP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w:t>
      </w:r>
      <w:r>
        <w:rPr>
          <w:spacing w:val="4"/>
          <w:sz w:val="13"/>
        </w:rPr>
        <w:t> </w:t>
      </w:r>
      <w:r>
        <w:rPr>
          <w:sz w:val="13"/>
        </w:rPr>
        <w:t>States).</w:t>
      </w:r>
    </w:p>
    <w:p>
      <w:pPr>
        <w:pStyle w:val="ListParagraph"/>
        <w:numPr>
          <w:ilvl w:val="0"/>
          <w:numId w:val="124"/>
        </w:numPr>
        <w:tabs>
          <w:tab w:pos="893" w:val="left" w:leader="none"/>
          <w:tab w:pos="894" w:val="left" w:leader="none"/>
        </w:tabs>
        <w:spacing w:line="213" w:lineRule="auto" w:before="6" w:after="0"/>
        <w:ind w:left="893" w:right="1628" w:hanging="793"/>
        <w:jc w:val="left"/>
        <w:rPr>
          <w:sz w:val="13"/>
        </w:rPr>
      </w:pPr>
      <w:r>
        <w:rPr>
          <w:spacing w:val="2"/>
          <w:sz w:val="13"/>
        </w:rPr>
        <w:t>‘Disability </w:t>
      </w:r>
      <w:r>
        <w:rPr>
          <w:sz w:val="13"/>
        </w:rPr>
        <w:t>Statistics’, </w:t>
      </w:r>
      <w:r>
        <w:rPr>
          <w:i/>
          <w:sz w:val="13"/>
        </w:rPr>
        <w:t>Australian Network on Disability </w:t>
      </w:r>
      <w:r>
        <w:rPr>
          <w:sz w:val="13"/>
        </w:rPr>
        <w:t>(Web Page, 15 November 2019) &lt;</w:t>
      </w:r>
      <w:hyperlink r:id="rId63">
        <w:r>
          <w:rPr>
            <w:sz w:val="13"/>
          </w:rPr>
          <w:t>https://www.and.org.au/resources/</w:t>
        </w:r>
      </w:hyperlink>
      <w:hyperlink r:id="rId63">
        <w:r>
          <w:rPr>
            <w:sz w:val="13"/>
          </w:rPr>
          <w:t> disability-statistics/</w:t>
        </w:r>
      </w:hyperlink>
      <w:r>
        <w:rPr>
          <w:sz w:val="13"/>
        </w:rPr>
        <w:t>&gt;;</w:t>
      </w:r>
      <w:r>
        <w:rPr>
          <w:spacing w:val="6"/>
          <w:sz w:val="13"/>
        </w:rPr>
        <w:t> </w:t>
      </w:r>
      <w:r>
        <w:rPr>
          <w:spacing w:val="2"/>
          <w:sz w:val="13"/>
        </w:rPr>
        <w:t>‘National,</w:t>
      </w:r>
      <w:r>
        <w:rPr>
          <w:spacing w:val="7"/>
          <w:sz w:val="13"/>
        </w:rPr>
        <w:t> </w:t>
      </w:r>
      <w:r>
        <w:rPr>
          <w:sz w:val="13"/>
        </w:rPr>
        <w:t>State</w:t>
      </w:r>
      <w:r>
        <w:rPr>
          <w:spacing w:val="6"/>
          <w:sz w:val="13"/>
        </w:rPr>
        <w:t> </w:t>
      </w:r>
      <w:r>
        <w:rPr>
          <w:sz w:val="13"/>
        </w:rPr>
        <w:t>and</w:t>
      </w:r>
      <w:r>
        <w:rPr>
          <w:spacing w:val="7"/>
          <w:sz w:val="13"/>
        </w:rPr>
        <w:t> </w:t>
      </w:r>
      <w:r>
        <w:rPr>
          <w:sz w:val="13"/>
        </w:rPr>
        <w:t>Territory</w:t>
      </w:r>
      <w:r>
        <w:rPr>
          <w:spacing w:val="6"/>
          <w:sz w:val="13"/>
        </w:rPr>
        <w:t> </w:t>
      </w:r>
      <w:r>
        <w:rPr>
          <w:sz w:val="13"/>
        </w:rPr>
        <w:t>Population’,</w:t>
      </w:r>
      <w:r>
        <w:rPr>
          <w:spacing w:val="7"/>
          <w:sz w:val="13"/>
        </w:rPr>
        <w:t> </w:t>
      </w:r>
      <w:r>
        <w:rPr>
          <w:i/>
          <w:sz w:val="13"/>
        </w:rPr>
        <w:t>Australian</w:t>
      </w:r>
      <w:r>
        <w:rPr>
          <w:i/>
          <w:spacing w:val="6"/>
          <w:sz w:val="13"/>
        </w:rPr>
        <w:t> </w:t>
      </w:r>
      <w:r>
        <w:rPr>
          <w:i/>
          <w:sz w:val="13"/>
        </w:rPr>
        <w:t>Bureau</w:t>
      </w:r>
      <w:r>
        <w:rPr>
          <w:i/>
          <w:spacing w:val="7"/>
          <w:sz w:val="13"/>
        </w:rPr>
        <w:t> </w:t>
      </w:r>
      <w:r>
        <w:rPr>
          <w:i/>
          <w:sz w:val="13"/>
        </w:rPr>
        <w:t>of</w:t>
      </w:r>
      <w:r>
        <w:rPr>
          <w:i/>
          <w:spacing w:val="6"/>
          <w:sz w:val="13"/>
        </w:rPr>
        <w:t> </w:t>
      </w:r>
      <w:r>
        <w:rPr>
          <w:i/>
          <w:sz w:val="13"/>
        </w:rPr>
        <w:t>Statistics</w:t>
      </w:r>
      <w:r>
        <w:rPr>
          <w:i/>
          <w:spacing w:val="7"/>
          <w:sz w:val="13"/>
        </w:rPr>
        <w:t> </w:t>
      </w:r>
      <w:r>
        <w:rPr>
          <w:sz w:val="13"/>
        </w:rPr>
        <w:t>(Web</w:t>
      </w:r>
      <w:r>
        <w:rPr>
          <w:spacing w:val="6"/>
          <w:sz w:val="13"/>
        </w:rPr>
        <w:t> </w:t>
      </w:r>
      <w:r>
        <w:rPr>
          <w:sz w:val="13"/>
        </w:rPr>
        <w:t>Page,</w:t>
      </w:r>
      <w:r>
        <w:rPr>
          <w:spacing w:val="7"/>
          <w:sz w:val="13"/>
        </w:rPr>
        <w:t> </w:t>
      </w:r>
      <w:r>
        <w:rPr>
          <w:sz w:val="13"/>
        </w:rPr>
        <w:t>28</w:t>
      </w:r>
      <w:r>
        <w:rPr>
          <w:spacing w:val="6"/>
          <w:sz w:val="13"/>
        </w:rPr>
        <w:t> </w:t>
      </w:r>
      <w:r>
        <w:rPr>
          <w:sz w:val="13"/>
        </w:rPr>
        <w:t>June</w:t>
      </w:r>
      <w:r>
        <w:rPr>
          <w:spacing w:val="7"/>
          <w:sz w:val="13"/>
        </w:rPr>
        <w:t> </w:t>
      </w:r>
      <w:r>
        <w:rPr>
          <w:sz w:val="13"/>
        </w:rPr>
        <w:t>2022)</w:t>
      </w:r>
    </w:p>
    <w:p>
      <w:pPr>
        <w:spacing w:line="213" w:lineRule="auto" w:before="0"/>
        <w:ind w:left="893" w:right="1392" w:firstLine="0"/>
        <w:jc w:val="left"/>
        <w:rPr>
          <w:sz w:val="13"/>
        </w:rPr>
      </w:pPr>
      <w:r>
        <w:rPr>
          <w:sz w:val="13"/>
        </w:rPr>
        <w:t>&lt;</w:t>
      </w:r>
      <w:hyperlink r:id="rId270">
        <w:r>
          <w:rPr>
            <w:sz w:val="13"/>
          </w:rPr>
          <w:t>https://www.abs.gov.au/statistics/people/population/national-state-and-territory-population/latest-release</w:t>
        </w:r>
      </w:hyperlink>
      <w:r>
        <w:rPr>
          <w:sz w:val="13"/>
        </w:rPr>
        <w:t>&gt;.  Data  correct as at 31 </w:t>
      </w:r>
      <w:r>
        <w:rPr>
          <w:spacing w:val="2"/>
          <w:sz w:val="13"/>
        </w:rPr>
        <w:t>December</w:t>
      </w:r>
      <w:r>
        <w:rPr>
          <w:sz w:val="13"/>
        </w:rPr>
        <w:t> 2021.</w:t>
      </w:r>
    </w:p>
    <w:p>
      <w:pPr>
        <w:pStyle w:val="ListParagraph"/>
        <w:numPr>
          <w:ilvl w:val="0"/>
          <w:numId w:val="124"/>
        </w:numPr>
        <w:tabs>
          <w:tab w:pos="893" w:val="left" w:leader="none"/>
          <w:tab w:pos="894" w:val="left" w:leader="none"/>
        </w:tabs>
        <w:spacing w:line="213" w:lineRule="auto" w:before="0" w:after="0"/>
        <w:ind w:left="893" w:right="1231" w:hanging="793"/>
        <w:jc w:val="left"/>
        <w:rPr>
          <w:sz w:val="13"/>
        </w:rPr>
      </w:pPr>
      <w:r>
        <w:rPr>
          <w:sz w:val="13"/>
        </w:rPr>
        <w:t>New South Wales Law Reform </w:t>
      </w:r>
      <w:r>
        <w:rPr>
          <w:spacing w:val="2"/>
          <w:sz w:val="13"/>
        </w:rPr>
        <w:t>Commission, </w:t>
      </w:r>
      <w:r>
        <w:rPr>
          <w:i/>
          <w:sz w:val="13"/>
        </w:rPr>
        <w:t>Blind or Deaf Jurors </w:t>
      </w:r>
      <w:r>
        <w:rPr>
          <w:spacing w:val="2"/>
          <w:sz w:val="13"/>
        </w:rPr>
        <w:t>(Report </w:t>
      </w:r>
      <w:r>
        <w:rPr>
          <w:sz w:val="13"/>
        </w:rPr>
        <w:t>No </w:t>
      </w:r>
      <w:r>
        <w:rPr>
          <w:spacing w:val="3"/>
          <w:sz w:val="13"/>
        </w:rPr>
        <w:t>114, </w:t>
      </w:r>
      <w:r>
        <w:rPr>
          <w:sz w:val="13"/>
        </w:rPr>
        <w:t>September 2006) 36 [2.62], citing an </w:t>
      </w:r>
      <w:r>
        <w:rPr>
          <w:spacing w:val="2"/>
          <w:sz w:val="13"/>
        </w:rPr>
        <w:t>assessment </w:t>
      </w:r>
      <w:r>
        <w:rPr>
          <w:sz w:val="13"/>
        </w:rPr>
        <w:t>by the organisation People with</w:t>
      </w:r>
      <w:r>
        <w:rPr>
          <w:spacing w:val="1"/>
          <w:sz w:val="13"/>
        </w:rPr>
        <w:t> </w:t>
      </w:r>
      <w:r>
        <w:rPr>
          <w:sz w:val="13"/>
        </w:rPr>
        <w:t>Disability.</w:t>
      </w:r>
    </w:p>
    <w:p>
      <w:pPr>
        <w:tabs>
          <w:tab w:pos="893" w:val="left" w:leader="none"/>
        </w:tabs>
        <w:spacing w:line="152" w:lineRule="exact" w:before="0"/>
        <w:ind w:left="100" w:right="0" w:firstLine="0"/>
        <w:jc w:val="left"/>
        <w:rPr>
          <w:sz w:val="13"/>
        </w:rPr>
      </w:pPr>
      <w:r>
        <w:rPr>
          <w:sz w:val="13"/>
        </w:rPr>
        <w:t>11</w:t>
        <w:tab/>
        <w:t>Ibid </w:t>
      </w:r>
      <w:r>
        <w:rPr>
          <w:spacing w:val="2"/>
          <w:sz w:val="13"/>
        </w:rPr>
        <w:t>54</w:t>
      </w:r>
      <w:r>
        <w:rPr>
          <w:sz w:val="13"/>
        </w:rPr>
        <w:t> [3.17].</w:t>
      </w:r>
    </w:p>
    <w:p>
      <w:pPr>
        <w:pStyle w:val="ListParagraph"/>
        <w:numPr>
          <w:ilvl w:val="0"/>
          <w:numId w:val="125"/>
        </w:numPr>
        <w:tabs>
          <w:tab w:pos="893" w:val="left" w:leader="none"/>
          <w:tab w:pos="894" w:val="left" w:leader="none"/>
        </w:tabs>
        <w:spacing w:line="213" w:lineRule="auto" w:before="4" w:after="0"/>
        <w:ind w:left="893" w:right="1380" w:hanging="793"/>
        <w:jc w:val="left"/>
        <w:rPr>
          <w:sz w:val="13"/>
        </w:rPr>
      </w:pPr>
      <w:r>
        <w:rPr>
          <w:spacing w:val="2"/>
          <w:sz w:val="13"/>
        </w:rPr>
        <w:t>Submissions </w:t>
      </w:r>
      <w:r>
        <w:rPr>
          <w:sz w:val="13"/>
        </w:rPr>
        <w:t>4 </w:t>
      </w:r>
      <w:r>
        <w:rPr>
          <w:spacing w:val="2"/>
          <w:sz w:val="13"/>
        </w:rPr>
        <w:t>(Associate </w:t>
      </w:r>
      <w:r>
        <w:rPr>
          <w:sz w:val="13"/>
        </w:rPr>
        <w:t>Professors Bruce Baer Arnold (University of </w:t>
      </w:r>
      <w:r>
        <w:rPr>
          <w:spacing w:val="2"/>
          <w:sz w:val="13"/>
        </w:rPr>
        <w:t>Canberra) </w:t>
      </w:r>
      <w:r>
        <w:rPr>
          <w:sz w:val="13"/>
        </w:rPr>
        <w:t>and Wendy Bonython (Bond University)), 9 (Madison), 10 </w:t>
      </w:r>
      <w:r>
        <w:rPr>
          <w:spacing w:val="2"/>
          <w:sz w:val="13"/>
        </w:rPr>
        <w:t>(Vision </w:t>
      </w:r>
      <w:r>
        <w:rPr>
          <w:sz w:val="13"/>
        </w:rPr>
        <w:t>Australia); Consultations 2 (Law Institute of Victoria), 21 </w:t>
      </w:r>
      <w:r>
        <w:rPr>
          <w:spacing w:val="2"/>
          <w:sz w:val="13"/>
        </w:rPr>
        <w:t>(Della </w:t>
      </w:r>
      <w:r>
        <w:rPr>
          <w:sz w:val="13"/>
        </w:rPr>
        <w:t>Goswell, Lecturer, Convenor </w:t>
      </w:r>
      <w:r>
        <w:rPr>
          <w:spacing w:val="2"/>
          <w:sz w:val="13"/>
        </w:rPr>
        <w:t>Auslan-English </w:t>
      </w:r>
      <w:r>
        <w:rPr>
          <w:sz w:val="13"/>
        </w:rPr>
        <w:t>Interpreting Program, Macquarie University,</w:t>
      </w:r>
      <w:r>
        <w:rPr>
          <w:spacing w:val="1"/>
          <w:sz w:val="13"/>
        </w:rPr>
        <w:t> </w:t>
      </w:r>
      <w:r>
        <w:rPr>
          <w:sz w:val="13"/>
        </w:rPr>
        <w:t>NSW).</w:t>
      </w:r>
    </w:p>
    <w:p>
      <w:pPr>
        <w:pStyle w:val="ListParagraph"/>
        <w:numPr>
          <w:ilvl w:val="0"/>
          <w:numId w:val="125"/>
        </w:numPr>
        <w:tabs>
          <w:tab w:pos="893" w:val="left" w:leader="none"/>
          <w:tab w:pos="894" w:val="left" w:leader="none"/>
        </w:tabs>
        <w:spacing w:line="152" w:lineRule="exact" w:before="0" w:after="0"/>
        <w:ind w:left="893" w:right="0" w:hanging="793"/>
        <w:jc w:val="left"/>
        <w:rPr>
          <w:sz w:val="13"/>
        </w:rPr>
      </w:pPr>
      <w:r>
        <w:rPr>
          <w:spacing w:val="2"/>
          <w:sz w:val="13"/>
        </w:rPr>
        <w:t>Submission </w:t>
      </w:r>
      <w:r>
        <w:rPr>
          <w:sz w:val="13"/>
        </w:rPr>
        <w:t>8 </w:t>
      </w:r>
      <w:r>
        <w:rPr>
          <w:spacing w:val="2"/>
          <w:sz w:val="13"/>
        </w:rPr>
        <w:t>(Victoria </w:t>
      </w:r>
      <w:r>
        <w:rPr>
          <w:sz w:val="13"/>
        </w:rPr>
        <w:t>Legal</w:t>
      </w:r>
      <w:r>
        <w:rPr>
          <w:spacing w:val="-4"/>
          <w:sz w:val="13"/>
        </w:rPr>
        <w:t> </w:t>
      </w:r>
      <w:r>
        <w:rPr>
          <w:sz w:val="13"/>
        </w:rPr>
        <w:t>Aid).</w:t>
      </w:r>
    </w:p>
    <w:p>
      <w:pPr>
        <w:pStyle w:val="ListParagraph"/>
        <w:numPr>
          <w:ilvl w:val="0"/>
          <w:numId w:val="125"/>
        </w:numPr>
        <w:tabs>
          <w:tab w:pos="893" w:val="left" w:leader="none"/>
          <w:tab w:pos="894" w:val="left" w:leader="none"/>
        </w:tabs>
        <w:spacing w:line="160" w:lineRule="exact" w:before="0" w:after="0"/>
        <w:ind w:left="893" w:right="0" w:hanging="793"/>
        <w:jc w:val="left"/>
        <w:rPr>
          <w:sz w:val="13"/>
        </w:rPr>
      </w:pPr>
      <w:r>
        <w:rPr>
          <w:spacing w:val="2"/>
          <w:sz w:val="13"/>
        </w:rPr>
        <w:t>Submission </w:t>
      </w:r>
      <w:r>
        <w:rPr>
          <w:sz w:val="13"/>
        </w:rPr>
        <w:t>4 </w:t>
      </w:r>
      <w:r>
        <w:rPr>
          <w:spacing w:val="2"/>
          <w:sz w:val="13"/>
        </w:rPr>
        <w:t>(Associate </w:t>
      </w:r>
      <w:r>
        <w:rPr>
          <w:sz w:val="13"/>
        </w:rPr>
        <w:t>Professors Bruce Baer Arnold (University of </w:t>
      </w:r>
      <w:r>
        <w:rPr>
          <w:spacing w:val="2"/>
          <w:sz w:val="13"/>
        </w:rPr>
        <w:t>Canberra) </w:t>
      </w:r>
      <w:r>
        <w:rPr>
          <w:sz w:val="13"/>
        </w:rPr>
        <w:t>and Wendy Bonython (Bond</w:t>
      </w:r>
      <w:r>
        <w:rPr>
          <w:spacing w:val="18"/>
          <w:sz w:val="13"/>
        </w:rPr>
        <w:t> </w:t>
      </w:r>
      <w:r>
        <w:rPr>
          <w:sz w:val="13"/>
        </w:rPr>
        <w:t>University)).</w:t>
      </w:r>
    </w:p>
    <w:p>
      <w:pPr>
        <w:pStyle w:val="ListParagraph"/>
        <w:numPr>
          <w:ilvl w:val="0"/>
          <w:numId w:val="125"/>
        </w:numPr>
        <w:tabs>
          <w:tab w:pos="893" w:val="left" w:leader="none"/>
          <w:tab w:pos="894" w:val="left" w:leader="none"/>
        </w:tabs>
        <w:spacing w:line="170" w:lineRule="exact" w:before="0" w:after="0"/>
        <w:ind w:left="893" w:right="0" w:hanging="793"/>
        <w:jc w:val="left"/>
        <w:rPr>
          <w:sz w:val="13"/>
        </w:rPr>
      </w:pPr>
      <w:r>
        <w:rPr>
          <w:spacing w:val="2"/>
          <w:sz w:val="13"/>
        </w:rPr>
        <w:t>Submission </w:t>
      </w:r>
      <w:r>
        <w:rPr>
          <w:sz w:val="13"/>
        </w:rPr>
        <w:t>10 </w:t>
      </w:r>
      <w:r>
        <w:rPr>
          <w:spacing w:val="2"/>
          <w:sz w:val="13"/>
        </w:rPr>
        <w:t>(Vision</w:t>
      </w:r>
      <w:r>
        <w:rPr>
          <w:spacing w:val="-2"/>
          <w:sz w:val="13"/>
        </w:rPr>
        <w:t> </w:t>
      </w:r>
      <w:r>
        <w:rPr>
          <w:sz w:val="13"/>
        </w:rPr>
        <w:t>Australia).</w:t>
      </w:r>
    </w:p>
    <w:p>
      <w:pPr>
        <w:spacing w:after="0" w:line="170" w:lineRule="exact"/>
        <w:jc w:val="left"/>
        <w:rPr>
          <w:sz w:val="13"/>
        </w:rPr>
        <w:sectPr>
          <w:type w:val="continuous"/>
          <w:pgSz w:w="11910" w:h="16840"/>
          <w:pgMar w:top="620" w:bottom="280" w:left="620" w:right="380"/>
          <w:cols w:num="2" w:equalWidth="0">
            <w:col w:w="546" w:space="321"/>
            <w:col w:w="10043"/>
          </w:cols>
        </w:sectPr>
      </w:pPr>
    </w:p>
    <w:p>
      <w:pPr>
        <w:pStyle w:val="BodyText"/>
      </w:pPr>
    </w:p>
    <w:p>
      <w:pPr>
        <w:pStyle w:val="BodyText"/>
      </w:pPr>
    </w:p>
    <w:p>
      <w:pPr>
        <w:pStyle w:val="BodyText"/>
      </w:pPr>
    </w:p>
    <w:p>
      <w:pPr>
        <w:pStyle w:val="BodyText"/>
        <w:spacing w:before="6"/>
        <w:rPr>
          <w:sz w:val="14"/>
        </w:rPr>
      </w:pPr>
    </w:p>
    <w:p>
      <w:pPr>
        <w:pStyle w:val="ListParagraph"/>
        <w:numPr>
          <w:ilvl w:val="1"/>
          <w:numId w:val="12"/>
        </w:numPr>
        <w:tabs>
          <w:tab w:pos="1761" w:val="left" w:leader="none"/>
          <w:tab w:pos="1762" w:val="left" w:leader="none"/>
        </w:tabs>
        <w:spacing w:line="206" w:lineRule="auto" w:before="90" w:after="0"/>
        <w:ind w:left="1761" w:right="1250" w:hanging="794"/>
        <w:jc w:val="left"/>
        <w:rPr>
          <w:sz w:val="20"/>
        </w:rPr>
      </w:pPr>
      <w:bookmarkStart w:name="Monitoring the implementation of reforms" w:id="388"/>
      <w:bookmarkEnd w:id="388"/>
      <w:r>
        <w:rPr/>
      </w:r>
      <w:bookmarkStart w:name="_bookmark163" w:id="389"/>
      <w:bookmarkEnd w:id="389"/>
      <w:r>
        <w:rPr/>
      </w:r>
      <w:bookmarkStart w:name="_bookmark163" w:id="390"/>
      <w:bookmarkEnd w:id="390"/>
      <w:r>
        <w:rPr>
          <w:sz w:val="20"/>
        </w:rPr>
        <w:t>T</w:t>
      </w:r>
      <w:r>
        <w:rPr>
          <w:sz w:val="20"/>
        </w:rPr>
        <w:t>he Commission agrees that the proposed </w:t>
      </w:r>
      <w:r>
        <w:rPr>
          <w:spacing w:val="-3"/>
          <w:sz w:val="20"/>
        </w:rPr>
        <w:t>reforms would </w:t>
      </w:r>
      <w:r>
        <w:rPr>
          <w:sz w:val="20"/>
        </w:rPr>
        <w:t>deliver substantial benefits which </w:t>
      </w:r>
      <w:r>
        <w:rPr>
          <w:spacing w:val="-3"/>
          <w:sz w:val="20"/>
        </w:rPr>
        <w:t>likely </w:t>
      </w:r>
      <w:r>
        <w:rPr>
          <w:sz w:val="20"/>
        </w:rPr>
        <w:t>outweigh the costs. While the costs </w:t>
      </w:r>
      <w:r>
        <w:rPr>
          <w:spacing w:val="-3"/>
          <w:sz w:val="20"/>
        </w:rPr>
        <w:t>are </w:t>
      </w:r>
      <w:r>
        <w:rPr>
          <w:sz w:val="20"/>
        </w:rPr>
        <w:t>uncertain at present, they </w:t>
      </w:r>
      <w:r>
        <w:rPr>
          <w:spacing w:val="-3"/>
          <w:sz w:val="20"/>
        </w:rPr>
        <w:t>are likely </w:t>
      </w:r>
      <w:r>
        <w:rPr>
          <w:sz w:val="20"/>
        </w:rPr>
        <w:t>to be a small proportion of the total cost of court administration. There will be significant</w:t>
      </w:r>
      <w:r>
        <w:rPr>
          <w:spacing w:val="-13"/>
          <w:sz w:val="20"/>
        </w:rPr>
        <w:t> </w:t>
      </w:r>
      <w:r>
        <w:rPr>
          <w:sz w:val="20"/>
        </w:rPr>
        <w:t>personal</w:t>
      </w:r>
      <w:r>
        <w:rPr>
          <w:spacing w:val="-13"/>
          <w:sz w:val="20"/>
        </w:rPr>
        <w:t> </w:t>
      </w:r>
      <w:r>
        <w:rPr>
          <w:sz w:val="20"/>
        </w:rPr>
        <w:t>benefit</w:t>
      </w:r>
      <w:r>
        <w:rPr>
          <w:spacing w:val="-12"/>
          <w:sz w:val="20"/>
        </w:rPr>
        <w:t> </w:t>
      </w:r>
      <w:r>
        <w:rPr>
          <w:sz w:val="20"/>
        </w:rPr>
        <w:t>to</w:t>
      </w:r>
      <w:r>
        <w:rPr>
          <w:spacing w:val="-13"/>
          <w:sz w:val="20"/>
        </w:rPr>
        <w:t> </w:t>
      </w:r>
      <w:r>
        <w:rPr>
          <w:sz w:val="20"/>
        </w:rPr>
        <w:t>people</w:t>
      </w:r>
      <w:r>
        <w:rPr>
          <w:spacing w:val="-13"/>
          <w:sz w:val="20"/>
        </w:rPr>
        <w:t> </w:t>
      </w:r>
      <w:r>
        <w:rPr>
          <w:sz w:val="20"/>
        </w:rPr>
        <w:t>in</w:t>
      </w:r>
      <w:r>
        <w:rPr>
          <w:spacing w:val="-12"/>
          <w:sz w:val="20"/>
        </w:rPr>
        <w:t> </w:t>
      </w:r>
      <w:r>
        <w:rPr>
          <w:sz w:val="20"/>
        </w:rPr>
        <w:t>the</w:t>
      </w:r>
      <w:r>
        <w:rPr>
          <w:spacing w:val="-13"/>
          <w:sz w:val="20"/>
        </w:rPr>
        <w:t> </w:t>
      </w:r>
      <w:r>
        <w:rPr>
          <w:sz w:val="20"/>
        </w:rPr>
        <w:t>subject</w:t>
      </w:r>
      <w:r>
        <w:rPr>
          <w:spacing w:val="-12"/>
          <w:sz w:val="20"/>
        </w:rPr>
        <w:t> </w:t>
      </w:r>
      <w:r>
        <w:rPr>
          <w:sz w:val="20"/>
        </w:rPr>
        <w:t>groups</w:t>
      </w:r>
      <w:r>
        <w:rPr>
          <w:spacing w:val="-13"/>
          <w:sz w:val="20"/>
        </w:rPr>
        <w:t> </w:t>
      </w:r>
      <w:r>
        <w:rPr>
          <w:sz w:val="20"/>
        </w:rPr>
        <w:t>associated</w:t>
      </w:r>
      <w:r>
        <w:rPr>
          <w:spacing w:val="-13"/>
          <w:sz w:val="20"/>
        </w:rPr>
        <w:t> </w:t>
      </w:r>
      <w:r>
        <w:rPr>
          <w:sz w:val="20"/>
        </w:rPr>
        <w:t>with</w:t>
      </w:r>
      <w:r>
        <w:rPr>
          <w:spacing w:val="-12"/>
          <w:sz w:val="20"/>
        </w:rPr>
        <w:t> </w:t>
      </w:r>
      <w:r>
        <w:rPr>
          <w:spacing w:val="-3"/>
          <w:sz w:val="20"/>
        </w:rPr>
        <w:t>reform,</w:t>
      </w:r>
      <w:r>
        <w:rPr>
          <w:spacing w:val="-13"/>
          <w:sz w:val="20"/>
        </w:rPr>
        <w:t> </w:t>
      </w:r>
      <w:r>
        <w:rPr>
          <w:sz w:val="20"/>
        </w:rPr>
        <w:t>and the jury system will be more </w:t>
      </w:r>
      <w:r>
        <w:rPr>
          <w:spacing w:val="-3"/>
          <w:sz w:val="20"/>
        </w:rPr>
        <w:t>representative, </w:t>
      </w:r>
      <w:r>
        <w:rPr>
          <w:sz w:val="20"/>
        </w:rPr>
        <w:t>in keeping with the </w:t>
      </w:r>
      <w:r>
        <w:rPr>
          <w:spacing w:val="-3"/>
          <w:sz w:val="20"/>
        </w:rPr>
        <w:t>overall </w:t>
      </w:r>
      <w:r>
        <w:rPr>
          <w:sz w:val="20"/>
        </w:rPr>
        <w:t>purpose of the </w:t>
      </w:r>
      <w:r>
        <w:rPr>
          <w:i/>
          <w:sz w:val="20"/>
        </w:rPr>
        <w:t>Juries Act 2000 </w:t>
      </w:r>
      <w:r>
        <w:rPr>
          <w:sz w:val="20"/>
        </w:rPr>
        <w:t>(Vic).</w:t>
      </w:r>
      <w:r>
        <w:rPr>
          <w:position w:val="7"/>
          <w:sz w:val="11"/>
        </w:rPr>
        <w:t>16 </w:t>
      </w:r>
      <w:r>
        <w:rPr>
          <w:sz w:val="20"/>
        </w:rPr>
        <w:t>These </w:t>
      </w:r>
      <w:r>
        <w:rPr>
          <w:spacing w:val="-3"/>
          <w:sz w:val="20"/>
        </w:rPr>
        <w:t>are </w:t>
      </w:r>
      <w:r>
        <w:rPr>
          <w:sz w:val="20"/>
        </w:rPr>
        <w:t>also other important</w:t>
      </w:r>
      <w:r>
        <w:rPr>
          <w:spacing w:val="-21"/>
          <w:sz w:val="20"/>
        </w:rPr>
        <w:t> </w:t>
      </w:r>
      <w:r>
        <w:rPr>
          <w:sz w:val="20"/>
        </w:rPr>
        <w:t>considerations:</w:t>
      </w:r>
    </w:p>
    <w:p>
      <w:pPr>
        <w:spacing w:line="208" w:lineRule="auto" w:before="125"/>
        <w:ind w:left="2157" w:right="1557" w:firstLine="0"/>
        <w:jc w:val="left"/>
        <w:rPr>
          <w:sz w:val="11"/>
        </w:rPr>
      </w:pPr>
      <w:r>
        <w:rPr>
          <w:sz w:val="19"/>
        </w:rPr>
        <w:t>If a cost-benefit analysis is even the appropriate yardstick, what is a ‘reasonable accommodation’ must also factor in the non-economic democratic benefits of the jury system.</w:t>
      </w:r>
      <w:r>
        <w:rPr>
          <w:position w:val="6"/>
          <w:sz w:val="11"/>
        </w:rPr>
        <w:t>17</w:t>
      </w:r>
    </w:p>
    <w:p>
      <w:pPr>
        <w:pStyle w:val="ListParagraph"/>
        <w:numPr>
          <w:ilvl w:val="1"/>
          <w:numId w:val="12"/>
        </w:numPr>
        <w:tabs>
          <w:tab w:pos="1761" w:val="left" w:leader="none"/>
          <w:tab w:pos="1762" w:val="left" w:leader="none"/>
        </w:tabs>
        <w:spacing w:line="206" w:lineRule="auto" w:before="124" w:after="0"/>
        <w:ind w:left="1761" w:right="2200" w:hanging="794"/>
        <w:jc w:val="left"/>
        <w:rPr>
          <w:sz w:val="20"/>
        </w:rPr>
      </w:pPr>
      <w:r>
        <w:rPr>
          <w:sz w:val="20"/>
        </w:rPr>
        <w:t>Funding</w:t>
      </w:r>
      <w:r>
        <w:rPr>
          <w:spacing w:val="-11"/>
          <w:sz w:val="20"/>
        </w:rPr>
        <w:t> </w:t>
      </w:r>
      <w:r>
        <w:rPr>
          <w:spacing w:val="-3"/>
          <w:sz w:val="20"/>
        </w:rPr>
        <w:t>reform</w:t>
      </w:r>
      <w:r>
        <w:rPr>
          <w:spacing w:val="-10"/>
          <w:sz w:val="20"/>
        </w:rPr>
        <w:t> </w:t>
      </w:r>
      <w:r>
        <w:rPr>
          <w:sz w:val="20"/>
        </w:rPr>
        <w:t>will</w:t>
      </w:r>
      <w:r>
        <w:rPr>
          <w:spacing w:val="-11"/>
          <w:sz w:val="20"/>
        </w:rPr>
        <w:t> </w:t>
      </w:r>
      <w:r>
        <w:rPr>
          <w:sz w:val="20"/>
        </w:rPr>
        <w:t>ensure</w:t>
      </w:r>
      <w:r>
        <w:rPr>
          <w:spacing w:val="-10"/>
          <w:sz w:val="20"/>
        </w:rPr>
        <w:t> </w:t>
      </w:r>
      <w:r>
        <w:rPr>
          <w:sz w:val="20"/>
        </w:rPr>
        <w:t>that</w:t>
      </w:r>
      <w:r>
        <w:rPr>
          <w:spacing w:val="-11"/>
          <w:sz w:val="20"/>
        </w:rPr>
        <w:t> </w:t>
      </w:r>
      <w:r>
        <w:rPr>
          <w:sz w:val="20"/>
        </w:rPr>
        <w:t>Victorian</w:t>
      </w:r>
      <w:r>
        <w:rPr>
          <w:spacing w:val="-10"/>
          <w:sz w:val="20"/>
        </w:rPr>
        <w:t> </w:t>
      </w:r>
      <w:r>
        <w:rPr>
          <w:spacing w:val="-3"/>
          <w:sz w:val="20"/>
        </w:rPr>
        <w:t>laws</w:t>
      </w:r>
      <w:r>
        <w:rPr>
          <w:spacing w:val="-11"/>
          <w:sz w:val="20"/>
        </w:rPr>
        <w:t> </w:t>
      </w:r>
      <w:r>
        <w:rPr>
          <w:sz w:val="20"/>
        </w:rPr>
        <w:t>and</w:t>
      </w:r>
      <w:r>
        <w:rPr>
          <w:spacing w:val="-10"/>
          <w:sz w:val="20"/>
        </w:rPr>
        <w:t> </w:t>
      </w:r>
      <w:r>
        <w:rPr>
          <w:sz w:val="20"/>
        </w:rPr>
        <w:t>practices</w:t>
      </w:r>
      <w:r>
        <w:rPr>
          <w:spacing w:val="-11"/>
          <w:sz w:val="20"/>
        </w:rPr>
        <w:t> </w:t>
      </w:r>
      <w:r>
        <w:rPr>
          <w:spacing w:val="-3"/>
          <w:sz w:val="20"/>
        </w:rPr>
        <w:t>comply</w:t>
      </w:r>
      <w:r>
        <w:rPr>
          <w:spacing w:val="-10"/>
          <w:sz w:val="20"/>
        </w:rPr>
        <w:t> </w:t>
      </w:r>
      <w:r>
        <w:rPr>
          <w:sz w:val="20"/>
        </w:rPr>
        <w:t>with</w:t>
      </w:r>
      <w:r>
        <w:rPr>
          <w:spacing w:val="-11"/>
          <w:sz w:val="20"/>
        </w:rPr>
        <w:t> </w:t>
      </w:r>
      <w:r>
        <w:rPr>
          <w:sz w:val="20"/>
        </w:rPr>
        <w:t>the recommendations</w:t>
      </w:r>
      <w:r>
        <w:rPr>
          <w:spacing w:val="-12"/>
          <w:sz w:val="20"/>
        </w:rPr>
        <w:t> </w:t>
      </w:r>
      <w:r>
        <w:rPr>
          <w:sz w:val="20"/>
        </w:rPr>
        <w:t>of</w:t>
      </w:r>
      <w:r>
        <w:rPr>
          <w:spacing w:val="-11"/>
          <w:sz w:val="20"/>
        </w:rPr>
        <w:t> </w:t>
      </w:r>
      <w:r>
        <w:rPr>
          <w:sz w:val="20"/>
        </w:rPr>
        <w:t>the</w:t>
      </w:r>
      <w:r>
        <w:rPr>
          <w:spacing w:val="-11"/>
          <w:sz w:val="20"/>
        </w:rPr>
        <w:t> </w:t>
      </w:r>
      <w:r>
        <w:rPr>
          <w:sz w:val="20"/>
        </w:rPr>
        <w:t>Convention</w:t>
      </w:r>
      <w:r>
        <w:rPr>
          <w:spacing w:val="-11"/>
          <w:sz w:val="20"/>
        </w:rPr>
        <w:t> </w:t>
      </w:r>
      <w:r>
        <w:rPr>
          <w:sz w:val="20"/>
        </w:rPr>
        <w:t>Committee</w:t>
      </w:r>
      <w:r>
        <w:rPr>
          <w:spacing w:val="-11"/>
          <w:sz w:val="20"/>
        </w:rPr>
        <w:t> </w:t>
      </w:r>
      <w:r>
        <w:rPr>
          <w:sz w:val="20"/>
        </w:rPr>
        <w:t>and</w:t>
      </w:r>
      <w:r>
        <w:rPr>
          <w:spacing w:val="-12"/>
          <w:sz w:val="20"/>
        </w:rPr>
        <w:t> </w:t>
      </w:r>
      <w:r>
        <w:rPr>
          <w:sz w:val="20"/>
        </w:rPr>
        <w:t>that</w:t>
      </w:r>
      <w:r>
        <w:rPr>
          <w:spacing w:val="-11"/>
          <w:sz w:val="20"/>
        </w:rPr>
        <w:t> </w:t>
      </w:r>
      <w:r>
        <w:rPr>
          <w:sz w:val="20"/>
        </w:rPr>
        <w:t>the</w:t>
      </w:r>
      <w:r>
        <w:rPr>
          <w:spacing w:val="-11"/>
          <w:sz w:val="20"/>
        </w:rPr>
        <w:t> </w:t>
      </w:r>
      <w:r>
        <w:rPr>
          <w:sz w:val="20"/>
        </w:rPr>
        <w:t>jury</w:t>
      </w:r>
      <w:r>
        <w:rPr>
          <w:spacing w:val="-11"/>
          <w:sz w:val="20"/>
        </w:rPr>
        <w:t> </w:t>
      </w:r>
      <w:r>
        <w:rPr>
          <w:sz w:val="20"/>
        </w:rPr>
        <w:t>system</w:t>
      </w:r>
      <w:r>
        <w:rPr>
          <w:spacing w:val="-11"/>
          <w:sz w:val="20"/>
        </w:rPr>
        <w:t> </w:t>
      </w:r>
      <w:r>
        <w:rPr>
          <w:sz w:val="20"/>
        </w:rPr>
        <w:t>is modernised</w:t>
      </w:r>
      <w:r>
        <w:rPr>
          <w:spacing w:val="-9"/>
          <w:sz w:val="20"/>
        </w:rPr>
        <w:t> </w:t>
      </w:r>
      <w:r>
        <w:rPr>
          <w:sz w:val="20"/>
        </w:rPr>
        <w:t>to</w:t>
      </w:r>
      <w:r>
        <w:rPr>
          <w:spacing w:val="-8"/>
          <w:sz w:val="20"/>
        </w:rPr>
        <w:t> </w:t>
      </w:r>
      <w:r>
        <w:rPr>
          <w:sz w:val="20"/>
        </w:rPr>
        <w:t>better</w:t>
      </w:r>
      <w:r>
        <w:rPr>
          <w:spacing w:val="-8"/>
          <w:sz w:val="20"/>
        </w:rPr>
        <w:t> </w:t>
      </w:r>
      <w:r>
        <w:rPr>
          <w:sz w:val="20"/>
        </w:rPr>
        <w:t>reflect</w:t>
      </w:r>
      <w:r>
        <w:rPr>
          <w:spacing w:val="-8"/>
          <w:sz w:val="20"/>
        </w:rPr>
        <w:t> </w:t>
      </w:r>
      <w:r>
        <w:rPr>
          <w:sz w:val="20"/>
        </w:rPr>
        <w:t>community</w:t>
      </w:r>
      <w:r>
        <w:rPr>
          <w:spacing w:val="-8"/>
          <w:sz w:val="20"/>
        </w:rPr>
        <w:t> </w:t>
      </w:r>
      <w:r>
        <w:rPr>
          <w:sz w:val="20"/>
        </w:rPr>
        <w:t>standards</w:t>
      </w:r>
      <w:r>
        <w:rPr>
          <w:spacing w:val="-8"/>
          <w:sz w:val="20"/>
        </w:rPr>
        <w:t> </w:t>
      </w:r>
      <w:r>
        <w:rPr>
          <w:sz w:val="20"/>
        </w:rPr>
        <w:t>and</w:t>
      </w:r>
      <w:r>
        <w:rPr>
          <w:spacing w:val="-8"/>
          <w:sz w:val="20"/>
        </w:rPr>
        <w:t> </w:t>
      </w:r>
      <w:r>
        <w:rPr>
          <w:sz w:val="20"/>
        </w:rPr>
        <w:t>expectations.</w:t>
      </w:r>
    </w:p>
    <w:p>
      <w:pPr>
        <w:pStyle w:val="BodyText"/>
        <w:spacing w:before="7"/>
        <w:rPr>
          <w:sz w:val="16"/>
        </w:rPr>
      </w:pPr>
    </w:p>
    <w:p>
      <w:pPr>
        <w:spacing w:before="0"/>
        <w:ind w:left="967" w:right="0" w:firstLine="0"/>
        <w:jc w:val="left"/>
        <w:rPr>
          <w:rFonts w:ascii="Raleway ExtraBold"/>
          <w:b/>
          <w:sz w:val="28"/>
        </w:rPr>
      </w:pPr>
      <w:r>
        <w:rPr>
          <w:rFonts w:ascii="Raleway ExtraBold"/>
          <w:b/>
          <w:color w:val="37617A"/>
          <w:sz w:val="28"/>
        </w:rPr>
        <w:t>Monitoring the implementation of reforms</w:t>
      </w:r>
    </w:p>
    <w:p>
      <w:pPr>
        <w:pStyle w:val="ListParagraph"/>
        <w:numPr>
          <w:ilvl w:val="1"/>
          <w:numId w:val="12"/>
        </w:numPr>
        <w:tabs>
          <w:tab w:pos="1761" w:val="left" w:leader="none"/>
          <w:tab w:pos="1762" w:val="left" w:leader="none"/>
        </w:tabs>
        <w:spacing w:line="206" w:lineRule="auto" w:before="146" w:after="0"/>
        <w:ind w:left="1761" w:right="1507" w:hanging="794"/>
        <w:jc w:val="left"/>
        <w:rPr>
          <w:sz w:val="20"/>
        </w:rPr>
      </w:pPr>
      <w:r>
        <w:rPr>
          <w:sz w:val="20"/>
        </w:rPr>
        <w:t>It</w:t>
      </w:r>
      <w:r>
        <w:rPr>
          <w:spacing w:val="-9"/>
          <w:sz w:val="20"/>
        </w:rPr>
        <w:t> </w:t>
      </w:r>
      <w:r>
        <w:rPr>
          <w:sz w:val="20"/>
        </w:rPr>
        <w:t>will</w:t>
      </w:r>
      <w:r>
        <w:rPr>
          <w:spacing w:val="-8"/>
          <w:sz w:val="20"/>
        </w:rPr>
        <w:t> </w:t>
      </w:r>
      <w:r>
        <w:rPr>
          <w:sz w:val="20"/>
        </w:rPr>
        <w:t>be</w:t>
      </w:r>
      <w:r>
        <w:rPr>
          <w:spacing w:val="-8"/>
          <w:sz w:val="20"/>
        </w:rPr>
        <w:t> </w:t>
      </w:r>
      <w:r>
        <w:rPr>
          <w:sz w:val="20"/>
        </w:rPr>
        <w:t>important</w:t>
      </w:r>
      <w:r>
        <w:rPr>
          <w:spacing w:val="-8"/>
          <w:sz w:val="20"/>
        </w:rPr>
        <w:t> </w:t>
      </w:r>
      <w:r>
        <w:rPr>
          <w:sz w:val="20"/>
        </w:rPr>
        <w:t>to</w:t>
      </w:r>
      <w:r>
        <w:rPr>
          <w:spacing w:val="-8"/>
          <w:sz w:val="20"/>
        </w:rPr>
        <w:t> </w:t>
      </w:r>
      <w:r>
        <w:rPr>
          <w:spacing w:val="-4"/>
          <w:sz w:val="20"/>
        </w:rPr>
        <w:t>review</w:t>
      </w:r>
      <w:r>
        <w:rPr>
          <w:spacing w:val="-8"/>
          <w:sz w:val="20"/>
        </w:rPr>
        <w:t> </w:t>
      </w:r>
      <w:r>
        <w:rPr>
          <w:sz w:val="20"/>
        </w:rPr>
        <w:t>the</w:t>
      </w:r>
      <w:r>
        <w:rPr>
          <w:spacing w:val="-9"/>
          <w:sz w:val="20"/>
        </w:rPr>
        <w:t> </w:t>
      </w:r>
      <w:r>
        <w:rPr>
          <w:sz w:val="20"/>
        </w:rPr>
        <w:t>operation</w:t>
      </w:r>
      <w:r>
        <w:rPr>
          <w:spacing w:val="-8"/>
          <w:sz w:val="20"/>
        </w:rPr>
        <w:t> </w:t>
      </w:r>
      <w:r>
        <w:rPr>
          <w:sz w:val="20"/>
        </w:rPr>
        <w:t>of</w:t>
      </w:r>
      <w:r>
        <w:rPr>
          <w:spacing w:val="-8"/>
          <w:sz w:val="20"/>
        </w:rPr>
        <w:t> </w:t>
      </w:r>
      <w:r>
        <w:rPr>
          <w:spacing w:val="-3"/>
          <w:sz w:val="20"/>
        </w:rPr>
        <w:t>any</w:t>
      </w:r>
      <w:r>
        <w:rPr>
          <w:spacing w:val="-8"/>
          <w:sz w:val="20"/>
        </w:rPr>
        <w:t> </w:t>
      </w:r>
      <w:r>
        <w:rPr>
          <w:sz w:val="20"/>
        </w:rPr>
        <w:t>new</w:t>
      </w:r>
      <w:r>
        <w:rPr>
          <w:spacing w:val="-8"/>
          <w:sz w:val="20"/>
        </w:rPr>
        <w:t> </w:t>
      </w:r>
      <w:r>
        <w:rPr>
          <w:sz w:val="20"/>
        </w:rPr>
        <w:t>laws,</w:t>
      </w:r>
      <w:r>
        <w:rPr>
          <w:spacing w:val="-8"/>
          <w:sz w:val="20"/>
        </w:rPr>
        <w:t> </w:t>
      </w:r>
      <w:r>
        <w:rPr>
          <w:sz w:val="20"/>
        </w:rPr>
        <w:t>policies</w:t>
      </w:r>
      <w:r>
        <w:rPr>
          <w:spacing w:val="-9"/>
          <w:sz w:val="20"/>
        </w:rPr>
        <w:t> </w:t>
      </w:r>
      <w:r>
        <w:rPr>
          <w:sz w:val="20"/>
        </w:rPr>
        <w:t>and</w:t>
      </w:r>
      <w:r>
        <w:rPr>
          <w:spacing w:val="-8"/>
          <w:sz w:val="20"/>
        </w:rPr>
        <w:t> </w:t>
      </w:r>
      <w:r>
        <w:rPr>
          <w:spacing w:val="-3"/>
          <w:sz w:val="20"/>
        </w:rPr>
        <w:t>procedures </w:t>
      </w:r>
      <w:r>
        <w:rPr>
          <w:sz w:val="20"/>
        </w:rPr>
        <w:t>to see if they </w:t>
      </w:r>
      <w:r>
        <w:rPr>
          <w:spacing w:val="-3"/>
          <w:sz w:val="20"/>
        </w:rPr>
        <w:t>are </w:t>
      </w:r>
      <w:r>
        <w:rPr>
          <w:sz w:val="20"/>
        </w:rPr>
        <w:t>working to include people </w:t>
      </w:r>
      <w:r>
        <w:rPr>
          <w:spacing w:val="-3"/>
          <w:sz w:val="20"/>
        </w:rPr>
        <w:t>from </w:t>
      </w:r>
      <w:r>
        <w:rPr>
          <w:sz w:val="20"/>
        </w:rPr>
        <w:t>the subject groups on juries. Data collection</w:t>
      </w:r>
      <w:r>
        <w:rPr>
          <w:spacing w:val="-8"/>
          <w:sz w:val="20"/>
        </w:rPr>
        <w:t> </w:t>
      </w:r>
      <w:r>
        <w:rPr>
          <w:sz w:val="20"/>
        </w:rPr>
        <w:t>and</w:t>
      </w:r>
      <w:r>
        <w:rPr>
          <w:spacing w:val="-7"/>
          <w:sz w:val="20"/>
        </w:rPr>
        <w:t> </w:t>
      </w:r>
      <w:r>
        <w:rPr>
          <w:spacing w:val="-3"/>
          <w:sz w:val="20"/>
        </w:rPr>
        <w:t>analysis</w:t>
      </w:r>
      <w:r>
        <w:rPr>
          <w:spacing w:val="-8"/>
          <w:sz w:val="20"/>
        </w:rPr>
        <w:t> </w:t>
      </w:r>
      <w:r>
        <w:rPr>
          <w:sz w:val="20"/>
        </w:rPr>
        <w:t>will</w:t>
      </w:r>
      <w:r>
        <w:rPr>
          <w:spacing w:val="-7"/>
          <w:sz w:val="20"/>
        </w:rPr>
        <w:t> </w:t>
      </w:r>
      <w:r>
        <w:rPr>
          <w:sz w:val="20"/>
        </w:rPr>
        <w:t>be</w:t>
      </w:r>
      <w:r>
        <w:rPr>
          <w:spacing w:val="-7"/>
          <w:sz w:val="20"/>
        </w:rPr>
        <w:t> </w:t>
      </w:r>
      <w:r>
        <w:rPr>
          <w:sz w:val="20"/>
        </w:rPr>
        <w:t>vital</w:t>
      </w:r>
      <w:r>
        <w:rPr>
          <w:spacing w:val="-8"/>
          <w:sz w:val="20"/>
        </w:rPr>
        <w:t> </w:t>
      </w:r>
      <w:r>
        <w:rPr>
          <w:sz w:val="20"/>
        </w:rPr>
        <w:t>in</w:t>
      </w:r>
      <w:r>
        <w:rPr>
          <w:spacing w:val="-7"/>
          <w:sz w:val="20"/>
        </w:rPr>
        <w:t> </w:t>
      </w:r>
      <w:r>
        <w:rPr>
          <w:sz w:val="20"/>
        </w:rPr>
        <w:t>assessing</w:t>
      </w:r>
      <w:r>
        <w:rPr>
          <w:spacing w:val="-7"/>
          <w:sz w:val="20"/>
        </w:rPr>
        <w:t> </w:t>
      </w:r>
      <w:r>
        <w:rPr>
          <w:sz w:val="20"/>
        </w:rPr>
        <w:t>and</w:t>
      </w:r>
      <w:r>
        <w:rPr>
          <w:spacing w:val="-8"/>
          <w:sz w:val="20"/>
        </w:rPr>
        <w:t> </w:t>
      </w:r>
      <w:r>
        <w:rPr>
          <w:spacing w:val="-3"/>
          <w:sz w:val="20"/>
        </w:rPr>
        <w:t>improving</w:t>
      </w:r>
      <w:r>
        <w:rPr>
          <w:spacing w:val="-7"/>
          <w:sz w:val="20"/>
        </w:rPr>
        <w:t> </w:t>
      </w:r>
      <w:r>
        <w:rPr>
          <w:sz w:val="20"/>
        </w:rPr>
        <w:t>law</w:t>
      </w:r>
      <w:r>
        <w:rPr>
          <w:spacing w:val="-7"/>
          <w:sz w:val="20"/>
        </w:rPr>
        <w:t> </w:t>
      </w:r>
      <w:r>
        <w:rPr>
          <w:sz w:val="20"/>
        </w:rPr>
        <w:t>and</w:t>
      </w:r>
      <w:r>
        <w:rPr>
          <w:spacing w:val="-8"/>
          <w:sz w:val="20"/>
        </w:rPr>
        <w:t> </w:t>
      </w:r>
      <w:r>
        <w:rPr>
          <w:sz w:val="20"/>
        </w:rPr>
        <w:t>practice.</w:t>
      </w:r>
    </w:p>
    <w:p>
      <w:pPr>
        <w:pStyle w:val="ListParagraph"/>
        <w:numPr>
          <w:ilvl w:val="1"/>
          <w:numId w:val="12"/>
        </w:numPr>
        <w:tabs>
          <w:tab w:pos="1761" w:val="left" w:leader="none"/>
          <w:tab w:pos="1762" w:val="left" w:leader="none"/>
        </w:tabs>
        <w:spacing w:line="206" w:lineRule="auto" w:before="124" w:after="0"/>
        <w:ind w:left="1761" w:right="1546" w:hanging="794"/>
        <w:jc w:val="left"/>
        <w:rPr>
          <w:sz w:val="11"/>
        </w:rPr>
      </w:pPr>
      <w:r>
        <w:rPr>
          <w:sz w:val="20"/>
        </w:rPr>
        <w:t>Australia has an obligation to monitor its implementation of the United Nations Convention</w:t>
      </w:r>
      <w:r>
        <w:rPr>
          <w:spacing w:val="-12"/>
          <w:sz w:val="20"/>
        </w:rPr>
        <w:t> </w:t>
      </w:r>
      <w:r>
        <w:rPr>
          <w:sz w:val="20"/>
        </w:rPr>
        <w:t>on</w:t>
      </w:r>
      <w:r>
        <w:rPr>
          <w:spacing w:val="-11"/>
          <w:sz w:val="20"/>
        </w:rPr>
        <w:t> </w:t>
      </w:r>
      <w:r>
        <w:rPr>
          <w:sz w:val="20"/>
        </w:rPr>
        <w:t>the</w:t>
      </w:r>
      <w:r>
        <w:rPr>
          <w:spacing w:val="-11"/>
          <w:sz w:val="20"/>
        </w:rPr>
        <w:t> </w:t>
      </w:r>
      <w:r>
        <w:rPr>
          <w:sz w:val="20"/>
        </w:rPr>
        <w:t>Rights</w:t>
      </w:r>
      <w:r>
        <w:rPr>
          <w:spacing w:val="-11"/>
          <w:sz w:val="20"/>
        </w:rPr>
        <w:t> </w:t>
      </w:r>
      <w:r>
        <w:rPr>
          <w:sz w:val="20"/>
        </w:rPr>
        <w:t>of</w:t>
      </w:r>
      <w:r>
        <w:rPr>
          <w:spacing w:val="-11"/>
          <w:sz w:val="20"/>
        </w:rPr>
        <w:t> </w:t>
      </w:r>
      <w:r>
        <w:rPr>
          <w:sz w:val="20"/>
        </w:rPr>
        <w:t>Persons</w:t>
      </w:r>
      <w:r>
        <w:rPr>
          <w:spacing w:val="-11"/>
          <w:sz w:val="20"/>
        </w:rPr>
        <w:t> </w:t>
      </w:r>
      <w:r>
        <w:rPr>
          <w:sz w:val="20"/>
        </w:rPr>
        <w:t>with</w:t>
      </w:r>
      <w:r>
        <w:rPr>
          <w:spacing w:val="-11"/>
          <w:sz w:val="20"/>
        </w:rPr>
        <w:t> </w:t>
      </w:r>
      <w:r>
        <w:rPr>
          <w:sz w:val="20"/>
        </w:rPr>
        <w:t>Disabilities</w:t>
      </w:r>
      <w:r>
        <w:rPr>
          <w:spacing w:val="-11"/>
          <w:sz w:val="20"/>
        </w:rPr>
        <w:t> </w:t>
      </w:r>
      <w:r>
        <w:rPr>
          <w:spacing w:val="-3"/>
          <w:sz w:val="20"/>
        </w:rPr>
        <w:t>(CRPD).</w:t>
      </w:r>
      <w:r>
        <w:rPr>
          <w:spacing w:val="-3"/>
          <w:position w:val="7"/>
          <w:sz w:val="11"/>
        </w:rPr>
        <w:t>18</w:t>
      </w:r>
      <w:r>
        <w:rPr>
          <w:spacing w:val="14"/>
          <w:position w:val="7"/>
          <w:sz w:val="11"/>
        </w:rPr>
        <w:t> </w:t>
      </w:r>
      <w:r>
        <w:rPr>
          <w:sz w:val="20"/>
        </w:rPr>
        <w:t>Collecting</w:t>
      </w:r>
      <w:r>
        <w:rPr>
          <w:spacing w:val="-11"/>
          <w:sz w:val="20"/>
        </w:rPr>
        <w:t> </w:t>
      </w:r>
      <w:r>
        <w:rPr>
          <w:sz w:val="20"/>
        </w:rPr>
        <w:t>data</w:t>
      </w:r>
      <w:r>
        <w:rPr>
          <w:spacing w:val="-11"/>
          <w:sz w:val="20"/>
        </w:rPr>
        <w:t> </w:t>
      </w:r>
      <w:r>
        <w:rPr>
          <w:sz w:val="20"/>
        </w:rPr>
        <w:t>about access to jury service </w:t>
      </w:r>
      <w:r>
        <w:rPr>
          <w:spacing w:val="-3"/>
          <w:sz w:val="20"/>
        </w:rPr>
        <w:t>would </w:t>
      </w:r>
      <w:r>
        <w:rPr>
          <w:sz w:val="20"/>
        </w:rPr>
        <w:t>respond to the recommendations of the Convention Committee in its </w:t>
      </w:r>
      <w:r>
        <w:rPr>
          <w:spacing w:val="-3"/>
          <w:sz w:val="20"/>
        </w:rPr>
        <w:t>2019 </w:t>
      </w:r>
      <w:r>
        <w:rPr>
          <w:sz w:val="20"/>
        </w:rPr>
        <w:t>Concluding Observations on </w:t>
      </w:r>
      <w:r>
        <w:rPr>
          <w:spacing w:val="-3"/>
          <w:sz w:val="20"/>
        </w:rPr>
        <w:t>Australia’s </w:t>
      </w:r>
      <w:r>
        <w:rPr>
          <w:sz w:val="20"/>
        </w:rPr>
        <w:t>compliance </w:t>
      </w:r>
      <w:r>
        <w:rPr>
          <w:spacing w:val="-3"/>
          <w:sz w:val="20"/>
        </w:rPr>
        <w:t>(or </w:t>
      </w:r>
      <w:r>
        <w:rPr>
          <w:sz w:val="20"/>
        </w:rPr>
        <w:t>lack thereof) with the</w:t>
      </w:r>
      <w:r>
        <w:rPr>
          <w:spacing w:val="-13"/>
          <w:sz w:val="20"/>
        </w:rPr>
        <w:t> </w:t>
      </w:r>
      <w:r>
        <w:rPr>
          <w:sz w:val="20"/>
        </w:rPr>
        <w:t>CRPD.</w:t>
      </w:r>
      <w:r>
        <w:rPr>
          <w:position w:val="7"/>
          <w:sz w:val="11"/>
        </w:rPr>
        <w:t>19</w:t>
      </w:r>
    </w:p>
    <w:p>
      <w:pPr>
        <w:pStyle w:val="ListParagraph"/>
        <w:numPr>
          <w:ilvl w:val="1"/>
          <w:numId w:val="12"/>
        </w:numPr>
        <w:tabs>
          <w:tab w:pos="1761" w:val="left" w:leader="none"/>
          <w:tab w:pos="1762" w:val="left" w:leader="none"/>
        </w:tabs>
        <w:spacing w:line="206" w:lineRule="auto" w:before="127" w:after="0"/>
        <w:ind w:left="1761" w:right="1284" w:hanging="794"/>
        <w:jc w:val="left"/>
        <w:rPr>
          <w:sz w:val="11"/>
        </w:rPr>
      </w:pPr>
      <w:r>
        <w:rPr>
          <w:sz w:val="20"/>
        </w:rPr>
        <w:t>Victoria</w:t>
      </w:r>
      <w:r>
        <w:rPr>
          <w:spacing w:val="-12"/>
          <w:sz w:val="20"/>
        </w:rPr>
        <w:t> </w:t>
      </w:r>
      <w:r>
        <w:rPr>
          <w:sz w:val="20"/>
        </w:rPr>
        <w:t>has</w:t>
      </w:r>
      <w:r>
        <w:rPr>
          <w:spacing w:val="-12"/>
          <w:sz w:val="20"/>
        </w:rPr>
        <w:t> </w:t>
      </w:r>
      <w:r>
        <w:rPr>
          <w:sz w:val="20"/>
        </w:rPr>
        <w:t>indicated</w:t>
      </w:r>
      <w:r>
        <w:rPr>
          <w:spacing w:val="-12"/>
          <w:sz w:val="20"/>
        </w:rPr>
        <w:t> </w:t>
      </w:r>
      <w:r>
        <w:rPr>
          <w:sz w:val="20"/>
        </w:rPr>
        <w:t>its</w:t>
      </w:r>
      <w:r>
        <w:rPr>
          <w:spacing w:val="-12"/>
          <w:sz w:val="20"/>
        </w:rPr>
        <w:t> </w:t>
      </w:r>
      <w:r>
        <w:rPr>
          <w:sz w:val="20"/>
        </w:rPr>
        <w:t>commitment</w:t>
      </w:r>
      <w:r>
        <w:rPr>
          <w:spacing w:val="-11"/>
          <w:sz w:val="20"/>
        </w:rPr>
        <w:t> </w:t>
      </w:r>
      <w:r>
        <w:rPr>
          <w:sz w:val="20"/>
        </w:rPr>
        <w:t>to</w:t>
      </w:r>
      <w:r>
        <w:rPr>
          <w:spacing w:val="-12"/>
          <w:sz w:val="20"/>
        </w:rPr>
        <w:t> </w:t>
      </w:r>
      <w:r>
        <w:rPr>
          <w:spacing w:val="-4"/>
          <w:sz w:val="20"/>
        </w:rPr>
        <w:t>improve</w:t>
      </w:r>
      <w:r>
        <w:rPr>
          <w:spacing w:val="-12"/>
          <w:sz w:val="20"/>
        </w:rPr>
        <w:t> </w:t>
      </w:r>
      <w:r>
        <w:rPr>
          <w:sz w:val="20"/>
        </w:rPr>
        <w:t>the</w:t>
      </w:r>
      <w:r>
        <w:rPr>
          <w:spacing w:val="-12"/>
          <w:sz w:val="20"/>
        </w:rPr>
        <w:t> </w:t>
      </w:r>
      <w:r>
        <w:rPr>
          <w:sz w:val="20"/>
        </w:rPr>
        <w:t>collection</w:t>
      </w:r>
      <w:r>
        <w:rPr>
          <w:spacing w:val="-11"/>
          <w:sz w:val="20"/>
        </w:rPr>
        <w:t> </w:t>
      </w:r>
      <w:r>
        <w:rPr>
          <w:sz w:val="20"/>
        </w:rPr>
        <w:t>of</w:t>
      </w:r>
      <w:r>
        <w:rPr>
          <w:spacing w:val="-12"/>
          <w:sz w:val="20"/>
        </w:rPr>
        <w:t> </w:t>
      </w:r>
      <w:r>
        <w:rPr>
          <w:sz w:val="20"/>
        </w:rPr>
        <w:t>data</w:t>
      </w:r>
      <w:r>
        <w:rPr>
          <w:spacing w:val="-12"/>
          <w:sz w:val="20"/>
        </w:rPr>
        <w:t> </w:t>
      </w:r>
      <w:r>
        <w:rPr>
          <w:sz w:val="20"/>
        </w:rPr>
        <w:t>on</w:t>
      </w:r>
      <w:r>
        <w:rPr>
          <w:spacing w:val="-12"/>
          <w:sz w:val="20"/>
        </w:rPr>
        <w:t> </w:t>
      </w:r>
      <w:r>
        <w:rPr>
          <w:sz w:val="20"/>
        </w:rPr>
        <w:t>accessibility for</w:t>
      </w:r>
      <w:r>
        <w:rPr>
          <w:spacing w:val="-6"/>
          <w:sz w:val="20"/>
        </w:rPr>
        <w:t> </w:t>
      </w:r>
      <w:r>
        <w:rPr>
          <w:sz w:val="20"/>
        </w:rPr>
        <w:t>people</w:t>
      </w:r>
      <w:r>
        <w:rPr>
          <w:spacing w:val="-6"/>
          <w:sz w:val="20"/>
        </w:rPr>
        <w:t> </w:t>
      </w:r>
      <w:r>
        <w:rPr>
          <w:sz w:val="20"/>
        </w:rPr>
        <w:t>with</w:t>
      </w:r>
      <w:r>
        <w:rPr>
          <w:spacing w:val="-5"/>
          <w:sz w:val="20"/>
        </w:rPr>
        <w:t> </w:t>
      </w:r>
      <w:r>
        <w:rPr>
          <w:sz w:val="20"/>
        </w:rPr>
        <w:t>disabilities</w:t>
      </w:r>
      <w:r>
        <w:rPr>
          <w:spacing w:val="-6"/>
          <w:sz w:val="20"/>
        </w:rPr>
        <w:t> </w:t>
      </w:r>
      <w:r>
        <w:rPr>
          <w:spacing w:val="-3"/>
          <w:sz w:val="20"/>
        </w:rPr>
        <w:t>across</w:t>
      </w:r>
      <w:r>
        <w:rPr>
          <w:spacing w:val="-6"/>
          <w:sz w:val="20"/>
        </w:rPr>
        <w:t> </w:t>
      </w:r>
      <w:r>
        <w:rPr>
          <w:spacing w:val="-3"/>
          <w:sz w:val="20"/>
        </w:rPr>
        <w:t>government</w:t>
      </w:r>
      <w:r>
        <w:rPr>
          <w:spacing w:val="-5"/>
          <w:sz w:val="20"/>
        </w:rPr>
        <w:t> </w:t>
      </w:r>
      <w:r>
        <w:rPr>
          <w:sz w:val="20"/>
        </w:rPr>
        <w:t>in</w:t>
      </w:r>
      <w:r>
        <w:rPr>
          <w:spacing w:val="-6"/>
          <w:sz w:val="20"/>
        </w:rPr>
        <w:t> </w:t>
      </w:r>
      <w:r>
        <w:rPr>
          <w:sz w:val="20"/>
        </w:rPr>
        <w:t>the</w:t>
      </w:r>
      <w:r>
        <w:rPr>
          <w:spacing w:val="-6"/>
          <w:sz w:val="20"/>
        </w:rPr>
        <w:t> </w:t>
      </w:r>
      <w:r>
        <w:rPr>
          <w:sz w:val="20"/>
        </w:rPr>
        <w:t>new</w:t>
      </w:r>
      <w:r>
        <w:rPr>
          <w:spacing w:val="-5"/>
          <w:sz w:val="20"/>
        </w:rPr>
        <w:t> </w:t>
      </w:r>
      <w:r>
        <w:rPr>
          <w:sz w:val="20"/>
        </w:rPr>
        <w:t>state</w:t>
      </w:r>
      <w:r>
        <w:rPr>
          <w:spacing w:val="-6"/>
          <w:sz w:val="20"/>
        </w:rPr>
        <w:t> </w:t>
      </w:r>
      <w:r>
        <w:rPr>
          <w:sz w:val="20"/>
        </w:rPr>
        <w:t>disability</w:t>
      </w:r>
      <w:r>
        <w:rPr>
          <w:spacing w:val="-6"/>
          <w:sz w:val="20"/>
        </w:rPr>
        <w:t> </w:t>
      </w:r>
      <w:r>
        <w:rPr>
          <w:sz w:val="20"/>
        </w:rPr>
        <w:t>plan.</w:t>
      </w:r>
      <w:r>
        <w:rPr>
          <w:position w:val="7"/>
          <w:sz w:val="11"/>
        </w:rPr>
        <w:t>20</w:t>
      </w:r>
    </w:p>
    <w:p>
      <w:pPr>
        <w:spacing w:before="160"/>
        <w:ind w:left="967" w:right="0" w:firstLine="0"/>
        <w:jc w:val="left"/>
        <w:rPr>
          <w:b/>
          <w:sz w:val="24"/>
        </w:rPr>
      </w:pPr>
      <w:r>
        <w:rPr>
          <w:b/>
          <w:sz w:val="24"/>
        </w:rPr>
        <w:t>Community support for evaluation</w:t>
      </w:r>
    </w:p>
    <w:p>
      <w:pPr>
        <w:pStyle w:val="ListParagraph"/>
        <w:numPr>
          <w:ilvl w:val="1"/>
          <w:numId w:val="12"/>
        </w:numPr>
        <w:tabs>
          <w:tab w:pos="1761" w:val="left" w:leader="none"/>
          <w:tab w:pos="1762" w:val="left" w:leader="none"/>
        </w:tabs>
        <w:spacing w:line="206" w:lineRule="auto" w:before="127" w:after="0"/>
        <w:ind w:left="1761" w:right="1940" w:hanging="794"/>
        <w:jc w:val="left"/>
        <w:rPr>
          <w:sz w:val="20"/>
        </w:rPr>
      </w:pPr>
      <w:r>
        <w:rPr>
          <w:sz w:val="20"/>
        </w:rPr>
        <w:t>The</w:t>
      </w:r>
      <w:r>
        <w:rPr>
          <w:spacing w:val="-12"/>
          <w:sz w:val="20"/>
        </w:rPr>
        <w:t> </w:t>
      </w:r>
      <w:r>
        <w:rPr>
          <w:sz w:val="20"/>
        </w:rPr>
        <w:t>community</w:t>
      </w:r>
      <w:r>
        <w:rPr>
          <w:spacing w:val="-11"/>
          <w:sz w:val="20"/>
        </w:rPr>
        <w:t> </w:t>
      </w:r>
      <w:r>
        <w:rPr>
          <w:sz w:val="20"/>
        </w:rPr>
        <w:t>supported</w:t>
      </w:r>
      <w:r>
        <w:rPr>
          <w:spacing w:val="-11"/>
          <w:sz w:val="20"/>
        </w:rPr>
        <w:t> </w:t>
      </w:r>
      <w:r>
        <w:rPr>
          <w:spacing w:val="-3"/>
          <w:sz w:val="20"/>
        </w:rPr>
        <w:t>reviewing</w:t>
      </w:r>
      <w:r>
        <w:rPr>
          <w:spacing w:val="-12"/>
          <w:sz w:val="20"/>
        </w:rPr>
        <w:t> </w:t>
      </w:r>
      <w:r>
        <w:rPr>
          <w:sz w:val="20"/>
        </w:rPr>
        <w:t>the</w:t>
      </w:r>
      <w:r>
        <w:rPr>
          <w:spacing w:val="-11"/>
          <w:sz w:val="20"/>
        </w:rPr>
        <w:t> </w:t>
      </w:r>
      <w:r>
        <w:rPr>
          <w:sz w:val="20"/>
        </w:rPr>
        <w:t>effectiveness</w:t>
      </w:r>
      <w:r>
        <w:rPr>
          <w:spacing w:val="-11"/>
          <w:sz w:val="20"/>
        </w:rPr>
        <w:t> </w:t>
      </w:r>
      <w:r>
        <w:rPr>
          <w:sz w:val="20"/>
        </w:rPr>
        <w:t>of</w:t>
      </w:r>
      <w:r>
        <w:rPr>
          <w:spacing w:val="-12"/>
          <w:sz w:val="20"/>
        </w:rPr>
        <w:t> </w:t>
      </w:r>
      <w:r>
        <w:rPr>
          <w:sz w:val="20"/>
        </w:rPr>
        <w:t>new</w:t>
      </w:r>
      <w:r>
        <w:rPr>
          <w:spacing w:val="-11"/>
          <w:sz w:val="20"/>
        </w:rPr>
        <w:t> </w:t>
      </w:r>
      <w:r>
        <w:rPr>
          <w:sz w:val="20"/>
        </w:rPr>
        <w:t>laws.</w:t>
      </w:r>
      <w:r>
        <w:rPr>
          <w:position w:val="7"/>
          <w:sz w:val="11"/>
        </w:rPr>
        <w:t>21</w:t>
      </w:r>
      <w:r>
        <w:rPr>
          <w:spacing w:val="14"/>
          <w:position w:val="7"/>
          <w:sz w:val="11"/>
        </w:rPr>
        <w:t> </w:t>
      </w:r>
      <w:r>
        <w:rPr>
          <w:sz w:val="20"/>
        </w:rPr>
        <w:t>Associate </w:t>
      </w:r>
      <w:r>
        <w:rPr>
          <w:spacing w:val="-3"/>
          <w:sz w:val="20"/>
        </w:rPr>
        <w:t>Professors </w:t>
      </w:r>
      <w:r>
        <w:rPr>
          <w:sz w:val="20"/>
        </w:rPr>
        <w:t>Bruce Baer Arnold and </w:t>
      </w:r>
      <w:r>
        <w:rPr>
          <w:spacing w:val="-4"/>
          <w:sz w:val="20"/>
        </w:rPr>
        <w:t>Wendy </w:t>
      </w:r>
      <w:r>
        <w:rPr>
          <w:sz w:val="20"/>
        </w:rPr>
        <w:t>Bonython submitted</w:t>
      </w:r>
      <w:r>
        <w:rPr>
          <w:spacing w:val="-34"/>
          <w:sz w:val="20"/>
        </w:rPr>
        <w:t> </w:t>
      </w:r>
      <w:r>
        <w:rPr>
          <w:sz w:val="20"/>
        </w:rPr>
        <w:t>that:</w:t>
      </w:r>
    </w:p>
    <w:p>
      <w:pPr>
        <w:spacing w:line="208" w:lineRule="auto" w:before="121"/>
        <w:ind w:left="2157" w:right="1202" w:firstLine="0"/>
        <w:jc w:val="left"/>
        <w:rPr>
          <w:sz w:val="11"/>
        </w:rPr>
      </w:pPr>
      <w:r>
        <w:rPr>
          <w:sz w:val="19"/>
        </w:rPr>
        <w:t>the Commissioner and Juries Victoria should have a facilitative and oversight role, […] ensuring that there is qualitative and quantitative reporting regarding implementation of the inclusion strategy.</w:t>
      </w:r>
      <w:r>
        <w:rPr>
          <w:position w:val="6"/>
          <w:sz w:val="11"/>
        </w:rPr>
        <w:t>22</w:t>
      </w:r>
    </w:p>
    <w:p>
      <w:pPr>
        <w:pStyle w:val="ListParagraph"/>
        <w:numPr>
          <w:ilvl w:val="1"/>
          <w:numId w:val="12"/>
        </w:numPr>
        <w:tabs>
          <w:tab w:pos="1761" w:val="left" w:leader="none"/>
          <w:tab w:pos="1762" w:val="left" w:leader="none"/>
        </w:tabs>
        <w:spacing w:line="240" w:lineRule="auto" w:before="91" w:after="0"/>
        <w:ind w:left="1761" w:right="0" w:hanging="794"/>
        <w:jc w:val="left"/>
        <w:rPr>
          <w:sz w:val="20"/>
        </w:rPr>
      </w:pPr>
      <w:r>
        <w:rPr>
          <w:sz w:val="20"/>
        </w:rPr>
        <w:t>They further suggested</w:t>
      </w:r>
      <w:r>
        <w:rPr>
          <w:spacing w:val="-13"/>
          <w:sz w:val="20"/>
        </w:rPr>
        <w:t> </w:t>
      </w:r>
      <w:r>
        <w:rPr>
          <w:sz w:val="20"/>
        </w:rPr>
        <w:t>that:</w:t>
      </w:r>
    </w:p>
    <w:p>
      <w:pPr>
        <w:spacing w:line="208" w:lineRule="auto" w:before="113"/>
        <w:ind w:left="2157" w:right="1110" w:firstLine="0"/>
        <w:jc w:val="left"/>
        <w:rPr>
          <w:sz w:val="11"/>
        </w:rPr>
      </w:pPr>
      <w:r>
        <w:rPr>
          <w:sz w:val="19"/>
        </w:rPr>
        <w:t>the Attorney-General and the Justice Department report to Parliament and the community at large on an annual basis using comprehensive statistics on the inclusion in juries of people who are deaf, hard of hearing, blind or with low vision.</w:t>
      </w:r>
      <w:r>
        <w:rPr>
          <w:position w:val="6"/>
          <w:sz w:val="11"/>
        </w:rPr>
        <w:t>23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15"/>
        </w:rPr>
      </w:pPr>
      <w:r>
        <w:rPr/>
        <w:pict>
          <v:line style="position:absolute;mso-position-horizontal-relative:page;mso-position-vertical-relative:paragraph;z-index:11840;mso-wrap-distance-left:0;mso-wrap-distance-right:0" from="79.370102pt,13.46472pt" to="515.905102pt,13.46472pt" stroked="true" strokeweight="1pt" strokecolor="#b6bdc8">
            <v:stroke dashstyle="solid"/>
            <w10:wrap type="topAndBottom"/>
          </v:line>
        </w:pict>
      </w:r>
    </w:p>
    <w:p>
      <w:pPr>
        <w:pStyle w:val="BodyText"/>
        <w:rPr>
          <w:sz w:val="5"/>
        </w:rPr>
      </w:pPr>
    </w:p>
    <w:p>
      <w:pPr>
        <w:spacing w:after="0"/>
        <w:rPr>
          <w:sz w:val="5"/>
        </w:rPr>
        <w:sectPr>
          <w:pgSz w:w="11910" w:h="16840"/>
          <w:pgMar w:header="0" w:footer="0" w:top="840" w:bottom="280" w:left="620" w:right="380"/>
        </w:sectPr>
      </w:pPr>
    </w:p>
    <w:p>
      <w:pPr>
        <w:pStyle w:val="ListParagraph"/>
        <w:numPr>
          <w:ilvl w:val="0"/>
          <w:numId w:val="125"/>
        </w:numPr>
        <w:tabs>
          <w:tab w:pos="1761" w:val="left" w:leader="none"/>
          <w:tab w:pos="1762" w:val="left" w:leader="none"/>
        </w:tabs>
        <w:spacing w:line="170" w:lineRule="exact" w:before="21" w:after="0"/>
        <w:ind w:left="1761" w:right="0" w:hanging="794"/>
        <w:jc w:val="left"/>
        <w:rPr>
          <w:sz w:val="13"/>
        </w:rPr>
      </w:pPr>
      <w:r>
        <w:rPr>
          <w:i/>
          <w:sz w:val="13"/>
        </w:rPr>
        <w:t>Juries Act 2000 </w:t>
      </w:r>
      <w:r>
        <w:rPr>
          <w:spacing w:val="2"/>
          <w:sz w:val="13"/>
        </w:rPr>
        <w:t>(Vic) </w:t>
      </w:r>
      <w:r>
        <w:rPr>
          <w:sz w:val="13"/>
        </w:rPr>
        <w:t>s</w:t>
      </w:r>
      <w:r>
        <w:rPr>
          <w:spacing w:val="-2"/>
          <w:sz w:val="13"/>
        </w:rPr>
        <w:t> </w:t>
      </w:r>
      <w:r>
        <w:rPr>
          <w:sz w:val="13"/>
        </w:rPr>
        <w:t>1(b).</w:t>
      </w:r>
    </w:p>
    <w:p>
      <w:pPr>
        <w:pStyle w:val="ListParagraph"/>
        <w:numPr>
          <w:ilvl w:val="0"/>
          <w:numId w:val="125"/>
        </w:numPr>
        <w:tabs>
          <w:tab w:pos="1760" w:val="left" w:leader="none"/>
          <w:tab w:pos="1762" w:val="left" w:leader="none"/>
        </w:tabs>
        <w:spacing w:line="213" w:lineRule="auto" w:before="7" w:after="0"/>
        <w:ind w:left="1761" w:right="46" w:hanging="794"/>
        <w:jc w:val="left"/>
        <w:rPr>
          <w:sz w:val="13"/>
        </w:rPr>
      </w:pPr>
      <w:r>
        <w:rPr>
          <w:sz w:val="13"/>
        </w:rPr>
        <w:t>Brock Budworth, Trevor Ryan and Lorana </w:t>
      </w:r>
      <w:r>
        <w:rPr>
          <w:spacing w:val="2"/>
          <w:sz w:val="13"/>
        </w:rPr>
        <w:t>Bartels, ‘Reigniting </w:t>
      </w:r>
      <w:r>
        <w:rPr>
          <w:sz w:val="13"/>
        </w:rPr>
        <w:t>the Lamp: The Case for Including People Who Are </w:t>
      </w:r>
      <w:r>
        <w:rPr>
          <w:spacing w:val="2"/>
          <w:sz w:val="13"/>
        </w:rPr>
        <w:t>Blind </w:t>
      </w:r>
      <w:r>
        <w:rPr>
          <w:sz w:val="13"/>
        </w:rPr>
        <w:t>or Deaf as Jurors’ (2017) 42 </w:t>
      </w:r>
      <w:r>
        <w:rPr>
          <w:i/>
          <w:sz w:val="13"/>
        </w:rPr>
        <w:t>University of Western Australia Law Review </w:t>
      </w:r>
      <w:r>
        <w:rPr>
          <w:spacing w:val="2"/>
          <w:sz w:val="13"/>
        </w:rPr>
        <w:t>29,</w:t>
      </w:r>
      <w:r>
        <w:rPr>
          <w:spacing w:val="5"/>
          <w:sz w:val="13"/>
        </w:rPr>
        <w:t> </w:t>
      </w:r>
      <w:r>
        <w:rPr>
          <w:sz w:val="13"/>
        </w:rPr>
        <w:t>35–36.</w:t>
      </w:r>
    </w:p>
    <w:p>
      <w:pPr>
        <w:pStyle w:val="ListParagraph"/>
        <w:numPr>
          <w:ilvl w:val="0"/>
          <w:numId w:val="125"/>
        </w:numPr>
        <w:tabs>
          <w:tab w:pos="1761" w:val="left" w:leader="none"/>
          <w:tab w:pos="1762" w:val="left" w:leader="none"/>
        </w:tabs>
        <w:spacing w:line="213" w:lineRule="auto" w:before="0" w:after="0"/>
        <w:ind w:left="1761" w:right="90" w:hanging="794"/>
        <w:jc w:val="left"/>
        <w:rPr>
          <w:sz w:val="13"/>
        </w:rPr>
      </w:pPr>
      <w:r>
        <w:rPr>
          <w:i/>
          <w:sz w:val="13"/>
        </w:rPr>
        <w:t>Convention on the </w:t>
      </w:r>
      <w:r>
        <w:rPr>
          <w:i/>
          <w:spacing w:val="2"/>
          <w:sz w:val="13"/>
        </w:rPr>
        <w:t>Rights </w:t>
      </w:r>
      <w:r>
        <w:rPr>
          <w:i/>
          <w:sz w:val="13"/>
        </w:rPr>
        <w:t>of Persons with Disabilities, </w:t>
      </w:r>
      <w:r>
        <w:rPr>
          <w:spacing w:val="2"/>
          <w:sz w:val="13"/>
        </w:rPr>
        <w:t>opened </w:t>
      </w:r>
      <w:r>
        <w:rPr>
          <w:sz w:val="13"/>
        </w:rPr>
        <w:t>for signature 30 March 2007, 2515 UNTS 3 (entered into force 3 May 2008) </w:t>
      </w:r>
      <w:r>
        <w:rPr>
          <w:spacing w:val="2"/>
          <w:sz w:val="13"/>
        </w:rPr>
        <w:t>art</w:t>
      </w:r>
      <w:r>
        <w:rPr>
          <w:sz w:val="13"/>
        </w:rPr>
        <w:t> </w:t>
      </w:r>
      <w:r>
        <w:rPr>
          <w:spacing w:val="2"/>
          <w:sz w:val="13"/>
        </w:rPr>
        <w:t>33.</w:t>
      </w:r>
    </w:p>
    <w:p>
      <w:pPr>
        <w:pStyle w:val="ListParagraph"/>
        <w:numPr>
          <w:ilvl w:val="0"/>
          <w:numId w:val="125"/>
        </w:numPr>
        <w:tabs>
          <w:tab w:pos="1760" w:val="left" w:leader="none"/>
          <w:tab w:pos="1762" w:val="left" w:leader="none"/>
        </w:tabs>
        <w:spacing w:line="213" w:lineRule="auto" w:before="0" w:after="0"/>
        <w:ind w:left="1761" w:right="191" w:hanging="794"/>
        <w:jc w:val="left"/>
        <w:rPr>
          <w:sz w:val="13"/>
        </w:rPr>
      </w:pPr>
      <w:r>
        <w:rPr>
          <w:sz w:val="13"/>
        </w:rPr>
        <w:t>The Committee recommends that the State party, in close consultation with persons with </w:t>
      </w:r>
      <w:r>
        <w:rPr>
          <w:spacing w:val="2"/>
          <w:sz w:val="13"/>
        </w:rPr>
        <w:t>disabilities, </w:t>
      </w:r>
      <w:r>
        <w:rPr>
          <w:sz w:val="13"/>
        </w:rPr>
        <w:t>through their representative organisations, ensure effective access to justice for persons with </w:t>
      </w:r>
      <w:r>
        <w:rPr>
          <w:spacing w:val="2"/>
          <w:sz w:val="13"/>
        </w:rPr>
        <w:t>disabilities, </w:t>
      </w:r>
      <w:r>
        <w:rPr>
          <w:sz w:val="13"/>
        </w:rPr>
        <w:t>without any discrimination. It </w:t>
      </w:r>
      <w:r>
        <w:rPr>
          <w:spacing w:val="2"/>
          <w:sz w:val="13"/>
        </w:rPr>
        <w:t>also </w:t>
      </w:r>
      <w:r>
        <w:rPr>
          <w:sz w:val="13"/>
        </w:rPr>
        <w:t>recommends that the State </w:t>
      </w:r>
      <w:r>
        <w:rPr>
          <w:spacing w:val="2"/>
          <w:sz w:val="13"/>
        </w:rPr>
        <w:t>party </w:t>
      </w:r>
      <w:r>
        <w:rPr>
          <w:sz w:val="13"/>
        </w:rPr>
        <w:t>‘(g) Collect data disaggregated by disability, age, gender, location and ethnicity at all </w:t>
      </w:r>
      <w:r>
        <w:rPr>
          <w:spacing w:val="2"/>
          <w:sz w:val="13"/>
        </w:rPr>
        <w:t>stages</w:t>
      </w:r>
      <w:r>
        <w:rPr>
          <w:spacing w:val="37"/>
          <w:sz w:val="13"/>
        </w:rPr>
        <w:t> </w:t>
      </w:r>
      <w:r>
        <w:rPr>
          <w:sz w:val="13"/>
        </w:rPr>
        <w:t>of</w:t>
      </w:r>
      <w:r>
        <w:rPr>
          <w:spacing w:val="5"/>
          <w:sz w:val="13"/>
        </w:rPr>
        <w:t> </w:t>
      </w:r>
      <w:r>
        <w:rPr>
          <w:sz w:val="13"/>
        </w:rPr>
        <w:t>the</w:t>
      </w:r>
      <w:r>
        <w:rPr>
          <w:spacing w:val="5"/>
          <w:sz w:val="13"/>
        </w:rPr>
        <w:t> </w:t>
      </w:r>
      <w:r>
        <w:rPr>
          <w:sz w:val="13"/>
        </w:rPr>
        <w:t>criminal</w:t>
      </w:r>
      <w:r>
        <w:rPr>
          <w:spacing w:val="6"/>
          <w:sz w:val="13"/>
        </w:rPr>
        <w:t> </w:t>
      </w:r>
      <w:r>
        <w:rPr>
          <w:sz w:val="13"/>
        </w:rPr>
        <w:t>justice</w:t>
      </w:r>
      <w:r>
        <w:rPr>
          <w:spacing w:val="5"/>
          <w:sz w:val="13"/>
        </w:rPr>
        <w:t> </w:t>
      </w:r>
      <w:r>
        <w:rPr>
          <w:sz w:val="13"/>
        </w:rPr>
        <w:t>system,</w:t>
      </w:r>
      <w:r>
        <w:rPr>
          <w:spacing w:val="5"/>
          <w:sz w:val="13"/>
        </w:rPr>
        <w:t> </w:t>
      </w:r>
      <w:r>
        <w:rPr>
          <w:sz w:val="13"/>
        </w:rPr>
        <w:t>including</w:t>
      </w:r>
      <w:r>
        <w:rPr>
          <w:spacing w:val="6"/>
          <w:sz w:val="13"/>
        </w:rPr>
        <w:t> </w:t>
      </w:r>
      <w:r>
        <w:rPr>
          <w:sz w:val="13"/>
        </w:rPr>
        <w:t>on</w:t>
      </w:r>
      <w:r>
        <w:rPr>
          <w:spacing w:val="5"/>
          <w:sz w:val="13"/>
        </w:rPr>
        <w:t> </w:t>
      </w:r>
      <w:r>
        <w:rPr>
          <w:sz w:val="13"/>
        </w:rPr>
        <w:t>the</w:t>
      </w:r>
      <w:r>
        <w:rPr>
          <w:spacing w:val="5"/>
          <w:sz w:val="13"/>
        </w:rPr>
        <w:t> </w:t>
      </w:r>
      <w:r>
        <w:rPr>
          <w:spacing w:val="2"/>
          <w:sz w:val="13"/>
        </w:rPr>
        <w:t>number</w:t>
      </w:r>
      <w:r>
        <w:rPr>
          <w:spacing w:val="6"/>
          <w:sz w:val="13"/>
        </w:rPr>
        <w:t> </w:t>
      </w:r>
      <w:r>
        <w:rPr>
          <w:sz w:val="13"/>
        </w:rPr>
        <w:t>of</w:t>
      </w:r>
      <w:r>
        <w:rPr>
          <w:spacing w:val="5"/>
          <w:sz w:val="13"/>
        </w:rPr>
        <w:t> </w:t>
      </w:r>
      <w:r>
        <w:rPr>
          <w:sz w:val="13"/>
        </w:rPr>
        <w:t>persons</w:t>
      </w:r>
      <w:r>
        <w:rPr>
          <w:spacing w:val="5"/>
          <w:sz w:val="13"/>
        </w:rPr>
        <w:t> </w:t>
      </w:r>
      <w:r>
        <w:rPr>
          <w:sz w:val="13"/>
        </w:rPr>
        <w:t>unfit</w:t>
      </w:r>
      <w:r>
        <w:rPr>
          <w:spacing w:val="6"/>
          <w:sz w:val="13"/>
        </w:rPr>
        <w:t> </w:t>
      </w:r>
      <w:r>
        <w:rPr>
          <w:sz w:val="13"/>
        </w:rPr>
        <w:t>to</w:t>
      </w:r>
      <w:r>
        <w:rPr>
          <w:spacing w:val="5"/>
          <w:sz w:val="13"/>
        </w:rPr>
        <w:t> </w:t>
      </w:r>
      <w:r>
        <w:rPr>
          <w:sz w:val="13"/>
        </w:rPr>
        <w:t>plead</w:t>
      </w:r>
      <w:r>
        <w:rPr>
          <w:spacing w:val="5"/>
          <w:sz w:val="13"/>
        </w:rPr>
        <w:t> </w:t>
      </w:r>
      <w:r>
        <w:rPr>
          <w:sz w:val="13"/>
        </w:rPr>
        <w:t>who</w:t>
      </w:r>
      <w:r>
        <w:rPr>
          <w:spacing w:val="6"/>
          <w:sz w:val="13"/>
        </w:rPr>
        <w:t> </w:t>
      </w:r>
      <w:r>
        <w:rPr>
          <w:sz w:val="13"/>
        </w:rPr>
        <w:t>are</w:t>
      </w:r>
      <w:r>
        <w:rPr>
          <w:spacing w:val="5"/>
          <w:sz w:val="13"/>
        </w:rPr>
        <w:t> </w:t>
      </w:r>
      <w:r>
        <w:rPr>
          <w:sz w:val="13"/>
        </w:rPr>
        <w:t>committed</w:t>
      </w:r>
      <w:r>
        <w:rPr>
          <w:spacing w:val="5"/>
          <w:sz w:val="13"/>
        </w:rPr>
        <w:t> </w:t>
      </w:r>
      <w:r>
        <w:rPr>
          <w:sz w:val="13"/>
        </w:rPr>
        <w:t>to</w:t>
      </w:r>
      <w:r>
        <w:rPr>
          <w:spacing w:val="6"/>
          <w:sz w:val="13"/>
        </w:rPr>
        <w:t> </w:t>
      </w:r>
      <w:r>
        <w:rPr>
          <w:sz w:val="13"/>
        </w:rPr>
        <w:t>custody</w:t>
      </w:r>
      <w:r>
        <w:rPr>
          <w:spacing w:val="5"/>
          <w:sz w:val="13"/>
        </w:rPr>
        <w:t> </w:t>
      </w:r>
      <w:r>
        <w:rPr>
          <w:sz w:val="13"/>
        </w:rPr>
        <w:t>in</w:t>
      </w:r>
      <w:r>
        <w:rPr>
          <w:spacing w:val="6"/>
          <w:sz w:val="13"/>
        </w:rPr>
        <w:t> </w:t>
      </w:r>
      <w:r>
        <w:rPr>
          <w:sz w:val="13"/>
        </w:rPr>
        <w:t>prison</w:t>
      </w:r>
      <w:r>
        <w:rPr>
          <w:spacing w:val="5"/>
          <w:sz w:val="13"/>
        </w:rPr>
        <w:t> </w:t>
      </w:r>
      <w:r>
        <w:rPr>
          <w:sz w:val="13"/>
        </w:rPr>
        <w:t>and</w:t>
      </w:r>
    </w:p>
    <w:p>
      <w:pPr>
        <w:spacing w:line="213" w:lineRule="auto" w:before="0"/>
        <w:ind w:left="1761" w:right="0" w:firstLine="0"/>
        <w:jc w:val="left"/>
        <w:rPr>
          <w:sz w:val="13"/>
        </w:rPr>
      </w:pPr>
      <w:r>
        <w:rPr>
          <w:sz w:val="13"/>
        </w:rPr>
        <w:t>other facilities’: Committee on the Rights of Persons with Disabilities, </w:t>
      </w:r>
      <w:r>
        <w:rPr>
          <w:i/>
          <w:sz w:val="13"/>
        </w:rPr>
        <w:t>Concluding Observations on the Combined Second and Third </w:t>
      </w:r>
      <w:r>
        <w:rPr>
          <w:i/>
          <w:sz w:val="13"/>
        </w:rPr>
        <w:t>Periodic Reports of Australia, </w:t>
      </w:r>
      <w:r>
        <w:rPr>
          <w:sz w:val="13"/>
        </w:rPr>
        <w:t>UN Doc CRPD/C/AUS/CO/2-3 (15 October 2019) 17 [26](g), art 13.</w:t>
      </w:r>
    </w:p>
    <w:p>
      <w:pPr>
        <w:pStyle w:val="ListParagraph"/>
        <w:numPr>
          <w:ilvl w:val="0"/>
          <w:numId w:val="125"/>
        </w:numPr>
        <w:tabs>
          <w:tab w:pos="1760" w:val="left" w:leader="none"/>
          <w:tab w:pos="1762" w:val="left" w:leader="none"/>
        </w:tabs>
        <w:spacing w:line="153" w:lineRule="exact" w:before="0" w:after="0"/>
        <w:ind w:left="1761" w:right="0" w:hanging="794"/>
        <w:jc w:val="left"/>
        <w:rPr>
          <w:sz w:val="13"/>
        </w:rPr>
      </w:pPr>
      <w:r>
        <w:rPr>
          <w:spacing w:val="2"/>
          <w:sz w:val="13"/>
        </w:rPr>
        <w:t>Department</w:t>
      </w:r>
      <w:r>
        <w:rPr>
          <w:spacing w:val="4"/>
          <w:sz w:val="13"/>
        </w:rPr>
        <w:t> </w:t>
      </w:r>
      <w:r>
        <w:rPr>
          <w:sz w:val="13"/>
        </w:rPr>
        <w:t>of</w:t>
      </w:r>
      <w:r>
        <w:rPr>
          <w:spacing w:val="4"/>
          <w:sz w:val="13"/>
        </w:rPr>
        <w:t> </w:t>
      </w:r>
      <w:r>
        <w:rPr>
          <w:sz w:val="13"/>
        </w:rPr>
        <w:t>Families,</w:t>
      </w:r>
      <w:r>
        <w:rPr>
          <w:spacing w:val="4"/>
          <w:sz w:val="13"/>
        </w:rPr>
        <w:t> </w:t>
      </w:r>
      <w:r>
        <w:rPr>
          <w:sz w:val="13"/>
        </w:rPr>
        <w:t>Fairness</w:t>
      </w:r>
      <w:r>
        <w:rPr>
          <w:spacing w:val="4"/>
          <w:sz w:val="13"/>
        </w:rPr>
        <w:t> </w:t>
      </w:r>
      <w:r>
        <w:rPr>
          <w:sz w:val="13"/>
        </w:rPr>
        <w:t>and</w:t>
      </w:r>
      <w:r>
        <w:rPr>
          <w:spacing w:val="5"/>
          <w:sz w:val="13"/>
        </w:rPr>
        <w:t> </w:t>
      </w:r>
      <w:r>
        <w:rPr>
          <w:sz w:val="13"/>
        </w:rPr>
        <w:t>Housing</w:t>
      </w:r>
      <w:r>
        <w:rPr>
          <w:spacing w:val="4"/>
          <w:sz w:val="13"/>
        </w:rPr>
        <w:t> </w:t>
      </w:r>
      <w:r>
        <w:rPr>
          <w:sz w:val="13"/>
        </w:rPr>
        <w:t>(Vic),</w:t>
      </w:r>
      <w:r>
        <w:rPr>
          <w:spacing w:val="3"/>
          <w:sz w:val="13"/>
        </w:rPr>
        <w:t> </w:t>
      </w:r>
      <w:r>
        <w:rPr>
          <w:i/>
          <w:sz w:val="13"/>
        </w:rPr>
        <w:t>Inclusive</w:t>
      </w:r>
      <w:r>
        <w:rPr>
          <w:i/>
          <w:spacing w:val="4"/>
          <w:sz w:val="13"/>
        </w:rPr>
        <w:t> </w:t>
      </w:r>
      <w:r>
        <w:rPr>
          <w:i/>
          <w:sz w:val="13"/>
        </w:rPr>
        <w:t>Victoria:</w:t>
      </w:r>
      <w:r>
        <w:rPr>
          <w:i/>
          <w:spacing w:val="4"/>
          <w:sz w:val="13"/>
        </w:rPr>
        <w:t> </w:t>
      </w:r>
      <w:r>
        <w:rPr>
          <w:i/>
          <w:sz w:val="13"/>
        </w:rPr>
        <w:t>State</w:t>
      </w:r>
      <w:r>
        <w:rPr>
          <w:i/>
          <w:spacing w:val="5"/>
          <w:sz w:val="13"/>
        </w:rPr>
        <w:t> </w:t>
      </w:r>
      <w:r>
        <w:rPr>
          <w:i/>
          <w:sz w:val="13"/>
        </w:rPr>
        <w:t>Disability</w:t>
      </w:r>
      <w:r>
        <w:rPr>
          <w:i/>
          <w:spacing w:val="4"/>
          <w:sz w:val="13"/>
        </w:rPr>
        <w:t> </w:t>
      </w:r>
      <w:r>
        <w:rPr>
          <w:i/>
          <w:sz w:val="13"/>
        </w:rPr>
        <w:t>Plan</w:t>
      </w:r>
      <w:r>
        <w:rPr>
          <w:i/>
          <w:spacing w:val="4"/>
          <w:sz w:val="13"/>
        </w:rPr>
        <w:t> </w:t>
      </w:r>
      <w:r>
        <w:rPr>
          <w:i/>
          <w:sz w:val="13"/>
        </w:rPr>
        <w:t>2022–2026</w:t>
      </w:r>
      <w:r>
        <w:rPr>
          <w:i/>
          <w:spacing w:val="4"/>
          <w:sz w:val="13"/>
        </w:rPr>
        <w:t> </w:t>
      </w:r>
      <w:r>
        <w:rPr>
          <w:spacing w:val="2"/>
          <w:sz w:val="13"/>
        </w:rPr>
        <w:t>(Report,</w:t>
      </w:r>
      <w:r>
        <w:rPr>
          <w:spacing w:val="4"/>
          <w:sz w:val="13"/>
        </w:rPr>
        <w:t> </w:t>
      </w:r>
      <w:r>
        <w:rPr>
          <w:sz w:val="13"/>
        </w:rPr>
        <w:t>March</w:t>
      </w:r>
      <w:r>
        <w:rPr>
          <w:spacing w:val="4"/>
          <w:sz w:val="13"/>
        </w:rPr>
        <w:t> </w:t>
      </w:r>
      <w:r>
        <w:rPr>
          <w:sz w:val="13"/>
        </w:rPr>
        <w:t>2022).</w:t>
      </w:r>
    </w:p>
    <w:p>
      <w:pPr>
        <w:pStyle w:val="ListParagraph"/>
        <w:numPr>
          <w:ilvl w:val="0"/>
          <w:numId w:val="125"/>
        </w:numPr>
        <w:tabs>
          <w:tab w:pos="1760" w:val="left" w:leader="none"/>
          <w:tab w:pos="1762" w:val="left" w:leader="none"/>
        </w:tabs>
        <w:spacing w:line="160" w:lineRule="exact" w:before="0" w:after="0"/>
        <w:ind w:left="1761" w:right="0" w:hanging="794"/>
        <w:jc w:val="left"/>
        <w:rPr>
          <w:sz w:val="13"/>
        </w:rPr>
      </w:pPr>
      <w:r>
        <w:rPr>
          <w:sz w:val="13"/>
        </w:rPr>
        <w:t>See, eg, </w:t>
      </w:r>
      <w:r>
        <w:rPr>
          <w:spacing w:val="2"/>
          <w:sz w:val="13"/>
        </w:rPr>
        <w:t>Submission </w:t>
      </w:r>
      <w:r>
        <w:rPr>
          <w:sz w:val="13"/>
        </w:rPr>
        <w:t>3 (Youth </w:t>
      </w:r>
      <w:r>
        <w:rPr>
          <w:spacing w:val="2"/>
          <w:sz w:val="13"/>
        </w:rPr>
        <w:t>Disability </w:t>
      </w:r>
      <w:r>
        <w:rPr>
          <w:sz w:val="13"/>
        </w:rPr>
        <w:t>Advocacy</w:t>
      </w:r>
      <w:r>
        <w:rPr>
          <w:spacing w:val="-3"/>
          <w:sz w:val="13"/>
        </w:rPr>
        <w:t> </w:t>
      </w:r>
      <w:r>
        <w:rPr>
          <w:sz w:val="13"/>
        </w:rPr>
        <w:t>Service).</w:t>
      </w:r>
    </w:p>
    <w:p>
      <w:pPr>
        <w:pStyle w:val="ListParagraph"/>
        <w:numPr>
          <w:ilvl w:val="0"/>
          <w:numId w:val="125"/>
        </w:numPr>
        <w:tabs>
          <w:tab w:pos="1760" w:val="left" w:leader="none"/>
          <w:tab w:pos="1762" w:val="left" w:leader="none"/>
        </w:tabs>
        <w:spacing w:line="160" w:lineRule="exact" w:before="0" w:after="0"/>
        <w:ind w:left="1761" w:right="0" w:hanging="794"/>
        <w:jc w:val="left"/>
        <w:rPr>
          <w:sz w:val="13"/>
        </w:rPr>
      </w:pPr>
      <w:r>
        <w:rPr>
          <w:spacing w:val="2"/>
          <w:sz w:val="13"/>
        </w:rPr>
        <w:t>Submission </w:t>
      </w:r>
      <w:r>
        <w:rPr>
          <w:sz w:val="13"/>
        </w:rPr>
        <w:t>4 (Baer Arnold &amp;</w:t>
      </w:r>
      <w:r>
        <w:rPr>
          <w:spacing w:val="-1"/>
          <w:sz w:val="13"/>
        </w:rPr>
        <w:t> </w:t>
      </w:r>
      <w:r>
        <w:rPr>
          <w:sz w:val="13"/>
        </w:rPr>
        <w:t>Bonython).</w:t>
      </w:r>
    </w:p>
    <w:p>
      <w:pPr>
        <w:pStyle w:val="ListParagraph"/>
        <w:numPr>
          <w:ilvl w:val="0"/>
          <w:numId w:val="125"/>
        </w:numPr>
        <w:tabs>
          <w:tab w:pos="1761" w:val="left" w:leader="none"/>
          <w:tab w:pos="1762" w:val="left" w:leader="none"/>
        </w:tabs>
        <w:spacing w:line="170" w:lineRule="exact" w:before="0" w:after="0"/>
        <w:ind w:left="1761" w:right="0" w:hanging="794"/>
        <w:jc w:val="left"/>
        <w:rPr>
          <w:sz w:val="13"/>
        </w:rPr>
      </w:pPr>
      <w:r>
        <w:rPr>
          <w:spacing w:val="2"/>
          <w:sz w:val="13"/>
        </w:rPr>
        <w:t>Ibid.</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11"/>
        <w:rPr>
          <w:sz w:val="41"/>
        </w:rPr>
      </w:pPr>
    </w:p>
    <w:p>
      <w:pPr>
        <w:spacing w:before="0"/>
        <w:ind w:left="589" w:right="0" w:firstLine="0"/>
        <w:jc w:val="left"/>
        <w:rPr>
          <w:b/>
          <w:sz w:val="24"/>
        </w:rPr>
      </w:pPr>
      <w:r>
        <w:rPr>
          <w:b/>
          <w:color w:val="37617A"/>
          <w:sz w:val="24"/>
        </w:rPr>
        <w:t>223</w:t>
      </w:r>
    </w:p>
    <w:p>
      <w:pPr>
        <w:spacing w:after="0"/>
        <w:jc w:val="left"/>
        <w:rPr>
          <w:sz w:val="24"/>
        </w:rPr>
        <w:sectPr>
          <w:type w:val="continuous"/>
          <w:pgSz w:w="11910" w:h="16840"/>
          <w:pgMar w:top="620" w:bottom="280" w:left="620" w:right="380"/>
          <w:cols w:num="2" w:equalWidth="0">
            <w:col w:w="9663" w:space="40"/>
            <w:col w:w="1207"/>
          </w:cols>
        </w:sectPr>
      </w:pPr>
    </w:p>
    <w:p>
      <w:pPr>
        <w:pStyle w:val="BodyText"/>
        <w:rPr>
          <w:b/>
        </w:rPr>
      </w:pPr>
    </w:p>
    <w:p>
      <w:pPr>
        <w:pStyle w:val="BodyText"/>
        <w:rPr>
          <w:b/>
        </w:rPr>
      </w:pPr>
    </w:p>
    <w:p>
      <w:pPr>
        <w:pStyle w:val="BodyText"/>
        <w:rPr>
          <w:b/>
        </w:rPr>
      </w:pPr>
    </w:p>
    <w:p>
      <w:pPr>
        <w:pStyle w:val="BodyText"/>
        <w:spacing w:before="11"/>
        <w:rPr>
          <w:b/>
          <w:sz w:val="18"/>
        </w:rPr>
      </w:pPr>
    </w:p>
    <w:p>
      <w:pPr>
        <w:pStyle w:val="ListParagraph"/>
        <w:numPr>
          <w:ilvl w:val="1"/>
          <w:numId w:val="12"/>
        </w:numPr>
        <w:tabs>
          <w:tab w:pos="1761" w:val="left" w:leader="none"/>
          <w:tab w:pos="1762" w:val="left" w:leader="none"/>
        </w:tabs>
        <w:spacing w:line="206" w:lineRule="auto" w:before="0" w:after="0"/>
        <w:ind w:left="1761" w:right="1395" w:hanging="794"/>
        <w:jc w:val="left"/>
        <w:rPr>
          <w:sz w:val="20"/>
        </w:rPr>
      </w:pPr>
      <w:bookmarkStart w:name="Collecting and publishing data about the" w:id="391"/>
      <w:bookmarkEnd w:id="391"/>
      <w:r>
        <w:rPr/>
      </w:r>
      <w:bookmarkStart w:name="_bookmark164" w:id="392"/>
      <w:bookmarkEnd w:id="392"/>
      <w:r>
        <w:rPr/>
      </w:r>
      <w:bookmarkStart w:name="_bookmark164" w:id="393"/>
      <w:bookmarkEnd w:id="393"/>
      <w:r>
        <w:rPr>
          <w:sz w:val="20"/>
        </w:rPr>
        <w:t>T</w:t>
      </w:r>
      <w:r>
        <w:rPr>
          <w:sz w:val="20"/>
        </w:rPr>
        <w:t>he</w:t>
      </w:r>
      <w:r>
        <w:rPr>
          <w:spacing w:val="-10"/>
          <w:sz w:val="20"/>
        </w:rPr>
        <w:t> </w:t>
      </w:r>
      <w:r>
        <w:rPr>
          <w:sz w:val="20"/>
        </w:rPr>
        <w:t>recommendation</w:t>
      </w:r>
      <w:r>
        <w:rPr>
          <w:spacing w:val="-10"/>
          <w:sz w:val="20"/>
        </w:rPr>
        <w:t> </w:t>
      </w:r>
      <w:r>
        <w:rPr>
          <w:sz w:val="20"/>
        </w:rPr>
        <w:t>to</w:t>
      </w:r>
      <w:r>
        <w:rPr>
          <w:spacing w:val="-10"/>
          <w:sz w:val="20"/>
        </w:rPr>
        <w:t> </w:t>
      </w:r>
      <w:r>
        <w:rPr>
          <w:sz w:val="20"/>
        </w:rPr>
        <w:t>collect</w:t>
      </w:r>
      <w:r>
        <w:rPr>
          <w:spacing w:val="-10"/>
          <w:sz w:val="20"/>
        </w:rPr>
        <w:t> </w:t>
      </w:r>
      <w:r>
        <w:rPr>
          <w:sz w:val="20"/>
        </w:rPr>
        <w:t>this</w:t>
      </w:r>
      <w:r>
        <w:rPr>
          <w:spacing w:val="-10"/>
          <w:sz w:val="20"/>
        </w:rPr>
        <w:t> </w:t>
      </w:r>
      <w:r>
        <w:rPr>
          <w:sz w:val="20"/>
        </w:rPr>
        <w:t>data</w:t>
      </w:r>
      <w:r>
        <w:rPr>
          <w:spacing w:val="-10"/>
          <w:sz w:val="20"/>
        </w:rPr>
        <w:t> </w:t>
      </w:r>
      <w:r>
        <w:rPr>
          <w:sz w:val="20"/>
        </w:rPr>
        <w:t>was</w:t>
      </w:r>
      <w:r>
        <w:rPr>
          <w:spacing w:val="-10"/>
          <w:sz w:val="20"/>
        </w:rPr>
        <w:t> </w:t>
      </w:r>
      <w:r>
        <w:rPr>
          <w:sz w:val="20"/>
        </w:rPr>
        <w:t>supported</w:t>
      </w:r>
      <w:r>
        <w:rPr>
          <w:spacing w:val="-10"/>
          <w:sz w:val="20"/>
        </w:rPr>
        <w:t> </w:t>
      </w:r>
      <w:r>
        <w:rPr>
          <w:spacing w:val="-3"/>
          <w:sz w:val="20"/>
        </w:rPr>
        <w:t>by</w:t>
      </w:r>
      <w:r>
        <w:rPr>
          <w:spacing w:val="-10"/>
          <w:sz w:val="20"/>
        </w:rPr>
        <w:t> </w:t>
      </w:r>
      <w:r>
        <w:rPr>
          <w:sz w:val="20"/>
        </w:rPr>
        <w:t>the</w:t>
      </w:r>
      <w:r>
        <w:rPr>
          <w:spacing w:val="-10"/>
          <w:sz w:val="20"/>
        </w:rPr>
        <w:t> </w:t>
      </w:r>
      <w:r>
        <w:rPr>
          <w:sz w:val="20"/>
        </w:rPr>
        <w:t>Castan</w:t>
      </w:r>
      <w:r>
        <w:rPr>
          <w:spacing w:val="-9"/>
          <w:sz w:val="20"/>
        </w:rPr>
        <w:t> </w:t>
      </w:r>
      <w:r>
        <w:rPr>
          <w:spacing w:val="-3"/>
          <w:sz w:val="20"/>
        </w:rPr>
        <w:t>Centre,</w:t>
      </w:r>
      <w:r>
        <w:rPr>
          <w:spacing w:val="-10"/>
          <w:sz w:val="20"/>
        </w:rPr>
        <w:t> </w:t>
      </w:r>
      <w:r>
        <w:rPr>
          <w:sz w:val="20"/>
        </w:rPr>
        <w:t>which </w:t>
      </w:r>
      <w:r>
        <w:rPr>
          <w:spacing w:val="-3"/>
          <w:sz w:val="20"/>
        </w:rPr>
        <w:t>referenced </w:t>
      </w:r>
      <w:r>
        <w:rPr>
          <w:sz w:val="20"/>
        </w:rPr>
        <w:t>the </w:t>
      </w:r>
      <w:r>
        <w:rPr>
          <w:i/>
          <w:sz w:val="20"/>
        </w:rPr>
        <w:t>International Principles and Guidelines on Access </w:t>
      </w:r>
      <w:r>
        <w:rPr>
          <w:i/>
          <w:spacing w:val="-3"/>
          <w:sz w:val="20"/>
        </w:rPr>
        <w:t>to </w:t>
      </w:r>
      <w:r>
        <w:rPr>
          <w:i/>
          <w:sz w:val="20"/>
        </w:rPr>
        <w:t>Justice </w:t>
      </w:r>
      <w:r>
        <w:rPr>
          <w:i/>
          <w:spacing w:val="-3"/>
          <w:sz w:val="20"/>
        </w:rPr>
        <w:t>for </w:t>
      </w:r>
      <w:r>
        <w:rPr>
          <w:i/>
          <w:sz w:val="20"/>
        </w:rPr>
        <w:t>Persons </w:t>
      </w:r>
      <w:r>
        <w:rPr>
          <w:i/>
          <w:spacing w:val="-3"/>
          <w:sz w:val="20"/>
        </w:rPr>
        <w:t>with </w:t>
      </w:r>
      <w:r>
        <w:rPr>
          <w:i/>
          <w:sz w:val="20"/>
        </w:rPr>
        <w:t>Disabilities </w:t>
      </w:r>
      <w:r>
        <w:rPr>
          <w:sz w:val="20"/>
        </w:rPr>
        <w:t>(see </w:t>
      </w:r>
      <w:r>
        <w:rPr>
          <w:spacing w:val="-2"/>
          <w:sz w:val="20"/>
        </w:rPr>
        <w:t>Chapter </w:t>
      </w:r>
      <w:r>
        <w:rPr>
          <w:sz w:val="20"/>
        </w:rPr>
        <w:t>6).</w:t>
      </w:r>
      <w:r>
        <w:rPr>
          <w:position w:val="7"/>
          <w:sz w:val="11"/>
        </w:rPr>
        <w:t>24 </w:t>
      </w:r>
      <w:r>
        <w:rPr>
          <w:sz w:val="20"/>
        </w:rPr>
        <w:t>Principle </w:t>
      </w:r>
      <w:r>
        <w:rPr>
          <w:spacing w:val="-7"/>
          <w:sz w:val="20"/>
        </w:rPr>
        <w:t>7.1 </w:t>
      </w:r>
      <w:r>
        <w:rPr>
          <w:spacing w:val="-3"/>
          <w:sz w:val="20"/>
        </w:rPr>
        <w:t>requires </w:t>
      </w:r>
      <w:r>
        <w:rPr>
          <w:sz w:val="20"/>
        </w:rPr>
        <w:t>states to ensure that persons with</w:t>
      </w:r>
      <w:r>
        <w:rPr>
          <w:spacing w:val="-12"/>
          <w:sz w:val="20"/>
        </w:rPr>
        <w:t> </w:t>
      </w:r>
      <w:r>
        <w:rPr>
          <w:sz w:val="20"/>
        </w:rPr>
        <w:t>disabilities</w:t>
      </w:r>
      <w:r>
        <w:rPr>
          <w:spacing w:val="-11"/>
          <w:sz w:val="20"/>
        </w:rPr>
        <w:t> </w:t>
      </w:r>
      <w:r>
        <w:rPr>
          <w:spacing w:val="-3"/>
          <w:sz w:val="20"/>
        </w:rPr>
        <w:t>are</w:t>
      </w:r>
      <w:r>
        <w:rPr>
          <w:spacing w:val="-11"/>
          <w:sz w:val="20"/>
        </w:rPr>
        <w:t> </w:t>
      </w:r>
      <w:r>
        <w:rPr>
          <w:sz w:val="20"/>
        </w:rPr>
        <w:t>able</w:t>
      </w:r>
      <w:r>
        <w:rPr>
          <w:spacing w:val="-12"/>
          <w:sz w:val="20"/>
        </w:rPr>
        <w:t> </w:t>
      </w:r>
      <w:r>
        <w:rPr>
          <w:sz w:val="20"/>
        </w:rPr>
        <w:t>to</w:t>
      </w:r>
      <w:r>
        <w:rPr>
          <w:spacing w:val="-11"/>
          <w:sz w:val="20"/>
        </w:rPr>
        <w:t> </w:t>
      </w:r>
      <w:r>
        <w:rPr>
          <w:sz w:val="20"/>
        </w:rPr>
        <w:t>act</w:t>
      </w:r>
      <w:r>
        <w:rPr>
          <w:spacing w:val="-11"/>
          <w:sz w:val="20"/>
        </w:rPr>
        <w:t> </w:t>
      </w:r>
      <w:r>
        <w:rPr>
          <w:sz w:val="20"/>
        </w:rPr>
        <w:t>as</w:t>
      </w:r>
      <w:r>
        <w:rPr>
          <w:spacing w:val="-12"/>
          <w:sz w:val="20"/>
        </w:rPr>
        <w:t> </w:t>
      </w:r>
      <w:r>
        <w:rPr>
          <w:sz w:val="20"/>
        </w:rPr>
        <w:t>jurors</w:t>
      </w:r>
      <w:r>
        <w:rPr>
          <w:spacing w:val="-11"/>
          <w:sz w:val="20"/>
        </w:rPr>
        <w:t> </w:t>
      </w:r>
      <w:r>
        <w:rPr>
          <w:sz w:val="20"/>
        </w:rPr>
        <w:t>without</w:t>
      </w:r>
      <w:r>
        <w:rPr>
          <w:spacing w:val="-11"/>
          <w:sz w:val="20"/>
        </w:rPr>
        <w:t> </w:t>
      </w:r>
      <w:r>
        <w:rPr>
          <w:sz w:val="20"/>
        </w:rPr>
        <w:t>discrimination.</w:t>
      </w:r>
      <w:r>
        <w:rPr>
          <w:spacing w:val="-12"/>
          <w:sz w:val="20"/>
        </w:rPr>
        <w:t> </w:t>
      </w:r>
      <w:r>
        <w:rPr>
          <w:sz w:val="20"/>
        </w:rPr>
        <w:t>Principle</w:t>
      </w:r>
      <w:r>
        <w:rPr>
          <w:spacing w:val="-11"/>
          <w:sz w:val="20"/>
        </w:rPr>
        <w:t> </w:t>
      </w:r>
      <w:r>
        <w:rPr>
          <w:spacing w:val="-5"/>
          <w:sz w:val="20"/>
        </w:rPr>
        <w:t>7.2(e)</w:t>
      </w:r>
      <w:r>
        <w:rPr>
          <w:spacing w:val="-11"/>
          <w:sz w:val="20"/>
        </w:rPr>
        <w:t> </w:t>
      </w:r>
      <w:r>
        <w:rPr>
          <w:spacing w:val="-3"/>
          <w:sz w:val="20"/>
        </w:rPr>
        <w:t>requires </w:t>
      </w:r>
      <w:r>
        <w:rPr>
          <w:sz w:val="20"/>
        </w:rPr>
        <w:t>governments and courts</w:t>
      </w:r>
      <w:r>
        <w:rPr>
          <w:spacing w:val="-13"/>
          <w:sz w:val="20"/>
        </w:rPr>
        <w:t> </w:t>
      </w:r>
      <w:r>
        <w:rPr>
          <w:spacing w:val="-3"/>
          <w:sz w:val="20"/>
        </w:rPr>
        <w:t>to:</w:t>
      </w:r>
    </w:p>
    <w:p>
      <w:pPr>
        <w:spacing w:line="208" w:lineRule="auto" w:before="124"/>
        <w:ind w:left="2157" w:right="1720" w:firstLine="0"/>
        <w:jc w:val="both"/>
        <w:rPr>
          <w:sz w:val="11"/>
        </w:rPr>
      </w:pPr>
      <w:r>
        <w:rPr>
          <w:sz w:val="19"/>
        </w:rPr>
        <w:t>Collect disaggregated data on the participation of persons with disabilities in the justice system and, using that data, develop and implement strategies to reform policies, practices and laws to ensure equal access to justice.</w:t>
      </w:r>
      <w:r>
        <w:rPr>
          <w:position w:val="6"/>
          <w:sz w:val="11"/>
        </w:rPr>
        <w:t>25</w:t>
      </w:r>
    </w:p>
    <w:p>
      <w:pPr>
        <w:pStyle w:val="ListParagraph"/>
        <w:numPr>
          <w:ilvl w:val="1"/>
          <w:numId w:val="12"/>
        </w:numPr>
        <w:tabs>
          <w:tab w:pos="1761" w:val="left" w:leader="none"/>
          <w:tab w:pos="1762" w:val="left" w:leader="none"/>
        </w:tabs>
        <w:spacing w:line="206" w:lineRule="auto" w:before="124" w:after="0"/>
        <w:ind w:left="1761" w:right="1295" w:hanging="794"/>
        <w:jc w:val="left"/>
        <w:rPr>
          <w:sz w:val="11"/>
        </w:rPr>
      </w:pPr>
      <w:r>
        <w:rPr>
          <w:spacing w:val="-6"/>
          <w:sz w:val="20"/>
        </w:rPr>
        <w:t>We </w:t>
      </w:r>
      <w:r>
        <w:rPr>
          <w:spacing w:val="-4"/>
          <w:sz w:val="20"/>
        </w:rPr>
        <w:t>were </w:t>
      </w:r>
      <w:r>
        <w:rPr>
          <w:spacing w:val="-3"/>
          <w:sz w:val="20"/>
        </w:rPr>
        <w:t>told by </w:t>
      </w:r>
      <w:r>
        <w:rPr>
          <w:sz w:val="20"/>
        </w:rPr>
        <w:t>the Jury Commissioner, New </w:t>
      </w:r>
      <w:r>
        <w:rPr>
          <w:spacing w:val="-5"/>
          <w:sz w:val="20"/>
        </w:rPr>
        <w:t>York </w:t>
      </w:r>
      <w:r>
        <w:rPr>
          <w:spacing w:val="-3"/>
          <w:sz w:val="20"/>
        </w:rPr>
        <w:t>State </w:t>
      </w:r>
      <w:r>
        <w:rPr>
          <w:sz w:val="20"/>
        </w:rPr>
        <w:t>Courts in </w:t>
      </w:r>
      <w:r>
        <w:rPr>
          <w:spacing w:val="-3"/>
          <w:sz w:val="20"/>
        </w:rPr>
        <w:t>Rochester, </w:t>
      </w:r>
      <w:r>
        <w:rPr>
          <w:sz w:val="20"/>
        </w:rPr>
        <w:t>Monroe </w:t>
      </w:r>
      <w:r>
        <w:rPr>
          <w:spacing w:val="-3"/>
          <w:sz w:val="20"/>
        </w:rPr>
        <w:t>County,</w:t>
      </w:r>
      <w:r>
        <w:rPr>
          <w:spacing w:val="-14"/>
          <w:sz w:val="20"/>
        </w:rPr>
        <w:t> </w:t>
      </w:r>
      <w:r>
        <w:rPr>
          <w:sz w:val="20"/>
        </w:rPr>
        <w:t>United</w:t>
      </w:r>
      <w:r>
        <w:rPr>
          <w:spacing w:val="-13"/>
          <w:sz w:val="20"/>
        </w:rPr>
        <w:t> </w:t>
      </w:r>
      <w:r>
        <w:rPr>
          <w:sz w:val="20"/>
        </w:rPr>
        <w:t>States,</w:t>
      </w:r>
      <w:r>
        <w:rPr>
          <w:spacing w:val="-13"/>
          <w:sz w:val="20"/>
        </w:rPr>
        <w:t> </w:t>
      </w:r>
      <w:r>
        <w:rPr>
          <w:sz w:val="20"/>
        </w:rPr>
        <w:t>that</w:t>
      </w:r>
      <w:r>
        <w:rPr>
          <w:spacing w:val="-13"/>
          <w:sz w:val="20"/>
        </w:rPr>
        <w:t> </w:t>
      </w:r>
      <w:r>
        <w:rPr>
          <w:sz w:val="20"/>
        </w:rPr>
        <w:t>his</w:t>
      </w:r>
      <w:r>
        <w:rPr>
          <w:spacing w:val="-13"/>
          <w:sz w:val="20"/>
        </w:rPr>
        <w:t> </w:t>
      </w:r>
      <w:r>
        <w:rPr>
          <w:sz w:val="20"/>
        </w:rPr>
        <w:t>office</w:t>
      </w:r>
      <w:r>
        <w:rPr>
          <w:spacing w:val="-13"/>
          <w:sz w:val="20"/>
        </w:rPr>
        <w:t> </w:t>
      </w:r>
      <w:r>
        <w:rPr>
          <w:sz w:val="20"/>
        </w:rPr>
        <w:t>is</w:t>
      </w:r>
      <w:r>
        <w:rPr>
          <w:spacing w:val="-13"/>
          <w:sz w:val="20"/>
        </w:rPr>
        <w:t> </w:t>
      </w:r>
      <w:r>
        <w:rPr>
          <w:sz w:val="20"/>
        </w:rPr>
        <w:t>‘trying</w:t>
      </w:r>
      <w:r>
        <w:rPr>
          <w:spacing w:val="-14"/>
          <w:sz w:val="20"/>
        </w:rPr>
        <w:t> </w:t>
      </w:r>
      <w:r>
        <w:rPr>
          <w:sz w:val="20"/>
        </w:rPr>
        <w:t>to</w:t>
      </w:r>
      <w:r>
        <w:rPr>
          <w:spacing w:val="-13"/>
          <w:sz w:val="20"/>
        </w:rPr>
        <w:t> </w:t>
      </w:r>
      <w:r>
        <w:rPr>
          <w:spacing w:val="-4"/>
          <w:sz w:val="20"/>
        </w:rPr>
        <w:t>improve</w:t>
      </w:r>
      <w:r>
        <w:rPr>
          <w:spacing w:val="-13"/>
          <w:sz w:val="20"/>
        </w:rPr>
        <w:t> </w:t>
      </w:r>
      <w:r>
        <w:rPr>
          <w:sz w:val="20"/>
        </w:rPr>
        <w:t>data</w:t>
      </w:r>
      <w:r>
        <w:rPr>
          <w:spacing w:val="-13"/>
          <w:sz w:val="20"/>
        </w:rPr>
        <w:t> </w:t>
      </w:r>
      <w:r>
        <w:rPr>
          <w:sz w:val="20"/>
        </w:rPr>
        <w:t>tracking</w:t>
      </w:r>
      <w:r>
        <w:rPr>
          <w:spacing w:val="-13"/>
          <w:sz w:val="20"/>
        </w:rPr>
        <w:t> </w:t>
      </w:r>
      <w:r>
        <w:rPr>
          <w:sz w:val="20"/>
        </w:rPr>
        <w:t>so</w:t>
      </w:r>
      <w:r>
        <w:rPr>
          <w:spacing w:val="-13"/>
          <w:sz w:val="20"/>
        </w:rPr>
        <w:t> </w:t>
      </w:r>
      <w:r>
        <w:rPr>
          <w:sz w:val="20"/>
        </w:rPr>
        <w:t>that</w:t>
      </w:r>
      <w:r>
        <w:rPr>
          <w:spacing w:val="-13"/>
          <w:sz w:val="20"/>
        </w:rPr>
        <w:t> </w:t>
      </w:r>
      <w:r>
        <w:rPr>
          <w:sz w:val="20"/>
        </w:rPr>
        <w:t>the</w:t>
      </w:r>
      <w:r>
        <w:rPr>
          <w:spacing w:val="-14"/>
          <w:sz w:val="20"/>
        </w:rPr>
        <w:t> </w:t>
      </w:r>
      <w:r>
        <w:rPr>
          <w:sz w:val="20"/>
        </w:rPr>
        <w:t>office </w:t>
      </w:r>
      <w:r>
        <w:rPr>
          <w:spacing w:val="-3"/>
          <w:sz w:val="20"/>
        </w:rPr>
        <w:t>records how many </w:t>
      </w:r>
      <w:r>
        <w:rPr>
          <w:sz w:val="20"/>
        </w:rPr>
        <w:t>people serve with</w:t>
      </w:r>
      <w:r>
        <w:rPr>
          <w:spacing w:val="-17"/>
          <w:sz w:val="20"/>
        </w:rPr>
        <w:t> </w:t>
      </w:r>
      <w:r>
        <w:rPr>
          <w:sz w:val="20"/>
        </w:rPr>
        <w:t>supports’.</w:t>
      </w:r>
      <w:r>
        <w:rPr>
          <w:position w:val="7"/>
          <w:sz w:val="11"/>
        </w:rPr>
        <w:t>26</w:t>
      </w:r>
    </w:p>
    <w:p>
      <w:pPr>
        <w:pStyle w:val="BodyText"/>
        <w:spacing w:before="7"/>
        <w:rPr>
          <w:sz w:val="16"/>
        </w:rPr>
      </w:pPr>
    </w:p>
    <w:p>
      <w:pPr>
        <w:spacing w:before="0"/>
        <w:ind w:left="967" w:right="0" w:firstLine="0"/>
        <w:jc w:val="left"/>
        <w:rPr>
          <w:rFonts w:ascii="Raleway ExtraBold"/>
          <w:b/>
          <w:sz w:val="28"/>
        </w:rPr>
      </w:pPr>
      <w:r>
        <w:rPr>
          <w:rFonts w:ascii="Raleway ExtraBold"/>
          <w:b/>
          <w:color w:val="37617A"/>
          <w:sz w:val="28"/>
        </w:rPr>
        <w:t>Collecting and publishing data about the operation of new laws</w:t>
      </w:r>
    </w:p>
    <w:p>
      <w:pPr>
        <w:pStyle w:val="ListParagraph"/>
        <w:numPr>
          <w:ilvl w:val="1"/>
          <w:numId w:val="12"/>
        </w:numPr>
        <w:tabs>
          <w:tab w:pos="1761" w:val="left" w:leader="none"/>
          <w:tab w:pos="1762" w:val="left" w:leader="none"/>
        </w:tabs>
        <w:spacing w:line="206" w:lineRule="auto" w:before="146" w:after="0"/>
        <w:ind w:left="1761" w:right="1950" w:hanging="794"/>
        <w:jc w:val="left"/>
        <w:rPr>
          <w:sz w:val="20"/>
        </w:rPr>
      </w:pPr>
      <w:r>
        <w:rPr>
          <w:sz w:val="20"/>
        </w:rPr>
        <w:t>Juries Victoria is best placed to </w:t>
      </w:r>
      <w:r>
        <w:rPr>
          <w:spacing w:val="-3"/>
          <w:sz w:val="20"/>
        </w:rPr>
        <w:t>coordinate </w:t>
      </w:r>
      <w:r>
        <w:rPr>
          <w:sz w:val="20"/>
        </w:rPr>
        <w:t>the collection of data about the implementation</w:t>
      </w:r>
      <w:r>
        <w:rPr>
          <w:spacing w:val="-12"/>
          <w:sz w:val="20"/>
        </w:rPr>
        <w:t> </w:t>
      </w:r>
      <w:r>
        <w:rPr>
          <w:sz w:val="20"/>
        </w:rPr>
        <w:t>of</w:t>
      </w:r>
      <w:r>
        <w:rPr>
          <w:spacing w:val="-11"/>
          <w:sz w:val="20"/>
        </w:rPr>
        <w:t> </w:t>
      </w:r>
      <w:r>
        <w:rPr>
          <w:spacing w:val="-3"/>
          <w:sz w:val="20"/>
        </w:rPr>
        <w:t>reform</w:t>
      </w:r>
      <w:r>
        <w:rPr>
          <w:spacing w:val="-11"/>
          <w:sz w:val="20"/>
        </w:rPr>
        <w:t> </w:t>
      </w:r>
      <w:r>
        <w:rPr>
          <w:sz w:val="20"/>
        </w:rPr>
        <w:t>because</w:t>
      </w:r>
      <w:r>
        <w:rPr>
          <w:spacing w:val="-12"/>
          <w:sz w:val="20"/>
        </w:rPr>
        <w:t> </w:t>
      </w:r>
      <w:r>
        <w:rPr>
          <w:sz w:val="20"/>
        </w:rPr>
        <w:t>it</w:t>
      </w:r>
      <w:r>
        <w:rPr>
          <w:spacing w:val="-11"/>
          <w:sz w:val="20"/>
        </w:rPr>
        <w:t> </w:t>
      </w:r>
      <w:r>
        <w:rPr>
          <w:sz w:val="20"/>
        </w:rPr>
        <w:t>is</w:t>
      </w:r>
      <w:r>
        <w:rPr>
          <w:spacing w:val="-11"/>
          <w:sz w:val="20"/>
        </w:rPr>
        <w:t> </w:t>
      </w:r>
      <w:r>
        <w:rPr>
          <w:sz w:val="20"/>
        </w:rPr>
        <w:t>responsible</w:t>
      </w:r>
      <w:r>
        <w:rPr>
          <w:spacing w:val="-12"/>
          <w:sz w:val="20"/>
        </w:rPr>
        <w:t> </w:t>
      </w:r>
      <w:r>
        <w:rPr>
          <w:sz w:val="20"/>
        </w:rPr>
        <w:t>for</w:t>
      </w:r>
      <w:r>
        <w:rPr>
          <w:spacing w:val="-11"/>
          <w:sz w:val="20"/>
        </w:rPr>
        <w:t> </w:t>
      </w:r>
      <w:r>
        <w:rPr>
          <w:sz w:val="20"/>
        </w:rPr>
        <w:t>the</w:t>
      </w:r>
      <w:r>
        <w:rPr>
          <w:spacing w:val="-11"/>
          <w:sz w:val="20"/>
        </w:rPr>
        <w:t> </w:t>
      </w:r>
      <w:r>
        <w:rPr>
          <w:sz w:val="20"/>
        </w:rPr>
        <w:t>administration</w:t>
      </w:r>
      <w:r>
        <w:rPr>
          <w:spacing w:val="-11"/>
          <w:sz w:val="20"/>
        </w:rPr>
        <w:t> </w:t>
      </w:r>
      <w:r>
        <w:rPr>
          <w:sz w:val="20"/>
        </w:rPr>
        <w:t>of</w:t>
      </w:r>
      <w:r>
        <w:rPr>
          <w:spacing w:val="-12"/>
          <w:sz w:val="20"/>
        </w:rPr>
        <w:t> </w:t>
      </w:r>
      <w:r>
        <w:rPr>
          <w:sz w:val="20"/>
        </w:rPr>
        <w:t>the Victorian</w:t>
      </w:r>
      <w:r>
        <w:rPr>
          <w:spacing w:val="-6"/>
          <w:sz w:val="20"/>
        </w:rPr>
        <w:t> </w:t>
      </w:r>
      <w:r>
        <w:rPr>
          <w:sz w:val="20"/>
        </w:rPr>
        <w:t>jury</w:t>
      </w:r>
      <w:r>
        <w:rPr>
          <w:spacing w:val="-5"/>
          <w:sz w:val="20"/>
        </w:rPr>
        <w:t> </w:t>
      </w:r>
      <w:r>
        <w:rPr>
          <w:sz w:val="20"/>
        </w:rPr>
        <w:t>system</w:t>
      </w:r>
      <w:r>
        <w:rPr>
          <w:spacing w:val="-6"/>
          <w:sz w:val="20"/>
        </w:rPr>
        <w:t> </w:t>
      </w:r>
      <w:r>
        <w:rPr>
          <w:sz w:val="20"/>
        </w:rPr>
        <w:t>and</w:t>
      </w:r>
      <w:r>
        <w:rPr>
          <w:spacing w:val="-5"/>
          <w:sz w:val="20"/>
        </w:rPr>
        <w:t> </w:t>
      </w:r>
      <w:r>
        <w:rPr>
          <w:sz w:val="20"/>
        </w:rPr>
        <w:t>is</w:t>
      </w:r>
      <w:r>
        <w:rPr>
          <w:spacing w:val="-6"/>
          <w:sz w:val="20"/>
        </w:rPr>
        <w:t> </w:t>
      </w:r>
      <w:r>
        <w:rPr>
          <w:sz w:val="20"/>
        </w:rPr>
        <w:t>in</w:t>
      </w:r>
      <w:r>
        <w:rPr>
          <w:spacing w:val="-5"/>
          <w:sz w:val="20"/>
        </w:rPr>
        <w:t> </w:t>
      </w:r>
      <w:r>
        <w:rPr>
          <w:sz w:val="20"/>
        </w:rPr>
        <w:t>regular</w:t>
      </w:r>
      <w:r>
        <w:rPr>
          <w:spacing w:val="-5"/>
          <w:sz w:val="20"/>
        </w:rPr>
        <w:t> </w:t>
      </w:r>
      <w:r>
        <w:rPr>
          <w:sz w:val="20"/>
        </w:rPr>
        <w:t>contact</w:t>
      </w:r>
      <w:r>
        <w:rPr>
          <w:spacing w:val="-6"/>
          <w:sz w:val="20"/>
        </w:rPr>
        <w:t> </w:t>
      </w:r>
      <w:r>
        <w:rPr>
          <w:sz w:val="20"/>
        </w:rPr>
        <w:t>with</w:t>
      </w:r>
      <w:r>
        <w:rPr>
          <w:spacing w:val="-5"/>
          <w:sz w:val="20"/>
        </w:rPr>
        <w:t> </w:t>
      </w:r>
      <w:r>
        <w:rPr>
          <w:sz w:val="20"/>
        </w:rPr>
        <w:t>jurors.</w:t>
      </w:r>
    </w:p>
    <w:p>
      <w:pPr>
        <w:pStyle w:val="ListParagraph"/>
        <w:numPr>
          <w:ilvl w:val="1"/>
          <w:numId w:val="12"/>
        </w:numPr>
        <w:tabs>
          <w:tab w:pos="1761" w:val="left" w:leader="none"/>
          <w:tab w:pos="1762" w:val="left" w:leader="none"/>
        </w:tabs>
        <w:spacing w:line="206" w:lineRule="auto" w:before="124" w:after="0"/>
        <w:ind w:left="1761" w:right="1303" w:hanging="794"/>
        <w:jc w:val="left"/>
        <w:rPr>
          <w:sz w:val="20"/>
        </w:rPr>
      </w:pPr>
      <w:r>
        <w:rPr>
          <w:sz w:val="20"/>
        </w:rPr>
        <w:t>Juries</w:t>
      </w:r>
      <w:r>
        <w:rPr>
          <w:spacing w:val="-14"/>
          <w:sz w:val="20"/>
        </w:rPr>
        <w:t> </w:t>
      </w:r>
      <w:r>
        <w:rPr>
          <w:sz w:val="20"/>
        </w:rPr>
        <w:t>Victoria</w:t>
      </w:r>
      <w:r>
        <w:rPr>
          <w:spacing w:val="-14"/>
          <w:sz w:val="20"/>
        </w:rPr>
        <w:t> </w:t>
      </w:r>
      <w:r>
        <w:rPr>
          <w:sz w:val="20"/>
        </w:rPr>
        <w:t>includes</w:t>
      </w:r>
      <w:r>
        <w:rPr>
          <w:spacing w:val="-14"/>
          <w:sz w:val="20"/>
        </w:rPr>
        <w:t> </w:t>
      </w:r>
      <w:r>
        <w:rPr>
          <w:sz w:val="20"/>
        </w:rPr>
        <w:t>some</w:t>
      </w:r>
      <w:r>
        <w:rPr>
          <w:spacing w:val="-14"/>
          <w:sz w:val="20"/>
        </w:rPr>
        <w:t> </w:t>
      </w:r>
      <w:r>
        <w:rPr>
          <w:sz w:val="20"/>
        </w:rPr>
        <w:t>information</w:t>
      </w:r>
      <w:r>
        <w:rPr>
          <w:spacing w:val="-14"/>
          <w:sz w:val="20"/>
        </w:rPr>
        <w:t> </w:t>
      </w:r>
      <w:r>
        <w:rPr>
          <w:sz w:val="20"/>
        </w:rPr>
        <w:t>about</w:t>
      </w:r>
      <w:r>
        <w:rPr>
          <w:spacing w:val="-14"/>
          <w:sz w:val="20"/>
        </w:rPr>
        <w:t> </w:t>
      </w:r>
      <w:r>
        <w:rPr>
          <w:sz w:val="20"/>
        </w:rPr>
        <w:t>Melbourne</w:t>
      </w:r>
      <w:r>
        <w:rPr>
          <w:spacing w:val="-14"/>
          <w:sz w:val="20"/>
        </w:rPr>
        <w:t> </w:t>
      </w:r>
      <w:r>
        <w:rPr>
          <w:sz w:val="20"/>
        </w:rPr>
        <w:t>and</w:t>
      </w:r>
      <w:r>
        <w:rPr>
          <w:spacing w:val="-14"/>
          <w:sz w:val="20"/>
        </w:rPr>
        <w:t> </w:t>
      </w:r>
      <w:r>
        <w:rPr>
          <w:sz w:val="20"/>
        </w:rPr>
        <w:t>regional</w:t>
      </w:r>
      <w:r>
        <w:rPr>
          <w:spacing w:val="-14"/>
          <w:sz w:val="20"/>
        </w:rPr>
        <w:t> </w:t>
      </w:r>
      <w:r>
        <w:rPr>
          <w:sz w:val="20"/>
        </w:rPr>
        <w:t>Victoria</w:t>
      </w:r>
      <w:r>
        <w:rPr>
          <w:spacing w:val="-14"/>
          <w:sz w:val="20"/>
        </w:rPr>
        <w:t> </w:t>
      </w:r>
      <w:r>
        <w:rPr>
          <w:sz w:val="20"/>
        </w:rPr>
        <w:t>in</w:t>
      </w:r>
      <w:r>
        <w:rPr>
          <w:spacing w:val="-14"/>
          <w:sz w:val="20"/>
        </w:rPr>
        <w:t> </w:t>
      </w:r>
      <w:r>
        <w:rPr>
          <w:sz w:val="20"/>
        </w:rPr>
        <w:t>the Supreme Court annual report,</w:t>
      </w:r>
      <w:r>
        <w:rPr>
          <w:spacing w:val="-19"/>
          <w:sz w:val="20"/>
        </w:rPr>
        <w:t> </w:t>
      </w:r>
      <w:r>
        <w:rPr>
          <w:sz w:val="20"/>
        </w:rPr>
        <w:t>regarding:</w:t>
      </w:r>
    </w:p>
    <w:p>
      <w:pPr>
        <w:pStyle w:val="ListParagraph"/>
        <w:numPr>
          <w:ilvl w:val="2"/>
          <w:numId w:val="12"/>
        </w:numPr>
        <w:tabs>
          <w:tab w:pos="2157" w:val="left" w:leader="none"/>
          <w:tab w:pos="2158" w:val="left" w:leader="none"/>
        </w:tabs>
        <w:spacing w:line="240" w:lineRule="auto" w:before="90" w:after="0"/>
        <w:ind w:left="2157" w:right="0" w:hanging="396"/>
        <w:jc w:val="left"/>
        <w:rPr>
          <w:sz w:val="20"/>
        </w:rPr>
      </w:pPr>
      <w:r>
        <w:rPr>
          <w:spacing w:val="-3"/>
          <w:sz w:val="20"/>
        </w:rPr>
        <w:t>how many </w:t>
      </w:r>
      <w:r>
        <w:rPr>
          <w:sz w:val="20"/>
        </w:rPr>
        <w:t>people </w:t>
      </w:r>
      <w:r>
        <w:rPr>
          <w:spacing w:val="-3"/>
          <w:sz w:val="20"/>
        </w:rPr>
        <w:t>are </w:t>
      </w:r>
      <w:r>
        <w:rPr>
          <w:sz w:val="20"/>
        </w:rPr>
        <w:t>randomly</w:t>
      </w:r>
      <w:r>
        <w:rPr>
          <w:spacing w:val="-13"/>
          <w:sz w:val="20"/>
        </w:rPr>
        <w:t> </w:t>
      </w:r>
      <w:r>
        <w:rPr>
          <w:sz w:val="20"/>
        </w:rPr>
        <w:t>selected</w:t>
      </w:r>
    </w:p>
    <w:p>
      <w:pPr>
        <w:pStyle w:val="ListParagraph"/>
        <w:numPr>
          <w:ilvl w:val="2"/>
          <w:numId w:val="12"/>
        </w:numPr>
        <w:tabs>
          <w:tab w:pos="2157" w:val="left" w:leader="none"/>
          <w:tab w:pos="2158" w:val="left" w:leader="none"/>
        </w:tabs>
        <w:spacing w:line="240" w:lineRule="auto" w:before="48" w:after="0"/>
        <w:ind w:left="2157" w:right="0" w:hanging="396"/>
        <w:jc w:val="left"/>
        <w:rPr>
          <w:sz w:val="20"/>
        </w:rPr>
      </w:pPr>
      <w:r>
        <w:rPr>
          <w:spacing w:val="-3"/>
          <w:sz w:val="20"/>
        </w:rPr>
        <w:t>how many </w:t>
      </w:r>
      <w:r>
        <w:rPr>
          <w:sz w:val="20"/>
        </w:rPr>
        <w:t>people </w:t>
      </w:r>
      <w:r>
        <w:rPr>
          <w:spacing w:val="-3"/>
          <w:sz w:val="20"/>
        </w:rPr>
        <w:t>are</w:t>
      </w:r>
      <w:r>
        <w:rPr>
          <w:spacing w:val="-11"/>
          <w:sz w:val="20"/>
        </w:rPr>
        <w:t> </w:t>
      </w:r>
      <w:r>
        <w:rPr>
          <w:sz w:val="20"/>
        </w:rPr>
        <w:t>summonsed</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the number of jury</w:t>
      </w:r>
      <w:r>
        <w:rPr>
          <w:spacing w:val="-16"/>
          <w:sz w:val="20"/>
        </w:rPr>
        <w:t> </w:t>
      </w:r>
      <w:r>
        <w:rPr>
          <w:sz w:val="20"/>
        </w:rPr>
        <w:t>trials.</w:t>
      </w:r>
      <w:r>
        <w:rPr>
          <w:position w:val="7"/>
          <w:sz w:val="11"/>
        </w:rPr>
        <w:t>27</w:t>
      </w:r>
    </w:p>
    <w:p>
      <w:pPr>
        <w:pStyle w:val="ListParagraph"/>
        <w:numPr>
          <w:ilvl w:val="1"/>
          <w:numId w:val="12"/>
        </w:numPr>
        <w:tabs>
          <w:tab w:pos="1761" w:val="left" w:leader="none"/>
          <w:tab w:pos="1762" w:val="left" w:leader="none"/>
        </w:tabs>
        <w:spacing w:line="206" w:lineRule="auto" w:before="80" w:after="0"/>
        <w:ind w:left="1761" w:right="1507" w:hanging="794"/>
        <w:jc w:val="left"/>
        <w:rPr>
          <w:sz w:val="20"/>
        </w:rPr>
      </w:pPr>
      <w:r>
        <w:rPr>
          <w:sz w:val="20"/>
        </w:rPr>
        <w:t>The</w:t>
      </w:r>
      <w:r>
        <w:rPr>
          <w:spacing w:val="-11"/>
          <w:sz w:val="20"/>
        </w:rPr>
        <w:t> </w:t>
      </w:r>
      <w:r>
        <w:rPr>
          <w:sz w:val="20"/>
        </w:rPr>
        <w:t>additional</w:t>
      </w:r>
      <w:r>
        <w:rPr>
          <w:spacing w:val="-11"/>
          <w:sz w:val="20"/>
        </w:rPr>
        <w:t> </w:t>
      </w:r>
      <w:r>
        <w:rPr>
          <w:sz w:val="20"/>
        </w:rPr>
        <w:t>information</w:t>
      </w:r>
      <w:r>
        <w:rPr>
          <w:spacing w:val="-11"/>
          <w:sz w:val="20"/>
        </w:rPr>
        <w:t> </w:t>
      </w:r>
      <w:r>
        <w:rPr>
          <w:sz w:val="20"/>
        </w:rPr>
        <w:t>set</w:t>
      </w:r>
      <w:r>
        <w:rPr>
          <w:spacing w:val="-11"/>
          <w:sz w:val="20"/>
        </w:rPr>
        <w:t> </w:t>
      </w:r>
      <w:r>
        <w:rPr>
          <w:sz w:val="20"/>
        </w:rPr>
        <w:t>out</w:t>
      </w:r>
      <w:r>
        <w:rPr>
          <w:spacing w:val="-11"/>
          <w:sz w:val="20"/>
        </w:rPr>
        <w:t> </w:t>
      </w:r>
      <w:r>
        <w:rPr>
          <w:sz w:val="20"/>
        </w:rPr>
        <w:t>in</w:t>
      </w:r>
      <w:r>
        <w:rPr>
          <w:spacing w:val="-11"/>
          <w:sz w:val="20"/>
        </w:rPr>
        <w:t> </w:t>
      </w:r>
      <w:r>
        <w:rPr>
          <w:spacing w:val="-6"/>
          <w:sz w:val="20"/>
        </w:rPr>
        <w:t>Table</w:t>
      </w:r>
      <w:r>
        <w:rPr>
          <w:spacing w:val="-11"/>
          <w:sz w:val="20"/>
        </w:rPr>
        <w:t> </w:t>
      </w:r>
      <w:r>
        <w:rPr>
          <w:sz w:val="20"/>
        </w:rPr>
        <w:t>1</w:t>
      </w:r>
      <w:r>
        <w:rPr>
          <w:spacing w:val="-11"/>
          <w:sz w:val="20"/>
        </w:rPr>
        <w:t> </w:t>
      </w:r>
      <w:r>
        <w:rPr>
          <w:sz w:val="20"/>
        </w:rPr>
        <w:t>should</w:t>
      </w:r>
      <w:r>
        <w:rPr>
          <w:spacing w:val="-11"/>
          <w:sz w:val="20"/>
        </w:rPr>
        <w:t> </w:t>
      </w:r>
      <w:r>
        <w:rPr>
          <w:sz w:val="20"/>
        </w:rPr>
        <w:t>be</w:t>
      </w:r>
      <w:r>
        <w:rPr>
          <w:spacing w:val="-10"/>
          <w:sz w:val="20"/>
        </w:rPr>
        <w:t> </w:t>
      </w:r>
      <w:r>
        <w:rPr>
          <w:sz w:val="20"/>
        </w:rPr>
        <w:t>collected</w:t>
      </w:r>
      <w:r>
        <w:rPr>
          <w:spacing w:val="-11"/>
          <w:sz w:val="20"/>
        </w:rPr>
        <w:t> </w:t>
      </w:r>
      <w:r>
        <w:rPr>
          <w:spacing w:val="-3"/>
          <w:sz w:val="20"/>
        </w:rPr>
        <w:t>by</w:t>
      </w:r>
      <w:r>
        <w:rPr>
          <w:spacing w:val="-11"/>
          <w:sz w:val="20"/>
        </w:rPr>
        <w:t> </w:t>
      </w:r>
      <w:r>
        <w:rPr>
          <w:sz w:val="20"/>
        </w:rPr>
        <w:t>Juries</w:t>
      </w:r>
      <w:r>
        <w:rPr>
          <w:spacing w:val="-11"/>
          <w:sz w:val="20"/>
        </w:rPr>
        <w:t> </w:t>
      </w:r>
      <w:r>
        <w:rPr>
          <w:sz w:val="20"/>
        </w:rPr>
        <w:t>Victoria</w:t>
      </w:r>
      <w:r>
        <w:rPr>
          <w:spacing w:val="-11"/>
          <w:sz w:val="20"/>
        </w:rPr>
        <w:t> </w:t>
      </w:r>
      <w:r>
        <w:rPr>
          <w:sz w:val="20"/>
        </w:rPr>
        <w:t>or the courts. It should be collated and </w:t>
      </w:r>
      <w:r>
        <w:rPr>
          <w:spacing w:val="-3"/>
          <w:sz w:val="20"/>
        </w:rPr>
        <w:t>analysed by </w:t>
      </w:r>
      <w:r>
        <w:rPr>
          <w:sz w:val="20"/>
        </w:rPr>
        <w:t>Juries Victoria and published with other data about jury selection and jury trials that already appears in the Supreme Court’s annual</w:t>
      </w:r>
      <w:r>
        <w:rPr>
          <w:spacing w:val="-9"/>
          <w:sz w:val="20"/>
        </w:rPr>
        <w:t> </w:t>
      </w:r>
      <w:r>
        <w:rPr>
          <w:sz w:val="20"/>
        </w:rPr>
        <w:t>report.</w:t>
      </w:r>
    </w:p>
    <w:p>
      <w:pPr>
        <w:pStyle w:val="ListParagraph"/>
        <w:numPr>
          <w:ilvl w:val="1"/>
          <w:numId w:val="12"/>
        </w:numPr>
        <w:tabs>
          <w:tab w:pos="1761" w:val="left" w:leader="none"/>
          <w:tab w:pos="1762" w:val="left" w:leader="none"/>
        </w:tabs>
        <w:spacing w:line="206" w:lineRule="auto" w:before="125" w:after="0"/>
        <w:ind w:left="1761" w:right="1659" w:hanging="794"/>
        <w:jc w:val="left"/>
        <w:rPr>
          <w:sz w:val="20"/>
        </w:rPr>
      </w:pPr>
      <w:r>
        <w:rPr>
          <w:sz w:val="20"/>
        </w:rPr>
        <w:t>This will ensure that information about the implementation of </w:t>
      </w:r>
      <w:r>
        <w:rPr>
          <w:spacing w:val="-3"/>
          <w:sz w:val="20"/>
        </w:rPr>
        <w:t>reforms </w:t>
      </w:r>
      <w:r>
        <w:rPr>
          <w:sz w:val="20"/>
        </w:rPr>
        <w:t>is in the public</w:t>
      </w:r>
      <w:r>
        <w:rPr>
          <w:spacing w:val="-11"/>
          <w:sz w:val="20"/>
        </w:rPr>
        <w:t> </w:t>
      </w:r>
      <w:r>
        <w:rPr>
          <w:sz w:val="20"/>
        </w:rPr>
        <w:t>domain,</w:t>
      </w:r>
      <w:r>
        <w:rPr>
          <w:spacing w:val="-11"/>
          <w:sz w:val="20"/>
        </w:rPr>
        <w:t> </w:t>
      </w:r>
      <w:r>
        <w:rPr>
          <w:sz w:val="20"/>
        </w:rPr>
        <w:t>enabling</w:t>
      </w:r>
      <w:r>
        <w:rPr>
          <w:spacing w:val="-10"/>
          <w:sz w:val="20"/>
        </w:rPr>
        <w:t> </w:t>
      </w:r>
      <w:r>
        <w:rPr>
          <w:sz w:val="20"/>
        </w:rPr>
        <w:t>the</w:t>
      </w:r>
      <w:r>
        <w:rPr>
          <w:spacing w:val="-11"/>
          <w:sz w:val="20"/>
        </w:rPr>
        <w:t> </w:t>
      </w:r>
      <w:r>
        <w:rPr>
          <w:sz w:val="20"/>
        </w:rPr>
        <w:t>community</w:t>
      </w:r>
      <w:r>
        <w:rPr>
          <w:spacing w:val="-11"/>
          <w:sz w:val="20"/>
        </w:rPr>
        <w:t> </w:t>
      </w:r>
      <w:r>
        <w:rPr>
          <w:sz w:val="20"/>
        </w:rPr>
        <w:t>to</w:t>
      </w:r>
      <w:r>
        <w:rPr>
          <w:spacing w:val="-10"/>
          <w:sz w:val="20"/>
        </w:rPr>
        <w:t> </w:t>
      </w:r>
      <w:r>
        <w:rPr>
          <w:sz w:val="20"/>
        </w:rPr>
        <w:t>campaign</w:t>
      </w:r>
      <w:r>
        <w:rPr>
          <w:spacing w:val="-11"/>
          <w:sz w:val="20"/>
        </w:rPr>
        <w:t> </w:t>
      </w:r>
      <w:r>
        <w:rPr>
          <w:sz w:val="20"/>
        </w:rPr>
        <w:t>for</w:t>
      </w:r>
      <w:r>
        <w:rPr>
          <w:spacing w:val="-10"/>
          <w:sz w:val="20"/>
        </w:rPr>
        <w:t> </w:t>
      </w:r>
      <w:r>
        <w:rPr>
          <w:sz w:val="20"/>
        </w:rPr>
        <w:t>further</w:t>
      </w:r>
      <w:r>
        <w:rPr>
          <w:spacing w:val="-11"/>
          <w:sz w:val="20"/>
        </w:rPr>
        <w:t> </w:t>
      </w:r>
      <w:r>
        <w:rPr>
          <w:sz w:val="20"/>
        </w:rPr>
        <w:t>change</w:t>
      </w:r>
      <w:r>
        <w:rPr>
          <w:spacing w:val="-11"/>
          <w:sz w:val="20"/>
        </w:rPr>
        <w:t> </w:t>
      </w:r>
      <w:r>
        <w:rPr>
          <w:sz w:val="20"/>
        </w:rPr>
        <w:t>if</w:t>
      </w:r>
      <w:r>
        <w:rPr>
          <w:spacing w:val="-10"/>
          <w:sz w:val="20"/>
        </w:rPr>
        <w:t> </w:t>
      </w:r>
      <w:r>
        <w:rPr>
          <w:sz w:val="20"/>
        </w:rPr>
        <w:t>needed. </w:t>
      </w:r>
      <w:r>
        <w:rPr>
          <w:spacing w:val="-4"/>
          <w:sz w:val="20"/>
        </w:rPr>
        <w:t>Transparency</w:t>
      </w:r>
      <w:r>
        <w:rPr>
          <w:spacing w:val="-7"/>
          <w:sz w:val="20"/>
        </w:rPr>
        <w:t> </w:t>
      </w:r>
      <w:r>
        <w:rPr>
          <w:sz w:val="20"/>
        </w:rPr>
        <w:t>will</w:t>
      </w:r>
      <w:r>
        <w:rPr>
          <w:spacing w:val="-6"/>
          <w:sz w:val="20"/>
        </w:rPr>
        <w:t> </w:t>
      </w:r>
      <w:r>
        <w:rPr>
          <w:sz w:val="20"/>
        </w:rPr>
        <w:t>assist</w:t>
      </w:r>
      <w:r>
        <w:rPr>
          <w:spacing w:val="-7"/>
          <w:sz w:val="20"/>
        </w:rPr>
        <w:t> </w:t>
      </w:r>
      <w:r>
        <w:rPr>
          <w:sz w:val="20"/>
        </w:rPr>
        <w:t>to</w:t>
      </w:r>
      <w:r>
        <w:rPr>
          <w:spacing w:val="-6"/>
          <w:sz w:val="20"/>
        </w:rPr>
        <w:t> </w:t>
      </w:r>
      <w:r>
        <w:rPr>
          <w:sz w:val="20"/>
        </w:rPr>
        <w:t>build</w:t>
      </w:r>
      <w:r>
        <w:rPr>
          <w:spacing w:val="-7"/>
          <w:sz w:val="20"/>
        </w:rPr>
        <w:t> </w:t>
      </w:r>
      <w:r>
        <w:rPr>
          <w:sz w:val="20"/>
        </w:rPr>
        <w:t>public</w:t>
      </w:r>
      <w:r>
        <w:rPr>
          <w:spacing w:val="-6"/>
          <w:sz w:val="20"/>
        </w:rPr>
        <w:t> </w:t>
      </w:r>
      <w:r>
        <w:rPr>
          <w:sz w:val="20"/>
        </w:rPr>
        <w:t>confidence</w:t>
      </w:r>
      <w:r>
        <w:rPr>
          <w:spacing w:val="-7"/>
          <w:sz w:val="20"/>
        </w:rPr>
        <w:t> </w:t>
      </w:r>
      <w:r>
        <w:rPr>
          <w:sz w:val="20"/>
        </w:rPr>
        <w:t>in</w:t>
      </w:r>
      <w:r>
        <w:rPr>
          <w:spacing w:val="-6"/>
          <w:sz w:val="20"/>
        </w:rPr>
        <w:t> </w:t>
      </w:r>
      <w:r>
        <w:rPr>
          <w:sz w:val="20"/>
        </w:rPr>
        <w:t>the</w:t>
      </w:r>
      <w:r>
        <w:rPr>
          <w:spacing w:val="-7"/>
          <w:sz w:val="20"/>
        </w:rPr>
        <w:t> </w:t>
      </w:r>
      <w:r>
        <w:rPr>
          <w:sz w:val="20"/>
        </w:rPr>
        <w:t>justice</w:t>
      </w:r>
      <w:r>
        <w:rPr>
          <w:spacing w:val="-6"/>
          <w:sz w:val="20"/>
        </w:rPr>
        <w:t> </w:t>
      </w:r>
      <w:r>
        <w:rPr>
          <w:sz w:val="20"/>
        </w:rPr>
        <w:t>system.</w:t>
      </w:r>
    </w:p>
    <w:p>
      <w:pPr>
        <w:pStyle w:val="ListParagraph"/>
        <w:numPr>
          <w:ilvl w:val="1"/>
          <w:numId w:val="12"/>
        </w:numPr>
        <w:tabs>
          <w:tab w:pos="1761" w:val="left" w:leader="none"/>
          <w:tab w:pos="1762" w:val="left" w:leader="none"/>
        </w:tabs>
        <w:spacing w:line="206" w:lineRule="auto" w:before="124" w:after="0"/>
        <w:ind w:left="1761" w:right="1294" w:hanging="794"/>
        <w:jc w:val="left"/>
        <w:rPr>
          <w:sz w:val="11"/>
        </w:rPr>
      </w:pPr>
      <w:r>
        <w:rPr>
          <w:sz w:val="20"/>
        </w:rPr>
        <w:t>Depending on the outcomes of data analysis, further legal or policy </w:t>
      </w:r>
      <w:r>
        <w:rPr>
          <w:spacing w:val="-3"/>
          <w:sz w:val="20"/>
        </w:rPr>
        <w:t>reforms may </w:t>
      </w:r>
      <w:r>
        <w:rPr>
          <w:sz w:val="20"/>
        </w:rPr>
        <w:t>be required. </w:t>
      </w:r>
      <w:r>
        <w:rPr>
          <w:spacing w:val="-3"/>
          <w:sz w:val="20"/>
        </w:rPr>
        <w:t>For example, </w:t>
      </w:r>
      <w:r>
        <w:rPr>
          <w:sz w:val="20"/>
        </w:rPr>
        <w:t>there </w:t>
      </w:r>
      <w:r>
        <w:rPr>
          <w:spacing w:val="-3"/>
          <w:sz w:val="20"/>
        </w:rPr>
        <w:t>may </w:t>
      </w:r>
      <w:r>
        <w:rPr>
          <w:sz w:val="20"/>
        </w:rPr>
        <w:t>be a need for measures to encourage Aboriginal people</w:t>
      </w:r>
      <w:r>
        <w:rPr>
          <w:spacing w:val="-13"/>
          <w:sz w:val="20"/>
        </w:rPr>
        <w:t> </w:t>
      </w:r>
      <w:r>
        <w:rPr>
          <w:spacing w:val="-3"/>
          <w:sz w:val="20"/>
        </w:rPr>
        <w:t>from</w:t>
      </w:r>
      <w:r>
        <w:rPr>
          <w:spacing w:val="-12"/>
          <w:sz w:val="20"/>
        </w:rPr>
        <w:t> </w:t>
      </w:r>
      <w:r>
        <w:rPr>
          <w:sz w:val="20"/>
        </w:rPr>
        <w:t>the</w:t>
      </w:r>
      <w:r>
        <w:rPr>
          <w:spacing w:val="-12"/>
          <w:sz w:val="20"/>
        </w:rPr>
        <w:t> </w:t>
      </w:r>
      <w:r>
        <w:rPr>
          <w:sz w:val="20"/>
        </w:rPr>
        <w:t>subject</w:t>
      </w:r>
      <w:r>
        <w:rPr>
          <w:spacing w:val="-12"/>
          <w:sz w:val="20"/>
        </w:rPr>
        <w:t> </w:t>
      </w:r>
      <w:r>
        <w:rPr>
          <w:sz w:val="20"/>
        </w:rPr>
        <w:t>groups</w:t>
      </w:r>
      <w:r>
        <w:rPr>
          <w:spacing w:val="-12"/>
          <w:sz w:val="20"/>
        </w:rPr>
        <w:t> </w:t>
      </w:r>
      <w:r>
        <w:rPr>
          <w:sz w:val="20"/>
        </w:rPr>
        <w:t>to</w:t>
      </w:r>
      <w:r>
        <w:rPr>
          <w:spacing w:val="-12"/>
          <w:sz w:val="20"/>
        </w:rPr>
        <w:t> </w:t>
      </w:r>
      <w:r>
        <w:rPr>
          <w:sz w:val="20"/>
        </w:rPr>
        <w:t>serve.</w:t>
      </w:r>
      <w:r>
        <w:rPr>
          <w:spacing w:val="-12"/>
          <w:sz w:val="20"/>
        </w:rPr>
        <w:t> </w:t>
      </w:r>
      <w:r>
        <w:rPr>
          <w:sz w:val="20"/>
        </w:rPr>
        <w:t>This</w:t>
      </w:r>
      <w:r>
        <w:rPr>
          <w:spacing w:val="-13"/>
          <w:sz w:val="20"/>
        </w:rPr>
        <w:t> </w:t>
      </w:r>
      <w:r>
        <w:rPr>
          <w:sz w:val="20"/>
        </w:rPr>
        <w:t>is</w:t>
      </w:r>
      <w:r>
        <w:rPr>
          <w:spacing w:val="-12"/>
          <w:sz w:val="20"/>
        </w:rPr>
        <w:t> </w:t>
      </w:r>
      <w:r>
        <w:rPr>
          <w:sz w:val="20"/>
        </w:rPr>
        <w:t>significant</w:t>
      </w:r>
      <w:r>
        <w:rPr>
          <w:spacing w:val="-12"/>
          <w:sz w:val="20"/>
        </w:rPr>
        <w:t> </w:t>
      </w:r>
      <w:r>
        <w:rPr>
          <w:sz w:val="20"/>
        </w:rPr>
        <w:t>given</w:t>
      </w:r>
      <w:r>
        <w:rPr>
          <w:spacing w:val="-12"/>
          <w:sz w:val="20"/>
        </w:rPr>
        <w:t> </w:t>
      </w:r>
      <w:r>
        <w:rPr>
          <w:sz w:val="20"/>
        </w:rPr>
        <w:t>the</w:t>
      </w:r>
      <w:r>
        <w:rPr>
          <w:spacing w:val="-12"/>
          <w:sz w:val="20"/>
        </w:rPr>
        <w:t> </w:t>
      </w:r>
      <w:r>
        <w:rPr>
          <w:sz w:val="20"/>
        </w:rPr>
        <w:t>additional</w:t>
      </w:r>
      <w:r>
        <w:rPr>
          <w:spacing w:val="-12"/>
          <w:sz w:val="20"/>
        </w:rPr>
        <w:t> </w:t>
      </w:r>
      <w:r>
        <w:rPr>
          <w:sz w:val="20"/>
        </w:rPr>
        <w:t>barriers Aboriginal</w:t>
      </w:r>
      <w:r>
        <w:rPr>
          <w:spacing w:val="-5"/>
          <w:sz w:val="20"/>
        </w:rPr>
        <w:t> </w:t>
      </w:r>
      <w:r>
        <w:rPr>
          <w:sz w:val="20"/>
        </w:rPr>
        <w:t>people</w:t>
      </w:r>
      <w:r>
        <w:rPr>
          <w:spacing w:val="-5"/>
          <w:sz w:val="20"/>
        </w:rPr>
        <w:t> </w:t>
      </w:r>
      <w:r>
        <w:rPr>
          <w:spacing w:val="-3"/>
          <w:sz w:val="20"/>
        </w:rPr>
        <w:t>may</w:t>
      </w:r>
      <w:r>
        <w:rPr>
          <w:spacing w:val="-5"/>
          <w:sz w:val="20"/>
        </w:rPr>
        <w:t> </w:t>
      </w:r>
      <w:r>
        <w:rPr>
          <w:spacing w:val="-3"/>
          <w:sz w:val="20"/>
        </w:rPr>
        <w:t>face,</w:t>
      </w:r>
      <w:r>
        <w:rPr>
          <w:spacing w:val="-4"/>
          <w:sz w:val="20"/>
        </w:rPr>
        <w:t> </w:t>
      </w:r>
      <w:r>
        <w:rPr>
          <w:sz w:val="20"/>
        </w:rPr>
        <w:t>as</w:t>
      </w:r>
      <w:r>
        <w:rPr>
          <w:spacing w:val="-5"/>
          <w:sz w:val="20"/>
        </w:rPr>
        <w:t> </w:t>
      </w:r>
      <w:r>
        <w:rPr>
          <w:sz w:val="20"/>
        </w:rPr>
        <w:t>discussed</w:t>
      </w:r>
      <w:r>
        <w:rPr>
          <w:spacing w:val="-5"/>
          <w:sz w:val="20"/>
        </w:rPr>
        <w:t> </w:t>
      </w:r>
      <w:r>
        <w:rPr>
          <w:sz w:val="20"/>
        </w:rPr>
        <w:t>in</w:t>
      </w:r>
      <w:r>
        <w:rPr>
          <w:spacing w:val="-4"/>
          <w:sz w:val="20"/>
        </w:rPr>
        <w:t> </w:t>
      </w:r>
      <w:r>
        <w:rPr>
          <w:sz w:val="20"/>
        </w:rPr>
        <w:t>detail</w:t>
      </w:r>
      <w:r>
        <w:rPr>
          <w:spacing w:val="-5"/>
          <w:sz w:val="20"/>
        </w:rPr>
        <w:t> </w:t>
      </w:r>
      <w:r>
        <w:rPr>
          <w:sz w:val="20"/>
        </w:rPr>
        <w:t>in</w:t>
      </w:r>
      <w:r>
        <w:rPr>
          <w:spacing w:val="-5"/>
          <w:sz w:val="20"/>
        </w:rPr>
        <w:t> </w:t>
      </w:r>
      <w:r>
        <w:rPr>
          <w:spacing w:val="-2"/>
          <w:sz w:val="20"/>
        </w:rPr>
        <w:t>Chapter</w:t>
      </w:r>
      <w:r>
        <w:rPr>
          <w:spacing w:val="-4"/>
          <w:sz w:val="20"/>
        </w:rPr>
        <w:t> </w:t>
      </w:r>
      <w:r>
        <w:rPr>
          <w:spacing w:val="2"/>
          <w:sz w:val="20"/>
        </w:rPr>
        <w:t>4.</w:t>
      </w:r>
      <w:r>
        <w:rPr>
          <w:spacing w:val="2"/>
          <w:position w:val="7"/>
          <w:sz w:val="11"/>
        </w:rPr>
        <w:t>28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4"/>
        </w:rPr>
      </w:pPr>
      <w:r>
        <w:rPr/>
        <w:pict>
          <v:line style="position:absolute;mso-position-horizontal-relative:page;mso-position-vertical-relative:paragraph;z-index:11864;mso-wrap-distance-left:0;mso-wrap-distance-right:0" from="79.370102pt,19.416340pt" to="515.905102pt,19.416340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rPr>
          <w:sz w:val="28"/>
        </w:rPr>
      </w:pPr>
    </w:p>
    <w:p>
      <w:pPr>
        <w:spacing w:before="237"/>
        <w:ind w:left="100" w:right="0" w:firstLine="0"/>
        <w:jc w:val="left"/>
        <w:rPr>
          <w:b/>
          <w:sz w:val="24"/>
        </w:rPr>
      </w:pPr>
      <w:r>
        <w:rPr>
          <w:b/>
          <w:color w:val="37617A"/>
          <w:sz w:val="24"/>
        </w:rPr>
        <w:t>224</w:t>
      </w:r>
    </w:p>
    <w:p>
      <w:pPr>
        <w:pStyle w:val="ListParagraph"/>
        <w:numPr>
          <w:ilvl w:val="0"/>
          <w:numId w:val="125"/>
        </w:numPr>
        <w:tabs>
          <w:tab w:pos="893" w:val="left" w:leader="none"/>
          <w:tab w:pos="894" w:val="left" w:leader="none"/>
        </w:tabs>
        <w:spacing w:line="213" w:lineRule="auto" w:before="38" w:after="0"/>
        <w:ind w:left="893" w:right="1293" w:hanging="793"/>
        <w:jc w:val="both"/>
        <w:rPr>
          <w:sz w:val="13"/>
        </w:rPr>
      </w:pPr>
      <w:r>
        <w:rPr>
          <w:spacing w:val="3"/>
          <w:w w:val="100"/>
          <w:sz w:val="13"/>
        </w:rPr>
        <w:br w:type="column"/>
      </w:r>
      <w:r>
        <w:rPr>
          <w:spacing w:val="2"/>
          <w:sz w:val="13"/>
        </w:rPr>
        <w:t>Submission </w:t>
      </w:r>
      <w:r>
        <w:rPr>
          <w:sz w:val="13"/>
        </w:rPr>
        <w:t>12 </w:t>
      </w:r>
      <w:r>
        <w:rPr>
          <w:spacing w:val="2"/>
          <w:sz w:val="13"/>
        </w:rPr>
        <w:t>(Castan </w:t>
      </w:r>
      <w:r>
        <w:rPr>
          <w:sz w:val="13"/>
        </w:rPr>
        <w:t>Centre for Human Rights Law, Monash University); United Nations, </w:t>
      </w:r>
      <w:r>
        <w:rPr>
          <w:i/>
          <w:sz w:val="13"/>
        </w:rPr>
        <w:t>International Principles and </w:t>
      </w:r>
      <w:r>
        <w:rPr>
          <w:i/>
          <w:spacing w:val="2"/>
          <w:sz w:val="13"/>
        </w:rPr>
        <w:t>Guidelines</w:t>
      </w:r>
      <w:r>
        <w:rPr>
          <w:i/>
          <w:spacing w:val="36"/>
          <w:sz w:val="13"/>
        </w:rPr>
        <w:t> </w:t>
      </w:r>
      <w:r>
        <w:rPr>
          <w:i/>
          <w:sz w:val="13"/>
        </w:rPr>
        <w:t>on Access to Justice for Persons with Disabilities </w:t>
      </w:r>
      <w:r>
        <w:rPr>
          <w:sz w:val="13"/>
        </w:rPr>
        <w:t>(Human Rights </w:t>
      </w:r>
      <w:r>
        <w:rPr>
          <w:spacing w:val="2"/>
          <w:sz w:val="13"/>
        </w:rPr>
        <w:t>Special </w:t>
      </w:r>
      <w:r>
        <w:rPr>
          <w:sz w:val="13"/>
        </w:rPr>
        <w:t>Procedures, </w:t>
      </w:r>
      <w:r>
        <w:rPr>
          <w:spacing w:val="2"/>
          <w:sz w:val="13"/>
        </w:rPr>
        <w:t>Special Rapporteur </w:t>
      </w:r>
      <w:r>
        <w:rPr>
          <w:sz w:val="13"/>
        </w:rPr>
        <w:t>on the Rights of Persons with </w:t>
      </w:r>
      <w:r>
        <w:rPr>
          <w:spacing w:val="2"/>
          <w:sz w:val="13"/>
        </w:rPr>
        <w:t>Disabilities, </w:t>
      </w:r>
      <w:r>
        <w:rPr>
          <w:sz w:val="13"/>
        </w:rPr>
        <w:t>August</w:t>
      </w:r>
      <w:r>
        <w:rPr>
          <w:spacing w:val="-2"/>
          <w:sz w:val="13"/>
        </w:rPr>
        <w:t> </w:t>
      </w:r>
      <w:r>
        <w:rPr>
          <w:sz w:val="13"/>
        </w:rPr>
        <w:t>2020).</w:t>
      </w:r>
    </w:p>
    <w:p>
      <w:pPr>
        <w:pStyle w:val="ListParagraph"/>
        <w:numPr>
          <w:ilvl w:val="0"/>
          <w:numId w:val="125"/>
        </w:numPr>
        <w:tabs>
          <w:tab w:pos="893" w:val="left" w:leader="none"/>
          <w:tab w:pos="894" w:val="left" w:leader="none"/>
        </w:tabs>
        <w:spacing w:line="213" w:lineRule="auto" w:before="0" w:after="0"/>
        <w:ind w:left="893" w:right="1509" w:hanging="793"/>
        <w:jc w:val="left"/>
        <w:rPr>
          <w:sz w:val="13"/>
        </w:rPr>
      </w:pPr>
      <w:r>
        <w:rPr>
          <w:sz w:val="13"/>
        </w:rPr>
        <w:t>United Nations, </w:t>
      </w:r>
      <w:r>
        <w:rPr>
          <w:i/>
          <w:sz w:val="13"/>
        </w:rPr>
        <w:t>International Principles and </w:t>
      </w:r>
      <w:r>
        <w:rPr>
          <w:i/>
          <w:spacing w:val="2"/>
          <w:sz w:val="13"/>
        </w:rPr>
        <w:t>Guidelines </w:t>
      </w:r>
      <w:r>
        <w:rPr>
          <w:i/>
          <w:sz w:val="13"/>
        </w:rPr>
        <w:t>on Access to Justice for Persons with Disabilities </w:t>
      </w:r>
      <w:r>
        <w:rPr>
          <w:sz w:val="13"/>
        </w:rPr>
        <w:t>(Human Rights </w:t>
      </w:r>
      <w:r>
        <w:rPr>
          <w:spacing w:val="2"/>
          <w:sz w:val="13"/>
        </w:rPr>
        <w:t>Special </w:t>
      </w:r>
      <w:r>
        <w:rPr>
          <w:sz w:val="13"/>
        </w:rPr>
        <w:t>Procedures, </w:t>
      </w:r>
      <w:r>
        <w:rPr>
          <w:spacing w:val="2"/>
          <w:sz w:val="13"/>
        </w:rPr>
        <w:t>Special Rapporteur </w:t>
      </w:r>
      <w:r>
        <w:rPr>
          <w:sz w:val="13"/>
        </w:rPr>
        <w:t>on the Rights of Persons with </w:t>
      </w:r>
      <w:r>
        <w:rPr>
          <w:spacing w:val="2"/>
          <w:sz w:val="13"/>
        </w:rPr>
        <w:t>Disabilities, </w:t>
      </w:r>
      <w:r>
        <w:rPr>
          <w:sz w:val="13"/>
        </w:rPr>
        <w:t>August 2020) 22 [7.1], [7.2](e) Principle</w:t>
      </w:r>
      <w:r>
        <w:rPr>
          <w:spacing w:val="32"/>
          <w:sz w:val="13"/>
        </w:rPr>
        <w:t> </w:t>
      </w:r>
      <w:r>
        <w:rPr>
          <w:spacing w:val="-3"/>
          <w:sz w:val="13"/>
        </w:rPr>
        <w:t>7.</w:t>
      </w:r>
    </w:p>
    <w:p>
      <w:pPr>
        <w:pStyle w:val="ListParagraph"/>
        <w:numPr>
          <w:ilvl w:val="0"/>
          <w:numId w:val="125"/>
        </w:numPr>
        <w:tabs>
          <w:tab w:pos="893" w:val="left" w:leader="none"/>
          <w:tab w:pos="894" w:val="left" w:leader="none"/>
        </w:tabs>
        <w:spacing w:line="152" w:lineRule="exact" w:before="0" w:after="0"/>
        <w:ind w:left="893" w:right="0" w:hanging="793"/>
        <w:jc w:val="left"/>
        <w:rPr>
          <w:sz w:val="13"/>
        </w:rPr>
      </w:pPr>
      <w:r>
        <w:rPr>
          <w:sz w:val="13"/>
        </w:rPr>
        <w:t>Consultation </w:t>
      </w:r>
      <w:r>
        <w:rPr>
          <w:spacing w:val="3"/>
          <w:sz w:val="13"/>
        </w:rPr>
        <w:t>14 </w:t>
      </w:r>
      <w:r>
        <w:rPr>
          <w:spacing w:val="2"/>
          <w:sz w:val="13"/>
        </w:rPr>
        <w:t>(Jury </w:t>
      </w:r>
      <w:r>
        <w:rPr>
          <w:sz w:val="13"/>
        </w:rPr>
        <w:t>Commissioner, New York State </w:t>
      </w:r>
      <w:r>
        <w:rPr>
          <w:spacing w:val="2"/>
          <w:sz w:val="13"/>
        </w:rPr>
        <w:t>Courts </w:t>
      </w:r>
      <w:r>
        <w:rPr>
          <w:sz w:val="13"/>
        </w:rPr>
        <w:t>in Rochester, Monroe County, United</w:t>
      </w:r>
      <w:r>
        <w:rPr>
          <w:spacing w:val="4"/>
          <w:sz w:val="13"/>
        </w:rPr>
        <w:t> </w:t>
      </w:r>
      <w:r>
        <w:rPr>
          <w:sz w:val="13"/>
        </w:rPr>
        <w:t>States).</w:t>
      </w:r>
    </w:p>
    <w:p>
      <w:pPr>
        <w:pStyle w:val="ListParagraph"/>
        <w:numPr>
          <w:ilvl w:val="0"/>
          <w:numId w:val="125"/>
        </w:numPr>
        <w:tabs>
          <w:tab w:pos="893" w:val="left" w:leader="none"/>
          <w:tab w:pos="894" w:val="left" w:leader="none"/>
        </w:tabs>
        <w:spacing w:line="160" w:lineRule="exact" w:before="0" w:after="0"/>
        <w:ind w:left="893" w:right="0" w:hanging="793"/>
        <w:jc w:val="left"/>
        <w:rPr>
          <w:sz w:val="13"/>
        </w:rPr>
      </w:pPr>
      <w:r>
        <w:rPr>
          <w:sz w:val="13"/>
        </w:rPr>
        <w:t>Supreme </w:t>
      </w:r>
      <w:r>
        <w:rPr>
          <w:spacing w:val="2"/>
          <w:sz w:val="13"/>
        </w:rPr>
        <w:t>Court </w:t>
      </w:r>
      <w:r>
        <w:rPr>
          <w:sz w:val="13"/>
        </w:rPr>
        <w:t>of Victoria, </w:t>
      </w:r>
      <w:r>
        <w:rPr>
          <w:i/>
          <w:sz w:val="13"/>
        </w:rPr>
        <w:t>Annual </w:t>
      </w:r>
      <w:r>
        <w:rPr>
          <w:i/>
          <w:spacing w:val="2"/>
          <w:sz w:val="13"/>
        </w:rPr>
        <w:t>Report </w:t>
      </w:r>
      <w:r>
        <w:rPr>
          <w:i/>
          <w:sz w:val="13"/>
        </w:rPr>
        <w:t>2019–2020 </w:t>
      </w:r>
      <w:r>
        <w:rPr>
          <w:spacing w:val="2"/>
          <w:sz w:val="13"/>
        </w:rPr>
        <w:t>(Report, </w:t>
      </w:r>
      <w:r>
        <w:rPr>
          <w:sz w:val="13"/>
        </w:rPr>
        <w:t>March 2020) </w:t>
      </w:r>
      <w:r>
        <w:rPr>
          <w:spacing w:val="2"/>
          <w:sz w:val="13"/>
        </w:rPr>
        <w:t>9,</w:t>
      </w:r>
      <w:r>
        <w:rPr>
          <w:spacing w:val="-1"/>
          <w:sz w:val="13"/>
        </w:rPr>
        <w:t> </w:t>
      </w:r>
      <w:r>
        <w:rPr>
          <w:sz w:val="13"/>
        </w:rPr>
        <w:t>63.</w:t>
      </w:r>
    </w:p>
    <w:p>
      <w:pPr>
        <w:pStyle w:val="ListParagraph"/>
        <w:numPr>
          <w:ilvl w:val="0"/>
          <w:numId w:val="125"/>
        </w:numPr>
        <w:tabs>
          <w:tab w:pos="893" w:val="left" w:leader="none"/>
          <w:tab w:pos="894" w:val="left" w:leader="none"/>
        </w:tabs>
        <w:spacing w:line="170" w:lineRule="exact" w:before="0" w:after="0"/>
        <w:ind w:left="893" w:right="0" w:hanging="793"/>
        <w:jc w:val="left"/>
        <w:rPr>
          <w:sz w:val="13"/>
        </w:rPr>
      </w:pPr>
      <w:r>
        <w:rPr>
          <w:spacing w:val="2"/>
          <w:sz w:val="13"/>
        </w:rPr>
        <w:t>Queensland </w:t>
      </w:r>
      <w:r>
        <w:rPr>
          <w:sz w:val="13"/>
        </w:rPr>
        <w:t>Law Reform </w:t>
      </w:r>
      <w:r>
        <w:rPr>
          <w:spacing w:val="2"/>
          <w:sz w:val="13"/>
        </w:rPr>
        <w:t>Commission, </w:t>
      </w:r>
      <w:r>
        <w:rPr>
          <w:i/>
          <w:sz w:val="13"/>
        </w:rPr>
        <w:t>A Review of </w:t>
      </w:r>
      <w:r>
        <w:rPr>
          <w:i/>
          <w:spacing w:val="2"/>
          <w:sz w:val="13"/>
        </w:rPr>
        <w:t>Jury </w:t>
      </w:r>
      <w:r>
        <w:rPr>
          <w:i/>
          <w:sz w:val="13"/>
        </w:rPr>
        <w:t>Selection </w:t>
      </w:r>
      <w:r>
        <w:rPr>
          <w:spacing w:val="2"/>
          <w:sz w:val="13"/>
        </w:rPr>
        <w:t>(Report </w:t>
      </w:r>
      <w:r>
        <w:rPr>
          <w:sz w:val="13"/>
        </w:rPr>
        <w:t>No 68, 2011) Recommendation</w:t>
      </w:r>
      <w:r>
        <w:rPr>
          <w:spacing w:val="6"/>
          <w:sz w:val="13"/>
        </w:rPr>
        <w:t> </w:t>
      </w:r>
      <w:r>
        <w:rPr>
          <w:spacing w:val="2"/>
          <w:sz w:val="13"/>
        </w:rPr>
        <w:t>11–5.</w:t>
      </w:r>
    </w:p>
    <w:p>
      <w:pPr>
        <w:spacing w:after="0" w:line="170" w:lineRule="exact"/>
        <w:jc w:val="left"/>
        <w:rPr>
          <w:sz w:val="13"/>
        </w:rPr>
        <w:sectPr>
          <w:type w:val="continuous"/>
          <w:pgSz w:w="11910" w:h="16840"/>
          <w:pgMar w:top="620" w:bottom="280" w:left="620" w:right="380"/>
          <w:cols w:num="2" w:equalWidth="0">
            <w:col w:w="548" w:space="320"/>
            <w:col w:w="10042"/>
          </w:cols>
        </w:sectPr>
      </w:pPr>
    </w:p>
    <w:p>
      <w:pPr>
        <w:pStyle w:val="BodyText"/>
      </w:pPr>
    </w:p>
    <w:p>
      <w:pPr>
        <w:pStyle w:val="BodyText"/>
      </w:pPr>
    </w:p>
    <w:p>
      <w:pPr>
        <w:pStyle w:val="BodyText"/>
      </w:pPr>
    </w:p>
    <w:p>
      <w:pPr>
        <w:pStyle w:val="BodyText"/>
        <w:spacing w:before="6"/>
        <w:rPr>
          <w:sz w:val="14"/>
        </w:rPr>
      </w:pPr>
    </w:p>
    <w:p>
      <w:pPr>
        <w:spacing w:line="218" w:lineRule="auto" w:before="80"/>
        <w:ind w:left="1761" w:right="1335" w:firstLine="0"/>
        <w:jc w:val="left"/>
        <w:rPr>
          <w:b/>
          <w:sz w:val="19"/>
        </w:rPr>
      </w:pPr>
      <w:r>
        <w:rPr>
          <w:b/>
          <w:sz w:val="19"/>
        </w:rPr>
        <w:t>Table 1: What data about participation on juries by people from the subject groups should be collected?</w:t>
      </w:r>
    </w:p>
    <w:p>
      <w:pPr>
        <w:pStyle w:val="BodyText"/>
        <w:spacing w:before="6"/>
        <w:rPr>
          <w:b/>
          <w:sz w:val="11"/>
        </w:rPr>
      </w:pPr>
    </w:p>
    <w:tbl>
      <w:tblPr>
        <w:tblW w:w="0" w:type="auto"/>
        <w:jc w:val="left"/>
        <w:tblInd w:w="1771" w:type="dxa"/>
        <w:tblBorders>
          <w:top w:val="single" w:sz="4" w:space="0" w:color="37617A"/>
          <w:left w:val="single" w:sz="4" w:space="0" w:color="37617A"/>
          <w:bottom w:val="single" w:sz="4" w:space="0" w:color="37617A"/>
          <w:right w:val="single" w:sz="4" w:space="0" w:color="37617A"/>
          <w:insideH w:val="single" w:sz="4" w:space="0" w:color="37617A"/>
          <w:insideV w:val="single" w:sz="4" w:space="0" w:color="37617A"/>
        </w:tblBorders>
        <w:tblLayout w:type="fixed"/>
        <w:tblCellMar>
          <w:top w:w="0" w:type="dxa"/>
          <w:left w:w="0" w:type="dxa"/>
          <w:bottom w:w="0" w:type="dxa"/>
          <w:right w:w="0" w:type="dxa"/>
        </w:tblCellMar>
        <w:tblLook w:val="01E0"/>
      </w:tblPr>
      <w:tblGrid>
        <w:gridCol w:w="5041"/>
        <w:gridCol w:w="2887"/>
      </w:tblGrid>
      <w:tr>
        <w:trPr>
          <w:trHeight w:val="758" w:hRule="atLeast"/>
        </w:trPr>
        <w:tc>
          <w:tcPr>
            <w:tcW w:w="5041" w:type="dxa"/>
            <w:shd w:val="clear" w:color="auto" w:fill="C0C6CF"/>
          </w:tcPr>
          <w:p>
            <w:pPr>
              <w:pStyle w:val="TableParagraph"/>
              <w:spacing w:before="6"/>
              <w:ind w:left="0"/>
              <w:rPr>
                <w:b/>
                <w:sz w:val="17"/>
              </w:rPr>
            </w:pPr>
          </w:p>
          <w:p>
            <w:pPr>
              <w:pStyle w:val="TableParagraph"/>
              <w:spacing w:before="0"/>
              <w:rPr>
                <w:b/>
                <w:sz w:val="20"/>
              </w:rPr>
            </w:pPr>
            <w:r>
              <w:rPr>
                <w:b/>
                <w:sz w:val="20"/>
              </w:rPr>
              <w:t>What data should be collected?</w:t>
            </w:r>
          </w:p>
        </w:tc>
        <w:tc>
          <w:tcPr>
            <w:tcW w:w="2887" w:type="dxa"/>
            <w:shd w:val="clear" w:color="auto" w:fill="C0C6CF"/>
          </w:tcPr>
          <w:p>
            <w:pPr>
              <w:pStyle w:val="TableParagraph"/>
              <w:spacing w:line="206" w:lineRule="auto" w:before="154"/>
              <w:ind w:left="112" w:right="120"/>
              <w:rPr>
                <w:b/>
                <w:sz w:val="20"/>
              </w:rPr>
            </w:pPr>
            <w:r>
              <w:rPr>
                <w:b/>
                <w:sz w:val="20"/>
              </w:rPr>
              <w:t>Who should be responsible for collecting the data?</w:t>
            </w:r>
          </w:p>
        </w:tc>
      </w:tr>
      <w:tr>
        <w:trPr>
          <w:trHeight w:val="644" w:hRule="atLeast"/>
        </w:trPr>
        <w:tc>
          <w:tcPr>
            <w:tcW w:w="5041" w:type="dxa"/>
          </w:tcPr>
          <w:p>
            <w:pPr>
              <w:pStyle w:val="TableParagraph"/>
              <w:spacing w:line="259" w:lineRule="exact" w:before="65"/>
              <w:rPr>
                <w:sz w:val="20"/>
              </w:rPr>
            </w:pPr>
            <w:r>
              <w:rPr>
                <w:sz w:val="20"/>
              </w:rPr>
              <w:t>Types of disability identified in response to</w:t>
            </w:r>
          </w:p>
          <w:p>
            <w:pPr>
              <w:pStyle w:val="TableParagraph"/>
              <w:spacing w:line="259" w:lineRule="exact" w:before="0"/>
              <w:rPr>
                <w:sz w:val="20"/>
              </w:rPr>
            </w:pPr>
            <w:r>
              <w:rPr>
                <w:sz w:val="20"/>
              </w:rPr>
              <w:t>summons</w:t>
            </w:r>
          </w:p>
        </w:tc>
        <w:tc>
          <w:tcPr>
            <w:tcW w:w="2887" w:type="dxa"/>
          </w:tcPr>
          <w:p>
            <w:pPr>
              <w:pStyle w:val="TableParagraph"/>
              <w:spacing w:before="65"/>
              <w:ind w:left="112"/>
              <w:rPr>
                <w:sz w:val="20"/>
              </w:rPr>
            </w:pPr>
            <w:r>
              <w:rPr>
                <w:sz w:val="20"/>
              </w:rPr>
              <w:t>Juries Victoria</w:t>
            </w:r>
          </w:p>
        </w:tc>
      </w:tr>
      <w:tr>
        <w:trPr>
          <w:trHeight w:val="644" w:hRule="atLeast"/>
        </w:trPr>
        <w:tc>
          <w:tcPr>
            <w:tcW w:w="5041" w:type="dxa"/>
          </w:tcPr>
          <w:p>
            <w:pPr>
              <w:pStyle w:val="TableParagraph"/>
              <w:spacing w:line="206" w:lineRule="auto" w:before="98"/>
              <w:ind w:right="472"/>
              <w:rPr>
                <w:sz w:val="20"/>
              </w:rPr>
            </w:pPr>
            <w:r>
              <w:rPr>
                <w:sz w:val="20"/>
              </w:rPr>
              <w:t>If potential jurors identify as Aboriginal or Torres Strait Islander</w:t>
            </w:r>
          </w:p>
        </w:tc>
        <w:tc>
          <w:tcPr>
            <w:tcW w:w="2887" w:type="dxa"/>
          </w:tcPr>
          <w:p>
            <w:pPr>
              <w:pStyle w:val="TableParagraph"/>
              <w:spacing w:before="65"/>
              <w:ind w:left="112"/>
              <w:rPr>
                <w:sz w:val="20"/>
              </w:rPr>
            </w:pPr>
            <w:r>
              <w:rPr>
                <w:sz w:val="20"/>
              </w:rPr>
              <w:t>Juries Victoria</w:t>
            </w:r>
          </w:p>
        </w:tc>
      </w:tr>
      <w:tr>
        <w:trPr>
          <w:trHeight w:val="644" w:hRule="atLeast"/>
        </w:trPr>
        <w:tc>
          <w:tcPr>
            <w:tcW w:w="5041" w:type="dxa"/>
          </w:tcPr>
          <w:p>
            <w:pPr>
              <w:pStyle w:val="TableParagraph"/>
              <w:spacing w:line="206" w:lineRule="auto" w:before="98"/>
              <w:ind w:right="472"/>
              <w:rPr>
                <w:sz w:val="20"/>
              </w:rPr>
            </w:pPr>
            <w:r>
              <w:rPr>
                <w:sz w:val="20"/>
              </w:rPr>
              <w:t>What adjustments are provided during jury selection processes</w:t>
            </w:r>
          </w:p>
        </w:tc>
        <w:tc>
          <w:tcPr>
            <w:tcW w:w="2887" w:type="dxa"/>
          </w:tcPr>
          <w:p>
            <w:pPr>
              <w:pStyle w:val="TableParagraph"/>
              <w:spacing w:before="65"/>
              <w:ind w:left="112"/>
              <w:rPr>
                <w:sz w:val="20"/>
              </w:rPr>
            </w:pPr>
            <w:r>
              <w:rPr>
                <w:sz w:val="20"/>
              </w:rPr>
              <w:t>Juries Victoria</w:t>
            </w:r>
          </w:p>
        </w:tc>
      </w:tr>
      <w:tr>
        <w:trPr>
          <w:trHeight w:val="1124" w:hRule="atLeast"/>
        </w:trPr>
        <w:tc>
          <w:tcPr>
            <w:tcW w:w="5041" w:type="dxa"/>
          </w:tcPr>
          <w:p>
            <w:pPr>
              <w:pStyle w:val="TableParagraph"/>
              <w:spacing w:line="206" w:lineRule="auto" w:before="98"/>
              <w:rPr>
                <w:sz w:val="20"/>
              </w:rPr>
            </w:pPr>
            <w:r>
              <w:rPr>
                <w:sz w:val="20"/>
              </w:rPr>
              <w:t>The number of Auslan bookings made by Juries Victoria for jury selection and jury service including the number of interpreters and the duration of interpreting</w:t>
            </w:r>
          </w:p>
        </w:tc>
        <w:tc>
          <w:tcPr>
            <w:tcW w:w="2887" w:type="dxa"/>
          </w:tcPr>
          <w:p>
            <w:pPr>
              <w:pStyle w:val="TableParagraph"/>
              <w:spacing w:before="65"/>
              <w:ind w:left="112"/>
              <w:rPr>
                <w:sz w:val="20"/>
              </w:rPr>
            </w:pPr>
            <w:r>
              <w:rPr>
                <w:sz w:val="20"/>
              </w:rPr>
              <w:t>Juries Victoria</w:t>
            </w:r>
          </w:p>
        </w:tc>
      </w:tr>
      <w:tr>
        <w:trPr>
          <w:trHeight w:val="884" w:hRule="atLeast"/>
        </w:trPr>
        <w:tc>
          <w:tcPr>
            <w:tcW w:w="5041" w:type="dxa"/>
          </w:tcPr>
          <w:p>
            <w:pPr>
              <w:pStyle w:val="TableParagraph"/>
              <w:spacing w:line="206" w:lineRule="auto" w:before="98"/>
              <w:ind w:right="259"/>
              <w:rPr>
                <w:sz w:val="20"/>
              </w:rPr>
            </w:pPr>
            <w:r>
              <w:rPr>
                <w:sz w:val="20"/>
              </w:rPr>
              <w:t>The number of times the Juries Commissioner exercises the new own motion power to defer jury service for a person in the subject groups</w:t>
            </w:r>
          </w:p>
        </w:tc>
        <w:tc>
          <w:tcPr>
            <w:tcW w:w="2887" w:type="dxa"/>
          </w:tcPr>
          <w:p>
            <w:pPr>
              <w:pStyle w:val="TableParagraph"/>
              <w:spacing w:before="65"/>
              <w:ind w:left="112"/>
              <w:rPr>
                <w:sz w:val="20"/>
              </w:rPr>
            </w:pPr>
            <w:r>
              <w:rPr>
                <w:sz w:val="20"/>
              </w:rPr>
              <w:t>Juries Victoria</w:t>
            </w:r>
          </w:p>
        </w:tc>
      </w:tr>
      <w:tr>
        <w:trPr>
          <w:trHeight w:val="1844" w:hRule="atLeast"/>
        </w:trPr>
        <w:tc>
          <w:tcPr>
            <w:tcW w:w="5041" w:type="dxa"/>
          </w:tcPr>
          <w:p>
            <w:pPr>
              <w:pStyle w:val="TableParagraph"/>
              <w:spacing w:line="206" w:lineRule="auto" w:before="98"/>
              <w:ind w:right="167"/>
              <w:rPr>
                <w:sz w:val="20"/>
              </w:rPr>
            </w:pPr>
            <w:r>
              <w:rPr>
                <w:sz w:val="20"/>
              </w:rPr>
              <w:t>The number of times the Juries Commissioner exercises the new power to hold a person’s ballot card out of a ballot for a panel where the trial will be heard in a courtroom that cannot accommodate reasonable adjustments or where the Juries Commissioner assesses that the trial is not suitable for the potential juror</w:t>
            </w:r>
          </w:p>
        </w:tc>
        <w:tc>
          <w:tcPr>
            <w:tcW w:w="2887" w:type="dxa"/>
          </w:tcPr>
          <w:p>
            <w:pPr>
              <w:pStyle w:val="TableParagraph"/>
              <w:spacing w:before="65"/>
              <w:ind w:left="112"/>
              <w:rPr>
                <w:sz w:val="20"/>
              </w:rPr>
            </w:pPr>
            <w:r>
              <w:rPr>
                <w:sz w:val="20"/>
              </w:rPr>
              <w:t>Juries Victoria</w:t>
            </w:r>
          </w:p>
        </w:tc>
      </w:tr>
      <w:tr>
        <w:trPr>
          <w:trHeight w:val="2374" w:hRule="atLeast"/>
        </w:trPr>
        <w:tc>
          <w:tcPr>
            <w:tcW w:w="5041" w:type="dxa"/>
          </w:tcPr>
          <w:p>
            <w:pPr>
              <w:pStyle w:val="TableParagraph"/>
              <w:spacing w:line="206" w:lineRule="auto" w:before="98"/>
              <w:ind w:right="259"/>
              <w:rPr>
                <w:sz w:val="20"/>
              </w:rPr>
            </w:pPr>
            <w:r>
              <w:rPr>
                <w:sz w:val="20"/>
              </w:rPr>
              <w:t>The number of times people seek to be excused from jury duty and:</w:t>
            </w:r>
          </w:p>
          <w:p>
            <w:pPr>
              <w:pStyle w:val="TableParagraph"/>
              <w:numPr>
                <w:ilvl w:val="0"/>
                <w:numId w:val="126"/>
              </w:numPr>
              <w:tabs>
                <w:tab w:pos="510" w:val="left" w:leader="none"/>
                <w:tab w:pos="511" w:val="left" w:leader="none"/>
              </w:tabs>
              <w:spacing w:line="206" w:lineRule="auto" w:before="122" w:after="0"/>
              <w:ind w:left="510" w:right="695" w:hanging="397"/>
              <w:jc w:val="left"/>
              <w:rPr>
                <w:sz w:val="20"/>
              </w:rPr>
            </w:pPr>
            <w:r>
              <w:rPr>
                <w:sz w:val="20"/>
              </w:rPr>
              <w:t>at</w:t>
            </w:r>
            <w:r>
              <w:rPr>
                <w:spacing w:val="-11"/>
                <w:sz w:val="20"/>
              </w:rPr>
              <w:t> </w:t>
            </w:r>
            <w:r>
              <w:rPr>
                <w:sz w:val="20"/>
              </w:rPr>
              <w:t>what</w:t>
            </w:r>
            <w:r>
              <w:rPr>
                <w:spacing w:val="-11"/>
                <w:sz w:val="20"/>
              </w:rPr>
              <w:t> </w:t>
            </w:r>
            <w:r>
              <w:rPr>
                <w:sz w:val="20"/>
              </w:rPr>
              <w:t>stage</w:t>
            </w:r>
            <w:r>
              <w:rPr>
                <w:spacing w:val="-11"/>
                <w:sz w:val="20"/>
              </w:rPr>
              <w:t> </w:t>
            </w:r>
            <w:r>
              <w:rPr>
                <w:sz w:val="20"/>
              </w:rPr>
              <w:t>of</w:t>
            </w:r>
            <w:r>
              <w:rPr>
                <w:spacing w:val="-11"/>
                <w:sz w:val="20"/>
              </w:rPr>
              <w:t> </w:t>
            </w:r>
            <w:r>
              <w:rPr>
                <w:sz w:val="20"/>
              </w:rPr>
              <w:t>the</w:t>
            </w:r>
            <w:r>
              <w:rPr>
                <w:spacing w:val="-11"/>
                <w:sz w:val="20"/>
              </w:rPr>
              <w:t> </w:t>
            </w:r>
            <w:r>
              <w:rPr>
                <w:sz w:val="20"/>
              </w:rPr>
              <w:t>selection</w:t>
            </w:r>
            <w:r>
              <w:rPr>
                <w:spacing w:val="-10"/>
                <w:sz w:val="20"/>
              </w:rPr>
              <w:t> </w:t>
            </w:r>
            <w:r>
              <w:rPr>
                <w:sz w:val="20"/>
              </w:rPr>
              <w:t>process</w:t>
            </w:r>
            <w:r>
              <w:rPr>
                <w:spacing w:val="-11"/>
                <w:sz w:val="20"/>
              </w:rPr>
              <w:t> </w:t>
            </w:r>
            <w:r>
              <w:rPr>
                <w:sz w:val="20"/>
              </w:rPr>
              <w:t>this occurs</w:t>
            </w:r>
          </w:p>
          <w:p>
            <w:pPr>
              <w:pStyle w:val="TableParagraph"/>
              <w:numPr>
                <w:ilvl w:val="0"/>
                <w:numId w:val="126"/>
              </w:numPr>
              <w:tabs>
                <w:tab w:pos="510" w:val="left" w:leader="none"/>
                <w:tab w:pos="511" w:val="left" w:leader="none"/>
              </w:tabs>
              <w:spacing w:line="240" w:lineRule="auto" w:before="55" w:after="0"/>
              <w:ind w:left="510" w:right="0" w:hanging="397"/>
              <w:jc w:val="left"/>
              <w:rPr>
                <w:sz w:val="20"/>
              </w:rPr>
            </w:pPr>
            <w:r>
              <w:rPr>
                <w:sz w:val="20"/>
              </w:rPr>
              <w:t>the </w:t>
            </w:r>
            <w:r>
              <w:rPr>
                <w:spacing w:val="-3"/>
                <w:sz w:val="20"/>
              </w:rPr>
              <w:t>nature </w:t>
            </w:r>
            <w:r>
              <w:rPr>
                <w:sz w:val="20"/>
              </w:rPr>
              <w:t>of their</w:t>
            </w:r>
            <w:r>
              <w:rPr>
                <w:spacing w:val="-15"/>
                <w:sz w:val="20"/>
              </w:rPr>
              <w:t> </w:t>
            </w:r>
            <w:r>
              <w:rPr>
                <w:sz w:val="20"/>
              </w:rPr>
              <w:t>disability</w:t>
            </w:r>
          </w:p>
          <w:p>
            <w:pPr>
              <w:pStyle w:val="TableParagraph"/>
              <w:numPr>
                <w:ilvl w:val="0"/>
                <w:numId w:val="126"/>
              </w:numPr>
              <w:tabs>
                <w:tab w:pos="510" w:val="left" w:leader="none"/>
                <w:tab w:pos="511" w:val="left" w:leader="none"/>
              </w:tabs>
              <w:spacing w:line="206" w:lineRule="auto" w:before="80" w:after="0"/>
              <w:ind w:left="510" w:right="230" w:hanging="397"/>
              <w:jc w:val="left"/>
              <w:rPr>
                <w:sz w:val="20"/>
              </w:rPr>
            </w:pPr>
            <w:r>
              <w:rPr>
                <w:spacing w:val="-3"/>
                <w:sz w:val="20"/>
              </w:rPr>
              <w:t>why </w:t>
            </w:r>
            <w:r>
              <w:rPr>
                <w:sz w:val="20"/>
              </w:rPr>
              <w:t>they sought to be </w:t>
            </w:r>
            <w:r>
              <w:rPr>
                <w:spacing w:val="-3"/>
                <w:sz w:val="20"/>
              </w:rPr>
              <w:t>excused </w:t>
            </w:r>
            <w:r>
              <w:rPr>
                <w:sz w:val="20"/>
              </w:rPr>
              <w:t>(inadequate adjustments</w:t>
            </w:r>
            <w:r>
              <w:rPr>
                <w:spacing w:val="-12"/>
                <w:sz w:val="20"/>
              </w:rPr>
              <w:t> </w:t>
            </w:r>
            <w:r>
              <w:rPr>
                <w:spacing w:val="-3"/>
                <w:sz w:val="20"/>
              </w:rPr>
              <w:t>available,</w:t>
            </w:r>
            <w:r>
              <w:rPr>
                <w:spacing w:val="-11"/>
                <w:sz w:val="20"/>
              </w:rPr>
              <w:t> </w:t>
            </w:r>
            <w:r>
              <w:rPr>
                <w:sz w:val="20"/>
              </w:rPr>
              <w:t>did</w:t>
            </w:r>
            <w:r>
              <w:rPr>
                <w:spacing w:val="-11"/>
                <w:sz w:val="20"/>
              </w:rPr>
              <w:t> </w:t>
            </w:r>
            <w:r>
              <w:rPr>
                <w:sz w:val="20"/>
              </w:rPr>
              <w:t>not</w:t>
            </w:r>
            <w:r>
              <w:rPr>
                <w:spacing w:val="-12"/>
                <w:sz w:val="20"/>
              </w:rPr>
              <w:t> </w:t>
            </w:r>
            <w:r>
              <w:rPr>
                <w:sz w:val="20"/>
              </w:rPr>
              <w:t>feel</w:t>
            </w:r>
            <w:r>
              <w:rPr>
                <w:spacing w:val="-11"/>
                <w:sz w:val="20"/>
              </w:rPr>
              <w:t> </w:t>
            </w:r>
            <w:r>
              <w:rPr>
                <w:sz w:val="20"/>
              </w:rPr>
              <w:t>comfortable serving</w:t>
            </w:r>
            <w:r>
              <w:rPr>
                <w:spacing w:val="-5"/>
                <w:sz w:val="20"/>
              </w:rPr>
              <w:t> </w:t>
            </w:r>
            <w:r>
              <w:rPr>
                <w:spacing w:val="-3"/>
                <w:sz w:val="20"/>
              </w:rPr>
              <w:t>etc)</w:t>
            </w:r>
          </w:p>
        </w:tc>
        <w:tc>
          <w:tcPr>
            <w:tcW w:w="2887" w:type="dxa"/>
          </w:tcPr>
          <w:p>
            <w:pPr>
              <w:pStyle w:val="TableParagraph"/>
              <w:spacing w:before="65"/>
              <w:rPr>
                <w:sz w:val="20"/>
              </w:rPr>
            </w:pPr>
            <w:r>
              <w:rPr>
                <w:sz w:val="20"/>
              </w:rPr>
              <w:t>Juries Victoria</w:t>
            </w:r>
          </w:p>
        </w:tc>
      </w:tr>
      <w:tr>
        <w:trPr>
          <w:trHeight w:val="884" w:hRule="atLeast"/>
        </w:trPr>
        <w:tc>
          <w:tcPr>
            <w:tcW w:w="5041" w:type="dxa"/>
          </w:tcPr>
          <w:p>
            <w:pPr>
              <w:pStyle w:val="TableParagraph"/>
              <w:spacing w:line="206" w:lineRule="auto" w:before="98"/>
              <w:ind w:right="143"/>
              <w:rPr>
                <w:sz w:val="20"/>
              </w:rPr>
            </w:pPr>
            <w:r>
              <w:rPr>
                <w:sz w:val="20"/>
              </w:rPr>
              <w:t>The number of times judges exercise their discretion</w:t>
            </w:r>
            <w:r>
              <w:rPr>
                <w:spacing w:val="-7"/>
                <w:sz w:val="20"/>
              </w:rPr>
              <w:t> </w:t>
            </w:r>
            <w:r>
              <w:rPr>
                <w:sz w:val="20"/>
              </w:rPr>
              <w:t>not</w:t>
            </w:r>
            <w:r>
              <w:rPr>
                <w:spacing w:val="-6"/>
                <w:sz w:val="20"/>
              </w:rPr>
              <w:t> </w:t>
            </w:r>
            <w:r>
              <w:rPr>
                <w:sz w:val="20"/>
              </w:rPr>
              <w:t>to</w:t>
            </w:r>
            <w:r>
              <w:rPr>
                <w:spacing w:val="-7"/>
                <w:sz w:val="20"/>
              </w:rPr>
              <w:t> </w:t>
            </w:r>
            <w:r>
              <w:rPr>
                <w:sz w:val="20"/>
              </w:rPr>
              <w:t>allow</w:t>
            </w:r>
            <w:r>
              <w:rPr>
                <w:spacing w:val="-6"/>
                <w:sz w:val="20"/>
              </w:rPr>
              <w:t> </w:t>
            </w:r>
            <w:r>
              <w:rPr>
                <w:sz w:val="20"/>
              </w:rPr>
              <w:t>a</w:t>
            </w:r>
            <w:r>
              <w:rPr>
                <w:spacing w:val="-6"/>
                <w:sz w:val="20"/>
              </w:rPr>
              <w:t> </w:t>
            </w:r>
            <w:r>
              <w:rPr>
                <w:sz w:val="20"/>
              </w:rPr>
              <w:t>person</w:t>
            </w:r>
            <w:r>
              <w:rPr>
                <w:spacing w:val="-7"/>
                <w:sz w:val="20"/>
              </w:rPr>
              <w:t> </w:t>
            </w:r>
            <w:r>
              <w:rPr>
                <w:sz w:val="20"/>
              </w:rPr>
              <w:t>to</w:t>
            </w:r>
            <w:r>
              <w:rPr>
                <w:spacing w:val="-6"/>
                <w:sz w:val="20"/>
              </w:rPr>
              <w:t> </w:t>
            </w:r>
            <w:r>
              <w:rPr>
                <w:sz w:val="20"/>
              </w:rPr>
              <w:t>serve</w:t>
            </w:r>
            <w:r>
              <w:rPr>
                <w:spacing w:val="-6"/>
                <w:sz w:val="20"/>
              </w:rPr>
              <w:t> </w:t>
            </w:r>
            <w:r>
              <w:rPr>
                <w:sz w:val="20"/>
              </w:rPr>
              <w:t>on</w:t>
            </w:r>
            <w:r>
              <w:rPr>
                <w:spacing w:val="-7"/>
                <w:sz w:val="20"/>
              </w:rPr>
              <w:t> </w:t>
            </w:r>
            <w:r>
              <w:rPr>
                <w:sz w:val="20"/>
              </w:rPr>
              <w:t>a</w:t>
            </w:r>
            <w:r>
              <w:rPr>
                <w:spacing w:val="-6"/>
                <w:sz w:val="20"/>
              </w:rPr>
              <w:t> </w:t>
            </w:r>
            <w:r>
              <w:rPr>
                <w:sz w:val="20"/>
              </w:rPr>
              <w:t>jury,</w:t>
            </w:r>
            <w:r>
              <w:rPr>
                <w:spacing w:val="-6"/>
                <w:sz w:val="20"/>
              </w:rPr>
              <w:t> </w:t>
            </w:r>
            <w:r>
              <w:rPr>
                <w:sz w:val="20"/>
              </w:rPr>
              <w:t>or otherwise</w:t>
            </w:r>
            <w:r>
              <w:rPr>
                <w:spacing w:val="-7"/>
                <w:sz w:val="20"/>
              </w:rPr>
              <w:t> </w:t>
            </w:r>
            <w:r>
              <w:rPr>
                <w:sz w:val="20"/>
              </w:rPr>
              <w:t>exclude</w:t>
            </w:r>
            <w:r>
              <w:rPr>
                <w:spacing w:val="-7"/>
                <w:sz w:val="20"/>
              </w:rPr>
              <w:t> </w:t>
            </w:r>
            <w:r>
              <w:rPr>
                <w:sz w:val="20"/>
              </w:rPr>
              <w:t>them,</w:t>
            </w:r>
            <w:r>
              <w:rPr>
                <w:spacing w:val="-7"/>
                <w:sz w:val="20"/>
              </w:rPr>
              <w:t> </w:t>
            </w:r>
            <w:r>
              <w:rPr>
                <w:sz w:val="20"/>
              </w:rPr>
              <w:t>and</w:t>
            </w:r>
            <w:r>
              <w:rPr>
                <w:spacing w:val="-7"/>
                <w:sz w:val="20"/>
              </w:rPr>
              <w:t> </w:t>
            </w:r>
            <w:r>
              <w:rPr>
                <w:sz w:val="20"/>
              </w:rPr>
              <w:t>the</w:t>
            </w:r>
            <w:r>
              <w:rPr>
                <w:spacing w:val="-7"/>
                <w:sz w:val="20"/>
              </w:rPr>
              <w:t> </w:t>
            </w:r>
            <w:r>
              <w:rPr>
                <w:sz w:val="20"/>
              </w:rPr>
              <w:t>reasons</w:t>
            </w:r>
            <w:r>
              <w:rPr>
                <w:spacing w:val="-7"/>
                <w:sz w:val="20"/>
              </w:rPr>
              <w:t> </w:t>
            </w:r>
            <w:r>
              <w:rPr>
                <w:sz w:val="20"/>
              </w:rPr>
              <w:t>provided</w:t>
            </w:r>
          </w:p>
        </w:tc>
        <w:tc>
          <w:tcPr>
            <w:tcW w:w="2887" w:type="dxa"/>
          </w:tcPr>
          <w:p>
            <w:pPr>
              <w:pStyle w:val="TableParagraph"/>
              <w:spacing w:before="65"/>
              <w:rPr>
                <w:sz w:val="20"/>
              </w:rPr>
            </w:pPr>
            <w:r>
              <w:rPr>
                <w:sz w:val="20"/>
              </w:rPr>
              <w:t>The courts</w:t>
            </w:r>
          </w:p>
        </w:tc>
      </w:tr>
      <w:tr>
        <w:trPr>
          <w:trHeight w:val="884" w:hRule="atLeast"/>
        </w:trPr>
        <w:tc>
          <w:tcPr>
            <w:tcW w:w="5041" w:type="dxa"/>
          </w:tcPr>
          <w:p>
            <w:pPr>
              <w:pStyle w:val="TableParagraph"/>
              <w:spacing w:line="206" w:lineRule="auto" w:before="98"/>
              <w:ind w:right="268"/>
              <w:rPr>
                <w:sz w:val="20"/>
              </w:rPr>
            </w:pPr>
            <w:r>
              <w:rPr>
                <w:sz w:val="20"/>
              </w:rPr>
              <w:t>The number of people who request adjustments to serve and are challenged from jury selection through peremptory and stand aside challenges</w:t>
            </w:r>
          </w:p>
        </w:tc>
        <w:tc>
          <w:tcPr>
            <w:tcW w:w="2887" w:type="dxa"/>
          </w:tcPr>
          <w:p>
            <w:pPr>
              <w:pStyle w:val="TableParagraph"/>
              <w:spacing w:before="65"/>
              <w:rPr>
                <w:sz w:val="20"/>
              </w:rPr>
            </w:pPr>
            <w:r>
              <w:rPr>
                <w:sz w:val="20"/>
              </w:rPr>
              <w:t>Juries Victoria</w:t>
            </w:r>
          </w:p>
        </w:tc>
      </w:tr>
      <w:tr>
        <w:trPr>
          <w:trHeight w:val="644" w:hRule="atLeast"/>
        </w:trPr>
        <w:tc>
          <w:tcPr>
            <w:tcW w:w="5041" w:type="dxa"/>
          </w:tcPr>
          <w:p>
            <w:pPr>
              <w:pStyle w:val="TableParagraph"/>
              <w:spacing w:line="206" w:lineRule="auto" w:before="98"/>
              <w:ind w:right="259"/>
              <w:rPr>
                <w:sz w:val="20"/>
              </w:rPr>
            </w:pPr>
            <w:r>
              <w:rPr>
                <w:sz w:val="20"/>
              </w:rPr>
              <w:t>If people are selected on trials, the length and nature of the trials and the adjustments provided</w:t>
            </w:r>
          </w:p>
        </w:tc>
        <w:tc>
          <w:tcPr>
            <w:tcW w:w="2887" w:type="dxa"/>
          </w:tcPr>
          <w:p>
            <w:pPr>
              <w:pStyle w:val="TableParagraph"/>
              <w:spacing w:before="65"/>
              <w:rPr>
                <w:sz w:val="20"/>
              </w:rPr>
            </w:pPr>
            <w:r>
              <w:rPr>
                <w:sz w:val="20"/>
              </w:rPr>
              <w:t>The courts</w:t>
            </w:r>
          </w:p>
        </w:tc>
      </w:tr>
      <w:tr>
        <w:trPr>
          <w:trHeight w:val="884" w:hRule="atLeast"/>
        </w:trPr>
        <w:tc>
          <w:tcPr>
            <w:tcW w:w="5041" w:type="dxa"/>
          </w:tcPr>
          <w:p>
            <w:pPr>
              <w:pStyle w:val="TableParagraph"/>
              <w:spacing w:line="206" w:lineRule="auto" w:before="98"/>
              <w:rPr>
                <w:sz w:val="20"/>
              </w:rPr>
            </w:pPr>
            <w:r>
              <w:rPr>
                <w:sz w:val="20"/>
              </w:rPr>
              <w:t>Survey data about experiences of the jury selection process and serving as a juror with adjustments (see below)</w:t>
            </w:r>
          </w:p>
        </w:tc>
        <w:tc>
          <w:tcPr>
            <w:tcW w:w="2887" w:type="dxa"/>
          </w:tcPr>
          <w:p>
            <w:pPr>
              <w:pStyle w:val="TableParagraph"/>
              <w:spacing w:before="65"/>
              <w:rPr>
                <w:sz w:val="20"/>
              </w:rPr>
            </w:pPr>
            <w:r>
              <w:rPr>
                <w:sz w:val="20"/>
              </w:rPr>
              <w:t>Juries Victoria</w:t>
            </w:r>
          </w:p>
        </w:tc>
      </w:tr>
    </w:tbl>
    <w:p>
      <w:pPr>
        <w:pStyle w:val="BodyText"/>
        <w:rPr>
          <w:b/>
          <w:sz w:val="22"/>
        </w:rPr>
      </w:pPr>
    </w:p>
    <w:p>
      <w:pPr>
        <w:pStyle w:val="BodyText"/>
        <w:rPr>
          <w:b/>
          <w:sz w:val="22"/>
        </w:rPr>
      </w:pPr>
    </w:p>
    <w:p>
      <w:pPr>
        <w:pStyle w:val="BodyText"/>
        <w:spacing w:before="13"/>
        <w:rPr>
          <w:b/>
          <w:sz w:val="30"/>
        </w:rPr>
      </w:pPr>
    </w:p>
    <w:p>
      <w:pPr>
        <w:spacing w:before="0"/>
        <w:ind w:left="0" w:right="210" w:firstLine="0"/>
        <w:jc w:val="right"/>
        <w:rPr>
          <w:b/>
          <w:sz w:val="24"/>
        </w:rPr>
      </w:pPr>
      <w:r>
        <w:rPr>
          <w:b/>
          <w:color w:val="37617A"/>
          <w:sz w:val="24"/>
        </w:rPr>
        <w:t>225</w:t>
      </w:r>
    </w:p>
    <w:p>
      <w:pPr>
        <w:spacing w:after="0"/>
        <w:jc w:val="right"/>
        <w:rPr>
          <w:sz w:val="24"/>
        </w:rPr>
        <w:sectPr>
          <w:pgSz w:w="11910" w:h="16840"/>
          <w:pgMar w:header="0" w:footer="0" w:top="840" w:bottom="280" w:left="620" w:right="380"/>
        </w:sectPr>
      </w:pPr>
    </w:p>
    <w:p>
      <w:pPr>
        <w:pStyle w:val="BodyText"/>
        <w:rPr>
          <w:b/>
        </w:rPr>
      </w:pPr>
    </w:p>
    <w:p>
      <w:pPr>
        <w:pStyle w:val="BodyText"/>
        <w:rPr>
          <w:b/>
        </w:rPr>
      </w:pPr>
    </w:p>
    <w:p>
      <w:pPr>
        <w:pStyle w:val="BodyText"/>
        <w:rPr>
          <w:b/>
        </w:rPr>
      </w:pPr>
    </w:p>
    <w:p>
      <w:pPr>
        <w:spacing w:before="212"/>
        <w:ind w:left="967" w:right="0" w:firstLine="0"/>
        <w:jc w:val="left"/>
        <w:rPr>
          <w:rFonts w:ascii="Raleway ExtraBold"/>
          <w:b/>
          <w:sz w:val="28"/>
        </w:rPr>
      </w:pPr>
      <w:bookmarkStart w:name="Juries Victoria should survey jurors abo" w:id="394"/>
      <w:bookmarkEnd w:id="394"/>
      <w:r>
        <w:rPr/>
      </w:r>
      <w:bookmarkStart w:name="Reviewing new laws after five years of o" w:id="395"/>
      <w:bookmarkEnd w:id="395"/>
      <w:r>
        <w:rPr/>
      </w:r>
      <w:bookmarkStart w:name="_bookmark165" w:id="396"/>
      <w:bookmarkEnd w:id="396"/>
      <w:r>
        <w:rPr/>
      </w:r>
      <w:r>
        <w:rPr>
          <w:rFonts w:ascii="Raleway ExtraBold"/>
          <w:b/>
          <w:color w:val="37617A"/>
          <w:sz w:val="28"/>
        </w:rPr>
        <w:t>Juries Victoria should survey jurors about their experiences</w:t>
      </w:r>
    </w:p>
    <w:p>
      <w:pPr>
        <w:pStyle w:val="ListParagraph"/>
        <w:numPr>
          <w:ilvl w:val="1"/>
          <w:numId w:val="12"/>
        </w:numPr>
        <w:tabs>
          <w:tab w:pos="1761" w:val="left" w:leader="none"/>
          <w:tab w:pos="1762" w:val="left" w:leader="none"/>
        </w:tabs>
        <w:spacing w:line="206" w:lineRule="auto" w:before="146" w:after="0"/>
        <w:ind w:left="1761" w:right="1395" w:hanging="794"/>
        <w:jc w:val="left"/>
        <w:rPr>
          <w:sz w:val="20"/>
        </w:rPr>
      </w:pPr>
      <w:r>
        <w:rPr>
          <w:sz w:val="20"/>
        </w:rPr>
        <w:t>It</w:t>
      </w:r>
      <w:r>
        <w:rPr>
          <w:spacing w:val="-10"/>
          <w:sz w:val="20"/>
        </w:rPr>
        <w:t> </w:t>
      </w:r>
      <w:r>
        <w:rPr>
          <w:spacing w:val="-3"/>
          <w:sz w:val="20"/>
        </w:rPr>
        <w:t>would</w:t>
      </w:r>
      <w:r>
        <w:rPr>
          <w:spacing w:val="-9"/>
          <w:sz w:val="20"/>
        </w:rPr>
        <w:t> </w:t>
      </w:r>
      <w:r>
        <w:rPr>
          <w:sz w:val="20"/>
        </w:rPr>
        <w:t>also</w:t>
      </w:r>
      <w:r>
        <w:rPr>
          <w:spacing w:val="-9"/>
          <w:sz w:val="20"/>
        </w:rPr>
        <w:t> </w:t>
      </w:r>
      <w:r>
        <w:rPr>
          <w:sz w:val="20"/>
        </w:rPr>
        <w:t>be</w:t>
      </w:r>
      <w:r>
        <w:rPr>
          <w:spacing w:val="-9"/>
          <w:sz w:val="20"/>
        </w:rPr>
        <w:t> </w:t>
      </w:r>
      <w:r>
        <w:rPr>
          <w:spacing w:val="-3"/>
          <w:sz w:val="20"/>
        </w:rPr>
        <w:t>valuable</w:t>
      </w:r>
      <w:r>
        <w:rPr>
          <w:spacing w:val="-9"/>
          <w:sz w:val="20"/>
        </w:rPr>
        <w:t> </w:t>
      </w:r>
      <w:r>
        <w:rPr>
          <w:sz w:val="20"/>
        </w:rPr>
        <w:t>to</w:t>
      </w:r>
      <w:r>
        <w:rPr>
          <w:spacing w:val="-9"/>
          <w:sz w:val="20"/>
        </w:rPr>
        <w:t> </w:t>
      </w:r>
      <w:r>
        <w:rPr>
          <w:sz w:val="20"/>
        </w:rPr>
        <w:t>collect</w:t>
      </w:r>
      <w:r>
        <w:rPr>
          <w:spacing w:val="-9"/>
          <w:sz w:val="20"/>
        </w:rPr>
        <w:t> </w:t>
      </w:r>
      <w:r>
        <w:rPr>
          <w:sz w:val="20"/>
        </w:rPr>
        <w:t>qualitative</w:t>
      </w:r>
      <w:r>
        <w:rPr>
          <w:spacing w:val="-9"/>
          <w:sz w:val="20"/>
        </w:rPr>
        <w:t> </w:t>
      </w:r>
      <w:r>
        <w:rPr>
          <w:sz w:val="20"/>
        </w:rPr>
        <w:t>data</w:t>
      </w:r>
      <w:r>
        <w:rPr>
          <w:spacing w:val="-9"/>
          <w:sz w:val="20"/>
        </w:rPr>
        <w:t> </w:t>
      </w:r>
      <w:r>
        <w:rPr>
          <w:sz w:val="20"/>
        </w:rPr>
        <w:t>about</w:t>
      </w:r>
      <w:r>
        <w:rPr>
          <w:spacing w:val="-10"/>
          <w:sz w:val="20"/>
        </w:rPr>
        <w:t> </w:t>
      </w:r>
      <w:r>
        <w:rPr>
          <w:spacing w:val="-3"/>
          <w:sz w:val="20"/>
        </w:rPr>
        <w:t>people’s</w:t>
      </w:r>
      <w:r>
        <w:rPr>
          <w:spacing w:val="-9"/>
          <w:sz w:val="20"/>
        </w:rPr>
        <w:t> </w:t>
      </w:r>
      <w:r>
        <w:rPr>
          <w:sz w:val="20"/>
        </w:rPr>
        <w:t>experiences</w:t>
      </w:r>
      <w:r>
        <w:rPr>
          <w:spacing w:val="-9"/>
          <w:sz w:val="20"/>
        </w:rPr>
        <w:t> </w:t>
      </w:r>
      <w:r>
        <w:rPr>
          <w:sz w:val="20"/>
        </w:rPr>
        <w:t>of</w:t>
      </w:r>
      <w:r>
        <w:rPr>
          <w:spacing w:val="-9"/>
          <w:sz w:val="20"/>
        </w:rPr>
        <w:t> </w:t>
      </w:r>
      <w:r>
        <w:rPr>
          <w:sz w:val="20"/>
        </w:rPr>
        <w:t>the jury</w:t>
      </w:r>
      <w:r>
        <w:rPr>
          <w:spacing w:val="-6"/>
          <w:sz w:val="20"/>
        </w:rPr>
        <w:t> </w:t>
      </w:r>
      <w:r>
        <w:rPr>
          <w:sz w:val="20"/>
        </w:rPr>
        <w:t>selection</w:t>
      </w:r>
      <w:r>
        <w:rPr>
          <w:spacing w:val="-5"/>
          <w:sz w:val="20"/>
        </w:rPr>
        <w:t> </w:t>
      </w:r>
      <w:r>
        <w:rPr>
          <w:sz w:val="20"/>
        </w:rPr>
        <w:t>process</w:t>
      </w:r>
      <w:r>
        <w:rPr>
          <w:spacing w:val="-5"/>
          <w:sz w:val="20"/>
        </w:rPr>
        <w:t> </w:t>
      </w:r>
      <w:r>
        <w:rPr>
          <w:sz w:val="20"/>
        </w:rPr>
        <w:t>and</w:t>
      </w:r>
      <w:r>
        <w:rPr>
          <w:spacing w:val="-5"/>
          <w:sz w:val="20"/>
        </w:rPr>
        <w:t> </w:t>
      </w:r>
      <w:r>
        <w:rPr>
          <w:sz w:val="20"/>
        </w:rPr>
        <w:t>serving</w:t>
      </w:r>
      <w:r>
        <w:rPr>
          <w:spacing w:val="-6"/>
          <w:sz w:val="20"/>
        </w:rPr>
        <w:t> </w:t>
      </w:r>
      <w:r>
        <w:rPr>
          <w:sz w:val="20"/>
        </w:rPr>
        <w:t>as</w:t>
      </w:r>
      <w:r>
        <w:rPr>
          <w:spacing w:val="-5"/>
          <w:sz w:val="20"/>
        </w:rPr>
        <w:t> </w:t>
      </w:r>
      <w:r>
        <w:rPr>
          <w:sz w:val="20"/>
        </w:rPr>
        <w:t>a</w:t>
      </w:r>
      <w:r>
        <w:rPr>
          <w:spacing w:val="-5"/>
          <w:sz w:val="20"/>
        </w:rPr>
        <w:t> </w:t>
      </w:r>
      <w:r>
        <w:rPr>
          <w:sz w:val="20"/>
        </w:rPr>
        <w:t>juror</w:t>
      </w:r>
      <w:r>
        <w:rPr>
          <w:spacing w:val="-5"/>
          <w:sz w:val="20"/>
        </w:rPr>
        <w:t> </w:t>
      </w:r>
      <w:r>
        <w:rPr>
          <w:sz w:val="20"/>
        </w:rPr>
        <w:t>with</w:t>
      </w:r>
      <w:r>
        <w:rPr>
          <w:spacing w:val="-5"/>
          <w:sz w:val="20"/>
        </w:rPr>
        <w:t> </w:t>
      </w:r>
      <w:r>
        <w:rPr>
          <w:sz w:val="20"/>
        </w:rPr>
        <w:t>adjustments.</w:t>
      </w:r>
    </w:p>
    <w:p>
      <w:pPr>
        <w:pStyle w:val="ListParagraph"/>
        <w:numPr>
          <w:ilvl w:val="1"/>
          <w:numId w:val="12"/>
        </w:numPr>
        <w:tabs>
          <w:tab w:pos="1761" w:val="left" w:leader="none"/>
          <w:tab w:pos="1762" w:val="left" w:leader="none"/>
        </w:tabs>
        <w:spacing w:line="206" w:lineRule="auto" w:before="122" w:after="0"/>
        <w:ind w:left="1761" w:right="1440" w:hanging="794"/>
        <w:jc w:val="left"/>
        <w:rPr>
          <w:sz w:val="11"/>
        </w:rPr>
      </w:pPr>
      <w:r>
        <w:rPr>
          <w:sz w:val="20"/>
        </w:rPr>
        <w:t>The</w:t>
      </w:r>
      <w:r>
        <w:rPr>
          <w:spacing w:val="-11"/>
          <w:sz w:val="20"/>
        </w:rPr>
        <w:t> </w:t>
      </w:r>
      <w:r>
        <w:rPr>
          <w:sz w:val="20"/>
        </w:rPr>
        <w:t>Juries</w:t>
      </w:r>
      <w:r>
        <w:rPr>
          <w:spacing w:val="-11"/>
          <w:sz w:val="20"/>
        </w:rPr>
        <w:t> </w:t>
      </w:r>
      <w:r>
        <w:rPr>
          <w:sz w:val="20"/>
        </w:rPr>
        <w:t>Commissioner</w:t>
      </w:r>
      <w:r>
        <w:rPr>
          <w:spacing w:val="-11"/>
          <w:sz w:val="20"/>
        </w:rPr>
        <w:t> </w:t>
      </w:r>
      <w:r>
        <w:rPr>
          <w:sz w:val="20"/>
        </w:rPr>
        <w:t>has</w:t>
      </w:r>
      <w:r>
        <w:rPr>
          <w:spacing w:val="-11"/>
          <w:sz w:val="20"/>
        </w:rPr>
        <w:t> </w:t>
      </w:r>
      <w:r>
        <w:rPr>
          <w:sz w:val="20"/>
        </w:rPr>
        <w:t>recommended</w:t>
      </w:r>
      <w:r>
        <w:rPr>
          <w:spacing w:val="-11"/>
          <w:sz w:val="20"/>
        </w:rPr>
        <w:t> </w:t>
      </w:r>
      <w:r>
        <w:rPr>
          <w:sz w:val="20"/>
        </w:rPr>
        <w:t>that</w:t>
      </w:r>
      <w:r>
        <w:rPr>
          <w:spacing w:val="-11"/>
          <w:sz w:val="20"/>
        </w:rPr>
        <w:t> </w:t>
      </w:r>
      <w:r>
        <w:rPr>
          <w:sz w:val="20"/>
        </w:rPr>
        <w:t>user</w:t>
      </w:r>
      <w:r>
        <w:rPr>
          <w:spacing w:val="-10"/>
          <w:sz w:val="20"/>
        </w:rPr>
        <w:t> </w:t>
      </w:r>
      <w:r>
        <w:rPr>
          <w:sz w:val="20"/>
        </w:rPr>
        <w:t>satisfaction</w:t>
      </w:r>
      <w:r>
        <w:rPr>
          <w:spacing w:val="-11"/>
          <w:sz w:val="20"/>
        </w:rPr>
        <w:t> </w:t>
      </w:r>
      <w:r>
        <w:rPr>
          <w:sz w:val="20"/>
        </w:rPr>
        <w:t>of</w:t>
      </w:r>
      <w:r>
        <w:rPr>
          <w:spacing w:val="-11"/>
          <w:sz w:val="20"/>
        </w:rPr>
        <w:t> </w:t>
      </w:r>
      <w:r>
        <w:rPr>
          <w:sz w:val="20"/>
        </w:rPr>
        <w:t>the</w:t>
      </w:r>
      <w:r>
        <w:rPr>
          <w:spacing w:val="-11"/>
          <w:sz w:val="20"/>
        </w:rPr>
        <w:t> </w:t>
      </w:r>
      <w:r>
        <w:rPr>
          <w:sz w:val="20"/>
        </w:rPr>
        <w:t>jury</w:t>
      </w:r>
      <w:r>
        <w:rPr>
          <w:spacing w:val="-11"/>
          <w:sz w:val="20"/>
        </w:rPr>
        <w:t> </w:t>
      </w:r>
      <w:r>
        <w:rPr>
          <w:sz w:val="20"/>
        </w:rPr>
        <w:t>system be</w:t>
      </w:r>
      <w:r>
        <w:rPr>
          <w:spacing w:val="-11"/>
          <w:sz w:val="20"/>
        </w:rPr>
        <w:t> </w:t>
      </w:r>
      <w:r>
        <w:rPr>
          <w:sz w:val="20"/>
        </w:rPr>
        <w:t>assessed</w:t>
      </w:r>
      <w:r>
        <w:rPr>
          <w:spacing w:val="-10"/>
          <w:sz w:val="20"/>
        </w:rPr>
        <w:t> </w:t>
      </w:r>
      <w:r>
        <w:rPr>
          <w:sz w:val="20"/>
        </w:rPr>
        <w:t>to</w:t>
      </w:r>
      <w:r>
        <w:rPr>
          <w:spacing w:val="-10"/>
          <w:sz w:val="20"/>
        </w:rPr>
        <w:t> </w:t>
      </w:r>
      <w:r>
        <w:rPr>
          <w:sz w:val="20"/>
        </w:rPr>
        <w:t>complement</w:t>
      </w:r>
      <w:r>
        <w:rPr>
          <w:spacing w:val="-10"/>
          <w:sz w:val="20"/>
        </w:rPr>
        <w:t> </w:t>
      </w:r>
      <w:r>
        <w:rPr>
          <w:sz w:val="20"/>
        </w:rPr>
        <w:t>the</w:t>
      </w:r>
      <w:r>
        <w:rPr>
          <w:spacing w:val="-10"/>
          <w:sz w:val="20"/>
        </w:rPr>
        <w:t> </w:t>
      </w:r>
      <w:r>
        <w:rPr>
          <w:sz w:val="20"/>
        </w:rPr>
        <w:t>courts’</w:t>
      </w:r>
      <w:r>
        <w:rPr>
          <w:spacing w:val="-10"/>
          <w:sz w:val="20"/>
        </w:rPr>
        <w:t> </w:t>
      </w:r>
      <w:r>
        <w:rPr>
          <w:sz w:val="20"/>
        </w:rPr>
        <w:t>adoption</w:t>
      </w:r>
      <w:r>
        <w:rPr>
          <w:spacing w:val="-10"/>
          <w:sz w:val="20"/>
        </w:rPr>
        <w:t> </w:t>
      </w:r>
      <w:r>
        <w:rPr>
          <w:sz w:val="20"/>
        </w:rPr>
        <w:t>of</w:t>
      </w:r>
      <w:r>
        <w:rPr>
          <w:spacing w:val="-10"/>
          <w:sz w:val="20"/>
        </w:rPr>
        <w:t> </w:t>
      </w:r>
      <w:r>
        <w:rPr>
          <w:sz w:val="20"/>
        </w:rPr>
        <w:t>the</w:t>
      </w:r>
      <w:r>
        <w:rPr>
          <w:spacing w:val="-10"/>
          <w:sz w:val="20"/>
        </w:rPr>
        <w:t> </w:t>
      </w:r>
      <w:r>
        <w:rPr>
          <w:sz w:val="20"/>
        </w:rPr>
        <w:t>‘International</w:t>
      </w:r>
      <w:r>
        <w:rPr>
          <w:spacing w:val="-10"/>
          <w:sz w:val="20"/>
        </w:rPr>
        <w:t> </w:t>
      </w:r>
      <w:r>
        <w:rPr>
          <w:spacing w:val="-4"/>
          <w:sz w:val="20"/>
        </w:rPr>
        <w:t>Framework</w:t>
      </w:r>
      <w:r>
        <w:rPr>
          <w:spacing w:val="-10"/>
          <w:sz w:val="20"/>
        </w:rPr>
        <w:t> </w:t>
      </w:r>
      <w:r>
        <w:rPr>
          <w:sz w:val="20"/>
        </w:rPr>
        <w:t>for Court </w:t>
      </w:r>
      <w:r>
        <w:rPr>
          <w:spacing w:val="-3"/>
          <w:sz w:val="20"/>
        </w:rPr>
        <w:t>Excellence’, </w:t>
      </w:r>
      <w:r>
        <w:rPr>
          <w:sz w:val="20"/>
        </w:rPr>
        <w:t>which looks at a range of performance measures, including user satisfaction.</w:t>
      </w:r>
      <w:r>
        <w:rPr>
          <w:position w:val="7"/>
          <w:sz w:val="11"/>
        </w:rPr>
        <w:t>29</w:t>
      </w:r>
    </w:p>
    <w:p>
      <w:pPr>
        <w:pStyle w:val="ListParagraph"/>
        <w:numPr>
          <w:ilvl w:val="1"/>
          <w:numId w:val="12"/>
        </w:numPr>
        <w:tabs>
          <w:tab w:pos="1761" w:val="left" w:leader="none"/>
          <w:tab w:pos="1762" w:val="left" w:leader="none"/>
        </w:tabs>
        <w:spacing w:line="206" w:lineRule="auto" w:before="125" w:after="0"/>
        <w:ind w:left="1761" w:right="1248" w:hanging="794"/>
        <w:jc w:val="left"/>
        <w:rPr>
          <w:sz w:val="11"/>
        </w:rPr>
      </w:pPr>
      <w:r>
        <w:rPr>
          <w:spacing w:val="-6"/>
          <w:sz w:val="20"/>
        </w:rPr>
        <w:t>We </w:t>
      </w:r>
      <w:r>
        <w:rPr>
          <w:sz w:val="20"/>
        </w:rPr>
        <w:t>understand that the Juries Commissioner conducted a feedback survey in </w:t>
      </w:r>
      <w:r>
        <w:rPr>
          <w:spacing w:val="-3"/>
          <w:sz w:val="20"/>
        </w:rPr>
        <w:t>2021 </w:t>
      </w:r>
      <w:r>
        <w:rPr>
          <w:sz w:val="20"/>
        </w:rPr>
        <w:t>regarding user experiences of the online juror orientation program.</w:t>
      </w:r>
      <w:r>
        <w:rPr>
          <w:position w:val="7"/>
          <w:sz w:val="11"/>
        </w:rPr>
        <w:t>30 </w:t>
      </w:r>
      <w:r>
        <w:rPr>
          <w:sz w:val="20"/>
        </w:rPr>
        <w:t>The online program was implemented in response to the </w:t>
      </w:r>
      <w:r>
        <w:rPr>
          <w:spacing w:val="-3"/>
          <w:sz w:val="20"/>
        </w:rPr>
        <w:t>coronavirus (COVID-19) </w:t>
      </w:r>
      <w:r>
        <w:rPr>
          <w:sz w:val="20"/>
        </w:rPr>
        <w:t>pandemic and aims</w:t>
      </w:r>
      <w:r>
        <w:rPr>
          <w:spacing w:val="-14"/>
          <w:sz w:val="20"/>
        </w:rPr>
        <w:t> </w:t>
      </w:r>
      <w:r>
        <w:rPr>
          <w:sz w:val="20"/>
        </w:rPr>
        <w:t>to</w:t>
      </w:r>
      <w:r>
        <w:rPr>
          <w:spacing w:val="-13"/>
          <w:sz w:val="20"/>
        </w:rPr>
        <w:t> </w:t>
      </w:r>
      <w:r>
        <w:rPr>
          <w:sz w:val="20"/>
        </w:rPr>
        <w:t>replicate</w:t>
      </w:r>
      <w:r>
        <w:rPr>
          <w:spacing w:val="-13"/>
          <w:sz w:val="20"/>
        </w:rPr>
        <w:t> </w:t>
      </w:r>
      <w:r>
        <w:rPr>
          <w:sz w:val="20"/>
        </w:rPr>
        <w:t>online</w:t>
      </w:r>
      <w:r>
        <w:rPr>
          <w:spacing w:val="-13"/>
          <w:sz w:val="20"/>
        </w:rPr>
        <w:t> </w:t>
      </w:r>
      <w:r>
        <w:rPr>
          <w:sz w:val="20"/>
        </w:rPr>
        <w:t>the</w:t>
      </w:r>
      <w:r>
        <w:rPr>
          <w:spacing w:val="-14"/>
          <w:sz w:val="20"/>
        </w:rPr>
        <w:t> </w:t>
      </w:r>
      <w:r>
        <w:rPr>
          <w:sz w:val="20"/>
        </w:rPr>
        <w:t>in-person</w:t>
      </w:r>
      <w:r>
        <w:rPr>
          <w:spacing w:val="-13"/>
          <w:sz w:val="20"/>
        </w:rPr>
        <w:t> </w:t>
      </w:r>
      <w:r>
        <w:rPr>
          <w:sz w:val="20"/>
        </w:rPr>
        <w:t>orientation</w:t>
      </w:r>
      <w:r>
        <w:rPr>
          <w:spacing w:val="-13"/>
          <w:sz w:val="20"/>
        </w:rPr>
        <w:t> </w:t>
      </w:r>
      <w:r>
        <w:rPr>
          <w:sz w:val="20"/>
        </w:rPr>
        <w:t>normally</w:t>
      </w:r>
      <w:r>
        <w:rPr>
          <w:spacing w:val="-13"/>
          <w:sz w:val="20"/>
        </w:rPr>
        <w:t> </w:t>
      </w:r>
      <w:r>
        <w:rPr>
          <w:spacing w:val="-3"/>
          <w:sz w:val="20"/>
        </w:rPr>
        <w:t>given</w:t>
      </w:r>
      <w:r>
        <w:rPr>
          <w:spacing w:val="-13"/>
          <w:sz w:val="20"/>
        </w:rPr>
        <w:t> </w:t>
      </w:r>
      <w:r>
        <w:rPr>
          <w:sz w:val="20"/>
        </w:rPr>
        <w:t>to</w:t>
      </w:r>
      <w:r>
        <w:rPr>
          <w:spacing w:val="-14"/>
          <w:sz w:val="20"/>
        </w:rPr>
        <w:t> </w:t>
      </w:r>
      <w:r>
        <w:rPr>
          <w:sz w:val="20"/>
        </w:rPr>
        <w:t>those</w:t>
      </w:r>
      <w:r>
        <w:rPr>
          <w:spacing w:val="-13"/>
          <w:sz w:val="20"/>
        </w:rPr>
        <w:t> </w:t>
      </w:r>
      <w:r>
        <w:rPr>
          <w:sz w:val="20"/>
        </w:rPr>
        <w:t>attending</w:t>
      </w:r>
      <w:r>
        <w:rPr>
          <w:spacing w:val="-13"/>
          <w:sz w:val="20"/>
        </w:rPr>
        <w:t> </w:t>
      </w:r>
      <w:r>
        <w:rPr>
          <w:sz w:val="20"/>
        </w:rPr>
        <w:t>jury service.</w:t>
      </w:r>
      <w:r>
        <w:rPr>
          <w:position w:val="7"/>
          <w:sz w:val="11"/>
        </w:rPr>
        <w:t>31</w:t>
      </w:r>
    </w:p>
    <w:p>
      <w:pPr>
        <w:pStyle w:val="ListParagraph"/>
        <w:numPr>
          <w:ilvl w:val="1"/>
          <w:numId w:val="12"/>
        </w:numPr>
        <w:tabs>
          <w:tab w:pos="1761" w:val="left" w:leader="none"/>
          <w:tab w:pos="1762" w:val="left" w:leader="none"/>
        </w:tabs>
        <w:spacing w:line="206" w:lineRule="auto" w:before="127" w:after="0"/>
        <w:ind w:left="1761" w:right="1631" w:hanging="794"/>
        <w:jc w:val="left"/>
        <w:rPr>
          <w:sz w:val="20"/>
        </w:rPr>
      </w:pPr>
      <w:r>
        <w:rPr>
          <w:sz w:val="20"/>
        </w:rPr>
        <w:t>Subject</w:t>
      </w:r>
      <w:r>
        <w:rPr>
          <w:spacing w:val="-16"/>
          <w:sz w:val="20"/>
        </w:rPr>
        <w:t> </w:t>
      </w:r>
      <w:r>
        <w:rPr>
          <w:sz w:val="20"/>
        </w:rPr>
        <w:t>to</w:t>
      </w:r>
      <w:r>
        <w:rPr>
          <w:spacing w:val="-15"/>
          <w:sz w:val="20"/>
        </w:rPr>
        <w:t> </w:t>
      </w:r>
      <w:r>
        <w:rPr>
          <w:sz w:val="20"/>
        </w:rPr>
        <w:t>considerations</w:t>
      </w:r>
      <w:r>
        <w:rPr>
          <w:spacing w:val="-16"/>
          <w:sz w:val="20"/>
        </w:rPr>
        <w:t> </w:t>
      </w:r>
      <w:r>
        <w:rPr>
          <w:sz w:val="20"/>
        </w:rPr>
        <w:t>about</w:t>
      </w:r>
      <w:r>
        <w:rPr>
          <w:spacing w:val="-15"/>
          <w:sz w:val="20"/>
        </w:rPr>
        <w:t> </w:t>
      </w:r>
      <w:r>
        <w:rPr>
          <w:sz w:val="20"/>
        </w:rPr>
        <w:t>juror</w:t>
      </w:r>
      <w:r>
        <w:rPr>
          <w:spacing w:val="-15"/>
          <w:sz w:val="20"/>
        </w:rPr>
        <w:t> </w:t>
      </w:r>
      <w:r>
        <w:rPr>
          <w:sz w:val="20"/>
        </w:rPr>
        <w:t>obligations</w:t>
      </w:r>
      <w:r>
        <w:rPr>
          <w:spacing w:val="-16"/>
          <w:sz w:val="20"/>
        </w:rPr>
        <w:t> </w:t>
      </w:r>
      <w:r>
        <w:rPr>
          <w:sz w:val="20"/>
        </w:rPr>
        <w:t>of</w:t>
      </w:r>
      <w:r>
        <w:rPr>
          <w:spacing w:val="-15"/>
          <w:sz w:val="20"/>
        </w:rPr>
        <w:t> </w:t>
      </w:r>
      <w:r>
        <w:rPr>
          <w:sz w:val="20"/>
        </w:rPr>
        <w:t>confidentiality,</w:t>
      </w:r>
      <w:r>
        <w:rPr>
          <w:position w:val="7"/>
          <w:sz w:val="11"/>
        </w:rPr>
        <w:t>32</w:t>
      </w:r>
      <w:r>
        <w:rPr>
          <w:spacing w:val="9"/>
          <w:position w:val="7"/>
          <w:sz w:val="11"/>
        </w:rPr>
        <w:t> </w:t>
      </w:r>
      <w:r>
        <w:rPr>
          <w:sz w:val="20"/>
        </w:rPr>
        <w:t>Juries</w:t>
      </w:r>
      <w:r>
        <w:rPr>
          <w:spacing w:val="-15"/>
          <w:sz w:val="20"/>
        </w:rPr>
        <w:t> </w:t>
      </w:r>
      <w:r>
        <w:rPr>
          <w:sz w:val="20"/>
        </w:rPr>
        <w:t>Victoria should </w:t>
      </w:r>
      <w:r>
        <w:rPr>
          <w:spacing w:val="-3"/>
          <w:sz w:val="20"/>
        </w:rPr>
        <w:t>develop </w:t>
      </w:r>
      <w:r>
        <w:rPr>
          <w:sz w:val="20"/>
        </w:rPr>
        <w:t>a survey to distribute to people </w:t>
      </w:r>
      <w:r>
        <w:rPr>
          <w:spacing w:val="-3"/>
          <w:sz w:val="20"/>
        </w:rPr>
        <w:t>from </w:t>
      </w:r>
      <w:r>
        <w:rPr>
          <w:sz w:val="20"/>
        </w:rPr>
        <w:t>the subject groups, seeking feedback</w:t>
      </w:r>
      <w:r>
        <w:rPr>
          <w:spacing w:val="-9"/>
          <w:sz w:val="20"/>
        </w:rPr>
        <w:t> </w:t>
      </w:r>
      <w:r>
        <w:rPr>
          <w:sz w:val="20"/>
        </w:rPr>
        <w:t>on</w:t>
      </w:r>
      <w:r>
        <w:rPr>
          <w:spacing w:val="-8"/>
          <w:sz w:val="20"/>
        </w:rPr>
        <w:t> </w:t>
      </w:r>
      <w:r>
        <w:rPr>
          <w:sz w:val="20"/>
        </w:rPr>
        <w:t>their</w:t>
      </w:r>
      <w:r>
        <w:rPr>
          <w:spacing w:val="-8"/>
          <w:sz w:val="20"/>
        </w:rPr>
        <w:t> </w:t>
      </w:r>
      <w:r>
        <w:rPr>
          <w:sz w:val="20"/>
        </w:rPr>
        <w:t>experiences.</w:t>
      </w:r>
      <w:r>
        <w:rPr>
          <w:position w:val="7"/>
          <w:sz w:val="11"/>
        </w:rPr>
        <w:t>33</w:t>
      </w:r>
      <w:r>
        <w:rPr>
          <w:spacing w:val="17"/>
          <w:position w:val="7"/>
          <w:sz w:val="11"/>
        </w:rPr>
        <w:t> </w:t>
      </w:r>
      <w:r>
        <w:rPr>
          <w:sz w:val="20"/>
        </w:rPr>
        <w:t>This</w:t>
      </w:r>
      <w:r>
        <w:rPr>
          <w:spacing w:val="-8"/>
          <w:sz w:val="20"/>
        </w:rPr>
        <w:t> </w:t>
      </w:r>
      <w:r>
        <w:rPr>
          <w:sz w:val="20"/>
        </w:rPr>
        <w:t>feedback</w:t>
      </w:r>
      <w:r>
        <w:rPr>
          <w:spacing w:val="-8"/>
          <w:sz w:val="20"/>
        </w:rPr>
        <w:t> </w:t>
      </w:r>
      <w:r>
        <w:rPr>
          <w:sz w:val="20"/>
        </w:rPr>
        <w:t>could</w:t>
      </w:r>
      <w:r>
        <w:rPr>
          <w:spacing w:val="-9"/>
          <w:sz w:val="20"/>
        </w:rPr>
        <w:t> </w:t>
      </w:r>
      <w:r>
        <w:rPr>
          <w:sz w:val="20"/>
        </w:rPr>
        <w:t>be</w:t>
      </w:r>
      <w:r>
        <w:rPr>
          <w:spacing w:val="-8"/>
          <w:sz w:val="20"/>
        </w:rPr>
        <w:t> </w:t>
      </w:r>
      <w:r>
        <w:rPr>
          <w:sz w:val="20"/>
        </w:rPr>
        <w:t>used</w:t>
      </w:r>
      <w:r>
        <w:rPr>
          <w:spacing w:val="-8"/>
          <w:sz w:val="20"/>
        </w:rPr>
        <w:t> </w:t>
      </w:r>
      <w:r>
        <w:rPr>
          <w:sz w:val="20"/>
        </w:rPr>
        <w:t>to</w:t>
      </w:r>
      <w:r>
        <w:rPr>
          <w:spacing w:val="-8"/>
          <w:sz w:val="20"/>
        </w:rPr>
        <w:t> </w:t>
      </w:r>
      <w:r>
        <w:rPr>
          <w:spacing w:val="-4"/>
          <w:sz w:val="20"/>
        </w:rPr>
        <w:t>improve</w:t>
      </w:r>
      <w:r>
        <w:rPr>
          <w:spacing w:val="-8"/>
          <w:sz w:val="20"/>
        </w:rPr>
        <w:t> </w:t>
      </w:r>
      <w:r>
        <w:rPr>
          <w:spacing w:val="-3"/>
          <w:sz w:val="20"/>
        </w:rPr>
        <w:t>laws</w:t>
      </w:r>
      <w:r>
        <w:rPr>
          <w:spacing w:val="-8"/>
          <w:sz w:val="20"/>
        </w:rPr>
        <w:t> </w:t>
      </w:r>
      <w:r>
        <w:rPr>
          <w:sz w:val="20"/>
        </w:rPr>
        <w:t>and </w:t>
      </w:r>
      <w:r>
        <w:rPr>
          <w:spacing w:val="-3"/>
          <w:sz w:val="20"/>
        </w:rPr>
        <w:t>procedures</w:t>
      </w:r>
      <w:r>
        <w:rPr>
          <w:spacing w:val="-7"/>
          <w:sz w:val="20"/>
        </w:rPr>
        <w:t> </w:t>
      </w:r>
      <w:r>
        <w:rPr>
          <w:sz w:val="20"/>
        </w:rPr>
        <w:t>and</w:t>
      </w:r>
      <w:r>
        <w:rPr>
          <w:spacing w:val="-6"/>
          <w:sz w:val="20"/>
        </w:rPr>
        <w:t> </w:t>
      </w:r>
      <w:r>
        <w:rPr>
          <w:sz w:val="20"/>
        </w:rPr>
        <w:t>be</w:t>
      </w:r>
      <w:r>
        <w:rPr>
          <w:spacing w:val="-6"/>
          <w:sz w:val="20"/>
        </w:rPr>
        <w:t> </w:t>
      </w:r>
      <w:r>
        <w:rPr>
          <w:sz w:val="20"/>
        </w:rPr>
        <w:t>incorporated</w:t>
      </w:r>
      <w:r>
        <w:rPr>
          <w:spacing w:val="-6"/>
          <w:sz w:val="20"/>
        </w:rPr>
        <w:t> </w:t>
      </w:r>
      <w:r>
        <w:rPr>
          <w:spacing w:val="-3"/>
          <w:sz w:val="20"/>
        </w:rPr>
        <w:t>into</w:t>
      </w:r>
      <w:r>
        <w:rPr>
          <w:spacing w:val="-6"/>
          <w:sz w:val="20"/>
        </w:rPr>
        <w:t> </w:t>
      </w:r>
      <w:r>
        <w:rPr>
          <w:sz w:val="20"/>
        </w:rPr>
        <w:t>professional</w:t>
      </w:r>
      <w:r>
        <w:rPr>
          <w:spacing w:val="-6"/>
          <w:sz w:val="20"/>
        </w:rPr>
        <w:t> </w:t>
      </w:r>
      <w:r>
        <w:rPr>
          <w:sz w:val="20"/>
        </w:rPr>
        <w:t>and</w:t>
      </w:r>
      <w:r>
        <w:rPr>
          <w:spacing w:val="-6"/>
          <w:sz w:val="20"/>
        </w:rPr>
        <w:t> </w:t>
      </w:r>
      <w:r>
        <w:rPr>
          <w:sz w:val="20"/>
        </w:rPr>
        <w:t>judicial</w:t>
      </w:r>
      <w:r>
        <w:rPr>
          <w:spacing w:val="-6"/>
          <w:sz w:val="20"/>
        </w:rPr>
        <w:t> </w:t>
      </w:r>
      <w:r>
        <w:rPr>
          <w:sz w:val="20"/>
        </w:rPr>
        <w:t>training.</w:t>
      </w:r>
    </w:p>
    <w:p>
      <w:pPr>
        <w:pStyle w:val="BodyText"/>
        <w:spacing w:before="8"/>
        <w:rPr>
          <w:sz w:val="16"/>
        </w:rPr>
      </w:pPr>
    </w:p>
    <w:p>
      <w:pPr>
        <w:spacing w:before="0"/>
        <w:ind w:left="967" w:right="0" w:firstLine="0"/>
        <w:jc w:val="left"/>
        <w:rPr>
          <w:rFonts w:ascii="Raleway ExtraBold"/>
          <w:b/>
          <w:sz w:val="28"/>
        </w:rPr>
      </w:pPr>
      <w:r>
        <w:rPr>
          <w:rFonts w:ascii="Raleway ExtraBold"/>
          <w:b/>
          <w:color w:val="37617A"/>
          <w:sz w:val="28"/>
        </w:rPr>
        <w:t>Reviewing new laws after five years of operation</w:t>
      </w:r>
    </w:p>
    <w:p>
      <w:pPr>
        <w:pStyle w:val="ListParagraph"/>
        <w:numPr>
          <w:ilvl w:val="1"/>
          <w:numId w:val="12"/>
        </w:numPr>
        <w:tabs>
          <w:tab w:pos="1761" w:val="left" w:leader="none"/>
          <w:tab w:pos="1762" w:val="left" w:leader="none"/>
        </w:tabs>
        <w:spacing w:line="206" w:lineRule="auto" w:before="146" w:after="0"/>
        <w:ind w:left="1761" w:right="1324" w:hanging="794"/>
        <w:jc w:val="left"/>
        <w:rPr>
          <w:sz w:val="20"/>
        </w:rPr>
      </w:pPr>
      <w:r>
        <w:rPr>
          <w:sz w:val="20"/>
        </w:rPr>
        <w:t>The </w:t>
      </w:r>
      <w:r>
        <w:rPr>
          <w:spacing w:val="-2"/>
          <w:sz w:val="20"/>
        </w:rPr>
        <w:t>Act </w:t>
      </w:r>
      <w:r>
        <w:rPr>
          <w:sz w:val="20"/>
        </w:rPr>
        <w:t>should include a mechanism that </w:t>
      </w:r>
      <w:r>
        <w:rPr>
          <w:spacing w:val="-3"/>
          <w:sz w:val="20"/>
        </w:rPr>
        <w:t>requires </w:t>
      </w:r>
      <w:r>
        <w:rPr>
          <w:sz w:val="20"/>
        </w:rPr>
        <w:t>the new </w:t>
      </w:r>
      <w:r>
        <w:rPr>
          <w:spacing w:val="-3"/>
          <w:sz w:val="20"/>
        </w:rPr>
        <w:t>laws </w:t>
      </w:r>
      <w:r>
        <w:rPr>
          <w:sz w:val="20"/>
        </w:rPr>
        <w:t>to be </w:t>
      </w:r>
      <w:r>
        <w:rPr>
          <w:spacing w:val="-4"/>
          <w:sz w:val="20"/>
        </w:rPr>
        <w:t>reviewed </w:t>
      </w:r>
      <w:r>
        <w:rPr>
          <w:spacing w:val="-3"/>
          <w:sz w:val="20"/>
        </w:rPr>
        <w:t>by </w:t>
      </w:r>
      <w:r>
        <w:rPr>
          <w:sz w:val="20"/>
        </w:rPr>
        <w:t>the Attorney-General after they </w:t>
      </w:r>
      <w:r>
        <w:rPr>
          <w:spacing w:val="-4"/>
          <w:sz w:val="20"/>
        </w:rPr>
        <w:t>have </w:t>
      </w:r>
      <w:r>
        <w:rPr>
          <w:sz w:val="20"/>
        </w:rPr>
        <w:t>been in operation for </w:t>
      </w:r>
      <w:r>
        <w:rPr>
          <w:spacing w:val="-3"/>
          <w:sz w:val="20"/>
        </w:rPr>
        <w:t>five </w:t>
      </w:r>
      <w:r>
        <w:rPr>
          <w:sz w:val="20"/>
        </w:rPr>
        <w:t>years. A report on the outcome</w:t>
      </w:r>
      <w:r>
        <w:rPr>
          <w:spacing w:val="-10"/>
          <w:sz w:val="20"/>
        </w:rPr>
        <w:t> </w:t>
      </w:r>
      <w:r>
        <w:rPr>
          <w:sz w:val="20"/>
        </w:rPr>
        <w:t>of</w:t>
      </w:r>
      <w:r>
        <w:rPr>
          <w:spacing w:val="-10"/>
          <w:sz w:val="20"/>
        </w:rPr>
        <w:t> </w:t>
      </w:r>
      <w:r>
        <w:rPr>
          <w:sz w:val="20"/>
        </w:rPr>
        <w:t>the</w:t>
      </w:r>
      <w:r>
        <w:rPr>
          <w:spacing w:val="-9"/>
          <w:sz w:val="20"/>
        </w:rPr>
        <w:t> </w:t>
      </w:r>
      <w:r>
        <w:rPr>
          <w:spacing w:val="-4"/>
          <w:sz w:val="20"/>
        </w:rPr>
        <w:t>review</w:t>
      </w:r>
      <w:r>
        <w:rPr>
          <w:spacing w:val="-10"/>
          <w:sz w:val="20"/>
        </w:rPr>
        <w:t> </w:t>
      </w:r>
      <w:r>
        <w:rPr>
          <w:sz w:val="20"/>
        </w:rPr>
        <w:t>should</w:t>
      </w:r>
      <w:r>
        <w:rPr>
          <w:spacing w:val="-10"/>
          <w:sz w:val="20"/>
        </w:rPr>
        <w:t> </w:t>
      </w:r>
      <w:r>
        <w:rPr>
          <w:sz w:val="20"/>
        </w:rPr>
        <w:t>be</w:t>
      </w:r>
      <w:r>
        <w:rPr>
          <w:spacing w:val="-9"/>
          <w:sz w:val="20"/>
        </w:rPr>
        <w:t> </w:t>
      </w:r>
      <w:r>
        <w:rPr>
          <w:sz w:val="20"/>
        </w:rPr>
        <w:t>tabled</w:t>
      </w:r>
      <w:r>
        <w:rPr>
          <w:spacing w:val="-10"/>
          <w:sz w:val="20"/>
        </w:rPr>
        <w:t> </w:t>
      </w:r>
      <w:r>
        <w:rPr>
          <w:sz w:val="20"/>
        </w:rPr>
        <w:t>in</w:t>
      </w:r>
      <w:r>
        <w:rPr>
          <w:spacing w:val="-10"/>
          <w:sz w:val="20"/>
        </w:rPr>
        <w:t> </w:t>
      </w:r>
      <w:r>
        <w:rPr>
          <w:sz w:val="20"/>
        </w:rPr>
        <w:t>each</w:t>
      </w:r>
      <w:r>
        <w:rPr>
          <w:spacing w:val="-9"/>
          <w:sz w:val="20"/>
        </w:rPr>
        <w:t> </w:t>
      </w:r>
      <w:r>
        <w:rPr>
          <w:sz w:val="20"/>
        </w:rPr>
        <w:t>House</w:t>
      </w:r>
      <w:r>
        <w:rPr>
          <w:spacing w:val="-10"/>
          <w:sz w:val="20"/>
        </w:rPr>
        <w:t> </w:t>
      </w:r>
      <w:r>
        <w:rPr>
          <w:sz w:val="20"/>
        </w:rPr>
        <w:t>of</w:t>
      </w:r>
      <w:r>
        <w:rPr>
          <w:spacing w:val="-10"/>
          <w:sz w:val="20"/>
        </w:rPr>
        <w:t> </w:t>
      </w:r>
      <w:r>
        <w:rPr>
          <w:sz w:val="20"/>
        </w:rPr>
        <w:t>Parliament</w:t>
      </w:r>
      <w:r>
        <w:rPr>
          <w:spacing w:val="-9"/>
          <w:sz w:val="20"/>
        </w:rPr>
        <w:t> </w:t>
      </w:r>
      <w:r>
        <w:rPr>
          <w:sz w:val="20"/>
        </w:rPr>
        <w:t>within</w:t>
      </w:r>
      <w:r>
        <w:rPr>
          <w:spacing w:val="-10"/>
          <w:sz w:val="20"/>
        </w:rPr>
        <w:t> </w:t>
      </w:r>
      <w:r>
        <w:rPr>
          <w:sz w:val="20"/>
        </w:rPr>
        <w:t>12</w:t>
      </w:r>
      <w:r>
        <w:rPr>
          <w:spacing w:val="-10"/>
          <w:sz w:val="20"/>
        </w:rPr>
        <w:t> </w:t>
      </w:r>
      <w:r>
        <w:rPr>
          <w:sz w:val="20"/>
        </w:rPr>
        <w:t>months of the</w:t>
      </w:r>
      <w:r>
        <w:rPr>
          <w:spacing w:val="-9"/>
          <w:sz w:val="20"/>
        </w:rPr>
        <w:t> </w:t>
      </w:r>
      <w:r>
        <w:rPr>
          <w:spacing w:val="-5"/>
          <w:sz w:val="20"/>
        </w:rPr>
        <w:t>review.</w:t>
      </w:r>
    </w:p>
    <w:p>
      <w:pPr>
        <w:pStyle w:val="ListParagraph"/>
        <w:numPr>
          <w:ilvl w:val="1"/>
          <w:numId w:val="12"/>
        </w:numPr>
        <w:tabs>
          <w:tab w:pos="1761" w:val="left" w:leader="none"/>
          <w:tab w:pos="1762" w:val="left" w:leader="none"/>
        </w:tabs>
        <w:spacing w:line="206" w:lineRule="auto" w:before="125" w:after="0"/>
        <w:ind w:left="1761" w:right="1491" w:hanging="794"/>
        <w:jc w:val="left"/>
        <w:rPr>
          <w:sz w:val="20"/>
        </w:rPr>
      </w:pPr>
      <w:r>
        <w:rPr>
          <w:sz w:val="20"/>
        </w:rPr>
        <w:t>A </w:t>
      </w:r>
      <w:r>
        <w:rPr>
          <w:spacing w:val="-4"/>
          <w:sz w:val="20"/>
        </w:rPr>
        <w:t>review </w:t>
      </w:r>
      <w:r>
        <w:rPr>
          <w:sz w:val="20"/>
        </w:rPr>
        <w:t>will ensure that the policy objectives of the new provisions remain valid and</w:t>
      </w:r>
      <w:r>
        <w:rPr>
          <w:spacing w:val="-10"/>
          <w:sz w:val="20"/>
        </w:rPr>
        <w:t> </w:t>
      </w:r>
      <w:r>
        <w:rPr>
          <w:sz w:val="20"/>
        </w:rPr>
        <w:t>that</w:t>
      </w:r>
      <w:r>
        <w:rPr>
          <w:spacing w:val="-9"/>
          <w:sz w:val="20"/>
        </w:rPr>
        <w:t> </w:t>
      </w:r>
      <w:r>
        <w:rPr>
          <w:sz w:val="20"/>
        </w:rPr>
        <w:t>timely</w:t>
      </w:r>
      <w:r>
        <w:rPr>
          <w:spacing w:val="-10"/>
          <w:sz w:val="20"/>
        </w:rPr>
        <w:t> </w:t>
      </w:r>
      <w:r>
        <w:rPr>
          <w:sz w:val="20"/>
        </w:rPr>
        <w:t>amendments</w:t>
      </w:r>
      <w:r>
        <w:rPr>
          <w:spacing w:val="-9"/>
          <w:sz w:val="20"/>
        </w:rPr>
        <w:t> </w:t>
      </w:r>
      <w:r>
        <w:rPr>
          <w:sz w:val="20"/>
        </w:rPr>
        <w:t>can</w:t>
      </w:r>
      <w:r>
        <w:rPr>
          <w:spacing w:val="-9"/>
          <w:sz w:val="20"/>
        </w:rPr>
        <w:t> </w:t>
      </w:r>
      <w:r>
        <w:rPr>
          <w:sz w:val="20"/>
        </w:rPr>
        <w:t>be</w:t>
      </w:r>
      <w:r>
        <w:rPr>
          <w:spacing w:val="-10"/>
          <w:sz w:val="20"/>
        </w:rPr>
        <w:t> </w:t>
      </w:r>
      <w:r>
        <w:rPr>
          <w:sz w:val="20"/>
        </w:rPr>
        <w:t>made</w:t>
      </w:r>
      <w:r>
        <w:rPr>
          <w:spacing w:val="-9"/>
          <w:sz w:val="20"/>
        </w:rPr>
        <w:t> </w:t>
      </w:r>
      <w:r>
        <w:rPr>
          <w:sz w:val="20"/>
        </w:rPr>
        <w:t>to</w:t>
      </w:r>
      <w:r>
        <w:rPr>
          <w:spacing w:val="-9"/>
          <w:sz w:val="20"/>
        </w:rPr>
        <w:t> </w:t>
      </w:r>
      <w:r>
        <w:rPr>
          <w:sz w:val="20"/>
        </w:rPr>
        <w:t>the</w:t>
      </w:r>
      <w:r>
        <w:rPr>
          <w:spacing w:val="-10"/>
          <w:sz w:val="20"/>
        </w:rPr>
        <w:t> </w:t>
      </w:r>
      <w:r>
        <w:rPr>
          <w:i/>
          <w:sz w:val="20"/>
        </w:rPr>
        <w:t>Juries</w:t>
      </w:r>
      <w:r>
        <w:rPr>
          <w:i/>
          <w:spacing w:val="-9"/>
          <w:sz w:val="20"/>
        </w:rPr>
        <w:t> </w:t>
      </w:r>
      <w:r>
        <w:rPr>
          <w:i/>
          <w:sz w:val="20"/>
        </w:rPr>
        <w:t>Act</w:t>
      </w:r>
      <w:r>
        <w:rPr>
          <w:i/>
          <w:spacing w:val="-9"/>
          <w:sz w:val="20"/>
        </w:rPr>
        <w:t> </w:t>
      </w:r>
      <w:r>
        <w:rPr>
          <w:i/>
          <w:sz w:val="20"/>
        </w:rPr>
        <w:t>2000</w:t>
      </w:r>
      <w:r>
        <w:rPr>
          <w:i/>
          <w:spacing w:val="-8"/>
          <w:sz w:val="20"/>
        </w:rPr>
        <w:t> </w:t>
      </w:r>
      <w:r>
        <w:rPr>
          <w:sz w:val="20"/>
        </w:rPr>
        <w:t>(Vic)</w:t>
      </w:r>
      <w:r>
        <w:rPr>
          <w:spacing w:val="-10"/>
          <w:sz w:val="20"/>
        </w:rPr>
        <w:t> </w:t>
      </w:r>
      <w:r>
        <w:rPr>
          <w:sz w:val="20"/>
        </w:rPr>
        <w:t>(the</w:t>
      </w:r>
      <w:r>
        <w:rPr>
          <w:spacing w:val="-9"/>
          <w:sz w:val="20"/>
        </w:rPr>
        <w:t> </w:t>
      </w:r>
      <w:r>
        <w:rPr>
          <w:spacing w:val="-3"/>
          <w:sz w:val="20"/>
        </w:rPr>
        <w:t>Act).</w:t>
      </w:r>
      <w:r>
        <w:rPr>
          <w:spacing w:val="-9"/>
          <w:sz w:val="20"/>
        </w:rPr>
        <w:t> </w:t>
      </w:r>
      <w:r>
        <w:rPr>
          <w:sz w:val="20"/>
        </w:rPr>
        <w:t>It</w:t>
      </w:r>
      <w:r>
        <w:rPr>
          <w:spacing w:val="-10"/>
          <w:sz w:val="20"/>
        </w:rPr>
        <w:t> </w:t>
      </w:r>
      <w:r>
        <w:rPr>
          <w:sz w:val="20"/>
        </w:rPr>
        <w:t>will also </w:t>
      </w:r>
      <w:r>
        <w:rPr>
          <w:spacing w:val="-3"/>
          <w:sz w:val="20"/>
        </w:rPr>
        <w:t>provide </w:t>
      </w:r>
      <w:r>
        <w:rPr>
          <w:sz w:val="20"/>
        </w:rPr>
        <w:t>an opportunity to consider the matters discussed earlier in this report, including:</w:t>
      </w:r>
    </w:p>
    <w:p>
      <w:pPr>
        <w:pStyle w:val="ListParagraph"/>
        <w:numPr>
          <w:ilvl w:val="2"/>
          <w:numId w:val="12"/>
        </w:numPr>
        <w:tabs>
          <w:tab w:pos="2157" w:val="left" w:leader="none"/>
          <w:tab w:pos="2158" w:val="left" w:leader="none"/>
        </w:tabs>
        <w:spacing w:line="206" w:lineRule="auto" w:before="125" w:after="0"/>
        <w:ind w:left="2157" w:right="1237" w:hanging="396"/>
        <w:jc w:val="left"/>
        <w:rPr>
          <w:sz w:val="20"/>
        </w:rPr>
      </w:pPr>
      <w:r>
        <w:rPr>
          <w:sz w:val="20"/>
        </w:rPr>
        <w:t>whether</w:t>
      </w:r>
      <w:r>
        <w:rPr>
          <w:spacing w:val="-13"/>
          <w:sz w:val="20"/>
        </w:rPr>
        <w:t> </w:t>
      </w:r>
      <w:r>
        <w:rPr>
          <w:sz w:val="20"/>
        </w:rPr>
        <w:t>Juries</w:t>
      </w:r>
      <w:r>
        <w:rPr>
          <w:spacing w:val="-12"/>
          <w:sz w:val="20"/>
        </w:rPr>
        <w:t> </w:t>
      </w:r>
      <w:r>
        <w:rPr>
          <w:sz w:val="20"/>
        </w:rPr>
        <w:t>Victoria</w:t>
      </w:r>
      <w:r>
        <w:rPr>
          <w:spacing w:val="-12"/>
          <w:sz w:val="20"/>
        </w:rPr>
        <w:t> </w:t>
      </w:r>
      <w:r>
        <w:rPr>
          <w:sz w:val="20"/>
        </w:rPr>
        <w:t>and</w:t>
      </w:r>
      <w:r>
        <w:rPr>
          <w:spacing w:val="-13"/>
          <w:sz w:val="20"/>
        </w:rPr>
        <w:t> </w:t>
      </w:r>
      <w:r>
        <w:rPr>
          <w:sz w:val="20"/>
        </w:rPr>
        <w:t>the</w:t>
      </w:r>
      <w:r>
        <w:rPr>
          <w:spacing w:val="-12"/>
          <w:sz w:val="20"/>
        </w:rPr>
        <w:t> </w:t>
      </w:r>
      <w:r>
        <w:rPr>
          <w:sz w:val="20"/>
        </w:rPr>
        <w:t>courts</w:t>
      </w:r>
      <w:r>
        <w:rPr>
          <w:spacing w:val="-12"/>
          <w:sz w:val="20"/>
        </w:rPr>
        <w:t> </w:t>
      </w:r>
      <w:r>
        <w:rPr>
          <w:spacing w:val="-3"/>
          <w:sz w:val="20"/>
        </w:rPr>
        <w:t>are</w:t>
      </w:r>
      <w:r>
        <w:rPr>
          <w:spacing w:val="-12"/>
          <w:sz w:val="20"/>
        </w:rPr>
        <w:t> </w:t>
      </w:r>
      <w:r>
        <w:rPr>
          <w:sz w:val="20"/>
        </w:rPr>
        <w:t>keeping</w:t>
      </w:r>
      <w:r>
        <w:rPr>
          <w:spacing w:val="-13"/>
          <w:sz w:val="20"/>
        </w:rPr>
        <w:t> </w:t>
      </w:r>
      <w:r>
        <w:rPr>
          <w:sz w:val="20"/>
        </w:rPr>
        <w:t>up</w:t>
      </w:r>
      <w:r>
        <w:rPr>
          <w:spacing w:val="-12"/>
          <w:sz w:val="20"/>
        </w:rPr>
        <w:t> </w:t>
      </w:r>
      <w:r>
        <w:rPr>
          <w:sz w:val="20"/>
        </w:rPr>
        <w:t>with</w:t>
      </w:r>
      <w:r>
        <w:rPr>
          <w:spacing w:val="-12"/>
          <w:sz w:val="20"/>
        </w:rPr>
        <w:t> </w:t>
      </w:r>
      <w:r>
        <w:rPr>
          <w:sz w:val="20"/>
        </w:rPr>
        <w:t>technological</w:t>
      </w:r>
      <w:r>
        <w:rPr>
          <w:spacing w:val="-13"/>
          <w:sz w:val="20"/>
        </w:rPr>
        <w:t> </w:t>
      </w:r>
      <w:r>
        <w:rPr>
          <w:sz w:val="20"/>
        </w:rPr>
        <w:t>advances and</w:t>
      </w:r>
      <w:r>
        <w:rPr>
          <w:spacing w:val="-7"/>
          <w:sz w:val="20"/>
        </w:rPr>
        <w:t> </w:t>
      </w:r>
      <w:r>
        <w:rPr>
          <w:sz w:val="20"/>
        </w:rPr>
        <w:t>whether</w:t>
      </w:r>
      <w:r>
        <w:rPr>
          <w:spacing w:val="-7"/>
          <w:sz w:val="20"/>
        </w:rPr>
        <w:t> </w:t>
      </w:r>
      <w:r>
        <w:rPr>
          <w:spacing w:val="-3"/>
          <w:sz w:val="20"/>
        </w:rPr>
        <w:t>any</w:t>
      </w:r>
      <w:r>
        <w:rPr>
          <w:spacing w:val="-7"/>
          <w:sz w:val="20"/>
        </w:rPr>
        <w:t> </w:t>
      </w:r>
      <w:r>
        <w:rPr>
          <w:sz w:val="20"/>
        </w:rPr>
        <w:t>other</w:t>
      </w:r>
      <w:r>
        <w:rPr>
          <w:spacing w:val="-7"/>
          <w:sz w:val="20"/>
        </w:rPr>
        <w:t> </w:t>
      </w:r>
      <w:r>
        <w:rPr>
          <w:spacing w:val="-3"/>
          <w:sz w:val="20"/>
        </w:rPr>
        <w:t>examples</w:t>
      </w:r>
      <w:r>
        <w:rPr>
          <w:spacing w:val="-7"/>
          <w:sz w:val="20"/>
        </w:rPr>
        <w:t> </w:t>
      </w:r>
      <w:r>
        <w:rPr>
          <w:sz w:val="20"/>
        </w:rPr>
        <w:t>of</w:t>
      </w:r>
      <w:r>
        <w:rPr>
          <w:spacing w:val="-7"/>
          <w:sz w:val="20"/>
        </w:rPr>
        <w:t> </w:t>
      </w:r>
      <w:r>
        <w:rPr>
          <w:sz w:val="20"/>
        </w:rPr>
        <w:t>adjustments</w:t>
      </w:r>
      <w:r>
        <w:rPr>
          <w:spacing w:val="-7"/>
          <w:sz w:val="20"/>
        </w:rPr>
        <w:t> </w:t>
      </w:r>
      <w:r>
        <w:rPr>
          <w:sz w:val="20"/>
        </w:rPr>
        <w:t>need</w:t>
      </w:r>
      <w:r>
        <w:rPr>
          <w:spacing w:val="-7"/>
          <w:sz w:val="20"/>
        </w:rPr>
        <w:t> </w:t>
      </w:r>
      <w:r>
        <w:rPr>
          <w:sz w:val="20"/>
        </w:rPr>
        <w:t>to</w:t>
      </w:r>
      <w:r>
        <w:rPr>
          <w:spacing w:val="-7"/>
          <w:sz w:val="20"/>
        </w:rPr>
        <w:t> </w:t>
      </w:r>
      <w:r>
        <w:rPr>
          <w:sz w:val="20"/>
        </w:rPr>
        <w:t>be</w:t>
      </w:r>
      <w:r>
        <w:rPr>
          <w:spacing w:val="-7"/>
          <w:sz w:val="20"/>
        </w:rPr>
        <w:t> </w:t>
      </w:r>
      <w:r>
        <w:rPr>
          <w:sz w:val="20"/>
        </w:rPr>
        <w:t>included</w:t>
      </w:r>
      <w:r>
        <w:rPr>
          <w:spacing w:val="-7"/>
          <w:sz w:val="20"/>
        </w:rPr>
        <w:t> </w:t>
      </w:r>
      <w:r>
        <w:rPr>
          <w:sz w:val="20"/>
        </w:rPr>
        <w:t>in</w:t>
      </w:r>
      <w:r>
        <w:rPr>
          <w:spacing w:val="-7"/>
          <w:sz w:val="20"/>
        </w:rPr>
        <w:t> </w:t>
      </w:r>
      <w:r>
        <w:rPr>
          <w:sz w:val="20"/>
        </w:rPr>
        <w:t>the</w:t>
      </w:r>
      <w:r>
        <w:rPr>
          <w:spacing w:val="-7"/>
          <w:sz w:val="20"/>
        </w:rPr>
        <w:t> </w:t>
      </w:r>
      <w:r>
        <w:rPr>
          <w:spacing w:val="-2"/>
          <w:sz w:val="20"/>
        </w:rPr>
        <w:t>Act</w:t>
      </w:r>
    </w:p>
    <w:p>
      <w:pPr>
        <w:pStyle w:val="ListParagraph"/>
        <w:numPr>
          <w:ilvl w:val="2"/>
          <w:numId w:val="12"/>
        </w:numPr>
        <w:tabs>
          <w:tab w:pos="2157" w:val="left" w:leader="none"/>
          <w:tab w:pos="2158" w:val="left" w:leader="none"/>
        </w:tabs>
        <w:spacing w:line="206" w:lineRule="auto" w:before="88" w:after="0"/>
        <w:ind w:left="2157" w:right="1778" w:hanging="396"/>
        <w:jc w:val="left"/>
        <w:rPr>
          <w:sz w:val="20"/>
        </w:rPr>
      </w:pPr>
      <w:r>
        <w:rPr>
          <w:sz w:val="20"/>
        </w:rPr>
        <w:t>whether</w:t>
      </w:r>
      <w:r>
        <w:rPr>
          <w:spacing w:val="-12"/>
          <w:sz w:val="20"/>
        </w:rPr>
        <w:t> </w:t>
      </w:r>
      <w:r>
        <w:rPr>
          <w:sz w:val="20"/>
        </w:rPr>
        <w:t>to</w:t>
      </w:r>
      <w:r>
        <w:rPr>
          <w:spacing w:val="-11"/>
          <w:sz w:val="20"/>
        </w:rPr>
        <w:t> </w:t>
      </w:r>
      <w:r>
        <w:rPr>
          <w:sz w:val="20"/>
        </w:rPr>
        <w:t>expand</w:t>
      </w:r>
      <w:r>
        <w:rPr>
          <w:spacing w:val="-12"/>
          <w:sz w:val="20"/>
        </w:rPr>
        <w:t> </w:t>
      </w:r>
      <w:r>
        <w:rPr>
          <w:sz w:val="20"/>
        </w:rPr>
        <w:t>the</w:t>
      </w:r>
      <w:r>
        <w:rPr>
          <w:spacing w:val="-11"/>
          <w:sz w:val="20"/>
        </w:rPr>
        <w:t> </w:t>
      </w:r>
      <w:r>
        <w:rPr>
          <w:sz w:val="20"/>
        </w:rPr>
        <w:t>application</w:t>
      </w:r>
      <w:r>
        <w:rPr>
          <w:spacing w:val="-12"/>
          <w:sz w:val="20"/>
        </w:rPr>
        <w:t> </w:t>
      </w:r>
      <w:r>
        <w:rPr>
          <w:sz w:val="20"/>
        </w:rPr>
        <w:t>of</w:t>
      </w:r>
      <w:r>
        <w:rPr>
          <w:spacing w:val="-11"/>
          <w:sz w:val="20"/>
        </w:rPr>
        <w:t> </w:t>
      </w:r>
      <w:r>
        <w:rPr>
          <w:sz w:val="20"/>
        </w:rPr>
        <w:t>the</w:t>
      </w:r>
      <w:r>
        <w:rPr>
          <w:spacing w:val="-11"/>
          <w:sz w:val="20"/>
        </w:rPr>
        <w:t> </w:t>
      </w:r>
      <w:r>
        <w:rPr>
          <w:spacing w:val="-2"/>
          <w:sz w:val="20"/>
        </w:rPr>
        <w:t>Act</w:t>
      </w:r>
      <w:r>
        <w:rPr>
          <w:spacing w:val="-12"/>
          <w:sz w:val="20"/>
        </w:rPr>
        <w:t> </w:t>
      </w:r>
      <w:r>
        <w:rPr>
          <w:sz w:val="20"/>
        </w:rPr>
        <w:t>to</w:t>
      </w:r>
      <w:r>
        <w:rPr>
          <w:spacing w:val="-11"/>
          <w:sz w:val="20"/>
        </w:rPr>
        <w:t> </w:t>
      </w:r>
      <w:r>
        <w:rPr>
          <w:sz w:val="20"/>
        </w:rPr>
        <w:t>include</w:t>
      </w:r>
      <w:r>
        <w:rPr>
          <w:spacing w:val="-12"/>
          <w:sz w:val="20"/>
        </w:rPr>
        <w:t> </w:t>
      </w:r>
      <w:r>
        <w:rPr>
          <w:sz w:val="20"/>
        </w:rPr>
        <w:t>jurors</w:t>
      </w:r>
      <w:r>
        <w:rPr>
          <w:spacing w:val="-11"/>
          <w:sz w:val="20"/>
        </w:rPr>
        <w:t> </w:t>
      </w:r>
      <w:r>
        <w:rPr>
          <w:sz w:val="20"/>
        </w:rPr>
        <w:t>whose</w:t>
      </w:r>
      <w:r>
        <w:rPr>
          <w:spacing w:val="-11"/>
          <w:sz w:val="20"/>
        </w:rPr>
        <w:t> </w:t>
      </w:r>
      <w:r>
        <w:rPr>
          <w:sz w:val="20"/>
        </w:rPr>
        <w:t>primary language is other than</w:t>
      </w:r>
      <w:r>
        <w:rPr>
          <w:spacing w:val="-18"/>
          <w:sz w:val="20"/>
        </w:rPr>
        <w:t> </w:t>
      </w:r>
      <w:r>
        <w:rPr>
          <w:sz w:val="20"/>
        </w:rPr>
        <w:t>English</w:t>
      </w:r>
    </w:p>
    <w:p>
      <w:pPr>
        <w:pStyle w:val="ListParagraph"/>
        <w:numPr>
          <w:ilvl w:val="2"/>
          <w:numId w:val="12"/>
        </w:numPr>
        <w:tabs>
          <w:tab w:pos="2157" w:val="left" w:leader="none"/>
          <w:tab w:pos="2158" w:val="left" w:leader="none"/>
        </w:tabs>
        <w:spacing w:line="206" w:lineRule="auto" w:before="87" w:after="0"/>
        <w:ind w:left="2157" w:right="1627" w:hanging="396"/>
        <w:jc w:val="left"/>
        <w:rPr>
          <w:sz w:val="20"/>
        </w:rPr>
      </w:pPr>
      <w:r>
        <w:rPr>
          <w:sz w:val="20"/>
        </w:rPr>
        <w:t>whether</w:t>
      </w:r>
      <w:r>
        <w:rPr>
          <w:spacing w:val="-10"/>
          <w:sz w:val="20"/>
        </w:rPr>
        <w:t> </w:t>
      </w:r>
      <w:r>
        <w:rPr>
          <w:sz w:val="20"/>
        </w:rPr>
        <w:t>members</w:t>
      </w:r>
      <w:r>
        <w:rPr>
          <w:spacing w:val="-10"/>
          <w:sz w:val="20"/>
        </w:rPr>
        <w:t> </w:t>
      </w:r>
      <w:r>
        <w:rPr>
          <w:sz w:val="20"/>
        </w:rPr>
        <w:t>of</w:t>
      </w:r>
      <w:r>
        <w:rPr>
          <w:spacing w:val="-10"/>
          <w:sz w:val="20"/>
        </w:rPr>
        <w:t> </w:t>
      </w:r>
      <w:r>
        <w:rPr>
          <w:sz w:val="20"/>
        </w:rPr>
        <w:t>the</w:t>
      </w:r>
      <w:r>
        <w:rPr>
          <w:spacing w:val="-9"/>
          <w:sz w:val="20"/>
        </w:rPr>
        <w:t> </w:t>
      </w:r>
      <w:r>
        <w:rPr>
          <w:sz w:val="20"/>
        </w:rPr>
        <w:t>subject</w:t>
      </w:r>
      <w:r>
        <w:rPr>
          <w:spacing w:val="-10"/>
          <w:sz w:val="20"/>
        </w:rPr>
        <w:t> </w:t>
      </w:r>
      <w:r>
        <w:rPr>
          <w:sz w:val="20"/>
        </w:rPr>
        <w:t>groups</w:t>
      </w:r>
      <w:r>
        <w:rPr>
          <w:spacing w:val="-10"/>
          <w:sz w:val="20"/>
        </w:rPr>
        <w:t> </w:t>
      </w:r>
      <w:r>
        <w:rPr>
          <w:spacing w:val="-3"/>
          <w:sz w:val="20"/>
        </w:rPr>
        <w:t>are</w:t>
      </w:r>
      <w:r>
        <w:rPr>
          <w:spacing w:val="-9"/>
          <w:sz w:val="20"/>
        </w:rPr>
        <w:t> </w:t>
      </w:r>
      <w:r>
        <w:rPr>
          <w:sz w:val="20"/>
        </w:rPr>
        <w:t>being</w:t>
      </w:r>
      <w:r>
        <w:rPr>
          <w:spacing w:val="-10"/>
          <w:sz w:val="20"/>
        </w:rPr>
        <w:t> </w:t>
      </w:r>
      <w:r>
        <w:rPr>
          <w:sz w:val="20"/>
        </w:rPr>
        <w:t>challenged</w:t>
      </w:r>
      <w:r>
        <w:rPr>
          <w:spacing w:val="-10"/>
          <w:sz w:val="20"/>
        </w:rPr>
        <w:t> </w:t>
      </w:r>
      <w:r>
        <w:rPr>
          <w:spacing w:val="-3"/>
          <w:sz w:val="20"/>
        </w:rPr>
        <w:t>peremptorily</w:t>
      </w:r>
      <w:r>
        <w:rPr>
          <w:spacing w:val="-9"/>
          <w:sz w:val="20"/>
        </w:rPr>
        <w:t> </w:t>
      </w:r>
      <w:r>
        <w:rPr>
          <w:sz w:val="20"/>
        </w:rPr>
        <w:t>or stood aside and thus being </w:t>
      </w:r>
      <w:r>
        <w:rPr>
          <w:spacing w:val="-3"/>
          <w:sz w:val="20"/>
        </w:rPr>
        <w:t>prevented from </w:t>
      </w:r>
      <w:r>
        <w:rPr>
          <w:sz w:val="20"/>
        </w:rPr>
        <w:t>serving at</w:t>
      </w:r>
      <w:r>
        <w:rPr>
          <w:spacing w:val="-37"/>
          <w:sz w:val="20"/>
        </w:rPr>
        <w:t> </w:t>
      </w:r>
      <w:r>
        <w:rPr>
          <w:sz w:val="20"/>
        </w:rPr>
        <w:t>all</w:t>
      </w:r>
    </w:p>
    <w:p>
      <w:pPr>
        <w:pStyle w:val="ListParagraph"/>
        <w:numPr>
          <w:ilvl w:val="2"/>
          <w:numId w:val="12"/>
        </w:numPr>
        <w:tabs>
          <w:tab w:pos="2157" w:val="left" w:leader="none"/>
          <w:tab w:pos="2158" w:val="left" w:leader="none"/>
        </w:tabs>
        <w:spacing w:line="259" w:lineRule="exact" w:before="56" w:after="0"/>
        <w:ind w:left="2157" w:right="0" w:hanging="396"/>
        <w:jc w:val="left"/>
        <w:rPr>
          <w:sz w:val="20"/>
        </w:rPr>
      </w:pPr>
      <w:r>
        <w:rPr>
          <w:sz w:val="20"/>
        </w:rPr>
        <w:t>assessing</w:t>
      </w:r>
      <w:r>
        <w:rPr>
          <w:spacing w:val="-14"/>
          <w:sz w:val="20"/>
        </w:rPr>
        <w:t> </w:t>
      </w:r>
      <w:r>
        <w:rPr>
          <w:sz w:val="20"/>
        </w:rPr>
        <w:t>the</w:t>
      </w:r>
      <w:r>
        <w:rPr>
          <w:spacing w:val="-13"/>
          <w:sz w:val="20"/>
        </w:rPr>
        <w:t> </w:t>
      </w:r>
      <w:r>
        <w:rPr>
          <w:sz w:val="20"/>
        </w:rPr>
        <w:t>implications</w:t>
      </w:r>
      <w:r>
        <w:rPr>
          <w:spacing w:val="-13"/>
          <w:sz w:val="20"/>
        </w:rPr>
        <w:t> </w:t>
      </w:r>
      <w:r>
        <w:rPr>
          <w:sz w:val="20"/>
        </w:rPr>
        <w:t>of</w:t>
      </w:r>
      <w:r>
        <w:rPr>
          <w:spacing w:val="-14"/>
          <w:sz w:val="20"/>
        </w:rPr>
        <w:t> </w:t>
      </w:r>
      <w:r>
        <w:rPr>
          <w:sz w:val="20"/>
        </w:rPr>
        <w:t>significant</w:t>
      </w:r>
      <w:r>
        <w:rPr>
          <w:spacing w:val="-13"/>
          <w:sz w:val="20"/>
        </w:rPr>
        <w:t> </w:t>
      </w:r>
      <w:r>
        <w:rPr>
          <w:sz w:val="20"/>
        </w:rPr>
        <w:t>rulings</w:t>
      </w:r>
      <w:r>
        <w:rPr>
          <w:spacing w:val="-13"/>
          <w:sz w:val="20"/>
        </w:rPr>
        <w:t> </w:t>
      </w:r>
      <w:r>
        <w:rPr>
          <w:sz w:val="20"/>
        </w:rPr>
        <w:t>or</w:t>
      </w:r>
      <w:r>
        <w:rPr>
          <w:spacing w:val="-13"/>
          <w:sz w:val="20"/>
        </w:rPr>
        <w:t> </w:t>
      </w:r>
      <w:r>
        <w:rPr>
          <w:sz w:val="20"/>
        </w:rPr>
        <w:t>appeal</w:t>
      </w:r>
      <w:r>
        <w:rPr>
          <w:spacing w:val="-14"/>
          <w:sz w:val="20"/>
        </w:rPr>
        <w:t> </w:t>
      </w:r>
      <w:r>
        <w:rPr>
          <w:sz w:val="20"/>
        </w:rPr>
        <w:t>judgments</w:t>
      </w:r>
      <w:r>
        <w:rPr>
          <w:spacing w:val="-13"/>
          <w:sz w:val="20"/>
        </w:rPr>
        <w:t> </w:t>
      </w:r>
      <w:r>
        <w:rPr>
          <w:sz w:val="20"/>
        </w:rPr>
        <w:t>arising</w:t>
      </w:r>
      <w:r>
        <w:rPr>
          <w:spacing w:val="-13"/>
          <w:sz w:val="20"/>
        </w:rPr>
        <w:t> </w:t>
      </w:r>
      <w:r>
        <w:rPr>
          <w:spacing w:val="-3"/>
          <w:sz w:val="20"/>
        </w:rPr>
        <w:t>from</w:t>
      </w:r>
    </w:p>
    <w:p>
      <w:pPr>
        <w:pStyle w:val="BodyText"/>
        <w:spacing w:line="259" w:lineRule="exact"/>
        <w:ind w:left="2157"/>
      </w:pPr>
      <w:r>
        <w:rPr/>
        <w:t>the</w:t>
      </w:r>
      <w:r>
        <w:rPr>
          <w:spacing w:val="1"/>
        </w:rPr>
        <w:t> </w:t>
      </w:r>
      <w:r>
        <w:rPr>
          <w:spacing w:val="-3"/>
        </w:rPr>
        <w:t>reforms</w:t>
      </w:r>
    </w:p>
    <w:p>
      <w:pPr>
        <w:pStyle w:val="ListParagraph"/>
        <w:numPr>
          <w:ilvl w:val="2"/>
          <w:numId w:val="12"/>
        </w:numPr>
        <w:tabs>
          <w:tab w:pos="2157" w:val="left" w:leader="none"/>
          <w:tab w:pos="2158" w:val="left" w:leader="none"/>
        </w:tabs>
        <w:spacing w:line="240" w:lineRule="auto" w:before="47" w:after="0"/>
        <w:ind w:left="2157" w:right="0" w:hanging="396"/>
        <w:jc w:val="left"/>
        <w:rPr>
          <w:sz w:val="20"/>
        </w:rPr>
      </w:pPr>
      <w:r>
        <w:rPr>
          <w:sz w:val="20"/>
        </w:rPr>
        <w:t>whether</w:t>
      </w:r>
      <w:r>
        <w:rPr>
          <w:spacing w:val="-12"/>
          <w:sz w:val="20"/>
        </w:rPr>
        <w:t> </w:t>
      </w:r>
      <w:r>
        <w:rPr>
          <w:spacing w:val="-3"/>
          <w:sz w:val="20"/>
        </w:rPr>
        <w:t>relevant</w:t>
      </w:r>
      <w:r>
        <w:rPr>
          <w:spacing w:val="-11"/>
          <w:sz w:val="20"/>
        </w:rPr>
        <w:t> </w:t>
      </w:r>
      <w:r>
        <w:rPr>
          <w:sz w:val="20"/>
        </w:rPr>
        <w:t>agencies</w:t>
      </w:r>
      <w:r>
        <w:rPr>
          <w:spacing w:val="-11"/>
          <w:sz w:val="20"/>
        </w:rPr>
        <w:t> </w:t>
      </w:r>
      <w:r>
        <w:rPr>
          <w:spacing w:val="-3"/>
          <w:sz w:val="20"/>
        </w:rPr>
        <w:t>are</w:t>
      </w:r>
      <w:r>
        <w:rPr>
          <w:spacing w:val="-11"/>
          <w:sz w:val="20"/>
        </w:rPr>
        <w:t> </w:t>
      </w:r>
      <w:r>
        <w:rPr>
          <w:spacing w:val="-3"/>
          <w:sz w:val="20"/>
        </w:rPr>
        <w:t>complying</w:t>
      </w:r>
      <w:r>
        <w:rPr>
          <w:spacing w:val="-11"/>
          <w:sz w:val="20"/>
        </w:rPr>
        <w:t> </w:t>
      </w:r>
      <w:r>
        <w:rPr>
          <w:sz w:val="20"/>
        </w:rPr>
        <w:t>with</w:t>
      </w:r>
      <w:r>
        <w:rPr>
          <w:spacing w:val="-11"/>
          <w:sz w:val="20"/>
        </w:rPr>
        <w:t> </w:t>
      </w:r>
      <w:r>
        <w:rPr>
          <w:sz w:val="20"/>
        </w:rPr>
        <w:t>their</w:t>
      </w:r>
      <w:r>
        <w:rPr>
          <w:spacing w:val="-11"/>
          <w:sz w:val="20"/>
        </w:rPr>
        <w:t> </w:t>
      </w:r>
      <w:r>
        <w:rPr>
          <w:sz w:val="20"/>
        </w:rPr>
        <w:t>policy</w:t>
      </w:r>
      <w:r>
        <w:rPr>
          <w:spacing w:val="-11"/>
          <w:sz w:val="20"/>
        </w:rPr>
        <w:t> </w:t>
      </w:r>
      <w:r>
        <w:rPr>
          <w:sz w:val="20"/>
        </w:rPr>
        <w:t>and</w:t>
      </w:r>
      <w:r>
        <w:rPr>
          <w:spacing w:val="-11"/>
          <w:sz w:val="20"/>
        </w:rPr>
        <w:t> </w:t>
      </w:r>
      <w:r>
        <w:rPr>
          <w:sz w:val="20"/>
        </w:rPr>
        <w:t>training</w:t>
      </w:r>
      <w:r>
        <w:rPr>
          <w:spacing w:val="-11"/>
          <w:sz w:val="20"/>
        </w:rPr>
        <w:t> </w:t>
      </w:r>
      <w:r>
        <w:rPr>
          <w:sz w:val="20"/>
        </w:rPr>
        <w:t>obligations.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6"/>
        </w:rPr>
      </w:pPr>
      <w:r>
        <w:rPr/>
        <w:pict>
          <v:line style="position:absolute;mso-position-horizontal-relative:page;mso-position-vertical-relative:paragraph;z-index:11888;mso-wrap-distance-left:0;mso-wrap-distance-right:0" from="79.370102pt,20.5278pt" to="515.905102pt,20.5278pt" stroked="true" strokeweight="1pt" strokecolor="#b6bdc8">
            <v:stroke dashstyle="solid"/>
            <w10:wrap type="topAndBottom"/>
          </v:line>
        </w:pict>
      </w:r>
    </w:p>
    <w:p>
      <w:pPr>
        <w:pStyle w:val="BodyText"/>
        <w:rPr>
          <w:sz w:val="5"/>
        </w:rPr>
      </w:pPr>
    </w:p>
    <w:p>
      <w:pPr>
        <w:spacing w:after="0"/>
        <w:rPr>
          <w:sz w:val="5"/>
        </w:rPr>
        <w:sectPr>
          <w:pgSz w:w="11910" w:h="16840"/>
          <w:pgMar w:header="567" w:footer="0" w:top="860" w:bottom="280" w:left="620" w:right="380"/>
        </w:sectPr>
      </w:pPr>
    </w:p>
    <w:p>
      <w:pPr>
        <w:pStyle w:val="BodyText"/>
        <w:rPr>
          <w:sz w:val="28"/>
        </w:rPr>
      </w:pPr>
    </w:p>
    <w:p>
      <w:pPr>
        <w:pStyle w:val="BodyText"/>
        <w:spacing w:before="7"/>
        <w:rPr>
          <w:sz w:val="33"/>
        </w:rPr>
      </w:pPr>
    </w:p>
    <w:p>
      <w:pPr>
        <w:spacing w:before="1"/>
        <w:ind w:left="100" w:right="0" w:firstLine="0"/>
        <w:jc w:val="left"/>
        <w:rPr>
          <w:b/>
          <w:sz w:val="24"/>
        </w:rPr>
      </w:pPr>
      <w:r>
        <w:rPr>
          <w:b/>
          <w:color w:val="37617A"/>
          <w:sz w:val="24"/>
        </w:rPr>
        <w:t>226</w:t>
      </w:r>
    </w:p>
    <w:p>
      <w:pPr>
        <w:pStyle w:val="ListParagraph"/>
        <w:numPr>
          <w:ilvl w:val="0"/>
          <w:numId w:val="125"/>
        </w:numPr>
        <w:tabs>
          <w:tab w:pos="893" w:val="left" w:leader="none"/>
          <w:tab w:pos="894" w:val="left" w:leader="none"/>
        </w:tabs>
        <w:spacing w:line="170" w:lineRule="exact" w:before="21" w:after="0"/>
        <w:ind w:left="893" w:right="0" w:hanging="793"/>
        <w:jc w:val="left"/>
        <w:rPr>
          <w:sz w:val="13"/>
        </w:rPr>
      </w:pPr>
      <w:r>
        <w:rPr>
          <w:spacing w:val="2"/>
          <w:w w:val="99"/>
          <w:sz w:val="13"/>
        </w:rPr>
        <w:br w:type="column"/>
      </w:r>
      <w:r>
        <w:rPr>
          <w:sz w:val="13"/>
        </w:rPr>
        <w:t>Paul Anthony Dore, </w:t>
      </w:r>
      <w:r>
        <w:rPr>
          <w:i/>
          <w:spacing w:val="-4"/>
          <w:sz w:val="13"/>
        </w:rPr>
        <w:t>To </w:t>
      </w:r>
      <w:r>
        <w:rPr>
          <w:i/>
          <w:sz w:val="13"/>
        </w:rPr>
        <w:t>Develop a Systemic Approach to Juror </w:t>
      </w:r>
      <w:r>
        <w:rPr>
          <w:i/>
          <w:spacing w:val="2"/>
          <w:sz w:val="13"/>
        </w:rPr>
        <w:t>Support </w:t>
      </w:r>
      <w:r>
        <w:rPr>
          <w:i/>
          <w:sz w:val="13"/>
        </w:rPr>
        <w:t>Programs in Australia </w:t>
      </w:r>
      <w:r>
        <w:rPr>
          <w:spacing w:val="2"/>
          <w:sz w:val="13"/>
        </w:rPr>
        <w:t>(Report, </w:t>
      </w:r>
      <w:r>
        <w:rPr>
          <w:sz w:val="13"/>
        </w:rPr>
        <w:t>Winston Churchill Trust,</w:t>
      </w:r>
      <w:r>
        <w:rPr>
          <w:spacing w:val="32"/>
          <w:sz w:val="13"/>
        </w:rPr>
        <w:t> </w:t>
      </w:r>
      <w:r>
        <w:rPr>
          <w:sz w:val="13"/>
        </w:rPr>
        <w:t>2018)</w:t>
      </w:r>
    </w:p>
    <w:p>
      <w:pPr>
        <w:pStyle w:val="ListParagraph"/>
        <w:numPr>
          <w:ilvl w:val="0"/>
          <w:numId w:val="127"/>
        </w:numPr>
        <w:tabs>
          <w:tab w:pos="1108" w:val="left" w:leader="none"/>
        </w:tabs>
        <w:spacing w:line="213" w:lineRule="auto" w:before="7" w:after="0"/>
        <w:ind w:left="893" w:right="1501" w:firstLine="0"/>
        <w:jc w:val="left"/>
        <w:rPr>
          <w:sz w:val="13"/>
        </w:rPr>
      </w:pPr>
      <w:r>
        <w:rPr>
          <w:sz w:val="13"/>
        </w:rPr>
        <w:t>See </w:t>
      </w:r>
      <w:r>
        <w:rPr>
          <w:spacing w:val="2"/>
          <w:sz w:val="13"/>
        </w:rPr>
        <w:t>also </w:t>
      </w:r>
      <w:r>
        <w:rPr>
          <w:sz w:val="13"/>
        </w:rPr>
        <w:t>‘International Framework for </w:t>
      </w:r>
      <w:r>
        <w:rPr>
          <w:spacing w:val="2"/>
          <w:sz w:val="13"/>
        </w:rPr>
        <w:t>Court </w:t>
      </w:r>
      <w:r>
        <w:rPr>
          <w:sz w:val="13"/>
        </w:rPr>
        <w:t>Excellence’, </w:t>
      </w:r>
      <w:r>
        <w:rPr>
          <w:i/>
          <w:sz w:val="13"/>
        </w:rPr>
        <w:t>International Consortium for Court Excellence </w:t>
      </w:r>
      <w:r>
        <w:rPr>
          <w:sz w:val="13"/>
        </w:rPr>
        <w:t>(Web Page, 25 May 2020) &lt;</w:t>
      </w:r>
      <w:hyperlink r:id="rId271">
        <w:r>
          <w:rPr>
            <w:sz w:val="13"/>
          </w:rPr>
          <w:t>https://www.courtexcellence.com</w:t>
        </w:r>
      </w:hyperlink>
      <w:r>
        <w:rPr>
          <w:sz w:val="13"/>
        </w:rPr>
        <w:t>&gt;.</w:t>
      </w:r>
    </w:p>
    <w:p>
      <w:pPr>
        <w:pStyle w:val="ListParagraph"/>
        <w:numPr>
          <w:ilvl w:val="0"/>
          <w:numId w:val="125"/>
        </w:numPr>
        <w:tabs>
          <w:tab w:pos="893" w:val="left" w:leader="none"/>
          <w:tab w:pos="894" w:val="left" w:leader="none"/>
        </w:tabs>
        <w:spacing w:line="153" w:lineRule="exact" w:before="0" w:after="0"/>
        <w:ind w:left="893" w:right="0" w:hanging="793"/>
        <w:jc w:val="left"/>
        <w:rPr>
          <w:sz w:val="13"/>
        </w:rPr>
      </w:pPr>
      <w:r>
        <w:rPr>
          <w:sz w:val="13"/>
        </w:rPr>
        <w:t>Information provided by Juries Victoria to Victorian Law Reform </w:t>
      </w:r>
      <w:r>
        <w:rPr>
          <w:spacing w:val="2"/>
          <w:sz w:val="13"/>
        </w:rPr>
        <w:t>Commission, </w:t>
      </w:r>
      <w:r>
        <w:rPr>
          <w:sz w:val="13"/>
        </w:rPr>
        <w:t>20 September</w:t>
      </w:r>
      <w:r>
        <w:rPr>
          <w:spacing w:val="11"/>
          <w:sz w:val="13"/>
        </w:rPr>
        <w:t> </w:t>
      </w:r>
      <w:r>
        <w:rPr>
          <w:sz w:val="13"/>
        </w:rPr>
        <w:t>2021.</w:t>
      </w:r>
    </w:p>
    <w:p>
      <w:pPr>
        <w:pStyle w:val="ListParagraph"/>
        <w:numPr>
          <w:ilvl w:val="0"/>
          <w:numId w:val="125"/>
        </w:numPr>
        <w:tabs>
          <w:tab w:pos="893" w:val="left" w:leader="none"/>
          <w:tab w:pos="894" w:val="left" w:leader="none"/>
        </w:tabs>
        <w:spacing w:line="160" w:lineRule="exact" w:before="0" w:after="0"/>
        <w:ind w:left="893" w:right="0" w:hanging="793"/>
        <w:jc w:val="left"/>
        <w:rPr>
          <w:sz w:val="13"/>
        </w:rPr>
      </w:pPr>
      <w:r>
        <w:rPr>
          <w:spacing w:val="2"/>
          <w:sz w:val="13"/>
        </w:rPr>
        <w:t>Ibid.</w:t>
      </w:r>
    </w:p>
    <w:p>
      <w:pPr>
        <w:pStyle w:val="ListParagraph"/>
        <w:numPr>
          <w:ilvl w:val="0"/>
          <w:numId w:val="125"/>
        </w:numPr>
        <w:tabs>
          <w:tab w:pos="893" w:val="left" w:leader="none"/>
          <w:tab w:pos="894" w:val="left" w:leader="none"/>
        </w:tabs>
        <w:spacing w:line="160" w:lineRule="exact" w:before="0" w:after="0"/>
        <w:ind w:left="893" w:right="0" w:hanging="793"/>
        <w:jc w:val="left"/>
        <w:rPr>
          <w:sz w:val="13"/>
        </w:rPr>
      </w:pPr>
      <w:r>
        <w:rPr>
          <w:i/>
          <w:sz w:val="13"/>
        </w:rPr>
        <w:t>Juries Act 2000 </w:t>
      </w:r>
      <w:r>
        <w:rPr>
          <w:spacing w:val="2"/>
          <w:sz w:val="13"/>
        </w:rPr>
        <w:t>(Vic) </w:t>
      </w:r>
      <w:r>
        <w:rPr>
          <w:sz w:val="13"/>
        </w:rPr>
        <w:t>pt 10 s</w:t>
      </w:r>
      <w:r>
        <w:rPr>
          <w:spacing w:val="-2"/>
          <w:sz w:val="13"/>
        </w:rPr>
        <w:t> </w:t>
      </w:r>
      <w:r>
        <w:rPr>
          <w:spacing w:val="2"/>
          <w:sz w:val="13"/>
        </w:rPr>
        <w:t>78.</w:t>
      </w:r>
    </w:p>
    <w:p>
      <w:pPr>
        <w:pStyle w:val="ListParagraph"/>
        <w:numPr>
          <w:ilvl w:val="0"/>
          <w:numId w:val="125"/>
        </w:numPr>
        <w:tabs>
          <w:tab w:pos="893" w:val="left" w:leader="none"/>
          <w:tab w:pos="894" w:val="left" w:leader="none"/>
        </w:tabs>
        <w:spacing w:line="170" w:lineRule="exact" w:before="0" w:after="0"/>
        <w:ind w:left="893" w:right="0" w:hanging="793"/>
        <w:jc w:val="left"/>
        <w:rPr>
          <w:sz w:val="13"/>
        </w:rPr>
      </w:pPr>
      <w:r>
        <w:rPr>
          <w:sz w:val="13"/>
        </w:rPr>
        <w:t>The power to enable Juries Victoria to do this is contained in: ibid</w:t>
      </w:r>
      <w:r>
        <w:rPr>
          <w:spacing w:val="7"/>
          <w:sz w:val="13"/>
        </w:rPr>
        <w:t> </w:t>
      </w:r>
      <w:r>
        <w:rPr>
          <w:spacing w:val="2"/>
          <w:sz w:val="13"/>
        </w:rPr>
        <w:t>78(3)(a)(ia).</w:t>
      </w:r>
    </w:p>
    <w:p>
      <w:pPr>
        <w:spacing w:after="0" w:line="170" w:lineRule="exact"/>
        <w:jc w:val="left"/>
        <w:rPr>
          <w:sz w:val="13"/>
        </w:rPr>
        <w:sectPr>
          <w:type w:val="continuous"/>
          <w:pgSz w:w="11910" w:h="16840"/>
          <w:pgMar w:top="620" w:bottom="280" w:left="620" w:right="380"/>
          <w:cols w:num="2" w:equalWidth="0">
            <w:col w:w="557" w:space="310"/>
            <w:col w:w="10043"/>
          </w:cols>
        </w:sectPr>
      </w:pPr>
    </w:p>
    <w:p>
      <w:pPr>
        <w:pStyle w:val="BodyText"/>
      </w:pPr>
    </w:p>
    <w:p>
      <w:pPr>
        <w:pStyle w:val="BodyText"/>
      </w:pPr>
    </w:p>
    <w:p>
      <w:pPr>
        <w:pStyle w:val="BodyText"/>
      </w:pPr>
    </w:p>
    <w:p>
      <w:pPr>
        <w:pStyle w:val="BodyText"/>
      </w:pPr>
    </w:p>
    <w:p>
      <w:pPr>
        <w:spacing w:before="181"/>
        <w:ind w:left="1194" w:right="0" w:firstLine="0"/>
        <w:jc w:val="left"/>
        <w:rPr>
          <w:rFonts w:ascii="Raleway ExtraBold"/>
          <w:b/>
          <w:sz w:val="32"/>
        </w:rPr>
      </w:pPr>
      <w:r>
        <w:rPr/>
        <w:pict>
          <v:group style="position:absolute;margin-left:62.362202pt;margin-top:1.135828pt;width:479.1pt;height:479.95pt;mso-position-horizontal-relative:page;mso-position-vertical-relative:paragraph;z-index:-346336" coordorigin="1247,23" coordsize="9582,9599">
            <v:rect style="position:absolute;left:1587;top:22;width:8731;height:9599" filled="true" fillcolor="#dddfe4" stroked="false">
              <v:fill type="solid"/>
            </v:rect>
            <v:line style="position:absolute" from="1247,830" to="10828,830" stroked="true" strokeweight="2.5pt" strokecolor="#ffffff">
              <v:stroke dashstyle="solid"/>
            </v:line>
            <w10:wrap type="none"/>
          </v:group>
        </w:pict>
      </w:r>
      <w:r>
        <w:rPr>
          <w:rFonts w:ascii="Raleway ExtraBold"/>
          <w:b/>
          <w:color w:val="37617A"/>
          <w:sz w:val="32"/>
        </w:rPr>
        <w:t>Recommendations</w:t>
      </w:r>
    </w:p>
    <w:p>
      <w:pPr>
        <w:pStyle w:val="BodyText"/>
        <w:spacing w:before="1"/>
        <w:rPr>
          <w:rFonts w:ascii="Raleway ExtraBold"/>
          <w:b/>
          <w:sz w:val="31"/>
        </w:rPr>
      </w:pPr>
    </w:p>
    <w:p>
      <w:pPr>
        <w:pStyle w:val="ListParagraph"/>
        <w:numPr>
          <w:ilvl w:val="1"/>
          <w:numId w:val="127"/>
        </w:numPr>
        <w:tabs>
          <w:tab w:pos="1762" w:val="left" w:leader="none"/>
        </w:tabs>
        <w:spacing w:line="247" w:lineRule="auto" w:before="0" w:after="0"/>
        <w:ind w:left="1761" w:right="1433" w:hanging="567"/>
        <w:jc w:val="both"/>
        <w:rPr>
          <w:rFonts w:ascii="Trebuchet MS"/>
          <w:sz w:val="20"/>
        </w:rPr>
      </w:pPr>
      <w:r>
        <w:rPr>
          <w:rFonts w:ascii="Trebuchet MS"/>
          <w:w w:val="105"/>
          <w:sz w:val="20"/>
        </w:rPr>
        <w:t>Juries</w:t>
      </w:r>
      <w:r>
        <w:rPr>
          <w:rFonts w:ascii="Trebuchet MS"/>
          <w:spacing w:val="-16"/>
          <w:w w:val="105"/>
          <w:sz w:val="20"/>
        </w:rPr>
        <w:t> </w:t>
      </w:r>
      <w:r>
        <w:rPr>
          <w:rFonts w:ascii="Trebuchet MS"/>
          <w:w w:val="105"/>
          <w:sz w:val="20"/>
        </w:rPr>
        <w:t>Victoria</w:t>
      </w:r>
      <w:r>
        <w:rPr>
          <w:rFonts w:ascii="Trebuchet MS"/>
          <w:spacing w:val="-15"/>
          <w:w w:val="105"/>
          <w:sz w:val="20"/>
        </w:rPr>
        <w:t> </w:t>
      </w:r>
      <w:r>
        <w:rPr>
          <w:rFonts w:ascii="Trebuchet MS"/>
          <w:w w:val="105"/>
          <w:sz w:val="20"/>
        </w:rPr>
        <w:t>and</w:t>
      </w:r>
      <w:r>
        <w:rPr>
          <w:rFonts w:ascii="Trebuchet MS"/>
          <w:spacing w:val="-15"/>
          <w:w w:val="105"/>
          <w:sz w:val="20"/>
        </w:rPr>
        <w:t> </w:t>
      </w:r>
      <w:r>
        <w:rPr>
          <w:rFonts w:ascii="Trebuchet MS"/>
          <w:w w:val="105"/>
          <w:sz w:val="20"/>
        </w:rPr>
        <w:t>the</w:t>
      </w:r>
      <w:r>
        <w:rPr>
          <w:rFonts w:ascii="Trebuchet MS"/>
          <w:spacing w:val="-15"/>
          <w:w w:val="105"/>
          <w:sz w:val="20"/>
        </w:rPr>
        <w:t> </w:t>
      </w:r>
      <w:r>
        <w:rPr>
          <w:rFonts w:ascii="Trebuchet MS"/>
          <w:w w:val="105"/>
          <w:sz w:val="20"/>
        </w:rPr>
        <w:t>courts</w:t>
      </w:r>
      <w:r>
        <w:rPr>
          <w:rFonts w:ascii="Trebuchet MS"/>
          <w:spacing w:val="-15"/>
          <w:w w:val="105"/>
          <w:sz w:val="20"/>
        </w:rPr>
        <w:t> </w:t>
      </w:r>
      <w:r>
        <w:rPr>
          <w:rFonts w:ascii="Trebuchet MS"/>
          <w:w w:val="105"/>
          <w:sz w:val="20"/>
        </w:rPr>
        <w:t>should</w:t>
      </w:r>
      <w:r>
        <w:rPr>
          <w:rFonts w:ascii="Trebuchet MS"/>
          <w:spacing w:val="-15"/>
          <w:w w:val="105"/>
          <w:sz w:val="20"/>
        </w:rPr>
        <w:t> </w:t>
      </w:r>
      <w:r>
        <w:rPr>
          <w:rFonts w:ascii="Trebuchet MS"/>
          <w:w w:val="105"/>
          <w:sz w:val="20"/>
        </w:rPr>
        <w:t>collect</w:t>
      </w:r>
      <w:r>
        <w:rPr>
          <w:rFonts w:ascii="Trebuchet MS"/>
          <w:spacing w:val="-15"/>
          <w:w w:val="105"/>
          <w:sz w:val="20"/>
        </w:rPr>
        <w:t> </w:t>
      </w:r>
      <w:r>
        <w:rPr>
          <w:rFonts w:ascii="Trebuchet MS"/>
          <w:w w:val="105"/>
          <w:sz w:val="20"/>
        </w:rPr>
        <w:t>disaggregated</w:t>
      </w:r>
      <w:r>
        <w:rPr>
          <w:rFonts w:ascii="Trebuchet MS"/>
          <w:spacing w:val="-15"/>
          <w:w w:val="105"/>
          <w:sz w:val="20"/>
        </w:rPr>
        <w:t> </w:t>
      </w:r>
      <w:r>
        <w:rPr>
          <w:rFonts w:ascii="Trebuchet MS"/>
          <w:w w:val="105"/>
          <w:sz w:val="20"/>
        </w:rPr>
        <w:t>data</w:t>
      </w:r>
      <w:r>
        <w:rPr>
          <w:rFonts w:ascii="Trebuchet MS"/>
          <w:spacing w:val="-15"/>
          <w:w w:val="105"/>
          <w:sz w:val="20"/>
        </w:rPr>
        <w:t> </w:t>
      </w:r>
      <w:r>
        <w:rPr>
          <w:rFonts w:ascii="Trebuchet MS"/>
          <w:w w:val="105"/>
          <w:sz w:val="20"/>
        </w:rPr>
        <w:t>about</w:t>
      </w:r>
      <w:r>
        <w:rPr>
          <w:rFonts w:ascii="Trebuchet MS"/>
          <w:spacing w:val="-15"/>
          <w:w w:val="105"/>
          <w:sz w:val="20"/>
        </w:rPr>
        <w:t> </w:t>
      </w:r>
      <w:r>
        <w:rPr>
          <w:rFonts w:ascii="Trebuchet MS"/>
          <w:w w:val="105"/>
          <w:sz w:val="20"/>
        </w:rPr>
        <w:t>people</w:t>
      </w:r>
      <w:r>
        <w:rPr>
          <w:rFonts w:ascii="Trebuchet MS"/>
          <w:spacing w:val="-15"/>
          <w:w w:val="105"/>
          <w:sz w:val="20"/>
        </w:rPr>
        <w:t> </w:t>
      </w:r>
      <w:r>
        <w:rPr>
          <w:rFonts w:ascii="Trebuchet MS"/>
          <w:w w:val="105"/>
          <w:sz w:val="20"/>
        </w:rPr>
        <w:t>from the</w:t>
      </w:r>
      <w:r>
        <w:rPr>
          <w:rFonts w:ascii="Trebuchet MS"/>
          <w:spacing w:val="-11"/>
          <w:w w:val="105"/>
          <w:sz w:val="20"/>
        </w:rPr>
        <w:t> </w:t>
      </w:r>
      <w:r>
        <w:rPr>
          <w:rFonts w:ascii="Trebuchet MS"/>
          <w:w w:val="105"/>
          <w:sz w:val="20"/>
        </w:rPr>
        <w:t>subject</w:t>
      </w:r>
      <w:r>
        <w:rPr>
          <w:rFonts w:ascii="Trebuchet MS"/>
          <w:spacing w:val="-10"/>
          <w:w w:val="105"/>
          <w:sz w:val="20"/>
        </w:rPr>
        <w:t> </w:t>
      </w:r>
      <w:r>
        <w:rPr>
          <w:rFonts w:ascii="Trebuchet MS"/>
          <w:w w:val="105"/>
          <w:sz w:val="20"/>
        </w:rPr>
        <w:t>groups</w:t>
      </w:r>
      <w:r>
        <w:rPr>
          <w:rFonts w:ascii="Trebuchet MS"/>
          <w:spacing w:val="-10"/>
          <w:w w:val="105"/>
          <w:sz w:val="20"/>
        </w:rPr>
        <w:t> </w:t>
      </w:r>
      <w:r>
        <w:rPr>
          <w:rFonts w:ascii="Trebuchet MS"/>
          <w:w w:val="105"/>
          <w:sz w:val="20"/>
        </w:rPr>
        <w:t>who</w:t>
      </w:r>
      <w:r>
        <w:rPr>
          <w:rFonts w:ascii="Trebuchet MS"/>
          <w:spacing w:val="-10"/>
          <w:w w:val="105"/>
          <w:sz w:val="20"/>
        </w:rPr>
        <w:t> </w:t>
      </w:r>
      <w:r>
        <w:rPr>
          <w:rFonts w:ascii="Trebuchet MS"/>
          <w:spacing w:val="-2"/>
          <w:w w:val="105"/>
          <w:sz w:val="20"/>
        </w:rPr>
        <w:t>are</w:t>
      </w:r>
      <w:r>
        <w:rPr>
          <w:rFonts w:ascii="Trebuchet MS"/>
          <w:spacing w:val="-10"/>
          <w:w w:val="105"/>
          <w:sz w:val="20"/>
        </w:rPr>
        <w:t> </w:t>
      </w:r>
      <w:r>
        <w:rPr>
          <w:rFonts w:ascii="Trebuchet MS"/>
          <w:w w:val="105"/>
          <w:sz w:val="20"/>
        </w:rPr>
        <w:t>summonsed</w:t>
      </w:r>
      <w:r>
        <w:rPr>
          <w:rFonts w:ascii="Trebuchet MS"/>
          <w:spacing w:val="-10"/>
          <w:w w:val="105"/>
          <w:sz w:val="20"/>
        </w:rPr>
        <w:t> </w:t>
      </w:r>
      <w:r>
        <w:rPr>
          <w:rFonts w:ascii="Trebuchet MS"/>
          <w:w w:val="105"/>
          <w:sz w:val="20"/>
        </w:rPr>
        <w:t>to</w:t>
      </w:r>
      <w:r>
        <w:rPr>
          <w:rFonts w:ascii="Trebuchet MS"/>
          <w:spacing w:val="-10"/>
          <w:w w:val="105"/>
          <w:sz w:val="20"/>
        </w:rPr>
        <w:t> </w:t>
      </w:r>
      <w:r>
        <w:rPr>
          <w:rFonts w:ascii="Trebuchet MS"/>
          <w:w w:val="105"/>
          <w:sz w:val="20"/>
        </w:rPr>
        <w:t>be</w:t>
      </w:r>
      <w:r>
        <w:rPr>
          <w:rFonts w:ascii="Trebuchet MS"/>
          <w:spacing w:val="-10"/>
          <w:w w:val="105"/>
          <w:sz w:val="20"/>
        </w:rPr>
        <w:t> </w:t>
      </w:r>
      <w:r>
        <w:rPr>
          <w:rFonts w:ascii="Trebuchet MS"/>
          <w:w w:val="105"/>
          <w:sz w:val="20"/>
        </w:rPr>
        <w:t>in</w:t>
      </w:r>
      <w:r>
        <w:rPr>
          <w:rFonts w:ascii="Trebuchet MS"/>
          <w:spacing w:val="-11"/>
          <w:w w:val="105"/>
          <w:sz w:val="20"/>
        </w:rPr>
        <w:t> </w:t>
      </w:r>
      <w:r>
        <w:rPr>
          <w:rFonts w:ascii="Trebuchet MS"/>
          <w:w w:val="105"/>
          <w:sz w:val="20"/>
        </w:rPr>
        <w:t>the</w:t>
      </w:r>
      <w:r>
        <w:rPr>
          <w:rFonts w:ascii="Trebuchet MS"/>
          <w:spacing w:val="-10"/>
          <w:w w:val="105"/>
          <w:sz w:val="20"/>
        </w:rPr>
        <w:t> </w:t>
      </w:r>
      <w:r>
        <w:rPr>
          <w:rFonts w:ascii="Trebuchet MS"/>
          <w:w w:val="105"/>
          <w:sz w:val="20"/>
        </w:rPr>
        <w:t>jury</w:t>
      </w:r>
      <w:r>
        <w:rPr>
          <w:rFonts w:ascii="Trebuchet MS"/>
          <w:spacing w:val="-10"/>
          <w:w w:val="105"/>
          <w:sz w:val="20"/>
        </w:rPr>
        <w:t> </w:t>
      </w:r>
      <w:r>
        <w:rPr>
          <w:rFonts w:ascii="Trebuchet MS"/>
          <w:w w:val="105"/>
          <w:sz w:val="20"/>
        </w:rPr>
        <w:t>pool</w:t>
      </w:r>
      <w:r>
        <w:rPr>
          <w:rFonts w:ascii="Trebuchet MS"/>
          <w:spacing w:val="-10"/>
          <w:w w:val="105"/>
          <w:sz w:val="20"/>
        </w:rPr>
        <w:t> </w:t>
      </w:r>
      <w:r>
        <w:rPr>
          <w:rFonts w:ascii="Trebuchet MS"/>
          <w:w w:val="105"/>
          <w:sz w:val="20"/>
        </w:rPr>
        <w:t>and</w:t>
      </w:r>
      <w:r>
        <w:rPr>
          <w:rFonts w:ascii="Trebuchet MS"/>
          <w:spacing w:val="-10"/>
          <w:w w:val="105"/>
          <w:sz w:val="20"/>
        </w:rPr>
        <w:t> </w:t>
      </w:r>
      <w:r>
        <w:rPr>
          <w:rFonts w:ascii="Trebuchet MS"/>
          <w:w w:val="105"/>
          <w:sz w:val="20"/>
        </w:rPr>
        <w:t>those</w:t>
      </w:r>
      <w:r>
        <w:rPr>
          <w:rFonts w:ascii="Trebuchet MS"/>
          <w:spacing w:val="-10"/>
          <w:w w:val="105"/>
          <w:sz w:val="20"/>
        </w:rPr>
        <w:t> </w:t>
      </w:r>
      <w:r>
        <w:rPr>
          <w:rFonts w:ascii="Trebuchet MS"/>
          <w:w w:val="105"/>
          <w:sz w:val="20"/>
        </w:rPr>
        <w:t>who</w:t>
      </w:r>
      <w:r>
        <w:rPr>
          <w:rFonts w:ascii="Trebuchet MS"/>
          <w:spacing w:val="-10"/>
          <w:w w:val="105"/>
          <w:sz w:val="20"/>
        </w:rPr>
        <w:t> </w:t>
      </w:r>
      <w:r>
        <w:rPr>
          <w:rFonts w:ascii="Trebuchet MS"/>
          <w:w w:val="105"/>
          <w:sz w:val="20"/>
        </w:rPr>
        <w:t>go</w:t>
      </w:r>
      <w:r>
        <w:rPr>
          <w:rFonts w:ascii="Trebuchet MS"/>
          <w:spacing w:val="-11"/>
          <w:w w:val="105"/>
          <w:sz w:val="20"/>
        </w:rPr>
        <w:t> </w:t>
      </w:r>
      <w:r>
        <w:rPr>
          <w:rFonts w:ascii="Trebuchet MS"/>
          <w:w w:val="105"/>
          <w:sz w:val="20"/>
        </w:rPr>
        <w:t>on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1"/>
          <w:w w:val="122"/>
          <w:sz w:val="20"/>
        </w:rPr>
        <w:t>s</w:t>
      </w:r>
      <w:r>
        <w:rPr>
          <w:rFonts w:ascii="Trebuchet MS"/>
          <w:spacing w:val="-1"/>
          <w:w w:val="108"/>
          <w:sz w:val="20"/>
        </w:rPr>
        <w:t>e</w:t>
      </w:r>
      <w:r>
        <w:rPr>
          <w:rFonts w:ascii="Trebuchet MS"/>
          <w:spacing w:val="3"/>
          <w:w w:val="93"/>
          <w:sz w:val="20"/>
        </w:rPr>
        <w:t>r</w:t>
      </w:r>
      <w:r>
        <w:rPr>
          <w:rFonts w:ascii="Trebuchet MS"/>
          <w:spacing w:val="-6"/>
          <w:w w:val="109"/>
          <w:sz w:val="20"/>
        </w:rPr>
        <w:t>v</w:t>
      </w:r>
      <w:r>
        <w:rPr>
          <w:rFonts w:ascii="Trebuchet MS"/>
          <w:spacing w:val="-3"/>
          <w:w w:val="108"/>
          <w:sz w:val="20"/>
        </w:rPr>
        <w:t>e</w:t>
      </w:r>
      <w:r>
        <w:rPr>
          <w:rFonts w:ascii="Trebuchet MS"/>
          <w:w w:val="55"/>
          <w:sz w:val="20"/>
        </w:rPr>
        <w:t>.</w:t>
      </w:r>
      <w:r>
        <w:rPr>
          <w:rFonts w:ascii="Trebuchet MS"/>
          <w:spacing w:val="-14"/>
          <w:sz w:val="20"/>
        </w:rPr>
        <w:t> </w:t>
      </w:r>
      <w:r>
        <w:rPr>
          <w:rFonts w:ascii="Trebuchet MS"/>
          <w:spacing w:val="-1"/>
          <w:w w:val="116"/>
          <w:sz w:val="20"/>
        </w:rPr>
        <w:t>D</w:t>
      </w:r>
      <w:r>
        <w:rPr>
          <w:rFonts w:ascii="Trebuchet MS"/>
          <w:spacing w:val="-4"/>
          <w:w w:val="105"/>
          <w:sz w:val="20"/>
        </w:rPr>
        <w:t>a</w:t>
      </w:r>
      <w:r>
        <w:rPr>
          <w:rFonts w:ascii="Trebuchet MS"/>
          <w:w w:val="88"/>
          <w:sz w:val="20"/>
        </w:rPr>
        <w:t>t</w:t>
      </w:r>
      <w:r>
        <w:rPr>
          <w:rFonts w:ascii="Trebuchet MS"/>
          <w:w w:val="105"/>
          <w:sz w:val="20"/>
        </w:rPr>
        <w:t>a</w:t>
      </w:r>
      <w:r>
        <w:rPr>
          <w:rFonts w:ascii="Trebuchet MS"/>
          <w:spacing w:val="-14"/>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1"/>
          <w:w w:val="111"/>
          <w:sz w:val="20"/>
        </w:rPr>
        <w:t>b</w:t>
      </w:r>
      <w:r>
        <w:rPr>
          <w:rFonts w:ascii="Trebuchet MS"/>
          <w:w w:val="108"/>
          <w:sz w:val="20"/>
        </w:rPr>
        <w:t>e</w:t>
      </w:r>
      <w:r>
        <w:rPr>
          <w:rFonts w:ascii="Trebuchet MS"/>
          <w:spacing w:val="-14"/>
          <w:sz w:val="20"/>
        </w:rPr>
        <w:t> </w:t>
      </w:r>
      <w:r>
        <w:rPr>
          <w:rFonts w:ascii="Trebuchet MS"/>
          <w:spacing w:val="-3"/>
          <w:w w:val="111"/>
          <w:sz w:val="20"/>
        </w:rPr>
        <w:t>c</w:t>
      </w:r>
      <w:r>
        <w:rPr>
          <w:rFonts w:ascii="Trebuchet MS"/>
          <w:spacing w:val="-2"/>
          <w:w w:val="111"/>
          <w:sz w:val="20"/>
        </w:rPr>
        <w:t>o</w:t>
      </w:r>
      <w:r>
        <w:rPr>
          <w:rFonts w:ascii="Trebuchet MS"/>
          <w:spacing w:val="-2"/>
          <w:w w:val="96"/>
          <w:sz w:val="20"/>
        </w:rPr>
        <w:t>l</w:t>
      </w:r>
      <w:r>
        <w:rPr>
          <w:rFonts w:ascii="Trebuchet MS"/>
          <w:spacing w:val="-3"/>
          <w:w w:val="96"/>
          <w:sz w:val="20"/>
        </w:rPr>
        <w:t>l</w:t>
      </w:r>
      <w:r>
        <w:rPr>
          <w:rFonts w:ascii="Trebuchet MS"/>
          <w:w w:val="108"/>
          <w:sz w:val="20"/>
        </w:rPr>
        <w:t>e</w:t>
      </w:r>
      <w:r>
        <w:rPr>
          <w:rFonts w:ascii="Trebuchet MS"/>
          <w:spacing w:val="-2"/>
          <w:w w:val="111"/>
          <w:sz w:val="20"/>
        </w:rPr>
        <w:t>c</w:t>
      </w:r>
      <w:r>
        <w:rPr>
          <w:rFonts w:ascii="Trebuchet MS"/>
          <w:spacing w:val="-4"/>
          <w:w w:val="88"/>
          <w:sz w:val="20"/>
        </w:rPr>
        <w:t>t</w:t>
      </w:r>
      <w:r>
        <w:rPr>
          <w:rFonts w:ascii="Trebuchet MS"/>
          <w:w w:val="108"/>
          <w:sz w:val="20"/>
        </w:rPr>
        <w:t>e</w:t>
      </w:r>
      <w:r>
        <w:rPr>
          <w:rFonts w:ascii="Trebuchet MS"/>
          <w:w w:val="112"/>
          <w:sz w:val="20"/>
        </w:rPr>
        <w:t>d</w:t>
      </w:r>
      <w:r>
        <w:rPr>
          <w:rFonts w:ascii="Trebuchet MS"/>
          <w:spacing w:val="-14"/>
          <w:sz w:val="20"/>
        </w:rPr>
        <w:t> </w:t>
      </w:r>
      <w:r>
        <w:rPr>
          <w:rFonts w:ascii="Trebuchet MS"/>
          <w:spacing w:val="-4"/>
          <w:w w:val="105"/>
          <w:sz w:val="20"/>
        </w:rPr>
        <w:t>a</w:t>
      </w:r>
      <w:r>
        <w:rPr>
          <w:rFonts w:ascii="Trebuchet MS"/>
          <w:w w:val="88"/>
          <w:sz w:val="20"/>
        </w:rPr>
        <w:t>t</w:t>
      </w:r>
      <w:r>
        <w:rPr>
          <w:rFonts w:ascii="Trebuchet MS"/>
          <w:spacing w:val="-14"/>
          <w:sz w:val="20"/>
        </w:rPr>
        <w:t> </w:t>
      </w:r>
      <w:r>
        <w:rPr>
          <w:rFonts w:ascii="Trebuchet MS"/>
          <w:spacing w:val="-1"/>
          <w:w w:val="108"/>
          <w:sz w:val="20"/>
        </w:rPr>
        <w:t>e</w:t>
      </w:r>
      <w:r>
        <w:rPr>
          <w:rFonts w:ascii="Trebuchet MS"/>
          <w:spacing w:val="-2"/>
          <w:w w:val="108"/>
          <w:sz w:val="20"/>
        </w:rPr>
        <w:t>ac</w:t>
      </w:r>
      <w:r>
        <w:rPr>
          <w:rFonts w:ascii="Trebuchet MS"/>
          <w:w w:val="107"/>
          <w:sz w:val="20"/>
        </w:rPr>
        <w:t>h</w:t>
      </w:r>
      <w:r>
        <w:rPr>
          <w:rFonts w:ascii="Trebuchet MS"/>
          <w:spacing w:val="-14"/>
          <w:sz w:val="20"/>
        </w:rPr>
        <w:t> </w:t>
      </w:r>
      <w:r>
        <w:rPr>
          <w:rFonts w:ascii="Trebuchet MS"/>
          <w:spacing w:val="-1"/>
          <w:w w:val="122"/>
          <w:sz w:val="20"/>
        </w:rPr>
        <w:t>s</w:t>
      </w:r>
      <w:r>
        <w:rPr>
          <w:rFonts w:ascii="Trebuchet MS"/>
          <w:w w:val="88"/>
          <w:sz w:val="20"/>
        </w:rPr>
        <w:t>t</w:t>
      </w:r>
      <w:r>
        <w:rPr>
          <w:rFonts w:ascii="Trebuchet MS"/>
          <w:spacing w:val="-2"/>
          <w:w w:val="105"/>
          <w:sz w:val="20"/>
        </w:rPr>
        <w:t>a</w:t>
      </w:r>
      <w:r>
        <w:rPr>
          <w:rFonts w:ascii="Trebuchet MS"/>
          <w:spacing w:val="-1"/>
          <w:w w:val="124"/>
          <w:sz w:val="20"/>
        </w:rPr>
        <w:t>g</w:t>
      </w:r>
      <w:r>
        <w:rPr>
          <w:rFonts w:ascii="Trebuchet MS"/>
          <w:w w:val="108"/>
          <w:sz w:val="20"/>
        </w:rPr>
        <w:t>e</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2"/>
          <w:w w:val="64"/>
          <w:sz w:val="20"/>
        </w:rPr>
        <w:t>j</w:t>
      </w:r>
      <w:r>
        <w:rPr>
          <w:rFonts w:ascii="Trebuchet MS"/>
          <w:spacing w:val="-1"/>
          <w:w w:val="109"/>
          <w:sz w:val="20"/>
        </w:rPr>
        <w:t>u</w:t>
      </w:r>
      <w:r>
        <w:rPr>
          <w:rFonts w:ascii="Trebuchet MS"/>
          <w:spacing w:val="3"/>
          <w:w w:val="93"/>
          <w:sz w:val="20"/>
        </w:rPr>
        <w:t>r</w:t>
      </w:r>
      <w:r>
        <w:rPr>
          <w:rFonts w:ascii="Trebuchet MS"/>
          <w:w w:val="110"/>
          <w:sz w:val="20"/>
        </w:rPr>
        <w:t>y</w:t>
      </w:r>
      <w:r>
        <w:rPr>
          <w:rFonts w:ascii="Trebuchet MS"/>
          <w:spacing w:val="-14"/>
          <w:sz w:val="20"/>
        </w:rPr>
        <w:t> </w:t>
      </w:r>
      <w:r>
        <w:rPr>
          <w:rFonts w:ascii="Trebuchet MS"/>
          <w:spacing w:val="-1"/>
          <w:w w:val="122"/>
          <w:sz w:val="20"/>
        </w:rPr>
        <w:t>s</w:t>
      </w:r>
      <w:r>
        <w:rPr>
          <w:rFonts w:ascii="Trebuchet MS"/>
          <w:spacing w:val="-1"/>
          <w:w w:val="108"/>
          <w:sz w:val="20"/>
        </w:rPr>
        <w:t>e</w:t>
      </w:r>
      <w:r>
        <w:rPr>
          <w:rFonts w:ascii="Trebuchet MS"/>
          <w:spacing w:val="-3"/>
          <w:w w:val="96"/>
          <w:sz w:val="20"/>
        </w:rPr>
        <w:t>l</w:t>
      </w:r>
      <w:r>
        <w:rPr>
          <w:rFonts w:ascii="Trebuchet MS"/>
          <w:w w:val="108"/>
          <w:sz w:val="20"/>
        </w:rPr>
        <w:t>e</w:t>
      </w:r>
      <w:r>
        <w:rPr>
          <w:rFonts w:ascii="Trebuchet MS"/>
          <w:spacing w:val="-2"/>
          <w:w w:val="111"/>
          <w:sz w:val="20"/>
        </w:rPr>
        <w:t>c</w:t>
      </w:r>
      <w:r>
        <w:rPr>
          <w:rFonts w:ascii="Trebuchet MS"/>
          <w:spacing w:val="-2"/>
          <w:w w:val="88"/>
          <w:sz w:val="20"/>
        </w:rPr>
        <w:t>t</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1"/>
          <w:w w:val="111"/>
          <w:sz w:val="20"/>
        </w:rPr>
        <w:t>p</w:t>
      </w:r>
      <w:r>
        <w:rPr>
          <w:rFonts w:ascii="Trebuchet MS"/>
          <w:spacing w:val="-4"/>
          <w:w w:val="93"/>
          <w:sz w:val="20"/>
        </w:rPr>
        <w:t>r</w:t>
      </w:r>
      <w:r>
        <w:rPr>
          <w:rFonts w:ascii="Trebuchet MS"/>
          <w:spacing w:val="-1"/>
          <w:w w:val="111"/>
          <w:sz w:val="20"/>
        </w:rPr>
        <w:t>o</w:t>
      </w:r>
      <w:r>
        <w:rPr>
          <w:rFonts w:ascii="Trebuchet MS"/>
          <w:spacing w:val="-3"/>
          <w:w w:val="111"/>
          <w:sz w:val="20"/>
        </w:rPr>
        <w:t>c</w:t>
      </w:r>
      <w:r>
        <w:rPr>
          <w:rFonts w:ascii="Trebuchet MS"/>
          <w:spacing w:val="-2"/>
          <w:w w:val="108"/>
          <w:sz w:val="20"/>
        </w:rPr>
        <w:t>e</w:t>
      </w:r>
      <w:r>
        <w:rPr>
          <w:rFonts w:ascii="Trebuchet MS"/>
          <w:spacing w:val="-1"/>
          <w:w w:val="122"/>
          <w:sz w:val="20"/>
        </w:rPr>
        <w:t>s</w:t>
      </w:r>
      <w:r>
        <w:rPr>
          <w:rFonts w:ascii="Trebuchet MS"/>
          <w:w w:val="122"/>
          <w:sz w:val="20"/>
        </w:rPr>
        <w:t>s</w:t>
      </w:r>
      <w:r>
        <w:rPr>
          <w:rFonts w:ascii="Trebuchet MS"/>
          <w:spacing w:val="-14"/>
          <w:sz w:val="20"/>
        </w:rPr>
        <w:t> </w:t>
      </w:r>
      <w:r>
        <w:rPr>
          <w:rFonts w:ascii="Trebuchet MS"/>
          <w:spacing w:val="-2"/>
          <w:w w:val="105"/>
          <w:sz w:val="20"/>
        </w:rPr>
        <w:t>a</w:t>
      </w:r>
      <w:r>
        <w:rPr>
          <w:rFonts w:ascii="Trebuchet MS"/>
          <w:spacing w:val="-1"/>
          <w:w w:val="107"/>
          <w:sz w:val="20"/>
        </w:rPr>
        <w:t>n</w:t>
      </w:r>
      <w:r>
        <w:rPr>
          <w:rFonts w:ascii="Trebuchet MS"/>
          <w:w w:val="112"/>
          <w:sz w:val="20"/>
        </w:rPr>
        <w:t>d</w:t>
      </w:r>
      <w:r>
        <w:rPr>
          <w:rFonts w:ascii="Trebuchet MS"/>
          <w:spacing w:val="-14"/>
          <w:sz w:val="20"/>
        </w:rPr>
        <w:t> </w:t>
      </w:r>
      <w:r>
        <w:rPr>
          <w:rFonts w:ascii="Trebuchet MS"/>
          <w:spacing w:val="-2"/>
          <w:w w:val="80"/>
          <w:sz w:val="20"/>
        </w:rPr>
        <w:t>i</w:t>
      </w:r>
      <w:r>
        <w:rPr>
          <w:rFonts w:ascii="Trebuchet MS"/>
          <w:w w:val="107"/>
          <w:sz w:val="20"/>
        </w:rPr>
        <w:t>n </w:t>
      </w:r>
      <w:r>
        <w:rPr>
          <w:rFonts w:ascii="Trebuchet MS"/>
          <w:spacing w:val="-4"/>
          <w:w w:val="93"/>
          <w:sz w:val="20"/>
        </w:rPr>
        <w:t>r</w:t>
      </w:r>
      <w:r>
        <w:rPr>
          <w:rFonts w:ascii="Trebuchet MS"/>
          <w:spacing w:val="-1"/>
          <w:w w:val="108"/>
          <w:sz w:val="20"/>
        </w:rPr>
        <w:t>e</w:t>
      </w:r>
      <w:r>
        <w:rPr>
          <w:rFonts w:ascii="Trebuchet MS"/>
          <w:spacing w:val="1"/>
          <w:w w:val="96"/>
          <w:sz w:val="20"/>
        </w:rPr>
        <w:t>l</w:t>
      </w:r>
      <w:r>
        <w:rPr>
          <w:rFonts w:ascii="Trebuchet MS"/>
          <w:spacing w:val="-4"/>
          <w:w w:val="105"/>
          <w:sz w:val="20"/>
        </w:rPr>
        <w:t>a</w:t>
      </w:r>
      <w:r>
        <w:rPr>
          <w:rFonts w:ascii="Trebuchet MS"/>
          <w:spacing w:val="-2"/>
          <w:w w:val="88"/>
          <w:sz w:val="20"/>
        </w:rPr>
        <w:t>t</w:t>
      </w:r>
      <w:r>
        <w:rPr>
          <w:rFonts w:ascii="Trebuchet MS"/>
          <w:spacing w:val="-1"/>
          <w:w w:val="80"/>
          <w:sz w:val="20"/>
        </w:rPr>
        <w:t>i</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4"/>
          <w:w w:val="88"/>
          <w:sz w:val="20"/>
        </w:rPr>
        <w:t>t</w:t>
      </w:r>
      <w:r>
        <w:rPr>
          <w:rFonts w:ascii="Trebuchet MS"/>
          <w:w w:val="111"/>
          <w:sz w:val="20"/>
        </w:rPr>
        <w:t>o</w:t>
      </w:r>
      <w:r>
        <w:rPr>
          <w:rFonts w:ascii="Trebuchet MS"/>
          <w:spacing w:val="-14"/>
          <w:sz w:val="20"/>
        </w:rPr>
        <w:t> </w:t>
      </w:r>
      <w:r>
        <w:rPr>
          <w:rFonts w:ascii="Trebuchet MS"/>
          <w:spacing w:val="-4"/>
          <w:w w:val="93"/>
          <w:sz w:val="20"/>
        </w:rPr>
        <w:t>r</w:t>
      </w:r>
      <w:r>
        <w:rPr>
          <w:rFonts w:ascii="Trebuchet MS"/>
          <w:spacing w:val="-1"/>
          <w:w w:val="108"/>
          <w:sz w:val="20"/>
        </w:rPr>
        <w:t>e</w:t>
      </w:r>
      <w:r>
        <w:rPr>
          <w:rFonts w:ascii="Trebuchet MS"/>
          <w:spacing w:val="-3"/>
          <w:w w:val="96"/>
          <w:sz w:val="20"/>
        </w:rPr>
        <w:t>l</w:t>
      </w:r>
      <w:r>
        <w:rPr>
          <w:rFonts w:ascii="Trebuchet MS"/>
          <w:spacing w:val="-5"/>
          <w:w w:val="108"/>
          <w:sz w:val="20"/>
        </w:rPr>
        <w:t>e</w:t>
      </w:r>
      <w:r>
        <w:rPr>
          <w:rFonts w:ascii="Trebuchet MS"/>
          <w:spacing w:val="-3"/>
          <w:w w:val="109"/>
          <w:sz w:val="20"/>
        </w:rPr>
        <w:t>v</w:t>
      </w:r>
      <w:r>
        <w:rPr>
          <w:rFonts w:ascii="Trebuchet MS"/>
          <w:spacing w:val="-2"/>
          <w:w w:val="105"/>
          <w:sz w:val="20"/>
        </w:rPr>
        <w:t>a</w:t>
      </w:r>
      <w:r>
        <w:rPr>
          <w:rFonts w:ascii="Trebuchet MS"/>
          <w:spacing w:val="-4"/>
          <w:w w:val="107"/>
          <w:sz w:val="20"/>
        </w:rPr>
        <w:t>n</w:t>
      </w:r>
      <w:r>
        <w:rPr>
          <w:rFonts w:ascii="Trebuchet MS"/>
          <w:w w:val="88"/>
          <w:sz w:val="20"/>
        </w:rPr>
        <w:t>t</w:t>
      </w:r>
      <w:r>
        <w:rPr>
          <w:rFonts w:ascii="Trebuchet MS"/>
          <w:spacing w:val="-14"/>
          <w:sz w:val="20"/>
        </w:rPr>
        <w:t> </w:t>
      </w:r>
      <w:r>
        <w:rPr>
          <w:rFonts w:ascii="Trebuchet MS"/>
          <w:w w:val="105"/>
          <w:sz w:val="20"/>
        </w:rPr>
        <w:t>a</w:t>
      </w:r>
      <w:r>
        <w:rPr>
          <w:rFonts w:ascii="Trebuchet MS"/>
          <w:spacing w:val="-2"/>
          <w:w w:val="122"/>
          <w:sz w:val="20"/>
        </w:rPr>
        <w:t>s</w:t>
      </w:r>
      <w:r>
        <w:rPr>
          <w:rFonts w:ascii="Trebuchet MS"/>
          <w:spacing w:val="-1"/>
          <w:w w:val="111"/>
          <w:sz w:val="20"/>
        </w:rPr>
        <w:t>p</w:t>
      </w:r>
      <w:r>
        <w:rPr>
          <w:rFonts w:ascii="Trebuchet MS"/>
          <w:w w:val="108"/>
          <w:sz w:val="20"/>
        </w:rPr>
        <w:t>e</w:t>
      </w:r>
      <w:r>
        <w:rPr>
          <w:rFonts w:ascii="Trebuchet MS"/>
          <w:spacing w:val="-2"/>
          <w:w w:val="111"/>
          <w:sz w:val="20"/>
        </w:rPr>
        <w:t>c</w:t>
      </w:r>
      <w:r>
        <w:rPr>
          <w:rFonts w:ascii="Trebuchet MS"/>
          <w:spacing w:val="2"/>
          <w:w w:val="88"/>
          <w:sz w:val="20"/>
        </w:rPr>
        <w:t>t</w:t>
      </w:r>
      <w:r>
        <w:rPr>
          <w:rFonts w:ascii="Trebuchet MS"/>
          <w:w w:val="122"/>
          <w:sz w:val="20"/>
        </w:rPr>
        <w:t>s</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2"/>
          <w:w w:val="88"/>
          <w:sz w:val="20"/>
        </w:rPr>
        <w:t>t</w:t>
      </w:r>
      <w:r>
        <w:rPr>
          <w:rFonts w:ascii="Trebuchet MS"/>
          <w:spacing w:val="-2"/>
          <w:w w:val="93"/>
          <w:sz w:val="20"/>
        </w:rPr>
        <w:t>r</w:t>
      </w:r>
      <w:r>
        <w:rPr>
          <w:rFonts w:ascii="Trebuchet MS"/>
          <w:spacing w:val="-1"/>
          <w:w w:val="80"/>
          <w:sz w:val="20"/>
        </w:rPr>
        <w:t>i</w:t>
      </w:r>
      <w:r>
        <w:rPr>
          <w:rFonts w:ascii="Trebuchet MS"/>
          <w:spacing w:val="-3"/>
          <w:w w:val="105"/>
          <w:sz w:val="20"/>
        </w:rPr>
        <w:t>a</w:t>
      </w:r>
      <w:r>
        <w:rPr>
          <w:rFonts w:ascii="Trebuchet MS"/>
          <w:spacing w:val="3"/>
          <w:w w:val="96"/>
          <w:sz w:val="20"/>
        </w:rPr>
        <w:t>l</w:t>
      </w:r>
      <w:r>
        <w:rPr>
          <w:rFonts w:ascii="Trebuchet MS"/>
          <w:spacing w:val="1"/>
          <w:w w:val="122"/>
          <w:sz w:val="20"/>
        </w:rPr>
        <w:t>s</w:t>
      </w:r>
      <w:r>
        <w:rPr>
          <w:rFonts w:ascii="Trebuchet MS"/>
          <w:w w:val="55"/>
          <w:sz w:val="20"/>
        </w:rPr>
        <w:t>.</w:t>
      </w:r>
      <w:r>
        <w:rPr>
          <w:rFonts w:ascii="Trebuchet MS"/>
          <w:spacing w:val="-14"/>
          <w:sz w:val="20"/>
        </w:rPr>
        <w:t> </w:t>
      </w:r>
      <w:r>
        <w:rPr>
          <w:rFonts w:ascii="Trebuchet MS"/>
          <w:spacing w:val="-2"/>
          <w:w w:val="90"/>
          <w:sz w:val="20"/>
        </w:rPr>
        <w:t>I</w:t>
      </w:r>
      <w:r>
        <w:rPr>
          <w:rFonts w:ascii="Trebuchet MS"/>
          <w:w w:val="90"/>
          <w:sz w:val="20"/>
        </w:rPr>
        <w:t>t</w:t>
      </w:r>
      <w:r>
        <w:rPr>
          <w:rFonts w:ascii="Trebuchet MS"/>
          <w:spacing w:val="-14"/>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3"/>
          <w:w w:val="111"/>
          <w:sz w:val="20"/>
        </w:rPr>
        <w:t>c</w:t>
      </w:r>
      <w:r>
        <w:rPr>
          <w:rFonts w:ascii="Trebuchet MS"/>
          <w:spacing w:val="-6"/>
          <w:w w:val="111"/>
          <w:sz w:val="20"/>
        </w:rPr>
        <w:t>o</w:t>
      </w:r>
      <w:r>
        <w:rPr>
          <w:rFonts w:ascii="Trebuchet MS"/>
          <w:spacing w:val="-6"/>
          <w:w w:val="109"/>
          <w:sz w:val="20"/>
        </w:rPr>
        <w:t>v</w:t>
      </w:r>
      <w:r>
        <w:rPr>
          <w:rFonts w:ascii="Trebuchet MS"/>
          <w:spacing w:val="-1"/>
          <w:w w:val="108"/>
          <w:sz w:val="20"/>
        </w:rPr>
        <w:t>e</w:t>
      </w:r>
      <w:r>
        <w:rPr>
          <w:rFonts w:ascii="Trebuchet MS"/>
          <w:w w:val="93"/>
          <w:sz w:val="20"/>
        </w:rPr>
        <w:t>r</w:t>
      </w:r>
      <w:r>
        <w:rPr>
          <w:rFonts w:ascii="Trebuchet MS"/>
          <w:spacing w:val="-14"/>
          <w:sz w:val="20"/>
        </w:rPr>
        <w:t> </w:t>
      </w:r>
      <w:r>
        <w:rPr>
          <w:rFonts w:ascii="Trebuchet MS"/>
          <w:spacing w:val="-4"/>
          <w:w w:val="105"/>
          <w:sz w:val="20"/>
        </w:rPr>
        <w:t>a</w:t>
      </w:r>
      <w:r>
        <w:rPr>
          <w:rFonts w:ascii="Trebuchet MS"/>
          <w:w w:val="88"/>
          <w:sz w:val="20"/>
        </w:rPr>
        <w:t>t</w:t>
      </w:r>
      <w:r>
        <w:rPr>
          <w:rFonts w:ascii="Trebuchet MS"/>
          <w:spacing w:val="-14"/>
          <w:sz w:val="20"/>
        </w:rPr>
        <w:t> </w:t>
      </w:r>
      <w:r>
        <w:rPr>
          <w:rFonts w:ascii="Trebuchet MS"/>
          <w:w w:val="105"/>
          <w:sz w:val="20"/>
        </w:rPr>
        <w:t>a</w:t>
      </w:r>
      <w:r>
        <w:rPr>
          <w:rFonts w:ascii="Trebuchet MS"/>
          <w:spacing w:val="-14"/>
          <w:sz w:val="20"/>
        </w:rPr>
        <w:t> </w:t>
      </w:r>
      <w:r>
        <w:rPr>
          <w:rFonts w:ascii="Trebuchet MS"/>
          <w:spacing w:val="-2"/>
          <w:w w:val="111"/>
          <w:sz w:val="20"/>
        </w:rPr>
        <w:t>m</w:t>
      </w:r>
      <w:r>
        <w:rPr>
          <w:rFonts w:ascii="Trebuchet MS"/>
          <w:spacing w:val="-2"/>
          <w:w w:val="80"/>
          <w:sz w:val="20"/>
        </w:rPr>
        <w:t>i</w:t>
      </w:r>
      <w:r>
        <w:rPr>
          <w:rFonts w:ascii="Trebuchet MS"/>
          <w:spacing w:val="-2"/>
          <w:w w:val="107"/>
          <w:sz w:val="20"/>
        </w:rPr>
        <w:t>n</w:t>
      </w:r>
      <w:r>
        <w:rPr>
          <w:rFonts w:ascii="Trebuchet MS"/>
          <w:spacing w:val="-2"/>
          <w:w w:val="80"/>
          <w:sz w:val="20"/>
        </w:rPr>
        <w:t>i</w:t>
      </w:r>
      <w:r>
        <w:rPr>
          <w:rFonts w:ascii="Trebuchet MS"/>
          <w:spacing w:val="-2"/>
          <w:w w:val="111"/>
          <w:sz w:val="20"/>
        </w:rPr>
        <w:t>m</w:t>
      </w:r>
      <w:r>
        <w:rPr>
          <w:rFonts w:ascii="Trebuchet MS"/>
          <w:spacing w:val="-1"/>
          <w:w w:val="109"/>
          <w:sz w:val="20"/>
        </w:rPr>
        <w:t>u</w:t>
      </w:r>
      <w:r>
        <w:rPr>
          <w:rFonts w:ascii="Trebuchet MS"/>
          <w:spacing w:val="-3"/>
          <w:w w:val="111"/>
          <w:sz w:val="20"/>
        </w:rPr>
        <w:t>m</w:t>
      </w:r>
      <w:r>
        <w:rPr>
          <w:rFonts w:ascii="Trebuchet MS"/>
          <w:w w:val="54"/>
          <w:sz w:val="20"/>
        </w:rPr>
        <w:t>:</w:t>
      </w:r>
    </w:p>
    <w:p>
      <w:pPr>
        <w:pStyle w:val="ListParagraph"/>
        <w:numPr>
          <w:ilvl w:val="2"/>
          <w:numId w:val="127"/>
        </w:numPr>
        <w:tabs>
          <w:tab w:pos="2327" w:val="left" w:leader="none"/>
          <w:tab w:pos="2329" w:val="left" w:leader="none"/>
        </w:tabs>
        <w:spacing w:line="240" w:lineRule="auto" w:before="88" w:after="0"/>
        <w:ind w:left="2328" w:right="0" w:hanging="567"/>
        <w:jc w:val="left"/>
        <w:rPr>
          <w:rFonts w:ascii="Trebuchet MS" w:hAnsi="Trebuchet MS"/>
          <w:sz w:val="20"/>
        </w:rPr>
      </w:pPr>
      <w:r>
        <w:rPr>
          <w:rFonts w:ascii="Trebuchet MS" w:hAnsi="Trebuchet MS"/>
          <w:sz w:val="20"/>
        </w:rPr>
        <w:t>types of</w:t>
      </w:r>
      <w:r>
        <w:rPr>
          <w:rFonts w:ascii="Trebuchet MS" w:hAnsi="Trebuchet MS"/>
          <w:spacing w:val="-28"/>
          <w:sz w:val="20"/>
        </w:rPr>
        <w:t> </w:t>
      </w:r>
      <w:r>
        <w:rPr>
          <w:rFonts w:ascii="Trebuchet MS" w:hAnsi="Trebuchet MS"/>
          <w:sz w:val="20"/>
        </w:rPr>
        <w:t>disability</w:t>
      </w:r>
    </w:p>
    <w:p>
      <w:pPr>
        <w:pStyle w:val="ListParagraph"/>
        <w:numPr>
          <w:ilvl w:val="2"/>
          <w:numId w:val="127"/>
        </w:numPr>
        <w:tabs>
          <w:tab w:pos="2327" w:val="left" w:leader="none"/>
          <w:tab w:pos="2329" w:val="left" w:leader="none"/>
        </w:tabs>
        <w:spacing w:line="240" w:lineRule="auto" w:before="93" w:after="0"/>
        <w:ind w:left="2328" w:right="0" w:hanging="567"/>
        <w:jc w:val="left"/>
        <w:rPr>
          <w:rFonts w:ascii="Trebuchet MS" w:hAnsi="Trebuchet MS"/>
          <w:sz w:val="20"/>
        </w:rPr>
      </w:pPr>
      <w:r>
        <w:rPr>
          <w:rFonts w:ascii="Trebuchet MS" w:hAnsi="Trebuchet MS"/>
          <w:w w:val="105"/>
          <w:sz w:val="20"/>
        </w:rPr>
        <w:t>whether</w:t>
      </w:r>
      <w:r>
        <w:rPr>
          <w:rFonts w:ascii="Trebuchet MS" w:hAnsi="Trebuchet MS"/>
          <w:spacing w:val="-20"/>
          <w:w w:val="105"/>
          <w:sz w:val="20"/>
        </w:rPr>
        <w:t> </w:t>
      </w:r>
      <w:r>
        <w:rPr>
          <w:rFonts w:ascii="Trebuchet MS" w:hAnsi="Trebuchet MS"/>
          <w:spacing w:val="-3"/>
          <w:w w:val="105"/>
          <w:sz w:val="20"/>
        </w:rPr>
        <w:t>potential</w:t>
      </w:r>
      <w:r>
        <w:rPr>
          <w:rFonts w:ascii="Trebuchet MS" w:hAnsi="Trebuchet MS"/>
          <w:spacing w:val="-19"/>
          <w:w w:val="105"/>
          <w:sz w:val="20"/>
        </w:rPr>
        <w:t> </w:t>
      </w:r>
      <w:r>
        <w:rPr>
          <w:rFonts w:ascii="Trebuchet MS" w:hAnsi="Trebuchet MS"/>
          <w:w w:val="105"/>
          <w:sz w:val="20"/>
        </w:rPr>
        <w:t>jurors</w:t>
      </w:r>
      <w:r>
        <w:rPr>
          <w:rFonts w:ascii="Trebuchet MS" w:hAnsi="Trebuchet MS"/>
          <w:spacing w:val="-19"/>
          <w:w w:val="105"/>
          <w:sz w:val="20"/>
        </w:rPr>
        <w:t> </w:t>
      </w:r>
      <w:r>
        <w:rPr>
          <w:rFonts w:ascii="Trebuchet MS" w:hAnsi="Trebuchet MS"/>
          <w:w w:val="105"/>
          <w:sz w:val="20"/>
        </w:rPr>
        <w:t>identify</w:t>
      </w:r>
      <w:r>
        <w:rPr>
          <w:rFonts w:ascii="Trebuchet MS" w:hAnsi="Trebuchet MS"/>
          <w:spacing w:val="-19"/>
          <w:w w:val="105"/>
          <w:sz w:val="20"/>
        </w:rPr>
        <w:t> </w:t>
      </w:r>
      <w:r>
        <w:rPr>
          <w:rFonts w:ascii="Trebuchet MS" w:hAnsi="Trebuchet MS"/>
          <w:w w:val="105"/>
          <w:sz w:val="20"/>
        </w:rPr>
        <w:t>as</w:t>
      </w:r>
      <w:r>
        <w:rPr>
          <w:rFonts w:ascii="Trebuchet MS" w:hAnsi="Trebuchet MS"/>
          <w:spacing w:val="-19"/>
          <w:w w:val="105"/>
          <w:sz w:val="20"/>
        </w:rPr>
        <w:t> </w:t>
      </w:r>
      <w:r>
        <w:rPr>
          <w:rFonts w:ascii="Trebuchet MS" w:hAnsi="Trebuchet MS"/>
          <w:w w:val="105"/>
          <w:sz w:val="20"/>
        </w:rPr>
        <w:t>Aboriginal</w:t>
      </w:r>
      <w:r>
        <w:rPr>
          <w:rFonts w:ascii="Trebuchet MS" w:hAnsi="Trebuchet MS"/>
          <w:spacing w:val="-19"/>
          <w:w w:val="105"/>
          <w:sz w:val="20"/>
        </w:rPr>
        <w:t> </w:t>
      </w:r>
      <w:r>
        <w:rPr>
          <w:rFonts w:ascii="Trebuchet MS" w:hAnsi="Trebuchet MS"/>
          <w:w w:val="105"/>
          <w:sz w:val="20"/>
        </w:rPr>
        <w:t>or</w:t>
      </w:r>
      <w:r>
        <w:rPr>
          <w:rFonts w:ascii="Trebuchet MS" w:hAnsi="Trebuchet MS"/>
          <w:spacing w:val="-19"/>
          <w:w w:val="105"/>
          <w:sz w:val="20"/>
        </w:rPr>
        <w:t> </w:t>
      </w:r>
      <w:r>
        <w:rPr>
          <w:rFonts w:ascii="Trebuchet MS" w:hAnsi="Trebuchet MS"/>
          <w:spacing w:val="-5"/>
          <w:w w:val="105"/>
          <w:sz w:val="20"/>
        </w:rPr>
        <w:t>Torres</w:t>
      </w:r>
      <w:r>
        <w:rPr>
          <w:rFonts w:ascii="Trebuchet MS" w:hAnsi="Trebuchet MS"/>
          <w:spacing w:val="-19"/>
          <w:w w:val="105"/>
          <w:sz w:val="20"/>
        </w:rPr>
        <w:t> </w:t>
      </w:r>
      <w:r>
        <w:rPr>
          <w:rFonts w:ascii="Trebuchet MS" w:hAnsi="Trebuchet MS"/>
          <w:w w:val="105"/>
          <w:sz w:val="20"/>
        </w:rPr>
        <w:t>Strait</w:t>
      </w:r>
      <w:r>
        <w:rPr>
          <w:rFonts w:ascii="Trebuchet MS" w:hAnsi="Trebuchet MS"/>
          <w:spacing w:val="-19"/>
          <w:w w:val="105"/>
          <w:sz w:val="20"/>
        </w:rPr>
        <w:t> </w:t>
      </w:r>
      <w:r>
        <w:rPr>
          <w:rFonts w:ascii="Trebuchet MS" w:hAnsi="Trebuchet MS"/>
          <w:w w:val="105"/>
          <w:sz w:val="20"/>
        </w:rPr>
        <w:t>Islander</w:t>
      </w:r>
    </w:p>
    <w:p>
      <w:pPr>
        <w:pStyle w:val="ListParagraph"/>
        <w:numPr>
          <w:ilvl w:val="2"/>
          <w:numId w:val="127"/>
        </w:numPr>
        <w:tabs>
          <w:tab w:pos="2327" w:val="left" w:leader="none"/>
          <w:tab w:pos="2329" w:val="left" w:leader="none"/>
        </w:tabs>
        <w:spacing w:line="240" w:lineRule="auto" w:before="93" w:after="0"/>
        <w:ind w:left="2328" w:right="0" w:hanging="567"/>
        <w:jc w:val="left"/>
        <w:rPr>
          <w:rFonts w:ascii="Trebuchet MS" w:hAnsi="Trebuchet MS"/>
          <w:sz w:val="20"/>
        </w:rPr>
      </w:pPr>
      <w:r>
        <w:rPr>
          <w:rFonts w:ascii="Trebuchet MS" w:hAnsi="Trebuchet MS"/>
          <w:w w:val="110"/>
          <w:sz w:val="20"/>
        </w:rPr>
        <w:t>adjustments</w:t>
      </w:r>
      <w:r>
        <w:rPr>
          <w:rFonts w:ascii="Trebuchet MS" w:hAnsi="Trebuchet MS"/>
          <w:spacing w:val="-21"/>
          <w:w w:val="110"/>
          <w:sz w:val="20"/>
        </w:rPr>
        <w:t> </w:t>
      </w:r>
      <w:r>
        <w:rPr>
          <w:rFonts w:ascii="Trebuchet MS" w:hAnsi="Trebuchet MS"/>
          <w:w w:val="110"/>
          <w:sz w:val="20"/>
        </w:rPr>
        <w:t>sought</w:t>
      </w:r>
    </w:p>
    <w:p>
      <w:pPr>
        <w:pStyle w:val="ListParagraph"/>
        <w:numPr>
          <w:ilvl w:val="2"/>
          <w:numId w:val="127"/>
        </w:numPr>
        <w:tabs>
          <w:tab w:pos="2327" w:val="left" w:leader="none"/>
          <w:tab w:pos="2329" w:val="left" w:leader="none"/>
        </w:tabs>
        <w:spacing w:line="240" w:lineRule="auto" w:before="93" w:after="0"/>
        <w:ind w:left="2328" w:right="0" w:hanging="567"/>
        <w:jc w:val="left"/>
        <w:rPr>
          <w:rFonts w:ascii="Trebuchet MS" w:hAnsi="Trebuchet MS"/>
          <w:sz w:val="20"/>
        </w:rPr>
      </w:pPr>
      <w:r>
        <w:rPr>
          <w:rFonts w:ascii="Trebuchet MS" w:hAnsi="Trebuchet MS"/>
          <w:w w:val="105"/>
          <w:sz w:val="20"/>
        </w:rPr>
        <w:t>adjustments</w:t>
      </w:r>
      <w:r>
        <w:rPr>
          <w:rFonts w:ascii="Trebuchet MS" w:hAnsi="Trebuchet MS"/>
          <w:spacing w:val="-18"/>
          <w:w w:val="105"/>
          <w:sz w:val="20"/>
        </w:rPr>
        <w:t> </w:t>
      </w:r>
      <w:r>
        <w:rPr>
          <w:rFonts w:ascii="Trebuchet MS" w:hAnsi="Trebuchet MS"/>
          <w:w w:val="105"/>
          <w:sz w:val="20"/>
        </w:rPr>
        <w:t>provided</w:t>
      </w:r>
      <w:r>
        <w:rPr>
          <w:rFonts w:ascii="Trebuchet MS" w:hAnsi="Trebuchet MS"/>
          <w:spacing w:val="-18"/>
          <w:w w:val="105"/>
          <w:sz w:val="20"/>
        </w:rPr>
        <w:t> </w:t>
      </w:r>
      <w:r>
        <w:rPr>
          <w:rFonts w:ascii="Trebuchet MS" w:hAnsi="Trebuchet MS"/>
          <w:w w:val="105"/>
          <w:sz w:val="20"/>
        </w:rPr>
        <w:t>including</w:t>
      </w:r>
      <w:r>
        <w:rPr>
          <w:rFonts w:ascii="Trebuchet MS" w:hAnsi="Trebuchet MS"/>
          <w:spacing w:val="-17"/>
          <w:w w:val="105"/>
          <w:sz w:val="20"/>
        </w:rPr>
        <w:t> </w:t>
      </w:r>
      <w:r>
        <w:rPr>
          <w:rFonts w:ascii="Trebuchet MS" w:hAnsi="Trebuchet MS"/>
          <w:w w:val="105"/>
          <w:sz w:val="20"/>
        </w:rPr>
        <w:t>duration</w:t>
      </w:r>
      <w:r>
        <w:rPr>
          <w:rFonts w:ascii="Trebuchet MS" w:hAnsi="Trebuchet MS"/>
          <w:spacing w:val="-18"/>
          <w:w w:val="105"/>
          <w:sz w:val="20"/>
        </w:rPr>
        <w:t> </w:t>
      </w:r>
      <w:r>
        <w:rPr>
          <w:rFonts w:ascii="Trebuchet MS" w:hAnsi="Trebuchet MS"/>
          <w:w w:val="105"/>
          <w:sz w:val="20"/>
        </w:rPr>
        <w:t>of</w:t>
      </w:r>
      <w:r>
        <w:rPr>
          <w:rFonts w:ascii="Trebuchet MS" w:hAnsi="Trebuchet MS"/>
          <w:spacing w:val="-17"/>
          <w:w w:val="105"/>
          <w:sz w:val="20"/>
        </w:rPr>
        <w:t> </w:t>
      </w:r>
      <w:r>
        <w:rPr>
          <w:rFonts w:ascii="Trebuchet MS" w:hAnsi="Trebuchet MS"/>
          <w:w w:val="105"/>
          <w:sz w:val="20"/>
        </w:rPr>
        <w:t>Auslan</w:t>
      </w:r>
      <w:r>
        <w:rPr>
          <w:rFonts w:ascii="Trebuchet MS" w:hAnsi="Trebuchet MS"/>
          <w:spacing w:val="-18"/>
          <w:w w:val="105"/>
          <w:sz w:val="20"/>
        </w:rPr>
        <w:t> </w:t>
      </w:r>
      <w:r>
        <w:rPr>
          <w:rFonts w:ascii="Trebuchet MS" w:hAnsi="Trebuchet MS"/>
          <w:spacing w:val="-3"/>
          <w:w w:val="105"/>
          <w:sz w:val="20"/>
        </w:rPr>
        <w:t>interpreting</w:t>
      </w:r>
    </w:p>
    <w:p>
      <w:pPr>
        <w:pStyle w:val="ListParagraph"/>
        <w:numPr>
          <w:ilvl w:val="2"/>
          <w:numId w:val="127"/>
        </w:numPr>
        <w:tabs>
          <w:tab w:pos="2327" w:val="left" w:leader="none"/>
          <w:tab w:pos="2329" w:val="left" w:leader="none"/>
        </w:tabs>
        <w:spacing w:line="247" w:lineRule="auto" w:before="93" w:after="0"/>
        <w:ind w:left="2328" w:right="1702" w:hanging="567"/>
        <w:jc w:val="left"/>
        <w:rPr>
          <w:rFonts w:ascii="Trebuchet MS" w:hAnsi="Trebuchet MS"/>
          <w:sz w:val="20"/>
        </w:rPr>
      </w:pPr>
      <w:r>
        <w:rPr>
          <w:rFonts w:ascii="Trebuchet MS" w:hAnsi="Trebuchet MS"/>
          <w:w w:val="105"/>
          <w:sz w:val="20"/>
        </w:rPr>
        <w:t>the</w:t>
      </w:r>
      <w:r>
        <w:rPr>
          <w:rFonts w:ascii="Trebuchet MS" w:hAnsi="Trebuchet MS"/>
          <w:spacing w:val="-13"/>
          <w:w w:val="105"/>
          <w:sz w:val="20"/>
        </w:rPr>
        <w:t> </w:t>
      </w:r>
      <w:r>
        <w:rPr>
          <w:rFonts w:ascii="Trebuchet MS" w:hAnsi="Trebuchet MS"/>
          <w:w w:val="105"/>
          <w:sz w:val="20"/>
        </w:rPr>
        <w:t>number</w:t>
      </w:r>
      <w:r>
        <w:rPr>
          <w:rFonts w:ascii="Trebuchet MS" w:hAnsi="Trebuchet MS"/>
          <w:spacing w:val="-12"/>
          <w:w w:val="105"/>
          <w:sz w:val="20"/>
        </w:rPr>
        <w:t> </w:t>
      </w:r>
      <w:r>
        <w:rPr>
          <w:rFonts w:ascii="Trebuchet MS" w:hAnsi="Trebuchet MS"/>
          <w:w w:val="105"/>
          <w:sz w:val="20"/>
        </w:rPr>
        <w:t>of</w:t>
      </w:r>
      <w:r>
        <w:rPr>
          <w:rFonts w:ascii="Trebuchet MS" w:hAnsi="Trebuchet MS"/>
          <w:spacing w:val="-12"/>
          <w:w w:val="105"/>
          <w:sz w:val="20"/>
        </w:rPr>
        <w:t> </w:t>
      </w:r>
      <w:r>
        <w:rPr>
          <w:rFonts w:ascii="Trebuchet MS" w:hAnsi="Trebuchet MS"/>
          <w:w w:val="105"/>
          <w:sz w:val="20"/>
        </w:rPr>
        <w:t>times</w:t>
      </w:r>
      <w:r>
        <w:rPr>
          <w:rFonts w:ascii="Trebuchet MS" w:hAnsi="Trebuchet MS"/>
          <w:spacing w:val="-13"/>
          <w:w w:val="105"/>
          <w:sz w:val="20"/>
        </w:rPr>
        <w:t> </w:t>
      </w:r>
      <w:r>
        <w:rPr>
          <w:rFonts w:ascii="Trebuchet MS" w:hAnsi="Trebuchet MS"/>
          <w:w w:val="105"/>
          <w:sz w:val="20"/>
        </w:rPr>
        <w:t>the</w:t>
      </w:r>
      <w:r>
        <w:rPr>
          <w:rFonts w:ascii="Trebuchet MS" w:hAnsi="Trebuchet MS"/>
          <w:spacing w:val="-12"/>
          <w:w w:val="105"/>
          <w:sz w:val="20"/>
        </w:rPr>
        <w:t> </w:t>
      </w:r>
      <w:r>
        <w:rPr>
          <w:rFonts w:ascii="Trebuchet MS" w:hAnsi="Trebuchet MS"/>
          <w:w w:val="105"/>
          <w:sz w:val="20"/>
        </w:rPr>
        <w:t>Juries</w:t>
      </w:r>
      <w:r>
        <w:rPr>
          <w:rFonts w:ascii="Trebuchet MS" w:hAnsi="Trebuchet MS"/>
          <w:spacing w:val="-12"/>
          <w:w w:val="105"/>
          <w:sz w:val="20"/>
        </w:rPr>
        <w:t> </w:t>
      </w:r>
      <w:r>
        <w:rPr>
          <w:rFonts w:ascii="Trebuchet MS" w:hAnsi="Trebuchet MS"/>
          <w:w w:val="105"/>
          <w:sz w:val="20"/>
        </w:rPr>
        <w:t>Commissioner</w:t>
      </w:r>
      <w:r>
        <w:rPr>
          <w:rFonts w:ascii="Trebuchet MS" w:hAnsi="Trebuchet MS"/>
          <w:spacing w:val="-13"/>
          <w:w w:val="105"/>
          <w:sz w:val="20"/>
        </w:rPr>
        <w:t> </w:t>
      </w:r>
      <w:r>
        <w:rPr>
          <w:rFonts w:ascii="Trebuchet MS" w:hAnsi="Trebuchet MS"/>
          <w:spacing w:val="-3"/>
          <w:w w:val="105"/>
          <w:sz w:val="20"/>
        </w:rPr>
        <w:t>exercises</w:t>
      </w:r>
      <w:r>
        <w:rPr>
          <w:rFonts w:ascii="Trebuchet MS" w:hAnsi="Trebuchet MS"/>
          <w:spacing w:val="-12"/>
          <w:w w:val="105"/>
          <w:sz w:val="20"/>
        </w:rPr>
        <w:t> </w:t>
      </w:r>
      <w:r>
        <w:rPr>
          <w:rFonts w:ascii="Trebuchet MS" w:hAnsi="Trebuchet MS"/>
          <w:w w:val="105"/>
          <w:sz w:val="20"/>
        </w:rPr>
        <w:t>the</w:t>
      </w:r>
      <w:r>
        <w:rPr>
          <w:rFonts w:ascii="Trebuchet MS" w:hAnsi="Trebuchet MS"/>
          <w:spacing w:val="-12"/>
          <w:w w:val="105"/>
          <w:sz w:val="20"/>
        </w:rPr>
        <w:t> </w:t>
      </w:r>
      <w:r>
        <w:rPr>
          <w:rFonts w:ascii="Trebuchet MS" w:hAnsi="Trebuchet MS"/>
          <w:w w:val="105"/>
          <w:sz w:val="20"/>
        </w:rPr>
        <w:t>new</w:t>
      </w:r>
      <w:r>
        <w:rPr>
          <w:rFonts w:ascii="Trebuchet MS" w:hAnsi="Trebuchet MS"/>
          <w:spacing w:val="-13"/>
          <w:w w:val="105"/>
          <w:sz w:val="20"/>
        </w:rPr>
        <w:t> </w:t>
      </w:r>
      <w:r>
        <w:rPr>
          <w:rFonts w:ascii="Trebuchet MS" w:hAnsi="Trebuchet MS"/>
          <w:spacing w:val="-3"/>
          <w:w w:val="105"/>
          <w:sz w:val="20"/>
        </w:rPr>
        <w:t>powers</w:t>
      </w:r>
      <w:r>
        <w:rPr>
          <w:rFonts w:ascii="Trebuchet MS" w:hAnsi="Trebuchet MS"/>
          <w:spacing w:val="-12"/>
          <w:w w:val="105"/>
          <w:sz w:val="20"/>
        </w:rPr>
        <w:t> </w:t>
      </w:r>
      <w:r>
        <w:rPr>
          <w:rFonts w:ascii="Trebuchet MS" w:hAnsi="Trebuchet MS"/>
          <w:w w:val="105"/>
          <w:sz w:val="20"/>
        </w:rPr>
        <w:t>to </w:t>
      </w:r>
      <w:r>
        <w:rPr>
          <w:rFonts w:ascii="Trebuchet MS" w:hAnsi="Trebuchet MS"/>
          <w:spacing w:val="-1"/>
          <w:w w:val="107"/>
          <w:sz w:val="20"/>
        </w:rPr>
        <w:t>h</w:t>
      </w:r>
      <w:r>
        <w:rPr>
          <w:rFonts w:ascii="Trebuchet MS" w:hAnsi="Trebuchet MS"/>
          <w:spacing w:val="-2"/>
          <w:w w:val="111"/>
          <w:sz w:val="20"/>
        </w:rPr>
        <w:t>o</w:t>
      </w:r>
      <w:r>
        <w:rPr>
          <w:rFonts w:ascii="Trebuchet MS" w:hAnsi="Trebuchet MS"/>
          <w:spacing w:val="-3"/>
          <w:w w:val="96"/>
          <w:sz w:val="20"/>
        </w:rPr>
        <w:t>l</w:t>
      </w:r>
      <w:r>
        <w:rPr>
          <w:rFonts w:ascii="Trebuchet MS" w:hAnsi="Trebuchet MS"/>
          <w:w w:val="112"/>
          <w:sz w:val="20"/>
        </w:rPr>
        <w:t>d</w:t>
      </w:r>
      <w:r>
        <w:rPr>
          <w:rFonts w:ascii="Trebuchet MS" w:hAnsi="Trebuchet MS"/>
          <w:spacing w:val="-14"/>
          <w:sz w:val="20"/>
        </w:rPr>
        <w:t> </w:t>
      </w:r>
      <w:r>
        <w:rPr>
          <w:rFonts w:ascii="Trebuchet MS" w:hAnsi="Trebuchet MS"/>
          <w:w w:val="105"/>
          <w:sz w:val="20"/>
        </w:rPr>
        <w:t>a</w:t>
      </w:r>
      <w:r>
        <w:rPr>
          <w:rFonts w:ascii="Trebuchet MS" w:hAnsi="Trebuchet MS"/>
          <w:spacing w:val="-14"/>
          <w:sz w:val="20"/>
        </w:rPr>
        <w:t> </w:t>
      </w:r>
      <w:r>
        <w:rPr>
          <w:rFonts w:ascii="Trebuchet MS" w:hAnsi="Trebuchet MS"/>
          <w:spacing w:val="-1"/>
          <w:w w:val="111"/>
          <w:sz w:val="20"/>
        </w:rPr>
        <w:t>p</w:t>
      </w:r>
      <w:r>
        <w:rPr>
          <w:rFonts w:ascii="Trebuchet MS" w:hAnsi="Trebuchet MS"/>
          <w:spacing w:val="-1"/>
          <w:w w:val="108"/>
          <w:sz w:val="20"/>
        </w:rPr>
        <w:t>e</w:t>
      </w:r>
      <w:r>
        <w:rPr>
          <w:rFonts w:ascii="Trebuchet MS" w:hAnsi="Trebuchet MS"/>
          <w:spacing w:val="-1"/>
          <w:w w:val="93"/>
          <w:sz w:val="20"/>
        </w:rPr>
        <w:t>r</w:t>
      </w:r>
      <w:r>
        <w:rPr>
          <w:rFonts w:ascii="Trebuchet MS" w:hAnsi="Trebuchet MS"/>
          <w:spacing w:val="-1"/>
          <w:w w:val="122"/>
          <w:sz w:val="20"/>
        </w:rPr>
        <w:t>s</w:t>
      </w:r>
      <w:r>
        <w:rPr>
          <w:rFonts w:ascii="Trebuchet MS" w:hAnsi="Trebuchet MS"/>
          <w:spacing w:val="-1"/>
          <w:w w:val="111"/>
          <w:sz w:val="20"/>
        </w:rPr>
        <w:t>o</w:t>
      </w:r>
      <w:r>
        <w:rPr>
          <w:rFonts w:ascii="Trebuchet MS" w:hAnsi="Trebuchet MS"/>
          <w:spacing w:val="-6"/>
          <w:w w:val="107"/>
          <w:sz w:val="20"/>
        </w:rPr>
        <w:t>n</w:t>
      </w:r>
      <w:r>
        <w:rPr>
          <w:rFonts w:ascii="Trebuchet MS" w:hAnsi="Trebuchet MS"/>
          <w:spacing w:val="-6"/>
          <w:w w:val="54"/>
          <w:sz w:val="20"/>
        </w:rPr>
        <w:t>’</w:t>
      </w:r>
      <w:r>
        <w:rPr>
          <w:rFonts w:ascii="Trebuchet MS" w:hAnsi="Trebuchet MS"/>
          <w:w w:val="122"/>
          <w:sz w:val="20"/>
        </w:rPr>
        <w:t>s</w:t>
      </w:r>
      <w:r>
        <w:rPr>
          <w:rFonts w:ascii="Trebuchet MS" w:hAnsi="Trebuchet MS"/>
          <w:spacing w:val="-14"/>
          <w:sz w:val="20"/>
        </w:rPr>
        <w:t> </w:t>
      </w:r>
      <w:r>
        <w:rPr>
          <w:rFonts w:ascii="Trebuchet MS" w:hAnsi="Trebuchet MS"/>
          <w:w w:val="111"/>
          <w:sz w:val="20"/>
        </w:rPr>
        <w:t>c</w:t>
      </w:r>
      <w:r>
        <w:rPr>
          <w:rFonts w:ascii="Trebuchet MS" w:hAnsi="Trebuchet MS"/>
          <w:spacing w:val="-2"/>
          <w:w w:val="105"/>
          <w:sz w:val="20"/>
        </w:rPr>
        <w:t>a</w:t>
      </w:r>
      <w:r>
        <w:rPr>
          <w:rFonts w:ascii="Trebuchet MS" w:hAnsi="Trebuchet MS"/>
          <w:spacing w:val="-4"/>
          <w:w w:val="93"/>
          <w:sz w:val="20"/>
        </w:rPr>
        <w:t>r</w:t>
      </w:r>
      <w:r>
        <w:rPr>
          <w:rFonts w:ascii="Trebuchet MS" w:hAnsi="Trebuchet MS"/>
          <w:w w:val="112"/>
          <w:sz w:val="20"/>
        </w:rPr>
        <w:t>d</w:t>
      </w:r>
      <w:r>
        <w:rPr>
          <w:rFonts w:ascii="Trebuchet MS" w:hAnsi="Trebuchet MS"/>
          <w:spacing w:val="-14"/>
          <w:sz w:val="20"/>
        </w:rPr>
        <w:t> </w:t>
      </w:r>
      <w:r>
        <w:rPr>
          <w:rFonts w:ascii="Trebuchet MS" w:hAnsi="Trebuchet MS"/>
          <w:spacing w:val="-1"/>
          <w:w w:val="111"/>
          <w:sz w:val="20"/>
        </w:rPr>
        <w:t>o</w:t>
      </w:r>
      <w:r>
        <w:rPr>
          <w:rFonts w:ascii="Trebuchet MS" w:hAnsi="Trebuchet MS"/>
          <w:spacing w:val="-3"/>
          <w:w w:val="109"/>
          <w:sz w:val="20"/>
        </w:rPr>
        <w:t>u</w:t>
      </w:r>
      <w:r>
        <w:rPr>
          <w:rFonts w:ascii="Trebuchet MS" w:hAnsi="Trebuchet MS"/>
          <w:w w:val="88"/>
          <w:sz w:val="20"/>
        </w:rPr>
        <w:t>t</w:t>
      </w:r>
      <w:r>
        <w:rPr>
          <w:rFonts w:ascii="Trebuchet MS" w:hAnsi="Trebuchet MS"/>
          <w:spacing w:val="-14"/>
          <w:sz w:val="20"/>
        </w:rPr>
        <w:t> </w:t>
      </w:r>
      <w:r>
        <w:rPr>
          <w:rFonts w:ascii="Trebuchet MS" w:hAnsi="Trebuchet MS"/>
          <w:spacing w:val="-4"/>
          <w:w w:val="111"/>
          <w:sz w:val="20"/>
        </w:rPr>
        <w:t>o</w:t>
      </w:r>
      <w:r>
        <w:rPr>
          <w:rFonts w:ascii="Trebuchet MS" w:hAnsi="Trebuchet MS"/>
          <w:w w:val="92"/>
          <w:sz w:val="20"/>
        </w:rPr>
        <w:t>f</w:t>
      </w:r>
      <w:r>
        <w:rPr>
          <w:rFonts w:ascii="Trebuchet MS" w:hAnsi="Trebuchet MS"/>
          <w:spacing w:val="-14"/>
          <w:sz w:val="20"/>
        </w:rPr>
        <w:t> </w:t>
      </w:r>
      <w:r>
        <w:rPr>
          <w:rFonts w:ascii="Trebuchet MS" w:hAnsi="Trebuchet MS"/>
          <w:w w:val="105"/>
          <w:sz w:val="20"/>
        </w:rPr>
        <w:t>a</w:t>
      </w:r>
      <w:r>
        <w:rPr>
          <w:rFonts w:ascii="Trebuchet MS" w:hAnsi="Trebuchet MS"/>
          <w:spacing w:val="-14"/>
          <w:sz w:val="20"/>
        </w:rPr>
        <w:t> </w:t>
      </w:r>
      <w:r>
        <w:rPr>
          <w:rFonts w:ascii="Trebuchet MS" w:hAnsi="Trebuchet MS"/>
          <w:spacing w:val="-1"/>
          <w:w w:val="111"/>
          <w:sz w:val="20"/>
        </w:rPr>
        <w:t>b</w:t>
      </w:r>
      <w:r>
        <w:rPr>
          <w:rFonts w:ascii="Trebuchet MS" w:hAnsi="Trebuchet MS"/>
          <w:spacing w:val="-3"/>
          <w:w w:val="105"/>
          <w:sz w:val="20"/>
        </w:rPr>
        <w:t>a</w:t>
      </w:r>
      <w:r>
        <w:rPr>
          <w:rFonts w:ascii="Trebuchet MS" w:hAnsi="Trebuchet MS"/>
          <w:spacing w:val="-2"/>
          <w:w w:val="96"/>
          <w:sz w:val="20"/>
        </w:rPr>
        <w:t>l</w:t>
      </w:r>
      <w:r>
        <w:rPr>
          <w:rFonts w:ascii="Trebuchet MS" w:hAnsi="Trebuchet MS"/>
          <w:spacing w:val="-3"/>
          <w:w w:val="96"/>
          <w:sz w:val="20"/>
        </w:rPr>
        <w:t>l</w:t>
      </w:r>
      <w:r>
        <w:rPr>
          <w:rFonts w:ascii="Trebuchet MS" w:hAnsi="Trebuchet MS"/>
          <w:spacing w:val="-4"/>
          <w:w w:val="111"/>
          <w:sz w:val="20"/>
        </w:rPr>
        <w:t>o</w:t>
      </w:r>
      <w:r>
        <w:rPr>
          <w:rFonts w:ascii="Trebuchet MS" w:hAnsi="Trebuchet MS"/>
          <w:w w:val="88"/>
          <w:sz w:val="20"/>
        </w:rPr>
        <w:t>t</w:t>
      </w:r>
    </w:p>
    <w:p>
      <w:pPr>
        <w:pStyle w:val="ListParagraph"/>
        <w:numPr>
          <w:ilvl w:val="2"/>
          <w:numId w:val="127"/>
        </w:numPr>
        <w:tabs>
          <w:tab w:pos="2327" w:val="left" w:leader="none"/>
          <w:tab w:pos="2329" w:val="left" w:leader="none"/>
        </w:tabs>
        <w:spacing w:line="247" w:lineRule="auto" w:before="86" w:after="0"/>
        <w:ind w:left="2328" w:right="1622" w:hanging="567"/>
        <w:jc w:val="left"/>
        <w:rPr>
          <w:rFonts w:ascii="Trebuchet MS" w:hAnsi="Trebuchet MS"/>
          <w:sz w:val="20"/>
        </w:rPr>
      </w:pPr>
      <w:r>
        <w:rPr>
          <w:rFonts w:ascii="Trebuchet MS" w:hAnsi="Trebuchet MS"/>
          <w:w w:val="105"/>
          <w:sz w:val="20"/>
        </w:rPr>
        <w:t>the number of times the Juries Commissioner </w:t>
      </w:r>
      <w:r>
        <w:rPr>
          <w:rFonts w:ascii="Trebuchet MS" w:hAnsi="Trebuchet MS"/>
          <w:spacing w:val="-3"/>
          <w:w w:val="105"/>
          <w:sz w:val="20"/>
        </w:rPr>
        <w:t>exercises </w:t>
      </w:r>
      <w:r>
        <w:rPr>
          <w:rFonts w:ascii="Trebuchet MS" w:hAnsi="Trebuchet MS"/>
          <w:w w:val="105"/>
          <w:sz w:val="20"/>
        </w:rPr>
        <w:t>the new </w:t>
      </w:r>
      <w:r>
        <w:rPr>
          <w:rFonts w:ascii="Trebuchet MS" w:hAnsi="Trebuchet MS"/>
          <w:spacing w:val="-3"/>
          <w:w w:val="105"/>
          <w:sz w:val="20"/>
        </w:rPr>
        <w:t>power </w:t>
      </w:r>
      <w:r>
        <w:rPr>
          <w:rFonts w:ascii="Trebuchet MS" w:hAnsi="Trebuchet MS"/>
          <w:w w:val="105"/>
          <w:sz w:val="20"/>
        </w:rPr>
        <w:t>to </w:t>
      </w:r>
      <w:r>
        <w:rPr>
          <w:rFonts w:ascii="Trebuchet MS" w:hAnsi="Trebuchet MS"/>
          <w:spacing w:val="-3"/>
          <w:w w:val="105"/>
          <w:sz w:val="20"/>
        </w:rPr>
        <w:t>defer</w:t>
      </w:r>
      <w:r>
        <w:rPr>
          <w:rFonts w:ascii="Trebuchet MS" w:hAnsi="Trebuchet MS"/>
          <w:spacing w:val="-21"/>
          <w:w w:val="105"/>
          <w:sz w:val="20"/>
        </w:rPr>
        <w:t> </w:t>
      </w:r>
      <w:r>
        <w:rPr>
          <w:rFonts w:ascii="Trebuchet MS" w:hAnsi="Trebuchet MS"/>
          <w:w w:val="105"/>
          <w:sz w:val="20"/>
        </w:rPr>
        <w:t>jury</w:t>
      </w:r>
      <w:r>
        <w:rPr>
          <w:rFonts w:ascii="Trebuchet MS" w:hAnsi="Trebuchet MS"/>
          <w:spacing w:val="-20"/>
          <w:w w:val="105"/>
          <w:sz w:val="20"/>
        </w:rPr>
        <w:t> </w:t>
      </w:r>
      <w:r>
        <w:rPr>
          <w:rFonts w:ascii="Trebuchet MS" w:hAnsi="Trebuchet MS"/>
          <w:w w:val="105"/>
          <w:sz w:val="20"/>
        </w:rPr>
        <w:t>service</w:t>
      </w:r>
      <w:r>
        <w:rPr>
          <w:rFonts w:ascii="Trebuchet MS" w:hAnsi="Trebuchet MS"/>
          <w:spacing w:val="-20"/>
          <w:w w:val="105"/>
          <w:sz w:val="20"/>
        </w:rPr>
        <w:t> </w:t>
      </w:r>
      <w:r>
        <w:rPr>
          <w:rFonts w:ascii="Trebuchet MS" w:hAnsi="Trebuchet MS"/>
          <w:w w:val="105"/>
          <w:sz w:val="20"/>
        </w:rPr>
        <w:t>for</w:t>
      </w:r>
      <w:r>
        <w:rPr>
          <w:rFonts w:ascii="Trebuchet MS" w:hAnsi="Trebuchet MS"/>
          <w:spacing w:val="-20"/>
          <w:w w:val="105"/>
          <w:sz w:val="20"/>
        </w:rPr>
        <w:t> </w:t>
      </w:r>
      <w:r>
        <w:rPr>
          <w:rFonts w:ascii="Trebuchet MS" w:hAnsi="Trebuchet MS"/>
          <w:w w:val="105"/>
          <w:sz w:val="20"/>
        </w:rPr>
        <w:t>a</w:t>
      </w:r>
      <w:r>
        <w:rPr>
          <w:rFonts w:ascii="Trebuchet MS" w:hAnsi="Trebuchet MS"/>
          <w:spacing w:val="-20"/>
          <w:w w:val="105"/>
          <w:sz w:val="20"/>
        </w:rPr>
        <w:t> </w:t>
      </w:r>
      <w:r>
        <w:rPr>
          <w:rFonts w:ascii="Trebuchet MS" w:hAnsi="Trebuchet MS"/>
          <w:w w:val="105"/>
          <w:sz w:val="20"/>
        </w:rPr>
        <w:t>person</w:t>
      </w:r>
      <w:r>
        <w:rPr>
          <w:rFonts w:ascii="Trebuchet MS" w:hAnsi="Trebuchet MS"/>
          <w:spacing w:val="-20"/>
          <w:w w:val="105"/>
          <w:sz w:val="20"/>
        </w:rPr>
        <w:t> </w:t>
      </w:r>
      <w:r>
        <w:rPr>
          <w:rFonts w:ascii="Trebuchet MS" w:hAnsi="Trebuchet MS"/>
          <w:w w:val="105"/>
          <w:sz w:val="20"/>
        </w:rPr>
        <w:t>in</w:t>
      </w:r>
      <w:r>
        <w:rPr>
          <w:rFonts w:ascii="Trebuchet MS" w:hAnsi="Trebuchet MS"/>
          <w:spacing w:val="-20"/>
          <w:w w:val="105"/>
          <w:sz w:val="20"/>
        </w:rPr>
        <w:t> </w:t>
      </w:r>
      <w:r>
        <w:rPr>
          <w:rFonts w:ascii="Trebuchet MS" w:hAnsi="Trebuchet MS"/>
          <w:w w:val="105"/>
          <w:sz w:val="20"/>
        </w:rPr>
        <w:t>the</w:t>
      </w:r>
      <w:r>
        <w:rPr>
          <w:rFonts w:ascii="Trebuchet MS" w:hAnsi="Trebuchet MS"/>
          <w:spacing w:val="-20"/>
          <w:w w:val="105"/>
          <w:sz w:val="20"/>
        </w:rPr>
        <w:t> </w:t>
      </w:r>
      <w:r>
        <w:rPr>
          <w:rFonts w:ascii="Trebuchet MS" w:hAnsi="Trebuchet MS"/>
          <w:w w:val="105"/>
          <w:sz w:val="20"/>
        </w:rPr>
        <w:t>subject</w:t>
      </w:r>
      <w:r>
        <w:rPr>
          <w:rFonts w:ascii="Trebuchet MS" w:hAnsi="Trebuchet MS"/>
          <w:spacing w:val="-20"/>
          <w:w w:val="105"/>
          <w:sz w:val="20"/>
        </w:rPr>
        <w:t> </w:t>
      </w:r>
      <w:r>
        <w:rPr>
          <w:rFonts w:ascii="Trebuchet MS" w:hAnsi="Trebuchet MS"/>
          <w:w w:val="105"/>
          <w:sz w:val="20"/>
        </w:rPr>
        <w:t>groups</w:t>
      </w:r>
      <w:r>
        <w:rPr>
          <w:rFonts w:ascii="Trebuchet MS" w:hAnsi="Trebuchet MS"/>
          <w:spacing w:val="-20"/>
          <w:w w:val="105"/>
          <w:sz w:val="20"/>
        </w:rPr>
        <w:t> </w:t>
      </w:r>
      <w:r>
        <w:rPr>
          <w:rFonts w:ascii="Trebuchet MS" w:hAnsi="Trebuchet MS"/>
          <w:w w:val="105"/>
          <w:sz w:val="20"/>
        </w:rPr>
        <w:t>to</w:t>
      </w:r>
      <w:r>
        <w:rPr>
          <w:rFonts w:ascii="Trebuchet MS" w:hAnsi="Trebuchet MS"/>
          <w:spacing w:val="-20"/>
          <w:w w:val="105"/>
          <w:sz w:val="20"/>
        </w:rPr>
        <w:t> </w:t>
      </w:r>
      <w:r>
        <w:rPr>
          <w:rFonts w:ascii="Trebuchet MS" w:hAnsi="Trebuchet MS"/>
          <w:w w:val="105"/>
          <w:sz w:val="20"/>
        </w:rPr>
        <w:t>arrange</w:t>
      </w:r>
      <w:r>
        <w:rPr>
          <w:rFonts w:ascii="Trebuchet MS" w:hAnsi="Trebuchet MS"/>
          <w:spacing w:val="-20"/>
          <w:w w:val="105"/>
          <w:sz w:val="20"/>
        </w:rPr>
        <w:t> </w:t>
      </w:r>
      <w:r>
        <w:rPr>
          <w:rFonts w:ascii="Trebuchet MS" w:hAnsi="Trebuchet MS"/>
          <w:w w:val="105"/>
          <w:sz w:val="20"/>
        </w:rPr>
        <w:t>adjustments</w:t>
      </w:r>
    </w:p>
    <w:p>
      <w:pPr>
        <w:pStyle w:val="ListParagraph"/>
        <w:numPr>
          <w:ilvl w:val="2"/>
          <w:numId w:val="127"/>
        </w:numPr>
        <w:tabs>
          <w:tab w:pos="2327" w:val="left" w:leader="none"/>
          <w:tab w:pos="2329" w:val="left" w:leader="none"/>
        </w:tabs>
        <w:spacing w:line="240" w:lineRule="auto" w:before="87" w:after="0"/>
        <w:ind w:left="2328" w:right="0" w:hanging="567"/>
        <w:jc w:val="left"/>
        <w:rPr>
          <w:rFonts w:ascii="Trebuchet MS" w:hAnsi="Trebuchet MS"/>
          <w:sz w:val="20"/>
        </w:rPr>
      </w:pPr>
      <w:r>
        <w:rPr>
          <w:rFonts w:ascii="Trebuchet MS" w:hAnsi="Trebuchet MS"/>
          <w:spacing w:val="-3"/>
          <w:w w:val="105"/>
          <w:sz w:val="20"/>
        </w:rPr>
        <w:t>why</w:t>
      </w:r>
      <w:r>
        <w:rPr>
          <w:rFonts w:ascii="Trebuchet MS" w:hAnsi="Trebuchet MS"/>
          <w:spacing w:val="-17"/>
          <w:w w:val="105"/>
          <w:sz w:val="20"/>
        </w:rPr>
        <w:t> </w:t>
      </w:r>
      <w:r>
        <w:rPr>
          <w:rFonts w:ascii="Trebuchet MS" w:hAnsi="Trebuchet MS"/>
          <w:w w:val="105"/>
          <w:sz w:val="20"/>
        </w:rPr>
        <w:t>people</w:t>
      </w:r>
      <w:r>
        <w:rPr>
          <w:rFonts w:ascii="Trebuchet MS" w:hAnsi="Trebuchet MS"/>
          <w:spacing w:val="-16"/>
          <w:w w:val="105"/>
          <w:sz w:val="20"/>
        </w:rPr>
        <w:t> </w:t>
      </w:r>
      <w:r>
        <w:rPr>
          <w:rFonts w:ascii="Trebuchet MS" w:hAnsi="Trebuchet MS"/>
          <w:w w:val="105"/>
          <w:sz w:val="20"/>
        </w:rPr>
        <w:t>excused</w:t>
      </w:r>
      <w:r>
        <w:rPr>
          <w:rFonts w:ascii="Trebuchet MS" w:hAnsi="Trebuchet MS"/>
          <w:spacing w:val="-17"/>
          <w:w w:val="105"/>
          <w:sz w:val="20"/>
        </w:rPr>
        <w:t> </w:t>
      </w:r>
      <w:r>
        <w:rPr>
          <w:rFonts w:ascii="Trebuchet MS" w:hAnsi="Trebuchet MS"/>
          <w:w w:val="105"/>
          <w:sz w:val="20"/>
        </w:rPr>
        <w:t>from</w:t>
      </w:r>
      <w:r>
        <w:rPr>
          <w:rFonts w:ascii="Trebuchet MS" w:hAnsi="Trebuchet MS"/>
          <w:spacing w:val="-16"/>
          <w:w w:val="105"/>
          <w:sz w:val="20"/>
        </w:rPr>
        <w:t> </w:t>
      </w:r>
      <w:r>
        <w:rPr>
          <w:rFonts w:ascii="Trebuchet MS" w:hAnsi="Trebuchet MS"/>
          <w:w w:val="105"/>
          <w:sz w:val="20"/>
        </w:rPr>
        <w:t>jury</w:t>
      </w:r>
      <w:r>
        <w:rPr>
          <w:rFonts w:ascii="Trebuchet MS" w:hAnsi="Trebuchet MS"/>
          <w:spacing w:val="-17"/>
          <w:w w:val="105"/>
          <w:sz w:val="20"/>
        </w:rPr>
        <w:t> </w:t>
      </w:r>
      <w:r>
        <w:rPr>
          <w:rFonts w:ascii="Trebuchet MS" w:hAnsi="Trebuchet MS"/>
          <w:w w:val="105"/>
          <w:sz w:val="20"/>
        </w:rPr>
        <w:t>duty</w:t>
      </w:r>
      <w:r>
        <w:rPr>
          <w:rFonts w:ascii="Trebuchet MS" w:hAnsi="Trebuchet MS"/>
          <w:spacing w:val="-16"/>
          <w:w w:val="105"/>
          <w:sz w:val="20"/>
        </w:rPr>
        <w:t> </w:t>
      </w:r>
      <w:r>
        <w:rPr>
          <w:rFonts w:ascii="Trebuchet MS" w:hAnsi="Trebuchet MS"/>
          <w:w w:val="105"/>
          <w:sz w:val="20"/>
        </w:rPr>
        <w:t>could</w:t>
      </w:r>
      <w:r>
        <w:rPr>
          <w:rFonts w:ascii="Trebuchet MS" w:hAnsi="Trebuchet MS"/>
          <w:spacing w:val="-17"/>
          <w:w w:val="105"/>
          <w:sz w:val="20"/>
        </w:rPr>
        <w:t> </w:t>
      </w:r>
      <w:r>
        <w:rPr>
          <w:rFonts w:ascii="Trebuchet MS" w:hAnsi="Trebuchet MS"/>
          <w:w w:val="105"/>
          <w:sz w:val="20"/>
        </w:rPr>
        <w:t>not</w:t>
      </w:r>
      <w:r>
        <w:rPr>
          <w:rFonts w:ascii="Trebuchet MS" w:hAnsi="Trebuchet MS"/>
          <w:spacing w:val="-17"/>
          <w:w w:val="105"/>
          <w:sz w:val="20"/>
        </w:rPr>
        <w:t> </w:t>
      </w:r>
      <w:r>
        <w:rPr>
          <w:rFonts w:ascii="Trebuchet MS" w:hAnsi="Trebuchet MS"/>
          <w:w w:val="105"/>
          <w:sz w:val="20"/>
        </w:rPr>
        <w:t>serve</w:t>
      </w:r>
    </w:p>
    <w:p>
      <w:pPr>
        <w:pStyle w:val="ListParagraph"/>
        <w:numPr>
          <w:ilvl w:val="2"/>
          <w:numId w:val="127"/>
        </w:numPr>
        <w:tabs>
          <w:tab w:pos="2327" w:val="left" w:leader="none"/>
          <w:tab w:pos="2329" w:val="left" w:leader="none"/>
        </w:tabs>
        <w:spacing w:line="247" w:lineRule="auto" w:before="93" w:after="0"/>
        <w:ind w:left="2328" w:right="1569" w:hanging="567"/>
        <w:jc w:val="left"/>
        <w:rPr>
          <w:rFonts w:ascii="Trebuchet MS" w:hAnsi="Trebuchet MS"/>
          <w:sz w:val="20"/>
        </w:rPr>
      </w:pPr>
      <w:r>
        <w:rPr>
          <w:rFonts w:ascii="Trebuchet MS" w:hAnsi="Trebuchet MS"/>
          <w:sz w:val="20"/>
        </w:rPr>
        <w:t>the number of times judges </w:t>
      </w:r>
      <w:r>
        <w:rPr>
          <w:rFonts w:ascii="Trebuchet MS" w:hAnsi="Trebuchet MS"/>
          <w:spacing w:val="-3"/>
          <w:sz w:val="20"/>
        </w:rPr>
        <w:t>exercise </w:t>
      </w:r>
      <w:r>
        <w:rPr>
          <w:rFonts w:ascii="Trebuchet MS" w:hAnsi="Trebuchet MS"/>
          <w:sz w:val="20"/>
        </w:rPr>
        <w:t>their discretion not to </w:t>
      </w:r>
      <w:r>
        <w:rPr>
          <w:rFonts w:ascii="Trebuchet MS" w:hAnsi="Trebuchet MS"/>
          <w:spacing w:val="-3"/>
          <w:sz w:val="20"/>
        </w:rPr>
        <w:t>allow </w:t>
      </w:r>
      <w:r>
        <w:rPr>
          <w:rFonts w:ascii="Trebuchet MS" w:hAnsi="Trebuchet MS"/>
          <w:sz w:val="20"/>
        </w:rPr>
        <w:t>a person to serve</w:t>
      </w:r>
      <w:r>
        <w:rPr>
          <w:rFonts w:ascii="Trebuchet MS" w:hAnsi="Trebuchet MS"/>
          <w:spacing w:val="-13"/>
          <w:sz w:val="20"/>
        </w:rPr>
        <w:t> </w:t>
      </w:r>
      <w:r>
        <w:rPr>
          <w:rFonts w:ascii="Trebuchet MS" w:hAnsi="Trebuchet MS"/>
          <w:sz w:val="20"/>
        </w:rPr>
        <w:t>on</w:t>
      </w:r>
      <w:r>
        <w:rPr>
          <w:rFonts w:ascii="Trebuchet MS" w:hAnsi="Trebuchet MS"/>
          <w:spacing w:val="-12"/>
          <w:sz w:val="20"/>
        </w:rPr>
        <w:t> </w:t>
      </w:r>
      <w:r>
        <w:rPr>
          <w:rFonts w:ascii="Trebuchet MS" w:hAnsi="Trebuchet MS"/>
          <w:sz w:val="20"/>
        </w:rPr>
        <w:t>a</w:t>
      </w:r>
      <w:r>
        <w:rPr>
          <w:rFonts w:ascii="Trebuchet MS" w:hAnsi="Trebuchet MS"/>
          <w:spacing w:val="-12"/>
          <w:sz w:val="20"/>
        </w:rPr>
        <w:t> </w:t>
      </w:r>
      <w:r>
        <w:rPr>
          <w:rFonts w:ascii="Trebuchet MS" w:hAnsi="Trebuchet MS"/>
          <w:spacing w:val="-3"/>
          <w:sz w:val="20"/>
        </w:rPr>
        <w:t>jury,</w:t>
      </w:r>
      <w:r>
        <w:rPr>
          <w:rFonts w:ascii="Trebuchet MS" w:hAnsi="Trebuchet MS"/>
          <w:spacing w:val="-12"/>
          <w:sz w:val="20"/>
        </w:rPr>
        <w:t> </w:t>
      </w:r>
      <w:r>
        <w:rPr>
          <w:rFonts w:ascii="Trebuchet MS" w:hAnsi="Trebuchet MS"/>
          <w:sz w:val="20"/>
        </w:rPr>
        <w:t>or</w:t>
      </w:r>
      <w:r>
        <w:rPr>
          <w:rFonts w:ascii="Trebuchet MS" w:hAnsi="Trebuchet MS"/>
          <w:spacing w:val="-12"/>
          <w:sz w:val="20"/>
        </w:rPr>
        <w:t> </w:t>
      </w:r>
      <w:r>
        <w:rPr>
          <w:rFonts w:ascii="Trebuchet MS" w:hAnsi="Trebuchet MS"/>
          <w:sz w:val="20"/>
        </w:rPr>
        <w:t>otherwise</w:t>
      </w:r>
      <w:r>
        <w:rPr>
          <w:rFonts w:ascii="Trebuchet MS" w:hAnsi="Trebuchet MS"/>
          <w:spacing w:val="-12"/>
          <w:sz w:val="20"/>
        </w:rPr>
        <w:t> </w:t>
      </w:r>
      <w:r>
        <w:rPr>
          <w:rFonts w:ascii="Trebuchet MS" w:hAnsi="Trebuchet MS"/>
          <w:spacing w:val="-3"/>
          <w:sz w:val="20"/>
        </w:rPr>
        <w:t>exclude</w:t>
      </w:r>
      <w:r>
        <w:rPr>
          <w:rFonts w:ascii="Trebuchet MS" w:hAnsi="Trebuchet MS"/>
          <w:spacing w:val="-12"/>
          <w:sz w:val="20"/>
        </w:rPr>
        <w:t> </w:t>
      </w:r>
      <w:r>
        <w:rPr>
          <w:rFonts w:ascii="Trebuchet MS" w:hAnsi="Trebuchet MS"/>
          <w:sz w:val="20"/>
        </w:rPr>
        <w:t>them</w:t>
      </w:r>
    </w:p>
    <w:p>
      <w:pPr>
        <w:pStyle w:val="ListParagraph"/>
        <w:numPr>
          <w:ilvl w:val="2"/>
          <w:numId w:val="127"/>
        </w:numPr>
        <w:tabs>
          <w:tab w:pos="2327" w:val="left" w:leader="none"/>
          <w:tab w:pos="2329" w:val="left" w:leader="none"/>
        </w:tabs>
        <w:spacing w:line="247" w:lineRule="auto" w:before="86" w:after="0"/>
        <w:ind w:left="2328" w:right="1661" w:hanging="567"/>
        <w:jc w:val="left"/>
        <w:rPr>
          <w:rFonts w:ascii="Trebuchet MS" w:hAnsi="Trebuchet MS"/>
          <w:sz w:val="20"/>
        </w:rPr>
      </w:pPr>
      <w:r>
        <w:rPr>
          <w:rFonts w:ascii="Trebuchet MS" w:hAnsi="Trebuchet MS"/>
          <w:w w:val="105"/>
          <w:sz w:val="20"/>
        </w:rPr>
        <w:t>the</w:t>
      </w:r>
      <w:r>
        <w:rPr>
          <w:rFonts w:ascii="Trebuchet MS" w:hAnsi="Trebuchet MS"/>
          <w:spacing w:val="-14"/>
          <w:w w:val="105"/>
          <w:sz w:val="20"/>
        </w:rPr>
        <w:t> </w:t>
      </w:r>
      <w:r>
        <w:rPr>
          <w:rFonts w:ascii="Trebuchet MS" w:hAnsi="Trebuchet MS"/>
          <w:w w:val="105"/>
          <w:sz w:val="20"/>
        </w:rPr>
        <w:t>number</w:t>
      </w:r>
      <w:r>
        <w:rPr>
          <w:rFonts w:ascii="Trebuchet MS" w:hAnsi="Trebuchet MS"/>
          <w:spacing w:val="-14"/>
          <w:w w:val="105"/>
          <w:sz w:val="20"/>
        </w:rPr>
        <w:t> </w:t>
      </w:r>
      <w:r>
        <w:rPr>
          <w:rFonts w:ascii="Trebuchet MS" w:hAnsi="Trebuchet MS"/>
          <w:w w:val="105"/>
          <w:sz w:val="20"/>
        </w:rPr>
        <w:t>of</w:t>
      </w:r>
      <w:r>
        <w:rPr>
          <w:rFonts w:ascii="Trebuchet MS" w:hAnsi="Trebuchet MS"/>
          <w:spacing w:val="-14"/>
          <w:w w:val="105"/>
          <w:sz w:val="20"/>
        </w:rPr>
        <w:t> </w:t>
      </w:r>
      <w:r>
        <w:rPr>
          <w:rFonts w:ascii="Trebuchet MS" w:hAnsi="Trebuchet MS"/>
          <w:w w:val="105"/>
          <w:sz w:val="20"/>
        </w:rPr>
        <w:t>times</w:t>
      </w:r>
      <w:r>
        <w:rPr>
          <w:rFonts w:ascii="Trebuchet MS" w:hAnsi="Trebuchet MS"/>
          <w:spacing w:val="-14"/>
          <w:w w:val="105"/>
          <w:sz w:val="20"/>
        </w:rPr>
        <w:t> </w:t>
      </w:r>
      <w:r>
        <w:rPr>
          <w:rFonts w:ascii="Trebuchet MS" w:hAnsi="Trebuchet MS"/>
          <w:w w:val="105"/>
          <w:sz w:val="20"/>
        </w:rPr>
        <w:t>people</w:t>
      </w:r>
      <w:r>
        <w:rPr>
          <w:rFonts w:ascii="Trebuchet MS" w:hAnsi="Trebuchet MS"/>
          <w:spacing w:val="-14"/>
          <w:w w:val="105"/>
          <w:sz w:val="20"/>
        </w:rPr>
        <w:t> </w:t>
      </w:r>
      <w:r>
        <w:rPr>
          <w:rFonts w:ascii="Trebuchet MS" w:hAnsi="Trebuchet MS"/>
          <w:w w:val="105"/>
          <w:sz w:val="20"/>
        </w:rPr>
        <w:t>who</w:t>
      </w:r>
      <w:r>
        <w:rPr>
          <w:rFonts w:ascii="Trebuchet MS" w:hAnsi="Trebuchet MS"/>
          <w:spacing w:val="-14"/>
          <w:w w:val="105"/>
          <w:sz w:val="20"/>
        </w:rPr>
        <w:t> </w:t>
      </w:r>
      <w:r>
        <w:rPr>
          <w:rFonts w:ascii="Trebuchet MS" w:hAnsi="Trebuchet MS"/>
          <w:w w:val="105"/>
          <w:sz w:val="20"/>
        </w:rPr>
        <w:t>request</w:t>
      </w:r>
      <w:r>
        <w:rPr>
          <w:rFonts w:ascii="Trebuchet MS" w:hAnsi="Trebuchet MS"/>
          <w:spacing w:val="-14"/>
          <w:w w:val="105"/>
          <w:sz w:val="20"/>
        </w:rPr>
        <w:t> </w:t>
      </w:r>
      <w:r>
        <w:rPr>
          <w:rFonts w:ascii="Trebuchet MS" w:hAnsi="Trebuchet MS"/>
          <w:w w:val="105"/>
          <w:sz w:val="20"/>
        </w:rPr>
        <w:t>adjustments</w:t>
      </w:r>
      <w:r>
        <w:rPr>
          <w:rFonts w:ascii="Trebuchet MS" w:hAnsi="Trebuchet MS"/>
          <w:spacing w:val="-14"/>
          <w:w w:val="105"/>
          <w:sz w:val="20"/>
        </w:rPr>
        <w:t> </w:t>
      </w:r>
      <w:r>
        <w:rPr>
          <w:rFonts w:ascii="Trebuchet MS" w:hAnsi="Trebuchet MS"/>
          <w:spacing w:val="-2"/>
          <w:w w:val="105"/>
          <w:sz w:val="20"/>
        </w:rPr>
        <w:t>are</w:t>
      </w:r>
      <w:r>
        <w:rPr>
          <w:rFonts w:ascii="Trebuchet MS" w:hAnsi="Trebuchet MS"/>
          <w:spacing w:val="-14"/>
          <w:w w:val="105"/>
          <w:sz w:val="20"/>
        </w:rPr>
        <w:t> </w:t>
      </w:r>
      <w:r>
        <w:rPr>
          <w:rFonts w:ascii="Trebuchet MS" w:hAnsi="Trebuchet MS"/>
          <w:w w:val="105"/>
          <w:sz w:val="20"/>
        </w:rPr>
        <w:t>challenged</w:t>
      </w:r>
      <w:r>
        <w:rPr>
          <w:rFonts w:ascii="Trebuchet MS" w:hAnsi="Trebuchet MS"/>
          <w:spacing w:val="-14"/>
          <w:w w:val="105"/>
          <w:sz w:val="20"/>
        </w:rPr>
        <w:t> </w:t>
      </w:r>
      <w:r>
        <w:rPr>
          <w:rFonts w:ascii="Trebuchet MS" w:hAnsi="Trebuchet MS"/>
          <w:w w:val="105"/>
          <w:sz w:val="20"/>
        </w:rPr>
        <w:t>from jury</w:t>
      </w:r>
      <w:r>
        <w:rPr>
          <w:rFonts w:ascii="Trebuchet MS" w:hAnsi="Trebuchet MS"/>
          <w:spacing w:val="-18"/>
          <w:w w:val="105"/>
          <w:sz w:val="20"/>
        </w:rPr>
        <w:t> </w:t>
      </w:r>
      <w:r>
        <w:rPr>
          <w:rFonts w:ascii="Trebuchet MS" w:hAnsi="Trebuchet MS"/>
          <w:w w:val="105"/>
          <w:sz w:val="20"/>
        </w:rPr>
        <w:t>selection</w:t>
      </w:r>
    </w:p>
    <w:p>
      <w:pPr>
        <w:pStyle w:val="ListParagraph"/>
        <w:numPr>
          <w:ilvl w:val="2"/>
          <w:numId w:val="127"/>
        </w:numPr>
        <w:tabs>
          <w:tab w:pos="2327" w:val="left" w:leader="none"/>
          <w:tab w:pos="2329" w:val="left" w:leader="none"/>
        </w:tabs>
        <w:spacing w:line="240" w:lineRule="auto" w:before="87" w:after="0"/>
        <w:ind w:left="2328" w:right="0" w:hanging="567"/>
        <w:jc w:val="left"/>
        <w:rPr>
          <w:rFonts w:ascii="Trebuchet MS" w:hAnsi="Trebuchet MS"/>
          <w:sz w:val="20"/>
        </w:rPr>
      </w:pPr>
      <w:r>
        <w:rPr>
          <w:rFonts w:ascii="Trebuchet MS" w:hAnsi="Trebuchet MS"/>
          <w:sz w:val="20"/>
        </w:rPr>
        <w:t>length</w:t>
      </w:r>
      <w:r>
        <w:rPr>
          <w:rFonts w:ascii="Trebuchet MS" w:hAnsi="Trebuchet MS"/>
          <w:spacing w:val="-14"/>
          <w:sz w:val="20"/>
        </w:rPr>
        <w:t> </w:t>
      </w:r>
      <w:r>
        <w:rPr>
          <w:rFonts w:ascii="Trebuchet MS" w:hAnsi="Trebuchet MS"/>
          <w:sz w:val="20"/>
        </w:rPr>
        <w:t>and</w:t>
      </w:r>
      <w:r>
        <w:rPr>
          <w:rFonts w:ascii="Trebuchet MS" w:hAnsi="Trebuchet MS"/>
          <w:spacing w:val="-13"/>
          <w:sz w:val="20"/>
        </w:rPr>
        <w:t> </w:t>
      </w:r>
      <w:r>
        <w:rPr>
          <w:rFonts w:ascii="Trebuchet MS" w:hAnsi="Trebuchet MS"/>
          <w:spacing w:val="-3"/>
          <w:sz w:val="20"/>
        </w:rPr>
        <w:t>nature</w:t>
      </w:r>
      <w:r>
        <w:rPr>
          <w:rFonts w:ascii="Trebuchet MS" w:hAnsi="Trebuchet MS"/>
          <w:spacing w:val="-14"/>
          <w:sz w:val="20"/>
        </w:rPr>
        <w:t> </w:t>
      </w:r>
      <w:r>
        <w:rPr>
          <w:rFonts w:ascii="Trebuchet MS" w:hAnsi="Trebuchet MS"/>
          <w:sz w:val="20"/>
        </w:rPr>
        <w:t>of</w:t>
      </w:r>
      <w:r>
        <w:rPr>
          <w:rFonts w:ascii="Trebuchet MS" w:hAnsi="Trebuchet MS"/>
          <w:spacing w:val="-13"/>
          <w:sz w:val="20"/>
        </w:rPr>
        <w:t> </w:t>
      </w:r>
      <w:r>
        <w:rPr>
          <w:rFonts w:ascii="Trebuchet MS" w:hAnsi="Trebuchet MS"/>
          <w:sz w:val="20"/>
        </w:rPr>
        <w:t>trials</w:t>
      </w:r>
    </w:p>
    <w:p>
      <w:pPr>
        <w:pStyle w:val="ListParagraph"/>
        <w:numPr>
          <w:ilvl w:val="2"/>
          <w:numId w:val="127"/>
        </w:numPr>
        <w:tabs>
          <w:tab w:pos="2327" w:val="left" w:leader="none"/>
          <w:tab w:pos="2329" w:val="left" w:leader="none"/>
        </w:tabs>
        <w:spacing w:line="247" w:lineRule="auto" w:before="93" w:after="0"/>
        <w:ind w:left="2328" w:right="2389" w:hanging="567"/>
        <w:jc w:val="left"/>
        <w:rPr>
          <w:rFonts w:ascii="Trebuchet MS" w:hAnsi="Trebuchet MS"/>
          <w:sz w:val="20"/>
        </w:rPr>
      </w:pPr>
      <w:r>
        <w:rPr>
          <w:rFonts w:ascii="Trebuchet MS" w:hAnsi="Trebuchet MS"/>
          <w:w w:val="105"/>
          <w:sz w:val="20"/>
        </w:rPr>
        <w:t>experiences</w:t>
      </w:r>
      <w:r>
        <w:rPr>
          <w:rFonts w:ascii="Trebuchet MS" w:hAnsi="Trebuchet MS"/>
          <w:spacing w:val="-20"/>
          <w:w w:val="105"/>
          <w:sz w:val="20"/>
        </w:rPr>
        <w:t> </w:t>
      </w:r>
      <w:r>
        <w:rPr>
          <w:rFonts w:ascii="Trebuchet MS" w:hAnsi="Trebuchet MS"/>
          <w:w w:val="105"/>
          <w:sz w:val="20"/>
        </w:rPr>
        <w:t>of</w:t>
      </w:r>
      <w:r>
        <w:rPr>
          <w:rFonts w:ascii="Trebuchet MS" w:hAnsi="Trebuchet MS"/>
          <w:spacing w:val="-19"/>
          <w:w w:val="105"/>
          <w:sz w:val="20"/>
        </w:rPr>
        <w:t> </w:t>
      </w:r>
      <w:r>
        <w:rPr>
          <w:rFonts w:ascii="Trebuchet MS" w:hAnsi="Trebuchet MS"/>
          <w:w w:val="105"/>
          <w:sz w:val="20"/>
        </w:rPr>
        <w:t>the</w:t>
      </w:r>
      <w:r>
        <w:rPr>
          <w:rFonts w:ascii="Trebuchet MS" w:hAnsi="Trebuchet MS"/>
          <w:spacing w:val="-19"/>
          <w:w w:val="105"/>
          <w:sz w:val="20"/>
        </w:rPr>
        <w:t> </w:t>
      </w:r>
      <w:r>
        <w:rPr>
          <w:rFonts w:ascii="Trebuchet MS" w:hAnsi="Trebuchet MS"/>
          <w:w w:val="105"/>
          <w:sz w:val="20"/>
        </w:rPr>
        <w:t>jury</w:t>
      </w:r>
      <w:r>
        <w:rPr>
          <w:rFonts w:ascii="Trebuchet MS" w:hAnsi="Trebuchet MS"/>
          <w:spacing w:val="-20"/>
          <w:w w:val="105"/>
          <w:sz w:val="20"/>
        </w:rPr>
        <w:t> </w:t>
      </w:r>
      <w:r>
        <w:rPr>
          <w:rFonts w:ascii="Trebuchet MS" w:hAnsi="Trebuchet MS"/>
          <w:w w:val="105"/>
          <w:sz w:val="20"/>
        </w:rPr>
        <w:t>selection</w:t>
      </w:r>
      <w:r>
        <w:rPr>
          <w:rFonts w:ascii="Trebuchet MS" w:hAnsi="Trebuchet MS"/>
          <w:spacing w:val="-19"/>
          <w:w w:val="105"/>
          <w:sz w:val="20"/>
        </w:rPr>
        <w:t> </w:t>
      </w:r>
      <w:r>
        <w:rPr>
          <w:rFonts w:ascii="Trebuchet MS" w:hAnsi="Trebuchet MS"/>
          <w:w w:val="105"/>
          <w:sz w:val="20"/>
        </w:rPr>
        <w:t>process</w:t>
      </w:r>
      <w:r>
        <w:rPr>
          <w:rFonts w:ascii="Trebuchet MS" w:hAnsi="Trebuchet MS"/>
          <w:spacing w:val="-19"/>
          <w:w w:val="105"/>
          <w:sz w:val="20"/>
        </w:rPr>
        <w:t> </w:t>
      </w:r>
      <w:r>
        <w:rPr>
          <w:rFonts w:ascii="Trebuchet MS" w:hAnsi="Trebuchet MS"/>
          <w:w w:val="105"/>
          <w:sz w:val="20"/>
        </w:rPr>
        <w:t>and</w:t>
      </w:r>
      <w:r>
        <w:rPr>
          <w:rFonts w:ascii="Trebuchet MS" w:hAnsi="Trebuchet MS"/>
          <w:spacing w:val="-20"/>
          <w:w w:val="105"/>
          <w:sz w:val="20"/>
        </w:rPr>
        <w:t> </w:t>
      </w:r>
      <w:r>
        <w:rPr>
          <w:rFonts w:ascii="Trebuchet MS" w:hAnsi="Trebuchet MS"/>
          <w:w w:val="105"/>
          <w:sz w:val="20"/>
        </w:rPr>
        <w:t>serving</w:t>
      </w:r>
      <w:r>
        <w:rPr>
          <w:rFonts w:ascii="Trebuchet MS" w:hAnsi="Trebuchet MS"/>
          <w:spacing w:val="-19"/>
          <w:w w:val="105"/>
          <w:sz w:val="20"/>
        </w:rPr>
        <w:t> </w:t>
      </w:r>
      <w:r>
        <w:rPr>
          <w:rFonts w:ascii="Trebuchet MS" w:hAnsi="Trebuchet MS"/>
          <w:w w:val="105"/>
          <w:sz w:val="20"/>
        </w:rPr>
        <w:t>as</w:t>
      </w:r>
      <w:r>
        <w:rPr>
          <w:rFonts w:ascii="Trebuchet MS" w:hAnsi="Trebuchet MS"/>
          <w:spacing w:val="-19"/>
          <w:w w:val="105"/>
          <w:sz w:val="20"/>
        </w:rPr>
        <w:t> </w:t>
      </w:r>
      <w:r>
        <w:rPr>
          <w:rFonts w:ascii="Trebuchet MS" w:hAnsi="Trebuchet MS"/>
          <w:w w:val="105"/>
          <w:sz w:val="20"/>
        </w:rPr>
        <w:t>jurors</w:t>
      </w:r>
      <w:r>
        <w:rPr>
          <w:rFonts w:ascii="Trebuchet MS" w:hAnsi="Trebuchet MS"/>
          <w:spacing w:val="-20"/>
          <w:w w:val="105"/>
          <w:sz w:val="20"/>
        </w:rPr>
        <w:t> </w:t>
      </w:r>
      <w:r>
        <w:rPr>
          <w:rFonts w:ascii="Trebuchet MS" w:hAnsi="Trebuchet MS"/>
          <w:w w:val="105"/>
          <w:sz w:val="20"/>
        </w:rPr>
        <w:t>with </w:t>
      </w:r>
      <w:r>
        <w:rPr>
          <w:rFonts w:ascii="Trebuchet MS" w:hAnsi="Trebuchet MS"/>
          <w:spacing w:val="-2"/>
          <w:w w:val="105"/>
          <w:sz w:val="20"/>
        </w:rPr>
        <w:t>a</w:t>
      </w:r>
      <w:r>
        <w:rPr>
          <w:rFonts w:ascii="Trebuchet MS" w:hAnsi="Trebuchet MS"/>
          <w:spacing w:val="-2"/>
          <w:w w:val="112"/>
          <w:sz w:val="20"/>
        </w:rPr>
        <w:t>d</w:t>
      </w:r>
      <w:r>
        <w:rPr>
          <w:rFonts w:ascii="Trebuchet MS" w:hAnsi="Trebuchet MS"/>
          <w:spacing w:val="-2"/>
          <w:w w:val="64"/>
          <w:sz w:val="20"/>
        </w:rPr>
        <w:t>j</w:t>
      </w:r>
      <w:r>
        <w:rPr>
          <w:rFonts w:ascii="Trebuchet MS" w:hAnsi="Trebuchet MS"/>
          <w:spacing w:val="-1"/>
          <w:w w:val="107"/>
          <w:sz w:val="20"/>
        </w:rPr>
        <w:t>us</w:t>
      </w:r>
      <w:r>
        <w:rPr>
          <w:rFonts w:ascii="Trebuchet MS" w:hAnsi="Trebuchet MS"/>
          <w:spacing w:val="-2"/>
          <w:w w:val="107"/>
          <w:sz w:val="20"/>
        </w:rPr>
        <w:t>t</w:t>
      </w:r>
      <w:r>
        <w:rPr>
          <w:rFonts w:ascii="Trebuchet MS" w:hAnsi="Trebuchet MS"/>
          <w:spacing w:val="-1"/>
          <w:w w:val="111"/>
          <w:sz w:val="20"/>
        </w:rPr>
        <w:t>m</w:t>
      </w:r>
      <w:r>
        <w:rPr>
          <w:rFonts w:ascii="Trebuchet MS" w:hAnsi="Trebuchet MS"/>
          <w:spacing w:val="-1"/>
          <w:w w:val="108"/>
          <w:sz w:val="20"/>
        </w:rPr>
        <w:t>e</w:t>
      </w:r>
      <w:r>
        <w:rPr>
          <w:rFonts w:ascii="Trebuchet MS" w:hAnsi="Trebuchet MS"/>
          <w:spacing w:val="-4"/>
          <w:w w:val="108"/>
          <w:sz w:val="20"/>
        </w:rPr>
        <w:t>n</w:t>
      </w:r>
      <w:r>
        <w:rPr>
          <w:rFonts w:ascii="Trebuchet MS" w:hAnsi="Trebuchet MS"/>
          <w:spacing w:val="2"/>
          <w:w w:val="88"/>
          <w:sz w:val="20"/>
        </w:rPr>
        <w:t>t</w:t>
      </w:r>
      <w:r>
        <w:rPr>
          <w:rFonts w:ascii="Trebuchet MS" w:hAnsi="Trebuchet MS"/>
          <w:spacing w:val="1"/>
          <w:w w:val="122"/>
          <w:sz w:val="20"/>
        </w:rPr>
        <w:t>s</w:t>
      </w:r>
      <w:r>
        <w:rPr>
          <w:rFonts w:ascii="Trebuchet MS" w:hAnsi="Trebuchet MS"/>
          <w:w w:val="55"/>
          <w:sz w:val="20"/>
        </w:rPr>
        <w:t>.</w:t>
      </w:r>
    </w:p>
    <w:p>
      <w:pPr>
        <w:pStyle w:val="ListParagraph"/>
        <w:numPr>
          <w:ilvl w:val="1"/>
          <w:numId w:val="127"/>
        </w:numPr>
        <w:tabs>
          <w:tab w:pos="1761" w:val="left" w:leader="none"/>
          <w:tab w:pos="1762" w:val="left" w:leader="none"/>
        </w:tabs>
        <w:spacing w:line="247" w:lineRule="auto" w:before="86" w:after="0"/>
        <w:ind w:left="1761" w:right="1604" w:hanging="567"/>
        <w:jc w:val="left"/>
        <w:rPr>
          <w:rFonts w:ascii="Trebuchet MS"/>
          <w:sz w:val="20"/>
        </w:rPr>
      </w:pPr>
      <w:r>
        <w:rPr>
          <w:rFonts w:ascii="Trebuchet MS"/>
          <w:w w:val="105"/>
          <w:sz w:val="20"/>
        </w:rPr>
        <w:t>Subject</w:t>
      </w:r>
      <w:r>
        <w:rPr>
          <w:rFonts w:ascii="Trebuchet MS"/>
          <w:spacing w:val="-28"/>
          <w:w w:val="105"/>
          <w:sz w:val="20"/>
        </w:rPr>
        <w:t> </w:t>
      </w:r>
      <w:r>
        <w:rPr>
          <w:rFonts w:ascii="Trebuchet MS"/>
          <w:w w:val="105"/>
          <w:sz w:val="20"/>
        </w:rPr>
        <w:t>to</w:t>
      </w:r>
      <w:r>
        <w:rPr>
          <w:rFonts w:ascii="Trebuchet MS"/>
          <w:spacing w:val="-28"/>
          <w:w w:val="105"/>
          <w:sz w:val="20"/>
        </w:rPr>
        <w:t> </w:t>
      </w:r>
      <w:r>
        <w:rPr>
          <w:rFonts w:ascii="Trebuchet MS"/>
          <w:w w:val="105"/>
          <w:sz w:val="20"/>
        </w:rPr>
        <w:t>the</w:t>
      </w:r>
      <w:r>
        <w:rPr>
          <w:rFonts w:ascii="Trebuchet MS"/>
          <w:spacing w:val="-28"/>
          <w:w w:val="105"/>
          <w:sz w:val="20"/>
        </w:rPr>
        <w:t> </w:t>
      </w:r>
      <w:r>
        <w:rPr>
          <w:rFonts w:ascii="Trebuchet MS"/>
          <w:w w:val="105"/>
          <w:sz w:val="20"/>
        </w:rPr>
        <w:t>confidentiality</w:t>
      </w:r>
      <w:r>
        <w:rPr>
          <w:rFonts w:ascii="Trebuchet MS"/>
          <w:spacing w:val="-27"/>
          <w:w w:val="105"/>
          <w:sz w:val="20"/>
        </w:rPr>
        <w:t> </w:t>
      </w:r>
      <w:r>
        <w:rPr>
          <w:rFonts w:ascii="Trebuchet MS"/>
          <w:w w:val="105"/>
          <w:sz w:val="20"/>
        </w:rPr>
        <w:t>requirements</w:t>
      </w:r>
      <w:r>
        <w:rPr>
          <w:rFonts w:ascii="Trebuchet MS"/>
          <w:spacing w:val="-28"/>
          <w:w w:val="105"/>
          <w:sz w:val="20"/>
        </w:rPr>
        <w:t> </w:t>
      </w:r>
      <w:r>
        <w:rPr>
          <w:rFonts w:ascii="Trebuchet MS"/>
          <w:w w:val="105"/>
          <w:sz w:val="20"/>
        </w:rPr>
        <w:t>of</w:t>
      </w:r>
      <w:r>
        <w:rPr>
          <w:rFonts w:ascii="Trebuchet MS"/>
          <w:spacing w:val="-28"/>
          <w:w w:val="105"/>
          <w:sz w:val="20"/>
        </w:rPr>
        <w:t> </w:t>
      </w:r>
      <w:r>
        <w:rPr>
          <w:rFonts w:ascii="Trebuchet MS"/>
          <w:w w:val="105"/>
          <w:sz w:val="20"/>
        </w:rPr>
        <w:t>section</w:t>
      </w:r>
      <w:r>
        <w:rPr>
          <w:rFonts w:ascii="Trebuchet MS"/>
          <w:spacing w:val="-27"/>
          <w:w w:val="105"/>
          <w:sz w:val="20"/>
        </w:rPr>
        <w:t> </w:t>
      </w:r>
      <w:r>
        <w:rPr>
          <w:rFonts w:ascii="Trebuchet MS"/>
          <w:w w:val="105"/>
          <w:sz w:val="20"/>
        </w:rPr>
        <w:t>78</w:t>
      </w:r>
      <w:r>
        <w:rPr>
          <w:rFonts w:ascii="Trebuchet MS"/>
          <w:spacing w:val="-28"/>
          <w:w w:val="105"/>
          <w:sz w:val="20"/>
        </w:rPr>
        <w:t> </w:t>
      </w:r>
      <w:r>
        <w:rPr>
          <w:rFonts w:ascii="Trebuchet MS"/>
          <w:w w:val="105"/>
          <w:sz w:val="20"/>
        </w:rPr>
        <w:t>of</w:t>
      </w:r>
      <w:r>
        <w:rPr>
          <w:rFonts w:ascii="Trebuchet MS"/>
          <w:spacing w:val="-28"/>
          <w:w w:val="105"/>
          <w:sz w:val="20"/>
        </w:rPr>
        <w:t> </w:t>
      </w:r>
      <w:r>
        <w:rPr>
          <w:rFonts w:ascii="Trebuchet MS"/>
          <w:w w:val="105"/>
          <w:sz w:val="20"/>
        </w:rPr>
        <w:t>the</w:t>
      </w:r>
      <w:r>
        <w:rPr>
          <w:rFonts w:ascii="Trebuchet MS"/>
          <w:spacing w:val="-27"/>
          <w:w w:val="105"/>
          <w:sz w:val="20"/>
        </w:rPr>
        <w:t> </w:t>
      </w:r>
      <w:r>
        <w:rPr>
          <w:rFonts w:ascii="Trebuchet MS"/>
          <w:w w:val="105"/>
          <w:sz w:val="20"/>
        </w:rPr>
        <w:t>Juries</w:t>
      </w:r>
      <w:r>
        <w:rPr>
          <w:rFonts w:ascii="Trebuchet MS"/>
          <w:spacing w:val="-28"/>
          <w:w w:val="105"/>
          <w:sz w:val="20"/>
        </w:rPr>
        <w:t> </w:t>
      </w:r>
      <w:r>
        <w:rPr>
          <w:rFonts w:ascii="Trebuchet MS"/>
          <w:w w:val="105"/>
          <w:sz w:val="20"/>
        </w:rPr>
        <w:t>Act,</w:t>
      </w:r>
      <w:r>
        <w:rPr>
          <w:rFonts w:ascii="Trebuchet MS"/>
          <w:spacing w:val="-28"/>
          <w:w w:val="105"/>
          <w:sz w:val="20"/>
        </w:rPr>
        <w:t> </w:t>
      </w:r>
      <w:r>
        <w:rPr>
          <w:rFonts w:ascii="Trebuchet MS"/>
          <w:w w:val="105"/>
          <w:sz w:val="20"/>
        </w:rPr>
        <w:t>Juries Victoria</w:t>
      </w:r>
      <w:r>
        <w:rPr>
          <w:rFonts w:ascii="Trebuchet MS"/>
          <w:spacing w:val="-22"/>
          <w:w w:val="105"/>
          <w:sz w:val="20"/>
        </w:rPr>
        <w:t> </w:t>
      </w:r>
      <w:r>
        <w:rPr>
          <w:rFonts w:ascii="Trebuchet MS"/>
          <w:w w:val="105"/>
          <w:sz w:val="20"/>
        </w:rPr>
        <w:t>should</w:t>
      </w:r>
      <w:r>
        <w:rPr>
          <w:rFonts w:ascii="Trebuchet MS"/>
          <w:spacing w:val="-21"/>
          <w:w w:val="105"/>
          <w:sz w:val="20"/>
        </w:rPr>
        <w:t> </w:t>
      </w:r>
      <w:r>
        <w:rPr>
          <w:rFonts w:ascii="Trebuchet MS"/>
          <w:w w:val="105"/>
          <w:sz w:val="20"/>
        </w:rPr>
        <w:t>obtain</w:t>
      </w:r>
      <w:r>
        <w:rPr>
          <w:rFonts w:ascii="Trebuchet MS"/>
          <w:spacing w:val="-21"/>
          <w:w w:val="105"/>
          <w:sz w:val="20"/>
        </w:rPr>
        <w:t> </w:t>
      </w:r>
      <w:r>
        <w:rPr>
          <w:rFonts w:ascii="Trebuchet MS"/>
          <w:spacing w:val="-3"/>
          <w:w w:val="105"/>
          <w:sz w:val="20"/>
        </w:rPr>
        <w:t>qualitative</w:t>
      </w:r>
      <w:r>
        <w:rPr>
          <w:rFonts w:ascii="Trebuchet MS"/>
          <w:spacing w:val="-22"/>
          <w:w w:val="105"/>
          <w:sz w:val="20"/>
        </w:rPr>
        <w:t> </w:t>
      </w:r>
      <w:r>
        <w:rPr>
          <w:rFonts w:ascii="Trebuchet MS"/>
          <w:w w:val="105"/>
          <w:sz w:val="20"/>
        </w:rPr>
        <w:t>data</w:t>
      </w:r>
      <w:r>
        <w:rPr>
          <w:rFonts w:ascii="Trebuchet MS"/>
          <w:spacing w:val="-21"/>
          <w:w w:val="105"/>
          <w:sz w:val="20"/>
        </w:rPr>
        <w:t> </w:t>
      </w:r>
      <w:r>
        <w:rPr>
          <w:rFonts w:ascii="Trebuchet MS"/>
          <w:spacing w:val="-3"/>
          <w:w w:val="105"/>
          <w:sz w:val="20"/>
        </w:rPr>
        <w:t>by</w:t>
      </w:r>
      <w:r>
        <w:rPr>
          <w:rFonts w:ascii="Trebuchet MS"/>
          <w:spacing w:val="-21"/>
          <w:w w:val="105"/>
          <w:sz w:val="20"/>
        </w:rPr>
        <w:t> </w:t>
      </w:r>
      <w:r>
        <w:rPr>
          <w:rFonts w:ascii="Trebuchet MS"/>
          <w:w w:val="105"/>
          <w:sz w:val="20"/>
        </w:rPr>
        <w:t>surveying</w:t>
      </w:r>
      <w:r>
        <w:rPr>
          <w:rFonts w:ascii="Trebuchet MS"/>
          <w:spacing w:val="-21"/>
          <w:w w:val="105"/>
          <w:sz w:val="20"/>
        </w:rPr>
        <w:t> </w:t>
      </w:r>
      <w:r>
        <w:rPr>
          <w:rFonts w:ascii="Trebuchet MS"/>
          <w:w w:val="105"/>
          <w:sz w:val="20"/>
        </w:rPr>
        <w:t>jurors</w:t>
      </w:r>
      <w:r>
        <w:rPr>
          <w:rFonts w:ascii="Trebuchet MS"/>
          <w:spacing w:val="-22"/>
          <w:w w:val="105"/>
          <w:sz w:val="20"/>
        </w:rPr>
        <w:t> </w:t>
      </w:r>
      <w:r>
        <w:rPr>
          <w:rFonts w:ascii="Trebuchet MS"/>
          <w:w w:val="105"/>
          <w:sz w:val="20"/>
        </w:rPr>
        <w:t>from</w:t>
      </w:r>
      <w:r>
        <w:rPr>
          <w:rFonts w:ascii="Trebuchet MS"/>
          <w:spacing w:val="-21"/>
          <w:w w:val="105"/>
          <w:sz w:val="20"/>
        </w:rPr>
        <w:t> </w:t>
      </w:r>
      <w:r>
        <w:rPr>
          <w:rFonts w:ascii="Trebuchet MS"/>
          <w:w w:val="105"/>
          <w:sz w:val="20"/>
        </w:rPr>
        <w:t>the</w:t>
      </w:r>
      <w:r>
        <w:rPr>
          <w:rFonts w:ascii="Trebuchet MS"/>
          <w:spacing w:val="-21"/>
          <w:w w:val="105"/>
          <w:sz w:val="20"/>
        </w:rPr>
        <w:t> </w:t>
      </w:r>
      <w:r>
        <w:rPr>
          <w:rFonts w:ascii="Trebuchet MS"/>
          <w:w w:val="105"/>
          <w:sz w:val="20"/>
        </w:rPr>
        <w:t>subject</w:t>
      </w:r>
      <w:r>
        <w:rPr>
          <w:rFonts w:ascii="Trebuchet MS"/>
          <w:spacing w:val="-21"/>
          <w:w w:val="105"/>
          <w:sz w:val="20"/>
        </w:rPr>
        <w:t> </w:t>
      </w:r>
      <w:r>
        <w:rPr>
          <w:rFonts w:ascii="Trebuchet MS"/>
          <w:spacing w:val="-2"/>
          <w:w w:val="105"/>
          <w:sz w:val="20"/>
        </w:rPr>
        <w:t>groups </w:t>
      </w:r>
      <w:r>
        <w:rPr>
          <w:rFonts w:ascii="Trebuchet MS"/>
          <w:spacing w:val="-2"/>
          <w:w w:val="105"/>
          <w:sz w:val="20"/>
        </w:rPr>
        <w:t>a</w:t>
      </w:r>
      <w:r>
        <w:rPr>
          <w:rFonts w:ascii="Trebuchet MS"/>
          <w:spacing w:val="-1"/>
          <w:w w:val="111"/>
          <w:sz w:val="20"/>
        </w:rPr>
        <w:t>bo</w:t>
      </w:r>
      <w:r>
        <w:rPr>
          <w:rFonts w:ascii="Trebuchet MS"/>
          <w:spacing w:val="-3"/>
          <w:w w:val="109"/>
          <w:sz w:val="20"/>
        </w:rPr>
        <w:t>u</w:t>
      </w:r>
      <w:r>
        <w:rPr>
          <w:rFonts w:ascii="Trebuchet MS"/>
          <w:w w:val="88"/>
          <w:sz w:val="20"/>
        </w:rPr>
        <w:t>t</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spacing w:val="-1"/>
          <w:w w:val="108"/>
          <w:sz w:val="20"/>
        </w:rPr>
        <w:t>e</w:t>
      </w:r>
      <w:r>
        <w:rPr>
          <w:rFonts w:ascii="Trebuchet MS"/>
          <w:spacing w:val="-2"/>
          <w:w w:val="80"/>
          <w:sz w:val="20"/>
        </w:rPr>
        <w:t>i</w:t>
      </w:r>
      <w:r>
        <w:rPr>
          <w:rFonts w:ascii="Trebuchet MS"/>
          <w:w w:val="93"/>
          <w:sz w:val="20"/>
        </w:rPr>
        <w:t>r</w:t>
      </w:r>
      <w:r>
        <w:rPr>
          <w:rFonts w:ascii="Trebuchet MS"/>
          <w:spacing w:val="-14"/>
          <w:sz w:val="20"/>
        </w:rPr>
        <w:t> </w:t>
      </w:r>
      <w:r>
        <w:rPr>
          <w:rFonts w:ascii="Trebuchet MS"/>
          <w:spacing w:val="-5"/>
          <w:w w:val="108"/>
          <w:sz w:val="20"/>
        </w:rPr>
        <w:t>e</w:t>
      </w:r>
      <w:r>
        <w:rPr>
          <w:rFonts w:ascii="Trebuchet MS"/>
          <w:spacing w:val="-2"/>
          <w:w w:val="102"/>
          <w:sz w:val="20"/>
        </w:rPr>
        <w:t>x</w:t>
      </w:r>
      <w:r>
        <w:rPr>
          <w:rFonts w:ascii="Trebuchet MS"/>
          <w:spacing w:val="-1"/>
          <w:w w:val="111"/>
          <w:sz w:val="20"/>
        </w:rPr>
        <w:t>p</w:t>
      </w:r>
      <w:r>
        <w:rPr>
          <w:rFonts w:ascii="Trebuchet MS"/>
          <w:spacing w:val="-1"/>
          <w:w w:val="102"/>
          <w:sz w:val="20"/>
        </w:rPr>
        <w:t>e</w:t>
      </w:r>
      <w:r>
        <w:rPr>
          <w:rFonts w:ascii="Trebuchet MS"/>
          <w:spacing w:val="-2"/>
          <w:w w:val="102"/>
          <w:sz w:val="20"/>
        </w:rPr>
        <w:t>r</w:t>
      </w:r>
      <w:r>
        <w:rPr>
          <w:rFonts w:ascii="Trebuchet MS"/>
          <w:spacing w:val="-1"/>
          <w:w w:val="80"/>
          <w:sz w:val="20"/>
        </w:rPr>
        <w:t>i</w:t>
      </w:r>
      <w:r>
        <w:rPr>
          <w:rFonts w:ascii="Trebuchet MS"/>
          <w:spacing w:val="-1"/>
          <w:w w:val="108"/>
          <w:sz w:val="20"/>
        </w:rPr>
        <w:t>en</w:t>
      </w:r>
      <w:r>
        <w:rPr>
          <w:rFonts w:ascii="Trebuchet MS"/>
          <w:spacing w:val="-3"/>
          <w:w w:val="111"/>
          <w:sz w:val="20"/>
        </w:rPr>
        <w:t>c</w:t>
      </w:r>
      <w:r>
        <w:rPr>
          <w:rFonts w:ascii="Trebuchet MS"/>
          <w:spacing w:val="-2"/>
          <w:w w:val="108"/>
          <w:sz w:val="20"/>
        </w:rPr>
        <w:t>e</w:t>
      </w:r>
      <w:r>
        <w:rPr>
          <w:rFonts w:ascii="Trebuchet MS"/>
          <w:spacing w:val="1"/>
          <w:w w:val="122"/>
          <w:sz w:val="20"/>
        </w:rPr>
        <w:t>s</w:t>
      </w:r>
      <w:r>
        <w:rPr>
          <w:rFonts w:ascii="Trebuchet MS"/>
          <w:w w:val="55"/>
          <w:sz w:val="20"/>
        </w:rPr>
        <w:t>.</w:t>
      </w:r>
    </w:p>
    <w:p>
      <w:pPr>
        <w:pStyle w:val="ListParagraph"/>
        <w:numPr>
          <w:ilvl w:val="1"/>
          <w:numId w:val="127"/>
        </w:numPr>
        <w:tabs>
          <w:tab w:pos="1761" w:val="left" w:leader="none"/>
          <w:tab w:pos="1762" w:val="left" w:leader="none"/>
        </w:tabs>
        <w:spacing w:line="247" w:lineRule="auto" w:before="88" w:after="0"/>
        <w:ind w:left="1761" w:right="1773" w:hanging="567"/>
        <w:jc w:val="left"/>
        <w:rPr>
          <w:rFonts w:ascii="Trebuchet MS"/>
          <w:sz w:val="20"/>
        </w:rPr>
      </w:pPr>
      <w:r>
        <w:rPr>
          <w:rFonts w:ascii="Trebuchet MS"/>
          <w:sz w:val="20"/>
        </w:rPr>
        <w:t>Juries Victoria should </w:t>
      </w:r>
      <w:r>
        <w:rPr>
          <w:rFonts w:ascii="Trebuchet MS"/>
          <w:spacing w:val="-3"/>
          <w:sz w:val="20"/>
        </w:rPr>
        <w:t>collate, analyse </w:t>
      </w:r>
      <w:r>
        <w:rPr>
          <w:rFonts w:ascii="Trebuchet MS"/>
          <w:sz w:val="20"/>
        </w:rPr>
        <w:t>and report the data in the annual report of </w:t>
      </w:r>
      <w:r>
        <w:rPr>
          <w:rFonts w:ascii="Trebuchet MS"/>
          <w:spacing w:val="-2"/>
          <w:w w:val="88"/>
          <w:sz w:val="20"/>
        </w:rPr>
        <w:t>t</w:t>
      </w:r>
      <w:r>
        <w:rPr>
          <w:rFonts w:ascii="Trebuchet MS"/>
          <w:spacing w:val="-1"/>
          <w:w w:val="108"/>
          <w:sz w:val="20"/>
        </w:rPr>
        <w:t>h</w:t>
      </w:r>
      <w:r>
        <w:rPr>
          <w:rFonts w:ascii="Trebuchet MS"/>
          <w:w w:val="108"/>
          <w:sz w:val="20"/>
        </w:rPr>
        <w:t>e</w:t>
      </w:r>
      <w:r>
        <w:rPr>
          <w:rFonts w:ascii="Trebuchet MS"/>
          <w:spacing w:val="-14"/>
          <w:sz w:val="20"/>
        </w:rPr>
        <w:t> </w:t>
      </w:r>
      <w:r>
        <w:rPr>
          <w:rFonts w:ascii="Trebuchet MS"/>
          <w:spacing w:val="-1"/>
          <w:w w:val="117"/>
          <w:sz w:val="20"/>
        </w:rPr>
        <w:t>Su</w:t>
      </w:r>
      <w:r>
        <w:rPr>
          <w:rFonts w:ascii="Trebuchet MS"/>
          <w:spacing w:val="-1"/>
          <w:w w:val="104"/>
          <w:sz w:val="20"/>
        </w:rPr>
        <w:t>p</w:t>
      </w:r>
      <w:r>
        <w:rPr>
          <w:rFonts w:ascii="Trebuchet MS"/>
          <w:spacing w:val="-4"/>
          <w:w w:val="104"/>
          <w:sz w:val="20"/>
        </w:rPr>
        <w:t>r</w:t>
      </w:r>
      <w:r>
        <w:rPr>
          <w:rFonts w:ascii="Trebuchet MS"/>
          <w:spacing w:val="-1"/>
          <w:w w:val="108"/>
          <w:sz w:val="20"/>
        </w:rPr>
        <w:t>e</w:t>
      </w:r>
      <w:r>
        <w:rPr>
          <w:rFonts w:ascii="Trebuchet MS"/>
          <w:spacing w:val="-1"/>
          <w:w w:val="110"/>
          <w:sz w:val="20"/>
        </w:rPr>
        <w:t>m</w:t>
      </w:r>
      <w:r>
        <w:rPr>
          <w:rFonts w:ascii="Trebuchet MS"/>
          <w:w w:val="110"/>
          <w:sz w:val="20"/>
        </w:rPr>
        <w:t>e</w:t>
      </w:r>
      <w:r>
        <w:rPr>
          <w:rFonts w:ascii="Trebuchet MS"/>
          <w:spacing w:val="-14"/>
          <w:sz w:val="20"/>
        </w:rPr>
        <w:t> </w:t>
      </w:r>
      <w:r>
        <w:rPr>
          <w:rFonts w:ascii="Trebuchet MS"/>
          <w:spacing w:val="-1"/>
          <w:w w:val="114"/>
          <w:sz w:val="20"/>
        </w:rPr>
        <w:t>C</w:t>
      </w:r>
      <w:r>
        <w:rPr>
          <w:rFonts w:ascii="Trebuchet MS"/>
          <w:spacing w:val="-1"/>
          <w:w w:val="106"/>
          <w:sz w:val="20"/>
        </w:rPr>
        <w:t>ou</w:t>
      </w:r>
      <w:r>
        <w:rPr>
          <w:rFonts w:ascii="Trebuchet MS"/>
          <w:spacing w:val="2"/>
          <w:w w:val="106"/>
          <w:sz w:val="20"/>
        </w:rPr>
        <w:t>r</w:t>
      </w:r>
      <w:r>
        <w:rPr>
          <w:rFonts w:ascii="Trebuchet MS"/>
          <w:spacing w:val="1"/>
          <w:w w:val="88"/>
          <w:sz w:val="20"/>
        </w:rPr>
        <w:t>t</w:t>
      </w:r>
      <w:r>
        <w:rPr>
          <w:rFonts w:ascii="Trebuchet MS"/>
          <w:w w:val="55"/>
          <w:sz w:val="20"/>
        </w:rPr>
        <w:t>.</w:t>
      </w:r>
    </w:p>
    <w:p>
      <w:pPr>
        <w:pStyle w:val="ListParagraph"/>
        <w:numPr>
          <w:ilvl w:val="1"/>
          <w:numId w:val="127"/>
        </w:numPr>
        <w:tabs>
          <w:tab w:pos="1761" w:val="left" w:leader="none"/>
          <w:tab w:pos="1762" w:val="left" w:leader="none"/>
        </w:tabs>
        <w:spacing w:line="247" w:lineRule="auto" w:before="87" w:after="0"/>
        <w:ind w:left="1761" w:right="1582" w:hanging="567"/>
        <w:jc w:val="left"/>
        <w:rPr>
          <w:rFonts w:ascii="Trebuchet MS"/>
          <w:sz w:val="20"/>
        </w:rPr>
      </w:pPr>
      <w:r>
        <w:rPr>
          <w:rFonts w:ascii="Trebuchet MS"/>
          <w:w w:val="105"/>
          <w:sz w:val="20"/>
        </w:rPr>
        <w:t>The</w:t>
      </w:r>
      <w:r>
        <w:rPr>
          <w:rFonts w:ascii="Trebuchet MS"/>
          <w:spacing w:val="-20"/>
          <w:w w:val="105"/>
          <w:sz w:val="20"/>
        </w:rPr>
        <w:t> </w:t>
      </w:r>
      <w:r>
        <w:rPr>
          <w:rFonts w:ascii="Trebuchet MS"/>
          <w:w w:val="105"/>
          <w:sz w:val="20"/>
        </w:rPr>
        <w:t>Attorney-General</w:t>
      </w:r>
      <w:r>
        <w:rPr>
          <w:rFonts w:ascii="Trebuchet MS"/>
          <w:spacing w:val="-20"/>
          <w:w w:val="105"/>
          <w:sz w:val="20"/>
        </w:rPr>
        <w:t> </w:t>
      </w:r>
      <w:r>
        <w:rPr>
          <w:rFonts w:ascii="Trebuchet MS"/>
          <w:w w:val="105"/>
          <w:sz w:val="20"/>
        </w:rPr>
        <w:t>should</w:t>
      </w:r>
      <w:r>
        <w:rPr>
          <w:rFonts w:ascii="Trebuchet MS"/>
          <w:spacing w:val="-19"/>
          <w:w w:val="105"/>
          <w:sz w:val="20"/>
        </w:rPr>
        <w:t> </w:t>
      </w:r>
      <w:r>
        <w:rPr>
          <w:rFonts w:ascii="Trebuchet MS"/>
          <w:spacing w:val="-3"/>
          <w:w w:val="105"/>
          <w:sz w:val="20"/>
        </w:rPr>
        <w:t>review</w:t>
      </w:r>
      <w:r>
        <w:rPr>
          <w:rFonts w:ascii="Trebuchet MS"/>
          <w:spacing w:val="-20"/>
          <w:w w:val="105"/>
          <w:sz w:val="20"/>
        </w:rPr>
        <w:t> </w:t>
      </w:r>
      <w:r>
        <w:rPr>
          <w:rFonts w:ascii="Trebuchet MS"/>
          <w:w w:val="105"/>
          <w:sz w:val="20"/>
        </w:rPr>
        <w:t>the</w:t>
      </w:r>
      <w:r>
        <w:rPr>
          <w:rFonts w:ascii="Trebuchet MS"/>
          <w:spacing w:val="-19"/>
          <w:w w:val="105"/>
          <w:sz w:val="20"/>
        </w:rPr>
        <w:t> </w:t>
      </w:r>
      <w:r>
        <w:rPr>
          <w:rFonts w:ascii="Trebuchet MS"/>
          <w:w w:val="105"/>
          <w:sz w:val="20"/>
        </w:rPr>
        <w:t>new</w:t>
      </w:r>
      <w:r>
        <w:rPr>
          <w:rFonts w:ascii="Trebuchet MS"/>
          <w:spacing w:val="-20"/>
          <w:w w:val="105"/>
          <w:sz w:val="20"/>
        </w:rPr>
        <w:t> </w:t>
      </w:r>
      <w:r>
        <w:rPr>
          <w:rFonts w:ascii="Trebuchet MS"/>
          <w:spacing w:val="-2"/>
          <w:w w:val="105"/>
          <w:sz w:val="20"/>
        </w:rPr>
        <w:t>provisions</w:t>
      </w:r>
      <w:r>
        <w:rPr>
          <w:rFonts w:ascii="Trebuchet MS"/>
          <w:spacing w:val="-20"/>
          <w:w w:val="105"/>
          <w:sz w:val="20"/>
        </w:rPr>
        <w:t> </w:t>
      </w:r>
      <w:r>
        <w:rPr>
          <w:rFonts w:ascii="Trebuchet MS"/>
          <w:w w:val="105"/>
          <w:sz w:val="20"/>
        </w:rPr>
        <w:t>in</w:t>
      </w:r>
      <w:r>
        <w:rPr>
          <w:rFonts w:ascii="Trebuchet MS"/>
          <w:spacing w:val="-19"/>
          <w:w w:val="105"/>
          <w:sz w:val="20"/>
        </w:rPr>
        <w:t> </w:t>
      </w:r>
      <w:r>
        <w:rPr>
          <w:rFonts w:ascii="Trebuchet MS"/>
          <w:w w:val="105"/>
          <w:sz w:val="20"/>
        </w:rPr>
        <w:t>the</w:t>
      </w:r>
      <w:r>
        <w:rPr>
          <w:rFonts w:ascii="Trebuchet MS"/>
          <w:spacing w:val="-20"/>
          <w:w w:val="105"/>
          <w:sz w:val="20"/>
        </w:rPr>
        <w:t> </w:t>
      </w:r>
      <w:r>
        <w:rPr>
          <w:rFonts w:ascii="Trebuchet MS"/>
          <w:w w:val="105"/>
          <w:sz w:val="20"/>
        </w:rPr>
        <w:t>Juries</w:t>
      </w:r>
      <w:r>
        <w:rPr>
          <w:rFonts w:ascii="Trebuchet MS"/>
          <w:spacing w:val="-19"/>
          <w:w w:val="105"/>
          <w:sz w:val="20"/>
        </w:rPr>
        <w:t> </w:t>
      </w:r>
      <w:r>
        <w:rPr>
          <w:rFonts w:ascii="Trebuchet MS"/>
          <w:spacing w:val="-2"/>
          <w:w w:val="105"/>
          <w:sz w:val="20"/>
        </w:rPr>
        <w:t>Act</w:t>
      </w:r>
      <w:r>
        <w:rPr>
          <w:rFonts w:ascii="Trebuchet MS"/>
          <w:spacing w:val="-20"/>
          <w:w w:val="105"/>
          <w:sz w:val="20"/>
        </w:rPr>
        <w:t> </w:t>
      </w:r>
      <w:r>
        <w:rPr>
          <w:rFonts w:ascii="Trebuchet MS"/>
          <w:w w:val="105"/>
          <w:sz w:val="20"/>
        </w:rPr>
        <w:t>five</w:t>
      </w:r>
      <w:r>
        <w:rPr>
          <w:rFonts w:ascii="Trebuchet MS"/>
          <w:spacing w:val="-20"/>
          <w:w w:val="105"/>
          <w:sz w:val="20"/>
        </w:rPr>
        <w:t> </w:t>
      </w:r>
      <w:r>
        <w:rPr>
          <w:rFonts w:ascii="Trebuchet MS"/>
          <w:w w:val="105"/>
          <w:sz w:val="20"/>
        </w:rPr>
        <w:t>years from</w:t>
      </w:r>
      <w:r>
        <w:rPr>
          <w:rFonts w:ascii="Trebuchet MS"/>
          <w:spacing w:val="-23"/>
          <w:w w:val="105"/>
          <w:sz w:val="20"/>
        </w:rPr>
        <w:t> </w:t>
      </w:r>
      <w:r>
        <w:rPr>
          <w:rFonts w:ascii="Trebuchet MS"/>
          <w:w w:val="105"/>
          <w:sz w:val="20"/>
        </w:rPr>
        <w:t>the</w:t>
      </w:r>
      <w:r>
        <w:rPr>
          <w:rFonts w:ascii="Trebuchet MS"/>
          <w:spacing w:val="-23"/>
          <w:w w:val="105"/>
          <w:sz w:val="20"/>
        </w:rPr>
        <w:t> </w:t>
      </w:r>
      <w:r>
        <w:rPr>
          <w:rFonts w:ascii="Trebuchet MS"/>
          <w:spacing w:val="-3"/>
          <w:w w:val="105"/>
          <w:sz w:val="20"/>
        </w:rPr>
        <w:t>date</w:t>
      </w:r>
      <w:r>
        <w:rPr>
          <w:rFonts w:ascii="Trebuchet MS"/>
          <w:spacing w:val="-23"/>
          <w:w w:val="105"/>
          <w:sz w:val="20"/>
        </w:rPr>
        <w:t> </w:t>
      </w:r>
      <w:r>
        <w:rPr>
          <w:rFonts w:ascii="Trebuchet MS"/>
          <w:w w:val="105"/>
          <w:sz w:val="20"/>
        </w:rPr>
        <w:t>of</w:t>
      </w:r>
      <w:r>
        <w:rPr>
          <w:rFonts w:ascii="Trebuchet MS"/>
          <w:spacing w:val="-23"/>
          <w:w w:val="105"/>
          <w:sz w:val="20"/>
        </w:rPr>
        <w:t> </w:t>
      </w:r>
      <w:r>
        <w:rPr>
          <w:rFonts w:ascii="Trebuchet MS"/>
          <w:w w:val="105"/>
          <w:sz w:val="20"/>
        </w:rPr>
        <w:t>commencement,</w:t>
      </w:r>
      <w:r>
        <w:rPr>
          <w:rFonts w:ascii="Trebuchet MS"/>
          <w:spacing w:val="-23"/>
          <w:w w:val="105"/>
          <w:sz w:val="20"/>
        </w:rPr>
        <w:t> </w:t>
      </w:r>
      <w:r>
        <w:rPr>
          <w:rFonts w:ascii="Trebuchet MS"/>
          <w:w w:val="105"/>
          <w:sz w:val="20"/>
        </w:rPr>
        <w:t>to</w:t>
      </w:r>
      <w:r>
        <w:rPr>
          <w:rFonts w:ascii="Trebuchet MS"/>
          <w:spacing w:val="-23"/>
          <w:w w:val="105"/>
          <w:sz w:val="20"/>
        </w:rPr>
        <w:t> </w:t>
      </w:r>
      <w:r>
        <w:rPr>
          <w:rFonts w:ascii="Trebuchet MS"/>
          <w:w w:val="105"/>
          <w:sz w:val="20"/>
        </w:rPr>
        <w:t>determine</w:t>
      </w:r>
      <w:r>
        <w:rPr>
          <w:rFonts w:ascii="Trebuchet MS"/>
          <w:spacing w:val="-23"/>
          <w:w w:val="105"/>
          <w:sz w:val="20"/>
        </w:rPr>
        <w:t> </w:t>
      </w:r>
      <w:r>
        <w:rPr>
          <w:rFonts w:ascii="Trebuchet MS"/>
          <w:w w:val="105"/>
          <w:sz w:val="20"/>
        </w:rPr>
        <w:t>whether</w:t>
      </w:r>
      <w:r>
        <w:rPr>
          <w:rFonts w:ascii="Trebuchet MS"/>
          <w:spacing w:val="-23"/>
          <w:w w:val="105"/>
          <w:sz w:val="20"/>
        </w:rPr>
        <w:t> </w:t>
      </w:r>
      <w:r>
        <w:rPr>
          <w:rFonts w:ascii="Trebuchet MS"/>
          <w:w w:val="105"/>
          <w:sz w:val="20"/>
        </w:rPr>
        <w:t>the</w:t>
      </w:r>
      <w:r>
        <w:rPr>
          <w:rFonts w:ascii="Trebuchet MS"/>
          <w:spacing w:val="-23"/>
          <w:w w:val="105"/>
          <w:sz w:val="20"/>
        </w:rPr>
        <w:t> </w:t>
      </w:r>
      <w:r>
        <w:rPr>
          <w:rFonts w:ascii="Trebuchet MS"/>
          <w:w w:val="105"/>
          <w:sz w:val="20"/>
        </w:rPr>
        <w:t>policy</w:t>
      </w:r>
      <w:r>
        <w:rPr>
          <w:rFonts w:ascii="Trebuchet MS"/>
          <w:spacing w:val="-23"/>
          <w:w w:val="105"/>
          <w:sz w:val="20"/>
        </w:rPr>
        <w:t> </w:t>
      </w:r>
      <w:r>
        <w:rPr>
          <w:rFonts w:ascii="Trebuchet MS"/>
          <w:w w:val="105"/>
          <w:sz w:val="20"/>
        </w:rPr>
        <w:t>objectives</w:t>
      </w:r>
      <w:r>
        <w:rPr>
          <w:rFonts w:ascii="Trebuchet MS"/>
          <w:spacing w:val="-23"/>
          <w:w w:val="105"/>
          <w:sz w:val="20"/>
        </w:rPr>
        <w:t> </w:t>
      </w:r>
      <w:r>
        <w:rPr>
          <w:rFonts w:ascii="Trebuchet MS"/>
          <w:w w:val="105"/>
          <w:sz w:val="20"/>
        </w:rPr>
        <w:t>of the new </w:t>
      </w:r>
      <w:r>
        <w:rPr>
          <w:rFonts w:ascii="Trebuchet MS"/>
          <w:spacing w:val="-2"/>
          <w:w w:val="105"/>
          <w:sz w:val="20"/>
        </w:rPr>
        <w:t>provisions are </w:t>
      </w:r>
      <w:r>
        <w:rPr>
          <w:rFonts w:ascii="Trebuchet MS"/>
          <w:w w:val="105"/>
          <w:sz w:val="20"/>
        </w:rPr>
        <w:t>being met and whether </w:t>
      </w:r>
      <w:r>
        <w:rPr>
          <w:rFonts w:ascii="Trebuchet MS"/>
          <w:spacing w:val="-3"/>
          <w:w w:val="105"/>
          <w:sz w:val="20"/>
        </w:rPr>
        <w:t>any </w:t>
      </w:r>
      <w:r>
        <w:rPr>
          <w:rFonts w:ascii="Trebuchet MS"/>
          <w:w w:val="105"/>
          <w:sz w:val="20"/>
        </w:rPr>
        <w:t>amendments to the </w:t>
      </w:r>
      <w:r>
        <w:rPr>
          <w:rFonts w:ascii="Trebuchet MS"/>
          <w:spacing w:val="-2"/>
          <w:w w:val="105"/>
          <w:sz w:val="20"/>
        </w:rPr>
        <w:t>Act are </w:t>
      </w:r>
      <w:r>
        <w:rPr>
          <w:rFonts w:ascii="Trebuchet MS"/>
          <w:spacing w:val="-1"/>
          <w:w w:val="107"/>
          <w:sz w:val="20"/>
        </w:rPr>
        <w:t>n</w:t>
      </w:r>
      <w:r>
        <w:rPr>
          <w:rFonts w:ascii="Trebuchet MS"/>
          <w:w w:val="108"/>
          <w:sz w:val="20"/>
        </w:rPr>
        <w:t>ee</w:t>
      </w:r>
      <w:r>
        <w:rPr>
          <w:rFonts w:ascii="Trebuchet MS"/>
          <w:spacing w:val="-2"/>
          <w:w w:val="112"/>
          <w:sz w:val="20"/>
        </w:rPr>
        <w:t>d</w:t>
      </w:r>
      <w:r>
        <w:rPr>
          <w:rFonts w:ascii="Trebuchet MS"/>
          <w:w w:val="108"/>
          <w:sz w:val="20"/>
        </w:rPr>
        <w:t>e</w:t>
      </w:r>
      <w:r>
        <w:rPr>
          <w:rFonts w:ascii="Trebuchet MS"/>
          <w:w w:val="112"/>
          <w:sz w:val="20"/>
        </w:rPr>
        <w:t>d</w:t>
      </w:r>
      <w:r>
        <w:rPr>
          <w:rFonts w:ascii="Trebuchet MS"/>
          <w:w w:val="55"/>
          <w:sz w:val="20"/>
        </w:rPr>
        <w:t>.</w:t>
      </w:r>
      <w:r>
        <w:rPr>
          <w:rFonts w:ascii="Trebuchet MS"/>
          <w:spacing w:val="-14"/>
          <w:sz w:val="20"/>
        </w:rPr>
        <w:t> </w:t>
      </w:r>
      <w:r>
        <w:rPr>
          <w:rFonts w:ascii="Trebuchet MS"/>
          <w:w w:val="114"/>
          <w:sz w:val="20"/>
        </w:rPr>
        <w:t>A</w:t>
      </w:r>
      <w:r>
        <w:rPr>
          <w:rFonts w:ascii="Trebuchet MS"/>
          <w:spacing w:val="-14"/>
          <w:sz w:val="20"/>
        </w:rPr>
        <w:t> </w:t>
      </w:r>
      <w:r>
        <w:rPr>
          <w:rFonts w:ascii="Trebuchet MS"/>
          <w:spacing w:val="-4"/>
          <w:w w:val="93"/>
          <w:sz w:val="20"/>
        </w:rPr>
        <w:t>r</w:t>
      </w:r>
      <w:r>
        <w:rPr>
          <w:rFonts w:ascii="Trebuchet MS"/>
          <w:spacing w:val="-1"/>
          <w:w w:val="108"/>
          <w:sz w:val="20"/>
        </w:rPr>
        <w:t>e</w:t>
      </w:r>
      <w:r>
        <w:rPr>
          <w:rFonts w:ascii="Trebuchet MS"/>
          <w:spacing w:val="-1"/>
          <w:w w:val="111"/>
          <w:sz w:val="20"/>
        </w:rPr>
        <w:t>p</w:t>
      </w:r>
      <w:r>
        <w:rPr>
          <w:rFonts w:ascii="Trebuchet MS"/>
          <w:spacing w:val="-1"/>
          <w:w w:val="111"/>
          <w:sz w:val="20"/>
        </w:rPr>
        <w:t>o</w:t>
      </w:r>
      <w:r>
        <w:rPr>
          <w:rFonts w:ascii="Trebuchet MS"/>
          <w:spacing w:val="2"/>
          <w:w w:val="93"/>
          <w:sz w:val="20"/>
        </w:rPr>
        <w:t>r</w:t>
      </w:r>
      <w:r>
        <w:rPr>
          <w:rFonts w:ascii="Trebuchet MS"/>
          <w:w w:val="88"/>
          <w:sz w:val="20"/>
        </w:rPr>
        <w:t>t</w:t>
      </w:r>
      <w:r>
        <w:rPr>
          <w:rFonts w:ascii="Trebuchet MS"/>
          <w:spacing w:val="-14"/>
          <w:sz w:val="20"/>
        </w:rPr>
        <w:t> </w:t>
      </w:r>
      <w:r>
        <w:rPr>
          <w:rFonts w:ascii="Trebuchet MS"/>
          <w:spacing w:val="-1"/>
          <w:w w:val="111"/>
          <w:sz w:val="20"/>
        </w:rPr>
        <w:t>o</w:t>
      </w:r>
      <w:r>
        <w:rPr>
          <w:rFonts w:ascii="Trebuchet MS"/>
          <w:w w:val="107"/>
          <w:sz w:val="20"/>
        </w:rPr>
        <w:t>n</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1"/>
          <w:w w:val="111"/>
          <w:sz w:val="20"/>
        </w:rPr>
        <w:t>o</w:t>
      </w:r>
      <w:r>
        <w:rPr>
          <w:rFonts w:ascii="Trebuchet MS"/>
          <w:spacing w:val="-3"/>
          <w:w w:val="109"/>
          <w:sz w:val="20"/>
        </w:rPr>
        <w:t>u</w:t>
      </w:r>
      <w:r>
        <w:rPr>
          <w:rFonts w:ascii="Trebuchet MS"/>
          <w:spacing w:val="-4"/>
          <w:w w:val="88"/>
          <w:sz w:val="20"/>
        </w:rPr>
        <w:t>t</w:t>
      </w:r>
      <w:r>
        <w:rPr>
          <w:rFonts w:ascii="Trebuchet MS"/>
          <w:spacing w:val="-3"/>
          <w:w w:val="111"/>
          <w:sz w:val="20"/>
        </w:rPr>
        <w:t>c</w:t>
      </w:r>
      <w:r>
        <w:rPr>
          <w:rFonts w:ascii="Trebuchet MS"/>
          <w:spacing w:val="-1"/>
          <w:w w:val="111"/>
          <w:sz w:val="20"/>
        </w:rPr>
        <w:t>o</w:t>
      </w:r>
      <w:r>
        <w:rPr>
          <w:rFonts w:ascii="Trebuchet MS"/>
          <w:spacing w:val="-1"/>
          <w:w w:val="111"/>
          <w:sz w:val="20"/>
        </w:rPr>
        <w:t>m</w:t>
      </w:r>
      <w:r>
        <w:rPr>
          <w:rFonts w:ascii="Trebuchet MS"/>
          <w:w w:val="108"/>
          <w:sz w:val="20"/>
        </w:rPr>
        <w:t>e</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2"/>
          <w:w w:val="88"/>
          <w:sz w:val="20"/>
        </w:rPr>
        <w:t>t</w:t>
      </w:r>
      <w:r>
        <w:rPr>
          <w:rFonts w:ascii="Trebuchet MS"/>
          <w:spacing w:val="-1"/>
          <w:w w:val="107"/>
          <w:sz w:val="20"/>
        </w:rPr>
        <w:t>h</w:t>
      </w:r>
      <w:r>
        <w:rPr>
          <w:rFonts w:ascii="Trebuchet MS"/>
          <w:w w:val="108"/>
          <w:sz w:val="20"/>
        </w:rPr>
        <w:t>e</w:t>
      </w:r>
      <w:r>
        <w:rPr>
          <w:rFonts w:ascii="Trebuchet MS"/>
          <w:spacing w:val="-14"/>
          <w:sz w:val="20"/>
        </w:rPr>
        <w:t> </w:t>
      </w:r>
      <w:r>
        <w:rPr>
          <w:rFonts w:ascii="Trebuchet MS"/>
          <w:spacing w:val="-4"/>
          <w:w w:val="93"/>
          <w:sz w:val="20"/>
        </w:rPr>
        <w:t>r</w:t>
      </w:r>
      <w:r>
        <w:rPr>
          <w:rFonts w:ascii="Trebuchet MS"/>
          <w:spacing w:val="-5"/>
          <w:w w:val="108"/>
          <w:sz w:val="20"/>
        </w:rPr>
        <w:t>e</w:t>
      </w:r>
      <w:r>
        <w:rPr>
          <w:rFonts w:ascii="Trebuchet MS"/>
          <w:spacing w:val="-2"/>
          <w:w w:val="109"/>
          <w:sz w:val="20"/>
        </w:rPr>
        <w:t>v</w:t>
      </w:r>
      <w:r>
        <w:rPr>
          <w:rFonts w:ascii="Trebuchet MS"/>
          <w:spacing w:val="-1"/>
          <w:w w:val="80"/>
          <w:sz w:val="20"/>
        </w:rPr>
        <w:t>i</w:t>
      </w:r>
      <w:r>
        <w:rPr>
          <w:rFonts w:ascii="Trebuchet MS"/>
          <w:spacing w:val="-5"/>
          <w:w w:val="108"/>
          <w:sz w:val="20"/>
        </w:rPr>
        <w:t>e</w:t>
      </w:r>
      <w:r>
        <w:rPr>
          <w:rFonts w:ascii="Trebuchet MS"/>
          <w:w w:val="110"/>
          <w:sz w:val="20"/>
        </w:rPr>
        <w:t>w</w:t>
      </w:r>
      <w:r>
        <w:rPr>
          <w:rFonts w:ascii="Trebuchet MS"/>
          <w:spacing w:val="-14"/>
          <w:sz w:val="20"/>
        </w:rPr>
        <w:t> </w:t>
      </w:r>
      <w:r>
        <w:rPr>
          <w:rFonts w:ascii="Trebuchet MS"/>
          <w:spacing w:val="-2"/>
          <w:w w:val="122"/>
          <w:sz w:val="20"/>
        </w:rPr>
        <w:t>s</w:t>
      </w:r>
      <w:r>
        <w:rPr>
          <w:rFonts w:ascii="Trebuchet MS"/>
          <w:spacing w:val="-1"/>
          <w:w w:val="107"/>
          <w:sz w:val="20"/>
        </w:rPr>
        <w:t>h</w:t>
      </w:r>
      <w:r>
        <w:rPr>
          <w:rFonts w:ascii="Trebuchet MS"/>
          <w:spacing w:val="-1"/>
          <w:w w:val="111"/>
          <w:sz w:val="20"/>
        </w:rPr>
        <w:t>o</w:t>
      </w:r>
      <w:r>
        <w:rPr>
          <w:rFonts w:ascii="Trebuchet MS"/>
          <w:spacing w:val="-2"/>
          <w:w w:val="109"/>
          <w:sz w:val="20"/>
        </w:rPr>
        <w:t>u</w:t>
      </w:r>
      <w:r>
        <w:rPr>
          <w:rFonts w:ascii="Trebuchet MS"/>
          <w:spacing w:val="-3"/>
          <w:w w:val="96"/>
          <w:sz w:val="20"/>
        </w:rPr>
        <w:t>l</w:t>
      </w:r>
      <w:r>
        <w:rPr>
          <w:rFonts w:ascii="Trebuchet MS"/>
          <w:w w:val="112"/>
          <w:sz w:val="20"/>
        </w:rPr>
        <w:t>d</w:t>
      </w:r>
      <w:r>
        <w:rPr>
          <w:rFonts w:ascii="Trebuchet MS"/>
          <w:spacing w:val="-14"/>
          <w:sz w:val="20"/>
        </w:rPr>
        <w:t> </w:t>
      </w:r>
      <w:r>
        <w:rPr>
          <w:rFonts w:ascii="Trebuchet MS"/>
          <w:spacing w:val="-1"/>
          <w:w w:val="111"/>
          <w:sz w:val="20"/>
        </w:rPr>
        <w:t>b</w:t>
      </w:r>
      <w:r>
        <w:rPr>
          <w:rFonts w:ascii="Trebuchet MS"/>
          <w:w w:val="108"/>
          <w:sz w:val="20"/>
        </w:rPr>
        <w:t>e</w:t>
      </w:r>
      <w:r>
        <w:rPr>
          <w:rFonts w:ascii="Trebuchet MS"/>
          <w:spacing w:val="-14"/>
          <w:sz w:val="20"/>
        </w:rPr>
        <w:t> </w:t>
      </w:r>
      <w:r>
        <w:rPr>
          <w:rFonts w:ascii="Trebuchet MS"/>
          <w:w w:val="88"/>
          <w:sz w:val="20"/>
        </w:rPr>
        <w:t>t</w:t>
      </w:r>
      <w:r>
        <w:rPr>
          <w:rFonts w:ascii="Trebuchet MS"/>
          <w:spacing w:val="-2"/>
          <w:w w:val="105"/>
          <w:sz w:val="20"/>
        </w:rPr>
        <w:t>a</w:t>
      </w:r>
      <w:r>
        <w:rPr>
          <w:rFonts w:ascii="Trebuchet MS"/>
          <w:spacing w:val="-2"/>
          <w:w w:val="111"/>
          <w:sz w:val="20"/>
        </w:rPr>
        <w:t>b</w:t>
      </w:r>
      <w:r>
        <w:rPr>
          <w:rFonts w:ascii="Trebuchet MS"/>
          <w:spacing w:val="-3"/>
          <w:w w:val="96"/>
          <w:sz w:val="20"/>
        </w:rPr>
        <w:t>l</w:t>
      </w:r>
      <w:r>
        <w:rPr>
          <w:rFonts w:ascii="Trebuchet MS"/>
          <w:w w:val="108"/>
          <w:sz w:val="20"/>
        </w:rPr>
        <w:t>e</w:t>
      </w:r>
      <w:r>
        <w:rPr>
          <w:rFonts w:ascii="Trebuchet MS"/>
          <w:w w:val="112"/>
          <w:sz w:val="20"/>
        </w:rPr>
        <w:t>d</w:t>
      </w:r>
      <w:r>
        <w:rPr>
          <w:rFonts w:ascii="Trebuchet MS"/>
          <w:spacing w:val="-14"/>
          <w:sz w:val="20"/>
        </w:rPr>
        <w:t> </w:t>
      </w:r>
      <w:r>
        <w:rPr>
          <w:rFonts w:ascii="Trebuchet MS"/>
          <w:spacing w:val="-2"/>
          <w:w w:val="80"/>
          <w:sz w:val="20"/>
        </w:rPr>
        <w:t>i</w:t>
      </w:r>
      <w:r>
        <w:rPr>
          <w:rFonts w:ascii="Trebuchet MS"/>
          <w:w w:val="107"/>
          <w:sz w:val="20"/>
        </w:rPr>
        <w:t>n</w:t>
      </w:r>
      <w:r>
        <w:rPr>
          <w:rFonts w:ascii="Trebuchet MS"/>
          <w:spacing w:val="-14"/>
          <w:sz w:val="20"/>
        </w:rPr>
        <w:t> </w:t>
      </w:r>
      <w:r>
        <w:rPr>
          <w:rFonts w:ascii="Trebuchet MS"/>
          <w:spacing w:val="-1"/>
          <w:w w:val="108"/>
          <w:sz w:val="20"/>
        </w:rPr>
        <w:t>e</w:t>
      </w:r>
      <w:r>
        <w:rPr>
          <w:rFonts w:ascii="Trebuchet MS"/>
          <w:spacing w:val="-2"/>
          <w:w w:val="108"/>
          <w:sz w:val="20"/>
        </w:rPr>
        <w:t>ac</w:t>
      </w:r>
      <w:r>
        <w:rPr>
          <w:rFonts w:ascii="Trebuchet MS"/>
          <w:w w:val="107"/>
          <w:sz w:val="20"/>
        </w:rPr>
        <w:t>h</w:t>
      </w:r>
      <w:r>
        <w:rPr>
          <w:rFonts w:ascii="Trebuchet MS"/>
          <w:spacing w:val="-14"/>
          <w:sz w:val="20"/>
        </w:rPr>
        <w:t> </w:t>
      </w:r>
      <w:r>
        <w:rPr>
          <w:rFonts w:ascii="Trebuchet MS"/>
          <w:spacing w:val="-1"/>
          <w:w w:val="113"/>
          <w:sz w:val="20"/>
        </w:rPr>
        <w:t>H</w:t>
      </w:r>
      <w:r>
        <w:rPr>
          <w:rFonts w:ascii="Trebuchet MS"/>
          <w:spacing w:val="-1"/>
          <w:w w:val="111"/>
          <w:sz w:val="20"/>
        </w:rPr>
        <w:t>o</w:t>
      </w:r>
      <w:r>
        <w:rPr>
          <w:rFonts w:ascii="Trebuchet MS"/>
          <w:spacing w:val="-1"/>
          <w:w w:val="109"/>
          <w:sz w:val="20"/>
        </w:rPr>
        <w:t>u</w:t>
      </w:r>
      <w:r>
        <w:rPr>
          <w:rFonts w:ascii="Trebuchet MS"/>
          <w:spacing w:val="-1"/>
          <w:w w:val="122"/>
          <w:sz w:val="20"/>
        </w:rPr>
        <w:t>s</w:t>
      </w:r>
      <w:r>
        <w:rPr>
          <w:rFonts w:ascii="Trebuchet MS"/>
          <w:w w:val="108"/>
          <w:sz w:val="20"/>
        </w:rPr>
        <w:t>e</w:t>
      </w:r>
      <w:r>
        <w:rPr>
          <w:rFonts w:ascii="Trebuchet MS"/>
          <w:spacing w:val="-14"/>
          <w:sz w:val="20"/>
        </w:rPr>
        <w:t> </w:t>
      </w:r>
      <w:r>
        <w:rPr>
          <w:rFonts w:ascii="Trebuchet MS"/>
          <w:spacing w:val="-4"/>
          <w:w w:val="111"/>
          <w:sz w:val="20"/>
        </w:rPr>
        <w:t>o</w:t>
      </w:r>
      <w:r>
        <w:rPr>
          <w:rFonts w:ascii="Trebuchet MS"/>
          <w:w w:val="92"/>
          <w:sz w:val="20"/>
        </w:rPr>
        <w:t>f </w:t>
      </w:r>
      <w:r>
        <w:rPr>
          <w:rFonts w:ascii="Trebuchet MS"/>
          <w:spacing w:val="-2"/>
          <w:w w:val="111"/>
          <w:sz w:val="20"/>
        </w:rPr>
        <w:t>P</w:t>
      </w:r>
      <w:r>
        <w:rPr>
          <w:rFonts w:ascii="Trebuchet MS"/>
          <w:spacing w:val="-2"/>
          <w:w w:val="100"/>
          <w:sz w:val="20"/>
        </w:rPr>
        <w:t>a</w:t>
      </w:r>
      <w:r>
        <w:rPr>
          <w:rFonts w:ascii="Trebuchet MS"/>
          <w:spacing w:val="-3"/>
          <w:w w:val="100"/>
          <w:sz w:val="20"/>
        </w:rPr>
        <w:t>r</w:t>
      </w:r>
      <w:r>
        <w:rPr>
          <w:rFonts w:ascii="Trebuchet MS"/>
          <w:w w:val="96"/>
          <w:sz w:val="20"/>
        </w:rPr>
        <w:t>l</w:t>
      </w:r>
      <w:r>
        <w:rPr>
          <w:rFonts w:ascii="Trebuchet MS"/>
          <w:spacing w:val="-1"/>
          <w:w w:val="80"/>
          <w:sz w:val="20"/>
        </w:rPr>
        <w:t>i</w:t>
      </w:r>
      <w:r>
        <w:rPr>
          <w:rFonts w:ascii="Trebuchet MS"/>
          <w:spacing w:val="-2"/>
          <w:w w:val="109"/>
          <w:sz w:val="20"/>
        </w:rPr>
        <w:t>a</w:t>
      </w:r>
      <w:r>
        <w:rPr>
          <w:rFonts w:ascii="Trebuchet MS"/>
          <w:spacing w:val="-1"/>
          <w:w w:val="109"/>
          <w:sz w:val="20"/>
        </w:rPr>
        <w:t>m</w:t>
      </w:r>
      <w:r>
        <w:rPr>
          <w:rFonts w:ascii="Trebuchet MS"/>
          <w:spacing w:val="-1"/>
          <w:w w:val="108"/>
          <w:sz w:val="20"/>
        </w:rPr>
        <w:t>e</w:t>
      </w:r>
      <w:r>
        <w:rPr>
          <w:rFonts w:ascii="Trebuchet MS"/>
          <w:spacing w:val="-4"/>
          <w:w w:val="107"/>
          <w:sz w:val="20"/>
        </w:rPr>
        <w:t>n</w:t>
      </w:r>
      <w:r>
        <w:rPr>
          <w:rFonts w:ascii="Trebuchet MS"/>
          <w:w w:val="88"/>
          <w:sz w:val="20"/>
        </w:rPr>
        <w:t>t</w:t>
      </w:r>
      <w:r>
        <w:rPr>
          <w:rFonts w:ascii="Trebuchet MS"/>
          <w:spacing w:val="-14"/>
          <w:sz w:val="20"/>
        </w:rPr>
        <w:t> </w:t>
      </w:r>
      <w:r>
        <w:rPr>
          <w:rFonts w:ascii="Trebuchet MS"/>
          <w:spacing w:val="-2"/>
          <w:w w:val="102"/>
          <w:sz w:val="20"/>
        </w:rPr>
        <w:t>w</w:t>
      </w:r>
      <w:r>
        <w:rPr>
          <w:rFonts w:ascii="Trebuchet MS"/>
          <w:spacing w:val="-3"/>
          <w:w w:val="102"/>
          <w:sz w:val="20"/>
        </w:rPr>
        <w:t>i</w:t>
      </w:r>
      <w:r>
        <w:rPr>
          <w:rFonts w:ascii="Trebuchet MS"/>
          <w:spacing w:val="-2"/>
          <w:w w:val="95"/>
          <w:sz w:val="20"/>
        </w:rPr>
        <w:t>thi</w:t>
      </w:r>
      <w:r>
        <w:rPr>
          <w:rFonts w:ascii="Trebuchet MS"/>
          <w:w w:val="107"/>
          <w:sz w:val="20"/>
        </w:rPr>
        <w:t>n</w:t>
      </w:r>
      <w:r>
        <w:rPr>
          <w:rFonts w:ascii="Trebuchet MS"/>
          <w:spacing w:val="-14"/>
          <w:sz w:val="20"/>
        </w:rPr>
        <w:t> </w:t>
      </w:r>
      <w:r>
        <w:rPr>
          <w:rFonts w:ascii="Trebuchet MS"/>
          <w:w w:val="85"/>
          <w:sz w:val="20"/>
        </w:rPr>
        <w:t>1</w:t>
      </w:r>
      <w:r>
        <w:rPr>
          <w:rFonts w:ascii="Trebuchet MS"/>
          <w:w w:val="102"/>
          <w:sz w:val="20"/>
        </w:rPr>
        <w:t>2</w:t>
      </w:r>
      <w:r>
        <w:rPr>
          <w:rFonts w:ascii="Trebuchet MS"/>
          <w:spacing w:val="-14"/>
          <w:sz w:val="20"/>
        </w:rPr>
        <w:t> </w:t>
      </w:r>
      <w:r>
        <w:rPr>
          <w:rFonts w:ascii="Trebuchet MS"/>
          <w:spacing w:val="-1"/>
          <w:w w:val="111"/>
          <w:sz w:val="20"/>
        </w:rPr>
        <w:t>m</w:t>
      </w:r>
      <w:r>
        <w:rPr>
          <w:rFonts w:ascii="Trebuchet MS"/>
          <w:spacing w:val="-1"/>
          <w:w w:val="111"/>
          <w:sz w:val="20"/>
        </w:rPr>
        <w:t>o</w:t>
      </w:r>
      <w:r>
        <w:rPr>
          <w:rFonts w:ascii="Trebuchet MS"/>
          <w:spacing w:val="-4"/>
          <w:w w:val="107"/>
          <w:sz w:val="20"/>
        </w:rPr>
        <w:t>n</w:t>
      </w:r>
      <w:r>
        <w:rPr>
          <w:rFonts w:ascii="Trebuchet MS"/>
          <w:spacing w:val="-2"/>
          <w:w w:val="106"/>
          <w:sz w:val="20"/>
        </w:rPr>
        <w:t>th</w:t>
      </w:r>
      <w:r>
        <w:rPr>
          <w:rFonts w:ascii="Trebuchet MS"/>
          <w:w w:val="106"/>
          <w:sz w:val="20"/>
        </w:rPr>
        <w:t>s</w:t>
      </w:r>
      <w:r>
        <w:rPr>
          <w:rFonts w:ascii="Trebuchet MS"/>
          <w:spacing w:val="-14"/>
          <w:sz w:val="20"/>
        </w:rPr>
        <w:t> </w:t>
      </w:r>
      <w:r>
        <w:rPr>
          <w:rFonts w:ascii="Trebuchet MS"/>
          <w:spacing w:val="-4"/>
          <w:w w:val="111"/>
          <w:sz w:val="20"/>
        </w:rPr>
        <w:t>o</w:t>
      </w:r>
      <w:r>
        <w:rPr>
          <w:rFonts w:ascii="Trebuchet MS"/>
          <w:w w:val="92"/>
          <w:sz w:val="20"/>
        </w:rPr>
        <w:t>f</w:t>
      </w:r>
      <w:r>
        <w:rPr>
          <w:rFonts w:ascii="Trebuchet MS"/>
          <w:spacing w:val="-14"/>
          <w:sz w:val="20"/>
        </w:rPr>
        <w:t> </w:t>
      </w:r>
      <w:r>
        <w:rPr>
          <w:rFonts w:ascii="Trebuchet MS"/>
          <w:spacing w:val="-2"/>
          <w:w w:val="99"/>
          <w:sz w:val="20"/>
        </w:rPr>
        <w:t>t</w:t>
      </w:r>
      <w:r>
        <w:rPr>
          <w:rFonts w:ascii="Trebuchet MS"/>
          <w:spacing w:val="-1"/>
          <w:w w:val="99"/>
          <w:sz w:val="20"/>
        </w:rPr>
        <w:t>h</w:t>
      </w:r>
      <w:r>
        <w:rPr>
          <w:rFonts w:ascii="Trebuchet MS"/>
          <w:w w:val="108"/>
          <w:sz w:val="20"/>
        </w:rPr>
        <w:t>e</w:t>
      </w:r>
      <w:r>
        <w:rPr>
          <w:rFonts w:ascii="Trebuchet MS"/>
          <w:spacing w:val="-14"/>
          <w:sz w:val="20"/>
        </w:rPr>
        <w:t> </w:t>
      </w:r>
      <w:r>
        <w:rPr>
          <w:rFonts w:ascii="Trebuchet MS"/>
          <w:spacing w:val="-4"/>
          <w:w w:val="93"/>
          <w:sz w:val="20"/>
        </w:rPr>
        <w:t>r</w:t>
      </w:r>
      <w:r>
        <w:rPr>
          <w:rFonts w:ascii="Trebuchet MS"/>
          <w:spacing w:val="-5"/>
          <w:w w:val="108"/>
          <w:sz w:val="20"/>
        </w:rPr>
        <w:t>e</w:t>
      </w:r>
      <w:r>
        <w:rPr>
          <w:rFonts w:ascii="Trebuchet MS"/>
          <w:spacing w:val="-2"/>
          <w:w w:val="109"/>
          <w:sz w:val="20"/>
        </w:rPr>
        <w:t>v</w:t>
      </w:r>
      <w:r>
        <w:rPr>
          <w:rFonts w:ascii="Trebuchet MS"/>
          <w:spacing w:val="-1"/>
          <w:w w:val="80"/>
          <w:sz w:val="20"/>
        </w:rPr>
        <w:t>i</w:t>
      </w:r>
      <w:r>
        <w:rPr>
          <w:rFonts w:ascii="Trebuchet MS"/>
          <w:spacing w:val="-5"/>
          <w:w w:val="108"/>
          <w:sz w:val="20"/>
        </w:rPr>
        <w:t>e</w:t>
      </w:r>
      <w:r>
        <w:rPr>
          <w:rFonts w:ascii="Trebuchet MS"/>
          <w:spacing w:val="-13"/>
          <w:w w:val="110"/>
          <w:sz w:val="20"/>
        </w:rPr>
        <w:t>w</w:t>
      </w:r>
      <w:r>
        <w:rPr>
          <w:rFonts w:ascii="Trebuchet MS"/>
          <w:w w:val="55"/>
          <w:sz w:val="20"/>
        </w:rPr>
        <w:t>.</w:t>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spacing w:before="177"/>
        <w:ind w:left="0" w:right="210" w:firstLine="0"/>
        <w:jc w:val="right"/>
        <w:rPr>
          <w:b/>
          <w:sz w:val="24"/>
        </w:rPr>
      </w:pPr>
      <w:r>
        <w:rPr>
          <w:b/>
          <w:color w:val="37617A"/>
          <w:sz w:val="24"/>
        </w:rPr>
        <w:t>227</w:t>
      </w:r>
    </w:p>
    <w:p>
      <w:pPr>
        <w:spacing w:after="0"/>
        <w:jc w:val="right"/>
        <w:rPr>
          <w:sz w:val="24"/>
        </w:rPr>
        <w:sectPr>
          <w:pgSz w:w="11910" w:h="16840"/>
          <w:pgMar w:header="0" w:footer="0" w:top="840" w:bottom="280" w:left="620" w:right="380"/>
        </w:sectPr>
      </w:pPr>
    </w:p>
    <w:p>
      <w:pPr>
        <w:pStyle w:val="BodyText"/>
        <w:rPr>
          <w:b/>
        </w:rPr>
      </w:pPr>
      <w:r>
        <w:rPr/>
        <w:pict>
          <v:rect style="position:absolute;margin-left:79.370003pt;margin-top:0pt;width:515.906000pt;height:841.890015pt;mso-position-horizontal-relative:page;mso-position-vertical-relative:page;z-index:13984" filled="true" fillcolor="#37617a" stroked="false">
            <v:fill type="solid"/>
            <w10:wrap type="none"/>
          </v:rect>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4"/>
        </w:rPr>
      </w:pPr>
    </w:p>
    <w:p>
      <w:pPr>
        <w:spacing w:before="49"/>
        <w:ind w:left="100" w:right="0" w:firstLine="0"/>
        <w:jc w:val="left"/>
        <w:rPr>
          <w:b/>
          <w:sz w:val="24"/>
        </w:rPr>
      </w:pPr>
      <w:r>
        <w:rPr>
          <w:b/>
          <w:color w:val="37617A"/>
          <w:sz w:val="24"/>
        </w:rPr>
        <w:t>228</w:t>
      </w:r>
    </w:p>
    <w:p>
      <w:pPr>
        <w:spacing w:after="0"/>
        <w:jc w:val="left"/>
        <w:rPr>
          <w:sz w:val="24"/>
        </w:rPr>
        <w:sectPr>
          <w:headerReference w:type="even" r:id="rId272"/>
          <w:pgSz w:w="11910" w:h="16840"/>
          <w:pgMar w:header="0" w:footer="0" w:top="1580" w:bottom="280" w:left="620" w:right="380"/>
        </w:sectPr>
      </w:pPr>
    </w:p>
    <w:p>
      <w:pPr>
        <w:pStyle w:val="BodyText"/>
        <w:rPr>
          <w:b/>
        </w:rPr>
      </w:pPr>
      <w:r>
        <w:rPr/>
        <w:pict>
          <v:rect style="position:absolute;margin-left:0pt;margin-top:0pt;width:595.276001pt;height:841.890015pt;mso-position-horizontal-relative:page;mso-position-vertical-relative:page;z-index:-346240" filled="true" fillcolor="#37617a" stroked="false">
            <v:fill type="solid"/>
            <w10:wrap type="none"/>
          </v:rect>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
        <w:rPr>
          <w:b/>
          <w:sz w:val="24"/>
        </w:rPr>
      </w:pPr>
    </w:p>
    <w:p>
      <w:pPr>
        <w:spacing w:line="1134" w:lineRule="exact" w:before="0"/>
        <w:ind w:left="967" w:right="0" w:firstLine="0"/>
        <w:jc w:val="left"/>
        <w:rPr>
          <w:rFonts w:ascii="Raleway ExtraBold"/>
          <w:b/>
          <w:sz w:val="88"/>
        </w:rPr>
      </w:pPr>
      <w:r>
        <w:rPr>
          <w:rFonts w:ascii="Raleway ExtraBold"/>
          <w:b/>
          <w:color w:val="FFFFFF"/>
          <w:sz w:val="88"/>
        </w:rPr>
        <w:t>Appendices</w:t>
      </w:r>
    </w:p>
    <w:p>
      <w:pPr>
        <w:pStyle w:val="BodyText"/>
        <w:rPr>
          <w:rFonts w:ascii="Raleway ExtraBold"/>
          <w:b/>
        </w:rPr>
      </w:pPr>
    </w:p>
    <w:p>
      <w:pPr>
        <w:pStyle w:val="BodyText"/>
        <w:rPr>
          <w:rFonts w:ascii="Raleway ExtraBold"/>
          <w:b/>
        </w:rPr>
      </w:pPr>
    </w:p>
    <w:p>
      <w:pPr>
        <w:pStyle w:val="BodyText"/>
        <w:spacing w:before="4"/>
        <w:rPr>
          <w:rFonts w:ascii="Raleway ExtraBold"/>
          <w:b/>
          <w:sz w:val="23"/>
        </w:rPr>
      </w:pPr>
    </w:p>
    <w:p>
      <w:pPr>
        <w:spacing w:before="49"/>
        <w:ind w:left="967" w:right="0" w:firstLine="0"/>
        <w:jc w:val="left"/>
        <w:rPr>
          <w:b/>
          <w:sz w:val="24"/>
        </w:rPr>
      </w:pPr>
      <w:r>
        <w:rPr/>
        <w:pict>
          <v:line style="position:absolute;mso-position-horizontal-relative:page;mso-position-vertical-relative:paragraph;z-index:11960;mso-wrap-distance-left:0;mso-wrap-distance-right:0" from="79.370102pt,22.967304pt" to="104.882102pt,22.967304pt" stroked="true" strokeweight="2pt" strokecolor="#8f9dad">
            <v:stroke dashstyle="solid"/>
            <w10:wrap type="topAndBottom"/>
          </v:line>
        </w:pict>
      </w:r>
      <w:hyperlink w:history="true" w:anchor="_bookmark166">
        <w:r>
          <w:rPr>
            <w:b/>
            <w:color w:val="FFFFFF"/>
            <w:sz w:val="24"/>
          </w:rPr>
          <w:t>230 Appendix A: Submissions</w:t>
        </w:r>
      </w:hyperlink>
    </w:p>
    <w:p>
      <w:pPr>
        <w:spacing w:before="14" w:after="57"/>
        <w:ind w:left="967" w:right="0" w:firstLine="0"/>
        <w:jc w:val="left"/>
        <w:rPr>
          <w:b/>
          <w:sz w:val="24"/>
        </w:rPr>
      </w:pPr>
      <w:hyperlink w:history="true" w:anchor="_bookmark167">
        <w:r>
          <w:rPr>
            <w:b/>
            <w:color w:val="FFFFFF"/>
            <w:sz w:val="24"/>
          </w:rPr>
          <w:t>231 Appendix B: Consultations</w:t>
        </w:r>
      </w:hyperlink>
    </w:p>
    <w:p>
      <w:pPr>
        <w:pStyle w:val="BodyText"/>
        <w:spacing w:line="40" w:lineRule="exact"/>
        <w:ind w:left="94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8f9dad">
              <v:stroke dashstyle="solid"/>
            </v:line>
          </v:group>
        </w:pict>
      </w:r>
      <w:r>
        <w:rPr>
          <w:position w:val="0"/>
          <w:sz w:val="4"/>
        </w:rPr>
      </w:r>
    </w:p>
    <w:p>
      <w:pPr>
        <w:spacing w:after="0" w:line="40" w:lineRule="exact"/>
        <w:rPr>
          <w:sz w:val="4"/>
        </w:rPr>
        <w:sectPr>
          <w:headerReference w:type="default" r:id="rId273"/>
          <w:pgSz w:w="11910" w:h="16840"/>
          <w:pgMar w:header="0" w:footer="0" w:top="1580" w:bottom="280" w:left="620" w:right="380"/>
        </w:sectPr>
      </w:pPr>
    </w:p>
    <w:p>
      <w:pPr>
        <w:spacing w:line="170" w:lineRule="exact" w:before="61"/>
        <w:ind w:left="230" w:right="0" w:firstLine="0"/>
        <w:jc w:val="left"/>
        <w:rPr>
          <w:sz w:val="13"/>
        </w:rPr>
      </w:pPr>
      <w:r>
        <w:rPr/>
        <w:pict>
          <v:rect style="position:absolute;margin-left:0pt;margin-top:99.213013pt;width:14.173pt;height:85.748pt;mso-position-horizontal-relative:page;mso-position-vertical-relative:page;z-index:14080" filled="true" fillcolor="#37617a" stroked="false">
            <v:fill type="solid"/>
            <w10:wrap type="none"/>
          </v:rect>
        </w:pict>
      </w:r>
      <w:bookmarkStart w:name="Appendix A: Submissions" w:id="397"/>
      <w:bookmarkEnd w:id="397"/>
      <w:r>
        <w:rPr/>
      </w:r>
      <w:bookmarkStart w:name="_bookmark166" w:id="398"/>
      <w:bookmarkEnd w:id="398"/>
      <w:r>
        <w:rPr/>
      </w:r>
      <w:r>
        <w:rPr>
          <w:sz w:val="13"/>
        </w:rPr>
        <w:t>Victorian Law Reform Commission</w:t>
      </w:r>
    </w:p>
    <w:p>
      <w:pPr>
        <w:spacing w:line="170" w:lineRule="exact" w:before="0"/>
        <w:ind w:left="230" w:right="0" w:firstLine="0"/>
        <w:jc w:val="left"/>
        <w:rPr>
          <w:b/>
          <w:sz w:val="13"/>
        </w:rPr>
      </w:pPr>
      <w:r>
        <w:rPr>
          <w:b/>
          <w:sz w:val="13"/>
        </w:rPr>
        <w:t>Inclusive Juries: Report</w:t>
      </w:r>
    </w:p>
    <w:p>
      <w:pPr>
        <w:pStyle w:val="BodyText"/>
        <w:rPr>
          <w:b/>
        </w:rPr>
      </w:pPr>
    </w:p>
    <w:p>
      <w:pPr>
        <w:pStyle w:val="BodyText"/>
        <w:rPr>
          <w:b/>
        </w:rPr>
      </w:pPr>
    </w:p>
    <w:p>
      <w:pPr>
        <w:pStyle w:val="BodyText"/>
        <w:spacing w:before="2"/>
        <w:rPr>
          <w:b/>
          <w:sz w:val="25"/>
        </w:rPr>
      </w:pPr>
    </w:p>
    <w:p>
      <w:pPr>
        <w:spacing w:line="758" w:lineRule="exact" w:before="0"/>
        <w:ind w:left="230" w:right="0" w:firstLine="0"/>
        <w:jc w:val="left"/>
        <w:rPr>
          <w:rFonts w:ascii="Raleway ExtraBold"/>
          <w:b/>
          <w:sz w:val="56"/>
        </w:rPr>
      </w:pPr>
      <w:r>
        <w:rPr>
          <w:rFonts w:ascii="Raleway ExtraBold"/>
          <w:b/>
          <w:color w:val="37617A"/>
          <w:sz w:val="56"/>
        </w:rPr>
        <w:t>Appendix A: Submissions</w:t>
      </w:r>
    </w:p>
    <w:p>
      <w:pPr>
        <w:pStyle w:val="BodyText"/>
        <w:rPr>
          <w:rFonts w:ascii="Raleway ExtraBold"/>
          <w:b/>
          <w:sz w:val="66"/>
        </w:rPr>
      </w:pPr>
    </w:p>
    <w:p>
      <w:pPr>
        <w:pStyle w:val="BodyText"/>
        <w:rPr>
          <w:rFonts w:ascii="Raleway ExtraBold"/>
          <w:b/>
          <w:sz w:val="66"/>
        </w:rPr>
      </w:pPr>
    </w:p>
    <w:p>
      <w:pPr>
        <w:pStyle w:val="BodyText"/>
        <w:spacing w:before="12"/>
        <w:rPr>
          <w:rFonts w:ascii="Raleway ExtraBold"/>
          <w:b/>
          <w:sz w:val="84"/>
        </w:rPr>
      </w:pPr>
    </w:p>
    <w:p>
      <w:pPr>
        <w:spacing w:before="1"/>
        <w:ind w:left="967" w:right="0" w:firstLine="0"/>
        <w:jc w:val="left"/>
        <w:rPr>
          <w:rFonts w:ascii="Raleway ExtraBold"/>
          <w:b/>
          <w:sz w:val="28"/>
        </w:rPr>
      </w:pPr>
      <w:r>
        <w:rPr>
          <w:rFonts w:ascii="Raleway ExtraBold"/>
          <w:b/>
          <w:color w:val="37617A"/>
          <w:sz w:val="28"/>
        </w:rPr>
        <w:t>Position Statement</w:t>
      </w:r>
    </w:p>
    <w:p>
      <w:pPr>
        <w:pStyle w:val="ListParagraph"/>
        <w:numPr>
          <w:ilvl w:val="0"/>
          <w:numId w:val="128"/>
        </w:numPr>
        <w:tabs>
          <w:tab w:pos="1761" w:val="left" w:leader="none"/>
          <w:tab w:pos="1762" w:val="left" w:leader="none"/>
        </w:tabs>
        <w:spacing w:line="240" w:lineRule="auto" w:before="113" w:after="0"/>
        <w:ind w:left="1761" w:right="0" w:hanging="794"/>
        <w:jc w:val="left"/>
        <w:rPr>
          <w:sz w:val="20"/>
        </w:rPr>
      </w:pPr>
      <w:r>
        <w:rPr>
          <w:sz w:val="20"/>
        </w:rPr>
        <w:t>Blind Citizens Australia, </w:t>
      </w:r>
      <w:r>
        <w:rPr>
          <w:spacing w:val="-6"/>
          <w:sz w:val="20"/>
        </w:rPr>
        <w:t>2007, </w:t>
      </w:r>
      <w:r>
        <w:rPr>
          <w:sz w:val="20"/>
        </w:rPr>
        <w:t>submitted in response to the consultation</w:t>
      </w:r>
      <w:r>
        <w:rPr>
          <w:spacing w:val="-24"/>
          <w:sz w:val="20"/>
        </w:rPr>
        <w:t> </w:t>
      </w:r>
      <w:r>
        <w:rPr>
          <w:sz w:val="20"/>
        </w:rPr>
        <w:t>paper</w:t>
      </w:r>
    </w:p>
    <w:p>
      <w:pPr>
        <w:spacing w:before="157"/>
        <w:ind w:left="967" w:right="0" w:firstLine="0"/>
        <w:jc w:val="left"/>
        <w:rPr>
          <w:rFonts w:ascii="Raleway ExtraBold"/>
          <w:b/>
          <w:sz w:val="28"/>
        </w:rPr>
      </w:pPr>
      <w:r>
        <w:rPr>
          <w:rFonts w:ascii="Raleway ExtraBold"/>
          <w:b/>
          <w:color w:val="37617A"/>
          <w:sz w:val="28"/>
        </w:rPr>
        <w:t>Submissions</w:t>
      </w:r>
    </w:p>
    <w:p>
      <w:pPr>
        <w:pStyle w:val="ListParagraph"/>
        <w:numPr>
          <w:ilvl w:val="0"/>
          <w:numId w:val="128"/>
        </w:numPr>
        <w:tabs>
          <w:tab w:pos="1761" w:val="left" w:leader="none"/>
          <w:tab w:pos="1762" w:val="left" w:leader="none"/>
        </w:tabs>
        <w:spacing w:line="240" w:lineRule="auto" w:before="114" w:after="0"/>
        <w:ind w:left="1761" w:right="0" w:hanging="794"/>
        <w:jc w:val="left"/>
        <w:rPr>
          <w:sz w:val="20"/>
        </w:rPr>
      </w:pPr>
      <w:r>
        <w:rPr>
          <w:sz w:val="20"/>
        </w:rPr>
        <w:t>Dr David</w:t>
      </w:r>
      <w:r>
        <w:rPr>
          <w:spacing w:val="-5"/>
          <w:sz w:val="20"/>
        </w:rPr>
        <w:t> </w:t>
      </w:r>
      <w:r>
        <w:rPr>
          <w:sz w:val="20"/>
        </w:rPr>
        <w:t>Squirrell</w:t>
      </w:r>
    </w:p>
    <w:p>
      <w:pPr>
        <w:pStyle w:val="ListParagraph"/>
        <w:numPr>
          <w:ilvl w:val="0"/>
          <w:numId w:val="128"/>
        </w:numPr>
        <w:tabs>
          <w:tab w:pos="1761" w:val="left" w:leader="none"/>
          <w:tab w:pos="1762" w:val="left" w:leader="none"/>
        </w:tabs>
        <w:spacing w:line="240" w:lineRule="auto" w:before="19" w:after="0"/>
        <w:ind w:left="1761" w:right="0" w:hanging="794"/>
        <w:jc w:val="left"/>
        <w:rPr>
          <w:sz w:val="20"/>
        </w:rPr>
      </w:pPr>
      <w:r>
        <w:rPr>
          <w:spacing w:val="-4"/>
          <w:sz w:val="20"/>
        </w:rPr>
        <w:t>Youth </w:t>
      </w:r>
      <w:r>
        <w:rPr>
          <w:sz w:val="20"/>
        </w:rPr>
        <w:t>Disability Advocacy</w:t>
      </w:r>
      <w:r>
        <w:rPr>
          <w:spacing w:val="-3"/>
          <w:sz w:val="20"/>
        </w:rPr>
        <w:t> </w:t>
      </w:r>
      <w:r>
        <w:rPr>
          <w:sz w:val="20"/>
        </w:rPr>
        <w:t>Service</w:t>
      </w:r>
    </w:p>
    <w:p>
      <w:pPr>
        <w:pStyle w:val="ListParagraph"/>
        <w:numPr>
          <w:ilvl w:val="0"/>
          <w:numId w:val="128"/>
        </w:numPr>
        <w:tabs>
          <w:tab w:pos="1761" w:val="left" w:leader="none"/>
          <w:tab w:pos="1762" w:val="left" w:leader="none"/>
        </w:tabs>
        <w:spacing w:line="206" w:lineRule="auto" w:before="51" w:after="0"/>
        <w:ind w:left="1761" w:right="1256" w:hanging="794"/>
        <w:jc w:val="left"/>
        <w:rPr>
          <w:sz w:val="20"/>
        </w:rPr>
      </w:pPr>
      <w:r>
        <w:rPr>
          <w:sz w:val="20"/>
        </w:rPr>
        <w:t>Associate</w:t>
      </w:r>
      <w:r>
        <w:rPr>
          <w:spacing w:val="-6"/>
          <w:sz w:val="20"/>
        </w:rPr>
        <w:t> </w:t>
      </w:r>
      <w:r>
        <w:rPr>
          <w:sz w:val="20"/>
        </w:rPr>
        <w:t>Professors</w:t>
      </w:r>
      <w:r>
        <w:rPr>
          <w:spacing w:val="-5"/>
          <w:sz w:val="20"/>
        </w:rPr>
        <w:t> </w:t>
      </w:r>
      <w:r>
        <w:rPr>
          <w:sz w:val="20"/>
        </w:rPr>
        <w:t>Bruce</w:t>
      </w:r>
      <w:r>
        <w:rPr>
          <w:spacing w:val="-6"/>
          <w:sz w:val="20"/>
        </w:rPr>
        <w:t> </w:t>
      </w:r>
      <w:r>
        <w:rPr>
          <w:sz w:val="20"/>
        </w:rPr>
        <w:t>Baer</w:t>
      </w:r>
      <w:r>
        <w:rPr>
          <w:spacing w:val="-5"/>
          <w:sz w:val="20"/>
        </w:rPr>
        <w:t> </w:t>
      </w:r>
      <w:r>
        <w:rPr>
          <w:sz w:val="20"/>
        </w:rPr>
        <w:t>Arnold,</w:t>
      </w:r>
      <w:r>
        <w:rPr>
          <w:spacing w:val="-6"/>
          <w:sz w:val="20"/>
        </w:rPr>
        <w:t> </w:t>
      </w:r>
      <w:r>
        <w:rPr>
          <w:sz w:val="20"/>
        </w:rPr>
        <w:t>Canberra</w:t>
      </w:r>
      <w:r>
        <w:rPr>
          <w:spacing w:val="-5"/>
          <w:sz w:val="20"/>
        </w:rPr>
        <w:t> </w:t>
      </w:r>
      <w:r>
        <w:rPr>
          <w:sz w:val="20"/>
        </w:rPr>
        <w:t>Law</w:t>
      </w:r>
      <w:r>
        <w:rPr>
          <w:spacing w:val="-6"/>
          <w:sz w:val="20"/>
        </w:rPr>
        <w:t> </w:t>
      </w:r>
      <w:r>
        <w:rPr>
          <w:sz w:val="20"/>
        </w:rPr>
        <w:t>School,</w:t>
      </w:r>
      <w:r>
        <w:rPr>
          <w:spacing w:val="-5"/>
          <w:sz w:val="20"/>
        </w:rPr>
        <w:t> </w:t>
      </w:r>
      <w:r>
        <w:rPr>
          <w:sz w:val="20"/>
        </w:rPr>
        <w:t>University</w:t>
      </w:r>
      <w:r>
        <w:rPr>
          <w:spacing w:val="-5"/>
          <w:sz w:val="20"/>
        </w:rPr>
        <w:t> </w:t>
      </w:r>
      <w:r>
        <w:rPr>
          <w:sz w:val="20"/>
        </w:rPr>
        <w:t>of</w:t>
      </w:r>
      <w:r>
        <w:rPr>
          <w:spacing w:val="-6"/>
          <w:sz w:val="20"/>
        </w:rPr>
        <w:t> </w:t>
      </w:r>
      <w:r>
        <w:rPr>
          <w:sz w:val="20"/>
        </w:rPr>
        <w:t>Canberra and </w:t>
      </w:r>
      <w:r>
        <w:rPr>
          <w:spacing w:val="-3"/>
          <w:sz w:val="20"/>
        </w:rPr>
        <w:t>Wendy </w:t>
      </w:r>
      <w:r>
        <w:rPr>
          <w:sz w:val="20"/>
        </w:rPr>
        <w:t>Bonython, </w:t>
      </w:r>
      <w:r>
        <w:rPr>
          <w:spacing w:val="-3"/>
          <w:sz w:val="20"/>
        </w:rPr>
        <w:t>Faculty </w:t>
      </w:r>
      <w:r>
        <w:rPr>
          <w:sz w:val="20"/>
        </w:rPr>
        <w:t>of </w:t>
      </w:r>
      <w:r>
        <w:rPr>
          <w:spacing w:val="-4"/>
          <w:sz w:val="20"/>
        </w:rPr>
        <w:t>Law, </w:t>
      </w:r>
      <w:r>
        <w:rPr>
          <w:sz w:val="20"/>
        </w:rPr>
        <w:t>Bond</w:t>
      </w:r>
      <w:r>
        <w:rPr>
          <w:spacing w:val="-6"/>
          <w:sz w:val="20"/>
        </w:rPr>
        <w:t> </w:t>
      </w:r>
      <w:r>
        <w:rPr>
          <w:sz w:val="20"/>
        </w:rPr>
        <w:t>University</w:t>
      </w:r>
    </w:p>
    <w:p>
      <w:pPr>
        <w:pStyle w:val="ListParagraph"/>
        <w:numPr>
          <w:ilvl w:val="0"/>
          <w:numId w:val="128"/>
        </w:numPr>
        <w:tabs>
          <w:tab w:pos="1761" w:val="left" w:leader="none"/>
          <w:tab w:pos="1762" w:val="left" w:leader="none"/>
        </w:tabs>
        <w:spacing w:line="240" w:lineRule="auto" w:before="27" w:after="0"/>
        <w:ind w:left="1761" w:right="0" w:hanging="794"/>
        <w:jc w:val="left"/>
        <w:rPr>
          <w:sz w:val="20"/>
        </w:rPr>
      </w:pPr>
      <w:r>
        <w:rPr>
          <w:sz w:val="20"/>
        </w:rPr>
        <w:t>Name</w:t>
      </w:r>
      <w:r>
        <w:rPr>
          <w:spacing w:val="-3"/>
          <w:sz w:val="20"/>
        </w:rPr>
        <w:t> </w:t>
      </w:r>
      <w:r>
        <w:rPr>
          <w:sz w:val="20"/>
        </w:rPr>
        <w:t>withheld</w:t>
      </w:r>
    </w:p>
    <w:p>
      <w:pPr>
        <w:pStyle w:val="ListParagraph"/>
        <w:numPr>
          <w:ilvl w:val="0"/>
          <w:numId w:val="128"/>
        </w:numPr>
        <w:tabs>
          <w:tab w:pos="1761" w:val="left" w:leader="none"/>
          <w:tab w:pos="1762" w:val="left" w:leader="none"/>
        </w:tabs>
        <w:spacing w:line="240" w:lineRule="auto" w:before="19" w:after="0"/>
        <w:ind w:left="1761" w:right="0" w:hanging="794"/>
        <w:jc w:val="left"/>
        <w:rPr>
          <w:sz w:val="20"/>
        </w:rPr>
      </w:pPr>
      <w:r>
        <w:rPr>
          <w:sz w:val="20"/>
        </w:rPr>
        <w:t>Mount Alexander Shire Disability Advocacy</w:t>
      </w:r>
      <w:r>
        <w:rPr>
          <w:spacing w:val="-12"/>
          <w:sz w:val="20"/>
        </w:rPr>
        <w:t> </w:t>
      </w:r>
      <w:r>
        <w:rPr>
          <w:sz w:val="20"/>
        </w:rPr>
        <w:t>Group</w:t>
      </w:r>
    </w:p>
    <w:p>
      <w:pPr>
        <w:pStyle w:val="ListParagraph"/>
        <w:numPr>
          <w:ilvl w:val="0"/>
          <w:numId w:val="128"/>
        </w:numPr>
        <w:tabs>
          <w:tab w:pos="1761" w:val="left" w:leader="none"/>
          <w:tab w:pos="1762" w:val="left" w:leader="none"/>
        </w:tabs>
        <w:spacing w:line="240" w:lineRule="auto" w:before="20" w:after="0"/>
        <w:ind w:left="1761" w:right="0" w:hanging="794"/>
        <w:jc w:val="left"/>
        <w:rPr>
          <w:sz w:val="20"/>
        </w:rPr>
      </w:pPr>
      <w:r>
        <w:rPr>
          <w:sz w:val="20"/>
        </w:rPr>
        <w:t>Law Institute of</w:t>
      </w:r>
      <w:r>
        <w:rPr>
          <w:spacing w:val="-7"/>
          <w:sz w:val="20"/>
        </w:rPr>
        <w:t> </w:t>
      </w:r>
      <w:r>
        <w:rPr>
          <w:sz w:val="20"/>
        </w:rPr>
        <w:t>Victoria</w:t>
      </w:r>
    </w:p>
    <w:p>
      <w:pPr>
        <w:pStyle w:val="ListParagraph"/>
        <w:numPr>
          <w:ilvl w:val="0"/>
          <w:numId w:val="128"/>
        </w:numPr>
        <w:tabs>
          <w:tab w:pos="1761" w:val="left" w:leader="none"/>
          <w:tab w:pos="1762" w:val="left" w:leader="none"/>
        </w:tabs>
        <w:spacing w:line="240" w:lineRule="auto" w:before="19" w:after="0"/>
        <w:ind w:left="1761" w:right="0" w:hanging="794"/>
        <w:jc w:val="left"/>
        <w:rPr>
          <w:sz w:val="20"/>
        </w:rPr>
      </w:pPr>
      <w:r>
        <w:rPr>
          <w:sz w:val="20"/>
        </w:rPr>
        <w:t>Victoria Legal</w:t>
      </w:r>
      <w:r>
        <w:rPr>
          <w:spacing w:val="-5"/>
          <w:sz w:val="20"/>
        </w:rPr>
        <w:t> </w:t>
      </w:r>
      <w:r>
        <w:rPr>
          <w:sz w:val="20"/>
        </w:rPr>
        <w:t>Aid</w:t>
      </w:r>
    </w:p>
    <w:p>
      <w:pPr>
        <w:pStyle w:val="ListParagraph"/>
        <w:numPr>
          <w:ilvl w:val="0"/>
          <w:numId w:val="128"/>
        </w:numPr>
        <w:tabs>
          <w:tab w:pos="1761" w:val="left" w:leader="none"/>
          <w:tab w:pos="1762" w:val="left" w:leader="none"/>
        </w:tabs>
        <w:spacing w:line="240" w:lineRule="auto" w:before="19" w:after="0"/>
        <w:ind w:left="1761" w:right="0" w:hanging="794"/>
        <w:jc w:val="left"/>
        <w:rPr>
          <w:sz w:val="20"/>
        </w:rPr>
      </w:pPr>
      <w:r>
        <w:rPr>
          <w:sz w:val="20"/>
        </w:rPr>
        <w:t>Madison (surname</w:t>
      </w:r>
      <w:r>
        <w:rPr>
          <w:spacing w:val="-5"/>
          <w:sz w:val="20"/>
        </w:rPr>
        <w:t> </w:t>
      </w:r>
      <w:r>
        <w:rPr>
          <w:sz w:val="20"/>
        </w:rPr>
        <w:t>withheld)</w:t>
      </w:r>
    </w:p>
    <w:p>
      <w:pPr>
        <w:pStyle w:val="ListParagraph"/>
        <w:numPr>
          <w:ilvl w:val="0"/>
          <w:numId w:val="128"/>
        </w:numPr>
        <w:tabs>
          <w:tab w:pos="1761" w:val="left" w:leader="none"/>
          <w:tab w:pos="1762" w:val="left" w:leader="none"/>
        </w:tabs>
        <w:spacing w:line="240" w:lineRule="auto" w:before="19" w:after="0"/>
        <w:ind w:left="1761" w:right="0" w:hanging="794"/>
        <w:jc w:val="left"/>
        <w:rPr>
          <w:sz w:val="20"/>
        </w:rPr>
      </w:pPr>
      <w:r>
        <w:rPr>
          <w:sz w:val="20"/>
        </w:rPr>
        <w:t>Vision</w:t>
      </w:r>
      <w:r>
        <w:rPr>
          <w:spacing w:val="-3"/>
          <w:sz w:val="20"/>
        </w:rPr>
        <w:t> </w:t>
      </w:r>
      <w:r>
        <w:rPr>
          <w:sz w:val="20"/>
        </w:rPr>
        <w:t>Australia</w:t>
      </w:r>
    </w:p>
    <w:p>
      <w:pPr>
        <w:pStyle w:val="ListParagraph"/>
        <w:numPr>
          <w:ilvl w:val="0"/>
          <w:numId w:val="128"/>
        </w:numPr>
        <w:tabs>
          <w:tab w:pos="1761" w:val="left" w:leader="none"/>
          <w:tab w:pos="1762" w:val="left" w:leader="none"/>
        </w:tabs>
        <w:spacing w:line="240" w:lineRule="auto" w:before="19" w:after="0"/>
        <w:ind w:left="1761" w:right="0" w:hanging="794"/>
        <w:jc w:val="left"/>
        <w:rPr>
          <w:sz w:val="20"/>
        </w:rPr>
      </w:pPr>
      <w:r>
        <w:rPr>
          <w:sz w:val="20"/>
        </w:rPr>
        <w:t>Supreme Court of</w:t>
      </w:r>
      <w:r>
        <w:rPr>
          <w:spacing w:val="-7"/>
          <w:sz w:val="20"/>
        </w:rPr>
        <w:t> </w:t>
      </w:r>
      <w:r>
        <w:rPr>
          <w:sz w:val="20"/>
        </w:rPr>
        <w:t>Victoria</w:t>
      </w:r>
    </w:p>
    <w:p>
      <w:pPr>
        <w:pStyle w:val="ListParagraph"/>
        <w:numPr>
          <w:ilvl w:val="0"/>
          <w:numId w:val="128"/>
        </w:numPr>
        <w:tabs>
          <w:tab w:pos="1761" w:val="left" w:leader="none"/>
          <w:tab w:pos="1762" w:val="left" w:leader="none"/>
        </w:tabs>
        <w:spacing w:line="240" w:lineRule="auto" w:before="19" w:after="0"/>
        <w:ind w:left="1761" w:right="0" w:hanging="794"/>
        <w:jc w:val="left"/>
        <w:rPr>
          <w:sz w:val="20"/>
        </w:rPr>
      </w:pPr>
      <w:r>
        <w:rPr>
          <w:sz w:val="20"/>
        </w:rPr>
        <w:t>Castan Centre for Human Rights </w:t>
      </w:r>
      <w:r>
        <w:rPr>
          <w:spacing w:val="-4"/>
          <w:sz w:val="20"/>
        </w:rPr>
        <w:t>Law, </w:t>
      </w:r>
      <w:r>
        <w:rPr>
          <w:sz w:val="20"/>
        </w:rPr>
        <w:t>Monash</w:t>
      </w:r>
      <w:r>
        <w:rPr>
          <w:spacing w:val="-12"/>
          <w:sz w:val="20"/>
        </w:rPr>
        <w:t> </w:t>
      </w:r>
      <w:r>
        <w:rPr>
          <w:sz w:val="20"/>
        </w:rPr>
        <w:t>University</w:t>
      </w:r>
    </w:p>
    <w:p>
      <w:pPr>
        <w:pStyle w:val="ListParagraph"/>
        <w:numPr>
          <w:ilvl w:val="0"/>
          <w:numId w:val="128"/>
        </w:numPr>
        <w:tabs>
          <w:tab w:pos="1761" w:val="left" w:leader="none"/>
          <w:tab w:pos="1762" w:val="left" w:leader="none"/>
        </w:tabs>
        <w:spacing w:line="240" w:lineRule="auto" w:before="19" w:after="0"/>
        <w:ind w:left="1761" w:right="0" w:hanging="794"/>
        <w:jc w:val="left"/>
        <w:rPr>
          <w:sz w:val="20"/>
        </w:rPr>
      </w:pPr>
      <w:r>
        <w:rPr>
          <w:sz w:val="20"/>
        </w:rPr>
        <w:t>Juries</w:t>
      </w:r>
      <w:r>
        <w:rPr>
          <w:spacing w:val="-3"/>
          <w:sz w:val="20"/>
        </w:rPr>
        <w:t> </w:t>
      </w:r>
      <w:r>
        <w:rPr>
          <w:sz w:val="20"/>
        </w:rPr>
        <w:t>Victoria</w:t>
      </w:r>
    </w:p>
    <w:p>
      <w:pPr>
        <w:pStyle w:val="ListParagraph"/>
        <w:numPr>
          <w:ilvl w:val="0"/>
          <w:numId w:val="128"/>
        </w:numPr>
        <w:tabs>
          <w:tab w:pos="1761" w:val="left" w:leader="none"/>
          <w:tab w:pos="1762" w:val="left" w:leader="none"/>
        </w:tabs>
        <w:spacing w:line="240" w:lineRule="auto" w:before="19" w:after="0"/>
        <w:ind w:left="1761" w:right="0" w:hanging="794"/>
        <w:jc w:val="left"/>
        <w:rPr>
          <w:sz w:val="20"/>
        </w:rPr>
      </w:pPr>
      <w:r>
        <w:rPr>
          <w:sz w:val="20"/>
        </w:rPr>
        <w:t>County Court of</w:t>
      </w:r>
      <w:r>
        <w:rPr>
          <w:spacing w:val="-7"/>
          <w:sz w:val="20"/>
        </w:rPr>
        <w:t> </w:t>
      </w:r>
      <w:r>
        <w:rPr>
          <w:sz w:val="20"/>
        </w:rPr>
        <w:t>Victoria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205"/>
        <w:ind w:left="100" w:right="0" w:firstLine="0"/>
        <w:jc w:val="left"/>
        <w:rPr>
          <w:b/>
          <w:sz w:val="24"/>
        </w:rPr>
      </w:pPr>
      <w:r>
        <w:rPr>
          <w:b/>
          <w:color w:val="37617A"/>
          <w:sz w:val="24"/>
        </w:rPr>
        <w:t>230</w:t>
      </w:r>
    </w:p>
    <w:p>
      <w:pPr>
        <w:spacing w:after="0"/>
        <w:jc w:val="left"/>
        <w:rPr>
          <w:sz w:val="24"/>
        </w:rPr>
        <w:sectPr>
          <w:headerReference w:type="even" r:id="rId274"/>
          <w:pgSz w:w="11910" w:h="16840"/>
          <w:pgMar w:header="0" w:footer="0" w:top="460" w:bottom="280" w:left="620" w:right="380"/>
        </w:sectPr>
      </w:pPr>
    </w:p>
    <w:p>
      <w:pPr>
        <w:pStyle w:val="BodyText"/>
        <w:ind w:left="10151"/>
      </w:pPr>
      <w:r>
        <w:rPr/>
        <w:pict>
          <v:rect style="position:absolute;margin-left:0pt;margin-top:99.213013pt;width:14.173pt;height:85.748pt;mso-position-horizontal-relative:page;mso-position-vertical-relative:page;z-index:14128" filled="true" fillcolor="#37617a" stroked="false">
            <v:fill type="solid"/>
            <w10:wrap type="none"/>
          </v:rect>
        </w:pict>
      </w:r>
      <w:r>
        <w:rPr/>
        <w:pict>
          <v:group style="width:28.35pt;height:42.55pt;mso-position-horizontal-relative:char;mso-position-vertical-relative:line" coordorigin="0,0" coordsize="567,851">
            <v:rect style="position:absolute;left:0;top:0;width:567;height:851" filled="true" fillcolor="#37617a" stroked="false">
              <v:fill type="solid"/>
            </v:rect>
          </v:group>
        </w:pict>
      </w:r>
      <w:r>
        <w:rPr/>
      </w:r>
    </w:p>
    <w:p>
      <w:pPr>
        <w:pStyle w:val="BodyText"/>
        <w:rPr>
          <w:b/>
        </w:rPr>
      </w:pPr>
    </w:p>
    <w:p>
      <w:pPr>
        <w:pStyle w:val="BodyText"/>
        <w:rPr>
          <w:b/>
        </w:rPr>
      </w:pPr>
    </w:p>
    <w:p>
      <w:pPr>
        <w:pStyle w:val="BodyText"/>
        <w:spacing w:before="12"/>
        <w:rPr>
          <w:b/>
          <w:sz w:val="23"/>
        </w:rPr>
      </w:pPr>
    </w:p>
    <w:p>
      <w:pPr>
        <w:spacing w:line="757" w:lineRule="exact" w:before="0"/>
        <w:ind w:left="230" w:right="0" w:firstLine="0"/>
        <w:jc w:val="left"/>
        <w:rPr>
          <w:rFonts w:ascii="Raleway ExtraBold"/>
          <w:b/>
          <w:sz w:val="56"/>
        </w:rPr>
      </w:pPr>
      <w:bookmarkStart w:name="Appendix B: Consultations" w:id="399"/>
      <w:bookmarkEnd w:id="399"/>
      <w:r>
        <w:rPr/>
      </w:r>
      <w:bookmarkStart w:name="_bookmark167" w:id="400"/>
      <w:bookmarkEnd w:id="400"/>
      <w:r>
        <w:rPr/>
      </w:r>
      <w:r>
        <w:rPr>
          <w:rFonts w:ascii="Raleway ExtraBold"/>
          <w:b/>
          <w:color w:val="37617A"/>
          <w:sz w:val="56"/>
        </w:rPr>
        <w:t>Appendix B: Consultations</w:t>
      </w: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rPr>
      </w:pPr>
    </w:p>
    <w:p>
      <w:pPr>
        <w:pStyle w:val="BodyText"/>
        <w:rPr>
          <w:rFonts w:ascii="Raleway ExtraBold"/>
          <w:b/>
          <w:sz w:val="14"/>
        </w:rPr>
      </w:pPr>
    </w:p>
    <w:p>
      <w:pPr>
        <w:pStyle w:val="ListParagraph"/>
        <w:numPr>
          <w:ilvl w:val="0"/>
          <w:numId w:val="129"/>
        </w:numPr>
        <w:tabs>
          <w:tab w:pos="1761" w:val="left" w:leader="none"/>
          <w:tab w:pos="1762" w:val="left" w:leader="none"/>
        </w:tabs>
        <w:spacing w:line="240" w:lineRule="auto" w:before="57" w:after="0"/>
        <w:ind w:left="1761" w:right="0" w:hanging="794"/>
        <w:jc w:val="left"/>
        <w:rPr>
          <w:sz w:val="20"/>
        </w:rPr>
      </w:pPr>
      <w:r>
        <w:rPr>
          <w:sz w:val="20"/>
        </w:rPr>
        <w:t>Blind Citizens</w:t>
      </w:r>
      <w:r>
        <w:rPr>
          <w:spacing w:val="-5"/>
          <w:sz w:val="20"/>
        </w:rPr>
        <w:t> </w:t>
      </w:r>
      <w:r>
        <w:rPr>
          <w:sz w:val="20"/>
        </w:rPr>
        <w:t>Australia</w:t>
      </w:r>
    </w:p>
    <w:p>
      <w:pPr>
        <w:pStyle w:val="ListParagraph"/>
        <w:numPr>
          <w:ilvl w:val="0"/>
          <w:numId w:val="129"/>
        </w:numPr>
        <w:tabs>
          <w:tab w:pos="1761" w:val="left" w:leader="none"/>
          <w:tab w:pos="1762" w:val="left" w:leader="none"/>
        </w:tabs>
        <w:spacing w:line="240" w:lineRule="auto" w:before="20" w:after="0"/>
        <w:ind w:left="1761" w:right="0" w:hanging="794"/>
        <w:jc w:val="left"/>
        <w:rPr>
          <w:sz w:val="20"/>
        </w:rPr>
      </w:pPr>
      <w:r>
        <w:rPr>
          <w:sz w:val="20"/>
        </w:rPr>
        <w:t>Law Institute of</w:t>
      </w:r>
      <w:r>
        <w:rPr>
          <w:spacing w:val="-7"/>
          <w:sz w:val="20"/>
        </w:rPr>
        <w:t> </w:t>
      </w:r>
      <w:r>
        <w:rPr>
          <w:sz w:val="20"/>
        </w:rPr>
        <w:t>Victoria</w:t>
      </w:r>
    </w:p>
    <w:p>
      <w:pPr>
        <w:pStyle w:val="ListParagraph"/>
        <w:numPr>
          <w:ilvl w:val="0"/>
          <w:numId w:val="129"/>
        </w:numPr>
        <w:tabs>
          <w:tab w:pos="1761" w:val="left" w:leader="none"/>
          <w:tab w:pos="1762" w:val="left" w:leader="none"/>
        </w:tabs>
        <w:spacing w:line="206" w:lineRule="auto" w:before="51" w:after="0"/>
        <w:ind w:left="1761" w:right="1221" w:hanging="794"/>
        <w:jc w:val="left"/>
        <w:rPr>
          <w:sz w:val="20"/>
        </w:rPr>
      </w:pPr>
      <w:r>
        <w:rPr>
          <w:sz w:val="20"/>
        </w:rPr>
        <w:t>Academics: Professor Jemina Napier </w:t>
      </w:r>
      <w:r>
        <w:rPr>
          <w:spacing w:val="-3"/>
          <w:sz w:val="20"/>
        </w:rPr>
        <w:t>(Heriot-Watt </w:t>
      </w:r>
      <w:r>
        <w:rPr>
          <w:sz w:val="20"/>
        </w:rPr>
        <w:t>University), Professor Sandra Hale (University</w:t>
      </w:r>
      <w:r>
        <w:rPr>
          <w:spacing w:val="-6"/>
          <w:sz w:val="20"/>
        </w:rPr>
        <w:t> </w:t>
      </w:r>
      <w:r>
        <w:rPr>
          <w:sz w:val="20"/>
        </w:rPr>
        <w:t>of</w:t>
      </w:r>
      <w:r>
        <w:rPr>
          <w:spacing w:val="-5"/>
          <w:sz w:val="20"/>
        </w:rPr>
        <w:t> </w:t>
      </w:r>
      <w:r>
        <w:rPr>
          <w:sz w:val="20"/>
        </w:rPr>
        <w:t>New</w:t>
      </w:r>
      <w:r>
        <w:rPr>
          <w:spacing w:val="-6"/>
          <w:sz w:val="20"/>
        </w:rPr>
        <w:t> </w:t>
      </w:r>
      <w:r>
        <w:rPr>
          <w:sz w:val="20"/>
        </w:rPr>
        <w:t>South</w:t>
      </w:r>
      <w:r>
        <w:rPr>
          <w:spacing w:val="-5"/>
          <w:sz w:val="20"/>
        </w:rPr>
        <w:t> </w:t>
      </w:r>
      <w:r>
        <w:rPr>
          <w:spacing w:val="-4"/>
          <w:sz w:val="20"/>
        </w:rPr>
        <w:t>Wales),</w:t>
      </w:r>
      <w:r>
        <w:rPr>
          <w:spacing w:val="-6"/>
          <w:sz w:val="20"/>
        </w:rPr>
        <w:t> </w:t>
      </w:r>
      <w:r>
        <w:rPr>
          <w:sz w:val="20"/>
        </w:rPr>
        <w:t>Associate</w:t>
      </w:r>
      <w:r>
        <w:rPr>
          <w:spacing w:val="-5"/>
          <w:sz w:val="20"/>
        </w:rPr>
        <w:t> </w:t>
      </w:r>
      <w:r>
        <w:rPr>
          <w:sz w:val="20"/>
        </w:rPr>
        <w:t>Professor</w:t>
      </w:r>
      <w:r>
        <w:rPr>
          <w:spacing w:val="-5"/>
          <w:sz w:val="20"/>
        </w:rPr>
        <w:t> </w:t>
      </w:r>
      <w:r>
        <w:rPr>
          <w:sz w:val="20"/>
        </w:rPr>
        <w:t>Mehera</w:t>
      </w:r>
      <w:r>
        <w:rPr>
          <w:spacing w:val="-6"/>
          <w:sz w:val="20"/>
        </w:rPr>
        <w:t> </w:t>
      </w:r>
      <w:r>
        <w:rPr>
          <w:sz w:val="20"/>
        </w:rPr>
        <w:t>San</w:t>
      </w:r>
      <w:r>
        <w:rPr>
          <w:spacing w:val="-5"/>
          <w:sz w:val="20"/>
        </w:rPr>
        <w:t> </w:t>
      </w:r>
      <w:r>
        <w:rPr>
          <w:sz w:val="20"/>
        </w:rPr>
        <w:t>Roque</w:t>
      </w:r>
      <w:r>
        <w:rPr>
          <w:spacing w:val="-6"/>
          <w:sz w:val="20"/>
        </w:rPr>
        <w:t> </w:t>
      </w:r>
      <w:r>
        <w:rPr>
          <w:sz w:val="20"/>
        </w:rPr>
        <w:t>(University</w:t>
      </w:r>
      <w:r>
        <w:rPr>
          <w:spacing w:val="-5"/>
          <w:sz w:val="20"/>
        </w:rPr>
        <w:t> </w:t>
      </w:r>
      <w:r>
        <w:rPr>
          <w:sz w:val="20"/>
        </w:rPr>
        <w:t>of New South</w:t>
      </w:r>
      <w:r>
        <w:rPr>
          <w:spacing w:val="-5"/>
          <w:sz w:val="20"/>
        </w:rPr>
        <w:t> </w:t>
      </w:r>
      <w:r>
        <w:rPr>
          <w:spacing w:val="-3"/>
          <w:sz w:val="20"/>
        </w:rPr>
        <w:t>Wales)</w:t>
      </w:r>
    </w:p>
    <w:p>
      <w:pPr>
        <w:pStyle w:val="ListParagraph"/>
        <w:numPr>
          <w:ilvl w:val="0"/>
          <w:numId w:val="129"/>
        </w:numPr>
        <w:tabs>
          <w:tab w:pos="1761" w:val="left" w:leader="none"/>
          <w:tab w:pos="1762" w:val="left" w:leader="none"/>
        </w:tabs>
        <w:spacing w:line="240" w:lineRule="auto" w:before="28" w:after="0"/>
        <w:ind w:left="1761" w:right="0" w:hanging="794"/>
        <w:jc w:val="left"/>
        <w:rPr>
          <w:sz w:val="20"/>
        </w:rPr>
      </w:pPr>
      <w:r>
        <w:rPr>
          <w:sz w:val="20"/>
        </w:rPr>
        <w:t>Victorian Criminal Bar Association (Barristers, Jim H Shaw and Amanda J</w:t>
      </w:r>
      <w:r>
        <w:rPr>
          <w:spacing w:val="-33"/>
          <w:sz w:val="20"/>
        </w:rPr>
        <w:t> </w:t>
      </w:r>
      <w:r>
        <w:rPr>
          <w:sz w:val="20"/>
        </w:rPr>
        <w:t>Burnnard)</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z w:val="20"/>
        </w:rPr>
        <w:t>Expression</w:t>
      </w:r>
      <w:r>
        <w:rPr>
          <w:spacing w:val="-3"/>
          <w:sz w:val="20"/>
        </w:rPr>
        <w:t> </w:t>
      </w:r>
      <w:r>
        <w:rPr>
          <w:sz w:val="20"/>
        </w:rPr>
        <w:t>Australia</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z w:val="20"/>
        </w:rPr>
        <w:t>Deaf Victoria and community</w:t>
      </w:r>
      <w:r>
        <w:rPr>
          <w:spacing w:val="-9"/>
          <w:sz w:val="20"/>
        </w:rPr>
        <w:t> </w:t>
      </w:r>
      <w:r>
        <w:rPr>
          <w:sz w:val="20"/>
        </w:rPr>
        <w:t>participants</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z w:val="20"/>
        </w:rPr>
        <w:t>Vision</w:t>
      </w:r>
      <w:r>
        <w:rPr>
          <w:spacing w:val="-3"/>
          <w:sz w:val="20"/>
        </w:rPr>
        <w:t> </w:t>
      </w:r>
      <w:r>
        <w:rPr>
          <w:sz w:val="20"/>
        </w:rPr>
        <w:t>Australia</w:t>
      </w:r>
    </w:p>
    <w:p>
      <w:pPr>
        <w:pStyle w:val="ListParagraph"/>
        <w:numPr>
          <w:ilvl w:val="0"/>
          <w:numId w:val="129"/>
        </w:numPr>
        <w:tabs>
          <w:tab w:pos="1761" w:val="left" w:leader="none"/>
          <w:tab w:pos="1762" w:val="left" w:leader="none"/>
        </w:tabs>
        <w:spacing w:line="240" w:lineRule="auto" w:before="20" w:after="0"/>
        <w:ind w:left="1761" w:right="0" w:hanging="794"/>
        <w:jc w:val="left"/>
        <w:rPr>
          <w:sz w:val="20"/>
        </w:rPr>
      </w:pPr>
      <w:r>
        <w:rPr>
          <w:sz w:val="20"/>
        </w:rPr>
        <w:t>Brent</w:t>
      </w:r>
      <w:r>
        <w:rPr>
          <w:spacing w:val="-3"/>
          <w:sz w:val="20"/>
        </w:rPr>
        <w:t> </w:t>
      </w:r>
      <w:r>
        <w:rPr>
          <w:sz w:val="20"/>
        </w:rPr>
        <w:t>Phillips</w:t>
      </w:r>
    </w:p>
    <w:p>
      <w:pPr>
        <w:pStyle w:val="ListParagraph"/>
        <w:numPr>
          <w:ilvl w:val="0"/>
          <w:numId w:val="129"/>
        </w:numPr>
        <w:tabs>
          <w:tab w:pos="1761" w:val="left" w:leader="none"/>
          <w:tab w:pos="1762" w:val="left" w:leader="none"/>
        </w:tabs>
        <w:spacing w:line="259" w:lineRule="exact" w:before="19" w:after="0"/>
        <w:ind w:left="1761" w:right="0" w:hanging="794"/>
        <w:jc w:val="left"/>
        <w:rPr>
          <w:sz w:val="20"/>
        </w:rPr>
      </w:pPr>
      <w:r>
        <w:rPr>
          <w:sz w:val="20"/>
        </w:rPr>
        <w:t>Consultation with two Victorian County Court Judges, Court policy staff and</w:t>
      </w:r>
      <w:r>
        <w:rPr>
          <w:spacing w:val="-32"/>
          <w:sz w:val="20"/>
        </w:rPr>
        <w:t> </w:t>
      </w:r>
      <w:r>
        <w:rPr>
          <w:sz w:val="20"/>
        </w:rPr>
        <w:t>two</w:t>
      </w:r>
    </w:p>
    <w:p>
      <w:pPr>
        <w:pStyle w:val="BodyText"/>
        <w:spacing w:line="259" w:lineRule="exact"/>
        <w:ind w:left="1761"/>
      </w:pPr>
      <w:r>
        <w:rPr/>
        <w:t>Associates</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z w:val="20"/>
        </w:rPr>
        <w:t>Juries</w:t>
      </w:r>
      <w:r>
        <w:rPr>
          <w:spacing w:val="-3"/>
          <w:sz w:val="20"/>
        </w:rPr>
        <w:t> </w:t>
      </w:r>
      <w:r>
        <w:rPr>
          <w:sz w:val="20"/>
        </w:rPr>
        <w:t>Victoria</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z w:val="20"/>
        </w:rPr>
        <w:t>Consultation with a Judge, a Tipstaff and Court policy </w:t>
      </w:r>
      <w:r>
        <w:rPr>
          <w:spacing w:val="-3"/>
          <w:sz w:val="20"/>
        </w:rPr>
        <w:t>staff, </w:t>
      </w:r>
      <w:r>
        <w:rPr>
          <w:sz w:val="20"/>
        </w:rPr>
        <w:t>Victorian Supreme</w:t>
      </w:r>
      <w:r>
        <w:rPr>
          <w:spacing w:val="-37"/>
          <w:sz w:val="20"/>
        </w:rPr>
        <w:t> </w:t>
      </w:r>
      <w:r>
        <w:rPr>
          <w:sz w:val="20"/>
        </w:rPr>
        <w:t>Court</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z w:val="20"/>
        </w:rPr>
        <w:t>Consultation with Victorian County Court Registrars and Court policy</w:t>
      </w:r>
      <w:r>
        <w:rPr>
          <w:spacing w:val="-23"/>
          <w:sz w:val="20"/>
        </w:rPr>
        <w:t> </w:t>
      </w:r>
      <w:r>
        <w:rPr>
          <w:sz w:val="20"/>
        </w:rPr>
        <w:t>staff</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z w:val="20"/>
        </w:rPr>
        <w:t>National Accreditation Authority for </w:t>
      </w:r>
      <w:r>
        <w:rPr>
          <w:spacing w:val="-3"/>
          <w:sz w:val="20"/>
        </w:rPr>
        <w:t>Translators </w:t>
      </w:r>
      <w:r>
        <w:rPr>
          <w:sz w:val="20"/>
        </w:rPr>
        <w:t>and</w:t>
      </w:r>
      <w:r>
        <w:rPr>
          <w:spacing w:val="-13"/>
          <w:sz w:val="20"/>
        </w:rPr>
        <w:t> </w:t>
      </w:r>
      <w:r>
        <w:rPr>
          <w:sz w:val="20"/>
        </w:rPr>
        <w:t>Interpreters</w:t>
      </w:r>
    </w:p>
    <w:p>
      <w:pPr>
        <w:pStyle w:val="ListParagraph"/>
        <w:numPr>
          <w:ilvl w:val="0"/>
          <w:numId w:val="129"/>
        </w:numPr>
        <w:tabs>
          <w:tab w:pos="1761" w:val="left" w:leader="none"/>
          <w:tab w:pos="1762" w:val="left" w:leader="none"/>
        </w:tabs>
        <w:spacing w:line="206" w:lineRule="auto" w:before="51" w:after="0"/>
        <w:ind w:left="1761" w:right="1800" w:hanging="794"/>
        <w:jc w:val="left"/>
        <w:rPr>
          <w:sz w:val="20"/>
        </w:rPr>
      </w:pPr>
      <w:r>
        <w:rPr>
          <w:sz w:val="20"/>
        </w:rPr>
        <w:t>Jury</w:t>
      </w:r>
      <w:r>
        <w:rPr>
          <w:spacing w:val="-9"/>
          <w:sz w:val="20"/>
        </w:rPr>
        <w:t> </w:t>
      </w:r>
      <w:r>
        <w:rPr>
          <w:sz w:val="20"/>
        </w:rPr>
        <w:t>Commissioner,</w:t>
      </w:r>
      <w:r>
        <w:rPr>
          <w:spacing w:val="-9"/>
          <w:sz w:val="20"/>
        </w:rPr>
        <w:t> </w:t>
      </w:r>
      <w:r>
        <w:rPr>
          <w:sz w:val="20"/>
        </w:rPr>
        <w:t>New</w:t>
      </w:r>
      <w:r>
        <w:rPr>
          <w:spacing w:val="-9"/>
          <w:sz w:val="20"/>
        </w:rPr>
        <w:t> </w:t>
      </w:r>
      <w:r>
        <w:rPr>
          <w:spacing w:val="-4"/>
          <w:sz w:val="20"/>
        </w:rPr>
        <w:t>York</w:t>
      </w:r>
      <w:r>
        <w:rPr>
          <w:spacing w:val="-9"/>
          <w:sz w:val="20"/>
        </w:rPr>
        <w:t> </w:t>
      </w:r>
      <w:r>
        <w:rPr>
          <w:sz w:val="20"/>
        </w:rPr>
        <w:t>State</w:t>
      </w:r>
      <w:r>
        <w:rPr>
          <w:spacing w:val="-9"/>
          <w:sz w:val="20"/>
        </w:rPr>
        <w:t> </w:t>
      </w:r>
      <w:r>
        <w:rPr>
          <w:sz w:val="20"/>
        </w:rPr>
        <w:t>Courts</w:t>
      </w:r>
      <w:r>
        <w:rPr>
          <w:spacing w:val="-9"/>
          <w:sz w:val="20"/>
        </w:rPr>
        <w:t> </w:t>
      </w:r>
      <w:r>
        <w:rPr>
          <w:sz w:val="20"/>
        </w:rPr>
        <w:t>in</w:t>
      </w:r>
      <w:r>
        <w:rPr>
          <w:spacing w:val="-9"/>
          <w:sz w:val="20"/>
        </w:rPr>
        <w:t> </w:t>
      </w:r>
      <w:r>
        <w:rPr>
          <w:sz w:val="20"/>
        </w:rPr>
        <w:t>Rochester,</w:t>
      </w:r>
      <w:r>
        <w:rPr>
          <w:spacing w:val="-9"/>
          <w:sz w:val="20"/>
        </w:rPr>
        <w:t> </w:t>
      </w:r>
      <w:r>
        <w:rPr>
          <w:sz w:val="20"/>
        </w:rPr>
        <w:t>Monroe</w:t>
      </w:r>
      <w:r>
        <w:rPr>
          <w:spacing w:val="-9"/>
          <w:sz w:val="20"/>
        </w:rPr>
        <w:t> </w:t>
      </w:r>
      <w:r>
        <w:rPr>
          <w:sz w:val="20"/>
        </w:rPr>
        <w:t>County,</w:t>
      </w:r>
      <w:r>
        <w:rPr>
          <w:spacing w:val="-9"/>
          <w:sz w:val="20"/>
        </w:rPr>
        <w:t> </w:t>
      </w:r>
      <w:r>
        <w:rPr>
          <w:sz w:val="20"/>
        </w:rPr>
        <w:t>United States</w:t>
      </w:r>
    </w:p>
    <w:p>
      <w:pPr>
        <w:pStyle w:val="ListParagraph"/>
        <w:numPr>
          <w:ilvl w:val="0"/>
          <w:numId w:val="129"/>
        </w:numPr>
        <w:tabs>
          <w:tab w:pos="1761" w:val="left" w:leader="none"/>
          <w:tab w:pos="1762" w:val="left" w:leader="none"/>
        </w:tabs>
        <w:spacing w:line="240" w:lineRule="auto" w:before="27" w:after="0"/>
        <w:ind w:left="1761" w:right="0" w:hanging="794"/>
        <w:jc w:val="left"/>
        <w:rPr>
          <w:sz w:val="20"/>
        </w:rPr>
      </w:pPr>
      <w:r>
        <w:rPr>
          <w:sz w:val="20"/>
        </w:rPr>
        <w:t>Representatives of the High Court and District Courts of New</w:t>
      </w:r>
      <w:r>
        <w:rPr>
          <w:spacing w:val="-24"/>
          <w:sz w:val="20"/>
        </w:rPr>
        <w:t> </w:t>
      </w:r>
      <w:r>
        <w:rPr>
          <w:sz w:val="20"/>
        </w:rPr>
        <w:t>Zealand</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z w:val="20"/>
        </w:rPr>
        <w:t>Office of Public Prosecutions</w:t>
      </w:r>
      <w:r>
        <w:rPr>
          <w:spacing w:val="-10"/>
          <w:sz w:val="20"/>
        </w:rPr>
        <w:t> </w:t>
      </w:r>
      <w:r>
        <w:rPr>
          <w:sz w:val="20"/>
        </w:rPr>
        <w:t>Victoria</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pacing w:val="-4"/>
          <w:sz w:val="20"/>
        </w:rPr>
        <w:t>Youth </w:t>
      </w:r>
      <w:r>
        <w:rPr>
          <w:sz w:val="20"/>
        </w:rPr>
        <w:t>Disability Advocacy</w:t>
      </w:r>
      <w:r>
        <w:rPr>
          <w:spacing w:val="-3"/>
          <w:sz w:val="20"/>
        </w:rPr>
        <w:t> </w:t>
      </w:r>
      <w:r>
        <w:rPr>
          <w:sz w:val="20"/>
        </w:rPr>
        <w:t>Service</w:t>
      </w:r>
    </w:p>
    <w:p>
      <w:pPr>
        <w:pStyle w:val="ListParagraph"/>
        <w:numPr>
          <w:ilvl w:val="0"/>
          <w:numId w:val="129"/>
        </w:numPr>
        <w:tabs>
          <w:tab w:pos="1761" w:val="left" w:leader="none"/>
          <w:tab w:pos="1762" w:val="left" w:leader="none"/>
        </w:tabs>
        <w:spacing w:line="240" w:lineRule="auto" w:before="20" w:after="0"/>
        <w:ind w:left="1761" w:right="0" w:hanging="794"/>
        <w:jc w:val="left"/>
        <w:rPr>
          <w:sz w:val="20"/>
        </w:rPr>
      </w:pPr>
      <w:r>
        <w:rPr>
          <w:sz w:val="20"/>
        </w:rPr>
        <w:t>Australian Sign Language Interpreters’ Association, Victoria and</w:t>
      </w:r>
      <w:r>
        <w:rPr>
          <w:spacing w:val="-20"/>
          <w:sz w:val="20"/>
        </w:rPr>
        <w:t> </w:t>
      </w:r>
      <w:r>
        <w:rPr>
          <w:spacing w:val="-3"/>
          <w:sz w:val="20"/>
        </w:rPr>
        <w:t>Tasmania</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z w:val="20"/>
        </w:rPr>
        <w:t>Australian Institute of Interpreters and</w:t>
      </w:r>
      <w:r>
        <w:rPr>
          <w:spacing w:val="-12"/>
          <w:sz w:val="20"/>
        </w:rPr>
        <w:t> </w:t>
      </w:r>
      <w:r>
        <w:rPr>
          <w:spacing w:val="-3"/>
          <w:sz w:val="20"/>
        </w:rPr>
        <w:t>Translators</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z w:val="20"/>
        </w:rPr>
        <w:t>Victorian Equal Opportunities and Human Rights</w:t>
      </w:r>
      <w:r>
        <w:rPr>
          <w:spacing w:val="-14"/>
          <w:sz w:val="20"/>
        </w:rPr>
        <w:t> </w:t>
      </w:r>
      <w:r>
        <w:rPr>
          <w:sz w:val="20"/>
        </w:rPr>
        <w:t>Commission</w:t>
      </w:r>
    </w:p>
    <w:p>
      <w:pPr>
        <w:pStyle w:val="ListParagraph"/>
        <w:numPr>
          <w:ilvl w:val="0"/>
          <w:numId w:val="129"/>
        </w:numPr>
        <w:tabs>
          <w:tab w:pos="1761" w:val="left" w:leader="none"/>
          <w:tab w:pos="1762" w:val="left" w:leader="none"/>
        </w:tabs>
        <w:spacing w:line="206" w:lineRule="auto" w:before="51" w:after="0"/>
        <w:ind w:left="1761" w:right="1558" w:hanging="794"/>
        <w:jc w:val="left"/>
        <w:rPr>
          <w:sz w:val="20"/>
        </w:rPr>
      </w:pPr>
      <w:r>
        <w:rPr>
          <w:sz w:val="20"/>
        </w:rPr>
        <w:t>Della</w:t>
      </w:r>
      <w:r>
        <w:rPr>
          <w:spacing w:val="-10"/>
          <w:sz w:val="20"/>
        </w:rPr>
        <w:t> </w:t>
      </w:r>
      <w:r>
        <w:rPr>
          <w:sz w:val="20"/>
        </w:rPr>
        <w:t>Goswell,</w:t>
      </w:r>
      <w:r>
        <w:rPr>
          <w:spacing w:val="-10"/>
          <w:sz w:val="20"/>
        </w:rPr>
        <w:t> </w:t>
      </w:r>
      <w:r>
        <w:rPr>
          <w:spacing w:val="-3"/>
          <w:sz w:val="20"/>
        </w:rPr>
        <w:t>Lecturer,</w:t>
      </w:r>
      <w:r>
        <w:rPr>
          <w:spacing w:val="-10"/>
          <w:sz w:val="20"/>
        </w:rPr>
        <w:t> </w:t>
      </w:r>
      <w:r>
        <w:rPr>
          <w:sz w:val="20"/>
        </w:rPr>
        <w:t>Convenor</w:t>
      </w:r>
      <w:r>
        <w:rPr>
          <w:spacing w:val="-10"/>
          <w:sz w:val="20"/>
        </w:rPr>
        <w:t> </w:t>
      </w:r>
      <w:r>
        <w:rPr>
          <w:sz w:val="20"/>
        </w:rPr>
        <w:t>Auslan-English</w:t>
      </w:r>
      <w:r>
        <w:rPr>
          <w:spacing w:val="-10"/>
          <w:sz w:val="20"/>
        </w:rPr>
        <w:t> </w:t>
      </w:r>
      <w:r>
        <w:rPr>
          <w:sz w:val="20"/>
        </w:rPr>
        <w:t>Interpreting</w:t>
      </w:r>
      <w:r>
        <w:rPr>
          <w:spacing w:val="-10"/>
          <w:sz w:val="20"/>
        </w:rPr>
        <w:t> </w:t>
      </w:r>
      <w:r>
        <w:rPr>
          <w:sz w:val="20"/>
        </w:rPr>
        <w:t>Program,</w:t>
      </w:r>
      <w:r>
        <w:rPr>
          <w:spacing w:val="-10"/>
          <w:sz w:val="20"/>
        </w:rPr>
        <w:t> </w:t>
      </w:r>
      <w:r>
        <w:rPr>
          <w:sz w:val="20"/>
        </w:rPr>
        <w:t>Macquarie University, New South</w:t>
      </w:r>
      <w:r>
        <w:rPr>
          <w:spacing w:val="-7"/>
          <w:sz w:val="20"/>
        </w:rPr>
        <w:t> </w:t>
      </w:r>
      <w:r>
        <w:rPr>
          <w:spacing w:val="-3"/>
          <w:sz w:val="20"/>
        </w:rPr>
        <w:t>Wales</w:t>
      </w:r>
    </w:p>
    <w:p>
      <w:pPr>
        <w:pStyle w:val="ListParagraph"/>
        <w:numPr>
          <w:ilvl w:val="0"/>
          <w:numId w:val="129"/>
        </w:numPr>
        <w:tabs>
          <w:tab w:pos="1761" w:val="left" w:leader="none"/>
          <w:tab w:pos="1762" w:val="left" w:leader="none"/>
        </w:tabs>
        <w:spacing w:line="240" w:lineRule="auto" w:before="27" w:after="0"/>
        <w:ind w:left="1761" w:right="0" w:hanging="794"/>
        <w:jc w:val="left"/>
        <w:rPr>
          <w:sz w:val="20"/>
        </w:rPr>
      </w:pPr>
      <w:r>
        <w:rPr>
          <w:sz w:val="20"/>
        </w:rPr>
        <w:t>Daniel Stubbs, Victorian Disability </w:t>
      </w:r>
      <w:r>
        <w:rPr>
          <w:spacing w:val="-3"/>
          <w:sz w:val="20"/>
        </w:rPr>
        <w:t>Worker </w:t>
      </w:r>
      <w:r>
        <w:rPr>
          <w:sz w:val="20"/>
        </w:rPr>
        <w:t>Commissioner, in his personal</w:t>
      </w:r>
      <w:r>
        <w:rPr>
          <w:spacing w:val="-25"/>
          <w:sz w:val="20"/>
        </w:rPr>
        <w:t> </w:t>
      </w:r>
      <w:r>
        <w:rPr>
          <w:sz w:val="20"/>
        </w:rPr>
        <w:t>capacity</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z w:val="20"/>
        </w:rPr>
        <w:t>Victorian Aboriginal Community Controlled Health</w:t>
      </w:r>
      <w:r>
        <w:rPr>
          <w:spacing w:val="-14"/>
          <w:sz w:val="20"/>
        </w:rPr>
        <w:t> </w:t>
      </w:r>
      <w:r>
        <w:rPr>
          <w:sz w:val="20"/>
        </w:rPr>
        <w:t>Organisation</w:t>
      </w:r>
    </w:p>
    <w:p>
      <w:pPr>
        <w:pStyle w:val="ListParagraph"/>
        <w:numPr>
          <w:ilvl w:val="0"/>
          <w:numId w:val="129"/>
        </w:numPr>
        <w:tabs>
          <w:tab w:pos="1761" w:val="left" w:leader="none"/>
          <w:tab w:pos="1762" w:val="left" w:leader="none"/>
        </w:tabs>
        <w:spacing w:line="206" w:lineRule="auto" w:before="52" w:after="0"/>
        <w:ind w:left="1761" w:right="1590" w:hanging="794"/>
        <w:jc w:val="left"/>
        <w:rPr>
          <w:sz w:val="20"/>
        </w:rPr>
      </w:pPr>
      <w:r>
        <w:rPr>
          <w:sz w:val="20"/>
        </w:rPr>
        <w:t>Alastair</w:t>
      </w:r>
      <w:r>
        <w:rPr>
          <w:spacing w:val="-8"/>
          <w:sz w:val="20"/>
        </w:rPr>
        <w:t> </w:t>
      </w:r>
      <w:r>
        <w:rPr>
          <w:sz w:val="20"/>
        </w:rPr>
        <w:t>McEwin</w:t>
      </w:r>
      <w:r>
        <w:rPr>
          <w:spacing w:val="-8"/>
          <w:sz w:val="20"/>
        </w:rPr>
        <w:t> </w:t>
      </w:r>
      <w:r>
        <w:rPr>
          <w:sz w:val="20"/>
        </w:rPr>
        <w:t>AM,</w:t>
      </w:r>
      <w:r>
        <w:rPr>
          <w:spacing w:val="-8"/>
          <w:sz w:val="20"/>
        </w:rPr>
        <w:t> </w:t>
      </w:r>
      <w:r>
        <w:rPr>
          <w:spacing w:val="-3"/>
          <w:sz w:val="20"/>
        </w:rPr>
        <w:t>Royal</w:t>
      </w:r>
      <w:r>
        <w:rPr>
          <w:spacing w:val="-7"/>
          <w:sz w:val="20"/>
        </w:rPr>
        <w:t> </w:t>
      </w:r>
      <w:r>
        <w:rPr>
          <w:sz w:val="20"/>
        </w:rPr>
        <w:t>Commissioner,</w:t>
      </w:r>
      <w:r>
        <w:rPr>
          <w:spacing w:val="-8"/>
          <w:sz w:val="20"/>
        </w:rPr>
        <w:t> </w:t>
      </w:r>
      <w:r>
        <w:rPr>
          <w:spacing w:val="-3"/>
          <w:sz w:val="20"/>
        </w:rPr>
        <w:t>Royal</w:t>
      </w:r>
      <w:r>
        <w:rPr>
          <w:spacing w:val="-8"/>
          <w:sz w:val="20"/>
        </w:rPr>
        <w:t> </w:t>
      </w:r>
      <w:r>
        <w:rPr>
          <w:sz w:val="20"/>
        </w:rPr>
        <w:t>Commission</w:t>
      </w:r>
      <w:r>
        <w:rPr>
          <w:spacing w:val="-8"/>
          <w:sz w:val="20"/>
        </w:rPr>
        <w:t> </w:t>
      </w:r>
      <w:r>
        <w:rPr>
          <w:sz w:val="20"/>
        </w:rPr>
        <w:t>into</w:t>
      </w:r>
      <w:r>
        <w:rPr>
          <w:spacing w:val="-7"/>
          <w:sz w:val="20"/>
        </w:rPr>
        <w:t> </w:t>
      </w:r>
      <w:r>
        <w:rPr>
          <w:sz w:val="20"/>
        </w:rPr>
        <w:t>Violence,</w:t>
      </w:r>
      <w:r>
        <w:rPr>
          <w:spacing w:val="-8"/>
          <w:sz w:val="20"/>
        </w:rPr>
        <w:t> </w:t>
      </w:r>
      <w:r>
        <w:rPr>
          <w:sz w:val="20"/>
        </w:rPr>
        <w:t>Abuse, Neglect</w:t>
      </w:r>
      <w:r>
        <w:rPr>
          <w:spacing w:val="-4"/>
          <w:sz w:val="20"/>
        </w:rPr>
        <w:t> </w:t>
      </w:r>
      <w:r>
        <w:rPr>
          <w:sz w:val="20"/>
        </w:rPr>
        <w:t>and</w:t>
      </w:r>
      <w:r>
        <w:rPr>
          <w:spacing w:val="-4"/>
          <w:sz w:val="20"/>
        </w:rPr>
        <w:t> </w:t>
      </w:r>
      <w:r>
        <w:rPr>
          <w:sz w:val="20"/>
        </w:rPr>
        <w:t>Exploitation</w:t>
      </w:r>
      <w:r>
        <w:rPr>
          <w:spacing w:val="-4"/>
          <w:sz w:val="20"/>
        </w:rPr>
        <w:t> </w:t>
      </w:r>
      <w:r>
        <w:rPr>
          <w:sz w:val="20"/>
        </w:rPr>
        <w:t>of</w:t>
      </w:r>
      <w:r>
        <w:rPr>
          <w:spacing w:val="-4"/>
          <w:sz w:val="20"/>
        </w:rPr>
        <w:t> </w:t>
      </w:r>
      <w:r>
        <w:rPr>
          <w:sz w:val="20"/>
        </w:rPr>
        <w:t>People</w:t>
      </w:r>
      <w:r>
        <w:rPr>
          <w:spacing w:val="-4"/>
          <w:sz w:val="20"/>
        </w:rPr>
        <w:t> </w:t>
      </w:r>
      <w:r>
        <w:rPr>
          <w:sz w:val="20"/>
        </w:rPr>
        <w:t>with</w:t>
      </w:r>
      <w:r>
        <w:rPr>
          <w:spacing w:val="-4"/>
          <w:sz w:val="20"/>
        </w:rPr>
        <w:t> </w:t>
      </w:r>
      <w:r>
        <w:rPr>
          <w:sz w:val="20"/>
        </w:rPr>
        <w:t>Disability,</w:t>
      </w:r>
      <w:r>
        <w:rPr>
          <w:spacing w:val="-4"/>
          <w:sz w:val="20"/>
        </w:rPr>
        <w:t> </w:t>
      </w:r>
      <w:r>
        <w:rPr>
          <w:sz w:val="20"/>
        </w:rPr>
        <w:t>in</w:t>
      </w:r>
      <w:r>
        <w:rPr>
          <w:spacing w:val="-4"/>
          <w:sz w:val="20"/>
        </w:rPr>
        <w:t> </w:t>
      </w:r>
      <w:r>
        <w:rPr>
          <w:sz w:val="20"/>
        </w:rPr>
        <w:t>his</w:t>
      </w:r>
      <w:r>
        <w:rPr>
          <w:spacing w:val="-4"/>
          <w:sz w:val="20"/>
        </w:rPr>
        <w:t> </w:t>
      </w:r>
      <w:r>
        <w:rPr>
          <w:sz w:val="20"/>
        </w:rPr>
        <w:t>personal</w:t>
      </w:r>
      <w:r>
        <w:rPr>
          <w:spacing w:val="-4"/>
          <w:sz w:val="20"/>
        </w:rPr>
        <w:t> </w:t>
      </w:r>
      <w:r>
        <w:rPr>
          <w:sz w:val="20"/>
        </w:rPr>
        <w:t>capacity</w:t>
      </w:r>
    </w:p>
    <w:p>
      <w:pPr>
        <w:pStyle w:val="ListParagraph"/>
        <w:numPr>
          <w:ilvl w:val="0"/>
          <w:numId w:val="129"/>
        </w:numPr>
        <w:tabs>
          <w:tab w:pos="1761" w:val="left" w:leader="none"/>
          <w:tab w:pos="1762" w:val="left" w:leader="none"/>
        </w:tabs>
        <w:spacing w:line="240" w:lineRule="auto" w:before="26" w:after="0"/>
        <w:ind w:left="1761" w:right="0" w:hanging="794"/>
        <w:jc w:val="left"/>
        <w:rPr>
          <w:sz w:val="20"/>
        </w:rPr>
      </w:pPr>
      <w:r>
        <w:rPr>
          <w:sz w:val="20"/>
        </w:rPr>
        <w:t>Peter </w:t>
      </w:r>
      <w:r>
        <w:rPr>
          <w:spacing w:val="-3"/>
          <w:sz w:val="20"/>
        </w:rPr>
        <w:t>Ward, </w:t>
      </w:r>
      <w:r>
        <w:rPr>
          <w:sz w:val="20"/>
        </w:rPr>
        <w:t>Partner, Galbally and O’Bryan</w:t>
      </w:r>
      <w:r>
        <w:rPr>
          <w:spacing w:val="-11"/>
          <w:sz w:val="20"/>
        </w:rPr>
        <w:t> </w:t>
      </w:r>
      <w:r>
        <w:rPr>
          <w:sz w:val="20"/>
        </w:rPr>
        <w:t>Lawyers</w:t>
      </w:r>
    </w:p>
    <w:p>
      <w:pPr>
        <w:pStyle w:val="ListParagraph"/>
        <w:numPr>
          <w:ilvl w:val="0"/>
          <w:numId w:val="129"/>
        </w:numPr>
        <w:tabs>
          <w:tab w:pos="1761" w:val="left" w:leader="none"/>
          <w:tab w:pos="1762" w:val="left" w:leader="none"/>
        </w:tabs>
        <w:spacing w:line="240" w:lineRule="auto" w:before="20" w:after="0"/>
        <w:ind w:left="1761" w:right="0" w:hanging="794"/>
        <w:jc w:val="left"/>
        <w:rPr>
          <w:sz w:val="20"/>
        </w:rPr>
      </w:pPr>
      <w:r>
        <w:rPr>
          <w:sz w:val="20"/>
        </w:rPr>
        <w:t>Consultation with Her Majesty’s Courts and Tribunals Service,</w:t>
      </w:r>
      <w:r>
        <w:rPr>
          <w:spacing w:val="-21"/>
          <w:sz w:val="20"/>
        </w:rPr>
        <w:t> </w:t>
      </w:r>
      <w:r>
        <w:rPr>
          <w:sz w:val="20"/>
        </w:rPr>
        <w:t>London</w:t>
      </w:r>
    </w:p>
    <w:p>
      <w:pPr>
        <w:pStyle w:val="ListParagraph"/>
        <w:numPr>
          <w:ilvl w:val="0"/>
          <w:numId w:val="129"/>
        </w:numPr>
        <w:tabs>
          <w:tab w:pos="1761" w:val="left" w:leader="none"/>
          <w:tab w:pos="1762" w:val="left" w:leader="none"/>
        </w:tabs>
        <w:spacing w:line="259" w:lineRule="exact" w:before="19" w:after="0"/>
        <w:ind w:left="1761" w:right="0" w:hanging="794"/>
        <w:jc w:val="left"/>
        <w:rPr>
          <w:sz w:val="20"/>
        </w:rPr>
      </w:pPr>
      <w:r>
        <w:rPr>
          <w:sz w:val="20"/>
        </w:rPr>
        <w:t>Australian Capital </w:t>
      </w:r>
      <w:r>
        <w:rPr>
          <w:spacing w:val="-3"/>
          <w:sz w:val="20"/>
        </w:rPr>
        <w:t>Territory </w:t>
      </w:r>
      <w:r>
        <w:rPr>
          <w:sz w:val="20"/>
        </w:rPr>
        <w:t>Sheriff and Sheriff’s Office, Supreme Court</w:t>
      </w:r>
      <w:r>
        <w:rPr>
          <w:spacing w:val="-28"/>
          <w:sz w:val="20"/>
        </w:rPr>
        <w:t> </w:t>
      </w:r>
      <w:r>
        <w:rPr>
          <w:sz w:val="20"/>
        </w:rPr>
        <w:t>Australian</w:t>
      </w:r>
    </w:p>
    <w:p>
      <w:pPr>
        <w:pStyle w:val="BodyText"/>
        <w:spacing w:line="259" w:lineRule="exact"/>
        <w:ind w:left="1761"/>
      </w:pPr>
      <w:r>
        <w:rPr/>
        <w:t>Capital Territory</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z w:val="20"/>
        </w:rPr>
        <w:t>Michael </w:t>
      </w:r>
      <w:r>
        <w:rPr>
          <w:spacing w:val="-3"/>
          <w:sz w:val="20"/>
        </w:rPr>
        <w:t>Ward, </w:t>
      </w:r>
      <w:r>
        <w:rPr>
          <w:sz w:val="20"/>
        </w:rPr>
        <w:t>National Coordinator of Audio Description, Vision</w:t>
      </w:r>
      <w:r>
        <w:rPr>
          <w:spacing w:val="-19"/>
          <w:sz w:val="20"/>
        </w:rPr>
        <w:t> </w:t>
      </w:r>
      <w:r>
        <w:rPr>
          <w:sz w:val="20"/>
        </w:rPr>
        <w:t>Australia</w:t>
      </w:r>
    </w:p>
    <w:p>
      <w:pPr>
        <w:pStyle w:val="ListParagraph"/>
        <w:numPr>
          <w:ilvl w:val="0"/>
          <w:numId w:val="129"/>
        </w:numPr>
        <w:tabs>
          <w:tab w:pos="1761" w:val="left" w:leader="none"/>
          <w:tab w:pos="1762" w:val="left" w:leader="none"/>
        </w:tabs>
        <w:spacing w:line="240" w:lineRule="auto" w:before="19" w:after="0"/>
        <w:ind w:left="1761" w:right="0" w:hanging="794"/>
        <w:jc w:val="left"/>
        <w:rPr>
          <w:sz w:val="20"/>
        </w:rPr>
      </w:pPr>
      <w:r>
        <w:rPr>
          <w:sz w:val="20"/>
        </w:rPr>
        <w:t>Will McRostie, Service </w:t>
      </w:r>
      <w:r>
        <w:rPr>
          <w:spacing w:val="-2"/>
          <w:sz w:val="20"/>
        </w:rPr>
        <w:t>Coordinator, </w:t>
      </w:r>
      <w:r>
        <w:rPr>
          <w:sz w:val="20"/>
        </w:rPr>
        <w:t>Description</w:t>
      </w:r>
      <w:r>
        <w:rPr>
          <w:spacing w:val="-10"/>
          <w:sz w:val="20"/>
        </w:rPr>
        <w:t> </w:t>
      </w:r>
      <w:r>
        <w:rPr>
          <w:sz w:val="20"/>
        </w:rPr>
        <w:t>Victoria</w:t>
      </w:r>
    </w:p>
    <w:p>
      <w:pPr>
        <w:spacing w:before="159"/>
        <w:ind w:left="0" w:right="219" w:firstLine="0"/>
        <w:jc w:val="right"/>
        <w:rPr>
          <w:b/>
          <w:sz w:val="24"/>
        </w:rPr>
      </w:pPr>
      <w:r>
        <w:rPr>
          <w:b/>
          <w:color w:val="37617A"/>
          <w:sz w:val="24"/>
        </w:rPr>
        <w:t>231</w:t>
      </w:r>
    </w:p>
    <w:p>
      <w:pPr>
        <w:spacing w:after="0"/>
        <w:jc w:val="right"/>
        <w:rPr>
          <w:sz w:val="24"/>
        </w:rPr>
        <w:sectPr>
          <w:headerReference w:type="default" r:id="rId275"/>
          <w:pgSz w:w="11910" w:h="16840"/>
          <w:pgMar w:header="0" w:footer="0" w:top="0" w:bottom="280" w:left="620" w:right="380"/>
        </w:sectPr>
      </w:pPr>
    </w:p>
    <w:p>
      <w:pPr>
        <w:pStyle w:val="BodyText"/>
        <w:rPr>
          <w:b/>
        </w:rPr>
      </w:pPr>
      <w:r>
        <w:rPr/>
        <w:pict>
          <v:rect style="position:absolute;margin-left:79.370003pt;margin-top:0pt;width:515.906000pt;height:841.890015pt;mso-position-horizontal-relative:page;mso-position-vertical-relative:page;z-index:14152" filled="true" fillcolor="#37617a" stroked="false">
            <v:fill type="solid"/>
            <w10:wrap type="none"/>
          </v:rect>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4"/>
        </w:rPr>
      </w:pPr>
    </w:p>
    <w:p>
      <w:pPr>
        <w:spacing w:before="49"/>
        <w:ind w:left="100" w:right="0" w:firstLine="0"/>
        <w:jc w:val="left"/>
        <w:rPr>
          <w:b/>
          <w:sz w:val="24"/>
        </w:rPr>
      </w:pPr>
      <w:r>
        <w:rPr>
          <w:b/>
          <w:color w:val="37617A"/>
          <w:sz w:val="24"/>
        </w:rPr>
        <w:t>232</w:t>
      </w:r>
    </w:p>
    <w:p>
      <w:pPr>
        <w:spacing w:after="0"/>
        <w:jc w:val="left"/>
        <w:rPr>
          <w:sz w:val="24"/>
        </w:rPr>
        <w:sectPr>
          <w:headerReference w:type="even" r:id="rId276"/>
          <w:pgSz w:w="11910" w:h="16840"/>
          <w:pgMar w:header="0" w:footer="0" w:top="1580" w:bottom="280" w:left="620" w:right="380"/>
        </w:sectPr>
      </w:pPr>
    </w:p>
    <w:p>
      <w:pPr>
        <w:pStyle w:val="BodyText"/>
        <w:rPr>
          <w:b/>
        </w:rPr>
      </w:pPr>
      <w:r>
        <w:rPr/>
        <w:pict>
          <v:rect style="position:absolute;margin-left:0pt;margin-top:0pt;width:595.276001pt;height:841.890015pt;mso-position-horizontal-relative:page;mso-position-vertical-relative:page;z-index:-346120" filled="true" fillcolor="#37617a" stroked="false">
            <v:fill type="solid"/>
            <w10:wrap type="none"/>
          </v:rect>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
        <w:rPr>
          <w:b/>
          <w:sz w:val="24"/>
        </w:rPr>
      </w:pPr>
    </w:p>
    <w:p>
      <w:pPr>
        <w:spacing w:line="1134" w:lineRule="exact" w:before="0"/>
        <w:ind w:left="967" w:right="0" w:firstLine="0"/>
        <w:jc w:val="left"/>
        <w:rPr>
          <w:rFonts w:ascii="Raleway ExtraBold"/>
          <w:b/>
          <w:sz w:val="88"/>
        </w:rPr>
      </w:pPr>
      <w:r>
        <w:rPr>
          <w:rFonts w:ascii="Raleway ExtraBold"/>
          <w:b/>
          <w:color w:val="FFFFFF"/>
          <w:sz w:val="88"/>
        </w:rPr>
        <w:t>Bibliography</w:t>
      </w:r>
    </w:p>
    <w:p>
      <w:pPr>
        <w:spacing w:after="0" w:line="1134" w:lineRule="exact"/>
        <w:jc w:val="left"/>
        <w:rPr>
          <w:rFonts w:ascii="Raleway ExtraBold"/>
          <w:sz w:val="88"/>
        </w:rPr>
        <w:sectPr>
          <w:headerReference w:type="default" r:id="rId277"/>
          <w:headerReference w:type="even" r:id="rId278"/>
          <w:pgSz w:w="11910" w:h="16840"/>
          <w:pgMar w:header="0" w:footer="0" w:top="1580" w:bottom="280" w:left="620" w:right="380"/>
        </w:sectPr>
      </w:pPr>
    </w:p>
    <w:p>
      <w:pPr>
        <w:pStyle w:val="BodyText"/>
        <w:rPr>
          <w:rFonts w:ascii="Raleway ExtraBold"/>
          <w:b/>
        </w:rPr>
      </w:pPr>
      <w:r>
        <w:rPr/>
        <w:pict>
          <v:rect style="position:absolute;margin-left:0pt;margin-top:99.213013pt;width:14.173pt;height:85.748pt;mso-position-horizontal-relative:page;mso-position-vertical-relative:page;z-index:14200" filled="true" fillcolor="#37617a" stroked="false">
            <v:fill type="solid"/>
            <w10:wrap type="none"/>
          </v:rect>
        </w:pict>
      </w:r>
    </w:p>
    <w:p>
      <w:pPr>
        <w:pStyle w:val="BodyText"/>
        <w:rPr>
          <w:rFonts w:ascii="Raleway ExtraBold"/>
          <w:b/>
        </w:rPr>
      </w:pPr>
    </w:p>
    <w:p>
      <w:pPr>
        <w:pStyle w:val="BodyText"/>
        <w:spacing w:before="2"/>
        <w:rPr>
          <w:rFonts w:ascii="Raleway ExtraBold"/>
          <w:b/>
          <w:sz w:val="25"/>
        </w:rPr>
      </w:pPr>
    </w:p>
    <w:p>
      <w:pPr>
        <w:spacing w:line="758" w:lineRule="exact" w:before="0"/>
        <w:ind w:left="230" w:right="0" w:firstLine="0"/>
        <w:jc w:val="left"/>
        <w:rPr>
          <w:rFonts w:ascii="Raleway ExtraBold"/>
          <w:b/>
          <w:sz w:val="56"/>
        </w:rPr>
      </w:pPr>
      <w:bookmarkStart w:name="Bibliography" w:id="401"/>
      <w:bookmarkEnd w:id="401"/>
      <w:r>
        <w:rPr/>
      </w:r>
      <w:bookmarkStart w:name="_bookmark168" w:id="402"/>
      <w:bookmarkEnd w:id="402"/>
      <w:r>
        <w:rPr/>
      </w:r>
      <w:r>
        <w:rPr>
          <w:rFonts w:ascii="Raleway ExtraBold"/>
          <w:b/>
          <w:color w:val="37617A"/>
          <w:sz w:val="56"/>
        </w:rPr>
        <w:t>Bibliography</w:t>
      </w:r>
    </w:p>
    <w:p>
      <w:pPr>
        <w:pStyle w:val="BodyText"/>
        <w:rPr>
          <w:rFonts w:ascii="Raleway ExtraBold"/>
          <w:b/>
          <w:sz w:val="66"/>
        </w:rPr>
      </w:pPr>
    </w:p>
    <w:p>
      <w:pPr>
        <w:pStyle w:val="BodyText"/>
        <w:rPr>
          <w:rFonts w:ascii="Raleway ExtraBold"/>
          <w:b/>
          <w:sz w:val="66"/>
        </w:rPr>
      </w:pPr>
    </w:p>
    <w:p>
      <w:pPr>
        <w:pStyle w:val="BodyText"/>
        <w:spacing w:before="2"/>
        <w:rPr>
          <w:rFonts w:ascii="Raleway ExtraBold"/>
          <w:b/>
          <w:sz w:val="88"/>
        </w:rPr>
      </w:pPr>
    </w:p>
    <w:p>
      <w:pPr>
        <w:spacing w:line="259" w:lineRule="exact" w:before="1"/>
        <w:ind w:left="967" w:right="0" w:firstLine="0"/>
        <w:jc w:val="left"/>
        <w:rPr>
          <w:sz w:val="20"/>
        </w:rPr>
      </w:pPr>
      <w:r>
        <w:rPr>
          <w:i/>
          <w:sz w:val="20"/>
        </w:rPr>
        <w:t>All About Vision, </w:t>
      </w:r>
      <w:r>
        <w:rPr>
          <w:sz w:val="20"/>
        </w:rPr>
        <w:t>‘Guide to Buying Low Vision Magnifiers’, </w:t>
      </w:r>
      <w:r>
        <w:rPr>
          <w:i/>
          <w:sz w:val="20"/>
        </w:rPr>
        <w:t>All About Vision </w:t>
      </w:r>
      <w:r>
        <w:rPr>
          <w:sz w:val="20"/>
        </w:rPr>
        <w:t>(Web Page)</w:t>
      </w:r>
    </w:p>
    <w:p>
      <w:pPr>
        <w:pStyle w:val="BodyText"/>
        <w:spacing w:line="259" w:lineRule="exact"/>
        <w:ind w:left="967"/>
      </w:pPr>
      <w:r>
        <w:rPr/>
        <w:t>&lt;</w:t>
      </w:r>
      <w:hyperlink r:id="rId205">
        <w:r>
          <w:rPr/>
          <w:t>https://www.allaboutvision.com/buysmart/magnifiers.htm</w:t>
        </w:r>
      </w:hyperlink>
      <w:r>
        <w:rPr/>
        <w:t>&gt;</w:t>
      </w:r>
    </w:p>
    <w:p>
      <w:pPr>
        <w:pStyle w:val="BodyText"/>
        <w:spacing w:line="259" w:lineRule="exact" w:before="75"/>
        <w:ind w:left="967"/>
      </w:pPr>
      <w:r>
        <w:rPr/>
        <w:t>All Deaf</w:t>
      </w:r>
      <w:r>
        <w:rPr>
          <w:i/>
        </w:rPr>
        <w:t>, </w:t>
      </w:r>
      <w:r>
        <w:rPr/>
        <w:t>‘First Deaf Person to Serve on Jury’, </w:t>
      </w:r>
      <w:r>
        <w:rPr>
          <w:i/>
        </w:rPr>
        <w:t>All Deaf </w:t>
      </w:r>
      <w:r>
        <w:rPr/>
        <w:t>(Web Page, 11 March 2005)</w:t>
      </w:r>
    </w:p>
    <w:p>
      <w:pPr>
        <w:pStyle w:val="BodyText"/>
        <w:spacing w:line="259" w:lineRule="exact"/>
        <w:ind w:left="967"/>
      </w:pPr>
      <w:r>
        <w:rPr/>
        <w:t>&lt;</w:t>
      </w:r>
      <w:hyperlink r:id="rId171">
        <w:r>
          <w:rPr/>
          <w:t>https://www.alldeaf.com/threads/first-deaf-person-to-serve-on-jury.21651/</w:t>
        </w:r>
      </w:hyperlink>
      <w:r>
        <w:rPr/>
        <w:t>&gt;</w:t>
      </w:r>
    </w:p>
    <w:p>
      <w:pPr>
        <w:pStyle w:val="BodyText"/>
        <w:spacing w:line="206" w:lineRule="auto" w:before="108"/>
        <w:ind w:left="967" w:right="1590"/>
      </w:pPr>
      <w:r>
        <w:rPr/>
        <w:t>American Council for the Blind, ‘The Audio Description Project: Audio Description </w:t>
      </w:r>
      <w:r>
        <w:rPr>
          <w:spacing w:val="-3"/>
        </w:rPr>
        <w:t>Training </w:t>
      </w:r>
      <w:r>
        <w:rPr/>
        <w:t>and Education </w:t>
      </w:r>
      <w:r>
        <w:rPr>
          <w:spacing w:val="-3"/>
        </w:rPr>
        <w:t>Resources’, </w:t>
      </w:r>
      <w:r>
        <w:rPr>
          <w:i/>
        </w:rPr>
        <w:t>American Council for the Blind </w:t>
      </w:r>
      <w:r>
        <w:rPr/>
        <w:t>(Web Page) </w:t>
      </w:r>
      <w:r>
        <w:rPr>
          <w:spacing w:val="-4"/>
        </w:rPr>
        <w:t>&lt;</w:t>
      </w:r>
      <w:hyperlink r:id="rId235">
        <w:r>
          <w:rPr>
            <w:spacing w:val="-4"/>
          </w:rPr>
          <w:t>https://adp.acb.org/</w:t>
        </w:r>
      </w:hyperlink>
      <w:r>
        <w:rPr>
          <w:spacing w:val="-4"/>
        </w:rPr>
        <w:t> </w:t>
      </w:r>
      <w:hyperlink r:id="rId235">
        <w:r>
          <w:rPr/>
          <w:t>education.html</w:t>
        </w:r>
      </w:hyperlink>
      <w:r>
        <w:rPr/>
        <w:t>&gt;</w:t>
      </w:r>
    </w:p>
    <w:p>
      <w:pPr>
        <w:spacing w:line="206" w:lineRule="auto" w:before="118"/>
        <w:ind w:left="967" w:right="1417" w:firstLine="0"/>
        <w:jc w:val="left"/>
        <w:rPr>
          <w:sz w:val="20"/>
        </w:rPr>
      </w:pPr>
      <w:r>
        <w:rPr>
          <w:sz w:val="20"/>
        </w:rPr>
        <w:t>American Judges Foundation and National Court Reporters Foundation, </w:t>
      </w:r>
      <w:r>
        <w:rPr>
          <w:i/>
          <w:sz w:val="20"/>
        </w:rPr>
        <w:t>Communication </w:t>
      </w:r>
      <w:r>
        <w:rPr>
          <w:i/>
          <w:sz w:val="20"/>
        </w:rPr>
        <w:t>Access Realtime Translation (CART) in the Courtroom: Model Guidelines </w:t>
      </w:r>
      <w:r>
        <w:rPr>
          <w:sz w:val="20"/>
        </w:rPr>
        <w:t>(Report, 18 September 2002)</w:t>
      </w:r>
    </w:p>
    <w:p>
      <w:pPr>
        <w:spacing w:before="85"/>
        <w:ind w:left="967" w:right="0" w:firstLine="0"/>
        <w:jc w:val="left"/>
        <w:rPr>
          <w:sz w:val="20"/>
        </w:rPr>
      </w:pPr>
      <w:r>
        <w:rPr>
          <w:sz w:val="20"/>
        </w:rPr>
        <w:t>AMPETRONIC, </w:t>
      </w:r>
      <w:r>
        <w:rPr>
          <w:i/>
          <w:sz w:val="20"/>
        </w:rPr>
        <w:t>All About Induction Loops </w:t>
      </w:r>
      <w:r>
        <w:rPr>
          <w:sz w:val="20"/>
        </w:rPr>
        <w:t>(Factsheet, 2019)</w:t>
      </w:r>
    </w:p>
    <w:p>
      <w:pPr>
        <w:pStyle w:val="BodyText"/>
        <w:spacing w:line="206" w:lineRule="auto" w:before="108"/>
        <w:ind w:left="967" w:right="1523"/>
      </w:pPr>
      <w:r>
        <w:rPr/>
        <w:t>Anderson, Elisha, ‘Deaf Juror Glad to Do Her Duty for Justice’s </w:t>
      </w:r>
      <w:r>
        <w:rPr>
          <w:spacing w:val="-3"/>
        </w:rPr>
        <w:t>Sake’, </w:t>
      </w:r>
      <w:r>
        <w:rPr>
          <w:i/>
        </w:rPr>
        <w:t>USA </w:t>
      </w:r>
      <w:r>
        <w:rPr>
          <w:i/>
          <w:spacing w:val="-4"/>
        </w:rPr>
        <w:t>Today </w:t>
      </w:r>
      <w:r>
        <w:rPr/>
        <w:t>(online, 10 May 2015) </w:t>
      </w:r>
      <w:r>
        <w:rPr>
          <w:spacing w:val="-4"/>
        </w:rPr>
        <w:t>&lt;</w:t>
      </w:r>
      <w:hyperlink r:id="rId151">
        <w:r>
          <w:rPr>
            <w:spacing w:val="-4"/>
          </w:rPr>
          <w:t>https://eu.usatoday.com/story/news/nation/2015/05/10/deaf-juror-glad-duty-</w:t>
        </w:r>
      </w:hyperlink>
      <w:r>
        <w:rPr>
          <w:spacing w:val="-4"/>
        </w:rPr>
        <w:t> </w:t>
      </w:r>
      <w:hyperlink r:id="rId151">
        <w:r>
          <w:rPr>
            <w:spacing w:val="-3"/>
          </w:rPr>
          <w:t>justices-sake/27068733/</w:t>
        </w:r>
      </w:hyperlink>
      <w:r>
        <w:rPr>
          <w:spacing w:val="-3"/>
        </w:rPr>
        <w:t>&gt;</w:t>
      </w:r>
    </w:p>
    <w:p>
      <w:pPr>
        <w:spacing w:line="206" w:lineRule="auto" w:before="117"/>
        <w:ind w:left="967" w:right="1657" w:firstLine="0"/>
        <w:jc w:val="both"/>
        <w:rPr>
          <w:sz w:val="20"/>
        </w:rPr>
      </w:pPr>
      <w:r>
        <w:rPr>
          <w:spacing w:val="-3"/>
          <w:sz w:val="20"/>
        </w:rPr>
        <w:t>Anthony,</w:t>
      </w:r>
      <w:r>
        <w:rPr>
          <w:spacing w:val="-5"/>
          <w:sz w:val="20"/>
        </w:rPr>
        <w:t> </w:t>
      </w:r>
      <w:r>
        <w:rPr>
          <w:sz w:val="20"/>
        </w:rPr>
        <w:t>Thalia</w:t>
      </w:r>
      <w:r>
        <w:rPr>
          <w:spacing w:val="-5"/>
          <w:sz w:val="20"/>
        </w:rPr>
        <w:t> </w:t>
      </w:r>
      <w:r>
        <w:rPr>
          <w:sz w:val="20"/>
        </w:rPr>
        <w:t>and</w:t>
      </w:r>
      <w:r>
        <w:rPr>
          <w:spacing w:val="-5"/>
          <w:sz w:val="20"/>
        </w:rPr>
        <w:t> </w:t>
      </w:r>
      <w:r>
        <w:rPr>
          <w:sz w:val="20"/>
        </w:rPr>
        <w:t>Craig</w:t>
      </w:r>
      <w:r>
        <w:rPr>
          <w:spacing w:val="-5"/>
          <w:sz w:val="20"/>
        </w:rPr>
        <w:t> </w:t>
      </w:r>
      <w:r>
        <w:rPr>
          <w:sz w:val="20"/>
        </w:rPr>
        <w:t>Longman,</w:t>
      </w:r>
      <w:r>
        <w:rPr>
          <w:spacing w:val="-4"/>
          <w:sz w:val="20"/>
        </w:rPr>
        <w:t> </w:t>
      </w:r>
      <w:r>
        <w:rPr>
          <w:sz w:val="20"/>
        </w:rPr>
        <w:t>‘Blinded</w:t>
      </w:r>
      <w:r>
        <w:rPr>
          <w:spacing w:val="-5"/>
          <w:sz w:val="20"/>
        </w:rPr>
        <w:t> </w:t>
      </w:r>
      <w:r>
        <w:rPr>
          <w:spacing w:val="-3"/>
          <w:sz w:val="20"/>
        </w:rPr>
        <w:t>by</w:t>
      </w:r>
      <w:r>
        <w:rPr>
          <w:spacing w:val="-5"/>
          <w:sz w:val="20"/>
        </w:rPr>
        <w:t> </w:t>
      </w:r>
      <w:r>
        <w:rPr>
          <w:sz w:val="20"/>
        </w:rPr>
        <w:t>the</w:t>
      </w:r>
      <w:r>
        <w:rPr>
          <w:spacing w:val="-5"/>
          <w:sz w:val="20"/>
        </w:rPr>
        <w:t> </w:t>
      </w:r>
      <w:r>
        <w:rPr>
          <w:sz w:val="20"/>
        </w:rPr>
        <w:t>White:</w:t>
      </w:r>
      <w:r>
        <w:rPr>
          <w:spacing w:val="-4"/>
          <w:sz w:val="20"/>
        </w:rPr>
        <w:t> </w:t>
      </w:r>
      <w:r>
        <w:rPr>
          <w:sz w:val="20"/>
        </w:rPr>
        <w:t>A</w:t>
      </w:r>
      <w:r>
        <w:rPr>
          <w:spacing w:val="-5"/>
          <w:sz w:val="20"/>
        </w:rPr>
        <w:t> </w:t>
      </w:r>
      <w:r>
        <w:rPr>
          <w:sz w:val="20"/>
        </w:rPr>
        <w:t>Comparative</w:t>
      </w:r>
      <w:r>
        <w:rPr>
          <w:spacing w:val="-5"/>
          <w:sz w:val="20"/>
        </w:rPr>
        <w:t> </w:t>
      </w:r>
      <w:r>
        <w:rPr>
          <w:sz w:val="20"/>
        </w:rPr>
        <w:t>Analysis</w:t>
      </w:r>
      <w:r>
        <w:rPr>
          <w:spacing w:val="-5"/>
          <w:sz w:val="20"/>
        </w:rPr>
        <w:t> </w:t>
      </w:r>
      <w:r>
        <w:rPr>
          <w:sz w:val="20"/>
        </w:rPr>
        <w:t>of</w:t>
      </w:r>
      <w:r>
        <w:rPr>
          <w:spacing w:val="-5"/>
          <w:sz w:val="20"/>
        </w:rPr>
        <w:t> </w:t>
      </w:r>
      <w:r>
        <w:rPr>
          <w:sz w:val="20"/>
        </w:rPr>
        <w:t>Jury Challenges</w:t>
      </w:r>
      <w:r>
        <w:rPr>
          <w:spacing w:val="-6"/>
          <w:sz w:val="20"/>
        </w:rPr>
        <w:t> </w:t>
      </w:r>
      <w:r>
        <w:rPr>
          <w:sz w:val="20"/>
        </w:rPr>
        <w:t>on</w:t>
      </w:r>
      <w:r>
        <w:rPr>
          <w:spacing w:val="-6"/>
          <w:sz w:val="20"/>
        </w:rPr>
        <w:t> </w:t>
      </w:r>
      <w:r>
        <w:rPr>
          <w:sz w:val="20"/>
        </w:rPr>
        <w:t>Racial</w:t>
      </w:r>
      <w:r>
        <w:rPr>
          <w:spacing w:val="-6"/>
          <w:sz w:val="20"/>
        </w:rPr>
        <w:t> </w:t>
      </w:r>
      <w:r>
        <w:rPr>
          <w:sz w:val="20"/>
        </w:rPr>
        <w:t>Grounds’</w:t>
      </w:r>
      <w:r>
        <w:rPr>
          <w:spacing w:val="-6"/>
          <w:sz w:val="20"/>
        </w:rPr>
        <w:t> </w:t>
      </w:r>
      <w:r>
        <w:rPr>
          <w:sz w:val="20"/>
        </w:rPr>
        <w:t>[2016]</w:t>
      </w:r>
      <w:r>
        <w:rPr>
          <w:spacing w:val="-6"/>
          <w:sz w:val="20"/>
        </w:rPr>
        <w:t> </w:t>
      </w:r>
      <w:r>
        <w:rPr>
          <w:sz w:val="20"/>
        </w:rPr>
        <w:t>6(3)</w:t>
      </w:r>
      <w:r>
        <w:rPr>
          <w:spacing w:val="-6"/>
          <w:sz w:val="20"/>
        </w:rPr>
        <w:t> </w:t>
      </w:r>
      <w:r>
        <w:rPr>
          <w:i/>
          <w:sz w:val="20"/>
        </w:rPr>
        <w:t>International</w:t>
      </w:r>
      <w:r>
        <w:rPr>
          <w:i/>
          <w:spacing w:val="-6"/>
          <w:sz w:val="20"/>
        </w:rPr>
        <w:t> </w:t>
      </w:r>
      <w:r>
        <w:rPr>
          <w:i/>
          <w:sz w:val="20"/>
        </w:rPr>
        <w:t>Journal</w:t>
      </w:r>
      <w:r>
        <w:rPr>
          <w:i/>
          <w:spacing w:val="-5"/>
          <w:sz w:val="20"/>
        </w:rPr>
        <w:t> </w:t>
      </w:r>
      <w:r>
        <w:rPr>
          <w:i/>
          <w:sz w:val="20"/>
        </w:rPr>
        <w:t>for</w:t>
      </w:r>
      <w:r>
        <w:rPr>
          <w:i/>
          <w:spacing w:val="-6"/>
          <w:sz w:val="20"/>
        </w:rPr>
        <w:t> </w:t>
      </w:r>
      <w:r>
        <w:rPr>
          <w:i/>
          <w:sz w:val="20"/>
        </w:rPr>
        <w:t>Crime,</w:t>
      </w:r>
      <w:r>
        <w:rPr>
          <w:i/>
          <w:spacing w:val="-6"/>
          <w:sz w:val="20"/>
        </w:rPr>
        <w:t> </w:t>
      </w:r>
      <w:r>
        <w:rPr>
          <w:i/>
          <w:sz w:val="20"/>
        </w:rPr>
        <w:t>Justice</w:t>
      </w:r>
      <w:r>
        <w:rPr>
          <w:i/>
          <w:spacing w:val="-6"/>
          <w:sz w:val="20"/>
        </w:rPr>
        <w:t> </w:t>
      </w:r>
      <w:r>
        <w:rPr>
          <w:i/>
          <w:sz w:val="20"/>
        </w:rPr>
        <w:t>and</w:t>
      </w:r>
      <w:r>
        <w:rPr>
          <w:i/>
          <w:spacing w:val="-6"/>
          <w:sz w:val="20"/>
        </w:rPr>
        <w:t> </w:t>
      </w:r>
      <w:r>
        <w:rPr>
          <w:i/>
          <w:sz w:val="20"/>
        </w:rPr>
        <w:t>Social </w:t>
      </w:r>
      <w:r>
        <w:rPr>
          <w:i/>
          <w:sz w:val="20"/>
        </w:rPr>
        <w:t>Democracy</w:t>
      </w:r>
      <w:r>
        <w:rPr>
          <w:i/>
          <w:spacing w:val="-1"/>
          <w:sz w:val="20"/>
        </w:rPr>
        <w:t> </w:t>
      </w:r>
      <w:r>
        <w:rPr>
          <w:sz w:val="20"/>
        </w:rPr>
        <w:t>25</w:t>
      </w:r>
    </w:p>
    <w:p>
      <w:pPr>
        <w:pStyle w:val="BodyText"/>
        <w:spacing w:line="206" w:lineRule="auto" w:before="117"/>
        <w:ind w:left="967"/>
      </w:pPr>
      <w:r>
        <w:rPr/>
        <w:t>Ard, Dana, ‘My Jury Experience’ (2021) 64(7) </w:t>
      </w:r>
      <w:r>
        <w:rPr>
          <w:i/>
        </w:rPr>
        <w:t>Braille Monitor </w:t>
      </w:r>
      <w:r>
        <w:rPr>
          <w:spacing w:val="-4"/>
        </w:rPr>
        <w:t>&lt;</w:t>
      </w:r>
      <w:hyperlink r:id="rId161">
        <w:r>
          <w:rPr>
            <w:spacing w:val="-4"/>
          </w:rPr>
          <w:t>https://nfb.org/images/nfb/</w:t>
        </w:r>
      </w:hyperlink>
      <w:r>
        <w:rPr>
          <w:spacing w:val="-4"/>
        </w:rPr>
        <w:t> </w:t>
      </w:r>
      <w:hyperlink r:id="rId161">
        <w:r>
          <w:rPr/>
          <w:t>publications/bm/bm21/bm2107/bm210713.htm</w:t>
        </w:r>
      </w:hyperlink>
      <w:r>
        <w:rPr/>
        <w:t>&gt;</w:t>
      </w:r>
    </w:p>
    <w:p>
      <w:pPr>
        <w:spacing w:line="206" w:lineRule="auto" w:before="116"/>
        <w:ind w:left="967" w:right="1212" w:firstLine="0"/>
        <w:jc w:val="left"/>
        <w:rPr>
          <w:i/>
          <w:sz w:val="20"/>
        </w:rPr>
      </w:pPr>
      <w:r>
        <w:rPr>
          <w:sz w:val="20"/>
        </w:rPr>
        <w:t>Ash, David, ‘The Vogue Word “Plurality”’ [2018] (Summer) </w:t>
      </w:r>
      <w:r>
        <w:rPr>
          <w:i/>
          <w:sz w:val="20"/>
        </w:rPr>
        <w:t>Bar News: The Journal of the NSW Bar </w:t>
      </w:r>
      <w:r>
        <w:rPr>
          <w:i/>
          <w:sz w:val="20"/>
        </w:rPr>
        <w:t>Association</w:t>
      </w:r>
    </w:p>
    <w:p>
      <w:pPr>
        <w:pStyle w:val="BodyText"/>
        <w:spacing w:before="84"/>
        <w:ind w:left="967"/>
      </w:pPr>
      <w:r>
        <w:rPr/>
        <w:t>Audio Description Training Retreats,</w:t>
      </w:r>
    </w:p>
    <w:p>
      <w:pPr>
        <w:pStyle w:val="ListParagraph"/>
        <w:numPr>
          <w:ilvl w:val="0"/>
          <w:numId w:val="130"/>
        </w:numPr>
        <w:tabs>
          <w:tab w:pos="1307" w:val="left" w:leader="none"/>
          <w:tab w:pos="1308" w:val="left" w:leader="none"/>
        </w:tabs>
        <w:spacing w:line="259" w:lineRule="exact" w:before="75" w:after="0"/>
        <w:ind w:left="1307" w:right="0" w:hanging="340"/>
        <w:jc w:val="left"/>
        <w:rPr>
          <w:sz w:val="20"/>
        </w:rPr>
      </w:pPr>
      <w:r>
        <w:rPr>
          <w:sz w:val="20"/>
        </w:rPr>
        <w:t>‘Upcoming </w:t>
      </w:r>
      <w:r>
        <w:rPr>
          <w:spacing w:val="-3"/>
          <w:sz w:val="20"/>
        </w:rPr>
        <w:t>Retreats’, </w:t>
      </w:r>
      <w:r>
        <w:rPr>
          <w:i/>
          <w:sz w:val="20"/>
        </w:rPr>
        <w:t>Audio Description </w:t>
      </w:r>
      <w:r>
        <w:rPr>
          <w:i/>
          <w:spacing w:val="-3"/>
          <w:sz w:val="20"/>
        </w:rPr>
        <w:t>Training </w:t>
      </w:r>
      <w:r>
        <w:rPr>
          <w:i/>
          <w:sz w:val="20"/>
        </w:rPr>
        <w:t>Retreats </w:t>
      </w:r>
      <w:r>
        <w:rPr>
          <w:sz w:val="20"/>
        </w:rPr>
        <w:t>(Web</w:t>
      </w:r>
      <w:r>
        <w:rPr>
          <w:spacing w:val="-10"/>
          <w:sz w:val="20"/>
        </w:rPr>
        <w:t> </w:t>
      </w:r>
      <w:r>
        <w:rPr>
          <w:sz w:val="20"/>
        </w:rPr>
        <w:t>Page)</w:t>
      </w:r>
    </w:p>
    <w:p>
      <w:pPr>
        <w:pStyle w:val="BodyText"/>
        <w:spacing w:line="259" w:lineRule="exact"/>
        <w:ind w:left="206" w:right="3638"/>
        <w:jc w:val="center"/>
      </w:pPr>
      <w:r>
        <w:rPr/>
        <w:t>&lt;</w:t>
      </w:r>
      <w:hyperlink r:id="rId236">
        <w:r>
          <w:rPr/>
          <w:t>http://www.adtrainingretreats.com/upcoming.php</w:t>
        </w:r>
      </w:hyperlink>
      <w:r>
        <w:rPr/>
        <w:t>&gt;</w:t>
      </w:r>
    </w:p>
    <w:p>
      <w:pPr>
        <w:pStyle w:val="ListParagraph"/>
        <w:numPr>
          <w:ilvl w:val="0"/>
          <w:numId w:val="130"/>
        </w:numPr>
        <w:tabs>
          <w:tab w:pos="1307" w:val="left" w:leader="none"/>
          <w:tab w:pos="1308" w:val="left" w:leader="none"/>
        </w:tabs>
        <w:spacing w:line="259" w:lineRule="exact" w:before="48" w:after="0"/>
        <w:ind w:left="1307" w:right="0" w:hanging="340"/>
        <w:jc w:val="left"/>
        <w:rPr>
          <w:sz w:val="20"/>
        </w:rPr>
      </w:pPr>
      <w:r>
        <w:rPr>
          <w:sz w:val="20"/>
        </w:rPr>
        <w:t>‘What Is Audio Description?’, </w:t>
      </w:r>
      <w:r>
        <w:rPr>
          <w:i/>
          <w:sz w:val="20"/>
        </w:rPr>
        <w:t>Audio Description </w:t>
      </w:r>
      <w:r>
        <w:rPr>
          <w:i/>
          <w:spacing w:val="-3"/>
          <w:sz w:val="20"/>
        </w:rPr>
        <w:t>Training </w:t>
      </w:r>
      <w:r>
        <w:rPr>
          <w:i/>
          <w:sz w:val="20"/>
        </w:rPr>
        <w:t>Retreats </w:t>
      </w:r>
      <w:r>
        <w:rPr>
          <w:sz w:val="20"/>
        </w:rPr>
        <w:t>(Web</w:t>
      </w:r>
      <w:r>
        <w:rPr>
          <w:spacing w:val="-21"/>
          <w:sz w:val="20"/>
        </w:rPr>
        <w:t> </w:t>
      </w:r>
      <w:r>
        <w:rPr>
          <w:sz w:val="20"/>
        </w:rPr>
        <w:t>Page)</w:t>
      </w:r>
    </w:p>
    <w:p>
      <w:pPr>
        <w:pStyle w:val="BodyText"/>
        <w:spacing w:line="259" w:lineRule="exact"/>
        <w:ind w:left="206" w:right="3805"/>
        <w:jc w:val="center"/>
      </w:pPr>
      <w:r>
        <w:rPr/>
        <w:t>&lt;</w:t>
      </w:r>
      <w:hyperlink r:id="rId233">
        <w:r>
          <w:rPr/>
          <w:t>http://www.adtrainingretreats.com/aboutad.php</w:t>
        </w:r>
      </w:hyperlink>
      <w:r>
        <w:rPr/>
        <w:t>&gt;</w:t>
      </w:r>
    </w:p>
    <w:p>
      <w:pPr>
        <w:spacing w:line="206" w:lineRule="auto" w:before="79"/>
        <w:ind w:left="967" w:right="1419" w:firstLine="0"/>
        <w:jc w:val="left"/>
        <w:rPr>
          <w:sz w:val="20"/>
        </w:rPr>
      </w:pPr>
      <w:r>
        <w:rPr>
          <w:sz w:val="20"/>
        </w:rPr>
        <w:t>Auld, Lord Justice Robin, Ministry of Justice (UK), </w:t>
      </w:r>
      <w:r>
        <w:rPr>
          <w:i/>
          <w:sz w:val="20"/>
        </w:rPr>
        <w:t>Review of the Criminal Courts of England </w:t>
      </w:r>
      <w:r>
        <w:rPr>
          <w:i/>
          <w:sz w:val="20"/>
        </w:rPr>
        <w:t>and Wales </w:t>
      </w:r>
      <w:r>
        <w:rPr>
          <w:sz w:val="20"/>
        </w:rPr>
        <w:t>(Report, September 2001) &lt;</w:t>
      </w:r>
      <w:hyperlink r:id="rId136">
        <w:r>
          <w:rPr>
            <w:sz w:val="20"/>
          </w:rPr>
          <w:t>https://ials.sas.ac.uk/eagle-i/review-criminal-courts-</w:t>
        </w:r>
      </w:hyperlink>
      <w:r>
        <w:rPr>
          <w:sz w:val="20"/>
        </w:rPr>
        <w:t> </w:t>
      </w:r>
      <w:hyperlink r:id="rId136">
        <w:r>
          <w:rPr>
            <w:sz w:val="20"/>
          </w:rPr>
          <w:t>england-and-wales-right-honourable-lord-justice-auld-september-2001</w:t>
        </w:r>
      </w:hyperlink>
      <w:r>
        <w:rPr>
          <w:sz w:val="20"/>
        </w:rPr>
        <w:t>&gt;</w:t>
      </w:r>
    </w:p>
    <w:p>
      <w:pPr>
        <w:pStyle w:val="BodyText"/>
        <w:spacing w:before="85"/>
        <w:ind w:left="967"/>
      </w:pPr>
      <w:r>
        <w:rPr/>
        <w:t>Australian Broadcasting Corporation (ABC),</w:t>
      </w:r>
    </w:p>
    <w:p>
      <w:pPr>
        <w:pStyle w:val="ListParagraph"/>
        <w:numPr>
          <w:ilvl w:val="0"/>
          <w:numId w:val="130"/>
        </w:numPr>
        <w:tabs>
          <w:tab w:pos="1307" w:val="left" w:leader="none"/>
          <w:tab w:pos="1308" w:val="left" w:leader="none"/>
        </w:tabs>
        <w:spacing w:line="206" w:lineRule="auto" w:before="108" w:after="0"/>
        <w:ind w:left="1307" w:right="1205" w:hanging="340"/>
        <w:jc w:val="left"/>
        <w:rPr>
          <w:sz w:val="20"/>
        </w:rPr>
      </w:pPr>
      <w:r>
        <w:rPr>
          <w:sz w:val="20"/>
        </w:rPr>
        <w:t>‘Is</w:t>
      </w:r>
      <w:r>
        <w:rPr>
          <w:spacing w:val="-6"/>
          <w:sz w:val="20"/>
        </w:rPr>
        <w:t> </w:t>
      </w:r>
      <w:r>
        <w:rPr>
          <w:sz w:val="20"/>
        </w:rPr>
        <w:t>Enough</w:t>
      </w:r>
      <w:r>
        <w:rPr>
          <w:spacing w:val="-5"/>
          <w:sz w:val="20"/>
        </w:rPr>
        <w:t> </w:t>
      </w:r>
      <w:r>
        <w:rPr>
          <w:sz w:val="20"/>
        </w:rPr>
        <w:t>Being</w:t>
      </w:r>
      <w:r>
        <w:rPr>
          <w:spacing w:val="-5"/>
          <w:sz w:val="20"/>
        </w:rPr>
        <w:t> </w:t>
      </w:r>
      <w:r>
        <w:rPr>
          <w:sz w:val="20"/>
        </w:rPr>
        <w:t>Done</w:t>
      </w:r>
      <w:r>
        <w:rPr>
          <w:spacing w:val="-5"/>
          <w:sz w:val="20"/>
        </w:rPr>
        <w:t> </w:t>
      </w:r>
      <w:r>
        <w:rPr>
          <w:sz w:val="20"/>
        </w:rPr>
        <w:t>in</w:t>
      </w:r>
      <w:r>
        <w:rPr>
          <w:spacing w:val="-5"/>
          <w:sz w:val="20"/>
        </w:rPr>
        <w:t> </w:t>
      </w:r>
      <w:r>
        <w:rPr>
          <w:sz w:val="20"/>
        </w:rPr>
        <w:t>Australia</w:t>
      </w:r>
      <w:r>
        <w:rPr>
          <w:spacing w:val="-6"/>
          <w:sz w:val="20"/>
        </w:rPr>
        <w:t> </w:t>
      </w:r>
      <w:r>
        <w:rPr>
          <w:sz w:val="20"/>
        </w:rPr>
        <w:t>to</w:t>
      </w:r>
      <w:r>
        <w:rPr>
          <w:spacing w:val="-5"/>
          <w:sz w:val="20"/>
        </w:rPr>
        <w:t> </w:t>
      </w:r>
      <w:r>
        <w:rPr>
          <w:sz w:val="20"/>
        </w:rPr>
        <w:t>Support</w:t>
      </w:r>
      <w:r>
        <w:rPr>
          <w:spacing w:val="-5"/>
          <w:sz w:val="20"/>
        </w:rPr>
        <w:t> </w:t>
      </w:r>
      <w:r>
        <w:rPr>
          <w:sz w:val="20"/>
        </w:rPr>
        <w:t>People</w:t>
      </w:r>
      <w:r>
        <w:rPr>
          <w:spacing w:val="-5"/>
          <w:sz w:val="20"/>
        </w:rPr>
        <w:t> </w:t>
      </w:r>
      <w:r>
        <w:rPr>
          <w:sz w:val="20"/>
        </w:rPr>
        <w:t>with</w:t>
      </w:r>
      <w:r>
        <w:rPr>
          <w:spacing w:val="-5"/>
          <w:sz w:val="20"/>
        </w:rPr>
        <w:t> </w:t>
      </w:r>
      <w:r>
        <w:rPr>
          <w:sz w:val="20"/>
        </w:rPr>
        <w:t>Disabilities?’,</w:t>
      </w:r>
      <w:r>
        <w:rPr>
          <w:spacing w:val="-6"/>
          <w:sz w:val="20"/>
        </w:rPr>
        <w:t> </w:t>
      </w:r>
      <w:r>
        <w:rPr>
          <w:i/>
          <w:sz w:val="20"/>
        </w:rPr>
        <w:t>Australia</w:t>
      </w:r>
      <w:r>
        <w:rPr>
          <w:i/>
          <w:spacing w:val="-6"/>
          <w:sz w:val="20"/>
        </w:rPr>
        <w:t> </w:t>
      </w:r>
      <w:r>
        <w:rPr>
          <w:i/>
          <w:spacing w:val="-4"/>
          <w:sz w:val="20"/>
        </w:rPr>
        <w:t>Talks</w:t>
      </w:r>
      <w:r>
        <w:rPr>
          <w:i/>
          <w:spacing w:val="-5"/>
          <w:sz w:val="20"/>
        </w:rPr>
        <w:t> </w:t>
      </w:r>
      <w:r>
        <w:rPr>
          <w:sz w:val="20"/>
        </w:rPr>
        <w:t>(ABC News,</w:t>
      </w:r>
      <w:r>
        <w:rPr>
          <w:spacing w:val="-11"/>
          <w:sz w:val="20"/>
        </w:rPr>
        <w:t> </w:t>
      </w:r>
      <w:r>
        <w:rPr>
          <w:sz w:val="20"/>
        </w:rPr>
        <w:t>1</w:t>
      </w:r>
      <w:r>
        <w:rPr>
          <w:spacing w:val="-10"/>
          <w:sz w:val="20"/>
        </w:rPr>
        <w:t> </w:t>
      </w:r>
      <w:r>
        <w:rPr>
          <w:sz w:val="20"/>
        </w:rPr>
        <w:t>June</w:t>
      </w:r>
      <w:r>
        <w:rPr>
          <w:spacing w:val="-10"/>
          <w:sz w:val="20"/>
        </w:rPr>
        <w:t> </w:t>
      </w:r>
      <w:r>
        <w:rPr>
          <w:sz w:val="20"/>
        </w:rPr>
        <w:t>2021)</w:t>
      </w:r>
      <w:r>
        <w:rPr>
          <w:spacing w:val="-11"/>
          <w:sz w:val="20"/>
        </w:rPr>
        <w:t> </w:t>
      </w:r>
      <w:r>
        <w:rPr>
          <w:sz w:val="20"/>
        </w:rPr>
        <w:t>&lt;</w:t>
      </w:r>
      <w:hyperlink r:id="rId116">
        <w:r>
          <w:rPr>
            <w:sz w:val="20"/>
          </w:rPr>
          <w:t>https://www.abc.net.au/news/2021-06-01/is-enough-being-done-</w:t>
        </w:r>
      </w:hyperlink>
    </w:p>
    <w:p>
      <w:pPr>
        <w:pStyle w:val="BodyText"/>
        <w:spacing w:line="248" w:lineRule="exact"/>
        <w:ind w:left="206" w:right="3837"/>
        <w:jc w:val="center"/>
      </w:pPr>
      <w:hyperlink r:id="rId116">
        <w:r>
          <w:rPr/>
          <w:t>to-support-australians-with-disabilities/13368758</w:t>
        </w:r>
      </w:hyperlink>
      <w:r>
        <w:rPr/>
        <w:t>&gt;</w:t>
      </w:r>
    </w:p>
    <w:p>
      <w:pPr>
        <w:pStyle w:val="ListParagraph"/>
        <w:numPr>
          <w:ilvl w:val="0"/>
          <w:numId w:val="130"/>
        </w:numPr>
        <w:tabs>
          <w:tab w:pos="1307" w:val="left" w:leader="none"/>
          <w:tab w:pos="1308" w:val="left" w:leader="none"/>
        </w:tabs>
        <w:spacing w:line="240" w:lineRule="auto" w:before="48" w:after="0"/>
        <w:ind w:left="1307" w:right="0" w:hanging="340"/>
        <w:jc w:val="left"/>
        <w:rPr>
          <w:sz w:val="20"/>
        </w:rPr>
      </w:pPr>
      <w:r>
        <w:rPr>
          <w:sz w:val="20"/>
        </w:rPr>
        <w:t>‘Where Do </w:t>
      </w:r>
      <w:r>
        <w:rPr>
          <w:spacing w:val="-5"/>
          <w:sz w:val="20"/>
        </w:rPr>
        <w:t>You </w:t>
      </w:r>
      <w:r>
        <w:rPr>
          <w:spacing w:val="-2"/>
          <w:sz w:val="20"/>
        </w:rPr>
        <w:t>Fit?’, </w:t>
      </w:r>
      <w:r>
        <w:rPr>
          <w:i/>
          <w:sz w:val="20"/>
        </w:rPr>
        <w:t>Australia </w:t>
      </w:r>
      <w:r>
        <w:rPr>
          <w:i/>
          <w:spacing w:val="-4"/>
          <w:sz w:val="20"/>
        </w:rPr>
        <w:t>Talks </w:t>
      </w:r>
      <w:r>
        <w:rPr>
          <w:sz w:val="20"/>
        </w:rPr>
        <w:t>(Web Page)</w:t>
      </w:r>
      <w:r>
        <w:rPr>
          <w:spacing w:val="-19"/>
          <w:sz w:val="20"/>
        </w:rPr>
        <w:t> </w:t>
      </w:r>
      <w:r>
        <w:rPr>
          <w:sz w:val="20"/>
        </w:rPr>
        <w:t>&lt;</w:t>
      </w:r>
      <w:hyperlink r:id="rId117">
        <w:r>
          <w:rPr>
            <w:sz w:val="20"/>
          </w:rPr>
          <w:t>https://australiatalks.abc.net.au/</w:t>
        </w:r>
      </w:hyperlink>
      <w:r>
        <w:rPr>
          <w:sz w:val="20"/>
        </w:rPr>
        <w:t>&gt;</w:t>
      </w:r>
    </w:p>
    <w:p>
      <w:pPr>
        <w:pStyle w:val="BodyText"/>
      </w:pPr>
    </w:p>
    <w:p>
      <w:pPr>
        <w:pStyle w:val="BodyText"/>
        <w:spacing w:before="6"/>
        <w:rPr>
          <w:sz w:val="18"/>
        </w:rPr>
      </w:pPr>
    </w:p>
    <w:p>
      <w:pPr>
        <w:spacing w:before="49"/>
        <w:ind w:left="100" w:right="0" w:firstLine="0"/>
        <w:jc w:val="left"/>
        <w:rPr>
          <w:b/>
          <w:sz w:val="24"/>
        </w:rPr>
      </w:pPr>
      <w:r>
        <w:rPr>
          <w:b/>
          <w:color w:val="37617A"/>
          <w:sz w:val="24"/>
        </w:rPr>
        <w:t>234</w:t>
      </w:r>
    </w:p>
    <w:p>
      <w:pPr>
        <w:spacing w:after="0"/>
        <w:jc w:val="left"/>
        <w:rPr>
          <w:sz w:val="24"/>
        </w:rPr>
        <w:sectPr>
          <w:pgSz w:w="11910" w:h="16840"/>
          <w:pgMar w:header="567" w:footer="0" w:top="860" w:bottom="280" w:left="620" w:right="380"/>
        </w:sectPr>
      </w:pPr>
    </w:p>
    <w:p>
      <w:pPr>
        <w:pStyle w:val="BodyText"/>
        <w:rPr>
          <w:b/>
        </w:rPr>
      </w:pPr>
    </w:p>
    <w:p>
      <w:pPr>
        <w:pStyle w:val="BodyText"/>
        <w:rPr>
          <w:b/>
        </w:rPr>
      </w:pPr>
    </w:p>
    <w:p>
      <w:pPr>
        <w:pStyle w:val="BodyText"/>
        <w:rPr>
          <w:b/>
        </w:rPr>
      </w:pPr>
    </w:p>
    <w:p>
      <w:pPr>
        <w:pStyle w:val="BodyText"/>
        <w:spacing w:before="6"/>
        <w:rPr>
          <w:b/>
          <w:sz w:val="14"/>
        </w:rPr>
      </w:pPr>
    </w:p>
    <w:p>
      <w:pPr>
        <w:pStyle w:val="BodyText"/>
        <w:spacing w:before="58"/>
        <w:ind w:left="967"/>
        <w:rPr>
          <w:i/>
        </w:rPr>
      </w:pPr>
      <w:r>
        <w:rPr/>
        <w:t>Australian Bureau of Statistics</w:t>
      </w:r>
      <w:r>
        <w:rPr>
          <w:i/>
        </w:rPr>
        <w:t>,</w:t>
      </w:r>
    </w:p>
    <w:p>
      <w:pPr>
        <w:pStyle w:val="ListParagraph"/>
        <w:numPr>
          <w:ilvl w:val="1"/>
          <w:numId w:val="125"/>
        </w:numPr>
        <w:tabs>
          <w:tab w:pos="1307" w:val="left" w:leader="none"/>
          <w:tab w:pos="1308" w:val="left" w:leader="none"/>
        </w:tabs>
        <w:spacing w:line="206" w:lineRule="auto" w:before="108" w:after="0"/>
        <w:ind w:left="1307" w:right="1714" w:hanging="340"/>
        <w:jc w:val="left"/>
        <w:rPr>
          <w:sz w:val="20"/>
        </w:rPr>
      </w:pPr>
      <w:r>
        <w:rPr>
          <w:spacing w:val="-3"/>
          <w:sz w:val="20"/>
        </w:rPr>
        <w:t>‘2021</w:t>
      </w:r>
      <w:r>
        <w:rPr>
          <w:spacing w:val="-8"/>
          <w:sz w:val="20"/>
        </w:rPr>
        <w:t> </w:t>
      </w:r>
      <w:r>
        <w:rPr>
          <w:sz w:val="20"/>
        </w:rPr>
        <w:t>Census</w:t>
      </w:r>
      <w:r>
        <w:rPr>
          <w:spacing w:val="-8"/>
          <w:sz w:val="20"/>
        </w:rPr>
        <w:t> </w:t>
      </w:r>
      <w:r>
        <w:rPr>
          <w:sz w:val="20"/>
        </w:rPr>
        <w:t>Data</w:t>
      </w:r>
      <w:r>
        <w:rPr>
          <w:spacing w:val="-8"/>
          <w:sz w:val="20"/>
        </w:rPr>
        <w:t> </w:t>
      </w:r>
      <w:r>
        <w:rPr>
          <w:sz w:val="20"/>
        </w:rPr>
        <w:t>Release</w:t>
      </w:r>
      <w:r>
        <w:rPr>
          <w:spacing w:val="-8"/>
          <w:sz w:val="20"/>
        </w:rPr>
        <w:t> </w:t>
      </w:r>
      <w:r>
        <w:rPr>
          <w:sz w:val="20"/>
        </w:rPr>
        <w:t>Timeline’,</w:t>
      </w:r>
      <w:r>
        <w:rPr>
          <w:spacing w:val="-8"/>
          <w:sz w:val="20"/>
        </w:rPr>
        <w:t> </w:t>
      </w:r>
      <w:r>
        <w:rPr>
          <w:i/>
          <w:sz w:val="20"/>
        </w:rPr>
        <w:t>Australian</w:t>
      </w:r>
      <w:r>
        <w:rPr>
          <w:i/>
          <w:spacing w:val="-7"/>
          <w:sz w:val="20"/>
        </w:rPr>
        <w:t> </w:t>
      </w:r>
      <w:r>
        <w:rPr>
          <w:i/>
          <w:sz w:val="20"/>
        </w:rPr>
        <w:t>Bureau</w:t>
      </w:r>
      <w:r>
        <w:rPr>
          <w:i/>
          <w:spacing w:val="-8"/>
          <w:sz w:val="20"/>
        </w:rPr>
        <w:t> </w:t>
      </w:r>
      <w:r>
        <w:rPr>
          <w:i/>
          <w:sz w:val="20"/>
        </w:rPr>
        <w:t>of</w:t>
      </w:r>
      <w:r>
        <w:rPr>
          <w:i/>
          <w:spacing w:val="-8"/>
          <w:sz w:val="20"/>
        </w:rPr>
        <w:t> </w:t>
      </w:r>
      <w:r>
        <w:rPr>
          <w:i/>
          <w:sz w:val="20"/>
        </w:rPr>
        <w:t>Statistics</w:t>
      </w:r>
      <w:r>
        <w:rPr>
          <w:i/>
          <w:spacing w:val="-6"/>
          <w:sz w:val="20"/>
        </w:rPr>
        <w:t> </w:t>
      </w:r>
      <w:r>
        <w:rPr>
          <w:sz w:val="20"/>
        </w:rPr>
        <w:t>(Web</w:t>
      </w:r>
      <w:r>
        <w:rPr>
          <w:spacing w:val="-8"/>
          <w:sz w:val="20"/>
        </w:rPr>
        <w:t> </w:t>
      </w:r>
      <w:r>
        <w:rPr>
          <w:sz w:val="20"/>
        </w:rPr>
        <w:t>Page,</w:t>
      </w:r>
      <w:r>
        <w:rPr>
          <w:spacing w:val="-8"/>
          <w:sz w:val="20"/>
        </w:rPr>
        <w:t> </w:t>
      </w:r>
      <w:r>
        <w:rPr>
          <w:sz w:val="20"/>
        </w:rPr>
        <w:t>16</w:t>
      </w:r>
      <w:r>
        <w:rPr>
          <w:spacing w:val="-8"/>
          <w:sz w:val="20"/>
        </w:rPr>
        <w:t> </w:t>
      </w:r>
      <w:r>
        <w:rPr>
          <w:sz w:val="20"/>
        </w:rPr>
        <w:t>July 2021)</w:t>
      </w:r>
      <w:r>
        <w:rPr>
          <w:spacing w:val="-2"/>
          <w:sz w:val="20"/>
        </w:rPr>
        <w:t> </w:t>
      </w:r>
      <w:r>
        <w:rPr>
          <w:spacing w:val="-3"/>
          <w:sz w:val="20"/>
        </w:rPr>
        <w:t>&lt;</w:t>
      </w:r>
      <w:hyperlink r:id="rId52">
        <w:r>
          <w:rPr>
            <w:spacing w:val="-3"/>
            <w:sz w:val="20"/>
          </w:rPr>
          <w:t>https://www.abs.gov.au/census/2021-data-releases</w:t>
        </w:r>
      </w:hyperlink>
      <w:r>
        <w:rPr>
          <w:spacing w:val="-3"/>
          <w:sz w:val="20"/>
        </w:rPr>
        <w:t>&gt;</w:t>
      </w:r>
    </w:p>
    <w:p>
      <w:pPr>
        <w:pStyle w:val="ListParagraph"/>
        <w:numPr>
          <w:ilvl w:val="1"/>
          <w:numId w:val="125"/>
        </w:numPr>
        <w:tabs>
          <w:tab w:pos="1307" w:val="left" w:leader="none"/>
          <w:tab w:pos="1308" w:val="left" w:leader="none"/>
        </w:tabs>
        <w:spacing w:line="259" w:lineRule="exact" w:before="55" w:after="0"/>
        <w:ind w:left="1307" w:right="0" w:hanging="340"/>
        <w:jc w:val="left"/>
        <w:rPr>
          <w:i/>
          <w:sz w:val="20"/>
        </w:rPr>
      </w:pPr>
      <w:r>
        <w:rPr>
          <w:i/>
          <w:sz w:val="20"/>
        </w:rPr>
        <w:t>Census of Population and Housing: Reflecting Australia—Stories from the Census,</w:t>
      </w:r>
      <w:r>
        <w:rPr>
          <w:i/>
          <w:spacing w:val="-33"/>
          <w:sz w:val="20"/>
        </w:rPr>
        <w:t> </w:t>
      </w:r>
      <w:r>
        <w:rPr>
          <w:i/>
          <w:sz w:val="20"/>
        </w:rPr>
        <w:t>2016</w:t>
      </w:r>
    </w:p>
    <w:p>
      <w:pPr>
        <w:pStyle w:val="BodyText"/>
        <w:spacing w:line="259" w:lineRule="exact"/>
        <w:ind w:left="1307"/>
      </w:pPr>
      <w:r>
        <w:rPr/>
        <w:t>(Catalogue No 2071.0, 23 May 2019)</w:t>
      </w:r>
    </w:p>
    <w:p>
      <w:pPr>
        <w:pStyle w:val="ListParagraph"/>
        <w:numPr>
          <w:ilvl w:val="1"/>
          <w:numId w:val="125"/>
        </w:numPr>
        <w:tabs>
          <w:tab w:pos="1307" w:val="left" w:leader="none"/>
          <w:tab w:pos="1308" w:val="left" w:leader="none"/>
        </w:tabs>
        <w:spacing w:line="206" w:lineRule="auto" w:before="80" w:after="0"/>
        <w:ind w:left="1307" w:right="1869" w:hanging="340"/>
        <w:jc w:val="left"/>
        <w:rPr>
          <w:sz w:val="20"/>
        </w:rPr>
      </w:pPr>
      <w:r>
        <w:rPr>
          <w:i/>
          <w:sz w:val="20"/>
        </w:rPr>
        <w:t>Disability,</w:t>
      </w:r>
      <w:r>
        <w:rPr>
          <w:i/>
          <w:spacing w:val="-7"/>
          <w:sz w:val="20"/>
        </w:rPr>
        <w:t> </w:t>
      </w:r>
      <w:r>
        <w:rPr>
          <w:i/>
          <w:sz w:val="20"/>
        </w:rPr>
        <w:t>Ageing</w:t>
      </w:r>
      <w:r>
        <w:rPr>
          <w:i/>
          <w:spacing w:val="-6"/>
          <w:sz w:val="20"/>
        </w:rPr>
        <w:t> </w:t>
      </w:r>
      <w:r>
        <w:rPr>
          <w:i/>
          <w:sz w:val="20"/>
        </w:rPr>
        <w:t>and</w:t>
      </w:r>
      <w:r>
        <w:rPr>
          <w:i/>
          <w:spacing w:val="-6"/>
          <w:sz w:val="20"/>
        </w:rPr>
        <w:t> </w:t>
      </w:r>
      <w:r>
        <w:rPr>
          <w:i/>
          <w:sz w:val="20"/>
        </w:rPr>
        <w:t>Carers</w:t>
      </w:r>
      <w:r>
        <w:rPr>
          <w:i/>
          <w:spacing w:val="-6"/>
          <w:sz w:val="20"/>
        </w:rPr>
        <w:t> </w:t>
      </w:r>
      <w:r>
        <w:rPr>
          <w:i/>
          <w:sz w:val="20"/>
        </w:rPr>
        <w:t>Australia:</w:t>
      </w:r>
      <w:r>
        <w:rPr>
          <w:i/>
          <w:spacing w:val="-5"/>
          <w:sz w:val="20"/>
        </w:rPr>
        <w:t> </w:t>
      </w:r>
      <w:r>
        <w:rPr>
          <w:i/>
          <w:sz w:val="20"/>
        </w:rPr>
        <w:t>Summary</w:t>
      </w:r>
      <w:r>
        <w:rPr>
          <w:i/>
          <w:spacing w:val="-6"/>
          <w:sz w:val="20"/>
        </w:rPr>
        <w:t> </w:t>
      </w:r>
      <w:r>
        <w:rPr>
          <w:i/>
          <w:sz w:val="20"/>
        </w:rPr>
        <w:t>of</w:t>
      </w:r>
      <w:r>
        <w:rPr>
          <w:i/>
          <w:spacing w:val="-6"/>
          <w:sz w:val="20"/>
        </w:rPr>
        <w:t> </w:t>
      </w:r>
      <w:r>
        <w:rPr>
          <w:i/>
          <w:sz w:val="20"/>
        </w:rPr>
        <w:t>Findings</w:t>
      </w:r>
      <w:r>
        <w:rPr>
          <w:i/>
          <w:spacing w:val="-5"/>
          <w:sz w:val="20"/>
        </w:rPr>
        <w:t> </w:t>
      </w:r>
      <w:r>
        <w:rPr>
          <w:sz w:val="20"/>
        </w:rPr>
        <w:t>(Catalogue</w:t>
      </w:r>
      <w:r>
        <w:rPr>
          <w:spacing w:val="-6"/>
          <w:sz w:val="20"/>
        </w:rPr>
        <w:t> </w:t>
      </w:r>
      <w:r>
        <w:rPr>
          <w:sz w:val="20"/>
        </w:rPr>
        <w:t>No</w:t>
      </w:r>
      <w:r>
        <w:rPr>
          <w:spacing w:val="-6"/>
          <w:sz w:val="20"/>
        </w:rPr>
        <w:t> </w:t>
      </w:r>
      <w:r>
        <w:rPr>
          <w:sz w:val="20"/>
        </w:rPr>
        <w:t>4430.0,</w:t>
      </w:r>
      <w:r>
        <w:rPr>
          <w:spacing w:val="-6"/>
          <w:sz w:val="20"/>
        </w:rPr>
        <w:t> </w:t>
      </w:r>
      <w:r>
        <w:rPr>
          <w:sz w:val="20"/>
        </w:rPr>
        <w:t>24 October</w:t>
      </w:r>
      <w:r>
        <w:rPr>
          <w:spacing w:val="-3"/>
          <w:sz w:val="20"/>
        </w:rPr>
        <w:t> </w:t>
      </w:r>
      <w:r>
        <w:rPr>
          <w:sz w:val="20"/>
        </w:rPr>
        <w:t>2019)</w:t>
      </w:r>
    </w:p>
    <w:p>
      <w:pPr>
        <w:pStyle w:val="ListParagraph"/>
        <w:numPr>
          <w:ilvl w:val="1"/>
          <w:numId w:val="125"/>
        </w:numPr>
        <w:tabs>
          <w:tab w:pos="1307" w:val="left" w:leader="none"/>
          <w:tab w:pos="1308" w:val="left" w:leader="none"/>
        </w:tabs>
        <w:spacing w:line="206" w:lineRule="auto" w:before="87" w:after="0"/>
        <w:ind w:left="1307" w:right="2005" w:hanging="340"/>
        <w:jc w:val="left"/>
        <w:rPr>
          <w:sz w:val="20"/>
        </w:rPr>
      </w:pPr>
      <w:r>
        <w:rPr>
          <w:sz w:val="20"/>
        </w:rPr>
        <w:t>‘National</w:t>
      </w:r>
      <w:r>
        <w:rPr>
          <w:spacing w:val="-8"/>
          <w:sz w:val="20"/>
        </w:rPr>
        <w:t> </w:t>
      </w:r>
      <w:r>
        <w:rPr>
          <w:sz w:val="20"/>
        </w:rPr>
        <w:t>Aboriginal</w:t>
      </w:r>
      <w:r>
        <w:rPr>
          <w:spacing w:val="-8"/>
          <w:sz w:val="20"/>
        </w:rPr>
        <w:t> </w:t>
      </w:r>
      <w:r>
        <w:rPr>
          <w:sz w:val="20"/>
        </w:rPr>
        <w:t>and</w:t>
      </w:r>
      <w:r>
        <w:rPr>
          <w:spacing w:val="-7"/>
          <w:sz w:val="20"/>
        </w:rPr>
        <w:t> </w:t>
      </w:r>
      <w:r>
        <w:rPr>
          <w:spacing w:val="-5"/>
          <w:sz w:val="20"/>
        </w:rPr>
        <w:t>Torres</w:t>
      </w:r>
      <w:r>
        <w:rPr>
          <w:spacing w:val="-8"/>
          <w:sz w:val="20"/>
        </w:rPr>
        <w:t> </w:t>
      </w:r>
      <w:r>
        <w:rPr>
          <w:sz w:val="20"/>
        </w:rPr>
        <w:t>Strait</w:t>
      </w:r>
      <w:r>
        <w:rPr>
          <w:spacing w:val="-7"/>
          <w:sz w:val="20"/>
        </w:rPr>
        <w:t> </w:t>
      </w:r>
      <w:r>
        <w:rPr>
          <w:sz w:val="20"/>
        </w:rPr>
        <w:t>Islander</w:t>
      </w:r>
      <w:r>
        <w:rPr>
          <w:spacing w:val="-8"/>
          <w:sz w:val="20"/>
        </w:rPr>
        <w:t> </w:t>
      </w:r>
      <w:r>
        <w:rPr>
          <w:sz w:val="20"/>
        </w:rPr>
        <w:t>Health</w:t>
      </w:r>
      <w:r>
        <w:rPr>
          <w:spacing w:val="-8"/>
          <w:sz w:val="20"/>
        </w:rPr>
        <w:t> </w:t>
      </w:r>
      <w:r>
        <w:rPr>
          <w:sz w:val="20"/>
        </w:rPr>
        <w:t>Survey</w:t>
      </w:r>
      <w:r>
        <w:rPr>
          <w:spacing w:val="-7"/>
          <w:sz w:val="20"/>
        </w:rPr>
        <w:t> </w:t>
      </w:r>
      <w:r>
        <w:rPr>
          <w:sz w:val="20"/>
        </w:rPr>
        <w:t>Methodology,</w:t>
      </w:r>
      <w:r>
        <w:rPr>
          <w:spacing w:val="-8"/>
          <w:sz w:val="20"/>
        </w:rPr>
        <w:t> </w:t>
      </w:r>
      <w:r>
        <w:rPr>
          <w:sz w:val="20"/>
        </w:rPr>
        <w:t>2018–19 Financial</w:t>
      </w:r>
      <w:r>
        <w:rPr>
          <w:spacing w:val="-5"/>
          <w:sz w:val="20"/>
        </w:rPr>
        <w:t> Year’, </w:t>
      </w:r>
      <w:r>
        <w:rPr>
          <w:i/>
          <w:sz w:val="20"/>
        </w:rPr>
        <w:t>Australian</w:t>
      </w:r>
      <w:r>
        <w:rPr>
          <w:i/>
          <w:spacing w:val="-4"/>
          <w:sz w:val="20"/>
        </w:rPr>
        <w:t> </w:t>
      </w:r>
      <w:r>
        <w:rPr>
          <w:i/>
          <w:sz w:val="20"/>
        </w:rPr>
        <w:t>Bureau</w:t>
      </w:r>
      <w:r>
        <w:rPr>
          <w:i/>
          <w:spacing w:val="-5"/>
          <w:sz w:val="20"/>
        </w:rPr>
        <w:t> </w:t>
      </w:r>
      <w:r>
        <w:rPr>
          <w:i/>
          <w:sz w:val="20"/>
        </w:rPr>
        <w:t>of</w:t>
      </w:r>
      <w:r>
        <w:rPr>
          <w:i/>
          <w:spacing w:val="-4"/>
          <w:sz w:val="20"/>
        </w:rPr>
        <w:t> </w:t>
      </w:r>
      <w:r>
        <w:rPr>
          <w:i/>
          <w:sz w:val="20"/>
        </w:rPr>
        <w:t>Statistics</w:t>
      </w:r>
      <w:r>
        <w:rPr>
          <w:i/>
          <w:spacing w:val="-4"/>
          <w:sz w:val="20"/>
        </w:rPr>
        <w:t> </w:t>
      </w:r>
      <w:r>
        <w:rPr>
          <w:sz w:val="20"/>
        </w:rPr>
        <w:t>(Web</w:t>
      </w:r>
      <w:r>
        <w:rPr>
          <w:spacing w:val="-4"/>
          <w:sz w:val="20"/>
        </w:rPr>
        <w:t> </w:t>
      </w:r>
      <w:r>
        <w:rPr>
          <w:sz w:val="20"/>
        </w:rPr>
        <w:t>Page,</w:t>
      </w:r>
      <w:r>
        <w:rPr>
          <w:spacing w:val="-5"/>
          <w:sz w:val="20"/>
        </w:rPr>
        <w:t> </w:t>
      </w:r>
      <w:r>
        <w:rPr>
          <w:sz w:val="20"/>
        </w:rPr>
        <w:t>11</w:t>
      </w:r>
      <w:r>
        <w:rPr>
          <w:spacing w:val="-5"/>
          <w:sz w:val="20"/>
        </w:rPr>
        <w:t> </w:t>
      </w:r>
      <w:r>
        <w:rPr>
          <w:sz w:val="20"/>
        </w:rPr>
        <w:t>December</w:t>
      </w:r>
      <w:r>
        <w:rPr>
          <w:spacing w:val="-4"/>
          <w:sz w:val="20"/>
        </w:rPr>
        <w:t> </w:t>
      </w:r>
      <w:r>
        <w:rPr>
          <w:sz w:val="20"/>
        </w:rPr>
        <w:t>2019)</w:t>
      </w:r>
    </w:p>
    <w:p>
      <w:pPr>
        <w:pStyle w:val="BodyText"/>
        <w:spacing w:line="206" w:lineRule="auto" w:before="3"/>
        <w:ind w:left="1307" w:right="1498"/>
      </w:pPr>
      <w:r>
        <w:rPr>
          <w:spacing w:val="-2"/>
        </w:rPr>
        <w:t>&lt;</w:t>
      </w:r>
      <w:hyperlink r:id="rId67">
        <w:r>
          <w:rPr>
            <w:spacing w:val="-2"/>
          </w:rPr>
          <w:t>https://www.abs.gov.au/methodologies/national-aboriginal-and-torres-strait-islander-</w:t>
        </w:r>
      </w:hyperlink>
      <w:r>
        <w:rPr>
          <w:spacing w:val="-2"/>
        </w:rPr>
        <w:t> </w:t>
      </w:r>
      <w:hyperlink r:id="rId67">
        <w:r>
          <w:rPr/>
          <w:t>health-survey-methodology/2018-19</w:t>
        </w:r>
      </w:hyperlink>
      <w:r>
        <w:rPr/>
        <w:t>&gt;</w:t>
      </w:r>
    </w:p>
    <w:p>
      <w:pPr>
        <w:pStyle w:val="ListParagraph"/>
        <w:numPr>
          <w:ilvl w:val="1"/>
          <w:numId w:val="125"/>
        </w:numPr>
        <w:tabs>
          <w:tab w:pos="1308" w:val="left" w:leader="none"/>
        </w:tabs>
        <w:spacing w:line="206" w:lineRule="auto" w:before="87" w:after="0"/>
        <w:ind w:left="1307" w:right="1275" w:hanging="340"/>
        <w:jc w:val="both"/>
        <w:rPr>
          <w:sz w:val="20"/>
        </w:rPr>
      </w:pPr>
      <w:r>
        <w:rPr>
          <w:sz w:val="20"/>
        </w:rPr>
        <w:t>‘National,</w:t>
      </w:r>
      <w:r>
        <w:rPr>
          <w:spacing w:val="-8"/>
          <w:sz w:val="20"/>
        </w:rPr>
        <w:t> </w:t>
      </w:r>
      <w:r>
        <w:rPr>
          <w:sz w:val="20"/>
        </w:rPr>
        <w:t>State</w:t>
      </w:r>
      <w:r>
        <w:rPr>
          <w:spacing w:val="-8"/>
          <w:sz w:val="20"/>
        </w:rPr>
        <w:t> </w:t>
      </w:r>
      <w:r>
        <w:rPr>
          <w:sz w:val="20"/>
        </w:rPr>
        <w:t>and</w:t>
      </w:r>
      <w:r>
        <w:rPr>
          <w:spacing w:val="-8"/>
          <w:sz w:val="20"/>
        </w:rPr>
        <w:t> </w:t>
      </w:r>
      <w:r>
        <w:rPr>
          <w:spacing w:val="-3"/>
          <w:sz w:val="20"/>
        </w:rPr>
        <w:t>Territory</w:t>
      </w:r>
      <w:r>
        <w:rPr>
          <w:spacing w:val="-8"/>
          <w:sz w:val="20"/>
        </w:rPr>
        <w:t> </w:t>
      </w:r>
      <w:r>
        <w:rPr>
          <w:sz w:val="20"/>
        </w:rPr>
        <w:t>Population’,</w:t>
      </w:r>
      <w:r>
        <w:rPr>
          <w:spacing w:val="-7"/>
          <w:sz w:val="20"/>
        </w:rPr>
        <w:t> </w:t>
      </w:r>
      <w:r>
        <w:rPr>
          <w:i/>
          <w:sz w:val="20"/>
        </w:rPr>
        <w:t>Australian</w:t>
      </w:r>
      <w:r>
        <w:rPr>
          <w:i/>
          <w:spacing w:val="-8"/>
          <w:sz w:val="20"/>
        </w:rPr>
        <w:t> </w:t>
      </w:r>
      <w:r>
        <w:rPr>
          <w:i/>
          <w:sz w:val="20"/>
        </w:rPr>
        <w:t>Bureau</w:t>
      </w:r>
      <w:r>
        <w:rPr>
          <w:i/>
          <w:spacing w:val="-8"/>
          <w:sz w:val="20"/>
        </w:rPr>
        <w:t> </w:t>
      </w:r>
      <w:r>
        <w:rPr>
          <w:i/>
          <w:sz w:val="20"/>
        </w:rPr>
        <w:t>of</w:t>
      </w:r>
      <w:r>
        <w:rPr>
          <w:i/>
          <w:spacing w:val="-7"/>
          <w:sz w:val="20"/>
        </w:rPr>
        <w:t> </w:t>
      </w:r>
      <w:r>
        <w:rPr>
          <w:i/>
          <w:sz w:val="20"/>
        </w:rPr>
        <w:t>Statistics</w:t>
      </w:r>
      <w:r>
        <w:rPr>
          <w:i/>
          <w:spacing w:val="-7"/>
          <w:sz w:val="20"/>
        </w:rPr>
        <w:t> </w:t>
      </w:r>
      <w:r>
        <w:rPr>
          <w:sz w:val="20"/>
        </w:rPr>
        <w:t>(Web</w:t>
      </w:r>
      <w:r>
        <w:rPr>
          <w:spacing w:val="-8"/>
          <w:sz w:val="20"/>
        </w:rPr>
        <w:t> </w:t>
      </w:r>
      <w:r>
        <w:rPr>
          <w:sz w:val="20"/>
        </w:rPr>
        <w:t>Page,</w:t>
      </w:r>
      <w:r>
        <w:rPr>
          <w:spacing w:val="-8"/>
          <w:sz w:val="20"/>
        </w:rPr>
        <w:t> </w:t>
      </w:r>
      <w:r>
        <w:rPr>
          <w:sz w:val="20"/>
        </w:rPr>
        <w:t>28</w:t>
      </w:r>
      <w:r>
        <w:rPr>
          <w:spacing w:val="-7"/>
          <w:sz w:val="20"/>
        </w:rPr>
        <w:t> </w:t>
      </w:r>
      <w:r>
        <w:rPr>
          <w:sz w:val="20"/>
        </w:rPr>
        <w:t>June </w:t>
      </w:r>
      <w:r>
        <w:rPr>
          <w:spacing w:val="-2"/>
          <w:w w:val="95"/>
          <w:sz w:val="20"/>
        </w:rPr>
        <w:t>2022) </w:t>
      </w:r>
      <w:r>
        <w:rPr>
          <w:spacing w:val="-1"/>
          <w:w w:val="95"/>
          <w:sz w:val="20"/>
        </w:rPr>
        <w:t>&lt;</w:t>
      </w:r>
      <w:hyperlink r:id="rId270">
        <w:r>
          <w:rPr>
            <w:spacing w:val="-1"/>
            <w:w w:val="95"/>
            <w:sz w:val="20"/>
          </w:rPr>
          <w:t>https://www.abs.gov.au/statistics/people/population/national-state-and-territory-</w:t>
        </w:r>
      </w:hyperlink>
      <w:hyperlink r:id="rId270">
        <w:r>
          <w:rPr>
            <w:spacing w:val="-1"/>
            <w:w w:val="95"/>
            <w:sz w:val="20"/>
          </w:rPr>
          <w:t> </w:t>
        </w:r>
        <w:r>
          <w:rPr>
            <w:sz w:val="20"/>
          </w:rPr>
          <w:t>population/latest-release</w:t>
        </w:r>
      </w:hyperlink>
      <w:r>
        <w:rPr>
          <w:sz w:val="20"/>
        </w:rPr>
        <w:t>&gt;</w:t>
      </w:r>
    </w:p>
    <w:p>
      <w:pPr>
        <w:pStyle w:val="ListParagraph"/>
        <w:numPr>
          <w:ilvl w:val="1"/>
          <w:numId w:val="125"/>
        </w:numPr>
        <w:tabs>
          <w:tab w:pos="1307" w:val="left" w:leader="none"/>
          <w:tab w:pos="1308" w:val="left" w:leader="none"/>
        </w:tabs>
        <w:spacing w:line="206" w:lineRule="auto" w:before="89" w:after="0"/>
        <w:ind w:left="1307" w:right="1856" w:hanging="340"/>
        <w:jc w:val="left"/>
        <w:rPr>
          <w:sz w:val="20"/>
        </w:rPr>
      </w:pPr>
      <w:r>
        <w:rPr>
          <w:i/>
          <w:sz w:val="20"/>
        </w:rPr>
        <w:t>Use</w:t>
      </w:r>
      <w:r>
        <w:rPr>
          <w:i/>
          <w:spacing w:val="-7"/>
          <w:sz w:val="20"/>
        </w:rPr>
        <w:t> </w:t>
      </w:r>
      <w:r>
        <w:rPr>
          <w:i/>
          <w:sz w:val="20"/>
        </w:rPr>
        <w:t>of</w:t>
      </w:r>
      <w:r>
        <w:rPr>
          <w:i/>
          <w:spacing w:val="-7"/>
          <w:sz w:val="20"/>
        </w:rPr>
        <w:t> </w:t>
      </w:r>
      <w:r>
        <w:rPr>
          <w:i/>
          <w:sz w:val="20"/>
        </w:rPr>
        <w:t>Aids</w:t>
      </w:r>
      <w:r>
        <w:rPr>
          <w:i/>
          <w:spacing w:val="-7"/>
          <w:sz w:val="20"/>
        </w:rPr>
        <w:t> </w:t>
      </w:r>
      <w:r>
        <w:rPr>
          <w:i/>
          <w:sz w:val="20"/>
        </w:rPr>
        <w:t>and</w:t>
      </w:r>
      <w:r>
        <w:rPr>
          <w:i/>
          <w:spacing w:val="-7"/>
          <w:sz w:val="20"/>
        </w:rPr>
        <w:t> </w:t>
      </w:r>
      <w:r>
        <w:rPr>
          <w:i/>
          <w:sz w:val="20"/>
        </w:rPr>
        <w:t>Equipment</w:t>
      </w:r>
      <w:r>
        <w:rPr>
          <w:i/>
          <w:spacing w:val="-7"/>
          <w:sz w:val="20"/>
        </w:rPr>
        <w:t> </w:t>
      </w:r>
      <w:r>
        <w:rPr>
          <w:i/>
          <w:sz w:val="20"/>
        </w:rPr>
        <w:t>by</w:t>
      </w:r>
      <w:r>
        <w:rPr>
          <w:i/>
          <w:spacing w:val="-6"/>
          <w:sz w:val="20"/>
        </w:rPr>
        <w:t> </w:t>
      </w:r>
      <w:r>
        <w:rPr>
          <w:i/>
          <w:sz w:val="20"/>
        </w:rPr>
        <w:t>People</w:t>
      </w:r>
      <w:r>
        <w:rPr>
          <w:i/>
          <w:spacing w:val="-7"/>
          <w:sz w:val="20"/>
        </w:rPr>
        <w:t> </w:t>
      </w:r>
      <w:r>
        <w:rPr>
          <w:i/>
          <w:sz w:val="20"/>
        </w:rPr>
        <w:t>with</w:t>
      </w:r>
      <w:r>
        <w:rPr>
          <w:i/>
          <w:spacing w:val="-7"/>
          <w:sz w:val="20"/>
        </w:rPr>
        <w:t> </w:t>
      </w:r>
      <w:r>
        <w:rPr>
          <w:i/>
          <w:sz w:val="20"/>
        </w:rPr>
        <w:t>Disability</w:t>
      </w:r>
      <w:r>
        <w:rPr>
          <w:i/>
          <w:spacing w:val="-6"/>
          <w:sz w:val="20"/>
        </w:rPr>
        <w:t> </w:t>
      </w:r>
      <w:r>
        <w:rPr>
          <w:i/>
          <w:sz w:val="20"/>
        </w:rPr>
        <w:t>in</w:t>
      </w:r>
      <w:r>
        <w:rPr>
          <w:i/>
          <w:spacing w:val="-7"/>
          <w:sz w:val="20"/>
        </w:rPr>
        <w:t> </w:t>
      </w:r>
      <w:r>
        <w:rPr>
          <w:i/>
          <w:sz w:val="20"/>
        </w:rPr>
        <w:t>Australia</w:t>
      </w:r>
      <w:r>
        <w:rPr>
          <w:i/>
          <w:spacing w:val="-6"/>
          <w:sz w:val="20"/>
        </w:rPr>
        <w:t> </w:t>
      </w:r>
      <w:r>
        <w:rPr>
          <w:sz w:val="20"/>
        </w:rPr>
        <w:t>(Disability,</w:t>
      </w:r>
      <w:r>
        <w:rPr>
          <w:spacing w:val="-7"/>
          <w:sz w:val="20"/>
        </w:rPr>
        <w:t> </w:t>
      </w:r>
      <w:r>
        <w:rPr>
          <w:sz w:val="20"/>
        </w:rPr>
        <w:t>Ageing</w:t>
      </w:r>
      <w:r>
        <w:rPr>
          <w:spacing w:val="-6"/>
          <w:sz w:val="20"/>
        </w:rPr>
        <w:t> </w:t>
      </w:r>
      <w:r>
        <w:rPr>
          <w:sz w:val="20"/>
        </w:rPr>
        <w:t>and Carers, Australia, Information Sheet,</w:t>
      </w:r>
      <w:r>
        <w:rPr>
          <w:spacing w:val="-10"/>
          <w:sz w:val="20"/>
        </w:rPr>
        <w:t> </w:t>
      </w:r>
      <w:r>
        <w:rPr>
          <w:sz w:val="20"/>
        </w:rPr>
        <w:t>2015)</w:t>
      </w:r>
    </w:p>
    <w:p>
      <w:pPr>
        <w:pStyle w:val="BodyText"/>
        <w:spacing w:before="55"/>
        <w:ind w:left="967"/>
      </w:pPr>
      <w:r>
        <w:rPr/>
        <w:t>Australian Electoral Commission,</w:t>
      </w:r>
    </w:p>
    <w:p>
      <w:pPr>
        <w:pStyle w:val="ListParagraph"/>
        <w:numPr>
          <w:ilvl w:val="1"/>
          <w:numId w:val="125"/>
        </w:numPr>
        <w:tabs>
          <w:tab w:pos="1307" w:val="left" w:leader="none"/>
          <w:tab w:pos="1308" w:val="left" w:leader="none"/>
        </w:tabs>
        <w:spacing w:line="206" w:lineRule="auto" w:before="109" w:after="0"/>
        <w:ind w:left="1307" w:right="1695" w:hanging="340"/>
        <w:jc w:val="left"/>
        <w:rPr>
          <w:sz w:val="20"/>
        </w:rPr>
      </w:pPr>
      <w:r>
        <w:rPr>
          <w:sz w:val="20"/>
        </w:rPr>
        <w:t>‘Electoral</w:t>
      </w:r>
      <w:r>
        <w:rPr>
          <w:spacing w:val="-9"/>
          <w:sz w:val="20"/>
        </w:rPr>
        <w:t> </w:t>
      </w:r>
      <w:r>
        <w:rPr>
          <w:sz w:val="20"/>
        </w:rPr>
        <w:t>Milestones</w:t>
      </w:r>
      <w:r>
        <w:rPr>
          <w:spacing w:val="-9"/>
          <w:sz w:val="20"/>
        </w:rPr>
        <w:t> </w:t>
      </w:r>
      <w:r>
        <w:rPr>
          <w:sz w:val="20"/>
        </w:rPr>
        <w:t>for</w:t>
      </w:r>
      <w:r>
        <w:rPr>
          <w:spacing w:val="-9"/>
          <w:sz w:val="20"/>
        </w:rPr>
        <w:t> </w:t>
      </w:r>
      <w:r>
        <w:rPr>
          <w:sz w:val="20"/>
        </w:rPr>
        <w:t>Indigenous</w:t>
      </w:r>
      <w:r>
        <w:rPr>
          <w:spacing w:val="-9"/>
          <w:sz w:val="20"/>
        </w:rPr>
        <w:t> </w:t>
      </w:r>
      <w:r>
        <w:rPr>
          <w:sz w:val="20"/>
        </w:rPr>
        <w:t>Australians’,</w:t>
      </w:r>
      <w:r>
        <w:rPr>
          <w:spacing w:val="-9"/>
          <w:sz w:val="20"/>
        </w:rPr>
        <w:t> </w:t>
      </w:r>
      <w:r>
        <w:rPr>
          <w:i/>
          <w:sz w:val="20"/>
        </w:rPr>
        <w:t>Australian</w:t>
      </w:r>
      <w:r>
        <w:rPr>
          <w:i/>
          <w:spacing w:val="-9"/>
          <w:sz w:val="20"/>
        </w:rPr>
        <w:t> </w:t>
      </w:r>
      <w:r>
        <w:rPr>
          <w:i/>
          <w:spacing w:val="-3"/>
          <w:sz w:val="20"/>
        </w:rPr>
        <w:t>Electoral</w:t>
      </w:r>
      <w:r>
        <w:rPr>
          <w:i/>
          <w:spacing w:val="-9"/>
          <w:sz w:val="20"/>
        </w:rPr>
        <w:t> </w:t>
      </w:r>
      <w:r>
        <w:rPr>
          <w:i/>
          <w:sz w:val="20"/>
        </w:rPr>
        <w:t>Commission</w:t>
      </w:r>
      <w:r>
        <w:rPr>
          <w:i/>
          <w:spacing w:val="-7"/>
          <w:sz w:val="20"/>
        </w:rPr>
        <w:t> </w:t>
      </w:r>
      <w:r>
        <w:rPr>
          <w:sz w:val="20"/>
        </w:rPr>
        <w:t>(Web Page, 12 November</w:t>
      </w:r>
      <w:r>
        <w:rPr>
          <w:spacing w:val="-36"/>
          <w:sz w:val="20"/>
        </w:rPr>
        <w:t> </w:t>
      </w:r>
      <w:r>
        <w:rPr>
          <w:spacing w:val="-3"/>
          <w:sz w:val="20"/>
        </w:rPr>
        <w:t>2020) </w:t>
      </w:r>
      <w:r>
        <w:rPr>
          <w:sz w:val="20"/>
        </w:rPr>
        <w:t>&lt;</w:t>
      </w:r>
      <w:hyperlink r:id="rId83">
        <w:r>
          <w:rPr>
            <w:sz w:val="20"/>
          </w:rPr>
          <w:t>https://www.aec.gov.au/indigenous/milestones.htm</w:t>
        </w:r>
      </w:hyperlink>
      <w:r>
        <w:rPr>
          <w:sz w:val="20"/>
        </w:rPr>
        <w:t>&gt;</w:t>
      </w:r>
    </w:p>
    <w:p>
      <w:pPr>
        <w:pStyle w:val="ListParagraph"/>
        <w:numPr>
          <w:ilvl w:val="1"/>
          <w:numId w:val="125"/>
        </w:numPr>
        <w:tabs>
          <w:tab w:pos="1307" w:val="left" w:leader="none"/>
          <w:tab w:pos="1308" w:val="left" w:leader="none"/>
        </w:tabs>
        <w:spacing w:line="259" w:lineRule="exact" w:before="55" w:after="0"/>
        <w:ind w:left="1307" w:right="0" w:hanging="340"/>
        <w:jc w:val="left"/>
        <w:rPr>
          <w:sz w:val="20"/>
        </w:rPr>
      </w:pPr>
      <w:r>
        <w:rPr>
          <w:sz w:val="20"/>
        </w:rPr>
        <w:t>‘Electoral Roll Statistics’, </w:t>
      </w:r>
      <w:r>
        <w:rPr>
          <w:i/>
          <w:sz w:val="20"/>
        </w:rPr>
        <w:t>Victorian </w:t>
      </w:r>
      <w:r>
        <w:rPr>
          <w:i/>
          <w:spacing w:val="-3"/>
          <w:sz w:val="20"/>
        </w:rPr>
        <w:t>Electoral </w:t>
      </w:r>
      <w:r>
        <w:rPr>
          <w:i/>
          <w:sz w:val="20"/>
        </w:rPr>
        <w:t>Commission </w:t>
      </w:r>
      <w:r>
        <w:rPr>
          <w:sz w:val="20"/>
        </w:rPr>
        <w:t>(Web Page,</w:t>
      </w:r>
      <w:r>
        <w:rPr>
          <w:spacing w:val="-20"/>
          <w:sz w:val="20"/>
        </w:rPr>
        <w:t> </w:t>
      </w:r>
      <w:r>
        <w:rPr>
          <w:sz w:val="20"/>
        </w:rPr>
        <w:t>2021)</w:t>
      </w:r>
    </w:p>
    <w:p>
      <w:pPr>
        <w:pStyle w:val="BodyText"/>
        <w:spacing w:line="259" w:lineRule="exact"/>
        <w:ind w:left="1307"/>
      </w:pPr>
      <w:r>
        <w:rPr/>
        <w:t>&lt;</w:t>
      </w:r>
      <w:hyperlink r:id="rId54">
        <w:r>
          <w:rPr/>
          <w:t>https://www.vec.vic.gov.au/enrolment/electoral-roll-statistics</w:t>
        </w:r>
      </w:hyperlink>
      <w:r>
        <w:rPr/>
        <w:t>&gt;</w:t>
      </w:r>
    </w:p>
    <w:p>
      <w:pPr>
        <w:pStyle w:val="BodyText"/>
        <w:spacing w:before="47"/>
        <w:ind w:left="967"/>
      </w:pPr>
      <w:r>
        <w:rPr/>
        <w:t>Australian Government,</w:t>
      </w:r>
    </w:p>
    <w:p>
      <w:pPr>
        <w:pStyle w:val="ListParagraph"/>
        <w:numPr>
          <w:ilvl w:val="1"/>
          <w:numId w:val="125"/>
        </w:numPr>
        <w:tabs>
          <w:tab w:pos="1308" w:val="left" w:leader="none"/>
        </w:tabs>
        <w:spacing w:line="206" w:lineRule="auto" w:before="108" w:after="0"/>
        <w:ind w:left="1307" w:right="1268" w:hanging="340"/>
        <w:jc w:val="both"/>
        <w:rPr>
          <w:sz w:val="20"/>
        </w:rPr>
      </w:pPr>
      <w:r>
        <w:rPr>
          <w:i/>
          <w:sz w:val="20"/>
        </w:rPr>
        <w:t>Background</w:t>
      </w:r>
      <w:r>
        <w:rPr>
          <w:i/>
          <w:spacing w:val="-6"/>
          <w:sz w:val="20"/>
        </w:rPr>
        <w:t> </w:t>
      </w:r>
      <w:r>
        <w:rPr>
          <w:i/>
          <w:sz w:val="20"/>
        </w:rPr>
        <w:t>Paper</w:t>
      </w:r>
      <w:r>
        <w:rPr>
          <w:i/>
          <w:spacing w:val="-5"/>
          <w:sz w:val="20"/>
        </w:rPr>
        <w:t> </w:t>
      </w:r>
      <w:r>
        <w:rPr>
          <w:i/>
          <w:sz w:val="20"/>
        </w:rPr>
        <w:t>on</w:t>
      </w:r>
      <w:r>
        <w:rPr>
          <w:i/>
          <w:spacing w:val="-6"/>
          <w:sz w:val="20"/>
        </w:rPr>
        <w:t> </w:t>
      </w:r>
      <w:r>
        <w:rPr>
          <w:i/>
          <w:sz w:val="20"/>
        </w:rPr>
        <w:t>the</w:t>
      </w:r>
      <w:r>
        <w:rPr>
          <w:i/>
          <w:spacing w:val="-5"/>
          <w:sz w:val="20"/>
        </w:rPr>
        <w:t> </w:t>
      </w:r>
      <w:r>
        <w:rPr>
          <w:i/>
          <w:sz w:val="20"/>
        </w:rPr>
        <w:t>United</w:t>
      </w:r>
      <w:r>
        <w:rPr>
          <w:i/>
          <w:spacing w:val="-6"/>
          <w:sz w:val="20"/>
        </w:rPr>
        <w:t> </w:t>
      </w:r>
      <w:r>
        <w:rPr>
          <w:i/>
          <w:sz w:val="20"/>
        </w:rPr>
        <w:t>Nations</w:t>
      </w:r>
      <w:r>
        <w:rPr>
          <w:i/>
          <w:spacing w:val="-5"/>
          <w:sz w:val="20"/>
        </w:rPr>
        <w:t> </w:t>
      </w:r>
      <w:r>
        <w:rPr>
          <w:i/>
          <w:sz w:val="20"/>
        </w:rPr>
        <w:t>Convention</w:t>
      </w:r>
      <w:r>
        <w:rPr>
          <w:i/>
          <w:spacing w:val="-6"/>
          <w:sz w:val="20"/>
        </w:rPr>
        <w:t> </w:t>
      </w:r>
      <w:r>
        <w:rPr>
          <w:i/>
          <w:sz w:val="20"/>
        </w:rPr>
        <w:t>on</w:t>
      </w:r>
      <w:r>
        <w:rPr>
          <w:i/>
          <w:spacing w:val="-5"/>
          <w:sz w:val="20"/>
        </w:rPr>
        <w:t> </w:t>
      </w:r>
      <w:r>
        <w:rPr>
          <w:i/>
          <w:sz w:val="20"/>
        </w:rPr>
        <w:t>the</w:t>
      </w:r>
      <w:r>
        <w:rPr>
          <w:i/>
          <w:spacing w:val="-5"/>
          <w:sz w:val="20"/>
        </w:rPr>
        <w:t> </w:t>
      </w:r>
      <w:r>
        <w:rPr>
          <w:i/>
          <w:sz w:val="20"/>
        </w:rPr>
        <w:t>Rights</w:t>
      </w:r>
      <w:r>
        <w:rPr>
          <w:i/>
          <w:spacing w:val="-6"/>
          <w:sz w:val="20"/>
        </w:rPr>
        <w:t> </w:t>
      </w:r>
      <w:r>
        <w:rPr>
          <w:i/>
          <w:sz w:val="20"/>
        </w:rPr>
        <w:t>of</w:t>
      </w:r>
      <w:r>
        <w:rPr>
          <w:i/>
          <w:spacing w:val="-5"/>
          <w:sz w:val="20"/>
        </w:rPr>
        <w:t> </w:t>
      </w:r>
      <w:r>
        <w:rPr>
          <w:i/>
          <w:sz w:val="20"/>
        </w:rPr>
        <w:t>Persons</w:t>
      </w:r>
      <w:r>
        <w:rPr>
          <w:i/>
          <w:spacing w:val="-6"/>
          <w:sz w:val="20"/>
        </w:rPr>
        <w:t> </w:t>
      </w:r>
      <w:r>
        <w:rPr>
          <w:i/>
          <w:sz w:val="20"/>
        </w:rPr>
        <w:t>with</w:t>
      </w:r>
      <w:r>
        <w:rPr>
          <w:i/>
          <w:spacing w:val="-5"/>
          <w:sz w:val="20"/>
        </w:rPr>
        <w:t> </w:t>
      </w:r>
      <w:r>
        <w:rPr>
          <w:i/>
          <w:sz w:val="20"/>
        </w:rPr>
        <w:t>Disabilities </w:t>
      </w:r>
      <w:r>
        <w:rPr>
          <w:sz w:val="20"/>
        </w:rPr>
        <w:t>(Part</w:t>
      </w:r>
      <w:r>
        <w:rPr>
          <w:spacing w:val="-9"/>
          <w:sz w:val="20"/>
        </w:rPr>
        <w:t> </w:t>
      </w:r>
      <w:r>
        <w:rPr>
          <w:sz w:val="20"/>
        </w:rPr>
        <w:t>1—Australia’s</w:t>
      </w:r>
      <w:r>
        <w:rPr>
          <w:spacing w:val="-9"/>
          <w:sz w:val="20"/>
        </w:rPr>
        <w:t> </w:t>
      </w:r>
      <w:r>
        <w:rPr>
          <w:sz w:val="20"/>
        </w:rPr>
        <w:t>Position</w:t>
      </w:r>
      <w:r>
        <w:rPr>
          <w:spacing w:val="-9"/>
          <w:sz w:val="20"/>
        </w:rPr>
        <w:t> </w:t>
      </w:r>
      <w:r>
        <w:rPr>
          <w:sz w:val="20"/>
        </w:rPr>
        <w:t>and</w:t>
      </w:r>
      <w:r>
        <w:rPr>
          <w:spacing w:val="-8"/>
          <w:sz w:val="20"/>
        </w:rPr>
        <w:t> </w:t>
      </w:r>
      <w:r>
        <w:rPr>
          <w:sz w:val="20"/>
        </w:rPr>
        <w:t>Interpretive</w:t>
      </w:r>
      <w:r>
        <w:rPr>
          <w:spacing w:val="-9"/>
          <w:sz w:val="20"/>
        </w:rPr>
        <w:t> </w:t>
      </w:r>
      <w:r>
        <w:rPr>
          <w:sz w:val="20"/>
        </w:rPr>
        <w:t>Approach,</w:t>
      </w:r>
      <w:r>
        <w:rPr>
          <w:spacing w:val="-9"/>
          <w:sz w:val="20"/>
        </w:rPr>
        <w:t> </w:t>
      </w:r>
      <w:r>
        <w:rPr>
          <w:sz w:val="20"/>
        </w:rPr>
        <w:t>Prepared</w:t>
      </w:r>
      <w:r>
        <w:rPr>
          <w:spacing w:val="-8"/>
          <w:sz w:val="20"/>
        </w:rPr>
        <w:t> </w:t>
      </w:r>
      <w:r>
        <w:rPr>
          <w:sz w:val="20"/>
        </w:rPr>
        <w:t>for</w:t>
      </w:r>
      <w:r>
        <w:rPr>
          <w:spacing w:val="-9"/>
          <w:sz w:val="20"/>
        </w:rPr>
        <w:t> </w:t>
      </w:r>
      <w:r>
        <w:rPr>
          <w:spacing w:val="-3"/>
          <w:sz w:val="20"/>
        </w:rPr>
        <w:t>Royal</w:t>
      </w:r>
      <w:r>
        <w:rPr>
          <w:spacing w:val="-9"/>
          <w:sz w:val="20"/>
        </w:rPr>
        <w:t> </w:t>
      </w:r>
      <w:r>
        <w:rPr>
          <w:sz w:val="20"/>
        </w:rPr>
        <w:t>Commission</w:t>
      </w:r>
      <w:r>
        <w:rPr>
          <w:spacing w:val="-8"/>
          <w:sz w:val="20"/>
        </w:rPr>
        <w:t> </w:t>
      </w:r>
      <w:r>
        <w:rPr>
          <w:sz w:val="20"/>
        </w:rPr>
        <w:t>into Violence,</w:t>
      </w:r>
      <w:r>
        <w:rPr>
          <w:spacing w:val="-5"/>
          <w:sz w:val="20"/>
        </w:rPr>
        <w:t> </w:t>
      </w:r>
      <w:r>
        <w:rPr>
          <w:sz w:val="20"/>
        </w:rPr>
        <w:t>Abuse,</w:t>
      </w:r>
      <w:r>
        <w:rPr>
          <w:spacing w:val="-4"/>
          <w:sz w:val="20"/>
        </w:rPr>
        <w:t> </w:t>
      </w:r>
      <w:r>
        <w:rPr>
          <w:sz w:val="20"/>
        </w:rPr>
        <w:t>Neglect</w:t>
      </w:r>
      <w:r>
        <w:rPr>
          <w:spacing w:val="-4"/>
          <w:sz w:val="20"/>
        </w:rPr>
        <w:t> </w:t>
      </w:r>
      <w:r>
        <w:rPr>
          <w:sz w:val="20"/>
        </w:rPr>
        <w:t>and</w:t>
      </w:r>
      <w:r>
        <w:rPr>
          <w:spacing w:val="-4"/>
          <w:sz w:val="20"/>
        </w:rPr>
        <w:t> </w:t>
      </w:r>
      <w:r>
        <w:rPr>
          <w:sz w:val="20"/>
        </w:rPr>
        <w:t>Exploitation</w:t>
      </w:r>
      <w:r>
        <w:rPr>
          <w:spacing w:val="-4"/>
          <w:sz w:val="20"/>
        </w:rPr>
        <w:t> </w:t>
      </w:r>
      <w:r>
        <w:rPr>
          <w:sz w:val="20"/>
        </w:rPr>
        <w:t>of</w:t>
      </w:r>
      <w:r>
        <w:rPr>
          <w:spacing w:val="-4"/>
          <w:sz w:val="20"/>
        </w:rPr>
        <w:t> </w:t>
      </w:r>
      <w:r>
        <w:rPr>
          <w:sz w:val="20"/>
        </w:rPr>
        <w:t>People</w:t>
      </w:r>
      <w:r>
        <w:rPr>
          <w:spacing w:val="-4"/>
          <w:sz w:val="20"/>
        </w:rPr>
        <w:t> </w:t>
      </w:r>
      <w:r>
        <w:rPr>
          <w:sz w:val="20"/>
        </w:rPr>
        <w:t>with</w:t>
      </w:r>
      <w:r>
        <w:rPr>
          <w:spacing w:val="-4"/>
          <w:sz w:val="20"/>
        </w:rPr>
        <w:t> </w:t>
      </w:r>
      <w:r>
        <w:rPr>
          <w:sz w:val="20"/>
        </w:rPr>
        <w:t>Disability,</w:t>
      </w:r>
      <w:r>
        <w:rPr>
          <w:spacing w:val="-4"/>
          <w:sz w:val="20"/>
        </w:rPr>
        <w:t> </w:t>
      </w:r>
      <w:r>
        <w:rPr>
          <w:sz w:val="20"/>
        </w:rPr>
        <w:t>16</w:t>
      </w:r>
      <w:r>
        <w:rPr>
          <w:spacing w:val="-4"/>
          <w:sz w:val="20"/>
        </w:rPr>
        <w:t> </w:t>
      </w:r>
      <w:r>
        <w:rPr>
          <w:sz w:val="20"/>
        </w:rPr>
        <w:t>June</w:t>
      </w:r>
      <w:r>
        <w:rPr>
          <w:spacing w:val="-4"/>
          <w:sz w:val="20"/>
        </w:rPr>
        <w:t> </w:t>
      </w:r>
      <w:r>
        <w:rPr>
          <w:spacing w:val="-3"/>
          <w:sz w:val="20"/>
        </w:rPr>
        <w:t>2020)</w:t>
      </w:r>
    </w:p>
    <w:p>
      <w:pPr>
        <w:pStyle w:val="BodyText"/>
        <w:spacing w:line="206" w:lineRule="auto" w:before="4"/>
        <w:ind w:left="1307" w:right="1425"/>
      </w:pPr>
      <w:r>
        <w:rPr>
          <w:spacing w:val="-2"/>
        </w:rPr>
        <w:t>&lt;</w:t>
      </w:r>
      <w:hyperlink r:id="rId96">
        <w:r>
          <w:rPr>
            <w:spacing w:val="-2"/>
          </w:rPr>
          <w:t>https://disability.royalcommission.gov.au/publications/australian-government-position-</w:t>
        </w:r>
      </w:hyperlink>
      <w:r>
        <w:rPr>
          <w:spacing w:val="-2"/>
        </w:rPr>
        <w:t> </w:t>
      </w:r>
      <w:hyperlink r:id="rId96">
        <w:r>
          <w:rPr/>
          <w:t>paper-uncrpd</w:t>
        </w:r>
      </w:hyperlink>
      <w:r>
        <w:rPr/>
        <w:t>&gt;</w:t>
      </w:r>
    </w:p>
    <w:p>
      <w:pPr>
        <w:pStyle w:val="ListParagraph"/>
        <w:numPr>
          <w:ilvl w:val="1"/>
          <w:numId w:val="125"/>
        </w:numPr>
        <w:tabs>
          <w:tab w:pos="1307" w:val="left" w:leader="none"/>
          <w:tab w:pos="1308" w:val="left" w:leader="none"/>
        </w:tabs>
        <w:spacing w:line="206" w:lineRule="auto" w:before="88" w:after="0"/>
        <w:ind w:left="1307" w:right="1459" w:hanging="340"/>
        <w:jc w:val="left"/>
        <w:rPr>
          <w:sz w:val="20"/>
        </w:rPr>
      </w:pPr>
      <w:r>
        <w:rPr>
          <w:i/>
          <w:sz w:val="20"/>
        </w:rPr>
        <w:t>Combined</w:t>
      </w:r>
      <w:r>
        <w:rPr>
          <w:i/>
          <w:spacing w:val="-5"/>
          <w:sz w:val="20"/>
        </w:rPr>
        <w:t> </w:t>
      </w:r>
      <w:r>
        <w:rPr>
          <w:i/>
          <w:sz w:val="20"/>
        </w:rPr>
        <w:t>Second</w:t>
      </w:r>
      <w:r>
        <w:rPr>
          <w:i/>
          <w:spacing w:val="-5"/>
          <w:sz w:val="20"/>
        </w:rPr>
        <w:t> </w:t>
      </w:r>
      <w:r>
        <w:rPr>
          <w:i/>
          <w:sz w:val="20"/>
        </w:rPr>
        <w:t>and</w:t>
      </w:r>
      <w:r>
        <w:rPr>
          <w:i/>
          <w:spacing w:val="-4"/>
          <w:sz w:val="20"/>
        </w:rPr>
        <w:t> </w:t>
      </w:r>
      <w:r>
        <w:rPr>
          <w:i/>
          <w:sz w:val="20"/>
        </w:rPr>
        <w:t>Third</w:t>
      </w:r>
      <w:r>
        <w:rPr>
          <w:i/>
          <w:spacing w:val="-5"/>
          <w:sz w:val="20"/>
        </w:rPr>
        <w:t> </w:t>
      </w:r>
      <w:r>
        <w:rPr>
          <w:i/>
          <w:sz w:val="20"/>
        </w:rPr>
        <w:t>Periodic</w:t>
      </w:r>
      <w:r>
        <w:rPr>
          <w:i/>
          <w:spacing w:val="-4"/>
          <w:sz w:val="20"/>
        </w:rPr>
        <w:t> </w:t>
      </w:r>
      <w:r>
        <w:rPr>
          <w:i/>
          <w:sz w:val="20"/>
        </w:rPr>
        <w:t>Reports</w:t>
      </w:r>
      <w:r>
        <w:rPr>
          <w:i/>
          <w:spacing w:val="-5"/>
          <w:sz w:val="20"/>
        </w:rPr>
        <w:t> </w:t>
      </w:r>
      <w:r>
        <w:rPr>
          <w:i/>
          <w:sz w:val="20"/>
        </w:rPr>
        <w:t>Submitted</w:t>
      </w:r>
      <w:r>
        <w:rPr>
          <w:i/>
          <w:spacing w:val="-4"/>
          <w:sz w:val="20"/>
        </w:rPr>
        <w:t> </w:t>
      </w:r>
      <w:r>
        <w:rPr>
          <w:i/>
          <w:sz w:val="20"/>
        </w:rPr>
        <w:t>by</w:t>
      </w:r>
      <w:r>
        <w:rPr>
          <w:i/>
          <w:spacing w:val="-5"/>
          <w:sz w:val="20"/>
        </w:rPr>
        <w:t> </w:t>
      </w:r>
      <w:r>
        <w:rPr>
          <w:i/>
          <w:sz w:val="20"/>
        </w:rPr>
        <w:t>Australia</w:t>
      </w:r>
      <w:r>
        <w:rPr>
          <w:i/>
          <w:spacing w:val="-4"/>
          <w:sz w:val="20"/>
        </w:rPr>
        <w:t> </w:t>
      </w:r>
      <w:r>
        <w:rPr>
          <w:i/>
          <w:sz w:val="20"/>
        </w:rPr>
        <w:t>under</w:t>
      </w:r>
      <w:r>
        <w:rPr>
          <w:i/>
          <w:spacing w:val="-5"/>
          <w:sz w:val="20"/>
        </w:rPr>
        <w:t> </w:t>
      </w:r>
      <w:r>
        <w:rPr>
          <w:i/>
          <w:sz w:val="20"/>
        </w:rPr>
        <w:t>Article</w:t>
      </w:r>
      <w:r>
        <w:rPr>
          <w:i/>
          <w:spacing w:val="-4"/>
          <w:sz w:val="20"/>
        </w:rPr>
        <w:t> </w:t>
      </w:r>
      <w:r>
        <w:rPr>
          <w:i/>
          <w:sz w:val="20"/>
        </w:rPr>
        <w:t>35</w:t>
      </w:r>
      <w:r>
        <w:rPr>
          <w:i/>
          <w:spacing w:val="-5"/>
          <w:sz w:val="20"/>
        </w:rPr>
        <w:t> </w:t>
      </w:r>
      <w:r>
        <w:rPr>
          <w:i/>
          <w:sz w:val="20"/>
        </w:rPr>
        <w:t>of</w:t>
      </w:r>
      <w:r>
        <w:rPr>
          <w:i/>
          <w:spacing w:val="-4"/>
          <w:sz w:val="20"/>
        </w:rPr>
        <w:t> </w:t>
      </w:r>
      <w:r>
        <w:rPr>
          <w:i/>
          <w:sz w:val="20"/>
        </w:rPr>
        <w:t>the </w:t>
      </w:r>
      <w:r>
        <w:rPr>
          <w:i/>
          <w:sz w:val="20"/>
        </w:rPr>
        <w:t>Convention, </w:t>
      </w:r>
      <w:r>
        <w:rPr>
          <w:sz w:val="20"/>
        </w:rPr>
        <w:t>UN Doc </w:t>
      </w:r>
      <w:r>
        <w:rPr>
          <w:spacing w:val="-7"/>
          <w:sz w:val="20"/>
        </w:rPr>
        <w:t>CRPD/C/AUS/2–3 </w:t>
      </w:r>
      <w:r>
        <w:rPr>
          <w:spacing w:val="-3"/>
          <w:sz w:val="20"/>
        </w:rPr>
        <w:t>(7 </w:t>
      </w:r>
      <w:r>
        <w:rPr>
          <w:sz w:val="20"/>
        </w:rPr>
        <w:t>September</w:t>
      </w:r>
      <w:r>
        <w:rPr>
          <w:spacing w:val="-3"/>
          <w:sz w:val="20"/>
        </w:rPr>
        <w:t> </w:t>
      </w:r>
      <w:r>
        <w:rPr>
          <w:sz w:val="20"/>
        </w:rPr>
        <w:t>2018)</w:t>
      </w:r>
    </w:p>
    <w:p>
      <w:pPr>
        <w:pStyle w:val="ListParagraph"/>
        <w:numPr>
          <w:ilvl w:val="1"/>
          <w:numId w:val="125"/>
        </w:numPr>
        <w:tabs>
          <w:tab w:pos="1307" w:val="left" w:leader="none"/>
          <w:tab w:pos="1308" w:val="left" w:leader="none"/>
        </w:tabs>
        <w:spacing w:line="206" w:lineRule="auto" w:before="87" w:after="0"/>
        <w:ind w:left="1307" w:right="1363" w:hanging="340"/>
        <w:jc w:val="left"/>
        <w:rPr>
          <w:sz w:val="20"/>
        </w:rPr>
      </w:pPr>
      <w:r>
        <w:rPr>
          <w:sz w:val="20"/>
        </w:rPr>
        <w:t>‘People with Disability’, </w:t>
      </w:r>
      <w:r>
        <w:rPr>
          <w:i/>
          <w:sz w:val="20"/>
        </w:rPr>
        <w:t>Style Manual </w:t>
      </w:r>
      <w:r>
        <w:rPr>
          <w:sz w:val="20"/>
        </w:rPr>
        <w:t>(Web Page, 2022) </w:t>
      </w:r>
      <w:r>
        <w:rPr>
          <w:spacing w:val="-3"/>
          <w:sz w:val="20"/>
        </w:rPr>
        <w:t>&lt;</w:t>
      </w:r>
      <w:hyperlink r:id="rId28">
        <w:r>
          <w:rPr>
            <w:spacing w:val="-3"/>
            <w:sz w:val="20"/>
          </w:rPr>
          <w:t>https://www.stylemanual.gov.au/</w:t>
        </w:r>
      </w:hyperlink>
      <w:hyperlink r:id="rId28">
        <w:r>
          <w:rPr>
            <w:spacing w:val="-3"/>
            <w:sz w:val="20"/>
          </w:rPr>
          <w:t> </w:t>
        </w:r>
        <w:r>
          <w:rPr>
            <w:sz w:val="20"/>
          </w:rPr>
          <w:t>format-writing-and-structure/inclusive-language/people-disability</w:t>
        </w:r>
      </w:hyperlink>
      <w:r>
        <w:rPr>
          <w:sz w:val="20"/>
        </w:rPr>
        <w:t>&gt;</w:t>
      </w:r>
    </w:p>
    <w:p>
      <w:pPr>
        <w:pStyle w:val="ListParagraph"/>
        <w:numPr>
          <w:ilvl w:val="1"/>
          <w:numId w:val="125"/>
        </w:numPr>
        <w:tabs>
          <w:tab w:pos="1307" w:val="left" w:leader="none"/>
          <w:tab w:pos="1308" w:val="left" w:leader="none"/>
        </w:tabs>
        <w:spacing w:line="206" w:lineRule="auto" w:before="88" w:after="0"/>
        <w:ind w:left="1307" w:right="1767" w:hanging="340"/>
        <w:jc w:val="left"/>
        <w:rPr>
          <w:sz w:val="20"/>
        </w:rPr>
      </w:pPr>
      <w:r>
        <w:rPr>
          <w:i/>
          <w:sz w:val="20"/>
        </w:rPr>
        <w:t>Response of Australia </w:t>
      </w:r>
      <w:r>
        <w:rPr>
          <w:i/>
          <w:spacing w:val="-3"/>
          <w:sz w:val="20"/>
        </w:rPr>
        <w:t>to </w:t>
      </w:r>
      <w:r>
        <w:rPr>
          <w:i/>
          <w:sz w:val="20"/>
        </w:rPr>
        <w:t>the Committee on the Rights of Persons with Disabilities in </w:t>
      </w:r>
      <w:r>
        <w:rPr>
          <w:i/>
          <w:sz w:val="20"/>
        </w:rPr>
        <w:t>Communication</w:t>
      </w:r>
      <w:r>
        <w:rPr>
          <w:i/>
          <w:spacing w:val="-5"/>
          <w:sz w:val="20"/>
        </w:rPr>
        <w:t> </w:t>
      </w:r>
      <w:r>
        <w:rPr>
          <w:i/>
          <w:sz w:val="20"/>
        </w:rPr>
        <w:t>No</w:t>
      </w:r>
      <w:r>
        <w:rPr>
          <w:i/>
          <w:spacing w:val="-4"/>
          <w:sz w:val="20"/>
        </w:rPr>
        <w:t> </w:t>
      </w:r>
      <w:r>
        <w:rPr>
          <w:i/>
          <w:spacing w:val="-3"/>
          <w:sz w:val="20"/>
        </w:rPr>
        <w:t>11/2013</w:t>
      </w:r>
      <w:r>
        <w:rPr>
          <w:i/>
          <w:spacing w:val="-5"/>
          <w:sz w:val="20"/>
        </w:rPr>
        <w:t> </w:t>
      </w:r>
      <w:r>
        <w:rPr>
          <w:i/>
          <w:sz w:val="20"/>
        </w:rPr>
        <w:t>(GB</w:t>
      </w:r>
      <w:r>
        <w:rPr>
          <w:i/>
          <w:spacing w:val="-4"/>
          <w:sz w:val="20"/>
        </w:rPr>
        <w:t> </w:t>
      </w:r>
      <w:r>
        <w:rPr>
          <w:i/>
          <w:sz w:val="20"/>
        </w:rPr>
        <w:t>v</w:t>
      </w:r>
      <w:r>
        <w:rPr>
          <w:i/>
          <w:spacing w:val="-5"/>
          <w:sz w:val="20"/>
        </w:rPr>
        <w:t> </w:t>
      </w:r>
      <w:r>
        <w:rPr>
          <w:i/>
          <w:sz w:val="20"/>
        </w:rPr>
        <w:t>Australia)</w:t>
      </w:r>
      <w:r>
        <w:rPr>
          <w:i/>
          <w:spacing w:val="-4"/>
          <w:sz w:val="20"/>
        </w:rPr>
        <w:t> </w:t>
      </w:r>
      <w:r>
        <w:rPr>
          <w:i/>
          <w:sz w:val="20"/>
        </w:rPr>
        <w:t>and</w:t>
      </w:r>
      <w:r>
        <w:rPr>
          <w:i/>
          <w:spacing w:val="-5"/>
          <w:sz w:val="20"/>
        </w:rPr>
        <w:t> </w:t>
      </w:r>
      <w:r>
        <w:rPr>
          <w:i/>
          <w:spacing w:val="-3"/>
          <w:sz w:val="20"/>
        </w:rPr>
        <w:t>13/2013</w:t>
      </w:r>
      <w:r>
        <w:rPr>
          <w:i/>
          <w:spacing w:val="-4"/>
          <w:sz w:val="20"/>
        </w:rPr>
        <w:t> </w:t>
      </w:r>
      <w:r>
        <w:rPr>
          <w:i/>
          <w:sz w:val="20"/>
        </w:rPr>
        <w:t>(ML</w:t>
      </w:r>
      <w:r>
        <w:rPr>
          <w:i/>
          <w:spacing w:val="-5"/>
          <w:sz w:val="20"/>
        </w:rPr>
        <w:t> </w:t>
      </w:r>
      <w:r>
        <w:rPr>
          <w:i/>
          <w:sz w:val="20"/>
        </w:rPr>
        <w:t>v</w:t>
      </w:r>
      <w:r>
        <w:rPr>
          <w:i/>
          <w:spacing w:val="-4"/>
          <w:sz w:val="20"/>
        </w:rPr>
        <w:t> </w:t>
      </w:r>
      <w:r>
        <w:rPr>
          <w:i/>
          <w:sz w:val="20"/>
        </w:rPr>
        <w:t>Australia)</w:t>
      </w:r>
      <w:r>
        <w:rPr>
          <w:i/>
          <w:spacing w:val="-3"/>
          <w:sz w:val="20"/>
        </w:rPr>
        <w:t> </w:t>
      </w:r>
      <w:r>
        <w:rPr>
          <w:sz w:val="20"/>
        </w:rPr>
        <w:t>(Human</w:t>
      </w:r>
      <w:r>
        <w:rPr>
          <w:spacing w:val="-5"/>
          <w:sz w:val="20"/>
        </w:rPr>
        <w:t> </w:t>
      </w:r>
      <w:r>
        <w:rPr>
          <w:sz w:val="20"/>
        </w:rPr>
        <w:t>Rights Communication, 24 October</w:t>
      </w:r>
      <w:r>
        <w:rPr>
          <w:spacing w:val="-7"/>
          <w:sz w:val="20"/>
        </w:rPr>
        <w:t> </w:t>
      </w:r>
      <w:r>
        <w:rPr>
          <w:spacing w:val="-3"/>
          <w:sz w:val="20"/>
        </w:rPr>
        <w:t>2016)</w:t>
      </w:r>
    </w:p>
    <w:p>
      <w:pPr>
        <w:pStyle w:val="ListParagraph"/>
        <w:numPr>
          <w:ilvl w:val="1"/>
          <w:numId w:val="125"/>
        </w:numPr>
        <w:tabs>
          <w:tab w:pos="1307" w:val="left" w:leader="none"/>
          <w:tab w:pos="1308" w:val="left" w:leader="none"/>
        </w:tabs>
        <w:spacing w:line="206" w:lineRule="auto" w:before="89" w:after="0"/>
        <w:ind w:left="1307" w:right="1635" w:hanging="340"/>
        <w:jc w:val="left"/>
        <w:rPr>
          <w:sz w:val="20"/>
        </w:rPr>
      </w:pPr>
      <w:r>
        <w:rPr>
          <w:i/>
          <w:sz w:val="20"/>
        </w:rPr>
        <w:t>Response of Australia </w:t>
      </w:r>
      <w:r>
        <w:rPr>
          <w:i/>
          <w:spacing w:val="-3"/>
          <w:sz w:val="20"/>
        </w:rPr>
        <w:t>to </w:t>
      </w:r>
      <w:r>
        <w:rPr>
          <w:i/>
          <w:sz w:val="20"/>
        </w:rPr>
        <w:t>the Committee on the Rights of Persons with Disabilities in </w:t>
      </w:r>
      <w:r>
        <w:rPr>
          <w:i/>
          <w:sz w:val="20"/>
        </w:rPr>
        <w:t>Communication</w:t>
      </w:r>
      <w:r>
        <w:rPr>
          <w:i/>
          <w:spacing w:val="-6"/>
          <w:sz w:val="20"/>
        </w:rPr>
        <w:t> </w:t>
      </w:r>
      <w:r>
        <w:rPr>
          <w:i/>
          <w:sz w:val="20"/>
        </w:rPr>
        <w:t>No</w:t>
      </w:r>
      <w:r>
        <w:rPr>
          <w:i/>
          <w:spacing w:val="-5"/>
          <w:sz w:val="20"/>
        </w:rPr>
        <w:t> </w:t>
      </w:r>
      <w:r>
        <w:rPr>
          <w:i/>
          <w:spacing w:val="-3"/>
          <w:sz w:val="20"/>
        </w:rPr>
        <w:t>35/2016</w:t>
      </w:r>
      <w:r>
        <w:rPr>
          <w:i/>
          <w:spacing w:val="-5"/>
          <w:sz w:val="20"/>
        </w:rPr>
        <w:t> </w:t>
      </w:r>
      <w:r>
        <w:rPr>
          <w:i/>
          <w:sz w:val="20"/>
        </w:rPr>
        <w:t>(JH</w:t>
      </w:r>
      <w:r>
        <w:rPr>
          <w:i/>
          <w:spacing w:val="-5"/>
          <w:sz w:val="20"/>
        </w:rPr>
        <w:t> </w:t>
      </w:r>
      <w:r>
        <w:rPr>
          <w:i/>
          <w:sz w:val="20"/>
        </w:rPr>
        <w:t>v</w:t>
      </w:r>
      <w:r>
        <w:rPr>
          <w:i/>
          <w:spacing w:val="-5"/>
          <w:sz w:val="20"/>
        </w:rPr>
        <w:t> </w:t>
      </w:r>
      <w:r>
        <w:rPr>
          <w:i/>
          <w:sz w:val="20"/>
        </w:rPr>
        <w:t>Australia)</w:t>
      </w:r>
      <w:r>
        <w:rPr>
          <w:i/>
          <w:spacing w:val="-4"/>
          <w:sz w:val="20"/>
        </w:rPr>
        <w:t> </w:t>
      </w:r>
      <w:r>
        <w:rPr>
          <w:sz w:val="20"/>
        </w:rPr>
        <w:t>(Human</w:t>
      </w:r>
      <w:r>
        <w:rPr>
          <w:spacing w:val="-5"/>
          <w:sz w:val="20"/>
        </w:rPr>
        <w:t> </w:t>
      </w:r>
      <w:r>
        <w:rPr>
          <w:sz w:val="20"/>
        </w:rPr>
        <w:t>Rights</w:t>
      </w:r>
      <w:r>
        <w:rPr>
          <w:spacing w:val="-5"/>
          <w:sz w:val="20"/>
        </w:rPr>
        <w:t> </w:t>
      </w:r>
      <w:r>
        <w:rPr>
          <w:sz w:val="20"/>
        </w:rPr>
        <w:t>Communication,</w:t>
      </w:r>
      <w:r>
        <w:rPr>
          <w:spacing w:val="-5"/>
          <w:sz w:val="20"/>
        </w:rPr>
        <w:t> </w:t>
      </w:r>
      <w:r>
        <w:rPr>
          <w:sz w:val="20"/>
        </w:rPr>
        <w:t>11</w:t>
      </w:r>
      <w:r>
        <w:rPr>
          <w:spacing w:val="-5"/>
          <w:sz w:val="20"/>
        </w:rPr>
        <w:t> </w:t>
      </w:r>
      <w:r>
        <w:rPr>
          <w:sz w:val="20"/>
        </w:rPr>
        <w:t>February </w:t>
      </w:r>
      <w:r>
        <w:rPr>
          <w:spacing w:val="-3"/>
          <w:sz w:val="20"/>
        </w:rPr>
        <w:t>2020)</w:t>
      </w:r>
    </w:p>
    <w:p>
      <w:pPr>
        <w:pStyle w:val="BodyText"/>
        <w:spacing w:before="56"/>
        <w:ind w:left="967"/>
      </w:pPr>
      <w:r>
        <w:rPr/>
        <w:t>Australian Human Rights</w:t>
      </w:r>
      <w:r>
        <w:rPr>
          <w:spacing w:val="-21"/>
        </w:rPr>
        <w:t> </w:t>
      </w:r>
      <w:r>
        <w:rPr/>
        <w:t>Commission,</w:t>
      </w:r>
    </w:p>
    <w:p>
      <w:pPr>
        <w:pStyle w:val="ListParagraph"/>
        <w:numPr>
          <w:ilvl w:val="1"/>
          <w:numId w:val="125"/>
        </w:numPr>
        <w:tabs>
          <w:tab w:pos="1307" w:val="left" w:leader="none"/>
          <w:tab w:pos="1308" w:val="left" w:leader="none"/>
        </w:tabs>
        <w:spacing w:line="240" w:lineRule="auto" w:before="76" w:after="0"/>
        <w:ind w:left="1307" w:right="0" w:hanging="340"/>
        <w:jc w:val="left"/>
        <w:rPr>
          <w:sz w:val="20"/>
        </w:rPr>
      </w:pPr>
      <w:r>
        <w:rPr>
          <w:i/>
          <w:sz w:val="20"/>
        </w:rPr>
        <w:t>Australian Human Rights Commission </w:t>
      </w:r>
      <w:r>
        <w:rPr>
          <w:sz w:val="20"/>
        </w:rPr>
        <w:t>(Web Page, 2021)</w:t>
      </w:r>
      <w:r>
        <w:rPr>
          <w:spacing w:val="-16"/>
          <w:sz w:val="20"/>
        </w:rPr>
        <w:t> </w:t>
      </w:r>
      <w:r>
        <w:rPr>
          <w:spacing w:val="-3"/>
          <w:sz w:val="20"/>
        </w:rPr>
        <w:t>&lt;</w:t>
      </w:r>
      <w:hyperlink r:id="rId124">
        <w:r>
          <w:rPr>
            <w:spacing w:val="-3"/>
            <w:sz w:val="20"/>
          </w:rPr>
          <w:t>https://humanrights.gov.au/</w:t>
        </w:r>
      </w:hyperlink>
      <w:r>
        <w:rPr>
          <w:spacing w:val="-3"/>
          <w:sz w:val="20"/>
        </w:rPr>
        <w:t>&gt;</w:t>
      </w:r>
    </w:p>
    <w:p>
      <w:pPr>
        <w:pStyle w:val="ListParagraph"/>
        <w:numPr>
          <w:ilvl w:val="1"/>
          <w:numId w:val="125"/>
        </w:numPr>
        <w:tabs>
          <w:tab w:pos="1307" w:val="left" w:leader="none"/>
          <w:tab w:pos="1308" w:val="left" w:leader="none"/>
        </w:tabs>
        <w:spacing w:line="240" w:lineRule="auto" w:before="47" w:after="0"/>
        <w:ind w:left="1307" w:right="0" w:hanging="340"/>
        <w:jc w:val="left"/>
        <w:rPr>
          <w:sz w:val="20"/>
        </w:rPr>
      </w:pPr>
      <w:r>
        <w:rPr>
          <w:i/>
          <w:sz w:val="20"/>
        </w:rPr>
        <w:t>Equal before the </w:t>
      </w:r>
      <w:r>
        <w:rPr>
          <w:i/>
          <w:spacing w:val="-3"/>
          <w:sz w:val="20"/>
        </w:rPr>
        <w:t>Law: </w:t>
      </w:r>
      <w:r>
        <w:rPr>
          <w:i/>
          <w:spacing w:val="-4"/>
          <w:sz w:val="20"/>
        </w:rPr>
        <w:t>Towards </w:t>
      </w:r>
      <w:r>
        <w:rPr>
          <w:i/>
          <w:sz w:val="20"/>
        </w:rPr>
        <w:t>Disability Justice Strategies </w:t>
      </w:r>
      <w:r>
        <w:rPr>
          <w:sz w:val="20"/>
        </w:rPr>
        <w:t>(Report, February</w:t>
      </w:r>
      <w:r>
        <w:rPr>
          <w:spacing w:val="-19"/>
          <w:sz w:val="20"/>
        </w:rPr>
        <w:t> </w:t>
      </w:r>
      <w:r>
        <w:rPr>
          <w:sz w:val="20"/>
        </w:rPr>
        <w:t>2014)</w:t>
      </w:r>
    </w:p>
    <w:p>
      <w:pPr>
        <w:pStyle w:val="ListParagraph"/>
        <w:numPr>
          <w:ilvl w:val="1"/>
          <w:numId w:val="125"/>
        </w:numPr>
        <w:tabs>
          <w:tab w:pos="1307" w:val="left" w:leader="none"/>
          <w:tab w:pos="1308" w:val="left" w:leader="none"/>
        </w:tabs>
        <w:spacing w:line="206" w:lineRule="auto" w:before="80" w:after="0"/>
        <w:ind w:left="1307" w:right="1412" w:hanging="340"/>
        <w:jc w:val="left"/>
        <w:rPr>
          <w:sz w:val="20"/>
        </w:rPr>
      </w:pPr>
      <w:r>
        <w:rPr>
          <w:sz w:val="20"/>
        </w:rPr>
        <w:t>Submission to United Nations Committee on the Rights of Persons with Disabilities, </w:t>
      </w:r>
      <w:r>
        <w:rPr>
          <w:i/>
          <w:sz w:val="20"/>
        </w:rPr>
        <w:t>Information</w:t>
      </w:r>
      <w:r>
        <w:rPr>
          <w:i/>
          <w:spacing w:val="-8"/>
          <w:sz w:val="20"/>
        </w:rPr>
        <w:t> </w:t>
      </w:r>
      <w:r>
        <w:rPr>
          <w:i/>
          <w:sz w:val="20"/>
        </w:rPr>
        <w:t>Concerning</w:t>
      </w:r>
      <w:r>
        <w:rPr>
          <w:i/>
          <w:spacing w:val="-7"/>
          <w:sz w:val="20"/>
        </w:rPr>
        <w:t> </w:t>
      </w:r>
      <w:r>
        <w:rPr>
          <w:i/>
          <w:sz w:val="20"/>
        </w:rPr>
        <w:t>Australia’s</w:t>
      </w:r>
      <w:r>
        <w:rPr>
          <w:i/>
          <w:spacing w:val="-7"/>
          <w:sz w:val="20"/>
        </w:rPr>
        <w:t> </w:t>
      </w:r>
      <w:r>
        <w:rPr>
          <w:i/>
          <w:sz w:val="20"/>
        </w:rPr>
        <w:t>Compliance</w:t>
      </w:r>
      <w:r>
        <w:rPr>
          <w:i/>
          <w:spacing w:val="-8"/>
          <w:sz w:val="20"/>
        </w:rPr>
        <w:t> </w:t>
      </w:r>
      <w:r>
        <w:rPr>
          <w:i/>
          <w:sz w:val="20"/>
        </w:rPr>
        <w:t>with</w:t>
      </w:r>
      <w:r>
        <w:rPr>
          <w:i/>
          <w:spacing w:val="-7"/>
          <w:sz w:val="20"/>
        </w:rPr>
        <w:t> </w:t>
      </w:r>
      <w:r>
        <w:rPr>
          <w:i/>
          <w:sz w:val="20"/>
        </w:rPr>
        <w:t>the</w:t>
      </w:r>
      <w:r>
        <w:rPr>
          <w:i/>
          <w:spacing w:val="-7"/>
          <w:sz w:val="20"/>
        </w:rPr>
        <w:t> </w:t>
      </w:r>
      <w:r>
        <w:rPr>
          <w:i/>
          <w:sz w:val="20"/>
        </w:rPr>
        <w:t>Convention</w:t>
      </w:r>
      <w:r>
        <w:rPr>
          <w:i/>
          <w:spacing w:val="-7"/>
          <w:sz w:val="20"/>
        </w:rPr>
        <w:t> </w:t>
      </w:r>
      <w:r>
        <w:rPr>
          <w:i/>
          <w:sz w:val="20"/>
        </w:rPr>
        <w:t>on</w:t>
      </w:r>
      <w:r>
        <w:rPr>
          <w:i/>
          <w:spacing w:val="-8"/>
          <w:sz w:val="20"/>
        </w:rPr>
        <w:t> </w:t>
      </w:r>
      <w:r>
        <w:rPr>
          <w:i/>
          <w:sz w:val="20"/>
        </w:rPr>
        <w:t>the</w:t>
      </w:r>
      <w:r>
        <w:rPr>
          <w:i/>
          <w:spacing w:val="-7"/>
          <w:sz w:val="20"/>
        </w:rPr>
        <w:t> </w:t>
      </w:r>
      <w:r>
        <w:rPr>
          <w:i/>
          <w:sz w:val="20"/>
        </w:rPr>
        <w:t>Rights</w:t>
      </w:r>
      <w:r>
        <w:rPr>
          <w:i/>
          <w:spacing w:val="-7"/>
          <w:sz w:val="20"/>
        </w:rPr>
        <w:t> </w:t>
      </w:r>
      <w:r>
        <w:rPr>
          <w:i/>
          <w:sz w:val="20"/>
        </w:rPr>
        <w:t>of</w:t>
      </w:r>
      <w:r>
        <w:rPr>
          <w:i/>
          <w:spacing w:val="-7"/>
          <w:sz w:val="20"/>
        </w:rPr>
        <w:t> </w:t>
      </w:r>
      <w:r>
        <w:rPr>
          <w:i/>
          <w:sz w:val="20"/>
        </w:rPr>
        <w:t>Persons </w:t>
      </w:r>
      <w:r>
        <w:rPr>
          <w:i/>
          <w:sz w:val="20"/>
        </w:rPr>
        <w:t>with Disabilities </w:t>
      </w:r>
      <w:r>
        <w:rPr>
          <w:sz w:val="20"/>
        </w:rPr>
        <w:t>(25 July</w:t>
      </w:r>
      <w:r>
        <w:rPr>
          <w:spacing w:val="-8"/>
          <w:sz w:val="20"/>
        </w:rPr>
        <w:t> </w:t>
      </w:r>
      <w:r>
        <w:rPr>
          <w:sz w:val="20"/>
        </w:rPr>
        <w:t>2019)</w:t>
      </w:r>
    </w:p>
    <w:p>
      <w:pPr>
        <w:pStyle w:val="BodyText"/>
        <w:spacing w:before="57"/>
        <w:ind w:left="967"/>
      </w:pPr>
      <w:r>
        <w:rPr/>
        <w:t>Australian Institute of Health and Welfare,</w:t>
      </w:r>
    </w:p>
    <w:p>
      <w:pPr>
        <w:pStyle w:val="ListParagraph"/>
        <w:numPr>
          <w:ilvl w:val="1"/>
          <w:numId w:val="125"/>
        </w:numPr>
        <w:tabs>
          <w:tab w:pos="1307" w:val="left" w:leader="none"/>
          <w:tab w:pos="1308" w:val="left" w:leader="none"/>
        </w:tabs>
        <w:spacing w:line="259" w:lineRule="exact" w:before="76" w:after="0"/>
        <w:ind w:left="1307" w:right="0" w:hanging="340"/>
        <w:jc w:val="left"/>
        <w:rPr>
          <w:sz w:val="20"/>
        </w:rPr>
      </w:pPr>
      <w:r>
        <w:rPr>
          <w:spacing w:val="-3"/>
          <w:sz w:val="20"/>
        </w:rPr>
        <w:t>‘Australia’s </w:t>
      </w:r>
      <w:r>
        <w:rPr>
          <w:sz w:val="20"/>
        </w:rPr>
        <w:t>Health </w:t>
      </w:r>
      <w:r>
        <w:rPr>
          <w:spacing w:val="-5"/>
          <w:sz w:val="20"/>
        </w:rPr>
        <w:t>2020’, </w:t>
      </w:r>
      <w:r>
        <w:rPr>
          <w:i/>
          <w:sz w:val="20"/>
        </w:rPr>
        <w:t>Australian Institute of Health and </w:t>
      </w:r>
      <w:r>
        <w:rPr>
          <w:i/>
          <w:spacing w:val="-4"/>
          <w:sz w:val="20"/>
        </w:rPr>
        <w:t>Welfare </w:t>
      </w:r>
      <w:r>
        <w:rPr>
          <w:sz w:val="20"/>
        </w:rPr>
        <w:t>(Web</w:t>
      </w:r>
      <w:r>
        <w:rPr>
          <w:spacing w:val="-13"/>
          <w:sz w:val="20"/>
        </w:rPr>
        <w:t> </w:t>
      </w:r>
      <w:r>
        <w:rPr>
          <w:sz w:val="20"/>
        </w:rPr>
        <w:t>Page)</w:t>
      </w:r>
    </w:p>
    <w:p>
      <w:pPr>
        <w:pStyle w:val="BodyText"/>
        <w:spacing w:line="259" w:lineRule="exact"/>
        <w:ind w:left="1307"/>
      </w:pPr>
      <w:r>
        <w:rPr/>
        <w:t>&lt;</w:t>
      </w:r>
      <w:hyperlink r:id="rId53">
        <w:r>
          <w:rPr/>
          <w:t>https://www.aihw.gov.au/reports-data/australias-health</w:t>
        </w:r>
      </w:hyperlink>
      <w:r>
        <w:rPr/>
        <w:t>&gt;</w:t>
      </w:r>
    </w:p>
    <w:p>
      <w:pPr>
        <w:pStyle w:val="ListParagraph"/>
        <w:numPr>
          <w:ilvl w:val="1"/>
          <w:numId w:val="125"/>
        </w:numPr>
        <w:tabs>
          <w:tab w:pos="1307" w:val="left" w:leader="none"/>
          <w:tab w:pos="1308" w:val="left" w:leader="none"/>
        </w:tabs>
        <w:spacing w:line="206" w:lineRule="auto" w:before="79" w:after="0"/>
        <w:ind w:left="1307" w:right="1582" w:hanging="340"/>
        <w:jc w:val="left"/>
        <w:rPr>
          <w:sz w:val="20"/>
        </w:rPr>
      </w:pPr>
      <w:r>
        <w:rPr>
          <w:i/>
          <w:sz w:val="20"/>
        </w:rPr>
        <w:t>Australia’s</w:t>
      </w:r>
      <w:r>
        <w:rPr>
          <w:i/>
          <w:spacing w:val="-7"/>
          <w:sz w:val="20"/>
        </w:rPr>
        <w:t> </w:t>
      </w:r>
      <w:r>
        <w:rPr>
          <w:i/>
          <w:sz w:val="20"/>
        </w:rPr>
        <w:t>Health</w:t>
      </w:r>
      <w:r>
        <w:rPr>
          <w:i/>
          <w:spacing w:val="-6"/>
          <w:sz w:val="20"/>
        </w:rPr>
        <w:t> </w:t>
      </w:r>
      <w:r>
        <w:rPr>
          <w:i/>
          <w:sz w:val="20"/>
        </w:rPr>
        <w:t>2020:</w:t>
      </w:r>
      <w:r>
        <w:rPr>
          <w:i/>
          <w:spacing w:val="-6"/>
          <w:sz w:val="20"/>
        </w:rPr>
        <w:t> </w:t>
      </w:r>
      <w:r>
        <w:rPr>
          <w:i/>
          <w:sz w:val="20"/>
        </w:rPr>
        <w:t>Data</w:t>
      </w:r>
      <w:r>
        <w:rPr>
          <w:i/>
          <w:spacing w:val="-6"/>
          <w:sz w:val="20"/>
        </w:rPr>
        <w:t> </w:t>
      </w:r>
      <w:r>
        <w:rPr>
          <w:i/>
          <w:sz w:val="20"/>
        </w:rPr>
        <w:t>Insights</w:t>
      </w:r>
      <w:r>
        <w:rPr>
          <w:i/>
          <w:spacing w:val="-5"/>
          <w:sz w:val="20"/>
        </w:rPr>
        <w:t> </w:t>
      </w:r>
      <w:r>
        <w:rPr>
          <w:sz w:val="20"/>
        </w:rPr>
        <w:t>(Australia’s</w:t>
      </w:r>
      <w:r>
        <w:rPr>
          <w:spacing w:val="-7"/>
          <w:sz w:val="20"/>
        </w:rPr>
        <w:t> </w:t>
      </w:r>
      <w:r>
        <w:rPr>
          <w:sz w:val="20"/>
        </w:rPr>
        <w:t>Health</w:t>
      </w:r>
      <w:r>
        <w:rPr>
          <w:spacing w:val="-6"/>
          <w:sz w:val="20"/>
        </w:rPr>
        <w:t> </w:t>
      </w:r>
      <w:r>
        <w:rPr>
          <w:sz w:val="20"/>
        </w:rPr>
        <w:t>Series</w:t>
      </w:r>
      <w:r>
        <w:rPr>
          <w:spacing w:val="-6"/>
          <w:sz w:val="20"/>
        </w:rPr>
        <w:t> </w:t>
      </w:r>
      <w:r>
        <w:rPr>
          <w:sz w:val="20"/>
        </w:rPr>
        <w:t>No</w:t>
      </w:r>
      <w:r>
        <w:rPr>
          <w:spacing w:val="-6"/>
          <w:sz w:val="20"/>
        </w:rPr>
        <w:t> </w:t>
      </w:r>
      <w:r>
        <w:rPr>
          <w:spacing w:val="2"/>
          <w:sz w:val="20"/>
        </w:rPr>
        <w:t>15,</w:t>
      </w:r>
      <w:r>
        <w:rPr>
          <w:spacing w:val="-7"/>
          <w:sz w:val="20"/>
        </w:rPr>
        <w:t> </w:t>
      </w:r>
      <w:r>
        <w:rPr>
          <w:sz w:val="20"/>
        </w:rPr>
        <w:t>Catalogue</w:t>
      </w:r>
      <w:r>
        <w:rPr>
          <w:spacing w:val="-6"/>
          <w:sz w:val="20"/>
        </w:rPr>
        <w:t> </w:t>
      </w:r>
      <w:r>
        <w:rPr>
          <w:sz w:val="20"/>
        </w:rPr>
        <w:t>No</w:t>
      </w:r>
      <w:r>
        <w:rPr>
          <w:spacing w:val="-6"/>
          <w:sz w:val="20"/>
        </w:rPr>
        <w:t> </w:t>
      </w:r>
      <w:r>
        <w:rPr>
          <w:spacing w:val="-3"/>
          <w:sz w:val="20"/>
        </w:rPr>
        <w:t>AUS </w:t>
      </w:r>
      <w:r>
        <w:rPr>
          <w:sz w:val="20"/>
        </w:rPr>
        <w:t>231, </w:t>
      </w:r>
      <w:r>
        <w:rPr>
          <w:spacing w:val="-3"/>
          <w:sz w:val="20"/>
        </w:rPr>
        <w:t>2020)</w:t>
      </w:r>
      <w:r>
        <w:rPr>
          <w:spacing w:val="-4"/>
          <w:sz w:val="20"/>
        </w:rPr>
        <w:t> </w:t>
      </w:r>
      <w:r>
        <w:rPr>
          <w:spacing w:val="-3"/>
          <w:sz w:val="20"/>
        </w:rPr>
        <w:t>&lt;</w:t>
      </w:r>
      <w:hyperlink r:id="rId68">
        <w:r>
          <w:rPr>
            <w:spacing w:val="-3"/>
            <w:sz w:val="20"/>
          </w:rPr>
          <w:t>https://www.aihw.gov.au/reports</w:t>
        </w:r>
      </w:hyperlink>
      <w:r>
        <w:rPr>
          <w:spacing w:val="-3"/>
          <w:sz w:val="20"/>
        </w:rPr>
        <w:t>&gt;</w:t>
      </w:r>
    </w:p>
    <w:p>
      <w:pPr>
        <w:pStyle w:val="ListParagraph"/>
        <w:numPr>
          <w:ilvl w:val="1"/>
          <w:numId w:val="125"/>
        </w:numPr>
        <w:tabs>
          <w:tab w:pos="1307" w:val="left" w:leader="none"/>
          <w:tab w:pos="1308" w:val="left" w:leader="none"/>
        </w:tabs>
        <w:spacing w:line="240" w:lineRule="auto" w:before="56" w:after="0"/>
        <w:ind w:left="1307" w:right="0" w:hanging="340"/>
        <w:jc w:val="left"/>
        <w:rPr>
          <w:sz w:val="20"/>
        </w:rPr>
      </w:pPr>
      <w:r>
        <w:rPr>
          <w:i/>
          <w:sz w:val="20"/>
        </w:rPr>
        <w:t>Australia’s Health 2020: In Brief </w:t>
      </w:r>
      <w:r>
        <w:rPr>
          <w:sz w:val="20"/>
        </w:rPr>
        <w:t>(Australia’s Health Series No </w:t>
      </w:r>
      <w:r>
        <w:rPr>
          <w:spacing w:val="-9"/>
          <w:sz w:val="20"/>
        </w:rPr>
        <w:t>17, </w:t>
      </w:r>
      <w:r>
        <w:rPr>
          <w:sz w:val="20"/>
        </w:rPr>
        <w:t>Catalogue No </w:t>
      </w:r>
      <w:r>
        <w:rPr>
          <w:spacing w:val="-3"/>
          <w:sz w:val="20"/>
        </w:rPr>
        <w:t>AUS</w:t>
      </w:r>
      <w:r>
        <w:rPr>
          <w:spacing w:val="-30"/>
          <w:sz w:val="20"/>
        </w:rPr>
        <w:t> </w:t>
      </w:r>
      <w:r>
        <w:rPr>
          <w:sz w:val="20"/>
        </w:rPr>
        <w:t>232,</w:t>
      </w:r>
    </w:p>
    <w:p>
      <w:pPr>
        <w:spacing w:before="157"/>
        <w:ind w:left="0" w:right="212" w:firstLine="0"/>
        <w:jc w:val="right"/>
        <w:rPr>
          <w:b/>
          <w:sz w:val="24"/>
        </w:rPr>
      </w:pPr>
      <w:r>
        <w:rPr>
          <w:b/>
          <w:color w:val="37617A"/>
          <w:sz w:val="24"/>
        </w:rPr>
        <w:t>235</w:t>
      </w:r>
    </w:p>
    <w:p>
      <w:pPr>
        <w:spacing w:after="0"/>
        <w:jc w:val="right"/>
        <w:rPr>
          <w:sz w:val="24"/>
        </w:rPr>
        <w:sectPr>
          <w:headerReference w:type="default" r:id="rId279"/>
          <w:headerReference w:type="even" r:id="rId280"/>
          <w:pgSz w:w="11910" w:h="16840"/>
          <w:pgMar w:header="0" w:footer="0" w:top="840" w:bottom="280" w:left="620" w:right="380"/>
        </w:sectPr>
      </w:pPr>
    </w:p>
    <w:p>
      <w:pPr>
        <w:pStyle w:val="BodyText"/>
        <w:rPr>
          <w:b/>
        </w:rPr>
      </w:pPr>
    </w:p>
    <w:p>
      <w:pPr>
        <w:pStyle w:val="BodyText"/>
        <w:rPr>
          <w:b/>
        </w:rPr>
      </w:pPr>
    </w:p>
    <w:p>
      <w:pPr>
        <w:pStyle w:val="BodyText"/>
        <w:rPr>
          <w:b/>
        </w:rPr>
      </w:pPr>
    </w:p>
    <w:p>
      <w:pPr>
        <w:pStyle w:val="BodyText"/>
        <w:spacing w:before="11"/>
        <w:rPr>
          <w:b/>
          <w:sz w:val="18"/>
        </w:rPr>
      </w:pPr>
    </w:p>
    <w:p>
      <w:pPr>
        <w:pStyle w:val="BodyText"/>
        <w:spacing w:line="206" w:lineRule="auto"/>
        <w:ind w:left="1307" w:right="1277"/>
      </w:pPr>
      <w:r>
        <w:rPr>
          <w:spacing w:val="-3"/>
        </w:rPr>
        <w:t>2020) &lt;</w:t>
      </w:r>
      <w:hyperlink r:id="rId66">
        <w:r>
          <w:rPr>
            <w:spacing w:val="-3"/>
          </w:rPr>
          <w:t>https://www.aihw.gov.au/reports/australias-health/australias-health-2020-in-brief/</w:t>
        </w:r>
      </w:hyperlink>
      <w:r>
        <w:rPr>
          <w:spacing w:val="-3"/>
        </w:rPr>
        <w:t> </w:t>
      </w:r>
      <w:hyperlink r:id="rId66">
        <w:r>
          <w:rPr/>
          <w:t>summary</w:t>
        </w:r>
      </w:hyperlink>
      <w:r>
        <w:rPr/>
        <w:t>&gt;</w:t>
      </w:r>
    </w:p>
    <w:p>
      <w:pPr>
        <w:pStyle w:val="ListParagraph"/>
        <w:numPr>
          <w:ilvl w:val="0"/>
          <w:numId w:val="131"/>
        </w:numPr>
        <w:tabs>
          <w:tab w:pos="1307" w:val="left" w:leader="none"/>
          <w:tab w:pos="1308" w:val="left" w:leader="none"/>
        </w:tabs>
        <w:spacing w:line="206" w:lineRule="auto" w:before="88" w:after="0"/>
        <w:ind w:left="1307" w:right="2108" w:hanging="340"/>
        <w:jc w:val="left"/>
        <w:rPr>
          <w:sz w:val="20"/>
        </w:rPr>
      </w:pPr>
      <w:r>
        <w:rPr>
          <w:i/>
          <w:sz w:val="20"/>
        </w:rPr>
        <w:t>Australia’s Health 2016 </w:t>
      </w:r>
      <w:r>
        <w:rPr>
          <w:sz w:val="20"/>
        </w:rPr>
        <w:t>(Australia’s Health Series No </w:t>
      </w:r>
      <w:r>
        <w:rPr>
          <w:spacing w:val="2"/>
          <w:sz w:val="20"/>
        </w:rPr>
        <w:t>15, </w:t>
      </w:r>
      <w:r>
        <w:rPr>
          <w:sz w:val="20"/>
        </w:rPr>
        <w:t>Catalogue No </w:t>
      </w:r>
      <w:r>
        <w:rPr>
          <w:spacing w:val="-3"/>
          <w:sz w:val="20"/>
        </w:rPr>
        <w:t>AUS </w:t>
      </w:r>
      <w:r>
        <w:rPr>
          <w:sz w:val="20"/>
        </w:rPr>
        <w:t>199, 13 September </w:t>
      </w:r>
      <w:r>
        <w:rPr>
          <w:spacing w:val="-3"/>
          <w:sz w:val="20"/>
        </w:rPr>
        <w:t>2016) &lt;</w:t>
      </w:r>
      <w:hyperlink r:id="rId60">
        <w:r>
          <w:rPr>
            <w:spacing w:val="-3"/>
            <w:sz w:val="20"/>
          </w:rPr>
          <w:t>https://www.aihw.gov.au/reports/australias-health/australias-</w:t>
        </w:r>
      </w:hyperlink>
      <w:hyperlink r:id="rId60">
        <w:r>
          <w:rPr>
            <w:spacing w:val="-3"/>
            <w:sz w:val="20"/>
          </w:rPr>
          <w:t> health-2016/contents/summary</w:t>
        </w:r>
      </w:hyperlink>
      <w:r>
        <w:rPr>
          <w:spacing w:val="-3"/>
          <w:sz w:val="20"/>
        </w:rPr>
        <w:t>&gt;</w:t>
      </w:r>
    </w:p>
    <w:p>
      <w:pPr>
        <w:pStyle w:val="ListParagraph"/>
        <w:numPr>
          <w:ilvl w:val="0"/>
          <w:numId w:val="131"/>
        </w:numPr>
        <w:tabs>
          <w:tab w:pos="1307" w:val="left" w:leader="none"/>
          <w:tab w:pos="1308" w:val="left" w:leader="none"/>
        </w:tabs>
        <w:spacing w:line="206" w:lineRule="auto" w:before="89" w:after="0"/>
        <w:ind w:left="1307" w:right="1333" w:hanging="340"/>
        <w:jc w:val="left"/>
        <w:rPr>
          <w:sz w:val="20"/>
        </w:rPr>
      </w:pPr>
      <w:r>
        <w:rPr>
          <w:spacing w:val="-3"/>
          <w:sz w:val="20"/>
        </w:rPr>
        <w:t>‘Eye</w:t>
      </w:r>
      <w:r>
        <w:rPr>
          <w:spacing w:val="-7"/>
          <w:sz w:val="20"/>
        </w:rPr>
        <w:t> </w:t>
      </w:r>
      <w:r>
        <w:rPr>
          <w:sz w:val="20"/>
        </w:rPr>
        <w:t>Health,</w:t>
      </w:r>
      <w:r>
        <w:rPr>
          <w:spacing w:val="-7"/>
          <w:sz w:val="20"/>
        </w:rPr>
        <w:t> </w:t>
      </w:r>
      <w:r>
        <w:rPr>
          <w:sz w:val="20"/>
        </w:rPr>
        <w:t>How</w:t>
      </w:r>
      <w:r>
        <w:rPr>
          <w:spacing w:val="-7"/>
          <w:sz w:val="20"/>
        </w:rPr>
        <w:t> </w:t>
      </w:r>
      <w:r>
        <w:rPr>
          <w:sz w:val="20"/>
        </w:rPr>
        <w:t>Common</w:t>
      </w:r>
      <w:r>
        <w:rPr>
          <w:spacing w:val="-7"/>
          <w:sz w:val="20"/>
        </w:rPr>
        <w:t> </w:t>
      </w:r>
      <w:r>
        <w:rPr>
          <w:sz w:val="20"/>
        </w:rPr>
        <w:t>Is</w:t>
      </w:r>
      <w:r>
        <w:rPr>
          <w:spacing w:val="-7"/>
          <w:sz w:val="20"/>
        </w:rPr>
        <w:t> </w:t>
      </w:r>
      <w:r>
        <w:rPr>
          <w:sz w:val="20"/>
        </w:rPr>
        <w:t>Visual</w:t>
      </w:r>
      <w:r>
        <w:rPr>
          <w:spacing w:val="-7"/>
          <w:sz w:val="20"/>
        </w:rPr>
        <w:t> </w:t>
      </w:r>
      <w:r>
        <w:rPr>
          <w:sz w:val="20"/>
        </w:rPr>
        <w:t>Impairment?’,</w:t>
      </w:r>
      <w:r>
        <w:rPr>
          <w:spacing w:val="-7"/>
          <w:sz w:val="20"/>
        </w:rPr>
        <w:t> </w:t>
      </w:r>
      <w:r>
        <w:rPr>
          <w:i/>
          <w:sz w:val="20"/>
        </w:rPr>
        <w:t>Australian</w:t>
      </w:r>
      <w:r>
        <w:rPr>
          <w:i/>
          <w:spacing w:val="-6"/>
          <w:sz w:val="20"/>
        </w:rPr>
        <w:t> </w:t>
      </w:r>
      <w:r>
        <w:rPr>
          <w:i/>
          <w:sz w:val="20"/>
        </w:rPr>
        <w:t>Institute</w:t>
      </w:r>
      <w:r>
        <w:rPr>
          <w:i/>
          <w:spacing w:val="-7"/>
          <w:sz w:val="20"/>
        </w:rPr>
        <w:t> </w:t>
      </w:r>
      <w:r>
        <w:rPr>
          <w:i/>
          <w:sz w:val="20"/>
        </w:rPr>
        <w:t>of</w:t>
      </w:r>
      <w:r>
        <w:rPr>
          <w:i/>
          <w:spacing w:val="-7"/>
          <w:sz w:val="20"/>
        </w:rPr>
        <w:t> </w:t>
      </w:r>
      <w:r>
        <w:rPr>
          <w:i/>
          <w:sz w:val="20"/>
        </w:rPr>
        <w:t>Health</w:t>
      </w:r>
      <w:r>
        <w:rPr>
          <w:i/>
          <w:spacing w:val="-7"/>
          <w:sz w:val="20"/>
        </w:rPr>
        <w:t> </w:t>
      </w:r>
      <w:r>
        <w:rPr>
          <w:i/>
          <w:sz w:val="20"/>
        </w:rPr>
        <w:t>and</w:t>
      </w:r>
      <w:r>
        <w:rPr>
          <w:i/>
          <w:spacing w:val="-7"/>
          <w:sz w:val="20"/>
        </w:rPr>
        <w:t> </w:t>
      </w:r>
      <w:r>
        <w:rPr>
          <w:i/>
          <w:spacing w:val="-4"/>
          <w:sz w:val="20"/>
        </w:rPr>
        <w:t>Welfare </w:t>
      </w:r>
      <w:r>
        <w:rPr>
          <w:sz w:val="20"/>
        </w:rPr>
        <w:t>(Web Page) </w:t>
      </w:r>
      <w:r>
        <w:rPr>
          <w:spacing w:val="-3"/>
          <w:sz w:val="20"/>
        </w:rPr>
        <w:t>&lt;</w:t>
      </w:r>
      <w:hyperlink r:id="rId55">
        <w:r>
          <w:rPr>
            <w:spacing w:val="-3"/>
            <w:sz w:val="20"/>
          </w:rPr>
          <w:t>https://www.aihw.gov.au/reports/eye-health/eye-health/contents/how-</w:t>
        </w:r>
      </w:hyperlink>
      <w:hyperlink r:id="rId55">
        <w:r>
          <w:rPr>
            <w:spacing w:val="-3"/>
            <w:sz w:val="20"/>
          </w:rPr>
          <w:t> </w:t>
        </w:r>
        <w:r>
          <w:rPr>
            <w:sz w:val="20"/>
          </w:rPr>
          <w:t>common-is-visual-impairment</w:t>
        </w:r>
      </w:hyperlink>
      <w:r>
        <w:rPr>
          <w:sz w:val="20"/>
        </w:rPr>
        <w:t>&gt;</w:t>
      </w:r>
    </w:p>
    <w:p>
      <w:pPr>
        <w:pStyle w:val="ListParagraph"/>
        <w:numPr>
          <w:ilvl w:val="0"/>
          <w:numId w:val="131"/>
        </w:numPr>
        <w:tabs>
          <w:tab w:pos="1307" w:val="left" w:leader="none"/>
          <w:tab w:pos="1308" w:val="left" w:leader="none"/>
        </w:tabs>
        <w:spacing w:line="206" w:lineRule="auto" w:before="88" w:after="0"/>
        <w:ind w:left="1307" w:right="1549" w:hanging="340"/>
        <w:jc w:val="left"/>
        <w:rPr>
          <w:sz w:val="20"/>
        </w:rPr>
      </w:pPr>
      <w:r>
        <w:rPr>
          <w:i/>
          <w:spacing w:val="-4"/>
          <w:sz w:val="20"/>
        </w:rPr>
        <w:t>Eye </w:t>
      </w:r>
      <w:r>
        <w:rPr>
          <w:i/>
          <w:sz w:val="20"/>
        </w:rPr>
        <w:t>Health </w:t>
      </w:r>
      <w:r>
        <w:rPr>
          <w:sz w:val="20"/>
        </w:rPr>
        <w:t>(Online Report, Catalogue No PHE 260, 11 February 2021) </w:t>
      </w:r>
      <w:r>
        <w:rPr>
          <w:spacing w:val="-4"/>
          <w:sz w:val="20"/>
        </w:rPr>
        <w:t>&lt;</w:t>
      </w:r>
      <w:hyperlink r:id="rId55">
        <w:r>
          <w:rPr>
            <w:spacing w:val="-4"/>
            <w:sz w:val="20"/>
          </w:rPr>
          <w:t>https://www.aihw.</w:t>
        </w:r>
      </w:hyperlink>
      <w:hyperlink r:id="rId55">
        <w:r>
          <w:rPr>
            <w:spacing w:val="-4"/>
            <w:sz w:val="20"/>
          </w:rPr>
          <w:t> </w:t>
        </w:r>
        <w:r>
          <w:rPr>
            <w:spacing w:val="-3"/>
            <w:sz w:val="20"/>
          </w:rPr>
          <w:t>gov.au/reports/eye-health/eye-health/contents/how-common-is-visual-impairment</w:t>
        </w:r>
      </w:hyperlink>
      <w:r>
        <w:rPr>
          <w:spacing w:val="-3"/>
          <w:sz w:val="20"/>
        </w:rPr>
        <w:t>&gt;.</w:t>
      </w:r>
    </w:p>
    <w:p>
      <w:pPr>
        <w:pStyle w:val="ListParagraph"/>
        <w:numPr>
          <w:ilvl w:val="0"/>
          <w:numId w:val="131"/>
        </w:numPr>
        <w:tabs>
          <w:tab w:pos="1307" w:val="left" w:leader="none"/>
          <w:tab w:pos="1308" w:val="left" w:leader="none"/>
        </w:tabs>
        <w:spacing w:line="206" w:lineRule="auto" w:before="88" w:after="0"/>
        <w:ind w:left="1307" w:right="1574" w:hanging="340"/>
        <w:jc w:val="left"/>
        <w:rPr>
          <w:sz w:val="20"/>
        </w:rPr>
      </w:pPr>
      <w:r>
        <w:rPr>
          <w:i/>
          <w:sz w:val="20"/>
        </w:rPr>
        <w:t>Indigenous</w:t>
      </w:r>
      <w:r>
        <w:rPr>
          <w:i/>
          <w:spacing w:val="-6"/>
          <w:sz w:val="20"/>
        </w:rPr>
        <w:t> </w:t>
      </w:r>
      <w:r>
        <w:rPr>
          <w:i/>
          <w:spacing w:val="-4"/>
          <w:sz w:val="20"/>
        </w:rPr>
        <w:t>Eye</w:t>
      </w:r>
      <w:r>
        <w:rPr>
          <w:i/>
          <w:spacing w:val="-6"/>
          <w:sz w:val="20"/>
        </w:rPr>
        <w:t> </w:t>
      </w:r>
      <w:r>
        <w:rPr>
          <w:i/>
          <w:sz w:val="20"/>
        </w:rPr>
        <w:t>Health</w:t>
      </w:r>
      <w:r>
        <w:rPr>
          <w:i/>
          <w:spacing w:val="-5"/>
          <w:sz w:val="20"/>
        </w:rPr>
        <w:t> </w:t>
      </w:r>
      <w:r>
        <w:rPr>
          <w:i/>
          <w:sz w:val="20"/>
        </w:rPr>
        <w:t>Measures</w:t>
      </w:r>
      <w:r>
        <w:rPr>
          <w:i/>
          <w:spacing w:val="-6"/>
          <w:sz w:val="20"/>
        </w:rPr>
        <w:t> </w:t>
      </w:r>
      <w:r>
        <w:rPr>
          <w:i/>
          <w:sz w:val="20"/>
        </w:rPr>
        <w:t>2020</w:t>
      </w:r>
      <w:r>
        <w:rPr>
          <w:i/>
          <w:spacing w:val="-4"/>
          <w:sz w:val="20"/>
        </w:rPr>
        <w:t> </w:t>
      </w:r>
      <w:r>
        <w:rPr>
          <w:sz w:val="20"/>
        </w:rPr>
        <w:t>(Report,</w:t>
      </w:r>
      <w:r>
        <w:rPr>
          <w:spacing w:val="-6"/>
          <w:sz w:val="20"/>
        </w:rPr>
        <w:t> </w:t>
      </w:r>
      <w:r>
        <w:rPr>
          <w:sz w:val="20"/>
        </w:rPr>
        <w:t>Australian</w:t>
      </w:r>
      <w:r>
        <w:rPr>
          <w:spacing w:val="-6"/>
          <w:sz w:val="20"/>
        </w:rPr>
        <w:t> </w:t>
      </w:r>
      <w:r>
        <w:rPr>
          <w:sz w:val="20"/>
        </w:rPr>
        <w:t>Institute</w:t>
      </w:r>
      <w:r>
        <w:rPr>
          <w:spacing w:val="-5"/>
          <w:sz w:val="20"/>
        </w:rPr>
        <w:t> </w:t>
      </w:r>
      <w:r>
        <w:rPr>
          <w:sz w:val="20"/>
        </w:rPr>
        <w:t>of</w:t>
      </w:r>
      <w:r>
        <w:rPr>
          <w:spacing w:val="-6"/>
          <w:sz w:val="20"/>
        </w:rPr>
        <w:t> </w:t>
      </w:r>
      <w:r>
        <w:rPr>
          <w:sz w:val="20"/>
        </w:rPr>
        <w:t>Health</w:t>
      </w:r>
      <w:r>
        <w:rPr>
          <w:spacing w:val="-6"/>
          <w:sz w:val="20"/>
        </w:rPr>
        <w:t> </w:t>
      </w:r>
      <w:r>
        <w:rPr>
          <w:sz w:val="20"/>
        </w:rPr>
        <w:t>and</w:t>
      </w:r>
      <w:r>
        <w:rPr>
          <w:spacing w:val="-5"/>
          <w:sz w:val="20"/>
        </w:rPr>
        <w:t> </w:t>
      </w:r>
      <w:r>
        <w:rPr>
          <w:spacing w:val="-3"/>
          <w:sz w:val="20"/>
        </w:rPr>
        <w:t>Welfare, 2020)</w:t>
      </w:r>
    </w:p>
    <w:p>
      <w:pPr>
        <w:pStyle w:val="BodyText"/>
        <w:spacing w:line="304" w:lineRule="auto" w:before="55"/>
        <w:ind w:left="967" w:right="1620"/>
      </w:pPr>
      <w:r>
        <w:rPr/>
        <w:t>Australian Institute of Interpreters and Translators (AUSIT), </w:t>
      </w:r>
      <w:r>
        <w:rPr>
          <w:i/>
        </w:rPr>
        <w:t>Code of Ethics </w:t>
      </w:r>
      <w:r>
        <w:rPr/>
        <w:t>(November 2012) Australian Law Reform Commission,</w:t>
      </w:r>
    </w:p>
    <w:p>
      <w:pPr>
        <w:pStyle w:val="ListParagraph"/>
        <w:numPr>
          <w:ilvl w:val="0"/>
          <w:numId w:val="131"/>
        </w:numPr>
        <w:tabs>
          <w:tab w:pos="1307" w:val="left" w:leader="none"/>
          <w:tab w:pos="1308" w:val="left" w:leader="none"/>
        </w:tabs>
        <w:spacing w:line="206" w:lineRule="auto" w:before="34" w:after="0"/>
        <w:ind w:left="1307" w:right="1538" w:hanging="340"/>
        <w:jc w:val="left"/>
        <w:rPr>
          <w:sz w:val="20"/>
        </w:rPr>
      </w:pPr>
      <w:r>
        <w:rPr>
          <w:i/>
          <w:sz w:val="20"/>
        </w:rPr>
        <w:t>Equality,</w:t>
      </w:r>
      <w:r>
        <w:rPr>
          <w:i/>
          <w:spacing w:val="-5"/>
          <w:sz w:val="20"/>
        </w:rPr>
        <w:t> </w:t>
      </w:r>
      <w:r>
        <w:rPr>
          <w:i/>
          <w:sz w:val="20"/>
        </w:rPr>
        <w:t>Capacity</w:t>
      </w:r>
      <w:r>
        <w:rPr>
          <w:i/>
          <w:spacing w:val="-5"/>
          <w:sz w:val="20"/>
        </w:rPr>
        <w:t> </w:t>
      </w:r>
      <w:r>
        <w:rPr>
          <w:i/>
          <w:sz w:val="20"/>
        </w:rPr>
        <w:t>and</w:t>
      </w:r>
      <w:r>
        <w:rPr>
          <w:i/>
          <w:spacing w:val="-4"/>
          <w:sz w:val="20"/>
        </w:rPr>
        <w:t> </w:t>
      </w:r>
      <w:r>
        <w:rPr>
          <w:i/>
          <w:sz w:val="20"/>
        </w:rPr>
        <w:t>Disability</w:t>
      </w:r>
      <w:r>
        <w:rPr>
          <w:i/>
          <w:spacing w:val="-5"/>
          <w:sz w:val="20"/>
        </w:rPr>
        <w:t> </w:t>
      </w:r>
      <w:r>
        <w:rPr>
          <w:i/>
          <w:sz w:val="20"/>
        </w:rPr>
        <w:t>in</w:t>
      </w:r>
      <w:r>
        <w:rPr>
          <w:i/>
          <w:spacing w:val="-5"/>
          <w:sz w:val="20"/>
        </w:rPr>
        <w:t> </w:t>
      </w:r>
      <w:r>
        <w:rPr>
          <w:i/>
          <w:sz w:val="20"/>
        </w:rPr>
        <w:t>Commonwealth</w:t>
      </w:r>
      <w:r>
        <w:rPr>
          <w:i/>
          <w:spacing w:val="-4"/>
          <w:sz w:val="20"/>
        </w:rPr>
        <w:t> </w:t>
      </w:r>
      <w:r>
        <w:rPr>
          <w:i/>
          <w:spacing w:val="-3"/>
          <w:sz w:val="20"/>
        </w:rPr>
        <w:t>Laws</w:t>
      </w:r>
      <w:r>
        <w:rPr>
          <w:i/>
          <w:spacing w:val="-4"/>
          <w:sz w:val="20"/>
        </w:rPr>
        <w:t> </w:t>
      </w:r>
      <w:r>
        <w:rPr>
          <w:sz w:val="20"/>
        </w:rPr>
        <w:t>(Discussion</w:t>
      </w:r>
      <w:r>
        <w:rPr>
          <w:spacing w:val="-5"/>
          <w:sz w:val="20"/>
        </w:rPr>
        <w:t> </w:t>
      </w:r>
      <w:r>
        <w:rPr>
          <w:sz w:val="20"/>
        </w:rPr>
        <w:t>Paper</w:t>
      </w:r>
      <w:r>
        <w:rPr>
          <w:spacing w:val="-4"/>
          <w:sz w:val="20"/>
        </w:rPr>
        <w:t> </w:t>
      </w:r>
      <w:r>
        <w:rPr>
          <w:sz w:val="20"/>
        </w:rPr>
        <w:t>No</w:t>
      </w:r>
      <w:r>
        <w:rPr>
          <w:spacing w:val="-5"/>
          <w:sz w:val="20"/>
        </w:rPr>
        <w:t> </w:t>
      </w:r>
      <w:r>
        <w:rPr>
          <w:sz w:val="20"/>
        </w:rPr>
        <w:t>81,</w:t>
      </w:r>
      <w:r>
        <w:rPr>
          <w:spacing w:val="-5"/>
          <w:sz w:val="20"/>
        </w:rPr>
        <w:t> </w:t>
      </w:r>
      <w:r>
        <w:rPr>
          <w:sz w:val="20"/>
        </w:rPr>
        <w:t>22</w:t>
      </w:r>
      <w:r>
        <w:rPr>
          <w:spacing w:val="-4"/>
          <w:sz w:val="20"/>
        </w:rPr>
        <w:t> </w:t>
      </w:r>
      <w:r>
        <w:rPr>
          <w:sz w:val="20"/>
        </w:rPr>
        <w:t>May 2014)</w:t>
      </w:r>
    </w:p>
    <w:p>
      <w:pPr>
        <w:pStyle w:val="ListParagraph"/>
        <w:numPr>
          <w:ilvl w:val="0"/>
          <w:numId w:val="131"/>
        </w:numPr>
        <w:tabs>
          <w:tab w:pos="1307" w:val="left" w:leader="none"/>
          <w:tab w:pos="1308" w:val="left" w:leader="none"/>
        </w:tabs>
        <w:spacing w:line="240" w:lineRule="auto" w:before="56" w:after="0"/>
        <w:ind w:left="1307" w:right="0" w:hanging="340"/>
        <w:jc w:val="left"/>
        <w:rPr>
          <w:sz w:val="20"/>
        </w:rPr>
      </w:pPr>
      <w:r>
        <w:rPr>
          <w:i/>
          <w:sz w:val="20"/>
        </w:rPr>
        <w:t>Equality, Capacity and Disability in Commonwealth </w:t>
      </w:r>
      <w:r>
        <w:rPr>
          <w:i/>
          <w:spacing w:val="-3"/>
          <w:sz w:val="20"/>
        </w:rPr>
        <w:t>Laws </w:t>
      </w:r>
      <w:r>
        <w:rPr>
          <w:sz w:val="20"/>
        </w:rPr>
        <w:t>(Report No </w:t>
      </w:r>
      <w:r>
        <w:rPr>
          <w:spacing w:val="2"/>
          <w:sz w:val="20"/>
        </w:rPr>
        <w:t>124, </w:t>
      </w:r>
      <w:r>
        <w:rPr>
          <w:sz w:val="20"/>
        </w:rPr>
        <w:t>August</w:t>
      </w:r>
      <w:r>
        <w:rPr>
          <w:spacing w:val="-26"/>
          <w:sz w:val="20"/>
        </w:rPr>
        <w:t> </w:t>
      </w:r>
      <w:r>
        <w:rPr>
          <w:sz w:val="20"/>
        </w:rPr>
        <w:t>2014)</w:t>
      </w:r>
    </w:p>
    <w:p>
      <w:pPr>
        <w:pStyle w:val="ListParagraph"/>
        <w:numPr>
          <w:ilvl w:val="0"/>
          <w:numId w:val="131"/>
        </w:numPr>
        <w:tabs>
          <w:tab w:pos="1307" w:val="left" w:leader="none"/>
          <w:tab w:pos="1308" w:val="left" w:leader="none"/>
        </w:tabs>
        <w:spacing w:line="206" w:lineRule="auto" w:before="79" w:after="0"/>
        <w:ind w:left="1307" w:right="1673" w:hanging="340"/>
        <w:jc w:val="left"/>
        <w:rPr>
          <w:sz w:val="20"/>
        </w:rPr>
      </w:pPr>
      <w:r>
        <w:rPr>
          <w:i/>
          <w:sz w:val="20"/>
        </w:rPr>
        <w:t>Pathways</w:t>
      </w:r>
      <w:r>
        <w:rPr>
          <w:i/>
          <w:spacing w:val="-7"/>
          <w:sz w:val="20"/>
        </w:rPr>
        <w:t> </w:t>
      </w:r>
      <w:r>
        <w:rPr>
          <w:i/>
          <w:spacing w:val="-3"/>
          <w:sz w:val="20"/>
        </w:rPr>
        <w:t>to</w:t>
      </w:r>
      <w:r>
        <w:rPr>
          <w:i/>
          <w:spacing w:val="-7"/>
          <w:sz w:val="20"/>
        </w:rPr>
        <w:t> </w:t>
      </w:r>
      <w:r>
        <w:rPr>
          <w:i/>
          <w:sz w:val="20"/>
        </w:rPr>
        <w:t>Justice—An</w:t>
      </w:r>
      <w:r>
        <w:rPr>
          <w:i/>
          <w:spacing w:val="-6"/>
          <w:sz w:val="20"/>
        </w:rPr>
        <w:t> </w:t>
      </w:r>
      <w:r>
        <w:rPr>
          <w:i/>
          <w:sz w:val="20"/>
        </w:rPr>
        <w:t>Inquiry</w:t>
      </w:r>
      <w:r>
        <w:rPr>
          <w:i/>
          <w:spacing w:val="-7"/>
          <w:sz w:val="20"/>
        </w:rPr>
        <w:t> </w:t>
      </w:r>
      <w:r>
        <w:rPr>
          <w:i/>
          <w:sz w:val="20"/>
        </w:rPr>
        <w:t>into</w:t>
      </w:r>
      <w:r>
        <w:rPr>
          <w:i/>
          <w:spacing w:val="-6"/>
          <w:sz w:val="20"/>
        </w:rPr>
        <w:t> </w:t>
      </w:r>
      <w:r>
        <w:rPr>
          <w:i/>
          <w:sz w:val="20"/>
        </w:rPr>
        <w:t>the</w:t>
      </w:r>
      <w:r>
        <w:rPr>
          <w:i/>
          <w:spacing w:val="-7"/>
          <w:sz w:val="20"/>
        </w:rPr>
        <w:t> </w:t>
      </w:r>
      <w:r>
        <w:rPr>
          <w:i/>
          <w:sz w:val="20"/>
        </w:rPr>
        <w:t>Incarceration</w:t>
      </w:r>
      <w:r>
        <w:rPr>
          <w:i/>
          <w:spacing w:val="-6"/>
          <w:sz w:val="20"/>
        </w:rPr>
        <w:t> </w:t>
      </w:r>
      <w:r>
        <w:rPr>
          <w:i/>
          <w:sz w:val="20"/>
        </w:rPr>
        <w:t>Rate</w:t>
      </w:r>
      <w:r>
        <w:rPr>
          <w:i/>
          <w:spacing w:val="-7"/>
          <w:sz w:val="20"/>
        </w:rPr>
        <w:t> </w:t>
      </w:r>
      <w:r>
        <w:rPr>
          <w:i/>
          <w:sz w:val="20"/>
        </w:rPr>
        <w:t>of</w:t>
      </w:r>
      <w:r>
        <w:rPr>
          <w:i/>
          <w:spacing w:val="-7"/>
          <w:sz w:val="20"/>
        </w:rPr>
        <w:t> </w:t>
      </w:r>
      <w:r>
        <w:rPr>
          <w:i/>
          <w:sz w:val="20"/>
        </w:rPr>
        <w:t>Aboriginal</w:t>
      </w:r>
      <w:r>
        <w:rPr>
          <w:i/>
          <w:spacing w:val="-6"/>
          <w:sz w:val="20"/>
        </w:rPr>
        <w:t> </w:t>
      </w:r>
      <w:r>
        <w:rPr>
          <w:i/>
          <w:sz w:val="20"/>
        </w:rPr>
        <w:t>and</w:t>
      </w:r>
      <w:r>
        <w:rPr>
          <w:i/>
          <w:spacing w:val="-7"/>
          <w:sz w:val="20"/>
        </w:rPr>
        <w:t> </w:t>
      </w:r>
      <w:r>
        <w:rPr>
          <w:i/>
          <w:spacing w:val="-4"/>
          <w:sz w:val="20"/>
        </w:rPr>
        <w:t>Torres</w:t>
      </w:r>
      <w:r>
        <w:rPr>
          <w:i/>
          <w:spacing w:val="-6"/>
          <w:sz w:val="20"/>
        </w:rPr>
        <w:t> </w:t>
      </w:r>
      <w:r>
        <w:rPr>
          <w:i/>
          <w:sz w:val="20"/>
        </w:rPr>
        <w:t>Strait </w:t>
      </w:r>
      <w:r>
        <w:rPr>
          <w:i/>
          <w:sz w:val="20"/>
        </w:rPr>
        <w:t>Islander Peoples </w:t>
      </w:r>
      <w:r>
        <w:rPr>
          <w:sz w:val="20"/>
        </w:rPr>
        <w:t>(Report No 133, December</w:t>
      </w:r>
      <w:r>
        <w:rPr>
          <w:spacing w:val="-13"/>
          <w:sz w:val="20"/>
        </w:rPr>
        <w:t> </w:t>
      </w:r>
      <w:r>
        <w:rPr>
          <w:spacing w:val="-4"/>
          <w:sz w:val="20"/>
        </w:rPr>
        <w:t>2017)</w:t>
      </w:r>
    </w:p>
    <w:p>
      <w:pPr>
        <w:pStyle w:val="BodyText"/>
        <w:spacing w:line="206" w:lineRule="auto" w:before="88"/>
        <w:ind w:left="967" w:right="1335"/>
      </w:pPr>
      <w:r>
        <w:rPr/>
        <w:t>Australian Network on Disability</w:t>
      </w:r>
      <w:r>
        <w:rPr>
          <w:i/>
        </w:rPr>
        <w:t>, </w:t>
      </w:r>
      <w:r>
        <w:rPr/>
        <w:t>‘Disability Statistics’, </w:t>
      </w:r>
      <w:r>
        <w:rPr>
          <w:i/>
        </w:rPr>
        <w:t>Australian Network on Disability </w:t>
      </w:r>
      <w:r>
        <w:rPr/>
        <w:t>(Web Page, 15 November 2019) &lt;</w:t>
      </w:r>
      <w:hyperlink r:id="rId63">
        <w:r>
          <w:rPr/>
          <w:t>https://www.and.org.au/resources/disability-statistics/</w:t>
        </w:r>
      </w:hyperlink>
      <w:r>
        <w:rPr/>
        <w:t>&gt;</w:t>
      </w:r>
    </w:p>
    <w:p>
      <w:pPr>
        <w:spacing w:line="206" w:lineRule="auto" w:before="116"/>
        <w:ind w:left="967" w:right="1335" w:firstLine="0"/>
        <w:jc w:val="left"/>
        <w:rPr>
          <w:sz w:val="20"/>
        </w:rPr>
      </w:pPr>
      <w:r>
        <w:rPr>
          <w:sz w:val="20"/>
        </w:rPr>
        <w:t>Australian Sign Language Interpreters’ Association (ASLIA), </w:t>
      </w:r>
      <w:r>
        <w:rPr>
          <w:i/>
          <w:sz w:val="20"/>
        </w:rPr>
        <w:t>Code of Ethics and Guidelines for </w:t>
      </w:r>
      <w:r>
        <w:rPr>
          <w:i/>
          <w:sz w:val="20"/>
        </w:rPr>
        <w:t>Professional Conduct </w:t>
      </w:r>
      <w:r>
        <w:rPr>
          <w:sz w:val="20"/>
        </w:rPr>
        <w:t>(Guide, 2007)</w:t>
      </w:r>
    </w:p>
    <w:p>
      <w:pPr>
        <w:spacing w:line="206" w:lineRule="auto" w:before="116"/>
        <w:ind w:left="967" w:right="1335" w:firstLine="0"/>
        <w:jc w:val="left"/>
        <w:rPr>
          <w:sz w:val="20"/>
        </w:rPr>
      </w:pPr>
      <w:r>
        <w:rPr>
          <w:sz w:val="20"/>
        </w:rPr>
        <w:t>Bamberger, Phylis Skloot, </w:t>
      </w:r>
      <w:r>
        <w:rPr>
          <w:spacing w:val="-4"/>
          <w:sz w:val="20"/>
        </w:rPr>
        <w:t>‘Jury </w:t>
      </w:r>
      <w:r>
        <w:rPr>
          <w:i/>
          <w:spacing w:val="-3"/>
          <w:sz w:val="20"/>
        </w:rPr>
        <w:t>Voir </w:t>
      </w:r>
      <w:r>
        <w:rPr>
          <w:i/>
          <w:sz w:val="20"/>
        </w:rPr>
        <w:t>Dire </w:t>
      </w:r>
      <w:r>
        <w:rPr>
          <w:sz w:val="20"/>
        </w:rPr>
        <w:t>in Criminal Cases’ (2006) 78(8) </w:t>
      </w:r>
      <w:r>
        <w:rPr>
          <w:i/>
          <w:sz w:val="20"/>
        </w:rPr>
        <w:t>New </w:t>
      </w:r>
      <w:r>
        <w:rPr>
          <w:i/>
          <w:spacing w:val="-4"/>
          <w:sz w:val="20"/>
        </w:rPr>
        <w:t>York </w:t>
      </w:r>
      <w:r>
        <w:rPr>
          <w:i/>
          <w:spacing w:val="-3"/>
          <w:sz w:val="20"/>
        </w:rPr>
        <w:t>State </w:t>
      </w:r>
      <w:r>
        <w:rPr>
          <w:i/>
          <w:sz w:val="20"/>
        </w:rPr>
        <w:t>Bar </w:t>
      </w:r>
      <w:r>
        <w:rPr>
          <w:i/>
          <w:sz w:val="20"/>
        </w:rPr>
        <w:t>Association Journal </w:t>
      </w:r>
      <w:r>
        <w:rPr>
          <w:sz w:val="20"/>
        </w:rPr>
        <w:t>24</w:t>
      </w:r>
    </w:p>
    <w:p>
      <w:pPr>
        <w:pStyle w:val="BodyText"/>
        <w:spacing w:line="206" w:lineRule="auto" w:before="116"/>
        <w:ind w:left="967" w:right="1795"/>
      </w:pPr>
      <w:r>
        <w:rPr/>
        <w:t>Bennett, JM, ‘The Establishment of Jury Trial in New South Wales’ (1961) 3(3) </w:t>
      </w:r>
      <w:r>
        <w:rPr>
          <w:i/>
        </w:rPr>
        <w:t>Sydney Law </w:t>
      </w:r>
      <w:r>
        <w:rPr>
          <w:i/>
        </w:rPr>
        <w:t>Review </w:t>
      </w:r>
      <w:r>
        <w:rPr/>
        <w:t>463</w:t>
      </w:r>
    </w:p>
    <w:p>
      <w:pPr>
        <w:spacing w:line="206" w:lineRule="auto" w:before="116"/>
        <w:ind w:left="967" w:right="1304" w:firstLine="0"/>
        <w:jc w:val="left"/>
        <w:rPr>
          <w:sz w:val="20"/>
        </w:rPr>
      </w:pPr>
      <w:r>
        <w:rPr>
          <w:sz w:val="20"/>
        </w:rPr>
        <w:t>Blackstone, Sir William, </w:t>
      </w:r>
      <w:r>
        <w:rPr>
          <w:i/>
          <w:sz w:val="20"/>
        </w:rPr>
        <w:t>Commentaries on the Laws of England </w:t>
      </w:r>
      <w:r>
        <w:rPr>
          <w:sz w:val="20"/>
        </w:rPr>
        <w:t>(Sweet, Maxwell &amp; Son, 21st ed, 1844)</w:t>
      </w:r>
    </w:p>
    <w:p>
      <w:pPr>
        <w:spacing w:line="206" w:lineRule="auto" w:before="115"/>
        <w:ind w:left="967" w:right="1216" w:firstLine="0"/>
        <w:jc w:val="left"/>
        <w:rPr>
          <w:sz w:val="20"/>
        </w:rPr>
      </w:pPr>
      <w:r>
        <w:rPr>
          <w:sz w:val="20"/>
        </w:rPr>
        <w:t>Bleyer, Kristi, Kathryn Shane McCarty and Erica Wood, ‘Access to Jury Service for Persons with Disabilities’ (1995) 19(2) </w:t>
      </w:r>
      <w:r>
        <w:rPr>
          <w:i/>
          <w:sz w:val="20"/>
        </w:rPr>
        <w:t>Mental and Physical Disability Law Reporter </w:t>
      </w:r>
      <w:r>
        <w:rPr>
          <w:sz w:val="20"/>
        </w:rPr>
        <w:t>249</w:t>
      </w:r>
    </w:p>
    <w:p>
      <w:pPr>
        <w:pStyle w:val="BodyText"/>
        <w:spacing w:line="259" w:lineRule="exact" w:before="84"/>
        <w:ind w:left="967"/>
      </w:pPr>
      <w:r>
        <w:rPr/>
        <w:t>Bond Jr, Charles F and Bella M DePaulo, ‘Accuracy of Deception Judgments’ (2006) 10(3)</w:t>
      </w:r>
    </w:p>
    <w:p>
      <w:pPr>
        <w:spacing w:line="259" w:lineRule="exact" w:before="0"/>
        <w:ind w:left="967" w:right="0" w:firstLine="0"/>
        <w:jc w:val="left"/>
        <w:rPr>
          <w:sz w:val="20"/>
        </w:rPr>
      </w:pPr>
      <w:r>
        <w:rPr>
          <w:i/>
          <w:sz w:val="20"/>
        </w:rPr>
        <w:t>Personality and Social Psychology Review </w:t>
      </w:r>
      <w:r>
        <w:rPr>
          <w:sz w:val="20"/>
        </w:rPr>
        <w:t>214</w:t>
      </w:r>
    </w:p>
    <w:p>
      <w:pPr>
        <w:spacing w:line="206" w:lineRule="auto" w:before="108"/>
        <w:ind w:left="967" w:right="1198" w:firstLine="0"/>
        <w:jc w:val="left"/>
        <w:rPr>
          <w:sz w:val="20"/>
        </w:rPr>
      </w:pPr>
      <w:r>
        <w:rPr>
          <w:sz w:val="20"/>
        </w:rPr>
        <w:t>Budworth, Brock, Trevor Ryan and Lorana Bartels, ‘Reigniting the Lamp: The Case for Including People Who Are Blind or Deaf as Jurors’ (2017) 42 </w:t>
      </w:r>
      <w:r>
        <w:rPr>
          <w:i/>
          <w:sz w:val="20"/>
        </w:rPr>
        <w:t>University of Western Australia Law Review </w:t>
      </w:r>
      <w:r>
        <w:rPr>
          <w:sz w:val="20"/>
        </w:rPr>
        <w:t>29</w:t>
      </w:r>
    </w:p>
    <w:p>
      <w:pPr>
        <w:pStyle w:val="BodyText"/>
        <w:spacing w:line="206" w:lineRule="auto" w:before="116"/>
        <w:ind w:left="967" w:right="1469"/>
      </w:pPr>
      <w:r>
        <w:rPr/>
        <w:t>Business Victoria ‘Accessible Tourism’, </w:t>
      </w:r>
      <w:r>
        <w:rPr>
          <w:i/>
        </w:rPr>
        <w:t>Business Victoria </w:t>
      </w:r>
      <w:r>
        <w:rPr/>
        <w:t>(Web Page, 20 April 2022) &lt;</w:t>
      </w:r>
      <w:hyperlink r:id="rId113">
        <w:r>
          <w:rPr/>
          <w:t>https://</w:t>
        </w:r>
      </w:hyperlink>
      <w:r>
        <w:rPr/>
        <w:t> </w:t>
      </w:r>
      <w:hyperlink r:id="rId113">
        <w:r>
          <w:rPr/>
          <w:t>business.vic.gov.au/business-information/tourism-industry-resources/accessible-tourism</w:t>
        </w:r>
      </w:hyperlink>
      <w:r>
        <w:rPr/>
        <w:t>&gt;</w:t>
      </w:r>
    </w:p>
    <w:p>
      <w:pPr>
        <w:pStyle w:val="BodyText"/>
        <w:spacing w:before="84"/>
        <w:ind w:left="967"/>
      </w:pPr>
      <w:r>
        <w:rPr/>
        <w:t>Carolan, Mary,</w:t>
      </w:r>
    </w:p>
    <w:p>
      <w:pPr>
        <w:pStyle w:val="ListParagraph"/>
        <w:numPr>
          <w:ilvl w:val="0"/>
          <w:numId w:val="131"/>
        </w:numPr>
        <w:tabs>
          <w:tab w:pos="1307" w:val="left" w:leader="none"/>
          <w:tab w:pos="1308" w:val="left" w:leader="none"/>
        </w:tabs>
        <w:spacing w:line="259" w:lineRule="exact" w:before="75" w:after="0"/>
        <w:ind w:left="1307" w:right="0" w:hanging="340"/>
        <w:jc w:val="left"/>
        <w:rPr>
          <w:sz w:val="20"/>
        </w:rPr>
      </w:pPr>
      <w:r>
        <w:rPr>
          <w:sz w:val="20"/>
        </w:rPr>
        <w:t>‘“Historic” </w:t>
      </w:r>
      <w:r>
        <w:rPr>
          <w:spacing w:val="-3"/>
          <w:sz w:val="20"/>
        </w:rPr>
        <w:t>Day </w:t>
      </w:r>
      <w:r>
        <w:rPr>
          <w:sz w:val="20"/>
        </w:rPr>
        <w:t>as First Deaf Juror Serves on Jury’, </w:t>
      </w:r>
      <w:r>
        <w:rPr>
          <w:i/>
          <w:sz w:val="20"/>
        </w:rPr>
        <w:t>The Irish Times </w:t>
      </w:r>
      <w:r>
        <w:rPr>
          <w:sz w:val="20"/>
        </w:rPr>
        <w:t>(online, 18 December</w:t>
      </w:r>
      <w:r>
        <w:rPr>
          <w:spacing w:val="-36"/>
          <w:sz w:val="20"/>
        </w:rPr>
        <w:t> </w:t>
      </w:r>
      <w:r>
        <w:rPr>
          <w:spacing w:val="-4"/>
          <w:sz w:val="20"/>
        </w:rPr>
        <w:t>2017)</w:t>
      </w:r>
    </w:p>
    <w:p>
      <w:pPr>
        <w:pStyle w:val="BodyText"/>
        <w:spacing w:line="206" w:lineRule="auto" w:before="14"/>
        <w:ind w:left="1307" w:right="1406"/>
      </w:pPr>
      <w:r>
        <w:rPr>
          <w:spacing w:val="-3"/>
        </w:rPr>
        <w:t>&lt;</w:t>
      </w:r>
      <w:hyperlink r:id="rId174">
        <w:r>
          <w:rPr>
            <w:spacing w:val="-3"/>
          </w:rPr>
          <w:t>https://www.irishtimes.com/news/crime-and-law/courts/circuit-court/historic-day-as-</w:t>
        </w:r>
      </w:hyperlink>
      <w:r>
        <w:rPr>
          <w:spacing w:val="-3"/>
        </w:rPr>
        <w:t> </w:t>
      </w:r>
      <w:hyperlink r:id="rId174">
        <w:r>
          <w:rPr/>
          <w:t>first-deaf-juror-serves-on-jury-1.3331199</w:t>
        </w:r>
      </w:hyperlink>
      <w:r>
        <w:rPr/>
        <w:t>&gt;</w:t>
      </w:r>
    </w:p>
    <w:p>
      <w:pPr>
        <w:pStyle w:val="ListParagraph"/>
        <w:numPr>
          <w:ilvl w:val="0"/>
          <w:numId w:val="131"/>
        </w:numPr>
        <w:tabs>
          <w:tab w:pos="1307" w:val="left" w:leader="none"/>
          <w:tab w:pos="1308" w:val="left" w:leader="none"/>
        </w:tabs>
        <w:spacing w:line="206" w:lineRule="auto" w:before="88" w:after="0"/>
        <w:ind w:left="1307" w:right="1321" w:hanging="340"/>
        <w:jc w:val="left"/>
        <w:rPr>
          <w:sz w:val="20"/>
        </w:rPr>
      </w:pPr>
      <w:r>
        <w:rPr>
          <w:spacing w:val="-4"/>
          <w:sz w:val="20"/>
        </w:rPr>
        <w:t>‘Jury </w:t>
      </w:r>
      <w:r>
        <w:rPr>
          <w:sz w:val="20"/>
        </w:rPr>
        <w:t>Service: Many with Disability “Would like to Do Their Civic Duty”’, </w:t>
      </w:r>
      <w:r>
        <w:rPr>
          <w:i/>
          <w:sz w:val="20"/>
        </w:rPr>
        <w:t>The Irish Times </w:t>
      </w:r>
      <w:r>
        <w:rPr>
          <w:sz w:val="20"/>
        </w:rPr>
        <w:t>(online, 4 February 2019) </w:t>
      </w:r>
      <w:r>
        <w:rPr>
          <w:spacing w:val="-3"/>
          <w:sz w:val="20"/>
        </w:rPr>
        <w:t>&lt;</w:t>
      </w:r>
      <w:hyperlink r:id="rId173">
        <w:r>
          <w:rPr>
            <w:spacing w:val="-3"/>
            <w:sz w:val="20"/>
          </w:rPr>
          <w:t>https://www.irishtimes.com/news/crime-and-law/jury-service-</w:t>
        </w:r>
      </w:hyperlink>
      <w:hyperlink r:id="rId173">
        <w:r>
          <w:rPr>
            <w:spacing w:val="-3"/>
            <w:sz w:val="20"/>
          </w:rPr>
          <w:t> </w:t>
        </w:r>
        <w:r>
          <w:rPr>
            <w:sz w:val="20"/>
          </w:rPr>
          <w:t>many-with-disability-would-like-to-do-their-civic-duty-1.3780755</w:t>
        </w:r>
      </w:hyperlink>
      <w:r>
        <w:rPr>
          <w:sz w:val="20"/>
        </w:rPr>
        <w:t>&gt;</w:t>
      </w:r>
    </w:p>
    <w:p>
      <w:pPr>
        <w:pStyle w:val="BodyText"/>
        <w:spacing w:line="206" w:lineRule="auto" w:before="88"/>
        <w:ind w:left="967" w:right="1335"/>
      </w:pPr>
      <w:r>
        <w:rPr/>
        <w:t>Castles, AC, ‘Now and Then the Unmasked Bicentennial of Jury Usage in Australia and Some Consequences of Its Decline’ (1990) 64 </w:t>
      </w:r>
      <w:r>
        <w:rPr>
          <w:i/>
        </w:rPr>
        <w:t>Australian Law Journal </w:t>
      </w:r>
      <w:r>
        <w:rPr/>
        <w:t>509</w:t>
      </w:r>
    </w:p>
    <w:p>
      <w:pPr>
        <w:spacing w:line="206" w:lineRule="auto" w:before="116"/>
        <w:ind w:left="967" w:right="1107" w:firstLine="0"/>
        <w:jc w:val="left"/>
        <w:rPr>
          <w:sz w:val="20"/>
        </w:rPr>
      </w:pPr>
      <w:r>
        <w:rPr>
          <w:sz w:val="20"/>
        </w:rPr>
        <w:t>Choo, Andrew LT and Jill Hunter, ‘Gender Discrimination and Juries in the 20th Century: Judging Women Judging Men’ (2018) 22(3) </w:t>
      </w:r>
      <w:r>
        <w:rPr>
          <w:i/>
          <w:sz w:val="20"/>
        </w:rPr>
        <w:t>The International Journal of Evidence &amp; Proof </w:t>
      </w:r>
      <w:r>
        <w:rPr>
          <w:sz w:val="20"/>
        </w:rPr>
        <w:t>192</w:t>
      </w:r>
    </w:p>
    <w:p>
      <w:pPr>
        <w:spacing w:before="179"/>
        <w:ind w:left="100" w:right="0" w:firstLine="0"/>
        <w:jc w:val="left"/>
        <w:rPr>
          <w:b/>
          <w:sz w:val="24"/>
        </w:rPr>
      </w:pPr>
      <w:r>
        <w:rPr>
          <w:b/>
          <w:color w:val="37617A"/>
          <w:sz w:val="24"/>
        </w:rPr>
        <w:t>236</w:t>
      </w:r>
    </w:p>
    <w:p>
      <w:pPr>
        <w:spacing w:after="0"/>
        <w:jc w:val="left"/>
        <w:rPr>
          <w:sz w:val="24"/>
        </w:rPr>
        <w:sectPr>
          <w:pgSz w:w="11910" w:h="16840"/>
          <w:pgMar w:header="567" w:footer="0" w:top="860" w:bottom="280" w:left="620" w:right="380"/>
        </w:sectPr>
      </w:pPr>
    </w:p>
    <w:p>
      <w:pPr>
        <w:pStyle w:val="BodyText"/>
        <w:rPr>
          <w:b/>
        </w:rPr>
      </w:pPr>
    </w:p>
    <w:p>
      <w:pPr>
        <w:pStyle w:val="BodyText"/>
        <w:rPr>
          <w:b/>
        </w:rPr>
      </w:pPr>
    </w:p>
    <w:p>
      <w:pPr>
        <w:pStyle w:val="BodyText"/>
        <w:rPr>
          <w:b/>
        </w:rPr>
      </w:pPr>
    </w:p>
    <w:p>
      <w:pPr>
        <w:pStyle w:val="BodyText"/>
        <w:spacing w:before="6"/>
        <w:rPr>
          <w:b/>
          <w:sz w:val="14"/>
        </w:rPr>
      </w:pPr>
    </w:p>
    <w:p>
      <w:pPr>
        <w:spacing w:after="0"/>
        <w:rPr>
          <w:sz w:val="14"/>
        </w:rPr>
        <w:sectPr>
          <w:pgSz w:w="11910" w:h="16840"/>
          <w:pgMar w:header="0" w:footer="0" w:top="840" w:bottom="280" w:left="620" w:right="380"/>
        </w:sectPr>
      </w:pPr>
    </w:p>
    <w:p>
      <w:pPr>
        <w:spacing w:line="206" w:lineRule="auto" w:before="90"/>
        <w:ind w:left="967" w:right="0" w:firstLine="0"/>
        <w:jc w:val="left"/>
        <w:rPr>
          <w:sz w:val="20"/>
        </w:rPr>
      </w:pPr>
      <w:r>
        <w:rPr>
          <w:sz w:val="20"/>
        </w:rPr>
        <w:t>Civil Rights Division, United States Department of Justice, ‘Introduction to the</w:t>
      </w:r>
      <w:r>
        <w:rPr>
          <w:spacing w:val="-7"/>
          <w:sz w:val="20"/>
        </w:rPr>
        <w:t> ADA’, </w:t>
      </w:r>
      <w:r>
        <w:rPr>
          <w:i/>
          <w:sz w:val="20"/>
        </w:rPr>
        <w:t>Information </w:t>
      </w:r>
      <w:r>
        <w:rPr>
          <w:i/>
          <w:sz w:val="20"/>
        </w:rPr>
        <w:t>and </w:t>
      </w:r>
      <w:r>
        <w:rPr>
          <w:i/>
          <w:spacing w:val="-3"/>
          <w:sz w:val="20"/>
        </w:rPr>
        <w:t>Technical </w:t>
      </w:r>
      <w:r>
        <w:rPr>
          <w:i/>
          <w:sz w:val="20"/>
        </w:rPr>
        <w:t>Assistance on the Americans with Disabilities Act </w:t>
      </w:r>
      <w:r>
        <w:rPr>
          <w:sz w:val="20"/>
        </w:rPr>
        <w:t>(Web Page)</w:t>
      </w:r>
    </w:p>
    <w:p>
      <w:pPr>
        <w:pStyle w:val="BodyText"/>
        <w:spacing w:line="248" w:lineRule="exact"/>
        <w:ind w:left="967"/>
      </w:pPr>
      <w:r>
        <w:rPr/>
        <w:t>&lt;</w:t>
      </w:r>
      <w:hyperlink r:id="rId281">
        <w:r>
          <w:rPr/>
          <w:t>https://www.ada.gov/ada_intro.htm</w:t>
        </w:r>
      </w:hyperlink>
      <w:r>
        <w:rPr/>
        <w:t>&gt;</w:t>
      </w:r>
    </w:p>
    <w:p>
      <w:pPr>
        <w:spacing w:line="206" w:lineRule="auto" w:before="108"/>
        <w:ind w:left="967" w:right="0" w:firstLine="0"/>
        <w:jc w:val="left"/>
        <w:rPr>
          <w:sz w:val="20"/>
        </w:rPr>
      </w:pPr>
      <w:r>
        <w:rPr>
          <w:sz w:val="20"/>
        </w:rPr>
        <w:t>Civil Society Report Project Group, </w:t>
      </w:r>
      <w:r>
        <w:rPr>
          <w:i/>
          <w:sz w:val="20"/>
        </w:rPr>
        <w:t>Disability Rights Now: Australian Civil Society Shadow Report </w:t>
      </w:r>
      <w:r>
        <w:rPr>
          <w:i/>
          <w:sz w:val="20"/>
        </w:rPr>
        <w:t>on CPRD </w:t>
      </w:r>
      <w:r>
        <w:rPr>
          <w:sz w:val="20"/>
        </w:rPr>
        <w:t>(Report, August 2012)</w:t>
      </w:r>
    </w:p>
    <w:p>
      <w:pPr>
        <w:pStyle w:val="BodyText"/>
        <w:spacing w:line="206" w:lineRule="auto" w:before="116"/>
        <w:ind w:left="967" w:right="110"/>
      </w:pPr>
      <w:r>
        <w:rPr/>
        <w:t>Communities and Justice (NSW), </w:t>
      </w:r>
      <w:r>
        <w:rPr>
          <w:spacing w:val="-4"/>
        </w:rPr>
        <w:t>‘Jury Trial </w:t>
      </w:r>
      <w:r>
        <w:rPr/>
        <w:t>and </w:t>
      </w:r>
      <w:r>
        <w:rPr>
          <w:spacing w:val="-3"/>
        </w:rPr>
        <w:t>Verdict’, </w:t>
      </w:r>
      <w:r>
        <w:rPr>
          <w:i/>
        </w:rPr>
        <w:t>NSW Government, Communities &amp; </w:t>
      </w:r>
      <w:r>
        <w:rPr>
          <w:i/>
        </w:rPr>
        <w:t>Justice </w:t>
      </w:r>
      <w:r>
        <w:rPr/>
        <w:t>(Web Page, 29 June </w:t>
      </w:r>
      <w:r>
        <w:rPr>
          <w:spacing w:val="-3"/>
        </w:rPr>
        <w:t>2020) &lt;</w:t>
      </w:r>
      <w:hyperlink r:id="rId200">
        <w:r>
          <w:rPr>
            <w:spacing w:val="-3"/>
          </w:rPr>
          <w:t>https://courts.nsw.gov.au/courts-and-tribunals/for-jurors/</w:t>
        </w:r>
      </w:hyperlink>
      <w:r>
        <w:rPr>
          <w:spacing w:val="-3"/>
        </w:rPr>
        <w:t> </w:t>
      </w:r>
      <w:hyperlink r:id="rId200">
        <w:r>
          <w:rPr/>
          <w:t>for-individuals-/jury-trial-verdict.html</w:t>
        </w:r>
      </w:hyperlink>
      <w:r>
        <w:rPr/>
        <w:t>&gt;</w:t>
      </w:r>
    </w:p>
    <w:p>
      <w:pPr>
        <w:spacing w:line="304" w:lineRule="auto" w:before="85"/>
        <w:ind w:left="967" w:right="110" w:firstLine="0"/>
        <w:jc w:val="left"/>
        <w:rPr>
          <w:sz w:val="20"/>
        </w:rPr>
      </w:pPr>
      <w:r>
        <w:rPr>
          <w:sz w:val="20"/>
        </w:rPr>
        <w:t>Council of Australian Governments, </w:t>
      </w:r>
      <w:r>
        <w:rPr>
          <w:i/>
          <w:sz w:val="20"/>
        </w:rPr>
        <w:t>National Disability Strategy 2010–2020 </w:t>
      </w:r>
      <w:r>
        <w:rPr>
          <w:sz w:val="20"/>
        </w:rPr>
        <w:t>(Report, 2011) County Court of Victoria,</w:t>
      </w:r>
    </w:p>
    <w:p>
      <w:pPr>
        <w:pStyle w:val="ListParagraph"/>
        <w:numPr>
          <w:ilvl w:val="0"/>
          <w:numId w:val="132"/>
        </w:numPr>
        <w:tabs>
          <w:tab w:pos="1307" w:val="left" w:leader="none"/>
          <w:tab w:pos="1308" w:val="left" w:leader="none"/>
        </w:tabs>
        <w:spacing w:line="206" w:lineRule="auto" w:before="34" w:after="0"/>
        <w:ind w:left="1307" w:right="283" w:hanging="340"/>
        <w:jc w:val="left"/>
        <w:rPr>
          <w:sz w:val="20"/>
        </w:rPr>
      </w:pPr>
      <w:r>
        <w:rPr>
          <w:spacing w:val="-3"/>
          <w:sz w:val="20"/>
        </w:rPr>
        <w:t>‘Accessibility’, </w:t>
      </w:r>
      <w:r>
        <w:rPr>
          <w:i/>
          <w:sz w:val="20"/>
        </w:rPr>
        <w:t>County Court of Victoria </w:t>
      </w:r>
      <w:r>
        <w:rPr>
          <w:sz w:val="20"/>
        </w:rPr>
        <w:t>(Web Page) </w:t>
      </w:r>
      <w:r>
        <w:rPr>
          <w:spacing w:val="-3"/>
          <w:sz w:val="20"/>
        </w:rPr>
        <w:t>&lt;</w:t>
      </w:r>
      <w:hyperlink r:id="rId261">
        <w:r>
          <w:rPr>
            <w:spacing w:val="-3"/>
            <w:sz w:val="20"/>
          </w:rPr>
          <w:t>https://www.countycourt.vic.gov.au/</w:t>
        </w:r>
      </w:hyperlink>
      <w:hyperlink r:id="rId261">
        <w:r>
          <w:rPr>
            <w:spacing w:val="-3"/>
            <w:sz w:val="20"/>
          </w:rPr>
          <w:t> </w:t>
        </w:r>
        <w:r>
          <w:rPr>
            <w:sz w:val="20"/>
          </w:rPr>
          <w:t>accessibility</w:t>
        </w:r>
      </w:hyperlink>
      <w:r>
        <w:rPr>
          <w:sz w:val="20"/>
        </w:rPr>
        <w:t>&gt;</w:t>
      </w:r>
    </w:p>
    <w:p>
      <w:pPr>
        <w:pStyle w:val="ListParagraph"/>
        <w:numPr>
          <w:ilvl w:val="0"/>
          <w:numId w:val="132"/>
        </w:numPr>
        <w:tabs>
          <w:tab w:pos="1308" w:val="left" w:leader="none"/>
        </w:tabs>
        <w:spacing w:line="206" w:lineRule="auto" w:before="87" w:after="0"/>
        <w:ind w:left="1307" w:right="799" w:hanging="340"/>
        <w:jc w:val="both"/>
        <w:rPr>
          <w:sz w:val="20"/>
        </w:rPr>
      </w:pPr>
      <w:r>
        <w:rPr>
          <w:sz w:val="20"/>
        </w:rPr>
        <w:t>‘Coronavirus</w:t>
      </w:r>
      <w:r>
        <w:rPr>
          <w:spacing w:val="-11"/>
          <w:sz w:val="20"/>
        </w:rPr>
        <w:t> </w:t>
      </w:r>
      <w:r>
        <w:rPr>
          <w:sz w:val="20"/>
        </w:rPr>
        <w:t>(COVID-19)</w:t>
      </w:r>
      <w:r>
        <w:rPr>
          <w:spacing w:val="-10"/>
          <w:sz w:val="20"/>
        </w:rPr>
        <w:t> </w:t>
      </w:r>
      <w:r>
        <w:rPr>
          <w:sz w:val="20"/>
        </w:rPr>
        <w:t>Divisional</w:t>
      </w:r>
      <w:r>
        <w:rPr>
          <w:spacing w:val="-10"/>
          <w:sz w:val="20"/>
        </w:rPr>
        <w:t> </w:t>
      </w:r>
      <w:r>
        <w:rPr>
          <w:sz w:val="20"/>
        </w:rPr>
        <w:t>Responses’,</w:t>
      </w:r>
      <w:r>
        <w:rPr>
          <w:spacing w:val="-10"/>
          <w:sz w:val="20"/>
        </w:rPr>
        <w:t> </w:t>
      </w:r>
      <w:r>
        <w:rPr>
          <w:i/>
          <w:sz w:val="20"/>
        </w:rPr>
        <w:t>County</w:t>
      </w:r>
      <w:r>
        <w:rPr>
          <w:i/>
          <w:spacing w:val="-9"/>
          <w:sz w:val="20"/>
        </w:rPr>
        <w:t> </w:t>
      </w:r>
      <w:r>
        <w:rPr>
          <w:i/>
          <w:sz w:val="20"/>
        </w:rPr>
        <w:t>Court</w:t>
      </w:r>
      <w:r>
        <w:rPr>
          <w:i/>
          <w:spacing w:val="-10"/>
          <w:sz w:val="20"/>
        </w:rPr>
        <w:t> </w:t>
      </w:r>
      <w:r>
        <w:rPr>
          <w:i/>
          <w:sz w:val="20"/>
        </w:rPr>
        <w:t>of</w:t>
      </w:r>
      <w:r>
        <w:rPr>
          <w:i/>
          <w:spacing w:val="-10"/>
          <w:sz w:val="20"/>
        </w:rPr>
        <w:t> </w:t>
      </w:r>
      <w:r>
        <w:rPr>
          <w:i/>
          <w:sz w:val="20"/>
        </w:rPr>
        <w:t>Victoria</w:t>
      </w:r>
      <w:r>
        <w:rPr>
          <w:i/>
          <w:spacing w:val="-9"/>
          <w:sz w:val="20"/>
        </w:rPr>
        <w:t> </w:t>
      </w:r>
      <w:r>
        <w:rPr>
          <w:sz w:val="20"/>
        </w:rPr>
        <w:t>(Web</w:t>
      </w:r>
      <w:r>
        <w:rPr>
          <w:spacing w:val="-10"/>
          <w:sz w:val="20"/>
        </w:rPr>
        <w:t> </w:t>
      </w:r>
      <w:r>
        <w:rPr>
          <w:sz w:val="20"/>
        </w:rPr>
        <w:t>Page, 24 November 2021) </w:t>
      </w:r>
      <w:r>
        <w:rPr>
          <w:spacing w:val="-3"/>
          <w:sz w:val="20"/>
        </w:rPr>
        <w:t>&lt;</w:t>
      </w:r>
      <w:hyperlink r:id="rId186">
        <w:r>
          <w:rPr>
            <w:spacing w:val="-3"/>
            <w:sz w:val="20"/>
          </w:rPr>
          <w:t>https://www.countycourt.vic.gov.au/news-and-media/news-</w:t>
        </w:r>
      </w:hyperlink>
      <w:hyperlink r:id="rId186">
        <w:r>
          <w:rPr>
            <w:spacing w:val="-3"/>
            <w:sz w:val="20"/>
          </w:rPr>
          <w:t> </w:t>
        </w:r>
        <w:r>
          <w:rPr>
            <w:sz w:val="20"/>
          </w:rPr>
          <w:t>listing/2021-11-24-coronavirus-covid-19-divisional-responses</w:t>
        </w:r>
      </w:hyperlink>
      <w:r>
        <w:rPr>
          <w:sz w:val="20"/>
        </w:rPr>
        <w:t>&gt;</w:t>
      </w:r>
    </w:p>
    <w:p>
      <w:pPr>
        <w:pStyle w:val="ListParagraph"/>
        <w:numPr>
          <w:ilvl w:val="0"/>
          <w:numId w:val="132"/>
        </w:numPr>
        <w:tabs>
          <w:tab w:pos="1307" w:val="left" w:leader="none"/>
          <w:tab w:pos="1308" w:val="left" w:leader="none"/>
        </w:tabs>
        <w:spacing w:line="206" w:lineRule="auto" w:before="89" w:after="0"/>
        <w:ind w:left="1307" w:right="163" w:hanging="340"/>
        <w:jc w:val="left"/>
        <w:rPr>
          <w:sz w:val="20"/>
        </w:rPr>
      </w:pPr>
      <w:r>
        <w:rPr>
          <w:i/>
          <w:spacing w:val="-1"/>
          <w:w w:val="95"/>
          <w:sz w:val="20"/>
        </w:rPr>
        <w:t>County Court </w:t>
      </w:r>
      <w:r>
        <w:rPr>
          <w:i/>
          <w:w w:val="95"/>
          <w:sz w:val="20"/>
        </w:rPr>
        <w:t>Victoria</w:t>
      </w:r>
      <w:r>
        <w:rPr>
          <w:w w:val="95"/>
          <w:sz w:val="20"/>
        </w:rPr>
        <w:t>, &lt;</w:t>
      </w:r>
      <w:hyperlink r:id="rId212">
        <w:r>
          <w:rPr>
            <w:w w:val="95"/>
            <w:sz w:val="20"/>
          </w:rPr>
          <w:t>https://www.countycourt.vic.gov.au/going-court/virtual-hearings-</w:t>
        </w:r>
      </w:hyperlink>
      <w:hyperlink r:id="rId212">
        <w:r>
          <w:rPr>
            <w:w w:val="95"/>
            <w:sz w:val="20"/>
          </w:rPr>
          <w:t> </w:t>
        </w:r>
        <w:r>
          <w:rPr>
            <w:sz w:val="20"/>
          </w:rPr>
          <w:t>and-trials</w:t>
        </w:r>
      </w:hyperlink>
      <w:r>
        <w:rPr>
          <w:sz w:val="20"/>
        </w:rPr>
        <w:t>&gt;</w:t>
      </w:r>
    </w:p>
    <w:p>
      <w:pPr>
        <w:spacing w:before="55"/>
        <w:ind w:left="967" w:right="0" w:firstLine="0"/>
        <w:jc w:val="left"/>
        <w:rPr>
          <w:sz w:val="20"/>
        </w:rPr>
      </w:pPr>
      <w:r>
        <w:rPr>
          <w:sz w:val="20"/>
        </w:rPr>
        <w:t>Court Network, </w:t>
      </w:r>
      <w:r>
        <w:rPr>
          <w:i/>
          <w:sz w:val="20"/>
        </w:rPr>
        <w:t>Court Network Annual Report 2019/20: Celebrating 40 Years </w:t>
      </w:r>
      <w:r>
        <w:rPr>
          <w:sz w:val="20"/>
        </w:rPr>
        <w:t>(Report, 2020)</w:t>
      </w:r>
    </w:p>
    <w:p>
      <w:pPr>
        <w:spacing w:line="206" w:lineRule="auto" w:before="109"/>
        <w:ind w:left="967" w:right="0" w:firstLine="0"/>
        <w:jc w:val="left"/>
        <w:rPr>
          <w:sz w:val="20"/>
        </w:rPr>
      </w:pPr>
      <w:r>
        <w:rPr>
          <w:sz w:val="20"/>
        </w:rPr>
        <w:t>Court Services Victoria, </w:t>
      </w:r>
      <w:r>
        <w:rPr>
          <w:i/>
          <w:sz w:val="20"/>
        </w:rPr>
        <w:t>Delivering Excellence in Court and Tribunal Administration </w:t>
      </w:r>
      <w:r>
        <w:rPr>
          <w:sz w:val="20"/>
        </w:rPr>
        <w:t>(Annual Report 2020–21, 2021)</w:t>
      </w:r>
    </w:p>
    <w:p>
      <w:pPr>
        <w:pStyle w:val="BodyText"/>
        <w:spacing w:before="83"/>
        <w:ind w:left="967"/>
      </w:pPr>
      <w:r>
        <w:rPr/>
        <w:t>Crehan, Matthew J,</w:t>
      </w:r>
    </w:p>
    <w:p>
      <w:pPr>
        <w:pStyle w:val="ListParagraph"/>
        <w:numPr>
          <w:ilvl w:val="0"/>
          <w:numId w:val="132"/>
        </w:numPr>
        <w:tabs>
          <w:tab w:pos="1307" w:val="left" w:leader="none"/>
          <w:tab w:pos="1308" w:val="left" w:leader="none"/>
        </w:tabs>
        <w:spacing w:line="240" w:lineRule="auto" w:before="76" w:after="0"/>
        <w:ind w:left="1307" w:right="0" w:hanging="340"/>
        <w:jc w:val="left"/>
        <w:rPr>
          <w:sz w:val="20"/>
        </w:rPr>
      </w:pPr>
      <w:r>
        <w:rPr>
          <w:sz w:val="20"/>
        </w:rPr>
        <w:t>‘Seating the Blind Juror’ (1997) 81(3) </w:t>
      </w:r>
      <w:r>
        <w:rPr>
          <w:i/>
          <w:sz w:val="20"/>
        </w:rPr>
        <w:t>Judicature</w:t>
      </w:r>
      <w:r>
        <w:rPr>
          <w:i/>
          <w:spacing w:val="-16"/>
          <w:sz w:val="20"/>
        </w:rPr>
        <w:t> </w:t>
      </w:r>
      <w:r>
        <w:rPr>
          <w:spacing w:val="-2"/>
          <w:sz w:val="20"/>
        </w:rPr>
        <w:t>104</w:t>
      </w:r>
    </w:p>
    <w:p>
      <w:pPr>
        <w:pStyle w:val="ListParagraph"/>
        <w:numPr>
          <w:ilvl w:val="0"/>
          <w:numId w:val="132"/>
        </w:numPr>
        <w:tabs>
          <w:tab w:pos="1307" w:val="left" w:leader="none"/>
          <w:tab w:pos="1308" w:val="left" w:leader="none"/>
        </w:tabs>
        <w:spacing w:line="206" w:lineRule="auto" w:before="80" w:after="0"/>
        <w:ind w:left="1307" w:right="176" w:hanging="340"/>
        <w:jc w:val="left"/>
        <w:rPr>
          <w:sz w:val="20"/>
        </w:rPr>
      </w:pPr>
      <w:r>
        <w:rPr>
          <w:sz w:val="20"/>
        </w:rPr>
        <w:t>‘The</w:t>
      </w:r>
      <w:r>
        <w:rPr>
          <w:spacing w:val="-8"/>
          <w:sz w:val="20"/>
        </w:rPr>
        <w:t> </w:t>
      </w:r>
      <w:r>
        <w:rPr>
          <w:sz w:val="20"/>
        </w:rPr>
        <w:t>Disability-Based</w:t>
      </w:r>
      <w:r>
        <w:rPr>
          <w:spacing w:val="-8"/>
          <w:sz w:val="20"/>
        </w:rPr>
        <w:t> </w:t>
      </w:r>
      <w:r>
        <w:rPr>
          <w:sz w:val="20"/>
        </w:rPr>
        <w:t>Peremptory</w:t>
      </w:r>
      <w:r>
        <w:rPr>
          <w:spacing w:val="-8"/>
          <w:sz w:val="20"/>
        </w:rPr>
        <w:t> </w:t>
      </w:r>
      <w:r>
        <w:rPr>
          <w:sz w:val="20"/>
        </w:rPr>
        <w:t>Challenge:</w:t>
      </w:r>
      <w:r>
        <w:rPr>
          <w:spacing w:val="-7"/>
          <w:sz w:val="20"/>
        </w:rPr>
        <w:t> </w:t>
      </w:r>
      <w:r>
        <w:rPr>
          <w:sz w:val="20"/>
        </w:rPr>
        <w:t>Does</w:t>
      </w:r>
      <w:r>
        <w:rPr>
          <w:spacing w:val="-8"/>
          <w:sz w:val="20"/>
        </w:rPr>
        <w:t> </w:t>
      </w:r>
      <w:r>
        <w:rPr>
          <w:sz w:val="20"/>
        </w:rPr>
        <w:t>It</w:t>
      </w:r>
      <w:r>
        <w:rPr>
          <w:spacing w:val="-8"/>
          <w:sz w:val="20"/>
        </w:rPr>
        <w:t> </w:t>
      </w:r>
      <w:r>
        <w:rPr>
          <w:sz w:val="20"/>
        </w:rPr>
        <w:t>Validate</w:t>
      </w:r>
      <w:r>
        <w:rPr>
          <w:spacing w:val="-7"/>
          <w:sz w:val="20"/>
        </w:rPr>
        <w:t> </w:t>
      </w:r>
      <w:r>
        <w:rPr>
          <w:sz w:val="20"/>
        </w:rPr>
        <w:t>Discrimination</w:t>
      </w:r>
      <w:r>
        <w:rPr>
          <w:spacing w:val="-8"/>
          <w:sz w:val="20"/>
        </w:rPr>
        <w:t> </w:t>
      </w:r>
      <w:r>
        <w:rPr>
          <w:sz w:val="20"/>
        </w:rPr>
        <w:t>against</w:t>
      </w:r>
      <w:r>
        <w:rPr>
          <w:spacing w:val="-8"/>
          <w:sz w:val="20"/>
        </w:rPr>
        <w:t> </w:t>
      </w:r>
      <w:r>
        <w:rPr>
          <w:sz w:val="20"/>
        </w:rPr>
        <w:t>Blind Prospective Jurors’ (1997) 25 </w:t>
      </w:r>
      <w:r>
        <w:rPr>
          <w:i/>
          <w:sz w:val="20"/>
        </w:rPr>
        <w:t>Northern Kentucky Law Review</w:t>
      </w:r>
      <w:r>
        <w:rPr>
          <w:i/>
          <w:spacing w:val="-23"/>
          <w:sz w:val="20"/>
        </w:rPr>
        <w:t> </w:t>
      </w:r>
      <w:r>
        <w:rPr>
          <w:sz w:val="20"/>
        </w:rPr>
        <w:t>531</w:t>
      </w:r>
    </w:p>
    <w:p>
      <w:pPr>
        <w:pStyle w:val="BodyText"/>
        <w:spacing w:line="304" w:lineRule="auto" w:before="55"/>
        <w:ind w:left="967" w:right="2258"/>
      </w:pPr>
      <w:r>
        <w:rPr/>
        <w:t>Crown Prosecution Service (UK), </w:t>
      </w:r>
      <w:r>
        <w:rPr>
          <w:i/>
        </w:rPr>
        <w:t>Jury Vetting </w:t>
      </w:r>
      <w:r>
        <w:rPr/>
        <w:t>(Guidelines, 10 July 2018) Deaf Australia,</w:t>
      </w:r>
    </w:p>
    <w:p>
      <w:pPr>
        <w:pStyle w:val="ListParagraph"/>
        <w:numPr>
          <w:ilvl w:val="0"/>
          <w:numId w:val="132"/>
        </w:numPr>
        <w:tabs>
          <w:tab w:pos="1307" w:val="left" w:leader="none"/>
          <w:tab w:pos="1308" w:val="left" w:leader="none"/>
        </w:tabs>
        <w:spacing w:line="240" w:lineRule="auto" w:before="2" w:after="0"/>
        <w:ind w:left="1307" w:right="0" w:hanging="340"/>
        <w:jc w:val="left"/>
        <w:rPr>
          <w:sz w:val="20"/>
        </w:rPr>
      </w:pPr>
      <w:r>
        <w:rPr>
          <w:sz w:val="20"/>
        </w:rPr>
        <w:t>‘Census </w:t>
      </w:r>
      <w:r>
        <w:rPr>
          <w:spacing w:val="-4"/>
          <w:sz w:val="20"/>
        </w:rPr>
        <w:t>2021’ </w:t>
      </w:r>
      <w:r>
        <w:rPr>
          <w:sz w:val="20"/>
        </w:rPr>
        <w:t>(Media Release, 9 June</w:t>
      </w:r>
      <w:r>
        <w:rPr>
          <w:spacing w:val="-8"/>
          <w:sz w:val="20"/>
        </w:rPr>
        <w:t> </w:t>
      </w:r>
      <w:r>
        <w:rPr>
          <w:spacing w:val="-3"/>
          <w:sz w:val="20"/>
        </w:rPr>
        <w:t>2020)</w:t>
      </w:r>
    </w:p>
    <w:p>
      <w:pPr>
        <w:pStyle w:val="ListParagraph"/>
        <w:numPr>
          <w:ilvl w:val="0"/>
          <w:numId w:val="132"/>
        </w:numPr>
        <w:tabs>
          <w:tab w:pos="1307" w:val="left" w:leader="none"/>
          <w:tab w:pos="1308" w:val="left" w:leader="none"/>
        </w:tabs>
        <w:spacing w:line="259" w:lineRule="exact" w:before="47" w:after="0"/>
        <w:ind w:left="1307" w:right="0" w:hanging="340"/>
        <w:jc w:val="left"/>
        <w:rPr>
          <w:sz w:val="20"/>
        </w:rPr>
      </w:pPr>
      <w:r>
        <w:rPr>
          <w:sz w:val="20"/>
        </w:rPr>
        <w:t>‘Deaf </w:t>
      </w:r>
      <w:r>
        <w:rPr>
          <w:spacing w:val="-3"/>
          <w:sz w:val="20"/>
        </w:rPr>
        <w:t>Culture’, </w:t>
      </w:r>
      <w:r>
        <w:rPr>
          <w:i/>
          <w:sz w:val="20"/>
        </w:rPr>
        <w:t>Aussie Deaf Kids </w:t>
      </w:r>
      <w:r>
        <w:rPr>
          <w:sz w:val="20"/>
        </w:rPr>
        <w:t>(Web Page, October</w:t>
      </w:r>
      <w:r>
        <w:rPr>
          <w:spacing w:val="-15"/>
          <w:sz w:val="20"/>
        </w:rPr>
        <w:t> </w:t>
      </w:r>
      <w:r>
        <w:rPr>
          <w:sz w:val="20"/>
        </w:rPr>
        <w:t>2021)</w:t>
      </w:r>
    </w:p>
    <w:p>
      <w:pPr>
        <w:pStyle w:val="BodyText"/>
        <w:spacing w:line="259" w:lineRule="exact"/>
        <w:ind w:left="1307"/>
      </w:pPr>
      <w:r>
        <w:rPr/>
        <w:t>&lt;</w:t>
      </w:r>
      <w:hyperlink r:id="rId62">
        <w:r>
          <w:rPr/>
          <w:t>https://www.aussiedeafkids.org.au/deaf-culture.html</w:t>
        </w:r>
      </w:hyperlink>
      <w:r>
        <w:rPr/>
        <w:t>&gt;</w:t>
      </w:r>
    </w:p>
    <w:p>
      <w:pPr>
        <w:pStyle w:val="ListParagraph"/>
        <w:numPr>
          <w:ilvl w:val="0"/>
          <w:numId w:val="132"/>
        </w:numPr>
        <w:tabs>
          <w:tab w:pos="1307" w:val="left" w:leader="none"/>
          <w:tab w:pos="1308" w:val="left" w:leader="none"/>
        </w:tabs>
        <w:spacing w:line="206" w:lineRule="auto" w:before="80" w:after="0"/>
        <w:ind w:left="1307" w:right="0" w:hanging="340"/>
        <w:jc w:val="left"/>
        <w:rPr>
          <w:sz w:val="20"/>
        </w:rPr>
      </w:pPr>
      <w:r>
        <w:rPr>
          <w:sz w:val="20"/>
        </w:rPr>
        <w:t>Submission</w:t>
      </w:r>
      <w:r>
        <w:rPr>
          <w:spacing w:val="-5"/>
          <w:sz w:val="20"/>
        </w:rPr>
        <w:t> </w:t>
      </w:r>
      <w:r>
        <w:rPr>
          <w:sz w:val="20"/>
        </w:rPr>
        <w:t>No</w:t>
      </w:r>
      <w:r>
        <w:rPr>
          <w:spacing w:val="-4"/>
          <w:sz w:val="20"/>
        </w:rPr>
        <w:t> </w:t>
      </w:r>
      <w:r>
        <w:rPr>
          <w:spacing w:val="-3"/>
          <w:sz w:val="20"/>
        </w:rPr>
        <w:t>37</w:t>
      </w:r>
      <w:r>
        <w:rPr>
          <w:spacing w:val="-5"/>
          <w:sz w:val="20"/>
        </w:rPr>
        <w:t> </w:t>
      </w:r>
      <w:r>
        <w:rPr>
          <w:sz w:val="20"/>
        </w:rPr>
        <w:t>to</w:t>
      </w:r>
      <w:r>
        <w:rPr>
          <w:spacing w:val="-4"/>
          <w:sz w:val="20"/>
        </w:rPr>
        <w:t> </w:t>
      </w:r>
      <w:r>
        <w:rPr>
          <w:sz w:val="20"/>
        </w:rPr>
        <w:t>Australian</w:t>
      </w:r>
      <w:r>
        <w:rPr>
          <w:spacing w:val="-4"/>
          <w:sz w:val="20"/>
        </w:rPr>
        <w:t> </w:t>
      </w:r>
      <w:r>
        <w:rPr>
          <w:sz w:val="20"/>
        </w:rPr>
        <w:t>Law</w:t>
      </w:r>
      <w:r>
        <w:rPr>
          <w:spacing w:val="-5"/>
          <w:sz w:val="20"/>
        </w:rPr>
        <w:t> </w:t>
      </w:r>
      <w:r>
        <w:rPr>
          <w:sz w:val="20"/>
        </w:rPr>
        <w:t>Reform</w:t>
      </w:r>
      <w:r>
        <w:rPr>
          <w:spacing w:val="-4"/>
          <w:sz w:val="20"/>
        </w:rPr>
        <w:t> </w:t>
      </w:r>
      <w:r>
        <w:rPr>
          <w:sz w:val="20"/>
        </w:rPr>
        <w:t>Commission,</w:t>
      </w:r>
      <w:r>
        <w:rPr>
          <w:spacing w:val="-4"/>
          <w:sz w:val="20"/>
        </w:rPr>
        <w:t> </w:t>
      </w:r>
      <w:r>
        <w:rPr>
          <w:i/>
          <w:sz w:val="20"/>
        </w:rPr>
        <w:t>Equality,</w:t>
      </w:r>
      <w:r>
        <w:rPr>
          <w:i/>
          <w:spacing w:val="-5"/>
          <w:sz w:val="20"/>
        </w:rPr>
        <w:t> </w:t>
      </w:r>
      <w:r>
        <w:rPr>
          <w:i/>
          <w:sz w:val="20"/>
        </w:rPr>
        <w:t>Capacity</w:t>
      </w:r>
      <w:r>
        <w:rPr>
          <w:i/>
          <w:spacing w:val="-4"/>
          <w:sz w:val="20"/>
        </w:rPr>
        <w:t> </w:t>
      </w:r>
      <w:r>
        <w:rPr>
          <w:i/>
          <w:sz w:val="20"/>
        </w:rPr>
        <w:t>and</w:t>
      </w:r>
      <w:r>
        <w:rPr>
          <w:i/>
          <w:spacing w:val="-4"/>
          <w:sz w:val="20"/>
        </w:rPr>
        <w:t> </w:t>
      </w:r>
      <w:r>
        <w:rPr>
          <w:i/>
          <w:sz w:val="20"/>
        </w:rPr>
        <w:t>Disability</w:t>
      </w:r>
      <w:r>
        <w:rPr>
          <w:i/>
          <w:spacing w:val="-5"/>
          <w:sz w:val="20"/>
        </w:rPr>
        <w:t> </w:t>
      </w:r>
      <w:r>
        <w:rPr>
          <w:i/>
          <w:sz w:val="20"/>
        </w:rPr>
        <w:t>in </w:t>
      </w:r>
      <w:r>
        <w:rPr>
          <w:i/>
          <w:sz w:val="20"/>
        </w:rPr>
        <w:t>Commonwealth </w:t>
      </w:r>
      <w:r>
        <w:rPr>
          <w:i/>
          <w:spacing w:val="-3"/>
          <w:sz w:val="20"/>
        </w:rPr>
        <w:t>Laws </w:t>
      </w:r>
      <w:r>
        <w:rPr>
          <w:sz w:val="20"/>
        </w:rPr>
        <w:t>(20 January</w:t>
      </w:r>
      <w:r>
        <w:rPr>
          <w:spacing w:val="-5"/>
          <w:sz w:val="20"/>
        </w:rPr>
        <w:t> </w:t>
      </w:r>
      <w:r>
        <w:rPr>
          <w:sz w:val="20"/>
        </w:rPr>
        <w:t>2014)</w:t>
      </w:r>
    </w:p>
    <w:p>
      <w:pPr>
        <w:spacing w:line="206" w:lineRule="auto" w:before="87"/>
        <w:ind w:left="967" w:right="-18" w:firstLine="0"/>
        <w:jc w:val="left"/>
        <w:rPr>
          <w:sz w:val="20"/>
        </w:rPr>
      </w:pPr>
      <w:r>
        <w:rPr>
          <w:sz w:val="20"/>
        </w:rPr>
        <w:t>Della Fina, Valentina, Rachele Cera and Giuseppe Palmisano </w:t>
      </w:r>
      <w:r>
        <w:rPr>
          <w:spacing w:val="-3"/>
          <w:sz w:val="20"/>
        </w:rPr>
        <w:t>(Editors), </w:t>
      </w:r>
      <w:r>
        <w:rPr>
          <w:i/>
          <w:sz w:val="20"/>
        </w:rPr>
        <w:t>The United Nations </w:t>
      </w:r>
      <w:r>
        <w:rPr>
          <w:i/>
          <w:sz w:val="20"/>
        </w:rPr>
        <w:t>Convention on the Rights of Persons with Disabilities: A Commentary </w:t>
      </w:r>
      <w:r>
        <w:rPr>
          <w:sz w:val="20"/>
        </w:rPr>
        <w:t>(Springer International, </w:t>
      </w:r>
      <w:r>
        <w:rPr>
          <w:spacing w:val="-4"/>
          <w:sz w:val="20"/>
        </w:rPr>
        <w:t>2017)</w:t>
      </w:r>
    </w:p>
    <w:p>
      <w:pPr>
        <w:spacing w:line="259" w:lineRule="exact" w:before="84"/>
        <w:ind w:left="967" w:right="0" w:firstLine="0"/>
        <w:jc w:val="left"/>
        <w:rPr>
          <w:i/>
          <w:sz w:val="20"/>
        </w:rPr>
      </w:pPr>
      <w:r>
        <w:rPr>
          <w:sz w:val="20"/>
        </w:rPr>
        <w:t>Department of Education (Vic), ‘Early Childhood Language Program’, </w:t>
      </w:r>
      <w:r>
        <w:rPr>
          <w:i/>
          <w:sz w:val="20"/>
        </w:rPr>
        <w:t>Department of Education</w:t>
      </w:r>
    </w:p>
    <w:p>
      <w:pPr>
        <w:pStyle w:val="BodyText"/>
        <w:spacing w:line="259" w:lineRule="exact"/>
        <w:ind w:left="967"/>
      </w:pPr>
      <w:r>
        <w:rPr/>
        <w:t>(Web Page, 8 April 2022) &lt;</w:t>
      </w:r>
      <w:hyperlink r:id="rId120">
        <w:r>
          <w:rPr/>
          <w:t>https://www.vic.gov.au/early-childhood-language-program</w:t>
        </w:r>
      </w:hyperlink>
      <w:r>
        <w:rPr/>
        <w:t>&gt;</w:t>
      </w:r>
    </w:p>
    <w:p>
      <w:pPr>
        <w:spacing w:line="206" w:lineRule="auto" w:before="108"/>
        <w:ind w:left="967" w:right="555" w:firstLine="0"/>
        <w:jc w:val="left"/>
        <w:rPr>
          <w:sz w:val="20"/>
        </w:rPr>
      </w:pPr>
      <w:r>
        <w:rPr>
          <w:sz w:val="20"/>
        </w:rPr>
        <w:t>Department of Education and Training (Vic), </w:t>
      </w:r>
      <w:r>
        <w:rPr>
          <w:i/>
          <w:sz w:val="20"/>
        </w:rPr>
        <w:t>Languages Provision in Victorian Government </w:t>
      </w:r>
      <w:r>
        <w:rPr>
          <w:i/>
          <w:sz w:val="20"/>
        </w:rPr>
        <w:t>Schools, 2019 </w:t>
      </w:r>
      <w:r>
        <w:rPr>
          <w:sz w:val="20"/>
        </w:rPr>
        <w:t>(Report, 2020)</w:t>
      </w:r>
    </w:p>
    <w:p>
      <w:pPr>
        <w:spacing w:line="206" w:lineRule="auto" w:before="116"/>
        <w:ind w:left="967" w:right="0" w:firstLine="0"/>
        <w:jc w:val="left"/>
        <w:rPr>
          <w:sz w:val="20"/>
        </w:rPr>
      </w:pPr>
      <w:r>
        <w:rPr>
          <w:sz w:val="20"/>
        </w:rPr>
        <w:t>Department</w:t>
      </w:r>
      <w:r>
        <w:rPr>
          <w:spacing w:val="-9"/>
          <w:sz w:val="20"/>
        </w:rPr>
        <w:t> </w:t>
      </w:r>
      <w:r>
        <w:rPr>
          <w:sz w:val="20"/>
        </w:rPr>
        <w:t>of</w:t>
      </w:r>
      <w:r>
        <w:rPr>
          <w:spacing w:val="-8"/>
          <w:sz w:val="20"/>
        </w:rPr>
        <w:t> </w:t>
      </w:r>
      <w:r>
        <w:rPr>
          <w:sz w:val="20"/>
        </w:rPr>
        <w:t>Families,</w:t>
      </w:r>
      <w:r>
        <w:rPr>
          <w:spacing w:val="-9"/>
          <w:sz w:val="20"/>
        </w:rPr>
        <w:t> </w:t>
      </w:r>
      <w:r>
        <w:rPr>
          <w:sz w:val="20"/>
        </w:rPr>
        <w:t>Fairness</w:t>
      </w:r>
      <w:r>
        <w:rPr>
          <w:spacing w:val="-8"/>
          <w:sz w:val="20"/>
        </w:rPr>
        <w:t> </w:t>
      </w:r>
      <w:r>
        <w:rPr>
          <w:sz w:val="20"/>
        </w:rPr>
        <w:t>and</w:t>
      </w:r>
      <w:r>
        <w:rPr>
          <w:spacing w:val="-9"/>
          <w:sz w:val="20"/>
        </w:rPr>
        <w:t> </w:t>
      </w:r>
      <w:r>
        <w:rPr>
          <w:sz w:val="20"/>
        </w:rPr>
        <w:t>Housing</w:t>
      </w:r>
      <w:r>
        <w:rPr>
          <w:spacing w:val="-8"/>
          <w:sz w:val="20"/>
        </w:rPr>
        <w:t> </w:t>
      </w:r>
      <w:r>
        <w:rPr>
          <w:sz w:val="20"/>
        </w:rPr>
        <w:t>(Vic),</w:t>
      </w:r>
      <w:r>
        <w:rPr>
          <w:spacing w:val="-8"/>
          <w:sz w:val="20"/>
        </w:rPr>
        <w:t> </w:t>
      </w:r>
      <w:r>
        <w:rPr>
          <w:i/>
          <w:sz w:val="20"/>
        </w:rPr>
        <w:t>Inclusive</w:t>
      </w:r>
      <w:r>
        <w:rPr>
          <w:i/>
          <w:spacing w:val="-9"/>
          <w:sz w:val="20"/>
        </w:rPr>
        <w:t> </w:t>
      </w:r>
      <w:r>
        <w:rPr>
          <w:i/>
          <w:sz w:val="20"/>
        </w:rPr>
        <w:t>Victoria:</w:t>
      </w:r>
      <w:r>
        <w:rPr>
          <w:i/>
          <w:spacing w:val="-8"/>
          <w:sz w:val="20"/>
        </w:rPr>
        <w:t> </w:t>
      </w:r>
      <w:r>
        <w:rPr>
          <w:i/>
          <w:spacing w:val="-3"/>
          <w:sz w:val="20"/>
        </w:rPr>
        <w:t>State</w:t>
      </w:r>
      <w:r>
        <w:rPr>
          <w:i/>
          <w:spacing w:val="-8"/>
          <w:sz w:val="20"/>
        </w:rPr>
        <w:t> </w:t>
      </w:r>
      <w:r>
        <w:rPr>
          <w:i/>
          <w:sz w:val="20"/>
        </w:rPr>
        <w:t>Disability</w:t>
      </w:r>
      <w:r>
        <w:rPr>
          <w:i/>
          <w:spacing w:val="-8"/>
          <w:sz w:val="20"/>
        </w:rPr>
        <w:t> </w:t>
      </w:r>
      <w:r>
        <w:rPr>
          <w:i/>
          <w:sz w:val="20"/>
        </w:rPr>
        <w:t>Plan</w:t>
      </w:r>
      <w:r>
        <w:rPr>
          <w:i/>
          <w:spacing w:val="-9"/>
          <w:sz w:val="20"/>
        </w:rPr>
        <w:t> </w:t>
      </w:r>
      <w:r>
        <w:rPr>
          <w:i/>
          <w:sz w:val="20"/>
        </w:rPr>
        <w:t>2022– </w:t>
      </w:r>
      <w:r>
        <w:rPr>
          <w:i/>
          <w:sz w:val="20"/>
        </w:rPr>
        <w:t>2026 </w:t>
      </w:r>
      <w:r>
        <w:rPr>
          <w:sz w:val="20"/>
        </w:rPr>
        <w:t>(Report, March</w:t>
      </w:r>
      <w:r>
        <w:rPr>
          <w:spacing w:val="-6"/>
          <w:sz w:val="20"/>
        </w:rPr>
        <w:t> </w:t>
      </w:r>
      <w:r>
        <w:rPr>
          <w:sz w:val="20"/>
        </w:rPr>
        <w:t>2022)</w:t>
      </w:r>
    </w:p>
    <w:p>
      <w:pPr>
        <w:spacing w:line="206" w:lineRule="auto" w:before="116"/>
        <w:ind w:left="967" w:right="890" w:firstLine="0"/>
        <w:jc w:val="left"/>
        <w:rPr>
          <w:sz w:val="20"/>
        </w:rPr>
      </w:pPr>
      <w:r>
        <w:rPr>
          <w:sz w:val="20"/>
        </w:rPr>
        <w:t>Department of Health (Vic), ‘Sign Language—Auslan’, </w:t>
      </w:r>
      <w:r>
        <w:rPr>
          <w:i/>
          <w:sz w:val="20"/>
        </w:rPr>
        <w:t>Better Health Channel, Victorian </w:t>
      </w:r>
      <w:r>
        <w:rPr>
          <w:i/>
          <w:sz w:val="20"/>
        </w:rPr>
        <w:t>Department of Health </w:t>
      </w:r>
      <w:r>
        <w:rPr>
          <w:sz w:val="20"/>
        </w:rPr>
        <w:t>(Web Page) &lt;</w:t>
      </w:r>
      <w:hyperlink r:id="rId193">
        <w:r>
          <w:rPr>
            <w:sz w:val="20"/>
          </w:rPr>
          <w:t>https://www.betterhealth.vic.gov.au/health/</w:t>
        </w:r>
      </w:hyperlink>
      <w:r>
        <w:rPr>
          <w:sz w:val="20"/>
        </w:rPr>
        <w:t> </w:t>
      </w:r>
      <w:hyperlink r:id="rId193">
        <w:r>
          <w:rPr>
            <w:sz w:val="20"/>
          </w:rPr>
          <w:t>conditionsandtreatments/sign-language-auslan</w:t>
        </w:r>
      </w:hyperlink>
      <w:r>
        <w:rPr>
          <w:sz w:val="20"/>
        </w:rPr>
        <w:t>&gt;</w:t>
      </w:r>
    </w:p>
    <w:p>
      <w:pPr>
        <w:spacing w:line="206" w:lineRule="auto" w:before="117"/>
        <w:ind w:left="967" w:right="281" w:firstLine="0"/>
        <w:jc w:val="left"/>
        <w:rPr>
          <w:sz w:val="20"/>
        </w:rPr>
      </w:pPr>
      <w:r>
        <w:rPr>
          <w:sz w:val="20"/>
        </w:rPr>
        <w:t>Department of Health and Human Services (Vic), ‘Ageing’, </w:t>
      </w:r>
      <w:r>
        <w:rPr>
          <w:i/>
          <w:sz w:val="20"/>
        </w:rPr>
        <w:t>Department of Health and Human </w:t>
      </w:r>
      <w:r>
        <w:rPr>
          <w:i/>
          <w:sz w:val="20"/>
        </w:rPr>
        <w:t>Services Victoria </w:t>
      </w:r>
      <w:r>
        <w:rPr>
          <w:sz w:val="20"/>
        </w:rPr>
        <w:t>(Web Page, 2020) &lt;</w:t>
      </w:r>
      <w:hyperlink r:id="rId56">
        <w:r>
          <w:rPr>
            <w:sz w:val="20"/>
          </w:rPr>
          <w:t>https://www.dhhs.vic.gov.au/ageing</w:t>
        </w:r>
      </w:hyperlink>
      <w:r>
        <w:rPr>
          <w:sz w:val="20"/>
        </w:rPr>
        <w:t>&gt;</w:t>
      </w:r>
    </w:p>
    <w:p>
      <w:pPr>
        <w:spacing w:line="206" w:lineRule="auto" w:before="116"/>
        <w:ind w:left="967" w:right="452" w:firstLine="0"/>
        <w:jc w:val="left"/>
        <w:rPr>
          <w:sz w:val="20"/>
        </w:rPr>
      </w:pPr>
      <w:r>
        <w:rPr>
          <w:sz w:val="20"/>
        </w:rPr>
        <w:t>Department of Justice (US), </w:t>
      </w:r>
      <w:r>
        <w:rPr>
          <w:i/>
          <w:sz w:val="20"/>
        </w:rPr>
        <w:t>The Americans with Disabilities Act: Title II Technical Assistance </w:t>
      </w:r>
      <w:r>
        <w:rPr>
          <w:i/>
          <w:sz w:val="20"/>
        </w:rPr>
        <w:t>Manual </w:t>
      </w:r>
      <w:r>
        <w:rPr>
          <w:sz w:val="20"/>
        </w:rPr>
        <w:t>(Manual) &lt;</w:t>
      </w:r>
      <w:hyperlink r:id="rId155">
        <w:r>
          <w:rPr>
            <w:sz w:val="20"/>
          </w:rPr>
          <w:t>https://www.ada.gov/taman2.html</w:t>
        </w:r>
      </w:hyperlink>
      <w:r>
        <w:rPr>
          <w:sz w:val="20"/>
        </w:rPr>
        <w:t>&gt;</w:t>
      </w:r>
    </w:p>
    <w:p>
      <w:pPr>
        <w:spacing w:line="206" w:lineRule="auto" w:before="116"/>
        <w:ind w:left="967" w:right="0" w:firstLine="0"/>
        <w:jc w:val="left"/>
        <w:rPr>
          <w:sz w:val="20"/>
        </w:rPr>
      </w:pPr>
      <w:r>
        <w:rPr>
          <w:sz w:val="20"/>
        </w:rPr>
        <w:t>Department of Justice (WA), </w:t>
      </w:r>
      <w:r>
        <w:rPr>
          <w:i/>
          <w:sz w:val="20"/>
        </w:rPr>
        <w:t>Participation of People with a Disability in Jury Service </w:t>
      </w:r>
      <w:r>
        <w:rPr>
          <w:sz w:val="20"/>
        </w:rPr>
        <w:t>(Discussion Paper, March 2020)</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36"/>
        </w:rPr>
      </w:pPr>
    </w:p>
    <w:p>
      <w:pPr>
        <w:spacing w:before="0"/>
        <w:ind w:left="569" w:right="0" w:firstLine="0"/>
        <w:jc w:val="left"/>
        <w:rPr>
          <w:b/>
          <w:sz w:val="24"/>
        </w:rPr>
      </w:pPr>
      <w:r>
        <w:rPr>
          <w:b/>
          <w:color w:val="37617A"/>
          <w:sz w:val="24"/>
        </w:rPr>
        <w:t>237</w:t>
      </w:r>
    </w:p>
    <w:p>
      <w:pPr>
        <w:spacing w:after="0"/>
        <w:jc w:val="left"/>
        <w:rPr>
          <w:sz w:val="24"/>
        </w:rPr>
        <w:sectPr>
          <w:type w:val="continuous"/>
          <w:pgSz w:w="11910" w:h="16840"/>
          <w:pgMar w:top="620" w:bottom="280" w:left="620" w:right="380"/>
          <w:cols w:num="2" w:equalWidth="0">
            <w:col w:w="9684" w:space="40"/>
            <w:col w:w="1186"/>
          </w:cols>
        </w:sectPr>
      </w:pPr>
    </w:p>
    <w:p>
      <w:pPr>
        <w:pStyle w:val="BodyText"/>
        <w:rPr>
          <w:b/>
        </w:rPr>
      </w:pPr>
    </w:p>
    <w:p>
      <w:pPr>
        <w:pStyle w:val="BodyText"/>
        <w:rPr>
          <w:b/>
        </w:rPr>
      </w:pPr>
    </w:p>
    <w:p>
      <w:pPr>
        <w:pStyle w:val="BodyText"/>
        <w:rPr>
          <w:b/>
        </w:rPr>
      </w:pPr>
    </w:p>
    <w:p>
      <w:pPr>
        <w:pStyle w:val="BodyText"/>
        <w:spacing w:before="7"/>
        <w:rPr>
          <w:b/>
          <w:sz w:val="16"/>
        </w:rPr>
      </w:pPr>
    </w:p>
    <w:p>
      <w:pPr>
        <w:pStyle w:val="BodyText"/>
        <w:ind w:left="967"/>
      </w:pPr>
      <w:r>
        <w:rPr/>
        <w:t>Department of Justice and Community Safety (Vic),</w:t>
      </w:r>
    </w:p>
    <w:p>
      <w:pPr>
        <w:pStyle w:val="ListParagraph"/>
        <w:numPr>
          <w:ilvl w:val="0"/>
          <w:numId w:val="133"/>
        </w:numPr>
        <w:tabs>
          <w:tab w:pos="1307" w:val="left" w:leader="none"/>
          <w:tab w:pos="1308" w:val="left" w:leader="none"/>
        </w:tabs>
        <w:spacing w:line="259" w:lineRule="exact" w:before="75" w:after="0"/>
        <w:ind w:left="1307" w:right="0" w:hanging="340"/>
        <w:jc w:val="left"/>
        <w:rPr>
          <w:sz w:val="20"/>
        </w:rPr>
      </w:pPr>
      <w:r>
        <w:rPr>
          <w:sz w:val="20"/>
        </w:rPr>
        <w:t>‘Equal Opportunity’, </w:t>
      </w:r>
      <w:r>
        <w:rPr>
          <w:i/>
          <w:sz w:val="20"/>
        </w:rPr>
        <w:t>Victoria </w:t>
      </w:r>
      <w:r>
        <w:rPr>
          <w:i/>
          <w:spacing w:val="-3"/>
          <w:sz w:val="20"/>
        </w:rPr>
        <w:t>State </w:t>
      </w:r>
      <w:r>
        <w:rPr>
          <w:i/>
          <w:sz w:val="20"/>
        </w:rPr>
        <w:t>Government </w:t>
      </w:r>
      <w:r>
        <w:rPr>
          <w:sz w:val="20"/>
        </w:rPr>
        <w:t>(Web Page,</w:t>
      </w:r>
      <w:r>
        <w:rPr>
          <w:spacing w:val="-15"/>
          <w:sz w:val="20"/>
        </w:rPr>
        <w:t> </w:t>
      </w:r>
      <w:r>
        <w:rPr>
          <w:sz w:val="20"/>
        </w:rPr>
        <w:t>2021)</w:t>
      </w:r>
    </w:p>
    <w:p>
      <w:pPr>
        <w:pStyle w:val="BodyText"/>
        <w:spacing w:line="259" w:lineRule="exact"/>
        <w:ind w:left="1307"/>
      </w:pPr>
      <w:r>
        <w:rPr/>
        <w:t>&lt;</w:t>
      </w:r>
      <w:hyperlink r:id="rId128">
        <w:r>
          <w:rPr/>
          <w:t>https://www.justice.vic.gov.au/equal-opportunity</w:t>
        </w:r>
      </w:hyperlink>
      <w:r>
        <w:rPr/>
        <w:t>&gt;</w:t>
      </w:r>
    </w:p>
    <w:p>
      <w:pPr>
        <w:pStyle w:val="ListParagraph"/>
        <w:numPr>
          <w:ilvl w:val="0"/>
          <w:numId w:val="133"/>
        </w:numPr>
        <w:tabs>
          <w:tab w:pos="1307" w:val="left" w:leader="none"/>
          <w:tab w:pos="1308" w:val="left" w:leader="none"/>
        </w:tabs>
        <w:spacing w:line="206" w:lineRule="auto" w:before="80" w:after="0"/>
        <w:ind w:left="1307" w:right="1258" w:hanging="340"/>
        <w:jc w:val="left"/>
        <w:rPr>
          <w:sz w:val="20"/>
        </w:rPr>
      </w:pPr>
      <w:r>
        <w:rPr>
          <w:sz w:val="20"/>
        </w:rPr>
        <w:t>Notice of Selection’, </w:t>
      </w:r>
      <w:r>
        <w:rPr>
          <w:i/>
          <w:sz w:val="20"/>
        </w:rPr>
        <w:t>Juries Victoria </w:t>
      </w:r>
      <w:r>
        <w:rPr>
          <w:sz w:val="20"/>
        </w:rPr>
        <w:t>(Web Page, 2021) </w:t>
      </w:r>
      <w:r>
        <w:rPr>
          <w:spacing w:val="-3"/>
          <w:sz w:val="20"/>
        </w:rPr>
        <w:t>&lt;</w:t>
      </w:r>
      <w:hyperlink r:id="rId46">
        <w:r>
          <w:rPr>
            <w:spacing w:val="-3"/>
            <w:sz w:val="20"/>
          </w:rPr>
          <w:t>https://www.juriesvictoria.vic.gov.au/</w:t>
        </w:r>
      </w:hyperlink>
      <w:hyperlink r:id="rId46">
        <w:r>
          <w:rPr>
            <w:spacing w:val="-3"/>
            <w:sz w:val="20"/>
          </w:rPr>
          <w:t> </w:t>
        </w:r>
        <w:r>
          <w:rPr>
            <w:sz w:val="20"/>
          </w:rPr>
          <w:t>individuals/notice-of-selection</w:t>
        </w:r>
      </w:hyperlink>
      <w:r>
        <w:rPr>
          <w:sz w:val="20"/>
        </w:rPr>
        <w:t>&gt;</w:t>
      </w:r>
    </w:p>
    <w:p>
      <w:pPr>
        <w:pStyle w:val="ListParagraph"/>
        <w:numPr>
          <w:ilvl w:val="0"/>
          <w:numId w:val="133"/>
        </w:numPr>
        <w:tabs>
          <w:tab w:pos="1307" w:val="left" w:leader="none"/>
          <w:tab w:pos="1308" w:val="left" w:leader="none"/>
        </w:tabs>
        <w:spacing w:line="206" w:lineRule="auto" w:before="88" w:after="0"/>
        <w:ind w:left="1307" w:right="1841" w:hanging="340"/>
        <w:jc w:val="left"/>
        <w:rPr>
          <w:sz w:val="20"/>
        </w:rPr>
      </w:pPr>
      <w:r>
        <w:rPr>
          <w:sz w:val="20"/>
        </w:rPr>
        <w:t>‘Victorian Intermediaries Pilot </w:t>
      </w:r>
      <w:r>
        <w:rPr>
          <w:spacing w:val="-3"/>
          <w:sz w:val="20"/>
        </w:rPr>
        <w:t>Program’, </w:t>
      </w:r>
      <w:r>
        <w:rPr>
          <w:i/>
          <w:sz w:val="20"/>
        </w:rPr>
        <w:t>Victoria </w:t>
      </w:r>
      <w:r>
        <w:rPr>
          <w:i/>
          <w:spacing w:val="-3"/>
          <w:sz w:val="20"/>
        </w:rPr>
        <w:t>State </w:t>
      </w:r>
      <w:r>
        <w:rPr>
          <w:i/>
          <w:sz w:val="20"/>
        </w:rPr>
        <w:t>Government </w:t>
      </w:r>
      <w:r>
        <w:rPr>
          <w:sz w:val="20"/>
        </w:rPr>
        <w:t>(Web Page, June </w:t>
      </w:r>
      <w:r>
        <w:rPr>
          <w:spacing w:val="-3"/>
          <w:sz w:val="20"/>
        </w:rPr>
        <w:t>2020)</w:t>
      </w:r>
      <w:r>
        <w:rPr>
          <w:spacing w:val="-34"/>
          <w:sz w:val="20"/>
        </w:rPr>
        <w:t> </w:t>
      </w:r>
      <w:r>
        <w:rPr>
          <w:spacing w:val="-1"/>
          <w:sz w:val="20"/>
        </w:rPr>
        <w:t>&lt;</w:t>
      </w:r>
      <w:hyperlink r:id="rId231">
        <w:r>
          <w:rPr>
            <w:spacing w:val="-1"/>
            <w:sz w:val="20"/>
          </w:rPr>
          <w:t>http://www.justice.vic.gov.au/justice-system/courts-and-tribunals/victorian-</w:t>
        </w:r>
      </w:hyperlink>
      <w:hyperlink r:id="rId231">
        <w:r>
          <w:rPr>
            <w:spacing w:val="-1"/>
            <w:sz w:val="20"/>
          </w:rPr>
          <w:t> </w:t>
        </w:r>
        <w:r>
          <w:rPr>
            <w:sz w:val="20"/>
          </w:rPr>
          <w:t>intermediaries-pilot-program</w:t>
        </w:r>
      </w:hyperlink>
      <w:r>
        <w:rPr>
          <w:sz w:val="20"/>
        </w:rPr>
        <w:t>&gt;</w:t>
      </w:r>
    </w:p>
    <w:p>
      <w:pPr>
        <w:pStyle w:val="ListParagraph"/>
        <w:numPr>
          <w:ilvl w:val="0"/>
          <w:numId w:val="133"/>
        </w:numPr>
        <w:tabs>
          <w:tab w:pos="1307" w:val="left" w:leader="none"/>
          <w:tab w:pos="1308" w:val="left" w:leader="none"/>
        </w:tabs>
        <w:spacing w:line="259" w:lineRule="exact" w:before="56" w:after="0"/>
        <w:ind w:left="1307" w:right="0" w:hanging="340"/>
        <w:jc w:val="left"/>
        <w:rPr>
          <w:sz w:val="20"/>
        </w:rPr>
      </w:pPr>
      <w:r>
        <w:rPr>
          <w:sz w:val="20"/>
        </w:rPr>
        <w:t>‘Victorian Model Litigant Guidelines’, </w:t>
      </w:r>
      <w:r>
        <w:rPr>
          <w:i/>
          <w:sz w:val="20"/>
        </w:rPr>
        <w:t>Victoria </w:t>
      </w:r>
      <w:r>
        <w:rPr>
          <w:i/>
          <w:spacing w:val="-3"/>
          <w:sz w:val="20"/>
        </w:rPr>
        <w:t>State </w:t>
      </w:r>
      <w:r>
        <w:rPr>
          <w:i/>
          <w:sz w:val="20"/>
        </w:rPr>
        <w:t>Government </w:t>
      </w:r>
      <w:r>
        <w:rPr>
          <w:sz w:val="20"/>
        </w:rPr>
        <w:t>(Web Page, 22 July</w:t>
      </w:r>
      <w:r>
        <w:rPr>
          <w:spacing w:val="-35"/>
          <w:sz w:val="20"/>
        </w:rPr>
        <w:t> </w:t>
      </w:r>
      <w:r>
        <w:rPr>
          <w:sz w:val="20"/>
        </w:rPr>
        <w:t>2021)</w:t>
      </w:r>
    </w:p>
    <w:p>
      <w:pPr>
        <w:pStyle w:val="BodyText"/>
        <w:spacing w:line="206" w:lineRule="auto" w:before="14"/>
        <w:ind w:left="1307" w:right="1628"/>
      </w:pPr>
      <w:r>
        <w:rPr>
          <w:spacing w:val="-2"/>
        </w:rPr>
        <w:t>&lt;</w:t>
      </w:r>
      <w:hyperlink r:id="rId249">
        <w:r>
          <w:rPr>
            <w:spacing w:val="-2"/>
          </w:rPr>
          <w:t>https://www.justice.vic.gov.au/justice-system/laws-and-regulation/victorian-model-</w:t>
        </w:r>
      </w:hyperlink>
      <w:r>
        <w:rPr>
          <w:spacing w:val="-2"/>
        </w:rPr>
        <w:t> </w:t>
      </w:r>
      <w:hyperlink r:id="rId249">
        <w:r>
          <w:rPr/>
          <w:t>litigant-guidelines</w:t>
        </w:r>
      </w:hyperlink>
      <w:r>
        <w:rPr/>
        <w:t>&gt;</w:t>
      </w:r>
    </w:p>
    <w:p>
      <w:pPr>
        <w:pStyle w:val="ListParagraph"/>
        <w:numPr>
          <w:ilvl w:val="0"/>
          <w:numId w:val="133"/>
        </w:numPr>
        <w:tabs>
          <w:tab w:pos="1307" w:val="left" w:leader="none"/>
          <w:tab w:pos="1308" w:val="left" w:leader="none"/>
        </w:tabs>
        <w:spacing w:line="206" w:lineRule="auto" w:before="87" w:after="0"/>
        <w:ind w:left="1307" w:right="1340" w:hanging="340"/>
        <w:jc w:val="left"/>
        <w:rPr>
          <w:sz w:val="20"/>
        </w:rPr>
      </w:pPr>
      <w:r>
        <w:rPr>
          <w:sz w:val="20"/>
        </w:rPr>
        <w:t>‘What Is Jury Service?’, </w:t>
      </w:r>
      <w:r>
        <w:rPr>
          <w:i/>
          <w:sz w:val="20"/>
        </w:rPr>
        <w:t>Juries Victoria </w:t>
      </w:r>
      <w:r>
        <w:rPr>
          <w:sz w:val="20"/>
        </w:rPr>
        <w:t>(Web Page, 2021) </w:t>
      </w:r>
      <w:r>
        <w:rPr>
          <w:spacing w:val="-3"/>
          <w:sz w:val="20"/>
        </w:rPr>
        <w:t>&lt;</w:t>
      </w:r>
      <w:hyperlink r:id="rId43">
        <w:r>
          <w:rPr>
            <w:spacing w:val="-3"/>
            <w:sz w:val="20"/>
          </w:rPr>
          <w:t>https://www.juriesvictoria.vic.gov.</w:t>
        </w:r>
      </w:hyperlink>
      <w:hyperlink r:id="rId43">
        <w:r>
          <w:rPr>
            <w:spacing w:val="-3"/>
            <w:sz w:val="20"/>
          </w:rPr>
          <w:t> </w:t>
        </w:r>
        <w:r>
          <w:rPr>
            <w:sz w:val="20"/>
          </w:rPr>
          <w:t>au/about-juries-victoria/what-is-jury-service</w:t>
        </w:r>
      </w:hyperlink>
      <w:r>
        <w:rPr>
          <w:sz w:val="20"/>
        </w:rPr>
        <w:t>&gt;</w:t>
      </w:r>
    </w:p>
    <w:p>
      <w:pPr>
        <w:spacing w:line="206" w:lineRule="auto" w:before="88"/>
        <w:ind w:left="967" w:right="1335" w:firstLine="0"/>
        <w:jc w:val="left"/>
        <w:rPr>
          <w:sz w:val="20"/>
        </w:rPr>
      </w:pPr>
      <w:r>
        <w:rPr>
          <w:sz w:val="20"/>
        </w:rPr>
        <w:t>Department of Justice and Regulation (Vic), </w:t>
      </w:r>
      <w:r>
        <w:rPr>
          <w:i/>
          <w:sz w:val="20"/>
        </w:rPr>
        <w:t>Equality and Fairness in Jury Selection </w:t>
      </w:r>
      <w:r>
        <w:rPr>
          <w:sz w:val="20"/>
        </w:rPr>
        <w:t>(Discussion Paper, 2016)</w:t>
      </w:r>
    </w:p>
    <w:p>
      <w:pPr>
        <w:spacing w:line="206" w:lineRule="auto" w:before="116"/>
        <w:ind w:left="967" w:right="1387" w:firstLine="0"/>
        <w:jc w:val="left"/>
        <w:rPr>
          <w:sz w:val="20"/>
        </w:rPr>
      </w:pPr>
      <w:r>
        <w:rPr>
          <w:sz w:val="20"/>
        </w:rPr>
        <w:t>Department of Premier and Cabinet (Vic), </w:t>
      </w:r>
      <w:r>
        <w:rPr>
          <w:i/>
          <w:sz w:val="20"/>
        </w:rPr>
        <w:t>Population Diversity in Victoria: 2016 Census </w:t>
      </w:r>
      <w:r>
        <w:rPr>
          <w:sz w:val="20"/>
        </w:rPr>
        <w:t>(Report, 30 May 2018)</w:t>
      </w:r>
    </w:p>
    <w:p>
      <w:pPr>
        <w:pStyle w:val="BodyText"/>
        <w:spacing w:before="83"/>
        <w:ind w:left="967"/>
      </w:pPr>
      <w:r>
        <w:rPr/>
        <w:t>Department of Social Services (Cth),</w:t>
      </w:r>
    </w:p>
    <w:p>
      <w:pPr>
        <w:pStyle w:val="ListParagraph"/>
        <w:numPr>
          <w:ilvl w:val="0"/>
          <w:numId w:val="133"/>
        </w:numPr>
        <w:tabs>
          <w:tab w:pos="1307" w:val="left" w:leader="none"/>
          <w:tab w:pos="1308" w:val="left" w:leader="none"/>
        </w:tabs>
        <w:spacing w:line="240" w:lineRule="auto" w:before="76" w:after="0"/>
        <w:ind w:left="1307" w:right="0" w:hanging="340"/>
        <w:jc w:val="left"/>
        <w:rPr>
          <w:sz w:val="20"/>
        </w:rPr>
      </w:pPr>
      <w:r>
        <w:rPr>
          <w:i/>
          <w:sz w:val="20"/>
        </w:rPr>
        <w:t>Australia’s Disability Strategy </w:t>
      </w:r>
      <w:r>
        <w:rPr>
          <w:i/>
          <w:spacing w:val="-3"/>
          <w:sz w:val="20"/>
        </w:rPr>
        <w:t>2021–2031 </w:t>
      </w:r>
      <w:r>
        <w:rPr>
          <w:sz w:val="20"/>
        </w:rPr>
        <w:t>(Report, December</w:t>
      </w:r>
      <w:r>
        <w:rPr>
          <w:spacing w:val="-11"/>
          <w:sz w:val="20"/>
        </w:rPr>
        <w:t> </w:t>
      </w:r>
      <w:r>
        <w:rPr>
          <w:sz w:val="20"/>
        </w:rPr>
        <w:t>2021)</w:t>
      </w:r>
    </w:p>
    <w:p>
      <w:pPr>
        <w:pStyle w:val="ListParagraph"/>
        <w:numPr>
          <w:ilvl w:val="0"/>
          <w:numId w:val="133"/>
        </w:numPr>
        <w:tabs>
          <w:tab w:pos="1307" w:val="left" w:leader="none"/>
          <w:tab w:pos="1308" w:val="left" w:leader="none"/>
        </w:tabs>
        <w:spacing w:line="206" w:lineRule="auto" w:before="80" w:after="0"/>
        <w:ind w:left="1307" w:right="1373" w:hanging="340"/>
        <w:jc w:val="left"/>
        <w:rPr>
          <w:sz w:val="20"/>
        </w:rPr>
      </w:pPr>
      <w:r>
        <w:rPr>
          <w:i/>
          <w:sz w:val="20"/>
        </w:rPr>
        <w:t>SHUT</w:t>
      </w:r>
      <w:r>
        <w:rPr>
          <w:i/>
          <w:spacing w:val="-5"/>
          <w:sz w:val="20"/>
        </w:rPr>
        <w:t> </w:t>
      </w:r>
      <w:r>
        <w:rPr>
          <w:i/>
          <w:spacing w:val="-6"/>
          <w:sz w:val="20"/>
        </w:rPr>
        <w:t>OUT:</w:t>
      </w:r>
      <w:r>
        <w:rPr>
          <w:i/>
          <w:spacing w:val="-5"/>
          <w:sz w:val="20"/>
        </w:rPr>
        <w:t> </w:t>
      </w:r>
      <w:r>
        <w:rPr>
          <w:i/>
          <w:sz w:val="20"/>
        </w:rPr>
        <w:t>The</w:t>
      </w:r>
      <w:r>
        <w:rPr>
          <w:i/>
          <w:spacing w:val="-5"/>
          <w:sz w:val="20"/>
        </w:rPr>
        <w:t> </w:t>
      </w:r>
      <w:r>
        <w:rPr>
          <w:i/>
          <w:sz w:val="20"/>
        </w:rPr>
        <w:t>Experience</w:t>
      </w:r>
      <w:r>
        <w:rPr>
          <w:i/>
          <w:spacing w:val="-5"/>
          <w:sz w:val="20"/>
        </w:rPr>
        <w:t> </w:t>
      </w:r>
      <w:r>
        <w:rPr>
          <w:i/>
          <w:sz w:val="20"/>
        </w:rPr>
        <w:t>of</w:t>
      </w:r>
      <w:r>
        <w:rPr>
          <w:i/>
          <w:spacing w:val="-5"/>
          <w:sz w:val="20"/>
        </w:rPr>
        <w:t> </w:t>
      </w:r>
      <w:r>
        <w:rPr>
          <w:i/>
          <w:sz w:val="20"/>
        </w:rPr>
        <w:t>People</w:t>
      </w:r>
      <w:r>
        <w:rPr>
          <w:i/>
          <w:spacing w:val="-5"/>
          <w:sz w:val="20"/>
        </w:rPr>
        <w:t> </w:t>
      </w:r>
      <w:r>
        <w:rPr>
          <w:i/>
          <w:sz w:val="20"/>
        </w:rPr>
        <w:t>with</w:t>
      </w:r>
      <w:r>
        <w:rPr>
          <w:i/>
          <w:spacing w:val="-5"/>
          <w:sz w:val="20"/>
        </w:rPr>
        <w:t> </w:t>
      </w:r>
      <w:r>
        <w:rPr>
          <w:i/>
          <w:sz w:val="20"/>
        </w:rPr>
        <w:t>Disabilities</w:t>
      </w:r>
      <w:r>
        <w:rPr>
          <w:i/>
          <w:spacing w:val="-5"/>
          <w:sz w:val="20"/>
        </w:rPr>
        <w:t> </w:t>
      </w:r>
      <w:r>
        <w:rPr>
          <w:i/>
          <w:sz w:val="20"/>
        </w:rPr>
        <w:t>and</w:t>
      </w:r>
      <w:r>
        <w:rPr>
          <w:i/>
          <w:spacing w:val="-5"/>
          <w:sz w:val="20"/>
        </w:rPr>
        <w:t> </w:t>
      </w:r>
      <w:r>
        <w:rPr>
          <w:i/>
          <w:sz w:val="20"/>
        </w:rPr>
        <w:t>Their</w:t>
      </w:r>
      <w:r>
        <w:rPr>
          <w:i/>
          <w:spacing w:val="-5"/>
          <w:sz w:val="20"/>
        </w:rPr>
        <w:t> </w:t>
      </w:r>
      <w:r>
        <w:rPr>
          <w:i/>
          <w:sz w:val="20"/>
        </w:rPr>
        <w:t>Families</w:t>
      </w:r>
      <w:r>
        <w:rPr>
          <w:i/>
          <w:spacing w:val="-5"/>
          <w:sz w:val="20"/>
        </w:rPr>
        <w:t> </w:t>
      </w:r>
      <w:r>
        <w:rPr>
          <w:i/>
          <w:sz w:val="20"/>
        </w:rPr>
        <w:t>in</w:t>
      </w:r>
      <w:r>
        <w:rPr>
          <w:i/>
          <w:spacing w:val="-5"/>
          <w:sz w:val="20"/>
        </w:rPr>
        <w:t> </w:t>
      </w:r>
      <w:r>
        <w:rPr>
          <w:i/>
          <w:sz w:val="20"/>
        </w:rPr>
        <w:t>Australia</w:t>
      </w:r>
      <w:r>
        <w:rPr>
          <w:i/>
          <w:spacing w:val="-4"/>
          <w:sz w:val="20"/>
        </w:rPr>
        <w:t> </w:t>
      </w:r>
      <w:r>
        <w:rPr>
          <w:sz w:val="20"/>
        </w:rPr>
        <w:t>(Report, 2009)</w:t>
      </w:r>
    </w:p>
    <w:p>
      <w:pPr>
        <w:pStyle w:val="BodyText"/>
        <w:spacing w:line="206" w:lineRule="auto" w:before="88"/>
        <w:ind w:left="967" w:right="1624"/>
      </w:pPr>
      <w:r>
        <w:rPr>
          <w:spacing w:val="-3"/>
        </w:rPr>
        <w:t>Derkley, </w:t>
      </w:r>
      <w:r>
        <w:rPr/>
        <w:t>Karin </w:t>
      </w:r>
      <w:r>
        <w:rPr>
          <w:spacing w:val="-3"/>
        </w:rPr>
        <w:t>‘Judge-Alone Trials </w:t>
      </w:r>
      <w:r>
        <w:rPr/>
        <w:t>Help Reduce Backlog: Chief Judge Kidd’, </w:t>
      </w:r>
      <w:r>
        <w:rPr>
          <w:i/>
        </w:rPr>
        <w:t>Law Institute of </w:t>
      </w:r>
      <w:r>
        <w:rPr>
          <w:i/>
        </w:rPr>
        <w:t>Victoria </w:t>
      </w:r>
      <w:r>
        <w:rPr/>
        <w:t>(Web Page, 19 August </w:t>
      </w:r>
      <w:r>
        <w:rPr>
          <w:spacing w:val="-3"/>
        </w:rPr>
        <w:t>2020) &lt;</w:t>
      </w:r>
      <w:hyperlink r:id="rId44">
        <w:r>
          <w:rPr>
            <w:spacing w:val="-3"/>
          </w:rPr>
          <w:t>https://www.liv.asn.au/Staying-Informed/LIJ/LIJ/</w:t>
        </w:r>
      </w:hyperlink>
      <w:r>
        <w:rPr>
          <w:spacing w:val="-3"/>
        </w:rPr>
        <w:t> </w:t>
      </w:r>
      <w:hyperlink r:id="rId44">
        <w:r>
          <w:rPr/>
          <w:t>August-2020/Judge-alone-trials-help-reduce-backlog--Chief-Judg</w:t>
        </w:r>
      </w:hyperlink>
      <w:r>
        <w:rPr/>
        <w:t>&gt;</w:t>
      </w:r>
    </w:p>
    <w:p>
      <w:pPr>
        <w:spacing w:line="304" w:lineRule="auto" w:before="84"/>
        <w:ind w:left="967" w:right="4331" w:firstLine="0"/>
        <w:jc w:val="left"/>
        <w:rPr>
          <w:sz w:val="20"/>
        </w:rPr>
      </w:pPr>
      <w:r>
        <w:rPr>
          <w:sz w:val="20"/>
        </w:rPr>
        <w:t>Description Victoria, </w:t>
      </w:r>
      <w:r>
        <w:rPr>
          <w:i/>
          <w:sz w:val="20"/>
        </w:rPr>
        <w:t>Annual Report 2020 </w:t>
      </w:r>
      <w:r>
        <w:rPr>
          <w:sz w:val="20"/>
        </w:rPr>
        <w:t>(Report, 2020) Devlin, Sir Patrick, </w:t>
      </w:r>
      <w:r>
        <w:rPr>
          <w:i/>
          <w:sz w:val="20"/>
        </w:rPr>
        <w:t>Trial by Jury </w:t>
      </w:r>
      <w:r>
        <w:rPr>
          <w:sz w:val="20"/>
        </w:rPr>
        <w:t>(Stevens &amp; Sons, 1956)</w:t>
      </w:r>
    </w:p>
    <w:p>
      <w:pPr>
        <w:pStyle w:val="BodyText"/>
        <w:spacing w:line="206" w:lineRule="auto" w:before="34"/>
        <w:ind w:left="967" w:right="1334"/>
      </w:pPr>
      <w:r>
        <w:rPr>
          <w:spacing w:val="-3"/>
        </w:rPr>
        <w:t>Dexter, </w:t>
      </w:r>
      <w:r>
        <w:rPr/>
        <w:t>Rachael, Craig Butt, Eleanor Marsh and Nicole Precel, ‘Why There Are More Men than </w:t>
      </w:r>
      <w:r>
        <w:rPr>
          <w:spacing w:val="-3"/>
        </w:rPr>
        <w:t>Women </w:t>
      </w:r>
      <w:r>
        <w:rPr/>
        <w:t>on </w:t>
      </w:r>
      <w:r>
        <w:rPr>
          <w:spacing w:val="-3"/>
        </w:rPr>
        <w:t>Juries’, </w:t>
      </w:r>
      <w:r>
        <w:rPr>
          <w:i/>
        </w:rPr>
        <w:t>The Age </w:t>
      </w:r>
      <w:r>
        <w:rPr/>
        <w:t>(online, 4 December 2019) </w:t>
      </w:r>
      <w:r>
        <w:rPr>
          <w:spacing w:val="-3"/>
        </w:rPr>
        <w:t>&lt;</w:t>
      </w:r>
      <w:hyperlink r:id="rId247">
        <w:r>
          <w:rPr>
            <w:spacing w:val="-3"/>
          </w:rPr>
          <w:t>https://www.theage.com.au/national/</w:t>
        </w:r>
      </w:hyperlink>
      <w:r>
        <w:rPr>
          <w:spacing w:val="-3"/>
        </w:rPr>
        <w:t> </w:t>
      </w:r>
      <w:hyperlink r:id="rId247">
        <w:r>
          <w:rPr/>
          <w:t>victoria/why-there-are-more-men-than-women-on-juries-20190821-p52jer.html</w:t>
        </w:r>
      </w:hyperlink>
      <w:r>
        <w:rPr/>
        <w:t>&gt;</w:t>
      </w:r>
    </w:p>
    <w:p>
      <w:pPr>
        <w:spacing w:line="206" w:lineRule="auto" w:before="118"/>
        <w:ind w:left="967" w:right="1335" w:firstLine="0"/>
        <w:jc w:val="left"/>
        <w:rPr>
          <w:sz w:val="20"/>
        </w:rPr>
      </w:pPr>
      <w:r>
        <w:rPr>
          <w:sz w:val="20"/>
        </w:rPr>
        <w:t>Director of Public Prosecutions (Cth), </w:t>
      </w:r>
      <w:r>
        <w:rPr>
          <w:i/>
          <w:sz w:val="20"/>
        </w:rPr>
        <w:t>Guidelines and Directions Manual </w:t>
      </w:r>
      <w:r>
        <w:rPr>
          <w:sz w:val="20"/>
        </w:rPr>
        <w:t>(Jury Issues, Guide, 10 September 2012)</w:t>
      </w:r>
    </w:p>
    <w:p>
      <w:pPr>
        <w:spacing w:line="259" w:lineRule="exact" w:before="83"/>
        <w:ind w:left="967" w:right="0" w:firstLine="0"/>
        <w:jc w:val="left"/>
        <w:rPr>
          <w:i/>
          <w:sz w:val="20"/>
        </w:rPr>
      </w:pPr>
      <w:r>
        <w:rPr>
          <w:sz w:val="20"/>
        </w:rPr>
        <w:t>Director of Public Prosecutions (Vic), </w:t>
      </w:r>
      <w:r>
        <w:rPr>
          <w:i/>
          <w:sz w:val="20"/>
        </w:rPr>
        <w:t>Policy of the Director of Public Prosecutions for Victoria</w:t>
      </w:r>
    </w:p>
    <w:p>
      <w:pPr>
        <w:pStyle w:val="BodyText"/>
        <w:spacing w:line="259" w:lineRule="exact"/>
        <w:ind w:left="967"/>
      </w:pPr>
      <w:r>
        <w:rPr/>
        <w:t>(Report, 24 January 2022)</w:t>
      </w:r>
    </w:p>
    <w:p>
      <w:pPr>
        <w:pStyle w:val="BodyText"/>
        <w:spacing w:before="76"/>
        <w:ind w:left="967"/>
      </w:pPr>
      <w:r>
        <w:rPr/>
        <w:t>Disability Awareness,</w:t>
      </w:r>
    </w:p>
    <w:p>
      <w:pPr>
        <w:pStyle w:val="ListParagraph"/>
        <w:numPr>
          <w:ilvl w:val="0"/>
          <w:numId w:val="133"/>
        </w:numPr>
        <w:tabs>
          <w:tab w:pos="1307" w:val="left" w:leader="none"/>
          <w:tab w:pos="1308" w:val="left" w:leader="none"/>
        </w:tabs>
        <w:spacing w:line="259" w:lineRule="exact" w:before="76" w:after="0"/>
        <w:ind w:left="1307" w:right="0" w:hanging="340"/>
        <w:jc w:val="left"/>
        <w:rPr>
          <w:sz w:val="20"/>
        </w:rPr>
      </w:pPr>
      <w:r>
        <w:rPr>
          <w:sz w:val="20"/>
        </w:rPr>
        <w:t>‘Disability Awareness Courses’, </w:t>
      </w:r>
      <w:r>
        <w:rPr>
          <w:i/>
          <w:sz w:val="20"/>
        </w:rPr>
        <w:t>Disability Awareness </w:t>
      </w:r>
      <w:r>
        <w:rPr>
          <w:sz w:val="20"/>
        </w:rPr>
        <w:t>(Web Page,</w:t>
      </w:r>
      <w:r>
        <w:rPr>
          <w:spacing w:val="-19"/>
          <w:sz w:val="20"/>
        </w:rPr>
        <w:t> </w:t>
      </w:r>
      <w:r>
        <w:rPr>
          <w:sz w:val="20"/>
        </w:rPr>
        <w:t>2022)</w:t>
      </w:r>
    </w:p>
    <w:p>
      <w:pPr>
        <w:pStyle w:val="BodyText"/>
        <w:spacing w:line="259" w:lineRule="exact"/>
        <w:ind w:left="1307"/>
      </w:pPr>
      <w:r>
        <w:rPr/>
        <w:t>&lt;</w:t>
      </w:r>
      <w:hyperlink r:id="rId255">
        <w:r>
          <w:rPr/>
          <w:t>https://disabilityawareness.com.au/elearning/disability-awareness/</w:t>
        </w:r>
      </w:hyperlink>
      <w:r>
        <w:rPr/>
        <w:t>&gt;</w:t>
      </w:r>
    </w:p>
    <w:p>
      <w:pPr>
        <w:pStyle w:val="ListParagraph"/>
        <w:numPr>
          <w:ilvl w:val="0"/>
          <w:numId w:val="133"/>
        </w:numPr>
        <w:tabs>
          <w:tab w:pos="1307" w:val="left" w:leader="none"/>
          <w:tab w:pos="1308" w:val="left" w:leader="none"/>
        </w:tabs>
        <w:spacing w:line="259" w:lineRule="exact" w:before="47" w:after="0"/>
        <w:ind w:left="1307" w:right="0" w:hanging="340"/>
        <w:jc w:val="left"/>
        <w:rPr>
          <w:sz w:val="20"/>
        </w:rPr>
      </w:pPr>
      <w:r>
        <w:rPr>
          <w:sz w:val="20"/>
        </w:rPr>
        <w:t>‘Introduction to Disability </w:t>
      </w:r>
      <w:r>
        <w:rPr>
          <w:spacing w:val="-3"/>
          <w:sz w:val="20"/>
        </w:rPr>
        <w:t>Awareness’, </w:t>
      </w:r>
      <w:r>
        <w:rPr>
          <w:i/>
          <w:sz w:val="20"/>
        </w:rPr>
        <w:t>Disability Awareness </w:t>
      </w:r>
      <w:r>
        <w:rPr>
          <w:sz w:val="20"/>
        </w:rPr>
        <w:t>(Web</w:t>
      </w:r>
      <w:r>
        <w:rPr>
          <w:spacing w:val="-15"/>
          <w:sz w:val="20"/>
        </w:rPr>
        <w:t> </w:t>
      </w:r>
      <w:r>
        <w:rPr>
          <w:sz w:val="20"/>
        </w:rPr>
        <w:t>Page)</w:t>
      </w:r>
    </w:p>
    <w:p>
      <w:pPr>
        <w:pStyle w:val="BodyText"/>
        <w:spacing w:line="259" w:lineRule="exact"/>
        <w:ind w:left="1307"/>
      </w:pPr>
      <w:r>
        <w:rPr/>
        <w:t>&lt;</w:t>
      </w:r>
      <w:hyperlink r:id="rId19">
        <w:r>
          <w:rPr/>
          <w:t>https://disabilityawareness.com.au/courses/introduction-to-disability-awareness/</w:t>
        </w:r>
      </w:hyperlink>
      <w:r>
        <w:rPr/>
        <w:t>&gt;</w:t>
      </w:r>
    </w:p>
    <w:p>
      <w:pPr>
        <w:pStyle w:val="BodyText"/>
        <w:spacing w:line="206" w:lineRule="auto" w:before="80"/>
        <w:ind w:left="967" w:right="1360"/>
      </w:pPr>
      <w:r>
        <w:rPr/>
        <w:t>Disability Rights Section, Civil Rights Division, United States Department of Justice, ‘Effective Communication’, </w:t>
      </w:r>
      <w:r>
        <w:rPr>
          <w:i/>
          <w:spacing w:val="-3"/>
        </w:rPr>
        <w:t>ADA </w:t>
      </w:r>
      <w:r>
        <w:rPr>
          <w:i/>
        </w:rPr>
        <w:t>Requirements </w:t>
      </w:r>
      <w:r>
        <w:rPr/>
        <w:t>(Web Page) </w:t>
      </w:r>
      <w:r>
        <w:rPr>
          <w:spacing w:val="-3"/>
        </w:rPr>
        <w:t>&lt;</w:t>
      </w:r>
      <w:hyperlink r:id="rId232">
        <w:r>
          <w:rPr>
            <w:spacing w:val="-3"/>
          </w:rPr>
          <w:t>https://www.ada.gov/effective-comm.htm</w:t>
        </w:r>
      </w:hyperlink>
      <w:r>
        <w:rPr>
          <w:spacing w:val="-3"/>
        </w:rPr>
        <w:t>&gt;</w:t>
      </w:r>
    </w:p>
    <w:p>
      <w:pPr>
        <w:spacing w:line="259" w:lineRule="exact" w:before="84"/>
        <w:ind w:left="967" w:right="0" w:firstLine="0"/>
        <w:jc w:val="left"/>
        <w:rPr>
          <w:sz w:val="20"/>
        </w:rPr>
      </w:pPr>
      <w:r>
        <w:rPr>
          <w:sz w:val="20"/>
        </w:rPr>
        <w:t>Diversity Australia, ‘Disability Awareness Programs’, </w:t>
      </w:r>
      <w:r>
        <w:rPr>
          <w:i/>
          <w:sz w:val="20"/>
        </w:rPr>
        <w:t>Diversity Australia </w:t>
      </w:r>
      <w:r>
        <w:rPr>
          <w:sz w:val="20"/>
        </w:rPr>
        <w:t>(Web Page)</w:t>
      </w:r>
    </w:p>
    <w:p>
      <w:pPr>
        <w:pStyle w:val="BodyText"/>
        <w:spacing w:line="259" w:lineRule="exact"/>
        <w:ind w:left="967"/>
      </w:pPr>
      <w:r>
        <w:rPr/>
        <w:t>&lt;</w:t>
      </w:r>
      <w:hyperlink r:id="rId256">
        <w:r>
          <w:rPr/>
          <w:t>https://www.diversityaustralia.com.au/training/disability_awareness/</w:t>
        </w:r>
      </w:hyperlink>
      <w:r>
        <w:rPr/>
        <w:t>&gt;</w:t>
      </w:r>
    </w:p>
    <w:p>
      <w:pPr>
        <w:spacing w:line="259" w:lineRule="exact" w:before="75"/>
        <w:ind w:left="967" w:right="0" w:firstLine="0"/>
        <w:jc w:val="left"/>
        <w:rPr>
          <w:i/>
          <w:sz w:val="20"/>
        </w:rPr>
      </w:pPr>
      <w:r>
        <w:rPr>
          <w:sz w:val="20"/>
        </w:rPr>
        <w:t>Dore, Paul Anthony, </w:t>
      </w:r>
      <w:r>
        <w:rPr>
          <w:i/>
          <w:sz w:val="20"/>
        </w:rPr>
        <w:t>To Develop a Systemic Approach to Juror Support Programs in Australia</w:t>
      </w:r>
    </w:p>
    <w:p>
      <w:pPr>
        <w:pStyle w:val="BodyText"/>
        <w:spacing w:line="259" w:lineRule="exact"/>
        <w:ind w:left="967"/>
      </w:pPr>
      <w:r>
        <w:rPr/>
        <w:t>(Report, Winston Churchill Trust, 2018)</w:t>
      </w:r>
    </w:p>
    <w:p>
      <w:pPr>
        <w:spacing w:line="206" w:lineRule="auto" w:before="108"/>
        <w:ind w:left="967" w:right="1335" w:firstLine="0"/>
        <w:jc w:val="left"/>
        <w:rPr>
          <w:sz w:val="20"/>
        </w:rPr>
      </w:pPr>
      <w:r>
        <w:rPr>
          <w:sz w:val="20"/>
        </w:rPr>
        <w:t>Ekman, Paul and Maureen O’Sullivan, ‘Who Can Catch a Liar?’ (1991) 46(9) </w:t>
      </w:r>
      <w:r>
        <w:rPr>
          <w:i/>
          <w:sz w:val="20"/>
        </w:rPr>
        <w:t>American </w:t>
      </w:r>
      <w:r>
        <w:rPr>
          <w:i/>
          <w:sz w:val="20"/>
        </w:rPr>
        <w:t>Psychologist </w:t>
      </w:r>
      <w:r>
        <w:rPr>
          <w:sz w:val="20"/>
        </w:rPr>
        <w:t>913</w:t>
      </w:r>
    </w:p>
    <w:p>
      <w:pPr>
        <w:pStyle w:val="BodyText"/>
      </w:pPr>
    </w:p>
    <w:p>
      <w:pPr>
        <w:pStyle w:val="BodyText"/>
        <w:spacing w:before="12"/>
        <w:rPr>
          <w:sz w:val="21"/>
        </w:rPr>
      </w:pPr>
    </w:p>
    <w:p>
      <w:pPr>
        <w:spacing w:before="49"/>
        <w:ind w:left="100" w:right="0" w:firstLine="0"/>
        <w:jc w:val="left"/>
        <w:rPr>
          <w:b/>
          <w:sz w:val="24"/>
        </w:rPr>
      </w:pPr>
      <w:r>
        <w:rPr>
          <w:b/>
          <w:color w:val="37617A"/>
          <w:sz w:val="24"/>
        </w:rPr>
        <w:t>238</w:t>
      </w:r>
    </w:p>
    <w:p>
      <w:pPr>
        <w:spacing w:after="0"/>
        <w:jc w:val="left"/>
        <w:rPr>
          <w:sz w:val="24"/>
        </w:rPr>
        <w:sectPr>
          <w:pgSz w:w="11910" w:h="16840"/>
          <w:pgMar w:header="567" w:footer="0" w:top="860" w:bottom="280" w:left="620" w:right="380"/>
        </w:sectPr>
      </w:pPr>
    </w:p>
    <w:p>
      <w:pPr>
        <w:pStyle w:val="BodyText"/>
        <w:rPr>
          <w:b/>
        </w:rPr>
      </w:pPr>
    </w:p>
    <w:p>
      <w:pPr>
        <w:pStyle w:val="BodyText"/>
        <w:rPr>
          <w:b/>
        </w:rPr>
      </w:pPr>
    </w:p>
    <w:p>
      <w:pPr>
        <w:pStyle w:val="BodyText"/>
        <w:rPr>
          <w:b/>
        </w:rPr>
      </w:pPr>
    </w:p>
    <w:p>
      <w:pPr>
        <w:pStyle w:val="BodyText"/>
        <w:spacing w:before="6"/>
        <w:rPr>
          <w:b/>
          <w:sz w:val="14"/>
        </w:rPr>
      </w:pPr>
    </w:p>
    <w:p>
      <w:pPr>
        <w:pStyle w:val="BodyText"/>
        <w:spacing w:line="206" w:lineRule="auto" w:before="90"/>
        <w:ind w:left="967" w:right="1379"/>
      </w:pPr>
      <w:r>
        <w:rPr/>
        <w:t>Espósito, Filipe, </w:t>
      </w:r>
      <w:r>
        <w:rPr>
          <w:spacing w:val="-4"/>
        </w:rPr>
        <w:t>‘Apple’s </w:t>
      </w:r>
      <w:r>
        <w:rPr/>
        <w:t>Accessibility Director Highlights How the Company </w:t>
      </w:r>
      <w:r>
        <w:rPr>
          <w:spacing w:val="-3"/>
        </w:rPr>
        <w:t>Values </w:t>
      </w:r>
      <w:r>
        <w:rPr/>
        <w:t>Inclusion in Its </w:t>
      </w:r>
      <w:r>
        <w:rPr>
          <w:spacing w:val="-3"/>
        </w:rPr>
        <w:t>Products’, </w:t>
      </w:r>
      <w:r>
        <w:rPr>
          <w:i/>
        </w:rPr>
        <w:t>9to5Mac </w:t>
      </w:r>
      <w:r>
        <w:rPr/>
        <w:t>(Blog Post, 28 July </w:t>
      </w:r>
      <w:r>
        <w:rPr>
          <w:spacing w:val="-3"/>
        </w:rPr>
        <w:t>2020) </w:t>
      </w:r>
      <w:r>
        <w:rPr>
          <w:spacing w:val="-6"/>
        </w:rPr>
        <w:t>&lt;https://9</w:t>
      </w:r>
      <w:hyperlink r:id="rId114">
        <w:r>
          <w:rPr>
            <w:spacing w:val="-6"/>
          </w:rPr>
          <w:t>to5mac.com/2020/07/27/apples-</w:t>
        </w:r>
      </w:hyperlink>
      <w:r>
        <w:rPr>
          <w:spacing w:val="-6"/>
        </w:rPr>
        <w:t> </w:t>
      </w:r>
      <w:hyperlink r:id="rId114">
        <w:r>
          <w:rPr/>
          <w:t>accessibility-director-highlights-how-the-company-values-inclusion-in-its-products/</w:t>
        </w:r>
      </w:hyperlink>
      <w:r>
        <w:rPr/>
        <w:t>&gt;</w:t>
      </w:r>
    </w:p>
    <w:p>
      <w:pPr>
        <w:spacing w:line="304" w:lineRule="auto" w:before="85"/>
        <w:ind w:left="967" w:right="1866" w:firstLine="0"/>
        <w:jc w:val="left"/>
        <w:rPr>
          <w:sz w:val="20"/>
        </w:rPr>
      </w:pPr>
      <w:r>
        <w:rPr>
          <w:sz w:val="20"/>
        </w:rPr>
        <w:t>Evatt, HV, ‘The Jury System in Australia’ (1936) 10 </w:t>
      </w:r>
      <w:r>
        <w:rPr>
          <w:i/>
          <w:sz w:val="20"/>
        </w:rPr>
        <w:t>Australian Law Journal Supplement </w:t>
      </w:r>
      <w:r>
        <w:rPr>
          <w:sz w:val="20"/>
        </w:rPr>
        <w:t>49 Fair Work Commission, </w:t>
      </w:r>
      <w:r>
        <w:rPr>
          <w:i/>
          <w:sz w:val="20"/>
        </w:rPr>
        <w:t>Fair Work Commission </w:t>
      </w:r>
      <w:r>
        <w:rPr>
          <w:sz w:val="20"/>
        </w:rPr>
        <w:t>(Web Page) &lt;</w:t>
      </w:r>
      <w:hyperlink r:id="rId125">
        <w:r>
          <w:rPr>
            <w:sz w:val="20"/>
          </w:rPr>
          <w:t>https://www.fwc.gov.au/</w:t>
        </w:r>
      </w:hyperlink>
      <w:r>
        <w:rPr>
          <w:sz w:val="20"/>
        </w:rPr>
        <w:t>&gt;</w:t>
      </w:r>
    </w:p>
    <w:p>
      <w:pPr>
        <w:pStyle w:val="BodyText"/>
        <w:spacing w:line="206" w:lineRule="auto" w:before="34"/>
        <w:ind w:left="967" w:right="1335"/>
      </w:pPr>
      <w:r>
        <w:rPr>
          <w:spacing w:val="-3"/>
        </w:rPr>
        <w:t>Fair Work </w:t>
      </w:r>
      <w:r>
        <w:rPr/>
        <w:t>Ombudsman (Cth), ‘Welcome to the </w:t>
      </w:r>
      <w:r>
        <w:rPr>
          <w:spacing w:val="-3"/>
        </w:rPr>
        <w:t>Fair Work </w:t>
      </w:r>
      <w:r>
        <w:rPr/>
        <w:t>Ombudsman </w:t>
      </w:r>
      <w:r>
        <w:rPr>
          <w:spacing w:val="-4"/>
        </w:rPr>
        <w:t>Website’, </w:t>
      </w:r>
      <w:r>
        <w:rPr>
          <w:i/>
        </w:rPr>
        <w:t>Fair </w:t>
      </w:r>
      <w:r>
        <w:rPr>
          <w:i/>
          <w:spacing w:val="-4"/>
        </w:rPr>
        <w:t>Work </w:t>
      </w:r>
      <w:r>
        <w:rPr>
          <w:i/>
        </w:rPr>
        <w:t>Ombudsman </w:t>
      </w:r>
      <w:r>
        <w:rPr/>
        <w:t>(Web Page) </w:t>
      </w:r>
      <w:r>
        <w:rPr>
          <w:spacing w:val="-3"/>
        </w:rPr>
        <w:t>&lt;</w:t>
      </w:r>
      <w:hyperlink r:id="rId126">
        <w:r>
          <w:rPr>
            <w:spacing w:val="-3"/>
          </w:rPr>
          <w:t>https://www.fairwork.gov.au/</w:t>
        </w:r>
      </w:hyperlink>
      <w:r>
        <w:rPr>
          <w:spacing w:val="-3"/>
        </w:rPr>
        <w:t>&gt;</w:t>
      </w:r>
    </w:p>
    <w:p>
      <w:pPr>
        <w:pStyle w:val="BodyText"/>
        <w:spacing w:line="206" w:lineRule="auto" w:before="116"/>
        <w:ind w:left="967" w:right="1470"/>
      </w:pPr>
      <w:r>
        <w:rPr>
          <w:spacing w:val="-2"/>
        </w:rPr>
        <w:t>Farrell, </w:t>
      </w:r>
      <w:r>
        <w:rPr/>
        <w:t>Michael, ‘Ireland Gets First </w:t>
      </w:r>
      <w:r>
        <w:rPr>
          <w:spacing w:val="-4"/>
        </w:rPr>
        <w:t>Ever </w:t>
      </w:r>
      <w:r>
        <w:rPr/>
        <w:t>Deaf </w:t>
      </w:r>
      <w:r>
        <w:rPr>
          <w:spacing w:val="-3"/>
        </w:rPr>
        <w:t>Juror—11 </w:t>
      </w:r>
      <w:r>
        <w:rPr>
          <w:spacing w:val="-4"/>
        </w:rPr>
        <w:t>Years </w:t>
      </w:r>
      <w:r>
        <w:rPr/>
        <w:t>after First Attempt’, </w:t>
      </w:r>
      <w:r>
        <w:rPr>
          <w:i/>
        </w:rPr>
        <w:t>PILA Bulletin </w:t>
      </w:r>
      <w:r>
        <w:rPr/>
        <w:t>(20 December </w:t>
      </w:r>
      <w:r>
        <w:rPr>
          <w:spacing w:val="-4"/>
        </w:rPr>
        <w:t>2017) &lt;</w:t>
      </w:r>
      <w:hyperlink r:id="rId175">
        <w:r>
          <w:rPr>
            <w:spacing w:val="-4"/>
          </w:rPr>
          <w:t>https://www.pila.ie/resources/bulletin/2017/12/20/guest-piece-by-</w:t>
        </w:r>
      </w:hyperlink>
      <w:r>
        <w:rPr>
          <w:spacing w:val="-4"/>
        </w:rPr>
        <w:t> </w:t>
      </w:r>
      <w:hyperlink r:id="rId175">
        <w:r>
          <w:rPr/>
          <w:t>michael-farrell-ireland-gets-first-ever-deaf-juror-11-years-after-first-attempt/</w:t>
        </w:r>
      </w:hyperlink>
      <w:r>
        <w:rPr/>
        <w:t>&gt;</w:t>
      </w:r>
    </w:p>
    <w:p>
      <w:pPr>
        <w:spacing w:line="206" w:lineRule="auto" w:before="117"/>
        <w:ind w:left="967" w:right="1245" w:firstLine="0"/>
        <w:jc w:val="left"/>
        <w:rPr>
          <w:sz w:val="20"/>
        </w:rPr>
      </w:pPr>
      <w:r>
        <w:rPr>
          <w:sz w:val="20"/>
        </w:rPr>
        <w:t>Federal Circuit and </w:t>
      </w:r>
      <w:r>
        <w:rPr>
          <w:spacing w:val="-3"/>
          <w:sz w:val="20"/>
        </w:rPr>
        <w:t>Family </w:t>
      </w:r>
      <w:r>
        <w:rPr>
          <w:sz w:val="20"/>
        </w:rPr>
        <w:t>Court of Australia, ‘Interpreter Policy and Guidelines’, </w:t>
      </w:r>
      <w:r>
        <w:rPr>
          <w:i/>
          <w:sz w:val="20"/>
        </w:rPr>
        <w:t>Federal Circuit </w:t>
      </w:r>
      <w:r>
        <w:rPr>
          <w:i/>
          <w:sz w:val="20"/>
        </w:rPr>
        <w:t>and Family Court of Australia </w:t>
      </w:r>
      <w:r>
        <w:rPr>
          <w:sz w:val="20"/>
        </w:rPr>
        <w:t>(Web Page, 2021) </w:t>
      </w:r>
      <w:r>
        <w:rPr>
          <w:spacing w:val="-3"/>
          <w:sz w:val="20"/>
        </w:rPr>
        <w:t>&lt;</w:t>
      </w:r>
      <w:hyperlink r:id="rId199">
        <w:r>
          <w:rPr>
            <w:spacing w:val="-3"/>
            <w:sz w:val="20"/>
          </w:rPr>
          <w:t>https://www.fcfcoa.gov.au/policy/interpreter</w:t>
        </w:r>
      </w:hyperlink>
      <w:r>
        <w:rPr>
          <w:spacing w:val="-3"/>
          <w:sz w:val="20"/>
        </w:rPr>
        <w:t>&gt;</w:t>
      </w:r>
    </w:p>
    <w:p>
      <w:pPr>
        <w:spacing w:line="206" w:lineRule="auto" w:before="116"/>
        <w:ind w:left="967" w:right="1320" w:firstLine="0"/>
        <w:jc w:val="left"/>
        <w:rPr>
          <w:sz w:val="20"/>
        </w:rPr>
      </w:pPr>
      <w:r>
        <w:rPr>
          <w:sz w:val="20"/>
        </w:rPr>
        <w:t>Federal Court of Australia and Family Court of Australia, </w:t>
      </w:r>
      <w:r>
        <w:rPr>
          <w:i/>
          <w:sz w:val="20"/>
        </w:rPr>
        <w:t>Service Charter for the Family Court of </w:t>
      </w:r>
      <w:r>
        <w:rPr>
          <w:i/>
          <w:sz w:val="20"/>
        </w:rPr>
        <w:t>Australia and the Federal Court of Australia </w:t>
      </w:r>
      <w:r>
        <w:rPr>
          <w:sz w:val="20"/>
        </w:rPr>
        <w:t>(Report, 2016)</w:t>
      </w:r>
    </w:p>
    <w:p>
      <w:pPr>
        <w:spacing w:line="206" w:lineRule="auto" w:before="116"/>
        <w:ind w:left="967" w:right="1335" w:firstLine="0"/>
        <w:jc w:val="left"/>
        <w:rPr>
          <w:sz w:val="20"/>
        </w:rPr>
      </w:pPr>
      <w:r>
        <w:rPr>
          <w:sz w:val="20"/>
        </w:rPr>
        <w:t>Federal Court of Australia, </w:t>
      </w:r>
      <w:r>
        <w:rPr>
          <w:i/>
          <w:sz w:val="20"/>
        </w:rPr>
        <w:t>Requests to be Excused from Jury Service </w:t>
      </w:r>
      <w:r>
        <w:rPr>
          <w:sz w:val="20"/>
        </w:rPr>
        <w:t>(Information Sheet No 3, July 2021)</w:t>
      </w:r>
    </w:p>
    <w:p>
      <w:pPr>
        <w:pStyle w:val="BodyText"/>
        <w:spacing w:before="83"/>
        <w:ind w:left="967"/>
      </w:pPr>
      <w:r>
        <w:rPr/>
        <w:t>Findlay, Mark,</w:t>
      </w:r>
    </w:p>
    <w:p>
      <w:pPr>
        <w:pStyle w:val="ListParagraph"/>
        <w:numPr>
          <w:ilvl w:val="0"/>
          <w:numId w:val="134"/>
        </w:numPr>
        <w:tabs>
          <w:tab w:pos="1307" w:val="left" w:leader="none"/>
          <w:tab w:pos="1308" w:val="left" w:leader="none"/>
        </w:tabs>
        <w:spacing w:line="240" w:lineRule="auto" w:before="76" w:after="0"/>
        <w:ind w:left="1307" w:right="0" w:hanging="340"/>
        <w:jc w:val="left"/>
        <w:rPr>
          <w:sz w:val="20"/>
        </w:rPr>
      </w:pPr>
      <w:r>
        <w:rPr>
          <w:spacing w:val="-4"/>
          <w:sz w:val="20"/>
        </w:rPr>
        <w:t>‘Juries </w:t>
      </w:r>
      <w:r>
        <w:rPr>
          <w:sz w:val="20"/>
        </w:rPr>
        <w:t>Reborn’ [2007] (90) </w:t>
      </w:r>
      <w:r>
        <w:rPr>
          <w:i/>
          <w:sz w:val="20"/>
        </w:rPr>
        <w:t>Reform</w:t>
      </w:r>
      <w:r>
        <w:rPr>
          <w:i/>
          <w:spacing w:val="-6"/>
          <w:sz w:val="20"/>
        </w:rPr>
        <w:t> </w:t>
      </w:r>
      <w:r>
        <w:rPr>
          <w:sz w:val="20"/>
        </w:rPr>
        <w:t>9</w:t>
      </w:r>
    </w:p>
    <w:p>
      <w:pPr>
        <w:pStyle w:val="ListParagraph"/>
        <w:numPr>
          <w:ilvl w:val="0"/>
          <w:numId w:val="134"/>
        </w:numPr>
        <w:tabs>
          <w:tab w:pos="1307" w:val="left" w:leader="none"/>
          <w:tab w:pos="1308" w:val="left" w:leader="none"/>
        </w:tabs>
        <w:spacing w:line="240" w:lineRule="auto" w:before="48" w:after="0"/>
        <w:ind w:left="1307" w:right="0" w:hanging="340"/>
        <w:jc w:val="left"/>
        <w:rPr>
          <w:sz w:val="20"/>
        </w:rPr>
      </w:pPr>
      <w:r>
        <w:rPr>
          <w:sz w:val="20"/>
        </w:rPr>
        <w:t>‘The Essence of the Jury’ (2000) 12(2) </w:t>
      </w:r>
      <w:r>
        <w:rPr>
          <w:i/>
          <w:spacing w:val="-3"/>
          <w:sz w:val="20"/>
        </w:rPr>
        <w:t>Legaldate</w:t>
      </w:r>
      <w:r>
        <w:rPr>
          <w:i/>
          <w:spacing w:val="-14"/>
          <w:sz w:val="20"/>
        </w:rPr>
        <w:t> </w:t>
      </w:r>
      <w:r>
        <w:rPr>
          <w:sz w:val="20"/>
        </w:rPr>
        <w:t>5</w:t>
      </w:r>
    </w:p>
    <w:p>
      <w:pPr>
        <w:spacing w:line="206" w:lineRule="auto" w:before="79"/>
        <w:ind w:left="967" w:right="1669" w:firstLine="0"/>
        <w:jc w:val="left"/>
        <w:rPr>
          <w:sz w:val="20"/>
        </w:rPr>
      </w:pPr>
      <w:r>
        <w:rPr>
          <w:sz w:val="20"/>
        </w:rPr>
        <w:t>Findlay, Mark and Peter Duff, </w:t>
      </w:r>
      <w:r>
        <w:rPr>
          <w:i/>
          <w:sz w:val="20"/>
        </w:rPr>
        <w:t>Jury Management in New South Wales </w:t>
      </w:r>
      <w:r>
        <w:rPr>
          <w:sz w:val="20"/>
        </w:rPr>
        <w:t>(Australian Institute of Judicial Administration, 1994)</w:t>
      </w:r>
    </w:p>
    <w:p>
      <w:pPr>
        <w:spacing w:before="84"/>
        <w:ind w:left="967" w:right="0" w:firstLine="0"/>
        <w:jc w:val="left"/>
        <w:rPr>
          <w:sz w:val="20"/>
        </w:rPr>
      </w:pPr>
      <w:r>
        <w:rPr>
          <w:sz w:val="20"/>
        </w:rPr>
        <w:t>Foreman, Joshua et al, </w:t>
      </w:r>
      <w:r>
        <w:rPr>
          <w:i/>
          <w:sz w:val="20"/>
        </w:rPr>
        <w:t>National Eye Health Survey 2016 </w:t>
      </w:r>
      <w:r>
        <w:rPr>
          <w:sz w:val="20"/>
        </w:rPr>
        <w:t>(Report, 2016)</w:t>
      </w:r>
    </w:p>
    <w:p>
      <w:pPr>
        <w:pStyle w:val="BodyText"/>
        <w:spacing w:line="206" w:lineRule="auto" w:before="108"/>
        <w:ind w:left="967"/>
      </w:pPr>
      <w:r>
        <w:rPr/>
        <w:t>Freedom Scientific, </w:t>
      </w:r>
      <w:r>
        <w:rPr>
          <w:spacing w:val="-8"/>
        </w:rPr>
        <w:t>‘JAWS’, </w:t>
      </w:r>
      <w:r>
        <w:rPr>
          <w:i/>
        </w:rPr>
        <w:t>Freedom Scientific </w:t>
      </w:r>
      <w:r>
        <w:rPr/>
        <w:t>(Web Page) </w:t>
      </w:r>
      <w:r>
        <w:rPr>
          <w:spacing w:val="-3"/>
        </w:rPr>
        <w:t>&lt;</w:t>
      </w:r>
      <w:hyperlink r:id="rId202">
        <w:r>
          <w:rPr>
            <w:spacing w:val="-3"/>
          </w:rPr>
          <w:t>https://www.freedomscientific.</w:t>
        </w:r>
      </w:hyperlink>
      <w:r>
        <w:rPr>
          <w:spacing w:val="-3"/>
        </w:rPr>
        <w:t> </w:t>
      </w:r>
      <w:hyperlink r:id="rId202">
        <w:r>
          <w:rPr>
            <w:spacing w:val="-4"/>
          </w:rPr>
          <w:t>com/Products/software/JAWS/</w:t>
        </w:r>
      </w:hyperlink>
      <w:r>
        <w:rPr>
          <w:spacing w:val="-4"/>
        </w:rPr>
        <w:t>&gt;</w:t>
      </w:r>
    </w:p>
    <w:p>
      <w:pPr>
        <w:pStyle w:val="BodyText"/>
        <w:spacing w:line="259" w:lineRule="exact" w:before="84"/>
        <w:ind w:left="967"/>
      </w:pPr>
      <w:r>
        <w:rPr/>
        <w:t>Friedland, Steven I, ‘On Common Sense and the Evaluation of Witness Credibility’ (1989) 40(1)</w:t>
      </w:r>
    </w:p>
    <w:p>
      <w:pPr>
        <w:spacing w:line="259" w:lineRule="exact" w:before="0"/>
        <w:ind w:left="967" w:right="0" w:firstLine="0"/>
        <w:jc w:val="left"/>
        <w:rPr>
          <w:sz w:val="20"/>
        </w:rPr>
      </w:pPr>
      <w:r>
        <w:rPr>
          <w:i/>
          <w:sz w:val="20"/>
        </w:rPr>
        <w:t>Case Western Reserve Law Review </w:t>
      </w:r>
      <w:r>
        <w:rPr>
          <w:sz w:val="20"/>
        </w:rPr>
        <w:t>63</w:t>
      </w:r>
    </w:p>
    <w:p>
      <w:pPr>
        <w:pStyle w:val="BodyText"/>
        <w:spacing w:line="206" w:lineRule="auto" w:before="108"/>
        <w:ind w:left="967" w:right="2015"/>
      </w:pPr>
      <w:r>
        <w:rPr/>
        <w:t>Gallagher, </w:t>
      </w:r>
      <w:r>
        <w:rPr>
          <w:spacing w:val="-3"/>
        </w:rPr>
        <w:t>Conor, ‘Galway Woman </w:t>
      </w:r>
      <w:r>
        <w:rPr/>
        <w:t>Makes History as First Deaf Person to Deliberate on Irish Jury’, </w:t>
      </w:r>
      <w:r>
        <w:rPr>
          <w:i/>
        </w:rPr>
        <w:t>The Irish Times </w:t>
      </w:r>
      <w:r>
        <w:rPr/>
        <w:t>(online, 5 October </w:t>
      </w:r>
      <w:r>
        <w:rPr>
          <w:spacing w:val="-3"/>
        </w:rPr>
        <w:t>2020) &lt;</w:t>
      </w:r>
      <w:hyperlink r:id="rId176">
        <w:r>
          <w:rPr>
            <w:spacing w:val="-3"/>
          </w:rPr>
          <w:t>https://www.irishtimes.com/news/</w:t>
        </w:r>
      </w:hyperlink>
    </w:p>
    <w:p>
      <w:pPr>
        <w:pStyle w:val="BodyText"/>
        <w:spacing w:line="206" w:lineRule="auto" w:before="2"/>
        <w:ind w:left="967" w:right="1495"/>
      </w:pPr>
      <w:hyperlink r:id="rId176">
        <w:r>
          <w:rPr/>
          <w:t>crime-and-law/galway-woman-makes-history-as-first-deaf-person-to-deliberate-on-irish-</w:t>
        </w:r>
      </w:hyperlink>
      <w:r>
        <w:rPr/>
        <w:t> </w:t>
      </w:r>
      <w:hyperlink r:id="rId176">
        <w:r>
          <w:rPr/>
          <w:t>jury-1.4370644</w:t>
        </w:r>
      </w:hyperlink>
      <w:r>
        <w:rPr/>
        <w:t>&gt;</w:t>
      </w:r>
    </w:p>
    <w:p>
      <w:pPr>
        <w:spacing w:before="84"/>
        <w:ind w:left="967" w:right="0" w:firstLine="0"/>
        <w:jc w:val="left"/>
        <w:rPr>
          <w:sz w:val="20"/>
        </w:rPr>
      </w:pPr>
      <w:r>
        <w:rPr>
          <w:sz w:val="20"/>
        </w:rPr>
        <w:t>Garner, Bryan A et al, </w:t>
      </w:r>
      <w:r>
        <w:rPr>
          <w:i/>
          <w:sz w:val="20"/>
        </w:rPr>
        <w:t>The Law of Judicial Precedent </w:t>
      </w:r>
      <w:r>
        <w:rPr>
          <w:sz w:val="20"/>
        </w:rPr>
        <w:t>(Thomson Reuters, 2016)</w:t>
      </w:r>
    </w:p>
    <w:p>
      <w:pPr>
        <w:pStyle w:val="BodyText"/>
        <w:spacing w:line="259" w:lineRule="exact" w:before="76"/>
        <w:ind w:left="967"/>
      </w:pPr>
      <w:r>
        <w:rPr/>
        <w:t>Gerritsen, Brian, ‘Electronic Magnifiers and Magnifying Systems’, </w:t>
      </w:r>
      <w:r>
        <w:rPr>
          <w:i/>
        </w:rPr>
        <w:t>VisionAware </w:t>
      </w:r>
      <w:r>
        <w:rPr/>
        <w:t>(Web Page)</w:t>
      </w:r>
    </w:p>
    <w:p>
      <w:pPr>
        <w:pStyle w:val="BodyText"/>
        <w:spacing w:line="206" w:lineRule="auto" w:before="13"/>
        <w:ind w:left="967" w:right="1382"/>
      </w:pPr>
      <w:r>
        <w:rPr>
          <w:spacing w:val="-3"/>
        </w:rPr>
        <w:t>&lt;</w:t>
      </w:r>
      <w:hyperlink r:id="rId206">
        <w:r>
          <w:rPr>
            <w:spacing w:val="-3"/>
          </w:rPr>
          <w:t>https://visionaware.org/everyday-living/helpful-products/overview-of-low-vision-devices/</w:t>
        </w:r>
      </w:hyperlink>
      <w:r>
        <w:rPr>
          <w:spacing w:val="-3"/>
        </w:rPr>
        <w:t> </w:t>
      </w:r>
      <w:hyperlink r:id="rId206">
        <w:r>
          <w:rPr/>
          <w:t>electronic-magnifiers/</w:t>
        </w:r>
      </w:hyperlink>
      <w:r>
        <w:rPr/>
        <w:t>&gt;</w:t>
      </w:r>
    </w:p>
    <w:p>
      <w:pPr>
        <w:spacing w:line="206" w:lineRule="auto" w:before="116"/>
        <w:ind w:left="967" w:right="1665" w:firstLine="0"/>
        <w:jc w:val="left"/>
        <w:rPr>
          <w:sz w:val="20"/>
        </w:rPr>
      </w:pPr>
      <w:r>
        <w:rPr>
          <w:sz w:val="20"/>
        </w:rPr>
        <w:t>Gonzalez, Erika, </w:t>
      </w:r>
      <w:r>
        <w:rPr>
          <w:i/>
          <w:sz w:val="20"/>
        </w:rPr>
        <w:t>Survey on the Implementation of the Recommended National Standards for </w:t>
      </w:r>
      <w:r>
        <w:rPr>
          <w:i/>
          <w:sz w:val="20"/>
        </w:rPr>
        <w:t>Working with Interpreters in Courts and Tribunals </w:t>
      </w:r>
      <w:r>
        <w:rPr>
          <w:sz w:val="20"/>
        </w:rPr>
        <w:t>(Report, November 2020)</w:t>
      </w:r>
    </w:p>
    <w:p>
      <w:pPr>
        <w:pStyle w:val="BodyText"/>
        <w:spacing w:line="206" w:lineRule="auto" w:before="116"/>
        <w:ind w:left="967" w:right="1427"/>
      </w:pPr>
      <w:r>
        <w:rPr/>
        <w:t>Goren, William D, ‘Persons with Disabilities and Peremptory Challenges’, </w:t>
      </w:r>
      <w:r>
        <w:rPr>
          <w:i/>
        </w:rPr>
        <w:t>Understanding the </w:t>
      </w:r>
      <w:r>
        <w:rPr>
          <w:i/>
          <w:spacing w:val="-3"/>
        </w:rPr>
        <w:t>ADA </w:t>
      </w:r>
      <w:r>
        <w:rPr/>
        <w:t>(Blog Post, 1 October 2012) </w:t>
      </w:r>
      <w:r>
        <w:rPr>
          <w:spacing w:val="-3"/>
        </w:rPr>
        <w:t>&lt;</w:t>
      </w:r>
      <w:hyperlink r:id="rId248">
        <w:r>
          <w:rPr>
            <w:spacing w:val="-3"/>
          </w:rPr>
          <w:t>https://www.understandingtheada.com/blog/2012/10/01/</w:t>
        </w:r>
      </w:hyperlink>
      <w:r>
        <w:rPr>
          <w:spacing w:val="-3"/>
        </w:rPr>
        <w:t> </w:t>
      </w:r>
      <w:hyperlink r:id="rId248">
        <w:r>
          <w:rPr/>
          <w:t>persons-with-disabilities-and-peremptory-challenges/</w:t>
        </w:r>
      </w:hyperlink>
      <w:r>
        <w:rPr/>
        <w:t>&gt;</w:t>
      </w:r>
    </w:p>
    <w:p>
      <w:pPr>
        <w:spacing w:line="206" w:lineRule="auto" w:before="117"/>
        <w:ind w:left="967" w:right="1335" w:firstLine="0"/>
        <w:jc w:val="left"/>
        <w:rPr>
          <w:sz w:val="20"/>
        </w:rPr>
      </w:pPr>
      <w:r>
        <w:rPr>
          <w:sz w:val="20"/>
        </w:rPr>
        <w:t>Green, Michael, ‘Credibility Contests: The Elephant in the Room’ (2014) 18(1) </w:t>
      </w:r>
      <w:r>
        <w:rPr>
          <w:i/>
          <w:sz w:val="20"/>
        </w:rPr>
        <w:t>International </w:t>
      </w:r>
      <w:r>
        <w:rPr>
          <w:i/>
          <w:sz w:val="20"/>
        </w:rPr>
        <w:t>Journal of Evidence and Proof </w:t>
      </w:r>
      <w:r>
        <w:rPr>
          <w:sz w:val="20"/>
        </w:rPr>
        <w:t>28</w:t>
      </w:r>
    </w:p>
    <w:p>
      <w:pPr>
        <w:pStyle w:val="BodyText"/>
        <w:spacing w:line="206" w:lineRule="auto" w:before="116"/>
        <w:ind w:left="967" w:right="1177"/>
      </w:pPr>
      <w:r>
        <w:rPr/>
        <w:t>Guest, Annie, ‘Deaf Jurors Serve in US and New Zealand, but High Court Blocks Australian Gale Lyons’ Bid’, </w:t>
      </w:r>
      <w:r>
        <w:rPr>
          <w:i/>
        </w:rPr>
        <w:t>ABC News </w:t>
      </w:r>
      <w:r>
        <w:rPr/>
        <w:t>(online, 5 October 2016) &lt;</w:t>
      </w:r>
      <w:hyperlink r:id="rId30">
        <w:r>
          <w:rPr/>
          <w:t>https://www.abc.net.au/news/2016-10-05/</w:t>
        </w:r>
      </w:hyperlink>
      <w:r>
        <w:rPr/>
        <w:t> </w:t>
      </w:r>
      <w:hyperlink r:id="rId30">
        <w:r>
          <w:rPr/>
          <w:t>deaf-jurors-allowed-in-us,-nz/7905810</w:t>
        </w:r>
      </w:hyperlink>
      <w:r>
        <w:rPr/>
        <w:t>&gt;</w:t>
      </w:r>
    </w:p>
    <w:p>
      <w:pPr>
        <w:spacing w:line="206" w:lineRule="auto" w:before="117"/>
        <w:ind w:left="967" w:right="1676" w:firstLine="0"/>
        <w:jc w:val="left"/>
        <w:rPr>
          <w:sz w:val="20"/>
        </w:rPr>
      </w:pPr>
      <w:r>
        <w:rPr>
          <w:sz w:val="20"/>
        </w:rPr>
        <w:t>Guinther, John, </w:t>
      </w:r>
      <w:r>
        <w:rPr>
          <w:i/>
          <w:sz w:val="20"/>
        </w:rPr>
        <w:t>The Jury in America and the Civil Juror; A Research Project Sponsored by the </w:t>
      </w:r>
      <w:r>
        <w:rPr>
          <w:i/>
          <w:sz w:val="20"/>
        </w:rPr>
        <w:t>Roscoe Pound Foundation </w:t>
      </w:r>
      <w:r>
        <w:rPr>
          <w:sz w:val="20"/>
        </w:rPr>
        <w:t>(Facts on File Publications, 1988)</w:t>
      </w:r>
    </w:p>
    <w:p>
      <w:pPr>
        <w:spacing w:line="206" w:lineRule="auto" w:before="116"/>
        <w:ind w:left="967" w:right="1335" w:firstLine="0"/>
        <w:jc w:val="left"/>
        <w:rPr>
          <w:sz w:val="20"/>
        </w:rPr>
      </w:pPr>
      <w:r>
        <w:rPr>
          <w:sz w:val="20"/>
        </w:rPr>
        <w:t>Hale, Sandra et al, ‘Deaf Citizens as Jurors in Australian Courts: Participating via Professional Interpreters’ (2017) 24(2) </w:t>
      </w:r>
      <w:r>
        <w:rPr>
          <w:i/>
          <w:sz w:val="20"/>
        </w:rPr>
        <w:t>International Journal of Speech Language and the Law </w:t>
      </w:r>
      <w:r>
        <w:rPr>
          <w:sz w:val="20"/>
        </w:rPr>
        <w:t>151</w:t>
      </w:r>
    </w:p>
    <w:p>
      <w:pPr>
        <w:spacing w:line="284" w:lineRule="exact" w:before="0"/>
        <w:ind w:left="0" w:right="208" w:firstLine="0"/>
        <w:jc w:val="right"/>
        <w:rPr>
          <w:b/>
          <w:sz w:val="24"/>
        </w:rPr>
      </w:pPr>
      <w:r>
        <w:rPr>
          <w:b/>
          <w:color w:val="37617A"/>
          <w:sz w:val="24"/>
        </w:rPr>
        <w:t>239</w:t>
      </w:r>
    </w:p>
    <w:p>
      <w:pPr>
        <w:spacing w:after="0" w:line="284" w:lineRule="exact"/>
        <w:jc w:val="right"/>
        <w:rPr>
          <w:sz w:val="24"/>
        </w:rPr>
        <w:sectPr>
          <w:pgSz w:w="11910" w:h="16840"/>
          <w:pgMar w:header="0" w:footer="0" w:top="840" w:bottom="280" w:left="620" w:right="380"/>
        </w:sectPr>
      </w:pPr>
    </w:p>
    <w:p>
      <w:pPr>
        <w:pStyle w:val="BodyText"/>
        <w:rPr>
          <w:b/>
        </w:rPr>
      </w:pPr>
    </w:p>
    <w:p>
      <w:pPr>
        <w:pStyle w:val="BodyText"/>
        <w:rPr>
          <w:b/>
        </w:rPr>
      </w:pPr>
    </w:p>
    <w:p>
      <w:pPr>
        <w:pStyle w:val="BodyText"/>
        <w:rPr>
          <w:b/>
        </w:rPr>
      </w:pPr>
    </w:p>
    <w:p>
      <w:pPr>
        <w:pStyle w:val="BodyText"/>
        <w:spacing w:before="11"/>
        <w:rPr>
          <w:b/>
          <w:sz w:val="18"/>
        </w:rPr>
      </w:pPr>
    </w:p>
    <w:p>
      <w:pPr>
        <w:spacing w:line="206" w:lineRule="auto" w:before="0"/>
        <w:ind w:left="967" w:right="1139" w:firstLine="0"/>
        <w:jc w:val="left"/>
        <w:rPr>
          <w:sz w:val="20"/>
        </w:rPr>
      </w:pPr>
      <w:r>
        <w:rPr>
          <w:sz w:val="20"/>
        </w:rPr>
        <w:t>Hale, Sandra et al, </w:t>
      </w:r>
      <w:r>
        <w:rPr>
          <w:i/>
          <w:sz w:val="20"/>
        </w:rPr>
        <w:t>Participation in the Administration of Justice: Deaf Citizens as Jurors </w:t>
      </w:r>
      <w:r>
        <w:rPr>
          <w:sz w:val="20"/>
        </w:rPr>
        <w:t>(Australian Research Council Linkage Project No 120200261, 2016)</w:t>
      </w:r>
    </w:p>
    <w:p>
      <w:pPr>
        <w:spacing w:line="259" w:lineRule="exact" w:before="84"/>
        <w:ind w:left="967" w:right="0" w:firstLine="0"/>
        <w:jc w:val="left"/>
        <w:rPr>
          <w:sz w:val="20"/>
        </w:rPr>
      </w:pPr>
      <w:r>
        <w:rPr>
          <w:sz w:val="20"/>
        </w:rPr>
        <w:t>Hearing Australia, ‘Becoming a Part of the Deaf Community’, </w:t>
      </w:r>
      <w:r>
        <w:rPr>
          <w:i/>
          <w:sz w:val="20"/>
        </w:rPr>
        <w:t>Hearing Australia </w:t>
      </w:r>
      <w:r>
        <w:rPr>
          <w:sz w:val="20"/>
        </w:rPr>
        <w:t>(Web Page)</w:t>
      </w:r>
    </w:p>
    <w:p>
      <w:pPr>
        <w:pStyle w:val="BodyText"/>
        <w:spacing w:line="206" w:lineRule="auto" w:before="13"/>
        <w:ind w:left="967" w:right="1335"/>
      </w:pPr>
      <w:r>
        <w:rPr>
          <w:spacing w:val="-1"/>
        </w:rPr>
        <w:t>&lt;</w:t>
      </w:r>
      <w:hyperlink r:id="rId61">
        <w:r>
          <w:rPr>
            <w:spacing w:val="-1"/>
          </w:rPr>
          <w:t>https://www.hearing.com.au/Hearing-loss/Management/Becoming-a-part-of-the-Deaf-</w:t>
        </w:r>
      </w:hyperlink>
      <w:r>
        <w:rPr>
          <w:spacing w:val="-1"/>
        </w:rPr>
        <w:t> </w:t>
      </w:r>
      <w:hyperlink r:id="rId61">
        <w:r>
          <w:rPr/>
          <w:t>Community</w:t>
        </w:r>
      </w:hyperlink>
      <w:r>
        <w:rPr/>
        <w:t>&gt;</w:t>
      </w:r>
    </w:p>
    <w:p>
      <w:pPr>
        <w:pStyle w:val="BodyText"/>
        <w:spacing w:before="84"/>
        <w:ind w:left="967"/>
      </w:pPr>
      <w:r>
        <w:rPr/>
        <w:t>Hearing</w:t>
      </w:r>
      <w:r>
        <w:rPr>
          <w:spacing w:val="-12"/>
        </w:rPr>
        <w:t> </w:t>
      </w:r>
      <w:r>
        <w:rPr/>
        <w:t>Link,</w:t>
      </w:r>
    </w:p>
    <w:p>
      <w:pPr>
        <w:pStyle w:val="ListParagraph"/>
        <w:numPr>
          <w:ilvl w:val="0"/>
          <w:numId w:val="135"/>
        </w:numPr>
        <w:tabs>
          <w:tab w:pos="1307" w:val="left" w:leader="none"/>
          <w:tab w:pos="1308" w:val="left" w:leader="none"/>
        </w:tabs>
        <w:spacing w:line="259" w:lineRule="exact" w:before="76" w:after="0"/>
        <w:ind w:left="1307" w:right="0" w:hanging="340"/>
        <w:jc w:val="left"/>
        <w:rPr>
          <w:sz w:val="20"/>
        </w:rPr>
      </w:pPr>
      <w:r>
        <w:rPr>
          <w:sz w:val="20"/>
        </w:rPr>
        <w:t>‘Hearing Loops </w:t>
      </w:r>
      <w:r>
        <w:rPr>
          <w:spacing w:val="-3"/>
          <w:sz w:val="20"/>
        </w:rPr>
        <w:t>Frequently </w:t>
      </w:r>
      <w:r>
        <w:rPr>
          <w:sz w:val="20"/>
        </w:rPr>
        <w:t>Asked Questions’, </w:t>
      </w:r>
      <w:r>
        <w:rPr>
          <w:i/>
          <w:sz w:val="20"/>
        </w:rPr>
        <w:t>Hearing Link </w:t>
      </w:r>
      <w:r>
        <w:rPr>
          <w:sz w:val="20"/>
        </w:rPr>
        <w:t>(Web</w:t>
      </w:r>
      <w:r>
        <w:rPr>
          <w:spacing w:val="-16"/>
          <w:sz w:val="20"/>
        </w:rPr>
        <w:t> </w:t>
      </w:r>
      <w:r>
        <w:rPr>
          <w:sz w:val="20"/>
        </w:rPr>
        <w:t>Page)</w:t>
      </w:r>
    </w:p>
    <w:p>
      <w:pPr>
        <w:pStyle w:val="BodyText"/>
        <w:spacing w:line="206" w:lineRule="auto" w:before="13"/>
        <w:ind w:left="1307" w:right="1671"/>
      </w:pPr>
      <w:r>
        <w:rPr>
          <w:w w:val="95"/>
        </w:rPr>
        <w:t>&lt;</w:t>
      </w:r>
      <w:hyperlink r:id="rId195">
        <w:r>
          <w:rPr>
            <w:w w:val="95"/>
          </w:rPr>
          <w:t>https://www.hearinglink.org/living/loops-equipment/hearing-loops/hearing-loops-</w:t>
        </w:r>
      </w:hyperlink>
      <w:r>
        <w:rPr>
          <w:w w:val="95"/>
        </w:rPr>
        <w:t> </w:t>
      </w:r>
      <w:hyperlink r:id="rId195">
        <w:r>
          <w:rPr/>
          <w:t>frequently-asked-questions/</w:t>
        </w:r>
      </w:hyperlink>
      <w:r>
        <w:rPr/>
        <w:t>&gt;</w:t>
      </w:r>
    </w:p>
    <w:p>
      <w:pPr>
        <w:pStyle w:val="ListParagraph"/>
        <w:numPr>
          <w:ilvl w:val="0"/>
          <w:numId w:val="135"/>
        </w:numPr>
        <w:tabs>
          <w:tab w:pos="1308" w:val="left" w:leader="none"/>
        </w:tabs>
        <w:spacing w:line="206" w:lineRule="auto" w:before="88" w:after="0"/>
        <w:ind w:left="1307" w:right="1271" w:hanging="340"/>
        <w:jc w:val="both"/>
        <w:rPr>
          <w:sz w:val="20"/>
        </w:rPr>
      </w:pPr>
      <w:r>
        <w:rPr>
          <w:sz w:val="20"/>
        </w:rPr>
        <w:t>‘Law Change Opens Doors for Deaf Jurors in England and </w:t>
      </w:r>
      <w:r>
        <w:rPr>
          <w:spacing w:val="-5"/>
          <w:sz w:val="20"/>
        </w:rPr>
        <w:t>Wales’, </w:t>
      </w:r>
      <w:r>
        <w:rPr>
          <w:i/>
          <w:sz w:val="20"/>
        </w:rPr>
        <w:t>Hearing Link </w:t>
      </w:r>
      <w:r>
        <w:rPr>
          <w:sz w:val="20"/>
        </w:rPr>
        <w:t>(Web Page, </w:t>
      </w:r>
      <w:r>
        <w:rPr>
          <w:spacing w:val="-5"/>
          <w:sz w:val="20"/>
        </w:rPr>
        <w:t>17 </w:t>
      </w:r>
      <w:r>
        <w:rPr>
          <w:sz w:val="20"/>
        </w:rPr>
        <w:t>March 2021) </w:t>
      </w:r>
      <w:r>
        <w:rPr>
          <w:spacing w:val="-3"/>
          <w:sz w:val="20"/>
        </w:rPr>
        <w:t>&lt;</w:t>
      </w:r>
      <w:hyperlink r:id="rId162">
        <w:r>
          <w:rPr>
            <w:spacing w:val="-3"/>
            <w:sz w:val="20"/>
          </w:rPr>
          <w:t>https://www.hearinglink.org/news/202103/law-change-opens-doors-for-</w:t>
        </w:r>
      </w:hyperlink>
      <w:hyperlink r:id="rId162">
        <w:r>
          <w:rPr>
            <w:spacing w:val="-3"/>
            <w:sz w:val="20"/>
          </w:rPr>
          <w:t> </w:t>
        </w:r>
        <w:r>
          <w:rPr>
            <w:sz w:val="20"/>
          </w:rPr>
          <w:t>deaf-jurors-in-england-and-wales/</w:t>
        </w:r>
      </w:hyperlink>
      <w:r>
        <w:rPr>
          <w:sz w:val="20"/>
        </w:rPr>
        <w:t>&gt;</w:t>
      </w:r>
    </w:p>
    <w:p>
      <w:pPr>
        <w:spacing w:line="206" w:lineRule="auto" w:before="89"/>
        <w:ind w:left="967" w:right="1951" w:firstLine="0"/>
        <w:jc w:val="left"/>
        <w:rPr>
          <w:sz w:val="20"/>
        </w:rPr>
      </w:pPr>
      <w:r>
        <w:rPr>
          <w:sz w:val="20"/>
        </w:rPr>
        <w:t>Hearing Loss Association of America</w:t>
      </w:r>
      <w:r>
        <w:rPr>
          <w:i/>
          <w:sz w:val="20"/>
        </w:rPr>
        <w:t>, </w:t>
      </w:r>
      <w:r>
        <w:rPr>
          <w:sz w:val="20"/>
        </w:rPr>
        <w:t>‘Captioning and CART’, </w:t>
      </w:r>
      <w:r>
        <w:rPr>
          <w:i/>
          <w:sz w:val="20"/>
        </w:rPr>
        <w:t>Hearing Loss Association </w:t>
      </w:r>
      <w:r>
        <w:rPr>
          <w:i/>
          <w:sz w:val="20"/>
        </w:rPr>
        <w:t>of America </w:t>
      </w:r>
      <w:r>
        <w:rPr>
          <w:sz w:val="20"/>
        </w:rPr>
        <w:t>(Web Page) &lt;</w:t>
      </w:r>
      <w:hyperlink r:id="rId197">
        <w:r>
          <w:rPr>
            <w:sz w:val="20"/>
          </w:rPr>
          <w:t>https://www.hearingloss.org/hearing-help/technology/</w:t>
        </w:r>
      </w:hyperlink>
      <w:r>
        <w:rPr>
          <w:sz w:val="20"/>
        </w:rPr>
        <w:t> </w:t>
      </w:r>
      <w:hyperlink r:id="rId197">
        <w:r>
          <w:rPr>
            <w:sz w:val="20"/>
          </w:rPr>
          <w:t>cartcaptioning/</w:t>
        </w:r>
      </w:hyperlink>
      <w:r>
        <w:rPr>
          <w:sz w:val="20"/>
        </w:rPr>
        <w:t>&gt;</w:t>
      </w:r>
    </w:p>
    <w:p>
      <w:pPr>
        <w:pStyle w:val="BodyText"/>
        <w:spacing w:line="206" w:lineRule="auto" w:before="117"/>
        <w:ind w:left="967" w:right="1250"/>
      </w:pPr>
      <w:r>
        <w:rPr/>
        <w:t>Heffernan, Madeleine, ‘Preschools’ Love of Language a Good Sign for Auslan’, </w:t>
      </w:r>
      <w:r>
        <w:rPr>
          <w:i/>
        </w:rPr>
        <w:t>The Age </w:t>
      </w:r>
      <w:r>
        <w:rPr/>
        <w:t>(online, 22 November 2021) &lt;</w:t>
      </w:r>
      <w:hyperlink r:id="rId121">
        <w:r>
          <w:rPr/>
          <w:t>https://www.theage.com.au/national/victoria/preschools-love-of-</w:t>
        </w:r>
      </w:hyperlink>
      <w:r>
        <w:rPr/>
        <w:t> </w:t>
      </w:r>
      <w:hyperlink r:id="rId121">
        <w:r>
          <w:rPr/>
          <w:t>language-a-good-sign-for-auslan-20211109-p597g6.html</w:t>
        </w:r>
      </w:hyperlink>
      <w:r>
        <w:rPr/>
        <w:t>&gt;</w:t>
      </w:r>
    </w:p>
    <w:p>
      <w:pPr>
        <w:pStyle w:val="BodyText"/>
        <w:spacing w:line="259" w:lineRule="exact" w:before="85"/>
        <w:ind w:left="967"/>
      </w:pPr>
      <w:r>
        <w:rPr/>
        <w:t>Her Majesty’s Courts and Tribunals Service, ‘Equality and Diversity’, </w:t>
      </w:r>
      <w:hyperlink r:id="rId259">
        <w:r>
          <w:rPr>
            <w:i/>
          </w:rPr>
          <w:t>GOV.UK </w:t>
        </w:r>
      </w:hyperlink>
      <w:r>
        <w:rPr/>
        <w:t>(Web Page)</w:t>
      </w:r>
    </w:p>
    <w:p>
      <w:pPr>
        <w:pStyle w:val="BodyText"/>
        <w:spacing w:line="206" w:lineRule="auto" w:before="13"/>
        <w:ind w:left="967" w:right="1530"/>
      </w:pPr>
      <w:r>
        <w:rPr>
          <w:spacing w:val="-2"/>
        </w:rPr>
        <w:t>&lt;</w:t>
      </w:r>
      <w:hyperlink r:id="rId260">
        <w:r>
          <w:rPr>
            <w:spacing w:val="-2"/>
          </w:rPr>
          <w:t>https://www.gov.uk/government/organisations/hm-courts-and-tribunals-service/about/</w:t>
        </w:r>
      </w:hyperlink>
      <w:r>
        <w:rPr>
          <w:spacing w:val="-2"/>
        </w:rPr>
        <w:t> </w:t>
      </w:r>
      <w:hyperlink r:id="rId260">
        <w:r>
          <w:rPr/>
          <w:t>equality-and-diversity</w:t>
        </w:r>
      </w:hyperlink>
      <w:r>
        <w:rPr/>
        <w:t>&gt;</w:t>
      </w:r>
    </w:p>
    <w:p>
      <w:pPr>
        <w:spacing w:line="206" w:lineRule="auto" w:before="116"/>
        <w:ind w:left="967" w:right="1277" w:firstLine="0"/>
        <w:jc w:val="left"/>
        <w:rPr>
          <w:sz w:val="20"/>
        </w:rPr>
      </w:pPr>
      <w:r>
        <w:rPr>
          <w:sz w:val="20"/>
        </w:rPr>
        <w:t>Her Majesty’s Courts Service, </w:t>
      </w:r>
      <w:r>
        <w:rPr>
          <w:i/>
          <w:sz w:val="20"/>
        </w:rPr>
        <w:t>Guidance for Summoning Officers When Considering Deferral and </w:t>
      </w:r>
      <w:r>
        <w:rPr>
          <w:i/>
          <w:sz w:val="20"/>
        </w:rPr>
        <w:t>Excusal Applications </w:t>
      </w:r>
      <w:r>
        <w:rPr>
          <w:sz w:val="20"/>
        </w:rPr>
        <w:t>(Report, 18 June 2009)</w:t>
      </w:r>
    </w:p>
    <w:p>
      <w:pPr>
        <w:spacing w:line="259" w:lineRule="exact" w:before="84"/>
        <w:ind w:left="967" w:right="0" w:firstLine="0"/>
        <w:jc w:val="left"/>
        <w:rPr>
          <w:i/>
          <w:sz w:val="20"/>
        </w:rPr>
      </w:pPr>
      <w:r>
        <w:rPr>
          <w:sz w:val="20"/>
        </w:rPr>
        <w:t>Hewitt, William, </w:t>
      </w:r>
      <w:r>
        <w:rPr>
          <w:i/>
          <w:sz w:val="20"/>
        </w:rPr>
        <w:t>Court Interpretation: Model Guides for the Policy and Practice in the State Courts</w:t>
      </w:r>
    </w:p>
    <w:p>
      <w:pPr>
        <w:pStyle w:val="BodyText"/>
        <w:spacing w:line="259" w:lineRule="exact"/>
        <w:ind w:left="967"/>
      </w:pPr>
      <w:r>
        <w:rPr/>
        <w:t>(Report No 167, National Center for State Courts, 1995)</w:t>
      </w:r>
    </w:p>
    <w:p>
      <w:pPr>
        <w:spacing w:line="206" w:lineRule="auto" w:before="108"/>
        <w:ind w:left="967" w:right="1335" w:firstLine="0"/>
        <w:jc w:val="left"/>
        <w:rPr>
          <w:sz w:val="20"/>
        </w:rPr>
      </w:pPr>
      <w:r>
        <w:rPr>
          <w:sz w:val="20"/>
        </w:rPr>
        <w:t>Histed, Elise, ‘The Introduction and Use of the Grand Jury in Victoria’ (1987) 8(2) </w:t>
      </w:r>
      <w:r>
        <w:rPr>
          <w:i/>
          <w:sz w:val="20"/>
        </w:rPr>
        <w:t>The Journal of </w:t>
      </w:r>
      <w:r>
        <w:rPr>
          <w:i/>
          <w:sz w:val="20"/>
        </w:rPr>
        <w:t>Legal History </w:t>
      </w:r>
      <w:r>
        <w:rPr>
          <w:sz w:val="20"/>
        </w:rPr>
        <w:t>167</w:t>
      </w:r>
    </w:p>
    <w:p>
      <w:pPr>
        <w:spacing w:before="83"/>
        <w:ind w:left="967" w:right="0" w:firstLine="0"/>
        <w:jc w:val="left"/>
        <w:rPr>
          <w:sz w:val="20"/>
        </w:rPr>
      </w:pPr>
      <w:r>
        <w:rPr>
          <w:sz w:val="20"/>
        </w:rPr>
        <w:t>Holdsworth, William, </w:t>
      </w:r>
      <w:r>
        <w:rPr>
          <w:i/>
          <w:sz w:val="20"/>
        </w:rPr>
        <w:t>A History of English Law </w:t>
      </w:r>
      <w:r>
        <w:rPr>
          <w:sz w:val="20"/>
        </w:rPr>
        <w:t>(Methuen, 1938)</w:t>
      </w:r>
    </w:p>
    <w:p>
      <w:pPr>
        <w:spacing w:line="206" w:lineRule="auto" w:before="109"/>
        <w:ind w:left="967" w:right="1435" w:firstLine="0"/>
        <w:jc w:val="left"/>
        <w:rPr>
          <w:sz w:val="20"/>
        </w:rPr>
      </w:pPr>
      <w:r>
        <w:rPr>
          <w:sz w:val="20"/>
        </w:rPr>
        <w:t>Home Office (UK), </w:t>
      </w:r>
      <w:r>
        <w:rPr>
          <w:i/>
          <w:sz w:val="20"/>
        </w:rPr>
        <w:t>Profoundly Deaf Jurors: Police, Crime, Sentencing and Courts Act 2022 </w:t>
      </w:r>
      <w:r>
        <w:rPr>
          <w:i/>
          <w:sz w:val="20"/>
        </w:rPr>
        <w:t>Factsheet </w:t>
      </w:r>
      <w:r>
        <w:rPr>
          <w:sz w:val="20"/>
        </w:rPr>
        <w:t>(27 May 2022) &lt;https://www.go</w:t>
      </w:r>
      <w:hyperlink r:id="rId164">
        <w:r>
          <w:rPr>
            <w:sz w:val="20"/>
          </w:rPr>
          <w:t>v.uk/government/publications/police-crime-</w:t>
        </w:r>
      </w:hyperlink>
      <w:r>
        <w:rPr>
          <w:sz w:val="20"/>
        </w:rPr>
        <w:t> </w:t>
      </w:r>
      <w:hyperlink r:id="rId164">
        <w:r>
          <w:rPr>
            <w:sz w:val="20"/>
          </w:rPr>
          <w:t>sentencing-and-courts-bill-2021-factsheets/police-crime-sentencing-and-courts-bill-2021-</w:t>
        </w:r>
      </w:hyperlink>
      <w:r>
        <w:rPr>
          <w:sz w:val="20"/>
        </w:rPr>
        <w:t> </w:t>
      </w:r>
      <w:hyperlink r:id="rId164">
        <w:r>
          <w:rPr>
            <w:sz w:val="20"/>
          </w:rPr>
          <w:t>profoundly-deaf-jurors-factsheet#background&gt;</w:t>
        </w:r>
      </w:hyperlink>
    </w:p>
    <w:p>
      <w:pPr>
        <w:pStyle w:val="BodyText"/>
        <w:spacing w:line="206" w:lineRule="auto" w:before="118"/>
        <w:ind w:left="967" w:right="1300"/>
      </w:pPr>
      <w:r>
        <w:rPr/>
        <w:t>Hope, Zach, ‘“But Seriously, I’m Really Nervous”: The Everywhere Faces of Auslan Interpreters and Their Vital Work’, </w:t>
      </w:r>
      <w:r>
        <w:rPr>
          <w:i/>
        </w:rPr>
        <w:t>The Age </w:t>
      </w:r>
      <w:r>
        <w:rPr/>
        <w:t>(online, 10 May 2020) &lt;</w:t>
      </w:r>
      <w:hyperlink r:id="rId106">
        <w:r>
          <w:rPr/>
          <w:t>https://www.theage.com.au/national/</w:t>
        </w:r>
      </w:hyperlink>
      <w:r>
        <w:rPr/>
        <w:t> </w:t>
      </w:r>
      <w:hyperlink r:id="rId106">
        <w:r>
          <w:rPr/>
          <w:t>victoria/but-seriously-i-m-really-nervous-the-everywhere-faces-of-auslan-interpreters-and-</w:t>
        </w:r>
      </w:hyperlink>
      <w:r>
        <w:rPr/>
        <w:t> </w:t>
      </w:r>
      <w:hyperlink r:id="rId106">
        <w:r>
          <w:rPr/>
          <w:t>their-vital-work-20200509-p54rcu.html</w:t>
        </w:r>
      </w:hyperlink>
      <w:r>
        <w:rPr/>
        <w:t>&gt;</w:t>
      </w:r>
    </w:p>
    <w:p>
      <w:pPr>
        <w:pStyle w:val="BodyText"/>
        <w:spacing w:line="206" w:lineRule="auto" w:before="118"/>
        <w:ind w:left="967" w:right="1335"/>
      </w:pPr>
      <w:r>
        <w:rPr/>
        <w:t>Horan, Jacqueline and Jane Goodman-Delahunty, ‘Challenging the Peremptory Challenge System in Australia’ (2010) 34(3) </w:t>
      </w:r>
      <w:r>
        <w:rPr>
          <w:i/>
        </w:rPr>
        <w:t>Criminal Law Journal </w:t>
      </w:r>
      <w:r>
        <w:rPr/>
        <w:t>167</w:t>
      </w:r>
    </w:p>
    <w:p>
      <w:pPr>
        <w:pStyle w:val="BodyText"/>
        <w:spacing w:before="84"/>
        <w:ind w:left="967"/>
      </w:pPr>
      <w:r>
        <w:rPr/>
        <w:t>Horan, Jacqueline,</w:t>
      </w:r>
    </w:p>
    <w:p>
      <w:pPr>
        <w:pStyle w:val="ListParagraph"/>
        <w:numPr>
          <w:ilvl w:val="0"/>
          <w:numId w:val="135"/>
        </w:numPr>
        <w:tabs>
          <w:tab w:pos="1307" w:val="left" w:leader="none"/>
          <w:tab w:pos="1308" w:val="left" w:leader="none"/>
        </w:tabs>
        <w:spacing w:line="206" w:lineRule="auto" w:before="108" w:after="0"/>
        <w:ind w:left="1307" w:right="1309" w:hanging="340"/>
        <w:jc w:val="left"/>
        <w:rPr>
          <w:sz w:val="20"/>
        </w:rPr>
      </w:pPr>
      <w:r>
        <w:rPr>
          <w:spacing w:val="-5"/>
          <w:sz w:val="20"/>
        </w:rPr>
        <w:t>‘All </w:t>
      </w:r>
      <w:r>
        <w:rPr>
          <w:sz w:val="20"/>
        </w:rPr>
        <w:t>about Juries: Why Do </w:t>
      </w:r>
      <w:r>
        <w:rPr>
          <w:spacing w:val="-6"/>
          <w:sz w:val="20"/>
        </w:rPr>
        <w:t>We </w:t>
      </w:r>
      <w:r>
        <w:rPr>
          <w:sz w:val="20"/>
        </w:rPr>
        <w:t>Actually Need Them and Can They Get It “Wrong”?’, </w:t>
      </w:r>
      <w:r>
        <w:rPr>
          <w:i/>
          <w:sz w:val="20"/>
        </w:rPr>
        <w:t>The </w:t>
      </w:r>
      <w:r>
        <w:rPr>
          <w:i/>
          <w:sz w:val="20"/>
        </w:rPr>
        <w:t>Conversation </w:t>
      </w:r>
      <w:r>
        <w:rPr>
          <w:sz w:val="20"/>
        </w:rPr>
        <w:t>(Online, 7 March 2019) </w:t>
      </w:r>
      <w:r>
        <w:rPr>
          <w:spacing w:val="-3"/>
          <w:sz w:val="20"/>
        </w:rPr>
        <w:t>&lt;</w:t>
      </w:r>
      <w:hyperlink r:id="rId246">
        <w:r>
          <w:rPr>
            <w:spacing w:val="-3"/>
            <w:sz w:val="20"/>
          </w:rPr>
          <w:t>http://theconversation.com/all-about-juries-why-do-</w:t>
        </w:r>
      </w:hyperlink>
      <w:hyperlink r:id="rId246">
        <w:r>
          <w:rPr>
            <w:spacing w:val="-3"/>
            <w:sz w:val="20"/>
          </w:rPr>
          <w:t> </w:t>
        </w:r>
        <w:r>
          <w:rPr>
            <w:sz w:val="20"/>
          </w:rPr>
          <w:t>we-actually-need-them-and-can-they-get-it-wrong-112703</w:t>
        </w:r>
      </w:hyperlink>
      <w:r>
        <w:rPr>
          <w:sz w:val="20"/>
        </w:rPr>
        <w:t>&gt;</w:t>
      </w:r>
    </w:p>
    <w:p>
      <w:pPr>
        <w:pStyle w:val="ListParagraph"/>
        <w:numPr>
          <w:ilvl w:val="0"/>
          <w:numId w:val="135"/>
        </w:numPr>
        <w:tabs>
          <w:tab w:pos="1307" w:val="left" w:leader="none"/>
          <w:tab w:pos="1308" w:val="left" w:leader="none"/>
        </w:tabs>
        <w:spacing w:line="240" w:lineRule="auto" w:before="57" w:after="0"/>
        <w:ind w:left="1307" w:right="0" w:hanging="340"/>
        <w:jc w:val="left"/>
        <w:rPr>
          <w:sz w:val="20"/>
        </w:rPr>
      </w:pPr>
      <w:r>
        <w:rPr>
          <w:sz w:val="20"/>
        </w:rPr>
        <w:t>‘Perceptions of the Civil Jury </w:t>
      </w:r>
      <w:r>
        <w:rPr>
          <w:spacing w:val="-3"/>
          <w:sz w:val="20"/>
        </w:rPr>
        <w:t>System’ </w:t>
      </w:r>
      <w:r>
        <w:rPr>
          <w:sz w:val="20"/>
        </w:rPr>
        <w:t>(2005) 31(1) </w:t>
      </w:r>
      <w:r>
        <w:rPr>
          <w:i/>
          <w:sz w:val="20"/>
        </w:rPr>
        <w:t>Monash University Law Review</w:t>
      </w:r>
      <w:r>
        <w:rPr>
          <w:i/>
          <w:spacing w:val="-27"/>
          <w:sz w:val="20"/>
        </w:rPr>
        <w:t> </w:t>
      </w:r>
      <w:r>
        <w:rPr>
          <w:sz w:val="20"/>
        </w:rPr>
        <w:t>120</w:t>
      </w:r>
    </w:p>
    <w:p>
      <w:pPr>
        <w:pStyle w:val="ListParagraph"/>
        <w:numPr>
          <w:ilvl w:val="0"/>
          <w:numId w:val="135"/>
        </w:numPr>
        <w:tabs>
          <w:tab w:pos="1307" w:val="left" w:leader="none"/>
          <w:tab w:pos="1308" w:val="left" w:leader="none"/>
        </w:tabs>
        <w:spacing w:line="240" w:lineRule="auto" w:before="47" w:after="0"/>
        <w:ind w:left="1307" w:right="0" w:hanging="340"/>
        <w:jc w:val="left"/>
        <w:rPr>
          <w:sz w:val="20"/>
        </w:rPr>
      </w:pPr>
      <w:r>
        <w:rPr>
          <w:i/>
          <w:sz w:val="20"/>
        </w:rPr>
        <w:t>Juries in the 21st Century </w:t>
      </w:r>
      <w:r>
        <w:rPr>
          <w:sz w:val="20"/>
        </w:rPr>
        <w:t>(The Federation Press,</w:t>
      </w:r>
      <w:r>
        <w:rPr>
          <w:spacing w:val="-17"/>
          <w:sz w:val="20"/>
        </w:rPr>
        <w:t> </w:t>
      </w:r>
      <w:r>
        <w:rPr>
          <w:sz w:val="20"/>
        </w:rPr>
        <w:t>2012)</w:t>
      </w:r>
    </w:p>
    <w:p>
      <w:pPr>
        <w:pStyle w:val="BodyText"/>
        <w:spacing w:line="206" w:lineRule="auto" w:before="80"/>
        <w:ind w:left="967" w:right="1235"/>
      </w:pPr>
      <w:r>
        <w:rPr/>
        <w:t>Hulme, Justice RS, Supreme Court of New South Wales, Submission to New South Wales Law Reform Commission, </w:t>
      </w:r>
      <w:r>
        <w:rPr>
          <w:i/>
        </w:rPr>
        <w:t>Blind or Deaf Jurors </w:t>
      </w:r>
      <w:r>
        <w:rPr/>
        <w:t>(20 May 2004)</w:t>
      </w:r>
    </w:p>
    <w:p>
      <w:pPr>
        <w:spacing w:line="206" w:lineRule="auto" w:before="116"/>
        <w:ind w:left="967" w:right="1332" w:firstLine="0"/>
        <w:jc w:val="left"/>
        <w:rPr>
          <w:sz w:val="20"/>
        </w:rPr>
      </w:pPr>
      <w:r>
        <w:rPr>
          <w:sz w:val="20"/>
        </w:rPr>
        <w:t>Human Rights Watch, </w:t>
      </w:r>
      <w:r>
        <w:rPr>
          <w:i/>
          <w:sz w:val="20"/>
        </w:rPr>
        <w:t>‘“I Needed Help, Instead I Was Punished”: Abuse and Neglect of Prisoners </w:t>
      </w:r>
      <w:r>
        <w:rPr>
          <w:i/>
          <w:sz w:val="20"/>
        </w:rPr>
        <w:t>with Disabilities in Australia’ </w:t>
      </w:r>
      <w:r>
        <w:rPr>
          <w:sz w:val="20"/>
        </w:rPr>
        <w:t>(Report, 6 February 2018)</w:t>
      </w:r>
    </w:p>
    <w:p>
      <w:pPr>
        <w:pStyle w:val="BodyText"/>
        <w:spacing w:before="8"/>
        <w:rPr>
          <w:sz w:val="23"/>
        </w:rPr>
      </w:pPr>
    </w:p>
    <w:p>
      <w:pPr>
        <w:spacing w:before="49"/>
        <w:ind w:left="100" w:right="0" w:firstLine="0"/>
        <w:jc w:val="left"/>
        <w:rPr>
          <w:b/>
          <w:sz w:val="24"/>
        </w:rPr>
      </w:pPr>
      <w:r>
        <w:rPr>
          <w:b/>
          <w:color w:val="37617A"/>
          <w:sz w:val="24"/>
        </w:rPr>
        <w:t>240</w:t>
      </w:r>
    </w:p>
    <w:p>
      <w:pPr>
        <w:spacing w:after="0"/>
        <w:jc w:val="left"/>
        <w:rPr>
          <w:sz w:val="24"/>
        </w:rPr>
        <w:sectPr>
          <w:pgSz w:w="11910" w:h="16840"/>
          <w:pgMar w:header="567" w:footer="0" w:top="860" w:bottom="280" w:left="620" w:right="380"/>
        </w:sectPr>
      </w:pPr>
    </w:p>
    <w:p>
      <w:pPr>
        <w:pStyle w:val="BodyText"/>
        <w:rPr>
          <w:b/>
        </w:rPr>
      </w:pPr>
    </w:p>
    <w:p>
      <w:pPr>
        <w:pStyle w:val="BodyText"/>
        <w:rPr>
          <w:b/>
        </w:rPr>
      </w:pPr>
    </w:p>
    <w:p>
      <w:pPr>
        <w:pStyle w:val="BodyText"/>
        <w:rPr>
          <w:b/>
        </w:rPr>
      </w:pPr>
    </w:p>
    <w:p>
      <w:pPr>
        <w:pStyle w:val="BodyText"/>
        <w:spacing w:before="6"/>
        <w:rPr>
          <w:b/>
          <w:sz w:val="14"/>
        </w:rPr>
      </w:pPr>
    </w:p>
    <w:p>
      <w:pPr>
        <w:spacing w:after="0"/>
        <w:rPr>
          <w:sz w:val="14"/>
        </w:rPr>
        <w:sectPr>
          <w:pgSz w:w="11910" w:h="16840"/>
          <w:pgMar w:header="0" w:footer="0" w:top="840" w:bottom="280" w:left="620" w:right="380"/>
        </w:sectPr>
      </w:pPr>
    </w:p>
    <w:p>
      <w:pPr>
        <w:pStyle w:val="BodyText"/>
        <w:spacing w:line="259" w:lineRule="exact" w:before="58"/>
        <w:ind w:left="967"/>
      </w:pPr>
      <w:r>
        <w:rPr/>
        <w:t>Illinois Library, ‘Library Guide: Blind/Visual Impairment: Common Assistive Technologies’,</w:t>
      </w:r>
    </w:p>
    <w:p>
      <w:pPr>
        <w:pStyle w:val="BodyText"/>
        <w:spacing w:line="259" w:lineRule="exact"/>
        <w:ind w:left="967"/>
      </w:pPr>
      <w:r>
        <w:rPr>
          <w:i/>
        </w:rPr>
        <w:t>Illinois Library </w:t>
      </w:r>
      <w:r>
        <w:rPr/>
        <w:t>(Web Page) &lt;</w:t>
      </w:r>
      <w:hyperlink r:id="rId208">
        <w:r>
          <w:rPr/>
          <w:t>https://guides.library.illinois.edu/c.php?g=526852&amp;p=3602299</w:t>
        </w:r>
      </w:hyperlink>
      <w:r>
        <w:rPr/>
        <w:t>&gt;</w:t>
      </w:r>
    </w:p>
    <w:p>
      <w:pPr>
        <w:pStyle w:val="BodyText"/>
        <w:spacing w:line="259" w:lineRule="exact" w:before="75"/>
        <w:ind w:left="967"/>
      </w:pPr>
      <w:r>
        <w:rPr/>
        <w:t>International Consortium for Court Excellence, ‘International Framework for Court Excellence’,</w:t>
      </w:r>
    </w:p>
    <w:p>
      <w:pPr>
        <w:spacing w:line="240" w:lineRule="exact" w:before="0"/>
        <w:ind w:left="967" w:right="0" w:firstLine="0"/>
        <w:jc w:val="left"/>
        <w:rPr>
          <w:sz w:val="20"/>
        </w:rPr>
      </w:pPr>
      <w:r>
        <w:rPr>
          <w:i/>
          <w:sz w:val="20"/>
        </w:rPr>
        <w:t>International Consortium for Court Excellence </w:t>
      </w:r>
      <w:r>
        <w:rPr>
          <w:sz w:val="20"/>
        </w:rPr>
        <w:t>(Web Page, 25 May 2020)</w:t>
      </w:r>
    </w:p>
    <w:p>
      <w:pPr>
        <w:pStyle w:val="BodyText"/>
        <w:spacing w:line="259" w:lineRule="exact"/>
        <w:ind w:left="967"/>
      </w:pPr>
      <w:r>
        <w:rPr/>
        <w:t>&lt;</w:t>
      </w:r>
      <w:hyperlink r:id="rId271">
        <w:r>
          <w:rPr/>
          <w:t>https://www.courtexcellence.com</w:t>
        </w:r>
      </w:hyperlink>
      <w:r>
        <w:rPr/>
        <w:t>&gt;</w:t>
      </w:r>
    </w:p>
    <w:p>
      <w:pPr>
        <w:spacing w:line="206" w:lineRule="auto" w:before="109"/>
        <w:ind w:left="967" w:right="0" w:firstLine="0"/>
        <w:jc w:val="left"/>
        <w:rPr>
          <w:sz w:val="20"/>
        </w:rPr>
      </w:pPr>
      <w:r>
        <w:rPr>
          <w:sz w:val="20"/>
        </w:rPr>
        <w:t>Judges of the County Court of Victoria, Consultation No 22 to Victorian Law Reform Commission, </w:t>
      </w:r>
      <w:r>
        <w:rPr>
          <w:i/>
          <w:sz w:val="20"/>
        </w:rPr>
        <w:t>Inquiry into Jury Empanelment </w:t>
      </w:r>
      <w:r>
        <w:rPr>
          <w:sz w:val="20"/>
        </w:rPr>
        <w:t>(2014)</w:t>
      </w:r>
    </w:p>
    <w:p>
      <w:pPr>
        <w:pStyle w:val="BodyText"/>
        <w:spacing w:before="83"/>
        <w:ind w:left="967"/>
      </w:pPr>
      <w:r>
        <w:rPr/>
        <w:t>Judicial College of Victoria,</w:t>
      </w:r>
    </w:p>
    <w:p>
      <w:pPr>
        <w:pStyle w:val="ListParagraph"/>
        <w:numPr>
          <w:ilvl w:val="0"/>
          <w:numId w:val="136"/>
        </w:numPr>
        <w:tabs>
          <w:tab w:pos="1307" w:val="left" w:leader="none"/>
          <w:tab w:pos="1308" w:val="left" w:leader="none"/>
        </w:tabs>
        <w:spacing w:line="259" w:lineRule="exact" w:before="76" w:after="0"/>
        <w:ind w:left="1307" w:right="0" w:hanging="340"/>
        <w:jc w:val="left"/>
        <w:rPr>
          <w:sz w:val="20"/>
        </w:rPr>
      </w:pPr>
      <w:r>
        <w:rPr>
          <w:i/>
          <w:sz w:val="20"/>
        </w:rPr>
        <w:t>Charter of Human Rights Bench Book </w:t>
      </w:r>
      <w:r>
        <w:rPr>
          <w:sz w:val="20"/>
        </w:rPr>
        <w:t>(Online</w:t>
      </w:r>
      <w:r>
        <w:rPr>
          <w:spacing w:val="-14"/>
          <w:sz w:val="20"/>
        </w:rPr>
        <w:t> </w:t>
      </w:r>
      <w:r>
        <w:rPr>
          <w:sz w:val="20"/>
        </w:rPr>
        <w:t>Manual)</w:t>
      </w:r>
    </w:p>
    <w:p>
      <w:pPr>
        <w:pStyle w:val="BodyText"/>
        <w:spacing w:line="259" w:lineRule="exact"/>
        <w:ind w:left="1307"/>
      </w:pPr>
      <w:r>
        <w:rPr/>
        <w:t>&lt;</w:t>
      </w:r>
      <w:hyperlink r:id="rId130">
        <w:r>
          <w:rPr/>
          <w:t>https://www.judicialcollege.vic.edu.au/eManuals/CHRBB/index.htm#57496.htm</w:t>
        </w:r>
      </w:hyperlink>
      <w:r>
        <w:rPr/>
        <w:t>&gt;</w:t>
      </w:r>
    </w:p>
    <w:p>
      <w:pPr>
        <w:pStyle w:val="ListParagraph"/>
        <w:numPr>
          <w:ilvl w:val="0"/>
          <w:numId w:val="136"/>
        </w:numPr>
        <w:tabs>
          <w:tab w:pos="1307" w:val="left" w:leader="none"/>
          <w:tab w:pos="1308" w:val="left" w:leader="none"/>
        </w:tabs>
        <w:spacing w:line="259" w:lineRule="exact" w:before="47" w:after="0"/>
        <w:ind w:left="1307" w:right="0" w:hanging="340"/>
        <w:jc w:val="left"/>
        <w:rPr>
          <w:sz w:val="20"/>
        </w:rPr>
      </w:pPr>
      <w:r>
        <w:rPr>
          <w:i/>
          <w:sz w:val="20"/>
        </w:rPr>
        <w:t>Civil Juries Charge Book </w:t>
      </w:r>
      <w:r>
        <w:rPr>
          <w:sz w:val="20"/>
        </w:rPr>
        <w:t>(Online</w:t>
      </w:r>
      <w:r>
        <w:rPr>
          <w:spacing w:val="-10"/>
          <w:sz w:val="20"/>
        </w:rPr>
        <w:t> </w:t>
      </w:r>
      <w:r>
        <w:rPr>
          <w:sz w:val="20"/>
        </w:rPr>
        <w:t>Manual)</w:t>
      </w:r>
    </w:p>
    <w:p>
      <w:pPr>
        <w:pStyle w:val="BodyText"/>
        <w:spacing w:line="259" w:lineRule="exact"/>
        <w:ind w:left="1307"/>
      </w:pPr>
      <w:r>
        <w:rPr/>
        <w:t>&lt; </w:t>
      </w:r>
      <w:hyperlink r:id="rId282">
        <w:r>
          <w:rPr/>
          <w:t>https://www.judicialcollege.vic.edu.au/eManuals/CJC</w:t>
        </w:r>
      </w:hyperlink>
      <w:r>
        <w:rPr/>
        <w:t>B/index.htm#45310.htm&gt;</w:t>
      </w:r>
    </w:p>
    <w:p>
      <w:pPr>
        <w:pStyle w:val="ListParagraph"/>
        <w:numPr>
          <w:ilvl w:val="0"/>
          <w:numId w:val="136"/>
        </w:numPr>
        <w:tabs>
          <w:tab w:pos="1307" w:val="left" w:leader="none"/>
          <w:tab w:pos="1308" w:val="left" w:leader="none"/>
        </w:tabs>
        <w:spacing w:line="206" w:lineRule="auto" w:before="80" w:after="0"/>
        <w:ind w:left="1307" w:right="800" w:hanging="340"/>
        <w:jc w:val="left"/>
        <w:rPr>
          <w:sz w:val="20"/>
        </w:rPr>
      </w:pPr>
      <w:r>
        <w:rPr>
          <w:sz w:val="20"/>
        </w:rPr>
        <w:t>‘Coronavirus</w:t>
      </w:r>
      <w:r>
        <w:rPr>
          <w:spacing w:val="-8"/>
          <w:sz w:val="20"/>
        </w:rPr>
        <w:t> </w:t>
      </w:r>
      <w:r>
        <w:rPr>
          <w:sz w:val="20"/>
        </w:rPr>
        <w:t>and</w:t>
      </w:r>
      <w:r>
        <w:rPr>
          <w:spacing w:val="-7"/>
          <w:sz w:val="20"/>
        </w:rPr>
        <w:t> </w:t>
      </w:r>
      <w:r>
        <w:rPr>
          <w:sz w:val="20"/>
        </w:rPr>
        <w:t>the</w:t>
      </w:r>
      <w:r>
        <w:rPr>
          <w:spacing w:val="-7"/>
          <w:sz w:val="20"/>
        </w:rPr>
        <w:t> </w:t>
      </w:r>
      <w:r>
        <w:rPr>
          <w:sz w:val="20"/>
        </w:rPr>
        <w:t>Courts’,</w:t>
      </w:r>
      <w:r>
        <w:rPr>
          <w:spacing w:val="-7"/>
          <w:sz w:val="20"/>
        </w:rPr>
        <w:t> </w:t>
      </w:r>
      <w:r>
        <w:rPr>
          <w:i/>
          <w:sz w:val="20"/>
        </w:rPr>
        <w:t>Judicial</w:t>
      </w:r>
      <w:r>
        <w:rPr>
          <w:i/>
          <w:spacing w:val="-7"/>
          <w:sz w:val="20"/>
        </w:rPr>
        <w:t> </w:t>
      </w:r>
      <w:r>
        <w:rPr>
          <w:i/>
          <w:sz w:val="20"/>
        </w:rPr>
        <w:t>College</w:t>
      </w:r>
      <w:r>
        <w:rPr>
          <w:i/>
          <w:spacing w:val="-8"/>
          <w:sz w:val="20"/>
        </w:rPr>
        <w:t> </w:t>
      </w:r>
      <w:r>
        <w:rPr>
          <w:i/>
          <w:sz w:val="20"/>
        </w:rPr>
        <w:t>of</w:t>
      </w:r>
      <w:r>
        <w:rPr>
          <w:i/>
          <w:spacing w:val="-7"/>
          <w:sz w:val="20"/>
        </w:rPr>
        <w:t> </w:t>
      </w:r>
      <w:r>
        <w:rPr>
          <w:i/>
          <w:sz w:val="20"/>
        </w:rPr>
        <w:t>Victoria</w:t>
      </w:r>
      <w:r>
        <w:rPr>
          <w:i/>
          <w:spacing w:val="-6"/>
          <w:sz w:val="20"/>
        </w:rPr>
        <w:t> </w:t>
      </w:r>
      <w:r>
        <w:rPr>
          <w:sz w:val="20"/>
        </w:rPr>
        <w:t>(Web</w:t>
      </w:r>
      <w:r>
        <w:rPr>
          <w:spacing w:val="-7"/>
          <w:sz w:val="20"/>
        </w:rPr>
        <w:t> </w:t>
      </w:r>
      <w:r>
        <w:rPr>
          <w:sz w:val="20"/>
        </w:rPr>
        <w:t>Page)</w:t>
      </w:r>
      <w:r>
        <w:rPr>
          <w:spacing w:val="-7"/>
          <w:sz w:val="20"/>
        </w:rPr>
        <w:t> </w:t>
      </w:r>
      <w:r>
        <w:rPr>
          <w:spacing w:val="-5"/>
          <w:sz w:val="20"/>
        </w:rPr>
        <w:t>&lt;</w:t>
      </w:r>
      <w:hyperlink r:id="rId35">
        <w:r>
          <w:rPr>
            <w:spacing w:val="-5"/>
            <w:sz w:val="20"/>
          </w:rPr>
          <w:t>https://www.</w:t>
        </w:r>
      </w:hyperlink>
      <w:hyperlink r:id="rId35">
        <w:r>
          <w:rPr>
            <w:spacing w:val="-5"/>
            <w:sz w:val="20"/>
          </w:rPr>
          <w:t> </w:t>
        </w:r>
        <w:r>
          <w:rPr>
            <w:sz w:val="20"/>
          </w:rPr>
          <w:t>judicialcollege.vic.edu.au/resources/coronavirus-and-courts</w:t>
        </w:r>
      </w:hyperlink>
      <w:r>
        <w:rPr>
          <w:sz w:val="20"/>
        </w:rPr>
        <w:t>&gt;</w:t>
      </w:r>
    </w:p>
    <w:p>
      <w:pPr>
        <w:pStyle w:val="ListParagraph"/>
        <w:numPr>
          <w:ilvl w:val="0"/>
          <w:numId w:val="136"/>
        </w:numPr>
        <w:tabs>
          <w:tab w:pos="1307" w:val="left" w:leader="none"/>
          <w:tab w:pos="1308" w:val="left" w:leader="none"/>
        </w:tabs>
        <w:spacing w:line="259" w:lineRule="exact" w:before="55" w:after="0"/>
        <w:ind w:left="1307" w:right="0" w:hanging="340"/>
        <w:jc w:val="left"/>
        <w:rPr>
          <w:sz w:val="20"/>
        </w:rPr>
      </w:pPr>
      <w:r>
        <w:rPr>
          <w:i/>
          <w:sz w:val="20"/>
        </w:rPr>
        <w:t>Disability Access Bench Book </w:t>
      </w:r>
      <w:r>
        <w:rPr>
          <w:sz w:val="20"/>
        </w:rPr>
        <w:t>(Online</w:t>
      </w:r>
      <w:r>
        <w:rPr>
          <w:spacing w:val="-11"/>
          <w:sz w:val="20"/>
        </w:rPr>
        <w:t> </w:t>
      </w:r>
      <w:r>
        <w:rPr>
          <w:sz w:val="20"/>
        </w:rPr>
        <w:t>Manual)</w:t>
      </w:r>
    </w:p>
    <w:p>
      <w:pPr>
        <w:pStyle w:val="BodyText"/>
        <w:spacing w:line="259" w:lineRule="exact"/>
        <w:ind w:left="1307"/>
      </w:pPr>
      <w:r>
        <w:rPr/>
        <w:t>&lt;</w:t>
      </w:r>
      <w:hyperlink r:id="rId18">
        <w:r>
          <w:rPr/>
          <w:t>https://www.judicialcollege.vic.edu.au/eManuals/DABB/index.htm#59523.htm</w:t>
        </w:r>
      </w:hyperlink>
      <w:r>
        <w:rPr/>
        <w:t>&gt;</w:t>
      </w:r>
    </w:p>
    <w:p>
      <w:pPr>
        <w:pStyle w:val="ListParagraph"/>
        <w:numPr>
          <w:ilvl w:val="0"/>
          <w:numId w:val="136"/>
        </w:numPr>
        <w:tabs>
          <w:tab w:pos="1307" w:val="left" w:leader="none"/>
          <w:tab w:pos="1308" w:val="left" w:leader="none"/>
        </w:tabs>
        <w:spacing w:line="240" w:lineRule="auto" w:before="48" w:after="0"/>
        <w:ind w:left="1307" w:right="0" w:hanging="340"/>
        <w:jc w:val="left"/>
        <w:rPr>
          <w:sz w:val="20"/>
        </w:rPr>
      </w:pPr>
      <w:r>
        <w:rPr>
          <w:i/>
          <w:sz w:val="20"/>
        </w:rPr>
        <w:t>Judge Alone </w:t>
      </w:r>
      <w:r>
        <w:rPr>
          <w:i/>
          <w:spacing w:val="-4"/>
          <w:sz w:val="20"/>
        </w:rPr>
        <w:t>Trial </w:t>
      </w:r>
      <w:r>
        <w:rPr>
          <w:i/>
          <w:sz w:val="20"/>
        </w:rPr>
        <w:t>Applications </w:t>
      </w:r>
      <w:r>
        <w:rPr>
          <w:sz w:val="20"/>
        </w:rPr>
        <w:t>(Report,</w:t>
      </w:r>
      <w:r>
        <w:rPr>
          <w:spacing w:val="-6"/>
          <w:sz w:val="20"/>
        </w:rPr>
        <w:t> </w:t>
      </w:r>
      <w:r>
        <w:rPr>
          <w:sz w:val="20"/>
        </w:rPr>
        <w:t>2021)</w:t>
      </w:r>
    </w:p>
    <w:p>
      <w:pPr>
        <w:pStyle w:val="ListParagraph"/>
        <w:numPr>
          <w:ilvl w:val="0"/>
          <w:numId w:val="136"/>
        </w:numPr>
        <w:tabs>
          <w:tab w:pos="1308" w:val="left" w:leader="none"/>
        </w:tabs>
        <w:spacing w:line="206" w:lineRule="auto" w:before="80" w:after="0"/>
        <w:ind w:left="1307" w:right="131" w:hanging="340"/>
        <w:jc w:val="both"/>
        <w:rPr>
          <w:sz w:val="20"/>
        </w:rPr>
      </w:pPr>
      <w:r>
        <w:rPr>
          <w:sz w:val="20"/>
        </w:rPr>
        <w:t>‘Recommended</w:t>
      </w:r>
      <w:r>
        <w:rPr>
          <w:spacing w:val="-7"/>
          <w:sz w:val="20"/>
        </w:rPr>
        <w:t> </w:t>
      </w:r>
      <w:r>
        <w:rPr>
          <w:sz w:val="20"/>
        </w:rPr>
        <w:t>National</w:t>
      </w:r>
      <w:r>
        <w:rPr>
          <w:spacing w:val="-7"/>
          <w:sz w:val="20"/>
        </w:rPr>
        <w:t> </w:t>
      </w:r>
      <w:r>
        <w:rPr>
          <w:sz w:val="20"/>
        </w:rPr>
        <w:t>Standards</w:t>
      </w:r>
      <w:r>
        <w:rPr>
          <w:spacing w:val="-7"/>
          <w:sz w:val="20"/>
        </w:rPr>
        <w:t> </w:t>
      </w:r>
      <w:r>
        <w:rPr>
          <w:sz w:val="20"/>
        </w:rPr>
        <w:t>for</w:t>
      </w:r>
      <w:r>
        <w:rPr>
          <w:spacing w:val="-6"/>
          <w:sz w:val="20"/>
        </w:rPr>
        <w:t> </w:t>
      </w:r>
      <w:r>
        <w:rPr>
          <w:sz w:val="20"/>
        </w:rPr>
        <w:t>Working</w:t>
      </w:r>
      <w:r>
        <w:rPr>
          <w:spacing w:val="-7"/>
          <w:sz w:val="20"/>
        </w:rPr>
        <w:t> </w:t>
      </w:r>
      <w:r>
        <w:rPr>
          <w:sz w:val="20"/>
        </w:rPr>
        <w:t>with</w:t>
      </w:r>
      <w:r>
        <w:rPr>
          <w:spacing w:val="-7"/>
          <w:sz w:val="20"/>
        </w:rPr>
        <w:t> </w:t>
      </w:r>
      <w:r>
        <w:rPr>
          <w:sz w:val="20"/>
        </w:rPr>
        <w:t>Interpreters</w:t>
      </w:r>
      <w:r>
        <w:rPr>
          <w:spacing w:val="-6"/>
          <w:sz w:val="20"/>
        </w:rPr>
        <w:t> </w:t>
      </w:r>
      <w:r>
        <w:rPr>
          <w:sz w:val="20"/>
        </w:rPr>
        <w:t>in</w:t>
      </w:r>
      <w:r>
        <w:rPr>
          <w:spacing w:val="-7"/>
          <w:sz w:val="20"/>
        </w:rPr>
        <w:t> </w:t>
      </w:r>
      <w:r>
        <w:rPr>
          <w:sz w:val="20"/>
        </w:rPr>
        <w:t>Courts</w:t>
      </w:r>
      <w:r>
        <w:rPr>
          <w:spacing w:val="-7"/>
          <w:sz w:val="20"/>
        </w:rPr>
        <w:t> </w:t>
      </w:r>
      <w:r>
        <w:rPr>
          <w:sz w:val="20"/>
        </w:rPr>
        <w:t>and</w:t>
      </w:r>
      <w:r>
        <w:rPr>
          <w:spacing w:val="-6"/>
          <w:sz w:val="20"/>
        </w:rPr>
        <w:t> </w:t>
      </w:r>
      <w:r>
        <w:rPr>
          <w:spacing w:val="-3"/>
          <w:sz w:val="20"/>
        </w:rPr>
        <w:t>Tribunals’, </w:t>
      </w:r>
      <w:r>
        <w:rPr>
          <w:i/>
          <w:sz w:val="20"/>
        </w:rPr>
        <w:t>Judicial College of Victoria </w:t>
      </w:r>
      <w:r>
        <w:rPr>
          <w:sz w:val="20"/>
        </w:rPr>
        <w:t>(Web Page, 28 April 2022) </w:t>
      </w:r>
      <w:r>
        <w:rPr>
          <w:spacing w:val="-3"/>
          <w:sz w:val="20"/>
        </w:rPr>
        <w:t>&lt;</w:t>
      </w:r>
      <w:hyperlink r:id="rId218">
        <w:r>
          <w:rPr>
            <w:spacing w:val="-3"/>
            <w:sz w:val="20"/>
          </w:rPr>
          <w:t>https://www.judicialcollege.vic.edu.</w:t>
        </w:r>
      </w:hyperlink>
      <w:hyperlink r:id="rId218">
        <w:r>
          <w:rPr>
            <w:spacing w:val="-3"/>
            <w:sz w:val="20"/>
          </w:rPr>
          <w:t> </w:t>
        </w:r>
        <w:r>
          <w:rPr>
            <w:spacing w:val="-1"/>
            <w:sz w:val="20"/>
          </w:rPr>
          <w:t>au/news/recommended-national-standards-working-interpreters-courts-and-tribunals</w:t>
        </w:r>
      </w:hyperlink>
      <w:r>
        <w:rPr>
          <w:spacing w:val="-1"/>
          <w:sz w:val="20"/>
        </w:rPr>
        <w:t>&gt;</w:t>
      </w:r>
    </w:p>
    <w:p>
      <w:pPr>
        <w:pStyle w:val="ListParagraph"/>
        <w:numPr>
          <w:ilvl w:val="0"/>
          <w:numId w:val="136"/>
        </w:numPr>
        <w:tabs>
          <w:tab w:pos="1307" w:val="left" w:leader="none"/>
          <w:tab w:pos="1308" w:val="left" w:leader="none"/>
        </w:tabs>
        <w:spacing w:line="259" w:lineRule="exact" w:before="56" w:after="0"/>
        <w:ind w:left="1307" w:right="0" w:hanging="340"/>
        <w:jc w:val="left"/>
        <w:rPr>
          <w:sz w:val="20"/>
        </w:rPr>
      </w:pPr>
      <w:r>
        <w:rPr>
          <w:i/>
          <w:sz w:val="20"/>
        </w:rPr>
        <w:t>Serious Injury Manual </w:t>
      </w:r>
      <w:r>
        <w:rPr>
          <w:sz w:val="20"/>
        </w:rPr>
        <w:t>(Online</w:t>
      </w:r>
      <w:r>
        <w:rPr>
          <w:spacing w:val="-8"/>
          <w:sz w:val="20"/>
        </w:rPr>
        <w:t> </w:t>
      </w:r>
      <w:r>
        <w:rPr>
          <w:sz w:val="20"/>
        </w:rPr>
        <w:t>Manual)</w:t>
      </w:r>
    </w:p>
    <w:p>
      <w:pPr>
        <w:pStyle w:val="BodyText"/>
        <w:spacing w:line="259" w:lineRule="exact"/>
        <w:ind w:left="1307"/>
      </w:pPr>
      <w:r>
        <w:rPr/>
        <w:t>&lt;</w:t>
      </w:r>
      <w:hyperlink r:id="rId145">
        <w:r>
          <w:rPr/>
          <w:t>https://www.judicialcollege.vic.edu.au/eManuals/SIM/53962.htm</w:t>
        </w:r>
      </w:hyperlink>
      <w:r>
        <w:rPr/>
        <w:t>&gt;</w:t>
      </w:r>
    </w:p>
    <w:p>
      <w:pPr>
        <w:pStyle w:val="ListParagraph"/>
        <w:numPr>
          <w:ilvl w:val="0"/>
          <w:numId w:val="136"/>
        </w:numPr>
        <w:tabs>
          <w:tab w:pos="1307" w:val="left" w:leader="none"/>
          <w:tab w:pos="1308" w:val="left" w:leader="none"/>
        </w:tabs>
        <w:spacing w:line="259" w:lineRule="exact" w:before="48" w:after="0"/>
        <w:ind w:left="1307" w:right="0" w:hanging="340"/>
        <w:jc w:val="left"/>
        <w:rPr>
          <w:sz w:val="20"/>
        </w:rPr>
      </w:pPr>
      <w:r>
        <w:rPr>
          <w:i/>
          <w:sz w:val="20"/>
        </w:rPr>
        <w:t>Victorian Criminal Charge Book </w:t>
      </w:r>
      <w:r>
        <w:rPr>
          <w:sz w:val="20"/>
        </w:rPr>
        <w:t>(Online</w:t>
      </w:r>
      <w:r>
        <w:rPr>
          <w:spacing w:val="-11"/>
          <w:sz w:val="20"/>
        </w:rPr>
        <w:t> </w:t>
      </w:r>
      <w:r>
        <w:rPr>
          <w:sz w:val="20"/>
        </w:rPr>
        <w:t>Manual)</w:t>
      </w:r>
    </w:p>
    <w:p>
      <w:pPr>
        <w:pStyle w:val="BodyText"/>
        <w:spacing w:line="259" w:lineRule="exact"/>
        <w:ind w:left="1307"/>
      </w:pPr>
      <w:r>
        <w:rPr/>
        <w:t>&lt;</w:t>
      </w:r>
      <w:hyperlink r:id="rId40">
        <w:r>
          <w:rPr/>
          <w:t>www.judicialcollege.vic.edu.au/eManuals/CCB/index.htm#19193.htm</w:t>
        </w:r>
      </w:hyperlink>
      <w:r>
        <w:rPr/>
        <w:t>&gt;</w:t>
      </w:r>
    </w:p>
    <w:p>
      <w:pPr>
        <w:pStyle w:val="ListParagraph"/>
        <w:numPr>
          <w:ilvl w:val="0"/>
          <w:numId w:val="136"/>
        </w:numPr>
        <w:tabs>
          <w:tab w:pos="1307" w:val="left" w:leader="none"/>
          <w:tab w:pos="1308" w:val="left" w:leader="none"/>
        </w:tabs>
        <w:spacing w:line="259" w:lineRule="exact" w:before="47" w:after="0"/>
        <w:ind w:left="1307" w:right="0" w:hanging="340"/>
        <w:jc w:val="left"/>
        <w:rPr>
          <w:sz w:val="20"/>
        </w:rPr>
      </w:pPr>
      <w:r>
        <w:rPr>
          <w:i/>
          <w:sz w:val="20"/>
        </w:rPr>
        <w:t>Victorian Criminal Proceedings Manual </w:t>
      </w:r>
      <w:r>
        <w:rPr>
          <w:sz w:val="20"/>
        </w:rPr>
        <w:t>(Online</w:t>
      </w:r>
      <w:r>
        <w:rPr>
          <w:spacing w:val="-11"/>
          <w:sz w:val="20"/>
        </w:rPr>
        <w:t> </w:t>
      </w:r>
      <w:r>
        <w:rPr>
          <w:sz w:val="20"/>
        </w:rPr>
        <w:t>Manual)</w:t>
      </w:r>
    </w:p>
    <w:p>
      <w:pPr>
        <w:pStyle w:val="BodyText"/>
        <w:spacing w:line="259" w:lineRule="exact"/>
        <w:ind w:left="1307"/>
      </w:pPr>
      <w:r>
        <w:rPr/>
        <w:t>&lt;</w:t>
      </w:r>
      <w:hyperlink r:id="rId49">
        <w:r>
          <w:rPr/>
          <w:t>https://www.judicialcollege.vic.edu.au/eManuals/VCPM/index.htm#27318.htm</w:t>
        </w:r>
      </w:hyperlink>
      <w:r>
        <w:rPr/>
        <w:t>&gt;</w:t>
      </w:r>
    </w:p>
    <w:p>
      <w:pPr>
        <w:pStyle w:val="BodyText"/>
        <w:spacing w:before="47"/>
        <w:ind w:left="967"/>
      </w:pPr>
      <w:r>
        <w:rPr/>
        <w:t>Judicial College UK,</w:t>
      </w:r>
    </w:p>
    <w:p>
      <w:pPr>
        <w:pStyle w:val="ListParagraph"/>
        <w:numPr>
          <w:ilvl w:val="0"/>
          <w:numId w:val="136"/>
        </w:numPr>
        <w:tabs>
          <w:tab w:pos="1307" w:val="left" w:leader="none"/>
          <w:tab w:pos="1308" w:val="left" w:leader="none"/>
        </w:tabs>
        <w:spacing w:line="206" w:lineRule="auto" w:before="108" w:after="0"/>
        <w:ind w:left="1307" w:right="599" w:hanging="340"/>
        <w:jc w:val="left"/>
        <w:rPr>
          <w:sz w:val="20"/>
        </w:rPr>
      </w:pPr>
      <w:r>
        <w:rPr>
          <w:i/>
          <w:sz w:val="20"/>
        </w:rPr>
        <w:t>Equal </w:t>
      </w:r>
      <w:r>
        <w:rPr>
          <w:i/>
          <w:spacing w:val="-3"/>
          <w:sz w:val="20"/>
        </w:rPr>
        <w:t>Treatment </w:t>
      </w:r>
      <w:r>
        <w:rPr>
          <w:i/>
          <w:sz w:val="20"/>
        </w:rPr>
        <w:t>Bench Book </w:t>
      </w:r>
      <w:r>
        <w:rPr>
          <w:sz w:val="20"/>
        </w:rPr>
        <w:t>(Manual, February 2021) </w:t>
      </w:r>
      <w:r>
        <w:rPr>
          <w:spacing w:val="-3"/>
          <w:sz w:val="20"/>
        </w:rPr>
        <w:t>&lt;</w:t>
      </w:r>
      <w:hyperlink r:id="rId129">
        <w:r>
          <w:rPr>
            <w:spacing w:val="-3"/>
            <w:sz w:val="20"/>
          </w:rPr>
          <w:t>https://www.judiciary.uk/wp-</w:t>
        </w:r>
      </w:hyperlink>
      <w:hyperlink r:id="rId129">
        <w:r>
          <w:rPr>
            <w:spacing w:val="-3"/>
            <w:sz w:val="20"/>
          </w:rPr>
          <w:t> content/uploads/2021/02/Equal-Treatment-Bench-Book-February-2021-1.pdf</w:t>
        </w:r>
      </w:hyperlink>
      <w:r>
        <w:rPr>
          <w:spacing w:val="-3"/>
          <w:sz w:val="20"/>
        </w:rPr>
        <w:t>&gt;</w:t>
      </w:r>
    </w:p>
    <w:p>
      <w:pPr>
        <w:spacing w:line="206" w:lineRule="auto" w:before="88"/>
        <w:ind w:left="967" w:right="34" w:firstLine="0"/>
        <w:jc w:val="left"/>
        <w:rPr>
          <w:sz w:val="20"/>
        </w:rPr>
      </w:pPr>
      <w:r>
        <w:rPr>
          <w:sz w:val="20"/>
        </w:rPr>
        <w:t>Judicial Conference of the United States, </w:t>
      </w:r>
      <w:r>
        <w:rPr>
          <w:i/>
          <w:sz w:val="20"/>
        </w:rPr>
        <w:t>Handbook for Trial Jurors Serving in the United States </w:t>
      </w:r>
      <w:r>
        <w:rPr>
          <w:i/>
          <w:sz w:val="20"/>
        </w:rPr>
        <w:t>District Courts </w:t>
      </w:r>
      <w:r>
        <w:rPr>
          <w:sz w:val="20"/>
        </w:rPr>
        <w:t>(Handbook No HB 100, Administrative Office of the United States Courts, 2006)</w:t>
      </w:r>
    </w:p>
    <w:p>
      <w:pPr>
        <w:pStyle w:val="BodyText"/>
        <w:spacing w:line="248" w:lineRule="exact"/>
        <w:ind w:left="967"/>
      </w:pPr>
      <w:r>
        <w:rPr/>
        <w:t>&lt;</w:t>
      </w:r>
      <w:hyperlink r:id="rId156">
        <w:r>
          <w:rPr/>
          <w:t>https://img.nyed.uscourts.gov/files/local_rules/trialhandbook.pdf</w:t>
        </w:r>
      </w:hyperlink>
      <w:r>
        <w:rPr/>
        <w:t>&gt;</w:t>
      </w:r>
    </w:p>
    <w:p>
      <w:pPr>
        <w:pStyle w:val="BodyText"/>
        <w:spacing w:before="76"/>
        <w:ind w:left="967"/>
      </w:pPr>
      <w:r>
        <w:rPr/>
        <w:t>Judicial Council on Cultural Diversity,</w:t>
      </w:r>
    </w:p>
    <w:p>
      <w:pPr>
        <w:pStyle w:val="ListParagraph"/>
        <w:numPr>
          <w:ilvl w:val="0"/>
          <w:numId w:val="136"/>
        </w:numPr>
        <w:tabs>
          <w:tab w:pos="1307" w:val="left" w:leader="none"/>
          <w:tab w:pos="1308" w:val="left" w:leader="none"/>
        </w:tabs>
        <w:spacing w:line="259" w:lineRule="exact" w:before="76" w:after="0"/>
        <w:ind w:left="1307" w:right="0" w:hanging="340"/>
        <w:jc w:val="left"/>
        <w:rPr>
          <w:i/>
          <w:sz w:val="20"/>
        </w:rPr>
      </w:pPr>
      <w:r>
        <w:rPr>
          <w:i/>
          <w:sz w:val="20"/>
        </w:rPr>
        <w:t>Recommended</w:t>
      </w:r>
      <w:r>
        <w:rPr>
          <w:i/>
          <w:spacing w:val="-6"/>
          <w:sz w:val="20"/>
        </w:rPr>
        <w:t> </w:t>
      </w:r>
      <w:r>
        <w:rPr>
          <w:i/>
          <w:sz w:val="20"/>
        </w:rPr>
        <w:t>National</w:t>
      </w:r>
      <w:r>
        <w:rPr>
          <w:i/>
          <w:spacing w:val="-6"/>
          <w:sz w:val="20"/>
        </w:rPr>
        <w:t> </w:t>
      </w:r>
      <w:r>
        <w:rPr>
          <w:i/>
          <w:sz w:val="20"/>
        </w:rPr>
        <w:t>Standards</w:t>
      </w:r>
      <w:r>
        <w:rPr>
          <w:i/>
          <w:spacing w:val="-6"/>
          <w:sz w:val="20"/>
        </w:rPr>
        <w:t> </w:t>
      </w:r>
      <w:r>
        <w:rPr>
          <w:i/>
          <w:sz w:val="20"/>
        </w:rPr>
        <w:t>for</w:t>
      </w:r>
      <w:r>
        <w:rPr>
          <w:i/>
          <w:spacing w:val="-5"/>
          <w:sz w:val="20"/>
        </w:rPr>
        <w:t> </w:t>
      </w:r>
      <w:r>
        <w:rPr>
          <w:i/>
          <w:sz w:val="20"/>
        </w:rPr>
        <w:t>Working</w:t>
      </w:r>
      <w:r>
        <w:rPr>
          <w:i/>
          <w:spacing w:val="-6"/>
          <w:sz w:val="20"/>
        </w:rPr>
        <w:t> </w:t>
      </w:r>
      <w:r>
        <w:rPr>
          <w:i/>
          <w:sz w:val="20"/>
        </w:rPr>
        <w:t>with</w:t>
      </w:r>
      <w:r>
        <w:rPr>
          <w:i/>
          <w:spacing w:val="-6"/>
          <w:sz w:val="20"/>
        </w:rPr>
        <w:t> </w:t>
      </w:r>
      <w:r>
        <w:rPr>
          <w:i/>
          <w:sz w:val="20"/>
        </w:rPr>
        <w:t>Interpreters</w:t>
      </w:r>
      <w:r>
        <w:rPr>
          <w:i/>
          <w:spacing w:val="-6"/>
          <w:sz w:val="20"/>
        </w:rPr>
        <w:t> </w:t>
      </w:r>
      <w:r>
        <w:rPr>
          <w:i/>
          <w:sz w:val="20"/>
        </w:rPr>
        <w:t>in</w:t>
      </w:r>
      <w:r>
        <w:rPr>
          <w:i/>
          <w:spacing w:val="-6"/>
          <w:sz w:val="20"/>
        </w:rPr>
        <w:t> </w:t>
      </w:r>
      <w:r>
        <w:rPr>
          <w:i/>
          <w:sz w:val="20"/>
        </w:rPr>
        <w:t>Courts</w:t>
      </w:r>
      <w:r>
        <w:rPr>
          <w:i/>
          <w:spacing w:val="-5"/>
          <w:sz w:val="20"/>
        </w:rPr>
        <w:t> </w:t>
      </w:r>
      <w:r>
        <w:rPr>
          <w:i/>
          <w:sz w:val="20"/>
        </w:rPr>
        <w:t>and</w:t>
      </w:r>
      <w:r>
        <w:rPr>
          <w:i/>
          <w:spacing w:val="-6"/>
          <w:sz w:val="20"/>
        </w:rPr>
        <w:t> </w:t>
      </w:r>
      <w:r>
        <w:rPr>
          <w:i/>
          <w:sz w:val="20"/>
        </w:rPr>
        <w:t>Tribunals</w:t>
      </w:r>
    </w:p>
    <w:p>
      <w:pPr>
        <w:pStyle w:val="BodyText"/>
        <w:spacing w:line="259" w:lineRule="exact"/>
        <w:ind w:left="1307"/>
      </w:pPr>
      <w:r>
        <w:rPr/>
        <w:t>(Report, 2017)</w:t>
      </w:r>
    </w:p>
    <w:p>
      <w:pPr>
        <w:pStyle w:val="ListParagraph"/>
        <w:numPr>
          <w:ilvl w:val="0"/>
          <w:numId w:val="136"/>
        </w:numPr>
        <w:tabs>
          <w:tab w:pos="1307" w:val="left" w:leader="none"/>
          <w:tab w:pos="1308" w:val="left" w:leader="none"/>
        </w:tabs>
        <w:spacing w:line="259" w:lineRule="exact" w:before="47" w:after="0"/>
        <w:ind w:left="1307" w:right="0" w:hanging="340"/>
        <w:jc w:val="left"/>
        <w:rPr>
          <w:i/>
          <w:sz w:val="20"/>
        </w:rPr>
      </w:pPr>
      <w:r>
        <w:rPr>
          <w:i/>
          <w:sz w:val="20"/>
        </w:rPr>
        <w:t>Recommended</w:t>
      </w:r>
      <w:r>
        <w:rPr>
          <w:i/>
          <w:spacing w:val="-6"/>
          <w:sz w:val="20"/>
        </w:rPr>
        <w:t> </w:t>
      </w:r>
      <w:r>
        <w:rPr>
          <w:i/>
          <w:sz w:val="20"/>
        </w:rPr>
        <w:t>National</w:t>
      </w:r>
      <w:r>
        <w:rPr>
          <w:i/>
          <w:spacing w:val="-6"/>
          <w:sz w:val="20"/>
        </w:rPr>
        <w:t> </w:t>
      </w:r>
      <w:r>
        <w:rPr>
          <w:i/>
          <w:sz w:val="20"/>
        </w:rPr>
        <w:t>Standards</w:t>
      </w:r>
      <w:r>
        <w:rPr>
          <w:i/>
          <w:spacing w:val="-6"/>
          <w:sz w:val="20"/>
        </w:rPr>
        <w:t> </w:t>
      </w:r>
      <w:r>
        <w:rPr>
          <w:i/>
          <w:sz w:val="20"/>
        </w:rPr>
        <w:t>for</w:t>
      </w:r>
      <w:r>
        <w:rPr>
          <w:i/>
          <w:spacing w:val="-5"/>
          <w:sz w:val="20"/>
        </w:rPr>
        <w:t> </w:t>
      </w:r>
      <w:r>
        <w:rPr>
          <w:i/>
          <w:sz w:val="20"/>
        </w:rPr>
        <w:t>Working</w:t>
      </w:r>
      <w:r>
        <w:rPr>
          <w:i/>
          <w:spacing w:val="-6"/>
          <w:sz w:val="20"/>
        </w:rPr>
        <w:t> </w:t>
      </w:r>
      <w:r>
        <w:rPr>
          <w:i/>
          <w:sz w:val="20"/>
        </w:rPr>
        <w:t>with</w:t>
      </w:r>
      <w:r>
        <w:rPr>
          <w:i/>
          <w:spacing w:val="-6"/>
          <w:sz w:val="20"/>
        </w:rPr>
        <w:t> </w:t>
      </w:r>
      <w:r>
        <w:rPr>
          <w:i/>
          <w:sz w:val="20"/>
        </w:rPr>
        <w:t>Interpreters</w:t>
      </w:r>
      <w:r>
        <w:rPr>
          <w:i/>
          <w:spacing w:val="-6"/>
          <w:sz w:val="20"/>
        </w:rPr>
        <w:t> </w:t>
      </w:r>
      <w:r>
        <w:rPr>
          <w:i/>
          <w:sz w:val="20"/>
        </w:rPr>
        <w:t>in</w:t>
      </w:r>
      <w:r>
        <w:rPr>
          <w:i/>
          <w:spacing w:val="-6"/>
          <w:sz w:val="20"/>
        </w:rPr>
        <w:t> </w:t>
      </w:r>
      <w:r>
        <w:rPr>
          <w:i/>
          <w:sz w:val="20"/>
        </w:rPr>
        <w:t>Courts</w:t>
      </w:r>
      <w:r>
        <w:rPr>
          <w:i/>
          <w:spacing w:val="-5"/>
          <w:sz w:val="20"/>
        </w:rPr>
        <w:t> </w:t>
      </w:r>
      <w:r>
        <w:rPr>
          <w:i/>
          <w:sz w:val="20"/>
        </w:rPr>
        <w:t>and</w:t>
      </w:r>
      <w:r>
        <w:rPr>
          <w:i/>
          <w:spacing w:val="-6"/>
          <w:sz w:val="20"/>
        </w:rPr>
        <w:t> </w:t>
      </w:r>
      <w:r>
        <w:rPr>
          <w:i/>
          <w:sz w:val="20"/>
        </w:rPr>
        <w:t>Tribunals</w:t>
      </w:r>
    </w:p>
    <w:p>
      <w:pPr>
        <w:pStyle w:val="BodyText"/>
        <w:spacing w:line="259" w:lineRule="exact"/>
        <w:ind w:left="1307"/>
      </w:pPr>
      <w:r>
        <w:rPr/>
        <w:t>(Report, Second Edition, March 2022)</w:t>
      </w:r>
    </w:p>
    <w:p>
      <w:pPr>
        <w:pStyle w:val="BodyText"/>
        <w:spacing w:line="304" w:lineRule="auto" w:before="47"/>
        <w:ind w:left="967" w:right="2558"/>
      </w:pPr>
      <w:r>
        <w:rPr>
          <w:spacing w:val="-3"/>
        </w:rPr>
        <w:t>‘Judicial </w:t>
      </w:r>
      <w:r>
        <w:rPr/>
        <w:t>Lack of </w:t>
      </w:r>
      <w:r>
        <w:rPr>
          <w:spacing w:val="-3"/>
        </w:rPr>
        <w:t>Facilities’, </w:t>
      </w:r>
      <w:r>
        <w:rPr>
          <w:i/>
          <w:spacing w:val="-3"/>
        </w:rPr>
        <w:t>Tribune </w:t>
      </w:r>
      <w:r>
        <w:rPr>
          <w:spacing w:val="-4"/>
        </w:rPr>
        <w:t>(Sydney, </w:t>
      </w:r>
      <w:r>
        <w:rPr/>
        <w:t>3 September </w:t>
      </w:r>
      <w:r>
        <w:rPr>
          <w:spacing w:val="-5"/>
        </w:rPr>
        <w:t>1974) </w:t>
      </w:r>
      <w:r>
        <w:rPr/>
        <w:t>Juries Victoria,</w:t>
      </w:r>
    </w:p>
    <w:p>
      <w:pPr>
        <w:pStyle w:val="ListParagraph"/>
        <w:numPr>
          <w:ilvl w:val="0"/>
          <w:numId w:val="136"/>
        </w:numPr>
        <w:tabs>
          <w:tab w:pos="1307" w:val="left" w:leader="none"/>
          <w:tab w:pos="1308" w:val="left" w:leader="none"/>
        </w:tabs>
        <w:spacing w:line="206" w:lineRule="auto" w:before="34" w:after="0"/>
        <w:ind w:left="1307" w:right="490" w:hanging="340"/>
        <w:jc w:val="left"/>
        <w:rPr>
          <w:sz w:val="20"/>
        </w:rPr>
      </w:pPr>
      <w:r>
        <w:rPr>
          <w:sz w:val="20"/>
        </w:rPr>
        <w:t>‘Individuals’,</w:t>
      </w:r>
      <w:r>
        <w:rPr>
          <w:spacing w:val="-7"/>
          <w:sz w:val="20"/>
        </w:rPr>
        <w:t> </w:t>
      </w:r>
      <w:r>
        <w:rPr>
          <w:i/>
          <w:sz w:val="20"/>
        </w:rPr>
        <w:t>Juror</w:t>
      </w:r>
      <w:r>
        <w:rPr>
          <w:i/>
          <w:spacing w:val="-5"/>
          <w:sz w:val="20"/>
        </w:rPr>
        <w:t> </w:t>
      </w:r>
      <w:r>
        <w:rPr>
          <w:i/>
          <w:sz w:val="20"/>
        </w:rPr>
        <w:t>Portal</w:t>
      </w:r>
      <w:r>
        <w:rPr>
          <w:i/>
          <w:spacing w:val="-5"/>
          <w:sz w:val="20"/>
        </w:rPr>
        <w:t> </w:t>
      </w:r>
      <w:r>
        <w:rPr>
          <w:sz w:val="20"/>
        </w:rPr>
        <w:t>(Web</w:t>
      </w:r>
      <w:r>
        <w:rPr>
          <w:spacing w:val="-5"/>
          <w:sz w:val="20"/>
        </w:rPr>
        <w:t> </w:t>
      </w:r>
      <w:r>
        <w:rPr>
          <w:sz w:val="20"/>
        </w:rPr>
        <w:t>Page,</w:t>
      </w:r>
      <w:r>
        <w:rPr>
          <w:spacing w:val="-6"/>
          <w:sz w:val="20"/>
        </w:rPr>
        <w:t> </w:t>
      </w:r>
      <w:r>
        <w:rPr>
          <w:sz w:val="20"/>
        </w:rPr>
        <w:t>May</w:t>
      </w:r>
      <w:r>
        <w:rPr>
          <w:spacing w:val="-5"/>
          <w:sz w:val="20"/>
        </w:rPr>
        <w:t> </w:t>
      </w:r>
      <w:r>
        <w:rPr>
          <w:sz w:val="20"/>
        </w:rPr>
        <w:t>2019)</w:t>
      </w:r>
      <w:r>
        <w:rPr>
          <w:spacing w:val="-6"/>
          <w:sz w:val="20"/>
        </w:rPr>
        <w:t> </w:t>
      </w:r>
      <w:r>
        <w:rPr>
          <w:spacing w:val="-3"/>
          <w:sz w:val="20"/>
        </w:rPr>
        <w:t>&lt;</w:t>
      </w:r>
      <w:hyperlink r:id="rId47">
        <w:r>
          <w:rPr>
            <w:spacing w:val="-3"/>
            <w:sz w:val="20"/>
          </w:rPr>
          <w:t>https://www.juriesvictoria.vic.gov.au/</w:t>
        </w:r>
      </w:hyperlink>
      <w:hyperlink r:id="rId47">
        <w:r>
          <w:rPr>
            <w:spacing w:val="-3"/>
            <w:sz w:val="20"/>
          </w:rPr>
          <w:t> </w:t>
        </w:r>
        <w:r>
          <w:rPr>
            <w:sz w:val="20"/>
          </w:rPr>
          <w:t>individuals</w:t>
        </w:r>
      </w:hyperlink>
      <w:r>
        <w:rPr>
          <w:sz w:val="20"/>
        </w:rPr>
        <w:t>&gt;</w:t>
      </w:r>
    </w:p>
    <w:p>
      <w:pPr>
        <w:pStyle w:val="ListParagraph"/>
        <w:numPr>
          <w:ilvl w:val="0"/>
          <w:numId w:val="136"/>
        </w:numPr>
        <w:tabs>
          <w:tab w:pos="1307" w:val="left" w:leader="none"/>
          <w:tab w:pos="1308" w:val="left" w:leader="none"/>
        </w:tabs>
        <w:spacing w:line="259" w:lineRule="exact" w:before="56" w:after="0"/>
        <w:ind w:left="1307" w:right="0" w:hanging="340"/>
        <w:jc w:val="left"/>
        <w:rPr>
          <w:sz w:val="20"/>
        </w:rPr>
      </w:pPr>
      <w:r>
        <w:rPr>
          <w:spacing w:val="-5"/>
          <w:sz w:val="20"/>
        </w:rPr>
        <w:t>‘Juror </w:t>
      </w:r>
      <w:r>
        <w:rPr>
          <w:sz w:val="20"/>
        </w:rPr>
        <w:t>Safety during </w:t>
      </w:r>
      <w:r>
        <w:rPr>
          <w:spacing w:val="-3"/>
          <w:sz w:val="20"/>
        </w:rPr>
        <w:t>COVID-19’, </w:t>
      </w:r>
      <w:r>
        <w:rPr>
          <w:i/>
          <w:sz w:val="20"/>
        </w:rPr>
        <w:t>Juror Portal </w:t>
      </w:r>
      <w:r>
        <w:rPr>
          <w:sz w:val="20"/>
        </w:rPr>
        <w:t>(Web Page, 16 February</w:t>
      </w:r>
      <w:r>
        <w:rPr>
          <w:spacing w:val="-18"/>
          <w:sz w:val="20"/>
        </w:rPr>
        <w:t> </w:t>
      </w:r>
      <w:r>
        <w:rPr>
          <w:sz w:val="20"/>
        </w:rPr>
        <w:t>2022)</w:t>
      </w:r>
    </w:p>
    <w:p>
      <w:pPr>
        <w:pStyle w:val="BodyText"/>
        <w:spacing w:line="259" w:lineRule="exact"/>
        <w:ind w:left="1307"/>
      </w:pPr>
      <w:r>
        <w:rPr/>
        <w:t>&lt;</w:t>
      </w:r>
      <w:hyperlink r:id="rId36">
        <w:r>
          <w:rPr/>
          <w:t>https://www.juriesvictoria.vic.gov.au/juror-safety-during-covid-19</w:t>
        </w:r>
      </w:hyperlink>
      <w:r>
        <w:rPr/>
        <w:t>&gt;</w:t>
      </w:r>
    </w:p>
    <w:p>
      <w:pPr>
        <w:pStyle w:val="ListParagraph"/>
        <w:numPr>
          <w:ilvl w:val="0"/>
          <w:numId w:val="136"/>
        </w:numPr>
        <w:tabs>
          <w:tab w:pos="1307" w:val="left" w:leader="none"/>
          <w:tab w:pos="1308" w:val="left" w:leader="none"/>
        </w:tabs>
        <w:spacing w:line="206" w:lineRule="auto" w:before="79" w:after="0"/>
        <w:ind w:left="1307" w:right="2389" w:hanging="340"/>
        <w:jc w:val="left"/>
        <w:rPr>
          <w:sz w:val="20"/>
        </w:rPr>
      </w:pPr>
      <w:r>
        <w:rPr>
          <w:i/>
          <w:spacing w:val="-7"/>
          <w:sz w:val="20"/>
        </w:rPr>
        <w:t>YouTube </w:t>
      </w:r>
      <w:r>
        <w:rPr>
          <w:sz w:val="20"/>
        </w:rPr>
        <w:t>(Web Page, 2019) </w:t>
      </w:r>
      <w:r>
        <w:rPr>
          <w:spacing w:val="-3"/>
          <w:sz w:val="20"/>
        </w:rPr>
        <w:t>&lt;</w:t>
      </w:r>
      <w:hyperlink r:id="rId48">
        <w:r>
          <w:rPr>
            <w:spacing w:val="-3"/>
            <w:sz w:val="20"/>
          </w:rPr>
          <w:t>https://www.youtube.com/channel/</w:t>
        </w:r>
      </w:hyperlink>
      <w:hyperlink r:id="rId48">
        <w:r>
          <w:rPr>
            <w:spacing w:val="-3"/>
            <w:sz w:val="20"/>
          </w:rPr>
          <w:t> UCTgVsMpocy2oeO4CPV4hexA/videos</w:t>
        </w:r>
      </w:hyperlink>
      <w:r>
        <w:rPr>
          <w:spacing w:val="-3"/>
          <w:sz w:val="20"/>
        </w:rPr>
        <w:t>&gt;</w:t>
      </w:r>
    </w:p>
    <w:p>
      <w:pPr>
        <w:spacing w:line="259" w:lineRule="exact" w:before="56"/>
        <w:ind w:left="967" w:right="0" w:firstLine="0"/>
        <w:jc w:val="left"/>
        <w:rPr>
          <w:i/>
          <w:sz w:val="20"/>
        </w:rPr>
      </w:pPr>
      <w:r>
        <w:rPr>
          <w:sz w:val="20"/>
        </w:rPr>
        <w:t>Kaiser,</w:t>
      </w:r>
      <w:r>
        <w:rPr>
          <w:spacing w:val="-7"/>
          <w:sz w:val="20"/>
        </w:rPr>
        <w:t> </w:t>
      </w:r>
      <w:r>
        <w:rPr>
          <w:sz w:val="20"/>
        </w:rPr>
        <w:t>D</w:t>
      </w:r>
      <w:r>
        <w:rPr>
          <w:spacing w:val="-6"/>
          <w:sz w:val="20"/>
        </w:rPr>
        <w:t> </w:t>
      </w:r>
      <w:r>
        <w:rPr>
          <w:sz w:val="20"/>
        </w:rPr>
        <w:t>Nolan,</w:t>
      </w:r>
      <w:r>
        <w:rPr>
          <w:spacing w:val="-7"/>
          <w:sz w:val="20"/>
        </w:rPr>
        <w:t> </w:t>
      </w:r>
      <w:r>
        <w:rPr>
          <w:spacing w:val="-3"/>
          <w:sz w:val="20"/>
        </w:rPr>
        <w:t>‘Juries,</w:t>
      </w:r>
      <w:r>
        <w:rPr>
          <w:spacing w:val="-6"/>
          <w:sz w:val="20"/>
        </w:rPr>
        <w:t> </w:t>
      </w:r>
      <w:r>
        <w:rPr>
          <w:sz w:val="20"/>
        </w:rPr>
        <w:t>Blindness,</w:t>
      </w:r>
      <w:r>
        <w:rPr>
          <w:spacing w:val="-7"/>
          <w:sz w:val="20"/>
        </w:rPr>
        <w:t> </w:t>
      </w:r>
      <w:r>
        <w:rPr>
          <w:sz w:val="20"/>
        </w:rPr>
        <w:t>and</w:t>
      </w:r>
      <w:r>
        <w:rPr>
          <w:spacing w:val="-6"/>
          <w:sz w:val="20"/>
        </w:rPr>
        <w:t> </w:t>
      </w:r>
      <w:r>
        <w:rPr>
          <w:sz w:val="20"/>
        </w:rPr>
        <w:t>the</w:t>
      </w:r>
      <w:r>
        <w:rPr>
          <w:spacing w:val="-7"/>
          <w:sz w:val="20"/>
        </w:rPr>
        <w:t> </w:t>
      </w:r>
      <w:r>
        <w:rPr>
          <w:sz w:val="20"/>
        </w:rPr>
        <w:t>Juror</w:t>
      </w:r>
      <w:r>
        <w:rPr>
          <w:spacing w:val="-6"/>
          <w:sz w:val="20"/>
        </w:rPr>
        <w:t> </w:t>
      </w:r>
      <w:r>
        <w:rPr>
          <w:sz w:val="20"/>
        </w:rPr>
        <w:t>Function’</w:t>
      </w:r>
      <w:r>
        <w:rPr>
          <w:spacing w:val="-7"/>
          <w:sz w:val="20"/>
        </w:rPr>
        <w:t> </w:t>
      </w:r>
      <w:r>
        <w:rPr>
          <w:sz w:val="20"/>
        </w:rPr>
        <w:t>(1984)</w:t>
      </w:r>
      <w:r>
        <w:rPr>
          <w:spacing w:val="-6"/>
          <w:sz w:val="20"/>
        </w:rPr>
        <w:t> </w:t>
      </w:r>
      <w:r>
        <w:rPr>
          <w:sz w:val="20"/>
        </w:rPr>
        <w:t>60(2)</w:t>
      </w:r>
      <w:r>
        <w:rPr>
          <w:spacing w:val="-7"/>
          <w:sz w:val="20"/>
        </w:rPr>
        <w:t> </w:t>
      </w:r>
      <w:r>
        <w:rPr>
          <w:i/>
          <w:sz w:val="20"/>
        </w:rPr>
        <w:t>Chicago</w:t>
      </w:r>
      <w:r>
        <w:rPr>
          <w:i/>
          <w:spacing w:val="-6"/>
          <w:sz w:val="20"/>
        </w:rPr>
        <w:t> </w:t>
      </w:r>
      <w:r>
        <w:rPr>
          <w:i/>
          <w:sz w:val="20"/>
        </w:rPr>
        <w:t>Kent</w:t>
      </w:r>
      <w:r>
        <w:rPr>
          <w:i/>
          <w:spacing w:val="-6"/>
          <w:sz w:val="20"/>
        </w:rPr>
        <w:t> </w:t>
      </w:r>
      <w:r>
        <w:rPr>
          <w:i/>
          <w:sz w:val="20"/>
        </w:rPr>
        <w:t>Law</w:t>
      </w:r>
      <w:r>
        <w:rPr>
          <w:i/>
          <w:spacing w:val="-7"/>
          <w:sz w:val="20"/>
        </w:rPr>
        <w:t> </w:t>
      </w:r>
      <w:r>
        <w:rPr>
          <w:i/>
          <w:sz w:val="20"/>
        </w:rPr>
        <w:t>Review</w:t>
      </w:r>
    </w:p>
    <w:p>
      <w:pPr>
        <w:pStyle w:val="BodyText"/>
        <w:spacing w:line="259" w:lineRule="exact"/>
        <w:ind w:left="967"/>
      </w:pPr>
      <w:r>
        <w:rPr/>
        <w:t>19</w:t>
      </w:r>
    </w:p>
    <w:p>
      <w:pPr>
        <w:spacing w:line="206" w:lineRule="auto" w:before="108"/>
        <w:ind w:left="967" w:right="425" w:firstLine="0"/>
        <w:jc w:val="left"/>
        <w:rPr>
          <w:sz w:val="20"/>
        </w:rPr>
      </w:pPr>
      <w:r>
        <w:rPr>
          <w:sz w:val="20"/>
        </w:rPr>
        <w:t>Kressel, Neil and Dorit Kressel, </w:t>
      </w:r>
      <w:r>
        <w:rPr>
          <w:i/>
          <w:sz w:val="20"/>
        </w:rPr>
        <w:t>Stack And Sway: The New Science Of Jury Consulting </w:t>
      </w:r>
      <w:r>
        <w:rPr>
          <w:sz w:val="20"/>
        </w:rPr>
        <w:t>(Basic Books, 2004)</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36"/>
        </w:rPr>
      </w:pPr>
    </w:p>
    <w:p>
      <w:pPr>
        <w:spacing w:before="0"/>
        <w:ind w:left="610" w:right="0" w:firstLine="0"/>
        <w:jc w:val="left"/>
        <w:rPr>
          <w:b/>
          <w:sz w:val="24"/>
        </w:rPr>
      </w:pPr>
      <w:r>
        <w:rPr>
          <w:b/>
          <w:color w:val="37617A"/>
          <w:sz w:val="24"/>
        </w:rPr>
        <w:t>241</w:t>
      </w:r>
    </w:p>
    <w:p>
      <w:pPr>
        <w:spacing w:after="0"/>
        <w:jc w:val="left"/>
        <w:rPr>
          <w:sz w:val="24"/>
        </w:rPr>
        <w:sectPr>
          <w:type w:val="continuous"/>
          <w:pgSz w:w="11910" w:h="16840"/>
          <w:pgMar w:top="620" w:bottom="280" w:left="620" w:right="380"/>
          <w:cols w:num="2" w:equalWidth="0">
            <w:col w:w="9647" w:space="40"/>
            <w:col w:w="1223"/>
          </w:cols>
        </w:sectPr>
      </w:pPr>
    </w:p>
    <w:p>
      <w:pPr>
        <w:pStyle w:val="BodyText"/>
        <w:rPr>
          <w:b/>
        </w:rPr>
      </w:pPr>
    </w:p>
    <w:p>
      <w:pPr>
        <w:pStyle w:val="BodyText"/>
        <w:rPr>
          <w:b/>
        </w:rPr>
      </w:pPr>
    </w:p>
    <w:p>
      <w:pPr>
        <w:pStyle w:val="BodyText"/>
        <w:rPr>
          <w:b/>
        </w:rPr>
      </w:pPr>
    </w:p>
    <w:p>
      <w:pPr>
        <w:pStyle w:val="BodyText"/>
        <w:spacing w:before="11"/>
        <w:rPr>
          <w:b/>
          <w:sz w:val="18"/>
        </w:rPr>
      </w:pPr>
    </w:p>
    <w:p>
      <w:pPr>
        <w:pStyle w:val="BodyText"/>
        <w:spacing w:line="206" w:lineRule="auto"/>
        <w:ind w:left="967" w:right="1797"/>
      </w:pPr>
      <w:r>
        <w:rPr>
          <w:spacing w:val="-3"/>
        </w:rPr>
        <w:t>Later, </w:t>
      </w:r>
      <w:r>
        <w:rPr/>
        <w:t>Naja, </w:t>
      </w:r>
      <w:r>
        <w:rPr>
          <w:spacing w:val="-3"/>
        </w:rPr>
        <w:t>‘From CODA </w:t>
      </w:r>
      <w:r>
        <w:rPr/>
        <w:t>to </w:t>
      </w:r>
      <w:r>
        <w:rPr>
          <w:spacing w:val="-3"/>
        </w:rPr>
        <w:t>Hawkeye, </w:t>
      </w:r>
      <w:r>
        <w:rPr/>
        <w:t>the Surge of Sign Languages on Screen Is a Sign of Better Things to Come for the Deaf Community’, </w:t>
      </w:r>
      <w:r>
        <w:rPr>
          <w:i/>
        </w:rPr>
        <w:t>The Conversation </w:t>
      </w:r>
      <w:r>
        <w:rPr/>
        <w:t>(Online, 12 April 2022)</w:t>
      </w:r>
    </w:p>
    <w:p>
      <w:pPr>
        <w:pStyle w:val="BodyText"/>
        <w:spacing w:line="206" w:lineRule="auto" w:before="3"/>
        <w:ind w:left="967" w:right="1657"/>
      </w:pPr>
      <w:r>
        <w:rPr/>
        <w:t>&lt;</w:t>
      </w:r>
      <w:hyperlink r:id="rId110">
        <w:r>
          <w:rPr/>
          <w:t>https://theconversation.com/from-coda-to-hawkeye-the-surge-of-sign-languages-on-</w:t>
        </w:r>
      </w:hyperlink>
      <w:r>
        <w:rPr/>
        <w:t> </w:t>
      </w:r>
      <w:hyperlink r:id="rId110">
        <w:r>
          <w:rPr/>
          <w:t>screen-is-a-sign-of-better-things-to-come-for-the-deaf-community-180304</w:t>
        </w:r>
      </w:hyperlink>
      <w:r>
        <w:rPr/>
        <w:t>&gt;</w:t>
      </w:r>
    </w:p>
    <w:p>
      <w:pPr>
        <w:pStyle w:val="BodyText"/>
        <w:spacing w:before="83"/>
        <w:ind w:left="967"/>
      </w:pPr>
      <w:r>
        <w:rPr/>
        <w:t>Law Council of Australia,</w:t>
      </w:r>
    </w:p>
    <w:p>
      <w:pPr>
        <w:pStyle w:val="ListParagraph"/>
        <w:numPr>
          <w:ilvl w:val="0"/>
          <w:numId w:val="137"/>
        </w:numPr>
        <w:tabs>
          <w:tab w:pos="1307" w:val="left" w:leader="none"/>
          <w:tab w:pos="1308" w:val="left" w:leader="none"/>
        </w:tabs>
        <w:spacing w:line="240" w:lineRule="auto" w:before="76" w:after="0"/>
        <w:ind w:left="967" w:right="0" w:firstLine="0"/>
        <w:jc w:val="left"/>
        <w:rPr>
          <w:sz w:val="20"/>
        </w:rPr>
      </w:pPr>
      <w:r>
        <w:rPr>
          <w:i/>
          <w:sz w:val="20"/>
        </w:rPr>
        <w:t>Introduction and Overview </w:t>
      </w:r>
      <w:r>
        <w:rPr>
          <w:sz w:val="20"/>
        </w:rPr>
        <w:t>(The Justice Project, Final Report, August</w:t>
      </w:r>
      <w:r>
        <w:rPr>
          <w:spacing w:val="-22"/>
          <w:sz w:val="20"/>
        </w:rPr>
        <w:t> </w:t>
      </w:r>
      <w:r>
        <w:rPr>
          <w:spacing w:val="-3"/>
          <w:sz w:val="20"/>
        </w:rPr>
        <w:t>2018).</w:t>
      </w:r>
    </w:p>
    <w:p>
      <w:pPr>
        <w:pStyle w:val="ListParagraph"/>
        <w:numPr>
          <w:ilvl w:val="0"/>
          <w:numId w:val="137"/>
        </w:numPr>
        <w:tabs>
          <w:tab w:pos="1307" w:val="left" w:leader="none"/>
          <w:tab w:pos="1308" w:val="left" w:leader="none"/>
        </w:tabs>
        <w:spacing w:line="292" w:lineRule="auto" w:before="48" w:after="0"/>
        <w:ind w:left="967" w:right="2798" w:firstLine="0"/>
        <w:jc w:val="left"/>
        <w:rPr>
          <w:sz w:val="20"/>
        </w:rPr>
      </w:pPr>
      <w:r>
        <w:rPr>
          <w:i/>
          <w:sz w:val="20"/>
        </w:rPr>
        <w:t>People</w:t>
      </w:r>
      <w:r>
        <w:rPr>
          <w:i/>
          <w:spacing w:val="-6"/>
          <w:sz w:val="20"/>
        </w:rPr>
        <w:t> </w:t>
      </w:r>
      <w:r>
        <w:rPr>
          <w:i/>
          <w:sz w:val="20"/>
        </w:rPr>
        <w:t>with</w:t>
      </w:r>
      <w:r>
        <w:rPr>
          <w:i/>
          <w:spacing w:val="-5"/>
          <w:sz w:val="20"/>
        </w:rPr>
        <w:t> </w:t>
      </w:r>
      <w:r>
        <w:rPr>
          <w:i/>
          <w:sz w:val="20"/>
        </w:rPr>
        <w:t>Disability</w:t>
      </w:r>
      <w:r>
        <w:rPr>
          <w:i/>
          <w:spacing w:val="-5"/>
          <w:sz w:val="20"/>
        </w:rPr>
        <w:t> </w:t>
      </w:r>
      <w:r>
        <w:rPr>
          <w:sz w:val="20"/>
        </w:rPr>
        <w:t>(The</w:t>
      </w:r>
      <w:r>
        <w:rPr>
          <w:spacing w:val="-5"/>
          <w:sz w:val="20"/>
        </w:rPr>
        <w:t> </w:t>
      </w:r>
      <w:r>
        <w:rPr>
          <w:sz w:val="20"/>
        </w:rPr>
        <w:t>Justice</w:t>
      </w:r>
      <w:r>
        <w:rPr>
          <w:spacing w:val="-6"/>
          <w:sz w:val="20"/>
        </w:rPr>
        <w:t> </w:t>
      </w:r>
      <w:r>
        <w:rPr>
          <w:sz w:val="20"/>
        </w:rPr>
        <w:t>Project,</w:t>
      </w:r>
      <w:r>
        <w:rPr>
          <w:spacing w:val="-5"/>
          <w:sz w:val="20"/>
        </w:rPr>
        <w:t> </w:t>
      </w:r>
      <w:r>
        <w:rPr>
          <w:sz w:val="20"/>
        </w:rPr>
        <w:t>Final</w:t>
      </w:r>
      <w:r>
        <w:rPr>
          <w:spacing w:val="-6"/>
          <w:sz w:val="20"/>
        </w:rPr>
        <w:t> </w:t>
      </w:r>
      <w:r>
        <w:rPr>
          <w:sz w:val="20"/>
        </w:rPr>
        <w:t>Report</w:t>
      </w:r>
      <w:r>
        <w:rPr>
          <w:spacing w:val="-5"/>
          <w:sz w:val="20"/>
        </w:rPr>
        <w:t> </w:t>
      </w:r>
      <w:r>
        <w:rPr>
          <w:sz w:val="20"/>
        </w:rPr>
        <w:t>Part</w:t>
      </w:r>
      <w:r>
        <w:rPr>
          <w:spacing w:val="-6"/>
          <w:sz w:val="20"/>
        </w:rPr>
        <w:t> </w:t>
      </w:r>
      <w:r>
        <w:rPr>
          <w:sz w:val="20"/>
        </w:rPr>
        <w:t>1,</w:t>
      </w:r>
      <w:r>
        <w:rPr>
          <w:spacing w:val="-5"/>
          <w:sz w:val="20"/>
        </w:rPr>
        <w:t> </w:t>
      </w:r>
      <w:r>
        <w:rPr>
          <w:sz w:val="20"/>
        </w:rPr>
        <w:t>August</w:t>
      </w:r>
      <w:r>
        <w:rPr>
          <w:spacing w:val="-6"/>
          <w:sz w:val="20"/>
        </w:rPr>
        <w:t> </w:t>
      </w:r>
      <w:r>
        <w:rPr>
          <w:sz w:val="20"/>
        </w:rPr>
        <w:t>2018) Law Reform Commission (Ireland), </w:t>
      </w:r>
      <w:r>
        <w:rPr>
          <w:i/>
          <w:sz w:val="20"/>
        </w:rPr>
        <w:t>Jury Service </w:t>
      </w:r>
      <w:r>
        <w:rPr>
          <w:sz w:val="20"/>
        </w:rPr>
        <w:t>(Report No </w:t>
      </w:r>
      <w:r>
        <w:rPr>
          <w:spacing w:val="-8"/>
          <w:sz w:val="20"/>
        </w:rPr>
        <w:t>107, </w:t>
      </w:r>
      <w:r>
        <w:rPr>
          <w:sz w:val="20"/>
        </w:rPr>
        <w:t>April 2013) Law Reform Commission of </w:t>
      </w:r>
      <w:r>
        <w:rPr>
          <w:spacing w:val="-3"/>
          <w:sz w:val="20"/>
        </w:rPr>
        <w:t>Western</w:t>
      </w:r>
      <w:r>
        <w:rPr>
          <w:spacing w:val="-11"/>
          <w:sz w:val="20"/>
        </w:rPr>
        <w:t> </w:t>
      </w:r>
      <w:r>
        <w:rPr>
          <w:sz w:val="20"/>
        </w:rPr>
        <w:t>Australia,</w:t>
      </w:r>
    </w:p>
    <w:p>
      <w:pPr>
        <w:pStyle w:val="ListParagraph"/>
        <w:numPr>
          <w:ilvl w:val="0"/>
          <w:numId w:val="137"/>
        </w:numPr>
        <w:tabs>
          <w:tab w:pos="1307" w:val="left" w:leader="none"/>
          <w:tab w:pos="1308" w:val="left" w:leader="none"/>
        </w:tabs>
        <w:spacing w:line="240" w:lineRule="auto" w:before="15" w:after="0"/>
        <w:ind w:left="1307" w:right="0" w:hanging="340"/>
        <w:jc w:val="left"/>
        <w:rPr>
          <w:sz w:val="20"/>
        </w:rPr>
      </w:pPr>
      <w:r>
        <w:rPr>
          <w:i/>
          <w:sz w:val="20"/>
        </w:rPr>
        <w:t>Eligibility and Exemption of Jurors </w:t>
      </w:r>
      <w:r>
        <w:rPr>
          <w:sz w:val="20"/>
        </w:rPr>
        <w:t>(Discussion Paper Project No 99, September</w:t>
      </w:r>
      <w:r>
        <w:rPr>
          <w:spacing w:val="-29"/>
          <w:sz w:val="20"/>
        </w:rPr>
        <w:t> </w:t>
      </w:r>
      <w:r>
        <w:rPr>
          <w:sz w:val="20"/>
        </w:rPr>
        <w:t>2009)</w:t>
      </w:r>
    </w:p>
    <w:p>
      <w:pPr>
        <w:pStyle w:val="ListParagraph"/>
        <w:numPr>
          <w:ilvl w:val="0"/>
          <w:numId w:val="137"/>
        </w:numPr>
        <w:tabs>
          <w:tab w:pos="1307" w:val="left" w:leader="none"/>
          <w:tab w:pos="1308" w:val="left" w:leader="none"/>
        </w:tabs>
        <w:spacing w:line="280" w:lineRule="auto" w:before="48" w:after="0"/>
        <w:ind w:left="967" w:right="2107" w:firstLine="0"/>
        <w:jc w:val="left"/>
        <w:rPr>
          <w:sz w:val="20"/>
        </w:rPr>
      </w:pPr>
      <w:r>
        <w:rPr>
          <w:i/>
          <w:sz w:val="20"/>
        </w:rPr>
        <w:t>Selection,</w:t>
      </w:r>
      <w:r>
        <w:rPr>
          <w:i/>
          <w:spacing w:val="-6"/>
          <w:sz w:val="20"/>
        </w:rPr>
        <w:t> </w:t>
      </w:r>
      <w:r>
        <w:rPr>
          <w:i/>
          <w:sz w:val="20"/>
        </w:rPr>
        <w:t>Eligibility</w:t>
      </w:r>
      <w:r>
        <w:rPr>
          <w:i/>
          <w:spacing w:val="-5"/>
          <w:sz w:val="20"/>
        </w:rPr>
        <w:t> </w:t>
      </w:r>
      <w:r>
        <w:rPr>
          <w:i/>
          <w:sz w:val="20"/>
        </w:rPr>
        <w:t>and</w:t>
      </w:r>
      <w:r>
        <w:rPr>
          <w:i/>
          <w:spacing w:val="-5"/>
          <w:sz w:val="20"/>
        </w:rPr>
        <w:t> </w:t>
      </w:r>
      <w:r>
        <w:rPr>
          <w:i/>
          <w:sz w:val="20"/>
        </w:rPr>
        <w:t>Exemption</w:t>
      </w:r>
      <w:r>
        <w:rPr>
          <w:i/>
          <w:spacing w:val="-5"/>
          <w:sz w:val="20"/>
        </w:rPr>
        <w:t> </w:t>
      </w:r>
      <w:r>
        <w:rPr>
          <w:i/>
          <w:sz w:val="20"/>
        </w:rPr>
        <w:t>of</w:t>
      </w:r>
      <w:r>
        <w:rPr>
          <w:i/>
          <w:spacing w:val="-4"/>
          <w:sz w:val="20"/>
        </w:rPr>
        <w:t> </w:t>
      </w:r>
      <w:r>
        <w:rPr>
          <w:i/>
          <w:sz w:val="20"/>
        </w:rPr>
        <w:t>Jurors</w:t>
      </w:r>
      <w:r>
        <w:rPr>
          <w:i/>
          <w:spacing w:val="-4"/>
          <w:sz w:val="20"/>
        </w:rPr>
        <w:t> </w:t>
      </w:r>
      <w:r>
        <w:rPr>
          <w:sz w:val="20"/>
        </w:rPr>
        <w:t>(Final</w:t>
      </w:r>
      <w:r>
        <w:rPr>
          <w:spacing w:val="-5"/>
          <w:sz w:val="20"/>
        </w:rPr>
        <w:t> </w:t>
      </w:r>
      <w:r>
        <w:rPr>
          <w:sz w:val="20"/>
        </w:rPr>
        <w:t>Report</w:t>
      </w:r>
      <w:r>
        <w:rPr>
          <w:spacing w:val="-5"/>
          <w:sz w:val="20"/>
        </w:rPr>
        <w:t> </w:t>
      </w:r>
      <w:r>
        <w:rPr>
          <w:sz w:val="20"/>
        </w:rPr>
        <w:t>Project</w:t>
      </w:r>
      <w:r>
        <w:rPr>
          <w:spacing w:val="-5"/>
          <w:sz w:val="20"/>
        </w:rPr>
        <w:t> </w:t>
      </w:r>
      <w:r>
        <w:rPr>
          <w:sz w:val="20"/>
        </w:rPr>
        <w:t>No</w:t>
      </w:r>
      <w:r>
        <w:rPr>
          <w:spacing w:val="-5"/>
          <w:sz w:val="20"/>
        </w:rPr>
        <w:t> </w:t>
      </w:r>
      <w:r>
        <w:rPr>
          <w:sz w:val="20"/>
        </w:rPr>
        <w:t>99,</w:t>
      </w:r>
      <w:r>
        <w:rPr>
          <w:spacing w:val="-5"/>
          <w:sz w:val="20"/>
        </w:rPr>
        <w:t> </w:t>
      </w:r>
      <w:r>
        <w:rPr>
          <w:sz w:val="20"/>
        </w:rPr>
        <w:t>April</w:t>
      </w:r>
      <w:r>
        <w:rPr>
          <w:spacing w:val="-4"/>
          <w:sz w:val="20"/>
        </w:rPr>
        <w:t> </w:t>
      </w:r>
      <w:r>
        <w:rPr>
          <w:spacing w:val="-3"/>
          <w:sz w:val="20"/>
        </w:rPr>
        <w:t>2010) </w:t>
      </w:r>
      <w:r>
        <w:rPr>
          <w:sz w:val="20"/>
        </w:rPr>
        <w:t>Law Reform Committee, Parliament of</w:t>
      </w:r>
      <w:r>
        <w:rPr>
          <w:spacing w:val="-13"/>
          <w:sz w:val="20"/>
        </w:rPr>
        <w:t> </w:t>
      </w:r>
      <w:r>
        <w:rPr>
          <w:sz w:val="20"/>
        </w:rPr>
        <w:t>Victoria,</w:t>
      </w:r>
    </w:p>
    <w:p>
      <w:pPr>
        <w:pStyle w:val="ListParagraph"/>
        <w:numPr>
          <w:ilvl w:val="0"/>
          <w:numId w:val="137"/>
        </w:numPr>
        <w:tabs>
          <w:tab w:pos="1307" w:val="left" w:leader="none"/>
          <w:tab w:pos="1308" w:val="left" w:leader="none"/>
        </w:tabs>
        <w:spacing w:line="240" w:lineRule="auto" w:before="29" w:after="0"/>
        <w:ind w:left="1307" w:right="0" w:hanging="340"/>
        <w:jc w:val="left"/>
        <w:rPr>
          <w:sz w:val="20"/>
        </w:rPr>
      </w:pPr>
      <w:r>
        <w:rPr>
          <w:i/>
          <w:sz w:val="20"/>
        </w:rPr>
        <w:t>Jury Service in Victoria </w:t>
      </w:r>
      <w:r>
        <w:rPr>
          <w:sz w:val="20"/>
        </w:rPr>
        <w:t>(Final Report, December</w:t>
      </w:r>
      <w:r>
        <w:rPr>
          <w:spacing w:val="-35"/>
          <w:sz w:val="20"/>
        </w:rPr>
        <w:t> </w:t>
      </w:r>
      <w:r>
        <w:rPr>
          <w:sz w:val="20"/>
        </w:rPr>
        <w:t>1997)</w:t>
      </w:r>
    </w:p>
    <w:p>
      <w:pPr>
        <w:pStyle w:val="ListParagraph"/>
        <w:numPr>
          <w:ilvl w:val="0"/>
          <w:numId w:val="137"/>
        </w:numPr>
        <w:tabs>
          <w:tab w:pos="1307" w:val="left" w:leader="none"/>
          <w:tab w:pos="1308" w:val="left" w:leader="none"/>
        </w:tabs>
        <w:spacing w:line="240" w:lineRule="auto" w:before="47" w:after="0"/>
        <w:ind w:left="1307" w:right="0" w:hanging="340"/>
        <w:jc w:val="left"/>
        <w:rPr>
          <w:sz w:val="20"/>
        </w:rPr>
      </w:pPr>
      <w:r>
        <w:rPr>
          <w:i/>
          <w:sz w:val="20"/>
        </w:rPr>
        <w:t>Jury Service in Victoria </w:t>
      </w:r>
      <w:r>
        <w:rPr>
          <w:sz w:val="20"/>
        </w:rPr>
        <w:t>(Final Report, December</w:t>
      </w:r>
      <w:r>
        <w:rPr>
          <w:spacing w:val="-26"/>
          <w:sz w:val="20"/>
        </w:rPr>
        <w:t> </w:t>
      </w:r>
      <w:r>
        <w:rPr>
          <w:sz w:val="20"/>
        </w:rPr>
        <w:t>1996)</w:t>
      </w:r>
    </w:p>
    <w:p>
      <w:pPr>
        <w:pStyle w:val="ListParagraph"/>
        <w:numPr>
          <w:ilvl w:val="0"/>
          <w:numId w:val="137"/>
        </w:numPr>
        <w:tabs>
          <w:tab w:pos="1307" w:val="left" w:leader="none"/>
          <w:tab w:pos="1308" w:val="left" w:leader="none"/>
        </w:tabs>
        <w:spacing w:line="240" w:lineRule="auto" w:before="48" w:after="0"/>
        <w:ind w:left="1307" w:right="0" w:hanging="340"/>
        <w:jc w:val="left"/>
        <w:rPr>
          <w:sz w:val="20"/>
        </w:rPr>
      </w:pPr>
      <w:r>
        <w:rPr>
          <w:i/>
          <w:sz w:val="20"/>
        </w:rPr>
        <w:t>Jury Service in Victoria </w:t>
      </w:r>
      <w:r>
        <w:rPr>
          <w:sz w:val="20"/>
        </w:rPr>
        <w:t>(Issues Paper No 1, November</w:t>
      </w:r>
      <w:r>
        <w:rPr>
          <w:spacing w:val="-19"/>
          <w:sz w:val="20"/>
        </w:rPr>
        <w:t> </w:t>
      </w:r>
      <w:r>
        <w:rPr>
          <w:sz w:val="20"/>
        </w:rPr>
        <w:t>1994)</w:t>
      </w:r>
    </w:p>
    <w:p>
      <w:pPr>
        <w:spacing w:line="206" w:lineRule="auto" w:before="79"/>
        <w:ind w:left="967" w:right="1277" w:firstLine="0"/>
        <w:jc w:val="left"/>
        <w:rPr>
          <w:sz w:val="20"/>
        </w:rPr>
      </w:pPr>
      <w:r>
        <w:rPr>
          <w:sz w:val="20"/>
        </w:rPr>
        <w:t>Lempert,</w:t>
      </w:r>
      <w:r>
        <w:rPr>
          <w:spacing w:val="-5"/>
          <w:sz w:val="20"/>
        </w:rPr>
        <w:t> </w:t>
      </w:r>
      <w:r>
        <w:rPr>
          <w:sz w:val="20"/>
        </w:rPr>
        <w:t>Richard,</w:t>
      </w:r>
      <w:r>
        <w:rPr>
          <w:spacing w:val="-5"/>
          <w:sz w:val="20"/>
        </w:rPr>
        <w:t> </w:t>
      </w:r>
      <w:r>
        <w:rPr>
          <w:sz w:val="20"/>
        </w:rPr>
        <w:t>‘The</w:t>
      </w:r>
      <w:r>
        <w:rPr>
          <w:spacing w:val="-5"/>
          <w:sz w:val="20"/>
        </w:rPr>
        <w:t> </w:t>
      </w:r>
      <w:r>
        <w:rPr>
          <w:sz w:val="20"/>
        </w:rPr>
        <w:t>American</w:t>
      </w:r>
      <w:r>
        <w:rPr>
          <w:spacing w:val="-5"/>
          <w:sz w:val="20"/>
        </w:rPr>
        <w:t> </w:t>
      </w:r>
      <w:r>
        <w:rPr>
          <w:sz w:val="20"/>
        </w:rPr>
        <w:t>Jury</w:t>
      </w:r>
      <w:r>
        <w:rPr>
          <w:spacing w:val="-5"/>
          <w:sz w:val="20"/>
        </w:rPr>
        <w:t> </w:t>
      </w:r>
      <w:r>
        <w:rPr>
          <w:sz w:val="20"/>
        </w:rPr>
        <w:t>System:</w:t>
      </w:r>
      <w:r>
        <w:rPr>
          <w:spacing w:val="-5"/>
          <w:sz w:val="20"/>
        </w:rPr>
        <w:t> </w:t>
      </w:r>
      <w:r>
        <w:rPr>
          <w:sz w:val="20"/>
        </w:rPr>
        <w:t>A</w:t>
      </w:r>
      <w:r>
        <w:rPr>
          <w:spacing w:val="-5"/>
          <w:sz w:val="20"/>
        </w:rPr>
        <w:t> </w:t>
      </w:r>
      <w:r>
        <w:rPr>
          <w:sz w:val="20"/>
        </w:rPr>
        <w:t>Synthetic</w:t>
      </w:r>
      <w:r>
        <w:rPr>
          <w:spacing w:val="-5"/>
          <w:sz w:val="20"/>
        </w:rPr>
        <w:t> </w:t>
      </w:r>
      <w:r>
        <w:rPr>
          <w:sz w:val="20"/>
        </w:rPr>
        <w:t>Overview’</w:t>
      </w:r>
      <w:r>
        <w:rPr>
          <w:spacing w:val="-5"/>
          <w:sz w:val="20"/>
        </w:rPr>
        <w:t> </w:t>
      </w:r>
      <w:r>
        <w:rPr>
          <w:sz w:val="20"/>
        </w:rPr>
        <w:t>(2015)</w:t>
      </w:r>
      <w:r>
        <w:rPr>
          <w:spacing w:val="-4"/>
          <w:sz w:val="20"/>
        </w:rPr>
        <w:t> </w:t>
      </w:r>
      <w:r>
        <w:rPr>
          <w:sz w:val="20"/>
        </w:rPr>
        <w:t>90(3)</w:t>
      </w:r>
      <w:r>
        <w:rPr>
          <w:spacing w:val="-5"/>
          <w:sz w:val="20"/>
        </w:rPr>
        <w:t> </w:t>
      </w:r>
      <w:r>
        <w:rPr>
          <w:i/>
          <w:sz w:val="20"/>
        </w:rPr>
        <w:t>Chicago</w:t>
      </w:r>
      <w:r>
        <w:rPr>
          <w:i/>
          <w:spacing w:val="-5"/>
          <w:sz w:val="20"/>
        </w:rPr>
        <w:t> </w:t>
      </w:r>
      <w:r>
        <w:rPr>
          <w:i/>
          <w:sz w:val="20"/>
        </w:rPr>
        <w:t>Kent </w:t>
      </w:r>
      <w:r>
        <w:rPr>
          <w:i/>
          <w:spacing w:val="-3"/>
          <w:sz w:val="20"/>
        </w:rPr>
        <w:t>Law </w:t>
      </w:r>
      <w:r>
        <w:rPr>
          <w:i/>
          <w:sz w:val="20"/>
        </w:rPr>
        <w:t>Review</w:t>
      </w:r>
      <w:r>
        <w:rPr>
          <w:i/>
          <w:spacing w:val="-1"/>
          <w:sz w:val="20"/>
        </w:rPr>
        <w:t> </w:t>
      </w:r>
      <w:r>
        <w:rPr>
          <w:sz w:val="20"/>
        </w:rPr>
        <w:t>825</w:t>
      </w:r>
    </w:p>
    <w:p>
      <w:pPr>
        <w:pStyle w:val="BodyText"/>
        <w:spacing w:line="206" w:lineRule="auto" w:before="116"/>
        <w:ind w:left="967" w:right="1806"/>
      </w:pPr>
      <w:r>
        <w:rPr/>
        <w:t>Marinakis,</w:t>
      </w:r>
      <w:r>
        <w:rPr>
          <w:spacing w:val="-6"/>
        </w:rPr>
        <w:t> </w:t>
      </w:r>
      <w:r>
        <w:rPr/>
        <w:t>Christina,</w:t>
      </w:r>
      <w:r>
        <w:rPr>
          <w:spacing w:val="-6"/>
        </w:rPr>
        <w:t> </w:t>
      </w:r>
      <w:r>
        <w:rPr/>
        <w:t>‘What</w:t>
      </w:r>
      <w:r>
        <w:rPr>
          <w:spacing w:val="-5"/>
        </w:rPr>
        <w:t> </w:t>
      </w:r>
      <w:r>
        <w:rPr/>
        <w:t>Are</w:t>
      </w:r>
      <w:r>
        <w:rPr>
          <w:spacing w:val="-6"/>
        </w:rPr>
        <w:t> </w:t>
      </w:r>
      <w:r>
        <w:rPr/>
        <w:t>the</w:t>
      </w:r>
      <w:r>
        <w:rPr>
          <w:spacing w:val="-6"/>
        </w:rPr>
        <w:t> </w:t>
      </w:r>
      <w:r>
        <w:rPr/>
        <w:t>Benefits</w:t>
      </w:r>
      <w:r>
        <w:rPr>
          <w:spacing w:val="-5"/>
        </w:rPr>
        <w:t> </w:t>
      </w:r>
      <w:r>
        <w:rPr/>
        <w:t>of</w:t>
      </w:r>
      <w:r>
        <w:rPr>
          <w:spacing w:val="-6"/>
        </w:rPr>
        <w:t> </w:t>
      </w:r>
      <w:r>
        <w:rPr/>
        <w:t>Having</w:t>
      </w:r>
      <w:r>
        <w:rPr>
          <w:spacing w:val="-6"/>
        </w:rPr>
        <w:t> </w:t>
      </w:r>
      <w:r>
        <w:rPr/>
        <w:t>Diversity</w:t>
      </w:r>
      <w:r>
        <w:rPr>
          <w:spacing w:val="-5"/>
        </w:rPr>
        <w:t> </w:t>
      </w:r>
      <w:r>
        <w:rPr/>
        <w:t>in</w:t>
      </w:r>
      <w:r>
        <w:rPr>
          <w:spacing w:val="-6"/>
        </w:rPr>
        <w:t> </w:t>
      </w:r>
      <w:r>
        <w:rPr/>
        <w:t>a</w:t>
      </w:r>
      <w:r>
        <w:rPr>
          <w:spacing w:val="-6"/>
        </w:rPr>
        <w:t> </w:t>
      </w:r>
      <w:r>
        <w:rPr/>
        <w:t>Jury</w:t>
      </w:r>
      <w:r>
        <w:rPr>
          <w:spacing w:val="-5"/>
        </w:rPr>
        <w:t> </w:t>
      </w:r>
      <w:r>
        <w:rPr/>
        <w:t>Panel?’,</w:t>
      </w:r>
      <w:r>
        <w:rPr>
          <w:spacing w:val="-6"/>
        </w:rPr>
        <w:t> </w:t>
      </w:r>
      <w:r>
        <w:rPr>
          <w:i/>
        </w:rPr>
        <w:t>Litigation </w:t>
      </w:r>
      <w:r>
        <w:rPr>
          <w:i/>
        </w:rPr>
        <w:t>Insights </w:t>
      </w:r>
      <w:r>
        <w:rPr/>
        <w:t>(Blog Post, 30 September 2015) &lt;</w:t>
      </w:r>
      <w:hyperlink r:id="rId138">
        <w:r>
          <w:rPr/>
          <w:t>https://www.litigationinsights.com/benefits-</w:t>
        </w:r>
      </w:hyperlink>
      <w:r>
        <w:rPr/>
        <w:t> </w:t>
      </w:r>
      <w:hyperlink r:id="rId138">
        <w:r>
          <w:rPr/>
          <w:t>diversity-jury/</w:t>
        </w:r>
      </w:hyperlink>
      <w:r>
        <w:rPr/>
        <w:t>&gt;</w:t>
      </w:r>
    </w:p>
    <w:p>
      <w:pPr>
        <w:spacing w:line="206" w:lineRule="auto" w:before="117"/>
        <w:ind w:left="967" w:right="1335" w:firstLine="0"/>
        <w:jc w:val="left"/>
        <w:rPr>
          <w:sz w:val="20"/>
        </w:rPr>
      </w:pPr>
      <w:r>
        <w:rPr>
          <w:sz w:val="20"/>
        </w:rPr>
        <w:t>Matthews, </w:t>
      </w:r>
      <w:r>
        <w:rPr>
          <w:spacing w:val="-3"/>
          <w:sz w:val="20"/>
        </w:rPr>
        <w:t>Roger, </w:t>
      </w:r>
      <w:r>
        <w:rPr>
          <w:spacing w:val="-5"/>
          <w:sz w:val="20"/>
        </w:rPr>
        <w:t>Lyn </w:t>
      </w:r>
      <w:r>
        <w:rPr>
          <w:sz w:val="20"/>
        </w:rPr>
        <w:t>Hancock and Daniel Briggs, </w:t>
      </w:r>
      <w:r>
        <w:rPr>
          <w:i/>
          <w:sz w:val="20"/>
        </w:rPr>
        <w:t>Juror’s Perceptions, Understanding and </w:t>
      </w:r>
      <w:r>
        <w:rPr>
          <w:i/>
          <w:sz w:val="20"/>
        </w:rPr>
        <w:t>Confidence and Satisfaction in the Jury </w:t>
      </w:r>
      <w:r>
        <w:rPr>
          <w:i/>
          <w:spacing w:val="-3"/>
          <w:sz w:val="20"/>
        </w:rPr>
        <w:t>System: </w:t>
      </w:r>
      <w:r>
        <w:rPr>
          <w:i/>
          <w:sz w:val="20"/>
        </w:rPr>
        <w:t>A Study in Six Courts </w:t>
      </w:r>
      <w:r>
        <w:rPr>
          <w:sz w:val="20"/>
        </w:rPr>
        <w:t>(Online Report No 05/04, Home Office UK, 2004) </w:t>
      </w:r>
      <w:r>
        <w:rPr>
          <w:spacing w:val="-3"/>
          <w:sz w:val="20"/>
        </w:rPr>
        <w:t>&lt;</w:t>
      </w:r>
      <w:hyperlink r:id="rId114">
        <w:r>
          <w:rPr>
            <w:spacing w:val="-3"/>
            <w:sz w:val="20"/>
          </w:rPr>
          <w:t>https://webarchive.nationalarchives.gov.uk/ukgwa/20110218141448/</w:t>
        </w:r>
      </w:hyperlink>
      <w:r>
        <w:rPr>
          <w:spacing w:val="-3"/>
          <w:sz w:val="20"/>
        </w:rPr>
        <w:t> </w:t>
      </w:r>
      <w:hyperlink r:id="rId114">
        <w:r>
          <w:rPr>
            <w:spacing w:val="-3"/>
            <w:sz w:val="20"/>
          </w:rPr>
          <w:t>http</w:t>
        </w:r>
      </w:hyperlink>
      <w:r>
        <w:rPr>
          <w:spacing w:val="-3"/>
          <w:sz w:val="20"/>
        </w:rPr>
        <w:t>://</w:t>
      </w:r>
      <w:hyperlink r:id="rId114">
        <w:r>
          <w:rPr>
            <w:spacing w:val="-3"/>
            <w:sz w:val="20"/>
          </w:rPr>
          <w:t>rds.homeoffice.gov.uk/rds/pdfs2/rdsolr0504.pdf</w:t>
        </w:r>
      </w:hyperlink>
      <w:r>
        <w:rPr>
          <w:spacing w:val="-3"/>
          <w:sz w:val="20"/>
        </w:rPr>
        <w:t>&gt;</w:t>
      </w:r>
    </w:p>
    <w:p>
      <w:pPr>
        <w:pStyle w:val="BodyText"/>
        <w:spacing w:before="87"/>
        <w:ind w:left="967"/>
      </w:pPr>
      <w:r>
        <w:rPr/>
        <w:t>McCallum, Ron,</w:t>
      </w:r>
    </w:p>
    <w:p>
      <w:pPr>
        <w:pStyle w:val="ListParagraph"/>
        <w:numPr>
          <w:ilvl w:val="0"/>
          <w:numId w:val="137"/>
        </w:numPr>
        <w:tabs>
          <w:tab w:pos="1307" w:val="left" w:leader="none"/>
          <w:tab w:pos="1308" w:val="left" w:leader="none"/>
        </w:tabs>
        <w:spacing w:line="206" w:lineRule="auto" w:before="108" w:after="0"/>
        <w:ind w:left="1307" w:right="1419" w:hanging="340"/>
        <w:jc w:val="left"/>
        <w:rPr>
          <w:sz w:val="20"/>
        </w:rPr>
      </w:pPr>
      <w:r>
        <w:rPr>
          <w:sz w:val="20"/>
        </w:rPr>
        <w:t>‘“Nothing About Us Without </w:t>
      </w:r>
      <w:r>
        <w:rPr>
          <w:spacing w:val="-4"/>
          <w:sz w:val="20"/>
        </w:rPr>
        <w:t>Us”: </w:t>
      </w:r>
      <w:r>
        <w:rPr>
          <w:sz w:val="20"/>
        </w:rPr>
        <w:t>National Responses to the CRPD Six </w:t>
      </w:r>
      <w:r>
        <w:rPr>
          <w:spacing w:val="-4"/>
          <w:sz w:val="20"/>
        </w:rPr>
        <w:t>Years </w:t>
      </w:r>
      <w:r>
        <w:rPr>
          <w:sz w:val="20"/>
        </w:rPr>
        <w:t>On’ (Speech, The</w:t>
      </w:r>
      <w:r>
        <w:rPr>
          <w:spacing w:val="-5"/>
          <w:sz w:val="20"/>
        </w:rPr>
        <w:t> </w:t>
      </w:r>
      <w:r>
        <w:rPr>
          <w:sz w:val="20"/>
        </w:rPr>
        <w:t>King</w:t>
      </w:r>
      <w:r>
        <w:rPr>
          <w:spacing w:val="-5"/>
          <w:sz w:val="20"/>
        </w:rPr>
        <w:t> </w:t>
      </w:r>
      <w:r>
        <w:rPr>
          <w:sz w:val="20"/>
        </w:rPr>
        <w:t>&amp;</w:t>
      </w:r>
      <w:r>
        <w:rPr>
          <w:spacing w:val="-5"/>
          <w:sz w:val="20"/>
        </w:rPr>
        <w:t> </w:t>
      </w:r>
      <w:r>
        <w:rPr>
          <w:spacing w:val="-3"/>
          <w:sz w:val="20"/>
        </w:rPr>
        <w:t>Wood</w:t>
      </w:r>
      <w:r>
        <w:rPr>
          <w:spacing w:val="-5"/>
          <w:sz w:val="20"/>
        </w:rPr>
        <w:t> </w:t>
      </w:r>
      <w:r>
        <w:rPr>
          <w:sz w:val="20"/>
        </w:rPr>
        <w:t>Mallesons</w:t>
      </w:r>
      <w:r>
        <w:rPr>
          <w:spacing w:val="-4"/>
          <w:sz w:val="20"/>
        </w:rPr>
        <w:t> </w:t>
      </w:r>
      <w:r>
        <w:rPr>
          <w:sz w:val="20"/>
        </w:rPr>
        <w:t>and</w:t>
      </w:r>
      <w:r>
        <w:rPr>
          <w:spacing w:val="-5"/>
          <w:sz w:val="20"/>
        </w:rPr>
        <w:t> </w:t>
      </w:r>
      <w:r>
        <w:rPr>
          <w:sz w:val="20"/>
        </w:rPr>
        <w:t>Castan</w:t>
      </w:r>
      <w:r>
        <w:rPr>
          <w:spacing w:val="-5"/>
          <w:sz w:val="20"/>
        </w:rPr>
        <w:t> </w:t>
      </w:r>
      <w:r>
        <w:rPr>
          <w:sz w:val="20"/>
        </w:rPr>
        <w:t>Centre</w:t>
      </w:r>
      <w:r>
        <w:rPr>
          <w:spacing w:val="-5"/>
          <w:sz w:val="20"/>
        </w:rPr>
        <w:t> </w:t>
      </w:r>
      <w:r>
        <w:rPr>
          <w:sz w:val="20"/>
        </w:rPr>
        <w:t>Annual</w:t>
      </w:r>
      <w:r>
        <w:rPr>
          <w:spacing w:val="-4"/>
          <w:sz w:val="20"/>
        </w:rPr>
        <w:t> </w:t>
      </w:r>
      <w:r>
        <w:rPr>
          <w:sz w:val="20"/>
        </w:rPr>
        <w:t>Human</w:t>
      </w:r>
      <w:r>
        <w:rPr>
          <w:spacing w:val="-5"/>
          <w:sz w:val="20"/>
        </w:rPr>
        <w:t> </w:t>
      </w:r>
      <w:r>
        <w:rPr>
          <w:sz w:val="20"/>
        </w:rPr>
        <w:t>Rights</w:t>
      </w:r>
      <w:r>
        <w:rPr>
          <w:spacing w:val="-5"/>
          <w:sz w:val="20"/>
        </w:rPr>
        <w:t> </w:t>
      </w:r>
      <w:r>
        <w:rPr>
          <w:sz w:val="20"/>
        </w:rPr>
        <w:t>Lecture,</w:t>
      </w:r>
      <w:r>
        <w:rPr>
          <w:spacing w:val="-5"/>
          <w:sz w:val="20"/>
        </w:rPr>
        <w:t> </w:t>
      </w:r>
      <w:r>
        <w:rPr>
          <w:sz w:val="20"/>
        </w:rPr>
        <w:t>22</w:t>
      </w:r>
      <w:r>
        <w:rPr>
          <w:spacing w:val="-5"/>
          <w:sz w:val="20"/>
        </w:rPr>
        <w:t> </w:t>
      </w:r>
      <w:r>
        <w:rPr>
          <w:sz w:val="20"/>
        </w:rPr>
        <w:t>August 2014) </w:t>
      </w:r>
      <w:r>
        <w:rPr>
          <w:spacing w:val="-3"/>
          <w:sz w:val="20"/>
        </w:rPr>
        <w:t>&lt;</w:t>
      </w:r>
      <w:hyperlink r:id="rId92">
        <w:r>
          <w:rPr>
            <w:spacing w:val="-3"/>
            <w:sz w:val="20"/>
          </w:rPr>
          <w:t>https://www.monash.edu/__data/assets/pdf_file/0010/140986/ron-mccallums-</w:t>
        </w:r>
      </w:hyperlink>
      <w:hyperlink r:id="rId92">
        <w:r>
          <w:rPr>
            <w:spacing w:val="-3"/>
            <w:sz w:val="20"/>
          </w:rPr>
          <w:t> </w:t>
        </w:r>
        <w:r>
          <w:rPr>
            <w:sz w:val="20"/>
          </w:rPr>
          <w:t>lecture-2014.pdf</w:t>
        </w:r>
      </w:hyperlink>
      <w:r>
        <w:rPr>
          <w:sz w:val="20"/>
        </w:rPr>
        <w:t>&gt;</w:t>
      </w:r>
    </w:p>
    <w:p>
      <w:pPr>
        <w:pStyle w:val="ListParagraph"/>
        <w:numPr>
          <w:ilvl w:val="0"/>
          <w:numId w:val="137"/>
        </w:numPr>
        <w:tabs>
          <w:tab w:pos="1307" w:val="left" w:leader="none"/>
          <w:tab w:pos="1308" w:val="left" w:leader="none"/>
        </w:tabs>
        <w:spacing w:line="206" w:lineRule="auto" w:before="90" w:after="0"/>
        <w:ind w:left="1307" w:right="1396" w:hanging="340"/>
        <w:jc w:val="left"/>
        <w:rPr>
          <w:sz w:val="20"/>
        </w:rPr>
      </w:pPr>
      <w:r>
        <w:rPr>
          <w:i/>
          <w:sz w:val="20"/>
        </w:rPr>
        <w:t>The United Nations Convention on the Rights of Persons with Disabilities: An Assessment of </w:t>
      </w:r>
      <w:r>
        <w:rPr>
          <w:i/>
          <w:sz w:val="20"/>
        </w:rPr>
        <w:t>Australia’s</w:t>
      </w:r>
      <w:r>
        <w:rPr>
          <w:i/>
          <w:spacing w:val="-9"/>
          <w:sz w:val="20"/>
        </w:rPr>
        <w:t> </w:t>
      </w:r>
      <w:r>
        <w:rPr>
          <w:i/>
          <w:sz w:val="20"/>
        </w:rPr>
        <w:t>Level</w:t>
      </w:r>
      <w:r>
        <w:rPr>
          <w:i/>
          <w:spacing w:val="-8"/>
          <w:sz w:val="20"/>
        </w:rPr>
        <w:t> </w:t>
      </w:r>
      <w:r>
        <w:rPr>
          <w:i/>
          <w:sz w:val="20"/>
        </w:rPr>
        <w:t>of</w:t>
      </w:r>
      <w:r>
        <w:rPr>
          <w:i/>
          <w:spacing w:val="-9"/>
          <w:sz w:val="20"/>
        </w:rPr>
        <w:t> </w:t>
      </w:r>
      <w:r>
        <w:rPr>
          <w:i/>
          <w:sz w:val="20"/>
        </w:rPr>
        <w:t>Compliance</w:t>
      </w:r>
      <w:r>
        <w:rPr>
          <w:i/>
          <w:spacing w:val="-8"/>
          <w:sz w:val="20"/>
        </w:rPr>
        <w:t> </w:t>
      </w:r>
      <w:r>
        <w:rPr>
          <w:sz w:val="20"/>
        </w:rPr>
        <w:t>(Research</w:t>
      </w:r>
      <w:r>
        <w:rPr>
          <w:spacing w:val="-8"/>
          <w:sz w:val="20"/>
        </w:rPr>
        <w:t> </w:t>
      </w:r>
      <w:r>
        <w:rPr>
          <w:sz w:val="20"/>
        </w:rPr>
        <w:t>Report,</w:t>
      </w:r>
      <w:r>
        <w:rPr>
          <w:spacing w:val="-9"/>
          <w:sz w:val="20"/>
        </w:rPr>
        <w:t> </w:t>
      </w:r>
      <w:r>
        <w:rPr>
          <w:spacing w:val="-3"/>
          <w:sz w:val="20"/>
        </w:rPr>
        <w:t>Royal</w:t>
      </w:r>
      <w:r>
        <w:rPr>
          <w:spacing w:val="-9"/>
          <w:sz w:val="20"/>
        </w:rPr>
        <w:t> </w:t>
      </w:r>
      <w:r>
        <w:rPr>
          <w:sz w:val="20"/>
        </w:rPr>
        <w:t>Commission</w:t>
      </w:r>
      <w:r>
        <w:rPr>
          <w:spacing w:val="-8"/>
          <w:sz w:val="20"/>
        </w:rPr>
        <w:t> </w:t>
      </w:r>
      <w:r>
        <w:rPr>
          <w:sz w:val="20"/>
        </w:rPr>
        <w:t>into</w:t>
      </w:r>
      <w:r>
        <w:rPr>
          <w:spacing w:val="-9"/>
          <w:sz w:val="20"/>
        </w:rPr>
        <w:t> </w:t>
      </w:r>
      <w:r>
        <w:rPr>
          <w:sz w:val="20"/>
        </w:rPr>
        <w:t>Violence,</w:t>
      </w:r>
      <w:r>
        <w:rPr>
          <w:spacing w:val="-9"/>
          <w:sz w:val="20"/>
        </w:rPr>
        <w:t> </w:t>
      </w:r>
      <w:r>
        <w:rPr>
          <w:sz w:val="20"/>
        </w:rPr>
        <w:t>Abuse, Neglect and Exploitation of People with Disability, October</w:t>
      </w:r>
      <w:r>
        <w:rPr>
          <w:spacing w:val="-22"/>
          <w:sz w:val="20"/>
        </w:rPr>
        <w:t> </w:t>
      </w:r>
      <w:r>
        <w:rPr>
          <w:spacing w:val="-3"/>
          <w:sz w:val="20"/>
        </w:rPr>
        <w:t>2020)</w:t>
      </w:r>
    </w:p>
    <w:p>
      <w:pPr>
        <w:pStyle w:val="BodyText"/>
        <w:spacing w:line="206" w:lineRule="auto" w:before="89"/>
        <w:ind w:left="967" w:right="1205"/>
      </w:pPr>
      <w:r>
        <w:rPr/>
        <w:t>Mills, </w:t>
      </w:r>
      <w:r>
        <w:rPr>
          <w:spacing w:val="-7"/>
        </w:rPr>
        <w:t>Tammy, </w:t>
      </w:r>
      <w:r>
        <w:rPr/>
        <w:t>‘Law Reform Needed to Allow Deaf and Blind People on </w:t>
      </w:r>
      <w:r>
        <w:rPr>
          <w:spacing w:val="-3"/>
        </w:rPr>
        <w:t>Juries’, </w:t>
      </w:r>
      <w:r>
        <w:rPr>
          <w:i/>
        </w:rPr>
        <w:t>The Age </w:t>
      </w:r>
      <w:r>
        <w:rPr/>
        <w:t>(online, </w:t>
      </w:r>
      <w:r>
        <w:rPr>
          <w:spacing w:val="-5"/>
        </w:rPr>
        <w:t>17</w:t>
      </w:r>
      <w:r>
        <w:rPr>
          <w:spacing w:val="-34"/>
        </w:rPr>
        <w:t> </w:t>
      </w:r>
      <w:r>
        <w:rPr/>
        <w:t>January</w:t>
      </w:r>
      <w:r>
        <w:rPr>
          <w:spacing w:val="-34"/>
        </w:rPr>
        <w:t> </w:t>
      </w:r>
      <w:r>
        <w:rPr/>
        <w:t>2021)</w:t>
      </w:r>
      <w:r>
        <w:rPr>
          <w:spacing w:val="-33"/>
        </w:rPr>
        <w:t> </w:t>
      </w:r>
      <w:r>
        <w:rPr/>
        <w:t>&lt;</w:t>
      </w:r>
      <w:hyperlink r:id="rId29">
        <w:r>
          <w:rPr/>
          <w:t>https://www.theage.com.au/national/victoria/law-reform-needed-to-allow-</w:t>
        </w:r>
      </w:hyperlink>
      <w:r>
        <w:rPr/>
        <w:t> </w:t>
      </w:r>
      <w:hyperlink r:id="rId29">
        <w:r>
          <w:rPr/>
          <w:t>deaf-and-blind-people-on-juries-20210115-p56uav.html</w:t>
        </w:r>
      </w:hyperlink>
      <w:r>
        <w:rPr/>
        <w:t>&gt;</w:t>
      </w:r>
    </w:p>
    <w:p>
      <w:pPr>
        <w:pStyle w:val="BodyText"/>
        <w:spacing w:line="259" w:lineRule="exact" w:before="84"/>
        <w:ind w:left="967"/>
      </w:pPr>
      <w:r>
        <w:rPr/>
        <w:t>Ministry of Justice (NZ), ‘Disability Support’, </w:t>
      </w:r>
      <w:r>
        <w:rPr>
          <w:i/>
        </w:rPr>
        <w:t>Jury Service </w:t>
      </w:r>
      <w:r>
        <w:rPr/>
        <w:t>(Web Page, 18 August 2020)</w:t>
      </w:r>
    </w:p>
    <w:p>
      <w:pPr>
        <w:pStyle w:val="BodyText"/>
        <w:spacing w:line="259" w:lineRule="exact"/>
        <w:ind w:left="967"/>
      </w:pPr>
      <w:r>
        <w:rPr/>
        <w:t>&lt;</w:t>
      </w:r>
      <w:hyperlink r:id="rId170">
        <w:r>
          <w:rPr/>
          <w:t>https://www.justice.govt.nz/courts/jury-service/disability-support/</w:t>
        </w:r>
      </w:hyperlink>
      <w:r>
        <w:rPr/>
        <w:t>&gt;</w:t>
      </w:r>
    </w:p>
    <w:p>
      <w:pPr>
        <w:pStyle w:val="BodyText"/>
        <w:spacing w:line="259" w:lineRule="exact" w:before="76"/>
        <w:ind w:left="967"/>
      </w:pPr>
      <w:r>
        <w:rPr/>
        <w:t>Ministry of Justice (UK), ‘Law Change Opens Door to Deaf Jurors’ (Press Release, 9 March 2021)</w:t>
      </w:r>
    </w:p>
    <w:p>
      <w:pPr>
        <w:pStyle w:val="BodyText"/>
        <w:spacing w:line="259" w:lineRule="exact"/>
        <w:ind w:left="967"/>
      </w:pPr>
      <w:r>
        <w:rPr/>
        <w:t>&lt;</w:t>
      </w:r>
      <w:hyperlink r:id="rId165">
        <w:r>
          <w:rPr/>
          <w:t>https://www.gov.uk/government/news/law-change-opens-door-to-deaf-jurors</w:t>
        </w:r>
      </w:hyperlink>
      <w:r>
        <w:rPr/>
        <w:t>&gt;</w:t>
      </w:r>
    </w:p>
    <w:p>
      <w:pPr>
        <w:spacing w:line="206" w:lineRule="auto" w:before="108"/>
        <w:ind w:left="967" w:right="1135" w:firstLine="0"/>
        <w:jc w:val="left"/>
        <w:rPr>
          <w:sz w:val="20"/>
        </w:rPr>
      </w:pPr>
      <w:r>
        <w:rPr>
          <w:sz w:val="20"/>
        </w:rPr>
        <w:t>Monteleone, Rodolfo, </w:t>
      </w:r>
      <w:r>
        <w:rPr>
          <w:i/>
          <w:sz w:val="20"/>
        </w:rPr>
        <w:t>Improving Efficiency and Effectiveness of the Victorian Jury System </w:t>
      </w:r>
      <w:r>
        <w:rPr>
          <w:sz w:val="20"/>
        </w:rPr>
        <w:t>(Report, Winston Churchill Trust, 3 February 2012)</w:t>
      </w:r>
    </w:p>
    <w:p>
      <w:pPr>
        <w:spacing w:line="259" w:lineRule="exact" w:before="84"/>
        <w:ind w:left="967" w:right="0" w:firstLine="0"/>
        <w:jc w:val="left"/>
        <w:rPr>
          <w:sz w:val="20"/>
        </w:rPr>
      </w:pPr>
      <w:r>
        <w:rPr>
          <w:sz w:val="20"/>
        </w:rPr>
        <w:t>Moreland City Council, ‘Make Your Business Accessible’, </w:t>
      </w:r>
      <w:r>
        <w:rPr>
          <w:i/>
          <w:sz w:val="20"/>
        </w:rPr>
        <w:t>Moreland City Council </w:t>
      </w:r>
      <w:r>
        <w:rPr>
          <w:sz w:val="20"/>
        </w:rPr>
        <w:t>(Web Page)</w:t>
      </w:r>
    </w:p>
    <w:p>
      <w:pPr>
        <w:pStyle w:val="BodyText"/>
        <w:spacing w:line="259" w:lineRule="exact"/>
        <w:ind w:left="967"/>
      </w:pPr>
      <w:r>
        <w:rPr/>
        <w:t>&lt;</w:t>
      </w:r>
      <w:hyperlink r:id="rId115">
        <w:r>
          <w:rPr/>
          <w:t>https://www.moreland.vic.gov.au/building-and-business/business/accessible-business/</w:t>
        </w:r>
      </w:hyperlink>
      <w:r>
        <w:rPr/>
        <w:t>&gt;</w:t>
      </w:r>
    </w:p>
    <w:p>
      <w:pPr>
        <w:pStyle w:val="BodyText"/>
        <w:spacing w:line="206" w:lineRule="auto" w:before="108"/>
        <w:ind w:left="967" w:right="2090"/>
      </w:pPr>
      <w:r>
        <w:rPr/>
        <w:t>Moynihan, James, ‘Blind Juror’ (2003) 46(7) </w:t>
      </w:r>
      <w:r>
        <w:rPr>
          <w:i/>
        </w:rPr>
        <w:t>Braille Monitor </w:t>
      </w:r>
      <w:r>
        <w:rPr>
          <w:spacing w:val="-4"/>
        </w:rPr>
        <w:t>&lt;</w:t>
      </w:r>
      <w:hyperlink r:id="rId160">
        <w:r>
          <w:rPr>
            <w:spacing w:val="-4"/>
          </w:rPr>
          <w:t>https://nfb.org/resources/</w:t>
        </w:r>
      </w:hyperlink>
      <w:r>
        <w:rPr>
          <w:spacing w:val="-4"/>
        </w:rPr>
        <w:t> </w:t>
      </w:r>
      <w:hyperlink r:id="rId160">
        <w:r>
          <w:rPr/>
          <w:t>publications-and-media/braille-monitor/archive</w:t>
        </w:r>
      </w:hyperlink>
      <w:r>
        <w:rPr/>
        <w:t>&gt;</w:t>
      </w:r>
    </w:p>
    <w:p>
      <w:pPr>
        <w:pStyle w:val="BodyText"/>
        <w:spacing w:line="206" w:lineRule="auto" w:before="116"/>
        <w:ind w:left="967" w:right="1707"/>
      </w:pPr>
      <w:r>
        <w:rPr/>
        <w:t>Napier, Jemina and Alastair McEwin, ‘Do Deaf People Have the Right to Serve as Jurors in Australia?’ (2015) 40(1) </w:t>
      </w:r>
      <w:r>
        <w:rPr>
          <w:i/>
        </w:rPr>
        <w:t>Alternative Law Journal </w:t>
      </w:r>
      <w:r>
        <w:rPr/>
        <w:t>23</w:t>
      </w:r>
    </w:p>
    <w:p>
      <w:pPr>
        <w:pStyle w:val="BodyText"/>
        <w:spacing w:before="6"/>
        <w:rPr>
          <w:sz w:val="16"/>
        </w:rPr>
      </w:pPr>
    </w:p>
    <w:p>
      <w:pPr>
        <w:spacing w:before="48"/>
        <w:ind w:left="100" w:right="0" w:firstLine="0"/>
        <w:jc w:val="left"/>
        <w:rPr>
          <w:b/>
          <w:sz w:val="24"/>
        </w:rPr>
      </w:pPr>
      <w:r>
        <w:rPr>
          <w:b/>
          <w:color w:val="37617A"/>
          <w:sz w:val="24"/>
        </w:rPr>
        <w:t>242</w:t>
      </w:r>
    </w:p>
    <w:p>
      <w:pPr>
        <w:spacing w:after="0"/>
        <w:jc w:val="left"/>
        <w:rPr>
          <w:sz w:val="24"/>
        </w:rPr>
        <w:sectPr>
          <w:pgSz w:w="11910" w:h="16840"/>
          <w:pgMar w:header="567" w:footer="0" w:top="860" w:bottom="280" w:left="620" w:right="380"/>
        </w:sectPr>
      </w:pPr>
    </w:p>
    <w:p>
      <w:pPr>
        <w:pStyle w:val="BodyText"/>
        <w:rPr>
          <w:b/>
        </w:rPr>
      </w:pPr>
    </w:p>
    <w:p>
      <w:pPr>
        <w:pStyle w:val="BodyText"/>
        <w:rPr>
          <w:b/>
        </w:rPr>
      </w:pPr>
    </w:p>
    <w:p>
      <w:pPr>
        <w:pStyle w:val="BodyText"/>
        <w:rPr>
          <w:b/>
        </w:rPr>
      </w:pPr>
    </w:p>
    <w:p>
      <w:pPr>
        <w:pStyle w:val="BodyText"/>
        <w:spacing w:before="6"/>
        <w:rPr>
          <w:b/>
          <w:sz w:val="14"/>
        </w:rPr>
      </w:pPr>
    </w:p>
    <w:p>
      <w:pPr>
        <w:pStyle w:val="BodyText"/>
        <w:spacing w:line="206" w:lineRule="auto" w:before="90"/>
        <w:ind w:left="967" w:right="1487"/>
      </w:pPr>
      <w:r>
        <w:rPr/>
        <w:t>Napier, Jemina, ‘Deaf or Blind People Can’t Serve on Juries—Here’s Why the Law Needs to </w:t>
      </w:r>
      <w:r>
        <w:rPr>
          <w:spacing w:val="-3"/>
        </w:rPr>
        <w:t>Change’, </w:t>
      </w:r>
      <w:r>
        <w:rPr>
          <w:i/>
        </w:rPr>
        <w:t>SBS The Feed </w:t>
      </w:r>
      <w:r>
        <w:rPr/>
        <w:t>(online, 25 October </w:t>
      </w:r>
      <w:r>
        <w:rPr>
          <w:spacing w:val="-3"/>
        </w:rPr>
        <w:t>2016) &lt;</w:t>
      </w:r>
      <w:hyperlink r:id="rId31">
        <w:r>
          <w:rPr>
            <w:spacing w:val="-3"/>
          </w:rPr>
          <w:t>https://www.sbs.com.au/news/the-feed/</w:t>
        </w:r>
      </w:hyperlink>
      <w:r>
        <w:rPr>
          <w:spacing w:val="-3"/>
        </w:rPr>
        <w:t> </w:t>
      </w:r>
      <w:hyperlink r:id="rId31">
        <w:r>
          <w:rPr/>
          <w:t>deaf-or-blind-people-can-t-serve-on-juries-here-s-why-law-needs-to-change</w:t>
        </w:r>
      </w:hyperlink>
      <w:r>
        <w:rPr/>
        <w:t>&gt;</w:t>
      </w:r>
    </w:p>
    <w:p>
      <w:pPr>
        <w:pStyle w:val="BodyText"/>
        <w:spacing w:before="85"/>
        <w:ind w:left="967"/>
      </w:pPr>
      <w:r>
        <w:rPr/>
        <w:t>Napier, Jemina and David Spencer,</w:t>
      </w:r>
    </w:p>
    <w:p>
      <w:pPr>
        <w:pStyle w:val="ListParagraph"/>
        <w:numPr>
          <w:ilvl w:val="0"/>
          <w:numId w:val="138"/>
        </w:numPr>
        <w:tabs>
          <w:tab w:pos="1307" w:val="left" w:leader="none"/>
          <w:tab w:pos="1308" w:val="left" w:leader="none"/>
        </w:tabs>
        <w:spacing w:line="206" w:lineRule="auto" w:before="108" w:after="0"/>
        <w:ind w:left="1307" w:right="1594" w:hanging="340"/>
        <w:jc w:val="left"/>
        <w:rPr>
          <w:sz w:val="20"/>
        </w:rPr>
      </w:pPr>
      <w:r>
        <w:rPr>
          <w:spacing w:val="-4"/>
          <w:sz w:val="20"/>
        </w:rPr>
        <w:t>‘Jury </w:t>
      </w:r>
      <w:r>
        <w:rPr>
          <w:sz w:val="20"/>
        </w:rPr>
        <w:t>Instructions: Comparing Hearing and Deaf Jurors’ Comprehension via Direct or Mediated</w:t>
      </w:r>
      <w:r>
        <w:rPr>
          <w:spacing w:val="-5"/>
          <w:sz w:val="20"/>
        </w:rPr>
        <w:t> </w:t>
      </w:r>
      <w:r>
        <w:rPr>
          <w:sz w:val="20"/>
        </w:rPr>
        <w:t>Communication’</w:t>
      </w:r>
      <w:r>
        <w:rPr>
          <w:spacing w:val="-4"/>
          <w:sz w:val="20"/>
        </w:rPr>
        <w:t> </w:t>
      </w:r>
      <w:r>
        <w:rPr>
          <w:spacing w:val="-3"/>
          <w:sz w:val="20"/>
        </w:rPr>
        <w:t>(2017)</w:t>
      </w:r>
      <w:r>
        <w:rPr>
          <w:spacing w:val="-4"/>
          <w:sz w:val="20"/>
        </w:rPr>
        <w:t> </w:t>
      </w:r>
      <w:r>
        <w:rPr>
          <w:sz w:val="20"/>
        </w:rPr>
        <w:t>24(1)</w:t>
      </w:r>
      <w:r>
        <w:rPr>
          <w:spacing w:val="-4"/>
          <w:sz w:val="20"/>
        </w:rPr>
        <w:t> </w:t>
      </w:r>
      <w:r>
        <w:rPr>
          <w:i/>
          <w:sz w:val="20"/>
        </w:rPr>
        <w:t>International</w:t>
      </w:r>
      <w:r>
        <w:rPr>
          <w:i/>
          <w:spacing w:val="-4"/>
          <w:sz w:val="20"/>
        </w:rPr>
        <w:t> </w:t>
      </w:r>
      <w:r>
        <w:rPr>
          <w:i/>
          <w:sz w:val="20"/>
        </w:rPr>
        <w:t>Journal</w:t>
      </w:r>
      <w:r>
        <w:rPr>
          <w:i/>
          <w:spacing w:val="-4"/>
          <w:sz w:val="20"/>
        </w:rPr>
        <w:t> </w:t>
      </w:r>
      <w:r>
        <w:rPr>
          <w:i/>
          <w:sz w:val="20"/>
        </w:rPr>
        <w:t>of</w:t>
      </w:r>
      <w:r>
        <w:rPr>
          <w:i/>
          <w:spacing w:val="-4"/>
          <w:sz w:val="20"/>
        </w:rPr>
        <w:t> </w:t>
      </w:r>
      <w:r>
        <w:rPr>
          <w:i/>
          <w:sz w:val="20"/>
        </w:rPr>
        <w:t>Speech</w:t>
      </w:r>
      <w:r>
        <w:rPr>
          <w:i/>
          <w:spacing w:val="-5"/>
          <w:sz w:val="20"/>
        </w:rPr>
        <w:t> </w:t>
      </w:r>
      <w:r>
        <w:rPr>
          <w:i/>
          <w:sz w:val="20"/>
        </w:rPr>
        <w:t>Language</w:t>
      </w:r>
      <w:r>
        <w:rPr>
          <w:i/>
          <w:spacing w:val="-4"/>
          <w:sz w:val="20"/>
        </w:rPr>
        <w:t> </w:t>
      </w:r>
      <w:r>
        <w:rPr>
          <w:i/>
          <w:sz w:val="20"/>
        </w:rPr>
        <w:t>and</w:t>
      </w:r>
      <w:r>
        <w:rPr>
          <w:i/>
          <w:spacing w:val="-5"/>
          <w:sz w:val="20"/>
        </w:rPr>
        <w:t> </w:t>
      </w:r>
      <w:r>
        <w:rPr>
          <w:i/>
          <w:sz w:val="20"/>
        </w:rPr>
        <w:t>the </w:t>
      </w:r>
      <w:r>
        <w:rPr>
          <w:i/>
          <w:spacing w:val="-3"/>
          <w:sz w:val="20"/>
        </w:rPr>
        <w:t>Law</w:t>
      </w:r>
      <w:r>
        <w:rPr>
          <w:i/>
          <w:spacing w:val="-1"/>
          <w:sz w:val="20"/>
        </w:rPr>
        <w:t> </w:t>
      </w:r>
      <w:r>
        <w:rPr>
          <w:sz w:val="20"/>
        </w:rPr>
        <w:t>1</w:t>
      </w:r>
    </w:p>
    <w:p>
      <w:pPr>
        <w:pStyle w:val="ListParagraph"/>
        <w:numPr>
          <w:ilvl w:val="0"/>
          <w:numId w:val="138"/>
        </w:numPr>
        <w:tabs>
          <w:tab w:pos="1307" w:val="left" w:leader="none"/>
          <w:tab w:pos="1308" w:val="left" w:leader="none"/>
        </w:tabs>
        <w:spacing w:line="206" w:lineRule="auto" w:before="89" w:after="0"/>
        <w:ind w:left="1307" w:right="1693" w:hanging="340"/>
        <w:jc w:val="left"/>
        <w:rPr>
          <w:sz w:val="20"/>
        </w:rPr>
      </w:pPr>
      <w:r>
        <w:rPr>
          <w:i/>
          <w:sz w:val="20"/>
        </w:rPr>
        <w:t>Guilty</w:t>
      </w:r>
      <w:r>
        <w:rPr>
          <w:i/>
          <w:spacing w:val="-4"/>
          <w:sz w:val="20"/>
        </w:rPr>
        <w:t> </w:t>
      </w:r>
      <w:r>
        <w:rPr>
          <w:i/>
          <w:sz w:val="20"/>
        </w:rPr>
        <w:t>or</w:t>
      </w:r>
      <w:r>
        <w:rPr>
          <w:i/>
          <w:spacing w:val="-4"/>
          <w:sz w:val="20"/>
        </w:rPr>
        <w:t> </w:t>
      </w:r>
      <w:r>
        <w:rPr>
          <w:i/>
          <w:sz w:val="20"/>
        </w:rPr>
        <w:t>Not</w:t>
      </w:r>
      <w:r>
        <w:rPr>
          <w:i/>
          <w:spacing w:val="-4"/>
          <w:sz w:val="20"/>
        </w:rPr>
        <w:t> </w:t>
      </w:r>
      <w:r>
        <w:rPr>
          <w:i/>
          <w:sz w:val="20"/>
        </w:rPr>
        <w:t>Guilty?</w:t>
      </w:r>
      <w:r>
        <w:rPr>
          <w:i/>
          <w:spacing w:val="-3"/>
          <w:sz w:val="20"/>
        </w:rPr>
        <w:t> </w:t>
      </w:r>
      <w:r>
        <w:rPr>
          <w:i/>
          <w:sz w:val="20"/>
        </w:rPr>
        <w:t>An</w:t>
      </w:r>
      <w:r>
        <w:rPr>
          <w:i/>
          <w:spacing w:val="-4"/>
          <w:sz w:val="20"/>
        </w:rPr>
        <w:t> </w:t>
      </w:r>
      <w:r>
        <w:rPr>
          <w:i/>
          <w:sz w:val="20"/>
        </w:rPr>
        <w:t>Investigation</w:t>
      </w:r>
      <w:r>
        <w:rPr>
          <w:i/>
          <w:spacing w:val="-4"/>
          <w:sz w:val="20"/>
        </w:rPr>
        <w:t> </w:t>
      </w:r>
      <w:r>
        <w:rPr>
          <w:i/>
          <w:sz w:val="20"/>
        </w:rPr>
        <w:t>of</w:t>
      </w:r>
      <w:r>
        <w:rPr>
          <w:i/>
          <w:spacing w:val="-4"/>
          <w:sz w:val="20"/>
        </w:rPr>
        <w:t> </w:t>
      </w:r>
      <w:r>
        <w:rPr>
          <w:i/>
          <w:sz w:val="20"/>
        </w:rPr>
        <w:t>Deaf</w:t>
      </w:r>
      <w:r>
        <w:rPr>
          <w:i/>
          <w:spacing w:val="-3"/>
          <w:sz w:val="20"/>
        </w:rPr>
        <w:t> Jurors’</w:t>
      </w:r>
      <w:r>
        <w:rPr>
          <w:i/>
          <w:spacing w:val="-4"/>
          <w:sz w:val="20"/>
        </w:rPr>
        <w:t> </w:t>
      </w:r>
      <w:r>
        <w:rPr>
          <w:i/>
          <w:sz w:val="20"/>
        </w:rPr>
        <w:t>Access</w:t>
      </w:r>
      <w:r>
        <w:rPr>
          <w:i/>
          <w:spacing w:val="-4"/>
          <w:sz w:val="20"/>
        </w:rPr>
        <w:t> </w:t>
      </w:r>
      <w:r>
        <w:rPr>
          <w:i/>
          <w:spacing w:val="-3"/>
          <w:sz w:val="20"/>
        </w:rPr>
        <w:t>to </w:t>
      </w:r>
      <w:r>
        <w:rPr>
          <w:i/>
          <w:sz w:val="20"/>
        </w:rPr>
        <w:t>Court</w:t>
      </w:r>
      <w:r>
        <w:rPr>
          <w:i/>
          <w:spacing w:val="-4"/>
          <w:sz w:val="20"/>
        </w:rPr>
        <w:t> </w:t>
      </w:r>
      <w:r>
        <w:rPr>
          <w:i/>
          <w:sz w:val="20"/>
        </w:rPr>
        <w:t>Proceedings</w:t>
      </w:r>
      <w:r>
        <w:rPr>
          <w:i/>
          <w:spacing w:val="-4"/>
          <w:sz w:val="20"/>
        </w:rPr>
        <w:t> </w:t>
      </w:r>
      <w:r>
        <w:rPr>
          <w:i/>
          <w:sz w:val="20"/>
        </w:rPr>
        <w:t>via</w:t>
      </w:r>
      <w:r>
        <w:rPr>
          <w:i/>
          <w:spacing w:val="-4"/>
          <w:sz w:val="20"/>
        </w:rPr>
        <w:t> </w:t>
      </w:r>
      <w:r>
        <w:rPr>
          <w:i/>
          <w:sz w:val="20"/>
        </w:rPr>
        <w:t>Sign </w:t>
      </w:r>
      <w:r>
        <w:rPr>
          <w:i/>
          <w:sz w:val="20"/>
        </w:rPr>
        <w:t>Language Interpreters </w:t>
      </w:r>
      <w:r>
        <w:rPr>
          <w:sz w:val="20"/>
        </w:rPr>
        <w:t>(NSWLRC Research Report No </w:t>
      </w:r>
      <w:r>
        <w:rPr>
          <w:spacing w:val="3"/>
          <w:sz w:val="20"/>
        </w:rPr>
        <w:t>14,</w:t>
      </w:r>
      <w:r>
        <w:rPr>
          <w:spacing w:val="-17"/>
          <w:sz w:val="20"/>
        </w:rPr>
        <w:t> </w:t>
      </w:r>
      <w:r>
        <w:rPr>
          <w:spacing w:val="-3"/>
          <w:sz w:val="20"/>
        </w:rPr>
        <w:t>2007)</w:t>
      </w:r>
    </w:p>
    <w:p>
      <w:pPr>
        <w:spacing w:line="206" w:lineRule="auto" w:before="87"/>
        <w:ind w:left="967" w:right="1226" w:firstLine="0"/>
        <w:jc w:val="left"/>
        <w:rPr>
          <w:sz w:val="20"/>
        </w:rPr>
      </w:pPr>
      <w:r>
        <w:rPr>
          <w:sz w:val="20"/>
        </w:rPr>
        <w:t>Napier, Jemina et al, </w:t>
      </w:r>
      <w:r>
        <w:rPr>
          <w:spacing w:val="-3"/>
          <w:sz w:val="20"/>
        </w:rPr>
        <w:t>‘Training </w:t>
      </w:r>
      <w:r>
        <w:rPr>
          <w:sz w:val="20"/>
        </w:rPr>
        <w:t>Legal Interpreters to </w:t>
      </w:r>
      <w:r>
        <w:rPr>
          <w:spacing w:val="-3"/>
          <w:sz w:val="20"/>
        </w:rPr>
        <w:t>Work </w:t>
      </w:r>
      <w:r>
        <w:rPr>
          <w:sz w:val="20"/>
        </w:rPr>
        <w:t>with Deaf Jurors’ in Jeremy L Brunson (ed), </w:t>
      </w:r>
      <w:r>
        <w:rPr>
          <w:i/>
          <w:sz w:val="20"/>
        </w:rPr>
        <w:t>Legal </w:t>
      </w:r>
      <w:r>
        <w:rPr>
          <w:i/>
          <w:spacing w:val="-3"/>
          <w:sz w:val="20"/>
        </w:rPr>
        <w:t>Interpreting—Teaching, </w:t>
      </w:r>
      <w:r>
        <w:rPr>
          <w:i/>
          <w:sz w:val="20"/>
        </w:rPr>
        <w:t>Research and Practice </w:t>
      </w:r>
      <w:r>
        <w:rPr>
          <w:sz w:val="20"/>
        </w:rPr>
        <w:t>(Gallaudet University Press, 2022)</w:t>
      </w:r>
    </w:p>
    <w:p>
      <w:pPr>
        <w:pStyle w:val="BodyText"/>
        <w:spacing w:before="84"/>
        <w:ind w:left="967"/>
      </w:pPr>
      <w:r>
        <w:rPr/>
        <w:t>National Accreditation Authority for Translators and Interpreters,</w:t>
      </w:r>
    </w:p>
    <w:p>
      <w:pPr>
        <w:pStyle w:val="ListParagraph"/>
        <w:numPr>
          <w:ilvl w:val="0"/>
          <w:numId w:val="138"/>
        </w:numPr>
        <w:tabs>
          <w:tab w:pos="1307" w:val="left" w:leader="none"/>
          <w:tab w:pos="1308" w:val="left" w:leader="none"/>
        </w:tabs>
        <w:spacing w:line="206" w:lineRule="auto" w:before="108" w:after="0"/>
        <w:ind w:left="1307" w:right="1606" w:hanging="340"/>
        <w:jc w:val="left"/>
        <w:rPr>
          <w:sz w:val="20"/>
        </w:rPr>
      </w:pPr>
      <w:r>
        <w:rPr>
          <w:spacing w:val="-3"/>
          <w:sz w:val="20"/>
        </w:rPr>
        <w:t>‘Auslan </w:t>
      </w:r>
      <w:r>
        <w:rPr>
          <w:sz w:val="20"/>
        </w:rPr>
        <w:t>Certified Specialist Legal Interpreter’, </w:t>
      </w:r>
      <w:r>
        <w:rPr>
          <w:i/>
          <w:spacing w:val="-5"/>
          <w:sz w:val="20"/>
        </w:rPr>
        <w:t>NAATI </w:t>
      </w:r>
      <w:r>
        <w:rPr>
          <w:i/>
          <w:sz w:val="20"/>
        </w:rPr>
        <w:t>National Accreditation Authority for </w:t>
      </w:r>
      <w:r>
        <w:rPr>
          <w:i/>
          <w:spacing w:val="-4"/>
          <w:sz w:val="20"/>
        </w:rPr>
        <w:t>Translators</w:t>
      </w:r>
      <w:r>
        <w:rPr>
          <w:i/>
          <w:spacing w:val="-15"/>
          <w:sz w:val="20"/>
        </w:rPr>
        <w:t> </w:t>
      </w:r>
      <w:r>
        <w:rPr>
          <w:i/>
          <w:sz w:val="20"/>
        </w:rPr>
        <w:t>and</w:t>
      </w:r>
      <w:r>
        <w:rPr>
          <w:i/>
          <w:spacing w:val="-14"/>
          <w:sz w:val="20"/>
        </w:rPr>
        <w:t> </w:t>
      </w:r>
      <w:r>
        <w:rPr>
          <w:i/>
          <w:sz w:val="20"/>
        </w:rPr>
        <w:t>Interpreters</w:t>
      </w:r>
      <w:r>
        <w:rPr>
          <w:i/>
          <w:spacing w:val="-14"/>
          <w:sz w:val="20"/>
        </w:rPr>
        <w:t> </w:t>
      </w:r>
      <w:r>
        <w:rPr>
          <w:sz w:val="20"/>
        </w:rPr>
        <w:t>(Web</w:t>
      </w:r>
      <w:r>
        <w:rPr>
          <w:spacing w:val="-14"/>
          <w:sz w:val="20"/>
        </w:rPr>
        <w:t> </w:t>
      </w:r>
      <w:r>
        <w:rPr>
          <w:sz w:val="20"/>
        </w:rPr>
        <w:t>Page)</w:t>
      </w:r>
      <w:r>
        <w:rPr>
          <w:spacing w:val="-15"/>
          <w:sz w:val="20"/>
        </w:rPr>
        <w:t> </w:t>
      </w:r>
      <w:r>
        <w:rPr>
          <w:sz w:val="20"/>
        </w:rPr>
        <w:t>&lt;</w:t>
      </w:r>
      <w:hyperlink r:id="rId225">
        <w:r>
          <w:rPr>
            <w:sz w:val="20"/>
          </w:rPr>
          <w:t>https://www.naati.com.au/become-certified/</w:t>
        </w:r>
      </w:hyperlink>
      <w:hyperlink r:id="rId225">
        <w:r>
          <w:rPr>
            <w:sz w:val="20"/>
          </w:rPr>
          <w:t> certification/auslan-certified-specialist-legal-interpreter/</w:t>
        </w:r>
      </w:hyperlink>
      <w:r>
        <w:rPr>
          <w:sz w:val="20"/>
        </w:rPr>
        <w:t>&gt;</w:t>
      </w:r>
    </w:p>
    <w:p>
      <w:pPr>
        <w:pStyle w:val="ListParagraph"/>
        <w:numPr>
          <w:ilvl w:val="0"/>
          <w:numId w:val="138"/>
        </w:numPr>
        <w:tabs>
          <w:tab w:pos="1307" w:val="left" w:leader="none"/>
          <w:tab w:pos="1308" w:val="left" w:leader="none"/>
        </w:tabs>
        <w:spacing w:line="206" w:lineRule="auto" w:before="89" w:after="0"/>
        <w:ind w:left="1307" w:right="1265" w:hanging="340"/>
        <w:jc w:val="left"/>
        <w:rPr>
          <w:sz w:val="20"/>
        </w:rPr>
      </w:pPr>
      <w:r>
        <w:rPr>
          <w:sz w:val="20"/>
        </w:rPr>
        <w:t>‘Certified Specialist Legal Interpreter’, </w:t>
      </w:r>
      <w:r>
        <w:rPr>
          <w:i/>
          <w:spacing w:val="-5"/>
          <w:sz w:val="20"/>
        </w:rPr>
        <w:t>NAATI </w:t>
      </w:r>
      <w:r>
        <w:rPr>
          <w:sz w:val="20"/>
        </w:rPr>
        <w:t>(Web Page, 2021) </w:t>
      </w:r>
      <w:r>
        <w:rPr>
          <w:spacing w:val="-3"/>
          <w:sz w:val="20"/>
        </w:rPr>
        <w:t>&lt;</w:t>
      </w:r>
      <w:hyperlink r:id="rId224">
        <w:r>
          <w:rPr>
            <w:spacing w:val="-3"/>
            <w:sz w:val="20"/>
          </w:rPr>
          <w:t>https://www.naati.com.au/</w:t>
        </w:r>
      </w:hyperlink>
      <w:hyperlink r:id="rId224">
        <w:r>
          <w:rPr>
            <w:spacing w:val="-3"/>
            <w:sz w:val="20"/>
          </w:rPr>
          <w:t> </w:t>
        </w:r>
        <w:r>
          <w:rPr>
            <w:sz w:val="20"/>
          </w:rPr>
          <w:t>become-certified/certification/certified-specialist-legal-interpreter/</w:t>
        </w:r>
      </w:hyperlink>
      <w:r>
        <w:rPr>
          <w:sz w:val="20"/>
        </w:rPr>
        <w:t>&gt;</w:t>
      </w:r>
    </w:p>
    <w:p>
      <w:pPr>
        <w:pStyle w:val="ListParagraph"/>
        <w:numPr>
          <w:ilvl w:val="0"/>
          <w:numId w:val="138"/>
        </w:numPr>
        <w:tabs>
          <w:tab w:pos="1307" w:val="left" w:leader="none"/>
          <w:tab w:pos="1308" w:val="left" w:leader="none"/>
        </w:tabs>
        <w:spacing w:line="206" w:lineRule="auto" w:before="87" w:after="0"/>
        <w:ind w:left="1307" w:right="1210" w:hanging="340"/>
        <w:jc w:val="left"/>
        <w:rPr>
          <w:sz w:val="20"/>
        </w:rPr>
      </w:pPr>
      <w:r>
        <w:rPr>
          <w:sz w:val="20"/>
        </w:rPr>
        <w:t>‘How</w:t>
      </w:r>
      <w:r>
        <w:rPr>
          <w:spacing w:val="-5"/>
          <w:sz w:val="20"/>
        </w:rPr>
        <w:t> </w:t>
      </w:r>
      <w:r>
        <w:rPr>
          <w:sz w:val="20"/>
        </w:rPr>
        <w:t>Do</w:t>
      </w:r>
      <w:r>
        <w:rPr>
          <w:spacing w:val="-4"/>
          <w:sz w:val="20"/>
        </w:rPr>
        <w:t> </w:t>
      </w:r>
      <w:r>
        <w:rPr>
          <w:sz w:val="20"/>
        </w:rPr>
        <w:t>I</w:t>
      </w:r>
      <w:r>
        <w:rPr>
          <w:spacing w:val="-5"/>
          <w:sz w:val="20"/>
        </w:rPr>
        <w:t> </w:t>
      </w:r>
      <w:r>
        <w:rPr>
          <w:sz w:val="20"/>
        </w:rPr>
        <w:t>Become</w:t>
      </w:r>
      <w:r>
        <w:rPr>
          <w:spacing w:val="-5"/>
          <w:sz w:val="20"/>
        </w:rPr>
        <w:t> </w:t>
      </w:r>
      <w:r>
        <w:rPr>
          <w:sz w:val="20"/>
        </w:rPr>
        <w:t>A</w:t>
      </w:r>
      <w:r>
        <w:rPr>
          <w:spacing w:val="-4"/>
          <w:sz w:val="20"/>
        </w:rPr>
        <w:t> </w:t>
      </w:r>
      <w:r>
        <w:rPr>
          <w:spacing w:val="-3"/>
          <w:sz w:val="20"/>
        </w:rPr>
        <w:t>Translator</w:t>
      </w:r>
      <w:r>
        <w:rPr>
          <w:spacing w:val="-5"/>
          <w:sz w:val="20"/>
        </w:rPr>
        <w:t> </w:t>
      </w:r>
      <w:r>
        <w:rPr>
          <w:sz w:val="20"/>
        </w:rPr>
        <w:t>or</w:t>
      </w:r>
      <w:r>
        <w:rPr>
          <w:spacing w:val="-4"/>
          <w:sz w:val="20"/>
        </w:rPr>
        <w:t> </w:t>
      </w:r>
      <w:r>
        <w:rPr>
          <w:sz w:val="20"/>
        </w:rPr>
        <w:t>Interpreter?’,</w:t>
      </w:r>
      <w:r>
        <w:rPr>
          <w:spacing w:val="-5"/>
          <w:sz w:val="20"/>
        </w:rPr>
        <w:t> </w:t>
      </w:r>
      <w:r>
        <w:rPr>
          <w:i/>
          <w:spacing w:val="-5"/>
          <w:sz w:val="20"/>
        </w:rPr>
        <w:t>NAATI</w:t>
      </w:r>
      <w:r>
        <w:rPr>
          <w:i/>
          <w:spacing w:val="-3"/>
          <w:sz w:val="20"/>
        </w:rPr>
        <w:t> </w:t>
      </w:r>
      <w:r>
        <w:rPr>
          <w:sz w:val="20"/>
        </w:rPr>
        <w:t>(Web</w:t>
      </w:r>
      <w:r>
        <w:rPr>
          <w:spacing w:val="-5"/>
          <w:sz w:val="20"/>
        </w:rPr>
        <w:t> </w:t>
      </w:r>
      <w:r>
        <w:rPr>
          <w:sz w:val="20"/>
        </w:rPr>
        <w:t>Page,</w:t>
      </w:r>
      <w:r>
        <w:rPr>
          <w:spacing w:val="-4"/>
          <w:sz w:val="20"/>
        </w:rPr>
        <w:t> </w:t>
      </w:r>
      <w:r>
        <w:rPr>
          <w:sz w:val="20"/>
        </w:rPr>
        <w:t>2021)</w:t>
      </w:r>
      <w:r>
        <w:rPr>
          <w:spacing w:val="-5"/>
          <w:sz w:val="20"/>
        </w:rPr>
        <w:t> </w:t>
      </w:r>
      <w:r>
        <w:rPr>
          <w:spacing w:val="-3"/>
          <w:sz w:val="20"/>
        </w:rPr>
        <w:t>&lt;</w:t>
      </w:r>
      <w:hyperlink r:id="rId220">
        <w:r>
          <w:rPr>
            <w:spacing w:val="-3"/>
            <w:sz w:val="20"/>
          </w:rPr>
          <w:t>https://www.naati.</w:t>
        </w:r>
      </w:hyperlink>
      <w:hyperlink r:id="rId220">
        <w:r>
          <w:rPr>
            <w:spacing w:val="-3"/>
            <w:sz w:val="20"/>
          </w:rPr>
          <w:t> </w:t>
        </w:r>
        <w:r>
          <w:rPr>
            <w:sz w:val="20"/>
          </w:rPr>
          <w:t>com.au/become-certified/how-do-i-become-certified/</w:t>
        </w:r>
      </w:hyperlink>
      <w:r>
        <w:rPr>
          <w:sz w:val="20"/>
        </w:rPr>
        <w:t>&gt;</w:t>
      </w:r>
    </w:p>
    <w:p>
      <w:pPr>
        <w:pStyle w:val="ListParagraph"/>
        <w:numPr>
          <w:ilvl w:val="0"/>
          <w:numId w:val="138"/>
        </w:numPr>
        <w:tabs>
          <w:tab w:pos="1307" w:val="left" w:leader="none"/>
          <w:tab w:pos="1308" w:val="left" w:leader="none"/>
        </w:tabs>
        <w:spacing w:line="240" w:lineRule="auto" w:before="56" w:after="0"/>
        <w:ind w:left="1307" w:right="0" w:hanging="340"/>
        <w:jc w:val="left"/>
        <w:rPr>
          <w:sz w:val="20"/>
        </w:rPr>
      </w:pPr>
      <w:r>
        <w:rPr>
          <w:i/>
          <w:spacing w:val="-5"/>
          <w:sz w:val="20"/>
        </w:rPr>
        <w:t>NAATI </w:t>
      </w:r>
      <w:r>
        <w:rPr>
          <w:sz w:val="20"/>
        </w:rPr>
        <w:t>(Web Page) </w:t>
      </w:r>
      <w:r>
        <w:rPr>
          <w:spacing w:val="-3"/>
          <w:sz w:val="20"/>
        </w:rPr>
        <w:t>&lt;</w:t>
      </w:r>
      <w:hyperlink r:id="rId221">
        <w:r>
          <w:rPr>
            <w:spacing w:val="-3"/>
            <w:sz w:val="20"/>
          </w:rPr>
          <w:t>https://www.naati.com.au/</w:t>
        </w:r>
      </w:hyperlink>
      <w:r>
        <w:rPr>
          <w:spacing w:val="-3"/>
          <w:sz w:val="20"/>
        </w:rPr>
        <w:t>&gt;</w:t>
      </w:r>
    </w:p>
    <w:p>
      <w:pPr>
        <w:pStyle w:val="ListParagraph"/>
        <w:numPr>
          <w:ilvl w:val="0"/>
          <w:numId w:val="138"/>
        </w:numPr>
        <w:tabs>
          <w:tab w:pos="1307" w:val="left" w:leader="none"/>
          <w:tab w:pos="1308" w:val="left" w:leader="none"/>
        </w:tabs>
        <w:spacing w:line="240" w:lineRule="auto" w:before="47" w:after="0"/>
        <w:ind w:left="1307" w:right="0" w:hanging="340"/>
        <w:jc w:val="left"/>
        <w:rPr>
          <w:sz w:val="20"/>
        </w:rPr>
      </w:pPr>
      <w:r>
        <w:rPr>
          <w:i/>
          <w:spacing w:val="-5"/>
          <w:sz w:val="20"/>
        </w:rPr>
        <w:t>NAATI </w:t>
      </w:r>
      <w:r>
        <w:rPr>
          <w:i/>
          <w:sz w:val="20"/>
        </w:rPr>
        <w:t>Recertification Professional Development Catalogue </w:t>
      </w:r>
      <w:r>
        <w:rPr>
          <w:sz w:val="20"/>
        </w:rPr>
        <w:t>(Guide,</w:t>
      </w:r>
      <w:r>
        <w:rPr>
          <w:spacing w:val="-11"/>
          <w:sz w:val="20"/>
        </w:rPr>
        <w:t> </w:t>
      </w:r>
      <w:r>
        <w:rPr>
          <w:sz w:val="20"/>
        </w:rPr>
        <w:t>2018)</w:t>
      </w:r>
    </w:p>
    <w:p>
      <w:pPr>
        <w:pStyle w:val="ListParagraph"/>
        <w:numPr>
          <w:ilvl w:val="0"/>
          <w:numId w:val="138"/>
        </w:numPr>
        <w:tabs>
          <w:tab w:pos="1307" w:val="left" w:leader="none"/>
          <w:tab w:pos="1308" w:val="left" w:leader="none"/>
        </w:tabs>
        <w:spacing w:line="206" w:lineRule="auto" w:before="80" w:after="0"/>
        <w:ind w:left="1307" w:right="1518" w:hanging="340"/>
        <w:jc w:val="left"/>
        <w:rPr>
          <w:sz w:val="20"/>
        </w:rPr>
      </w:pPr>
      <w:r>
        <w:rPr>
          <w:sz w:val="20"/>
        </w:rPr>
        <w:t>‘Step</w:t>
      </w:r>
      <w:r>
        <w:rPr>
          <w:spacing w:val="-13"/>
          <w:sz w:val="20"/>
        </w:rPr>
        <w:t> </w:t>
      </w:r>
      <w:r>
        <w:rPr>
          <w:sz w:val="20"/>
        </w:rPr>
        <w:t>3</w:t>
      </w:r>
      <w:r>
        <w:rPr>
          <w:spacing w:val="-13"/>
          <w:sz w:val="20"/>
        </w:rPr>
        <w:t> </w:t>
      </w:r>
      <w:r>
        <w:rPr>
          <w:sz w:val="20"/>
        </w:rPr>
        <w:t>A:</w:t>
      </w:r>
      <w:r>
        <w:rPr>
          <w:spacing w:val="-12"/>
          <w:sz w:val="20"/>
        </w:rPr>
        <w:t> </w:t>
      </w:r>
      <w:r>
        <w:rPr>
          <w:sz w:val="20"/>
        </w:rPr>
        <w:t>Ethical</w:t>
      </w:r>
      <w:r>
        <w:rPr>
          <w:spacing w:val="-13"/>
          <w:sz w:val="20"/>
        </w:rPr>
        <w:t> </w:t>
      </w:r>
      <w:r>
        <w:rPr>
          <w:sz w:val="20"/>
        </w:rPr>
        <w:t>Competency’,</w:t>
      </w:r>
      <w:r>
        <w:rPr>
          <w:spacing w:val="-12"/>
          <w:sz w:val="20"/>
        </w:rPr>
        <w:t> </w:t>
      </w:r>
      <w:r>
        <w:rPr>
          <w:i/>
          <w:spacing w:val="-5"/>
          <w:sz w:val="20"/>
        </w:rPr>
        <w:t>NAATI</w:t>
      </w:r>
      <w:r>
        <w:rPr>
          <w:i/>
          <w:spacing w:val="-12"/>
          <w:sz w:val="20"/>
        </w:rPr>
        <w:t> </w:t>
      </w:r>
      <w:r>
        <w:rPr>
          <w:sz w:val="20"/>
        </w:rPr>
        <w:t>(Web</w:t>
      </w:r>
      <w:r>
        <w:rPr>
          <w:spacing w:val="-12"/>
          <w:sz w:val="20"/>
        </w:rPr>
        <w:t> </w:t>
      </w:r>
      <w:r>
        <w:rPr>
          <w:sz w:val="20"/>
        </w:rPr>
        <w:t>Page)</w:t>
      </w:r>
      <w:r>
        <w:rPr>
          <w:spacing w:val="-13"/>
          <w:sz w:val="20"/>
        </w:rPr>
        <w:t> </w:t>
      </w:r>
      <w:r>
        <w:rPr>
          <w:sz w:val="20"/>
        </w:rPr>
        <w:t>&lt;</w:t>
      </w:r>
      <w:hyperlink r:id="rId226">
        <w:r>
          <w:rPr>
            <w:sz w:val="20"/>
          </w:rPr>
          <w:t>https://www.naati.com.au/become-</w:t>
        </w:r>
      </w:hyperlink>
      <w:hyperlink r:id="rId226">
        <w:r>
          <w:rPr>
            <w:sz w:val="20"/>
          </w:rPr>
          <w:t> certified/how-do-i-become-certified/ethical-competency/</w:t>
        </w:r>
      </w:hyperlink>
      <w:r>
        <w:rPr>
          <w:sz w:val="20"/>
        </w:rPr>
        <w:t>&gt;</w:t>
      </w:r>
    </w:p>
    <w:p>
      <w:pPr>
        <w:pStyle w:val="BodyText"/>
        <w:spacing w:line="206" w:lineRule="auto" w:before="87"/>
        <w:ind w:left="967" w:right="1665"/>
        <w:jc w:val="both"/>
      </w:pPr>
      <w:r>
        <w:rPr/>
        <w:t>National</w:t>
      </w:r>
      <w:r>
        <w:rPr>
          <w:spacing w:val="-5"/>
        </w:rPr>
        <w:t> </w:t>
      </w:r>
      <w:r>
        <w:rPr/>
        <w:t>Association</w:t>
      </w:r>
      <w:r>
        <w:rPr>
          <w:spacing w:val="-4"/>
        </w:rPr>
        <w:t> </w:t>
      </w:r>
      <w:r>
        <w:rPr/>
        <w:t>of</w:t>
      </w:r>
      <w:r>
        <w:rPr>
          <w:spacing w:val="-4"/>
        </w:rPr>
        <w:t> </w:t>
      </w:r>
      <w:r>
        <w:rPr/>
        <w:t>the</w:t>
      </w:r>
      <w:r>
        <w:rPr>
          <w:spacing w:val="-4"/>
        </w:rPr>
        <w:t> </w:t>
      </w:r>
      <w:r>
        <w:rPr>
          <w:spacing w:val="-3"/>
        </w:rPr>
        <w:t>Deaf,</w:t>
      </w:r>
      <w:r>
        <w:rPr>
          <w:spacing w:val="-4"/>
        </w:rPr>
        <w:t> </w:t>
      </w:r>
      <w:r>
        <w:rPr/>
        <w:t>‘Community</w:t>
      </w:r>
      <w:r>
        <w:rPr>
          <w:spacing w:val="-4"/>
        </w:rPr>
        <w:t> </w:t>
      </w:r>
      <w:r>
        <w:rPr/>
        <w:t>and</w:t>
      </w:r>
      <w:r>
        <w:rPr>
          <w:spacing w:val="-5"/>
        </w:rPr>
        <w:t> </w:t>
      </w:r>
      <w:r>
        <w:rPr>
          <w:spacing w:val="-3"/>
        </w:rPr>
        <w:t>Culture’,</w:t>
      </w:r>
      <w:r>
        <w:rPr>
          <w:spacing w:val="-4"/>
        </w:rPr>
        <w:t> </w:t>
      </w:r>
      <w:r>
        <w:rPr>
          <w:i/>
        </w:rPr>
        <w:t>National</w:t>
      </w:r>
      <w:r>
        <w:rPr>
          <w:i/>
          <w:spacing w:val="-4"/>
        </w:rPr>
        <w:t> </w:t>
      </w:r>
      <w:r>
        <w:rPr>
          <w:i/>
        </w:rPr>
        <w:t>Association</w:t>
      </w:r>
      <w:r>
        <w:rPr>
          <w:i/>
          <w:spacing w:val="-4"/>
        </w:rPr>
        <w:t> </w:t>
      </w:r>
      <w:r>
        <w:rPr>
          <w:i/>
        </w:rPr>
        <w:t>of</w:t>
      </w:r>
      <w:r>
        <w:rPr>
          <w:i/>
          <w:spacing w:val="-4"/>
        </w:rPr>
        <w:t> </w:t>
      </w:r>
      <w:r>
        <w:rPr>
          <w:i/>
        </w:rPr>
        <w:t>the</w:t>
      </w:r>
      <w:r>
        <w:rPr>
          <w:i/>
          <w:spacing w:val="-4"/>
        </w:rPr>
        <w:t> </w:t>
      </w:r>
      <w:r>
        <w:rPr>
          <w:i/>
        </w:rPr>
        <w:t>Deaf </w:t>
      </w:r>
      <w:r>
        <w:rPr/>
        <w:t>(Web Page) </w:t>
      </w:r>
      <w:r>
        <w:rPr>
          <w:spacing w:val="-3"/>
        </w:rPr>
        <w:t>&lt;</w:t>
      </w:r>
      <w:hyperlink r:id="rId32">
        <w:r>
          <w:rPr>
            <w:spacing w:val="-3"/>
          </w:rPr>
          <w:t>https://www.nad.org/resources/american-sign-language/community-and-</w:t>
        </w:r>
      </w:hyperlink>
      <w:r>
        <w:rPr>
          <w:spacing w:val="-3"/>
        </w:rPr>
        <w:t> </w:t>
      </w:r>
      <w:hyperlink r:id="rId32">
        <w:r>
          <w:rPr/>
          <w:t>culture-frequently-asked-questions/</w:t>
        </w:r>
      </w:hyperlink>
      <w:r>
        <w:rPr/>
        <w:t>&gt;</w:t>
      </w:r>
    </w:p>
    <w:p>
      <w:pPr>
        <w:spacing w:line="206" w:lineRule="auto" w:before="118"/>
        <w:ind w:left="967" w:right="1157" w:firstLine="0"/>
        <w:jc w:val="left"/>
        <w:rPr>
          <w:sz w:val="20"/>
        </w:rPr>
      </w:pPr>
      <w:r>
        <w:rPr>
          <w:sz w:val="20"/>
        </w:rPr>
        <w:t>National Center for State Courts, </w:t>
      </w:r>
      <w:r>
        <w:rPr>
          <w:i/>
          <w:sz w:val="20"/>
        </w:rPr>
        <w:t>Enforcement Activities under the Americans with Disabilities Act </w:t>
      </w:r>
      <w:r>
        <w:rPr>
          <w:i/>
          <w:sz w:val="20"/>
        </w:rPr>
        <w:t>Title II: Programs, Services and Activities of State and Local Courts 1994–2004 </w:t>
      </w:r>
      <w:r>
        <w:rPr>
          <w:sz w:val="20"/>
        </w:rPr>
        <w:t>(Report, June 2004)</w:t>
      </w:r>
    </w:p>
    <w:p>
      <w:pPr>
        <w:pStyle w:val="BodyText"/>
        <w:spacing w:line="259" w:lineRule="exact" w:before="83"/>
        <w:ind w:left="967"/>
      </w:pPr>
      <w:r>
        <w:rPr/>
        <w:t>National Disability Insurance Agency, ‘History of the NDIS’, </w:t>
      </w:r>
      <w:r>
        <w:rPr>
          <w:i/>
        </w:rPr>
        <w:t>NDIS </w:t>
      </w:r>
      <w:r>
        <w:rPr/>
        <w:t>(Web Page, 30 July 2021)</w:t>
      </w:r>
    </w:p>
    <w:p>
      <w:pPr>
        <w:pStyle w:val="BodyText"/>
        <w:spacing w:line="259" w:lineRule="exact"/>
        <w:ind w:left="967"/>
      </w:pPr>
      <w:r>
        <w:rPr/>
        <w:t>&lt;</w:t>
      </w:r>
      <w:hyperlink r:id="rId122">
        <w:r>
          <w:rPr/>
          <w:t>https://www.ndis.gov.au/about-us/history-ndis</w:t>
        </w:r>
      </w:hyperlink>
      <w:r>
        <w:rPr/>
        <w:t>&gt;</w:t>
      </w:r>
    </w:p>
    <w:p>
      <w:pPr>
        <w:pStyle w:val="BodyText"/>
        <w:spacing w:line="206" w:lineRule="auto" w:before="108"/>
        <w:ind w:left="967" w:right="1277"/>
      </w:pPr>
      <w:r>
        <w:rPr/>
        <w:t>National Federation of the Blind, National Federation of the Blind of Massachusetts, and Disability Law Centre, ‘The Right of Blind People to Serve on Juries Comes to the Court’ (2019) 62(9) </w:t>
      </w:r>
      <w:r>
        <w:rPr>
          <w:i/>
        </w:rPr>
        <w:t>Braille Monitor </w:t>
      </w:r>
      <w:r>
        <w:rPr/>
        <w:t>&lt;</w:t>
      </w:r>
      <w:hyperlink r:id="rId146">
        <w:r>
          <w:rPr/>
          <w:t>https://nfb.org/resources/publications-and-media/braille-monitor</w:t>
        </w:r>
      </w:hyperlink>
      <w:r>
        <w:rPr/>
        <w:t>&gt;</w:t>
      </w:r>
    </w:p>
    <w:p>
      <w:pPr>
        <w:spacing w:line="206" w:lineRule="auto" w:before="117"/>
        <w:ind w:left="967" w:right="1519" w:firstLine="0"/>
        <w:jc w:val="both"/>
        <w:rPr>
          <w:sz w:val="20"/>
        </w:rPr>
      </w:pPr>
      <w:r>
        <w:rPr>
          <w:sz w:val="20"/>
        </w:rPr>
        <w:t>National Institute on Deafness and Other Communication Disorders, ‘Captions For Deaf and Hard-of-Hearing</w:t>
      </w:r>
      <w:r>
        <w:rPr>
          <w:spacing w:val="-7"/>
          <w:sz w:val="20"/>
        </w:rPr>
        <w:t> </w:t>
      </w:r>
      <w:r>
        <w:rPr>
          <w:spacing w:val="-3"/>
          <w:sz w:val="20"/>
        </w:rPr>
        <w:t>Viewers’,</w:t>
      </w:r>
      <w:r>
        <w:rPr>
          <w:spacing w:val="-7"/>
          <w:sz w:val="20"/>
        </w:rPr>
        <w:t> </w:t>
      </w:r>
      <w:r>
        <w:rPr>
          <w:i/>
          <w:sz w:val="20"/>
        </w:rPr>
        <w:t>National</w:t>
      </w:r>
      <w:r>
        <w:rPr>
          <w:i/>
          <w:spacing w:val="-6"/>
          <w:sz w:val="20"/>
        </w:rPr>
        <w:t> </w:t>
      </w:r>
      <w:r>
        <w:rPr>
          <w:i/>
          <w:sz w:val="20"/>
        </w:rPr>
        <w:t>Institute</w:t>
      </w:r>
      <w:r>
        <w:rPr>
          <w:i/>
          <w:spacing w:val="-7"/>
          <w:sz w:val="20"/>
        </w:rPr>
        <w:t> </w:t>
      </w:r>
      <w:r>
        <w:rPr>
          <w:i/>
          <w:sz w:val="20"/>
        </w:rPr>
        <w:t>on</w:t>
      </w:r>
      <w:r>
        <w:rPr>
          <w:i/>
          <w:spacing w:val="-6"/>
          <w:sz w:val="20"/>
        </w:rPr>
        <w:t> </w:t>
      </w:r>
      <w:r>
        <w:rPr>
          <w:i/>
          <w:sz w:val="20"/>
        </w:rPr>
        <w:t>Deafness</w:t>
      </w:r>
      <w:r>
        <w:rPr>
          <w:i/>
          <w:spacing w:val="-8"/>
          <w:sz w:val="20"/>
        </w:rPr>
        <w:t> </w:t>
      </w:r>
      <w:r>
        <w:rPr>
          <w:i/>
          <w:sz w:val="20"/>
        </w:rPr>
        <w:t>and</w:t>
      </w:r>
      <w:r>
        <w:rPr>
          <w:i/>
          <w:spacing w:val="-6"/>
          <w:sz w:val="20"/>
        </w:rPr>
        <w:t> </w:t>
      </w:r>
      <w:r>
        <w:rPr>
          <w:i/>
          <w:sz w:val="20"/>
        </w:rPr>
        <w:t>Other</w:t>
      </w:r>
      <w:r>
        <w:rPr>
          <w:i/>
          <w:spacing w:val="-7"/>
          <w:sz w:val="20"/>
        </w:rPr>
        <w:t> </w:t>
      </w:r>
      <w:r>
        <w:rPr>
          <w:i/>
          <w:sz w:val="20"/>
        </w:rPr>
        <w:t>Communication</w:t>
      </w:r>
      <w:r>
        <w:rPr>
          <w:i/>
          <w:spacing w:val="-7"/>
          <w:sz w:val="20"/>
        </w:rPr>
        <w:t> </w:t>
      </w:r>
      <w:r>
        <w:rPr>
          <w:i/>
          <w:sz w:val="20"/>
        </w:rPr>
        <w:t>Disorders </w:t>
      </w:r>
      <w:r>
        <w:rPr>
          <w:spacing w:val="-1"/>
          <w:w w:val="95"/>
          <w:sz w:val="20"/>
        </w:rPr>
        <w:t>(Web </w:t>
      </w:r>
      <w:r>
        <w:rPr>
          <w:w w:val="95"/>
          <w:sz w:val="20"/>
        </w:rPr>
        <w:t>Page)</w:t>
      </w:r>
      <w:r>
        <w:rPr>
          <w:spacing w:val="23"/>
          <w:w w:val="95"/>
          <w:sz w:val="20"/>
        </w:rPr>
        <w:t> </w:t>
      </w:r>
      <w:r>
        <w:rPr>
          <w:w w:val="95"/>
          <w:sz w:val="20"/>
        </w:rPr>
        <w:t>&lt;</w:t>
      </w:r>
      <w:hyperlink r:id="rId196">
        <w:r>
          <w:rPr>
            <w:w w:val="95"/>
            <w:sz w:val="20"/>
          </w:rPr>
          <w:t>https://www.nidcd.nih.gov/health/captions-deaf-and-hard-hearing-viewers</w:t>
        </w:r>
      </w:hyperlink>
      <w:r>
        <w:rPr>
          <w:w w:val="95"/>
          <w:sz w:val="20"/>
        </w:rPr>
        <w:t>&gt;</w:t>
      </w:r>
    </w:p>
    <w:p>
      <w:pPr>
        <w:pStyle w:val="BodyText"/>
        <w:spacing w:line="206" w:lineRule="auto" w:before="118"/>
        <w:ind w:left="967" w:right="1522"/>
      </w:pPr>
      <w:r>
        <w:rPr/>
        <w:t>National Museum of Australia, ‘Indigenous Australians’ Right to </w:t>
      </w:r>
      <w:r>
        <w:rPr>
          <w:spacing w:val="-5"/>
        </w:rPr>
        <w:t>Vote’, </w:t>
      </w:r>
      <w:r>
        <w:rPr>
          <w:i/>
        </w:rPr>
        <w:t>National Museum of </w:t>
      </w:r>
      <w:r>
        <w:rPr>
          <w:i/>
        </w:rPr>
        <w:t>Australia </w:t>
      </w:r>
      <w:r>
        <w:rPr/>
        <w:t>(Web Page) </w:t>
      </w:r>
      <w:r>
        <w:rPr>
          <w:spacing w:val="-3"/>
        </w:rPr>
        <w:t>&lt;</w:t>
      </w:r>
      <w:hyperlink r:id="rId85">
        <w:r>
          <w:rPr>
            <w:spacing w:val="-3"/>
          </w:rPr>
          <w:t>https://www.nma.gov.au/defining-moments/resources/indigenous-</w:t>
        </w:r>
      </w:hyperlink>
      <w:r>
        <w:rPr>
          <w:spacing w:val="-3"/>
        </w:rPr>
        <w:t> </w:t>
      </w:r>
      <w:hyperlink r:id="rId85">
        <w:r>
          <w:rPr/>
          <w:t>australians-right-to-vote</w:t>
        </w:r>
      </w:hyperlink>
      <w:r>
        <w:rPr/>
        <w:t>&gt;</w:t>
      </w:r>
    </w:p>
    <w:p>
      <w:pPr>
        <w:pStyle w:val="BodyText"/>
        <w:spacing w:line="206" w:lineRule="auto" w:before="117"/>
        <w:ind w:left="967" w:right="1335"/>
      </w:pPr>
      <w:r>
        <w:rPr/>
        <w:t>Nelson, Gwen, ‘My Experience as a </w:t>
      </w:r>
      <w:r>
        <w:rPr>
          <w:spacing w:val="-3"/>
        </w:rPr>
        <w:t>Juror’, </w:t>
      </w:r>
      <w:r>
        <w:rPr>
          <w:i/>
        </w:rPr>
        <w:t>National Federation of the Blind (US) </w:t>
      </w:r>
      <w:r>
        <w:rPr/>
        <w:t>(Web Page, March 1991) </w:t>
      </w:r>
      <w:r>
        <w:rPr>
          <w:spacing w:val="-3"/>
        </w:rPr>
        <w:t>&lt;</w:t>
      </w:r>
      <w:hyperlink r:id="rId150">
        <w:r>
          <w:rPr>
            <w:spacing w:val="-3"/>
          </w:rPr>
          <w:t>https://nfb.org/sites/www.nfb.org/files/images/nfb/publications/bm/bm91/</w:t>
        </w:r>
      </w:hyperlink>
      <w:r>
        <w:rPr>
          <w:spacing w:val="-3"/>
        </w:rPr>
        <w:t> </w:t>
      </w:r>
      <w:hyperlink r:id="rId150">
        <w:r>
          <w:rPr/>
          <w:t>brlm9103.htm</w:t>
        </w:r>
      </w:hyperlink>
      <w:r>
        <w:rPr/>
        <w:t>&gt;</w:t>
      </w:r>
    </w:p>
    <w:p>
      <w:pPr>
        <w:pStyle w:val="BodyText"/>
        <w:spacing w:line="206" w:lineRule="auto" w:before="117"/>
        <w:ind w:left="967" w:right="1335"/>
      </w:pPr>
      <w:r>
        <w:rPr/>
        <w:t>Netflix, ‘Accessibility on Netflix’, </w:t>
      </w:r>
      <w:r>
        <w:rPr>
          <w:i/>
        </w:rPr>
        <w:t>Help Center </w:t>
      </w:r>
      <w:r>
        <w:rPr/>
        <w:t>(Web Page) </w:t>
      </w:r>
      <w:r>
        <w:rPr>
          <w:spacing w:val="-3"/>
        </w:rPr>
        <w:t>&lt;</w:t>
      </w:r>
      <w:hyperlink r:id="rId111">
        <w:r>
          <w:rPr>
            <w:spacing w:val="-3"/>
          </w:rPr>
          <w:t>https://help.netflix.com/en/</w:t>
        </w:r>
      </w:hyperlink>
      <w:r>
        <w:rPr>
          <w:spacing w:val="-3"/>
        </w:rPr>
        <w:t> </w:t>
      </w:r>
      <w:hyperlink r:id="rId111">
        <w:r>
          <w:rPr>
            <w:spacing w:val="-3"/>
          </w:rPr>
          <w:t>node/116022</w:t>
        </w:r>
      </w:hyperlink>
      <w:r>
        <w:rPr>
          <w:spacing w:val="-3"/>
        </w:rPr>
        <w:t>&gt;</w:t>
      </w:r>
    </w:p>
    <w:p>
      <w:pPr>
        <w:pStyle w:val="BodyText"/>
        <w:spacing w:before="84"/>
        <w:ind w:left="967"/>
      </w:pPr>
      <w:r>
        <w:rPr/>
        <w:t>New South Wales Law Reform Commission,</w:t>
      </w:r>
    </w:p>
    <w:p>
      <w:pPr>
        <w:pStyle w:val="ListParagraph"/>
        <w:numPr>
          <w:ilvl w:val="0"/>
          <w:numId w:val="138"/>
        </w:numPr>
        <w:tabs>
          <w:tab w:pos="1307" w:val="left" w:leader="none"/>
          <w:tab w:pos="1308" w:val="left" w:leader="none"/>
        </w:tabs>
        <w:spacing w:line="240" w:lineRule="auto" w:before="75" w:after="0"/>
        <w:ind w:left="1307" w:right="0" w:hanging="340"/>
        <w:jc w:val="left"/>
        <w:rPr>
          <w:sz w:val="20"/>
        </w:rPr>
      </w:pPr>
      <w:r>
        <w:rPr>
          <w:i/>
          <w:sz w:val="20"/>
        </w:rPr>
        <w:t>Blind or Deaf Jurors </w:t>
      </w:r>
      <w:r>
        <w:rPr>
          <w:sz w:val="20"/>
        </w:rPr>
        <w:t>(Discussion Paper No 46,</w:t>
      </w:r>
      <w:r>
        <w:rPr>
          <w:spacing w:val="-17"/>
          <w:sz w:val="20"/>
        </w:rPr>
        <w:t> </w:t>
      </w:r>
      <w:r>
        <w:rPr>
          <w:sz w:val="20"/>
        </w:rPr>
        <w:t>2004)</w:t>
      </w:r>
    </w:p>
    <w:p>
      <w:pPr>
        <w:pStyle w:val="ListParagraph"/>
        <w:numPr>
          <w:ilvl w:val="0"/>
          <w:numId w:val="138"/>
        </w:numPr>
        <w:tabs>
          <w:tab w:pos="1307" w:val="left" w:leader="none"/>
          <w:tab w:pos="1308" w:val="left" w:leader="none"/>
        </w:tabs>
        <w:spacing w:line="240" w:lineRule="auto" w:before="48" w:after="0"/>
        <w:ind w:left="1307" w:right="0" w:hanging="340"/>
        <w:jc w:val="left"/>
        <w:rPr>
          <w:sz w:val="20"/>
        </w:rPr>
      </w:pPr>
      <w:r>
        <w:rPr>
          <w:i/>
          <w:sz w:val="20"/>
        </w:rPr>
        <w:t>Blind or Deaf Jurors </w:t>
      </w:r>
      <w:r>
        <w:rPr>
          <w:sz w:val="20"/>
        </w:rPr>
        <w:t>(Report No </w:t>
      </w:r>
      <w:r>
        <w:rPr>
          <w:spacing w:val="2"/>
          <w:sz w:val="20"/>
        </w:rPr>
        <w:t>114, </w:t>
      </w:r>
      <w:r>
        <w:rPr>
          <w:sz w:val="20"/>
        </w:rPr>
        <w:t>September</w:t>
      </w:r>
      <w:r>
        <w:rPr>
          <w:spacing w:val="-18"/>
          <w:sz w:val="20"/>
        </w:rPr>
        <w:t> </w:t>
      </w:r>
      <w:r>
        <w:rPr>
          <w:sz w:val="20"/>
        </w:rPr>
        <w:t>2006)</w:t>
      </w:r>
    </w:p>
    <w:p>
      <w:pPr>
        <w:pStyle w:val="ListParagraph"/>
        <w:numPr>
          <w:ilvl w:val="0"/>
          <w:numId w:val="138"/>
        </w:numPr>
        <w:tabs>
          <w:tab w:pos="1307" w:val="left" w:leader="none"/>
          <w:tab w:pos="1308" w:val="left" w:leader="none"/>
        </w:tabs>
        <w:spacing w:line="240" w:lineRule="auto" w:before="47" w:after="0"/>
        <w:ind w:left="1307" w:right="0" w:hanging="340"/>
        <w:jc w:val="left"/>
        <w:rPr>
          <w:sz w:val="20"/>
        </w:rPr>
      </w:pPr>
      <w:r>
        <w:rPr>
          <w:i/>
          <w:sz w:val="20"/>
        </w:rPr>
        <w:t>Jury Selection </w:t>
      </w:r>
      <w:r>
        <w:rPr>
          <w:sz w:val="20"/>
        </w:rPr>
        <w:t>(Final Report No </w:t>
      </w:r>
      <w:r>
        <w:rPr>
          <w:spacing w:val="-7"/>
          <w:sz w:val="20"/>
        </w:rPr>
        <w:t>117, </w:t>
      </w:r>
      <w:r>
        <w:rPr>
          <w:sz w:val="20"/>
        </w:rPr>
        <w:t>September</w:t>
      </w:r>
      <w:r>
        <w:rPr>
          <w:spacing w:val="-7"/>
          <w:sz w:val="20"/>
        </w:rPr>
        <w:t> </w:t>
      </w:r>
      <w:r>
        <w:rPr>
          <w:spacing w:val="-3"/>
          <w:sz w:val="20"/>
        </w:rPr>
        <w:t>2007)</w:t>
      </w:r>
    </w:p>
    <w:p>
      <w:pPr>
        <w:spacing w:before="171"/>
        <w:ind w:left="0" w:right="217" w:firstLine="0"/>
        <w:jc w:val="right"/>
        <w:rPr>
          <w:b/>
          <w:sz w:val="24"/>
        </w:rPr>
      </w:pPr>
      <w:r>
        <w:rPr>
          <w:b/>
          <w:color w:val="37617A"/>
          <w:sz w:val="24"/>
        </w:rPr>
        <w:t>243</w:t>
      </w:r>
    </w:p>
    <w:p>
      <w:pPr>
        <w:spacing w:after="0"/>
        <w:jc w:val="right"/>
        <w:rPr>
          <w:sz w:val="24"/>
        </w:rPr>
        <w:sectPr>
          <w:pgSz w:w="11910" w:h="16840"/>
          <w:pgMar w:header="0" w:footer="0" w:top="840" w:bottom="280" w:left="620" w:right="380"/>
        </w:sectPr>
      </w:pPr>
    </w:p>
    <w:p>
      <w:pPr>
        <w:pStyle w:val="BodyText"/>
        <w:rPr>
          <w:b/>
        </w:rPr>
      </w:pPr>
    </w:p>
    <w:p>
      <w:pPr>
        <w:pStyle w:val="BodyText"/>
        <w:rPr>
          <w:b/>
        </w:rPr>
      </w:pPr>
    </w:p>
    <w:p>
      <w:pPr>
        <w:pStyle w:val="BodyText"/>
        <w:rPr>
          <w:b/>
        </w:rPr>
      </w:pPr>
    </w:p>
    <w:p>
      <w:pPr>
        <w:pStyle w:val="BodyText"/>
        <w:spacing w:before="11"/>
        <w:rPr>
          <w:b/>
          <w:sz w:val="18"/>
        </w:rPr>
      </w:pPr>
    </w:p>
    <w:p>
      <w:pPr>
        <w:pStyle w:val="BodyText"/>
        <w:spacing w:line="206" w:lineRule="auto"/>
        <w:ind w:left="967" w:right="1271"/>
      </w:pPr>
      <w:r>
        <w:rPr/>
        <w:t>New Zealand Ministry of Justice, ‘Payment and Support to Help You Attend Jury Service’, </w:t>
      </w:r>
      <w:r>
        <w:rPr>
          <w:i/>
        </w:rPr>
        <w:t>New </w:t>
      </w:r>
      <w:r>
        <w:rPr>
          <w:i/>
        </w:rPr>
        <w:t>Zealand Ministry of Justice </w:t>
      </w:r>
      <w:r>
        <w:rPr/>
        <w:t>(Web Page) &lt;</w:t>
      </w:r>
      <w:hyperlink r:id="rId169">
        <w:r>
          <w:rPr/>
          <w:t>https://www.justice.govt.nz/courts/jury-service/</w:t>
        </w:r>
      </w:hyperlink>
      <w:r>
        <w:rPr/>
        <w:t> </w:t>
      </w:r>
      <w:hyperlink r:id="rId169">
        <w:r>
          <w:rPr/>
          <w:t>payment-and-support/#disability</w:t>
        </w:r>
      </w:hyperlink>
      <w:r>
        <w:rPr/>
        <w:t>&gt;</w:t>
      </w:r>
    </w:p>
    <w:p>
      <w:pPr>
        <w:spacing w:line="206" w:lineRule="auto" w:before="117"/>
        <w:ind w:left="967" w:right="1442" w:firstLine="0"/>
        <w:jc w:val="left"/>
        <w:rPr>
          <w:sz w:val="20"/>
        </w:rPr>
      </w:pPr>
      <w:r>
        <w:rPr>
          <w:sz w:val="20"/>
        </w:rPr>
        <w:t>Nugent, Eliza, Preyasi Domun and De Alwis Winuri, </w:t>
      </w:r>
      <w:r>
        <w:rPr>
          <w:i/>
          <w:sz w:val="20"/>
        </w:rPr>
        <w:t>Advancing Jury Inclusivity in Australia </w:t>
      </w:r>
      <w:r>
        <w:rPr>
          <w:sz w:val="20"/>
        </w:rPr>
        <w:t>(Report, Remedy Australia, Castan Centre for Human Rights Law, Monash University, August 2021)</w:t>
      </w:r>
    </w:p>
    <w:p>
      <w:pPr>
        <w:pStyle w:val="BodyText"/>
        <w:spacing w:line="206" w:lineRule="auto" w:before="118"/>
        <w:ind w:left="967" w:right="1659"/>
      </w:pPr>
      <w:r>
        <w:rPr/>
        <w:t>Office for Disability Issues (NZ), ‘Some Differences in Deaf People Using Interpreters’, </w:t>
      </w:r>
      <w:r>
        <w:rPr>
          <w:i/>
        </w:rPr>
        <w:t>New </w:t>
      </w:r>
      <w:r>
        <w:rPr>
          <w:i/>
        </w:rPr>
        <w:t>Zealand Office for Disability Issues </w:t>
      </w:r>
      <w:r>
        <w:rPr/>
        <w:t>(Web Page) &lt;</w:t>
      </w:r>
      <w:hyperlink r:id="rId65">
        <w:r>
          <w:rPr/>
          <w:t>https://www.odi.govt.nz/nzsl/tools-and-</w:t>
        </w:r>
      </w:hyperlink>
      <w:r>
        <w:rPr/>
        <w:t> </w:t>
      </w:r>
      <w:hyperlink r:id="rId65">
        <w:r>
          <w:rPr/>
          <w:t>resources/some-differences-in-deaf-people-using-interpreters/</w:t>
        </w:r>
      </w:hyperlink>
      <w:r>
        <w:rPr/>
        <w:t>&gt;</w:t>
      </w:r>
    </w:p>
    <w:p>
      <w:pPr>
        <w:pStyle w:val="BodyText"/>
        <w:spacing w:before="85"/>
        <w:ind w:left="967"/>
      </w:pPr>
      <w:r>
        <w:rPr/>
        <w:t>Office of Court Administration, New York State Unified Court System,</w:t>
      </w:r>
    </w:p>
    <w:p>
      <w:pPr>
        <w:pStyle w:val="ListParagraph"/>
        <w:numPr>
          <w:ilvl w:val="0"/>
          <w:numId w:val="139"/>
        </w:numPr>
        <w:tabs>
          <w:tab w:pos="1307" w:val="left" w:leader="none"/>
          <w:tab w:pos="1308" w:val="left" w:leader="none"/>
        </w:tabs>
        <w:spacing w:line="259" w:lineRule="exact" w:before="75" w:after="0"/>
        <w:ind w:left="1307" w:right="0" w:hanging="340"/>
        <w:jc w:val="left"/>
        <w:rPr>
          <w:sz w:val="20"/>
        </w:rPr>
      </w:pPr>
      <w:r>
        <w:rPr>
          <w:spacing w:val="-6"/>
          <w:sz w:val="20"/>
        </w:rPr>
        <w:t>‘ADA </w:t>
      </w:r>
      <w:r>
        <w:rPr>
          <w:sz w:val="20"/>
        </w:rPr>
        <w:t>Accommodation Request </w:t>
      </w:r>
      <w:r>
        <w:rPr>
          <w:spacing w:val="-3"/>
          <w:sz w:val="20"/>
        </w:rPr>
        <w:t>Process’, </w:t>
      </w:r>
      <w:r>
        <w:rPr>
          <w:i/>
          <w:sz w:val="20"/>
        </w:rPr>
        <w:t>NYCOURTS.GOV </w:t>
      </w:r>
      <w:r>
        <w:rPr>
          <w:sz w:val="20"/>
        </w:rPr>
        <w:t>(Web</w:t>
      </w:r>
      <w:r>
        <w:rPr>
          <w:spacing w:val="-6"/>
          <w:sz w:val="20"/>
        </w:rPr>
        <w:t> </w:t>
      </w:r>
      <w:r>
        <w:rPr>
          <w:sz w:val="20"/>
        </w:rPr>
        <w:t>Page)</w:t>
      </w:r>
    </w:p>
    <w:p>
      <w:pPr>
        <w:pStyle w:val="BodyText"/>
        <w:spacing w:line="259" w:lineRule="exact"/>
        <w:ind w:left="1307"/>
      </w:pPr>
      <w:r>
        <w:rPr/>
        <w:t>&lt;</w:t>
      </w:r>
      <w:hyperlink r:id="rId159">
        <w:r>
          <w:rPr/>
          <w:t>http://ww2.nycourts.gov/ada-accommodation-request-process-32956#how1</w:t>
        </w:r>
      </w:hyperlink>
      <w:r>
        <w:rPr/>
        <w:t>&gt;</w:t>
      </w:r>
    </w:p>
    <w:p>
      <w:pPr>
        <w:pStyle w:val="ListParagraph"/>
        <w:numPr>
          <w:ilvl w:val="0"/>
          <w:numId w:val="139"/>
        </w:numPr>
        <w:tabs>
          <w:tab w:pos="1307" w:val="left" w:leader="none"/>
          <w:tab w:pos="1308" w:val="left" w:leader="none"/>
        </w:tabs>
        <w:spacing w:line="259" w:lineRule="exact" w:before="48" w:after="0"/>
        <w:ind w:left="1307" w:right="0" w:hanging="340"/>
        <w:jc w:val="left"/>
        <w:rPr>
          <w:sz w:val="20"/>
        </w:rPr>
      </w:pPr>
      <w:r>
        <w:rPr>
          <w:sz w:val="20"/>
        </w:rPr>
        <w:t>‘Jurors—Questions and Answers </w:t>
      </w:r>
      <w:r>
        <w:rPr>
          <w:spacing w:val="-6"/>
          <w:sz w:val="20"/>
        </w:rPr>
        <w:t>(FAQ’s)’, </w:t>
      </w:r>
      <w:r>
        <w:rPr>
          <w:i/>
          <w:sz w:val="20"/>
        </w:rPr>
        <w:t>NYCOURTS.GOV </w:t>
      </w:r>
      <w:r>
        <w:rPr>
          <w:sz w:val="20"/>
        </w:rPr>
        <w:t>(Web Page, 8 December</w:t>
      </w:r>
      <w:r>
        <w:rPr>
          <w:spacing w:val="-23"/>
          <w:sz w:val="20"/>
        </w:rPr>
        <w:t> </w:t>
      </w:r>
      <w:r>
        <w:rPr>
          <w:spacing w:val="-3"/>
          <w:sz w:val="20"/>
        </w:rPr>
        <w:t>2020)</w:t>
      </w:r>
    </w:p>
    <w:p>
      <w:pPr>
        <w:pStyle w:val="BodyText"/>
        <w:spacing w:line="259" w:lineRule="exact"/>
        <w:ind w:left="1307"/>
      </w:pPr>
      <w:r>
        <w:rPr/>
        <w:t>&lt;</w:t>
      </w:r>
      <w:hyperlink r:id="rId158">
        <w:r>
          <w:rPr/>
          <w:t>https://www.nyjuror.gov/juryQandA.shtml#Q12</w:t>
        </w:r>
      </w:hyperlink>
      <w:r>
        <w:rPr/>
        <w:t>&gt;</w:t>
      </w:r>
    </w:p>
    <w:p>
      <w:pPr>
        <w:pStyle w:val="ListParagraph"/>
        <w:numPr>
          <w:ilvl w:val="0"/>
          <w:numId w:val="139"/>
        </w:numPr>
        <w:tabs>
          <w:tab w:pos="1307" w:val="left" w:leader="none"/>
          <w:tab w:pos="1308" w:val="left" w:leader="none"/>
        </w:tabs>
        <w:spacing w:line="259" w:lineRule="exact" w:before="47" w:after="0"/>
        <w:ind w:left="1307" w:right="0" w:hanging="340"/>
        <w:jc w:val="left"/>
        <w:rPr>
          <w:sz w:val="20"/>
        </w:rPr>
      </w:pPr>
      <w:r>
        <w:rPr>
          <w:sz w:val="20"/>
        </w:rPr>
        <w:t>‘Reasonable Accommodations for Court </w:t>
      </w:r>
      <w:r>
        <w:rPr>
          <w:spacing w:val="-3"/>
          <w:sz w:val="20"/>
        </w:rPr>
        <w:t>Users’, </w:t>
      </w:r>
      <w:r>
        <w:rPr>
          <w:i/>
          <w:sz w:val="20"/>
        </w:rPr>
        <w:t>NYCOURTS.GOV </w:t>
      </w:r>
      <w:r>
        <w:rPr>
          <w:sz w:val="20"/>
        </w:rPr>
        <w:t>(Web</w:t>
      </w:r>
      <w:r>
        <w:rPr>
          <w:spacing w:val="-16"/>
          <w:sz w:val="20"/>
        </w:rPr>
        <w:t> </w:t>
      </w:r>
      <w:r>
        <w:rPr>
          <w:sz w:val="20"/>
        </w:rPr>
        <w:t>Page)</w:t>
      </w:r>
    </w:p>
    <w:p>
      <w:pPr>
        <w:pStyle w:val="BodyText"/>
        <w:spacing w:line="259" w:lineRule="exact"/>
        <w:ind w:left="1307"/>
      </w:pPr>
      <w:r>
        <w:rPr/>
        <w:t>&lt;</w:t>
      </w:r>
      <w:hyperlink r:id="rId154">
        <w:r>
          <w:rPr/>
          <w:t>http://ww2.nycourts.gov/Accessibility/CourtUsers_Guidelines.shtml</w:t>
        </w:r>
      </w:hyperlink>
      <w:r>
        <w:rPr/>
        <w:t>&gt;</w:t>
      </w:r>
    </w:p>
    <w:p>
      <w:pPr>
        <w:pStyle w:val="BodyText"/>
        <w:spacing w:line="206" w:lineRule="auto" w:before="80"/>
        <w:ind w:left="967" w:right="1335"/>
      </w:pPr>
      <w:r>
        <w:rPr/>
        <w:t>Office of National Statistics (UK), ‘Internet Users, UK: </w:t>
      </w:r>
      <w:r>
        <w:rPr>
          <w:spacing w:val="-5"/>
        </w:rPr>
        <w:t>2020’, </w:t>
      </w:r>
      <w:r>
        <w:rPr>
          <w:i/>
        </w:rPr>
        <w:t>Office of National Statistics </w:t>
      </w:r>
      <w:r>
        <w:rPr/>
        <w:t>(Web </w:t>
      </w:r>
      <w:r>
        <w:rPr>
          <w:spacing w:val="-1"/>
        </w:rPr>
        <w:t>Page) &lt;</w:t>
      </w:r>
      <w:hyperlink r:id="rId166">
        <w:r>
          <w:rPr>
            <w:spacing w:val="-1"/>
          </w:rPr>
          <w:t>https://www.ons.gov.uk/businessindustryandtrade/itandinternetindustry/bulletins/</w:t>
        </w:r>
      </w:hyperlink>
      <w:r>
        <w:rPr>
          <w:spacing w:val="-1"/>
        </w:rPr>
        <w:t> </w:t>
      </w:r>
      <w:hyperlink r:id="rId166">
        <w:r>
          <w:rPr>
            <w:spacing w:val="-3"/>
          </w:rPr>
          <w:t>internetusers/2020</w:t>
        </w:r>
      </w:hyperlink>
      <w:r>
        <w:rPr>
          <w:spacing w:val="-3"/>
        </w:rPr>
        <w:t>&gt;</w:t>
      </w:r>
    </w:p>
    <w:p>
      <w:pPr>
        <w:pStyle w:val="BodyText"/>
        <w:spacing w:line="206" w:lineRule="auto" w:before="117"/>
        <w:ind w:left="967" w:right="1286"/>
      </w:pPr>
      <w:r>
        <w:rPr/>
        <w:t>Public Interest Law Alliance, ‘First Deaf Person to Sit on a Jury and Deliberate on Verdict’, </w:t>
      </w:r>
      <w:r>
        <w:rPr>
          <w:i/>
        </w:rPr>
        <w:t>PILA </w:t>
      </w:r>
      <w:r>
        <w:rPr>
          <w:i/>
        </w:rPr>
        <w:t>Bulletin </w:t>
      </w:r>
      <w:r>
        <w:rPr/>
        <w:t>(14 October 2020) &lt;ht</w:t>
      </w:r>
      <w:hyperlink r:id="rId177">
        <w:r>
          <w:rPr/>
          <w:t>tps://www.pila.ie/resources/bulletin/2020/10/14/first-deaf-</w:t>
        </w:r>
      </w:hyperlink>
      <w:r>
        <w:rPr/>
        <w:t> </w:t>
      </w:r>
      <w:hyperlink r:id="rId177">
        <w:r>
          <w:rPr/>
          <w:t>person-to-sit-on-a-jury-and-deliberate-on-verdict/&gt;</w:t>
        </w:r>
      </w:hyperlink>
    </w:p>
    <w:p>
      <w:pPr>
        <w:spacing w:before="85"/>
        <w:ind w:left="967" w:right="0" w:firstLine="0"/>
        <w:jc w:val="left"/>
        <w:rPr>
          <w:sz w:val="20"/>
        </w:rPr>
      </w:pPr>
      <w:r>
        <w:rPr>
          <w:sz w:val="20"/>
        </w:rPr>
        <w:t>Queensland Law Reform Commission, </w:t>
      </w:r>
      <w:r>
        <w:rPr>
          <w:i/>
          <w:sz w:val="20"/>
        </w:rPr>
        <w:t>A Review of Jury Selection </w:t>
      </w:r>
      <w:r>
        <w:rPr>
          <w:sz w:val="20"/>
        </w:rPr>
        <w:t>(Report No 68, 2011)</w:t>
      </w:r>
    </w:p>
    <w:p>
      <w:pPr>
        <w:pStyle w:val="BodyText"/>
        <w:spacing w:line="206" w:lineRule="auto" w:before="108"/>
        <w:ind w:left="967" w:right="1335"/>
      </w:pPr>
      <w:r>
        <w:rPr/>
        <w:t>Reffell, Hayley and Rachel Locker McKee, ‘Motives and Outcomes of New Zealand Sign Language Legislation: A Comparative Study between New Zealand and Finland’ (2009) 10(3) </w:t>
      </w:r>
      <w:r>
        <w:rPr>
          <w:i/>
        </w:rPr>
        <w:t>Current Issues in Language Planning </w:t>
      </w:r>
      <w:r>
        <w:rPr/>
        <w:t>272</w:t>
      </w:r>
    </w:p>
    <w:p>
      <w:pPr>
        <w:pStyle w:val="BodyText"/>
        <w:spacing w:line="206" w:lineRule="auto" w:before="117"/>
        <w:ind w:left="967" w:right="1978"/>
      </w:pPr>
      <w:r>
        <w:rPr/>
        <w:t>Roberts, Millie, ‘Auslan Interpreters Will No Longer Be a Permanent Part of NSW Press Conferences’, </w:t>
      </w:r>
      <w:r>
        <w:rPr>
          <w:i/>
        </w:rPr>
        <w:t>Junkee </w:t>
      </w:r>
      <w:r>
        <w:rPr/>
        <w:t>(Web Page, 12 October 2021)</w:t>
      </w:r>
    </w:p>
    <w:p>
      <w:pPr>
        <w:pStyle w:val="BodyText"/>
        <w:spacing w:line="248" w:lineRule="exact"/>
        <w:ind w:left="967"/>
      </w:pPr>
      <w:r>
        <w:rPr/>
        <w:t>&lt;</w:t>
      </w:r>
      <w:hyperlink r:id="rId108">
        <w:r>
          <w:rPr/>
          <w:t>https://junkee.com/auslan-interpreters-nsw-press-conference/311556</w:t>
        </w:r>
      </w:hyperlink>
      <w:r>
        <w:rPr/>
        <w:t>&gt;</w:t>
      </w:r>
    </w:p>
    <w:p>
      <w:pPr>
        <w:spacing w:line="206" w:lineRule="auto" w:before="108"/>
        <w:ind w:left="967" w:right="1248" w:firstLine="0"/>
        <w:jc w:val="left"/>
        <w:rPr>
          <w:sz w:val="20"/>
        </w:rPr>
      </w:pPr>
      <w:r>
        <w:rPr>
          <w:sz w:val="20"/>
        </w:rPr>
        <w:t>Rochester Institute of </w:t>
      </w:r>
      <w:r>
        <w:rPr>
          <w:spacing w:val="-4"/>
          <w:sz w:val="20"/>
        </w:rPr>
        <w:t>Technology, </w:t>
      </w:r>
      <w:r>
        <w:rPr>
          <w:sz w:val="20"/>
        </w:rPr>
        <w:t>‘National Technical Institute for the Deaf’, </w:t>
      </w:r>
      <w:r>
        <w:rPr>
          <w:i/>
          <w:sz w:val="20"/>
        </w:rPr>
        <w:t>Rochester Institute </w:t>
      </w:r>
      <w:r>
        <w:rPr>
          <w:i/>
          <w:sz w:val="20"/>
        </w:rPr>
        <w:t>of </w:t>
      </w:r>
      <w:r>
        <w:rPr>
          <w:i/>
          <w:spacing w:val="-3"/>
          <w:sz w:val="20"/>
        </w:rPr>
        <w:t>Technology </w:t>
      </w:r>
      <w:r>
        <w:rPr>
          <w:sz w:val="20"/>
        </w:rPr>
        <w:t>(Web Page) </w:t>
      </w:r>
      <w:r>
        <w:rPr>
          <w:spacing w:val="-3"/>
          <w:sz w:val="20"/>
        </w:rPr>
        <w:t>&lt;</w:t>
      </w:r>
      <w:hyperlink r:id="rId157">
        <w:r>
          <w:rPr>
            <w:spacing w:val="-3"/>
            <w:sz w:val="20"/>
          </w:rPr>
          <w:t>https://www.rit.edu/ntid/</w:t>
        </w:r>
      </w:hyperlink>
      <w:r>
        <w:rPr>
          <w:spacing w:val="-3"/>
          <w:sz w:val="20"/>
        </w:rPr>
        <w:t>&gt;</w:t>
      </w:r>
    </w:p>
    <w:p>
      <w:pPr>
        <w:spacing w:line="206" w:lineRule="auto" w:before="116"/>
        <w:ind w:left="967" w:right="1695" w:firstLine="0"/>
        <w:jc w:val="left"/>
        <w:rPr>
          <w:sz w:val="20"/>
        </w:rPr>
      </w:pPr>
      <w:r>
        <w:rPr>
          <w:sz w:val="20"/>
        </w:rPr>
        <w:t>Rottman, David B, </w:t>
      </w:r>
      <w:r>
        <w:rPr>
          <w:i/>
          <w:sz w:val="20"/>
        </w:rPr>
        <w:t>Trust and Confidence in the California Courts—A Survey of the Public and </w:t>
      </w:r>
      <w:r>
        <w:rPr>
          <w:i/>
          <w:sz w:val="20"/>
        </w:rPr>
        <w:t>Attorneys </w:t>
      </w:r>
      <w:r>
        <w:rPr>
          <w:sz w:val="20"/>
        </w:rPr>
        <w:t>(Report Part 1, National Center for State Courts, September 2005)</w:t>
      </w:r>
    </w:p>
    <w:p>
      <w:pPr>
        <w:spacing w:line="206" w:lineRule="auto" w:before="116"/>
        <w:ind w:left="967" w:right="1255" w:firstLine="0"/>
        <w:jc w:val="left"/>
        <w:rPr>
          <w:sz w:val="20"/>
        </w:rPr>
      </w:pPr>
      <w:r>
        <w:rPr>
          <w:sz w:val="20"/>
        </w:rPr>
        <w:t>Royal Commission into Violence, Abuse, Neglect and Exploitation of People with Disability</w:t>
      </w:r>
      <w:r>
        <w:rPr>
          <w:i/>
          <w:sz w:val="20"/>
        </w:rPr>
        <w:t>, </w:t>
      </w:r>
      <w:r>
        <w:rPr>
          <w:sz w:val="20"/>
        </w:rPr>
        <w:t>‘About the Royal Commission’, </w:t>
      </w:r>
      <w:r>
        <w:rPr>
          <w:i/>
          <w:sz w:val="20"/>
        </w:rPr>
        <w:t>Royal Commission into Violence, Abuse, Neglect and Exploitation </w:t>
      </w:r>
      <w:r>
        <w:rPr>
          <w:i/>
          <w:sz w:val="20"/>
        </w:rPr>
        <w:t>of People with Disability </w:t>
      </w:r>
      <w:r>
        <w:rPr>
          <w:sz w:val="20"/>
        </w:rPr>
        <w:t>(Web Page)</w:t>
      </w:r>
    </w:p>
    <w:p>
      <w:pPr>
        <w:pStyle w:val="BodyText"/>
        <w:spacing w:line="249" w:lineRule="exact"/>
        <w:ind w:left="967"/>
      </w:pPr>
      <w:r>
        <w:rPr/>
        <w:t>&lt;</w:t>
      </w:r>
      <w:hyperlink r:id="rId118">
        <w:r>
          <w:rPr/>
          <w:t>https://disability.royalcommission.gov.au/about-royal-commission</w:t>
        </w:r>
      </w:hyperlink>
      <w:r>
        <w:rPr/>
        <w:t>&gt;</w:t>
      </w:r>
    </w:p>
    <w:p>
      <w:pPr>
        <w:pStyle w:val="BodyText"/>
        <w:spacing w:line="206" w:lineRule="auto" w:before="108"/>
        <w:ind w:left="967" w:right="1594"/>
      </w:pPr>
      <w:r>
        <w:rPr>
          <w:spacing w:val="-3"/>
        </w:rPr>
        <w:t>Royal </w:t>
      </w:r>
      <w:r>
        <w:rPr>
          <w:spacing w:val="-4"/>
        </w:rPr>
        <w:t>Holloway, </w:t>
      </w:r>
      <w:r>
        <w:rPr/>
        <w:t>University of London, ‘Creating Audio Description: </w:t>
      </w:r>
      <w:r>
        <w:rPr>
          <w:spacing w:val="-3"/>
        </w:rPr>
        <w:t>Equality, </w:t>
      </w:r>
      <w:r>
        <w:rPr/>
        <w:t>Diversity, and Inclusion’, </w:t>
      </w:r>
      <w:r>
        <w:rPr>
          <w:i/>
          <w:spacing w:val="-3"/>
        </w:rPr>
        <w:t>FutureLearn </w:t>
      </w:r>
      <w:r>
        <w:rPr/>
        <w:t>(Web Page) </w:t>
      </w:r>
      <w:r>
        <w:rPr>
          <w:spacing w:val="-3"/>
        </w:rPr>
        <w:t>&lt;</w:t>
      </w:r>
      <w:hyperlink r:id="rId234">
        <w:r>
          <w:rPr>
            <w:spacing w:val="-3"/>
          </w:rPr>
          <w:t>https://www.futurelearn.com/courses/creating-audio-</w:t>
        </w:r>
      </w:hyperlink>
      <w:r>
        <w:rPr>
          <w:spacing w:val="-3"/>
        </w:rPr>
        <w:t> </w:t>
      </w:r>
      <w:hyperlink r:id="rId234">
        <w:r>
          <w:rPr/>
          <w:t>description-for-equality-diversity-and-inclusion/1</w:t>
        </w:r>
      </w:hyperlink>
      <w:r>
        <w:rPr/>
        <w:t>&gt;</w:t>
      </w:r>
    </w:p>
    <w:p>
      <w:pPr>
        <w:pStyle w:val="BodyText"/>
        <w:spacing w:before="85"/>
        <w:ind w:left="967"/>
      </w:pPr>
      <w:r>
        <w:rPr>
          <w:spacing w:val="-3"/>
        </w:rPr>
        <w:t>Royal </w:t>
      </w:r>
      <w:r>
        <w:rPr/>
        <w:t>Melbourne Institute of </w:t>
      </w:r>
      <w:r>
        <w:rPr>
          <w:spacing w:val="-3"/>
        </w:rPr>
        <w:t>Technology</w:t>
      </w:r>
      <w:r>
        <w:rPr>
          <w:spacing w:val="-20"/>
        </w:rPr>
        <w:t> </w:t>
      </w:r>
      <w:r>
        <w:rPr/>
        <w:t>University</w:t>
      </w:r>
    </w:p>
    <w:p>
      <w:pPr>
        <w:pStyle w:val="ListParagraph"/>
        <w:numPr>
          <w:ilvl w:val="0"/>
          <w:numId w:val="139"/>
        </w:numPr>
        <w:tabs>
          <w:tab w:pos="1307" w:val="left" w:leader="none"/>
          <w:tab w:pos="1308" w:val="left" w:leader="none"/>
        </w:tabs>
        <w:spacing w:line="259" w:lineRule="exact" w:before="76" w:after="0"/>
        <w:ind w:left="1307" w:right="0" w:hanging="340"/>
        <w:jc w:val="left"/>
        <w:rPr>
          <w:sz w:val="20"/>
        </w:rPr>
      </w:pPr>
      <w:r>
        <w:rPr>
          <w:spacing w:val="-3"/>
          <w:sz w:val="20"/>
        </w:rPr>
        <w:t>‘Advanced </w:t>
      </w:r>
      <w:r>
        <w:rPr>
          <w:sz w:val="20"/>
        </w:rPr>
        <w:t>Diploma of Interpreting </w:t>
      </w:r>
      <w:r>
        <w:rPr>
          <w:spacing w:val="-3"/>
          <w:sz w:val="20"/>
        </w:rPr>
        <w:t>(LOTE-English)’, </w:t>
      </w:r>
      <w:r>
        <w:rPr>
          <w:i/>
          <w:sz w:val="20"/>
        </w:rPr>
        <w:t>RMIT University </w:t>
      </w:r>
      <w:r>
        <w:rPr>
          <w:sz w:val="20"/>
        </w:rPr>
        <w:t>(Web</w:t>
      </w:r>
      <w:r>
        <w:rPr>
          <w:spacing w:val="-15"/>
          <w:sz w:val="20"/>
        </w:rPr>
        <w:t> </w:t>
      </w:r>
      <w:r>
        <w:rPr>
          <w:sz w:val="20"/>
        </w:rPr>
        <w:t>Page)</w:t>
      </w:r>
    </w:p>
    <w:p>
      <w:pPr>
        <w:pStyle w:val="BodyText"/>
        <w:spacing w:line="206" w:lineRule="auto" w:before="13"/>
        <w:ind w:left="1307" w:right="1599"/>
      </w:pPr>
      <w:r>
        <w:rPr>
          <w:spacing w:val="-3"/>
        </w:rPr>
        <w:t>&lt;</w:t>
      </w:r>
      <w:hyperlink r:id="rId223">
        <w:r>
          <w:rPr>
            <w:spacing w:val="-3"/>
          </w:rPr>
          <w:t>https://www.rmit.edu.au/study-with-us/levels-of-study/vocational-study/advanced-</w:t>
        </w:r>
      </w:hyperlink>
      <w:r>
        <w:rPr>
          <w:spacing w:val="-3"/>
        </w:rPr>
        <w:t> </w:t>
      </w:r>
      <w:hyperlink r:id="rId223">
        <w:r>
          <w:rPr/>
          <w:t>diplomas/advanced-diploma-of-interpreting-loteenglish-c6154.html</w:t>
        </w:r>
      </w:hyperlink>
      <w:r>
        <w:rPr/>
        <w:t>&gt;</w:t>
      </w:r>
    </w:p>
    <w:p>
      <w:pPr>
        <w:pStyle w:val="ListParagraph"/>
        <w:numPr>
          <w:ilvl w:val="0"/>
          <w:numId w:val="139"/>
        </w:numPr>
        <w:tabs>
          <w:tab w:pos="1307" w:val="left" w:leader="none"/>
          <w:tab w:pos="1308" w:val="left" w:leader="none"/>
        </w:tabs>
        <w:spacing w:line="259" w:lineRule="exact" w:before="56" w:after="0"/>
        <w:ind w:left="1307" w:right="0" w:hanging="340"/>
        <w:jc w:val="left"/>
        <w:rPr>
          <w:sz w:val="20"/>
        </w:rPr>
      </w:pPr>
      <w:r>
        <w:rPr>
          <w:sz w:val="20"/>
        </w:rPr>
        <w:t>‘Diploma of Interpreting </w:t>
      </w:r>
      <w:r>
        <w:rPr>
          <w:spacing w:val="-3"/>
          <w:sz w:val="20"/>
        </w:rPr>
        <w:t>(LOTE-English) </w:t>
      </w:r>
      <w:r>
        <w:rPr>
          <w:sz w:val="20"/>
        </w:rPr>
        <w:t>PSP50916’, </w:t>
      </w:r>
      <w:r>
        <w:rPr>
          <w:i/>
          <w:sz w:val="20"/>
        </w:rPr>
        <w:t>RMIT University </w:t>
      </w:r>
      <w:r>
        <w:rPr>
          <w:sz w:val="20"/>
        </w:rPr>
        <w:t>(Web Page,</w:t>
      </w:r>
      <w:r>
        <w:rPr>
          <w:spacing w:val="-23"/>
          <w:sz w:val="20"/>
        </w:rPr>
        <w:t> </w:t>
      </w:r>
      <w:r>
        <w:rPr>
          <w:spacing w:val="-3"/>
          <w:sz w:val="20"/>
        </w:rPr>
        <w:t>2020)</w:t>
      </w:r>
    </w:p>
    <w:p>
      <w:pPr>
        <w:pStyle w:val="BodyText"/>
        <w:spacing w:line="206" w:lineRule="auto" w:before="13"/>
        <w:ind w:left="1307" w:right="1631"/>
      </w:pPr>
      <w:r>
        <w:rPr>
          <w:spacing w:val="-3"/>
        </w:rPr>
        <w:t>&lt;</w:t>
      </w:r>
      <w:hyperlink r:id="rId222">
        <w:r>
          <w:rPr>
            <w:spacing w:val="-3"/>
          </w:rPr>
          <w:t>https://www.rmit.edu.au/study-with-us/levels-of-study/vocational-study/diplomas/</w:t>
        </w:r>
      </w:hyperlink>
      <w:r>
        <w:rPr>
          <w:spacing w:val="-3"/>
        </w:rPr>
        <w:t> </w:t>
      </w:r>
      <w:hyperlink r:id="rId222">
        <w:r>
          <w:rPr/>
          <w:t>diploma-of-interpreting-loteenglish-c5364</w:t>
        </w:r>
      </w:hyperlink>
      <w:r>
        <w:rPr/>
        <w:t>&gt;</w:t>
      </w:r>
    </w:p>
    <w:p>
      <w:pPr>
        <w:pStyle w:val="BodyText"/>
        <w:spacing w:line="206" w:lineRule="auto" w:before="88"/>
        <w:ind w:left="967" w:right="1202"/>
      </w:pPr>
      <w:r>
        <w:rPr/>
        <w:t>Sanchez, Raul, Good Sport Captioning, ‘Differentiating CART and Closed Captioning’, </w:t>
      </w:r>
      <w:r>
        <w:rPr>
          <w:i/>
        </w:rPr>
        <w:t>Our Blog </w:t>
      </w:r>
      <w:r>
        <w:rPr/>
        <w:t>(Blog</w:t>
      </w:r>
      <w:r>
        <w:rPr>
          <w:spacing w:val="-24"/>
        </w:rPr>
        <w:t> </w:t>
      </w:r>
      <w:r>
        <w:rPr/>
        <w:t>Post,</w:t>
      </w:r>
      <w:r>
        <w:rPr>
          <w:spacing w:val="-23"/>
        </w:rPr>
        <w:t> </w:t>
      </w:r>
      <w:r>
        <w:rPr/>
        <w:t>28</w:t>
      </w:r>
      <w:r>
        <w:rPr>
          <w:spacing w:val="-24"/>
        </w:rPr>
        <w:t> </w:t>
      </w:r>
      <w:r>
        <w:rPr/>
        <w:t>March</w:t>
      </w:r>
      <w:r>
        <w:rPr>
          <w:spacing w:val="-23"/>
        </w:rPr>
        <w:t> </w:t>
      </w:r>
      <w:r>
        <w:rPr>
          <w:spacing w:val="-3"/>
        </w:rPr>
        <w:t>2016)</w:t>
      </w:r>
      <w:r>
        <w:rPr>
          <w:spacing w:val="-23"/>
        </w:rPr>
        <w:t> </w:t>
      </w:r>
      <w:r>
        <w:rPr/>
        <w:t>&lt;</w:t>
      </w:r>
      <w:hyperlink r:id="rId198">
        <w:r>
          <w:rPr/>
          <w:t>https://goodsportcaptioning.com/differentiating-cart-and-closed-</w:t>
        </w:r>
      </w:hyperlink>
      <w:r>
        <w:rPr/>
        <w:t> </w:t>
      </w:r>
      <w:hyperlink r:id="rId198">
        <w:r>
          <w:rPr/>
          <w:t>captioning/</w:t>
        </w:r>
      </w:hyperlink>
      <w:r>
        <w:rPr/>
        <w:t>&gt;</w:t>
      </w:r>
    </w:p>
    <w:p>
      <w:pPr>
        <w:spacing w:before="11"/>
        <w:ind w:left="100" w:right="0" w:firstLine="0"/>
        <w:jc w:val="left"/>
        <w:rPr>
          <w:b/>
          <w:sz w:val="24"/>
        </w:rPr>
      </w:pPr>
      <w:r>
        <w:rPr>
          <w:b/>
          <w:color w:val="37617A"/>
          <w:sz w:val="24"/>
        </w:rPr>
        <w:t>244</w:t>
      </w:r>
    </w:p>
    <w:p>
      <w:pPr>
        <w:spacing w:after="0"/>
        <w:jc w:val="left"/>
        <w:rPr>
          <w:sz w:val="24"/>
        </w:rPr>
        <w:sectPr>
          <w:pgSz w:w="11910" w:h="16840"/>
          <w:pgMar w:header="567" w:footer="0" w:top="860" w:bottom="280" w:left="620" w:right="380"/>
        </w:sectPr>
      </w:pPr>
    </w:p>
    <w:p>
      <w:pPr>
        <w:pStyle w:val="BodyText"/>
        <w:rPr>
          <w:b/>
        </w:rPr>
      </w:pPr>
    </w:p>
    <w:p>
      <w:pPr>
        <w:pStyle w:val="BodyText"/>
        <w:rPr>
          <w:b/>
        </w:rPr>
      </w:pPr>
    </w:p>
    <w:p>
      <w:pPr>
        <w:pStyle w:val="BodyText"/>
        <w:rPr>
          <w:b/>
        </w:rPr>
      </w:pPr>
    </w:p>
    <w:p>
      <w:pPr>
        <w:pStyle w:val="BodyText"/>
        <w:spacing w:before="6"/>
        <w:rPr>
          <w:b/>
          <w:sz w:val="14"/>
        </w:rPr>
      </w:pPr>
    </w:p>
    <w:p>
      <w:pPr>
        <w:pStyle w:val="BodyText"/>
        <w:spacing w:line="206" w:lineRule="auto" w:before="90"/>
        <w:ind w:left="967" w:right="2054"/>
      </w:pPr>
      <w:r>
        <w:rPr/>
        <w:t>ScienceDaily, ‘Racial Diversity Improves Group Decision Making in Unexpected Ways, According to Tufts University Research’, </w:t>
      </w:r>
      <w:r>
        <w:rPr>
          <w:i/>
        </w:rPr>
        <w:t>ScienceDaily </w:t>
      </w:r>
      <w:r>
        <w:rPr/>
        <w:t>(Web Page, April 2006)</w:t>
      </w:r>
    </w:p>
    <w:p>
      <w:pPr>
        <w:pStyle w:val="BodyText"/>
        <w:spacing w:line="248" w:lineRule="exact"/>
        <w:ind w:left="967"/>
      </w:pPr>
      <w:r>
        <w:rPr/>
        <w:t>&lt;</w:t>
      </w:r>
      <w:hyperlink r:id="rId137">
        <w:r>
          <w:rPr/>
          <w:t>https://www.sciencedaily.com/releases/2006/04/060410162259.htm</w:t>
        </w:r>
      </w:hyperlink>
      <w:r>
        <w:rPr/>
        <w:t>&gt;</w:t>
      </w:r>
    </w:p>
    <w:p>
      <w:pPr>
        <w:pStyle w:val="BodyText"/>
        <w:spacing w:line="206" w:lineRule="auto" w:before="108"/>
        <w:ind w:left="967" w:right="1356"/>
      </w:pPr>
      <w:r>
        <w:rPr/>
        <w:t>Scottish Courts and Tribunals Service, ‘Making Jury Service More Accessible for Jurors’, </w:t>
      </w:r>
      <w:r>
        <w:rPr>
          <w:i/>
        </w:rPr>
        <w:t>SCTS </w:t>
      </w:r>
      <w:r>
        <w:rPr>
          <w:i/>
        </w:rPr>
        <w:t>News </w:t>
      </w:r>
      <w:r>
        <w:rPr/>
        <w:t>(Web Page, 28 November 2019) &lt;</w:t>
      </w:r>
      <w:hyperlink r:id="rId168">
        <w:r>
          <w:rPr/>
          <w:t>https://www.scotcourts.gov.uk/about-the-scottish-</w:t>
        </w:r>
      </w:hyperlink>
      <w:r>
        <w:rPr/>
        <w:t> </w:t>
      </w:r>
      <w:hyperlink r:id="rId168">
        <w:r>
          <w:rPr/>
          <w:t>court-service/scs-news/2019/11/28/making-jury-service-more-accessible-for-jurors</w:t>
        </w:r>
      </w:hyperlink>
      <w:r>
        <w:rPr/>
        <w:t>&gt;</w:t>
      </w:r>
    </w:p>
    <w:p>
      <w:pPr>
        <w:pStyle w:val="BodyText"/>
        <w:spacing w:line="206" w:lineRule="auto" w:before="117"/>
        <w:ind w:left="967" w:right="1348"/>
      </w:pPr>
      <w:r>
        <w:rPr/>
        <w:t>Sentencing Advisory Council (Vic), ‘Victoria’s Indigenous Imprisonment </w:t>
      </w:r>
      <w:r>
        <w:rPr>
          <w:spacing w:val="-4"/>
        </w:rPr>
        <w:t>Rates’, </w:t>
      </w:r>
      <w:r>
        <w:rPr>
          <w:i/>
        </w:rPr>
        <w:t>Sentencing </w:t>
      </w:r>
      <w:r>
        <w:rPr>
          <w:i/>
        </w:rPr>
        <w:t>Statistics</w:t>
      </w:r>
      <w:r>
        <w:rPr>
          <w:i/>
          <w:spacing w:val="-30"/>
        </w:rPr>
        <w:t> </w:t>
      </w:r>
      <w:r>
        <w:rPr/>
        <w:t>(Web</w:t>
      </w:r>
      <w:r>
        <w:rPr>
          <w:spacing w:val="-31"/>
        </w:rPr>
        <w:t> </w:t>
      </w:r>
      <w:r>
        <w:rPr/>
        <w:t>Page,</w:t>
      </w:r>
      <w:r>
        <w:rPr>
          <w:spacing w:val="-31"/>
        </w:rPr>
        <w:t> </w:t>
      </w:r>
      <w:r>
        <w:rPr>
          <w:spacing w:val="-3"/>
        </w:rPr>
        <w:t>2020)</w:t>
      </w:r>
      <w:r>
        <w:rPr>
          <w:spacing w:val="-31"/>
        </w:rPr>
        <w:t> </w:t>
      </w:r>
      <w:r>
        <w:rPr/>
        <w:t>&lt;</w:t>
      </w:r>
      <w:hyperlink r:id="rId75">
        <w:r>
          <w:rPr/>
          <w:t>https://www.sentencingcouncil.vic.gov.au/sentencing-statistics/</w:t>
        </w:r>
      </w:hyperlink>
      <w:r>
        <w:rPr/>
        <w:t> </w:t>
      </w:r>
      <w:hyperlink r:id="rId75">
        <w:r>
          <w:rPr/>
          <w:t>victorias-indigenous-imprisonment-rates</w:t>
        </w:r>
      </w:hyperlink>
      <w:r>
        <w:rPr/>
        <w:t>&gt;</w:t>
      </w:r>
    </w:p>
    <w:p>
      <w:pPr>
        <w:pStyle w:val="BodyText"/>
        <w:spacing w:line="206" w:lineRule="auto" w:before="117"/>
        <w:ind w:left="967" w:right="1347"/>
      </w:pPr>
      <w:r>
        <w:rPr/>
        <w:t>Sharnie, Kim, ‘Deaf Queensland </w:t>
      </w:r>
      <w:r>
        <w:rPr>
          <w:spacing w:val="-3"/>
        </w:rPr>
        <w:t>Woman Gaye </w:t>
      </w:r>
      <w:r>
        <w:rPr>
          <w:spacing w:val="-4"/>
        </w:rPr>
        <w:t>Lyons </w:t>
      </w:r>
      <w:r>
        <w:rPr/>
        <w:t>Loses High Court Bid to Become </w:t>
      </w:r>
      <w:r>
        <w:rPr>
          <w:spacing w:val="-3"/>
        </w:rPr>
        <w:t>Juror’, </w:t>
      </w:r>
      <w:r>
        <w:rPr>
          <w:i/>
        </w:rPr>
        <w:t>ABC News </w:t>
      </w:r>
      <w:r>
        <w:rPr/>
        <w:t>(online, 5 October </w:t>
      </w:r>
      <w:r>
        <w:rPr>
          <w:spacing w:val="-3"/>
        </w:rPr>
        <w:t>2016) &lt;</w:t>
      </w:r>
      <w:hyperlink r:id="rId73">
        <w:r>
          <w:rPr>
            <w:spacing w:val="-3"/>
          </w:rPr>
          <w:t>https://www.abc.net.au/news/2016-10-05/deaf-woman-</w:t>
        </w:r>
      </w:hyperlink>
      <w:r>
        <w:rPr>
          <w:spacing w:val="-3"/>
        </w:rPr>
        <w:t> </w:t>
      </w:r>
      <w:hyperlink r:id="rId73">
        <w:r>
          <w:rPr/>
          <w:t>gaye-lyons-loses-high-court-challenge-juror/7904324</w:t>
        </w:r>
      </w:hyperlink>
      <w:r>
        <w:rPr/>
        <w:t>&gt;</w:t>
      </w:r>
    </w:p>
    <w:p>
      <w:pPr>
        <w:pStyle w:val="BodyText"/>
        <w:spacing w:line="259" w:lineRule="exact" w:before="85"/>
        <w:ind w:left="967"/>
      </w:pPr>
      <w:r>
        <w:rPr/>
        <w:t>Simmonds, Alecia, ‘Friendless in the Courtroom’, </w:t>
      </w:r>
      <w:r>
        <w:rPr>
          <w:i/>
        </w:rPr>
        <w:t>Inside Story </w:t>
      </w:r>
      <w:r>
        <w:rPr/>
        <w:t>(Web Page, 14 May 2021)</w:t>
      </w:r>
    </w:p>
    <w:p>
      <w:pPr>
        <w:pStyle w:val="BodyText"/>
        <w:spacing w:line="259" w:lineRule="exact"/>
        <w:ind w:left="967"/>
      </w:pPr>
      <w:r>
        <w:rPr/>
        <w:t>&lt;</w:t>
      </w:r>
      <w:hyperlink r:id="rId79">
        <w:r>
          <w:rPr/>
          <w:t>https://insidestory.org.au/friendless-in-the-courtroom/</w:t>
        </w:r>
      </w:hyperlink>
      <w:r>
        <w:rPr/>
        <w:t>&gt;</w:t>
      </w:r>
    </w:p>
    <w:p>
      <w:pPr>
        <w:spacing w:line="206" w:lineRule="auto" w:before="108"/>
        <w:ind w:left="967" w:right="1641" w:firstLine="0"/>
        <w:jc w:val="left"/>
        <w:rPr>
          <w:sz w:val="20"/>
        </w:rPr>
      </w:pPr>
      <w:r>
        <w:rPr>
          <w:sz w:val="20"/>
        </w:rPr>
        <w:t>Sommers, Samuel R, ‘On Racial Diversity and Group Decision Making: Identifying Multiple Effects of Racial Composition on Jury Deliberations’ (2006) 90(4) </w:t>
      </w:r>
      <w:r>
        <w:rPr>
          <w:i/>
          <w:sz w:val="20"/>
        </w:rPr>
        <w:t>Journal of Personality and </w:t>
      </w:r>
      <w:r>
        <w:rPr>
          <w:i/>
          <w:sz w:val="20"/>
        </w:rPr>
        <w:t>Social Psychology </w:t>
      </w:r>
      <w:r>
        <w:rPr>
          <w:sz w:val="20"/>
        </w:rPr>
        <w:t>597</w:t>
      </w:r>
    </w:p>
    <w:p>
      <w:pPr>
        <w:spacing w:line="206" w:lineRule="auto" w:before="118"/>
        <w:ind w:left="967" w:right="2213" w:firstLine="0"/>
        <w:jc w:val="left"/>
        <w:rPr>
          <w:sz w:val="20"/>
        </w:rPr>
      </w:pPr>
      <w:r>
        <w:rPr>
          <w:sz w:val="20"/>
        </w:rPr>
        <w:t>South Australian Law Reform Institute, </w:t>
      </w:r>
      <w:r>
        <w:rPr>
          <w:i/>
          <w:sz w:val="20"/>
        </w:rPr>
        <w:t>Providing a </w:t>
      </w:r>
      <w:r>
        <w:rPr>
          <w:i/>
          <w:spacing w:val="-3"/>
          <w:sz w:val="20"/>
        </w:rPr>
        <w:t>Voice to </w:t>
      </w:r>
      <w:r>
        <w:rPr>
          <w:i/>
          <w:sz w:val="20"/>
        </w:rPr>
        <w:t>the Vulnerable: A Study of </w:t>
      </w:r>
      <w:r>
        <w:rPr>
          <w:i/>
          <w:sz w:val="20"/>
        </w:rPr>
        <w:t>Communication Assistance in South Australia </w:t>
      </w:r>
      <w:r>
        <w:rPr>
          <w:sz w:val="20"/>
        </w:rPr>
        <w:t>(Report No 16, 2021)</w:t>
      </w:r>
    </w:p>
    <w:p>
      <w:pPr>
        <w:pStyle w:val="BodyText"/>
        <w:spacing w:line="206" w:lineRule="auto" w:before="116"/>
        <w:ind w:left="967" w:right="1295"/>
      </w:pPr>
      <w:r>
        <w:rPr/>
        <w:t>Special Broadcasting Service (SBS), ‘SBS and ABC Launch Audio Descriptions to Help Blind or Vision-Impaired Australians Enjoy Television More’, </w:t>
      </w:r>
      <w:r>
        <w:rPr>
          <w:i/>
        </w:rPr>
        <w:t>SBS News </w:t>
      </w:r>
      <w:r>
        <w:rPr/>
        <w:t>(online, 23 June 2020)</w:t>
      </w:r>
    </w:p>
    <w:p>
      <w:pPr>
        <w:pStyle w:val="BodyText"/>
        <w:spacing w:line="206" w:lineRule="auto" w:before="2"/>
        <w:ind w:left="967" w:right="1512"/>
      </w:pPr>
      <w:r>
        <w:rPr>
          <w:spacing w:val="-2"/>
        </w:rPr>
        <w:t>&lt;</w:t>
      </w:r>
      <w:hyperlink r:id="rId112">
        <w:r>
          <w:rPr>
            <w:spacing w:val="-2"/>
          </w:rPr>
          <w:t>https://www.sbs.com.au/news/sbs-and-abc-launch-audio-descriptions-to-help-blind-or-</w:t>
        </w:r>
      </w:hyperlink>
      <w:r>
        <w:rPr>
          <w:spacing w:val="-2"/>
        </w:rPr>
        <w:t> </w:t>
      </w:r>
      <w:hyperlink r:id="rId112">
        <w:r>
          <w:rPr/>
          <w:t>vision-impaired-australians-enjoy-television-more</w:t>
        </w:r>
      </w:hyperlink>
      <w:r>
        <w:rPr/>
        <w:t>&gt;</w:t>
      </w:r>
    </w:p>
    <w:p>
      <w:pPr>
        <w:pStyle w:val="BodyText"/>
        <w:spacing w:line="206" w:lineRule="auto" w:before="116"/>
        <w:ind w:left="967" w:right="1277"/>
      </w:pPr>
      <w:r>
        <w:rPr/>
        <w:t>Spencer, David et al, ‘Justice Is Blind as Long as It Isn’t Deaf: Excluding Deaf People from Jury Duty—an Australian Human Rights Breach’ (2017) 23(3) </w:t>
      </w:r>
      <w:r>
        <w:rPr>
          <w:i/>
        </w:rPr>
        <w:t>Australian Journal of Human Rights </w:t>
      </w:r>
      <w:r>
        <w:rPr/>
        <w:t>332</w:t>
      </w:r>
    </w:p>
    <w:p>
      <w:pPr>
        <w:spacing w:line="206" w:lineRule="auto" w:before="116"/>
        <w:ind w:left="967" w:right="1336" w:firstLine="0"/>
        <w:jc w:val="left"/>
        <w:rPr>
          <w:sz w:val="20"/>
        </w:rPr>
      </w:pPr>
      <w:r>
        <w:rPr>
          <w:sz w:val="20"/>
        </w:rPr>
        <w:t>Stern, Professor Ludmila et al, </w:t>
      </w:r>
      <w:r>
        <w:rPr>
          <w:i/>
          <w:sz w:val="20"/>
        </w:rPr>
        <w:t>Access to Justice in Interpreted Proceedings: The Role of Judicial </w:t>
      </w:r>
      <w:r>
        <w:rPr>
          <w:i/>
          <w:sz w:val="20"/>
        </w:rPr>
        <w:t>Officers </w:t>
      </w:r>
      <w:r>
        <w:rPr>
          <w:sz w:val="20"/>
        </w:rPr>
        <w:t>(Australia Research Council Linkage Project, University of New South Wales)</w:t>
      </w:r>
    </w:p>
    <w:p>
      <w:pPr>
        <w:pStyle w:val="BodyText"/>
        <w:spacing w:line="206" w:lineRule="auto" w:before="2"/>
        <w:ind w:left="967" w:right="1277"/>
      </w:pPr>
      <w:r>
        <w:rPr>
          <w:spacing w:val="-2"/>
        </w:rPr>
        <w:t>&lt;</w:t>
      </w:r>
      <w:hyperlink r:id="rId144">
        <w:r>
          <w:rPr>
            <w:spacing w:val="-2"/>
          </w:rPr>
          <w:t>https://research.unsw.edu.au/projects/access-justice-interpreted-proceedings-role-judicial-</w:t>
        </w:r>
      </w:hyperlink>
      <w:r>
        <w:rPr>
          <w:spacing w:val="-2"/>
        </w:rPr>
        <w:t> </w:t>
      </w:r>
      <w:hyperlink r:id="rId144">
        <w:r>
          <w:rPr/>
          <w:t>officers</w:t>
        </w:r>
      </w:hyperlink>
      <w:r>
        <w:rPr/>
        <w:t>&gt;</w:t>
      </w:r>
    </w:p>
    <w:p>
      <w:pPr>
        <w:pStyle w:val="BodyText"/>
        <w:spacing w:line="304" w:lineRule="auto" w:before="84"/>
        <w:ind w:left="967" w:right="1335"/>
        <w:rPr>
          <w:i/>
        </w:rPr>
      </w:pPr>
      <w:r>
        <w:rPr/>
        <w:t>Supreme Court of the Australian Capital Territory, </w:t>
      </w:r>
      <w:r>
        <w:rPr>
          <w:i/>
        </w:rPr>
        <w:t>Jury Handbook </w:t>
      </w:r>
      <w:r>
        <w:rPr/>
        <w:t>(Handbook, 12 June 2019) Supreme Court of Victoria</w:t>
      </w:r>
      <w:r>
        <w:rPr>
          <w:i/>
        </w:rPr>
        <w:t>,</w:t>
      </w:r>
    </w:p>
    <w:p>
      <w:pPr>
        <w:pStyle w:val="ListParagraph"/>
        <w:numPr>
          <w:ilvl w:val="0"/>
          <w:numId w:val="140"/>
        </w:numPr>
        <w:tabs>
          <w:tab w:pos="1307" w:val="left" w:leader="none"/>
          <w:tab w:pos="1308" w:val="left" w:leader="none"/>
        </w:tabs>
        <w:spacing w:line="259" w:lineRule="exact" w:before="2" w:after="0"/>
        <w:ind w:left="1307" w:right="0" w:hanging="340"/>
        <w:jc w:val="left"/>
        <w:rPr>
          <w:sz w:val="20"/>
        </w:rPr>
      </w:pPr>
      <w:r>
        <w:rPr>
          <w:spacing w:val="-3"/>
          <w:sz w:val="20"/>
        </w:rPr>
        <w:t>‘Accessibility’, </w:t>
      </w:r>
      <w:r>
        <w:rPr>
          <w:i/>
          <w:sz w:val="20"/>
        </w:rPr>
        <w:t>The Supreme Court of Victoria </w:t>
      </w:r>
      <w:r>
        <w:rPr>
          <w:sz w:val="20"/>
        </w:rPr>
        <w:t>(Web</w:t>
      </w:r>
      <w:r>
        <w:rPr>
          <w:spacing w:val="-12"/>
          <w:sz w:val="20"/>
        </w:rPr>
        <w:t> </w:t>
      </w:r>
      <w:r>
        <w:rPr>
          <w:sz w:val="20"/>
        </w:rPr>
        <w:t>Page)</w:t>
      </w:r>
    </w:p>
    <w:p>
      <w:pPr>
        <w:pStyle w:val="BodyText"/>
        <w:spacing w:line="259" w:lineRule="exact"/>
        <w:ind w:left="1307"/>
      </w:pPr>
      <w:r>
        <w:rPr/>
        <w:t>&lt;</w:t>
      </w:r>
      <w:hyperlink r:id="rId262">
        <w:r>
          <w:rPr/>
          <w:t>http://www.supremecourt.vic.gov.au/accessibility</w:t>
        </w:r>
      </w:hyperlink>
      <w:r>
        <w:rPr/>
        <w:t>&gt;</w:t>
      </w:r>
    </w:p>
    <w:p>
      <w:pPr>
        <w:pStyle w:val="ListParagraph"/>
        <w:numPr>
          <w:ilvl w:val="0"/>
          <w:numId w:val="140"/>
        </w:numPr>
        <w:tabs>
          <w:tab w:pos="1307" w:val="left" w:leader="none"/>
          <w:tab w:pos="1308" w:val="left" w:leader="none"/>
        </w:tabs>
        <w:spacing w:line="240" w:lineRule="auto" w:before="47" w:after="0"/>
        <w:ind w:left="1307" w:right="0" w:hanging="340"/>
        <w:jc w:val="left"/>
        <w:rPr>
          <w:sz w:val="20"/>
        </w:rPr>
      </w:pPr>
      <w:r>
        <w:rPr>
          <w:i/>
          <w:sz w:val="20"/>
        </w:rPr>
        <w:t>Annual Report 2019–2020 </w:t>
      </w:r>
      <w:r>
        <w:rPr>
          <w:sz w:val="20"/>
        </w:rPr>
        <w:t>(Report,</w:t>
      </w:r>
      <w:r>
        <w:rPr>
          <w:spacing w:val="-8"/>
          <w:sz w:val="20"/>
        </w:rPr>
        <w:t> </w:t>
      </w:r>
      <w:r>
        <w:rPr>
          <w:spacing w:val="-3"/>
          <w:sz w:val="20"/>
        </w:rPr>
        <w:t>2020)</w:t>
      </w:r>
    </w:p>
    <w:p>
      <w:pPr>
        <w:pStyle w:val="ListParagraph"/>
        <w:numPr>
          <w:ilvl w:val="0"/>
          <w:numId w:val="140"/>
        </w:numPr>
        <w:tabs>
          <w:tab w:pos="1307" w:val="left" w:leader="none"/>
          <w:tab w:pos="1308" w:val="left" w:leader="none"/>
        </w:tabs>
        <w:spacing w:line="259" w:lineRule="exact" w:before="47" w:after="0"/>
        <w:ind w:left="1307" w:right="0" w:hanging="340"/>
        <w:jc w:val="left"/>
        <w:rPr>
          <w:sz w:val="20"/>
        </w:rPr>
      </w:pPr>
      <w:r>
        <w:rPr>
          <w:sz w:val="20"/>
        </w:rPr>
        <w:t>‘COVID-19 and the Court’, </w:t>
      </w:r>
      <w:r>
        <w:rPr>
          <w:i/>
          <w:sz w:val="20"/>
        </w:rPr>
        <w:t>Supreme Court of Victoria </w:t>
      </w:r>
      <w:r>
        <w:rPr>
          <w:sz w:val="20"/>
        </w:rPr>
        <w:t>(Web Page, 3 March</w:t>
      </w:r>
      <w:r>
        <w:rPr>
          <w:spacing w:val="-35"/>
          <w:sz w:val="20"/>
        </w:rPr>
        <w:t> </w:t>
      </w:r>
      <w:r>
        <w:rPr>
          <w:sz w:val="20"/>
        </w:rPr>
        <w:t>2022)</w:t>
      </w:r>
    </w:p>
    <w:p>
      <w:pPr>
        <w:pStyle w:val="BodyText"/>
        <w:spacing w:line="259" w:lineRule="exact"/>
        <w:ind w:left="1307"/>
      </w:pPr>
      <w:r>
        <w:rPr/>
        <w:t>&lt;</w:t>
      </w:r>
      <w:hyperlink r:id="rId33">
        <w:r>
          <w:rPr/>
          <w:t>http://www.supremecourt.vic.gov.au/news/covid-19</w:t>
        </w:r>
      </w:hyperlink>
      <w:r>
        <w:rPr/>
        <w:t>&gt;</w:t>
      </w:r>
    </w:p>
    <w:p>
      <w:pPr>
        <w:pStyle w:val="ListParagraph"/>
        <w:numPr>
          <w:ilvl w:val="0"/>
          <w:numId w:val="140"/>
        </w:numPr>
        <w:tabs>
          <w:tab w:pos="1307" w:val="left" w:leader="none"/>
          <w:tab w:pos="1308" w:val="left" w:leader="none"/>
        </w:tabs>
        <w:spacing w:line="259" w:lineRule="exact" w:before="48" w:after="0"/>
        <w:ind w:left="1307" w:right="0" w:hanging="340"/>
        <w:jc w:val="left"/>
        <w:rPr>
          <w:sz w:val="20"/>
        </w:rPr>
      </w:pPr>
      <w:r>
        <w:rPr>
          <w:sz w:val="20"/>
        </w:rPr>
        <w:t>‘Covid-19 and the Court’, </w:t>
      </w:r>
      <w:r>
        <w:rPr>
          <w:i/>
          <w:sz w:val="20"/>
        </w:rPr>
        <w:t>Supreme Court of Victoria </w:t>
      </w:r>
      <w:r>
        <w:rPr>
          <w:sz w:val="20"/>
        </w:rPr>
        <w:t>(Web Page, 27 April</w:t>
      </w:r>
      <w:r>
        <w:rPr>
          <w:spacing w:val="-34"/>
          <w:sz w:val="20"/>
        </w:rPr>
        <w:t> </w:t>
      </w:r>
      <w:r>
        <w:rPr>
          <w:sz w:val="20"/>
        </w:rPr>
        <w:t>2022)</w:t>
      </w:r>
    </w:p>
    <w:p>
      <w:pPr>
        <w:pStyle w:val="BodyText"/>
        <w:spacing w:line="259" w:lineRule="exact"/>
        <w:ind w:left="1307"/>
      </w:pPr>
      <w:r>
        <w:rPr/>
        <w:t>&lt;</w:t>
      </w:r>
      <w:hyperlink r:id="rId187">
        <w:r>
          <w:rPr/>
          <w:t>https://www.supremecourt.vic.gov.au/news/covid-19</w:t>
        </w:r>
      </w:hyperlink>
      <w:r>
        <w:rPr/>
        <w:t>&gt;</w:t>
      </w:r>
    </w:p>
    <w:p>
      <w:pPr>
        <w:pStyle w:val="ListParagraph"/>
        <w:numPr>
          <w:ilvl w:val="0"/>
          <w:numId w:val="140"/>
        </w:numPr>
        <w:tabs>
          <w:tab w:pos="1307" w:val="left" w:leader="none"/>
          <w:tab w:pos="1308" w:val="left" w:leader="none"/>
        </w:tabs>
        <w:spacing w:line="259" w:lineRule="exact" w:before="47" w:after="0"/>
        <w:ind w:left="1307" w:right="0" w:hanging="340"/>
        <w:jc w:val="left"/>
        <w:rPr>
          <w:sz w:val="20"/>
        </w:rPr>
      </w:pPr>
      <w:r>
        <w:rPr>
          <w:sz w:val="20"/>
        </w:rPr>
        <w:t>‘Our History’, </w:t>
      </w:r>
      <w:r>
        <w:rPr>
          <w:i/>
          <w:sz w:val="20"/>
        </w:rPr>
        <w:t>Supreme Court of Victoria </w:t>
      </w:r>
      <w:r>
        <w:rPr>
          <w:sz w:val="20"/>
        </w:rPr>
        <w:t>(Web</w:t>
      </w:r>
      <w:r>
        <w:rPr>
          <w:spacing w:val="-16"/>
          <w:sz w:val="20"/>
        </w:rPr>
        <w:t> </w:t>
      </w:r>
      <w:r>
        <w:rPr>
          <w:sz w:val="20"/>
        </w:rPr>
        <w:t>Page)</w:t>
      </w:r>
    </w:p>
    <w:p>
      <w:pPr>
        <w:pStyle w:val="BodyText"/>
        <w:spacing w:line="259" w:lineRule="exact"/>
        <w:ind w:left="1307"/>
      </w:pPr>
      <w:r>
        <w:rPr/>
        <w:t>&lt;</w:t>
      </w:r>
      <w:hyperlink r:id="rId82">
        <w:r>
          <w:rPr/>
          <w:t>https://www.supremecourt.vic.gov.au/about-the-court/our-history</w:t>
        </w:r>
      </w:hyperlink>
      <w:r>
        <w:rPr/>
        <w:t>&gt;</w:t>
      </w:r>
    </w:p>
    <w:p>
      <w:pPr>
        <w:pStyle w:val="ListParagraph"/>
        <w:numPr>
          <w:ilvl w:val="0"/>
          <w:numId w:val="140"/>
        </w:numPr>
        <w:tabs>
          <w:tab w:pos="1307" w:val="left" w:leader="none"/>
          <w:tab w:pos="1308" w:val="left" w:leader="none"/>
        </w:tabs>
        <w:spacing w:line="240" w:lineRule="auto" w:before="48" w:after="0"/>
        <w:ind w:left="1307" w:right="0" w:hanging="340"/>
        <w:jc w:val="left"/>
        <w:rPr>
          <w:sz w:val="20"/>
        </w:rPr>
      </w:pPr>
      <w:r>
        <w:rPr>
          <w:i/>
          <w:spacing w:val="-4"/>
          <w:sz w:val="20"/>
        </w:rPr>
        <w:t>Trial </w:t>
      </w:r>
      <w:r>
        <w:rPr>
          <w:i/>
          <w:sz w:val="20"/>
        </w:rPr>
        <w:t>by Judge Alone COVID-19 Emergency Protocol </w:t>
      </w:r>
      <w:r>
        <w:rPr>
          <w:sz w:val="20"/>
        </w:rPr>
        <w:t>(Report, May</w:t>
      </w:r>
      <w:r>
        <w:rPr>
          <w:spacing w:val="-19"/>
          <w:sz w:val="20"/>
        </w:rPr>
        <w:t> </w:t>
      </w:r>
      <w:r>
        <w:rPr>
          <w:spacing w:val="-3"/>
          <w:sz w:val="20"/>
        </w:rPr>
        <w:t>2020)</w:t>
      </w:r>
    </w:p>
    <w:p>
      <w:pPr>
        <w:pStyle w:val="BodyText"/>
        <w:spacing w:line="206" w:lineRule="auto" w:before="80"/>
        <w:ind w:left="967" w:right="1492"/>
      </w:pPr>
      <w:r>
        <w:rPr/>
        <w:t>Swains, Howard, ‘Subtitles Help Deaf Juror Past “13th Stranger” Court </w:t>
      </w:r>
      <w:r>
        <w:rPr>
          <w:spacing w:val="-4"/>
        </w:rPr>
        <w:t>Rules’, </w:t>
      </w:r>
      <w:r>
        <w:rPr>
          <w:i/>
        </w:rPr>
        <w:t>The Guardian </w:t>
      </w:r>
      <w:r>
        <w:rPr/>
        <w:t>(online, 28 August 2019) </w:t>
      </w:r>
      <w:r>
        <w:rPr>
          <w:spacing w:val="-3"/>
        </w:rPr>
        <w:t>&lt;</w:t>
      </w:r>
      <w:hyperlink r:id="rId167">
        <w:r>
          <w:rPr>
            <w:spacing w:val="-3"/>
          </w:rPr>
          <w:t>https://www.theguardian.com/law/2019/aug/28/man-sets-legal-</w:t>
        </w:r>
      </w:hyperlink>
      <w:r>
        <w:rPr>
          <w:spacing w:val="-3"/>
        </w:rPr>
        <w:t> </w:t>
      </w:r>
      <w:hyperlink r:id="rId167">
        <w:r>
          <w:rPr/>
          <w:t>landmark-as-first-deaf-juror-in-english-court</w:t>
        </w:r>
      </w:hyperlink>
      <w:r>
        <w:rPr/>
        <w:t>&gt;</w:t>
      </w:r>
    </w:p>
    <w:p>
      <w:pPr>
        <w:pStyle w:val="BodyText"/>
        <w:spacing w:before="84"/>
        <w:ind w:left="967"/>
        <w:rPr>
          <w:i/>
        </w:rPr>
      </w:pPr>
      <w:r>
        <w:rPr/>
        <w:t>The Courts Service of Ireland</w:t>
      </w:r>
      <w:r>
        <w:rPr>
          <w:i/>
        </w:rPr>
        <w:t>,</w:t>
      </w:r>
    </w:p>
    <w:p>
      <w:pPr>
        <w:pStyle w:val="ListParagraph"/>
        <w:numPr>
          <w:ilvl w:val="0"/>
          <w:numId w:val="140"/>
        </w:numPr>
        <w:tabs>
          <w:tab w:pos="1307" w:val="left" w:leader="none"/>
          <w:tab w:pos="1308" w:val="left" w:leader="none"/>
        </w:tabs>
        <w:spacing w:line="259" w:lineRule="exact" w:before="76" w:after="0"/>
        <w:ind w:left="1307" w:right="0" w:hanging="340"/>
        <w:jc w:val="left"/>
        <w:rPr>
          <w:sz w:val="20"/>
        </w:rPr>
      </w:pPr>
      <w:r>
        <w:rPr>
          <w:spacing w:val="-3"/>
          <w:sz w:val="20"/>
        </w:rPr>
        <w:t>‘Accessibility’, </w:t>
      </w:r>
      <w:r>
        <w:rPr>
          <w:i/>
          <w:sz w:val="20"/>
        </w:rPr>
        <w:t>The Courts Service of Ireland </w:t>
      </w:r>
      <w:r>
        <w:rPr>
          <w:sz w:val="20"/>
        </w:rPr>
        <w:t>(Web</w:t>
      </w:r>
      <w:r>
        <w:rPr>
          <w:spacing w:val="-11"/>
          <w:sz w:val="20"/>
        </w:rPr>
        <w:t> </w:t>
      </w:r>
      <w:r>
        <w:rPr>
          <w:sz w:val="20"/>
        </w:rPr>
        <w:t>Page)</w:t>
      </w:r>
    </w:p>
    <w:p>
      <w:pPr>
        <w:pStyle w:val="BodyText"/>
        <w:spacing w:line="259" w:lineRule="exact"/>
        <w:ind w:left="1307"/>
      </w:pPr>
      <w:r>
        <w:rPr/>
        <w:t>&lt;</w:t>
      </w:r>
      <w:hyperlink r:id="rId194">
        <w:r>
          <w:rPr/>
          <w:t>https://www.courts.ie/accessibility</w:t>
        </w:r>
      </w:hyperlink>
      <w:r>
        <w:rPr/>
        <w:t>&gt;</w:t>
      </w:r>
    </w:p>
    <w:p>
      <w:pPr>
        <w:pStyle w:val="ListParagraph"/>
        <w:numPr>
          <w:ilvl w:val="0"/>
          <w:numId w:val="140"/>
        </w:numPr>
        <w:tabs>
          <w:tab w:pos="1307" w:val="left" w:leader="none"/>
          <w:tab w:pos="1308" w:val="left" w:leader="none"/>
        </w:tabs>
        <w:spacing w:line="259" w:lineRule="exact" w:before="48" w:after="0"/>
        <w:ind w:left="1307" w:right="0" w:hanging="340"/>
        <w:jc w:val="left"/>
        <w:rPr>
          <w:sz w:val="20"/>
        </w:rPr>
      </w:pPr>
      <w:r>
        <w:rPr>
          <w:sz w:val="20"/>
        </w:rPr>
        <w:t>‘Who Can Be Called for Jury Service?’, </w:t>
      </w:r>
      <w:r>
        <w:rPr>
          <w:i/>
          <w:sz w:val="20"/>
        </w:rPr>
        <w:t>The Courts Service of Ireland </w:t>
      </w:r>
      <w:r>
        <w:rPr>
          <w:sz w:val="20"/>
        </w:rPr>
        <w:t>(Web</w:t>
      </w:r>
      <w:r>
        <w:rPr>
          <w:spacing w:val="-30"/>
          <w:sz w:val="20"/>
        </w:rPr>
        <w:t> </w:t>
      </w:r>
      <w:r>
        <w:rPr>
          <w:sz w:val="20"/>
        </w:rPr>
        <w:t>Page)</w:t>
      </w:r>
    </w:p>
    <w:p>
      <w:pPr>
        <w:pStyle w:val="BodyText"/>
        <w:spacing w:line="259" w:lineRule="exact"/>
        <w:ind w:left="1307"/>
      </w:pPr>
      <w:r>
        <w:rPr/>
        <w:t>&lt;</w:t>
      </w:r>
      <w:hyperlink r:id="rId172">
        <w:r>
          <w:rPr/>
          <w:t>https://www.courts.ie/who-can-be-called-jury-service</w:t>
        </w:r>
      </w:hyperlink>
      <w:r>
        <w:rPr/>
        <w:t>&gt;</w:t>
      </w:r>
    </w:p>
    <w:p>
      <w:pPr>
        <w:spacing w:before="72"/>
        <w:ind w:left="0" w:right="213" w:firstLine="0"/>
        <w:jc w:val="right"/>
        <w:rPr>
          <w:b/>
          <w:sz w:val="24"/>
        </w:rPr>
      </w:pPr>
      <w:r>
        <w:rPr>
          <w:b/>
          <w:color w:val="37617A"/>
          <w:sz w:val="24"/>
        </w:rPr>
        <w:t>245</w:t>
      </w:r>
    </w:p>
    <w:p>
      <w:pPr>
        <w:spacing w:after="0"/>
        <w:jc w:val="right"/>
        <w:rPr>
          <w:sz w:val="24"/>
        </w:rPr>
        <w:sectPr>
          <w:pgSz w:w="11910" w:h="16840"/>
          <w:pgMar w:header="0" w:footer="0" w:top="840" w:bottom="280" w:left="620" w:right="380"/>
        </w:sectPr>
      </w:pPr>
    </w:p>
    <w:p>
      <w:pPr>
        <w:pStyle w:val="BodyText"/>
        <w:rPr>
          <w:b/>
        </w:rPr>
      </w:pPr>
    </w:p>
    <w:p>
      <w:pPr>
        <w:pStyle w:val="BodyText"/>
        <w:rPr>
          <w:b/>
        </w:rPr>
      </w:pPr>
    </w:p>
    <w:p>
      <w:pPr>
        <w:pStyle w:val="BodyText"/>
        <w:rPr>
          <w:b/>
        </w:rPr>
      </w:pPr>
    </w:p>
    <w:p>
      <w:pPr>
        <w:pStyle w:val="BodyText"/>
        <w:spacing w:before="7"/>
        <w:rPr>
          <w:b/>
          <w:sz w:val="16"/>
        </w:rPr>
      </w:pPr>
    </w:p>
    <w:p>
      <w:pPr>
        <w:pStyle w:val="BodyText"/>
        <w:spacing w:line="259" w:lineRule="exact"/>
        <w:ind w:left="967"/>
      </w:pPr>
      <w:r>
        <w:rPr/>
        <w:t>The Wiggles, ‘Emma’s Sign Language Time’ (YouTube, 16 February 2021)</w:t>
      </w:r>
    </w:p>
    <w:p>
      <w:pPr>
        <w:pStyle w:val="BodyText"/>
        <w:spacing w:line="206" w:lineRule="auto" w:before="13"/>
        <w:ind w:left="967" w:right="1335"/>
      </w:pPr>
      <w:r>
        <w:rPr>
          <w:spacing w:val="-2"/>
        </w:rPr>
        <w:t>&lt;</w:t>
      </w:r>
      <w:hyperlink r:id="rId109">
        <w:r>
          <w:rPr>
            <w:spacing w:val="-2"/>
          </w:rPr>
          <w:t>https://www.youtube.com/playlist?app=desktop&amp;list=PLn4s8r0gyEeu5KI4We5jJNTCrG_</w:t>
        </w:r>
      </w:hyperlink>
      <w:r>
        <w:rPr>
          <w:spacing w:val="-2"/>
        </w:rPr>
        <w:t> </w:t>
      </w:r>
      <w:hyperlink r:id="rId109">
        <w:r>
          <w:rPr/>
          <w:t>EEWm31</w:t>
        </w:r>
      </w:hyperlink>
      <w:r>
        <w:rPr/>
        <w:t>&gt;</w:t>
      </w:r>
    </w:p>
    <w:p>
      <w:pPr>
        <w:spacing w:line="259" w:lineRule="exact" w:before="84"/>
        <w:ind w:left="967" w:right="0" w:firstLine="0"/>
        <w:jc w:val="left"/>
        <w:rPr>
          <w:sz w:val="20"/>
        </w:rPr>
      </w:pPr>
      <w:r>
        <w:rPr>
          <w:sz w:val="20"/>
        </w:rPr>
        <w:t>Thomas, Matthew, ‘The 1967 Referendum’, </w:t>
      </w:r>
      <w:r>
        <w:rPr>
          <w:i/>
          <w:sz w:val="20"/>
        </w:rPr>
        <w:t>Parliament of Australia </w:t>
      </w:r>
      <w:r>
        <w:rPr>
          <w:sz w:val="20"/>
        </w:rPr>
        <w:t>(Web Page, 25 May 2017)</w:t>
      </w:r>
    </w:p>
    <w:p>
      <w:pPr>
        <w:pStyle w:val="BodyText"/>
        <w:spacing w:line="206" w:lineRule="auto" w:before="13"/>
        <w:ind w:left="967"/>
      </w:pPr>
      <w:r>
        <w:rPr>
          <w:w w:val="95"/>
        </w:rPr>
        <w:t>&lt;</w:t>
      </w:r>
      <w:hyperlink r:id="rId84">
        <w:r>
          <w:rPr>
            <w:w w:val="95"/>
          </w:rPr>
          <w:t>https://www.aph.gov.au/About_Parliament/Parliamentary_Departments/Parliamentary_</w:t>
        </w:r>
      </w:hyperlink>
      <w:r>
        <w:rPr>
          <w:w w:val="95"/>
        </w:rPr>
        <w:t> </w:t>
      </w:r>
      <w:hyperlink r:id="rId84">
        <w:r>
          <w:rPr/>
          <w:t>Library/FlagPost/2017/May/The_1967_Referendum</w:t>
        </w:r>
      </w:hyperlink>
      <w:r>
        <w:rPr/>
        <w:t>&gt;</w:t>
      </w:r>
    </w:p>
    <w:p>
      <w:pPr>
        <w:pStyle w:val="BodyText"/>
        <w:spacing w:line="206" w:lineRule="auto" w:before="116"/>
        <w:ind w:left="967" w:right="1312"/>
      </w:pPr>
      <w:r>
        <w:rPr/>
        <w:t>Tierney, Hon Gayle, Minister for Training and Skills and Higher Education (Vic), ‘Increasing The Auslan Teaching Workforce In Victoria’ (Media Release, 17 May 2022)</w:t>
      </w:r>
    </w:p>
    <w:p>
      <w:pPr>
        <w:spacing w:line="206" w:lineRule="auto" w:before="116"/>
        <w:ind w:left="967" w:right="1909" w:firstLine="0"/>
        <w:jc w:val="left"/>
        <w:rPr>
          <w:sz w:val="20"/>
        </w:rPr>
      </w:pPr>
      <w:r>
        <w:rPr>
          <w:sz w:val="20"/>
        </w:rPr>
        <w:t>Tong, B Ah et al, </w:t>
      </w:r>
      <w:r>
        <w:rPr>
          <w:i/>
          <w:sz w:val="20"/>
        </w:rPr>
        <w:t>A Snapshot of Blindness and Low Vision Services in Australia </w:t>
      </w:r>
      <w:r>
        <w:rPr>
          <w:sz w:val="20"/>
        </w:rPr>
        <w:t>(Australian Blindness Forum Report, August 2015)</w:t>
      </w:r>
    </w:p>
    <w:p>
      <w:pPr>
        <w:spacing w:line="206" w:lineRule="auto" w:before="116"/>
        <w:ind w:left="967" w:right="1531" w:firstLine="0"/>
        <w:jc w:val="left"/>
        <w:rPr>
          <w:sz w:val="20"/>
        </w:rPr>
      </w:pPr>
      <w:r>
        <w:rPr>
          <w:sz w:val="20"/>
        </w:rPr>
        <w:t>Treasury (Cth), </w:t>
      </w:r>
      <w:r>
        <w:rPr>
          <w:i/>
          <w:sz w:val="20"/>
        </w:rPr>
        <w:t>Restoring Trust in Australia’s Financial System—The Government Response to </w:t>
      </w:r>
      <w:r>
        <w:rPr>
          <w:i/>
          <w:sz w:val="20"/>
        </w:rPr>
        <w:t>the Royal Commission into Misconduct in the Banking, Superannuation and Financial Services Industry </w:t>
      </w:r>
      <w:r>
        <w:rPr>
          <w:sz w:val="20"/>
        </w:rPr>
        <w:t>(Report, 4 February 2019)</w:t>
      </w:r>
    </w:p>
    <w:p>
      <w:pPr>
        <w:pStyle w:val="BodyText"/>
        <w:spacing w:line="206" w:lineRule="auto" w:before="117"/>
        <w:ind w:left="967" w:right="1310"/>
      </w:pPr>
      <w:r>
        <w:rPr/>
        <w:t>Tregenza, Holly, ‘The Coronavirus Pandemic and Bushfire Emergency Have Thrust Auslan Interpreters into the Spotlight’, </w:t>
      </w:r>
      <w:r>
        <w:rPr>
          <w:i/>
        </w:rPr>
        <w:t>ABC News </w:t>
      </w:r>
      <w:r>
        <w:rPr/>
        <w:t>(online, 11 April 2020) &lt;</w:t>
      </w:r>
      <w:hyperlink r:id="rId107">
        <w:r>
          <w:rPr/>
          <w:t>https://www.abc.net.au/</w:t>
        </w:r>
      </w:hyperlink>
      <w:r>
        <w:rPr/>
        <w:t> </w:t>
      </w:r>
      <w:hyperlink r:id="rId107">
        <w:r>
          <w:rPr/>
          <w:t>news/2020-04-11/coronavirus-bushfires-thrust-auslan-interpreters-into-spotlight/12140824</w:t>
        </w:r>
      </w:hyperlink>
      <w:r>
        <w:rPr/>
        <w:t>&gt;</w:t>
      </w:r>
    </w:p>
    <w:p>
      <w:pPr>
        <w:pStyle w:val="BodyText"/>
        <w:spacing w:before="85"/>
        <w:ind w:left="967"/>
      </w:pPr>
      <w:r>
        <w:rPr/>
        <w:t>United Nations,</w:t>
      </w:r>
    </w:p>
    <w:p>
      <w:pPr>
        <w:pStyle w:val="ListParagraph"/>
        <w:numPr>
          <w:ilvl w:val="0"/>
          <w:numId w:val="141"/>
        </w:numPr>
        <w:tabs>
          <w:tab w:pos="1307" w:val="left" w:leader="none"/>
          <w:tab w:pos="1308" w:val="left" w:leader="none"/>
        </w:tabs>
        <w:spacing w:line="206" w:lineRule="auto" w:before="108" w:after="0"/>
        <w:ind w:left="1307" w:right="1396" w:hanging="340"/>
        <w:jc w:val="left"/>
        <w:rPr>
          <w:sz w:val="20"/>
        </w:rPr>
      </w:pPr>
      <w:r>
        <w:rPr>
          <w:sz w:val="20"/>
        </w:rPr>
        <w:t>‘Chapter</w:t>
      </w:r>
      <w:r>
        <w:rPr>
          <w:spacing w:val="-7"/>
          <w:sz w:val="20"/>
        </w:rPr>
        <w:t> </w:t>
      </w:r>
      <w:r>
        <w:rPr>
          <w:sz w:val="20"/>
        </w:rPr>
        <w:t>IV</w:t>
      </w:r>
      <w:r>
        <w:rPr>
          <w:spacing w:val="-7"/>
          <w:sz w:val="20"/>
        </w:rPr>
        <w:t> </w:t>
      </w:r>
      <w:r>
        <w:rPr>
          <w:sz w:val="20"/>
        </w:rPr>
        <w:t>15</w:t>
      </w:r>
      <w:r>
        <w:rPr>
          <w:spacing w:val="-7"/>
          <w:sz w:val="20"/>
        </w:rPr>
        <w:t> </w:t>
      </w:r>
      <w:r>
        <w:rPr>
          <w:sz w:val="20"/>
        </w:rPr>
        <w:t>Human</w:t>
      </w:r>
      <w:r>
        <w:rPr>
          <w:spacing w:val="-6"/>
          <w:sz w:val="20"/>
        </w:rPr>
        <w:t> </w:t>
      </w:r>
      <w:r>
        <w:rPr>
          <w:sz w:val="20"/>
        </w:rPr>
        <w:t>Rights:</w:t>
      </w:r>
      <w:r>
        <w:rPr>
          <w:spacing w:val="-7"/>
          <w:sz w:val="20"/>
        </w:rPr>
        <w:t> </w:t>
      </w:r>
      <w:r>
        <w:rPr>
          <w:sz w:val="20"/>
        </w:rPr>
        <w:t>Convention</w:t>
      </w:r>
      <w:r>
        <w:rPr>
          <w:spacing w:val="-7"/>
          <w:sz w:val="20"/>
        </w:rPr>
        <w:t> </w:t>
      </w:r>
      <w:r>
        <w:rPr>
          <w:sz w:val="20"/>
        </w:rPr>
        <w:t>on</w:t>
      </w:r>
      <w:r>
        <w:rPr>
          <w:spacing w:val="-7"/>
          <w:sz w:val="20"/>
        </w:rPr>
        <w:t> </w:t>
      </w:r>
      <w:r>
        <w:rPr>
          <w:sz w:val="20"/>
        </w:rPr>
        <w:t>the</w:t>
      </w:r>
      <w:r>
        <w:rPr>
          <w:spacing w:val="-6"/>
          <w:sz w:val="20"/>
        </w:rPr>
        <w:t> </w:t>
      </w:r>
      <w:r>
        <w:rPr>
          <w:sz w:val="20"/>
        </w:rPr>
        <w:t>Rights</w:t>
      </w:r>
      <w:r>
        <w:rPr>
          <w:spacing w:val="-7"/>
          <w:sz w:val="20"/>
        </w:rPr>
        <w:t> </w:t>
      </w:r>
      <w:r>
        <w:rPr>
          <w:sz w:val="20"/>
        </w:rPr>
        <w:t>of</w:t>
      </w:r>
      <w:r>
        <w:rPr>
          <w:spacing w:val="-7"/>
          <w:sz w:val="20"/>
        </w:rPr>
        <w:t> </w:t>
      </w:r>
      <w:r>
        <w:rPr>
          <w:sz w:val="20"/>
        </w:rPr>
        <w:t>Persons</w:t>
      </w:r>
      <w:r>
        <w:rPr>
          <w:spacing w:val="-7"/>
          <w:sz w:val="20"/>
        </w:rPr>
        <w:t> </w:t>
      </w:r>
      <w:r>
        <w:rPr>
          <w:sz w:val="20"/>
        </w:rPr>
        <w:t>with</w:t>
      </w:r>
      <w:r>
        <w:rPr>
          <w:spacing w:val="-6"/>
          <w:sz w:val="20"/>
        </w:rPr>
        <w:t> </w:t>
      </w:r>
      <w:r>
        <w:rPr>
          <w:sz w:val="20"/>
        </w:rPr>
        <w:t>Disabilities’,</w:t>
      </w:r>
      <w:r>
        <w:rPr>
          <w:spacing w:val="-7"/>
          <w:sz w:val="20"/>
        </w:rPr>
        <w:t> </w:t>
      </w:r>
      <w:r>
        <w:rPr>
          <w:i/>
          <w:sz w:val="20"/>
        </w:rPr>
        <w:t>United </w:t>
      </w:r>
      <w:r>
        <w:rPr>
          <w:i/>
          <w:sz w:val="20"/>
        </w:rPr>
        <w:t>Nations </w:t>
      </w:r>
      <w:r>
        <w:rPr>
          <w:i/>
          <w:spacing w:val="-4"/>
          <w:sz w:val="20"/>
        </w:rPr>
        <w:t>Treaty </w:t>
      </w:r>
      <w:r>
        <w:rPr>
          <w:i/>
          <w:sz w:val="20"/>
        </w:rPr>
        <w:t>Collection </w:t>
      </w:r>
      <w:r>
        <w:rPr>
          <w:sz w:val="20"/>
        </w:rPr>
        <w:t>(Online Collection, </w:t>
      </w:r>
      <w:r>
        <w:rPr>
          <w:spacing w:val="2"/>
          <w:sz w:val="20"/>
        </w:rPr>
        <w:t>14 </w:t>
      </w:r>
      <w:r>
        <w:rPr>
          <w:sz w:val="20"/>
        </w:rPr>
        <w:t>June</w:t>
      </w:r>
      <w:r>
        <w:rPr>
          <w:spacing w:val="-16"/>
          <w:sz w:val="20"/>
        </w:rPr>
        <w:t> </w:t>
      </w:r>
      <w:r>
        <w:rPr>
          <w:sz w:val="20"/>
        </w:rPr>
        <w:t>2022)</w:t>
      </w:r>
    </w:p>
    <w:p>
      <w:pPr>
        <w:pStyle w:val="BodyText"/>
        <w:spacing w:line="248" w:lineRule="exact"/>
        <w:ind w:left="1307"/>
      </w:pPr>
      <w:r>
        <w:rPr/>
        <w:t>&lt;</w:t>
      </w:r>
      <w:hyperlink r:id="rId93">
        <w:r>
          <w:rPr/>
          <w:t>https://treaties.un.org/pages/Treaties.aspx?id=4&amp;subid=A&amp;lang=en</w:t>
        </w:r>
      </w:hyperlink>
      <w:r>
        <w:rPr/>
        <w:t>&gt;</w:t>
      </w:r>
    </w:p>
    <w:p>
      <w:pPr>
        <w:pStyle w:val="ListParagraph"/>
        <w:numPr>
          <w:ilvl w:val="0"/>
          <w:numId w:val="141"/>
        </w:numPr>
        <w:tabs>
          <w:tab w:pos="1307" w:val="left" w:leader="none"/>
          <w:tab w:pos="1308" w:val="left" w:leader="none"/>
        </w:tabs>
        <w:spacing w:line="206" w:lineRule="auto" w:before="80" w:after="0"/>
        <w:ind w:left="1307" w:right="1426" w:hanging="340"/>
        <w:jc w:val="left"/>
        <w:rPr>
          <w:sz w:val="20"/>
        </w:rPr>
      </w:pPr>
      <w:r>
        <w:rPr>
          <w:sz w:val="20"/>
        </w:rPr>
        <w:t>‘Committee</w:t>
      </w:r>
      <w:r>
        <w:rPr>
          <w:spacing w:val="-6"/>
          <w:sz w:val="20"/>
        </w:rPr>
        <w:t> </w:t>
      </w:r>
      <w:r>
        <w:rPr>
          <w:sz w:val="20"/>
        </w:rPr>
        <w:t>on</w:t>
      </w:r>
      <w:r>
        <w:rPr>
          <w:spacing w:val="-6"/>
          <w:sz w:val="20"/>
        </w:rPr>
        <w:t> </w:t>
      </w:r>
      <w:r>
        <w:rPr>
          <w:sz w:val="20"/>
        </w:rPr>
        <w:t>the</w:t>
      </w:r>
      <w:r>
        <w:rPr>
          <w:spacing w:val="-6"/>
          <w:sz w:val="20"/>
        </w:rPr>
        <w:t> </w:t>
      </w:r>
      <w:r>
        <w:rPr>
          <w:sz w:val="20"/>
        </w:rPr>
        <w:t>Rights</w:t>
      </w:r>
      <w:r>
        <w:rPr>
          <w:spacing w:val="-6"/>
          <w:sz w:val="20"/>
        </w:rPr>
        <w:t> </w:t>
      </w:r>
      <w:r>
        <w:rPr>
          <w:sz w:val="20"/>
        </w:rPr>
        <w:t>of</w:t>
      </w:r>
      <w:r>
        <w:rPr>
          <w:spacing w:val="-6"/>
          <w:sz w:val="20"/>
        </w:rPr>
        <w:t> </w:t>
      </w:r>
      <w:r>
        <w:rPr>
          <w:sz w:val="20"/>
        </w:rPr>
        <w:t>Persons</w:t>
      </w:r>
      <w:r>
        <w:rPr>
          <w:spacing w:val="-5"/>
          <w:sz w:val="20"/>
        </w:rPr>
        <w:t> </w:t>
      </w:r>
      <w:r>
        <w:rPr>
          <w:sz w:val="20"/>
        </w:rPr>
        <w:t>with</w:t>
      </w:r>
      <w:r>
        <w:rPr>
          <w:spacing w:val="-6"/>
          <w:sz w:val="20"/>
        </w:rPr>
        <w:t> </w:t>
      </w:r>
      <w:r>
        <w:rPr>
          <w:sz w:val="20"/>
        </w:rPr>
        <w:t>Disabilities’,</w:t>
      </w:r>
      <w:r>
        <w:rPr>
          <w:spacing w:val="-6"/>
          <w:sz w:val="20"/>
        </w:rPr>
        <w:t> </w:t>
      </w:r>
      <w:r>
        <w:rPr>
          <w:i/>
          <w:sz w:val="20"/>
        </w:rPr>
        <w:t>United</w:t>
      </w:r>
      <w:r>
        <w:rPr>
          <w:i/>
          <w:spacing w:val="-6"/>
          <w:sz w:val="20"/>
        </w:rPr>
        <w:t> </w:t>
      </w:r>
      <w:r>
        <w:rPr>
          <w:i/>
          <w:sz w:val="20"/>
        </w:rPr>
        <w:t>Nations</w:t>
      </w:r>
      <w:r>
        <w:rPr>
          <w:i/>
          <w:spacing w:val="-5"/>
          <w:sz w:val="20"/>
        </w:rPr>
        <w:t> </w:t>
      </w:r>
      <w:r>
        <w:rPr>
          <w:i/>
          <w:sz w:val="20"/>
        </w:rPr>
        <w:t>Human</w:t>
      </w:r>
      <w:r>
        <w:rPr>
          <w:i/>
          <w:spacing w:val="-6"/>
          <w:sz w:val="20"/>
        </w:rPr>
        <w:t> </w:t>
      </w:r>
      <w:r>
        <w:rPr>
          <w:i/>
          <w:sz w:val="20"/>
        </w:rPr>
        <w:t>Rights</w:t>
      </w:r>
      <w:r>
        <w:rPr>
          <w:i/>
          <w:spacing w:val="-6"/>
          <w:sz w:val="20"/>
        </w:rPr>
        <w:t> </w:t>
      </w:r>
      <w:r>
        <w:rPr>
          <w:i/>
          <w:sz w:val="20"/>
        </w:rPr>
        <w:t>Office </w:t>
      </w:r>
      <w:r>
        <w:rPr>
          <w:i/>
          <w:sz w:val="20"/>
        </w:rPr>
        <w:t>of the High Commissioner </w:t>
      </w:r>
      <w:r>
        <w:rPr>
          <w:sz w:val="20"/>
        </w:rPr>
        <w:t>(Web Page) </w:t>
      </w:r>
      <w:r>
        <w:rPr>
          <w:spacing w:val="-4"/>
          <w:sz w:val="20"/>
        </w:rPr>
        <w:t>&lt;</w:t>
      </w:r>
      <w:hyperlink r:id="rId95">
        <w:r>
          <w:rPr>
            <w:spacing w:val="-4"/>
            <w:sz w:val="20"/>
          </w:rPr>
          <w:t>https://www.ohchr.org/en/treaty-bodies/crpd</w:t>
        </w:r>
      </w:hyperlink>
      <w:r>
        <w:rPr>
          <w:spacing w:val="-4"/>
          <w:sz w:val="20"/>
        </w:rPr>
        <w:t>&gt;</w:t>
      </w:r>
    </w:p>
    <w:p>
      <w:pPr>
        <w:pStyle w:val="ListParagraph"/>
        <w:numPr>
          <w:ilvl w:val="0"/>
          <w:numId w:val="141"/>
        </w:numPr>
        <w:tabs>
          <w:tab w:pos="1307" w:val="left" w:leader="none"/>
          <w:tab w:pos="1308" w:val="left" w:leader="none"/>
        </w:tabs>
        <w:spacing w:line="259" w:lineRule="exact" w:before="55" w:after="0"/>
        <w:ind w:left="1307" w:right="0" w:hanging="340"/>
        <w:jc w:val="left"/>
        <w:rPr>
          <w:sz w:val="20"/>
        </w:rPr>
      </w:pPr>
      <w:r>
        <w:rPr>
          <w:sz w:val="20"/>
        </w:rPr>
        <w:t>‘International</w:t>
      </w:r>
      <w:r>
        <w:rPr>
          <w:spacing w:val="-4"/>
          <w:sz w:val="20"/>
        </w:rPr>
        <w:t> </w:t>
      </w:r>
      <w:r>
        <w:rPr>
          <w:sz w:val="20"/>
        </w:rPr>
        <w:t>Principles</w:t>
      </w:r>
      <w:r>
        <w:rPr>
          <w:spacing w:val="-4"/>
          <w:sz w:val="20"/>
        </w:rPr>
        <w:t> </w:t>
      </w:r>
      <w:r>
        <w:rPr>
          <w:sz w:val="20"/>
        </w:rPr>
        <w:t>and</w:t>
      </w:r>
      <w:r>
        <w:rPr>
          <w:spacing w:val="-3"/>
          <w:sz w:val="20"/>
        </w:rPr>
        <w:t> </w:t>
      </w:r>
      <w:r>
        <w:rPr>
          <w:sz w:val="20"/>
        </w:rPr>
        <w:t>Guidelines</w:t>
      </w:r>
      <w:r>
        <w:rPr>
          <w:spacing w:val="-4"/>
          <w:sz w:val="20"/>
        </w:rPr>
        <w:t> </w:t>
      </w:r>
      <w:r>
        <w:rPr>
          <w:sz w:val="20"/>
        </w:rPr>
        <w:t>on</w:t>
      </w:r>
      <w:r>
        <w:rPr>
          <w:spacing w:val="-4"/>
          <w:sz w:val="20"/>
        </w:rPr>
        <w:t> </w:t>
      </w:r>
      <w:r>
        <w:rPr>
          <w:sz w:val="20"/>
        </w:rPr>
        <w:t>Access</w:t>
      </w:r>
      <w:r>
        <w:rPr>
          <w:spacing w:val="-3"/>
          <w:sz w:val="20"/>
        </w:rPr>
        <w:t> </w:t>
      </w:r>
      <w:r>
        <w:rPr>
          <w:sz w:val="20"/>
        </w:rPr>
        <w:t>to</w:t>
      </w:r>
      <w:r>
        <w:rPr>
          <w:spacing w:val="-4"/>
          <w:sz w:val="20"/>
        </w:rPr>
        <w:t> </w:t>
      </w:r>
      <w:r>
        <w:rPr>
          <w:sz w:val="20"/>
        </w:rPr>
        <w:t>Justice</w:t>
      </w:r>
      <w:r>
        <w:rPr>
          <w:spacing w:val="-4"/>
          <w:sz w:val="20"/>
        </w:rPr>
        <w:t> </w:t>
      </w:r>
      <w:r>
        <w:rPr>
          <w:sz w:val="20"/>
        </w:rPr>
        <w:t>for</w:t>
      </w:r>
      <w:r>
        <w:rPr>
          <w:spacing w:val="-3"/>
          <w:sz w:val="20"/>
        </w:rPr>
        <w:t> </w:t>
      </w:r>
      <w:r>
        <w:rPr>
          <w:sz w:val="20"/>
        </w:rPr>
        <w:t>Persons</w:t>
      </w:r>
      <w:r>
        <w:rPr>
          <w:spacing w:val="-4"/>
          <w:sz w:val="20"/>
        </w:rPr>
        <w:t> </w:t>
      </w:r>
      <w:r>
        <w:rPr>
          <w:sz w:val="20"/>
        </w:rPr>
        <w:t>with</w:t>
      </w:r>
      <w:r>
        <w:rPr>
          <w:spacing w:val="-4"/>
          <w:sz w:val="20"/>
        </w:rPr>
        <w:t> </w:t>
      </w:r>
      <w:r>
        <w:rPr>
          <w:sz w:val="20"/>
        </w:rPr>
        <w:t>Disabilities’,</w:t>
      </w:r>
    </w:p>
    <w:p>
      <w:pPr>
        <w:spacing w:line="240" w:lineRule="exact" w:before="0"/>
        <w:ind w:left="1307" w:right="0" w:firstLine="0"/>
        <w:jc w:val="left"/>
        <w:rPr>
          <w:sz w:val="20"/>
        </w:rPr>
      </w:pPr>
      <w:r>
        <w:rPr>
          <w:i/>
          <w:sz w:val="20"/>
        </w:rPr>
        <w:t>United Nations Human Rights Office of the High Commissioner </w:t>
      </w:r>
      <w:r>
        <w:rPr>
          <w:sz w:val="20"/>
        </w:rPr>
        <w:t>(Web Page)</w:t>
      </w:r>
    </w:p>
    <w:p>
      <w:pPr>
        <w:pStyle w:val="BodyText"/>
        <w:spacing w:line="206" w:lineRule="auto" w:before="14"/>
        <w:ind w:left="1307" w:right="1276"/>
      </w:pPr>
      <w:r>
        <w:rPr>
          <w:spacing w:val="-3"/>
        </w:rPr>
        <w:t>&lt;</w:t>
      </w:r>
      <w:hyperlink r:id="rId100">
        <w:r>
          <w:rPr>
            <w:spacing w:val="-3"/>
          </w:rPr>
          <w:t>https://www.ohchr.org/en/special-procedures/sr-disability/international-principles-and-</w:t>
        </w:r>
      </w:hyperlink>
      <w:r>
        <w:rPr>
          <w:spacing w:val="-3"/>
        </w:rPr>
        <w:t> </w:t>
      </w:r>
      <w:hyperlink r:id="rId100">
        <w:r>
          <w:rPr/>
          <w:t>guidelines-access-justice-persons-disabilities</w:t>
        </w:r>
      </w:hyperlink>
      <w:r>
        <w:rPr/>
        <w:t>&gt;</w:t>
      </w:r>
    </w:p>
    <w:p>
      <w:pPr>
        <w:pStyle w:val="ListParagraph"/>
        <w:numPr>
          <w:ilvl w:val="0"/>
          <w:numId w:val="141"/>
        </w:numPr>
        <w:tabs>
          <w:tab w:pos="1308" w:val="left" w:leader="none"/>
        </w:tabs>
        <w:spacing w:line="206" w:lineRule="auto" w:before="87" w:after="0"/>
        <w:ind w:left="1307" w:right="1210" w:hanging="340"/>
        <w:jc w:val="both"/>
        <w:rPr>
          <w:sz w:val="20"/>
        </w:rPr>
      </w:pPr>
      <w:r>
        <w:rPr>
          <w:sz w:val="20"/>
        </w:rPr>
        <w:t>‘Special Rapporteur on the Rights of Persons with Disabilities’, </w:t>
      </w:r>
      <w:r>
        <w:rPr>
          <w:i/>
          <w:sz w:val="20"/>
        </w:rPr>
        <w:t>United Nations Human Rights </w:t>
      </w:r>
      <w:r>
        <w:rPr>
          <w:i/>
          <w:sz w:val="20"/>
        </w:rPr>
        <w:t>Office of the High Commissioner </w:t>
      </w:r>
      <w:r>
        <w:rPr>
          <w:sz w:val="20"/>
        </w:rPr>
        <w:t>(Web Page) </w:t>
      </w:r>
      <w:r>
        <w:rPr>
          <w:spacing w:val="-3"/>
          <w:sz w:val="20"/>
        </w:rPr>
        <w:t>&lt;</w:t>
      </w:r>
      <w:hyperlink r:id="rId99">
        <w:r>
          <w:rPr>
            <w:spacing w:val="-3"/>
            <w:sz w:val="20"/>
          </w:rPr>
          <w:t>https://www.ohchr.org/EN/Issues/Disability/</w:t>
        </w:r>
      </w:hyperlink>
      <w:hyperlink r:id="rId99">
        <w:r>
          <w:rPr>
            <w:spacing w:val="-3"/>
            <w:sz w:val="20"/>
          </w:rPr>
          <w:t> </w:t>
        </w:r>
        <w:r>
          <w:rPr>
            <w:sz w:val="20"/>
          </w:rPr>
          <w:t>SRDisabilities/Pages/SRDisabilitiesIndex.aspx</w:t>
        </w:r>
      </w:hyperlink>
      <w:r>
        <w:rPr>
          <w:sz w:val="20"/>
        </w:rPr>
        <w:t>&gt;</w:t>
      </w:r>
    </w:p>
    <w:p>
      <w:pPr>
        <w:pStyle w:val="ListParagraph"/>
        <w:numPr>
          <w:ilvl w:val="0"/>
          <w:numId w:val="141"/>
        </w:numPr>
        <w:tabs>
          <w:tab w:pos="1307" w:val="left" w:leader="none"/>
          <w:tab w:pos="1308" w:val="left" w:leader="none"/>
        </w:tabs>
        <w:spacing w:line="206" w:lineRule="auto" w:before="89" w:after="0"/>
        <w:ind w:left="1307" w:right="1225" w:hanging="340"/>
        <w:jc w:val="left"/>
        <w:rPr>
          <w:sz w:val="20"/>
        </w:rPr>
      </w:pPr>
      <w:r>
        <w:rPr>
          <w:sz w:val="20"/>
        </w:rPr>
        <w:t>‘Status</w:t>
      </w:r>
      <w:r>
        <w:rPr>
          <w:spacing w:val="-7"/>
          <w:sz w:val="20"/>
        </w:rPr>
        <w:t> </w:t>
      </w:r>
      <w:r>
        <w:rPr>
          <w:sz w:val="20"/>
        </w:rPr>
        <w:t>of</w:t>
      </w:r>
      <w:r>
        <w:rPr>
          <w:spacing w:val="-6"/>
          <w:sz w:val="20"/>
        </w:rPr>
        <w:t> </w:t>
      </w:r>
      <w:r>
        <w:rPr>
          <w:sz w:val="20"/>
        </w:rPr>
        <w:t>Ratification</w:t>
      </w:r>
      <w:r>
        <w:rPr>
          <w:spacing w:val="-6"/>
          <w:sz w:val="20"/>
        </w:rPr>
        <w:t> </w:t>
      </w:r>
      <w:r>
        <w:rPr>
          <w:sz w:val="20"/>
        </w:rPr>
        <w:t>Interactive</w:t>
      </w:r>
      <w:r>
        <w:rPr>
          <w:spacing w:val="-6"/>
          <w:sz w:val="20"/>
        </w:rPr>
        <w:t> </w:t>
      </w:r>
      <w:r>
        <w:rPr>
          <w:sz w:val="20"/>
        </w:rPr>
        <w:t>Dashboard’,</w:t>
      </w:r>
      <w:r>
        <w:rPr>
          <w:spacing w:val="-6"/>
          <w:sz w:val="20"/>
        </w:rPr>
        <w:t> </w:t>
      </w:r>
      <w:r>
        <w:rPr>
          <w:i/>
          <w:sz w:val="20"/>
        </w:rPr>
        <w:t>United</w:t>
      </w:r>
      <w:r>
        <w:rPr>
          <w:i/>
          <w:spacing w:val="-6"/>
          <w:sz w:val="20"/>
        </w:rPr>
        <w:t> </w:t>
      </w:r>
      <w:r>
        <w:rPr>
          <w:i/>
          <w:sz w:val="20"/>
        </w:rPr>
        <w:t>Nations</w:t>
      </w:r>
      <w:r>
        <w:rPr>
          <w:i/>
          <w:spacing w:val="-6"/>
          <w:sz w:val="20"/>
        </w:rPr>
        <w:t> </w:t>
      </w:r>
      <w:r>
        <w:rPr>
          <w:i/>
          <w:sz w:val="20"/>
        </w:rPr>
        <w:t>Human</w:t>
      </w:r>
      <w:r>
        <w:rPr>
          <w:i/>
          <w:spacing w:val="-6"/>
          <w:sz w:val="20"/>
        </w:rPr>
        <w:t> </w:t>
      </w:r>
      <w:r>
        <w:rPr>
          <w:i/>
          <w:sz w:val="20"/>
        </w:rPr>
        <w:t>Rights</w:t>
      </w:r>
      <w:r>
        <w:rPr>
          <w:i/>
          <w:spacing w:val="-6"/>
          <w:sz w:val="20"/>
        </w:rPr>
        <w:t> </w:t>
      </w:r>
      <w:r>
        <w:rPr>
          <w:i/>
          <w:sz w:val="20"/>
        </w:rPr>
        <w:t>Office</w:t>
      </w:r>
      <w:r>
        <w:rPr>
          <w:i/>
          <w:spacing w:val="-5"/>
          <w:sz w:val="20"/>
        </w:rPr>
        <w:t> </w:t>
      </w:r>
      <w:r>
        <w:rPr>
          <w:i/>
          <w:sz w:val="20"/>
        </w:rPr>
        <w:t>of</w:t>
      </w:r>
      <w:r>
        <w:rPr>
          <w:i/>
          <w:spacing w:val="-6"/>
          <w:sz w:val="20"/>
        </w:rPr>
        <w:t> </w:t>
      </w:r>
      <w:r>
        <w:rPr>
          <w:i/>
          <w:sz w:val="20"/>
        </w:rPr>
        <w:t>the</w:t>
      </w:r>
      <w:r>
        <w:rPr>
          <w:i/>
          <w:spacing w:val="-6"/>
          <w:sz w:val="20"/>
        </w:rPr>
        <w:t> </w:t>
      </w:r>
      <w:r>
        <w:rPr>
          <w:i/>
          <w:sz w:val="20"/>
        </w:rPr>
        <w:t>High </w:t>
      </w:r>
      <w:r>
        <w:rPr>
          <w:i/>
          <w:sz w:val="20"/>
        </w:rPr>
        <w:t>Commissioner </w:t>
      </w:r>
      <w:r>
        <w:rPr>
          <w:sz w:val="20"/>
        </w:rPr>
        <w:t>(Web Page)</w:t>
      </w:r>
      <w:r>
        <w:rPr>
          <w:spacing w:val="-6"/>
          <w:sz w:val="20"/>
        </w:rPr>
        <w:t> </w:t>
      </w:r>
      <w:r>
        <w:rPr>
          <w:spacing w:val="-3"/>
          <w:sz w:val="20"/>
        </w:rPr>
        <w:t>&lt;</w:t>
      </w:r>
      <w:hyperlink r:id="rId94">
        <w:r>
          <w:rPr>
            <w:spacing w:val="-3"/>
            <w:sz w:val="20"/>
          </w:rPr>
          <w:t>https://indicators.ohchr.org/</w:t>
        </w:r>
      </w:hyperlink>
      <w:r>
        <w:rPr>
          <w:spacing w:val="-3"/>
          <w:sz w:val="20"/>
        </w:rPr>
        <w:t>&gt;</w:t>
      </w:r>
    </w:p>
    <w:p>
      <w:pPr>
        <w:pStyle w:val="BodyText"/>
        <w:spacing w:before="55"/>
        <w:ind w:left="967"/>
      </w:pPr>
      <w:r>
        <w:rPr/>
        <w:t>United Nations Committee on the Rights of Persons with Disabilities,</w:t>
      </w:r>
    </w:p>
    <w:p>
      <w:pPr>
        <w:pStyle w:val="ListParagraph"/>
        <w:numPr>
          <w:ilvl w:val="0"/>
          <w:numId w:val="141"/>
        </w:numPr>
        <w:tabs>
          <w:tab w:pos="1307" w:val="left" w:leader="none"/>
          <w:tab w:pos="1308" w:val="left" w:leader="none"/>
        </w:tabs>
        <w:spacing w:line="259" w:lineRule="exact" w:before="76" w:after="0"/>
        <w:ind w:left="1307" w:right="0" w:hanging="340"/>
        <w:jc w:val="left"/>
        <w:rPr>
          <w:i/>
          <w:sz w:val="20"/>
        </w:rPr>
      </w:pPr>
      <w:r>
        <w:rPr>
          <w:i/>
          <w:sz w:val="20"/>
        </w:rPr>
        <w:t>Concluding Observations on the Combined Second and Third Periodic Reports of</w:t>
      </w:r>
      <w:r>
        <w:rPr>
          <w:i/>
          <w:spacing w:val="-30"/>
          <w:sz w:val="20"/>
        </w:rPr>
        <w:t> </w:t>
      </w:r>
      <w:r>
        <w:rPr>
          <w:i/>
          <w:sz w:val="20"/>
        </w:rPr>
        <w:t>Australia,</w:t>
      </w:r>
    </w:p>
    <w:p>
      <w:pPr>
        <w:pStyle w:val="BodyText"/>
        <w:spacing w:line="259" w:lineRule="exact"/>
        <w:ind w:left="1307"/>
      </w:pPr>
      <w:r>
        <w:rPr/>
        <w:t>UN Doc CRPD/C/AUS/CO/2-3 (15 October 2019)</w:t>
      </w:r>
    </w:p>
    <w:p>
      <w:pPr>
        <w:pStyle w:val="ListParagraph"/>
        <w:numPr>
          <w:ilvl w:val="0"/>
          <w:numId w:val="141"/>
        </w:numPr>
        <w:tabs>
          <w:tab w:pos="1307" w:val="left" w:leader="none"/>
          <w:tab w:pos="1308" w:val="left" w:leader="none"/>
        </w:tabs>
        <w:spacing w:line="206" w:lineRule="auto" w:before="80" w:after="0"/>
        <w:ind w:left="1307" w:right="1585" w:hanging="340"/>
        <w:jc w:val="left"/>
        <w:rPr>
          <w:sz w:val="20"/>
        </w:rPr>
      </w:pPr>
      <w:r>
        <w:rPr>
          <w:i/>
          <w:sz w:val="20"/>
        </w:rPr>
        <w:t>General</w:t>
      </w:r>
      <w:r>
        <w:rPr>
          <w:i/>
          <w:spacing w:val="-4"/>
          <w:sz w:val="20"/>
        </w:rPr>
        <w:t> </w:t>
      </w:r>
      <w:r>
        <w:rPr>
          <w:i/>
          <w:sz w:val="20"/>
        </w:rPr>
        <w:t>Comment</w:t>
      </w:r>
      <w:r>
        <w:rPr>
          <w:i/>
          <w:spacing w:val="-3"/>
          <w:sz w:val="20"/>
        </w:rPr>
        <w:t> </w:t>
      </w:r>
      <w:r>
        <w:rPr>
          <w:i/>
          <w:sz w:val="20"/>
        </w:rPr>
        <w:t>No.</w:t>
      </w:r>
      <w:r>
        <w:rPr>
          <w:i/>
          <w:spacing w:val="-4"/>
          <w:sz w:val="20"/>
        </w:rPr>
        <w:t> </w:t>
      </w:r>
      <w:r>
        <w:rPr>
          <w:i/>
          <w:sz w:val="20"/>
        </w:rPr>
        <w:t>2:</w:t>
      </w:r>
      <w:r>
        <w:rPr>
          <w:i/>
          <w:spacing w:val="-3"/>
          <w:sz w:val="20"/>
        </w:rPr>
        <w:t> </w:t>
      </w:r>
      <w:r>
        <w:rPr>
          <w:i/>
          <w:sz w:val="20"/>
        </w:rPr>
        <w:t>Article</w:t>
      </w:r>
      <w:r>
        <w:rPr>
          <w:i/>
          <w:spacing w:val="-4"/>
          <w:sz w:val="20"/>
        </w:rPr>
        <w:t> </w:t>
      </w:r>
      <w:r>
        <w:rPr>
          <w:i/>
          <w:sz w:val="20"/>
        </w:rPr>
        <w:t>9:</w:t>
      </w:r>
      <w:r>
        <w:rPr>
          <w:i/>
          <w:spacing w:val="-3"/>
          <w:sz w:val="20"/>
        </w:rPr>
        <w:t> </w:t>
      </w:r>
      <w:r>
        <w:rPr>
          <w:i/>
          <w:sz w:val="20"/>
        </w:rPr>
        <w:t>Accessibility,</w:t>
      </w:r>
      <w:r>
        <w:rPr>
          <w:i/>
          <w:spacing w:val="-4"/>
          <w:sz w:val="20"/>
        </w:rPr>
        <w:t> </w:t>
      </w:r>
      <w:r>
        <w:rPr>
          <w:sz w:val="20"/>
        </w:rPr>
        <w:t>11th</w:t>
      </w:r>
      <w:r>
        <w:rPr>
          <w:spacing w:val="-3"/>
          <w:sz w:val="20"/>
        </w:rPr>
        <w:t> </w:t>
      </w:r>
      <w:r>
        <w:rPr>
          <w:sz w:val="20"/>
        </w:rPr>
        <w:t>sess,</w:t>
      </w:r>
      <w:r>
        <w:rPr>
          <w:spacing w:val="-4"/>
          <w:sz w:val="20"/>
        </w:rPr>
        <w:t> </w:t>
      </w:r>
      <w:r>
        <w:rPr>
          <w:sz w:val="20"/>
        </w:rPr>
        <w:t>UN</w:t>
      </w:r>
      <w:r>
        <w:rPr>
          <w:spacing w:val="-3"/>
          <w:sz w:val="20"/>
        </w:rPr>
        <w:t> </w:t>
      </w:r>
      <w:r>
        <w:rPr>
          <w:sz w:val="20"/>
        </w:rPr>
        <w:t>Doc</w:t>
      </w:r>
      <w:r>
        <w:rPr>
          <w:spacing w:val="-4"/>
          <w:sz w:val="20"/>
        </w:rPr>
        <w:t> </w:t>
      </w:r>
      <w:r>
        <w:rPr>
          <w:spacing w:val="-6"/>
          <w:sz w:val="20"/>
        </w:rPr>
        <w:t>CRPD/C/GC/2</w:t>
      </w:r>
      <w:r>
        <w:rPr>
          <w:spacing w:val="-3"/>
          <w:sz w:val="20"/>
        </w:rPr>
        <w:t> </w:t>
      </w:r>
      <w:r>
        <w:rPr>
          <w:sz w:val="20"/>
        </w:rPr>
        <w:t>(22</w:t>
      </w:r>
      <w:r>
        <w:rPr>
          <w:spacing w:val="-4"/>
          <w:sz w:val="20"/>
        </w:rPr>
        <w:t> </w:t>
      </w:r>
      <w:r>
        <w:rPr>
          <w:sz w:val="20"/>
        </w:rPr>
        <w:t>May 2014)</w:t>
      </w:r>
    </w:p>
    <w:p>
      <w:pPr>
        <w:pStyle w:val="ListParagraph"/>
        <w:numPr>
          <w:ilvl w:val="0"/>
          <w:numId w:val="141"/>
        </w:numPr>
        <w:tabs>
          <w:tab w:pos="1307" w:val="left" w:leader="none"/>
          <w:tab w:pos="1308" w:val="left" w:leader="none"/>
        </w:tabs>
        <w:spacing w:line="206" w:lineRule="auto" w:before="87" w:after="0"/>
        <w:ind w:left="1307" w:right="1937" w:hanging="340"/>
        <w:jc w:val="left"/>
        <w:rPr>
          <w:sz w:val="20"/>
        </w:rPr>
      </w:pPr>
      <w:r>
        <w:rPr>
          <w:i/>
          <w:sz w:val="20"/>
        </w:rPr>
        <w:t>General</w:t>
      </w:r>
      <w:r>
        <w:rPr>
          <w:i/>
          <w:spacing w:val="-5"/>
          <w:sz w:val="20"/>
        </w:rPr>
        <w:t> </w:t>
      </w:r>
      <w:r>
        <w:rPr>
          <w:i/>
          <w:sz w:val="20"/>
        </w:rPr>
        <w:t>Comment</w:t>
      </w:r>
      <w:r>
        <w:rPr>
          <w:i/>
          <w:spacing w:val="-4"/>
          <w:sz w:val="20"/>
        </w:rPr>
        <w:t> </w:t>
      </w:r>
      <w:r>
        <w:rPr>
          <w:i/>
          <w:sz w:val="20"/>
        </w:rPr>
        <w:t>No.</w:t>
      </w:r>
      <w:r>
        <w:rPr>
          <w:i/>
          <w:spacing w:val="-4"/>
          <w:sz w:val="20"/>
        </w:rPr>
        <w:t> </w:t>
      </w:r>
      <w:r>
        <w:rPr>
          <w:i/>
          <w:sz w:val="20"/>
        </w:rPr>
        <w:t>6:</w:t>
      </w:r>
      <w:r>
        <w:rPr>
          <w:i/>
          <w:spacing w:val="-4"/>
          <w:sz w:val="20"/>
        </w:rPr>
        <w:t> </w:t>
      </w:r>
      <w:r>
        <w:rPr>
          <w:i/>
          <w:sz w:val="20"/>
        </w:rPr>
        <w:t>Article</w:t>
      </w:r>
      <w:r>
        <w:rPr>
          <w:i/>
          <w:spacing w:val="-4"/>
          <w:sz w:val="20"/>
        </w:rPr>
        <w:t> </w:t>
      </w:r>
      <w:r>
        <w:rPr>
          <w:i/>
          <w:sz w:val="20"/>
        </w:rPr>
        <w:t>5:</w:t>
      </w:r>
      <w:r>
        <w:rPr>
          <w:i/>
          <w:spacing w:val="-4"/>
          <w:sz w:val="20"/>
        </w:rPr>
        <w:t> </w:t>
      </w:r>
      <w:r>
        <w:rPr>
          <w:i/>
          <w:sz w:val="20"/>
        </w:rPr>
        <w:t>Equality</w:t>
      </w:r>
      <w:r>
        <w:rPr>
          <w:i/>
          <w:spacing w:val="-4"/>
          <w:sz w:val="20"/>
        </w:rPr>
        <w:t> </w:t>
      </w:r>
      <w:r>
        <w:rPr>
          <w:i/>
          <w:sz w:val="20"/>
        </w:rPr>
        <w:t>and</w:t>
      </w:r>
      <w:r>
        <w:rPr>
          <w:i/>
          <w:spacing w:val="-5"/>
          <w:sz w:val="20"/>
        </w:rPr>
        <w:t> </w:t>
      </w:r>
      <w:r>
        <w:rPr>
          <w:i/>
          <w:sz w:val="20"/>
        </w:rPr>
        <w:t>Non</w:t>
      </w:r>
      <w:r>
        <w:rPr>
          <w:i/>
          <w:spacing w:val="-4"/>
          <w:sz w:val="20"/>
        </w:rPr>
        <w:t> </w:t>
      </w:r>
      <w:r>
        <w:rPr>
          <w:i/>
          <w:sz w:val="20"/>
        </w:rPr>
        <w:t>Discrimination,</w:t>
      </w:r>
      <w:r>
        <w:rPr>
          <w:i/>
          <w:spacing w:val="-3"/>
          <w:sz w:val="20"/>
        </w:rPr>
        <w:t> </w:t>
      </w:r>
      <w:r>
        <w:rPr>
          <w:sz w:val="20"/>
        </w:rPr>
        <w:t>19th</w:t>
      </w:r>
      <w:r>
        <w:rPr>
          <w:spacing w:val="-4"/>
          <w:sz w:val="20"/>
        </w:rPr>
        <w:t> </w:t>
      </w:r>
      <w:r>
        <w:rPr>
          <w:sz w:val="20"/>
        </w:rPr>
        <w:t>sess,</w:t>
      </w:r>
      <w:r>
        <w:rPr>
          <w:spacing w:val="-4"/>
          <w:sz w:val="20"/>
        </w:rPr>
        <w:t> </w:t>
      </w:r>
      <w:r>
        <w:rPr>
          <w:sz w:val="20"/>
        </w:rPr>
        <w:t>UN</w:t>
      </w:r>
      <w:r>
        <w:rPr>
          <w:spacing w:val="-4"/>
          <w:sz w:val="20"/>
        </w:rPr>
        <w:t> </w:t>
      </w:r>
      <w:r>
        <w:rPr>
          <w:sz w:val="20"/>
        </w:rPr>
        <w:t>Doc </w:t>
      </w:r>
      <w:r>
        <w:rPr>
          <w:spacing w:val="-6"/>
          <w:sz w:val="20"/>
        </w:rPr>
        <w:t>CRPD/C/GC/6 </w:t>
      </w:r>
      <w:r>
        <w:rPr>
          <w:sz w:val="20"/>
        </w:rPr>
        <w:t>(26 April 2018)</w:t>
      </w:r>
    </w:p>
    <w:p>
      <w:pPr>
        <w:pStyle w:val="BodyText"/>
        <w:spacing w:line="206" w:lineRule="auto" w:before="88"/>
        <w:ind w:left="967" w:right="1335"/>
      </w:pPr>
      <w:r>
        <w:rPr/>
        <w:t>Varnham O’Regan, Sylvia, ‘Deaf Victorian Man Denied from Serving on Jury Calls for “Discriminatory” Law to Be Changed’, </w:t>
      </w:r>
      <w:r>
        <w:rPr>
          <w:i/>
        </w:rPr>
        <w:t>SBS News </w:t>
      </w:r>
      <w:r>
        <w:rPr/>
        <w:t>(online, 24 November 2014)</w:t>
      </w:r>
    </w:p>
    <w:p>
      <w:pPr>
        <w:pStyle w:val="BodyText"/>
        <w:spacing w:line="206" w:lineRule="auto" w:before="3"/>
        <w:ind w:left="967" w:right="1580"/>
      </w:pPr>
      <w:r>
        <w:rPr>
          <w:spacing w:val="-2"/>
        </w:rPr>
        <w:t>&lt;</w:t>
      </w:r>
      <w:hyperlink r:id="rId74">
        <w:r>
          <w:rPr>
            <w:spacing w:val="-2"/>
          </w:rPr>
          <w:t>https://www.sbs.com.au/news/article/deaf-victorian-man-denied-from-serving-on-jury-</w:t>
        </w:r>
      </w:hyperlink>
      <w:r>
        <w:rPr>
          <w:spacing w:val="-2"/>
        </w:rPr>
        <w:t> </w:t>
      </w:r>
      <w:hyperlink r:id="rId74">
        <w:r>
          <w:rPr/>
          <w:t>calls-for-discriminatory-law-to-be-changed/cvjppq9j2</w:t>
        </w:r>
      </w:hyperlink>
      <w:r>
        <w:rPr/>
        <w:t>&gt;</w:t>
      </w:r>
    </w:p>
    <w:p>
      <w:pPr>
        <w:pStyle w:val="BodyText"/>
        <w:spacing w:line="206" w:lineRule="auto" w:before="115"/>
        <w:ind w:left="967" w:right="1513"/>
      </w:pPr>
      <w:r>
        <w:rPr/>
        <w:t>Vedelago, Chris and Adam Cooper, ‘“Weird Things Happen”: Inside the Jury Room and Why Sometimes Trials Are Aborted’, </w:t>
      </w:r>
      <w:r>
        <w:rPr>
          <w:i/>
        </w:rPr>
        <w:t>The Age </w:t>
      </w:r>
      <w:r>
        <w:rPr/>
        <w:t>(online, 13 February 2022)</w:t>
      </w:r>
    </w:p>
    <w:p>
      <w:pPr>
        <w:pStyle w:val="BodyText"/>
        <w:spacing w:line="206" w:lineRule="auto" w:before="116"/>
        <w:ind w:left="967" w:right="1736"/>
      </w:pPr>
      <w:r>
        <w:rPr/>
        <w:t>Victoria Legal Aid, ‘Criminal </w:t>
      </w:r>
      <w:r>
        <w:rPr>
          <w:spacing w:val="-4"/>
        </w:rPr>
        <w:t>Trial </w:t>
      </w:r>
      <w:r>
        <w:rPr/>
        <w:t>Preferred Barrister List’, </w:t>
      </w:r>
      <w:r>
        <w:rPr>
          <w:i/>
        </w:rPr>
        <w:t>Victoria Legal Aid </w:t>
      </w:r>
      <w:r>
        <w:rPr/>
        <w:t>(Web Page, 25 January 2022) </w:t>
      </w:r>
      <w:r>
        <w:rPr>
          <w:spacing w:val="-3"/>
        </w:rPr>
        <w:t>&lt;</w:t>
      </w:r>
      <w:hyperlink r:id="rId257">
        <w:r>
          <w:rPr>
            <w:spacing w:val="-3"/>
          </w:rPr>
          <w:t>https://www.legalaid.vic.gov.au/criminal-trial-preferred-barrister-list</w:t>
        </w:r>
      </w:hyperlink>
      <w:r>
        <w:rPr>
          <w:spacing w:val="-3"/>
        </w:rPr>
        <w:t>&gt;</w:t>
      </w:r>
    </w:p>
    <w:p>
      <w:pPr>
        <w:pStyle w:val="BodyText"/>
        <w:spacing w:line="206" w:lineRule="auto" w:before="116"/>
        <w:ind w:left="967" w:right="1646"/>
        <w:jc w:val="both"/>
      </w:pPr>
      <w:r>
        <w:rPr/>
        <w:t>Victorian</w:t>
      </w:r>
      <w:r>
        <w:rPr>
          <w:spacing w:val="-9"/>
        </w:rPr>
        <w:t> </w:t>
      </w:r>
      <w:r>
        <w:rPr>
          <w:spacing w:val="-4"/>
        </w:rPr>
        <w:t>Bar,</w:t>
      </w:r>
      <w:r>
        <w:rPr>
          <w:spacing w:val="-9"/>
        </w:rPr>
        <w:t> </w:t>
      </w:r>
      <w:r>
        <w:rPr/>
        <w:t>‘Victorian</w:t>
      </w:r>
      <w:r>
        <w:rPr>
          <w:spacing w:val="-9"/>
        </w:rPr>
        <w:t> </w:t>
      </w:r>
      <w:r>
        <w:rPr/>
        <w:t>Bar</w:t>
      </w:r>
      <w:r>
        <w:rPr>
          <w:spacing w:val="-9"/>
        </w:rPr>
        <w:t> </w:t>
      </w:r>
      <w:r>
        <w:rPr/>
        <w:t>to</w:t>
      </w:r>
      <w:r>
        <w:rPr>
          <w:spacing w:val="-9"/>
        </w:rPr>
        <w:t> </w:t>
      </w:r>
      <w:r>
        <w:rPr/>
        <w:t>Introduce</w:t>
      </w:r>
      <w:r>
        <w:rPr>
          <w:spacing w:val="-9"/>
        </w:rPr>
        <w:t> </w:t>
      </w:r>
      <w:r>
        <w:rPr/>
        <w:t>Accreditation</w:t>
      </w:r>
      <w:r>
        <w:rPr>
          <w:spacing w:val="-8"/>
        </w:rPr>
        <w:t> </w:t>
      </w:r>
      <w:r>
        <w:rPr/>
        <w:t>for</w:t>
      </w:r>
      <w:r>
        <w:rPr>
          <w:spacing w:val="-9"/>
        </w:rPr>
        <w:t> </w:t>
      </w:r>
      <w:r>
        <w:rPr/>
        <w:t>Criminal</w:t>
      </w:r>
      <w:r>
        <w:rPr>
          <w:spacing w:val="-9"/>
        </w:rPr>
        <w:t> </w:t>
      </w:r>
      <w:r>
        <w:rPr>
          <w:spacing w:val="-4"/>
        </w:rPr>
        <w:t>Trial</w:t>
      </w:r>
      <w:r>
        <w:rPr>
          <w:spacing w:val="-9"/>
        </w:rPr>
        <w:t> </w:t>
      </w:r>
      <w:r>
        <w:rPr/>
        <w:t>Barristers’,</w:t>
      </w:r>
      <w:r>
        <w:rPr>
          <w:spacing w:val="-9"/>
        </w:rPr>
        <w:t> </w:t>
      </w:r>
      <w:r>
        <w:rPr>
          <w:i/>
        </w:rPr>
        <w:t>Victorian </w:t>
      </w:r>
      <w:r>
        <w:rPr>
          <w:i/>
        </w:rPr>
        <w:t>Bar </w:t>
      </w:r>
      <w:r>
        <w:rPr/>
        <w:t>(Web Page, 31 October 2014) </w:t>
      </w:r>
      <w:r>
        <w:rPr>
          <w:spacing w:val="-3"/>
        </w:rPr>
        <w:t>&lt;</w:t>
      </w:r>
      <w:hyperlink r:id="rId258">
        <w:r>
          <w:rPr>
            <w:spacing w:val="-3"/>
          </w:rPr>
          <w:t>https://www.vicbar.com.au/news-events/victorian-bar-</w:t>
        </w:r>
      </w:hyperlink>
      <w:r>
        <w:rPr>
          <w:spacing w:val="-3"/>
        </w:rPr>
        <w:t> </w:t>
      </w:r>
      <w:hyperlink r:id="rId258">
        <w:r>
          <w:rPr/>
          <w:t>introduce-accreditation-criminal-trial-barristers</w:t>
        </w:r>
      </w:hyperlink>
      <w:r>
        <w:rPr/>
        <w:t>&gt;</w:t>
      </w:r>
    </w:p>
    <w:p>
      <w:pPr>
        <w:pStyle w:val="BodyText"/>
        <w:spacing w:before="10"/>
      </w:pPr>
    </w:p>
    <w:p>
      <w:pPr>
        <w:spacing w:before="49"/>
        <w:ind w:left="100" w:right="0" w:firstLine="0"/>
        <w:jc w:val="left"/>
        <w:rPr>
          <w:b/>
          <w:sz w:val="24"/>
        </w:rPr>
      </w:pPr>
      <w:r>
        <w:rPr>
          <w:b/>
          <w:color w:val="37617A"/>
          <w:sz w:val="24"/>
        </w:rPr>
        <w:t>246</w:t>
      </w:r>
    </w:p>
    <w:p>
      <w:pPr>
        <w:spacing w:after="0"/>
        <w:jc w:val="left"/>
        <w:rPr>
          <w:sz w:val="24"/>
        </w:rPr>
        <w:sectPr>
          <w:pgSz w:w="11910" w:h="16840"/>
          <w:pgMar w:header="567" w:footer="0" w:top="860" w:bottom="280" w:left="620" w:right="380"/>
        </w:sectPr>
      </w:pPr>
    </w:p>
    <w:p>
      <w:pPr>
        <w:pStyle w:val="BodyText"/>
        <w:rPr>
          <w:b/>
        </w:rPr>
      </w:pPr>
    </w:p>
    <w:p>
      <w:pPr>
        <w:pStyle w:val="BodyText"/>
        <w:rPr>
          <w:b/>
        </w:rPr>
      </w:pPr>
    </w:p>
    <w:p>
      <w:pPr>
        <w:pStyle w:val="BodyText"/>
        <w:rPr>
          <w:b/>
        </w:rPr>
      </w:pPr>
    </w:p>
    <w:p>
      <w:pPr>
        <w:pStyle w:val="BodyText"/>
        <w:spacing w:before="6"/>
        <w:rPr>
          <w:b/>
          <w:sz w:val="14"/>
        </w:rPr>
      </w:pPr>
    </w:p>
    <w:p>
      <w:pPr>
        <w:spacing w:line="206" w:lineRule="auto" w:before="90"/>
        <w:ind w:left="967" w:right="1161" w:firstLine="0"/>
        <w:jc w:val="left"/>
        <w:rPr>
          <w:sz w:val="20"/>
        </w:rPr>
      </w:pPr>
      <w:r>
        <w:rPr>
          <w:sz w:val="20"/>
        </w:rPr>
        <w:t>Victorian Disability Worker Commission (VDWC), </w:t>
      </w:r>
      <w:r>
        <w:rPr>
          <w:i/>
          <w:sz w:val="20"/>
        </w:rPr>
        <w:t>Victorian Disability Worker Commissioner </w:t>
      </w:r>
      <w:r>
        <w:rPr>
          <w:sz w:val="20"/>
        </w:rPr>
        <w:t>(Web Page) &lt;</w:t>
      </w:r>
      <w:hyperlink r:id="rId127">
        <w:r>
          <w:rPr>
            <w:sz w:val="20"/>
          </w:rPr>
          <w:t>https://www.vdwc.vic.gov.au/about/commissioner</w:t>
        </w:r>
      </w:hyperlink>
      <w:r>
        <w:rPr>
          <w:sz w:val="20"/>
        </w:rPr>
        <w:t>&gt;</w:t>
      </w:r>
    </w:p>
    <w:p>
      <w:pPr>
        <w:pStyle w:val="BodyText"/>
        <w:spacing w:line="206" w:lineRule="auto" w:before="116"/>
        <w:ind w:left="967" w:right="1335"/>
      </w:pPr>
      <w:r>
        <w:rPr/>
        <w:t>Victorian Equal Opportunity and Human Rights Commission, </w:t>
      </w:r>
      <w:r>
        <w:rPr>
          <w:i/>
        </w:rPr>
        <w:t>Understand Your Rights </w:t>
      </w:r>
      <w:r>
        <w:rPr/>
        <w:t>(Web Page) &lt;</w:t>
      </w:r>
      <w:hyperlink r:id="rId123">
        <w:r>
          <w:rPr/>
          <w:t>https://www.humanrights.vic.gov.au/</w:t>
        </w:r>
      </w:hyperlink>
      <w:r>
        <w:rPr/>
        <w:t>&gt;</w:t>
      </w:r>
    </w:p>
    <w:p>
      <w:pPr>
        <w:pStyle w:val="BodyText"/>
        <w:spacing w:before="83"/>
        <w:ind w:left="967"/>
      </w:pPr>
      <w:r>
        <w:rPr/>
        <w:t>Victorian Government,</w:t>
      </w:r>
    </w:p>
    <w:p>
      <w:pPr>
        <w:pStyle w:val="ListParagraph"/>
        <w:numPr>
          <w:ilvl w:val="0"/>
          <w:numId w:val="142"/>
        </w:numPr>
        <w:tabs>
          <w:tab w:pos="1307" w:val="left" w:leader="none"/>
          <w:tab w:pos="1308" w:val="left" w:leader="none"/>
        </w:tabs>
        <w:spacing w:line="259" w:lineRule="exact" w:before="76" w:after="0"/>
        <w:ind w:left="1307" w:right="0" w:hanging="340"/>
        <w:jc w:val="left"/>
        <w:rPr>
          <w:sz w:val="20"/>
        </w:rPr>
      </w:pPr>
      <w:r>
        <w:rPr>
          <w:spacing w:val="-3"/>
          <w:sz w:val="20"/>
        </w:rPr>
        <w:t>‘Accessible </w:t>
      </w:r>
      <w:r>
        <w:rPr>
          <w:sz w:val="20"/>
        </w:rPr>
        <w:t>Communications and Universal Design’, </w:t>
      </w:r>
      <w:hyperlink r:id="rId210">
        <w:r>
          <w:rPr>
            <w:i/>
            <w:spacing w:val="-3"/>
            <w:sz w:val="20"/>
          </w:rPr>
          <w:t>VIC.GOV.AU </w:t>
        </w:r>
      </w:hyperlink>
      <w:r>
        <w:rPr>
          <w:sz w:val="20"/>
        </w:rPr>
        <w:t>(Web</w:t>
      </w:r>
      <w:r>
        <w:rPr>
          <w:spacing w:val="-11"/>
          <w:sz w:val="20"/>
        </w:rPr>
        <w:t> </w:t>
      </w:r>
      <w:r>
        <w:rPr>
          <w:sz w:val="20"/>
        </w:rPr>
        <w:t>Page)</w:t>
      </w:r>
    </w:p>
    <w:p>
      <w:pPr>
        <w:pStyle w:val="BodyText"/>
        <w:spacing w:line="206" w:lineRule="auto" w:before="14"/>
        <w:ind w:left="1307" w:right="1596"/>
      </w:pPr>
      <w:r>
        <w:rPr>
          <w:spacing w:val="-2"/>
        </w:rPr>
        <w:t>&lt;</w:t>
      </w:r>
      <w:hyperlink r:id="rId211">
        <w:r>
          <w:rPr>
            <w:spacing w:val="-2"/>
          </w:rPr>
          <w:t>https://www.vic.gov.au/state-disability-plan/systemic-reform-commitments-actions-</w:t>
        </w:r>
      </w:hyperlink>
      <w:r>
        <w:rPr>
          <w:spacing w:val="-2"/>
        </w:rPr>
        <w:t> </w:t>
      </w:r>
      <w:hyperlink r:id="rId211">
        <w:r>
          <w:rPr/>
          <w:t>and-accountability/accessible</w:t>
        </w:r>
      </w:hyperlink>
      <w:r>
        <w:rPr/>
        <w:t>&gt;</w:t>
      </w:r>
    </w:p>
    <w:p>
      <w:pPr>
        <w:pStyle w:val="ListParagraph"/>
        <w:numPr>
          <w:ilvl w:val="0"/>
          <w:numId w:val="142"/>
        </w:numPr>
        <w:tabs>
          <w:tab w:pos="1307" w:val="left" w:leader="none"/>
          <w:tab w:pos="1308" w:val="left" w:leader="none"/>
        </w:tabs>
        <w:spacing w:line="240" w:lineRule="auto" w:before="55" w:after="0"/>
        <w:ind w:left="1307" w:right="0" w:hanging="340"/>
        <w:jc w:val="left"/>
        <w:rPr>
          <w:sz w:val="20"/>
        </w:rPr>
      </w:pPr>
      <w:r>
        <w:rPr>
          <w:sz w:val="20"/>
        </w:rPr>
        <w:t>‘Digital </w:t>
      </w:r>
      <w:r>
        <w:rPr>
          <w:spacing w:val="-3"/>
          <w:sz w:val="20"/>
        </w:rPr>
        <w:t>Guides’, </w:t>
      </w:r>
      <w:hyperlink r:id="rId210">
        <w:r>
          <w:rPr>
            <w:i/>
            <w:spacing w:val="-3"/>
            <w:sz w:val="20"/>
          </w:rPr>
          <w:t>VIC.GOV.AU </w:t>
        </w:r>
      </w:hyperlink>
      <w:r>
        <w:rPr>
          <w:sz w:val="20"/>
        </w:rPr>
        <w:t>(Web Page)</w:t>
      </w:r>
      <w:r>
        <w:rPr>
          <w:spacing w:val="-3"/>
          <w:sz w:val="20"/>
        </w:rPr>
        <w:t> &lt;</w:t>
      </w:r>
      <w:hyperlink r:id="rId264">
        <w:r>
          <w:rPr>
            <w:spacing w:val="-3"/>
            <w:sz w:val="20"/>
          </w:rPr>
          <w:t>https://www.vic.gov.au/digital-guides</w:t>
        </w:r>
      </w:hyperlink>
      <w:r>
        <w:rPr>
          <w:spacing w:val="-3"/>
          <w:sz w:val="20"/>
        </w:rPr>
        <w:t>&gt;</w:t>
      </w:r>
    </w:p>
    <w:p>
      <w:pPr>
        <w:pStyle w:val="ListParagraph"/>
        <w:numPr>
          <w:ilvl w:val="0"/>
          <w:numId w:val="142"/>
        </w:numPr>
        <w:tabs>
          <w:tab w:pos="1307" w:val="left" w:leader="none"/>
          <w:tab w:pos="1308" w:val="left" w:leader="none"/>
        </w:tabs>
        <w:spacing w:line="259" w:lineRule="exact" w:before="47" w:after="0"/>
        <w:ind w:left="1307" w:right="0" w:hanging="340"/>
        <w:jc w:val="left"/>
        <w:rPr>
          <w:sz w:val="20"/>
        </w:rPr>
      </w:pPr>
      <w:r>
        <w:rPr>
          <w:spacing w:val="-4"/>
          <w:sz w:val="20"/>
        </w:rPr>
        <w:t>‘Juries </w:t>
      </w:r>
      <w:r>
        <w:rPr>
          <w:spacing w:val="-3"/>
          <w:sz w:val="20"/>
        </w:rPr>
        <w:t>Victoria’, </w:t>
      </w:r>
      <w:r>
        <w:rPr>
          <w:i/>
          <w:sz w:val="20"/>
        </w:rPr>
        <w:t>What Is Jury Service? </w:t>
      </w:r>
      <w:r>
        <w:rPr>
          <w:sz w:val="20"/>
        </w:rPr>
        <w:t>(Web</w:t>
      </w:r>
      <w:r>
        <w:rPr>
          <w:spacing w:val="-7"/>
          <w:sz w:val="20"/>
        </w:rPr>
        <w:t> </w:t>
      </w:r>
      <w:r>
        <w:rPr>
          <w:sz w:val="20"/>
        </w:rPr>
        <w:t>Page)</w:t>
      </w:r>
    </w:p>
    <w:p>
      <w:pPr>
        <w:pStyle w:val="BodyText"/>
        <w:spacing w:line="259" w:lineRule="exact"/>
        <w:ind w:left="1307"/>
      </w:pPr>
      <w:r>
        <w:rPr/>
        <w:t>&lt;</w:t>
      </w:r>
      <w:hyperlink r:id="rId43">
        <w:r>
          <w:rPr/>
          <w:t>https://www.juriesvictoria.vic.gov.au/about-juries-victoria/what-is-jury-service</w:t>
        </w:r>
      </w:hyperlink>
      <w:r>
        <w:rPr/>
        <w:t>&gt;</w:t>
      </w:r>
    </w:p>
    <w:p>
      <w:pPr>
        <w:pStyle w:val="BodyText"/>
        <w:spacing w:before="48"/>
        <w:ind w:left="967"/>
      </w:pPr>
      <w:r>
        <w:rPr/>
        <w:t>Victorian Law Reform Commission,</w:t>
      </w:r>
    </w:p>
    <w:p>
      <w:pPr>
        <w:pStyle w:val="ListParagraph"/>
        <w:numPr>
          <w:ilvl w:val="0"/>
          <w:numId w:val="142"/>
        </w:numPr>
        <w:tabs>
          <w:tab w:pos="1307" w:val="left" w:leader="none"/>
          <w:tab w:pos="1308" w:val="left" w:leader="none"/>
        </w:tabs>
        <w:spacing w:line="240" w:lineRule="auto" w:before="76" w:after="0"/>
        <w:ind w:left="1307" w:right="0" w:hanging="340"/>
        <w:jc w:val="left"/>
        <w:rPr>
          <w:sz w:val="20"/>
        </w:rPr>
      </w:pPr>
      <w:r>
        <w:rPr>
          <w:i/>
          <w:sz w:val="20"/>
        </w:rPr>
        <w:t>Guardianship </w:t>
      </w:r>
      <w:r>
        <w:rPr>
          <w:sz w:val="20"/>
        </w:rPr>
        <w:t>(Report No </w:t>
      </w:r>
      <w:r>
        <w:rPr>
          <w:spacing w:val="2"/>
          <w:sz w:val="20"/>
        </w:rPr>
        <w:t>24,</w:t>
      </w:r>
      <w:r>
        <w:rPr>
          <w:spacing w:val="-8"/>
          <w:sz w:val="20"/>
        </w:rPr>
        <w:t> </w:t>
      </w:r>
      <w:r>
        <w:rPr>
          <w:sz w:val="20"/>
        </w:rPr>
        <w:t>2012)</w:t>
      </w:r>
    </w:p>
    <w:p>
      <w:pPr>
        <w:pStyle w:val="ListParagraph"/>
        <w:numPr>
          <w:ilvl w:val="0"/>
          <w:numId w:val="142"/>
        </w:numPr>
        <w:tabs>
          <w:tab w:pos="1307" w:val="left" w:leader="none"/>
          <w:tab w:pos="1308" w:val="left" w:leader="none"/>
        </w:tabs>
        <w:spacing w:line="259" w:lineRule="exact" w:before="47" w:after="0"/>
        <w:ind w:left="1307" w:right="0" w:hanging="340"/>
        <w:jc w:val="left"/>
        <w:rPr>
          <w:i/>
          <w:sz w:val="20"/>
        </w:rPr>
      </w:pPr>
      <w:r>
        <w:rPr>
          <w:i/>
          <w:sz w:val="20"/>
        </w:rPr>
        <w:t>Inclusive</w:t>
      </w:r>
      <w:r>
        <w:rPr>
          <w:i/>
          <w:spacing w:val="-4"/>
          <w:sz w:val="20"/>
        </w:rPr>
        <w:t> </w:t>
      </w:r>
      <w:r>
        <w:rPr>
          <w:i/>
          <w:sz w:val="20"/>
        </w:rPr>
        <w:t>Juries—Access</w:t>
      </w:r>
      <w:r>
        <w:rPr>
          <w:i/>
          <w:spacing w:val="-3"/>
          <w:sz w:val="20"/>
        </w:rPr>
        <w:t> </w:t>
      </w:r>
      <w:r>
        <w:rPr>
          <w:i/>
          <w:sz w:val="20"/>
        </w:rPr>
        <w:t>for</w:t>
      </w:r>
      <w:r>
        <w:rPr>
          <w:i/>
          <w:spacing w:val="-4"/>
          <w:sz w:val="20"/>
        </w:rPr>
        <w:t> </w:t>
      </w:r>
      <w:r>
        <w:rPr>
          <w:i/>
          <w:sz w:val="20"/>
        </w:rPr>
        <w:t>People</w:t>
      </w:r>
      <w:r>
        <w:rPr>
          <w:i/>
          <w:spacing w:val="-3"/>
          <w:sz w:val="20"/>
        </w:rPr>
        <w:t> </w:t>
      </w:r>
      <w:r>
        <w:rPr>
          <w:i/>
          <w:sz w:val="20"/>
        </w:rPr>
        <w:t>Who</w:t>
      </w:r>
      <w:r>
        <w:rPr>
          <w:i/>
          <w:spacing w:val="-3"/>
          <w:sz w:val="20"/>
        </w:rPr>
        <w:t> </w:t>
      </w:r>
      <w:r>
        <w:rPr>
          <w:i/>
          <w:sz w:val="20"/>
        </w:rPr>
        <w:t>Are</w:t>
      </w:r>
      <w:r>
        <w:rPr>
          <w:i/>
          <w:spacing w:val="-4"/>
          <w:sz w:val="20"/>
        </w:rPr>
        <w:t> </w:t>
      </w:r>
      <w:r>
        <w:rPr>
          <w:i/>
          <w:sz w:val="20"/>
        </w:rPr>
        <w:t>Deaf,</w:t>
      </w:r>
      <w:r>
        <w:rPr>
          <w:i/>
          <w:spacing w:val="-3"/>
          <w:sz w:val="20"/>
        </w:rPr>
        <w:t> </w:t>
      </w:r>
      <w:r>
        <w:rPr>
          <w:i/>
          <w:sz w:val="20"/>
        </w:rPr>
        <w:t>Hard</w:t>
      </w:r>
      <w:r>
        <w:rPr>
          <w:i/>
          <w:spacing w:val="-3"/>
          <w:sz w:val="20"/>
        </w:rPr>
        <w:t> </w:t>
      </w:r>
      <w:r>
        <w:rPr>
          <w:i/>
          <w:sz w:val="20"/>
        </w:rPr>
        <w:t>of</w:t>
      </w:r>
      <w:r>
        <w:rPr>
          <w:i/>
          <w:spacing w:val="-4"/>
          <w:sz w:val="20"/>
        </w:rPr>
        <w:t> </w:t>
      </w:r>
      <w:r>
        <w:rPr>
          <w:i/>
          <w:sz w:val="20"/>
        </w:rPr>
        <w:t>Hearing,</w:t>
      </w:r>
      <w:r>
        <w:rPr>
          <w:i/>
          <w:spacing w:val="-3"/>
          <w:sz w:val="20"/>
        </w:rPr>
        <w:t> </w:t>
      </w:r>
      <w:r>
        <w:rPr>
          <w:i/>
          <w:sz w:val="20"/>
        </w:rPr>
        <w:t>Blind</w:t>
      </w:r>
      <w:r>
        <w:rPr>
          <w:i/>
          <w:spacing w:val="-4"/>
          <w:sz w:val="20"/>
        </w:rPr>
        <w:t> </w:t>
      </w:r>
      <w:r>
        <w:rPr>
          <w:i/>
          <w:sz w:val="20"/>
        </w:rPr>
        <w:t>or</w:t>
      </w:r>
      <w:r>
        <w:rPr>
          <w:i/>
          <w:spacing w:val="-3"/>
          <w:sz w:val="20"/>
        </w:rPr>
        <w:t> </w:t>
      </w:r>
      <w:r>
        <w:rPr>
          <w:i/>
          <w:sz w:val="20"/>
        </w:rPr>
        <w:t>Have</w:t>
      </w:r>
      <w:r>
        <w:rPr>
          <w:i/>
          <w:spacing w:val="-3"/>
          <w:sz w:val="20"/>
        </w:rPr>
        <w:t> Low</w:t>
      </w:r>
      <w:r>
        <w:rPr>
          <w:i/>
          <w:spacing w:val="-4"/>
          <w:sz w:val="20"/>
        </w:rPr>
        <w:t> </w:t>
      </w:r>
      <w:r>
        <w:rPr>
          <w:i/>
          <w:sz w:val="20"/>
        </w:rPr>
        <w:t>Vision</w:t>
      </w:r>
    </w:p>
    <w:p>
      <w:pPr>
        <w:pStyle w:val="BodyText"/>
        <w:spacing w:line="259" w:lineRule="exact"/>
        <w:ind w:left="1307"/>
      </w:pPr>
      <w:r>
        <w:rPr/>
        <w:t>(Consultation Paper, December 2020)</w:t>
      </w:r>
    </w:p>
    <w:p>
      <w:pPr>
        <w:pStyle w:val="ListParagraph"/>
        <w:numPr>
          <w:ilvl w:val="0"/>
          <w:numId w:val="142"/>
        </w:numPr>
        <w:tabs>
          <w:tab w:pos="1307" w:val="left" w:leader="none"/>
          <w:tab w:pos="1308" w:val="left" w:leader="none"/>
        </w:tabs>
        <w:spacing w:line="240" w:lineRule="auto" w:before="48" w:after="0"/>
        <w:ind w:left="1307" w:right="0" w:hanging="340"/>
        <w:jc w:val="left"/>
        <w:rPr>
          <w:sz w:val="20"/>
        </w:rPr>
      </w:pPr>
      <w:r>
        <w:rPr>
          <w:i/>
          <w:sz w:val="20"/>
        </w:rPr>
        <w:t>Jury Empanelment </w:t>
      </w:r>
      <w:r>
        <w:rPr>
          <w:sz w:val="20"/>
        </w:rPr>
        <w:t>(Report No </w:t>
      </w:r>
      <w:r>
        <w:rPr>
          <w:spacing w:val="-7"/>
          <w:sz w:val="20"/>
        </w:rPr>
        <w:t>27, </w:t>
      </w:r>
      <w:r>
        <w:rPr>
          <w:sz w:val="20"/>
        </w:rPr>
        <w:t>May</w:t>
      </w:r>
      <w:r>
        <w:rPr>
          <w:spacing w:val="-5"/>
          <w:sz w:val="20"/>
        </w:rPr>
        <w:t> </w:t>
      </w:r>
      <w:r>
        <w:rPr>
          <w:sz w:val="20"/>
        </w:rPr>
        <w:t>2014)</w:t>
      </w:r>
    </w:p>
    <w:p>
      <w:pPr>
        <w:pStyle w:val="BodyText"/>
        <w:spacing w:line="259" w:lineRule="exact" w:before="47"/>
        <w:ind w:left="967"/>
      </w:pPr>
      <w:r>
        <w:rPr/>
        <w:t>Victorian Public Sector Commission, ‘Getting to Work: Disability Employment Action Plan’,</w:t>
      </w:r>
    </w:p>
    <w:p>
      <w:pPr>
        <w:spacing w:line="240" w:lineRule="exact" w:before="0"/>
        <w:ind w:left="967" w:right="0" w:firstLine="0"/>
        <w:jc w:val="left"/>
        <w:rPr>
          <w:sz w:val="20"/>
        </w:rPr>
      </w:pPr>
      <w:r>
        <w:rPr>
          <w:i/>
          <w:sz w:val="20"/>
        </w:rPr>
        <w:t>Victorian Public Sector Commission </w:t>
      </w:r>
      <w:r>
        <w:rPr>
          <w:sz w:val="20"/>
        </w:rPr>
        <w:t>(Web Page, 30 September 2018)</w:t>
      </w:r>
    </w:p>
    <w:p>
      <w:pPr>
        <w:pStyle w:val="BodyText"/>
        <w:spacing w:line="259" w:lineRule="exact"/>
        <w:ind w:left="967"/>
      </w:pPr>
      <w:r>
        <w:rPr/>
        <w:t>&lt;</w:t>
      </w:r>
      <w:hyperlink r:id="rId119">
        <w:r>
          <w:rPr/>
          <w:t>https://vpsc.vic.gov.au/getting-to-work-disability-employment-action-plan/</w:t>
        </w:r>
      </w:hyperlink>
      <w:r>
        <w:rPr/>
        <w:t>&gt;</w:t>
      </w:r>
    </w:p>
    <w:p>
      <w:pPr>
        <w:pStyle w:val="BodyText"/>
        <w:spacing w:before="76"/>
        <w:ind w:left="967"/>
      </w:pPr>
      <w:r>
        <w:rPr/>
        <w:t>Vision Australia,</w:t>
      </w:r>
    </w:p>
    <w:p>
      <w:pPr>
        <w:pStyle w:val="ListParagraph"/>
        <w:numPr>
          <w:ilvl w:val="0"/>
          <w:numId w:val="142"/>
        </w:numPr>
        <w:tabs>
          <w:tab w:pos="1307" w:val="left" w:leader="none"/>
          <w:tab w:pos="1308" w:val="left" w:leader="none"/>
        </w:tabs>
        <w:spacing w:line="206" w:lineRule="auto" w:before="108" w:after="0"/>
        <w:ind w:left="1307" w:right="1755" w:hanging="340"/>
        <w:jc w:val="left"/>
        <w:rPr>
          <w:sz w:val="20"/>
        </w:rPr>
      </w:pPr>
      <w:r>
        <w:rPr>
          <w:spacing w:val="-3"/>
          <w:sz w:val="20"/>
        </w:rPr>
        <w:t>‘Accessible </w:t>
      </w:r>
      <w:r>
        <w:rPr>
          <w:sz w:val="20"/>
        </w:rPr>
        <w:t>Equipment’, </w:t>
      </w:r>
      <w:r>
        <w:rPr>
          <w:i/>
          <w:sz w:val="20"/>
        </w:rPr>
        <w:t>Vision Australia </w:t>
      </w:r>
      <w:r>
        <w:rPr>
          <w:sz w:val="20"/>
        </w:rPr>
        <w:t>(Web Page) </w:t>
      </w:r>
      <w:r>
        <w:rPr>
          <w:spacing w:val="-3"/>
          <w:sz w:val="20"/>
        </w:rPr>
        <w:t>&lt;</w:t>
      </w:r>
      <w:hyperlink r:id="rId209">
        <w:r>
          <w:rPr>
            <w:spacing w:val="-3"/>
            <w:sz w:val="20"/>
          </w:rPr>
          <w:t>https://www.visionaustralia.org/</w:t>
        </w:r>
      </w:hyperlink>
      <w:hyperlink r:id="rId209">
        <w:r>
          <w:rPr>
            <w:spacing w:val="-3"/>
            <w:sz w:val="20"/>
          </w:rPr>
          <w:t> </w:t>
        </w:r>
        <w:r>
          <w:rPr>
            <w:sz w:val="20"/>
          </w:rPr>
          <w:t>information/living-independently/accessible-equipment</w:t>
        </w:r>
      </w:hyperlink>
      <w:r>
        <w:rPr>
          <w:sz w:val="20"/>
        </w:rPr>
        <w:t>&gt;</w:t>
      </w:r>
    </w:p>
    <w:p>
      <w:pPr>
        <w:pStyle w:val="ListParagraph"/>
        <w:numPr>
          <w:ilvl w:val="0"/>
          <w:numId w:val="142"/>
        </w:numPr>
        <w:tabs>
          <w:tab w:pos="1307" w:val="left" w:leader="none"/>
          <w:tab w:pos="1308" w:val="left" w:leader="none"/>
        </w:tabs>
        <w:spacing w:line="206" w:lineRule="auto" w:before="87" w:after="0"/>
        <w:ind w:left="1307" w:right="1413" w:hanging="340"/>
        <w:jc w:val="left"/>
        <w:rPr>
          <w:sz w:val="20"/>
        </w:rPr>
      </w:pPr>
      <w:r>
        <w:rPr>
          <w:sz w:val="20"/>
        </w:rPr>
        <w:t>‘Blindness and Vision </w:t>
      </w:r>
      <w:r>
        <w:rPr>
          <w:spacing w:val="-4"/>
          <w:sz w:val="20"/>
        </w:rPr>
        <w:t>Loss’, </w:t>
      </w:r>
      <w:r>
        <w:rPr>
          <w:i/>
          <w:sz w:val="20"/>
        </w:rPr>
        <w:t>Vision Australia </w:t>
      </w:r>
      <w:r>
        <w:rPr>
          <w:sz w:val="20"/>
        </w:rPr>
        <w:t>(Web Page) </w:t>
      </w:r>
      <w:r>
        <w:rPr>
          <w:spacing w:val="-3"/>
          <w:sz w:val="20"/>
        </w:rPr>
        <w:t>&lt;</w:t>
      </w:r>
      <w:hyperlink r:id="rId58">
        <w:r>
          <w:rPr>
            <w:spacing w:val="-3"/>
            <w:sz w:val="20"/>
          </w:rPr>
          <w:t>https://www.visionaustralia.org/</w:t>
        </w:r>
      </w:hyperlink>
      <w:hyperlink r:id="rId58">
        <w:r>
          <w:rPr>
            <w:spacing w:val="-3"/>
            <w:sz w:val="20"/>
          </w:rPr>
          <w:t> </w:t>
        </w:r>
        <w:r>
          <w:rPr>
            <w:sz w:val="20"/>
          </w:rPr>
          <w:t>information/newly-diagnosed/blindness-and-vision-loss</w:t>
        </w:r>
      </w:hyperlink>
      <w:r>
        <w:rPr>
          <w:sz w:val="20"/>
        </w:rPr>
        <w:t>&gt;</w:t>
      </w:r>
    </w:p>
    <w:p>
      <w:pPr>
        <w:pStyle w:val="ListParagraph"/>
        <w:numPr>
          <w:ilvl w:val="0"/>
          <w:numId w:val="142"/>
        </w:numPr>
        <w:tabs>
          <w:tab w:pos="1307" w:val="left" w:leader="none"/>
          <w:tab w:pos="1308" w:val="left" w:leader="none"/>
        </w:tabs>
        <w:spacing w:line="206" w:lineRule="auto" w:before="88" w:after="0"/>
        <w:ind w:left="1307" w:right="2049" w:hanging="340"/>
        <w:jc w:val="left"/>
        <w:rPr>
          <w:sz w:val="20"/>
        </w:rPr>
      </w:pPr>
      <w:r>
        <w:rPr>
          <w:sz w:val="20"/>
        </w:rPr>
        <w:t>‘Braille’,</w:t>
      </w:r>
      <w:r>
        <w:rPr>
          <w:spacing w:val="-26"/>
          <w:sz w:val="20"/>
        </w:rPr>
        <w:t> </w:t>
      </w:r>
      <w:r>
        <w:rPr>
          <w:i/>
          <w:sz w:val="20"/>
        </w:rPr>
        <w:t>Vision</w:t>
      </w:r>
      <w:r>
        <w:rPr>
          <w:i/>
          <w:spacing w:val="-24"/>
          <w:sz w:val="20"/>
        </w:rPr>
        <w:t> </w:t>
      </w:r>
      <w:r>
        <w:rPr>
          <w:i/>
          <w:sz w:val="20"/>
        </w:rPr>
        <w:t>Australia</w:t>
      </w:r>
      <w:r>
        <w:rPr>
          <w:i/>
          <w:spacing w:val="-24"/>
          <w:sz w:val="20"/>
        </w:rPr>
        <w:t> </w:t>
      </w:r>
      <w:r>
        <w:rPr>
          <w:sz w:val="20"/>
        </w:rPr>
        <w:t>(Web</w:t>
      </w:r>
      <w:r>
        <w:rPr>
          <w:spacing w:val="-26"/>
          <w:sz w:val="20"/>
        </w:rPr>
        <w:t> </w:t>
      </w:r>
      <w:r>
        <w:rPr>
          <w:sz w:val="20"/>
        </w:rPr>
        <w:t>Page)</w:t>
      </w:r>
      <w:r>
        <w:rPr>
          <w:spacing w:val="-25"/>
          <w:sz w:val="20"/>
        </w:rPr>
        <w:t> </w:t>
      </w:r>
      <w:r>
        <w:rPr>
          <w:sz w:val="20"/>
        </w:rPr>
        <w:t>&lt;</w:t>
      </w:r>
      <w:hyperlink r:id="rId207">
        <w:r>
          <w:rPr>
            <w:sz w:val="20"/>
          </w:rPr>
          <w:t>https://www.visionaustralia.org/information/</w:t>
        </w:r>
      </w:hyperlink>
      <w:hyperlink r:id="rId207">
        <w:r>
          <w:rPr>
            <w:sz w:val="20"/>
          </w:rPr>
          <w:t> adaptive-technology/using-technology/braille</w:t>
        </w:r>
      </w:hyperlink>
      <w:r>
        <w:rPr>
          <w:sz w:val="20"/>
        </w:rPr>
        <w:t>&gt;</w:t>
      </w:r>
    </w:p>
    <w:p>
      <w:pPr>
        <w:pStyle w:val="ListParagraph"/>
        <w:numPr>
          <w:ilvl w:val="0"/>
          <w:numId w:val="142"/>
        </w:numPr>
        <w:tabs>
          <w:tab w:pos="1307" w:val="left" w:leader="none"/>
          <w:tab w:pos="1308" w:val="left" w:leader="none"/>
        </w:tabs>
        <w:spacing w:line="206" w:lineRule="auto" w:before="88" w:after="0"/>
        <w:ind w:left="1307" w:right="1355" w:hanging="340"/>
        <w:jc w:val="left"/>
        <w:rPr>
          <w:sz w:val="20"/>
        </w:rPr>
      </w:pPr>
      <w:r>
        <w:rPr>
          <w:sz w:val="20"/>
        </w:rPr>
        <w:t>‘Computer Screen </w:t>
      </w:r>
      <w:r>
        <w:rPr>
          <w:spacing w:val="-3"/>
          <w:sz w:val="20"/>
        </w:rPr>
        <w:t>Readers’, </w:t>
      </w:r>
      <w:r>
        <w:rPr>
          <w:i/>
          <w:sz w:val="20"/>
        </w:rPr>
        <w:t>Vision Australia </w:t>
      </w:r>
      <w:r>
        <w:rPr>
          <w:sz w:val="20"/>
        </w:rPr>
        <w:t>(Web Page) </w:t>
      </w:r>
      <w:r>
        <w:rPr>
          <w:spacing w:val="-3"/>
          <w:sz w:val="20"/>
        </w:rPr>
        <w:t>&lt;</w:t>
      </w:r>
      <w:hyperlink r:id="rId201">
        <w:r>
          <w:rPr>
            <w:spacing w:val="-3"/>
            <w:sz w:val="20"/>
          </w:rPr>
          <w:t>https://www.visionaustralia.org/</w:t>
        </w:r>
      </w:hyperlink>
      <w:hyperlink r:id="rId201">
        <w:r>
          <w:rPr>
            <w:spacing w:val="-3"/>
            <w:sz w:val="20"/>
          </w:rPr>
          <w:t> information/adaptive-technology/using-technology/computer-screen-readers</w:t>
        </w:r>
      </w:hyperlink>
      <w:r>
        <w:rPr>
          <w:spacing w:val="-3"/>
          <w:sz w:val="20"/>
        </w:rPr>
        <w:t>&gt;</w:t>
      </w:r>
    </w:p>
    <w:p>
      <w:pPr>
        <w:pStyle w:val="ListParagraph"/>
        <w:numPr>
          <w:ilvl w:val="0"/>
          <w:numId w:val="142"/>
        </w:numPr>
        <w:tabs>
          <w:tab w:pos="1307" w:val="left" w:leader="none"/>
          <w:tab w:pos="1308" w:val="left" w:leader="none"/>
        </w:tabs>
        <w:spacing w:line="206" w:lineRule="auto" w:before="87" w:after="0"/>
        <w:ind w:left="1307" w:right="1662" w:hanging="340"/>
        <w:jc w:val="left"/>
        <w:rPr>
          <w:sz w:val="20"/>
        </w:rPr>
      </w:pPr>
      <w:r>
        <w:rPr>
          <w:sz w:val="20"/>
        </w:rPr>
        <w:t>‘Magnifiers’,</w:t>
      </w:r>
      <w:r>
        <w:rPr>
          <w:spacing w:val="-25"/>
          <w:sz w:val="20"/>
        </w:rPr>
        <w:t> </w:t>
      </w:r>
      <w:r>
        <w:rPr>
          <w:i/>
          <w:sz w:val="20"/>
        </w:rPr>
        <w:t>Vision</w:t>
      </w:r>
      <w:r>
        <w:rPr>
          <w:i/>
          <w:spacing w:val="-23"/>
          <w:sz w:val="20"/>
        </w:rPr>
        <w:t> </w:t>
      </w:r>
      <w:r>
        <w:rPr>
          <w:i/>
          <w:sz w:val="20"/>
        </w:rPr>
        <w:t>Australia</w:t>
      </w:r>
      <w:r>
        <w:rPr>
          <w:i/>
          <w:spacing w:val="-23"/>
          <w:sz w:val="20"/>
        </w:rPr>
        <w:t> </w:t>
      </w:r>
      <w:r>
        <w:rPr>
          <w:sz w:val="20"/>
        </w:rPr>
        <w:t>(Web</w:t>
      </w:r>
      <w:r>
        <w:rPr>
          <w:spacing w:val="-24"/>
          <w:sz w:val="20"/>
        </w:rPr>
        <w:t> </w:t>
      </w:r>
      <w:r>
        <w:rPr>
          <w:sz w:val="20"/>
        </w:rPr>
        <w:t>Page)</w:t>
      </w:r>
      <w:r>
        <w:rPr>
          <w:spacing w:val="-24"/>
          <w:sz w:val="20"/>
        </w:rPr>
        <w:t> </w:t>
      </w:r>
      <w:r>
        <w:rPr>
          <w:sz w:val="20"/>
        </w:rPr>
        <w:t>&lt;</w:t>
      </w:r>
      <w:hyperlink r:id="rId204">
        <w:r>
          <w:rPr>
            <w:sz w:val="20"/>
          </w:rPr>
          <w:t>https://www.visionaustralia.org/information/</w:t>
        </w:r>
      </w:hyperlink>
      <w:hyperlink r:id="rId204">
        <w:r>
          <w:rPr>
            <w:sz w:val="20"/>
          </w:rPr>
          <w:t> adaptive-technology/using-technology/magnifiers</w:t>
        </w:r>
      </w:hyperlink>
      <w:r>
        <w:rPr>
          <w:sz w:val="20"/>
        </w:rPr>
        <w:t>&gt;</w:t>
      </w:r>
    </w:p>
    <w:p>
      <w:pPr>
        <w:pStyle w:val="ListParagraph"/>
        <w:numPr>
          <w:ilvl w:val="0"/>
          <w:numId w:val="142"/>
        </w:numPr>
        <w:tabs>
          <w:tab w:pos="1307" w:val="left" w:leader="none"/>
          <w:tab w:pos="1308" w:val="left" w:leader="none"/>
        </w:tabs>
        <w:spacing w:line="206" w:lineRule="auto" w:before="88" w:after="0"/>
        <w:ind w:left="1307" w:right="1765" w:hanging="340"/>
        <w:jc w:val="left"/>
        <w:rPr>
          <w:sz w:val="20"/>
        </w:rPr>
      </w:pPr>
      <w:r>
        <w:rPr>
          <w:sz w:val="20"/>
        </w:rPr>
        <w:t>Submission</w:t>
      </w:r>
      <w:r>
        <w:rPr>
          <w:spacing w:val="-6"/>
          <w:sz w:val="20"/>
        </w:rPr>
        <w:t> </w:t>
      </w:r>
      <w:r>
        <w:rPr>
          <w:sz w:val="20"/>
        </w:rPr>
        <w:t>No</w:t>
      </w:r>
      <w:r>
        <w:rPr>
          <w:spacing w:val="-6"/>
          <w:sz w:val="20"/>
        </w:rPr>
        <w:t> </w:t>
      </w:r>
      <w:r>
        <w:rPr>
          <w:sz w:val="20"/>
        </w:rPr>
        <w:t>112</w:t>
      </w:r>
      <w:r>
        <w:rPr>
          <w:spacing w:val="-6"/>
          <w:sz w:val="20"/>
        </w:rPr>
        <w:t> </w:t>
      </w:r>
      <w:r>
        <w:rPr>
          <w:sz w:val="20"/>
        </w:rPr>
        <w:t>to</w:t>
      </w:r>
      <w:r>
        <w:rPr>
          <w:spacing w:val="-6"/>
          <w:sz w:val="20"/>
        </w:rPr>
        <w:t> </w:t>
      </w:r>
      <w:r>
        <w:rPr>
          <w:spacing w:val="-3"/>
          <w:sz w:val="20"/>
        </w:rPr>
        <w:t>Family</w:t>
      </w:r>
      <w:r>
        <w:rPr>
          <w:spacing w:val="-6"/>
          <w:sz w:val="20"/>
        </w:rPr>
        <w:t> </w:t>
      </w:r>
      <w:r>
        <w:rPr>
          <w:sz w:val="20"/>
        </w:rPr>
        <w:t>and</w:t>
      </w:r>
      <w:r>
        <w:rPr>
          <w:spacing w:val="-6"/>
          <w:sz w:val="20"/>
        </w:rPr>
        <w:t> </w:t>
      </w:r>
      <w:r>
        <w:rPr>
          <w:sz w:val="20"/>
        </w:rPr>
        <w:t>Community</w:t>
      </w:r>
      <w:r>
        <w:rPr>
          <w:spacing w:val="-6"/>
          <w:sz w:val="20"/>
        </w:rPr>
        <w:t> </w:t>
      </w:r>
      <w:r>
        <w:rPr>
          <w:sz w:val="20"/>
        </w:rPr>
        <w:t>Development</w:t>
      </w:r>
      <w:r>
        <w:rPr>
          <w:spacing w:val="-6"/>
          <w:sz w:val="20"/>
        </w:rPr>
        <w:t> </w:t>
      </w:r>
      <w:r>
        <w:rPr>
          <w:sz w:val="20"/>
        </w:rPr>
        <w:t>Committee,</w:t>
      </w:r>
      <w:r>
        <w:rPr>
          <w:spacing w:val="-6"/>
          <w:sz w:val="20"/>
        </w:rPr>
        <w:t> </w:t>
      </w:r>
      <w:r>
        <w:rPr>
          <w:sz w:val="20"/>
        </w:rPr>
        <w:t>Parliament</w:t>
      </w:r>
      <w:r>
        <w:rPr>
          <w:spacing w:val="-6"/>
          <w:sz w:val="20"/>
        </w:rPr>
        <w:t> </w:t>
      </w:r>
      <w:r>
        <w:rPr>
          <w:sz w:val="20"/>
        </w:rPr>
        <w:t>of Victoria,</w:t>
      </w:r>
      <w:r>
        <w:rPr>
          <w:spacing w:val="-4"/>
          <w:sz w:val="20"/>
        </w:rPr>
        <w:t> </w:t>
      </w:r>
      <w:r>
        <w:rPr>
          <w:i/>
          <w:sz w:val="20"/>
        </w:rPr>
        <w:t>Inquiry</w:t>
      </w:r>
      <w:r>
        <w:rPr>
          <w:i/>
          <w:spacing w:val="-4"/>
          <w:sz w:val="20"/>
        </w:rPr>
        <w:t> </w:t>
      </w:r>
      <w:r>
        <w:rPr>
          <w:i/>
          <w:sz w:val="20"/>
        </w:rPr>
        <w:t>into</w:t>
      </w:r>
      <w:r>
        <w:rPr>
          <w:i/>
          <w:spacing w:val="-4"/>
          <w:sz w:val="20"/>
        </w:rPr>
        <w:t> </w:t>
      </w:r>
      <w:r>
        <w:rPr>
          <w:i/>
          <w:sz w:val="20"/>
        </w:rPr>
        <w:t>Social</w:t>
      </w:r>
      <w:r>
        <w:rPr>
          <w:i/>
          <w:spacing w:val="-3"/>
          <w:sz w:val="20"/>
        </w:rPr>
        <w:t> </w:t>
      </w:r>
      <w:r>
        <w:rPr>
          <w:i/>
          <w:sz w:val="20"/>
        </w:rPr>
        <w:t>Inclusion</w:t>
      </w:r>
      <w:r>
        <w:rPr>
          <w:i/>
          <w:spacing w:val="-4"/>
          <w:sz w:val="20"/>
        </w:rPr>
        <w:t> </w:t>
      </w:r>
      <w:r>
        <w:rPr>
          <w:i/>
          <w:sz w:val="20"/>
        </w:rPr>
        <w:t>and</w:t>
      </w:r>
      <w:r>
        <w:rPr>
          <w:i/>
          <w:spacing w:val="-4"/>
          <w:sz w:val="20"/>
        </w:rPr>
        <w:t> </w:t>
      </w:r>
      <w:r>
        <w:rPr>
          <w:i/>
          <w:sz w:val="20"/>
        </w:rPr>
        <w:t>Victorians</w:t>
      </w:r>
      <w:r>
        <w:rPr>
          <w:i/>
          <w:spacing w:val="-4"/>
          <w:sz w:val="20"/>
        </w:rPr>
        <w:t> </w:t>
      </w:r>
      <w:r>
        <w:rPr>
          <w:i/>
          <w:sz w:val="20"/>
        </w:rPr>
        <w:t>with</w:t>
      </w:r>
      <w:r>
        <w:rPr>
          <w:i/>
          <w:spacing w:val="-4"/>
          <w:sz w:val="20"/>
        </w:rPr>
        <w:t> </w:t>
      </w:r>
      <w:r>
        <w:rPr>
          <w:i/>
          <w:sz w:val="20"/>
        </w:rPr>
        <w:t>a</w:t>
      </w:r>
      <w:r>
        <w:rPr>
          <w:i/>
          <w:spacing w:val="-4"/>
          <w:sz w:val="20"/>
        </w:rPr>
        <w:t> </w:t>
      </w:r>
      <w:r>
        <w:rPr>
          <w:i/>
          <w:sz w:val="20"/>
        </w:rPr>
        <w:t>Disability</w:t>
      </w:r>
      <w:r>
        <w:rPr>
          <w:i/>
          <w:spacing w:val="-2"/>
          <w:sz w:val="20"/>
        </w:rPr>
        <w:t> </w:t>
      </w:r>
      <w:r>
        <w:rPr>
          <w:sz w:val="20"/>
        </w:rPr>
        <w:t>(March</w:t>
      </w:r>
      <w:r>
        <w:rPr>
          <w:spacing w:val="-4"/>
          <w:sz w:val="20"/>
        </w:rPr>
        <w:t> </w:t>
      </w:r>
      <w:r>
        <w:rPr>
          <w:sz w:val="20"/>
        </w:rPr>
        <w:t>2014)</w:t>
      </w:r>
    </w:p>
    <w:p>
      <w:pPr>
        <w:spacing w:line="354" w:lineRule="exact" w:before="3"/>
        <w:ind w:left="967" w:right="1335" w:firstLine="0"/>
        <w:jc w:val="left"/>
        <w:rPr>
          <w:sz w:val="20"/>
        </w:rPr>
      </w:pPr>
      <w:r>
        <w:rPr>
          <w:sz w:val="20"/>
        </w:rPr>
        <w:t>Vrij, Aldert, </w:t>
      </w:r>
      <w:r>
        <w:rPr>
          <w:i/>
          <w:sz w:val="20"/>
        </w:rPr>
        <w:t>Detecting Lies and Deceit: Pitfalls and Opportunities </w:t>
      </w:r>
      <w:r>
        <w:rPr>
          <w:sz w:val="20"/>
        </w:rPr>
        <w:t>(John Wiley and Sons, 2008) W3C</w:t>
      </w:r>
      <w:r>
        <w:rPr>
          <w:i/>
          <w:sz w:val="20"/>
        </w:rPr>
        <w:t>, Web Content Accessibility Guidelines 1.0 </w:t>
      </w:r>
      <w:r>
        <w:rPr>
          <w:sz w:val="20"/>
        </w:rPr>
        <w:t>(Web Page, 18 May 2021)</w:t>
      </w:r>
    </w:p>
    <w:p>
      <w:pPr>
        <w:pStyle w:val="BodyText"/>
        <w:spacing w:line="215" w:lineRule="exact"/>
        <w:ind w:left="967"/>
      </w:pPr>
      <w:r>
        <w:rPr/>
        <w:t>&lt;</w:t>
      </w:r>
      <w:hyperlink r:id="rId263">
        <w:r>
          <w:rPr/>
          <w:t>https://www.w3.org/TR/WAI-WEBCONTENT/</w:t>
        </w:r>
      </w:hyperlink>
      <w:r>
        <w:rPr/>
        <w:t>&gt;</w:t>
      </w:r>
    </w:p>
    <w:p>
      <w:pPr>
        <w:pStyle w:val="BodyText"/>
        <w:spacing w:line="206" w:lineRule="auto" w:before="108"/>
        <w:ind w:left="967" w:right="1335"/>
      </w:pPr>
      <w:r>
        <w:rPr/>
        <w:t>Waddington, Lisa, ‘Komisia Za Zashtita Ot Diskriminatsia </w:t>
      </w:r>
      <w:r>
        <w:rPr>
          <w:spacing w:val="-5"/>
        </w:rPr>
        <w:t>(HvJ </w:t>
      </w:r>
      <w:r>
        <w:rPr>
          <w:spacing w:val="-4"/>
        </w:rPr>
        <w:t>EU, </w:t>
      </w:r>
      <w:r>
        <w:rPr/>
        <w:t>C-824/19)—No Blanket Exclusion of Blind Person from Being Employed as a </w:t>
      </w:r>
      <w:r>
        <w:rPr>
          <w:spacing w:val="-3"/>
        </w:rPr>
        <w:t>Juror’, </w:t>
      </w:r>
      <w:r>
        <w:rPr>
          <w:i/>
        </w:rPr>
        <w:t>European Human Rights Cases </w:t>
      </w:r>
      <w:r>
        <w:rPr>
          <w:i/>
        </w:rPr>
        <w:t>Updates </w:t>
      </w:r>
      <w:r>
        <w:rPr/>
        <w:t>(Web Page, </w:t>
      </w:r>
      <w:r>
        <w:rPr>
          <w:spacing w:val="2"/>
        </w:rPr>
        <w:t>14 </w:t>
      </w:r>
      <w:r>
        <w:rPr/>
        <w:t>January 2022) </w:t>
      </w:r>
      <w:r>
        <w:rPr>
          <w:spacing w:val="-3"/>
        </w:rPr>
        <w:t>&lt;</w:t>
      </w:r>
      <w:hyperlink r:id="rId97">
        <w:r>
          <w:rPr>
            <w:spacing w:val="-3"/>
          </w:rPr>
          <w:t>https://www.ehrc-updates.nl/commentaar/211849</w:t>
        </w:r>
      </w:hyperlink>
      <w:r>
        <w:rPr>
          <w:spacing w:val="-3"/>
        </w:rPr>
        <w:t>&gt;</w:t>
      </w:r>
    </w:p>
    <w:p>
      <w:pPr>
        <w:pStyle w:val="BodyText"/>
        <w:spacing w:line="206" w:lineRule="auto" w:before="117"/>
        <w:ind w:left="967" w:right="1151"/>
      </w:pPr>
      <w:r>
        <w:rPr/>
        <w:t>Walker, Sonia, ‘Battle-Axes and Sticky-Beaks: Women and Jury Service in Western Australia 1898–1957’ (2004) 11(4) </w:t>
      </w:r>
      <w:r>
        <w:rPr>
          <w:i/>
        </w:rPr>
        <w:t>Murdoch University Electronic Journal of Law </w:t>
      </w:r>
      <w:r>
        <w:rPr/>
        <w:t>&lt;</w:t>
      </w:r>
      <w:hyperlink r:id="rId86">
        <w:r>
          <w:rPr/>
          <w:t>http://www.murdoch.edu.</w:t>
        </w:r>
      </w:hyperlink>
      <w:r>
        <w:rPr/>
        <w:t> </w:t>
      </w:r>
      <w:hyperlink r:id="rId86">
        <w:r>
          <w:rPr/>
          <w:t>au/elaw/issues/v11n4/walker114_text.html</w:t>
        </w:r>
      </w:hyperlink>
      <w:r>
        <w:rPr/>
        <w:t>&gt;</w:t>
      </w:r>
    </w:p>
    <w:p>
      <w:pPr>
        <w:pStyle w:val="BodyText"/>
        <w:spacing w:line="206" w:lineRule="auto" w:before="117"/>
        <w:ind w:left="967" w:right="1251"/>
      </w:pPr>
      <w:r>
        <w:rPr>
          <w:spacing w:val="-3"/>
        </w:rPr>
        <w:t>World</w:t>
      </w:r>
      <w:r>
        <w:rPr>
          <w:spacing w:val="-6"/>
        </w:rPr>
        <w:t> </w:t>
      </w:r>
      <w:r>
        <w:rPr/>
        <w:t>Health</w:t>
      </w:r>
      <w:r>
        <w:rPr>
          <w:spacing w:val="-6"/>
        </w:rPr>
        <w:t> </w:t>
      </w:r>
      <w:r>
        <w:rPr/>
        <w:t>Organisation,</w:t>
      </w:r>
      <w:r>
        <w:rPr>
          <w:spacing w:val="-6"/>
        </w:rPr>
        <w:t> </w:t>
      </w:r>
      <w:r>
        <w:rPr/>
        <w:t>‘Deafness</w:t>
      </w:r>
      <w:r>
        <w:rPr>
          <w:spacing w:val="-6"/>
        </w:rPr>
        <w:t> </w:t>
      </w:r>
      <w:r>
        <w:rPr/>
        <w:t>and</w:t>
      </w:r>
      <w:r>
        <w:rPr>
          <w:spacing w:val="-6"/>
        </w:rPr>
        <w:t> </w:t>
      </w:r>
      <w:r>
        <w:rPr/>
        <w:t>Hearing</w:t>
      </w:r>
      <w:r>
        <w:rPr>
          <w:spacing w:val="-6"/>
        </w:rPr>
        <w:t> </w:t>
      </w:r>
      <w:r>
        <w:rPr>
          <w:spacing w:val="-4"/>
        </w:rPr>
        <w:t>Loss’,</w:t>
      </w:r>
      <w:r>
        <w:rPr>
          <w:spacing w:val="-6"/>
        </w:rPr>
        <w:t> </w:t>
      </w:r>
      <w:r>
        <w:rPr>
          <w:i/>
          <w:spacing w:val="-4"/>
        </w:rPr>
        <w:t>World</w:t>
      </w:r>
      <w:r>
        <w:rPr>
          <w:i/>
          <w:spacing w:val="-6"/>
        </w:rPr>
        <w:t> </w:t>
      </w:r>
      <w:r>
        <w:rPr>
          <w:i/>
        </w:rPr>
        <w:t>Health</w:t>
      </w:r>
      <w:r>
        <w:rPr>
          <w:i/>
          <w:spacing w:val="-6"/>
        </w:rPr>
        <w:t> </w:t>
      </w:r>
      <w:r>
        <w:rPr>
          <w:i/>
        </w:rPr>
        <w:t>Organisation</w:t>
      </w:r>
      <w:r>
        <w:rPr>
          <w:i/>
          <w:spacing w:val="-5"/>
        </w:rPr>
        <w:t> </w:t>
      </w:r>
      <w:r>
        <w:rPr/>
        <w:t>(Web</w:t>
      </w:r>
      <w:r>
        <w:rPr>
          <w:spacing w:val="-6"/>
        </w:rPr>
        <w:t> </w:t>
      </w:r>
      <w:r>
        <w:rPr/>
        <w:t>Page, 1 April 2021) </w:t>
      </w:r>
      <w:r>
        <w:rPr>
          <w:spacing w:val="-3"/>
        </w:rPr>
        <w:t>&lt;</w:t>
      </w:r>
      <w:hyperlink r:id="rId59">
        <w:r>
          <w:rPr>
            <w:spacing w:val="-3"/>
          </w:rPr>
          <w:t>https://www.who.int/news-room/fact-sheets/detail/deafness-and-hearing-</w:t>
        </w:r>
      </w:hyperlink>
      <w:r>
        <w:rPr>
          <w:spacing w:val="-3"/>
        </w:rPr>
        <w:t> </w:t>
      </w:r>
      <w:hyperlink r:id="rId59">
        <w:r>
          <w:rPr/>
          <w:t>loss</w:t>
        </w:r>
      </w:hyperlink>
      <w:r>
        <w:rPr/>
        <w:t>&gt;</w:t>
      </w:r>
    </w:p>
    <w:p>
      <w:pPr>
        <w:pStyle w:val="BodyText"/>
        <w:spacing w:line="259" w:lineRule="exact" w:before="85"/>
        <w:ind w:left="967"/>
      </w:pPr>
      <w:r>
        <w:rPr/>
        <w:t>ZoomText, ‘ZoomText Magnifier/Reader’, </w:t>
      </w:r>
      <w:r>
        <w:rPr>
          <w:i/>
        </w:rPr>
        <w:t>ZoomText </w:t>
      </w:r>
      <w:r>
        <w:rPr/>
        <w:t>(Web Page)</w:t>
      </w:r>
    </w:p>
    <w:p>
      <w:pPr>
        <w:pStyle w:val="BodyText"/>
        <w:spacing w:line="259" w:lineRule="exact"/>
        <w:ind w:left="967"/>
      </w:pPr>
      <w:r>
        <w:rPr/>
        <w:t>&lt;</w:t>
      </w:r>
      <w:hyperlink r:id="rId203">
        <w:r>
          <w:rPr/>
          <w:t>https://www.zoomtext.com/products/zoomtext-magnifierreader/</w:t>
        </w:r>
      </w:hyperlink>
      <w:r>
        <w:rPr/>
        <w:t>&gt;</w:t>
      </w:r>
    </w:p>
    <w:p>
      <w:pPr>
        <w:pStyle w:val="BodyText"/>
      </w:pPr>
    </w:p>
    <w:p>
      <w:pPr>
        <w:pStyle w:val="BodyText"/>
        <w:spacing w:before="6"/>
        <w:rPr>
          <w:sz w:val="27"/>
        </w:rPr>
      </w:pPr>
    </w:p>
    <w:p>
      <w:pPr>
        <w:spacing w:before="49"/>
        <w:ind w:left="0" w:right="213" w:firstLine="0"/>
        <w:jc w:val="right"/>
        <w:rPr>
          <w:b/>
          <w:sz w:val="24"/>
        </w:rPr>
      </w:pPr>
      <w:r>
        <w:rPr>
          <w:b/>
          <w:color w:val="37617A"/>
          <w:sz w:val="24"/>
        </w:rPr>
        <w:t>247</w:t>
      </w:r>
    </w:p>
    <w:p>
      <w:pPr>
        <w:spacing w:after="0"/>
        <w:jc w:val="right"/>
        <w:rPr>
          <w:sz w:val="24"/>
        </w:rPr>
        <w:sectPr>
          <w:pgSz w:w="11910" w:h="16840"/>
          <w:pgMar w:header="0" w:footer="0" w:top="840" w:bottom="280" w:left="620" w:right="380"/>
        </w:sectPr>
      </w:pPr>
    </w:p>
    <w:p>
      <w:pPr>
        <w:pStyle w:val="BodyText"/>
        <w:rPr>
          <w:b/>
        </w:rPr>
      </w:pPr>
    </w:p>
    <w:p>
      <w:pPr>
        <w:pStyle w:val="BodyText"/>
        <w:rPr>
          <w:b/>
        </w:rPr>
      </w:pPr>
    </w:p>
    <w:p>
      <w:pPr>
        <w:pStyle w:val="BodyText"/>
        <w:rPr>
          <w:b/>
        </w:rPr>
      </w:pPr>
    </w:p>
    <w:p>
      <w:pPr>
        <w:spacing w:before="212"/>
        <w:ind w:left="967" w:right="0" w:firstLine="0"/>
        <w:jc w:val="left"/>
        <w:rPr>
          <w:rFonts w:ascii="Raleway ExtraBold"/>
          <w:b/>
          <w:sz w:val="28"/>
        </w:rPr>
      </w:pPr>
      <w:r>
        <w:rPr>
          <w:rFonts w:ascii="Raleway ExtraBold"/>
          <w:b/>
          <w:color w:val="37617A"/>
          <w:sz w:val="28"/>
        </w:rPr>
        <w:t>Case Law</w:t>
      </w:r>
    </w:p>
    <w:p>
      <w:pPr>
        <w:spacing w:before="184"/>
        <w:ind w:left="967" w:right="0" w:firstLine="0"/>
        <w:jc w:val="left"/>
        <w:rPr>
          <w:b/>
          <w:sz w:val="24"/>
        </w:rPr>
      </w:pPr>
      <w:r>
        <w:rPr>
          <w:b/>
          <w:sz w:val="24"/>
        </w:rPr>
        <w:t>Victoria</w:t>
      </w:r>
    </w:p>
    <w:p>
      <w:pPr>
        <w:spacing w:before="95"/>
        <w:ind w:left="967" w:right="0" w:firstLine="0"/>
        <w:jc w:val="left"/>
        <w:rPr>
          <w:sz w:val="20"/>
        </w:rPr>
      </w:pPr>
      <w:r>
        <w:rPr>
          <w:i/>
          <w:sz w:val="20"/>
        </w:rPr>
        <w:t>Haddara v The Queen </w:t>
      </w:r>
      <w:r>
        <w:rPr>
          <w:sz w:val="20"/>
        </w:rPr>
        <w:t>[2014] VSCA 100; (2014) 43 VR 53</w:t>
      </w:r>
    </w:p>
    <w:p>
      <w:pPr>
        <w:spacing w:before="76"/>
        <w:ind w:left="967" w:right="0" w:firstLine="0"/>
        <w:jc w:val="left"/>
        <w:rPr>
          <w:sz w:val="20"/>
        </w:rPr>
      </w:pPr>
      <w:r>
        <w:rPr>
          <w:i/>
          <w:sz w:val="20"/>
        </w:rPr>
        <w:t>Knight v Wise </w:t>
      </w:r>
      <w:r>
        <w:rPr>
          <w:sz w:val="20"/>
        </w:rPr>
        <w:t>[2014] VSC 76</w:t>
      </w:r>
    </w:p>
    <w:p>
      <w:pPr>
        <w:spacing w:before="75"/>
        <w:ind w:left="967" w:right="0" w:firstLine="0"/>
        <w:jc w:val="left"/>
        <w:rPr>
          <w:sz w:val="20"/>
        </w:rPr>
      </w:pPr>
      <w:r>
        <w:rPr>
          <w:i/>
          <w:sz w:val="20"/>
        </w:rPr>
        <w:t>Latorre v The Queen </w:t>
      </w:r>
      <w:r>
        <w:rPr>
          <w:sz w:val="20"/>
        </w:rPr>
        <w:t>[2012] VSCA 280; (2012) 226 A Crim R 319</w:t>
      </w:r>
    </w:p>
    <w:p>
      <w:pPr>
        <w:spacing w:before="76"/>
        <w:ind w:left="967" w:right="0" w:firstLine="0"/>
        <w:jc w:val="left"/>
        <w:rPr>
          <w:sz w:val="20"/>
        </w:rPr>
      </w:pPr>
      <w:r>
        <w:rPr>
          <w:i/>
          <w:sz w:val="20"/>
        </w:rPr>
        <w:t>Markes v Futuris Automotive Interiors </w:t>
      </w:r>
      <w:r>
        <w:rPr>
          <w:sz w:val="20"/>
        </w:rPr>
        <w:t>[2014] VCC 1420</w:t>
      </w:r>
    </w:p>
    <w:p>
      <w:pPr>
        <w:pStyle w:val="BodyText"/>
        <w:spacing w:line="206" w:lineRule="auto" w:before="108"/>
        <w:ind w:left="967" w:right="1213"/>
      </w:pPr>
      <w:r>
        <w:rPr>
          <w:i/>
        </w:rPr>
        <w:t>R v Burns </w:t>
      </w:r>
      <w:r>
        <w:rPr/>
        <w:t>(1883) VLR 191; (Supreme Court of Victoria, Stawell CJ, Higginbotham and Holroyd JJ, 6 September 1883)</w:t>
      </w:r>
    </w:p>
    <w:p>
      <w:pPr>
        <w:spacing w:before="84"/>
        <w:ind w:left="967" w:right="0" w:firstLine="0"/>
        <w:jc w:val="left"/>
        <w:rPr>
          <w:sz w:val="20"/>
        </w:rPr>
      </w:pPr>
      <w:r>
        <w:rPr>
          <w:i/>
          <w:sz w:val="20"/>
        </w:rPr>
        <w:t>R v Cherry </w:t>
      </w:r>
      <w:r>
        <w:rPr>
          <w:sz w:val="20"/>
        </w:rPr>
        <w:t>[2005] VSCA 89; (2005) 12 VR 122</w:t>
      </w:r>
    </w:p>
    <w:p>
      <w:pPr>
        <w:pStyle w:val="BodyText"/>
        <w:spacing w:before="76"/>
        <w:ind w:left="967"/>
      </w:pPr>
      <w:r>
        <w:rPr>
          <w:i/>
        </w:rPr>
        <w:t>R v Dao </w:t>
      </w:r>
      <w:r>
        <w:rPr/>
        <w:t>[2005] VSCA 196; (2005) 156 A Crim R 459</w:t>
      </w:r>
    </w:p>
    <w:p>
      <w:pPr>
        <w:spacing w:before="75"/>
        <w:ind w:left="967" w:right="0" w:firstLine="0"/>
        <w:jc w:val="left"/>
        <w:rPr>
          <w:sz w:val="20"/>
        </w:rPr>
      </w:pPr>
      <w:r>
        <w:rPr>
          <w:i/>
          <w:sz w:val="20"/>
        </w:rPr>
        <w:t>R v Nguyen </w:t>
      </w:r>
      <w:r>
        <w:rPr>
          <w:sz w:val="20"/>
        </w:rPr>
        <w:t>[2006] VSCA 158</w:t>
      </w:r>
    </w:p>
    <w:p>
      <w:pPr>
        <w:pStyle w:val="BodyText"/>
        <w:spacing w:line="206" w:lineRule="auto" w:before="109"/>
        <w:ind w:left="967" w:right="1335"/>
      </w:pPr>
      <w:r>
        <w:rPr>
          <w:i/>
        </w:rPr>
        <w:t>R v Searle </w:t>
      </w:r>
      <w:r>
        <w:rPr/>
        <w:t>(1993) 2 VR 367; (Supreme Court of Victoria, Marks, Hampel and McDonald JJ, 24 June 1993)</w:t>
      </w:r>
    </w:p>
    <w:p>
      <w:pPr>
        <w:spacing w:before="83"/>
        <w:ind w:left="967" w:right="0" w:firstLine="0"/>
        <w:jc w:val="left"/>
        <w:rPr>
          <w:sz w:val="20"/>
        </w:rPr>
      </w:pPr>
      <w:r>
        <w:rPr>
          <w:i/>
          <w:sz w:val="20"/>
        </w:rPr>
        <w:t>R v Vjestica </w:t>
      </w:r>
      <w:r>
        <w:rPr>
          <w:sz w:val="20"/>
        </w:rPr>
        <w:t>[2008] VSCA 47; (2008) 182 A Crim R 350</w:t>
      </w:r>
    </w:p>
    <w:p>
      <w:pPr>
        <w:spacing w:before="76"/>
        <w:ind w:left="967" w:right="0" w:firstLine="0"/>
        <w:jc w:val="left"/>
        <w:rPr>
          <w:sz w:val="20"/>
        </w:rPr>
      </w:pPr>
      <w:r>
        <w:rPr>
          <w:i/>
          <w:sz w:val="20"/>
        </w:rPr>
        <w:t>Slaveski v The Queen </w:t>
      </w:r>
      <w:r>
        <w:rPr>
          <w:sz w:val="20"/>
        </w:rPr>
        <w:t>[2012] VSCA 48; (2012) 40 VR 1</w:t>
      </w:r>
    </w:p>
    <w:p>
      <w:pPr>
        <w:spacing w:before="76"/>
        <w:ind w:left="967" w:right="0" w:firstLine="0"/>
        <w:jc w:val="left"/>
        <w:rPr>
          <w:sz w:val="20"/>
        </w:rPr>
      </w:pPr>
      <w:r>
        <w:rPr>
          <w:i/>
          <w:sz w:val="20"/>
        </w:rPr>
        <w:t>Theodoropoulos v The Queen </w:t>
      </w:r>
      <w:r>
        <w:rPr>
          <w:sz w:val="20"/>
        </w:rPr>
        <w:t>[2015] VSCA 364; (2015) 51 VR 1</w:t>
      </w:r>
    </w:p>
    <w:p>
      <w:pPr>
        <w:spacing w:before="76"/>
        <w:ind w:left="967" w:right="0" w:firstLine="0"/>
        <w:jc w:val="left"/>
        <w:rPr>
          <w:sz w:val="20"/>
        </w:rPr>
      </w:pPr>
      <w:r>
        <w:rPr>
          <w:i/>
          <w:sz w:val="20"/>
        </w:rPr>
        <w:t>Woolworths Ltd v Warfe </w:t>
      </w:r>
      <w:r>
        <w:rPr>
          <w:sz w:val="20"/>
        </w:rPr>
        <w:t>[2013] VSCA 22</w:t>
      </w:r>
    </w:p>
    <w:p>
      <w:pPr>
        <w:spacing w:before="146"/>
        <w:ind w:left="967" w:right="0" w:firstLine="0"/>
        <w:jc w:val="left"/>
        <w:rPr>
          <w:b/>
          <w:sz w:val="24"/>
        </w:rPr>
      </w:pPr>
      <w:r>
        <w:rPr>
          <w:b/>
          <w:sz w:val="24"/>
        </w:rPr>
        <w:t>Commonwealth</w:t>
      </w:r>
    </w:p>
    <w:p>
      <w:pPr>
        <w:spacing w:before="94"/>
        <w:ind w:left="967" w:right="0" w:firstLine="0"/>
        <w:jc w:val="left"/>
        <w:rPr>
          <w:sz w:val="20"/>
        </w:rPr>
      </w:pPr>
      <w:r>
        <w:rPr>
          <w:i/>
          <w:sz w:val="20"/>
        </w:rPr>
        <w:t>Azzopardi v The Queen </w:t>
      </w:r>
      <w:r>
        <w:rPr>
          <w:sz w:val="20"/>
        </w:rPr>
        <w:t>[2001] HCA 25; (2001) 205 CLR 50</w:t>
      </w:r>
    </w:p>
    <w:p>
      <w:pPr>
        <w:pStyle w:val="BodyText"/>
        <w:spacing w:line="206" w:lineRule="auto" w:before="109"/>
        <w:ind w:left="967" w:right="1277"/>
      </w:pPr>
      <w:r>
        <w:rPr>
          <w:i/>
        </w:rPr>
        <w:t>Bush v The Queen </w:t>
      </w:r>
      <w:r>
        <w:rPr/>
        <w:t>(1993) 43 FCR 549; (Federal Court of Australia, Davies, Miles and Drummond JJ, 2 August 1993)</w:t>
      </w:r>
    </w:p>
    <w:p>
      <w:pPr>
        <w:spacing w:before="83"/>
        <w:ind w:left="967" w:right="0" w:firstLine="0"/>
        <w:jc w:val="left"/>
        <w:rPr>
          <w:sz w:val="20"/>
        </w:rPr>
      </w:pPr>
      <w:r>
        <w:rPr>
          <w:i/>
          <w:sz w:val="20"/>
        </w:rPr>
        <w:t>CSR Ltd v Della Maddalena </w:t>
      </w:r>
      <w:r>
        <w:rPr>
          <w:sz w:val="20"/>
        </w:rPr>
        <w:t>[2006] HCA 1; (2006) 224 ALR 1</w:t>
      </w:r>
    </w:p>
    <w:p>
      <w:pPr>
        <w:spacing w:before="76"/>
        <w:ind w:left="967" w:right="0" w:firstLine="0"/>
        <w:jc w:val="left"/>
        <w:rPr>
          <w:sz w:val="20"/>
        </w:rPr>
      </w:pPr>
      <w:r>
        <w:rPr>
          <w:i/>
          <w:sz w:val="20"/>
        </w:rPr>
        <w:t>Fox v Percy </w:t>
      </w:r>
      <w:r>
        <w:rPr>
          <w:sz w:val="20"/>
        </w:rPr>
        <w:t>[2003] HCA 22; (2003) 214 CLR 118</w:t>
      </w:r>
    </w:p>
    <w:p>
      <w:pPr>
        <w:spacing w:before="76"/>
        <w:ind w:left="967" w:right="0" w:firstLine="0"/>
        <w:jc w:val="left"/>
        <w:rPr>
          <w:sz w:val="20"/>
        </w:rPr>
      </w:pPr>
      <w:r>
        <w:rPr>
          <w:i/>
          <w:sz w:val="20"/>
        </w:rPr>
        <w:t>James v The Queen </w:t>
      </w:r>
      <w:r>
        <w:rPr>
          <w:sz w:val="20"/>
        </w:rPr>
        <w:t>[2014] HCA 6; (2014) 253 CLR 475</w:t>
      </w:r>
    </w:p>
    <w:p>
      <w:pPr>
        <w:pStyle w:val="BodyText"/>
        <w:spacing w:line="206" w:lineRule="auto" w:before="108"/>
        <w:ind w:left="967" w:right="1335"/>
      </w:pPr>
      <w:r>
        <w:rPr>
          <w:i/>
        </w:rPr>
        <w:t>Johns v The Queen </w:t>
      </w:r>
      <w:r>
        <w:rPr/>
        <w:t>(1979) 141 CLR 409; (High Court of Australia, Barwick CJ, Gibbs, Stephen, Mason and Murphy JJ, 8 August 1979).</w:t>
      </w:r>
    </w:p>
    <w:p>
      <w:pPr>
        <w:spacing w:before="84"/>
        <w:ind w:left="967" w:right="0" w:firstLine="0"/>
        <w:jc w:val="left"/>
        <w:rPr>
          <w:sz w:val="20"/>
        </w:rPr>
      </w:pPr>
      <w:r>
        <w:rPr>
          <w:i/>
          <w:sz w:val="20"/>
        </w:rPr>
        <w:t>Katsuno v The Queen </w:t>
      </w:r>
      <w:r>
        <w:rPr>
          <w:sz w:val="20"/>
        </w:rPr>
        <w:t>[1999] HCA 50; (1999) 199 CLR 40</w:t>
      </w:r>
    </w:p>
    <w:p>
      <w:pPr>
        <w:pStyle w:val="BodyText"/>
        <w:spacing w:line="206" w:lineRule="auto" w:before="108"/>
        <w:ind w:left="967" w:right="1202"/>
      </w:pPr>
      <w:r>
        <w:rPr>
          <w:i/>
        </w:rPr>
        <w:t>Kioa v West </w:t>
      </w:r>
      <w:r>
        <w:rPr/>
        <w:t>(1985) 159 CLR 550; (High Court of Australia, Gibbs CJ, Mason, Wilson, Brennan and Deane JJ, 18 December 1985)</w:t>
      </w:r>
    </w:p>
    <w:p>
      <w:pPr>
        <w:spacing w:before="83"/>
        <w:ind w:left="967" w:right="0" w:firstLine="0"/>
        <w:jc w:val="left"/>
        <w:rPr>
          <w:sz w:val="20"/>
        </w:rPr>
      </w:pPr>
      <w:r>
        <w:rPr>
          <w:i/>
          <w:sz w:val="20"/>
        </w:rPr>
        <w:t>Lyons v State of Queensland </w:t>
      </w:r>
      <w:r>
        <w:rPr>
          <w:sz w:val="20"/>
        </w:rPr>
        <w:t>[2016] HCA 38; (2016) 259 CLR 518</w:t>
      </w:r>
    </w:p>
    <w:p>
      <w:pPr>
        <w:spacing w:line="206" w:lineRule="auto" w:before="108"/>
        <w:ind w:left="967" w:right="1277" w:firstLine="0"/>
        <w:jc w:val="left"/>
        <w:rPr>
          <w:sz w:val="20"/>
        </w:rPr>
      </w:pPr>
      <w:r>
        <w:rPr>
          <w:i/>
          <w:sz w:val="20"/>
        </w:rPr>
        <w:t>Melbourne Steamship Co Ltd v Moorhead </w:t>
      </w:r>
      <w:r>
        <w:rPr>
          <w:sz w:val="20"/>
        </w:rPr>
        <w:t>(1912) 15 CLR 333; (High Court of Australia, Griffith CJ, Barton and Isaacs JJ, 21 October 1912)</w:t>
      </w:r>
    </w:p>
    <w:p>
      <w:pPr>
        <w:pStyle w:val="BodyText"/>
        <w:spacing w:line="206" w:lineRule="auto" w:before="116"/>
        <w:ind w:left="967" w:right="1335"/>
      </w:pPr>
      <w:r>
        <w:rPr>
          <w:i/>
        </w:rPr>
        <w:t>Murphy v The Queen </w:t>
      </w:r>
      <w:r>
        <w:rPr/>
        <w:t>(1989) CLR 94; (High Court of Australia, Mason CJ, Brennan, Deanne, Dawson and Toohey JJ, 30 May 1989)</w:t>
      </w:r>
    </w:p>
    <w:p>
      <w:pPr>
        <w:pStyle w:val="BodyText"/>
        <w:spacing w:line="206" w:lineRule="auto" w:before="116"/>
        <w:ind w:left="967" w:right="1335"/>
      </w:pPr>
      <w:r>
        <w:rPr>
          <w:i/>
        </w:rPr>
        <w:t>R v Glennon </w:t>
      </w:r>
      <w:r>
        <w:rPr/>
        <w:t>(1992) 173 CLR 592; (High Court of Australia, Mason CJ, Brennan, Deane, Dawson, Toohey, Gaudron and McHugh JJ, 6 May 1992)</w:t>
      </w:r>
    </w:p>
    <w:p>
      <w:pPr>
        <w:spacing w:line="206" w:lineRule="auto" w:before="116"/>
        <w:ind w:left="967" w:right="1564" w:firstLine="0"/>
        <w:jc w:val="left"/>
        <w:rPr>
          <w:sz w:val="20"/>
        </w:rPr>
      </w:pPr>
      <w:r>
        <w:rPr>
          <w:i/>
          <w:sz w:val="20"/>
        </w:rPr>
        <w:t>Yong v Minister for Immigration and Ethnic Affairs </w:t>
      </w:r>
      <w:r>
        <w:rPr>
          <w:sz w:val="20"/>
        </w:rPr>
        <w:t>(1997) FCR 155; (Federal Court of Australia, Beaumont, Burchett and Goldberg JJ, 6 June 1997).</w:t>
      </w:r>
    </w:p>
    <w:p>
      <w:pPr>
        <w:pStyle w:val="BodyText"/>
      </w:pPr>
    </w:p>
    <w:p>
      <w:pPr>
        <w:pStyle w:val="BodyText"/>
      </w:pPr>
    </w:p>
    <w:p>
      <w:pPr>
        <w:pStyle w:val="BodyText"/>
      </w:pPr>
    </w:p>
    <w:p>
      <w:pPr>
        <w:pStyle w:val="BodyText"/>
      </w:pPr>
    </w:p>
    <w:p>
      <w:pPr>
        <w:spacing w:before="196"/>
        <w:ind w:left="100" w:right="0" w:firstLine="0"/>
        <w:jc w:val="left"/>
        <w:rPr>
          <w:b/>
          <w:sz w:val="24"/>
        </w:rPr>
      </w:pPr>
      <w:r>
        <w:rPr>
          <w:b/>
          <w:color w:val="37617A"/>
          <w:sz w:val="24"/>
        </w:rPr>
        <w:t>248</w:t>
      </w:r>
    </w:p>
    <w:p>
      <w:pPr>
        <w:spacing w:after="0"/>
        <w:jc w:val="left"/>
        <w:rPr>
          <w:sz w:val="24"/>
        </w:rPr>
        <w:sectPr>
          <w:pgSz w:w="11910" w:h="16840"/>
          <w:pgMar w:header="567" w:footer="0" w:top="860" w:bottom="280" w:left="620" w:right="380"/>
        </w:sectPr>
      </w:pPr>
    </w:p>
    <w:p>
      <w:pPr>
        <w:pStyle w:val="BodyText"/>
        <w:rPr>
          <w:b/>
        </w:rPr>
      </w:pPr>
    </w:p>
    <w:p>
      <w:pPr>
        <w:pStyle w:val="BodyText"/>
        <w:rPr>
          <w:b/>
        </w:rPr>
      </w:pPr>
    </w:p>
    <w:p>
      <w:pPr>
        <w:pStyle w:val="BodyText"/>
        <w:rPr>
          <w:b/>
        </w:rPr>
      </w:pPr>
    </w:p>
    <w:p>
      <w:pPr>
        <w:pStyle w:val="BodyText"/>
        <w:spacing w:before="6"/>
        <w:rPr>
          <w:b/>
          <w:sz w:val="14"/>
        </w:rPr>
      </w:pPr>
    </w:p>
    <w:p>
      <w:pPr>
        <w:spacing w:before="49"/>
        <w:ind w:left="967" w:right="0" w:firstLine="0"/>
        <w:jc w:val="left"/>
        <w:rPr>
          <w:b/>
          <w:sz w:val="24"/>
        </w:rPr>
      </w:pPr>
      <w:r>
        <w:rPr>
          <w:b/>
          <w:sz w:val="24"/>
        </w:rPr>
        <w:t>Other Australian Jurisdictions</w:t>
      </w:r>
    </w:p>
    <w:p>
      <w:pPr>
        <w:spacing w:line="206" w:lineRule="auto" w:before="127"/>
        <w:ind w:left="967" w:right="1110" w:firstLine="0"/>
        <w:jc w:val="left"/>
        <w:rPr>
          <w:sz w:val="20"/>
        </w:rPr>
      </w:pPr>
      <w:r>
        <w:rPr>
          <w:i/>
          <w:sz w:val="20"/>
        </w:rPr>
        <w:t>Kenny v State of South Australia </w:t>
      </w:r>
      <w:r>
        <w:rPr>
          <w:sz w:val="20"/>
        </w:rPr>
        <w:t>(1987) 46 SASR 268; (Supreme Court of South Australia, King CJ, 27 May 1987)</w:t>
      </w:r>
    </w:p>
    <w:p>
      <w:pPr>
        <w:spacing w:before="84"/>
        <w:ind w:left="967" w:right="0" w:firstLine="0"/>
        <w:jc w:val="left"/>
        <w:rPr>
          <w:sz w:val="20"/>
        </w:rPr>
      </w:pPr>
      <w:r>
        <w:rPr>
          <w:i/>
          <w:sz w:val="20"/>
        </w:rPr>
        <w:t>Lyons v State of Queensland </w:t>
      </w:r>
      <w:r>
        <w:rPr>
          <w:sz w:val="20"/>
        </w:rPr>
        <w:t>[2014] QCATA 302</w:t>
      </w:r>
    </w:p>
    <w:p>
      <w:pPr>
        <w:spacing w:before="76"/>
        <w:ind w:left="967" w:right="0" w:firstLine="0"/>
        <w:jc w:val="left"/>
        <w:rPr>
          <w:sz w:val="20"/>
        </w:rPr>
      </w:pPr>
      <w:r>
        <w:rPr>
          <w:i/>
          <w:sz w:val="20"/>
        </w:rPr>
        <w:t>Lyons v State of Queensland </w:t>
      </w:r>
      <w:r>
        <w:rPr>
          <w:sz w:val="20"/>
        </w:rPr>
        <w:t>[2015] QCA 159; [2016] 2 Qd R 41</w:t>
      </w:r>
    </w:p>
    <w:p>
      <w:pPr>
        <w:spacing w:before="75"/>
        <w:ind w:left="967" w:right="0" w:firstLine="0"/>
        <w:jc w:val="left"/>
        <w:rPr>
          <w:sz w:val="20"/>
        </w:rPr>
      </w:pPr>
      <w:r>
        <w:rPr>
          <w:i/>
          <w:sz w:val="20"/>
        </w:rPr>
        <w:t>Lyons v State of Queensland (No 2) </w:t>
      </w:r>
      <w:r>
        <w:rPr>
          <w:sz w:val="20"/>
        </w:rPr>
        <w:t>[2013] QCAT 731</w:t>
      </w:r>
    </w:p>
    <w:p>
      <w:pPr>
        <w:spacing w:before="76"/>
        <w:ind w:left="967" w:right="0" w:firstLine="0"/>
        <w:jc w:val="left"/>
        <w:rPr>
          <w:sz w:val="20"/>
        </w:rPr>
      </w:pPr>
      <w:r>
        <w:rPr>
          <w:i/>
          <w:sz w:val="20"/>
        </w:rPr>
        <w:t>R v Bunting </w:t>
      </w:r>
      <w:r>
        <w:rPr>
          <w:sz w:val="20"/>
        </w:rPr>
        <w:t>[2003] SASC 257; (2003) 139 A Crim R 562</w:t>
      </w:r>
    </w:p>
    <w:p>
      <w:pPr>
        <w:spacing w:line="206" w:lineRule="auto" w:before="108"/>
        <w:ind w:left="967" w:right="1335" w:firstLine="0"/>
        <w:jc w:val="left"/>
        <w:rPr>
          <w:sz w:val="20"/>
        </w:rPr>
      </w:pPr>
      <w:r>
        <w:rPr>
          <w:i/>
          <w:sz w:val="20"/>
        </w:rPr>
        <w:t>R v Judge of District Courts; Ex-parte Attorney-General </w:t>
      </w:r>
      <w:r>
        <w:rPr>
          <w:sz w:val="20"/>
        </w:rPr>
        <w:t>(Qld) [1991] 1 Qd R 170; (Supreme Court Queensland, Kelly SPJ, Connolly and Dowsett JJ, 13 June 1990).</w:t>
      </w:r>
    </w:p>
    <w:p>
      <w:pPr>
        <w:pStyle w:val="BodyText"/>
        <w:spacing w:line="206" w:lineRule="auto" w:before="116"/>
        <w:ind w:left="967" w:right="1673"/>
      </w:pPr>
      <w:r>
        <w:rPr>
          <w:i/>
        </w:rPr>
        <w:t>R v VPH </w:t>
      </w:r>
      <w:r>
        <w:rPr/>
        <w:t>(New South Wales Court of Criminal Appeal, Gleeson CJ, Newman and Sully JJ, 4 March 1994)</w:t>
      </w:r>
    </w:p>
    <w:p>
      <w:pPr>
        <w:spacing w:before="84"/>
        <w:ind w:left="967" w:right="0" w:firstLine="0"/>
        <w:jc w:val="left"/>
        <w:rPr>
          <w:sz w:val="20"/>
        </w:rPr>
      </w:pPr>
      <w:r>
        <w:rPr>
          <w:i/>
          <w:sz w:val="20"/>
        </w:rPr>
        <w:t>Vella v State of Western Australia </w:t>
      </w:r>
      <w:r>
        <w:rPr>
          <w:sz w:val="20"/>
        </w:rPr>
        <w:t>[2007] WASCA 59; (2007) 33 WAR 411</w:t>
      </w:r>
    </w:p>
    <w:p>
      <w:pPr>
        <w:spacing w:before="146"/>
        <w:ind w:left="967" w:right="0" w:firstLine="0"/>
        <w:jc w:val="left"/>
        <w:rPr>
          <w:b/>
          <w:sz w:val="24"/>
        </w:rPr>
      </w:pPr>
      <w:r>
        <w:rPr>
          <w:b/>
          <w:sz w:val="24"/>
        </w:rPr>
        <w:t>International</w:t>
      </w:r>
    </w:p>
    <w:p>
      <w:pPr>
        <w:spacing w:before="95"/>
        <w:ind w:left="967" w:right="0" w:firstLine="0"/>
        <w:jc w:val="left"/>
        <w:rPr>
          <w:sz w:val="20"/>
        </w:rPr>
      </w:pPr>
      <w:r>
        <w:rPr>
          <w:i/>
          <w:sz w:val="20"/>
        </w:rPr>
        <w:t>Bushell </w:t>
      </w:r>
      <w:r>
        <w:rPr>
          <w:sz w:val="20"/>
        </w:rPr>
        <w:t>(1670) 124 ER 1006</w:t>
      </w:r>
    </w:p>
    <w:p>
      <w:pPr>
        <w:spacing w:before="76"/>
        <w:ind w:left="967" w:right="0" w:firstLine="0"/>
        <w:jc w:val="left"/>
        <w:rPr>
          <w:sz w:val="20"/>
        </w:rPr>
      </w:pPr>
      <w:r>
        <w:rPr>
          <w:i/>
          <w:sz w:val="20"/>
        </w:rPr>
        <w:t>Clarke v County Registrar County Galway </w:t>
      </w:r>
      <w:r>
        <w:rPr>
          <w:sz w:val="20"/>
        </w:rPr>
        <w:t>[2010] 2006 High Court Judicial Review 1338</w:t>
      </w:r>
    </w:p>
    <w:p>
      <w:pPr>
        <w:spacing w:before="75"/>
        <w:ind w:left="967" w:right="0" w:firstLine="0"/>
        <w:jc w:val="left"/>
        <w:rPr>
          <w:sz w:val="20"/>
        </w:rPr>
      </w:pPr>
      <w:r>
        <w:rPr>
          <w:i/>
          <w:sz w:val="20"/>
        </w:rPr>
        <w:t>Commonwealth v Heywood, </w:t>
      </w:r>
      <w:r>
        <w:rPr>
          <w:sz w:val="20"/>
        </w:rPr>
        <w:t>484 Mass 43 (2020)</w:t>
      </w:r>
    </w:p>
    <w:p>
      <w:pPr>
        <w:spacing w:before="76"/>
        <w:ind w:left="967" w:right="0" w:firstLine="0"/>
        <w:jc w:val="left"/>
        <w:rPr>
          <w:sz w:val="20"/>
        </w:rPr>
      </w:pPr>
      <w:r>
        <w:rPr>
          <w:i/>
          <w:sz w:val="20"/>
        </w:rPr>
        <w:t>Galloway v Superior Court of the District of Columbia, </w:t>
      </w:r>
      <w:r>
        <w:rPr>
          <w:sz w:val="20"/>
        </w:rPr>
        <w:t>816 F Supp 12 (DDC, 1993)</w:t>
      </w:r>
    </w:p>
    <w:p>
      <w:pPr>
        <w:spacing w:before="76"/>
        <w:ind w:left="967" w:right="0" w:firstLine="0"/>
        <w:jc w:val="left"/>
        <w:rPr>
          <w:sz w:val="20"/>
        </w:rPr>
      </w:pPr>
      <w:r>
        <w:rPr>
          <w:i/>
          <w:sz w:val="20"/>
        </w:rPr>
        <w:t>Mansell v The Queen </w:t>
      </w:r>
      <w:r>
        <w:rPr>
          <w:sz w:val="20"/>
        </w:rPr>
        <w:t>[1857] 8 El &amp; Bl 52; (1857) 120 ER 20</w:t>
      </w:r>
    </w:p>
    <w:p>
      <w:pPr>
        <w:spacing w:before="76"/>
        <w:ind w:left="967" w:right="0" w:firstLine="0"/>
        <w:jc w:val="left"/>
        <w:rPr>
          <w:sz w:val="20"/>
        </w:rPr>
      </w:pPr>
      <w:r>
        <w:rPr>
          <w:i/>
          <w:sz w:val="20"/>
        </w:rPr>
        <w:t>People v Caldwell, </w:t>
      </w:r>
      <w:r>
        <w:rPr>
          <w:sz w:val="20"/>
        </w:rPr>
        <w:t>603 NYS 2d 713 (1993)</w:t>
      </w:r>
    </w:p>
    <w:p>
      <w:pPr>
        <w:spacing w:line="304" w:lineRule="auto" w:before="76"/>
        <w:ind w:left="967" w:right="5736" w:firstLine="0"/>
        <w:jc w:val="left"/>
        <w:rPr>
          <w:sz w:val="20"/>
        </w:rPr>
      </w:pPr>
      <w:r>
        <w:rPr>
          <w:i/>
          <w:sz w:val="20"/>
        </w:rPr>
        <w:t>People v Guzman, </w:t>
      </w:r>
      <w:r>
        <w:rPr>
          <w:sz w:val="20"/>
        </w:rPr>
        <w:t>478 NYS 2d 455 (1984) </w:t>
      </w:r>
      <w:r>
        <w:rPr>
          <w:i/>
          <w:sz w:val="20"/>
        </w:rPr>
        <w:t>People v Hayes </w:t>
      </w:r>
      <w:r>
        <w:rPr>
          <w:sz w:val="20"/>
        </w:rPr>
        <w:t>923 P 2d 221 (Colo App, 1995) </w:t>
      </w:r>
      <w:r>
        <w:rPr>
          <w:i/>
          <w:sz w:val="20"/>
        </w:rPr>
        <w:t>R v Ford </w:t>
      </w:r>
      <w:r>
        <w:rPr>
          <w:sz w:val="20"/>
        </w:rPr>
        <w:t>[1989] 1 QB 868</w:t>
      </w:r>
    </w:p>
    <w:p>
      <w:pPr>
        <w:pStyle w:val="BodyText"/>
        <w:spacing w:line="206" w:lineRule="auto" w:before="34"/>
        <w:ind w:left="967" w:right="1483"/>
      </w:pPr>
      <w:r>
        <w:rPr>
          <w:i/>
        </w:rPr>
        <w:t>R v Harrington </w:t>
      </w:r>
      <w:r>
        <w:rPr/>
        <w:t>(1977) Cr App R 1; (Court of Appeal, Shaw LJ, Swanwick and Mars-Jones JJ, 17 May 1976)</w:t>
      </w:r>
    </w:p>
    <w:p>
      <w:pPr>
        <w:spacing w:before="84"/>
        <w:ind w:left="967" w:right="0" w:firstLine="0"/>
        <w:jc w:val="left"/>
        <w:rPr>
          <w:sz w:val="20"/>
        </w:rPr>
      </w:pPr>
      <w:r>
        <w:rPr>
          <w:i/>
          <w:sz w:val="20"/>
        </w:rPr>
        <w:t>R v Mason </w:t>
      </w:r>
      <w:r>
        <w:rPr>
          <w:sz w:val="20"/>
        </w:rPr>
        <w:t>[1980] 3 All ER 777</w:t>
      </w:r>
    </w:p>
    <w:p>
      <w:pPr>
        <w:spacing w:line="206" w:lineRule="auto" w:before="108"/>
        <w:ind w:left="967" w:right="1776" w:firstLine="0"/>
        <w:jc w:val="left"/>
        <w:rPr>
          <w:sz w:val="20"/>
        </w:rPr>
      </w:pPr>
      <w:r>
        <w:rPr>
          <w:i/>
          <w:sz w:val="20"/>
        </w:rPr>
        <w:t>TC, UB v Komisia za zashtita ot diskriminatsia, VA </w:t>
      </w:r>
      <w:r>
        <w:rPr>
          <w:sz w:val="20"/>
        </w:rPr>
        <w:t>(Court of Justice of the European Union, Second Chamber, C-824/19, 21 October 2021)</w:t>
      </w:r>
    </w:p>
    <w:p>
      <w:pPr>
        <w:spacing w:line="206" w:lineRule="auto" w:before="116"/>
        <w:ind w:left="967" w:right="1335" w:firstLine="0"/>
        <w:jc w:val="left"/>
        <w:rPr>
          <w:sz w:val="20"/>
        </w:rPr>
      </w:pPr>
      <w:r>
        <w:rPr>
          <w:i/>
          <w:sz w:val="20"/>
        </w:rPr>
        <w:t>TC, UB v Komisia za zashtita ot diskriminatsia, VA </w:t>
      </w:r>
      <w:r>
        <w:rPr>
          <w:sz w:val="20"/>
        </w:rPr>
        <w:t>(Opinion of Advocate General Saugmandsgaard Øe, Court of Justice of the European Union, C-824/19, 22 April 2021)</w:t>
      </w:r>
    </w:p>
    <w:p>
      <w:pPr>
        <w:spacing w:before="84"/>
        <w:ind w:left="967" w:right="0" w:firstLine="0"/>
        <w:jc w:val="left"/>
        <w:rPr>
          <w:sz w:val="20"/>
        </w:rPr>
      </w:pPr>
      <w:r>
        <w:rPr>
          <w:i/>
          <w:sz w:val="20"/>
        </w:rPr>
        <w:t>The People (DPP) v JM, </w:t>
      </w:r>
      <w:r>
        <w:rPr>
          <w:sz w:val="20"/>
        </w:rPr>
        <w:t>Circuit Criminal Court, November 2010</w:t>
      </w:r>
    </w:p>
    <w:p>
      <w:pPr>
        <w:spacing w:before="76"/>
        <w:ind w:left="967" w:right="0" w:firstLine="0"/>
        <w:jc w:val="left"/>
        <w:rPr>
          <w:sz w:val="20"/>
        </w:rPr>
      </w:pPr>
      <w:r>
        <w:rPr>
          <w:i/>
          <w:sz w:val="20"/>
        </w:rPr>
        <w:t>The People (DPP) v O’Brien, </w:t>
      </w:r>
      <w:r>
        <w:rPr>
          <w:sz w:val="20"/>
        </w:rPr>
        <w:t>Central Criminal Court, 29 November 2010</w:t>
      </w:r>
    </w:p>
    <w:p>
      <w:pPr>
        <w:spacing w:before="75"/>
        <w:ind w:left="967" w:right="0" w:firstLine="0"/>
        <w:jc w:val="left"/>
        <w:rPr>
          <w:sz w:val="20"/>
        </w:rPr>
      </w:pPr>
      <w:r>
        <w:rPr>
          <w:i/>
          <w:sz w:val="20"/>
        </w:rPr>
        <w:t>United States v Dempsey, </w:t>
      </w:r>
      <w:r>
        <w:rPr>
          <w:sz w:val="20"/>
        </w:rPr>
        <w:t>830 F 2d 1084 (10th Cir, 1987)</w:t>
      </w:r>
    </w:p>
    <w:p>
      <w:pPr>
        <w:spacing w:before="146"/>
        <w:ind w:left="967" w:right="0" w:firstLine="0"/>
        <w:jc w:val="left"/>
        <w:rPr>
          <w:b/>
          <w:sz w:val="24"/>
        </w:rPr>
      </w:pPr>
      <w:r>
        <w:rPr>
          <w:b/>
          <w:sz w:val="24"/>
        </w:rPr>
        <w:t>United Nations</w:t>
      </w:r>
    </w:p>
    <w:p>
      <w:pPr>
        <w:spacing w:line="206" w:lineRule="auto" w:before="128"/>
        <w:ind w:left="967" w:right="1604" w:firstLine="0"/>
        <w:jc w:val="left"/>
        <w:rPr>
          <w:sz w:val="20"/>
        </w:rPr>
      </w:pPr>
      <w:r>
        <w:rPr>
          <w:i/>
          <w:sz w:val="20"/>
        </w:rPr>
        <w:t>Views: Communication No 12/2013, </w:t>
      </w:r>
      <w:r>
        <w:rPr>
          <w:sz w:val="20"/>
        </w:rPr>
        <w:t>13th sess, UN Doc </w:t>
      </w:r>
      <w:r>
        <w:rPr>
          <w:spacing w:val="-5"/>
          <w:sz w:val="20"/>
        </w:rPr>
        <w:t>CRPD/C/13/D/12/2013 </w:t>
      </w:r>
      <w:r>
        <w:rPr>
          <w:sz w:val="20"/>
        </w:rPr>
        <w:t>(29 May 2015) </w:t>
      </w:r>
      <w:r>
        <w:rPr>
          <w:spacing w:val="-6"/>
          <w:sz w:val="20"/>
        </w:rPr>
        <w:t>(</w:t>
      </w:r>
      <w:r>
        <w:rPr>
          <w:i/>
          <w:spacing w:val="-6"/>
          <w:sz w:val="20"/>
        </w:rPr>
        <w:t>‘AM </w:t>
      </w:r>
      <w:r>
        <w:rPr>
          <w:i/>
          <w:sz w:val="20"/>
        </w:rPr>
        <w:t>v Australia’</w:t>
      </w:r>
      <w:r>
        <w:rPr>
          <w:sz w:val="20"/>
        </w:rPr>
        <w:t>).</w:t>
      </w:r>
    </w:p>
    <w:p>
      <w:pPr>
        <w:spacing w:line="206" w:lineRule="auto" w:before="115"/>
        <w:ind w:left="967" w:right="1335" w:firstLine="0"/>
        <w:jc w:val="left"/>
        <w:rPr>
          <w:sz w:val="20"/>
        </w:rPr>
      </w:pPr>
      <w:r>
        <w:rPr>
          <w:i/>
          <w:sz w:val="20"/>
        </w:rPr>
        <w:t>Views: Communication No 11/2013, </w:t>
      </w:r>
      <w:r>
        <w:rPr>
          <w:sz w:val="20"/>
        </w:rPr>
        <w:t>15th sess, UN Doc </w:t>
      </w:r>
      <w:r>
        <w:rPr>
          <w:spacing w:val="-5"/>
          <w:sz w:val="20"/>
        </w:rPr>
        <w:t>CRPD/C/15/D/11/2013 </w:t>
      </w:r>
      <w:r>
        <w:rPr>
          <w:sz w:val="20"/>
        </w:rPr>
        <w:t>(25 May </w:t>
      </w:r>
      <w:r>
        <w:rPr>
          <w:spacing w:val="-3"/>
          <w:sz w:val="20"/>
        </w:rPr>
        <w:t>2016) </w:t>
      </w:r>
      <w:r>
        <w:rPr>
          <w:sz w:val="20"/>
        </w:rPr>
        <w:t>(</w:t>
      </w:r>
      <w:r>
        <w:rPr>
          <w:i/>
          <w:sz w:val="20"/>
        </w:rPr>
        <w:t>‘Beasley v</w:t>
      </w:r>
      <w:r>
        <w:rPr>
          <w:i/>
          <w:spacing w:val="-5"/>
          <w:sz w:val="20"/>
        </w:rPr>
        <w:t> </w:t>
      </w:r>
      <w:r>
        <w:rPr>
          <w:i/>
          <w:sz w:val="20"/>
        </w:rPr>
        <w:t>Australia’</w:t>
      </w:r>
      <w:r>
        <w:rPr>
          <w:sz w:val="20"/>
        </w:rPr>
        <w:t>)</w:t>
      </w:r>
    </w:p>
    <w:p>
      <w:pPr>
        <w:spacing w:line="206" w:lineRule="auto" w:before="116"/>
        <w:ind w:left="967" w:right="1335" w:firstLine="0"/>
        <w:jc w:val="left"/>
        <w:rPr>
          <w:sz w:val="20"/>
        </w:rPr>
      </w:pPr>
      <w:r>
        <w:rPr>
          <w:i/>
          <w:sz w:val="20"/>
        </w:rPr>
        <w:t>Views: Communication No 13/2013, </w:t>
      </w:r>
      <w:r>
        <w:rPr>
          <w:sz w:val="20"/>
        </w:rPr>
        <w:t>15th sess, UN Doc </w:t>
      </w:r>
      <w:r>
        <w:rPr>
          <w:spacing w:val="-5"/>
          <w:sz w:val="20"/>
        </w:rPr>
        <w:t>CRPD/C/15/D/13/2013 </w:t>
      </w:r>
      <w:r>
        <w:rPr>
          <w:sz w:val="20"/>
        </w:rPr>
        <w:t>(30 May </w:t>
      </w:r>
      <w:r>
        <w:rPr>
          <w:spacing w:val="-3"/>
          <w:sz w:val="20"/>
        </w:rPr>
        <w:t>2016) </w:t>
      </w:r>
      <w:r>
        <w:rPr>
          <w:sz w:val="20"/>
        </w:rPr>
        <w:t>(</w:t>
      </w:r>
      <w:r>
        <w:rPr>
          <w:i/>
          <w:sz w:val="20"/>
        </w:rPr>
        <w:t>‘Lockrey v</w:t>
      </w:r>
      <w:r>
        <w:rPr>
          <w:i/>
          <w:spacing w:val="-5"/>
          <w:sz w:val="20"/>
        </w:rPr>
        <w:t> </w:t>
      </w:r>
      <w:r>
        <w:rPr>
          <w:i/>
          <w:sz w:val="20"/>
        </w:rPr>
        <w:t>Australia’</w:t>
      </w:r>
      <w:r>
        <w:rPr>
          <w:sz w:val="20"/>
        </w:rPr>
        <w:t>)</w:t>
      </w:r>
    </w:p>
    <w:p>
      <w:pPr>
        <w:spacing w:line="206" w:lineRule="auto" w:before="116"/>
        <w:ind w:left="967" w:right="1202" w:firstLine="0"/>
        <w:jc w:val="left"/>
        <w:rPr>
          <w:sz w:val="20"/>
        </w:rPr>
      </w:pPr>
      <w:r>
        <w:rPr>
          <w:i/>
          <w:sz w:val="20"/>
        </w:rPr>
        <w:t>Views: Communication No </w:t>
      </w:r>
      <w:r>
        <w:rPr>
          <w:i/>
          <w:spacing w:val="-3"/>
          <w:sz w:val="20"/>
        </w:rPr>
        <w:t>35/2016, </w:t>
      </w:r>
      <w:r>
        <w:rPr>
          <w:sz w:val="20"/>
        </w:rPr>
        <w:t>20th sess, UN Doc </w:t>
      </w:r>
      <w:r>
        <w:rPr>
          <w:spacing w:val="-6"/>
          <w:sz w:val="20"/>
        </w:rPr>
        <w:t>CRPD/C/20/D/35/2016 </w:t>
      </w:r>
      <w:r>
        <w:rPr>
          <w:sz w:val="20"/>
        </w:rPr>
        <w:t>(31 August 2018) </w:t>
      </w:r>
      <w:r>
        <w:rPr>
          <w:spacing w:val="-6"/>
          <w:sz w:val="20"/>
        </w:rPr>
        <w:t>(</w:t>
      </w:r>
      <w:r>
        <w:rPr>
          <w:i/>
          <w:spacing w:val="-6"/>
          <w:sz w:val="20"/>
        </w:rPr>
        <w:t>‘JH </w:t>
      </w:r>
      <w:r>
        <w:rPr>
          <w:i/>
          <w:sz w:val="20"/>
        </w:rPr>
        <w:t>v Australia’</w:t>
      </w:r>
      <w:r>
        <w:rPr>
          <w:sz w:val="20"/>
        </w:rPr>
        <w:t>)</w:t>
      </w:r>
    </w:p>
    <w:p>
      <w:pPr>
        <w:pStyle w:val="BodyText"/>
        <w:spacing w:before="2"/>
        <w:rPr>
          <w:sz w:val="27"/>
        </w:rPr>
      </w:pPr>
    </w:p>
    <w:p>
      <w:pPr>
        <w:spacing w:before="49"/>
        <w:ind w:left="0" w:right="206" w:firstLine="0"/>
        <w:jc w:val="right"/>
        <w:rPr>
          <w:b/>
          <w:sz w:val="24"/>
        </w:rPr>
      </w:pPr>
      <w:r>
        <w:rPr>
          <w:b/>
          <w:color w:val="37617A"/>
          <w:sz w:val="24"/>
        </w:rPr>
        <w:t>249</w:t>
      </w:r>
    </w:p>
    <w:p>
      <w:pPr>
        <w:spacing w:after="0"/>
        <w:jc w:val="right"/>
        <w:rPr>
          <w:sz w:val="24"/>
        </w:rPr>
        <w:sectPr>
          <w:pgSz w:w="11910" w:h="16840"/>
          <w:pgMar w:header="0" w:footer="0" w:top="840" w:bottom="280" w:left="620" w:right="380"/>
        </w:sectPr>
      </w:pPr>
    </w:p>
    <w:p>
      <w:pPr>
        <w:pStyle w:val="BodyText"/>
        <w:rPr>
          <w:b/>
        </w:rPr>
      </w:pPr>
    </w:p>
    <w:p>
      <w:pPr>
        <w:pStyle w:val="BodyText"/>
        <w:rPr>
          <w:b/>
        </w:rPr>
      </w:pPr>
    </w:p>
    <w:p>
      <w:pPr>
        <w:pStyle w:val="BodyText"/>
        <w:rPr>
          <w:b/>
        </w:rPr>
      </w:pPr>
    </w:p>
    <w:p>
      <w:pPr>
        <w:pStyle w:val="BodyText"/>
        <w:spacing w:before="5"/>
        <w:rPr>
          <w:b/>
          <w:sz w:val="14"/>
        </w:rPr>
      </w:pPr>
    </w:p>
    <w:p>
      <w:pPr>
        <w:spacing w:after="0"/>
        <w:rPr>
          <w:sz w:val="14"/>
        </w:rPr>
        <w:sectPr>
          <w:pgSz w:w="11910" w:h="16840"/>
          <w:pgMar w:header="567" w:footer="0" w:top="860" w:bottom="280" w:left="620" w:right="380"/>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7"/>
        <w:rPr>
          <w:b/>
          <w:sz w:val="34"/>
        </w:rPr>
      </w:pPr>
    </w:p>
    <w:p>
      <w:pPr>
        <w:spacing w:before="1"/>
        <w:ind w:left="100" w:right="0" w:firstLine="0"/>
        <w:jc w:val="left"/>
        <w:rPr>
          <w:b/>
          <w:sz w:val="24"/>
        </w:rPr>
      </w:pPr>
      <w:r>
        <w:rPr>
          <w:b/>
          <w:color w:val="37617A"/>
          <w:sz w:val="24"/>
        </w:rPr>
        <w:t>250</w:t>
      </w:r>
    </w:p>
    <w:p>
      <w:pPr>
        <w:spacing w:before="41"/>
        <w:ind w:left="100" w:right="0" w:firstLine="0"/>
        <w:jc w:val="left"/>
        <w:rPr>
          <w:rFonts w:ascii="Raleway ExtraBold"/>
          <w:b/>
          <w:sz w:val="28"/>
        </w:rPr>
      </w:pPr>
      <w:r>
        <w:rPr/>
        <w:br w:type="column"/>
      </w:r>
      <w:r>
        <w:rPr>
          <w:rFonts w:ascii="Raleway ExtraBold"/>
          <w:b/>
          <w:color w:val="37617A"/>
          <w:sz w:val="28"/>
        </w:rPr>
        <w:t>Legislation</w:t>
      </w:r>
    </w:p>
    <w:p>
      <w:pPr>
        <w:spacing w:before="184"/>
        <w:ind w:left="100" w:right="0" w:firstLine="0"/>
        <w:jc w:val="left"/>
        <w:rPr>
          <w:b/>
          <w:sz w:val="24"/>
        </w:rPr>
      </w:pPr>
      <w:r>
        <w:rPr>
          <w:b/>
          <w:sz w:val="24"/>
        </w:rPr>
        <w:t>Victoria</w:t>
      </w:r>
    </w:p>
    <w:p>
      <w:pPr>
        <w:spacing w:line="304" w:lineRule="auto" w:before="95"/>
        <w:ind w:left="100" w:right="2936" w:firstLine="0"/>
        <w:jc w:val="left"/>
        <w:rPr>
          <w:sz w:val="20"/>
        </w:rPr>
      </w:pPr>
      <w:r>
        <w:rPr>
          <w:i/>
          <w:sz w:val="20"/>
        </w:rPr>
        <w:t>Act to Alter the Laws Relative to Jurors and Juries in Certain Districts 1852 </w:t>
      </w:r>
      <w:r>
        <w:rPr>
          <w:sz w:val="20"/>
        </w:rPr>
        <w:t>(Vic) </w:t>
      </w:r>
      <w:r>
        <w:rPr>
          <w:i/>
          <w:sz w:val="20"/>
        </w:rPr>
        <w:t>Change or Suppression (Conversion) Practices Prohibition Act 2021 </w:t>
      </w:r>
      <w:r>
        <w:rPr>
          <w:sz w:val="20"/>
        </w:rPr>
        <w:t>(Vic) </w:t>
      </w:r>
      <w:r>
        <w:rPr>
          <w:i/>
          <w:sz w:val="20"/>
        </w:rPr>
        <w:t>Charter of Human Rights and Responsibilities Act 2006 </w:t>
      </w:r>
      <w:r>
        <w:rPr>
          <w:sz w:val="20"/>
        </w:rPr>
        <w:t>(Vic)</w:t>
      </w:r>
    </w:p>
    <w:p>
      <w:pPr>
        <w:spacing w:before="2"/>
        <w:ind w:left="100" w:right="0" w:firstLine="0"/>
        <w:jc w:val="left"/>
        <w:rPr>
          <w:sz w:val="20"/>
        </w:rPr>
      </w:pPr>
      <w:r>
        <w:rPr>
          <w:i/>
          <w:sz w:val="20"/>
        </w:rPr>
        <w:t>COVID-19 Omnibus (Emergency Measures) Act 2020 </w:t>
      </w:r>
      <w:r>
        <w:rPr>
          <w:sz w:val="20"/>
        </w:rPr>
        <w:t>(Vic)</w:t>
      </w:r>
    </w:p>
    <w:p>
      <w:pPr>
        <w:spacing w:before="76"/>
        <w:ind w:left="100" w:right="0" w:firstLine="0"/>
        <w:jc w:val="left"/>
        <w:rPr>
          <w:sz w:val="20"/>
        </w:rPr>
      </w:pPr>
      <w:r>
        <w:rPr>
          <w:i/>
          <w:sz w:val="20"/>
        </w:rPr>
        <w:t>Crimes Act 1958 </w:t>
      </w:r>
      <w:r>
        <w:rPr>
          <w:sz w:val="20"/>
        </w:rPr>
        <w:t>(Vic)</w:t>
      </w:r>
    </w:p>
    <w:p>
      <w:pPr>
        <w:spacing w:line="304" w:lineRule="auto" w:before="76"/>
        <w:ind w:left="100" w:right="6563" w:firstLine="0"/>
        <w:jc w:val="left"/>
        <w:rPr>
          <w:sz w:val="20"/>
        </w:rPr>
      </w:pPr>
      <w:r>
        <w:rPr>
          <w:i/>
          <w:sz w:val="20"/>
        </w:rPr>
        <w:t>Criminal Procedure Act 2009 </w:t>
      </w:r>
      <w:r>
        <w:rPr>
          <w:sz w:val="20"/>
        </w:rPr>
        <w:t>(Vic) </w:t>
      </w:r>
      <w:r>
        <w:rPr>
          <w:i/>
          <w:sz w:val="20"/>
        </w:rPr>
        <w:t>Domestic Animals Act 1994 </w:t>
      </w:r>
      <w:r>
        <w:rPr>
          <w:sz w:val="20"/>
        </w:rPr>
        <w:t>(Vic) </w:t>
      </w:r>
      <w:r>
        <w:rPr>
          <w:i/>
          <w:sz w:val="20"/>
        </w:rPr>
        <w:t>Equal Opportunity Act 2010 </w:t>
      </w:r>
      <w:r>
        <w:rPr>
          <w:sz w:val="20"/>
        </w:rPr>
        <w:t>(Vic) </w:t>
      </w:r>
      <w:r>
        <w:rPr>
          <w:i/>
          <w:sz w:val="20"/>
        </w:rPr>
        <w:t>Equal Opportunity Act 1977 </w:t>
      </w:r>
      <w:r>
        <w:rPr>
          <w:sz w:val="20"/>
        </w:rPr>
        <w:t>(Vic) </w:t>
      </w:r>
      <w:r>
        <w:rPr>
          <w:i/>
          <w:sz w:val="20"/>
        </w:rPr>
        <w:t>Evidence Act 2008 </w:t>
      </w:r>
      <w:r>
        <w:rPr>
          <w:sz w:val="20"/>
        </w:rPr>
        <w:t>(Vic)</w:t>
      </w:r>
    </w:p>
    <w:p>
      <w:pPr>
        <w:spacing w:line="304" w:lineRule="auto" w:before="4"/>
        <w:ind w:left="100" w:right="8120" w:firstLine="0"/>
        <w:jc w:val="both"/>
        <w:rPr>
          <w:sz w:val="20"/>
        </w:rPr>
      </w:pPr>
      <w:r>
        <w:rPr>
          <w:i/>
          <w:sz w:val="20"/>
        </w:rPr>
        <w:t>Juries Act 2000 </w:t>
      </w:r>
      <w:r>
        <w:rPr>
          <w:sz w:val="20"/>
        </w:rPr>
        <w:t>(Vic) </w:t>
      </w:r>
      <w:r>
        <w:rPr>
          <w:i/>
          <w:sz w:val="20"/>
        </w:rPr>
        <w:t>Juries Act 1956 </w:t>
      </w:r>
      <w:r>
        <w:rPr>
          <w:sz w:val="20"/>
        </w:rPr>
        <w:t>(Vic) </w:t>
      </w:r>
      <w:r>
        <w:rPr>
          <w:i/>
          <w:sz w:val="20"/>
        </w:rPr>
        <w:t>Juries Act 1967 </w:t>
      </w:r>
      <w:r>
        <w:rPr>
          <w:sz w:val="20"/>
        </w:rPr>
        <w:t>(Vic)</w:t>
      </w:r>
    </w:p>
    <w:p>
      <w:pPr>
        <w:spacing w:before="3"/>
        <w:ind w:left="100" w:right="0" w:firstLine="0"/>
        <w:jc w:val="left"/>
        <w:rPr>
          <w:sz w:val="20"/>
        </w:rPr>
      </w:pPr>
      <w:r>
        <w:rPr>
          <w:i/>
          <w:sz w:val="20"/>
        </w:rPr>
        <w:t>Juries Amendment Act 1975 </w:t>
      </w:r>
      <w:r>
        <w:rPr>
          <w:sz w:val="20"/>
        </w:rPr>
        <w:t>(Vic)</w:t>
      </w:r>
    </w:p>
    <w:p>
      <w:pPr>
        <w:spacing w:before="75"/>
        <w:ind w:left="100" w:right="0" w:firstLine="0"/>
        <w:jc w:val="left"/>
        <w:rPr>
          <w:sz w:val="20"/>
        </w:rPr>
      </w:pPr>
      <w:r>
        <w:rPr>
          <w:i/>
          <w:sz w:val="20"/>
        </w:rPr>
        <w:t>Juries (Women Jurors) Act 1964 </w:t>
      </w:r>
      <w:r>
        <w:rPr>
          <w:sz w:val="20"/>
        </w:rPr>
        <w:t>(Vic)</w:t>
      </w:r>
    </w:p>
    <w:p>
      <w:pPr>
        <w:spacing w:before="76"/>
        <w:ind w:left="100" w:right="0" w:firstLine="0"/>
        <w:jc w:val="left"/>
        <w:rPr>
          <w:sz w:val="20"/>
        </w:rPr>
      </w:pPr>
      <w:r>
        <w:rPr>
          <w:i/>
          <w:sz w:val="20"/>
        </w:rPr>
        <w:t>Jurors and Juries in Certain Districts Amendment Act 1852 </w:t>
      </w:r>
      <w:r>
        <w:rPr>
          <w:sz w:val="20"/>
        </w:rPr>
        <w:t>(Vic)</w:t>
      </w:r>
    </w:p>
    <w:p>
      <w:pPr>
        <w:spacing w:before="76"/>
        <w:ind w:left="100" w:right="0" w:firstLine="0"/>
        <w:jc w:val="left"/>
        <w:rPr>
          <w:sz w:val="20"/>
        </w:rPr>
      </w:pPr>
      <w:r>
        <w:rPr>
          <w:i/>
          <w:sz w:val="20"/>
        </w:rPr>
        <w:t>Jury Directions Act 2015 </w:t>
      </w:r>
      <w:r>
        <w:rPr>
          <w:sz w:val="20"/>
        </w:rPr>
        <w:t>(Vic)</w:t>
      </w:r>
    </w:p>
    <w:p>
      <w:pPr>
        <w:spacing w:before="76"/>
        <w:ind w:left="100" w:right="0" w:firstLine="0"/>
        <w:jc w:val="left"/>
        <w:rPr>
          <w:sz w:val="20"/>
        </w:rPr>
      </w:pPr>
      <w:r>
        <w:rPr>
          <w:i/>
          <w:sz w:val="20"/>
        </w:rPr>
        <w:t>Justice Legislation Amendment (Court Security, Juries and Other Matters) Act 2017 </w:t>
      </w:r>
      <w:r>
        <w:rPr>
          <w:sz w:val="20"/>
        </w:rPr>
        <w:t>(Vic)</w:t>
      </w:r>
    </w:p>
    <w:p>
      <w:pPr>
        <w:spacing w:line="304" w:lineRule="auto" w:before="76"/>
        <w:ind w:left="100" w:right="5150" w:hanging="1"/>
        <w:jc w:val="left"/>
        <w:rPr>
          <w:sz w:val="20"/>
        </w:rPr>
      </w:pPr>
      <w:r>
        <w:rPr>
          <w:i/>
          <w:sz w:val="20"/>
        </w:rPr>
        <w:t>Racial and Religious </w:t>
      </w:r>
      <w:r>
        <w:rPr>
          <w:i/>
          <w:spacing w:val="-3"/>
          <w:sz w:val="20"/>
        </w:rPr>
        <w:t>Tolerance </w:t>
      </w:r>
      <w:r>
        <w:rPr>
          <w:i/>
          <w:sz w:val="20"/>
        </w:rPr>
        <w:t>Act 2001 </w:t>
      </w:r>
      <w:r>
        <w:rPr>
          <w:sz w:val="20"/>
        </w:rPr>
        <w:t>(Vic) </w:t>
      </w:r>
      <w:r>
        <w:rPr>
          <w:i/>
          <w:sz w:val="20"/>
        </w:rPr>
        <w:t>Victorian </w:t>
      </w:r>
      <w:r>
        <w:rPr>
          <w:i/>
          <w:spacing w:val="-3"/>
          <w:sz w:val="20"/>
        </w:rPr>
        <w:t>Law </w:t>
      </w:r>
      <w:r>
        <w:rPr>
          <w:i/>
          <w:sz w:val="20"/>
        </w:rPr>
        <w:t>Reform Commission Act 2000</w:t>
      </w:r>
      <w:r>
        <w:rPr>
          <w:i/>
          <w:spacing w:val="-33"/>
          <w:sz w:val="20"/>
        </w:rPr>
        <w:t> </w:t>
      </w:r>
      <w:r>
        <w:rPr>
          <w:sz w:val="20"/>
        </w:rPr>
        <w:t>(Vic) </w:t>
      </w:r>
      <w:r>
        <w:rPr>
          <w:i/>
          <w:spacing w:val="-3"/>
          <w:sz w:val="20"/>
        </w:rPr>
        <w:t>Women’s </w:t>
      </w:r>
      <w:r>
        <w:rPr>
          <w:i/>
          <w:sz w:val="20"/>
        </w:rPr>
        <w:t>Qualification Act 1926</w:t>
      </w:r>
      <w:r>
        <w:rPr>
          <w:i/>
          <w:spacing w:val="-5"/>
          <w:sz w:val="20"/>
        </w:rPr>
        <w:t> </w:t>
      </w:r>
      <w:r>
        <w:rPr>
          <w:sz w:val="20"/>
        </w:rPr>
        <w:t>(Vic)</w:t>
      </w:r>
    </w:p>
    <w:p>
      <w:pPr>
        <w:spacing w:before="2"/>
        <w:ind w:left="100" w:right="0" w:firstLine="0"/>
        <w:jc w:val="left"/>
        <w:rPr>
          <w:sz w:val="20"/>
        </w:rPr>
      </w:pPr>
      <w:r>
        <w:rPr>
          <w:i/>
          <w:spacing w:val="-3"/>
          <w:sz w:val="20"/>
        </w:rPr>
        <w:t>Women’s </w:t>
      </w:r>
      <w:r>
        <w:rPr>
          <w:i/>
          <w:sz w:val="20"/>
        </w:rPr>
        <w:t>Qualification Act 1928</w:t>
      </w:r>
      <w:r>
        <w:rPr>
          <w:i/>
          <w:spacing w:val="-14"/>
          <w:sz w:val="20"/>
        </w:rPr>
        <w:t> </w:t>
      </w:r>
      <w:r>
        <w:rPr>
          <w:sz w:val="20"/>
        </w:rPr>
        <w:t>(Vic)</w:t>
      </w:r>
    </w:p>
    <w:p>
      <w:pPr>
        <w:spacing w:before="146"/>
        <w:ind w:left="100" w:right="0" w:firstLine="0"/>
        <w:jc w:val="left"/>
        <w:rPr>
          <w:b/>
          <w:sz w:val="24"/>
        </w:rPr>
      </w:pPr>
      <w:r>
        <w:rPr>
          <w:b/>
          <w:sz w:val="24"/>
        </w:rPr>
        <w:t>Commonwealth</w:t>
      </w:r>
    </w:p>
    <w:p>
      <w:pPr>
        <w:spacing w:line="304" w:lineRule="auto" w:before="95"/>
        <w:ind w:left="100" w:right="4189" w:firstLine="0"/>
        <w:jc w:val="left"/>
        <w:rPr>
          <w:sz w:val="20"/>
        </w:rPr>
      </w:pPr>
      <w:r>
        <w:rPr>
          <w:i/>
          <w:sz w:val="20"/>
        </w:rPr>
        <w:t>Commonwealth Electoral Legislation Amendment Act 1983 </w:t>
      </w:r>
      <w:r>
        <w:rPr>
          <w:sz w:val="20"/>
        </w:rPr>
        <w:t>(Cth) </w:t>
      </w:r>
      <w:r>
        <w:rPr>
          <w:i/>
          <w:sz w:val="20"/>
        </w:rPr>
        <w:t>Commonwealth of Australia Constitution Act 1900 </w:t>
      </w:r>
      <w:r>
        <w:rPr>
          <w:sz w:val="20"/>
        </w:rPr>
        <w:t>(Cth) </w:t>
      </w:r>
      <w:r>
        <w:rPr>
          <w:i/>
          <w:sz w:val="20"/>
        </w:rPr>
        <w:t>Disability Discrimination Act 1992 </w:t>
      </w:r>
      <w:r>
        <w:rPr>
          <w:sz w:val="20"/>
        </w:rPr>
        <w:t>(Cth)</w:t>
      </w:r>
    </w:p>
    <w:p>
      <w:pPr>
        <w:spacing w:before="3"/>
        <w:ind w:left="100" w:right="0" w:firstLine="0"/>
        <w:jc w:val="left"/>
        <w:rPr>
          <w:sz w:val="20"/>
        </w:rPr>
      </w:pPr>
      <w:r>
        <w:rPr>
          <w:i/>
          <w:sz w:val="20"/>
        </w:rPr>
        <w:t>Disability Services Act 1986 </w:t>
      </w:r>
      <w:r>
        <w:rPr>
          <w:sz w:val="20"/>
        </w:rPr>
        <w:t>(Cth)</w:t>
      </w:r>
    </w:p>
    <w:p>
      <w:pPr>
        <w:spacing w:before="75"/>
        <w:ind w:left="100" w:right="0" w:firstLine="0"/>
        <w:jc w:val="left"/>
        <w:rPr>
          <w:sz w:val="20"/>
        </w:rPr>
      </w:pPr>
      <w:r>
        <w:rPr>
          <w:i/>
          <w:sz w:val="20"/>
        </w:rPr>
        <w:t>Equal Employment Opportunity (Commonwealth Authorities) Act 1987 </w:t>
      </w:r>
      <w:r>
        <w:rPr>
          <w:sz w:val="20"/>
        </w:rPr>
        <w:t>(Cth)</w:t>
      </w:r>
    </w:p>
    <w:p>
      <w:pPr>
        <w:spacing w:before="76"/>
        <w:ind w:left="100" w:right="0" w:firstLine="0"/>
        <w:jc w:val="left"/>
        <w:rPr>
          <w:sz w:val="20"/>
        </w:rPr>
      </w:pPr>
      <w:r>
        <w:rPr>
          <w:i/>
          <w:sz w:val="20"/>
        </w:rPr>
        <w:t>Fair Work Act 2009 </w:t>
      </w:r>
      <w:r>
        <w:rPr>
          <w:sz w:val="20"/>
        </w:rPr>
        <w:t>(Cth)</w:t>
      </w:r>
    </w:p>
    <w:p>
      <w:pPr>
        <w:spacing w:before="76"/>
        <w:ind w:left="100" w:right="0" w:firstLine="0"/>
        <w:jc w:val="left"/>
        <w:rPr>
          <w:sz w:val="20"/>
        </w:rPr>
      </w:pPr>
      <w:r>
        <w:rPr>
          <w:i/>
          <w:sz w:val="20"/>
        </w:rPr>
        <w:t>Federal Court of Australia Act 1976 </w:t>
      </w:r>
      <w:r>
        <w:rPr>
          <w:sz w:val="20"/>
        </w:rPr>
        <w:t>(Cth)</w:t>
      </w:r>
    </w:p>
    <w:p>
      <w:pPr>
        <w:spacing w:before="76"/>
        <w:ind w:left="100" w:right="0" w:firstLine="0"/>
        <w:jc w:val="left"/>
        <w:rPr>
          <w:sz w:val="20"/>
        </w:rPr>
      </w:pPr>
      <w:r>
        <w:rPr>
          <w:i/>
          <w:sz w:val="20"/>
        </w:rPr>
        <w:t>Royal Commissions Act 1902 </w:t>
      </w:r>
      <w:r>
        <w:rPr>
          <w:sz w:val="20"/>
        </w:rPr>
        <w:t>(Cth)</w:t>
      </w:r>
    </w:p>
    <w:p>
      <w:pPr>
        <w:spacing w:before="146"/>
        <w:ind w:left="100" w:right="0" w:firstLine="0"/>
        <w:jc w:val="left"/>
        <w:rPr>
          <w:b/>
          <w:sz w:val="24"/>
        </w:rPr>
      </w:pPr>
      <w:r>
        <w:rPr>
          <w:b/>
          <w:sz w:val="24"/>
        </w:rPr>
        <w:t>Other Australian Jurisdictions</w:t>
      </w:r>
    </w:p>
    <w:p>
      <w:pPr>
        <w:spacing w:before="95"/>
        <w:ind w:left="100" w:right="0" w:firstLine="0"/>
        <w:jc w:val="left"/>
        <w:rPr>
          <w:sz w:val="20"/>
        </w:rPr>
      </w:pPr>
      <w:r>
        <w:rPr>
          <w:i/>
          <w:sz w:val="20"/>
        </w:rPr>
        <w:t>An Act to Alter the Laws Relative to Jurors and Juries in Certain Districts 1847 </w:t>
      </w:r>
      <w:r>
        <w:rPr>
          <w:sz w:val="20"/>
        </w:rPr>
        <w:t>(NSW)</w:t>
      </w:r>
    </w:p>
    <w:p>
      <w:pPr>
        <w:spacing w:before="76"/>
        <w:ind w:left="100" w:right="0" w:firstLine="0"/>
        <w:jc w:val="left"/>
        <w:rPr>
          <w:sz w:val="20"/>
        </w:rPr>
      </w:pPr>
      <w:r>
        <w:rPr>
          <w:i/>
          <w:sz w:val="20"/>
        </w:rPr>
        <w:t>Anti-Discrimination Act 1977 </w:t>
      </w:r>
      <w:r>
        <w:rPr>
          <w:sz w:val="20"/>
        </w:rPr>
        <w:t>(NSW)</w:t>
      </w:r>
    </w:p>
    <w:p>
      <w:pPr>
        <w:spacing w:line="304" w:lineRule="auto" w:before="75"/>
        <w:ind w:left="100" w:right="7950" w:firstLine="0"/>
        <w:jc w:val="left"/>
        <w:rPr>
          <w:sz w:val="20"/>
        </w:rPr>
      </w:pPr>
      <w:r>
        <w:rPr>
          <w:i/>
          <w:sz w:val="20"/>
        </w:rPr>
        <w:t>Juries Act 1967 </w:t>
      </w:r>
      <w:r>
        <w:rPr>
          <w:sz w:val="20"/>
        </w:rPr>
        <w:t>(ACT) </w:t>
      </w:r>
      <w:r>
        <w:rPr>
          <w:i/>
          <w:sz w:val="20"/>
        </w:rPr>
        <w:t>Juries Act 1839 </w:t>
      </w:r>
      <w:r>
        <w:rPr>
          <w:sz w:val="20"/>
        </w:rPr>
        <w:t>(NSW) </w:t>
      </w:r>
      <w:r>
        <w:rPr>
          <w:i/>
          <w:sz w:val="20"/>
        </w:rPr>
        <w:t>Juries Act 1962 </w:t>
      </w:r>
      <w:r>
        <w:rPr>
          <w:sz w:val="20"/>
        </w:rPr>
        <w:t>(NT)</w:t>
      </w:r>
    </w:p>
    <w:p>
      <w:pPr>
        <w:spacing w:after="0" w:line="304" w:lineRule="auto"/>
        <w:jc w:val="left"/>
        <w:rPr>
          <w:sz w:val="20"/>
        </w:rPr>
        <w:sectPr>
          <w:type w:val="continuous"/>
          <w:pgSz w:w="11910" w:h="16840"/>
          <w:pgMar w:top="620" w:bottom="280" w:left="620" w:right="380"/>
          <w:cols w:num="2" w:equalWidth="0">
            <w:col w:w="551" w:space="316"/>
            <w:col w:w="10043"/>
          </w:cols>
        </w:sectPr>
      </w:pPr>
    </w:p>
    <w:p>
      <w:pPr>
        <w:pStyle w:val="BodyText"/>
      </w:pPr>
    </w:p>
    <w:p>
      <w:pPr>
        <w:pStyle w:val="BodyText"/>
      </w:pPr>
    </w:p>
    <w:p>
      <w:pPr>
        <w:pStyle w:val="BodyText"/>
      </w:pPr>
    </w:p>
    <w:p>
      <w:pPr>
        <w:pStyle w:val="BodyText"/>
        <w:spacing w:before="6"/>
        <w:rPr>
          <w:sz w:val="14"/>
        </w:rPr>
      </w:pPr>
    </w:p>
    <w:p>
      <w:pPr>
        <w:spacing w:before="58"/>
        <w:ind w:left="967" w:right="0" w:firstLine="0"/>
        <w:jc w:val="left"/>
        <w:rPr>
          <w:sz w:val="20"/>
        </w:rPr>
      </w:pPr>
      <w:r>
        <w:rPr>
          <w:i/>
          <w:sz w:val="20"/>
        </w:rPr>
        <w:t>Juries Act 1957 </w:t>
      </w:r>
      <w:r>
        <w:rPr>
          <w:sz w:val="20"/>
        </w:rPr>
        <w:t>(WA)</w:t>
      </w:r>
    </w:p>
    <w:p>
      <w:pPr>
        <w:spacing w:before="75"/>
        <w:ind w:left="967" w:right="0" w:firstLine="0"/>
        <w:jc w:val="left"/>
        <w:rPr>
          <w:sz w:val="20"/>
        </w:rPr>
      </w:pPr>
      <w:r>
        <w:rPr>
          <w:i/>
          <w:sz w:val="20"/>
        </w:rPr>
        <w:t>Jurors and Juries Consolidation Act 1847 </w:t>
      </w:r>
      <w:r>
        <w:rPr>
          <w:sz w:val="20"/>
        </w:rPr>
        <w:t>(NSW)</w:t>
      </w:r>
    </w:p>
    <w:p>
      <w:pPr>
        <w:spacing w:before="76"/>
        <w:ind w:left="967" w:right="0" w:firstLine="0"/>
        <w:jc w:val="left"/>
        <w:rPr>
          <w:sz w:val="20"/>
        </w:rPr>
      </w:pPr>
      <w:r>
        <w:rPr>
          <w:i/>
          <w:sz w:val="20"/>
        </w:rPr>
        <w:t>Jury Trials Act 1832 </w:t>
      </w:r>
      <w:r>
        <w:rPr>
          <w:sz w:val="20"/>
        </w:rPr>
        <w:t>(NSW)</w:t>
      </w:r>
    </w:p>
    <w:p>
      <w:pPr>
        <w:spacing w:before="147"/>
        <w:ind w:left="967" w:right="0" w:firstLine="0"/>
        <w:jc w:val="left"/>
        <w:rPr>
          <w:b/>
          <w:sz w:val="24"/>
        </w:rPr>
      </w:pPr>
      <w:r>
        <w:rPr>
          <w:b/>
          <w:sz w:val="24"/>
        </w:rPr>
        <w:t>International</w:t>
      </w:r>
    </w:p>
    <w:p>
      <w:pPr>
        <w:spacing w:before="94"/>
        <w:ind w:left="967" w:right="0" w:firstLine="0"/>
        <w:jc w:val="left"/>
        <w:rPr>
          <w:sz w:val="20"/>
        </w:rPr>
      </w:pPr>
      <w:r>
        <w:rPr>
          <w:i/>
          <w:sz w:val="20"/>
        </w:rPr>
        <w:t>Americans with Disabilities Act, </w:t>
      </w:r>
      <w:r>
        <w:rPr>
          <w:sz w:val="20"/>
        </w:rPr>
        <w:t>42 USC (1990)</w:t>
      </w:r>
    </w:p>
    <w:p>
      <w:pPr>
        <w:spacing w:before="76"/>
        <w:ind w:left="967" w:right="0" w:firstLine="0"/>
        <w:jc w:val="left"/>
        <w:rPr>
          <w:sz w:val="20"/>
        </w:rPr>
      </w:pPr>
      <w:r>
        <w:rPr>
          <w:i/>
          <w:sz w:val="20"/>
        </w:rPr>
        <w:t>Courts and Civil Law (Miscellaneous Provisions) Act 2008 </w:t>
      </w:r>
      <w:r>
        <w:rPr>
          <w:sz w:val="20"/>
        </w:rPr>
        <w:t>(Ireland)</w:t>
      </w:r>
    </w:p>
    <w:p>
      <w:pPr>
        <w:spacing w:line="304" w:lineRule="auto" w:before="76"/>
        <w:ind w:left="967" w:right="6489" w:hanging="1"/>
        <w:jc w:val="left"/>
        <w:rPr>
          <w:sz w:val="20"/>
        </w:rPr>
      </w:pPr>
      <w:r>
        <w:rPr>
          <w:i/>
          <w:sz w:val="20"/>
        </w:rPr>
        <w:t>Criminal Justice Act 1995 </w:t>
      </w:r>
      <w:r>
        <w:rPr>
          <w:sz w:val="20"/>
        </w:rPr>
        <w:t>(Scot) </w:t>
      </w:r>
      <w:r>
        <w:rPr>
          <w:i/>
          <w:sz w:val="20"/>
        </w:rPr>
        <w:t>Criminal Procedure Act 1995 </w:t>
      </w:r>
      <w:r>
        <w:rPr>
          <w:sz w:val="20"/>
        </w:rPr>
        <w:t>(Scot) </w:t>
      </w:r>
      <w:r>
        <w:rPr>
          <w:i/>
          <w:sz w:val="20"/>
        </w:rPr>
        <w:t>Irish Sign Language Act 2017 </w:t>
      </w:r>
      <w:r>
        <w:rPr>
          <w:sz w:val="20"/>
        </w:rPr>
        <w:t>(Ireland)</w:t>
      </w:r>
    </w:p>
    <w:p>
      <w:pPr>
        <w:spacing w:before="2"/>
        <w:ind w:left="967" w:right="0" w:firstLine="0"/>
        <w:jc w:val="left"/>
        <w:rPr>
          <w:sz w:val="20"/>
        </w:rPr>
      </w:pPr>
      <w:r>
        <w:rPr>
          <w:i/>
          <w:sz w:val="20"/>
        </w:rPr>
        <w:t>Judicial Review and Courts Act 2022 </w:t>
      </w:r>
      <w:r>
        <w:rPr>
          <w:sz w:val="20"/>
        </w:rPr>
        <w:t>(UK)</w:t>
      </w:r>
    </w:p>
    <w:p>
      <w:pPr>
        <w:spacing w:before="76"/>
        <w:ind w:left="967" w:right="0" w:firstLine="0"/>
        <w:jc w:val="left"/>
        <w:rPr>
          <w:sz w:val="20"/>
        </w:rPr>
      </w:pPr>
      <w:r>
        <w:rPr>
          <w:i/>
          <w:sz w:val="20"/>
        </w:rPr>
        <w:t>Juries Act 1825 </w:t>
      </w:r>
      <w:r>
        <w:rPr>
          <w:sz w:val="20"/>
        </w:rPr>
        <w:t>(UK), 4 Geo IV, c 50</w:t>
      </w:r>
    </w:p>
    <w:p>
      <w:pPr>
        <w:spacing w:line="304" w:lineRule="auto" w:before="76"/>
        <w:ind w:left="967" w:right="7738" w:firstLine="0"/>
        <w:jc w:val="left"/>
        <w:rPr>
          <w:sz w:val="20"/>
        </w:rPr>
      </w:pPr>
      <w:r>
        <w:rPr>
          <w:i/>
          <w:sz w:val="20"/>
        </w:rPr>
        <w:t>Juries Act 1974 </w:t>
      </w:r>
      <w:r>
        <w:rPr>
          <w:sz w:val="20"/>
        </w:rPr>
        <w:t>(UK) </w:t>
      </w:r>
      <w:r>
        <w:rPr>
          <w:i/>
          <w:sz w:val="20"/>
        </w:rPr>
        <w:t>Juries Act 1976 </w:t>
      </w:r>
      <w:r>
        <w:rPr>
          <w:sz w:val="20"/>
        </w:rPr>
        <w:t>(Ireland) </w:t>
      </w:r>
      <w:r>
        <w:rPr>
          <w:i/>
          <w:sz w:val="20"/>
        </w:rPr>
        <w:t>Juries Act 1981 </w:t>
      </w:r>
      <w:r>
        <w:rPr>
          <w:sz w:val="20"/>
        </w:rPr>
        <w:t>(NZ) </w:t>
      </w:r>
      <w:r>
        <w:rPr>
          <w:i/>
          <w:sz w:val="20"/>
        </w:rPr>
        <w:t>Juries Order 1996 </w:t>
      </w:r>
      <w:r>
        <w:rPr>
          <w:sz w:val="20"/>
        </w:rPr>
        <w:t>(NI)</w:t>
      </w:r>
    </w:p>
    <w:p>
      <w:pPr>
        <w:spacing w:before="3"/>
        <w:ind w:left="967" w:right="0" w:firstLine="0"/>
        <w:jc w:val="left"/>
        <w:rPr>
          <w:sz w:val="20"/>
        </w:rPr>
      </w:pPr>
      <w:r>
        <w:rPr>
          <w:i/>
          <w:sz w:val="20"/>
        </w:rPr>
        <w:t>New South Wales Act 1823 </w:t>
      </w:r>
      <w:r>
        <w:rPr>
          <w:sz w:val="20"/>
        </w:rPr>
        <w:t>(UK), 4 Geo IV, c 96</w:t>
      </w:r>
    </w:p>
    <w:p>
      <w:pPr>
        <w:spacing w:line="206" w:lineRule="auto" w:before="109"/>
        <w:ind w:left="967" w:right="1202" w:firstLine="0"/>
        <w:jc w:val="left"/>
        <w:rPr>
          <w:sz w:val="20"/>
        </w:rPr>
      </w:pPr>
      <w:r>
        <w:rPr>
          <w:i/>
          <w:sz w:val="20"/>
        </w:rPr>
        <w:t>Nondiscrimination on the Basis of Disability in State and Local Government Services, </w:t>
      </w:r>
      <w:r>
        <w:rPr>
          <w:sz w:val="20"/>
        </w:rPr>
        <w:t>28 CFR Part 35 (1 July 2021)</w:t>
      </w:r>
    </w:p>
    <w:p>
      <w:pPr>
        <w:spacing w:before="83"/>
        <w:ind w:left="967" w:right="0" w:firstLine="0"/>
        <w:jc w:val="left"/>
        <w:rPr>
          <w:sz w:val="20"/>
        </w:rPr>
      </w:pPr>
      <w:r>
        <w:rPr>
          <w:i/>
          <w:sz w:val="20"/>
        </w:rPr>
        <w:t>Police, Crime, Sentencing and Courts Act 2022 </w:t>
      </w:r>
      <w:r>
        <w:rPr>
          <w:sz w:val="20"/>
        </w:rPr>
        <w:t>(UK)</w:t>
      </w:r>
    </w:p>
    <w:p>
      <w:pPr>
        <w:spacing w:before="76"/>
        <w:ind w:left="967" w:right="0" w:firstLine="0"/>
        <w:jc w:val="left"/>
        <w:rPr>
          <w:sz w:val="20"/>
        </w:rPr>
      </w:pPr>
      <w:r>
        <w:rPr>
          <w:i/>
          <w:sz w:val="20"/>
        </w:rPr>
        <w:t>Rehabilitation Act, </w:t>
      </w:r>
      <w:r>
        <w:rPr>
          <w:sz w:val="20"/>
        </w:rPr>
        <w:t>29 USC (1973)</w:t>
      </w:r>
    </w:p>
    <w:p>
      <w:pPr>
        <w:spacing w:before="76"/>
        <w:ind w:left="967" w:right="0" w:firstLine="0"/>
        <w:jc w:val="left"/>
        <w:rPr>
          <w:sz w:val="20"/>
        </w:rPr>
      </w:pPr>
      <w:r>
        <w:rPr>
          <w:i/>
          <w:sz w:val="20"/>
        </w:rPr>
        <w:t>Sex Disqualification (Removal) Act 1919 </w:t>
      </w:r>
      <w:r>
        <w:rPr>
          <w:sz w:val="20"/>
        </w:rPr>
        <w:t>(UK)</w:t>
      </w:r>
    </w:p>
    <w:p>
      <w:pPr>
        <w:spacing w:before="76"/>
        <w:ind w:left="967" w:right="0" w:firstLine="0"/>
        <w:jc w:val="left"/>
        <w:rPr>
          <w:sz w:val="20"/>
        </w:rPr>
      </w:pPr>
      <w:r>
        <w:rPr>
          <w:i/>
          <w:sz w:val="20"/>
        </w:rPr>
        <w:t>Sign Language Act 2006 </w:t>
      </w:r>
      <w:r>
        <w:rPr>
          <w:sz w:val="20"/>
        </w:rPr>
        <w:t>(NZ)</w:t>
      </w:r>
    </w:p>
    <w:p>
      <w:pPr>
        <w:spacing w:before="146"/>
        <w:ind w:left="967" w:right="0" w:firstLine="0"/>
        <w:jc w:val="left"/>
        <w:rPr>
          <w:b/>
          <w:sz w:val="24"/>
        </w:rPr>
      </w:pPr>
      <w:r>
        <w:rPr>
          <w:b/>
          <w:sz w:val="24"/>
        </w:rPr>
        <w:t>United Nations</w:t>
      </w:r>
    </w:p>
    <w:p>
      <w:pPr>
        <w:spacing w:line="259" w:lineRule="exact" w:before="94"/>
        <w:ind w:left="967" w:right="0" w:firstLine="0"/>
        <w:jc w:val="left"/>
        <w:rPr>
          <w:i/>
          <w:sz w:val="20"/>
        </w:rPr>
      </w:pPr>
      <w:r>
        <w:rPr>
          <w:i/>
          <w:sz w:val="20"/>
        </w:rPr>
        <w:t>Convention against Torture and Other Cruel, Inhuman or Degrading Treatment of Punishment,</w:t>
      </w:r>
    </w:p>
    <w:p>
      <w:pPr>
        <w:pStyle w:val="BodyText"/>
        <w:spacing w:line="259" w:lineRule="exact"/>
        <w:ind w:left="967"/>
      </w:pPr>
      <w:r>
        <w:rPr/>
        <w:t>opened for signature 10 December 1984, 1465 UNTS 85 (entered into force 26 June 1987)</w:t>
      </w:r>
    </w:p>
    <w:p>
      <w:pPr>
        <w:spacing w:line="206" w:lineRule="auto" w:before="109"/>
        <w:ind w:left="967" w:right="1335" w:firstLine="0"/>
        <w:jc w:val="left"/>
        <w:rPr>
          <w:sz w:val="20"/>
        </w:rPr>
      </w:pPr>
      <w:r>
        <w:rPr>
          <w:i/>
          <w:sz w:val="20"/>
        </w:rPr>
        <w:t>Convention on the Elimination of All Forms of Discrimination against Women, </w:t>
      </w:r>
      <w:r>
        <w:rPr>
          <w:sz w:val="20"/>
        </w:rPr>
        <w:t>opened for signature 1 March 1980, 1249 UNTS 13 (entered into force 3 January 1981)</w:t>
      </w:r>
    </w:p>
    <w:p>
      <w:pPr>
        <w:spacing w:line="206" w:lineRule="auto" w:before="115"/>
        <w:ind w:left="967" w:right="1482" w:firstLine="0"/>
        <w:jc w:val="left"/>
        <w:rPr>
          <w:sz w:val="20"/>
        </w:rPr>
      </w:pPr>
      <w:r>
        <w:rPr>
          <w:i/>
          <w:sz w:val="20"/>
        </w:rPr>
        <w:t>Convention on the Rights of Persons with Disabilities</w:t>
      </w:r>
      <w:r>
        <w:rPr>
          <w:sz w:val="20"/>
        </w:rPr>
        <w:t>, GA Res 61/106, UN Doc A/RES/61/106, Annex II (24 January 2007)</w:t>
      </w:r>
    </w:p>
    <w:p>
      <w:pPr>
        <w:spacing w:line="206" w:lineRule="auto" w:before="116"/>
        <w:ind w:left="967" w:right="1333" w:firstLine="0"/>
        <w:jc w:val="left"/>
        <w:rPr>
          <w:sz w:val="20"/>
        </w:rPr>
      </w:pPr>
      <w:r>
        <w:rPr>
          <w:i/>
          <w:sz w:val="20"/>
        </w:rPr>
        <w:t>Convention on the Rights of Persons with Disabilities, </w:t>
      </w:r>
      <w:r>
        <w:rPr>
          <w:sz w:val="20"/>
        </w:rPr>
        <w:t>opened for signature 30 March 2007, 2515 UNTS 3 (entered into force 3 May 2008)</w:t>
      </w:r>
    </w:p>
    <w:p>
      <w:pPr>
        <w:spacing w:line="206" w:lineRule="auto" w:before="116"/>
        <w:ind w:left="967" w:right="1335" w:firstLine="0"/>
        <w:jc w:val="left"/>
        <w:rPr>
          <w:sz w:val="20"/>
        </w:rPr>
      </w:pPr>
      <w:r>
        <w:rPr>
          <w:i/>
          <w:sz w:val="20"/>
        </w:rPr>
        <w:t>Convention on the Rights of the Child, </w:t>
      </w:r>
      <w:r>
        <w:rPr>
          <w:sz w:val="20"/>
        </w:rPr>
        <w:t>opened for signature 20 November 1989, 1577 UNTS 3 (entered into force 2 September 1990)</w:t>
      </w:r>
    </w:p>
    <w:p>
      <w:pPr>
        <w:spacing w:line="206" w:lineRule="auto" w:before="116"/>
        <w:ind w:left="967" w:right="1300" w:firstLine="0"/>
        <w:jc w:val="left"/>
        <w:rPr>
          <w:sz w:val="20"/>
        </w:rPr>
      </w:pPr>
      <w:r>
        <w:rPr>
          <w:i/>
          <w:sz w:val="20"/>
        </w:rPr>
        <w:t>International Convention on the Elimination of All Forms of Racial Discrimination (CERD), </w:t>
      </w:r>
      <w:r>
        <w:rPr>
          <w:sz w:val="20"/>
        </w:rPr>
        <w:t>opened for signature 21 December 1965, 660 UNTS 195 (entered into force 4 January 1969)</w:t>
      </w:r>
    </w:p>
    <w:p>
      <w:pPr>
        <w:spacing w:line="206" w:lineRule="auto" w:before="116"/>
        <w:ind w:left="967" w:right="1335" w:firstLine="0"/>
        <w:jc w:val="left"/>
        <w:rPr>
          <w:sz w:val="20"/>
        </w:rPr>
      </w:pPr>
      <w:r>
        <w:rPr>
          <w:i/>
          <w:sz w:val="20"/>
        </w:rPr>
        <w:t>International Covenant on Civil and Political Rights, </w:t>
      </w:r>
      <w:r>
        <w:rPr>
          <w:sz w:val="20"/>
        </w:rPr>
        <w:t>GA Res 2200A (XXI), UN Doc A/ RES/2200A(XXI) (16 December 1966)</w:t>
      </w:r>
    </w:p>
    <w:p>
      <w:pPr>
        <w:spacing w:line="206" w:lineRule="auto" w:before="116"/>
        <w:ind w:left="967" w:right="1335" w:firstLine="0"/>
        <w:jc w:val="left"/>
        <w:rPr>
          <w:sz w:val="20"/>
        </w:rPr>
      </w:pPr>
      <w:r>
        <w:rPr>
          <w:i/>
          <w:sz w:val="20"/>
        </w:rPr>
        <w:t>International Covenant on Economic, Social and Cultural Rights, </w:t>
      </w:r>
      <w:r>
        <w:rPr>
          <w:sz w:val="20"/>
        </w:rPr>
        <w:t>opened for signature 19 December 1966, 999 UNTS 3 (entered into force 3 January 1976)</w:t>
      </w:r>
    </w:p>
    <w:p>
      <w:pPr>
        <w:spacing w:line="206" w:lineRule="auto" w:before="116"/>
        <w:ind w:left="967" w:right="1202" w:firstLine="0"/>
        <w:jc w:val="left"/>
        <w:rPr>
          <w:sz w:val="20"/>
        </w:rPr>
      </w:pPr>
      <w:r>
        <w:rPr>
          <w:i/>
          <w:sz w:val="20"/>
        </w:rPr>
        <w:t>International Principles and Guidelines on Access to Justice for Persons with Disabilities </w:t>
      </w:r>
      <w:r>
        <w:rPr>
          <w:sz w:val="20"/>
        </w:rPr>
        <w:t>(Human Rights Special Procedures, Special Rapporteur on the Rights of Persons with Disabilities, 2020)</w:t>
      </w:r>
    </w:p>
    <w:p>
      <w:pPr>
        <w:pStyle w:val="BodyText"/>
      </w:pPr>
    </w:p>
    <w:p>
      <w:pPr>
        <w:spacing w:before="213"/>
        <w:ind w:left="0" w:right="218" w:firstLine="0"/>
        <w:jc w:val="right"/>
        <w:rPr>
          <w:b/>
          <w:sz w:val="24"/>
        </w:rPr>
      </w:pPr>
      <w:r>
        <w:rPr>
          <w:b/>
          <w:color w:val="37617A"/>
          <w:sz w:val="24"/>
        </w:rPr>
        <w:t>251</w:t>
      </w:r>
    </w:p>
    <w:p>
      <w:pPr>
        <w:spacing w:after="0"/>
        <w:jc w:val="right"/>
        <w:rPr>
          <w:sz w:val="24"/>
        </w:rPr>
        <w:sectPr>
          <w:pgSz w:w="11910" w:h="16840"/>
          <w:pgMar w:header="0" w:footer="0" w:top="840" w:bottom="280" w:left="620" w:right="38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5"/>
        </w:rPr>
      </w:pPr>
    </w:p>
    <w:p>
      <w:pPr>
        <w:spacing w:before="49"/>
        <w:ind w:left="100" w:right="0" w:firstLine="0"/>
        <w:jc w:val="left"/>
        <w:rPr>
          <w:b/>
          <w:sz w:val="24"/>
        </w:rPr>
      </w:pPr>
      <w:r>
        <w:rPr>
          <w:b/>
          <w:color w:val="37617A"/>
          <w:sz w:val="24"/>
        </w:rPr>
        <w:t>252</w:t>
      </w:r>
    </w:p>
    <w:p>
      <w:pPr>
        <w:spacing w:after="0"/>
        <w:jc w:val="left"/>
        <w:rPr>
          <w:sz w:val="24"/>
        </w:rPr>
        <w:sectPr>
          <w:pgSz w:w="11910" w:h="16840"/>
          <w:pgMar w:header="567" w:footer="0" w:top="860" w:bottom="280" w:left="620" w:right="380"/>
        </w:sectPr>
      </w:pPr>
    </w:p>
    <w:p>
      <w:pPr>
        <w:pStyle w:val="BodyText"/>
        <w:ind w:left="105"/>
      </w:pPr>
      <w:r>
        <w:rPr/>
        <w:drawing>
          <wp:inline distT="0" distB="0" distL="0" distR="0">
            <wp:extent cx="990490" cy="504825"/>
            <wp:effectExtent l="0" t="0" r="0" b="0"/>
            <wp:docPr id="9" name="image7.png" descr=""/>
            <wp:cNvGraphicFramePr>
              <a:graphicFrameLocks noChangeAspect="1"/>
            </wp:cNvGraphicFramePr>
            <a:graphic>
              <a:graphicData uri="http://schemas.openxmlformats.org/drawingml/2006/picture">
                <pic:pic>
                  <pic:nvPicPr>
                    <pic:cNvPr id="10" name="image7.png"/>
                    <pic:cNvPicPr/>
                  </pic:nvPicPr>
                  <pic:blipFill>
                    <a:blip r:embed="rId284" cstate="print"/>
                    <a:stretch>
                      <a:fillRect/>
                    </a:stretch>
                  </pic:blipFill>
                  <pic:spPr>
                    <a:xfrm>
                      <a:off x="0" y="0"/>
                      <a:ext cx="990490" cy="504825"/>
                    </a:xfrm>
                    <a:prstGeom prst="rect">
                      <a:avLst/>
                    </a:prstGeom>
                  </pic:spPr>
                </pic:pic>
              </a:graphicData>
            </a:graphic>
          </wp:inline>
        </w:drawing>
      </w:r>
      <w:r>
        <w:rPr/>
      </w:r>
    </w:p>
    <w:p>
      <w:pPr>
        <w:pStyle w:val="BodyText"/>
        <w:rPr>
          <w:b/>
        </w:rPr>
      </w:pPr>
    </w:p>
    <w:p>
      <w:pPr>
        <w:pStyle w:val="BodyText"/>
        <w:rPr>
          <w:b/>
        </w:rPr>
      </w:pPr>
    </w:p>
    <w:p>
      <w:pPr>
        <w:pStyle w:val="BodyText"/>
        <w:rPr>
          <w:b/>
        </w:rPr>
      </w:pPr>
    </w:p>
    <w:p>
      <w:pPr>
        <w:pStyle w:val="BodyText"/>
        <w:spacing w:before="1"/>
        <w:rPr>
          <w:b/>
          <w:sz w:val="29"/>
        </w:rPr>
      </w:pPr>
    </w:p>
    <w:p>
      <w:pPr>
        <w:spacing w:before="61"/>
        <w:ind w:left="105" w:right="0" w:firstLine="0"/>
        <w:jc w:val="left"/>
        <w:rPr>
          <w:b/>
          <w:sz w:val="18"/>
        </w:rPr>
      </w:pPr>
      <w:r>
        <w:rPr/>
        <w:pict>
          <v:line style="position:absolute;mso-position-horizontal-relative:page;mso-position-vertical-relative:paragraph;z-index:14224" from="84.288391pt,-.344578pt" to="537.831391pt,-.344578pt" stroked="true" strokeweight=".25pt" strokecolor="#231f20">
            <v:stroke dashstyle="solid"/>
            <w10:wrap type="none"/>
          </v:line>
        </w:pict>
      </w:r>
      <w:r>
        <w:rPr>
          <w:b/>
          <w:color w:val="231F20"/>
          <w:sz w:val="18"/>
        </w:rPr>
        <w:t>Reports published by the Victorian Law Reform Commission</w:t>
      </w:r>
    </w:p>
    <w:p>
      <w:pPr>
        <w:pStyle w:val="BodyText"/>
        <w:spacing w:before="4"/>
        <w:rPr>
          <w:b/>
          <w:sz w:val="12"/>
        </w:rPr>
      </w:pPr>
    </w:p>
    <w:p>
      <w:pPr>
        <w:spacing w:after="0"/>
        <w:rPr>
          <w:sz w:val="12"/>
        </w:rPr>
        <w:sectPr>
          <w:headerReference w:type="default" r:id="rId283"/>
          <w:pgSz w:w="11900" w:h="16870"/>
          <w:pgMar w:header="0" w:footer="0" w:top="720" w:bottom="280" w:left="1580" w:right="1220"/>
        </w:sectPr>
      </w:pPr>
    </w:p>
    <w:p>
      <w:pPr>
        <w:pStyle w:val="ListParagraph"/>
        <w:numPr>
          <w:ilvl w:val="0"/>
          <w:numId w:val="143"/>
        </w:numPr>
        <w:tabs>
          <w:tab w:pos="506" w:val="left" w:leader="none"/>
        </w:tabs>
        <w:spacing w:line="230" w:lineRule="auto" w:before="69" w:after="0"/>
        <w:ind w:left="505" w:right="896" w:hanging="249"/>
        <w:jc w:val="left"/>
        <w:rPr>
          <w:sz w:val="18"/>
        </w:rPr>
      </w:pPr>
      <w:r>
        <w:rPr>
          <w:color w:val="231F20"/>
          <w:spacing w:val="-6"/>
          <w:sz w:val="18"/>
        </w:rPr>
        <w:t>Criminal</w:t>
      </w:r>
      <w:r>
        <w:rPr>
          <w:color w:val="231F20"/>
          <w:spacing w:val="-17"/>
          <w:sz w:val="18"/>
        </w:rPr>
        <w:t> </w:t>
      </w:r>
      <w:r>
        <w:rPr>
          <w:color w:val="231F20"/>
          <w:spacing w:val="-6"/>
          <w:sz w:val="18"/>
        </w:rPr>
        <w:t>Liability</w:t>
      </w:r>
      <w:r>
        <w:rPr>
          <w:color w:val="231F20"/>
          <w:spacing w:val="-16"/>
          <w:sz w:val="18"/>
        </w:rPr>
        <w:t> </w:t>
      </w:r>
      <w:r>
        <w:rPr>
          <w:color w:val="231F20"/>
          <w:spacing w:val="-5"/>
          <w:sz w:val="18"/>
        </w:rPr>
        <w:t>for</w:t>
      </w:r>
      <w:r>
        <w:rPr>
          <w:color w:val="231F20"/>
          <w:spacing w:val="-22"/>
          <w:sz w:val="18"/>
        </w:rPr>
        <w:t> </w:t>
      </w:r>
      <w:r>
        <w:rPr>
          <w:color w:val="231F20"/>
          <w:spacing w:val="-7"/>
          <w:sz w:val="18"/>
        </w:rPr>
        <w:t>Workplace</w:t>
      </w:r>
      <w:r>
        <w:rPr>
          <w:color w:val="231F20"/>
          <w:spacing w:val="-10"/>
          <w:sz w:val="18"/>
        </w:rPr>
        <w:t> </w:t>
      </w:r>
      <w:r>
        <w:rPr>
          <w:color w:val="231F20"/>
          <w:spacing w:val="-5"/>
          <w:sz w:val="18"/>
        </w:rPr>
        <w:t>Death</w:t>
      </w:r>
      <w:r>
        <w:rPr>
          <w:color w:val="231F20"/>
          <w:spacing w:val="-11"/>
          <w:sz w:val="18"/>
        </w:rPr>
        <w:t> </w:t>
      </w:r>
      <w:r>
        <w:rPr>
          <w:color w:val="231F20"/>
          <w:spacing w:val="-6"/>
          <w:sz w:val="18"/>
        </w:rPr>
        <w:t>and Serious </w:t>
      </w:r>
      <w:r>
        <w:rPr>
          <w:color w:val="231F20"/>
          <w:spacing w:val="-5"/>
          <w:sz w:val="18"/>
        </w:rPr>
        <w:t>Injury </w:t>
      </w:r>
      <w:r>
        <w:rPr>
          <w:color w:val="231F20"/>
          <w:spacing w:val="-3"/>
          <w:sz w:val="18"/>
        </w:rPr>
        <w:t>in </w:t>
      </w:r>
      <w:r>
        <w:rPr>
          <w:color w:val="231F20"/>
          <w:spacing w:val="-4"/>
          <w:sz w:val="18"/>
        </w:rPr>
        <w:t>the </w:t>
      </w:r>
      <w:r>
        <w:rPr>
          <w:color w:val="231F20"/>
          <w:spacing w:val="-5"/>
          <w:sz w:val="18"/>
        </w:rPr>
        <w:t>Public </w:t>
      </w:r>
      <w:r>
        <w:rPr>
          <w:color w:val="231F20"/>
          <w:spacing w:val="-6"/>
          <w:sz w:val="18"/>
        </w:rPr>
        <w:t>Sector</w:t>
      </w:r>
      <w:r>
        <w:rPr>
          <w:color w:val="231F20"/>
          <w:spacing w:val="-25"/>
          <w:sz w:val="18"/>
        </w:rPr>
        <w:t> </w:t>
      </w:r>
      <w:r>
        <w:rPr>
          <w:color w:val="231F20"/>
          <w:spacing w:val="-6"/>
          <w:sz w:val="18"/>
        </w:rPr>
        <w:t>(2002)</w:t>
      </w:r>
    </w:p>
    <w:p>
      <w:pPr>
        <w:pStyle w:val="ListParagraph"/>
        <w:numPr>
          <w:ilvl w:val="0"/>
          <w:numId w:val="143"/>
        </w:numPr>
        <w:tabs>
          <w:tab w:pos="506" w:val="left" w:leader="none"/>
        </w:tabs>
        <w:spacing w:line="240" w:lineRule="auto" w:before="47" w:after="0"/>
        <w:ind w:left="505" w:right="0" w:hanging="278"/>
        <w:jc w:val="left"/>
        <w:rPr>
          <w:sz w:val="18"/>
        </w:rPr>
      </w:pPr>
      <w:r>
        <w:rPr>
          <w:color w:val="231F20"/>
          <w:spacing w:val="-6"/>
          <w:sz w:val="18"/>
        </w:rPr>
        <w:t>Disputes between Co-owners</w:t>
      </w:r>
      <w:r>
        <w:rPr>
          <w:color w:val="231F20"/>
          <w:spacing w:val="-18"/>
          <w:sz w:val="18"/>
        </w:rPr>
        <w:t> </w:t>
      </w:r>
      <w:r>
        <w:rPr>
          <w:color w:val="231F20"/>
          <w:spacing w:val="-6"/>
          <w:sz w:val="18"/>
        </w:rPr>
        <w:t>(2002)</w:t>
      </w:r>
    </w:p>
    <w:p>
      <w:pPr>
        <w:pStyle w:val="ListParagraph"/>
        <w:numPr>
          <w:ilvl w:val="0"/>
          <w:numId w:val="143"/>
        </w:numPr>
        <w:tabs>
          <w:tab w:pos="506" w:val="left" w:leader="none"/>
        </w:tabs>
        <w:spacing w:line="240" w:lineRule="auto" w:before="46" w:after="0"/>
        <w:ind w:left="505" w:right="0" w:hanging="279"/>
        <w:jc w:val="left"/>
        <w:rPr>
          <w:sz w:val="18"/>
        </w:rPr>
      </w:pPr>
      <w:r>
        <w:rPr>
          <w:color w:val="231F20"/>
          <w:spacing w:val="-8"/>
          <w:sz w:val="18"/>
        </w:rPr>
        <w:t>Failure</w:t>
      </w:r>
      <w:r>
        <w:rPr>
          <w:color w:val="231F20"/>
          <w:spacing w:val="-7"/>
          <w:sz w:val="18"/>
        </w:rPr>
        <w:t> </w:t>
      </w:r>
      <w:r>
        <w:rPr>
          <w:color w:val="231F20"/>
          <w:spacing w:val="-4"/>
          <w:sz w:val="18"/>
        </w:rPr>
        <w:t>to</w:t>
      </w:r>
      <w:r>
        <w:rPr>
          <w:color w:val="231F20"/>
          <w:spacing w:val="-14"/>
          <w:sz w:val="18"/>
        </w:rPr>
        <w:t> </w:t>
      </w:r>
      <w:r>
        <w:rPr>
          <w:color w:val="231F20"/>
          <w:spacing w:val="-5"/>
          <w:sz w:val="18"/>
        </w:rPr>
        <w:t>Appear</w:t>
      </w:r>
      <w:r>
        <w:rPr>
          <w:color w:val="231F20"/>
          <w:spacing w:val="-12"/>
          <w:sz w:val="18"/>
        </w:rPr>
        <w:t> </w:t>
      </w:r>
      <w:r>
        <w:rPr>
          <w:color w:val="231F20"/>
          <w:spacing w:val="-3"/>
          <w:sz w:val="18"/>
        </w:rPr>
        <w:t>in</w:t>
      </w:r>
      <w:r>
        <w:rPr>
          <w:color w:val="231F20"/>
          <w:spacing w:val="-7"/>
          <w:sz w:val="18"/>
        </w:rPr>
        <w:t> </w:t>
      </w:r>
      <w:r>
        <w:rPr>
          <w:color w:val="231F20"/>
          <w:spacing w:val="-5"/>
          <w:sz w:val="18"/>
        </w:rPr>
        <w:t>Court</w:t>
      </w:r>
      <w:r>
        <w:rPr>
          <w:color w:val="231F20"/>
          <w:spacing w:val="-7"/>
          <w:sz w:val="18"/>
        </w:rPr>
        <w:t> </w:t>
      </w:r>
      <w:r>
        <w:rPr>
          <w:color w:val="231F20"/>
          <w:spacing w:val="-3"/>
          <w:sz w:val="18"/>
        </w:rPr>
        <w:t>in</w:t>
      </w:r>
      <w:r>
        <w:rPr>
          <w:color w:val="231F20"/>
          <w:spacing w:val="-7"/>
          <w:sz w:val="18"/>
        </w:rPr>
        <w:t> </w:t>
      </w:r>
      <w:r>
        <w:rPr>
          <w:color w:val="231F20"/>
          <w:spacing w:val="-6"/>
          <w:sz w:val="18"/>
        </w:rPr>
        <w:t>Response </w:t>
      </w:r>
      <w:r>
        <w:rPr>
          <w:color w:val="231F20"/>
          <w:spacing w:val="-4"/>
          <w:sz w:val="18"/>
        </w:rPr>
        <w:t>to</w:t>
      </w:r>
      <w:r>
        <w:rPr>
          <w:color w:val="231F20"/>
          <w:spacing w:val="-7"/>
          <w:sz w:val="18"/>
        </w:rPr>
        <w:t> </w:t>
      </w:r>
      <w:r>
        <w:rPr>
          <w:color w:val="231F20"/>
          <w:spacing w:val="-5"/>
          <w:sz w:val="18"/>
        </w:rPr>
        <w:t>Bail</w:t>
      </w:r>
      <w:r>
        <w:rPr>
          <w:color w:val="231F20"/>
          <w:spacing w:val="-14"/>
          <w:sz w:val="18"/>
        </w:rPr>
        <w:t> </w:t>
      </w:r>
      <w:r>
        <w:rPr>
          <w:color w:val="231F20"/>
          <w:spacing w:val="-6"/>
          <w:sz w:val="18"/>
        </w:rPr>
        <w:t>(2002)*</w:t>
      </w:r>
    </w:p>
    <w:p>
      <w:pPr>
        <w:pStyle w:val="ListParagraph"/>
        <w:numPr>
          <w:ilvl w:val="0"/>
          <w:numId w:val="143"/>
        </w:numPr>
        <w:tabs>
          <w:tab w:pos="506" w:val="left" w:leader="none"/>
        </w:tabs>
        <w:spacing w:line="230" w:lineRule="auto" w:before="54" w:after="0"/>
        <w:ind w:left="505" w:right="415" w:hanging="276"/>
        <w:jc w:val="left"/>
        <w:rPr>
          <w:sz w:val="18"/>
        </w:rPr>
      </w:pPr>
      <w:r>
        <w:rPr>
          <w:color w:val="231F20"/>
          <w:spacing w:val="-6"/>
          <w:sz w:val="18"/>
        </w:rPr>
        <w:t>People</w:t>
      </w:r>
      <w:r>
        <w:rPr>
          <w:color w:val="231F20"/>
          <w:spacing w:val="33"/>
          <w:sz w:val="18"/>
        </w:rPr>
        <w:t> </w:t>
      </w:r>
      <w:r>
        <w:rPr>
          <w:color w:val="231F20"/>
          <w:spacing w:val="-5"/>
          <w:sz w:val="18"/>
        </w:rPr>
        <w:t>with  </w:t>
      </w:r>
      <w:r>
        <w:rPr>
          <w:color w:val="231F20"/>
          <w:spacing w:val="-6"/>
          <w:sz w:val="18"/>
        </w:rPr>
        <w:t>Intellectual   Disabilities   </w:t>
      </w:r>
      <w:r>
        <w:rPr>
          <w:color w:val="231F20"/>
          <w:spacing w:val="-4"/>
          <w:sz w:val="18"/>
        </w:rPr>
        <w:t>at   </w:t>
      </w:r>
      <w:r>
        <w:rPr>
          <w:color w:val="231F20"/>
          <w:spacing w:val="-7"/>
          <w:sz w:val="18"/>
        </w:rPr>
        <w:t>Risk: </w:t>
      </w:r>
      <w:r>
        <w:rPr>
          <w:color w:val="231F20"/>
          <w:sz w:val="18"/>
        </w:rPr>
        <w:t>A </w:t>
      </w:r>
      <w:r>
        <w:rPr>
          <w:color w:val="231F20"/>
          <w:spacing w:val="-6"/>
          <w:sz w:val="18"/>
        </w:rPr>
        <w:t>Legal </w:t>
      </w:r>
      <w:r>
        <w:rPr>
          <w:color w:val="231F20"/>
          <w:spacing w:val="-7"/>
          <w:sz w:val="18"/>
        </w:rPr>
        <w:t>Framework </w:t>
      </w:r>
      <w:r>
        <w:rPr>
          <w:color w:val="231F20"/>
          <w:spacing w:val="-5"/>
          <w:sz w:val="18"/>
        </w:rPr>
        <w:t>for </w:t>
      </w:r>
      <w:r>
        <w:rPr>
          <w:color w:val="231F20"/>
          <w:spacing w:val="-6"/>
          <w:sz w:val="18"/>
        </w:rPr>
        <w:t>Compulsory Care</w:t>
      </w:r>
      <w:r>
        <w:rPr>
          <w:color w:val="231F20"/>
          <w:spacing w:val="-22"/>
          <w:sz w:val="18"/>
        </w:rPr>
        <w:t> </w:t>
      </w:r>
      <w:r>
        <w:rPr>
          <w:color w:val="231F20"/>
          <w:spacing w:val="-6"/>
          <w:sz w:val="18"/>
        </w:rPr>
        <w:t>(2003)</w:t>
      </w:r>
    </w:p>
    <w:p>
      <w:pPr>
        <w:pStyle w:val="ListParagraph"/>
        <w:numPr>
          <w:ilvl w:val="0"/>
          <w:numId w:val="143"/>
        </w:numPr>
        <w:tabs>
          <w:tab w:pos="506" w:val="left" w:leader="none"/>
        </w:tabs>
        <w:spacing w:line="240" w:lineRule="auto" w:before="47" w:after="0"/>
        <w:ind w:left="505" w:right="0" w:hanging="274"/>
        <w:jc w:val="left"/>
        <w:rPr>
          <w:sz w:val="18"/>
        </w:rPr>
      </w:pPr>
      <w:r>
        <w:rPr>
          <w:color w:val="231F20"/>
          <w:spacing w:val="-6"/>
          <w:sz w:val="18"/>
        </w:rPr>
        <w:t>Sexual </w:t>
      </w:r>
      <w:r>
        <w:rPr>
          <w:color w:val="231F20"/>
          <w:spacing w:val="-5"/>
          <w:sz w:val="18"/>
        </w:rPr>
        <w:t>Offences</w:t>
      </w:r>
      <w:r>
        <w:rPr>
          <w:color w:val="231F20"/>
          <w:spacing w:val="-22"/>
          <w:sz w:val="18"/>
        </w:rPr>
        <w:t> </w:t>
      </w:r>
      <w:r>
        <w:rPr>
          <w:color w:val="231F20"/>
          <w:spacing w:val="-6"/>
          <w:sz w:val="18"/>
        </w:rPr>
        <w:t>(2004)</w:t>
      </w:r>
    </w:p>
    <w:p>
      <w:pPr>
        <w:pStyle w:val="ListParagraph"/>
        <w:numPr>
          <w:ilvl w:val="0"/>
          <w:numId w:val="143"/>
        </w:numPr>
        <w:tabs>
          <w:tab w:pos="506" w:val="left" w:leader="none"/>
        </w:tabs>
        <w:spacing w:line="240" w:lineRule="auto" w:before="46" w:after="0"/>
        <w:ind w:left="505" w:right="0" w:hanging="282"/>
        <w:jc w:val="left"/>
        <w:rPr>
          <w:sz w:val="18"/>
        </w:rPr>
      </w:pPr>
      <w:r>
        <w:rPr>
          <w:color w:val="231F20"/>
          <w:spacing w:val="-6"/>
          <w:sz w:val="18"/>
        </w:rPr>
        <w:t>Defences </w:t>
      </w:r>
      <w:r>
        <w:rPr>
          <w:color w:val="231F20"/>
          <w:spacing w:val="-4"/>
          <w:sz w:val="18"/>
        </w:rPr>
        <w:t>to </w:t>
      </w:r>
      <w:r>
        <w:rPr>
          <w:color w:val="231F20"/>
          <w:spacing w:val="-6"/>
          <w:sz w:val="18"/>
        </w:rPr>
        <w:t>Homicide</w:t>
      </w:r>
      <w:r>
        <w:rPr>
          <w:color w:val="231F20"/>
          <w:spacing w:val="-21"/>
          <w:sz w:val="18"/>
        </w:rPr>
        <w:t> </w:t>
      </w:r>
      <w:r>
        <w:rPr>
          <w:color w:val="231F20"/>
          <w:spacing w:val="-6"/>
          <w:sz w:val="18"/>
        </w:rPr>
        <w:t>(2004)</w:t>
      </w:r>
    </w:p>
    <w:p>
      <w:pPr>
        <w:pStyle w:val="ListParagraph"/>
        <w:numPr>
          <w:ilvl w:val="0"/>
          <w:numId w:val="143"/>
        </w:numPr>
        <w:tabs>
          <w:tab w:pos="506" w:val="left" w:leader="none"/>
        </w:tabs>
        <w:spacing w:line="240" w:lineRule="auto" w:before="46" w:after="0"/>
        <w:ind w:left="505" w:right="0" w:hanging="268"/>
        <w:jc w:val="left"/>
        <w:rPr>
          <w:sz w:val="18"/>
        </w:rPr>
      </w:pPr>
      <w:r>
        <w:rPr>
          <w:color w:val="231F20"/>
          <w:spacing w:val="-7"/>
          <w:sz w:val="18"/>
        </w:rPr>
        <w:t>Workplace </w:t>
      </w:r>
      <w:r>
        <w:rPr>
          <w:color w:val="231F20"/>
          <w:spacing w:val="-6"/>
          <w:sz w:val="18"/>
        </w:rPr>
        <w:t>Privacy</w:t>
      </w:r>
      <w:r>
        <w:rPr>
          <w:color w:val="231F20"/>
          <w:spacing w:val="-19"/>
          <w:sz w:val="18"/>
        </w:rPr>
        <w:t> </w:t>
      </w:r>
      <w:r>
        <w:rPr>
          <w:color w:val="231F20"/>
          <w:spacing w:val="-6"/>
          <w:sz w:val="18"/>
        </w:rPr>
        <w:t>(2005)</w:t>
      </w:r>
    </w:p>
    <w:p>
      <w:pPr>
        <w:pStyle w:val="ListParagraph"/>
        <w:numPr>
          <w:ilvl w:val="0"/>
          <w:numId w:val="143"/>
        </w:numPr>
        <w:tabs>
          <w:tab w:pos="506" w:val="left" w:leader="none"/>
        </w:tabs>
        <w:spacing w:line="240" w:lineRule="auto" w:before="46" w:after="0"/>
        <w:ind w:left="505" w:right="0" w:hanging="281"/>
        <w:jc w:val="left"/>
        <w:rPr>
          <w:sz w:val="18"/>
        </w:rPr>
      </w:pPr>
      <w:r>
        <w:rPr>
          <w:color w:val="231F20"/>
          <w:spacing w:val="-6"/>
          <w:sz w:val="18"/>
        </w:rPr>
        <w:t>Implementing </w:t>
      </w:r>
      <w:r>
        <w:rPr>
          <w:color w:val="231F20"/>
          <w:spacing w:val="-4"/>
          <w:sz w:val="18"/>
        </w:rPr>
        <w:t>the </w:t>
      </w:r>
      <w:r>
        <w:rPr>
          <w:color w:val="231F20"/>
          <w:spacing w:val="-6"/>
          <w:sz w:val="18"/>
        </w:rPr>
        <w:t>Uniform Evidence </w:t>
      </w:r>
      <w:r>
        <w:rPr>
          <w:color w:val="231F20"/>
          <w:spacing w:val="-5"/>
          <w:sz w:val="18"/>
        </w:rPr>
        <w:t>Act 1995</w:t>
      </w:r>
      <w:r>
        <w:rPr>
          <w:color w:val="231F20"/>
          <w:spacing w:val="-16"/>
          <w:sz w:val="18"/>
        </w:rPr>
        <w:t> </w:t>
      </w:r>
      <w:r>
        <w:rPr>
          <w:color w:val="231F20"/>
          <w:spacing w:val="-6"/>
          <w:sz w:val="18"/>
        </w:rPr>
        <w:t>(2006)</w:t>
      </w:r>
    </w:p>
    <w:p>
      <w:pPr>
        <w:pStyle w:val="ListParagraph"/>
        <w:numPr>
          <w:ilvl w:val="0"/>
          <w:numId w:val="143"/>
        </w:numPr>
        <w:tabs>
          <w:tab w:pos="506" w:val="left" w:leader="none"/>
        </w:tabs>
        <w:spacing w:line="240" w:lineRule="auto" w:before="46" w:after="0"/>
        <w:ind w:left="505" w:right="0" w:hanging="282"/>
        <w:jc w:val="left"/>
        <w:rPr>
          <w:sz w:val="18"/>
        </w:rPr>
      </w:pPr>
      <w:r>
        <w:rPr>
          <w:color w:val="231F20"/>
          <w:spacing w:val="-6"/>
          <w:sz w:val="18"/>
        </w:rPr>
        <w:t>Uniform Evidence </w:t>
      </w:r>
      <w:r>
        <w:rPr>
          <w:color w:val="231F20"/>
          <w:spacing w:val="-5"/>
          <w:sz w:val="18"/>
        </w:rPr>
        <w:t>Law</w:t>
      </w:r>
      <w:r>
        <w:rPr>
          <w:color w:val="231F20"/>
          <w:spacing w:val="-25"/>
          <w:sz w:val="18"/>
        </w:rPr>
        <w:t> </w:t>
      </w:r>
      <w:r>
        <w:rPr>
          <w:color w:val="231F20"/>
          <w:spacing w:val="-6"/>
          <w:sz w:val="18"/>
        </w:rPr>
        <w:t>(2006)</w:t>
      </w:r>
    </w:p>
    <w:p>
      <w:pPr>
        <w:pStyle w:val="ListParagraph"/>
        <w:numPr>
          <w:ilvl w:val="0"/>
          <w:numId w:val="143"/>
        </w:numPr>
        <w:tabs>
          <w:tab w:pos="506" w:val="left" w:leader="none"/>
        </w:tabs>
        <w:spacing w:line="240" w:lineRule="auto" w:before="46" w:after="0"/>
        <w:ind w:left="505" w:right="0" w:hanging="365"/>
        <w:jc w:val="left"/>
        <w:rPr>
          <w:sz w:val="18"/>
        </w:rPr>
      </w:pPr>
      <w:r>
        <w:rPr>
          <w:color w:val="231F20"/>
          <w:spacing w:val="-7"/>
          <w:sz w:val="18"/>
        </w:rPr>
        <w:t>Review</w:t>
      </w:r>
      <w:r>
        <w:rPr>
          <w:color w:val="231F20"/>
          <w:spacing w:val="-16"/>
          <w:sz w:val="18"/>
        </w:rPr>
        <w:t> </w:t>
      </w:r>
      <w:r>
        <w:rPr>
          <w:color w:val="231F20"/>
          <w:spacing w:val="-4"/>
          <w:sz w:val="18"/>
        </w:rPr>
        <w:t>of</w:t>
      </w:r>
      <w:r>
        <w:rPr>
          <w:color w:val="231F20"/>
          <w:spacing w:val="-14"/>
          <w:sz w:val="18"/>
        </w:rPr>
        <w:t> </w:t>
      </w:r>
      <w:r>
        <w:rPr>
          <w:color w:val="231F20"/>
          <w:spacing w:val="-8"/>
          <w:sz w:val="18"/>
        </w:rPr>
        <w:t>Family</w:t>
      </w:r>
      <w:r>
        <w:rPr>
          <w:color w:val="231F20"/>
          <w:spacing w:val="-21"/>
          <w:sz w:val="18"/>
        </w:rPr>
        <w:t> </w:t>
      </w:r>
      <w:r>
        <w:rPr>
          <w:color w:val="231F20"/>
          <w:spacing w:val="-6"/>
          <w:sz w:val="18"/>
        </w:rPr>
        <w:t>Violence</w:t>
      </w:r>
      <w:r>
        <w:rPr>
          <w:color w:val="231F20"/>
          <w:spacing w:val="-10"/>
          <w:sz w:val="18"/>
        </w:rPr>
        <w:t> </w:t>
      </w:r>
      <w:r>
        <w:rPr>
          <w:color w:val="231F20"/>
          <w:spacing w:val="-6"/>
          <w:sz w:val="18"/>
        </w:rPr>
        <w:t>Laws</w:t>
      </w:r>
      <w:r>
        <w:rPr>
          <w:color w:val="231F20"/>
          <w:spacing w:val="-10"/>
          <w:sz w:val="18"/>
        </w:rPr>
        <w:t> </w:t>
      </w:r>
      <w:r>
        <w:rPr>
          <w:color w:val="231F20"/>
          <w:spacing w:val="-6"/>
          <w:sz w:val="18"/>
        </w:rPr>
        <w:t>(2006)</w:t>
      </w:r>
    </w:p>
    <w:p>
      <w:pPr>
        <w:pStyle w:val="ListParagraph"/>
        <w:numPr>
          <w:ilvl w:val="0"/>
          <w:numId w:val="143"/>
        </w:numPr>
        <w:tabs>
          <w:tab w:pos="506" w:val="left" w:leader="none"/>
        </w:tabs>
        <w:spacing w:line="240" w:lineRule="auto" w:before="46" w:after="0"/>
        <w:ind w:left="505" w:right="0" w:hanging="318"/>
        <w:jc w:val="left"/>
        <w:rPr>
          <w:sz w:val="18"/>
        </w:rPr>
      </w:pPr>
      <w:r>
        <w:rPr>
          <w:color w:val="231F20"/>
          <w:spacing w:val="-6"/>
          <w:sz w:val="18"/>
        </w:rPr>
        <w:t>Residential </w:t>
      </w:r>
      <w:r>
        <w:rPr>
          <w:color w:val="231F20"/>
          <w:spacing w:val="-9"/>
          <w:sz w:val="18"/>
        </w:rPr>
        <w:t>Tenancy </w:t>
      </w:r>
      <w:r>
        <w:rPr>
          <w:color w:val="231F20"/>
          <w:spacing w:val="-6"/>
          <w:sz w:val="18"/>
        </w:rPr>
        <w:t>Databases</w:t>
      </w:r>
      <w:r>
        <w:rPr>
          <w:color w:val="231F20"/>
          <w:spacing w:val="-32"/>
          <w:sz w:val="18"/>
        </w:rPr>
        <w:t> </w:t>
      </w:r>
      <w:r>
        <w:rPr>
          <w:color w:val="231F20"/>
          <w:spacing w:val="-6"/>
          <w:sz w:val="18"/>
        </w:rPr>
        <w:t>(2006)*</w:t>
      </w:r>
    </w:p>
    <w:p>
      <w:pPr>
        <w:pStyle w:val="ListParagraph"/>
        <w:numPr>
          <w:ilvl w:val="0"/>
          <w:numId w:val="143"/>
        </w:numPr>
        <w:tabs>
          <w:tab w:pos="506" w:val="left" w:leader="none"/>
        </w:tabs>
        <w:spacing w:line="230" w:lineRule="auto" w:before="54" w:after="0"/>
        <w:ind w:left="505" w:right="1106" w:hanging="348"/>
        <w:jc w:val="left"/>
        <w:rPr>
          <w:sz w:val="18"/>
        </w:rPr>
      </w:pPr>
      <w:r>
        <w:rPr>
          <w:color w:val="231F20"/>
          <w:spacing w:val="-6"/>
          <w:sz w:val="18"/>
        </w:rPr>
        <w:t>Assisted </w:t>
      </w:r>
      <w:r>
        <w:rPr>
          <w:color w:val="231F20"/>
          <w:spacing w:val="-7"/>
          <w:sz w:val="18"/>
        </w:rPr>
        <w:t>Reproductive </w:t>
      </w:r>
      <w:r>
        <w:rPr>
          <w:color w:val="231F20"/>
          <w:spacing w:val="-8"/>
          <w:sz w:val="18"/>
        </w:rPr>
        <w:t>Technology </w:t>
      </w:r>
      <w:r>
        <w:rPr>
          <w:color w:val="231F20"/>
          <w:spacing w:val="-6"/>
          <w:sz w:val="18"/>
        </w:rPr>
        <w:t>and Adoption</w:t>
      </w:r>
      <w:r>
        <w:rPr>
          <w:color w:val="231F20"/>
          <w:spacing w:val="-11"/>
          <w:sz w:val="18"/>
        </w:rPr>
        <w:t> </w:t>
      </w:r>
      <w:r>
        <w:rPr>
          <w:color w:val="231F20"/>
          <w:spacing w:val="-6"/>
          <w:sz w:val="18"/>
        </w:rPr>
        <w:t>(2007)</w:t>
      </w:r>
    </w:p>
    <w:p>
      <w:pPr>
        <w:pStyle w:val="ListParagraph"/>
        <w:numPr>
          <w:ilvl w:val="0"/>
          <w:numId w:val="143"/>
        </w:numPr>
        <w:tabs>
          <w:tab w:pos="506" w:val="left" w:leader="none"/>
        </w:tabs>
        <w:spacing w:line="240" w:lineRule="auto" w:before="47" w:after="0"/>
        <w:ind w:left="505" w:right="0" w:hanging="348"/>
        <w:jc w:val="left"/>
        <w:rPr>
          <w:sz w:val="18"/>
        </w:rPr>
      </w:pPr>
      <w:r>
        <w:rPr>
          <w:color w:val="231F20"/>
          <w:spacing w:val="-7"/>
          <w:sz w:val="18"/>
        </w:rPr>
        <w:t>Review</w:t>
      </w:r>
      <w:r>
        <w:rPr>
          <w:color w:val="231F20"/>
          <w:spacing w:val="-16"/>
          <w:sz w:val="18"/>
        </w:rPr>
        <w:t> </w:t>
      </w:r>
      <w:r>
        <w:rPr>
          <w:color w:val="231F20"/>
          <w:spacing w:val="-4"/>
          <w:sz w:val="18"/>
        </w:rPr>
        <w:t>of</w:t>
      </w:r>
      <w:r>
        <w:rPr>
          <w:color w:val="231F20"/>
          <w:spacing w:val="-14"/>
          <w:sz w:val="18"/>
        </w:rPr>
        <w:t> </w:t>
      </w:r>
      <w:r>
        <w:rPr>
          <w:color w:val="231F20"/>
          <w:spacing w:val="-4"/>
          <w:sz w:val="18"/>
        </w:rPr>
        <w:t>the</w:t>
      </w:r>
      <w:r>
        <w:rPr>
          <w:color w:val="231F20"/>
          <w:spacing w:val="-10"/>
          <w:sz w:val="18"/>
        </w:rPr>
        <w:t> </w:t>
      </w:r>
      <w:r>
        <w:rPr>
          <w:color w:val="231F20"/>
          <w:spacing w:val="-5"/>
          <w:sz w:val="18"/>
        </w:rPr>
        <w:t>Bail</w:t>
      </w:r>
      <w:r>
        <w:rPr>
          <w:color w:val="231F20"/>
          <w:spacing w:val="-22"/>
          <w:sz w:val="18"/>
        </w:rPr>
        <w:t> </w:t>
      </w:r>
      <w:r>
        <w:rPr>
          <w:color w:val="231F20"/>
          <w:spacing w:val="-5"/>
          <w:sz w:val="18"/>
        </w:rPr>
        <w:t>Act</w:t>
      </w:r>
      <w:r>
        <w:rPr>
          <w:color w:val="231F20"/>
          <w:spacing w:val="-10"/>
          <w:sz w:val="18"/>
        </w:rPr>
        <w:t> </w:t>
      </w:r>
      <w:r>
        <w:rPr>
          <w:color w:val="231F20"/>
          <w:spacing w:val="-5"/>
          <w:sz w:val="18"/>
        </w:rPr>
        <w:t>1997</w:t>
      </w:r>
      <w:r>
        <w:rPr>
          <w:color w:val="231F20"/>
          <w:spacing w:val="-10"/>
          <w:sz w:val="18"/>
        </w:rPr>
        <w:t> </w:t>
      </w:r>
      <w:r>
        <w:rPr>
          <w:color w:val="231F20"/>
          <w:spacing w:val="-6"/>
          <w:sz w:val="18"/>
        </w:rPr>
        <w:t>(2007)</w:t>
      </w:r>
    </w:p>
    <w:p>
      <w:pPr>
        <w:pStyle w:val="ListParagraph"/>
        <w:numPr>
          <w:ilvl w:val="0"/>
          <w:numId w:val="143"/>
        </w:numPr>
        <w:tabs>
          <w:tab w:pos="506" w:val="left" w:leader="none"/>
        </w:tabs>
        <w:spacing w:line="240" w:lineRule="auto" w:before="46" w:after="0"/>
        <w:ind w:left="505" w:right="0" w:hanging="345"/>
        <w:jc w:val="left"/>
        <w:rPr>
          <w:sz w:val="18"/>
        </w:rPr>
      </w:pPr>
      <w:r>
        <w:rPr>
          <w:color w:val="231F20"/>
          <w:spacing w:val="-5"/>
          <w:sz w:val="18"/>
        </w:rPr>
        <w:t>Civil </w:t>
      </w:r>
      <w:r>
        <w:rPr>
          <w:color w:val="231F20"/>
          <w:spacing w:val="-6"/>
          <w:sz w:val="18"/>
        </w:rPr>
        <w:t>Justice </w:t>
      </w:r>
      <w:r>
        <w:rPr>
          <w:color w:val="231F20"/>
          <w:spacing w:val="-7"/>
          <w:sz w:val="18"/>
        </w:rPr>
        <w:t>Review</w:t>
      </w:r>
      <w:r>
        <w:rPr>
          <w:color w:val="231F20"/>
          <w:spacing w:val="-37"/>
          <w:sz w:val="18"/>
        </w:rPr>
        <w:t> </w:t>
      </w:r>
      <w:r>
        <w:rPr>
          <w:color w:val="231F20"/>
          <w:spacing w:val="-6"/>
          <w:sz w:val="18"/>
        </w:rPr>
        <w:t>(2008)</w:t>
      </w:r>
    </w:p>
    <w:p>
      <w:pPr>
        <w:pStyle w:val="ListParagraph"/>
        <w:numPr>
          <w:ilvl w:val="0"/>
          <w:numId w:val="143"/>
        </w:numPr>
        <w:tabs>
          <w:tab w:pos="506" w:val="left" w:leader="none"/>
        </w:tabs>
        <w:spacing w:line="240" w:lineRule="auto" w:before="46" w:after="0"/>
        <w:ind w:left="505" w:right="0" w:hanging="343"/>
        <w:jc w:val="left"/>
        <w:rPr>
          <w:sz w:val="18"/>
        </w:rPr>
      </w:pPr>
      <w:r>
        <w:rPr>
          <w:color w:val="231F20"/>
          <w:spacing w:val="-5"/>
          <w:sz w:val="18"/>
        </w:rPr>
        <w:t>Law </w:t>
      </w:r>
      <w:r>
        <w:rPr>
          <w:color w:val="231F20"/>
          <w:spacing w:val="-4"/>
          <w:sz w:val="18"/>
        </w:rPr>
        <w:t>of</w:t>
      </w:r>
      <w:r>
        <w:rPr>
          <w:color w:val="231F20"/>
          <w:spacing w:val="-36"/>
          <w:sz w:val="18"/>
        </w:rPr>
        <w:t> </w:t>
      </w:r>
      <w:r>
        <w:rPr>
          <w:color w:val="231F20"/>
          <w:spacing w:val="-6"/>
          <w:sz w:val="18"/>
        </w:rPr>
        <w:t>Abortion (2008)</w:t>
      </w:r>
    </w:p>
    <w:p>
      <w:pPr>
        <w:pStyle w:val="ListParagraph"/>
        <w:numPr>
          <w:ilvl w:val="0"/>
          <w:numId w:val="143"/>
        </w:numPr>
        <w:tabs>
          <w:tab w:pos="506" w:val="left" w:leader="none"/>
        </w:tabs>
        <w:spacing w:line="240" w:lineRule="auto" w:before="46" w:after="0"/>
        <w:ind w:left="505" w:right="0" w:hanging="352"/>
        <w:jc w:val="left"/>
        <w:rPr>
          <w:sz w:val="18"/>
        </w:rPr>
      </w:pPr>
      <w:r>
        <w:rPr>
          <w:color w:val="231F20"/>
          <w:spacing w:val="-6"/>
          <w:sz w:val="18"/>
        </w:rPr>
        <w:t>Assistance Animals</w:t>
      </w:r>
      <w:r>
        <w:rPr>
          <w:color w:val="231F20"/>
          <w:spacing w:val="-21"/>
          <w:sz w:val="18"/>
        </w:rPr>
        <w:t> </w:t>
      </w:r>
      <w:r>
        <w:rPr>
          <w:color w:val="231F20"/>
          <w:spacing w:val="-6"/>
          <w:sz w:val="18"/>
        </w:rPr>
        <w:t>(2008)*</w:t>
      </w:r>
    </w:p>
    <w:p>
      <w:pPr>
        <w:pStyle w:val="ListParagraph"/>
        <w:numPr>
          <w:ilvl w:val="0"/>
          <w:numId w:val="143"/>
        </w:numPr>
        <w:tabs>
          <w:tab w:pos="506" w:val="left" w:leader="none"/>
        </w:tabs>
        <w:spacing w:line="240" w:lineRule="auto" w:before="46" w:after="0"/>
        <w:ind w:left="505" w:right="0" w:hanging="337"/>
        <w:jc w:val="left"/>
        <w:rPr>
          <w:sz w:val="18"/>
        </w:rPr>
      </w:pPr>
      <w:r>
        <w:rPr>
          <w:color w:val="231F20"/>
          <w:spacing w:val="-5"/>
          <w:sz w:val="18"/>
        </w:rPr>
        <w:t>Jury </w:t>
      </w:r>
      <w:r>
        <w:rPr>
          <w:color w:val="231F20"/>
          <w:spacing w:val="-6"/>
          <w:sz w:val="18"/>
        </w:rPr>
        <w:t>Directions</w:t>
      </w:r>
      <w:r>
        <w:rPr>
          <w:color w:val="231F20"/>
          <w:spacing w:val="-21"/>
          <w:sz w:val="18"/>
        </w:rPr>
        <w:t> </w:t>
      </w:r>
      <w:r>
        <w:rPr>
          <w:color w:val="231F20"/>
          <w:spacing w:val="-6"/>
          <w:sz w:val="18"/>
        </w:rPr>
        <w:t>(2009)</w:t>
      </w:r>
    </w:p>
    <w:p>
      <w:pPr>
        <w:pStyle w:val="ListParagraph"/>
        <w:numPr>
          <w:ilvl w:val="0"/>
          <w:numId w:val="143"/>
        </w:numPr>
        <w:tabs>
          <w:tab w:pos="506" w:val="left" w:leader="none"/>
        </w:tabs>
        <w:spacing w:line="240" w:lineRule="auto" w:before="46" w:after="0"/>
        <w:ind w:left="505" w:right="0" w:hanging="350"/>
        <w:jc w:val="left"/>
        <w:rPr>
          <w:sz w:val="18"/>
        </w:rPr>
      </w:pPr>
      <w:r>
        <w:rPr>
          <w:color w:val="231F20"/>
          <w:spacing w:val="-6"/>
          <w:sz w:val="18"/>
        </w:rPr>
        <w:t>Surveillance </w:t>
      </w:r>
      <w:r>
        <w:rPr>
          <w:color w:val="231F20"/>
          <w:spacing w:val="-3"/>
          <w:sz w:val="18"/>
        </w:rPr>
        <w:t>in </w:t>
      </w:r>
      <w:r>
        <w:rPr>
          <w:color w:val="231F20"/>
          <w:spacing w:val="-5"/>
          <w:sz w:val="18"/>
        </w:rPr>
        <w:t>Public </w:t>
      </w:r>
      <w:r>
        <w:rPr>
          <w:color w:val="231F20"/>
          <w:spacing w:val="-6"/>
          <w:sz w:val="18"/>
        </w:rPr>
        <w:t>Places</w:t>
      </w:r>
      <w:r>
        <w:rPr>
          <w:color w:val="231F20"/>
          <w:spacing w:val="-28"/>
          <w:sz w:val="18"/>
        </w:rPr>
        <w:t> </w:t>
      </w:r>
      <w:r>
        <w:rPr>
          <w:color w:val="231F20"/>
          <w:spacing w:val="-6"/>
          <w:sz w:val="18"/>
        </w:rPr>
        <w:t>(2010)</w:t>
      </w:r>
    </w:p>
    <w:p>
      <w:pPr>
        <w:pStyle w:val="ListParagraph"/>
        <w:numPr>
          <w:ilvl w:val="0"/>
          <w:numId w:val="143"/>
        </w:numPr>
        <w:tabs>
          <w:tab w:pos="506" w:val="left" w:leader="none"/>
        </w:tabs>
        <w:spacing w:line="240" w:lineRule="auto" w:before="46" w:after="0"/>
        <w:ind w:left="505" w:right="0" w:hanging="352"/>
        <w:jc w:val="left"/>
        <w:rPr>
          <w:sz w:val="18"/>
        </w:rPr>
      </w:pPr>
      <w:r>
        <w:rPr>
          <w:color w:val="231F20"/>
          <w:spacing w:val="-6"/>
          <w:sz w:val="18"/>
        </w:rPr>
        <w:t>Protection Applications </w:t>
      </w:r>
      <w:r>
        <w:rPr>
          <w:color w:val="231F20"/>
          <w:spacing w:val="-3"/>
          <w:sz w:val="18"/>
        </w:rPr>
        <w:t>in </w:t>
      </w:r>
      <w:r>
        <w:rPr>
          <w:color w:val="231F20"/>
          <w:spacing w:val="-4"/>
          <w:sz w:val="18"/>
        </w:rPr>
        <w:t>the </w:t>
      </w:r>
      <w:r>
        <w:rPr>
          <w:color w:val="231F20"/>
          <w:spacing w:val="-8"/>
          <w:sz w:val="18"/>
        </w:rPr>
        <w:t>Children’s </w:t>
      </w:r>
      <w:r>
        <w:rPr>
          <w:color w:val="231F20"/>
          <w:spacing w:val="-5"/>
          <w:sz w:val="18"/>
        </w:rPr>
        <w:t>Court</w:t>
      </w:r>
      <w:r>
        <w:rPr>
          <w:color w:val="231F20"/>
          <w:spacing w:val="-26"/>
          <w:sz w:val="18"/>
        </w:rPr>
        <w:t> </w:t>
      </w:r>
      <w:r>
        <w:rPr>
          <w:color w:val="231F20"/>
          <w:spacing w:val="-6"/>
          <w:sz w:val="18"/>
        </w:rPr>
        <w:t>(2010)</w:t>
      </w:r>
    </w:p>
    <w:p>
      <w:pPr>
        <w:pStyle w:val="ListParagraph"/>
        <w:numPr>
          <w:ilvl w:val="0"/>
          <w:numId w:val="143"/>
        </w:numPr>
        <w:tabs>
          <w:tab w:pos="506" w:val="left" w:leader="none"/>
        </w:tabs>
        <w:spacing w:line="240" w:lineRule="auto" w:before="46" w:after="0"/>
        <w:ind w:left="505" w:right="0" w:hanging="396"/>
        <w:jc w:val="left"/>
        <w:rPr>
          <w:sz w:val="18"/>
        </w:rPr>
      </w:pPr>
      <w:r>
        <w:rPr>
          <w:color w:val="231F20"/>
          <w:spacing w:val="-7"/>
          <w:sz w:val="18"/>
        </w:rPr>
        <w:t>Review</w:t>
      </w:r>
      <w:r>
        <w:rPr>
          <w:color w:val="231F20"/>
          <w:spacing w:val="-15"/>
          <w:sz w:val="18"/>
        </w:rPr>
        <w:t> </w:t>
      </w:r>
      <w:r>
        <w:rPr>
          <w:color w:val="231F20"/>
          <w:spacing w:val="-4"/>
          <w:sz w:val="18"/>
        </w:rPr>
        <w:t>of</w:t>
      </w:r>
      <w:r>
        <w:rPr>
          <w:color w:val="231F20"/>
          <w:spacing w:val="-14"/>
          <w:sz w:val="18"/>
        </w:rPr>
        <w:t> </w:t>
      </w:r>
      <w:r>
        <w:rPr>
          <w:color w:val="231F20"/>
          <w:spacing w:val="-4"/>
          <w:sz w:val="18"/>
        </w:rPr>
        <w:t>the</w:t>
      </w:r>
      <w:r>
        <w:rPr>
          <w:color w:val="231F20"/>
          <w:spacing w:val="-10"/>
          <w:sz w:val="18"/>
        </w:rPr>
        <w:t> </w:t>
      </w:r>
      <w:r>
        <w:rPr>
          <w:color w:val="231F20"/>
          <w:spacing w:val="-6"/>
          <w:sz w:val="18"/>
        </w:rPr>
        <w:t>Property</w:t>
      </w:r>
      <w:r>
        <w:rPr>
          <w:color w:val="231F20"/>
          <w:spacing w:val="-15"/>
          <w:sz w:val="18"/>
        </w:rPr>
        <w:t> </w:t>
      </w:r>
      <w:r>
        <w:rPr>
          <w:color w:val="231F20"/>
          <w:spacing w:val="-5"/>
          <w:sz w:val="18"/>
        </w:rPr>
        <w:t>Law</w:t>
      </w:r>
      <w:r>
        <w:rPr>
          <w:color w:val="231F20"/>
          <w:spacing w:val="-21"/>
          <w:sz w:val="18"/>
        </w:rPr>
        <w:t> </w:t>
      </w:r>
      <w:r>
        <w:rPr>
          <w:color w:val="231F20"/>
          <w:spacing w:val="-5"/>
          <w:sz w:val="18"/>
        </w:rPr>
        <w:t>Act</w:t>
      </w:r>
      <w:r>
        <w:rPr>
          <w:color w:val="231F20"/>
          <w:spacing w:val="-10"/>
          <w:sz w:val="18"/>
        </w:rPr>
        <w:t> </w:t>
      </w:r>
      <w:r>
        <w:rPr>
          <w:color w:val="231F20"/>
          <w:spacing w:val="-5"/>
          <w:sz w:val="18"/>
        </w:rPr>
        <w:t>1958</w:t>
      </w:r>
      <w:r>
        <w:rPr>
          <w:color w:val="231F20"/>
          <w:spacing w:val="-9"/>
          <w:sz w:val="18"/>
        </w:rPr>
        <w:t> </w:t>
      </w:r>
      <w:r>
        <w:rPr>
          <w:color w:val="231F20"/>
          <w:spacing w:val="-6"/>
          <w:sz w:val="18"/>
        </w:rPr>
        <w:t>(2010)</w:t>
      </w:r>
    </w:p>
    <w:p>
      <w:pPr>
        <w:pStyle w:val="ListParagraph"/>
        <w:numPr>
          <w:ilvl w:val="0"/>
          <w:numId w:val="143"/>
        </w:numPr>
        <w:tabs>
          <w:tab w:pos="506" w:val="left" w:leader="none"/>
        </w:tabs>
        <w:spacing w:line="240" w:lineRule="auto" w:before="46" w:after="0"/>
        <w:ind w:left="505" w:right="0" w:hanging="348"/>
        <w:jc w:val="left"/>
        <w:rPr>
          <w:sz w:val="18"/>
        </w:rPr>
      </w:pPr>
      <w:r>
        <w:rPr>
          <w:color w:val="231F20"/>
          <w:spacing w:val="-6"/>
          <w:sz w:val="18"/>
        </w:rPr>
        <w:t>Supporting </w:t>
      </w:r>
      <w:r>
        <w:rPr>
          <w:color w:val="231F20"/>
          <w:spacing w:val="-8"/>
          <w:sz w:val="18"/>
        </w:rPr>
        <w:t>Young </w:t>
      </w:r>
      <w:r>
        <w:rPr>
          <w:color w:val="231F20"/>
          <w:spacing w:val="-6"/>
          <w:sz w:val="18"/>
        </w:rPr>
        <w:t>People </w:t>
      </w:r>
      <w:r>
        <w:rPr>
          <w:color w:val="231F20"/>
          <w:spacing w:val="-3"/>
          <w:sz w:val="18"/>
        </w:rPr>
        <w:t>in </w:t>
      </w:r>
      <w:r>
        <w:rPr>
          <w:color w:val="231F20"/>
          <w:spacing w:val="-6"/>
          <w:sz w:val="18"/>
        </w:rPr>
        <w:t>Police Interviews</w:t>
      </w:r>
      <w:r>
        <w:rPr>
          <w:color w:val="231F20"/>
          <w:spacing w:val="-18"/>
          <w:sz w:val="18"/>
        </w:rPr>
        <w:t> </w:t>
      </w:r>
      <w:r>
        <w:rPr>
          <w:color w:val="231F20"/>
          <w:spacing w:val="-7"/>
          <w:sz w:val="18"/>
        </w:rPr>
        <w:t>(2010)*</w:t>
      </w:r>
    </w:p>
    <w:p>
      <w:pPr>
        <w:pStyle w:val="ListParagraph"/>
        <w:numPr>
          <w:ilvl w:val="0"/>
          <w:numId w:val="143"/>
        </w:numPr>
        <w:tabs>
          <w:tab w:pos="506" w:val="left" w:leader="none"/>
        </w:tabs>
        <w:spacing w:line="240" w:lineRule="auto" w:before="46" w:after="0"/>
        <w:ind w:left="505" w:right="0" w:hanging="377"/>
        <w:jc w:val="left"/>
        <w:rPr>
          <w:sz w:val="18"/>
        </w:rPr>
      </w:pPr>
      <w:r>
        <w:rPr>
          <w:color w:val="231F20"/>
          <w:spacing w:val="-6"/>
          <w:sz w:val="18"/>
        </w:rPr>
        <w:t>Easements </w:t>
      </w:r>
      <w:r>
        <w:rPr>
          <w:color w:val="231F20"/>
          <w:spacing w:val="-4"/>
          <w:sz w:val="18"/>
        </w:rPr>
        <w:t>and </w:t>
      </w:r>
      <w:r>
        <w:rPr>
          <w:color w:val="231F20"/>
          <w:spacing w:val="-7"/>
          <w:sz w:val="18"/>
        </w:rPr>
        <w:t>Covenants</w:t>
      </w:r>
      <w:r>
        <w:rPr>
          <w:color w:val="231F20"/>
          <w:spacing w:val="-21"/>
          <w:sz w:val="18"/>
        </w:rPr>
        <w:t> </w:t>
      </w:r>
      <w:r>
        <w:rPr>
          <w:color w:val="231F20"/>
          <w:spacing w:val="-6"/>
          <w:sz w:val="18"/>
        </w:rPr>
        <w:t>(2010)</w:t>
      </w:r>
    </w:p>
    <w:p>
      <w:pPr>
        <w:pStyle w:val="ListParagraph"/>
        <w:numPr>
          <w:ilvl w:val="0"/>
          <w:numId w:val="143"/>
        </w:numPr>
        <w:tabs>
          <w:tab w:pos="506" w:val="left" w:leader="none"/>
        </w:tabs>
        <w:spacing w:line="240" w:lineRule="auto" w:before="46" w:after="0"/>
        <w:ind w:left="505" w:right="0" w:hanging="378"/>
        <w:jc w:val="left"/>
        <w:rPr>
          <w:sz w:val="18"/>
        </w:rPr>
      </w:pPr>
      <w:r>
        <w:rPr>
          <w:color w:val="231F20"/>
          <w:spacing w:val="-5"/>
          <w:sz w:val="18"/>
        </w:rPr>
        <w:t>Sex Offenders </w:t>
      </w:r>
      <w:r>
        <w:rPr>
          <w:color w:val="231F20"/>
          <w:spacing w:val="-6"/>
          <w:sz w:val="18"/>
        </w:rPr>
        <w:t>Registration</w:t>
      </w:r>
      <w:r>
        <w:rPr>
          <w:color w:val="231F20"/>
          <w:spacing w:val="-24"/>
          <w:sz w:val="18"/>
        </w:rPr>
        <w:t> </w:t>
      </w:r>
      <w:r>
        <w:rPr>
          <w:color w:val="231F20"/>
          <w:spacing w:val="-6"/>
          <w:sz w:val="18"/>
        </w:rPr>
        <w:t>(2011)</w:t>
      </w:r>
    </w:p>
    <w:p>
      <w:pPr>
        <w:pStyle w:val="ListParagraph"/>
        <w:numPr>
          <w:ilvl w:val="0"/>
          <w:numId w:val="143"/>
        </w:numPr>
        <w:tabs>
          <w:tab w:pos="506" w:val="left" w:leader="none"/>
        </w:tabs>
        <w:spacing w:line="240" w:lineRule="auto" w:before="46" w:after="0"/>
        <w:ind w:left="505" w:right="0" w:hanging="372"/>
        <w:jc w:val="left"/>
        <w:rPr>
          <w:sz w:val="18"/>
        </w:rPr>
      </w:pPr>
      <w:r>
        <w:rPr>
          <w:color w:val="231F20"/>
          <w:spacing w:val="-6"/>
          <w:w w:val="105"/>
          <w:sz w:val="18"/>
        </w:rPr>
        <w:t>Guardianship</w:t>
      </w:r>
      <w:r>
        <w:rPr>
          <w:color w:val="231F20"/>
          <w:spacing w:val="-14"/>
          <w:w w:val="105"/>
          <w:sz w:val="18"/>
        </w:rPr>
        <w:t> </w:t>
      </w:r>
      <w:r>
        <w:rPr>
          <w:color w:val="231F20"/>
          <w:spacing w:val="-6"/>
          <w:w w:val="105"/>
          <w:sz w:val="18"/>
        </w:rPr>
        <w:t>(2012)</w:t>
      </w:r>
    </w:p>
    <w:p>
      <w:pPr>
        <w:pStyle w:val="ListParagraph"/>
        <w:numPr>
          <w:ilvl w:val="0"/>
          <w:numId w:val="143"/>
        </w:numPr>
        <w:tabs>
          <w:tab w:pos="506" w:val="left" w:leader="none"/>
        </w:tabs>
        <w:spacing w:line="240" w:lineRule="auto" w:before="46" w:after="0"/>
        <w:ind w:left="505" w:right="0" w:hanging="373"/>
        <w:jc w:val="left"/>
        <w:rPr>
          <w:sz w:val="18"/>
        </w:rPr>
      </w:pPr>
      <w:r>
        <w:rPr>
          <w:color w:val="231F20"/>
          <w:spacing w:val="-5"/>
          <w:sz w:val="18"/>
        </w:rPr>
        <w:t>Birth </w:t>
      </w:r>
      <w:r>
        <w:rPr>
          <w:color w:val="231F20"/>
          <w:spacing w:val="-6"/>
          <w:sz w:val="18"/>
        </w:rPr>
        <w:t>Registration </w:t>
      </w:r>
      <w:r>
        <w:rPr>
          <w:color w:val="231F20"/>
          <w:spacing w:val="-4"/>
          <w:sz w:val="18"/>
        </w:rPr>
        <w:t>and </w:t>
      </w:r>
      <w:r>
        <w:rPr>
          <w:color w:val="231F20"/>
          <w:spacing w:val="-5"/>
          <w:sz w:val="18"/>
        </w:rPr>
        <w:t>Birth </w:t>
      </w:r>
      <w:r>
        <w:rPr>
          <w:color w:val="231F20"/>
          <w:spacing w:val="-6"/>
          <w:sz w:val="18"/>
        </w:rPr>
        <w:t>Certificates</w:t>
      </w:r>
      <w:r>
        <w:rPr>
          <w:color w:val="231F20"/>
          <w:spacing w:val="-30"/>
          <w:sz w:val="18"/>
        </w:rPr>
        <w:t> </w:t>
      </w:r>
      <w:r>
        <w:rPr>
          <w:color w:val="231F20"/>
          <w:spacing w:val="-6"/>
          <w:sz w:val="18"/>
        </w:rPr>
        <w:t>(2013)*</w:t>
      </w:r>
    </w:p>
    <w:p>
      <w:pPr>
        <w:pStyle w:val="ListParagraph"/>
        <w:numPr>
          <w:ilvl w:val="0"/>
          <w:numId w:val="143"/>
        </w:numPr>
        <w:tabs>
          <w:tab w:pos="510" w:val="left" w:leader="none"/>
        </w:tabs>
        <w:spacing w:line="240" w:lineRule="auto" w:before="64" w:after="0"/>
        <w:ind w:left="509" w:right="0" w:hanging="381"/>
        <w:jc w:val="left"/>
        <w:rPr>
          <w:sz w:val="18"/>
        </w:rPr>
      </w:pPr>
      <w:r>
        <w:rPr>
          <w:color w:val="231F20"/>
          <w:spacing w:val="-6"/>
          <w:w w:val="99"/>
          <w:sz w:val="18"/>
        </w:rPr>
        <w:br w:type="column"/>
      </w:r>
      <w:r>
        <w:rPr>
          <w:color w:val="231F20"/>
          <w:spacing w:val="-6"/>
          <w:sz w:val="18"/>
        </w:rPr>
        <w:t>Succession Laws</w:t>
      </w:r>
      <w:r>
        <w:rPr>
          <w:color w:val="231F20"/>
          <w:spacing w:val="-15"/>
          <w:sz w:val="18"/>
        </w:rPr>
        <w:t> </w:t>
      </w:r>
      <w:r>
        <w:rPr>
          <w:color w:val="231F20"/>
          <w:spacing w:val="-6"/>
          <w:sz w:val="18"/>
        </w:rPr>
        <w:t>(2013)</w:t>
      </w:r>
    </w:p>
    <w:p>
      <w:pPr>
        <w:pStyle w:val="ListParagraph"/>
        <w:numPr>
          <w:ilvl w:val="0"/>
          <w:numId w:val="143"/>
        </w:numPr>
        <w:tabs>
          <w:tab w:pos="510" w:val="left" w:leader="none"/>
        </w:tabs>
        <w:spacing w:line="240" w:lineRule="auto" w:before="46" w:after="0"/>
        <w:ind w:left="509" w:right="0" w:hanging="367"/>
        <w:jc w:val="left"/>
        <w:rPr>
          <w:sz w:val="18"/>
        </w:rPr>
      </w:pPr>
      <w:r>
        <w:rPr>
          <w:color w:val="231F20"/>
          <w:spacing w:val="-5"/>
          <w:sz w:val="18"/>
        </w:rPr>
        <w:t>Jury </w:t>
      </w:r>
      <w:r>
        <w:rPr>
          <w:color w:val="231F20"/>
          <w:spacing w:val="-6"/>
          <w:sz w:val="18"/>
        </w:rPr>
        <w:t>Empanelment</w:t>
      </w:r>
      <w:r>
        <w:rPr>
          <w:color w:val="231F20"/>
          <w:spacing w:val="-21"/>
          <w:sz w:val="18"/>
        </w:rPr>
        <w:t> </w:t>
      </w:r>
      <w:r>
        <w:rPr>
          <w:color w:val="231F20"/>
          <w:spacing w:val="-7"/>
          <w:sz w:val="18"/>
        </w:rPr>
        <w:t>(2014)</w:t>
      </w:r>
    </w:p>
    <w:p>
      <w:pPr>
        <w:pStyle w:val="ListParagraph"/>
        <w:numPr>
          <w:ilvl w:val="0"/>
          <w:numId w:val="143"/>
        </w:numPr>
        <w:tabs>
          <w:tab w:pos="510" w:val="left" w:leader="none"/>
        </w:tabs>
        <w:spacing w:line="230" w:lineRule="auto" w:before="54" w:after="0"/>
        <w:ind w:left="509" w:right="540" w:hanging="380"/>
        <w:jc w:val="left"/>
        <w:rPr>
          <w:sz w:val="18"/>
        </w:rPr>
      </w:pPr>
      <w:r>
        <w:rPr>
          <w:color w:val="231F20"/>
          <w:spacing w:val="-7"/>
          <w:sz w:val="18"/>
        </w:rPr>
        <w:t>Review</w:t>
      </w:r>
      <w:r>
        <w:rPr>
          <w:color w:val="231F20"/>
          <w:spacing w:val="-16"/>
          <w:sz w:val="18"/>
        </w:rPr>
        <w:t> </w:t>
      </w:r>
      <w:r>
        <w:rPr>
          <w:color w:val="231F20"/>
          <w:spacing w:val="-4"/>
          <w:sz w:val="18"/>
        </w:rPr>
        <w:t>of</w:t>
      </w:r>
      <w:r>
        <w:rPr>
          <w:color w:val="231F20"/>
          <w:spacing w:val="-15"/>
          <w:sz w:val="18"/>
        </w:rPr>
        <w:t> </w:t>
      </w:r>
      <w:r>
        <w:rPr>
          <w:color w:val="231F20"/>
          <w:spacing w:val="-4"/>
          <w:sz w:val="18"/>
        </w:rPr>
        <w:t>the</w:t>
      </w:r>
      <w:r>
        <w:rPr>
          <w:color w:val="231F20"/>
          <w:spacing w:val="-10"/>
          <w:sz w:val="18"/>
        </w:rPr>
        <w:t> </w:t>
      </w:r>
      <w:r>
        <w:rPr>
          <w:color w:val="231F20"/>
          <w:spacing w:val="-5"/>
          <w:sz w:val="18"/>
        </w:rPr>
        <w:t>Crimes</w:t>
      </w:r>
      <w:r>
        <w:rPr>
          <w:color w:val="231F20"/>
          <w:spacing w:val="-10"/>
          <w:sz w:val="18"/>
        </w:rPr>
        <w:t> </w:t>
      </w:r>
      <w:r>
        <w:rPr>
          <w:color w:val="231F20"/>
          <w:spacing w:val="-6"/>
          <w:sz w:val="18"/>
        </w:rPr>
        <w:t>(Mental</w:t>
      </w:r>
      <w:r>
        <w:rPr>
          <w:color w:val="231F20"/>
          <w:spacing w:val="-17"/>
          <w:sz w:val="18"/>
        </w:rPr>
        <w:t> </w:t>
      </w:r>
      <w:r>
        <w:rPr>
          <w:color w:val="231F20"/>
          <w:spacing w:val="-6"/>
          <w:sz w:val="18"/>
        </w:rPr>
        <w:t>Impairment </w:t>
      </w:r>
      <w:r>
        <w:rPr>
          <w:color w:val="231F20"/>
          <w:spacing w:val="-4"/>
          <w:sz w:val="18"/>
        </w:rPr>
        <w:t>and</w:t>
      </w:r>
      <w:r>
        <w:rPr>
          <w:color w:val="231F20"/>
          <w:spacing w:val="-9"/>
          <w:sz w:val="18"/>
        </w:rPr>
        <w:t> </w:t>
      </w:r>
      <w:r>
        <w:rPr>
          <w:color w:val="231F20"/>
          <w:spacing w:val="-5"/>
          <w:sz w:val="18"/>
        </w:rPr>
        <w:t>Unfitness</w:t>
      </w:r>
      <w:r>
        <w:rPr>
          <w:color w:val="231F20"/>
          <w:spacing w:val="-9"/>
          <w:sz w:val="18"/>
        </w:rPr>
        <w:t> </w:t>
      </w:r>
      <w:r>
        <w:rPr>
          <w:color w:val="231F20"/>
          <w:spacing w:val="-4"/>
          <w:sz w:val="18"/>
        </w:rPr>
        <w:t>to</w:t>
      </w:r>
      <w:r>
        <w:rPr>
          <w:color w:val="231F20"/>
          <w:spacing w:val="-9"/>
          <w:sz w:val="18"/>
        </w:rPr>
        <w:t> </w:t>
      </w:r>
      <w:r>
        <w:rPr>
          <w:color w:val="231F20"/>
          <w:spacing w:val="-3"/>
          <w:sz w:val="18"/>
        </w:rPr>
        <w:t>be</w:t>
      </w:r>
      <w:r>
        <w:rPr>
          <w:color w:val="231F20"/>
          <w:spacing w:val="-15"/>
          <w:sz w:val="18"/>
        </w:rPr>
        <w:t> </w:t>
      </w:r>
      <w:r>
        <w:rPr>
          <w:color w:val="231F20"/>
          <w:spacing w:val="-8"/>
          <w:sz w:val="18"/>
        </w:rPr>
        <w:t>Tried)</w:t>
      </w:r>
      <w:r>
        <w:rPr>
          <w:color w:val="231F20"/>
          <w:spacing w:val="-15"/>
          <w:sz w:val="18"/>
        </w:rPr>
        <w:t> </w:t>
      </w:r>
      <w:r>
        <w:rPr>
          <w:color w:val="231F20"/>
          <w:spacing w:val="-5"/>
          <w:sz w:val="18"/>
        </w:rPr>
        <w:t>Act</w:t>
      </w:r>
      <w:r>
        <w:rPr>
          <w:color w:val="231F20"/>
          <w:spacing w:val="-9"/>
          <w:sz w:val="18"/>
        </w:rPr>
        <w:t> </w:t>
      </w:r>
      <w:r>
        <w:rPr>
          <w:color w:val="231F20"/>
          <w:spacing w:val="-5"/>
          <w:sz w:val="18"/>
        </w:rPr>
        <w:t>1997</w:t>
      </w:r>
      <w:r>
        <w:rPr>
          <w:color w:val="231F20"/>
          <w:spacing w:val="-9"/>
          <w:sz w:val="18"/>
        </w:rPr>
        <w:t> </w:t>
      </w:r>
      <w:r>
        <w:rPr>
          <w:color w:val="231F20"/>
          <w:spacing w:val="-7"/>
          <w:sz w:val="18"/>
        </w:rPr>
        <w:t>(2014)</w:t>
      </w:r>
    </w:p>
    <w:p>
      <w:pPr>
        <w:pStyle w:val="ListParagraph"/>
        <w:numPr>
          <w:ilvl w:val="0"/>
          <w:numId w:val="143"/>
        </w:numPr>
        <w:tabs>
          <w:tab w:pos="510" w:val="left" w:leader="none"/>
        </w:tabs>
        <w:spacing w:line="240" w:lineRule="auto" w:before="47" w:after="0"/>
        <w:ind w:left="509" w:right="0" w:hanging="400"/>
        <w:jc w:val="left"/>
        <w:rPr>
          <w:sz w:val="18"/>
        </w:rPr>
      </w:pPr>
      <w:r>
        <w:rPr>
          <w:color w:val="231F20"/>
          <w:spacing w:val="-4"/>
          <w:sz w:val="18"/>
        </w:rPr>
        <w:t>The </w:t>
      </w:r>
      <w:r>
        <w:rPr>
          <w:color w:val="231F20"/>
          <w:spacing w:val="-7"/>
          <w:sz w:val="18"/>
        </w:rPr>
        <w:t>Forfeiture </w:t>
      </w:r>
      <w:r>
        <w:rPr>
          <w:color w:val="231F20"/>
          <w:spacing w:val="-5"/>
          <w:sz w:val="18"/>
        </w:rPr>
        <w:t>Rule</w:t>
      </w:r>
      <w:r>
        <w:rPr>
          <w:color w:val="231F20"/>
          <w:spacing w:val="-21"/>
          <w:sz w:val="18"/>
        </w:rPr>
        <w:t> </w:t>
      </w:r>
      <w:r>
        <w:rPr>
          <w:color w:val="231F20"/>
          <w:spacing w:val="-7"/>
          <w:sz w:val="18"/>
        </w:rPr>
        <w:t>(2014)</w:t>
      </w:r>
    </w:p>
    <w:p>
      <w:pPr>
        <w:pStyle w:val="ListParagraph"/>
        <w:numPr>
          <w:ilvl w:val="0"/>
          <w:numId w:val="143"/>
        </w:numPr>
        <w:tabs>
          <w:tab w:pos="510" w:val="left" w:leader="none"/>
        </w:tabs>
        <w:spacing w:line="240" w:lineRule="auto" w:before="46" w:after="0"/>
        <w:ind w:left="509" w:right="0" w:hanging="400"/>
        <w:jc w:val="left"/>
        <w:rPr>
          <w:sz w:val="18"/>
        </w:rPr>
      </w:pPr>
      <w:r>
        <w:rPr>
          <w:color w:val="231F20"/>
          <w:spacing w:val="-8"/>
          <w:sz w:val="18"/>
        </w:rPr>
        <w:t>Trading </w:t>
      </w:r>
      <w:r>
        <w:rPr>
          <w:color w:val="231F20"/>
          <w:spacing w:val="-7"/>
          <w:sz w:val="18"/>
        </w:rPr>
        <w:t>Trusts—Oppression </w:t>
      </w:r>
      <w:r>
        <w:rPr>
          <w:color w:val="231F20"/>
          <w:spacing w:val="-6"/>
          <w:sz w:val="18"/>
        </w:rPr>
        <w:t>Remedies</w:t>
      </w:r>
      <w:r>
        <w:rPr>
          <w:color w:val="231F20"/>
          <w:spacing w:val="-20"/>
          <w:sz w:val="18"/>
        </w:rPr>
        <w:t> </w:t>
      </w:r>
      <w:r>
        <w:rPr>
          <w:color w:val="231F20"/>
          <w:spacing w:val="-6"/>
          <w:sz w:val="18"/>
        </w:rPr>
        <w:t>(2015)</w:t>
      </w:r>
    </w:p>
    <w:p>
      <w:pPr>
        <w:pStyle w:val="ListParagraph"/>
        <w:numPr>
          <w:ilvl w:val="0"/>
          <w:numId w:val="143"/>
        </w:numPr>
        <w:tabs>
          <w:tab w:pos="510" w:val="left" w:leader="none"/>
        </w:tabs>
        <w:spacing w:line="230" w:lineRule="auto" w:before="54" w:after="0"/>
        <w:ind w:left="509" w:right="309" w:hanging="348"/>
        <w:jc w:val="left"/>
        <w:rPr>
          <w:sz w:val="18"/>
        </w:rPr>
      </w:pPr>
      <w:r>
        <w:rPr>
          <w:color w:val="231F20"/>
          <w:spacing w:val="-6"/>
          <w:sz w:val="18"/>
        </w:rPr>
        <w:t>Photographing </w:t>
      </w:r>
      <w:r>
        <w:rPr>
          <w:color w:val="231F20"/>
          <w:spacing w:val="-4"/>
          <w:sz w:val="18"/>
        </w:rPr>
        <w:t>and </w:t>
      </w:r>
      <w:r>
        <w:rPr>
          <w:color w:val="231F20"/>
          <w:spacing w:val="-6"/>
          <w:sz w:val="18"/>
        </w:rPr>
        <w:t>Filming </w:t>
      </w:r>
      <w:r>
        <w:rPr>
          <w:color w:val="231F20"/>
          <w:spacing w:val="-9"/>
          <w:sz w:val="18"/>
        </w:rPr>
        <w:t>Tenants’ </w:t>
      </w:r>
      <w:r>
        <w:rPr>
          <w:color w:val="231F20"/>
          <w:spacing w:val="-6"/>
          <w:sz w:val="18"/>
        </w:rPr>
        <w:t>Possessions </w:t>
      </w:r>
      <w:r>
        <w:rPr>
          <w:color w:val="231F20"/>
          <w:spacing w:val="-5"/>
          <w:sz w:val="18"/>
        </w:rPr>
        <w:t>for </w:t>
      </w:r>
      <w:r>
        <w:rPr>
          <w:color w:val="231F20"/>
          <w:spacing w:val="-6"/>
          <w:sz w:val="18"/>
        </w:rPr>
        <w:t>Advertising Purposes</w:t>
      </w:r>
      <w:r>
        <w:rPr>
          <w:color w:val="231F20"/>
          <w:spacing w:val="-21"/>
          <w:sz w:val="18"/>
        </w:rPr>
        <w:t> </w:t>
      </w:r>
      <w:r>
        <w:rPr>
          <w:color w:val="231F20"/>
          <w:spacing w:val="-6"/>
          <w:sz w:val="18"/>
        </w:rPr>
        <w:t>(2015)*</w:t>
      </w:r>
    </w:p>
    <w:p>
      <w:pPr>
        <w:pStyle w:val="ListParagraph"/>
        <w:numPr>
          <w:ilvl w:val="0"/>
          <w:numId w:val="143"/>
        </w:numPr>
        <w:tabs>
          <w:tab w:pos="510" w:val="left" w:leader="none"/>
        </w:tabs>
        <w:spacing w:line="240" w:lineRule="auto" w:before="47" w:after="0"/>
        <w:ind w:left="509" w:right="0" w:hanging="378"/>
        <w:jc w:val="left"/>
        <w:rPr>
          <w:sz w:val="18"/>
        </w:rPr>
      </w:pPr>
      <w:r>
        <w:rPr>
          <w:color w:val="231F20"/>
          <w:spacing w:val="-6"/>
          <w:sz w:val="18"/>
        </w:rPr>
        <w:t>Medicinal Cannabis</w:t>
      </w:r>
      <w:r>
        <w:rPr>
          <w:color w:val="231F20"/>
          <w:spacing w:val="-22"/>
          <w:sz w:val="18"/>
        </w:rPr>
        <w:t> </w:t>
      </w:r>
      <w:r>
        <w:rPr>
          <w:color w:val="231F20"/>
          <w:spacing w:val="-6"/>
          <w:sz w:val="18"/>
        </w:rPr>
        <w:t>(2015)</w:t>
      </w:r>
    </w:p>
    <w:p>
      <w:pPr>
        <w:pStyle w:val="ListParagraph"/>
        <w:numPr>
          <w:ilvl w:val="0"/>
          <w:numId w:val="143"/>
        </w:numPr>
        <w:tabs>
          <w:tab w:pos="510" w:val="left" w:leader="none"/>
        </w:tabs>
        <w:spacing w:line="230" w:lineRule="auto" w:before="54" w:after="0"/>
        <w:ind w:left="509" w:right="278" w:hanging="378"/>
        <w:jc w:val="left"/>
        <w:rPr>
          <w:sz w:val="18"/>
        </w:rPr>
      </w:pPr>
      <w:r>
        <w:rPr>
          <w:color w:val="231F20"/>
          <w:spacing w:val="-5"/>
          <w:sz w:val="18"/>
        </w:rPr>
        <w:t>Use</w:t>
      </w:r>
      <w:r>
        <w:rPr>
          <w:color w:val="231F20"/>
          <w:spacing w:val="-12"/>
          <w:sz w:val="18"/>
        </w:rPr>
        <w:t> </w:t>
      </w:r>
      <w:r>
        <w:rPr>
          <w:color w:val="231F20"/>
          <w:spacing w:val="-4"/>
          <w:sz w:val="18"/>
        </w:rPr>
        <w:t>of</w:t>
      </w:r>
      <w:r>
        <w:rPr>
          <w:color w:val="231F20"/>
          <w:spacing w:val="-15"/>
          <w:sz w:val="18"/>
        </w:rPr>
        <w:t> </w:t>
      </w:r>
      <w:r>
        <w:rPr>
          <w:color w:val="231F20"/>
          <w:spacing w:val="-6"/>
          <w:sz w:val="18"/>
        </w:rPr>
        <w:t>Regulatory</w:t>
      </w:r>
      <w:r>
        <w:rPr>
          <w:color w:val="231F20"/>
          <w:spacing w:val="-16"/>
          <w:sz w:val="18"/>
        </w:rPr>
        <w:t> </w:t>
      </w:r>
      <w:r>
        <w:rPr>
          <w:color w:val="231F20"/>
          <w:spacing w:val="-6"/>
          <w:sz w:val="18"/>
        </w:rPr>
        <w:t>Regimes</w:t>
      </w:r>
      <w:r>
        <w:rPr>
          <w:color w:val="231F20"/>
          <w:spacing w:val="-11"/>
          <w:sz w:val="18"/>
        </w:rPr>
        <w:t> </w:t>
      </w:r>
      <w:r>
        <w:rPr>
          <w:color w:val="231F20"/>
          <w:spacing w:val="-3"/>
          <w:sz w:val="18"/>
        </w:rPr>
        <w:t>in</w:t>
      </w:r>
      <w:r>
        <w:rPr>
          <w:color w:val="231F20"/>
          <w:spacing w:val="-11"/>
          <w:sz w:val="18"/>
        </w:rPr>
        <w:t> </w:t>
      </w:r>
      <w:r>
        <w:rPr>
          <w:color w:val="231F20"/>
          <w:spacing w:val="-7"/>
          <w:sz w:val="18"/>
        </w:rPr>
        <w:t>Preventing</w:t>
      </w:r>
      <w:r>
        <w:rPr>
          <w:color w:val="231F20"/>
          <w:spacing w:val="-11"/>
          <w:sz w:val="18"/>
        </w:rPr>
        <w:t> </w:t>
      </w:r>
      <w:r>
        <w:rPr>
          <w:color w:val="231F20"/>
          <w:spacing w:val="-6"/>
          <w:sz w:val="18"/>
        </w:rPr>
        <w:t>the Infiltration </w:t>
      </w:r>
      <w:r>
        <w:rPr>
          <w:color w:val="231F20"/>
          <w:spacing w:val="-4"/>
          <w:sz w:val="18"/>
        </w:rPr>
        <w:t>of </w:t>
      </w:r>
      <w:r>
        <w:rPr>
          <w:color w:val="231F20"/>
          <w:spacing w:val="-6"/>
          <w:sz w:val="18"/>
        </w:rPr>
        <w:t>Organised </w:t>
      </w:r>
      <w:r>
        <w:rPr>
          <w:color w:val="231F20"/>
          <w:spacing w:val="-5"/>
          <w:sz w:val="18"/>
        </w:rPr>
        <w:t>Crime into </w:t>
      </w:r>
      <w:r>
        <w:rPr>
          <w:color w:val="231F20"/>
          <w:spacing w:val="-7"/>
          <w:sz w:val="18"/>
        </w:rPr>
        <w:t>Lawful </w:t>
      </w:r>
      <w:r>
        <w:rPr>
          <w:color w:val="231F20"/>
          <w:spacing w:val="-6"/>
          <w:sz w:val="18"/>
        </w:rPr>
        <w:t>Occupations </w:t>
      </w:r>
      <w:r>
        <w:rPr>
          <w:color w:val="231F20"/>
          <w:spacing w:val="-4"/>
          <w:sz w:val="18"/>
        </w:rPr>
        <w:t>and </w:t>
      </w:r>
      <w:r>
        <w:rPr>
          <w:color w:val="231F20"/>
          <w:spacing w:val="-6"/>
          <w:sz w:val="18"/>
        </w:rPr>
        <w:t>Industries</w:t>
      </w:r>
      <w:r>
        <w:rPr>
          <w:color w:val="231F20"/>
          <w:spacing w:val="-21"/>
          <w:sz w:val="18"/>
        </w:rPr>
        <w:t> </w:t>
      </w:r>
      <w:r>
        <w:rPr>
          <w:color w:val="231F20"/>
          <w:spacing w:val="-6"/>
          <w:sz w:val="18"/>
        </w:rPr>
        <w:t>(2016)</w:t>
      </w:r>
    </w:p>
    <w:p>
      <w:pPr>
        <w:pStyle w:val="ListParagraph"/>
        <w:numPr>
          <w:ilvl w:val="0"/>
          <w:numId w:val="143"/>
        </w:numPr>
        <w:tabs>
          <w:tab w:pos="510" w:val="left" w:leader="none"/>
        </w:tabs>
        <w:spacing w:line="230" w:lineRule="auto" w:before="55" w:after="0"/>
        <w:ind w:left="509" w:right="403" w:hanging="376"/>
        <w:jc w:val="left"/>
        <w:rPr>
          <w:sz w:val="18"/>
        </w:rPr>
      </w:pPr>
      <w:r>
        <w:rPr>
          <w:color w:val="231F20"/>
          <w:spacing w:val="-4"/>
          <w:sz w:val="18"/>
        </w:rPr>
        <w:t>The</w:t>
      </w:r>
      <w:r>
        <w:rPr>
          <w:color w:val="231F20"/>
          <w:spacing w:val="-11"/>
          <w:sz w:val="18"/>
        </w:rPr>
        <w:t> </w:t>
      </w:r>
      <w:r>
        <w:rPr>
          <w:color w:val="231F20"/>
          <w:spacing w:val="-6"/>
          <w:sz w:val="18"/>
        </w:rPr>
        <w:t>Role</w:t>
      </w:r>
      <w:r>
        <w:rPr>
          <w:color w:val="231F20"/>
          <w:spacing w:val="-12"/>
          <w:sz w:val="18"/>
        </w:rPr>
        <w:t> </w:t>
      </w:r>
      <w:r>
        <w:rPr>
          <w:color w:val="231F20"/>
          <w:spacing w:val="-4"/>
          <w:sz w:val="18"/>
        </w:rPr>
        <w:t>of</w:t>
      </w:r>
      <w:r>
        <w:rPr>
          <w:color w:val="231F20"/>
          <w:spacing w:val="-21"/>
          <w:sz w:val="18"/>
        </w:rPr>
        <w:t> </w:t>
      </w:r>
      <w:r>
        <w:rPr>
          <w:color w:val="231F20"/>
          <w:spacing w:val="-6"/>
          <w:sz w:val="18"/>
        </w:rPr>
        <w:t>Victims</w:t>
      </w:r>
      <w:r>
        <w:rPr>
          <w:color w:val="231F20"/>
          <w:spacing w:val="-11"/>
          <w:sz w:val="18"/>
        </w:rPr>
        <w:t> </w:t>
      </w:r>
      <w:r>
        <w:rPr>
          <w:color w:val="231F20"/>
          <w:spacing w:val="-4"/>
          <w:sz w:val="18"/>
        </w:rPr>
        <w:t>of</w:t>
      </w:r>
      <w:r>
        <w:rPr>
          <w:color w:val="231F20"/>
          <w:spacing w:val="-15"/>
          <w:sz w:val="18"/>
        </w:rPr>
        <w:t> </w:t>
      </w:r>
      <w:r>
        <w:rPr>
          <w:color w:val="231F20"/>
          <w:spacing w:val="-5"/>
          <w:sz w:val="18"/>
        </w:rPr>
        <w:t>Crime</w:t>
      </w:r>
      <w:r>
        <w:rPr>
          <w:color w:val="231F20"/>
          <w:spacing w:val="-11"/>
          <w:sz w:val="18"/>
        </w:rPr>
        <w:t> </w:t>
      </w:r>
      <w:r>
        <w:rPr>
          <w:color w:val="231F20"/>
          <w:spacing w:val="-3"/>
          <w:sz w:val="18"/>
        </w:rPr>
        <w:t>in</w:t>
      </w:r>
      <w:r>
        <w:rPr>
          <w:color w:val="231F20"/>
          <w:spacing w:val="-11"/>
          <w:sz w:val="18"/>
        </w:rPr>
        <w:t> </w:t>
      </w:r>
      <w:r>
        <w:rPr>
          <w:color w:val="231F20"/>
          <w:spacing w:val="-4"/>
          <w:sz w:val="18"/>
        </w:rPr>
        <w:t>the</w:t>
      </w:r>
      <w:r>
        <w:rPr>
          <w:color w:val="231F20"/>
          <w:spacing w:val="-11"/>
          <w:sz w:val="18"/>
        </w:rPr>
        <w:t> </w:t>
      </w:r>
      <w:r>
        <w:rPr>
          <w:color w:val="231F20"/>
          <w:spacing w:val="-6"/>
          <w:sz w:val="18"/>
        </w:rPr>
        <w:t>Criminal </w:t>
      </w:r>
      <w:r>
        <w:rPr>
          <w:color w:val="231F20"/>
          <w:spacing w:val="-8"/>
          <w:sz w:val="18"/>
        </w:rPr>
        <w:t>Trial </w:t>
      </w:r>
      <w:r>
        <w:rPr>
          <w:color w:val="231F20"/>
          <w:spacing w:val="-6"/>
          <w:sz w:val="18"/>
        </w:rPr>
        <w:t>Process</w:t>
      </w:r>
      <w:r>
        <w:rPr>
          <w:color w:val="231F20"/>
          <w:spacing w:val="-20"/>
          <w:sz w:val="18"/>
        </w:rPr>
        <w:t> </w:t>
      </w:r>
      <w:r>
        <w:rPr>
          <w:color w:val="231F20"/>
          <w:spacing w:val="-6"/>
          <w:sz w:val="18"/>
        </w:rPr>
        <w:t>(2016)</w:t>
      </w:r>
    </w:p>
    <w:p>
      <w:pPr>
        <w:pStyle w:val="ListParagraph"/>
        <w:numPr>
          <w:ilvl w:val="0"/>
          <w:numId w:val="143"/>
        </w:numPr>
        <w:tabs>
          <w:tab w:pos="510" w:val="left" w:leader="none"/>
        </w:tabs>
        <w:spacing w:line="240" w:lineRule="auto" w:before="47" w:after="0"/>
        <w:ind w:left="509" w:right="0" w:hanging="373"/>
        <w:jc w:val="left"/>
        <w:rPr>
          <w:sz w:val="18"/>
        </w:rPr>
      </w:pPr>
      <w:r>
        <w:rPr>
          <w:color w:val="231F20"/>
          <w:spacing w:val="-6"/>
          <w:sz w:val="18"/>
        </w:rPr>
        <w:t>Funeral</w:t>
      </w:r>
      <w:r>
        <w:rPr>
          <w:color w:val="231F20"/>
          <w:spacing w:val="-17"/>
          <w:sz w:val="18"/>
        </w:rPr>
        <w:t> </w:t>
      </w:r>
      <w:r>
        <w:rPr>
          <w:color w:val="231F20"/>
          <w:spacing w:val="-4"/>
          <w:sz w:val="18"/>
        </w:rPr>
        <w:t>and</w:t>
      </w:r>
      <w:r>
        <w:rPr>
          <w:color w:val="231F20"/>
          <w:spacing w:val="-10"/>
          <w:sz w:val="18"/>
        </w:rPr>
        <w:t> </w:t>
      </w:r>
      <w:r>
        <w:rPr>
          <w:color w:val="231F20"/>
          <w:spacing w:val="-5"/>
          <w:sz w:val="18"/>
        </w:rPr>
        <w:t>Burial</w:t>
      </w:r>
      <w:r>
        <w:rPr>
          <w:color w:val="231F20"/>
          <w:spacing w:val="-17"/>
          <w:sz w:val="18"/>
        </w:rPr>
        <w:t> </w:t>
      </w:r>
      <w:r>
        <w:rPr>
          <w:color w:val="231F20"/>
          <w:spacing w:val="-6"/>
          <w:sz w:val="18"/>
        </w:rPr>
        <w:t>Instructions</w:t>
      </w:r>
      <w:r>
        <w:rPr>
          <w:color w:val="231F20"/>
          <w:spacing w:val="-10"/>
          <w:sz w:val="18"/>
        </w:rPr>
        <w:t> </w:t>
      </w:r>
      <w:r>
        <w:rPr>
          <w:color w:val="231F20"/>
          <w:spacing w:val="-6"/>
          <w:sz w:val="18"/>
        </w:rPr>
        <w:t>(2016)*</w:t>
      </w:r>
    </w:p>
    <w:p>
      <w:pPr>
        <w:pStyle w:val="ListParagraph"/>
        <w:numPr>
          <w:ilvl w:val="0"/>
          <w:numId w:val="143"/>
        </w:numPr>
        <w:tabs>
          <w:tab w:pos="510" w:val="left" w:leader="none"/>
        </w:tabs>
        <w:spacing w:line="240" w:lineRule="auto" w:before="46" w:after="0"/>
        <w:ind w:left="509" w:right="0" w:hanging="382"/>
        <w:jc w:val="left"/>
        <w:rPr>
          <w:sz w:val="18"/>
        </w:rPr>
      </w:pPr>
      <w:r>
        <w:rPr>
          <w:color w:val="231F20"/>
          <w:spacing w:val="-7"/>
          <w:sz w:val="18"/>
        </w:rPr>
        <w:t>Review</w:t>
      </w:r>
      <w:r>
        <w:rPr>
          <w:color w:val="231F20"/>
          <w:spacing w:val="-16"/>
          <w:sz w:val="18"/>
        </w:rPr>
        <w:t> </w:t>
      </w:r>
      <w:r>
        <w:rPr>
          <w:color w:val="231F20"/>
          <w:spacing w:val="-4"/>
          <w:sz w:val="18"/>
        </w:rPr>
        <w:t>of</w:t>
      </w:r>
      <w:r>
        <w:rPr>
          <w:color w:val="231F20"/>
          <w:spacing w:val="-14"/>
          <w:sz w:val="18"/>
        </w:rPr>
        <w:t> </w:t>
      </w:r>
      <w:r>
        <w:rPr>
          <w:color w:val="231F20"/>
          <w:spacing w:val="-4"/>
          <w:sz w:val="18"/>
        </w:rPr>
        <w:t>the</w:t>
      </w:r>
      <w:r>
        <w:rPr>
          <w:color w:val="231F20"/>
          <w:spacing w:val="-16"/>
          <w:sz w:val="18"/>
        </w:rPr>
        <w:t> </w:t>
      </w:r>
      <w:r>
        <w:rPr>
          <w:color w:val="231F20"/>
          <w:spacing w:val="-6"/>
          <w:sz w:val="18"/>
        </w:rPr>
        <w:t>Adoption</w:t>
      </w:r>
      <w:r>
        <w:rPr>
          <w:color w:val="231F20"/>
          <w:spacing w:val="-16"/>
          <w:sz w:val="18"/>
        </w:rPr>
        <w:t> </w:t>
      </w:r>
      <w:r>
        <w:rPr>
          <w:color w:val="231F20"/>
          <w:spacing w:val="-5"/>
          <w:sz w:val="18"/>
        </w:rPr>
        <w:t>Act</w:t>
      </w:r>
      <w:r>
        <w:rPr>
          <w:color w:val="231F20"/>
          <w:spacing w:val="-11"/>
          <w:sz w:val="18"/>
        </w:rPr>
        <w:t> </w:t>
      </w:r>
      <w:r>
        <w:rPr>
          <w:color w:val="231F20"/>
          <w:spacing w:val="-5"/>
          <w:sz w:val="18"/>
        </w:rPr>
        <w:t>1984</w:t>
      </w:r>
      <w:r>
        <w:rPr>
          <w:color w:val="231F20"/>
          <w:spacing w:val="-10"/>
          <w:sz w:val="18"/>
        </w:rPr>
        <w:t> </w:t>
      </w:r>
      <w:r>
        <w:rPr>
          <w:color w:val="231F20"/>
          <w:spacing w:val="-5"/>
          <w:sz w:val="18"/>
        </w:rPr>
        <w:t>(2017)</w:t>
      </w:r>
    </w:p>
    <w:p>
      <w:pPr>
        <w:pStyle w:val="ListParagraph"/>
        <w:numPr>
          <w:ilvl w:val="0"/>
          <w:numId w:val="143"/>
        </w:numPr>
        <w:tabs>
          <w:tab w:pos="510" w:val="left" w:leader="none"/>
        </w:tabs>
        <w:spacing w:line="230" w:lineRule="auto" w:before="54" w:after="0"/>
        <w:ind w:left="509" w:right="863" w:hanging="367"/>
        <w:jc w:val="left"/>
        <w:rPr>
          <w:sz w:val="18"/>
        </w:rPr>
      </w:pPr>
      <w:r>
        <w:rPr>
          <w:color w:val="231F20"/>
          <w:spacing w:val="-6"/>
          <w:sz w:val="18"/>
        </w:rPr>
        <w:t>Access </w:t>
      </w:r>
      <w:r>
        <w:rPr>
          <w:color w:val="231F20"/>
          <w:spacing w:val="-4"/>
          <w:sz w:val="18"/>
        </w:rPr>
        <w:t>to </w:t>
      </w:r>
      <w:r>
        <w:rPr>
          <w:color w:val="231F20"/>
          <w:spacing w:val="-6"/>
          <w:sz w:val="18"/>
        </w:rPr>
        <w:t>Justice—Litigation</w:t>
      </w:r>
      <w:r>
        <w:rPr>
          <w:color w:val="231F20"/>
          <w:spacing w:val="-33"/>
          <w:sz w:val="18"/>
        </w:rPr>
        <w:t> </w:t>
      </w:r>
      <w:r>
        <w:rPr>
          <w:color w:val="231F20"/>
          <w:spacing w:val="-7"/>
          <w:sz w:val="18"/>
        </w:rPr>
        <w:t>Funding </w:t>
      </w:r>
      <w:r>
        <w:rPr>
          <w:color w:val="231F20"/>
          <w:spacing w:val="-4"/>
          <w:sz w:val="18"/>
        </w:rPr>
        <w:t>and </w:t>
      </w:r>
      <w:r>
        <w:rPr>
          <w:color w:val="231F20"/>
          <w:spacing w:val="-6"/>
          <w:sz w:val="18"/>
        </w:rPr>
        <w:t>Group Proceedings</w:t>
      </w:r>
      <w:r>
        <w:rPr>
          <w:color w:val="231F20"/>
          <w:spacing w:val="-21"/>
          <w:sz w:val="18"/>
        </w:rPr>
        <w:t> </w:t>
      </w:r>
      <w:r>
        <w:rPr>
          <w:color w:val="231F20"/>
          <w:spacing w:val="-6"/>
          <w:sz w:val="18"/>
        </w:rPr>
        <w:t>(2018)</w:t>
      </w:r>
    </w:p>
    <w:p>
      <w:pPr>
        <w:pStyle w:val="ListParagraph"/>
        <w:numPr>
          <w:ilvl w:val="0"/>
          <w:numId w:val="143"/>
        </w:numPr>
        <w:tabs>
          <w:tab w:pos="510" w:val="left" w:leader="none"/>
        </w:tabs>
        <w:spacing w:line="230" w:lineRule="auto" w:before="55" w:after="0"/>
        <w:ind w:left="509" w:right="517" w:hanging="380"/>
        <w:jc w:val="left"/>
        <w:rPr>
          <w:sz w:val="18"/>
        </w:rPr>
      </w:pPr>
      <w:r>
        <w:rPr>
          <w:color w:val="231F20"/>
          <w:spacing w:val="-7"/>
          <w:sz w:val="18"/>
        </w:rPr>
        <w:t>Review</w:t>
      </w:r>
      <w:r>
        <w:rPr>
          <w:color w:val="231F20"/>
          <w:spacing w:val="-16"/>
          <w:sz w:val="18"/>
        </w:rPr>
        <w:t> </w:t>
      </w:r>
      <w:r>
        <w:rPr>
          <w:color w:val="231F20"/>
          <w:spacing w:val="-4"/>
          <w:sz w:val="18"/>
        </w:rPr>
        <w:t>of</w:t>
      </w:r>
      <w:r>
        <w:rPr>
          <w:color w:val="231F20"/>
          <w:spacing w:val="-14"/>
          <w:sz w:val="18"/>
        </w:rPr>
        <w:t> </w:t>
      </w:r>
      <w:r>
        <w:rPr>
          <w:color w:val="231F20"/>
          <w:spacing w:val="-4"/>
          <w:sz w:val="18"/>
        </w:rPr>
        <w:t>the</w:t>
      </w:r>
      <w:r>
        <w:rPr>
          <w:color w:val="231F20"/>
          <w:spacing w:val="-17"/>
          <w:sz w:val="18"/>
        </w:rPr>
        <w:t> </w:t>
      </w:r>
      <w:r>
        <w:rPr>
          <w:color w:val="231F20"/>
          <w:spacing w:val="-6"/>
          <w:sz w:val="18"/>
        </w:rPr>
        <w:t>Victims</w:t>
      </w:r>
      <w:r>
        <w:rPr>
          <w:color w:val="231F20"/>
          <w:spacing w:val="-10"/>
          <w:sz w:val="18"/>
        </w:rPr>
        <w:t> </w:t>
      </w:r>
      <w:r>
        <w:rPr>
          <w:color w:val="231F20"/>
          <w:spacing w:val="-4"/>
          <w:sz w:val="18"/>
        </w:rPr>
        <w:t>of</w:t>
      </w:r>
      <w:r>
        <w:rPr>
          <w:color w:val="231F20"/>
          <w:spacing w:val="-14"/>
          <w:sz w:val="18"/>
        </w:rPr>
        <w:t> </w:t>
      </w:r>
      <w:r>
        <w:rPr>
          <w:color w:val="231F20"/>
          <w:spacing w:val="-5"/>
          <w:sz w:val="18"/>
        </w:rPr>
        <w:t>Crime</w:t>
      </w:r>
      <w:r>
        <w:rPr>
          <w:color w:val="231F20"/>
          <w:spacing w:val="-16"/>
          <w:sz w:val="18"/>
        </w:rPr>
        <w:t> </w:t>
      </w:r>
      <w:r>
        <w:rPr>
          <w:color w:val="231F20"/>
          <w:spacing w:val="-6"/>
          <w:sz w:val="18"/>
        </w:rPr>
        <w:t>Assistance </w:t>
      </w:r>
      <w:r>
        <w:rPr>
          <w:color w:val="231F20"/>
          <w:spacing w:val="-5"/>
          <w:sz w:val="18"/>
        </w:rPr>
        <w:t>Act 1996</w:t>
      </w:r>
      <w:r>
        <w:rPr>
          <w:color w:val="231F20"/>
          <w:spacing w:val="-17"/>
          <w:sz w:val="18"/>
        </w:rPr>
        <w:t> </w:t>
      </w:r>
      <w:r>
        <w:rPr>
          <w:color w:val="231F20"/>
          <w:spacing w:val="-6"/>
          <w:sz w:val="18"/>
        </w:rPr>
        <w:t>(2018)</w:t>
      </w:r>
    </w:p>
    <w:p>
      <w:pPr>
        <w:pStyle w:val="ListParagraph"/>
        <w:numPr>
          <w:ilvl w:val="0"/>
          <w:numId w:val="143"/>
        </w:numPr>
        <w:tabs>
          <w:tab w:pos="510" w:val="left" w:leader="none"/>
        </w:tabs>
        <w:spacing w:line="240" w:lineRule="auto" w:before="47" w:after="0"/>
        <w:ind w:left="509" w:right="0" w:hanging="382"/>
        <w:jc w:val="left"/>
        <w:rPr>
          <w:sz w:val="18"/>
        </w:rPr>
      </w:pPr>
      <w:r>
        <w:rPr>
          <w:color w:val="231F20"/>
          <w:spacing w:val="-6"/>
          <w:sz w:val="18"/>
        </w:rPr>
        <w:t>Neighbourhood </w:t>
      </w:r>
      <w:r>
        <w:rPr>
          <w:color w:val="231F20"/>
          <w:spacing w:val="-10"/>
          <w:sz w:val="18"/>
        </w:rPr>
        <w:t>Tree </w:t>
      </w:r>
      <w:r>
        <w:rPr>
          <w:color w:val="231F20"/>
          <w:spacing w:val="-6"/>
          <w:sz w:val="18"/>
        </w:rPr>
        <w:t>Disputes</w:t>
      </w:r>
      <w:r>
        <w:rPr>
          <w:color w:val="231F20"/>
          <w:spacing w:val="-20"/>
          <w:sz w:val="18"/>
        </w:rPr>
        <w:t> </w:t>
      </w:r>
      <w:r>
        <w:rPr>
          <w:color w:val="231F20"/>
          <w:spacing w:val="-7"/>
          <w:sz w:val="18"/>
        </w:rPr>
        <w:t>(2019)*</w:t>
      </w:r>
    </w:p>
    <w:p>
      <w:pPr>
        <w:pStyle w:val="ListParagraph"/>
        <w:numPr>
          <w:ilvl w:val="0"/>
          <w:numId w:val="143"/>
        </w:numPr>
        <w:tabs>
          <w:tab w:pos="510" w:val="left" w:leader="none"/>
        </w:tabs>
        <w:spacing w:line="240" w:lineRule="auto" w:before="46" w:after="0"/>
        <w:ind w:left="509" w:right="0" w:hanging="394"/>
        <w:jc w:val="left"/>
        <w:rPr>
          <w:sz w:val="18"/>
        </w:rPr>
      </w:pPr>
      <w:r>
        <w:rPr>
          <w:color w:val="231F20"/>
          <w:spacing w:val="-6"/>
          <w:sz w:val="18"/>
        </w:rPr>
        <w:t>Contempt </w:t>
      </w:r>
      <w:r>
        <w:rPr>
          <w:color w:val="231F20"/>
          <w:spacing w:val="-4"/>
          <w:sz w:val="18"/>
        </w:rPr>
        <w:t>of </w:t>
      </w:r>
      <w:r>
        <w:rPr>
          <w:color w:val="231F20"/>
          <w:spacing w:val="-5"/>
          <w:sz w:val="18"/>
        </w:rPr>
        <w:t>Court</w:t>
      </w:r>
      <w:r>
        <w:rPr>
          <w:color w:val="231F20"/>
          <w:spacing w:val="-25"/>
          <w:sz w:val="18"/>
        </w:rPr>
        <w:t> </w:t>
      </w:r>
      <w:r>
        <w:rPr>
          <w:color w:val="231F20"/>
          <w:spacing w:val="-6"/>
          <w:sz w:val="18"/>
        </w:rPr>
        <w:t>(2020)</w:t>
      </w:r>
    </w:p>
    <w:p>
      <w:pPr>
        <w:pStyle w:val="ListParagraph"/>
        <w:numPr>
          <w:ilvl w:val="0"/>
          <w:numId w:val="143"/>
        </w:numPr>
        <w:tabs>
          <w:tab w:pos="510" w:val="left" w:leader="none"/>
        </w:tabs>
        <w:spacing w:line="240" w:lineRule="auto" w:before="46" w:after="0"/>
        <w:ind w:left="509" w:right="0" w:hanging="346"/>
        <w:jc w:val="left"/>
        <w:rPr>
          <w:sz w:val="18"/>
        </w:rPr>
      </w:pPr>
      <w:r>
        <w:rPr>
          <w:color w:val="231F20"/>
          <w:spacing w:val="-6"/>
          <w:w w:val="105"/>
          <w:sz w:val="18"/>
        </w:rPr>
        <w:t>Committals</w:t>
      </w:r>
      <w:r>
        <w:rPr>
          <w:color w:val="231F20"/>
          <w:spacing w:val="-14"/>
          <w:w w:val="105"/>
          <w:sz w:val="18"/>
        </w:rPr>
        <w:t> </w:t>
      </w:r>
      <w:r>
        <w:rPr>
          <w:color w:val="231F20"/>
          <w:spacing w:val="-6"/>
          <w:w w:val="105"/>
          <w:sz w:val="18"/>
        </w:rPr>
        <w:t>(2020)</w:t>
      </w:r>
    </w:p>
    <w:p>
      <w:pPr>
        <w:pStyle w:val="ListParagraph"/>
        <w:numPr>
          <w:ilvl w:val="0"/>
          <w:numId w:val="143"/>
        </w:numPr>
        <w:tabs>
          <w:tab w:pos="510" w:val="left" w:leader="none"/>
        </w:tabs>
        <w:spacing w:line="230" w:lineRule="auto" w:before="54" w:after="0"/>
        <w:ind w:left="509" w:right="640" w:hanging="375"/>
        <w:jc w:val="left"/>
        <w:rPr>
          <w:sz w:val="18"/>
        </w:rPr>
      </w:pPr>
      <w:r>
        <w:rPr>
          <w:color w:val="231F20"/>
          <w:spacing w:val="-6"/>
          <w:sz w:val="18"/>
        </w:rPr>
        <w:t>Improving </w:t>
      </w:r>
      <w:r>
        <w:rPr>
          <w:color w:val="231F20"/>
          <w:spacing w:val="-4"/>
          <w:sz w:val="18"/>
        </w:rPr>
        <w:t>the </w:t>
      </w:r>
      <w:r>
        <w:rPr>
          <w:color w:val="231F20"/>
          <w:spacing w:val="-6"/>
          <w:sz w:val="18"/>
        </w:rPr>
        <w:t>Justice System</w:t>
      </w:r>
      <w:r>
        <w:rPr>
          <w:color w:val="231F20"/>
          <w:spacing w:val="-36"/>
          <w:sz w:val="18"/>
        </w:rPr>
        <w:t> </w:t>
      </w:r>
      <w:r>
        <w:rPr>
          <w:color w:val="231F20"/>
          <w:spacing w:val="-7"/>
          <w:sz w:val="18"/>
        </w:rPr>
        <w:t>Response </w:t>
      </w:r>
      <w:r>
        <w:rPr>
          <w:color w:val="231F20"/>
          <w:spacing w:val="-4"/>
          <w:sz w:val="18"/>
        </w:rPr>
        <w:t>to </w:t>
      </w:r>
      <w:r>
        <w:rPr>
          <w:color w:val="231F20"/>
          <w:spacing w:val="-6"/>
          <w:sz w:val="18"/>
        </w:rPr>
        <w:t>Sexual </w:t>
      </w:r>
      <w:r>
        <w:rPr>
          <w:color w:val="231F20"/>
          <w:spacing w:val="-5"/>
          <w:sz w:val="18"/>
        </w:rPr>
        <w:t>Offences</w:t>
      </w:r>
      <w:r>
        <w:rPr>
          <w:color w:val="231F20"/>
          <w:spacing w:val="-28"/>
          <w:sz w:val="18"/>
        </w:rPr>
        <w:t> </w:t>
      </w:r>
      <w:r>
        <w:rPr>
          <w:color w:val="231F20"/>
          <w:spacing w:val="-6"/>
          <w:sz w:val="18"/>
        </w:rPr>
        <w:t>(2021)</w:t>
      </w:r>
    </w:p>
    <w:p>
      <w:pPr>
        <w:pStyle w:val="ListParagraph"/>
        <w:numPr>
          <w:ilvl w:val="0"/>
          <w:numId w:val="143"/>
        </w:numPr>
        <w:tabs>
          <w:tab w:pos="510" w:val="left" w:leader="none"/>
        </w:tabs>
        <w:spacing w:line="230" w:lineRule="auto" w:before="55" w:after="0"/>
        <w:ind w:left="509" w:right="660" w:hanging="400"/>
        <w:jc w:val="left"/>
        <w:rPr>
          <w:sz w:val="18"/>
        </w:rPr>
      </w:pPr>
      <w:r>
        <w:rPr>
          <w:color w:val="231F20"/>
          <w:spacing w:val="-4"/>
          <w:sz w:val="18"/>
        </w:rPr>
        <w:t>The</w:t>
      </w:r>
      <w:r>
        <w:rPr>
          <w:color w:val="231F20"/>
          <w:spacing w:val="-17"/>
          <w:sz w:val="18"/>
        </w:rPr>
        <w:t> </w:t>
      </w:r>
      <w:r>
        <w:rPr>
          <w:color w:val="231F20"/>
          <w:spacing w:val="-6"/>
          <w:sz w:val="18"/>
        </w:rPr>
        <w:t>Justice</w:t>
      </w:r>
      <w:r>
        <w:rPr>
          <w:color w:val="231F20"/>
          <w:spacing w:val="-11"/>
          <w:sz w:val="18"/>
        </w:rPr>
        <w:t> </w:t>
      </w:r>
      <w:r>
        <w:rPr>
          <w:color w:val="231F20"/>
          <w:spacing w:val="-6"/>
          <w:sz w:val="18"/>
        </w:rPr>
        <w:t>System</w:t>
      </w:r>
      <w:r>
        <w:rPr>
          <w:color w:val="231F20"/>
          <w:spacing w:val="-11"/>
          <w:sz w:val="18"/>
        </w:rPr>
        <w:t> </w:t>
      </w:r>
      <w:r>
        <w:rPr>
          <w:color w:val="231F20"/>
          <w:spacing w:val="-6"/>
          <w:sz w:val="18"/>
        </w:rPr>
        <w:t>Response</w:t>
      </w:r>
      <w:r>
        <w:rPr>
          <w:color w:val="231F20"/>
          <w:spacing w:val="-11"/>
          <w:sz w:val="18"/>
        </w:rPr>
        <w:t> </w:t>
      </w:r>
      <w:r>
        <w:rPr>
          <w:color w:val="231F20"/>
          <w:spacing w:val="-4"/>
          <w:sz w:val="18"/>
        </w:rPr>
        <w:t>to</w:t>
      </w:r>
      <w:r>
        <w:rPr>
          <w:color w:val="231F20"/>
          <w:spacing w:val="-11"/>
          <w:sz w:val="18"/>
        </w:rPr>
        <w:t> </w:t>
      </w:r>
      <w:r>
        <w:rPr>
          <w:color w:val="231F20"/>
          <w:spacing w:val="-7"/>
          <w:sz w:val="18"/>
        </w:rPr>
        <w:t>Sexual </w:t>
      </w:r>
      <w:r>
        <w:rPr>
          <w:color w:val="231F20"/>
          <w:spacing w:val="-6"/>
          <w:sz w:val="18"/>
        </w:rPr>
        <w:t>Offences: Supplementary Report on </w:t>
      </w:r>
      <w:r>
        <w:rPr>
          <w:color w:val="231F20"/>
          <w:spacing w:val="-5"/>
          <w:sz w:val="18"/>
        </w:rPr>
        <w:t>‘Grab </w:t>
      </w:r>
      <w:r>
        <w:rPr>
          <w:color w:val="231F20"/>
          <w:spacing w:val="-4"/>
          <w:sz w:val="18"/>
        </w:rPr>
        <w:t>and </w:t>
      </w:r>
      <w:r>
        <w:rPr>
          <w:color w:val="231F20"/>
          <w:spacing w:val="-7"/>
          <w:sz w:val="18"/>
        </w:rPr>
        <w:t>Drag’ </w:t>
      </w:r>
      <w:r>
        <w:rPr>
          <w:color w:val="231F20"/>
          <w:spacing w:val="-6"/>
          <w:sz w:val="18"/>
        </w:rPr>
        <w:t>Conduct</w:t>
      </w:r>
      <w:r>
        <w:rPr>
          <w:color w:val="231F20"/>
          <w:spacing w:val="-27"/>
          <w:sz w:val="18"/>
        </w:rPr>
        <w:t> </w:t>
      </w:r>
      <w:r>
        <w:rPr>
          <w:color w:val="231F20"/>
          <w:spacing w:val="-6"/>
          <w:sz w:val="18"/>
        </w:rPr>
        <w:t>(2021)</w:t>
      </w:r>
    </w:p>
    <w:p>
      <w:pPr>
        <w:pStyle w:val="ListParagraph"/>
        <w:numPr>
          <w:ilvl w:val="0"/>
          <w:numId w:val="143"/>
        </w:numPr>
        <w:tabs>
          <w:tab w:pos="509" w:val="left" w:leader="none"/>
          <w:tab w:pos="510" w:val="left" w:leader="none"/>
        </w:tabs>
        <w:spacing w:line="240" w:lineRule="auto" w:before="47" w:after="0"/>
        <w:ind w:left="509" w:right="0" w:hanging="400"/>
        <w:jc w:val="left"/>
        <w:rPr>
          <w:sz w:val="18"/>
        </w:rPr>
      </w:pPr>
      <w:r>
        <w:rPr>
          <w:color w:val="231F20"/>
          <w:spacing w:val="-6"/>
          <w:sz w:val="18"/>
        </w:rPr>
        <w:t>Stalking: Interim Report</w:t>
      </w:r>
      <w:r>
        <w:rPr>
          <w:color w:val="231F20"/>
          <w:spacing w:val="-19"/>
          <w:sz w:val="18"/>
        </w:rPr>
        <w:t> </w:t>
      </w:r>
      <w:r>
        <w:rPr>
          <w:color w:val="231F20"/>
          <w:spacing w:val="-6"/>
          <w:sz w:val="18"/>
        </w:rPr>
        <w:t>(2021)</w:t>
      </w:r>
    </w:p>
    <w:p>
      <w:pPr>
        <w:pStyle w:val="ListParagraph"/>
        <w:numPr>
          <w:ilvl w:val="0"/>
          <w:numId w:val="143"/>
        </w:numPr>
        <w:tabs>
          <w:tab w:pos="509" w:val="left" w:leader="none"/>
          <w:tab w:pos="510" w:val="left" w:leader="none"/>
        </w:tabs>
        <w:spacing w:line="240" w:lineRule="auto" w:before="46" w:after="0"/>
        <w:ind w:left="509" w:right="0" w:hanging="400"/>
        <w:jc w:val="left"/>
        <w:rPr>
          <w:sz w:val="18"/>
        </w:rPr>
      </w:pPr>
      <w:r>
        <w:rPr>
          <w:color w:val="231F20"/>
          <w:spacing w:val="-6"/>
          <w:sz w:val="18"/>
        </w:rPr>
        <w:t>Stalking: </w:t>
      </w:r>
      <w:r>
        <w:rPr>
          <w:color w:val="231F20"/>
          <w:spacing w:val="-5"/>
          <w:sz w:val="18"/>
        </w:rPr>
        <w:t>Final </w:t>
      </w:r>
      <w:r>
        <w:rPr>
          <w:color w:val="231F20"/>
          <w:spacing w:val="-6"/>
          <w:sz w:val="18"/>
        </w:rPr>
        <w:t>Report</w:t>
      </w:r>
      <w:r>
        <w:rPr>
          <w:color w:val="231F20"/>
          <w:spacing w:val="-26"/>
          <w:sz w:val="18"/>
        </w:rPr>
        <w:t> </w:t>
      </w:r>
      <w:r>
        <w:rPr>
          <w:color w:val="231F20"/>
          <w:spacing w:val="-6"/>
          <w:sz w:val="18"/>
        </w:rPr>
        <w:t>(2022)</w:t>
      </w:r>
    </w:p>
    <w:p>
      <w:pPr>
        <w:pStyle w:val="ListParagraph"/>
        <w:numPr>
          <w:ilvl w:val="0"/>
          <w:numId w:val="143"/>
        </w:numPr>
        <w:tabs>
          <w:tab w:pos="510" w:val="left" w:leader="none"/>
        </w:tabs>
        <w:spacing w:line="230" w:lineRule="auto" w:before="54" w:after="0"/>
        <w:ind w:left="509" w:right="98" w:hanging="400"/>
        <w:jc w:val="left"/>
        <w:rPr>
          <w:sz w:val="18"/>
        </w:rPr>
      </w:pPr>
      <w:r>
        <w:rPr>
          <w:color w:val="231F20"/>
          <w:spacing w:val="-6"/>
          <w:sz w:val="18"/>
        </w:rPr>
        <w:t>Inclusive </w:t>
      </w:r>
      <w:r>
        <w:rPr>
          <w:color w:val="231F20"/>
          <w:spacing w:val="-4"/>
          <w:sz w:val="18"/>
        </w:rPr>
        <w:t>Juries— </w:t>
      </w:r>
      <w:r>
        <w:rPr>
          <w:color w:val="231F20"/>
          <w:spacing w:val="-6"/>
          <w:sz w:val="18"/>
        </w:rPr>
        <w:t>Access </w:t>
      </w:r>
      <w:r>
        <w:rPr>
          <w:color w:val="231F20"/>
          <w:spacing w:val="-5"/>
          <w:sz w:val="18"/>
        </w:rPr>
        <w:t>for </w:t>
      </w:r>
      <w:r>
        <w:rPr>
          <w:color w:val="231F20"/>
          <w:spacing w:val="-6"/>
          <w:sz w:val="18"/>
        </w:rPr>
        <w:t>People </w:t>
      </w:r>
      <w:r>
        <w:rPr>
          <w:color w:val="231F20"/>
          <w:spacing w:val="-4"/>
          <w:sz w:val="18"/>
        </w:rPr>
        <w:t>Who </w:t>
      </w:r>
      <w:r>
        <w:rPr>
          <w:color w:val="231F20"/>
          <w:spacing w:val="-5"/>
          <w:sz w:val="18"/>
        </w:rPr>
        <w:t>Are </w:t>
      </w:r>
      <w:r>
        <w:rPr>
          <w:color w:val="231F20"/>
          <w:spacing w:val="-7"/>
          <w:sz w:val="18"/>
        </w:rPr>
        <w:t>Deaf,</w:t>
      </w:r>
      <w:r>
        <w:rPr>
          <w:color w:val="231F20"/>
          <w:spacing w:val="-11"/>
          <w:sz w:val="18"/>
        </w:rPr>
        <w:t> </w:t>
      </w:r>
      <w:r>
        <w:rPr>
          <w:color w:val="231F20"/>
          <w:spacing w:val="-6"/>
          <w:sz w:val="18"/>
        </w:rPr>
        <w:t>Hard</w:t>
      </w:r>
      <w:r>
        <w:rPr>
          <w:color w:val="231F20"/>
          <w:spacing w:val="-10"/>
          <w:sz w:val="18"/>
        </w:rPr>
        <w:t> </w:t>
      </w:r>
      <w:r>
        <w:rPr>
          <w:color w:val="231F20"/>
          <w:spacing w:val="-4"/>
          <w:sz w:val="18"/>
        </w:rPr>
        <w:t>of</w:t>
      </w:r>
      <w:r>
        <w:rPr>
          <w:color w:val="231F20"/>
          <w:spacing w:val="-15"/>
          <w:sz w:val="18"/>
        </w:rPr>
        <w:t> </w:t>
      </w:r>
      <w:r>
        <w:rPr>
          <w:color w:val="231F20"/>
          <w:spacing w:val="-6"/>
          <w:sz w:val="18"/>
        </w:rPr>
        <w:t>Hearing,</w:t>
      </w:r>
      <w:r>
        <w:rPr>
          <w:color w:val="231F20"/>
          <w:spacing w:val="-10"/>
          <w:sz w:val="18"/>
        </w:rPr>
        <w:t> </w:t>
      </w:r>
      <w:r>
        <w:rPr>
          <w:color w:val="231F20"/>
          <w:spacing w:val="-5"/>
          <w:sz w:val="18"/>
        </w:rPr>
        <w:t>Blind</w:t>
      </w:r>
      <w:r>
        <w:rPr>
          <w:color w:val="231F20"/>
          <w:spacing w:val="-11"/>
          <w:sz w:val="18"/>
        </w:rPr>
        <w:t> </w:t>
      </w:r>
      <w:r>
        <w:rPr>
          <w:color w:val="231F20"/>
          <w:spacing w:val="-3"/>
          <w:sz w:val="18"/>
        </w:rPr>
        <w:t>or</w:t>
      </w:r>
      <w:r>
        <w:rPr>
          <w:color w:val="231F20"/>
          <w:spacing w:val="-15"/>
          <w:sz w:val="18"/>
        </w:rPr>
        <w:t> </w:t>
      </w:r>
      <w:r>
        <w:rPr>
          <w:color w:val="231F20"/>
          <w:spacing w:val="-7"/>
          <w:sz w:val="18"/>
        </w:rPr>
        <w:t>Have</w:t>
      </w:r>
      <w:r>
        <w:rPr>
          <w:color w:val="231F20"/>
          <w:spacing w:val="-11"/>
          <w:sz w:val="18"/>
        </w:rPr>
        <w:t> </w:t>
      </w:r>
      <w:r>
        <w:rPr>
          <w:color w:val="231F20"/>
          <w:spacing w:val="-6"/>
          <w:sz w:val="18"/>
        </w:rPr>
        <w:t>Low</w:t>
      </w:r>
      <w:r>
        <w:rPr>
          <w:color w:val="231F20"/>
          <w:spacing w:val="-22"/>
          <w:sz w:val="18"/>
        </w:rPr>
        <w:t> </w:t>
      </w:r>
      <w:r>
        <w:rPr>
          <w:color w:val="231F20"/>
          <w:spacing w:val="-6"/>
          <w:sz w:val="18"/>
        </w:rPr>
        <w:t>Vision (2022)*</w:t>
      </w:r>
    </w:p>
    <w:p>
      <w:pPr>
        <w:pStyle w:val="BodyText"/>
      </w:pPr>
    </w:p>
    <w:p>
      <w:pPr>
        <w:pStyle w:val="BodyText"/>
      </w:pPr>
    </w:p>
    <w:p>
      <w:pPr>
        <w:pStyle w:val="BodyText"/>
        <w:spacing w:before="1"/>
        <w:rPr>
          <w:sz w:val="19"/>
        </w:rPr>
      </w:pPr>
    </w:p>
    <w:p>
      <w:pPr>
        <w:spacing w:before="0"/>
        <w:ind w:left="109" w:right="0" w:firstLine="0"/>
        <w:jc w:val="left"/>
        <w:rPr>
          <w:i/>
          <w:sz w:val="18"/>
        </w:rPr>
      </w:pPr>
      <w:r>
        <w:rPr>
          <w:i/>
          <w:color w:val="231F20"/>
          <w:sz w:val="18"/>
        </w:rPr>
        <w:t>* Community law reform project.</w:t>
      </w:r>
    </w:p>
    <w:p>
      <w:pPr>
        <w:pStyle w:val="BodyText"/>
        <w:spacing w:before="3"/>
        <w:rPr>
          <w:i/>
          <w:sz w:val="25"/>
        </w:rPr>
      </w:pPr>
    </w:p>
    <w:p>
      <w:pPr>
        <w:spacing w:line="230" w:lineRule="auto" w:before="0"/>
        <w:ind w:left="109" w:right="0" w:firstLine="0"/>
        <w:jc w:val="left"/>
        <w:rPr>
          <w:rFonts w:ascii="Raleway SemiBold"/>
          <w:b/>
          <w:sz w:val="18"/>
        </w:rPr>
      </w:pPr>
      <w:r>
        <w:rPr>
          <w:rFonts w:ascii="Raleway SemiBold"/>
          <w:b/>
          <w:color w:val="231F20"/>
          <w:spacing w:val="-6"/>
          <w:sz w:val="18"/>
        </w:rPr>
        <w:t>For </w:t>
      </w:r>
      <w:r>
        <w:rPr>
          <w:rFonts w:ascii="Raleway SemiBold"/>
          <w:b/>
          <w:color w:val="231F20"/>
          <w:sz w:val="18"/>
        </w:rPr>
        <w:t>a </w:t>
      </w:r>
      <w:r>
        <w:rPr>
          <w:rFonts w:ascii="Raleway SemiBold"/>
          <w:b/>
          <w:color w:val="231F20"/>
          <w:spacing w:val="-5"/>
          <w:sz w:val="18"/>
        </w:rPr>
        <w:t>full list </w:t>
      </w:r>
      <w:r>
        <w:rPr>
          <w:rFonts w:ascii="Raleway SemiBold"/>
          <w:b/>
          <w:color w:val="231F20"/>
          <w:spacing w:val="-4"/>
          <w:sz w:val="18"/>
        </w:rPr>
        <w:t>of </w:t>
      </w:r>
      <w:r>
        <w:rPr>
          <w:rFonts w:ascii="Raleway SemiBold"/>
          <w:b/>
          <w:color w:val="231F20"/>
          <w:spacing w:val="-6"/>
          <w:sz w:val="18"/>
        </w:rPr>
        <w:t>publications, </w:t>
      </w:r>
      <w:r>
        <w:rPr>
          <w:rFonts w:ascii="Raleway SemiBold"/>
          <w:b/>
          <w:color w:val="231F20"/>
          <w:spacing w:val="-4"/>
          <w:sz w:val="18"/>
        </w:rPr>
        <w:t>and to </w:t>
      </w:r>
      <w:r>
        <w:rPr>
          <w:rFonts w:ascii="Raleway SemiBold"/>
          <w:b/>
          <w:color w:val="231F20"/>
          <w:spacing w:val="-6"/>
          <w:sz w:val="18"/>
        </w:rPr>
        <w:t>access the above reports, </w:t>
      </w:r>
      <w:r>
        <w:rPr>
          <w:rFonts w:ascii="Raleway SemiBold"/>
          <w:b/>
          <w:color w:val="231F20"/>
          <w:spacing w:val="-4"/>
          <w:sz w:val="18"/>
        </w:rPr>
        <w:t>see </w:t>
      </w:r>
      <w:hyperlink r:id="rId285">
        <w:r>
          <w:rPr>
            <w:rFonts w:ascii="Raleway SemiBold"/>
            <w:b/>
            <w:color w:val="005B85"/>
            <w:spacing w:val="-8"/>
            <w:sz w:val="18"/>
          </w:rPr>
          <w:t>www.lawreform.vic.gov.au</w:t>
        </w:r>
      </w:hyperlink>
    </w:p>
    <w:p>
      <w:pPr>
        <w:spacing w:after="0" w:line="230" w:lineRule="auto"/>
        <w:jc w:val="left"/>
        <w:rPr>
          <w:rFonts w:ascii="Raleway SemiBold"/>
          <w:sz w:val="18"/>
        </w:rPr>
        <w:sectPr>
          <w:type w:val="continuous"/>
          <w:pgSz w:w="11900" w:h="16870"/>
          <w:pgMar w:top="620" w:bottom="280" w:left="1580" w:right="1220"/>
          <w:cols w:num="2" w:equalWidth="0">
            <w:col w:w="4638" w:space="205"/>
            <w:col w:w="4257"/>
          </w:cols>
        </w:sectPr>
      </w:pPr>
    </w:p>
    <w:p>
      <w:pPr>
        <w:pStyle w:val="BodyText"/>
        <w:ind w:left="117"/>
        <w:rPr>
          <w:rFonts w:ascii="Raleway SemiBold"/>
        </w:rPr>
      </w:pPr>
      <w:r>
        <w:rPr>
          <w:rFonts w:ascii="Raleway SemiBold"/>
        </w:rPr>
        <w:drawing>
          <wp:inline distT="0" distB="0" distL="0" distR="0">
            <wp:extent cx="990488" cy="504825"/>
            <wp:effectExtent l="0" t="0" r="0" b="0"/>
            <wp:docPr id="11" name="image8.png" descr=""/>
            <wp:cNvGraphicFramePr>
              <a:graphicFrameLocks noChangeAspect="1"/>
            </wp:cNvGraphicFramePr>
            <a:graphic>
              <a:graphicData uri="http://schemas.openxmlformats.org/drawingml/2006/picture">
                <pic:pic>
                  <pic:nvPicPr>
                    <pic:cNvPr id="12" name="image8.png"/>
                    <pic:cNvPicPr/>
                  </pic:nvPicPr>
                  <pic:blipFill>
                    <a:blip r:embed="rId287" cstate="print"/>
                    <a:stretch>
                      <a:fillRect/>
                    </a:stretch>
                  </pic:blipFill>
                  <pic:spPr>
                    <a:xfrm>
                      <a:off x="0" y="0"/>
                      <a:ext cx="990488" cy="504825"/>
                    </a:xfrm>
                    <a:prstGeom prst="rect">
                      <a:avLst/>
                    </a:prstGeom>
                  </pic:spPr>
                </pic:pic>
              </a:graphicData>
            </a:graphic>
          </wp:inline>
        </w:drawing>
      </w:r>
      <w:r>
        <w:rPr>
          <w:rFonts w:ascii="Raleway SemiBold"/>
        </w:rPr>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12"/>
        <w:rPr>
          <w:rFonts w:ascii="Raleway SemiBold"/>
          <w:b/>
          <w:sz w:val="26"/>
        </w:rPr>
      </w:pPr>
    </w:p>
    <w:p>
      <w:pPr>
        <w:spacing w:line="216" w:lineRule="auto" w:before="68"/>
        <w:ind w:left="126" w:right="1343" w:firstLine="0"/>
        <w:jc w:val="left"/>
        <w:rPr>
          <w:sz w:val="32"/>
        </w:rPr>
      </w:pPr>
      <w:r>
        <w:rPr>
          <w:rFonts w:ascii="Raleway ExtraBold" w:hAnsi="Raleway ExtraBold"/>
          <w:b/>
          <w:color w:val="FFFFFF"/>
          <w:spacing w:val="-10"/>
          <w:sz w:val="32"/>
        </w:rPr>
        <w:t>Inclusive</w:t>
      </w:r>
      <w:r>
        <w:rPr>
          <w:rFonts w:ascii="Raleway ExtraBold" w:hAnsi="Raleway ExtraBold"/>
          <w:b/>
          <w:color w:val="FFFFFF"/>
          <w:spacing w:val="-31"/>
          <w:sz w:val="32"/>
        </w:rPr>
        <w:t> </w:t>
      </w:r>
      <w:r>
        <w:rPr>
          <w:rFonts w:ascii="Raleway ExtraBold" w:hAnsi="Raleway ExtraBold"/>
          <w:b/>
          <w:color w:val="FFFFFF"/>
          <w:spacing w:val="-9"/>
          <w:sz w:val="32"/>
        </w:rPr>
        <w:t>Juries</w:t>
      </w:r>
      <w:r>
        <w:rPr>
          <w:rFonts w:ascii="Raleway ExtraBold" w:hAnsi="Raleway ExtraBold"/>
          <w:b/>
          <w:color w:val="FFFFFF"/>
          <w:spacing w:val="-47"/>
          <w:sz w:val="32"/>
        </w:rPr>
        <w:t> </w:t>
      </w:r>
      <w:r>
        <w:rPr>
          <w:rFonts w:ascii="Raleway Light" w:hAnsi="Raleway Light"/>
          <w:b w:val="0"/>
          <w:color w:val="FFFFFF"/>
          <w:spacing w:val="-5"/>
          <w:sz w:val="32"/>
        </w:rPr>
        <w:t>—</w:t>
      </w:r>
      <w:r>
        <w:rPr>
          <w:color w:val="FFFFFF"/>
          <w:spacing w:val="-5"/>
          <w:sz w:val="32"/>
        </w:rPr>
        <w:t>Access</w:t>
      </w:r>
      <w:r>
        <w:rPr>
          <w:color w:val="FFFFFF"/>
          <w:spacing w:val="-22"/>
          <w:sz w:val="32"/>
        </w:rPr>
        <w:t> </w:t>
      </w:r>
      <w:r>
        <w:rPr>
          <w:color w:val="FFFFFF"/>
          <w:spacing w:val="-9"/>
          <w:sz w:val="32"/>
        </w:rPr>
        <w:t>for</w:t>
      </w:r>
      <w:r>
        <w:rPr>
          <w:color w:val="FFFFFF"/>
          <w:spacing w:val="-28"/>
          <w:sz w:val="32"/>
        </w:rPr>
        <w:t> </w:t>
      </w:r>
      <w:r>
        <w:rPr>
          <w:color w:val="FFFFFF"/>
          <w:spacing w:val="-9"/>
          <w:sz w:val="32"/>
        </w:rPr>
        <w:t>People</w:t>
      </w:r>
      <w:r>
        <w:rPr>
          <w:color w:val="FFFFFF"/>
          <w:spacing w:val="-33"/>
          <w:sz w:val="32"/>
        </w:rPr>
        <w:t> </w:t>
      </w:r>
      <w:r>
        <w:rPr>
          <w:color w:val="FFFFFF"/>
          <w:spacing w:val="-7"/>
          <w:sz w:val="32"/>
        </w:rPr>
        <w:t>Who</w:t>
      </w:r>
      <w:r>
        <w:rPr>
          <w:color w:val="FFFFFF"/>
          <w:spacing w:val="-31"/>
          <w:sz w:val="32"/>
        </w:rPr>
        <w:t> </w:t>
      </w:r>
      <w:r>
        <w:rPr>
          <w:color w:val="FFFFFF"/>
          <w:spacing w:val="-9"/>
          <w:sz w:val="32"/>
        </w:rPr>
        <w:t>Are</w:t>
      </w:r>
      <w:r>
        <w:rPr>
          <w:color w:val="FFFFFF"/>
          <w:spacing w:val="-22"/>
          <w:sz w:val="32"/>
        </w:rPr>
        <w:t> </w:t>
      </w:r>
      <w:r>
        <w:rPr>
          <w:color w:val="FFFFFF"/>
          <w:spacing w:val="-11"/>
          <w:sz w:val="32"/>
        </w:rPr>
        <w:t>Deaf, </w:t>
      </w:r>
      <w:r>
        <w:rPr>
          <w:color w:val="FFFFFF"/>
          <w:spacing w:val="-10"/>
          <w:sz w:val="32"/>
        </w:rPr>
        <w:t>Hard</w:t>
      </w:r>
      <w:r>
        <w:rPr>
          <w:color w:val="FFFFFF"/>
          <w:spacing w:val="-21"/>
          <w:sz w:val="32"/>
        </w:rPr>
        <w:t> </w:t>
      </w:r>
      <w:r>
        <w:rPr>
          <w:color w:val="FFFFFF"/>
          <w:spacing w:val="-7"/>
          <w:sz w:val="32"/>
        </w:rPr>
        <w:t>of</w:t>
      </w:r>
      <w:r>
        <w:rPr>
          <w:color w:val="FFFFFF"/>
          <w:spacing w:val="-27"/>
          <w:sz w:val="32"/>
        </w:rPr>
        <w:t> </w:t>
      </w:r>
      <w:r>
        <w:rPr>
          <w:color w:val="FFFFFF"/>
          <w:spacing w:val="-10"/>
          <w:sz w:val="32"/>
        </w:rPr>
        <w:t>Hearing,</w:t>
      </w:r>
      <w:r>
        <w:rPr>
          <w:color w:val="FFFFFF"/>
          <w:spacing w:val="-20"/>
          <w:sz w:val="32"/>
        </w:rPr>
        <w:t> </w:t>
      </w:r>
      <w:r>
        <w:rPr>
          <w:color w:val="FFFFFF"/>
          <w:spacing w:val="-8"/>
          <w:sz w:val="32"/>
        </w:rPr>
        <w:t>Blind</w:t>
      </w:r>
      <w:r>
        <w:rPr>
          <w:color w:val="FFFFFF"/>
          <w:spacing w:val="-21"/>
          <w:sz w:val="32"/>
        </w:rPr>
        <w:t> </w:t>
      </w:r>
      <w:r>
        <w:rPr>
          <w:color w:val="FFFFFF"/>
          <w:spacing w:val="-5"/>
          <w:sz w:val="32"/>
        </w:rPr>
        <w:t>or</w:t>
      </w:r>
      <w:r>
        <w:rPr>
          <w:color w:val="FFFFFF"/>
          <w:spacing w:val="-27"/>
          <w:sz w:val="32"/>
        </w:rPr>
        <w:t> </w:t>
      </w:r>
      <w:r>
        <w:rPr>
          <w:color w:val="FFFFFF"/>
          <w:spacing w:val="-11"/>
          <w:sz w:val="32"/>
        </w:rPr>
        <w:t>Have</w:t>
      </w:r>
      <w:r>
        <w:rPr>
          <w:color w:val="FFFFFF"/>
          <w:spacing w:val="-20"/>
          <w:sz w:val="32"/>
        </w:rPr>
        <w:t> </w:t>
      </w:r>
      <w:r>
        <w:rPr>
          <w:color w:val="FFFFFF"/>
          <w:spacing w:val="-10"/>
          <w:sz w:val="32"/>
        </w:rPr>
        <w:t>Low</w:t>
      </w:r>
      <w:r>
        <w:rPr>
          <w:color w:val="FFFFFF"/>
          <w:spacing w:val="-40"/>
          <w:sz w:val="32"/>
        </w:rPr>
        <w:t> </w:t>
      </w:r>
      <w:r>
        <w:rPr>
          <w:color w:val="FFFFFF"/>
          <w:spacing w:val="-10"/>
          <w:sz w:val="32"/>
        </w:rPr>
        <w:t>Vision</w:t>
      </w:r>
    </w:p>
    <w:p>
      <w:pPr>
        <w:spacing w:before="94"/>
        <w:ind w:left="126" w:right="0" w:firstLine="0"/>
        <w:jc w:val="left"/>
        <w:rPr>
          <w:rFonts w:ascii="Cambria"/>
          <w:i/>
          <w:sz w:val="18"/>
        </w:rPr>
      </w:pPr>
      <w:r>
        <w:rPr>
          <w:rFonts w:ascii="Cambria"/>
          <w:i/>
          <w:color w:val="FFFFFF"/>
          <w:w w:val="105"/>
          <w:sz w:val="18"/>
        </w:rPr>
        <w:t>Report</w:t>
      </w:r>
    </w:p>
    <w:p>
      <w:pPr>
        <w:pStyle w:val="BodyText"/>
        <w:spacing w:before="6"/>
        <w:rPr>
          <w:rFonts w:ascii="Cambria"/>
          <w:i/>
          <w:sz w:val="25"/>
        </w:rPr>
      </w:pPr>
    </w:p>
    <w:p>
      <w:pPr>
        <w:spacing w:after="0"/>
        <w:rPr>
          <w:rFonts w:ascii="Cambria"/>
          <w:sz w:val="25"/>
        </w:rPr>
        <w:sectPr>
          <w:headerReference w:type="even" r:id="rId286"/>
          <w:pgSz w:w="11920" w:h="16830"/>
          <w:pgMar w:header="0" w:footer="0" w:top="680" w:bottom="280" w:left="1000" w:right="1680"/>
        </w:sectPr>
      </w:pPr>
    </w:p>
    <w:p>
      <w:pPr>
        <w:spacing w:before="101"/>
        <w:ind w:left="133" w:right="0" w:firstLine="0"/>
        <w:jc w:val="left"/>
        <w:rPr>
          <w:rFonts w:ascii="Trebuchet MS"/>
          <w:sz w:val="18"/>
        </w:rPr>
      </w:pPr>
      <w:r>
        <w:rPr/>
        <w:pict>
          <v:rect style="position:absolute;margin-left:0pt;margin-top:0pt;width:595.600426pt;height:841.458908pt;mso-position-horizontal-relative:page;mso-position-vertical-relative:page;z-index:-346048" filled="true" fillcolor="#005b85" stroked="false">
            <v:fill type="solid"/>
            <w10:wrap type="none"/>
          </v:rect>
        </w:pict>
      </w:r>
      <w:r>
        <w:rPr/>
        <w:pict>
          <v:line style="position:absolute;mso-position-horizontal-relative:page;mso-position-vertical-relative:page;z-index:-346024" from="524.032197pt,687.983215pt" to="56.315197pt,687.983215pt" stroked="true" strokeweight=".5pt" strokecolor="#ffffff">
            <v:stroke dashstyle="solid"/>
            <w10:wrap type="none"/>
          </v:line>
        </w:pict>
      </w:r>
      <w:r>
        <w:rPr>
          <w:rFonts w:ascii="Trebuchet MS"/>
          <w:color w:val="FFFFFF"/>
          <w:spacing w:val="-4"/>
          <w:w w:val="110"/>
          <w:sz w:val="18"/>
        </w:rPr>
        <w:t>GPO </w:t>
      </w:r>
      <w:r>
        <w:rPr>
          <w:rFonts w:ascii="Trebuchet MS"/>
          <w:color w:val="FFFFFF"/>
          <w:spacing w:val="-6"/>
          <w:w w:val="110"/>
          <w:sz w:val="18"/>
        </w:rPr>
        <w:t>Box 4637</w:t>
      </w:r>
    </w:p>
    <w:p>
      <w:pPr>
        <w:spacing w:line="252" w:lineRule="auto" w:before="11"/>
        <w:ind w:left="133" w:right="0" w:firstLine="0"/>
        <w:jc w:val="left"/>
        <w:rPr>
          <w:rFonts w:ascii="Trebuchet MS"/>
          <w:sz w:val="18"/>
        </w:rPr>
      </w:pPr>
      <w:r>
        <w:rPr>
          <w:rFonts w:ascii="Trebuchet MS"/>
          <w:color w:val="FFFFFF"/>
          <w:spacing w:val="-7"/>
          <w:w w:val="110"/>
          <w:sz w:val="18"/>
        </w:rPr>
        <w:t>Melbourne </w:t>
      </w:r>
      <w:r>
        <w:rPr>
          <w:rFonts w:ascii="Trebuchet MS"/>
          <w:color w:val="FFFFFF"/>
          <w:spacing w:val="-6"/>
          <w:w w:val="110"/>
          <w:sz w:val="18"/>
        </w:rPr>
        <w:t>Victoria </w:t>
      </w:r>
      <w:r>
        <w:rPr>
          <w:rFonts w:ascii="Trebuchet MS"/>
          <w:color w:val="FFFFFF"/>
          <w:spacing w:val="-9"/>
          <w:w w:val="110"/>
          <w:sz w:val="18"/>
        </w:rPr>
        <w:t>3001 </w:t>
      </w:r>
      <w:r>
        <w:rPr>
          <w:rFonts w:ascii="Trebuchet MS"/>
          <w:color w:val="FFFFFF"/>
          <w:spacing w:val="-7"/>
          <w:w w:val="110"/>
          <w:sz w:val="18"/>
        </w:rPr>
        <w:t>Australia</w:t>
      </w:r>
    </w:p>
    <w:p>
      <w:pPr>
        <w:spacing w:before="101"/>
        <w:ind w:left="133" w:right="0" w:firstLine="0"/>
        <w:jc w:val="left"/>
        <w:rPr>
          <w:rFonts w:ascii="Trebuchet MS"/>
          <w:sz w:val="18"/>
        </w:rPr>
      </w:pPr>
      <w:r>
        <w:rPr/>
        <w:br w:type="column"/>
      </w:r>
      <w:r>
        <w:rPr>
          <w:rFonts w:ascii="Trebuchet MS"/>
          <w:color w:val="FFFFFF"/>
          <w:w w:val="110"/>
          <w:sz w:val="18"/>
        </w:rPr>
        <w:t>Level 3</w:t>
      </w:r>
    </w:p>
    <w:p>
      <w:pPr>
        <w:spacing w:line="252" w:lineRule="auto" w:before="11"/>
        <w:ind w:left="133" w:right="24" w:firstLine="0"/>
        <w:jc w:val="left"/>
        <w:rPr>
          <w:rFonts w:ascii="Trebuchet MS"/>
          <w:sz w:val="18"/>
        </w:rPr>
      </w:pPr>
      <w:r>
        <w:rPr>
          <w:rFonts w:ascii="Trebuchet MS"/>
          <w:color w:val="FFFFFF"/>
          <w:spacing w:val="-4"/>
          <w:w w:val="110"/>
          <w:sz w:val="18"/>
        </w:rPr>
        <w:t>333</w:t>
      </w:r>
      <w:r>
        <w:rPr>
          <w:rFonts w:ascii="Trebuchet MS"/>
          <w:color w:val="FFFFFF"/>
          <w:spacing w:val="-38"/>
          <w:w w:val="110"/>
          <w:sz w:val="18"/>
        </w:rPr>
        <w:t> </w:t>
      </w:r>
      <w:r>
        <w:rPr>
          <w:rFonts w:ascii="Trebuchet MS"/>
          <w:color w:val="FFFFFF"/>
          <w:spacing w:val="-5"/>
          <w:w w:val="110"/>
          <w:sz w:val="18"/>
        </w:rPr>
        <w:t>Queen</w:t>
      </w:r>
      <w:r>
        <w:rPr>
          <w:rFonts w:ascii="Trebuchet MS"/>
          <w:color w:val="FFFFFF"/>
          <w:spacing w:val="-38"/>
          <w:w w:val="110"/>
          <w:sz w:val="18"/>
        </w:rPr>
        <w:t> </w:t>
      </w:r>
      <w:r>
        <w:rPr>
          <w:rFonts w:ascii="Trebuchet MS"/>
          <w:color w:val="FFFFFF"/>
          <w:spacing w:val="-6"/>
          <w:w w:val="110"/>
          <w:sz w:val="18"/>
        </w:rPr>
        <w:t>Street </w:t>
      </w:r>
      <w:r>
        <w:rPr>
          <w:rFonts w:ascii="Trebuchet MS"/>
          <w:color w:val="FFFFFF"/>
          <w:spacing w:val="-7"/>
          <w:w w:val="110"/>
          <w:sz w:val="18"/>
        </w:rPr>
        <w:t>Melbourne </w:t>
      </w:r>
      <w:r>
        <w:rPr>
          <w:rFonts w:ascii="Trebuchet MS"/>
          <w:color w:val="FFFFFF"/>
          <w:spacing w:val="-6"/>
          <w:w w:val="110"/>
          <w:sz w:val="18"/>
        </w:rPr>
        <w:t>Victoria 3000 </w:t>
      </w:r>
      <w:r>
        <w:rPr>
          <w:rFonts w:ascii="Trebuchet MS"/>
          <w:color w:val="FFFFFF"/>
          <w:spacing w:val="-7"/>
          <w:w w:val="110"/>
          <w:sz w:val="18"/>
        </w:rPr>
        <w:t>Australia</w:t>
      </w:r>
    </w:p>
    <w:p>
      <w:pPr>
        <w:spacing w:before="62"/>
        <w:ind w:left="133" w:right="0" w:firstLine="0"/>
        <w:jc w:val="left"/>
        <w:rPr>
          <w:b/>
          <w:sz w:val="18"/>
        </w:rPr>
      </w:pPr>
      <w:r>
        <w:rPr/>
        <w:br w:type="column"/>
      </w:r>
      <w:r>
        <w:rPr>
          <w:b/>
          <w:color w:val="FFFFFF"/>
          <w:sz w:val="18"/>
        </w:rPr>
        <w:t>Telephone</w:t>
      </w:r>
    </w:p>
    <w:p>
      <w:pPr>
        <w:spacing w:before="9"/>
        <w:ind w:left="133" w:right="0" w:firstLine="0"/>
        <w:jc w:val="left"/>
        <w:rPr>
          <w:rFonts w:ascii="Trebuchet MS"/>
          <w:sz w:val="18"/>
        </w:rPr>
      </w:pPr>
      <w:r>
        <w:rPr>
          <w:rFonts w:ascii="Trebuchet MS"/>
          <w:color w:val="FFFFFF"/>
          <w:spacing w:val="-4"/>
          <w:w w:val="115"/>
          <w:sz w:val="18"/>
        </w:rPr>
        <w:t>+61</w:t>
      </w:r>
      <w:r>
        <w:rPr>
          <w:rFonts w:ascii="Trebuchet MS"/>
          <w:color w:val="FFFFFF"/>
          <w:spacing w:val="-36"/>
          <w:w w:val="115"/>
          <w:sz w:val="18"/>
        </w:rPr>
        <w:t> </w:t>
      </w:r>
      <w:r>
        <w:rPr>
          <w:rFonts w:ascii="Trebuchet MS"/>
          <w:color w:val="FFFFFF"/>
          <w:w w:val="115"/>
          <w:sz w:val="18"/>
        </w:rPr>
        <w:t>3</w:t>
      </w:r>
      <w:r>
        <w:rPr>
          <w:rFonts w:ascii="Trebuchet MS"/>
          <w:color w:val="FFFFFF"/>
          <w:spacing w:val="-35"/>
          <w:w w:val="115"/>
          <w:sz w:val="18"/>
        </w:rPr>
        <w:t> </w:t>
      </w:r>
      <w:r>
        <w:rPr>
          <w:rFonts w:ascii="Trebuchet MS"/>
          <w:color w:val="FFFFFF"/>
          <w:spacing w:val="-5"/>
          <w:w w:val="115"/>
          <w:sz w:val="18"/>
        </w:rPr>
        <w:t>8608</w:t>
      </w:r>
      <w:r>
        <w:rPr>
          <w:rFonts w:ascii="Trebuchet MS"/>
          <w:color w:val="FFFFFF"/>
          <w:spacing w:val="-35"/>
          <w:w w:val="115"/>
          <w:sz w:val="18"/>
        </w:rPr>
        <w:t> </w:t>
      </w:r>
      <w:r>
        <w:rPr>
          <w:rFonts w:ascii="Trebuchet MS"/>
          <w:color w:val="FFFFFF"/>
          <w:spacing w:val="-6"/>
          <w:w w:val="115"/>
          <w:sz w:val="18"/>
        </w:rPr>
        <w:t>7800</w:t>
      </w:r>
    </w:p>
    <w:p>
      <w:pPr>
        <w:spacing w:before="85"/>
        <w:ind w:left="133" w:right="0" w:firstLine="0"/>
        <w:jc w:val="left"/>
        <w:rPr>
          <w:b/>
          <w:sz w:val="18"/>
        </w:rPr>
      </w:pPr>
      <w:r>
        <w:rPr>
          <w:b/>
          <w:color w:val="FFFFFF"/>
          <w:sz w:val="18"/>
        </w:rPr>
        <w:t>Freecall</w:t>
      </w:r>
    </w:p>
    <w:p>
      <w:pPr>
        <w:spacing w:before="9"/>
        <w:ind w:left="133" w:right="0" w:firstLine="0"/>
        <w:jc w:val="left"/>
        <w:rPr>
          <w:rFonts w:ascii="Trebuchet MS"/>
          <w:sz w:val="18"/>
        </w:rPr>
      </w:pPr>
      <w:r>
        <w:rPr>
          <w:rFonts w:ascii="Trebuchet MS"/>
          <w:color w:val="FFFFFF"/>
          <w:w w:val="115"/>
          <w:sz w:val="18"/>
        </w:rPr>
        <w:t>1300 666 555</w:t>
      </w:r>
    </w:p>
    <w:p>
      <w:pPr>
        <w:spacing w:before="11"/>
        <w:ind w:left="133" w:right="0" w:firstLine="0"/>
        <w:jc w:val="left"/>
        <w:rPr>
          <w:rFonts w:ascii="Trebuchet MS"/>
          <w:sz w:val="18"/>
        </w:rPr>
      </w:pPr>
      <w:r>
        <w:rPr>
          <w:rFonts w:ascii="Trebuchet MS"/>
          <w:color w:val="FFFFFF"/>
          <w:sz w:val="18"/>
        </w:rPr>
        <w:t>(within Victoria)</w:t>
      </w:r>
    </w:p>
    <w:p>
      <w:pPr>
        <w:spacing w:before="86"/>
        <w:ind w:left="133" w:right="0" w:firstLine="0"/>
        <w:jc w:val="left"/>
        <w:rPr>
          <w:b/>
          <w:sz w:val="18"/>
        </w:rPr>
      </w:pPr>
      <w:r>
        <w:rPr>
          <w:b/>
          <w:color w:val="FFFFFF"/>
          <w:sz w:val="18"/>
        </w:rPr>
        <w:t>Fax</w:t>
      </w:r>
    </w:p>
    <w:p>
      <w:pPr>
        <w:spacing w:before="9"/>
        <w:ind w:left="133" w:right="0" w:firstLine="0"/>
        <w:jc w:val="left"/>
        <w:rPr>
          <w:rFonts w:ascii="Trebuchet MS"/>
          <w:sz w:val="18"/>
        </w:rPr>
      </w:pPr>
      <w:r>
        <w:rPr>
          <w:rFonts w:ascii="Trebuchet MS"/>
          <w:color w:val="FFFFFF"/>
          <w:spacing w:val="-4"/>
          <w:w w:val="110"/>
          <w:sz w:val="18"/>
        </w:rPr>
        <w:t>+61 </w:t>
      </w:r>
      <w:r>
        <w:rPr>
          <w:rFonts w:ascii="Trebuchet MS"/>
          <w:color w:val="FFFFFF"/>
          <w:w w:val="110"/>
          <w:sz w:val="18"/>
        </w:rPr>
        <w:t>3 </w:t>
      </w:r>
      <w:r>
        <w:rPr>
          <w:rFonts w:ascii="Trebuchet MS"/>
          <w:color w:val="FFFFFF"/>
          <w:spacing w:val="-5"/>
          <w:w w:val="110"/>
          <w:sz w:val="18"/>
        </w:rPr>
        <w:t>8608 </w:t>
      </w:r>
      <w:r>
        <w:rPr>
          <w:rFonts w:ascii="Trebuchet MS"/>
          <w:color w:val="FFFFFF"/>
          <w:spacing w:val="-6"/>
          <w:w w:val="110"/>
          <w:sz w:val="18"/>
        </w:rPr>
        <w:t>7888</w:t>
      </w:r>
    </w:p>
    <w:p>
      <w:pPr>
        <w:spacing w:before="62"/>
        <w:ind w:left="133" w:right="0" w:firstLine="0"/>
        <w:jc w:val="left"/>
        <w:rPr>
          <w:b/>
          <w:sz w:val="18"/>
        </w:rPr>
      </w:pPr>
      <w:r>
        <w:rPr/>
        <w:br w:type="column"/>
      </w:r>
      <w:r>
        <w:rPr>
          <w:b/>
          <w:color w:val="FFFFFF"/>
          <w:sz w:val="18"/>
        </w:rPr>
        <w:t>Email</w:t>
      </w:r>
    </w:p>
    <w:p>
      <w:pPr>
        <w:spacing w:before="9"/>
        <w:ind w:left="133" w:right="0" w:firstLine="0"/>
        <w:jc w:val="left"/>
        <w:rPr>
          <w:rFonts w:ascii="Trebuchet MS"/>
          <w:sz w:val="18"/>
        </w:rPr>
      </w:pPr>
      <w:hyperlink r:id="rId12">
        <w:r>
          <w:rPr>
            <w:rFonts w:ascii="Trebuchet MS"/>
            <w:color w:val="FFFFFF"/>
            <w:sz w:val="18"/>
          </w:rPr>
          <w:t>law.reform@lawreform.vic.gov.au</w:t>
        </w:r>
      </w:hyperlink>
    </w:p>
    <w:p>
      <w:pPr>
        <w:spacing w:before="120"/>
        <w:ind w:left="133" w:right="0" w:firstLine="0"/>
        <w:jc w:val="left"/>
        <w:rPr>
          <w:rFonts w:ascii="Trebuchet MS"/>
          <w:sz w:val="32"/>
        </w:rPr>
      </w:pPr>
      <w:r>
        <w:rPr>
          <w:rFonts w:ascii="Trebuchet MS"/>
          <w:color w:val="FFFFFF"/>
          <w:spacing w:val="-10"/>
          <w:w w:val="102"/>
          <w:sz w:val="32"/>
        </w:rPr>
        <w:t>l</w:t>
      </w:r>
      <w:r>
        <w:rPr>
          <w:rFonts w:ascii="Trebuchet MS"/>
          <w:color w:val="FFFFFF"/>
          <w:spacing w:val="-16"/>
          <w:w w:val="102"/>
          <w:sz w:val="32"/>
        </w:rPr>
        <w:t>a</w:t>
      </w:r>
      <w:r>
        <w:rPr>
          <w:rFonts w:ascii="Trebuchet MS"/>
          <w:color w:val="FFFFFF"/>
          <w:spacing w:val="-10"/>
          <w:w w:val="104"/>
          <w:sz w:val="32"/>
        </w:rPr>
        <w:t>w</w:t>
      </w:r>
      <w:r>
        <w:rPr>
          <w:rFonts w:ascii="Trebuchet MS"/>
          <w:color w:val="FFFFFF"/>
          <w:spacing w:val="-14"/>
          <w:w w:val="104"/>
          <w:sz w:val="32"/>
        </w:rPr>
        <w:t>r</w:t>
      </w:r>
      <w:r>
        <w:rPr>
          <w:rFonts w:ascii="Trebuchet MS"/>
          <w:color w:val="FFFFFF"/>
          <w:spacing w:val="-12"/>
          <w:w w:val="108"/>
          <w:sz w:val="32"/>
        </w:rPr>
        <w:t>e</w:t>
      </w:r>
      <w:r>
        <w:rPr>
          <w:rFonts w:ascii="Trebuchet MS"/>
          <w:color w:val="FFFFFF"/>
          <w:spacing w:val="-14"/>
          <w:w w:val="92"/>
          <w:sz w:val="32"/>
        </w:rPr>
        <w:t>f</w:t>
      </w:r>
      <w:r>
        <w:rPr>
          <w:rFonts w:ascii="Trebuchet MS"/>
          <w:color w:val="FFFFFF"/>
          <w:spacing w:val="-10"/>
          <w:w w:val="107"/>
          <w:sz w:val="32"/>
        </w:rPr>
        <w:t>orm</w:t>
      </w:r>
      <w:r>
        <w:rPr>
          <w:rFonts w:ascii="Trebuchet MS"/>
          <w:color w:val="FFFFFF"/>
          <w:spacing w:val="-33"/>
          <w:w w:val="55"/>
          <w:sz w:val="32"/>
        </w:rPr>
        <w:t>.</w:t>
      </w:r>
      <w:r>
        <w:rPr>
          <w:rFonts w:ascii="Trebuchet MS"/>
          <w:color w:val="FFFFFF"/>
          <w:spacing w:val="-10"/>
          <w:w w:val="102"/>
          <w:sz w:val="32"/>
        </w:rPr>
        <w:t>vic.g</w:t>
      </w:r>
      <w:r>
        <w:rPr>
          <w:rFonts w:ascii="Trebuchet MS"/>
          <w:color w:val="FFFFFF"/>
          <w:spacing w:val="-16"/>
          <w:w w:val="102"/>
          <w:sz w:val="32"/>
        </w:rPr>
        <w:t>o</w:t>
      </w:r>
      <w:r>
        <w:rPr>
          <w:rFonts w:ascii="Trebuchet MS"/>
          <w:color w:val="FFFFFF"/>
          <w:spacing w:val="-33"/>
          <w:w w:val="110"/>
          <w:sz w:val="32"/>
        </w:rPr>
        <w:t>v</w:t>
      </w:r>
      <w:r>
        <w:rPr>
          <w:rFonts w:ascii="Trebuchet MS"/>
          <w:color w:val="FFFFFF"/>
          <w:spacing w:val="-10"/>
          <w:w w:val="94"/>
          <w:sz w:val="32"/>
        </w:rPr>
        <w:t>.au</w:t>
      </w:r>
    </w:p>
    <w:p>
      <w:pPr>
        <w:spacing w:before="149"/>
        <w:ind w:left="133" w:right="0" w:firstLine="0"/>
        <w:jc w:val="left"/>
        <w:rPr>
          <w:rFonts w:ascii="Trebuchet MS"/>
          <w:sz w:val="12"/>
        </w:rPr>
      </w:pPr>
      <w:r>
        <w:rPr>
          <w:rFonts w:ascii="Trebuchet MS"/>
          <w:color w:val="FFFFFF"/>
          <w:w w:val="110"/>
          <w:sz w:val="12"/>
        </w:rPr>
        <w:t>Printed on 100% recycled paper</w:t>
      </w:r>
    </w:p>
    <w:sectPr>
      <w:type w:val="continuous"/>
      <w:pgSz w:w="11920" w:h="16830"/>
      <w:pgMar w:top="620" w:bottom="280" w:left="1000" w:right="1680"/>
      <w:cols w:num="4" w:equalWidth="0">
        <w:col w:w="1307" w:space="488"/>
        <w:col w:w="1571" w:space="371"/>
        <w:col w:w="1499" w:space="478"/>
        <w:col w:w="352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Raleway Light">
    <w:altName w:val="Raleway Light"/>
    <w:charset w:val="0"/>
    <w:family w:val="auto"/>
    <w:pitch w:val="variable"/>
  </w:font>
  <w:font w:name="Trebuchet MS">
    <w:altName w:val="Trebuchet MS"/>
    <w:charset w:val="0"/>
    <w:family w:val="swiss"/>
    <w:pitch w:val="variable"/>
  </w:font>
  <w:font w:name="Raleway">
    <w:altName w:val="Raleway"/>
    <w:charset w:val="0"/>
    <w:family w:val="auto"/>
    <w:pitch w:val="variable"/>
  </w:font>
  <w:font w:name="Cambria">
    <w:altName w:val="Cambria"/>
    <w:charset w:val="0"/>
    <w:family w:val="roman"/>
    <w:pitch w:val="variable"/>
  </w:font>
  <w:font w:name="Raleway ExtraBold">
    <w:altName w:val="Raleway ExtraBold"/>
    <w:charset w:val="0"/>
    <w:family w:val="auto"/>
    <w:pitch w:val="variable"/>
  </w:font>
  <w:font w:name="Raleway SemiBold">
    <w:altName w:val="Raleway SemiBold"/>
    <w:charset w:val="0"/>
    <w:family w:val="auto"/>
    <w:pitch w:val="variable"/>
  </w:font>
  <w:font w:name="Lucida Sans">
    <w:altName w:val="Lucida Sans"/>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6.469971pt;height:844.921974pt;mso-position-horizontal-relative:page;mso-position-vertical-relative:page;z-index:-359272" filled="true" fillcolor="#005b85"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6800" filled="true" fillcolor="#37617a" stroked="false">
          <v:fill type="solid"/>
          <w10:wrap type="none"/>
        </v:rect>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6776"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6752" filled="true" fillcolor="#37617a" stroked="false">
          <v:fill type="solid"/>
          <w10:wrap type="none"/>
        </v:rect>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672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600426pt;height:841.458908pt;mso-position-horizontal-relative:page;mso-position-vertical-relative:page;z-index:-356704" filled="true" fillcolor="#005b85" stroked="false">
          <v:fill type="solid"/>
          <w10:wrap type="non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9056" filled="true" fillcolor="#37617a" stroked="false">
          <v:fill type="solid"/>
          <w10:wrap type="none"/>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9032"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9008" filled="true" fillcolor="#37617a" stroked="false">
          <v:fill type="solid"/>
          <w10:wrap type="none"/>
        </v:rect>
      </w:pict>
    </w:r>
    <w:r>
      <w:rPr/>
      <w:pict>
        <v:shape style="position:absolute;margin-left:547.517029pt;margin-top:11.800014pt;width:10.5pt;height:23.15pt;mso-position-horizontal-relative:page;mso-position-vertical-relative:page;z-index:-358984"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1</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96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8936" filled="true" fillcolor="#37617a" stroked="false">
          <v:fill type="solid"/>
          <w10:wrap type="none"/>
        </v:rect>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912"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8888" filled="true" fillcolor="#37617a" stroked="false">
          <v:fill type="solid"/>
          <w10:wrap type="none"/>
        </v:rect>
      </w:pict>
    </w:r>
    <w:r>
      <w:rPr/>
      <w:pict>
        <v:shape style="position:absolute;margin-left:546.81488pt;margin-top:11.800014pt;width:11.9pt;height:23.15pt;mso-position-horizontal-relative:page;mso-position-vertical-relative:page;z-index:-358864"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2</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84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8816" filled="true" fillcolor="#37617a" stroked="false">
          <v:fill type="solid"/>
          <w10:wrap type="none"/>
        </v:rect>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792"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76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8744" filled="true" fillcolor="#37617a" stroked="false">
          <v:fill type="solid"/>
          <w10:wrap type="none"/>
        </v:rect>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72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8696" filled="true" fillcolor="#37617a" stroked="false">
          <v:fill type="solid"/>
          <w10:wrap type="none"/>
        </v:rect>
      </w:pict>
    </w:r>
    <w:r>
      <w:rPr/>
      <w:pict>
        <v:shape style="position:absolute;margin-left:546.679993pt;margin-top:11.800014pt;width:12.2pt;height:23.15pt;mso-position-horizontal-relative:page;mso-position-vertical-relative:page;z-index:-35867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4</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64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8624" filled="true" fillcolor="#37617a" stroked="false">
          <v:fill type="solid"/>
          <w10:wrap type="non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60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8576" filled="true" fillcolor="#37617a" stroked="false">
          <v:fill type="solid"/>
          <w10:wrap type="none"/>
        </v:rect>
      </w:pict>
    </w:r>
    <w:r>
      <w:rPr/>
      <w:pict>
        <v:shape style="position:absolute;margin-left:546.796997pt;margin-top:11.800014pt;width:11.95pt;height:23.15pt;mso-position-horizontal-relative:page;mso-position-vertical-relative:page;z-index:-35855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5</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52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8504" filled="true" fillcolor="#37617a" stroked="false">
          <v:fill type="solid"/>
          <w10:wrap type="none"/>
        </v:rect>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48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8456" filled="true" fillcolor="#37617a" stroked="false">
          <v:fill type="solid"/>
          <w10:wrap type="none"/>
        </v:rect>
      </w:pict>
    </w:r>
    <w:r>
      <w:rPr/>
      <w:pict>
        <v:shape style="position:absolute;margin-left:546.293030pt;margin-top:11.800014pt;width:12.95pt;height:23.15pt;mso-position-horizontal-relative:page;mso-position-vertical-relative:page;z-index:-35843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6</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40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8384" filled="true" fillcolor="#37617a" stroked="false">
          <v:fill type="solid"/>
          <w10:wrap type="non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41.519699pt;margin-top:27.346714pt;width:108.7pt;height:17.650pt;mso-position-horizontal-relative:page;mso-position-vertical-relative:page;z-index:-35924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36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8336" filled="true" fillcolor="#37617a" stroked="false">
          <v:fill type="solid"/>
          <w10:wrap type="none"/>
        </v:rect>
      </w:pict>
    </w:r>
    <w:r>
      <w:rPr/>
      <w:pict>
        <v:shape style="position:absolute;margin-left:546.823975pt;margin-top:11.800014pt;width:11.9pt;height:23.15pt;mso-position-horizontal-relative:page;mso-position-vertical-relative:page;z-index:-35831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7</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28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8264" filled="true" fillcolor="#37617a" stroked="false">
          <v:fill type="solid"/>
          <w10:wrap type="none"/>
        </v:rect>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24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8216" filled="true" fillcolor="#37617a" stroked="false">
          <v:fill type="solid"/>
          <w10:wrap type="none"/>
        </v:rect>
      </w:pict>
    </w:r>
    <w:r>
      <w:rPr/>
      <w:pict>
        <v:shape style="position:absolute;margin-left:546.346924pt;margin-top:11.800014pt;width:12.85pt;height:23.15pt;mso-position-horizontal-relative:page;mso-position-vertical-relative:page;z-index:-35819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8</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16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8144" filled="true" fillcolor="#37617a" stroked="false">
          <v:fill type="solid"/>
          <w10:wrap type="none"/>
        </v:rect>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12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9224" filled="true" fillcolor="#37617a" stroked="false">
          <v:fill type="solid"/>
          <w10:wrap type="none"/>
        </v:rect>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8096" filled="true" fillcolor="#37617a" stroked="false">
          <v:fill type="solid"/>
          <w10:wrap type="none"/>
        </v:rect>
      </w:pict>
    </w:r>
    <w:r>
      <w:rPr/>
      <w:pict>
        <v:shape style="position:absolute;margin-left:546.455017pt;margin-top:11.800014pt;width:12.65pt;height:23.15pt;mso-position-horizontal-relative:page;mso-position-vertical-relative:page;z-index:-35807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9</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04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8024" filled="true" fillcolor="#37617a" stroked="false">
          <v:fill type="solid"/>
          <w10:wrap type="none"/>
        </v:rect>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800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7976" filled="true" fillcolor="#37617a" stroked="false">
          <v:fill type="solid"/>
          <w10:wrap type="none"/>
        </v:rect>
      </w:pict>
    </w:r>
    <w:r>
      <w:rPr/>
      <w:pict>
        <v:shape style="position:absolute;margin-left:542.23938pt;margin-top:11.800014pt;width:20.55pt;height:23.15pt;mso-position-horizontal-relative:page;mso-position-vertical-relative:page;z-index:-35795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10</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92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7904" filled="true" fillcolor="#37617a" stroked="false">
          <v:fill type="solid"/>
          <w10:wrap type="none"/>
        </v:rect>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88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7856" filled="true" fillcolor="#37617a" stroked="false">
          <v:fill type="solid"/>
          <w10:wrap type="none"/>
        </v:rect>
      </w:pict>
    </w:r>
    <w:r>
      <w:rPr/>
      <w:pict>
        <v:shape style="position:absolute;margin-left:543.37262pt;margin-top:11.800014pt;width:18.8pt;height:23.15pt;mso-position-horizontal-relative:page;mso-position-vertical-relative:page;z-index:-35783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11</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9200" filled="true" fillcolor="#37617a" stroked="false">
          <v:fill type="solid"/>
          <w10:wrap type="none"/>
        </v:rect>
      </w:pict>
    </w:r>
    <w:r>
      <w:rPr/>
      <w:pict>
        <v:rect style="position:absolute;margin-left:0pt;margin-top:99.213013pt;width:14.173pt;height:85.748pt;mso-position-horizontal-relative:page;mso-position-vertical-relative:page;z-index:-359176" filled="true" fillcolor="#37617a" stroked="false">
          <v:fill type="solid"/>
          <w10:wrap type="none"/>
        </v:rect>
      </w:pict>
    </w:r>
    <w:r>
      <w:rPr/>
      <w:pict>
        <v:shape style="position:absolute;margin-left:40.574799pt;margin-top:92.708511pt;width:257.45pt;height:34.9pt;mso-position-horizontal-relative:page;mso-position-vertical-relative:page;z-index:-359152" type="#_x0000_t202" filled="false" stroked="false">
          <v:textbox inset="0,0,0,0">
            <w:txbxContent>
              <w:p>
                <w:pPr>
                  <w:spacing w:line="677" w:lineRule="exact" w:before="0"/>
                  <w:ind w:left="20" w:right="0" w:firstLine="0"/>
                  <w:jc w:val="left"/>
                  <w:rPr>
                    <w:rFonts w:ascii="Raleway ExtraBold"/>
                    <w:b/>
                    <w:sz w:val="56"/>
                  </w:rPr>
                </w:pPr>
                <w:r>
                  <w:rPr>
                    <w:rFonts w:ascii="Raleway ExtraBold"/>
                    <w:b/>
                    <w:color w:val="37617A"/>
                    <w:spacing w:val="-14"/>
                    <w:sz w:val="56"/>
                  </w:rPr>
                  <w:t>Terms </w:t>
                </w:r>
                <w:r>
                  <w:rPr>
                    <w:rFonts w:ascii="Raleway ExtraBold"/>
                    <w:b/>
                    <w:color w:val="37617A"/>
                    <w:spacing w:val="-3"/>
                    <w:sz w:val="56"/>
                  </w:rPr>
                  <w:t>of </w:t>
                </w:r>
                <w:r>
                  <w:rPr>
                    <w:rFonts w:ascii="Raleway ExtraBold"/>
                    <w:b/>
                    <w:color w:val="37617A"/>
                    <w:spacing w:val="-4"/>
                    <w:sz w:val="56"/>
                  </w:rPr>
                  <w:t>reference</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80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7784" filled="true" fillcolor="#37617a" stroked="false">
          <v:fill type="solid"/>
          <w10:wrap type="none"/>
        </v:rect>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76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7736" filled="true" fillcolor="#37617a" stroked="false">
          <v:fill type="solid"/>
          <w10:wrap type="none"/>
        </v:rect>
      </w:pict>
    </w:r>
    <w:r>
      <w:rPr/>
      <w:pict>
        <v:shape style="position:absolute;margin-left:542.557129pt;margin-top:11.800014pt;width:20.45pt;height:23.15pt;mso-position-horizontal-relative:page;mso-position-vertical-relative:page;z-index:-35771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12</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68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7664" filled="true" fillcolor="#37617a" stroked="false">
          <v:fill type="solid"/>
          <w10:wrap type="none"/>
        </v:rect>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64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7616" filled="true" fillcolor="#37617a" stroked="false">
          <v:fill type="solid"/>
          <w10:wrap type="none"/>
        </v:rect>
      </w:pict>
    </w:r>
    <w:r>
      <w:rPr/>
      <w:pict>
        <v:shape style="position:absolute;margin-left:542.693115pt;margin-top:11.800014pt;width:19.9pt;height:23.15pt;mso-position-horizontal-relative:page;mso-position-vertical-relative:page;z-index:-35759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13</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56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912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7544" filled="true" fillcolor="#37617a" stroked="false">
          <v:fill type="solid"/>
          <w10:wrap type="none"/>
        </v:rect>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52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7496" filled="true" fillcolor="#37617a" stroked="false">
          <v:fill type="solid"/>
          <w10:wrap type="none"/>
        </v:rect>
      </w:pict>
    </w:r>
    <w:r>
      <w:rPr/>
      <w:pict>
        <v:shape style="position:absolute;margin-left:542.340210pt;margin-top:11.800014pt;width:21.05pt;height:23.15pt;mso-position-horizontal-relative:page;mso-position-vertical-relative:page;z-index:-35747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14</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44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7424" filled="true" fillcolor="#37617a" stroked="false">
          <v:fill type="solid"/>
          <w10:wrap type="none"/>
        </v:rect>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40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7376" filled="true" fillcolor="#37617a" stroked="false">
          <v:fill type="solid"/>
          <w10:wrap type="none"/>
        </v:rect>
      </w:pict>
    </w:r>
    <w:r>
      <w:rPr/>
      <w:pict>
        <v:shape style="position:absolute;margin-left:542.588623pt;margin-top:11.800014pt;width:20.3pt;height:23.15pt;mso-position-horizontal-relative:page;mso-position-vertical-relative:page;z-index:-35735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15</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32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7304" filled="true" fillcolor="#37617a" stroked="false">
          <v:fill type="solid"/>
          <w10:wrap type="none"/>
        </v:rect>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28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9104" filled="true" fillcolor="#37617a" stroked="false">
          <v:fill type="solid"/>
          <w10:wrap type="none"/>
        </v:rect>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7256" filled="true" fillcolor="#37617a" stroked="false">
          <v:fill type="solid"/>
          <w10:wrap type="none"/>
        </v:rect>
      </w:pict>
    </w:r>
    <w:r>
      <w:rPr/>
      <w:pict>
        <v:shape style="position:absolute;margin-left:542.245728pt;margin-top:11.800014pt;width:20.65pt;height:23.15pt;mso-position-horizontal-relative:page;mso-position-vertical-relative:page;z-index:-35723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16</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20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7184" filled="true" fillcolor="#37617a" stroked="false">
          <v:fill type="solid"/>
          <w10:wrap type="none"/>
        </v:rect>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16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7136" filled="true" fillcolor="#37617a" stroked="false">
          <v:fill type="solid"/>
          <w10:wrap type="none"/>
        </v:rect>
      </w:pict>
    </w:r>
    <w:r>
      <w:rPr/>
      <w:pict>
        <v:shape style="position:absolute;margin-left:542.970276pt;margin-top:11.800014pt;width:18.8pt;height:23.15pt;mso-position-horizontal-relative:page;mso-position-vertical-relative:page;z-index:-35711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pacing w:val="-16"/>
                    <w:sz w:val="36"/>
                  </w:rPr>
                  <w:t>17</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08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7064" filled="true" fillcolor="#37617a" stroked="false">
          <v:fill type="solid"/>
          <w10:wrap type="none"/>
        </v:rect>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704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908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7016" filled="true" fillcolor="#37617a" stroked="false">
          <v:fill type="solid"/>
          <w10:wrap type="none"/>
        </v:rect>
      </w:pict>
    </w:r>
    <w:r>
      <w:rPr/>
      <w:pict>
        <v:shape style="position:absolute;margin-left:542.234009pt;margin-top:11.800014pt;width:20.8pt;height:23.15pt;mso-position-horizontal-relative:page;mso-position-vertical-relative:page;z-index:-35699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18</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696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6944" filled="true" fillcolor="#37617a" stroked="false">
          <v:fill type="solid"/>
          <w10:wrap type="none"/>
        </v:rect>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6920"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38.581970pt;margin-top:.000015pt;width:28.346pt;height:42.52pt;mso-position-horizontal-relative:page;mso-position-vertical-relative:page;z-index:-356896" filled="true" fillcolor="#37617a" stroked="false">
          <v:fill type="solid"/>
          <w10:wrap type="none"/>
        </v:rect>
      </w:pict>
    </w:r>
    <w:r>
      <w:rPr/>
      <w:pict>
        <v:shape style="position:absolute;margin-left:542.446472pt;margin-top:11.800014pt;width:20.150pt;height:23.15pt;mso-position-horizontal-relative:page;mso-position-vertical-relative:page;z-index:-356872" type="#_x0000_t202" filled="false" stroked="false">
          <v:textbox inset="0,0,0,0">
            <w:txbxContent>
              <w:p>
                <w:pPr>
                  <w:spacing w:line="443" w:lineRule="exact" w:before="0"/>
                  <w:ind w:left="20" w:right="0" w:firstLine="0"/>
                  <w:jc w:val="left"/>
                  <w:rPr>
                    <w:rFonts w:ascii="Raleway SemiBold"/>
                    <w:b/>
                    <w:sz w:val="36"/>
                  </w:rPr>
                </w:pPr>
                <w:r>
                  <w:rPr>
                    <w:rFonts w:ascii="Raleway SemiBold"/>
                    <w:b/>
                    <w:color w:val="FFFFFF"/>
                    <w:sz w:val="36"/>
                  </w:rPr>
                  <w:t>19</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19699pt;margin-top:27.346714pt;width:108.7pt;height:17.650pt;mso-position-horizontal-relative:page;mso-position-vertical-relative:page;z-index:-356848" type="#_x0000_t202" filled="false" stroked="false">
          <v:textbox inset="0,0,0,0">
            <w:txbxContent>
              <w:p>
                <w:pPr>
                  <w:spacing w:line="162" w:lineRule="exact" w:before="0"/>
                  <w:ind w:left="20" w:right="0" w:firstLine="0"/>
                  <w:jc w:val="left"/>
                  <w:rPr>
                    <w:sz w:val="13"/>
                  </w:rPr>
                </w:pPr>
                <w:r>
                  <w:rPr>
                    <w:sz w:val="13"/>
                  </w:rPr>
                  <w:t>Victorian Law Reform Commission</w:t>
                </w:r>
              </w:p>
              <w:p>
                <w:pPr>
                  <w:spacing w:line="170" w:lineRule="exact" w:before="0"/>
                  <w:ind w:left="20" w:right="0" w:firstLine="0"/>
                  <w:jc w:val="left"/>
                  <w:rPr>
                    <w:b/>
                    <w:sz w:val="13"/>
                  </w:rPr>
                </w:pPr>
                <w:r>
                  <w:rPr>
                    <w:b/>
                    <w:sz w:val="13"/>
                  </w:rPr>
                  <w:t>Inclusive Juries: Report</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56824" filled="true" fillcolor="#37617a" stroked="false">
          <v:fill type="solid"/>
          <w10:wrap type="none"/>
        </v:rect>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8">
    <w:multiLevelType w:val="hybridMultilevel"/>
    <w:lvl w:ilvl="0">
      <w:start w:val="2"/>
      <w:numFmt w:val="decimal"/>
      <w:lvlText w:val="%1"/>
      <w:lvlJc w:val="left"/>
      <w:pPr>
        <w:ind w:left="1761" w:hanging="794"/>
        <w:jc w:val="right"/>
      </w:pPr>
      <w:rPr>
        <w:rFonts w:hint="default" w:ascii="Raleway" w:hAnsi="Raleway" w:eastAsia="Raleway" w:cs="Raleway"/>
        <w:w w:val="102"/>
        <w:sz w:val="13"/>
        <w:szCs w:val="13"/>
        <w:lang w:val="en-us" w:eastAsia="en-us" w:bidi="en-us"/>
      </w:rPr>
    </w:lvl>
    <w:lvl w:ilvl="1">
      <w:start w:val="0"/>
      <w:numFmt w:val="bullet"/>
      <w:lvlText w:val="-"/>
      <w:lvlJc w:val="left"/>
      <w:pPr>
        <w:ind w:left="2498" w:hanging="397"/>
      </w:pPr>
      <w:rPr>
        <w:rFonts w:hint="default" w:ascii="Raleway" w:hAnsi="Raleway" w:eastAsia="Raleway" w:cs="Raleway"/>
        <w:w w:val="100"/>
        <w:sz w:val="20"/>
        <w:szCs w:val="20"/>
        <w:lang w:val="en-us" w:eastAsia="en-us" w:bidi="en-us"/>
      </w:rPr>
    </w:lvl>
    <w:lvl w:ilvl="2">
      <w:start w:val="0"/>
      <w:numFmt w:val="bullet"/>
      <w:lvlText w:val="•"/>
      <w:lvlJc w:val="left"/>
      <w:pPr>
        <w:ind w:left="3298" w:hanging="397"/>
      </w:pPr>
      <w:rPr>
        <w:rFonts w:hint="default"/>
        <w:lang w:val="en-us" w:eastAsia="en-us" w:bidi="en-us"/>
      </w:rPr>
    </w:lvl>
    <w:lvl w:ilvl="3">
      <w:start w:val="0"/>
      <w:numFmt w:val="bullet"/>
      <w:lvlText w:val="•"/>
      <w:lvlJc w:val="left"/>
      <w:pPr>
        <w:ind w:left="4097" w:hanging="397"/>
      </w:pPr>
      <w:rPr>
        <w:rFonts w:hint="default"/>
        <w:lang w:val="en-us" w:eastAsia="en-us" w:bidi="en-us"/>
      </w:rPr>
    </w:lvl>
    <w:lvl w:ilvl="4">
      <w:start w:val="0"/>
      <w:numFmt w:val="bullet"/>
      <w:lvlText w:val="•"/>
      <w:lvlJc w:val="left"/>
      <w:pPr>
        <w:ind w:left="4896" w:hanging="397"/>
      </w:pPr>
      <w:rPr>
        <w:rFonts w:hint="default"/>
        <w:lang w:val="en-us" w:eastAsia="en-us" w:bidi="en-us"/>
      </w:rPr>
    </w:lvl>
    <w:lvl w:ilvl="5">
      <w:start w:val="0"/>
      <w:numFmt w:val="bullet"/>
      <w:lvlText w:val="•"/>
      <w:lvlJc w:val="left"/>
      <w:pPr>
        <w:ind w:left="5695" w:hanging="397"/>
      </w:pPr>
      <w:rPr>
        <w:rFonts w:hint="default"/>
        <w:lang w:val="en-us" w:eastAsia="en-us" w:bidi="en-us"/>
      </w:rPr>
    </w:lvl>
    <w:lvl w:ilvl="6">
      <w:start w:val="0"/>
      <w:numFmt w:val="bullet"/>
      <w:lvlText w:val="•"/>
      <w:lvlJc w:val="left"/>
      <w:pPr>
        <w:ind w:left="6494" w:hanging="397"/>
      </w:pPr>
      <w:rPr>
        <w:rFonts w:hint="default"/>
        <w:lang w:val="en-us" w:eastAsia="en-us" w:bidi="en-us"/>
      </w:rPr>
    </w:lvl>
    <w:lvl w:ilvl="7">
      <w:start w:val="0"/>
      <w:numFmt w:val="bullet"/>
      <w:lvlText w:val="•"/>
      <w:lvlJc w:val="left"/>
      <w:pPr>
        <w:ind w:left="7293" w:hanging="397"/>
      </w:pPr>
      <w:rPr>
        <w:rFonts w:hint="default"/>
        <w:lang w:val="en-us" w:eastAsia="en-us" w:bidi="en-us"/>
      </w:rPr>
    </w:lvl>
    <w:lvl w:ilvl="8">
      <w:start w:val="0"/>
      <w:numFmt w:val="bullet"/>
      <w:lvlText w:val="•"/>
      <w:lvlJc w:val="left"/>
      <w:pPr>
        <w:ind w:left="8091" w:hanging="397"/>
      </w:pPr>
      <w:rPr>
        <w:rFonts w:hint="default"/>
        <w:lang w:val="en-us" w:eastAsia="en-us" w:bidi="en-us"/>
      </w:rPr>
    </w:lvl>
  </w:abstractNum>
  <w:abstractNum w:abstractNumId="92">
    <w:multiLevelType w:val="hybridMultilevel"/>
    <w:lvl w:ilvl="0">
      <w:start w:val="71"/>
      <w:numFmt w:val="decimal"/>
      <w:lvlText w:val="%1"/>
      <w:lvlJc w:val="left"/>
      <w:pPr>
        <w:ind w:left="1761" w:hanging="794"/>
        <w:jc w:val="right"/>
      </w:pPr>
      <w:rPr>
        <w:rFonts w:hint="default" w:ascii="Raleway" w:hAnsi="Raleway" w:eastAsia="Raleway" w:cs="Raleway"/>
        <w:spacing w:val="0"/>
        <w:w w:val="101"/>
        <w:sz w:val="13"/>
        <w:szCs w:val="13"/>
        <w:lang w:val="en-us" w:eastAsia="en-us" w:bidi="en-us"/>
      </w:rPr>
    </w:lvl>
    <w:lvl w:ilvl="1">
      <w:start w:val="0"/>
      <w:numFmt w:val="bullet"/>
      <w:lvlText w:val="•"/>
      <w:lvlJc w:val="left"/>
      <w:pPr>
        <w:ind w:left="2157" w:hanging="397"/>
      </w:pPr>
      <w:rPr>
        <w:rFonts w:hint="default" w:ascii="Raleway" w:hAnsi="Raleway" w:eastAsia="Raleway" w:cs="Raleway"/>
        <w:w w:val="101"/>
        <w:sz w:val="20"/>
        <w:szCs w:val="20"/>
        <w:lang w:val="en-us" w:eastAsia="en-us" w:bidi="en-us"/>
      </w:rPr>
    </w:lvl>
    <w:lvl w:ilvl="2">
      <w:start w:val="0"/>
      <w:numFmt w:val="bullet"/>
      <w:lvlText w:val="-"/>
      <w:lvlJc w:val="left"/>
      <w:pPr>
        <w:ind w:left="2498" w:hanging="397"/>
      </w:pPr>
      <w:rPr>
        <w:rFonts w:hint="default" w:ascii="Raleway" w:hAnsi="Raleway" w:eastAsia="Raleway" w:cs="Raleway"/>
        <w:w w:val="100"/>
        <w:sz w:val="20"/>
        <w:szCs w:val="20"/>
        <w:lang w:val="en-us" w:eastAsia="en-us" w:bidi="en-us"/>
      </w:rPr>
    </w:lvl>
    <w:lvl w:ilvl="3">
      <w:start w:val="0"/>
      <w:numFmt w:val="bullet"/>
      <w:lvlText w:val="•"/>
      <w:lvlJc w:val="left"/>
      <w:pPr>
        <w:ind w:left="3381" w:hanging="397"/>
      </w:pPr>
      <w:rPr>
        <w:rFonts w:hint="default"/>
        <w:lang w:val="en-us" w:eastAsia="en-us" w:bidi="en-us"/>
      </w:rPr>
    </w:lvl>
    <w:lvl w:ilvl="4">
      <w:start w:val="0"/>
      <w:numFmt w:val="bullet"/>
      <w:lvlText w:val="•"/>
      <w:lvlJc w:val="left"/>
      <w:pPr>
        <w:ind w:left="4263" w:hanging="397"/>
      </w:pPr>
      <w:rPr>
        <w:rFonts w:hint="default"/>
        <w:lang w:val="en-us" w:eastAsia="en-us" w:bidi="en-us"/>
      </w:rPr>
    </w:lvl>
    <w:lvl w:ilvl="5">
      <w:start w:val="0"/>
      <w:numFmt w:val="bullet"/>
      <w:lvlText w:val="•"/>
      <w:lvlJc w:val="left"/>
      <w:pPr>
        <w:ind w:left="5145" w:hanging="397"/>
      </w:pPr>
      <w:rPr>
        <w:rFonts w:hint="default"/>
        <w:lang w:val="en-us" w:eastAsia="en-us" w:bidi="en-us"/>
      </w:rPr>
    </w:lvl>
    <w:lvl w:ilvl="6">
      <w:start w:val="0"/>
      <w:numFmt w:val="bullet"/>
      <w:lvlText w:val="•"/>
      <w:lvlJc w:val="left"/>
      <w:pPr>
        <w:ind w:left="6026" w:hanging="397"/>
      </w:pPr>
      <w:rPr>
        <w:rFonts w:hint="default"/>
        <w:lang w:val="en-us" w:eastAsia="en-us" w:bidi="en-us"/>
      </w:rPr>
    </w:lvl>
    <w:lvl w:ilvl="7">
      <w:start w:val="0"/>
      <w:numFmt w:val="bullet"/>
      <w:lvlText w:val="•"/>
      <w:lvlJc w:val="left"/>
      <w:pPr>
        <w:ind w:left="6908" w:hanging="397"/>
      </w:pPr>
      <w:rPr>
        <w:rFonts w:hint="default"/>
        <w:lang w:val="en-us" w:eastAsia="en-us" w:bidi="en-us"/>
      </w:rPr>
    </w:lvl>
    <w:lvl w:ilvl="8">
      <w:start w:val="0"/>
      <w:numFmt w:val="bullet"/>
      <w:lvlText w:val="•"/>
      <w:lvlJc w:val="left"/>
      <w:pPr>
        <w:ind w:left="7790" w:hanging="397"/>
      </w:pPr>
      <w:rPr>
        <w:rFonts w:hint="default"/>
        <w:lang w:val="en-us" w:eastAsia="en-us" w:bidi="en-us"/>
      </w:rPr>
    </w:lvl>
  </w:abstractNum>
  <w:abstractNum w:abstractNumId="90">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37">
    <w:multiLevelType w:val="hybridMultilevel"/>
    <w:lvl w:ilvl="0">
      <w:start w:val="77"/>
      <w:numFmt w:val="decimal"/>
      <w:lvlText w:val="%1"/>
      <w:lvlJc w:val="left"/>
      <w:pPr>
        <w:ind w:left="1761" w:hanging="794"/>
        <w:jc w:val="left"/>
      </w:pPr>
      <w:rPr>
        <w:rFonts w:hint="default" w:ascii="Raleway" w:hAnsi="Raleway" w:eastAsia="Raleway" w:cs="Raleway"/>
        <w:spacing w:val="0"/>
        <w:w w:val="102"/>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13">
    <w:multiLevelType w:val="hybridMultilevel"/>
    <w:lvl w:ilvl="0">
      <w:start w:val="18"/>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1">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0">
    <w:multiLevelType w:val="hybridMultilevel"/>
    <w:lvl w:ilvl="0">
      <w:start w:val="1"/>
      <w:numFmt w:val="decimal"/>
      <w:lvlText w:val="%1."/>
      <w:lvlJc w:val="left"/>
      <w:pPr>
        <w:ind w:left="1321" w:hanging="341"/>
        <w:jc w:val="left"/>
      </w:pPr>
      <w:rPr>
        <w:rFonts w:hint="default" w:ascii="Raleway" w:hAnsi="Raleway" w:eastAsia="Raleway" w:cs="Raleway"/>
        <w:b/>
        <w:bCs/>
        <w:color w:val="37617A"/>
        <w:spacing w:val="-3"/>
        <w:w w:val="100"/>
        <w:sz w:val="20"/>
        <w:szCs w:val="20"/>
        <w:lang w:val="en-us" w:eastAsia="en-us" w:bidi="en-us"/>
      </w:rPr>
    </w:lvl>
    <w:lvl w:ilvl="1">
      <w:start w:val="0"/>
      <w:numFmt w:val="bullet"/>
      <w:lvlText w:val="•"/>
      <w:lvlJc w:val="left"/>
      <w:pPr>
        <w:ind w:left="2278" w:hanging="341"/>
      </w:pPr>
      <w:rPr>
        <w:rFonts w:hint="default"/>
        <w:lang w:val="en-us" w:eastAsia="en-us" w:bidi="en-us"/>
      </w:rPr>
    </w:lvl>
    <w:lvl w:ilvl="2">
      <w:start w:val="0"/>
      <w:numFmt w:val="bullet"/>
      <w:lvlText w:val="•"/>
      <w:lvlJc w:val="left"/>
      <w:pPr>
        <w:ind w:left="3237" w:hanging="341"/>
      </w:pPr>
      <w:rPr>
        <w:rFonts w:hint="default"/>
        <w:lang w:val="en-us" w:eastAsia="en-us" w:bidi="en-us"/>
      </w:rPr>
    </w:lvl>
    <w:lvl w:ilvl="3">
      <w:start w:val="0"/>
      <w:numFmt w:val="bullet"/>
      <w:lvlText w:val="•"/>
      <w:lvlJc w:val="left"/>
      <w:pPr>
        <w:ind w:left="4195" w:hanging="341"/>
      </w:pPr>
      <w:rPr>
        <w:rFonts w:hint="default"/>
        <w:lang w:val="en-us" w:eastAsia="en-us" w:bidi="en-us"/>
      </w:rPr>
    </w:lvl>
    <w:lvl w:ilvl="4">
      <w:start w:val="0"/>
      <w:numFmt w:val="bullet"/>
      <w:lvlText w:val="•"/>
      <w:lvlJc w:val="left"/>
      <w:pPr>
        <w:ind w:left="5154" w:hanging="341"/>
      </w:pPr>
      <w:rPr>
        <w:rFonts w:hint="default"/>
        <w:lang w:val="en-us" w:eastAsia="en-us" w:bidi="en-us"/>
      </w:rPr>
    </w:lvl>
    <w:lvl w:ilvl="5">
      <w:start w:val="0"/>
      <w:numFmt w:val="bullet"/>
      <w:lvlText w:val="•"/>
      <w:lvlJc w:val="left"/>
      <w:pPr>
        <w:ind w:left="6112" w:hanging="341"/>
      </w:pPr>
      <w:rPr>
        <w:rFonts w:hint="default"/>
        <w:lang w:val="en-us" w:eastAsia="en-us" w:bidi="en-us"/>
      </w:rPr>
    </w:lvl>
    <w:lvl w:ilvl="6">
      <w:start w:val="0"/>
      <w:numFmt w:val="bullet"/>
      <w:lvlText w:val="•"/>
      <w:lvlJc w:val="left"/>
      <w:pPr>
        <w:ind w:left="7071" w:hanging="341"/>
      </w:pPr>
      <w:rPr>
        <w:rFonts w:hint="default"/>
        <w:lang w:val="en-us" w:eastAsia="en-us" w:bidi="en-us"/>
      </w:rPr>
    </w:lvl>
    <w:lvl w:ilvl="7">
      <w:start w:val="0"/>
      <w:numFmt w:val="bullet"/>
      <w:lvlText w:val="•"/>
      <w:lvlJc w:val="left"/>
      <w:pPr>
        <w:ind w:left="8029" w:hanging="341"/>
      </w:pPr>
      <w:rPr>
        <w:rFonts w:hint="default"/>
        <w:lang w:val="en-us" w:eastAsia="en-us" w:bidi="en-us"/>
      </w:rPr>
    </w:lvl>
    <w:lvl w:ilvl="8">
      <w:start w:val="0"/>
      <w:numFmt w:val="bullet"/>
      <w:lvlText w:val="•"/>
      <w:lvlJc w:val="left"/>
      <w:pPr>
        <w:ind w:left="8988" w:hanging="341"/>
      </w:pPr>
      <w:rPr>
        <w:rFonts w:hint="default"/>
        <w:lang w:val="en-us" w:eastAsia="en-us" w:bidi="en-us"/>
      </w:rPr>
    </w:lvl>
  </w:abstractNum>
  <w:abstractNum w:abstractNumId="142">
    <w:multiLevelType w:val="hybridMultilevel"/>
    <w:lvl w:ilvl="0">
      <w:start w:val="1"/>
      <w:numFmt w:val="decimal"/>
      <w:lvlText w:val="%1"/>
      <w:lvlJc w:val="left"/>
      <w:pPr>
        <w:ind w:left="505" w:hanging="250"/>
        <w:jc w:val="right"/>
      </w:pPr>
      <w:rPr>
        <w:rFonts w:hint="default" w:ascii="Raleway" w:hAnsi="Raleway" w:eastAsia="Raleway" w:cs="Raleway"/>
        <w:color w:val="231F20"/>
        <w:w w:val="96"/>
        <w:sz w:val="18"/>
        <w:szCs w:val="18"/>
        <w:lang w:val="en-us" w:eastAsia="en-us" w:bidi="en-us"/>
      </w:rPr>
    </w:lvl>
    <w:lvl w:ilvl="1">
      <w:start w:val="0"/>
      <w:numFmt w:val="bullet"/>
      <w:lvlText w:val="•"/>
      <w:lvlJc w:val="left"/>
      <w:pPr>
        <w:ind w:left="913" w:hanging="250"/>
      </w:pPr>
      <w:rPr>
        <w:rFonts w:hint="default"/>
        <w:lang w:val="en-us" w:eastAsia="en-us" w:bidi="en-us"/>
      </w:rPr>
    </w:lvl>
    <w:lvl w:ilvl="2">
      <w:start w:val="0"/>
      <w:numFmt w:val="bullet"/>
      <w:lvlText w:val="•"/>
      <w:lvlJc w:val="left"/>
      <w:pPr>
        <w:ind w:left="1327" w:hanging="250"/>
      </w:pPr>
      <w:rPr>
        <w:rFonts w:hint="default"/>
        <w:lang w:val="en-us" w:eastAsia="en-us" w:bidi="en-us"/>
      </w:rPr>
    </w:lvl>
    <w:lvl w:ilvl="3">
      <w:start w:val="0"/>
      <w:numFmt w:val="bullet"/>
      <w:lvlText w:val="•"/>
      <w:lvlJc w:val="left"/>
      <w:pPr>
        <w:ind w:left="1741" w:hanging="250"/>
      </w:pPr>
      <w:rPr>
        <w:rFonts w:hint="default"/>
        <w:lang w:val="en-us" w:eastAsia="en-us" w:bidi="en-us"/>
      </w:rPr>
    </w:lvl>
    <w:lvl w:ilvl="4">
      <w:start w:val="0"/>
      <w:numFmt w:val="bullet"/>
      <w:lvlText w:val="•"/>
      <w:lvlJc w:val="left"/>
      <w:pPr>
        <w:ind w:left="2155" w:hanging="250"/>
      </w:pPr>
      <w:rPr>
        <w:rFonts w:hint="default"/>
        <w:lang w:val="en-us" w:eastAsia="en-us" w:bidi="en-us"/>
      </w:rPr>
    </w:lvl>
    <w:lvl w:ilvl="5">
      <w:start w:val="0"/>
      <w:numFmt w:val="bullet"/>
      <w:lvlText w:val="•"/>
      <w:lvlJc w:val="left"/>
      <w:pPr>
        <w:ind w:left="2568" w:hanging="250"/>
      </w:pPr>
      <w:rPr>
        <w:rFonts w:hint="default"/>
        <w:lang w:val="en-us" w:eastAsia="en-us" w:bidi="en-us"/>
      </w:rPr>
    </w:lvl>
    <w:lvl w:ilvl="6">
      <w:start w:val="0"/>
      <w:numFmt w:val="bullet"/>
      <w:lvlText w:val="•"/>
      <w:lvlJc w:val="left"/>
      <w:pPr>
        <w:ind w:left="2982" w:hanging="250"/>
      </w:pPr>
      <w:rPr>
        <w:rFonts w:hint="default"/>
        <w:lang w:val="en-us" w:eastAsia="en-us" w:bidi="en-us"/>
      </w:rPr>
    </w:lvl>
    <w:lvl w:ilvl="7">
      <w:start w:val="0"/>
      <w:numFmt w:val="bullet"/>
      <w:lvlText w:val="•"/>
      <w:lvlJc w:val="left"/>
      <w:pPr>
        <w:ind w:left="3396" w:hanging="250"/>
      </w:pPr>
      <w:rPr>
        <w:rFonts w:hint="default"/>
        <w:lang w:val="en-us" w:eastAsia="en-us" w:bidi="en-us"/>
      </w:rPr>
    </w:lvl>
    <w:lvl w:ilvl="8">
      <w:start w:val="0"/>
      <w:numFmt w:val="bullet"/>
      <w:lvlText w:val="•"/>
      <w:lvlJc w:val="left"/>
      <w:pPr>
        <w:ind w:left="3810" w:hanging="250"/>
      </w:pPr>
      <w:rPr>
        <w:rFonts w:hint="default"/>
        <w:lang w:val="en-us" w:eastAsia="en-us" w:bidi="en-us"/>
      </w:rPr>
    </w:lvl>
  </w:abstractNum>
  <w:abstractNum w:abstractNumId="141">
    <w:multiLevelType w:val="hybridMultilevel"/>
    <w:lvl w:ilvl="0">
      <w:start w:val="0"/>
      <w:numFmt w:val="bullet"/>
      <w:lvlText w:val="-"/>
      <w:lvlJc w:val="left"/>
      <w:pPr>
        <w:ind w:left="1307" w:hanging="341"/>
      </w:pPr>
      <w:rPr>
        <w:rFonts w:hint="default" w:ascii="Raleway" w:hAnsi="Raleway" w:eastAsia="Raleway" w:cs="Raleway"/>
        <w:w w:val="100"/>
        <w:sz w:val="20"/>
        <w:szCs w:val="20"/>
        <w:lang w:val="en-us" w:eastAsia="en-us" w:bidi="en-us"/>
      </w:rPr>
    </w:lvl>
    <w:lvl w:ilvl="1">
      <w:start w:val="0"/>
      <w:numFmt w:val="bullet"/>
      <w:lvlText w:val="•"/>
      <w:lvlJc w:val="left"/>
      <w:pPr>
        <w:ind w:left="2260" w:hanging="341"/>
      </w:pPr>
      <w:rPr>
        <w:rFonts w:hint="default"/>
        <w:lang w:val="en-us" w:eastAsia="en-us" w:bidi="en-us"/>
      </w:rPr>
    </w:lvl>
    <w:lvl w:ilvl="2">
      <w:start w:val="0"/>
      <w:numFmt w:val="bullet"/>
      <w:lvlText w:val="•"/>
      <w:lvlJc w:val="left"/>
      <w:pPr>
        <w:ind w:left="3221" w:hanging="341"/>
      </w:pPr>
      <w:rPr>
        <w:rFonts w:hint="default"/>
        <w:lang w:val="en-us" w:eastAsia="en-us" w:bidi="en-us"/>
      </w:rPr>
    </w:lvl>
    <w:lvl w:ilvl="3">
      <w:start w:val="0"/>
      <w:numFmt w:val="bullet"/>
      <w:lvlText w:val="•"/>
      <w:lvlJc w:val="left"/>
      <w:pPr>
        <w:ind w:left="4181" w:hanging="341"/>
      </w:pPr>
      <w:rPr>
        <w:rFonts w:hint="default"/>
        <w:lang w:val="en-us" w:eastAsia="en-us" w:bidi="en-us"/>
      </w:rPr>
    </w:lvl>
    <w:lvl w:ilvl="4">
      <w:start w:val="0"/>
      <w:numFmt w:val="bullet"/>
      <w:lvlText w:val="•"/>
      <w:lvlJc w:val="left"/>
      <w:pPr>
        <w:ind w:left="5142" w:hanging="341"/>
      </w:pPr>
      <w:rPr>
        <w:rFonts w:hint="default"/>
        <w:lang w:val="en-us" w:eastAsia="en-us" w:bidi="en-us"/>
      </w:rPr>
    </w:lvl>
    <w:lvl w:ilvl="5">
      <w:start w:val="0"/>
      <w:numFmt w:val="bullet"/>
      <w:lvlText w:val="•"/>
      <w:lvlJc w:val="left"/>
      <w:pPr>
        <w:ind w:left="6102" w:hanging="341"/>
      </w:pPr>
      <w:rPr>
        <w:rFonts w:hint="default"/>
        <w:lang w:val="en-us" w:eastAsia="en-us" w:bidi="en-us"/>
      </w:rPr>
    </w:lvl>
    <w:lvl w:ilvl="6">
      <w:start w:val="0"/>
      <w:numFmt w:val="bullet"/>
      <w:lvlText w:val="•"/>
      <w:lvlJc w:val="left"/>
      <w:pPr>
        <w:ind w:left="7063" w:hanging="341"/>
      </w:pPr>
      <w:rPr>
        <w:rFonts w:hint="default"/>
        <w:lang w:val="en-us" w:eastAsia="en-us" w:bidi="en-us"/>
      </w:rPr>
    </w:lvl>
    <w:lvl w:ilvl="7">
      <w:start w:val="0"/>
      <w:numFmt w:val="bullet"/>
      <w:lvlText w:val="•"/>
      <w:lvlJc w:val="left"/>
      <w:pPr>
        <w:ind w:left="8023" w:hanging="341"/>
      </w:pPr>
      <w:rPr>
        <w:rFonts w:hint="default"/>
        <w:lang w:val="en-us" w:eastAsia="en-us" w:bidi="en-us"/>
      </w:rPr>
    </w:lvl>
    <w:lvl w:ilvl="8">
      <w:start w:val="0"/>
      <w:numFmt w:val="bullet"/>
      <w:lvlText w:val="•"/>
      <w:lvlJc w:val="left"/>
      <w:pPr>
        <w:ind w:left="8984" w:hanging="341"/>
      </w:pPr>
      <w:rPr>
        <w:rFonts w:hint="default"/>
        <w:lang w:val="en-us" w:eastAsia="en-us" w:bidi="en-us"/>
      </w:rPr>
    </w:lvl>
  </w:abstractNum>
  <w:abstractNum w:abstractNumId="140">
    <w:multiLevelType w:val="hybridMultilevel"/>
    <w:lvl w:ilvl="0">
      <w:start w:val="0"/>
      <w:numFmt w:val="bullet"/>
      <w:lvlText w:val="-"/>
      <w:lvlJc w:val="left"/>
      <w:pPr>
        <w:ind w:left="1307" w:hanging="341"/>
      </w:pPr>
      <w:rPr>
        <w:rFonts w:hint="default" w:ascii="Raleway" w:hAnsi="Raleway" w:eastAsia="Raleway" w:cs="Raleway"/>
        <w:w w:val="100"/>
        <w:sz w:val="20"/>
        <w:szCs w:val="20"/>
        <w:lang w:val="en-us" w:eastAsia="en-us" w:bidi="en-us"/>
      </w:rPr>
    </w:lvl>
    <w:lvl w:ilvl="1">
      <w:start w:val="0"/>
      <w:numFmt w:val="bullet"/>
      <w:lvlText w:val="•"/>
      <w:lvlJc w:val="left"/>
      <w:pPr>
        <w:ind w:left="2260" w:hanging="341"/>
      </w:pPr>
      <w:rPr>
        <w:rFonts w:hint="default"/>
        <w:lang w:val="en-us" w:eastAsia="en-us" w:bidi="en-us"/>
      </w:rPr>
    </w:lvl>
    <w:lvl w:ilvl="2">
      <w:start w:val="0"/>
      <w:numFmt w:val="bullet"/>
      <w:lvlText w:val="•"/>
      <w:lvlJc w:val="left"/>
      <w:pPr>
        <w:ind w:left="3221" w:hanging="341"/>
      </w:pPr>
      <w:rPr>
        <w:rFonts w:hint="default"/>
        <w:lang w:val="en-us" w:eastAsia="en-us" w:bidi="en-us"/>
      </w:rPr>
    </w:lvl>
    <w:lvl w:ilvl="3">
      <w:start w:val="0"/>
      <w:numFmt w:val="bullet"/>
      <w:lvlText w:val="•"/>
      <w:lvlJc w:val="left"/>
      <w:pPr>
        <w:ind w:left="4181" w:hanging="341"/>
      </w:pPr>
      <w:rPr>
        <w:rFonts w:hint="default"/>
        <w:lang w:val="en-us" w:eastAsia="en-us" w:bidi="en-us"/>
      </w:rPr>
    </w:lvl>
    <w:lvl w:ilvl="4">
      <w:start w:val="0"/>
      <w:numFmt w:val="bullet"/>
      <w:lvlText w:val="•"/>
      <w:lvlJc w:val="left"/>
      <w:pPr>
        <w:ind w:left="5142" w:hanging="341"/>
      </w:pPr>
      <w:rPr>
        <w:rFonts w:hint="default"/>
        <w:lang w:val="en-us" w:eastAsia="en-us" w:bidi="en-us"/>
      </w:rPr>
    </w:lvl>
    <w:lvl w:ilvl="5">
      <w:start w:val="0"/>
      <w:numFmt w:val="bullet"/>
      <w:lvlText w:val="•"/>
      <w:lvlJc w:val="left"/>
      <w:pPr>
        <w:ind w:left="6102" w:hanging="341"/>
      </w:pPr>
      <w:rPr>
        <w:rFonts w:hint="default"/>
        <w:lang w:val="en-us" w:eastAsia="en-us" w:bidi="en-us"/>
      </w:rPr>
    </w:lvl>
    <w:lvl w:ilvl="6">
      <w:start w:val="0"/>
      <w:numFmt w:val="bullet"/>
      <w:lvlText w:val="•"/>
      <w:lvlJc w:val="left"/>
      <w:pPr>
        <w:ind w:left="7063" w:hanging="341"/>
      </w:pPr>
      <w:rPr>
        <w:rFonts w:hint="default"/>
        <w:lang w:val="en-us" w:eastAsia="en-us" w:bidi="en-us"/>
      </w:rPr>
    </w:lvl>
    <w:lvl w:ilvl="7">
      <w:start w:val="0"/>
      <w:numFmt w:val="bullet"/>
      <w:lvlText w:val="•"/>
      <w:lvlJc w:val="left"/>
      <w:pPr>
        <w:ind w:left="8023" w:hanging="341"/>
      </w:pPr>
      <w:rPr>
        <w:rFonts w:hint="default"/>
        <w:lang w:val="en-us" w:eastAsia="en-us" w:bidi="en-us"/>
      </w:rPr>
    </w:lvl>
    <w:lvl w:ilvl="8">
      <w:start w:val="0"/>
      <w:numFmt w:val="bullet"/>
      <w:lvlText w:val="•"/>
      <w:lvlJc w:val="left"/>
      <w:pPr>
        <w:ind w:left="8984" w:hanging="341"/>
      </w:pPr>
      <w:rPr>
        <w:rFonts w:hint="default"/>
        <w:lang w:val="en-us" w:eastAsia="en-us" w:bidi="en-us"/>
      </w:rPr>
    </w:lvl>
  </w:abstractNum>
  <w:abstractNum w:abstractNumId="139">
    <w:multiLevelType w:val="hybridMultilevel"/>
    <w:lvl w:ilvl="0">
      <w:start w:val="0"/>
      <w:numFmt w:val="bullet"/>
      <w:lvlText w:val="-"/>
      <w:lvlJc w:val="left"/>
      <w:pPr>
        <w:ind w:left="1307" w:hanging="341"/>
      </w:pPr>
      <w:rPr>
        <w:rFonts w:hint="default" w:ascii="Raleway" w:hAnsi="Raleway" w:eastAsia="Raleway" w:cs="Raleway"/>
        <w:w w:val="100"/>
        <w:sz w:val="20"/>
        <w:szCs w:val="20"/>
        <w:lang w:val="en-us" w:eastAsia="en-us" w:bidi="en-us"/>
      </w:rPr>
    </w:lvl>
    <w:lvl w:ilvl="1">
      <w:start w:val="0"/>
      <w:numFmt w:val="bullet"/>
      <w:lvlText w:val="•"/>
      <w:lvlJc w:val="left"/>
      <w:pPr>
        <w:ind w:left="2260" w:hanging="341"/>
      </w:pPr>
      <w:rPr>
        <w:rFonts w:hint="default"/>
        <w:lang w:val="en-us" w:eastAsia="en-us" w:bidi="en-us"/>
      </w:rPr>
    </w:lvl>
    <w:lvl w:ilvl="2">
      <w:start w:val="0"/>
      <w:numFmt w:val="bullet"/>
      <w:lvlText w:val="•"/>
      <w:lvlJc w:val="left"/>
      <w:pPr>
        <w:ind w:left="3221" w:hanging="341"/>
      </w:pPr>
      <w:rPr>
        <w:rFonts w:hint="default"/>
        <w:lang w:val="en-us" w:eastAsia="en-us" w:bidi="en-us"/>
      </w:rPr>
    </w:lvl>
    <w:lvl w:ilvl="3">
      <w:start w:val="0"/>
      <w:numFmt w:val="bullet"/>
      <w:lvlText w:val="•"/>
      <w:lvlJc w:val="left"/>
      <w:pPr>
        <w:ind w:left="4181" w:hanging="341"/>
      </w:pPr>
      <w:rPr>
        <w:rFonts w:hint="default"/>
        <w:lang w:val="en-us" w:eastAsia="en-us" w:bidi="en-us"/>
      </w:rPr>
    </w:lvl>
    <w:lvl w:ilvl="4">
      <w:start w:val="0"/>
      <w:numFmt w:val="bullet"/>
      <w:lvlText w:val="•"/>
      <w:lvlJc w:val="left"/>
      <w:pPr>
        <w:ind w:left="5142" w:hanging="341"/>
      </w:pPr>
      <w:rPr>
        <w:rFonts w:hint="default"/>
        <w:lang w:val="en-us" w:eastAsia="en-us" w:bidi="en-us"/>
      </w:rPr>
    </w:lvl>
    <w:lvl w:ilvl="5">
      <w:start w:val="0"/>
      <w:numFmt w:val="bullet"/>
      <w:lvlText w:val="•"/>
      <w:lvlJc w:val="left"/>
      <w:pPr>
        <w:ind w:left="6102" w:hanging="341"/>
      </w:pPr>
      <w:rPr>
        <w:rFonts w:hint="default"/>
        <w:lang w:val="en-us" w:eastAsia="en-us" w:bidi="en-us"/>
      </w:rPr>
    </w:lvl>
    <w:lvl w:ilvl="6">
      <w:start w:val="0"/>
      <w:numFmt w:val="bullet"/>
      <w:lvlText w:val="•"/>
      <w:lvlJc w:val="left"/>
      <w:pPr>
        <w:ind w:left="7063" w:hanging="341"/>
      </w:pPr>
      <w:rPr>
        <w:rFonts w:hint="default"/>
        <w:lang w:val="en-us" w:eastAsia="en-us" w:bidi="en-us"/>
      </w:rPr>
    </w:lvl>
    <w:lvl w:ilvl="7">
      <w:start w:val="0"/>
      <w:numFmt w:val="bullet"/>
      <w:lvlText w:val="•"/>
      <w:lvlJc w:val="left"/>
      <w:pPr>
        <w:ind w:left="8023" w:hanging="341"/>
      </w:pPr>
      <w:rPr>
        <w:rFonts w:hint="default"/>
        <w:lang w:val="en-us" w:eastAsia="en-us" w:bidi="en-us"/>
      </w:rPr>
    </w:lvl>
    <w:lvl w:ilvl="8">
      <w:start w:val="0"/>
      <w:numFmt w:val="bullet"/>
      <w:lvlText w:val="•"/>
      <w:lvlJc w:val="left"/>
      <w:pPr>
        <w:ind w:left="8984" w:hanging="341"/>
      </w:pPr>
      <w:rPr>
        <w:rFonts w:hint="default"/>
        <w:lang w:val="en-us" w:eastAsia="en-us" w:bidi="en-us"/>
      </w:rPr>
    </w:lvl>
  </w:abstractNum>
  <w:abstractNum w:abstractNumId="138">
    <w:multiLevelType w:val="hybridMultilevel"/>
    <w:lvl w:ilvl="0">
      <w:start w:val="0"/>
      <w:numFmt w:val="bullet"/>
      <w:lvlText w:val="-"/>
      <w:lvlJc w:val="left"/>
      <w:pPr>
        <w:ind w:left="1307" w:hanging="341"/>
      </w:pPr>
      <w:rPr>
        <w:rFonts w:hint="default" w:ascii="Raleway" w:hAnsi="Raleway" w:eastAsia="Raleway" w:cs="Raleway"/>
        <w:w w:val="100"/>
        <w:sz w:val="20"/>
        <w:szCs w:val="20"/>
        <w:lang w:val="en-us" w:eastAsia="en-us" w:bidi="en-us"/>
      </w:rPr>
    </w:lvl>
    <w:lvl w:ilvl="1">
      <w:start w:val="0"/>
      <w:numFmt w:val="bullet"/>
      <w:lvlText w:val="•"/>
      <w:lvlJc w:val="left"/>
      <w:pPr>
        <w:ind w:left="2260" w:hanging="341"/>
      </w:pPr>
      <w:rPr>
        <w:rFonts w:hint="default"/>
        <w:lang w:val="en-us" w:eastAsia="en-us" w:bidi="en-us"/>
      </w:rPr>
    </w:lvl>
    <w:lvl w:ilvl="2">
      <w:start w:val="0"/>
      <w:numFmt w:val="bullet"/>
      <w:lvlText w:val="•"/>
      <w:lvlJc w:val="left"/>
      <w:pPr>
        <w:ind w:left="3221" w:hanging="341"/>
      </w:pPr>
      <w:rPr>
        <w:rFonts w:hint="default"/>
        <w:lang w:val="en-us" w:eastAsia="en-us" w:bidi="en-us"/>
      </w:rPr>
    </w:lvl>
    <w:lvl w:ilvl="3">
      <w:start w:val="0"/>
      <w:numFmt w:val="bullet"/>
      <w:lvlText w:val="•"/>
      <w:lvlJc w:val="left"/>
      <w:pPr>
        <w:ind w:left="4181" w:hanging="341"/>
      </w:pPr>
      <w:rPr>
        <w:rFonts w:hint="default"/>
        <w:lang w:val="en-us" w:eastAsia="en-us" w:bidi="en-us"/>
      </w:rPr>
    </w:lvl>
    <w:lvl w:ilvl="4">
      <w:start w:val="0"/>
      <w:numFmt w:val="bullet"/>
      <w:lvlText w:val="•"/>
      <w:lvlJc w:val="left"/>
      <w:pPr>
        <w:ind w:left="5142" w:hanging="341"/>
      </w:pPr>
      <w:rPr>
        <w:rFonts w:hint="default"/>
        <w:lang w:val="en-us" w:eastAsia="en-us" w:bidi="en-us"/>
      </w:rPr>
    </w:lvl>
    <w:lvl w:ilvl="5">
      <w:start w:val="0"/>
      <w:numFmt w:val="bullet"/>
      <w:lvlText w:val="•"/>
      <w:lvlJc w:val="left"/>
      <w:pPr>
        <w:ind w:left="6102" w:hanging="341"/>
      </w:pPr>
      <w:rPr>
        <w:rFonts w:hint="default"/>
        <w:lang w:val="en-us" w:eastAsia="en-us" w:bidi="en-us"/>
      </w:rPr>
    </w:lvl>
    <w:lvl w:ilvl="6">
      <w:start w:val="0"/>
      <w:numFmt w:val="bullet"/>
      <w:lvlText w:val="•"/>
      <w:lvlJc w:val="left"/>
      <w:pPr>
        <w:ind w:left="7063" w:hanging="341"/>
      </w:pPr>
      <w:rPr>
        <w:rFonts w:hint="default"/>
        <w:lang w:val="en-us" w:eastAsia="en-us" w:bidi="en-us"/>
      </w:rPr>
    </w:lvl>
    <w:lvl w:ilvl="7">
      <w:start w:val="0"/>
      <w:numFmt w:val="bullet"/>
      <w:lvlText w:val="•"/>
      <w:lvlJc w:val="left"/>
      <w:pPr>
        <w:ind w:left="8023" w:hanging="341"/>
      </w:pPr>
      <w:rPr>
        <w:rFonts w:hint="default"/>
        <w:lang w:val="en-us" w:eastAsia="en-us" w:bidi="en-us"/>
      </w:rPr>
    </w:lvl>
    <w:lvl w:ilvl="8">
      <w:start w:val="0"/>
      <w:numFmt w:val="bullet"/>
      <w:lvlText w:val="•"/>
      <w:lvlJc w:val="left"/>
      <w:pPr>
        <w:ind w:left="8984" w:hanging="341"/>
      </w:pPr>
      <w:rPr>
        <w:rFonts w:hint="default"/>
        <w:lang w:val="en-us" w:eastAsia="en-us" w:bidi="en-us"/>
      </w:rPr>
    </w:lvl>
  </w:abstractNum>
  <w:abstractNum w:abstractNumId="137">
    <w:multiLevelType w:val="hybridMultilevel"/>
    <w:lvl w:ilvl="0">
      <w:start w:val="0"/>
      <w:numFmt w:val="bullet"/>
      <w:lvlText w:val="-"/>
      <w:lvlJc w:val="left"/>
      <w:pPr>
        <w:ind w:left="1307" w:hanging="341"/>
      </w:pPr>
      <w:rPr>
        <w:rFonts w:hint="default" w:ascii="Raleway" w:hAnsi="Raleway" w:eastAsia="Raleway" w:cs="Raleway"/>
        <w:w w:val="100"/>
        <w:sz w:val="20"/>
        <w:szCs w:val="20"/>
        <w:lang w:val="en-us" w:eastAsia="en-us" w:bidi="en-us"/>
      </w:rPr>
    </w:lvl>
    <w:lvl w:ilvl="1">
      <w:start w:val="0"/>
      <w:numFmt w:val="bullet"/>
      <w:lvlText w:val="•"/>
      <w:lvlJc w:val="left"/>
      <w:pPr>
        <w:ind w:left="2260" w:hanging="341"/>
      </w:pPr>
      <w:rPr>
        <w:rFonts w:hint="default"/>
        <w:lang w:val="en-us" w:eastAsia="en-us" w:bidi="en-us"/>
      </w:rPr>
    </w:lvl>
    <w:lvl w:ilvl="2">
      <w:start w:val="0"/>
      <w:numFmt w:val="bullet"/>
      <w:lvlText w:val="•"/>
      <w:lvlJc w:val="left"/>
      <w:pPr>
        <w:ind w:left="3221" w:hanging="341"/>
      </w:pPr>
      <w:rPr>
        <w:rFonts w:hint="default"/>
        <w:lang w:val="en-us" w:eastAsia="en-us" w:bidi="en-us"/>
      </w:rPr>
    </w:lvl>
    <w:lvl w:ilvl="3">
      <w:start w:val="0"/>
      <w:numFmt w:val="bullet"/>
      <w:lvlText w:val="•"/>
      <w:lvlJc w:val="left"/>
      <w:pPr>
        <w:ind w:left="4181" w:hanging="341"/>
      </w:pPr>
      <w:rPr>
        <w:rFonts w:hint="default"/>
        <w:lang w:val="en-us" w:eastAsia="en-us" w:bidi="en-us"/>
      </w:rPr>
    </w:lvl>
    <w:lvl w:ilvl="4">
      <w:start w:val="0"/>
      <w:numFmt w:val="bullet"/>
      <w:lvlText w:val="•"/>
      <w:lvlJc w:val="left"/>
      <w:pPr>
        <w:ind w:left="5142" w:hanging="341"/>
      </w:pPr>
      <w:rPr>
        <w:rFonts w:hint="default"/>
        <w:lang w:val="en-us" w:eastAsia="en-us" w:bidi="en-us"/>
      </w:rPr>
    </w:lvl>
    <w:lvl w:ilvl="5">
      <w:start w:val="0"/>
      <w:numFmt w:val="bullet"/>
      <w:lvlText w:val="•"/>
      <w:lvlJc w:val="left"/>
      <w:pPr>
        <w:ind w:left="6102" w:hanging="341"/>
      </w:pPr>
      <w:rPr>
        <w:rFonts w:hint="default"/>
        <w:lang w:val="en-us" w:eastAsia="en-us" w:bidi="en-us"/>
      </w:rPr>
    </w:lvl>
    <w:lvl w:ilvl="6">
      <w:start w:val="0"/>
      <w:numFmt w:val="bullet"/>
      <w:lvlText w:val="•"/>
      <w:lvlJc w:val="left"/>
      <w:pPr>
        <w:ind w:left="7063" w:hanging="341"/>
      </w:pPr>
      <w:rPr>
        <w:rFonts w:hint="default"/>
        <w:lang w:val="en-us" w:eastAsia="en-us" w:bidi="en-us"/>
      </w:rPr>
    </w:lvl>
    <w:lvl w:ilvl="7">
      <w:start w:val="0"/>
      <w:numFmt w:val="bullet"/>
      <w:lvlText w:val="•"/>
      <w:lvlJc w:val="left"/>
      <w:pPr>
        <w:ind w:left="8023" w:hanging="341"/>
      </w:pPr>
      <w:rPr>
        <w:rFonts w:hint="default"/>
        <w:lang w:val="en-us" w:eastAsia="en-us" w:bidi="en-us"/>
      </w:rPr>
    </w:lvl>
    <w:lvl w:ilvl="8">
      <w:start w:val="0"/>
      <w:numFmt w:val="bullet"/>
      <w:lvlText w:val="•"/>
      <w:lvlJc w:val="left"/>
      <w:pPr>
        <w:ind w:left="8984" w:hanging="341"/>
      </w:pPr>
      <w:rPr>
        <w:rFonts w:hint="default"/>
        <w:lang w:val="en-us" w:eastAsia="en-us" w:bidi="en-us"/>
      </w:rPr>
    </w:lvl>
  </w:abstractNum>
  <w:abstractNum w:abstractNumId="136">
    <w:multiLevelType w:val="hybridMultilevel"/>
    <w:lvl w:ilvl="0">
      <w:start w:val="0"/>
      <w:numFmt w:val="bullet"/>
      <w:lvlText w:val="-"/>
      <w:lvlJc w:val="left"/>
      <w:pPr>
        <w:ind w:left="967" w:hanging="341"/>
      </w:pPr>
      <w:rPr>
        <w:rFonts w:hint="default" w:ascii="Raleway" w:hAnsi="Raleway" w:eastAsia="Raleway" w:cs="Raleway"/>
        <w:w w:val="100"/>
        <w:sz w:val="20"/>
        <w:szCs w:val="20"/>
        <w:lang w:val="en-us" w:eastAsia="en-us" w:bidi="en-us"/>
      </w:rPr>
    </w:lvl>
    <w:lvl w:ilvl="1">
      <w:start w:val="0"/>
      <w:numFmt w:val="bullet"/>
      <w:lvlText w:val="•"/>
      <w:lvlJc w:val="left"/>
      <w:pPr>
        <w:ind w:left="1954" w:hanging="341"/>
      </w:pPr>
      <w:rPr>
        <w:rFonts w:hint="default"/>
        <w:lang w:val="en-us" w:eastAsia="en-us" w:bidi="en-us"/>
      </w:rPr>
    </w:lvl>
    <w:lvl w:ilvl="2">
      <w:start w:val="0"/>
      <w:numFmt w:val="bullet"/>
      <w:lvlText w:val="•"/>
      <w:lvlJc w:val="left"/>
      <w:pPr>
        <w:ind w:left="2949" w:hanging="341"/>
      </w:pPr>
      <w:rPr>
        <w:rFonts w:hint="default"/>
        <w:lang w:val="en-us" w:eastAsia="en-us" w:bidi="en-us"/>
      </w:rPr>
    </w:lvl>
    <w:lvl w:ilvl="3">
      <w:start w:val="0"/>
      <w:numFmt w:val="bullet"/>
      <w:lvlText w:val="•"/>
      <w:lvlJc w:val="left"/>
      <w:pPr>
        <w:ind w:left="3943" w:hanging="341"/>
      </w:pPr>
      <w:rPr>
        <w:rFonts w:hint="default"/>
        <w:lang w:val="en-us" w:eastAsia="en-us" w:bidi="en-us"/>
      </w:rPr>
    </w:lvl>
    <w:lvl w:ilvl="4">
      <w:start w:val="0"/>
      <w:numFmt w:val="bullet"/>
      <w:lvlText w:val="•"/>
      <w:lvlJc w:val="left"/>
      <w:pPr>
        <w:ind w:left="4938" w:hanging="341"/>
      </w:pPr>
      <w:rPr>
        <w:rFonts w:hint="default"/>
        <w:lang w:val="en-us" w:eastAsia="en-us" w:bidi="en-us"/>
      </w:rPr>
    </w:lvl>
    <w:lvl w:ilvl="5">
      <w:start w:val="0"/>
      <w:numFmt w:val="bullet"/>
      <w:lvlText w:val="•"/>
      <w:lvlJc w:val="left"/>
      <w:pPr>
        <w:ind w:left="5932" w:hanging="341"/>
      </w:pPr>
      <w:rPr>
        <w:rFonts w:hint="default"/>
        <w:lang w:val="en-us" w:eastAsia="en-us" w:bidi="en-us"/>
      </w:rPr>
    </w:lvl>
    <w:lvl w:ilvl="6">
      <w:start w:val="0"/>
      <w:numFmt w:val="bullet"/>
      <w:lvlText w:val="•"/>
      <w:lvlJc w:val="left"/>
      <w:pPr>
        <w:ind w:left="6927" w:hanging="341"/>
      </w:pPr>
      <w:rPr>
        <w:rFonts w:hint="default"/>
        <w:lang w:val="en-us" w:eastAsia="en-us" w:bidi="en-us"/>
      </w:rPr>
    </w:lvl>
    <w:lvl w:ilvl="7">
      <w:start w:val="0"/>
      <w:numFmt w:val="bullet"/>
      <w:lvlText w:val="•"/>
      <w:lvlJc w:val="left"/>
      <w:pPr>
        <w:ind w:left="7921" w:hanging="341"/>
      </w:pPr>
      <w:rPr>
        <w:rFonts w:hint="default"/>
        <w:lang w:val="en-us" w:eastAsia="en-us" w:bidi="en-us"/>
      </w:rPr>
    </w:lvl>
    <w:lvl w:ilvl="8">
      <w:start w:val="0"/>
      <w:numFmt w:val="bullet"/>
      <w:lvlText w:val="•"/>
      <w:lvlJc w:val="left"/>
      <w:pPr>
        <w:ind w:left="8916" w:hanging="341"/>
      </w:pPr>
      <w:rPr>
        <w:rFonts w:hint="default"/>
        <w:lang w:val="en-us" w:eastAsia="en-us" w:bidi="en-us"/>
      </w:rPr>
    </w:lvl>
  </w:abstractNum>
  <w:abstractNum w:abstractNumId="135">
    <w:multiLevelType w:val="hybridMultilevel"/>
    <w:lvl w:ilvl="0">
      <w:start w:val="0"/>
      <w:numFmt w:val="bullet"/>
      <w:lvlText w:val="-"/>
      <w:lvlJc w:val="left"/>
      <w:pPr>
        <w:ind w:left="1307" w:hanging="341"/>
      </w:pPr>
      <w:rPr>
        <w:rFonts w:hint="default" w:ascii="Raleway" w:hAnsi="Raleway" w:eastAsia="Raleway" w:cs="Raleway"/>
        <w:w w:val="100"/>
        <w:sz w:val="20"/>
        <w:szCs w:val="20"/>
        <w:lang w:val="en-us" w:eastAsia="en-us" w:bidi="en-us"/>
      </w:rPr>
    </w:lvl>
    <w:lvl w:ilvl="1">
      <w:start w:val="0"/>
      <w:numFmt w:val="bullet"/>
      <w:lvlText w:val="•"/>
      <w:lvlJc w:val="left"/>
      <w:pPr>
        <w:ind w:left="2134" w:hanging="341"/>
      </w:pPr>
      <w:rPr>
        <w:rFonts w:hint="default"/>
        <w:lang w:val="en-us" w:eastAsia="en-us" w:bidi="en-us"/>
      </w:rPr>
    </w:lvl>
    <w:lvl w:ilvl="2">
      <w:start w:val="0"/>
      <w:numFmt w:val="bullet"/>
      <w:lvlText w:val="•"/>
      <w:lvlJc w:val="left"/>
      <w:pPr>
        <w:ind w:left="2969" w:hanging="341"/>
      </w:pPr>
      <w:rPr>
        <w:rFonts w:hint="default"/>
        <w:lang w:val="en-us" w:eastAsia="en-us" w:bidi="en-us"/>
      </w:rPr>
    </w:lvl>
    <w:lvl w:ilvl="3">
      <w:start w:val="0"/>
      <w:numFmt w:val="bullet"/>
      <w:lvlText w:val="•"/>
      <w:lvlJc w:val="left"/>
      <w:pPr>
        <w:ind w:left="3804" w:hanging="341"/>
      </w:pPr>
      <w:rPr>
        <w:rFonts w:hint="default"/>
        <w:lang w:val="en-us" w:eastAsia="en-us" w:bidi="en-us"/>
      </w:rPr>
    </w:lvl>
    <w:lvl w:ilvl="4">
      <w:start w:val="0"/>
      <w:numFmt w:val="bullet"/>
      <w:lvlText w:val="•"/>
      <w:lvlJc w:val="left"/>
      <w:pPr>
        <w:ind w:left="4638" w:hanging="341"/>
      </w:pPr>
      <w:rPr>
        <w:rFonts w:hint="default"/>
        <w:lang w:val="en-us" w:eastAsia="en-us" w:bidi="en-us"/>
      </w:rPr>
    </w:lvl>
    <w:lvl w:ilvl="5">
      <w:start w:val="0"/>
      <w:numFmt w:val="bullet"/>
      <w:lvlText w:val="•"/>
      <w:lvlJc w:val="left"/>
      <w:pPr>
        <w:ind w:left="5473" w:hanging="341"/>
      </w:pPr>
      <w:rPr>
        <w:rFonts w:hint="default"/>
        <w:lang w:val="en-us" w:eastAsia="en-us" w:bidi="en-us"/>
      </w:rPr>
    </w:lvl>
    <w:lvl w:ilvl="6">
      <w:start w:val="0"/>
      <w:numFmt w:val="bullet"/>
      <w:lvlText w:val="•"/>
      <w:lvlJc w:val="left"/>
      <w:pPr>
        <w:ind w:left="6308" w:hanging="341"/>
      </w:pPr>
      <w:rPr>
        <w:rFonts w:hint="default"/>
        <w:lang w:val="en-us" w:eastAsia="en-us" w:bidi="en-us"/>
      </w:rPr>
    </w:lvl>
    <w:lvl w:ilvl="7">
      <w:start w:val="0"/>
      <w:numFmt w:val="bullet"/>
      <w:lvlText w:val="•"/>
      <w:lvlJc w:val="left"/>
      <w:pPr>
        <w:ind w:left="7142" w:hanging="341"/>
      </w:pPr>
      <w:rPr>
        <w:rFonts w:hint="default"/>
        <w:lang w:val="en-us" w:eastAsia="en-us" w:bidi="en-us"/>
      </w:rPr>
    </w:lvl>
    <w:lvl w:ilvl="8">
      <w:start w:val="0"/>
      <w:numFmt w:val="bullet"/>
      <w:lvlText w:val="•"/>
      <w:lvlJc w:val="left"/>
      <w:pPr>
        <w:ind w:left="7977" w:hanging="341"/>
      </w:pPr>
      <w:rPr>
        <w:rFonts w:hint="default"/>
        <w:lang w:val="en-us" w:eastAsia="en-us" w:bidi="en-us"/>
      </w:rPr>
    </w:lvl>
  </w:abstractNum>
  <w:abstractNum w:abstractNumId="134">
    <w:multiLevelType w:val="hybridMultilevel"/>
    <w:lvl w:ilvl="0">
      <w:start w:val="0"/>
      <w:numFmt w:val="bullet"/>
      <w:lvlText w:val="-"/>
      <w:lvlJc w:val="left"/>
      <w:pPr>
        <w:ind w:left="1307" w:hanging="341"/>
      </w:pPr>
      <w:rPr>
        <w:rFonts w:hint="default" w:ascii="Raleway" w:hAnsi="Raleway" w:eastAsia="Raleway" w:cs="Raleway"/>
        <w:w w:val="100"/>
        <w:sz w:val="20"/>
        <w:szCs w:val="20"/>
        <w:lang w:val="en-us" w:eastAsia="en-us" w:bidi="en-us"/>
      </w:rPr>
    </w:lvl>
    <w:lvl w:ilvl="1">
      <w:start w:val="0"/>
      <w:numFmt w:val="bullet"/>
      <w:lvlText w:val="•"/>
      <w:lvlJc w:val="left"/>
      <w:pPr>
        <w:ind w:left="2260" w:hanging="341"/>
      </w:pPr>
      <w:rPr>
        <w:rFonts w:hint="default"/>
        <w:lang w:val="en-us" w:eastAsia="en-us" w:bidi="en-us"/>
      </w:rPr>
    </w:lvl>
    <w:lvl w:ilvl="2">
      <w:start w:val="0"/>
      <w:numFmt w:val="bullet"/>
      <w:lvlText w:val="•"/>
      <w:lvlJc w:val="left"/>
      <w:pPr>
        <w:ind w:left="3221" w:hanging="341"/>
      </w:pPr>
      <w:rPr>
        <w:rFonts w:hint="default"/>
        <w:lang w:val="en-us" w:eastAsia="en-us" w:bidi="en-us"/>
      </w:rPr>
    </w:lvl>
    <w:lvl w:ilvl="3">
      <w:start w:val="0"/>
      <w:numFmt w:val="bullet"/>
      <w:lvlText w:val="•"/>
      <w:lvlJc w:val="left"/>
      <w:pPr>
        <w:ind w:left="4181" w:hanging="341"/>
      </w:pPr>
      <w:rPr>
        <w:rFonts w:hint="default"/>
        <w:lang w:val="en-us" w:eastAsia="en-us" w:bidi="en-us"/>
      </w:rPr>
    </w:lvl>
    <w:lvl w:ilvl="4">
      <w:start w:val="0"/>
      <w:numFmt w:val="bullet"/>
      <w:lvlText w:val="•"/>
      <w:lvlJc w:val="left"/>
      <w:pPr>
        <w:ind w:left="5142" w:hanging="341"/>
      </w:pPr>
      <w:rPr>
        <w:rFonts w:hint="default"/>
        <w:lang w:val="en-us" w:eastAsia="en-us" w:bidi="en-us"/>
      </w:rPr>
    </w:lvl>
    <w:lvl w:ilvl="5">
      <w:start w:val="0"/>
      <w:numFmt w:val="bullet"/>
      <w:lvlText w:val="•"/>
      <w:lvlJc w:val="left"/>
      <w:pPr>
        <w:ind w:left="6102" w:hanging="341"/>
      </w:pPr>
      <w:rPr>
        <w:rFonts w:hint="default"/>
        <w:lang w:val="en-us" w:eastAsia="en-us" w:bidi="en-us"/>
      </w:rPr>
    </w:lvl>
    <w:lvl w:ilvl="6">
      <w:start w:val="0"/>
      <w:numFmt w:val="bullet"/>
      <w:lvlText w:val="•"/>
      <w:lvlJc w:val="left"/>
      <w:pPr>
        <w:ind w:left="7063" w:hanging="341"/>
      </w:pPr>
      <w:rPr>
        <w:rFonts w:hint="default"/>
        <w:lang w:val="en-us" w:eastAsia="en-us" w:bidi="en-us"/>
      </w:rPr>
    </w:lvl>
    <w:lvl w:ilvl="7">
      <w:start w:val="0"/>
      <w:numFmt w:val="bullet"/>
      <w:lvlText w:val="•"/>
      <w:lvlJc w:val="left"/>
      <w:pPr>
        <w:ind w:left="8023" w:hanging="341"/>
      </w:pPr>
      <w:rPr>
        <w:rFonts w:hint="default"/>
        <w:lang w:val="en-us" w:eastAsia="en-us" w:bidi="en-us"/>
      </w:rPr>
    </w:lvl>
    <w:lvl w:ilvl="8">
      <w:start w:val="0"/>
      <w:numFmt w:val="bullet"/>
      <w:lvlText w:val="•"/>
      <w:lvlJc w:val="left"/>
      <w:pPr>
        <w:ind w:left="8984" w:hanging="341"/>
      </w:pPr>
      <w:rPr>
        <w:rFonts w:hint="default"/>
        <w:lang w:val="en-us" w:eastAsia="en-us" w:bidi="en-us"/>
      </w:rPr>
    </w:lvl>
  </w:abstractNum>
  <w:abstractNum w:abstractNumId="133">
    <w:multiLevelType w:val="hybridMultilevel"/>
    <w:lvl w:ilvl="0">
      <w:start w:val="0"/>
      <w:numFmt w:val="bullet"/>
      <w:lvlText w:val="-"/>
      <w:lvlJc w:val="left"/>
      <w:pPr>
        <w:ind w:left="1307" w:hanging="341"/>
      </w:pPr>
      <w:rPr>
        <w:rFonts w:hint="default" w:ascii="Raleway" w:hAnsi="Raleway" w:eastAsia="Raleway" w:cs="Raleway"/>
        <w:w w:val="100"/>
        <w:sz w:val="20"/>
        <w:szCs w:val="20"/>
        <w:lang w:val="en-us" w:eastAsia="en-us" w:bidi="en-us"/>
      </w:rPr>
    </w:lvl>
    <w:lvl w:ilvl="1">
      <w:start w:val="0"/>
      <w:numFmt w:val="bullet"/>
      <w:lvlText w:val="•"/>
      <w:lvlJc w:val="left"/>
      <w:pPr>
        <w:ind w:left="2260" w:hanging="341"/>
      </w:pPr>
      <w:rPr>
        <w:rFonts w:hint="default"/>
        <w:lang w:val="en-us" w:eastAsia="en-us" w:bidi="en-us"/>
      </w:rPr>
    </w:lvl>
    <w:lvl w:ilvl="2">
      <w:start w:val="0"/>
      <w:numFmt w:val="bullet"/>
      <w:lvlText w:val="•"/>
      <w:lvlJc w:val="left"/>
      <w:pPr>
        <w:ind w:left="3221" w:hanging="341"/>
      </w:pPr>
      <w:rPr>
        <w:rFonts w:hint="default"/>
        <w:lang w:val="en-us" w:eastAsia="en-us" w:bidi="en-us"/>
      </w:rPr>
    </w:lvl>
    <w:lvl w:ilvl="3">
      <w:start w:val="0"/>
      <w:numFmt w:val="bullet"/>
      <w:lvlText w:val="•"/>
      <w:lvlJc w:val="left"/>
      <w:pPr>
        <w:ind w:left="4181" w:hanging="341"/>
      </w:pPr>
      <w:rPr>
        <w:rFonts w:hint="default"/>
        <w:lang w:val="en-us" w:eastAsia="en-us" w:bidi="en-us"/>
      </w:rPr>
    </w:lvl>
    <w:lvl w:ilvl="4">
      <w:start w:val="0"/>
      <w:numFmt w:val="bullet"/>
      <w:lvlText w:val="•"/>
      <w:lvlJc w:val="left"/>
      <w:pPr>
        <w:ind w:left="5142" w:hanging="341"/>
      </w:pPr>
      <w:rPr>
        <w:rFonts w:hint="default"/>
        <w:lang w:val="en-us" w:eastAsia="en-us" w:bidi="en-us"/>
      </w:rPr>
    </w:lvl>
    <w:lvl w:ilvl="5">
      <w:start w:val="0"/>
      <w:numFmt w:val="bullet"/>
      <w:lvlText w:val="•"/>
      <w:lvlJc w:val="left"/>
      <w:pPr>
        <w:ind w:left="6102" w:hanging="341"/>
      </w:pPr>
      <w:rPr>
        <w:rFonts w:hint="default"/>
        <w:lang w:val="en-us" w:eastAsia="en-us" w:bidi="en-us"/>
      </w:rPr>
    </w:lvl>
    <w:lvl w:ilvl="6">
      <w:start w:val="0"/>
      <w:numFmt w:val="bullet"/>
      <w:lvlText w:val="•"/>
      <w:lvlJc w:val="left"/>
      <w:pPr>
        <w:ind w:left="7063" w:hanging="341"/>
      </w:pPr>
      <w:rPr>
        <w:rFonts w:hint="default"/>
        <w:lang w:val="en-us" w:eastAsia="en-us" w:bidi="en-us"/>
      </w:rPr>
    </w:lvl>
    <w:lvl w:ilvl="7">
      <w:start w:val="0"/>
      <w:numFmt w:val="bullet"/>
      <w:lvlText w:val="•"/>
      <w:lvlJc w:val="left"/>
      <w:pPr>
        <w:ind w:left="8023" w:hanging="341"/>
      </w:pPr>
      <w:rPr>
        <w:rFonts w:hint="default"/>
        <w:lang w:val="en-us" w:eastAsia="en-us" w:bidi="en-us"/>
      </w:rPr>
    </w:lvl>
    <w:lvl w:ilvl="8">
      <w:start w:val="0"/>
      <w:numFmt w:val="bullet"/>
      <w:lvlText w:val="•"/>
      <w:lvlJc w:val="left"/>
      <w:pPr>
        <w:ind w:left="8984" w:hanging="341"/>
      </w:pPr>
      <w:rPr>
        <w:rFonts w:hint="default"/>
        <w:lang w:val="en-us" w:eastAsia="en-us" w:bidi="en-us"/>
      </w:rPr>
    </w:lvl>
  </w:abstractNum>
  <w:abstractNum w:abstractNumId="132">
    <w:multiLevelType w:val="hybridMultilevel"/>
    <w:lvl w:ilvl="0">
      <w:start w:val="0"/>
      <w:numFmt w:val="bullet"/>
      <w:lvlText w:val="-"/>
      <w:lvlJc w:val="left"/>
      <w:pPr>
        <w:ind w:left="1307" w:hanging="341"/>
      </w:pPr>
      <w:rPr>
        <w:rFonts w:hint="default" w:ascii="Raleway" w:hAnsi="Raleway" w:eastAsia="Raleway" w:cs="Raleway"/>
        <w:w w:val="100"/>
        <w:sz w:val="20"/>
        <w:szCs w:val="20"/>
        <w:lang w:val="en-us" w:eastAsia="en-us" w:bidi="en-us"/>
      </w:rPr>
    </w:lvl>
    <w:lvl w:ilvl="1">
      <w:start w:val="0"/>
      <w:numFmt w:val="bullet"/>
      <w:lvlText w:val="•"/>
      <w:lvlJc w:val="left"/>
      <w:pPr>
        <w:ind w:left="2260" w:hanging="341"/>
      </w:pPr>
      <w:rPr>
        <w:rFonts w:hint="default"/>
        <w:lang w:val="en-us" w:eastAsia="en-us" w:bidi="en-us"/>
      </w:rPr>
    </w:lvl>
    <w:lvl w:ilvl="2">
      <w:start w:val="0"/>
      <w:numFmt w:val="bullet"/>
      <w:lvlText w:val="•"/>
      <w:lvlJc w:val="left"/>
      <w:pPr>
        <w:ind w:left="3221" w:hanging="341"/>
      </w:pPr>
      <w:rPr>
        <w:rFonts w:hint="default"/>
        <w:lang w:val="en-us" w:eastAsia="en-us" w:bidi="en-us"/>
      </w:rPr>
    </w:lvl>
    <w:lvl w:ilvl="3">
      <w:start w:val="0"/>
      <w:numFmt w:val="bullet"/>
      <w:lvlText w:val="•"/>
      <w:lvlJc w:val="left"/>
      <w:pPr>
        <w:ind w:left="4181" w:hanging="341"/>
      </w:pPr>
      <w:rPr>
        <w:rFonts w:hint="default"/>
        <w:lang w:val="en-us" w:eastAsia="en-us" w:bidi="en-us"/>
      </w:rPr>
    </w:lvl>
    <w:lvl w:ilvl="4">
      <w:start w:val="0"/>
      <w:numFmt w:val="bullet"/>
      <w:lvlText w:val="•"/>
      <w:lvlJc w:val="left"/>
      <w:pPr>
        <w:ind w:left="5142" w:hanging="341"/>
      </w:pPr>
      <w:rPr>
        <w:rFonts w:hint="default"/>
        <w:lang w:val="en-us" w:eastAsia="en-us" w:bidi="en-us"/>
      </w:rPr>
    </w:lvl>
    <w:lvl w:ilvl="5">
      <w:start w:val="0"/>
      <w:numFmt w:val="bullet"/>
      <w:lvlText w:val="•"/>
      <w:lvlJc w:val="left"/>
      <w:pPr>
        <w:ind w:left="6102" w:hanging="341"/>
      </w:pPr>
      <w:rPr>
        <w:rFonts w:hint="default"/>
        <w:lang w:val="en-us" w:eastAsia="en-us" w:bidi="en-us"/>
      </w:rPr>
    </w:lvl>
    <w:lvl w:ilvl="6">
      <w:start w:val="0"/>
      <w:numFmt w:val="bullet"/>
      <w:lvlText w:val="•"/>
      <w:lvlJc w:val="left"/>
      <w:pPr>
        <w:ind w:left="7063" w:hanging="341"/>
      </w:pPr>
      <w:rPr>
        <w:rFonts w:hint="default"/>
        <w:lang w:val="en-us" w:eastAsia="en-us" w:bidi="en-us"/>
      </w:rPr>
    </w:lvl>
    <w:lvl w:ilvl="7">
      <w:start w:val="0"/>
      <w:numFmt w:val="bullet"/>
      <w:lvlText w:val="•"/>
      <w:lvlJc w:val="left"/>
      <w:pPr>
        <w:ind w:left="8023" w:hanging="341"/>
      </w:pPr>
      <w:rPr>
        <w:rFonts w:hint="default"/>
        <w:lang w:val="en-us" w:eastAsia="en-us" w:bidi="en-us"/>
      </w:rPr>
    </w:lvl>
    <w:lvl w:ilvl="8">
      <w:start w:val="0"/>
      <w:numFmt w:val="bullet"/>
      <w:lvlText w:val="•"/>
      <w:lvlJc w:val="left"/>
      <w:pPr>
        <w:ind w:left="8984" w:hanging="341"/>
      </w:pPr>
      <w:rPr>
        <w:rFonts w:hint="default"/>
        <w:lang w:val="en-us" w:eastAsia="en-us" w:bidi="en-us"/>
      </w:rPr>
    </w:lvl>
  </w:abstractNum>
  <w:abstractNum w:abstractNumId="131">
    <w:multiLevelType w:val="hybridMultilevel"/>
    <w:lvl w:ilvl="0">
      <w:start w:val="0"/>
      <w:numFmt w:val="bullet"/>
      <w:lvlText w:val="-"/>
      <w:lvlJc w:val="left"/>
      <w:pPr>
        <w:ind w:left="1307" w:hanging="341"/>
      </w:pPr>
      <w:rPr>
        <w:rFonts w:hint="default" w:ascii="Raleway" w:hAnsi="Raleway" w:eastAsia="Raleway" w:cs="Raleway"/>
        <w:w w:val="100"/>
        <w:sz w:val="20"/>
        <w:szCs w:val="20"/>
        <w:lang w:val="en-us" w:eastAsia="en-us" w:bidi="en-us"/>
      </w:rPr>
    </w:lvl>
    <w:lvl w:ilvl="1">
      <w:start w:val="0"/>
      <w:numFmt w:val="bullet"/>
      <w:lvlText w:val="•"/>
      <w:lvlJc w:val="left"/>
      <w:pPr>
        <w:ind w:left="2138" w:hanging="341"/>
      </w:pPr>
      <w:rPr>
        <w:rFonts w:hint="default"/>
        <w:lang w:val="en-us" w:eastAsia="en-us" w:bidi="en-us"/>
      </w:rPr>
    </w:lvl>
    <w:lvl w:ilvl="2">
      <w:start w:val="0"/>
      <w:numFmt w:val="bullet"/>
      <w:lvlText w:val="•"/>
      <w:lvlJc w:val="left"/>
      <w:pPr>
        <w:ind w:left="2976" w:hanging="341"/>
      </w:pPr>
      <w:rPr>
        <w:rFonts w:hint="default"/>
        <w:lang w:val="en-us" w:eastAsia="en-us" w:bidi="en-us"/>
      </w:rPr>
    </w:lvl>
    <w:lvl w:ilvl="3">
      <w:start w:val="0"/>
      <w:numFmt w:val="bullet"/>
      <w:lvlText w:val="•"/>
      <w:lvlJc w:val="left"/>
      <w:pPr>
        <w:ind w:left="3815" w:hanging="341"/>
      </w:pPr>
      <w:rPr>
        <w:rFonts w:hint="default"/>
        <w:lang w:val="en-us" w:eastAsia="en-us" w:bidi="en-us"/>
      </w:rPr>
    </w:lvl>
    <w:lvl w:ilvl="4">
      <w:start w:val="0"/>
      <w:numFmt w:val="bullet"/>
      <w:lvlText w:val="•"/>
      <w:lvlJc w:val="left"/>
      <w:pPr>
        <w:ind w:left="4653" w:hanging="341"/>
      </w:pPr>
      <w:rPr>
        <w:rFonts w:hint="default"/>
        <w:lang w:val="en-us" w:eastAsia="en-us" w:bidi="en-us"/>
      </w:rPr>
    </w:lvl>
    <w:lvl w:ilvl="5">
      <w:start w:val="0"/>
      <w:numFmt w:val="bullet"/>
      <w:lvlText w:val="•"/>
      <w:lvlJc w:val="left"/>
      <w:pPr>
        <w:ind w:left="5491" w:hanging="341"/>
      </w:pPr>
      <w:rPr>
        <w:rFonts w:hint="default"/>
        <w:lang w:val="en-us" w:eastAsia="en-us" w:bidi="en-us"/>
      </w:rPr>
    </w:lvl>
    <w:lvl w:ilvl="6">
      <w:start w:val="0"/>
      <w:numFmt w:val="bullet"/>
      <w:lvlText w:val="•"/>
      <w:lvlJc w:val="left"/>
      <w:pPr>
        <w:ind w:left="6330" w:hanging="341"/>
      </w:pPr>
      <w:rPr>
        <w:rFonts w:hint="default"/>
        <w:lang w:val="en-us" w:eastAsia="en-us" w:bidi="en-us"/>
      </w:rPr>
    </w:lvl>
    <w:lvl w:ilvl="7">
      <w:start w:val="0"/>
      <w:numFmt w:val="bullet"/>
      <w:lvlText w:val="•"/>
      <w:lvlJc w:val="left"/>
      <w:pPr>
        <w:ind w:left="7168" w:hanging="341"/>
      </w:pPr>
      <w:rPr>
        <w:rFonts w:hint="default"/>
        <w:lang w:val="en-us" w:eastAsia="en-us" w:bidi="en-us"/>
      </w:rPr>
    </w:lvl>
    <w:lvl w:ilvl="8">
      <w:start w:val="0"/>
      <w:numFmt w:val="bullet"/>
      <w:lvlText w:val="•"/>
      <w:lvlJc w:val="left"/>
      <w:pPr>
        <w:ind w:left="8007" w:hanging="341"/>
      </w:pPr>
      <w:rPr>
        <w:rFonts w:hint="default"/>
        <w:lang w:val="en-us" w:eastAsia="en-us" w:bidi="en-us"/>
      </w:rPr>
    </w:lvl>
  </w:abstractNum>
  <w:abstractNum w:abstractNumId="130">
    <w:multiLevelType w:val="hybridMultilevel"/>
    <w:lvl w:ilvl="0">
      <w:start w:val="0"/>
      <w:numFmt w:val="bullet"/>
      <w:lvlText w:val="-"/>
      <w:lvlJc w:val="left"/>
      <w:pPr>
        <w:ind w:left="1307" w:hanging="341"/>
      </w:pPr>
      <w:rPr>
        <w:rFonts w:hint="default" w:ascii="Raleway" w:hAnsi="Raleway" w:eastAsia="Raleway" w:cs="Raleway"/>
        <w:w w:val="100"/>
        <w:sz w:val="20"/>
        <w:szCs w:val="20"/>
        <w:lang w:val="en-us" w:eastAsia="en-us" w:bidi="en-us"/>
      </w:rPr>
    </w:lvl>
    <w:lvl w:ilvl="1">
      <w:start w:val="0"/>
      <w:numFmt w:val="bullet"/>
      <w:lvlText w:val="•"/>
      <w:lvlJc w:val="left"/>
      <w:pPr>
        <w:ind w:left="2260" w:hanging="341"/>
      </w:pPr>
      <w:rPr>
        <w:rFonts w:hint="default"/>
        <w:lang w:val="en-us" w:eastAsia="en-us" w:bidi="en-us"/>
      </w:rPr>
    </w:lvl>
    <w:lvl w:ilvl="2">
      <w:start w:val="0"/>
      <w:numFmt w:val="bullet"/>
      <w:lvlText w:val="•"/>
      <w:lvlJc w:val="left"/>
      <w:pPr>
        <w:ind w:left="3221" w:hanging="341"/>
      </w:pPr>
      <w:rPr>
        <w:rFonts w:hint="default"/>
        <w:lang w:val="en-us" w:eastAsia="en-us" w:bidi="en-us"/>
      </w:rPr>
    </w:lvl>
    <w:lvl w:ilvl="3">
      <w:start w:val="0"/>
      <w:numFmt w:val="bullet"/>
      <w:lvlText w:val="•"/>
      <w:lvlJc w:val="left"/>
      <w:pPr>
        <w:ind w:left="4181" w:hanging="341"/>
      </w:pPr>
      <w:rPr>
        <w:rFonts w:hint="default"/>
        <w:lang w:val="en-us" w:eastAsia="en-us" w:bidi="en-us"/>
      </w:rPr>
    </w:lvl>
    <w:lvl w:ilvl="4">
      <w:start w:val="0"/>
      <w:numFmt w:val="bullet"/>
      <w:lvlText w:val="•"/>
      <w:lvlJc w:val="left"/>
      <w:pPr>
        <w:ind w:left="5142" w:hanging="341"/>
      </w:pPr>
      <w:rPr>
        <w:rFonts w:hint="default"/>
        <w:lang w:val="en-us" w:eastAsia="en-us" w:bidi="en-us"/>
      </w:rPr>
    </w:lvl>
    <w:lvl w:ilvl="5">
      <w:start w:val="0"/>
      <w:numFmt w:val="bullet"/>
      <w:lvlText w:val="•"/>
      <w:lvlJc w:val="left"/>
      <w:pPr>
        <w:ind w:left="6102" w:hanging="341"/>
      </w:pPr>
      <w:rPr>
        <w:rFonts w:hint="default"/>
        <w:lang w:val="en-us" w:eastAsia="en-us" w:bidi="en-us"/>
      </w:rPr>
    </w:lvl>
    <w:lvl w:ilvl="6">
      <w:start w:val="0"/>
      <w:numFmt w:val="bullet"/>
      <w:lvlText w:val="•"/>
      <w:lvlJc w:val="left"/>
      <w:pPr>
        <w:ind w:left="7063" w:hanging="341"/>
      </w:pPr>
      <w:rPr>
        <w:rFonts w:hint="default"/>
        <w:lang w:val="en-us" w:eastAsia="en-us" w:bidi="en-us"/>
      </w:rPr>
    </w:lvl>
    <w:lvl w:ilvl="7">
      <w:start w:val="0"/>
      <w:numFmt w:val="bullet"/>
      <w:lvlText w:val="•"/>
      <w:lvlJc w:val="left"/>
      <w:pPr>
        <w:ind w:left="8023" w:hanging="341"/>
      </w:pPr>
      <w:rPr>
        <w:rFonts w:hint="default"/>
        <w:lang w:val="en-us" w:eastAsia="en-us" w:bidi="en-us"/>
      </w:rPr>
    </w:lvl>
    <w:lvl w:ilvl="8">
      <w:start w:val="0"/>
      <w:numFmt w:val="bullet"/>
      <w:lvlText w:val="•"/>
      <w:lvlJc w:val="left"/>
      <w:pPr>
        <w:ind w:left="8984" w:hanging="341"/>
      </w:pPr>
      <w:rPr>
        <w:rFonts w:hint="default"/>
        <w:lang w:val="en-us" w:eastAsia="en-us" w:bidi="en-us"/>
      </w:rPr>
    </w:lvl>
  </w:abstractNum>
  <w:abstractNum w:abstractNumId="129">
    <w:multiLevelType w:val="hybridMultilevel"/>
    <w:lvl w:ilvl="0">
      <w:start w:val="0"/>
      <w:numFmt w:val="bullet"/>
      <w:lvlText w:val="-"/>
      <w:lvlJc w:val="left"/>
      <w:pPr>
        <w:ind w:left="1307" w:hanging="341"/>
      </w:pPr>
      <w:rPr>
        <w:rFonts w:hint="default" w:ascii="Raleway" w:hAnsi="Raleway" w:eastAsia="Raleway" w:cs="Raleway"/>
        <w:w w:val="100"/>
        <w:sz w:val="20"/>
        <w:szCs w:val="20"/>
        <w:lang w:val="en-us" w:eastAsia="en-us" w:bidi="en-us"/>
      </w:rPr>
    </w:lvl>
    <w:lvl w:ilvl="1">
      <w:start w:val="0"/>
      <w:numFmt w:val="bullet"/>
      <w:lvlText w:val="•"/>
      <w:lvlJc w:val="left"/>
      <w:pPr>
        <w:ind w:left="2260" w:hanging="341"/>
      </w:pPr>
      <w:rPr>
        <w:rFonts w:hint="default"/>
        <w:lang w:val="en-us" w:eastAsia="en-us" w:bidi="en-us"/>
      </w:rPr>
    </w:lvl>
    <w:lvl w:ilvl="2">
      <w:start w:val="0"/>
      <w:numFmt w:val="bullet"/>
      <w:lvlText w:val="•"/>
      <w:lvlJc w:val="left"/>
      <w:pPr>
        <w:ind w:left="3221" w:hanging="341"/>
      </w:pPr>
      <w:rPr>
        <w:rFonts w:hint="default"/>
        <w:lang w:val="en-us" w:eastAsia="en-us" w:bidi="en-us"/>
      </w:rPr>
    </w:lvl>
    <w:lvl w:ilvl="3">
      <w:start w:val="0"/>
      <w:numFmt w:val="bullet"/>
      <w:lvlText w:val="•"/>
      <w:lvlJc w:val="left"/>
      <w:pPr>
        <w:ind w:left="4181" w:hanging="341"/>
      </w:pPr>
      <w:rPr>
        <w:rFonts w:hint="default"/>
        <w:lang w:val="en-us" w:eastAsia="en-us" w:bidi="en-us"/>
      </w:rPr>
    </w:lvl>
    <w:lvl w:ilvl="4">
      <w:start w:val="0"/>
      <w:numFmt w:val="bullet"/>
      <w:lvlText w:val="•"/>
      <w:lvlJc w:val="left"/>
      <w:pPr>
        <w:ind w:left="5142" w:hanging="341"/>
      </w:pPr>
      <w:rPr>
        <w:rFonts w:hint="default"/>
        <w:lang w:val="en-us" w:eastAsia="en-us" w:bidi="en-us"/>
      </w:rPr>
    </w:lvl>
    <w:lvl w:ilvl="5">
      <w:start w:val="0"/>
      <w:numFmt w:val="bullet"/>
      <w:lvlText w:val="•"/>
      <w:lvlJc w:val="left"/>
      <w:pPr>
        <w:ind w:left="6102" w:hanging="341"/>
      </w:pPr>
      <w:rPr>
        <w:rFonts w:hint="default"/>
        <w:lang w:val="en-us" w:eastAsia="en-us" w:bidi="en-us"/>
      </w:rPr>
    </w:lvl>
    <w:lvl w:ilvl="6">
      <w:start w:val="0"/>
      <w:numFmt w:val="bullet"/>
      <w:lvlText w:val="•"/>
      <w:lvlJc w:val="left"/>
      <w:pPr>
        <w:ind w:left="7063" w:hanging="341"/>
      </w:pPr>
      <w:rPr>
        <w:rFonts w:hint="default"/>
        <w:lang w:val="en-us" w:eastAsia="en-us" w:bidi="en-us"/>
      </w:rPr>
    </w:lvl>
    <w:lvl w:ilvl="7">
      <w:start w:val="0"/>
      <w:numFmt w:val="bullet"/>
      <w:lvlText w:val="•"/>
      <w:lvlJc w:val="left"/>
      <w:pPr>
        <w:ind w:left="8023" w:hanging="341"/>
      </w:pPr>
      <w:rPr>
        <w:rFonts w:hint="default"/>
        <w:lang w:val="en-us" w:eastAsia="en-us" w:bidi="en-us"/>
      </w:rPr>
    </w:lvl>
    <w:lvl w:ilvl="8">
      <w:start w:val="0"/>
      <w:numFmt w:val="bullet"/>
      <w:lvlText w:val="•"/>
      <w:lvlJc w:val="left"/>
      <w:pPr>
        <w:ind w:left="8984" w:hanging="341"/>
      </w:pPr>
      <w:rPr>
        <w:rFonts w:hint="default"/>
        <w:lang w:val="en-us" w:eastAsia="en-us" w:bidi="en-us"/>
      </w:rPr>
    </w:lvl>
  </w:abstractNum>
  <w:abstractNum w:abstractNumId="128">
    <w:multiLevelType w:val="hybridMultilevel"/>
    <w:lvl w:ilvl="0">
      <w:start w:val="1"/>
      <w:numFmt w:val="decimal"/>
      <w:lvlText w:val="%1"/>
      <w:lvlJc w:val="left"/>
      <w:pPr>
        <w:ind w:left="1761" w:hanging="794"/>
        <w:jc w:val="left"/>
      </w:pPr>
      <w:rPr>
        <w:rFonts w:hint="default" w:ascii="Raleway" w:hAnsi="Raleway" w:eastAsia="Raleway" w:cs="Raleway"/>
        <w:spacing w:val="-6"/>
        <w:w w:val="97"/>
        <w:sz w:val="20"/>
        <w:szCs w:val="20"/>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127">
    <w:multiLevelType w:val="hybridMultilevel"/>
    <w:lvl w:ilvl="0">
      <w:start w:val="1"/>
      <w:numFmt w:val="decimal"/>
      <w:lvlText w:val="%1"/>
      <w:lvlJc w:val="left"/>
      <w:pPr>
        <w:ind w:left="1761" w:hanging="794"/>
        <w:jc w:val="left"/>
      </w:pPr>
      <w:rPr>
        <w:rFonts w:hint="default" w:ascii="Raleway" w:hAnsi="Raleway" w:eastAsia="Raleway" w:cs="Raleway"/>
        <w:spacing w:val="-17"/>
        <w:w w:val="91"/>
        <w:sz w:val="20"/>
        <w:szCs w:val="20"/>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126">
    <w:multiLevelType w:val="hybridMultilevel"/>
    <w:lvl w:ilvl="0">
      <w:start w:val="30"/>
      <w:numFmt w:val="decimal"/>
      <w:lvlText w:val="%1."/>
      <w:lvlJc w:val="left"/>
      <w:pPr>
        <w:ind w:left="893" w:hanging="214"/>
        <w:jc w:val="left"/>
      </w:pPr>
      <w:rPr>
        <w:rFonts w:hint="default" w:ascii="Raleway" w:hAnsi="Raleway" w:eastAsia="Raleway" w:cs="Raleway"/>
        <w:spacing w:val="-19"/>
        <w:w w:val="91"/>
        <w:sz w:val="13"/>
        <w:szCs w:val="13"/>
        <w:lang w:val="en-us" w:eastAsia="en-us" w:bidi="en-us"/>
      </w:rPr>
    </w:lvl>
    <w:lvl w:ilvl="1">
      <w:start w:val="50"/>
      <w:numFmt w:val="decimal"/>
      <w:lvlText w:val="%2."/>
      <w:lvlJc w:val="left"/>
      <w:pPr>
        <w:ind w:left="1761" w:hanging="567"/>
        <w:jc w:val="left"/>
      </w:pPr>
      <w:rPr>
        <w:rFonts w:hint="default" w:ascii="Trebuchet MS" w:hAnsi="Trebuchet MS" w:eastAsia="Trebuchet MS" w:cs="Trebuchet MS"/>
        <w:spacing w:val="-3"/>
        <w:w w:val="55"/>
        <w:sz w:val="20"/>
        <w:szCs w:val="20"/>
        <w:lang w:val="en-us" w:eastAsia="en-us" w:bidi="en-us"/>
      </w:rPr>
    </w:lvl>
    <w:lvl w:ilvl="2">
      <w:start w:val="0"/>
      <w:numFmt w:val="bullet"/>
      <w:lvlText w:val="•"/>
      <w:lvlJc w:val="left"/>
      <w:pPr>
        <w:ind w:left="2328" w:hanging="567"/>
      </w:pPr>
      <w:rPr>
        <w:rFonts w:hint="default" w:ascii="Trebuchet MS" w:hAnsi="Trebuchet MS" w:eastAsia="Trebuchet MS" w:cs="Trebuchet MS"/>
        <w:w w:val="67"/>
        <w:sz w:val="20"/>
        <w:szCs w:val="20"/>
        <w:lang w:val="en-us" w:eastAsia="en-us" w:bidi="en-us"/>
      </w:rPr>
    </w:lvl>
    <w:lvl w:ilvl="3">
      <w:start w:val="0"/>
      <w:numFmt w:val="bullet"/>
      <w:lvlText w:val="•"/>
      <w:lvlJc w:val="left"/>
      <w:pPr>
        <w:ind w:left="3284" w:hanging="567"/>
      </w:pPr>
      <w:rPr>
        <w:rFonts w:hint="default"/>
        <w:lang w:val="en-us" w:eastAsia="en-us" w:bidi="en-us"/>
      </w:rPr>
    </w:lvl>
    <w:lvl w:ilvl="4">
      <w:start w:val="0"/>
      <w:numFmt w:val="bullet"/>
      <w:lvlText w:val="•"/>
      <w:lvlJc w:val="left"/>
      <w:pPr>
        <w:ind w:left="4249" w:hanging="567"/>
      </w:pPr>
      <w:rPr>
        <w:rFonts w:hint="default"/>
        <w:lang w:val="en-us" w:eastAsia="en-us" w:bidi="en-us"/>
      </w:rPr>
    </w:lvl>
    <w:lvl w:ilvl="5">
      <w:start w:val="0"/>
      <w:numFmt w:val="bullet"/>
      <w:lvlText w:val="•"/>
      <w:lvlJc w:val="left"/>
      <w:pPr>
        <w:ind w:left="5214" w:hanging="567"/>
      </w:pPr>
      <w:rPr>
        <w:rFonts w:hint="default"/>
        <w:lang w:val="en-us" w:eastAsia="en-us" w:bidi="en-us"/>
      </w:rPr>
    </w:lvl>
    <w:lvl w:ilvl="6">
      <w:start w:val="0"/>
      <w:numFmt w:val="bullet"/>
      <w:lvlText w:val="•"/>
      <w:lvlJc w:val="left"/>
      <w:pPr>
        <w:ind w:left="6179" w:hanging="567"/>
      </w:pPr>
      <w:rPr>
        <w:rFonts w:hint="default"/>
        <w:lang w:val="en-us" w:eastAsia="en-us" w:bidi="en-us"/>
      </w:rPr>
    </w:lvl>
    <w:lvl w:ilvl="7">
      <w:start w:val="0"/>
      <w:numFmt w:val="bullet"/>
      <w:lvlText w:val="•"/>
      <w:lvlJc w:val="left"/>
      <w:pPr>
        <w:ind w:left="7143" w:hanging="567"/>
      </w:pPr>
      <w:rPr>
        <w:rFonts w:hint="default"/>
        <w:lang w:val="en-us" w:eastAsia="en-us" w:bidi="en-us"/>
      </w:rPr>
    </w:lvl>
    <w:lvl w:ilvl="8">
      <w:start w:val="0"/>
      <w:numFmt w:val="bullet"/>
      <w:lvlText w:val="•"/>
      <w:lvlJc w:val="left"/>
      <w:pPr>
        <w:ind w:left="8108" w:hanging="567"/>
      </w:pPr>
      <w:rPr>
        <w:rFonts w:hint="default"/>
        <w:lang w:val="en-us" w:eastAsia="en-us" w:bidi="en-us"/>
      </w:rPr>
    </w:lvl>
  </w:abstractNum>
  <w:abstractNum w:abstractNumId="125">
    <w:multiLevelType w:val="hybridMultilevel"/>
    <w:lvl w:ilvl="0">
      <w:start w:val="0"/>
      <w:numFmt w:val="bullet"/>
      <w:lvlText w:val="•"/>
      <w:lvlJc w:val="left"/>
      <w:pPr>
        <w:ind w:left="510" w:hanging="397"/>
      </w:pPr>
      <w:rPr>
        <w:rFonts w:hint="default" w:ascii="Raleway" w:hAnsi="Raleway" w:eastAsia="Raleway" w:cs="Raleway"/>
        <w:w w:val="101"/>
        <w:sz w:val="20"/>
        <w:szCs w:val="20"/>
        <w:lang w:val="en-us" w:eastAsia="en-us" w:bidi="en-us"/>
      </w:rPr>
    </w:lvl>
    <w:lvl w:ilvl="1">
      <w:start w:val="0"/>
      <w:numFmt w:val="bullet"/>
      <w:lvlText w:val="•"/>
      <w:lvlJc w:val="left"/>
      <w:pPr>
        <w:ind w:left="971" w:hanging="397"/>
      </w:pPr>
      <w:rPr>
        <w:rFonts w:hint="default"/>
        <w:lang w:val="en-us" w:eastAsia="en-us" w:bidi="en-us"/>
      </w:rPr>
    </w:lvl>
    <w:lvl w:ilvl="2">
      <w:start w:val="0"/>
      <w:numFmt w:val="bullet"/>
      <w:lvlText w:val="•"/>
      <w:lvlJc w:val="left"/>
      <w:pPr>
        <w:ind w:left="1422" w:hanging="397"/>
      </w:pPr>
      <w:rPr>
        <w:rFonts w:hint="default"/>
        <w:lang w:val="en-us" w:eastAsia="en-us" w:bidi="en-us"/>
      </w:rPr>
    </w:lvl>
    <w:lvl w:ilvl="3">
      <w:start w:val="0"/>
      <w:numFmt w:val="bullet"/>
      <w:lvlText w:val="•"/>
      <w:lvlJc w:val="left"/>
      <w:pPr>
        <w:ind w:left="1873" w:hanging="397"/>
      </w:pPr>
      <w:rPr>
        <w:rFonts w:hint="default"/>
        <w:lang w:val="en-us" w:eastAsia="en-us" w:bidi="en-us"/>
      </w:rPr>
    </w:lvl>
    <w:lvl w:ilvl="4">
      <w:start w:val="0"/>
      <w:numFmt w:val="bullet"/>
      <w:lvlText w:val="•"/>
      <w:lvlJc w:val="left"/>
      <w:pPr>
        <w:ind w:left="2324" w:hanging="397"/>
      </w:pPr>
      <w:rPr>
        <w:rFonts w:hint="default"/>
        <w:lang w:val="en-us" w:eastAsia="en-us" w:bidi="en-us"/>
      </w:rPr>
    </w:lvl>
    <w:lvl w:ilvl="5">
      <w:start w:val="0"/>
      <w:numFmt w:val="bullet"/>
      <w:lvlText w:val="•"/>
      <w:lvlJc w:val="left"/>
      <w:pPr>
        <w:ind w:left="2775" w:hanging="397"/>
      </w:pPr>
      <w:rPr>
        <w:rFonts w:hint="default"/>
        <w:lang w:val="en-us" w:eastAsia="en-us" w:bidi="en-us"/>
      </w:rPr>
    </w:lvl>
    <w:lvl w:ilvl="6">
      <w:start w:val="0"/>
      <w:numFmt w:val="bullet"/>
      <w:lvlText w:val="•"/>
      <w:lvlJc w:val="left"/>
      <w:pPr>
        <w:ind w:left="3226" w:hanging="397"/>
      </w:pPr>
      <w:rPr>
        <w:rFonts w:hint="default"/>
        <w:lang w:val="en-us" w:eastAsia="en-us" w:bidi="en-us"/>
      </w:rPr>
    </w:lvl>
    <w:lvl w:ilvl="7">
      <w:start w:val="0"/>
      <w:numFmt w:val="bullet"/>
      <w:lvlText w:val="•"/>
      <w:lvlJc w:val="left"/>
      <w:pPr>
        <w:ind w:left="3677" w:hanging="397"/>
      </w:pPr>
      <w:rPr>
        <w:rFonts w:hint="default"/>
        <w:lang w:val="en-us" w:eastAsia="en-us" w:bidi="en-us"/>
      </w:rPr>
    </w:lvl>
    <w:lvl w:ilvl="8">
      <w:start w:val="0"/>
      <w:numFmt w:val="bullet"/>
      <w:lvlText w:val="•"/>
      <w:lvlJc w:val="left"/>
      <w:pPr>
        <w:ind w:left="4128" w:hanging="397"/>
      </w:pPr>
      <w:rPr>
        <w:rFonts w:hint="default"/>
        <w:lang w:val="en-us" w:eastAsia="en-us" w:bidi="en-us"/>
      </w:rPr>
    </w:lvl>
  </w:abstractNum>
  <w:abstractNum w:abstractNumId="124">
    <w:multiLevelType w:val="hybridMultilevel"/>
    <w:lvl w:ilvl="0">
      <w:start w:val="12"/>
      <w:numFmt w:val="decimal"/>
      <w:lvlText w:val="%1"/>
      <w:lvlJc w:val="left"/>
      <w:pPr>
        <w:ind w:left="893" w:hanging="794"/>
        <w:jc w:val="right"/>
      </w:pPr>
      <w:rPr>
        <w:rFonts w:hint="default" w:ascii="Raleway" w:hAnsi="Raleway" w:eastAsia="Raleway" w:cs="Raleway"/>
        <w:spacing w:val="0"/>
        <w:w w:val="101"/>
        <w:sz w:val="13"/>
        <w:szCs w:val="13"/>
        <w:lang w:val="en-us" w:eastAsia="en-us" w:bidi="en-us"/>
      </w:rPr>
    </w:lvl>
    <w:lvl w:ilvl="1">
      <w:start w:val="0"/>
      <w:numFmt w:val="bullet"/>
      <w:lvlText w:val="-"/>
      <w:lvlJc w:val="left"/>
      <w:pPr>
        <w:ind w:left="1307" w:hanging="341"/>
      </w:pPr>
      <w:rPr>
        <w:rFonts w:hint="default" w:ascii="Raleway" w:hAnsi="Raleway" w:eastAsia="Raleway" w:cs="Raleway"/>
        <w:w w:val="100"/>
        <w:sz w:val="20"/>
        <w:szCs w:val="20"/>
        <w:lang w:val="en-us" w:eastAsia="en-us" w:bidi="en-us"/>
      </w:rPr>
    </w:lvl>
    <w:lvl w:ilvl="2">
      <w:start w:val="0"/>
      <w:numFmt w:val="bullet"/>
      <w:lvlText w:val="•"/>
      <w:lvlJc w:val="left"/>
      <w:pPr>
        <w:ind w:left="1540" w:hanging="341"/>
      </w:pPr>
      <w:rPr>
        <w:rFonts w:hint="default"/>
        <w:lang w:val="en-us" w:eastAsia="en-us" w:bidi="en-us"/>
      </w:rPr>
    </w:lvl>
    <w:lvl w:ilvl="3">
      <w:start w:val="0"/>
      <w:numFmt w:val="bullet"/>
      <w:lvlText w:val="•"/>
      <w:lvlJc w:val="left"/>
      <w:pPr>
        <w:ind w:left="2602" w:hanging="341"/>
      </w:pPr>
      <w:rPr>
        <w:rFonts w:hint="default"/>
        <w:lang w:val="en-us" w:eastAsia="en-us" w:bidi="en-us"/>
      </w:rPr>
    </w:lvl>
    <w:lvl w:ilvl="4">
      <w:start w:val="0"/>
      <w:numFmt w:val="bullet"/>
      <w:lvlText w:val="•"/>
      <w:lvlJc w:val="left"/>
      <w:pPr>
        <w:ind w:left="3664" w:hanging="341"/>
      </w:pPr>
      <w:rPr>
        <w:rFonts w:hint="default"/>
        <w:lang w:val="en-us" w:eastAsia="en-us" w:bidi="en-us"/>
      </w:rPr>
    </w:lvl>
    <w:lvl w:ilvl="5">
      <w:start w:val="0"/>
      <w:numFmt w:val="bullet"/>
      <w:lvlText w:val="•"/>
      <w:lvlJc w:val="left"/>
      <w:pPr>
        <w:ind w:left="4726" w:hanging="341"/>
      </w:pPr>
      <w:rPr>
        <w:rFonts w:hint="default"/>
        <w:lang w:val="en-us" w:eastAsia="en-us" w:bidi="en-us"/>
      </w:rPr>
    </w:lvl>
    <w:lvl w:ilvl="6">
      <w:start w:val="0"/>
      <w:numFmt w:val="bullet"/>
      <w:lvlText w:val="•"/>
      <w:lvlJc w:val="left"/>
      <w:pPr>
        <w:ind w:left="5789" w:hanging="341"/>
      </w:pPr>
      <w:rPr>
        <w:rFonts w:hint="default"/>
        <w:lang w:val="en-us" w:eastAsia="en-us" w:bidi="en-us"/>
      </w:rPr>
    </w:lvl>
    <w:lvl w:ilvl="7">
      <w:start w:val="0"/>
      <w:numFmt w:val="bullet"/>
      <w:lvlText w:val="•"/>
      <w:lvlJc w:val="left"/>
      <w:pPr>
        <w:ind w:left="6851" w:hanging="341"/>
      </w:pPr>
      <w:rPr>
        <w:rFonts w:hint="default"/>
        <w:lang w:val="en-us" w:eastAsia="en-us" w:bidi="en-us"/>
      </w:rPr>
    </w:lvl>
    <w:lvl w:ilvl="8">
      <w:start w:val="0"/>
      <w:numFmt w:val="bullet"/>
      <w:lvlText w:val="•"/>
      <w:lvlJc w:val="left"/>
      <w:pPr>
        <w:ind w:left="7913" w:hanging="341"/>
      </w:pPr>
      <w:rPr>
        <w:rFonts w:hint="default"/>
        <w:lang w:val="en-us" w:eastAsia="en-us" w:bidi="en-us"/>
      </w:rPr>
    </w:lvl>
  </w:abstractNum>
  <w:abstractNum w:abstractNumId="123">
    <w:multiLevelType w:val="hybridMultilevel"/>
    <w:lvl w:ilvl="0">
      <w:start w:val="1"/>
      <w:numFmt w:val="decimal"/>
      <w:lvlText w:val="%1"/>
      <w:lvlJc w:val="left"/>
      <w:pPr>
        <w:ind w:left="893" w:hanging="794"/>
        <w:jc w:val="right"/>
      </w:pPr>
      <w:rPr>
        <w:rFonts w:hint="default" w:ascii="Raleway" w:hAnsi="Raleway" w:eastAsia="Raleway" w:cs="Raleway"/>
        <w:spacing w:val="-4"/>
        <w:w w:val="91"/>
        <w:sz w:val="13"/>
        <w:szCs w:val="13"/>
        <w:lang w:val="en-us" w:eastAsia="en-us" w:bidi="en-us"/>
      </w:rPr>
    </w:lvl>
    <w:lvl w:ilvl="1">
      <w:start w:val="0"/>
      <w:numFmt w:val="bullet"/>
      <w:lvlText w:val="•"/>
      <w:lvlJc w:val="left"/>
      <w:pPr>
        <w:ind w:left="2157" w:hanging="397"/>
      </w:pPr>
      <w:rPr>
        <w:rFonts w:hint="default" w:ascii="Raleway" w:hAnsi="Raleway" w:eastAsia="Raleway" w:cs="Raleway"/>
        <w:w w:val="101"/>
        <w:sz w:val="20"/>
        <w:szCs w:val="20"/>
        <w:lang w:val="en-us" w:eastAsia="en-us" w:bidi="en-us"/>
      </w:rPr>
    </w:lvl>
    <w:lvl w:ilvl="2">
      <w:start w:val="0"/>
      <w:numFmt w:val="bullet"/>
      <w:lvlText w:val="•"/>
      <w:lvlJc w:val="left"/>
      <w:pPr>
        <w:ind w:left="3035" w:hanging="397"/>
      </w:pPr>
      <w:rPr>
        <w:rFonts w:hint="default"/>
        <w:lang w:val="en-us" w:eastAsia="en-us" w:bidi="en-us"/>
      </w:rPr>
    </w:lvl>
    <w:lvl w:ilvl="3">
      <w:start w:val="0"/>
      <w:numFmt w:val="bullet"/>
      <w:lvlText w:val="•"/>
      <w:lvlJc w:val="left"/>
      <w:pPr>
        <w:ind w:left="3910" w:hanging="397"/>
      </w:pPr>
      <w:rPr>
        <w:rFonts w:hint="default"/>
        <w:lang w:val="en-us" w:eastAsia="en-us" w:bidi="en-us"/>
      </w:rPr>
    </w:lvl>
    <w:lvl w:ilvl="4">
      <w:start w:val="0"/>
      <w:numFmt w:val="bullet"/>
      <w:lvlText w:val="•"/>
      <w:lvlJc w:val="left"/>
      <w:pPr>
        <w:ind w:left="4786" w:hanging="397"/>
      </w:pPr>
      <w:rPr>
        <w:rFonts w:hint="default"/>
        <w:lang w:val="en-us" w:eastAsia="en-us" w:bidi="en-us"/>
      </w:rPr>
    </w:lvl>
    <w:lvl w:ilvl="5">
      <w:start w:val="0"/>
      <w:numFmt w:val="bullet"/>
      <w:lvlText w:val="•"/>
      <w:lvlJc w:val="left"/>
      <w:pPr>
        <w:ind w:left="5661" w:hanging="397"/>
      </w:pPr>
      <w:rPr>
        <w:rFonts w:hint="default"/>
        <w:lang w:val="en-us" w:eastAsia="en-us" w:bidi="en-us"/>
      </w:rPr>
    </w:lvl>
    <w:lvl w:ilvl="6">
      <w:start w:val="0"/>
      <w:numFmt w:val="bullet"/>
      <w:lvlText w:val="•"/>
      <w:lvlJc w:val="left"/>
      <w:pPr>
        <w:ind w:left="6536" w:hanging="397"/>
      </w:pPr>
      <w:rPr>
        <w:rFonts w:hint="default"/>
        <w:lang w:val="en-us" w:eastAsia="en-us" w:bidi="en-us"/>
      </w:rPr>
    </w:lvl>
    <w:lvl w:ilvl="7">
      <w:start w:val="0"/>
      <w:numFmt w:val="bullet"/>
      <w:lvlText w:val="•"/>
      <w:lvlJc w:val="left"/>
      <w:pPr>
        <w:ind w:left="7412" w:hanging="397"/>
      </w:pPr>
      <w:rPr>
        <w:rFonts w:hint="default"/>
        <w:lang w:val="en-us" w:eastAsia="en-us" w:bidi="en-us"/>
      </w:rPr>
    </w:lvl>
    <w:lvl w:ilvl="8">
      <w:start w:val="0"/>
      <w:numFmt w:val="bullet"/>
      <w:lvlText w:val="•"/>
      <w:lvlJc w:val="left"/>
      <w:pPr>
        <w:ind w:left="8287" w:hanging="397"/>
      </w:pPr>
      <w:rPr>
        <w:rFonts w:hint="default"/>
        <w:lang w:val="en-us" w:eastAsia="en-us" w:bidi="en-us"/>
      </w:rPr>
    </w:lvl>
  </w:abstractNum>
  <w:abstractNum w:abstractNumId="122">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121">
    <w:multiLevelType w:val="hybridMultilevel"/>
    <w:lvl w:ilvl="0">
      <w:start w:val="1"/>
      <w:numFmt w:val="decimal"/>
      <w:lvlText w:val="%1)"/>
      <w:lvlJc w:val="left"/>
      <w:pPr>
        <w:ind w:left="2157" w:hanging="397"/>
        <w:jc w:val="left"/>
      </w:pPr>
      <w:rPr>
        <w:rFonts w:hint="default" w:ascii="Raleway" w:hAnsi="Raleway" w:eastAsia="Raleway" w:cs="Raleway"/>
        <w:spacing w:val="-6"/>
        <w:w w:val="97"/>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120">
    <w:multiLevelType w:val="hybridMultilevel"/>
    <w:lvl w:ilvl="0">
      <w:start w:val="1"/>
      <w:numFmt w:val="decimal"/>
      <w:lvlText w:val="%1"/>
      <w:lvlJc w:val="left"/>
      <w:pPr>
        <w:ind w:left="893" w:hanging="794"/>
        <w:jc w:val="right"/>
      </w:pPr>
      <w:rPr>
        <w:rFonts w:hint="default" w:ascii="Raleway" w:hAnsi="Raleway" w:eastAsia="Raleway" w:cs="Raleway"/>
        <w:spacing w:val="-6"/>
        <w:w w:val="91"/>
        <w:sz w:val="13"/>
        <w:szCs w:val="13"/>
        <w:lang w:val="en-us" w:eastAsia="en-us" w:bidi="en-us"/>
      </w:rPr>
    </w:lvl>
    <w:lvl w:ilvl="1">
      <w:start w:val="0"/>
      <w:numFmt w:val="bullet"/>
      <w:lvlText w:val="•"/>
      <w:lvlJc w:val="left"/>
      <w:pPr>
        <w:ind w:left="2157" w:hanging="397"/>
      </w:pPr>
      <w:rPr>
        <w:rFonts w:hint="default" w:ascii="Raleway" w:hAnsi="Raleway" w:eastAsia="Raleway" w:cs="Raleway"/>
        <w:w w:val="101"/>
        <w:sz w:val="20"/>
        <w:szCs w:val="20"/>
        <w:lang w:val="en-us" w:eastAsia="en-us" w:bidi="en-us"/>
      </w:rPr>
    </w:lvl>
    <w:lvl w:ilvl="2">
      <w:start w:val="0"/>
      <w:numFmt w:val="bullet"/>
      <w:lvlText w:val="•"/>
      <w:lvlJc w:val="left"/>
      <w:pPr>
        <w:ind w:left="3035" w:hanging="397"/>
      </w:pPr>
      <w:rPr>
        <w:rFonts w:hint="default"/>
        <w:lang w:val="en-us" w:eastAsia="en-us" w:bidi="en-us"/>
      </w:rPr>
    </w:lvl>
    <w:lvl w:ilvl="3">
      <w:start w:val="0"/>
      <w:numFmt w:val="bullet"/>
      <w:lvlText w:val="•"/>
      <w:lvlJc w:val="left"/>
      <w:pPr>
        <w:ind w:left="3910" w:hanging="397"/>
      </w:pPr>
      <w:rPr>
        <w:rFonts w:hint="default"/>
        <w:lang w:val="en-us" w:eastAsia="en-us" w:bidi="en-us"/>
      </w:rPr>
    </w:lvl>
    <w:lvl w:ilvl="4">
      <w:start w:val="0"/>
      <w:numFmt w:val="bullet"/>
      <w:lvlText w:val="•"/>
      <w:lvlJc w:val="left"/>
      <w:pPr>
        <w:ind w:left="4786" w:hanging="397"/>
      </w:pPr>
      <w:rPr>
        <w:rFonts w:hint="default"/>
        <w:lang w:val="en-us" w:eastAsia="en-us" w:bidi="en-us"/>
      </w:rPr>
    </w:lvl>
    <w:lvl w:ilvl="5">
      <w:start w:val="0"/>
      <w:numFmt w:val="bullet"/>
      <w:lvlText w:val="•"/>
      <w:lvlJc w:val="left"/>
      <w:pPr>
        <w:ind w:left="5661" w:hanging="397"/>
      </w:pPr>
      <w:rPr>
        <w:rFonts w:hint="default"/>
        <w:lang w:val="en-us" w:eastAsia="en-us" w:bidi="en-us"/>
      </w:rPr>
    </w:lvl>
    <w:lvl w:ilvl="6">
      <w:start w:val="0"/>
      <w:numFmt w:val="bullet"/>
      <w:lvlText w:val="•"/>
      <w:lvlJc w:val="left"/>
      <w:pPr>
        <w:ind w:left="6536" w:hanging="397"/>
      </w:pPr>
      <w:rPr>
        <w:rFonts w:hint="default"/>
        <w:lang w:val="en-us" w:eastAsia="en-us" w:bidi="en-us"/>
      </w:rPr>
    </w:lvl>
    <w:lvl w:ilvl="7">
      <w:start w:val="0"/>
      <w:numFmt w:val="bullet"/>
      <w:lvlText w:val="•"/>
      <w:lvlJc w:val="left"/>
      <w:pPr>
        <w:ind w:left="7412" w:hanging="397"/>
      </w:pPr>
      <w:rPr>
        <w:rFonts w:hint="default"/>
        <w:lang w:val="en-us" w:eastAsia="en-us" w:bidi="en-us"/>
      </w:rPr>
    </w:lvl>
    <w:lvl w:ilvl="8">
      <w:start w:val="0"/>
      <w:numFmt w:val="bullet"/>
      <w:lvlText w:val="•"/>
      <w:lvlJc w:val="left"/>
      <w:pPr>
        <w:ind w:left="8287" w:hanging="397"/>
      </w:pPr>
      <w:rPr>
        <w:rFonts w:hint="default"/>
        <w:lang w:val="en-us" w:eastAsia="en-us" w:bidi="en-us"/>
      </w:rPr>
    </w:lvl>
  </w:abstractNum>
  <w:abstractNum w:abstractNumId="119">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118">
    <w:multiLevelType w:val="hybridMultilevel"/>
    <w:lvl w:ilvl="0">
      <w:start w:val="71"/>
      <w:numFmt w:val="decimal"/>
      <w:lvlText w:val="%1"/>
      <w:lvlJc w:val="left"/>
      <w:pPr>
        <w:ind w:left="1761" w:hanging="794"/>
        <w:jc w:val="right"/>
      </w:pPr>
      <w:rPr>
        <w:rFonts w:hint="default" w:ascii="Raleway" w:hAnsi="Raleway" w:eastAsia="Raleway" w:cs="Raleway"/>
        <w:spacing w:val="0"/>
        <w:w w:val="101"/>
        <w:sz w:val="13"/>
        <w:szCs w:val="13"/>
        <w:lang w:val="en-us" w:eastAsia="en-us" w:bidi="en-us"/>
      </w:rPr>
    </w:lvl>
    <w:lvl w:ilvl="1">
      <w:start w:val="0"/>
      <w:numFmt w:val="bullet"/>
      <w:lvlText w:val="•"/>
      <w:lvlJc w:val="left"/>
      <w:pPr>
        <w:ind w:left="2548" w:hanging="794"/>
      </w:pPr>
      <w:rPr>
        <w:rFonts w:hint="default"/>
        <w:lang w:val="en-us" w:eastAsia="en-us" w:bidi="en-us"/>
      </w:rPr>
    </w:lvl>
    <w:lvl w:ilvl="2">
      <w:start w:val="0"/>
      <w:numFmt w:val="bullet"/>
      <w:lvlText w:val="•"/>
      <w:lvlJc w:val="left"/>
      <w:pPr>
        <w:ind w:left="3337" w:hanging="794"/>
      </w:pPr>
      <w:rPr>
        <w:rFonts w:hint="default"/>
        <w:lang w:val="en-us" w:eastAsia="en-us" w:bidi="en-us"/>
      </w:rPr>
    </w:lvl>
    <w:lvl w:ilvl="3">
      <w:start w:val="0"/>
      <w:numFmt w:val="bullet"/>
      <w:lvlText w:val="•"/>
      <w:lvlJc w:val="left"/>
      <w:pPr>
        <w:ind w:left="4126" w:hanging="794"/>
      </w:pPr>
      <w:rPr>
        <w:rFonts w:hint="default"/>
        <w:lang w:val="en-us" w:eastAsia="en-us" w:bidi="en-us"/>
      </w:rPr>
    </w:lvl>
    <w:lvl w:ilvl="4">
      <w:start w:val="0"/>
      <w:numFmt w:val="bullet"/>
      <w:lvlText w:val="•"/>
      <w:lvlJc w:val="left"/>
      <w:pPr>
        <w:ind w:left="4915" w:hanging="794"/>
      </w:pPr>
      <w:rPr>
        <w:rFonts w:hint="default"/>
        <w:lang w:val="en-us" w:eastAsia="en-us" w:bidi="en-us"/>
      </w:rPr>
    </w:lvl>
    <w:lvl w:ilvl="5">
      <w:start w:val="0"/>
      <w:numFmt w:val="bullet"/>
      <w:lvlText w:val="•"/>
      <w:lvlJc w:val="left"/>
      <w:pPr>
        <w:ind w:left="5704" w:hanging="794"/>
      </w:pPr>
      <w:rPr>
        <w:rFonts w:hint="default"/>
        <w:lang w:val="en-us" w:eastAsia="en-us" w:bidi="en-us"/>
      </w:rPr>
    </w:lvl>
    <w:lvl w:ilvl="6">
      <w:start w:val="0"/>
      <w:numFmt w:val="bullet"/>
      <w:lvlText w:val="•"/>
      <w:lvlJc w:val="left"/>
      <w:pPr>
        <w:ind w:left="6493" w:hanging="794"/>
      </w:pPr>
      <w:rPr>
        <w:rFonts w:hint="default"/>
        <w:lang w:val="en-us" w:eastAsia="en-us" w:bidi="en-us"/>
      </w:rPr>
    </w:lvl>
    <w:lvl w:ilvl="7">
      <w:start w:val="0"/>
      <w:numFmt w:val="bullet"/>
      <w:lvlText w:val="•"/>
      <w:lvlJc w:val="left"/>
      <w:pPr>
        <w:ind w:left="7282" w:hanging="794"/>
      </w:pPr>
      <w:rPr>
        <w:rFonts w:hint="default"/>
        <w:lang w:val="en-us" w:eastAsia="en-us" w:bidi="en-us"/>
      </w:rPr>
    </w:lvl>
    <w:lvl w:ilvl="8">
      <w:start w:val="0"/>
      <w:numFmt w:val="bullet"/>
      <w:lvlText w:val="•"/>
      <w:lvlJc w:val="left"/>
      <w:pPr>
        <w:ind w:left="8071" w:hanging="794"/>
      </w:pPr>
      <w:rPr>
        <w:rFonts w:hint="default"/>
        <w:lang w:val="en-us" w:eastAsia="en-us" w:bidi="en-us"/>
      </w:rPr>
    </w:lvl>
  </w:abstractNum>
  <w:abstractNum w:abstractNumId="117">
    <w:multiLevelType w:val="hybridMultilevel"/>
    <w:lvl w:ilvl="0">
      <w:start w:val="34"/>
      <w:numFmt w:val="decimal"/>
      <w:lvlText w:val="%1"/>
      <w:lvlJc w:val="left"/>
      <w:pPr>
        <w:ind w:left="893" w:hanging="794"/>
        <w:jc w:val="right"/>
      </w:pPr>
      <w:rPr>
        <w:rFonts w:hint="default" w:ascii="Raleway" w:hAnsi="Raleway" w:eastAsia="Raleway" w:cs="Raleway"/>
        <w:spacing w:val="0"/>
        <w:w w:val="99"/>
        <w:sz w:val="13"/>
        <w:szCs w:val="13"/>
        <w:lang w:val="en-us" w:eastAsia="en-us" w:bidi="en-us"/>
      </w:rPr>
    </w:lvl>
    <w:lvl w:ilvl="1">
      <w:start w:val="0"/>
      <w:numFmt w:val="bullet"/>
      <w:lvlText w:val="•"/>
      <w:lvlJc w:val="left"/>
      <w:pPr>
        <w:ind w:left="1813" w:hanging="794"/>
      </w:pPr>
      <w:rPr>
        <w:rFonts w:hint="default"/>
        <w:lang w:val="en-us" w:eastAsia="en-us" w:bidi="en-us"/>
      </w:rPr>
    </w:lvl>
    <w:lvl w:ilvl="2">
      <w:start w:val="0"/>
      <w:numFmt w:val="bullet"/>
      <w:lvlText w:val="•"/>
      <w:lvlJc w:val="left"/>
      <w:pPr>
        <w:ind w:left="2727" w:hanging="794"/>
      </w:pPr>
      <w:rPr>
        <w:rFonts w:hint="default"/>
        <w:lang w:val="en-us" w:eastAsia="en-us" w:bidi="en-us"/>
      </w:rPr>
    </w:lvl>
    <w:lvl w:ilvl="3">
      <w:start w:val="0"/>
      <w:numFmt w:val="bullet"/>
      <w:lvlText w:val="•"/>
      <w:lvlJc w:val="left"/>
      <w:pPr>
        <w:ind w:left="3641" w:hanging="794"/>
      </w:pPr>
      <w:rPr>
        <w:rFonts w:hint="default"/>
        <w:lang w:val="en-us" w:eastAsia="en-us" w:bidi="en-us"/>
      </w:rPr>
    </w:lvl>
    <w:lvl w:ilvl="4">
      <w:start w:val="0"/>
      <w:numFmt w:val="bullet"/>
      <w:lvlText w:val="•"/>
      <w:lvlJc w:val="left"/>
      <w:pPr>
        <w:ind w:left="4555" w:hanging="794"/>
      </w:pPr>
      <w:rPr>
        <w:rFonts w:hint="default"/>
        <w:lang w:val="en-us" w:eastAsia="en-us" w:bidi="en-us"/>
      </w:rPr>
    </w:lvl>
    <w:lvl w:ilvl="5">
      <w:start w:val="0"/>
      <w:numFmt w:val="bullet"/>
      <w:lvlText w:val="•"/>
      <w:lvlJc w:val="left"/>
      <w:pPr>
        <w:ind w:left="5469" w:hanging="794"/>
      </w:pPr>
      <w:rPr>
        <w:rFonts w:hint="default"/>
        <w:lang w:val="en-us" w:eastAsia="en-us" w:bidi="en-us"/>
      </w:rPr>
    </w:lvl>
    <w:lvl w:ilvl="6">
      <w:start w:val="0"/>
      <w:numFmt w:val="bullet"/>
      <w:lvlText w:val="•"/>
      <w:lvlJc w:val="left"/>
      <w:pPr>
        <w:ind w:left="6382" w:hanging="794"/>
      </w:pPr>
      <w:rPr>
        <w:rFonts w:hint="default"/>
        <w:lang w:val="en-us" w:eastAsia="en-us" w:bidi="en-us"/>
      </w:rPr>
    </w:lvl>
    <w:lvl w:ilvl="7">
      <w:start w:val="0"/>
      <w:numFmt w:val="bullet"/>
      <w:lvlText w:val="•"/>
      <w:lvlJc w:val="left"/>
      <w:pPr>
        <w:ind w:left="7296" w:hanging="794"/>
      </w:pPr>
      <w:rPr>
        <w:rFonts w:hint="default"/>
        <w:lang w:val="en-us" w:eastAsia="en-us" w:bidi="en-us"/>
      </w:rPr>
    </w:lvl>
    <w:lvl w:ilvl="8">
      <w:start w:val="0"/>
      <w:numFmt w:val="bullet"/>
      <w:lvlText w:val="•"/>
      <w:lvlJc w:val="left"/>
      <w:pPr>
        <w:ind w:left="8210" w:hanging="794"/>
      </w:pPr>
      <w:rPr>
        <w:rFonts w:hint="default"/>
        <w:lang w:val="en-us" w:eastAsia="en-us" w:bidi="en-us"/>
      </w:rPr>
    </w:lvl>
  </w:abstractNum>
  <w:abstractNum w:abstractNumId="116">
    <w:multiLevelType w:val="hybridMultilevel"/>
    <w:lvl w:ilvl="0">
      <w:start w:val="1"/>
      <w:numFmt w:val="decimal"/>
      <w:lvlText w:val="%1)"/>
      <w:lvlJc w:val="left"/>
      <w:pPr>
        <w:ind w:left="2157" w:hanging="397"/>
        <w:jc w:val="left"/>
      </w:pPr>
      <w:rPr>
        <w:rFonts w:hint="default" w:ascii="Raleway" w:hAnsi="Raleway" w:eastAsia="Raleway" w:cs="Raleway"/>
        <w:spacing w:val="-5"/>
        <w:w w:val="97"/>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115">
    <w:multiLevelType w:val="hybridMultilevel"/>
    <w:lvl w:ilvl="0">
      <w:start w:val="23"/>
      <w:numFmt w:val="decimal"/>
      <w:lvlText w:val="%1"/>
      <w:lvlJc w:val="left"/>
      <w:pPr>
        <w:ind w:left="1761" w:hanging="794"/>
        <w:jc w:val="right"/>
      </w:pPr>
      <w:rPr>
        <w:rFonts w:hint="default" w:ascii="Raleway" w:hAnsi="Raleway" w:eastAsia="Raleway" w:cs="Raleway"/>
        <w:spacing w:val="0"/>
        <w:w w:val="101"/>
        <w:sz w:val="13"/>
        <w:szCs w:val="13"/>
        <w:lang w:val="en-us" w:eastAsia="en-us" w:bidi="en-us"/>
      </w:rPr>
    </w:lvl>
    <w:lvl w:ilvl="1">
      <w:start w:val="0"/>
      <w:numFmt w:val="bullet"/>
      <w:lvlText w:val="•"/>
      <w:lvlJc w:val="left"/>
      <w:pPr>
        <w:ind w:left="2553" w:hanging="794"/>
      </w:pPr>
      <w:rPr>
        <w:rFonts w:hint="default"/>
        <w:lang w:val="en-us" w:eastAsia="en-us" w:bidi="en-us"/>
      </w:rPr>
    </w:lvl>
    <w:lvl w:ilvl="2">
      <w:start w:val="0"/>
      <w:numFmt w:val="bullet"/>
      <w:lvlText w:val="•"/>
      <w:lvlJc w:val="left"/>
      <w:pPr>
        <w:ind w:left="3347" w:hanging="794"/>
      </w:pPr>
      <w:rPr>
        <w:rFonts w:hint="default"/>
        <w:lang w:val="en-us" w:eastAsia="en-us" w:bidi="en-us"/>
      </w:rPr>
    </w:lvl>
    <w:lvl w:ilvl="3">
      <w:start w:val="0"/>
      <w:numFmt w:val="bullet"/>
      <w:lvlText w:val="•"/>
      <w:lvlJc w:val="left"/>
      <w:pPr>
        <w:ind w:left="4140" w:hanging="794"/>
      </w:pPr>
      <w:rPr>
        <w:rFonts w:hint="default"/>
        <w:lang w:val="en-us" w:eastAsia="en-us" w:bidi="en-us"/>
      </w:rPr>
    </w:lvl>
    <w:lvl w:ilvl="4">
      <w:start w:val="0"/>
      <w:numFmt w:val="bullet"/>
      <w:lvlText w:val="•"/>
      <w:lvlJc w:val="left"/>
      <w:pPr>
        <w:ind w:left="4934" w:hanging="794"/>
      </w:pPr>
      <w:rPr>
        <w:rFonts w:hint="default"/>
        <w:lang w:val="en-us" w:eastAsia="en-us" w:bidi="en-us"/>
      </w:rPr>
    </w:lvl>
    <w:lvl w:ilvl="5">
      <w:start w:val="0"/>
      <w:numFmt w:val="bullet"/>
      <w:lvlText w:val="•"/>
      <w:lvlJc w:val="left"/>
      <w:pPr>
        <w:ind w:left="5727" w:hanging="794"/>
      </w:pPr>
      <w:rPr>
        <w:rFonts w:hint="default"/>
        <w:lang w:val="en-us" w:eastAsia="en-us" w:bidi="en-us"/>
      </w:rPr>
    </w:lvl>
    <w:lvl w:ilvl="6">
      <w:start w:val="0"/>
      <w:numFmt w:val="bullet"/>
      <w:lvlText w:val="•"/>
      <w:lvlJc w:val="left"/>
      <w:pPr>
        <w:ind w:left="6521" w:hanging="794"/>
      </w:pPr>
      <w:rPr>
        <w:rFonts w:hint="default"/>
        <w:lang w:val="en-us" w:eastAsia="en-us" w:bidi="en-us"/>
      </w:rPr>
    </w:lvl>
    <w:lvl w:ilvl="7">
      <w:start w:val="0"/>
      <w:numFmt w:val="bullet"/>
      <w:lvlText w:val="•"/>
      <w:lvlJc w:val="left"/>
      <w:pPr>
        <w:ind w:left="7315" w:hanging="794"/>
      </w:pPr>
      <w:rPr>
        <w:rFonts w:hint="default"/>
        <w:lang w:val="en-us" w:eastAsia="en-us" w:bidi="en-us"/>
      </w:rPr>
    </w:lvl>
    <w:lvl w:ilvl="8">
      <w:start w:val="0"/>
      <w:numFmt w:val="bullet"/>
      <w:lvlText w:val="•"/>
      <w:lvlJc w:val="left"/>
      <w:pPr>
        <w:ind w:left="8108" w:hanging="794"/>
      </w:pPr>
      <w:rPr>
        <w:rFonts w:hint="default"/>
        <w:lang w:val="en-us" w:eastAsia="en-us" w:bidi="en-us"/>
      </w:rPr>
    </w:lvl>
  </w:abstractNum>
  <w:abstractNum w:abstractNumId="114">
    <w:multiLevelType w:val="hybridMultilevel"/>
    <w:lvl w:ilvl="0">
      <w:start w:val="16"/>
      <w:numFmt w:val="decimal"/>
      <w:lvlText w:val="%1"/>
      <w:lvlJc w:val="left"/>
      <w:pPr>
        <w:ind w:left="893" w:hanging="794"/>
        <w:jc w:val="right"/>
      </w:pPr>
      <w:rPr>
        <w:rFonts w:hint="default" w:ascii="Raleway" w:hAnsi="Raleway" w:eastAsia="Raleway" w:cs="Raleway"/>
        <w:spacing w:val="0"/>
        <w:w w:val="100"/>
        <w:sz w:val="13"/>
        <w:szCs w:val="13"/>
        <w:lang w:val="en-us" w:eastAsia="en-us" w:bidi="en-us"/>
      </w:rPr>
    </w:lvl>
    <w:lvl w:ilvl="1">
      <w:start w:val="0"/>
      <w:numFmt w:val="bullet"/>
      <w:lvlText w:val="•"/>
      <w:lvlJc w:val="left"/>
      <w:pPr>
        <w:ind w:left="1813" w:hanging="794"/>
      </w:pPr>
      <w:rPr>
        <w:rFonts w:hint="default"/>
        <w:lang w:val="en-us" w:eastAsia="en-us" w:bidi="en-us"/>
      </w:rPr>
    </w:lvl>
    <w:lvl w:ilvl="2">
      <w:start w:val="0"/>
      <w:numFmt w:val="bullet"/>
      <w:lvlText w:val="•"/>
      <w:lvlJc w:val="left"/>
      <w:pPr>
        <w:ind w:left="2727" w:hanging="794"/>
      </w:pPr>
      <w:rPr>
        <w:rFonts w:hint="default"/>
        <w:lang w:val="en-us" w:eastAsia="en-us" w:bidi="en-us"/>
      </w:rPr>
    </w:lvl>
    <w:lvl w:ilvl="3">
      <w:start w:val="0"/>
      <w:numFmt w:val="bullet"/>
      <w:lvlText w:val="•"/>
      <w:lvlJc w:val="left"/>
      <w:pPr>
        <w:ind w:left="3641" w:hanging="794"/>
      </w:pPr>
      <w:rPr>
        <w:rFonts w:hint="default"/>
        <w:lang w:val="en-us" w:eastAsia="en-us" w:bidi="en-us"/>
      </w:rPr>
    </w:lvl>
    <w:lvl w:ilvl="4">
      <w:start w:val="0"/>
      <w:numFmt w:val="bullet"/>
      <w:lvlText w:val="•"/>
      <w:lvlJc w:val="left"/>
      <w:pPr>
        <w:ind w:left="4555" w:hanging="794"/>
      </w:pPr>
      <w:rPr>
        <w:rFonts w:hint="default"/>
        <w:lang w:val="en-us" w:eastAsia="en-us" w:bidi="en-us"/>
      </w:rPr>
    </w:lvl>
    <w:lvl w:ilvl="5">
      <w:start w:val="0"/>
      <w:numFmt w:val="bullet"/>
      <w:lvlText w:val="•"/>
      <w:lvlJc w:val="left"/>
      <w:pPr>
        <w:ind w:left="5469" w:hanging="794"/>
      </w:pPr>
      <w:rPr>
        <w:rFonts w:hint="default"/>
        <w:lang w:val="en-us" w:eastAsia="en-us" w:bidi="en-us"/>
      </w:rPr>
    </w:lvl>
    <w:lvl w:ilvl="6">
      <w:start w:val="0"/>
      <w:numFmt w:val="bullet"/>
      <w:lvlText w:val="•"/>
      <w:lvlJc w:val="left"/>
      <w:pPr>
        <w:ind w:left="6382" w:hanging="794"/>
      </w:pPr>
      <w:rPr>
        <w:rFonts w:hint="default"/>
        <w:lang w:val="en-us" w:eastAsia="en-us" w:bidi="en-us"/>
      </w:rPr>
    </w:lvl>
    <w:lvl w:ilvl="7">
      <w:start w:val="0"/>
      <w:numFmt w:val="bullet"/>
      <w:lvlText w:val="•"/>
      <w:lvlJc w:val="left"/>
      <w:pPr>
        <w:ind w:left="7296" w:hanging="794"/>
      </w:pPr>
      <w:rPr>
        <w:rFonts w:hint="default"/>
        <w:lang w:val="en-us" w:eastAsia="en-us" w:bidi="en-us"/>
      </w:rPr>
    </w:lvl>
    <w:lvl w:ilvl="8">
      <w:start w:val="0"/>
      <w:numFmt w:val="bullet"/>
      <w:lvlText w:val="•"/>
      <w:lvlJc w:val="left"/>
      <w:pPr>
        <w:ind w:left="8210" w:hanging="794"/>
      </w:pPr>
      <w:rPr>
        <w:rFonts w:hint="default"/>
        <w:lang w:val="en-us" w:eastAsia="en-us" w:bidi="en-us"/>
      </w:rPr>
    </w:lvl>
  </w:abstractNum>
  <w:abstractNum w:abstractNumId="113">
    <w:multiLevelType w:val="hybridMultilevel"/>
    <w:lvl w:ilvl="0">
      <w:start w:val="12"/>
      <w:numFmt w:val="decimal"/>
      <w:lvlText w:val="%1"/>
      <w:lvlJc w:val="left"/>
      <w:pPr>
        <w:ind w:left="893" w:hanging="794"/>
        <w:jc w:val="left"/>
      </w:pPr>
      <w:rPr>
        <w:rFonts w:hint="default" w:ascii="Raleway" w:hAnsi="Raleway" w:eastAsia="Raleway" w:cs="Raleway"/>
        <w:spacing w:val="0"/>
        <w:w w:val="101"/>
        <w:sz w:val="13"/>
        <w:szCs w:val="13"/>
        <w:lang w:val="en-us" w:eastAsia="en-us" w:bidi="en-us"/>
      </w:rPr>
    </w:lvl>
    <w:lvl w:ilvl="1">
      <w:start w:val="0"/>
      <w:numFmt w:val="bullet"/>
      <w:lvlText w:val="•"/>
      <w:lvlJc w:val="left"/>
      <w:pPr>
        <w:ind w:left="1813" w:hanging="794"/>
      </w:pPr>
      <w:rPr>
        <w:rFonts w:hint="default"/>
        <w:lang w:val="en-us" w:eastAsia="en-us" w:bidi="en-us"/>
      </w:rPr>
    </w:lvl>
    <w:lvl w:ilvl="2">
      <w:start w:val="0"/>
      <w:numFmt w:val="bullet"/>
      <w:lvlText w:val="•"/>
      <w:lvlJc w:val="left"/>
      <w:pPr>
        <w:ind w:left="2727" w:hanging="794"/>
      </w:pPr>
      <w:rPr>
        <w:rFonts w:hint="default"/>
        <w:lang w:val="en-us" w:eastAsia="en-us" w:bidi="en-us"/>
      </w:rPr>
    </w:lvl>
    <w:lvl w:ilvl="3">
      <w:start w:val="0"/>
      <w:numFmt w:val="bullet"/>
      <w:lvlText w:val="•"/>
      <w:lvlJc w:val="left"/>
      <w:pPr>
        <w:ind w:left="3641" w:hanging="794"/>
      </w:pPr>
      <w:rPr>
        <w:rFonts w:hint="default"/>
        <w:lang w:val="en-us" w:eastAsia="en-us" w:bidi="en-us"/>
      </w:rPr>
    </w:lvl>
    <w:lvl w:ilvl="4">
      <w:start w:val="0"/>
      <w:numFmt w:val="bullet"/>
      <w:lvlText w:val="•"/>
      <w:lvlJc w:val="left"/>
      <w:pPr>
        <w:ind w:left="4555" w:hanging="794"/>
      </w:pPr>
      <w:rPr>
        <w:rFonts w:hint="default"/>
        <w:lang w:val="en-us" w:eastAsia="en-us" w:bidi="en-us"/>
      </w:rPr>
    </w:lvl>
    <w:lvl w:ilvl="5">
      <w:start w:val="0"/>
      <w:numFmt w:val="bullet"/>
      <w:lvlText w:val="•"/>
      <w:lvlJc w:val="left"/>
      <w:pPr>
        <w:ind w:left="5469" w:hanging="794"/>
      </w:pPr>
      <w:rPr>
        <w:rFonts w:hint="default"/>
        <w:lang w:val="en-us" w:eastAsia="en-us" w:bidi="en-us"/>
      </w:rPr>
    </w:lvl>
    <w:lvl w:ilvl="6">
      <w:start w:val="0"/>
      <w:numFmt w:val="bullet"/>
      <w:lvlText w:val="•"/>
      <w:lvlJc w:val="left"/>
      <w:pPr>
        <w:ind w:left="6382" w:hanging="794"/>
      </w:pPr>
      <w:rPr>
        <w:rFonts w:hint="default"/>
        <w:lang w:val="en-us" w:eastAsia="en-us" w:bidi="en-us"/>
      </w:rPr>
    </w:lvl>
    <w:lvl w:ilvl="7">
      <w:start w:val="0"/>
      <w:numFmt w:val="bullet"/>
      <w:lvlText w:val="•"/>
      <w:lvlJc w:val="left"/>
      <w:pPr>
        <w:ind w:left="7296" w:hanging="794"/>
      </w:pPr>
      <w:rPr>
        <w:rFonts w:hint="default"/>
        <w:lang w:val="en-us" w:eastAsia="en-us" w:bidi="en-us"/>
      </w:rPr>
    </w:lvl>
    <w:lvl w:ilvl="8">
      <w:start w:val="0"/>
      <w:numFmt w:val="bullet"/>
      <w:lvlText w:val="•"/>
      <w:lvlJc w:val="left"/>
      <w:pPr>
        <w:ind w:left="8210" w:hanging="794"/>
      </w:pPr>
      <w:rPr>
        <w:rFonts w:hint="default"/>
        <w:lang w:val="en-us" w:eastAsia="en-us" w:bidi="en-us"/>
      </w:rPr>
    </w:lvl>
  </w:abstractNum>
  <w:abstractNum w:abstractNumId="112">
    <w:multiLevelType w:val="hybridMultilevel"/>
    <w:lvl w:ilvl="0">
      <w:start w:val="1"/>
      <w:numFmt w:val="decimal"/>
      <w:lvlText w:val="%1)"/>
      <w:lvlJc w:val="left"/>
      <w:pPr>
        <w:ind w:left="2157" w:hanging="397"/>
        <w:jc w:val="left"/>
      </w:pPr>
      <w:rPr>
        <w:rFonts w:hint="default" w:ascii="Raleway" w:hAnsi="Raleway" w:eastAsia="Raleway" w:cs="Raleway"/>
        <w:spacing w:val="-5"/>
        <w:w w:val="97"/>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111">
    <w:multiLevelType w:val="hybridMultilevel"/>
    <w:lvl w:ilvl="0">
      <w:start w:val="1"/>
      <w:numFmt w:val="decimal"/>
      <w:lvlText w:val="%1"/>
      <w:lvlJc w:val="left"/>
      <w:pPr>
        <w:ind w:left="893" w:hanging="794"/>
        <w:jc w:val="right"/>
      </w:pPr>
      <w:rPr>
        <w:rFonts w:hint="default" w:ascii="Raleway" w:hAnsi="Raleway" w:eastAsia="Raleway" w:cs="Raleway"/>
        <w:spacing w:val="-1"/>
        <w:w w:val="98"/>
        <w:sz w:val="13"/>
        <w:szCs w:val="13"/>
        <w:lang w:val="en-us" w:eastAsia="en-us" w:bidi="en-us"/>
      </w:rPr>
    </w:lvl>
    <w:lvl w:ilvl="1">
      <w:start w:val="0"/>
      <w:numFmt w:val="bullet"/>
      <w:lvlText w:val="•"/>
      <w:lvlJc w:val="left"/>
      <w:pPr>
        <w:ind w:left="2000" w:hanging="794"/>
      </w:pPr>
      <w:rPr>
        <w:rFonts w:hint="default"/>
        <w:lang w:val="en-us" w:eastAsia="en-us" w:bidi="en-us"/>
      </w:rPr>
    </w:lvl>
    <w:lvl w:ilvl="2">
      <w:start w:val="0"/>
      <w:numFmt w:val="bullet"/>
      <w:lvlText w:val="•"/>
      <w:lvlJc w:val="left"/>
      <w:pPr>
        <w:ind w:left="2757" w:hanging="794"/>
      </w:pPr>
      <w:rPr>
        <w:rFonts w:hint="default"/>
        <w:lang w:val="en-us" w:eastAsia="en-us" w:bidi="en-us"/>
      </w:rPr>
    </w:lvl>
    <w:lvl w:ilvl="3">
      <w:start w:val="0"/>
      <w:numFmt w:val="bullet"/>
      <w:lvlText w:val="•"/>
      <w:lvlJc w:val="left"/>
      <w:pPr>
        <w:ind w:left="3515" w:hanging="794"/>
      </w:pPr>
      <w:rPr>
        <w:rFonts w:hint="default"/>
        <w:lang w:val="en-us" w:eastAsia="en-us" w:bidi="en-us"/>
      </w:rPr>
    </w:lvl>
    <w:lvl w:ilvl="4">
      <w:start w:val="0"/>
      <w:numFmt w:val="bullet"/>
      <w:lvlText w:val="•"/>
      <w:lvlJc w:val="left"/>
      <w:pPr>
        <w:ind w:left="4273" w:hanging="794"/>
      </w:pPr>
      <w:rPr>
        <w:rFonts w:hint="default"/>
        <w:lang w:val="en-us" w:eastAsia="en-us" w:bidi="en-us"/>
      </w:rPr>
    </w:lvl>
    <w:lvl w:ilvl="5">
      <w:start w:val="0"/>
      <w:numFmt w:val="bullet"/>
      <w:lvlText w:val="•"/>
      <w:lvlJc w:val="left"/>
      <w:pPr>
        <w:ind w:left="5031" w:hanging="794"/>
      </w:pPr>
      <w:rPr>
        <w:rFonts w:hint="default"/>
        <w:lang w:val="en-us" w:eastAsia="en-us" w:bidi="en-us"/>
      </w:rPr>
    </w:lvl>
    <w:lvl w:ilvl="6">
      <w:start w:val="0"/>
      <w:numFmt w:val="bullet"/>
      <w:lvlText w:val="•"/>
      <w:lvlJc w:val="left"/>
      <w:pPr>
        <w:ind w:left="5789" w:hanging="794"/>
      </w:pPr>
      <w:rPr>
        <w:rFonts w:hint="default"/>
        <w:lang w:val="en-us" w:eastAsia="en-us" w:bidi="en-us"/>
      </w:rPr>
    </w:lvl>
    <w:lvl w:ilvl="7">
      <w:start w:val="0"/>
      <w:numFmt w:val="bullet"/>
      <w:lvlText w:val="•"/>
      <w:lvlJc w:val="left"/>
      <w:pPr>
        <w:ind w:left="6546" w:hanging="794"/>
      </w:pPr>
      <w:rPr>
        <w:rFonts w:hint="default"/>
        <w:lang w:val="en-us" w:eastAsia="en-us" w:bidi="en-us"/>
      </w:rPr>
    </w:lvl>
    <w:lvl w:ilvl="8">
      <w:start w:val="0"/>
      <w:numFmt w:val="bullet"/>
      <w:lvlText w:val="•"/>
      <w:lvlJc w:val="left"/>
      <w:pPr>
        <w:ind w:left="7304" w:hanging="794"/>
      </w:pPr>
      <w:rPr>
        <w:rFonts w:hint="default"/>
        <w:lang w:val="en-us" w:eastAsia="en-us" w:bidi="en-us"/>
      </w:rPr>
    </w:lvl>
  </w:abstractNum>
  <w:abstractNum w:abstractNumId="110">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109">
    <w:multiLevelType w:val="hybridMultilevel"/>
    <w:lvl w:ilvl="0">
      <w:start w:val="15"/>
      <w:numFmt w:val="decimal"/>
      <w:lvlText w:val="%1"/>
      <w:lvlJc w:val="left"/>
      <w:pPr>
        <w:ind w:left="893" w:hanging="794"/>
        <w:jc w:val="right"/>
      </w:pPr>
      <w:rPr>
        <w:rFonts w:hint="default" w:ascii="Raleway" w:hAnsi="Raleway" w:eastAsia="Raleway" w:cs="Raleway"/>
        <w:spacing w:val="0"/>
        <w:w w:val="100"/>
        <w:sz w:val="13"/>
        <w:szCs w:val="13"/>
        <w:lang w:val="en-us" w:eastAsia="en-us" w:bidi="en-us"/>
      </w:rPr>
    </w:lvl>
    <w:lvl w:ilvl="1">
      <w:start w:val="0"/>
      <w:numFmt w:val="bullet"/>
      <w:lvlText w:val="•"/>
      <w:lvlJc w:val="left"/>
      <w:pPr>
        <w:ind w:left="2157" w:hanging="397"/>
      </w:pPr>
      <w:rPr>
        <w:rFonts w:hint="default" w:ascii="Raleway" w:hAnsi="Raleway" w:eastAsia="Raleway" w:cs="Raleway"/>
        <w:w w:val="101"/>
        <w:sz w:val="20"/>
        <w:szCs w:val="20"/>
        <w:lang w:val="en-us" w:eastAsia="en-us" w:bidi="en-us"/>
      </w:rPr>
    </w:lvl>
    <w:lvl w:ilvl="2">
      <w:start w:val="0"/>
      <w:numFmt w:val="bullet"/>
      <w:lvlText w:val="•"/>
      <w:lvlJc w:val="left"/>
      <w:pPr>
        <w:ind w:left="3035" w:hanging="397"/>
      </w:pPr>
      <w:rPr>
        <w:rFonts w:hint="default"/>
        <w:lang w:val="en-us" w:eastAsia="en-us" w:bidi="en-us"/>
      </w:rPr>
    </w:lvl>
    <w:lvl w:ilvl="3">
      <w:start w:val="0"/>
      <w:numFmt w:val="bullet"/>
      <w:lvlText w:val="•"/>
      <w:lvlJc w:val="left"/>
      <w:pPr>
        <w:ind w:left="3910" w:hanging="397"/>
      </w:pPr>
      <w:rPr>
        <w:rFonts w:hint="default"/>
        <w:lang w:val="en-us" w:eastAsia="en-us" w:bidi="en-us"/>
      </w:rPr>
    </w:lvl>
    <w:lvl w:ilvl="4">
      <w:start w:val="0"/>
      <w:numFmt w:val="bullet"/>
      <w:lvlText w:val="•"/>
      <w:lvlJc w:val="left"/>
      <w:pPr>
        <w:ind w:left="4786" w:hanging="397"/>
      </w:pPr>
      <w:rPr>
        <w:rFonts w:hint="default"/>
        <w:lang w:val="en-us" w:eastAsia="en-us" w:bidi="en-us"/>
      </w:rPr>
    </w:lvl>
    <w:lvl w:ilvl="5">
      <w:start w:val="0"/>
      <w:numFmt w:val="bullet"/>
      <w:lvlText w:val="•"/>
      <w:lvlJc w:val="left"/>
      <w:pPr>
        <w:ind w:left="5661" w:hanging="397"/>
      </w:pPr>
      <w:rPr>
        <w:rFonts w:hint="default"/>
        <w:lang w:val="en-us" w:eastAsia="en-us" w:bidi="en-us"/>
      </w:rPr>
    </w:lvl>
    <w:lvl w:ilvl="6">
      <w:start w:val="0"/>
      <w:numFmt w:val="bullet"/>
      <w:lvlText w:val="•"/>
      <w:lvlJc w:val="left"/>
      <w:pPr>
        <w:ind w:left="6536" w:hanging="397"/>
      </w:pPr>
      <w:rPr>
        <w:rFonts w:hint="default"/>
        <w:lang w:val="en-us" w:eastAsia="en-us" w:bidi="en-us"/>
      </w:rPr>
    </w:lvl>
    <w:lvl w:ilvl="7">
      <w:start w:val="0"/>
      <w:numFmt w:val="bullet"/>
      <w:lvlText w:val="•"/>
      <w:lvlJc w:val="left"/>
      <w:pPr>
        <w:ind w:left="7412" w:hanging="397"/>
      </w:pPr>
      <w:rPr>
        <w:rFonts w:hint="default"/>
        <w:lang w:val="en-us" w:eastAsia="en-us" w:bidi="en-us"/>
      </w:rPr>
    </w:lvl>
    <w:lvl w:ilvl="8">
      <w:start w:val="0"/>
      <w:numFmt w:val="bullet"/>
      <w:lvlText w:val="•"/>
      <w:lvlJc w:val="left"/>
      <w:pPr>
        <w:ind w:left="8287" w:hanging="397"/>
      </w:pPr>
      <w:rPr>
        <w:rFonts w:hint="default"/>
        <w:lang w:val="en-us" w:eastAsia="en-us" w:bidi="en-us"/>
      </w:rPr>
    </w:lvl>
  </w:abstractNum>
  <w:abstractNum w:abstractNumId="108">
    <w:multiLevelType w:val="hybridMultilevel"/>
    <w:lvl w:ilvl="0">
      <w:start w:val="10"/>
      <w:numFmt w:val="decimal"/>
      <w:lvlText w:val="%1"/>
      <w:lvlJc w:val="left"/>
      <w:pPr>
        <w:ind w:left="893" w:hanging="794"/>
        <w:jc w:val="left"/>
      </w:pPr>
      <w:rPr>
        <w:rFonts w:hint="default" w:ascii="Raleway" w:hAnsi="Raleway" w:eastAsia="Raleway" w:cs="Raleway"/>
        <w:w w:val="100"/>
        <w:sz w:val="13"/>
        <w:szCs w:val="13"/>
        <w:lang w:val="en-us" w:eastAsia="en-us" w:bidi="en-us"/>
      </w:rPr>
    </w:lvl>
    <w:lvl w:ilvl="1">
      <w:start w:val="0"/>
      <w:numFmt w:val="bullet"/>
      <w:lvlText w:val="•"/>
      <w:lvlJc w:val="left"/>
      <w:pPr>
        <w:ind w:left="1813" w:hanging="794"/>
      </w:pPr>
      <w:rPr>
        <w:rFonts w:hint="default"/>
        <w:lang w:val="en-us" w:eastAsia="en-us" w:bidi="en-us"/>
      </w:rPr>
    </w:lvl>
    <w:lvl w:ilvl="2">
      <w:start w:val="0"/>
      <w:numFmt w:val="bullet"/>
      <w:lvlText w:val="•"/>
      <w:lvlJc w:val="left"/>
      <w:pPr>
        <w:ind w:left="2727" w:hanging="794"/>
      </w:pPr>
      <w:rPr>
        <w:rFonts w:hint="default"/>
        <w:lang w:val="en-us" w:eastAsia="en-us" w:bidi="en-us"/>
      </w:rPr>
    </w:lvl>
    <w:lvl w:ilvl="3">
      <w:start w:val="0"/>
      <w:numFmt w:val="bullet"/>
      <w:lvlText w:val="•"/>
      <w:lvlJc w:val="left"/>
      <w:pPr>
        <w:ind w:left="3641" w:hanging="794"/>
      </w:pPr>
      <w:rPr>
        <w:rFonts w:hint="default"/>
        <w:lang w:val="en-us" w:eastAsia="en-us" w:bidi="en-us"/>
      </w:rPr>
    </w:lvl>
    <w:lvl w:ilvl="4">
      <w:start w:val="0"/>
      <w:numFmt w:val="bullet"/>
      <w:lvlText w:val="•"/>
      <w:lvlJc w:val="left"/>
      <w:pPr>
        <w:ind w:left="4555" w:hanging="794"/>
      </w:pPr>
      <w:rPr>
        <w:rFonts w:hint="default"/>
        <w:lang w:val="en-us" w:eastAsia="en-us" w:bidi="en-us"/>
      </w:rPr>
    </w:lvl>
    <w:lvl w:ilvl="5">
      <w:start w:val="0"/>
      <w:numFmt w:val="bullet"/>
      <w:lvlText w:val="•"/>
      <w:lvlJc w:val="left"/>
      <w:pPr>
        <w:ind w:left="5469" w:hanging="794"/>
      </w:pPr>
      <w:rPr>
        <w:rFonts w:hint="default"/>
        <w:lang w:val="en-us" w:eastAsia="en-us" w:bidi="en-us"/>
      </w:rPr>
    </w:lvl>
    <w:lvl w:ilvl="6">
      <w:start w:val="0"/>
      <w:numFmt w:val="bullet"/>
      <w:lvlText w:val="•"/>
      <w:lvlJc w:val="left"/>
      <w:pPr>
        <w:ind w:left="6382" w:hanging="794"/>
      </w:pPr>
      <w:rPr>
        <w:rFonts w:hint="default"/>
        <w:lang w:val="en-us" w:eastAsia="en-us" w:bidi="en-us"/>
      </w:rPr>
    </w:lvl>
    <w:lvl w:ilvl="7">
      <w:start w:val="0"/>
      <w:numFmt w:val="bullet"/>
      <w:lvlText w:val="•"/>
      <w:lvlJc w:val="left"/>
      <w:pPr>
        <w:ind w:left="7296" w:hanging="794"/>
      </w:pPr>
      <w:rPr>
        <w:rFonts w:hint="default"/>
        <w:lang w:val="en-us" w:eastAsia="en-us" w:bidi="en-us"/>
      </w:rPr>
    </w:lvl>
    <w:lvl w:ilvl="8">
      <w:start w:val="0"/>
      <w:numFmt w:val="bullet"/>
      <w:lvlText w:val="•"/>
      <w:lvlJc w:val="left"/>
      <w:pPr>
        <w:ind w:left="8210" w:hanging="794"/>
      </w:pPr>
      <w:rPr>
        <w:rFonts w:hint="default"/>
        <w:lang w:val="en-us" w:eastAsia="en-us" w:bidi="en-us"/>
      </w:rPr>
    </w:lvl>
  </w:abstractNum>
  <w:abstractNum w:abstractNumId="107">
    <w:multiLevelType w:val="hybridMultilevel"/>
    <w:lvl w:ilvl="0">
      <w:start w:val="6"/>
      <w:numFmt w:val="decimal"/>
      <w:lvlText w:val="%1"/>
      <w:lvlJc w:val="left"/>
      <w:pPr>
        <w:ind w:left="1761" w:hanging="794"/>
        <w:jc w:val="left"/>
      </w:pPr>
      <w:rPr>
        <w:rFonts w:hint="default" w:ascii="Raleway" w:hAnsi="Raleway" w:eastAsia="Raleway" w:cs="Raleway"/>
        <w:w w:val="100"/>
        <w:sz w:val="13"/>
        <w:szCs w:val="13"/>
        <w:lang w:val="en-us" w:eastAsia="en-us" w:bidi="en-us"/>
      </w:rPr>
    </w:lvl>
    <w:lvl w:ilvl="1">
      <w:start w:val="0"/>
      <w:numFmt w:val="bullet"/>
      <w:lvlText w:val="•"/>
      <w:lvlJc w:val="left"/>
      <w:pPr>
        <w:ind w:left="2543" w:hanging="794"/>
      </w:pPr>
      <w:rPr>
        <w:rFonts w:hint="default"/>
        <w:lang w:val="en-us" w:eastAsia="en-us" w:bidi="en-us"/>
      </w:rPr>
    </w:lvl>
    <w:lvl w:ilvl="2">
      <w:start w:val="0"/>
      <w:numFmt w:val="bullet"/>
      <w:lvlText w:val="•"/>
      <w:lvlJc w:val="left"/>
      <w:pPr>
        <w:ind w:left="3327" w:hanging="794"/>
      </w:pPr>
      <w:rPr>
        <w:rFonts w:hint="default"/>
        <w:lang w:val="en-us" w:eastAsia="en-us" w:bidi="en-us"/>
      </w:rPr>
    </w:lvl>
    <w:lvl w:ilvl="3">
      <w:start w:val="0"/>
      <w:numFmt w:val="bullet"/>
      <w:lvlText w:val="•"/>
      <w:lvlJc w:val="left"/>
      <w:pPr>
        <w:ind w:left="4110" w:hanging="794"/>
      </w:pPr>
      <w:rPr>
        <w:rFonts w:hint="default"/>
        <w:lang w:val="en-us" w:eastAsia="en-us" w:bidi="en-us"/>
      </w:rPr>
    </w:lvl>
    <w:lvl w:ilvl="4">
      <w:start w:val="0"/>
      <w:numFmt w:val="bullet"/>
      <w:lvlText w:val="•"/>
      <w:lvlJc w:val="left"/>
      <w:pPr>
        <w:ind w:left="4894" w:hanging="794"/>
      </w:pPr>
      <w:rPr>
        <w:rFonts w:hint="default"/>
        <w:lang w:val="en-us" w:eastAsia="en-us" w:bidi="en-us"/>
      </w:rPr>
    </w:lvl>
    <w:lvl w:ilvl="5">
      <w:start w:val="0"/>
      <w:numFmt w:val="bullet"/>
      <w:lvlText w:val="•"/>
      <w:lvlJc w:val="left"/>
      <w:pPr>
        <w:ind w:left="5677" w:hanging="794"/>
      </w:pPr>
      <w:rPr>
        <w:rFonts w:hint="default"/>
        <w:lang w:val="en-us" w:eastAsia="en-us" w:bidi="en-us"/>
      </w:rPr>
    </w:lvl>
    <w:lvl w:ilvl="6">
      <w:start w:val="0"/>
      <w:numFmt w:val="bullet"/>
      <w:lvlText w:val="•"/>
      <w:lvlJc w:val="left"/>
      <w:pPr>
        <w:ind w:left="6461" w:hanging="794"/>
      </w:pPr>
      <w:rPr>
        <w:rFonts w:hint="default"/>
        <w:lang w:val="en-us" w:eastAsia="en-us" w:bidi="en-us"/>
      </w:rPr>
    </w:lvl>
    <w:lvl w:ilvl="7">
      <w:start w:val="0"/>
      <w:numFmt w:val="bullet"/>
      <w:lvlText w:val="•"/>
      <w:lvlJc w:val="left"/>
      <w:pPr>
        <w:ind w:left="7245" w:hanging="794"/>
      </w:pPr>
      <w:rPr>
        <w:rFonts w:hint="default"/>
        <w:lang w:val="en-us" w:eastAsia="en-us" w:bidi="en-us"/>
      </w:rPr>
    </w:lvl>
    <w:lvl w:ilvl="8">
      <w:start w:val="0"/>
      <w:numFmt w:val="bullet"/>
      <w:lvlText w:val="•"/>
      <w:lvlJc w:val="left"/>
      <w:pPr>
        <w:ind w:left="8028" w:hanging="794"/>
      </w:pPr>
      <w:rPr>
        <w:rFonts w:hint="default"/>
        <w:lang w:val="en-us" w:eastAsia="en-us" w:bidi="en-us"/>
      </w:rPr>
    </w:lvl>
  </w:abstractNum>
  <w:abstractNum w:abstractNumId="106">
    <w:multiLevelType w:val="hybridMultilevel"/>
    <w:lvl w:ilvl="0">
      <w:start w:val="1"/>
      <w:numFmt w:val="decimal"/>
      <w:lvlText w:val="%1)"/>
      <w:lvlJc w:val="left"/>
      <w:pPr>
        <w:ind w:left="2157" w:hanging="397"/>
        <w:jc w:val="left"/>
      </w:pPr>
      <w:rPr>
        <w:rFonts w:hint="default" w:ascii="Raleway" w:hAnsi="Raleway" w:eastAsia="Raleway" w:cs="Raleway"/>
        <w:spacing w:val="-9"/>
        <w:w w:val="9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105">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104">
    <w:multiLevelType w:val="hybridMultilevel"/>
    <w:lvl w:ilvl="0">
      <w:start w:val="40"/>
      <w:numFmt w:val="decimal"/>
      <w:lvlText w:val="%1"/>
      <w:lvlJc w:val="left"/>
      <w:pPr>
        <w:ind w:left="1761" w:hanging="794"/>
        <w:jc w:val="right"/>
      </w:pPr>
      <w:rPr>
        <w:rFonts w:hint="default" w:ascii="Raleway" w:hAnsi="Raleway" w:eastAsia="Raleway" w:cs="Raleway"/>
        <w:spacing w:val="0"/>
        <w:w w:val="99"/>
        <w:sz w:val="13"/>
        <w:szCs w:val="13"/>
        <w:lang w:val="en-us" w:eastAsia="en-us" w:bidi="en-us"/>
      </w:rPr>
    </w:lvl>
    <w:lvl w:ilvl="1">
      <w:start w:val="0"/>
      <w:numFmt w:val="bullet"/>
      <w:lvlText w:val="•"/>
      <w:lvlJc w:val="left"/>
      <w:pPr>
        <w:ind w:left="2534" w:hanging="794"/>
      </w:pPr>
      <w:rPr>
        <w:rFonts w:hint="default"/>
        <w:lang w:val="en-us" w:eastAsia="en-us" w:bidi="en-us"/>
      </w:rPr>
    </w:lvl>
    <w:lvl w:ilvl="2">
      <w:start w:val="0"/>
      <w:numFmt w:val="bullet"/>
      <w:lvlText w:val="•"/>
      <w:lvlJc w:val="left"/>
      <w:pPr>
        <w:ind w:left="3309" w:hanging="794"/>
      </w:pPr>
      <w:rPr>
        <w:rFonts w:hint="default"/>
        <w:lang w:val="en-us" w:eastAsia="en-us" w:bidi="en-us"/>
      </w:rPr>
    </w:lvl>
    <w:lvl w:ilvl="3">
      <w:start w:val="0"/>
      <w:numFmt w:val="bullet"/>
      <w:lvlText w:val="•"/>
      <w:lvlJc w:val="left"/>
      <w:pPr>
        <w:ind w:left="4084" w:hanging="794"/>
      </w:pPr>
      <w:rPr>
        <w:rFonts w:hint="default"/>
        <w:lang w:val="en-us" w:eastAsia="en-us" w:bidi="en-us"/>
      </w:rPr>
    </w:lvl>
    <w:lvl w:ilvl="4">
      <w:start w:val="0"/>
      <w:numFmt w:val="bullet"/>
      <w:lvlText w:val="•"/>
      <w:lvlJc w:val="left"/>
      <w:pPr>
        <w:ind w:left="4858" w:hanging="794"/>
      </w:pPr>
      <w:rPr>
        <w:rFonts w:hint="default"/>
        <w:lang w:val="en-us" w:eastAsia="en-us" w:bidi="en-us"/>
      </w:rPr>
    </w:lvl>
    <w:lvl w:ilvl="5">
      <w:start w:val="0"/>
      <w:numFmt w:val="bullet"/>
      <w:lvlText w:val="•"/>
      <w:lvlJc w:val="left"/>
      <w:pPr>
        <w:ind w:left="5633" w:hanging="794"/>
      </w:pPr>
      <w:rPr>
        <w:rFonts w:hint="default"/>
        <w:lang w:val="en-us" w:eastAsia="en-us" w:bidi="en-us"/>
      </w:rPr>
    </w:lvl>
    <w:lvl w:ilvl="6">
      <w:start w:val="0"/>
      <w:numFmt w:val="bullet"/>
      <w:lvlText w:val="•"/>
      <w:lvlJc w:val="left"/>
      <w:pPr>
        <w:ind w:left="6408" w:hanging="794"/>
      </w:pPr>
      <w:rPr>
        <w:rFonts w:hint="default"/>
        <w:lang w:val="en-us" w:eastAsia="en-us" w:bidi="en-us"/>
      </w:rPr>
    </w:lvl>
    <w:lvl w:ilvl="7">
      <w:start w:val="0"/>
      <w:numFmt w:val="bullet"/>
      <w:lvlText w:val="•"/>
      <w:lvlJc w:val="left"/>
      <w:pPr>
        <w:ind w:left="7182" w:hanging="794"/>
      </w:pPr>
      <w:rPr>
        <w:rFonts w:hint="default"/>
        <w:lang w:val="en-us" w:eastAsia="en-us" w:bidi="en-us"/>
      </w:rPr>
    </w:lvl>
    <w:lvl w:ilvl="8">
      <w:start w:val="0"/>
      <w:numFmt w:val="bullet"/>
      <w:lvlText w:val="•"/>
      <w:lvlJc w:val="left"/>
      <w:pPr>
        <w:ind w:left="7957" w:hanging="794"/>
      </w:pPr>
      <w:rPr>
        <w:rFonts w:hint="default"/>
        <w:lang w:val="en-us" w:eastAsia="en-us" w:bidi="en-us"/>
      </w:rPr>
    </w:lvl>
  </w:abstractNum>
  <w:abstractNum w:abstractNumId="103">
    <w:multiLevelType w:val="hybridMultilevel"/>
    <w:lvl w:ilvl="0">
      <w:start w:val="1"/>
      <w:numFmt w:val="decimal"/>
      <w:lvlText w:val="%1"/>
      <w:lvlJc w:val="left"/>
      <w:pPr>
        <w:ind w:left="893" w:hanging="794"/>
        <w:jc w:val="right"/>
      </w:pPr>
      <w:rPr>
        <w:rFonts w:hint="default" w:ascii="Raleway" w:hAnsi="Raleway" w:eastAsia="Raleway" w:cs="Raleway"/>
        <w:spacing w:val="-1"/>
        <w:w w:val="97"/>
        <w:sz w:val="13"/>
        <w:szCs w:val="13"/>
        <w:lang w:val="en-us" w:eastAsia="en-us" w:bidi="en-us"/>
      </w:rPr>
    </w:lvl>
    <w:lvl w:ilvl="1">
      <w:start w:val="0"/>
      <w:numFmt w:val="bullet"/>
      <w:lvlText w:val="•"/>
      <w:lvlJc w:val="left"/>
      <w:pPr>
        <w:ind w:left="2517" w:hanging="360"/>
      </w:pPr>
      <w:rPr>
        <w:rFonts w:hint="default" w:ascii="Raleway" w:hAnsi="Raleway" w:eastAsia="Raleway" w:cs="Raleway"/>
        <w:w w:val="101"/>
        <w:sz w:val="19"/>
        <w:szCs w:val="19"/>
        <w:lang w:val="en-us" w:eastAsia="en-us" w:bidi="en-us"/>
      </w:rPr>
    </w:lvl>
    <w:lvl w:ilvl="2">
      <w:start w:val="0"/>
      <w:numFmt w:val="bullet"/>
      <w:lvlText w:val="•"/>
      <w:lvlJc w:val="left"/>
      <w:pPr>
        <w:ind w:left="3355" w:hanging="360"/>
      </w:pPr>
      <w:rPr>
        <w:rFonts w:hint="default"/>
        <w:lang w:val="en-us" w:eastAsia="en-us" w:bidi="en-us"/>
      </w:rPr>
    </w:lvl>
    <w:lvl w:ilvl="3">
      <w:start w:val="0"/>
      <w:numFmt w:val="bullet"/>
      <w:lvlText w:val="•"/>
      <w:lvlJc w:val="left"/>
      <w:pPr>
        <w:ind w:left="4190" w:hanging="360"/>
      </w:pPr>
      <w:rPr>
        <w:rFonts w:hint="default"/>
        <w:lang w:val="en-us" w:eastAsia="en-us" w:bidi="en-us"/>
      </w:rPr>
    </w:lvl>
    <w:lvl w:ilvl="4">
      <w:start w:val="0"/>
      <w:numFmt w:val="bullet"/>
      <w:lvlText w:val="•"/>
      <w:lvlJc w:val="left"/>
      <w:pPr>
        <w:ind w:left="5026" w:hanging="360"/>
      </w:pPr>
      <w:rPr>
        <w:rFonts w:hint="default"/>
        <w:lang w:val="en-us" w:eastAsia="en-us" w:bidi="en-us"/>
      </w:rPr>
    </w:lvl>
    <w:lvl w:ilvl="5">
      <w:start w:val="0"/>
      <w:numFmt w:val="bullet"/>
      <w:lvlText w:val="•"/>
      <w:lvlJc w:val="left"/>
      <w:pPr>
        <w:ind w:left="5861" w:hanging="360"/>
      </w:pPr>
      <w:rPr>
        <w:rFonts w:hint="default"/>
        <w:lang w:val="en-us" w:eastAsia="en-us" w:bidi="en-us"/>
      </w:rPr>
    </w:lvl>
    <w:lvl w:ilvl="6">
      <w:start w:val="0"/>
      <w:numFmt w:val="bullet"/>
      <w:lvlText w:val="•"/>
      <w:lvlJc w:val="left"/>
      <w:pPr>
        <w:ind w:left="6696" w:hanging="360"/>
      </w:pPr>
      <w:rPr>
        <w:rFonts w:hint="default"/>
        <w:lang w:val="en-us" w:eastAsia="en-us" w:bidi="en-us"/>
      </w:rPr>
    </w:lvl>
    <w:lvl w:ilvl="7">
      <w:start w:val="0"/>
      <w:numFmt w:val="bullet"/>
      <w:lvlText w:val="•"/>
      <w:lvlJc w:val="left"/>
      <w:pPr>
        <w:ind w:left="7532" w:hanging="360"/>
      </w:pPr>
      <w:rPr>
        <w:rFonts w:hint="default"/>
        <w:lang w:val="en-us" w:eastAsia="en-us" w:bidi="en-us"/>
      </w:rPr>
    </w:lvl>
    <w:lvl w:ilvl="8">
      <w:start w:val="0"/>
      <w:numFmt w:val="bullet"/>
      <w:lvlText w:val="•"/>
      <w:lvlJc w:val="left"/>
      <w:pPr>
        <w:ind w:left="8367" w:hanging="360"/>
      </w:pPr>
      <w:rPr>
        <w:rFonts w:hint="default"/>
        <w:lang w:val="en-us" w:eastAsia="en-us" w:bidi="en-us"/>
      </w:rPr>
    </w:lvl>
  </w:abstractNum>
  <w:abstractNum w:abstractNumId="102">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101">
    <w:multiLevelType w:val="hybridMultilevel"/>
    <w:lvl w:ilvl="0">
      <w:start w:val="1"/>
      <w:numFmt w:val="decimal"/>
      <w:lvlText w:val="%1)"/>
      <w:lvlJc w:val="left"/>
      <w:pPr>
        <w:ind w:left="2157" w:hanging="397"/>
        <w:jc w:val="left"/>
      </w:pPr>
      <w:rPr>
        <w:rFonts w:hint="default" w:ascii="Raleway" w:hAnsi="Raleway" w:eastAsia="Raleway" w:cs="Raleway"/>
        <w:spacing w:val="-5"/>
        <w:w w:val="97"/>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100">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99">
    <w:multiLevelType w:val="hybridMultilevel"/>
    <w:lvl w:ilvl="0">
      <w:start w:val="1"/>
      <w:numFmt w:val="decimal"/>
      <w:lvlText w:val="%1)"/>
      <w:lvlJc w:val="left"/>
      <w:pPr>
        <w:ind w:left="2157" w:hanging="397"/>
        <w:jc w:val="left"/>
      </w:pPr>
      <w:rPr>
        <w:rFonts w:hint="default" w:ascii="Raleway" w:hAnsi="Raleway" w:eastAsia="Raleway" w:cs="Raleway"/>
        <w:spacing w:val="-5"/>
        <w:w w:val="97"/>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97">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96">
    <w:multiLevelType w:val="hybridMultilevel"/>
    <w:lvl w:ilvl="0">
      <w:start w:val="0"/>
      <w:numFmt w:val="bullet"/>
      <w:lvlText w:val="-"/>
      <w:lvlJc w:val="left"/>
      <w:pPr>
        <w:ind w:left="2554" w:hanging="397"/>
      </w:pPr>
      <w:rPr>
        <w:rFonts w:hint="default" w:ascii="Raleway" w:hAnsi="Raleway" w:eastAsia="Raleway" w:cs="Raleway"/>
        <w:w w:val="100"/>
        <w:sz w:val="19"/>
        <w:szCs w:val="19"/>
        <w:lang w:val="en-us" w:eastAsia="en-us" w:bidi="en-us"/>
      </w:rPr>
    </w:lvl>
    <w:lvl w:ilvl="1">
      <w:start w:val="0"/>
      <w:numFmt w:val="bullet"/>
      <w:lvlText w:val="•"/>
      <w:lvlJc w:val="left"/>
      <w:pPr>
        <w:ind w:left="3394" w:hanging="397"/>
      </w:pPr>
      <w:rPr>
        <w:rFonts w:hint="default"/>
        <w:lang w:val="en-us" w:eastAsia="en-us" w:bidi="en-us"/>
      </w:rPr>
    </w:lvl>
    <w:lvl w:ilvl="2">
      <w:start w:val="0"/>
      <w:numFmt w:val="bullet"/>
      <w:lvlText w:val="•"/>
      <w:lvlJc w:val="left"/>
      <w:pPr>
        <w:ind w:left="4229" w:hanging="397"/>
      </w:pPr>
      <w:rPr>
        <w:rFonts w:hint="default"/>
        <w:lang w:val="en-us" w:eastAsia="en-us" w:bidi="en-us"/>
      </w:rPr>
    </w:lvl>
    <w:lvl w:ilvl="3">
      <w:start w:val="0"/>
      <w:numFmt w:val="bullet"/>
      <w:lvlText w:val="•"/>
      <w:lvlJc w:val="left"/>
      <w:pPr>
        <w:ind w:left="5063" w:hanging="397"/>
      </w:pPr>
      <w:rPr>
        <w:rFonts w:hint="default"/>
        <w:lang w:val="en-us" w:eastAsia="en-us" w:bidi="en-us"/>
      </w:rPr>
    </w:lvl>
    <w:lvl w:ilvl="4">
      <w:start w:val="0"/>
      <w:numFmt w:val="bullet"/>
      <w:lvlText w:val="•"/>
      <w:lvlJc w:val="left"/>
      <w:pPr>
        <w:ind w:left="5898" w:hanging="397"/>
      </w:pPr>
      <w:rPr>
        <w:rFonts w:hint="default"/>
        <w:lang w:val="en-us" w:eastAsia="en-us" w:bidi="en-us"/>
      </w:rPr>
    </w:lvl>
    <w:lvl w:ilvl="5">
      <w:start w:val="0"/>
      <w:numFmt w:val="bullet"/>
      <w:lvlText w:val="•"/>
      <w:lvlJc w:val="left"/>
      <w:pPr>
        <w:ind w:left="6732" w:hanging="397"/>
      </w:pPr>
      <w:rPr>
        <w:rFonts w:hint="default"/>
        <w:lang w:val="en-us" w:eastAsia="en-us" w:bidi="en-us"/>
      </w:rPr>
    </w:lvl>
    <w:lvl w:ilvl="6">
      <w:start w:val="0"/>
      <w:numFmt w:val="bullet"/>
      <w:lvlText w:val="•"/>
      <w:lvlJc w:val="left"/>
      <w:pPr>
        <w:ind w:left="7567" w:hanging="397"/>
      </w:pPr>
      <w:rPr>
        <w:rFonts w:hint="default"/>
        <w:lang w:val="en-us" w:eastAsia="en-us" w:bidi="en-us"/>
      </w:rPr>
    </w:lvl>
    <w:lvl w:ilvl="7">
      <w:start w:val="0"/>
      <w:numFmt w:val="bullet"/>
      <w:lvlText w:val="•"/>
      <w:lvlJc w:val="left"/>
      <w:pPr>
        <w:ind w:left="8401" w:hanging="397"/>
      </w:pPr>
      <w:rPr>
        <w:rFonts w:hint="default"/>
        <w:lang w:val="en-us" w:eastAsia="en-us" w:bidi="en-us"/>
      </w:rPr>
    </w:lvl>
    <w:lvl w:ilvl="8">
      <w:start w:val="0"/>
      <w:numFmt w:val="bullet"/>
      <w:lvlText w:val="•"/>
      <w:lvlJc w:val="left"/>
      <w:pPr>
        <w:ind w:left="9236" w:hanging="397"/>
      </w:pPr>
      <w:rPr>
        <w:rFonts w:hint="default"/>
        <w:lang w:val="en-us" w:eastAsia="en-us" w:bidi="en-us"/>
      </w:rPr>
    </w:lvl>
  </w:abstractNum>
  <w:abstractNum w:abstractNumId="95">
    <w:multiLevelType w:val="hybridMultilevel"/>
    <w:lvl w:ilvl="0">
      <w:start w:val="1"/>
      <w:numFmt w:val="decimal"/>
      <w:lvlText w:val="%1"/>
      <w:lvlJc w:val="left"/>
      <w:pPr>
        <w:ind w:left="893" w:hanging="794"/>
        <w:jc w:val="right"/>
      </w:pPr>
      <w:rPr>
        <w:rFonts w:hint="default" w:ascii="Raleway" w:hAnsi="Raleway" w:eastAsia="Raleway" w:cs="Raleway"/>
        <w:spacing w:val="-1"/>
        <w:w w:val="97"/>
        <w:sz w:val="13"/>
        <w:szCs w:val="13"/>
        <w:lang w:val="en-us" w:eastAsia="en-us" w:bidi="en-us"/>
      </w:rPr>
    </w:lvl>
    <w:lvl w:ilvl="1">
      <w:start w:val="0"/>
      <w:numFmt w:val="bullet"/>
      <w:lvlText w:val="•"/>
      <w:lvlJc w:val="left"/>
      <w:pPr>
        <w:ind w:left="1813" w:hanging="794"/>
      </w:pPr>
      <w:rPr>
        <w:rFonts w:hint="default"/>
        <w:lang w:val="en-us" w:eastAsia="en-us" w:bidi="en-us"/>
      </w:rPr>
    </w:lvl>
    <w:lvl w:ilvl="2">
      <w:start w:val="0"/>
      <w:numFmt w:val="bullet"/>
      <w:lvlText w:val="•"/>
      <w:lvlJc w:val="left"/>
      <w:pPr>
        <w:ind w:left="2727" w:hanging="794"/>
      </w:pPr>
      <w:rPr>
        <w:rFonts w:hint="default"/>
        <w:lang w:val="en-us" w:eastAsia="en-us" w:bidi="en-us"/>
      </w:rPr>
    </w:lvl>
    <w:lvl w:ilvl="3">
      <w:start w:val="0"/>
      <w:numFmt w:val="bullet"/>
      <w:lvlText w:val="•"/>
      <w:lvlJc w:val="left"/>
      <w:pPr>
        <w:ind w:left="3641" w:hanging="794"/>
      </w:pPr>
      <w:rPr>
        <w:rFonts w:hint="default"/>
        <w:lang w:val="en-us" w:eastAsia="en-us" w:bidi="en-us"/>
      </w:rPr>
    </w:lvl>
    <w:lvl w:ilvl="4">
      <w:start w:val="0"/>
      <w:numFmt w:val="bullet"/>
      <w:lvlText w:val="•"/>
      <w:lvlJc w:val="left"/>
      <w:pPr>
        <w:ind w:left="4555" w:hanging="794"/>
      </w:pPr>
      <w:rPr>
        <w:rFonts w:hint="default"/>
        <w:lang w:val="en-us" w:eastAsia="en-us" w:bidi="en-us"/>
      </w:rPr>
    </w:lvl>
    <w:lvl w:ilvl="5">
      <w:start w:val="0"/>
      <w:numFmt w:val="bullet"/>
      <w:lvlText w:val="•"/>
      <w:lvlJc w:val="left"/>
      <w:pPr>
        <w:ind w:left="5469" w:hanging="794"/>
      </w:pPr>
      <w:rPr>
        <w:rFonts w:hint="default"/>
        <w:lang w:val="en-us" w:eastAsia="en-us" w:bidi="en-us"/>
      </w:rPr>
    </w:lvl>
    <w:lvl w:ilvl="6">
      <w:start w:val="0"/>
      <w:numFmt w:val="bullet"/>
      <w:lvlText w:val="•"/>
      <w:lvlJc w:val="left"/>
      <w:pPr>
        <w:ind w:left="6382" w:hanging="794"/>
      </w:pPr>
      <w:rPr>
        <w:rFonts w:hint="default"/>
        <w:lang w:val="en-us" w:eastAsia="en-us" w:bidi="en-us"/>
      </w:rPr>
    </w:lvl>
    <w:lvl w:ilvl="7">
      <w:start w:val="0"/>
      <w:numFmt w:val="bullet"/>
      <w:lvlText w:val="•"/>
      <w:lvlJc w:val="left"/>
      <w:pPr>
        <w:ind w:left="7296" w:hanging="794"/>
      </w:pPr>
      <w:rPr>
        <w:rFonts w:hint="default"/>
        <w:lang w:val="en-us" w:eastAsia="en-us" w:bidi="en-us"/>
      </w:rPr>
    </w:lvl>
    <w:lvl w:ilvl="8">
      <w:start w:val="0"/>
      <w:numFmt w:val="bullet"/>
      <w:lvlText w:val="•"/>
      <w:lvlJc w:val="left"/>
      <w:pPr>
        <w:ind w:left="8210" w:hanging="794"/>
      </w:pPr>
      <w:rPr>
        <w:rFonts w:hint="default"/>
        <w:lang w:val="en-us" w:eastAsia="en-us" w:bidi="en-us"/>
      </w:rPr>
    </w:lvl>
  </w:abstractNum>
  <w:abstractNum w:abstractNumId="94">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93">
    <w:multiLevelType w:val="hybridMultilevel"/>
    <w:lvl w:ilvl="0">
      <w:start w:val="11"/>
      <w:numFmt w:val="decimal"/>
      <w:lvlText w:val="%1."/>
      <w:lvlJc w:val="left"/>
      <w:pPr>
        <w:ind w:left="1761" w:hanging="567"/>
        <w:jc w:val="left"/>
      </w:pPr>
      <w:rPr>
        <w:rFonts w:hint="default" w:ascii="Trebuchet MS" w:hAnsi="Trebuchet MS" w:eastAsia="Trebuchet MS" w:cs="Trebuchet MS"/>
        <w:spacing w:val="-2"/>
        <w:w w:val="55"/>
        <w:sz w:val="20"/>
        <w:szCs w:val="20"/>
        <w:lang w:val="en-us" w:eastAsia="en-us" w:bidi="en-us"/>
      </w:rPr>
    </w:lvl>
    <w:lvl w:ilvl="1">
      <w:start w:val="0"/>
      <w:numFmt w:val="bullet"/>
      <w:lvlText w:val="•"/>
      <w:lvlJc w:val="left"/>
      <w:pPr>
        <w:ind w:left="2674" w:hanging="567"/>
      </w:pPr>
      <w:rPr>
        <w:rFonts w:hint="default"/>
        <w:lang w:val="en-us" w:eastAsia="en-us" w:bidi="en-us"/>
      </w:rPr>
    </w:lvl>
    <w:lvl w:ilvl="2">
      <w:start w:val="0"/>
      <w:numFmt w:val="bullet"/>
      <w:lvlText w:val="•"/>
      <w:lvlJc w:val="left"/>
      <w:pPr>
        <w:ind w:left="3589" w:hanging="567"/>
      </w:pPr>
      <w:rPr>
        <w:rFonts w:hint="default"/>
        <w:lang w:val="en-us" w:eastAsia="en-us" w:bidi="en-us"/>
      </w:rPr>
    </w:lvl>
    <w:lvl w:ilvl="3">
      <w:start w:val="0"/>
      <w:numFmt w:val="bullet"/>
      <w:lvlText w:val="•"/>
      <w:lvlJc w:val="left"/>
      <w:pPr>
        <w:ind w:left="4503" w:hanging="567"/>
      </w:pPr>
      <w:rPr>
        <w:rFonts w:hint="default"/>
        <w:lang w:val="en-us" w:eastAsia="en-us" w:bidi="en-us"/>
      </w:rPr>
    </w:lvl>
    <w:lvl w:ilvl="4">
      <w:start w:val="0"/>
      <w:numFmt w:val="bullet"/>
      <w:lvlText w:val="•"/>
      <w:lvlJc w:val="left"/>
      <w:pPr>
        <w:ind w:left="5418" w:hanging="567"/>
      </w:pPr>
      <w:rPr>
        <w:rFonts w:hint="default"/>
        <w:lang w:val="en-us" w:eastAsia="en-us" w:bidi="en-us"/>
      </w:rPr>
    </w:lvl>
    <w:lvl w:ilvl="5">
      <w:start w:val="0"/>
      <w:numFmt w:val="bullet"/>
      <w:lvlText w:val="•"/>
      <w:lvlJc w:val="left"/>
      <w:pPr>
        <w:ind w:left="6332" w:hanging="567"/>
      </w:pPr>
      <w:rPr>
        <w:rFonts w:hint="default"/>
        <w:lang w:val="en-us" w:eastAsia="en-us" w:bidi="en-us"/>
      </w:rPr>
    </w:lvl>
    <w:lvl w:ilvl="6">
      <w:start w:val="0"/>
      <w:numFmt w:val="bullet"/>
      <w:lvlText w:val="•"/>
      <w:lvlJc w:val="left"/>
      <w:pPr>
        <w:ind w:left="7247" w:hanging="567"/>
      </w:pPr>
      <w:rPr>
        <w:rFonts w:hint="default"/>
        <w:lang w:val="en-us" w:eastAsia="en-us" w:bidi="en-us"/>
      </w:rPr>
    </w:lvl>
    <w:lvl w:ilvl="7">
      <w:start w:val="0"/>
      <w:numFmt w:val="bullet"/>
      <w:lvlText w:val="•"/>
      <w:lvlJc w:val="left"/>
      <w:pPr>
        <w:ind w:left="8161" w:hanging="567"/>
      </w:pPr>
      <w:rPr>
        <w:rFonts w:hint="default"/>
        <w:lang w:val="en-us" w:eastAsia="en-us" w:bidi="en-us"/>
      </w:rPr>
    </w:lvl>
    <w:lvl w:ilvl="8">
      <w:start w:val="0"/>
      <w:numFmt w:val="bullet"/>
      <w:lvlText w:val="•"/>
      <w:lvlJc w:val="left"/>
      <w:pPr>
        <w:ind w:left="9076" w:hanging="567"/>
      </w:pPr>
      <w:rPr>
        <w:rFonts w:hint="default"/>
        <w:lang w:val="en-us" w:eastAsia="en-us" w:bidi="en-us"/>
      </w:rPr>
    </w:lvl>
  </w:abstractNum>
  <w:abstractNum w:abstractNumId="91">
    <w:multiLevelType w:val="hybridMultilevel"/>
    <w:lvl w:ilvl="0">
      <w:start w:val="68"/>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462" w:hanging="794"/>
      </w:pPr>
      <w:rPr>
        <w:rFonts w:hint="default"/>
        <w:lang w:val="en-us" w:eastAsia="en-us" w:bidi="en-us"/>
      </w:rPr>
    </w:lvl>
    <w:lvl w:ilvl="2">
      <w:start w:val="0"/>
      <w:numFmt w:val="bullet"/>
      <w:lvlText w:val="•"/>
      <w:lvlJc w:val="left"/>
      <w:pPr>
        <w:ind w:left="3164" w:hanging="794"/>
      </w:pPr>
      <w:rPr>
        <w:rFonts w:hint="default"/>
        <w:lang w:val="en-us" w:eastAsia="en-us" w:bidi="en-us"/>
      </w:rPr>
    </w:lvl>
    <w:lvl w:ilvl="3">
      <w:start w:val="0"/>
      <w:numFmt w:val="bullet"/>
      <w:lvlText w:val="•"/>
      <w:lvlJc w:val="left"/>
      <w:pPr>
        <w:ind w:left="3866" w:hanging="794"/>
      </w:pPr>
      <w:rPr>
        <w:rFonts w:hint="default"/>
        <w:lang w:val="en-us" w:eastAsia="en-us" w:bidi="en-us"/>
      </w:rPr>
    </w:lvl>
    <w:lvl w:ilvl="4">
      <w:start w:val="0"/>
      <w:numFmt w:val="bullet"/>
      <w:lvlText w:val="•"/>
      <w:lvlJc w:val="left"/>
      <w:pPr>
        <w:ind w:left="4569" w:hanging="794"/>
      </w:pPr>
      <w:rPr>
        <w:rFonts w:hint="default"/>
        <w:lang w:val="en-us" w:eastAsia="en-us" w:bidi="en-us"/>
      </w:rPr>
    </w:lvl>
    <w:lvl w:ilvl="5">
      <w:start w:val="0"/>
      <w:numFmt w:val="bullet"/>
      <w:lvlText w:val="•"/>
      <w:lvlJc w:val="left"/>
      <w:pPr>
        <w:ind w:left="5271" w:hanging="794"/>
      </w:pPr>
      <w:rPr>
        <w:rFonts w:hint="default"/>
        <w:lang w:val="en-us" w:eastAsia="en-us" w:bidi="en-us"/>
      </w:rPr>
    </w:lvl>
    <w:lvl w:ilvl="6">
      <w:start w:val="0"/>
      <w:numFmt w:val="bullet"/>
      <w:lvlText w:val="•"/>
      <w:lvlJc w:val="left"/>
      <w:pPr>
        <w:ind w:left="5973" w:hanging="794"/>
      </w:pPr>
      <w:rPr>
        <w:rFonts w:hint="default"/>
        <w:lang w:val="en-us" w:eastAsia="en-us" w:bidi="en-us"/>
      </w:rPr>
    </w:lvl>
    <w:lvl w:ilvl="7">
      <w:start w:val="0"/>
      <w:numFmt w:val="bullet"/>
      <w:lvlText w:val="•"/>
      <w:lvlJc w:val="left"/>
      <w:pPr>
        <w:ind w:left="6676" w:hanging="794"/>
      </w:pPr>
      <w:rPr>
        <w:rFonts w:hint="default"/>
        <w:lang w:val="en-us" w:eastAsia="en-us" w:bidi="en-us"/>
      </w:rPr>
    </w:lvl>
    <w:lvl w:ilvl="8">
      <w:start w:val="0"/>
      <w:numFmt w:val="bullet"/>
      <w:lvlText w:val="•"/>
      <w:lvlJc w:val="left"/>
      <w:pPr>
        <w:ind w:left="7378" w:hanging="794"/>
      </w:pPr>
      <w:rPr>
        <w:rFonts w:hint="default"/>
        <w:lang w:val="en-us" w:eastAsia="en-us" w:bidi="en-us"/>
      </w:rPr>
    </w:lvl>
  </w:abstractNum>
  <w:abstractNum w:abstractNumId="89">
    <w:multiLevelType w:val="hybridMultilevel"/>
    <w:lvl w:ilvl="0">
      <w:start w:val="1"/>
      <w:numFmt w:val="decimal"/>
      <w:lvlText w:val="%1)"/>
      <w:lvlJc w:val="left"/>
      <w:pPr>
        <w:ind w:left="2157" w:hanging="397"/>
        <w:jc w:val="left"/>
      </w:pPr>
      <w:rPr>
        <w:rFonts w:hint="default" w:ascii="Raleway" w:hAnsi="Raleway" w:eastAsia="Raleway" w:cs="Raleway"/>
        <w:spacing w:val="-5"/>
        <w:w w:val="9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88">
    <w:multiLevelType w:val="hybridMultilevel"/>
    <w:lvl w:ilvl="0">
      <w:start w:val="1"/>
      <w:numFmt w:val="decimal"/>
      <w:lvlText w:val="%1)"/>
      <w:lvlJc w:val="left"/>
      <w:pPr>
        <w:ind w:left="2157" w:hanging="397"/>
        <w:jc w:val="left"/>
      </w:pPr>
      <w:rPr>
        <w:rFonts w:hint="default" w:ascii="Raleway" w:hAnsi="Raleway" w:eastAsia="Raleway" w:cs="Raleway"/>
        <w:spacing w:val="-3"/>
        <w:w w:val="83"/>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87">
    <w:multiLevelType w:val="hybridMultilevel"/>
    <w:lvl w:ilvl="0">
      <w:start w:val="1"/>
      <w:numFmt w:val="lowerLetter"/>
      <w:lvlText w:val="%1)"/>
      <w:lvlJc w:val="left"/>
      <w:pPr>
        <w:ind w:left="2157" w:hanging="397"/>
        <w:jc w:val="left"/>
      </w:pPr>
      <w:rPr>
        <w:rFonts w:hint="default" w:ascii="Raleway" w:hAnsi="Raleway" w:eastAsia="Raleway" w:cs="Raleway"/>
        <w:spacing w:val="-5"/>
        <w:w w:val="83"/>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86">
    <w:multiLevelType w:val="hybridMultilevel"/>
    <w:lvl w:ilvl="0">
      <w:start w:val="1"/>
      <w:numFmt w:val="decimal"/>
      <w:lvlText w:val="%1"/>
      <w:lvlJc w:val="left"/>
      <w:pPr>
        <w:ind w:left="893" w:hanging="794"/>
        <w:jc w:val="right"/>
      </w:pPr>
      <w:rPr>
        <w:rFonts w:hint="default" w:ascii="Raleway" w:hAnsi="Raleway" w:eastAsia="Raleway" w:cs="Raleway"/>
        <w:spacing w:val="-13"/>
        <w:w w:val="91"/>
        <w:sz w:val="13"/>
        <w:szCs w:val="13"/>
        <w:lang w:val="en-us" w:eastAsia="en-us" w:bidi="en-us"/>
      </w:rPr>
    </w:lvl>
    <w:lvl w:ilvl="1">
      <w:start w:val="0"/>
      <w:numFmt w:val="bullet"/>
      <w:lvlText w:val="•"/>
      <w:lvlJc w:val="left"/>
      <w:pPr>
        <w:ind w:left="2157" w:hanging="397"/>
      </w:pPr>
      <w:rPr>
        <w:rFonts w:hint="default" w:ascii="Raleway" w:hAnsi="Raleway" w:eastAsia="Raleway" w:cs="Raleway"/>
        <w:w w:val="101"/>
        <w:sz w:val="20"/>
        <w:szCs w:val="20"/>
        <w:lang w:val="en-us" w:eastAsia="en-us" w:bidi="en-us"/>
      </w:rPr>
    </w:lvl>
    <w:lvl w:ilvl="2">
      <w:start w:val="0"/>
      <w:numFmt w:val="bullet"/>
      <w:lvlText w:val="-"/>
      <w:lvlJc w:val="left"/>
      <w:pPr>
        <w:ind w:left="2498" w:hanging="397"/>
      </w:pPr>
      <w:rPr>
        <w:rFonts w:hint="default" w:ascii="Raleway" w:hAnsi="Raleway" w:eastAsia="Raleway" w:cs="Raleway"/>
        <w:w w:val="100"/>
        <w:sz w:val="20"/>
        <w:szCs w:val="20"/>
        <w:lang w:val="en-us" w:eastAsia="en-us" w:bidi="en-us"/>
      </w:rPr>
    </w:lvl>
    <w:lvl w:ilvl="3">
      <w:start w:val="0"/>
      <w:numFmt w:val="bullet"/>
      <w:lvlText w:val="-"/>
      <w:lvlJc w:val="left"/>
      <w:pPr>
        <w:ind w:left="2894" w:hanging="397"/>
      </w:pPr>
      <w:rPr>
        <w:rFonts w:hint="default" w:ascii="Raleway" w:hAnsi="Raleway" w:eastAsia="Raleway" w:cs="Raleway"/>
        <w:w w:val="100"/>
        <w:sz w:val="20"/>
        <w:szCs w:val="20"/>
        <w:lang w:val="en-us" w:eastAsia="en-us" w:bidi="en-us"/>
      </w:rPr>
    </w:lvl>
    <w:lvl w:ilvl="4">
      <w:start w:val="0"/>
      <w:numFmt w:val="bullet"/>
      <w:lvlText w:val="•"/>
      <w:lvlJc w:val="left"/>
      <w:pPr>
        <w:ind w:left="2900" w:hanging="397"/>
      </w:pPr>
      <w:rPr>
        <w:rFonts w:hint="default"/>
        <w:lang w:val="en-us" w:eastAsia="en-us" w:bidi="en-us"/>
      </w:rPr>
    </w:lvl>
    <w:lvl w:ilvl="5">
      <w:start w:val="0"/>
      <w:numFmt w:val="bullet"/>
      <w:lvlText w:val="•"/>
      <w:lvlJc w:val="left"/>
      <w:pPr>
        <w:ind w:left="4089" w:hanging="397"/>
      </w:pPr>
      <w:rPr>
        <w:rFonts w:hint="default"/>
        <w:lang w:val="en-us" w:eastAsia="en-us" w:bidi="en-us"/>
      </w:rPr>
    </w:lvl>
    <w:lvl w:ilvl="6">
      <w:start w:val="0"/>
      <w:numFmt w:val="bullet"/>
      <w:lvlText w:val="•"/>
      <w:lvlJc w:val="left"/>
      <w:pPr>
        <w:ind w:left="5279" w:hanging="397"/>
      </w:pPr>
      <w:rPr>
        <w:rFonts w:hint="default"/>
        <w:lang w:val="en-us" w:eastAsia="en-us" w:bidi="en-us"/>
      </w:rPr>
    </w:lvl>
    <w:lvl w:ilvl="7">
      <w:start w:val="0"/>
      <w:numFmt w:val="bullet"/>
      <w:lvlText w:val="•"/>
      <w:lvlJc w:val="left"/>
      <w:pPr>
        <w:ind w:left="6469" w:hanging="397"/>
      </w:pPr>
      <w:rPr>
        <w:rFonts w:hint="default"/>
        <w:lang w:val="en-us" w:eastAsia="en-us" w:bidi="en-us"/>
      </w:rPr>
    </w:lvl>
    <w:lvl w:ilvl="8">
      <w:start w:val="0"/>
      <w:numFmt w:val="bullet"/>
      <w:lvlText w:val="•"/>
      <w:lvlJc w:val="left"/>
      <w:pPr>
        <w:ind w:left="7658" w:hanging="397"/>
      </w:pPr>
      <w:rPr>
        <w:rFonts w:hint="default"/>
        <w:lang w:val="en-us" w:eastAsia="en-us" w:bidi="en-us"/>
      </w:rPr>
    </w:lvl>
  </w:abstractNum>
  <w:abstractNum w:abstractNumId="85">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84">
    <w:multiLevelType w:val="hybridMultilevel"/>
    <w:lvl w:ilvl="0">
      <w:start w:val="1"/>
      <w:numFmt w:val="decimal"/>
      <w:lvlText w:val="%1)"/>
      <w:lvlJc w:val="left"/>
      <w:pPr>
        <w:ind w:left="2157" w:hanging="397"/>
        <w:jc w:val="left"/>
      </w:pPr>
      <w:rPr>
        <w:rFonts w:hint="default" w:ascii="Raleway" w:hAnsi="Raleway" w:eastAsia="Raleway" w:cs="Raleway"/>
        <w:spacing w:val="-13"/>
        <w:w w:val="9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83">
    <w:multiLevelType w:val="hybridMultilevel"/>
    <w:lvl w:ilvl="0">
      <w:start w:val="1"/>
      <w:numFmt w:val="lowerLetter"/>
      <w:lvlText w:val="%1)"/>
      <w:lvlJc w:val="left"/>
      <w:pPr>
        <w:ind w:left="2157" w:hanging="397"/>
        <w:jc w:val="left"/>
      </w:pPr>
      <w:rPr>
        <w:rFonts w:hint="default" w:ascii="Raleway" w:hAnsi="Raleway" w:eastAsia="Raleway" w:cs="Raleway"/>
        <w:spacing w:val="-5"/>
        <w:w w:val="9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82">
    <w:multiLevelType w:val="hybridMultilevel"/>
    <w:lvl w:ilvl="0">
      <w:start w:val="1"/>
      <w:numFmt w:val="decimal"/>
      <w:lvlText w:val="%1)"/>
      <w:lvlJc w:val="left"/>
      <w:pPr>
        <w:ind w:left="2157" w:hanging="397"/>
        <w:jc w:val="left"/>
      </w:pPr>
      <w:rPr>
        <w:rFonts w:hint="default" w:ascii="Raleway" w:hAnsi="Raleway" w:eastAsia="Raleway" w:cs="Raleway"/>
        <w:spacing w:val="-13"/>
        <w:w w:val="9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81">
    <w:multiLevelType w:val="hybridMultilevel"/>
    <w:lvl w:ilvl="0">
      <w:start w:val="20"/>
      <w:numFmt w:val="decimal"/>
      <w:lvlText w:val="%1"/>
      <w:lvlJc w:val="left"/>
      <w:pPr>
        <w:ind w:left="893" w:hanging="794"/>
        <w:jc w:val="right"/>
      </w:pPr>
      <w:rPr>
        <w:rFonts w:hint="default" w:ascii="Raleway" w:hAnsi="Raleway" w:eastAsia="Raleway" w:cs="Raleway"/>
        <w:spacing w:val="0"/>
        <w:w w:val="101"/>
        <w:sz w:val="13"/>
        <w:szCs w:val="13"/>
        <w:lang w:val="en-us" w:eastAsia="en-us" w:bidi="en-us"/>
      </w:rPr>
    </w:lvl>
    <w:lvl w:ilvl="1">
      <w:start w:val="1"/>
      <w:numFmt w:val="decimal"/>
      <w:lvlText w:val="%2."/>
      <w:lvlJc w:val="left"/>
      <w:pPr>
        <w:ind w:left="1761" w:hanging="567"/>
        <w:jc w:val="left"/>
      </w:pPr>
      <w:rPr>
        <w:rFonts w:hint="default" w:ascii="Trebuchet MS" w:hAnsi="Trebuchet MS" w:eastAsia="Trebuchet MS" w:cs="Trebuchet MS"/>
        <w:spacing w:val="0"/>
        <w:w w:val="55"/>
        <w:sz w:val="20"/>
        <w:szCs w:val="20"/>
        <w:lang w:val="en-us" w:eastAsia="en-us" w:bidi="en-us"/>
      </w:rPr>
    </w:lvl>
    <w:lvl w:ilvl="2">
      <w:start w:val="0"/>
      <w:numFmt w:val="bullet"/>
      <w:lvlText w:val="•"/>
      <w:lvlJc w:val="left"/>
      <w:pPr>
        <w:ind w:left="2679" w:hanging="567"/>
      </w:pPr>
      <w:rPr>
        <w:rFonts w:hint="default"/>
        <w:lang w:val="en-us" w:eastAsia="en-us" w:bidi="en-us"/>
      </w:rPr>
    </w:lvl>
    <w:lvl w:ilvl="3">
      <w:start w:val="0"/>
      <w:numFmt w:val="bullet"/>
      <w:lvlText w:val="•"/>
      <w:lvlJc w:val="left"/>
      <w:pPr>
        <w:ind w:left="3599" w:hanging="567"/>
      </w:pPr>
      <w:rPr>
        <w:rFonts w:hint="default"/>
        <w:lang w:val="en-us" w:eastAsia="en-us" w:bidi="en-us"/>
      </w:rPr>
    </w:lvl>
    <w:lvl w:ilvl="4">
      <w:start w:val="0"/>
      <w:numFmt w:val="bullet"/>
      <w:lvlText w:val="•"/>
      <w:lvlJc w:val="left"/>
      <w:pPr>
        <w:ind w:left="4519" w:hanging="567"/>
      </w:pPr>
      <w:rPr>
        <w:rFonts w:hint="default"/>
        <w:lang w:val="en-us" w:eastAsia="en-us" w:bidi="en-us"/>
      </w:rPr>
    </w:lvl>
    <w:lvl w:ilvl="5">
      <w:start w:val="0"/>
      <w:numFmt w:val="bullet"/>
      <w:lvlText w:val="•"/>
      <w:lvlJc w:val="left"/>
      <w:pPr>
        <w:ind w:left="5439" w:hanging="567"/>
      </w:pPr>
      <w:rPr>
        <w:rFonts w:hint="default"/>
        <w:lang w:val="en-us" w:eastAsia="en-us" w:bidi="en-us"/>
      </w:rPr>
    </w:lvl>
    <w:lvl w:ilvl="6">
      <w:start w:val="0"/>
      <w:numFmt w:val="bullet"/>
      <w:lvlText w:val="•"/>
      <w:lvlJc w:val="left"/>
      <w:pPr>
        <w:ind w:left="6358" w:hanging="567"/>
      </w:pPr>
      <w:rPr>
        <w:rFonts w:hint="default"/>
        <w:lang w:val="en-us" w:eastAsia="en-us" w:bidi="en-us"/>
      </w:rPr>
    </w:lvl>
    <w:lvl w:ilvl="7">
      <w:start w:val="0"/>
      <w:numFmt w:val="bullet"/>
      <w:lvlText w:val="•"/>
      <w:lvlJc w:val="left"/>
      <w:pPr>
        <w:ind w:left="7278" w:hanging="567"/>
      </w:pPr>
      <w:rPr>
        <w:rFonts w:hint="default"/>
        <w:lang w:val="en-us" w:eastAsia="en-us" w:bidi="en-us"/>
      </w:rPr>
    </w:lvl>
    <w:lvl w:ilvl="8">
      <w:start w:val="0"/>
      <w:numFmt w:val="bullet"/>
      <w:lvlText w:val="•"/>
      <w:lvlJc w:val="left"/>
      <w:pPr>
        <w:ind w:left="8198" w:hanging="567"/>
      </w:pPr>
      <w:rPr>
        <w:rFonts w:hint="default"/>
        <w:lang w:val="en-us" w:eastAsia="en-us" w:bidi="en-us"/>
      </w:rPr>
    </w:lvl>
  </w:abstractNum>
  <w:abstractNum w:abstractNumId="80">
    <w:multiLevelType w:val="hybridMultilevel"/>
    <w:lvl w:ilvl="0">
      <w:start w:val="10"/>
      <w:numFmt w:val="decimal"/>
      <w:lvlText w:val="%1"/>
      <w:lvlJc w:val="left"/>
      <w:pPr>
        <w:ind w:left="1761" w:hanging="794"/>
        <w:jc w:val="right"/>
      </w:pPr>
      <w:rPr>
        <w:rFonts w:hint="default" w:ascii="Raleway" w:hAnsi="Raleway" w:eastAsia="Raleway" w:cs="Raleway"/>
        <w:w w:val="100"/>
        <w:sz w:val="13"/>
        <w:szCs w:val="13"/>
        <w:lang w:val="en-us" w:eastAsia="en-us" w:bidi="en-us"/>
      </w:rPr>
    </w:lvl>
    <w:lvl w:ilvl="1">
      <w:start w:val="0"/>
      <w:numFmt w:val="bullet"/>
      <w:lvlText w:val="•"/>
      <w:lvlJc w:val="left"/>
      <w:pPr>
        <w:ind w:left="2547" w:hanging="794"/>
      </w:pPr>
      <w:rPr>
        <w:rFonts w:hint="default"/>
        <w:lang w:val="en-us" w:eastAsia="en-us" w:bidi="en-us"/>
      </w:rPr>
    </w:lvl>
    <w:lvl w:ilvl="2">
      <w:start w:val="0"/>
      <w:numFmt w:val="bullet"/>
      <w:lvlText w:val="•"/>
      <w:lvlJc w:val="left"/>
      <w:pPr>
        <w:ind w:left="3334" w:hanging="794"/>
      </w:pPr>
      <w:rPr>
        <w:rFonts w:hint="default"/>
        <w:lang w:val="en-us" w:eastAsia="en-us" w:bidi="en-us"/>
      </w:rPr>
    </w:lvl>
    <w:lvl w:ilvl="3">
      <w:start w:val="0"/>
      <w:numFmt w:val="bullet"/>
      <w:lvlText w:val="•"/>
      <w:lvlJc w:val="left"/>
      <w:pPr>
        <w:ind w:left="4121" w:hanging="794"/>
      </w:pPr>
      <w:rPr>
        <w:rFonts w:hint="default"/>
        <w:lang w:val="en-us" w:eastAsia="en-us" w:bidi="en-us"/>
      </w:rPr>
    </w:lvl>
    <w:lvl w:ilvl="4">
      <w:start w:val="0"/>
      <w:numFmt w:val="bullet"/>
      <w:lvlText w:val="•"/>
      <w:lvlJc w:val="left"/>
      <w:pPr>
        <w:ind w:left="4908" w:hanging="794"/>
      </w:pPr>
      <w:rPr>
        <w:rFonts w:hint="default"/>
        <w:lang w:val="en-us" w:eastAsia="en-us" w:bidi="en-us"/>
      </w:rPr>
    </w:lvl>
    <w:lvl w:ilvl="5">
      <w:start w:val="0"/>
      <w:numFmt w:val="bullet"/>
      <w:lvlText w:val="•"/>
      <w:lvlJc w:val="left"/>
      <w:pPr>
        <w:ind w:left="5695" w:hanging="794"/>
      </w:pPr>
      <w:rPr>
        <w:rFonts w:hint="default"/>
        <w:lang w:val="en-us" w:eastAsia="en-us" w:bidi="en-us"/>
      </w:rPr>
    </w:lvl>
    <w:lvl w:ilvl="6">
      <w:start w:val="0"/>
      <w:numFmt w:val="bullet"/>
      <w:lvlText w:val="•"/>
      <w:lvlJc w:val="left"/>
      <w:pPr>
        <w:ind w:left="6482" w:hanging="794"/>
      </w:pPr>
      <w:rPr>
        <w:rFonts w:hint="default"/>
        <w:lang w:val="en-us" w:eastAsia="en-us" w:bidi="en-us"/>
      </w:rPr>
    </w:lvl>
    <w:lvl w:ilvl="7">
      <w:start w:val="0"/>
      <w:numFmt w:val="bullet"/>
      <w:lvlText w:val="•"/>
      <w:lvlJc w:val="left"/>
      <w:pPr>
        <w:ind w:left="7269" w:hanging="794"/>
      </w:pPr>
      <w:rPr>
        <w:rFonts w:hint="default"/>
        <w:lang w:val="en-us" w:eastAsia="en-us" w:bidi="en-us"/>
      </w:rPr>
    </w:lvl>
    <w:lvl w:ilvl="8">
      <w:start w:val="0"/>
      <w:numFmt w:val="bullet"/>
      <w:lvlText w:val="•"/>
      <w:lvlJc w:val="left"/>
      <w:pPr>
        <w:ind w:left="8056" w:hanging="794"/>
      </w:pPr>
      <w:rPr>
        <w:rFonts w:hint="default"/>
        <w:lang w:val="en-us" w:eastAsia="en-us" w:bidi="en-us"/>
      </w:rPr>
    </w:lvl>
  </w:abstractNum>
  <w:abstractNum w:abstractNumId="79">
    <w:multiLevelType w:val="hybridMultilevel"/>
    <w:lvl w:ilvl="0">
      <w:start w:val="1"/>
      <w:numFmt w:val="decimal"/>
      <w:lvlText w:val="(%1)"/>
      <w:lvlJc w:val="left"/>
      <w:pPr>
        <w:ind w:left="1015" w:hanging="794"/>
        <w:jc w:val="left"/>
      </w:pPr>
      <w:rPr>
        <w:rFonts w:hint="default" w:ascii="Raleway" w:hAnsi="Raleway" w:eastAsia="Raleway" w:cs="Raleway"/>
        <w:spacing w:val="-13"/>
        <w:w w:val="83"/>
        <w:sz w:val="20"/>
        <w:szCs w:val="20"/>
        <w:lang w:val="en-us" w:eastAsia="en-us" w:bidi="en-us"/>
      </w:rPr>
    </w:lvl>
    <w:lvl w:ilvl="1">
      <w:start w:val="0"/>
      <w:numFmt w:val="bullet"/>
      <w:lvlText w:val="•"/>
      <w:lvlJc w:val="left"/>
      <w:pPr>
        <w:ind w:left="1789" w:hanging="794"/>
      </w:pPr>
      <w:rPr>
        <w:rFonts w:hint="default"/>
        <w:lang w:val="en-us" w:eastAsia="en-us" w:bidi="en-us"/>
      </w:rPr>
    </w:lvl>
    <w:lvl w:ilvl="2">
      <w:start w:val="0"/>
      <w:numFmt w:val="bullet"/>
      <w:lvlText w:val="•"/>
      <w:lvlJc w:val="left"/>
      <w:pPr>
        <w:ind w:left="2558" w:hanging="794"/>
      </w:pPr>
      <w:rPr>
        <w:rFonts w:hint="default"/>
        <w:lang w:val="en-us" w:eastAsia="en-us" w:bidi="en-us"/>
      </w:rPr>
    </w:lvl>
    <w:lvl w:ilvl="3">
      <w:start w:val="0"/>
      <w:numFmt w:val="bullet"/>
      <w:lvlText w:val="•"/>
      <w:lvlJc w:val="left"/>
      <w:pPr>
        <w:ind w:left="3327" w:hanging="794"/>
      </w:pPr>
      <w:rPr>
        <w:rFonts w:hint="default"/>
        <w:lang w:val="en-us" w:eastAsia="en-us" w:bidi="en-us"/>
      </w:rPr>
    </w:lvl>
    <w:lvl w:ilvl="4">
      <w:start w:val="0"/>
      <w:numFmt w:val="bullet"/>
      <w:lvlText w:val="•"/>
      <w:lvlJc w:val="left"/>
      <w:pPr>
        <w:ind w:left="4096" w:hanging="794"/>
      </w:pPr>
      <w:rPr>
        <w:rFonts w:hint="default"/>
        <w:lang w:val="en-us" w:eastAsia="en-us" w:bidi="en-us"/>
      </w:rPr>
    </w:lvl>
    <w:lvl w:ilvl="5">
      <w:start w:val="0"/>
      <w:numFmt w:val="bullet"/>
      <w:lvlText w:val="•"/>
      <w:lvlJc w:val="left"/>
      <w:pPr>
        <w:ind w:left="4865" w:hanging="794"/>
      </w:pPr>
      <w:rPr>
        <w:rFonts w:hint="default"/>
        <w:lang w:val="en-us" w:eastAsia="en-us" w:bidi="en-us"/>
      </w:rPr>
    </w:lvl>
    <w:lvl w:ilvl="6">
      <w:start w:val="0"/>
      <w:numFmt w:val="bullet"/>
      <w:lvlText w:val="•"/>
      <w:lvlJc w:val="left"/>
      <w:pPr>
        <w:ind w:left="5634" w:hanging="794"/>
      </w:pPr>
      <w:rPr>
        <w:rFonts w:hint="default"/>
        <w:lang w:val="en-us" w:eastAsia="en-us" w:bidi="en-us"/>
      </w:rPr>
    </w:lvl>
    <w:lvl w:ilvl="7">
      <w:start w:val="0"/>
      <w:numFmt w:val="bullet"/>
      <w:lvlText w:val="•"/>
      <w:lvlJc w:val="left"/>
      <w:pPr>
        <w:ind w:left="6403" w:hanging="794"/>
      </w:pPr>
      <w:rPr>
        <w:rFonts w:hint="default"/>
        <w:lang w:val="en-us" w:eastAsia="en-us" w:bidi="en-us"/>
      </w:rPr>
    </w:lvl>
    <w:lvl w:ilvl="8">
      <w:start w:val="0"/>
      <w:numFmt w:val="bullet"/>
      <w:lvlText w:val="•"/>
      <w:lvlJc w:val="left"/>
      <w:pPr>
        <w:ind w:left="7172" w:hanging="794"/>
      </w:pPr>
      <w:rPr>
        <w:rFonts w:hint="default"/>
        <w:lang w:val="en-us" w:eastAsia="en-us" w:bidi="en-us"/>
      </w:rPr>
    </w:lvl>
  </w:abstractNum>
  <w:abstractNum w:abstractNumId="78">
    <w:multiLevelType w:val="hybridMultilevel"/>
    <w:lvl w:ilvl="0">
      <w:start w:val="3"/>
      <w:numFmt w:val="decimal"/>
      <w:lvlText w:val="(%1)"/>
      <w:lvlJc w:val="left"/>
      <w:pPr>
        <w:ind w:left="1992" w:hanging="794"/>
        <w:jc w:val="left"/>
      </w:pPr>
      <w:rPr>
        <w:rFonts w:hint="default" w:ascii="Raleway" w:hAnsi="Raleway" w:eastAsia="Raleway" w:cs="Raleway"/>
        <w:spacing w:val="-18"/>
        <w:w w:val="91"/>
        <w:sz w:val="20"/>
        <w:szCs w:val="20"/>
        <w:lang w:val="en-us" w:eastAsia="en-us" w:bidi="en-us"/>
      </w:rPr>
    </w:lvl>
    <w:lvl w:ilvl="1">
      <w:start w:val="1"/>
      <w:numFmt w:val="lowerLetter"/>
      <w:lvlText w:val="(%2)"/>
      <w:lvlJc w:val="left"/>
      <w:pPr>
        <w:ind w:left="2389" w:hanging="397"/>
        <w:jc w:val="left"/>
      </w:pPr>
      <w:rPr>
        <w:rFonts w:hint="default" w:ascii="Raleway" w:hAnsi="Raleway" w:eastAsia="Raleway" w:cs="Raleway"/>
        <w:spacing w:val="-22"/>
        <w:w w:val="91"/>
        <w:sz w:val="20"/>
        <w:szCs w:val="20"/>
        <w:lang w:val="en-us" w:eastAsia="en-us" w:bidi="en-us"/>
      </w:rPr>
    </w:lvl>
    <w:lvl w:ilvl="2">
      <w:start w:val="0"/>
      <w:numFmt w:val="bullet"/>
      <w:lvlText w:val="•"/>
      <w:lvlJc w:val="left"/>
      <w:pPr>
        <w:ind w:left="3327" w:hanging="397"/>
      </w:pPr>
      <w:rPr>
        <w:rFonts w:hint="default"/>
        <w:lang w:val="en-us" w:eastAsia="en-us" w:bidi="en-us"/>
      </w:rPr>
    </w:lvl>
    <w:lvl w:ilvl="3">
      <w:start w:val="0"/>
      <w:numFmt w:val="bullet"/>
      <w:lvlText w:val="•"/>
      <w:lvlJc w:val="left"/>
      <w:pPr>
        <w:ind w:left="4274" w:hanging="397"/>
      </w:pPr>
      <w:rPr>
        <w:rFonts w:hint="default"/>
        <w:lang w:val="en-us" w:eastAsia="en-us" w:bidi="en-us"/>
      </w:rPr>
    </w:lvl>
    <w:lvl w:ilvl="4">
      <w:start w:val="0"/>
      <w:numFmt w:val="bullet"/>
      <w:lvlText w:val="•"/>
      <w:lvlJc w:val="left"/>
      <w:pPr>
        <w:ind w:left="5221" w:hanging="397"/>
      </w:pPr>
      <w:rPr>
        <w:rFonts w:hint="default"/>
        <w:lang w:val="en-us" w:eastAsia="en-us" w:bidi="en-us"/>
      </w:rPr>
    </w:lvl>
    <w:lvl w:ilvl="5">
      <w:start w:val="0"/>
      <w:numFmt w:val="bullet"/>
      <w:lvlText w:val="•"/>
      <w:lvlJc w:val="left"/>
      <w:pPr>
        <w:ind w:left="6169" w:hanging="397"/>
      </w:pPr>
      <w:rPr>
        <w:rFonts w:hint="default"/>
        <w:lang w:val="en-us" w:eastAsia="en-us" w:bidi="en-us"/>
      </w:rPr>
    </w:lvl>
    <w:lvl w:ilvl="6">
      <w:start w:val="0"/>
      <w:numFmt w:val="bullet"/>
      <w:lvlText w:val="•"/>
      <w:lvlJc w:val="left"/>
      <w:pPr>
        <w:ind w:left="7116" w:hanging="397"/>
      </w:pPr>
      <w:rPr>
        <w:rFonts w:hint="default"/>
        <w:lang w:val="en-us" w:eastAsia="en-us" w:bidi="en-us"/>
      </w:rPr>
    </w:lvl>
    <w:lvl w:ilvl="7">
      <w:start w:val="0"/>
      <w:numFmt w:val="bullet"/>
      <w:lvlText w:val="•"/>
      <w:lvlJc w:val="left"/>
      <w:pPr>
        <w:ind w:left="8063" w:hanging="397"/>
      </w:pPr>
      <w:rPr>
        <w:rFonts w:hint="default"/>
        <w:lang w:val="en-us" w:eastAsia="en-us" w:bidi="en-us"/>
      </w:rPr>
    </w:lvl>
    <w:lvl w:ilvl="8">
      <w:start w:val="0"/>
      <w:numFmt w:val="bullet"/>
      <w:lvlText w:val="•"/>
      <w:lvlJc w:val="left"/>
      <w:pPr>
        <w:ind w:left="9010" w:hanging="397"/>
      </w:pPr>
      <w:rPr>
        <w:rFonts w:hint="default"/>
        <w:lang w:val="en-us" w:eastAsia="en-us" w:bidi="en-us"/>
      </w:rPr>
    </w:lvl>
  </w:abstractNum>
  <w:abstractNum w:abstractNumId="77">
    <w:multiLevelType w:val="hybridMultilevel"/>
    <w:lvl w:ilvl="0">
      <w:start w:val="1"/>
      <w:numFmt w:val="lowerLetter"/>
      <w:lvlText w:val="(%1)"/>
      <w:lvlJc w:val="left"/>
      <w:pPr>
        <w:ind w:left="396" w:hanging="397"/>
        <w:jc w:val="left"/>
      </w:pPr>
      <w:rPr>
        <w:rFonts w:hint="default" w:ascii="Raleway" w:hAnsi="Raleway" w:eastAsia="Raleway" w:cs="Raleway"/>
        <w:spacing w:val="-22"/>
        <w:w w:val="95"/>
        <w:sz w:val="20"/>
        <w:szCs w:val="20"/>
        <w:lang w:val="en-us" w:eastAsia="en-us" w:bidi="en-us"/>
      </w:rPr>
    </w:lvl>
    <w:lvl w:ilvl="1">
      <w:start w:val="0"/>
      <w:numFmt w:val="bullet"/>
      <w:lvlText w:val="•"/>
      <w:lvlJc w:val="left"/>
      <w:pPr>
        <w:ind w:left="1102" w:hanging="397"/>
      </w:pPr>
      <w:rPr>
        <w:rFonts w:hint="default"/>
        <w:lang w:val="en-us" w:eastAsia="en-us" w:bidi="en-us"/>
      </w:rPr>
    </w:lvl>
    <w:lvl w:ilvl="2">
      <w:start w:val="0"/>
      <w:numFmt w:val="bullet"/>
      <w:lvlText w:val="•"/>
      <w:lvlJc w:val="left"/>
      <w:pPr>
        <w:ind w:left="1805" w:hanging="397"/>
      </w:pPr>
      <w:rPr>
        <w:rFonts w:hint="default"/>
        <w:lang w:val="en-us" w:eastAsia="en-us" w:bidi="en-us"/>
      </w:rPr>
    </w:lvl>
    <w:lvl w:ilvl="3">
      <w:start w:val="0"/>
      <w:numFmt w:val="bullet"/>
      <w:lvlText w:val="•"/>
      <w:lvlJc w:val="left"/>
      <w:pPr>
        <w:ind w:left="2508" w:hanging="397"/>
      </w:pPr>
      <w:rPr>
        <w:rFonts w:hint="default"/>
        <w:lang w:val="en-us" w:eastAsia="en-us" w:bidi="en-us"/>
      </w:rPr>
    </w:lvl>
    <w:lvl w:ilvl="4">
      <w:start w:val="0"/>
      <w:numFmt w:val="bullet"/>
      <w:lvlText w:val="•"/>
      <w:lvlJc w:val="left"/>
      <w:pPr>
        <w:ind w:left="3211" w:hanging="397"/>
      </w:pPr>
      <w:rPr>
        <w:rFonts w:hint="default"/>
        <w:lang w:val="en-us" w:eastAsia="en-us" w:bidi="en-us"/>
      </w:rPr>
    </w:lvl>
    <w:lvl w:ilvl="5">
      <w:start w:val="0"/>
      <w:numFmt w:val="bullet"/>
      <w:lvlText w:val="•"/>
      <w:lvlJc w:val="left"/>
      <w:pPr>
        <w:ind w:left="3914" w:hanging="397"/>
      </w:pPr>
      <w:rPr>
        <w:rFonts w:hint="default"/>
        <w:lang w:val="en-us" w:eastAsia="en-us" w:bidi="en-us"/>
      </w:rPr>
    </w:lvl>
    <w:lvl w:ilvl="6">
      <w:start w:val="0"/>
      <w:numFmt w:val="bullet"/>
      <w:lvlText w:val="•"/>
      <w:lvlJc w:val="left"/>
      <w:pPr>
        <w:ind w:left="4617" w:hanging="397"/>
      </w:pPr>
      <w:rPr>
        <w:rFonts w:hint="default"/>
        <w:lang w:val="en-us" w:eastAsia="en-us" w:bidi="en-us"/>
      </w:rPr>
    </w:lvl>
    <w:lvl w:ilvl="7">
      <w:start w:val="0"/>
      <w:numFmt w:val="bullet"/>
      <w:lvlText w:val="•"/>
      <w:lvlJc w:val="left"/>
      <w:pPr>
        <w:ind w:left="5319" w:hanging="397"/>
      </w:pPr>
      <w:rPr>
        <w:rFonts w:hint="default"/>
        <w:lang w:val="en-us" w:eastAsia="en-us" w:bidi="en-us"/>
      </w:rPr>
    </w:lvl>
    <w:lvl w:ilvl="8">
      <w:start w:val="0"/>
      <w:numFmt w:val="bullet"/>
      <w:lvlText w:val="•"/>
      <w:lvlJc w:val="left"/>
      <w:pPr>
        <w:ind w:left="6022" w:hanging="397"/>
      </w:pPr>
      <w:rPr>
        <w:rFonts w:hint="default"/>
        <w:lang w:val="en-us" w:eastAsia="en-us" w:bidi="en-us"/>
      </w:rPr>
    </w:lvl>
  </w:abstractNum>
  <w:abstractNum w:abstractNumId="76">
    <w:multiLevelType w:val="hybridMultilevel"/>
    <w:lvl w:ilvl="0">
      <w:start w:val="1"/>
      <w:numFmt w:val="lowerLetter"/>
      <w:lvlText w:val="(%1)"/>
      <w:lvlJc w:val="left"/>
      <w:pPr>
        <w:ind w:left="396" w:hanging="397"/>
        <w:jc w:val="left"/>
      </w:pPr>
      <w:rPr>
        <w:rFonts w:hint="default" w:ascii="Raleway" w:hAnsi="Raleway" w:eastAsia="Raleway" w:cs="Raleway"/>
        <w:spacing w:val="-22"/>
        <w:w w:val="83"/>
        <w:sz w:val="20"/>
        <w:szCs w:val="20"/>
        <w:lang w:val="en-us" w:eastAsia="en-us" w:bidi="en-us"/>
      </w:rPr>
    </w:lvl>
    <w:lvl w:ilvl="1">
      <w:start w:val="0"/>
      <w:numFmt w:val="bullet"/>
      <w:lvlText w:val="•"/>
      <w:lvlJc w:val="left"/>
      <w:pPr>
        <w:ind w:left="1102" w:hanging="397"/>
      </w:pPr>
      <w:rPr>
        <w:rFonts w:hint="default"/>
        <w:lang w:val="en-us" w:eastAsia="en-us" w:bidi="en-us"/>
      </w:rPr>
    </w:lvl>
    <w:lvl w:ilvl="2">
      <w:start w:val="0"/>
      <w:numFmt w:val="bullet"/>
      <w:lvlText w:val="•"/>
      <w:lvlJc w:val="left"/>
      <w:pPr>
        <w:ind w:left="1805" w:hanging="397"/>
      </w:pPr>
      <w:rPr>
        <w:rFonts w:hint="default"/>
        <w:lang w:val="en-us" w:eastAsia="en-us" w:bidi="en-us"/>
      </w:rPr>
    </w:lvl>
    <w:lvl w:ilvl="3">
      <w:start w:val="0"/>
      <w:numFmt w:val="bullet"/>
      <w:lvlText w:val="•"/>
      <w:lvlJc w:val="left"/>
      <w:pPr>
        <w:ind w:left="2508" w:hanging="397"/>
      </w:pPr>
      <w:rPr>
        <w:rFonts w:hint="default"/>
        <w:lang w:val="en-us" w:eastAsia="en-us" w:bidi="en-us"/>
      </w:rPr>
    </w:lvl>
    <w:lvl w:ilvl="4">
      <w:start w:val="0"/>
      <w:numFmt w:val="bullet"/>
      <w:lvlText w:val="•"/>
      <w:lvlJc w:val="left"/>
      <w:pPr>
        <w:ind w:left="3211" w:hanging="397"/>
      </w:pPr>
      <w:rPr>
        <w:rFonts w:hint="default"/>
        <w:lang w:val="en-us" w:eastAsia="en-us" w:bidi="en-us"/>
      </w:rPr>
    </w:lvl>
    <w:lvl w:ilvl="5">
      <w:start w:val="0"/>
      <w:numFmt w:val="bullet"/>
      <w:lvlText w:val="•"/>
      <w:lvlJc w:val="left"/>
      <w:pPr>
        <w:ind w:left="3914" w:hanging="397"/>
      </w:pPr>
      <w:rPr>
        <w:rFonts w:hint="default"/>
        <w:lang w:val="en-us" w:eastAsia="en-us" w:bidi="en-us"/>
      </w:rPr>
    </w:lvl>
    <w:lvl w:ilvl="6">
      <w:start w:val="0"/>
      <w:numFmt w:val="bullet"/>
      <w:lvlText w:val="•"/>
      <w:lvlJc w:val="left"/>
      <w:pPr>
        <w:ind w:left="4617" w:hanging="397"/>
      </w:pPr>
      <w:rPr>
        <w:rFonts w:hint="default"/>
        <w:lang w:val="en-us" w:eastAsia="en-us" w:bidi="en-us"/>
      </w:rPr>
    </w:lvl>
    <w:lvl w:ilvl="7">
      <w:start w:val="0"/>
      <w:numFmt w:val="bullet"/>
      <w:lvlText w:val="•"/>
      <w:lvlJc w:val="left"/>
      <w:pPr>
        <w:ind w:left="5319" w:hanging="397"/>
      </w:pPr>
      <w:rPr>
        <w:rFonts w:hint="default"/>
        <w:lang w:val="en-us" w:eastAsia="en-us" w:bidi="en-us"/>
      </w:rPr>
    </w:lvl>
    <w:lvl w:ilvl="8">
      <w:start w:val="0"/>
      <w:numFmt w:val="bullet"/>
      <w:lvlText w:val="•"/>
      <w:lvlJc w:val="left"/>
      <w:pPr>
        <w:ind w:left="6022" w:hanging="397"/>
      </w:pPr>
      <w:rPr>
        <w:rFonts w:hint="default"/>
        <w:lang w:val="en-us" w:eastAsia="en-us" w:bidi="en-us"/>
      </w:rPr>
    </w:lvl>
  </w:abstractNum>
  <w:abstractNum w:abstractNumId="75">
    <w:multiLevelType w:val="hybridMultilevel"/>
    <w:lvl w:ilvl="0">
      <w:start w:val="1"/>
      <w:numFmt w:val="decimal"/>
      <w:lvlText w:val="%1"/>
      <w:lvlJc w:val="left"/>
      <w:pPr>
        <w:ind w:left="893" w:hanging="794"/>
        <w:jc w:val="right"/>
      </w:pPr>
      <w:rPr>
        <w:rFonts w:hint="default" w:ascii="Raleway" w:hAnsi="Raleway" w:eastAsia="Raleway" w:cs="Raleway"/>
        <w:spacing w:val="-1"/>
        <w:w w:val="97"/>
        <w:sz w:val="13"/>
        <w:szCs w:val="13"/>
        <w:lang w:val="en-us" w:eastAsia="en-us" w:bidi="en-us"/>
      </w:rPr>
    </w:lvl>
    <w:lvl w:ilvl="1">
      <w:start w:val="1"/>
      <w:numFmt w:val="decimal"/>
      <w:lvlText w:val="%2"/>
      <w:lvlJc w:val="left"/>
      <w:pPr>
        <w:ind w:left="2389" w:hanging="397"/>
        <w:jc w:val="left"/>
      </w:pPr>
      <w:rPr>
        <w:rFonts w:hint="default" w:ascii="Raleway" w:hAnsi="Raleway" w:eastAsia="Raleway" w:cs="Raleway"/>
        <w:spacing w:val="-13"/>
        <w:w w:val="91"/>
        <w:sz w:val="20"/>
        <w:szCs w:val="20"/>
        <w:lang w:val="en-us" w:eastAsia="en-us" w:bidi="en-us"/>
      </w:rPr>
    </w:lvl>
    <w:lvl w:ilvl="2">
      <w:start w:val="0"/>
      <w:numFmt w:val="bullet"/>
      <w:lvlText w:val="•"/>
      <w:lvlJc w:val="left"/>
      <w:pPr>
        <w:ind w:left="3230" w:hanging="397"/>
      </w:pPr>
      <w:rPr>
        <w:rFonts w:hint="default"/>
        <w:lang w:val="en-us" w:eastAsia="en-us" w:bidi="en-us"/>
      </w:rPr>
    </w:lvl>
    <w:lvl w:ilvl="3">
      <w:start w:val="0"/>
      <w:numFmt w:val="bullet"/>
      <w:lvlText w:val="•"/>
      <w:lvlJc w:val="left"/>
      <w:pPr>
        <w:ind w:left="4081" w:hanging="397"/>
      </w:pPr>
      <w:rPr>
        <w:rFonts w:hint="default"/>
        <w:lang w:val="en-us" w:eastAsia="en-us" w:bidi="en-us"/>
      </w:rPr>
    </w:lvl>
    <w:lvl w:ilvl="4">
      <w:start w:val="0"/>
      <w:numFmt w:val="bullet"/>
      <w:lvlText w:val="•"/>
      <w:lvlJc w:val="left"/>
      <w:pPr>
        <w:ind w:left="4932" w:hanging="397"/>
      </w:pPr>
      <w:rPr>
        <w:rFonts w:hint="default"/>
        <w:lang w:val="en-us" w:eastAsia="en-us" w:bidi="en-us"/>
      </w:rPr>
    </w:lvl>
    <w:lvl w:ilvl="5">
      <w:start w:val="0"/>
      <w:numFmt w:val="bullet"/>
      <w:lvlText w:val="•"/>
      <w:lvlJc w:val="left"/>
      <w:pPr>
        <w:ind w:left="5783" w:hanging="397"/>
      </w:pPr>
      <w:rPr>
        <w:rFonts w:hint="default"/>
        <w:lang w:val="en-us" w:eastAsia="en-us" w:bidi="en-us"/>
      </w:rPr>
    </w:lvl>
    <w:lvl w:ilvl="6">
      <w:start w:val="0"/>
      <w:numFmt w:val="bullet"/>
      <w:lvlText w:val="•"/>
      <w:lvlJc w:val="left"/>
      <w:pPr>
        <w:ind w:left="6634" w:hanging="397"/>
      </w:pPr>
      <w:rPr>
        <w:rFonts w:hint="default"/>
        <w:lang w:val="en-us" w:eastAsia="en-us" w:bidi="en-us"/>
      </w:rPr>
    </w:lvl>
    <w:lvl w:ilvl="7">
      <w:start w:val="0"/>
      <w:numFmt w:val="bullet"/>
      <w:lvlText w:val="•"/>
      <w:lvlJc w:val="left"/>
      <w:pPr>
        <w:ind w:left="7485" w:hanging="397"/>
      </w:pPr>
      <w:rPr>
        <w:rFonts w:hint="default"/>
        <w:lang w:val="en-us" w:eastAsia="en-us" w:bidi="en-us"/>
      </w:rPr>
    </w:lvl>
    <w:lvl w:ilvl="8">
      <w:start w:val="0"/>
      <w:numFmt w:val="bullet"/>
      <w:lvlText w:val="•"/>
      <w:lvlJc w:val="left"/>
      <w:pPr>
        <w:ind w:left="8336" w:hanging="397"/>
      </w:pPr>
      <w:rPr>
        <w:rFonts w:hint="default"/>
        <w:lang w:val="en-us" w:eastAsia="en-us" w:bidi="en-us"/>
      </w:rPr>
    </w:lvl>
  </w:abstractNum>
  <w:abstractNum w:abstractNumId="74">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73">
    <w:multiLevelType w:val="hybridMultilevel"/>
    <w:lvl w:ilvl="0">
      <w:start w:val="116"/>
      <w:numFmt w:val="decimal"/>
      <w:lvlText w:val="%1"/>
      <w:lvlJc w:val="left"/>
      <w:pPr>
        <w:ind w:left="1761" w:hanging="794"/>
        <w:jc w:val="right"/>
      </w:pPr>
      <w:rPr>
        <w:rFonts w:hint="default" w:ascii="Raleway" w:hAnsi="Raleway" w:eastAsia="Raleway" w:cs="Raleway"/>
        <w:spacing w:val="0"/>
        <w:w w:val="100"/>
        <w:sz w:val="13"/>
        <w:szCs w:val="13"/>
        <w:lang w:val="en-us" w:eastAsia="en-us" w:bidi="en-us"/>
      </w:rPr>
    </w:lvl>
    <w:lvl w:ilvl="1">
      <w:start w:val="0"/>
      <w:numFmt w:val="bullet"/>
      <w:lvlText w:val="•"/>
      <w:lvlJc w:val="left"/>
      <w:pPr>
        <w:ind w:left="2551" w:hanging="794"/>
      </w:pPr>
      <w:rPr>
        <w:rFonts w:hint="default"/>
        <w:lang w:val="en-us" w:eastAsia="en-us" w:bidi="en-us"/>
      </w:rPr>
    </w:lvl>
    <w:lvl w:ilvl="2">
      <w:start w:val="0"/>
      <w:numFmt w:val="bullet"/>
      <w:lvlText w:val="•"/>
      <w:lvlJc w:val="left"/>
      <w:pPr>
        <w:ind w:left="3342" w:hanging="794"/>
      </w:pPr>
      <w:rPr>
        <w:rFonts w:hint="default"/>
        <w:lang w:val="en-us" w:eastAsia="en-us" w:bidi="en-us"/>
      </w:rPr>
    </w:lvl>
    <w:lvl w:ilvl="3">
      <w:start w:val="0"/>
      <w:numFmt w:val="bullet"/>
      <w:lvlText w:val="•"/>
      <w:lvlJc w:val="left"/>
      <w:pPr>
        <w:ind w:left="4133" w:hanging="794"/>
      </w:pPr>
      <w:rPr>
        <w:rFonts w:hint="default"/>
        <w:lang w:val="en-us" w:eastAsia="en-us" w:bidi="en-us"/>
      </w:rPr>
    </w:lvl>
    <w:lvl w:ilvl="4">
      <w:start w:val="0"/>
      <w:numFmt w:val="bullet"/>
      <w:lvlText w:val="•"/>
      <w:lvlJc w:val="left"/>
      <w:pPr>
        <w:ind w:left="4924" w:hanging="794"/>
      </w:pPr>
      <w:rPr>
        <w:rFonts w:hint="default"/>
        <w:lang w:val="en-us" w:eastAsia="en-us" w:bidi="en-us"/>
      </w:rPr>
    </w:lvl>
    <w:lvl w:ilvl="5">
      <w:start w:val="0"/>
      <w:numFmt w:val="bullet"/>
      <w:lvlText w:val="•"/>
      <w:lvlJc w:val="left"/>
      <w:pPr>
        <w:ind w:left="5715" w:hanging="794"/>
      </w:pPr>
      <w:rPr>
        <w:rFonts w:hint="default"/>
        <w:lang w:val="en-us" w:eastAsia="en-us" w:bidi="en-us"/>
      </w:rPr>
    </w:lvl>
    <w:lvl w:ilvl="6">
      <w:start w:val="0"/>
      <w:numFmt w:val="bullet"/>
      <w:lvlText w:val="•"/>
      <w:lvlJc w:val="left"/>
      <w:pPr>
        <w:ind w:left="6506" w:hanging="794"/>
      </w:pPr>
      <w:rPr>
        <w:rFonts w:hint="default"/>
        <w:lang w:val="en-us" w:eastAsia="en-us" w:bidi="en-us"/>
      </w:rPr>
    </w:lvl>
    <w:lvl w:ilvl="7">
      <w:start w:val="0"/>
      <w:numFmt w:val="bullet"/>
      <w:lvlText w:val="•"/>
      <w:lvlJc w:val="left"/>
      <w:pPr>
        <w:ind w:left="7298" w:hanging="794"/>
      </w:pPr>
      <w:rPr>
        <w:rFonts w:hint="default"/>
        <w:lang w:val="en-us" w:eastAsia="en-us" w:bidi="en-us"/>
      </w:rPr>
    </w:lvl>
    <w:lvl w:ilvl="8">
      <w:start w:val="0"/>
      <w:numFmt w:val="bullet"/>
      <w:lvlText w:val="•"/>
      <w:lvlJc w:val="left"/>
      <w:pPr>
        <w:ind w:left="8089" w:hanging="794"/>
      </w:pPr>
      <w:rPr>
        <w:rFonts w:hint="default"/>
        <w:lang w:val="en-us" w:eastAsia="en-us" w:bidi="en-us"/>
      </w:rPr>
    </w:lvl>
  </w:abstractNum>
  <w:abstractNum w:abstractNumId="72">
    <w:multiLevelType w:val="hybridMultilevel"/>
    <w:lvl w:ilvl="0">
      <w:start w:val="106"/>
      <w:numFmt w:val="decimal"/>
      <w:lvlText w:val="%1"/>
      <w:lvlJc w:val="left"/>
      <w:pPr>
        <w:ind w:left="893" w:hanging="794"/>
        <w:jc w:val="right"/>
      </w:pPr>
      <w:rPr>
        <w:rFonts w:hint="default" w:ascii="Raleway" w:hAnsi="Raleway" w:eastAsia="Raleway" w:cs="Raleway"/>
        <w:w w:val="100"/>
        <w:sz w:val="13"/>
        <w:szCs w:val="13"/>
        <w:lang w:val="en-us" w:eastAsia="en-us" w:bidi="en-us"/>
      </w:rPr>
    </w:lvl>
    <w:lvl w:ilvl="1">
      <w:start w:val="0"/>
      <w:numFmt w:val="bullet"/>
      <w:lvlText w:val="•"/>
      <w:lvlJc w:val="left"/>
      <w:pPr>
        <w:ind w:left="1813" w:hanging="794"/>
      </w:pPr>
      <w:rPr>
        <w:rFonts w:hint="default"/>
        <w:lang w:val="en-us" w:eastAsia="en-us" w:bidi="en-us"/>
      </w:rPr>
    </w:lvl>
    <w:lvl w:ilvl="2">
      <w:start w:val="0"/>
      <w:numFmt w:val="bullet"/>
      <w:lvlText w:val="•"/>
      <w:lvlJc w:val="left"/>
      <w:pPr>
        <w:ind w:left="2727" w:hanging="794"/>
      </w:pPr>
      <w:rPr>
        <w:rFonts w:hint="default"/>
        <w:lang w:val="en-us" w:eastAsia="en-us" w:bidi="en-us"/>
      </w:rPr>
    </w:lvl>
    <w:lvl w:ilvl="3">
      <w:start w:val="0"/>
      <w:numFmt w:val="bullet"/>
      <w:lvlText w:val="•"/>
      <w:lvlJc w:val="left"/>
      <w:pPr>
        <w:ind w:left="3641" w:hanging="794"/>
      </w:pPr>
      <w:rPr>
        <w:rFonts w:hint="default"/>
        <w:lang w:val="en-us" w:eastAsia="en-us" w:bidi="en-us"/>
      </w:rPr>
    </w:lvl>
    <w:lvl w:ilvl="4">
      <w:start w:val="0"/>
      <w:numFmt w:val="bullet"/>
      <w:lvlText w:val="•"/>
      <w:lvlJc w:val="left"/>
      <w:pPr>
        <w:ind w:left="4555" w:hanging="794"/>
      </w:pPr>
      <w:rPr>
        <w:rFonts w:hint="default"/>
        <w:lang w:val="en-us" w:eastAsia="en-us" w:bidi="en-us"/>
      </w:rPr>
    </w:lvl>
    <w:lvl w:ilvl="5">
      <w:start w:val="0"/>
      <w:numFmt w:val="bullet"/>
      <w:lvlText w:val="•"/>
      <w:lvlJc w:val="left"/>
      <w:pPr>
        <w:ind w:left="5469" w:hanging="794"/>
      </w:pPr>
      <w:rPr>
        <w:rFonts w:hint="default"/>
        <w:lang w:val="en-us" w:eastAsia="en-us" w:bidi="en-us"/>
      </w:rPr>
    </w:lvl>
    <w:lvl w:ilvl="6">
      <w:start w:val="0"/>
      <w:numFmt w:val="bullet"/>
      <w:lvlText w:val="•"/>
      <w:lvlJc w:val="left"/>
      <w:pPr>
        <w:ind w:left="6382" w:hanging="794"/>
      </w:pPr>
      <w:rPr>
        <w:rFonts w:hint="default"/>
        <w:lang w:val="en-us" w:eastAsia="en-us" w:bidi="en-us"/>
      </w:rPr>
    </w:lvl>
    <w:lvl w:ilvl="7">
      <w:start w:val="0"/>
      <w:numFmt w:val="bullet"/>
      <w:lvlText w:val="•"/>
      <w:lvlJc w:val="left"/>
      <w:pPr>
        <w:ind w:left="7296" w:hanging="794"/>
      </w:pPr>
      <w:rPr>
        <w:rFonts w:hint="default"/>
        <w:lang w:val="en-us" w:eastAsia="en-us" w:bidi="en-us"/>
      </w:rPr>
    </w:lvl>
    <w:lvl w:ilvl="8">
      <w:start w:val="0"/>
      <w:numFmt w:val="bullet"/>
      <w:lvlText w:val="•"/>
      <w:lvlJc w:val="left"/>
      <w:pPr>
        <w:ind w:left="8210" w:hanging="794"/>
      </w:pPr>
      <w:rPr>
        <w:rFonts w:hint="default"/>
        <w:lang w:val="en-us" w:eastAsia="en-us" w:bidi="en-us"/>
      </w:rPr>
    </w:lvl>
  </w:abstractNum>
  <w:abstractNum w:abstractNumId="71">
    <w:multiLevelType w:val="hybridMultilevel"/>
    <w:lvl w:ilvl="0">
      <w:start w:val="101"/>
      <w:numFmt w:val="decimal"/>
      <w:lvlText w:val="%1"/>
      <w:lvlJc w:val="left"/>
      <w:pPr>
        <w:ind w:left="893" w:hanging="794"/>
        <w:jc w:val="left"/>
      </w:pPr>
      <w:rPr>
        <w:rFonts w:hint="default" w:ascii="Raleway" w:hAnsi="Raleway" w:eastAsia="Raleway" w:cs="Raleway"/>
        <w:spacing w:val="-19"/>
        <w:w w:val="91"/>
        <w:sz w:val="13"/>
        <w:szCs w:val="13"/>
        <w:lang w:val="en-us" w:eastAsia="en-us" w:bidi="en-us"/>
      </w:rPr>
    </w:lvl>
    <w:lvl w:ilvl="1">
      <w:start w:val="0"/>
      <w:numFmt w:val="bullet"/>
      <w:lvlText w:val="•"/>
      <w:lvlJc w:val="left"/>
      <w:pPr>
        <w:ind w:left="1813" w:hanging="794"/>
      </w:pPr>
      <w:rPr>
        <w:rFonts w:hint="default"/>
        <w:lang w:val="en-us" w:eastAsia="en-us" w:bidi="en-us"/>
      </w:rPr>
    </w:lvl>
    <w:lvl w:ilvl="2">
      <w:start w:val="0"/>
      <w:numFmt w:val="bullet"/>
      <w:lvlText w:val="•"/>
      <w:lvlJc w:val="left"/>
      <w:pPr>
        <w:ind w:left="2727" w:hanging="794"/>
      </w:pPr>
      <w:rPr>
        <w:rFonts w:hint="default"/>
        <w:lang w:val="en-us" w:eastAsia="en-us" w:bidi="en-us"/>
      </w:rPr>
    </w:lvl>
    <w:lvl w:ilvl="3">
      <w:start w:val="0"/>
      <w:numFmt w:val="bullet"/>
      <w:lvlText w:val="•"/>
      <w:lvlJc w:val="left"/>
      <w:pPr>
        <w:ind w:left="3641" w:hanging="794"/>
      </w:pPr>
      <w:rPr>
        <w:rFonts w:hint="default"/>
        <w:lang w:val="en-us" w:eastAsia="en-us" w:bidi="en-us"/>
      </w:rPr>
    </w:lvl>
    <w:lvl w:ilvl="4">
      <w:start w:val="0"/>
      <w:numFmt w:val="bullet"/>
      <w:lvlText w:val="•"/>
      <w:lvlJc w:val="left"/>
      <w:pPr>
        <w:ind w:left="4555" w:hanging="794"/>
      </w:pPr>
      <w:rPr>
        <w:rFonts w:hint="default"/>
        <w:lang w:val="en-us" w:eastAsia="en-us" w:bidi="en-us"/>
      </w:rPr>
    </w:lvl>
    <w:lvl w:ilvl="5">
      <w:start w:val="0"/>
      <w:numFmt w:val="bullet"/>
      <w:lvlText w:val="•"/>
      <w:lvlJc w:val="left"/>
      <w:pPr>
        <w:ind w:left="5469" w:hanging="794"/>
      </w:pPr>
      <w:rPr>
        <w:rFonts w:hint="default"/>
        <w:lang w:val="en-us" w:eastAsia="en-us" w:bidi="en-us"/>
      </w:rPr>
    </w:lvl>
    <w:lvl w:ilvl="6">
      <w:start w:val="0"/>
      <w:numFmt w:val="bullet"/>
      <w:lvlText w:val="•"/>
      <w:lvlJc w:val="left"/>
      <w:pPr>
        <w:ind w:left="6382" w:hanging="794"/>
      </w:pPr>
      <w:rPr>
        <w:rFonts w:hint="default"/>
        <w:lang w:val="en-us" w:eastAsia="en-us" w:bidi="en-us"/>
      </w:rPr>
    </w:lvl>
    <w:lvl w:ilvl="7">
      <w:start w:val="0"/>
      <w:numFmt w:val="bullet"/>
      <w:lvlText w:val="•"/>
      <w:lvlJc w:val="left"/>
      <w:pPr>
        <w:ind w:left="7296" w:hanging="794"/>
      </w:pPr>
      <w:rPr>
        <w:rFonts w:hint="default"/>
        <w:lang w:val="en-us" w:eastAsia="en-us" w:bidi="en-us"/>
      </w:rPr>
    </w:lvl>
    <w:lvl w:ilvl="8">
      <w:start w:val="0"/>
      <w:numFmt w:val="bullet"/>
      <w:lvlText w:val="•"/>
      <w:lvlJc w:val="left"/>
      <w:pPr>
        <w:ind w:left="8210" w:hanging="794"/>
      </w:pPr>
      <w:rPr>
        <w:rFonts w:hint="default"/>
        <w:lang w:val="en-us" w:eastAsia="en-us" w:bidi="en-us"/>
      </w:rPr>
    </w:lvl>
  </w:abstractNum>
  <w:abstractNum w:abstractNumId="70">
    <w:multiLevelType w:val="hybridMultilevel"/>
    <w:lvl w:ilvl="0">
      <w:start w:val="49"/>
      <w:numFmt w:val="decimal"/>
      <w:lvlText w:val="%1"/>
      <w:lvlJc w:val="left"/>
      <w:pPr>
        <w:ind w:left="1761" w:hanging="794"/>
        <w:jc w:val="right"/>
      </w:pPr>
      <w:rPr>
        <w:rFonts w:hint="default"/>
        <w:spacing w:val="0"/>
        <w:w w:val="99"/>
        <w:lang w:val="en-us" w:eastAsia="en-us" w:bidi="en-us"/>
      </w:rPr>
    </w:lvl>
    <w:lvl w:ilvl="1">
      <w:start w:val="0"/>
      <w:numFmt w:val="bullet"/>
      <w:lvlText w:val="•"/>
      <w:lvlJc w:val="left"/>
      <w:pPr>
        <w:ind w:left="2157" w:hanging="397"/>
      </w:pPr>
      <w:rPr>
        <w:rFonts w:hint="default" w:ascii="Raleway" w:hAnsi="Raleway" w:eastAsia="Raleway" w:cs="Raleway"/>
        <w:w w:val="101"/>
        <w:sz w:val="20"/>
        <w:szCs w:val="20"/>
        <w:lang w:val="en-us" w:eastAsia="en-us" w:bidi="en-us"/>
      </w:rPr>
    </w:lvl>
    <w:lvl w:ilvl="2">
      <w:start w:val="0"/>
      <w:numFmt w:val="bullet"/>
      <w:lvlText w:val="•"/>
      <w:lvlJc w:val="left"/>
      <w:pPr>
        <w:ind w:left="3131" w:hanging="397"/>
      </w:pPr>
      <w:rPr>
        <w:rFonts w:hint="default"/>
        <w:lang w:val="en-us" w:eastAsia="en-us" w:bidi="en-us"/>
      </w:rPr>
    </w:lvl>
    <w:lvl w:ilvl="3">
      <w:start w:val="0"/>
      <w:numFmt w:val="bullet"/>
      <w:lvlText w:val="•"/>
      <w:lvlJc w:val="left"/>
      <w:pPr>
        <w:ind w:left="4103" w:hanging="397"/>
      </w:pPr>
      <w:rPr>
        <w:rFonts w:hint="default"/>
        <w:lang w:val="en-us" w:eastAsia="en-us" w:bidi="en-us"/>
      </w:rPr>
    </w:lvl>
    <w:lvl w:ilvl="4">
      <w:start w:val="0"/>
      <w:numFmt w:val="bullet"/>
      <w:lvlText w:val="•"/>
      <w:lvlJc w:val="left"/>
      <w:pPr>
        <w:ind w:left="5075" w:hanging="397"/>
      </w:pPr>
      <w:rPr>
        <w:rFonts w:hint="default"/>
        <w:lang w:val="en-us" w:eastAsia="en-us" w:bidi="en-us"/>
      </w:rPr>
    </w:lvl>
    <w:lvl w:ilvl="5">
      <w:start w:val="0"/>
      <w:numFmt w:val="bullet"/>
      <w:lvlText w:val="•"/>
      <w:lvlJc w:val="left"/>
      <w:pPr>
        <w:ind w:left="6046" w:hanging="397"/>
      </w:pPr>
      <w:rPr>
        <w:rFonts w:hint="default"/>
        <w:lang w:val="en-us" w:eastAsia="en-us" w:bidi="en-us"/>
      </w:rPr>
    </w:lvl>
    <w:lvl w:ilvl="6">
      <w:start w:val="0"/>
      <w:numFmt w:val="bullet"/>
      <w:lvlText w:val="•"/>
      <w:lvlJc w:val="left"/>
      <w:pPr>
        <w:ind w:left="7018" w:hanging="397"/>
      </w:pPr>
      <w:rPr>
        <w:rFonts w:hint="default"/>
        <w:lang w:val="en-us" w:eastAsia="en-us" w:bidi="en-us"/>
      </w:rPr>
    </w:lvl>
    <w:lvl w:ilvl="7">
      <w:start w:val="0"/>
      <w:numFmt w:val="bullet"/>
      <w:lvlText w:val="•"/>
      <w:lvlJc w:val="left"/>
      <w:pPr>
        <w:ind w:left="7990" w:hanging="397"/>
      </w:pPr>
      <w:rPr>
        <w:rFonts w:hint="default"/>
        <w:lang w:val="en-us" w:eastAsia="en-us" w:bidi="en-us"/>
      </w:rPr>
    </w:lvl>
    <w:lvl w:ilvl="8">
      <w:start w:val="0"/>
      <w:numFmt w:val="bullet"/>
      <w:lvlText w:val="•"/>
      <w:lvlJc w:val="left"/>
      <w:pPr>
        <w:ind w:left="8962" w:hanging="397"/>
      </w:pPr>
      <w:rPr>
        <w:rFonts w:hint="default"/>
        <w:lang w:val="en-us" w:eastAsia="en-us" w:bidi="en-us"/>
      </w:rPr>
    </w:lvl>
  </w:abstractNum>
  <w:abstractNum w:abstractNumId="69">
    <w:multiLevelType w:val="hybridMultilevel"/>
    <w:lvl w:ilvl="0">
      <w:start w:val="39"/>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68">
    <w:multiLevelType w:val="hybridMultilevel"/>
    <w:lvl w:ilvl="0">
      <w:start w:val="9"/>
      <w:numFmt w:val="decimal"/>
      <w:lvlText w:val="%1"/>
      <w:lvlJc w:val="left"/>
      <w:pPr>
        <w:ind w:left="1761" w:hanging="794"/>
        <w:jc w:val="left"/>
      </w:pPr>
      <w:rPr>
        <w:rFonts w:hint="default" w:ascii="Raleway" w:hAnsi="Raleway" w:eastAsia="Raleway" w:cs="Raleway"/>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67">
    <w:multiLevelType w:val="hybridMultilevel"/>
    <w:lvl w:ilvl="0">
      <w:start w:val="1"/>
      <w:numFmt w:val="decimal"/>
      <w:lvlText w:val="%1"/>
      <w:lvlJc w:val="left"/>
      <w:pPr>
        <w:ind w:left="1761" w:hanging="794"/>
        <w:jc w:val="left"/>
      </w:pPr>
      <w:rPr>
        <w:rFonts w:hint="default" w:ascii="Raleway" w:hAnsi="Raleway" w:eastAsia="Raleway" w:cs="Raleway"/>
        <w:spacing w:val="-3"/>
        <w:w w:val="91"/>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66">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65">
    <w:multiLevelType w:val="hybridMultilevel"/>
    <w:lvl w:ilvl="0">
      <w:start w:val="1"/>
      <w:numFmt w:val="decimal"/>
      <w:lvlText w:val="%1)"/>
      <w:lvlJc w:val="left"/>
      <w:pPr>
        <w:ind w:left="2157" w:hanging="397"/>
        <w:jc w:val="left"/>
      </w:pPr>
      <w:rPr>
        <w:rFonts w:hint="default" w:ascii="Raleway" w:hAnsi="Raleway" w:eastAsia="Raleway" w:cs="Raleway"/>
        <w:spacing w:val="-13"/>
        <w:w w:val="83"/>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64">
    <w:multiLevelType w:val="hybridMultilevel"/>
    <w:lvl w:ilvl="0">
      <w:start w:val="118"/>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63">
    <w:multiLevelType w:val="hybridMultilevel"/>
    <w:lvl w:ilvl="0">
      <w:start w:val="101"/>
      <w:numFmt w:val="decimal"/>
      <w:lvlText w:val="%1"/>
      <w:lvlJc w:val="left"/>
      <w:pPr>
        <w:ind w:left="1761" w:hanging="794"/>
        <w:jc w:val="left"/>
      </w:pPr>
      <w:rPr>
        <w:rFonts w:hint="default" w:ascii="Raleway" w:hAnsi="Raleway" w:eastAsia="Raleway" w:cs="Raleway"/>
        <w:spacing w:val="-6"/>
        <w:w w:val="91"/>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62">
    <w:multiLevelType w:val="hybridMultilevel"/>
    <w:lvl w:ilvl="0">
      <w:start w:val="69"/>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61">
    <w:multiLevelType w:val="hybridMultilevel"/>
    <w:lvl w:ilvl="0">
      <w:start w:val="45"/>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60">
    <w:multiLevelType w:val="hybridMultilevel"/>
    <w:lvl w:ilvl="0">
      <w:start w:val="1"/>
      <w:numFmt w:val="decimal"/>
      <w:lvlText w:val="%1)"/>
      <w:lvlJc w:val="left"/>
      <w:pPr>
        <w:ind w:left="2157" w:hanging="397"/>
        <w:jc w:val="left"/>
      </w:pPr>
      <w:rPr>
        <w:rFonts w:hint="default" w:ascii="Raleway" w:hAnsi="Raleway" w:eastAsia="Raleway" w:cs="Raleway"/>
        <w:spacing w:val="-5"/>
        <w:w w:val="97"/>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59">
    <w:multiLevelType w:val="hybridMultilevel"/>
    <w:lvl w:ilvl="0">
      <w:start w:val="5"/>
      <w:numFmt w:val="decimal"/>
      <w:lvlText w:val="%1"/>
      <w:lvlJc w:val="left"/>
      <w:pPr>
        <w:ind w:left="1761" w:hanging="794"/>
        <w:jc w:val="left"/>
      </w:pPr>
      <w:rPr>
        <w:rFonts w:hint="default" w:ascii="Raleway" w:hAnsi="Raleway" w:eastAsia="Raleway" w:cs="Raleway"/>
        <w:w w:val="101"/>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58">
    <w:multiLevelType w:val="hybridMultilevel"/>
    <w:lvl w:ilvl="0">
      <w:start w:val="1"/>
      <w:numFmt w:val="decimal"/>
      <w:lvlText w:val="%1"/>
      <w:lvlJc w:val="left"/>
      <w:pPr>
        <w:ind w:left="1761" w:hanging="794"/>
        <w:jc w:val="left"/>
      </w:pPr>
      <w:rPr>
        <w:rFonts w:hint="default" w:ascii="Raleway" w:hAnsi="Raleway" w:eastAsia="Raleway" w:cs="Raleway"/>
        <w:spacing w:val="-1"/>
        <w:w w:val="98"/>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57">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56">
    <w:multiLevelType w:val="hybridMultilevel"/>
    <w:lvl w:ilvl="0">
      <w:start w:val="1"/>
      <w:numFmt w:val="decimal"/>
      <w:lvlText w:val="%1"/>
      <w:lvlJc w:val="left"/>
      <w:pPr>
        <w:ind w:left="1761" w:hanging="794"/>
        <w:jc w:val="left"/>
      </w:pPr>
      <w:rPr>
        <w:rFonts w:hint="default" w:ascii="Raleway" w:hAnsi="Raleway" w:eastAsia="Raleway" w:cs="Raleway"/>
        <w:spacing w:val="-8"/>
        <w:w w:val="97"/>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55">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2498" w:hanging="397"/>
      </w:pPr>
      <w:rPr>
        <w:rFonts w:hint="default" w:ascii="Raleway" w:hAnsi="Raleway" w:eastAsia="Raleway" w:cs="Raleway"/>
        <w:w w:val="100"/>
        <w:sz w:val="20"/>
        <w:szCs w:val="20"/>
        <w:lang w:val="en-us" w:eastAsia="en-us" w:bidi="en-us"/>
      </w:rPr>
    </w:lvl>
    <w:lvl w:ilvl="2">
      <w:start w:val="0"/>
      <w:numFmt w:val="bullet"/>
      <w:lvlText w:val="•"/>
      <w:lvlJc w:val="left"/>
      <w:pPr>
        <w:ind w:left="3433" w:hanging="397"/>
      </w:pPr>
      <w:rPr>
        <w:rFonts w:hint="default"/>
        <w:lang w:val="en-us" w:eastAsia="en-us" w:bidi="en-us"/>
      </w:rPr>
    </w:lvl>
    <w:lvl w:ilvl="3">
      <w:start w:val="0"/>
      <w:numFmt w:val="bullet"/>
      <w:lvlText w:val="•"/>
      <w:lvlJc w:val="left"/>
      <w:pPr>
        <w:ind w:left="4367" w:hanging="397"/>
      </w:pPr>
      <w:rPr>
        <w:rFonts w:hint="default"/>
        <w:lang w:val="en-us" w:eastAsia="en-us" w:bidi="en-us"/>
      </w:rPr>
    </w:lvl>
    <w:lvl w:ilvl="4">
      <w:start w:val="0"/>
      <w:numFmt w:val="bullet"/>
      <w:lvlText w:val="•"/>
      <w:lvlJc w:val="left"/>
      <w:pPr>
        <w:ind w:left="5301" w:hanging="397"/>
      </w:pPr>
      <w:rPr>
        <w:rFonts w:hint="default"/>
        <w:lang w:val="en-us" w:eastAsia="en-us" w:bidi="en-us"/>
      </w:rPr>
    </w:lvl>
    <w:lvl w:ilvl="5">
      <w:start w:val="0"/>
      <w:numFmt w:val="bullet"/>
      <w:lvlText w:val="•"/>
      <w:lvlJc w:val="left"/>
      <w:pPr>
        <w:ind w:left="6235" w:hanging="397"/>
      </w:pPr>
      <w:rPr>
        <w:rFonts w:hint="default"/>
        <w:lang w:val="en-us" w:eastAsia="en-us" w:bidi="en-us"/>
      </w:rPr>
    </w:lvl>
    <w:lvl w:ilvl="6">
      <w:start w:val="0"/>
      <w:numFmt w:val="bullet"/>
      <w:lvlText w:val="•"/>
      <w:lvlJc w:val="left"/>
      <w:pPr>
        <w:ind w:left="7169" w:hanging="397"/>
      </w:pPr>
      <w:rPr>
        <w:rFonts w:hint="default"/>
        <w:lang w:val="en-us" w:eastAsia="en-us" w:bidi="en-us"/>
      </w:rPr>
    </w:lvl>
    <w:lvl w:ilvl="7">
      <w:start w:val="0"/>
      <w:numFmt w:val="bullet"/>
      <w:lvlText w:val="•"/>
      <w:lvlJc w:val="left"/>
      <w:pPr>
        <w:ind w:left="8103" w:hanging="397"/>
      </w:pPr>
      <w:rPr>
        <w:rFonts w:hint="default"/>
        <w:lang w:val="en-us" w:eastAsia="en-us" w:bidi="en-us"/>
      </w:rPr>
    </w:lvl>
    <w:lvl w:ilvl="8">
      <w:start w:val="0"/>
      <w:numFmt w:val="bullet"/>
      <w:lvlText w:val="•"/>
      <w:lvlJc w:val="left"/>
      <w:pPr>
        <w:ind w:left="9037" w:hanging="397"/>
      </w:pPr>
      <w:rPr>
        <w:rFonts w:hint="default"/>
        <w:lang w:val="en-us" w:eastAsia="en-us" w:bidi="en-us"/>
      </w:rPr>
    </w:lvl>
  </w:abstractNum>
  <w:abstractNum w:abstractNumId="54">
    <w:multiLevelType w:val="hybridMultilevel"/>
    <w:lvl w:ilvl="0">
      <w:start w:val="67"/>
      <w:numFmt w:val="decimal"/>
      <w:lvlText w:val="%1"/>
      <w:lvlJc w:val="left"/>
      <w:pPr>
        <w:ind w:left="1548" w:hanging="567"/>
        <w:jc w:val="left"/>
      </w:pPr>
      <w:rPr>
        <w:rFonts w:hint="default" w:ascii="Raleway" w:hAnsi="Raleway" w:eastAsia="Raleway" w:cs="Raleway"/>
        <w:b/>
        <w:bCs/>
        <w:color w:val="FFFFFF"/>
        <w:spacing w:val="-6"/>
        <w:w w:val="99"/>
        <w:sz w:val="24"/>
        <w:szCs w:val="24"/>
        <w:lang w:val="en-us" w:eastAsia="en-us" w:bidi="en-us"/>
      </w:rPr>
    </w:lvl>
    <w:lvl w:ilvl="1">
      <w:start w:val="0"/>
      <w:numFmt w:val="bullet"/>
      <w:lvlText w:val="•"/>
      <w:lvlJc w:val="left"/>
      <w:pPr>
        <w:ind w:left="2476" w:hanging="567"/>
      </w:pPr>
      <w:rPr>
        <w:rFonts w:hint="default"/>
        <w:lang w:val="en-us" w:eastAsia="en-us" w:bidi="en-us"/>
      </w:rPr>
    </w:lvl>
    <w:lvl w:ilvl="2">
      <w:start w:val="0"/>
      <w:numFmt w:val="bullet"/>
      <w:lvlText w:val="•"/>
      <w:lvlJc w:val="left"/>
      <w:pPr>
        <w:ind w:left="3413" w:hanging="567"/>
      </w:pPr>
      <w:rPr>
        <w:rFonts w:hint="default"/>
        <w:lang w:val="en-us" w:eastAsia="en-us" w:bidi="en-us"/>
      </w:rPr>
    </w:lvl>
    <w:lvl w:ilvl="3">
      <w:start w:val="0"/>
      <w:numFmt w:val="bullet"/>
      <w:lvlText w:val="•"/>
      <w:lvlJc w:val="left"/>
      <w:pPr>
        <w:ind w:left="4349" w:hanging="567"/>
      </w:pPr>
      <w:rPr>
        <w:rFonts w:hint="default"/>
        <w:lang w:val="en-us" w:eastAsia="en-us" w:bidi="en-us"/>
      </w:rPr>
    </w:lvl>
    <w:lvl w:ilvl="4">
      <w:start w:val="0"/>
      <w:numFmt w:val="bullet"/>
      <w:lvlText w:val="•"/>
      <w:lvlJc w:val="left"/>
      <w:pPr>
        <w:ind w:left="5286" w:hanging="567"/>
      </w:pPr>
      <w:rPr>
        <w:rFonts w:hint="default"/>
        <w:lang w:val="en-us" w:eastAsia="en-us" w:bidi="en-us"/>
      </w:rPr>
    </w:lvl>
    <w:lvl w:ilvl="5">
      <w:start w:val="0"/>
      <w:numFmt w:val="bullet"/>
      <w:lvlText w:val="•"/>
      <w:lvlJc w:val="left"/>
      <w:pPr>
        <w:ind w:left="6222" w:hanging="567"/>
      </w:pPr>
      <w:rPr>
        <w:rFonts w:hint="default"/>
        <w:lang w:val="en-us" w:eastAsia="en-us" w:bidi="en-us"/>
      </w:rPr>
    </w:lvl>
    <w:lvl w:ilvl="6">
      <w:start w:val="0"/>
      <w:numFmt w:val="bullet"/>
      <w:lvlText w:val="•"/>
      <w:lvlJc w:val="left"/>
      <w:pPr>
        <w:ind w:left="7159" w:hanging="567"/>
      </w:pPr>
      <w:rPr>
        <w:rFonts w:hint="default"/>
        <w:lang w:val="en-us" w:eastAsia="en-us" w:bidi="en-us"/>
      </w:rPr>
    </w:lvl>
    <w:lvl w:ilvl="7">
      <w:start w:val="0"/>
      <w:numFmt w:val="bullet"/>
      <w:lvlText w:val="•"/>
      <w:lvlJc w:val="left"/>
      <w:pPr>
        <w:ind w:left="8095" w:hanging="567"/>
      </w:pPr>
      <w:rPr>
        <w:rFonts w:hint="default"/>
        <w:lang w:val="en-us" w:eastAsia="en-us" w:bidi="en-us"/>
      </w:rPr>
    </w:lvl>
    <w:lvl w:ilvl="8">
      <w:start w:val="0"/>
      <w:numFmt w:val="bullet"/>
      <w:lvlText w:val="•"/>
      <w:lvlJc w:val="left"/>
      <w:pPr>
        <w:ind w:left="9032" w:hanging="567"/>
      </w:pPr>
      <w:rPr>
        <w:rFonts w:hint="default"/>
        <w:lang w:val="en-us" w:eastAsia="en-us" w:bidi="en-us"/>
      </w:rPr>
    </w:lvl>
  </w:abstractNum>
  <w:abstractNum w:abstractNumId="53">
    <w:multiLevelType w:val="hybridMultilevel"/>
    <w:lvl w:ilvl="0">
      <w:start w:val="64"/>
      <w:numFmt w:val="decimal"/>
      <w:lvlText w:val="%1"/>
      <w:lvlJc w:val="left"/>
      <w:pPr>
        <w:ind w:left="1548" w:hanging="567"/>
        <w:jc w:val="left"/>
      </w:pPr>
      <w:rPr>
        <w:rFonts w:hint="default" w:ascii="Raleway" w:hAnsi="Raleway" w:eastAsia="Raleway" w:cs="Raleway"/>
        <w:b/>
        <w:bCs/>
        <w:color w:val="FFFFFF"/>
        <w:spacing w:val="-7"/>
        <w:w w:val="99"/>
        <w:sz w:val="24"/>
        <w:szCs w:val="24"/>
        <w:lang w:val="en-us" w:eastAsia="en-us" w:bidi="en-us"/>
      </w:rPr>
    </w:lvl>
    <w:lvl w:ilvl="1">
      <w:start w:val="0"/>
      <w:numFmt w:val="bullet"/>
      <w:lvlText w:val="•"/>
      <w:lvlJc w:val="left"/>
      <w:pPr>
        <w:ind w:left="2476" w:hanging="567"/>
      </w:pPr>
      <w:rPr>
        <w:rFonts w:hint="default"/>
        <w:lang w:val="en-us" w:eastAsia="en-us" w:bidi="en-us"/>
      </w:rPr>
    </w:lvl>
    <w:lvl w:ilvl="2">
      <w:start w:val="0"/>
      <w:numFmt w:val="bullet"/>
      <w:lvlText w:val="•"/>
      <w:lvlJc w:val="left"/>
      <w:pPr>
        <w:ind w:left="3413" w:hanging="567"/>
      </w:pPr>
      <w:rPr>
        <w:rFonts w:hint="default"/>
        <w:lang w:val="en-us" w:eastAsia="en-us" w:bidi="en-us"/>
      </w:rPr>
    </w:lvl>
    <w:lvl w:ilvl="3">
      <w:start w:val="0"/>
      <w:numFmt w:val="bullet"/>
      <w:lvlText w:val="•"/>
      <w:lvlJc w:val="left"/>
      <w:pPr>
        <w:ind w:left="4349" w:hanging="567"/>
      </w:pPr>
      <w:rPr>
        <w:rFonts w:hint="default"/>
        <w:lang w:val="en-us" w:eastAsia="en-us" w:bidi="en-us"/>
      </w:rPr>
    </w:lvl>
    <w:lvl w:ilvl="4">
      <w:start w:val="0"/>
      <w:numFmt w:val="bullet"/>
      <w:lvlText w:val="•"/>
      <w:lvlJc w:val="left"/>
      <w:pPr>
        <w:ind w:left="5286" w:hanging="567"/>
      </w:pPr>
      <w:rPr>
        <w:rFonts w:hint="default"/>
        <w:lang w:val="en-us" w:eastAsia="en-us" w:bidi="en-us"/>
      </w:rPr>
    </w:lvl>
    <w:lvl w:ilvl="5">
      <w:start w:val="0"/>
      <w:numFmt w:val="bullet"/>
      <w:lvlText w:val="•"/>
      <w:lvlJc w:val="left"/>
      <w:pPr>
        <w:ind w:left="6222" w:hanging="567"/>
      </w:pPr>
      <w:rPr>
        <w:rFonts w:hint="default"/>
        <w:lang w:val="en-us" w:eastAsia="en-us" w:bidi="en-us"/>
      </w:rPr>
    </w:lvl>
    <w:lvl w:ilvl="6">
      <w:start w:val="0"/>
      <w:numFmt w:val="bullet"/>
      <w:lvlText w:val="•"/>
      <w:lvlJc w:val="left"/>
      <w:pPr>
        <w:ind w:left="7159" w:hanging="567"/>
      </w:pPr>
      <w:rPr>
        <w:rFonts w:hint="default"/>
        <w:lang w:val="en-us" w:eastAsia="en-us" w:bidi="en-us"/>
      </w:rPr>
    </w:lvl>
    <w:lvl w:ilvl="7">
      <w:start w:val="0"/>
      <w:numFmt w:val="bullet"/>
      <w:lvlText w:val="•"/>
      <w:lvlJc w:val="left"/>
      <w:pPr>
        <w:ind w:left="8095" w:hanging="567"/>
      </w:pPr>
      <w:rPr>
        <w:rFonts w:hint="default"/>
        <w:lang w:val="en-us" w:eastAsia="en-us" w:bidi="en-us"/>
      </w:rPr>
    </w:lvl>
    <w:lvl w:ilvl="8">
      <w:start w:val="0"/>
      <w:numFmt w:val="bullet"/>
      <w:lvlText w:val="•"/>
      <w:lvlJc w:val="left"/>
      <w:pPr>
        <w:ind w:left="9032" w:hanging="567"/>
      </w:pPr>
      <w:rPr>
        <w:rFonts w:hint="default"/>
        <w:lang w:val="en-us" w:eastAsia="en-us" w:bidi="en-us"/>
      </w:rPr>
    </w:lvl>
  </w:abstractNum>
  <w:abstractNum w:abstractNumId="52">
    <w:multiLevelType w:val="hybridMultilevel"/>
    <w:lvl w:ilvl="0">
      <w:start w:val="57"/>
      <w:numFmt w:val="decimal"/>
      <w:lvlText w:val="%1"/>
      <w:lvlJc w:val="left"/>
      <w:pPr>
        <w:ind w:left="1761" w:hanging="794"/>
        <w:jc w:val="left"/>
      </w:pPr>
      <w:rPr>
        <w:rFonts w:hint="default" w:ascii="Raleway" w:hAnsi="Raleway" w:eastAsia="Raleway" w:cs="Raleway"/>
        <w:spacing w:val="0"/>
        <w:w w:val="101"/>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51">
    <w:multiLevelType w:val="hybridMultilevel"/>
    <w:lvl w:ilvl="0">
      <w:start w:val="1"/>
      <w:numFmt w:val="decimal"/>
      <w:lvlText w:val="%1"/>
      <w:lvlJc w:val="left"/>
      <w:pPr>
        <w:ind w:left="1761" w:hanging="794"/>
        <w:jc w:val="left"/>
      </w:pPr>
      <w:rPr>
        <w:rFonts w:hint="default" w:ascii="Raleway" w:hAnsi="Raleway" w:eastAsia="Raleway" w:cs="Raleway"/>
        <w:spacing w:val="-19"/>
        <w:w w:val="91"/>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50">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49">
    <w:multiLevelType w:val="hybridMultilevel"/>
    <w:lvl w:ilvl="0">
      <w:start w:val="59"/>
      <w:numFmt w:val="decimal"/>
      <w:lvlText w:val="%1"/>
      <w:lvlJc w:val="left"/>
      <w:pPr>
        <w:ind w:left="1534" w:hanging="567"/>
        <w:jc w:val="left"/>
      </w:pPr>
      <w:rPr>
        <w:rFonts w:hint="default" w:ascii="Raleway" w:hAnsi="Raleway" w:eastAsia="Raleway" w:cs="Raleway"/>
        <w:b/>
        <w:bCs/>
        <w:color w:val="FFFFFF"/>
        <w:spacing w:val="-15"/>
        <w:w w:val="100"/>
        <w:sz w:val="24"/>
        <w:szCs w:val="24"/>
        <w:lang w:val="en-us" w:eastAsia="en-us" w:bidi="en-us"/>
      </w:rPr>
    </w:lvl>
    <w:lvl w:ilvl="1">
      <w:start w:val="0"/>
      <w:numFmt w:val="bullet"/>
      <w:lvlText w:val="•"/>
      <w:lvlJc w:val="left"/>
      <w:pPr>
        <w:ind w:left="2476" w:hanging="567"/>
      </w:pPr>
      <w:rPr>
        <w:rFonts w:hint="default"/>
        <w:lang w:val="en-us" w:eastAsia="en-us" w:bidi="en-us"/>
      </w:rPr>
    </w:lvl>
    <w:lvl w:ilvl="2">
      <w:start w:val="0"/>
      <w:numFmt w:val="bullet"/>
      <w:lvlText w:val="•"/>
      <w:lvlJc w:val="left"/>
      <w:pPr>
        <w:ind w:left="3413" w:hanging="567"/>
      </w:pPr>
      <w:rPr>
        <w:rFonts w:hint="default"/>
        <w:lang w:val="en-us" w:eastAsia="en-us" w:bidi="en-us"/>
      </w:rPr>
    </w:lvl>
    <w:lvl w:ilvl="3">
      <w:start w:val="0"/>
      <w:numFmt w:val="bullet"/>
      <w:lvlText w:val="•"/>
      <w:lvlJc w:val="left"/>
      <w:pPr>
        <w:ind w:left="4349" w:hanging="567"/>
      </w:pPr>
      <w:rPr>
        <w:rFonts w:hint="default"/>
        <w:lang w:val="en-us" w:eastAsia="en-us" w:bidi="en-us"/>
      </w:rPr>
    </w:lvl>
    <w:lvl w:ilvl="4">
      <w:start w:val="0"/>
      <w:numFmt w:val="bullet"/>
      <w:lvlText w:val="•"/>
      <w:lvlJc w:val="left"/>
      <w:pPr>
        <w:ind w:left="5286" w:hanging="567"/>
      </w:pPr>
      <w:rPr>
        <w:rFonts w:hint="default"/>
        <w:lang w:val="en-us" w:eastAsia="en-us" w:bidi="en-us"/>
      </w:rPr>
    </w:lvl>
    <w:lvl w:ilvl="5">
      <w:start w:val="0"/>
      <w:numFmt w:val="bullet"/>
      <w:lvlText w:val="•"/>
      <w:lvlJc w:val="left"/>
      <w:pPr>
        <w:ind w:left="6222" w:hanging="567"/>
      </w:pPr>
      <w:rPr>
        <w:rFonts w:hint="default"/>
        <w:lang w:val="en-us" w:eastAsia="en-us" w:bidi="en-us"/>
      </w:rPr>
    </w:lvl>
    <w:lvl w:ilvl="6">
      <w:start w:val="0"/>
      <w:numFmt w:val="bullet"/>
      <w:lvlText w:val="•"/>
      <w:lvlJc w:val="left"/>
      <w:pPr>
        <w:ind w:left="7159" w:hanging="567"/>
      </w:pPr>
      <w:rPr>
        <w:rFonts w:hint="default"/>
        <w:lang w:val="en-us" w:eastAsia="en-us" w:bidi="en-us"/>
      </w:rPr>
    </w:lvl>
    <w:lvl w:ilvl="7">
      <w:start w:val="0"/>
      <w:numFmt w:val="bullet"/>
      <w:lvlText w:val="•"/>
      <w:lvlJc w:val="left"/>
      <w:pPr>
        <w:ind w:left="8095" w:hanging="567"/>
      </w:pPr>
      <w:rPr>
        <w:rFonts w:hint="default"/>
        <w:lang w:val="en-us" w:eastAsia="en-us" w:bidi="en-us"/>
      </w:rPr>
    </w:lvl>
    <w:lvl w:ilvl="8">
      <w:start w:val="0"/>
      <w:numFmt w:val="bullet"/>
      <w:lvlText w:val="•"/>
      <w:lvlJc w:val="left"/>
      <w:pPr>
        <w:ind w:left="9032" w:hanging="567"/>
      </w:pPr>
      <w:rPr>
        <w:rFonts w:hint="default"/>
        <w:lang w:val="en-us" w:eastAsia="en-us" w:bidi="en-us"/>
      </w:rPr>
    </w:lvl>
  </w:abstractNum>
  <w:abstractNum w:abstractNumId="48">
    <w:multiLevelType w:val="hybridMultilevel"/>
    <w:lvl w:ilvl="0">
      <w:start w:val="54"/>
      <w:numFmt w:val="decimal"/>
      <w:lvlText w:val="%1"/>
      <w:lvlJc w:val="left"/>
      <w:pPr>
        <w:ind w:left="1534" w:hanging="567"/>
        <w:jc w:val="left"/>
      </w:pPr>
      <w:rPr>
        <w:rFonts w:hint="default" w:ascii="Raleway" w:hAnsi="Raleway" w:eastAsia="Raleway" w:cs="Raleway"/>
        <w:b/>
        <w:bCs/>
        <w:color w:val="FFFFFF"/>
        <w:spacing w:val="-5"/>
        <w:w w:val="100"/>
        <w:sz w:val="24"/>
        <w:szCs w:val="24"/>
        <w:lang w:val="en-us" w:eastAsia="en-us" w:bidi="en-us"/>
      </w:rPr>
    </w:lvl>
    <w:lvl w:ilvl="1">
      <w:start w:val="0"/>
      <w:numFmt w:val="bullet"/>
      <w:lvlText w:val="•"/>
      <w:lvlJc w:val="left"/>
      <w:pPr>
        <w:ind w:left="2476" w:hanging="567"/>
      </w:pPr>
      <w:rPr>
        <w:rFonts w:hint="default"/>
        <w:lang w:val="en-us" w:eastAsia="en-us" w:bidi="en-us"/>
      </w:rPr>
    </w:lvl>
    <w:lvl w:ilvl="2">
      <w:start w:val="0"/>
      <w:numFmt w:val="bullet"/>
      <w:lvlText w:val="•"/>
      <w:lvlJc w:val="left"/>
      <w:pPr>
        <w:ind w:left="3413" w:hanging="567"/>
      </w:pPr>
      <w:rPr>
        <w:rFonts w:hint="default"/>
        <w:lang w:val="en-us" w:eastAsia="en-us" w:bidi="en-us"/>
      </w:rPr>
    </w:lvl>
    <w:lvl w:ilvl="3">
      <w:start w:val="0"/>
      <w:numFmt w:val="bullet"/>
      <w:lvlText w:val="•"/>
      <w:lvlJc w:val="left"/>
      <w:pPr>
        <w:ind w:left="4349" w:hanging="567"/>
      </w:pPr>
      <w:rPr>
        <w:rFonts w:hint="default"/>
        <w:lang w:val="en-us" w:eastAsia="en-us" w:bidi="en-us"/>
      </w:rPr>
    </w:lvl>
    <w:lvl w:ilvl="4">
      <w:start w:val="0"/>
      <w:numFmt w:val="bullet"/>
      <w:lvlText w:val="•"/>
      <w:lvlJc w:val="left"/>
      <w:pPr>
        <w:ind w:left="5286" w:hanging="567"/>
      </w:pPr>
      <w:rPr>
        <w:rFonts w:hint="default"/>
        <w:lang w:val="en-us" w:eastAsia="en-us" w:bidi="en-us"/>
      </w:rPr>
    </w:lvl>
    <w:lvl w:ilvl="5">
      <w:start w:val="0"/>
      <w:numFmt w:val="bullet"/>
      <w:lvlText w:val="•"/>
      <w:lvlJc w:val="left"/>
      <w:pPr>
        <w:ind w:left="6222" w:hanging="567"/>
      </w:pPr>
      <w:rPr>
        <w:rFonts w:hint="default"/>
        <w:lang w:val="en-us" w:eastAsia="en-us" w:bidi="en-us"/>
      </w:rPr>
    </w:lvl>
    <w:lvl w:ilvl="6">
      <w:start w:val="0"/>
      <w:numFmt w:val="bullet"/>
      <w:lvlText w:val="•"/>
      <w:lvlJc w:val="left"/>
      <w:pPr>
        <w:ind w:left="7159" w:hanging="567"/>
      </w:pPr>
      <w:rPr>
        <w:rFonts w:hint="default"/>
        <w:lang w:val="en-us" w:eastAsia="en-us" w:bidi="en-us"/>
      </w:rPr>
    </w:lvl>
    <w:lvl w:ilvl="7">
      <w:start w:val="0"/>
      <w:numFmt w:val="bullet"/>
      <w:lvlText w:val="•"/>
      <w:lvlJc w:val="left"/>
      <w:pPr>
        <w:ind w:left="8095" w:hanging="567"/>
      </w:pPr>
      <w:rPr>
        <w:rFonts w:hint="default"/>
        <w:lang w:val="en-us" w:eastAsia="en-us" w:bidi="en-us"/>
      </w:rPr>
    </w:lvl>
    <w:lvl w:ilvl="8">
      <w:start w:val="0"/>
      <w:numFmt w:val="bullet"/>
      <w:lvlText w:val="•"/>
      <w:lvlJc w:val="left"/>
      <w:pPr>
        <w:ind w:left="9032" w:hanging="567"/>
      </w:pPr>
      <w:rPr>
        <w:rFonts w:hint="default"/>
        <w:lang w:val="en-us" w:eastAsia="en-us" w:bidi="en-us"/>
      </w:rPr>
    </w:lvl>
  </w:abstractNum>
  <w:abstractNum w:abstractNumId="47">
    <w:multiLevelType w:val="hybridMultilevel"/>
    <w:lvl w:ilvl="0">
      <w:start w:val="66"/>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46">
    <w:multiLevelType w:val="hybridMultilevel"/>
    <w:lvl w:ilvl="0">
      <w:start w:val="59"/>
      <w:numFmt w:val="decimal"/>
      <w:lvlText w:val="%1"/>
      <w:lvlJc w:val="left"/>
      <w:pPr>
        <w:ind w:left="1777" w:hanging="810"/>
        <w:jc w:val="left"/>
      </w:pPr>
      <w:rPr>
        <w:rFonts w:hint="default" w:ascii="Raleway" w:hAnsi="Raleway" w:eastAsia="Raleway" w:cs="Raleway"/>
        <w:spacing w:val="0"/>
        <w:w w:val="102"/>
        <w:sz w:val="13"/>
        <w:szCs w:val="13"/>
        <w:lang w:val="en-us" w:eastAsia="en-us" w:bidi="en-us"/>
      </w:rPr>
    </w:lvl>
    <w:lvl w:ilvl="1">
      <w:start w:val="0"/>
      <w:numFmt w:val="bullet"/>
      <w:lvlText w:val="•"/>
      <w:lvlJc w:val="left"/>
      <w:pPr>
        <w:ind w:left="2692" w:hanging="810"/>
      </w:pPr>
      <w:rPr>
        <w:rFonts w:hint="default"/>
        <w:lang w:val="en-us" w:eastAsia="en-us" w:bidi="en-us"/>
      </w:rPr>
    </w:lvl>
    <w:lvl w:ilvl="2">
      <w:start w:val="0"/>
      <w:numFmt w:val="bullet"/>
      <w:lvlText w:val="•"/>
      <w:lvlJc w:val="left"/>
      <w:pPr>
        <w:ind w:left="3605" w:hanging="810"/>
      </w:pPr>
      <w:rPr>
        <w:rFonts w:hint="default"/>
        <w:lang w:val="en-us" w:eastAsia="en-us" w:bidi="en-us"/>
      </w:rPr>
    </w:lvl>
    <w:lvl w:ilvl="3">
      <w:start w:val="0"/>
      <w:numFmt w:val="bullet"/>
      <w:lvlText w:val="•"/>
      <w:lvlJc w:val="left"/>
      <w:pPr>
        <w:ind w:left="4517" w:hanging="810"/>
      </w:pPr>
      <w:rPr>
        <w:rFonts w:hint="default"/>
        <w:lang w:val="en-us" w:eastAsia="en-us" w:bidi="en-us"/>
      </w:rPr>
    </w:lvl>
    <w:lvl w:ilvl="4">
      <w:start w:val="0"/>
      <w:numFmt w:val="bullet"/>
      <w:lvlText w:val="•"/>
      <w:lvlJc w:val="left"/>
      <w:pPr>
        <w:ind w:left="5430" w:hanging="810"/>
      </w:pPr>
      <w:rPr>
        <w:rFonts w:hint="default"/>
        <w:lang w:val="en-us" w:eastAsia="en-us" w:bidi="en-us"/>
      </w:rPr>
    </w:lvl>
    <w:lvl w:ilvl="5">
      <w:start w:val="0"/>
      <w:numFmt w:val="bullet"/>
      <w:lvlText w:val="•"/>
      <w:lvlJc w:val="left"/>
      <w:pPr>
        <w:ind w:left="6342" w:hanging="810"/>
      </w:pPr>
      <w:rPr>
        <w:rFonts w:hint="default"/>
        <w:lang w:val="en-us" w:eastAsia="en-us" w:bidi="en-us"/>
      </w:rPr>
    </w:lvl>
    <w:lvl w:ilvl="6">
      <w:start w:val="0"/>
      <w:numFmt w:val="bullet"/>
      <w:lvlText w:val="•"/>
      <w:lvlJc w:val="left"/>
      <w:pPr>
        <w:ind w:left="7255" w:hanging="810"/>
      </w:pPr>
      <w:rPr>
        <w:rFonts w:hint="default"/>
        <w:lang w:val="en-us" w:eastAsia="en-us" w:bidi="en-us"/>
      </w:rPr>
    </w:lvl>
    <w:lvl w:ilvl="7">
      <w:start w:val="0"/>
      <w:numFmt w:val="bullet"/>
      <w:lvlText w:val="•"/>
      <w:lvlJc w:val="left"/>
      <w:pPr>
        <w:ind w:left="8167" w:hanging="810"/>
      </w:pPr>
      <w:rPr>
        <w:rFonts w:hint="default"/>
        <w:lang w:val="en-us" w:eastAsia="en-us" w:bidi="en-us"/>
      </w:rPr>
    </w:lvl>
    <w:lvl w:ilvl="8">
      <w:start w:val="0"/>
      <w:numFmt w:val="bullet"/>
      <w:lvlText w:val="•"/>
      <w:lvlJc w:val="left"/>
      <w:pPr>
        <w:ind w:left="9080" w:hanging="810"/>
      </w:pPr>
      <w:rPr>
        <w:rFonts w:hint="default"/>
        <w:lang w:val="en-us" w:eastAsia="en-us" w:bidi="en-us"/>
      </w:rPr>
    </w:lvl>
  </w:abstractNum>
  <w:abstractNum w:abstractNumId="45">
    <w:multiLevelType w:val="hybridMultilevel"/>
    <w:lvl w:ilvl="0">
      <w:start w:val="1"/>
      <w:numFmt w:val="lowerLetter"/>
      <w:lvlText w:val="%1)"/>
      <w:lvlJc w:val="left"/>
      <w:pPr>
        <w:ind w:left="2456" w:hanging="344"/>
        <w:jc w:val="left"/>
      </w:pPr>
      <w:rPr>
        <w:rFonts w:hint="default" w:ascii="Raleway" w:hAnsi="Raleway" w:eastAsia="Raleway" w:cs="Raleway"/>
        <w:w w:val="102"/>
        <w:sz w:val="21"/>
        <w:szCs w:val="21"/>
        <w:lang w:val="en-us" w:eastAsia="en-us" w:bidi="en-us"/>
      </w:rPr>
    </w:lvl>
    <w:lvl w:ilvl="1">
      <w:start w:val="1"/>
      <w:numFmt w:val="lowerRoman"/>
      <w:lvlText w:val="%2."/>
      <w:lvlJc w:val="left"/>
      <w:pPr>
        <w:ind w:left="2781" w:hanging="341"/>
        <w:jc w:val="left"/>
      </w:pPr>
      <w:rPr>
        <w:rFonts w:hint="default" w:ascii="Raleway" w:hAnsi="Raleway" w:eastAsia="Raleway" w:cs="Raleway"/>
        <w:w w:val="101"/>
        <w:sz w:val="20"/>
        <w:szCs w:val="20"/>
        <w:lang w:val="en-us" w:eastAsia="en-us" w:bidi="en-us"/>
      </w:rPr>
    </w:lvl>
    <w:lvl w:ilvl="2">
      <w:start w:val="0"/>
      <w:numFmt w:val="bullet"/>
      <w:lvlText w:val="•"/>
      <w:lvlJc w:val="left"/>
      <w:pPr>
        <w:ind w:left="3682" w:hanging="341"/>
      </w:pPr>
      <w:rPr>
        <w:rFonts w:hint="default"/>
        <w:lang w:val="en-us" w:eastAsia="en-us" w:bidi="en-us"/>
      </w:rPr>
    </w:lvl>
    <w:lvl w:ilvl="3">
      <w:start w:val="0"/>
      <w:numFmt w:val="bullet"/>
      <w:lvlText w:val="•"/>
      <w:lvlJc w:val="left"/>
      <w:pPr>
        <w:ind w:left="4585" w:hanging="341"/>
      </w:pPr>
      <w:rPr>
        <w:rFonts w:hint="default"/>
        <w:lang w:val="en-us" w:eastAsia="en-us" w:bidi="en-us"/>
      </w:rPr>
    </w:lvl>
    <w:lvl w:ilvl="4">
      <w:start w:val="0"/>
      <w:numFmt w:val="bullet"/>
      <w:lvlText w:val="•"/>
      <w:lvlJc w:val="left"/>
      <w:pPr>
        <w:ind w:left="5488" w:hanging="341"/>
      </w:pPr>
      <w:rPr>
        <w:rFonts w:hint="default"/>
        <w:lang w:val="en-us" w:eastAsia="en-us" w:bidi="en-us"/>
      </w:rPr>
    </w:lvl>
    <w:lvl w:ilvl="5">
      <w:start w:val="0"/>
      <w:numFmt w:val="bullet"/>
      <w:lvlText w:val="•"/>
      <w:lvlJc w:val="left"/>
      <w:pPr>
        <w:ind w:left="6391" w:hanging="341"/>
      </w:pPr>
      <w:rPr>
        <w:rFonts w:hint="default"/>
        <w:lang w:val="en-us" w:eastAsia="en-us" w:bidi="en-us"/>
      </w:rPr>
    </w:lvl>
    <w:lvl w:ilvl="6">
      <w:start w:val="0"/>
      <w:numFmt w:val="bullet"/>
      <w:lvlText w:val="•"/>
      <w:lvlJc w:val="left"/>
      <w:pPr>
        <w:ind w:left="7294" w:hanging="341"/>
      </w:pPr>
      <w:rPr>
        <w:rFonts w:hint="default"/>
        <w:lang w:val="en-us" w:eastAsia="en-us" w:bidi="en-us"/>
      </w:rPr>
    </w:lvl>
    <w:lvl w:ilvl="7">
      <w:start w:val="0"/>
      <w:numFmt w:val="bullet"/>
      <w:lvlText w:val="•"/>
      <w:lvlJc w:val="left"/>
      <w:pPr>
        <w:ind w:left="8197" w:hanging="341"/>
      </w:pPr>
      <w:rPr>
        <w:rFonts w:hint="default"/>
        <w:lang w:val="en-us" w:eastAsia="en-us" w:bidi="en-us"/>
      </w:rPr>
    </w:lvl>
    <w:lvl w:ilvl="8">
      <w:start w:val="0"/>
      <w:numFmt w:val="bullet"/>
      <w:lvlText w:val="•"/>
      <w:lvlJc w:val="left"/>
      <w:pPr>
        <w:ind w:left="9099" w:hanging="341"/>
      </w:pPr>
      <w:rPr>
        <w:rFonts w:hint="default"/>
        <w:lang w:val="en-us" w:eastAsia="en-us" w:bidi="en-us"/>
      </w:rPr>
    </w:lvl>
  </w:abstractNum>
  <w:abstractNum w:abstractNumId="44">
    <w:multiLevelType w:val="hybridMultilevel"/>
    <w:lvl w:ilvl="0">
      <w:start w:val="49"/>
      <w:numFmt w:val="decimal"/>
      <w:lvlText w:val="%1"/>
      <w:lvlJc w:val="left"/>
      <w:pPr>
        <w:ind w:left="1761" w:hanging="794"/>
        <w:jc w:val="left"/>
      </w:pPr>
      <w:rPr>
        <w:rFonts w:hint="default" w:ascii="Raleway" w:hAnsi="Raleway" w:eastAsia="Raleway" w:cs="Raleway"/>
        <w:spacing w:val="0"/>
        <w:w w:val="99"/>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43">
    <w:multiLevelType w:val="hybridMultilevel"/>
    <w:lvl w:ilvl="0">
      <w:start w:val="44"/>
      <w:numFmt w:val="decimal"/>
      <w:lvlText w:val="%1"/>
      <w:lvlJc w:val="left"/>
      <w:pPr>
        <w:ind w:left="1761" w:hanging="794"/>
        <w:jc w:val="left"/>
      </w:pPr>
      <w:rPr>
        <w:rFonts w:hint="default" w:ascii="Raleway" w:hAnsi="Raleway" w:eastAsia="Raleway" w:cs="Raleway"/>
        <w:spacing w:val="0"/>
        <w:w w:val="99"/>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42">
    <w:multiLevelType w:val="hybridMultilevel"/>
    <w:lvl w:ilvl="0">
      <w:start w:val="38"/>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41">
    <w:multiLevelType w:val="hybridMultilevel"/>
    <w:lvl w:ilvl="0">
      <w:start w:val="34"/>
      <w:numFmt w:val="decimal"/>
      <w:lvlText w:val="%1"/>
      <w:lvlJc w:val="left"/>
      <w:pPr>
        <w:ind w:left="1761" w:hanging="794"/>
        <w:jc w:val="left"/>
      </w:pPr>
      <w:rPr>
        <w:rFonts w:hint="default" w:ascii="Raleway" w:hAnsi="Raleway" w:eastAsia="Raleway" w:cs="Raleway"/>
        <w:spacing w:val="0"/>
        <w:w w:val="99"/>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40">
    <w:multiLevelType w:val="hybridMultilevel"/>
    <w:lvl w:ilvl="0">
      <w:start w:val="1"/>
      <w:numFmt w:val="decimal"/>
      <w:lvlText w:val="%1)"/>
      <w:lvlJc w:val="left"/>
      <w:pPr>
        <w:ind w:left="2157" w:hanging="397"/>
        <w:jc w:val="left"/>
      </w:pPr>
      <w:rPr>
        <w:rFonts w:hint="default" w:ascii="Raleway" w:hAnsi="Raleway" w:eastAsia="Raleway" w:cs="Raleway"/>
        <w:spacing w:val="-14"/>
        <w:w w:val="98"/>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39">
    <w:multiLevelType w:val="hybridMultilevel"/>
    <w:lvl w:ilvl="0">
      <w:start w:val="1"/>
      <w:numFmt w:val="decimal"/>
      <w:lvlText w:val="%1"/>
      <w:lvlJc w:val="left"/>
      <w:pPr>
        <w:ind w:left="1761" w:hanging="794"/>
        <w:jc w:val="left"/>
      </w:pPr>
      <w:rPr>
        <w:rFonts w:hint="default" w:ascii="Raleway" w:hAnsi="Raleway" w:eastAsia="Raleway" w:cs="Raleway"/>
        <w:spacing w:val="-1"/>
        <w:w w:val="97"/>
        <w:sz w:val="13"/>
        <w:szCs w:val="13"/>
        <w:lang w:val="en-us" w:eastAsia="en-us" w:bidi="en-us"/>
      </w:rPr>
    </w:lvl>
    <w:lvl w:ilvl="1">
      <w:start w:val="0"/>
      <w:numFmt w:val="bullet"/>
      <w:lvlText w:val="•"/>
      <w:lvlJc w:val="left"/>
      <w:pPr>
        <w:ind w:left="2157" w:hanging="397"/>
      </w:pPr>
      <w:rPr>
        <w:rFonts w:hint="default" w:ascii="Raleway" w:hAnsi="Raleway" w:eastAsia="Raleway" w:cs="Raleway"/>
        <w:w w:val="101"/>
        <w:sz w:val="20"/>
        <w:szCs w:val="20"/>
        <w:lang w:val="en-us" w:eastAsia="en-us" w:bidi="en-us"/>
      </w:rPr>
    </w:lvl>
    <w:lvl w:ilvl="2">
      <w:start w:val="0"/>
      <w:numFmt w:val="bullet"/>
      <w:lvlText w:val="•"/>
      <w:lvlJc w:val="left"/>
      <w:pPr>
        <w:ind w:left="3131" w:hanging="397"/>
      </w:pPr>
      <w:rPr>
        <w:rFonts w:hint="default"/>
        <w:lang w:val="en-us" w:eastAsia="en-us" w:bidi="en-us"/>
      </w:rPr>
    </w:lvl>
    <w:lvl w:ilvl="3">
      <w:start w:val="0"/>
      <w:numFmt w:val="bullet"/>
      <w:lvlText w:val="•"/>
      <w:lvlJc w:val="left"/>
      <w:pPr>
        <w:ind w:left="4103" w:hanging="397"/>
      </w:pPr>
      <w:rPr>
        <w:rFonts w:hint="default"/>
        <w:lang w:val="en-us" w:eastAsia="en-us" w:bidi="en-us"/>
      </w:rPr>
    </w:lvl>
    <w:lvl w:ilvl="4">
      <w:start w:val="0"/>
      <w:numFmt w:val="bullet"/>
      <w:lvlText w:val="•"/>
      <w:lvlJc w:val="left"/>
      <w:pPr>
        <w:ind w:left="5075" w:hanging="397"/>
      </w:pPr>
      <w:rPr>
        <w:rFonts w:hint="default"/>
        <w:lang w:val="en-us" w:eastAsia="en-us" w:bidi="en-us"/>
      </w:rPr>
    </w:lvl>
    <w:lvl w:ilvl="5">
      <w:start w:val="0"/>
      <w:numFmt w:val="bullet"/>
      <w:lvlText w:val="•"/>
      <w:lvlJc w:val="left"/>
      <w:pPr>
        <w:ind w:left="6046" w:hanging="397"/>
      </w:pPr>
      <w:rPr>
        <w:rFonts w:hint="default"/>
        <w:lang w:val="en-us" w:eastAsia="en-us" w:bidi="en-us"/>
      </w:rPr>
    </w:lvl>
    <w:lvl w:ilvl="6">
      <w:start w:val="0"/>
      <w:numFmt w:val="bullet"/>
      <w:lvlText w:val="•"/>
      <w:lvlJc w:val="left"/>
      <w:pPr>
        <w:ind w:left="7018" w:hanging="397"/>
      </w:pPr>
      <w:rPr>
        <w:rFonts w:hint="default"/>
        <w:lang w:val="en-us" w:eastAsia="en-us" w:bidi="en-us"/>
      </w:rPr>
    </w:lvl>
    <w:lvl w:ilvl="7">
      <w:start w:val="0"/>
      <w:numFmt w:val="bullet"/>
      <w:lvlText w:val="•"/>
      <w:lvlJc w:val="left"/>
      <w:pPr>
        <w:ind w:left="7990" w:hanging="397"/>
      </w:pPr>
      <w:rPr>
        <w:rFonts w:hint="default"/>
        <w:lang w:val="en-us" w:eastAsia="en-us" w:bidi="en-us"/>
      </w:rPr>
    </w:lvl>
    <w:lvl w:ilvl="8">
      <w:start w:val="0"/>
      <w:numFmt w:val="bullet"/>
      <w:lvlText w:val="•"/>
      <w:lvlJc w:val="left"/>
      <w:pPr>
        <w:ind w:left="8962" w:hanging="397"/>
      </w:pPr>
      <w:rPr>
        <w:rFonts w:hint="default"/>
        <w:lang w:val="en-us" w:eastAsia="en-us" w:bidi="en-us"/>
      </w:rPr>
    </w:lvl>
  </w:abstractNum>
  <w:abstractNum w:abstractNumId="38">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36">
    <w:multiLevelType w:val="hybridMultilevel"/>
    <w:lvl w:ilvl="0">
      <w:start w:val="68"/>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35">
    <w:multiLevelType w:val="hybridMultilevel"/>
    <w:lvl w:ilvl="0">
      <w:start w:val="55"/>
      <w:numFmt w:val="decimal"/>
      <w:lvlText w:val="%1"/>
      <w:lvlJc w:val="left"/>
      <w:pPr>
        <w:ind w:left="1761" w:hanging="794"/>
        <w:jc w:val="left"/>
      </w:pPr>
      <w:rPr>
        <w:rFonts w:hint="default" w:ascii="Raleway" w:hAnsi="Raleway" w:eastAsia="Raleway" w:cs="Raleway"/>
        <w:spacing w:val="0"/>
        <w:w w:val="101"/>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34">
    <w:multiLevelType w:val="hybridMultilevel"/>
    <w:lvl w:ilvl="0">
      <w:start w:val="45"/>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33">
    <w:multiLevelType w:val="hybridMultilevel"/>
    <w:lvl w:ilvl="0">
      <w:start w:val="10"/>
      <w:numFmt w:val="decimal"/>
      <w:lvlText w:val="%1"/>
      <w:lvlJc w:val="left"/>
      <w:pPr>
        <w:ind w:left="1761" w:hanging="794"/>
        <w:jc w:val="left"/>
      </w:pPr>
      <w:rPr>
        <w:rFonts w:hint="default" w:ascii="Raleway" w:hAnsi="Raleway" w:eastAsia="Raleway" w:cs="Raleway"/>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32">
    <w:multiLevelType w:val="hybridMultilevel"/>
    <w:lvl w:ilvl="0">
      <w:start w:val="1"/>
      <w:numFmt w:val="decimal"/>
      <w:lvlText w:val="%1"/>
      <w:lvlJc w:val="left"/>
      <w:pPr>
        <w:ind w:left="1761" w:hanging="794"/>
        <w:jc w:val="left"/>
      </w:pPr>
      <w:rPr>
        <w:rFonts w:hint="default" w:ascii="Raleway" w:hAnsi="Raleway" w:eastAsia="Raleway" w:cs="Raleway"/>
        <w:spacing w:val="-19"/>
        <w:w w:val="91"/>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31">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30">
    <w:multiLevelType w:val="hybridMultilevel"/>
    <w:lvl w:ilvl="0">
      <w:start w:val="32"/>
      <w:numFmt w:val="decimal"/>
      <w:lvlText w:val="%1"/>
      <w:lvlJc w:val="left"/>
      <w:pPr>
        <w:ind w:left="1534" w:hanging="567"/>
        <w:jc w:val="left"/>
      </w:pPr>
      <w:rPr>
        <w:rFonts w:hint="default" w:ascii="Raleway" w:hAnsi="Raleway" w:eastAsia="Raleway" w:cs="Raleway"/>
        <w:b/>
        <w:bCs/>
        <w:color w:val="FFFFFF"/>
        <w:spacing w:val="-6"/>
        <w:w w:val="99"/>
        <w:sz w:val="24"/>
        <w:szCs w:val="24"/>
        <w:lang w:val="en-us" w:eastAsia="en-us" w:bidi="en-us"/>
      </w:rPr>
    </w:lvl>
    <w:lvl w:ilvl="1">
      <w:start w:val="0"/>
      <w:numFmt w:val="bullet"/>
      <w:lvlText w:val="•"/>
      <w:lvlJc w:val="left"/>
      <w:pPr>
        <w:ind w:left="2476" w:hanging="567"/>
      </w:pPr>
      <w:rPr>
        <w:rFonts w:hint="default"/>
        <w:lang w:val="en-us" w:eastAsia="en-us" w:bidi="en-us"/>
      </w:rPr>
    </w:lvl>
    <w:lvl w:ilvl="2">
      <w:start w:val="0"/>
      <w:numFmt w:val="bullet"/>
      <w:lvlText w:val="•"/>
      <w:lvlJc w:val="left"/>
      <w:pPr>
        <w:ind w:left="3413" w:hanging="567"/>
      </w:pPr>
      <w:rPr>
        <w:rFonts w:hint="default"/>
        <w:lang w:val="en-us" w:eastAsia="en-us" w:bidi="en-us"/>
      </w:rPr>
    </w:lvl>
    <w:lvl w:ilvl="3">
      <w:start w:val="0"/>
      <w:numFmt w:val="bullet"/>
      <w:lvlText w:val="•"/>
      <w:lvlJc w:val="left"/>
      <w:pPr>
        <w:ind w:left="4349" w:hanging="567"/>
      </w:pPr>
      <w:rPr>
        <w:rFonts w:hint="default"/>
        <w:lang w:val="en-us" w:eastAsia="en-us" w:bidi="en-us"/>
      </w:rPr>
    </w:lvl>
    <w:lvl w:ilvl="4">
      <w:start w:val="0"/>
      <w:numFmt w:val="bullet"/>
      <w:lvlText w:val="•"/>
      <w:lvlJc w:val="left"/>
      <w:pPr>
        <w:ind w:left="5286" w:hanging="567"/>
      </w:pPr>
      <w:rPr>
        <w:rFonts w:hint="default"/>
        <w:lang w:val="en-us" w:eastAsia="en-us" w:bidi="en-us"/>
      </w:rPr>
    </w:lvl>
    <w:lvl w:ilvl="5">
      <w:start w:val="0"/>
      <w:numFmt w:val="bullet"/>
      <w:lvlText w:val="•"/>
      <w:lvlJc w:val="left"/>
      <w:pPr>
        <w:ind w:left="6222" w:hanging="567"/>
      </w:pPr>
      <w:rPr>
        <w:rFonts w:hint="default"/>
        <w:lang w:val="en-us" w:eastAsia="en-us" w:bidi="en-us"/>
      </w:rPr>
    </w:lvl>
    <w:lvl w:ilvl="6">
      <w:start w:val="0"/>
      <w:numFmt w:val="bullet"/>
      <w:lvlText w:val="•"/>
      <w:lvlJc w:val="left"/>
      <w:pPr>
        <w:ind w:left="7159" w:hanging="567"/>
      </w:pPr>
      <w:rPr>
        <w:rFonts w:hint="default"/>
        <w:lang w:val="en-us" w:eastAsia="en-us" w:bidi="en-us"/>
      </w:rPr>
    </w:lvl>
    <w:lvl w:ilvl="7">
      <w:start w:val="0"/>
      <w:numFmt w:val="bullet"/>
      <w:lvlText w:val="•"/>
      <w:lvlJc w:val="left"/>
      <w:pPr>
        <w:ind w:left="8095" w:hanging="567"/>
      </w:pPr>
      <w:rPr>
        <w:rFonts w:hint="default"/>
        <w:lang w:val="en-us" w:eastAsia="en-us" w:bidi="en-us"/>
      </w:rPr>
    </w:lvl>
    <w:lvl w:ilvl="8">
      <w:start w:val="0"/>
      <w:numFmt w:val="bullet"/>
      <w:lvlText w:val="•"/>
      <w:lvlJc w:val="left"/>
      <w:pPr>
        <w:ind w:left="9032" w:hanging="567"/>
      </w:pPr>
      <w:rPr>
        <w:rFonts w:hint="default"/>
        <w:lang w:val="en-us" w:eastAsia="en-us" w:bidi="en-us"/>
      </w:rPr>
    </w:lvl>
  </w:abstractNum>
  <w:abstractNum w:abstractNumId="29">
    <w:multiLevelType w:val="hybridMultilevel"/>
    <w:lvl w:ilvl="0">
      <w:start w:val="1"/>
      <w:numFmt w:val="decimal"/>
      <w:lvlText w:val="%1)"/>
      <w:lvlJc w:val="left"/>
      <w:pPr>
        <w:ind w:left="2157" w:hanging="397"/>
        <w:jc w:val="left"/>
      </w:pPr>
      <w:rPr>
        <w:rFonts w:hint="default" w:ascii="Raleway" w:hAnsi="Raleway" w:eastAsia="Raleway" w:cs="Raleway"/>
        <w:spacing w:val="-6"/>
        <w:w w:val="97"/>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28">
    <w:multiLevelType w:val="hybridMultilevel"/>
    <w:lvl w:ilvl="0">
      <w:start w:val="29"/>
      <w:numFmt w:val="decimal"/>
      <w:lvlText w:val="%1"/>
      <w:lvlJc w:val="left"/>
      <w:pPr>
        <w:ind w:left="1761" w:hanging="794"/>
        <w:jc w:val="left"/>
      </w:pPr>
      <w:rPr>
        <w:rFonts w:hint="default" w:ascii="Raleway" w:hAnsi="Raleway" w:eastAsia="Raleway" w:cs="Raleway"/>
        <w:spacing w:val="0"/>
        <w:w w:val="101"/>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27">
    <w:multiLevelType w:val="hybridMultilevel"/>
    <w:lvl w:ilvl="0">
      <w:start w:val="17"/>
      <w:numFmt w:val="decimal"/>
      <w:lvlText w:val="%1"/>
      <w:lvlJc w:val="left"/>
      <w:pPr>
        <w:ind w:left="1761" w:hanging="794"/>
        <w:jc w:val="left"/>
      </w:pPr>
      <w:rPr>
        <w:rFonts w:hint="default" w:ascii="Raleway" w:hAnsi="Raleway" w:eastAsia="Raleway" w:cs="Raleway"/>
        <w:spacing w:val="-3"/>
        <w:w w:val="101"/>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26">
    <w:multiLevelType w:val="hybridMultilevel"/>
    <w:lvl w:ilvl="0">
      <w:start w:val="1"/>
      <w:numFmt w:val="decimal"/>
      <w:lvlText w:val="%1"/>
      <w:lvlJc w:val="left"/>
      <w:pPr>
        <w:ind w:left="1761" w:hanging="794"/>
        <w:jc w:val="left"/>
      </w:pPr>
      <w:rPr>
        <w:rFonts w:hint="default" w:ascii="Raleway" w:hAnsi="Raleway" w:eastAsia="Raleway" w:cs="Raleway"/>
        <w:spacing w:val="-1"/>
        <w:w w:val="91"/>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25">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24">
    <w:multiLevelType w:val="hybridMultilevel"/>
    <w:lvl w:ilvl="0">
      <w:start w:val="25"/>
      <w:numFmt w:val="decimal"/>
      <w:lvlText w:val="%1"/>
      <w:lvlJc w:val="left"/>
      <w:pPr>
        <w:ind w:left="1534" w:hanging="567"/>
        <w:jc w:val="left"/>
      </w:pPr>
      <w:rPr>
        <w:rFonts w:hint="default" w:ascii="Raleway" w:hAnsi="Raleway" w:eastAsia="Raleway" w:cs="Raleway"/>
        <w:b/>
        <w:bCs/>
        <w:color w:val="FFFFFF"/>
        <w:spacing w:val="-6"/>
        <w:w w:val="99"/>
        <w:sz w:val="24"/>
        <w:szCs w:val="24"/>
        <w:lang w:val="en-us" w:eastAsia="en-us" w:bidi="en-us"/>
      </w:rPr>
    </w:lvl>
    <w:lvl w:ilvl="1">
      <w:start w:val="0"/>
      <w:numFmt w:val="bullet"/>
      <w:lvlText w:val="•"/>
      <w:lvlJc w:val="left"/>
      <w:pPr>
        <w:ind w:left="2476" w:hanging="567"/>
      </w:pPr>
      <w:rPr>
        <w:rFonts w:hint="default"/>
        <w:lang w:val="en-us" w:eastAsia="en-us" w:bidi="en-us"/>
      </w:rPr>
    </w:lvl>
    <w:lvl w:ilvl="2">
      <w:start w:val="0"/>
      <w:numFmt w:val="bullet"/>
      <w:lvlText w:val="•"/>
      <w:lvlJc w:val="left"/>
      <w:pPr>
        <w:ind w:left="3413" w:hanging="567"/>
      </w:pPr>
      <w:rPr>
        <w:rFonts w:hint="default"/>
        <w:lang w:val="en-us" w:eastAsia="en-us" w:bidi="en-us"/>
      </w:rPr>
    </w:lvl>
    <w:lvl w:ilvl="3">
      <w:start w:val="0"/>
      <w:numFmt w:val="bullet"/>
      <w:lvlText w:val="•"/>
      <w:lvlJc w:val="left"/>
      <w:pPr>
        <w:ind w:left="4349" w:hanging="567"/>
      </w:pPr>
      <w:rPr>
        <w:rFonts w:hint="default"/>
        <w:lang w:val="en-us" w:eastAsia="en-us" w:bidi="en-us"/>
      </w:rPr>
    </w:lvl>
    <w:lvl w:ilvl="4">
      <w:start w:val="0"/>
      <w:numFmt w:val="bullet"/>
      <w:lvlText w:val="•"/>
      <w:lvlJc w:val="left"/>
      <w:pPr>
        <w:ind w:left="5286" w:hanging="567"/>
      </w:pPr>
      <w:rPr>
        <w:rFonts w:hint="default"/>
        <w:lang w:val="en-us" w:eastAsia="en-us" w:bidi="en-us"/>
      </w:rPr>
    </w:lvl>
    <w:lvl w:ilvl="5">
      <w:start w:val="0"/>
      <w:numFmt w:val="bullet"/>
      <w:lvlText w:val="•"/>
      <w:lvlJc w:val="left"/>
      <w:pPr>
        <w:ind w:left="6222" w:hanging="567"/>
      </w:pPr>
      <w:rPr>
        <w:rFonts w:hint="default"/>
        <w:lang w:val="en-us" w:eastAsia="en-us" w:bidi="en-us"/>
      </w:rPr>
    </w:lvl>
    <w:lvl w:ilvl="6">
      <w:start w:val="0"/>
      <w:numFmt w:val="bullet"/>
      <w:lvlText w:val="•"/>
      <w:lvlJc w:val="left"/>
      <w:pPr>
        <w:ind w:left="7159" w:hanging="567"/>
      </w:pPr>
      <w:rPr>
        <w:rFonts w:hint="default"/>
        <w:lang w:val="en-us" w:eastAsia="en-us" w:bidi="en-us"/>
      </w:rPr>
    </w:lvl>
    <w:lvl w:ilvl="7">
      <w:start w:val="0"/>
      <w:numFmt w:val="bullet"/>
      <w:lvlText w:val="•"/>
      <w:lvlJc w:val="left"/>
      <w:pPr>
        <w:ind w:left="8095" w:hanging="567"/>
      </w:pPr>
      <w:rPr>
        <w:rFonts w:hint="default"/>
        <w:lang w:val="en-us" w:eastAsia="en-us" w:bidi="en-us"/>
      </w:rPr>
    </w:lvl>
    <w:lvl w:ilvl="8">
      <w:start w:val="0"/>
      <w:numFmt w:val="bullet"/>
      <w:lvlText w:val="•"/>
      <w:lvlJc w:val="left"/>
      <w:pPr>
        <w:ind w:left="9032" w:hanging="567"/>
      </w:pPr>
      <w:rPr>
        <w:rFonts w:hint="default"/>
        <w:lang w:val="en-us" w:eastAsia="en-us" w:bidi="en-us"/>
      </w:rPr>
    </w:lvl>
  </w:abstractNum>
  <w:abstractNum w:abstractNumId="23">
    <w:multiLevelType w:val="hybridMultilevel"/>
    <w:lvl w:ilvl="0">
      <w:start w:val="13"/>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22">
    <w:multiLevelType w:val="hybridMultilevel"/>
    <w:lvl w:ilvl="0">
      <w:start w:val="1"/>
      <w:numFmt w:val="decimal"/>
      <w:lvlText w:val="%1"/>
      <w:lvlJc w:val="left"/>
      <w:pPr>
        <w:ind w:left="1761" w:hanging="794"/>
        <w:jc w:val="left"/>
      </w:pPr>
      <w:rPr>
        <w:rFonts w:hint="default" w:ascii="Raleway" w:hAnsi="Raleway" w:eastAsia="Raleway" w:cs="Raleway"/>
        <w:spacing w:val="-19"/>
        <w:w w:val="91"/>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21">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20">
    <w:multiLevelType w:val="hybridMultilevel"/>
    <w:lvl w:ilvl="0">
      <w:start w:val="18"/>
      <w:numFmt w:val="decimal"/>
      <w:lvlText w:val="%1"/>
      <w:lvlJc w:val="left"/>
      <w:pPr>
        <w:ind w:left="1534" w:hanging="567"/>
        <w:jc w:val="left"/>
      </w:pPr>
      <w:rPr>
        <w:rFonts w:hint="default" w:ascii="Raleway" w:hAnsi="Raleway" w:eastAsia="Raleway" w:cs="Raleway"/>
        <w:b/>
        <w:bCs/>
        <w:color w:val="FFFFFF"/>
        <w:spacing w:val="-6"/>
        <w:w w:val="99"/>
        <w:sz w:val="24"/>
        <w:szCs w:val="24"/>
        <w:lang w:val="en-us" w:eastAsia="en-us" w:bidi="en-us"/>
      </w:rPr>
    </w:lvl>
    <w:lvl w:ilvl="1">
      <w:start w:val="0"/>
      <w:numFmt w:val="bullet"/>
      <w:lvlText w:val="•"/>
      <w:lvlJc w:val="left"/>
      <w:pPr>
        <w:ind w:left="2476" w:hanging="567"/>
      </w:pPr>
      <w:rPr>
        <w:rFonts w:hint="default"/>
        <w:lang w:val="en-us" w:eastAsia="en-us" w:bidi="en-us"/>
      </w:rPr>
    </w:lvl>
    <w:lvl w:ilvl="2">
      <w:start w:val="0"/>
      <w:numFmt w:val="bullet"/>
      <w:lvlText w:val="•"/>
      <w:lvlJc w:val="left"/>
      <w:pPr>
        <w:ind w:left="3413" w:hanging="567"/>
      </w:pPr>
      <w:rPr>
        <w:rFonts w:hint="default"/>
        <w:lang w:val="en-us" w:eastAsia="en-us" w:bidi="en-us"/>
      </w:rPr>
    </w:lvl>
    <w:lvl w:ilvl="3">
      <w:start w:val="0"/>
      <w:numFmt w:val="bullet"/>
      <w:lvlText w:val="•"/>
      <w:lvlJc w:val="left"/>
      <w:pPr>
        <w:ind w:left="4349" w:hanging="567"/>
      </w:pPr>
      <w:rPr>
        <w:rFonts w:hint="default"/>
        <w:lang w:val="en-us" w:eastAsia="en-us" w:bidi="en-us"/>
      </w:rPr>
    </w:lvl>
    <w:lvl w:ilvl="4">
      <w:start w:val="0"/>
      <w:numFmt w:val="bullet"/>
      <w:lvlText w:val="•"/>
      <w:lvlJc w:val="left"/>
      <w:pPr>
        <w:ind w:left="5286" w:hanging="567"/>
      </w:pPr>
      <w:rPr>
        <w:rFonts w:hint="default"/>
        <w:lang w:val="en-us" w:eastAsia="en-us" w:bidi="en-us"/>
      </w:rPr>
    </w:lvl>
    <w:lvl w:ilvl="5">
      <w:start w:val="0"/>
      <w:numFmt w:val="bullet"/>
      <w:lvlText w:val="•"/>
      <w:lvlJc w:val="left"/>
      <w:pPr>
        <w:ind w:left="6222" w:hanging="567"/>
      </w:pPr>
      <w:rPr>
        <w:rFonts w:hint="default"/>
        <w:lang w:val="en-us" w:eastAsia="en-us" w:bidi="en-us"/>
      </w:rPr>
    </w:lvl>
    <w:lvl w:ilvl="6">
      <w:start w:val="0"/>
      <w:numFmt w:val="bullet"/>
      <w:lvlText w:val="•"/>
      <w:lvlJc w:val="left"/>
      <w:pPr>
        <w:ind w:left="7159" w:hanging="567"/>
      </w:pPr>
      <w:rPr>
        <w:rFonts w:hint="default"/>
        <w:lang w:val="en-us" w:eastAsia="en-us" w:bidi="en-us"/>
      </w:rPr>
    </w:lvl>
    <w:lvl w:ilvl="7">
      <w:start w:val="0"/>
      <w:numFmt w:val="bullet"/>
      <w:lvlText w:val="•"/>
      <w:lvlJc w:val="left"/>
      <w:pPr>
        <w:ind w:left="8095" w:hanging="567"/>
      </w:pPr>
      <w:rPr>
        <w:rFonts w:hint="default"/>
        <w:lang w:val="en-us" w:eastAsia="en-us" w:bidi="en-us"/>
      </w:rPr>
    </w:lvl>
    <w:lvl w:ilvl="8">
      <w:start w:val="0"/>
      <w:numFmt w:val="bullet"/>
      <w:lvlText w:val="•"/>
      <w:lvlJc w:val="left"/>
      <w:pPr>
        <w:ind w:left="9032" w:hanging="567"/>
      </w:pPr>
      <w:rPr>
        <w:rFonts w:hint="default"/>
        <w:lang w:val="en-us" w:eastAsia="en-us" w:bidi="en-us"/>
      </w:rPr>
    </w:lvl>
  </w:abstractNum>
  <w:abstractNum w:abstractNumId="19">
    <w:multiLevelType w:val="hybridMultilevel"/>
    <w:lvl w:ilvl="0">
      <w:start w:val="58"/>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18">
    <w:multiLevelType w:val="hybridMultilevel"/>
    <w:lvl w:ilvl="0">
      <w:start w:val="53"/>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17">
    <w:multiLevelType w:val="hybridMultilevel"/>
    <w:lvl w:ilvl="0">
      <w:start w:val="1"/>
      <w:numFmt w:val="decimal"/>
      <w:lvlText w:val="%1)"/>
      <w:lvlJc w:val="left"/>
      <w:pPr>
        <w:ind w:left="2157" w:hanging="397"/>
        <w:jc w:val="left"/>
      </w:pPr>
      <w:rPr>
        <w:rFonts w:hint="default" w:ascii="Raleway" w:hAnsi="Raleway" w:eastAsia="Raleway" w:cs="Raleway"/>
        <w:spacing w:val="-5"/>
        <w:w w:val="97"/>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16">
    <w:multiLevelType w:val="hybridMultilevel"/>
    <w:lvl w:ilvl="0">
      <w:start w:val="15"/>
      <w:numFmt w:val="decimal"/>
      <w:lvlText w:val="%1"/>
      <w:lvlJc w:val="left"/>
      <w:pPr>
        <w:ind w:left="1761" w:hanging="794"/>
        <w:jc w:val="left"/>
      </w:pPr>
      <w:rPr>
        <w:rFonts w:hint="default" w:ascii="Raleway" w:hAnsi="Raleway" w:eastAsia="Raleway" w:cs="Raleway"/>
        <w:spacing w:val="0"/>
        <w:w w:val="100"/>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15">
    <w:multiLevelType w:val="hybridMultilevel"/>
    <w:lvl w:ilvl="0">
      <w:start w:val="1"/>
      <w:numFmt w:val="decimal"/>
      <w:lvlText w:val="%1"/>
      <w:lvlJc w:val="left"/>
      <w:pPr>
        <w:ind w:left="1761" w:hanging="794"/>
        <w:jc w:val="left"/>
      </w:pPr>
      <w:rPr>
        <w:rFonts w:hint="default" w:ascii="Raleway" w:hAnsi="Raleway" w:eastAsia="Raleway" w:cs="Raleway"/>
        <w:spacing w:val="-8"/>
        <w:w w:val="91"/>
        <w:sz w:val="13"/>
        <w:szCs w:val="13"/>
        <w:lang w:val="en-us" w:eastAsia="en-us" w:bidi="en-us"/>
      </w:rPr>
    </w:lvl>
    <w:lvl w:ilvl="1">
      <w:start w:val="0"/>
      <w:numFmt w:val="bullet"/>
      <w:lvlText w:val="•"/>
      <w:lvlJc w:val="left"/>
      <w:pPr>
        <w:ind w:left="2020" w:hanging="794"/>
      </w:pPr>
      <w:rPr>
        <w:rFonts w:hint="default"/>
        <w:lang w:val="en-us" w:eastAsia="en-us" w:bidi="en-us"/>
      </w:rPr>
    </w:lvl>
    <w:lvl w:ilvl="2">
      <w:start w:val="0"/>
      <w:numFmt w:val="bullet"/>
      <w:lvlText w:val="•"/>
      <w:lvlJc w:val="left"/>
      <w:pPr>
        <w:ind w:left="3007" w:hanging="794"/>
      </w:pPr>
      <w:rPr>
        <w:rFonts w:hint="default"/>
        <w:lang w:val="en-us" w:eastAsia="en-us" w:bidi="en-us"/>
      </w:rPr>
    </w:lvl>
    <w:lvl w:ilvl="3">
      <w:start w:val="0"/>
      <w:numFmt w:val="bullet"/>
      <w:lvlText w:val="•"/>
      <w:lvlJc w:val="left"/>
      <w:pPr>
        <w:ind w:left="3994" w:hanging="794"/>
      </w:pPr>
      <w:rPr>
        <w:rFonts w:hint="default"/>
        <w:lang w:val="en-us" w:eastAsia="en-us" w:bidi="en-us"/>
      </w:rPr>
    </w:lvl>
    <w:lvl w:ilvl="4">
      <w:start w:val="0"/>
      <w:numFmt w:val="bullet"/>
      <w:lvlText w:val="•"/>
      <w:lvlJc w:val="left"/>
      <w:pPr>
        <w:ind w:left="4981" w:hanging="794"/>
      </w:pPr>
      <w:rPr>
        <w:rFonts w:hint="default"/>
        <w:lang w:val="en-us" w:eastAsia="en-us" w:bidi="en-us"/>
      </w:rPr>
    </w:lvl>
    <w:lvl w:ilvl="5">
      <w:start w:val="0"/>
      <w:numFmt w:val="bullet"/>
      <w:lvlText w:val="•"/>
      <w:lvlJc w:val="left"/>
      <w:pPr>
        <w:ind w:left="5969" w:hanging="794"/>
      </w:pPr>
      <w:rPr>
        <w:rFonts w:hint="default"/>
        <w:lang w:val="en-us" w:eastAsia="en-us" w:bidi="en-us"/>
      </w:rPr>
    </w:lvl>
    <w:lvl w:ilvl="6">
      <w:start w:val="0"/>
      <w:numFmt w:val="bullet"/>
      <w:lvlText w:val="•"/>
      <w:lvlJc w:val="left"/>
      <w:pPr>
        <w:ind w:left="6956" w:hanging="794"/>
      </w:pPr>
      <w:rPr>
        <w:rFonts w:hint="default"/>
        <w:lang w:val="en-us" w:eastAsia="en-us" w:bidi="en-us"/>
      </w:rPr>
    </w:lvl>
    <w:lvl w:ilvl="7">
      <w:start w:val="0"/>
      <w:numFmt w:val="bullet"/>
      <w:lvlText w:val="•"/>
      <w:lvlJc w:val="left"/>
      <w:pPr>
        <w:ind w:left="7943" w:hanging="794"/>
      </w:pPr>
      <w:rPr>
        <w:rFonts w:hint="default"/>
        <w:lang w:val="en-us" w:eastAsia="en-us" w:bidi="en-us"/>
      </w:rPr>
    </w:lvl>
    <w:lvl w:ilvl="8">
      <w:start w:val="0"/>
      <w:numFmt w:val="bullet"/>
      <w:lvlText w:val="•"/>
      <w:lvlJc w:val="left"/>
      <w:pPr>
        <w:ind w:left="8930" w:hanging="794"/>
      </w:pPr>
      <w:rPr>
        <w:rFonts w:hint="default"/>
        <w:lang w:val="en-us" w:eastAsia="en-us" w:bidi="en-us"/>
      </w:rPr>
    </w:lvl>
  </w:abstractNum>
  <w:abstractNum w:abstractNumId="14">
    <w:multiLevelType w:val="hybridMultilevel"/>
    <w:lvl w:ilvl="0">
      <w:start w:val="0"/>
      <w:numFmt w:val="bullet"/>
      <w:lvlText w:val="•"/>
      <w:lvlJc w:val="left"/>
      <w:pPr>
        <w:ind w:left="2157" w:hanging="397"/>
      </w:pPr>
      <w:rPr>
        <w:rFonts w:hint="default" w:ascii="Raleway" w:hAnsi="Raleway" w:eastAsia="Raleway" w:cs="Raleway"/>
        <w:w w:val="101"/>
        <w:sz w:val="20"/>
        <w:szCs w:val="20"/>
        <w:lang w:val="en-us" w:eastAsia="en-us" w:bidi="en-us"/>
      </w:rPr>
    </w:lvl>
    <w:lvl w:ilvl="1">
      <w:start w:val="0"/>
      <w:numFmt w:val="bullet"/>
      <w:lvlText w:val="•"/>
      <w:lvlJc w:val="left"/>
      <w:pPr>
        <w:ind w:left="3034" w:hanging="397"/>
      </w:pPr>
      <w:rPr>
        <w:rFonts w:hint="default"/>
        <w:lang w:val="en-us" w:eastAsia="en-us" w:bidi="en-us"/>
      </w:rPr>
    </w:lvl>
    <w:lvl w:ilvl="2">
      <w:start w:val="0"/>
      <w:numFmt w:val="bullet"/>
      <w:lvlText w:val="•"/>
      <w:lvlJc w:val="left"/>
      <w:pPr>
        <w:ind w:left="3909" w:hanging="397"/>
      </w:pPr>
      <w:rPr>
        <w:rFonts w:hint="default"/>
        <w:lang w:val="en-us" w:eastAsia="en-us" w:bidi="en-us"/>
      </w:rPr>
    </w:lvl>
    <w:lvl w:ilvl="3">
      <w:start w:val="0"/>
      <w:numFmt w:val="bullet"/>
      <w:lvlText w:val="•"/>
      <w:lvlJc w:val="left"/>
      <w:pPr>
        <w:ind w:left="4783" w:hanging="397"/>
      </w:pPr>
      <w:rPr>
        <w:rFonts w:hint="default"/>
        <w:lang w:val="en-us" w:eastAsia="en-us" w:bidi="en-us"/>
      </w:rPr>
    </w:lvl>
    <w:lvl w:ilvl="4">
      <w:start w:val="0"/>
      <w:numFmt w:val="bullet"/>
      <w:lvlText w:val="•"/>
      <w:lvlJc w:val="left"/>
      <w:pPr>
        <w:ind w:left="5658" w:hanging="397"/>
      </w:pPr>
      <w:rPr>
        <w:rFonts w:hint="default"/>
        <w:lang w:val="en-us" w:eastAsia="en-us" w:bidi="en-us"/>
      </w:rPr>
    </w:lvl>
    <w:lvl w:ilvl="5">
      <w:start w:val="0"/>
      <w:numFmt w:val="bullet"/>
      <w:lvlText w:val="•"/>
      <w:lvlJc w:val="left"/>
      <w:pPr>
        <w:ind w:left="6532" w:hanging="397"/>
      </w:pPr>
      <w:rPr>
        <w:rFonts w:hint="default"/>
        <w:lang w:val="en-us" w:eastAsia="en-us" w:bidi="en-us"/>
      </w:rPr>
    </w:lvl>
    <w:lvl w:ilvl="6">
      <w:start w:val="0"/>
      <w:numFmt w:val="bullet"/>
      <w:lvlText w:val="•"/>
      <w:lvlJc w:val="left"/>
      <w:pPr>
        <w:ind w:left="7407" w:hanging="397"/>
      </w:pPr>
      <w:rPr>
        <w:rFonts w:hint="default"/>
        <w:lang w:val="en-us" w:eastAsia="en-us" w:bidi="en-us"/>
      </w:rPr>
    </w:lvl>
    <w:lvl w:ilvl="7">
      <w:start w:val="0"/>
      <w:numFmt w:val="bullet"/>
      <w:lvlText w:val="•"/>
      <w:lvlJc w:val="left"/>
      <w:pPr>
        <w:ind w:left="8281" w:hanging="397"/>
      </w:pPr>
      <w:rPr>
        <w:rFonts w:hint="default"/>
        <w:lang w:val="en-us" w:eastAsia="en-us" w:bidi="en-us"/>
      </w:rPr>
    </w:lvl>
    <w:lvl w:ilvl="8">
      <w:start w:val="0"/>
      <w:numFmt w:val="bullet"/>
      <w:lvlText w:val="•"/>
      <w:lvlJc w:val="left"/>
      <w:pPr>
        <w:ind w:left="9156" w:hanging="397"/>
      </w:pPr>
      <w:rPr>
        <w:rFonts w:hint="default"/>
        <w:lang w:val="en-us" w:eastAsia="en-us" w:bidi="en-us"/>
      </w:rPr>
    </w:lvl>
  </w:abstractNum>
  <w:abstractNum w:abstractNumId="12">
    <w:multiLevelType w:val="hybridMultilevel"/>
    <w:lvl w:ilvl="0">
      <w:start w:val="1"/>
      <w:numFmt w:val="decimal"/>
      <w:lvlText w:val="%1"/>
      <w:lvlJc w:val="left"/>
      <w:pPr>
        <w:ind w:left="1761" w:hanging="794"/>
        <w:jc w:val="left"/>
      </w:pPr>
      <w:rPr>
        <w:rFonts w:hint="default" w:ascii="Raleway" w:hAnsi="Raleway" w:eastAsia="Raleway" w:cs="Raleway"/>
        <w:spacing w:val="-1"/>
        <w:w w:val="97"/>
        <w:sz w:val="13"/>
        <w:szCs w:val="13"/>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11">
    <w:multiLevelType w:val="hybridMultilevel"/>
    <w:lvl w:ilvl="0">
      <w:start w:val="1"/>
      <w:numFmt w:val="decimal"/>
      <w:lvlText w:val="%1."/>
      <w:lvlJc w:val="left"/>
      <w:pPr>
        <w:ind w:left="772" w:hanging="571"/>
        <w:jc w:val="left"/>
      </w:pPr>
      <w:rPr>
        <w:rFonts w:hint="default" w:ascii="Raleway ExtraBold" w:hAnsi="Raleway ExtraBold" w:eastAsia="Raleway ExtraBold" w:cs="Raleway ExtraBold"/>
        <w:b/>
        <w:bCs/>
        <w:color w:val="37617A"/>
        <w:spacing w:val="-10"/>
        <w:w w:val="100"/>
        <w:sz w:val="56"/>
        <w:szCs w:val="56"/>
        <w:lang w:val="en-us" w:eastAsia="en-us" w:bidi="en-us"/>
      </w:rPr>
    </w:lvl>
    <w:lvl w:ilvl="1">
      <w:start w:val="1"/>
      <w:numFmt w:val="decimal"/>
      <w:lvlText w:val="%1.%2"/>
      <w:lvlJc w:val="left"/>
      <w:pPr>
        <w:ind w:left="1761" w:hanging="794"/>
        <w:jc w:val="left"/>
      </w:pPr>
      <w:rPr>
        <w:rFonts w:hint="default" w:ascii="Raleway" w:hAnsi="Raleway" w:eastAsia="Raleway" w:cs="Raleway"/>
        <w:spacing w:val="-11"/>
        <w:w w:val="91"/>
        <w:sz w:val="20"/>
        <w:szCs w:val="20"/>
        <w:lang w:val="en-us" w:eastAsia="en-us" w:bidi="en-us"/>
      </w:rPr>
    </w:lvl>
    <w:lvl w:ilvl="2">
      <w:start w:val="0"/>
      <w:numFmt w:val="bullet"/>
      <w:lvlText w:val="•"/>
      <w:lvlJc w:val="left"/>
      <w:pPr>
        <w:ind w:left="2157" w:hanging="397"/>
      </w:pPr>
      <w:rPr>
        <w:rFonts w:hint="default" w:ascii="Raleway" w:hAnsi="Raleway" w:eastAsia="Raleway" w:cs="Raleway"/>
        <w:w w:val="101"/>
        <w:sz w:val="20"/>
        <w:szCs w:val="20"/>
        <w:lang w:val="en-us" w:eastAsia="en-us" w:bidi="en-us"/>
      </w:rPr>
    </w:lvl>
    <w:lvl w:ilvl="3">
      <w:start w:val="0"/>
      <w:numFmt w:val="bullet"/>
      <w:lvlText w:val="-"/>
      <w:lvlJc w:val="left"/>
      <w:pPr>
        <w:ind w:left="2498" w:hanging="397"/>
      </w:pPr>
      <w:rPr>
        <w:rFonts w:hint="default" w:ascii="Raleway" w:hAnsi="Raleway" w:eastAsia="Raleway" w:cs="Raleway"/>
        <w:w w:val="100"/>
        <w:sz w:val="20"/>
        <w:szCs w:val="20"/>
        <w:lang w:val="en-us" w:eastAsia="en-us" w:bidi="en-us"/>
      </w:rPr>
    </w:lvl>
    <w:lvl w:ilvl="4">
      <w:start w:val="0"/>
      <w:numFmt w:val="bullet"/>
      <w:lvlText w:val="•"/>
      <w:lvlJc w:val="left"/>
      <w:pPr>
        <w:ind w:left="2500" w:hanging="397"/>
      </w:pPr>
      <w:rPr>
        <w:rFonts w:hint="default"/>
        <w:lang w:val="en-us" w:eastAsia="en-us" w:bidi="en-us"/>
      </w:rPr>
    </w:lvl>
    <w:lvl w:ilvl="5">
      <w:start w:val="0"/>
      <w:numFmt w:val="bullet"/>
      <w:lvlText w:val="•"/>
      <w:lvlJc w:val="left"/>
      <w:pPr>
        <w:ind w:left="2520" w:hanging="397"/>
      </w:pPr>
      <w:rPr>
        <w:rFonts w:hint="default"/>
        <w:lang w:val="en-us" w:eastAsia="en-us" w:bidi="en-us"/>
      </w:rPr>
    </w:lvl>
    <w:lvl w:ilvl="6">
      <w:start w:val="0"/>
      <w:numFmt w:val="bullet"/>
      <w:lvlText w:val="•"/>
      <w:lvlJc w:val="left"/>
      <w:pPr>
        <w:ind w:left="4197" w:hanging="397"/>
      </w:pPr>
      <w:rPr>
        <w:rFonts w:hint="default"/>
        <w:lang w:val="en-us" w:eastAsia="en-us" w:bidi="en-us"/>
      </w:rPr>
    </w:lvl>
    <w:lvl w:ilvl="7">
      <w:start w:val="0"/>
      <w:numFmt w:val="bullet"/>
      <w:lvlText w:val="•"/>
      <w:lvlJc w:val="left"/>
      <w:pPr>
        <w:ind w:left="5874" w:hanging="397"/>
      </w:pPr>
      <w:rPr>
        <w:rFonts w:hint="default"/>
        <w:lang w:val="en-us" w:eastAsia="en-us" w:bidi="en-us"/>
      </w:rPr>
    </w:lvl>
    <w:lvl w:ilvl="8">
      <w:start w:val="0"/>
      <w:numFmt w:val="bullet"/>
      <w:lvlText w:val="•"/>
      <w:lvlJc w:val="left"/>
      <w:pPr>
        <w:ind w:left="7551" w:hanging="397"/>
      </w:pPr>
      <w:rPr>
        <w:rFonts w:hint="default"/>
        <w:lang w:val="en-us" w:eastAsia="en-us" w:bidi="en-us"/>
      </w:rPr>
    </w:lvl>
  </w:abstractNum>
  <w:abstractNum w:abstractNumId="10">
    <w:multiLevelType w:val="hybridMultilevel"/>
    <w:lvl w:ilvl="0">
      <w:start w:val="3"/>
      <w:numFmt w:val="decimal"/>
      <w:lvlText w:val="%1"/>
      <w:lvlJc w:val="left"/>
      <w:pPr>
        <w:ind w:left="1534" w:hanging="567"/>
        <w:jc w:val="left"/>
      </w:pPr>
      <w:rPr>
        <w:rFonts w:hint="default" w:ascii="Raleway" w:hAnsi="Raleway" w:eastAsia="Raleway" w:cs="Raleway"/>
        <w:b/>
        <w:bCs/>
        <w:color w:val="FFFFFF"/>
        <w:spacing w:val="-6"/>
        <w:w w:val="100"/>
        <w:sz w:val="24"/>
        <w:szCs w:val="24"/>
        <w:lang w:val="en-us" w:eastAsia="en-us" w:bidi="en-us"/>
      </w:rPr>
    </w:lvl>
    <w:lvl w:ilvl="1">
      <w:start w:val="0"/>
      <w:numFmt w:val="bullet"/>
      <w:lvlText w:val="•"/>
      <w:lvlJc w:val="left"/>
      <w:pPr>
        <w:ind w:left="2476" w:hanging="567"/>
      </w:pPr>
      <w:rPr>
        <w:rFonts w:hint="default"/>
        <w:lang w:val="en-us" w:eastAsia="en-us" w:bidi="en-us"/>
      </w:rPr>
    </w:lvl>
    <w:lvl w:ilvl="2">
      <w:start w:val="0"/>
      <w:numFmt w:val="bullet"/>
      <w:lvlText w:val="•"/>
      <w:lvlJc w:val="left"/>
      <w:pPr>
        <w:ind w:left="3413" w:hanging="567"/>
      </w:pPr>
      <w:rPr>
        <w:rFonts w:hint="default"/>
        <w:lang w:val="en-us" w:eastAsia="en-us" w:bidi="en-us"/>
      </w:rPr>
    </w:lvl>
    <w:lvl w:ilvl="3">
      <w:start w:val="0"/>
      <w:numFmt w:val="bullet"/>
      <w:lvlText w:val="•"/>
      <w:lvlJc w:val="left"/>
      <w:pPr>
        <w:ind w:left="4349" w:hanging="567"/>
      </w:pPr>
      <w:rPr>
        <w:rFonts w:hint="default"/>
        <w:lang w:val="en-us" w:eastAsia="en-us" w:bidi="en-us"/>
      </w:rPr>
    </w:lvl>
    <w:lvl w:ilvl="4">
      <w:start w:val="0"/>
      <w:numFmt w:val="bullet"/>
      <w:lvlText w:val="•"/>
      <w:lvlJc w:val="left"/>
      <w:pPr>
        <w:ind w:left="5286" w:hanging="567"/>
      </w:pPr>
      <w:rPr>
        <w:rFonts w:hint="default"/>
        <w:lang w:val="en-us" w:eastAsia="en-us" w:bidi="en-us"/>
      </w:rPr>
    </w:lvl>
    <w:lvl w:ilvl="5">
      <w:start w:val="0"/>
      <w:numFmt w:val="bullet"/>
      <w:lvlText w:val="•"/>
      <w:lvlJc w:val="left"/>
      <w:pPr>
        <w:ind w:left="6222" w:hanging="567"/>
      </w:pPr>
      <w:rPr>
        <w:rFonts w:hint="default"/>
        <w:lang w:val="en-us" w:eastAsia="en-us" w:bidi="en-us"/>
      </w:rPr>
    </w:lvl>
    <w:lvl w:ilvl="6">
      <w:start w:val="0"/>
      <w:numFmt w:val="bullet"/>
      <w:lvlText w:val="•"/>
      <w:lvlJc w:val="left"/>
      <w:pPr>
        <w:ind w:left="7159" w:hanging="567"/>
      </w:pPr>
      <w:rPr>
        <w:rFonts w:hint="default"/>
        <w:lang w:val="en-us" w:eastAsia="en-us" w:bidi="en-us"/>
      </w:rPr>
    </w:lvl>
    <w:lvl w:ilvl="7">
      <w:start w:val="0"/>
      <w:numFmt w:val="bullet"/>
      <w:lvlText w:val="•"/>
      <w:lvlJc w:val="left"/>
      <w:pPr>
        <w:ind w:left="8095" w:hanging="567"/>
      </w:pPr>
      <w:rPr>
        <w:rFonts w:hint="default"/>
        <w:lang w:val="en-us" w:eastAsia="en-us" w:bidi="en-us"/>
      </w:rPr>
    </w:lvl>
    <w:lvl w:ilvl="8">
      <w:start w:val="0"/>
      <w:numFmt w:val="bullet"/>
      <w:lvlText w:val="•"/>
      <w:lvlJc w:val="left"/>
      <w:pPr>
        <w:ind w:left="9032" w:hanging="567"/>
      </w:pPr>
      <w:rPr>
        <w:rFonts w:hint="default"/>
        <w:lang w:val="en-us" w:eastAsia="en-us" w:bidi="en-us"/>
      </w:rPr>
    </w:lvl>
  </w:abstractNum>
  <w:abstractNum w:abstractNumId="9">
    <w:multiLevelType w:val="hybridMultilevel"/>
    <w:lvl w:ilvl="0">
      <w:start w:val="1"/>
      <w:numFmt w:val="decimal"/>
      <w:lvlText w:val="%1."/>
      <w:lvlJc w:val="left"/>
      <w:pPr>
        <w:ind w:left="1774" w:hanging="794"/>
        <w:jc w:val="right"/>
      </w:pPr>
      <w:rPr>
        <w:rFonts w:hint="default" w:ascii="Raleway" w:hAnsi="Raleway" w:eastAsia="Raleway" w:cs="Raleway"/>
        <w:spacing w:val="-14"/>
        <w:w w:val="91"/>
        <w:sz w:val="20"/>
        <w:szCs w:val="20"/>
        <w:lang w:val="en-us" w:eastAsia="en-us" w:bidi="en-us"/>
      </w:rPr>
    </w:lvl>
    <w:lvl w:ilvl="1">
      <w:start w:val="0"/>
      <w:numFmt w:val="bullet"/>
      <w:lvlText w:val="•"/>
      <w:lvlJc w:val="left"/>
      <w:pPr>
        <w:ind w:left="2157" w:hanging="397"/>
      </w:pPr>
      <w:rPr>
        <w:rFonts w:hint="default" w:ascii="Raleway" w:hAnsi="Raleway" w:eastAsia="Raleway" w:cs="Raleway"/>
        <w:w w:val="101"/>
        <w:sz w:val="20"/>
        <w:szCs w:val="20"/>
        <w:lang w:val="en-us" w:eastAsia="en-us" w:bidi="en-us"/>
      </w:rPr>
    </w:lvl>
    <w:lvl w:ilvl="2">
      <w:start w:val="0"/>
      <w:numFmt w:val="bullet"/>
      <w:lvlText w:val="•"/>
      <w:lvlJc w:val="left"/>
      <w:pPr>
        <w:ind w:left="3131" w:hanging="397"/>
      </w:pPr>
      <w:rPr>
        <w:rFonts w:hint="default"/>
        <w:lang w:val="en-us" w:eastAsia="en-us" w:bidi="en-us"/>
      </w:rPr>
    </w:lvl>
    <w:lvl w:ilvl="3">
      <w:start w:val="0"/>
      <w:numFmt w:val="bullet"/>
      <w:lvlText w:val="•"/>
      <w:lvlJc w:val="left"/>
      <w:pPr>
        <w:ind w:left="4103" w:hanging="397"/>
      </w:pPr>
      <w:rPr>
        <w:rFonts w:hint="default"/>
        <w:lang w:val="en-us" w:eastAsia="en-us" w:bidi="en-us"/>
      </w:rPr>
    </w:lvl>
    <w:lvl w:ilvl="4">
      <w:start w:val="0"/>
      <w:numFmt w:val="bullet"/>
      <w:lvlText w:val="•"/>
      <w:lvlJc w:val="left"/>
      <w:pPr>
        <w:ind w:left="5075" w:hanging="397"/>
      </w:pPr>
      <w:rPr>
        <w:rFonts w:hint="default"/>
        <w:lang w:val="en-us" w:eastAsia="en-us" w:bidi="en-us"/>
      </w:rPr>
    </w:lvl>
    <w:lvl w:ilvl="5">
      <w:start w:val="0"/>
      <w:numFmt w:val="bullet"/>
      <w:lvlText w:val="•"/>
      <w:lvlJc w:val="left"/>
      <w:pPr>
        <w:ind w:left="6046" w:hanging="397"/>
      </w:pPr>
      <w:rPr>
        <w:rFonts w:hint="default"/>
        <w:lang w:val="en-us" w:eastAsia="en-us" w:bidi="en-us"/>
      </w:rPr>
    </w:lvl>
    <w:lvl w:ilvl="6">
      <w:start w:val="0"/>
      <w:numFmt w:val="bullet"/>
      <w:lvlText w:val="•"/>
      <w:lvlJc w:val="left"/>
      <w:pPr>
        <w:ind w:left="7018" w:hanging="397"/>
      </w:pPr>
      <w:rPr>
        <w:rFonts w:hint="default"/>
        <w:lang w:val="en-us" w:eastAsia="en-us" w:bidi="en-us"/>
      </w:rPr>
    </w:lvl>
    <w:lvl w:ilvl="7">
      <w:start w:val="0"/>
      <w:numFmt w:val="bullet"/>
      <w:lvlText w:val="•"/>
      <w:lvlJc w:val="left"/>
      <w:pPr>
        <w:ind w:left="7990" w:hanging="397"/>
      </w:pPr>
      <w:rPr>
        <w:rFonts w:hint="default"/>
        <w:lang w:val="en-us" w:eastAsia="en-us" w:bidi="en-us"/>
      </w:rPr>
    </w:lvl>
    <w:lvl w:ilvl="8">
      <w:start w:val="0"/>
      <w:numFmt w:val="bullet"/>
      <w:lvlText w:val="•"/>
      <w:lvlJc w:val="left"/>
      <w:pPr>
        <w:ind w:left="8962" w:hanging="397"/>
      </w:pPr>
      <w:rPr>
        <w:rFonts w:hint="default"/>
        <w:lang w:val="en-us" w:eastAsia="en-us" w:bidi="en-us"/>
      </w:rPr>
    </w:lvl>
  </w:abstractNum>
  <w:abstractNum w:abstractNumId="8">
    <w:multiLevelType w:val="hybridMultilevel"/>
    <w:lvl w:ilvl="0">
      <w:start w:val="26"/>
      <w:numFmt w:val="decimal"/>
      <w:lvlText w:val="%1"/>
      <w:lvlJc w:val="left"/>
      <w:pPr>
        <w:ind w:left="1771" w:hanging="794"/>
        <w:jc w:val="left"/>
      </w:pPr>
      <w:rPr>
        <w:rFonts w:hint="default" w:ascii="Raleway" w:hAnsi="Raleway" w:eastAsia="Raleway" w:cs="Raleway"/>
        <w:spacing w:val="-2"/>
        <w:w w:val="101"/>
        <w:sz w:val="20"/>
        <w:szCs w:val="20"/>
        <w:lang w:val="en-us" w:eastAsia="en-us" w:bidi="en-us"/>
      </w:rPr>
    </w:lvl>
    <w:lvl w:ilvl="1">
      <w:start w:val="0"/>
      <w:numFmt w:val="bullet"/>
      <w:lvlText w:val="•"/>
      <w:lvlJc w:val="left"/>
      <w:pPr>
        <w:ind w:left="2168" w:hanging="397"/>
      </w:pPr>
      <w:rPr>
        <w:rFonts w:hint="default" w:ascii="Raleway" w:hAnsi="Raleway" w:eastAsia="Raleway" w:cs="Raleway"/>
        <w:w w:val="101"/>
        <w:sz w:val="20"/>
        <w:szCs w:val="20"/>
        <w:lang w:val="en-us" w:eastAsia="en-us" w:bidi="en-us"/>
      </w:rPr>
    </w:lvl>
    <w:lvl w:ilvl="2">
      <w:start w:val="0"/>
      <w:numFmt w:val="bullet"/>
      <w:lvlText w:val="•"/>
      <w:lvlJc w:val="left"/>
      <w:pPr>
        <w:ind w:left="3131" w:hanging="397"/>
      </w:pPr>
      <w:rPr>
        <w:rFonts w:hint="default"/>
        <w:lang w:val="en-us" w:eastAsia="en-us" w:bidi="en-us"/>
      </w:rPr>
    </w:lvl>
    <w:lvl w:ilvl="3">
      <w:start w:val="0"/>
      <w:numFmt w:val="bullet"/>
      <w:lvlText w:val="•"/>
      <w:lvlJc w:val="left"/>
      <w:pPr>
        <w:ind w:left="4103" w:hanging="397"/>
      </w:pPr>
      <w:rPr>
        <w:rFonts w:hint="default"/>
        <w:lang w:val="en-us" w:eastAsia="en-us" w:bidi="en-us"/>
      </w:rPr>
    </w:lvl>
    <w:lvl w:ilvl="4">
      <w:start w:val="0"/>
      <w:numFmt w:val="bullet"/>
      <w:lvlText w:val="•"/>
      <w:lvlJc w:val="left"/>
      <w:pPr>
        <w:ind w:left="5075" w:hanging="397"/>
      </w:pPr>
      <w:rPr>
        <w:rFonts w:hint="default"/>
        <w:lang w:val="en-us" w:eastAsia="en-us" w:bidi="en-us"/>
      </w:rPr>
    </w:lvl>
    <w:lvl w:ilvl="5">
      <w:start w:val="0"/>
      <w:numFmt w:val="bullet"/>
      <w:lvlText w:val="•"/>
      <w:lvlJc w:val="left"/>
      <w:pPr>
        <w:ind w:left="6046" w:hanging="397"/>
      </w:pPr>
      <w:rPr>
        <w:rFonts w:hint="default"/>
        <w:lang w:val="en-us" w:eastAsia="en-us" w:bidi="en-us"/>
      </w:rPr>
    </w:lvl>
    <w:lvl w:ilvl="6">
      <w:start w:val="0"/>
      <w:numFmt w:val="bullet"/>
      <w:lvlText w:val="•"/>
      <w:lvlJc w:val="left"/>
      <w:pPr>
        <w:ind w:left="7018" w:hanging="397"/>
      </w:pPr>
      <w:rPr>
        <w:rFonts w:hint="default"/>
        <w:lang w:val="en-us" w:eastAsia="en-us" w:bidi="en-us"/>
      </w:rPr>
    </w:lvl>
    <w:lvl w:ilvl="7">
      <w:start w:val="0"/>
      <w:numFmt w:val="bullet"/>
      <w:lvlText w:val="•"/>
      <w:lvlJc w:val="left"/>
      <w:pPr>
        <w:ind w:left="7990" w:hanging="397"/>
      </w:pPr>
      <w:rPr>
        <w:rFonts w:hint="default"/>
        <w:lang w:val="en-us" w:eastAsia="en-us" w:bidi="en-us"/>
      </w:rPr>
    </w:lvl>
    <w:lvl w:ilvl="8">
      <w:start w:val="0"/>
      <w:numFmt w:val="bullet"/>
      <w:lvlText w:val="•"/>
      <w:lvlJc w:val="left"/>
      <w:pPr>
        <w:ind w:left="8962" w:hanging="397"/>
      </w:pPr>
      <w:rPr>
        <w:rFonts w:hint="default"/>
        <w:lang w:val="en-us" w:eastAsia="en-us" w:bidi="en-us"/>
      </w:rPr>
    </w:lvl>
  </w:abstractNum>
  <w:abstractNum w:abstractNumId="7">
    <w:multiLevelType w:val="hybridMultilevel"/>
    <w:lvl w:ilvl="0">
      <w:start w:val="8"/>
      <w:numFmt w:val="decimal"/>
      <w:lvlText w:val="%1"/>
      <w:lvlJc w:val="left"/>
      <w:pPr>
        <w:ind w:left="1761" w:hanging="794"/>
        <w:jc w:val="left"/>
      </w:pPr>
      <w:rPr>
        <w:rFonts w:hint="default" w:ascii="Raleway" w:hAnsi="Raleway" w:eastAsia="Raleway" w:cs="Raleway"/>
        <w:w w:val="100"/>
        <w:sz w:val="13"/>
        <w:szCs w:val="13"/>
        <w:lang w:val="en-us" w:eastAsia="en-us" w:bidi="en-us"/>
      </w:rPr>
    </w:lvl>
    <w:lvl w:ilvl="1">
      <w:start w:val="0"/>
      <w:numFmt w:val="bullet"/>
      <w:lvlText w:val="•"/>
      <w:lvlJc w:val="left"/>
      <w:pPr>
        <w:ind w:left="2462" w:hanging="794"/>
      </w:pPr>
      <w:rPr>
        <w:rFonts w:hint="default"/>
        <w:lang w:val="en-us" w:eastAsia="en-us" w:bidi="en-us"/>
      </w:rPr>
    </w:lvl>
    <w:lvl w:ilvl="2">
      <w:start w:val="0"/>
      <w:numFmt w:val="bullet"/>
      <w:lvlText w:val="•"/>
      <w:lvlJc w:val="left"/>
      <w:pPr>
        <w:ind w:left="3164" w:hanging="794"/>
      </w:pPr>
      <w:rPr>
        <w:rFonts w:hint="default"/>
        <w:lang w:val="en-us" w:eastAsia="en-us" w:bidi="en-us"/>
      </w:rPr>
    </w:lvl>
    <w:lvl w:ilvl="3">
      <w:start w:val="0"/>
      <w:numFmt w:val="bullet"/>
      <w:lvlText w:val="•"/>
      <w:lvlJc w:val="left"/>
      <w:pPr>
        <w:ind w:left="3866" w:hanging="794"/>
      </w:pPr>
      <w:rPr>
        <w:rFonts w:hint="default"/>
        <w:lang w:val="en-us" w:eastAsia="en-us" w:bidi="en-us"/>
      </w:rPr>
    </w:lvl>
    <w:lvl w:ilvl="4">
      <w:start w:val="0"/>
      <w:numFmt w:val="bullet"/>
      <w:lvlText w:val="•"/>
      <w:lvlJc w:val="left"/>
      <w:pPr>
        <w:ind w:left="4569" w:hanging="794"/>
      </w:pPr>
      <w:rPr>
        <w:rFonts w:hint="default"/>
        <w:lang w:val="en-us" w:eastAsia="en-us" w:bidi="en-us"/>
      </w:rPr>
    </w:lvl>
    <w:lvl w:ilvl="5">
      <w:start w:val="0"/>
      <w:numFmt w:val="bullet"/>
      <w:lvlText w:val="•"/>
      <w:lvlJc w:val="left"/>
      <w:pPr>
        <w:ind w:left="5271" w:hanging="794"/>
      </w:pPr>
      <w:rPr>
        <w:rFonts w:hint="default"/>
        <w:lang w:val="en-us" w:eastAsia="en-us" w:bidi="en-us"/>
      </w:rPr>
    </w:lvl>
    <w:lvl w:ilvl="6">
      <w:start w:val="0"/>
      <w:numFmt w:val="bullet"/>
      <w:lvlText w:val="•"/>
      <w:lvlJc w:val="left"/>
      <w:pPr>
        <w:ind w:left="5973" w:hanging="794"/>
      </w:pPr>
      <w:rPr>
        <w:rFonts w:hint="default"/>
        <w:lang w:val="en-us" w:eastAsia="en-us" w:bidi="en-us"/>
      </w:rPr>
    </w:lvl>
    <w:lvl w:ilvl="7">
      <w:start w:val="0"/>
      <w:numFmt w:val="bullet"/>
      <w:lvlText w:val="•"/>
      <w:lvlJc w:val="left"/>
      <w:pPr>
        <w:ind w:left="6676" w:hanging="794"/>
      </w:pPr>
      <w:rPr>
        <w:rFonts w:hint="default"/>
        <w:lang w:val="en-us" w:eastAsia="en-us" w:bidi="en-us"/>
      </w:rPr>
    </w:lvl>
    <w:lvl w:ilvl="8">
      <w:start w:val="0"/>
      <w:numFmt w:val="bullet"/>
      <w:lvlText w:val="•"/>
      <w:lvlJc w:val="left"/>
      <w:pPr>
        <w:ind w:left="7378" w:hanging="794"/>
      </w:pPr>
      <w:rPr>
        <w:rFonts w:hint="default"/>
        <w:lang w:val="en-us" w:eastAsia="en-us" w:bidi="en-us"/>
      </w:rPr>
    </w:lvl>
  </w:abstractNum>
  <w:abstractNum w:abstractNumId="6">
    <w:multiLevelType w:val="hybridMultilevel"/>
    <w:lvl w:ilvl="0">
      <w:start w:val="4"/>
      <w:numFmt w:val="decimal"/>
      <w:lvlText w:val="%1"/>
      <w:lvlJc w:val="left"/>
      <w:pPr>
        <w:ind w:left="893" w:hanging="794"/>
        <w:jc w:val="left"/>
      </w:pPr>
      <w:rPr>
        <w:rFonts w:hint="default" w:ascii="Raleway" w:hAnsi="Raleway" w:eastAsia="Raleway" w:cs="Raleway"/>
        <w:w w:val="99"/>
        <w:sz w:val="13"/>
        <w:szCs w:val="13"/>
        <w:lang w:val="en-us" w:eastAsia="en-us" w:bidi="en-us"/>
      </w:rPr>
    </w:lvl>
    <w:lvl w:ilvl="1">
      <w:start w:val="15"/>
      <w:numFmt w:val="decimal"/>
      <w:lvlText w:val="%2"/>
      <w:lvlJc w:val="left"/>
      <w:pPr>
        <w:ind w:left="1761" w:hanging="794"/>
        <w:jc w:val="left"/>
      </w:pPr>
      <w:rPr>
        <w:rFonts w:hint="default" w:ascii="Raleway" w:hAnsi="Raleway" w:eastAsia="Raleway" w:cs="Raleway"/>
        <w:spacing w:val="0"/>
        <w:w w:val="100"/>
        <w:sz w:val="20"/>
        <w:szCs w:val="20"/>
        <w:lang w:val="en-us" w:eastAsia="en-us" w:bidi="en-us"/>
      </w:rPr>
    </w:lvl>
    <w:lvl w:ilvl="2">
      <w:start w:val="0"/>
      <w:numFmt w:val="bullet"/>
      <w:lvlText w:val="•"/>
      <w:lvlJc w:val="left"/>
      <w:pPr>
        <w:ind w:left="2679" w:hanging="794"/>
      </w:pPr>
      <w:rPr>
        <w:rFonts w:hint="default"/>
        <w:lang w:val="en-us" w:eastAsia="en-us" w:bidi="en-us"/>
      </w:rPr>
    </w:lvl>
    <w:lvl w:ilvl="3">
      <w:start w:val="0"/>
      <w:numFmt w:val="bullet"/>
      <w:lvlText w:val="•"/>
      <w:lvlJc w:val="left"/>
      <w:pPr>
        <w:ind w:left="3599" w:hanging="794"/>
      </w:pPr>
      <w:rPr>
        <w:rFonts w:hint="default"/>
        <w:lang w:val="en-us" w:eastAsia="en-us" w:bidi="en-us"/>
      </w:rPr>
    </w:lvl>
    <w:lvl w:ilvl="4">
      <w:start w:val="0"/>
      <w:numFmt w:val="bullet"/>
      <w:lvlText w:val="•"/>
      <w:lvlJc w:val="left"/>
      <w:pPr>
        <w:ind w:left="4519" w:hanging="794"/>
      </w:pPr>
      <w:rPr>
        <w:rFonts w:hint="default"/>
        <w:lang w:val="en-us" w:eastAsia="en-us" w:bidi="en-us"/>
      </w:rPr>
    </w:lvl>
    <w:lvl w:ilvl="5">
      <w:start w:val="0"/>
      <w:numFmt w:val="bullet"/>
      <w:lvlText w:val="•"/>
      <w:lvlJc w:val="left"/>
      <w:pPr>
        <w:ind w:left="5439" w:hanging="794"/>
      </w:pPr>
      <w:rPr>
        <w:rFonts w:hint="default"/>
        <w:lang w:val="en-us" w:eastAsia="en-us" w:bidi="en-us"/>
      </w:rPr>
    </w:lvl>
    <w:lvl w:ilvl="6">
      <w:start w:val="0"/>
      <w:numFmt w:val="bullet"/>
      <w:lvlText w:val="•"/>
      <w:lvlJc w:val="left"/>
      <w:pPr>
        <w:ind w:left="6358" w:hanging="794"/>
      </w:pPr>
      <w:rPr>
        <w:rFonts w:hint="default"/>
        <w:lang w:val="en-us" w:eastAsia="en-us" w:bidi="en-us"/>
      </w:rPr>
    </w:lvl>
    <w:lvl w:ilvl="7">
      <w:start w:val="0"/>
      <w:numFmt w:val="bullet"/>
      <w:lvlText w:val="•"/>
      <w:lvlJc w:val="left"/>
      <w:pPr>
        <w:ind w:left="7278" w:hanging="794"/>
      </w:pPr>
      <w:rPr>
        <w:rFonts w:hint="default"/>
        <w:lang w:val="en-us" w:eastAsia="en-us" w:bidi="en-us"/>
      </w:rPr>
    </w:lvl>
    <w:lvl w:ilvl="8">
      <w:start w:val="0"/>
      <w:numFmt w:val="bullet"/>
      <w:lvlText w:val="•"/>
      <w:lvlJc w:val="left"/>
      <w:pPr>
        <w:ind w:left="8198" w:hanging="794"/>
      </w:pPr>
      <w:rPr>
        <w:rFonts w:hint="default"/>
        <w:lang w:val="en-us" w:eastAsia="en-us" w:bidi="en-us"/>
      </w:rPr>
    </w:lvl>
  </w:abstractNum>
  <w:abstractNum w:abstractNumId="5">
    <w:multiLevelType w:val="hybridMultilevel"/>
    <w:lvl w:ilvl="0">
      <w:start w:val="5"/>
      <w:numFmt w:val="decimal"/>
      <w:lvlText w:val="%1"/>
      <w:lvlJc w:val="left"/>
      <w:pPr>
        <w:ind w:left="1761" w:hanging="794"/>
        <w:jc w:val="left"/>
      </w:pPr>
      <w:rPr>
        <w:rFonts w:hint="default" w:ascii="Raleway" w:hAnsi="Raleway" w:eastAsia="Raleway" w:cs="Raleway"/>
        <w:w w:val="101"/>
        <w:sz w:val="20"/>
        <w:szCs w:val="20"/>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4">
    <w:multiLevelType w:val="hybridMultilevel"/>
    <w:lvl w:ilvl="0">
      <w:start w:val="1"/>
      <w:numFmt w:val="decimal"/>
      <w:lvlText w:val="%1"/>
      <w:lvlJc w:val="left"/>
      <w:pPr>
        <w:ind w:left="1761" w:hanging="794"/>
        <w:jc w:val="left"/>
      </w:pPr>
      <w:rPr>
        <w:rFonts w:hint="default" w:ascii="Raleway" w:hAnsi="Raleway" w:eastAsia="Raleway" w:cs="Raleway"/>
        <w:spacing w:val="-1"/>
        <w:w w:val="97"/>
        <w:sz w:val="13"/>
        <w:szCs w:val="13"/>
        <w:lang w:val="en-us" w:eastAsia="en-us" w:bidi="en-us"/>
      </w:rPr>
    </w:lvl>
    <w:lvl w:ilvl="1">
      <w:start w:val="0"/>
      <w:numFmt w:val="bullet"/>
      <w:lvlText w:val="•"/>
      <w:lvlJc w:val="left"/>
      <w:pPr>
        <w:ind w:left="2123" w:hanging="794"/>
      </w:pPr>
      <w:rPr>
        <w:rFonts w:hint="default"/>
        <w:lang w:val="en-us" w:eastAsia="en-us" w:bidi="en-us"/>
      </w:rPr>
    </w:lvl>
    <w:lvl w:ilvl="2">
      <w:start w:val="0"/>
      <w:numFmt w:val="bullet"/>
      <w:lvlText w:val="•"/>
      <w:lvlJc w:val="left"/>
      <w:pPr>
        <w:ind w:left="2486" w:hanging="794"/>
      </w:pPr>
      <w:rPr>
        <w:rFonts w:hint="default"/>
        <w:lang w:val="en-us" w:eastAsia="en-us" w:bidi="en-us"/>
      </w:rPr>
    </w:lvl>
    <w:lvl w:ilvl="3">
      <w:start w:val="0"/>
      <w:numFmt w:val="bullet"/>
      <w:lvlText w:val="•"/>
      <w:lvlJc w:val="left"/>
      <w:pPr>
        <w:ind w:left="2850" w:hanging="794"/>
      </w:pPr>
      <w:rPr>
        <w:rFonts w:hint="default"/>
        <w:lang w:val="en-us" w:eastAsia="en-us" w:bidi="en-us"/>
      </w:rPr>
    </w:lvl>
    <w:lvl w:ilvl="4">
      <w:start w:val="0"/>
      <w:numFmt w:val="bullet"/>
      <w:lvlText w:val="•"/>
      <w:lvlJc w:val="left"/>
      <w:pPr>
        <w:ind w:left="3213" w:hanging="794"/>
      </w:pPr>
      <w:rPr>
        <w:rFonts w:hint="default"/>
        <w:lang w:val="en-us" w:eastAsia="en-us" w:bidi="en-us"/>
      </w:rPr>
    </w:lvl>
    <w:lvl w:ilvl="5">
      <w:start w:val="0"/>
      <w:numFmt w:val="bullet"/>
      <w:lvlText w:val="•"/>
      <w:lvlJc w:val="left"/>
      <w:pPr>
        <w:ind w:left="3576" w:hanging="794"/>
      </w:pPr>
      <w:rPr>
        <w:rFonts w:hint="default"/>
        <w:lang w:val="en-us" w:eastAsia="en-us" w:bidi="en-us"/>
      </w:rPr>
    </w:lvl>
    <w:lvl w:ilvl="6">
      <w:start w:val="0"/>
      <w:numFmt w:val="bullet"/>
      <w:lvlText w:val="•"/>
      <w:lvlJc w:val="left"/>
      <w:pPr>
        <w:ind w:left="3939" w:hanging="794"/>
      </w:pPr>
      <w:rPr>
        <w:rFonts w:hint="default"/>
        <w:lang w:val="en-us" w:eastAsia="en-us" w:bidi="en-us"/>
      </w:rPr>
    </w:lvl>
    <w:lvl w:ilvl="7">
      <w:start w:val="0"/>
      <w:numFmt w:val="bullet"/>
      <w:lvlText w:val="•"/>
      <w:lvlJc w:val="left"/>
      <w:pPr>
        <w:ind w:left="4303" w:hanging="794"/>
      </w:pPr>
      <w:rPr>
        <w:rFonts w:hint="default"/>
        <w:lang w:val="en-us" w:eastAsia="en-us" w:bidi="en-us"/>
      </w:rPr>
    </w:lvl>
    <w:lvl w:ilvl="8">
      <w:start w:val="0"/>
      <w:numFmt w:val="bullet"/>
      <w:lvlText w:val="•"/>
      <w:lvlJc w:val="left"/>
      <w:pPr>
        <w:ind w:left="4666" w:hanging="794"/>
      </w:pPr>
      <w:rPr>
        <w:rFonts w:hint="default"/>
        <w:lang w:val="en-us" w:eastAsia="en-us" w:bidi="en-us"/>
      </w:rPr>
    </w:lvl>
  </w:abstractNum>
  <w:abstractNum w:abstractNumId="3">
    <w:multiLevelType w:val="hybridMultilevel"/>
    <w:lvl w:ilvl="0">
      <w:start w:val="1"/>
      <w:numFmt w:val="decimal"/>
      <w:lvlText w:val="%1"/>
      <w:lvlJc w:val="left"/>
      <w:pPr>
        <w:ind w:left="1761" w:hanging="794"/>
        <w:jc w:val="left"/>
      </w:pPr>
      <w:rPr>
        <w:rFonts w:hint="default" w:ascii="Raleway" w:hAnsi="Raleway" w:eastAsia="Raleway" w:cs="Raleway"/>
        <w:spacing w:val="-10"/>
        <w:w w:val="91"/>
        <w:sz w:val="20"/>
        <w:szCs w:val="20"/>
        <w:lang w:val="en-us" w:eastAsia="en-us" w:bidi="en-us"/>
      </w:rPr>
    </w:lvl>
    <w:lvl w:ilvl="1">
      <w:start w:val="0"/>
      <w:numFmt w:val="bullet"/>
      <w:lvlText w:val="•"/>
      <w:lvlJc w:val="left"/>
      <w:pPr>
        <w:ind w:left="2674" w:hanging="794"/>
      </w:pPr>
      <w:rPr>
        <w:rFonts w:hint="default"/>
        <w:lang w:val="en-us" w:eastAsia="en-us" w:bidi="en-us"/>
      </w:rPr>
    </w:lvl>
    <w:lvl w:ilvl="2">
      <w:start w:val="0"/>
      <w:numFmt w:val="bullet"/>
      <w:lvlText w:val="•"/>
      <w:lvlJc w:val="left"/>
      <w:pPr>
        <w:ind w:left="3589" w:hanging="794"/>
      </w:pPr>
      <w:rPr>
        <w:rFonts w:hint="default"/>
        <w:lang w:val="en-us" w:eastAsia="en-us" w:bidi="en-us"/>
      </w:rPr>
    </w:lvl>
    <w:lvl w:ilvl="3">
      <w:start w:val="0"/>
      <w:numFmt w:val="bullet"/>
      <w:lvlText w:val="•"/>
      <w:lvlJc w:val="left"/>
      <w:pPr>
        <w:ind w:left="4503" w:hanging="794"/>
      </w:pPr>
      <w:rPr>
        <w:rFonts w:hint="default"/>
        <w:lang w:val="en-us" w:eastAsia="en-us" w:bidi="en-us"/>
      </w:rPr>
    </w:lvl>
    <w:lvl w:ilvl="4">
      <w:start w:val="0"/>
      <w:numFmt w:val="bullet"/>
      <w:lvlText w:val="•"/>
      <w:lvlJc w:val="left"/>
      <w:pPr>
        <w:ind w:left="5418"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247" w:hanging="794"/>
      </w:pPr>
      <w:rPr>
        <w:rFonts w:hint="default"/>
        <w:lang w:val="en-us" w:eastAsia="en-us" w:bidi="en-us"/>
      </w:rPr>
    </w:lvl>
    <w:lvl w:ilvl="7">
      <w:start w:val="0"/>
      <w:numFmt w:val="bullet"/>
      <w:lvlText w:val="•"/>
      <w:lvlJc w:val="left"/>
      <w:pPr>
        <w:ind w:left="8161" w:hanging="794"/>
      </w:pPr>
      <w:rPr>
        <w:rFonts w:hint="default"/>
        <w:lang w:val="en-us" w:eastAsia="en-us" w:bidi="en-us"/>
      </w:rPr>
    </w:lvl>
    <w:lvl w:ilvl="8">
      <w:start w:val="0"/>
      <w:numFmt w:val="bullet"/>
      <w:lvlText w:val="•"/>
      <w:lvlJc w:val="left"/>
      <w:pPr>
        <w:ind w:left="9076" w:hanging="794"/>
      </w:pPr>
      <w:rPr>
        <w:rFonts w:hint="default"/>
        <w:lang w:val="en-us" w:eastAsia="en-us" w:bidi="en-us"/>
      </w:rPr>
    </w:lvl>
  </w:abstractNum>
  <w:abstractNum w:abstractNumId="2">
    <w:multiLevelType w:val="hybridMultilevel"/>
    <w:lvl w:ilvl="0">
      <w:start w:val="1"/>
      <w:numFmt w:val="decimal"/>
      <w:lvlText w:val="%1"/>
      <w:lvlJc w:val="left"/>
      <w:pPr>
        <w:ind w:left="893" w:hanging="794"/>
        <w:jc w:val="right"/>
      </w:pPr>
      <w:rPr>
        <w:rFonts w:hint="default" w:ascii="Raleway" w:hAnsi="Raleway" w:eastAsia="Raleway" w:cs="Raleway"/>
        <w:spacing w:val="-19"/>
        <w:w w:val="91"/>
        <w:sz w:val="13"/>
        <w:szCs w:val="13"/>
        <w:lang w:val="en-us" w:eastAsia="en-us" w:bidi="en-us"/>
      </w:rPr>
    </w:lvl>
    <w:lvl w:ilvl="1">
      <w:start w:val="0"/>
      <w:numFmt w:val="bullet"/>
      <w:lvlText w:val="•"/>
      <w:lvlJc w:val="left"/>
      <w:pPr>
        <w:ind w:left="1811" w:hanging="794"/>
      </w:pPr>
      <w:rPr>
        <w:rFonts w:hint="default"/>
        <w:lang w:val="en-us" w:eastAsia="en-us" w:bidi="en-us"/>
      </w:rPr>
    </w:lvl>
    <w:lvl w:ilvl="2">
      <w:start w:val="0"/>
      <w:numFmt w:val="bullet"/>
      <w:lvlText w:val="•"/>
      <w:lvlJc w:val="left"/>
      <w:pPr>
        <w:ind w:left="2723" w:hanging="794"/>
      </w:pPr>
      <w:rPr>
        <w:rFonts w:hint="default"/>
        <w:lang w:val="en-us" w:eastAsia="en-us" w:bidi="en-us"/>
      </w:rPr>
    </w:lvl>
    <w:lvl w:ilvl="3">
      <w:start w:val="0"/>
      <w:numFmt w:val="bullet"/>
      <w:lvlText w:val="•"/>
      <w:lvlJc w:val="left"/>
      <w:pPr>
        <w:ind w:left="3635" w:hanging="794"/>
      </w:pPr>
      <w:rPr>
        <w:rFonts w:hint="default"/>
        <w:lang w:val="en-us" w:eastAsia="en-us" w:bidi="en-us"/>
      </w:rPr>
    </w:lvl>
    <w:lvl w:ilvl="4">
      <w:start w:val="0"/>
      <w:numFmt w:val="bullet"/>
      <w:lvlText w:val="•"/>
      <w:lvlJc w:val="left"/>
      <w:pPr>
        <w:ind w:left="4547" w:hanging="794"/>
      </w:pPr>
      <w:rPr>
        <w:rFonts w:hint="default"/>
        <w:lang w:val="en-us" w:eastAsia="en-us" w:bidi="en-us"/>
      </w:rPr>
    </w:lvl>
    <w:lvl w:ilvl="5">
      <w:start w:val="0"/>
      <w:numFmt w:val="bullet"/>
      <w:lvlText w:val="•"/>
      <w:lvlJc w:val="left"/>
      <w:pPr>
        <w:ind w:left="5459" w:hanging="794"/>
      </w:pPr>
      <w:rPr>
        <w:rFonts w:hint="default"/>
        <w:lang w:val="en-us" w:eastAsia="en-us" w:bidi="en-us"/>
      </w:rPr>
    </w:lvl>
    <w:lvl w:ilvl="6">
      <w:start w:val="0"/>
      <w:numFmt w:val="bullet"/>
      <w:lvlText w:val="•"/>
      <w:lvlJc w:val="left"/>
      <w:pPr>
        <w:ind w:left="6371" w:hanging="794"/>
      </w:pPr>
      <w:rPr>
        <w:rFonts w:hint="default"/>
        <w:lang w:val="en-us" w:eastAsia="en-us" w:bidi="en-us"/>
      </w:rPr>
    </w:lvl>
    <w:lvl w:ilvl="7">
      <w:start w:val="0"/>
      <w:numFmt w:val="bullet"/>
      <w:lvlText w:val="•"/>
      <w:lvlJc w:val="left"/>
      <w:pPr>
        <w:ind w:left="7283" w:hanging="794"/>
      </w:pPr>
      <w:rPr>
        <w:rFonts w:hint="default"/>
        <w:lang w:val="en-us" w:eastAsia="en-us" w:bidi="en-us"/>
      </w:rPr>
    </w:lvl>
    <w:lvl w:ilvl="8">
      <w:start w:val="0"/>
      <w:numFmt w:val="bullet"/>
      <w:lvlText w:val="•"/>
      <w:lvlJc w:val="left"/>
      <w:pPr>
        <w:ind w:left="8195" w:hanging="794"/>
      </w:pPr>
      <w:rPr>
        <w:rFonts w:hint="default"/>
        <w:lang w:val="en-us" w:eastAsia="en-us" w:bidi="en-us"/>
      </w:rPr>
    </w:lvl>
  </w:abstractNum>
  <w:num w:numId="99">
    <w:abstractNumId w:val="98"/>
  </w:num>
  <w:num w:numId="93">
    <w:abstractNumId w:val="92"/>
  </w:num>
  <w:num w:numId="91">
    <w:abstractNumId w:val="90"/>
  </w:num>
  <w:num w:numId="38">
    <w:abstractNumId w:val="37"/>
  </w:num>
  <w:num w:numId="14">
    <w:abstractNumId w:val="13"/>
  </w:num>
  <w:num w:numId="2">
    <w:abstractNumId w:val="1"/>
  </w:num>
  <w:num w:numId="1">
    <w:abstractNumId w:val="0"/>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8">
    <w:abstractNumId w:val="97"/>
  </w:num>
  <w:num w:numId="97">
    <w:abstractNumId w:val="96"/>
  </w:num>
  <w:num w:numId="96">
    <w:abstractNumId w:val="95"/>
  </w:num>
  <w:num w:numId="95">
    <w:abstractNumId w:val="94"/>
  </w:num>
  <w:num w:numId="94">
    <w:abstractNumId w:val="93"/>
  </w:num>
  <w:num w:numId="92">
    <w:abstractNumId w:val="91"/>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aleway" w:hAnsi="Raleway" w:eastAsia="Raleway" w:cs="Raleway"/>
      <w:lang w:val="en-us" w:eastAsia="en-us" w:bidi="en-us"/>
    </w:rPr>
  </w:style>
  <w:style w:styleId="TOC1" w:type="paragraph">
    <w:name w:val="TOC 1"/>
    <w:basedOn w:val="Normal"/>
    <w:uiPriority w:val="1"/>
    <w:qFormat/>
    <w:pPr>
      <w:spacing w:before="41"/>
      <w:ind w:left="1307" w:hanging="340"/>
    </w:pPr>
    <w:rPr>
      <w:rFonts w:ascii="Raleway" w:hAnsi="Raleway" w:eastAsia="Raleway" w:cs="Raleway"/>
      <w:b/>
      <w:bCs/>
      <w:sz w:val="20"/>
      <w:szCs w:val="20"/>
      <w:lang w:val="en-us" w:eastAsia="en-us" w:bidi="en-us"/>
    </w:rPr>
  </w:style>
  <w:style w:styleId="TOC2" w:type="paragraph">
    <w:name w:val="TOC 2"/>
    <w:basedOn w:val="Normal"/>
    <w:uiPriority w:val="1"/>
    <w:qFormat/>
    <w:pPr>
      <w:spacing w:before="47"/>
      <w:ind w:left="1534"/>
    </w:pPr>
    <w:rPr>
      <w:rFonts w:ascii="Raleway" w:hAnsi="Raleway" w:eastAsia="Raleway" w:cs="Raleway"/>
      <w:sz w:val="20"/>
      <w:szCs w:val="20"/>
      <w:lang w:val="en-us" w:eastAsia="en-us" w:bidi="en-us"/>
    </w:rPr>
  </w:style>
  <w:style w:styleId="TOC3" w:type="paragraph">
    <w:name w:val="TOC 3"/>
    <w:basedOn w:val="Normal"/>
    <w:uiPriority w:val="1"/>
    <w:qFormat/>
    <w:pPr>
      <w:spacing w:before="41"/>
      <w:ind w:left="1817"/>
    </w:pPr>
    <w:rPr>
      <w:rFonts w:ascii="Raleway" w:hAnsi="Raleway" w:eastAsia="Raleway" w:cs="Raleway"/>
      <w:sz w:val="20"/>
      <w:szCs w:val="20"/>
      <w:lang w:val="en-us" w:eastAsia="en-us" w:bidi="en-us"/>
    </w:rPr>
  </w:style>
  <w:style w:styleId="TOC4" w:type="paragraph">
    <w:name w:val="TOC 4"/>
    <w:basedOn w:val="Normal"/>
    <w:uiPriority w:val="1"/>
    <w:qFormat/>
    <w:pPr>
      <w:spacing w:before="41"/>
      <w:ind w:left="1817"/>
    </w:pPr>
    <w:rPr>
      <w:rFonts w:ascii="Raleway" w:hAnsi="Raleway" w:eastAsia="Raleway" w:cs="Raleway"/>
      <w:b/>
      <w:bCs/>
      <w:i/>
      <w:lang w:val="en-us" w:eastAsia="en-us" w:bidi="en-us"/>
    </w:rPr>
  </w:style>
  <w:style w:styleId="BodyText" w:type="paragraph">
    <w:name w:val="Body Text"/>
    <w:basedOn w:val="Normal"/>
    <w:uiPriority w:val="1"/>
    <w:qFormat/>
    <w:pPr/>
    <w:rPr>
      <w:rFonts w:ascii="Raleway" w:hAnsi="Raleway" w:eastAsia="Raleway" w:cs="Raleway"/>
      <w:sz w:val="20"/>
      <w:szCs w:val="20"/>
      <w:lang w:val="en-us" w:eastAsia="en-us" w:bidi="en-us"/>
    </w:rPr>
  </w:style>
  <w:style w:styleId="Heading1" w:type="paragraph">
    <w:name w:val="Heading 1"/>
    <w:basedOn w:val="Normal"/>
    <w:uiPriority w:val="1"/>
    <w:qFormat/>
    <w:pPr>
      <w:spacing w:before="129"/>
      <w:ind w:left="230"/>
      <w:outlineLvl w:val="1"/>
    </w:pPr>
    <w:rPr>
      <w:rFonts w:ascii="Raleway ExtraBold" w:hAnsi="Raleway ExtraBold" w:eastAsia="Raleway ExtraBold" w:cs="Raleway ExtraBold"/>
      <w:b/>
      <w:bCs/>
      <w:sz w:val="56"/>
      <w:szCs w:val="56"/>
      <w:lang w:val="en-us" w:eastAsia="en-us" w:bidi="en-us"/>
    </w:rPr>
  </w:style>
  <w:style w:styleId="Heading2" w:type="paragraph">
    <w:name w:val="Heading 2"/>
    <w:basedOn w:val="Normal"/>
    <w:uiPriority w:val="1"/>
    <w:qFormat/>
    <w:pPr>
      <w:ind w:left="967"/>
      <w:outlineLvl w:val="2"/>
    </w:pPr>
    <w:rPr>
      <w:rFonts w:ascii="Raleway ExtraBold" w:hAnsi="Raleway ExtraBold" w:eastAsia="Raleway ExtraBold" w:cs="Raleway ExtraBold"/>
      <w:b/>
      <w:bCs/>
      <w:sz w:val="28"/>
      <w:szCs w:val="28"/>
      <w:lang w:val="en-us" w:eastAsia="en-us" w:bidi="en-us"/>
    </w:rPr>
  </w:style>
  <w:style w:styleId="Heading3" w:type="paragraph">
    <w:name w:val="Heading 3"/>
    <w:basedOn w:val="Normal"/>
    <w:uiPriority w:val="1"/>
    <w:qFormat/>
    <w:pPr>
      <w:ind w:left="967"/>
      <w:outlineLvl w:val="3"/>
    </w:pPr>
    <w:rPr>
      <w:rFonts w:ascii="Raleway" w:hAnsi="Raleway" w:eastAsia="Raleway" w:cs="Raleway"/>
      <w:b/>
      <w:bCs/>
      <w:sz w:val="24"/>
      <w:szCs w:val="24"/>
      <w:lang w:val="en-us" w:eastAsia="en-us" w:bidi="en-us"/>
    </w:rPr>
  </w:style>
  <w:style w:styleId="Heading4" w:type="paragraph">
    <w:name w:val="Heading 4"/>
    <w:basedOn w:val="Normal"/>
    <w:uiPriority w:val="1"/>
    <w:qFormat/>
    <w:pPr>
      <w:ind w:left="124"/>
      <w:outlineLvl w:val="4"/>
    </w:pPr>
    <w:rPr>
      <w:rFonts w:ascii="Raleway Light" w:hAnsi="Raleway Light" w:eastAsia="Raleway Light" w:cs="Raleway Light"/>
      <w:sz w:val="24"/>
      <w:szCs w:val="24"/>
      <w:lang w:val="en-us" w:eastAsia="en-us" w:bidi="en-us"/>
    </w:rPr>
  </w:style>
  <w:style w:styleId="Heading5" w:type="paragraph">
    <w:name w:val="Heading 5"/>
    <w:basedOn w:val="Normal"/>
    <w:uiPriority w:val="1"/>
    <w:qFormat/>
    <w:pPr>
      <w:ind w:left="160"/>
      <w:outlineLvl w:val="5"/>
    </w:pPr>
    <w:rPr>
      <w:rFonts w:ascii="Raleway Light" w:hAnsi="Raleway Light" w:eastAsia="Raleway Light" w:cs="Raleway Light"/>
      <w:sz w:val="23"/>
      <w:szCs w:val="23"/>
      <w:lang w:val="en-us" w:eastAsia="en-us" w:bidi="en-us"/>
    </w:rPr>
  </w:style>
  <w:style w:styleId="Heading6" w:type="paragraph">
    <w:name w:val="Heading 6"/>
    <w:basedOn w:val="Normal"/>
    <w:uiPriority w:val="1"/>
    <w:qFormat/>
    <w:pPr>
      <w:spacing w:before="130"/>
      <w:ind w:left="967"/>
      <w:outlineLvl w:val="6"/>
    </w:pPr>
    <w:rPr>
      <w:rFonts w:ascii="Raleway SemiBold" w:hAnsi="Raleway SemiBold" w:eastAsia="Raleway SemiBold" w:cs="Raleway SemiBold"/>
      <w:sz w:val="22"/>
      <w:szCs w:val="22"/>
      <w:lang w:val="en-us" w:eastAsia="en-us" w:bidi="en-us"/>
    </w:rPr>
  </w:style>
  <w:style w:styleId="Heading7" w:type="paragraph">
    <w:name w:val="Heading 7"/>
    <w:basedOn w:val="Normal"/>
    <w:uiPriority w:val="1"/>
    <w:qFormat/>
    <w:pPr>
      <w:spacing w:before="65"/>
      <w:ind w:left="2456" w:hanging="344"/>
      <w:outlineLvl w:val="7"/>
    </w:pPr>
    <w:rPr>
      <w:rFonts w:ascii="Raleway" w:hAnsi="Raleway" w:eastAsia="Raleway" w:cs="Raleway"/>
      <w:sz w:val="21"/>
      <w:szCs w:val="21"/>
      <w:lang w:val="en-us" w:eastAsia="en-us" w:bidi="en-us"/>
    </w:rPr>
  </w:style>
  <w:style w:styleId="Heading8" w:type="paragraph">
    <w:name w:val="Heading 8"/>
    <w:basedOn w:val="Normal"/>
    <w:uiPriority w:val="1"/>
    <w:qFormat/>
    <w:pPr>
      <w:spacing w:line="259" w:lineRule="exact"/>
      <w:ind w:left="2157"/>
      <w:outlineLvl w:val="8"/>
    </w:pPr>
    <w:rPr>
      <w:rFonts w:ascii="Raleway" w:hAnsi="Raleway" w:eastAsia="Raleway" w:cs="Raleway"/>
      <w:b/>
      <w:bCs/>
      <w:sz w:val="20"/>
      <w:szCs w:val="20"/>
      <w:lang w:val="en-us" w:eastAsia="en-us" w:bidi="en-us"/>
    </w:rPr>
  </w:style>
  <w:style w:styleId="ListParagraph" w:type="paragraph">
    <w:name w:val="List Paragraph"/>
    <w:basedOn w:val="Normal"/>
    <w:uiPriority w:val="1"/>
    <w:qFormat/>
    <w:pPr>
      <w:ind w:left="1761" w:hanging="794"/>
    </w:pPr>
    <w:rPr>
      <w:rFonts w:ascii="Raleway" w:hAnsi="Raleway" w:eastAsia="Raleway" w:cs="Raleway"/>
      <w:lang w:val="en-us" w:eastAsia="en-us" w:bidi="en-us"/>
    </w:rPr>
  </w:style>
  <w:style w:styleId="TableParagraph" w:type="paragraph">
    <w:name w:val="Table Paragraph"/>
    <w:basedOn w:val="Normal"/>
    <w:uiPriority w:val="1"/>
    <w:qFormat/>
    <w:pPr>
      <w:spacing w:before="40"/>
      <w:ind w:left="113"/>
    </w:pPr>
    <w:rPr>
      <w:rFonts w:ascii="Raleway" w:hAnsi="Raleway" w:eastAsia="Raleway" w:cs="Raleway"/>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image" Target="media/image3.png"/><Relationship Id="rId10" Type="http://schemas.openxmlformats.org/officeDocument/2006/relationships/header" Target="header3.xml"/><Relationship Id="rId11" Type="http://schemas.openxmlformats.org/officeDocument/2006/relationships/image" Target="media/image4.png"/><Relationship Id="rId12" Type="http://schemas.openxmlformats.org/officeDocument/2006/relationships/hyperlink" Target="mailto:law.reform@lawreform.vic.gov.au" TargetMode="External"/><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image" Target="media/image5.png"/><Relationship Id="rId16" Type="http://schemas.openxmlformats.org/officeDocument/2006/relationships/header" Target="header6.xml"/><Relationship Id="rId17" Type="http://schemas.openxmlformats.org/officeDocument/2006/relationships/header" Target="header7.xml"/><Relationship Id="rId18" Type="http://schemas.openxmlformats.org/officeDocument/2006/relationships/hyperlink" Target="https://www.judicialcollege.vic.edu.au/eManuals/DABB/index.htm#59523.htm" TargetMode="External"/><Relationship Id="rId19" Type="http://schemas.openxmlformats.org/officeDocument/2006/relationships/hyperlink" Target="https://disabilityawareness.com.au/courses/introduction-to-disability-awareness/" TargetMode="Externa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hyperlink" Target="https://treaties.un.org/Pages/ViewDetails.aspx?src=TREATY&amp;amp;mtdsg_no=IV-15&amp;amp;chapter=4&amp;amp;clang=_en" TargetMode="External"/><Relationship Id="rId23" Type="http://schemas.openxmlformats.org/officeDocument/2006/relationships/header" Target="header10.xml"/><Relationship Id="rId24" Type="http://schemas.openxmlformats.org/officeDocument/2006/relationships/header" Target="header11.xml"/><Relationship Id="rId25" Type="http://schemas.openxmlformats.org/officeDocument/2006/relationships/header" Target="header12.xml"/><Relationship Id="rId26" Type="http://schemas.openxmlformats.org/officeDocument/2006/relationships/header" Target="header13.xml"/><Relationship Id="rId27" Type="http://schemas.openxmlformats.org/officeDocument/2006/relationships/header" Target="header14.xml"/><Relationship Id="rId28" Type="http://schemas.openxmlformats.org/officeDocument/2006/relationships/hyperlink" Target="https://www.stylemanual.gov.au/format-writing-and-structure/inclusive-language/people-disability" TargetMode="External"/><Relationship Id="rId29" Type="http://schemas.openxmlformats.org/officeDocument/2006/relationships/hyperlink" Target="https://www.theage.com.au/national/victoria/law-reform-needed-to-allow-deaf-and-blind-people-on-juries-20210115-p56uav.html" TargetMode="External"/><Relationship Id="rId30" Type="http://schemas.openxmlformats.org/officeDocument/2006/relationships/hyperlink" Target="https://www.abc.net.au/news/2016-10-05/deaf-jurors-allowed-in-us%2C-nz/7905810" TargetMode="External"/><Relationship Id="rId31" Type="http://schemas.openxmlformats.org/officeDocument/2006/relationships/hyperlink" Target="https://www.sbs.com.au/news/the-feed/deaf-or-blind-people-can-t-serve-on-juries-here-s-why-law-needs-to-change" TargetMode="External"/><Relationship Id="rId32" Type="http://schemas.openxmlformats.org/officeDocument/2006/relationships/hyperlink" Target="https://www.nad.org/resources/american-sign-language/community-and-culture-frequently-asked-questions/" TargetMode="External"/><Relationship Id="rId33" Type="http://schemas.openxmlformats.org/officeDocument/2006/relationships/hyperlink" Target="http://www.supremecourt.vic.gov.au/news/covid-19" TargetMode="External"/><Relationship Id="rId34" Type="http://schemas.openxmlformats.org/officeDocument/2006/relationships/hyperlink" Target="https://www.countycourt.vic.gov.au/news-and-media/news-listing/2021-09-16-coronavirus-covid-19-divisional-responses" TargetMode="External"/><Relationship Id="rId35" Type="http://schemas.openxmlformats.org/officeDocument/2006/relationships/hyperlink" Target="https://www.judicialcollege.vic.edu.au/resources/coronavirus-and-courts" TargetMode="External"/><Relationship Id="rId36" Type="http://schemas.openxmlformats.org/officeDocument/2006/relationships/hyperlink" Target="https://www.juriesvictoria.vic.gov.au/juror-safety-during-covid-19" TargetMode="External"/><Relationship Id="rId37" Type="http://schemas.openxmlformats.org/officeDocument/2006/relationships/header" Target="header15.xml"/><Relationship Id="rId38" Type="http://schemas.openxmlformats.org/officeDocument/2006/relationships/header" Target="header16.xml"/><Relationship Id="rId39" Type="http://schemas.openxmlformats.org/officeDocument/2006/relationships/header" Target="header17.xml"/><Relationship Id="rId40" Type="http://schemas.openxmlformats.org/officeDocument/2006/relationships/hyperlink" Target="http://www.judicialcollege.vic.edu.au/eManuals/CCB/index.htm#19193.htm" TargetMode="External"/><Relationship Id="rId41" Type="http://schemas.openxmlformats.org/officeDocument/2006/relationships/header" Target="header18.xml"/><Relationship Id="rId42" Type="http://schemas.openxmlformats.org/officeDocument/2006/relationships/header" Target="header19.xml"/><Relationship Id="rId43" Type="http://schemas.openxmlformats.org/officeDocument/2006/relationships/hyperlink" Target="https://www.juriesvictoria.vic.gov.au/about-juries-victoria/what-is-jury-service" TargetMode="External"/><Relationship Id="rId44" Type="http://schemas.openxmlformats.org/officeDocument/2006/relationships/hyperlink" Target="https://www.liv.asn.au/Staying-Informed/LIJ/LIJ/August-2020/Judge-alone-trials-help-reduce-backlog--Chief-Judg" TargetMode="External"/><Relationship Id="rId45" Type="http://schemas.openxmlformats.org/officeDocument/2006/relationships/image" Target="media/image6.png"/><Relationship Id="rId46" Type="http://schemas.openxmlformats.org/officeDocument/2006/relationships/hyperlink" Target="https://www.juriesvictoria.vic.gov.au/individuals/notice-of-selection" TargetMode="External"/><Relationship Id="rId47" Type="http://schemas.openxmlformats.org/officeDocument/2006/relationships/hyperlink" Target="https://www.juriesvictoria.vic.gov.au/individuals" TargetMode="External"/><Relationship Id="rId48" Type="http://schemas.openxmlformats.org/officeDocument/2006/relationships/hyperlink" Target="https://www.youtube.com/channel/UCTgVsMpocy2oeO4CPV4hexA/videos" TargetMode="External"/><Relationship Id="rId49" Type="http://schemas.openxmlformats.org/officeDocument/2006/relationships/hyperlink" Target="https://www.judicialcollege.vic.edu.au/eManuals/VCPM/index.htm#27318.htm" TargetMode="External"/><Relationship Id="rId50" Type="http://schemas.openxmlformats.org/officeDocument/2006/relationships/header" Target="header20.xml"/><Relationship Id="rId51" Type="http://schemas.openxmlformats.org/officeDocument/2006/relationships/header" Target="header21.xml"/><Relationship Id="rId52" Type="http://schemas.openxmlformats.org/officeDocument/2006/relationships/hyperlink" Target="https://www.abs.gov.au/census/2021-data-releases" TargetMode="External"/><Relationship Id="rId53" Type="http://schemas.openxmlformats.org/officeDocument/2006/relationships/hyperlink" Target="https://www.aihw.gov.au/reports-data/australias-health" TargetMode="External"/><Relationship Id="rId54" Type="http://schemas.openxmlformats.org/officeDocument/2006/relationships/hyperlink" Target="https://www.vec.vic.gov.au/enrolment/electoral-roll-statistics" TargetMode="External"/><Relationship Id="rId55" Type="http://schemas.openxmlformats.org/officeDocument/2006/relationships/hyperlink" Target="https://www.aihw.gov.au/reports/eye-health/eye-health/contents/how-common-is-visual-impairment" TargetMode="External"/><Relationship Id="rId56" Type="http://schemas.openxmlformats.org/officeDocument/2006/relationships/hyperlink" Target="https://www.dhhs.vic.gov.au/ageing" TargetMode="External"/><Relationship Id="rId57" Type="http://schemas.openxmlformats.org/officeDocument/2006/relationships/header" Target="header22.xml"/><Relationship Id="rId58" Type="http://schemas.openxmlformats.org/officeDocument/2006/relationships/hyperlink" Target="https://www.visionaustralia.org/information/newly-diagnosed/blindness-and-vision-loss" TargetMode="External"/><Relationship Id="rId59" Type="http://schemas.openxmlformats.org/officeDocument/2006/relationships/hyperlink" Target="https://www.who.int/news-room/fact-sheets/detail/deafness-and-hearing-loss" TargetMode="External"/><Relationship Id="rId60" Type="http://schemas.openxmlformats.org/officeDocument/2006/relationships/hyperlink" Target="https://www.aihw.gov.au/reports/australias-health/australias-health-2016/contents/summary" TargetMode="External"/><Relationship Id="rId61" Type="http://schemas.openxmlformats.org/officeDocument/2006/relationships/hyperlink" Target="https://www.hearing.com.au/Hearing-loss/Management/Becoming-a-part-of-the-Deaf-Community" TargetMode="External"/><Relationship Id="rId62" Type="http://schemas.openxmlformats.org/officeDocument/2006/relationships/hyperlink" Target="https://www.aussiedeafkids.org.au/deaf-culture.html" TargetMode="External"/><Relationship Id="rId63" Type="http://schemas.openxmlformats.org/officeDocument/2006/relationships/hyperlink" Target="https://www.and.org.au/resources/disability-statistics/" TargetMode="External"/><Relationship Id="rId64" Type="http://schemas.openxmlformats.org/officeDocument/2006/relationships/header" Target="header23.xml"/><Relationship Id="rId65" Type="http://schemas.openxmlformats.org/officeDocument/2006/relationships/hyperlink" Target="https://www.odi.govt.nz/nzsl/tools-and-resources/some-differences-in-deaf-people-using-interpreters/" TargetMode="External"/><Relationship Id="rId66" Type="http://schemas.openxmlformats.org/officeDocument/2006/relationships/hyperlink" Target="https://www.aihw.gov.au/reports/australias-health/australias-health-2020-in-brief/summary" TargetMode="External"/><Relationship Id="rId67" Type="http://schemas.openxmlformats.org/officeDocument/2006/relationships/hyperlink" Target="https://www.abs.gov.au/methodologies/national-aboriginal-and-torres-strait-islander-health-survey-methodology/2018-19" TargetMode="External"/><Relationship Id="rId68" Type="http://schemas.openxmlformats.org/officeDocument/2006/relationships/hyperlink" Target="https://www.aihw.gov.au/reports" TargetMode="External"/><Relationship Id="rId69" Type="http://schemas.openxmlformats.org/officeDocument/2006/relationships/header" Target="header24.xml"/><Relationship Id="rId70" Type="http://schemas.openxmlformats.org/officeDocument/2006/relationships/header" Target="header25.xml"/><Relationship Id="rId71" Type="http://schemas.openxmlformats.org/officeDocument/2006/relationships/header" Target="header26.xml"/><Relationship Id="rId72" Type="http://schemas.openxmlformats.org/officeDocument/2006/relationships/header" Target="header27.xml"/><Relationship Id="rId73" Type="http://schemas.openxmlformats.org/officeDocument/2006/relationships/hyperlink" Target="https://www.abc.net.au/news/2016-10-05/deaf-woman-gaye-lyons-loses-high-court-challenge-juror/7904324" TargetMode="External"/><Relationship Id="rId74" Type="http://schemas.openxmlformats.org/officeDocument/2006/relationships/hyperlink" Target="https://www.sbs.com.au/news/article/deaf-victorian-man-denied-from-serving-on-jury-calls-for-discriminatory-law-to-be-changed/cvjppq9j2" TargetMode="External"/><Relationship Id="rId75" Type="http://schemas.openxmlformats.org/officeDocument/2006/relationships/hyperlink" Target="https://www.sentencingcouncil.vic.gov.au/sentencing-statistics/victorias-indigenous-imprisonment-rates" TargetMode="External"/><Relationship Id="rId76" Type="http://schemas.openxmlformats.org/officeDocument/2006/relationships/header" Target="header28.xml"/><Relationship Id="rId77" Type="http://schemas.openxmlformats.org/officeDocument/2006/relationships/header" Target="header29.xml"/><Relationship Id="rId78" Type="http://schemas.openxmlformats.org/officeDocument/2006/relationships/header" Target="header30.xml"/><Relationship Id="rId79" Type="http://schemas.openxmlformats.org/officeDocument/2006/relationships/hyperlink" Target="https://insidestory.org.au/friendless-in-the-courtroom/" TargetMode="External"/><Relationship Id="rId80" Type="http://schemas.openxmlformats.org/officeDocument/2006/relationships/header" Target="header31.xml"/><Relationship Id="rId81" Type="http://schemas.openxmlformats.org/officeDocument/2006/relationships/header" Target="header32.xml"/><Relationship Id="rId82" Type="http://schemas.openxmlformats.org/officeDocument/2006/relationships/hyperlink" Target="https://www.supremecourt.vic.gov.au/about-the-court/our-history" TargetMode="External"/><Relationship Id="rId83" Type="http://schemas.openxmlformats.org/officeDocument/2006/relationships/hyperlink" Target="https://www.aec.gov.au/indigenous/milestones.htm" TargetMode="External"/><Relationship Id="rId84" Type="http://schemas.openxmlformats.org/officeDocument/2006/relationships/hyperlink" Target="https://www.aph.gov.au/About_Parliament/Parliamentary_Departments/Parliamentary_Library/FlagPost/2017/May/The_1967_Referendum" TargetMode="External"/><Relationship Id="rId85" Type="http://schemas.openxmlformats.org/officeDocument/2006/relationships/hyperlink" Target="https://www.nma.gov.au/defining-moments/resources/indigenous-australians-right-to-vote" TargetMode="External"/><Relationship Id="rId86" Type="http://schemas.openxmlformats.org/officeDocument/2006/relationships/hyperlink" Target="http://www.murdoch.edu.au/elaw/issues/v11n4/walker114_text.html" TargetMode="External"/><Relationship Id="rId87" Type="http://schemas.openxmlformats.org/officeDocument/2006/relationships/header" Target="header33.xml"/><Relationship Id="rId88" Type="http://schemas.openxmlformats.org/officeDocument/2006/relationships/header" Target="header34.xml"/><Relationship Id="rId89" Type="http://schemas.openxmlformats.org/officeDocument/2006/relationships/header" Target="header35.xml"/><Relationship Id="rId90" Type="http://schemas.openxmlformats.org/officeDocument/2006/relationships/header" Target="header36.xml"/><Relationship Id="rId91" Type="http://schemas.openxmlformats.org/officeDocument/2006/relationships/header" Target="header37.xml"/><Relationship Id="rId92" Type="http://schemas.openxmlformats.org/officeDocument/2006/relationships/hyperlink" Target="https://www.monash.edu/__data/assets/pdf_file/0010/140986/ron-mccallums-lecture-2014.pdf" TargetMode="External"/><Relationship Id="rId93" Type="http://schemas.openxmlformats.org/officeDocument/2006/relationships/hyperlink" Target="https://treaties.un.org/pages/Treaties.aspx?id=4&amp;amp;subid=A&amp;amp;lang=en" TargetMode="External"/><Relationship Id="rId94" Type="http://schemas.openxmlformats.org/officeDocument/2006/relationships/hyperlink" Target="https://indicators.ohchr.org/" TargetMode="External"/><Relationship Id="rId95" Type="http://schemas.openxmlformats.org/officeDocument/2006/relationships/hyperlink" Target="https://www.ohchr.org/en/treaty-bodies/crpd" TargetMode="External"/><Relationship Id="rId96" Type="http://schemas.openxmlformats.org/officeDocument/2006/relationships/hyperlink" Target="https://disability.royalcommission.gov.au/publications/australian-government-position-paper-uncrpd" TargetMode="External"/><Relationship Id="rId97" Type="http://schemas.openxmlformats.org/officeDocument/2006/relationships/hyperlink" Target="https://www.ehrc-updates.nl/commentaar/211849" TargetMode="External"/><Relationship Id="rId98" Type="http://schemas.openxmlformats.org/officeDocument/2006/relationships/hyperlink" Target="https://digitallibrary.un.org/record/1663867?ln=en" TargetMode="External"/><Relationship Id="rId99" Type="http://schemas.openxmlformats.org/officeDocument/2006/relationships/hyperlink" Target="https://www.ohchr.org/EN/Issues/Disability/SRDisabilities/Pages/SRDisabilitiesIndex.aspx" TargetMode="External"/><Relationship Id="rId100" Type="http://schemas.openxmlformats.org/officeDocument/2006/relationships/hyperlink" Target="https://www.ohchr.org/en/special-procedures/sr-disability/international-principles-and-guidelines-access-justice-persons-disabilities" TargetMode="External"/><Relationship Id="rId101" Type="http://schemas.openxmlformats.org/officeDocument/2006/relationships/header" Target="header38.xml"/><Relationship Id="rId102" Type="http://schemas.openxmlformats.org/officeDocument/2006/relationships/header" Target="header39.xml"/><Relationship Id="rId103" Type="http://schemas.openxmlformats.org/officeDocument/2006/relationships/header" Target="header40.xml"/><Relationship Id="rId104" Type="http://schemas.openxmlformats.org/officeDocument/2006/relationships/header" Target="header41.xml"/><Relationship Id="rId105" Type="http://schemas.openxmlformats.org/officeDocument/2006/relationships/header" Target="header42.xml"/><Relationship Id="rId106" Type="http://schemas.openxmlformats.org/officeDocument/2006/relationships/hyperlink" Target="https://www.theage.com.au/national/victoria/but-seriously-i-m-really-nervous-the-everywhere-faces-of-auslan-interpreters-and-their-vital-work-20200509-p54rcu.html" TargetMode="External"/><Relationship Id="rId107" Type="http://schemas.openxmlformats.org/officeDocument/2006/relationships/hyperlink" Target="https://www.abc.net.au/news/2020-04-11/coronavirus-bushfires-thrust-auslan-interpreters-into-spotlight/12140824" TargetMode="External"/><Relationship Id="rId108" Type="http://schemas.openxmlformats.org/officeDocument/2006/relationships/hyperlink" Target="https://junkee.com/auslan-interpreters-nsw-press-conference/311556" TargetMode="External"/><Relationship Id="rId109" Type="http://schemas.openxmlformats.org/officeDocument/2006/relationships/hyperlink" Target="https://www.youtube.com/playlist?app=desktop&amp;amp;list=PLn4s8r0gyEeu5KI4We5jJNTCrG_EEWm31" TargetMode="External"/><Relationship Id="rId110" Type="http://schemas.openxmlformats.org/officeDocument/2006/relationships/hyperlink" Target="https://theconversation.com/from-coda-to-hawkeye-the-surge-of-sign-languages-on-screen-is-a-sign-of-better-things-to-come-for-the-deaf-community-180304" TargetMode="External"/><Relationship Id="rId111" Type="http://schemas.openxmlformats.org/officeDocument/2006/relationships/hyperlink" Target="https://help.netflix.com/en/node/116022" TargetMode="External"/><Relationship Id="rId112" Type="http://schemas.openxmlformats.org/officeDocument/2006/relationships/hyperlink" Target="https://www.sbs.com.au/news/sbs-and-abc-launch-audio-descriptions-to-help-blind-or-vision-impaired-australians-enjoy-television-more" TargetMode="External"/><Relationship Id="rId113" Type="http://schemas.openxmlformats.org/officeDocument/2006/relationships/hyperlink" Target="https://business.vic.gov.au/business-information/tourism-industry-resources/accessible-tourism" TargetMode="External"/><Relationship Id="rId114" Type="http://schemas.openxmlformats.org/officeDocument/2006/relationships/hyperlink" Target="https://9to5mac.com/2020/07/27/apples-accessibility-director-highlights-how-the-company-values-inclusion-in-its-products/" TargetMode="External"/><Relationship Id="rId115" Type="http://schemas.openxmlformats.org/officeDocument/2006/relationships/hyperlink" Target="https://www.moreland.vic.gov.au/building-and-business/business/accessible-business/" TargetMode="External"/><Relationship Id="rId116" Type="http://schemas.openxmlformats.org/officeDocument/2006/relationships/hyperlink" Target="https://www.abc.net.au/news/2021-06-01/is-enough-being-done-to-support-australians-with-disabilities/13368758" TargetMode="External"/><Relationship Id="rId117" Type="http://schemas.openxmlformats.org/officeDocument/2006/relationships/hyperlink" Target="https://australiatalks.abc.net.au/" TargetMode="External"/><Relationship Id="rId118" Type="http://schemas.openxmlformats.org/officeDocument/2006/relationships/hyperlink" Target="https://disability.royalcommission.gov.au/about-royal-commission" TargetMode="External"/><Relationship Id="rId119" Type="http://schemas.openxmlformats.org/officeDocument/2006/relationships/hyperlink" Target="https://vpsc.vic.gov.au/getting-to-work-disability-employment-action-plan/" TargetMode="External"/><Relationship Id="rId120" Type="http://schemas.openxmlformats.org/officeDocument/2006/relationships/hyperlink" Target="https://www.vic.gov.au/early-childhood-language-program" TargetMode="External"/><Relationship Id="rId121" Type="http://schemas.openxmlformats.org/officeDocument/2006/relationships/hyperlink" Target="https://www.theage.com.au/national/victoria/preschools-love-of-language-a-good-sign-for-auslan-20211109-p597g6.html" TargetMode="External"/><Relationship Id="rId122" Type="http://schemas.openxmlformats.org/officeDocument/2006/relationships/hyperlink" Target="https://www.ndis.gov.au/about-us/history-ndis" TargetMode="External"/><Relationship Id="rId123" Type="http://schemas.openxmlformats.org/officeDocument/2006/relationships/hyperlink" Target="https://www.humanrights.vic.gov.au/" TargetMode="External"/><Relationship Id="rId124" Type="http://schemas.openxmlformats.org/officeDocument/2006/relationships/hyperlink" Target="https://humanrights.gov.au/" TargetMode="External"/><Relationship Id="rId125" Type="http://schemas.openxmlformats.org/officeDocument/2006/relationships/hyperlink" Target="https://www.fwc.gov.au/" TargetMode="External"/><Relationship Id="rId126" Type="http://schemas.openxmlformats.org/officeDocument/2006/relationships/hyperlink" Target="https://www.fairwork.gov.au/" TargetMode="External"/><Relationship Id="rId127" Type="http://schemas.openxmlformats.org/officeDocument/2006/relationships/hyperlink" Target="https://www.vdwc.vic.gov.au/about/commissioner" TargetMode="External"/><Relationship Id="rId128" Type="http://schemas.openxmlformats.org/officeDocument/2006/relationships/hyperlink" Target="https://www.justice.vic.gov.au/equal-opportunity" TargetMode="External"/><Relationship Id="rId129" Type="http://schemas.openxmlformats.org/officeDocument/2006/relationships/hyperlink" Target="https://www.judiciary.uk/wp-content/uploads/2021/02/Equal-Treatment-Bench-Book-February-2021-1.pdf" TargetMode="External"/><Relationship Id="rId130" Type="http://schemas.openxmlformats.org/officeDocument/2006/relationships/hyperlink" Target="https://www.judicialcollege.vic.edu.au/eManuals/CHRBB/index.htm#57496.htm" TargetMode="External"/><Relationship Id="rId131" Type="http://schemas.openxmlformats.org/officeDocument/2006/relationships/header" Target="header43.xml"/><Relationship Id="rId132" Type="http://schemas.openxmlformats.org/officeDocument/2006/relationships/header" Target="header44.xml"/><Relationship Id="rId133" Type="http://schemas.openxmlformats.org/officeDocument/2006/relationships/header" Target="header45.xml"/><Relationship Id="rId134" Type="http://schemas.openxmlformats.org/officeDocument/2006/relationships/header" Target="header46.xml"/><Relationship Id="rId135" Type="http://schemas.openxmlformats.org/officeDocument/2006/relationships/header" Target="header47.xml"/><Relationship Id="rId136" Type="http://schemas.openxmlformats.org/officeDocument/2006/relationships/hyperlink" Target="https://ials.sas.ac.uk/eagle-i/review-criminal-courts-england-and-wales-right-honourable-lord-justice-auld-september-2001" TargetMode="External"/><Relationship Id="rId137" Type="http://schemas.openxmlformats.org/officeDocument/2006/relationships/hyperlink" Target="https://www.sciencedaily.com/releases/2006/04/060410162259.htm" TargetMode="External"/><Relationship Id="rId138" Type="http://schemas.openxmlformats.org/officeDocument/2006/relationships/hyperlink" Target="https://www.litigationinsights.com/benefits-diversity-jury/" TargetMode="External"/><Relationship Id="rId139" Type="http://schemas.openxmlformats.org/officeDocument/2006/relationships/hyperlink" Target="http://rds.homeoffice.gov.uk/" TargetMode="External"/><Relationship Id="rId140" Type="http://schemas.openxmlformats.org/officeDocument/2006/relationships/header" Target="header48.xml"/><Relationship Id="rId141" Type="http://schemas.openxmlformats.org/officeDocument/2006/relationships/header" Target="header49.xml"/><Relationship Id="rId142" Type="http://schemas.openxmlformats.org/officeDocument/2006/relationships/header" Target="header50.xml"/><Relationship Id="rId143" Type="http://schemas.openxmlformats.org/officeDocument/2006/relationships/header" Target="header51.xml"/><Relationship Id="rId144" Type="http://schemas.openxmlformats.org/officeDocument/2006/relationships/hyperlink" Target="https://research.unsw.edu.au/projects/access-justice-interpreted-proceedings-role-judicial-officers" TargetMode="External"/><Relationship Id="rId145" Type="http://schemas.openxmlformats.org/officeDocument/2006/relationships/hyperlink" Target="https://www.judicialcollege.vic.edu.au/eManuals/SIM/53962.htm" TargetMode="External"/><Relationship Id="rId146" Type="http://schemas.openxmlformats.org/officeDocument/2006/relationships/hyperlink" Target="https://nfb.org/resources/publications-and-media/braille-monitor" TargetMode="External"/><Relationship Id="rId147" Type="http://schemas.openxmlformats.org/officeDocument/2006/relationships/header" Target="header52.xml"/><Relationship Id="rId148" Type="http://schemas.openxmlformats.org/officeDocument/2006/relationships/header" Target="header53.xml"/><Relationship Id="rId149" Type="http://schemas.openxmlformats.org/officeDocument/2006/relationships/header" Target="header54.xml"/><Relationship Id="rId150" Type="http://schemas.openxmlformats.org/officeDocument/2006/relationships/hyperlink" Target="https://nfb.org/sites/www.nfb.org/files/images/nfb/publications/bm/bm91/brlm9103.htm" TargetMode="External"/><Relationship Id="rId151" Type="http://schemas.openxmlformats.org/officeDocument/2006/relationships/hyperlink" Target="https://eu.usatoday.com/story/news/nation/2015/05/10/deaf-juror-glad-duty-justices-sake/27068733/" TargetMode="External"/><Relationship Id="rId152" Type="http://schemas.openxmlformats.org/officeDocument/2006/relationships/header" Target="header55.xml"/><Relationship Id="rId153" Type="http://schemas.openxmlformats.org/officeDocument/2006/relationships/header" Target="header56.xml"/><Relationship Id="rId154" Type="http://schemas.openxmlformats.org/officeDocument/2006/relationships/hyperlink" Target="http://ww2.nycourts.gov/Accessibility/CourtUsers_Guidelines.shtml" TargetMode="External"/><Relationship Id="rId155" Type="http://schemas.openxmlformats.org/officeDocument/2006/relationships/hyperlink" Target="https://www.ada.gov/taman2.html" TargetMode="External"/><Relationship Id="rId156" Type="http://schemas.openxmlformats.org/officeDocument/2006/relationships/hyperlink" Target="https://img.nyed.uscourts.gov/files/local_rules/trialhandbook.pdf" TargetMode="External"/><Relationship Id="rId157" Type="http://schemas.openxmlformats.org/officeDocument/2006/relationships/hyperlink" Target="https://www.rit.edu/ntid/" TargetMode="External"/><Relationship Id="rId158" Type="http://schemas.openxmlformats.org/officeDocument/2006/relationships/hyperlink" Target="https://www.nyjuror.gov/juryQandA.shtml#Q12" TargetMode="External"/><Relationship Id="rId159" Type="http://schemas.openxmlformats.org/officeDocument/2006/relationships/hyperlink" Target="http://ww2.nycourts.gov/ada-accommodation-request-process-32956#how1" TargetMode="External"/><Relationship Id="rId160" Type="http://schemas.openxmlformats.org/officeDocument/2006/relationships/hyperlink" Target="https://nfb.org/resources/publications-and-media/braille-monitor/archive" TargetMode="External"/><Relationship Id="rId161" Type="http://schemas.openxmlformats.org/officeDocument/2006/relationships/hyperlink" Target="https://nfb.org/images/nfb/publications/bm/bm21/bm2107/bm210713.htm" TargetMode="External"/><Relationship Id="rId162" Type="http://schemas.openxmlformats.org/officeDocument/2006/relationships/hyperlink" Target="https://www.hearinglink.org/news/202103/law-change-opens-doors-for-deaf-jurors-in-england-and-wales/" TargetMode="External"/><Relationship Id="rId163" Type="http://schemas.openxmlformats.org/officeDocument/2006/relationships/hyperlink" Target="http://www/" TargetMode="External"/><Relationship Id="rId164" Type="http://schemas.openxmlformats.org/officeDocument/2006/relationships/hyperlink" Target="https://www.gov.uk/government/publications/police-crime-sentencing-and-courts-bill-2021-factsheets/police-crime-sentencing-and-courts-bill-2021-profoundly-deaf-jurors-factsheet#background" TargetMode="External"/><Relationship Id="rId165" Type="http://schemas.openxmlformats.org/officeDocument/2006/relationships/hyperlink" Target="https://www.gov.uk/government/news/law-change-opens-door-to-deaf-jurors" TargetMode="External"/><Relationship Id="rId166" Type="http://schemas.openxmlformats.org/officeDocument/2006/relationships/hyperlink" Target="https://www.ons.gov.uk/businessindustryandtrade/itandinternetindustry/bulletins/internetusers/2020" TargetMode="External"/><Relationship Id="rId167" Type="http://schemas.openxmlformats.org/officeDocument/2006/relationships/hyperlink" Target="https://www.theguardian.com/law/2019/aug/28/man-sets-legal-landmark-as-first-deaf-juror-in-english-court" TargetMode="External"/><Relationship Id="rId168" Type="http://schemas.openxmlformats.org/officeDocument/2006/relationships/hyperlink" Target="https://www.scotcourts.gov.uk/about-the-scottish-court-service/scs-news/2019/11/28/making-jury-service-more-accessible-for-jurors" TargetMode="External"/><Relationship Id="rId169" Type="http://schemas.openxmlformats.org/officeDocument/2006/relationships/hyperlink" Target="https://www.justice.govt.nz/courts/jury-service/payment-and-support/#disability" TargetMode="External"/><Relationship Id="rId170" Type="http://schemas.openxmlformats.org/officeDocument/2006/relationships/hyperlink" Target="https://www.justice.govt.nz/courts/jury-service/disability-support/" TargetMode="External"/><Relationship Id="rId171" Type="http://schemas.openxmlformats.org/officeDocument/2006/relationships/hyperlink" Target="https://www.alldeaf.com/threads/first-deaf-person-to-serve-on-jury.21651/" TargetMode="External"/><Relationship Id="rId172" Type="http://schemas.openxmlformats.org/officeDocument/2006/relationships/hyperlink" Target="https://www.courts.ie/who-can-be-called-jury-service" TargetMode="External"/><Relationship Id="rId173" Type="http://schemas.openxmlformats.org/officeDocument/2006/relationships/hyperlink" Target="https://www.irishtimes.com/news/crime-and-law/jury-service-many-with-disability-would-like-to-do-their-civic-duty-1.3780755" TargetMode="External"/><Relationship Id="rId174" Type="http://schemas.openxmlformats.org/officeDocument/2006/relationships/hyperlink" Target="https://www.irishtimes.com/news/crime-and-law/courts/circuit-court/historic-day-as-first-deaf-juror-serves-on-jury-1.3331199" TargetMode="External"/><Relationship Id="rId175" Type="http://schemas.openxmlformats.org/officeDocument/2006/relationships/hyperlink" Target="https://www.pila.ie/resources/bulletin/2017/12/20/guest-piece-by-michael-farrell-ireland-gets-first-ever-deaf-juror-11-years-after-first-attempt/" TargetMode="External"/><Relationship Id="rId176" Type="http://schemas.openxmlformats.org/officeDocument/2006/relationships/hyperlink" Target="https://www.irishtimes.com/news/crime-and-law/galway-woman-makes-history-as-first-deaf-person-to-deliberate-on-irish-jury-1.4370644" TargetMode="External"/><Relationship Id="rId177" Type="http://schemas.openxmlformats.org/officeDocument/2006/relationships/hyperlink" Target="https://www.pila.ie/resources/bulletin/2020/10/14/first-deaf-person-to-sit-on-a-jury-and-deliberate-on-verdict/" TargetMode="External"/><Relationship Id="rId178" Type="http://schemas.openxmlformats.org/officeDocument/2006/relationships/header" Target="header57.xml"/><Relationship Id="rId179" Type="http://schemas.openxmlformats.org/officeDocument/2006/relationships/header" Target="header58.xml"/><Relationship Id="rId180" Type="http://schemas.openxmlformats.org/officeDocument/2006/relationships/header" Target="header59.xml"/><Relationship Id="rId181" Type="http://schemas.openxmlformats.org/officeDocument/2006/relationships/header" Target="header60.xml"/><Relationship Id="rId182" Type="http://schemas.openxmlformats.org/officeDocument/2006/relationships/header" Target="header61.xml"/><Relationship Id="rId183" Type="http://schemas.openxmlformats.org/officeDocument/2006/relationships/header" Target="header62.xml"/><Relationship Id="rId184" Type="http://schemas.openxmlformats.org/officeDocument/2006/relationships/header" Target="header63.xml"/><Relationship Id="rId185" Type="http://schemas.openxmlformats.org/officeDocument/2006/relationships/header" Target="header64.xml"/><Relationship Id="rId186" Type="http://schemas.openxmlformats.org/officeDocument/2006/relationships/hyperlink" Target="https://www.countycourt.vic.gov.au/news-and-media/news-listing/2021-11-24-coronavirus-covid-19-divisional-responses" TargetMode="External"/><Relationship Id="rId187" Type="http://schemas.openxmlformats.org/officeDocument/2006/relationships/hyperlink" Target="https://www.supremecourt.vic.gov.au/news/covid-19" TargetMode="External"/><Relationship Id="rId188" Type="http://schemas.openxmlformats.org/officeDocument/2006/relationships/hyperlink" Target="https://www.judicialcollege.vic.edu.au/eManuals/CJCB/index.htm#45310.htm" TargetMode="External"/><Relationship Id="rId189" Type="http://schemas.openxmlformats.org/officeDocument/2006/relationships/header" Target="header65.xml"/><Relationship Id="rId190" Type="http://schemas.openxmlformats.org/officeDocument/2006/relationships/header" Target="header66.xml"/><Relationship Id="rId191" Type="http://schemas.openxmlformats.org/officeDocument/2006/relationships/header" Target="header67.xml"/><Relationship Id="rId192" Type="http://schemas.openxmlformats.org/officeDocument/2006/relationships/header" Target="header68.xml"/><Relationship Id="rId193" Type="http://schemas.openxmlformats.org/officeDocument/2006/relationships/hyperlink" Target="https://www.betterhealth.vic.gov.au/health/conditionsandtreatments/sign-language-auslan" TargetMode="External"/><Relationship Id="rId194" Type="http://schemas.openxmlformats.org/officeDocument/2006/relationships/hyperlink" Target="https://www.courts.ie/accessibility" TargetMode="External"/><Relationship Id="rId195" Type="http://schemas.openxmlformats.org/officeDocument/2006/relationships/hyperlink" Target="https://www.hearinglink.org/living/loops-equipment/hearing-loops/hearing-loops-frequently-asked-questions/" TargetMode="External"/><Relationship Id="rId196" Type="http://schemas.openxmlformats.org/officeDocument/2006/relationships/hyperlink" Target="https://www.nidcd.nih.gov/health/captions-deaf-and-hard-hearing-viewers" TargetMode="External"/><Relationship Id="rId197" Type="http://schemas.openxmlformats.org/officeDocument/2006/relationships/hyperlink" Target="https://www.hearingloss.org/hearing-help/technology/cartcaptioning/" TargetMode="External"/><Relationship Id="rId198" Type="http://schemas.openxmlformats.org/officeDocument/2006/relationships/hyperlink" Target="https://goodsportcaptioning.com/differentiating-cart-and-closed-captioning/" TargetMode="External"/><Relationship Id="rId199" Type="http://schemas.openxmlformats.org/officeDocument/2006/relationships/hyperlink" Target="https://www.fcfcoa.gov.au/policy/interpreter" TargetMode="External"/><Relationship Id="rId200" Type="http://schemas.openxmlformats.org/officeDocument/2006/relationships/hyperlink" Target="https://courts.nsw.gov.au/courts-and-tribunals/for-jurors/for-individuals-/jury-trial-verdict.html" TargetMode="External"/><Relationship Id="rId201" Type="http://schemas.openxmlformats.org/officeDocument/2006/relationships/hyperlink" Target="https://www.visionaustralia.org/information/adaptive-technology/using-technology/computer-screen-readers" TargetMode="External"/><Relationship Id="rId202" Type="http://schemas.openxmlformats.org/officeDocument/2006/relationships/hyperlink" Target="https://www.freedomscientific.com/Products/software/JAWS/" TargetMode="External"/><Relationship Id="rId203" Type="http://schemas.openxmlformats.org/officeDocument/2006/relationships/hyperlink" Target="https://www.zoomtext.com/products/zoomtext-magnifierreader/" TargetMode="External"/><Relationship Id="rId204" Type="http://schemas.openxmlformats.org/officeDocument/2006/relationships/hyperlink" Target="https://www.visionaustralia.org/information/adaptive-technology/using-technology/magnifiers" TargetMode="External"/><Relationship Id="rId205" Type="http://schemas.openxmlformats.org/officeDocument/2006/relationships/hyperlink" Target="https://www.allaboutvision.com/buysmart/magnifiers.htm" TargetMode="External"/><Relationship Id="rId206" Type="http://schemas.openxmlformats.org/officeDocument/2006/relationships/hyperlink" Target="https://visionaware.org/everyday-living/helpful-products/overview-of-low-vision-devices/electronic-magnifiers/" TargetMode="External"/><Relationship Id="rId207" Type="http://schemas.openxmlformats.org/officeDocument/2006/relationships/hyperlink" Target="https://www.visionaustralia.org/information/adaptive-technology/using-technology/braille" TargetMode="External"/><Relationship Id="rId208" Type="http://schemas.openxmlformats.org/officeDocument/2006/relationships/hyperlink" Target="https://guides.library.illinois.edu/c.php?g=526852&amp;amp;p=3602299" TargetMode="External"/><Relationship Id="rId209" Type="http://schemas.openxmlformats.org/officeDocument/2006/relationships/hyperlink" Target="https://www.visionaustralia.org/information/living-independently/accessible-equipment" TargetMode="External"/><Relationship Id="rId210" Type="http://schemas.openxmlformats.org/officeDocument/2006/relationships/hyperlink" Target="http://VIC.GOV.AU/" TargetMode="External"/><Relationship Id="rId211" Type="http://schemas.openxmlformats.org/officeDocument/2006/relationships/hyperlink" Target="https://www.vic.gov.au/state-disability-plan/systemic-reform-commitments-actions-and-accountability/accessible" TargetMode="External"/><Relationship Id="rId212" Type="http://schemas.openxmlformats.org/officeDocument/2006/relationships/hyperlink" Target="https://www.countycourt.vic.gov.au/going-court/virtual-hearings-and-trials" TargetMode="External"/><Relationship Id="rId213" Type="http://schemas.openxmlformats.org/officeDocument/2006/relationships/header" Target="header69.xml"/><Relationship Id="rId214" Type="http://schemas.openxmlformats.org/officeDocument/2006/relationships/header" Target="header70.xml"/><Relationship Id="rId215" Type="http://schemas.openxmlformats.org/officeDocument/2006/relationships/header" Target="header71.xml"/><Relationship Id="rId216" Type="http://schemas.openxmlformats.org/officeDocument/2006/relationships/header" Target="header72.xml"/><Relationship Id="rId217" Type="http://schemas.openxmlformats.org/officeDocument/2006/relationships/header" Target="header73.xml"/><Relationship Id="rId218" Type="http://schemas.openxmlformats.org/officeDocument/2006/relationships/hyperlink" Target="https://www.judicialcollege.vic.edu.au/news/recommended-national-standards-working-interpreters-courts-and-tribunals" TargetMode="External"/><Relationship Id="rId219" Type="http://schemas.openxmlformats.org/officeDocument/2006/relationships/hyperlink" Target="https://jccd.org.au/publications/" TargetMode="External"/><Relationship Id="rId220" Type="http://schemas.openxmlformats.org/officeDocument/2006/relationships/hyperlink" Target="https://www.naati.com.au/become-certified/how-do-i-become-certified/" TargetMode="External"/><Relationship Id="rId221" Type="http://schemas.openxmlformats.org/officeDocument/2006/relationships/hyperlink" Target="https://www.naati.com.au/" TargetMode="External"/><Relationship Id="rId222" Type="http://schemas.openxmlformats.org/officeDocument/2006/relationships/hyperlink" Target="https://www.rmit.edu.au/study-with-us/levels-of-study/vocational-study/diplomas/diploma-of-interpreting-loteenglish-c5364" TargetMode="External"/><Relationship Id="rId223" Type="http://schemas.openxmlformats.org/officeDocument/2006/relationships/hyperlink" Target="https://www.rmit.edu.au/study-with-us/levels-of-study/vocational-study/advanced-diplomas/advanced-diploma-of-interpreting-loteenglish-c6154.html" TargetMode="External"/><Relationship Id="rId224" Type="http://schemas.openxmlformats.org/officeDocument/2006/relationships/hyperlink" Target="https://www.naati.com.au/become-certified/certification/certified-specialist-legal-interpreter/" TargetMode="External"/><Relationship Id="rId225" Type="http://schemas.openxmlformats.org/officeDocument/2006/relationships/hyperlink" Target="https://www.naati.com.au/become-certified/certification/auslan-certified-specialist-legal-interpreter/" TargetMode="External"/><Relationship Id="rId226" Type="http://schemas.openxmlformats.org/officeDocument/2006/relationships/hyperlink" Target="https://www.naati.com.au/become-certified/how-do-i-become-certified/ethical-competency/" TargetMode="External"/><Relationship Id="rId227" Type="http://schemas.openxmlformats.org/officeDocument/2006/relationships/header" Target="header74.xml"/><Relationship Id="rId228" Type="http://schemas.openxmlformats.org/officeDocument/2006/relationships/header" Target="header75.xml"/><Relationship Id="rId229" Type="http://schemas.openxmlformats.org/officeDocument/2006/relationships/header" Target="header76.xml"/><Relationship Id="rId230" Type="http://schemas.openxmlformats.org/officeDocument/2006/relationships/header" Target="header77.xml"/><Relationship Id="rId231" Type="http://schemas.openxmlformats.org/officeDocument/2006/relationships/hyperlink" Target="http://www.justice.vic.gov.au/justice-system/courts-and-tribunals/victorian-intermediaries-pilot-program" TargetMode="External"/><Relationship Id="rId232" Type="http://schemas.openxmlformats.org/officeDocument/2006/relationships/hyperlink" Target="https://www.ada.gov/effective-comm.htm" TargetMode="External"/><Relationship Id="rId233" Type="http://schemas.openxmlformats.org/officeDocument/2006/relationships/hyperlink" Target="http://www.adtrainingretreats.com/aboutad.php" TargetMode="External"/><Relationship Id="rId234" Type="http://schemas.openxmlformats.org/officeDocument/2006/relationships/hyperlink" Target="https://www.futurelearn.com/courses/creating-audio-description-for-equality-diversity-and-inclusion/1" TargetMode="External"/><Relationship Id="rId235" Type="http://schemas.openxmlformats.org/officeDocument/2006/relationships/hyperlink" Target="https://adp.acb.org/education.html" TargetMode="External"/><Relationship Id="rId236" Type="http://schemas.openxmlformats.org/officeDocument/2006/relationships/hyperlink" Target="http://www.adtrainingretreats.com/upcoming.php" TargetMode="External"/><Relationship Id="rId237" Type="http://schemas.openxmlformats.org/officeDocument/2006/relationships/header" Target="header78.xml"/><Relationship Id="rId238" Type="http://schemas.openxmlformats.org/officeDocument/2006/relationships/header" Target="header79.xml"/><Relationship Id="rId239" Type="http://schemas.openxmlformats.org/officeDocument/2006/relationships/header" Target="header80.xml"/><Relationship Id="rId240" Type="http://schemas.openxmlformats.org/officeDocument/2006/relationships/header" Target="header81.xml"/><Relationship Id="rId241" Type="http://schemas.openxmlformats.org/officeDocument/2006/relationships/header" Target="header82.xml"/><Relationship Id="rId242" Type="http://schemas.openxmlformats.org/officeDocument/2006/relationships/header" Target="header83.xml"/><Relationship Id="rId243" Type="http://schemas.openxmlformats.org/officeDocument/2006/relationships/header" Target="header84.xml"/><Relationship Id="rId244" Type="http://schemas.openxmlformats.org/officeDocument/2006/relationships/header" Target="header85.xml"/><Relationship Id="rId245" Type="http://schemas.openxmlformats.org/officeDocument/2006/relationships/header" Target="header86.xml"/><Relationship Id="rId246" Type="http://schemas.openxmlformats.org/officeDocument/2006/relationships/hyperlink" Target="http://theconversation.com/all-about-juries-why-do-we-actually-need-them-and-can-they-get-it-wrong-112703" TargetMode="External"/><Relationship Id="rId247" Type="http://schemas.openxmlformats.org/officeDocument/2006/relationships/hyperlink" Target="https://www.theage.com.au/national/victoria/why-there-are-more-men-than-women-on-juries-20190821-p52jer.html" TargetMode="External"/><Relationship Id="rId248" Type="http://schemas.openxmlformats.org/officeDocument/2006/relationships/hyperlink" Target="https://www.understandingtheada.com/blog/2012/10/01/persons-with-disabilities-and-peremptory-challenges/" TargetMode="External"/><Relationship Id="rId249" Type="http://schemas.openxmlformats.org/officeDocument/2006/relationships/hyperlink" Target="https://www.justice.vic.gov.au/justice-system/laws-and-regulation/victorian-model-litigant-guidelines" TargetMode="External"/><Relationship Id="rId250" Type="http://schemas.openxmlformats.org/officeDocument/2006/relationships/header" Target="header87.xml"/><Relationship Id="rId251" Type="http://schemas.openxmlformats.org/officeDocument/2006/relationships/header" Target="header88.xml"/><Relationship Id="rId252" Type="http://schemas.openxmlformats.org/officeDocument/2006/relationships/header" Target="header89.xml"/><Relationship Id="rId253" Type="http://schemas.openxmlformats.org/officeDocument/2006/relationships/header" Target="header90.xml"/><Relationship Id="rId254" Type="http://schemas.openxmlformats.org/officeDocument/2006/relationships/header" Target="header91.xml"/><Relationship Id="rId255" Type="http://schemas.openxmlformats.org/officeDocument/2006/relationships/hyperlink" Target="https://disabilityawareness.com.au/elearning/disability-awareness/" TargetMode="External"/><Relationship Id="rId256" Type="http://schemas.openxmlformats.org/officeDocument/2006/relationships/hyperlink" Target="https://www.diversityaustralia.com.au/training/disability_awareness/" TargetMode="External"/><Relationship Id="rId257" Type="http://schemas.openxmlformats.org/officeDocument/2006/relationships/hyperlink" Target="https://www.legalaid.vic.gov.au/criminal-trial-preferred-barrister-list" TargetMode="External"/><Relationship Id="rId258" Type="http://schemas.openxmlformats.org/officeDocument/2006/relationships/hyperlink" Target="https://www.vicbar.com.au/news-events/victorian-bar-introduce-accreditation-criminal-trial-barristers" TargetMode="External"/><Relationship Id="rId259" Type="http://schemas.openxmlformats.org/officeDocument/2006/relationships/hyperlink" Target="http://GOV.UK/" TargetMode="External"/><Relationship Id="rId260" Type="http://schemas.openxmlformats.org/officeDocument/2006/relationships/hyperlink" Target="https://www.gov.uk/government/organisations/hm-courts-and-tribunals-service/about/equality-and-diversity" TargetMode="External"/><Relationship Id="rId261" Type="http://schemas.openxmlformats.org/officeDocument/2006/relationships/hyperlink" Target="https://www.countycourt.vic.gov.au/accessibility" TargetMode="External"/><Relationship Id="rId262" Type="http://schemas.openxmlformats.org/officeDocument/2006/relationships/hyperlink" Target="http://www.supremecourt.vic.gov.au/accessibility" TargetMode="External"/><Relationship Id="rId263" Type="http://schemas.openxmlformats.org/officeDocument/2006/relationships/hyperlink" Target="https://www.w3.org/TR/WAI-WEBCONTENT/" TargetMode="External"/><Relationship Id="rId264" Type="http://schemas.openxmlformats.org/officeDocument/2006/relationships/hyperlink" Target="https://www.vic.gov.au/digital-guides" TargetMode="External"/><Relationship Id="rId265" Type="http://schemas.openxmlformats.org/officeDocument/2006/relationships/header" Target="header92.xml"/><Relationship Id="rId266" Type="http://schemas.openxmlformats.org/officeDocument/2006/relationships/header" Target="header93.xml"/><Relationship Id="rId267" Type="http://schemas.openxmlformats.org/officeDocument/2006/relationships/header" Target="header94.xml"/><Relationship Id="rId268" Type="http://schemas.openxmlformats.org/officeDocument/2006/relationships/header" Target="header95.xml"/><Relationship Id="rId269" Type="http://schemas.openxmlformats.org/officeDocument/2006/relationships/header" Target="header96.xml"/><Relationship Id="rId270" Type="http://schemas.openxmlformats.org/officeDocument/2006/relationships/hyperlink" Target="https://www.abs.gov.au/statistics/people/population/national-state-and-territory-population/latest-release" TargetMode="External"/><Relationship Id="rId271" Type="http://schemas.openxmlformats.org/officeDocument/2006/relationships/hyperlink" Target="https://www.courtexcellence.com/" TargetMode="External"/><Relationship Id="rId272" Type="http://schemas.openxmlformats.org/officeDocument/2006/relationships/header" Target="header97.xml"/><Relationship Id="rId273" Type="http://schemas.openxmlformats.org/officeDocument/2006/relationships/header" Target="header98.xml"/><Relationship Id="rId274" Type="http://schemas.openxmlformats.org/officeDocument/2006/relationships/header" Target="header99.xml"/><Relationship Id="rId275" Type="http://schemas.openxmlformats.org/officeDocument/2006/relationships/header" Target="header100.xml"/><Relationship Id="rId276" Type="http://schemas.openxmlformats.org/officeDocument/2006/relationships/header" Target="header101.xml"/><Relationship Id="rId277" Type="http://schemas.openxmlformats.org/officeDocument/2006/relationships/header" Target="header102.xml"/><Relationship Id="rId278" Type="http://schemas.openxmlformats.org/officeDocument/2006/relationships/header" Target="header103.xml"/><Relationship Id="rId279" Type="http://schemas.openxmlformats.org/officeDocument/2006/relationships/header" Target="header104.xml"/><Relationship Id="rId280" Type="http://schemas.openxmlformats.org/officeDocument/2006/relationships/header" Target="header105.xml"/><Relationship Id="rId281" Type="http://schemas.openxmlformats.org/officeDocument/2006/relationships/hyperlink" Target="https://www.ada.gov/ada_intro.htm" TargetMode="External"/><Relationship Id="rId282" Type="http://schemas.openxmlformats.org/officeDocument/2006/relationships/hyperlink" Target="https://www.judicialcollege.vic.edu.au/eManuals/CJCB" TargetMode="External"/><Relationship Id="rId283" Type="http://schemas.openxmlformats.org/officeDocument/2006/relationships/header" Target="header106.xml"/><Relationship Id="rId284" Type="http://schemas.openxmlformats.org/officeDocument/2006/relationships/image" Target="media/image7.png"/><Relationship Id="rId285" Type="http://schemas.openxmlformats.org/officeDocument/2006/relationships/hyperlink" Target="http://www.lawreform.vic.gov.au/" TargetMode="External"/><Relationship Id="rId286" Type="http://schemas.openxmlformats.org/officeDocument/2006/relationships/header" Target="header107.xml"/><Relationship Id="rId287" Type="http://schemas.openxmlformats.org/officeDocument/2006/relationships/image" Target="media/image8.png"/><Relationship Id="rId28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2023-04-28T01:43:26Z</dcterms:created>
  <dcterms:modified xsi:type="dcterms:W3CDTF">2023-04-28T01:43:26Z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2022-08-02T00:00:00Z</vt:filetime>
  </property>
  <property fmtid="{D5CDD505-2E9C-101B-9397-08002B2CF9AE}" pid="3" name="Creator">
    <vt:lpwstr>Adobe InDesign 17.3 (Macintosh)</vt:lpwstr>
  </property>
  <property fmtid="{D5CDD505-2E9C-101B-9397-08002B2CF9AE}" pid="4" name="LastSaved">
    <vt:filetime>2023-04-28T00:00:00Z</vt:filetime>
  </property>
</Properties>
</file>